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3D3A4" w14:textId="3BB5E70F" w:rsidR="006A3667" w:rsidRDefault="00045F32">
      <w:pPr>
        <w:rPr>
          <w:vanish/>
        </w:rPr>
      </w:pPr>
      <w:r>
        <w:rPr>
          <w:rFonts w:ascii="宋体" w:eastAsia="宋体" w:hAnsi="宋体" w:cs="宋体"/>
        </w:rPr>
        <w:t xml:space="preserve"> </w:t>
      </w:r>
      <w:r>
        <w:rPr>
          <w:rFonts w:ascii="宋体" w:eastAsia="宋体" w:hAnsi="宋体" w:cs="宋体"/>
          <w:vanish/>
        </w:rPr>
        <w:t>000009375112-312022Q3FALSE0.000250.010.000250.0100000937512022-01-012022-09-300000093751us-gaap:CommonStockMember2022-01-012022-09-300000093751stt:SeriesDPreferredStockDepositoryShareMember2022-01-012022-09-300000093751stt:SeriesGPreferredStockDepositorySh</w:t>
      </w:r>
      <w:r>
        <w:rPr>
          <w:rFonts w:ascii="宋体" w:eastAsia="宋体" w:hAnsi="宋体" w:cs="宋体"/>
          <w:vanish/>
        </w:rPr>
        <w:t>areMember2022-01-012022-09-3000000937512022-10-24xbrli:shares00000937512022-07-012022-09-30iso4217:USD00000937512021-07-012021-09-3000000937512021-01-012021-09-30iso4217:USDxbrli:shares00000937512022-09-3000000937512021-12-310000093751us-gaap:SeriesDPrefer</w:t>
      </w:r>
      <w:r>
        <w:rPr>
          <w:rFonts w:ascii="宋体" w:eastAsia="宋体" w:hAnsi="宋体" w:cs="宋体"/>
          <w:vanish/>
        </w:rPr>
        <w:t>redStockMember2022-09-300000093751us-gaap:SeriesDPreferredStockMember2021-12-310000093751us-gaap:SeriesFPreferredStockMember2021-12-310000093751us-gaap:SeriesFPreferredStockMember2022-09-300000093751us-gaap:SeriesGPreferredStockMember2022-09-300000093751us</w:t>
      </w:r>
      <w:r>
        <w:rPr>
          <w:rFonts w:ascii="宋体" w:eastAsia="宋体" w:hAnsi="宋体" w:cs="宋体"/>
          <w:vanish/>
        </w:rPr>
        <w:t>-gaap:SeriesGPreferredStockMember2021-12-310000093751us-gaap:SeriesHPreferredStockMember2022-09-300000093751us-gaap:SeriesHPreferredStockMember2021-12-310000093751us-gaap:PreferredStockMember2020-12-310000093751us-gaap:CommonStockMember2020-12-310000093751</w:t>
      </w:r>
      <w:r>
        <w:rPr>
          <w:rFonts w:ascii="宋体" w:eastAsia="宋体" w:hAnsi="宋体" w:cs="宋体"/>
          <w:vanish/>
        </w:rPr>
        <w:t>us-gaap:AdditionalPaidInCapitalMember2020-12-310000093751us-gaap:RetainedEarningsMember2020-12-310000093751us-gaap:AccumulatedOtherComprehensiveIncomeMember2020-12-310000093751us-gaap:TreasuryStockCommonMember2020-12-3100000937512020-12-310000093751us-gaap</w:t>
      </w:r>
      <w:r>
        <w:rPr>
          <w:rFonts w:ascii="宋体" w:eastAsia="宋体" w:hAnsi="宋体" w:cs="宋体"/>
          <w:vanish/>
        </w:rPr>
        <w:t>:RetainedEarningsMember2021-01-012021-03-3100000937512021-01-012021-03-310000093751us-gaap:AccumulatedOtherComprehensiveIncomeMember2021-01-012021-03-310000093751us-gaap:PreferredStockMember2021-01-012021-03-310000093751us-gaap:TreasuryStockCommonMember202</w:t>
      </w:r>
      <w:r>
        <w:rPr>
          <w:rFonts w:ascii="宋体" w:eastAsia="宋体" w:hAnsi="宋体" w:cs="宋体"/>
          <w:vanish/>
        </w:rPr>
        <w:t>1-01-012021-03-310000093751us-gaap:AdditionalPaidInCapitalMember2021-01-012021-03-310000093751us-gaap:PreferredStockMember2021-03-310000093751us-gaap:CommonStockMember2021-03-310000093751us-gaap:AdditionalPaidInCapitalMember2021-03-310000093751us-gaap:Reta</w:t>
      </w:r>
      <w:r>
        <w:rPr>
          <w:rFonts w:ascii="宋体" w:eastAsia="宋体" w:hAnsi="宋体" w:cs="宋体"/>
          <w:vanish/>
        </w:rPr>
        <w:t>inedEarningsMember2021-03-310000093751us-gaap:AccumulatedOtherComprehensiveIncomeMember2021-03-310000093751us-gaap:TreasuryStockCommonMember2021-03-3100000937512021-03-310000093751us-gaap:RetainedEarningsMember2021-04-012021-06-3000000937512021-04-012021-0</w:t>
      </w:r>
      <w:r>
        <w:rPr>
          <w:rFonts w:ascii="宋体" w:eastAsia="宋体" w:hAnsi="宋体" w:cs="宋体"/>
          <w:vanish/>
        </w:rPr>
        <w:t>6-300000093751us-gaap:AccumulatedOtherComprehensiveIncomeMember2021-04-012021-06-300000093751us-gaap:TreasuryStockCommonMember2021-04-012021-06-300000093751us-gaap:AdditionalPaidInCapitalMember2021-04-012021-06-300000093751us-gaap:PreferredStockMember2021-</w:t>
      </w:r>
      <w:r>
        <w:rPr>
          <w:rFonts w:ascii="宋体" w:eastAsia="宋体" w:hAnsi="宋体" w:cs="宋体"/>
          <w:vanish/>
        </w:rPr>
        <w:t>06-300000093751us-gaap:CommonStockMember2021-06-300000093751us-gaap:AdditionalPaidInCapitalMember2021-06-300000093751us-gaap:RetainedEarningsMember2021-06-300000093751us-gaap:AccumulatedOtherComprehensiveIncomeMember2021-06-300000093751us-gaap:TreasuryStoc</w:t>
      </w:r>
      <w:r>
        <w:rPr>
          <w:rFonts w:ascii="宋体" w:eastAsia="宋体" w:hAnsi="宋体" w:cs="宋体"/>
          <w:vanish/>
        </w:rPr>
        <w:t>kCommonMember2021-06-3000000937512021-06-300000093751us-gaap:RetainedEarningsMember2021-07-012021-09-300000093751us-gaap:AccumulatedOtherComprehensiveIncomeMember2021-07-012021-09-300000093751us-gaap:AdditionalPaidInCapitalMember2021-07-012021-09-300000093</w:t>
      </w:r>
      <w:r>
        <w:rPr>
          <w:rFonts w:ascii="宋体" w:eastAsia="宋体" w:hAnsi="宋体" w:cs="宋体"/>
          <w:vanish/>
        </w:rPr>
        <w:t>751us-gaap:TreasuryStockCommonMember2021-07-012021-09-300000093751us-gaap:PreferredStockMember2021-09-300000093751us-gaap:CommonStockMember2021-09-300000093751us-gaap:AdditionalPaidInCapitalMember2021-09-300000093751us-gaap:RetainedEarningsMember2021-09-30</w:t>
      </w:r>
      <w:r>
        <w:rPr>
          <w:rFonts w:ascii="宋体" w:eastAsia="宋体" w:hAnsi="宋体" w:cs="宋体"/>
          <w:vanish/>
        </w:rPr>
        <w:t>0000093751us-gaap:AccumulatedOtherComprehensiveIncomeMember2021-09-300000093751us-gaap:TreasuryStockCommonMember2021-09-3000000937512021-09-300000093751us-gaap:PreferredStockMember2021-12-310000093751us-gaap:CommonStockMember2021-12-310000093751us-gaap:Add</w:t>
      </w:r>
      <w:r>
        <w:rPr>
          <w:rFonts w:ascii="宋体" w:eastAsia="宋体" w:hAnsi="宋体" w:cs="宋体"/>
          <w:vanish/>
        </w:rPr>
        <w:t>itionalPaidInCapitalMember2021-12-310000093751us-gaap:RetainedEarningsMember2021-12-310000093751us-gaap:AccumulatedOtherComprehensiveIncomeMember2021-12-310000093751us-gaap:TreasuryStockCommonMember2021-12-310000093751us-gaap:RetainedEarningsMember2022-01-</w:t>
      </w:r>
      <w:r>
        <w:rPr>
          <w:rFonts w:ascii="宋体" w:eastAsia="宋体" w:hAnsi="宋体" w:cs="宋体"/>
          <w:vanish/>
        </w:rPr>
        <w:t>012022-03-3100000937512022-01-012022-03-310000093751us-gaap:AccumulatedOtherComprehensiveIncomeMember2022-01-012022-03-310000093751us-gaap:AdditionalPaidInCapitalMember2022-01-012022-03-310000093751us-gaap:TreasuryStockCommonMember2022-01-012022-03-3100000</w:t>
      </w:r>
      <w:r>
        <w:rPr>
          <w:rFonts w:ascii="宋体" w:eastAsia="宋体" w:hAnsi="宋体" w:cs="宋体"/>
          <w:vanish/>
        </w:rPr>
        <w:t>93751us-gaap:PreferredStockMember2022-03-310000093751us-gaap:CommonStockMember2022-03-310000093751us-gaap:AdditionalPaidInCapitalMember2022-03-310000093751us-gaap:RetainedEarningsMember2022-03-310000093751us-gaap:AccumulatedOtherComprehensiveIncomeMember20</w:t>
      </w:r>
      <w:r>
        <w:rPr>
          <w:rFonts w:ascii="宋体" w:eastAsia="宋体" w:hAnsi="宋体" w:cs="宋体"/>
          <w:vanish/>
        </w:rPr>
        <w:t>22-03-310000093751us-gaap:TreasuryStockCommonMember2022-03-3100000937512022-03-310000093751us-gaap:RetainedEarningsMember2022-04-012022-06-3000000937512022-04-012022-06-300000093751us-gaap:AccumulatedOtherComprehensiveIncomeMember2022-04-012022-06-30000009</w:t>
      </w:r>
      <w:r>
        <w:rPr>
          <w:rFonts w:ascii="宋体" w:eastAsia="宋体" w:hAnsi="宋体" w:cs="宋体"/>
          <w:vanish/>
        </w:rPr>
        <w:t>3751us-gaap:AdditionalPaidInCapitalMember2022-04-012022-06-300000093751us-gaap:TreasuryStockCommonMember2022-04-012022-06-300000093751us-gaap:PreferredStockMember2022-06-300000093751us-gaap:CommonStockMember2022-06-300000093751us-gaap:AdditionalPaidInCapit</w:t>
      </w:r>
      <w:r>
        <w:rPr>
          <w:rFonts w:ascii="宋体" w:eastAsia="宋体" w:hAnsi="宋体" w:cs="宋体"/>
          <w:vanish/>
        </w:rPr>
        <w:t>alMember2022-06-300000093751us-gaap:RetainedEarningsMember2022-06-300000093751us-gaap:AccumulatedOtherComprehensiveIncomeMember2022-06-300000093751us-gaap:TreasuryStockCommonMember2022-06-3000000937512022-06-300000093751us-gaap:RetainedEarningsMember2022-0</w:t>
      </w:r>
      <w:r>
        <w:rPr>
          <w:rFonts w:ascii="宋体" w:eastAsia="宋体" w:hAnsi="宋体" w:cs="宋体"/>
          <w:vanish/>
        </w:rPr>
        <w:t>7-012022-09-300000093751us-gaap:AccumulatedOtherComprehensiveIncomeMember2022-07-012022-09-300000093751us-gaap:AdditionalPaidInCapitalMember2022-07-012022-09-300000093751us-gaap:TreasuryStockCommonMember2022-07-012022-09-300000093751us-gaap:PreferredStockM</w:t>
      </w:r>
      <w:r>
        <w:rPr>
          <w:rFonts w:ascii="宋体" w:eastAsia="宋体" w:hAnsi="宋体" w:cs="宋体"/>
          <w:vanish/>
        </w:rPr>
        <w:t>ember2022-09-300000093751us-gaap:CommonStockMember2022-09-300000093751us-gaap:AdditionalPaidInCapitalMember2022-09-300000093751us-gaap:RetainedEarningsMember2022-09-300000093751us-gaap:AccumulatedOtherComprehensiveIncomeMember2022-09-300000093751us-gaap:Tr</w:t>
      </w:r>
      <w:r>
        <w:rPr>
          <w:rFonts w:ascii="宋体" w:eastAsia="宋体" w:hAnsi="宋体" w:cs="宋体"/>
          <w:vanish/>
        </w:rPr>
        <w:t>easuryStockCommonMember2022-09-300000093751stt:BBHInvestorServicesMember2021-09-012021-09-300000093751us-gaap:FairValueInputsLevel1Memberus-gaap:FairValueMeasurementsRecurringMemberus-gaap:USGovernmentDebtSecuritiesMember2022-09-300000093751us-gaap:FairVal</w:t>
      </w:r>
      <w:r>
        <w:rPr>
          <w:rFonts w:ascii="宋体" w:eastAsia="宋体" w:hAnsi="宋体" w:cs="宋体"/>
          <w:vanish/>
        </w:rPr>
        <w:t>ueInputsLevel2Memberus-gaap:FairValueMeasurementsRecurringMemberus-gaap:USGovernmentDebtSecuritiesMember2022-09-300000093751us-gaap:FairValueInputsLevel3Memberus-gaap:FairValueMeasurementsRecurringMemberus-gaap:USGovernmentDebtSecuritiesMember2022-09-30000</w:t>
      </w:r>
      <w:r>
        <w:rPr>
          <w:rFonts w:ascii="宋体" w:eastAsia="宋体" w:hAnsi="宋体" w:cs="宋体"/>
          <w:vanish/>
        </w:rPr>
        <w:t>0093751us-gaap:FairValueMeasurementsRecurringMemberus-gaap:USGovernmentDebtSecuritiesMember2022-09-300000093751us-gaap:FairValueInputsLevel1Memberus-gaap:ForeignGovernmentDebtSecuritiesMemberus-gaap:FairValueMeasurementsRecurringMember2022-09-300000093751u</w:t>
      </w:r>
      <w:r>
        <w:rPr>
          <w:rFonts w:ascii="宋体" w:eastAsia="宋体" w:hAnsi="宋体" w:cs="宋体"/>
          <w:vanish/>
        </w:rPr>
        <w:t>s-gaap:FairValueInputsLevel2Memberus-gaap:ForeignGovernmentDebtSecuritiesMemberus-gaap:FairValueMeasurementsRecurringMember2022-09-300000093751us-gaap:FairValueInputsLevel3Memberus-gaap:ForeignGovernmentDebtSecuritiesMemberus-gaap:FairValueMeasurementsRecu</w:t>
      </w:r>
      <w:r>
        <w:rPr>
          <w:rFonts w:ascii="宋体" w:eastAsia="宋体" w:hAnsi="宋体" w:cs="宋体"/>
          <w:vanish/>
        </w:rPr>
        <w:t>rringMember2022-09-300000093751us-gaap:FairValueMeasurementsRecurringMemberus-gaap:ForeignGovernmentDebtSecuritiesMember2022-09-300000093751us-gaap:OtherDebtSecuritiesMemberus-gaap:FairValueInputsLevel1Memberus-gaap:FairValueMeasurementsRecurringMember2022</w:t>
      </w:r>
      <w:r>
        <w:rPr>
          <w:rFonts w:ascii="宋体" w:eastAsia="宋体" w:hAnsi="宋体" w:cs="宋体"/>
          <w:vanish/>
        </w:rPr>
        <w:t>-09-300000093751us-gaap:FairValueInputsLevel2Memberus-gaap:OtherDebtSecuritiesMemberus-gaap:FairValueMeasurementsRecurringMember2022-09-300000093751us-gaap:OtherDebtSecuritiesMemberus-gaap:FairValueInputsLevel3Memberus-gaap:FairValueMeasurementsRecurringMe</w:t>
      </w:r>
      <w:r>
        <w:rPr>
          <w:rFonts w:ascii="宋体" w:eastAsia="宋体" w:hAnsi="宋体" w:cs="宋体"/>
          <w:vanish/>
        </w:rPr>
        <w:t>mber2022-09-300000093751us-gaap:OtherDebtSecuritiesMemberus-gaap:FairValueMeasurementsRecurringMember2022-09-300000093751us-gaap:FairValueInputsLevel1Memberus-gaap:FairValueMeasurementsRecurringMember2022-09-300000093751us-gaap:FairValueInputsLevel2Memberu</w:t>
      </w:r>
      <w:r>
        <w:rPr>
          <w:rFonts w:ascii="宋体" w:eastAsia="宋体" w:hAnsi="宋体" w:cs="宋体"/>
          <w:vanish/>
        </w:rPr>
        <w:t>s-gaap:FairValueMeasurementsRecurringMember2022-09-300000093751us-gaap:FairValueInputsLevel3Memberus-gaap:FairValueMeasurementsRecurringMember2022-09-300000093751us-gaap:FairValueMeasurementsRecurringMember2022-09-300000093751stt:UsTreasuryAndFederalAgenci</w:t>
      </w:r>
      <w:r>
        <w:rPr>
          <w:rFonts w:ascii="宋体" w:eastAsia="宋体" w:hAnsi="宋体" w:cs="宋体"/>
          <w:vanish/>
        </w:rPr>
        <w:t>esDirectObligationsMemberus-gaap:FairValueInputsLevel1Memberus-gaap:FairValueMeasurementsRecurringMember2022-09-300000093751us-gaap:FairValueInputsLevel2Memberstt:UsTreasuryAndFederalAgenciesDirectObligationsMemberus-gaap:FairValueMeasurementsRecurringMemb</w:t>
      </w:r>
      <w:r>
        <w:rPr>
          <w:rFonts w:ascii="宋体" w:eastAsia="宋体" w:hAnsi="宋体" w:cs="宋体"/>
          <w:vanish/>
        </w:rPr>
        <w:t>er2022-09-300000093751stt:UsTreasuryAndFederalAgenciesDirectObligationsMemberus-gaap:FairValueInputsLevel3Memberus-gaap:FairValueMeasurementsRecurringMember2022-09-300000093751stt:UsTreasuryAndFederalAgenciesDirectObligationsMemberus-gaap:FairValueMeasurem</w:t>
      </w:r>
      <w:r>
        <w:rPr>
          <w:rFonts w:ascii="宋体" w:eastAsia="宋体" w:hAnsi="宋体" w:cs="宋体"/>
          <w:vanish/>
        </w:rPr>
        <w:t>entsRecurringMember2022-09-300000093751stt:UsTreasuryAndFederalAgenciesMortgageBackedSecuritiesMemberus-gaap:FairValueInputsLevel1Memberus-gaap:FairValueMeasurementsRecurringMember2022-09-300000093751us-gaap:FairValueInputsLevel2Memberstt:UsTreasuryAndFede</w:t>
      </w:r>
      <w:r>
        <w:rPr>
          <w:rFonts w:ascii="宋体" w:eastAsia="宋体" w:hAnsi="宋体" w:cs="宋体"/>
          <w:vanish/>
        </w:rPr>
        <w:t>ralAgenciesMortgageBackedSecuritiesMemberus-gaap:FairValueMeasurementsRecurringMember2022-09-300000093751stt:UsTreasuryAndFederalAgenciesMortgageBackedSecuritiesMemberus-gaap:FairValueInputsLevel3Memberus-gaap:FairValueMeasurementsRecurringMember2022-09-30</w:t>
      </w:r>
      <w:r>
        <w:rPr>
          <w:rFonts w:ascii="宋体" w:eastAsia="宋体" w:hAnsi="宋体" w:cs="宋体"/>
          <w:vanish/>
        </w:rPr>
        <w:t>0000093751stt:UsTreasuryAndFederalAgenciesMortgageBackedSecuritiesMemberus-gaap:FairValueMeasurementsRecurringMember2022-09-300000093751us-gaap:USTreasuryAndGovernmentMemberus-gaap:FairValueInputsLevel1Memberus-gaap:FairValueMeasurementsRecurringMember2022</w:t>
      </w:r>
      <w:r>
        <w:rPr>
          <w:rFonts w:ascii="宋体" w:eastAsia="宋体" w:hAnsi="宋体" w:cs="宋体"/>
          <w:vanish/>
        </w:rPr>
        <w:t>-09-300000093751us-gaap:FairValueInputsLevel2Memberus-gaap:USTreasuryAndGovernmentMemberus-gaap:FairValueMeasurementsRecurringMember2022-09-300000093751us-gaap:USTreasuryAndGovernmentMemberus-gaap:FairValueInputsLevel3Memberus-gaap:FairValueMeasurementsRec</w:t>
      </w:r>
      <w:r>
        <w:rPr>
          <w:rFonts w:ascii="宋体" w:eastAsia="宋体" w:hAnsi="宋体" w:cs="宋体"/>
          <w:vanish/>
        </w:rPr>
        <w:t>urringMember2022-09-300000093751us-gaap:USTreasuryAndGovernmentMemberus-gaap:FairValueMeasurementsRecurringMember2022-09-300000093751stt:NonUsDebtSecuritiesMortgageBackedSecuritiesMemberus-gaap:FairValueInputsLevel1Memberus-gaap:FairValueMeasurementsRecurr</w:t>
      </w:r>
      <w:r>
        <w:rPr>
          <w:rFonts w:ascii="宋体" w:eastAsia="宋体" w:hAnsi="宋体" w:cs="宋体"/>
          <w:vanish/>
        </w:rPr>
        <w:t>ingMember2022-09-300000093751us-gaap:FairValueInputsLevel2Memberstt:NonUsDebtSecuritiesMortgageBackedSecuritiesMemberus-gaap:FairValueMeasurementsRecurringMember2022-09-300000093751stt:NonUsDebtSecuritiesMortgageBackedSecuritiesMemberus-gaap:FairValueInput</w:t>
      </w:r>
      <w:r>
        <w:rPr>
          <w:rFonts w:ascii="宋体" w:eastAsia="宋体" w:hAnsi="宋体" w:cs="宋体"/>
          <w:vanish/>
        </w:rPr>
        <w:t>sLevel3Memberus-gaap:FairValueMeasurementsRecurringMember2022-09-300000093751stt:NonUsDebtSecuritiesMortgageBackedSecuritiesMemberus-gaap:FairValueMeasurementsRecurringMember2022-09-300000093751stt:NonUsDebtSecuritiesAssetBackedSecuritiesMemberus-gaap:Fair</w:t>
      </w:r>
      <w:r>
        <w:rPr>
          <w:rFonts w:ascii="宋体" w:eastAsia="宋体" w:hAnsi="宋体" w:cs="宋体"/>
          <w:vanish/>
        </w:rPr>
        <w:t>ValueInputsLevel1Memberus-gaap:FairValueMeasurementsRecurringMember2022-09-300000093751us-gaap:FairValueInputsLevel2Memberstt:NonUsDebtSecuritiesAssetBackedSecuritiesMemberus-gaap:FairValueMeasurementsRecurringMember2022-09-300000093751stt:NonUsDebtSecurit</w:t>
      </w:r>
      <w:r>
        <w:rPr>
          <w:rFonts w:ascii="宋体" w:eastAsia="宋体" w:hAnsi="宋体" w:cs="宋体"/>
          <w:vanish/>
        </w:rPr>
        <w:t>iesAssetBackedSecuritiesMemberus-gaap:FairValueInputsLevel3Memberus-gaap:FairValueMeasurementsRecurringMember2022-09-300000093751stt:NonUsDebtSecuritiesAssetBackedSecuritiesMemberus-gaap:FairValueMeasurementsRecurringMember2022-09-300000093751stt:NonUSDebt</w:t>
      </w:r>
      <w:r>
        <w:rPr>
          <w:rFonts w:ascii="宋体" w:eastAsia="宋体" w:hAnsi="宋体" w:cs="宋体"/>
          <w:vanish/>
        </w:rPr>
        <w:t>SecuritiesForeignSovereignSupranationalAndNonAgencySecuritiesMemberus-gaap:FairValueInputsLevel1Memberus-gaap:FairValueMeasurementsRecurringMember2022-09-300000093751us-gaap:FairValueInputsLevel2Memberstt:NonUSDebtSecuritiesForeignSovereignSupranationalAnd</w:t>
      </w:r>
      <w:r>
        <w:rPr>
          <w:rFonts w:ascii="宋体" w:eastAsia="宋体" w:hAnsi="宋体" w:cs="宋体"/>
          <w:vanish/>
        </w:rPr>
        <w:t>NonAgencySecuritiesMemberus-gaap:FairValueMeasurementsRecurringMember2022-09-300000093751stt:NonUSDebtSecuritiesForeignSovereignSupranationalAndNonAgencySecuritiesMemberus-gaap:FairValueInputsLevel3Memberus-gaap:FairValueMeasurementsRecurringMember2022-09-</w:t>
      </w:r>
      <w:r>
        <w:rPr>
          <w:rFonts w:ascii="宋体" w:eastAsia="宋体" w:hAnsi="宋体" w:cs="宋体"/>
          <w:vanish/>
        </w:rPr>
        <w:t>300000093751stt:NonUSDebtSecuritiesForeignSovereignSupranationalAndNonAgencySecuritiesMemberus-gaap:FairValueMeasurementsRecurringMember2022-09-300000093751stt:NonUsDebtSecuritiesOtherMemberus-gaap:FairValueInputsLevel1Memberus-gaap:FairValueMeasurementsRe</w:t>
      </w:r>
      <w:r>
        <w:rPr>
          <w:rFonts w:ascii="宋体" w:eastAsia="宋体" w:hAnsi="宋体" w:cs="宋体"/>
          <w:vanish/>
        </w:rPr>
        <w:t>curringMember2022-09-300000093751us-gaap:FairValueInputsLevel2Memberstt:NonUsDebtSecuritiesOtherMemberus-gaap:FairValueMeasurementsRecurringMember2022-09-300000093751stt:NonUsDebtSecuritiesOtherMemberus-gaap:FairValueInputsLevel3Memberus-gaap:FairValueMeas</w:t>
      </w:r>
      <w:r>
        <w:rPr>
          <w:rFonts w:ascii="宋体" w:eastAsia="宋体" w:hAnsi="宋体" w:cs="宋体"/>
          <w:vanish/>
        </w:rPr>
        <w:t>urementsRecurringMember2022-09-300000093751stt:NonUsDebtSecuritiesOtherMemberus-gaap:FairValueMeasurementsRecurringMember2022-09-300000093751stt:NonUSDebtSecuritiesMemberus-gaap:FairValueInputsLevel1Memberus-gaap:FairValueMeasurementsRecurringMember2022-09</w:t>
      </w:r>
      <w:r>
        <w:rPr>
          <w:rFonts w:ascii="宋体" w:eastAsia="宋体" w:hAnsi="宋体" w:cs="宋体"/>
          <w:vanish/>
        </w:rPr>
        <w:t>-300000093751us-gaap:FairValueInputsLevel2Memberstt:NonUSDebtSecuritiesMemberus-gaap:FairValueMeasurementsRecurringMember2022-09-300000093751stt:NonUSDebtSecuritiesMemberus-gaap:FairValueInputsLevel3Memberus-gaap:FairValueMeasurementsRecurringMember2022-09</w:t>
      </w:r>
      <w:r>
        <w:rPr>
          <w:rFonts w:ascii="宋体" w:eastAsia="宋体" w:hAnsi="宋体" w:cs="宋体"/>
          <w:vanish/>
        </w:rPr>
        <w:t>-300000093751stt:NonUSDebtSecuritiesMemberus-gaap:FairValueMeasurementsRecurringMember2022-09-300000093751us-gaap:FairValueInputsLevel1Memberstt:AssetBackedSecuritiesStudentLoansMemberus-gaap:FairValueMeasurementsRecurringMember2022-09-300000093751us-gaap:</w:t>
      </w:r>
      <w:r>
        <w:rPr>
          <w:rFonts w:ascii="宋体" w:eastAsia="宋体" w:hAnsi="宋体" w:cs="宋体"/>
          <w:vanish/>
        </w:rPr>
        <w:t>FairValueInputsLevel2Memberstt:AssetBackedSecuritiesStudentLoansMemberus-gaap:FairValueMeasurementsRecurringMember2022-09-300000093751us-gaap:FairValueInputsLevel3Memberstt:AssetBackedSecuritiesStudentLoansMemberus-gaap:FairValueMeasurementsRecurringMember</w:t>
      </w:r>
      <w:r>
        <w:rPr>
          <w:rFonts w:ascii="宋体" w:eastAsia="宋体" w:hAnsi="宋体" w:cs="宋体"/>
          <w:vanish/>
        </w:rPr>
        <w:t>2022-09-300000093751us-gaap:FairValueMeasurementsRecurringMemberstt:AssetBackedSecuritiesStudentLoansMember2022-09-300000093751stt:AssetbackedSecuritiesCollateralizedLoanObligationsMemberus-gaap:FairValueInputsLevel1Memberus-gaap:FairValueMeasurementsRecur</w:t>
      </w:r>
      <w:r>
        <w:rPr>
          <w:rFonts w:ascii="宋体" w:eastAsia="宋体" w:hAnsi="宋体" w:cs="宋体"/>
          <w:vanish/>
        </w:rPr>
        <w:t>ringMember2022-09-300000093751us-gaap:FairValueInputsLevel2Memberstt:AssetbackedSecuritiesCollateralizedLoanObligationsMemberus-gaap:FairValueMeasurementsRecurringMember2022-09-300000093751stt:AssetbackedSecuritiesCollateralizedLoanObligationsMemberus-gaap</w:t>
      </w:r>
      <w:r>
        <w:rPr>
          <w:rFonts w:ascii="宋体" w:eastAsia="宋体" w:hAnsi="宋体" w:cs="宋体"/>
          <w:vanish/>
        </w:rPr>
        <w:t>:FairValueInputsLevel3Memberus-gaap:FairValueMeasurementsRecurringMember2022-09-300000093751stt:AssetbackedSecuritiesCollateralizedLoanObligationsMemberus-gaap:FairValueMeasurementsRecurringMember2022-09-300000093751us-gaap:FairValueInputsLevel1Memberus-ga</w:t>
      </w:r>
      <w:r>
        <w:rPr>
          <w:rFonts w:ascii="宋体" w:eastAsia="宋体" w:hAnsi="宋体" w:cs="宋体"/>
          <w:vanish/>
        </w:rPr>
        <w:t>ap:FairValueMeasurementsRecurringMemberstt:NonAgencyCMBSAndRMBSMember2022-09-300000093751us-gaap:FairValueInputsLevel2Memberus-gaap:FairValueMeasurementsRecurringMemberstt:NonAgencyCMBSAndRMBSMember2022-09-300000093751us-gaap:FairValueInputsLevel3Memberus-</w:t>
      </w:r>
      <w:r>
        <w:rPr>
          <w:rFonts w:ascii="宋体" w:eastAsia="宋体" w:hAnsi="宋体" w:cs="宋体"/>
          <w:vanish/>
        </w:rPr>
        <w:t>gaap:FairValueMeasurementsRecurringMemberstt:NonAgencyCMBSAndRMBSMember2022-09-300000093751us-gaap:FairValueMeasurementsRecurringMemberstt:NonAgencyCMBSAndRMBSMember2022-09-300000093751us-gaap:FairValueInputsLevel1Memberus-gaap:FairValueMeasurementsRecurri</w:t>
      </w:r>
      <w:r>
        <w:rPr>
          <w:rFonts w:ascii="宋体" w:eastAsia="宋体" w:hAnsi="宋体" w:cs="宋体"/>
          <w:vanish/>
        </w:rPr>
        <w:t>ngMemberstt:AssetBackedSecuritiesOtherMember2022-09-300000093751us-gaap:FairValueInputsLevel2Memberus-gaap:FairValueMeasurementsRecurringMemberstt:AssetBackedSecuritiesOtherMember2022-09-300000093751us-gaap:FairValueInputsLevel3Memberus-gaap:FairValueMeasu</w:t>
      </w:r>
      <w:r>
        <w:rPr>
          <w:rFonts w:ascii="宋体" w:eastAsia="宋体" w:hAnsi="宋体" w:cs="宋体"/>
          <w:vanish/>
        </w:rPr>
        <w:t>rementsRecurringMemberstt:AssetBackedSecuritiesOtherMember2022-09-300000093751us-gaap:FairValueMeasurementsRecurringMemberstt:AssetBackedSecuritiesOtherMember2022-09-300000093751us-gaap:FairValueInputsLevel1Memberus-gaap:FairValueMeasurementsRecurringMembe</w:t>
      </w:r>
      <w:r>
        <w:rPr>
          <w:rFonts w:ascii="宋体" w:eastAsia="宋体" w:hAnsi="宋体" w:cs="宋体"/>
          <w:vanish/>
        </w:rPr>
        <w:t>rus-gaap:AssetBackedSecuritiesMember2022-09-300000093751us-gaap:FairValueInputsLevel2Memberus-gaap:FairValueMeasurementsRecurringMemberus-gaap:AssetBackedSecuritiesMember2022-09-300000093751us-gaap:FairValueInputsLevel3Memberus-gaap:FairValueMeasurementsRe</w:t>
      </w:r>
      <w:r>
        <w:rPr>
          <w:rFonts w:ascii="宋体" w:eastAsia="宋体" w:hAnsi="宋体" w:cs="宋体"/>
          <w:vanish/>
        </w:rPr>
        <w:t>curringMemberus-gaap:AssetBackedSecuritiesMember2022-09-300000093751us-gaap:FairValueMeasurementsRecurringMemberus-gaap:AssetBackedSecuritiesMember2022-09-300000093751us-gaap:USStatesAndPoliticalSubdivisionsMemberus-gaap:FairValueInputsLevel1Memberus-gaap:</w:t>
      </w:r>
      <w:r>
        <w:rPr>
          <w:rFonts w:ascii="宋体" w:eastAsia="宋体" w:hAnsi="宋体" w:cs="宋体"/>
          <w:vanish/>
        </w:rPr>
        <w:t>FairValueMeasurementsRecurringMember2022-09-300000093751us-gaap:FairValueInputsLevel2Memberus-gaap:USStatesAndPoliticalSubdivisionsMemberus-gaap:FairValueMeasurementsRecurringMember2022-09-300000093751us-gaap:USStatesAndPoliticalSubdivisionsMemberus-gaap:F</w:t>
      </w:r>
      <w:r>
        <w:rPr>
          <w:rFonts w:ascii="宋体" w:eastAsia="宋体" w:hAnsi="宋体" w:cs="宋体"/>
          <w:vanish/>
        </w:rPr>
        <w:t>airValueInputsLevel3Memberus-gaap:FairValueMeasurementsRecurringMember2022-09-300000093751us-gaap:USStatesAndPoliticalSubdivisionsMemberus-gaap:FairValueMeasurementsRecurringMember2022-09-300000093751us-gaap:FairValueInputsLevel1Memberus-gaap:ForeignExchan</w:t>
      </w:r>
      <w:r>
        <w:rPr>
          <w:rFonts w:ascii="宋体" w:eastAsia="宋体" w:hAnsi="宋体" w:cs="宋体"/>
          <w:vanish/>
        </w:rPr>
        <w:t>geContractMemberus-gaap:FairValueMeasurementsRecurringMember2022-09-300000093751us-gaap:FairValueInputsLevel2Memberus-gaap:ForeignExchangeContractMemberus-gaap:FairValueMeasurementsRecurringMember2022-09-300000093751us-gaap:ForeignExchangeContractMemberus-</w:t>
      </w:r>
      <w:r>
        <w:rPr>
          <w:rFonts w:ascii="宋体" w:eastAsia="宋体" w:hAnsi="宋体" w:cs="宋体"/>
          <w:vanish/>
        </w:rPr>
        <w:t>gaap:FairValueInputsLevel3Memberus-gaap:FairValueMeasurementsRecurringMember2022-09-300000093751us-gaap:ForeignExchangeContractMemberus-gaap:FairValueMeasurementsRecurringMember2022-09-300000093751us-gaap:InterestRateContractMemberus-gaap:FairValueInputsLe</w:t>
      </w:r>
      <w:r>
        <w:rPr>
          <w:rFonts w:ascii="宋体" w:eastAsia="宋体" w:hAnsi="宋体" w:cs="宋体"/>
          <w:vanish/>
        </w:rPr>
        <w:t>vel1Memberus-gaap:FairValueMeasurementsRecurringMember2022-09-300000093751us-gaap:FairValueInputsLevel2Memberus-gaap:InterestRateContractMemberus-gaap:FairValueMeasurementsRecurringMember2022-09-300000093751us-gaap:InterestRateContractMemberus-gaap:FairVal</w:t>
      </w:r>
      <w:r>
        <w:rPr>
          <w:rFonts w:ascii="宋体" w:eastAsia="宋体" w:hAnsi="宋体" w:cs="宋体"/>
          <w:vanish/>
        </w:rPr>
        <w:t>ueInputsLevel3Memberus-gaap:FairValueMeasurementsRecurringMember2022-09-300000093751us-gaap:InterestRateContractMemberus-gaap:FairValueMeasurementsRecurringMember2022-09-300000093751us-gaap:OtherCreditDerivativesMemberus-gaap:FairValueInputsLevel1Memberus-</w:t>
      </w:r>
      <w:r>
        <w:rPr>
          <w:rFonts w:ascii="宋体" w:eastAsia="宋体" w:hAnsi="宋体" w:cs="宋体"/>
          <w:vanish/>
        </w:rPr>
        <w:t>gaap:FairValueMeasurementsRecurringMember2022-09-300000093751us-gaap:OtherCreditDerivativesMemberus-gaap:FairValueInputsLevel2Memberus-gaap:FairValueMeasurementsRecurringMember2022-09-300000093751us-gaap:OtherCreditDerivativesMemberus-gaap:FairValueInputsL</w:t>
      </w:r>
      <w:r>
        <w:rPr>
          <w:rFonts w:ascii="宋体" w:eastAsia="宋体" w:hAnsi="宋体" w:cs="宋体"/>
          <w:vanish/>
        </w:rPr>
        <w:t>evel3Memberus-gaap:FairValueMeasurementsRecurringMember2022-09-300000093751us-gaap:OtherCreditDerivativesMemberus-gaap:FairValueMeasurementsRecurringMember2022-09-300000093751us-gaap:FairValueInputsLevel1Memberus-gaap:FairValueMeasurementsRecurringMemberus</w:t>
      </w:r>
      <w:r>
        <w:rPr>
          <w:rFonts w:ascii="宋体" w:eastAsia="宋体" w:hAnsi="宋体" w:cs="宋体"/>
          <w:vanish/>
        </w:rPr>
        <w:t>-gaap:USGovernmentDebtSecuritiesMember2021-12-310000093751us-gaap:FairValueInputsLevel2Memberus-gaap:FairValueMeasurementsRecurringMemberus-gaap:USGovernmentDebtSecuritiesMember2021-12-310000093751us-gaap:FairValueInputsLevel3Memberus-gaap:FairValueMeasure</w:t>
      </w:r>
      <w:r>
        <w:rPr>
          <w:rFonts w:ascii="宋体" w:eastAsia="宋体" w:hAnsi="宋体" w:cs="宋体"/>
          <w:vanish/>
        </w:rPr>
        <w:t>mentsRecurringMemberus-gaap:USGovernmentDebtSecuritiesMember2021-12-310000093751us-gaap:FairValueMeasurementsRecurringMemberus-gaap:USGovernmentDebtSecuritiesMember2021-12-310000093751us-gaap:FairValueInputsLevel1Memberus-gaap:ForeignGovernmentDebtSecuriti</w:t>
      </w:r>
      <w:r>
        <w:rPr>
          <w:rFonts w:ascii="宋体" w:eastAsia="宋体" w:hAnsi="宋体" w:cs="宋体"/>
          <w:vanish/>
        </w:rPr>
        <w:t>esMemberus-gaap:FairValueMeasurementsRecurringMember2021-12-310000093751us-gaap:FairValueInputsLevel2Memberus-gaap:ForeignGovernmentDebtSecuritiesMemberus-gaap:FairValueMeasurementsRecurringMember2021-12-310000093751us-gaap:FairValueInputsLevel3Memberus-ga</w:t>
      </w:r>
      <w:r>
        <w:rPr>
          <w:rFonts w:ascii="宋体" w:eastAsia="宋体" w:hAnsi="宋体" w:cs="宋体"/>
          <w:vanish/>
        </w:rPr>
        <w:t>ap:ForeignGovernmentDebtSecuritiesMemberus-gaap:FairValueMeasurementsRecurringMember2021-12-310000093751us-gaap:FairValueMeasurementsRecurringMemberus-gaap:ForeignGovernmentDebtSecuritiesMember2021-12-310000093751us-gaap:OtherDebtSecuritiesMemberus-gaap:Fa</w:t>
      </w:r>
      <w:r>
        <w:rPr>
          <w:rFonts w:ascii="宋体" w:eastAsia="宋体" w:hAnsi="宋体" w:cs="宋体"/>
          <w:vanish/>
        </w:rPr>
        <w:t>irValueInputsLevel1Memberus-gaap:FairValueMeasurementsRecurringMember2021-12-310000093751us-gaap:FairValueInputsLevel2Memberus-gaap:OtherDebtSecuritiesMemberus-gaap:FairValueMeasurementsRecurringMember2021-12-310000093751us-gaap:OtherDebtSecuritiesMemberus</w:t>
      </w:r>
      <w:r>
        <w:rPr>
          <w:rFonts w:ascii="宋体" w:eastAsia="宋体" w:hAnsi="宋体" w:cs="宋体"/>
          <w:vanish/>
        </w:rPr>
        <w:t>-gaap:FairValueInputsLevel3Memberus-gaap:FairValueMeasurementsRecurringMember2021-12-310000093751us-gaap:OtherDebtSecuritiesMemberus-gaap:FairValueMeasurementsRecurringMember2021-12-310000093751us-gaap:FairValueInputsLevel1Memberus-gaap:FairValueMeasuremen</w:t>
      </w:r>
      <w:r>
        <w:rPr>
          <w:rFonts w:ascii="宋体" w:eastAsia="宋体" w:hAnsi="宋体" w:cs="宋体"/>
          <w:vanish/>
        </w:rPr>
        <w:t>tsRecurringMember2021-12-310000093751us-gaap:FairValueInputsLevel2Memberus-gaap:FairValueMeasurementsRecurringMember2021-12-310000093751us-gaap:FairValueInputsLevel3Memberus-gaap:FairValueMeasurementsRecurringMember2021-12-310000093751us-gaap:FairValueMeas</w:t>
      </w:r>
      <w:r>
        <w:rPr>
          <w:rFonts w:ascii="宋体" w:eastAsia="宋体" w:hAnsi="宋体" w:cs="宋体"/>
          <w:vanish/>
        </w:rPr>
        <w:t>urementsRecurringMember2021-12-310000093751stt:UsTreasuryAndFederalAgenciesDirectObligationsMemberus-gaap:FairValueInputsLevel1Memberus-gaap:FairValueMeasurementsRecurringMember2021-12-310000093751us-gaap:FairValueInputsLevel2Memberstt:UsTreasuryAndFederal</w:t>
      </w:r>
      <w:r>
        <w:rPr>
          <w:rFonts w:ascii="宋体" w:eastAsia="宋体" w:hAnsi="宋体" w:cs="宋体"/>
          <w:vanish/>
        </w:rPr>
        <w:t>AgenciesDirectObligationsMemberus-gaap:FairValueMeasurementsRecurringMember2021-12-310000093751stt:UsTreasuryAndFederalAgenciesDirectObligationsMemberus-gaap:FairValueInputsLevel3Memberus-gaap:FairValueMeasurementsRecurringMember2021-12-310000093751stt:UsT</w:t>
      </w:r>
      <w:r>
        <w:rPr>
          <w:rFonts w:ascii="宋体" w:eastAsia="宋体" w:hAnsi="宋体" w:cs="宋体"/>
          <w:vanish/>
        </w:rPr>
        <w:t>reasuryAndFederalAgenciesDirectObligationsMemberus-gaap:FairValueMeasurementsRecurringMember2021-12-310000093751stt:UsTreasuryAndFederalAgenciesMortgageBackedSecuritiesMemberus-gaap:FairValueInputsLevel1Memberus-gaap:FairValueMeasurementsRecurringMember202</w:t>
      </w:r>
      <w:r>
        <w:rPr>
          <w:rFonts w:ascii="宋体" w:eastAsia="宋体" w:hAnsi="宋体" w:cs="宋体"/>
          <w:vanish/>
        </w:rPr>
        <w:t>1-12-310000093751us-gaap:FairValueInputsLevel2Memberstt:UsTreasuryAndFederalAgenciesMortgageBackedSecuritiesMemberus-gaap:FairValueMeasurementsRecurringMember2021-12-310000093751stt:UsTreasuryAndFederalAgenciesMortgageBackedSecuritiesMemberus-gaap:FairValu</w:t>
      </w:r>
      <w:r>
        <w:rPr>
          <w:rFonts w:ascii="宋体" w:eastAsia="宋体" w:hAnsi="宋体" w:cs="宋体"/>
          <w:vanish/>
        </w:rPr>
        <w:t>eInputsLevel3Memberus-gaap:FairValueMeasurementsRecurringMember2021-12-310000093751stt:UsTreasuryAndFederalAgenciesMortgageBackedSecuritiesMemberus-gaap:FairValueMeasurementsRecurringMember2021-12-310000093751us-gaap:USTreasuryAndGovernmentMemberus-gaap:Fa</w:t>
      </w:r>
      <w:r>
        <w:rPr>
          <w:rFonts w:ascii="宋体" w:eastAsia="宋体" w:hAnsi="宋体" w:cs="宋体"/>
          <w:vanish/>
        </w:rPr>
        <w:t>irValueInputsLevel1Memberus-gaap:FairValueMeasurementsRecurringMember2021-12-310000093751us-gaap:FairValueInputsLevel2Memberus-gaap:USTreasuryAndGovernmentMemberus-gaap:FairValueMeasurementsRecurringMember2021-12-310000093751us-gaap:USTreasuryAndGovernment</w:t>
      </w:r>
      <w:r>
        <w:rPr>
          <w:rFonts w:ascii="宋体" w:eastAsia="宋体" w:hAnsi="宋体" w:cs="宋体"/>
          <w:vanish/>
        </w:rPr>
        <w:t>Memberus-gaap:FairValueInputsLevel3Memberus-gaap:FairValueMeasurementsRecurringMember2021-12-310000093751us-gaap:USTreasuryAndGovernmentMemberus-gaap:FairValueMeasurementsRecurringMember2021-12-310000093751stt:NonUsDebtSecuritiesMortgageBackedSecuritiesMem</w:t>
      </w:r>
      <w:r>
        <w:rPr>
          <w:rFonts w:ascii="宋体" w:eastAsia="宋体" w:hAnsi="宋体" w:cs="宋体"/>
          <w:vanish/>
        </w:rPr>
        <w:t>berus-gaap:FairValueInputsLevel1Memberus-gaap:FairValueMeasurementsRecurringMember2021-12-310000093751us-gaap:FairValueInputsLevel2Memberstt:NonUsDebtSecuritiesMortgageBackedSecuritiesMemberus-gaap:FairValueMeasurementsRecurringMember2021-12-310000093751st</w:t>
      </w:r>
      <w:r>
        <w:rPr>
          <w:rFonts w:ascii="宋体" w:eastAsia="宋体" w:hAnsi="宋体" w:cs="宋体"/>
          <w:vanish/>
        </w:rPr>
        <w:t>t:NonUsDebtSecuritiesMortgageBackedSecuritiesMemberus-gaap:FairValueInputsLevel3Memberus-gaap:FairValueMeasurementsRecurringMember2021-12-310000093751stt:NonUsDebtSecuritiesMortgageBackedSecuritiesMemberus-gaap:FairValueMeasurementsRecurringMember2021-12-3</w:t>
      </w:r>
      <w:r>
        <w:rPr>
          <w:rFonts w:ascii="宋体" w:eastAsia="宋体" w:hAnsi="宋体" w:cs="宋体"/>
          <w:vanish/>
        </w:rPr>
        <w:t>10000093751stt:NonUsDebtSecuritiesAssetBackedSecuritiesMemberus-gaap:FairValueInputsLevel1Memberus-gaap:FairValueMeasurementsRecurringMember2021-12-310000093751us-gaap:FairValueInputsLevel2Memberstt:NonUsDebtSecuritiesAssetBackedSecuritiesMemberus-gaap:Fai</w:t>
      </w:r>
      <w:r>
        <w:rPr>
          <w:rFonts w:ascii="宋体" w:eastAsia="宋体" w:hAnsi="宋体" w:cs="宋体"/>
          <w:vanish/>
        </w:rPr>
        <w:t>rValueMeasurementsRecurringMember2021-12-310000093751stt:NonUsDebtSecuritiesAssetBackedSecuritiesMemberus-gaap:FairValueInputsLevel3Memberus-gaap:FairValueMeasurementsRecurringMember2021-12-310000093751stt:NonUsDebtSecuritiesAssetBackedSecuritiesMemberus-g</w:t>
      </w:r>
      <w:r>
        <w:rPr>
          <w:rFonts w:ascii="宋体" w:eastAsia="宋体" w:hAnsi="宋体" w:cs="宋体"/>
          <w:vanish/>
        </w:rPr>
        <w:t>aap:FairValueMeasurementsRecurringMember2021-12-310000093751stt:NonUSDebtSecuritiesForeignSovereignSupranationalAndNonAgencySecuritiesMemberus-gaap:FairValueInputsLevel1Memberus-gaap:FairValueMeasurementsRecurringMember2021-12-310000093751us-gaap:FairValue</w:t>
      </w:r>
      <w:r>
        <w:rPr>
          <w:rFonts w:ascii="宋体" w:eastAsia="宋体" w:hAnsi="宋体" w:cs="宋体"/>
          <w:vanish/>
        </w:rPr>
        <w:t>InputsLevel2Memberstt:NonUSDebtSecuritiesForeignSovereignSupranationalAndNonAgencySecuritiesMemberus-gaap:FairValueMeasurementsRecurringMember2021-12-310000093751stt:NonUSDebtSecuritiesForeignSovereignSupranationalAndNonAgencySecuritiesMemberus-gaap:FairVa</w:t>
      </w:r>
      <w:r>
        <w:rPr>
          <w:rFonts w:ascii="宋体" w:eastAsia="宋体" w:hAnsi="宋体" w:cs="宋体"/>
          <w:vanish/>
        </w:rPr>
        <w:t>lueInputsLevel3Memberus-gaap:FairValueMeasurementsRecurringMember2021-12-310000093751stt:NonUSDebtSecuritiesForeignSovereignSupranationalAndNonAgencySecuritiesMemberus-gaap:FairValueMeasurementsRecurringMember2021-12-310000093751stt:NonUsDebtSecuritiesOthe</w:t>
      </w:r>
      <w:r>
        <w:rPr>
          <w:rFonts w:ascii="宋体" w:eastAsia="宋体" w:hAnsi="宋体" w:cs="宋体"/>
          <w:vanish/>
        </w:rPr>
        <w:t>rMemberus-gaap:FairValueInputsLevel1Memberus-gaap:FairValueMeasurementsRecurringMember2021-12-310000093751us-gaap:FairValueInputsLevel2Memberstt:NonUsDebtSecuritiesOtherMemberus-gaap:FairValueMeasurementsRecurringMember2021-12-310000093751stt:NonUsDebtSecu</w:t>
      </w:r>
      <w:r>
        <w:rPr>
          <w:rFonts w:ascii="宋体" w:eastAsia="宋体" w:hAnsi="宋体" w:cs="宋体"/>
          <w:vanish/>
        </w:rPr>
        <w:t>ritiesOtherMemberus-gaap:FairValueInputsLevel3Memberus-gaap:FairValueMeasurementsRecurringMember2021-12-310000093751stt:NonUsDebtSecuritiesOtherMemberus-gaap:FairValueMeasurementsRecurringMember2021-12-310000093751stt:NonUSDebtSecuritiesMemberus-gaap:FairV</w:t>
      </w:r>
      <w:r>
        <w:rPr>
          <w:rFonts w:ascii="宋体" w:eastAsia="宋体" w:hAnsi="宋体" w:cs="宋体"/>
          <w:vanish/>
        </w:rPr>
        <w:t>alueInputsLevel1Memberus-gaap:FairValueMeasurementsRecurringMember2021-12-310000093751us-gaap:FairValueInputsLevel2Memberstt:NonUSDebtSecuritiesMemberus-gaap:FairValueMeasurementsRecurringMember2021-12-310000093751stt:NonUSDebtSecuritiesMemberus-gaap:FairV</w:t>
      </w:r>
      <w:r>
        <w:rPr>
          <w:rFonts w:ascii="宋体" w:eastAsia="宋体" w:hAnsi="宋体" w:cs="宋体"/>
          <w:vanish/>
        </w:rPr>
        <w:t>alueInputsLevel3Memberus-gaap:FairValueMeasurementsRecurringMember2021-12-310000093751stt:NonUSDebtSecuritiesMemberus-gaap:FairValueMeasurementsRecurringMember2021-12-310000093751us-gaap:FairValueInputsLevel1Memberstt:AssetBackedSecuritiesStudentLoansMembe</w:t>
      </w:r>
      <w:r>
        <w:rPr>
          <w:rFonts w:ascii="宋体" w:eastAsia="宋体" w:hAnsi="宋体" w:cs="宋体"/>
          <w:vanish/>
        </w:rPr>
        <w:t>rus-gaap:FairValueMeasurementsRecurringMember2021-12-310000093751us-gaap:FairValueInputsLevel2Memberstt:AssetBackedSecuritiesStudentLoansMemberus-gaap:FairValueMeasurementsRecurringMember2021-12-310000093751us-gaap:FairValueInputsLevel3Memberstt:AssetBacke</w:t>
      </w:r>
      <w:r>
        <w:rPr>
          <w:rFonts w:ascii="宋体" w:eastAsia="宋体" w:hAnsi="宋体" w:cs="宋体"/>
          <w:vanish/>
        </w:rPr>
        <w:t>dSecuritiesStudentLoansMemberus-gaap:FairValueMeasurementsRecurringMember2021-12-310000093751us-gaap:FairValueMeasurementsRecurringMemberstt:AssetBackedSecuritiesStudentLoansMember2021-12-310000093751stt:AssetbackedSecuritiesCollateralizedLoanObligationsMe</w:t>
      </w:r>
      <w:r>
        <w:rPr>
          <w:rFonts w:ascii="宋体" w:eastAsia="宋体" w:hAnsi="宋体" w:cs="宋体"/>
          <w:vanish/>
        </w:rPr>
        <w:t>mberus-gaap:FairValueInputsLevel1Memberus-gaap:FairValueMeasurementsRecurringMember2021-12-310000093751us-gaap:FairValueInputsLevel2Memberstt:AssetbackedSecuritiesCollateralizedLoanObligationsMemberus-gaap:FairValueMeasurementsRecurringMember2021-12-310000</w:t>
      </w:r>
      <w:r>
        <w:rPr>
          <w:rFonts w:ascii="宋体" w:eastAsia="宋体" w:hAnsi="宋体" w:cs="宋体"/>
          <w:vanish/>
        </w:rPr>
        <w:t>093751stt:AssetbackedSecuritiesCollateralizedLoanObligationsMemberus-gaap:FairValueInputsLevel3Memberus-gaap:FairValueMeasurementsRecurringMember2021-12-310000093751stt:AssetbackedSecuritiesCollateralizedLoanObligationsMemberus-gaap:FairValueMeasurementsRe</w:t>
      </w:r>
      <w:r>
        <w:rPr>
          <w:rFonts w:ascii="宋体" w:eastAsia="宋体" w:hAnsi="宋体" w:cs="宋体"/>
          <w:vanish/>
        </w:rPr>
        <w:t>curringMember2021-12-310000093751us-gaap:FairValueInputsLevel1Memberus-gaap:FairValueMeasurementsRecurringMemberstt:NonAgencyCMBSAndRMBSMember2021-12-310000093751us-gaap:FairValueInputsLevel2Memberus-gaap:FairValueMeasurementsRecurringMemberstt:NonAgencyCM</w:t>
      </w:r>
      <w:r>
        <w:rPr>
          <w:rFonts w:ascii="宋体" w:eastAsia="宋体" w:hAnsi="宋体" w:cs="宋体"/>
          <w:vanish/>
        </w:rPr>
        <w:t>BSAndRMBSMember2021-12-310000093751us-gaap:FairValueInputsLevel3Memberus-gaap:FairValueMeasurementsRecurringMemberstt:NonAgencyCMBSAndRMBSMember2021-12-310000093751us-gaap:FairValueMeasurementsRecurringMemberstt:NonAgencyCMBSAndRMBSMember2021-12-3100000937</w:t>
      </w:r>
      <w:r>
        <w:rPr>
          <w:rFonts w:ascii="宋体" w:eastAsia="宋体" w:hAnsi="宋体" w:cs="宋体"/>
          <w:vanish/>
        </w:rPr>
        <w:t>51us-gaap:FairValueInputsLevel1Memberus-gaap:FairValueMeasurementsRecurringMemberstt:AssetBackedSecuritiesOtherMember2021-12-310000093751us-gaap:FairValueInputsLevel2Memberus-gaap:FairValueMeasurementsRecurringMemberstt:AssetBackedSecuritiesOtherMember2021</w:t>
      </w:r>
      <w:r>
        <w:rPr>
          <w:rFonts w:ascii="宋体" w:eastAsia="宋体" w:hAnsi="宋体" w:cs="宋体"/>
          <w:vanish/>
        </w:rPr>
        <w:t>-12-310000093751us-gaap:FairValueInputsLevel3Memberus-gaap:FairValueMeasurementsRecurringMemberstt:AssetBackedSecuritiesOtherMember2021-12-310000093751us-gaap:FairValueMeasurementsRecurringMemberstt:AssetBackedSecuritiesOtherMember2021-12-310000093751us-ga</w:t>
      </w:r>
      <w:r>
        <w:rPr>
          <w:rFonts w:ascii="宋体" w:eastAsia="宋体" w:hAnsi="宋体" w:cs="宋体"/>
          <w:vanish/>
        </w:rPr>
        <w:t>ap:FairValueInputsLevel1Memberus-gaap:FairValueMeasurementsRecurringMemberus-gaap:AssetBackedSecuritiesMember2021-12-310000093751us-gaap:FairValueInputsLevel2Memberus-gaap:FairValueMeasurementsRecurringMemberus-gaap:AssetBackedSecuritiesMember2021-12-31000</w:t>
      </w:r>
      <w:r>
        <w:rPr>
          <w:rFonts w:ascii="宋体" w:eastAsia="宋体" w:hAnsi="宋体" w:cs="宋体"/>
          <w:vanish/>
        </w:rPr>
        <w:t>0093751us-gaap:FairValueInputsLevel3Memberus-gaap:FairValueMeasurementsRecurringMemberus-gaap:AssetBackedSecuritiesMember2021-12-310000093751us-gaap:FairValueMeasurementsRecurringMemberus-gaap:AssetBackedSecuritiesMember2021-12-310000093751us-gaap:USStates</w:t>
      </w:r>
      <w:r>
        <w:rPr>
          <w:rFonts w:ascii="宋体" w:eastAsia="宋体" w:hAnsi="宋体" w:cs="宋体"/>
          <w:vanish/>
        </w:rPr>
        <w:t>AndPoliticalSubdivisionsMemberus-gaap:FairValueInputsLevel1Memberus-gaap:FairValueMeasurementsRecurringMember2021-12-310000093751us-gaap:FairValueInputsLevel2Memberus-gaap:USStatesAndPoliticalSubdivisionsMemberus-gaap:FairValueMeasurementsRecurringMember20</w:t>
      </w:r>
      <w:r>
        <w:rPr>
          <w:rFonts w:ascii="宋体" w:eastAsia="宋体" w:hAnsi="宋体" w:cs="宋体"/>
          <w:vanish/>
        </w:rPr>
        <w:t>21-12-310000093751us-gaap:USStatesAndPoliticalSubdivisionsMemberus-gaap:FairValueInputsLevel3Memberus-gaap:FairValueMeasurementsRecurringMember2021-12-310000093751us-gaap:USStatesAndPoliticalSubdivisionsMemberus-gaap:FairValueMeasurementsRecurringMember202</w:t>
      </w:r>
      <w:r>
        <w:rPr>
          <w:rFonts w:ascii="宋体" w:eastAsia="宋体" w:hAnsi="宋体" w:cs="宋体"/>
          <w:vanish/>
        </w:rPr>
        <w:t>1-12-310000093751us-gaap:FairValueInputsLevel1Memberus-gaap:ForeignExchangeContractMemberus-gaap:FairValueMeasurementsRecurringMember2021-12-310000093751us-gaap:FairValueInputsLevel2Memberus-gaap:ForeignExchangeContractMemberus-gaap:FairValueMeasurementsRe</w:t>
      </w:r>
      <w:r>
        <w:rPr>
          <w:rFonts w:ascii="宋体" w:eastAsia="宋体" w:hAnsi="宋体" w:cs="宋体"/>
          <w:vanish/>
        </w:rPr>
        <w:t>curringMember2021-12-310000093751us-gaap:ForeignExchangeContractMemberus-gaap:FairValueInputsLevel3Memberus-gaap:FairValueMeasurementsRecurringMember2021-12-310000093751us-gaap:ForeignExchangeContractMemberus-gaap:FairValueMeasurementsRecurringMember2021-1</w:t>
      </w:r>
      <w:r>
        <w:rPr>
          <w:rFonts w:ascii="宋体" w:eastAsia="宋体" w:hAnsi="宋体" w:cs="宋体"/>
          <w:vanish/>
        </w:rPr>
        <w:t>2-310000093751us-gaap:InterestRateContractMemberus-gaap:FairValueInputsLevel1Memberus-gaap:FairValueMeasurementsRecurringMember2021-12-310000093751us-gaap:FairValueInputsLevel2Memberus-gaap:InterestRateContractMemberus-gaap:FairValueMeasurementsRecurringMe</w:t>
      </w:r>
      <w:r>
        <w:rPr>
          <w:rFonts w:ascii="宋体" w:eastAsia="宋体" w:hAnsi="宋体" w:cs="宋体"/>
          <w:vanish/>
        </w:rPr>
        <w:t>mber2021-12-310000093751us-gaap:InterestRateContractMemberus-gaap:FairValueInputsLevel3Memberus-gaap:FairValueMeasurementsRecurringMember2021-12-310000093751us-gaap:InterestRateContractMemberus-gaap:FairValueMeasurementsRecurringMember2021-12-310000093751u</w:t>
      </w:r>
      <w:r>
        <w:rPr>
          <w:rFonts w:ascii="宋体" w:eastAsia="宋体" w:hAnsi="宋体" w:cs="宋体"/>
          <w:vanish/>
        </w:rPr>
        <w:t>s-gaap:OtherCreditDerivativesMemberus-gaap:FairValueInputsLevel1Memberus-gaap:FairValueMeasurementsRecurringMember2021-12-310000093751us-gaap:OtherCreditDerivativesMemberus-gaap:FairValueInputsLevel2Memberus-gaap:FairValueMeasurementsRecurringMember2021-12</w:t>
      </w:r>
      <w:r>
        <w:rPr>
          <w:rFonts w:ascii="宋体" w:eastAsia="宋体" w:hAnsi="宋体" w:cs="宋体"/>
          <w:vanish/>
        </w:rPr>
        <w:t>-310000093751us-gaap:OtherCreditDerivativesMemberus-gaap:FairValueInputsLevel3Memberus-gaap:FairValueMeasurementsRecurringMember2021-12-310000093751us-gaap:OtherCreditDerivativesMemberus-gaap:FairValueMeasurementsRecurringMember2021-12-310000093751us-gaap:</w:t>
      </w:r>
      <w:r>
        <w:rPr>
          <w:rFonts w:ascii="宋体" w:eastAsia="宋体" w:hAnsi="宋体" w:cs="宋体"/>
          <w:vanish/>
        </w:rPr>
        <w:t>ForeignExchangeContractMember2022-06-300000093751us-gaap:ForeignExchangeContractMember2022-07-012022-09-300000093751us-gaap:ForeignExchangeContractMember2022-09-300000093751us-gaap:DerivativeFinancialInstrumentsAssetsMember2022-06-300000093751us-gaap:Deriv</w:t>
      </w:r>
      <w:r>
        <w:rPr>
          <w:rFonts w:ascii="宋体" w:eastAsia="宋体" w:hAnsi="宋体" w:cs="宋体"/>
          <w:vanish/>
        </w:rPr>
        <w:t>ativeFinancialInstrumentsAssetsMember2022-07-012022-09-300000093751us-gaap:DerivativeFinancialInstrumentsAssetsMember2022-09-300000093751us-gaap:ForeignExchangeContractMember2021-12-310000093751us-gaap:ForeignExchangeContractMember2022-01-012022-09-3000000</w:t>
      </w:r>
      <w:r>
        <w:rPr>
          <w:rFonts w:ascii="宋体" w:eastAsia="宋体" w:hAnsi="宋体" w:cs="宋体"/>
          <w:vanish/>
        </w:rPr>
        <w:t>93751us-gaap:DerivativeFinancialInstrumentsAssetsMember2021-12-310000093751us-gaap:DerivativeFinancialInstrumentsAssetsMember2022-01-012022-09-300000093751us-gaap:ForeignExchangeContractMember2021-06-300000093751us-gaap:ForeignExchangeContractMember2021-07</w:t>
      </w:r>
      <w:r>
        <w:rPr>
          <w:rFonts w:ascii="宋体" w:eastAsia="宋体" w:hAnsi="宋体" w:cs="宋体"/>
          <w:vanish/>
        </w:rPr>
        <w:t>-012021-09-300000093751us-gaap:ForeignExchangeContractMember2021-09-300000093751us-gaap:DerivativeFinancialInstrumentsAssetsMember2021-06-300000093751us-gaap:DerivativeFinancialInstrumentsAssetsMember2021-07-012021-09-300000093751us-gaap:DerivativeFinancia</w:t>
      </w:r>
      <w:r>
        <w:rPr>
          <w:rFonts w:ascii="宋体" w:eastAsia="宋体" w:hAnsi="宋体" w:cs="宋体"/>
          <w:vanish/>
        </w:rPr>
        <w:t>lInstrumentsAssetsMember2021-09-300000093751stt:AssetbackedSecuritiesCollateralizedLoanObligationsMember2020-12-310000093751stt:AssetbackedSecuritiesCollateralizedLoanObligationsMember2021-01-012021-09-300000093751stt:AssetbackedSecuritiesCollateralizedLoa</w:t>
      </w:r>
      <w:r>
        <w:rPr>
          <w:rFonts w:ascii="宋体" w:eastAsia="宋体" w:hAnsi="宋体" w:cs="宋体"/>
          <w:vanish/>
        </w:rPr>
        <w:t>nObligationsMember2021-09-300000093751us-gaap:AssetBackedSecuritiesMember2020-12-310000093751us-gaap:AssetBackedSecuritiesMember2021-01-012021-09-300000093751us-gaap:AssetBackedSecuritiesMember2021-09-300000093751us-gaap:OtherDebtSecuritiesMember2020-12-31</w:t>
      </w:r>
      <w:r>
        <w:rPr>
          <w:rFonts w:ascii="宋体" w:eastAsia="宋体" w:hAnsi="宋体" w:cs="宋体"/>
          <w:vanish/>
        </w:rPr>
        <w:t>0000093751us-gaap:OtherDebtSecuritiesMember2021-01-012021-09-300000093751us-gaap:OtherDebtSecuritiesMember2021-09-300000093751us-gaap:AvailableforsaleSecuritiesMember2020-12-310000093751us-gaap:AvailableforsaleSecuritiesMember2021-01-012021-09-300000093751</w:t>
      </w:r>
      <w:r>
        <w:rPr>
          <w:rFonts w:ascii="宋体" w:eastAsia="宋体" w:hAnsi="宋体" w:cs="宋体"/>
          <w:vanish/>
        </w:rPr>
        <w:t>us-gaap:AvailableforsaleSecuritiesMember2021-09-300000093751us-gaap:ForeignExchangeContractMember2020-12-310000093751us-gaap:ForeignExchangeContractMember2021-01-012021-09-300000093751us-gaap:DerivativeFinancialInstrumentsAssetsMember2020-12-310000093751us</w:t>
      </w:r>
      <w:r>
        <w:rPr>
          <w:rFonts w:ascii="宋体" w:eastAsia="宋体" w:hAnsi="宋体" w:cs="宋体"/>
          <w:vanish/>
        </w:rPr>
        <w:t>-gaap:DerivativeFinancialInstrumentsAssetsMember2021-01-012021-09-300000093751us-gaap:DerivativeFinancialInstrumentsAssetsMemberus-gaap:FairValueInputsLevel3Memberstt:SignificantUnobservableInputsReadilyAvailableMember2022-09-300000093751us-gaap:Derivative</w:t>
      </w:r>
      <w:r>
        <w:rPr>
          <w:rFonts w:ascii="宋体" w:eastAsia="宋体" w:hAnsi="宋体" w:cs="宋体"/>
          <w:vanish/>
        </w:rPr>
        <w:t>FinancialInstrumentsAssetsMemberus-gaap:FairValueInputsLevel3Memberstt:SignificantUnobservableInputsReadilyAvailableMember2021-12-310000093751us-gaap:ValuationTechniqueOptionPricingModelMemberus-gaap:MeasurementInputOptionVolatilityMemberus-gaap:Derivative</w:t>
      </w:r>
      <w:r>
        <w:rPr>
          <w:rFonts w:ascii="宋体" w:eastAsia="宋体" w:hAnsi="宋体" w:cs="宋体"/>
          <w:vanish/>
        </w:rPr>
        <w:t>FinancialInstrumentsAssetsMemberus-gaap:FairValueInputsLevel3Membersrt:MinimumMember2022-09-30xbrli:pure0000093751us-gaap:ValuationTechniqueOptionPricingModelMemberus-gaap:MeasurementInputOptionVolatilityMemberus-gaap:DerivativeFinancialInstrumentsAssetsMe</w:t>
      </w:r>
      <w:r>
        <w:rPr>
          <w:rFonts w:ascii="宋体" w:eastAsia="宋体" w:hAnsi="宋体" w:cs="宋体"/>
          <w:vanish/>
        </w:rPr>
        <w:t>mberus-gaap:FairValueInputsLevel3Membersrt:MaximumMember2022-09-300000093751us-gaap:ValuationTechniqueOptionPricingModelMemberus-gaap:MeasurementInputOptionVolatilityMemberus-gaap:DerivativeFinancialInstrumentsAssetsMemberus-gaap:FairValueInputsLevel3Membe</w:t>
      </w:r>
      <w:r>
        <w:rPr>
          <w:rFonts w:ascii="宋体" w:eastAsia="宋体" w:hAnsi="宋体" w:cs="宋体"/>
          <w:vanish/>
        </w:rPr>
        <w:t>rsrt:WeightedAverageMember2022-09-300000093751us-gaap:ValuationTechniqueOptionPricingModelMemberus-gaap:MeasurementInputOptionVolatilityMemberus-gaap:DerivativeFinancialInstrumentsAssetsMemberus-gaap:FairValueInputsLevel3Membersrt:WeightedAverageMember2021</w:t>
      </w:r>
      <w:r>
        <w:rPr>
          <w:rFonts w:ascii="宋体" w:eastAsia="宋体" w:hAnsi="宋体" w:cs="宋体"/>
          <w:vanish/>
        </w:rPr>
        <w:t>-12-310000093751us-gaap:FairValueInputsLevel3Memberstt:SignificantUnobservableInputsReadilyAvailableMember2022-09-300000093751us-gaap:FairValueInputsLevel3Memberstt:SignificantUnobservableInputsReadilyAvailableMember2021-12-310000093751us-gaap:DerivativeFi</w:t>
      </w:r>
      <w:r>
        <w:rPr>
          <w:rFonts w:ascii="宋体" w:eastAsia="宋体" w:hAnsi="宋体" w:cs="宋体"/>
          <w:vanish/>
        </w:rPr>
        <w:t>nancialInstrumentsLiabilitiesMemberus-gaap:FairValueInputsLevel3Memberstt:SignificantUnobservableInputsReadilyAvailableMember2022-09-300000093751us-gaap:DerivativeFinancialInstrumentsLiabilitiesMemberus-gaap:FairValueInputsLevel3Memberstt:SignificantUnobse</w:t>
      </w:r>
      <w:r>
        <w:rPr>
          <w:rFonts w:ascii="宋体" w:eastAsia="宋体" w:hAnsi="宋体" w:cs="宋体"/>
          <w:vanish/>
        </w:rPr>
        <w:t>rvableInputsReadilyAvailableMember2021-12-310000093751us-gaap:ValuationTechniqueOptionPricingModelMemberus-gaap:DerivativeFinancialInstrumentsLiabilitiesMemberus-gaap:MeasurementInputOptionVolatilityMemberus-gaap:FairValueInputsLevel3Membersrt:MinimumMembe</w:t>
      </w:r>
      <w:r>
        <w:rPr>
          <w:rFonts w:ascii="宋体" w:eastAsia="宋体" w:hAnsi="宋体" w:cs="宋体"/>
          <w:vanish/>
        </w:rPr>
        <w:t>r2022-09-300000093751us-gaap:ValuationTechniqueOptionPricingModelMemberus-gaap:DerivativeFinancialInstrumentsLiabilitiesMemberus-gaap:MeasurementInputOptionVolatilityMemberus-gaap:FairValueInputsLevel3Membersrt:MaximumMember2022-09-300000093751us-gaap:Valu</w:t>
      </w:r>
      <w:r>
        <w:rPr>
          <w:rFonts w:ascii="宋体" w:eastAsia="宋体" w:hAnsi="宋体" w:cs="宋体"/>
          <w:vanish/>
        </w:rPr>
        <w:t>ationTechniqueOptionPricingModelMemberus-gaap:DerivativeFinancialInstrumentsLiabilitiesMemberus-gaap:MeasurementInputOptionVolatilityMemberus-gaap:FairValueInputsLevel3Membersrt:WeightedAverageMember2022-09-300000093751us-gaap:ValuationTechniqueOptionPrici</w:t>
      </w:r>
      <w:r>
        <w:rPr>
          <w:rFonts w:ascii="宋体" w:eastAsia="宋体" w:hAnsi="宋体" w:cs="宋体"/>
          <w:vanish/>
        </w:rPr>
        <w:t>ngModelMemberus-gaap:DerivativeFinancialInstrumentsLiabilitiesMemberus-gaap:MeasurementInputOptionVolatilityMemberus-gaap:FairValueInputsLevel3Membersrt:WeightedAverageMember2021-12-310000093751us-gaap:CarryingReportedAmountFairValueDisclosureMember2022-09</w:t>
      </w:r>
      <w:r>
        <w:rPr>
          <w:rFonts w:ascii="宋体" w:eastAsia="宋体" w:hAnsi="宋体" w:cs="宋体"/>
          <w:vanish/>
        </w:rPr>
        <w:t>-300000093751us-gaap:EstimateOfFairValueFairValueDisclosureMember2022-09-300000093751us-gaap:EstimateOfFairValueFairValueDisclosureMemberus-gaap:FairValueInputsLevel1Member2022-09-300000093751us-gaap:FairValueInputsLevel2Memberus-gaap:EstimateOfFairValueFa</w:t>
      </w:r>
      <w:r>
        <w:rPr>
          <w:rFonts w:ascii="宋体" w:eastAsia="宋体" w:hAnsi="宋体" w:cs="宋体"/>
          <w:vanish/>
        </w:rPr>
        <w:t>irValueDisclosureMember2022-09-300000093751us-gaap:EstimateOfFairValueFairValueDisclosureMemberus-gaap:FairValueInputsLevel3Member2022-09-300000093751us-gaap:FairValueInputsLevel2Member2022-09-300000093751us-gaap:CarryingReportedAmountFairValueDisclosureMe</w:t>
      </w:r>
      <w:r>
        <w:rPr>
          <w:rFonts w:ascii="宋体" w:eastAsia="宋体" w:hAnsi="宋体" w:cs="宋体"/>
          <w:vanish/>
        </w:rPr>
        <w:t>mber2021-12-310000093751us-gaap:EstimateOfFairValueFairValueDisclosureMember2021-12-310000093751us-gaap:EstimateOfFairValueFairValueDisclosureMemberus-gaap:FairValueInputsLevel1Member2021-12-310000093751us-gaap:FairValueInputsLevel2Memberus-gaap:EstimateOf</w:t>
      </w:r>
      <w:r>
        <w:rPr>
          <w:rFonts w:ascii="宋体" w:eastAsia="宋体" w:hAnsi="宋体" w:cs="宋体"/>
          <w:vanish/>
        </w:rPr>
        <w:t>FairValueFairValueDisclosureMember2021-12-310000093751us-gaap:EstimateOfFairValueFairValueDisclosureMemberus-gaap:FairValueInputsLevel3Member2021-12-310000093751us-gaap:FairValueInputsLevel2Member2021-12-310000093751stt:UsTreasuryAndFederalAgenciesDirectOb</w:t>
      </w:r>
      <w:r>
        <w:rPr>
          <w:rFonts w:ascii="宋体" w:eastAsia="宋体" w:hAnsi="宋体" w:cs="宋体"/>
          <w:vanish/>
        </w:rPr>
        <w:t>ligationsMember2022-09-300000093751stt:UsTreasuryAndFederalAgenciesDirectObligationsMember2021-12-310000093751stt:UsTreasuryAndFederalAgenciesMortgageBackedSecuritiesMember2022-09-300000093751stt:UsTreasuryAndFederalAgenciesMortgageBackedSecuritiesMember20</w:t>
      </w:r>
      <w:r>
        <w:rPr>
          <w:rFonts w:ascii="宋体" w:eastAsia="宋体" w:hAnsi="宋体" w:cs="宋体"/>
          <w:vanish/>
        </w:rPr>
        <w:t>21-12-310000093751us-gaap:USTreasuryAndGovernmentMember2022-09-300000093751us-gaap:USTreasuryAndGovernmentMember2021-12-310000093751stt:NonUsDebtSecuritiesMortgageBackedSecuritiesMember2022-09-300000093751stt:NonUsDebtSecuritiesMortgageBackedSecuritiesMemb</w:t>
      </w:r>
      <w:r>
        <w:rPr>
          <w:rFonts w:ascii="宋体" w:eastAsia="宋体" w:hAnsi="宋体" w:cs="宋体"/>
          <w:vanish/>
        </w:rPr>
        <w:t>er2021-12-310000093751stt:NonUsDebtSecuritiesAssetBackedSecuritiesMember2022-09-300000093751stt:NonUsDebtSecuritiesAssetBackedSecuritiesMember2021-12-310000093751stt:NonUSDebtSecuritiesForeignSovereignSupranationalAndNonAgencySecuritiesMember2022-09-300000</w:t>
      </w:r>
      <w:r>
        <w:rPr>
          <w:rFonts w:ascii="宋体" w:eastAsia="宋体" w:hAnsi="宋体" w:cs="宋体"/>
          <w:vanish/>
        </w:rPr>
        <w:t>093751stt:NonUSDebtSecuritiesForeignSovereignSupranationalAndNonAgencySecuritiesMember2021-12-310000093751stt:NonUsDebtSecuritiesOtherMember2022-09-300000093751stt:NonUsDebtSecuritiesOtherMember2021-12-310000093751stt:NonUSDebtSecuritiesMember2022-09-30000</w:t>
      </w:r>
      <w:r>
        <w:rPr>
          <w:rFonts w:ascii="宋体" w:eastAsia="宋体" w:hAnsi="宋体" w:cs="宋体"/>
          <w:vanish/>
        </w:rPr>
        <w:t>0093751stt:NonUSDebtSecuritiesMember2021-12-310000093751stt:AssetBackedSecuritiesStudentLoansMember2022-09-300000093751stt:AssetBackedSecuritiesStudentLoansMember2021-12-310000093751stt:AssetbackedSecuritiesCollateralizedLoanObligationsMember2022-09-300000</w:t>
      </w:r>
      <w:r>
        <w:rPr>
          <w:rFonts w:ascii="宋体" w:eastAsia="宋体" w:hAnsi="宋体" w:cs="宋体"/>
          <w:vanish/>
        </w:rPr>
        <w:t>093751stt:AssetbackedSecuritiesCollateralizedLoanObligationsMember2021-12-310000093751stt:NonAgencyCMBSAndRMBSMember2022-09-300000093751stt:NonAgencyCMBSAndRMBSMember2021-12-310000093751stt:AssetBackedSecuritiesOtherMember2022-09-300000093751stt:AssetBacke</w:t>
      </w:r>
      <w:r>
        <w:rPr>
          <w:rFonts w:ascii="宋体" w:eastAsia="宋体" w:hAnsi="宋体" w:cs="宋体"/>
          <w:vanish/>
        </w:rPr>
        <w:t>dSecuritiesOtherMember2021-12-310000093751us-gaap:AssetBackedSecuritiesMember2022-09-300000093751us-gaap:AssetBackedSecuritiesMember2021-12-310000093751us-gaap:USStatesAndPoliticalSubdivisionsMember2022-09-300000093751us-gaap:USStatesAndPoliticalSubdivisio</w:t>
      </w:r>
      <w:r>
        <w:rPr>
          <w:rFonts w:ascii="宋体" w:eastAsia="宋体" w:hAnsi="宋体" w:cs="宋体"/>
          <w:vanish/>
        </w:rPr>
        <w:t>nsMember2021-12-310000093751us-gaap:OtherDebtSecuritiesMember2022-09-300000093751us-gaap:OtherDebtSecuritiesMember2021-12-310000093751stt:IncludingMMLFMember2022-09-300000093751stt:IncludingMMLFMember2021-12-310000093751stt:NonUSCollateralizedLoanObligatio</w:t>
      </w:r>
      <w:r>
        <w:rPr>
          <w:rFonts w:ascii="宋体" w:eastAsia="宋体" w:hAnsi="宋体" w:cs="宋体"/>
          <w:vanish/>
        </w:rPr>
        <w:t>nsMember2022-09-300000093751stt:NonUSCollateralizedLoanObligationsMember2021-12-310000093751stt:NonUSDebtSecuritiesCorporateBondsMember2022-09-300000093751stt:NonUSDebtSecuritiesCorporateBondsMember2021-12-310000093751stt:FederalFamilyEducationLoanProgramM</w:t>
      </w:r>
      <w:r>
        <w:rPr>
          <w:rFonts w:ascii="宋体" w:eastAsia="宋体" w:hAnsi="宋体" w:cs="宋体"/>
          <w:vanish/>
        </w:rPr>
        <w:t>ember2022-01-012022-09-300000093751us-gaap:DomesticCorporateDebtSecuritiesMember2022-09-300000093751us-gaap:DomesticCorporateDebtSecuritiesMember2021-12-310000093751stt:NonAgencyCMBSMember2022-09-300000093751stt:NonAgencyCMBSMember2021-12-310000093751stt:N</w:t>
      </w:r>
      <w:r>
        <w:rPr>
          <w:rFonts w:ascii="宋体" w:eastAsia="宋体" w:hAnsi="宋体" w:cs="宋体"/>
          <w:vanish/>
        </w:rPr>
        <w:t>onAgencyRMBSMember2022-09-300000093751stt:NonAgencyRMBSMember2021-12-310000093751us-gaap:AssetPledgedAsCollateralMember2022-09-300000093751us-gaap:AssetPledgedAsCollateralMember2021-12-310000093751us-gaap:HeldtomaturitySecuritiesMember2022-04-012022-06-300</w:t>
      </w:r>
      <w:r>
        <w:rPr>
          <w:rFonts w:ascii="宋体" w:eastAsia="宋体" w:hAnsi="宋体" w:cs="宋体"/>
          <w:vanish/>
        </w:rPr>
        <w:t>000093751stt:TotalHTMandCollateralizedObligationsMember2022-09-300000093751us-gaap:AvailableforsaleSecuritiesMember2022-07-012022-09-30stt:securitystt:loanSegment0000093751stt:CommercialAndFinancialInvestmentFundsMemberus-gaap:GeographicDistributionDomesti</w:t>
      </w:r>
      <w:r>
        <w:rPr>
          <w:rFonts w:ascii="宋体" w:eastAsia="宋体" w:hAnsi="宋体" w:cs="宋体"/>
          <w:vanish/>
        </w:rPr>
        <w:t>cMember2022-09-300000093751stt:CommercialAndFinancialInvestmentFundsMemberus-gaap:GeographicDistributionDomesticMember2021-12-310000093751us-gaap:GeographicDistributionDomesticMemberstt:CommercialAndFinancialSeniorSecuredBankLoansMember2022-09-300000093751</w:t>
      </w:r>
      <w:r>
        <w:rPr>
          <w:rFonts w:ascii="宋体" w:eastAsia="宋体" w:hAnsi="宋体" w:cs="宋体"/>
          <w:vanish/>
        </w:rPr>
        <w:t>us-gaap:GeographicDistributionDomesticMemberstt:CommercialAndFinancialSeniorSecuredBankLoansMember2021-12-310000093751us-gaap:GeographicDistributionDomesticMemberstt:OverdraftsMember2022-09-300000093751us-gaap:GeographicDistributionDomesticMemberstt:Overdr</w:t>
      </w:r>
      <w:r>
        <w:rPr>
          <w:rFonts w:ascii="宋体" w:eastAsia="宋体" w:hAnsi="宋体" w:cs="宋体"/>
          <w:vanish/>
        </w:rPr>
        <w:t>aftsMember2021-12-310000093751stt:CommercialAndFinancialOtherMemberus-gaap:GeographicDistributionDomesticMember2022-09-300000093751stt:CommercialAndFinancialOtherMemberus-gaap:GeographicDistributionDomesticMember2021-12-310000093751us-gaap:CommercialRealEs</w:t>
      </w:r>
      <w:r>
        <w:rPr>
          <w:rFonts w:ascii="宋体" w:eastAsia="宋体" w:hAnsi="宋体" w:cs="宋体"/>
          <w:vanish/>
        </w:rPr>
        <w:t>tatePortfolioSegmentMemberus-gaap:GeographicDistributionDomesticMember2022-09-300000093751us-gaap:CommercialRealEstatePortfolioSegmentMemberus-gaap:GeographicDistributionDomesticMember2021-12-310000093751us-gaap:GeographicDistributionDomesticMember2022-09-</w:t>
      </w:r>
      <w:r>
        <w:rPr>
          <w:rFonts w:ascii="宋体" w:eastAsia="宋体" w:hAnsi="宋体" w:cs="宋体"/>
          <w:vanish/>
        </w:rPr>
        <w:t>300000093751us-gaap:GeographicDistributionDomesticMember2021-12-310000093751us-gaap:GeographicDistributionForeignMemberstt:CommercialAndFinancialInvestmentFundsMember2022-09-300000093751us-gaap:GeographicDistributionForeignMemberstt:CommercialAndFinancialI</w:t>
      </w:r>
      <w:r>
        <w:rPr>
          <w:rFonts w:ascii="宋体" w:eastAsia="宋体" w:hAnsi="宋体" w:cs="宋体"/>
          <w:vanish/>
        </w:rPr>
        <w:t>nvestmentFundsMember2021-12-310000093751us-gaap:GeographicDistributionForeignMemberstt:CommercialAndFinancialSeniorSecuredBankLoansMember2022-09-300000093751us-gaap:GeographicDistributionForeignMemberstt:CommercialAndFinancialSeniorSecuredBankLoansMember20</w:t>
      </w:r>
      <w:r>
        <w:rPr>
          <w:rFonts w:ascii="宋体" w:eastAsia="宋体" w:hAnsi="宋体" w:cs="宋体"/>
          <w:vanish/>
        </w:rPr>
        <w:t>21-12-310000093751us-gaap:GeographicDistributionForeignMemberstt:OverdraftsMember2022-09-300000093751us-gaap:GeographicDistributionForeignMemberstt:OverdraftsMember2021-12-310000093751us-gaap:GeographicDistributionForeignMember2022-09-300000093751us-gaap:G</w:t>
      </w:r>
      <w:r>
        <w:rPr>
          <w:rFonts w:ascii="宋体" w:eastAsia="宋体" w:hAnsi="宋体" w:cs="宋体"/>
          <w:vanish/>
        </w:rPr>
        <w:t>eographicDistributionForeignMember2021-12-310000093751stt:CommercialAndFinancialInvestmentFundsMemberstt:PrivateEquityCapitalCallFinanceLoansMemberus-gaap:GeographicDistributionDomesticMember2022-09-300000093751stt:CommercialAndFinancialInvestmentFundsMemb</w:t>
      </w:r>
      <w:r>
        <w:rPr>
          <w:rFonts w:ascii="宋体" w:eastAsia="宋体" w:hAnsi="宋体" w:cs="宋体"/>
          <w:vanish/>
        </w:rPr>
        <w:t>erstt:A40ActFundsMemberus-gaap:GeographicDistributionDomesticMember2022-09-300000093751stt:CommercialAndFinancialInvestmentFundsMemberus-gaap:CollateralizedLoanObligationsMemberus-gaap:GeographicDistributionDomesticMember2022-09-300000093751stt:CommercialA</w:t>
      </w:r>
      <w:r>
        <w:rPr>
          <w:rFonts w:ascii="宋体" w:eastAsia="宋体" w:hAnsi="宋体" w:cs="宋体"/>
          <w:vanish/>
        </w:rPr>
        <w:t>ndFinancialInvestmentFundsMemberstt:BusinessDevelopmentMemberus-gaap:GeographicDistributionDomesticMember2022-09-300000093751stt:CommercialAndFinancialInvestmentFundsMemberstt:PrivateEquityCapitalCallFinanceLoansMemberus-gaap:GeographicDistributionDomestic</w:t>
      </w:r>
      <w:r>
        <w:rPr>
          <w:rFonts w:ascii="宋体" w:eastAsia="宋体" w:hAnsi="宋体" w:cs="宋体"/>
          <w:vanish/>
        </w:rPr>
        <w:t>Member2021-12-310000093751stt:CommercialAndFinancialInvestmentFundsMemberstt:A40ActFundsMemberus-gaap:GeographicDistributionDomesticMember2021-12-310000093751stt:CommercialAndFinancialInvestmentFundsMemberus-gaap:CollateralizedLoanObligationsMemberus-gaap:</w:t>
      </w:r>
      <w:r>
        <w:rPr>
          <w:rFonts w:ascii="宋体" w:eastAsia="宋体" w:hAnsi="宋体" w:cs="宋体"/>
          <w:vanish/>
        </w:rPr>
        <w:t>GeographicDistributionDomesticMember2021-12-310000093751stt:CommercialAndFinancialInvestmentFundsMemberstt:BusinessDevelopmentMemberus-gaap:GeographicDistributionDomesticMember2021-12-310000093751stt:CommercialAndFinancialOtherMemberstt:SecuritiesFinanceLo</w:t>
      </w:r>
      <w:r>
        <w:rPr>
          <w:rFonts w:ascii="宋体" w:eastAsia="宋体" w:hAnsi="宋体" w:cs="宋体"/>
          <w:vanish/>
        </w:rPr>
        <w:t>ansMember2022-09-300000093751stt:MunicipalLoansMemberstt:CommercialAndFinancialOtherMember2022-09-300000093751stt:OtherLoansMemberstt:CommercialAndFinancialOtherMember2022-09-300000093751stt:CommercialAndFinancialOtherMemberstt:SecuritiesFinanceLoansMember</w:t>
      </w:r>
      <w:r>
        <w:rPr>
          <w:rFonts w:ascii="宋体" w:eastAsia="宋体" w:hAnsi="宋体" w:cs="宋体"/>
          <w:vanish/>
        </w:rPr>
        <w:t>2021-12-310000093751stt:MunicipalLoansMemberstt:CommercialAndFinancialOtherMember2021-12-310000093751stt:OtherLoansMemberstt:CommercialAndFinancialOtherMember2021-12-31stt:loan0000093751stt:LeveragedLoansMember2022-07-012022-09-300000093751stt:Commercialan</w:t>
      </w:r>
      <w:r>
        <w:rPr>
          <w:rFonts w:ascii="宋体" w:eastAsia="宋体" w:hAnsi="宋体" w:cs="宋体"/>
          <w:vanish/>
        </w:rPr>
        <w:t>dFinancialPortfolioSegmentMember2022-09-300000093751stt:CommercialandFinancialPortfolioSegmentMemberus-gaap:InternalInvestmentGradeMember2022-09-300000093751us-gaap:InternalInvestmentGradeMemberus-gaap:CommercialRealEstatePortfolioSegmentMember2022-09-3000</w:t>
      </w:r>
      <w:r>
        <w:rPr>
          <w:rFonts w:ascii="宋体" w:eastAsia="宋体" w:hAnsi="宋体" w:cs="宋体"/>
          <w:vanish/>
        </w:rPr>
        <w:t>00093751us-gaap:InternalInvestmentGradeMember2022-09-300000093751stt:CommercialandFinancialPortfolioSegmentMemberstt:SpeculativeMember2022-09-300000093751us-gaap:CommercialRealEstatePortfolioSegmentMemberstt:SpeculativeMember2022-09-300000093751stt:Specula</w:t>
      </w:r>
      <w:r>
        <w:rPr>
          <w:rFonts w:ascii="宋体" w:eastAsia="宋体" w:hAnsi="宋体" w:cs="宋体"/>
          <w:vanish/>
        </w:rPr>
        <w:t>tiveMember2022-09-300000093751stt:CommercialandFinancialPortfolioSegmentMemberus-gaap:SpecialMentionMember2022-09-300000093751us-gaap:CommercialRealEstatePortfolioSegmentMemberus-gaap:SpecialMentionMember2022-09-300000093751us-gaap:SpecialMentionMember2022</w:t>
      </w:r>
      <w:r>
        <w:rPr>
          <w:rFonts w:ascii="宋体" w:eastAsia="宋体" w:hAnsi="宋体" w:cs="宋体"/>
          <w:vanish/>
        </w:rPr>
        <w:t>-09-300000093751stt:CommercialandFinancialPortfolioSegmentMemberus-gaap:SubstandardMember2022-09-300000093751us-gaap:SubstandardMemberus-gaap:CommercialRealEstatePortfolioSegmentMember2022-09-300000093751us-gaap:SubstandardMember2022-09-300000093751us-gaap</w:t>
      </w:r>
      <w:r>
        <w:rPr>
          <w:rFonts w:ascii="宋体" w:eastAsia="宋体" w:hAnsi="宋体" w:cs="宋体"/>
          <w:vanish/>
        </w:rPr>
        <w:t>:CommercialRealEstatePortfolioSegmentMember2022-09-300000093751stt:CommercialandFinancialPortfolioSegmentMemberus-gaap:InternalInvestmentGradeMember2021-12-310000093751us-gaap:InternalInvestmentGradeMemberus-gaap:CommercialRealEstatePortfolioSegmentMember2</w:t>
      </w:r>
      <w:r>
        <w:rPr>
          <w:rFonts w:ascii="宋体" w:eastAsia="宋体" w:hAnsi="宋体" w:cs="宋体"/>
          <w:vanish/>
        </w:rPr>
        <w:t>021-12-310000093751us-gaap:InternalInvestmentGradeMember2021-12-310000093751stt:CommercialandFinancialPortfolioSegmentMemberstt:SpeculativeMember2021-12-310000093751us-gaap:CommercialRealEstatePortfolioSegmentMemberstt:SpeculativeMember2021-12-310000093751</w:t>
      </w:r>
      <w:r>
        <w:rPr>
          <w:rFonts w:ascii="宋体" w:eastAsia="宋体" w:hAnsi="宋体" w:cs="宋体"/>
          <w:vanish/>
        </w:rPr>
        <w:t>stt:SpeculativeMember2021-12-310000093751stt:CommercialandFinancialPortfolioSegmentMemberus-gaap:SpecialMentionMember2021-12-310000093751us-gaap:CommercialRealEstatePortfolioSegmentMemberus-gaap:SpecialMentionMember2021-12-310000093751us-gaap:SpecialMentio</w:t>
      </w:r>
      <w:r>
        <w:rPr>
          <w:rFonts w:ascii="宋体" w:eastAsia="宋体" w:hAnsi="宋体" w:cs="宋体"/>
          <w:vanish/>
        </w:rPr>
        <w:t>nMember2021-12-310000093751stt:CommercialandFinancialPortfolioSegmentMemberus-gaap:SubstandardMember2021-12-310000093751us-gaap:SubstandardMemberus-gaap:CommercialRealEstatePortfolioSegmentMember2021-12-310000093751us-gaap:SubstandardMember2021-12-31000009</w:t>
      </w:r>
      <w:r>
        <w:rPr>
          <w:rFonts w:ascii="宋体" w:eastAsia="宋体" w:hAnsi="宋体" w:cs="宋体"/>
          <w:vanish/>
        </w:rPr>
        <w:t>3751stt:CommercialandFinancialPortfolioSegmentMember2021-12-310000093751us-gaap:CommercialRealEstatePortfolioSegmentMember2021-12-310000093751stt:CommercialAndFinancialInvestmentFundsMemberus-gaap:InternalInvestmentGradeMemberus-gaap:GeographicDistribution</w:t>
      </w:r>
      <w:r>
        <w:rPr>
          <w:rFonts w:ascii="宋体" w:eastAsia="宋体" w:hAnsi="宋体" w:cs="宋体"/>
          <w:vanish/>
        </w:rPr>
        <w:t>DomesticMember2022-09-300000093751stt:CommercialAndFinancialInvestmentFundsMemberstt:SpeculativeMemberus-gaap:GeographicDistributionDomesticMember2022-09-300000093751stt:CommercialandFinancialPortfolioSegmentMemberus-gaap:InternalInvestmentGradeMemberus-ga</w:t>
      </w:r>
      <w:r>
        <w:rPr>
          <w:rFonts w:ascii="宋体" w:eastAsia="宋体" w:hAnsi="宋体" w:cs="宋体"/>
          <w:vanish/>
        </w:rPr>
        <w:t>ap:GeographicDistributionDomesticMember2022-09-300000093751stt:CommercialandFinancialPortfolioSegmentMemberstt:SpeculativeMemberus-gaap:GeographicDistributionDomesticMember2022-09-300000093751stt:CommercialandFinancialPortfolioSegmentMemberus-gaap:SpecialM</w:t>
      </w:r>
      <w:r>
        <w:rPr>
          <w:rFonts w:ascii="宋体" w:eastAsia="宋体" w:hAnsi="宋体" w:cs="宋体"/>
          <w:vanish/>
        </w:rPr>
        <w:t>entionMemberus-gaap:GeographicDistributionDomesticMember2022-09-300000093751stt:CommercialandFinancialPortfolioSegmentMemberus-gaap:SubstandardMemberus-gaap:GeographicDistributionDomesticMember2022-09-300000093751stt:CommercialandFinancialPortfolioSegmentM</w:t>
      </w:r>
      <w:r>
        <w:rPr>
          <w:rFonts w:ascii="宋体" w:eastAsia="宋体" w:hAnsi="宋体" w:cs="宋体"/>
          <w:vanish/>
        </w:rPr>
        <w:t>emberus-gaap:GeographicDistributionDomesticMember2022-09-300000093751us-gaap:InternalInvestmentGradeMemberus-gaap:CommercialRealEstatePortfolioSegmentMemberus-gaap:GeographicDistributionDomesticMember2022-09-300000093751stt:SpeculativeMemberus-gaap:Commerc</w:t>
      </w:r>
      <w:r>
        <w:rPr>
          <w:rFonts w:ascii="宋体" w:eastAsia="宋体" w:hAnsi="宋体" w:cs="宋体"/>
          <w:vanish/>
        </w:rPr>
        <w:t>ialRealEstatePortfolioSegmentMemberus-gaap:GeographicDistributionDomesticMember2022-09-300000093751us-gaap:SpecialMentionMemberus-gaap:CommercialRealEstatePortfolioSegmentMemberus-gaap:GeographicDistributionDomesticMember2022-09-300000093751us-gaap:Geograp</w:t>
      </w:r>
      <w:r>
        <w:rPr>
          <w:rFonts w:ascii="宋体" w:eastAsia="宋体" w:hAnsi="宋体" w:cs="宋体"/>
          <w:vanish/>
        </w:rPr>
        <w:t>hicDistributionForeignMemberstt:CommercialandFinancialPortfolioSegmentMemberus-gaap:InternalInvestmentGradeMember2022-09-300000093751us-gaap:GeographicDistributionForeignMemberstt:CommercialandFinancialPortfolioSegmentMemberstt:SpeculativeMember2022-09-300</w:t>
      </w:r>
      <w:r>
        <w:rPr>
          <w:rFonts w:ascii="宋体" w:eastAsia="宋体" w:hAnsi="宋体" w:cs="宋体"/>
          <w:vanish/>
        </w:rPr>
        <w:t>000093751us-gaap:GeographicDistributionForeignMemberstt:CommercialandFinancialPortfolioSegmentMemberus-gaap:SpecialMentionMember2022-09-300000093751us-gaap:GeographicDistributionForeignMemberstt:CommercialandFinancialPortfolioSegmentMemberus-gaap:Substanda</w:t>
      </w:r>
      <w:r>
        <w:rPr>
          <w:rFonts w:ascii="宋体" w:eastAsia="宋体" w:hAnsi="宋体" w:cs="宋体"/>
          <w:vanish/>
        </w:rPr>
        <w:t>rdMember2022-09-300000093751us-gaap:GeographicDistributionForeignMemberstt:CommercialandFinancialPortfolioSegmentMember2022-09-300000093751stt:CommercialandFinancialPortfolioSegmentMemberus-gaap:InternalInvestmentGradeMemberus-gaap:GeographicDistributionDo</w:t>
      </w:r>
      <w:r>
        <w:rPr>
          <w:rFonts w:ascii="宋体" w:eastAsia="宋体" w:hAnsi="宋体" w:cs="宋体"/>
          <w:vanish/>
        </w:rPr>
        <w:t>mesticMember2021-12-310000093751stt:CommercialandFinancialPortfolioSegmentMemberstt:SpeculativeMemberus-gaap:GeographicDistributionDomesticMember2021-12-310000093751stt:CommercialandFinancialPortfolioSegmentMemberus-gaap:SpecialMentionMemberus-gaap:Geograp</w:t>
      </w:r>
      <w:r>
        <w:rPr>
          <w:rFonts w:ascii="宋体" w:eastAsia="宋体" w:hAnsi="宋体" w:cs="宋体"/>
          <w:vanish/>
        </w:rPr>
        <w:t>hicDistributionDomesticMember2021-12-310000093751stt:CommercialandFinancialPortfolioSegmentMemberus-gaap:SubstandardMemberus-gaap:GeographicDistributionDomesticMember2021-12-310000093751stt:CommercialandFinancialPortfolioSegmentMemberus-gaap:GeographicDist</w:t>
      </w:r>
      <w:r>
        <w:rPr>
          <w:rFonts w:ascii="宋体" w:eastAsia="宋体" w:hAnsi="宋体" w:cs="宋体"/>
          <w:vanish/>
        </w:rPr>
        <w:t>ributionDomesticMember2021-12-310000093751us-gaap:InternalInvestmentGradeMemberus-gaap:CommercialRealEstatePortfolioSegmentMemberus-gaap:GeographicDistributionDomesticMember2021-12-310000093751stt:SpeculativeMemberus-gaap:CommercialRealEstatePortfolioSegme</w:t>
      </w:r>
      <w:r>
        <w:rPr>
          <w:rFonts w:ascii="宋体" w:eastAsia="宋体" w:hAnsi="宋体" w:cs="宋体"/>
          <w:vanish/>
        </w:rPr>
        <w:t>ntMemberus-gaap:GeographicDistributionDomesticMember2021-12-310000093751us-gaap:SpecialMentionMemberus-gaap:CommercialRealEstatePortfolioSegmentMemberus-gaap:GeographicDistributionDomesticMember2021-12-310000093751us-gaap:GeographicDistributionForeignMembe</w:t>
      </w:r>
      <w:r>
        <w:rPr>
          <w:rFonts w:ascii="宋体" w:eastAsia="宋体" w:hAnsi="宋体" w:cs="宋体"/>
          <w:vanish/>
        </w:rPr>
        <w:t>rstt:CommercialandFinancialPortfolioSegmentMemberus-gaap:InternalInvestmentGradeMember2021-12-310000093751us-gaap:GeographicDistributionForeignMemberstt:CommercialandFinancialPortfolioSegmentMemberstt:SpeculativeMember2021-12-310000093751us-gaap:Geographic</w:t>
      </w:r>
      <w:r>
        <w:rPr>
          <w:rFonts w:ascii="宋体" w:eastAsia="宋体" w:hAnsi="宋体" w:cs="宋体"/>
          <w:vanish/>
        </w:rPr>
        <w:t>DistributionForeignMemberstt:CommercialandFinancialPortfolioSegmentMemberus-gaap:SubstandardMember2021-12-310000093751us-gaap:GeographicDistributionForeignMemberstt:CommercialandFinancialPortfolioSegmentMember2021-12-310000093751us-gaap:FinancialInstitutio</w:t>
      </w:r>
      <w:r>
        <w:rPr>
          <w:rFonts w:ascii="宋体" w:eastAsia="宋体" w:hAnsi="宋体" w:cs="宋体"/>
          <w:vanish/>
        </w:rPr>
        <w:t>nsBorrowerMember2022-06-300000093751stt:InstitutionalOtherLoansMember2022-06-300000093751us-gaap:CommercialBorrowerMember2022-06-300000093751us-gaap:AvailableforsaleSecuritiesMember2022-06-300000093751stt:OffBalanceSheetCommitmentsMember2022-06-30000009375</w:t>
      </w:r>
      <w:r>
        <w:rPr>
          <w:rFonts w:ascii="宋体" w:eastAsia="宋体" w:hAnsi="宋体" w:cs="宋体"/>
          <w:vanish/>
        </w:rPr>
        <w:t>1stt:AllOtherMember2022-06-300000093751stt:IncludesAllowancesonUnfundedCommitmentsMember2022-06-300000093751us-gaap:FinancialInstitutionsBorrowerMember2022-07-012022-09-300000093751stt:InstitutionalOtherLoansMember2022-07-012022-09-300000093751us-gaap:Comm</w:t>
      </w:r>
      <w:r>
        <w:rPr>
          <w:rFonts w:ascii="宋体" w:eastAsia="宋体" w:hAnsi="宋体" w:cs="宋体"/>
          <w:vanish/>
        </w:rPr>
        <w:t>ercialBorrowerMember2022-07-012022-09-300000093751stt:OffBalanceSheetCommitmentsMember2022-07-012022-09-300000093751stt:AllOtherMember2022-07-012022-09-300000093751stt:IncludesAllowancesonUnfundedCommitmentsMember2022-07-012022-09-300000093751us-gaap:Finan</w:t>
      </w:r>
      <w:r>
        <w:rPr>
          <w:rFonts w:ascii="宋体" w:eastAsia="宋体" w:hAnsi="宋体" w:cs="宋体"/>
          <w:vanish/>
        </w:rPr>
        <w:t>cialInstitutionsBorrowerMember2022-09-300000093751stt:InstitutionalOtherLoansMember2022-09-300000093751us-gaap:CommercialBorrowerMember2022-09-300000093751us-gaap:AvailableforsaleSecuritiesMember2022-09-300000093751stt:OffBalanceSheetCommitmentsMember2022-</w:t>
      </w:r>
      <w:r>
        <w:rPr>
          <w:rFonts w:ascii="宋体" w:eastAsia="宋体" w:hAnsi="宋体" w:cs="宋体"/>
          <w:vanish/>
        </w:rPr>
        <w:t>09-300000093751stt:AllOtherMember2022-09-300000093751stt:IncludesAllowancesonUnfundedCommitmentsMember2022-09-300000093751stt:FundFinanceMemberstt:InstitutionalOtherLoansMember2022-09-300000093751stt:InstitutionalOtherLoansMemberstt:OtherLoansMember2022-09</w:t>
      </w:r>
      <w:r>
        <w:rPr>
          <w:rFonts w:ascii="宋体" w:eastAsia="宋体" w:hAnsi="宋体" w:cs="宋体"/>
          <w:vanish/>
        </w:rPr>
        <w:t>-300000093751us-gaap:FinancialInstitutionsBorrowerMember2021-12-310000093751stt:InstitutionalOtherLoansMember2021-12-310000093751us-gaap:CommercialBorrowerMember2021-12-310000093751us-gaap:AvailableforsaleSecuritiesMember2021-12-310000093751stt:OffBalanceS</w:t>
      </w:r>
      <w:r>
        <w:rPr>
          <w:rFonts w:ascii="宋体" w:eastAsia="宋体" w:hAnsi="宋体" w:cs="宋体"/>
          <w:vanish/>
        </w:rPr>
        <w:t>heetCommitmentsMember2021-12-310000093751stt:AllOtherMember2021-12-310000093751stt:IncludesAllowancesonUnfundedCommitmentsMember2021-12-310000093751us-gaap:FinancialInstitutionsBorrowerMember2022-01-012022-09-300000093751stt:InstitutionalOtherLoansMember20</w:t>
      </w:r>
      <w:r>
        <w:rPr>
          <w:rFonts w:ascii="宋体" w:eastAsia="宋体" w:hAnsi="宋体" w:cs="宋体"/>
          <w:vanish/>
        </w:rPr>
        <w:t>22-01-012022-09-300000093751us-gaap:CommercialBorrowerMember2022-01-012022-09-300000093751us-gaap:AvailableforsaleSecuritiesMember2022-01-012022-09-300000093751stt:OffBalanceSheetCommitmentsMember2022-01-012022-09-300000093751stt:AllOtherMember2022-01-0120</w:t>
      </w:r>
      <w:r>
        <w:rPr>
          <w:rFonts w:ascii="宋体" w:eastAsia="宋体" w:hAnsi="宋体" w:cs="宋体"/>
          <w:vanish/>
        </w:rPr>
        <w:t>22-09-300000093751stt:IncludesAllowancesonUnfundedCommitmentsMember2022-01-012022-09-300000093751us-gaap:FinancialInstitutionsBorrowerMember2021-06-300000093751stt:InstitutionalOtherLoansMember2021-06-300000093751us-gaap:CommercialBorrowerMember2021-06-300</w:t>
      </w:r>
      <w:r>
        <w:rPr>
          <w:rFonts w:ascii="宋体" w:eastAsia="宋体" w:hAnsi="宋体" w:cs="宋体"/>
          <w:vanish/>
        </w:rPr>
        <w:t>000093751us-gaap:HeldtomaturitySecuritiesMember2021-06-300000093751stt:OffBalanceSheetCommitmentsMember2021-06-300000093751stt:AllOtherMember2021-06-300000093751stt:IncludesAllowancesonUnfundedCommitmentsMember2021-06-300000093751us-gaap:FinancialInstituti</w:t>
      </w:r>
      <w:r>
        <w:rPr>
          <w:rFonts w:ascii="宋体" w:eastAsia="宋体" w:hAnsi="宋体" w:cs="宋体"/>
          <w:vanish/>
        </w:rPr>
        <w:t>onsBorrowerMember2021-07-012021-09-300000093751stt:InstitutionalOtherLoansMember2021-07-012021-09-300000093751us-gaap:CommercialBorrowerMember2021-07-012021-09-300000093751us-gaap:HeldtomaturitySecuritiesMember2021-07-012021-09-300000093751stt:OffBalanceSh</w:t>
      </w:r>
      <w:r>
        <w:rPr>
          <w:rFonts w:ascii="宋体" w:eastAsia="宋体" w:hAnsi="宋体" w:cs="宋体"/>
          <w:vanish/>
        </w:rPr>
        <w:t>eetCommitmentsMember2021-07-012021-09-300000093751stt:AllOtherMember2021-07-012021-09-300000093751stt:IncludesAllowancesonUnfundedCommitmentsMember2021-07-012021-09-300000093751us-gaap:FinancialInstitutionsBorrowerMember2021-09-300000093751stt:Institutiona</w:t>
      </w:r>
      <w:r>
        <w:rPr>
          <w:rFonts w:ascii="宋体" w:eastAsia="宋体" w:hAnsi="宋体" w:cs="宋体"/>
          <w:vanish/>
        </w:rPr>
        <w:t>lOtherLoansMember2021-09-300000093751us-gaap:CommercialBorrowerMember2021-09-300000093751us-gaap:HeldtomaturitySecuritiesMember2021-09-300000093751stt:OffBalanceSheetCommitmentsMember2021-09-300000093751stt:AllOtherMember2021-09-300000093751stt:IncludesAll</w:t>
      </w:r>
      <w:r>
        <w:rPr>
          <w:rFonts w:ascii="宋体" w:eastAsia="宋体" w:hAnsi="宋体" w:cs="宋体"/>
          <w:vanish/>
        </w:rPr>
        <w:t>owancesonUnfundedCommitmentsMember2021-09-300000093751stt:FundFinanceMemberstt:InstitutionalOtherLoansMember2021-09-300000093751stt:InstitutionalOtherLoansMemberstt:OtherLoansMember2021-09-300000093751us-gaap:FinancialInstitutionsBorrowerMember2020-12-3100</w:t>
      </w:r>
      <w:r>
        <w:rPr>
          <w:rFonts w:ascii="宋体" w:eastAsia="宋体" w:hAnsi="宋体" w:cs="宋体"/>
          <w:vanish/>
        </w:rPr>
        <w:t>00093751stt:InstitutionalOtherLoansMember2020-12-310000093751us-gaap:CommercialBorrowerMember2020-12-310000093751us-gaap:HeldtomaturitySecuritiesMember2020-12-310000093751stt:OffBalanceSheetCommitmentsMember2020-12-310000093751stt:AllOtherMember2020-12-310</w:t>
      </w:r>
      <w:r>
        <w:rPr>
          <w:rFonts w:ascii="宋体" w:eastAsia="宋体" w:hAnsi="宋体" w:cs="宋体"/>
          <w:vanish/>
        </w:rPr>
        <w:t>000093751stt:IncludesAllowancesonUnfundedCommitmentsMember2020-12-310000093751us-gaap:FinancialInstitutionsBorrowerMember2021-01-012021-09-300000093751stt:InstitutionalOtherLoansMember2021-01-012021-09-300000093751us-gaap:CommercialBorrowerMember2021-01-01</w:t>
      </w:r>
      <w:r>
        <w:rPr>
          <w:rFonts w:ascii="宋体" w:eastAsia="宋体" w:hAnsi="宋体" w:cs="宋体"/>
          <w:vanish/>
        </w:rPr>
        <w:t>2021-09-300000093751us-gaap:HeldtomaturitySecuritiesMember2021-01-012021-09-300000093751stt:OffBalanceSheetCommitmentsMember2021-01-012021-09-300000093751stt:AllOtherMember2021-01-012021-09-300000093751stt:IncludesAllowancesonUnfundedCommitmentsMember2021-</w:t>
      </w:r>
      <w:r>
        <w:rPr>
          <w:rFonts w:ascii="宋体" w:eastAsia="宋体" w:hAnsi="宋体" w:cs="宋体"/>
          <w:vanish/>
        </w:rPr>
        <w:t>01-012021-09-300000093751stt:InvestmentServicingMember2020-12-310000093751stt:InvestmentManagementMember2020-12-310000093751stt:InvestmentServicingMember2021-01-012021-12-310000093751stt:InvestmentManagementMember2021-01-012021-12-3100000937512021-01-01202</w:t>
      </w:r>
      <w:r>
        <w:rPr>
          <w:rFonts w:ascii="宋体" w:eastAsia="宋体" w:hAnsi="宋体" w:cs="宋体"/>
          <w:vanish/>
        </w:rPr>
        <w:t>1-12-310000093751stt:InvestmentServicingMember2021-12-310000093751stt:InvestmentManagementMember2021-12-310000093751stt:InvestmentServicingMember2022-01-012022-09-300000093751stt:InvestmentManagementMember2022-01-012022-09-300000093751stt:InvestmentServici</w:t>
      </w:r>
      <w:r>
        <w:rPr>
          <w:rFonts w:ascii="宋体" w:eastAsia="宋体" w:hAnsi="宋体" w:cs="宋体"/>
          <w:vanish/>
        </w:rPr>
        <w:t>ngMember2022-09-300000093751stt:InvestmentManagementMember2022-09-300000093751stt:FideuramBankLuxembourMemberstt:InvestmentServicingMember2021-01-012021-03-31iso4217:EUR0000093751stt:MercatusIncMemberstt:InvestmentServicingMember2021-07-012021-09-300000093</w:t>
      </w:r>
      <w:r>
        <w:rPr>
          <w:rFonts w:ascii="宋体" w:eastAsia="宋体" w:hAnsi="宋体" w:cs="宋体"/>
          <w:vanish/>
        </w:rPr>
        <w:t>751us-gaap:CustomerRelationshipsMember2022-09-300000093751us-gaap:TechnologyBasedIntangibleAssetsMember2022-09-300000093751us-gaap:CoreDepositsMember2022-09-300000093751us-gaap:OtherIntangibleAssetsMember2022-09-300000093751us-gaap:CustomerRelationshipsMem</w:t>
      </w:r>
      <w:r>
        <w:rPr>
          <w:rFonts w:ascii="宋体" w:eastAsia="宋体" w:hAnsi="宋体" w:cs="宋体"/>
          <w:vanish/>
        </w:rPr>
        <w:t>ber2021-12-310000093751us-gaap:TechnologyBasedIntangibleAssetsMember2021-12-310000093751us-gaap:CoreDepositsMember2021-12-310000093751us-gaap:OtherIntangibleAssetsMember2021-12-310000093751us-gaap:FutureMemberus-gaap:InterestRateContractMemberus-gaap:Nonde</w:t>
      </w:r>
      <w:r>
        <w:rPr>
          <w:rFonts w:ascii="宋体" w:eastAsia="宋体" w:hAnsi="宋体" w:cs="宋体"/>
          <w:vanish/>
        </w:rPr>
        <w:t>signatedMember2022-09-300000093751us-gaap:FutureMemberus-gaap:InterestRateContractMemberus-gaap:NondesignatedMember2021-12-310000093751stt:ForwardSwapAndSpotMemberus-gaap:ForeignExchangeContractMemberus-gaap:NondesignatedMember2022-09-300000093751stt:Forwa</w:t>
      </w:r>
      <w:r>
        <w:rPr>
          <w:rFonts w:ascii="宋体" w:eastAsia="宋体" w:hAnsi="宋体" w:cs="宋体"/>
          <w:vanish/>
        </w:rPr>
        <w:t>rdSwapAndSpotMemberus-gaap:ForeignExchangeContractMemberus-gaap:NondesignatedMember2021-12-310000093751us-gaap:ForeignExchangeContractMemberus-gaap:NondesignatedMemberstt:OptionsPurchasedMember2022-09-300000093751us-gaap:ForeignExchangeContractMemberus-gaa</w:t>
      </w:r>
      <w:r>
        <w:rPr>
          <w:rFonts w:ascii="宋体" w:eastAsia="宋体" w:hAnsi="宋体" w:cs="宋体"/>
          <w:vanish/>
        </w:rPr>
        <w:t>p:NondesignatedMemberstt:OptionsPurchasedMember2021-12-310000093751stt:OptionsWrittenMemberus-gaap:ForeignExchangeContractMemberus-gaap:NondesignatedMember2022-09-300000093751stt:OptionsWrittenMemberus-gaap:ForeignExchangeContractMemberus-gaap:Nondesignate</w:t>
      </w:r>
      <w:r>
        <w:rPr>
          <w:rFonts w:ascii="宋体" w:eastAsia="宋体" w:hAnsi="宋体" w:cs="宋体"/>
          <w:vanish/>
        </w:rPr>
        <w:t>dMember2021-12-310000093751us-gaap:FutureMemberus-gaap:ForeignExchangeContractMemberus-gaap:NondesignatedMember2022-09-300000093751us-gaap:FutureMemberus-gaap:ForeignExchangeContractMemberus-gaap:NondesignatedMember2021-12-310000093751us-gaap:OtherContract</w:t>
      </w:r>
      <w:r>
        <w:rPr>
          <w:rFonts w:ascii="宋体" w:eastAsia="宋体" w:hAnsi="宋体" w:cs="宋体"/>
          <w:vanish/>
        </w:rPr>
        <w:t>Memberstt:StableValueContractsMemberus-gaap:NondesignatedMember2022-09-300000093751us-gaap:OtherContractMemberstt:StableValueContractsMemberus-gaap:NondesignatedMember2021-12-310000093751us-gaap:OtherContractMemberstt:DeferredValueAwardsMemberus-gaap:Nonde</w:t>
      </w:r>
      <w:r>
        <w:rPr>
          <w:rFonts w:ascii="宋体" w:eastAsia="宋体" w:hAnsi="宋体" w:cs="宋体"/>
          <w:vanish/>
        </w:rPr>
        <w:t>signatedMember2022-09-300000093751us-gaap:OtherContractMemberstt:DeferredValueAwardsMemberus-gaap:NondesignatedMember2021-12-310000093751us-gaap:InterestRateContractMemberus-gaap:SwapMemberus-gaap:DesignatedAsHedgingInstrumentMember2022-09-300000093751us-g</w:t>
      </w:r>
      <w:r>
        <w:rPr>
          <w:rFonts w:ascii="宋体" w:eastAsia="宋体" w:hAnsi="宋体" w:cs="宋体"/>
          <w:vanish/>
        </w:rPr>
        <w:t>aap:InterestRateContractMemberus-gaap:SwapMemberus-gaap:DesignatedAsHedgingInstrumentMember2021-12-310000093751stt:ForwardsMemberus-gaap:ForeignExchangeContractMemberus-gaap:DesignatedAsHedgingInstrumentMember2022-09-300000093751stt:ForwardsMemberus-gaap:F</w:t>
      </w:r>
      <w:r>
        <w:rPr>
          <w:rFonts w:ascii="宋体" w:eastAsia="宋体" w:hAnsi="宋体" w:cs="宋体"/>
          <w:vanish/>
        </w:rPr>
        <w:t>oreignExchangeContractMemberus-gaap:DesignatedAsHedgingInstrumentMember2021-12-310000093751us-gaap:ForeignExchangeContractMemberus-gaap:NondesignatedMemberus-gaap:OtherAssetsMember2022-09-300000093751us-gaap:ForeignExchangeContractMemberus-gaap:Nondesignat</w:t>
      </w:r>
      <w:r>
        <w:rPr>
          <w:rFonts w:ascii="宋体" w:eastAsia="宋体" w:hAnsi="宋体" w:cs="宋体"/>
          <w:vanish/>
        </w:rPr>
        <w:t>edMemberus-gaap:OtherAssetsMember2021-12-310000093751us-gaap:OtherLiabilitiesMemberus-gaap:ForeignExchangeContractMemberus-gaap:NondesignatedMember2022-09-300000093751us-gaap:OtherLiabilitiesMemberus-gaap:ForeignExchangeContractMemberus-gaap:NondesignatedM</w:t>
      </w:r>
      <w:r>
        <w:rPr>
          <w:rFonts w:ascii="宋体" w:eastAsia="宋体" w:hAnsi="宋体" w:cs="宋体"/>
          <w:vanish/>
        </w:rPr>
        <w:t>ember2021-12-310000093751us-gaap:OtherContractMemberus-gaap:NondesignatedMemberus-gaap:OtherAssetsMember2022-09-300000093751us-gaap:OtherContractMemberus-gaap:NondesignatedMemberus-gaap:OtherAssetsMember2021-12-310000093751us-gaap:OtherContractMemberus-gaa</w:t>
      </w:r>
      <w:r>
        <w:rPr>
          <w:rFonts w:ascii="宋体" w:eastAsia="宋体" w:hAnsi="宋体" w:cs="宋体"/>
          <w:vanish/>
        </w:rPr>
        <w:t>p:OtherLiabilitiesMemberus-gaap:NondesignatedMember2022-09-300000093751us-gaap:OtherContractMemberus-gaap:OtherLiabilitiesMemberus-gaap:NondesignatedMember2021-12-310000093751us-gaap:NondesignatedMemberus-gaap:OtherAssetsMember2022-09-300000093751us-gaap:N</w:t>
      </w:r>
      <w:r>
        <w:rPr>
          <w:rFonts w:ascii="宋体" w:eastAsia="宋体" w:hAnsi="宋体" w:cs="宋体"/>
          <w:vanish/>
        </w:rPr>
        <w:t>ondesignatedMemberus-gaap:OtherAssetsMember2021-12-310000093751us-gaap:OtherLiabilitiesMemberus-gaap:NondesignatedMember2022-09-300000093751us-gaap:OtherLiabilitiesMemberus-gaap:NondesignatedMember2021-12-310000093751us-gaap:ForeignExchangeContractMemberus</w:t>
      </w:r>
      <w:r>
        <w:rPr>
          <w:rFonts w:ascii="宋体" w:eastAsia="宋体" w:hAnsi="宋体" w:cs="宋体"/>
          <w:vanish/>
        </w:rPr>
        <w:t>-gaap:OtherAssetsMemberus-gaap:DesignatedAsHedgingInstrumentMember2022-09-300000093751us-gaap:ForeignExchangeContractMemberus-gaap:OtherAssetsMemberus-gaap:DesignatedAsHedgingInstrumentMember2021-12-310000093751us-gaap:OtherLiabilitiesMemberus-gaap:Foreign</w:t>
      </w:r>
      <w:r>
        <w:rPr>
          <w:rFonts w:ascii="宋体" w:eastAsia="宋体" w:hAnsi="宋体" w:cs="宋体"/>
          <w:vanish/>
        </w:rPr>
        <w:t>ExchangeContractMemberus-gaap:DesignatedAsHedgingInstrumentMember2022-09-300000093751us-gaap:OtherLiabilitiesMemberus-gaap:ForeignExchangeContractMemberus-gaap:DesignatedAsHedgingInstrumentMember2021-12-310000093751us-gaap:InterestRateContractMemberus-gaap</w:t>
      </w:r>
      <w:r>
        <w:rPr>
          <w:rFonts w:ascii="宋体" w:eastAsia="宋体" w:hAnsi="宋体" w:cs="宋体"/>
          <w:vanish/>
        </w:rPr>
        <w:t>:OtherAssetsMemberus-gaap:DesignatedAsHedgingInstrumentMember2022-09-300000093751us-gaap:InterestRateContractMemberus-gaap:OtherAssetsMemberus-gaap:DesignatedAsHedgingInstrumentMember2021-12-310000093751us-gaap:InterestRateContractMemberus-gaap:OtherLiabil</w:t>
      </w:r>
      <w:r>
        <w:rPr>
          <w:rFonts w:ascii="宋体" w:eastAsia="宋体" w:hAnsi="宋体" w:cs="宋体"/>
          <w:vanish/>
        </w:rPr>
        <w:t>itiesMemberus-gaap:DesignatedAsHedgingInstrumentMember2022-09-300000093751us-gaap:InterestRateContractMemberus-gaap:OtherLiabilitiesMemberus-gaap:DesignatedAsHedgingInstrumentMember2021-12-310000093751us-gaap:OtherAssetsMemberus-gaap:DesignatedAsHedgingIns</w:t>
      </w:r>
      <w:r>
        <w:rPr>
          <w:rFonts w:ascii="宋体" w:eastAsia="宋体" w:hAnsi="宋体" w:cs="宋体"/>
          <w:vanish/>
        </w:rPr>
        <w:t>trumentMember2022-09-300000093751us-gaap:OtherAssetsMemberus-gaap:DesignatedAsHedgingInstrumentMember2021-12-310000093751us-gaap:OtherLiabilitiesMemberus-gaap:DesignatedAsHedgingInstrumentMember2022-09-300000093751us-gaap:OtherLiabilitiesMemberus-gaap:Desi</w:t>
      </w:r>
      <w:r>
        <w:rPr>
          <w:rFonts w:ascii="宋体" w:eastAsia="宋体" w:hAnsi="宋体" w:cs="宋体"/>
          <w:vanish/>
        </w:rPr>
        <w:t>gnatedAsHedgingInstrumentMember2021-12-310000093751stt:ForeignExchangeTradingServicesMemberus-gaap:ForeignExchangeContractMemberus-gaap:NondesignatedMember2022-07-012022-09-300000093751stt:ForeignExchangeTradingServicesMemberus-gaap:ForeignExchangeContract</w:t>
      </w:r>
      <w:r>
        <w:rPr>
          <w:rFonts w:ascii="宋体" w:eastAsia="宋体" w:hAnsi="宋体" w:cs="宋体"/>
          <w:vanish/>
        </w:rPr>
        <w:t>Memberus-gaap:NondesignatedMember2021-07-012021-09-300000093751stt:ForeignExchangeTradingServicesMemberus-gaap:ForeignExchangeContractMemberus-gaap:NondesignatedMember2022-01-012022-09-300000093751stt:ForeignExchangeTradingServicesMemberus-gaap:ForeignExch</w:t>
      </w:r>
      <w:r>
        <w:rPr>
          <w:rFonts w:ascii="宋体" w:eastAsia="宋体" w:hAnsi="宋体" w:cs="宋体"/>
          <w:vanish/>
        </w:rPr>
        <w:t>angeContractMemberus-gaap:NondesignatedMember2021-01-012021-09-300000093751us-gaap:InterestExpenseMemberus-gaap:ForeignExchangeContractMemberus-gaap:NondesignatedMember2022-07-012022-09-300000093751us-gaap:InterestExpenseMemberus-gaap:ForeignExchangeContra</w:t>
      </w:r>
      <w:r>
        <w:rPr>
          <w:rFonts w:ascii="宋体" w:eastAsia="宋体" w:hAnsi="宋体" w:cs="宋体"/>
          <w:vanish/>
        </w:rPr>
        <w:t>ctMemberus-gaap:NondesignatedMember2021-07-012021-09-300000093751us-gaap:InterestExpenseMemberus-gaap:ForeignExchangeContractMemberus-gaap:NondesignatedMember2022-01-012022-09-300000093751us-gaap:InterestExpenseMemberus-gaap:ForeignExchangeContractMemberus</w:t>
      </w:r>
      <w:r>
        <w:rPr>
          <w:rFonts w:ascii="宋体" w:eastAsia="宋体" w:hAnsi="宋体" w:cs="宋体"/>
          <w:vanish/>
        </w:rPr>
        <w:t>-gaap:NondesignatedMember2021-01-012021-09-300000093751us-gaap:InterestRateContractMemberus-gaap:NondesignatedMember2022-07-012022-09-300000093751us-gaap:InterestRateContractMemberus-gaap:NondesignatedMember2021-07-012021-09-300000093751us-gaap:InterestRat</w:t>
      </w:r>
      <w:r>
        <w:rPr>
          <w:rFonts w:ascii="宋体" w:eastAsia="宋体" w:hAnsi="宋体" w:cs="宋体"/>
          <w:vanish/>
        </w:rPr>
        <w:t>eContractMemberus-gaap:NondesignatedMember2022-01-012022-09-300000093751us-gaap:InterestRateContractMemberus-gaap:NondesignatedMember2021-01-012021-09-300000093751us-gaap:OtherContractMemberus-gaap:NondesignatedMember2022-07-012022-09-300000093751us-gaap:O</w:t>
      </w:r>
      <w:r>
        <w:rPr>
          <w:rFonts w:ascii="宋体" w:eastAsia="宋体" w:hAnsi="宋体" w:cs="宋体"/>
          <w:vanish/>
        </w:rPr>
        <w:t>therContractMemberus-gaap:NondesignatedMember2021-07-012021-09-300000093751us-gaap:OtherContractMemberus-gaap:NondesignatedMember2022-01-012022-09-300000093751us-gaap:OtherContractMemberus-gaap:NondesignatedMember2021-01-012021-09-300000093751us-gaap:Nonde</w:t>
      </w:r>
      <w:r>
        <w:rPr>
          <w:rFonts w:ascii="宋体" w:eastAsia="宋体" w:hAnsi="宋体" w:cs="宋体"/>
          <w:vanish/>
        </w:rPr>
        <w:t>signatedMember2022-07-012022-09-300000093751us-gaap:NondesignatedMember2021-07-012021-09-300000093751us-gaap:NondesignatedMember2022-01-012022-09-300000093751us-gaap:NondesignatedMember2021-01-012021-09-300000093751us-gaap:LongTermDebtMemberus-gaap:Designa</w:t>
      </w:r>
      <w:r>
        <w:rPr>
          <w:rFonts w:ascii="宋体" w:eastAsia="宋体" w:hAnsi="宋体" w:cs="宋体"/>
          <w:vanish/>
        </w:rPr>
        <w:t>tedAsHedgingInstrumentMember2022-09-300000093751us-gaap:LongTermDebtMemberus-gaap:NondesignatedMember2022-09-300000093751us-gaap:AvailableforsaleSecuritiesMemberus-gaap:DesignatedAsHedgingInstrumentMember2022-09-300000093751us-gaap:AvailableforsaleSecuriti</w:t>
      </w:r>
      <w:r>
        <w:rPr>
          <w:rFonts w:ascii="宋体" w:eastAsia="宋体" w:hAnsi="宋体" w:cs="宋体"/>
          <w:vanish/>
        </w:rPr>
        <w:t>esMemberus-gaap:NondesignatedMember2022-09-300000093751us-gaap:LongTermDebtMemberus-gaap:DesignatedAsHedgingInstrumentMember2021-12-310000093751us-gaap:LongTermDebtMemberus-gaap:NondesignatedMember2021-12-310000093751us-gaap:AvailableforsaleSecuritiesMembe</w:t>
      </w:r>
      <w:r>
        <w:rPr>
          <w:rFonts w:ascii="宋体" w:eastAsia="宋体" w:hAnsi="宋体" w:cs="宋体"/>
          <w:vanish/>
        </w:rPr>
        <w:t>rus-gaap:DesignatedAsHedgingInstrumentMember2021-12-310000093751us-gaap:AvailableforsaleSecuritiesMemberus-gaap:NondesignatedMember2021-12-310000093751us-gaap:FairValueHedgingMemberus-gaap:InterestRateSwapMember2022-09-300000093751us-gaap:FairValueHedgingM</w:t>
      </w:r>
      <w:r>
        <w:rPr>
          <w:rFonts w:ascii="宋体" w:eastAsia="宋体" w:hAnsi="宋体" w:cs="宋体"/>
          <w:vanish/>
        </w:rPr>
        <w:t>emberus-gaap:InterestRateSwapMember2021-12-310000093751us-gaap:InterestRateContractMemberus-gaap:AvailableforsaleSecuritiesMemberstt:InterestIncomeNetMember2022-07-012022-09-300000093751us-gaap:InterestRateContractMemberus-gaap:AvailableforsaleSecuritiesMe</w:t>
      </w:r>
      <w:r>
        <w:rPr>
          <w:rFonts w:ascii="宋体" w:eastAsia="宋体" w:hAnsi="宋体" w:cs="宋体"/>
          <w:vanish/>
        </w:rPr>
        <w:t>mberstt:InterestIncomeNetMember2021-07-012021-09-300000093751us-gaap:InterestRateContractMemberus-gaap:LongTermDebtMemberstt:InterestIncomeNetMember2022-07-012022-09-300000093751us-gaap:InterestRateContractMemberus-gaap:LongTermDebtMemberstt:InterestIncome</w:t>
      </w:r>
      <w:r>
        <w:rPr>
          <w:rFonts w:ascii="宋体" w:eastAsia="宋体" w:hAnsi="宋体" w:cs="宋体"/>
          <w:vanish/>
        </w:rPr>
        <w:t>NetMember2021-07-012021-09-300000093751us-gaap:InterestRateContractMemberus-gaap:AvailableforsaleSecuritiesMemberstt:InterestIncomeNetMember2022-01-012022-09-300000093751us-gaap:InterestRateContractMemberus-gaap:AvailableforsaleSecuritiesMemberstt:Interest</w:t>
      </w:r>
      <w:r>
        <w:rPr>
          <w:rFonts w:ascii="宋体" w:eastAsia="宋体" w:hAnsi="宋体" w:cs="宋体"/>
          <w:vanish/>
        </w:rPr>
        <w:t>IncomeNetMember2021-01-012021-09-300000093751us-gaap:InterestRateContractMemberus-gaap:LongTermDebtMemberstt:InterestIncomeNetMember2022-01-012022-09-300000093751us-gaap:InterestRateContractMemberus-gaap:LongTermDebtMemberstt:InterestIncomeNetMember2021-01</w:t>
      </w:r>
      <w:r>
        <w:rPr>
          <w:rFonts w:ascii="宋体" w:eastAsia="宋体" w:hAnsi="宋体" w:cs="宋体"/>
          <w:vanish/>
        </w:rPr>
        <w:t>-012021-09-300000093751us-gaap:InterestRateContractMember2022-07-012022-09-300000093751us-gaap:InterestRateContractMember2021-07-012021-09-300000093751us-gaap:InterestIncomeMemberus-gaap:InterestRateContractMember2022-07-012022-09-300000093751us-gaap:Inter</w:t>
      </w:r>
      <w:r>
        <w:rPr>
          <w:rFonts w:ascii="宋体" w:eastAsia="宋体" w:hAnsi="宋体" w:cs="宋体"/>
          <w:vanish/>
        </w:rPr>
        <w:t>estIncomeMemberus-gaap:InterestRateContractMember2021-07-012021-09-300000093751us-gaap:InterestIncomeMemberus-gaap:ForeignExchangeContractMember2022-07-012022-09-300000093751us-gaap:InterestIncomeMemberus-gaap:ForeignExchangeContractMember2021-07-012021-09</w:t>
      </w:r>
      <w:r>
        <w:rPr>
          <w:rFonts w:ascii="宋体" w:eastAsia="宋体" w:hAnsi="宋体" w:cs="宋体"/>
          <w:vanish/>
        </w:rPr>
        <w:t>-300000093751us-gaap:GainLossOnInvestmentsMember1us-gaap:ForeignExchangeContractMember2022-07-012022-09-300000093751us-gaap:GainLossOnInvestmentsMember1us-gaap:ForeignExchangeContractMember2021-07-012021-09-300000093751us-gaap:InterestRateContractMember202</w:t>
      </w:r>
      <w:r>
        <w:rPr>
          <w:rFonts w:ascii="宋体" w:eastAsia="宋体" w:hAnsi="宋体" w:cs="宋体"/>
          <w:vanish/>
        </w:rPr>
        <w:t>2-01-012022-09-300000093751us-gaap:InterestRateContractMember2021-01-012021-09-300000093751us-gaap:InterestIncomeMemberus-gaap:InterestRateContractMember2022-01-012022-09-300000093751us-gaap:InterestIncomeMemberus-gaap:InterestRateContractMember2021-01-012</w:t>
      </w:r>
      <w:r>
        <w:rPr>
          <w:rFonts w:ascii="宋体" w:eastAsia="宋体" w:hAnsi="宋体" w:cs="宋体"/>
          <w:vanish/>
        </w:rPr>
        <w:t>021-09-300000093751us-gaap:InterestIncomeMemberus-gaap:ForeignExchangeContractMember2022-01-012022-09-300000093751us-gaap:InterestIncomeMemberus-gaap:ForeignExchangeContractMember2021-01-012021-09-300000093751us-gaap:GainLossOnInvestmentsMember1us-gaap:For</w:t>
      </w:r>
      <w:r>
        <w:rPr>
          <w:rFonts w:ascii="宋体" w:eastAsia="宋体" w:hAnsi="宋体" w:cs="宋体"/>
          <w:vanish/>
        </w:rPr>
        <w:t>eignExchangeContractMember2022-01-012022-09-300000093751us-gaap:GainLossOnInvestmentsMember1us-gaap:ForeignExchangeContractMember2021-01-012021-09-300000093751stt:LIBORIndexedFloatingRateLoansMember2022-01-012022-09-300000093751us-gaap:CreditDefaultSwapMem</w:t>
      </w:r>
      <w:r>
        <w:rPr>
          <w:rFonts w:ascii="宋体" w:eastAsia="宋体" w:hAnsi="宋体" w:cs="宋体"/>
          <w:vanish/>
        </w:rPr>
        <w:t>ber2022-09-300000093751us-gaap:InterestRateContractMember2022-09-300000093751us-gaap:InterestRateContractMember2021-12-310000093751stt:OtherDerivativeContractsMember2022-09-300000093751stt:OtherDerivativeContractsMember2021-12-310000093751stt:AccruedExpens</w:t>
      </w:r>
      <w:r>
        <w:rPr>
          <w:rFonts w:ascii="宋体" w:eastAsia="宋体" w:hAnsi="宋体" w:cs="宋体"/>
          <w:vanish/>
        </w:rPr>
        <w:t>esAndOtherLiabilitiesMember2022-09-300000093751stt:AccruedExpensesAndOtherLiabilitiesMember2021-12-310000093751us-gaap:USTreasuryAndGovernmentMemberus-gaap:MaturityOvernightAndOnDemandMember2022-09-300000093751us-gaap:USTreasuryAndGovernmentMemberus-gaap:M</w:t>
      </w:r>
      <w:r>
        <w:rPr>
          <w:rFonts w:ascii="宋体" w:eastAsia="宋体" w:hAnsi="宋体" w:cs="宋体"/>
          <w:vanish/>
        </w:rPr>
        <w:t>aturityUpTo30DaysMember2022-09-300000093751us-gaap:USTreasuryAndGovernmentMemberus-gaap:Maturity30To90DaysMember2022-09-300000093751us-gaap:MaturityOver90DaysMemberus-gaap:USTreasuryAndGovernmentMember2022-09-300000093751us-gaap:USTreasuryAndGovernmentMemb</w:t>
      </w:r>
      <w:r>
        <w:rPr>
          <w:rFonts w:ascii="宋体" w:eastAsia="宋体" w:hAnsi="宋体" w:cs="宋体"/>
          <w:vanish/>
        </w:rPr>
        <w:t>erus-gaap:MaturityOvernightAndOnDemandMember2021-12-310000093751us-gaap:USTreasuryAndGovernmentMemberus-gaap:MaturityUpTo30DaysMember2021-12-310000093751us-gaap:USTreasuryAndGovernmentMemberus-gaap:Maturity30To90DaysMember2021-12-310000093751us-gaap:Maturi</w:t>
      </w:r>
      <w:r>
        <w:rPr>
          <w:rFonts w:ascii="宋体" w:eastAsia="宋体" w:hAnsi="宋体" w:cs="宋体"/>
          <w:vanish/>
        </w:rPr>
        <w:t>tyOver90DaysMemberus-gaap:USTreasuryAndGovernmentMember2021-12-310000093751us-gaap:MaturityOvernightAndOnDemandMember2022-09-300000093751us-gaap:MaturityUpTo30DaysMember2022-09-300000093751us-gaap:Maturity30To90DaysMember2022-09-300000093751us-gaap:Maturit</w:t>
      </w:r>
      <w:r>
        <w:rPr>
          <w:rFonts w:ascii="宋体" w:eastAsia="宋体" w:hAnsi="宋体" w:cs="宋体"/>
          <w:vanish/>
        </w:rPr>
        <w:t>yOver90DaysMember2022-09-300000093751us-gaap:MaturityOvernightAndOnDemandMember2021-12-310000093751us-gaap:MaturityUpTo30DaysMember2021-12-310000093751us-gaap:Maturity30To90DaysMember2021-12-310000093751us-gaap:MaturityOver90DaysMember2021-12-310000093751u</w:t>
      </w:r>
      <w:r>
        <w:rPr>
          <w:rFonts w:ascii="宋体" w:eastAsia="宋体" w:hAnsi="宋体" w:cs="宋体"/>
          <w:vanish/>
        </w:rPr>
        <w:t>s-gaap:MaturityOvernightAndOnDemandMemberus-gaap:CorporateDebtSecuritiesMember2022-09-300000093751us-gaap:MaturityUpTo30DaysMemberus-gaap:CorporateDebtSecuritiesMember2022-09-300000093751us-gaap:Maturity30To90DaysMemberus-gaap:CorporateDebtSecuritiesMember</w:t>
      </w:r>
      <w:r>
        <w:rPr>
          <w:rFonts w:ascii="宋体" w:eastAsia="宋体" w:hAnsi="宋体" w:cs="宋体"/>
          <w:vanish/>
        </w:rPr>
        <w:t>2022-09-300000093751us-gaap:MaturityOver90DaysMemberus-gaap:CorporateDebtSecuritiesMember2022-09-300000093751us-gaap:CorporateDebtSecuritiesMember2022-09-300000093751us-gaap:MaturityOvernightAndOnDemandMemberus-gaap:CorporateDebtSecuritiesMember2021-12-310</w:t>
      </w:r>
      <w:r>
        <w:rPr>
          <w:rFonts w:ascii="宋体" w:eastAsia="宋体" w:hAnsi="宋体" w:cs="宋体"/>
          <w:vanish/>
        </w:rPr>
        <w:t>000093751us-gaap:MaturityUpTo30DaysMemberus-gaap:CorporateDebtSecuritiesMember2021-12-310000093751us-gaap:Maturity30To90DaysMemberus-gaap:CorporateDebtSecuritiesMember2021-12-310000093751us-gaap:MaturityOver90DaysMemberus-gaap:CorporateDebtSecuritiesMember</w:t>
      </w:r>
      <w:r>
        <w:rPr>
          <w:rFonts w:ascii="宋体" w:eastAsia="宋体" w:hAnsi="宋体" w:cs="宋体"/>
          <w:vanish/>
        </w:rPr>
        <w:t>2021-12-310000093751us-gaap:CorporateDebtSecuritiesMember2021-12-310000093751us-gaap:MaturityOvernightAndOnDemandMemberus-gaap:EquitySecuritiesMember2022-09-300000093751us-gaap:MaturityUpTo30DaysMemberus-gaap:EquitySecuritiesMember2022-09-300000093751us-ga</w:t>
      </w:r>
      <w:r>
        <w:rPr>
          <w:rFonts w:ascii="宋体" w:eastAsia="宋体" w:hAnsi="宋体" w:cs="宋体"/>
          <w:vanish/>
        </w:rPr>
        <w:t>ap:Maturity30To90DaysMemberus-gaap:EquitySecuritiesMember2022-09-300000093751us-gaap:MaturityOver90DaysMemberus-gaap:EquitySecuritiesMember2022-09-300000093751us-gaap:EquitySecuritiesMember2022-09-300000093751us-gaap:MaturityOvernightAndOnDemandMemberus-ga</w:t>
      </w:r>
      <w:r>
        <w:rPr>
          <w:rFonts w:ascii="宋体" w:eastAsia="宋体" w:hAnsi="宋体" w:cs="宋体"/>
          <w:vanish/>
        </w:rPr>
        <w:t>ap:EquitySecuritiesMember2021-12-310000093751us-gaap:MaturityUpTo30DaysMemberus-gaap:EquitySecuritiesMember2021-12-310000093751us-gaap:Maturity30To90DaysMemberus-gaap:EquitySecuritiesMember2021-12-310000093751us-gaap:MaturityOver90DaysMemberus-gaap:EquityS</w:t>
      </w:r>
      <w:r>
        <w:rPr>
          <w:rFonts w:ascii="宋体" w:eastAsia="宋体" w:hAnsi="宋体" w:cs="宋体"/>
          <w:vanish/>
        </w:rPr>
        <w:t>ecuritiesMember2021-12-310000093751us-gaap:EquitySecuritiesMember2021-12-310000093751us-gaap:MaturityOvernightAndOnDemandMemberus-gaap:SovereignDebtMember2022-09-300000093751us-gaap:MaturityUpTo30DaysMemberus-gaap:SovereignDebtMember2022-09-300000093751us-</w:t>
      </w:r>
      <w:r>
        <w:rPr>
          <w:rFonts w:ascii="宋体" w:eastAsia="宋体" w:hAnsi="宋体" w:cs="宋体"/>
          <w:vanish/>
        </w:rPr>
        <w:t>gaap:Maturity30To90DaysMemberus-gaap:SovereignDebtMember2022-09-300000093751us-gaap:MaturityOver90DaysMemberus-gaap:SovereignDebtMember2022-09-300000093751us-gaap:SovereignDebtMember2022-09-300000093751us-gaap:MaturityOvernightAndOnDemandMemberus-gaap:Sove</w:t>
      </w:r>
      <w:r>
        <w:rPr>
          <w:rFonts w:ascii="宋体" w:eastAsia="宋体" w:hAnsi="宋体" w:cs="宋体"/>
          <w:vanish/>
        </w:rPr>
        <w:t>reignDebtMember2021-12-310000093751us-gaap:MaturityUpTo30DaysMemberus-gaap:SovereignDebtMember2021-12-310000093751us-gaap:Maturity30To90DaysMemberus-gaap:SovereignDebtMember2021-12-310000093751us-gaap:MaturityOver90DaysMemberus-gaap:SovereignDebtMember2021</w:t>
      </w:r>
      <w:r>
        <w:rPr>
          <w:rFonts w:ascii="宋体" w:eastAsia="宋体" w:hAnsi="宋体" w:cs="宋体"/>
          <w:vanish/>
        </w:rPr>
        <w:t>-12-310000093751us-gaap:SovereignDebtMember2021-12-310000093751us-gaap:LegalReserveMemberstt:InvoicingMatterMember2022-09-300000093751stt:UnitedStatesAttorneyForTheDistrictOfMassachusettsMemberstt:InvoicingMatterMember2021-05-012021-05-310000093751stt:USSe</w:t>
      </w:r>
      <w:r>
        <w:rPr>
          <w:rFonts w:ascii="宋体" w:eastAsia="宋体" w:hAnsi="宋体" w:cs="宋体"/>
          <w:vanish/>
        </w:rPr>
        <w:t>curitiesAndExchangeCommissionMemberstt:InvoicingMatterMember2019-06-012019-06-300000093751stt:MassachusettsAttorneyGeneralMemberstt:InvoicingMatterMember2019-06-012019-06-300000093751stt:InvoicingMatterMember2019-06-012019-06-3000000937512021-05-012021-05-</w:t>
      </w:r>
      <w:r>
        <w:rPr>
          <w:rFonts w:ascii="宋体" w:eastAsia="宋体" w:hAnsi="宋体" w:cs="宋体"/>
          <w:vanish/>
        </w:rPr>
        <w:t>31stt:participant0000093751stt:EdmarVCurrenexMember2021-08-012021-08-31stt:plaintiff0000093751us-gaap:VariableInterestEntityPrimaryBeneficiaryMember2022-09-300000093751us-gaap:VariableInterestEntityPrimaryBeneficiaryMember2021-12-310000093751stt:Unconsolid</w:t>
      </w:r>
      <w:r>
        <w:rPr>
          <w:rFonts w:ascii="宋体" w:eastAsia="宋体" w:hAnsi="宋体" w:cs="宋体"/>
          <w:vanish/>
        </w:rPr>
        <w:t>atedFundsMemberus-gaap:VariableInterestEntityNotPrimaryBeneficiaryMember2022-09-300000093751stt:UnconsolidatedFundsMemberus-gaap:VariableInterestEntityNotPrimaryBeneficiaryMember2021-12-310000093751stt:LowIncomeHousingProductionAndInvestmentTaxCreditEntiti</w:t>
      </w:r>
      <w:r>
        <w:rPr>
          <w:rFonts w:ascii="宋体" w:eastAsia="宋体" w:hAnsi="宋体" w:cs="宋体"/>
          <w:vanish/>
        </w:rPr>
        <w:t>esMemberus-gaap:VariableInterestEntityNotPrimaryBeneficiaryMember2022-09-300000093751stt:LowIncomeHousingProductionAndInvestmentTaxCreditEntitiesMemberus-gaap:VariableInterestEntityNotPrimaryBeneficiaryMember2021-12-310000093751stt:SeriesDPreferredStockDep</w:t>
      </w:r>
      <w:r>
        <w:rPr>
          <w:rFonts w:ascii="宋体" w:eastAsia="宋体" w:hAnsi="宋体" w:cs="宋体"/>
          <w:vanish/>
        </w:rPr>
        <w:t>ositoryShareMember2014-02-012014-02-280000093751stt:SeriesDPreferredStockDepositoryShareMember2014-02-280000093751us-gaap:SeriesDPreferredStockMember2014-02-280000093751us-gaap:SeriesDPreferredStockMember2014-02-012014-02-280000093751us-gaap:LondonInterban</w:t>
      </w:r>
      <w:r>
        <w:rPr>
          <w:rFonts w:ascii="宋体" w:eastAsia="宋体" w:hAnsi="宋体" w:cs="宋体"/>
          <w:vanish/>
        </w:rPr>
        <w:t>kOfferedRateLIBORMemberus-gaap:SeriesDPreferredStockMember2014-02-012014-02-280000093751stt:SeriesFPreferredStockDepositoryShareMember2015-05-012015-05-310000093751stt:SeriesFPreferredStockDepositoryShareMember2015-05-310000093751us-gaap:SeriesFPreferredSt</w:t>
      </w:r>
      <w:r>
        <w:rPr>
          <w:rFonts w:ascii="宋体" w:eastAsia="宋体" w:hAnsi="宋体" w:cs="宋体"/>
          <w:vanish/>
        </w:rPr>
        <w:t>ockMember2015-05-310000093751us-gaap:SeriesFPreferredStockMember2015-05-012015-05-310000093751us-gaap:SeriesFPreferredStockMemberus-gaap:LondonInterbankOfferedRateLIBORMember2015-05-012015-05-310000093751us-gaap:SeriesFPreferredStockMemberus-gaap:LondonInt</w:t>
      </w:r>
      <w:r>
        <w:rPr>
          <w:rFonts w:ascii="宋体" w:eastAsia="宋体" w:hAnsi="宋体" w:cs="宋体"/>
          <w:vanish/>
        </w:rPr>
        <w:t>erbankOfferedRateLIBORMember2022-06-152022-06-150000093751stt:SeriesGPreferredStockDepositoryShareMember2016-04-012016-04-300000093751stt:SeriesGPreferredStockDepositoryShareMember2016-04-300000093751us-gaap:SeriesGPreferredStockMember2016-04-300000093751u</w:t>
      </w:r>
      <w:r>
        <w:rPr>
          <w:rFonts w:ascii="宋体" w:eastAsia="宋体" w:hAnsi="宋体" w:cs="宋体"/>
          <w:vanish/>
        </w:rPr>
        <w:t>s-gaap:SeriesGPreferredStockMember2016-04-012016-04-300000093751us-gaap:LondonInterbankOfferedRateLIBORMemberus-gaap:SeriesGPreferredStockMember2016-04-012016-04-300000093751stt:SeriesHPreferredStockDepositoryShareMember2018-09-012018-09-300000093751stt:Se</w:t>
      </w:r>
      <w:r>
        <w:rPr>
          <w:rFonts w:ascii="宋体" w:eastAsia="宋体" w:hAnsi="宋体" w:cs="宋体"/>
          <w:vanish/>
        </w:rPr>
        <w:t>riesHPreferredStockDepositoryShareMember2018-09-300000093751us-gaap:SeriesHPreferredStockMember2018-09-300000093751us-gaap:SeriesHPreferredStockMember2018-09-012018-09-300000093751us-gaap:LondonInterbankOfferedRateLIBORMemberus-gaap:SeriesHPreferredStockMe</w:t>
      </w:r>
      <w:r>
        <w:rPr>
          <w:rFonts w:ascii="宋体" w:eastAsia="宋体" w:hAnsi="宋体" w:cs="宋体"/>
          <w:vanish/>
        </w:rPr>
        <w:t>mber2018-09-012018-09-300000093751us-gaap:SeriesDPreferredStockMember2022-07-012022-09-300000093751stt:SeriesDPreferredStockDepositoryShareMember2022-07-012022-09-300000093751us-gaap:SeriesDPreferredStockMember2021-07-012021-09-300000093751stt:SeriesDPrefe</w:t>
      </w:r>
      <w:r>
        <w:rPr>
          <w:rFonts w:ascii="宋体" w:eastAsia="宋体" w:hAnsi="宋体" w:cs="宋体"/>
          <w:vanish/>
        </w:rPr>
        <w:t>rredStockDepositoryShareMember2021-07-012021-09-300000093751us-gaap:SeriesFPreferredStockMember2022-07-012022-09-300000093751stt:SeriesFPreferredStockDepositoryShareMember2022-07-012022-09-300000093751us-gaap:SeriesFPreferredStockMember2021-07-012021-09-30</w:t>
      </w:r>
      <w:r>
        <w:rPr>
          <w:rFonts w:ascii="宋体" w:eastAsia="宋体" w:hAnsi="宋体" w:cs="宋体"/>
          <w:vanish/>
        </w:rPr>
        <w:t>0000093751stt:SeriesFPreferredStockDepositoryShareMember2021-07-012021-09-300000093751us-gaap:SeriesGPreferredStockMember2022-07-012022-09-300000093751stt:SeriesGPreferredStockDepositoryShareMember2022-07-012022-09-300000093751us-gaap:SeriesGPreferredStock</w:t>
      </w:r>
      <w:r>
        <w:rPr>
          <w:rFonts w:ascii="宋体" w:eastAsia="宋体" w:hAnsi="宋体" w:cs="宋体"/>
          <w:vanish/>
        </w:rPr>
        <w:t>Member2021-07-012021-09-300000093751stt:SeriesGPreferredStockDepositoryShareMember2021-07-012021-09-300000093751us-gaap:SeriesDPreferredStockMember2022-01-012022-09-300000093751us-gaap:SeriesDPreferredStockMember2021-01-012021-09-300000093751stt:SeriesDPre</w:t>
      </w:r>
      <w:r>
        <w:rPr>
          <w:rFonts w:ascii="宋体" w:eastAsia="宋体" w:hAnsi="宋体" w:cs="宋体"/>
          <w:vanish/>
        </w:rPr>
        <w:t>ferredStockDepositoryShareMember2021-01-012021-09-300000093751us-gaap:SeriesFPreferredStockMember2022-01-012022-09-300000093751stt:SeriesFPreferredStockDepositoryShareMember2022-01-012022-09-300000093751us-gaap:SeriesFPreferredStockMember2021-01-012021-09-</w:t>
      </w:r>
      <w:r>
        <w:rPr>
          <w:rFonts w:ascii="宋体" w:eastAsia="宋体" w:hAnsi="宋体" w:cs="宋体"/>
          <w:vanish/>
        </w:rPr>
        <w:t>300000093751stt:SeriesFPreferredStockDepositoryShareMember2021-01-012021-09-300000093751us-gaap:SeriesGPreferredStockMember2022-01-012022-09-300000093751us-gaap:SeriesGPreferredStockMember2021-01-012021-09-300000093751stt:SeriesGPreferredStockDepositorySha</w:t>
      </w:r>
      <w:r>
        <w:rPr>
          <w:rFonts w:ascii="宋体" w:eastAsia="宋体" w:hAnsi="宋体" w:cs="宋体"/>
          <w:vanish/>
        </w:rPr>
        <w:t>reMember2021-01-012021-09-300000093751us-gaap:SeriesHPreferredStockMember2022-01-012022-09-300000093751stt:SeriesHPreferredStockDepositoryShareMember2022-01-012022-09-300000093751us-gaap:SeriesHPreferredStockMember2021-01-012021-09-300000093751stt:SeriesHP</w:t>
      </w:r>
      <w:r>
        <w:rPr>
          <w:rFonts w:ascii="宋体" w:eastAsia="宋体" w:hAnsi="宋体" w:cs="宋体"/>
          <w:vanish/>
        </w:rPr>
        <w:t>referredStockDepositoryShareMember2021-01-012021-09-300000093751srt:ScenarioForecastMemberus-gaap:SeriesDPreferredStockMemberus-gaap:SubsequentEventMember2022-10-012022-10-310000093751srt:ScenarioForecastMemberus-gaap:SeriesFPreferredStockMemberus-gaap:Sub</w:t>
      </w:r>
      <w:r>
        <w:rPr>
          <w:rFonts w:ascii="宋体" w:eastAsia="宋体" w:hAnsi="宋体" w:cs="宋体"/>
          <w:vanish/>
        </w:rPr>
        <w:t>sequentEventMember2022-10-012022-10-310000093751srt:ScenarioForecastMemberus-gaap:SubsequentEventMemberus-gaap:SeriesGPreferredStockMember2022-10-012022-10-310000093751srt:ScenarioForecastMemberus-gaap:SeriesHPreferredStockMemberus-gaap:SubsequentEventMemb</w:t>
      </w:r>
      <w:r>
        <w:rPr>
          <w:rFonts w:ascii="宋体" w:eastAsia="宋体" w:hAnsi="宋体" w:cs="宋体"/>
          <w:vanish/>
        </w:rPr>
        <w:t>er2022-10-012022-10-310000093751srt:ScenarioForecastMemberstt:SeriesDPreferredStockDepositoryShareMemberus-gaap:SubsequentEventMember2022-10-012022-10-310000093751srt:ScenarioForecastMemberstt:SeriesFPreferredStockDepositoryShareMemberus-gaap:SubsequentEve</w:t>
      </w:r>
      <w:r>
        <w:rPr>
          <w:rFonts w:ascii="宋体" w:eastAsia="宋体" w:hAnsi="宋体" w:cs="宋体"/>
          <w:vanish/>
        </w:rPr>
        <w:t>ntMember2022-10-012022-10-310000093751srt:ScenarioForecastMemberus-gaap:SubsequentEventMemberstt:SeriesGPreferredStockDepositoryShareMember2022-10-012022-10-310000093751srt:ScenarioForecastMemberstt:SeriesHPreferredStockDepositoryShareMemberus-gaap:Subsequ</w:t>
      </w:r>
      <w:r>
        <w:rPr>
          <w:rFonts w:ascii="宋体" w:eastAsia="宋体" w:hAnsi="宋体" w:cs="宋体"/>
          <w:vanish/>
        </w:rPr>
        <w:t>entEventMember2022-10-012022-10-310000093751us-gaap:CommonStockMember2021-09-012021-09-300000093751us-gaap:CommonStockMember2021-09-3000000937512021-09-012021-09-3000000937512021-01-3100000937512021-04-3000000937512021-07-3100000937512021-07-012021-12-3100</w:t>
      </w:r>
      <w:r>
        <w:rPr>
          <w:rFonts w:ascii="宋体" w:eastAsia="宋体" w:hAnsi="宋体" w:cs="宋体"/>
          <w:vanish/>
        </w:rPr>
        <w:t>00093751srt:ScenarioForecastMember2022-10-012022-12-310000093751stt:TwoThousandandEighteenShareRepurchaseProgramMember2021-07-012021-09-300000093751stt:TwoThousandandEighteenShareRepurchaseProgramMember2021-01-012021-09-300000093751us-gaap:AccumulatedGainL</w:t>
      </w:r>
      <w:r>
        <w:rPr>
          <w:rFonts w:ascii="宋体" w:eastAsia="宋体" w:hAnsi="宋体" w:cs="宋体"/>
          <w:vanish/>
        </w:rPr>
        <w:t>ossNetCashFlowHedgeParentMember2021-12-310000093751us-gaap:AccumulatedNetUnrealizedInvestmentGainLossMember2021-12-310000093751stt:AccumulatedNetUnrealizedGainLossOnNetInvestmentHedgingMember2021-12-310000093751stt:OtherThanTemporaryImpairmentOnHeldToMatur</w:t>
      </w:r>
      <w:r>
        <w:rPr>
          <w:rFonts w:ascii="宋体" w:eastAsia="宋体" w:hAnsi="宋体" w:cs="宋体"/>
          <w:vanish/>
        </w:rPr>
        <w:t>itySecuritiesMember2021-12-310000093751us-gaap:AccumulatedDefinedBenefitPlansAdjustmentMember2021-12-310000093751us-gaap:AccumulatedTranslationAdjustmentMember2021-12-310000093751us-gaap:AccumulatedGainLossNetCashFlowHedgeParentMember2022-01-012022-09-3000</w:t>
      </w:r>
      <w:r>
        <w:rPr>
          <w:rFonts w:ascii="宋体" w:eastAsia="宋体" w:hAnsi="宋体" w:cs="宋体"/>
          <w:vanish/>
        </w:rPr>
        <w:t>00093751us-gaap:AccumulatedNetUnrealizedInvestmentGainLossMember2022-01-012022-09-300000093751stt:AccumulatedNetUnrealizedGainLossOnNetInvestmentHedgingMember2022-01-012022-09-300000093751stt:OtherThanTemporaryImpairmentOnHeldToMaturitySecuritiesMember2022</w:t>
      </w:r>
      <w:r>
        <w:rPr>
          <w:rFonts w:ascii="宋体" w:eastAsia="宋体" w:hAnsi="宋体" w:cs="宋体"/>
          <w:vanish/>
        </w:rPr>
        <w:t>-01-012022-09-300000093751us-gaap:AccumulatedDefinedBenefitPlansAdjustmentMember2022-01-012022-09-300000093751us-gaap:AccumulatedTranslationAdjustmentMember2022-01-012022-09-300000093751us-gaap:AccumulatedGainLossNetCashFlowHedgeParentMember2022-09-3000000</w:t>
      </w:r>
      <w:r>
        <w:rPr>
          <w:rFonts w:ascii="宋体" w:eastAsia="宋体" w:hAnsi="宋体" w:cs="宋体"/>
          <w:vanish/>
        </w:rPr>
        <w:t>93751us-gaap:AccumulatedNetUnrealizedInvestmentGainLossMember2022-09-300000093751stt:AccumulatedNetUnrealizedGainLossOnNetInvestmentHedgingMember2022-09-300000093751stt:OtherThanTemporaryImpairmentOnHeldToMaturitySecuritiesMember2022-09-300000093751us-gaap</w:t>
      </w:r>
      <w:r>
        <w:rPr>
          <w:rFonts w:ascii="宋体" w:eastAsia="宋体" w:hAnsi="宋体" w:cs="宋体"/>
          <w:vanish/>
        </w:rPr>
        <w:t>:AccumulatedDefinedBenefitPlansAdjustmentMember2022-09-300000093751us-gaap:AccumulatedTranslationAdjustmentMember2022-09-300000093751us-gaap:AccumulatedGainLossNetCashFlowHedgeParentMember2020-12-310000093751us-gaap:AccumulatedNetUnrealizedInvestmentGainLo</w:t>
      </w:r>
      <w:r>
        <w:rPr>
          <w:rFonts w:ascii="宋体" w:eastAsia="宋体" w:hAnsi="宋体" w:cs="宋体"/>
          <w:vanish/>
        </w:rPr>
        <w:t>ssMember2020-12-310000093751stt:AccumulatedNetUnrealizedGainLossOnNetInvestmentHedgingMember2020-12-310000093751stt:OtherThanTemporaryImpairmentOnHeldToMaturitySecuritiesMember2020-12-310000093751us-gaap:AccumulatedDefinedBenefitPlansAdjustmentMember2020-1</w:t>
      </w:r>
      <w:r>
        <w:rPr>
          <w:rFonts w:ascii="宋体" w:eastAsia="宋体" w:hAnsi="宋体" w:cs="宋体"/>
          <w:vanish/>
        </w:rPr>
        <w:t>2-310000093751us-gaap:AccumulatedTranslationAdjustmentMember2020-12-310000093751us-gaap:AccumulatedGainLossNetCashFlowHedgeParentMember2021-01-012021-09-300000093751us-gaap:AccumulatedNetUnrealizedInvestmentGainLossMember2021-01-012021-09-300000093751stt:A</w:t>
      </w:r>
      <w:r>
        <w:rPr>
          <w:rFonts w:ascii="宋体" w:eastAsia="宋体" w:hAnsi="宋体" w:cs="宋体"/>
          <w:vanish/>
        </w:rPr>
        <w:t>ccumulatedNetUnrealizedGainLossOnNetInvestmentHedgingMember2021-01-012021-09-300000093751stt:OtherThanTemporaryImpairmentOnHeldToMaturitySecuritiesMember2021-01-012021-09-300000093751us-gaap:AccumulatedDefinedBenefitPlansAdjustmentMember2021-01-012021-09-3</w:t>
      </w:r>
      <w:r>
        <w:rPr>
          <w:rFonts w:ascii="宋体" w:eastAsia="宋体" w:hAnsi="宋体" w:cs="宋体"/>
          <w:vanish/>
        </w:rPr>
        <w:t>00000093751us-gaap:AccumulatedTranslationAdjustmentMember2021-01-012021-09-300000093751us-gaap:AccumulatedGainLossNetCashFlowHedgeParentMember2021-09-300000093751us-gaap:AccumulatedNetUnrealizedInvestmentGainLossMember2021-09-300000093751stt:AccumulatedNet</w:t>
      </w:r>
      <w:r>
        <w:rPr>
          <w:rFonts w:ascii="宋体" w:eastAsia="宋体" w:hAnsi="宋体" w:cs="宋体"/>
          <w:vanish/>
        </w:rPr>
        <w:t>UnrealizedGainLossOnNetInvestmentHedgingMember2021-09-300000093751stt:OtherThanTemporaryImpairmentOnHeldToMaturitySecuritiesMember2021-09-300000093751us-gaap:AccumulatedDefinedBenefitPlansAdjustmentMember2021-09-300000093751us-gaap:AccumulatedTranslationAd</w:t>
      </w:r>
      <w:r>
        <w:rPr>
          <w:rFonts w:ascii="宋体" w:eastAsia="宋体" w:hAnsi="宋体" w:cs="宋体"/>
          <w:vanish/>
        </w:rPr>
        <w:t>justmentMember2021-09-300000093751us-gaap:ReclassificationOutOfAccumulatedOtherComprehensiveIncomeMemberus-gaap:AccumulatedGainLossNetCashFlowHedgeParentMember2022-07-012022-09-300000093751us-gaap:ReclassificationOutOfAccumulatedOtherComprehensiveIncomeMem</w:t>
      </w:r>
      <w:r>
        <w:rPr>
          <w:rFonts w:ascii="宋体" w:eastAsia="宋体" w:hAnsi="宋体" w:cs="宋体"/>
          <w:vanish/>
        </w:rPr>
        <w:t>berus-gaap:AccumulatedGainLossNetCashFlowHedgeParentMember2021-07-012021-09-300000093751us-gaap:ReclassificationOutOfAccumulatedOtherComprehensiveIncomeMemberus-gaap:AccumulatedDefinedBenefitPlansAdjustmentMember2022-07-012022-09-300000093751us-gaap:Reclas</w:t>
      </w:r>
      <w:r>
        <w:rPr>
          <w:rFonts w:ascii="宋体" w:eastAsia="宋体" w:hAnsi="宋体" w:cs="宋体"/>
          <w:vanish/>
        </w:rPr>
        <w:t>sificationOutOfAccumulatedOtherComprehensiveIncomeMemberus-gaap:AccumulatedDefinedBenefitPlansAdjustmentMember2021-07-012021-09-300000093751us-gaap:ReclassificationOutOfAccumulatedOtherComprehensiveIncomeMember2022-07-012022-09-300000093751us-gaap:Reclassi</w:t>
      </w:r>
      <w:r>
        <w:rPr>
          <w:rFonts w:ascii="宋体" w:eastAsia="宋体" w:hAnsi="宋体" w:cs="宋体"/>
          <w:vanish/>
        </w:rPr>
        <w:t>ficationOutOfAccumulatedOtherComprehensiveIncomeMember2021-07-012021-09-300000093751us-gaap:ReclassificationOutOfAccumulatedOtherComprehensiveIncomeMemberus-gaap:AccumulatedGainLossNetCashFlowHedgeParentMember2022-01-012022-09-300000093751us-gaap:Reclassif</w:t>
      </w:r>
      <w:r>
        <w:rPr>
          <w:rFonts w:ascii="宋体" w:eastAsia="宋体" w:hAnsi="宋体" w:cs="宋体"/>
          <w:vanish/>
        </w:rPr>
        <w:t>icationOutOfAccumulatedOtherComprehensiveIncomeMemberus-gaap:AccumulatedGainLossNetCashFlowHedgeParentMember2021-01-012021-09-300000093751us-gaap:ReclassificationOutOfAccumulatedOtherComprehensiveIncomeMemberus-gaap:AccumulatedDefinedBenefitPlansAdjustment</w:t>
      </w:r>
      <w:r>
        <w:rPr>
          <w:rFonts w:ascii="宋体" w:eastAsia="宋体" w:hAnsi="宋体" w:cs="宋体"/>
          <w:vanish/>
        </w:rPr>
        <w:t>Member2022-01-012022-09-300000093751us-gaap:ReclassificationOutOfAccumulatedOtherComprehensiveIncomeMemberus-gaap:AccumulatedDefinedBenefitPlansAdjustmentMember2021-01-012021-09-300000093751us-gaap:ReclassificationOutOfAccumulatedOtherComprehensiveIncomeMe</w:t>
      </w:r>
      <w:r>
        <w:rPr>
          <w:rFonts w:ascii="宋体" w:eastAsia="宋体" w:hAnsi="宋体" w:cs="宋体"/>
          <w:vanish/>
        </w:rPr>
        <w:t>mber2022-01-012022-09-300000093751us-gaap:ReclassificationOutOfAccumulatedOtherComprehensiveIncomeMember2021-01-012021-09-300000093751stt:BaselIIIAdvancedApproachMember2022-09-300000093751stt:BaselIIIstandardizedApproachMember2022-09-300000093751stt:BaselI</w:t>
      </w:r>
      <w:r>
        <w:rPr>
          <w:rFonts w:ascii="宋体" w:eastAsia="宋体" w:hAnsi="宋体" w:cs="宋体"/>
          <w:vanish/>
        </w:rPr>
        <w:t>IIAdvancedApproachMember2021-12-310000093751stt:BaselIIIstandardizedApproachMember2021-12-310000093751srt:SubsidiariesMemberstt:BaselIIIAdvancedApproachMember2022-09-300000093751srt:SubsidiariesMemberstt:BaselIIIstandardizedApproachMember2022-09-3000000937</w:t>
      </w:r>
      <w:r>
        <w:rPr>
          <w:rFonts w:ascii="宋体" w:eastAsia="宋体" w:hAnsi="宋体" w:cs="宋体"/>
          <w:vanish/>
        </w:rPr>
        <w:t>51srt:SubsidiariesMemberstt:BaselIIIAdvancedApproachMember2021-12-310000093751srt:SubsidiariesMemberstt:BaselIIIstandardizedApproachMember2021-12-310000093751stt:BBHInvestorServicesMember2022-07-012022-09-300000093751stt:BBHInvestorServicesMember2022-01-01</w:t>
      </w:r>
      <w:r>
        <w:rPr>
          <w:rFonts w:ascii="宋体" w:eastAsia="宋体" w:hAnsi="宋体" w:cs="宋体"/>
          <w:vanish/>
        </w:rPr>
        <w:t>2022-09-300000093751stt:BBHInvestorServicesMember2021-07-012021-09-300000093751stt:BBHInvestorServicesMember2021-01-012021-09-300000093751stt:CharlesRiverDevelopmentMember2021-07-012021-09-300000093751stt:CharlesRiverDevelopmentMember2021-01-012021-09-3000</w:t>
      </w:r>
      <w:r>
        <w:rPr>
          <w:rFonts w:ascii="宋体" w:eastAsia="宋体" w:hAnsi="宋体" w:cs="宋体"/>
          <w:vanish/>
        </w:rPr>
        <w:t>00093751us-gaap:EmployeeSeveranceMember2020-12-310000093751us-gaap:FacilityClosingMember2020-12-310000093751us-gaap:EmployeeSeveranceMemberstt:StateStreetBeaconMember2021-01-012021-03-310000093751us-gaap:FacilityClosingMemberstt:StateStreetBeaconMember2021</w:t>
      </w:r>
      <w:r>
        <w:rPr>
          <w:rFonts w:ascii="宋体" w:eastAsia="宋体" w:hAnsi="宋体" w:cs="宋体"/>
          <w:vanish/>
        </w:rPr>
        <w:t>-01-012021-03-310000093751stt:StateStreetBeaconMember2021-01-012021-03-310000093751us-gaap:EmployeeSeveranceMember2021-01-012021-03-310000093751us-gaap:FacilityClosingMember2021-01-012021-03-310000093751us-gaap:EmployeeSeveranceMember2021-03-310000093751us</w:t>
      </w:r>
      <w:r>
        <w:rPr>
          <w:rFonts w:ascii="宋体" w:eastAsia="宋体" w:hAnsi="宋体" w:cs="宋体"/>
          <w:vanish/>
        </w:rPr>
        <w:t>-gaap:FacilityClosingMember2021-03-310000093751us-gaap:EmployeeSeveranceMember2021-04-012021-06-300000093751us-gaap:FacilityClosingMember2021-04-012021-06-300000093751us-gaap:EmployeeSeveranceMember2021-06-300000093751us-gaap:FacilityClosingMember2021-06-3</w:t>
      </w:r>
      <w:r>
        <w:rPr>
          <w:rFonts w:ascii="宋体" w:eastAsia="宋体" w:hAnsi="宋体" w:cs="宋体"/>
          <w:vanish/>
        </w:rPr>
        <w:t>00000093751us-gaap:EmployeeSeveranceMember2021-07-012021-09-300000093751us-gaap:FacilityClosingMember2021-07-012021-09-300000093751us-gaap:EmployeeSeveranceMember2021-09-300000093751us-gaap:FacilityClosingMember2021-09-300000093751us-gaap:EmployeeSeverance</w:t>
      </w:r>
      <w:r>
        <w:rPr>
          <w:rFonts w:ascii="宋体" w:eastAsia="宋体" w:hAnsi="宋体" w:cs="宋体"/>
          <w:vanish/>
        </w:rPr>
        <w:t>Member2021-12-310000093751us-gaap:FacilityClosingMember2021-12-310000093751us-gaap:EmployeeSeveranceMember2022-01-012022-03-310000093751us-gaap:FacilityClosingMember2022-01-012022-03-310000093751us-gaap:EmployeeSeveranceMember2022-03-310000093751us-gaap:Fa</w:t>
      </w:r>
      <w:r>
        <w:rPr>
          <w:rFonts w:ascii="宋体" w:eastAsia="宋体" w:hAnsi="宋体" w:cs="宋体"/>
          <w:vanish/>
        </w:rPr>
        <w:t>cilityClosingMember2022-03-310000093751us-gaap:EmployeeSeveranceMember2022-04-012022-06-300000093751us-gaap:FacilityClosingMember2022-04-012022-06-300000093751us-gaap:EmployeeSeveranceMember2022-06-300000093751us-gaap:FacilityClosingMember2022-06-300000093</w:t>
      </w:r>
      <w:r>
        <w:rPr>
          <w:rFonts w:ascii="宋体" w:eastAsia="宋体" w:hAnsi="宋体" w:cs="宋体"/>
          <w:vanish/>
        </w:rPr>
        <w:t>751us-gaap:EmployeeSeveranceMember2022-07-012022-09-300000093751us-gaap:FacilityClosingMember2022-07-012022-09-300000093751us-gaap:EmployeeSeveranceMember2022-09-300000093751us-gaap:FacilityClosingMember2022-09-30stt:segment0000093751us-gaap:OperatingSegme</w:t>
      </w:r>
      <w:r>
        <w:rPr>
          <w:rFonts w:ascii="宋体" w:eastAsia="宋体" w:hAnsi="宋体" w:cs="宋体"/>
          <w:vanish/>
        </w:rPr>
        <w:t>ntsMemberstt:InvestmentServicingMember2022-07-012022-09-300000093751us-gaap:OperatingSegmentsMemberstt:InvestmentServicingMember2021-07-012021-09-300000093751stt:InvestmentManagementMemberus-gaap:OperatingSegmentsMember2022-07-012022-09-300000093751stt:Inv</w:t>
      </w:r>
      <w:r>
        <w:rPr>
          <w:rFonts w:ascii="宋体" w:eastAsia="宋体" w:hAnsi="宋体" w:cs="宋体"/>
          <w:vanish/>
        </w:rPr>
        <w:t>estmentManagementMemberus-gaap:OperatingSegmentsMember2021-07-012021-09-300000093751us-gaap:MaterialReconcilingItemsMember2022-07-012022-09-300000093751us-gaap:MaterialReconcilingItemsMember2021-07-012021-09-300000093751us-gaap:OperatingSegmentsMemberstt:I</w:t>
      </w:r>
      <w:r>
        <w:rPr>
          <w:rFonts w:ascii="宋体" w:eastAsia="宋体" w:hAnsi="宋体" w:cs="宋体"/>
          <w:vanish/>
        </w:rPr>
        <w:t>nvestmentServicingMember2022-01-012022-09-300000093751us-gaap:OperatingSegmentsMemberstt:InvestmentServicingMember2021-01-012021-09-300000093751stt:InvestmentManagementMemberus-gaap:OperatingSegmentsMember2022-01-012022-09-300000093751stt:InvestmentManagem</w:t>
      </w:r>
      <w:r>
        <w:rPr>
          <w:rFonts w:ascii="宋体" w:eastAsia="宋体" w:hAnsi="宋体" w:cs="宋体"/>
          <w:vanish/>
        </w:rPr>
        <w:t>entMemberus-gaap:OperatingSegmentsMember2021-01-012021-09-300000093751us-gaap:MaterialReconcilingItemsMember2022-01-012022-09-300000093751us-gaap:MaterialReconcilingItemsMember2021-01-012021-09-30stt:line_of_business0000093751stt:AccountServicingMemberus-g</w:t>
      </w:r>
      <w:r>
        <w:rPr>
          <w:rFonts w:ascii="宋体" w:eastAsia="宋体" w:hAnsi="宋体" w:cs="宋体"/>
          <w:vanish/>
        </w:rPr>
        <w:t>aap:OperatingSegmentsMemberstt:InvestmentServicingMember2022-07-012022-09-300000093751stt:InvestmentManagementMemberstt:AccountServicingMemberus-gaap:OperatingSegmentsMember2022-07-012022-09-300000093751stt:AccountServicingMemberus-gaap:MaterialReconciling</w:t>
      </w:r>
      <w:r>
        <w:rPr>
          <w:rFonts w:ascii="宋体" w:eastAsia="宋体" w:hAnsi="宋体" w:cs="宋体"/>
          <w:vanish/>
        </w:rPr>
        <w:t>ItemsMember2022-07-012022-09-300000093751stt:ManagementServicesMemberus-gaap:OperatingSegmentsMemberstt:InvestmentServicingMember2022-07-012022-09-300000093751stt:InvestmentManagementMemberstt:ManagementServicesMemberus-gaap:OperatingSegmentsMember2022-07-</w:t>
      </w:r>
      <w:r>
        <w:rPr>
          <w:rFonts w:ascii="宋体" w:eastAsia="宋体" w:hAnsi="宋体" w:cs="宋体"/>
          <w:vanish/>
        </w:rPr>
        <w:t>012022-09-300000093751stt:ManagementServicesMemberus-gaap:MaterialReconcilingItemsMember2022-07-012022-09-300000093751us-gaap:OperatingSegmentsMemberstt:InvestmentServicingMemberstt:ForeignExchangeTradingServicesMember2022-07-012022-09-300000093751stt:Inve</w:t>
      </w:r>
      <w:r>
        <w:rPr>
          <w:rFonts w:ascii="宋体" w:eastAsia="宋体" w:hAnsi="宋体" w:cs="宋体"/>
          <w:vanish/>
        </w:rPr>
        <w:t>stmentManagementMemberus-gaap:OperatingSegmentsMemberstt:ForeignExchangeTradingServicesMember2022-07-012022-09-300000093751us-gaap:MaterialReconcilingItemsMemberstt:ForeignExchangeTradingServicesMember2022-07-012022-09-300000093751stt:SecuritiesFinancingSe</w:t>
      </w:r>
      <w:r>
        <w:rPr>
          <w:rFonts w:ascii="宋体" w:eastAsia="宋体" w:hAnsi="宋体" w:cs="宋体"/>
          <w:vanish/>
        </w:rPr>
        <w:t>rvicesMemberus-gaap:OperatingSegmentsMemberstt:InvestmentServicingMember2022-07-012022-09-300000093751stt:InvestmentManagementMemberstt:SecuritiesFinancingServicesMemberus-gaap:OperatingSegmentsMember2022-07-012022-09-300000093751stt:SecuritiesFinancingSer</w:t>
      </w:r>
      <w:r>
        <w:rPr>
          <w:rFonts w:ascii="宋体" w:eastAsia="宋体" w:hAnsi="宋体" w:cs="宋体"/>
          <w:vanish/>
        </w:rPr>
        <w:t>vicesMemberus-gaap:MaterialReconcilingItemsMember2022-07-012022-09-300000093751us-gaap:OperatingSegmentsMemberstt:InvestmentServicingMemberstt:ProcessingServicesandOtherMember2022-07-012022-09-300000093751stt:InvestmentManagementMemberus-gaap:OperatingSegm</w:t>
      </w:r>
      <w:r>
        <w:rPr>
          <w:rFonts w:ascii="宋体" w:eastAsia="宋体" w:hAnsi="宋体" w:cs="宋体"/>
          <w:vanish/>
        </w:rPr>
        <w:t>entsMemberstt:ProcessingServicesandOtherMember2022-07-012022-09-300000093751us-gaap:MaterialReconcilingItemsMemberstt:ProcessingServicesandOtherMember2022-07-012022-09-300000093751stt:OtherFeeRevenueMemberus-gaap:OperatingSegmentsMemberstt:InvestmentServic</w:t>
      </w:r>
      <w:r>
        <w:rPr>
          <w:rFonts w:ascii="宋体" w:eastAsia="宋体" w:hAnsi="宋体" w:cs="宋体"/>
          <w:vanish/>
        </w:rPr>
        <w:t>ingMember2022-07-012022-09-300000093751stt:InvestmentManagementMemberstt:OtherFeeRevenueMemberus-gaap:OperatingSegmentsMember2022-07-012022-09-300000093751stt:OtherFeeRevenueMemberus-gaap:MaterialReconcilingItemsMember2022-07-012022-09-300000093751stt:Reve</w:t>
      </w:r>
      <w:r>
        <w:rPr>
          <w:rFonts w:ascii="宋体" w:eastAsia="宋体" w:hAnsi="宋体" w:cs="宋体"/>
          <w:vanish/>
        </w:rPr>
        <w:t>nueFromFeesMemberus-gaap:OperatingSegmentsMemberstt:InvestmentServicingMember2022-07-012022-09-300000093751stt:InvestmentManagementMemberstt:RevenueFromFeesMemberus-gaap:OperatingSegmentsMember2022-07-012022-09-300000093751stt:RevenueFromFeesMemberus-gaap:</w:t>
      </w:r>
      <w:r>
        <w:rPr>
          <w:rFonts w:ascii="宋体" w:eastAsia="宋体" w:hAnsi="宋体" w:cs="宋体"/>
          <w:vanish/>
        </w:rPr>
        <w:t>MaterialReconcilingItemsMember2022-07-012022-09-300000093751us-gaap:OperatingSegmentsMemberstt:InterestIncomeNetMemberstt:InvestmentServicingMember2022-07-012022-09-300000093751stt:InvestmentManagementMemberus-gaap:OperatingSegmentsMemberstt:InterestIncome</w:t>
      </w:r>
      <w:r>
        <w:rPr>
          <w:rFonts w:ascii="宋体" w:eastAsia="宋体" w:hAnsi="宋体" w:cs="宋体"/>
          <w:vanish/>
        </w:rPr>
        <w:t>NetMember2022-07-012022-09-300000093751stt:InterestIncomeNetMemberus-gaap:MaterialReconcilingItemsMember2022-07-012022-09-300000093751stt:TotalOtherIncomeMemberus-gaap:OperatingSegmentsMemberstt:InvestmentServicingMember2022-07-012022-09-300000093751stt:In</w:t>
      </w:r>
      <w:r>
        <w:rPr>
          <w:rFonts w:ascii="宋体" w:eastAsia="宋体" w:hAnsi="宋体" w:cs="宋体"/>
          <w:vanish/>
        </w:rPr>
        <w:t>vestmentManagementMemberstt:TotalOtherIncomeMemberus-gaap:OperatingSegmentsMember2022-07-012022-09-300000093751stt:TotalOtherIncomeMemberus-gaap:MaterialReconcilingItemsMember2022-07-012022-09-300000093751stt:AccountServicingMemberus-gaap:OperatingSegments</w:t>
      </w:r>
      <w:r>
        <w:rPr>
          <w:rFonts w:ascii="宋体" w:eastAsia="宋体" w:hAnsi="宋体" w:cs="宋体"/>
          <w:vanish/>
        </w:rPr>
        <w:t>Memberstt:InvestmentServicingMember2022-01-012022-09-300000093751stt:InvestmentManagementMemberstt:AccountServicingMemberus-gaap:OperatingSegmentsMember2022-01-012022-09-300000093751stt:AccountServicingMemberus-gaap:MaterialReconcilingItemsMember2022-01-01</w:t>
      </w:r>
      <w:r>
        <w:rPr>
          <w:rFonts w:ascii="宋体" w:eastAsia="宋体" w:hAnsi="宋体" w:cs="宋体"/>
          <w:vanish/>
        </w:rPr>
        <w:t>2022-09-300000093751stt:ManagementServicesMemberus-gaap:OperatingSegmentsMemberstt:InvestmentServicingMember2022-01-012022-09-300000093751stt:InvestmentManagementMemberstt:ManagementServicesMemberus-gaap:OperatingSegmentsMember2022-01-012022-09-30000009375</w:t>
      </w:r>
      <w:r>
        <w:rPr>
          <w:rFonts w:ascii="宋体" w:eastAsia="宋体" w:hAnsi="宋体" w:cs="宋体"/>
          <w:vanish/>
        </w:rPr>
        <w:t>1stt:ManagementServicesMemberus-gaap:MaterialReconcilingItemsMember2022-01-012022-09-300000093751us-gaap:OperatingSegmentsMemberstt:InvestmentServicingMemberstt:ForeignExchangeTradingServicesMember2022-01-012022-09-300000093751stt:InvestmentManagementMembe</w:t>
      </w:r>
      <w:r>
        <w:rPr>
          <w:rFonts w:ascii="宋体" w:eastAsia="宋体" w:hAnsi="宋体" w:cs="宋体"/>
          <w:vanish/>
        </w:rPr>
        <w:t>rus-gaap:OperatingSegmentsMemberstt:ForeignExchangeTradingServicesMember2022-01-012022-09-300000093751us-gaap:MaterialReconcilingItemsMemberstt:ForeignExchangeTradingServicesMember2022-01-012022-09-300000093751stt:SecuritiesFinancingServicesMemberus-gaap:O</w:t>
      </w:r>
      <w:r>
        <w:rPr>
          <w:rFonts w:ascii="宋体" w:eastAsia="宋体" w:hAnsi="宋体" w:cs="宋体"/>
          <w:vanish/>
        </w:rPr>
        <w:t>peratingSegmentsMemberstt:InvestmentServicingMember2022-01-012022-09-300000093751stt:InvestmentManagementMemberstt:SecuritiesFinancingServicesMemberus-gaap:OperatingSegmentsMember2022-01-012022-09-300000093751stt:SecuritiesFinancingServicesMemberus-gaap:Ma</w:t>
      </w:r>
      <w:r>
        <w:rPr>
          <w:rFonts w:ascii="宋体" w:eastAsia="宋体" w:hAnsi="宋体" w:cs="宋体"/>
          <w:vanish/>
        </w:rPr>
        <w:t>terialReconcilingItemsMember2022-01-012022-09-300000093751us-gaap:OperatingSegmentsMemberstt:InvestmentServicingMemberstt:ProcessingServicesandOtherMember2022-01-012022-09-300000093751stt:InvestmentManagementMemberus-gaap:OperatingSegmentsMemberstt:Process</w:t>
      </w:r>
      <w:r>
        <w:rPr>
          <w:rFonts w:ascii="宋体" w:eastAsia="宋体" w:hAnsi="宋体" w:cs="宋体"/>
          <w:vanish/>
        </w:rPr>
        <w:t>ingServicesandOtherMember2022-01-012022-09-300000093751us-gaap:MaterialReconcilingItemsMemberstt:ProcessingServicesandOtherMember2022-01-012022-09-300000093751stt:OtherFeeRevenueMemberus-gaap:OperatingSegmentsMemberstt:InvestmentServicingMember2022-01-0120</w:t>
      </w:r>
      <w:r>
        <w:rPr>
          <w:rFonts w:ascii="宋体" w:eastAsia="宋体" w:hAnsi="宋体" w:cs="宋体"/>
          <w:vanish/>
        </w:rPr>
        <w:t>22-09-300000093751stt:InvestmentManagementMemberstt:OtherFeeRevenueMemberus-gaap:OperatingSegmentsMember2022-01-012022-09-300000093751stt:OtherFeeRevenueMemberus-gaap:MaterialReconcilingItemsMember2022-01-012022-09-300000093751stt:RevenueFromFeesMemberus-g</w:t>
      </w:r>
      <w:r>
        <w:rPr>
          <w:rFonts w:ascii="宋体" w:eastAsia="宋体" w:hAnsi="宋体" w:cs="宋体"/>
          <w:vanish/>
        </w:rPr>
        <w:t>aap:OperatingSegmentsMemberstt:InvestmentServicingMember2022-01-012022-09-300000093751stt:InvestmentManagementMemberstt:RevenueFromFeesMemberus-gaap:OperatingSegmentsMember2022-01-012022-09-300000093751stt:RevenueFromFeesMemberus-gaap:MaterialReconcilingIt</w:t>
      </w:r>
      <w:r>
        <w:rPr>
          <w:rFonts w:ascii="宋体" w:eastAsia="宋体" w:hAnsi="宋体" w:cs="宋体"/>
          <w:vanish/>
        </w:rPr>
        <w:t>emsMember2022-01-012022-09-300000093751us-gaap:OperatingSegmentsMemberstt:InterestIncomeNetMemberstt:InvestmentServicingMember2022-01-012022-09-300000093751stt:InvestmentManagementMemberus-gaap:OperatingSegmentsMemberstt:InterestIncomeNetMember2022-01-0120</w:t>
      </w:r>
      <w:r>
        <w:rPr>
          <w:rFonts w:ascii="宋体" w:eastAsia="宋体" w:hAnsi="宋体" w:cs="宋体"/>
          <w:vanish/>
        </w:rPr>
        <w:t>22-09-300000093751stt:InterestIncomeNetMemberus-gaap:MaterialReconcilingItemsMember2022-01-012022-09-300000093751stt:TotalOtherIncomeMemberus-gaap:OperatingSegmentsMemberstt:InvestmentServicingMember2022-01-012022-09-300000093751stt:InvestmentManagementMem</w:t>
      </w:r>
      <w:r>
        <w:rPr>
          <w:rFonts w:ascii="宋体" w:eastAsia="宋体" w:hAnsi="宋体" w:cs="宋体"/>
          <w:vanish/>
        </w:rPr>
        <w:t>berstt:TotalOtherIncomeMemberus-gaap:OperatingSegmentsMember2022-01-012022-09-300000093751stt:TotalOtherIncomeMemberus-gaap:MaterialReconcilingItemsMember2022-01-012022-09-300000093751stt:AccountServicingMemberus-gaap:OperatingSegmentsMemberstt:InvestmentS</w:t>
      </w:r>
      <w:r>
        <w:rPr>
          <w:rFonts w:ascii="宋体" w:eastAsia="宋体" w:hAnsi="宋体" w:cs="宋体"/>
          <w:vanish/>
        </w:rPr>
        <w:t>ervicingMember2021-07-012021-09-300000093751stt:InvestmentManagementMemberstt:AccountServicingMemberus-gaap:OperatingSegmentsMember2021-07-012021-09-300000093751stt:AccountServicingMemberus-gaap:MaterialReconcilingItemsMember2021-07-012021-09-300000093751s</w:t>
      </w:r>
      <w:r>
        <w:rPr>
          <w:rFonts w:ascii="宋体" w:eastAsia="宋体" w:hAnsi="宋体" w:cs="宋体"/>
          <w:vanish/>
        </w:rPr>
        <w:t>tt:ManagementServicesMemberus-gaap:OperatingSegmentsMemberstt:InvestmentServicingMember2021-07-012021-09-300000093751stt:InvestmentManagementMemberstt:ManagementServicesMemberus-gaap:OperatingSegmentsMember2021-07-012021-09-300000093751stt:ManagementServic</w:t>
      </w:r>
      <w:r>
        <w:rPr>
          <w:rFonts w:ascii="宋体" w:eastAsia="宋体" w:hAnsi="宋体" w:cs="宋体"/>
          <w:vanish/>
        </w:rPr>
        <w:t>esMemberus-gaap:MaterialReconcilingItemsMember2021-07-012021-09-300000093751us-gaap:OperatingSegmentsMemberstt:InvestmentServicingMemberstt:ForeignExchangeTradingServicesMember2021-07-012021-09-300000093751stt:InvestmentManagementMemberus-gaap:OperatingSeg</w:t>
      </w:r>
      <w:r>
        <w:rPr>
          <w:rFonts w:ascii="宋体" w:eastAsia="宋体" w:hAnsi="宋体" w:cs="宋体"/>
          <w:vanish/>
        </w:rPr>
        <w:t>mentsMemberstt:ForeignExchangeTradingServicesMember2021-07-012021-09-300000093751us-gaap:MaterialReconcilingItemsMemberstt:ForeignExchangeTradingServicesMember2021-07-012021-09-300000093751stt:SecuritiesFinancingServicesMemberus-gaap:OperatingSegmentsMembe</w:t>
      </w:r>
      <w:r>
        <w:rPr>
          <w:rFonts w:ascii="宋体" w:eastAsia="宋体" w:hAnsi="宋体" w:cs="宋体"/>
          <w:vanish/>
        </w:rPr>
        <w:t>rstt:InvestmentServicingMember2021-07-012021-09-300000093751stt:InvestmentManagementMemberstt:SecuritiesFinancingServicesMemberus-gaap:OperatingSegmentsMember2021-07-012021-09-300000093751stt:SecuritiesFinancingServicesMemberus-gaap:MaterialReconcilingItem</w:t>
      </w:r>
      <w:r>
        <w:rPr>
          <w:rFonts w:ascii="宋体" w:eastAsia="宋体" w:hAnsi="宋体" w:cs="宋体"/>
          <w:vanish/>
        </w:rPr>
        <w:t>sMember2021-07-012021-09-300000093751us-gaap:OperatingSegmentsMemberstt:InvestmentServicingMemberstt:ProcessingServicesandOtherMember2021-07-012021-09-300000093751stt:InvestmentManagementMemberus-gaap:OperatingSegmentsMemberstt:ProcessingServicesandOtherMe</w:t>
      </w:r>
      <w:r>
        <w:rPr>
          <w:rFonts w:ascii="宋体" w:eastAsia="宋体" w:hAnsi="宋体" w:cs="宋体"/>
          <w:vanish/>
        </w:rPr>
        <w:t>mber2021-07-012021-09-300000093751us-gaap:MaterialReconcilingItemsMemberstt:ProcessingServicesandOtherMember2021-07-012021-09-300000093751stt:OtherFeeRevenueMemberus-gaap:OperatingSegmentsMemberstt:InvestmentServicingMember2021-07-012021-09-300000093751stt</w:t>
      </w:r>
      <w:r>
        <w:rPr>
          <w:rFonts w:ascii="宋体" w:eastAsia="宋体" w:hAnsi="宋体" w:cs="宋体"/>
          <w:vanish/>
        </w:rPr>
        <w:t>:InvestmentManagementMemberstt:OtherFeeRevenueMemberus-gaap:OperatingSegmentsMember2021-07-012021-09-300000093751stt:OtherFeeRevenueMemberus-gaap:MaterialReconcilingItemsMember2021-07-012021-09-300000093751stt:RevenueFromFeesMemberus-gaap:OperatingSegments</w:t>
      </w:r>
      <w:r>
        <w:rPr>
          <w:rFonts w:ascii="宋体" w:eastAsia="宋体" w:hAnsi="宋体" w:cs="宋体"/>
          <w:vanish/>
        </w:rPr>
        <w:t>Memberstt:InvestmentServicingMember2021-07-012021-09-300000093751stt:InvestmentManagementMemberstt:RevenueFromFeesMemberus-gaap:OperatingSegmentsMember2021-07-012021-09-300000093751stt:RevenueFromFeesMemberus-gaap:MaterialReconcilingItemsMember2021-07-0120</w:t>
      </w:r>
      <w:r>
        <w:rPr>
          <w:rFonts w:ascii="宋体" w:eastAsia="宋体" w:hAnsi="宋体" w:cs="宋体"/>
          <w:vanish/>
        </w:rPr>
        <w:t>21-09-300000093751us-gaap:OperatingSegmentsMemberstt:InterestIncomeNetMemberstt:InvestmentServicingMember2021-07-012021-09-300000093751stt:InvestmentManagementMemberus-gaap:OperatingSegmentsMemberstt:InterestIncomeNetMember2021-07-012021-09-300000093751stt</w:t>
      </w:r>
      <w:r>
        <w:rPr>
          <w:rFonts w:ascii="宋体" w:eastAsia="宋体" w:hAnsi="宋体" w:cs="宋体"/>
          <w:vanish/>
        </w:rPr>
        <w:t>:InterestIncomeNetMemberus-gaap:MaterialReconcilingItemsMember2021-07-012021-09-300000093751stt:TotalOtherIncomeMemberus-gaap:OperatingSegmentsMemberstt:InvestmentServicingMember2021-07-012021-09-300000093751stt:InvestmentManagementMemberstt:TotalOtherInco</w:t>
      </w:r>
      <w:r>
        <w:rPr>
          <w:rFonts w:ascii="宋体" w:eastAsia="宋体" w:hAnsi="宋体" w:cs="宋体"/>
          <w:vanish/>
        </w:rPr>
        <w:t>meMemberus-gaap:OperatingSegmentsMember2021-07-012021-09-300000093751stt:TotalOtherIncomeMemberus-gaap:MaterialReconcilingItemsMember2021-07-012021-09-300000093751stt:AccountServicingMemberus-gaap:OperatingSegmentsMemberstt:InvestmentServicingMember2021-01</w:t>
      </w:r>
      <w:r>
        <w:rPr>
          <w:rFonts w:ascii="宋体" w:eastAsia="宋体" w:hAnsi="宋体" w:cs="宋体"/>
          <w:vanish/>
        </w:rPr>
        <w:t>-012021-09-300000093751stt:InvestmentManagementMemberstt:AccountServicingMemberus-gaap:OperatingSegmentsMember2021-01-012021-09-300000093751stt:AccountServicingMemberus-gaap:MaterialReconcilingItemsMember2021-01-012021-09-300000093751stt:ManagementServices</w:t>
      </w:r>
      <w:r>
        <w:rPr>
          <w:rFonts w:ascii="宋体" w:eastAsia="宋体" w:hAnsi="宋体" w:cs="宋体"/>
          <w:vanish/>
        </w:rPr>
        <w:t>Memberus-gaap:OperatingSegmentsMemberstt:InvestmentServicingMember2021-01-012021-09-300000093751stt:InvestmentManagementMemberstt:ManagementServicesMemberus-gaap:OperatingSegmentsMember2021-01-012021-09-300000093751stt:ManagementServicesMemberus-gaap:Mater</w:t>
      </w:r>
      <w:r>
        <w:rPr>
          <w:rFonts w:ascii="宋体" w:eastAsia="宋体" w:hAnsi="宋体" w:cs="宋体"/>
          <w:vanish/>
        </w:rPr>
        <w:t>ialReconcilingItemsMember2021-01-012021-09-300000093751us-gaap:OperatingSegmentsMemberstt:InvestmentServicingMemberstt:ForeignExchangeTradingServicesMember2021-01-012021-09-300000093751stt:InvestmentManagementMemberus-gaap:OperatingSegmentsMemberstt:Foreig</w:t>
      </w:r>
      <w:r>
        <w:rPr>
          <w:rFonts w:ascii="宋体" w:eastAsia="宋体" w:hAnsi="宋体" w:cs="宋体"/>
          <w:vanish/>
        </w:rPr>
        <w:t>nExchangeTradingServicesMember2021-01-012021-09-300000093751us-gaap:MaterialReconcilingItemsMemberstt:ForeignExchangeTradingServicesMember2021-01-012021-09-300000093751stt:SecuritiesFinancingServicesMemberus-gaap:OperatingSegmentsMemberstt:InvestmentServic</w:t>
      </w:r>
      <w:r>
        <w:rPr>
          <w:rFonts w:ascii="宋体" w:eastAsia="宋体" w:hAnsi="宋体" w:cs="宋体"/>
          <w:vanish/>
        </w:rPr>
        <w:t>ingMember2021-01-012021-09-300000093751stt:InvestmentManagementMemberstt:SecuritiesFinancingServicesMemberus-gaap:OperatingSegmentsMember2021-01-012021-09-300000093751stt:SecuritiesFinancingServicesMemberus-gaap:MaterialReconcilingItemsMember2021-01-012021</w:t>
      </w:r>
      <w:r>
        <w:rPr>
          <w:rFonts w:ascii="宋体" w:eastAsia="宋体" w:hAnsi="宋体" w:cs="宋体"/>
          <w:vanish/>
        </w:rPr>
        <w:t>-09-300000093751us-gaap:OperatingSegmentsMemberstt:InvestmentServicingMemberstt:ProcessingServicesandOtherMember2021-01-012021-09-300000093751stt:InvestmentManagementMemberus-gaap:OperatingSegmentsMemberstt:ProcessingServicesandOtherMember2021-01-012021-09</w:t>
      </w:r>
      <w:r>
        <w:rPr>
          <w:rFonts w:ascii="宋体" w:eastAsia="宋体" w:hAnsi="宋体" w:cs="宋体"/>
          <w:vanish/>
        </w:rPr>
        <w:t>-300000093751us-gaap:MaterialReconcilingItemsMemberstt:ProcessingServicesandOtherMember2021-01-012021-09-300000093751stt:OtherFeeRevenueMemberus-gaap:OperatingSegmentsMemberstt:InvestmentServicingMember2021-01-012021-09-300000093751stt:InvestmentManagement</w:t>
      </w:r>
      <w:r>
        <w:rPr>
          <w:rFonts w:ascii="宋体" w:eastAsia="宋体" w:hAnsi="宋体" w:cs="宋体"/>
          <w:vanish/>
        </w:rPr>
        <w:t>Memberstt:OtherFeeRevenueMemberus-gaap:OperatingSegmentsMember2021-01-012021-09-300000093751stt:OtherFeeRevenueMemberus-gaap:MaterialReconcilingItemsMember2021-01-012021-09-300000093751stt:RevenueFromFeesMemberus-gaap:OperatingSegmentsMemberstt:InvestmentS</w:t>
      </w:r>
      <w:r>
        <w:rPr>
          <w:rFonts w:ascii="宋体" w:eastAsia="宋体" w:hAnsi="宋体" w:cs="宋体"/>
          <w:vanish/>
        </w:rPr>
        <w:t>ervicingMember2021-01-012021-09-300000093751stt:InvestmentManagementMemberstt:RevenueFromFeesMemberus-gaap:OperatingSegmentsMember2021-01-012021-09-300000093751stt:RevenueFromFeesMemberus-gaap:MaterialReconcilingItemsMember2021-01-012021-09-300000093751us-</w:t>
      </w:r>
      <w:r>
        <w:rPr>
          <w:rFonts w:ascii="宋体" w:eastAsia="宋体" w:hAnsi="宋体" w:cs="宋体"/>
          <w:vanish/>
        </w:rPr>
        <w:t>gaap:OperatingSegmentsMemberstt:InterestIncomeNetMemberstt:InvestmentServicingMember2021-01-012021-09-300000093751stt:InvestmentManagementMemberus-gaap:OperatingSegmentsMemberstt:InterestIncomeNetMember2021-01-012021-09-300000093751stt:InterestIncomeNetMem</w:t>
      </w:r>
      <w:r>
        <w:rPr>
          <w:rFonts w:ascii="宋体" w:eastAsia="宋体" w:hAnsi="宋体" w:cs="宋体"/>
          <w:vanish/>
        </w:rPr>
        <w:t>berus-gaap:MaterialReconcilingItemsMember2021-01-012021-09-300000093751stt:TotalOtherIncomeMemberus-gaap:OperatingSegmentsMemberstt:InvestmentServicingMember2021-01-012021-09-300000093751stt:InvestmentManagementMemberstt:TotalOtherIncomeMemberus-gaap:Opera</w:t>
      </w:r>
      <w:r>
        <w:rPr>
          <w:rFonts w:ascii="宋体" w:eastAsia="宋体" w:hAnsi="宋体" w:cs="宋体"/>
          <w:vanish/>
        </w:rPr>
        <w:t>tingSegmentsMember2021-01-012021-09-300000093751stt:TotalOtherIncomeMemberus-gaap:MaterialReconcilingItemsMember2021-01-012021-09-300000093751stt:AccruedInterestandFeesReceivableMember2022-09-300000093751stt:AccruedInterestandFeesReceivableMember2021-12-31</w:t>
      </w:r>
      <w:r>
        <w:rPr>
          <w:rFonts w:ascii="宋体" w:eastAsia="宋体" w:hAnsi="宋体" w:cs="宋体"/>
          <w:vanish/>
        </w:rPr>
        <w:t>0000093751us-gaap:NonUsMember2022-07-012022-09-300000093751country:US2022-07-012022-09-300000093751us-gaap:NonUsMember2021-07-012021-09-300000093751country:US2021-07-012021-09-300000093751us-gaap:NonUsMember2022-01-012022-09-300000093751country:US2022-01-0</w:t>
      </w:r>
      <w:r>
        <w:rPr>
          <w:rFonts w:ascii="宋体" w:eastAsia="宋体" w:hAnsi="宋体" w:cs="宋体"/>
          <w:vanish/>
        </w:rPr>
        <w:t>12022-09-300000093751us-gaap:NonUsMember2021-01-012021-09-300000093751country:US2021-01-012021-09-300000093751us-gaap:NonUsMember2022-09-300000093751us-gaap:NonUsMember2021-09-30</w:t>
      </w:r>
    </w:p>
    <w:p w14:paraId="71D3D3A5" w14:textId="77777777" w:rsidR="006A3667" w:rsidRDefault="006A3667">
      <w:pPr>
        <w:ind w:firstLine="450"/>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6A3667" w14:paraId="71D3D3A9" w14:textId="77777777">
        <w:trPr>
          <w:jc w:val="center"/>
        </w:trPr>
        <w:tc>
          <w:tcPr>
            <w:tcW w:w="50" w:type="pct"/>
            <w:shd w:val="clear" w:color="auto" w:fill="auto"/>
            <w:vAlign w:val="bottom"/>
          </w:tcPr>
          <w:p w14:paraId="71D3D3A6" w14:textId="77777777" w:rsidR="006A3667" w:rsidRDefault="006A3667">
            <w:pPr>
              <w:rPr>
                <w:rFonts w:ascii="宋体"/>
              </w:rPr>
            </w:pPr>
          </w:p>
        </w:tc>
        <w:tc>
          <w:tcPr>
            <w:tcW w:w="4945" w:type="pct"/>
            <w:shd w:val="clear" w:color="auto" w:fill="auto"/>
            <w:vAlign w:val="bottom"/>
          </w:tcPr>
          <w:p w14:paraId="71D3D3A7" w14:textId="77777777" w:rsidR="006A3667" w:rsidRDefault="006A3667">
            <w:pPr>
              <w:rPr>
                <w:rFonts w:ascii="宋体"/>
              </w:rPr>
            </w:pPr>
          </w:p>
        </w:tc>
        <w:tc>
          <w:tcPr>
            <w:tcW w:w="5" w:type="pct"/>
            <w:shd w:val="clear" w:color="auto" w:fill="auto"/>
            <w:vAlign w:val="bottom"/>
          </w:tcPr>
          <w:p w14:paraId="71D3D3A8" w14:textId="77777777" w:rsidR="006A3667" w:rsidRDefault="006A3667">
            <w:pPr>
              <w:rPr>
                <w:rFonts w:ascii="宋体"/>
              </w:rPr>
            </w:pPr>
          </w:p>
        </w:tc>
      </w:tr>
      <w:tr w:rsidR="006A3667" w14:paraId="71D3D3AB"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1D3D3AA" w14:textId="77777777" w:rsidR="006A3667" w:rsidRDefault="006A3667">
            <w:pPr>
              <w:rPr>
                <w:rFonts w:ascii="宋体"/>
              </w:rPr>
            </w:pPr>
          </w:p>
        </w:tc>
      </w:tr>
    </w:tbl>
    <w:p w14:paraId="71D3D3AC" w14:textId="77777777" w:rsidR="006A3667" w:rsidRDefault="00045F32">
      <w:pPr>
        <w:ind w:firstLine="450"/>
        <w:jc w:val="center"/>
      </w:pPr>
      <w:r>
        <w:rPr>
          <w:rFonts w:ascii="Arial" w:eastAsia="宋体" w:hAnsi="Arial" w:cs="Arial"/>
          <w:b/>
          <w:bCs/>
          <w:color w:val="000000"/>
          <w:sz w:val="30"/>
          <w:szCs w:val="30"/>
        </w:rPr>
        <w:t>UNITED STATES</w:t>
      </w:r>
    </w:p>
    <w:p w14:paraId="71D3D3AD" w14:textId="77777777" w:rsidR="006A3667" w:rsidRDefault="00045F32">
      <w:pPr>
        <w:ind w:firstLine="450"/>
        <w:jc w:val="center"/>
      </w:pPr>
      <w:r>
        <w:rPr>
          <w:rFonts w:ascii="Arial" w:eastAsia="宋体" w:hAnsi="Arial" w:cs="Arial"/>
          <w:b/>
          <w:bCs/>
          <w:color w:val="000000"/>
          <w:sz w:val="30"/>
          <w:szCs w:val="30"/>
        </w:rPr>
        <w:t>SECURITIES AND EXCHANGE COMMISSION</w:t>
      </w:r>
    </w:p>
    <w:p w14:paraId="71D3D3AE" w14:textId="77777777" w:rsidR="006A3667" w:rsidRDefault="00045F32">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71D3D3AF" w14:textId="77777777" w:rsidR="006A3667" w:rsidRDefault="00045F32">
      <w:pPr>
        <w:spacing w:before="100"/>
        <w:ind w:firstLine="360"/>
        <w:jc w:val="center"/>
      </w:pPr>
      <w:r>
        <w:rPr>
          <w:rFonts w:ascii="Arial" w:eastAsia="宋体" w:hAnsi="Arial" w:cs="Arial"/>
          <w:b/>
          <w:bCs/>
          <w:color w:val="000000"/>
          <w:sz w:val="30"/>
          <w:szCs w:val="3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6A3667" w14:paraId="71D3D3B6" w14:textId="77777777">
        <w:trPr>
          <w:jc w:val="center"/>
        </w:trPr>
        <w:tc>
          <w:tcPr>
            <w:tcW w:w="50" w:type="pct"/>
            <w:shd w:val="clear" w:color="auto" w:fill="auto"/>
            <w:vAlign w:val="bottom"/>
          </w:tcPr>
          <w:p w14:paraId="71D3D3B0" w14:textId="77777777" w:rsidR="006A3667" w:rsidRDefault="006A3667">
            <w:pPr>
              <w:rPr>
                <w:rFonts w:ascii="宋体"/>
              </w:rPr>
            </w:pPr>
          </w:p>
        </w:tc>
        <w:tc>
          <w:tcPr>
            <w:tcW w:w="222" w:type="pct"/>
            <w:shd w:val="clear" w:color="auto" w:fill="auto"/>
            <w:vAlign w:val="bottom"/>
          </w:tcPr>
          <w:p w14:paraId="71D3D3B1" w14:textId="77777777" w:rsidR="006A3667" w:rsidRDefault="006A3667">
            <w:pPr>
              <w:rPr>
                <w:rFonts w:ascii="宋体"/>
              </w:rPr>
            </w:pPr>
          </w:p>
        </w:tc>
        <w:tc>
          <w:tcPr>
            <w:tcW w:w="5" w:type="pct"/>
            <w:shd w:val="clear" w:color="auto" w:fill="auto"/>
            <w:vAlign w:val="bottom"/>
          </w:tcPr>
          <w:p w14:paraId="71D3D3B2" w14:textId="77777777" w:rsidR="006A3667" w:rsidRDefault="006A3667">
            <w:pPr>
              <w:rPr>
                <w:rFonts w:ascii="宋体"/>
              </w:rPr>
            </w:pPr>
          </w:p>
        </w:tc>
        <w:tc>
          <w:tcPr>
            <w:tcW w:w="50" w:type="pct"/>
            <w:shd w:val="clear" w:color="auto" w:fill="auto"/>
            <w:vAlign w:val="bottom"/>
          </w:tcPr>
          <w:p w14:paraId="71D3D3B3" w14:textId="77777777" w:rsidR="006A3667" w:rsidRDefault="006A3667">
            <w:pPr>
              <w:rPr>
                <w:rFonts w:ascii="宋体"/>
              </w:rPr>
            </w:pPr>
          </w:p>
        </w:tc>
        <w:tc>
          <w:tcPr>
            <w:tcW w:w="4667" w:type="pct"/>
            <w:shd w:val="clear" w:color="auto" w:fill="auto"/>
            <w:vAlign w:val="bottom"/>
          </w:tcPr>
          <w:p w14:paraId="71D3D3B4" w14:textId="77777777" w:rsidR="006A3667" w:rsidRDefault="006A3667">
            <w:pPr>
              <w:rPr>
                <w:rFonts w:ascii="宋体"/>
              </w:rPr>
            </w:pPr>
          </w:p>
        </w:tc>
        <w:tc>
          <w:tcPr>
            <w:tcW w:w="5" w:type="pct"/>
            <w:shd w:val="clear" w:color="auto" w:fill="auto"/>
            <w:vAlign w:val="bottom"/>
          </w:tcPr>
          <w:p w14:paraId="71D3D3B5" w14:textId="77777777" w:rsidR="006A3667" w:rsidRDefault="006A3667">
            <w:pPr>
              <w:rPr>
                <w:rFonts w:ascii="宋体"/>
              </w:rPr>
            </w:pPr>
          </w:p>
        </w:tc>
      </w:tr>
      <w:tr w:rsidR="006A3667" w14:paraId="71D3D3B9" w14:textId="77777777">
        <w:trPr>
          <w:jc w:val="center"/>
        </w:trPr>
        <w:tc>
          <w:tcPr>
            <w:tcW w:w="0" w:type="auto"/>
            <w:gridSpan w:val="3"/>
            <w:shd w:val="clear" w:color="auto" w:fill="auto"/>
            <w:tcMar>
              <w:top w:w="40" w:type="dxa"/>
              <w:left w:w="20" w:type="dxa"/>
              <w:bottom w:w="40" w:type="dxa"/>
              <w:right w:w="20" w:type="dxa"/>
            </w:tcMar>
          </w:tcPr>
          <w:p w14:paraId="71D3D3B7" w14:textId="77777777" w:rsidR="006A3667" w:rsidRDefault="00045F32">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71D3D3B8" w14:textId="77777777" w:rsidR="006A3667" w:rsidRDefault="00045F32">
            <w:pPr>
              <w:textAlignment w:val="top"/>
            </w:pPr>
            <w:r>
              <w:rPr>
                <w:rFonts w:ascii="Arial" w:eastAsia="宋体" w:hAnsi="Arial" w:cs="Arial"/>
                <w:b/>
                <w:bCs/>
                <w:color w:val="000000"/>
                <w:sz w:val="20"/>
                <w:szCs w:val="20"/>
              </w:rPr>
              <w:t>QUARTERLY REPORT PURSUANT TO SECTION 13 OR 15(d) OF THE SECURITIES EXCHANGE ACT OF 1934</w:t>
            </w:r>
          </w:p>
        </w:tc>
      </w:tr>
    </w:tbl>
    <w:p w14:paraId="71D3D3BA" w14:textId="77777777" w:rsidR="006A3667" w:rsidRDefault="00045F32">
      <w:pPr>
        <w:ind w:firstLine="450"/>
        <w:jc w:val="center"/>
      </w:pPr>
      <w:r>
        <w:rPr>
          <w:rFonts w:ascii="Arial" w:eastAsia="宋体" w:hAnsi="Arial" w:cs="Arial"/>
          <w:b/>
          <w:bCs/>
          <w:color w:val="000000"/>
          <w:sz w:val="20"/>
          <w:szCs w:val="20"/>
        </w:rPr>
        <w:t xml:space="preserve">For the quarterly period ended September 30, 2022 </w:t>
      </w:r>
    </w:p>
    <w:p w14:paraId="71D3D3BB" w14:textId="77777777" w:rsidR="006A3667" w:rsidRDefault="00045F32">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6A3667" w14:paraId="71D3D3C2" w14:textId="77777777">
        <w:trPr>
          <w:jc w:val="center"/>
        </w:trPr>
        <w:tc>
          <w:tcPr>
            <w:tcW w:w="50" w:type="pct"/>
            <w:shd w:val="clear" w:color="auto" w:fill="auto"/>
            <w:vAlign w:val="bottom"/>
          </w:tcPr>
          <w:p w14:paraId="71D3D3BC" w14:textId="77777777" w:rsidR="006A3667" w:rsidRDefault="006A3667">
            <w:pPr>
              <w:rPr>
                <w:rFonts w:ascii="宋体"/>
              </w:rPr>
            </w:pPr>
          </w:p>
        </w:tc>
        <w:tc>
          <w:tcPr>
            <w:tcW w:w="222" w:type="pct"/>
            <w:shd w:val="clear" w:color="auto" w:fill="auto"/>
            <w:vAlign w:val="bottom"/>
          </w:tcPr>
          <w:p w14:paraId="71D3D3BD" w14:textId="77777777" w:rsidR="006A3667" w:rsidRDefault="006A3667">
            <w:pPr>
              <w:rPr>
                <w:rFonts w:ascii="宋体"/>
              </w:rPr>
            </w:pPr>
          </w:p>
        </w:tc>
        <w:tc>
          <w:tcPr>
            <w:tcW w:w="5" w:type="pct"/>
            <w:shd w:val="clear" w:color="auto" w:fill="auto"/>
            <w:vAlign w:val="bottom"/>
          </w:tcPr>
          <w:p w14:paraId="71D3D3BE" w14:textId="77777777" w:rsidR="006A3667" w:rsidRDefault="006A3667">
            <w:pPr>
              <w:rPr>
                <w:rFonts w:ascii="宋体"/>
              </w:rPr>
            </w:pPr>
          </w:p>
        </w:tc>
        <w:tc>
          <w:tcPr>
            <w:tcW w:w="50" w:type="pct"/>
            <w:shd w:val="clear" w:color="auto" w:fill="auto"/>
            <w:vAlign w:val="bottom"/>
          </w:tcPr>
          <w:p w14:paraId="71D3D3BF" w14:textId="77777777" w:rsidR="006A3667" w:rsidRDefault="006A3667">
            <w:pPr>
              <w:rPr>
                <w:rFonts w:ascii="宋体"/>
              </w:rPr>
            </w:pPr>
          </w:p>
        </w:tc>
        <w:tc>
          <w:tcPr>
            <w:tcW w:w="4667" w:type="pct"/>
            <w:shd w:val="clear" w:color="auto" w:fill="auto"/>
            <w:vAlign w:val="bottom"/>
          </w:tcPr>
          <w:p w14:paraId="71D3D3C0" w14:textId="77777777" w:rsidR="006A3667" w:rsidRDefault="006A3667">
            <w:pPr>
              <w:rPr>
                <w:rFonts w:ascii="宋体"/>
              </w:rPr>
            </w:pPr>
          </w:p>
        </w:tc>
        <w:tc>
          <w:tcPr>
            <w:tcW w:w="5" w:type="pct"/>
            <w:shd w:val="clear" w:color="auto" w:fill="auto"/>
            <w:vAlign w:val="bottom"/>
          </w:tcPr>
          <w:p w14:paraId="71D3D3C1" w14:textId="77777777" w:rsidR="006A3667" w:rsidRDefault="006A3667">
            <w:pPr>
              <w:rPr>
                <w:rFonts w:ascii="宋体"/>
              </w:rPr>
            </w:pPr>
          </w:p>
        </w:tc>
      </w:tr>
      <w:tr w:rsidR="006A3667" w14:paraId="71D3D3C5" w14:textId="77777777">
        <w:trPr>
          <w:jc w:val="center"/>
        </w:trPr>
        <w:tc>
          <w:tcPr>
            <w:tcW w:w="0" w:type="auto"/>
            <w:gridSpan w:val="3"/>
            <w:shd w:val="clear" w:color="auto" w:fill="auto"/>
            <w:tcMar>
              <w:top w:w="40" w:type="dxa"/>
              <w:left w:w="20" w:type="dxa"/>
              <w:bottom w:w="40" w:type="dxa"/>
              <w:right w:w="20" w:type="dxa"/>
            </w:tcMar>
          </w:tcPr>
          <w:p w14:paraId="71D3D3C3" w14:textId="77777777" w:rsidR="006A3667" w:rsidRDefault="00045F32">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71D3D3C4" w14:textId="77777777" w:rsidR="006A3667" w:rsidRDefault="00045F32">
            <w:pPr>
              <w:textAlignment w:val="top"/>
            </w:pPr>
            <w:r>
              <w:rPr>
                <w:rFonts w:ascii="Arial" w:eastAsia="宋体" w:hAnsi="Arial" w:cs="Arial"/>
                <w:b/>
                <w:bCs/>
                <w:color w:val="000000"/>
                <w:sz w:val="20"/>
                <w:szCs w:val="20"/>
              </w:rPr>
              <w:t xml:space="preserve">TRANSITION REPORT PURSUANT TO SECTION 13 OR 15(d) OF THE </w:t>
            </w:r>
            <w:r>
              <w:rPr>
                <w:rFonts w:ascii="Arial" w:eastAsia="宋体" w:hAnsi="Arial" w:cs="Arial"/>
                <w:b/>
                <w:bCs/>
                <w:color w:val="000000"/>
                <w:sz w:val="20"/>
                <w:szCs w:val="20"/>
              </w:rPr>
              <w:t>SECURITIES EXCHANGE ACT OF 1934</w:t>
            </w:r>
          </w:p>
        </w:tc>
      </w:tr>
    </w:tbl>
    <w:p w14:paraId="71D3D3C6" w14:textId="77777777" w:rsidR="006A3667" w:rsidRDefault="00045F32">
      <w:pPr>
        <w:ind w:firstLine="450"/>
        <w:jc w:val="center"/>
      </w:pPr>
      <w:r>
        <w:rPr>
          <w:rFonts w:ascii="Arial" w:eastAsia="宋体" w:hAnsi="Arial" w:cs="Arial"/>
          <w:b/>
          <w:bCs/>
          <w:color w:val="000000"/>
          <w:sz w:val="18"/>
          <w:szCs w:val="18"/>
        </w:rPr>
        <w:t>For the transition period from                      to                     </w:t>
      </w:r>
    </w:p>
    <w:p w14:paraId="71D3D3C7" w14:textId="77777777" w:rsidR="006A3667" w:rsidRDefault="00045F32">
      <w:pPr>
        <w:spacing w:before="100"/>
        <w:ind w:firstLine="450"/>
        <w:jc w:val="center"/>
      </w:pPr>
      <w:r>
        <w:rPr>
          <w:rFonts w:ascii="Arial" w:eastAsia="宋体" w:hAnsi="Arial" w:cs="Arial"/>
          <w:b/>
          <w:bCs/>
          <w:color w:val="000000"/>
          <w:sz w:val="18"/>
          <w:szCs w:val="18"/>
        </w:rPr>
        <w:t xml:space="preserve">Commission File No. 001-07511 </w:t>
      </w:r>
    </w:p>
    <w:p w14:paraId="71D3D3C8" w14:textId="77777777" w:rsidR="006A3667" w:rsidRDefault="00045F32">
      <w:pPr>
        <w:spacing w:before="100"/>
        <w:ind w:firstLine="450"/>
        <w:jc w:val="center"/>
      </w:pPr>
      <w:r>
        <w:rPr>
          <w:rFonts w:ascii="Arial" w:eastAsia="宋体" w:hAnsi="Arial" w:cs="Arial"/>
          <w:b/>
          <w:bCs/>
          <w:color w:val="000000"/>
          <w:sz w:val="36"/>
          <w:szCs w:val="36"/>
        </w:rPr>
        <w:t xml:space="preserve">STATE STREET CORPORATION </w:t>
      </w:r>
    </w:p>
    <w:p w14:paraId="71D3D3C9" w14:textId="77777777" w:rsidR="006A3667" w:rsidRDefault="00045F32">
      <w:pPr>
        <w:ind w:firstLine="450"/>
        <w:jc w:val="center"/>
      </w:pPr>
      <w:r>
        <w:rPr>
          <w:rFonts w:ascii="Arial" w:eastAsia="宋体" w:hAnsi="Arial" w:cs="Arial"/>
          <w:color w:val="000000"/>
          <w:sz w:val="20"/>
          <w:szCs w:val="20"/>
        </w:rPr>
        <w:t>(Exact name of registrant as specified in its charter)</w:t>
      </w:r>
    </w:p>
    <w:tbl>
      <w:tblPr>
        <w:tblW w:w="4708" w:type="pct"/>
        <w:jc w:val="center"/>
        <w:tblCellMar>
          <w:top w:w="15" w:type="dxa"/>
          <w:left w:w="15" w:type="dxa"/>
          <w:bottom w:w="15" w:type="dxa"/>
          <w:right w:w="15" w:type="dxa"/>
        </w:tblCellMar>
        <w:tblLook w:val="04A0" w:firstRow="1" w:lastRow="0" w:firstColumn="1" w:lastColumn="0" w:noHBand="0" w:noVBand="1"/>
      </w:tblPr>
      <w:tblGrid>
        <w:gridCol w:w="58"/>
        <w:gridCol w:w="1156"/>
        <w:gridCol w:w="39"/>
        <w:gridCol w:w="58"/>
        <w:gridCol w:w="1295"/>
        <w:gridCol w:w="36"/>
        <w:gridCol w:w="59"/>
        <w:gridCol w:w="1146"/>
        <w:gridCol w:w="36"/>
        <w:gridCol w:w="59"/>
        <w:gridCol w:w="461"/>
        <w:gridCol w:w="37"/>
        <w:gridCol w:w="75"/>
        <w:gridCol w:w="588"/>
        <w:gridCol w:w="37"/>
        <w:gridCol w:w="36"/>
        <w:gridCol w:w="110"/>
        <w:gridCol w:w="36"/>
        <w:gridCol w:w="59"/>
        <w:gridCol w:w="322"/>
        <w:gridCol w:w="36"/>
        <w:gridCol w:w="59"/>
        <w:gridCol w:w="1747"/>
        <w:gridCol w:w="36"/>
        <w:gridCol w:w="36"/>
        <w:gridCol w:w="196"/>
        <w:gridCol w:w="36"/>
      </w:tblGrid>
      <w:tr w:rsidR="006A3667" w14:paraId="71D3D3E5" w14:textId="77777777">
        <w:trPr>
          <w:jc w:val="center"/>
        </w:trPr>
        <w:tc>
          <w:tcPr>
            <w:tcW w:w="50" w:type="pct"/>
            <w:shd w:val="clear" w:color="auto" w:fill="auto"/>
            <w:vAlign w:val="bottom"/>
          </w:tcPr>
          <w:p w14:paraId="71D3D3CA" w14:textId="77777777" w:rsidR="006A3667" w:rsidRDefault="006A3667">
            <w:pPr>
              <w:rPr>
                <w:rFonts w:ascii="宋体"/>
              </w:rPr>
            </w:pPr>
          </w:p>
        </w:tc>
        <w:tc>
          <w:tcPr>
            <w:tcW w:w="748" w:type="pct"/>
            <w:shd w:val="clear" w:color="auto" w:fill="auto"/>
            <w:vAlign w:val="bottom"/>
          </w:tcPr>
          <w:p w14:paraId="71D3D3CB" w14:textId="77777777" w:rsidR="006A3667" w:rsidRDefault="006A3667">
            <w:pPr>
              <w:rPr>
                <w:rFonts w:ascii="宋体"/>
              </w:rPr>
            </w:pPr>
          </w:p>
        </w:tc>
        <w:tc>
          <w:tcPr>
            <w:tcW w:w="5" w:type="pct"/>
            <w:shd w:val="clear" w:color="auto" w:fill="auto"/>
            <w:vAlign w:val="bottom"/>
          </w:tcPr>
          <w:p w14:paraId="71D3D3CC" w14:textId="77777777" w:rsidR="006A3667" w:rsidRDefault="006A3667">
            <w:pPr>
              <w:rPr>
                <w:rFonts w:ascii="宋体"/>
              </w:rPr>
            </w:pPr>
          </w:p>
        </w:tc>
        <w:tc>
          <w:tcPr>
            <w:tcW w:w="50" w:type="pct"/>
            <w:shd w:val="clear" w:color="auto" w:fill="auto"/>
            <w:vAlign w:val="bottom"/>
          </w:tcPr>
          <w:p w14:paraId="71D3D3CD" w14:textId="77777777" w:rsidR="006A3667" w:rsidRDefault="006A3667">
            <w:pPr>
              <w:rPr>
                <w:rFonts w:ascii="宋体"/>
              </w:rPr>
            </w:pPr>
          </w:p>
        </w:tc>
        <w:tc>
          <w:tcPr>
            <w:tcW w:w="837" w:type="pct"/>
            <w:shd w:val="clear" w:color="auto" w:fill="auto"/>
            <w:vAlign w:val="bottom"/>
          </w:tcPr>
          <w:p w14:paraId="71D3D3CE" w14:textId="77777777" w:rsidR="006A3667" w:rsidRDefault="006A3667">
            <w:pPr>
              <w:rPr>
                <w:rFonts w:ascii="宋体"/>
              </w:rPr>
            </w:pPr>
          </w:p>
        </w:tc>
        <w:tc>
          <w:tcPr>
            <w:tcW w:w="5" w:type="pct"/>
            <w:shd w:val="clear" w:color="auto" w:fill="auto"/>
            <w:vAlign w:val="bottom"/>
          </w:tcPr>
          <w:p w14:paraId="71D3D3CF" w14:textId="77777777" w:rsidR="006A3667" w:rsidRDefault="006A3667">
            <w:pPr>
              <w:rPr>
                <w:rFonts w:ascii="宋体"/>
              </w:rPr>
            </w:pPr>
          </w:p>
        </w:tc>
        <w:tc>
          <w:tcPr>
            <w:tcW w:w="50" w:type="pct"/>
            <w:shd w:val="clear" w:color="auto" w:fill="auto"/>
            <w:vAlign w:val="bottom"/>
          </w:tcPr>
          <w:p w14:paraId="71D3D3D0" w14:textId="77777777" w:rsidR="006A3667" w:rsidRDefault="006A3667">
            <w:pPr>
              <w:rPr>
                <w:rFonts w:ascii="宋体"/>
              </w:rPr>
            </w:pPr>
          </w:p>
        </w:tc>
        <w:tc>
          <w:tcPr>
            <w:tcW w:w="741" w:type="pct"/>
            <w:shd w:val="clear" w:color="auto" w:fill="auto"/>
            <w:vAlign w:val="bottom"/>
          </w:tcPr>
          <w:p w14:paraId="71D3D3D1" w14:textId="77777777" w:rsidR="006A3667" w:rsidRDefault="006A3667">
            <w:pPr>
              <w:rPr>
                <w:rFonts w:ascii="宋体"/>
              </w:rPr>
            </w:pPr>
          </w:p>
        </w:tc>
        <w:tc>
          <w:tcPr>
            <w:tcW w:w="5" w:type="pct"/>
            <w:shd w:val="clear" w:color="auto" w:fill="auto"/>
            <w:vAlign w:val="bottom"/>
          </w:tcPr>
          <w:p w14:paraId="71D3D3D2" w14:textId="77777777" w:rsidR="006A3667" w:rsidRDefault="006A3667">
            <w:pPr>
              <w:rPr>
                <w:rFonts w:ascii="宋体"/>
              </w:rPr>
            </w:pPr>
          </w:p>
        </w:tc>
        <w:tc>
          <w:tcPr>
            <w:tcW w:w="50" w:type="pct"/>
            <w:shd w:val="clear" w:color="auto" w:fill="auto"/>
            <w:vAlign w:val="bottom"/>
          </w:tcPr>
          <w:p w14:paraId="71D3D3D3" w14:textId="77777777" w:rsidR="006A3667" w:rsidRDefault="006A3667">
            <w:pPr>
              <w:rPr>
                <w:rFonts w:ascii="宋体"/>
              </w:rPr>
            </w:pPr>
          </w:p>
        </w:tc>
        <w:tc>
          <w:tcPr>
            <w:tcW w:w="306" w:type="pct"/>
            <w:shd w:val="clear" w:color="auto" w:fill="auto"/>
            <w:vAlign w:val="bottom"/>
          </w:tcPr>
          <w:p w14:paraId="71D3D3D4" w14:textId="77777777" w:rsidR="006A3667" w:rsidRDefault="006A3667">
            <w:pPr>
              <w:rPr>
                <w:rFonts w:ascii="宋体"/>
              </w:rPr>
            </w:pPr>
          </w:p>
        </w:tc>
        <w:tc>
          <w:tcPr>
            <w:tcW w:w="5" w:type="pct"/>
            <w:shd w:val="clear" w:color="auto" w:fill="auto"/>
            <w:vAlign w:val="bottom"/>
          </w:tcPr>
          <w:p w14:paraId="71D3D3D5" w14:textId="77777777" w:rsidR="006A3667" w:rsidRDefault="006A3667">
            <w:pPr>
              <w:rPr>
                <w:rFonts w:ascii="宋体"/>
              </w:rPr>
            </w:pPr>
          </w:p>
        </w:tc>
        <w:tc>
          <w:tcPr>
            <w:tcW w:w="50" w:type="pct"/>
            <w:shd w:val="clear" w:color="auto" w:fill="auto"/>
            <w:vAlign w:val="bottom"/>
          </w:tcPr>
          <w:p w14:paraId="71D3D3D6" w14:textId="77777777" w:rsidR="006A3667" w:rsidRDefault="006A3667">
            <w:pPr>
              <w:rPr>
                <w:rFonts w:ascii="宋体"/>
              </w:rPr>
            </w:pPr>
          </w:p>
        </w:tc>
        <w:tc>
          <w:tcPr>
            <w:tcW w:w="394" w:type="pct"/>
            <w:shd w:val="clear" w:color="auto" w:fill="auto"/>
            <w:vAlign w:val="bottom"/>
          </w:tcPr>
          <w:p w14:paraId="71D3D3D7" w14:textId="77777777" w:rsidR="006A3667" w:rsidRDefault="006A3667">
            <w:pPr>
              <w:rPr>
                <w:rFonts w:ascii="宋体"/>
              </w:rPr>
            </w:pPr>
          </w:p>
        </w:tc>
        <w:tc>
          <w:tcPr>
            <w:tcW w:w="5" w:type="pct"/>
            <w:shd w:val="clear" w:color="auto" w:fill="auto"/>
            <w:vAlign w:val="bottom"/>
          </w:tcPr>
          <w:p w14:paraId="71D3D3D8" w14:textId="77777777" w:rsidR="006A3667" w:rsidRDefault="006A3667">
            <w:pPr>
              <w:rPr>
                <w:rFonts w:ascii="宋体"/>
              </w:rPr>
            </w:pPr>
          </w:p>
        </w:tc>
        <w:tc>
          <w:tcPr>
            <w:tcW w:w="5" w:type="pct"/>
            <w:shd w:val="clear" w:color="auto" w:fill="auto"/>
            <w:vAlign w:val="bottom"/>
          </w:tcPr>
          <w:p w14:paraId="71D3D3D9" w14:textId="77777777" w:rsidR="006A3667" w:rsidRDefault="006A3667">
            <w:pPr>
              <w:rPr>
                <w:rFonts w:ascii="宋体"/>
              </w:rPr>
            </w:pPr>
          </w:p>
        </w:tc>
        <w:tc>
          <w:tcPr>
            <w:tcW w:w="85" w:type="pct"/>
            <w:shd w:val="clear" w:color="auto" w:fill="auto"/>
            <w:vAlign w:val="bottom"/>
          </w:tcPr>
          <w:p w14:paraId="71D3D3DA" w14:textId="77777777" w:rsidR="006A3667" w:rsidRDefault="006A3667">
            <w:pPr>
              <w:rPr>
                <w:rFonts w:ascii="宋体"/>
              </w:rPr>
            </w:pPr>
          </w:p>
        </w:tc>
        <w:tc>
          <w:tcPr>
            <w:tcW w:w="5" w:type="pct"/>
            <w:shd w:val="clear" w:color="auto" w:fill="auto"/>
            <w:vAlign w:val="bottom"/>
          </w:tcPr>
          <w:p w14:paraId="71D3D3DB" w14:textId="77777777" w:rsidR="006A3667" w:rsidRDefault="006A3667">
            <w:pPr>
              <w:rPr>
                <w:rFonts w:ascii="宋体"/>
              </w:rPr>
            </w:pPr>
          </w:p>
        </w:tc>
        <w:tc>
          <w:tcPr>
            <w:tcW w:w="50" w:type="pct"/>
            <w:shd w:val="clear" w:color="auto" w:fill="auto"/>
            <w:vAlign w:val="bottom"/>
          </w:tcPr>
          <w:p w14:paraId="71D3D3DC" w14:textId="77777777" w:rsidR="006A3667" w:rsidRDefault="006A3667">
            <w:pPr>
              <w:rPr>
                <w:rFonts w:ascii="宋体"/>
              </w:rPr>
            </w:pPr>
          </w:p>
        </w:tc>
        <w:tc>
          <w:tcPr>
            <w:tcW w:w="217" w:type="pct"/>
            <w:shd w:val="clear" w:color="auto" w:fill="auto"/>
            <w:vAlign w:val="bottom"/>
          </w:tcPr>
          <w:p w14:paraId="71D3D3DD" w14:textId="77777777" w:rsidR="006A3667" w:rsidRDefault="006A3667">
            <w:pPr>
              <w:rPr>
                <w:rFonts w:ascii="宋体"/>
              </w:rPr>
            </w:pPr>
          </w:p>
        </w:tc>
        <w:tc>
          <w:tcPr>
            <w:tcW w:w="5" w:type="pct"/>
            <w:shd w:val="clear" w:color="auto" w:fill="auto"/>
            <w:vAlign w:val="bottom"/>
          </w:tcPr>
          <w:p w14:paraId="71D3D3DE" w14:textId="77777777" w:rsidR="006A3667" w:rsidRDefault="006A3667">
            <w:pPr>
              <w:rPr>
                <w:rFonts w:ascii="宋体"/>
              </w:rPr>
            </w:pPr>
          </w:p>
        </w:tc>
        <w:tc>
          <w:tcPr>
            <w:tcW w:w="50" w:type="pct"/>
            <w:shd w:val="clear" w:color="auto" w:fill="auto"/>
            <w:vAlign w:val="bottom"/>
          </w:tcPr>
          <w:p w14:paraId="71D3D3DF" w14:textId="77777777" w:rsidR="006A3667" w:rsidRDefault="006A3667">
            <w:pPr>
              <w:rPr>
                <w:rFonts w:ascii="宋体"/>
              </w:rPr>
            </w:pPr>
          </w:p>
        </w:tc>
        <w:tc>
          <w:tcPr>
            <w:tcW w:w="1124" w:type="pct"/>
            <w:shd w:val="clear" w:color="auto" w:fill="auto"/>
            <w:vAlign w:val="bottom"/>
          </w:tcPr>
          <w:p w14:paraId="71D3D3E0" w14:textId="77777777" w:rsidR="006A3667" w:rsidRDefault="006A3667">
            <w:pPr>
              <w:rPr>
                <w:rFonts w:ascii="宋体"/>
              </w:rPr>
            </w:pPr>
          </w:p>
        </w:tc>
        <w:tc>
          <w:tcPr>
            <w:tcW w:w="5" w:type="pct"/>
            <w:shd w:val="clear" w:color="auto" w:fill="auto"/>
            <w:vAlign w:val="bottom"/>
          </w:tcPr>
          <w:p w14:paraId="71D3D3E1" w14:textId="77777777" w:rsidR="006A3667" w:rsidRDefault="006A3667">
            <w:pPr>
              <w:rPr>
                <w:rFonts w:ascii="宋体"/>
              </w:rPr>
            </w:pPr>
          </w:p>
        </w:tc>
        <w:tc>
          <w:tcPr>
            <w:tcW w:w="5" w:type="pct"/>
            <w:shd w:val="clear" w:color="auto" w:fill="auto"/>
            <w:vAlign w:val="bottom"/>
          </w:tcPr>
          <w:p w14:paraId="71D3D3E2" w14:textId="77777777" w:rsidR="006A3667" w:rsidRDefault="006A3667">
            <w:pPr>
              <w:rPr>
                <w:rFonts w:ascii="宋体"/>
              </w:rPr>
            </w:pPr>
          </w:p>
        </w:tc>
        <w:tc>
          <w:tcPr>
            <w:tcW w:w="137" w:type="pct"/>
            <w:shd w:val="clear" w:color="auto" w:fill="auto"/>
            <w:vAlign w:val="bottom"/>
          </w:tcPr>
          <w:p w14:paraId="71D3D3E3" w14:textId="77777777" w:rsidR="006A3667" w:rsidRDefault="006A3667">
            <w:pPr>
              <w:rPr>
                <w:rFonts w:ascii="宋体"/>
              </w:rPr>
            </w:pPr>
          </w:p>
        </w:tc>
        <w:tc>
          <w:tcPr>
            <w:tcW w:w="5" w:type="pct"/>
            <w:shd w:val="clear" w:color="auto" w:fill="auto"/>
            <w:vAlign w:val="bottom"/>
          </w:tcPr>
          <w:p w14:paraId="71D3D3E4" w14:textId="77777777" w:rsidR="006A3667" w:rsidRDefault="006A3667">
            <w:pPr>
              <w:rPr>
                <w:rFonts w:ascii="宋体"/>
              </w:rPr>
            </w:pPr>
          </w:p>
        </w:tc>
      </w:tr>
      <w:tr w:rsidR="006A3667" w14:paraId="71D3D3EE" w14:textId="77777777">
        <w:trPr>
          <w:jc w:val="center"/>
        </w:trPr>
        <w:tc>
          <w:tcPr>
            <w:tcW w:w="0" w:type="auto"/>
            <w:gridSpan w:val="6"/>
            <w:shd w:val="clear" w:color="auto" w:fill="auto"/>
            <w:tcMar>
              <w:top w:w="40" w:type="dxa"/>
              <w:left w:w="20" w:type="dxa"/>
              <w:bottom w:w="40" w:type="dxa"/>
              <w:right w:w="20" w:type="dxa"/>
            </w:tcMar>
            <w:vAlign w:val="bottom"/>
          </w:tcPr>
          <w:p w14:paraId="71D3D3E6" w14:textId="77777777" w:rsidR="006A3667" w:rsidRDefault="00045F32">
            <w:pPr>
              <w:jc w:val="center"/>
              <w:textAlignment w:val="bottom"/>
            </w:pPr>
            <w:r>
              <w:rPr>
                <w:rFonts w:ascii="Arial" w:eastAsia="宋体" w:hAnsi="Arial" w:cs="Arial"/>
                <w:b/>
                <w:bCs/>
                <w:color w:val="000000"/>
                <w:sz w:val="14"/>
                <w:szCs w:val="14"/>
              </w:rPr>
              <w:t>MA</w:t>
            </w:r>
          </w:p>
        </w:tc>
        <w:tc>
          <w:tcPr>
            <w:tcW w:w="0" w:type="auto"/>
            <w:gridSpan w:val="3"/>
            <w:shd w:val="clear" w:color="auto" w:fill="auto"/>
            <w:tcMar>
              <w:top w:w="0" w:type="dxa"/>
              <w:left w:w="20" w:type="dxa"/>
              <w:bottom w:w="0" w:type="dxa"/>
              <w:right w:w="20" w:type="dxa"/>
            </w:tcMar>
            <w:vAlign w:val="bottom"/>
          </w:tcPr>
          <w:p w14:paraId="71D3D3E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E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E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E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E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3EC" w14:textId="77777777" w:rsidR="006A3667" w:rsidRDefault="00045F32">
            <w:pPr>
              <w:jc w:val="center"/>
              <w:textAlignment w:val="bottom"/>
            </w:pPr>
            <w:r>
              <w:rPr>
                <w:rFonts w:ascii="Arial" w:eastAsia="宋体" w:hAnsi="Arial" w:cs="Arial"/>
                <w:b/>
                <w:bCs/>
                <w:color w:val="000000"/>
                <w:sz w:val="14"/>
                <w:szCs w:val="14"/>
              </w:rPr>
              <w:t>04-2456637</w:t>
            </w:r>
          </w:p>
        </w:tc>
        <w:tc>
          <w:tcPr>
            <w:tcW w:w="0" w:type="auto"/>
            <w:gridSpan w:val="3"/>
            <w:shd w:val="clear" w:color="auto" w:fill="auto"/>
            <w:tcMar>
              <w:top w:w="0" w:type="dxa"/>
              <w:left w:w="20" w:type="dxa"/>
              <w:bottom w:w="0" w:type="dxa"/>
              <w:right w:w="20" w:type="dxa"/>
            </w:tcMar>
            <w:vAlign w:val="bottom"/>
          </w:tcPr>
          <w:p w14:paraId="71D3D3ED" w14:textId="77777777" w:rsidR="006A3667" w:rsidRDefault="006A3667">
            <w:pPr>
              <w:rPr>
                <w:rFonts w:ascii="宋体"/>
              </w:rPr>
            </w:pPr>
          </w:p>
        </w:tc>
      </w:tr>
      <w:tr w:rsidR="006A3667" w14:paraId="71D3D3F7" w14:textId="77777777">
        <w:trPr>
          <w:jc w:val="center"/>
        </w:trPr>
        <w:tc>
          <w:tcPr>
            <w:tcW w:w="0" w:type="auto"/>
            <w:gridSpan w:val="6"/>
            <w:shd w:val="clear" w:color="auto" w:fill="auto"/>
            <w:tcMar>
              <w:top w:w="40" w:type="dxa"/>
              <w:left w:w="20" w:type="dxa"/>
              <w:bottom w:w="40" w:type="dxa"/>
              <w:right w:w="20" w:type="dxa"/>
            </w:tcMar>
            <w:vAlign w:val="bottom"/>
          </w:tcPr>
          <w:p w14:paraId="71D3D3EF" w14:textId="77777777" w:rsidR="006A3667" w:rsidRDefault="00045F32">
            <w:pPr>
              <w:jc w:val="center"/>
              <w:textAlignment w:val="bottom"/>
            </w:pPr>
            <w:r>
              <w:rPr>
                <w:rFonts w:ascii="Arial" w:eastAsia="宋体" w:hAnsi="Arial" w:cs="Arial"/>
                <w:color w:val="000000"/>
                <w:sz w:val="14"/>
                <w:szCs w:val="14"/>
              </w:rPr>
              <w:t>(State or other jurisdiction of incorporation)</w:t>
            </w:r>
          </w:p>
        </w:tc>
        <w:tc>
          <w:tcPr>
            <w:tcW w:w="0" w:type="auto"/>
            <w:gridSpan w:val="3"/>
            <w:shd w:val="clear" w:color="auto" w:fill="auto"/>
            <w:tcMar>
              <w:top w:w="0" w:type="dxa"/>
              <w:left w:w="20" w:type="dxa"/>
              <w:bottom w:w="0" w:type="dxa"/>
              <w:right w:w="20" w:type="dxa"/>
            </w:tcMar>
            <w:vAlign w:val="bottom"/>
          </w:tcPr>
          <w:p w14:paraId="71D3D3F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3F5" w14:textId="77777777" w:rsidR="006A3667" w:rsidRDefault="00045F32">
            <w:pPr>
              <w:jc w:val="center"/>
              <w:textAlignment w:val="bottom"/>
            </w:pPr>
            <w:r>
              <w:rPr>
                <w:rFonts w:ascii="Arial" w:eastAsia="宋体" w:hAnsi="Arial" w:cs="Arial"/>
                <w:color w:val="000000"/>
                <w:sz w:val="14"/>
                <w:szCs w:val="14"/>
              </w:rPr>
              <w:t>(I.R.S. Employer Identification No.)</w:t>
            </w:r>
          </w:p>
        </w:tc>
        <w:tc>
          <w:tcPr>
            <w:tcW w:w="0" w:type="auto"/>
            <w:gridSpan w:val="3"/>
            <w:shd w:val="clear" w:color="auto" w:fill="auto"/>
            <w:tcMar>
              <w:top w:w="0" w:type="dxa"/>
              <w:left w:w="20" w:type="dxa"/>
              <w:bottom w:w="0" w:type="dxa"/>
              <w:right w:w="20" w:type="dxa"/>
            </w:tcMar>
            <w:vAlign w:val="bottom"/>
          </w:tcPr>
          <w:p w14:paraId="71D3D3F6" w14:textId="77777777" w:rsidR="006A3667" w:rsidRDefault="006A3667">
            <w:pPr>
              <w:rPr>
                <w:rFonts w:ascii="宋体"/>
              </w:rPr>
            </w:pPr>
          </w:p>
        </w:tc>
      </w:tr>
      <w:tr w:rsidR="006A3667" w14:paraId="71D3D400" w14:textId="77777777">
        <w:trPr>
          <w:jc w:val="center"/>
        </w:trPr>
        <w:tc>
          <w:tcPr>
            <w:tcW w:w="0" w:type="auto"/>
            <w:gridSpan w:val="6"/>
            <w:shd w:val="clear" w:color="auto" w:fill="auto"/>
            <w:tcMar>
              <w:top w:w="40" w:type="dxa"/>
              <w:left w:w="20" w:type="dxa"/>
              <w:bottom w:w="40" w:type="dxa"/>
              <w:right w:w="20" w:type="dxa"/>
            </w:tcMar>
            <w:vAlign w:val="bottom"/>
          </w:tcPr>
          <w:p w14:paraId="71D3D3F8" w14:textId="77777777" w:rsidR="006A3667" w:rsidRDefault="00045F32">
            <w:pPr>
              <w:jc w:val="center"/>
              <w:textAlignment w:val="bottom"/>
            </w:pPr>
            <w:r>
              <w:rPr>
                <w:rFonts w:ascii="Arial" w:eastAsia="宋体" w:hAnsi="Arial" w:cs="Arial"/>
                <w:b/>
                <w:bCs/>
                <w:color w:val="000000"/>
                <w:sz w:val="14"/>
                <w:szCs w:val="14"/>
              </w:rPr>
              <w:t>One Lincoln Street</w:t>
            </w:r>
          </w:p>
        </w:tc>
        <w:tc>
          <w:tcPr>
            <w:tcW w:w="0" w:type="auto"/>
            <w:gridSpan w:val="3"/>
            <w:shd w:val="clear" w:color="auto" w:fill="auto"/>
            <w:tcMar>
              <w:top w:w="0" w:type="dxa"/>
              <w:left w:w="20" w:type="dxa"/>
              <w:bottom w:w="0" w:type="dxa"/>
              <w:right w:w="20" w:type="dxa"/>
            </w:tcMar>
            <w:vAlign w:val="bottom"/>
          </w:tcPr>
          <w:p w14:paraId="71D3D3F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3FF" w14:textId="77777777" w:rsidR="006A3667" w:rsidRDefault="006A3667">
            <w:pPr>
              <w:rPr>
                <w:rFonts w:ascii="宋体"/>
              </w:rPr>
            </w:pPr>
          </w:p>
        </w:tc>
      </w:tr>
      <w:tr w:rsidR="006A3667" w14:paraId="71D3D409" w14:textId="77777777">
        <w:trPr>
          <w:jc w:val="center"/>
        </w:trPr>
        <w:tc>
          <w:tcPr>
            <w:tcW w:w="0" w:type="auto"/>
            <w:gridSpan w:val="3"/>
            <w:shd w:val="clear" w:color="auto" w:fill="auto"/>
            <w:tcMar>
              <w:top w:w="40" w:type="dxa"/>
              <w:left w:w="20" w:type="dxa"/>
              <w:bottom w:w="40" w:type="dxa"/>
              <w:right w:w="20" w:type="dxa"/>
            </w:tcMar>
            <w:vAlign w:val="bottom"/>
          </w:tcPr>
          <w:p w14:paraId="71D3D401" w14:textId="77777777" w:rsidR="006A3667" w:rsidRDefault="00045F32">
            <w:pPr>
              <w:jc w:val="right"/>
              <w:textAlignment w:val="bottom"/>
            </w:pPr>
            <w:r>
              <w:rPr>
                <w:rFonts w:ascii="Arial" w:eastAsia="宋体" w:hAnsi="Arial" w:cs="Arial"/>
                <w:b/>
                <w:bCs/>
                <w:color w:val="000000"/>
                <w:sz w:val="14"/>
                <w:szCs w:val="14"/>
              </w:rPr>
              <w:t>Boston,</w:t>
            </w:r>
          </w:p>
        </w:tc>
        <w:tc>
          <w:tcPr>
            <w:tcW w:w="0" w:type="auto"/>
            <w:gridSpan w:val="3"/>
            <w:shd w:val="clear" w:color="auto" w:fill="auto"/>
            <w:tcMar>
              <w:top w:w="40" w:type="dxa"/>
              <w:left w:w="20" w:type="dxa"/>
              <w:bottom w:w="40" w:type="dxa"/>
              <w:right w:w="20" w:type="dxa"/>
            </w:tcMar>
            <w:vAlign w:val="bottom"/>
          </w:tcPr>
          <w:p w14:paraId="71D3D402" w14:textId="77777777" w:rsidR="006A3667" w:rsidRDefault="00045F32">
            <w:pPr>
              <w:textAlignment w:val="bottom"/>
            </w:pPr>
            <w:r>
              <w:rPr>
                <w:rFonts w:ascii="Arial" w:eastAsia="宋体" w:hAnsi="Arial" w:cs="Arial"/>
                <w:b/>
                <w:bCs/>
                <w:color w:val="000000"/>
                <w:sz w:val="14"/>
                <w:szCs w:val="14"/>
              </w:rPr>
              <w:t>MA</w:t>
            </w:r>
          </w:p>
        </w:tc>
        <w:tc>
          <w:tcPr>
            <w:tcW w:w="0" w:type="auto"/>
            <w:gridSpan w:val="6"/>
            <w:shd w:val="clear" w:color="auto" w:fill="auto"/>
            <w:tcMar>
              <w:top w:w="0" w:type="dxa"/>
              <w:left w:w="20" w:type="dxa"/>
              <w:bottom w:w="0" w:type="dxa"/>
              <w:right w:w="20" w:type="dxa"/>
            </w:tcMar>
            <w:vAlign w:val="bottom"/>
          </w:tcPr>
          <w:p w14:paraId="71D3D40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0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0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0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407" w14:textId="77777777" w:rsidR="006A3667" w:rsidRDefault="00045F32">
            <w:pPr>
              <w:jc w:val="center"/>
              <w:textAlignment w:val="bottom"/>
            </w:pPr>
            <w:r>
              <w:rPr>
                <w:rFonts w:ascii="Arial" w:eastAsia="宋体" w:hAnsi="Arial" w:cs="Arial"/>
                <w:b/>
                <w:bCs/>
                <w:color w:val="000000"/>
                <w:sz w:val="14"/>
                <w:szCs w:val="14"/>
              </w:rPr>
              <w:t>02111</w:t>
            </w:r>
          </w:p>
        </w:tc>
        <w:tc>
          <w:tcPr>
            <w:tcW w:w="0" w:type="auto"/>
            <w:gridSpan w:val="3"/>
            <w:shd w:val="clear" w:color="auto" w:fill="auto"/>
            <w:tcMar>
              <w:top w:w="0" w:type="dxa"/>
              <w:left w:w="20" w:type="dxa"/>
              <w:bottom w:w="0" w:type="dxa"/>
              <w:right w:w="20" w:type="dxa"/>
            </w:tcMar>
            <w:vAlign w:val="bottom"/>
          </w:tcPr>
          <w:p w14:paraId="71D3D408" w14:textId="77777777" w:rsidR="006A3667" w:rsidRDefault="006A3667">
            <w:pPr>
              <w:rPr>
                <w:rFonts w:ascii="宋体"/>
              </w:rPr>
            </w:pPr>
          </w:p>
        </w:tc>
      </w:tr>
      <w:tr w:rsidR="006A3667" w14:paraId="71D3D411" w14:textId="77777777">
        <w:trPr>
          <w:jc w:val="center"/>
        </w:trPr>
        <w:tc>
          <w:tcPr>
            <w:tcW w:w="0" w:type="auto"/>
            <w:gridSpan w:val="6"/>
            <w:shd w:val="clear" w:color="auto" w:fill="auto"/>
            <w:tcMar>
              <w:top w:w="40" w:type="dxa"/>
              <w:left w:w="20" w:type="dxa"/>
              <w:bottom w:w="40" w:type="dxa"/>
              <w:right w:w="20" w:type="dxa"/>
            </w:tcMar>
            <w:vAlign w:val="bottom"/>
          </w:tcPr>
          <w:p w14:paraId="71D3D40A" w14:textId="77777777" w:rsidR="006A3667" w:rsidRDefault="00045F32">
            <w:pPr>
              <w:jc w:val="center"/>
              <w:textAlignment w:val="bottom"/>
            </w:pPr>
            <w:r>
              <w:rPr>
                <w:rFonts w:ascii="Arial" w:eastAsia="宋体" w:hAnsi="Arial" w:cs="Arial"/>
                <w:color w:val="000000"/>
                <w:sz w:val="14"/>
                <w:szCs w:val="14"/>
              </w:rPr>
              <w:t>(Address of principal executive offices)</w:t>
            </w:r>
          </w:p>
        </w:tc>
        <w:tc>
          <w:tcPr>
            <w:tcW w:w="0" w:type="auto"/>
            <w:gridSpan w:val="6"/>
            <w:shd w:val="clear" w:color="auto" w:fill="auto"/>
            <w:tcMar>
              <w:top w:w="0" w:type="dxa"/>
              <w:left w:w="20" w:type="dxa"/>
              <w:bottom w:w="0" w:type="dxa"/>
              <w:right w:w="20" w:type="dxa"/>
            </w:tcMar>
            <w:vAlign w:val="bottom"/>
          </w:tcPr>
          <w:p w14:paraId="71D3D40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0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0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0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40F" w14:textId="77777777" w:rsidR="006A3667" w:rsidRDefault="00045F32">
            <w:pPr>
              <w:jc w:val="center"/>
              <w:textAlignment w:val="bottom"/>
            </w:pPr>
            <w:r>
              <w:rPr>
                <w:rFonts w:ascii="Arial" w:eastAsia="宋体" w:hAnsi="Arial" w:cs="Arial"/>
                <w:color w:val="000000"/>
                <w:sz w:val="14"/>
                <w:szCs w:val="14"/>
              </w:rPr>
              <w:t>(Zip Code)</w:t>
            </w:r>
          </w:p>
        </w:tc>
        <w:tc>
          <w:tcPr>
            <w:tcW w:w="0" w:type="auto"/>
            <w:gridSpan w:val="3"/>
            <w:shd w:val="clear" w:color="auto" w:fill="auto"/>
            <w:tcMar>
              <w:top w:w="0" w:type="dxa"/>
              <w:left w:w="20" w:type="dxa"/>
              <w:bottom w:w="0" w:type="dxa"/>
              <w:right w:w="20" w:type="dxa"/>
            </w:tcMar>
            <w:vAlign w:val="bottom"/>
          </w:tcPr>
          <w:p w14:paraId="71D3D410" w14:textId="77777777" w:rsidR="006A3667" w:rsidRDefault="006A3667">
            <w:pPr>
              <w:rPr>
                <w:rFonts w:ascii="宋体"/>
              </w:rPr>
            </w:pPr>
          </w:p>
        </w:tc>
      </w:tr>
      <w:tr w:rsidR="006A3667" w14:paraId="71D3D41A" w14:textId="77777777">
        <w:trPr>
          <w:jc w:val="center"/>
        </w:trPr>
        <w:tc>
          <w:tcPr>
            <w:tcW w:w="0" w:type="auto"/>
            <w:gridSpan w:val="3"/>
            <w:shd w:val="clear" w:color="auto" w:fill="auto"/>
            <w:tcMar>
              <w:top w:w="0" w:type="dxa"/>
              <w:left w:w="20" w:type="dxa"/>
              <w:bottom w:w="0" w:type="dxa"/>
              <w:right w:w="20" w:type="dxa"/>
            </w:tcMar>
            <w:vAlign w:val="bottom"/>
          </w:tcPr>
          <w:p w14:paraId="71D3D41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1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414" w14:textId="77777777" w:rsidR="006A3667" w:rsidRDefault="00045F32">
            <w:pPr>
              <w:jc w:val="right"/>
              <w:textAlignment w:val="bottom"/>
            </w:pPr>
            <w:r>
              <w:rPr>
                <w:rFonts w:ascii="Arial" w:eastAsia="宋体" w:hAnsi="Arial" w:cs="Arial"/>
                <w:b/>
                <w:bCs/>
                <w:color w:val="000000"/>
                <w:sz w:val="14"/>
                <w:szCs w:val="14"/>
              </w:rPr>
              <w:t>(617)</w:t>
            </w:r>
          </w:p>
        </w:tc>
        <w:tc>
          <w:tcPr>
            <w:tcW w:w="0" w:type="auto"/>
            <w:gridSpan w:val="6"/>
            <w:shd w:val="clear" w:color="auto" w:fill="auto"/>
            <w:tcMar>
              <w:top w:w="40" w:type="dxa"/>
              <w:left w:w="20" w:type="dxa"/>
              <w:bottom w:w="40" w:type="dxa"/>
              <w:right w:w="20" w:type="dxa"/>
            </w:tcMar>
            <w:vAlign w:val="bottom"/>
          </w:tcPr>
          <w:p w14:paraId="71D3D415" w14:textId="77777777" w:rsidR="006A3667" w:rsidRDefault="00045F32">
            <w:pPr>
              <w:textAlignment w:val="bottom"/>
            </w:pPr>
            <w:r>
              <w:rPr>
                <w:rFonts w:ascii="Arial" w:eastAsia="宋体" w:hAnsi="Arial" w:cs="Arial"/>
                <w:b/>
                <w:bCs/>
                <w:color w:val="000000"/>
                <w:sz w:val="14"/>
                <w:szCs w:val="14"/>
              </w:rPr>
              <w:t>786-3000</w:t>
            </w:r>
          </w:p>
        </w:tc>
        <w:tc>
          <w:tcPr>
            <w:tcW w:w="0" w:type="auto"/>
            <w:gridSpan w:val="3"/>
            <w:shd w:val="clear" w:color="auto" w:fill="auto"/>
            <w:tcMar>
              <w:top w:w="0" w:type="dxa"/>
              <w:left w:w="20" w:type="dxa"/>
              <w:bottom w:w="0" w:type="dxa"/>
              <w:right w:w="20" w:type="dxa"/>
            </w:tcMar>
            <w:vAlign w:val="bottom"/>
          </w:tcPr>
          <w:p w14:paraId="71D3D41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1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1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19" w14:textId="77777777" w:rsidR="006A3667" w:rsidRDefault="006A3667">
            <w:pPr>
              <w:rPr>
                <w:rFonts w:ascii="宋体"/>
              </w:rPr>
            </w:pPr>
          </w:p>
        </w:tc>
      </w:tr>
      <w:tr w:rsidR="006A3667" w14:paraId="71D3D421" w14:textId="77777777">
        <w:trPr>
          <w:jc w:val="center"/>
        </w:trPr>
        <w:tc>
          <w:tcPr>
            <w:tcW w:w="0" w:type="auto"/>
            <w:gridSpan w:val="3"/>
            <w:shd w:val="clear" w:color="auto" w:fill="auto"/>
            <w:tcMar>
              <w:top w:w="0" w:type="dxa"/>
              <w:left w:w="20" w:type="dxa"/>
              <w:bottom w:w="0" w:type="dxa"/>
              <w:right w:w="20" w:type="dxa"/>
            </w:tcMar>
            <w:vAlign w:val="bottom"/>
          </w:tcPr>
          <w:p w14:paraId="71D3D41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1C" w14:textId="77777777" w:rsidR="006A3667" w:rsidRDefault="006A3667">
            <w:pPr>
              <w:rPr>
                <w:rFonts w:ascii="宋体"/>
              </w:rPr>
            </w:pPr>
          </w:p>
        </w:tc>
        <w:tc>
          <w:tcPr>
            <w:tcW w:w="0" w:type="auto"/>
            <w:gridSpan w:val="12"/>
            <w:shd w:val="clear" w:color="auto" w:fill="auto"/>
            <w:tcMar>
              <w:top w:w="40" w:type="dxa"/>
              <w:left w:w="20" w:type="dxa"/>
              <w:bottom w:w="40" w:type="dxa"/>
              <w:right w:w="20" w:type="dxa"/>
            </w:tcMar>
            <w:vAlign w:val="bottom"/>
          </w:tcPr>
          <w:p w14:paraId="71D3D41D" w14:textId="77777777" w:rsidR="006A3667" w:rsidRDefault="00045F32">
            <w:pPr>
              <w:jc w:val="center"/>
              <w:textAlignment w:val="bottom"/>
            </w:pPr>
            <w:r>
              <w:rPr>
                <w:rFonts w:ascii="Arial" w:eastAsia="宋体" w:hAnsi="Arial" w:cs="Arial"/>
                <w:color w:val="000000"/>
                <w:sz w:val="14"/>
                <w:szCs w:val="14"/>
              </w:rPr>
              <w:t>(Registrant's telephone number, including area code)</w:t>
            </w:r>
          </w:p>
        </w:tc>
        <w:tc>
          <w:tcPr>
            <w:tcW w:w="0" w:type="auto"/>
            <w:gridSpan w:val="3"/>
            <w:shd w:val="clear" w:color="auto" w:fill="auto"/>
            <w:tcMar>
              <w:top w:w="0" w:type="dxa"/>
              <w:left w:w="20" w:type="dxa"/>
              <w:bottom w:w="0" w:type="dxa"/>
              <w:right w:w="20" w:type="dxa"/>
            </w:tcMar>
            <w:vAlign w:val="bottom"/>
          </w:tcPr>
          <w:p w14:paraId="71D3D41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1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20" w14:textId="77777777" w:rsidR="006A3667" w:rsidRDefault="006A3667">
            <w:pPr>
              <w:rPr>
                <w:rFonts w:ascii="宋体"/>
              </w:rPr>
            </w:pPr>
          </w:p>
        </w:tc>
      </w:tr>
      <w:tr w:rsidR="006A3667" w14:paraId="71D3D424" w14:textId="77777777">
        <w:trPr>
          <w:trHeight w:val="240"/>
          <w:jc w:val="center"/>
        </w:trPr>
        <w:tc>
          <w:tcPr>
            <w:tcW w:w="0" w:type="auto"/>
            <w:gridSpan w:val="24"/>
            <w:shd w:val="clear" w:color="auto" w:fill="auto"/>
            <w:tcMar>
              <w:top w:w="0" w:type="dxa"/>
              <w:left w:w="20" w:type="dxa"/>
              <w:bottom w:w="0" w:type="dxa"/>
              <w:right w:w="20" w:type="dxa"/>
            </w:tcMar>
            <w:vAlign w:val="bottom"/>
          </w:tcPr>
          <w:p w14:paraId="71D3D42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23" w14:textId="77777777" w:rsidR="006A3667" w:rsidRDefault="006A3667">
            <w:pPr>
              <w:rPr>
                <w:rFonts w:ascii="宋体"/>
              </w:rPr>
            </w:pPr>
          </w:p>
        </w:tc>
      </w:tr>
      <w:tr w:rsidR="006A3667" w14:paraId="71D3D427" w14:textId="77777777">
        <w:trPr>
          <w:jc w:val="center"/>
        </w:trPr>
        <w:tc>
          <w:tcPr>
            <w:tcW w:w="0" w:type="auto"/>
            <w:gridSpan w:val="24"/>
            <w:shd w:val="clear" w:color="auto" w:fill="auto"/>
            <w:tcMar>
              <w:top w:w="40" w:type="dxa"/>
              <w:left w:w="20" w:type="dxa"/>
              <w:bottom w:w="40" w:type="dxa"/>
              <w:right w:w="20" w:type="dxa"/>
            </w:tcMar>
            <w:vAlign w:val="bottom"/>
          </w:tcPr>
          <w:p w14:paraId="71D3D425" w14:textId="77777777" w:rsidR="006A3667" w:rsidRDefault="00045F32">
            <w:pPr>
              <w:textAlignment w:val="bottom"/>
            </w:pPr>
            <w:r>
              <w:rPr>
                <w:rFonts w:ascii="Arial" w:eastAsia="宋体" w:hAnsi="Arial" w:cs="Arial"/>
                <w:color w:val="000000"/>
                <w:sz w:val="13"/>
                <w:szCs w:val="13"/>
              </w:rPr>
              <w:t>Securities registered pursuant to Section 12(b) of the Act:</w:t>
            </w:r>
          </w:p>
        </w:tc>
        <w:tc>
          <w:tcPr>
            <w:tcW w:w="0" w:type="auto"/>
            <w:gridSpan w:val="3"/>
            <w:shd w:val="clear" w:color="auto" w:fill="auto"/>
            <w:tcMar>
              <w:top w:w="0" w:type="dxa"/>
              <w:left w:w="20" w:type="dxa"/>
              <w:bottom w:w="0" w:type="dxa"/>
              <w:right w:w="20" w:type="dxa"/>
            </w:tcMar>
            <w:vAlign w:val="bottom"/>
          </w:tcPr>
          <w:p w14:paraId="71D3D426" w14:textId="77777777" w:rsidR="006A3667" w:rsidRDefault="006A3667">
            <w:pPr>
              <w:rPr>
                <w:rFonts w:ascii="宋体"/>
              </w:rPr>
            </w:pPr>
          </w:p>
        </w:tc>
      </w:tr>
      <w:tr w:rsidR="006A3667" w14:paraId="71D3D42F"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71D3D428" w14:textId="77777777" w:rsidR="006A3667" w:rsidRDefault="00045F32">
            <w:pPr>
              <w:jc w:val="center"/>
              <w:textAlignment w:val="bottom"/>
            </w:pPr>
            <w:r>
              <w:rPr>
                <w:rFonts w:ascii="Arial" w:eastAsia="宋体" w:hAnsi="Arial" w:cs="Arial"/>
                <w:b/>
                <w:bCs/>
                <w:color w:val="000000"/>
                <w:sz w:val="13"/>
                <w:szCs w:val="13"/>
              </w:rPr>
              <w:t>Title of Each Class</w:t>
            </w:r>
          </w:p>
        </w:tc>
        <w:tc>
          <w:tcPr>
            <w:tcW w:w="0" w:type="auto"/>
            <w:gridSpan w:val="3"/>
            <w:shd w:val="clear" w:color="auto" w:fill="auto"/>
            <w:tcMar>
              <w:top w:w="0" w:type="dxa"/>
              <w:left w:w="20" w:type="dxa"/>
              <w:bottom w:w="0" w:type="dxa"/>
              <w:right w:w="20" w:type="dxa"/>
            </w:tcMar>
            <w:vAlign w:val="bottom"/>
          </w:tcPr>
          <w:p w14:paraId="71D3D42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42A" w14:textId="77777777" w:rsidR="006A3667" w:rsidRDefault="00045F32">
            <w:pPr>
              <w:jc w:val="center"/>
              <w:textAlignment w:val="bottom"/>
            </w:pPr>
            <w:r>
              <w:rPr>
                <w:rFonts w:ascii="Arial" w:eastAsia="宋体" w:hAnsi="Arial" w:cs="Arial"/>
                <w:b/>
                <w:bCs/>
                <w:color w:val="000000"/>
                <w:sz w:val="13"/>
                <w:szCs w:val="13"/>
              </w:rPr>
              <w:t>Trading Symbol(s)</w:t>
            </w:r>
          </w:p>
        </w:tc>
        <w:tc>
          <w:tcPr>
            <w:tcW w:w="0" w:type="auto"/>
            <w:gridSpan w:val="3"/>
            <w:shd w:val="clear" w:color="auto" w:fill="auto"/>
            <w:tcMar>
              <w:top w:w="0" w:type="dxa"/>
              <w:left w:w="20" w:type="dxa"/>
              <w:bottom w:w="0" w:type="dxa"/>
              <w:right w:w="20" w:type="dxa"/>
            </w:tcMar>
            <w:vAlign w:val="bottom"/>
          </w:tcPr>
          <w:p w14:paraId="71D3D42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2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42D" w14:textId="77777777" w:rsidR="006A3667" w:rsidRDefault="00045F32">
            <w:pPr>
              <w:jc w:val="center"/>
              <w:textAlignment w:val="bottom"/>
            </w:pPr>
            <w:r>
              <w:rPr>
                <w:rFonts w:ascii="Arial" w:eastAsia="宋体" w:hAnsi="Arial" w:cs="Arial"/>
                <w:b/>
                <w:bCs/>
                <w:color w:val="000000"/>
                <w:sz w:val="13"/>
                <w:szCs w:val="13"/>
              </w:rPr>
              <w:t xml:space="preserve">Name of </w:t>
            </w:r>
            <w:r>
              <w:rPr>
                <w:rFonts w:ascii="Arial" w:eastAsia="宋体" w:hAnsi="Arial" w:cs="Arial"/>
                <w:b/>
                <w:bCs/>
                <w:color w:val="000000"/>
                <w:sz w:val="13"/>
                <w:szCs w:val="13"/>
              </w:rPr>
              <w:t>each exchange on which registered</w:t>
            </w:r>
          </w:p>
        </w:tc>
        <w:tc>
          <w:tcPr>
            <w:tcW w:w="0" w:type="auto"/>
            <w:gridSpan w:val="3"/>
            <w:shd w:val="clear" w:color="auto" w:fill="auto"/>
            <w:tcMar>
              <w:top w:w="0" w:type="dxa"/>
              <w:left w:w="20" w:type="dxa"/>
              <w:bottom w:w="0" w:type="dxa"/>
              <w:right w:w="20" w:type="dxa"/>
            </w:tcMar>
            <w:vAlign w:val="bottom"/>
          </w:tcPr>
          <w:p w14:paraId="71D3D42E" w14:textId="77777777" w:rsidR="006A3667" w:rsidRDefault="006A3667">
            <w:pPr>
              <w:rPr>
                <w:rFonts w:ascii="宋体"/>
              </w:rPr>
            </w:pPr>
          </w:p>
        </w:tc>
      </w:tr>
      <w:tr w:rsidR="006A3667" w14:paraId="71D3D437"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71D3D430" w14:textId="77777777" w:rsidR="006A3667" w:rsidRDefault="00045F32">
            <w:pPr>
              <w:jc w:val="center"/>
              <w:textAlignment w:val="top"/>
            </w:pPr>
            <w:r>
              <w:rPr>
                <w:rFonts w:ascii="Arial" w:eastAsia="宋体" w:hAnsi="Arial" w:cs="Arial"/>
                <w:color w:val="000000"/>
                <w:sz w:val="13"/>
                <w:szCs w:val="13"/>
              </w:rPr>
              <w:t>Common Stock, $1 par value per share</w:t>
            </w:r>
          </w:p>
        </w:tc>
        <w:tc>
          <w:tcPr>
            <w:tcW w:w="0" w:type="auto"/>
            <w:gridSpan w:val="3"/>
            <w:shd w:val="clear" w:color="auto" w:fill="auto"/>
            <w:tcMar>
              <w:top w:w="0" w:type="dxa"/>
              <w:left w:w="20" w:type="dxa"/>
              <w:bottom w:w="0" w:type="dxa"/>
              <w:right w:w="20" w:type="dxa"/>
            </w:tcMar>
            <w:vAlign w:val="bottom"/>
          </w:tcPr>
          <w:p w14:paraId="71D3D43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432" w14:textId="77777777" w:rsidR="006A3667" w:rsidRDefault="00045F32">
            <w:pPr>
              <w:jc w:val="center"/>
              <w:textAlignment w:val="bottom"/>
            </w:pPr>
            <w:r>
              <w:rPr>
                <w:rFonts w:ascii="Arial" w:eastAsia="宋体" w:hAnsi="Arial" w:cs="Arial"/>
                <w:color w:val="000000"/>
                <w:sz w:val="13"/>
                <w:szCs w:val="13"/>
              </w:rPr>
              <w:t>STT</w:t>
            </w:r>
          </w:p>
        </w:tc>
        <w:tc>
          <w:tcPr>
            <w:tcW w:w="0" w:type="auto"/>
            <w:gridSpan w:val="3"/>
            <w:shd w:val="clear" w:color="auto" w:fill="auto"/>
            <w:tcMar>
              <w:top w:w="0" w:type="dxa"/>
              <w:left w:w="20" w:type="dxa"/>
              <w:bottom w:w="0" w:type="dxa"/>
              <w:right w:w="20" w:type="dxa"/>
            </w:tcMar>
            <w:vAlign w:val="bottom"/>
          </w:tcPr>
          <w:p w14:paraId="71D3D43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3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1D3D435" w14:textId="77777777" w:rsidR="006A3667" w:rsidRDefault="00045F32">
            <w:pPr>
              <w:jc w:val="center"/>
              <w:textAlignment w:val="center"/>
            </w:pPr>
            <w:r>
              <w:rPr>
                <w:rFonts w:ascii="Arial" w:eastAsia="宋体" w:hAnsi="Arial" w:cs="Arial"/>
                <w:color w:val="000000"/>
                <w:sz w:val="13"/>
                <w:szCs w:val="13"/>
              </w:rPr>
              <w:t>New York Stock Exchange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436" w14:textId="77777777" w:rsidR="006A3667" w:rsidRDefault="006A3667">
            <w:pPr>
              <w:rPr>
                <w:rFonts w:ascii="宋体"/>
              </w:rPr>
            </w:pPr>
          </w:p>
        </w:tc>
      </w:tr>
      <w:tr w:rsidR="006A3667" w14:paraId="71D3D43F" w14:textId="77777777">
        <w:trPr>
          <w:trHeight w:val="100"/>
          <w:jc w:val="center"/>
        </w:trPr>
        <w:tc>
          <w:tcPr>
            <w:tcW w:w="0" w:type="auto"/>
            <w:gridSpan w:val="9"/>
            <w:shd w:val="clear" w:color="auto" w:fill="auto"/>
            <w:tcMar>
              <w:top w:w="0" w:type="dxa"/>
              <w:left w:w="20" w:type="dxa"/>
              <w:bottom w:w="0" w:type="dxa"/>
              <w:right w:w="20" w:type="dxa"/>
            </w:tcMar>
            <w:vAlign w:val="bottom"/>
          </w:tcPr>
          <w:p w14:paraId="71D3D43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3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3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3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3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3E" w14:textId="77777777" w:rsidR="006A3667" w:rsidRDefault="006A3667">
            <w:pPr>
              <w:rPr>
                <w:rFonts w:ascii="宋体"/>
              </w:rPr>
            </w:pPr>
          </w:p>
        </w:tc>
      </w:tr>
      <w:tr w:rsidR="006A3667" w14:paraId="71D3D447" w14:textId="77777777">
        <w:trPr>
          <w:trHeight w:val="180"/>
          <w:jc w:val="center"/>
        </w:trPr>
        <w:tc>
          <w:tcPr>
            <w:tcW w:w="0" w:type="auto"/>
            <w:gridSpan w:val="9"/>
            <w:shd w:val="clear" w:color="auto" w:fill="auto"/>
            <w:tcMar>
              <w:top w:w="40" w:type="dxa"/>
              <w:left w:w="20" w:type="dxa"/>
              <w:bottom w:w="40" w:type="dxa"/>
              <w:right w:w="20" w:type="dxa"/>
            </w:tcMar>
          </w:tcPr>
          <w:p w14:paraId="71D3D440" w14:textId="77777777" w:rsidR="006A3667" w:rsidRDefault="00045F32">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71D3D441"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71D3D442" w14:textId="77777777" w:rsidR="006A3667" w:rsidRDefault="00045F32">
            <w:pPr>
              <w:jc w:val="center"/>
              <w:textAlignment w:val="center"/>
            </w:pPr>
            <w:r>
              <w:rPr>
                <w:rFonts w:ascii="Arial" w:eastAsia="宋体" w:hAnsi="Arial" w:cs="Arial"/>
                <w:color w:val="000000"/>
                <w:sz w:val="13"/>
                <w:szCs w:val="13"/>
              </w:rPr>
              <w:t>STT.PRD</w:t>
            </w:r>
          </w:p>
        </w:tc>
        <w:tc>
          <w:tcPr>
            <w:tcW w:w="0" w:type="auto"/>
            <w:gridSpan w:val="3"/>
            <w:shd w:val="clear" w:color="auto" w:fill="auto"/>
            <w:tcMar>
              <w:top w:w="0" w:type="dxa"/>
              <w:left w:w="20" w:type="dxa"/>
              <w:bottom w:w="0" w:type="dxa"/>
              <w:right w:w="20" w:type="dxa"/>
            </w:tcMar>
            <w:vAlign w:val="bottom"/>
          </w:tcPr>
          <w:p w14:paraId="71D3D44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44"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71D3D445" w14:textId="77777777" w:rsidR="006A3667" w:rsidRDefault="00045F32">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71D3D446" w14:textId="77777777" w:rsidR="006A3667" w:rsidRDefault="006A3667">
            <w:pPr>
              <w:rPr>
                <w:rFonts w:ascii="宋体"/>
              </w:rPr>
            </w:pPr>
          </w:p>
        </w:tc>
      </w:tr>
      <w:tr w:rsidR="006A3667" w14:paraId="71D3D44F" w14:textId="77777777">
        <w:trPr>
          <w:trHeight w:val="300"/>
          <w:jc w:val="center"/>
        </w:trPr>
        <w:tc>
          <w:tcPr>
            <w:tcW w:w="0" w:type="auto"/>
            <w:gridSpan w:val="9"/>
            <w:shd w:val="clear" w:color="auto" w:fill="auto"/>
            <w:tcMar>
              <w:top w:w="40" w:type="dxa"/>
              <w:left w:w="20" w:type="dxa"/>
              <w:bottom w:w="40" w:type="dxa"/>
              <w:right w:w="20" w:type="dxa"/>
            </w:tcMar>
            <w:vAlign w:val="bottom"/>
          </w:tcPr>
          <w:p w14:paraId="71D3D448" w14:textId="77777777" w:rsidR="006A3667" w:rsidRDefault="00045F32">
            <w:pPr>
              <w:jc w:val="center"/>
              <w:textAlignment w:val="bottom"/>
            </w:pPr>
            <w:r>
              <w:rPr>
                <w:rFonts w:ascii="Arial" w:eastAsia="宋体" w:hAnsi="Arial" w:cs="Arial"/>
                <w:color w:val="000000"/>
                <w:sz w:val="13"/>
                <w:szCs w:val="13"/>
              </w:rPr>
              <w:t>Fixed-to-Floating Rate Non-Cumulative Perpetual Preferred Stock, Series D, without par value per share</w:t>
            </w:r>
          </w:p>
        </w:tc>
        <w:tc>
          <w:tcPr>
            <w:tcW w:w="0" w:type="auto"/>
            <w:gridSpan w:val="3"/>
            <w:shd w:val="clear" w:color="auto" w:fill="auto"/>
            <w:tcMar>
              <w:top w:w="0" w:type="dxa"/>
              <w:left w:w="20" w:type="dxa"/>
              <w:bottom w:w="0" w:type="dxa"/>
              <w:right w:w="20" w:type="dxa"/>
            </w:tcMar>
            <w:vAlign w:val="bottom"/>
          </w:tcPr>
          <w:p w14:paraId="71D3D449"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center"/>
          </w:tcPr>
          <w:p w14:paraId="71D3D44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4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4C"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center"/>
          </w:tcPr>
          <w:p w14:paraId="71D3D44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4E" w14:textId="77777777" w:rsidR="006A3667" w:rsidRDefault="006A3667">
            <w:pPr>
              <w:rPr>
                <w:rFonts w:ascii="宋体"/>
              </w:rPr>
            </w:pPr>
          </w:p>
        </w:tc>
      </w:tr>
      <w:tr w:rsidR="006A3667" w14:paraId="71D3D457" w14:textId="77777777">
        <w:trPr>
          <w:trHeight w:val="120"/>
          <w:jc w:val="center"/>
        </w:trPr>
        <w:tc>
          <w:tcPr>
            <w:tcW w:w="0" w:type="auto"/>
            <w:gridSpan w:val="9"/>
            <w:shd w:val="clear" w:color="auto" w:fill="auto"/>
            <w:tcMar>
              <w:top w:w="0" w:type="dxa"/>
              <w:left w:w="20" w:type="dxa"/>
              <w:bottom w:w="0" w:type="dxa"/>
              <w:right w:w="20" w:type="dxa"/>
            </w:tcMar>
            <w:vAlign w:val="bottom"/>
          </w:tcPr>
          <w:p w14:paraId="71D3D45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5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5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5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5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5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56" w14:textId="77777777" w:rsidR="006A3667" w:rsidRDefault="006A3667">
            <w:pPr>
              <w:rPr>
                <w:rFonts w:ascii="宋体"/>
              </w:rPr>
            </w:pPr>
          </w:p>
        </w:tc>
      </w:tr>
      <w:tr w:rsidR="006A3667" w14:paraId="71D3D45F" w14:textId="77777777">
        <w:trPr>
          <w:trHeight w:val="180"/>
          <w:jc w:val="center"/>
        </w:trPr>
        <w:tc>
          <w:tcPr>
            <w:tcW w:w="0" w:type="auto"/>
            <w:gridSpan w:val="9"/>
            <w:shd w:val="clear" w:color="auto" w:fill="auto"/>
            <w:tcMar>
              <w:top w:w="40" w:type="dxa"/>
              <w:left w:w="20" w:type="dxa"/>
              <w:bottom w:w="40" w:type="dxa"/>
              <w:right w:w="20" w:type="dxa"/>
            </w:tcMar>
          </w:tcPr>
          <w:p w14:paraId="71D3D458" w14:textId="77777777" w:rsidR="006A3667" w:rsidRDefault="00045F32">
            <w:pP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71D3D459"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71D3D45A" w14:textId="77777777" w:rsidR="006A3667" w:rsidRDefault="00045F32">
            <w:pPr>
              <w:jc w:val="center"/>
              <w:textAlignment w:val="center"/>
            </w:pPr>
            <w:r>
              <w:rPr>
                <w:rFonts w:ascii="Arial" w:eastAsia="宋体" w:hAnsi="Arial" w:cs="Arial"/>
                <w:color w:val="000000"/>
                <w:sz w:val="13"/>
                <w:szCs w:val="13"/>
              </w:rPr>
              <w:t>STT.PRG</w:t>
            </w:r>
          </w:p>
        </w:tc>
        <w:tc>
          <w:tcPr>
            <w:tcW w:w="0" w:type="auto"/>
            <w:gridSpan w:val="3"/>
            <w:shd w:val="clear" w:color="auto" w:fill="auto"/>
            <w:tcMar>
              <w:top w:w="0" w:type="dxa"/>
              <w:left w:w="20" w:type="dxa"/>
              <w:bottom w:w="0" w:type="dxa"/>
              <w:right w:w="20" w:type="dxa"/>
            </w:tcMar>
            <w:vAlign w:val="bottom"/>
          </w:tcPr>
          <w:p w14:paraId="71D3D45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5C"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71D3D45D" w14:textId="77777777" w:rsidR="006A3667" w:rsidRDefault="00045F32">
            <w:pP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71D3D45E" w14:textId="77777777" w:rsidR="006A3667" w:rsidRDefault="006A3667">
            <w:pPr>
              <w:rPr>
                <w:rFonts w:ascii="宋体"/>
              </w:rPr>
            </w:pPr>
          </w:p>
        </w:tc>
      </w:tr>
      <w:tr w:rsidR="006A3667" w14:paraId="71D3D467" w14:textId="77777777">
        <w:trPr>
          <w:trHeight w:val="300"/>
          <w:jc w:val="center"/>
        </w:trPr>
        <w:tc>
          <w:tcPr>
            <w:tcW w:w="0" w:type="auto"/>
            <w:gridSpan w:val="9"/>
            <w:shd w:val="clear" w:color="auto" w:fill="auto"/>
            <w:tcMar>
              <w:top w:w="40" w:type="dxa"/>
              <w:left w:w="20" w:type="dxa"/>
              <w:bottom w:w="40" w:type="dxa"/>
              <w:right w:w="20" w:type="dxa"/>
            </w:tcMar>
            <w:vAlign w:val="bottom"/>
          </w:tcPr>
          <w:p w14:paraId="71D3D460" w14:textId="77777777" w:rsidR="006A3667" w:rsidRDefault="00045F32">
            <w:pPr>
              <w:jc w:val="center"/>
              <w:textAlignment w:val="bottom"/>
            </w:pPr>
            <w:r>
              <w:rPr>
                <w:rFonts w:ascii="Arial" w:eastAsia="宋体" w:hAnsi="Arial" w:cs="Arial"/>
                <w:color w:val="000000"/>
                <w:sz w:val="13"/>
                <w:szCs w:val="13"/>
              </w:rPr>
              <w:t>Fixed-to-Floating Rate Non-Cumulative Perpetual Preferred Stock, Series G, without par value per share</w:t>
            </w:r>
          </w:p>
        </w:tc>
        <w:tc>
          <w:tcPr>
            <w:tcW w:w="0" w:type="auto"/>
            <w:gridSpan w:val="3"/>
            <w:shd w:val="clear" w:color="auto" w:fill="auto"/>
            <w:tcMar>
              <w:top w:w="0" w:type="dxa"/>
              <w:left w:w="20" w:type="dxa"/>
              <w:bottom w:w="0" w:type="dxa"/>
              <w:right w:w="20" w:type="dxa"/>
            </w:tcMar>
            <w:vAlign w:val="bottom"/>
          </w:tcPr>
          <w:p w14:paraId="71D3D461"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center"/>
          </w:tcPr>
          <w:p w14:paraId="71D3D46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6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64"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center"/>
          </w:tcPr>
          <w:p w14:paraId="71D3D46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66" w14:textId="77777777" w:rsidR="006A3667" w:rsidRDefault="006A3667">
            <w:pPr>
              <w:rPr>
                <w:rFonts w:ascii="宋体"/>
              </w:rPr>
            </w:pPr>
          </w:p>
        </w:tc>
      </w:tr>
    </w:tbl>
    <w:p w14:paraId="71D3D468" w14:textId="77777777" w:rsidR="006A3667" w:rsidRDefault="006A3667">
      <w:pPr>
        <w:ind w:firstLine="450"/>
        <w:jc w:val="center"/>
      </w:pPr>
    </w:p>
    <w:p w14:paraId="71D3D469" w14:textId="77777777" w:rsidR="006A3667" w:rsidRDefault="006A3667">
      <w:pPr>
        <w:ind w:firstLine="450"/>
        <w:jc w:val="center"/>
      </w:pPr>
    </w:p>
    <w:p w14:paraId="71D3D46A" w14:textId="77777777" w:rsidR="006A3667" w:rsidRDefault="00045F32">
      <w:pPr>
        <w:spacing w:before="50"/>
        <w:ind w:firstLine="450"/>
      </w:pPr>
      <w:r>
        <w:rPr>
          <w:rFonts w:ascii="Arial" w:eastAsia="宋体" w:hAnsi="Arial" w:cs="Arial"/>
          <w:color w:val="000000"/>
          <w:sz w:val="16"/>
          <w:szCs w:val="16"/>
        </w:rPr>
        <w:t xml:space="preserve">Indicate by check </w:t>
      </w:r>
      <w:r>
        <w:rPr>
          <w:rFonts w:ascii="Arial" w:eastAsia="宋体" w:hAnsi="Arial" w:cs="Arial"/>
          <w:color w:val="000000"/>
          <w:sz w:val="16"/>
          <w:szCs w:val="16"/>
        </w:rPr>
        <w:t xml:space="preserve">mark whether the registrant (1) has filed all reports required to be filed by Section 13 or 15(d) of the Securities Exchange Act of 1934 during the preceding 12 months (or for such shorter period that the registrant </w:t>
      </w:r>
      <w:r>
        <w:rPr>
          <w:rFonts w:ascii="Arial" w:eastAsia="宋体" w:hAnsi="Arial" w:cs="Arial"/>
          <w:color w:val="000000"/>
          <w:sz w:val="16"/>
          <w:szCs w:val="16"/>
        </w:rPr>
        <w:lastRenderedPageBreak/>
        <w:t>was required to file such reports) and (</w:t>
      </w:r>
      <w:r>
        <w:rPr>
          <w:rFonts w:ascii="Arial" w:eastAsia="宋体" w:hAnsi="Arial" w:cs="Arial"/>
          <w:color w:val="000000"/>
          <w:sz w:val="16"/>
          <w:szCs w:val="16"/>
        </w:rPr>
        <w:t>2) has been subject to such filing requirements for the past 90 days.  Yes  </w:t>
      </w:r>
      <w:r>
        <w:rPr>
          <w:rFonts w:ascii="Arial Unicode MS" w:eastAsia="Arial Unicode MS" w:hAnsi="Arial Unicode MS" w:cs="Arial Unicode MS"/>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71D3D46B" w14:textId="77777777" w:rsidR="006A3667" w:rsidRDefault="00045F32">
      <w:pPr>
        <w:spacing w:before="50"/>
        <w:ind w:firstLine="450"/>
      </w:pPr>
      <w:r>
        <w:rPr>
          <w:rFonts w:ascii="Arial" w:eastAsia="宋体" w:hAnsi="Arial" w:cs="Arial"/>
          <w:color w:val="000000"/>
          <w:sz w:val="16"/>
          <w:szCs w:val="16"/>
        </w:rPr>
        <w:t xml:space="preserve">Indicate by check mark whether the registrant has submitted electronically every Interactive Data File required to be submitted pursuant to Rule 405 of </w:t>
      </w:r>
      <w:r>
        <w:rPr>
          <w:rFonts w:ascii="Arial" w:eastAsia="宋体" w:hAnsi="Arial" w:cs="Arial"/>
          <w:color w:val="000000"/>
          <w:sz w:val="16"/>
          <w:szCs w:val="16"/>
        </w:rPr>
        <w:t>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71D3D46C" w14:textId="77777777" w:rsidR="006A3667" w:rsidRDefault="00045F32">
      <w:pPr>
        <w:spacing w:before="50"/>
        <w:ind w:firstLine="450"/>
      </w:pPr>
      <w:r>
        <w:rPr>
          <w:rFonts w:ascii="Arial" w:eastAsia="宋体" w:hAnsi="Arial" w:cs="Arial"/>
          <w:color w:val="000000"/>
          <w:sz w:val="16"/>
          <w:szCs w:val="16"/>
        </w:rPr>
        <w:t>Indicate by check mark whether the registrant is a large accelerated filer, an acce</w:t>
      </w:r>
      <w:r>
        <w:rPr>
          <w:rFonts w:ascii="Arial" w:eastAsia="宋体" w:hAnsi="Arial" w:cs="Arial"/>
          <w:color w:val="000000"/>
          <w:sz w:val="16"/>
          <w:szCs w:val="16"/>
        </w:rPr>
        <w:t>lerated filer, a non-accelerated filer, a smaller reporting company, or an emerging growth company. See the definitions of "large accelerated filer", "accelerated filer", "smaller reporting company", and "emerging growth company" in Rule 12b-2 of the Excha</w:t>
      </w:r>
      <w:r>
        <w:rPr>
          <w:rFonts w:ascii="Arial" w:eastAsia="宋体" w:hAnsi="Arial" w:cs="Arial"/>
          <w:color w:val="000000"/>
          <w:sz w:val="16"/>
          <w:szCs w:val="16"/>
        </w:rPr>
        <w:t xml:space="preserve">nge Act. </w:t>
      </w:r>
    </w:p>
    <w:tbl>
      <w:tblPr>
        <w:tblW w:w="4563" w:type="pct"/>
        <w:tblCellMar>
          <w:top w:w="15" w:type="dxa"/>
          <w:left w:w="15" w:type="dxa"/>
          <w:bottom w:w="15" w:type="dxa"/>
          <w:right w:w="15" w:type="dxa"/>
        </w:tblCellMar>
        <w:tblLook w:val="04A0" w:firstRow="1" w:lastRow="0" w:firstColumn="1" w:lastColumn="0" w:noHBand="0" w:noVBand="1"/>
      </w:tblPr>
      <w:tblGrid>
        <w:gridCol w:w="49"/>
        <w:gridCol w:w="1373"/>
        <w:gridCol w:w="36"/>
        <w:gridCol w:w="37"/>
        <w:gridCol w:w="165"/>
        <w:gridCol w:w="36"/>
        <w:gridCol w:w="36"/>
        <w:gridCol w:w="63"/>
        <w:gridCol w:w="36"/>
        <w:gridCol w:w="51"/>
        <w:gridCol w:w="1151"/>
        <w:gridCol w:w="36"/>
        <w:gridCol w:w="37"/>
        <w:gridCol w:w="159"/>
        <w:gridCol w:w="36"/>
        <w:gridCol w:w="36"/>
        <w:gridCol w:w="87"/>
        <w:gridCol w:w="36"/>
        <w:gridCol w:w="57"/>
        <w:gridCol w:w="1437"/>
        <w:gridCol w:w="36"/>
        <w:gridCol w:w="49"/>
        <w:gridCol w:w="125"/>
        <w:gridCol w:w="36"/>
        <w:gridCol w:w="36"/>
        <w:gridCol w:w="73"/>
        <w:gridCol w:w="36"/>
        <w:gridCol w:w="95"/>
        <w:gridCol w:w="1893"/>
        <w:gridCol w:w="36"/>
        <w:gridCol w:w="37"/>
        <w:gridCol w:w="165"/>
        <w:gridCol w:w="36"/>
      </w:tblGrid>
      <w:tr w:rsidR="006A3667" w14:paraId="71D3D48E" w14:textId="77777777">
        <w:tc>
          <w:tcPr>
            <w:tcW w:w="50" w:type="pct"/>
            <w:shd w:val="clear" w:color="auto" w:fill="auto"/>
            <w:vAlign w:val="bottom"/>
          </w:tcPr>
          <w:p w14:paraId="71D3D46D" w14:textId="77777777" w:rsidR="006A3667" w:rsidRDefault="006A3667">
            <w:pPr>
              <w:rPr>
                <w:rFonts w:ascii="宋体"/>
              </w:rPr>
            </w:pPr>
          </w:p>
        </w:tc>
        <w:tc>
          <w:tcPr>
            <w:tcW w:w="972" w:type="pct"/>
            <w:shd w:val="clear" w:color="auto" w:fill="auto"/>
            <w:vAlign w:val="bottom"/>
          </w:tcPr>
          <w:p w14:paraId="71D3D46E" w14:textId="77777777" w:rsidR="006A3667" w:rsidRDefault="006A3667">
            <w:pPr>
              <w:rPr>
                <w:rFonts w:ascii="宋体"/>
              </w:rPr>
            </w:pPr>
          </w:p>
        </w:tc>
        <w:tc>
          <w:tcPr>
            <w:tcW w:w="5" w:type="pct"/>
            <w:shd w:val="clear" w:color="auto" w:fill="auto"/>
            <w:vAlign w:val="bottom"/>
          </w:tcPr>
          <w:p w14:paraId="71D3D46F" w14:textId="77777777" w:rsidR="006A3667" w:rsidRDefault="006A3667">
            <w:pPr>
              <w:rPr>
                <w:rFonts w:ascii="宋体"/>
              </w:rPr>
            </w:pPr>
          </w:p>
        </w:tc>
        <w:tc>
          <w:tcPr>
            <w:tcW w:w="5" w:type="pct"/>
            <w:shd w:val="clear" w:color="auto" w:fill="auto"/>
            <w:vAlign w:val="bottom"/>
          </w:tcPr>
          <w:p w14:paraId="71D3D470" w14:textId="77777777" w:rsidR="006A3667" w:rsidRDefault="006A3667">
            <w:pPr>
              <w:rPr>
                <w:rFonts w:ascii="宋体"/>
              </w:rPr>
            </w:pPr>
          </w:p>
        </w:tc>
        <w:tc>
          <w:tcPr>
            <w:tcW w:w="119" w:type="pct"/>
            <w:shd w:val="clear" w:color="auto" w:fill="auto"/>
            <w:vAlign w:val="bottom"/>
          </w:tcPr>
          <w:p w14:paraId="71D3D471" w14:textId="77777777" w:rsidR="006A3667" w:rsidRDefault="006A3667">
            <w:pPr>
              <w:rPr>
                <w:rFonts w:ascii="宋体"/>
              </w:rPr>
            </w:pPr>
          </w:p>
        </w:tc>
        <w:tc>
          <w:tcPr>
            <w:tcW w:w="5" w:type="pct"/>
            <w:shd w:val="clear" w:color="auto" w:fill="auto"/>
            <w:vAlign w:val="bottom"/>
          </w:tcPr>
          <w:p w14:paraId="71D3D472" w14:textId="77777777" w:rsidR="006A3667" w:rsidRDefault="006A3667">
            <w:pPr>
              <w:rPr>
                <w:rFonts w:ascii="宋体"/>
              </w:rPr>
            </w:pPr>
          </w:p>
        </w:tc>
        <w:tc>
          <w:tcPr>
            <w:tcW w:w="5" w:type="pct"/>
            <w:shd w:val="clear" w:color="auto" w:fill="auto"/>
            <w:vAlign w:val="bottom"/>
          </w:tcPr>
          <w:p w14:paraId="71D3D473" w14:textId="77777777" w:rsidR="006A3667" w:rsidRDefault="006A3667">
            <w:pPr>
              <w:rPr>
                <w:rFonts w:ascii="宋体"/>
              </w:rPr>
            </w:pPr>
          </w:p>
        </w:tc>
        <w:tc>
          <w:tcPr>
            <w:tcW w:w="119" w:type="pct"/>
            <w:shd w:val="clear" w:color="auto" w:fill="auto"/>
            <w:vAlign w:val="bottom"/>
          </w:tcPr>
          <w:p w14:paraId="71D3D474" w14:textId="77777777" w:rsidR="006A3667" w:rsidRDefault="006A3667">
            <w:pPr>
              <w:rPr>
                <w:rFonts w:ascii="宋体"/>
              </w:rPr>
            </w:pPr>
          </w:p>
        </w:tc>
        <w:tc>
          <w:tcPr>
            <w:tcW w:w="5" w:type="pct"/>
            <w:shd w:val="clear" w:color="auto" w:fill="auto"/>
            <w:vAlign w:val="bottom"/>
          </w:tcPr>
          <w:p w14:paraId="71D3D475" w14:textId="77777777" w:rsidR="006A3667" w:rsidRDefault="006A3667">
            <w:pPr>
              <w:rPr>
                <w:rFonts w:ascii="宋体"/>
              </w:rPr>
            </w:pPr>
          </w:p>
        </w:tc>
        <w:tc>
          <w:tcPr>
            <w:tcW w:w="50" w:type="pct"/>
            <w:shd w:val="clear" w:color="auto" w:fill="auto"/>
            <w:vAlign w:val="bottom"/>
          </w:tcPr>
          <w:p w14:paraId="71D3D476" w14:textId="77777777" w:rsidR="006A3667" w:rsidRDefault="006A3667">
            <w:pPr>
              <w:rPr>
                <w:rFonts w:ascii="宋体"/>
              </w:rPr>
            </w:pPr>
          </w:p>
        </w:tc>
        <w:tc>
          <w:tcPr>
            <w:tcW w:w="827" w:type="pct"/>
            <w:shd w:val="clear" w:color="auto" w:fill="auto"/>
            <w:vAlign w:val="bottom"/>
          </w:tcPr>
          <w:p w14:paraId="71D3D477" w14:textId="77777777" w:rsidR="006A3667" w:rsidRDefault="006A3667">
            <w:pPr>
              <w:rPr>
                <w:rFonts w:ascii="宋体"/>
              </w:rPr>
            </w:pPr>
          </w:p>
        </w:tc>
        <w:tc>
          <w:tcPr>
            <w:tcW w:w="5" w:type="pct"/>
            <w:shd w:val="clear" w:color="auto" w:fill="auto"/>
            <w:vAlign w:val="bottom"/>
          </w:tcPr>
          <w:p w14:paraId="71D3D478" w14:textId="77777777" w:rsidR="006A3667" w:rsidRDefault="006A3667">
            <w:pPr>
              <w:rPr>
                <w:rFonts w:ascii="宋体"/>
              </w:rPr>
            </w:pPr>
          </w:p>
        </w:tc>
        <w:tc>
          <w:tcPr>
            <w:tcW w:w="5" w:type="pct"/>
            <w:shd w:val="clear" w:color="auto" w:fill="auto"/>
            <w:vAlign w:val="bottom"/>
          </w:tcPr>
          <w:p w14:paraId="71D3D479" w14:textId="77777777" w:rsidR="006A3667" w:rsidRDefault="006A3667">
            <w:pPr>
              <w:rPr>
                <w:rFonts w:ascii="宋体"/>
              </w:rPr>
            </w:pPr>
          </w:p>
        </w:tc>
        <w:tc>
          <w:tcPr>
            <w:tcW w:w="81" w:type="pct"/>
            <w:shd w:val="clear" w:color="auto" w:fill="auto"/>
            <w:vAlign w:val="bottom"/>
          </w:tcPr>
          <w:p w14:paraId="71D3D47A" w14:textId="77777777" w:rsidR="006A3667" w:rsidRDefault="006A3667">
            <w:pPr>
              <w:rPr>
                <w:rFonts w:ascii="宋体"/>
              </w:rPr>
            </w:pPr>
          </w:p>
        </w:tc>
        <w:tc>
          <w:tcPr>
            <w:tcW w:w="5" w:type="pct"/>
            <w:shd w:val="clear" w:color="auto" w:fill="auto"/>
            <w:vAlign w:val="bottom"/>
          </w:tcPr>
          <w:p w14:paraId="71D3D47B" w14:textId="77777777" w:rsidR="006A3667" w:rsidRDefault="006A3667">
            <w:pPr>
              <w:rPr>
                <w:rFonts w:ascii="宋体"/>
              </w:rPr>
            </w:pPr>
          </w:p>
        </w:tc>
        <w:tc>
          <w:tcPr>
            <w:tcW w:w="5" w:type="pct"/>
            <w:shd w:val="clear" w:color="auto" w:fill="auto"/>
            <w:vAlign w:val="bottom"/>
          </w:tcPr>
          <w:p w14:paraId="71D3D47C" w14:textId="77777777" w:rsidR="006A3667" w:rsidRDefault="006A3667">
            <w:pPr>
              <w:rPr>
                <w:rFonts w:ascii="宋体"/>
              </w:rPr>
            </w:pPr>
          </w:p>
        </w:tc>
        <w:tc>
          <w:tcPr>
            <w:tcW w:w="104" w:type="pct"/>
            <w:shd w:val="clear" w:color="auto" w:fill="auto"/>
            <w:vAlign w:val="bottom"/>
          </w:tcPr>
          <w:p w14:paraId="71D3D47D" w14:textId="77777777" w:rsidR="006A3667" w:rsidRDefault="006A3667">
            <w:pPr>
              <w:rPr>
                <w:rFonts w:ascii="宋体"/>
              </w:rPr>
            </w:pPr>
          </w:p>
        </w:tc>
        <w:tc>
          <w:tcPr>
            <w:tcW w:w="5" w:type="pct"/>
            <w:shd w:val="clear" w:color="auto" w:fill="auto"/>
            <w:vAlign w:val="bottom"/>
          </w:tcPr>
          <w:p w14:paraId="71D3D47E" w14:textId="77777777" w:rsidR="006A3667" w:rsidRDefault="006A3667">
            <w:pPr>
              <w:rPr>
                <w:rFonts w:ascii="宋体"/>
              </w:rPr>
            </w:pPr>
          </w:p>
        </w:tc>
        <w:tc>
          <w:tcPr>
            <w:tcW w:w="50" w:type="pct"/>
            <w:shd w:val="clear" w:color="auto" w:fill="auto"/>
            <w:vAlign w:val="bottom"/>
          </w:tcPr>
          <w:p w14:paraId="71D3D47F" w14:textId="77777777" w:rsidR="006A3667" w:rsidRDefault="006A3667">
            <w:pPr>
              <w:rPr>
                <w:rFonts w:ascii="宋体"/>
              </w:rPr>
            </w:pPr>
          </w:p>
        </w:tc>
        <w:tc>
          <w:tcPr>
            <w:tcW w:w="1018" w:type="pct"/>
            <w:shd w:val="clear" w:color="auto" w:fill="auto"/>
            <w:vAlign w:val="bottom"/>
          </w:tcPr>
          <w:p w14:paraId="71D3D480" w14:textId="77777777" w:rsidR="006A3667" w:rsidRDefault="006A3667">
            <w:pPr>
              <w:rPr>
                <w:rFonts w:ascii="宋体"/>
              </w:rPr>
            </w:pPr>
          </w:p>
        </w:tc>
        <w:tc>
          <w:tcPr>
            <w:tcW w:w="5" w:type="pct"/>
            <w:shd w:val="clear" w:color="auto" w:fill="auto"/>
            <w:vAlign w:val="bottom"/>
          </w:tcPr>
          <w:p w14:paraId="71D3D481" w14:textId="77777777" w:rsidR="006A3667" w:rsidRDefault="006A3667">
            <w:pPr>
              <w:rPr>
                <w:rFonts w:ascii="宋体"/>
              </w:rPr>
            </w:pPr>
          </w:p>
        </w:tc>
        <w:tc>
          <w:tcPr>
            <w:tcW w:w="50" w:type="pct"/>
            <w:shd w:val="clear" w:color="auto" w:fill="auto"/>
            <w:vAlign w:val="bottom"/>
          </w:tcPr>
          <w:p w14:paraId="71D3D482" w14:textId="77777777" w:rsidR="006A3667" w:rsidRDefault="006A3667">
            <w:pPr>
              <w:rPr>
                <w:rFonts w:ascii="宋体"/>
              </w:rPr>
            </w:pPr>
          </w:p>
        </w:tc>
        <w:tc>
          <w:tcPr>
            <w:tcW w:w="127" w:type="pct"/>
            <w:shd w:val="clear" w:color="auto" w:fill="auto"/>
            <w:vAlign w:val="bottom"/>
          </w:tcPr>
          <w:p w14:paraId="71D3D483" w14:textId="77777777" w:rsidR="006A3667" w:rsidRDefault="006A3667">
            <w:pPr>
              <w:rPr>
                <w:rFonts w:ascii="宋体"/>
              </w:rPr>
            </w:pPr>
          </w:p>
        </w:tc>
        <w:tc>
          <w:tcPr>
            <w:tcW w:w="5" w:type="pct"/>
            <w:shd w:val="clear" w:color="auto" w:fill="auto"/>
            <w:vAlign w:val="bottom"/>
          </w:tcPr>
          <w:p w14:paraId="71D3D484" w14:textId="77777777" w:rsidR="006A3667" w:rsidRDefault="006A3667">
            <w:pPr>
              <w:rPr>
                <w:rFonts w:ascii="宋体"/>
              </w:rPr>
            </w:pPr>
          </w:p>
        </w:tc>
        <w:tc>
          <w:tcPr>
            <w:tcW w:w="50" w:type="pct"/>
            <w:shd w:val="clear" w:color="auto" w:fill="auto"/>
            <w:vAlign w:val="bottom"/>
          </w:tcPr>
          <w:p w14:paraId="71D3D485" w14:textId="77777777" w:rsidR="006A3667" w:rsidRDefault="006A3667">
            <w:pPr>
              <w:rPr>
                <w:rFonts w:ascii="宋体"/>
              </w:rPr>
            </w:pPr>
          </w:p>
        </w:tc>
        <w:tc>
          <w:tcPr>
            <w:tcW w:w="127" w:type="pct"/>
            <w:shd w:val="clear" w:color="auto" w:fill="auto"/>
            <w:vAlign w:val="bottom"/>
          </w:tcPr>
          <w:p w14:paraId="71D3D486" w14:textId="77777777" w:rsidR="006A3667" w:rsidRDefault="006A3667">
            <w:pPr>
              <w:rPr>
                <w:rFonts w:ascii="宋体"/>
              </w:rPr>
            </w:pPr>
          </w:p>
        </w:tc>
        <w:tc>
          <w:tcPr>
            <w:tcW w:w="5" w:type="pct"/>
            <w:shd w:val="clear" w:color="auto" w:fill="auto"/>
            <w:vAlign w:val="bottom"/>
          </w:tcPr>
          <w:p w14:paraId="71D3D487" w14:textId="77777777" w:rsidR="006A3667" w:rsidRDefault="006A3667">
            <w:pPr>
              <w:rPr>
                <w:rFonts w:ascii="宋体"/>
              </w:rPr>
            </w:pPr>
          </w:p>
        </w:tc>
        <w:tc>
          <w:tcPr>
            <w:tcW w:w="50" w:type="pct"/>
            <w:shd w:val="clear" w:color="auto" w:fill="auto"/>
            <w:vAlign w:val="bottom"/>
          </w:tcPr>
          <w:p w14:paraId="71D3D488" w14:textId="77777777" w:rsidR="006A3667" w:rsidRDefault="006A3667">
            <w:pPr>
              <w:rPr>
                <w:rFonts w:ascii="宋体"/>
              </w:rPr>
            </w:pPr>
          </w:p>
        </w:tc>
        <w:tc>
          <w:tcPr>
            <w:tcW w:w="1002" w:type="pct"/>
            <w:shd w:val="clear" w:color="auto" w:fill="auto"/>
            <w:vAlign w:val="bottom"/>
          </w:tcPr>
          <w:p w14:paraId="71D3D489" w14:textId="77777777" w:rsidR="006A3667" w:rsidRDefault="006A3667">
            <w:pPr>
              <w:rPr>
                <w:rFonts w:ascii="宋体"/>
              </w:rPr>
            </w:pPr>
          </w:p>
        </w:tc>
        <w:tc>
          <w:tcPr>
            <w:tcW w:w="5" w:type="pct"/>
            <w:shd w:val="clear" w:color="auto" w:fill="auto"/>
            <w:vAlign w:val="bottom"/>
          </w:tcPr>
          <w:p w14:paraId="71D3D48A" w14:textId="77777777" w:rsidR="006A3667" w:rsidRDefault="006A3667">
            <w:pPr>
              <w:rPr>
                <w:rFonts w:ascii="宋体"/>
              </w:rPr>
            </w:pPr>
          </w:p>
        </w:tc>
        <w:tc>
          <w:tcPr>
            <w:tcW w:w="5" w:type="pct"/>
            <w:shd w:val="clear" w:color="auto" w:fill="auto"/>
            <w:vAlign w:val="bottom"/>
          </w:tcPr>
          <w:p w14:paraId="71D3D48B" w14:textId="77777777" w:rsidR="006A3667" w:rsidRDefault="006A3667">
            <w:pPr>
              <w:rPr>
                <w:rFonts w:ascii="宋体"/>
              </w:rPr>
            </w:pPr>
          </w:p>
        </w:tc>
        <w:tc>
          <w:tcPr>
            <w:tcW w:w="119" w:type="pct"/>
            <w:shd w:val="clear" w:color="auto" w:fill="auto"/>
            <w:vAlign w:val="bottom"/>
          </w:tcPr>
          <w:p w14:paraId="71D3D48C" w14:textId="77777777" w:rsidR="006A3667" w:rsidRDefault="006A3667">
            <w:pPr>
              <w:rPr>
                <w:rFonts w:ascii="宋体"/>
              </w:rPr>
            </w:pPr>
          </w:p>
        </w:tc>
        <w:tc>
          <w:tcPr>
            <w:tcW w:w="5" w:type="pct"/>
            <w:shd w:val="clear" w:color="auto" w:fill="auto"/>
            <w:vAlign w:val="bottom"/>
          </w:tcPr>
          <w:p w14:paraId="71D3D48D" w14:textId="77777777" w:rsidR="006A3667" w:rsidRDefault="006A3667">
            <w:pPr>
              <w:rPr>
                <w:rFonts w:ascii="宋体"/>
              </w:rPr>
            </w:pPr>
          </w:p>
        </w:tc>
      </w:tr>
      <w:tr w:rsidR="006A3667" w14:paraId="71D3D49A" w14:textId="77777777">
        <w:tc>
          <w:tcPr>
            <w:tcW w:w="0" w:type="auto"/>
            <w:gridSpan w:val="3"/>
            <w:shd w:val="clear" w:color="auto" w:fill="auto"/>
            <w:tcMar>
              <w:top w:w="40" w:type="dxa"/>
              <w:left w:w="155" w:type="dxa"/>
              <w:bottom w:w="40" w:type="dxa"/>
              <w:right w:w="20" w:type="dxa"/>
            </w:tcMar>
            <w:vAlign w:val="bottom"/>
          </w:tcPr>
          <w:p w14:paraId="71D3D48F" w14:textId="77777777" w:rsidR="006A3667" w:rsidRDefault="00045F32">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71D3D490" w14:textId="77777777" w:rsidR="006A3667" w:rsidRDefault="00045F32">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71D3D49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492" w14:textId="77777777" w:rsidR="006A3667" w:rsidRDefault="00045F32">
            <w:pPr>
              <w:textAlignment w:val="bottom"/>
            </w:pPr>
            <w:r>
              <w:rPr>
                <w:rFonts w:ascii="Arial" w:eastAsia="宋体" w:hAnsi="Arial" w:cs="Arial"/>
                <w:color w:val="000000"/>
                <w:sz w:val="16"/>
                <w:szCs w:val="16"/>
              </w:rPr>
              <w:t>Accelerated filer </w:t>
            </w:r>
          </w:p>
        </w:tc>
        <w:tc>
          <w:tcPr>
            <w:tcW w:w="0" w:type="auto"/>
            <w:gridSpan w:val="3"/>
            <w:shd w:val="clear" w:color="auto" w:fill="auto"/>
            <w:tcMar>
              <w:top w:w="40" w:type="dxa"/>
              <w:left w:w="20" w:type="dxa"/>
              <w:bottom w:w="40" w:type="dxa"/>
              <w:right w:w="20" w:type="dxa"/>
            </w:tcMar>
            <w:vAlign w:val="bottom"/>
          </w:tcPr>
          <w:p w14:paraId="71D3D493" w14:textId="77777777" w:rsidR="006A3667" w:rsidRDefault="00045F32">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71D3D49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495" w14:textId="77777777" w:rsidR="006A3667" w:rsidRDefault="00045F32">
            <w:pPr>
              <w:textAlignment w:val="bottom"/>
            </w:pPr>
            <w:r>
              <w:rPr>
                <w:rFonts w:ascii="Arial" w:eastAsia="宋体" w:hAnsi="Arial" w:cs="Arial"/>
                <w:color w:val="000000"/>
                <w:sz w:val="16"/>
                <w:szCs w:val="16"/>
              </w:rPr>
              <w:t>Non-accelerated filer  </w:t>
            </w:r>
          </w:p>
        </w:tc>
        <w:tc>
          <w:tcPr>
            <w:tcW w:w="0" w:type="auto"/>
            <w:gridSpan w:val="3"/>
            <w:shd w:val="clear" w:color="auto" w:fill="auto"/>
            <w:tcMar>
              <w:top w:w="40" w:type="dxa"/>
              <w:left w:w="20" w:type="dxa"/>
              <w:bottom w:w="40" w:type="dxa"/>
              <w:right w:w="20" w:type="dxa"/>
            </w:tcMar>
            <w:vAlign w:val="bottom"/>
          </w:tcPr>
          <w:p w14:paraId="71D3D496" w14:textId="77777777" w:rsidR="006A3667" w:rsidRDefault="00045F32">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71D3D49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D498" w14:textId="77777777" w:rsidR="006A3667" w:rsidRDefault="00045F32">
            <w:pPr>
              <w:textAlignment w:val="bottom"/>
            </w:pPr>
            <w:r>
              <w:rPr>
                <w:rFonts w:ascii="Arial" w:eastAsia="宋体" w:hAnsi="Arial" w:cs="Arial"/>
                <w:color w:val="000000"/>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71D3D499" w14:textId="77777777" w:rsidR="006A3667" w:rsidRDefault="00045F32">
            <w:pPr>
              <w:textAlignment w:val="bottom"/>
            </w:pPr>
            <w:r>
              <w:rPr>
                <w:rFonts w:ascii="Arial" w:eastAsia="宋体" w:hAnsi="Arial" w:cs="Arial"/>
                <w:color w:val="000000"/>
                <w:sz w:val="16"/>
                <w:szCs w:val="16"/>
              </w:rPr>
              <w:t>☐</w:t>
            </w:r>
          </w:p>
        </w:tc>
      </w:tr>
      <w:tr w:rsidR="006A3667" w14:paraId="71D3D4A3" w14:textId="77777777">
        <w:tc>
          <w:tcPr>
            <w:tcW w:w="0" w:type="auto"/>
            <w:gridSpan w:val="3"/>
            <w:shd w:val="clear" w:color="auto" w:fill="auto"/>
            <w:tcMar>
              <w:top w:w="40" w:type="dxa"/>
              <w:left w:w="155" w:type="dxa"/>
              <w:bottom w:w="40" w:type="dxa"/>
              <w:right w:w="20" w:type="dxa"/>
            </w:tcMar>
            <w:vAlign w:val="bottom"/>
          </w:tcPr>
          <w:p w14:paraId="71D3D49B" w14:textId="77777777" w:rsidR="006A3667" w:rsidRDefault="00045F32">
            <w:pPr>
              <w:textAlignment w:val="bottom"/>
            </w:pPr>
            <w:r>
              <w:rPr>
                <w:rFonts w:ascii="Arial" w:eastAsia="宋体" w:hAnsi="Arial" w:cs="Arial"/>
                <w:color w:val="000000"/>
                <w:sz w:val="16"/>
                <w:szCs w:val="16"/>
              </w:rPr>
              <w:t>Emerging growth company </w:t>
            </w:r>
          </w:p>
        </w:tc>
        <w:tc>
          <w:tcPr>
            <w:tcW w:w="0" w:type="auto"/>
            <w:gridSpan w:val="3"/>
            <w:shd w:val="clear" w:color="auto" w:fill="auto"/>
            <w:tcMar>
              <w:top w:w="40" w:type="dxa"/>
              <w:left w:w="20" w:type="dxa"/>
              <w:bottom w:w="40" w:type="dxa"/>
              <w:right w:w="20" w:type="dxa"/>
            </w:tcMar>
            <w:vAlign w:val="bottom"/>
          </w:tcPr>
          <w:p w14:paraId="71D3D49C" w14:textId="77777777" w:rsidR="006A3667" w:rsidRDefault="00045F32">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71D3D49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9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9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A0" w14:textId="77777777" w:rsidR="006A3667" w:rsidRDefault="006A3667">
            <w:pPr>
              <w:rPr>
                <w:rFonts w:ascii="宋体"/>
              </w:rPr>
            </w:pPr>
          </w:p>
        </w:tc>
        <w:tc>
          <w:tcPr>
            <w:tcW w:w="0" w:type="auto"/>
            <w:gridSpan w:val="12"/>
            <w:shd w:val="clear" w:color="auto" w:fill="auto"/>
            <w:tcMar>
              <w:top w:w="0" w:type="dxa"/>
              <w:left w:w="20" w:type="dxa"/>
              <w:bottom w:w="0" w:type="dxa"/>
              <w:right w:w="20" w:type="dxa"/>
            </w:tcMar>
            <w:vAlign w:val="bottom"/>
          </w:tcPr>
          <w:p w14:paraId="71D3D4A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A2" w14:textId="77777777" w:rsidR="006A3667" w:rsidRDefault="006A3667">
            <w:pPr>
              <w:rPr>
                <w:rFonts w:ascii="宋体"/>
              </w:rPr>
            </w:pPr>
          </w:p>
        </w:tc>
      </w:tr>
    </w:tbl>
    <w:p w14:paraId="71D3D4A4" w14:textId="77777777" w:rsidR="006A3667" w:rsidRDefault="00045F32">
      <w:pPr>
        <w:ind w:firstLine="450"/>
      </w:pPr>
      <w:r>
        <w:rPr>
          <w:rFonts w:ascii="Arial" w:eastAsia="宋体"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6"/>
          <w:szCs w:val="16"/>
        </w:rPr>
        <w:t>¨</w:t>
      </w:r>
    </w:p>
    <w:p w14:paraId="71D3D4A5" w14:textId="77777777" w:rsidR="006A3667" w:rsidRDefault="00045F32">
      <w:pPr>
        <w:spacing w:before="50"/>
        <w:ind w:firstLine="450"/>
        <w:jc w:val="both"/>
      </w:pPr>
      <w:r>
        <w:rPr>
          <w:rFonts w:ascii="Arial" w:eastAsia="宋体" w:hAnsi="Arial" w:cs="Arial"/>
          <w:color w:val="000000"/>
          <w:sz w:val="16"/>
          <w:szCs w:val="16"/>
        </w:rPr>
        <w:t>Indicate by check mark whether the registrant is a shell company (as defined in Rule 12b-2 of the Exchange Act).  Yes  ☐  No  </w:t>
      </w:r>
      <w:r>
        <w:rPr>
          <w:rFonts w:ascii="Arial Unicode MS" w:eastAsia="Arial Unicode MS" w:hAnsi="Arial Unicode MS" w:cs="Arial Unicode MS" w:hint="eastAsia"/>
          <w:color w:val="000000"/>
          <w:sz w:val="16"/>
          <w:szCs w:val="16"/>
        </w:rPr>
        <w:t>☒</w:t>
      </w:r>
    </w:p>
    <w:p w14:paraId="71D3D4A6" w14:textId="77777777" w:rsidR="006A3667" w:rsidRDefault="00045F32">
      <w:pPr>
        <w:spacing w:before="50"/>
        <w:ind w:firstLine="450"/>
      </w:pPr>
      <w:r>
        <w:rPr>
          <w:rFonts w:ascii="Arial" w:eastAsia="宋体" w:hAnsi="Arial" w:cs="Arial"/>
          <w:color w:val="000000"/>
          <w:sz w:val="16"/>
          <w:szCs w:val="16"/>
        </w:rPr>
        <w:t>The number of shares of the registrant’s common stock outstanding as of October</w:t>
      </w:r>
      <w:r>
        <w:rPr>
          <w:rFonts w:ascii="Arial" w:eastAsia="宋体" w:hAnsi="Arial" w:cs="Arial"/>
          <w:color w:val="000000"/>
          <w:sz w:val="16"/>
          <w:szCs w:val="16"/>
          <w:shd w:val="clear" w:color="auto" w:fill="FFFFFF"/>
        </w:rPr>
        <w:t xml:space="preserve"> 24, 2</w:t>
      </w:r>
      <w:r>
        <w:rPr>
          <w:rFonts w:ascii="Arial" w:eastAsia="宋体" w:hAnsi="Arial" w:cs="Arial"/>
          <w:color w:val="000000"/>
          <w:sz w:val="16"/>
          <w:szCs w:val="16"/>
        </w:rPr>
        <w:t>022 was 366,940,147.</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6A3667" w14:paraId="71D3D4AA" w14:textId="77777777">
        <w:tc>
          <w:tcPr>
            <w:tcW w:w="50" w:type="pct"/>
            <w:shd w:val="clear" w:color="auto" w:fill="auto"/>
            <w:vAlign w:val="bottom"/>
          </w:tcPr>
          <w:p w14:paraId="71D3D4A7" w14:textId="77777777" w:rsidR="006A3667" w:rsidRDefault="006A3667">
            <w:pPr>
              <w:rPr>
                <w:rFonts w:ascii="宋体"/>
              </w:rPr>
            </w:pPr>
          </w:p>
        </w:tc>
        <w:tc>
          <w:tcPr>
            <w:tcW w:w="4945" w:type="pct"/>
            <w:shd w:val="clear" w:color="auto" w:fill="auto"/>
            <w:vAlign w:val="bottom"/>
          </w:tcPr>
          <w:p w14:paraId="71D3D4A8" w14:textId="77777777" w:rsidR="006A3667" w:rsidRDefault="006A3667">
            <w:pPr>
              <w:rPr>
                <w:rFonts w:ascii="宋体"/>
              </w:rPr>
            </w:pPr>
          </w:p>
        </w:tc>
        <w:tc>
          <w:tcPr>
            <w:tcW w:w="5" w:type="pct"/>
            <w:shd w:val="clear" w:color="auto" w:fill="auto"/>
            <w:vAlign w:val="bottom"/>
          </w:tcPr>
          <w:p w14:paraId="71D3D4A9" w14:textId="77777777" w:rsidR="006A3667" w:rsidRDefault="006A3667">
            <w:pPr>
              <w:rPr>
                <w:rFonts w:ascii="宋体"/>
              </w:rPr>
            </w:pPr>
          </w:p>
        </w:tc>
      </w:tr>
      <w:tr w:rsidR="006A3667" w14:paraId="71D3D4AC"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1D3D4AB" w14:textId="77777777" w:rsidR="006A3667" w:rsidRDefault="006A3667">
            <w:pPr>
              <w:rPr>
                <w:rFonts w:ascii="宋体"/>
              </w:rPr>
            </w:pPr>
          </w:p>
        </w:tc>
      </w:tr>
    </w:tbl>
    <w:p w14:paraId="71D3D4AD" w14:textId="77777777" w:rsidR="006A3667" w:rsidRDefault="006A3667">
      <w:pPr>
        <w:ind w:firstLine="450"/>
      </w:pPr>
    </w:p>
    <w:p w14:paraId="71D3D4AE" w14:textId="77777777" w:rsidR="006A3667" w:rsidRDefault="006A3667">
      <w:pPr>
        <w:ind w:firstLine="450"/>
      </w:pPr>
    </w:p>
    <w:p w14:paraId="71D3D4AF" w14:textId="77777777" w:rsidR="006A3667" w:rsidRDefault="00045F32">
      <w:r>
        <w:pict w14:anchorId="71D4AC15">
          <v:rect id="_x0000_i1025" style="width:415.3pt;height:1.5pt" o:hralign="center" o:hrstd="t" o:hr="t" fillcolor="#a0a0a0" stroked="f"/>
        </w:pict>
      </w:r>
    </w:p>
    <w:p w14:paraId="71D3D4B0" w14:textId="77777777" w:rsidR="006A3667" w:rsidRDefault="006A3667">
      <w:pPr>
        <w:ind w:firstLine="450"/>
        <w:jc w:val="center"/>
      </w:pPr>
    </w:p>
    <w:p w14:paraId="71D3D4B1" w14:textId="77777777" w:rsidR="006A3667" w:rsidRDefault="00045F32">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71D3D4B2" w14:textId="77777777" w:rsidR="006A3667" w:rsidRDefault="00045F32">
      <w:pPr>
        <w:ind w:firstLine="450"/>
        <w:jc w:val="center"/>
      </w:pPr>
      <w:r>
        <w:rPr>
          <w:rFonts w:ascii="Arial" w:eastAsia="宋体" w:hAnsi="Arial" w:cs="Arial"/>
          <w:b/>
          <w:bCs/>
          <w:color w:val="000000"/>
          <w:sz w:val="20"/>
          <w:szCs w:val="20"/>
        </w:rPr>
        <w:t>QUARTERLY REPORT ON FORM 10-Q FOR THE QUARTERLY PERIOD ENDED</w:t>
      </w:r>
    </w:p>
    <w:p w14:paraId="71D3D4B3" w14:textId="77777777" w:rsidR="006A3667" w:rsidRDefault="00045F32">
      <w:pPr>
        <w:ind w:firstLine="450"/>
        <w:jc w:val="center"/>
      </w:pPr>
      <w:r>
        <w:rPr>
          <w:rFonts w:ascii="Arial" w:eastAsia="宋体" w:hAnsi="Arial" w:cs="Arial"/>
          <w:b/>
          <w:bCs/>
          <w:color w:val="000000"/>
          <w:sz w:val="20"/>
          <w:szCs w:val="20"/>
        </w:rPr>
        <w:t>September 30, 2022</w:t>
      </w:r>
    </w:p>
    <w:p w14:paraId="71D3D4B4" w14:textId="77777777" w:rsidR="006A3667" w:rsidRDefault="006A3667">
      <w:pPr>
        <w:ind w:firstLine="450"/>
        <w:jc w:val="center"/>
      </w:pPr>
    </w:p>
    <w:p w14:paraId="71D3D4B5" w14:textId="77777777" w:rsidR="006A3667" w:rsidRDefault="00045F32">
      <w:pPr>
        <w:ind w:firstLine="450"/>
        <w:jc w:val="center"/>
      </w:pPr>
      <w:r>
        <w:rPr>
          <w:rFonts w:ascii="Arial" w:eastAsia="宋体" w:hAnsi="Arial" w:cs="Arial"/>
          <w:b/>
          <w:bCs/>
          <w:color w:val="000000"/>
          <w:sz w:val="20"/>
          <w:szCs w:val="20"/>
        </w:rPr>
        <w:t>TABLE OF CONTENTS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1308"/>
        <w:gridCol w:w="36"/>
        <w:gridCol w:w="68"/>
        <w:gridCol w:w="5941"/>
        <w:gridCol w:w="39"/>
        <w:gridCol w:w="68"/>
        <w:gridCol w:w="626"/>
        <w:gridCol w:w="36"/>
      </w:tblGrid>
      <w:tr w:rsidR="006A3667" w14:paraId="71D3D4BF" w14:textId="77777777">
        <w:tc>
          <w:tcPr>
            <w:tcW w:w="50" w:type="pct"/>
            <w:shd w:val="clear" w:color="auto" w:fill="auto"/>
            <w:vAlign w:val="bottom"/>
          </w:tcPr>
          <w:p w14:paraId="71D3D4B6" w14:textId="77777777" w:rsidR="006A3667" w:rsidRDefault="006A3667">
            <w:pPr>
              <w:rPr>
                <w:rFonts w:ascii="宋体"/>
              </w:rPr>
            </w:pPr>
          </w:p>
        </w:tc>
        <w:tc>
          <w:tcPr>
            <w:tcW w:w="808" w:type="pct"/>
            <w:shd w:val="clear" w:color="auto" w:fill="auto"/>
            <w:vAlign w:val="bottom"/>
          </w:tcPr>
          <w:p w14:paraId="71D3D4B7" w14:textId="77777777" w:rsidR="006A3667" w:rsidRDefault="006A3667">
            <w:pPr>
              <w:rPr>
                <w:rFonts w:ascii="宋体"/>
              </w:rPr>
            </w:pPr>
          </w:p>
        </w:tc>
        <w:tc>
          <w:tcPr>
            <w:tcW w:w="5" w:type="pct"/>
            <w:shd w:val="clear" w:color="auto" w:fill="auto"/>
            <w:vAlign w:val="bottom"/>
          </w:tcPr>
          <w:p w14:paraId="71D3D4B8" w14:textId="77777777" w:rsidR="006A3667" w:rsidRDefault="006A3667">
            <w:pPr>
              <w:rPr>
                <w:rFonts w:ascii="宋体"/>
              </w:rPr>
            </w:pPr>
          </w:p>
        </w:tc>
        <w:tc>
          <w:tcPr>
            <w:tcW w:w="50" w:type="pct"/>
            <w:shd w:val="clear" w:color="auto" w:fill="auto"/>
            <w:vAlign w:val="bottom"/>
          </w:tcPr>
          <w:p w14:paraId="71D3D4B9" w14:textId="77777777" w:rsidR="006A3667" w:rsidRDefault="006A3667">
            <w:pPr>
              <w:rPr>
                <w:rFonts w:ascii="宋体"/>
              </w:rPr>
            </w:pPr>
          </w:p>
        </w:tc>
        <w:tc>
          <w:tcPr>
            <w:tcW w:w="3635" w:type="pct"/>
            <w:shd w:val="clear" w:color="auto" w:fill="auto"/>
            <w:vAlign w:val="bottom"/>
          </w:tcPr>
          <w:p w14:paraId="71D3D4BA" w14:textId="77777777" w:rsidR="006A3667" w:rsidRDefault="006A3667">
            <w:pPr>
              <w:rPr>
                <w:rFonts w:ascii="宋体"/>
              </w:rPr>
            </w:pPr>
          </w:p>
        </w:tc>
        <w:tc>
          <w:tcPr>
            <w:tcW w:w="5" w:type="pct"/>
            <w:shd w:val="clear" w:color="auto" w:fill="auto"/>
            <w:vAlign w:val="bottom"/>
          </w:tcPr>
          <w:p w14:paraId="71D3D4BB" w14:textId="77777777" w:rsidR="006A3667" w:rsidRDefault="006A3667">
            <w:pPr>
              <w:rPr>
                <w:rFonts w:ascii="宋体"/>
              </w:rPr>
            </w:pPr>
          </w:p>
        </w:tc>
        <w:tc>
          <w:tcPr>
            <w:tcW w:w="50" w:type="pct"/>
            <w:shd w:val="clear" w:color="auto" w:fill="auto"/>
            <w:vAlign w:val="bottom"/>
          </w:tcPr>
          <w:p w14:paraId="71D3D4BC" w14:textId="77777777" w:rsidR="006A3667" w:rsidRDefault="006A3667">
            <w:pPr>
              <w:rPr>
                <w:rFonts w:ascii="宋体"/>
              </w:rPr>
            </w:pPr>
          </w:p>
        </w:tc>
        <w:tc>
          <w:tcPr>
            <w:tcW w:w="391" w:type="pct"/>
            <w:shd w:val="clear" w:color="auto" w:fill="auto"/>
            <w:vAlign w:val="bottom"/>
          </w:tcPr>
          <w:p w14:paraId="71D3D4BD" w14:textId="77777777" w:rsidR="006A3667" w:rsidRDefault="006A3667">
            <w:pPr>
              <w:rPr>
                <w:rFonts w:ascii="宋体"/>
              </w:rPr>
            </w:pPr>
          </w:p>
        </w:tc>
        <w:tc>
          <w:tcPr>
            <w:tcW w:w="5" w:type="pct"/>
            <w:shd w:val="clear" w:color="auto" w:fill="auto"/>
            <w:vAlign w:val="bottom"/>
          </w:tcPr>
          <w:p w14:paraId="71D3D4BE" w14:textId="77777777" w:rsidR="006A3667" w:rsidRDefault="006A3667">
            <w:pPr>
              <w:rPr>
                <w:rFonts w:ascii="宋体"/>
              </w:rPr>
            </w:pPr>
          </w:p>
        </w:tc>
      </w:tr>
      <w:tr w:rsidR="006A3667" w14:paraId="71D3D4C3" w14:textId="77777777">
        <w:tc>
          <w:tcPr>
            <w:tcW w:w="0" w:type="auto"/>
            <w:gridSpan w:val="3"/>
            <w:shd w:val="clear" w:color="auto" w:fill="auto"/>
            <w:tcMar>
              <w:top w:w="0" w:type="dxa"/>
              <w:left w:w="20" w:type="dxa"/>
              <w:bottom w:w="0" w:type="dxa"/>
              <w:right w:w="20" w:type="dxa"/>
            </w:tcMar>
            <w:vAlign w:val="bottom"/>
          </w:tcPr>
          <w:p w14:paraId="71D3D4C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C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3D4C2" w14:textId="77777777" w:rsidR="006A3667" w:rsidRDefault="00045F32">
            <w:pPr>
              <w:jc w:val="right"/>
              <w:textAlignment w:val="center"/>
            </w:pPr>
            <w:r>
              <w:rPr>
                <w:rFonts w:ascii="Arial" w:eastAsia="宋体" w:hAnsi="Arial" w:cs="Arial"/>
                <w:color w:val="000000"/>
                <w:sz w:val="18"/>
                <w:szCs w:val="18"/>
                <w:u w:val="single"/>
              </w:rPr>
              <w:t>Page</w:t>
            </w:r>
          </w:p>
        </w:tc>
      </w:tr>
      <w:tr w:rsidR="006A3667" w14:paraId="71D3D4C7" w14:textId="77777777">
        <w:trPr>
          <w:trHeight w:val="280"/>
        </w:trPr>
        <w:tc>
          <w:tcPr>
            <w:tcW w:w="0" w:type="auto"/>
            <w:gridSpan w:val="3"/>
            <w:shd w:val="clear" w:color="auto" w:fill="auto"/>
            <w:tcMar>
              <w:top w:w="0" w:type="dxa"/>
              <w:left w:w="20" w:type="dxa"/>
              <w:bottom w:w="0" w:type="dxa"/>
              <w:right w:w="20" w:type="dxa"/>
            </w:tcMar>
            <w:vAlign w:val="bottom"/>
          </w:tcPr>
          <w:p w14:paraId="71D3D4C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C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4C6" w14:textId="77777777" w:rsidR="006A3667" w:rsidRDefault="006A3667">
            <w:pPr>
              <w:rPr>
                <w:rFonts w:ascii="宋体"/>
              </w:rPr>
            </w:pPr>
          </w:p>
        </w:tc>
      </w:tr>
      <w:tr w:rsidR="006A3667" w14:paraId="71D3D4CB" w14:textId="77777777">
        <w:tc>
          <w:tcPr>
            <w:tcW w:w="0" w:type="auto"/>
            <w:gridSpan w:val="3"/>
            <w:shd w:val="clear" w:color="auto" w:fill="auto"/>
            <w:tcMar>
              <w:top w:w="40" w:type="dxa"/>
              <w:left w:w="155" w:type="dxa"/>
              <w:bottom w:w="40" w:type="dxa"/>
              <w:right w:w="20" w:type="dxa"/>
            </w:tcMar>
            <w:vAlign w:val="center"/>
          </w:tcPr>
          <w:p w14:paraId="71D3D4C8" w14:textId="77777777" w:rsidR="006A3667" w:rsidRDefault="00045F32">
            <w:pPr>
              <w:textAlignment w:val="center"/>
            </w:pPr>
            <w:r>
              <w:rPr>
                <w:rFonts w:ascii="Arial" w:eastAsia="宋体" w:hAnsi="Arial" w:cs="Arial"/>
                <w:b/>
                <w:bCs/>
                <w:color w:val="000000"/>
                <w:sz w:val="18"/>
                <w:szCs w:val="18"/>
              </w:rPr>
              <w:t>PART I</w:t>
            </w:r>
          </w:p>
        </w:tc>
        <w:tc>
          <w:tcPr>
            <w:tcW w:w="0" w:type="auto"/>
            <w:gridSpan w:val="3"/>
            <w:shd w:val="clear" w:color="auto" w:fill="auto"/>
            <w:tcMar>
              <w:top w:w="40" w:type="dxa"/>
              <w:left w:w="20" w:type="dxa"/>
              <w:bottom w:w="40" w:type="dxa"/>
              <w:right w:w="20" w:type="dxa"/>
            </w:tcMar>
            <w:vAlign w:val="bottom"/>
          </w:tcPr>
          <w:p w14:paraId="71D3D4C9" w14:textId="77777777" w:rsidR="006A3667" w:rsidRDefault="00045F32">
            <w:pPr>
              <w:textAlignment w:val="bottom"/>
            </w:pPr>
            <w:r>
              <w:rPr>
                <w:rFonts w:ascii="Arial" w:eastAsia="宋体" w:hAnsi="Arial" w:cs="Arial"/>
                <w:b/>
                <w:bCs/>
                <w:color w:val="000000"/>
                <w:sz w:val="18"/>
                <w:szCs w:val="18"/>
              </w:rPr>
              <w:t>FINANCIAL INFORMATION</w:t>
            </w:r>
          </w:p>
        </w:tc>
        <w:tc>
          <w:tcPr>
            <w:tcW w:w="0" w:type="auto"/>
            <w:gridSpan w:val="3"/>
            <w:shd w:val="clear" w:color="auto" w:fill="auto"/>
            <w:tcMar>
              <w:top w:w="0" w:type="dxa"/>
              <w:left w:w="20" w:type="dxa"/>
              <w:bottom w:w="0" w:type="dxa"/>
              <w:right w:w="20" w:type="dxa"/>
            </w:tcMar>
            <w:vAlign w:val="bottom"/>
          </w:tcPr>
          <w:p w14:paraId="71D3D4CA" w14:textId="77777777" w:rsidR="006A3667" w:rsidRDefault="006A3667">
            <w:pPr>
              <w:rPr>
                <w:rFonts w:ascii="宋体"/>
              </w:rPr>
            </w:pPr>
          </w:p>
        </w:tc>
      </w:tr>
      <w:tr w:rsidR="006A3667" w14:paraId="71D3D4CF" w14:textId="77777777">
        <w:tc>
          <w:tcPr>
            <w:tcW w:w="0" w:type="auto"/>
            <w:gridSpan w:val="3"/>
            <w:shd w:val="clear" w:color="auto" w:fill="auto"/>
            <w:tcMar>
              <w:top w:w="0" w:type="dxa"/>
              <w:left w:w="20" w:type="dxa"/>
              <w:bottom w:w="0" w:type="dxa"/>
              <w:right w:w="20" w:type="dxa"/>
            </w:tcMar>
            <w:vAlign w:val="bottom"/>
          </w:tcPr>
          <w:p w14:paraId="71D3D4CC" w14:textId="77777777" w:rsidR="006A3667" w:rsidRDefault="006A3667">
            <w:pPr>
              <w:rPr>
                <w:rFonts w:ascii="宋体"/>
              </w:rPr>
            </w:pPr>
          </w:p>
        </w:tc>
        <w:tc>
          <w:tcPr>
            <w:tcW w:w="0" w:type="auto"/>
            <w:gridSpan w:val="3"/>
            <w:shd w:val="clear" w:color="auto" w:fill="auto"/>
            <w:tcMar>
              <w:top w:w="40" w:type="dxa"/>
              <w:left w:w="155" w:type="dxa"/>
              <w:bottom w:w="40" w:type="dxa"/>
              <w:right w:w="20" w:type="dxa"/>
            </w:tcMar>
            <w:vAlign w:val="center"/>
          </w:tcPr>
          <w:p w14:paraId="71D3D4CD" w14:textId="77777777" w:rsidR="006A3667" w:rsidRDefault="00045F32">
            <w:pPr>
              <w:textAlignment w:val="center"/>
            </w:pPr>
            <w:r>
              <w:rPr>
                <w:rFonts w:ascii="Arial" w:eastAsia="宋体" w:hAnsi="Arial" w:cs="Arial"/>
                <w:color w:val="000000"/>
                <w:sz w:val="18"/>
                <w:szCs w:val="18"/>
              </w:rPr>
              <w:t xml:space="preserve">Management's Discussion and Analysis of Financial Condition and Results of </w:t>
            </w:r>
            <w:r>
              <w:rPr>
                <w:rFonts w:ascii="Arial" w:eastAsia="宋体" w:hAnsi="Arial" w:cs="Arial"/>
                <w:color w:val="000000"/>
                <w:sz w:val="18"/>
                <w:szCs w:val="18"/>
              </w:rPr>
              <w:t>Operations</w:t>
            </w:r>
          </w:p>
        </w:tc>
        <w:tc>
          <w:tcPr>
            <w:tcW w:w="0" w:type="auto"/>
            <w:gridSpan w:val="3"/>
            <w:shd w:val="clear" w:color="auto" w:fill="auto"/>
            <w:tcMar>
              <w:top w:w="40" w:type="dxa"/>
              <w:left w:w="20" w:type="dxa"/>
              <w:bottom w:w="40" w:type="dxa"/>
              <w:right w:w="20" w:type="dxa"/>
            </w:tcMar>
            <w:vAlign w:val="center"/>
          </w:tcPr>
          <w:p w14:paraId="71D3D4CE" w14:textId="77777777" w:rsidR="006A3667" w:rsidRDefault="00045F32">
            <w:pPr>
              <w:jc w:val="right"/>
              <w:textAlignment w:val="center"/>
            </w:pPr>
            <w:hyperlink r:id="rId6" w:anchor="ia63ac470633f4c4b8c7d6b2ec0d71e23_13" w:history="1">
              <w:r>
                <w:rPr>
                  <w:rStyle w:val="a5"/>
                  <w:rFonts w:ascii="Arial" w:eastAsia="宋体" w:hAnsi="Arial" w:cs="Arial"/>
                  <w:color w:val="000000"/>
                  <w:sz w:val="18"/>
                  <w:szCs w:val="18"/>
                  <w:u w:val="none"/>
                </w:rPr>
                <w:t>4</w:t>
              </w:r>
            </w:hyperlink>
          </w:p>
        </w:tc>
      </w:tr>
      <w:tr w:rsidR="006A3667" w14:paraId="71D3D4D3" w14:textId="77777777">
        <w:tc>
          <w:tcPr>
            <w:tcW w:w="0" w:type="auto"/>
            <w:gridSpan w:val="3"/>
            <w:shd w:val="clear" w:color="auto" w:fill="auto"/>
            <w:tcMar>
              <w:top w:w="0" w:type="dxa"/>
              <w:left w:w="20" w:type="dxa"/>
              <w:bottom w:w="0" w:type="dxa"/>
              <w:right w:w="20" w:type="dxa"/>
            </w:tcMar>
            <w:vAlign w:val="bottom"/>
          </w:tcPr>
          <w:p w14:paraId="71D3D4D0" w14:textId="77777777" w:rsidR="006A3667" w:rsidRDefault="006A3667">
            <w:pPr>
              <w:rPr>
                <w:rFonts w:ascii="宋体"/>
              </w:rPr>
            </w:pPr>
          </w:p>
        </w:tc>
        <w:tc>
          <w:tcPr>
            <w:tcW w:w="0" w:type="auto"/>
            <w:gridSpan w:val="3"/>
            <w:shd w:val="clear" w:color="auto" w:fill="auto"/>
            <w:tcMar>
              <w:top w:w="40" w:type="dxa"/>
              <w:left w:w="380" w:type="dxa"/>
              <w:bottom w:w="40" w:type="dxa"/>
              <w:right w:w="20" w:type="dxa"/>
            </w:tcMar>
            <w:vAlign w:val="center"/>
          </w:tcPr>
          <w:p w14:paraId="71D3D4D1" w14:textId="77777777" w:rsidR="006A3667" w:rsidRDefault="00045F32">
            <w:pPr>
              <w:textAlignment w:val="center"/>
            </w:pPr>
            <w:r>
              <w:rPr>
                <w:rFonts w:ascii="Arial" w:eastAsia="宋体" w:hAnsi="Arial" w:cs="Arial"/>
                <w:color w:val="000000"/>
                <w:sz w:val="18"/>
                <w:szCs w:val="18"/>
              </w:rPr>
              <w:t>General</w:t>
            </w:r>
          </w:p>
        </w:tc>
        <w:tc>
          <w:tcPr>
            <w:tcW w:w="0" w:type="auto"/>
            <w:gridSpan w:val="3"/>
            <w:shd w:val="clear" w:color="auto" w:fill="auto"/>
            <w:tcMar>
              <w:top w:w="40" w:type="dxa"/>
              <w:left w:w="20" w:type="dxa"/>
              <w:bottom w:w="40" w:type="dxa"/>
              <w:right w:w="20" w:type="dxa"/>
            </w:tcMar>
            <w:vAlign w:val="center"/>
          </w:tcPr>
          <w:p w14:paraId="71D3D4D2" w14:textId="77777777" w:rsidR="006A3667" w:rsidRDefault="00045F32">
            <w:pPr>
              <w:jc w:val="right"/>
              <w:textAlignment w:val="center"/>
            </w:pPr>
            <w:hyperlink r:id="rId7" w:anchor="ia63ac470633f4c4b8c7d6b2ec0d71e23_16" w:history="1">
              <w:r>
                <w:rPr>
                  <w:rStyle w:val="a5"/>
                  <w:rFonts w:ascii="Arial" w:eastAsia="宋体" w:hAnsi="Arial" w:cs="Arial"/>
                  <w:color w:val="000000"/>
                  <w:sz w:val="18"/>
                  <w:szCs w:val="18"/>
                  <w:u w:val="none"/>
                </w:rPr>
                <w:t>4</w:t>
              </w:r>
            </w:hyperlink>
          </w:p>
        </w:tc>
      </w:tr>
      <w:tr w:rsidR="006A3667" w14:paraId="71D3D4D7" w14:textId="77777777">
        <w:tc>
          <w:tcPr>
            <w:tcW w:w="0" w:type="auto"/>
            <w:gridSpan w:val="3"/>
            <w:shd w:val="clear" w:color="auto" w:fill="auto"/>
            <w:tcMar>
              <w:top w:w="0" w:type="dxa"/>
              <w:left w:w="20" w:type="dxa"/>
              <w:bottom w:w="0" w:type="dxa"/>
              <w:right w:w="20" w:type="dxa"/>
            </w:tcMar>
            <w:vAlign w:val="bottom"/>
          </w:tcPr>
          <w:p w14:paraId="71D3D4D4" w14:textId="77777777" w:rsidR="006A3667" w:rsidRDefault="006A3667">
            <w:pPr>
              <w:rPr>
                <w:rFonts w:ascii="宋体"/>
              </w:rPr>
            </w:pPr>
          </w:p>
        </w:tc>
        <w:tc>
          <w:tcPr>
            <w:tcW w:w="0" w:type="auto"/>
            <w:gridSpan w:val="3"/>
            <w:shd w:val="clear" w:color="auto" w:fill="auto"/>
            <w:tcMar>
              <w:top w:w="40" w:type="dxa"/>
              <w:left w:w="380" w:type="dxa"/>
              <w:bottom w:w="40" w:type="dxa"/>
              <w:right w:w="20" w:type="dxa"/>
            </w:tcMar>
            <w:vAlign w:val="center"/>
          </w:tcPr>
          <w:p w14:paraId="71D3D4D5" w14:textId="77777777" w:rsidR="006A3667" w:rsidRDefault="00045F32">
            <w:pPr>
              <w:textAlignment w:val="center"/>
            </w:pPr>
            <w:r>
              <w:rPr>
                <w:rFonts w:ascii="Arial" w:eastAsia="宋体" w:hAnsi="Arial" w:cs="Arial"/>
                <w:color w:val="000000"/>
                <w:sz w:val="18"/>
                <w:szCs w:val="18"/>
              </w:rPr>
              <w:t>Overview of Financial Results</w:t>
            </w:r>
          </w:p>
        </w:tc>
        <w:tc>
          <w:tcPr>
            <w:tcW w:w="0" w:type="auto"/>
            <w:gridSpan w:val="3"/>
            <w:shd w:val="clear" w:color="auto" w:fill="auto"/>
            <w:tcMar>
              <w:top w:w="40" w:type="dxa"/>
              <w:left w:w="20" w:type="dxa"/>
              <w:bottom w:w="40" w:type="dxa"/>
              <w:right w:w="20" w:type="dxa"/>
            </w:tcMar>
            <w:vAlign w:val="center"/>
          </w:tcPr>
          <w:p w14:paraId="71D3D4D6" w14:textId="77777777" w:rsidR="006A3667" w:rsidRDefault="00045F32">
            <w:pPr>
              <w:jc w:val="right"/>
              <w:textAlignment w:val="center"/>
            </w:pPr>
            <w:hyperlink r:id="rId8" w:anchor="ia63ac470633f4c4b8c7d6b2ec0d71e23_25" w:history="1">
              <w:r>
                <w:rPr>
                  <w:rStyle w:val="a5"/>
                  <w:rFonts w:ascii="Arial" w:eastAsia="宋体" w:hAnsi="Arial" w:cs="Arial"/>
                  <w:color w:val="000000"/>
                  <w:sz w:val="18"/>
                  <w:szCs w:val="18"/>
                  <w:u w:val="none"/>
                </w:rPr>
                <w:t>8</w:t>
              </w:r>
            </w:hyperlink>
          </w:p>
        </w:tc>
      </w:tr>
      <w:tr w:rsidR="006A3667" w14:paraId="71D3D4DB" w14:textId="77777777">
        <w:tc>
          <w:tcPr>
            <w:tcW w:w="0" w:type="auto"/>
            <w:gridSpan w:val="3"/>
            <w:shd w:val="clear" w:color="auto" w:fill="auto"/>
            <w:tcMar>
              <w:top w:w="0" w:type="dxa"/>
              <w:left w:w="20" w:type="dxa"/>
              <w:bottom w:w="0" w:type="dxa"/>
              <w:right w:w="20" w:type="dxa"/>
            </w:tcMar>
            <w:vAlign w:val="bottom"/>
          </w:tcPr>
          <w:p w14:paraId="71D3D4D8" w14:textId="77777777" w:rsidR="006A3667" w:rsidRDefault="006A3667">
            <w:pPr>
              <w:rPr>
                <w:rFonts w:ascii="宋体"/>
              </w:rPr>
            </w:pPr>
          </w:p>
        </w:tc>
        <w:tc>
          <w:tcPr>
            <w:tcW w:w="0" w:type="auto"/>
            <w:gridSpan w:val="3"/>
            <w:shd w:val="clear" w:color="auto" w:fill="auto"/>
            <w:tcMar>
              <w:top w:w="40" w:type="dxa"/>
              <w:left w:w="380" w:type="dxa"/>
              <w:bottom w:w="40" w:type="dxa"/>
              <w:right w:w="20" w:type="dxa"/>
            </w:tcMar>
            <w:vAlign w:val="center"/>
          </w:tcPr>
          <w:p w14:paraId="71D3D4D9" w14:textId="77777777" w:rsidR="006A3667" w:rsidRDefault="00045F32">
            <w:pPr>
              <w:textAlignment w:val="center"/>
            </w:pPr>
            <w:r>
              <w:rPr>
                <w:rFonts w:ascii="Arial" w:eastAsia="宋体" w:hAnsi="Arial" w:cs="Arial"/>
                <w:color w:val="000000"/>
                <w:sz w:val="18"/>
                <w:szCs w:val="18"/>
              </w:rPr>
              <w:t>Consolidated Results of Operations</w:t>
            </w:r>
          </w:p>
        </w:tc>
        <w:tc>
          <w:tcPr>
            <w:tcW w:w="0" w:type="auto"/>
            <w:gridSpan w:val="3"/>
            <w:shd w:val="clear" w:color="auto" w:fill="auto"/>
            <w:tcMar>
              <w:top w:w="40" w:type="dxa"/>
              <w:left w:w="20" w:type="dxa"/>
              <w:bottom w:w="40" w:type="dxa"/>
              <w:right w:w="20" w:type="dxa"/>
            </w:tcMar>
            <w:vAlign w:val="center"/>
          </w:tcPr>
          <w:p w14:paraId="71D3D4DA" w14:textId="77777777" w:rsidR="006A3667" w:rsidRDefault="00045F32">
            <w:pPr>
              <w:jc w:val="right"/>
              <w:textAlignment w:val="center"/>
            </w:pPr>
            <w:hyperlink r:id="rId9" w:anchor="ia63ac470633f4c4b8c7d6b2ec0d71e23_34" w:history="1">
              <w:r>
                <w:rPr>
                  <w:rStyle w:val="a5"/>
                  <w:rFonts w:ascii="Arial" w:eastAsia="宋体" w:hAnsi="Arial" w:cs="Arial"/>
                  <w:color w:val="000000"/>
                  <w:sz w:val="18"/>
                  <w:szCs w:val="18"/>
                  <w:u w:val="none"/>
                </w:rPr>
                <w:t>10</w:t>
              </w:r>
            </w:hyperlink>
          </w:p>
        </w:tc>
      </w:tr>
      <w:tr w:rsidR="006A3667" w14:paraId="71D3D4DF" w14:textId="77777777">
        <w:tc>
          <w:tcPr>
            <w:tcW w:w="0" w:type="auto"/>
            <w:gridSpan w:val="3"/>
            <w:shd w:val="clear" w:color="auto" w:fill="auto"/>
            <w:tcMar>
              <w:top w:w="0" w:type="dxa"/>
              <w:left w:w="20" w:type="dxa"/>
              <w:bottom w:w="0" w:type="dxa"/>
              <w:right w:w="20" w:type="dxa"/>
            </w:tcMar>
            <w:vAlign w:val="bottom"/>
          </w:tcPr>
          <w:p w14:paraId="71D3D4DC"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4DD" w14:textId="77777777" w:rsidR="006A3667" w:rsidRDefault="00045F32">
            <w:pPr>
              <w:textAlignment w:val="center"/>
            </w:pPr>
            <w:r>
              <w:rPr>
                <w:rFonts w:ascii="Arial" w:eastAsia="宋体" w:hAnsi="Arial" w:cs="Arial"/>
                <w:color w:val="000000"/>
                <w:sz w:val="18"/>
                <w:szCs w:val="18"/>
              </w:rPr>
              <w:t>Total Revenue</w:t>
            </w:r>
          </w:p>
        </w:tc>
        <w:tc>
          <w:tcPr>
            <w:tcW w:w="0" w:type="auto"/>
            <w:gridSpan w:val="3"/>
            <w:shd w:val="clear" w:color="auto" w:fill="auto"/>
            <w:tcMar>
              <w:top w:w="40" w:type="dxa"/>
              <w:left w:w="20" w:type="dxa"/>
              <w:bottom w:w="40" w:type="dxa"/>
              <w:right w:w="20" w:type="dxa"/>
            </w:tcMar>
            <w:vAlign w:val="center"/>
          </w:tcPr>
          <w:p w14:paraId="71D3D4DE" w14:textId="77777777" w:rsidR="006A3667" w:rsidRDefault="00045F32">
            <w:pPr>
              <w:jc w:val="right"/>
              <w:textAlignment w:val="center"/>
            </w:pPr>
            <w:hyperlink r:id="rId10" w:anchor="ia63ac470633f4c4b8c7d6b2ec0d71e23_37" w:history="1">
              <w:r>
                <w:rPr>
                  <w:rStyle w:val="a5"/>
                  <w:rFonts w:ascii="Arial" w:eastAsia="宋体" w:hAnsi="Arial" w:cs="Arial"/>
                  <w:color w:val="000000"/>
                  <w:sz w:val="18"/>
                  <w:szCs w:val="18"/>
                  <w:u w:val="none"/>
                </w:rPr>
                <w:t>11</w:t>
              </w:r>
            </w:hyperlink>
          </w:p>
        </w:tc>
      </w:tr>
      <w:tr w:rsidR="006A3667" w14:paraId="71D3D4E3" w14:textId="77777777">
        <w:tc>
          <w:tcPr>
            <w:tcW w:w="0" w:type="auto"/>
            <w:gridSpan w:val="3"/>
            <w:shd w:val="clear" w:color="auto" w:fill="auto"/>
            <w:tcMar>
              <w:top w:w="0" w:type="dxa"/>
              <w:left w:w="20" w:type="dxa"/>
              <w:bottom w:w="0" w:type="dxa"/>
              <w:right w:w="20" w:type="dxa"/>
            </w:tcMar>
            <w:vAlign w:val="bottom"/>
          </w:tcPr>
          <w:p w14:paraId="71D3D4E0"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4E1" w14:textId="77777777" w:rsidR="006A3667" w:rsidRDefault="00045F32">
            <w:pPr>
              <w:textAlignment w:val="center"/>
            </w:pPr>
            <w:r>
              <w:rPr>
                <w:rFonts w:ascii="Arial" w:eastAsia="宋体" w:hAnsi="Arial" w:cs="Arial"/>
                <w:color w:val="000000"/>
                <w:sz w:val="18"/>
                <w:szCs w:val="18"/>
              </w:rPr>
              <w:t>Net Interest Income</w:t>
            </w:r>
          </w:p>
        </w:tc>
        <w:tc>
          <w:tcPr>
            <w:tcW w:w="0" w:type="auto"/>
            <w:gridSpan w:val="3"/>
            <w:shd w:val="clear" w:color="auto" w:fill="auto"/>
            <w:tcMar>
              <w:top w:w="40" w:type="dxa"/>
              <w:left w:w="20" w:type="dxa"/>
              <w:bottom w:w="40" w:type="dxa"/>
              <w:right w:w="20" w:type="dxa"/>
            </w:tcMar>
            <w:vAlign w:val="center"/>
          </w:tcPr>
          <w:p w14:paraId="71D3D4E2" w14:textId="77777777" w:rsidR="006A3667" w:rsidRDefault="00045F32">
            <w:pPr>
              <w:jc w:val="right"/>
              <w:textAlignment w:val="center"/>
            </w:pPr>
            <w:hyperlink r:id="rId11" w:anchor="ia63ac470633f4c4b8c7d6b2ec0d71e23_61" w:history="1">
              <w:r>
                <w:rPr>
                  <w:rStyle w:val="a5"/>
                  <w:rFonts w:ascii="Arial" w:eastAsia="宋体" w:hAnsi="Arial" w:cs="Arial"/>
                  <w:color w:val="000000"/>
                  <w:sz w:val="18"/>
                  <w:szCs w:val="18"/>
                  <w:u w:val="none"/>
                </w:rPr>
                <w:t>20</w:t>
              </w:r>
            </w:hyperlink>
          </w:p>
        </w:tc>
      </w:tr>
      <w:tr w:rsidR="006A3667" w14:paraId="71D3D4E7" w14:textId="77777777">
        <w:tc>
          <w:tcPr>
            <w:tcW w:w="0" w:type="auto"/>
            <w:gridSpan w:val="3"/>
            <w:shd w:val="clear" w:color="auto" w:fill="auto"/>
            <w:tcMar>
              <w:top w:w="0" w:type="dxa"/>
              <w:left w:w="20" w:type="dxa"/>
              <w:bottom w:w="0" w:type="dxa"/>
              <w:right w:w="20" w:type="dxa"/>
            </w:tcMar>
            <w:vAlign w:val="bottom"/>
          </w:tcPr>
          <w:p w14:paraId="71D3D4E4"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4E5" w14:textId="77777777" w:rsidR="006A3667" w:rsidRDefault="00045F32">
            <w:pPr>
              <w:textAlignment w:val="center"/>
            </w:pPr>
            <w:r>
              <w:rPr>
                <w:rFonts w:ascii="Arial" w:eastAsia="宋体" w:hAnsi="Arial" w:cs="Arial"/>
                <w:color w:val="000000"/>
                <w:sz w:val="18"/>
                <w:szCs w:val="18"/>
              </w:rPr>
              <w:t>Provision for Credit Losses</w:t>
            </w:r>
          </w:p>
        </w:tc>
        <w:tc>
          <w:tcPr>
            <w:tcW w:w="0" w:type="auto"/>
            <w:gridSpan w:val="3"/>
            <w:shd w:val="clear" w:color="auto" w:fill="auto"/>
            <w:tcMar>
              <w:top w:w="40" w:type="dxa"/>
              <w:left w:w="20" w:type="dxa"/>
              <w:bottom w:w="40" w:type="dxa"/>
              <w:right w:w="20" w:type="dxa"/>
            </w:tcMar>
            <w:vAlign w:val="center"/>
          </w:tcPr>
          <w:p w14:paraId="71D3D4E6" w14:textId="77777777" w:rsidR="006A3667" w:rsidRDefault="00045F32">
            <w:pPr>
              <w:jc w:val="right"/>
              <w:textAlignment w:val="center"/>
            </w:pPr>
            <w:hyperlink r:id="rId12" w:anchor="ia63ac470633f4c4b8c7d6b2ec0d71e23_73" w:history="1">
              <w:r>
                <w:rPr>
                  <w:rStyle w:val="a5"/>
                  <w:rFonts w:ascii="Arial" w:eastAsia="宋体" w:hAnsi="Arial" w:cs="Arial"/>
                  <w:color w:val="000000"/>
                  <w:sz w:val="18"/>
                  <w:szCs w:val="18"/>
                  <w:u w:val="none"/>
                </w:rPr>
                <w:t>23</w:t>
              </w:r>
            </w:hyperlink>
          </w:p>
        </w:tc>
      </w:tr>
      <w:tr w:rsidR="006A3667" w14:paraId="71D3D4EB" w14:textId="77777777">
        <w:tc>
          <w:tcPr>
            <w:tcW w:w="0" w:type="auto"/>
            <w:gridSpan w:val="3"/>
            <w:shd w:val="clear" w:color="auto" w:fill="auto"/>
            <w:tcMar>
              <w:top w:w="0" w:type="dxa"/>
              <w:left w:w="20" w:type="dxa"/>
              <w:bottom w:w="0" w:type="dxa"/>
              <w:right w:w="20" w:type="dxa"/>
            </w:tcMar>
            <w:vAlign w:val="bottom"/>
          </w:tcPr>
          <w:p w14:paraId="71D3D4E8"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4E9" w14:textId="77777777" w:rsidR="006A3667" w:rsidRDefault="00045F32">
            <w:pPr>
              <w:textAlignment w:val="center"/>
            </w:pPr>
            <w:r>
              <w:rPr>
                <w:rFonts w:ascii="Arial" w:eastAsia="宋体" w:hAnsi="Arial" w:cs="Arial"/>
                <w:color w:val="000000"/>
                <w:sz w:val="18"/>
                <w:szCs w:val="18"/>
              </w:rPr>
              <w:t>Expenses</w:t>
            </w:r>
          </w:p>
        </w:tc>
        <w:tc>
          <w:tcPr>
            <w:tcW w:w="0" w:type="auto"/>
            <w:gridSpan w:val="3"/>
            <w:shd w:val="clear" w:color="auto" w:fill="auto"/>
            <w:tcMar>
              <w:top w:w="40" w:type="dxa"/>
              <w:left w:w="20" w:type="dxa"/>
              <w:bottom w:w="40" w:type="dxa"/>
              <w:right w:w="20" w:type="dxa"/>
            </w:tcMar>
            <w:vAlign w:val="center"/>
          </w:tcPr>
          <w:p w14:paraId="71D3D4EA" w14:textId="77777777" w:rsidR="006A3667" w:rsidRDefault="00045F32">
            <w:pPr>
              <w:jc w:val="right"/>
              <w:textAlignment w:val="center"/>
            </w:pPr>
            <w:hyperlink r:id="rId13" w:anchor="ia63ac470633f4c4b8c7d6b2ec0d71e23_76" w:history="1">
              <w:r>
                <w:rPr>
                  <w:rStyle w:val="a5"/>
                  <w:rFonts w:ascii="Arial" w:eastAsia="宋体" w:hAnsi="Arial" w:cs="Arial"/>
                  <w:color w:val="000000"/>
                  <w:sz w:val="18"/>
                  <w:szCs w:val="18"/>
                  <w:u w:val="none"/>
                </w:rPr>
                <w:t>23</w:t>
              </w:r>
            </w:hyperlink>
          </w:p>
        </w:tc>
      </w:tr>
      <w:tr w:rsidR="006A3667" w14:paraId="71D3D4EF" w14:textId="77777777">
        <w:tc>
          <w:tcPr>
            <w:tcW w:w="0" w:type="auto"/>
            <w:gridSpan w:val="3"/>
            <w:shd w:val="clear" w:color="auto" w:fill="auto"/>
            <w:tcMar>
              <w:top w:w="0" w:type="dxa"/>
              <w:left w:w="20" w:type="dxa"/>
              <w:bottom w:w="0" w:type="dxa"/>
              <w:right w:w="20" w:type="dxa"/>
            </w:tcMar>
            <w:vAlign w:val="bottom"/>
          </w:tcPr>
          <w:p w14:paraId="71D3D4EC" w14:textId="77777777" w:rsidR="006A3667" w:rsidRDefault="006A3667">
            <w:pPr>
              <w:rPr>
                <w:rFonts w:ascii="宋体"/>
              </w:rPr>
            </w:pPr>
          </w:p>
        </w:tc>
        <w:tc>
          <w:tcPr>
            <w:tcW w:w="0" w:type="auto"/>
            <w:gridSpan w:val="3"/>
            <w:shd w:val="clear" w:color="auto" w:fill="auto"/>
            <w:tcMar>
              <w:top w:w="40" w:type="dxa"/>
              <w:left w:w="605" w:type="dxa"/>
              <w:bottom w:w="40" w:type="dxa"/>
              <w:right w:w="20" w:type="dxa"/>
            </w:tcMar>
            <w:vAlign w:val="center"/>
          </w:tcPr>
          <w:p w14:paraId="71D3D4ED" w14:textId="77777777" w:rsidR="006A3667" w:rsidRDefault="00045F32">
            <w:pPr>
              <w:textAlignment w:val="center"/>
            </w:pPr>
            <w:r>
              <w:rPr>
                <w:rFonts w:ascii="Arial" w:eastAsia="宋体" w:hAnsi="Arial" w:cs="Arial"/>
                <w:color w:val="000000"/>
                <w:sz w:val="18"/>
                <w:szCs w:val="18"/>
              </w:rPr>
              <w:t>Acquisition Costs</w:t>
            </w:r>
          </w:p>
        </w:tc>
        <w:tc>
          <w:tcPr>
            <w:tcW w:w="0" w:type="auto"/>
            <w:gridSpan w:val="3"/>
            <w:shd w:val="clear" w:color="auto" w:fill="auto"/>
            <w:tcMar>
              <w:top w:w="40" w:type="dxa"/>
              <w:left w:w="20" w:type="dxa"/>
              <w:bottom w:w="40" w:type="dxa"/>
              <w:right w:w="20" w:type="dxa"/>
            </w:tcMar>
            <w:vAlign w:val="center"/>
          </w:tcPr>
          <w:p w14:paraId="71D3D4EE" w14:textId="77777777" w:rsidR="006A3667" w:rsidRDefault="00045F32">
            <w:pPr>
              <w:jc w:val="right"/>
              <w:textAlignment w:val="center"/>
            </w:pPr>
            <w:r>
              <w:rPr>
                <w:rFonts w:ascii="Arial" w:eastAsia="宋体" w:hAnsi="Arial" w:cs="Arial"/>
                <w:color w:val="000000"/>
                <w:sz w:val="18"/>
                <w:szCs w:val="18"/>
              </w:rPr>
              <w:t>24</w:t>
            </w:r>
          </w:p>
        </w:tc>
      </w:tr>
      <w:tr w:rsidR="006A3667" w14:paraId="71D3D4F3" w14:textId="77777777">
        <w:tc>
          <w:tcPr>
            <w:tcW w:w="0" w:type="auto"/>
            <w:gridSpan w:val="3"/>
            <w:shd w:val="clear" w:color="auto" w:fill="auto"/>
            <w:tcMar>
              <w:top w:w="0" w:type="dxa"/>
              <w:left w:w="20" w:type="dxa"/>
              <w:bottom w:w="0" w:type="dxa"/>
              <w:right w:w="20" w:type="dxa"/>
            </w:tcMar>
            <w:vAlign w:val="bottom"/>
          </w:tcPr>
          <w:p w14:paraId="71D3D4F0" w14:textId="77777777" w:rsidR="006A3667" w:rsidRDefault="006A3667">
            <w:pPr>
              <w:rPr>
                <w:rFonts w:ascii="宋体"/>
              </w:rPr>
            </w:pPr>
          </w:p>
        </w:tc>
        <w:tc>
          <w:tcPr>
            <w:tcW w:w="0" w:type="auto"/>
            <w:gridSpan w:val="3"/>
            <w:shd w:val="clear" w:color="auto" w:fill="auto"/>
            <w:tcMar>
              <w:top w:w="40" w:type="dxa"/>
              <w:left w:w="605" w:type="dxa"/>
              <w:bottom w:w="40" w:type="dxa"/>
              <w:right w:w="20" w:type="dxa"/>
            </w:tcMar>
            <w:vAlign w:val="center"/>
          </w:tcPr>
          <w:p w14:paraId="71D3D4F1" w14:textId="77777777" w:rsidR="006A3667" w:rsidRDefault="00045F32">
            <w:pPr>
              <w:textAlignment w:val="center"/>
            </w:pPr>
            <w:r>
              <w:rPr>
                <w:rFonts w:ascii="Arial" w:eastAsia="宋体" w:hAnsi="Arial" w:cs="Arial"/>
                <w:color w:val="000000"/>
                <w:sz w:val="18"/>
                <w:szCs w:val="18"/>
              </w:rPr>
              <w:t>Restructuring and Repositioning Charges</w:t>
            </w:r>
          </w:p>
        </w:tc>
        <w:tc>
          <w:tcPr>
            <w:tcW w:w="0" w:type="auto"/>
            <w:gridSpan w:val="3"/>
            <w:shd w:val="clear" w:color="auto" w:fill="auto"/>
            <w:tcMar>
              <w:top w:w="40" w:type="dxa"/>
              <w:left w:w="20" w:type="dxa"/>
              <w:bottom w:w="40" w:type="dxa"/>
              <w:right w:w="20" w:type="dxa"/>
            </w:tcMar>
            <w:vAlign w:val="center"/>
          </w:tcPr>
          <w:p w14:paraId="71D3D4F2" w14:textId="77777777" w:rsidR="006A3667" w:rsidRDefault="00045F32">
            <w:pPr>
              <w:jc w:val="right"/>
              <w:textAlignment w:val="center"/>
            </w:pPr>
            <w:r>
              <w:rPr>
                <w:rFonts w:ascii="Arial" w:eastAsia="宋体" w:hAnsi="Arial" w:cs="Arial"/>
                <w:color w:val="000000"/>
                <w:sz w:val="18"/>
                <w:szCs w:val="18"/>
              </w:rPr>
              <w:t>24</w:t>
            </w:r>
          </w:p>
        </w:tc>
      </w:tr>
      <w:tr w:rsidR="006A3667" w14:paraId="71D3D4F7" w14:textId="77777777">
        <w:tc>
          <w:tcPr>
            <w:tcW w:w="0" w:type="auto"/>
            <w:gridSpan w:val="3"/>
            <w:shd w:val="clear" w:color="auto" w:fill="auto"/>
            <w:tcMar>
              <w:top w:w="0" w:type="dxa"/>
              <w:left w:w="20" w:type="dxa"/>
              <w:bottom w:w="0" w:type="dxa"/>
              <w:right w:w="20" w:type="dxa"/>
            </w:tcMar>
            <w:vAlign w:val="bottom"/>
          </w:tcPr>
          <w:p w14:paraId="71D3D4F4" w14:textId="77777777" w:rsidR="006A3667" w:rsidRDefault="006A3667">
            <w:pPr>
              <w:rPr>
                <w:rFonts w:ascii="宋体"/>
              </w:rPr>
            </w:pPr>
          </w:p>
        </w:tc>
        <w:tc>
          <w:tcPr>
            <w:tcW w:w="0" w:type="auto"/>
            <w:gridSpan w:val="3"/>
            <w:shd w:val="clear" w:color="auto" w:fill="auto"/>
            <w:tcMar>
              <w:top w:w="40" w:type="dxa"/>
              <w:left w:w="380" w:type="dxa"/>
              <w:bottom w:w="40" w:type="dxa"/>
              <w:right w:w="20" w:type="dxa"/>
            </w:tcMar>
            <w:vAlign w:val="center"/>
          </w:tcPr>
          <w:p w14:paraId="71D3D4F5" w14:textId="77777777" w:rsidR="006A3667" w:rsidRDefault="00045F32">
            <w:pPr>
              <w:textAlignment w:val="center"/>
            </w:pPr>
            <w:r>
              <w:rPr>
                <w:rFonts w:ascii="Arial" w:eastAsia="宋体" w:hAnsi="Arial" w:cs="Arial"/>
                <w:color w:val="000000"/>
                <w:sz w:val="18"/>
                <w:szCs w:val="18"/>
              </w:rPr>
              <w:t>  Income Tax Expense</w:t>
            </w:r>
          </w:p>
        </w:tc>
        <w:tc>
          <w:tcPr>
            <w:tcW w:w="0" w:type="auto"/>
            <w:gridSpan w:val="3"/>
            <w:shd w:val="clear" w:color="auto" w:fill="auto"/>
            <w:tcMar>
              <w:top w:w="40" w:type="dxa"/>
              <w:left w:w="20" w:type="dxa"/>
              <w:bottom w:w="40" w:type="dxa"/>
              <w:right w:w="20" w:type="dxa"/>
            </w:tcMar>
            <w:vAlign w:val="center"/>
          </w:tcPr>
          <w:p w14:paraId="71D3D4F6" w14:textId="77777777" w:rsidR="006A3667" w:rsidRDefault="00045F32">
            <w:pPr>
              <w:jc w:val="right"/>
              <w:textAlignment w:val="center"/>
            </w:pPr>
            <w:hyperlink r:id="rId14" w:anchor="ia63ac470633f4c4b8c7d6b2ec0d71e23_79" w:history="1">
              <w:r>
                <w:rPr>
                  <w:rStyle w:val="a5"/>
                  <w:rFonts w:ascii="Arial" w:eastAsia="宋体" w:hAnsi="Arial" w:cs="Arial"/>
                  <w:color w:val="000000"/>
                  <w:sz w:val="18"/>
                  <w:szCs w:val="18"/>
                  <w:u w:val="none"/>
                </w:rPr>
                <w:t>25</w:t>
              </w:r>
            </w:hyperlink>
          </w:p>
        </w:tc>
      </w:tr>
      <w:tr w:rsidR="006A3667" w14:paraId="71D3D4FB" w14:textId="77777777">
        <w:tc>
          <w:tcPr>
            <w:tcW w:w="0" w:type="auto"/>
            <w:gridSpan w:val="3"/>
            <w:shd w:val="clear" w:color="auto" w:fill="auto"/>
            <w:tcMar>
              <w:top w:w="0" w:type="dxa"/>
              <w:left w:w="20" w:type="dxa"/>
              <w:bottom w:w="0" w:type="dxa"/>
              <w:right w:w="20" w:type="dxa"/>
            </w:tcMar>
            <w:vAlign w:val="bottom"/>
          </w:tcPr>
          <w:p w14:paraId="71D3D4F8" w14:textId="77777777" w:rsidR="006A3667" w:rsidRDefault="006A3667">
            <w:pPr>
              <w:rPr>
                <w:rFonts w:ascii="宋体"/>
              </w:rPr>
            </w:pPr>
          </w:p>
        </w:tc>
        <w:tc>
          <w:tcPr>
            <w:tcW w:w="0" w:type="auto"/>
            <w:gridSpan w:val="3"/>
            <w:shd w:val="clear" w:color="auto" w:fill="auto"/>
            <w:tcMar>
              <w:top w:w="40" w:type="dxa"/>
              <w:left w:w="380" w:type="dxa"/>
              <w:bottom w:w="40" w:type="dxa"/>
              <w:right w:w="20" w:type="dxa"/>
            </w:tcMar>
            <w:vAlign w:val="center"/>
          </w:tcPr>
          <w:p w14:paraId="71D3D4F9" w14:textId="77777777" w:rsidR="006A3667" w:rsidRDefault="00045F32">
            <w:pPr>
              <w:textAlignment w:val="center"/>
            </w:pPr>
            <w:r>
              <w:rPr>
                <w:rFonts w:ascii="Arial" w:eastAsia="宋体" w:hAnsi="Arial" w:cs="Arial"/>
                <w:color w:val="000000"/>
                <w:sz w:val="18"/>
                <w:szCs w:val="18"/>
              </w:rPr>
              <w:t>Line of Business Information</w:t>
            </w:r>
          </w:p>
        </w:tc>
        <w:tc>
          <w:tcPr>
            <w:tcW w:w="0" w:type="auto"/>
            <w:gridSpan w:val="3"/>
            <w:shd w:val="clear" w:color="auto" w:fill="auto"/>
            <w:tcMar>
              <w:top w:w="40" w:type="dxa"/>
              <w:left w:w="20" w:type="dxa"/>
              <w:bottom w:w="40" w:type="dxa"/>
              <w:right w:w="20" w:type="dxa"/>
            </w:tcMar>
            <w:vAlign w:val="center"/>
          </w:tcPr>
          <w:p w14:paraId="71D3D4FA" w14:textId="77777777" w:rsidR="006A3667" w:rsidRDefault="00045F32">
            <w:pPr>
              <w:jc w:val="right"/>
              <w:textAlignment w:val="center"/>
            </w:pPr>
            <w:hyperlink r:id="rId15" w:anchor="ia63ac470633f4c4b8c7d6b2ec0d71e23_82" w:history="1">
              <w:r>
                <w:rPr>
                  <w:rStyle w:val="a5"/>
                  <w:rFonts w:ascii="Arial" w:eastAsia="宋体" w:hAnsi="Arial" w:cs="Arial"/>
                  <w:color w:val="000000"/>
                  <w:sz w:val="18"/>
                  <w:szCs w:val="18"/>
                  <w:u w:val="none"/>
                </w:rPr>
                <w:t>25</w:t>
              </w:r>
            </w:hyperlink>
          </w:p>
        </w:tc>
      </w:tr>
      <w:tr w:rsidR="006A3667" w14:paraId="71D3D4FF" w14:textId="77777777">
        <w:tc>
          <w:tcPr>
            <w:tcW w:w="0" w:type="auto"/>
            <w:gridSpan w:val="3"/>
            <w:shd w:val="clear" w:color="auto" w:fill="auto"/>
            <w:tcMar>
              <w:top w:w="0" w:type="dxa"/>
              <w:left w:w="20" w:type="dxa"/>
              <w:bottom w:w="0" w:type="dxa"/>
              <w:right w:w="20" w:type="dxa"/>
            </w:tcMar>
            <w:vAlign w:val="bottom"/>
          </w:tcPr>
          <w:p w14:paraId="71D3D4FC"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4FD" w14:textId="77777777" w:rsidR="006A3667" w:rsidRDefault="00045F32">
            <w:pPr>
              <w:textAlignment w:val="center"/>
            </w:pPr>
            <w:r>
              <w:rPr>
                <w:rFonts w:ascii="Arial" w:eastAsia="宋体" w:hAnsi="Arial" w:cs="Arial"/>
                <w:color w:val="000000"/>
                <w:sz w:val="18"/>
                <w:szCs w:val="18"/>
              </w:rPr>
              <w:t>Investment Servicing</w:t>
            </w:r>
          </w:p>
        </w:tc>
        <w:tc>
          <w:tcPr>
            <w:tcW w:w="0" w:type="auto"/>
            <w:gridSpan w:val="3"/>
            <w:shd w:val="clear" w:color="auto" w:fill="auto"/>
            <w:tcMar>
              <w:top w:w="40" w:type="dxa"/>
              <w:left w:w="20" w:type="dxa"/>
              <w:bottom w:w="40" w:type="dxa"/>
              <w:right w:w="20" w:type="dxa"/>
            </w:tcMar>
            <w:vAlign w:val="center"/>
          </w:tcPr>
          <w:p w14:paraId="71D3D4FE" w14:textId="77777777" w:rsidR="006A3667" w:rsidRDefault="00045F32">
            <w:pPr>
              <w:jc w:val="right"/>
              <w:textAlignment w:val="center"/>
            </w:pPr>
            <w:hyperlink r:id="rId16" w:anchor="ia63ac470633f4c4b8c7d6b2ec0d71e23_85" w:history="1">
              <w:r>
                <w:rPr>
                  <w:rStyle w:val="a5"/>
                  <w:rFonts w:ascii="Arial" w:eastAsia="宋体" w:hAnsi="Arial" w:cs="Arial"/>
                  <w:color w:val="000000"/>
                  <w:sz w:val="18"/>
                  <w:szCs w:val="18"/>
                  <w:u w:val="none"/>
                </w:rPr>
                <w:t>26</w:t>
              </w:r>
            </w:hyperlink>
          </w:p>
        </w:tc>
      </w:tr>
      <w:tr w:rsidR="006A3667" w14:paraId="71D3D503" w14:textId="77777777">
        <w:tc>
          <w:tcPr>
            <w:tcW w:w="0" w:type="auto"/>
            <w:gridSpan w:val="3"/>
            <w:shd w:val="clear" w:color="auto" w:fill="auto"/>
            <w:tcMar>
              <w:top w:w="0" w:type="dxa"/>
              <w:left w:w="20" w:type="dxa"/>
              <w:bottom w:w="0" w:type="dxa"/>
              <w:right w:w="20" w:type="dxa"/>
            </w:tcMar>
            <w:vAlign w:val="bottom"/>
          </w:tcPr>
          <w:p w14:paraId="71D3D500"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01" w14:textId="77777777" w:rsidR="006A3667" w:rsidRDefault="00045F32">
            <w:pPr>
              <w:textAlignment w:val="center"/>
            </w:pPr>
            <w:r>
              <w:rPr>
                <w:rFonts w:ascii="Arial" w:eastAsia="宋体" w:hAnsi="Arial" w:cs="Arial"/>
                <w:color w:val="000000"/>
                <w:sz w:val="18"/>
                <w:szCs w:val="18"/>
              </w:rPr>
              <w:t>Investment Management</w:t>
            </w:r>
          </w:p>
        </w:tc>
        <w:tc>
          <w:tcPr>
            <w:tcW w:w="0" w:type="auto"/>
            <w:gridSpan w:val="3"/>
            <w:shd w:val="clear" w:color="auto" w:fill="auto"/>
            <w:tcMar>
              <w:top w:w="40" w:type="dxa"/>
              <w:left w:w="20" w:type="dxa"/>
              <w:bottom w:w="40" w:type="dxa"/>
              <w:right w:w="20" w:type="dxa"/>
            </w:tcMar>
            <w:vAlign w:val="center"/>
          </w:tcPr>
          <w:p w14:paraId="71D3D502" w14:textId="77777777" w:rsidR="006A3667" w:rsidRDefault="00045F32">
            <w:pPr>
              <w:jc w:val="right"/>
              <w:textAlignment w:val="center"/>
            </w:pPr>
            <w:hyperlink r:id="rId17" w:anchor="ia63ac470633f4c4b8c7d6b2ec0d71e23_97" w:history="1">
              <w:r>
                <w:rPr>
                  <w:rStyle w:val="a5"/>
                  <w:rFonts w:ascii="Arial" w:eastAsia="宋体" w:hAnsi="Arial" w:cs="Arial"/>
                  <w:color w:val="000000"/>
                  <w:sz w:val="18"/>
                  <w:szCs w:val="18"/>
                  <w:u w:val="none"/>
                </w:rPr>
                <w:t>27</w:t>
              </w:r>
            </w:hyperlink>
          </w:p>
        </w:tc>
      </w:tr>
      <w:tr w:rsidR="006A3667" w14:paraId="71D3D507" w14:textId="77777777">
        <w:tc>
          <w:tcPr>
            <w:tcW w:w="0" w:type="auto"/>
            <w:gridSpan w:val="3"/>
            <w:shd w:val="clear" w:color="auto" w:fill="auto"/>
            <w:tcMar>
              <w:top w:w="0" w:type="dxa"/>
              <w:left w:w="20" w:type="dxa"/>
              <w:bottom w:w="0" w:type="dxa"/>
              <w:right w:w="20" w:type="dxa"/>
            </w:tcMar>
            <w:vAlign w:val="bottom"/>
          </w:tcPr>
          <w:p w14:paraId="71D3D504" w14:textId="77777777" w:rsidR="006A3667" w:rsidRDefault="006A3667">
            <w:pPr>
              <w:rPr>
                <w:rFonts w:ascii="宋体"/>
              </w:rPr>
            </w:pPr>
          </w:p>
        </w:tc>
        <w:tc>
          <w:tcPr>
            <w:tcW w:w="0" w:type="auto"/>
            <w:gridSpan w:val="3"/>
            <w:shd w:val="clear" w:color="auto" w:fill="auto"/>
            <w:tcMar>
              <w:top w:w="40" w:type="dxa"/>
              <w:left w:w="380" w:type="dxa"/>
              <w:bottom w:w="40" w:type="dxa"/>
              <w:right w:w="20" w:type="dxa"/>
            </w:tcMar>
            <w:vAlign w:val="center"/>
          </w:tcPr>
          <w:p w14:paraId="71D3D505" w14:textId="77777777" w:rsidR="006A3667" w:rsidRDefault="00045F32">
            <w:pPr>
              <w:textAlignment w:val="center"/>
            </w:pPr>
            <w:r>
              <w:rPr>
                <w:rFonts w:ascii="Arial" w:eastAsia="宋体" w:hAnsi="Arial" w:cs="Arial"/>
                <w:color w:val="000000"/>
                <w:sz w:val="18"/>
                <w:szCs w:val="18"/>
              </w:rPr>
              <w:t>Financial Condition</w:t>
            </w:r>
          </w:p>
        </w:tc>
        <w:tc>
          <w:tcPr>
            <w:tcW w:w="0" w:type="auto"/>
            <w:gridSpan w:val="3"/>
            <w:shd w:val="clear" w:color="auto" w:fill="auto"/>
            <w:tcMar>
              <w:top w:w="40" w:type="dxa"/>
              <w:left w:w="20" w:type="dxa"/>
              <w:bottom w:w="40" w:type="dxa"/>
              <w:right w:w="20" w:type="dxa"/>
            </w:tcMar>
            <w:vAlign w:val="center"/>
          </w:tcPr>
          <w:p w14:paraId="71D3D506" w14:textId="77777777" w:rsidR="006A3667" w:rsidRDefault="00045F32">
            <w:pPr>
              <w:jc w:val="right"/>
              <w:textAlignment w:val="center"/>
            </w:pPr>
            <w:hyperlink r:id="rId18" w:anchor="ia63ac470633f4c4b8c7d6b2ec0d71e23_106" w:history="1">
              <w:r>
                <w:rPr>
                  <w:rStyle w:val="a5"/>
                  <w:rFonts w:ascii="Arial" w:eastAsia="宋体" w:hAnsi="Arial" w:cs="Arial"/>
                  <w:color w:val="000000"/>
                  <w:sz w:val="18"/>
                  <w:szCs w:val="18"/>
                  <w:u w:val="none"/>
                </w:rPr>
                <w:t>28</w:t>
              </w:r>
            </w:hyperlink>
          </w:p>
        </w:tc>
      </w:tr>
      <w:tr w:rsidR="006A3667" w14:paraId="71D3D50B" w14:textId="77777777">
        <w:tc>
          <w:tcPr>
            <w:tcW w:w="0" w:type="auto"/>
            <w:gridSpan w:val="3"/>
            <w:shd w:val="clear" w:color="auto" w:fill="auto"/>
            <w:tcMar>
              <w:top w:w="0" w:type="dxa"/>
              <w:left w:w="20" w:type="dxa"/>
              <w:bottom w:w="0" w:type="dxa"/>
              <w:right w:w="20" w:type="dxa"/>
            </w:tcMar>
            <w:vAlign w:val="bottom"/>
          </w:tcPr>
          <w:p w14:paraId="71D3D508"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09" w14:textId="77777777" w:rsidR="006A3667" w:rsidRDefault="00045F32">
            <w:pPr>
              <w:textAlignment w:val="center"/>
            </w:pPr>
            <w:r>
              <w:rPr>
                <w:rFonts w:ascii="Arial" w:eastAsia="宋体" w:hAnsi="Arial" w:cs="Arial"/>
                <w:color w:val="000000"/>
                <w:sz w:val="18"/>
                <w:szCs w:val="18"/>
              </w:rPr>
              <w:t>Investment Securities</w:t>
            </w:r>
          </w:p>
        </w:tc>
        <w:tc>
          <w:tcPr>
            <w:tcW w:w="0" w:type="auto"/>
            <w:gridSpan w:val="3"/>
            <w:shd w:val="clear" w:color="auto" w:fill="auto"/>
            <w:tcMar>
              <w:top w:w="40" w:type="dxa"/>
              <w:left w:w="20" w:type="dxa"/>
              <w:bottom w:w="40" w:type="dxa"/>
              <w:right w:w="20" w:type="dxa"/>
            </w:tcMar>
            <w:vAlign w:val="center"/>
          </w:tcPr>
          <w:p w14:paraId="71D3D50A" w14:textId="77777777" w:rsidR="006A3667" w:rsidRDefault="00045F32">
            <w:pPr>
              <w:jc w:val="right"/>
              <w:textAlignment w:val="center"/>
            </w:pPr>
            <w:hyperlink r:id="rId19" w:anchor="ia63ac470633f4c4b8c7d6b2ec0d71e23_109" w:history="1">
              <w:r>
                <w:rPr>
                  <w:rStyle w:val="a5"/>
                  <w:rFonts w:ascii="Arial" w:eastAsia="宋体" w:hAnsi="Arial" w:cs="Arial"/>
                  <w:color w:val="000000"/>
                  <w:sz w:val="18"/>
                  <w:szCs w:val="18"/>
                  <w:u w:val="none"/>
                </w:rPr>
                <w:t>29</w:t>
              </w:r>
            </w:hyperlink>
          </w:p>
        </w:tc>
      </w:tr>
      <w:tr w:rsidR="006A3667" w14:paraId="71D3D50F" w14:textId="77777777">
        <w:tc>
          <w:tcPr>
            <w:tcW w:w="0" w:type="auto"/>
            <w:gridSpan w:val="3"/>
            <w:shd w:val="clear" w:color="auto" w:fill="auto"/>
            <w:tcMar>
              <w:top w:w="0" w:type="dxa"/>
              <w:left w:w="20" w:type="dxa"/>
              <w:bottom w:w="0" w:type="dxa"/>
              <w:right w:w="20" w:type="dxa"/>
            </w:tcMar>
            <w:vAlign w:val="bottom"/>
          </w:tcPr>
          <w:p w14:paraId="71D3D50C"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0D" w14:textId="77777777" w:rsidR="006A3667" w:rsidRDefault="00045F32">
            <w:pPr>
              <w:textAlignment w:val="center"/>
            </w:pPr>
            <w:r>
              <w:rPr>
                <w:rFonts w:ascii="Arial" w:eastAsia="宋体" w:hAnsi="Arial" w:cs="Arial"/>
                <w:color w:val="000000"/>
                <w:sz w:val="18"/>
                <w:szCs w:val="18"/>
              </w:rPr>
              <w:t xml:space="preserve">Loans </w:t>
            </w:r>
          </w:p>
        </w:tc>
        <w:tc>
          <w:tcPr>
            <w:tcW w:w="0" w:type="auto"/>
            <w:gridSpan w:val="3"/>
            <w:shd w:val="clear" w:color="auto" w:fill="auto"/>
            <w:tcMar>
              <w:top w:w="40" w:type="dxa"/>
              <w:left w:w="20" w:type="dxa"/>
              <w:bottom w:w="40" w:type="dxa"/>
              <w:right w:w="20" w:type="dxa"/>
            </w:tcMar>
            <w:vAlign w:val="center"/>
          </w:tcPr>
          <w:p w14:paraId="71D3D50E" w14:textId="77777777" w:rsidR="006A3667" w:rsidRDefault="00045F32">
            <w:pPr>
              <w:jc w:val="right"/>
              <w:textAlignment w:val="center"/>
            </w:pPr>
            <w:hyperlink r:id="rId20" w:anchor="ia63ac470633f4c4b8c7d6b2ec0d71e23_121" w:history="1">
              <w:r>
                <w:rPr>
                  <w:rStyle w:val="a5"/>
                  <w:rFonts w:ascii="Arial" w:eastAsia="宋体" w:hAnsi="Arial" w:cs="Arial"/>
                  <w:color w:val="000000"/>
                  <w:sz w:val="18"/>
                  <w:szCs w:val="18"/>
                  <w:u w:val="none"/>
                </w:rPr>
                <w:t>31</w:t>
              </w:r>
            </w:hyperlink>
          </w:p>
        </w:tc>
      </w:tr>
      <w:tr w:rsidR="006A3667" w14:paraId="71D3D513" w14:textId="77777777">
        <w:tc>
          <w:tcPr>
            <w:tcW w:w="0" w:type="auto"/>
            <w:gridSpan w:val="3"/>
            <w:shd w:val="clear" w:color="auto" w:fill="auto"/>
            <w:tcMar>
              <w:top w:w="0" w:type="dxa"/>
              <w:left w:w="20" w:type="dxa"/>
              <w:bottom w:w="0" w:type="dxa"/>
              <w:right w:w="20" w:type="dxa"/>
            </w:tcMar>
            <w:vAlign w:val="bottom"/>
          </w:tcPr>
          <w:p w14:paraId="71D3D510"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11" w14:textId="77777777" w:rsidR="006A3667" w:rsidRDefault="00045F32">
            <w:pPr>
              <w:textAlignment w:val="center"/>
            </w:pPr>
            <w:r>
              <w:rPr>
                <w:rFonts w:ascii="Arial" w:eastAsia="宋体" w:hAnsi="Arial" w:cs="Arial"/>
                <w:color w:val="000000"/>
                <w:sz w:val="18"/>
                <w:szCs w:val="18"/>
              </w:rPr>
              <w:t>Cross-Border Outstandings</w:t>
            </w:r>
          </w:p>
        </w:tc>
        <w:tc>
          <w:tcPr>
            <w:tcW w:w="0" w:type="auto"/>
            <w:gridSpan w:val="3"/>
            <w:shd w:val="clear" w:color="auto" w:fill="auto"/>
            <w:tcMar>
              <w:top w:w="40" w:type="dxa"/>
              <w:left w:w="20" w:type="dxa"/>
              <w:bottom w:w="40" w:type="dxa"/>
              <w:right w:w="20" w:type="dxa"/>
            </w:tcMar>
            <w:vAlign w:val="center"/>
          </w:tcPr>
          <w:p w14:paraId="71D3D512" w14:textId="77777777" w:rsidR="006A3667" w:rsidRDefault="00045F32">
            <w:pPr>
              <w:jc w:val="right"/>
              <w:textAlignment w:val="center"/>
            </w:pPr>
            <w:hyperlink r:id="rId21" w:anchor="ia63ac470633f4c4b8c7d6b2ec0d71e23_124" w:history="1">
              <w:r>
                <w:rPr>
                  <w:rStyle w:val="a5"/>
                  <w:rFonts w:ascii="Arial" w:eastAsia="宋体" w:hAnsi="Arial" w:cs="Arial"/>
                  <w:color w:val="000000"/>
                  <w:sz w:val="18"/>
                  <w:szCs w:val="18"/>
                  <w:u w:val="none"/>
                </w:rPr>
                <w:t>32</w:t>
              </w:r>
            </w:hyperlink>
          </w:p>
        </w:tc>
      </w:tr>
      <w:tr w:rsidR="006A3667" w14:paraId="71D3D517" w14:textId="77777777">
        <w:tc>
          <w:tcPr>
            <w:tcW w:w="0" w:type="auto"/>
            <w:gridSpan w:val="3"/>
            <w:shd w:val="clear" w:color="auto" w:fill="auto"/>
            <w:tcMar>
              <w:top w:w="0" w:type="dxa"/>
              <w:left w:w="20" w:type="dxa"/>
              <w:bottom w:w="0" w:type="dxa"/>
              <w:right w:w="20" w:type="dxa"/>
            </w:tcMar>
            <w:vAlign w:val="bottom"/>
          </w:tcPr>
          <w:p w14:paraId="71D3D514"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15" w14:textId="77777777" w:rsidR="006A3667" w:rsidRDefault="00045F32">
            <w:pPr>
              <w:textAlignment w:val="center"/>
            </w:pPr>
            <w:r>
              <w:rPr>
                <w:rFonts w:ascii="Arial" w:eastAsia="宋体" w:hAnsi="Arial" w:cs="Arial"/>
                <w:color w:val="000000"/>
                <w:sz w:val="18"/>
                <w:szCs w:val="18"/>
              </w:rPr>
              <w:t>Risk Management</w:t>
            </w:r>
          </w:p>
        </w:tc>
        <w:tc>
          <w:tcPr>
            <w:tcW w:w="0" w:type="auto"/>
            <w:gridSpan w:val="3"/>
            <w:shd w:val="clear" w:color="auto" w:fill="auto"/>
            <w:tcMar>
              <w:top w:w="40" w:type="dxa"/>
              <w:left w:w="20" w:type="dxa"/>
              <w:bottom w:w="40" w:type="dxa"/>
              <w:right w:w="20" w:type="dxa"/>
            </w:tcMar>
            <w:vAlign w:val="center"/>
          </w:tcPr>
          <w:p w14:paraId="71D3D516" w14:textId="77777777" w:rsidR="006A3667" w:rsidRDefault="00045F32">
            <w:pPr>
              <w:jc w:val="right"/>
              <w:textAlignment w:val="center"/>
            </w:pPr>
            <w:hyperlink r:id="rId22" w:anchor="ia63ac470633f4c4b8c7d6b2ec0d71e23_127" w:history="1">
              <w:r>
                <w:rPr>
                  <w:rStyle w:val="a5"/>
                  <w:rFonts w:ascii="Arial" w:eastAsia="宋体" w:hAnsi="Arial" w:cs="Arial"/>
                  <w:color w:val="000000"/>
                  <w:sz w:val="18"/>
                  <w:szCs w:val="18"/>
                  <w:u w:val="none"/>
                </w:rPr>
                <w:t>32</w:t>
              </w:r>
            </w:hyperlink>
          </w:p>
        </w:tc>
      </w:tr>
      <w:tr w:rsidR="006A3667" w14:paraId="71D3D51B" w14:textId="77777777">
        <w:tc>
          <w:tcPr>
            <w:tcW w:w="0" w:type="auto"/>
            <w:gridSpan w:val="3"/>
            <w:shd w:val="clear" w:color="auto" w:fill="auto"/>
            <w:tcMar>
              <w:top w:w="0" w:type="dxa"/>
              <w:left w:w="20" w:type="dxa"/>
              <w:bottom w:w="0" w:type="dxa"/>
              <w:right w:w="20" w:type="dxa"/>
            </w:tcMar>
            <w:vAlign w:val="bottom"/>
          </w:tcPr>
          <w:p w14:paraId="71D3D518"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19" w14:textId="77777777" w:rsidR="006A3667" w:rsidRDefault="00045F32">
            <w:pPr>
              <w:textAlignment w:val="center"/>
            </w:pPr>
            <w:r>
              <w:rPr>
                <w:rFonts w:ascii="Arial" w:eastAsia="宋体" w:hAnsi="Arial" w:cs="Arial"/>
                <w:color w:val="000000"/>
                <w:sz w:val="18"/>
                <w:szCs w:val="18"/>
              </w:rPr>
              <w:t>Credit Risk Management</w:t>
            </w:r>
          </w:p>
        </w:tc>
        <w:tc>
          <w:tcPr>
            <w:tcW w:w="0" w:type="auto"/>
            <w:gridSpan w:val="3"/>
            <w:shd w:val="clear" w:color="auto" w:fill="auto"/>
            <w:tcMar>
              <w:top w:w="40" w:type="dxa"/>
              <w:left w:w="20" w:type="dxa"/>
              <w:bottom w:w="40" w:type="dxa"/>
              <w:right w:w="20" w:type="dxa"/>
            </w:tcMar>
            <w:vAlign w:val="center"/>
          </w:tcPr>
          <w:p w14:paraId="71D3D51A" w14:textId="77777777" w:rsidR="006A3667" w:rsidRDefault="00045F32">
            <w:pPr>
              <w:jc w:val="right"/>
              <w:textAlignment w:val="center"/>
            </w:pPr>
            <w:hyperlink r:id="rId23" w:anchor="ia63ac470633f4c4b8c7d6b2ec0d71e23_130" w:history="1">
              <w:r>
                <w:rPr>
                  <w:rStyle w:val="a5"/>
                  <w:rFonts w:ascii="Arial" w:eastAsia="宋体" w:hAnsi="Arial" w:cs="Arial"/>
                  <w:color w:val="000000"/>
                  <w:sz w:val="18"/>
                  <w:szCs w:val="18"/>
                  <w:u w:val="none"/>
                </w:rPr>
                <w:t>33</w:t>
              </w:r>
            </w:hyperlink>
          </w:p>
        </w:tc>
      </w:tr>
      <w:tr w:rsidR="006A3667" w14:paraId="71D3D51F" w14:textId="77777777">
        <w:tc>
          <w:tcPr>
            <w:tcW w:w="0" w:type="auto"/>
            <w:gridSpan w:val="3"/>
            <w:shd w:val="clear" w:color="auto" w:fill="auto"/>
            <w:tcMar>
              <w:top w:w="0" w:type="dxa"/>
              <w:left w:w="20" w:type="dxa"/>
              <w:bottom w:w="0" w:type="dxa"/>
              <w:right w:w="20" w:type="dxa"/>
            </w:tcMar>
            <w:vAlign w:val="bottom"/>
          </w:tcPr>
          <w:p w14:paraId="71D3D51C"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1D" w14:textId="77777777" w:rsidR="006A3667" w:rsidRDefault="00045F32">
            <w:pPr>
              <w:textAlignment w:val="center"/>
            </w:pPr>
            <w:r>
              <w:rPr>
                <w:rFonts w:ascii="Arial" w:eastAsia="宋体" w:hAnsi="Arial" w:cs="Arial"/>
                <w:color w:val="000000"/>
                <w:sz w:val="18"/>
                <w:szCs w:val="18"/>
              </w:rPr>
              <w:t>Liquidity Risk Management</w:t>
            </w:r>
          </w:p>
        </w:tc>
        <w:tc>
          <w:tcPr>
            <w:tcW w:w="0" w:type="auto"/>
            <w:gridSpan w:val="3"/>
            <w:shd w:val="clear" w:color="auto" w:fill="auto"/>
            <w:tcMar>
              <w:top w:w="40" w:type="dxa"/>
              <w:left w:w="20" w:type="dxa"/>
              <w:bottom w:w="40" w:type="dxa"/>
              <w:right w:w="20" w:type="dxa"/>
            </w:tcMar>
            <w:vAlign w:val="center"/>
          </w:tcPr>
          <w:p w14:paraId="71D3D51E" w14:textId="77777777" w:rsidR="006A3667" w:rsidRDefault="00045F32">
            <w:pPr>
              <w:jc w:val="right"/>
              <w:textAlignment w:val="center"/>
            </w:pPr>
            <w:hyperlink r:id="rId24" w:anchor="ia63ac470633f4c4b8c7d6b2ec0d71e23_151" w:history="1">
              <w:r>
                <w:rPr>
                  <w:rStyle w:val="a5"/>
                  <w:rFonts w:ascii="Arial" w:eastAsia="宋体" w:hAnsi="Arial" w:cs="Arial"/>
                  <w:color w:val="000000"/>
                  <w:sz w:val="18"/>
                  <w:szCs w:val="18"/>
                  <w:u w:val="none"/>
                </w:rPr>
                <w:t>33</w:t>
              </w:r>
            </w:hyperlink>
          </w:p>
        </w:tc>
      </w:tr>
      <w:tr w:rsidR="006A3667" w14:paraId="71D3D523" w14:textId="77777777">
        <w:tc>
          <w:tcPr>
            <w:tcW w:w="0" w:type="auto"/>
            <w:gridSpan w:val="3"/>
            <w:shd w:val="clear" w:color="auto" w:fill="auto"/>
            <w:tcMar>
              <w:top w:w="0" w:type="dxa"/>
              <w:left w:w="20" w:type="dxa"/>
              <w:bottom w:w="0" w:type="dxa"/>
              <w:right w:w="20" w:type="dxa"/>
            </w:tcMar>
            <w:vAlign w:val="bottom"/>
          </w:tcPr>
          <w:p w14:paraId="71D3D520"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21" w14:textId="77777777" w:rsidR="006A3667" w:rsidRDefault="00045F32">
            <w:pPr>
              <w:textAlignment w:val="center"/>
            </w:pPr>
            <w:r>
              <w:rPr>
                <w:rFonts w:ascii="Arial" w:eastAsia="宋体" w:hAnsi="Arial" w:cs="Arial"/>
                <w:color w:val="000000"/>
                <w:sz w:val="18"/>
                <w:szCs w:val="18"/>
              </w:rPr>
              <w:t>Operational Risk Management</w:t>
            </w:r>
          </w:p>
        </w:tc>
        <w:tc>
          <w:tcPr>
            <w:tcW w:w="0" w:type="auto"/>
            <w:gridSpan w:val="3"/>
            <w:shd w:val="clear" w:color="auto" w:fill="auto"/>
            <w:tcMar>
              <w:top w:w="40" w:type="dxa"/>
              <w:left w:w="20" w:type="dxa"/>
              <w:bottom w:w="40" w:type="dxa"/>
              <w:right w:w="20" w:type="dxa"/>
            </w:tcMar>
            <w:vAlign w:val="center"/>
          </w:tcPr>
          <w:p w14:paraId="71D3D522" w14:textId="77777777" w:rsidR="006A3667" w:rsidRDefault="00045F32">
            <w:pPr>
              <w:jc w:val="right"/>
              <w:textAlignment w:val="center"/>
            </w:pPr>
            <w:hyperlink r:id="rId25" w:anchor="ia63ac470633f4c4b8c7d6b2ec0d71e23_172" w:history="1">
              <w:r>
                <w:rPr>
                  <w:rStyle w:val="a5"/>
                  <w:rFonts w:ascii="Arial" w:eastAsia="宋体" w:hAnsi="Arial" w:cs="Arial"/>
                  <w:color w:val="000000"/>
                  <w:sz w:val="18"/>
                  <w:szCs w:val="18"/>
                  <w:u w:val="none"/>
                </w:rPr>
                <w:t>37</w:t>
              </w:r>
            </w:hyperlink>
          </w:p>
        </w:tc>
      </w:tr>
      <w:tr w:rsidR="006A3667" w14:paraId="71D3D527" w14:textId="77777777">
        <w:tc>
          <w:tcPr>
            <w:tcW w:w="0" w:type="auto"/>
            <w:gridSpan w:val="3"/>
            <w:shd w:val="clear" w:color="auto" w:fill="auto"/>
            <w:tcMar>
              <w:top w:w="0" w:type="dxa"/>
              <w:left w:w="20" w:type="dxa"/>
              <w:bottom w:w="0" w:type="dxa"/>
              <w:right w:w="20" w:type="dxa"/>
            </w:tcMar>
            <w:vAlign w:val="bottom"/>
          </w:tcPr>
          <w:p w14:paraId="71D3D524"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25" w14:textId="77777777" w:rsidR="006A3667" w:rsidRDefault="00045F32">
            <w:pPr>
              <w:textAlignment w:val="center"/>
            </w:pPr>
            <w:r>
              <w:rPr>
                <w:rFonts w:ascii="Arial" w:eastAsia="宋体" w:hAnsi="Arial" w:cs="Arial"/>
                <w:color w:val="000000"/>
                <w:sz w:val="18"/>
                <w:szCs w:val="18"/>
              </w:rPr>
              <w:t>Information Technology Risk Management</w:t>
            </w:r>
          </w:p>
        </w:tc>
        <w:tc>
          <w:tcPr>
            <w:tcW w:w="0" w:type="auto"/>
            <w:gridSpan w:val="3"/>
            <w:shd w:val="clear" w:color="auto" w:fill="auto"/>
            <w:tcMar>
              <w:top w:w="40" w:type="dxa"/>
              <w:left w:w="20" w:type="dxa"/>
              <w:bottom w:w="40" w:type="dxa"/>
              <w:right w:w="20" w:type="dxa"/>
            </w:tcMar>
            <w:vAlign w:val="center"/>
          </w:tcPr>
          <w:p w14:paraId="71D3D526" w14:textId="77777777" w:rsidR="006A3667" w:rsidRDefault="00045F32">
            <w:pPr>
              <w:jc w:val="right"/>
              <w:textAlignment w:val="center"/>
            </w:pPr>
            <w:hyperlink r:id="rId26" w:anchor="ia63ac470633f4c4b8c7d6b2ec0d71e23_178" w:history="1">
              <w:r>
                <w:rPr>
                  <w:rStyle w:val="a5"/>
                  <w:rFonts w:ascii="Arial" w:eastAsia="宋体" w:hAnsi="Arial" w:cs="Arial"/>
                  <w:color w:val="000000"/>
                  <w:sz w:val="18"/>
                  <w:szCs w:val="18"/>
                  <w:u w:val="none"/>
                </w:rPr>
                <w:t>38</w:t>
              </w:r>
            </w:hyperlink>
          </w:p>
        </w:tc>
      </w:tr>
      <w:tr w:rsidR="006A3667" w14:paraId="71D3D52B" w14:textId="77777777">
        <w:tc>
          <w:tcPr>
            <w:tcW w:w="0" w:type="auto"/>
            <w:gridSpan w:val="3"/>
            <w:shd w:val="clear" w:color="auto" w:fill="auto"/>
            <w:tcMar>
              <w:top w:w="0" w:type="dxa"/>
              <w:left w:w="20" w:type="dxa"/>
              <w:bottom w:w="0" w:type="dxa"/>
              <w:right w:w="20" w:type="dxa"/>
            </w:tcMar>
            <w:vAlign w:val="bottom"/>
          </w:tcPr>
          <w:p w14:paraId="71D3D528"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29" w14:textId="77777777" w:rsidR="006A3667" w:rsidRDefault="00045F32">
            <w:pPr>
              <w:textAlignment w:val="center"/>
            </w:pPr>
            <w:r>
              <w:rPr>
                <w:rFonts w:ascii="Arial" w:eastAsia="宋体" w:hAnsi="Arial" w:cs="Arial"/>
                <w:color w:val="000000"/>
                <w:sz w:val="18"/>
                <w:szCs w:val="18"/>
              </w:rPr>
              <w:t>Market Risk Management</w:t>
            </w:r>
          </w:p>
        </w:tc>
        <w:tc>
          <w:tcPr>
            <w:tcW w:w="0" w:type="auto"/>
            <w:gridSpan w:val="3"/>
            <w:shd w:val="clear" w:color="auto" w:fill="auto"/>
            <w:tcMar>
              <w:top w:w="40" w:type="dxa"/>
              <w:left w:w="20" w:type="dxa"/>
              <w:bottom w:w="40" w:type="dxa"/>
              <w:right w:w="20" w:type="dxa"/>
            </w:tcMar>
            <w:vAlign w:val="center"/>
          </w:tcPr>
          <w:p w14:paraId="71D3D52A" w14:textId="77777777" w:rsidR="006A3667" w:rsidRDefault="00045F32">
            <w:pPr>
              <w:jc w:val="right"/>
              <w:textAlignment w:val="center"/>
            </w:pPr>
            <w:hyperlink r:id="rId27" w:anchor="ia63ac470633f4c4b8c7d6b2ec0d71e23_184" w:history="1">
              <w:r>
                <w:rPr>
                  <w:rStyle w:val="a5"/>
                  <w:rFonts w:ascii="Arial" w:eastAsia="宋体" w:hAnsi="Arial" w:cs="Arial"/>
                  <w:color w:val="000000"/>
                  <w:sz w:val="18"/>
                  <w:szCs w:val="18"/>
                  <w:u w:val="none"/>
                </w:rPr>
                <w:t>38</w:t>
              </w:r>
            </w:hyperlink>
          </w:p>
        </w:tc>
      </w:tr>
      <w:tr w:rsidR="006A3667" w14:paraId="71D3D52F" w14:textId="77777777">
        <w:tc>
          <w:tcPr>
            <w:tcW w:w="0" w:type="auto"/>
            <w:gridSpan w:val="3"/>
            <w:shd w:val="clear" w:color="auto" w:fill="auto"/>
            <w:tcMar>
              <w:top w:w="0" w:type="dxa"/>
              <w:left w:w="20" w:type="dxa"/>
              <w:bottom w:w="0" w:type="dxa"/>
              <w:right w:w="20" w:type="dxa"/>
            </w:tcMar>
            <w:vAlign w:val="bottom"/>
          </w:tcPr>
          <w:p w14:paraId="71D3D52C"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2D" w14:textId="77777777" w:rsidR="006A3667" w:rsidRDefault="00045F32">
            <w:pPr>
              <w:textAlignment w:val="center"/>
            </w:pPr>
            <w:r>
              <w:rPr>
                <w:rFonts w:ascii="Arial" w:eastAsia="宋体" w:hAnsi="Arial" w:cs="Arial"/>
                <w:color w:val="000000"/>
                <w:sz w:val="18"/>
                <w:szCs w:val="18"/>
              </w:rPr>
              <w:t>Model Risk Management</w:t>
            </w:r>
          </w:p>
        </w:tc>
        <w:tc>
          <w:tcPr>
            <w:tcW w:w="0" w:type="auto"/>
            <w:gridSpan w:val="3"/>
            <w:shd w:val="clear" w:color="auto" w:fill="auto"/>
            <w:tcMar>
              <w:top w:w="40" w:type="dxa"/>
              <w:left w:w="20" w:type="dxa"/>
              <w:bottom w:w="40" w:type="dxa"/>
              <w:right w:w="20" w:type="dxa"/>
            </w:tcMar>
            <w:vAlign w:val="center"/>
          </w:tcPr>
          <w:p w14:paraId="71D3D52E" w14:textId="77777777" w:rsidR="006A3667" w:rsidRDefault="00045F32">
            <w:pPr>
              <w:jc w:val="right"/>
              <w:textAlignment w:val="center"/>
            </w:pPr>
            <w:hyperlink r:id="rId28" w:anchor="ia63ac470633f4c4b8c7d6b2ec0d71e23_199" w:history="1">
              <w:r>
                <w:rPr>
                  <w:rStyle w:val="a5"/>
                  <w:rFonts w:ascii="Arial" w:eastAsia="宋体" w:hAnsi="Arial" w:cs="Arial"/>
                  <w:color w:val="000000"/>
                  <w:sz w:val="18"/>
                  <w:szCs w:val="18"/>
                  <w:u w:val="none"/>
                </w:rPr>
                <w:t>42</w:t>
              </w:r>
            </w:hyperlink>
          </w:p>
        </w:tc>
      </w:tr>
      <w:tr w:rsidR="006A3667" w14:paraId="71D3D533" w14:textId="77777777">
        <w:tc>
          <w:tcPr>
            <w:tcW w:w="0" w:type="auto"/>
            <w:gridSpan w:val="3"/>
            <w:shd w:val="clear" w:color="auto" w:fill="auto"/>
            <w:tcMar>
              <w:top w:w="0" w:type="dxa"/>
              <w:left w:w="20" w:type="dxa"/>
              <w:bottom w:w="0" w:type="dxa"/>
              <w:right w:w="20" w:type="dxa"/>
            </w:tcMar>
            <w:vAlign w:val="bottom"/>
          </w:tcPr>
          <w:p w14:paraId="71D3D530"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31" w14:textId="77777777" w:rsidR="006A3667" w:rsidRDefault="00045F32">
            <w:pPr>
              <w:textAlignment w:val="center"/>
            </w:pPr>
            <w:r>
              <w:rPr>
                <w:rFonts w:ascii="Arial" w:eastAsia="宋体" w:hAnsi="Arial" w:cs="Arial"/>
                <w:color w:val="000000"/>
                <w:sz w:val="18"/>
                <w:szCs w:val="18"/>
              </w:rPr>
              <w:t>Strategic Risk Management</w:t>
            </w:r>
          </w:p>
        </w:tc>
        <w:tc>
          <w:tcPr>
            <w:tcW w:w="0" w:type="auto"/>
            <w:gridSpan w:val="3"/>
            <w:shd w:val="clear" w:color="auto" w:fill="auto"/>
            <w:tcMar>
              <w:top w:w="40" w:type="dxa"/>
              <w:left w:w="20" w:type="dxa"/>
              <w:bottom w:w="40" w:type="dxa"/>
              <w:right w:w="20" w:type="dxa"/>
            </w:tcMar>
            <w:vAlign w:val="center"/>
          </w:tcPr>
          <w:p w14:paraId="71D3D532" w14:textId="77777777" w:rsidR="006A3667" w:rsidRDefault="00045F32">
            <w:pPr>
              <w:jc w:val="right"/>
              <w:textAlignment w:val="center"/>
            </w:pPr>
            <w:hyperlink r:id="rId29" w:anchor="ia63ac470633f4c4b8c7d6b2ec0d71e23_202" w:history="1">
              <w:r>
                <w:rPr>
                  <w:rStyle w:val="a5"/>
                  <w:rFonts w:ascii="Arial" w:eastAsia="宋体" w:hAnsi="Arial" w:cs="Arial"/>
                  <w:color w:val="000000"/>
                  <w:sz w:val="18"/>
                  <w:szCs w:val="18"/>
                  <w:u w:val="none"/>
                </w:rPr>
                <w:t>42</w:t>
              </w:r>
            </w:hyperlink>
          </w:p>
        </w:tc>
      </w:tr>
      <w:tr w:rsidR="006A3667" w14:paraId="71D3D537" w14:textId="77777777">
        <w:tc>
          <w:tcPr>
            <w:tcW w:w="0" w:type="auto"/>
            <w:gridSpan w:val="3"/>
            <w:shd w:val="clear" w:color="auto" w:fill="auto"/>
            <w:tcMar>
              <w:top w:w="0" w:type="dxa"/>
              <w:left w:w="20" w:type="dxa"/>
              <w:bottom w:w="0" w:type="dxa"/>
              <w:right w:w="20" w:type="dxa"/>
            </w:tcMar>
            <w:vAlign w:val="bottom"/>
          </w:tcPr>
          <w:p w14:paraId="71D3D534"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35" w14:textId="77777777" w:rsidR="006A3667" w:rsidRDefault="00045F32">
            <w:pPr>
              <w:textAlignment w:val="center"/>
            </w:pPr>
            <w:r>
              <w:rPr>
                <w:rFonts w:ascii="Arial" w:eastAsia="宋体" w:hAnsi="Arial" w:cs="Arial"/>
                <w:color w:val="000000"/>
                <w:sz w:val="18"/>
                <w:szCs w:val="18"/>
              </w:rPr>
              <w:t>Capital</w:t>
            </w:r>
          </w:p>
        </w:tc>
        <w:tc>
          <w:tcPr>
            <w:tcW w:w="0" w:type="auto"/>
            <w:gridSpan w:val="3"/>
            <w:shd w:val="clear" w:color="auto" w:fill="auto"/>
            <w:tcMar>
              <w:top w:w="40" w:type="dxa"/>
              <w:left w:w="20" w:type="dxa"/>
              <w:bottom w:w="40" w:type="dxa"/>
              <w:right w:w="20" w:type="dxa"/>
            </w:tcMar>
            <w:vAlign w:val="center"/>
          </w:tcPr>
          <w:p w14:paraId="71D3D536" w14:textId="77777777" w:rsidR="006A3667" w:rsidRDefault="00045F32">
            <w:pPr>
              <w:jc w:val="right"/>
              <w:textAlignment w:val="center"/>
            </w:pPr>
            <w:hyperlink r:id="rId30" w:anchor="ia63ac470633f4c4b8c7d6b2ec0d71e23_205" w:history="1">
              <w:r>
                <w:rPr>
                  <w:rStyle w:val="a5"/>
                  <w:rFonts w:ascii="Arial" w:eastAsia="宋体" w:hAnsi="Arial" w:cs="Arial"/>
                  <w:color w:val="000000"/>
                  <w:sz w:val="18"/>
                  <w:szCs w:val="18"/>
                  <w:u w:val="none"/>
                </w:rPr>
                <w:t>43</w:t>
              </w:r>
            </w:hyperlink>
          </w:p>
        </w:tc>
      </w:tr>
      <w:tr w:rsidR="006A3667" w14:paraId="71D3D53B" w14:textId="77777777">
        <w:tc>
          <w:tcPr>
            <w:tcW w:w="0" w:type="auto"/>
            <w:gridSpan w:val="3"/>
            <w:shd w:val="clear" w:color="auto" w:fill="auto"/>
            <w:tcMar>
              <w:top w:w="0" w:type="dxa"/>
              <w:left w:w="20" w:type="dxa"/>
              <w:bottom w:w="0" w:type="dxa"/>
              <w:right w:w="20" w:type="dxa"/>
            </w:tcMar>
            <w:vAlign w:val="bottom"/>
          </w:tcPr>
          <w:p w14:paraId="71D3D538" w14:textId="77777777" w:rsidR="006A3667" w:rsidRDefault="006A3667">
            <w:pPr>
              <w:rPr>
                <w:rFonts w:ascii="宋体"/>
              </w:rPr>
            </w:pPr>
          </w:p>
        </w:tc>
        <w:tc>
          <w:tcPr>
            <w:tcW w:w="0" w:type="auto"/>
            <w:gridSpan w:val="3"/>
            <w:shd w:val="clear" w:color="auto" w:fill="auto"/>
            <w:tcMar>
              <w:top w:w="40" w:type="dxa"/>
              <w:left w:w="380" w:type="dxa"/>
              <w:bottom w:w="40" w:type="dxa"/>
              <w:right w:w="20" w:type="dxa"/>
            </w:tcMar>
            <w:vAlign w:val="center"/>
          </w:tcPr>
          <w:p w14:paraId="71D3D539" w14:textId="77777777" w:rsidR="006A3667" w:rsidRDefault="00045F32">
            <w:pPr>
              <w:textAlignment w:val="center"/>
            </w:pPr>
            <w:r>
              <w:rPr>
                <w:rFonts w:ascii="Arial" w:eastAsia="宋体" w:hAnsi="Arial" w:cs="Arial"/>
                <w:color w:val="000000"/>
                <w:sz w:val="18"/>
                <w:szCs w:val="18"/>
              </w:rPr>
              <w:t>Off-Balance Sheet Arrangements</w:t>
            </w:r>
          </w:p>
        </w:tc>
        <w:tc>
          <w:tcPr>
            <w:tcW w:w="0" w:type="auto"/>
            <w:gridSpan w:val="3"/>
            <w:shd w:val="clear" w:color="auto" w:fill="auto"/>
            <w:tcMar>
              <w:top w:w="40" w:type="dxa"/>
              <w:left w:w="20" w:type="dxa"/>
              <w:bottom w:w="40" w:type="dxa"/>
              <w:right w:w="20" w:type="dxa"/>
            </w:tcMar>
            <w:vAlign w:val="center"/>
          </w:tcPr>
          <w:p w14:paraId="71D3D53A" w14:textId="77777777" w:rsidR="006A3667" w:rsidRDefault="00045F32">
            <w:pPr>
              <w:jc w:val="right"/>
              <w:textAlignment w:val="center"/>
            </w:pPr>
            <w:hyperlink r:id="rId31" w:anchor="ia63ac470633f4c4b8c7d6b2ec0d71e23_226" w:history="1">
              <w:r>
                <w:rPr>
                  <w:rStyle w:val="a5"/>
                  <w:rFonts w:ascii="Arial" w:eastAsia="宋体" w:hAnsi="Arial" w:cs="Arial"/>
                  <w:color w:val="000000"/>
                  <w:sz w:val="18"/>
                  <w:szCs w:val="18"/>
                  <w:u w:val="none"/>
                </w:rPr>
                <w:t>52</w:t>
              </w:r>
            </w:hyperlink>
          </w:p>
        </w:tc>
      </w:tr>
      <w:tr w:rsidR="006A3667" w14:paraId="71D3D53F" w14:textId="77777777">
        <w:trPr>
          <w:hidden/>
        </w:trPr>
        <w:tc>
          <w:tcPr>
            <w:tcW w:w="0" w:type="auto"/>
            <w:gridSpan w:val="3"/>
            <w:shd w:val="clear" w:color="auto" w:fill="auto"/>
            <w:vAlign w:val="bottom"/>
          </w:tcPr>
          <w:p w14:paraId="71D3D53C" w14:textId="77777777" w:rsidR="006A3667" w:rsidRDefault="006A3667">
            <w:pPr>
              <w:rPr>
                <w:rFonts w:ascii="宋体"/>
                <w:vanish/>
              </w:rPr>
            </w:pPr>
          </w:p>
        </w:tc>
        <w:tc>
          <w:tcPr>
            <w:tcW w:w="0" w:type="auto"/>
            <w:gridSpan w:val="3"/>
            <w:shd w:val="clear" w:color="auto" w:fill="auto"/>
            <w:vAlign w:val="bottom"/>
          </w:tcPr>
          <w:p w14:paraId="71D3D53D" w14:textId="77777777" w:rsidR="006A3667" w:rsidRDefault="006A3667">
            <w:pPr>
              <w:rPr>
                <w:rFonts w:ascii="宋体"/>
                <w:vanish/>
              </w:rPr>
            </w:pPr>
          </w:p>
        </w:tc>
        <w:tc>
          <w:tcPr>
            <w:tcW w:w="0" w:type="auto"/>
            <w:gridSpan w:val="3"/>
            <w:shd w:val="clear" w:color="auto" w:fill="auto"/>
            <w:vAlign w:val="bottom"/>
          </w:tcPr>
          <w:p w14:paraId="71D3D53E" w14:textId="77777777" w:rsidR="006A3667" w:rsidRDefault="006A3667">
            <w:pPr>
              <w:rPr>
                <w:rFonts w:ascii="宋体"/>
                <w:vanish/>
              </w:rPr>
            </w:pPr>
          </w:p>
        </w:tc>
      </w:tr>
      <w:tr w:rsidR="006A3667" w14:paraId="71D3D543" w14:textId="77777777">
        <w:tc>
          <w:tcPr>
            <w:tcW w:w="0" w:type="auto"/>
            <w:gridSpan w:val="3"/>
            <w:shd w:val="clear" w:color="auto" w:fill="auto"/>
            <w:tcMar>
              <w:top w:w="0" w:type="dxa"/>
              <w:left w:w="20" w:type="dxa"/>
              <w:bottom w:w="0" w:type="dxa"/>
              <w:right w:w="20" w:type="dxa"/>
            </w:tcMar>
            <w:vAlign w:val="bottom"/>
          </w:tcPr>
          <w:p w14:paraId="71D3D540" w14:textId="77777777" w:rsidR="006A3667" w:rsidRDefault="006A3667">
            <w:pPr>
              <w:rPr>
                <w:rFonts w:ascii="宋体"/>
              </w:rPr>
            </w:pPr>
          </w:p>
        </w:tc>
        <w:tc>
          <w:tcPr>
            <w:tcW w:w="0" w:type="auto"/>
            <w:gridSpan w:val="3"/>
            <w:shd w:val="clear" w:color="auto" w:fill="auto"/>
            <w:tcMar>
              <w:top w:w="40" w:type="dxa"/>
              <w:left w:w="380" w:type="dxa"/>
              <w:bottom w:w="40" w:type="dxa"/>
              <w:right w:w="20" w:type="dxa"/>
            </w:tcMar>
            <w:vAlign w:val="center"/>
          </w:tcPr>
          <w:p w14:paraId="71D3D541" w14:textId="77777777" w:rsidR="006A3667" w:rsidRDefault="00045F32">
            <w:pPr>
              <w:textAlignment w:val="center"/>
            </w:pPr>
            <w:r>
              <w:rPr>
                <w:rFonts w:ascii="Arial" w:eastAsia="宋体" w:hAnsi="Arial" w:cs="Arial"/>
                <w:color w:val="000000"/>
                <w:sz w:val="18"/>
                <w:szCs w:val="18"/>
              </w:rPr>
              <w:t>Recent Accounting Developments</w:t>
            </w:r>
          </w:p>
        </w:tc>
        <w:tc>
          <w:tcPr>
            <w:tcW w:w="0" w:type="auto"/>
            <w:gridSpan w:val="3"/>
            <w:shd w:val="clear" w:color="auto" w:fill="auto"/>
            <w:tcMar>
              <w:top w:w="40" w:type="dxa"/>
              <w:left w:w="20" w:type="dxa"/>
              <w:bottom w:w="40" w:type="dxa"/>
              <w:right w:w="20" w:type="dxa"/>
            </w:tcMar>
            <w:vAlign w:val="center"/>
          </w:tcPr>
          <w:p w14:paraId="71D3D542" w14:textId="77777777" w:rsidR="006A3667" w:rsidRDefault="00045F32">
            <w:pPr>
              <w:jc w:val="right"/>
              <w:textAlignment w:val="center"/>
            </w:pPr>
            <w:hyperlink r:id="rId32" w:anchor="ia63ac470633f4c4b8c7d6b2ec0d71e23_232" w:history="1">
              <w:r>
                <w:rPr>
                  <w:rStyle w:val="a5"/>
                  <w:rFonts w:ascii="Arial" w:eastAsia="宋体" w:hAnsi="Arial" w:cs="Arial"/>
                  <w:color w:val="000000"/>
                  <w:sz w:val="18"/>
                  <w:szCs w:val="18"/>
                  <w:u w:val="none"/>
                </w:rPr>
                <w:t>52</w:t>
              </w:r>
            </w:hyperlink>
          </w:p>
        </w:tc>
      </w:tr>
      <w:tr w:rsidR="006A3667" w14:paraId="71D3D547" w14:textId="77777777">
        <w:tc>
          <w:tcPr>
            <w:tcW w:w="0" w:type="auto"/>
            <w:gridSpan w:val="3"/>
            <w:shd w:val="clear" w:color="auto" w:fill="auto"/>
            <w:tcMar>
              <w:top w:w="0" w:type="dxa"/>
              <w:left w:w="20" w:type="dxa"/>
              <w:bottom w:w="0" w:type="dxa"/>
              <w:right w:w="20" w:type="dxa"/>
            </w:tcMar>
            <w:vAlign w:val="bottom"/>
          </w:tcPr>
          <w:p w14:paraId="71D3D544" w14:textId="77777777" w:rsidR="006A3667" w:rsidRDefault="006A3667">
            <w:pPr>
              <w:rPr>
                <w:rFonts w:ascii="宋体"/>
              </w:rPr>
            </w:pPr>
          </w:p>
        </w:tc>
        <w:tc>
          <w:tcPr>
            <w:tcW w:w="0" w:type="auto"/>
            <w:gridSpan w:val="3"/>
            <w:shd w:val="clear" w:color="auto" w:fill="auto"/>
            <w:tcMar>
              <w:top w:w="40" w:type="dxa"/>
              <w:left w:w="155" w:type="dxa"/>
              <w:bottom w:w="40" w:type="dxa"/>
              <w:right w:w="20" w:type="dxa"/>
            </w:tcMar>
            <w:vAlign w:val="center"/>
          </w:tcPr>
          <w:p w14:paraId="71D3D545" w14:textId="77777777" w:rsidR="006A3667" w:rsidRDefault="00045F32">
            <w:pPr>
              <w:textAlignment w:val="center"/>
            </w:pPr>
            <w:r>
              <w:rPr>
                <w:rFonts w:ascii="Arial" w:eastAsia="宋体" w:hAnsi="Arial" w:cs="Arial"/>
                <w:color w:val="000000"/>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71D3D546" w14:textId="77777777" w:rsidR="006A3667" w:rsidRDefault="00045F32">
            <w:pPr>
              <w:jc w:val="right"/>
              <w:textAlignment w:val="center"/>
            </w:pPr>
            <w:hyperlink r:id="rId33" w:anchor="ia63ac470633f4c4b8c7d6b2ec0d71e23_235" w:history="1">
              <w:r>
                <w:rPr>
                  <w:rStyle w:val="a5"/>
                  <w:rFonts w:ascii="Arial" w:eastAsia="宋体" w:hAnsi="Arial" w:cs="Arial"/>
                  <w:color w:val="000000"/>
                  <w:sz w:val="18"/>
                  <w:szCs w:val="18"/>
                  <w:u w:val="none"/>
                </w:rPr>
                <w:t>53</w:t>
              </w:r>
            </w:hyperlink>
          </w:p>
        </w:tc>
      </w:tr>
      <w:tr w:rsidR="006A3667" w14:paraId="71D3D54B" w14:textId="77777777">
        <w:tc>
          <w:tcPr>
            <w:tcW w:w="0" w:type="auto"/>
            <w:gridSpan w:val="3"/>
            <w:shd w:val="clear" w:color="auto" w:fill="auto"/>
            <w:tcMar>
              <w:top w:w="0" w:type="dxa"/>
              <w:left w:w="20" w:type="dxa"/>
              <w:bottom w:w="0" w:type="dxa"/>
              <w:right w:w="20" w:type="dxa"/>
            </w:tcMar>
            <w:vAlign w:val="bottom"/>
          </w:tcPr>
          <w:p w14:paraId="71D3D548" w14:textId="77777777" w:rsidR="006A3667" w:rsidRDefault="006A3667">
            <w:pPr>
              <w:rPr>
                <w:rFonts w:ascii="宋体"/>
              </w:rPr>
            </w:pPr>
          </w:p>
        </w:tc>
        <w:tc>
          <w:tcPr>
            <w:tcW w:w="0" w:type="auto"/>
            <w:gridSpan w:val="3"/>
            <w:shd w:val="clear" w:color="auto" w:fill="auto"/>
            <w:tcMar>
              <w:top w:w="40" w:type="dxa"/>
              <w:left w:w="155" w:type="dxa"/>
              <w:bottom w:w="40" w:type="dxa"/>
              <w:right w:w="20" w:type="dxa"/>
            </w:tcMar>
            <w:vAlign w:val="center"/>
          </w:tcPr>
          <w:p w14:paraId="71D3D549" w14:textId="77777777" w:rsidR="006A3667" w:rsidRDefault="00045F32">
            <w:pPr>
              <w:textAlignment w:val="center"/>
            </w:pPr>
            <w:r>
              <w:rPr>
                <w:rFonts w:ascii="Arial" w:eastAsia="宋体" w:hAnsi="Arial" w:cs="Arial"/>
                <w:color w:val="000000"/>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71D3D54A" w14:textId="77777777" w:rsidR="006A3667" w:rsidRDefault="00045F32">
            <w:pPr>
              <w:jc w:val="right"/>
              <w:textAlignment w:val="center"/>
            </w:pPr>
            <w:hyperlink r:id="rId34" w:anchor="ia63ac470633f4c4b8c7d6b2ec0d71e23_238" w:history="1">
              <w:r>
                <w:rPr>
                  <w:rStyle w:val="a5"/>
                  <w:rFonts w:ascii="Arial" w:eastAsia="宋体" w:hAnsi="Arial" w:cs="Arial"/>
                  <w:color w:val="000000"/>
                  <w:sz w:val="18"/>
                  <w:szCs w:val="18"/>
                  <w:u w:val="none"/>
                </w:rPr>
                <w:t>53</w:t>
              </w:r>
            </w:hyperlink>
          </w:p>
        </w:tc>
      </w:tr>
      <w:tr w:rsidR="006A3667" w14:paraId="71D3D54F" w14:textId="77777777">
        <w:tc>
          <w:tcPr>
            <w:tcW w:w="0" w:type="auto"/>
            <w:gridSpan w:val="3"/>
            <w:shd w:val="clear" w:color="auto" w:fill="auto"/>
            <w:tcMar>
              <w:top w:w="0" w:type="dxa"/>
              <w:left w:w="20" w:type="dxa"/>
              <w:bottom w:w="0" w:type="dxa"/>
              <w:right w:w="20" w:type="dxa"/>
            </w:tcMar>
            <w:vAlign w:val="bottom"/>
          </w:tcPr>
          <w:p w14:paraId="71D3D54C" w14:textId="77777777" w:rsidR="006A3667" w:rsidRDefault="006A3667">
            <w:pPr>
              <w:rPr>
                <w:rFonts w:ascii="宋体"/>
              </w:rPr>
            </w:pPr>
          </w:p>
        </w:tc>
        <w:tc>
          <w:tcPr>
            <w:tcW w:w="0" w:type="auto"/>
            <w:gridSpan w:val="3"/>
            <w:shd w:val="clear" w:color="auto" w:fill="auto"/>
            <w:tcMar>
              <w:top w:w="40" w:type="dxa"/>
              <w:left w:w="155" w:type="dxa"/>
              <w:bottom w:w="40" w:type="dxa"/>
              <w:right w:w="20" w:type="dxa"/>
            </w:tcMar>
            <w:vAlign w:val="center"/>
          </w:tcPr>
          <w:p w14:paraId="71D3D54D" w14:textId="77777777" w:rsidR="006A3667" w:rsidRDefault="00045F32">
            <w:pPr>
              <w:textAlignment w:val="center"/>
            </w:pPr>
            <w:r>
              <w:rPr>
                <w:rFonts w:ascii="Arial" w:eastAsia="宋体" w:hAnsi="Arial" w:cs="Arial"/>
                <w:b/>
                <w:bCs/>
                <w:color w:val="000000"/>
                <w:sz w:val="18"/>
                <w:szCs w:val="18"/>
              </w:rPr>
              <w:t>Consolidated Financial Statements</w:t>
            </w:r>
          </w:p>
        </w:tc>
        <w:tc>
          <w:tcPr>
            <w:tcW w:w="0" w:type="auto"/>
            <w:gridSpan w:val="3"/>
            <w:shd w:val="clear" w:color="auto" w:fill="auto"/>
            <w:tcMar>
              <w:top w:w="40" w:type="dxa"/>
              <w:left w:w="20" w:type="dxa"/>
              <w:bottom w:w="40" w:type="dxa"/>
              <w:right w:w="20" w:type="dxa"/>
            </w:tcMar>
            <w:vAlign w:val="center"/>
          </w:tcPr>
          <w:p w14:paraId="71D3D54E" w14:textId="77777777" w:rsidR="006A3667" w:rsidRDefault="00045F32">
            <w:pPr>
              <w:jc w:val="right"/>
              <w:textAlignment w:val="center"/>
            </w:pPr>
            <w:hyperlink r:id="rId35" w:anchor="ia63ac470633f4c4b8c7d6b2ec0d71e23_244" w:history="1">
              <w:r>
                <w:rPr>
                  <w:rStyle w:val="a5"/>
                  <w:rFonts w:ascii="Arial" w:eastAsia="宋体" w:hAnsi="Arial" w:cs="Arial"/>
                  <w:color w:val="000000"/>
                  <w:sz w:val="18"/>
                  <w:szCs w:val="18"/>
                  <w:u w:val="none"/>
                </w:rPr>
                <w:t>54</w:t>
              </w:r>
            </w:hyperlink>
          </w:p>
        </w:tc>
      </w:tr>
      <w:tr w:rsidR="006A3667" w14:paraId="71D3D553" w14:textId="77777777">
        <w:tc>
          <w:tcPr>
            <w:tcW w:w="0" w:type="auto"/>
            <w:gridSpan w:val="3"/>
            <w:shd w:val="clear" w:color="auto" w:fill="auto"/>
            <w:tcMar>
              <w:top w:w="0" w:type="dxa"/>
              <w:left w:w="20" w:type="dxa"/>
              <w:bottom w:w="0" w:type="dxa"/>
              <w:right w:w="20" w:type="dxa"/>
            </w:tcMar>
            <w:vAlign w:val="bottom"/>
          </w:tcPr>
          <w:p w14:paraId="71D3D550"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51" w14:textId="77777777" w:rsidR="006A3667" w:rsidRDefault="00045F32">
            <w:pPr>
              <w:textAlignment w:val="center"/>
            </w:pPr>
            <w:r>
              <w:rPr>
                <w:rFonts w:ascii="Arial" w:eastAsia="宋体" w:hAnsi="Arial" w:cs="Arial"/>
                <w:color w:val="000000"/>
                <w:sz w:val="18"/>
                <w:szCs w:val="18"/>
              </w:rPr>
              <w:t>Consolidated Statement of Income (unaudited)</w:t>
            </w:r>
          </w:p>
        </w:tc>
        <w:tc>
          <w:tcPr>
            <w:tcW w:w="0" w:type="auto"/>
            <w:gridSpan w:val="3"/>
            <w:shd w:val="clear" w:color="auto" w:fill="auto"/>
            <w:tcMar>
              <w:top w:w="40" w:type="dxa"/>
              <w:left w:w="20" w:type="dxa"/>
              <w:bottom w:w="40" w:type="dxa"/>
              <w:right w:w="20" w:type="dxa"/>
            </w:tcMar>
            <w:vAlign w:val="center"/>
          </w:tcPr>
          <w:p w14:paraId="71D3D552" w14:textId="77777777" w:rsidR="006A3667" w:rsidRDefault="00045F32">
            <w:pPr>
              <w:jc w:val="right"/>
              <w:textAlignment w:val="center"/>
            </w:pPr>
            <w:hyperlink r:id="rId36" w:anchor="ia63ac470633f4c4b8c7d6b2ec0d71e23_244" w:history="1">
              <w:r>
                <w:rPr>
                  <w:rStyle w:val="a5"/>
                  <w:rFonts w:ascii="Arial" w:eastAsia="宋体" w:hAnsi="Arial" w:cs="Arial"/>
                  <w:color w:val="000000"/>
                  <w:sz w:val="18"/>
                  <w:szCs w:val="18"/>
                  <w:u w:val="none"/>
                </w:rPr>
                <w:t>54</w:t>
              </w:r>
            </w:hyperlink>
          </w:p>
        </w:tc>
      </w:tr>
      <w:tr w:rsidR="006A3667" w14:paraId="71D3D557" w14:textId="77777777">
        <w:tc>
          <w:tcPr>
            <w:tcW w:w="0" w:type="auto"/>
            <w:gridSpan w:val="3"/>
            <w:shd w:val="clear" w:color="auto" w:fill="auto"/>
            <w:tcMar>
              <w:top w:w="0" w:type="dxa"/>
              <w:left w:w="20" w:type="dxa"/>
              <w:bottom w:w="0" w:type="dxa"/>
              <w:right w:w="20" w:type="dxa"/>
            </w:tcMar>
            <w:vAlign w:val="bottom"/>
          </w:tcPr>
          <w:p w14:paraId="71D3D554"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55" w14:textId="77777777" w:rsidR="006A3667" w:rsidRDefault="00045F32">
            <w:pPr>
              <w:textAlignment w:val="center"/>
            </w:pPr>
            <w:r>
              <w:rPr>
                <w:rFonts w:ascii="Arial" w:eastAsia="宋体" w:hAnsi="Arial" w:cs="Arial"/>
                <w:color w:val="000000"/>
                <w:sz w:val="18"/>
                <w:szCs w:val="18"/>
              </w:rPr>
              <w:t>Consolidated Statement of Comprehensive Income (loss) (unaudited)</w:t>
            </w:r>
          </w:p>
        </w:tc>
        <w:tc>
          <w:tcPr>
            <w:tcW w:w="0" w:type="auto"/>
            <w:gridSpan w:val="3"/>
            <w:shd w:val="clear" w:color="auto" w:fill="auto"/>
            <w:tcMar>
              <w:top w:w="40" w:type="dxa"/>
              <w:left w:w="20" w:type="dxa"/>
              <w:bottom w:w="40" w:type="dxa"/>
              <w:right w:w="20" w:type="dxa"/>
            </w:tcMar>
            <w:vAlign w:val="center"/>
          </w:tcPr>
          <w:p w14:paraId="71D3D556" w14:textId="77777777" w:rsidR="006A3667" w:rsidRDefault="00045F32">
            <w:pPr>
              <w:jc w:val="right"/>
              <w:textAlignment w:val="center"/>
            </w:pPr>
            <w:hyperlink r:id="rId37" w:anchor="ia63ac470633f4c4b8c7d6b2ec0d71e23_247" w:history="1">
              <w:r>
                <w:rPr>
                  <w:rStyle w:val="a5"/>
                  <w:rFonts w:ascii="Arial" w:eastAsia="宋体" w:hAnsi="Arial" w:cs="Arial"/>
                  <w:color w:val="000000"/>
                  <w:sz w:val="18"/>
                  <w:szCs w:val="18"/>
                  <w:u w:val="none"/>
                </w:rPr>
                <w:t>55</w:t>
              </w:r>
            </w:hyperlink>
          </w:p>
        </w:tc>
      </w:tr>
      <w:tr w:rsidR="006A3667" w14:paraId="71D3D55B" w14:textId="77777777">
        <w:tc>
          <w:tcPr>
            <w:tcW w:w="0" w:type="auto"/>
            <w:gridSpan w:val="3"/>
            <w:shd w:val="clear" w:color="auto" w:fill="auto"/>
            <w:tcMar>
              <w:top w:w="0" w:type="dxa"/>
              <w:left w:w="20" w:type="dxa"/>
              <w:bottom w:w="0" w:type="dxa"/>
              <w:right w:w="20" w:type="dxa"/>
            </w:tcMar>
            <w:vAlign w:val="bottom"/>
          </w:tcPr>
          <w:p w14:paraId="71D3D558"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59" w14:textId="77777777" w:rsidR="006A3667" w:rsidRDefault="00045F32">
            <w:pPr>
              <w:textAlignment w:val="center"/>
            </w:pPr>
            <w:r>
              <w:rPr>
                <w:rFonts w:ascii="Arial" w:eastAsia="宋体" w:hAnsi="Arial" w:cs="Arial"/>
                <w:color w:val="000000"/>
                <w:sz w:val="18"/>
                <w:szCs w:val="18"/>
              </w:rPr>
              <w:t>Consolidated Statement of Condition</w:t>
            </w:r>
          </w:p>
        </w:tc>
        <w:tc>
          <w:tcPr>
            <w:tcW w:w="0" w:type="auto"/>
            <w:gridSpan w:val="3"/>
            <w:shd w:val="clear" w:color="auto" w:fill="auto"/>
            <w:tcMar>
              <w:top w:w="40" w:type="dxa"/>
              <w:left w:w="20" w:type="dxa"/>
              <w:bottom w:w="40" w:type="dxa"/>
              <w:right w:w="20" w:type="dxa"/>
            </w:tcMar>
            <w:vAlign w:val="center"/>
          </w:tcPr>
          <w:p w14:paraId="71D3D55A" w14:textId="77777777" w:rsidR="006A3667" w:rsidRDefault="00045F32">
            <w:pPr>
              <w:jc w:val="right"/>
              <w:textAlignment w:val="center"/>
            </w:pPr>
            <w:hyperlink r:id="rId38" w:anchor="ia63ac470633f4c4b8c7d6b2ec0d71e23_250" w:history="1">
              <w:r>
                <w:rPr>
                  <w:rStyle w:val="a5"/>
                  <w:rFonts w:ascii="Arial" w:eastAsia="宋体" w:hAnsi="Arial" w:cs="Arial"/>
                  <w:color w:val="000000"/>
                  <w:sz w:val="18"/>
                  <w:szCs w:val="18"/>
                  <w:u w:val="none"/>
                </w:rPr>
                <w:t>56</w:t>
              </w:r>
            </w:hyperlink>
          </w:p>
        </w:tc>
      </w:tr>
      <w:tr w:rsidR="006A3667" w14:paraId="71D3D55F" w14:textId="77777777">
        <w:tc>
          <w:tcPr>
            <w:tcW w:w="0" w:type="auto"/>
            <w:gridSpan w:val="3"/>
            <w:shd w:val="clear" w:color="auto" w:fill="auto"/>
            <w:tcMar>
              <w:top w:w="0" w:type="dxa"/>
              <w:left w:w="20" w:type="dxa"/>
              <w:bottom w:w="0" w:type="dxa"/>
              <w:right w:w="20" w:type="dxa"/>
            </w:tcMar>
            <w:vAlign w:val="bottom"/>
          </w:tcPr>
          <w:p w14:paraId="71D3D55C"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5D" w14:textId="77777777" w:rsidR="006A3667" w:rsidRDefault="00045F32">
            <w:pPr>
              <w:textAlignment w:val="center"/>
            </w:pPr>
            <w:r>
              <w:rPr>
                <w:rFonts w:ascii="Arial" w:eastAsia="宋体" w:hAnsi="Arial" w:cs="Arial"/>
                <w:color w:val="000000"/>
                <w:sz w:val="18"/>
                <w:szCs w:val="18"/>
              </w:rPr>
              <w:t>Consolidated Statement of Changes in Shareholders' Equity (unaudited)</w:t>
            </w:r>
          </w:p>
        </w:tc>
        <w:tc>
          <w:tcPr>
            <w:tcW w:w="0" w:type="auto"/>
            <w:gridSpan w:val="3"/>
            <w:shd w:val="clear" w:color="auto" w:fill="auto"/>
            <w:tcMar>
              <w:top w:w="40" w:type="dxa"/>
              <w:left w:w="20" w:type="dxa"/>
              <w:bottom w:w="40" w:type="dxa"/>
              <w:right w:w="20" w:type="dxa"/>
            </w:tcMar>
            <w:vAlign w:val="center"/>
          </w:tcPr>
          <w:p w14:paraId="71D3D55E" w14:textId="77777777" w:rsidR="006A3667" w:rsidRDefault="00045F32">
            <w:pPr>
              <w:jc w:val="right"/>
              <w:textAlignment w:val="center"/>
            </w:pPr>
            <w:hyperlink r:id="rId39" w:anchor="ia63ac470633f4c4b8c7d6b2ec0d71e23_253" w:history="1">
              <w:r>
                <w:rPr>
                  <w:rStyle w:val="a5"/>
                  <w:rFonts w:ascii="Arial" w:eastAsia="宋体" w:hAnsi="Arial" w:cs="Arial"/>
                  <w:color w:val="000000"/>
                  <w:sz w:val="18"/>
                  <w:szCs w:val="18"/>
                  <w:u w:val="none"/>
                </w:rPr>
                <w:t>57</w:t>
              </w:r>
            </w:hyperlink>
          </w:p>
        </w:tc>
      </w:tr>
      <w:tr w:rsidR="006A3667" w14:paraId="71D3D563" w14:textId="77777777">
        <w:tc>
          <w:tcPr>
            <w:tcW w:w="0" w:type="auto"/>
            <w:gridSpan w:val="3"/>
            <w:shd w:val="clear" w:color="auto" w:fill="auto"/>
            <w:tcMar>
              <w:top w:w="0" w:type="dxa"/>
              <w:left w:w="20" w:type="dxa"/>
              <w:bottom w:w="0" w:type="dxa"/>
              <w:right w:w="20" w:type="dxa"/>
            </w:tcMar>
            <w:vAlign w:val="bottom"/>
          </w:tcPr>
          <w:p w14:paraId="71D3D560"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61" w14:textId="77777777" w:rsidR="006A3667" w:rsidRDefault="00045F32">
            <w:pPr>
              <w:textAlignment w:val="center"/>
            </w:pPr>
            <w:r>
              <w:rPr>
                <w:rFonts w:ascii="Arial" w:eastAsia="宋体" w:hAnsi="Arial" w:cs="Arial"/>
                <w:color w:val="000000"/>
                <w:sz w:val="18"/>
                <w:szCs w:val="18"/>
              </w:rPr>
              <w:t>Consolidated Statement of Cash Flows (unaudited)</w:t>
            </w:r>
          </w:p>
        </w:tc>
        <w:tc>
          <w:tcPr>
            <w:tcW w:w="0" w:type="auto"/>
            <w:gridSpan w:val="3"/>
            <w:shd w:val="clear" w:color="auto" w:fill="auto"/>
            <w:tcMar>
              <w:top w:w="40" w:type="dxa"/>
              <w:left w:w="20" w:type="dxa"/>
              <w:bottom w:w="40" w:type="dxa"/>
              <w:right w:w="20" w:type="dxa"/>
            </w:tcMar>
            <w:vAlign w:val="center"/>
          </w:tcPr>
          <w:p w14:paraId="71D3D562" w14:textId="77777777" w:rsidR="006A3667" w:rsidRDefault="00045F32">
            <w:pPr>
              <w:jc w:val="right"/>
              <w:textAlignment w:val="center"/>
            </w:pPr>
            <w:hyperlink r:id="rId40" w:anchor="ia63ac470633f4c4b8c7d6b2ec0d71e23_256" w:history="1">
              <w:r>
                <w:rPr>
                  <w:rStyle w:val="a5"/>
                  <w:rFonts w:ascii="Arial" w:eastAsia="宋体" w:hAnsi="Arial" w:cs="Arial"/>
                  <w:color w:val="000000"/>
                  <w:sz w:val="18"/>
                  <w:szCs w:val="18"/>
                  <w:u w:val="none"/>
                </w:rPr>
                <w:t>58</w:t>
              </w:r>
            </w:hyperlink>
          </w:p>
        </w:tc>
      </w:tr>
      <w:tr w:rsidR="006A3667" w14:paraId="71D3D567" w14:textId="77777777">
        <w:tc>
          <w:tcPr>
            <w:tcW w:w="0" w:type="auto"/>
            <w:gridSpan w:val="3"/>
            <w:shd w:val="clear" w:color="auto" w:fill="auto"/>
            <w:tcMar>
              <w:top w:w="0" w:type="dxa"/>
              <w:left w:w="20" w:type="dxa"/>
              <w:bottom w:w="0" w:type="dxa"/>
              <w:right w:w="20" w:type="dxa"/>
            </w:tcMar>
            <w:vAlign w:val="bottom"/>
          </w:tcPr>
          <w:p w14:paraId="71D3D564"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65" w14:textId="77777777" w:rsidR="006A3667" w:rsidRDefault="00045F32">
            <w:pPr>
              <w:textAlignment w:val="center"/>
            </w:pPr>
            <w:r>
              <w:rPr>
                <w:rFonts w:ascii="Arial" w:eastAsia="宋体" w:hAnsi="Arial" w:cs="Arial"/>
                <w:color w:val="000000"/>
                <w:sz w:val="18"/>
                <w:szCs w:val="18"/>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71D3D566" w14:textId="77777777" w:rsidR="006A3667" w:rsidRDefault="00045F32">
            <w:pPr>
              <w:jc w:val="right"/>
              <w:textAlignment w:val="center"/>
            </w:pPr>
            <w:hyperlink r:id="rId41" w:anchor="ia63ac470633f4c4b8c7d6b2ec0d71e23_259" w:history="1">
              <w:r>
                <w:rPr>
                  <w:rStyle w:val="a5"/>
                  <w:rFonts w:ascii="Arial" w:eastAsia="宋体" w:hAnsi="Arial" w:cs="Arial"/>
                  <w:color w:val="000000"/>
                  <w:sz w:val="18"/>
                  <w:szCs w:val="18"/>
                  <w:u w:val="none"/>
                </w:rPr>
                <w:t>59</w:t>
              </w:r>
            </w:hyperlink>
          </w:p>
        </w:tc>
      </w:tr>
      <w:tr w:rsidR="006A3667" w14:paraId="71D3D56B" w14:textId="77777777">
        <w:tc>
          <w:tcPr>
            <w:tcW w:w="0" w:type="auto"/>
            <w:gridSpan w:val="3"/>
            <w:shd w:val="clear" w:color="auto" w:fill="auto"/>
            <w:tcMar>
              <w:top w:w="0" w:type="dxa"/>
              <w:left w:w="20" w:type="dxa"/>
              <w:bottom w:w="0" w:type="dxa"/>
              <w:right w:w="20" w:type="dxa"/>
            </w:tcMar>
            <w:vAlign w:val="bottom"/>
          </w:tcPr>
          <w:p w14:paraId="71D3D568"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69" w14:textId="77777777" w:rsidR="006A3667" w:rsidRDefault="00045F32">
            <w:pPr>
              <w:textAlignment w:val="center"/>
            </w:pPr>
            <w:r>
              <w:rPr>
                <w:rFonts w:ascii="Arial" w:eastAsia="宋体" w:hAnsi="Arial" w:cs="Arial"/>
                <w:color w:val="000000"/>
                <w:sz w:val="18"/>
                <w:szCs w:val="18"/>
              </w:rPr>
              <w:t>Note 2. Fair Value</w:t>
            </w:r>
          </w:p>
        </w:tc>
        <w:tc>
          <w:tcPr>
            <w:tcW w:w="0" w:type="auto"/>
            <w:gridSpan w:val="3"/>
            <w:shd w:val="clear" w:color="auto" w:fill="auto"/>
            <w:tcMar>
              <w:top w:w="40" w:type="dxa"/>
              <w:left w:w="20" w:type="dxa"/>
              <w:bottom w:w="40" w:type="dxa"/>
              <w:right w:w="20" w:type="dxa"/>
            </w:tcMar>
            <w:vAlign w:val="center"/>
          </w:tcPr>
          <w:p w14:paraId="71D3D56A" w14:textId="77777777" w:rsidR="006A3667" w:rsidRDefault="00045F32">
            <w:pPr>
              <w:jc w:val="right"/>
              <w:textAlignment w:val="center"/>
            </w:pPr>
            <w:hyperlink r:id="rId42" w:anchor="ia63ac470633f4c4b8c7d6b2ec0d71e23_262" w:history="1">
              <w:r>
                <w:rPr>
                  <w:rStyle w:val="a5"/>
                  <w:rFonts w:ascii="Arial" w:eastAsia="宋体" w:hAnsi="Arial" w:cs="Arial"/>
                  <w:color w:val="000000"/>
                  <w:sz w:val="18"/>
                  <w:szCs w:val="18"/>
                  <w:u w:val="none"/>
                </w:rPr>
                <w:t>60</w:t>
              </w:r>
            </w:hyperlink>
          </w:p>
        </w:tc>
      </w:tr>
      <w:tr w:rsidR="006A3667" w14:paraId="71D3D56F" w14:textId="77777777">
        <w:tc>
          <w:tcPr>
            <w:tcW w:w="0" w:type="auto"/>
            <w:gridSpan w:val="3"/>
            <w:shd w:val="clear" w:color="auto" w:fill="auto"/>
            <w:tcMar>
              <w:top w:w="0" w:type="dxa"/>
              <w:left w:w="20" w:type="dxa"/>
              <w:bottom w:w="0" w:type="dxa"/>
              <w:right w:w="20" w:type="dxa"/>
            </w:tcMar>
            <w:vAlign w:val="bottom"/>
          </w:tcPr>
          <w:p w14:paraId="71D3D56C"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6D" w14:textId="77777777" w:rsidR="006A3667" w:rsidRDefault="00045F32">
            <w:pPr>
              <w:textAlignment w:val="center"/>
            </w:pPr>
            <w:r>
              <w:rPr>
                <w:rFonts w:ascii="Arial" w:eastAsia="宋体" w:hAnsi="Arial" w:cs="Arial"/>
                <w:color w:val="000000"/>
                <w:sz w:val="18"/>
                <w:szCs w:val="18"/>
              </w:rPr>
              <w:t>Note 3. Investment Securities</w:t>
            </w:r>
          </w:p>
        </w:tc>
        <w:tc>
          <w:tcPr>
            <w:tcW w:w="0" w:type="auto"/>
            <w:gridSpan w:val="3"/>
            <w:shd w:val="clear" w:color="auto" w:fill="auto"/>
            <w:tcMar>
              <w:top w:w="40" w:type="dxa"/>
              <w:left w:w="20" w:type="dxa"/>
              <w:bottom w:w="40" w:type="dxa"/>
              <w:right w:w="20" w:type="dxa"/>
            </w:tcMar>
            <w:vAlign w:val="center"/>
          </w:tcPr>
          <w:p w14:paraId="71D3D56E" w14:textId="77777777" w:rsidR="006A3667" w:rsidRDefault="00045F32">
            <w:pPr>
              <w:jc w:val="right"/>
              <w:textAlignment w:val="center"/>
            </w:pPr>
            <w:hyperlink r:id="rId43" w:anchor="ia63ac470633f4c4b8c7d6b2ec0d71e23_265" w:history="1">
              <w:r>
                <w:rPr>
                  <w:rStyle w:val="a5"/>
                  <w:rFonts w:ascii="Arial" w:eastAsia="宋体" w:hAnsi="Arial" w:cs="Arial"/>
                  <w:color w:val="000000"/>
                  <w:sz w:val="18"/>
                  <w:szCs w:val="18"/>
                  <w:u w:val="none"/>
                </w:rPr>
                <w:t>66</w:t>
              </w:r>
            </w:hyperlink>
          </w:p>
        </w:tc>
      </w:tr>
      <w:tr w:rsidR="006A3667" w14:paraId="71D3D573" w14:textId="77777777">
        <w:tc>
          <w:tcPr>
            <w:tcW w:w="0" w:type="auto"/>
            <w:gridSpan w:val="3"/>
            <w:shd w:val="clear" w:color="auto" w:fill="auto"/>
            <w:tcMar>
              <w:top w:w="0" w:type="dxa"/>
              <w:left w:w="20" w:type="dxa"/>
              <w:bottom w:w="0" w:type="dxa"/>
              <w:right w:w="20" w:type="dxa"/>
            </w:tcMar>
            <w:vAlign w:val="bottom"/>
          </w:tcPr>
          <w:p w14:paraId="71D3D570"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71" w14:textId="77777777" w:rsidR="006A3667" w:rsidRDefault="00045F32">
            <w:pPr>
              <w:textAlignment w:val="center"/>
            </w:pPr>
            <w:r>
              <w:rPr>
                <w:rFonts w:ascii="Arial" w:eastAsia="宋体" w:hAnsi="Arial" w:cs="Arial"/>
                <w:color w:val="000000"/>
                <w:sz w:val="18"/>
                <w:szCs w:val="18"/>
              </w:rPr>
              <w:t>Note 4. Loans and Allowance for Credit Losses</w:t>
            </w:r>
          </w:p>
        </w:tc>
        <w:tc>
          <w:tcPr>
            <w:tcW w:w="0" w:type="auto"/>
            <w:gridSpan w:val="3"/>
            <w:shd w:val="clear" w:color="auto" w:fill="auto"/>
            <w:tcMar>
              <w:top w:w="40" w:type="dxa"/>
              <w:left w:w="20" w:type="dxa"/>
              <w:bottom w:w="40" w:type="dxa"/>
              <w:right w:w="20" w:type="dxa"/>
            </w:tcMar>
            <w:vAlign w:val="center"/>
          </w:tcPr>
          <w:p w14:paraId="71D3D572" w14:textId="77777777" w:rsidR="006A3667" w:rsidRDefault="00045F32">
            <w:pPr>
              <w:jc w:val="right"/>
              <w:textAlignment w:val="center"/>
            </w:pPr>
            <w:hyperlink r:id="rId44" w:anchor="ia63ac470633f4c4b8c7d6b2ec0d71e23_274" w:history="1">
              <w:r>
                <w:rPr>
                  <w:rStyle w:val="a5"/>
                  <w:rFonts w:ascii="Arial" w:eastAsia="宋体" w:hAnsi="Arial" w:cs="Arial"/>
                  <w:color w:val="000000"/>
                  <w:sz w:val="18"/>
                  <w:szCs w:val="18"/>
                  <w:u w:val="none"/>
                </w:rPr>
                <w:t>70</w:t>
              </w:r>
            </w:hyperlink>
          </w:p>
        </w:tc>
      </w:tr>
      <w:tr w:rsidR="006A3667" w14:paraId="71D3D577" w14:textId="77777777">
        <w:tc>
          <w:tcPr>
            <w:tcW w:w="0" w:type="auto"/>
            <w:gridSpan w:val="3"/>
            <w:shd w:val="clear" w:color="auto" w:fill="auto"/>
            <w:tcMar>
              <w:top w:w="0" w:type="dxa"/>
              <w:left w:w="20" w:type="dxa"/>
              <w:bottom w:w="0" w:type="dxa"/>
              <w:right w:w="20" w:type="dxa"/>
            </w:tcMar>
            <w:vAlign w:val="bottom"/>
          </w:tcPr>
          <w:p w14:paraId="71D3D574"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75" w14:textId="77777777" w:rsidR="006A3667" w:rsidRDefault="00045F32">
            <w:pPr>
              <w:textAlignment w:val="center"/>
            </w:pPr>
            <w:r>
              <w:rPr>
                <w:rFonts w:ascii="Arial" w:eastAsia="宋体" w:hAnsi="Arial" w:cs="Arial"/>
                <w:color w:val="000000"/>
                <w:sz w:val="18"/>
                <w:szCs w:val="18"/>
              </w:rPr>
              <w:t>Note 5. Goodwill and Other Intangible Assets</w:t>
            </w:r>
          </w:p>
        </w:tc>
        <w:tc>
          <w:tcPr>
            <w:tcW w:w="0" w:type="auto"/>
            <w:gridSpan w:val="3"/>
            <w:shd w:val="clear" w:color="auto" w:fill="auto"/>
            <w:tcMar>
              <w:top w:w="40" w:type="dxa"/>
              <w:left w:w="20" w:type="dxa"/>
              <w:bottom w:w="40" w:type="dxa"/>
              <w:right w:w="20" w:type="dxa"/>
            </w:tcMar>
            <w:vAlign w:val="center"/>
          </w:tcPr>
          <w:p w14:paraId="71D3D576" w14:textId="77777777" w:rsidR="006A3667" w:rsidRDefault="00045F32">
            <w:pPr>
              <w:jc w:val="right"/>
              <w:textAlignment w:val="center"/>
            </w:pPr>
            <w:hyperlink r:id="rId45" w:anchor="ia63ac470633f4c4b8c7d6b2ec0d71e23_277" w:history="1">
              <w:r>
                <w:rPr>
                  <w:rStyle w:val="a5"/>
                  <w:rFonts w:ascii="Arial" w:eastAsia="宋体" w:hAnsi="Arial" w:cs="Arial"/>
                  <w:color w:val="000000"/>
                  <w:sz w:val="18"/>
                  <w:szCs w:val="18"/>
                  <w:u w:val="none"/>
                </w:rPr>
                <w:t>75</w:t>
              </w:r>
            </w:hyperlink>
          </w:p>
        </w:tc>
      </w:tr>
    </w:tbl>
    <w:p w14:paraId="71D3D578" w14:textId="77777777" w:rsidR="006A3667" w:rsidRDefault="00045F32">
      <w:pPr>
        <w:ind w:firstLine="450"/>
        <w:jc w:val="right"/>
      </w:pPr>
      <w:r>
        <w:rPr>
          <w:rFonts w:ascii="Arial" w:eastAsia="宋体" w:hAnsi="Arial" w:cs="Arial"/>
          <w:color w:val="000000"/>
          <w:sz w:val="18"/>
          <w:szCs w:val="18"/>
        </w:rPr>
        <w:t>State Street Corporation | 2</w:t>
      </w:r>
    </w:p>
    <w:p w14:paraId="71D3D579" w14:textId="77777777" w:rsidR="006A3667" w:rsidRDefault="006A3667">
      <w:pPr>
        <w:ind w:firstLine="450"/>
        <w:jc w:val="center"/>
      </w:pPr>
    </w:p>
    <w:p w14:paraId="71D3D57A" w14:textId="77777777" w:rsidR="006A3667" w:rsidRDefault="00045F32">
      <w:r>
        <w:pict w14:anchorId="71D4AC16">
          <v:rect id="_x0000_i1026" style="width:415.3pt;height:1.5pt" o:hralign="center" o:hrstd="t" o:hr="t" fillcolor="#a0a0a0" stroked="f"/>
        </w:pict>
      </w:r>
    </w:p>
    <w:p w14:paraId="71D3D57B" w14:textId="77777777" w:rsidR="006A3667" w:rsidRDefault="006A3667">
      <w:pPr>
        <w:ind w:firstLine="450"/>
        <w:jc w:val="center"/>
      </w:pPr>
    </w:p>
    <w:tbl>
      <w:tblPr>
        <w:tblW w:w="4912" w:type="pct"/>
        <w:tblCellMar>
          <w:top w:w="15" w:type="dxa"/>
          <w:left w:w="15" w:type="dxa"/>
          <w:bottom w:w="15" w:type="dxa"/>
          <w:right w:w="15" w:type="dxa"/>
        </w:tblCellMar>
        <w:tblLook w:val="04A0" w:firstRow="1" w:lastRow="0" w:firstColumn="1" w:lastColumn="0" w:noHBand="0" w:noVBand="1"/>
      </w:tblPr>
      <w:tblGrid>
        <w:gridCol w:w="68"/>
        <w:gridCol w:w="1309"/>
        <w:gridCol w:w="36"/>
        <w:gridCol w:w="68"/>
        <w:gridCol w:w="5941"/>
        <w:gridCol w:w="37"/>
        <w:gridCol w:w="68"/>
        <w:gridCol w:w="626"/>
        <w:gridCol w:w="36"/>
      </w:tblGrid>
      <w:tr w:rsidR="006A3667" w14:paraId="71D3D585" w14:textId="77777777">
        <w:tc>
          <w:tcPr>
            <w:tcW w:w="50" w:type="pct"/>
            <w:shd w:val="clear" w:color="auto" w:fill="auto"/>
            <w:vAlign w:val="bottom"/>
          </w:tcPr>
          <w:p w14:paraId="71D3D57C" w14:textId="77777777" w:rsidR="006A3667" w:rsidRDefault="006A3667">
            <w:pPr>
              <w:rPr>
                <w:rFonts w:ascii="宋体"/>
              </w:rPr>
            </w:pPr>
          </w:p>
        </w:tc>
        <w:tc>
          <w:tcPr>
            <w:tcW w:w="808" w:type="pct"/>
            <w:shd w:val="clear" w:color="auto" w:fill="auto"/>
            <w:vAlign w:val="bottom"/>
          </w:tcPr>
          <w:p w14:paraId="71D3D57D" w14:textId="77777777" w:rsidR="006A3667" w:rsidRDefault="006A3667">
            <w:pPr>
              <w:rPr>
                <w:rFonts w:ascii="宋体"/>
              </w:rPr>
            </w:pPr>
          </w:p>
        </w:tc>
        <w:tc>
          <w:tcPr>
            <w:tcW w:w="5" w:type="pct"/>
            <w:shd w:val="clear" w:color="auto" w:fill="auto"/>
            <w:vAlign w:val="bottom"/>
          </w:tcPr>
          <w:p w14:paraId="71D3D57E" w14:textId="77777777" w:rsidR="006A3667" w:rsidRDefault="006A3667">
            <w:pPr>
              <w:rPr>
                <w:rFonts w:ascii="宋体"/>
              </w:rPr>
            </w:pPr>
          </w:p>
        </w:tc>
        <w:tc>
          <w:tcPr>
            <w:tcW w:w="50" w:type="pct"/>
            <w:shd w:val="clear" w:color="auto" w:fill="auto"/>
            <w:vAlign w:val="bottom"/>
          </w:tcPr>
          <w:p w14:paraId="71D3D57F" w14:textId="77777777" w:rsidR="006A3667" w:rsidRDefault="006A3667">
            <w:pPr>
              <w:rPr>
                <w:rFonts w:ascii="宋体"/>
              </w:rPr>
            </w:pPr>
          </w:p>
        </w:tc>
        <w:tc>
          <w:tcPr>
            <w:tcW w:w="3635" w:type="pct"/>
            <w:shd w:val="clear" w:color="auto" w:fill="auto"/>
            <w:vAlign w:val="bottom"/>
          </w:tcPr>
          <w:p w14:paraId="71D3D580" w14:textId="77777777" w:rsidR="006A3667" w:rsidRDefault="006A3667">
            <w:pPr>
              <w:rPr>
                <w:rFonts w:ascii="宋体"/>
              </w:rPr>
            </w:pPr>
          </w:p>
        </w:tc>
        <w:tc>
          <w:tcPr>
            <w:tcW w:w="5" w:type="pct"/>
            <w:shd w:val="clear" w:color="auto" w:fill="auto"/>
            <w:vAlign w:val="bottom"/>
          </w:tcPr>
          <w:p w14:paraId="71D3D581" w14:textId="77777777" w:rsidR="006A3667" w:rsidRDefault="006A3667">
            <w:pPr>
              <w:rPr>
                <w:rFonts w:ascii="宋体"/>
              </w:rPr>
            </w:pPr>
          </w:p>
        </w:tc>
        <w:tc>
          <w:tcPr>
            <w:tcW w:w="50" w:type="pct"/>
            <w:shd w:val="clear" w:color="auto" w:fill="auto"/>
            <w:vAlign w:val="bottom"/>
          </w:tcPr>
          <w:p w14:paraId="71D3D582" w14:textId="77777777" w:rsidR="006A3667" w:rsidRDefault="006A3667">
            <w:pPr>
              <w:rPr>
                <w:rFonts w:ascii="宋体"/>
              </w:rPr>
            </w:pPr>
          </w:p>
        </w:tc>
        <w:tc>
          <w:tcPr>
            <w:tcW w:w="391" w:type="pct"/>
            <w:shd w:val="clear" w:color="auto" w:fill="auto"/>
            <w:vAlign w:val="bottom"/>
          </w:tcPr>
          <w:p w14:paraId="71D3D583" w14:textId="77777777" w:rsidR="006A3667" w:rsidRDefault="006A3667">
            <w:pPr>
              <w:rPr>
                <w:rFonts w:ascii="宋体"/>
              </w:rPr>
            </w:pPr>
          </w:p>
        </w:tc>
        <w:tc>
          <w:tcPr>
            <w:tcW w:w="5" w:type="pct"/>
            <w:shd w:val="clear" w:color="auto" w:fill="auto"/>
            <w:vAlign w:val="bottom"/>
          </w:tcPr>
          <w:p w14:paraId="71D3D584" w14:textId="77777777" w:rsidR="006A3667" w:rsidRDefault="006A3667">
            <w:pPr>
              <w:rPr>
                <w:rFonts w:ascii="宋体"/>
              </w:rPr>
            </w:pPr>
          </w:p>
        </w:tc>
      </w:tr>
      <w:tr w:rsidR="006A3667" w14:paraId="71D3D589" w14:textId="77777777">
        <w:tc>
          <w:tcPr>
            <w:tcW w:w="0" w:type="auto"/>
            <w:gridSpan w:val="3"/>
            <w:shd w:val="clear" w:color="auto" w:fill="auto"/>
            <w:tcMar>
              <w:top w:w="0" w:type="dxa"/>
              <w:left w:w="20" w:type="dxa"/>
              <w:bottom w:w="0" w:type="dxa"/>
              <w:right w:w="20" w:type="dxa"/>
            </w:tcMar>
            <w:vAlign w:val="bottom"/>
          </w:tcPr>
          <w:p w14:paraId="71D3D586"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87" w14:textId="77777777" w:rsidR="006A3667" w:rsidRDefault="00045F32">
            <w:pPr>
              <w:textAlignment w:val="center"/>
            </w:pPr>
            <w:r>
              <w:rPr>
                <w:rFonts w:ascii="Arial" w:eastAsia="宋体" w:hAnsi="Arial" w:cs="Arial"/>
                <w:color w:val="000000"/>
                <w:sz w:val="18"/>
                <w:szCs w:val="18"/>
              </w:rPr>
              <w:t>Note 6. Other Assets</w:t>
            </w:r>
          </w:p>
        </w:tc>
        <w:tc>
          <w:tcPr>
            <w:tcW w:w="0" w:type="auto"/>
            <w:gridSpan w:val="3"/>
            <w:shd w:val="clear" w:color="auto" w:fill="auto"/>
            <w:tcMar>
              <w:top w:w="40" w:type="dxa"/>
              <w:left w:w="20" w:type="dxa"/>
              <w:bottom w:w="40" w:type="dxa"/>
              <w:right w:w="20" w:type="dxa"/>
            </w:tcMar>
            <w:vAlign w:val="center"/>
          </w:tcPr>
          <w:p w14:paraId="71D3D588" w14:textId="77777777" w:rsidR="006A3667" w:rsidRDefault="00045F32">
            <w:pPr>
              <w:jc w:val="right"/>
              <w:textAlignment w:val="center"/>
            </w:pPr>
            <w:hyperlink r:id="rId46" w:anchor="ia63ac470633f4c4b8c7d6b2ec0d71e23_280" w:history="1">
              <w:r>
                <w:rPr>
                  <w:rStyle w:val="a5"/>
                  <w:rFonts w:ascii="Arial" w:eastAsia="宋体" w:hAnsi="Arial" w:cs="Arial"/>
                  <w:color w:val="000000"/>
                  <w:sz w:val="18"/>
                  <w:szCs w:val="18"/>
                  <w:u w:val="none"/>
                </w:rPr>
                <w:t>76</w:t>
              </w:r>
            </w:hyperlink>
          </w:p>
        </w:tc>
      </w:tr>
      <w:tr w:rsidR="006A3667" w14:paraId="71D3D58D" w14:textId="77777777">
        <w:tc>
          <w:tcPr>
            <w:tcW w:w="0" w:type="auto"/>
            <w:gridSpan w:val="3"/>
            <w:shd w:val="clear" w:color="auto" w:fill="auto"/>
            <w:tcMar>
              <w:top w:w="0" w:type="dxa"/>
              <w:left w:w="20" w:type="dxa"/>
              <w:bottom w:w="0" w:type="dxa"/>
              <w:right w:w="20" w:type="dxa"/>
            </w:tcMar>
            <w:vAlign w:val="bottom"/>
          </w:tcPr>
          <w:p w14:paraId="71D3D58A"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8B" w14:textId="77777777" w:rsidR="006A3667" w:rsidRDefault="00045F32">
            <w:pPr>
              <w:textAlignment w:val="center"/>
            </w:pPr>
            <w:r>
              <w:rPr>
                <w:rFonts w:ascii="Arial" w:eastAsia="宋体" w:hAnsi="Arial" w:cs="Arial"/>
                <w:color w:val="000000"/>
                <w:sz w:val="18"/>
                <w:szCs w:val="18"/>
              </w:rPr>
              <w:t>Note 7. Derivative Financial Instruments</w:t>
            </w:r>
          </w:p>
        </w:tc>
        <w:tc>
          <w:tcPr>
            <w:tcW w:w="0" w:type="auto"/>
            <w:gridSpan w:val="3"/>
            <w:shd w:val="clear" w:color="auto" w:fill="auto"/>
            <w:tcMar>
              <w:top w:w="40" w:type="dxa"/>
              <w:left w:w="20" w:type="dxa"/>
              <w:bottom w:w="40" w:type="dxa"/>
              <w:right w:w="20" w:type="dxa"/>
            </w:tcMar>
            <w:vAlign w:val="center"/>
          </w:tcPr>
          <w:p w14:paraId="71D3D58C" w14:textId="77777777" w:rsidR="006A3667" w:rsidRDefault="00045F32">
            <w:pPr>
              <w:jc w:val="right"/>
              <w:textAlignment w:val="center"/>
            </w:pPr>
            <w:hyperlink r:id="rId47" w:anchor="ia63ac470633f4c4b8c7d6b2ec0d71e23_283" w:history="1">
              <w:r>
                <w:rPr>
                  <w:rStyle w:val="a5"/>
                  <w:rFonts w:ascii="Arial" w:eastAsia="宋体" w:hAnsi="Arial" w:cs="Arial"/>
                  <w:color w:val="000000"/>
                  <w:sz w:val="18"/>
                  <w:szCs w:val="18"/>
                  <w:u w:val="none"/>
                </w:rPr>
                <w:t>77</w:t>
              </w:r>
            </w:hyperlink>
          </w:p>
        </w:tc>
      </w:tr>
      <w:tr w:rsidR="006A3667" w14:paraId="71D3D591" w14:textId="77777777">
        <w:tc>
          <w:tcPr>
            <w:tcW w:w="0" w:type="auto"/>
            <w:gridSpan w:val="3"/>
            <w:shd w:val="clear" w:color="auto" w:fill="auto"/>
            <w:tcMar>
              <w:top w:w="0" w:type="dxa"/>
              <w:left w:w="20" w:type="dxa"/>
              <w:bottom w:w="0" w:type="dxa"/>
              <w:right w:w="20" w:type="dxa"/>
            </w:tcMar>
            <w:vAlign w:val="bottom"/>
          </w:tcPr>
          <w:p w14:paraId="71D3D58E"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8F" w14:textId="77777777" w:rsidR="006A3667" w:rsidRDefault="00045F32">
            <w:pPr>
              <w:textAlignment w:val="center"/>
            </w:pPr>
            <w:r>
              <w:rPr>
                <w:rFonts w:ascii="Arial" w:eastAsia="宋体" w:hAnsi="Arial" w:cs="Arial"/>
                <w:color w:val="000000"/>
                <w:sz w:val="18"/>
                <w:szCs w:val="18"/>
              </w:rPr>
              <w:t>Note 8. Offsetting Arrangements</w:t>
            </w:r>
          </w:p>
        </w:tc>
        <w:tc>
          <w:tcPr>
            <w:tcW w:w="0" w:type="auto"/>
            <w:gridSpan w:val="3"/>
            <w:shd w:val="clear" w:color="auto" w:fill="auto"/>
            <w:tcMar>
              <w:top w:w="40" w:type="dxa"/>
              <w:left w:w="20" w:type="dxa"/>
              <w:bottom w:w="40" w:type="dxa"/>
              <w:right w:w="20" w:type="dxa"/>
            </w:tcMar>
            <w:vAlign w:val="center"/>
          </w:tcPr>
          <w:p w14:paraId="71D3D590" w14:textId="77777777" w:rsidR="006A3667" w:rsidRDefault="00045F32">
            <w:pPr>
              <w:jc w:val="right"/>
              <w:textAlignment w:val="center"/>
            </w:pPr>
            <w:hyperlink r:id="rId48" w:anchor="ia63ac470633f4c4b8c7d6b2ec0d71e23_286" w:history="1">
              <w:r>
                <w:rPr>
                  <w:rStyle w:val="a5"/>
                  <w:rFonts w:ascii="Arial" w:eastAsia="宋体" w:hAnsi="Arial" w:cs="Arial"/>
                  <w:color w:val="000000"/>
                  <w:sz w:val="18"/>
                  <w:szCs w:val="18"/>
                  <w:u w:val="none"/>
                </w:rPr>
                <w:t>81</w:t>
              </w:r>
            </w:hyperlink>
          </w:p>
        </w:tc>
      </w:tr>
      <w:tr w:rsidR="006A3667" w14:paraId="71D3D595" w14:textId="77777777">
        <w:tc>
          <w:tcPr>
            <w:tcW w:w="0" w:type="auto"/>
            <w:gridSpan w:val="3"/>
            <w:shd w:val="clear" w:color="auto" w:fill="auto"/>
            <w:tcMar>
              <w:top w:w="0" w:type="dxa"/>
              <w:left w:w="20" w:type="dxa"/>
              <w:bottom w:w="0" w:type="dxa"/>
              <w:right w:w="20" w:type="dxa"/>
            </w:tcMar>
            <w:vAlign w:val="bottom"/>
          </w:tcPr>
          <w:p w14:paraId="71D3D592"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93" w14:textId="77777777" w:rsidR="006A3667" w:rsidRDefault="00045F32">
            <w:pPr>
              <w:textAlignment w:val="center"/>
            </w:pPr>
            <w:r>
              <w:rPr>
                <w:rFonts w:ascii="Arial" w:eastAsia="宋体" w:hAnsi="Arial" w:cs="Arial"/>
                <w:color w:val="000000"/>
                <w:sz w:val="18"/>
                <w:szCs w:val="18"/>
              </w:rPr>
              <w:t>Note 9. Commitments and Guarantees</w:t>
            </w:r>
          </w:p>
        </w:tc>
        <w:tc>
          <w:tcPr>
            <w:tcW w:w="0" w:type="auto"/>
            <w:gridSpan w:val="3"/>
            <w:shd w:val="clear" w:color="auto" w:fill="auto"/>
            <w:tcMar>
              <w:top w:w="40" w:type="dxa"/>
              <w:left w:w="20" w:type="dxa"/>
              <w:bottom w:w="40" w:type="dxa"/>
              <w:right w:w="20" w:type="dxa"/>
            </w:tcMar>
            <w:vAlign w:val="center"/>
          </w:tcPr>
          <w:p w14:paraId="71D3D594" w14:textId="77777777" w:rsidR="006A3667" w:rsidRDefault="00045F32">
            <w:pPr>
              <w:jc w:val="right"/>
              <w:textAlignment w:val="center"/>
            </w:pPr>
            <w:hyperlink r:id="rId49" w:anchor="ia63ac470633f4c4b8c7d6b2ec0d71e23_289" w:history="1">
              <w:r>
                <w:rPr>
                  <w:rStyle w:val="a5"/>
                  <w:rFonts w:ascii="Arial" w:eastAsia="宋体" w:hAnsi="Arial" w:cs="Arial"/>
                  <w:color w:val="000000"/>
                  <w:sz w:val="18"/>
                  <w:szCs w:val="18"/>
                  <w:u w:val="none"/>
                </w:rPr>
                <w:t>83</w:t>
              </w:r>
            </w:hyperlink>
          </w:p>
        </w:tc>
      </w:tr>
      <w:tr w:rsidR="006A3667" w14:paraId="71D3D599" w14:textId="77777777">
        <w:tc>
          <w:tcPr>
            <w:tcW w:w="0" w:type="auto"/>
            <w:gridSpan w:val="3"/>
            <w:shd w:val="clear" w:color="auto" w:fill="auto"/>
            <w:tcMar>
              <w:top w:w="0" w:type="dxa"/>
              <w:left w:w="20" w:type="dxa"/>
              <w:bottom w:w="0" w:type="dxa"/>
              <w:right w:w="20" w:type="dxa"/>
            </w:tcMar>
            <w:vAlign w:val="bottom"/>
          </w:tcPr>
          <w:p w14:paraId="71D3D596"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97" w14:textId="77777777" w:rsidR="006A3667" w:rsidRDefault="00045F32">
            <w:pPr>
              <w:textAlignment w:val="center"/>
            </w:pPr>
            <w:r>
              <w:rPr>
                <w:rFonts w:ascii="Arial" w:eastAsia="宋体" w:hAnsi="Arial" w:cs="Arial"/>
                <w:color w:val="000000"/>
                <w:sz w:val="18"/>
                <w:szCs w:val="18"/>
              </w:rPr>
              <w:t>Note 10. Contingencies</w:t>
            </w:r>
          </w:p>
        </w:tc>
        <w:tc>
          <w:tcPr>
            <w:tcW w:w="0" w:type="auto"/>
            <w:gridSpan w:val="3"/>
            <w:shd w:val="clear" w:color="auto" w:fill="auto"/>
            <w:tcMar>
              <w:top w:w="40" w:type="dxa"/>
              <w:left w:w="20" w:type="dxa"/>
              <w:bottom w:w="40" w:type="dxa"/>
              <w:right w:w="20" w:type="dxa"/>
            </w:tcMar>
            <w:vAlign w:val="center"/>
          </w:tcPr>
          <w:p w14:paraId="71D3D598" w14:textId="77777777" w:rsidR="006A3667" w:rsidRDefault="00045F32">
            <w:pPr>
              <w:jc w:val="right"/>
              <w:textAlignment w:val="center"/>
            </w:pPr>
            <w:hyperlink r:id="rId50" w:anchor="ia63ac470633f4c4b8c7d6b2ec0d71e23_292" w:history="1">
              <w:r>
                <w:rPr>
                  <w:rStyle w:val="a5"/>
                  <w:rFonts w:ascii="Arial" w:eastAsia="宋体" w:hAnsi="Arial" w:cs="Arial"/>
                  <w:color w:val="000000"/>
                  <w:sz w:val="18"/>
                  <w:szCs w:val="18"/>
                  <w:u w:val="none"/>
                </w:rPr>
                <w:t>84</w:t>
              </w:r>
            </w:hyperlink>
          </w:p>
        </w:tc>
      </w:tr>
      <w:tr w:rsidR="006A3667" w14:paraId="71D3D59D" w14:textId="77777777">
        <w:tc>
          <w:tcPr>
            <w:tcW w:w="0" w:type="auto"/>
            <w:gridSpan w:val="3"/>
            <w:shd w:val="clear" w:color="auto" w:fill="auto"/>
            <w:tcMar>
              <w:top w:w="0" w:type="dxa"/>
              <w:left w:w="20" w:type="dxa"/>
              <w:bottom w:w="0" w:type="dxa"/>
              <w:right w:w="20" w:type="dxa"/>
            </w:tcMar>
            <w:vAlign w:val="bottom"/>
          </w:tcPr>
          <w:p w14:paraId="71D3D59A"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9B" w14:textId="77777777" w:rsidR="006A3667" w:rsidRDefault="00045F32">
            <w:pPr>
              <w:textAlignment w:val="center"/>
            </w:pPr>
            <w:r>
              <w:rPr>
                <w:rFonts w:ascii="Arial" w:eastAsia="宋体" w:hAnsi="Arial" w:cs="Arial"/>
                <w:color w:val="000000"/>
                <w:sz w:val="18"/>
                <w:szCs w:val="18"/>
              </w:rPr>
              <w:t>Note 11. Variable Interest Entities</w:t>
            </w:r>
          </w:p>
        </w:tc>
        <w:tc>
          <w:tcPr>
            <w:tcW w:w="0" w:type="auto"/>
            <w:gridSpan w:val="3"/>
            <w:shd w:val="clear" w:color="auto" w:fill="auto"/>
            <w:tcMar>
              <w:top w:w="40" w:type="dxa"/>
              <w:left w:w="20" w:type="dxa"/>
              <w:bottom w:w="40" w:type="dxa"/>
              <w:right w:w="20" w:type="dxa"/>
            </w:tcMar>
            <w:vAlign w:val="center"/>
          </w:tcPr>
          <w:p w14:paraId="71D3D59C" w14:textId="77777777" w:rsidR="006A3667" w:rsidRDefault="00045F32">
            <w:pPr>
              <w:jc w:val="right"/>
              <w:textAlignment w:val="center"/>
            </w:pPr>
            <w:hyperlink r:id="rId51" w:anchor="ia63ac470633f4c4b8c7d6b2ec0d71e23_301" w:history="1">
              <w:r>
                <w:rPr>
                  <w:rStyle w:val="a5"/>
                  <w:rFonts w:ascii="Arial" w:eastAsia="宋体" w:hAnsi="Arial" w:cs="Arial"/>
                  <w:color w:val="000000"/>
                  <w:sz w:val="18"/>
                  <w:szCs w:val="18"/>
                  <w:u w:val="none"/>
                </w:rPr>
                <w:t>86</w:t>
              </w:r>
            </w:hyperlink>
          </w:p>
        </w:tc>
      </w:tr>
      <w:tr w:rsidR="006A3667" w14:paraId="71D3D5A1" w14:textId="77777777">
        <w:tc>
          <w:tcPr>
            <w:tcW w:w="0" w:type="auto"/>
            <w:gridSpan w:val="3"/>
            <w:shd w:val="clear" w:color="auto" w:fill="auto"/>
            <w:tcMar>
              <w:top w:w="0" w:type="dxa"/>
              <w:left w:w="20" w:type="dxa"/>
              <w:bottom w:w="0" w:type="dxa"/>
              <w:right w:w="20" w:type="dxa"/>
            </w:tcMar>
            <w:vAlign w:val="bottom"/>
          </w:tcPr>
          <w:p w14:paraId="71D3D59E"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9F" w14:textId="77777777" w:rsidR="006A3667" w:rsidRDefault="00045F32">
            <w:pPr>
              <w:textAlignment w:val="center"/>
            </w:pPr>
            <w:r>
              <w:rPr>
                <w:rFonts w:ascii="Arial" w:eastAsia="宋体" w:hAnsi="Arial" w:cs="Arial"/>
                <w:color w:val="000000"/>
                <w:sz w:val="18"/>
                <w:szCs w:val="18"/>
              </w:rPr>
              <w:t>Note 12. Shareholders' Equity</w:t>
            </w:r>
          </w:p>
        </w:tc>
        <w:tc>
          <w:tcPr>
            <w:tcW w:w="0" w:type="auto"/>
            <w:gridSpan w:val="3"/>
            <w:shd w:val="clear" w:color="auto" w:fill="auto"/>
            <w:tcMar>
              <w:top w:w="40" w:type="dxa"/>
              <w:left w:w="20" w:type="dxa"/>
              <w:bottom w:w="40" w:type="dxa"/>
              <w:right w:w="20" w:type="dxa"/>
            </w:tcMar>
            <w:vAlign w:val="center"/>
          </w:tcPr>
          <w:p w14:paraId="71D3D5A0" w14:textId="77777777" w:rsidR="006A3667" w:rsidRDefault="00045F32">
            <w:pPr>
              <w:jc w:val="right"/>
              <w:textAlignment w:val="center"/>
            </w:pPr>
            <w:hyperlink r:id="rId52" w:anchor="ia63ac470633f4c4b8c7d6b2ec0d71e23_307" w:history="1">
              <w:r>
                <w:rPr>
                  <w:rStyle w:val="a5"/>
                  <w:rFonts w:ascii="Arial" w:eastAsia="宋体" w:hAnsi="Arial" w:cs="Arial"/>
                  <w:color w:val="000000"/>
                  <w:sz w:val="18"/>
                  <w:szCs w:val="18"/>
                  <w:u w:val="none"/>
                </w:rPr>
                <w:t>86</w:t>
              </w:r>
            </w:hyperlink>
          </w:p>
        </w:tc>
      </w:tr>
      <w:tr w:rsidR="006A3667" w14:paraId="71D3D5A5" w14:textId="77777777">
        <w:tc>
          <w:tcPr>
            <w:tcW w:w="0" w:type="auto"/>
            <w:gridSpan w:val="3"/>
            <w:shd w:val="clear" w:color="auto" w:fill="auto"/>
            <w:tcMar>
              <w:top w:w="0" w:type="dxa"/>
              <w:left w:w="20" w:type="dxa"/>
              <w:bottom w:w="0" w:type="dxa"/>
              <w:right w:w="20" w:type="dxa"/>
            </w:tcMar>
            <w:vAlign w:val="bottom"/>
          </w:tcPr>
          <w:p w14:paraId="71D3D5A2"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A3" w14:textId="77777777" w:rsidR="006A3667" w:rsidRDefault="00045F32">
            <w:pPr>
              <w:textAlignment w:val="center"/>
            </w:pPr>
            <w:r>
              <w:rPr>
                <w:rFonts w:ascii="Arial" w:eastAsia="宋体" w:hAnsi="Arial" w:cs="Arial"/>
                <w:color w:val="000000"/>
                <w:sz w:val="18"/>
                <w:szCs w:val="18"/>
              </w:rPr>
              <w:t>Note 13. Regulatory Capital</w:t>
            </w:r>
          </w:p>
        </w:tc>
        <w:tc>
          <w:tcPr>
            <w:tcW w:w="0" w:type="auto"/>
            <w:gridSpan w:val="3"/>
            <w:shd w:val="clear" w:color="auto" w:fill="auto"/>
            <w:tcMar>
              <w:top w:w="40" w:type="dxa"/>
              <w:left w:w="20" w:type="dxa"/>
              <w:bottom w:w="40" w:type="dxa"/>
              <w:right w:w="20" w:type="dxa"/>
            </w:tcMar>
            <w:vAlign w:val="center"/>
          </w:tcPr>
          <w:p w14:paraId="71D3D5A4" w14:textId="77777777" w:rsidR="006A3667" w:rsidRDefault="00045F32">
            <w:pPr>
              <w:jc w:val="right"/>
              <w:textAlignment w:val="center"/>
            </w:pPr>
            <w:hyperlink r:id="rId53" w:anchor="ia63ac470633f4c4b8c7d6b2ec0d71e23_313" w:history="1">
              <w:r>
                <w:rPr>
                  <w:rStyle w:val="a5"/>
                  <w:rFonts w:ascii="Arial" w:eastAsia="宋体" w:hAnsi="Arial" w:cs="Arial"/>
                  <w:color w:val="000000"/>
                  <w:sz w:val="18"/>
                  <w:szCs w:val="18"/>
                  <w:u w:val="none"/>
                </w:rPr>
                <w:t>90</w:t>
              </w:r>
            </w:hyperlink>
          </w:p>
        </w:tc>
      </w:tr>
      <w:tr w:rsidR="006A3667" w14:paraId="71D3D5A9" w14:textId="77777777">
        <w:tc>
          <w:tcPr>
            <w:tcW w:w="0" w:type="auto"/>
            <w:gridSpan w:val="3"/>
            <w:shd w:val="clear" w:color="auto" w:fill="auto"/>
            <w:tcMar>
              <w:top w:w="0" w:type="dxa"/>
              <w:left w:w="20" w:type="dxa"/>
              <w:bottom w:w="0" w:type="dxa"/>
              <w:right w:w="20" w:type="dxa"/>
            </w:tcMar>
            <w:vAlign w:val="bottom"/>
          </w:tcPr>
          <w:p w14:paraId="71D3D5A6"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A7" w14:textId="77777777" w:rsidR="006A3667" w:rsidRDefault="00045F32">
            <w:pPr>
              <w:textAlignment w:val="center"/>
            </w:pPr>
            <w:r>
              <w:rPr>
                <w:rFonts w:ascii="Arial" w:eastAsia="宋体" w:hAnsi="Arial" w:cs="Arial"/>
                <w:color w:val="000000"/>
                <w:sz w:val="18"/>
                <w:szCs w:val="18"/>
              </w:rPr>
              <w:t>Note 14. Net Interest Income</w:t>
            </w:r>
          </w:p>
        </w:tc>
        <w:tc>
          <w:tcPr>
            <w:tcW w:w="0" w:type="auto"/>
            <w:gridSpan w:val="3"/>
            <w:shd w:val="clear" w:color="auto" w:fill="auto"/>
            <w:tcMar>
              <w:top w:w="40" w:type="dxa"/>
              <w:left w:w="20" w:type="dxa"/>
              <w:bottom w:w="40" w:type="dxa"/>
              <w:right w:w="20" w:type="dxa"/>
            </w:tcMar>
            <w:vAlign w:val="center"/>
          </w:tcPr>
          <w:p w14:paraId="71D3D5A8" w14:textId="77777777" w:rsidR="006A3667" w:rsidRDefault="00045F32">
            <w:pPr>
              <w:jc w:val="right"/>
              <w:textAlignment w:val="center"/>
            </w:pPr>
            <w:hyperlink r:id="rId54" w:anchor="ia63ac470633f4c4b8c7d6b2ec0d71e23_316" w:history="1">
              <w:r>
                <w:rPr>
                  <w:rStyle w:val="a5"/>
                  <w:rFonts w:ascii="Arial" w:eastAsia="宋体" w:hAnsi="Arial" w:cs="Arial"/>
                  <w:color w:val="000000"/>
                  <w:sz w:val="18"/>
                  <w:szCs w:val="18"/>
                  <w:u w:val="none"/>
                </w:rPr>
                <w:t>91</w:t>
              </w:r>
            </w:hyperlink>
          </w:p>
        </w:tc>
      </w:tr>
      <w:tr w:rsidR="006A3667" w14:paraId="71D3D5AD" w14:textId="77777777">
        <w:tc>
          <w:tcPr>
            <w:tcW w:w="0" w:type="auto"/>
            <w:gridSpan w:val="3"/>
            <w:shd w:val="clear" w:color="auto" w:fill="auto"/>
            <w:tcMar>
              <w:top w:w="0" w:type="dxa"/>
              <w:left w:w="20" w:type="dxa"/>
              <w:bottom w:w="0" w:type="dxa"/>
              <w:right w:w="20" w:type="dxa"/>
            </w:tcMar>
            <w:vAlign w:val="bottom"/>
          </w:tcPr>
          <w:p w14:paraId="71D3D5AA"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AB" w14:textId="77777777" w:rsidR="006A3667" w:rsidRDefault="00045F32">
            <w:pPr>
              <w:textAlignment w:val="center"/>
            </w:pPr>
            <w:r>
              <w:rPr>
                <w:rFonts w:ascii="Arial" w:eastAsia="宋体" w:hAnsi="Arial" w:cs="Arial"/>
                <w:color w:val="000000"/>
                <w:sz w:val="18"/>
                <w:szCs w:val="18"/>
              </w:rPr>
              <w:t>Note 15. Expenses</w:t>
            </w:r>
          </w:p>
        </w:tc>
        <w:tc>
          <w:tcPr>
            <w:tcW w:w="0" w:type="auto"/>
            <w:gridSpan w:val="3"/>
            <w:shd w:val="clear" w:color="auto" w:fill="auto"/>
            <w:tcMar>
              <w:top w:w="40" w:type="dxa"/>
              <w:left w:w="20" w:type="dxa"/>
              <w:bottom w:w="40" w:type="dxa"/>
              <w:right w:w="20" w:type="dxa"/>
            </w:tcMar>
            <w:vAlign w:val="center"/>
          </w:tcPr>
          <w:p w14:paraId="71D3D5AC" w14:textId="77777777" w:rsidR="006A3667" w:rsidRDefault="00045F32">
            <w:pPr>
              <w:jc w:val="right"/>
              <w:textAlignment w:val="center"/>
            </w:pPr>
            <w:hyperlink r:id="rId55" w:anchor="ia63ac470633f4c4b8c7d6b2ec0d71e23_319" w:history="1">
              <w:r>
                <w:rPr>
                  <w:rStyle w:val="a5"/>
                  <w:rFonts w:ascii="Arial" w:eastAsia="宋体" w:hAnsi="Arial" w:cs="Arial"/>
                  <w:color w:val="000000"/>
                  <w:sz w:val="18"/>
                  <w:szCs w:val="18"/>
                  <w:u w:val="none"/>
                </w:rPr>
                <w:t>91</w:t>
              </w:r>
            </w:hyperlink>
          </w:p>
        </w:tc>
      </w:tr>
      <w:tr w:rsidR="006A3667" w14:paraId="71D3D5B1" w14:textId="77777777">
        <w:tc>
          <w:tcPr>
            <w:tcW w:w="0" w:type="auto"/>
            <w:gridSpan w:val="3"/>
            <w:shd w:val="clear" w:color="auto" w:fill="auto"/>
            <w:tcMar>
              <w:top w:w="0" w:type="dxa"/>
              <w:left w:w="20" w:type="dxa"/>
              <w:bottom w:w="0" w:type="dxa"/>
              <w:right w:w="20" w:type="dxa"/>
            </w:tcMar>
            <w:vAlign w:val="bottom"/>
          </w:tcPr>
          <w:p w14:paraId="71D3D5AE"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AF" w14:textId="77777777" w:rsidR="006A3667" w:rsidRDefault="00045F32">
            <w:pPr>
              <w:textAlignment w:val="center"/>
            </w:pPr>
            <w:r>
              <w:rPr>
                <w:rFonts w:ascii="Arial" w:eastAsia="宋体" w:hAnsi="Arial" w:cs="Arial"/>
                <w:color w:val="000000"/>
                <w:sz w:val="18"/>
                <w:szCs w:val="18"/>
              </w:rPr>
              <w:t>Note 16. Earnings Per Common Share</w:t>
            </w:r>
          </w:p>
        </w:tc>
        <w:tc>
          <w:tcPr>
            <w:tcW w:w="0" w:type="auto"/>
            <w:gridSpan w:val="3"/>
            <w:shd w:val="clear" w:color="auto" w:fill="auto"/>
            <w:tcMar>
              <w:top w:w="40" w:type="dxa"/>
              <w:left w:w="20" w:type="dxa"/>
              <w:bottom w:w="40" w:type="dxa"/>
              <w:right w:w="20" w:type="dxa"/>
            </w:tcMar>
            <w:vAlign w:val="center"/>
          </w:tcPr>
          <w:p w14:paraId="71D3D5B0" w14:textId="77777777" w:rsidR="006A3667" w:rsidRDefault="00045F32">
            <w:pPr>
              <w:jc w:val="right"/>
              <w:textAlignment w:val="center"/>
            </w:pPr>
            <w:hyperlink r:id="rId56" w:anchor="ia63ac470633f4c4b8c7d6b2ec0d71e23_322" w:history="1">
              <w:r>
                <w:rPr>
                  <w:rStyle w:val="a5"/>
                  <w:rFonts w:ascii="Arial" w:eastAsia="宋体" w:hAnsi="Arial" w:cs="Arial"/>
                  <w:color w:val="000000"/>
                  <w:sz w:val="18"/>
                  <w:szCs w:val="18"/>
                  <w:u w:val="none"/>
                </w:rPr>
                <w:t>92</w:t>
              </w:r>
            </w:hyperlink>
          </w:p>
        </w:tc>
      </w:tr>
      <w:tr w:rsidR="006A3667" w14:paraId="71D3D5B5" w14:textId="77777777">
        <w:tc>
          <w:tcPr>
            <w:tcW w:w="0" w:type="auto"/>
            <w:gridSpan w:val="3"/>
            <w:shd w:val="clear" w:color="auto" w:fill="auto"/>
            <w:tcMar>
              <w:top w:w="0" w:type="dxa"/>
              <w:left w:w="20" w:type="dxa"/>
              <w:bottom w:w="0" w:type="dxa"/>
              <w:right w:w="20" w:type="dxa"/>
            </w:tcMar>
            <w:vAlign w:val="bottom"/>
          </w:tcPr>
          <w:p w14:paraId="71D3D5B2"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B3" w14:textId="77777777" w:rsidR="006A3667" w:rsidRDefault="00045F32">
            <w:pPr>
              <w:textAlignment w:val="center"/>
            </w:pPr>
            <w:r>
              <w:rPr>
                <w:rFonts w:ascii="Arial" w:eastAsia="宋体" w:hAnsi="Arial" w:cs="Arial"/>
                <w:color w:val="000000"/>
                <w:sz w:val="18"/>
                <w:szCs w:val="18"/>
              </w:rPr>
              <w:t>Note 17. Line of Business Information</w:t>
            </w:r>
          </w:p>
        </w:tc>
        <w:tc>
          <w:tcPr>
            <w:tcW w:w="0" w:type="auto"/>
            <w:gridSpan w:val="3"/>
            <w:shd w:val="clear" w:color="auto" w:fill="auto"/>
            <w:tcMar>
              <w:top w:w="40" w:type="dxa"/>
              <w:left w:w="20" w:type="dxa"/>
              <w:bottom w:w="40" w:type="dxa"/>
              <w:right w:w="20" w:type="dxa"/>
            </w:tcMar>
            <w:vAlign w:val="center"/>
          </w:tcPr>
          <w:p w14:paraId="71D3D5B4" w14:textId="77777777" w:rsidR="006A3667" w:rsidRDefault="00045F32">
            <w:pPr>
              <w:jc w:val="right"/>
              <w:textAlignment w:val="center"/>
            </w:pPr>
            <w:hyperlink r:id="rId57" w:anchor="ia63ac470633f4c4b8c7d6b2ec0d71e23_325" w:history="1">
              <w:r>
                <w:rPr>
                  <w:rStyle w:val="a5"/>
                  <w:rFonts w:ascii="Arial" w:eastAsia="宋体" w:hAnsi="Arial" w:cs="Arial"/>
                  <w:color w:val="000000"/>
                  <w:sz w:val="18"/>
                  <w:szCs w:val="18"/>
                  <w:u w:val="none"/>
                </w:rPr>
                <w:t>92</w:t>
              </w:r>
            </w:hyperlink>
          </w:p>
        </w:tc>
      </w:tr>
      <w:tr w:rsidR="006A3667" w14:paraId="71D3D5B9" w14:textId="77777777">
        <w:tc>
          <w:tcPr>
            <w:tcW w:w="0" w:type="auto"/>
            <w:gridSpan w:val="3"/>
            <w:shd w:val="clear" w:color="auto" w:fill="auto"/>
            <w:tcMar>
              <w:top w:w="0" w:type="dxa"/>
              <w:left w:w="20" w:type="dxa"/>
              <w:bottom w:w="0" w:type="dxa"/>
              <w:right w:w="20" w:type="dxa"/>
            </w:tcMar>
            <w:vAlign w:val="bottom"/>
          </w:tcPr>
          <w:p w14:paraId="71D3D5B6"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B7" w14:textId="77777777" w:rsidR="006A3667" w:rsidRDefault="00045F32">
            <w:pPr>
              <w:textAlignment w:val="center"/>
            </w:pPr>
            <w:r>
              <w:rPr>
                <w:rFonts w:ascii="Arial" w:eastAsia="宋体" w:hAnsi="Arial" w:cs="Arial"/>
                <w:color w:val="000000"/>
                <w:sz w:val="18"/>
                <w:szCs w:val="18"/>
              </w:rPr>
              <w:t>Note 18. Revenue From Contracts with Customers</w:t>
            </w:r>
          </w:p>
        </w:tc>
        <w:tc>
          <w:tcPr>
            <w:tcW w:w="0" w:type="auto"/>
            <w:gridSpan w:val="3"/>
            <w:shd w:val="clear" w:color="auto" w:fill="auto"/>
            <w:tcMar>
              <w:top w:w="40" w:type="dxa"/>
              <w:left w:w="20" w:type="dxa"/>
              <w:bottom w:w="40" w:type="dxa"/>
              <w:right w:w="20" w:type="dxa"/>
            </w:tcMar>
            <w:vAlign w:val="center"/>
          </w:tcPr>
          <w:p w14:paraId="71D3D5B8" w14:textId="77777777" w:rsidR="006A3667" w:rsidRDefault="00045F32">
            <w:pPr>
              <w:jc w:val="right"/>
              <w:textAlignment w:val="center"/>
            </w:pPr>
            <w:hyperlink r:id="rId58" w:anchor="ia63ac470633f4c4b8c7d6b2ec0d71e23_331" w:history="1">
              <w:r>
                <w:rPr>
                  <w:rStyle w:val="a5"/>
                  <w:rFonts w:ascii="Arial" w:eastAsia="宋体" w:hAnsi="Arial" w:cs="Arial"/>
                  <w:color w:val="000000"/>
                  <w:sz w:val="18"/>
                  <w:szCs w:val="18"/>
                  <w:u w:val="none"/>
                </w:rPr>
                <w:t>93</w:t>
              </w:r>
            </w:hyperlink>
          </w:p>
        </w:tc>
      </w:tr>
      <w:tr w:rsidR="006A3667" w14:paraId="71D3D5BD" w14:textId="77777777">
        <w:tc>
          <w:tcPr>
            <w:tcW w:w="0" w:type="auto"/>
            <w:gridSpan w:val="3"/>
            <w:shd w:val="clear" w:color="auto" w:fill="auto"/>
            <w:tcMar>
              <w:top w:w="0" w:type="dxa"/>
              <w:left w:w="20" w:type="dxa"/>
              <w:bottom w:w="0" w:type="dxa"/>
              <w:right w:w="20" w:type="dxa"/>
            </w:tcMar>
            <w:vAlign w:val="bottom"/>
          </w:tcPr>
          <w:p w14:paraId="71D3D5BA" w14:textId="77777777" w:rsidR="006A3667" w:rsidRDefault="006A3667">
            <w:pPr>
              <w:rPr>
                <w:rFonts w:ascii="宋体"/>
              </w:rPr>
            </w:pPr>
          </w:p>
        </w:tc>
        <w:tc>
          <w:tcPr>
            <w:tcW w:w="0" w:type="auto"/>
            <w:gridSpan w:val="3"/>
            <w:shd w:val="clear" w:color="auto" w:fill="auto"/>
            <w:tcMar>
              <w:top w:w="40" w:type="dxa"/>
              <w:left w:w="515" w:type="dxa"/>
              <w:bottom w:w="40" w:type="dxa"/>
              <w:right w:w="20" w:type="dxa"/>
            </w:tcMar>
            <w:vAlign w:val="center"/>
          </w:tcPr>
          <w:p w14:paraId="71D3D5BB" w14:textId="77777777" w:rsidR="006A3667" w:rsidRDefault="00045F32">
            <w:pPr>
              <w:textAlignment w:val="center"/>
            </w:pPr>
            <w:r>
              <w:rPr>
                <w:rFonts w:ascii="Arial" w:eastAsia="宋体" w:hAnsi="Arial" w:cs="Arial"/>
                <w:color w:val="000000"/>
                <w:sz w:val="18"/>
                <w:szCs w:val="18"/>
              </w:rPr>
              <w:t>Note 19. Non-U.S. Activities</w:t>
            </w:r>
          </w:p>
        </w:tc>
        <w:tc>
          <w:tcPr>
            <w:tcW w:w="0" w:type="auto"/>
            <w:gridSpan w:val="3"/>
            <w:shd w:val="clear" w:color="auto" w:fill="auto"/>
            <w:tcMar>
              <w:top w:w="40" w:type="dxa"/>
              <w:left w:w="20" w:type="dxa"/>
              <w:bottom w:w="40" w:type="dxa"/>
              <w:right w:w="20" w:type="dxa"/>
            </w:tcMar>
            <w:vAlign w:val="center"/>
          </w:tcPr>
          <w:p w14:paraId="71D3D5BC" w14:textId="77777777" w:rsidR="006A3667" w:rsidRDefault="00045F32">
            <w:pPr>
              <w:jc w:val="right"/>
              <w:textAlignment w:val="center"/>
            </w:pPr>
            <w:hyperlink r:id="rId59" w:anchor="ia63ac470633f4c4b8c7d6b2ec0d71e23_334" w:history="1">
              <w:r>
                <w:rPr>
                  <w:rStyle w:val="a5"/>
                  <w:rFonts w:ascii="Arial" w:eastAsia="宋体" w:hAnsi="Arial" w:cs="Arial"/>
                  <w:color w:val="000000"/>
                  <w:sz w:val="18"/>
                  <w:szCs w:val="18"/>
                  <w:u w:val="none"/>
                </w:rPr>
                <w:t>95</w:t>
              </w:r>
            </w:hyperlink>
          </w:p>
        </w:tc>
      </w:tr>
      <w:tr w:rsidR="006A3667" w14:paraId="71D3D5C1" w14:textId="77777777">
        <w:tc>
          <w:tcPr>
            <w:tcW w:w="0" w:type="auto"/>
            <w:gridSpan w:val="3"/>
            <w:shd w:val="clear" w:color="auto" w:fill="auto"/>
            <w:tcMar>
              <w:top w:w="0" w:type="dxa"/>
              <w:left w:w="20" w:type="dxa"/>
              <w:bottom w:w="0" w:type="dxa"/>
              <w:right w:w="20" w:type="dxa"/>
            </w:tcMar>
            <w:vAlign w:val="bottom"/>
          </w:tcPr>
          <w:p w14:paraId="71D3D5BE" w14:textId="77777777" w:rsidR="006A3667" w:rsidRDefault="006A3667">
            <w:pPr>
              <w:rPr>
                <w:rFonts w:ascii="宋体"/>
              </w:rPr>
            </w:pPr>
          </w:p>
        </w:tc>
        <w:tc>
          <w:tcPr>
            <w:tcW w:w="0" w:type="auto"/>
            <w:gridSpan w:val="3"/>
            <w:shd w:val="clear" w:color="auto" w:fill="auto"/>
            <w:tcMar>
              <w:top w:w="40" w:type="dxa"/>
              <w:left w:w="155" w:type="dxa"/>
              <w:bottom w:w="40" w:type="dxa"/>
              <w:right w:w="20" w:type="dxa"/>
            </w:tcMar>
            <w:vAlign w:val="center"/>
          </w:tcPr>
          <w:p w14:paraId="71D3D5BF" w14:textId="77777777" w:rsidR="006A3667" w:rsidRDefault="00045F32">
            <w:pPr>
              <w:textAlignment w:val="center"/>
            </w:pPr>
            <w:r>
              <w:rPr>
                <w:rFonts w:ascii="Arial" w:eastAsia="宋体" w:hAnsi="Arial" w:cs="Arial"/>
                <w:color w:val="000000"/>
                <w:sz w:val="18"/>
                <w:szCs w:val="18"/>
              </w:rPr>
              <w:t xml:space="preserve">Review Report of </w:t>
            </w:r>
            <w:r>
              <w:rPr>
                <w:rFonts w:ascii="Arial" w:eastAsia="宋体" w:hAnsi="Arial" w:cs="Arial"/>
                <w:color w:val="000000"/>
                <w:sz w:val="18"/>
                <w:szCs w:val="18"/>
              </w:rPr>
              <w:t>Independent Registered Public Accounting Firm</w:t>
            </w:r>
          </w:p>
        </w:tc>
        <w:tc>
          <w:tcPr>
            <w:tcW w:w="0" w:type="auto"/>
            <w:gridSpan w:val="3"/>
            <w:shd w:val="clear" w:color="auto" w:fill="auto"/>
            <w:tcMar>
              <w:top w:w="40" w:type="dxa"/>
              <w:left w:w="20" w:type="dxa"/>
              <w:bottom w:w="40" w:type="dxa"/>
              <w:right w:w="20" w:type="dxa"/>
            </w:tcMar>
            <w:vAlign w:val="center"/>
          </w:tcPr>
          <w:p w14:paraId="71D3D5C0" w14:textId="77777777" w:rsidR="006A3667" w:rsidRDefault="00045F32">
            <w:pPr>
              <w:jc w:val="right"/>
              <w:textAlignment w:val="center"/>
            </w:pPr>
            <w:hyperlink r:id="rId60" w:anchor="ia63ac470633f4c4b8c7d6b2ec0d71e23_343" w:history="1">
              <w:r>
                <w:rPr>
                  <w:rStyle w:val="a5"/>
                  <w:rFonts w:ascii="Arial" w:eastAsia="宋体" w:hAnsi="Arial" w:cs="Arial"/>
                  <w:color w:val="000000"/>
                  <w:sz w:val="18"/>
                  <w:szCs w:val="18"/>
                  <w:u w:val="none"/>
                </w:rPr>
                <w:t>96</w:t>
              </w:r>
            </w:hyperlink>
          </w:p>
        </w:tc>
      </w:tr>
      <w:tr w:rsidR="006A3667" w14:paraId="71D3D5C5" w14:textId="77777777">
        <w:trPr>
          <w:trHeight w:val="280"/>
        </w:trPr>
        <w:tc>
          <w:tcPr>
            <w:tcW w:w="0" w:type="auto"/>
            <w:gridSpan w:val="3"/>
            <w:shd w:val="clear" w:color="auto" w:fill="auto"/>
            <w:tcMar>
              <w:top w:w="0" w:type="dxa"/>
              <w:left w:w="20" w:type="dxa"/>
              <w:bottom w:w="0" w:type="dxa"/>
              <w:right w:w="20" w:type="dxa"/>
            </w:tcMar>
            <w:vAlign w:val="bottom"/>
          </w:tcPr>
          <w:p w14:paraId="71D3D5C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5C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5C4" w14:textId="77777777" w:rsidR="006A3667" w:rsidRDefault="006A3667">
            <w:pPr>
              <w:rPr>
                <w:rFonts w:ascii="宋体"/>
              </w:rPr>
            </w:pPr>
          </w:p>
        </w:tc>
      </w:tr>
      <w:tr w:rsidR="006A3667" w14:paraId="71D3D5C9" w14:textId="77777777">
        <w:tc>
          <w:tcPr>
            <w:tcW w:w="0" w:type="auto"/>
            <w:gridSpan w:val="3"/>
            <w:shd w:val="clear" w:color="auto" w:fill="auto"/>
            <w:tcMar>
              <w:top w:w="40" w:type="dxa"/>
              <w:left w:w="155" w:type="dxa"/>
              <w:bottom w:w="40" w:type="dxa"/>
              <w:right w:w="20" w:type="dxa"/>
            </w:tcMar>
            <w:vAlign w:val="center"/>
          </w:tcPr>
          <w:p w14:paraId="71D3D5C6" w14:textId="77777777" w:rsidR="006A3667" w:rsidRDefault="00045F32">
            <w:pPr>
              <w:textAlignment w:val="center"/>
            </w:pPr>
            <w:r>
              <w:rPr>
                <w:rFonts w:ascii="Arial" w:eastAsia="宋体" w:hAnsi="Arial" w:cs="Arial"/>
                <w:b/>
                <w:bCs/>
                <w:color w:val="000000"/>
                <w:sz w:val="18"/>
                <w:szCs w:val="18"/>
              </w:rPr>
              <w:t>PART II</w:t>
            </w:r>
          </w:p>
        </w:tc>
        <w:tc>
          <w:tcPr>
            <w:tcW w:w="0" w:type="auto"/>
            <w:gridSpan w:val="3"/>
            <w:shd w:val="clear" w:color="auto" w:fill="auto"/>
            <w:tcMar>
              <w:top w:w="40" w:type="dxa"/>
              <w:left w:w="20" w:type="dxa"/>
              <w:bottom w:w="40" w:type="dxa"/>
              <w:right w:w="20" w:type="dxa"/>
            </w:tcMar>
            <w:vAlign w:val="bottom"/>
          </w:tcPr>
          <w:p w14:paraId="71D3D5C7" w14:textId="77777777" w:rsidR="006A3667" w:rsidRDefault="00045F32">
            <w:pPr>
              <w:textAlignment w:val="bottom"/>
            </w:pPr>
            <w:r>
              <w:rPr>
                <w:rFonts w:ascii="Arial" w:eastAsia="宋体" w:hAnsi="Arial" w:cs="Arial"/>
                <w:b/>
                <w:bCs/>
                <w:color w:val="000000"/>
                <w:sz w:val="18"/>
                <w:szCs w:val="18"/>
              </w:rPr>
              <w:t>OTHER INFORMATION</w:t>
            </w:r>
          </w:p>
        </w:tc>
        <w:tc>
          <w:tcPr>
            <w:tcW w:w="0" w:type="auto"/>
            <w:gridSpan w:val="3"/>
            <w:shd w:val="clear" w:color="auto" w:fill="auto"/>
            <w:tcMar>
              <w:top w:w="0" w:type="dxa"/>
              <w:left w:w="20" w:type="dxa"/>
              <w:bottom w:w="0" w:type="dxa"/>
              <w:right w:w="20" w:type="dxa"/>
            </w:tcMar>
            <w:vAlign w:val="bottom"/>
          </w:tcPr>
          <w:p w14:paraId="71D3D5C8" w14:textId="77777777" w:rsidR="006A3667" w:rsidRDefault="006A3667">
            <w:pPr>
              <w:rPr>
                <w:rFonts w:ascii="宋体"/>
              </w:rPr>
            </w:pPr>
          </w:p>
        </w:tc>
      </w:tr>
      <w:tr w:rsidR="006A3667" w14:paraId="71D3D5CD" w14:textId="77777777">
        <w:tc>
          <w:tcPr>
            <w:tcW w:w="0" w:type="auto"/>
            <w:gridSpan w:val="3"/>
            <w:shd w:val="clear" w:color="auto" w:fill="auto"/>
            <w:tcMar>
              <w:top w:w="40" w:type="dxa"/>
              <w:left w:w="155" w:type="dxa"/>
              <w:bottom w:w="40" w:type="dxa"/>
              <w:right w:w="20" w:type="dxa"/>
            </w:tcMar>
          </w:tcPr>
          <w:p w14:paraId="71D3D5CA" w14:textId="77777777" w:rsidR="006A3667" w:rsidRDefault="00045F32">
            <w:pPr>
              <w:textAlignment w:val="top"/>
            </w:pPr>
            <w:r>
              <w:rPr>
                <w:rFonts w:ascii="Arial" w:eastAsia="宋体" w:hAnsi="Arial" w:cs="Arial"/>
                <w:color w:val="000000"/>
                <w:sz w:val="18"/>
                <w:szCs w:val="18"/>
              </w:rPr>
              <w:t>Item 2</w:t>
            </w:r>
          </w:p>
        </w:tc>
        <w:tc>
          <w:tcPr>
            <w:tcW w:w="0" w:type="auto"/>
            <w:gridSpan w:val="3"/>
            <w:shd w:val="clear" w:color="auto" w:fill="auto"/>
            <w:tcMar>
              <w:top w:w="40" w:type="dxa"/>
              <w:left w:w="155" w:type="dxa"/>
              <w:bottom w:w="40" w:type="dxa"/>
              <w:right w:w="20" w:type="dxa"/>
            </w:tcMar>
            <w:vAlign w:val="center"/>
          </w:tcPr>
          <w:p w14:paraId="71D3D5CB" w14:textId="77777777" w:rsidR="006A3667" w:rsidRDefault="00045F32">
            <w:pPr>
              <w:textAlignment w:val="center"/>
            </w:pPr>
            <w:r>
              <w:rPr>
                <w:rFonts w:ascii="Arial" w:eastAsia="宋体" w:hAnsi="Arial" w:cs="Arial"/>
                <w:color w:val="000000"/>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71D3D5CC" w14:textId="77777777" w:rsidR="006A3667" w:rsidRDefault="00045F32">
            <w:pPr>
              <w:jc w:val="right"/>
              <w:textAlignment w:val="center"/>
            </w:pPr>
            <w:hyperlink r:id="rId61" w:anchor="ia63ac470633f4c4b8c7d6b2ec0d71e23_355" w:history="1">
              <w:r>
                <w:rPr>
                  <w:rStyle w:val="a5"/>
                  <w:rFonts w:ascii="Arial" w:eastAsia="宋体" w:hAnsi="Arial" w:cs="Arial"/>
                  <w:color w:val="000000"/>
                  <w:sz w:val="18"/>
                  <w:szCs w:val="18"/>
                  <w:u w:val="none"/>
                </w:rPr>
                <w:t>99</w:t>
              </w:r>
            </w:hyperlink>
          </w:p>
        </w:tc>
      </w:tr>
      <w:tr w:rsidR="006A3667" w14:paraId="71D3D5D1" w14:textId="77777777">
        <w:trPr>
          <w:hidden/>
        </w:trPr>
        <w:tc>
          <w:tcPr>
            <w:tcW w:w="0" w:type="auto"/>
            <w:gridSpan w:val="3"/>
            <w:shd w:val="clear" w:color="auto" w:fill="auto"/>
            <w:vAlign w:val="bottom"/>
          </w:tcPr>
          <w:p w14:paraId="71D3D5CE" w14:textId="77777777" w:rsidR="006A3667" w:rsidRDefault="006A3667">
            <w:pPr>
              <w:rPr>
                <w:rFonts w:ascii="宋体"/>
                <w:vanish/>
              </w:rPr>
            </w:pPr>
          </w:p>
        </w:tc>
        <w:tc>
          <w:tcPr>
            <w:tcW w:w="0" w:type="auto"/>
            <w:gridSpan w:val="3"/>
            <w:shd w:val="clear" w:color="auto" w:fill="auto"/>
            <w:vAlign w:val="bottom"/>
          </w:tcPr>
          <w:p w14:paraId="71D3D5CF" w14:textId="77777777" w:rsidR="006A3667" w:rsidRDefault="006A3667">
            <w:pPr>
              <w:rPr>
                <w:rFonts w:ascii="宋体"/>
                <w:vanish/>
              </w:rPr>
            </w:pPr>
          </w:p>
        </w:tc>
        <w:tc>
          <w:tcPr>
            <w:tcW w:w="0" w:type="auto"/>
            <w:gridSpan w:val="3"/>
            <w:shd w:val="clear" w:color="auto" w:fill="auto"/>
            <w:vAlign w:val="bottom"/>
          </w:tcPr>
          <w:p w14:paraId="71D3D5D0" w14:textId="77777777" w:rsidR="006A3667" w:rsidRDefault="006A3667">
            <w:pPr>
              <w:rPr>
                <w:rFonts w:ascii="宋体"/>
                <w:vanish/>
              </w:rPr>
            </w:pPr>
          </w:p>
        </w:tc>
      </w:tr>
      <w:tr w:rsidR="006A3667" w14:paraId="71D3D5D5" w14:textId="77777777">
        <w:tc>
          <w:tcPr>
            <w:tcW w:w="0" w:type="auto"/>
            <w:gridSpan w:val="3"/>
            <w:shd w:val="clear" w:color="auto" w:fill="auto"/>
            <w:tcMar>
              <w:top w:w="40" w:type="dxa"/>
              <w:left w:w="155" w:type="dxa"/>
              <w:bottom w:w="40" w:type="dxa"/>
              <w:right w:w="20" w:type="dxa"/>
            </w:tcMar>
          </w:tcPr>
          <w:p w14:paraId="71D3D5D2" w14:textId="77777777" w:rsidR="006A3667" w:rsidRDefault="00045F32">
            <w:pPr>
              <w:textAlignment w:val="top"/>
            </w:pPr>
            <w:r>
              <w:rPr>
                <w:rFonts w:ascii="Arial" w:eastAsia="宋体" w:hAnsi="Arial" w:cs="Arial"/>
                <w:color w:val="000000"/>
                <w:sz w:val="18"/>
                <w:szCs w:val="18"/>
              </w:rPr>
              <w:t>Item 6</w:t>
            </w:r>
          </w:p>
        </w:tc>
        <w:tc>
          <w:tcPr>
            <w:tcW w:w="0" w:type="auto"/>
            <w:gridSpan w:val="3"/>
            <w:shd w:val="clear" w:color="auto" w:fill="auto"/>
            <w:tcMar>
              <w:top w:w="40" w:type="dxa"/>
              <w:left w:w="155" w:type="dxa"/>
              <w:bottom w:w="40" w:type="dxa"/>
              <w:right w:w="20" w:type="dxa"/>
            </w:tcMar>
            <w:vAlign w:val="center"/>
          </w:tcPr>
          <w:p w14:paraId="71D3D5D3" w14:textId="77777777" w:rsidR="006A3667" w:rsidRDefault="00045F32">
            <w:pPr>
              <w:textAlignment w:val="center"/>
            </w:pPr>
            <w:r>
              <w:rPr>
                <w:rFonts w:ascii="Arial" w:eastAsia="宋体" w:hAnsi="Arial" w:cs="Arial"/>
                <w:color w:val="000000"/>
                <w:sz w:val="18"/>
                <w:szCs w:val="18"/>
              </w:rPr>
              <w:t>Exhibits</w:t>
            </w:r>
          </w:p>
        </w:tc>
        <w:tc>
          <w:tcPr>
            <w:tcW w:w="0" w:type="auto"/>
            <w:gridSpan w:val="3"/>
            <w:shd w:val="clear" w:color="auto" w:fill="auto"/>
            <w:tcMar>
              <w:top w:w="40" w:type="dxa"/>
              <w:left w:w="20" w:type="dxa"/>
              <w:bottom w:w="40" w:type="dxa"/>
              <w:right w:w="20" w:type="dxa"/>
            </w:tcMar>
            <w:vAlign w:val="center"/>
          </w:tcPr>
          <w:p w14:paraId="71D3D5D4" w14:textId="77777777" w:rsidR="006A3667" w:rsidRDefault="00045F32">
            <w:pPr>
              <w:jc w:val="right"/>
              <w:textAlignment w:val="center"/>
            </w:pPr>
            <w:hyperlink r:id="rId62" w:anchor="ia63ac470633f4c4b8c7d6b2ec0d71e23_361" w:history="1">
              <w:r>
                <w:rPr>
                  <w:rStyle w:val="a5"/>
                  <w:rFonts w:ascii="Arial" w:eastAsia="宋体" w:hAnsi="Arial" w:cs="Arial"/>
                  <w:color w:val="000000"/>
                  <w:sz w:val="18"/>
                  <w:szCs w:val="18"/>
                  <w:u w:val="none"/>
                </w:rPr>
                <w:t>100</w:t>
              </w:r>
            </w:hyperlink>
          </w:p>
        </w:tc>
      </w:tr>
      <w:tr w:rsidR="006A3667" w14:paraId="71D3D5D9" w14:textId="77777777">
        <w:tc>
          <w:tcPr>
            <w:tcW w:w="0" w:type="auto"/>
            <w:gridSpan w:val="3"/>
            <w:shd w:val="clear" w:color="auto" w:fill="auto"/>
            <w:tcMar>
              <w:top w:w="0" w:type="dxa"/>
              <w:left w:w="20" w:type="dxa"/>
              <w:bottom w:w="0" w:type="dxa"/>
              <w:right w:w="20" w:type="dxa"/>
            </w:tcMar>
            <w:vAlign w:val="bottom"/>
          </w:tcPr>
          <w:p w14:paraId="71D3D5D6" w14:textId="77777777" w:rsidR="006A3667" w:rsidRDefault="006A3667">
            <w:pPr>
              <w:rPr>
                <w:rFonts w:ascii="宋体"/>
              </w:rPr>
            </w:pPr>
          </w:p>
        </w:tc>
        <w:tc>
          <w:tcPr>
            <w:tcW w:w="0" w:type="auto"/>
            <w:gridSpan w:val="3"/>
            <w:shd w:val="clear" w:color="auto" w:fill="auto"/>
            <w:tcMar>
              <w:top w:w="40" w:type="dxa"/>
              <w:left w:w="155" w:type="dxa"/>
              <w:bottom w:w="40" w:type="dxa"/>
              <w:right w:w="20" w:type="dxa"/>
            </w:tcMar>
          </w:tcPr>
          <w:p w14:paraId="71D3D5D7" w14:textId="77777777" w:rsidR="006A3667" w:rsidRDefault="00045F32">
            <w:pPr>
              <w:textAlignment w:val="top"/>
            </w:pPr>
            <w:r>
              <w:rPr>
                <w:rFonts w:ascii="Arial" w:eastAsia="宋体" w:hAnsi="Arial" w:cs="Arial"/>
                <w:color w:val="000000"/>
                <w:sz w:val="18"/>
                <w:szCs w:val="18"/>
              </w:rPr>
              <w:t>Signatures</w:t>
            </w:r>
          </w:p>
        </w:tc>
        <w:tc>
          <w:tcPr>
            <w:tcW w:w="0" w:type="auto"/>
            <w:gridSpan w:val="3"/>
            <w:shd w:val="clear" w:color="auto" w:fill="auto"/>
            <w:tcMar>
              <w:top w:w="40" w:type="dxa"/>
              <w:left w:w="20" w:type="dxa"/>
              <w:bottom w:w="40" w:type="dxa"/>
              <w:right w:w="20" w:type="dxa"/>
            </w:tcMar>
            <w:vAlign w:val="center"/>
          </w:tcPr>
          <w:p w14:paraId="71D3D5D8" w14:textId="77777777" w:rsidR="006A3667" w:rsidRDefault="00045F32">
            <w:pPr>
              <w:jc w:val="right"/>
              <w:textAlignment w:val="center"/>
            </w:pPr>
            <w:hyperlink r:id="rId63" w:anchor="ia63ac470633f4c4b8c7d6b2ec0d71e23_364" w:history="1">
              <w:r>
                <w:rPr>
                  <w:rStyle w:val="a5"/>
                  <w:rFonts w:ascii="Arial" w:eastAsia="宋体" w:hAnsi="Arial" w:cs="Arial"/>
                  <w:color w:val="000000"/>
                  <w:sz w:val="18"/>
                  <w:szCs w:val="18"/>
                  <w:u w:val="none"/>
                </w:rPr>
                <w:t>101</w:t>
              </w:r>
            </w:hyperlink>
          </w:p>
        </w:tc>
      </w:tr>
      <w:tr w:rsidR="006A3667" w14:paraId="71D3D5DD" w14:textId="77777777">
        <w:trPr>
          <w:hidden/>
        </w:trPr>
        <w:tc>
          <w:tcPr>
            <w:tcW w:w="0" w:type="auto"/>
            <w:gridSpan w:val="3"/>
            <w:shd w:val="clear" w:color="auto" w:fill="auto"/>
            <w:vAlign w:val="bottom"/>
          </w:tcPr>
          <w:p w14:paraId="71D3D5DA" w14:textId="77777777" w:rsidR="006A3667" w:rsidRDefault="006A3667">
            <w:pPr>
              <w:rPr>
                <w:rFonts w:ascii="宋体"/>
                <w:vanish/>
              </w:rPr>
            </w:pPr>
          </w:p>
        </w:tc>
        <w:tc>
          <w:tcPr>
            <w:tcW w:w="0" w:type="auto"/>
            <w:gridSpan w:val="3"/>
            <w:shd w:val="clear" w:color="auto" w:fill="auto"/>
            <w:vAlign w:val="bottom"/>
          </w:tcPr>
          <w:p w14:paraId="71D3D5DB" w14:textId="77777777" w:rsidR="006A3667" w:rsidRDefault="006A3667">
            <w:pPr>
              <w:rPr>
                <w:rFonts w:ascii="宋体"/>
                <w:vanish/>
              </w:rPr>
            </w:pPr>
          </w:p>
        </w:tc>
        <w:tc>
          <w:tcPr>
            <w:tcW w:w="0" w:type="auto"/>
            <w:gridSpan w:val="3"/>
            <w:shd w:val="clear" w:color="auto" w:fill="auto"/>
            <w:vAlign w:val="bottom"/>
          </w:tcPr>
          <w:p w14:paraId="71D3D5DC" w14:textId="77777777" w:rsidR="006A3667" w:rsidRDefault="006A3667">
            <w:pPr>
              <w:rPr>
                <w:rFonts w:ascii="宋体"/>
                <w:vanish/>
              </w:rPr>
            </w:pPr>
          </w:p>
        </w:tc>
      </w:tr>
      <w:tr w:rsidR="006A3667" w14:paraId="71D3D5E1" w14:textId="77777777">
        <w:trPr>
          <w:hidden/>
        </w:trPr>
        <w:tc>
          <w:tcPr>
            <w:tcW w:w="0" w:type="auto"/>
            <w:gridSpan w:val="3"/>
            <w:shd w:val="clear" w:color="auto" w:fill="auto"/>
            <w:vAlign w:val="bottom"/>
          </w:tcPr>
          <w:p w14:paraId="71D3D5DE" w14:textId="77777777" w:rsidR="006A3667" w:rsidRDefault="006A3667">
            <w:pPr>
              <w:rPr>
                <w:rFonts w:ascii="宋体"/>
                <w:vanish/>
              </w:rPr>
            </w:pPr>
          </w:p>
        </w:tc>
        <w:tc>
          <w:tcPr>
            <w:tcW w:w="0" w:type="auto"/>
            <w:gridSpan w:val="3"/>
            <w:shd w:val="clear" w:color="auto" w:fill="auto"/>
            <w:vAlign w:val="bottom"/>
          </w:tcPr>
          <w:p w14:paraId="71D3D5DF" w14:textId="77777777" w:rsidR="006A3667" w:rsidRDefault="006A3667">
            <w:pPr>
              <w:rPr>
                <w:rFonts w:ascii="宋体"/>
                <w:vanish/>
              </w:rPr>
            </w:pPr>
          </w:p>
        </w:tc>
        <w:tc>
          <w:tcPr>
            <w:tcW w:w="0" w:type="auto"/>
            <w:gridSpan w:val="3"/>
            <w:shd w:val="clear" w:color="auto" w:fill="auto"/>
            <w:vAlign w:val="bottom"/>
          </w:tcPr>
          <w:p w14:paraId="71D3D5E0" w14:textId="77777777" w:rsidR="006A3667" w:rsidRDefault="006A3667">
            <w:pPr>
              <w:rPr>
                <w:rFonts w:ascii="宋体"/>
                <w:vanish/>
              </w:rPr>
            </w:pPr>
          </w:p>
        </w:tc>
      </w:tr>
      <w:tr w:rsidR="006A3667" w14:paraId="71D3D5E5" w14:textId="77777777">
        <w:trPr>
          <w:hidden/>
        </w:trPr>
        <w:tc>
          <w:tcPr>
            <w:tcW w:w="0" w:type="auto"/>
            <w:gridSpan w:val="3"/>
            <w:shd w:val="clear" w:color="auto" w:fill="auto"/>
            <w:vAlign w:val="bottom"/>
          </w:tcPr>
          <w:p w14:paraId="71D3D5E2" w14:textId="77777777" w:rsidR="006A3667" w:rsidRDefault="006A3667">
            <w:pPr>
              <w:rPr>
                <w:rFonts w:ascii="宋体"/>
                <w:vanish/>
              </w:rPr>
            </w:pPr>
          </w:p>
        </w:tc>
        <w:tc>
          <w:tcPr>
            <w:tcW w:w="0" w:type="auto"/>
            <w:gridSpan w:val="3"/>
            <w:shd w:val="clear" w:color="auto" w:fill="auto"/>
            <w:vAlign w:val="bottom"/>
          </w:tcPr>
          <w:p w14:paraId="71D3D5E3" w14:textId="77777777" w:rsidR="006A3667" w:rsidRDefault="006A3667">
            <w:pPr>
              <w:rPr>
                <w:rFonts w:ascii="宋体"/>
                <w:vanish/>
              </w:rPr>
            </w:pPr>
          </w:p>
        </w:tc>
        <w:tc>
          <w:tcPr>
            <w:tcW w:w="0" w:type="auto"/>
            <w:gridSpan w:val="3"/>
            <w:shd w:val="clear" w:color="auto" w:fill="auto"/>
            <w:vAlign w:val="bottom"/>
          </w:tcPr>
          <w:p w14:paraId="71D3D5E4" w14:textId="77777777" w:rsidR="006A3667" w:rsidRDefault="006A3667">
            <w:pPr>
              <w:rPr>
                <w:rFonts w:ascii="宋体"/>
                <w:vanish/>
              </w:rPr>
            </w:pPr>
          </w:p>
        </w:tc>
      </w:tr>
      <w:tr w:rsidR="006A3667" w14:paraId="71D3D5E9" w14:textId="77777777">
        <w:trPr>
          <w:hidden/>
        </w:trPr>
        <w:tc>
          <w:tcPr>
            <w:tcW w:w="0" w:type="auto"/>
            <w:gridSpan w:val="3"/>
            <w:shd w:val="clear" w:color="auto" w:fill="auto"/>
            <w:vAlign w:val="bottom"/>
          </w:tcPr>
          <w:p w14:paraId="71D3D5E6" w14:textId="77777777" w:rsidR="006A3667" w:rsidRDefault="006A3667">
            <w:pPr>
              <w:rPr>
                <w:rFonts w:ascii="宋体"/>
                <w:vanish/>
              </w:rPr>
            </w:pPr>
          </w:p>
        </w:tc>
        <w:tc>
          <w:tcPr>
            <w:tcW w:w="0" w:type="auto"/>
            <w:gridSpan w:val="3"/>
            <w:shd w:val="clear" w:color="auto" w:fill="auto"/>
            <w:vAlign w:val="bottom"/>
          </w:tcPr>
          <w:p w14:paraId="71D3D5E7" w14:textId="77777777" w:rsidR="006A3667" w:rsidRDefault="006A3667">
            <w:pPr>
              <w:rPr>
                <w:rFonts w:ascii="宋体"/>
                <w:vanish/>
              </w:rPr>
            </w:pPr>
          </w:p>
        </w:tc>
        <w:tc>
          <w:tcPr>
            <w:tcW w:w="0" w:type="auto"/>
            <w:gridSpan w:val="3"/>
            <w:shd w:val="clear" w:color="auto" w:fill="auto"/>
            <w:vAlign w:val="bottom"/>
          </w:tcPr>
          <w:p w14:paraId="71D3D5E8" w14:textId="77777777" w:rsidR="006A3667" w:rsidRDefault="006A3667">
            <w:pPr>
              <w:rPr>
                <w:rFonts w:ascii="宋体"/>
                <w:vanish/>
              </w:rPr>
            </w:pPr>
          </w:p>
        </w:tc>
      </w:tr>
      <w:tr w:rsidR="006A3667" w14:paraId="71D3D5ED" w14:textId="77777777">
        <w:trPr>
          <w:hidden/>
        </w:trPr>
        <w:tc>
          <w:tcPr>
            <w:tcW w:w="0" w:type="auto"/>
            <w:gridSpan w:val="3"/>
            <w:shd w:val="clear" w:color="auto" w:fill="auto"/>
            <w:vAlign w:val="bottom"/>
          </w:tcPr>
          <w:p w14:paraId="71D3D5EA" w14:textId="77777777" w:rsidR="006A3667" w:rsidRDefault="006A3667">
            <w:pPr>
              <w:rPr>
                <w:rFonts w:ascii="宋体"/>
                <w:vanish/>
              </w:rPr>
            </w:pPr>
          </w:p>
        </w:tc>
        <w:tc>
          <w:tcPr>
            <w:tcW w:w="0" w:type="auto"/>
            <w:gridSpan w:val="3"/>
            <w:shd w:val="clear" w:color="auto" w:fill="auto"/>
            <w:vAlign w:val="bottom"/>
          </w:tcPr>
          <w:p w14:paraId="71D3D5EB" w14:textId="77777777" w:rsidR="006A3667" w:rsidRDefault="006A3667">
            <w:pPr>
              <w:rPr>
                <w:rFonts w:ascii="宋体"/>
                <w:vanish/>
              </w:rPr>
            </w:pPr>
          </w:p>
        </w:tc>
        <w:tc>
          <w:tcPr>
            <w:tcW w:w="0" w:type="auto"/>
            <w:gridSpan w:val="3"/>
            <w:shd w:val="clear" w:color="auto" w:fill="auto"/>
            <w:vAlign w:val="bottom"/>
          </w:tcPr>
          <w:p w14:paraId="71D3D5EC" w14:textId="77777777" w:rsidR="006A3667" w:rsidRDefault="006A3667">
            <w:pPr>
              <w:rPr>
                <w:rFonts w:ascii="宋体"/>
                <w:vanish/>
              </w:rPr>
            </w:pPr>
          </w:p>
        </w:tc>
      </w:tr>
      <w:tr w:rsidR="006A3667" w14:paraId="71D3D5F1" w14:textId="77777777">
        <w:trPr>
          <w:hidden/>
        </w:trPr>
        <w:tc>
          <w:tcPr>
            <w:tcW w:w="0" w:type="auto"/>
            <w:gridSpan w:val="3"/>
            <w:shd w:val="clear" w:color="auto" w:fill="auto"/>
            <w:vAlign w:val="bottom"/>
          </w:tcPr>
          <w:p w14:paraId="71D3D5EE" w14:textId="77777777" w:rsidR="006A3667" w:rsidRDefault="006A3667">
            <w:pPr>
              <w:rPr>
                <w:rFonts w:ascii="宋体"/>
                <w:vanish/>
              </w:rPr>
            </w:pPr>
          </w:p>
        </w:tc>
        <w:tc>
          <w:tcPr>
            <w:tcW w:w="0" w:type="auto"/>
            <w:gridSpan w:val="3"/>
            <w:shd w:val="clear" w:color="auto" w:fill="auto"/>
            <w:vAlign w:val="bottom"/>
          </w:tcPr>
          <w:p w14:paraId="71D3D5EF" w14:textId="77777777" w:rsidR="006A3667" w:rsidRDefault="006A3667">
            <w:pPr>
              <w:rPr>
                <w:rFonts w:ascii="宋体"/>
                <w:vanish/>
              </w:rPr>
            </w:pPr>
          </w:p>
        </w:tc>
        <w:tc>
          <w:tcPr>
            <w:tcW w:w="0" w:type="auto"/>
            <w:gridSpan w:val="3"/>
            <w:shd w:val="clear" w:color="auto" w:fill="auto"/>
            <w:vAlign w:val="bottom"/>
          </w:tcPr>
          <w:p w14:paraId="71D3D5F0" w14:textId="77777777" w:rsidR="006A3667" w:rsidRDefault="006A3667">
            <w:pPr>
              <w:rPr>
                <w:rFonts w:ascii="宋体"/>
                <w:vanish/>
              </w:rPr>
            </w:pPr>
          </w:p>
        </w:tc>
      </w:tr>
      <w:tr w:rsidR="006A3667" w14:paraId="71D3D5F5" w14:textId="77777777">
        <w:trPr>
          <w:hidden/>
        </w:trPr>
        <w:tc>
          <w:tcPr>
            <w:tcW w:w="0" w:type="auto"/>
            <w:gridSpan w:val="3"/>
            <w:shd w:val="clear" w:color="auto" w:fill="auto"/>
            <w:vAlign w:val="bottom"/>
          </w:tcPr>
          <w:p w14:paraId="71D3D5F2" w14:textId="77777777" w:rsidR="006A3667" w:rsidRDefault="006A3667">
            <w:pPr>
              <w:rPr>
                <w:rFonts w:ascii="宋体"/>
                <w:vanish/>
              </w:rPr>
            </w:pPr>
          </w:p>
        </w:tc>
        <w:tc>
          <w:tcPr>
            <w:tcW w:w="0" w:type="auto"/>
            <w:gridSpan w:val="3"/>
            <w:shd w:val="clear" w:color="auto" w:fill="auto"/>
            <w:vAlign w:val="bottom"/>
          </w:tcPr>
          <w:p w14:paraId="71D3D5F3" w14:textId="77777777" w:rsidR="006A3667" w:rsidRDefault="006A3667">
            <w:pPr>
              <w:rPr>
                <w:rFonts w:ascii="宋体"/>
                <w:vanish/>
              </w:rPr>
            </w:pPr>
          </w:p>
        </w:tc>
        <w:tc>
          <w:tcPr>
            <w:tcW w:w="0" w:type="auto"/>
            <w:gridSpan w:val="3"/>
            <w:shd w:val="clear" w:color="auto" w:fill="auto"/>
            <w:vAlign w:val="bottom"/>
          </w:tcPr>
          <w:p w14:paraId="71D3D5F4" w14:textId="77777777" w:rsidR="006A3667" w:rsidRDefault="006A3667">
            <w:pPr>
              <w:rPr>
                <w:rFonts w:ascii="宋体"/>
                <w:vanish/>
              </w:rPr>
            </w:pPr>
          </w:p>
        </w:tc>
      </w:tr>
      <w:tr w:rsidR="006A3667" w14:paraId="71D3D5F9" w14:textId="77777777">
        <w:trPr>
          <w:hidden/>
        </w:trPr>
        <w:tc>
          <w:tcPr>
            <w:tcW w:w="0" w:type="auto"/>
            <w:gridSpan w:val="3"/>
            <w:shd w:val="clear" w:color="auto" w:fill="auto"/>
            <w:vAlign w:val="bottom"/>
          </w:tcPr>
          <w:p w14:paraId="71D3D5F6" w14:textId="77777777" w:rsidR="006A3667" w:rsidRDefault="006A3667">
            <w:pPr>
              <w:rPr>
                <w:rFonts w:ascii="宋体"/>
                <w:vanish/>
              </w:rPr>
            </w:pPr>
          </w:p>
        </w:tc>
        <w:tc>
          <w:tcPr>
            <w:tcW w:w="0" w:type="auto"/>
            <w:gridSpan w:val="3"/>
            <w:shd w:val="clear" w:color="auto" w:fill="auto"/>
            <w:vAlign w:val="bottom"/>
          </w:tcPr>
          <w:p w14:paraId="71D3D5F7" w14:textId="77777777" w:rsidR="006A3667" w:rsidRDefault="006A3667">
            <w:pPr>
              <w:rPr>
                <w:rFonts w:ascii="宋体"/>
                <w:vanish/>
              </w:rPr>
            </w:pPr>
          </w:p>
        </w:tc>
        <w:tc>
          <w:tcPr>
            <w:tcW w:w="0" w:type="auto"/>
            <w:gridSpan w:val="3"/>
            <w:shd w:val="clear" w:color="auto" w:fill="auto"/>
            <w:vAlign w:val="bottom"/>
          </w:tcPr>
          <w:p w14:paraId="71D3D5F8" w14:textId="77777777" w:rsidR="006A3667" w:rsidRDefault="006A3667">
            <w:pPr>
              <w:rPr>
                <w:rFonts w:ascii="宋体"/>
                <w:vanish/>
              </w:rPr>
            </w:pPr>
          </w:p>
        </w:tc>
      </w:tr>
    </w:tbl>
    <w:p w14:paraId="71D3D5FA" w14:textId="77777777" w:rsidR="006A3667" w:rsidRDefault="006A3667">
      <w:pPr>
        <w:ind w:firstLine="450"/>
      </w:pPr>
    </w:p>
    <w:p w14:paraId="71D3D5FB" w14:textId="77777777" w:rsidR="006A3667" w:rsidRDefault="006A3667">
      <w:pPr>
        <w:ind w:firstLine="450"/>
      </w:pPr>
    </w:p>
    <w:p w14:paraId="71D3D5FC" w14:textId="77777777" w:rsidR="006A3667" w:rsidRDefault="006A3667">
      <w:pPr>
        <w:ind w:firstLine="450"/>
      </w:pPr>
    </w:p>
    <w:p w14:paraId="71D3D5FD" w14:textId="77777777" w:rsidR="006A3667" w:rsidRDefault="006A3667">
      <w:pPr>
        <w:ind w:firstLine="450"/>
      </w:pPr>
    </w:p>
    <w:p w14:paraId="71D3D5FE" w14:textId="77777777" w:rsidR="006A3667" w:rsidRDefault="006A3667">
      <w:pPr>
        <w:ind w:firstLine="450"/>
      </w:pPr>
    </w:p>
    <w:p w14:paraId="71D3D5FF" w14:textId="77777777" w:rsidR="006A3667" w:rsidRDefault="006A3667">
      <w:pPr>
        <w:ind w:firstLine="450"/>
      </w:pPr>
    </w:p>
    <w:p w14:paraId="71D3D600" w14:textId="77777777" w:rsidR="006A3667" w:rsidRDefault="006A3667">
      <w:pPr>
        <w:ind w:firstLine="450"/>
      </w:pPr>
    </w:p>
    <w:p w14:paraId="71D3D601" w14:textId="77777777" w:rsidR="006A3667" w:rsidRDefault="006A3667">
      <w:pPr>
        <w:ind w:firstLine="450"/>
      </w:pPr>
    </w:p>
    <w:p w14:paraId="71D3D602" w14:textId="77777777" w:rsidR="006A3667" w:rsidRDefault="006A3667">
      <w:pPr>
        <w:ind w:firstLine="450"/>
      </w:pPr>
    </w:p>
    <w:p w14:paraId="71D3D603" w14:textId="77777777" w:rsidR="006A3667" w:rsidRDefault="006A3667">
      <w:pPr>
        <w:ind w:firstLine="450"/>
      </w:pPr>
    </w:p>
    <w:p w14:paraId="71D3D604" w14:textId="77777777" w:rsidR="006A3667" w:rsidRDefault="006A3667">
      <w:pPr>
        <w:ind w:firstLine="450"/>
      </w:pPr>
    </w:p>
    <w:p w14:paraId="71D3D605" w14:textId="77777777" w:rsidR="006A3667" w:rsidRDefault="006A3667">
      <w:pPr>
        <w:ind w:firstLine="450"/>
      </w:pPr>
    </w:p>
    <w:p w14:paraId="71D3D606" w14:textId="77777777" w:rsidR="006A3667" w:rsidRDefault="006A3667">
      <w:pPr>
        <w:ind w:firstLine="450"/>
      </w:pPr>
    </w:p>
    <w:p w14:paraId="71D3D607" w14:textId="77777777" w:rsidR="006A3667" w:rsidRDefault="006A3667">
      <w:pPr>
        <w:ind w:firstLine="450"/>
      </w:pPr>
    </w:p>
    <w:p w14:paraId="71D3D608" w14:textId="77777777" w:rsidR="006A3667" w:rsidRDefault="006A3667">
      <w:pPr>
        <w:ind w:firstLine="450"/>
      </w:pPr>
    </w:p>
    <w:p w14:paraId="71D3D609" w14:textId="77777777" w:rsidR="006A3667" w:rsidRDefault="006A3667">
      <w:pPr>
        <w:ind w:firstLine="450"/>
      </w:pPr>
    </w:p>
    <w:p w14:paraId="71D3D60A" w14:textId="77777777" w:rsidR="006A3667" w:rsidRDefault="006A3667">
      <w:pPr>
        <w:ind w:firstLine="450"/>
      </w:pPr>
    </w:p>
    <w:p w14:paraId="71D3D60B" w14:textId="77777777" w:rsidR="006A3667" w:rsidRDefault="006A3667">
      <w:pPr>
        <w:ind w:firstLine="450"/>
      </w:pPr>
    </w:p>
    <w:p w14:paraId="71D3D60C" w14:textId="77777777" w:rsidR="006A3667" w:rsidRDefault="006A3667">
      <w:pPr>
        <w:ind w:firstLine="450"/>
      </w:pPr>
    </w:p>
    <w:p w14:paraId="71D3D60D" w14:textId="77777777" w:rsidR="006A3667" w:rsidRDefault="006A3667">
      <w:pPr>
        <w:ind w:firstLine="450"/>
      </w:pPr>
    </w:p>
    <w:p w14:paraId="71D3D60E" w14:textId="77777777" w:rsidR="006A3667" w:rsidRDefault="006A3667">
      <w:pPr>
        <w:ind w:firstLine="450"/>
      </w:pPr>
    </w:p>
    <w:p w14:paraId="71D3D60F" w14:textId="77777777" w:rsidR="006A3667" w:rsidRDefault="006A3667">
      <w:pPr>
        <w:ind w:firstLine="450"/>
      </w:pPr>
    </w:p>
    <w:p w14:paraId="71D3D610" w14:textId="77777777" w:rsidR="006A3667" w:rsidRDefault="006A3667">
      <w:pPr>
        <w:ind w:firstLine="450"/>
      </w:pPr>
    </w:p>
    <w:p w14:paraId="71D3D611" w14:textId="77777777" w:rsidR="006A3667" w:rsidRDefault="006A3667">
      <w:pPr>
        <w:ind w:firstLine="450"/>
      </w:pPr>
    </w:p>
    <w:p w14:paraId="71D3D612" w14:textId="77777777" w:rsidR="006A3667" w:rsidRDefault="006A3667">
      <w:pPr>
        <w:ind w:firstLine="450"/>
      </w:pPr>
    </w:p>
    <w:p w14:paraId="71D3D613" w14:textId="77777777" w:rsidR="006A3667" w:rsidRDefault="006A3667">
      <w:pPr>
        <w:ind w:firstLine="450"/>
      </w:pPr>
    </w:p>
    <w:p w14:paraId="71D3D614" w14:textId="77777777" w:rsidR="006A3667" w:rsidRDefault="006A3667">
      <w:pPr>
        <w:ind w:firstLine="450"/>
      </w:pPr>
    </w:p>
    <w:p w14:paraId="71D3D615" w14:textId="77777777" w:rsidR="006A3667" w:rsidRDefault="006A3667">
      <w:pPr>
        <w:ind w:firstLine="450"/>
      </w:pPr>
    </w:p>
    <w:p w14:paraId="71D3D616" w14:textId="77777777" w:rsidR="006A3667" w:rsidRDefault="006A3667">
      <w:pPr>
        <w:ind w:firstLine="450"/>
      </w:pPr>
    </w:p>
    <w:p w14:paraId="71D3D617" w14:textId="77777777" w:rsidR="006A3667" w:rsidRDefault="006A3667">
      <w:pPr>
        <w:ind w:firstLine="450"/>
      </w:pPr>
    </w:p>
    <w:p w14:paraId="71D3D618" w14:textId="77777777" w:rsidR="006A3667" w:rsidRDefault="006A3667">
      <w:pPr>
        <w:ind w:firstLine="720"/>
        <w:jc w:val="both"/>
      </w:pPr>
    </w:p>
    <w:p w14:paraId="71D3D619" w14:textId="77777777" w:rsidR="006A3667" w:rsidRDefault="00045F32">
      <w:pPr>
        <w:ind w:firstLine="720"/>
        <w:jc w:val="both"/>
      </w:pPr>
      <w:r>
        <w:rPr>
          <w:rFonts w:ascii="Arial" w:eastAsia="宋体" w:hAnsi="Arial" w:cs="Arial"/>
          <w:color w:val="000000"/>
          <w:sz w:val="20"/>
          <w:szCs w:val="20"/>
        </w:rPr>
        <w:t xml:space="preserve">We use acronyms and other defined terms for certain business terms and abbreviations, as defined in the acronyms list and </w:t>
      </w:r>
      <w:r>
        <w:rPr>
          <w:rFonts w:ascii="Arial" w:eastAsia="宋体" w:hAnsi="Arial" w:cs="Arial"/>
          <w:color w:val="000000"/>
          <w:sz w:val="20"/>
          <w:szCs w:val="20"/>
        </w:rPr>
        <w:t>glossary following the consolidated financial statements in this Form 10-Q.</w:t>
      </w:r>
    </w:p>
    <w:p w14:paraId="71D3D61A" w14:textId="77777777" w:rsidR="006A3667" w:rsidRDefault="00045F32">
      <w:pPr>
        <w:ind w:firstLine="450"/>
        <w:jc w:val="right"/>
      </w:pPr>
      <w:r>
        <w:rPr>
          <w:rFonts w:ascii="Arial" w:eastAsia="宋体" w:hAnsi="Arial" w:cs="Arial"/>
          <w:color w:val="000000"/>
          <w:sz w:val="18"/>
          <w:szCs w:val="18"/>
        </w:rPr>
        <w:t>State Street Corporation | 3</w:t>
      </w:r>
    </w:p>
    <w:p w14:paraId="71D3D61B" w14:textId="77777777" w:rsidR="006A3667" w:rsidRDefault="006A3667">
      <w:pPr>
        <w:ind w:firstLine="450"/>
        <w:jc w:val="center"/>
      </w:pPr>
    </w:p>
    <w:p w14:paraId="71D3D61C" w14:textId="77777777" w:rsidR="006A3667" w:rsidRDefault="00045F32">
      <w:r>
        <w:pict w14:anchorId="71D4AC17">
          <v:rect id="_x0000_i1027" style="width:415.3pt;height:1.5pt" o:hralign="center" o:hrstd="t" o:hr="t" fillcolor="#a0a0a0" stroked="f"/>
        </w:pict>
      </w:r>
    </w:p>
    <w:p w14:paraId="71D3D61D"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D61E" w14:textId="77777777" w:rsidR="006A3667" w:rsidRDefault="00045F32">
      <w:pPr>
        <w:ind w:firstLine="450"/>
        <w:jc w:val="center"/>
      </w:pPr>
      <w:r>
        <w:rPr>
          <w:rFonts w:ascii="Arial" w:eastAsia="宋体" w:hAnsi="Arial" w:cs="Arial"/>
          <w:b/>
          <w:bCs/>
          <w:color w:val="000000"/>
          <w:sz w:val="20"/>
          <w:szCs w:val="20"/>
        </w:rPr>
        <w:t>AND RESULTS OF OPERATIONS</w:t>
      </w:r>
    </w:p>
    <w:p w14:paraId="71D3D61F" w14:textId="77777777" w:rsidR="006A3667" w:rsidRDefault="00045F32">
      <w:pPr>
        <w:spacing w:before="90"/>
        <w:textAlignment w:val="top"/>
      </w:pPr>
      <w:r>
        <w:rPr>
          <w:rFonts w:ascii="Arial" w:eastAsia="宋体" w:hAnsi="Arial" w:cs="Arial"/>
          <w:b/>
          <w:bCs/>
          <w:color w:val="000000"/>
          <w:sz w:val="20"/>
          <w:szCs w:val="20"/>
        </w:rPr>
        <w:t>PART I. FINANCIAL INFORMATION</w:t>
      </w:r>
    </w:p>
    <w:p w14:paraId="71D3D620" w14:textId="77777777" w:rsidR="006A3667" w:rsidRDefault="006A3667">
      <w:pPr>
        <w:textAlignment w:val="top"/>
      </w:pPr>
    </w:p>
    <w:p w14:paraId="71D3D621" w14:textId="77777777" w:rsidR="006A3667" w:rsidRDefault="006A3667">
      <w:pPr>
        <w:spacing w:before="90"/>
        <w:jc w:val="both"/>
        <w:textAlignment w:val="top"/>
      </w:pPr>
    </w:p>
    <w:p w14:paraId="71D3D622" w14:textId="77777777" w:rsidR="006A3667" w:rsidRDefault="00045F32">
      <w:pPr>
        <w:spacing w:before="90"/>
        <w:jc w:val="both"/>
      </w:pPr>
      <w:r>
        <w:rPr>
          <w:rFonts w:ascii="Arial" w:eastAsia="宋体" w:hAnsi="Arial" w:cs="Arial"/>
          <w:b/>
          <w:bCs/>
          <w:color w:val="000000"/>
          <w:sz w:val="20"/>
          <w:szCs w:val="20"/>
        </w:rPr>
        <w:t>GENERAL</w:t>
      </w:r>
    </w:p>
    <w:p w14:paraId="71D3D623" w14:textId="77777777" w:rsidR="006A3667" w:rsidRDefault="00045F32">
      <w:pPr>
        <w:spacing w:before="60"/>
        <w:ind w:firstLine="450"/>
        <w:jc w:val="both"/>
        <w:textAlignment w:val="top"/>
      </w:pPr>
      <w:r>
        <w:rPr>
          <w:rFonts w:ascii="Arial" w:eastAsia="宋体" w:hAnsi="Arial" w:cs="Arial"/>
          <w:color w:val="000000"/>
          <w:sz w:val="20"/>
          <w:szCs w:val="20"/>
        </w:rPr>
        <w:t xml:space="preserve">State Street </w:t>
      </w:r>
      <w:r>
        <w:rPr>
          <w:rFonts w:ascii="Arial" w:eastAsia="宋体" w:hAnsi="Arial" w:cs="Arial"/>
          <w:color w:val="000000"/>
          <w:sz w:val="20"/>
          <w:szCs w:val="20"/>
        </w:rPr>
        <w:t>Corporation, referred to as the Parent Company, is a financial holding company organized in 1969 under the laws of the Commonwealth of Massachusetts. Our executive offices are located at One Lincoln Street, Boston, Massachusetts 02111 (telephone (617) 786-</w:t>
      </w:r>
      <w:r>
        <w:rPr>
          <w:rFonts w:ascii="Arial" w:eastAsia="宋体" w:hAnsi="Arial" w:cs="Arial"/>
          <w:color w:val="000000"/>
          <w:sz w:val="20"/>
          <w:szCs w:val="20"/>
        </w:rPr>
        <w:t>3000). For purposes of this Quarterly Report on Form 10-Q for the quarter ended September 30, 2022 (Form 10-Q), unless the context requires otherwise, references to "State Street," "we," "us," "our" or similar terms mean State Street Corporation and its su</w:t>
      </w:r>
      <w:r>
        <w:rPr>
          <w:rFonts w:ascii="Arial" w:eastAsia="宋体" w:hAnsi="Arial" w:cs="Arial"/>
          <w:color w:val="000000"/>
          <w:sz w:val="20"/>
          <w:szCs w:val="20"/>
        </w:rPr>
        <w:t>bsidiaries on a consolidated basis. The Parent Company is a source of financial and managerial strength to our subsidiaries. Through our subsidiaries, including our principal banking subsidiary, State Street Bank and Trust Company, referred to as State Str</w:t>
      </w:r>
      <w:r>
        <w:rPr>
          <w:rFonts w:ascii="Arial" w:eastAsia="宋体" w:hAnsi="Arial" w:cs="Arial"/>
          <w:color w:val="000000"/>
          <w:sz w:val="20"/>
          <w:szCs w:val="20"/>
        </w:rPr>
        <w:t>eet Bank, we provide a broad range of financial products and services to institutional investors worldwide, with $35.69 trillion of AUC/A and $3.27 trillion of AUM as of September 30, 2022.</w:t>
      </w:r>
    </w:p>
    <w:p w14:paraId="71D3D624" w14:textId="77777777" w:rsidR="006A3667" w:rsidRDefault="00045F32">
      <w:pPr>
        <w:spacing w:before="60"/>
        <w:ind w:firstLine="450"/>
        <w:jc w:val="both"/>
        <w:textAlignment w:val="top"/>
      </w:pPr>
      <w:r>
        <w:rPr>
          <w:rFonts w:ascii="Arial" w:eastAsia="宋体" w:hAnsi="Arial" w:cs="Arial"/>
          <w:color w:val="000000"/>
          <w:sz w:val="20"/>
          <w:szCs w:val="20"/>
        </w:rPr>
        <w:t>As of September 30, 2022, we had consolidated total assets of $303</w:t>
      </w:r>
      <w:r>
        <w:rPr>
          <w:rFonts w:ascii="Arial" w:eastAsia="宋体" w:hAnsi="Arial" w:cs="Arial"/>
          <w:color w:val="000000"/>
          <w:sz w:val="20"/>
          <w:szCs w:val="20"/>
        </w:rPr>
        <w:t>.57 billion, consolidated total deposits of $238.24 billion, consolidated total shareholders' equity of $25.65 billion and 41,354 employees. We operate in more than</w:t>
      </w:r>
      <w:r>
        <w:rPr>
          <w:rFonts w:ascii="Arial" w:eastAsia="宋体" w:hAnsi="Arial" w:cs="Arial"/>
          <w:color w:val="000000"/>
          <w:sz w:val="20"/>
          <w:szCs w:val="20"/>
          <w:shd w:val="clear" w:color="auto" w:fill="FFFFFF"/>
        </w:rPr>
        <w:t xml:space="preserve"> 100</w:t>
      </w:r>
      <w:r>
        <w:rPr>
          <w:rFonts w:ascii="Arial" w:eastAsia="宋体" w:hAnsi="Arial" w:cs="Arial"/>
          <w:color w:val="000000"/>
          <w:sz w:val="20"/>
          <w:szCs w:val="20"/>
        </w:rPr>
        <w:t xml:space="preserve"> geographic markets worldwide, including in the U.S., Canada, Europe, the Middle East an</w:t>
      </w:r>
      <w:r>
        <w:rPr>
          <w:rFonts w:ascii="Arial" w:eastAsia="宋体" w:hAnsi="Arial" w:cs="Arial"/>
          <w:color w:val="000000"/>
          <w:sz w:val="20"/>
          <w:szCs w:val="20"/>
        </w:rPr>
        <w:t>d Asia.</w:t>
      </w:r>
    </w:p>
    <w:p w14:paraId="71D3D625" w14:textId="77777777" w:rsidR="006A3667" w:rsidRDefault="00045F32">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w:t>
      </w:r>
    </w:p>
    <w:p w14:paraId="71D3D626" w14:textId="77777777" w:rsidR="006A3667" w:rsidRDefault="00045F32">
      <w:pPr>
        <w:spacing w:before="60"/>
        <w:ind w:firstLine="450"/>
        <w:jc w:val="both"/>
        <w:textAlignment w:val="top"/>
      </w:pPr>
      <w:r>
        <w:rPr>
          <w:rFonts w:ascii="Arial" w:eastAsia="宋体" w:hAnsi="Arial" w:cs="Arial"/>
          <w:color w:val="000000"/>
          <w:sz w:val="20"/>
          <w:szCs w:val="20"/>
        </w:rPr>
        <w:t>Additional information about our lines of business is provided in Line of Business I</w:t>
      </w:r>
      <w:r>
        <w:rPr>
          <w:rFonts w:ascii="Arial" w:eastAsia="宋体" w:hAnsi="Arial" w:cs="Arial"/>
          <w:color w:val="000000"/>
          <w:sz w:val="20"/>
          <w:szCs w:val="20"/>
        </w:rPr>
        <w:t>nformation in this Management's Discussion and Analysis and Note 17 to the consolidated financial statements in this Form 10-Q.</w:t>
      </w:r>
    </w:p>
    <w:p w14:paraId="71D3D627" w14:textId="77777777" w:rsidR="006A3667" w:rsidRDefault="00045F32">
      <w:pPr>
        <w:spacing w:before="60"/>
        <w:ind w:firstLine="450"/>
        <w:jc w:val="both"/>
        <w:textAlignment w:val="top"/>
      </w:pPr>
      <w:r>
        <w:rPr>
          <w:rFonts w:ascii="Arial" w:eastAsia="宋体" w:hAnsi="Arial" w:cs="Arial"/>
          <w:color w:val="000000"/>
          <w:sz w:val="20"/>
          <w:szCs w:val="20"/>
        </w:rPr>
        <w:t>This Management's Discussion and Analysis is part of the Form 10-Q and updates the Management's Discussion and Analysis in our 2</w:t>
      </w:r>
      <w:r>
        <w:rPr>
          <w:rFonts w:ascii="Arial" w:eastAsia="宋体" w:hAnsi="Arial" w:cs="Arial"/>
          <w:color w:val="000000"/>
          <w:sz w:val="20"/>
          <w:szCs w:val="20"/>
        </w:rPr>
        <w:t>021 Annual Report on Form 10-K for the year ended December 31, 2021 previously filed with the SEC (2021 Form 10-K). You should read the financial information contained in this Management's Discussion and Analysis and elsewhere in this Form 10-Q in conjunct</w:t>
      </w:r>
      <w:r>
        <w:rPr>
          <w:rFonts w:ascii="Arial" w:eastAsia="宋体" w:hAnsi="Arial" w:cs="Arial"/>
          <w:color w:val="000000"/>
          <w:sz w:val="20"/>
          <w:szCs w:val="20"/>
        </w:rPr>
        <w:t>ion with the financial and other information contained in our 2021 Form 10-K. Certain previously reported amounts presented in this Form 10-Q have been reclassified to conform to current-period presentation.</w:t>
      </w:r>
    </w:p>
    <w:p w14:paraId="71D3D628" w14:textId="77777777" w:rsidR="006A3667" w:rsidRDefault="00045F32">
      <w:pPr>
        <w:spacing w:before="60"/>
        <w:ind w:firstLine="450"/>
        <w:jc w:val="both"/>
        <w:textAlignment w:val="top"/>
      </w:pPr>
      <w:r>
        <w:rPr>
          <w:rFonts w:ascii="Arial" w:eastAsia="宋体" w:hAnsi="Arial" w:cs="Arial"/>
          <w:color w:val="000000"/>
          <w:sz w:val="20"/>
          <w:szCs w:val="20"/>
        </w:rPr>
        <w:t>We prepare our consolidated financial statements</w:t>
      </w:r>
      <w:r>
        <w:rPr>
          <w:rFonts w:ascii="Arial" w:eastAsia="宋体" w:hAnsi="Arial" w:cs="Arial"/>
          <w:color w:val="000000"/>
          <w:sz w:val="20"/>
          <w:szCs w:val="20"/>
        </w:rPr>
        <w:t xml:space="preserve"> in conformity with U.S. GAAP. The preparation of financial statements in conformity with U.S. GAAP requires management to make estimates </w:t>
      </w:r>
    </w:p>
    <w:p w14:paraId="71D3D629" w14:textId="77777777" w:rsidR="006A3667" w:rsidRDefault="00045F32">
      <w:pPr>
        <w:spacing w:before="60"/>
        <w:jc w:val="both"/>
        <w:textAlignment w:val="top"/>
      </w:pPr>
      <w:r>
        <w:rPr>
          <w:rFonts w:ascii="Arial" w:eastAsia="宋体" w:hAnsi="Arial" w:cs="Arial"/>
          <w:color w:val="000000"/>
          <w:sz w:val="20"/>
          <w:szCs w:val="20"/>
        </w:rPr>
        <w:t>and assumptions in its application of certain accounting policies that materially affect the reported amounts of asse</w:t>
      </w:r>
      <w:r>
        <w:rPr>
          <w:rFonts w:ascii="Arial" w:eastAsia="宋体" w:hAnsi="Arial" w:cs="Arial"/>
          <w:color w:val="000000"/>
          <w:sz w:val="20"/>
          <w:szCs w:val="20"/>
        </w:rPr>
        <w:t>ts, liabilities, equity, revenue and expenses.</w:t>
      </w:r>
    </w:p>
    <w:p w14:paraId="71D3D62A" w14:textId="77777777" w:rsidR="006A3667" w:rsidRDefault="00045F32">
      <w:pPr>
        <w:spacing w:before="60"/>
        <w:ind w:firstLine="450"/>
        <w:jc w:val="both"/>
        <w:textAlignment w:val="top"/>
      </w:pPr>
      <w:r>
        <w:rPr>
          <w:rFonts w:ascii="Arial" w:eastAsia="宋体" w:hAnsi="Arial" w:cs="Arial"/>
          <w:color w:val="000000"/>
          <w:sz w:val="20"/>
          <w:szCs w:val="20"/>
        </w:rPr>
        <w:t xml:space="preserve">The significant accounting policies that require us to make judgments, estimates and assumptions that are difficult, subjective or complex about matters that are uncertain and may change in subsequent periods </w:t>
      </w:r>
      <w:r>
        <w:rPr>
          <w:rFonts w:ascii="Arial" w:eastAsia="宋体" w:hAnsi="Arial" w:cs="Arial"/>
          <w:color w:val="000000"/>
          <w:sz w:val="20"/>
          <w:szCs w:val="20"/>
        </w:rPr>
        <w:t>include:</w:t>
      </w:r>
    </w:p>
    <w:p w14:paraId="71D3D62B" w14:textId="77777777" w:rsidR="006A3667" w:rsidRDefault="00045F32">
      <w:pPr>
        <w:spacing w:before="20"/>
        <w:ind w:hanging="360"/>
        <w:textAlignment w:val="top"/>
      </w:pPr>
      <w:r>
        <w:rPr>
          <w:rFonts w:ascii="Arial" w:eastAsia="宋体" w:hAnsi="Arial" w:cs="Arial"/>
          <w:color w:val="000000"/>
          <w:sz w:val="20"/>
          <w:szCs w:val="20"/>
        </w:rPr>
        <w:t>•accounting for fair value measurements;</w:t>
      </w:r>
    </w:p>
    <w:p w14:paraId="71D3D62C" w14:textId="77777777" w:rsidR="006A3667" w:rsidRDefault="00045F32">
      <w:pPr>
        <w:spacing w:before="20"/>
        <w:ind w:hanging="360"/>
        <w:textAlignment w:val="top"/>
      </w:pPr>
      <w:r>
        <w:rPr>
          <w:rFonts w:ascii="Arial" w:eastAsia="宋体" w:hAnsi="Arial" w:cs="Arial"/>
          <w:color w:val="000000"/>
          <w:sz w:val="20"/>
          <w:szCs w:val="20"/>
        </w:rPr>
        <w:t>•allowance for credit losses;</w:t>
      </w:r>
    </w:p>
    <w:p w14:paraId="71D3D62D" w14:textId="77777777" w:rsidR="006A3667" w:rsidRDefault="00045F32">
      <w:pPr>
        <w:spacing w:before="60"/>
        <w:ind w:hanging="360"/>
        <w:textAlignment w:val="top"/>
      </w:pPr>
      <w:r>
        <w:rPr>
          <w:rFonts w:ascii="Arial" w:eastAsia="宋体" w:hAnsi="Arial" w:cs="Arial"/>
          <w:color w:val="000000"/>
          <w:sz w:val="20"/>
          <w:szCs w:val="20"/>
        </w:rPr>
        <w:t>•impairment of goodwill and other intangible assets; and</w:t>
      </w:r>
    </w:p>
    <w:p w14:paraId="71D3D62E" w14:textId="77777777" w:rsidR="006A3667" w:rsidRDefault="00045F32">
      <w:pPr>
        <w:spacing w:before="20"/>
        <w:ind w:hanging="360"/>
        <w:textAlignment w:val="top"/>
      </w:pPr>
      <w:r>
        <w:rPr>
          <w:rFonts w:ascii="Arial" w:eastAsia="宋体" w:hAnsi="Arial" w:cs="Arial"/>
          <w:color w:val="000000"/>
          <w:sz w:val="20"/>
          <w:szCs w:val="20"/>
        </w:rPr>
        <w:t>•contingencies.</w:t>
      </w:r>
    </w:p>
    <w:p w14:paraId="71D3D62F" w14:textId="77777777" w:rsidR="006A3667" w:rsidRDefault="00045F32">
      <w:pPr>
        <w:spacing w:before="60"/>
        <w:ind w:firstLine="450"/>
        <w:jc w:val="both"/>
        <w:textAlignment w:val="top"/>
      </w:pPr>
      <w:r>
        <w:rPr>
          <w:rFonts w:ascii="Arial" w:eastAsia="宋体" w:hAnsi="Arial" w:cs="Arial"/>
          <w:color w:val="000000"/>
          <w:sz w:val="20"/>
          <w:szCs w:val="20"/>
        </w:rPr>
        <w:t xml:space="preserve">These significant accounting policies require the most subjective or complex judgments, and underlying </w:t>
      </w:r>
      <w:r>
        <w:rPr>
          <w:rFonts w:ascii="Arial" w:eastAsia="宋体" w:hAnsi="Arial" w:cs="Arial"/>
          <w:color w:val="000000"/>
          <w:sz w:val="20"/>
          <w:szCs w:val="20"/>
        </w:rPr>
        <w:t>estimates and assumptions could be subject to revision as new information becomes available. For additional information about these significant accounting policies refer to pages 124 to 126, “Significant Accounting Estimates” included under Item 7, Managem</w:t>
      </w:r>
      <w:r>
        <w:rPr>
          <w:rFonts w:ascii="Arial" w:eastAsia="宋体" w:hAnsi="Arial" w:cs="Arial"/>
          <w:color w:val="000000"/>
          <w:sz w:val="20"/>
          <w:szCs w:val="20"/>
        </w:rPr>
        <w:t>ent's Discussion and Analysis of Financial Condition and Results of Operations, in our 2021 Form 10-K. We did not change these significant accounting policies in the first nine months of 2022.</w:t>
      </w:r>
    </w:p>
    <w:p w14:paraId="71D3D630" w14:textId="77777777" w:rsidR="006A3667" w:rsidRDefault="00045F32">
      <w:pPr>
        <w:spacing w:before="60"/>
        <w:ind w:firstLine="450"/>
        <w:jc w:val="both"/>
        <w:textAlignment w:val="top"/>
      </w:pPr>
      <w:r>
        <w:rPr>
          <w:rFonts w:ascii="Arial" w:eastAsia="宋体" w:hAnsi="Arial" w:cs="Arial"/>
          <w:color w:val="000000"/>
          <w:sz w:val="20"/>
          <w:szCs w:val="20"/>
        </w:rPr>
        <w:t>Certain financial information provided in this Form 10-Q, inclu</w:t>
      </w:r>
      <w:r>
        <w:rPr>
          <w:rFonts w:ascii="Arial" w:eastAsia="宋体" w:hAnsi="Arial" w:cs="Arial"/>
          <w:color w:val="000000"/>
          <w:sz w:val="20"/>
          <w:szCs w:val="20"/>
        </w:rPr>
        <w:t xml:space="preserve">ding in this Management's Discussion and Analysis, is prepared on both a U.S. GAAP, or reported basis, and a non-GAAP basis. We measure and compare certain financial information on a non-GAAP basis, including information that management uses in evaluating </w:t>
      </w:r>
      <w:r>
        <w:rPr>
          <w:rFonts w:ascii="Arial" w:eastAsia="宋体" w:hAnsi="Arial" w:cs="Arial"/>
          <w:color w:val="000000"/>
          <w:sz w:val="20"/>
          <w:szCs w:val="20"/>
        </w:rPr>
        <w:t>our business and activities. Non-GAAP financial information should be considered in addition to, and not as a substitute for or superior to, financial information prepared in conformity with U.S. GAAP. Any non-GAAP financial information presented in this F</w:t>
      </w:r>
      <w:r>
        <w:rPr>
          <w:rFonts w:ascii="Arial" w:eastAsia="宋体" w:hAnsi="Arial" w:cs="Arial"/>
          <w:color w:val="000000"/>
          <w:sz w:val="20"/>
          <w:szCs w:val="20"/>
        </w:rPr>
        <w:t>orm 10-Q, including this Management’s Discussion and Analysis, is reconciled to its most directly comparable U.S. GAAP-basis measure.</w:t>
      </w:r>
    </w:p>
    <w:p w14:paraId="71D3D631" w14:textId="77777777" w:rsidR="006A3667" w:rsidRDefault="00045F32">
      <w:pPr>
        <w:spacing w:before="60"/>
        <w:ind w:firstLine="450"/>
        <w:jc w:val="both"/>
        <w:textAlignment w:val="top"/>
      </w:pPr>
      <w:r>
        <w:rPr>
          <w:rFonts w:ascii="Arial" w:eastAsia="宋体" w:hAnsi="Arial" w:cs="Arial"/>
          <w:color w:val="000000"/>
          <w:sz w:val="20"/>
          <w:szCs w:val="20"/>
        </w:rPr>
        <w:t>We further believe that our presentation of FTE NII, a non-GAAP measure, which reports non-taxable revenue, such as intere</w:t>
      </w:r>
      <w:r>
        <w:rPr>
          <w:rFonts w:ascii="Arial" w:eastAsia="宋体" w:hAnsi="Arial" w:cs="Arial"/>
          <w:color w:val="000000"/>
          <w:sz w:val="20"/>
          <w:szCs w:val="20"/>
        </w:rPr>
        <w:t>st income associated with tax-exempt investment securities, on a FTE basis, facilitates an investor's understanding and analysis of our underlying financial performance and trends.</w:t>
      </w:r>
    </w:p>
    <w:p w14:paraId="71D3D632" w14:textId="77777777" w:rsidR="006A3667" w:rsidRDefault="00045F32">
      <w:pPr>
        <w:spacing w:before="60"/>
        <w:ind w:firstLine="450"/>
        <w:jc w:val="both"/>
        <w:textAlignment w:val="top"/>
      </w:pPr>
      <w:r>
        <w:rPr>
          <w:rFonts w:ascii="Arial" w:eastAsia="宋体" w:hAnsi="Arial" w:cs="Arial"/>
          <w:color w:val="000000"/>
          <w:sz w:val="20"/>
          <w:szCs w:val="20"/>
        </w:rPr>
        <w:t>We provide additional disclosures required by applicable bank regulatory st</w:t>
      </w:r>
      <w:r>
        <w:rPr>
          <w:rFonts w:ascii="Arial" w:eastAsia="宋体" w:hAnsi="Arial" w:cs="Arial"/>
          <w:color w:val="000000"/>
          <w:sz w:val="20"/>
          <w:szCs w:val="20"/>
        </w:rPr>
        <w:t xml:space="preserve">andards, including supplemental qualitative and quantitative information with respect to regulatory capital (including market risk associated with our trading activities) and the </w:t>
      </w:r>
    </w:p>
    <w:p w14:paraId="71D3D633" w14:textId="77777777" w:rsidR="006A3667" w:rsidRDefault="00045F32">
      <w:pPr>
        <w:ind w:firstLine="450"/>
        <w:jc w:val="right"/>
      </w:pPr>
      <w:r>
        <w:rPr>
          <w:rFonts w:ascii="Arial" w:eastAsia="宋体" w:hAnsi="Arial" w:cs="Arial"/>
          <w:color w:val="000000"/>
          <w:sz w:val="18"/>
          <w:szCs w:val="18"/>
        </w:rPr>
        <w:t>State Street Corporation | 4</w:t>
      </w:r>
    </w:p>
    <w:p w14:paraId="71D3D634" w14:textId="77777777" w:rsidR="006A3667" w:rsidRDefault="006A3667">
      <w:pPr>
        <w:ind w:firstLine="450"/>
        <w:jc w:val="center"/>
      </w:pPr>
    </w:p>
    <w:p w14:paraId="71D3D635" w14:textId="77777777" w:rsidR="006A3667" w:rsidRDefault="00045F32">
      <w:r>
        <w:pict w14:anchorId="71D4AC18">
          <v:rect id="_x0000_i1028" style="width:415.3pt;height:1.5pt" o:hralign="center" o:hrstd="t" o:hr="t" fillcolor="#a0a0a0" stroked="f"/>
        </w:pict>
      </w:r>
    </w:p>
    <w:p w14:paraId="71D3D636" w14:textId="77777777" w:rsidR="006A3667" w:rsidRDefault="00045F32">
      <w:pPr>
        <w:ind w:firstLine="450"/>
        <w:jc w:val="center"/>
      </w:pPr>
      <w:r>
        <w:rPr>
          <w:rFonts w:ascii="Arial" w:eastAsia="宋体" w:hAnsi="Arial" w:cs="Arial"/>
          <w:b/>
          <w:bCs/>
          <w:color w:val="000000"/>
          <w:sz w:val="20"/>
          <w:szCs w:val="20"/>
        </w:rPr>
        <w:t>MANAGEMENT’S DISCUSSION AND ANALYSIS OF FINA</w:t>
      </w:r>
      <w:r>
        <w:rPr>
          <w:rFonts w:ascii="Arial" w:eastAsia="宋体" w:hAnsi="Arial" w:cs="Arial"/>
          <w:b/>
          <w:bCs/>
          <w:color w:val="000000"/>
          <w:sz w:val="20"/>
          <w:szCs w:val="20"/>
        </w:rPr>
        <w:t>NCIAL CONDITION</w:t>
      </w:r>
    </w:p>
    <w:p w14:paraId="71D3D637" w14:textId="77777777" w:rsidR="006A3667" w:rsidRDefault="00045F32">
      <w:pPr>
        <w:ind w:firstLine="450"/>
        <w:jc w:val="center"/>
      </w:pPr>
      <w:r>
        <w:rPr>
          <w:rFonts w:ascii="Arial" w:eastAsia="宋体" w:hAnsi="Arial" w:cs="Arial"/>
          <w:b/>
          <w:bCs/>
          <w:color w:val="000000"/>
          <w:sz w:val="20"/>
          <w:szCs w:val="20"/>
        </w:rPr>
        <w:t>AND RESULTS OF OPERATIONS</w:t>
      </w:r>
    </w:p>
    <w:p w14:paraId="71D3D638" w14:textId="77777777" w:rsidR="006A3667" w:rsidRDefault="00045F32">
      <w:pPr>
        <w:spacing w:before="60"/>
        <w:jc w:val="both"/>
        <w:textAlignment w:val="top"/>
      </w:pPr>
      <w:r>
        <w:rPr>
          <w:rFonts w:ascii="Arial" w:eastAsia="宋体" w:hAnsi="Arial" w:cs="Arial"/>
          <w:color w:val="000000"/>
          <w:sz w:val="20"/>
          <w:szCs w:val="20"/>
        </w:rPr>
        <w:t xml:space="preserve">LCR, summary results of semi-annual State Street-run stress tests which we conduct under the Dodd-Frank Act, and resolution plan disclosures required under the Dodd-Frank Act. These additional disclosures are accessible on the “Investor Relations” section </w:t>
      </w:r>
      <w:r>
        <w:rPr>
          <w:rFonts w:ascii="Arial" w:eastAsia="宋体" w:hAnsi="Arial" w:cs="Arial"/>
          <w:color w:val="000000"/>
          <w:sz w:val="20"/>
          <w:szCs w:val="20"/>
        </w:rPr>
        <w:t xml:space="preserve">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w:t>
      </w:r>
    </w:p>
    <w:p w14:paraId="71D3D639" w14:textId="77777777" w:rsidR="006A3667" w:rsidRDefault="00045F32">
      <w:pPr>
        <w:spacing w:before="60"/>
        <w:ind w:firstLine="450"/>
        <w:jc w:val="both"/>
        <w:textAlignment w:val="top"/>
      </w:pPr>
      <w:r>
        <w:rPr>
          <w:rFonts w:ascii="Arial" w:eastAsia="宋体" w:hAnsi="Arial" w:cs="Arial"/>
          <w:color w:val="000000"/>
          <w:sz w:val="20"/>
          <w:szCs w:val="20"/>
        </w:rPr>
        <w:t>We have included our website address in this report as an inactive textual reference only. Information on our website is not incorporated by reference into this Form 10-Q.</w:t>
      </w:r>
    </w:p>
    <w:p w14:paraId="71D3D63A" w14:textId="77777777" w:rsidR="006A3667" w:rsidRDefault="00045F32">
      <w:pPr>
        <w:spacing w:before="60"/>
        <w:ind w:firstLine="450"/>
        <w:jc w:val="both"/>
        <w:textAlignment w:val="top"/>
      </w:pPr>
      <w:r>
        <w:rPr>
          <w:rFonts w:ascii="Arial" w:eastAsia="宋体" w:hAnsi="Arial" w:cs="Arial"/>
          <w:color w:val="000000"/>
          <w:sz w:val="20"/>
          <w:szCs w:val="20"/>
        </w:rPr>
        <w:t xml:space="preserve">We use acronyms and other </w:t>
      </w:r>
      <w:r>
        <w:rPr>
          <w:rFonts w:ascii="Arial" w:eastAsia="宋体" w:hAnsi="Arial" w:cs="Arial"/>
          <w:color w:val="000000"/>
          <w:sz w:val="20"/>
          <w:szCs w:val="20"/>
        </w:rPr>
        <w:t>defined terms for certain business terms and abbreviations, as defined in the acronyms list and glossary following the consolidated financial statements in this Form 10-Q.</w:t>
      </w:r>
    </w:p>
    <w:p w14:paraId="71D3D63B" w14:textId="77777777" w:rsidR="006A3667" w:rsidRDefault="00045F32">
      <w:pPr>
        <w:spacing w:before="90"/>
        <w:jc w:val="both"/>
        <w:textAlignment w:val="top"/>
      </w:pPr>
      <w:r>
        <w:rPr>
          <w:rFonts w:ascii="Arial" w:eastAsia="宋体" w:hAnsi="Arial" w:cs="Arial"/>
          <w:b/>
          <w:bCs/>
          <w:color w:val="000000"/>
          <w:sz w:val="20"/>
          <w:szCs w:val="20"/>
        </w:rPr>
        <w:t>Forward-Looking Statements</w:t>
      </w:r>
    </w:p>
    <w:p w14:paraId="71D3D63C" w14:textId="77777777" w:rsidR="006A3667" w:rsidRDefault="00045F32">
      <w:pPr>
        <w:spacing w:before="60"/>
        <w:ind w:firstLine="450"/>
        <w:jc w:val="both"/>
        <w:textAlignment w:val="top"/>
      </w:pPr>
      <w:r>
        <w:rPr>
          <w:rFonts w:ascii="Arial" w:eastAsia="宋体" w:hAnsi="Arial" w:cs="Arial"/>
          <w:color w:val="000000"/>
          <w:sz w:val="20"/>
          <w:szCs w:val="20"/>
        </w:rPr>
        <w:t>This Form 10-Q, as well as other reports and proxy materi</w:t>
      </w:r>
      <w:r>
        <w:rPr>
          <w:rFonts w:ascii="Arial" w:eastAsia="宋体" w:hAnsi="Arial" w:cs="Arial"/>
          <w:color w:val="000000"/>
          <w:sz w:val="20"/>
          <w:szCs w:val="20"/>
        </w:rPr>
        <w:t xml:space="preserve">als submitted by us under the Securities Exchange Act of 1934, registration statements filed by us under the Securities Act of 1933, our annual report to shareholders and other public statements we may make, may contain statements (including statements in </w:t>
      </w:r>
      <w:r>
        <w:rPr>
          <w:rFonts w:ascii="Arial" w:eastAsia="宋体" w:hAnsi="Arial" w:cs="Arial"/>
          <w:color w:val="000000"/>
          <w:sz w:val="20"/>
          <w:szCs w:val="20"/>
        </w:rPr>
        <w:t>our Management's Discussion and Analysis included in such reports, as applicable) that are considered “forward-looking statements” within the meaning of U.S. securities laws, including statements about our goals and expectations regarding our business, fin</w:t>
      </w:r>
      <w:r>
        <w:rPr>
          <w:rFonts w:ascii="Arial" w:eastAsia="宋体" w:hAnsi="Arial" w:cs="Arial"/>
          <w:color w:val="000000"/>
          <w:sz w:val="20"/>
          <w:szCs w:val="20"/>
        </w:rPr>
        <w:t>ancial and capital condition, results of operations, strategies, cost savings and transformation initiatives, investment portfolio performance, dividend and stock purchase programs, acquisitions (including, without limitation, our proposed acquisition of t</w:t>
      </w:r>
      <w:r>
        <w:rPr>
          <w:rFonts w:ascii="Arial" w:eastAsia="宋体" w:hAnsi="Arial" w:cs="Arial"/>
          <w:color w:val="000000"/>
          <w:sz w:val="20"/>
          <w:szCs w:val="20"/>
        </w:rPr>
        <w:t>he BBH Investor Services business), outcomes of legal proceedings, market growth, joint ventures and divestitures, client growth and new technologies, services and opportunities, as well as industry, governmental, regulatory, economic and market trends, in</w:t>
      </w:r>
      <w:r>
        <w:rPr>
          <w:rFonts w:ascii="Arial" w:eastAsia="宋体" w:hAnsi="Arial" w:cs="Arial"/>
          <w:color w:val="000000"/>
          <w:sz w:val="20"/>
          <w:szCs w:val="20"/>
        </w:rPr>
        <w:t>itiatives and developments, the business environment and other matters that do not relate strictly to historical facts.</w:t>
      </w:r>
    </w:p>
    <w:p w14:paraId="71D3D63D" w14:textId="77777777" w:rsidR="006A3667" w:rsidRDefault="00045F32">
      <w:pPr>
        <w:spacing w:before="60"/>
        <w:ind w:firstLine="450"/>
        <w:jc w:val="both"/>
        <w:textAlignment w:val="top"/>
      </w:pPr>
      <w:r>
        <w:rPr>
          <w:rFonts w:ascii="Arial" w:eastAsia="宋体" w:hAnsi="Arial" w:cs="Arial"/>
          <w:color w:val="000000"/>
          <w:sz w:val="20"/>
          <w:szCs w:val="20"/>
        </w:rPr>
        <w:t>Terminology such as “anticipate,” "believe", “estimate,” “expect,” “forecast,” “goal,” “guidance,” "intend," “may,” “objective,” “outloo</w:t>
      </w:r>
      <w:r>
        <w:rPr>
          <w:rFonts w:ascii="Arial" w:eastAsia="宋体" w:hAnsi="Arial" w:cs="Arial"/>
          <w:color w:val="000000"/>
          <w:sz w:val="20"/>
          <w:szCs w:val="20"/>
        </w:rPr>
        <w:t>k,” “plan,” “priority,” “propose,” “seek,” “strategy” "target," “trend,” and “will,” or similar statements or variations of such terms, are intended to identify forward-looking statements, although not all forward-looking statements contain such terms.</w:t>
      </w:r>
    </w:p>
    <w:p w14:paraId="71D3D63E" w14:textId="77777777" w:rsidR="006A3667" w:rsidRDefault="00045F32">
      <w:pPr>
        <w:spacing w:before="60"/>
        <w:ind w:firstLine="450"/>
        <w:jc w:val="both"/>
        <w:textAlignment w:val="top"/>
      </w:pPr>
      <w:r>
        <w:rPr>
          <w:rFonts w:ascii="Arial" w:eastAsia="宋体" w:hAnsi="Arial" w:cs="Arial"/>
          <w:color w:val="000000"/>
          <w:sz w:val="20"/>
          <w:szCs w:val="20"/>
        </w:rPr>
        <w:t>For</w:t>
      </w:r>
      <w:r>
        <w:rPr>
          <w:rFonts w:ascii="Arial" w:eastAsia="宋体" w:hAnsi="Arial" w:cs="Arial"/>
          <w:color w:val="000000"/>
          <w:sz w:val="20"/>
          <w:szCs w:val="20"/>
        </w:rPr>
        <w:t>ward-looking statements are subject to various risks and uncertainties, which change over time, are based on management's expectations and assumptions at the time the statements are made and are not guarantees of future results. Management's expectations a</w:t>
      </w:r>
      <w:r>
        <w:rPr>
          <w:rFonts w:ascii="Arial" w:eastAsia="宋体" w:hAnsi="Arial" w:cs="Arial"/>
          <w:color w:val="000000"/>
          <w:sz w:val="20"/>
          <w:szCs w:val="20"/>
        </w:rPr>
        <w:t xml:space="preserve">nd assumptions, and the continued validity of the forward-looking statements, are subject </w:t>
      </w:r>
    </w:p>
    <w:p w14:paraId="71D3D63F" w14:textId="77777777" w:rsidR="006A3667" w:rsidRDefault="00045F32">
      <w:pPr>
        <w:spacing w:before="60"/>
        <w:jc w:val="both"/>
        <w:textAlignment w:val="top"/>
      </w:pPr>
      <w:r>
        <w:rPr>
          <w:rFonts w:ascii="Arial" w:eastAsia="宋体" w:hAnsi="Arial" w:cs="Arial"/>
          <w:color w:val="000000"/>
          <w:sz w:val="20"/>
          <w:szCs w:val="20"/>
        </w:rPr>
        <w:t>to change due to a broad range of factors affecting the U.S. and global economies, regulatory environment and the equity</w:t>
      </w:r>
      <w:r>
        <w:rPr>
          <w:rFonts w:ascii="Times New Roman" w:eastAsia="宋体" w:hAnsi="Times New Roman"/>
          <w:color w:val="000000"/>
          <w:sz w:val="20"/>
          <w:szCs w:val="20"/>
        </w:rPr>
        <w:t>,</w:t>
      </w:r>
      <w:r>
        <w:rPr>
          <w:rFonts w:ascii="Arial" w:eastAsia="宋体" w:hAnsi="Arial" w:cs="Arial"/>
          <w:color w:val="000000"/>
          <w:sz w:val="20"/>
          <w:szCs w:val="20"/>
        </w:rPr>
        <w:t xml:space="preserve"> debt, currency and other financial markets,</w:t>
      </w:r>
      <w:r>
        <w:rPr>
          <w:rFonts w:ascii="Arial" w:eastAsia="宋体" w:hAnsi="Arial" w:cs="Arial"/>
          <w:color w:val="000000"/>
          <w:sz w:val="20"/>
          <w:szCs w:val="20"/>
        </w:rPr>
        <w:t xml:space="preserve"> as well as factors specific to State Street and its subsidiaries, including State Street Bank. Factors that could cause changes in the expectations or assumptions on which forward-looking statements are based cannot be foreseen with certainty and include,</w:t>
      </w:r>
      <w:r>
        <w:rPr>
          <w:rFonts w:ascii="Arial" w:eastAsia="宋体" w:hAnsi="Arial" w:cs="Arial"/>
          <w:color w:val="000000"/>
          <w:sz w:val="20"/>
          <w:szCs w:val="20"/>
        </w:rPr>
        <w:t xml:space="preserve"> but are not limited to:</w:t>
      </w:r>
    </w:p>
    <w:p w14:paraId="71D3D640" w14:textId="77777777" w:rsidR="006A3667" w:rsidRDefault="00045F32">
      <w:pPr>
        <w:spacing w:before="90"/>
        <w:textAlignment w:val="top"/>
      </w:pPr>
      <w:r>
        <w:rPr>
          <w:rFonts w:ascii="Arial" w:eastAsia="宋体" w:hAnsi="Arial" w:cs="Arial"/>
          <w:b/>
          <w:bCs/>
          <w:color w:val="000000"/>
          <w:sz w:val="20"/>
          <w:szCs w:val="20"/>
        </w:rPr>
        <w:t>Strategic Risks</w:t>
      </w:r>
    </w:p>
    <w:p w14:paraId="71D3D641" w14:textId="77777777" w:rsidR="006A3667" w:rsidRDefault="00045F32">
      <w:pPr>
        <w:spacing w:before="60"/>
        <w:ind w:hanging="360"/>
        <w:jc w:val="both"/>
        <w:textAlignment w:val="top"/>
      </w:pPr>
      <w:r>
        <w:rPr>
          <w:rFonts w:ascii="Arial" w:eastAsia="宋体" w:hAnsi="Arial" w:cs="Arial"/>
          <w:color w:val="000000"/>
          <w:sz w:val="20"/>
          <w:szCs w:val="20"/>
        </w:rPr>
        <w:t>•The consummation of our proposed acquisition of the BBH Investor Services business is subject to the receipt of regulatory approvals and the satisfaction of other closing conditions, the failure or delay of which m</w:t>
      </w:r>
      <w:r>
        <w:rPr>
          <w:rFonts w:ascii="Arial" w:eastAsia="宋体" w:hAnsi="Arial" w:cs="Arial"/>
          <w:color w:val="000000"/>
          <w:sz w:val="20"/>
          <w:szCs w:val="20"/>
        </w:rPr>
        <w:t>ay prevent or further delay the consummation of the acquisition;</w:t>
      </w:r>
    </w:p>
    <w:p w14:paraId="71D3D642" w14:textId="77777777" w:rsidR="006A3667" w:rsidRDefault="00045F32">
      <w:pPr>
        <w:spacing w:before="60"/>
        <w:ind w:hanging="360"/>
        <w:jc w:val="both"/>
        <w:textAlignment w:val="top"/>
      </w:pPr>
      <w:r>
        <w:rPr>
          <w:rFonts w:ascii="Arial" w:eastAsia="宋体" w:hAnsi="Arial" w:cs="Arial"/>
          <w:color w:val="000000"/>
          <w:sz w:val="20"/>
          <w:szCs w:val="20"/>
        </w:rPr>
        <w:t>•We have been engaged in ongoing dialogue with U.S. and international banking regulators regarding the prolonged regulatory review process for our proposed acquisition of Brown Brothers Harri</w:t>
      </w:r>
      <w:r>
        <w:rPr>
          <w:rFonts w:ascii="Arial" w:eastAsia="宋体" w:hAnsi="Arial" w:cs="Arial"/>
          <w:color w:val="000000"/>
          <w:sz w:val="20"/>
          <w:szCs w:val="20"/>
        </w:rPr>
        <w:t>man’s Investor Services business. The current regulatory environment for M&amp;A transactions involving G-SIBs is challenging. We have developed with BBH proposed modifications to the transaction, including changes to the operating model and legal entity struc</w:t>
      </w:r>
      <w:r>
        <w:rPr>
          <w:rFonts w:ascii="Arial" w:eastAsia="宋体" w:hAnsi="Arial" w:cs="Arial"/>
          <w:color w:val="000000"/>
          <w:sz w:val="20"/>
          <w:szCs w:val="20"/>
        </w:rPr>
        <w:t>ture, a reduction to the purchase price and changes to regulatory approvals required to consummate the transaction. We anticipate that a modified transaction would be somewhat more complex and include a delay in timing and amount of deal synergies, resulti</w:t>
      </w:r>
      <w:r>
        <w:rPr>
          <w:rFonts w:ascii="Arial" w:eastAsia="宋体" w:hAnsi="Arial" w:cs="Arial"/>
          <w:color w:val="000000"/>
          <w:sz w:val="20"/>
          <w:szCs w:val="20"/>
        </w:rPr>
        <w:t>ng in a slower path to accretion. While discussions with regulators on the proposed modified transaction are ongoing, the likelihood of a successful outcome is increasingly uncertain. There can be no assurance that a mutually acceptable modified transactio</w:t>
      </w:r>
      <w:r>
        <w:rPr>
          <w:rFonts w:ascii="Arial" w:eastAsia="宋体" w:hAnsi="Arial" w:cs="Arial"/>
          <w:color w:val="000000"/>
          <w:sz w:val="20"/>
          <w:szCs w:val="20"/>
        </w:rPr>
        <w:t>n will be agreed and entered into, or as to the timing or outcome of any regulatory approvals and other closing conditions for a modified transaction. The modifications to the transaction remain subject to review and approval by both BBH’s partners and our</w:t>
      </w:r>
      <w:r>
        <w:rPr>
          <w:rFonts w:ascii="Arial" w:eastAsia="宋体" w:hAnsi="Arial" w:cs="Arial"/>
          <w:color w:val="000000"/>
          <w:sz w:val="20"/>
          <w:szCs w:val="20"/>
        </w:rPr>
        <w:t xml:space="preserve"> Board of Directors. The Sale and Purchase Agreement allows each of State Street and BBH, the right to terminate the transaction upon written notice without a contractual penalty at any time; </w:t>
      </w:r>
    </w:p>
    <w:p w14:paraId="71D3D643" w14:textId="77777777" w:rsidR="006A3667" w:rsidRDefault="00045F32">
      <w:pPr>
        <w:spacing w:before="60"/>
        <w:ind w:hanging="360"/>
        <w:jc w:val="both"/>
        <w:textAlignment w:val="top"/>
      </w:pPr>
      <w:r>
        <w:rPr>
          <w:rFonts w:ascii="Arial" w:eastAsia="宋体" w:hAnsi="Arial" w:cs="Arial"/>
          <w:color w:val="000000"/>
          <w:sz w:val="20"/>
          <w:szCs w:val="20"/>
        </w:rPr>
        <w:t xml:space="preserve">•We are subject to intense competition, which could negatively </w:t>
      </w:r>
      <w:r>
        <w:rPr>
          <w:rFonts w:ascii="Arial" w:eastAsia="宋体" w:hAnsi="Arial" w:cs="Arial"/>
          <w:color w:val="000000"/>
          <w:sz w:val="20"/>
          <w:szCs w:val="20"/>
        </w:rPr>
        <w:t>affect our profitability;</w:t>
      </w:r>
    </w:p>
    <w:p w14:paraId="71D3D644" w14:textId="77777777" w:rsidR="006A3667" w:rsidRDefault="00045F32">
      <w:pPr>
        <w:spacing w:before="60"/>
        <w:ind w:hanging="360"/>
        <w:jc w:val="both"/>
        <w:textAlignment w:val="top"/>
      </w:pPr>
      <w:r>
        <w:rPr>
          <w:rFonts w:ascii="Arial" w:eastAsia="宋体" w:hAnsi="Arial" w:cs="Arial"/>
          <w:color w:val="000000"/>
          <w:sz w:val="20"/>
          <w:szCs w:val="20"/>
        </w:rPr>
        <w:t>•We are subject to significant pricing pressure and variability in our financial results and our AUC/A and AUM;</w:t>
      </w:r>
    </w:p>
    <w:p w14:paraId="71D3D645" w14:textId="77777777" w:rsidR="006A3667" w:rsidRDefault="00045F32">
      <w:pPr>
        <w:spacing w:before="60"/>
        <w:ind w:hanging="360"/>
        <w:jc w:val="both"/>
        <w:textAlignment w:val="top"/>
      </w:pPr>
      <w:r>
        <w:rPr>
          <w:rFonts w:ascii="Arial" w:eastAsia="宋体" w:hAnsi="Arial" w:cs="Arial"/>
          <w:color w:val="000000"/>
          <w:sz w:val="20"/>
          <w:szCs w:val="20"/>
        </w:rPr>
        <w:t>•Our development and completion of new products and services, including State Street Digital and State Street Alpha</w:t>
      </w:r>
      <w:r>
        <w:rPr>
          <w:rFonts w:ascii="Arial" w:eastAsia="宋体" w:hAnsi="Arial" w:cs="Arial"/>
          <w:color w:val="000000"/>
          <w:sz w:val="13"/>
          <w:szCs w:val="13"/>
        </w:rPr>
        <w:t>SM</w:t>
      </w:r>
      <w:r>
        <w:rPr>
          <w:rFonts w:ascii="Arial" w:eastAsia="宋体" w:hAnsi="Arial" w:cs="Arial"/>
          <w:color w:val="000000"/>
          <w:sz w:val="20"/>
          <w:szCs w:val="20"/>
        </w:rPr>
        <w:t>,</w:t>
      </w:r>
      <w:r>
        <w:rPr>
          <w:rFonts w:ascii="Arial" w:eastAsia="宋体" w:hAnsi="Arial" w:cs="Arial"/>
          <w:color w:val="000000"/>
          <w:sz w:val="20"/>
          <w:szCs w:val="20"/>
        </w:rPr>
        <w:t xml:space="preserve"> and the </w:t>
      </w:r>
    </w:p>
    <w:p w14:paraId="71D3D646" w14:textId="77777777" w:rsidR="006A3667" w:rsidRDefault="00045F32">
      <w:pPr>
        <w:ind w:firstLine="450"/>
        <w:jc w:val="right"/>
      </w:pPr>
      <w:r>
        <w:rPr>
          <w:rFonts w:ascii="Arial" w:eastAsia="宋体" w:hAnsi="Arial" w:cs="Arial"/>
          <w:color w:val="000000"/>
          <w:sz w:val="18"/>
          <w:szCs w:val="18"/>
        </w:rPr>
        <w:t>State Street Corporation | 5</w:t>
      </w:r>
    </w:p>
    <w:p w14:paraId="71D3D647" w14:textId="77777777" w:rsidR="006A3667" w:rsidRDefault="006A3667">
      <w:pPr>
        <w:ind w:firstLine="450"/>
        <w:jc w:val="center"/>
      </w:pPr>
    </w:p>
    <w:p w14:paraId="71D3D648" w14:textId="77777777" w:rsidR="006A3667" w:rsidRDefault="00045F32">
      <w:r>
        <w:pict w14:anchorId="71D4AC19">
          <v:rect id="_x0000_i1029" style="width:415.3pt;height:1.5pt" o:hralign="center" o:hrstd="t" o:hr="t" fillcolor="#a0a0a0" stroked="f"/>
        </w:pict>
      </w:r>
    </w:p>
    <w:p w14:paraId="71D3D649"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D64A" w14:textId="77777777" w:rsidR="006A3667" w:rsidRDefault="00045F32">
      <w:pPr>
        <w:ind w:firstLine="450"/>
        <w:jc w:val="center"/>
      </w:pPr>
      <w:r>
        <w:rPr>
          <w:rFonts w:ascii="Arial" w:eastAsia="宋体" w:hAnsi="Arial" w:cs="Arial"/>
          <w:b/>
          <w:bCs/>
          <w:color w:val="000000"/>
          <w:sz w:val="20"/>
          <w:szCs w:val="20"/>
        </w:rPr>
        <w:t>AND RESULTS OF OPERATIONS</w:t>
      </w:r>
    </w:p>
    <w:p w14:paraId="71D3D64B" w14:textId="77777777" w:rsidR="006A3667" w:rsidRDefault="00045F32">
      <w:pPr>
        <w:spacing w:before="60"/>
        <w:jc w:val="both"/>
        <w:textAlignment w:val="top"/>
      </w:pPr>
      <w:r>
        <w:rPr>
          <w:rFonts w:ascii="Arial" w:eastAsia="宋体" w:hAnsi="Arial" w:cs="Arial"/>
          <w:color w:val="000000"/>
          <w:sz w:val="20"/>
          <w:szCs w:val="20"/>
        </w:rPr>
        <w:t>enhancement of our infrastructure required to meet increased regulatory and client expectations for resiliency and the systems a</w:t>
      </w:r>
      <w:r>
        <w:rPr>
          <w:rFonts w:ascii="Arial" w:eastAsia="宋体" w:hAnsi="Arial" w:cs="Arial"/>
          <w:color w:val="000000"/>
          <w:sz w:val="20"/>
          <w:szCs w:val="20"/>
        </w:rPr>
        <w:t>nd process re-engineering necessary to achieve improved productivity and reduced operating risk, may take an extended period to implement, involve costs and expose us to increased risk;</w:t>
      </w:r>
    </w:p>
    <w:p w14:paraId="71D3D64C" w14:textId="77777777" w:rsidR="006A3667" w:rsidRDefault="00045F32">
      <w:pPr>
        <w:spacing w:before="60"/>
        <w:ind w:hanging="360"/>
        <w:jc w:val="both"/>
        <w:textAlignment w:val="top"/>
      </w:pPr>
      <w:r>
        <w:rPr>
          <w:rFonts w:ascii="Arial" w:eastAsia="宋体" w:hAnsi="Arial" w:cs="Arial"/>
          <w:color w:val="000000"/>
          <w:sz w:val="20"/>
          <w:szCs w:val="20"/>
        </w:rPr>
        <w:t xml:space="preserve">•Our business may be negatively affected by our failure to </w:t>
      </w:r>
      <w:r>
        <w:rPr>
          <w:rFonts w:ascii="Arial" w:eastAsia="宋体" w:hAnsi="Arial" w:cs="Arial"/>
          <w:color w:val="000000"/>
          <w:sz w:val="20"/>
          <w:szCs w:val="20"/>
        </w:rPr>
        <w:t>update and maintain our technology infrastructure;</w:t>
      </w:r>
    </w:p>
    <w:p w14:paraId="71D3D64D" w14:textId="77777777" w:rsidR="006A3667" w:rsidRDefault="00045F32">
      <w:pPr>
        <w:spacing w:before="60"/>
        <w:ind w:hanging="360"/>
        <w:jc w:val="both"/>
        <w:textAlignment w:val="top"/>
      </w:pPr>
      <w:r>
        <w:rPr>
          <w:rFonts w:ascii="Arial" w:eastAsia="宋体" w:hAnsi="Arial" w:cs="Arial"/>
          <w:color w:val="000000"/>
          <w:sz w:val="20"/>
          <w:szCs w:val="20"/>
        </w:rPr>
        <w:t>•The COVID-19 pandemic continues to exacerbate certain risks and uncertainties for our business;</w:t>
      </w:r>
    </w:p>
    <w:p w14:paraId="71D3D64E" w14:textId="77777777" w:rsidR="006A3667" w:rsidRDefault="00045F32">
      <w:pPr>
        <w:spacing w:before="60"/>
        <w:ind w:hanging="360"/>
        <w:jc w:val="both"/>
        <w:textAlignment w:val="top"/>
      </w:pPr>
      <w:r>
        <w:rPr>
          <w:rFonts w:ascii="Arial" w:eastAsia="宋体" w:hAnsi="Arial" w:cs="Arial"/>
          <w:color w:val="000000"/>
          <w:sz w:val="20"/>
          <w:szCs w:val="20"/>
        </w:rPr>
        <w:t>•Acquisitions, strategic alliances, joint ventures and divestitures, and the integration, retention and deve</w:t>
      </w:r>
      <w:r>
        <w:rPr>
          <w:rFonts w:ascii="Arial" w:eastAsia="宋体" w:hAnsi="Arial" w:cs="Arial"/>
          <w:color w:val="000000"/>
          <w:sz w:val="20"/>
          <w:szCs w:val="20"/>
        </w:rPr>
        <w:t>lopment of the benefits of our acquisitions, pose risks for our business; and</w:t>
      </w:r>
    </w:p>
    <w:p w14:paraId="71D3D64F" w14:textId="77777777" w:rsidR="006A3667" w:rsidRDefault="00045F32">
      <w:pPr>
        <w:spacing w:before="60"/>
        <w:ind w:hanging="360"/>
        <w:jc w:val="both"/>
        <w:textAlignment w:val="top"/>
      </w:pPr>
      <w:r>
        <w:rPr>
          <w:rFonts w:ascii="Arial" w:eastAsia="宋体" w:hAnsi="Arial" w:cs="Arial"/>
          <w:color w:val="000000"/>
          <w:sz w:val="20"/>
          <w:szCs w:val="20"/>
        </w:rPr>
        <w:t>•Competition for qualified members of our workforce is intense, and we may not be able to attract and retain the highly skilled people we need to support our business.</w:t>
      </w:r>
    </w:p>
    <w:p w14:paraId="71D3D650" w14:textId="77777777" w:rsidR="006A3667" w:rsidRDefault="00045F32">
      <w:pPr>
        <w:spacing w:before="90"/>
        <w:textAlignment w:val="top"/>
      </w:pPr>
      <w:r>
        <w:rPr>
          <w:rFonts w:ascii="Arial" w:eastAsia="宋体" w:hAnsi="Arial" w:cs="Arial"/>
          <w:b/>
          <w:bCs/>
          <w:color w:val="000000"/>
          <w:sz w:val="20"/>
          <w:szCs w:val="20"/>
        </w:rPr>
        <w:t xml:space="preserve">Financial </w:t>
      </w:r>
      <w:r>
        <w:rPr>
          <w:rFonts w:ascii="Arial" w:eastAsia="宋体" w:hAnsi="Arial" w:cs="Arial"/>
          <w:b/>
          <w:bCs/>
          <w:color w:val="000000"/>
          <w:sz w:val="20"/>
          <w:szCs w:val="20"/>
        </w:rPr>
        <w:t>Market Risks</w:t>
      </w:r>
    </w:p>
    <w:p w14:paraId="71D3D651" w14:textId="77777777" w:rsidR="006A3667" w:rsidRDefault="00045F32">
      <w:pPr>
        <w:spacing w:before="60"/>
        <w:ind w:hanging="360"/>
        <w:jc w:val="both"/>
        <w:textAlignment w:val="top"/>
      </w:pPr>
      <w:r>
        <w:rPr>
          <w:rFonts w:ascii="Arial" w:eastAsia="宋体" w:hAnsi="Arial" w:cs="Arial"/>
          <w:color w:val="000000"/>
          <w:sz w:val="20"/>
          <w:szCs w:val="20"/>
        </w:rPr>
        <w:t>•We could be adversely affected by geopolitical, economic and market conditions; including, for example, as a result of the ongoing war in Ukraine, actions taken by central banks to address inflationary pressures, challenging conditions in glo</w:t>
      </w:r>
      <w:r>
        <w:rPr>
          <w:rFonts w:ascii="Arial" w:eastAsia="宋体" w:hAnsi="Arial" w:cs="Arial"/>
          <w:color w:val="000000"/>
          <w:sz w:val="20"/>
          <w:szCs w:val="20"/>
        </w:rPr>
        <w:t>bal equity markets, and disruptions in fixed income markets such as those impacting the UK gilts;</w:t>
      </w:r>
    </w:p>
    <w:p w14:paraId="71D3D652" w14:textId="77777777" w:rsidR="006A3667" w:rsidRDefault="00045F32">
      <w:pPr>
        <w:spacing w:before="60"/>
        <w:ind w:hanging="360"/>
        <w:jc w:val="both"/>
        <w:textAlignment w:val="top"/>
      </w:pPr>
      <w:r>
        <w:rPr>
          <w:rFonts w:ascii="Arial" w:eastAsia="宋体" w:hAnsi="Arial" w:cs="Arial"/>
          <w:color w:val="000000"/>
          <w:sz w:val="20"/>
          <w:szCs w:val="20"/>
        </w:rPr>
        <w:t>•We have significant International operations, and disruptions in European and Asian economies could have an adverse effect on our consolidated results of ope</w:t>
      </w:r>
      <w:r>
        <w:rPr>
          <w:rFonts w:ascii="Arial" w:eastAsia="宋体" w:hAnsi="Arial" w:cs="Arial"/>
          <w:color w:val="000000"/>
          <w:sz w:val="20"/>
          <w:szCs w:val="20"/>
        </w:rPr>
        <w:t xml:space="preserve">rations or financial condition; </w:t>
      </w:r>
    </w:p>
    <w:p w14:paraId="71D3D653" w14:textId="77777777" w:rsidR="006A3667" w:rsidRDefault="00045F32">
      <w:pPr>
        <w:spacing w:before="60"/>
        <w:ind w:hanging="360"/>
        <w:jc w:val="both"/>
        <w:textAlignment w:val="top"/>
      </w:pPr>
      <w:r>
        <w:rPr>
          <w:rFonts w:ascii="Arial" w:eastAsia="宋体" w:hAnsi="Arial" w:cs="Arial"/>
          <w:color w:val="000000"/>
          <w:sz w:val="20"/>
          <w:szCs w:val="20"/>
        </w:rPr>
        <w:t>•Our investment securities portfolio, consolidated financial condition and consolidated results of operations could be adversely affected by changes in the financial markets;</w:t>
      </w:r>
    </w:p>
    <w:p w14:paraId="71D3D654" w14:textId="77777777" w:rsidR="006A3667" w:rsidRDefault="00045F32">
      <w:pPr>
        <w:spacing w:before="60"/>
        <w:ind w:hanging="360"/>
        <w:jc w:val="both"/>
        <w:textAlignment w:val="top"/>
      </w:pPr>
      <w:r>
        <w:rPr>
          <w:rFonts w:ascii="Arial" w:eastAsia="宋体" w:hAnsi="Arial" w:cs="Arial"/>
          <w:color w:val="000000"/>
          <w:sz w:val="20"/>
          <w:szCs w:val="20"/>
        </w:rPr>
        <w:t xml:space="preserve">•Our business activities expose us to </w:t>
      </w:r>
      <w:r>
        <w:rPr>
          <w:rFonts w:ascii="Arial" w:eastAsia="宋体" w:hAnsi="Arial" w:cs="Arial"/>
          <w:color w:val="000000"/>
          <w:sz w:val="20"/>
          <w:szCs w:val="20"/>
        </w:rPr>
        <w:t>interest rate risk;</w:t>
      </w:r>
    </w:p>
    <w:p w14:paraId="71D3D655" w14:textId="77777777" w:rsidR="006A3667" w:rsidRDefault="00045F32">
      <w:pPr>
        <w:spacing w:before="60"/>
        <w:ind w:hanging="360"/>
        <w:jc w:val="both"/>
        <w:textAlignment w:val="top"/>
      </w:pPr>
      <w:r>
        <w:rPr>
          <w:rFonts w:ascii="Arial" w:eastAsia="宋体" w:hAnsi="Arial" w:cs="Arial"/>
          <w:color w:val="000000"/>
          <w:sz w:val="20"/>
          <w:szCs w:val="20"/>
        </w:rPr>
        <w:t xml:space="preserve">•We assume significant credit risk to counterparties, who may also have substantial financial dependencies with other financial institutions, and these credit exposures and concentrations could expose us to financial loss; </w:t>
      </w:r>
    </w:p>
    <w:p w14:paraId="71D3D656" w14:textId="77777777" w:rsidR="006A3667" w:rsidRDefault="00045F32">
      <w:pPr>
        <w:spacing w:before="60"/>
        <w:ind w:hanging="360"/>
        <w:jc w:val="both"/>
        <w:textAlignment w:val="top"/>
      </w:pPr>
      <w:r>
        <w:rPr>
          <w:rFonts w:ascii="Arial" w:eastAsia="宋体" w:hAnsi="Arial" w:cs="Arial"/>
          <w:color w:val="000000"/>
          <w:sz w:val="20"/>
          <w:szCs w:val="20"/>
        </w:rPr>
        <w:t>•Our fee rev</w:t>
      </w:r>
      <w:r>
        <w:rPr>
          <w:rFonts w:ascii="Arial" w:eastAsia="宋体" w:hAnsi="Arial" w:cs="Arial"/>
          <w:color w:val="000000"/>
          <w:sz w:val="20"/>
          <w:szCs w:val="20"/>
        </w:rPr>
        <w:t xml:space="preserve">enue represents a significant portion of our consolidated revenue and is subject to decline based on, among other factors, market conditions, competition, </w:t>
      </w:r>
    </w:p>
    <w:p w14:paraId="71D3D657" w14:textId="77777777" w:rsidR="006A3667" w:rsidRDefault="00045F32">
      <w:pPr>
        <w:spacing w:before="60"/>
        <w:jc w:val="both"/>
        <w:textAlignment w:val="top"/>
      </w:pPr>
      <w:r>
        <w:rPr>
          <w:rFonts w:ascii="Arial" w:eastAsia="宋体" w:hAnsi="Arial" w:cs="Arial"/>
          <w:color w:val="000000"/>
          <w:sz w:val="20"/>
          <w:szCs w:val="20"/>
        </w:rPr>
        <w:t>currency valuation and investment activities of our clients and their business mix;</w:t>
      </w:r>
    </w:p>
    <w:p w14:paraId="71D3D658" w14:textId="77777777" w:rsidR="006A3667" w:rsidRDefault="00045F32">
      <w:pPr>
        <w:spacing w:before="60"/>
        <w:ind w:hanging="360"/>
        <w:jc w:val="both"/>
        <w:textAlignment w:val="top"/>
      </w:pPr>
      <w:r>
        <w:rPr>
          <w:rFonts w:ascii="Arial" w:eastAsia="宋体" w:hAnsi="Arial" w:cs="Arial"/>
          <w:color w:val="000000"/>
          <w:sz w:val="20"/>
          <w:szCs w:val="20"/>
        </w:rPr>
        <w:t>•If we are unabl</w:t>
      </w:r>
      <w:r>
        <w:rPr>
          <w:rFonts w:ascii="Arial" w:eastAsia="宋体" w:hAnsi="Arial" w:cs="Arial"/>
          <w:color w:val="000000"/>
          <w:sz w:val="20"/>
          <w:szCs w:val="20"/>
        </w:rPr>
        <w:t>e to effectively manage our capital and liquidity, our consolidated financial condition, capital ratios, results of operations and business prospects could be adversely affected;</w:t>
      </w:r>
    </w:p>
    <w:p w14:paraId="71D3D659" w14:textId="77777777" w:rsidR="006A3667" w:rsidRDefault="00045F32">
      <w:pPr>
        <w:spacing w:before="60"/>
        <w:ind w:hanging="360"/>
        <w:jc w:val="both"/>
        <w:textAlignment w:val="top"/>
      </w:pPr>
      <w:r>
        <w:rPr>
          <w:rFonts w:ascii="Arial" w:eastAsia="宋体" w:hAnsi="Arial" w:cs="Arial"/>
          <w:color w:val="000000"/>
          <w:sz w:val="20"/>
          <w:szCs w:val="20"/>
        </w:rPr>
        <w:t>•We may need to raise additional capital or debt in the future, which may not</w:t>
      </w:r>
      <w:r>
        <w:rPr>
          <w:rFonts w:ascii="Arial" w:eastAsia="宋体" w:hAnsi="Arial" w:cs="Arial"/>
          <w:color w:val="000000"/>
          <w:sz w:val="20"/>
          <w:szCs w:val="20"/>
        </w:rPr>
        <w:t xml:space="preserve"> be available to us or may only be available on unfavorable terms; and</w:t>
      </w:r>
    </w:p>
    <w:p w14:paraId="71D3D65A" w14:textId="77777777" w:rsidR="006A3667" w:rsidRDefault="00045F32">
      <w:pPr>
        <w:spacing w:before="60"/>
        <w:ind w:hanging="360"/>
        <w:jc w:val="both"/>
        <w:textAlignment w:val="top"/>
      </w:pPr>
      <w:r>
        <w:rPr>
          <w:rFonts w:ascii="Arial" w:eastAsia="宋体" w:hAnsi="Arial" w:cs="Arial"/>
          <w:color w:val="000000"/>
          <w:sz w:val="20"/>
          <w:szCs w:val="20"/>
        </w:rPr>
        <w:t>•If we experience a downgrade in our credit ratings, or an actual or perceived reduction in our financial strength, our borrowing and capital costs, liquidity and reputation could be ad</w:t>
      </w:r>
      <w:r>
        <w:rPr>
          <w:rFonts w:ascii="Arial" w:eastAsia="宋体" w:hAnsi="Arial" w:cs="Arial"/>
          <w:color w:val="000000"/>
          <w:sz w:val="20"/>
          <w:szCs w:val="20"/>
        </w:rPr>
        <w:t>versely affected.</w:t>
      </w:r>
    </w:p>
    <w:p w14:paraId="71D3D65B" w14:textId="77777777" w:rsidR="006A3667" w:rsidRDefault="00045F32">
      <w:pPr>
        <w:spacing w:before="90"/>
        <w:ind w:firstLine="720"/>
        <w:textAlignment w:val="top"/>
      </w:pPr>
      <w:r>
        <w:rPr>
          <w:rFonts w:ascii="Arial" w:eastAsia="宋体" w:hAnsi="Arial" w:cs="Arial"/>
          <w:b/>
          <w:bCs/>
          <w:color w:val="000000"/>
          <w:sz w:val="20"/>
          <w:szCs w:val="20"/>
        </w:rPr>
        <w:t>Compliance and Regulatory Risks</w:t>
      </w:r>
    </w:p>
    <w:p w14:paraId="71D3D65C" w14:textId="77777777" w:rsidR="006A3667" w:rsidRDefault="00045F32">
      <w:pPr>
        <w:spacing w:before="60"/>
        <w:ind w:hanging="360"/>
        <w:jc w:val="both"/>
        <w:textAlignment w:val="top"/>
      </w:pPr>
      <w:r>
        <w:rPr>
          <w:rFonts w:ascii="Arial" w:eastAsia="宋体" w:hAnsi="Arial" w:cs="Arial"/>
          <w:color w:val="000000"/>
          <w:sz w:val="20"/>
          <w:szCs w:val="20"/>
        </w:rPr>
        <w:t>•Our business and capital-related activities, including common share repurchases, may be adversely affected by capital and liquidity standards required as a result of capital stress testing;</w:t>
      </w:r>
    </w:p>
    <w:p w14:paraId="71D3D65D" w14:textId="77777777" w:rsidR="006A3667" w:rsidRDefault="00045F32">
      <w:pPr>
        <w:spacing w:before="60"/>
        <w:ind w:hanging="360"/>
        <w:jc w:val="both"/>
        <w:textAlignment w:val="top"/>
      </w:pPr>
      <w:r>
        <w:rPr>
          <w:rFonts w:ascii="Arial" w:eastAsia="宋体" w:hAnsi="Arial" w:cs="Arial"/>
          <w:color w:val="000000"/>
          <w:sz w:val="20"/>
          <w:szCs w:val="20"/>
        </w:rPr>
        <w:t>•We face extens</w:t>
      </w:r>
      <w:r>
        <w:rPr>
          <w:rFonts w:ascii="Arial" w:eastAsia="宋体" w:hAnsi="Arial" w:cs="Arial"/>
          <w:color w:val="000000"/>
          <w:sz w:val="20"/>
          <w:szCs w:val="20"/>
        </w:rPr>
        <w:t>ive and changing government regulation in the jurisdictions in which we operate, which may increase our costs and compliance risks;</w:t>
      </w:r>
    </w:p>
    <w:p w14:paraId="71D3D65E" w14:textId="77777777" w:rsidR="006A3667" w:rsidRDefault="00045F32">
      <w:pPr>
        <w:spacing w:before="60"/>
        <w:ind w:hanging="360"/>
        <w:jc w:val="both"/>
        <w:textAlignment w:val="top"/>
      </w:pPr>
      <w:r>
        <w:rPr>
          <w:rFonts w:ascii="Arial" w:eastAsia="宋体" w:hAnsi="Arial" w:cs="Arial"/>
          <w:color w:val="000000"/>
          <w:sz w:val="20"/>
          <w:szCs w:val="20"/>
        </w:rPr>
        <w:t>•We are subject to enhanced external oversight as a result of the resolution of prior regulatory or governmental matters;</w:t>
      </w:r>
    </w:p>
    <w:p w14:paraId="71D3D65F" w14:textId="77777777" w:rsidR="006A3667" w:rsidRDefault="00045F32">
      <w:pPr>
        <w:spacing w:before="60"/>
        <w:ind w:hanging="360"/>
        <w:jc w:val="both"/>
        <w:textAlignment w:val="top"/>
      </w:pPr>
      <w:r>
        <w:rPr>
          <w:rFonts w:ascii="Arial" w:eastAsia="宋体" w:hAnsi="Arial" w:cs="Arial"/>
          <w:color w:val="000000"/>
          <w:sz w:val="20"/>
          <w:szCs w:val="20"/>
        </w:rPr>
        <w:t>•O</w:t>
      </w:r>
      <w:r>
        <w:rPr>
          <w:rFonts w:ascii="Arial" w:eastAsia="宋体" w:hAnsi="Arial" w:cs="Arial"/>
          <w:color w:val="000000"/>
          <w:sz w:val="20"/>
          <w:szCs w:val="20"/>
        </w:rPr>
        <w:t>ur businesses may be adversely affected by government enforcement and litigation;</w:t>
      </w:r>
    </w:p>
    <w:p w14:paraId="71D3D660" w14:textId="77777777" w:rsidR="006A3667" w:rsidRDefault="00045F32">
      <w:pPr>
        <w:spacing w:before="60"/>
        <w:ind w:hanging="360"/>
        <w:jc w:val="both"/>
        <w:textAlignment w:val="top"/>
      </w:pPr>
      <w:r>
        <w:rPr>
          <w:rFonts w:ascii="Arial" w:eastAsia="宋体" w:hAnsi="Arial" w:cs="Arial"/>
          <w:color w:val="000000"/>
          <w:sz w:val="20"/>
          <w:szCs w:val="20"/>
        </w:rPr>
        <w:t>•Any misappropriation of the confidential information we possess could have an adverse impact on our business and could subject us to regulatory actions, litigation and other</w:t>
      </w:r>
      <w:r>
        <w:rPr>
          <w:rFonts w:ascii="Arial" w:eastAsia="宋体" w:hAnsi="Arial" w:cs="Arial"/>
          <w:color w:val="000000"/>
          <w:sz w:val="20"/>
          <w:szCs w:val="20"/>
        </w:rPr>
        <w:t xml:space="preserve"> adverse effects; </w:t>
      </w:r>
    </w:p>
    <w:p w14:paraId="71D3D661" w14:textId="77777777" w:rsidR="006A3667" w:rsidRDefault="00045F32">
      <w:pPr>
        <w:spacing w:before="60"/>
        <w:ind w:hanging="360"/>
        <w:jc w:val="both"/>
        <w:textAlignment w:val="top"/>
      </w:pPr>
      <w:r>
        <w:rPr>
          <w:rFonts w:ascii="Arial" w:eastAsia="宋体" w:hAnsi="Arial" w:cs="Arial"/>
          <w:color w:val="000000"/>
          <w:sz w:val="20"/>
          <w:szCs w:val="20"/>
        </w:rPr>
        <w:t>•Our calculations of risk exposures, total RWA and capital ratios depend on data inputs, formulae, models, correlations and assumptions that are subject to change, which could materially impact our risk exposures, our total RWA and our c</w:t>
      </w:r>
      <w:r>
        <w:rPr>
          <w:rFonts w:ascii="Arial" w:eastAsia="宋体" w:hAnsi="Arial" w:cs="Arial"/>
          <w:color w:val="000000"/>
          <w:sz w:val="20"/>
          <w:szCs w:val="20"/>
        </w:rPr>
        <w:t>apital ratios from period to period;</w:t>
      </w:r>
    </w:p>
    <w:p w14:paraId="71D3D662" w14:textId="77777777" w:rsidR="006A3667" w:rsidRDefault="00045F32">
      <w:pPr>
        <w:spacing w:before="60"/>
        <w:ind w:hanging="360"/>
        <w:jc w:val="both"/>
        <w:textAlignment w:val="top"/>
      </w:pPr>
      <w:r>
        <w:rPr>
          <w:rFonts w:ascii="Arial" w:eastAsia="宋体" w:hAnsi="Arial" w:cs="Arial"/>
          <w:color w:val="000000"/>
          <w:sz w:val="20"/>
          <w:szCs w:val="20"/>
        </w:rPr>
        <w:t xml:space="preserve">•Changes in accounting standards may adversely affect our consolidated financial statements; </w:t>
      </w:r>
    </w:p>
    <w:p w14:paraId="71D3D663" w14:textId="77777777" w:rsidR="006A3667" w:rsidRDefault="00045F32">
      <w:pPr>
        <w:spacing w:before="60"/>
        <w:ind w:hanging="360"/>
        <w:jc w:val="both"/>
        <w:textAlignment w:val="top"/>
      </w:pPr>
      <w:r>
        <w:rPr>
          <w:rFonts w:ascii="Arial" w:eastAsia="宋体" w:hAnsi="Arial" w:cs="Arial"/>
          <w:color w:val="000000"/>
          <w:sz w:val="20"/>
          <w:szCs w:val="20"/>
        </w:rPr>
        <w:t>•Changes in tax laws, rules or regulations, challenges to our tax positions and changes in the composition of our pre-tax ear</w:t>
      </w:r>
      <w:r>
        <w:rPr>
          <w:rFonts w:ascii="Arial" w:eastAsia="宋体" w:hAnsi="Arial" w:cs="Arial"/>
          <w:color w:val="000000"/>
          <w:sz w:val="20"/>
          <w:szCs w:val="20"/>
        </w:rPr>
        <w:t xml:space="preserve">nings may increase our effective tax rate; </w:t>
      </w:r>
    </w:p>
    <w:p w14:paraId="71D3D664" w14:textId="77777777" w:rsidR="006A3667" w:rsidRDefault="00045F32">
      <w:pPr>
        <w:spacing w:before="60"/>
        <w:ind w:hanging="360"/>
        <w:jc w:val="both"/>
        <w:textAlignment w:val="top"/>
      </w:pPr>
      <w:r>
        <w:rPr>
          <w:rFonts w:ascii="Arial" w:eastAsia="宋体" w:hAnsi="Arial" w:cs="Arial"/>
          <w:color w:val="000000"/>
          <w:sz w:val="20"/>
          <w:szCs w:val="20"/>
        </w:rPr>
        <w:t xml:space="preserve">•In addition to income tax, we are subject to audit or other examination, and litigation or other dispute resolution proceedings, with U.S. and non-U.S. tax authorities regarding </w:t>
      </w:r>
    </w:p>
    <w:p w14:paraId="71D3D665" w14:textId="77777777" w:rsidR="006A3667" w:rsidRDefault="00045F32">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6</w:t>
      </w:r>
    </w:p>
    <w:p w14:paraId="71D3D666" w14:textId="77777777" w:rsidR="006A3667" w:rsidRDefault="006A3667">
      <w:pPr>
        <w:ind w:firstLine="450"/>
        <w:jc w:val="center"/>
      </w:pPr>
    </w:p>
    <w:p w14:paraId="71D3D667" w14:textId="77777777" w:rsidR="006A3667" w:rsidRDefault="00045F32">
      <w:r>
        <w:pict w14:anchorId="71D4AC1A">
          <v:rect id="_x0000_i1030" style="width:415.3pt;height:1.5pt" o:hralign="center" o:hrstd="t" o:hr="t" fillcolor="#a0a0a0" stroked="f"/>
        </w:pict>
      </w:r>
    </w:p>
    <w:p w14:paraId="71D3D668"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D669" w14:textId="77777777" w:rsidR="006A3667" w:rsidRDefault="00045F32">
      <w:pPr>
        <w:ind w:firstLine="450"/>
        <w:jc w:val="center"/>
      </w:pPr>
      <w:r>
        <w:rPr>
          <w:rFonts w:ascii="Arial" w:eastAsia="宋体" w:hAnsi="Arial" w:cs="Arial"/>
          <w:b/>
          <w:bCs/>
          <w:color w:val="000000"/>
          <w:sz w:val="20"/>
          <w:szCs w:val="20"/>
        </w:rPr>
        <w:t>AND RESULTS OF OPERATIONS</w:t>
      </w:r>
    </w:p>
    <w:p w14:paraId="71D3D66A" w14:textId="77777777" w:rsidR="006A3667" w:rsidRDefault="00045F32">
      <w:pPr>
        <w:spacing w:before="60"/>
        <w:jc w:val="both"/>
        <w:textAlignment w:val="top"/>
      </w:pPr>
      <w:r>
        <w:rPr>
          <w:rFonts w:ascii="Arial" w:eastAsia="宋体" w:hAnsi="Arial" w:cs="Arial"/>
          <w:color w:val="000000"/>
          <w:sz w:val="20"/>
          <w:szCs w:val="20"/>
        </w:rPr>
        <w:t>non-income-based tax matters. Our interpretations or application of tax laws and regulations, including with respect to withholding, transfer, wage, us</w:t>
      </w:r>
      <w:r>
        <w:rPr>
          <w:rFonts w:ascii="Arial" w:eastAsia="宋体" w:hAnsi="Arial" w:cs="Arial"/>
          <w:color w:val="000000"/>
          <w:sz w:val="20"/>
          <w:szCs w:val="20"/>
        </w:rPr>
        <w:t>e, stamp, service and other non-income taxes, could differ from that of the relevant governmental taxing authority, or we may experience timing or other compliance deficiencies in connection with our efforts to comply with applicable tax laws and regulatio</w:t>
      </w:r>
      <w:r>
        <w:rPr>
          <w:rFonts w:ascii="Arial" w:eastAsia="宋体" w:hAnsi="Arial" w:cs="Arial"/>
          <w:color w:val="000000"/>
          <w:sz w:val="20"/>
          <w:szCs w:val="20"/>
        </w:rPr>
        <w:t>ns, which could result in the requirement to pay additional taxes, penalties and/or interest, which could be material; and</w:t>
      </w:r>
    </w:p>
    <w:p w14:paraId="71D3D66B" w14:textId="77777777" w:rsidR="006A3667" w:rsidRDefault="00045F32">
      <w:pPr>
        <w:spacing w:before="60"/>
        <w:ind w:hanging="360"/>
        <w:jc w:val="both"/>
        <w:textAlignment w:val="top"/>
      </w:pPr>
      <w:r>
        <w:rPr>
          <w:rFonts w:ascii="Arial" w:eastAsia="宋体" w:hAnsi="Arial" w:cs="Arial"/>
          <w:color w:val="000000"/>
          <w:sz w:val="20"/>
          <w:szCs w:val="20"/>
        </w:rPr>
        <w:t>•The transition away from LIBOR may result in additional costs and increased risk exposure.</w:t>
      </w:r>
    </w:p>
    <w:p w14:paraId="71D3D66C" w14:textId="77777777" w:rsidR="006A3667" w:rsidRDefault="00045F32">
      <w:pPr>
        <w:spacing w:before="90"/>
        <w:textAlignment w:val="top"/>
      </w:pPr>
      <w:r>
        <w:rPr>
          <w:rFonts w:ascii="Arial" w:eastAsia="宋体" w:hAnsi="Arial" w:cs="Arial"/>
          <w:b/>
          <w:bCs/>
          <w:color w:val="000000"/>
          <w:sz w:val="20"/>
          <w:szCs w:val="20"/>
        </w:rPr>
        <w:t>Operational Risks</w:t>
      </w:r>
    </w:p>
    <w:p w14:paraId="71D3D66D" w14:textId="77777777" w:rsidR="006A3667" w:rsidRDefault="00045F32">
      <w:pPr>
        <w:spacing w:before="60"/>
        <w:ind w:hanging="360"/>
        <w:jc w:val="both"/>
        <w:textAlignment w:val="top"/>
      </w:pPr>
      <w:r>
        <w:rPr>
          <w:rFonts w:ascii="Arial" w:eastAsia="宋体" w:hAnsi="Arial" w:cs="Arial"/>
          <w:color w:val="000000"/>
          <w:sz w:val="20"/>
          <w:szCs w:val="20"/>
        </w:rPr>
        <w:t>•Our control environmen</w:t>
      </w:r>
      <w:r>
        <w:rPr>
          <w:rFonts w:ascii="Arial" w:eastAsia="宋体" w:hAnsi="Arial" w:cs="Arial"/>
          <w:color w:val="000000"/>
          <w:sz w:val="20"/>
          <w:szCs w:val="20"/>
        </w:rPr>
        <w:t>t may be inadequate, fail or be circumvented, and operational risks could adversely affect our consolidated results of operations;</w:t>
      </w:r>
    </w:p>
    <w:p w14:paraId="71D3D66E" w14:textId="77777777" w:rsidR="006A3667" w:rsidRDefault="00045F32">
      <w:pPr>
        <w:spacing w:before="60"/>
        <w:ind w:hanging="360"/>
        <w:jc w:val="both"/>
        <w:textAlignment w:val="top"/>
      </w:pPr>
      <w:r>
        <w:rPr>
          <w:rFonts w:ascii="Arial" w:eastAsia="宋体" w:hAnsi="Arial" w:cs="Arial"/>
          <w:color w:val="000000"/>
          <w:sz w:val="20"/>
          <w:szCs w:val="20"/>
        </w:rPr>
        <w:t>•Cost shifting to non-U.S. jurisdictions and outsourcing may expose us to increased operational risk, geopolitical risk and r</w:t>
      </w:r>
      <w:r>
        <w:rPr>
          <w:rFonts w:ascii="Arial" w:eastAsia="宋体" w:hAnsi="Arial" w:cs="Arial"/>
          <w:color w:val="000000"/>
          <w:sz w:val="20"/>
          <w:szCs w:val="20"/>
        </w:rPr>
        <w:t>eputational harm and may not result in expected cost savings;</w:t>
      </w:r>
    </w:p>
    <w:p w14:paraId="71D3D66F" w14:textId="77777777" w:rsidR="006A3667" w:rsidRDefault="00045F32">
      <w:pPr>
        <w:spacing w:before="60"/>
        <w:ind w:hanging="360"/>
        <w:jc w:val="both"/>
        <w:textAlignment w:val="top"/>
      </w:pPr>
      <w:r>
        <w:rPr>
          <w:rFonts w:ascii="Arial" w:eastAsia="宋体" w:hAnsi="Arial" w:cs="Arial"/>
          <w:color w:val="000000"/>
          <w:sz w:val="20"/>
          <w:szCs w:val="20"/>
        </w:rPr>
        <w:t>•Attacks or unauthorized access to our information technology systems or facilities, or those of the third parties with which we do business, or disruptions to our or their continuous operations</w:t>
      </w:r>
      <w:r>
        <w:rPr>
          <w:rFonts w:ascii="Arial" w:eastAsia="宋体" w:hAnsi="Arial" w:cs="Arial"/>
          <w:color w:val="000000"/>
          <w:sz w:val="20"/>
          <w:szCs w:val="20"/>
        </w:rPr>
        <w:t xml:space="preserve">, could result in significant costs, reputational damage and impacts on our business activities; </w:t>
      </w:r>
    </w:p>
    <w:p w14:paraId="71D3D670" w14:textId="77777777" w:rsidR="006A3667" w:rsidRDefault="00045F32">
      <w:pPr>
        <w:spacing w:before="60"/>
        <w:ind w:hanging="360"/>
        <w:jc w:val="both"/>
        <w:textAlignment w:val="top"/>
      </w:pPr>
      <w:r>
        <w:rPr>
          <w:rFonts w:ascii="Arial" w:eastAsia="宋体" w:hAnsi="Arial" w:cs="Arial"/>
          <w:color w:val="000000"/>
          <w:sz w:val="20"/>
          <w:szCs w:val="20"/>
        </w:rPr>
        <w:t>•Long-term contracts expose us to pricing and performance risk;</w:t>
      </w:r>
    </w:p>
    <w:p w14:paraId="71D3D671" w14:textId="77777777" w:rsidR="006A3667" w:rsidRDefault="00045F32">
      <w:pPr>
        <w:spacing w:before="60"/>
        <w:ind w:hanging="360"/>
        <w:jc w:val="both"/>
        <w:textAlignment w:val="top"/>
      </w:pPr>
      <w:r>
        <w:rPr>
          <w:rFonts w:ascii="Arial" w:eastAsia="宋体" w:hAnsi="Arial" w:cs="Arial"/>
          <w:color w:val="000000"/>
          <w:sz w:val="20"/>
          <w:szCs w:val="20"/>
        </w:rPr>
        <w:t>•Our businesses may be negatively affected by adverse publicity or other reputational harm;</w:t>
      </w:r>
    </w:p>
    <w:p w14:paraId="71D3D672" w14:textId="77777777" w:rsidR="006A3667" w:rsidRDefault="00045F32">
      <w:pPr>
        <w:spacing w:before="60"/>
        <w:ind w:hanging="360"/>
        <w:jc w:val="both"/>
        <w:textAlignment w:val="top"/>
      </w:pPr>
      <w:r>
        <w:rPr>
          <w:rFonts w:ascii="Arial" w:eastAsia="宋体" w:hAnsi="Arial" w:cs="Arial"/>
          <w:color w:val="000000"/>
          <w:sz w:val="20"/>
          <w:szCs w:val="20"/>
        </w:rPr>
        <w:t>•W</w:t>
      </w:r>
      <w:r>
        <w:rPr>
          <w:rFonts w:ascii="Arial" w:eastAsia="宋体" w:hAnsi="Arial" w:cs="Arial"/>
          <w:color w:val="000000"/>
          <w:sz w:val="20"/>
          <w:szCs w:val="20"/>
        </w:rPr>
        <w:t>e may not be able to protect our intellectual property;</w:t>
      </w:r>
    </w:p>
    <w:p w14:paraId="71D3D673" w14:textId="77777777" w:rsidR="006A3667" w:rsidRDefault="00045F32">
      <w:pPr>
        <w:spacing w:before="60"/>
        <w:ind w:hanging="360"/>
        <w:jc w:val="both"/>
        <w:textAlignment w:val="top"/>
      </w:pPr>
      <w:r>
        <w:rPr>
          <w:rFonts w:ascii="Arial" w:eastAsia="宋体" w:hAnsi="Arial" w:cs="Arial"/>
          <w:color w:val="000000"/>
          <w:sz w:val="20"/>
          <w:szCs w:val="20"/>
        </w:rPr>
        <w:t>•The quantitative models we use to manage our business may contain errors that could result in material harm;</w:t>
      </w:r>
    </w:p>
    <w:p w14:paraId="71D3D674" w14:textId="77777777" w:rsidR="006A3667" w:rsidRDefault="00045F32">
      <w:pPr>
        <w:spacing w:before="60"/>
        <w:ind w:hanging="360"/>
        <w:jc w:val="both"/>
        <w:textAlignment w:val="top"/>
      </w:pPr>
      <w:r>
        <w:rPr>
          <w:rFonts w:ascii="Arial" w:eastAsia="宋体" w:hAnsi="Arial" w:cs="Arial"/>
          <w:color w:val="000000"/>
          <w:sz w:val="20"/>
          <w:szCs w:val="20"/>
        </w:rPr>
        <w:t>•Our reputation and business prospects may be damaged if our clients incur substantial los</w:t>
      </w:r>
      <w:r>
        <w:rPr>
          <w:rFonts w:ascii="Arial" w:eastAsia="宋体" w:hAnsi="Arial" w:cs="Arial"/>
          <w:color w:val="000000"/>
          <w:sz w:val="20"/>
          <w:szCs w:val="20"/>
        </w:rPr>
        <w:t>ses or are restricted in redeeming their interests in investment pools that we sponsor or manage;</w:t>
      </w:r>
    </w:p>
    <w:p w14:paraId="71D3D675" w14:textId="77777777" w:rsidR="006A3667" w:rsidRDefault="00045F32">
      <w:pPr>
        <w:spacing w:before="60"/>
        <w:ind w:hanging="360"/>
        <w:jc w:val="both"/>
        <w:textAlignment w:val="top"/>
      </w:pPr>
      <w:r>
        <w:rPr>
          <w:rFonts w:ascii="Arial" w:eastAsia="宋体" w:hAnsi="Arial" w:cs="Arial"/>
          <w:color w:val="000000"/>
          <w:sz w:val="20"/>
          <w:szCs w:val="20"/>
        </w:rPr>
        <w:t>•The impacts of climate change, and regulatory responses to such risks, could adversely affect us; and</w:t>
      </w:r>
    </w:p>
    <w:p w14:paraId="71D3D676" w14:textId="77777777" w:rsidR="006A3667" w:rsidRDefault="00045F32">
      <w:pPr>
        <w:spacing w:before="60"/>
        <w:ind w:hanging="360"/>
        <w:jc w:val="both"/>
        <w:textAlignment w:val="top"/>
      </w:pPr>
      <w:r>
        <w:rPr>
          <w:rFonts w:ascii="Arial" w:eastAsia="宋体" w:hAnsi="Arial" w:cs="Arial"/>
          <w:color w:val="000000"/>
          <w:sz w:val="20"/>
          <w:szCs w:val="20"/>
        </w:rPr>
        <w:t>•We may incur losses as a result of unforeseen events i</w:t>
      </w:r>
      <w:r>
        <w:rPr>
          <w:rFonts w:ascii="Arial" w:eastAsia="宋体" w:hAnsi="Arial" w:cs="Arial"/>
          <w:color w:val="000000"/>
          <w:sz w:val="20"/>
          <w:szCs w:val="20"/>
        </w:rPr>
        <w:t xml:space="preserve">ncluding terrorist attacks, </w:t>
      </w:r>
    </w:p>
    <w:p w14:paraId="71D3D677" w14:textId="77777777" w:rsidR="006A3667" w:rsidRDefault="00045F32">
      <w:pPr>
        <w:spacing w:before="60"/>
        <w:jc w:val="both"/>
        <w:textAlignment w:val="top"/>
      </w:pPr>
      <w:r>
        <w:rPr>
          <w:rFonts w:ascii="Arial" w:eastAsia="宋体" w:hAnsi="Arial" w:cs="Arial"/>
          <w:color w:val="000000"/>
          <w:sz w:val="20"/>
          <w:szCs w:val="20"/>
        </w:rPr>
        <w:t xml:space="preserve">natural disasters, the emergence of a new pandemic or acts of embezzlement. </w:t>
      </w:r>
    </w:p>
    <w:p w14:paraId="71D3D678" w14:textId="77777777" w:rsidR="006A3667" w:rsidRDefault="00045F32">
      <w:pPr>
        <w:spacing w:before="60"/>
        <w:ind w:firstLine="360"/>
        <w:jc w:val="both"/>
        <w:textAlignment w:val="top"/>
      </w:pPr>
      <w:r>
        <w:rPr>
          <w:rFonts w:ascii="Arial" w:eastAsia="宋体" w:hAnsi="Arial" w:cs="Arial"/>
          <w:color w:val="000000"/>
          <w:sz w:val="20"/>
          <w:szCs w:val="20"/>
        </w:rPr>
        <w:t xml:space="preserve">Actual outcomes and results may differ materially from what is expressed in our forward-looking statements and from our historical financial </w:t>
      </w:r>
      <w:r>
        <w:rPr>
          <w:rFonts w:ascii="Arial" w:eastAsia="宋体" w:hAnsi="Arial" w:cs="Arial"/>
          <w:color w:val="000000"/>
          <w:sz w:val="20"/>
          <w:szCs w:val="20"/>
        </w:rPr>
        <w:t xml:space="preserve">results due to the factors discussed in this section and elsewhere in this Form 10-Q or disclosed in our other SEC filings. Forward-looking statements in this Form 10-Q should not be relied on as representing our expectations or assumptions as of any time </w:t>
      </w:r>
      <w:r>
        <w:rPr>
          <w:rFonts w:ascii="Arial" w:eastAsia="宋体" w:hAnsi="Arial" w:cs="Arial"/>
          <w:color w:val="000000"/>
          <w:sz w:val="20"/>
          <w:szCs w:val="20"/>
        </w:rPr>
        <w:t>subsequent to the time this Form 10-Q is filed with the SEC. We undertake no obligation to revise our forward-looking statements after the time they are made. The factors discussed herein are not intended to be a complete statement of all risks and uncerta</w:t>
      </w:r>
      <w:r>
        <w:rPr>
          <w:rFonts w:ascii="Arial" w:eastAsia="宋体" w:hAnsi="Arial" w:cs="Arial"/>
          <w:color w:val="000000"/>
          <w:sz w:val="20"/>
          <w:szCs w:val="20"/>
        </w:rPr>
        <w:t>inties that may affect our businesses. We cannot anticipate all developments that may adversely affect our business or operations or our consolidated results of operations, financial condition or cash flows.</w:t>
      </w:r>
    </w:p>
    <w:p w14:paraId="71D3D679" w14:textId="77777777" w:rsidR="006A3667" w:rsidRDefault="00045F32">
      <w:pPr>
        <w:spacing w:before="60"/>
        <w:ind w:firstLine="450"/>
        <w:jc w:val="both"/>
        <w:textAlignment w:val="top"/>
      </w:pPr>
      <w:r>
        <w:rPr>
          <w:rFonts w:ascii="Arial" w:eastAsia="宋体" w:hAnsi="Arial" w:cs="Arial"/>
          <w:color w:val="000000"/>
          <w:sz w:val="20"/>
          <w:szCs w:val="20"/>
        </w:rPr>
        <w:t xml:space="preserve">Forward-looking statements should not be viewed </w:t>
      </w:r>
      <w:r>
        <w:rPr>
          <w:rFonts w:ascii="Arial" w:eastAsia="宋体" w:hAnsi="Arial" w:cs="Arial"/>
          <w:color w:val="000000"/>
          <w:sz w:val="20"/>
          <w:szCs w:val="20"/>
        </w:rPr>
        <w:t>as predictions and should not be the primary basis on which investors evaluate State Street. Any investor in State Street should consider all risks and uncertainties disclosed in our SEC filings, including our filings under the Securities Exchange Act of 1</w:t>
      </w:r>
      <w:r>
        <w:rPr>
          <w:rFonts w:ascii="Arial" w:eastAsia="宋体" w:hAnsi="Arial" w:cs="Arial"/>
          <w:color w:val="000000"/>
          <w:sz w:val="20"/>
          <w:szCs w:val="20"/>
        </w:rPr>
        <w:t xml:space="preserve">934, in particular our annual reports on Form 10-K, our quarterly reports on Form 10-Q and our current reports on Form 8-K, and our registration statements filed under the Securities Act of 1933, all of which are accessible on the SEC's website at </w:t>
      </w:r>
      <w:r>
        <w:rPr>
          <w:rFonts w:ascii="Arial" w:eastAsia="宋体" w:hAnsi="Arial" w:cs="Arial"/>
          <w:i/>
          <w:iCs/>
          <w:color w:val="000000"/>
          <w:sz w:val="20"/>
          <w:szCs w:val="20"/>
        </w:rPr>
        <w:t>www.sec.</w:t>
      </w:r>
      <w:r>
        <w:rPr>
          <w:rFonts w:ascii="Arial" w:eastAsia="宋体" w:hAnsi="Arial" w:cs="Arial"/>
          <w:i/>
          <w:iCs/>
          <w:color w:val="000000"/>
          <w:sz w:val="20"/>
          <w:szCs w:val="20"/>
        </w:rPr>
        <w:t>gov</w:t>
      </w:r>
      <w:r>
        <w:rPr>
          <w:rFonts w:ascii="Arial" w:eastAsia="宋体" w:hAnsi="Arial" w:cs="Arial"/>
          <w:color w:val="000000"/>
          <w:sz w:val="20"/>
          <w:szCs w:val="20"/>
        </w:rPr>
        <w:t xml:space="preserve"> or on the “Investor Relations” section of our corporate website at </w:t>
      </w:r>
      <w:r>
        <w:rPr>
          <w:rFonts w:ascii="Arial" w:eastAsia="宋体" w:hAnsi="Arial" w:cs="Arial"/>
          <w:i/>
          <w:iCs/>
          <w:color w:val="000000"/>
          <w:sz w:val="20"/>
          <w:szCs w:val="20"/>
        </w:rPr>
        <w:t>investors.statestreet.com.</w:t>
      </w:r>
    </w:p>
    <w:p w14:paraId="71D3D67A" w14:textId="77777777" w:rsidR="006A3667" w:rsidRDefault="00045F32">
      <w:pPr>
        <w:ind w:firstLine="450"/>
        <w:jc w:val="right"/>
      </w:pPr>
      <w:r>
        <w:rPr>
          <w:rFonts w:ascii="Arial" w:eastAsia="宋体" w:hAnsi="Arial" w:cs="Arial"/>
          <w:color w:val="000000"/>
          <w:sz w:val="18"/>
          <w:szCs w:val="18"/>
        </w:rPr>
        <w:t>State Street Corporation | 7</w:t>
      </w:r>
    </w:p>
    <w:p w14:paraId="71D3D67B" w14:textId="77777777" w:rsidR="006A3667" w:rsidRDefault="006A3667">
      <w:pPr>
        <w:ind w:firstLine="450"/>
        <w:jc w:val="center"/>
      </w:pPr>
    </w:p>
    <w:p w14:paraId="71D3D67C" w14:textId="77777777" w:rsidR="006A3667" w:rsidRDefault="00045F32">
      <w:r>
        <w:pict w14:anchorId="71D4AC1B">
          <v:rect id="_x0000_i1031" style="width:415.3pt;height:1.5pt" o:hralign="center" o:hrstd="t" o:hr="t" fillcolor="#a0a0a0" stroked="f"/>
        </w:pict>
      </w:r>
    </w:p>
    <w:p w14:paraId="71D3D67D"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D67E" w14:textId="77777777" w:rsidR="006A3667" w:rsidRDefault="00045F32">
      <w:pPr>
        <w:ind w:firstLine="450"/>
        <w:jc w:val="center"/>
      </w:pPr>
      <w:r>
        <w:rPr>
          <w:rFonts w:ascii="Arial" w:eastAsia="宋体" w:hAnsi="Arial" w:cs="Arial"/>
          <w:b/>
          <w:bCs/>
          <w:color w:val="000000"/>
          <w:sz w:val="20"/>
          <w:szCs w:val="20"/>
        </w:rPr>
        <w:t>AND RESULTS OF OPERATIONS</w:t>
      </w:r>
    </w:p>
    <w:p w14:paraId="71D3D67F" w14:textId="77777777" w:rsidR="006A3667" w:rsidRDefault="00045F32">
      <w:pPr>
        <w:spacing w:before="90"/>
        <w:jc w:val="both"/>
        <w:textAlignment w:val="top"/>
      </w:pPr>
      <w:r>
        <w:rPr>
          <w:rFonts w:ascii="Arial" w:eastAsia="宋体" w:hAnsi="Arial" w:cs="Arial"/>
          <w:b/>
          <w:bCs/>
          <w:color w:val="000000"/>
          <w:sz w:val="20"/>
          <w:szCs w:val="20"/>
        </w:rPr>
        <w:t>OVERVIEW OF FINANCIAL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4322"/>
        <w:gridCol w:w="37"/>
        <w:gridCol w:w="88"/>
        <w:gridCol w:w="907"/>
        <w:gridCol w:w="127"/>
        <w:gridCol w:w="37"/>
        <w:gridCol w:w="158"/>
        <w:gridCol w:w="36"/>
        <w:gridCol w:w="88"/>
        <w:gridCol w:w="907"/>
        <w:gridCol w:w="127"/>
        <w:gridCol w:w="36"/>
        <w:gridCol w:w="36"/>
        <w:gridCol w:w="36"/>
        <w:gridCol w:w="42"/>
        <w:gridCol w:w="647"/>
        <w:gridCol w:w="127"/>
        <w:gridCol w:w="36"/>
        <w:gridCol w:w="36"/>
        <w:gridCol w:w="36"/>
        <w:gridCol w:w="36"/>
        <w:gridCol w:w="36"/>
        <w:gridCol w:w="36"/>
        <w:gridCol w:w="36"/>
        <w:gridCol w:w="36"/>
        <w:gridCol w:w="36"/>
        <w:gridCol w:w="36"/>
        <w:gridCol w:w="36"/>
        <w:gridCol w:w="36"/>
        <w:gridCol w:w="36"/>
        <w:gridCol w:w="36"/>
        <w:gridCol w:w="36"/>
      </w:tblGrid>
      <w:tr w:rsidR="006A3667" w14:paraId="71D3D697" w14:textId="77777777">
        <w:tc>
          <w:tcPr>
            <w:tcW w:w="50" w:type="pct"/>
            <w:shd w:val="clear" w:color="auto" w:fill="auto"/>
            <w:vAlign w:val="bottom"/>
          </w:tcPr>
          <w:p w14:paraId="71D3D680" w14:textId="77777777" w:rsidR="006A3667" w:rsidRDefault="006A3667">
            <w:pPr>
              <w:rPr>
                <w:rFonts w:ascii="宋体"/>
              </w:rPr>
            </w:pPr>
          </w:p>
        </w:tc>
        <w:tc>
          <w:tcPr>
            <w:tcW w:w="2853" w:type="pct"/>
            <w:shd w:val="clear" w:color="auto" w:fill="auto"/>
            <w:vAlign w:val="bottom"/>
          </w:tcPr>
          <w:p w14:paraId="71D3D681" w14:textId="77777777" w:rsidR="006A3667" w:rsidRDefault="006A3667">
            <w:pPr>
              <w:rPr>
                <w:rFonts w:ascii="宋体"/>
              </w:rPr>
            </w:pPr>
          </w:p>
        </w:tc>
        <w:tc>
          <w:tcPr>
            <w:tcW w:w="5" w:type="pct"/>
            <w:shd w:val="clear" w:color="auto" w:fill="auto"/>
            <w:vAlign w:val="bottom"/>
          </w:tcPr>
          <w:p w14:paraId="71D3D682" w14:textId="77777777" w:rsidR="006A3667" w:rsidRDefault="006A3667">
            <w:pPr>
              <w:rPr>
                <w:rFonts w:ascii="宋体"/>
              </w:rPr>
            </w:pPr>
          </w:p>
        </w:tc>
        <w:tc>
          <w:tcPr>
            <w:tcW w:w="50" w:type="pct"/>
            <w:shd w:val="clear" w:color="auto" w:fill="auto"/>
            <w:vAlign w:val="bottom"/>
          </w:tcPr>
          <w:p w14:paraId="71D3D683" w14:textId="77777777" w:rsidR="006A3667" w:rsidRDefault="006A3667">
            <w:pPr>
              <w:rPr>
                <w:rFonts w:ascii="宋体"/>
              </w:rPr>
            </w:pPr>
          </w:p>
        </w:tc>
        <w:tc>
          <w:tcPr>
            <w:tcW w:w="636" w:type="pct"/>
            <w:shd w:val="clear" w:color="auto" w:fill="auto"/>
            <w:vAlign w:val="bottom"/>
          </w:tcPr>
          <w:p w14:paraId="71D3D684" w14:textId="77777777" w:rsidR="006A3667" w:rsidRDefault="006A3667">
            <w:pPr>
              <w:rPr>
                <w:rFonts w:ascii="宋体"/>
              </w:rPr>
            </w:pPr>
          </w:p>
        </w:tc>
        <w:tc>
          <w:tcPr>
            <w:tcW w:w="5" w:type="pct"/>
            <w:shd w:val="clear" w:color="auto" w:fill="auto"/>
            <w:vAlign w:val="bottom"/>
          </w:tcPr>
          <w:p w14:paraId="71D3D685" w14:textId="77777777" w:rsidR="006A3667" w:rsidRDefault="006A3667">
            <w:pPr>
              <w:rPr>
                <w:rFonts w:ascii="宋体"/>
              </w:rPr>
            </w:pPr>
          </w:p>
        </w:tc>
        <w:tc>
          <w:tcPr>
            <w:tcW w:w="5" w:type="pct"/>
            <w:shd w:val="clear" w:color="auto" w:fill="auto"/>
            <w:vAlign w:val="bottom"/>
          </w:tcPr>
          <w:p w14:paraId="71D3D686" w14:textId="77777777" w:rsidR="006A3667" w:rsidRDefault="006A3667">
            <w:pPr>
              <w:rPr>
                <w:rFonts w:ascii="宋体"/>
              </w:rPr>
            </w:pPr>
          </w:p>
        </w:tc>
        <w:tc>
          <w:tcPr>
            <w:tcW w:w="52" w:type="pct"/>
            <w:shd w:val="clear" w:color="auto" w:fill="auto"/>
            <w:vAlign w:val="bottom"/>
          </w:tcPr>
          <w:p w14:paraId="71D3D687" w14:textId="77777777" w:rsidR="006A3667" w:rsidRDefault="006A3667">
            <w:pPr>
              <w:rPr>
                <w:rFonts w:ascii="宋体"/>
              </w:rPr>
            </w:pPr>
          </w:p>
        </w:tc>
        <w:tc>
          <w:tcPr>
            <w:tcW w:w="5" w:type="pct"/>
            <w:shd w:val="clear" w:color="auto" w:fill="auto"/>
            <w:vAlign w:val="bottom"/>
          </w:tcPr>
          <w:p w14:paraId="71D3D688" w14:textId="77777777" w:rsidR="006A3667" w:rsidRDefault="006A3667">
            <w:pPr>
              <w:rPr>
                <w:rFonts w:ascii="宋体"/>
              </w:rPr>
            </w:pPr>
          </w:p>
        </w:tc>
        <w:tc>
          <w:tcPr>
            <w:tcW w:w="50" w:type="pct"/>
            <w:shd w:val="clear" w:color="auto" w:fill="auto"/>
            <w:vAlign w:val="bottom"/>
          </w:tcPr>
          <w:p w14:paraId="71D3D689" w14:textId="77777777" w:rsidR="006A3667" w:rsidRDefault="006A3667">
            <w:pPr>
              <w:rPr>
                <w:rFonts w:ascii="宋体"/>
              </w:rPr>
            </w:pPr>
          </w:p>
        </w:tc>
        <w:tc>
          <w:tcPr>
            <w:tcW w:w="636" w:type="pct"/>
            <w:shd w:val="clear" w:color="auto" w:fill="auto"/>
            <w:vAlign w:val="bottom"/>
          </w:tcPr>
          <w:p w14:paraId="71D3D68A" w14:textId="77777777" w:rsidR="006A3667" w:rsidRDefault="006A3667">
            <w:pPr>
              <w:rPr>
                <w:rFonts w:ascii="宋体"/>
              </w:rPr>
            </w:pPr>
          </w:p>
        </w:tc>
        <w:tc>
          <w:tcPr>
            <w:tcW w:w="5" w:type="pct"/>
            <w:shd w:val="clear" w:color="auto" w:fill="auto"/>
            <w:vAlign w:val="bottom"/>
          </w:tcPr>
          <w:p w14:paraId="71D3D68B" w14:textId="77777777" w:rsidR="006A3667" w:rsidRDefault="006A3667">
            <w:pPr>
              <w:rPr>
                <w:rFonts w:ascii="宋体"/>
              </w:rPr>
            </w:pPr>
          </w:p>
        </w:tc>
        <w:tc>
          <w:tcPr>
            <w:tcW w:w="5" w:type="pct"/>
            <w:shd w:val="clear" w:color="auto" w:fill="auto"/>
            <w:vAlign w:val="bottom"/>
          </w:tcPr>
          <w:p w14:paraId="71D3D68C" w14:textId="77777777" w:rsidR="006A3667" w:rsidRDefault="006A3667">
            <w:pPr>
              <w:rPr>
                <w:rFonts w:ascii="宋体"/>
              </w:rPr>
            </w:pPr>
          </w:p>
        </w:tc>
        <w:tc>
          <w:tcPr>
            <w:tcW w:w="52" w:type="pct"/>
            <w:shd w:val="clear" w:color="auto" w:fill="auto"/>
            <w:vAlign w:val="bottom"/>
          </w:tcPr>
          <w:p w14:paraId="71D3D68D" w14:textId="77777777" w:rsidR="006A3667" w:rsidRDefault="006A3667">
            <w:pPr>
              <w:rPr>
                <w:rFonts w:ascii="宋体"/>
              </w:rPr>
            </w:pPr>
          </w:p>
        </w:tc>
        <w:tc>
          <w:tcPr>
            <w:tcW w:w="5" w:type="pct"/>
            <w:shd w:val="clear" w:color="auto" w:fill="auto"/>
            <w:vAlign w:val="bottom"/>
          </w:tcPr>
          <w:p w14:paraId="71D3D68E" w14:textId="77777777" w:rsidR="006A3667" w:rsidRDefault="006A3667">
            <w:pPr>
              <w:rPr>
                <w:rFonts w:ascii="宋体"/>
              </w:rPr>
            </w:pPr>
          </w:p>
        </w:tc>
        <w:tc>
          <w:tcPr>
            <w:tcW w:w="50" w:type="pct"/>
            <w:shd w:val="clear" w:color="auto" w:fill="auto"/>
            <w:vAlign w:val="bottom"/>
          </w:tcPr>
          <w:p w14:paraId="71D3D68F" w14:textId="77777777" w:rsidR="006A3667" w:rsidRDefault="006A3667">
            <w:pPr>
              <w:rPr>
                <w:rFonts w:ascii="宋体"/>
              </w:rPr>
            </w:pPr>
          </w:p>
        </w:tc>
        <w:tc>
          <w:tcPr>
            <w:tcW w:w="526" w:type="pct"/>
            <w:shd w:val="clear" w:color="auto" w:fill="auto"/>
            <w:vAlign w:val="bottom"/>
          </w:tcPr>
          <w:p w14:paraId="71D3D690" w14:textId="77777777" w:rsidR="006A3667" w:rsidRDefault="006A3667">
            <w:pPr>
              <w:rPr>
                <w:rFonts w:ascii="宋体"/>
              </w:rPr>
            </w:pPr>
          </w:p>
        </w:tc>
        <w:tc>
          <w:tcPr>
            <w:tcW w:w="5" w:type="pct"/>
            <w:shd w:val="clear" w:color="auto" w:fill="auto"/>
            <w:vAlign w:val="bottom"/>
          </w:tcPr>
          <w:p w14:paraId="71D3D691" w14:textId="77777777" w:rsidR="006A3667" w:rsidRDefault="006A3667">
            <w:pPr>
              <w:rPr>
                <w:rFonts w:ascii="宋体"/>
              </w:rPr>
            </w:pPr>
          </w:p>
        </w:tc>
        <w:tc>
          <w:tcPr>
            <w:tcW w:w="0" w:type="auto"/>
            <w:gridSpan w:val="3"/>
            <w:shd w:val="clear" w:color="auto" w:fill="auto"/>
            <w:vAlign w:val="bottom"/>
          </w:tcPr>
          <w:p w14:paraId="71D3D692" w14:textId="77777777" w:rsidR="006A3667" w:rsidRDefault="006A3667">
            <w:pPr>
              <w:rPr>
                <w:rFonts w:ascii="宋体"/>
                <w:vanish/>
              </w:rPr>
            </w:pPr>
          </w:p>
        </w:tc>
        <w:tc>
          <w:tcPr>
            <w:tcW w:w="0" w:type="auto"/>
            <w:gridSpan w:val="3"/>
            <w:shd w:val="clear" w:color="auto" w:fill="auto"/>
            <w:vAlign w:val="bottom"/>
          </w:tcPr>
          <w:p w14:paraId="71D3D693" w14:textId="77777777" w:rsidR="006A3667" w:rsidRDefault="006A3667">
            <w:pPr>
              <w:rPr>
                <w:rFonts w:ascii="宋体"/>
                <w:vanish/>
              </w:rPr>
            </w:pPr>
          </w:p>
        </w:tc>
        <w:tc>
          <w:tcPr>
            <w:tcW w:w="0" w:type="auto"/>
            <w:gridSpan w:val="3"/>
            <w:shd w:val="clear" w:color="auto" w:fill="auto"/>
            <w:vAlign w:val="bottom"/>
          </w:tcPr>
          <w:p w14:paraId="71D3D694" w14:textId="77777777" w:rsidR="006A3667" w:rsidRDefault="006A3667">
            <w:pPr>
              <w:rPr>
                <w:rFonts w:ascii="宋体"/>
                <w:vanish/>
              </w:rPr>
            </w:pPr>
          </w:p>
        </w:tc>
        <w:tc>
          <w:tcPr>
            <w:tcW w:w="0" w:type="auto"/>
            <w:gridSpan w:val="3"/>
            <w:shd w:val="clear" w:color="auto" w:fill="auto"/>
            <w:vAlign w:val="bottom"/>
          </w:tcPr>
          <w:p w14:paraId="71D3D695" w14:textId="77777777" w:rsidR="006A3667" w:rsidRDefault="006A3667">
            <w:pPr>
              <w:rPr>
                <w:rFonts w:ascii="宋体"/>
                <w:vanish/>
              </w:rPr>
            </w:pPr>
          </w:p>
        </w:tc>
        <w:tc>
          <w:tcPr>
            <w:tcW w:w="0" w:type="auto"/>
            <w:gridSpan w:val="3"/>
            <w:shd w:val="clear" w:color="auto" w:fill="auto"/>
            <w:vAlign w:val="bottom"/>
          </w:tcPr>
          <w:p w14:paraId="71D3D696" w14:textId="77777777" w:rsidR="006A3667" w:rsidRDefault="006A3667">
            <w:pPr>
              <w:rPr>
                <w:rFonts w:ascii="宋体"/>
                <w:vanish/>
              </w:rPr>
            </w:pPr>
          </w:p>
        </w:tc>
      </w:tr>
      <w:tr w:rsidR="006A3667" w14:paraId="71D3D6A8" w14:textId="77777777">
        <w:tc>
          <w:tcPr>
            <w:tcW w:w="0" w:type="auto"/>
            <w:gridSpan w:val="18"/>
            <w:shd w:val="clear" w:color="auto" w:fill="auto"/>
            <w:tcMar>
              <w:top w:w="40" w:type="dxa"/>
              <w:left w:w="20" w:type="dxa"/>
              <w:bottom w:w="40" w:type="dxa"/>
              <w:right w:w="20" w:type="dxa"/>
            </w:tcMar>
            <w:vAlign w:val="bottom"/>
          </w:tcPr>
          <w:p w14:paraId="71D3D698" w14:textId="77777777" w:rsidR="006A3667" w:rsidRDefault="00045F32">
            <w:pPr>
              <w:textAlignment w:val="bottom"/>
            </w:pPr>
            <w:r>
              <w:rPr>
                <w:rFonts w:ascii="Arial" w:eastAsia="宋体" w:hAnsi="Arial" w:cs="Arial"/>
                <w:b/>
                <w:bCs/>
                <w:color w:val="000000"/>
                <w:sz w:val="16"/>
                <w:szCs w:val="16"/>
              </w:rPr>
              <w:t>TABLE 1: OVERVIEW OF FINANCIAL RESULTS</w:t>
            </w:r>
          </w:p>
        </w:tc>
        <w:tc>
          <w:tcPr>
            <w:tcW w:w="0" w:type="auto"/>
            <w:shd w:val="clear" w:color="auto" w:fill="auto"/>
            <w:vAlign w:val="bottom"/>
          </w:tcPr>
          <w:p w14:paraId="71D3D699" w14:textId="77777777" w:rsidR="006A3667" w:rsidRDefault="006A3667">
            <w:pPr>
              <w:rPr>
                <w:rFonts w:ascii="宋体"/>
              </w:rPr>
            </w:pPr>
          </w:p>
        </w:tc>
        <w:tc>
          <w:tcPr>
            <w:tcW w:w="0" w:type="auto"/>
            <w:shd w:val="clear" w:color="auto" w:fill="auto"/>
            <w:vAlign w:val="bottom"/>
          </w:tcPr>
          <w:p w14:paraId="71D3D69A" w14:textId="77777777" w:rsidR="006A3667" w:rsidRDefault="006A3667">
            <w:pPr>
              <w:rPr>
                <w:rFonts w:ascii="宋体"/>
              </w:rPr>
            </w:pPr>
          </w:p>
        </w:tc>
        <w:tc>
          <w:tcPr>
            <w:tcW w:w="0" w:type="auto"/>
            <w:shd w:val="clear" w:color="auto" w:fill="auto"/>
            <w:vAlign w:val="bottom"/>
          </w:tcPr>
          <w:p w14:paraId="71D3D69B" w14:textId="77777777" w:rsidR="006A3667" w:rsidRDefault="006A3667">
            <w:pPr>
              <w:rPr>
                <w:rFonts w:ascii="宋体"/>
              </w:rPr>
            </w:pPr>
          </w:p>
        </w:tc>
        <w:tc>
          <w:tcPr>
            <w:tcW w:w="0" w:type="auto"/>
            <w:shd w:val="clear" w:color="auto" w:fill="auto"/>
            <w:vAlign w:val="bottom"/>
          </w:tcPr>
          <w:p w14:paraId="71D3D69C" w14:textId="77777777" w:rsidR="006A3667" w:rsidRDefault="006A3667">
            <w:pPr>
              <w:rPr>
                <w:rFonts w:ascii="宋体"/>
              </w:rPr>
            </w:pPr>
          </w:p>
        </w:tc>
        <w:tc>
          <w:tcPr>
            <w:tcW w:w="0" w:type="auto"/>
            <w:shd w:val="clear" w:color="auto" w:fill="auto"/>
            <w:vAlign w:val="bottom"/>
          </w:tcPr>
          <w:p w14:paraId="71D3D69D" w14:textId="77777777" w:rsidR="006A3667" w:rsidRDefault="006A3667">
            <w:pPr>
              <w:rPr>
                <w:rFonts w:ascii="宋体"/>
              </w:rPr>
            </w:pPr>
          </w:p>
        </w:tc>
        <w:tc>
          <w:tcPr>
            <w:tcW w:w="0" w:type="auto"/>
            <w:shd w:val="clear" w:color="auto" w:fill="auto"/>
            <w:vAlign w:val="bottom"/>
          </w:tcPr>
          <w:p w14:paraId="71D3D69E" w14:textId="77777777" w:rsidR="006A3667" w:rsidRDefault="006A3667">
            <w:pPr>
              <w:rPr>
                <w:rFonts w:ascii="宋体"/>
              </w:rPr>
            </w:pPr>
          </w:p>
        </w:tc>
        <w:tc>
          <w:tcPr>
            <w:tcW w:w="0" w:type="auto"/>
            <w:shd w:val="clear" w:color="auto" w:fill="auto"/>
            <w:vAlign w:val="bottom"/>
          </w:tcPr>
          <w:p w14:paraId="71D3D69F" w14:textId="77777777" w:rsidR="006A3667" w:rsidRDefault="006A3667">
            <w:pPr>
              <w:rPr>
                <w:rFonts w:ascii="宋体"/>
              </w:rPr>
            </w:pPr>
          </w:p>
        </w:tc>
        <w:tc>
          <w:tcPr>
            <w:tcW w:w="0" w:type="auto"/>
            <w:shd w:val="clear" w:color="auto" w:fill="auto"/>
            <w:vAlign w:val="bottom"/>
          </w:tcPr>
          <w:p w14:paraId="71D3D6A0" w14:textId="77777777" w:rsidR="006A3667" w:rsidRDefault="006A3667">
            <w:pPr>
              <w:rPr>
                <w:rFonts w:ascii="宋体"/>
              </w:rPr>
            </w:pPr>
          </w:p>
        </w:tc>
        <w:tc>
          <w:tcPr>
            <w:tcW w:w="0" w:type="auto"/>
            <w:shd w:val="clear" w:color="auto" w:fill="auto"/>
            <w:vAlign w:val="bottom"/>
          </w:tcPr>
          <w:p w14:paraId="71D3D6A1" w14:textId="77777777" w:rsidR="006A3667" w:rsidRDefault="006A3667">
            <w:pPr>
              <w:rPr>
                <w:rFonts w:ascii="宋体"/>
              </w:rPr>
            </w:pPr>
          </w:p>
        </w:tc>
        <w:tc>
          <w:tcPr>
            <w:tcW w:w="0" w:type="auto"/>
            <w:shd w:val="clear" w:color="auto" w:fill="auto"/>
            <w:vAlign w:val="bottom"/>
          </w:tcPr>
          <w:p w14:paraId="71D3D6A2" w14:textId="77777777" w:rsidR="006A3667" w:rsidRDefault="006A3667">
            <w:pPr>
              <w:rPr>
                <w:rFonts w:ascii="宋体"/>
              </w:rPr>
            </w:pPr>
          </w:p>
        </w:tc>
        <w:tc>
          <w:tcPr>
            <w:tcW w:w="0" w:type="auto"/>
            <w:shd w:val="clear" w:color="auto" w:fill="auto"/>
            <w:vAlign w:val="bottom"/>
          </w:tcPr>
          <w:p w14:paraId="71D3D6A3" w14:textId="77777777" w:rsidR="006A3667" w:rsidRDefault="006A3667">
            <w:pPr>
              <w:rPr>
                <w:rFonts w:ascii="宋体"/>
              </w:rPr>
            </w:pPr>
          </w:p>
        </w:tc>
        <w:tc>
          <w:tcPr>
            <w:tcW w:w="0" w:type="auto"/>
            <w:shd w:val="clear" w:color="auto" w:fill="auto"/>
            <w:vAlign w:val="bottom"/>
          </w:tcPr>
          <w:p w14:paraId="71D3D6A4" w14:textId="77777777" w:rsidR="006A3667" w:rsidRDefault="006A3667">
            <w:pPr>
              <w:rPr>
                <w:rFonts w:ascii="宋体"/>
              </w:rPr>
            </w:pPr>
          </w:p>
        </w:tc>
        <w:tc>
          <w:tcPr>
            <w:tcW w:w="0" w:type="auto"/>
            <w:shd w:val="clear" w:color="auto" w:fill="auto"/>
            <w:vAlign w:val="bottom"/>
          </w:tcPr>
          <w:p w14:paraId="71D3D6A5" w14:textId="77777777" w:rsidR="006A3667" w:rsidRDefault="006A3667">
            <w:pPr>
              <w:rPr>
                <w:rFonts w:ascii="宋体"/>
              </w:rPr>
            </w:pPr>
          </w:p>
        </w:tc>
        <w:tc>
          <w:tcPr>
            <w:tcW w:w="0" w:type="auto"/>
            <w:shd w:val="clear" w:color="auto" w:fill="auto"/>
            <w:vAlign w:val="bottom"/>
          </w:tcPr>
          <w:p w14:paraId="71D3D6A6" w14:textId="77777777" w:rsidR="006A3667" w:rsidRDefault="006A3667">
            <w:pPr>
              <w:rPr>
                <w:rFonts w:ascii="宋体"/>
              </w:rPr>
            </w:pPr>
          </w:p>
        </w:tc>
        <w:tc>
          <w:tcPr>
            <w:tcW w:w="0" w:type="auto"/>
            <w:shd w:val="clear" w:color="auto" w:fill="auto"/>
            <w:vAlign w:val="bottom"/>
          </w:tcPr>
          <w:p w14:paraId="71D3D6A7" w14:textId="77777777" w:rsidR="006A3667" w:rsidRDefault="006A3667">
            <w:pPr>
              <w:rPr>
                <w:rFonts w:ascii="宋体"/>
              </w:rPr>
            </w:pPr>
          </w:p>
        </w:tc>
      </w:tr>
      <w:tr w:rsidR="006A3667" w14:paraId="71D3D6B2" w14:textId="77777777">
        <w:trPr>
          <w:trHeight w:val="340"/>
        </w:trPr>
        <w:tc>
          <w:tcPr>
            <w:tcW w:w="0" w:type="auto"/>
            <w:gridSpan w:val="3"/>
            <w:shd w:val="clear" w:color="auto" w:fill="auto"/>
            <w:tcMar>
              <w:top w:w="0" w:type="dxa"/>
              <w:left w:w="20" w:type="dxa"/>
              <w:bottom w:w="0" w:type="dxa"/>
              <w:right w:w="20" w:type="dxa"/>
            </w:tcMar>
            <w:vAlign w:val="bottom"/>
          </w:tcPr>
          <w:p w14:paraId="71D3D6A9"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3D6AA" w14:textId="77777777" w:rsidR="006A3667" w:rsidRDefault="00045F32">
            <w:pPr>
              <w:jc w:val="center"/>
              <w:textAlignment w:val="bottom"/>
            </w:pPr>
            <w:r>
              <w:rPr>
                <w:rFonts w:ascii="Arial" w:eastAsia="宋体" w:hAnsi="Arial" w:cs="Arial"/>
                <w:b/>
                <w:bCs/>
                <w:color w:val="000000"/>
                <w:sz w:val="12"/>
                <w:szCs w:val="12"/>
              </w:rPr>
              <w:t>Three Months Ended September 30,</w:t>
            </w:r>
          </w:p>
        </w:tc>
        <w:tc>
          <w:tcPr>
            <w:tcW w:w="0" w:type="auto"/>
            <w:gridSpan w:val="3"/>
            <w:shd w:val="clear" w:color="auto" w:fill="auto"/>
            <w:tcMar>
              <w:top w:w="0" w:type="dxa"/>
              <w:left w:w="20" w:type="dxa"/>
              <w:bottom w:w="0" w:type="dxa"/>
              <w:right w:w="20" w:type="dxa"/>
            </w:tcMar>
            <w:vAlign w:val="bottom"/>
          </w:tcPr>
          <w:p w14:paraId="71D3D6AB"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3D6AC" w14:textId="77777777" w:rsidR="006A3667" w:rsidRDefault="00045F32">
            <w:pPr>
              <w:jc w:val="center"/>
              <w:textAlignment w:val="bottom"/>
            </w:pPr>
            <w:r>
              <w:rPr>
                <w:rFonts w:ascii="Arial" w:eastAsia="宋体" w:hAnsi="Arial" w:cs="Arial"/>
                <w:b/>
                <w:bCs/>
                <w:color w:val="000000"/>
                <w:sz w:val="12"/>
                <w:szCs w:val="12"/>
              </w:rPr>
              <w:t>% Change</w:t>
            </w:r>
          </w:p>
        </w:tc>
        <w:tc>
          <w:tcPr>
            <w:tcW w:w="0" w:type="auto"/>
            <w:gridSpan w:val="3"/>
            <w:shd w:val="clear" w:color="auto" w:fill="auto"/>
            <w:vAlign w:val="bottom"/>
          </w:tcPr>
          <w:p w14:paraId="71D3D6AD" w14:textId="77777777" w:rsidR="006A3667" w:rsidRDefault="006A3667">
            <w:pPr>
              <w:rPr>
                <w:rFonts w:ascii="宋体"/>
                <w:vanish/>
              </w:rPr>
            </w:pPr>
          </w:p>
        </w:tc>
        <w:tc>
          <w:tcPr>
            <w:tcW w:w="0" w:type="auto"/>
            <w:gridSpan w:val="3"/>
            <w:shd w:val="clear" w:color="auto" w:fill="auto"/>
            <w:vAlign w:val="bottom"/>
          </w:tcPr>
          <w:p w14:paraId="71D3D6AE" w14:textId="77777777" w:rsidR="006A3667" w:rsidRDefault="006A3667">
            <w:pPr>
              <w:rPr>
                <w:rFonts w:ascii="宋体"/>
                <w:vanish/>
              </w:rPr>
            </w:pPr>
          </w:p>
        </w:tc>
        <w:tc>
          <w:tcPr>
            <w:tcW w:w="0" w:type="auto"/>
            <w:gridSpan w:val="3"/>
            <w:shd w:val="clear" w:color="auto" w:fill="auto"/>
            <w:vAlign w:val="bottom"/>
          </w:tcPr>
          <w:p w14:paraId="71D3D6AF" w14:textId="77777777" w:rsidR="006A3667" w:rsidRDefault="006A3667">
            <w:pPr>
              <w:rPr>
                <w:rFonts w:ascii="宋体"/>
                <w:vanish/>
              </w:rPr>
            </w:pPr>
          </w:p>
        </w:tc>
        <w:tc>
          <w:tcPr>
            <w:tcW w:w="0" w:type="auto"/>
            <w:gridSpan w:val="3"/>
            <w:shd w:val="clear" w:color="auto" w:fill="auto"/>
            <w:vAlign w:val="bottom"/>
          </w:tcPr>
          <w:p w14:paraId="71D3D6B0" w14:textId="77777777" w:rsidR="006A3667" w:rsidRDefault="006A3667">
            <w:pPr>
              <w:rPr>
                <w:rFonts w:ascii="宋体"/>
                <w:vanish/>
              </w:rPr>
            </w:pPr>
          </w:p>
        </w:tc>
        <w:tc>
          <w:tcPr>
            <w:tcW w:w="0" w:type="auto"/>
            <w:gridSpan w:val="3"/>
            <w:shd w:val="clear" w:color="auto" w:fill="auto"/>
            <w:vAlign w:val="bottom"/>
          </w:tcPr>
          <w:p w14:paraId="71D3D6B1" w14:textId="77777777" w:rsidR="006A3667" w:rsidRDefault="006A3667">
            <w:pPr>
              <w:rPr>
                <w:rFonts w:ascii="宋体"/>
                <w:vanish/>
              </w:rPr>
            </w:pPr>
          </w:p>
        </w:tc>
      </w:tr>
      <w:tr w:rsidR="006A3667" w14:paraId="71D3D6BE" w14:textId="77777777">
        <w:trPr>
          <w:trHeight w:val="220"/>
        </w:trPr>
        <w:tc>
          <w:tcPr>
            <w:tcW w:w="0" w:type="auto"/>
            <w:gridSpan w:val="3"/>
            <w:shd w:val="clear" w:color="auto" w:fill="auto"/>
            <w:tcMar>
              <w:top w:w="40" w:type="dxa"/>
              <w:left w:w="20" w:type="dxa"/>
              <w:bottom w:w="40" w:type="dxa"/>
              <w:right w:w="20" w:type="dxa"/>
            </w:tcMar>
            <w:vAlign w:val="bottom"/>
          </w:tcPr>
          <w:p w14:paraId="71D3D6B3" w14:textId="77777777" w:rsidR="006A3667" w:rsidRDefault="00045F32">
            <w:pPr>
              <w:textAlignment w:val="bottom"/>
            </w:pPr>
            <w:r>
              <w:rPr>
                <w:rFonts w:ascii="Arial" w:eastAsia="宋体" w:hAnsi="Arial" w:cs="Arial"/>
                <w:b/>
                <w:bCs/>
                <w:color w:val="000000"/>
                <w:sz w:val="12"/>
                <w:szCs w:val="12"/>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6B4" w14:textId="77777777" w:rsidR="006A3667" w:rsidRDefault="00045F32">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6B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6B6" w14:textId="77777777" w:rsidR="006A3667" w:rsidRDefault="00045F32">
            <w:pPr>
              <w:jc w:val="center"/>
              <w:textAlignment w:val="bottom"/>
            </w:pPr>
            <w:r>
              <w:rPr>
                <w:rFonts w:ascii="Arial" w:eastAsia="宋体" w:hAnsi="Arial" w:cs="Arial"/>
                <w:b/>
                <w:bCs/>
                <w:color w:val="000000"/>
                <w:sz w:val="12"/>
                <w:szCs w:val="12"/>
              </w:rPr>
              <w:t>2021</w:t>
            </w:r>
          </w:p>
        </w:tc>
        <w:tc>
          <w:tcPr>
            <w:tcW w:w="0" w:type="auto"/>
            <w:gridSpan w:val="3"/>
            <w:shd w:val="clear" w:color="auto" w:fill="auto"/>
            <w:tcMar>
              <w:top w:w="0" w:type="dxa"/>
              <w:left w:w="20" w:type="dxa"/>
              <w:bottom w:w="0" w:type="dxa"/>
              <w:right w:w="20" w:type="dxa"/>
            </w:tcMar>
            <w:vAlign w:val="bottom"/>
          </w:tcPr>
          <w:p w14:paraId="71D3D6B7"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3D6B8" w14:textId="77777777" w:rsidR="006A3667" w:rsidRDefault="006A3667">
            <w:pPr>
              <w:jc w:val="center"/>
              <w:rPr>
                <w:rFonts w:ascii="宋体"/>
              </w:rPr>
            </w:pPr>
          </w:p>
        </w:tc>
        <w:tc>
          <w:tcPr>
            <w:tcW w:w="0" w:type="auto"/>
            <w:gridSpan w:val="3"/>
            <w:shd w:val="clear" w:color="auto" w:fill="auto"/>
            <w:vAlign w:val="bottom"/>
          </w:tcPr>
          <w:p w14:paraId="71D3D6B9" w14:textId="77777777" w:rsidR="006A3667" w:rsidRDefault="006A3667">
            <w:pPr>
              <w:rPr>
                <w:rFonts w:ascii="宋体"/>
                <w:vanish/>
              </w:rPr>
            </w:pPr>
          </w:p>
        </w:tc>
        <w:tc>
          <w:tcPr>
            <w:tcW w:w="0" w:type="auto"/>
            <w:gridSpan w:val="3"/>
            <w:shd w:val="clear" w:color="auto" w:fill="auto"/>
            <w:vAlign w:val="bottom"/>
          </w:tcPr>
          <w:p w14:paraId="71D3D6BA" w14:textId="77777777" w:rsidR="006A3667" w:rsidRDefault="006A3667">
            <w:pPr>
              <w:rPr>
                <w:rFonts w:ascii="宋体"/>
                <w:vanish/>
              </w:rPr>
            </w:pPr>
          </w:p>
        </w:tc>
        <w:tc>
          <w:tcPr>
            <w:tcW w:w="0" w:type="auto"/>
            <w:gridSpan w:val="3"/>
            <w:shd w:val="clear" w:color="auto" w:fill="auto"/>
            <w:vAlign w:val="bottom"/>
          </w:tcPr>
          <w:p w14:paraId="71D3D6BB" w14:textId="77777777" w:rsidR="006A3667" w:rsidRDefault="006A3667">
            <w:pPr>
              <w:rPr>
                <w:rFonts w:ascii="宋体"/>
                <w:vanish/>
              </w:rPr>
            </w:pPr>
          </w:p>
        </w:tc>
        <w:tc>
          <w:tcPr>
            <w:tcW w:w="0" w:type="auto"/>
            <w:gridSpan w:val="3"/>
            <w:shd w:val="clear" w:color="auto" w:fill="auto"/>
            <w:vAlign w:val="bottom"/>
          </w:tcPr>
          <w:p w14:paraId="71D3D6BC" w14:textId="77777777" w:rsidR="006A3667" w:rsidRDefault="006A3667">
            <w:pPr>
              <w:rPr>
                <w:rFonts w:ascii="宋体"/>
                <w:vanish/>
              </w:rPr>
            </w:pPr>
          </w:p>
        </w:tc>
        <w:tc>
          <w:tcPr>
            <w:tcW w:w="0" w:type="auto"/>
            <w:gridSpan w:val="3"/>
            <w:shd w:val="clear" w:color="auto" w:fill="auto"/>
            <w:vAlign w:val="bottom"/>
          </w:tcPr>
          <w:p w14:paraId="71D3D6BD" w14:textId="77777777" w:rsidR="006A3667" w:rsidRDefault="006A3667">
            <w:pPr>
              <w:rPr>
                <w:rFonts w:ascii="宋体"/>
                <w:vanish/>
              </w:rPr>
            </w:pPr>
          </w:p>
        </w:tc>
      </w:tr>
      <w:tr w:rsidR="006A3667" w14:paraId="71D3D6CF" w14:textId="77777777">
        <w:tc>
          <w:tcPr>
            <w:tcW w:w="0" w:type="auto"/>
            <w:gridSpan w:val="3"/>
            <w:shd w:val="clear" w:color="auto" w:fill="CCEEFF"/>
            <w:tcMar>
              <w:top w:w="40" w:type="dxa"/>
              <w:left w:w="20" w:type="dxa"/>
              <w:bottom w:w="40" w:type="dxa"/>
              <w:right w:w="20" w:type="dxa"/>
            </w:tcMar>
            <w:vAlign w:val="bottom"/>
          </w:tcPr>
          <w:p w14:paraId="71D3D6BF" w14:textId="77777777" w:rsidR="006A3667" w:rsidRDefault="00045F32">
            <w:pPr>
              <w:textAlignment w:val="bottom"/>
            </w:pPr>
            <w:r>
              <w:rPr>
                <w:rFonts w:ascii="Arial" w:eastAsia="宋体" w:hAnsi="Arial" w:cs="Arial"/>
                <w:color w:val="000000"/>
                <w:sz w:val="12"/>
                <w:szCs w:val="12"/>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D6C0"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6C1" w14:textId="77777777" w:rsidR="006A3667" w:rsidRDefault="00045F32">
            <w:pPr>
              <w:jc w:val="right"/>
              <w:textAlignment w:val="bottom"/>
            </w:pPr>
            <w:r>
              <w:rPr>
                <w:rFonts w:ascii="Arial" w:eastAsia="宋体" w:hAnsi="Arial" w:cs="Arial"/>
                <w:b/>
                <w:bCs/>
                <w:color w:val="000000"/>
                <w:sz w:val="12"/>
                <w:szCs w:val="12"/>
              </w:rPr>
              <w:t>2,299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6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6C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D6C4"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6C5" w14:textId="77777777" w:rsidR="006A3667" w:rsidRDefault="00045F32">
            <w:pPr>
              <w:jc w:val="right"/>
              <w:textAlignment w:val="bottom"/>
            </w:pPr>
            <w:r>
              <w:rPr>
                <w:rFonts w:ascii="Arial" w:eastAsia="宋体" w:hAnsi="Arial" w:cs="Arial"/>
                <w:color w:val="000000"/>
                <w:sz w:val="12"/>
                <w:szCs w:val="12"/>
              </w:rPr>
              <w:t>2,504 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6C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6C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6C8" w14:textId="77777777" w:rsidR="006A3667" w:rsidRDefault="00045F32">
            <w:pPr>
              <w:jc w:val="right"/>
              <w:textAlignment w:val="bottom"/>
            </w:pPr>
            <w:r>
              <w:rPr>
                <w:rFonts w:ascii="Arial" w:eastAsia="宋体" w:hAnsi="Arial" w:cs="Arial"/>
                <w:color w:val="000000"/>
                <w:sz w:val="12"/>
                <w:szCs w:val="12"/>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6C9"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71D3D6CA" w14:textId="77777777" w:rsidR="006A3667" w:rsidRDefault="006A3667">
            <w:pPr>
              <w:rPr>
                <w:rFonts w:ascii="宋体"/>
                <w:vanish/>
              </w:rPr>
            </w:pPr>
          </w:p>
        </w:tc>
        <w:tc>
          <w:tcPr>
            <w:tcW w:w="0" w:type="auto"/>
            <w:gridSpan w:val="3"/>
            <w:shd w:val="clear" w:color="auto" w:fill="auto"/>
            <w:vAlign w:val="bottom"/>
          </w:tcPr>
          <w:p w14:paraId="71D3D6CB" w14:textId="77777777" w:rsidR="006A3667" w:rsidRDefault="006A3667">
            <w:pPr>
              <w:rPr>
                <w:rFonts w:ascii="宋体"/>
                <w:vanish/>
              </w:rPr>
            </w:pPr>
          </w:p>
        </w:tc>
        <w:tc>
          <w:tcPr>
            <w:tcW w:w="0" w:type="auto"/>
            <w:gridSpan w:val="3"/>
            <w:shd w:val="clear" w:color="auto" w:fill="auto"/>
            <w:vAlign w:val="bottom"/>
          </w:tcPr>
          <w:p w14:paraId="71D3D6CC" w14:textId="77777777" w:rsidR="006A3667" w:rsidRDefault="006A3667">
            <w:pPr>
              <w:rPr>
                <w:rFonts w:ascii="宋体"/>
                <w:vanish/>
              </w:rPr>
            </w:pPr>
          </w:p>
        </w:tc>
        <w:tc>
          <w:tcPr>
            <w:tcW w:w="0" w:type="auto"/>
            <w:gridSpan w:val="3"/>
            <w:shd w:val="clear" w:color="auto" w:fill="auto"/>
            <w:vAlign w:val="bottom"/>
          </w:tcPr>
          <w:p w14:paraId="71D3D6CD" w14:textId="77777777" w:rsidR="006A3667" w:rsidRDefault="006A3667">
            <w:pPr>
              <w:rPr>
                <w:rFonts w:ascii="宋体"/>
                <w:vanish/>
              </w:rPr>
            </w:pPr>
          </w:p>
        </w:tc>
        <w:tc>
          <w:tcPr>
            <w:tcW w:w="0" w:type="auto"/>
            <w:gridSpan w:val="3"/>
            <w:shd w:val="clear" w:color="auto" w:fill="auto"/>
            <w:vAlign w:val="bottom"/>
          </w:tcPr>
          <w:p w14:paraId="71D3D6CE" w14:textId="77777777" w:rsidR="006A3667" w:rsidRDefault="006A3667">
            <w:pPr>
              <w:rPr>
                <w:rFonts w:ascii="宋体"/>
                <w:vanish/>
              </w:rPr>
            </w:pPr>
          </w:p>
        </w:tc>
      </w:tr>
      <w:tr w:rsidR="006A3667" w14:paraId="71D3D6DE" w14:textId="77777777">
        <w:tc>
          <w:tcPr>
            <w:tcW w:w="0" w:type="auto"/>
            <w:gridSpan w:val="3"/>
            <w:shd w:val="clear" w:color="auto" w:fill="FFFFFF"/>
            <w:tcMar>
              <w:top w:w="40" w:type="dxa"/>
              <w:left w:w="20" w:type="dxa"/>
              <w:bottom w:w="40" w:type="dxa"/>
              <w:right w:w="20" w:type="dxa"/>
            </w:tcMar>
            <w:vAlign w:val="bottom"/>
          </w:tcPr>
          <w:p w14:paraId="71D3D6D0" w14:textId="77777777" w:rsidR="006A3667" w:rsidRDefault="00045F32">
            <w:pPr>
              <w:textAlignment w:val="bottom"/>
            </w:pPr>
            <w:r>
              <w:rPr>
                <w:rFonts w:ascii="Arial" w:eastAsia="宋体" w:hAnsi="Arial" w:cs="Arial"/>
                <w:color w:val="000000"/>
                <w:sz w:val="12"/>
                <w:szCs w:val="12"/>
              </w:rPr>
              <w:t>Net interest income</w:t>
            </w:r>
          </w:p>
        </w:tc>
        <w:tc>
          <w:tcPr>
            <w:tcW w:w="0" w:type="auto"/>
            <w:gridSpan w:val="2"/>
            <w:shd w:val="clear" w:color="auto" w:fill="FFFFFF"/>
            <w:tcMar>
              <w:top w:w="40" w:type="dxa"/>
              <w:left w:w="20" w:type="dxa"/>
              <w:bottom w:w="40" w:type="dxa"/>
              <w:right w:w="0" w:type="dxa"/>
            </w:tcMar>
            <w:vAlign w:val="bottom"/>
          </w:tcPr>
          <w:p w14:paraId="71D3D6D1" w14:textId="77777777" w:rsidR="006A3667" w:rsidRDefault="00045F32">
            <w:pPr>
              <w:jc w:val="right"/>
              <w:textAlignment w:val="bottom"/>
            </w:pPr>
            <w:r>
              <w:rPr>
                <w:rFonts w:ascii="Arial" w:eastAsia="宋体" w:hAnsi="Arial" w:cs="Arial"/>
                <w:b/>
                <w:bCs/>
                <w:color w:val="000000"/>
                <w:sz w:val="12"/>
                <w:szCs w:val="12"/>
              </w:rPr>
              <w:t>660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6D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6D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6D4" w14:textId="77777777" w:rsidR="006A3667" w:rsidRDefault="00045F32">
            <w:pPr>
              <w:jc w:val="right"/>
              <w:textAlignment w:val="bottom"/>
            </w:pPr>
            <w:r>
              <w:rPr>
                <w:rFonts w:ascii="Arial" w:eastAsia="宋体" w:hAnsi="Arial" w:cs="Arial"/>
                <w:color w:val="000000"/>
                <w:sz w:val="12"/>
                <w:szCs w:val="12"/>
              </w:rPr>
              <w:t>487 </w:t>
            </w:r>
          </w:p>
        </w:tc>
        <w:tc>
          <w:tcPr>
            <w:tcW w:w="0" w:type="auto"/>
            <w:shd w:val="clear" w:color="auto" w:fill="FFFFFF"/>
            <w:tcMar>
              <w:top w:w="40" w:type="dxa"/>
              <w:left w:w="0" w:type="dxa"/>
              <w:bottom w:w="40" w:type="dxa"/>
              <w:right w:w="20" w:type="dxa"/>
            </w:tcMar>
            <w:vAlign w:val="bottom"/>
          </w:tcPr>
          <w:p w14:paraId="71D3D6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6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6D7" w14:textId="77777777" w:rsidR="006A3667" w:rsidRDefault="00045F32">
            <w:pPr>
              <w:jc w:val="right"/>
              <w:textAlignment w:val="bottom"/>
            </w:pPr>
            <w:r>
              <w:rPr>
                <w:rFonts w:ascii="Arial" w:eastAsia="宋体" w:hAnsi="Arial" w:cs="Arial"/>
                <w:color w:val="000000"/>
                <w:sz w:val="12"/>
                <w:szCs w:val="12"/>
              </w:rPr>
              <w:t>36 </w:t>
            </w:r>
          </w:p>
        </w:tc>
        <w:tc>
          <w:tcPr>
            <w:tcW w:w="0" w:type="auto"/>
            <w:shd w:val="clear" w:color="auto" w:fill="FFFFFF"/>
            <w:tcMar>
              <w:top w:w="40" w:type="dxa"/>
              <w:left w:w="0" w:type="dxa"/>
              <w:bottom w:w="40" w:type="dxa"/>
              <w:right w:w="20" w:type="dxa"/>
            </w:tcMar>
            <w:vAlign w:val="bottom"/>
          </w:tcPr>
          <w:p w14:paraId="71D3D6D8" w14:textId="77777777" w:rsidR="006A3667" w:rsidRDefault="006A3667">
            <w:pPr>
              <w:jc w:val="right"/>
              <w:rPr>
                <w:rFonts w:ascii="宋体"/>
              </w:rPr>
            </w:pPr>
          </w:p>
        </w:tc>
        <w:tc>
          <w:tcPr>
            <w:tcW w:w="0" w:type="auto"/>
            <w:gridSpan w:val="3"/>
            <w:shd w:val="clear" w:color="auto" w:fill="auto"/>
            <w:vAlign w:val="bottom"/>
          </w:tcPr>
          <w:p w14:paraId="71D3D6D9" w14:textId="77777777" w:rsidR="006A3667" w:rsidRDefault="006A3667">
            <w:pPr>
              <w:rPr>
                <w:rFonts w:ascii="宋体"/>
                <w:vanish/>
              </w:rPr>
            </w:pPr>
          </w:p>
        </w:tc>
        <w:tc>
          <w:tcPr>
            <w:tcW w:w="0" w:type="auto"/>
            <w:gridSpan w:val="3"/>
            <w:shd w:val="clear" w:color="auto" w:fill="auto"/>
            <w:vAlign w:val="bottom"/>
          </w:tcPr>
          <w:p w14:paraId="71D3D6DA" w14:textId="77777777" w:rsidR="006A3667" w:rsidRDefault="006A3667">
            <w:pPr>
              <w:rPr>
                <w:rFonts w:ascii="宋体"/>
                <w:vanish/>
              </w:rPr>
            </w:pPr>
          </w:p>
        </w:tc>
        <w:tc>
          <w:tcPr>
            <w:tcW w:w="0" w:type="auto"/>
            <w:gridSpan w:val="3"/>
            <w:shd w:val="clear" w:color="auto" w:fill="auto"/>
            <w:vAlign w:val="bottom"/>
          </w:tcPr>
          <w:p w14:paraId="71D3D6DB" w14:textId="77777777" w:rsidR="006A3667" w:rsidRDefault="006A3667">
            <w:pPr>
              <w:rPr>
                <w:rFonts w:ascii="宋体"/>
                <w:vanish/>
              </w:rPr>
            </w:pPr>
          </w:p>
        </w:tc>
        <w:tc>
          <w:tcPr>
            <w:tcW w:w="0" w:type="auto"/>
            <w:gridSpan w:val="3"/>
            <w:shd w:val="clear" w:color="auto" w:fill="auto"/>
            <w:vAlign w:val="bottom"/>
          </w:tcPr>
          <w:p w14:paraId="71D3D6DC" w14:textId="77777777" w:rsidR="006A3667" w:rsidRDefault="006A3667">
            <w:pPr>
              <w:rPr>
                <w:rFonts w:ascii="宋体"/>
                <w:vanish/>
              </w:rPr>
            </w:pPr>
          </w:p>
        </w:tc>
        <w:tc>
          <w:tcPr>
            <w:tcW w:w="0" w:type="auto"/>
            <w:gridSpan w:val="3"/>
            <w:shd w:val="clear" w:color="auto" w:fill="auto"/>
            <w:vAlign w:val="bottom"/>
          </w:tcPr>
          <w:p w14:paraId="71D3D6DD" w14:textId="77777777" w:rsidR="006A3667" w:rsidRDefault="006A3667">
            <w:pPr>
              <w:rPr>
                <w:rFonts w:ascii="宋体"/>
                <w:vanish/>
              </w:rPr>
            </w:pPr>
          </w:p>
        </w:tc>
      </w:tr>
      <w:tr w:rsidR="006A3667" w14:paraId="71D3D6EC" w14:textId="77777777">
        <w:tc>
          <w:tcPr>
            <w:tcW w:w="0" w:type="auto"/>
            <w:gridSpan w:val="3"/>
            <w:shd w:val="clear" w:color="auto" w:fill="CCEEFF"/>
            <w:tcMar>
              <w:top w:w="40" w:type="dxa"/>
              <w:left w:w="20" w:type="dxa"/>
              <w:bottom w:w="40" w:type="dxa"/>
              <w:right w:w="20" w:type="dxa"/>
            </w:tcMar>
            <w:vAlign w:val="bottom"/>
          </w:tcPr>
          <w:p w14:paraId="71D3D6DF" w14:textId="77777777" w:rsidR="006A3667" w:rsidRDefault="00045F32">
            <w:pPr>
              <w:textAlignment w:val="bottom"/>
            </w:pPr>
            <w:r>
              <w:rPr>
                <w:rFonts w:ascii="Arial" w:eastAsia="宋体" w:hAnsi="Arial" w:cs="Arial"/>
                <w:color w:val="000000"/>
                <w:sz w:val="12"/>
                <w:szCs w:val="12"/>
              </w:rPr>
              <w:t>Total other</w:t>
            </w:r>
            <w:r>
              <w:rPr>
                <w:rFonts w:ascii="Arial" w:eastAsia="宋体" w:hAnsi="Arial" w:cs="Arial"/>
                <w:color w:val="000000"/>
                <w:sz w:val="12"/>
                <w:szCs w:val="12"/>
              </w:rPr>
              <w:t xml:space="preserve"> income</w:t>
            </w:r>
          </w:p>
        </w:tc>
        <w:tc>
          <w:tcPr>
            <w:tcW w:w="0" w:type="auto"/>
            <w:gridSpan w:val="2"/>
            <w:shd w:val="clear" w:color="auto" w:fill="CCEEFF"/>
            <w:tcMar>
              <w:top w:w="40" w:type="dxa"/>
              <w:left w:w="20" w:type="dxa"/>
              <w:bottom w:w="40" w:type="dxa"/>
              <w:right w:w="0" w:type="dxa"/>
            </w:tcMar>
            <w:vAlign w:val="bottom"/>
          </w:tcPr>
          <w:p w14:paraId="71D3D6E0"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6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6E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6E3" w14:textId="77777777" w:rsidR="006A3667" w:rsidRDefault="00045F32">
            <w:pPr>
              <w:jc w:val="right"/>
              <w:textAlignment w:val="bottom"/>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bottom"/>
          </w:tcPr>
          <w:p w14:paraId="71D3D6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6E5"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D6E6" w14:textId="77777777" w:rsidR="006A3667" w:rsidRDefault="00045F32">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1D3D6E7" w14:textId="77777777" w:rsidR="006A3667" w:rsidRDefault="006A3667">
            <w:pPr>
              <w:rPr>
                <w:rFonts w:ascii="宋体"/>
                <w:vanish/>
              </w:rPr>
            </w:pPr>
          </w:p>
        </w:tc>
        <w:tc>
          <w:tcPr>
            <w:tcW w:w="0" w:type="auto"/>
            <w:gridSpan w:val="3"/>
            <w:shd w:val="clear" w:color="auto" w:fill="auto"/>
            <w:vAlign w:val="bottom"/>
          </w:tcPr>
          <w:p w14:paraId="71D3D6E8" w14:textId="77777777" w:rsidR="006A3667" w:rsidRDefault="006A3667">
            <w:pPr>
              <w:rPr>
                <w:rFonts w:ascii="宋体"/>
                <w:vanish/>
              </w:rPr>
            </w:pPr>
          </w:p>
        </w:tc>
        <w:tc>
          <w:tcPr>
            <w:tcW w:w="0" w:type="auto"/>
            <w:gridSpan w:val="3"/>
            <w:shd w:val="clear" w:color="auto" w:fill="auto"/>
            <w:vAlign w:val="bottom"/>
          </w:tcPr>
          <w:p w14:paraId="71D3D6E9" w14:textId="77777777" w:rsidR="006A3667" w:rsidRDefault="006A3667">
            <w:pPr>
              <w:rPr>
                <w:rFonts w:ascii="宋体"/>
                <w:vanish/>
              </w:rPr>
            </w:pPr>
          </w:p>
        </w:tc>
        <w:tc>
          <w:tcPr>
            <w:tcW w:w="0" w:type="auto"/>
            <w:gridSpan w:val="3"/>
            <w:shd w:val="clear" w:color="auto" w:fill="auto"/>
            <w:vAlign w:val="bottom"/>
          </w:tcPr>
          <w:p w14:paraId="71D3D6EA" w14:textId="77777777" w:rsidR="006A3667" w:rsidRDefault="006A3667">
            <w:pPr>
              <w:rPr>
                <w:rFonts w:ascii="宋体"/>
                <w:vanish/>
              </w:rPr>
            </w:pPr>
          </w:p>
        </w:tc>
        <w:tc>
          <w:tcPr>
            <w:tcW w:w="0" w:type="auto"/>
            <w:gridSpan w:val="3"/>
            <w:shd w:val="clear" w:color="auto" w:fill="auto"/>
            <w:vAlign w:val="bottom"/>
          </w:tcPr>
          <w:p w14:paraId="71D3D6EB" w14:textId="77777777" w:rsidR="006A3667" w:rsidRDefault="006A3667">
            <w:pPr>
              <w:rPr>
                <w:rFonts w:ascii="宋体"/>
                <w:vanish/>
              </w:rPr>
            </w:pPr>
          </w:p>
        </w:tc>
      </w:tr>
      <w:tr w:rsidR="006A3667" w14:paraId="71D3D6FB" w14:textId="77777777">
        <w:tc>
          <w:tcPr>
            <w:tcW w:w="0" w:type="auto"/>
            <w:gridSpan w:val="3"/>
            <w:shd w:val="clear" w:color="auto" w:fill="FFFFFF"/>
            <w:tcMar>
              <w:top w:w="40" w:type="dxa"/>
              <w:left w:w="20" w:type="dxa"/>
              <w:bottom w:w="40" w:type="dxa"/>
              <w:right w:w="20" w:type="dxa"/>
            </w:tcMar>
            <w:vAlign w:val="bottom"/>
          </w:tcPr>
          <w:p w14:paraId="71D3D6ED" w14:textId="77777777" w:rsidR="006A3667" w:rsidRDefault="00045F32">
            <w:pPr>
              <w:textAlignment w:val="bottom"/>
            </w:pPr>
            <w:r>
              <w:rPr>
                <w:rFonts w:ascii="Arial" w:eastAsia="宋体" w:hAnsi="Arial" w:cs="Arial"/>
                <w:color w:val="000000"/>
                <w:sz w:val="12"/>
                <w:szCs w:val="12"/>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D6EE" w14:textId="77777777" w:rsidR="006A3667" w:rsidRDefault="00045F32">
            <w:pPr>
              <w:jc w:val="right"/>
              <w:textAlignment w:val="bottom"/>
            </w:pPr>
            <w:r>
              <w:rPr>
                <w:rFonts w:ascii="Arial" w:eastAsia="宋体" w:hAnsi="Arial" w:cs="Arial"/>
                <w:b/>
                <w:bCs/>
                <w:color w:val="000000"/>
                <w:sz w:val="12"/>
                <w:szCs w:val="12"/>
              </w:rPr>
              <w:t>2,959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D6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6F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D6F1" w14:textId="77777777" w:rsidR="006A3667" w:rsidRDefault="00045F32">
            <w:pPr>
              <w:jc w:val="right"/>
              <w:textAlignment w:val="bottom"/>
            </w:pPr>
            <w:r>
              <w:rPr>
                <w:rFonts w:ascii="Arial" w:eastAsia="宋体" w:hAnsi="Arial" w:cs="Arial"/>
                <w:color w:val="000000"/>
                <w:sz w:val="12"/>
                <w:szCs w:val="12"/>
              </w:rPr>
              <w:t>2,990 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D6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6F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6F4" w14:textId="77777777" w:rsidR="006A3667" w:rsidRDefault="00045F32">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1D3D6F5" w14:textId="77777777" w:rsidR="006A3667" w:rsidRDefault="006A3667">
            <w:pPr>
              <w:jc w:val="right"/>
              <w:rPr>
                <w:rFonts w:ascii="宋体"/>
              </w:rPr>
            </w:pPr>
          </w:p>
        </w:tc>
        <w:tc>
          <w:tcPr>
            <w:tcW w:w="0" w:type="auto"/>
            <w:gridSpan w:val="3"/>
            <w:shd w:val="clear" w:color="auto" w:fill="auto"/>
            <w:vAlign w:val="bottom"/>
          </w:tcPr>
          <w:p w14:paraId="71D3D6F6" w14:textId="77777777" w:rsidR="006A3667" w:rsidRDefault="006A3667">
            <w:pPr>
              <w:rPr>
                <w:rFonts w:ascii="宋体"/>
                <w:vanish/>
              </w:rPr>
            </w:pPr>
          </w:p>
        </w:tc>
        <w:tc>
          <w:tcPr>
            <w:tcW w:w="0" w:type="auto"/>
            <w:gridSpan w:val="3"/>
            <w:shd w:val="clear" w:color="auto" w:fill="auto"/>
            <w:vAlign w:val="bottom"/>
          </w:tcPr>
          <w:p w14:paraId="71D3D6F7" w14:textId="77777777" w:rsidR="006A3667" w:rsidRDefault="006A3667">
            <w:pPr>
              <w:rPr>
                <w:rFonts w:ascii="宋体"/>
                <w:vanish/>
              </w:rPr>
            </w:pPr>
          </w:p>
        </w:tc>
        <w:tc>
          <w:tcPr>
            <w:tcW w:w="0" w:type="auto"/>
            <w:gridSpan w:val="3"/>
            <w:shd w:val="clear" w:color="auto" w:fill="auto"/>
            <w:vAlign w:val="bottom"/>
          </w:tcPr>
          <w:p w14:paraId="71D3D6F8" w14:textId="77777777" w:rsidR="006A3667" w:rsidRDefault="006A3667">
            <w:pPr>
              <w:rPr>
                <w:rFonts w:ascii="宋体"/>
                <w:vanish/>
              </w:rPr>
            </w:pPr>
          </w:p>
        </w:tc>
        <w:tc>
          <w:tcPr>
            <w:tcW w:w="0" w:type="auto"/>
            <w:gridSpan w:val="3"/>
            <w:shd w:val="clear" w:color="auto" w:fill="auto"/>
            <w:vAlign w:val="bottom"/>
          </w:tcPr>
          <w:p w14:paraId="71D3D6F9" w14:textId="77777777" w:rsidR="006A3667" w:rsidRDefault="006A3667">
            <w:pPr>
              <w:rPr>
                <w:rFonts w:ascii="宋体"/>
                <w:vanish/>
              </w:rPr>
            </w:pPr>
          </w:p>
        </w:tc>
        <w:tc>
          <w:tcPr>
            <w:tcW w:w="0" w:type="auto"/>
            <w:gridSpan w:val="3"/>
            <w:shd w:val="clear" w:color="auto" w:fill="auto"/>
            <w:vAlign w:val="bottom"/>
          </w:tcPr>
          <w:p w14:paraId="71D3D6FA" w14:textId="77777777" w:rsidR="006A3667" w:rsidRDefault="006A3667">
            <w:pPr>
              <w:rPr>
                <w:rFonts w:ascii="宋体"/>
                <w:vanish/>
              </w:rPr>
            </w:pPr>
          </w:p>
        </w:tc>
      </w:tr>
      <w:tr w:rsidR="006A3667" w14:paraId="71D3D709" w14:textId="77777777">
        <w:tc>
          <w:tcPr>
            <w:tcW w:w="0" w:type="auto"/>
            <w:gridSpan w:val="3"/>
            <w:shd w:val="clear" w:color="auto" w:fill="CCEEFF"/>
            <w:tcMar>
              <w:top w:w="40" w:type="dxa"/>
              <w:left w:w="20" w:type="dxa"/>
              <w:bottom w:w="40" w:type="dxa"/>
              <w:right w:w="20" w:type="dxa"/>
            </w:tcMar>
            <w:vAlign w:val="bottom"/>
          </w:tcPr>
          <w:p w14:paraId="71D3D6FC" w14:textId="77777777" w:rsidR="006A3667" w:rsidRDefault="00045F32">
            <w:pPr>
              <w:textAlignment w:val="bottom"/>
            </w:pPr>
            <w:r>
              <w:rPr>
                <w:rFonts w:ascii="Arial" w:eastAsia="宋体" w:hAnsi="Arial" w:cs="Arial"/>
                <w:color w:val="000000"/>
                <w:sz w:val="12"/>
                <w:szCs w:val="12"/>
              </w:rPr>
              <w:t>Provision for credit losses</w:t>
            </w:r>
          </w:p>
        </w:tc>
        <w:tc>
          <w:tcPr>
            <w:tcW w:w="0" w:type="auto"/>
            <w:gridSpan w:val="2"/>
            <w:shd w:val="clear" w:color="auto" w:fill="CCEEFF"/>
            <w:tcMar>
              <w:top w:w="40" w:type="dxa"/>
              <w:left w:w="20" w:type="dxa"/>
              <w:bottom w:w="40" w:type="dxa"/>
              <w:right w:w="0" w:type="dxa"/>
            </w:tcMar>
            <w:vAlign w:val="bottom"/>
          </w:tcPr>
          <w:p w14:paraId="71D3D6FD"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6F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6F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00" w14:textId="77777777" w:rsidR="006A3667" w:rsidRDefault="00045F32">
            <w:pPr>
              <w:jc w:val="right"/>
              <w:textAlignment w:val="bottom"/>
            </w:pPr>
            <w:r>
              <w:rPr>
                <w:rFonts w:ascii="Arial" w:eastAsia="宋体" w:hAnsi="Arial" w:cs="Arial"/>
                <w:color w:val="000000"/>
                <w:sz w:val="12"/>
                <w:szCs w:val="12"/>
              </w:rPr>
              <w:t>(2)</w:t>
            </w:r>
          </w:p>
        </w:tc>
        <w:tc>
          <w:tcPr>
            <w:tcW w:w="0" w:type="auto"/>
            <w:shd w:val="clear" w:color="auto" w:fill="CCEEFF"/>
            <w:tcMar>
              <w:top w:w="40" w:type="dxa"/>
              <w:left w:w="0" w:type="dxa"/>
              <w:bottom w:w="40" w:type="dxa"/>
              <w:right w:w="20" w:type="dxa"/>
            </w:tcMar>
            <w:vAlign w:val="bottom"/>
          </w:tcPr>
          <w:p w14:paraId="71D3D7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02"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D703" w14:textId="77777777" w:rsidR="006A3667" w:rsidRDefault="00045F32">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1D3D704" w14:textId="77777777" w:rsidR="006A3667" w:rsidRDefault="006A3667">
            <w:pPr>
              <w:rPr>
                <w:rFonts w:ascii="宋体"/>
                <w:vanish/>
              </w:rPr>
            </w:pPr>
          </w:p>
        </w:tc>
        <w:tc>
          <w:tcPr>
            <w:tcW w:w="0" w:type="auto"/>
            <w:gridSpan w:val="3"/>
            <w:shd w:val="clear" w:color="auto" w:fill="auto"/>
            <w:vAlign w:val="bottom"/>
          </w:tcPr>
          <w:p w14:paraId="71D3D705" w14:textId="77777777" w:rsidR="006A3667" w:rsidRDefault="006A3667">
            <w:pPr>
              <w:rPr>
                <w:rFonts w:ascii="宋体"/>
                <w:vanish/>
              </w:rPr>
            </w:pPr>
          </w:p>
        </w:tc>
        <w:tc>
          <w:tcPr>
            <w:tcW w:w="0" w:type="auto"/>
            <w:gridSpan w:val="3"/>
            <w:shd w:val="clear" w:color="auto" w:fill="auto"/>
            <w:vAlign w:val="bottom"/>
          </w:tcPr>
          <w:p w14:paraId="71D3D706" w14:textId="77777777" w:rsidR="006A3667" w:rsidRDefault="006A3667">
            <w:pPr>
              <w:rPr>
                <w:rFonts w:ascii="宋体"/>
                <w:vanish/>
              </w:rPr>
            </w:pPr>
          </w:p>
        </w:tc>
        <w:tc>
          <w:tcPr>
            <w:tcW w:w="0" w:type="auto"/>
            <w:gridSpan w:val="3"/>
            <w:shd w:val="clear" w:color="auto" w:fill="auto"/>
            <w:vAlign w:val="bottom"/>
          </w:tcPr>
          <w:p w14:paraId="71D3D707" w14:textId="77777777" w:rsidR="006A3667" w:rsidRDefault="006A3667">
            <w:pPr>
              <w:rPr>
                <w:rFonts w:ascii="宋体"/>
                <w:vanish/>
              </w:rPr>
            </w:pPr>
          </w:p>
        </w:tc>
        <w:tc>
          <w:tcPr>
            <w:tcW w:w="0" w:type="auto"/>
            <w:gridSpan w:val="3"/>
            <w:shd w:val="clear" w:color="auto" w:fill="auto"/>
            <w:vAlign w:val="bottom"/>
          </w:tcPr>
          <w:p w14:paraId="71D3D708" w14:textId="77777777" w:rsidR="006A3667" w:rsidRDefault="006A3667">
            <w:pPr>
              <w:rPr>
                <w:rFonts w:ascii="宋体"/>
                <w:vanish/>
              </w:rPr>
            </w:pPr>
          </w:p>
        </w:tc>
      </w:tr>
      <w:tr w:rsidR="006A3667" w14:paraId="71D3D718" w14:textId="77777777">
        <w:tc>
          <w:tcPr>
            <w:tcW w:w="0" w:type="auto"/>
            <w:gridSpan w:val="3"/>
            <w:shd w:val="clear" w:color="auto" w:fill="FFFFFF"/>
            <w:tcMar>
              <w:top w:w="40" w:type="dxa"/>
              <w:left w:w="20" w:type="dxa"/>
              <w:bottom w:w="40" w:type="dxa"/>
              <w:right w:w="20" w:type="dxa"/>
            </w:tcMar>
            <w:vAlign w:val="bottom"/>
          </w:tcPr>
          <w:p w14:paraId="71D3D70A" w14:textId="77777777" w:rsidR="006A3667" w:rsidRDefault="00045F32">
            <w:pPr>
              <w:textAlignment w:val="bottom"/>
            </w:pPr>
            <w:r>
              <w:rPr>
                <w:rFonts w:ascii="Arial" w:eastAsia="宋体" w:hAnsi="Arial" w:cs="Arial"/>
                <w:color w:val="000000"/>
                <w:sz w:val="12"/>
                <w:szCs w:val="12"/>
              </w:rPr>
              <w:t>Total expenses</w:t>
            </w:r>
          </w:p>
        </w:tc>
        <w:tc>
          <w:tcPr>
            <w:tcW w:w="0" w:type="auto"/>
            <w:gridSpan w:val="2"/>
            <w:shd w:val="clear" w:color="auto" w:fill="FFFFFF"/>
            <w:tcMar>
              <w:top w:w="40" w:type="dxa"/>
              <w:left w:w="20" w:type="dxa"/>
              <w:bottom w:w="40" w:type="dxa"/>
              <w:right w:w="0" w:type="dxa"/>
            </w:tcMar>
            <w:vAlign w:val="bottom"/>
          </w:tcPr>
          <w:p w14:paraId="71D3D70B" w14:textId="77777777" w:rsidR="006A3667" w:rsidRDefault="00045F32">
            <w:pPr>
              <w:jc w:val="right"/>
              <w:textAlignment w:val="bottom"/>
            </w:pPr>
            <w:r>
              <w:rPr>
                <w:rFonts w:ascii="Arial" w:eastAsia="宋体" w:hAnsi="Arial" w:cs="Arial"/>
                <w:b/>
                <w:bCs/>
                <w:color w:val="000000"/>
                <w:sz w:val="12"/>
                <w:szCs w:val="12"/>
              </w:rPr>
              <w:t>2,110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0E" w14:textId="77777777" w:rsidR="006A3667" w:rsidRDefault="00045F32">
            <w:pPr>
              <w:jc w:val="right"/>
              <w:textAlignment w:val="bottom"/>
            </w:pPr>
            <w:r>
              <w:rPr>
                <w:rFonts w:ascii="Arial" w:eastAsia="宋体" w:hAnsi="Arial" w:cs="Arial"/>
                <w:color w:val="000000"/>
                <w:sz w:val="12"/>
                <w:szCs w:val="12"/>
              </w:rPr>
              <w:t>2,116 </w:t>
            </w:r>
          </w:p>
        </w:tc>
        <w:tc>
          <w:tcPr>
            <w:tcW w:w="0" w:type="auto"/>
            <w:shd w:val="clear" w:color="auto" w:fill="FFFFFF"/>
            <w:tcMar>
              <w:top w:w="40" w:type="dxa"/>
              <w:left w:w="0" w:type="dxa"/>
              <w:bottom w:w="40" w:type="dxa"/>
              <w:right w:w="20" w:type="dxa"/>
            </w:tcMar>
            <w:vAlign w:val="bottom"/>
          </w:tcPr>
          <w:p w14:paraId="71D3D7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11"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12" w14:textId="77777777" w:rsidR="006A3667" w:rsidRDefault="006A3667">
            <w:pPr>
              <w:jc w:val="right"/>
              <w:rPr>
                <w:rFonts w:ascii="宋体"/>
              </w:rPr>
            </w:pPr>
          </w:p>
        </w:tc>
        <w:tc>
          <w:tcPr>
            <w:tcW w:w="0" w:type="auto"/>
            <w:gridSpan w:val="3"/>
            <w:shd w:val="clear" w:color="auto" w:fill="auto"/>
            <w:vAlign w:val="bottom"/>
          </w:tcPr>
          <w:p w14:paraId="71D3D713" w14:textId="77777777" w:rsidR="006A3667" w:rsidRDefault="006A3667">
            <w:pPr>
              <w:rPr>
                <w:rFonts w:ascii="宋体"/>
                <w:vanish/>
              </w:rPr>
            </w:pPr>
          </w:p>
        </w:tc>
        <w:tc>
          <w:tcPr>
            <w:tcW w:w="0" w:type="auto"/>
            <w:gridSpan w:val="3"/>
            <w:shd w:val="clear" w:color="auto" w:fill="auto"/>
            <w:vAlign w:val="bottom"/>
          </w:tcPr>
          <w:p w14:paraId="71D3D714" w14:textId="77777777" w:rsidR="006A3667" w:rsidRDefault="006A3667">
            <w:pPr>
              <w:rPr>
                <w:rFonts w:ascii="宋体"/>
                <w:vanish/>
              </w:rPr>
            </w:pPr>
          </w:p>
        </w:tc>
        <w:tc>
          <w:tcPr>
            <w:tcW w:w="0" w:type="auto"/>
            <w:gridSpan w:val="3"/>
            <w:shd w:val="clear" w:color="auto" w:fill="auto"/>
            <w:vAlign w:val="bottom"/>
          </w:tcPr>
          <w:p w14:paraId="71D3D715" w14:textId="77777777" w:rsidR="006A3667" w:rsidRDefault="006A3667">
            <w:pPr>
              <w:rPr>
                <w:rFonts w:ascii="宋体"/>
                <w:vanish/>
              </w:rPr>
            </w:pPr>
          </w:p>
        </w:tc>
        <w:tc>
          <w:tcPr>
            <w:tcW w:w="0" w:type="auto"/>
            <w:gridSpan w:val="3"/>
            <w:shd w:val="clear" w:color="auto" w:fill="auto"/>
            <w:vAlign w:val="bottom"/>
          </w:tcPr>
          <w:p w14:paraId="71D3D716" w14:textId="77777777" w:rsidR="006A3667" w:rsidRDefault="006A3667">
            <w:pPr>
              <w:rPr>
                <w:rFonts w:ascii="宋体"/>
                <w:vanish/>
              </w:rPr>
            </w:pPr>
          </w:p>
        </w:tc>
        <w:tc>
          <w:tcPr>
            <w:tcW w:w="0" w:type="auto"/>
            <w:gridSpan w:val="3"/>
            <w:shd w:val="clear" w:color="auto" w:fill="auto"/>
            <w:vAlign w:val="bottom"/>
          </w:tcPr>
          <w:p w14:paraId="71D3D717" w14:textId="77777777" w:rsidR="006A3667" w:rsidRDefault="006A3667">
            <w:pPr>
              <w:rPr>
                <w:rFonts w:ascii="宋体"/>
                <w:vanish/>
              </w:rPr>
            </w:pPr>
          </w:p>
        </w:tc>
      </w:tr>
      <w:tr w:rsidR="006A3667" w14:paraId="71D3D727" w14:textId="77777777">
        <w:tc>
          <w:tcPr>
            <w:tcW w:w="0" w:type="auto"/>
            <w:gridSpan w:val="3"/>
            <w:shd w:val="clear" w:color="auto" w:fill="CCEEFF"/>
            <w:tcMar>
              <w:top w:w="40" w:type="dxa"/>
              <w:left w:w="20" w:type="dxa"/>
              <w:bottom w:w="40" w:type="dxa"/>
              <w:right w:w="20" w:type="dxa"/>
            </w:tcMar>
            <w:vAlign w:val="bottom"/>
          </w:tcPr>
          <w:p w14:paraId="71D3D719" w14:textId="77777777" w:rsidR="006A3667" w:rsidRDefault="00045F32">
            <w:pPr>
              <w:textAlignment w:val="bottom"/>
            </w:pPr>
            <w:r>
              <w:rPr>
                <w:rFonts w:ascii="Arial" w:eastAsia="宋体" w:hAnsi="Arial" w:cs="Arial"/>
                <w:color w:val="000000"/>
                <w:sz w:val="12"/>
                <w:szCs w:val="12"/>
              </w:rPr>
              <w:t>Income befo</w:t>
            </w:r>
            <w:r>
              <w:rPr>
                <w:rFonts w:ascii="Arial" w:eastAsia="宋体" w:hAnsi="Arial" w:cs="Arial"/>
                <w:color w:val="000000"/>
                <w:sz w:val="12"/>
                <w:szCs w:val="12"/>
              </w:rPr>
              <w:t>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71A" w14:textId="77777777" w:rsidR="006A3667" w:rsidRDefault="00045F32">
            <w:pPr>
              <w:jc w:val="right"/>
              <w:textAlignment w:val="bottom"/>
            </w:pPr>
            <w:r>
              <w:rPr>
                <w:rFonts w:ascii="Arial" w:eastAsia="宋体" w:hAnsi="Arial" w:cs="Arial"/>
                <w:b/>
                <w:bCs/>
                <w:color w:val="000000"/>
                <w:sz w:val="12"/>
                <w:szCs w:val="12"/>
              </w:rPr>
              <w:t>849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71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1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71D" w14:textId="77777777" w:rsidR="006A3667" w:rsidRDefault="00045F32">
            <w:pPr>
              <w:jc w:val="right"/>
              <w:textAlignment w:val="bottom"/>
            </w:pPr>
            <w:r>
              <w:rPr>
                <w:rFonts w:ascii="Arial" w:eastAsia="宋体" w:hAnsi="Arial" w:cs="Arial"/>
                <w:color w:val="000000"/>
                <w:sz w:val="12"/>
                <w:szCs w:val="12"/>
              </w:rPr>
              <w:t>876 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7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1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20" w14:textId="77777777" w:rsidR="006A3667" w:rsidRDefault="00045F32">
            <w:pPr>
              <w:jc w:val="right"/>
              <w:textAlignment w:val="bottom"/>
            </w:pPr>
            <w:r>
              <w:rPr>
                <w:rFonts w:ascii="Arial" w:eastAsia="宋体" w:hAnsi="Arial" w:cs="Arial"/>
                <w:color w:val="000000"/>
                <w:sz w:val="12"/>
                <w:szCs w:val="12"/>
              </w:rPr>
              <w:t>(3)</w:t>
            </w:r>
          </w:p>
        </w:tc>
        <w:tc>
          <w:tcPr>
            <w:tcW w:w="0" w:type="auto"/>
            <w:shd w:val="clear" w:color="auto" w:fill="CCEEFF"/>
            <w:tcMar>
              <w:top w:w="40" w:type="dxa"/>
              <w:left w:w="0" w:type="dxa"/>
              <w:bottom w:w="40" w:type="dxa"/>
              <w:right w:w="20" w:type="dxa"/>
            </w:tcMar>
            <w:vAlign w:val="bottom"/>
          </w:tcPr>
          <w:p w14:paraId="71D3D721" w14:textId="77777777" w:rsidR="006A3667" w:rsidRDefault="006A3667">
            <w:pPr>
              <w:jc w:val="right"/>
              <w:rPr>
                <w:rFonts w:ascii="宋体"/>
              </w:rPr>
            </w:pPr>
          </w:p>
        </w:tc>
        <w:tc>
          <w:tcPr>
            <w:tcW w:w="0" w:type="auto"/>
            <w:gridSpan w:val="3"/>
            <w:shd w:val="clear" w:color="auto" w:fill="auto"/>
            <w:vAlign w:val="bottom"/>
          </w:tcPr>
          <w:p w14:paraId="71D3D722" w14:textId="77777777" w:rsidR="006A3667" w:rsidRDefault="006A3667">
            <w:pPr>
              <w:rPr>
                <w:rFonts w:ascii="宋体"/>
                <w:vanish/>
              </w:rPr>
            </w:pPr>
          </w:p>
        </w:tc>
        <w:tc>
          <w:tcPr>
            <w:tcW w:w="0" w:type="auto"/>
            <w:gridSpan w:val="3"/>
            <w:shd w:val="clear" w:color="auto" w:fill="auto"/>
            <w:vAlign w:val="bottom"/>
          </w:tcPr>
          <w:p w14:paraId="71D3D723" w14:textId="77777777" w:rsidR="006A3667" w:rsidRDefault="006A3667">
            <w:pPr>
              <w:rPr>
                <w:rFonts w:ascii="宋体"/>
                <w:vanish/>
              </w:rPr>
            </w:pPr>
          </w:p>
        </w:tc>
        <w:tc>
          <w:tcPr>
            <w:tcW w:w="0" w:type="auto"/>
            <w:gridSpan w:val="3"/>
            <w:shd w:val="clear" w:color="auto" w:fill="auto"/>
            <w:vAlign w:val="bottom"/>
          </w:tcPr>
          <w:p w14:paraId="71D3D724" w14:textId="77777777" w:rsidR="006A3667" w:rsidRDefault="006A3667">
            <w:pPr>
              <w:rPr>
                <w:rFonts w:ascii="宋体"/>
                <w:vanish/>
              </w:rPr>
            </w:pPr>
          </w:p>
        </w:tc>
        <w:tc>
          <w:tcPr>
            <w:tcW w:w="0" w:type="auto"/>
            <w:gridSpan w:val="3"/>
            <w:shd w:val="clear" w:color="auto" w:fill="auto"/>
            <w:vAlign w:val="bottom"/>
          </w:tcPr>
          <w:p w14:paraId="71D3D725" w14:textId="77777777" w:rsidR="006A3667" w:rsidRDefault="006A3667">
            <w:pPr>
              <w:rPr>
                <w:rFonts w:ascii="宋体"/>
                <w:vanish/>
              </w:rPr>
            </w:pPr>
          </w:p>
        </w:tc>
        <w:tc>
          <w:tcPr>
            <w:tcW w:w="0" w:type="auto"/>
            <w:gridSpan w:val="3"/>
            <w:shd w:val="clear" w:color="auto" w:fill="auto"/>
            <w:vAlign w:val="bottom"/>
          </w:tcPr>
          <w:p w14:paraId="71D3D726" w14:textId="77777777" w:rsidR="006A3667" w:rsidRDefault="006A3667">
            <w:pPr>
              <w:rPr>
                <w:rFonts w:ascii="宋体"/>
                <w:vanish/>
              </w:rPr>
            </w:pPr>
          </w:p>
        </w:tc>
      </w:tr>
      <w:tr w:rsidR="006A3667" w14:paraId="71D3D736" w14:textId="77777777">
        <w:tc>
          <w:tcPr>
            <w:tcW w:w="0" w:type="auto"/>
            <w:gridSpan w:val="3"/>
            <w:shd w:val="clear" w:color="auto" w:fill="FFFFFF"/>
            <w:tcMar>
              <w:top w:w="40" w:type="dxa"/>
              <w:left w:w="20" w:type="dxa"/>
              <w:bottom w:w="40" w:type="dxa"/>
              <w:right w:w="20" w:type="dxa"/>
            </w:tcMar>
            <w:vAlign w:val="bottom"/>
          </w:tcPr>
          <w:p w14:paraId="71D3D728" w14:textId="77777777" w:rsidR="006A3667" w:rsidRDefault="00045F32">
            <w:pPr>
              <w:textAlignment w:val="bottom"/>
            </w:pPr>
            <w:r>
              <w:rPr>
                <w:rFonts w:ascii="Arial" w:eastAsia="宋体" w:hAnsi="Arial" w:cs="Arial"/>
                <w:color w:val="000000"/>
                <w:sz w:val="12"/>
                <w:szCs w:val="12"/>
              </w:rPr>
              <w:t xml:space="preserve">Income tax expense </w:t>
            </w:r>
          </w:p>
        </w:tc>
        <w:tc>
          <w:tcPr>
            <w:tcW w:w="0" w:type="auto"/>
            <w:gridSpan w:val="2"/>
            <w:shd w:val="clear" w:color="auto" w:fill="FFFFFF"/>
            <w:tcMar>
              <w:top w:w="40" w:type="dxa"/>
              <w:left w:w="20" w:type="dxa"/>
              <w:bottom w:w="40" w:type="dxa"/>
              <w:right w:w="0" w:type="dxa"/>
            </w:tcMar>
            <w:vAlign w:val="bottom"/>
          </w:tcPr>
          <w:p w14:paraId="71D3D729" w14:textId="77777777" w:rsidR="006A3667" w:rsidRDefault="00045F32">
            <w:pPr>
              <w:jc w:val="right"/>
              <w:textAlignment w:val="bottom"/>
            </w:pPr>
            <w:r>
              <w:rPr>
                <w:rFonts w:ascii="Arial" w:eastAsia="宋体" w:hAnsi="Arial" w:cs="Arial"/>
                <w:b/>
                <w:bCs/>
                <w:color w:val="000000"/>
                <w:sz w:val="12"/>
                <w:szCs w:val="12"/>
              </w:rPr>
              <w:t>159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2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2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2C" w14:textId="77777777" w:rsidR="006A3667" w:rsidRDefault="00045F32">
            <w:pPr>
              <w:jc w:val="right"/>
              <w:textAlignment w:val="bottom"/>
            </w:pPr>
            <w:r>
              <w:rPr>
                <w:rFonts w:ascii="Arial" w:eastAsia="宋体" w:hAnsi="Arial" w:cs="Arial"/>
                <w:color w:val="000000"/>
                <w:sz w:val="12"/>
                <w:szCs w:val="12"/>
              </w:rPr>
              <w:t>162 </w:t>
            </w:r>
          </w:p>
        </w:tc>
        <w:tc>
          <w:tcPr>
            <w:tcW w:w="0" w:type="auto"/>
            <w:shd w:val="clear" w:color="auto" w:fill="FFFFFF"/>
            <w:tcMar>
              <w:top w:w="40" w:type="dxa"/>
              <w:left w:w="0" w:type="dxa"/>
              <w:bottom w:w="40" w:type="dxa"/>
              <w:right w:w="20" w:type="dxa"/>
            </w:tcMar>
            <w:vAlign w:val="bottom"/>
          </w:tcPr>
          <w:p w14:paraId="71D3D72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2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2F" w14:textId="77777777" w:rsidR="006A3667" w:rsidRDefault="00045F32">
            <w:pPr>
              <w:jc w:val="right"/>
              <w:textAlignment w:val="bottom"/>
            </w:pPr>
            <w:r>
              <w:rPr>
                <w:rFonts w:ascii="Arial" w:eastAsia="宋体" w:hAnsi="Arial" w:cs="Arial"/>
                <w:color w:val="000000"/>
                <w:sz w:val="12"/>
                <w:szCs w:val="12"/>
              </w:rPr>
              <w:t>(2)</w:t>
            </w:r>
          </w:p>
        </w:tc>
        <w:tc>
          <w:tcPr>
            <w:tcW w:w="0" w:type="auto"/>
            <w:shd w:val="clear" w:color="auto" w:fill="FFFFFF"/>
            <w:tcMar>
              <w:top w:w="40" w:type="dxa"/>
              <w:left w:w="0" w:type="dxa"/>
              <w:bottom w:w="40" w:type="dxa"/>
              <w:right w:w="20" w:type="dxa"/>
            </w:tcMar>
            <w:vAlign w:val="bottom"/>
          </w:tcPr>
          <w:p w14:paraId="71D3D730" w14:textId="77777777" w:rsidR="006A3667" w:rsidRDefault="006A3667">
            <w:pPr>
              <w:jc w:val="right"/>
              <w:rPr>
                <w:rFonts w:ascii="宋体"/>
              </w:rPr>
            </w:pPr>
          </w:p>
        </w:tc>
        <w:tc>
          <w:tcPr>
            <w:tcW w:w="0" w:type="auto"/>
            <w:gridSpan w:val="3"/>
            <w:shd w:val="clear" w:color="auto" w:fill="auto"/>
            <w:vAlign w:val="bottom"/>
          </w:tcPr>
          <w:p w14:paraId="71D3D731" w14:textId="77777777" w:rsidR="006A3667" w:rsidRDefault="006A3667">
            <w:pPr>
              <w:rPr>
                <w:rFonts w:ascii="宋体"/>
                <w:vanish/>
              </w:rPr>
            </w:pPr>
          </w:p>
        </w:tc>
        <w:tc>
          <w:tcPr>
            <w:tcW w:w="0" w:type="auto"/>
            <w:gridSpan w:val="3"/>
            <w:shd w:val="clear" w:color="auto" w:fill="auto"/>
            <w:vAlign w:val="bottom"/>
          </w:tcPr>
          <w:p w14:paraId="71D3D732" w14:textId="77777777" w:rsidR="006A3667" w:rsidRDefault="006A3667">
            <w:pPr>
              <w:rPr>
                <w:rFonts w:ascii="宋体"/>
                <w:vanish/>
              </w:rPr>
            </w:pPr>
          </w:p>
        </w:tc>
        <w:tc>
          <w:tcPr>
            <w:tcW w:w="0" w:type="auto"/>
            <w:gridSpan w:val="3"/>
            <w:shd w:val="clear" w:color="auto" w:fill="auto"/>
            <w:vAlign w:val="bottom"/>
          </w:tcPr>
          <w:p w14:paraId="71D3D733" w14:textId="77777777" w:rsidR="006A3667" w:rsidRDefault="006A3667">
            <w:pPr>
              <w:rPr>
                <w:rFonts w:ascii="宋体"/>
                <w:vanish/>
              </w:rPr>
            </w:pPr>
          </w:p>
        </w:tc>
        <w:tc>
          <w:tcPr>
            <w:tcW w:w="0" w:type="auto"/>
            <w:gridSpan w:val="3"/>
            <w:shd w:val="clear" w:color="auto" w:fill="auto"/>
            <w:vAlign w:val="bottom"/>
          </w:tcPr>
          <w:p w14:paraId="71D3D734" w14:textId="77777777" w:rsidR="006A3667" w:rsidRDefault="006A3667">
            <w:pPr>
              <w:rPr>
                <w:rFonts w:ascii="宋体"/>
                <w:vanish/>
              </w:rPr>
            </w:pPr>
          </w:p>
        </w:tc>
        <w:tc>
          <w:tcPr>
            <w:tcW w:w="0" w:type="auto"/>
            <w:gridSpan w:val="3"/>
            <w:shd w:val="clear" w:color="auto" w:fill="auto"/>
            <w:vAlign w:val="bottom"/>
          </w:tcPr>
          <w:p w14:paraId="71D3D735" w14:textId="77777777" w:rsidR="006A3667" w:rsidRDefault="006A3667">
            <w:pPr>
              <w:rPr>
                <w:rFonts w:ascii="宋体"/>
                <w:vanish/>
              </w:rPr>
            </w:pPr>
          </w:p>
        </w:tc>
      </w:tr>
      <w:tr w:rsidR="006A3667" w14:paraId="71D3D742" w14:textId="77777777">
        <w:trPr>
          <w:hidden/>
        </w:trPr>
        <w:tc>
          <w:tcPr>
            <w:tcW w:w="0" w:type="auto"/>
            <w:gridSpan w:val="3"/>
            <w:shd w:val="clear" w:color="auto" w:fill="auto"/>
            <w:vAlign w:val="bottom"/>
          </w:tcPr>
          <w:p w14:paraId="71D3D737" w14:textId="77777777" w:rsidR="006A3667" w:rsidRDefault="006A3667">
            <w:pPr>
              <w:rPr>
                <w:rFonts w:ascii="宋体"/>
                <w:vanish/>
              </w:rPr>
            </w:pPr>
          </w:p>
        </w:tc>
        <w:tc>
          <w:tcPr>
            <w:tcW w:w="0" w:type="auto"/>
            <w:gridSpan w:val="3"/>
            <w:shd w:val="clear" w:color="auto" w:fill="auto"/>
            <w:vAlign w:val="bottom"/>
          </w:tcPr>
          <w:p w14:paraId="71D3D738" w14:textId="77777777" w:rsidR="006A3667" w:rsidRDefault="006A3667">
            <w:pPr>
              <w:rPr>
                <w:rFonts w:ascii="宋体"/>
                <w:vanish/>
              </w:rPr>
            </w:pPr>
          </w:p>
        </w:tc>
        <w:tc>
          <w:tcPr>
            <w:tcW w:w="0" w:type="auto"/>
            <w:gridSpan w:val="3"/>
            <w:shd w:val="clear" w:color="auto" w:fill="auto"/>
            <w:vAlign w:val="bottom"/>
          </w:tcPr>
          <w:p w14:paraId="71D3D739" w14:textId="77777777" w:rsidR="006A3667" w:rsidRDefault="006A3667">
            <w:pPr>
              <w:rPr>
                <w:rFonts w:ascii="宋体"/>
                <w:vanish/>
              </w:rPr>
            </w:pPr>
          </w:p>
        </w:tc>
        <w:tc>
          <w:tcPr>
            <w:tcW w:w="0" w:type="auto"/>
            <w:gridSpan w:val="3"/>
            <w:shd w:val="clear" w:color="auto" w:fill="auto"/>
            <w:vAlign w:val="bottom"/>
          </w:tcPr>
          <w:p w14:paraId="71D3D73A" w14:textId="77777777" w:rsidR="006A3667" w:rsidRDefault="006A3667">
            <w:pPr>
              <w:rPr>
                <w:rFonts w:ascii="宋体"/>
                <w:vanish/>
              </w:rPr>
            </w:pPr>
          </w:p>
        </w:tc>
        <w:tc>
          <w:tcPr>
            <w:tcW w:w="0" w:type="auto"/>
            <w:gridSpan w:val="3"/>
            <w:shd w:val="clear" w:color="auto" w:fill="auto"/>
            <w:vAlign w:val="bottom"/>
          </w:tcPr>
          <w:p w14:paraId="71D3D73B" w14:textId="77777777" w:rsidR="006A3667" w:rsidRDefault="006A3667">
            <w:pPr>
              <w:rPr>
                <w:rFonts w:ascii="宋体"/>
                <w:vanish/>
              </w:rPr>
            </w:pPr>
          </w:p>
        </w:tc>
        <w:tc>
          <w:tcPr>
            <w:tcW w:w="0" w:type="auto"/>
            <w:gridSpan w:val="3"/>
            <w:shd w:val="clear" w:color="auto" w:fill="auto"/>
            <w:vAlign w:val="bottom"/>
          </w:tcPr>
          <w:p w14:paraId="71D3D73C" w14:textId="77777777" w:rsidR="006A3667" w:rsidRDefault="006A3667">
            <w:pPr>
              <w:rPr>
                <w:rFonts w:ascii="宋体"/>
                <w:vanish/>
              </w:rPr>
            </w:pPr>
          </w:p>
        </w:tc>
        <w:tc>
          <w:tcPr>
            <w:tcW w:w="0" w:type="auto"/>
            <w:gridSpan w:val="3"/>
            <w:shd w:val="clear" w:color="auto" w:fill="auto"/>
            <w:vAlign w:val="bottom"/>
          </w:tcPr>
          <w:p w14:paraId="71D3D73D" w14:textId="77777777" w:rsidR="006A3667" w:rsidRDefault="006A3667">
            <w:pPr>
              <w:rPr>
                <w:rFonts w:ascii="宋体"/>
                <w:vanish/>
              </w:rPr>
            </w:pPr>
          </w:p>
        </w:tc>
        <w:tc>
          <w:tcPr>
            <w:tcW w:w="0" w:type="auto"/>
            <w:gridSpan w:val="3"/>
            <w:shd w:val="clear" w:color="auto" w:fill="auto"/>
            <w:vAlign w:val="bottom"/>
          </w:tcPr>
          <w:p w14:paraId="71D3D73E" w14:textId="77777777" w:rsidR="006A3667" w:rsidRDefault="006A3667">
            <w:pPr>
              <w:rPr>
                <w:rFonts w:ascii="宋体"/>
                <w:vanish/>
              </w:rPr>
            </w:pPr>
          </w:p>
        </w:tc>
        <w:tc>
          <w:tcPr>
            <w:tcW w:w="0" w:type="auto"/>
            <w:gridSpan w:val="3"/>
            <w:shd w:val="clear" w:color="auto" w:fill="auto"/>
            <w:vAlign w:val="bottom"/>
          </w:tcPr>
          <w:p w14:paraId="71D3D73F" w14:textId="77777777" w:rsidR="006A3667" w:rsidRDefault="006A3667">
            <w:pPr>
              <w:rPr>
                <w:rFonts w:ascii="宋体"/>
                <w:vanish/>
              </w:rPr>
            </w:pPr>
          </w:p>
        </w:tc>
        <w:tc>
          <w:tcPr>
            <w:tcW w:w="0" w:type="auto"/>
            <w:gridSpan w:val="3"/>
            <w:shd w:val="clear" w:color="auto" w:fill="auto"/>
            <w:vAlign w:val="bottom"/>
          </w:tcPr>
          <w:p w14:paraId="71D3D740" w14:textId="77777777" w:rsidR="006A3667" w:rsidRDefault="006A3667">
            <w:pPr>
              <w:rPr>
                <w:rFonts w:ascii="宋体"/>
                <w:vanish/>
              </w:rPr>
            </w:pPr>
          </w:p>
        </w:tc>
        <w:tc>
          <w:tcPr>
            <w:tcW w:w="0" w:type="auto"/>
            <w:gridSpan w:val="3"/>
            <w:shd w:val="clear" w:color="auto" w:fill="auto"/>
            <w:vAlign w:val="bottom"/>
          </w:tcPr>
          <w:p w14:paraId="71D3D741" w14:textId="77777777" w:rsidR="006A3667" w:rsidRDefault="006A3667">
            <w:pPr>
              <w:rPr>
                <w:rFonts w:ascii="宋体"/>
                <w:vanish/>
              </w:rPr>
            </w:pPr>
          </w:p>
        </w:tc>
      </w:tr>
      <w:tr w:rsidR="006A3667" w14:paraId="71D3D753" w14:textId="77777777">
        <w:tc>
          <w:tcPr>
            <w:tcW w:w="0" w:type="auto"/>
            <w:gridSpan w:val="3"/>
            <w:shd w:val="clear" w:color="auto" w:fill="CCEEFF"/>
            <w:tcMar>
              <w:top w:w="40" w:type="dxa"/>
              <w:left w:w="20" w:type="dxa"/>
              <w:bottom w:w="40" w:type="dxa"/>
              <w:right w:w="20" w:type="dxa"/>
            </w:tcMar>
            <w:vAlign w:val="bottom"/>
          </w:tcPr>
          <w:p w14:paraId="71D3D743" w14:textId="77777777" w:rsidR="006A3667" w:rsidRDefault="00045F32">
            <w:pPr>
              <w:textAlignment w:val="bottom"/>
            </w:pPr>
            <w:r>
              <w:rPr>
                <w:rFonts w:ascii="Arial" w:eastAsia="宋体" w:hAnsi="Arial" w:cs="Arial"/>
                <w:color w:val="000000"/>
                <w:sz w:val="12"/>
                <w:szCs w:val="12"/>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D744"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745" w14:textId="77777777" w:rsidR="006A3667" w:rsidRDefault="00045F32">
            <w:pPr>
              <w:jc w:val="right"/>
              <w:textAlignment w:val="bottom"/>
            </w:pPr>
            <w:r>
              <w:rPr>
                <w:rFonts w:ascii="Arial" w:eastAsia="宋体" w:hAnsi="Arial" w:cs="Arial"/>
                <w:b/>
                <w:bCs/>
                <w:color w:val="000000"/>
                <w:sz w:val="12"/>
                <w:szCs w:val="12"/>
              </w:rPr>
              <w:t>690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74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4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D748"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749" w14:textId="77777777" w:rsidR="006A3667" w:rsidRDefault="00045F32">
            <w:pPr>
              <w:jc w:val="right"/>
              <w:textAlignment w:val="bottom"/>
            </w:pPr>
            <w:r>
              <w:rPr>
                <w:rFonts w:ascii="Arial" w:eastAsia="宋体" w:hAnsi="Arial" w:cs="Arial"/>
                <w:color w:val="000000"/>
                <w:sz w:val="12"/>
                <w:szCs w:val="12"/>
              </w:rPr>
              <w:t>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74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4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4C" w14:textId="77777777" w:rsidR="006A3667" w:rsidRDefault="00045F32">
            <w:pPr>
              <w:jc w:val="right"/>
              <w:textAlignment w:val="bottom"/>
            </w:pPr>
            <w:r>
              <w:rPr>
                <w:rFonts w:ascii="Arial" w:eastAsia="宋体" w:hAnsi="Arial" w:cs="Arial"/>
                <w:color w:val="000000"/>
                <w:sz w:val="12"/>
                <w:szCs w:val="12"/>
              </w:rPr>
              <w:t>(3)</w:t>
            </w:r>
          </w:p>
        </w:tc>
        <w:tc>
          <w:tcPr>
            <w:tcW w:w="0" w:type="auto"/>
            <w:shd w:val="clear" w:color="auto" w:fill="CCEEFF"/>
            <w:tcMar>
              <w:top w:w="40" w:type="dxa"/>
              <w:left w:w="0" w:type="dxa"/>
              <w:bottom w:w="40" w:type="dxa"/>
              <w:right w:w="20" w:type="dxa"/>
            </w:tcMar>
            <w:vAlign w:val="bottom"/>
          </w:tcPr>
          <w:p w14:paraId="71D3D74D" w14:textId="77777777" w:rsidR="006A3667" w:rsidRDefault="006A3667">
            <w:pPr>
              <w:jc w:val="right"/>
              <w:rPr>
                <w:rFonts w:ascii="宋体"/>
              </w:rPr>
            </w:pPr>
          </w:p>
        </w:tc>
        <w:tc>
          <w:tcPr>
            <w:tcW w:w="0" w:type="auto"/>
            <w:gridSpan w:val="3"/>
            <w:shd w:val="clear" w:color="auto" w:fill="auto"/>
            <w:vAlign w:val="bottom"/>
          </w:tcPr>
          <w:p w14:paraId="71D3D74E" w14:textId="77777777" w:rsidR="006A3667" w:rsidRDefault="006A3667">
            <w:pPr>
              <w:rPr>
                <w:rFonts w:ascii="宋体"/>
                <w:vanish/>
              </w:rPr>
            </w:pPr>
          </w:p>
        </w:tc>
        <w:tc>
          <w:tcPr>
            <w:tcW w:w="0" w:type="auto"/>
            <w:gridSpan w:val="3"/>
            <w:shd w:val="clear" w:color="auto" w:fill="auto"/>
            <w:vAlign w:val="bottom"/>
          </w:tcPr>
          <w:p w14:paraId="71D3D74F" w14:textId="77777777" w:rsidR="006A3667" w:rsidRDefault="006A3667">
            <w:pPr>
              <w:rPr>
                <w:rFonts w:ascii="宋体"/>
                <w:vanish/>
              </w:rPr>
            </w:pPr>
          </w:p>
        </w:tc>
        <w:tc>
          <w:tcPr>
            <w:tcW w:w="0" w:type="auto"/>
            <w:gridSpan w:val="3"/>
            <w:shd w:val="clear" w:color="auto" w:fill="auto"/>
            <w:vAlign w:val="bottom"/>
          </w:tcPr>
          <w:p w14:paraId="71D3D750" w14:textId="77777777" w:rsidR="006A3667" w:rsidRDefault="006A3667">
            <w:pPr>
              <w:rPr>
                <w:rFonts w:ascii="宋体"/>
                <w:vanish/>
              </w:rPr>
            </w:pPr>
          </w:p>
        </w:tc>
        <w:tc>
          <w:tcPr>
            <w:tcW w:w="0" w:type="auto"/>
            <w:gridSpan w:val="3"/>
            <w:shd w:val="clear" w:color="auto" w:fill="auto"/>
            <w:vAlign w:val="bottom"/>
          </w:tcPr>
          <w:p w14:paraId="71D3D751" w14:textId="77777777" w:rsidR="006A3667" w:rsidRDefault="006A3667">
            <w:pPr>
              <w:rPr>
                <w:rFonts w:ascii="宋体"/>
                <w:vanish/>
              </w:rPr>
            </w:pPr>
          </w:p>
        </w:tc>
        <w:tc>
          <w:tcPr>
            <w:tcW w:w="0" w:type="auto"/>
            <w:gridSpan w:val="3"/>
            <w:shd w:val="clear" w:color="auto" w:fill="auto"/>
            <w:vAlign w:val="bottom"/>
          </w:tcPr>
          <w:p w14:paraId="71D3D752" w14:textId="77777777" w:rsidR="006A3667" w:rsidRDefault="006A3667">
            <w:pPr>
              <w:rPr>
                <w:rFonts w:ascii="宋体"/>
                <w:vanish/>
              </w:rPr>
            </w:pPr>
          </w:p>
        </w:tc>
      </w:tr>
      <w:tr w:rsidR="006A3667" w14:paraId="71D3D75F" w14:textId="77777777">
        <w:tc>
          <w:tcPr>
            <w:tcW w:w="0" w:type="auto"/>
            <w:gridSpan w:val="3"/>
            <w:shd w:val="clear" w:color="auto" w:fill="FFFFFF"/>
            <w:tcMar>
              <w:top w:w="40" w:type="dxa"/>
              <w:left w:w="20" w:type="dxa"/>
              <w:bottom w:w="40" w:type="dxa"/>
              <w:right w:w="20" w:type="dxa"/>
            </w:tcMar>
            <w:vAlign w:val="bottom"/>
          </w:tcPr>
          <w:p w14:paraId="71D3D754" w14:textId="77777777" w:rsidR="006A3667" w:rsidRDefault="00045F32">
            <w:pPr>
              <w:textAlignment w:val="bottom"/>
            </w:pPr>
            <w:r>
              <w:rPr>
                <w:rFonts w:ascii="Arial" w:eastAsia="宋体" w:hAnsi="Arial" w:cs="Arial"/>
                <w:color w:val="000000"/>
                <w:sz w:val="12"/>
                <w:szCs w:val="12"/>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D75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756"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D75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75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759" w14:textId="77777777" w:rsidR="006A3667" w:rsidRDefault="006A3667">
            <w:pPr>
              <w:rPr>
                <w:rFonts w:ascii="宋体"/>
              </w:rPr>
            </w:pPr>
          </w:p>
        </w:tc>
        <w:tc>
          <w:tcPr>
            <w:tcW w:w="0" w:type="auto"/>
            <w:gridSpan w:val="3"/>
            <w:shd w:val="clear" w:color="auto" w:fill="auto"/>
            <w:vAlign w:val="bottom"/>
          </w:tcPr>
          <w:p w14:paraId="71D3D75A" w14:textId="77777777" w:rsidR="006A3667" w:rsidRDefault="006A3667">
            <w:pPr>
              <w:rPr>
                <w:rFonts w:ascii="宋体"/>
                <w:vanish/>
              </w:rPr>
            </w:pPr>
          </w:p>
        </w:tc>
        <w:tc>
          <w:tcPr>
            <w:tcW w:w="0" w:type="auto"/>
            <w:gridSpan w:val="3"/>
            <w:shd w:val="clear" w:color="auto" w:fill="auto"/>
            <w:vAlign w:val="bottom"/>
          </w:tcPr>
          <w:p w14:paraId="71D3D75B" w14:textId="77777777" w:rsidR="006A3667" w:rsidRDefault="006A3667">
            <w:pPr>
              <w:rPr>
                <w:rFonts w:ascii="宋体"/>
                <w:vanish/>
              </w:rPr>
            </w:pPr>
          </w:p>
        </w:tc>
        <w:tc>
          <w:tcPr>
            <w:tcW w:w="0" w:type="auto"/>
            <w:gridSpan w:val="3"/>
            <w:shd w:val="clear" w:color="auto" w:fill="auto"/>
            <w:vAlign w:val="bottom"/>
          </w:tcPr>
          <w:p w14:paraId="71D3D75C" w14:textId="77777777" w:rsidR="006A3667" w:rsidRDefault="006A3667">
            <w:pPr>
              <w:rPr>
                <w:rFonts w:ascii="宋体"/>
                <w:vanish/>
              </w:rPr>
            </w:pPr>
          </w:p>
        </w:tc>
        <w:tc>
          <w:tcPr>
            <w:tcW w:w="0" w:type="auto"/>
            <w:gridSpan w:val="3"/>
            <w:shd w:val="clear" w:color="auto" w:fill="auto"/>
            <w:vAlign w:val="bottom"/>
          </w:tcPr>
          <w:p w14:paraId="71D3D75D" w14:textId="77777777" w:rsidR="006A3667" w:rsidRDefault="006A3667">
            <w:pPr>
              <w:rPr>
                <w:rFonts w:ascii="宋体"/>
                <w:vanish/>
              </w:rPr>
            </w:pPr>
          </w:p>
        </w:tc>
        <w:tc>
          <w:tcPr>
            <w:tcW w:w="0" w:type="auto"/>
            <w:gridSpan w:val="3"/>
            <w:shd w:val="clear" w:color="auto" w:fill="auto"/>
            <w:vAlign w:val="bottom"/>
          </w:tcPr>
          <w:p w14:paraId="71D3D75E" w14:textId="77777777" w:rsidR="006A3667" w:rsidRDefault="006A3667">
            <w:pPr>
              <w:rPr>
                <w:rFonts w:ascii="宋体"/>
                <w:vanish/>
              </w:rPr>
            </w:pPr>
          </w:p>
        </w:tc>
      </w:tr>
      <w:tr w:rsidR="006A3667" w14:paraId="71D3D770" w14:textId="77777777">
        <w:tc>
          <w:tcPr>
            <w:tcW w:w="0" w:type="auto"/>
            <w:gridSpan w:val="3"/>
            <w:shd w:val="clear" w:color="auto" w:fill="CCEEFF"/>
            <w:tcMar>
              <w:top w:w="40" w:type="dxa"/>
              <w:left w:w="20" w:type="dxa"/>
              <w:bottom w:w="40" w:type="dxa"/>
              <w:right w:w="20" w:type="dxa"/>
            </w:tcMar>
            <w:vAlign w:val="bottom"/>
          </w:tcPr>
          <w:p w14:paraId="71D3D760" w14:textId="77777777" w:rsidR="006A3667" w:rsidRDefault="00045F32">
            <w:pPr>
              <w:textAlignment w:val="bottom"/>
            </w:pPr>
            <w:r>
              <w:rPr>
                <w:rFonts w:ascii="Arial" w:eastAsia="宋体" w:hAnsi="Arial" w:cs="Arial"/>
                <w:color w:val="000000"/>
                <w:sz w:val="12"/>
                <w:szCs w:val="12"/>
              </w:rPr>
              <w:t>Dividends on preferred stock</w:t>
            </w:r>
            <w:r>
              <w:rPr>
                <w:rFonts w:ascii="Arial" w:eastAsia="宋体" w:hAnsi="Arial" w:cs="Arial"/>
                <w:color w:val="000000"/>
                <w:sz w:val="7"/>
                <w:szCs w:val="7"/>
              </w:rPr>
              <w:t>(1)</w:t>
            </w:r>
          </w:p>
        </w:tc>
        <w:tc>
          <w:tcPr>
            <w:tcW w:w="0" w:type="auto"/>
            <w:shd w:val="clear" w:color="auto" w:fill="CCEEFF"/>
            <w:tcMar>
              <w:top w:w="40" w:type="dxa"/>
              <w:left w:w="20" w:type="dxa"/>
              <w:bottom w:w="40" w:type="dxa"/>
              <w:right w:w="0" w:type="dxa"/>
            </w:tcMar>
            <w:vAlign w:val="bottom"/>
          </w:tcPr>
          <w:p w14:paraId="71D3D761"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D762" w14:textId="77777777" w:rsidR="006A3667" w:rsidRDefault="00045F32">
            <w:pPr>
              <w:jc w:val="right"/>
              <w:textAlignment w:val="bottom"/>
            </w:pPr>
            <w:r>
              <w:rPr>
                <w:rFonts w:ascii="Arial" w:eastAsia="宋体" w:hAnsi="Arial" w:cs="Arial"/>
                <w:b/>
                <w:bCs/>
                <w:color w:val="000000"/>
                <w:sz w:val="12"/>
                <w:szCs w:val="12"/>
              </w:rPr>
              <w:t>(21)</w:t>
            </w:r>
          </w:p>
        </w:tc>
        <w:tc>
          <w:tcPr>
            <w:tcW w:w="0" w:type="auto"/>
            <w:shd w:val="clear" w:color="auto" w:fill="CCEEFF"/>
            <w:tcMar>
              <w:top w:w="40" w:type="dxa"/>
              <w:left w:w="0" w:type="dxa"/>
              <w:bottom w:w="40" w:type="dxa"/>
              <w:right w:w="20" w:type="dxa"/>
            </w:tcMar>
            <w:vAlign w:val="bottom"/>
          </w:tcPr>
          <w:p w14:paraId="71D3D7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6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D765"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D766" w14:textId="77777777" w:rsidR="006A3667" w:rsidRDefault="00045F32">
            <w:pPr>
              <w:jc w:val="right"/>
              <w:textAlignment w:val="bottom"/>
            </w:pPr>
            <w:r>
              <w:rPr>
                <w:rFonts w:ascii="Arial" w:eastAsia="宋体" w:hAnsi="Arial" w:cs="Arial"/>
                <w:color w:val="000000"/>
                <w:sz w:val="12"/>
                <w:szCs w:val="12"/>
              </w:rPr>
              <w:t>(21)</w:t>
            </w:r>
          </w:p>
        </w:tc>
        <w:tc>
          <w:tcPr>
            <w:tcW w:w="0" w:type="auto"/>
            <w:shd w:val="clear" w:color="auto" w:fill="CCEEFF"/>
            <w:tcMar>
              <w:top w:w="40" w:type="dxa"/>
              <w:left w:w="0" w:type="dxa"/>
              <w:bottom w:w="40" w:type="dxa"/>
              <w:right w:w="20" w:type="dxa"/>
            </w:tcMar>
            <w:vAlign w:val="bottom"/>
          </w:tcPr>
          <w:p w14:paraId="71D3D7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6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69"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76A" w14:textId="77777777" w:rsidR="006A3667" w:rsidRDefault="006A3667">
            <w:pPr>
              <w:jc w:val="right"/>
              <w:rPr>
                <w:rFonts w:ascii="宋体"/>
              </w:rPr>
            </w:pPr>
          </w:p>
        </w:tc>
        <w:tc>
          <w:tcPr>
            <w:tcW w:w="0" w:type="auto"/>
            <w:gridSpan w:val="3"/>
            <w:shd w:val="clear" w:color="auto" w:fill="auto"/>
            <w:vAlign w:val="bottom"/>
          </w:tcPr>
          <w:p w14:paraId="71D3D76B" w14:textId="77777777" w:rsidR="006A3667" w:rsidRDefault="006A3667">
            <w:pPr>
              <w:rPr>
                <w:rFonts w:ascii="宋体"/>
                <w:vanish/>
              </w:rPr>
            </w:pPr>
          </w:p>
        </w:tc>
        <w:tc>
          <w:tcPr>
            <w:tcW w:w="0" w:type="auto"/>
            <w:gridSpan w:val="3"/>
            <w:shd w:val="clear" w:color="auto" w:fill="auto"/>
            <w:vAlign w:val="bottom"/>
          </w:tcPr>
          <w:p w14:paraId="71D3D76C" w14:textId="77777777" w:rsidR="006A3667" w:rsidRDefault="006A3667">
            <w:pPr>
              <w:rPr>
                <w:rFonts w:ascii="宋体"/>
                <w:vanish/>
              </w:rPr>
            </w:pPr>
          </w:p>
        </w:tc>
        <w:tc>
          <w:tcPr>
            <w:tcW w:w="0" w:type="auto"/>
            <w:gridSpan w:val="3"/>
            <w:shd w:val="clear" w:color="auto" w:fill="auto"/>
            <w:vAlign w:val="bottom"/>
          </w:tcPr>
          <w:p w14:paraId="71D3D76D" w14:textId="77777777" w:rsidR="006A3667" w:rsidRDefault="006A3667">
            <w:pPr>
              <w:rPr>
                <w:rFonts w:ascii="宋体"/>
                <w:vanish/>
              </w:rPr>
            </w:pPr>
          </w:p>
        </w:tc>
        <w:tc>
          <w:tcPr>
            <w:tcW w:w="0" w:type="auto"/>
            <w:gridSpan w:val="3"/>
            <w:shd w:val="clear" w:color="auto" w:fill="auto"/>
            <w:vAlign w:val="bottom"/>
          </w:tcPr>
          <w:p w14:paraId="71D3D76E" w14:textId="77777777" w:rsidR="006A3667" w:rsidRDefault="006A3667">
            <w:pPr>
              <w:rPr>
                <w:rFonts w:ascii="宋体"/>
                <w:vanish/>
              </w:rPr>
            </w:pPr>
          </w:p>
        </w:tc>
        <w:tc>
          <w:tcPr>
            <w:tcW w:w="0" w:type="auto"/>
            <w:gridSpan w:val="3"/>
            <w:shd w:val="clear" w:color="auto" w:fill="auto"/>
            <w:vAlign w:val="bottom"/>
          </w:tcPr>
          <w:p w14:paraId="71D3D76F" w14:textId="77777777" w:rsidR="006A3667" w:rsidRDefault="006A3667">
            <w:pPr>
              <w:rPr>
                <w:rFonts w:ascii="宋体"/>
                <w:vanish/>
              </w:rPr>
            </w:pPr>
          </w:p>
        </w:tc>
      </w:tr>
      <w:tr w:rsidR="006A3667" w14:paraId="71D3D77F" w14:textId="77777777">
        <w:tc>
          <w:tcPr>
            <w:tcW w:w="0" w:type="auto"/>
            <w:gridSpan w:val="3"/>
            <w:shd w:val="clear" w:color="auto" w:fill="FFFFFF"/>
            <w:tcMar>
              <w:top w:w="40" w:type="dxa"/>
              <w:left w:w="20" w:type="dxa"/>
              <w:bottom w:w="40" w:type="dxa"/>
              <w:right w:w="20" w:type="dxa"/>
            </w:tcMar>
            <w:vAlign w:val="bottom"/>
          </w:tcPr>
          <w:p w14:paraId="71D3D771" w14:textId="77777777" w:rsidR="006A3667" w:rsidRDefault="00045F32">
            <w:pPr>
              <w:textAlignment w:val="bottom"/>
            </w:pPr>
            <w:r>
              <w:rPr>
                <w:rFonts w:ascii="Arial" w:eastAsia="宋体" w:hAnsi="Arial" w:cs="Arial"/>
                <w:color w:val="000000"/>
                <w:sz w:val="12"/>
                <w:szCs w:val="12"/>
              </w:rPr>
              <w:t>Earnings allocated to participating securities</w:t>
            </w:r>
            <w:r>
              <w:rPr>
                <w:rFonts w:ascii="Arial" w:eastAsia="宋体" w:hAnsi="Arial" w:cs="Arial"/>
                <w:color w:val="000000"/>
                <w:sz w:val="7"/>
                <w:szCs w:val="7"/>
              </w:rPr>
              <w:t>(2)</w:t>
            </w:r>
          </w:p>
        </w:tc>
        <w:tc>
          <w:tcPr>
            <w:tcW w:w="0" w:type="auto"/>
            <w:gridSpan w:val="2"/>
            <w:shd w:val="clear" w:color="auto" w:fill="FFFFFF"/>
            <w:tcMar>
              <w:top w:w="40" w:type="dxa"/>
              <w:left w:w="20" w:type="dxa"/>
              <w:bottom w:w="40" w:type="dxa"/>
              <w:right w:w="0" w:type="dxa"/>
            </w:tcMar>
            <w:vAlign w:val="bottom"/>
          </w:tcPr>
          <w:p w14:paraId="71D3D772"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7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7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75"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7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7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78"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79" w14:textId="77777777" w:rsidR="006A3667" w:rsidRDefault="006A3667">
            <w:pPr>
              <w:jc w:val="right"/>
              <w:rPr>
                <w:rFonts w:ascii="宋体"/>
              </w:rPr>
            </w:pPr>
          </w:p>
        </w:tc>
        <w:tc>
          <w:tcPr>
            <w:tcW w:w="0" w:type="auto"/>
            <w:gridSpan w:val="3"/>
            <w:shd w:val="clear" w:color="auto" w:fill="auto"/>
            <w:vAlign w:val="bottom"/>
          </w:tcPr>
          <w:p w14:paraId="71D3D77A" w14:textId="77777777" w:rsidR="006A3667" w:rsidRDefault="006A3667">
            <w:pPr>
              <w:rPr>
                <w:rFonts w:ascii="宋体"/>
                <w:vanish/>
              </w:rPr>
            </w:pPr>
          </w:p>
        </w:tc>
        <w:tc>
          <w:tcPr>
            <w:tcW w:w="0" w:type="auto"/>
            <w:gridSpan w:val="3"/>
            <w:shd w:val="clear" w:color="auto" w:fill="auto"/>
            <w:vAlign w:val="bottom"/>
          </w:tcPr>
          <w:p w14:paraId="71D3D77B" w14:textId="77777777" w:rsidR="006A3667" w:rsidRDefault="006A3667">
            <w:pPr>
              <w:rPr>
                <w:rFonts w:ascii="宋体"/>
                <w:vanish/>
              </w:rPr>
            </w:pPr>
          </w:p>
        </w:tc>
        <w:tc>
          <w:tcPr>
            <w:tcW w:w="0" w:type="auto"/>
            <w:gridSpan w:val="3"/>
            <w:shd w:val="clear" w:color="auto" w:fill="auto"/>
            <w:vAlign w:val="bottom"/>
          </w:tcPr>
          <w:p w14:paraId="71D3D77C" w14:textId="77777777" w:rsidR="006A3667" w:rsidRDefault="006A3667">
            <w:pPr>
              <w:rPr>
                <w:rFonts w:ascii="宋体"/>
                <w:vanish/>
              </w:rPr>
            </w:pPr>
          </w:p>
        </w:tc>
        <w:tc>
          <w:tcPr>
            <w:tcW w:w="0" w:type="auto"/>
            <w:gridSpan w:val="3"/>
            <w:shd w:val="clear" w:color="auto" w:fill="auto"/>
            <w:vAlign w:val="bottom"/>
          </w:tcPr>
          <w:p w14:paraId="71D3D77D" w14:textId="77777777" w:rsidR="006A3667" w:rsidRDefault="006A3667">
            <w:pPr>
              <w:rPr>
                <w:rFonts w:ascii="宋体"/>
                <w:vanish/>
              </w:rPr>
            </w:pPr>
          </w:p>
        </w:tc>
        <w:tc>
          <w:tcPr>
            <w:tcW w:w="0" w:type="auto"/>
            <w:gridSpan w:val="3"/>
            <w:shd w:val="clear" w:color="auto" w:fill="auto"/>
            <w:vAlign w:val="bottom"/>
          </w:tcPr>
          <w:p w14:paraId="71D3D77E" w14:textId="77777777" w:rsidR="006A3667" w:rsidRDefault="006A3667">
            <w:pPr>
              <w:rPr>
                <w:rFonts w:ascii="宋体"/>
                <w:vanish/>
              </w:rPr>
            </w:pPr>
          </w:p>
        </w:tc>
      </w:tr>
      <w:tr w:rsidR="006A3667" w14:paraId="71D3D790" w14:textId="77777777">
        <w:tc>
          <w:tcPr>
            <w:tcW w:w="0" w:type="auto"/>
            <w:gridSpan w:val="3"/>
            <w:shd w:val="clear" w:color="auto" w:fill="CCEEFF"/>
            <w:tcMar>
              <w:top w:w="40" w:type="dxa"/>
              <w:left w:w="20" w:type="dxa"/>
              <w:bottom w:w="40" w:type="dxa"/>
              <w:right w:w="20" w:type="dxa"/>
            </w:tcMar>
            <w:vAlign w:val="bottom"/>
          </w:tcPr>
          <w:p w14:paraId="71D3D780" w14:textId="77777777" w:rsidR="006A3667" w:rsidRDefault="00045F32">
            <w:pPr>
              <w:textAlignment w:val="bottom"/>
            </w:pPr>
            <w:r>
              <w:rPr>
                <w:rFonts w:ascii="Arial" w:eastAsia="宋体" w:hAnsi="Arial" w:cs="Arial"/>
                <w:color w:val="000000"/>
                <w:sz w:val="12"/>
                <w:szCs w:val="12"/>
              </w:rPr>
              <w:t xml:space="preserve">Net income </w:t>
            </w:r>
            <w:r>
              <w:rPr>
                <w:rFonts w:ascii="Arial" w:eastAsia="宋体" w:hAnsi="Arial" w:cs="Arial"/>
                <w:color w:val="000000"/>
                <w:sz w:val="12"/>
                <w:szCs w:val="12"/>
              </w:rPr>
              <w:t>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D781"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782" w14:textId="77777777" w:rsidR="006A3667" w:rsidRDefault="00045F32">
            <w:pPr>
              <w:jc w:val="right"/>
              <w:textAlignment w:val="bottom"/>
            </w:pPr>
            <w:r>
              <w:rPr>
                <w:rFonts w:ascii="Arial" w:eastAsia="宋体" w:hAnsi="Arial" w:cs="Arial"/>
                <w:b/>
                <w:bCs/>
                <w:color w:val="000000"/>
                <w:sz w:val="12"/>
                <w:szCs w:val="12"/>
              </w:rPr>
              <w:t>669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78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8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D785"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786" w14:textId="77777777" w:rsidR="006A3667" w:rsidRDefault="00045F32">
            <w:pPr>
              <w:jc w:val="right"/>
              <w:textAlignment w:val="bottom"/>
            </w:pPr>
            <w:r>
              <w:rPr>
                <w:rFonts w:ascii="Arial" w:eastAsia="宋体" w:hAnsi="Arial" w:cs="Arial"/>
                <w:color w:val="000000"/>
                <w:sz w:val="12"/>
                <w:szCs w:val="12"/>
              </w:rPr>
              <w:t>693 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78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8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89" w14:textId="77777777" w:rsidR="006A3667" w:rsidRDefault="00045F32">
            <w:pPr>
              <w:jc w:val="right"/>
              <w:textAlignment w:val="bottom"/>
            </w:pPr>
            <w:r>
              <w:rPr>
                <w:rFonts w:ascii="Arial" w:eastAsia="宋体" w:hAnsi="Arial" w:cs="Arial"/>
                <w:color w:val="000000"/>
                <w:sz w:val="12"/>
                <w:szCs w:val="12"/>
              </w:rPr>
              <w:t>(3)</w:t>
            </w:r>
          </w:p>
        </w:tc>
        <w:tc>
          <w:tcPr>
            <w:tcW w:w="0" w:type="auto"/>
            <w:shd w:val="clear" w:color="auto" w:fill="CCEEFF"/>
            <w:tcMar>
              <w:top w:w="40" w:type="dxa"/>
              <w:left w:w="0" w:type="dxa"/>
              <w:bottom w:w="40" w:type="dxa"/>
              <w:right w:w="20" w:type="dxa"/>
            </w:tcMar>
            <w:vAlign w:val="bottom"/>
          </w:tcPr>
          <w:p w14:paraId="71D3D78A" w14:textId="77777777" w:rsidR="006A3667" w:rsidRDefault="006A3667">
            <w:pPr>
              <w:jc w:val="right"/>
              <w:rPr>
                <w:rFonts w:ascii="宋体"/>
              </w:rPr>
            </w:pPr>
          </w:p>
        </w:tc>
        <w:tc>
          <w:tcPr>
            <w:tcW w:w="0" w:type="auto"/>
            <w:gridSpan w:val="3"/>
            <w:shd w:val="clear" w:color="auto" w:fill="auto"/>
            <w:vAlign w:val="bottom"/>
          </w:tcPr>
          <w:p w14:paraId="71D3D78B" w14:textId="77777777" w:rsidR="006A3667" w:rsidRDefault="006A3667">
            <w:pPr>
              <w:rPr>
                <w:rFonts w:ascii="宋体"/>
                <w:vanish/>
              </w:rPr>
            </w:pPr>
          </w:p>
        </w:tc>
        <w:tc>
          <w:tcPr>
            <w:tcW w:w="0" w:type="auto"/>
            <w:gridSpan w:val="3"/>
            <w:shd w:val="clear" w:color="auto" w:fill="auto"/>
            <w:vAlign w:val="bottom"/>
          </w:tcPr>
          <w:p w14:paraId="71D3D78C" w14:textId="77777777" w:rsidR="006A3667" w:rsidRDefault="006A3667">
            <w:pPr>
              <w:rPr>
                <w:rFonts w:ascii="宋体"/>
                <w:vanish/>
              </w:rPr>
            </w:pPr>
          </w:p>
        </w:tc>
        <w:tc>
          <w:tcPr>
            <w:tcW w:w="0" w:type="auto"/>
            <w:gridSpan w:val="3"/>
            <w:shd w:val="clear" w:color="auto" w:fill="auto"/>
            <w:vAlign w:val="bottom"/>
          </w:tcPr>
          <w:p w14:paraId="71D3D78D" w14:textId="77777777" w:rsidR="006A3667" w:rsidRDefault="006A3667">
            <w:pPr>
              <w:rPr>
                <w:rFonts w:ascii="宋体"/>
                <w:vanish/>
              </w:rPr>
            </w:pPr>
          </w:p>
        </w:tc>
        <w:tc>
          <w:tcPr>
            <w:tcW w:w="0" w:type="auto"/>
            <w:gridSpan w:val="3"/>
            <w:shd w:val="clear" w:color="auto" w:fill="auto"/>
            <w:vAlign w:val="bottom"/>
          </w:tcPr>
          <w:p w14:paraId="71D3D78E" w14:textId="77777777" w:rsidR="006A3667" w:rsidRDefault="006A3667">
            <w:pPr>
              <w:rPr>
                <w:rFonts w:ascii="宋体"/>
                <w:vanish/>
              </w:rPr>
            </w:pPr>
          </w:p>
        </w:tc>
        <w:tc>
          <w:tcPr>
            <w:tcW w:w="0" w:type="auto"/>
            <w:gridSpan w:val="3"/>
            <w:shd w:val="clear" w:color="auto" w:fill="auto"/>
            <w:vAlign w:val="bottom"/>
          </w:tcPr>
          <w:p w14:paraId="71D3D78F" w14:textId="77777777" w:rsidR="006A3667" w:rsidRDefault="006A3667">
            <w:pPr>
              <w:rPr>
                <w:rFonts w:ascii="宋体"/>
                <w:vanish/>
              </w:rPr>
            </w:pPr>
          </w:p>
        </w:tc>
      </w:tr>
      <w:tr w:rsidR="006A3667" w14:paraId="71D3D79C" w14:textId="77777777">
        <w:tc>
          <w:tcPr>
            <w:tcW w:w="0" w:type="auto"/>
            <w:gridSpan w:val="3"/>
            <w:shd w:val="clear" w:color="auto" w:fill="FFFFFF"/>
            <w:tcMar>
              <w:top w:w="40" w:type="dxa"/>
              <w:left w:w="20" w:type="dxa"/>
              <w:bottom w:w="40" w:type="dxa"/>
              <w:right w:w="20" w:type="dxa"/>
            </w:tcMar>
            <w:vAlign w:val="bottom"/>
          </w:tcPr>
          <w:p w14:paraId="71D3D791" w14:textId="77777777" w:rsidR="006A3667" w:rsidRDefault="00045F32">
            <w:pPr>
              <w:textAlignment w:val="bottom"/>
            </w:pPr>
            <w:r>
              <w:rPr>
                <w:rFonts w:ascii="Arial" w:eastAsia="宋体" w:hAnsi="Arial" w:cs="Arial"/>
                <w:color w:val="000000"/>
                <w:sz w:val="12"/>
                <w:szCs w:val="12"/>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D79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793"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D79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79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796" w14:textId="77777777" w:rsidR="006A3667" w:rsidRDefault="006A3667">
            <w:pPr>
              <w:rPr>
                <w:rFonts w:ascii="宋体"/>
              </w:rPr>
            </w:pPr>
          </w:p>
        </w:tc>
        <w:tc>
          <w:tcPr>
            <w:tcW w:w="0" w:type="auto"/>
            <w:gridSpan w:val="3"/>
            <w:shd w:val="clear" w:color="auto" w:fill="auto"/>
            <w:vAlign w:val="bottom"/>
          </w:tcPr>
          <w:p w14:paraId="71D3D797" w14:textId="77777777" w:rsidR="006A3667" w:rsidRDefault="006A3667">
            <w:pPr>
              <w:rPr>
                <w:rFonts w:ascii="宋体"/>
                <w:vanish/>
              </w:rPr>
            </w:pPr>
          </w:p>
        </w:tc>
        <w:tc>
          <w:tcPr>
            <w:tcW w:w="0" w:type="auto"/>
            <w:gridSpan w:val="3"/>
            <w:shd w:val="clear" w:color="auto" w:fill="auto"/>
            <w:vAlign w:val="bottom"/>
          </w:tcPr>
          <w:p w14:paraId="71D3D798" w14:textId="77777777" w:rsidR="006A3667" w:rsidRDefault="006A3667">
            <w:pPr>
              <w:rPr>
                <w:rFonts w:ascii="宋体"/>
                <w:vanish/>
              </w:rPr>
            </w:pPr>
          </w:p>
        </w:tc>
        <w:tc>
          <w:tcPr>
            <w:tcW w:w="0" w:type="auto"/>
            <w:gridSpan w:val="3"/>
            <w:shd w:val="clear" w:color="auto" w:fill="auto"/>
            <w:vAlign w:val="bottom"/>
          </w:tcPr>
          <w:p w14:paraId="71D3D799" w14:textId="77777777" w:rsidR="006A3667" w:rsidRDefault="006A3667">
            <w:pPr>
              <w:rPr>
                <w:rFonts w:ascii="宋体"/>
                <w:vanish/>
              </w:rPr>
            </w:pPr>
          </w:p>
        </w:tc>
        <w:tc>
          <w:tcPr>
            <w:tcW w:w="0" w:type="auto"/>
            <w:gridSpan w:val="3"/>
            <w:shd w:val="clear" w:color="auto" w:fill="auto"/>
            <w:vAlign w:val="bottom"/>
          </w:tcPr>
          <w:p w14:paraId="71D3D79A" w14:textId="77777777" w:rsidR="006A3667" w:rsidRDefault="006A3667">
            <w:pPr>
              <w:rPr>
                <w:rFonts w:ascii="宋体"/>
                <w:vanish/>
              </w:rPr>
            </w:pPr>
          </w:p>
        </w:tc>
        <w:tc>
          <w:tcPr>
            <w:tcW w:w="0" w:type="auto"/>
            <w:gridSpan w:val="3"/>
            <w:shd w:val="clear" w:color="auto" w:fill="auto"/>
            <w:vAlign w:val="bottom"/>
          </w:tcPr>
          <w:p w14:paraId="71D3D79B" w14:textId="77777777" w:rsidR="006A3667" w:rsidRDefault="006A3667">
            <w:pPr>
              <w:rPr>
                <w:rFonts w:ascii="宋体"/>
                <w:vanish/>
              </w:rPr>
            </w:pPr>
          </w:p>
        </w:tc>
      </w:tr>
      <w:tr w:rsidR="006A3667" w14:paraId="71D3D7AD" w14:textId="77777777">
        <w:tc>
          <w:tcPr>
            <w:tcW w:w="0" w:type="auto"/>
            <w:gridSpan w:val="3"/>
            <w:shd w:val="clear" w:color="auto" w:fill="CCEEFF"/>
            <w:tcMar>
              <w:top w:w="40" w:type="dxa"/>
              <w:left w:w="245" w:type="dxa"/>
              <w:bottom w:w="40" w:type="dxa"/>
              <w:right w:w="20" w:type="dxa"/>
            </w:tcMar>
            <w:vAlign w:val="bottom"/>
          </w:tcPr>
          <w:p w14:paraId="71D3D79D" w14:textId="77777777" w:rsidR="006A3667" w:rsidRDefault="00045F32">
            <w:pPr>
              <w:textAlignment w:val="bottom"/>
            </w:pPr>
            <w:r>
              <w:rPr>
                <w:rFonts w:ascii="Arial" w:eastAsia="宋体" w:hAnsi="Arial" w:cs="Arial"/>
                <w:color w:val="000000"/>
                <w:sz w:val="12"/>
                <w:szCs w:val="12"/>
              </w:rPr>
              <w:t>Basic</w:t>
            </w:r>
          </w:p>
        </w:tc>
        <w:tc>
          <w:tcPr>
            <w:tcW w:w="0" w:type="auto"/>
            <w:shd w:val="clear" w:color="auto" w:fill="CCEEFF"/>
            <w:tcMar>
              <w:top w:w="40" w:type="dxa"/>
              <w:left w:w="20" w:type="dxa"/>
              <w:bottom w:w="40" w:type="dxa"/>
              <w:right w:w="0" w:type="dxa"/>
            </w:tcMar>
            <w:vAlign w:val="bottom"/>
          </w:tcPr>
          <w:p w14:paraId="71D3D79E"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D79F" w14:textId="77777777" w:rsidR="006A3667" w:rsidRDefault="00045F32">
            <w:pPr>
              <w:jc w:val="right"/>
              <w:textAlignment w:val="bottom"/>
            </w:pPr>
            <w:r>
              <w:rPr>
                <w:rFonts w:ascii="Arial" w:eastAsia="宋体" w:hAnsi="Arial" w:cs="Arial"/>
                <w:b/>
                <w:bCs/>
                <w:color w:val="000000"/>
                <w:sz w:val="12"/>
                <w:szCs w:val="12"/>
              </w:rPr>
              <w:t>1.82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7A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A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D7A2"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D7A3" w14:textId="77777777" w:rsidR="006A3667" w:rsidRDefault="00045F32">
            <w:pPr>
              <w:jc w:val="right"/>
              <w:textAlignment w:val="bottom"/>
            </w:pPr>
            <w:r>
              <w:rPr>
                <w:rFonts w:ascii="Arial" w:eastAsia="宋体" w:hAnsi="Arial" w:cs="Arial"/>
                <w:color w:val="000000"/>
                <w:sz w:val="12"/>
                <w:szCs w:val="12"/>
              </w:rPr>
              <w:t>1.99 </w:t>
            </w:r>
          </w:p>
        </w:tc>
        <w:tc>
          <w:tcPr>
            <w:tcW w:w="0" w:type="auto"/>
            <w:shd w:val="clear" w:color="auto" w:fill="CCEEFF"/>
            <w:tcMar>
              <w:top w:w="40" w:type="dxa"/>
              <w:left w:w="0" w:type="dxa"/>
              <w:bottom w:w="40" w:type="dxa"/>
              <w:right w:w="20" w:type="dxa"/>
            </w:tcMar>
            <w:vAlign w:val="bottom"/>
          </w:tcPr>
          <w:p w14:paraId="71D3D7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A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A6" w14:textId="77777777" w:rsidR="006A3667" w:rsidRDefault="00045F32">
            <w:pPr>
              <w:jc w:val="right"/>
              <w:textAlignment w:val="bottom"/>
            </w:pPr>
            <w:r>
              <w:rPr>
                <w:rFonts w:ascii="Arial" w:eastAsia="宋体" w:hAnsi="Arial" w:cs="Arial"/>
                <w:color w:val="000000"/>
                <w:sz w:val="12"/>
                <w:szCs w:val="12"/>
              </w:rPr>
              <w:t>(9)</w:t>
            </w:r>
          </w:p>
        </w:tc>
        <w:tc>
          <w:tcPr>
            <w:tcW w:w="0" w:type="auto"/>
            <w:shd w:val="clear" w:color="auto" w:fill="CCEEFF"/>
            <w:tcMar>
              <w:top w:w="40" w:type="dxa"/>
              <w:left w:w="0" w:type="dxa"/>
              <w:bottom w:w="40" w:type="dxa"/>
              <w:right w:w="20" w:type="dxa"/>
            </w:tcMar>
            <w:vAlign w:val="bottom"/>
          </w:tcPr>
          <w:p w14:paraId="71D3D7A7" w14:textId="77777777" w:rsidR="006A3667" w:rsidRDefault="006A3667">
            <w:pPr>
              <w:jc w:val="right"/>
              <w:rPr>
                <w:rFonts w:ascii="宋体"/>
              </w:rPr>
            </w:pPr>
          </w:p>
        </w:tc>
        <w:tc>
          <w:tcPr>
            <w:tcW w:w="0" w:type="auto"/>
            <w:gridSpan w:val="3"/>
            <w:shd w:val="clear" w:color="auto" w:fill="auto"/>
            <w:vAlign w:val="bottom"/>
          </w:tcPr>
          <w:p w14:paraId="71D3D7A8" w14:textId="77777777" w:rsidR="006A3667" w:rsidRDefault="006A3667">
            <w:pPr>
              <w:rPr>
                <w:rFonts w:ascii="宋体"/>
                <w:vanish/>
              </w:rPr>
            </w:pPr>
          </w:p>
        </w:tc>
        <w:tc>
          <w:tcPr>
            <w:tcW w:w="0" w:type="auto"/>
            <w:gridSpan w:val="3"/>
            <w:shd w:val="clear" w:color="auto" w:fill="auto"/>
            <w:vAlign w:val="bottom"/>
          </w:tcPr>
          <w:p w14:paraId="71D3D7A9" w14:textId="77777777" w:rsidR="006A3667" w:rsidRDefault="006A3667">
            <w:pPr>
              <w:rPr>
                <w:rFonts w:ascii="宋体"/>
                <w:vanish/>
              </w:rPr>
            </w:pPr>
          </w:p>
        </w:tc>
        <w:tc>
          <w:tcPr>
            <w:tcW w:w="0" w:type="auto"/>
            <w:gridSpan w:val="3"/>
            <w:shd w:val="clear" w:color="auto" w:fill="auto"/>
            <w:vAlign w:val="bottom"/>
          </w:tcPr>
          <w:p w14:paraId="71D3D7AA" w14:textId="77777777" w:rsidR="006A3667" w:rsidRDefault="006A3667">
            <w:pPr>
              <w:rPr>
                <w:rFonts w:ascii="宋体"/>
                <w:vanish/>
              </w:rPr>
            </w:pPr>
          </w:p>
        </w:tc>
        <w:tc>
          <w:tcPr>
            <w:tcW w:w="0" w:type="auto"/>
            <w:gridSpan w:val="3"/>
            <w:shd w:val="clear" w:color="auto" w:fill="auto"/>
            <w:vAlign w:val="bottom"/>
          </w:tcPr>
          <w:p w14:paraId="71D3D7AB" w14:textId="77777777" w:rsidR="006A3667" w:rsidRDefault="006A3667">
            <w:pPr>
              <w:rPr>
                <w:rFonts w:ascii="宋体"/>
                <w:vanish/>
              </w:rPr>
            </w:pPr>
          </w:p>
        </w:tc>
        <w:tc>
          <w:tcPr>
            <w:tcW w:w="0" w:type="auto"/>
            <w:gridSpan w:val="3"/>
            <w:shd w:val="clear" w:color="auto" w:fill="auto"/>
            <w:vAlign w:val="bottom"/>
          </w:tcPr>
          <w:p w14:paraId="71D3D7AC" w14:textId="77777777" w:rsidR="006A3667" w:rsidRDefault="006A3667">
            <w:pPr>
              <w:rPr>
                <w:rFonts w:ascii="宋体"/>
                <w:vanish/>
              </w:rPr>
            </w:pPr>
          </w:p>
        </w:tc>
      </w:tr>
      <w:tr w:rsidR="006A3667" w14:paraId="71D3D7BC" w14:textId="77777777">
        <w:tc>
          <w:tcPr>
            <w:tcW w:w="0" w:type="auto"/>
            <w:gridSpan w:val="3"/>
            <w:shd w:val="clear" w:color="auto" w:fill="FFFFFF"/>
            <w:tcMar>
              <w:top w:w="40" w:type="dxa"/>
              <w:left w:w="245" w:type="dxa"/>
              <w:bottom w:w="40" w:type="dxa"/>
              <w:right w:w="20" w:type="dxa"/>
            </w:tcMar>
            <w:vAlign w:val="bottom"/>
          </w:tcPr>
          <w:p w14:paraId="71D3D7AE" w14:textId="77777777" w:rsidR="006A3667" w:rsidRDefault="00045F32">
            <w:pPr>
              <w:textAlignment w:val="bottom"/>
            </w:pPr>
            <w:r>
              <w:rPr>
                <w:rFonts w:ascii="Arial" w:eastAsia="宋体" w:hAnsi="Arial" w:cs="Arial"/>
                <w:color w:val="000000"/>
                <w:sz w:val="12"/>
                <w:szCs w:val="12"/>
              </w:rPr>
              <w:t>Diluted</w:t>
            </w:r>
          </w:p>
        </w:tc>
        <w:tc>
          <w:tcPr>
            <w:tcW w:w="0" w:type="auto"/>
            <w:gridSpan w:val="2"/>
            <w:shd w:val="clear" w:color="auto" w:fill="FFFFFF"/>
            <w:tcMar>
              <w:top w:w="40" w:type="dxa"/>
              <w:left w:w="20" w:type="dxa"/>
              <w:bottom w:w="40" w:type="dxa"/>
              <w:right w:w="0" w:type="dxa"/>
            </w:tcMar>
            <w:vAlign w:val="bottom"/>
          </w:tcPr>
          <w:p w14:paraId="71D3D7AF" w14:textId="77777777" w:rsidR="006A3667" w:rsidRDefault="00045F32">
            <w:pPr>
              <w:jc w:val="right"/>
              <w:textAlignment w:val="bottom"/>
            </w:pPr>
            <w:r>
              <w:rPr>
                <w:rFonts w:ascii="Arial" w:eastAsia="宋体" w:hAnsi="Arial" w:cs="Arial"/>
                <w:b/>
                <w:bCs/>
                <w:color w:val="000000"/>
                <w:sz w:val="12"/>
                <w:szCs w:val="12"/>
              </w:rPr>
              <w:t>1.80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B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B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B2" w14:textId="77777777" w:rsidR="006A3667" w:rsidRDefault="00045F32">
            <w:pPr>
              <w:jc w:val="right"/>
              <w:textAlignment w:val="bottom"/>
            </w:pPr>
            <w:r>
              <w:rPr>
                <w:rFonts w:ascii="Arial" w:eastAsia="宋体" w:hAnsi="Arial" w:cs="Arial"/>
                <w:color w:val="000000"/>
                <w:sz w:val="12"/>
                <w:szCs w:val="12"/>
              </w:rPr>
              <w:t>1.96 </w:t>
            </w:r>
          </w:p>
        </w:tc>
        <w:tc>
          <w:tcPr>
            <w:tcW w:w="0" w:type="auto"/>
            <w:shd w:val="clear" w:color="auto" w:fill="FFFFFF"/>
            <w:tcMar>
              <w:top w:w="40" w:type="dxa"/>
              <w:left w:w="0" w:type="dxa"/>
              <w:bottom w:w="40" w:type="dxa"/>
              <w:right w:w="20" w:type="dxa"/>
            </w:tcMar>
            <w:vAlign w:val="bottom"/>
          </w:tcPr>
          <w:p w14:paraId="71D3D7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B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B5" w14:textId="77777777" w:rsidR="006A3667" w:rsidRDefault="00045F32">
            <w:pPr>
              <w:jc w:val="right"/>
              <w:textAlignment w:val="bottom"/>
            </w:pPr>
            <w:r>
              <w:rPr>
                <w:rFonts w:ascii="Arial" w:eastAsia="宋体" w:hAnsi="Arial" w:cs="Arial"/>
                <w:color w:val="000000"/>
                <w:sz w:val="12"/>
                <w:szCs w:val="12"/>
              </w:rPr>
              <w:t>(8)</w:t>
            </w:r>
          </w:p>
        </w:tc>
        <w:tc>
          <w:tcPr>
            <w:tcW w:w="0" w:type="auto"/>
            <w:shd w:val="clear" w:color="auto" w:fill="FFFFFF"/>
            <w:tcMar>
              <w:top w:w="40" w:type="dxa"/>
              <w:left w:w="0" w:type="dxa"/>
              <w:bottom w:w="40" w:type="dxa"/>
              <w:right w:w="20" w:type="dxa"/>
            </w:tcMar>
            <w:vAlign w:val="bottom"/>
          </w:tcPr>
          <w:p w14:paraId="71D3D7B6" w14:textId="77777777" w:rsidR="006A3667" w:rsidRDefault="006A3667">
            <w:pPr>
              <w:jc w:val="right"/>
              <w:rPr>
                <w:rFonts w:ascii="宋体"/>
              </w:rPr>
            </w:pPr>
          </w:p>
        </w:tc>
        <w:tc>
          <w:tcPr>
            <w:tcW w:w="0" w:type="auto"/>
            <w:gridSpan w:val="3"/>
            <w:shd w:val="clear" w:color="auto" w:fill="auto"/>
            <w:vAlign w:val="bottom"/>
          </w:tcPr>
          <w:p w14:paraId="71D3D7B7" w14:textId="77777777" w:rsidR="006A3667" w:rsidRDefault="006A3667">
            <w:pPr>
              <w:rPr>
                <w:rFonts w:ascii="宋体"/>
                <w:vanish/>
              </w:rPr>
            </w:pPr>
          </w:p>
        </w:tc>
        <w:tc>
          <w:tcPr>
            <w:tcW w:w="0" w:type="auto"/>
            <w:gridSpan w:val="3"/>
            <w:shd w:val="clear" w:color="auto" w:fill="auto"/>
            <w:vAlign w:val="bottom"/>
          </w:tcPr>
          <w:p w14:paraId="71D3D7B8" w14:textId="77777777" w:rsidR="006A3667" w:rsidRDefault="006A3667">
            <w:pPr>
              <w:rPr>
                <w:rFonts w:ascii="宋体"/>
                <w:vanish/>
              </w:rPr>
            </w:pPr>
          </w:p>
        </w:tc>
        <w:tc>
          <w:tcPr>
            <w:tcW w:w="0" w:type="auto"/>
            <w:gridSpan w:val="3"/>
            <w:shd w:val="clear" w:color="auto" w:fill="auto"/>
            <w:vAlign w:val="bottom"/>
          </w:tcPr>
          <w:p w14:paraId="71D3D7B9" w14:textId="77777777" w:rsidR="006A3667" w:rsidRDefault="006A3667">
            <w:pPr>
              <w:rPr>
                <w:rFonts w:ascii="宋体"/>
                <w:vanish/>
              </w:rPr>
            </w:pPr>
          </w:p>
        </w:tc>
        <w:tc>
          <w:tcPr>
            <w:tcW w:w="0" w:type="auto"/>
            <w:gridSpan w:val="3"/>
            <w:shd w:val="clear" w:color="auto" w:fill="auto"/>
            <w:vAlign w:val="bottom"/>
          </w:tcPr>
          <w:p w14:paraId="71D3D7BA" w14:textId="77777777" w:rsidR="006A3667" w:rsidRDefault="006A3667">
            <w:pPr>
              <w:rPr>
                <w:rFonts w:ascii="宋体"/>
                <w:vanish/>
              </w:rPr>
            </w:pPr>
          </w:p>
        </w:tc>
        <w:tc>
          <w:tcPr>
            <w:tcW w:w="0" w:type="auto"/>
            <w:gridSpan w:val="3"/>
            <w:shd w:val="clear" w:color="auto" w:fill="auto"/>
            <w:vAlign w:val="bottom"/>
          </w:tcPr>
          <w:p w14:paraId="71D3D7BB" w14:textId="77777777" w:rsidR="006A3667" w:rsidRDefault="006A3667">
            <w:pPr>
              <w:rPr>
                <w:rFonts w:ascii="宋体"/>
                <w:vanish/>
              </w:rPr>
            </w:pPr>
          </w:p>
        </w:tc>
      </w:tr>
      <w:tr w:rsidR="006A3667" w14:paraId="71D3D7C8" w14:textId="77777777">
        <w:tc>
          <w:tcPr>
            <w:tcW w:w="0" w:type="auto"/>
            <w:gridSpan w:val="3"/>
            <w:shd w:val="clear" w:color="auto" w:fill="CCEEFF"/>
            <w:tcMar>
              <w:top w:w="40" w:type="dxa"/>
              <w:left w:w="20" w:type="dxa"/>
              <w:bottom w:w="40" w:type="dxa"/>
              <w:right w:w="20" w:type="dxa"/>
            </w:tcMar>
            <w:vAlign w:val="bottom"/>
          </w:tcPr>
          <w:p w14:paraId="71D3D7BD" w14:textId="77777777" w:rsidR="006A3667" w:rsidRDefault="00045F32">
            <w:pPr>
              <w:textAlignment w:val="bottom"/>
            </w:pPr>
            <w:r>
              <w:rPr>
                <w:rFonts w:ascii="Arial" w:eastAsia="宋体" w:hAnsi="Arial" w:cs="Arial"/>
                <w:color w:val="000000"/>
                <w:sz w:val="12"/>
                <w:szCs w:val="12"/>
              </w:rPr>
              <w:t>Averag</w:t>
            </w:r>
            <w:r>
              <w:rPr>
                <w:rFonts w:ascii="Arial" w:eastAsia="宋体" w:hAnsi="Arial" w:cs="Arial"/>
                <w:color w:val="000000"/>
                <w:sz w:val="12"/>
                <w:szCs w:val="12"/>
              </w:rPr>
              <w:t>e common shares outstanding (in thousands):</w:t>
            </w:r>
          </w:p>
        </w:tc>
        <w:tc>
          <w:tcPr>
            <w:tcW w:w="0" w:type="auto"/>
            <w:gridSpan w:val="3"/>
            <w:shd w:val="clear" w:color="auto" w:fill="CCEEFF"/>
            <w:tcMar>
              <w:top w:w="0" w:type="dxa"/>
              <w:left w:w="20" w:type="dxa"/>
              <w:bottom w:w="0" w:type="dxa"/>
              <w:right w:w="20" w:type="dxa"/>
            </w:tcMar>
            <w:vAlign w:val="bottom"/>
          </w:tcPr>
          <w:p w14:paraId="71D3D7B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D7B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D7C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D7C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D7C2" w14:textId="77777777" w:rsidR="006A3667" w:rsidRDefault="006A3667">
            <w:pPr>
              <w:rPr>
                <w:rFonts w:ascii="宋体"/>
              </w:rPr>
            </w:pPr>
          </w:p>
        </w:tc>
        <w:tc>
          <w:tcPr>
            <w:tcW w:w="0" w:type="auto"/>
            <w:gridSpan w:val="3"/>
            <w:shd w:val="clear" w:color="auto" w:fill="auto"/>
            <w:vAlign w:val="bottom"/>
          </w:tcPr>
          <w:p w14:paraId="71D3D7C3" w14:textId="77777777" w:rsidR="006A3667" w:rsidRDefault="006A3667">
            <w:pPr>
              <w:rPr>
                <w:rFonts w:ascii="宋体"/>
                <w:vanish/>
              </w:rPr>
            </w:pPr>
          </w:p>
        </w:tc>
        <w:tc>
          <w:tcPr>
            <w:tcW w:w="0" w:type="auto"/>
            <w:gridSpan w:val="3"/>
            <w:shd w:val="clear" w:color="auto" w:fill="auto"/>
            <w:vAlign w:val="bottom"/>
          </w:tcPr>
          <w:p w14:paraId="71D3D7C4" w14:textId="77777777" w:rsidR="006A3667" w:rsidRDefault="006A3667">
            <w:pPr>
              <w:rPr>
                <w:rFonts w:ascii="宋体"/>
                <w:vanish/>
              </w:rPr>
            </w:pPr>
          </w:p>
        </w:tc>
        <w:tc>
          <w:tcPr>
            <w:tcW w:w="0" w:type="auto"/>
            <w:gridSpan w:val="3"/>
            <w:shd w:val="clear" w:color="auto" w:fill="auto"/>
            <w:vAlign w:val="bottom"/>
          </w:tcPr>
          <w:p w14:paraId="71D3D7C5" w14:textId="77777777" w:rsidR="006A3667" w:rsidRDefault="006A3667">
            <w:pPr>
              <w:rPr>
                <w:rFonts w:ascii="宋体"/>
                <w:vanish/>
              </w:rPr>
            </w:pPr>
          </w:p>
        </w:tc>
        <w:tc>
          <w:tcPr>
            <w:tcW w:w="0" w:type="auto"/>
            <w:gridSpan w:val="3"/>
            <w:shd w:val="clear" w:color="auto" w:fill="auto"/>
            <w:vAlign w:val="bottom"/>
          </w:tcPr>
          <w:p w14:paraId="71D3D7C6" w14:textId="77777777" w:rsidR="006A3667" w:rsidRDefault="006A3667">
            <w:pPr>
              <w:rPr>
                <w:rFonts w:ascii="宋体"/>
                <w:vanish/>
              </w:rPr>
            </w:pPr>
          </w:p>
        </w:tc>
        <w:tc>
          <w:tcPr>
            <w:tcW w:w="0" w:type="auto"/>
            <w:gridSpan w:val="3"/>
            <w:shd w:val="clear" w:color="auto" w:fill="auto"/>
            <w:vAlign w:val="bottom"/>
          </w:tcPr>
          <w:p w14:paraId="71D3D7C7" w14:textId="77777777" w:rsidR="006A3667" w:rsidRDefault="006A3667">
            <w:pPr>
              <w:rPr>
                <w:rFonts w:ascii="宋体"/>
                <w:vanish/>
              </w:rPr>
            </w:pPr>
          </w:p>
        </w:tc>
      </w:tr>
      <w:tr w:rsidR="006A3667" w14:paraId="71D3D7D7" w14:textId="77777777">
        <w:tc>
          <w:tcPr>
            <w:tcW w:w="0" w:type="auto"/>
            <w:gridSpan w:val="3"/>
            <w:shd w:val="clear" w:color="auto" w:fill="FFFFFF"/>
            <w:tcMar>
              <w:top w:w="40" w:type="dxa"/>
              <w:left w:w="245" w:type="dxa"/>
              <w:bottom w:w="40" w:type="dxa"/>
              <w:right w:w="20" w:type="dxa"/>
            </w:tcMar>
            <w:vAlign w:val="bottom"/>
          </w:tcPr>
          <w:p w14:paraId="71D3D7C9" w14:textId="77777777" w:rsidR="006A3667" w:rsidRDefault="00045F32">
            <w:pPr>
              <w:textAlignment w:val="bottom"/>
            </w:pPr>
            <w:r>
              <w:rPr>
                <w:rFonts w:ascii="Arial" w:eastAsia="宋体" w:hAnsi="Arial" w:cs="Arial"/>
                <w:color w:val="000000"/>
                <w:sz w:val="12"/>
                <w:szCs w:val="12"/>
              </w:rPr>
              <w:t>Basic</w:t>
            </w:r>
          </w:p>
        </w:tc>
        <w:tc>
          <w:tcPr>
            <w:tcW w:w="0" w:type="auto"/>
            <w:gridSpan w:val="2"/>
            <w:shd w:val="clear" w:color="auto" w:fill="FFFFFF"/>
            <w:tcMar>
              <w:top w:w="40" w:type="dxa"/>
              <w:left w:w="20" w:type="dxa"/>
              <w:bottom w:w="40" w:type="dxa"/>
              <w:right w:w="0" w:type="dxa"/>
            </w:tcMar>
            <w:vAlign w:val="bottom"/>
          </w:tcPr>
          <w:p w14:paraId="71D3D7CA" w14:textId="77777777" w:rsidR="006A3667" w:rsidRDefault="00045F32">
            <w:pPr>
              <w:jc w:val="right"/>
              <w:textAlignment w:val="bottom"/>
            </w:pPr>
            <w:r>
              <w:rPr>
                <w:rFonts w:ascii="Arial" w:eastAsia="宋体" w:hAnsi="Arial" w:cs="Arial"/>
                <w:b/>
                <w:bCs/>
                <w:color w:val="000000"/>
                <w:sz w:val="12"/>
                <w:szCs w:val="12"/>
              </w:rPr>
              <w:t>367,789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CD" w14:textId="77777777" w:rsidR="006A3667" w:rsidRDefault="00045F32">
            <w:pPr>
              <w:jc w:val="right"/>
              <w:textAlignment w:val="bottom"/>
            </w:pPr>
            <w:r>
              <w:rPr>
                <w:rFonts w:ascii="Arial" w:eastAsia="宋体" w:hAnsi="Arial" w:cs="Arial"/>
                <w:color w:val="000000"/>
                <w:sz w:val="12"/>
                <w:szCs w:val="12"/>
              </w:rPr>
              <w:t>347,718 </w:t>
            </w:r>
          </w:p>
        </w:tc>
        <w:tc>
          <w:tcPr>
            <w:tcW w:w="0" w:type="auto"/>
            <w:shd w:val="clear" w:color="auto" w:fill="FFFFFF"/>
            <w:tcMar>
              <w:top w:w="40" w:type="dxa"/>
              <w:left w:w="0" w:type="dxa"/>
              <w:bottom w:w="40" w:type="dxa"/>
              <w:right w:w="20" w:type="dxa"/>
            </w:tcMar>
            <w:vAlign w:val="bottom"/>
          </w:tcPr>
          <w:p w14:paraId="71D3D7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D0" w14:textId="77777777" w:rsidR="006A3667" w:rsidRDefault="00045F32">
            <w:pPr>
              <w:jc w:val="right"/>
              <w:textAlignment w:val="bottom"/>
            </w:pPr>
            <w:r>
              <w:rPr>
                <w:rFonts w:ascii="Arial" w:eastAsia="宋体" w:hAnsi="Arial" w:cs="Arial"/>
                <w:color w:val="000000"/>
                <w:sz w:val="12"/>
                <w:szCs w:val="12"/>
              </w:rPr>
              <w:t>6 </w:t>
            </w:r>
          </w:p>
        </w:tc>
        <w:tc>
          <w:tcPr>
            <w:tcW w:w="0" w:type="auto"/>
            <w:shd w:val="clear" w:color="auto" w:fill="FFFFFF"/>
            <w:tcMar>
              <w:top w:w="40" w:type="dxa"/>
              <w:left w:w="0" w:type="dxa"/>
              <w:bottom w:w="40" w:type="dxa"/>
              <w:right w:w="20" w:type="dxa"/>
            </w:tcMar>
            <w:vAlign w:val="bottom"/>
          </w:tcPr>
          <w:p w14:paraId="71D3D7D1" w14:textId="77777777" w:rsidR="006A3667" w:rsidRDefault="006A3667">
            <w:pPr>
              <w:jc w:val="right"/>
              <w:rPr>
                <w:rFonts w:ascii="宋体"/>
              </w:rPr>
            </w:pPr>
          </w:p>
        </w:tc>
        <w:tc>
          <w:tcPr>
            <w:tcW w:w="0" w:type="auto"/>
            <w:gridSpan w:val="3"/>
            <w:shd w:val="clear" w:color="auto" w:fill="auto"/>
            <w:vAlign w:val="bottom"/>
          </w:tcPr>
          <w:p w14:paraId="71D3D7D2" w14:textId="77777777" w:rsidR="006A3667" w:rsidRDefault="006A3667">
            <w:pPr>
              <w:rPr>
                <w:rFonts w:ascii="宋体"/>
                <w:vanish/>
              </w:rPr>
            </w:pPr>
          </w:p>
        </w:tc>
        <w:tc>
          <w:tcPr>
            <w:tcW w:w="0" w:type="auto"/>
            <w:gridSpan w:val="3"/>
            <w:shd w:val="clear" w:color="auto" w:fill="auto"/>
            <w:vAlign w:val="bottom"/>
          </w:tcPr>
          <w:p w14:paraId="71D3D7D3" w14:textId="77777777" w:rsidR="006A3667" w:rsidRDefault="006A3667">
            <w:pPr>
              <w:rPr>
                <w:rFonts w:ascii="宋体"/>
                <w:vanish/>
              </w:rPr>
            </w:pPr>
          </w:p>
        </w:tc>
        <w:tc>
          <w:tcPr>
            <w:tcW w:w="0" w:type="auto"/>
            <w:gridSpan w:val="3"/>
            <w:shd w:val="clear" w:color="auto" w:fill="auto"/>
            <w:vAlign w:val="bottom"/>
          </w:tcPr>
          <w:p w14:paraId="71D3D7D4" w14:textId="77777777" w:rsidR="006A3667" w:rsidRDefault="006A3667">
            <w:pPr>
              <w:rPr>
                <w:rFonts w:ascii="宋体"/>
                <w:vanish/>
              </w:rPr>
            </w:pPr>
          </w:p>
        </w:tc>
        <w:tc>
          <w:tcPr>
            <w:tcW w:w="0" w:type="auto"/>
            <w:gridSpan w:val="3"/>
            <w:shd w:val="clear" w:color="auto" w:fill="auto"/>
            <w:vAlign w:val="bottom"/>
          </w:tcPr>
          <w:p w14:paraId="71D3D7D5" w14:textId="77777777" w:rsidR="006A3667" w:rsidRDefault="006A3667">
            <w:pPr>
              <w:rPr>
                <w:rFonts w:ascii="宋体"/>
                <w:vanish/>
              </w:rPr>
            </w:pPr>
          </w:p>
        </w:tc>
        <w:tc>
          <w:tcPr>
            <w:tcW w:w="0" w:type="auto"/>
            <w:gridSpan w:val="3"/>
            <w:shd w:val="clear" w:color="auto" w:fill="auto"/>
            <w:vAlign w:val="bottom"/>
          </w:tcPr>
          <w:p w14:paraId="71D3D7D6" w14:textId="77777777" w:rsidR="006A3667" w:rsidRDefault="006A3667">
            <w:pPr>
              <w:rPr>
                <w:rFonts w:ascii="宋体"/>
                <w:vanish/>
              </w:rPr>
            </w:pPr>
          </w:p>
        </w:tc>
      </w:tr>
      <w:tr w:rsidR="006A3667" w14:paraId="71D3D7E6" w14:textId="77777777">
        <w:tc>
          <w:tcPr>
            <w:tcW w:w="0" w:type="auto"/>
            <w:gridSpan w:val="3"/>
            <w:shd w:val="clear" w:color="auto" w:fill="CCEEFF"/>
            <w:tcMar>
              <w:top w:w="40" w:type="dxa"/>
              <w:left w:w="245" w:type="dxa"/>
              <w:bottom w:w="40" w:type="dxa"/>
              <w:right w:w="20" w:type="dxa"/>
            </w:tcMar>
            <w:vAlign w:val="bottom"/>
          </w:tcPr>
          <w:p w14:paraId="71D3D7D8" w14:textId="77777777" w:rsidR="006A3667" w:rsidRDefault="00045F32">
            <w:pPr>
              <w:textAlignment w:val="bottom"/>
            </w:pPr>
            <w:r>
              <w:rPr>
                <w:rFonts w:ascii="Arial" w:eastAsia="宋体" w:hAnsi="Arial" w:cs="Arial"/>
                <w:color w:val="000000"/>
                <w:sz w:val="12"/>
                <w:szCs w:val="12"/>
              </w:rPr>
              <w:t>Dilute</w:t>
            </w:r>
            <w:r>
              <w:rPr>
                <w:rFonts w:ascii="Arial" w:eastAsia="宋体" w:hAnsi="Arial" w:cs="Arial"/>
                <w:color w:val="000000"/>
                <w:sz w:val="12"/>
                <w:szCs w:val="12"/>
              </w:rPr>
              <w:t>d</w:t>
            </w:r>
          </w:p>
        </w:tc>
        <w:tc>
          <w:tcPr>
            <w:tcW w:w="0" w:type="auto"/>
            <w:gridSpan w:val="2"/>
            <w:shd w:val="clear" w:color="auto" w:fill="CCEEFF"/>
            <w:tcMar>
              <w:top w:w="40" w:type="dxa"/>
              <w:left w:w="20" w:type="dxa"/>
              <w:bottom w:w="40" w:type="dxa"/>
              <w:right w:w="0" w:type="dxa"/>
            </w:tcMar>
            <w:vAlign w:val="bottom"/>
          </w:tcPr>
          <w:p w14:paraId="71D3D7D9" w14:textId="77777777" w:rsidR="006A3667" w:rsidRDefault="00045F32">
            <w:pPr>
              <w:jc w:val="right"/>
              <w:textAlignment w:val="bottom"/>
            </w:pPr>
            <w:r>
              <w:rPr>
                <w:rFonts w:ascii="Arial" w:eastAsia="宋体" w:hAnsi="Arial" w:cs="Arial"/>
                <w:b/>
                <w:bCs/>
                <w:color w:val="000000"/>
                <w:sz w:val="12"/>
                <w:szCs w:val="12"/>
              </w:rPr>
              <w:t>372,418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7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D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DC" w14:textId="77777777" w:rsidR="006A3667" w:rsidRDefault="00045F32">
            <w:pPr>
              <w:jc w:val="right"/>
              <w:textAlignment w:val="bottom"/>
            </w:pPr>
            <w:r>
              <w:rPr>
                <w:rFonts w:ascii="Arial" w:eastAsia="宋体" w:hAnsi="Arial" w:cs="Arial"/>
                <w:color w:val="000000"/>
                <w:sz w:val="12"/>
                <w:szCs w:val="12"/>
              </w:rPr>
              <w:t>353,494 </w:t>
            </w:r>
          </w:p>
        </w:tc>
        <w:tc>
          <w:tcPr>
            <w:tcW w:w="0" w:type="auto"/>
            <w:shd w:val="clear" w:color="auto" w:fill="CCEEFF"/>
            <w:tcMar>
              <w:top w:w="40" w:type="dxa"/>
              <w:left w:w="0" w:type="dxa"/>
              <w:bottom w:w="40" w:type="dxa"/>
              <w:right w:w="20" w:type="dxa"/>
            </w:tcMar>
            <w:vAlign w:val="bottom"/>
          </w:tcPr>
          <w:p w14:paraId="71D3D7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7D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DF" w14:textId="77777777" w:rsidR="006A3667" w:rsidRDefault="00045F32">
            <w:pPr>
              <w:jc w:val="right"/>
              <w:textAlignment w:val="bottom"/>
            </w:pPr>
            <w:r>
              <w:rPr>
                <w:rFonts w:ascii="Arial" w:eastAsia="宋体" w:hAnsi="Arial" w:cs="Arial"/>
                <w:color w:val="000000"/>
                <w:sz w:val="12"/>
                <w:szCs w:val="12"/>
              </w:rPr>
              <w:t>5 </w:t>
            </w:r>
          </w:p>
        </w:tc>
        <w:tc>
          <w:tcPr>
            <w:tcW w:w="0" w:type="auto"/>
            <w:shd w:val="clear" w:color="auto" w:fill="CCEEFF"/>
            <w:tcMar>
              <w:top w:w="40" w:type="dxa"/>
              <w:left w:w="0" w:type="dxa"/>
              <w:bottom w:w="40" w:type="dxa"/>
              <w:right w:w="20" w:type="dxa"/>
            </w:tcMar>
            <w:vAlign w:val="bottom"/>
          </w:tcPr>
          <w:p w14:paraId="71D3D7E0" w14:textId="77777777" w:rsidR="006A3667" w:rsidRDefault="006A3667">
            <w:pPr>
              <w:jc w:val="right"/>
              <w:rPr>
                <w:rFonts w:ascii="宋体"/>
              </w:rPr>
            </w:pPr>
          </w:p>
        </w:tc>
        <w:tc>
          <w:tcPr>
            <w:tcW w:w="0" w:type="auto"/>
            <w:gridSpan w:val="3"/>
            <w:shd w:val="clear" w:color="auto" w:fill="auto"/>
            <w:vAlign w:val="bottom"/>
          </w:tcPr>
          <w:p w14:paraId="71D3D7E1" w14:textId="77777777" w:rsidR="006A3667" w:rsidRDefault="006A3667">
            <w:pPr>
              <w:rPr>
                <w:rFonts w:ascii="宋体"/>
                <w:vanish/>
              </w:rPr>
            </w:pPr>
          </w:p>
        </w:tc>
        <w:tc>
          <w:tcPr>
            <w:tcW w:w="0" w:type="auto"/>
            <w:gridSpan w:val="3"/>
            <w:shd w:val="clear" w:color="auto" w:fill="auto"/>
            <w:vAlign w:val="bottom"/>
          </w:tcPr>
          <w:p w14:paraId="71D3D7E2" w14:textId="77777777" w:rsidR="006A3667" w:rsidRDefault="006A3667">
            <w:pPr>
              <w:rPr>
                <w:rFonts w:ascii="宋体"/>
                <w:vanish/>
              </w:rPr>
            </w:pPr>
          </w:p>
        </w:tc>
        <w:tc>
          <w:tcPr>
            <w:tcW w:w="0" w:type="auto"/>
            <w:gridSpan w:val="3"/>
            <w:shd w:val="clear" w:color="auto" w:fill="auto"/>
            <w:vAlign w:val="bottom"/>
          </w:tcPr>
          <w:p w14:paraId="71D3D7E3" w14:textId="77777777" w:rsidR="006A3667" w:rsidRDefault="006A3667">
            <w:pPr>
              <w:rPr>
                <w:rFonts w:ascii="宋体"/>
                <w:vanish/>
              </w:rPr>
            </w:pPr>
          </w:p>
        </w:tc>
        <w:tc>
          <w:tcPr>
            <w:tcW w:w="0" w:type="auto"/>
            <w:gridSpan w:val="3"/>
            <w:shd w:val="clear" w:color="auto" w:fill="auto"/>
            <w:vAlign w:val="bottom"/>
          </w:tcPr>
          <w:p w14:paraId="71D3D7E4" w14:textId="77777777" w:rsidR="006A3667" w:rsidRDefault="006A3667">
            <w:pPr>
              <w:rPr>
                <w:rFonts w:ascii="宋体"/>
                <w:vanish/>
              </w:rPr>
            </w:pPr>
          </w:p>
        </w:tc>
        <w:tc>
          <w:tcPr>
            <w:tcW w:w="0" w:type="auto"/>
            <w:gridSpan w:val="3"/>
            <w:shd w:val="clear" w:color="auto" w:fill="auto"/>
            <w:vAlign w:val="bottom"/>
          </w:tcPr>
          <w:p w14:paraId="71D3D7E5" w14:textId="77777777" w:rsidR="006A3667" w:rsidRDefault="006A3667">
            <w:pPr>
              <w:rPr>
                <w:rFonts w:ascii="宋体"/>
                <w:vanish/>
              </w:rPr>
            </w:pPr>
          </w:p>
        </w:tc>
      </w:tr>
      <w:tr w:rsidR="006A3667" w14:paraId="71D3D7F7" w14:textId="77777777">
        <w:tc>
          <w:tcPr>
            <w:tcW w:w="0" w:type="auto"/>
            <w:gridSpan w:val="3"/>
            <w:shd w:val="clear" w:color="auto" w:fill="FFFFFF"/>
            <w:tcMar>
              <w:top w:w="40" w:type="dxa"/>
              <w:left w:w="20" w:type="dxa"/>
              <w:bottom w:w="40" w:type="dxa"/>
              <w:right w:w="20" w:type="dxa"/>
            </w:tcMar>
            <w:vAlign w:val="bottom"/>
          </w:tcPr>
          <w:p w14:paraId="71D3D7E7" w14:textId="77777777" w:rsidR="006A3667" w:rsidRDefault="00045F32">
            <w:pPr>
              <w:textAlignment w:val="bottom"/>
            </w:pPr>
            <w:r>
              <w:rPr>
                <w:rFonts w:ascii="Arial" w:eastAsia="宋体" w:hAnsi="Arial" w:cs="Arial"/>
                <w:color w:val="000000"/>
                <w:sz w:val="12"/>
                <w:szCs w:val="12"/>
              </w:rPr>
              <w:t>Cash dividends declared per common share</w:t>
            </w:r>
          </w:p>
        </w:tc>
        <w:tc>
          <w:tcPr>
            <w:tcW w:w="0" w:type="auto"/>
            <w:shd w:val="clear" w:color="auto" w:fill="FFFFFF"/>
            <w:tcMar>
              <w:top w:w="40" w:type="dxa"/>
              <w:left w:w="20" w:type="dxa"/>
              <w:bottom w:w="40" w:type="dxa"/>
              <w:right w:w="0" w:type="dxa"/>
            </w:tcMar>
            <w:vAlign w:val="bottom"/>
          </w:tcPr>
          <w:p w14:paraId="71D3D7E8"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3D7E9" w14:textId="77777777" w:rsidR="006A3667" w:rsidRDefault="00045F32">
            <w:pPr>
              <w:jc w:val="right"/>
              <w:textAlignment w:val="bottom"/>
            </w:pPr>
            <w:r>
              <w:rPr>
                <w:rFonts w:ascii="Arial" w:eastAsia="宋体" w:hAnsi="Arial" w:cs="Arial"/>
                <w:b/>
                <w:bCs/>
                <w:color w:val="000000"/>
                <w:sz w:val="12"/>
                <w:szCs w:val="12"/>
              </w:rPr>
              <w:t>.63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7E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EB"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3D7EC"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3D7ED" w14:textId="77777777" w:rsidR="006A3667" w:rsidRDefault="00045F32">
            <w:pPr>
              <w:jc w:val="right"/>
              <w:textAlignment w:val="bottom"/>
            </w:pPr>
            <w:r>
              <w:rPr>
                <w:rFonts w:ascii="Arial" w:eastAsia="宋体" w:hAnsi="Arial" w:cs="Arial"/>
                <w:color w:val="000000"/>
                <w:sz w:val="12"/>
                <w:szCs w:val="12"/>
              </w:rPr>
              <w:t>.57 </w:t>
            </w:r>
          </w:p>
        </w:tc>
        <w:tc>
          <w:tcPr>
            <w:tcW w:w="0" w:type="auto"/>
            <w:shd w:val="clear" w:color="auto" w:fill="FFFFFF"/>
            <w:tcMar>
              <w:top w:w="40" w:type="dxa"/>
              <w:left w:w="0" w:type="dxa"/>
              <w:bottom w:w="40" w:type="dxa"/>
              <w:right w:w="20" w:type="dxa"/>
            </w:tcMar>
            <w:vAlign w:val="bottom"/>
          </w:tcPr>
          <w:p w14:paraId="71D3D7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7E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7F0" w14:textId="77777777" w:rsidR="006A3667" w:rsidRDefault="00045F32">
            <w:pPr>
              <w:jc w:val="right"/>
              <w:textAlignment w:val="bottom"/>
            </w:pPr>
            <w:r>
              <w:rPr>
                <w:rFonts w:ascii="Arial" w:eastAsia="宋体" w:hAnsi="Arial" w:cs="Arial"/>
                <w:color w:val="000000"/>
                <w:sz w:val="12"/>
                <w:szCs w:val="12"/>
              </w:rPr>
              <w:t>11 </w:t>
            </w:r>
          </w:p>
        </w:tc>
        <w:tc>
          <w:tcPr>
            <w:tcW w:w="0" w:type="auto"/>
            <w:shd w:val="clear" w:color="auto" w:fill="FFFFFF"/>
            <w:tcMar>
              <w:top w:w="40" w:type="dxa"/>
              <w:left w:w="0" w:type="dxa"/>
              <w:bottom w:w="40" w:type="dxa"/>
              <w:right w:w="20" w:type="dxa"/>
            </w:tcMar>
            <w:vAlign w:val="bottom"/>
          </w:tcPr>
          <w:p w14:paraId="71D3D7F1" w14:textId="77777777" w:rsidR="006A3667" w:rsidRDefault="006A3667">
            <w:pPr>
              <w:jc w:val="right"/>
              <w:rPr>
                <w:rFonts w:ascii="宋体"/>
              </w:rPr>
            </w:pPr>
          </w:p>
        </w:tc>
        <w:tc>
          <w:tcPr>
            <w:tcW w:w="0" w:type="auto"/>
            <w:gridSpan w:val="3"/>
            <w:shd w:val="clear" w:color="auto" w:fill="auto"/>
            <w:vAlign w:val="bottom"/>
          </w:tcPr>
          <w:p w14:paraId="71D3D7F2" w14:textId="77777777" w:rsidR="006A3667" w:rsidRDefault="006A3667">
            <w:pPr>
              <w:rPr>
                <w:rFonts w:ascii="宋体"/>
                <w:vanish/>
              </w:rPr>
            </w:pPr>
          </w:p>
        </w:tc>
        <w:tc>
          <w:tcPr>
            <w:tcW w:w="0" w:type="auto"/>
            <w:gridSpan w:val="3"/>
            <w:shd w:val="clear" w:color="auto" w:fill="auto"/>
            <w:vAlign w:val="bottom"/>
          </w:tcPr>
          <w:p w14:paraId="71D3D7F3" w14:textId="77777777" w:rsidR="006A3667" w:rsidRDefault="006A3667">
            <w:pPr>
              <w:rPr>
                <w:rFonts w:ascii="宋体"/>
                <w:vanish/>
              </w:rPr>
            </w:pPr>
          </w:p>
        </w:tc>
        <w:tc>
          <w:tcPr>
            <w:tcW w:w="0" w:type="auto"/>
            <w:gridSpan w:val="3"/>
            <w:shd w:val="clear" w:color="auto" w:fill="auto"/>
            <w:vAlign w:val="bottom"/>
          </w:tcPr>
          <w:p w14:paraId="71D3D7F4" w14:textId="77777777" w:rsidR="006A3667" w:rsidRDefault="006A3667">
            <w:pPr>
              <w:rPr>
                <w:rFonts w:ascii="宋体"/>
                <w:vanish/>
              </w:rPr>
            </w:pPr>
          </w:p>
        </w:tc>
        <w:tc>
          <w:tcPr>
            <w:tcW w:w="0" w:type="auto"/>
            <w:gridSpan w:val="3"/>
            <w:shd w:val="clear" w:color="auto" w:fill="auto"/>
            <w:vAlign w:val="bottom"/>
          </w:tcPr>
          <w:p w14:paraId="71D3D7F5" w14:textId="77777777" w:rsidR="006A3667" w:rsidRDefault="006A3667">
            <w:pPr>
              <w:rPr>
                <w:rFonts w:ascii="宋体"/>
                <w:vanish/>
              </w:rPr>
            </w:pPr>
          </w:p>
        </w:tc>
        <w:tc>
          <w:tcPr>
            <w:tcW w:w="0" w:type="auto"/>
            <w:gridSpan w:val="3"/>
            <w:shd w:val="clear" w:color="auto" w:fill="auto"/>
            <w:vAlign w:val="bottom"/>
          </w:tcPr>
          <w:p w14:paraId="71D3D7F6" w14:textId="77777777" w:rsidR="006A3667" w:rsidRDefault="006A3667">
            <w:pPr>
              <w:rPr>
                <w:rFonts w:ascii="宋体"/>
                <w:vanish/>
              </w:rPr>
            </w:pPr>
          </w:p>
        </w:tc>
      </w:tr>
      <w:tr w:rsidR="006A3667" w14:paraId="71D3D805" w14:textId="77777777">
        <w:tc>
          <w:tcPr>
            <w:tcW w:w="0" w:type="auto"/>
            <w:gridSpan w:val="3"/>
            <w:shd w:val="clear" w:color="auto" w:fill="CCEEFF"/>
            <w:tcMar>
              <w:top w:w="40" w:type="dxa"/>
              <w:left w:w="20" w:type="dxa"/>
              <w:bottom w:w="40" w:type="dxa"/>
              <w:right w:w="20" w:type="dxa"/>
            </w:tcMar>
            <w:vAlign w:val="bottom"/>
          </w:tcPr>
          <w:p w14:paraId="71D3D7F8" w14:textId="77777777" w:rsidR="006A3667" w:rsidRDefault="00045F32">
            <w:pPr>
              <w:textAlignment w:val="bottom"/>
            </w:pPr>
            <w:r>
              <w:rPr>
                <w:rFonts w:ascii="Arial" w:eastAsia="宋体" w:hAnsi="Arial" w:cs="Arial"/>
                <w:color w:val="000000"/>
                <w:sz w:val="12"/>
                <w:szCs w:val="12"/>
              </w:rPr>
              <w:t>Return on average common equity</w:t>
            </w:r>
          </w:p>
        </w:tc>
        <w:tc>
          <w:tcPr>
            <w:tcW w:w="0" w:type="auto"/>
            <w:gridSpan w:val="2"/>
            <w:shd w:val="clear" w:color="auto" w:fill="CCEEFF"/>
            <w:tcMar>
              <w:top w:w="40" w:type="dxa"/>
              <w:left w:w="20" w:type="dxa"/>
              <w:bottom w:w="40" w:type="dxa"/>
              <w:right w:w="0" w:type="dxa"/>
            </w:tcMar>
            <w:vAlign w:val="bottom"/>
          </w:tcPr>
          <w:p w14:paraId="71D3D7F9" w14:textId="77777777" w:rsidR="006A3667" w:rsidRDefault="00045F32">
            <w:pPr>
              <w:jc w:val="right"/>
              <w:textAlignment w:val="bottom"/>
            </w:pPr>
            <w:r>
              <w:rPr>
                <w:rFonts w:ascii="Arial" w:eastAsia="宋体" w:hAnsi="Arial" w:cs="Arial"/>
                <w:b/>
                <w:bCs/>
                <w:color w:val="000000"/>
                <w:sz w:val="12"/>
                <w:szCs w:val="12"/>
              </w:rPr>
              <w:t>11.2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7FA"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3D7F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7FC" w14:textId="77777777" w:rsidR="006A3667" w:rsidRDefault="00045F32">
            <w:pPr>
              <w:jc w:val="right"/>
              <w:textAlignment w:val="bottom"/>
            </w:pPr>
            <w:r>
              <w:rPr>
                <w:rFonts w:ascii="Arial" w:eastAsia="宋体" w:hAnsi="Arial" w:cs="Arial"/>
                <w:color w:val="000000"/>
                <w:sz w:val="12"/>
                <w:szCs w:val="12"/>
              </w:rPr>
              <w:t>11.6 </w:t>
            </w:r>
          </w:p>
        </w:tc>
        <w:tc>
          <w:tcPr>
            <w:tcW w:w="0" w:type="auto"/>
            <w:shd w:val="clear" w:color="auto" w:fill="CCEEFF"/>
            <w:tcMar>
              <w:top w:w="40" w:type="dxa"/>
              <w:left w:w="0" w:type="dxa"/>
              <w:bottom w:w="40" w:type="dxa"/>
              <w:right w:w="20" w:type="dxa"/>
            </w:tcMar>
            <w:vAlign w:val="bottom"/>
          </w:tcPr>
          <w:p w14:paraId="71D3D7FD"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3D7FE"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3D7FF" w14:textId="77777777" w:rsidR="006A3667" w:rsidRDefault="00045F32">
            <w:pPr>
              <w:jc w:val="right"/>
              <w:textAlignment w:val="bottom"/>
            </w:pPr>
            <w:r>
              <w:rPr>
                <w:rFonts w:ascii="Arial" w:eastAsia="宋体" w:hAnsi="Arial" w:cs="Arial"/>
                <w:color w:val="000000"/>
                <w:sz w:val="12"/>
                <w:szCs w:val="12"/>
              </w:rPr>
              <w:t>(40) bps</w:t>
            </w:r>
          </w:p>
        </w:tc>
        <w:tc>
          <w:tcPr>
            <w:tcW w:w="0" w:type="auto"/>
            <w:gridSpan w:val="3"/>
            <w:shd w:val="clear" w:color="auto" w:fill="auto"/>
            <w:vAlign w:val="bottom"/>
          </w:tcPr>
          <w:p w14:paraId="71D3D800" w14:textId="77777777" w:rsidR="006A3667" w:rsidRDefault="006A3667">
            <w:pPr>
              <w:rPr>
                <w:rFonts w:ascii="宋体"/>
                <w:vanish/>
              </w:rPr>
            </w:pPr>
          </w:p>
        </w:tc>
        <w:tc>
          <w:tcPr>
            <w:tcW w:w="0" w:type="auto"/>
            <w:gridSpan w:val="3"/>
            <w:shd w:val="clear" w:color="auto" w:fill="auto"/>
            <w:vAlign w:val="bottom"/>
          </w:tcPr>
          <w:p w14:paraId="71D3D801" w14:textId="77777777" w:rsidR="006A3667" w:rsidRDefault="006A3667">
            <w:pPr>
              <w:rPr>
                <w:rFonts w:ascii="宋体"/>
                <w:vanish/>
              </w:rPr>
            </w:pPr>
          </w:p>
        </w:tc>
        <w:tc>
          <w:tcPr>
            <w:tcW w:w="0" w:type="auto"/>
            <w:gridSpan w:val="3"/>
            <w:shd w:val="clear" w:color="auto" w:fill="auto"/>
            <w:vAlign w:val="bottom"/>
          </w:tcPr>
          <w:p w14:paraId="71D3D802" w14:textId="77777777" w:rsidR="006A3667" w:rsidRDefault="006A3667">
            <w:pPr>
              <w:rPr>
                <w:rFonts w:ascii="宋体"/>
                <w:vanish/>
              </w:rPr>
            </w:pPr>
          </w:p>
        </w:tc>
        <w:tc>
          <w:tcPr>
            <w:tcW w:w="0" w:type="auto"/>
            <w:gridSpan w:val="3"/>
            <w:shd w:val="clear" w:color="auto" w:fill="auto"/>
            <w:vAlign w:val="bottom"/>
          </w:tcPr>
          <w:p w14:paraId="71D3D803" w14:textId="77777777" w:rsidR="006A3667" w:rsidRDefault="006A3667">
            <w:pPr>
              <w:rPr>
                <w:rFonts w:ascii="宋体"/>
                <w:vanish/>
              </w:rPr>
            </w:pPr>
          </w:p>
        </w:tc>
        <w:tc>
          <w:tcPr>
            <w:tcW w:w="0" w:type="auto"/>
            <w:gridSpan w:val="3"/>
            <w:shd w:val="clear" w:color="auto" w:fill="auto"/>
            <w:vAlign w:val="bottom"/>
          </w:tcPr>
          <w:p w14:paraId="71D3D804" w14:textId="77777777" w:rsidR="006A3667" w:rsidRDefault="006A3667">
            <w:pPr>
              <w:rPr>
                <w:rFonts w:ascii="宋体"/>
                <w:vanish/>
              </w:rPr>
            </w:pPr>
          </w:p>
        </w:tc>
      </w:tr>
      <w:tr w:rsidR="006A3667" w14:paraId="71D3D814" w14:textId="77777777">
        <w:tc>
          <w:tcPr>
            <w:tcW w:w="0" w:type="auto"/>
            <w:gridSpan w:val="3"/>
            <w:shd w:val="clear" w:color="auto" w:fill="FFFFFF"/>
            <w:tcMar>
              <w:top w:w="40" w:type="dxa"/>
              <w:left w:w="20" w:type="dxa"/>
              <w:bottom w:w="40" w:type="dxa"/>
              <w:right w:w="20" w:type="dxa"/>
            </w:tcMar>
            <w:vAlign w:val="bottom"/>
          </w:tcPr>
          <w:p w14:paraId="71D3D806" w14:textId="77777777" w:rsidR="006A3667" w:rsidRDefault="00045F32">
            <w:pPr>
              <w:textAlignment w:val="bottom"/>
            </w:pPr>
            <w:r>
              <w:rPr>
                <w:rFonts w:ascii="Arial" w:eastAsia="宋体" w:hAnsi="Arial" w:cs="Arial"/>
                <w:color w:val="000000"/>
                <w:sz w:val="12"/>
                <w:szCs w:val="12"/>
              </w:rPr>
              <w:t>Pre-tax margin</w:t>
            </w:r>
          </w:p>
        </w:tc>
        <w:tc>
          <w:tcPr>
            <w:tcW w:w="0" w:type="auto"/>
            <w:gridSpan w:val="2"/>
            <w:shd w:val="clear" w:color="auto" w:fill="FFFFFF"/>
            <w:tcMar>
              <w:top w:w="40" w:type="dxa"/>
              <w:left w:w="20" w:type="dxa"/>
              <w:bottom w:w="40" w:type="dxa"/>
              <w:right w:w="0" w:type="dxa"/>
            </w:tcMar>
            <w:vAlign w:val="bottom"/>
          </w:tcPr>
          <w:p w14:paraId="71D3D807" w14:textId="77777777" w:rsidR="006A3667" w:rsidRDefault="00045F32">
            <w:pPr>
              <w:jc w:val="right"/>
              <w:textAlignment w:val="bottom"/>
            </w:pPr>
            <w:r>
              <w:rPr>
                <w:rFonts w:ascii="Arial" w:eastAsia="宋体" w:hAnsi="Arial" w:cs="Arial"/>
                <w:b/>
                <w:bCs/>
                <w:color w:val="000000"/>
                <w:sz w:val="12"/>
                <w:szCs w:val="12"/>
              </w:rPr>
              <w:t>28.7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80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0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0A" w14:textId="77777777" w:rsidR="006A3667" w:rsidRDefault="00045F32">
            <w:pPr>
              <w:jc w:val="right"/>
              <w:textAlignment w:val="bottom"/>
            </w:pPr>
            <w:r>
              <w:rPr>
                <w:rFonts w:ascii="Arial" w:eastAsia="宋体" w:hAnsi="Arial" w:cs="Arial"/>
                <w:color w:val="000000"/>
                <w:sz w:val="12"/>
                <w:szCs w:val="12"/>
              </w:rPr>
              <w:t>29.3 </w:t>
            </w:r>
          </w:p>
        </w:tc>
        <w:tc>
          <w:tcPr>
            <w:tcW w:w="0" w:type="auto"/>
            <w:shd w:val="clear" w:color="auto" w:fill="FFFFFF"/>
            <w:tcMar>
              <w:top w:w="40" w:type="dxa"/>
              <w:left w:w="0" w:type="dxa"/>
              <w:bottom w:w="40" w:type="dxa"/>
              <w:right w:w="20" w:type="dxa"/>
            </w:tcMar>
            <w:vAlign w:val="bottom"/>
          </w:tcPr>
          <w:p w14:paraId="71D3D80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0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0D" w14:textId="77777777" w:rsidR="006A3667" w:rsidRDefault="00045F32">
            <w:pPr>
              <w:jc w:val="right"/>
              <w:textAlignment w:val="bottom"/>
            </w:pPr>
            <w:r>
              <w:rPr>
                <w:rFonts w:ascii="Arial" w:eastAsia="宋体" w:hAnsi="Arial" w:cs="Arial"/>
                <w:color w:val="000000"/>
                <w:sz w:val="12"/>
                <w:szCs w:val="12"/>
              </w:rPr>
              <w:t>(60)</w:t>
            </w:r>
          </w:p>
        </w:tc>
        <w:tc>
          <w:tcPr>
            <w:tcW w:w="0" w:type="auto"/>
            <w:shd w:val="clear" w:color="auto" w:fill="FFFFFF"/>
            <w:tcMar>
              <w:top w:w="40" w:type="dxa"/>
              <w:left w:w="0" w:type="dxa"/>
              <w:bottom w:w="40" w:type="dxa"/>
              <w:right w:w="20" w:type="dxa"/>
            </w:tcMar>
            <w:vAlign w:val="bottom"/>
          </w:tcPr>
          <w:p w14:paraId="71D3D80E" w14:textId="77777777" w:rsidR="006A3667" w:rsidRDefault="006A3667">
            <w:pPr>
              <w:jc w:val="right"/>
              <w:rPr>
                <w:rFonts w:ascii="宋体"/>
              </w:rPr>
            </w:pPr>
          </w:p>
        </w:tc>
        <w:tc>
          <w:tcPr>
            <w:tcW w:w="0" w:type="auto"/>
            <w:gridSpan w:val="3"/>
            <w:shd w:val="clear" w:color="auto" w:fill="auto"/>
            <w:vAlign w:val="bottom"/>
          </w:tcPr>
          <w:p w14:paraId="71D3D80F" w14:textId="77777777" w:rsidR="006A3667" w:rsidRDefault="006A3667">
            <w:pPr>
              <w:rPr>
                <w:rFonts w:ascii="宋体"/>
                <w:vanish/>
              </w:rPr>
            </w:pPr>
          </w:p>
        </w:tc>
        <w:tc>
          <w:tcPr>
            <w:tcW w:w="0" w:type="auto"/>
            <w:gridSpan w:val="3"/>
            <w:shd w:val="clear" w:color="auto" w:fill="auto"/>
            <w:vAlign w:val="bottom"/>
          </w:tcPr>
          <w:p w14:paraId="71D3D810" w14:textId="77777777" w:rsidR="006A3667" w:rsidRDefault="006A3667">
            <w:pPr>
              <w:rPr>
                <w:rFonts w:ascii="宋体"/>
                <w:vanish/>
              </w:rPr>
            </w:pPr>
          </w:p>
        </w:tc>
        <w:tc>
          <w:tcPr>
            <w:tcW w:w="0" w:type="auto"/>
            <w:gridSpan w:val="3"/>
            <w:shd w:val="clear" w:color="auto" w:fill="auto"/>
            <w:vAlign w:val="bottom"/>
          </w:tcPr>
          <w:p w14:paraId="71D3D811" w14:textId="77777777" w:rsidR="006A3667" w:rsidRDefault="006A3667">
            <w:pPr>
              <w:rPr>
                <w:rFonts w:ascii="宋体"/>
                <w:vanish/>
              </w:rPr>
            </w:pPr>
          </w:p>
        </w:tc>
        <w:tc>
          <w:tcPr>
            <w:tcW w:w="0" w:type="auto"/>
            <w:gridSpan w:val="3"/>
            <w:shd w:val="clear" w:color="auto" w:fill="auto"/>
            <w:vAlign w:val="bottom"/>
          </w:tcPr>
          <w:p w14:paraId="71D3D812" w14:textId="77777777" w:rsidR="006A3667" w:rsidRDefault="006A3667">
            <w:pPr>
              <w:rPr>
                <w:rFonts w:ascii="宋体"/>
                <w:vanish/>
              </w:rPr>
            </w:pPr>
          </w:p>
        </w:tc>
        <w:tc>
          <w:tcPr>
            <w:tcW w:w="0" w:type="auto"/>
            <w:gridSpan w:val="3"/>
            <w:shd w:val="clear" w:color="auto" w:fill="auto"/>
            <w:vAlign w:val="bottom"/>
          </w:tcPr>
          <w:p w14:paraId="71D3D813" w14:textId="77777777" w:rsidR="006A3667" w:rsidRDefault="006A3667">
            <w:pPr>
              <w:rPr>
                <w:rFonts w:ascii="宋体"/>
                <w:vanish/>
              </w:rPr>
            </w:pPr>
          </w:p>
        </w:tc>
      </w:tr>
      <w:tr w:rsidR="006A3667" w14:paraId="71D3D820" w14:textId="77777777">
        <w:trPr>
          <w:trHeight w:val="100"/>
        </w:trPr>
        <w:tc>
          <w:tcPr>
            <w:tcW w:w="0" w:type="auto"/>
            <w:gridSpan w:val="3"/>
            <w:shd w:val="clear" w:color="auto" w:fill="auto"/>
            <w:tcMar>
              <w:top w:w="0" w:type="dxa"/>
              <w:left w:w="20" w:type="dxa"/>
              <w:bottom w:w="0" w:type="dxa"/>
              <w:right w:w="20" w:type="dxa"/>
            </w:tcMar>
            <w:vAlign w:val="bottom"/>
          </w:tcPr>
          <w:p w14:paraId="71D3D81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81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81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81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81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81A" w14:textId="77777777" w:rsidR="006A3667" w:rsidRDefault="006A3667">
            <w:pPr>
              <w:rPr>
                <w:rFonts w:ascii="宋体"/>
              </w:rPr>
            </w:pPr>
          </w:p>
        </w:tc>
        <w:tc>
          <w:tcPr>
            <w:tcW w:w="0" w:type="auto"/>
            <w:gridSpan w:val="3"/>
            <w:shd w:val="clear" w:color="auto" w:fill="auto"/>
            <w:vAlign w:val="bottom"/>
          </w:tcPr>
          <w:p w14:paraId="71D3D81B" w14:textId="77777777" w:rsidR="006A3667" w:rsidRDefault="006A3667">
            <w:pPr>
              <w:rPr>
                <w:rFonts w:ascii="宋体"/>
                <w:vanish/>
              </w:rPr>
            </w:pPr>
          </w:p>
        </w:tc>
        <w:tc>
          <w:tcPr>
            <w:tcW w:w="0" w:type="auto"/>
            <w:gridSpan w:val="3"/>
            <w:shd w:val="clear" w:color="auto" w:fill="auto"/>
            <w:vAlign w:val="bottom"/>
          </w:tcPr>
          <w:p w14:paraId="71D3D81C" w14:textId="77777777" w:rsidR="006A3667" w:rsidRDefault="006A3667">
            <w:pPr>
              <w:rPr>
                <w:rFonts w:ascii="宋体"/>
                <w:vanish/>
              </w:rPr>
            </w:pPr>
          </w:p>
        </w:tc>
        <w:tc>
          <w:tcPr>
            <w:tcW w:w="0" w:type="auto"/>
            <w:gridSpan w:val="3"/>
            <w:shd w:val="clear" w:color="auto" w:fill="auto"/>
            <w:vAlign w:val="bottom"/>
          </w:tcPr>
          <w:p w14:paraId="71D3D81D" w14:textId="77777777" w:rsidR="006A3667" w:rsidRDefault="006A3667">
            <w:pPr>
              <w:rPr>
                <w:rFonts w:ascii="宋体"/>
                <w:vanish/>
              </w:rPr>
            </w:pPr>
          </w:p>
        </w:tc>
        <w:tc>
          <w:tcPr>
            <w:tcW w:w="0" w:type="auto"/>
            <w:gridSpan w:val="3"/>
            <w:shd w:val="clear" w:color="auto" w:fill="auto"/>
            <w:vAlign w:val="bottom"/>
          </w:tcPr>
          <w:p w14:paraId="71D3D81E" w14:textId="77777777" w:rsidR="006A3667" w:rsidRDefault="006A3667">
            <w:pPr>
              <w:rPr>
                <w:rFonts w:ascii="宋体"/>
                <w:vanish/>
              </w:rPr>
            </w:pPr>
          </w:p>
        </w:tc>
        <w:tc>
          <w:tcPr>
            <w:tcW w:w="0" w:type="auto"/>
            <w:gridSpan w:val="3"/>
            <w:shd w:val="clear" w:color="auto" w:fill="auto"/>
            <w:vAlign w:val="bottom"/>
          </w:tcPr>
          <w:p w14:paraId="71D3D81F" w14:textId="77777777" w:rsidR="006A3667" w:rsidRDefault="006A3667">
            <w:pPr>
              <w:rPr>
                <w:rFonts w:ascii="宋体"/>
                <w:vanish/>
              </w:rPr>
            </w:pPr>
          </w:p>
        </w:tc>
      </w:tr>
      <w:tr w:rsidR="006A3667" w14:paraId="71D3D82A" w14:textId="77777777">
        <w:trPr>
          <w:trHeight w:val="340"/>
        </w:trPr>
        <w:tc>
          <w:tcPr>
            <w:tcW w:w="0" w:type="auto"/>
            <w:gridSpan w:val="3"/>
            <w:shd w:val="clear" w:color="auto" w:fill="auto"/>
            <w:tcMar>
              <w:top w:w="0" w:type="dxa"/>
              <w:left w:w="20" w:type="dxa"/>
              <w:bottom w:w="0" w:type="dxa"/>
              <w:right w:w="20" w:type="dxa"/>
            </w:tcMar>
            <w:vAlign w:val="bottom"/>
          </w:tcPr>
          <w:p w14:paraId="71D3D821"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3D822" w14:textId="77777777" w:rsidR="006A3667" w:rsidRDefault="00045F32">
            <w:pPr>
              <w:jc w:val="center"/>
              <w:textAlignment w:val="bottom"/>
            </w:pPr>
            <w:r>
              <w:rPr>
                <w:rFonts w:ascii="Arial" w:eastAsia="宋体" w:hAnsi="Arial" w:cs="Arial"/>
                <w:b/>
                <w:bCs/>
                <w:color w:val="000000"/>
                <w:sz w:val="12"/>
                <w:szCs w:val="12"/>
              </w:rPr>
              <w:t>Nine Months Ended September 30,</w:t>
            </w:r>
          </w:p>
        </w:tc>
        <w:tc>
          <w:tcPr>
            <w:tcW w:w="0" w:type="auto"/>
            <w:gridSpan w:val="3"/>
            <w:shd w:val="clear" w:color="auto" w:fill="auto"/>
            <w:tcMar>
              <w:top w:w="0" w:type="dxa"/>
              <w:left w:w="20" w:type="dxa"/>
              <w:bottom w:w="0" w:type="dxa"/>
              <w:right w:w="20" w:type="dxa"/>
            </w:tcMar>
            <w:vAlign w:val="bottom"/>
          </w:tcPr>
          <w:p w14:paraId="71D3D823"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3D824" w14:textId="77777777" w:rsidR="006A3667" w:rsidRDefault="00045F32">
            <w:pPr>
              <w:jc w:val="center"/>
              <w:textAlignment w:val="bottom"/>
            </w:pPr>
            <w:r>
              <w:rPr>
                <w:rFonts w:ascii="Arial" w:eastAsia="宋体" w:hAnsi="Arial" w:cs="Arial"/>
                <w:b/>
                <w:bCs/>
                <w:color w:val="000000"/>
                <w:sz w:val="12"/>
                <w:szCs w:val="12"/>
              </w:rPr>
              <w:t>% Change</w:t>
            </w:r>
          </w:p>
        </w:tc>
        <w:tc>
          <w:tcPr>
            <w:tcW w:w="0" w:type="auto"/>
            <w:gridSpan w:val="3"/>
            <w:shd w:val="clear" w:color="auto" w:fill="auto"/>
            <w:vAlign w:val="bottom"/>
          </w:tcPr>
          <w:p w14:paraId="71D3D825" w14:textId="77777777" w:rsidR="006A3667" w:rsidRDefault="006A3667">
            <w:pPr>
              <w:rPr>
                <w:rFonts w:ascii="宋体"/>
                <w:vanish/>
              </w:rPr>
            </w:pPr>
          </w:p>
        </w:tc>
        <w:tc>
          <w:tcPr>
            <w:tcW w:w="0" w:type="auto"/>
            <w:gridSpan w:val="3"/>
            <w:shd w:val="clear" w:color="auto" w:fill="auto"/>
            <w:vAlign w:val="bottom"/>
          </w:tcPr>
          <w:p w14:paraId="71D3D826" w14:textId="77777777" w:rsidR="006A3667" w:rsidRDefault="006A3667">
            <w:pPr>
              <w:rPr>
                <w:rFonts w:ascii="宋体"/>
                <w:vanish/>
              </w:rPr>
            </w:pPr>
          </w:p>
        </w:tc>
        <w:tc>
          <w:tcPr>
            <w:tcW w:w="0" w:type="auto"/>
            <w:gridSpan w:val="3"/>
            <w:shd w:val="clear" w:color="auto" w:fill="auto"/>
            <w:vAlign w:val="bottom"/>
          </w:tcPr>
          <w:p w14:paraId="71D3D827" w14:textId="77777777" w:rsidR="006A3667" w:rsidRDefault="006A3667">
            <w:pPr>
              <w:rPr>
                <w:rFonts w:ascii="宋体"/>
                <w:vanish/>
              </w:rPr>
            </w:pPr>
          </w:p>
        </w:tc>
        <w:tc>
          <w:tcPr>
            <w:tcW w:w="0" w:type="auto"/>
            <w:gridSpan w:val="3"/>
            <w:shd w:val="clear" w:color="auto" w:fill="auto"/>
            <w:vAlign w:val="bottom"/>
          </w:tcPr>
          <w:p w14:paraId="71D3D828" w14:textId="77777777" w:rsidR="006A3667" w:rsidRDefault="006A3667">
            <w:pPr>
              <w:rPr>
                <w:rFonts w:ascii="宋体"/>
                <w:vanish/>
              </w:rPr>
            </w:pPr>
          </w:p>
        </w:tc>
        <w:tc>
          <w:tcPr>
            <w:tcW w:w="0" w:type="auto"/>
            <w:gridSpan w:val="3"/>
            <w:shd w:val="clear" w:color="auto" w:fill="auto"/>
            <w:vAlign w:val="bottom"/>
          </w:tcPr>
          <w:p w14:paraId="71D3D829" w14:textId="77777777" w:rsidR="006A3667" w:rsidRDefault="006A3667">
            <w:pPr>
              <w:rPr>
                <w:rFonts w:ascii="宋体"/>
                <w:vanish/>
              </w:rPr>
            </w:pPr>
          </w:p>
        </w:tc>
      </w:tr>
      <w:tr w:rsidR="006A3667" w14:paraId="71D3D836" w14:textId="77777777">
        <w:trPr>
          <w:trHeight w:val="340"/>
        </w:trPr>
        <w:tc>
          <w:tcPr>
            <w:tcW w:w="0" w:type="auto"/>
            <w:gridSpan w:val="3"/>
            <w:shd w:val="clear" w:color="auto" w:fill="auto"/>
            <w:tcMar>
              <w:top w:w="40" w:type="dxa"/>
              <w:left w:w="20" w:type="dxa"/>
              <w:bottom w:w="40" w:type="dxa"/>
              <w:right w:w="20" w:type="dxa"/>
            </w:tcMar>
            <w:vAlign w:val="bottom"/>
          </w:tcPr>
          <w:p w14:paraId="71D3D82B" w14:textId="77777777" w:rsidR="006A3667" w:rsidRDefault="00045F32">
            <w:pPr>
              <w:textAlignment w:val="bottom"/>
            </w:pPr>
            <w:r>
              <w:rPr>
                <w:rFonts w:ascii="Arial" w:eastAsia="宋体" w:hAnsi="Arial" w:cs="Arial"/>
                <w:b/>
                <w:bCs/>
                <w:color w:val="000000"/>
                <w:sz w:val="12"/>
                <w:szCs w:val="12"/>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82C" w14:textId="77777777" w:rsidR="006A3667" w:rsidRDefault="00045F32">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82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82E" w14:textId="77777777" w:rsidR="006A3667" w:rsidRDefault="00045F32">
            <w:pPr>
              <w:jc w:val="center"/>
              <w:textAlignment w:val="bottom"/>
            </w:pPr>
            <w:r>
              <w:rPr>
                <w:rFonts w:ascii="Arial" w:eastAsia="宋体" w:hAnsi="Arial" w:cs="Arial"/>
                <w:b/>
                <w:bCs/>
                <w:color w:val="000000"/>
                <w:sz w:val="12"/>
                <w:szCs w:val="12"/>
              </w:rPr>
              <w:t>2021</w:t>
            </w:r>
          </w:p>
        </w:tc>
        <w:tc>
          <w:tcPr>
            <w:tcW w:w="0" w:type="auto"/>
            <w:gridSpan w:val="3"/>
            <w:shd w:val="clear" w:color="auto" w:fill="auto"/>
            <w:tcMar>
              <w:top w:w="0" w:type="dxa"/>
              <w:left w:w="20" w:type="dxa"/>
              <w:bottom w:w="0" w:type="dxa"/>
              <w:right w:w="20" w:type="dxa"/>
            </w:tcMar>
            <w:vAlign w:val="bottom"/>
          </w:tcPr>
          <w:p w14:paraId="71D3D82F"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3D830" w14:textId="77777777" w:rsidR="006A3667" w:rsidRDefault="006A3667">
            <w:pPr>
              <w:jc w:val="center"/>
              <w:rPr>
                <w:rFonts w:ascii="宋体"/>
              </w:rPr>
            </w:pPr>
          </w:p>
        </w:tc>
        <w:tc>
          <w:tcPr>
            <w:tcW w:w="0" w:type="auto"/>
            <w:gridSpan w:val="3"/>
            <w:shd w:val="clear" w:color="auto" w:fill="auto"/>
            <w:vAlign w:val="bottom"/>
          </w:tcPr>
          <w:p w14:paraId="71D3D831" w14:textId="77777777" w:rsidR="006A3667" w:rsidRDefault="006A3667">
            <w:pPr>
              <w:rPr>
                <w:rFonts w:ascii="宋体"/>
                <w:vanish/>
              </w:rPr>
            </w:pPr>
          </w:p>
        </w:tc>
        <w:tc>
          <w:tcPr>
            <w:tcW w:w="0" w:type="auto"/>
            <w:gridSpan w:val="3"/>
            <w:shd w:val="clear" w:color="auto" w:fill="auto"/>
            <w:vAlign w:val="bottom"/>
          </w:tcPr>
          <w:p w14:paraId="71D3D832" w14:textId="77777777" w:rsidR="006A3667" w:rsidRDefault="006A3667">
            <w:pPr>
              <w:rPr>
                <w:rFonts w:ascii="宋体"/>
                <w:vanish/>
              </w:rPr>
            </w:pPr>
          </w:p>
        </w:tc>
        <w:tc>
          <w:tcPr>
            <w:tcW w:w="0" w:type="auto"/>
            <w:gridSpan w:val="3"/>
            <w:shd w:val="clear" w:color="auto" w:fill="auto"/>
            <w:vAlign w:val="bottom"/>
          </w:tcPr>
          <w:p w14:paraId="71D3D833" w14:textId="77777777" w:rsidR="006A3667" w:rsidRDefault="006A3667">
            <w:pPr>
              <w:rPr>
                <w:rFonts w:ascii="宋体"/>
                <w:vanish/>
              </w:rPr>
            </w:pPr>
          </w:p>
        </w:tc>
        <w:tc>
          <w:tcPr>
            <w:tcW w:w="0" w:type="auto"/>
            <w:gridSpan w:val="3"/>
            <w:shd w:val="clear" w:color="auto" w:fill="auto"/>
            <w:vAlign w:val="bottom"/>
          </w:tcPr>
          <w:p w14:paraId="71D3D834" w14:textId="77777777" w:rsidR="006A3667" w:rsidRDefault="006A3667">
            <w:pPr>
              <w:rPr>
                <w:rFonts w:ascii="宋体"/>
                <w:vanish/>
              </w:rPr>
            </w:pPr>
          </w:p>
        </w:tc>
        <w:tc>
          <w:tcPr>
            <w:tcW w:w="0" w:type="auto"/>
            <w:gridSpan w:val="3"/>
            <w:shd w:val="clear" w:color="auto" w:fill="auto"/>
            <w:vAlign w:val="bottom"/>
          </w:tcPr>
          <w:p w14:paraId="71D3D835" w14:textId="77777777" w:rsidR="006A3667" w:rsidRDefault="006A3667">
            <w:pPr>
              <w:rPr>
                <w:rFonts w:ascii="宋体"/>
                <w:vanish/>
              </w:rPr>
            </w:pPr>
          </w:p>
        </w:tc>
      </w:tr>
      <w:tr w:rsidR="006A3667" w14:paraId="71D3D847" w14:textId="77777777">
        <w:tc>
          <w:tcPr>
            <w:tcW w:w="0" w:type="auto"/>
            <w:gridSpan w:val="3"/>
            <w:shd w:val="clear" w:color="auto" w:fill="CCEEFF"/>
            <w:tcMar>
              <w:top w:w="40" w:type="dxa"/>
              <w:left w:w="20" w:type="dxa"/>
              <w:bottom w:w="40" w:type="dxa"/>
              <w:right w:w="20" w:type="dxa"/>
            </w:tcMar>
            <w:vAlign w:val="bottom"/>
          </w:tcPr>
          <w:p w14:paraId="71D3D837" w14:textId="77777777" w:rsidR="006A3667" w:rsidRDefault="00045F32">
            <w:pPr>
              <w:textAlignment w:val="bottom"/>
            </w:pPr>
            <w:r>
              <w:rPr>
                <w:rFonts w:ascii="Arial" w:eastAsia="宋体" w:hAnsi="Arial" w:cs="Arial"/>
                <w:color w:val="000000"/>
                <w:sz w:val="12"/>
                <w:szCs w:val="12"/>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D838"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839" w14:textId="77777777" w:rsidR="006A3667" w:rsidRDefault="00045F32">
            <w:pPr>
              <w:jc w:val="right"/>
              <w:textAlignment w:val="bottom"/>
            </w:pPr>
            <w:r>
              <w:rPr>
                <w:rFonts w:ascii="Arial" w:eastAsia="宋体" w:hAnsi="Arial" w:cs="Arial"/>
                <w:b/>
                <w:bCs/>
                <w:color w:val="000000"/>
                <w:sz w:val="12"/>
                <w:szCs w:val="12"/>
              </w:rPr>
              <w:t>7,242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3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D83C"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83D" w14:textId="77777777" w:rsidR="006A3667" w:rsidRDefault="00045F32">
            <w:pPr>
              <w:jc w:val="right"/>
              <w:textAlignment w:val="bottom"/>
            </w:pPr>
            <w:r>
              <w:rPr>
                <w:rFonts w:ascii="Arial" w:eastAsia="宋体" w:hAnsi="Arial" w:cs="Arial"/>
                <w:color w:val="000000"/>
                <w:sz w:val="12"/>
                <w:szCs w:val="12"/>
              </w:rPr>
              <w:t>7,501 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3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840" w14:textId="77777777" w:rsidR="006A3667" w:rsidRDefault="00045F32">
            <w:pPr>
              <w:jc w:val="right"/>
              <w:textAlignment w:val="bottom"/>
            </w:pPr>
            <w:r>
              <w:rPr>
                <w:rFonts w:ascii="Arial" w:eastAsia="宋体" w:hAnsi="Arial" w:cs="Arial"/>
                <w:color w:val="000000"/>
                <w:sz w:val="12"/>
                <w:szCs w:val="12"/>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41"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71D3D842" w14:textId="77777777" w:rsidR="006A3667" w:rsidRDefault="006A3667">
            <w:pPr>
              <w:rPr>
                <w:rFonts w:ascii="宋体"/>
                <w:vanish/>
              </w:rPr>
            </w:pPr>
          </w:p>
        </w:tc>
        <w:tc>
          <w:tcPr>
            <w:tcW w:w="0" w:type="auto"/>
            <w:gridSpan w:val="3"/>
            <w:shd w:val="clear" w:color="auto" w:fill="auto"/>
            <w:vAlign w:val="bottom"/>
          </w:tcPr>
          <w:p w14:paraId="71D3D843" w14:textId="77777777" w:rsidR="006A3667" w:rsidRDefault="006A3667">
            <w:pPr>
              <w:rPr>
                <w:rFonts w:ascii="宋体"/>
                <w:vanish/>
              </w:rPr>
            </w:pPr>
          </w:p>
        </w:tc>
        <w:tc>
          <w:tcPr>
            <w:tcW w:w="0" w:type="auto"/>
            <w:gridSpan w:val="3"/>
            <w:shd w:val="clear" w:color="auto" w:fill="auto"/>
            <w:vAlign w:val="bottom"/>
          </w:tcPr>
          <w:p w14:paraId="71D3D844" w14:textId="77777777" w:rsidR="006A3667" w:rsidRDefault="006A3667">
            <w:pPr>
              <w:rPr>
                <w:rFonts w:ascii="宋体"/>
                <w:vanish/>
              </w:rPr>
            </w:pPr>
          </w:p>
        </w:tc>
        <w:tc>
          <w:tcPr>
            <w:tcW w:w="0" w:type="auto"/>
            <w:gridSpan w:val="3"/>
            <w:shd w:val="clear" w:color="auto" w:fill="auto"/>
            <w:vAlign w:val="bottom"/>
          </w:tcPr>
          <w:p w14:paraId="71D3D845" w14:textId="77777777" w:rsidR="006A3667" w:rsidRDefault="006A3667">
            <w:pPr>
              <w:rPr>
                <w:rFonts w:ascii="宋体"/>
                <w:vanish/>
              </w:rPr>
            </w:pPr>
          </w:p>
        </w:tc>
        <w:tc>
          <w:tcPr>
            <w:tcW w:w="0" w:type="auto"/>
            <w:gridSpan w:val="3"/>
            <w:shd w:val="clear" w:color="auto" w:fill="auto"/>
            <w:vAlign w:val="bottom"/>
          </w:tcPr>
          <w:p w14:paraId="71D3D846" w14:textId="77777777" w:rsidR="006A3667" w:rsidRDefault="006A3667">
            <w:pPr>
              <w:rPr>
                <w:rFonts w:ascii="宋体"/>
                <w:vanish/>
              </w:rPr>
            </w:pPr>
          </w:p>
        </w:tc>
      </w:tr>
      <w:tr w:rsidR="006A3667" w14:paraId="71D3D855" w14:textId="77777777">
        <w:tc>
          <w:tcPr>
            <w:tcW w:w="0" w:type="auto"/>
            <w:gridSpan w:val="3"/>
            <w:shd w:val="clear" w:color="auto" w:fill="FFFFFF"/>
            <w:tcMar>
              <w:top w:w="40" w:type="dxa"/>
              <w:left w:w="20" w:type="dxa"/>
              <w:bottom w:w="40" w:type="dxa"/>
              <w:right w:w="20" w:type="dxa"/>
            </w:tcMar>
            <w:vAlign w:val="bottom"/>
          </w:tcPr>
          <w:p w14:paraId="71D3D848" w14:textId="77777777" w:rsidR="006A3667" w:rsidRDefault="00045F32">
            <w:pPr>
              <w:textAlignment w:val="bottom"/>
            </w:pPr>
            <w:r>
              <w:rPr>
                <w:rFonts w:ascii="Arial" w:eastAsia="宋体" w:hAnsi="Arial" w:cs="Arial"/>
                <w:color w:val="000000"/>
                <w:sz w:val="12"/>
                <w:szCs w:val="12"/>
              </w:rPr>
              <w:t>Net interest income</w:t>
            </w:r>
          </w:p>
        </w:tc>
        <w:tc>
          <w:tcPr>
            <w:tcW w:w="0" w:type="auto"/>
            <w:gridSpan w:val="2"/>
            <w:shd w:val="clear" w:color="auto" w:fill="FFFFFF"/>
            <w:tcMar>
              <w:top w:w="40" w:type="dxa"/>
              <w:left w:w="20" w:type="dxa"/>
              <w:bottom w:w="40" w:type="dxa"/>
              <w:right w:w="0" w:type="dxa"/>
            </w:tcMar>
            <w:vAlign w:val="bottom"/>
          </w:tcPr>
          <w:p w14:paraId="71D3D849" w14:textId="77777777" w:rsidR="006A3667" w:rsidRDefault="00045F32">
            <w:pPr>
              <w:jc w:val="right"/>
              <w:textAlignment w:val="bottom"/>
            </w:pPr>
            <w:r>
              <w:rPr>
                <w:rFonts w:ascii="Arial" w:eastAsia="宋体" w:hAnsi="Arial" w:cs="Arial"/>
                <w:b/>
                <w:bCs/>
                <w:color w:val="000000"/>
                <w:sz w:val="12"/>
                <w:szCs w:val="12"/>
              </w:rPr>
              <w:t>1,753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84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4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4C" w14:textId="77777777" w:rsidR="006A3667" w:rsidRDefault="00045F32">
            <w:pPr>
              <w:jc w:val="right"/>
              <w:textAlignment w:val="bottom"/>
            </w:pPr>
            <w:r>
              <w:rPr>
                <w:rFonts w:ascii="Arial" w:eastAsia="宋体" w:hAnsi="Arial" w:cs="Arial"/>
                <w:color w:val="000000"/>
                <w:sz w:val="12"/>
                <w:szCs w:val="12"/>
              </w:rPr>
              <w:t>1,421 </w:t>
            </w:r>
          </w:p>
        </w:tc>
        <w:tc>
          <w:tcPr>
            <w:tcW w:w="0" w:type="auto"/>
            <w:shd w:val="clear" w:color="auto" w:fill="FFFFFF"/>
            <w:tcMar>
              <w:top w:w="40" w:type="dxa"/>
              <w:left w:w="0" w:type="dxa"/>
              <w:bottom w:w="40" w:type="dxa"/>
              <w:right w:w="20" w:type="dxa"/>
            </w:tcMar>
            <w:vAlign w:val="bottom"/>
          </w:tcPr>
          <w:p w14:paraId="71D3D84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4E"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D84F" w14:textId="77777777" w:rsidR="006A3667" w:rsidRDefault="00045F32">
            <w:pPr>
              <w:jc w:val="right"/>
              <w:textAlignment w:val="bottom"/>
            </w:pPr>
            <w:r>
              <w:rPr>
                <w:rFonts w:ascii="Arial" w:eastAsia="宋体" w:hAnsi="Arial" w:cs="Arial"/>
                <w:color w:val="000000"/>
                <w:sz w:val="12"/>
                <w:szCs w:val="12"/>
              </w:rPr>
              <w:t>23</w:t>
            </w:r>
          </w:p>
        </w:tc>
        <w:tc>
          <w:tcPr>
            <w:tcW w:w="0" w:type="auto"/>
            <w:gridSpan w:val="3"/>
            <w:shd w:val="clear" w:color="auto" w:fill="auto"/>
            <w:vAlign w:val="bottom"/>
          </w:tcPr>
          <w:p w14:paraId="71D3D850" w14:textId="77777777" w:rsidR="006A3667" w:rsidRDefault="006A3667">
            <w:pPr>
              <w:rPr>
                <w:rFonts w:ascii="宋体"/>
                <w:vanish/>
              </w:rPr>
            </w:pPr>
          </w:p>
        </w:tc>
        <w:tc>
          <w:tcPr>
            <w:tcW w:w="0" w:type="auto"/>
            <w:gridSpan w:val="3"/>
            <w:shd w:val="clear" w:color="auto" w:fill="auto"/>
            <w:vAlign w:val="bottom"/>
          </w:tcPr>
          <w:p w14:paraId="71D3D851" w14:textId="77777777" w:rsidR="006A3667" w:rsidRDefault="006A3667">
            <w:pPr>
              <w:rPr>
                <w:rFonts w:ascii="宋体"/>
                <w:vanish/>
              </w:rPr>
            </w:pPr>
          </w:p>
        </w:tc>
        <w:tc>
          <w:tcPr>
            <w:tcW w:w="0" w:type="auto"/>
            <w:gridSpan w:val="3"/>
            <w:shd w:val="clear" w:color="auto" w:fill="auto"/>
            <w:vAlign w:val="bottom"/>
          </w:tcPr>
          <w:p w14:paraId="71D3D852" w14:textId="77777777" w:rsidR="006A3667" w:rsidRDefault="006A3667">
            <w:pPr>
              <w:rPr>
                <w:rFonts w:ascii="宋体"/>
                <w:vanish/>
              </w:rPr>
            </w:pPr>
          </w:p>
        </w:tc>
        <w:tc>
          <w:tcPr>
            <w:tcW w:w="0" w:type="auto"/>
            <w:gridSpan w:val="3"/>
            <w:shd w:val="clear" w:color="auto" w:fill="auto"/>
            <w:vAlign w:val="bottom"/>
          </w:tcPr>
          <w:p w14:paraId="71D3D853" w14:textId="77777777" w:rsidR="006A3667" w:rsidRDefault="006A3667">
            <w:pPr>
              <w:rPr>
                <w:rFonts w:ascii="宋体"/>
                <w:vanish/>
              </w:rPr>
            </w:pPr>
          </w:p>
        </w:tc>
        <w:tc>
          <w:tcPr>
            <w:tcW w:w="0" w:type="auto"/>
            <w:gridSpan w:val="3"/>
            <w:shd w:val="clear" w:color="auto" w:fill="auto"/>
            <w:vAlign w:val="bottom"/>
          </w:tcPr>
          <w:p w14:paraId="71D3D854" w14:textId="77777777" w:rsidR="006A3667" w:rsidRDefault="006A3667">
            <w:pPr>
              <w:rPr>
                <w:rFonts w:ascii="宋体"/>
                <w:vanish/>
              </w:rPr>
            </w:pPr>
          </w:p>
        </w:tc>
      </w:tr>
      <w:tr w:rsidR="006A3667" w14:paraId="71D3D864" w14:textId="77777777">
        <w:tc>
          <w:tcPr>
            <w:tcW w:w="0" w:type="auto"/>
            <w:gridSpan w:val="3"/>
            <w:shd w:val="clear" w:color="auto" w:fill="CCEEFF"/>
            <w:tcMar>
              <w:top w:w="40" w:type="dxa"/>
              <w:left w:w="20" w:type="dxa"/>
              <w:bottom w:w="40" w:type="dxa"/>
              <w:right w:w="20" w:type="dxa"/>
            </w:tcMar>
            <w:vAlign w:val="bottom"/>
          </w:tcPr>
          <w:p w14:paraId="71D3D856" w14:textId="77777777" w:rsidR="006A3667" w:rsidRDefault="00045F32">
            <w:pPr>
              <w:textAlignment w:val="bottom"/>
            </w:pPr>
            <w:r>
              <w:rPr>
                <w:rFonts w:ascii="Arial" w:eastAsia="宋体" w:hAnsi="Arial" w:cs="Arial"/>
                <w:color w:val="000000"/>
                <w:sz w:val="12"/>
                <w:szCs w:val="12"/>
              </w:rPr>
              <w:t>Total other income</w:t>
            </w:r>
          </w:p>
        </w:tc>
        <w:tc>
          <w:tcPr>
            <w:tcW w:w="0" w:type="auto"/>
            <w:gridSpan w:val="2"/>
            <w:shd w:val="clear" w:color="auto" w:fill="CCEEFF"/>
            <w:tcMar>
              <w:top w:w="40" w:type="dxa"/>
              <w:left w:w="20" w:type="dxa"/>
              <w:bottom w:w="40" w:type="dxa"/>
              <w:right w:w="0" w:type="dxa"/>
            </w:tcMar>
            <w:vAlign w:val="bottom"/>
          </w:tcPr>
          <w:p w14:paraId="71D3D857" w14:textId="77777777" w:rsidR="006A3667" w:rsidRDefault="00045F32">
            <w:pPr>
              <w:jc w:val="right"/>
              <w:textAlignment w:val="bottom"/>
            </w:pPr>
            <w:r>
              <w:rPr>
                <w:rFonts w:ascii="Arial" w:eastAsia="宋体" w:hAnsi="Arial" w:cs="Arial"/>
                <w:b/>
                <w:bCs/>
                <w:color w:val="000000"/>
                <w:sz w:val="12"/>
                <w:szCs w:val="12"/>
              </w:rPr>
              <w:t>(2)</w:t>
            </w:r>
          </w:p>
        </w:tc>
        <w:tc>
          <w:tcPr>
            <w:tcW w:w="0" w:type="auto"/>
            <w:shd w:val="clear" w:color="auto" w:fill="CCEEFF"/>
            <w:tcMar>
              <w:top w:w="40" w:type="dxa"/>
              <w:left w:w="0" w:type="dxa"/>
              <w:bottom w:w="40" w:type="dxa"/>
              <w:right w:w="20" w:type="dxa"/>
            </w:tcMar>
            <w:vAlign w:val="bottom"/>
          </w:tcPr>
          <w:p w14:paraId="71D3D858" w14:textId="77777777" w:rsidR="006A3667" w:rsidRDefault="006A3667">
            <w:pPr>
              <w:jc w:val="right"/>
              <w:rPr>
                <w:rFonts w:ascii="宋体"/>
              </w:rPr>
            </w:pPr>
          </w:p>
        </w:tc>
        <w:tc>
          <w:tcPr>
            <w:tcW w:w="0" w:type="auto"/>
            <w:gridSpan w:val="2"/>
            <w:shd w:val="clear" w:color="auto" w:fill="CCEEFF"/>
            <w:tcMar>
              <w:top w:w="40" w:type="dxa"/>
              <w:left w:w="20" w:type="dxa"/>
              <w:bottom w:w="40" w:type="dxa"/>
              <w:right w:w="0" w:type="dxa"/>
            </w:tcMar>
            <w:vAlign w:val="bottom"/>
          </w:tcPr>
          <w:p w14:paraId="71D3D859"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85A" w14:textId="77777777" w:rsidR="006A3667" w:rsidRDefault="006A3667">
            <w:pPr>
              <w:jc w:val="right"/>
              <w:rPr>
                <w:rFonts w:ascii="宋体"/>
              </w:rPr>
            </w:pPr>
          </w:p>
        </w:tc>
        <w:tc>
          <w:tcPr>
            <w:tcW w:w="0" w:type="auto"/>
            <w:gridSpan w:val="2"/>
            <w:shd w:val="clear" w:color="auto" w:fill="CCEEFF"/>
            <w:tcMar>
              <w:top w:w="40" w:type="dxa"/>
              <w:left w:w="20" w:type="dxa"/>
              <w:bottom w:w="40" w:type="dxa"/>
              <w:right w:w="0" w:type="dxa"/>
            </w:tcMar>
            <w:vAlign w:val="bottom"/>
          </w:tcPr>
          <w:p w14:paraId="71D3D85B" w14:textId="77777777" w:rsidR="006A3667" w:rsidRDefault="00045F32">
            <w:pPr>
              <w:jc w:val="right"/>
              <w:textAlignment w:val="bottom"/>
            </w:pPr>
            <w:r>
              <w:rPr>
                <w:rFonts w:ascii="Arial" w:eastAsia="宋体" w:hAnsi="Arial" w:cs="Arial"/>
                <w:color w:val="000000"/>
                <w:sz w:val="12"/>
                <w:szCs w:val="12"/>
              </w:rPr>
              <w:t>52 </w:t>
            </w:r>
          </w:p>
        </w:tc>
        <w:tc>
          <w:tcPr>
            <w:tcW w:w="0" w:type="auto"/>
            <w:shd w:val="clear" w:color="auto" w:fill="CCEEFF"/>
            <w:tcMar>
              <w:top w:w="40" w:type="dxa"/>
              <w:left w:w="0" w:type="dxa"/>
              <w:bottom w:w="40" w:type="dxa"/>
              <w:right w:w="20" w:type="dxa"/>
            </w:tcMar>
            <w:vAlign w:val="bottom"/>
          </w:tcPr>
          <w:p w14:paraId="71D3D8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5D"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D85E" w14:textId="77777777" w:rsidR="006A3667" w:rsidRDefault="00045F32">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1D3D85F" w14:textId="77777777" w:rsidR="006A3667" w:rsidRDefault="006A3667">
            <w:pPr>
              <w:rPr>
                <w:rFonts w:ascii="宋体"/>
                <w:vanish/>
              </w:rPr>
            </w:pPr>
          </w:p>
        </w:tc>
        <w:tc>
          <w:tcPr>
            <w:tcW w:w="0" w:type="auto"/>
            <w:gridSpan w:val="3"/>
            <w:shd w:val="clear" w:color="auto" w:fill="auto"/>
            <w:vAlign w:val="bottom"/>
          </w:tcPr>
          <w:p w14:paraId="71D3D860" w14:textId="77777777" w:rsidR="006A3667" w:rsidRDefault="006A3667">
            <w:pPr>
              <w:rPr>
                <w:rFonts w:ascii="宋体"/>
                <w:vanish/>
              </w:rPr>
            </w:pPr>
          </w:p>
        </w:tc>
        <w:tc>
          <w:tcPr>
            <w:tcW w:w="0" w:type="auto"/>
            <w:gridSpan w:val="3"/>
            <w:shd w:val="clear" w:color="auto" w:fill="auto"/>
            <w:vAlign w:val="bottom"/>
          </w:tcPr>
          <w:p w14:paraId="71D3D861" w14:textId="77777777" w:rsidR="006A3667" w:rsidRDefault="006A3667">
            <w:pPr>
              <w:rPr>
                <w:rFonts w:ascii="宋体"/>
                <w:vanish/>
              </w:rPr>
            </w:pPr>
          </w:p>
        </w:tc>
        <w:tc>
          <w:tcPr>
            <w:tcW w:w="0" w:type="auto"/>
            <w:gridSpan w:val="3"/>
            <w:shd w:val="clear" w:color="auto" w:fill="auto"/>
            <w:vAlign w:val="bottom"/>
          </w:tcPr>
          <w:p w14:paraId="71D3D862" w14:textId="77777777" w:rsidR="006A3667" w:rsidRDefault="006A3667">
            <w:pPr>
              <w:rPr>
                <w:rFonts w:ascii="宋体"/>
                <w:vanish/>
              </w:rPr>
            </w:pPr>
          </w:p>
        </w:tc>
        <w:tc>
          <w:tcPr>
            <w:tcW w:w="0" w:type="auto"/>
            <w:gridSpan w:val="3"/>
            <w:shd w:val="clear" w:color="auto" w:fill="auto"/>
            <w:vAlign w:val="bottom"/>
          </w:tcPr>
          <w:p w14:paraId="71D3D863" w14:textId="77777777" w:rsidR="006A3667" w:rsidRDefault="006A3667">
            <w:pPr>
              <w:rPr>
                <w:rFonts w:ascii="宋体"/>
                <w:vanish/>
              </w:rPr>
            </w:pPr>
          </w:p>
        </w:tc>
      </w:tr>
      <w:tr w:rsidR="006A3667" w14:paraId="71D3D873" w14:textId="77777777">
        <w:tc>
          <w:tcPr>
            <w:tcW w:w="0" w:type="auto"/>
            <w:gridSpan w:val="3"/>
            <w:shd w:val="clear" w:color="auto" w:fill="FFFFFF"/>
            <w:tcMar>
              <w:top w:w="40" w:type="dxa"/>
              <w:left w:w="20" w:type="dxa"/>
              <w:bottom w:w="40" w:type="dxa"/>
              <w:right w:w="20" w:type="dxa"/>
            </w:tcMar>
            <w:vAlign w:val="bottom"/>
          </w:tcPr>
          <w:p w14:paraId="71D3D865" w14:textId="77777777" w:rsidR="006A3667" w:rsidRDefault="00045F32">
            <w:pPr>
              <w:textAlignment w:val="bottom"/>
            </w:pPr>
            <w:r>
              <w:rPr>
                <w:rFonts w:ascii="Arial" w:eastAsia="宋体" w:hAnsi="Arial" w:cs="Arial"/>
                <w:color w:val="000000"/>
                <w:sz w:val="12"/>
                <w:szCs w:val="12"/>
              </w:rPr>
              <w:t xml:space="preserve">Total </w:t>
            </w:r>
            <w:r>
              <w:rPr>
                <w:rFonts w:ascii="Arial" w:eastAsia="宋体" w:hAnsi="Arial" w:cs="Arial"/>
                <w:color w:val="000000"/>
                <w:sz w:val="12"/>
                <w:szCs w:val="12"/>
              </w:rPr>
              <w:t>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D866" w14:textId="77777777" w:rsidR="006A3667" w:rsidRDefault="00045F32">
            <w:pPr>
              <w:jc w:val="right"/>
              <w:textAlignment w:val="bottom"/>
            </w:pPr>
            <w:r>
              <w:rPr>
                <w:rFonts w:ascii="Arial" w:eastAsia="宋体" w:hAnsi="Arial" w:cs="Arial"/>
                <w:b/>
                <w:bCs/>
                <w:color w:val="000000"/>
                <w:sz w:val="12"/>
                <w:szCs w:val="12"/>
              </w:rPr>
              <w:t>8,993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D8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6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D869" w14:textId="77777777" w:rsidR="006A3667" w:rsidRDefault="00045F32">
            <w:pPr>
              <w:jc w:val="right"/>
              <w:textAlignment w:val="bottom"/>
            </w:pPr>
            <w:r>
              <w:rPr>
                <w:rFonts w:ascii="Arial" w:eastAsia="宋体" w:hAnsi="Arial" w:cs="Arial"/>
                <w:color w:val="000000"/>
                <w:sz w:val="12"/>
                <w:szCs w:val="12"/>
              </w:rPr>
              <w:t>8,974 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D86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6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6C"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86D" w14:textId="77777777" w:rsidR="006A3667" w:rsidRDefault="006A3667">
            <w:pPr>
              <w:jc w:val="right"/>
              <w:rPr>
                <w:rFonts w:ascii="宋体"/>
              </w:rPr>
            </w:pPr>
          </w:p>
        </w:tc>
        <w:tc>
          <w:tcPr>
            <w:tcW w:w="0" w:type="auto"/>
            <w:gridSpan w:val="3"/>
            <w:shd w:val="clear" w:color="auto" w:fill="auto"/>
            <w:vAlign w:val="bottom"/>
          </w:tcPr>
          <w:p w14:paraId="71D3D86E" w14:textId="77777777" w:rsidR="006A3667" w:rsidRDefault="006A3667">
            <w:pPr>
              <w:rPr>
                <w:rFonts w:ascii="宋体"/>
                <w:vanish/>
              </w:rPr>
            </w:pPr>
          </w:p>
        </w:tc>
        <w:tc>
          <w:tcPr>
            <w:tcW w:w="0" w:type="auto"/>
            <w:gridSpan w:val="3"/>
            <w:shd w:val="clear" w:color="auto" w:fill="auto"/>
            <w:vAlign w:val="bottom"/>
          </w:tcPr>
          <w:p w14:paraId="71D3D86F" w14:textId="77777777" w:rsidR="006A3667" w:rsidRDefault="006A3667">
            <w:pPr>
              <w:rPr>
                <w:rFonts w:ascii="宋体"/>
                <w:vanish/>
              </w:rPr>
            </w:pPr>
          </w:p>
        </w:tc>
        <w:tc>
          <w:tcPr>
            <w:tcW w:w="0" w:type="auto"/>
            <w:gridSpan w:val="3"/>
            <w:shd w:val="clear" w:color="auto" w:fill="auto"/>
            <w:vAlign w:val="bottom"/>
          </w:tcPr>
          <w:p w14:paraId="71D3D870" w14:textId="77777777" w:rsidR="006A3667" w:rsidRDefault="006A3667">
            <w:pPr>
              <w:rPr>
                <w:rFonts w:ascii="宋体"/>
                <w:vanish/>
              </w:rPr>
            </w:pPr>
          </w:p>
        </w:tc>
        <w:tc>
          <w:tcPr>
            <w:tcW w:w="0" w:type="auto"/>
            <w:gridSpan w:val="3"/>
            <w:shd w:val="clear" w:color="auto" w:fill="auto"/>
            <w:vAlign w:val="bottom"/>
          </w:tcPr>
          <w:p w14:paraId="71D3D871" w14:textId="77777777" w:rsidR="006A3667" w:rsidRDefault="006A3667">
            <w:pPr>
              <w:rPr>
                <w:rFonts w:ascii="宋体"/>
                <w:vanish/>
              </w:rPr>
            </w:pPr>
          </w:p>
        </w:tc>
        <w:tc>
          <w:tcPr>
            <w:tcW w:w="0" w:type="auto"/>
            <w:gridSpan w:val="3"/>
            <w:shd w:val="clear" w:color="auto" w:fill="auto"/>
            <w:vAlign w:val="bottom"/>
          </w:tcPr>
          <w:p w14:paraId="71D3D872" w14:textId="77777777" w:rsidR="006A3667" w:rsidRDefault="006A3667">
            <w:pPr>
              <w:rPr>
                <w:rFonts w:ascii="宋体"/>
                <w:vanish/>
              </w:rPr>
            </w:pPr>
          </w:p>
        </w:tc>
      </w:tr>
      <w:tr w:rsidR="006A3667" w14:paraId="71D3D881" w14:textId="77777777">
        <w:tc>
          <w:tcPr>
            <w:tcW w:w="0" w:type="auto"/>
            <w:gridSpan w:val="3"/>
            <w:shd w:val="clear" w:color="auto" w:fill="CCEEFF"/>
            <w:tcMar>
              <w:top w:w="40" w:type="dxa"/>
              <w:left w:w="20" w:type="dxa"/>
              <w:bottom w:w="40" w:type="dxa"/>
              <w:right w:w="20" w:type="dxa"/>
            </w:tcMar>
            <w:vAlign w:val="bottom"/>
          </w:tcPr>
          <w:p w14:paraId="71D3D874" w14:textId="77777777" w:rsidR="006A3667" w:rsidRDefault="00045F32">
            <w:pPr>
              <w:textAlignment w:val="bottom"/>
            </w:pPr>
            <w:r>
              <w:rPr>
                <w:rFonts w:ascii="Arial" w:eastAsia="宋体" w:hAnsi="Arial" w:cs="Arial"/>
                <w:color w:val="000000"/>
                <w:sz w:val="12"/>
                <w:szCs w:val="12"/>
              </w:rPr>
              <w:t>Provision for credit losses</w:t>
            </w:r>
          </w:p>
        </w:tc>
        <w:tc>
          <w:tcPr>
            <w:tcW w:w="0" w:type="auto"/>
            <w:gridSpan w:val="2"/>
            <w:shd w:val="clear" w:color="auto" w:fill="CCEEFF"/>
            <w:tcMar>
              <w:top w:w="40" w:type="dxa"/>
              <w:left w:w="20" w:type="dxa"/>
              <w:bottom w:w="40" w:type="dxa"/>
              <w:right w:w="0" w:type="dxa"/>
            </w:tcMar>
            <w:vAlign w:val="bottom"/>
          </w:tcPr>
          <w:p w14:paraId="71D3D875" w14:textId="77777777" w:rsidR="006A3667" w:rsidRDefault="00045F32">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8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7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878" w14:textId="77777777" w:rsidR="006A3667" w:rsidRDefault="00045F32">
            <w:pPr>
              <w:jc w:val="right"/>
              <w:textAlignment w:val="bottom"/>
            </w:pPr>
            <w:r>
              <w:rPr>
                <w:rFonts w:ascii="Arial" w:eastAsia="宋体" w:hAnsi="Arial" w:cs="Arial"/>
                <w:color w:val="000000"/>
                <w:sz w:val="12"/>
                <w:szCs w:val="12"/>
              </w:rPr>
              <w:t>(26)</w:t>
            </w:r>
          </w:p>
        </w:tc>
        <w:tc>
          <w:tcPr>
            <w:tcW w:w="0" w:type="auto"/>
            <w:shd w:val="clear" w:color="auto" w:fill="CCEEFF"/>
            <w:tcMar>
              <w:top w:w="40" w:type="dxa"/>
              <w:left w:w="0" w:type="dxa"/>
              <w:bottom w:w="40" w:type="dxa"/>
              <w:right w:w="20" w:type="dxa"/>
            </w:tcMar>
            <w:vAlign w:val="bottom"/>
          </w:tcPr>
          <w:p w14:paraId="71D3D8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7A"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D87B" w14:textId="77777777" w:rsidR="006A3667" w:rsidRDefault="00045F32">
            <w:pPr>
              <w:jc w:val="right"/>
              <w:textAlignment w:val="bottom"/>
            </w:pPr>
            <w:r>
              <w:rPr>
                <w:rFonts w:ascii="Arial" w:eastAsia="宋体" w:hAnsi="Arial" w:cs="Arial"/>
                <w:color w:val="000000"/>
                <w:sz w:val="12"/>
                <w:szCs w:val="12"/>
              </w:rPr>
              <w:t>nm</w:t>
            </w:r>
          </w:p>
        </w:tc>
        <w:tc>
          <w:tcPr>
            <w:tcW w:w="0" w:type="auto"/>
            <w:gridSpan w:val="3"/>
            <w:shd w:val="clear" w:color="auto" w:fill="auto"/>
            <w:vAlign w:val="bottom"/>
          </w:tcPr>
          <w:p w14:paraId="71D3D87C" w14:textId="77777777" w:rsidR="006A3667" w:rsidRDefault="006A3667">
            <w:pPr>
              <w:rPr>
                <w:rFonts w:ascii="宋体"/>
                <w:vanish/>
              </w:rPr>
            </w:pPr>
          </w:p>
        </w:tc>
        <w:tc>
          <w:tcPr>
            <w:tcW w:w="0" w:type="auto"/>
            <w:gridSpan w:val="3"/>
            <w:shd w:val="clear" w:color="auto" w:fill="auto"/>
            <w:vAlign w:val="bottom"/>
          </w:tcPr>
          <w:p w14:paraId="71D3D87D" w14:textId="77777777" w:rsidR="006A3667" w:rsidRDefault="006A3667">
            <w:pPr>
              <w:rPr>
                <w:rFonts w:ascii="宋体"/>
                <w:vanish/>
              </w:rPr>
            </w:pPr>
          </w:p>
        </w:tc>
        <w:tc>
          <w:tcPr>
            <w:tcW w:w="0" w:type="auto"/>
            <w:gridSpan w:val="3"/>
            <w:shd w:val="clear" w:color="auto" w:fill="auto"/>
            <w:vAlign w:val="bottom"/>
          </w:tcPr>
          <w:p w14:paraId="71D3D87E" w14:textId="77777777" w:rsidR="006A3667" w:rsidRDefault="006A3667">
            <w:pPr>
              <w:rPr>
                <w:rFonts w:ascii="宋体"/>
                <w:vanish/>
              </w:rPr>
            </w:pPr>
          </w:p>
        </w:tc>
        <w:tc>
          <w:tcPr>
            <w:tcW w:w="0" w:type="auto"/>
            <w:gridSpan w:val="3"/>
            <w:shd w:val="clear" w:color="auto" w:fill="auto"/>
            <w:vAlign w:val="bottom"/>
          </w:tcPr>
          <w:p w14:paraId="71D3D87F" w14:textId="77777777" w:rsidR="006A3667" w:rsidRDefault="006A3667">
            <w:pPr>
              <w:rPr>
                <w:rFonts w:ascii="宋体"/>
                <w:vanish/>
              </w:rPr>
            </w:pPr>
          </w:p>
        </w:tc>
        <w:tc>
          <w:tcPr>
            <w:tcW w:w="0" w:type="auto"/>
            <w:gridSpan w:val="3"/>
            <w:shd w:val="clear" w:color="auto" w:fill="auto"/>
            <w:vAlign w:val="bottom"/>
          </w:tcPr>
          <w:p w14:paraId="71D3D880" w14:textId="77777777" w:rsidR="006A3667" w:rsidRDefault="006A3667">
            <w:pPr>
              <w:rPr>
                <w:rFonts w:ascii="宋体"/>
                <w:vanish/>
              </w:rPr>
            </w:pPr>
          </w:p>
        </w:tc>
      </w:tr>
      <w:tr w:rsidR="006A3667" w14:paraId="71D3D890" w14:textId="77777777">
        <w:tc>
          <w:tcPr>
            <w:tcW w:w="0" w:type="auto"/>
            <w:gridSpan w:val="3"/>
            <w:shd w:val="clear" w:color="auto" w:fill="FFFFFF"/>
            <w:tcMar>
              <w:top w:w="40" w:type="dxa"/>
              <w:left w:w="20" w:type="dxa"/>
              <w:bottom w:w="40" w:type="dxa"/>
              <w:right w:w="20" w:type="dxa"/>
            </w:tcMar>
            <w:vAlign w:val="bottom"/>
          </w:tcPr>
          <w:p w14:paraId="71D3D882" w14:textId="77777777" w:rsidR="006A3667" w:rsidRDefault="00045F32">
            <w:pPr>
              <w:textAlignment w:val="bottom"/>
            </w:pPr>
            <w:r>
              <w:rPr>
                <w:rFonts w:ascii="Arial" w:eastAsia="宋体" w:hAnsi="Arial" w:cs="Arial"/>
                <w:color w:val="000000"/>
                <w:sz w:val="12"/>
                <w:szCs w:val="12"/>
              </w:rPr>
              <w:t>Total expenses</w:t>
            </w:r>
          </w:p>
        </w:tc>
        <w:tc>
          <w:tcPr>
            <w:tcW w:w="0" w:type="auto"/>
            <w:gridSpan w:val="2"/>
            <w:shd w:val="clear" w:color="auto" w:fill="FFFFFF"/>
            <w:tcMar>
              <w:top w:w="40" w:type="dxa"/>
              <w:left w:w="20" w:type="dxa"/>
              <w:bottom w:w="40" w:type="dxa"/>
              <w:right w:w="0" w:type="dxa"/>
            </w:tcMar>
            <w:vAlign w:val="bottom"/>
          </w:tcPr>
          <w:p w14:paraId="71D3D883" w14:textId="77777777" w:rsidR="006A3667" w:rsidRDefault="00045F32">
            <w:pPr>
              <w:jc w:val="right"/>
              <w:textAlignment w:val="bottom"/>
            </w:pPr>
            <w:r>
              <w:rPr>
                <w:rFonts w:ascii="Arial" w:eastAsia="宋体" w:hAnsi="Arial" w:cs="Arial"/>
                <w:b/>
                <w:bCs/>
                <w:color w:val="000000"/>
                <w:sz w:val="12"/>
                <w:szCs w:val="12"/>
              </w:rPr>
              <w:t>6,545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8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86" w14:textId="77777777" w:rsidR="006A3667" w:rsidRDefault="00045F32">
            <w:pPr>
              <w:jc w:val="right"/>
              <w:textAlignment w:val="bottom"/>
            </w:pPr>
            <w:r>
              <w:rPr>
                <w:rFonts w:ascii="Arial" w:eastAsia="宋体" w:hAnsi="Arial" w:cs="Arial"/>
                <w:color w:val="000000"/>
                <w:sz w:val="12"/>
                <w:szCs w:val="12"/>
              </w:rPr>
              <w:t>6,559 </w:t>
            </w:r>
          </w:p>
        </w:tc>
        <w:tc>
          <w:tcPr>
            <w:tcW w:w="0" w:type="auto"/>
            <w:shd w:val="clear" w:color="auto" w:fill="FFFFFF"/>
            <w:tcMar>
              <w:top w:w="40" w:type="dxa"/>
              <w:left w:w="0" w:type="dxa"/>
              <w:bottom w:w="40" w:type="dxa"/>
              <w:right w:w="20" w:type="dxa"/>
            </w:tcMar>
            <w:vAlign w:val="bottom"/>
          </w:tcPr>
          <w:p w14:paraId="71D3D8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89"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88A" w14:textId="77777777" w:rsidR="006A3667" w:rsidRDefault="006A3667">
            <w:pPr>
              <w:jc w:val="right"/>
              <w:rPr>
                <w:rFonts w:ascii="宋体"/>
              </w:rPr>
            </w:pPr>
          </w:p>
        </w:tc>
        <w:tc>
          <w:tcPr>
            <w:tcW w:w="0" w:type="auto"/>
            <w:gridSpan w:val="3"/>
            <w:shd w:val="clear" w:color="auto" w:fill="auto"/>
            <w:vAlign w:val="bottom"/>
          </w:tcPr>
          <w:p w14:paraId="71D3D88B" w14:textId="77777777" w:rsidR="006A3667" w:rsidRDefault="006A3667">
            <w:pPr>
              <w:rPr>
                <w:rFonts w:ascii="宋体"/>
                <w:vanish/>
              </w:rPr>
            </w:pPr>
          </w:p>
        </w:tc>
        <w:tc>
          <w:tcPr>
            <w:tcW w:w="0" w:type="auto"/>
            <w:gridSpan w:val="3"/>
            <w:shd w:val="clear" w:color="auto" w:fill="auto"/>
            <w:vAlign w:val="bottom"/>
          </w:tcPr>
          <w:p w14:paraId="71D3D88C" w14:textId="77777777" w:rsidR="006A3667" w:rsidRDefault="006A3667">
            <w:pPr>
              <w:rPr>
                <w:rFonts w:ascii="宋体"/>
                <w:vanish/>
              </w:rPr>
            </w:pPr>
          </w:p>
        </w:tc>
        <w:tc>
          <w:tcPr>
            <w:tcW w:w="0" w:type="auto"/>
            <w:gridSpan w:val="3"/>
            <w:shd w:val="clear" w:color="auto" w:fill="auto"/>
            <w:vAlign w:val="bottom"/>
          </w:tcPr>
          <w:p w14:paraId="71D3D88D" w14:textId="77777777" w:rsidR="006A3667" w:rsidRDefault="006A3667">
            <w:pPr>
              <w:rPr>
                <w:rFonts w:ascii="宋体"/>
                <w:vanish/>
              </w:rPr>
            </w:pPr>
          </w:p>
        </w:tc>
        <w:tc>
          <w:tcPr>
            <w:tcW w:w="0" w:type="auto"/>
            <w:gridSpan w:val="3"/>
            <w:shd w:val="clear" w:color="auto" w:fill="auto"/>
            <w:vAlign w:val="bottom"/>
          </w:tcPr>
          <w:p w14:paraId="71D3D88E" w14:textId="77777777" w:rsidR="006A3667" w:rsidRDefault="006A3667">
            <w:pPr>
              <w:rPr>
                <w:rFonts w:ascii="宋体"/>
                <w:vanish/>
              </w:rPr>
            </w:pPr>
          </w:p>
        </w:tc>
        <w:tc>
          <w:tcPr>
            <w:tcW w:w="0" w:type="auto"/>
            <w:gridSpan w:val="3"/>
            <w:shd w:val="clear" w:color="auto" w:fill="auto"/>
            <w:vAlign w:val="bottom"/>
          </w:tcPr>
          <w:p w14:paraId="71D3D88F" w14:textId="77777777" w:rsidR="006A3667" w:rsidRDefault="006A3667">
            <w:pPr>
              <w:rPr>
                <w:rFonts w:ascii="宋体"/>
                <w:vanish/>
              </w:rPr>
            </w:pPr>
          </w:p>
        </w:tc>
      </w:tr>
      <w:tr w:rsidR="006A3667" w14:paraId="71D3D89F" w14:textId="77777777">
        <w:tc>
          <w:tcPr>
            <w:tcW w:w="0" w:type="auto"/>
            <w:gridSpan w:val="3"/>
            <w:shd w:val="clear" w:color="auto" w:fill="CCEEFF"/>
            <w:tcMar>
              <w:top w:w="40" w:type="dxa"/>
              <w:left w:w="20" w:type="dxa"/>
              <w:bottom w:w="40" w:type="dxa"/>
              <w:right w:w="20" w:type="dxa"/>
            </w:tcMar>
            <w:vAlign w:val="bottom"/>
          </w:tcPr>
          <w:p w14:paraId="71D3D891" w14:textId="77777777" w:rsidR="006A3667" w:rsidRDefault="00045F32">
            <w:pPr>
              <w:textAlignment w:val="bottom"/>
            </w:pPr>
            <w:r>
              <w:rPr>
                <w:rFonts w:ascii="Arial" w:eastAsia="宋体" w:hAnsi="Arial" w:cs="Arial"/>
                <w:color w:val="000000"/>
                <w:sz w:val="12"/>
                <w:szCs w:val="12"/>
              </w:rPr>
              <w:t>Income befo</w:t>
            </w:r>
            <w:r>
              <w:rPr>
                <w:rFonts w:ascii="Arial" w:eastAsia="宋体" w:hAnsi="Arial" w:cs="Arial"/>
                <w:color w:val="000000"/>
                <w:sz w:val="12"/>
                <w:szCs w:val="12"/>
              </w:rPr>
              <w:t>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892" w14:textId="77777777" w:rsidR="006A3667" w:rsidRDefault="00045F32">
            <w:pPr>
              <w:jc w:val="right"/>
              <w:textAlignment w:val="bottom"/>
            </w:pPr>
            <w:r>
              <w:rPr>
                <w:rFonts w:ascii="Arial" w:eastAsia="宋体" w:hAnsi="Arial" w:cs="Arial"/>
                <w:b/>
                <w:bCs/>
                <w:color w:val="000000"/>
                <w:sz w:val="12"/>
                <w:szCs w:val="12"/>
              </w:rPr>
              <w:t>2,438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9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9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895" w14:textId="77777777" w:rsidR="006A3667" w:rsidRDefault="00045F32">
            <w:pPr>
              <w:jc w:val="right"/>
              <w:textAlignment w:val="bottom"/>
            </w:pPr>
            <w:r>
              <w:rPr>
                <w:rFonts w:ascii="Arial" w:eastAsia="宋体" w:hAnsi="Arial" w:cs="Arial"/>
                <w:color w:val="000000"/>
                <w:sz w:val="12"/>
                <w:szCs w:val="12"/>
              </w:rPr>
              <w:t>2,441 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9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898"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899" w14:textId="77777777" w:rsidR="006A3667" w:rsidRDefault="006A3667">
            <w:pPr>
              <w:jc w:val="right"/>
              <w:rPr>
                <w:rFonts w:ascii="宋体"/>
              </w:rPr>
            </w:pPr>
          </w:p>
        </w:tc>
        <w:tc>
          <w:tcPr>
            <w:tcW w:w="0" w:type="auto"/>
            <w:gridSpan w:val="3"/>
            <w:shd w:val="clear" w:color="auto" w:fill="auto"/>
            <w:vAlign w:val="bottom"/>
          </w:tcPr>
          <w:p w14:paraId="71D3D89A" w14:textId="77777777" w:rsidR="006A3667" w:rsidRDefault="006A3667">
            <w:pPr>
              <w:rPr>
                <w:rFonts w:ascii="宋体"/>
                <w:vanish/>
              </w:rPr>
            </w:pPr>
          </w:p>
        </w:tc>
        <w:tc>
          <w:tcPr>
            <w:tcW w:w="0" w:type="auto"/>
            <w:gridSpan w:val="3"/>
            <w:shd w:val="clear" w:color="auto" w:fill="auto"/>
            <w:vAlign w:val="bottom"/>
          </w:tcPr>
          <w:p w14:paraId="71D3D89B" w14:textId="77777777" w:rsidR="006A3667" w:rsidRDefault="006A3667">
            <w:pPr>
              <w:rPr>
                <w:rFonts w:ascii="宋体"/>
                <w:vanish/>
              </w:rPr>
            </w:pPr>
          </w:p>
        </w:tc>
        <w:tc>
          <w:tcPr>
            <w:tcW w:w="0" w:type="auto"/>
            <w:gridSpan w:val="3"/>
            <w:shd w:val="clear" w:color="auto" w:fill="auto"/>
            <w:vAlign w:val="bottom"/>
          </w:tcPr>
          <w:p w14:paraId="71D3D89C" w14:textId="77777777" w:rsidR="006A3667" w:rsidRDefault="006A3667">
            <w:pPr>
              <w:rPr>
                <w:rFonts w:ascii="宋体"/>
                <w:vanish/>
              </w:rPr>
            </w:pPr>
          </w:p>
        </w:tc>
        <w:tc>
          <w:tcPr>
            <w:tcW w:w="0" w:type="auto"/>
            <w:gridSpan w:val="3"/>
            <w:shd w:val="clear" w:color="auto" w:fill="auto"/>
            <w:vAlign w:val="bottom"/>
          </w:tcPr>
          <w:p w14:paraId="71D3D89D" w14:textId="77777777" w:rsidR="006A3667" w:rsidRDefault="006A3667">
            <w:pPr>
              <w:rPr>
                <w:rFonts w:ascii="宋体"/>
                <w:vanish/>
              </w:rPr>
            </w:pPr>
          </w:p>
        </w:tc>
        <w:tc>
          <w:tcPr>
            <w:tcW w:w="0" w:type="auto"/>
            <w:gridSpan w:val="3"/>
            <w:shd w:val="clear" w:color="auto" w:fill="auto"/>
            <w:vAlign w:val="bottom"/>
          </w:tcPr>
          <w:p w14:paraId="71D3D89E" w14:textId="77777777" w:rsidR="006A3667" w:rsidRDefault="006A3667">
            <w:pPr>
              <w:rPr>
                <w:rFonts w:ascii="宋体"/>
                <w:vanish/>
              </w:rPr>
            </w:pPr>
          </w:p>
        </w:tc>
      </w:tr>
      <w:tr w:rsidR="006A3667" w14:paraId="71D3D8AE" w14:textId="77777777">
        <w:tc>
          <w:tcPr>
            <w:tcW w:w="0" w:type="auto"/>
            <w:gridSpan w:val="3"/>
            <w:shd w:val="clear" w:color="auto" w:fill="FFFFFF"/>
            <w:tcMar>
              <w:top w:w="40" w:type="dxa"/>
              <w:left w:w="20" w:type="dxa"/>
              <w:bottom w:w="40" w:type="dxa"/>
              <w:right w:w="20" w:type="dxa"/>
            </w:tcMar>
            <w:vAlign w:val="bottom"/>
          </w:tcPr>
          <w:p w14:paraId="71D3D8A0" w14:textId="77777777" w:rsidR="006A3667" w:rsidRDefault="00045F32">
            <w:pPr>
              <w:textAlignment w:val="bottom"/>
            </w:pPr>
            <w:r>
              <w:rPr>
                <w:rFonts w:ascii="Arial" w:eastAsia="宋体" w:hAnsi="Arial" w:cs="Arial"/>
                <w:color w:val="000000"/>
                <w:sz w:val="12"/>
                <w:szCs w:val="12"/>
              </w:rPr>
              <w:t>Income tax expense</w:t>
            </w:r>
          </w:p>
        </w:tc>
        <w:tc>
          <w:tcPr>
            <w:tcW w:w="0" w:type="auto"/>
            <w:gridSpan w:val="2"/>
            <w:shd w:val="clear" w:color="auto" w:fill="FFFFFF"/>
            <w:tcMar>
              <w:top w:w="40" w:type="dxa"/>
              <w:left w:w="20" w:type="dxa"/>
              <w:bottom w:w="40" w:type="dxa"/>
              <w:right w:w="0" w:type="dxa"/>
            </w:tcMar>
            <w:vAlign w:val="bottom"/>
          </w:tcPr>
          <w:p w14:paraId="71D3D8A1" w14:textId="77777777" w:rsidR="006A3667" w:rsidRDefault="00045F32">
            <w:pPr>
              <w:jc w:val="right"/>
              <w:textAlignment w:val="bottom"/>
            </w:pPr>
            <w:r>
              <w:rPr>
                <w:rFonts w:ascii="Arial" w:eastAsia="宋体" w:hAnsi="Arial" w:cs="Arial"/>
                <w:b/>
                <w:bCs/>
                <w:color w:val="000000"/>
                <w:sz w:val="12"/>
                <w:szCs w:val="12"/>
              </w:rPr>
              <w:t>397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8A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A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A4" w14:textId="77777777" w:rsidR="006A3667" w:rsidRDefault="00045F32">
            <w:pPr>
              <w:jc w:val="right"/>
              <w:textAlignment w:val="bottom"/>
            </w:pPr>
            <w:r>
              <w:rPr>
                <w:rFonts w:ascii="Arial" w:eastAsia="宋体" w:hAnsi="Arial" w:cs="Arial"/>
                <w:color w:val="000000"/>
                <w:sz w:val="12"/>
                <w:szCs w:val="12"/>
              </w:rPr>
              <w:t>445 </w:t>
            </w:r>
          </w:p>
        </w:tc>
        <w:tc>
          <w:tcPr>
            <w:tcW w:w="0" w:type="auto"/>
            <w:shd w:val="clear" w:color="auto" w:fill="FFFFFF"/>
            <w:tcMar>
              <w:top w:w="40" w:type="dxa"/>
              <w:left w:w="0" w:type="dxa"/>
              <w:bottom w:w="40" w:type="dxa"/>
              <w:right w:w="20" w:type="dxa"/>
            </w:tcMar>
            <w:vAlign w:val="bottom"/>
          </w:tcPr>
          <w:p w14:paraId="71D3D8A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A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A7" w14:textId="77777777" w:rsidR="006A3667" w:rsidRDefault="00045F32">
            <w:pPr>
              <w:jc w:val="right"/>
              <w:textAlignment w:val="bottom"/>
            </w:pPr>
            <w:r>
              <w:rPr>
                <w:rFonts w:ascii="Arial" w:eastAsia="宋体" w:hAnsi="Arial" w:cs="Arial"/>
                <w:color w:val="000000"/>
                <w:sz w:val="12"/>
                <w:szCs w:val="12"/>
              </w:rPr>
              <w:t>(11)</w:t>
            </w:r>
          </w:p>
        </w:tc>
        <w:tc>
          <w:tcPr>
            <w:tcW w:w="0" w:type="auto"/>
            <w:shd w:val="clear" w:color="auto" w:fill="FFFFFF"/>
            <w:tcMar>
              <w:top w:w="40" w:type="dxa"/>
              <w:left w:w="0" w:type="dxa"/>
              <w:bottom w:w="40" w:type="dxa"/>
              <w:right w:w="20" w:type="dxa"/>
            </w:tcMar>
            <w:vAlign w:val="bottom"/>
          </w:tcPr>
          <w:p w14:paraId="71D3D8A8" w14:textId="77777777" w:rsidR="006A3667" w:rsidRDefault="006A3667">
            <w:pPr>
              <w:jc w:val="right"/>
              <w:rPr>
                <w:rFonts w:ascii="宋体"/>
              </w:rPr>
            </w:pPr>
          </w:p>
        </w:tc>
        <w:tc>
          <w:tcPr>
            <w:tcW w:w="0" w:type="auto"/>
            <w:gridSpan w:val="3"/>
            <w:shd w:val="clear" w:color="auto" w:fill="auto"/>
            <w:vAlign w:val="bottom"/>
          </w:tcPr>
          <w:p w14:paraId="71D3D8A9" w14:textId="77777777" w:rsidR="006A3667" w:rsidRDefault="006A3667">
            <w:pPr>
              <w:rPr>
                <w:rFonts w:ascii="宋体"/>
                <w:vanish/>
              </w:rPr>
            </w:pPr>
          </w:p>
        </w:tc>
        <w:tc>
          <w:tcPr>
            <w:tcW w:w="0" w:type="auto"/>
            <w:gridSpan w:val="3"/>
            <w:shd w:val="clear" w:color="auto" w:fill="auto"/>
            <w:vAlign w:val="bottom"/>
          </w:tcPr>
          <w:p w14:paraId="71D3D8AA" w14:textId="77777777" w:rsidR="006A3667" w:rsidRDefault="006A3667">
            <w:pPr>
              <w:rPr>
                <w:rFonts w:ascii="宋体"/>
                <w:vanish/>
              </w:rPr>
            </w:pPr>
          </w:p>
        </w:tc>
        <w:tc>
          <w:tcPr>
            <w:tcW w:w="0" w:type="auto"/>
            <w:gridSpan w:val="3"/>
            <w:shd w:val="clear" w:color="auto" w:fill="auto"/>
            <w:vAlign w:val="bottom"/>
          </w:tcPr>
          <w:p w14:paraId="71D3D8AB" w14:textId="77777777" w:rsidR="006A3667" w:rsidRDefault="006A3667">
            <w:pPr>
              <w:rPr>
                <w:rFonts w:ascii="宋体"/>
                <w:vanish/>
              </w:rPr>
            </w:pPr>
          </w:p>
        </w:tc>
        <w:tc>
          <w:tcPr>
            <w:tcW w:w="0" w:type="auto"/>
            <w:gridSpan w:val="3"/>
            <w:shd w:val="clear" w:color="auto" w:fill="auto"/>
            <w:vAlign w:val="bottom"/>
          </w:tcPr>
          <w:p w14:paraId="71D3D8AC" w14:textId="77777777" w:rsidR="006A3667" w:rsidRDefault="006A3667">
            <w:pPr>
              <w:rPr>
                <w:rFonts w:ascii="宋体"/>
                <w:vanish/>
              </w:rPr>
            </w:pPr>
          </w:p>
        </w:tc>
        <w:tc>
          <w:tcPr>
            <w:tcW w:w="0" w:type="auto"/>
            <w:gridSpan w:val="3"/>
            <w:shd w:val="clear" w:color="auto" w:fill="auto"/>
            <w:vAlign w:val="bottom"/>
          </w:tcPr>
          <w:p w14:paraId="71D3D8AD" w14:textId="77777777" w:rsidR="006A3667" w:rsidRDefault="006A3667">
            <w:pPr>
              <w:rPr>
                <w:rFonts w:ascii="宋体"/>
                <w:vanish/>
              </w:rPr>
            </w:pPr>
          </w:p>
        </w:tc>
      </w:tr>
      <w:tr w:rsidR="006A3667" w14:paraId="71D3D8BA" w14:textId="77777777">
        <w:trPr>
          <w:hidden/>
        </w:trPr>
        <w:tc>
          <w:tcPr>
            <w:tcW w:w="0" w:type="auto"/>
            <w:gridSpan w:val="3"/>
            <w:shd w:val="clear" w:color="auto" w:fill="auto"/>
            <w:vAlign w:val="bottom"/>
          </w:tcPr>
          <w:p w14:paraId="71D3D8AF" w14:textId="77777777" w:rsidR="006A3667" w:rsidRDefault="006A3667">
            <w:pPr>
              <w:rPr>
                <w:rFonts w:ascii="宋体"/>
                <w:vanish/>
              </w:rPr>
            </w:pPr>
          </w:p>
        </w:tc>
        <w:tc>
          <w:tcPr>
            <w:tcW w:w="0" w:type="auto"/>
            <w:gridSpan w:val="3"/>
            <w:shd w:val="clear" w:color="auto" w:fill="auto"/>
            <w:vAlign w:val="bottom"/>
          </w:tcPr>
          <w:p w14:paraId="71D3D8B0" w14:textId="77777777" w:rsidR="006A3667" w:rsidRDefault="006A3667">
            <w:pPr>
              <w:rPr>
                <w:rFonts w:ascii="宋体"/>
                <w:vanish/>
              </w:rPr>
            </w:pPr>
          </w:p>
        </w:tc>
        <w:tc>
          <w:tcPr>
            <w:tcW w:w="0" w:type="auto"/>
            <w:gridSpan w:val="3"/>
            <w:shd w:val="clear" w:color="auto" w:fill="auto"/>
            <w:vAlign w:val="bottom"/>
          </w:tcPr>
          <w:p w14:paraId="71D3D8B1" w14:textId="77777777" w:rsidR="006A3667" w:rsidRDefault="006A3667">
            <w:pPr>
              <w:rPr>
                <w:rFonts w:ascii="宋体"/>
                <w:vanish/>
              </w:rPr>
            </w:pPr>
          </w:p>
        </w:tc>
        <w:tc>
          <w:tcPr>
            <w:tcW w:w="0" w:type="auto"/>
            <w:gridSpan w:val="3"/>
            <w:shd w:val="clear" w:color="auto" w:fill="auto"/>
            <w:vAlign w:val="bottom"/>
          </w:tcPr>
          <w:p w14:paraId="71D3D8B2" w14:textId="77777777" w:rsidR="006A3667" w:rsidRDefault="006A3667">
            <w:pPr>
              <w:rPr>
                <w:rFonts w:ascii="宋体"/>
                <w:vanish/>
              </w:rPr>
            </w:pPr>
          </w:p>
        </w:tc>
        <w:tc>
          <w:tcPr>
            <w:tcW w:w="0" w:type="auto"/>
            <w:gridSpan w:val="3"/>
            <w:shd w:val="clear" w:color="auto" w:fill="auto"/>
            <w:vAlign w:val="bottom"/>
          </w:tcPr>
          <w:p w14:paraId="71D3D8B3" w14:textId="77777777" w:rsidR="006A3667" w:rsidRDefault="006A3667">
            <w:pPr>
              <w:rPr>
                <w:rFonts w:ascii="宋体"/>
                <w:vanish/>
              </w:rPr>
            </w:pPr>
          </w:p>
        </w:tc>
        <w:tc>
          <w:tcPr>
            <w:tcW w:w="0" w:type="auto"/>
            <w:gridSpan w:val="3"/>
            <w:shd w:val="clear" w:color="auto" w:fill="auto"/>
            <w:vAlign w:val="bottom"/>
          </w:tcPr>
          <w:p w14:paraId="71D3D8B4" w14:textId="77777777" w:rsidR="006A3667" w:rsidRDefault="006A3667">
            <w:pPr>
              <w:rPr>
                <w:rFonts w:ascii="宋体"/>
                <w:vanish/>
              </w:rPr>
            </w:pPr>
          </w:p>
        </w:tc>
        <w:tc>
          <w:tcPr>
            <w:tcW w:w="0" w:type="auto"/>
            <w:gridSpan w:val="3"/>
            <w:shd w:val="clear" w:color="auto" w:fill="auto"/>
            <w:vAlign w:val="bottom"/>
          </w:tcPr>
          <w:p w14:paraId="71D3D8B5" w14:textId="77777777" w:rsidR="006A3667" w:rsidRDefault="006A3667">
            <w:pPr>
              <w:rPr>
                <w:rFonts w:ascii="宋体"/>
                <w:vanish/>
              </w:rPr>
            </w:pPr>
          </w:p>
        </w:tc>
        <w:tc>
          <w:tcPr>
            <w:tcW w:w="0" w:type="auto"/>
            <w:gridSpan w:val="3"/>
            <w:shd w:val="clear" w:color="auto" w:fill="auto"/>
            <w:vAlign w:val="bottom"/>
          </w:tcPr>
          <w:p w14:paraId="71D3D8B6" w14:textId="77777777" w:rsidR="006A3667" w:rsidRDefault="006A3667">
            <w:pPr>
              <w:rPr>
                <w:rFonts w:ascii="宋体"/>
                <w:vanish/>
              </w:rPr>
            </w:pPr>
          </w:p>
        </w:tc>
        <w:tc>
          <w:tcPr>
            <w:tcW w:w="0" w:type="auto"/>
            <w:gridSpan w:val="3"/>
            <w:shd w:val="clear" w:color="auto" w:fill="auto"/>
            <w:vAlign w:val="bottom"/>
          </w:tcPr>
          <w:p w14:paraId="71D3D8B7" w14:textId="77777777" w:rsidR="006A3667" w:rsidRDefault="006A3667">
            <w:pPr>
              <w:rPr>
                <w:rFonts w:ascii="宋体"/>
                <w:vanish/>
              </w:rPr>
            </w:pPr>
          </w:p>
        </w:tc>
        <w:tc>
          <w:tcPr>
            <w:tcW w:w="0" w:type="auto"/>
            <w:gridSpan w:val="3"/>
            <w:shd w:val="clear" w:color="auto" w:fill="auto"/>
            <w:vAlign w:val="bottom"/>
          </w:tcPr>
          <w:p w14:paraId="71D3D8B8" w14:textId="77777777" w:rsidR="006A3667" w:rsidRDefault="006A3667">
            <w:pPr>
              <w:rPr>
                <w:rFonts w:ascii="宋体"/>
                <w:vanish/>
              </w:rPr>
            </w:pPr>
          </w:p>
        </w:tc>
        <w:tc>
          <w:tcPr>
            <w:tcW w:w="0" w:type="auto"/>
            <w:gridSpan w:val="3"/>
            <w:shd w:val="clear" w:color="auto" w:fill="auto"/>
            <w:vAlign w:val="bottom"/>
          </w:tcPr>
          <w:p w14:paraId="71D3D8B9" w14:textId="77777777" w:rsidR="006A3667" w:rsidRDefault="006A3667">
            <w:pPr>
              <w:rPr>
                <w:rFonts w:ascii="宋体"/>
                <w:vanish/>
              </w:rPr>
            </w:pPr>
          </w:p>
        </w:tc>
      </w:tr>
      <w:tr w:rsidR="006A3667" w14:paraId="71D3D8CB" w14:textId="77777777">
        <w:tc>
          <w:tcPr>
            <w:tcW w:w="0" w:type="auto"/>
            <w:gridSpan w:val="3"/>
            <w:shd w:val="clear" w:color="auto" w:fill="CCEEFF"/>
            <w:tcMar>
              <w:top w:w="40" w:type="dxa"/>
              <w:left w:w="20" w:type="dxa"/>
              <w:bottom w:w="40" w:type="dxa"/>
              <w:right w:w="20" w:type="dxa"/>
            </w:tcMar>
            <w:vAlign w:val="bottom"/>
          </w:tcPr>
          <w:p w14:paraId="71D3D8BB" w14:textId="77777777" w:rsidR="006A3667" w:rsidRDefault="00045F32">
            <w:pPr>
              <w:textAlignment w:val="bottom"/>
            </w:pPr>
            <w:r>
              <w:rPr>
                <w:rFonts w:ascii="Arial" w:eastAsia="宋体" w:hAnsi="Arial" w:cs="Arial"/>
                <w:color w:val="000000"/>
                <w:sz w:val="12"/>
                <w:szCs w:val="12"/>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D8BC"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8BD" w14:textId="77777777" w:rsidR="006A3667" w:rsidRDefault="00045F32">
            <w:pPr>
              <w:jc w:val="right"/>
              <w:textAlignment w:val="bottom"/>
            </w:pPr>
            <w:r>
              <w:rPr>
                <w:rFonts w:ascii="Arial" w:eastAsia="宋体" w:hAnsi="Arial" w:cs="Arial"/>
                <w:b/>
                <w:bCs/>
                <w:color w:val="000000"/>
                <w:sz w:val="12"/>
                <w:szCs w:val="12"/>
              </w:rPr>
              <w:t>2,041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B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D8C0"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8C1" w14:textId="77777777" w:rsidR="006A3667" w:rsidRDefault="00045F32">
            <w:pPr>
              <w:jc w:val="right"/>
              <w:textAlignment w:val="bottom"/>
            </w:pPr>
            <w:r>
              <w:rPr>
                <w:rFonts w:ascii="Arial" w:eastAsia="宋体" w:hAnsi="Arial" w:cs="Arial"/>
                <w:color w:val="000000"/>
                <w:sz w:val="12"/>
                <w:szCs w:val="12"/>
              </w:rPr>
              <w:t>1,996 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C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8C4" w14:textId="77777777" w:rsidR="006A3667" w:rsidRDefault="00045F32">
            <w:pPr>
              <w:jc w:val="right"/>
              <w:textAlignment w:val="bottom"/>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bottom"/>
          </w:tcPr>
          <w:p w14:paraId="71D3D8C5" w14:textId="77777777" w:rsidR="006A3667" w:rsidRDefault="006A3667">
            <w:pPr>
              <w:jc w:val="right"/>
              <w:rPr>
                <w:rFonts w:ascii="宋体"/>
              </w:rPr>
            </w:pPr>
          </w:p>
        </w:tc>
        <w:tc>
          <w:tcPr>
            <w:tcW w:w="0" w:type="auto"/>
            <w:gridSpan w:val="3"/>
            <w:shd w:val="clear" w:color="auto" w:fill="auto"/>
            <w:vAlign w:val="bottom"/>
          </w:tcPr>
          <w:p w14:paraId="71D3D8C6" w14:textId="77777777" w:rsidR="006A3667" w:rsidRDefault="006A3667">
            <w:pPr>
              <w:rPr>
                <w:rFonts w:ascii="宋体"/>
                <w:vanish/>
              </w:rPr>
            </w:pPr>
          </w:p>
        </w:tc>
        <w:tc>
          <w:tcPr>
            <w:tcW w:w="0" w:type="auto"/>
            <w:gridSpan w:val="3"/>
            <w:shd w:val="clear" w:color="auto" w:fill="auto"/>
            <w:vAlign w:val="bottom"/>
          </w:tcPr>
          <w:p w14:paraId="71D3D8C7" w14:textId="77777777" w:rsidR="006A3667" w:rsidRDefault="006A3667">
            <w:pPr>
              <w:rPr>
                <w:rFonts w:ascii="宋体"/>
                <w:vanish/>
              </w:rPr>
            </w:pPr>
          </w:p>
        </w:tc>
        <w:tc>
          <w:tcPr>
            <w:tcW w:w="0" w:type="auto"/>
            <w:gridSpan w:val="3"/>
            <w:shd w:val="clear" w:color="auto" w:fill="auto"/>
            <w:vAlign w:val="bottom"/>
          </w:tcPr>
          <w:p w14:paraId="71D3D8C8" w14:textId="77777777" w:rsidR="006A3667" w:rsidRDefault="006A3667">
            <w:pPr>
              <w:rPr>
                <w:rFonts w:ascii="宋体"/>
                <w:vanish/>
              </w:rPr>
            </w:pPr>
          </w:p>
        </w:tc>
        <w:tc>
          <w:tcPr>
            <w:tcW w:w="0" w:type="auto"/>
            <w:gridSpan w:val="3"/>
            <w:shd w:val="clear" w:color="auto" w:fill="auto"/>
            <w:vAlign w:val="bottom"/>
          </w:tcPr>
          <w:p w14:paraId="71D3D8C9" w14:textId="77777777" w:rsidR="006A3667" w:rsidRDefault="006A3667">
            <w:pPr>
              <w:rPr>
                <w:rFonts w:ascii="宋体"/>
                <w:vanish/>
              </w:rPr>
            </w:pPr>
          </w:p>
        </w:tc>
        <w:tc>
          <w:tcPr>
            <w:tcW w:w="0" w:type="auto"/>
            <w:gridSpan w:val="3"/>
            <w:shd w:val="clear" w:color="auto" w:fill="auto"/>
            <w:vAlign w:val="bottom"/>
          </w:tcPr>
          <w:p w14:paraId="71D3D8CA" w14:textId="77777777" w:rsidR="006A3667" w:rsidRDefault="006A3667">
            <w:pPr>
              <w:rPr>
                <w:rFonts w:ascii="宋体"/>
                <w:vanish/>
              </w:rPr>
            </w:pPr>
          </w:p>
        </w:tc>
      </w:tr>
      <w:tr w:rsidR="006A3667" w14:paraId="71D3D8D7" w14:textId="77777777">
        <w:tc>
          <w:tcPr>
            <w:tcW w:w="0" w:type="auto"/>
            <w:gridSpan w:val="3"/>
            <w:shd w:val="clear" w:color="auto" w:fill="FFFFFF"/>
            <w:tcMar>
              <w:top w:w="40" w:type="dxa"/>
              <w:left w:w="20" w:type="dxa"/>
              <w:bottom w:w="40" w:type="dxa"/>
              <w:right w:w="20" w:type="dxa"/>
            </w:tcMar>
            <w:vAlign w:val="bottom"/>
          </w:tcPr>
          <w:p w14:paraId="71D3D8CC" w14:textId="77777777" w:rsidR="006A3667" w:rsidRDefault="00045F32">
            <w:pPr>
              <w:textAlignment w:val="bottom"/>
            </w:pPr>
            <w:r>
              <w:rPr>
                <w:rFonts w:ascii="Arial" w:eastAsia="宋体" w:hAnsi="Arial" w:cs="Arial"/>
                <w:color w:val="000000"/>
                <w:sz w:val="12"/>
                <w:szCs w:val="12"/>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D8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8C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D8C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8D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8D1" w14:textId="77777777" w:rsidR="006A3667" w:rsidRDefault="006A3667">
            <w:pPr>
              <w:rPr>
                <w:rFonts w:ascii="宋体"/>
              </w:rPr>
            </w:pPr>
          </w:p>
        </w:tc>
        <w:tc>
          <w:tcPr>
            <w:tcW w:w="0" w:type="auto"/>
            <w:gridSpan w:val="3"/>
            <w:shd w:val="clear" w:color="auto" w:fill="auto"/>
            <w:vAlign w:val="bottom"/>
          </w:tcPr>
          <w:p w14:paraId="71D3D8D2" w14:textId="77777777" w:rsidR="006A3667" w:rsidRDefault="006A3667">
            <w:pPr>
              <w:rPr>
                <w:rFonts w:ascii="宋体"/>
                <w:vanish/>
              </w:rPr>
            </w:pPr>
          </w:p>
        </w:tc>
        <w:tc>
          <w:tcPr>
            <w:tcW w:w="0" w:type="auto"/>
            <w:gridSpan w:val="3"/>
            <w:shd w:val="clear" w:color="auto" w:fill="auto"/>
            <w:vAlign w:val="bottom"/>
          </w:tcPr>
          <w:p w14:paraId="71D3D8D3" w14:textId="77777777" w:rsidR="006A3667" w:rsidRDefault="006A3667">
            <w:pPr>
              <w:rPr>
                <w:rFonts w:ascii="宋体"/>
                <w:vanish/>
              </w:rPr>
            </w:pPr>
          </w:p>
        </w:tc>
        <w:tc>
          <w:tcPr>
            <w:tcW w:w="0" w:type="auto"/>
            <w:gridSpan w:val="3"/>
            <w:shd w:val="clear" w:color="auto" w:fill="auto"/>
            <w:vAlign w:val="bottom"/>
          </w:tcPr>
          <w:p w14:paraId="71D3D8D4" w14:textId="77777777" w:rsidR="006A3667" w:rsidRDefault="006A3667">
            <w:pPr>
              <w:rPr>
                <w:rFonts w:ascii="宋体"/>
                <w:vanish/>
              </w:rPr>
            </w:pPr>
          </w:p>
        </w:tc>
        <w:tc>
          <w:tcPr>
            <w:tcW w:w="0" w:type="auto"/>
            <w:gridSpan w:val="3"/>
            <w:shd w:val="clear" w:color="auto" w:fill="auto"/>
            <w:vAlign w:val="bottom"/>
          </w:tcPr>
          <w:p w14:paraId="71D3D8D5" w14:textId="77777777" w:rsidR="006A3667" w:rsidRDefault="006A3667">
            <w:pPr>
              <w:rPr>
                <w:rFonts w:ascii="宋体"/>
                <w:vanish/>
              </w:rPr>
            </w:pPr>
          </w:p>
        </w:tc>
        <w:tc>
          <w:tcPr>
            <w:tcW w:w="0" w:type="auto"/>
            <w:gridSpan w:val="3"/>
            <w:shd w:val="clear" w:color="auto" w:fill="auto"/>
            <w:vAlign w:val="bottom"/>
          </w:tcPr>
          <w:p w14:paraId="71D3D8D6" w14:textId="77777777" w:rsidR="006A3667" w:rsidRDefault="006A3667">
            <w:pPr>
              <w:rPr>
                <w:rFonts w:ascii="宋体"/>
                <w:vanish/>
              </w:rPr>
            </w:pPr>
          </w:p>
        </w:tc>
      </w:tr>
      <w:tr w:rsidR="006A3667" w14:paraId="71D3D8E8" w14:textId="77777777">
        <w:tc>
          <w:tcPr>
            <w:tcW w:w="0" w:type="auto"/>
            <w:gridSpan w:val="3"/>
            <w:shd w:val="clear" w:color="auto" w:fill="CCEEFF"/>
            <w:tcMar>
              <w:top w:w="40" w:type="dxa"/>
              <w:left w:w="20" w:type="dxa"/>
              <w:bottom w:w="40" w:type="dxa"/>
              <w:right w:w="20" w:type="dxa"/>
            </w:tcMar>
            <w:vAlign w:val="bottom"/>
          </w:tcPr>
          <w:p w14:paraId="71D3D8D8" w14:textId="77777777" w:rsidR="006A3667" w:rsidRDefault="00045F32">
            <w:pPr>
              <w:textAlignment w:val="bottom"/>
            </w:pPr>
            <w:r>
              <w:rPr>
                <w:rFonts w:ascii="Arial" w:eastAsia="宋体" w:hAnsi="Arial" w:cs="Arial"/>
                <w:color w:val="000000"/>
                <w:sz w:val="12"/>
                <w:szCs w:val="12"/>
              </w:rPr>
              <w:t>Dividends on preferred stock</w:t>
            </w:r>
            <w:r>
              <w:rPr>
                <w:rFonts w:ascii="Arial" w:eastAsia="宋体" w:hAnsi="Arial" w:cs="Arial"/>
                <w:color w:val="000000"/>
                <w:sz w:val="7"/>
                <w:szCs w:val="7"/>
              </w:rPr>
              <w:t>(1)</w:t>
            </w:r>
          </w:p>
        </w:tc>
        <w:tc>
          <w:tcPr>
            <w:tcW w:w="0" w:type="auto"/>
            <w:shd w:val="clear" w:color="auto" w:fill="CCEEFF"/>
            <w:tcMar>
              <w:top w:w="40" w:type="dxa"/>
              <w:left w:w="20" w:type="dxa"/>
              <w:bottom w:w="40" w:type="dxa"/>
              <w:right w:w="0" w:type="dxa"/>
            </w:tcMar>
            <w:vAlign w:val="bottom"/>
          </w:tcPr>
          <w:p w14:paraId="71D3D8D9"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D8DA" w14:textId="77777777" w:rsidR="006A3667" w:rsidRDefault="00045F32">
            <w:pPr>
              <w:jc w:val="right"/>
              <w:textAlignment w:val="bottom"/>
            </w:pPr>
            <w:r>
              <w:rPr>
                <w:rFonts w:ascii="Arial" w:eastAsia="宋体" w:hAnsi="Arial" w:cs="Arial"/>
                <w:b/>
                <w:bCs/>
                <w:color w:val="000000"/>
                <w:sz w:val="12"/>
                <w:szCs w:val="12"/>
              </w:rPr>
              <w:t>(76)</w:t>
            </w:r>
          </w:p>
        </w:tc>
        <w:tc>
          <w:tcPr>
            <w:tcW w:w="0" w:type="auto"/>
            <w:shd w:val="clear" w:color="auto" w:fill="CCEEFF"/>
            <w:tcMar>
              <w:top w:w="40" w:type="dxa"/>
              <w:left w:w="0" w:type="dxa"/>
              <w:bottom w:w="40" w:type="dxa"/>
              <w:right w:w="20" w:type="dxa"/>
            </w:tcMar>
            <w:vAlign w:val="bottom"/>
          </w:tcPr>
          <w:p w14:paraId="71D3D8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D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D8DD"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D8DE" w14:textId="77777777" w:rsidR="006A3667" w:rsidRDefault="00045F32">
            <w:pPr>
              <w:jc w:val="right"/>
              <w:textAlignment w:val="bottom"/>
            </w:pPr>
            <w:r>
              <w:rPr>
                <w:rFonts w:ascii="Arial" w:eastAsia="宋体" w:hAnsi="Arial" w:cs="Arial"/>
                <w:color w:val="000000"/>
                <w:sz w:val="12"/>
                <w:szCs w:val="12"/>
              </w:rPr>
              <w:t>(85)</w:t>
            </w:r>
          </w:p>
        </w:tc>
        <w:tc>
          <w:tcPr>
            <w:tcW w:w="0" w:type="auto"/>
            <w:shd w:val="clear" w:color="auto" w:fill="CCEEFF"/>
            <w:tcMar>
              <w:top w:w="40" w:type="dxa"/>
              <w:left w:w="0" w:type="dxa"/>
              <w:bottom w:w="40" w:type="dxa"/>
              <w:right w:w="20" w:type="dxa"/>
            </w:tcMar>
            <w:vAlign w:val="bottom"/>
          </w:tcPr>
          <w:p w14:paraId="71D3D8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E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8E1" w14:textId="77777777" w:rsidR="006A3667" w:rsidRDefault="00045F32">
            <w:pPr>
              <w:jc w:val="right"/>
              <w:textAlignment w:val="bottom"/>
            </w:pPr>
            <w:r>
              <w:rPr>
                <w:rFonts w:ascii="Arial" w:eastAsia="宋体" w:hAnsi="Arial" w:cs="Arial"/>
                <w:color w:val="000000"/>
                <w:sz w:val="12"/>
                <w:szCs w:val="12"/>
              </w:rPr>
              <w:t>(11)</w:t>
            </w:r>
          </w:p>
        </w:tc>
        <w:tc>
          <w:tcPr>
            <w:tcW w:w="0" w:type="auto"/>
            <w:shd w:val="clear" w:color="auto" w:fill="CCEEFF"/>
            <w:tcMar>
              <w:top w:w="40" w:type="dxa"/>
              <w:left w:w="0" w:type="dxa"/>
              <w:bottom w:w="40" w:type="dxa"/>
              <w:right w:w="20" w:type="dxa"/>
            </w:tcMar>
            <w:vAlign w:val="bottom"/>
          </w:tcPr>
          <w:p w14:paraId="71D3D8E2" w14:textId="77777777" w:rsidR="006A3667" w:rsidRDefault="006A3667">
            <w:pPr>
              <w:jc w:val="right"/>
              <w:rPr>
                <w:rFonts w:ascii="宋体"/>
              </w:rPr>
            </w:pPr>
          </w:p>
        </w:tc>
        <w:tc>
          <w:tcPr>
            <w:tcW w:w="0" w:type="auto"/>
            <w:gridSpan w:val="3"/>
            <w:shd w:val="clear" w:color="auto" w:fill="auto"/>
            <w:vAlign w:val="bottom"/>
          </w:tcPr>
          <w:p w14:paraId="71D3D8E3" w14:textId="77777777" w:rsidR="006A3667" w:rsidRDefault="006A3667">
            <w:pPr>
              <w:rPr>
                <w:rFonts w:ascii="宋体"/>
                <w:vanish/>
              </w:rPr>
            </w:pPr>
          </w:p>
        </w:tc>
        <w:tc>
          <w:tcPr>
            <w:tcW w:w="0" w:type="auto"/>
            <w:gridSpan w:val="3"/>
            <w:shd w:val="clear" w:color="auto" w:fill="auto"/>
            <w:vAlign w:val="bottom"/>
          </w:tcPr>
          <w:p w14:paraId="71D3D8E4" w14:textId="77777777" w:rsidR="006A3667" w:rsidRDefault="006A3667">
            <w:pPr>
              <w:rPr>
                <w:rFonts w:ascii="宋体"/>
                <w:vanish/>
              </w:rPr>
            </w:pPr>
          </w:p>
        </w:tc>
        <w:tc>
          <w:tcPr>
            <w:tcW w:w="0" w:type="auto"/>
            <w:gridSpan w:val="3"/>
            <w:shd w:val="clear" w:color="auto" w:fill="auto"/>
            <w:vAlign w:val="bottom"/>
          </w:tcPr>
          <w:p w14:paraId="71D3D8E5" w14:textId="77777777" w:rsidR="006A3667" w:rsidRDefault="006A3667">
            <w:pPr>
              <w:rPr>
                <w:rFonts w:ascii="宋体"/>
                <w:vanish/>
              </w:rPr>
            </w:pPr>
          </w:p>
        </w:tc>
        <w:tc>
          <w:tcPr>
            <w:tcW w:w="0" w:type="auto"/>
            <w:gridSpan w:val="3"/>
            <w:shd w:val="clear" w:color="auto" w:fill="auto"/>
            <w:vAlign w:val="bottom"/>
          </w:tcPr>
          <w:p w14:paraId="71D3D8E6" w14:textId="77777777" w:rsidR="006A3667" w:rsidRDefault="006A3667">
            <w:pPr>
              <w:rPr>
                <w:rFonts w:ascii="宋体"/>
                <w:vanish/>
              </w:rPr>
            </w:pPr>
          </w:p>
        </w:tc>
        <w:tc>
          <w:tcPr>
            <w:tcW w:w="0" w:type="auto"/>
            <w:gridSpan w:val="3"/>
            <w:shd w:val="clear" w:color="auto" w:fill="auto"/>
            <w:vAlign w:val="bottom"/>
          </w:tcPr>
          <w:p w14:paraId="71D3D8E7" w14:textId="77777777" w:rsidR="006A3667" w:rsidRDefault="006A3667">
            <w:pPr>
              <w:rPr>
                <w:rFonts w:ascii="宋体"/>
                <w:vanish/>
              </w:rPr>
            </w:pPr>
          </w:p>
        </w:tc>
      </w:tr>
      <w:tr w:rsidR="006A3667" w14:paraId="71D3D8F7" w14:textId="77777777">
        <w:tc>
          <w:tcPr>
            <w:tcW w:w="0" w:type="auto"/>
            <w:gridSpan w:val="3"/>
            <w:shd w:val="clear" w:color="auto" w:fill="FFFFFF"/>
            <w:tcMar>
              <w:top w:w="40" w:type="dxa"/>
              <w:left w:w="20" w:type="dxa"/>
              <w:bottom w:w="40" w:type="dxa"/>
              <w:right w:w="20" w:type="dxa"/>
            </w:tcMar>
            <w:vAlign w:val="bottom"/>
          </w:tcPr>
          <w:p w14:paraId="71D3D8E9" w14:textId="77777777" w:rsidR="006A3667" w:rsidRDefault="00045F32">
            <w:pPr>
              <w:textAlignment w:val="bottom"/>
            </w:pPr>
            <w:r>
              <w:rPr>
                <w:rFonts w:ascii="Arial" w:eastAsia="宋体" w:hAnsi="Arial" w:cs="Arial"/>
                <w:color w:val="000000"/>
                <w:sz w:val="12"/>
                <w:szCs w:val="12"/>
              </w:rPr>
              <w:t>Earnings allocated to participating securities</w:t>
            </w:r>
            <w:r>
              <w:rPr>
                <w:rFonts w:ascii="Arial" w:eastAsia="宋体" w:hAnsi="Arial" w:cs="Arial"/>
                <w:color w:val="000000"/>
                <w:sz w:val="7"/>
                <w:szCs w:val="7"/>
              </w:rPr>
              <w:t>(2)</w:t>
            </w:r>
          </w:p>
        </w:tc>
        <w:tc>
          <w:tcPr>
            <w:tcW w:w="0" w:type="auto"/>
            <w:gridSpan w:val="2"/>
            <w:shd w:val="clear" w:color="auto" w:fill="FFFFFF"/>
            <w:tcMar>
              <w:top w:w="40" w:type="dxa"/>
              <w:left w:w="20" w:type="dxa"/>
              <w:bottom w:w="40" w:type="dxa"/>
              <w:right w:w="0" w:type="dxa"/>
            </w:tcMar>
            <w:vAlign w:val="bottom"/>
          </w:tcPr>
          <w:p w14:paraId="71D3D8EA" w14:textId="77777777" w:rsidR="006A3667" w:rsidRDefault="00045F32">
            <w:pPr>
              <w:jc w:val="right"/>
              <w:textAlignment w:val="bottom"/>
            </w:pPr>
            <w:r>
              <w:rPr>
                <w:rFonts w:ascii="Arial" w:eastAsia="宋体" w:hAnsi="Arial" w:cs="Arial"/>
                <w:b/>
                <w:bCs/>
                <w:color w:val="000000"/>
                <w:sz w:val="12"/>
                <w:szCs w:val="12"/>
              </w:rPr>
              <w:t>(1)</w:t>
            </w:r>
          </w:p>
        </w:tc>
        <w:tc>
          <w:tcPr>
            <w:tcW w:w="0" w:type="auto"/>
            <w:shd w:val="clear" w:color="auto" w:fill="FFFFFF"/>
            <w:tcMar>
              <w:top w:w="40" w:type="dxa"/>
              <w:left w:w="0" w:type="dxa"/>
              <w:bottom w:w="40" w:type="dxa"/>
              <w:right w:w="20" w:type="dxa"/>
            </w:tcMar>
            <w:vAlign w:val="bottom"/>
          </w:tcPr>
          <w:p w14:paraId="71D3D8E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E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ED" w14:textId="77777777" w:rsidR="006A3667" w:rsidRDefault="00045F32">
            <w:pPr>
              <w:jc w:val="right"/>
              <w:textAlignment w:val="bottom"/>
            </w:pPr>
            <w:r>
              <w:rPr>
                <w:rFonts w:ascii="Arial" w:eastAsia="宋体" w:hAnsi="Arial" w:cs="Arial"/>
                <w:color w:val="000000"/>
                <w:sz w:val="12"/>
                <w:szCs w:val="12"/>
              </w:rPr>
              <w:t>(1)</w:t>
            </w:r>
          </w:p>
        </w:tc>
        <w:tc>
          <w:tcPr>
            <w:tcW w:w="0" w:type="auto"/>
            <w:shd w:val="clear" w:color="auto" w:fill="FFFFFF"/>
            <w:tcMar>
              <w:top w:w="40" w:type="dxa"/>
              <w:left w:w="0" w:type="dxa"/>
              <w:bottom w:w="40" w:type="dxa"/>
              <w:right w:w="20" w:type="dxa"/>
            </w:tcMar>
            <w:vAlign w:val="bottom"/>
          </w:tcPr>
          <w:p w14:paraId="71D3D8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8E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8F0"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8F1" w14:textId="77777777" w:rsidR="006A3667" w:rsidRDefault="006A3667">
            <w:pPr>
              <w:jc w:val="right"/>
              <w:rPr>
                <w:rFonts w:ascii="宋体"/>
              </w:rPr>
            </w:pPr>
          </w:p>
        </w:tc>
        <w:tc>
          <w:tcPr>
            <w:tcW w:w="0" w:type="auto"/>
            <w:gridSpan w:val="3"/>
            <w:shd w:val="clear" w:color="auto" w:fill="auto"/>
            <w:vAlign w:val="bottom"/>
          </w:tcPr>
          <w:p w14:paraId="71D3D8F2" w14:textId="77777777" w:rsidR="006A3667" w:rsidRDefault="006A3667">
            <w:pPr>
              <w:rPr>
                <w:rFonts w:ascii="宋体"/>
                <w:vanish/>
              </w:rPr>
            </w:pPr>
          </w:p>
        </w:tc>
        <w:tc>
          <w:tcPr>
            <w:tcW w:w="0" w:type="auto"/>
            <w:gridSpan w:val="3"/>
            <w:shd w:val="clear" w:color="auto" w:fill="auto"/>
            <w:vAlign w:val="bottom"/>
          </w:tcPr>
          <w:p w14:paraId="71D3D8F3" w14:textId="77777777" w:rsidR="006A3667" w:rsidRDefault="006A3667">
            <w:pPr>
              <w:rPr>
                <w:rFonts w:ascii="宋体"/>
                <w:vanish/>
              </w:rPr>
            </w:pPr>
          </w:p>
        </w:tc>
        <w:tc>
          <w:tcPr>
            <w:tcW w:w="0" w:type="auto"/>
            <w:gridSpan w:val="3"/>
            <w:shd w:val="clear" w:color="auto" w:fill="auto"/>
            <w:vAlign w:val="bottom"/>
          </w:tcPr>
          <w:p w14:paraId="71D3D8F4" w14:textId="77777777" w:rsidR="006A3667" w:rsidRDefault="006A3667">
            <w:pPr>
              <w:rPr>
                <w:rFonts w:ascii="宋体"/>
                <w:vanish/>
              </w:rPr>
            </w:pPr>
          </w:p>
        </w:tc>
        <w:tc>
          <w:tcPr>
            <w:tcW w:w="0" w:type="auto"/>
            <w:gridSpan w:val="3"/>
            <w:shd w:val="clear" w:color="auto" w:fill="auto"/>
            <w:vAlign w:val="bottom"/>
          </w:tcPr>
          <w:p w14:paraId="71D3D8F5" w14:textId="77777777" w:rsidR="006A3667" w:rsidRDefault="006A3667">
            <w:pPr>
              <w:rPr>
                <w:rFonts w:ascii="宋体"/>
                <w:vanish/>
              </w:rPr>
            </w:pPr>
          </w:p>
        </w:tc>
        <w:tc>
          <w:tcPr>
            <w:tcW w:w="0" w:type="auto"/>
            <w:gridSpan w:val="3"/>
            <w:shd w:val="clear" w:color="auto" w:fill="auto"/>
            <w:vAlign w:val="bottom"/>
          </w:tcPr>
          <w:p w14:paraId="71D3D8F6" w14:textId="77777777" w:rsidR="006A3667" w:rsidRDefault="006A3667">
            <w:pPr>
              <w:rPr>
                <w:rFonts w:ascii="宋体"/>
                <w:vanish/>
              </w:rPr>
            </w:pPr>
          </w:p>
        </w:tc>
      </w:tr>
      <w:tr w:rsidR="006A3667" w14:paraId="71D3D908" w14:textId="77777777">
        <w:tc>
          <w:tcPr>
            <w:tcW w:w="0" w:type="auto"/>
            <w:gridSpan w:val="3"/>
            <w:shd w:val="clear" w:color="auto" w:fill="CCEEFF"/>
            <w:tcMar>
              <w:top w:w="40" w:type="dxa"/>
              <w:left w:w="20" w:type="dxa"/>
              <w:bottom w:w="40" w:type="dxa"/>
              <w:right w:w="20" w:type="dxa"/>
            </w:tcMar>
            <w:vAlign w:val="bottom"/>
          </w:tcPr>
          <w:p w14:paraId="71D3D8F8" w14:textId="77777777" w:rsidR="006A3667" w:rsidRDefault="00045F32">
            <w:pPr>
              <w:textAlignment w:val="bottom"/>
            </w:pPr>
            <w:r>
              <w:rPr>
                <w:rFonts w:ascii="Arial" w:eastAsia="宋体" w:hAnsi="Arial" w:cs="Arial"/>
                <w:color w:val="000000"/>
                <w:sz w:val="12"/>
                <w:szCs w:val="12"/>
              </w:rPr>
              <w:t xml:space="preserve">Net income </w:t>
            </w:r>
            <w:r>
              <w:rPr>
                <w:rFonts w:ascii="Arial" w:eastAsia="宋体" w:hAnsi="Arial" w:cs="Arial"/>
                <w:color w:val="000000"/>
                <w:sz w:val="12"/>
                <w:szCs w:val="12"/>
              </w:rPr>
              <w:t>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D8F9"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8FA" w14:textId="77777777" w:rsidR="006A3667" w:rsidRDefault="00045F32">
            <w:pPr>
              <w:jc w:val="right"/>
              <w:textAlignment w:val="bottom"/>
            </w:pPr>
            <w:r>
              <w:rPr>
                <w:rFonts w:ascii="Arial" w:eastAsia="宋体" w:hAnsi="Arial" w:cs="Arial"/>
                <w:b/>
                <w:bCs/>
                <w:color w:val="000000"/>
                <w:sz w:val="12"/>
                <w:szCs w:val="12"/>
              </w:rPr>
              <w:t>1,964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8F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D8FD"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8FE" w14:textId="77777777" w:rsidR="006A3667" w:rsidRDefault="00045F32">
            <w:pPr>
              <w:jc w:val="right"/>
              <w:textAlignment w:val="bottom"/>
            </w:pPr>
            <w:r>
              <w:rPr>
                <w:rFonts w:ascii="Arial" w:eastAsia="宋体" w:hAnsi="Arial" w:cs="Arial"/>
                <w:color w:val="000000"/>
                <w:sz w:val="12"/>
                <w:szCs w:val="12"/>
              </w:rPr>
              <w:t>1,910 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8F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90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901" w14:textId="77777777" w:rsidR="006A3667" w:rsidRDefault="00045F32">
            <w:pPr>
              <w:jc w:val="right"/>
              <w:textAlignment w:val="bottom"/>
            </w:pPr>
            <w:r>
              <w:rPr>
                <w:rFonts w:ascii="Arial" w:eastAsia="宋体" w:hAnsi="Arial" w:cs="Arial"/>
                <w:color w:val="000000"/>
                <w:sz w:val="12"/>
                <w:szCs w:val="12"/>
              </w:rPr>
              <w:t>3 </w:t>
            </w:r>
          </w:p>
        </w:tc>
        <w:tc>
          <w:tcPr>
            <w:tcW w:w="0" w:type="auto"/>
            <w:shd w:val="clear" w:color="auto" w:fill="CCEEFF"/>
            <w:tcMar>
              <w:top w:w="40" w:type="dxa"/>
              <w:left w:w="0" w:type="dxa"/>
              <w:bottom w:w="40" w:type="dxa"/>
              <w:right w:w="20" w:type="dxa"/>
            </w:tcMar>
            <w:vAlign w:val="bottom"/>
          </w:tcPr>
          <w:p w14:paraId="71D3D902" w14:textId="77777777" w:rsidR="006A3667" w:rsidRDefault="006A3667">
            <w:pPr>
              <w:jc w:val="right"/>
              <w:rPr>
                <w:rFonts w:ascii="宋体"/>
              </w:rPr>
            </w:pPr>
          </w:p>
        </w:tc>
        <w:tc>
          <w:tcPr>
            <w:tcW w:w="0" w:type="auto"/>
            <w:gridSpan w:val="3"/>
            <w:shd w:val="clear" w:color="auto" w:fill="auto"/>
            <w:vAlign w:val="bottom"/>
          </w:tcPr>
          <w:p w14:paraId="71D3D903" w14:textId="77777777" w:rsidR="006A3667" w:rsidRDefault="006A3667">
            <w:pPr>
              <w:rPr>
                <w:rFonts w:ascii="宋体"/>
                <w:vanish/>
              </w:rPr>
            </w:pPr>
          </w:p>
        </w:tc>
        <w:tc>
          <w:tcPr>
            <w:tcW w:w="0" w:type="auto"/>
            <w:gridSpan w:val="3"/>
            <w:shd w:val="clear" w:color="auto" w:fill="auto"/>
            <w:vAlign w:val="bottom"/>
          </w:tcPr>
          <w:p w14:paraId="71D3D904" w14:textId="77777777" w:rsidR="006A3667" w:rsidRDefault="006A3667">
            <w:pPr>
              <w:rPr>
                <w:rFonts w:ascii="宋体"/>
                <w:vanish/>
              </w:rPr>
            </w:pPr>
          </w:p>
        </w:tc>
        <w:tc>
          <w:tcPr>
            <w:tcW w:w="0" w:type="auto"/>
            <w:gridSpan w:val="3"/>
            <w:shd w:val="clear" w:color="auto" w:fill="auto"/>
            <w:vAlign w:val="bottom"/>
          </w:tcPr>
          <w:p w14:paraId="71D3D905" w14:textId="77777777" w:rsidR="006A3667" w:rsidRDefault="006A3667">
            <w:pPr>
              <w:rPr>
                <w:rFonts w:ascii="宋体"/>
                <w:vanish/>
              </w:rPr>
            </w:pPr>
          </w:p>
        </w:tc>
        <w:tc>
          <w:tcPr>
            <w:tcW w:w="0" w:type="auto"/>
            <w:gridSpan w:val="3"/>
            <w:shd w:val="clear" w:color="auto" w:fill="auto"/>
            <w:vAlign w:val="bottom"/>
          </w:tcPr>
          <w:p w14:paraId="71D3D906" w14:textId="77777777" w:rsidR="006A3667" w:rsidRDefault="006A3667">
            <w:pPr>
              <w:rPr>
                <w:rFonts w:ascii="宋体"/>
                <w:vanish/>
              </w:rPr>
            </w:pPr>
          </w:p>
        </w:tc>
        <w:tc>
          <w:tcPr>
            <w:tcW w:w="0" w:type="auto"/>
            <w:gridSpan w:val="3"/>
            <w:shd w:val="clear" w:color="auto" w:fill="auto"/>
            <w:vAlign w:val="bottom"/>
          </w:tcPr>
          <w:p w14:paraId="71D3D907" w14:textId="77777777" w:rsidR="006A3667" w:rsidRDefault="006A3667">
            <w:pPr>
              <w:rPr>
                <w:rFonts w:ascii="宋体"/>
                <w:vanish/>
              </w:rPr>
            </w:pPr>
          </w:p>
        </w:tc>
      </w:tr>
      <w:tr w:rsidR="006A3667" w14:paraId="71D3D914" w14:textId="77777777">
        <w:tc>
          <w:tcPr>
            <w:tcW w:w="0" w:type="auto"/>
            <w:gridSpan w:val="3"/>
            <w:shd w:val="clear" w:color="auto" w:fill="FFFFFF"/>
            <w:tcMar>
              <w:top w:w="40" w:type="dxa"/>
              <w:left w:w="20" w:type="dxa"/>
              <w:bottom w:w="40" w:type="dxa"/>
              <w:right w:w="20" w:type="dxa"/>
            </w:tcMar>
            <w:vAlign w:val="bottom"/>
          </w:tcPr>
          <w:p w14:paraId="71D3D909" w14:textId="77777777" w:rsidR="006A3667" w:rsidRDefault="00045F32">
            <w:pPr>
              <w:textAlignment w:val="bottom"/>
            </w:pPr>
            <w:r>
              <w:rPr>
                <w:rFonts w:ascii="Arial" w:eastAsia="宋体" w:hAnsi="Arial" w:cs="Arial"/>
                <w:color w:val="000000"/>
                <w:sz w:val="12"/>
                <w:szCs w:val="12"/>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D90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90B"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D90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90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90E" w14:textId="77777777" w:rsidR="006A3667" w:rsidRDefault="006A3667">
            <w:pPr>
              <w:rPr>
                <w:rFonts w:ascii="宋体"/>
              </w:rPr>
            </w:pPr>
          </w:p>
        </w:tc>
        <w:tc>
          <w:tcPr>
            <w:tcW w:w="0" w:type="auto"/>
            <w:gridSpan w:val="3"/>
            <w:shd w:val="clear" w:color="auto" w:fill="auto"/>
            <w:vAlign w:val="bottom"/>
          </w:tcPr>
          <w:p w14:paraId="71D3D90F" w14:textId="77777777" w:rsidR="006A3667" w:rsidRDefault="006A3667">
            <w:pPr>
              <w:rPr>
                <w:rFonts w:ascii="宋体"/>
                <w:vanish/>
              </w:rPr>
            </w:pPr>
          </w:p>
        </w:tc>
        <w:tc>
          <w:tcPr>
            <w:tcW w:w="0" w:type="auto"/>
            <w:gridSpan w:val="3"/>
            <w:shd w:val="clear" w:color="auto" w:fill="auto"/>
            <w:vAlign w:val="bottom"/>
          </w:tcPr>
          <w:p w14:paraId="71D3D910" w14:textId="77777777" w:rsidR="006A3667" w:rsidRDefault="006A3667">
            <w:pPr>
              <w:rPr>
                <w:rFonts w:ascii="宋体"/>
                <w:vanish/>
              </w:rPr>
            </w:pPr>
          </w:p>
        </w:tc>
        <w:tc>
          <w:tcPr>
            <w:tcW w:w="0" w:type="auto"/>
            <w:gridSpan w:val="3"/>
            <w:shd w:val="clear" w:color="auto" w:fill="auto"/>
            <w:vAlign w:val="bottom"/>
          </w:tcPr>
          <w:p w14:paraId="71D3D911" w14:textId="77777777" w:rsidR="006A3667" w:rsidRDefault="006A3667">
            <w:pPr>
              <w:rPr>
                <w:rFonts w:ascii="宋体"/>
                <w:vanish/>
              </w:rPr>
            </w:pPr>
          </w:p>
        </w:tc>
        <w:tc>
          <w:tcPr>
            <w:tcW w:w="0" w:type="auto"/>
            <w:gridSpan w:val="3"/>
            <w:shd w:val="clear" w:color="auto" w:fill="auto"/>
            <w:vAlign w:val="bottom"/>
          </w:tcPr>
          <w:p w14:paraId="71D3D912" w14:textId="77777777" w:rsidR="006A3667" w:rsidRDefault="006A3667">
            <w:pPr>
              <w:rPr>
                <w:rFonts w:ascii="宋体"/>
                <w:vanish/>
              </w:rPr>
            </w:pPr>
          </w:p>
        </w:tc>
        <w:tc>
          <w:tcPr>
            <w:tcW w:w="0" w:type="auto"/>
            <w:gridSpan w:val="3"/>
            <w:shd w:val="clear" w:color="auto" w:fill="auto"/>
            <w:vAlign w:val="bottom"/>
          </w:tcPr>
          <w:p w14:paraId="71D3D913" w14:textId="77777777" w:rsidR="006A3667" w:rsidRDefault="006A3667">
            <w:pPr>
              <w:rPr>
                <w:rFonts w:ascii="宋体"/>
                <w:vanish/>
              </w:rPr>
            </w:pPr>
          </w:p>
        </w:tc>
      </w:tr>
      <w:tr w:rsidR="006A3667" w14:paraId="71D3D925" w14:textId="77777777">
        <w:tc>
          <w:tcPr>
            <w:tcW w:w="0" w:type="auto"/>
            <w:gridSpan w:val="3"/>
            <w:shd w:val="clear" w:color="auto" w:fill="CCEEFF"/>
            <w:tcMar>
              <w:top w:w="40" w:type="dxa"/>
              <w:left w:w="245" w:type="dxa"/>
              <w:bottom w:w="40" w:type="dxa"/>
              <w:right w:w="20" w:type="dxa"/>
            </w:tcMar>
            <w:vAlign w:val="bottom"/>
          </w:tcPr>
          <w:p w14:paraId="71D3D915" w14:textId="77777777" w:rsidR="006A3667" w:rsidRDefault="00045F32">
            <w:pPr>
              <w:textAlignment w:val="bottom"/>
            </w:pPr>
            <w:r>
              <w:rPr>
                <w:rFonts w:ascii="Arial" w:eastAsia="宋体" w:hAnsi="Arial" w:cs="Arial"/>
                <w:color w:val="000000"/>
                <w:sz w:val="12"/>
                <w:szCs w:val="12"/>
              </w:rPr>
              <w:t>Basic</w:t>
            </w:r>
          </w:p>
        </w:tc>
        <w:tc>
          <w:tcPr>
            <w:tcW w:w="0" w:type="auto"/>
            <w:shd w:val="clear" w:color="auto" w:fill="CCEEFF"/>
            <w:tcMar>
              <w:top w:w="40" w:type="dxa"/>
              <w:left w:w="20" w:type="dxa"/>
              <w:bottom w:w="40" w:type="dxa"/>
              <w:right w:w="0" w:type="dxa"/>
            </w:tcMar>
            <w:vAlign w:val="bottom"/>
          </w:tcPr>
          <w:p w14:paraId="71D3D916"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D917" w14:textId="77777777" w:rsidR="006A3667" w:rsidRDefault="00045F32">
            <w:pPr>
              <w:jc w:val="right"/>
              <w:textAlignment w:val="bottom"/>
            </w:pPr>
            <w:r>
              <w:rPr>
                <w:rFonts w:ascii="Arial" w:eastAsia="宋体" w:hAnsi="Arial" w:cs="Arial"/>
                <w:b/>
                <w:bCs/>
                <w:color w:val="000000"/>
                <w:sz w:val="12"/>
                <w:szCs w:val="12"/>
              </w:rPr>
              <w:t>5.35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9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91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D91A"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D91B" w14:textId="77777777" w:rsidR="006A3667" w:rsidRDefault="00045F32">
            <w:pPr>
              <w:jc w:val="right"/>
              <w:textAlignment w:val="bottom"/>
            </w:pPr>
            <w:r>
              <w:rPr>
                <w:rFonts w:ascii="Arial" w:eastAsia="宋体" w:hAnsi="Arial" w:cs="Arial"/>
                <w:color w:val="000000"/>
                <w:sz w:val="12"/>
                <w:szCs w:val="12"/>
              </w:rPr>
              <w:t>5.49 </w:t>
            </w:r>
          </w:p>
        </w:tc>
        <w:tc>
          <w:tcPr>
            <w:tcW w:w="0" w:type="auto"/>
            <w:shd w:val="clear" w:color="auto" w:fill="CCEEFF"/>
            <w:tcMar>
              <w:top w:w="40" w:type="dxa"/>
              <w:left w:w="0" w:type="dxa"/>
              <w:bottom w:w="40" w:type="dxa"/>
              <w:right w:w="20" w:type="dxa"/>
            </w:tcMar>
            <w:vAlign w:val="bottom"/>
          </w:tcPr>
          <w:p w14:paraId="71D3D9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91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91E" w14:textId="77777777" w:rsidR="006A3667" w:rsidRDefault="00045F32">
            <w:pPr>
              <w:jc w:val="right"/>
              <w:textAlignment w:val="bottom"/>
            </w:pPr>
            <w:r>
              <w:rPr>
                <w:rFonts w:ascii="Arial" w:eastAsia="宋体" w:hAnsi="Arial" w:cs="Arial"/>
                <w:color w:val="000000"/>
                <w:sz w:val="12"/>
                <w:szCs w:val="12"/>
              </w:rPr>
              <w:t>(3)</w:t>
            </w:r>
          </w:p>
        </w:tc>
        <w:tc>
          <w:tcPr>
            <w:tcW w:w="0" w:type="auto"/>
            <w:shd w:val="clear" w:color="auto" w:fill="CCEEFF"/>
            <w:tcMar>
              <w:top w:w="40" w:type="dxa"/>
              <w:left w:w="0" w:type="dxa"/>
              <w:bottom w:w="40" w:type="dxa"/>
              <w:right w:w="20" w:type="dxa"/>
            </w:tcMar>
            <w:vAlign w:val="bottom"/>
          </w:tcPr>
          <w:p w14:paraId="71D3D91F" w14:textId="77777777" w:rsidR="006A3667" w:rsidRDefault="006A3667">
            <w:pPr>
              <w:jc w:val="right"/>
              <w:rPr>
                <w:rFonts w:ascii="宋体"/>
              </w:rPr>
            </w:pPr>
          </w:p>
        </w:tc>
        <w:tc>
          <w:tcPr>
            <w:tcW w:w="0" w:type="auto"/>
            <w:gridSpan w:val="3"/>
            <w:shd w:val="clear" w:color="auto" w:fill="auto"/>
            <w:vAlign w:val="bottom"/>
          </w:tcPr>
          <w:p w14:paraId="71D3D920" w14:textId="77777777" w:rsidR="006A3667" w:rsidRDefault="006A3667">
            <w:pPr>
              <w:rPr>
                <w:rFonts w:ascii="宋体"/>
                <w:vanish/>
              </w:rPr>
            </w:pPr>
          </w:p>
        </w:tc>
        <w:tc>
          <w:tcPr>
            <w:tcW w:w="0" w:type="auto"/>
            <w:gridSpan w:val="3"/>
            <w:shd w:val="clear" w:color="auto" w:fill="auto"/>
            <w:vAlign w:val="bottom"/>
          </w:tcPr>
          <w:p w14:paraId="71D3D921" w14:textId="77777777" w:rsidR="006A3667" w:rsidRDefault="006A3667">
            <w:pPr>
              <w:rPr>
                <w:rFonts w:ascii="宋体"/>
                <w:vanish/>
              </w:rPr>
            </w:pPr>
          </w:p>
        </w:tc>
        <w:tc>
          <w:tcPr>
            <w:tcW w:w="0" w:type="auto"/>
            <w:gridSpan w:val="3"/>
            <w:shd w:val="clear" w:color="auto" w:fill="auto"/>
            <w:vAlign w:val="bottom"/>
          </w:tcPr>
          <w:p w14:paraId="71D3D922" w14:textId="77777777" w:rsidR="006A3667" w:rsidRDefault="006A3667">
            <w:pPr>
              <w:rPr>
                <w:rFonts w:ascii="宋体"/>
                <w:vanish/>
              </w:rPr>
            </w:pPr>
          </w:p>
        </w:tc>
        <w:tc>
          <w:tcPr>
            <w:tcW w:w="0" w:type="auto"/>
            <w:gridSpan w:val="3"/>
            <w:shd w:val="clear" w:color="auto" w:fill="auto"/>
            <w:vAlign w:val="bottom"/>
          </w:tcPr>
          <w:p w14:paraId="71D3D923" w14:textId="77777777" w:rsidR="006A3667" w:rsidRDefault="006A3667">
            <w:pPr>
              <w:rPr>
                <w:rFonts w:ascii="宋体"/>
                <w:vanish/>
              </w:rPr>
            </w:pPr>
          </w:p>
        </w:tc>
        <w:tc>
          <w:tcPr>
            <w:tcW w:w="0" w:type="auto"/>
            <w:gridSpan w:val="3"/>
            <w:shd w:val="clear" w:color="auto" w:fill="auto"/>
            <w:vAlign w:val="bottom"/>
          </w:tcPr>
          <w:p w14:paraId="71D3D924" w14:textId="77777777" w:rsidR="006A3667" w:rsidRDefault="006A3667">
            <w:pPr>
              <w:rPr>
                <w:rFonts w:ascii="宋体"/>
                <w:vanish/>
              </w:rPr>
            </w:pPr>
          </w:p>
        </w:tc>
      </w:tr>
      <w:tr w:rsidR="006A3667" w14:paraId="71D3D934" w14:textId="77777777">
        <w:tc>
          <w:tcPr>
            <w:tcW w:w="0" w:type="auto"/>
            <w:gridSpan w:val="3"/>
            <w:shd w:val="clear" w:color="auto" w:fill="FFFFFF"/>
            <w:tcMar>
              <w:top w:w="40" w:type="dxa"/>
              <w:left w:w="245" w:type="dxa"/>
              <w:bottom w:w="40" w:type="dxa"/>
              <w:right w:w="20" w:type="dxa"/>
            </w:tcMar>
            <w:vAlign w:val="bottom"/>
          </w:tcPr>
          <w:p w14:paraId="71D3D926" w14:textId="77777777" w:rsidR="006A3667" w:rsidRDefault="00045F32">
            <w:pPr>
              <w:textAlignment w:val="bottom"/>
            </w:pPr>
            <w:r>
              <w:rPr>
                <w:rFonts w:ascii="Arial" w:eastAsia="宋体" w:hAnsi="Arial" w:cs="Arial"/>
                <w:color w:val="000000"/>
                <w:sz w:val="12"/>
                <w:szCs w:val="12"/>
              </w:rPr>
              <w:t>Diluted</w:t>
            </w:r>
          </w:p>
        </w:tc>
        <w:tc>
          <w:tcPr>
            <w:tcW w:w="0" w:type="auto"/>
            <w:gridSpan w:val="2"/>
            <w:shd w:val="clear" w:color="auto" w:fill="FFFFFF"/>
            <w:tcMar>
              <w:top w:w="40" w:type="dxa"/>
              <w:left w:w="20" w:type="dxa"/>
              <w:bottom w:w="40" w:type="dxa"/>
              <w:right w:w="0" w:type="dxa"/>
            </w:tcMar>
            <w:vAlign w:val="bottom"/>
          </w:tcPr>
          <w:p w14:paraId="71D3D927" w14:textId="77777777" w:rsidR="006A3667" w:rsidRDefault="00045F32">
            <w:pPr>
              <w:jc w:val="right"/>
              <w:textAlignment w:val="bottom"/>
            </w:pPr>
            <w:r>
              <w:rPr>
                <w:rFonts w:ascii="Arial" w:eastAsia="宋体" w:hAnsi="Arial" w:cs="Arial"/>
                <w:b/>
                <w:bCs/>
                <w:color w:val="000000"/>
                <w:sz w:val="12"/>
                <w:szCs w:val="12"/>
              </w:rPr>
              <w:t>5.28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92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92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92A" w14:textId="77777777" w:rsidR="006A3667" w:rsidRDefault="00045F32">
            <w:pPr>
              <w:jc w:val="right"/>
              <w:textAlignment w:val="bottom"/>
            </w:pPr>
            <w:r>
              <w:rPr>
                <w:rFonts w:ascii="Arial" w:eastAsia="宋体" w:hAnsi="Arial" w:cs="Arial"/>
                <w:color w:val="000000"/>
                <w:sz w:val="12"/>
                <w:szCs w:val="12"/>
              </w:rPr>
              <w:t>5.40 </w:t>
            </w:r>
          </w:p>
        </w:tc>
        <w:tc>
          <w:tcPr>
            <w:tcW w:w="0" w:type="auto"/>
            <w:shd w:val="clear" w:color="auto" w:fill="FFFFFF"/>
            <w:tcMar>
              <w:top w:w="40" w:type="dxa"/>
              <w:left w:w="0" w:type="dxa"/>
              <w:bottom w:w="40" w:type="dxa"/>
              <w:right w:w="20" w:type="dxa"/>
            </w:tcMar>
            <w:vAlign w:val="bottom"/>
          </w:tcPr>
          <w:p w14:paraId="71D3D92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92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92D" w14:textId="77777777" w:rsidR="006A3667" w:rsidRDefault="00045F32">
            <w:pPr>
              <w:jc w:val="right"/>
              <w:textAlignment w:val="bottom"/>
            </w:pPr>
            <w:r>
              <w:rPr>
                <w:rFonts w:ascii="Arial" w:eastAsia="宋体" w:hAnsi="Arial" w:cs="Arial"/>
                <w:color w:val="000000"/>
                <w:sz w:val="12"/>
                <w:szCs w:val="12"/>
              </w:rPr>
              <w:t>(2)</w:t>
            </w:r>
          </w:p>
        </w:tc>
        <w:tc>
          <w:tcPr>
            <w:tcW w:w="0" w:type="auto"/>
            <w:shd w:val="clear" w:color="auto" w:fill="FFFFFF"/>
            <w:tcMar>
              <w:top w:w="40" w:type="dxa"/>
              <w:left w:w="0" w:type="dxa"/>
              <w:bottom w:w="40" w:type="dxa"/>
              <w:right w:w="20" w:type="dxa"/>
            </w:tcMar>
            <w:vAlign w:val="bottom"/>
          </w:tcPr>
          <w:p w14:paraId="71D3D92E" w14:textId="77777777" w:rsidR="006A3667" w:rsidRDefault="006A3667">
            <w:pPr>
              <w:jc w:val="right"/>
              <w:rPr>
                <w:rFonts w:ascii="宋体"/>
              </w:rPr>
            </w:pPr>
          </w:p>
        </w:tc>
        <w:tc>
          <w:tcPr>
            <w:tcW w:w="0" w:type="auto"/>
            <w:gridSpan w:val="3"/>
            <w:shd w:val="clear" w:color="auto" w:fill="auto"/>
            <w:vAlign w:val="bottom"/>
          </w:tcPr>
          <w:p w14:paraId="71D3D92F" w14:textId="77777777" w:rsidR="006A3667" w:rsidRDefault="006A3667">
            <w:pPr>
              <w:rPr>
                <w:rFonts w:ascii="宋体"/>
                <w:vanish/>
              </w:rPr>
            </w:pPr>
          </w:p>
        </w:tc>
        <w:tc>
          <w:tcPr>
            <w:tcW w:w="0" w:type="auto"/>
            <w:gridSpan w:val="3"/>
            <w:shd w:val="clear" w:color="auto" w:fill="auto"/>
            <w:vAlign w:val="bottom"/>
          </w:tcPr>
          <w:p w14:paraId="71D3D930" w14:textId="77777777" w:rsidR="006A3667" w:rsidRDefault="006A3667">
            <w:pPr>
              <w:rPr>
                <w:rFonts w:ascii="宋体"/>
                <w:vanish/>
              </w:rPr>
            </w:pPr>
          </w:p>
        </w:tc>
        <w:tc>
          <w:tcPr>
            <w:tcW w:w="0" w:type="auto"/>
            <w:gridSpan w:val="3"/>
            <w:shd w:val="clear" w:color="auto" w:fill="auto"/>
            <w:vAlign w:val="bottom"/>
          </w:tcPr>
          <w:p w14:paraId="71D3D931" w14:textId="77777777" w:rsidR="006A3667" w:rsidRDefault="006A3667">
            <w:pPr>
              <w:rPr>
                <w:rFonts w:ascii="宋体"/>
                <w:vanish/>
              </w:rPr>
            </w:pPr>
          </w:p>
        </w:tc>
        <w:tc>
          <w:tcPr>
            <w:tcW w:w="0" w:type="auto"/>
            <w:gridSpan w:val="3"/>
            <w:shd w:val="clear" w:color="auto" w:fill="auto"/>
            <w:vAlign w:val="bottom"/>
          </w:tcPr>
          <w:p w14:paraId="71D3D932" w14:textId="77777777" w:rsidR="006A3667" w:rsidRDefault="006A3667">
            <w:pPr>
              <w:rPr>
                <w:rFonts w:ascii="宋体"/>
                <w:vanish/>
              </w:rPr>
            </w:pPr>
          </w:p>
        </w:tc>
        <w:tc>
          <w:tcPr>
            <w:tcW w:w="0" w:type="auto"/>
            <w:gridSpan w:val="3"/>
            <w:shd w:val="clear" w:color="auto" w:fill="auto"/>
            <w:vAlign w:val="bottom"/>
          </w:tcPr>
          <w:p w14:paraId="71D3D933" w14:textId="77777777" w:rsidR="006A3667" w:rsidRDefault="006A3667">
            <w:pPr>
              <w:rPr>
                <w:rFonts w:ascii="宋体"/>
                <w:vanish/>
              </w:rPr>
            </w:pPr>
          </w:p>
        </w:tc>
      </w:tr>
      <w:tr w:rsidR="006A3667" w14:paraId="71D3D940" w14:textId="77777777">
        <w:tc>
          <w:tcPr>
            <w:tcW w:w="0" w:type="auto"/>
            <w:gridSpan w:val="3"/>
            <w:shd w:val="clear" w:color="auto" w:fill="CCEEFF"/>
            <w:tcMar>
              <w:top w:w="40" w:type="dxa"/>
              <w:left w:w="20" w:type="dxa"/>
              <w:bottom w:w="40" w:type="dxa"/>
              <w:right w:w="20" w:type="dxa"/>
            </w:tcMar>
            <w:vAlign w:val="bottom"/>
          </w:tcPr>
          <w:p w14:paraId="71D3D935" w14:textId="77777777" w:rsidR="006A3667" w:rsidRDefault="00045F32">
            <w:pPr>
              <w:textAlignment w:val="bottom"/>
            </w:pPr>
            <w:r>
              <w:rPr>
                <w:rFonts w:ascii="Arial" w:eastAsia="宋体" w:hAnsi="Arial" w:cs="Arial"/>
                <w:color w:val="000000"/>
                <w:sz w:val="12"/>
                <w:szCs w:val="12"/>
              </w:rPr>
              <w:t>Averag</w:t>
            </w:r>
            <w:r>
              <w:rPr>
                <w:rFonts w:ascii="Arial" w:eastAsia="宋体" w:hAnsi="Arial" w:cs="Arial"/>
                <w:color w:val="000000"/>
                <w:sz w:val="12"/>
                <w:szCs w:val="12"/>
              </w:rPr>
              <w:t>e common shares outstanding (in thousands):</w:t>
            </w:r>
          </w:p>
        </w:tc>
        <w:tc>
          <w:tcPr>
            <w:tcW w:w="0" w:type="auto"/>
            <w:gridSpan w:val="3"/>
            <w:shd w:val="clear" w:color="auto" w:fill="CCEEFF"/>
            <w:tcMar>
              <w:top w:w="0" w:type="dxa"/>
              <w:left w:w="20" w:type="dxa"/>
              <w:bottom w:w="0" w:type="dxa"/>
              <w:right w:w="20" w:type="dxa"/>
            </w:tcMar>
            <w:vAlign w:val="bottom"/>
          </w:tcPr>
          <w:p w14:paraId="71D3D93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D93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D93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D93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D93A" w14:textId="77777777" w:rsidR="006A3667" w:rsidRDefault="006A3667">
            <w:pPr>
              <w:rPr>
                <w:rFonts w:ascii="宋体"/>
              </w:rPr>
            </w:pPr>
          </w:p>
        </w:tc>
        <w:tc>
          <w:tcPr>
            <w:tcW w:w="0" w:type="auto"/>
            <w:gridSpan w:val="3"/>
            <w:shd w:val="clear" w:color="auto" w:fill="auto"/>
            <w:vAlign w:val="bottom"/>
          </w:tcPr>
          <w:p w14:paraId="71D3D93B" w14:textId="77777777" w:rsidR="006A3667" w:rsidRDefault="006A3667">
            <w:pPr>
              <w:rPr>
                <w:rFonts w:ascii="宋体"/>
                <w:vanish/>
              </w:rPr>
            </w:pPr>
          </w:p>
        </w:tc>
        <w:tc>
          <w:tcPr>
            <w:tcW w:w="0" w:type="auto"/>
            <w:gridSpan w:val="3"/>
            <w:shd w:val="clear" w:color="auto" w:fill="auto"/>
            <w:vAlign w:val="bottom"/>
          </w:tcPr>
          <w:p w14:paraId="71D3D93C" w14:textId="77777777" w:rsidR="006A3667" w:rsidRDefault="006A3667">
            <w:pPr>
              <w:rPr>
                <w:rFonts w:ascii="宋体"/>
                <w:vanish/>
              </w:rPr>
            </w:pPr>
          </w:p>
        </w:tc>
        <w:tc>
          <w:tcPr>
            <w:tcW w:w="0" w:type="auto"/>
            <w:gridSpan w:val="3"/>
            <w:shd w:val="clear" w:color="auto" w:fill="auto"/>
            <w:vAlign w:val="bottom"/>
          </w:tcPr>
          <w:p w14:paraId="71D3D93D" w14:textId="77777777" w:rsidR="006A3667" w:rsidRDefault="006A3667">
            <w:pPr>
              <w:rPr>
                <w:rFonts w:ascii="宋体"/>
                <w:vanish/>
              </w:rPr>
            </w:pPr>
          </w:p>
        </w:tc>
        <w:tc>
          <w:tcPr>
            <w:tcW w:w="0" w:type="auto"/>
            <w:gridSpan w:val="3"/>
            <w:shd w:val="clear" w:color="auto" w:fill="auto"/>
            <w:vAlign w:val="bottom"/>
          </w:tcPr>
          <w:p w14:paraId="71D3D93E" w14:textId="77777777" w:rsidR="006A3667" w:rsidRDefault="006A3667">
            <w:pPr>
              <w:rPr>
                <w:rFonts w:ascii="宋体"/>
                <w:vanish/>
              </w:rPr>
            </w:pPr>
          </w:p>
        </w:tc>
        <w:tc>
          <w:tcPr>
            <w:tcW w:w="0" w:type="auto"/>
            <w:gridSpan w:val="3"/>
            <w:shd w:val="clear" w:color="auto" w:fill="auto"/>
            <w:vAlign w:val="bottom"/>
          </w:tcPr>
          <w:p w14:paraId="71D3D93F" w14:textId="77777777" w:rsidR="006A3667" w:rsidRDefault="006A3667">
            <w:pPr>
              <w:rPr>
                <w:rFonts w:ascii="宋体"/>
                <w:vanish/>
              </w:rPr>
            </w:pPr>
          </w:p>
        </w:tc>
      </w:tr>
      <w:tr w:rsidR="006A3667" w14:paraId="71D3D94F" w14:textId="77777777">
        <w:tc>
          <w:tcPr>
            <w:tcW w:w="0" w:type="auto"/>
            <w:gridSpan w:val="3"/>
            <w:shd w:val="clear" w:color="auto" w:fill="FFFFFF"/>
            <w:tcMar>
              <w:top w:w="40" w:type="dxa"/>
              <w:left w:w="245" w:type="dxa"/>
              <w:bottom w:w="40" w:type="dxa"/>
              <w:right w:w="20" w:type="dxa"/>
            </w:tcMar>
            <w:vAlign w:val="bottom"/>
          </w:tcPr>
          <w:p w14:paraId="71D3D941" w14:textId="77777777" w:rsidR="006A3667" w:rsidRDefault="00045F32">
            <w:pPr>
              <w:textAlignment w:val="bottom"/>
            </w:pPr>
            <w:r>
              <w:rPr>
                <w:rFonts w:ascii="Arial" w:eastAsia="宋体" w:hAnsi="Arial" w:cs="Arial"/>
                <w:color w:val="000000"/>
                <w:sz w:val="12"/>
                <w:szCs w:val="12"/>
              </w:rPr>
              <w:t>Basic</w:t>
            </w:r>
          </w:p>
        </w:tc>
        <w:tc>
          <w:tcPr>
            <w:tcW w:w="0" w:type="auto"/>
            <w:gridSpan w:val="2"/>
            <w:shd w:val="clear" w:color="auto" w:fill="FFFFFF"/>
            <w:tcMar>
              <w:top w:w="40" w:type="dxa"/>
              <w:left w:w="20" w:type="dxa"/>
              <w:bottom w:w="40" w:type="dxa"/>
              <w:right w:w="0" w:type="dxa"/>
            </w:tcMar>
            <w:vAlign w:val="bottom"/>
          </w:tcPr>
          <w:p w14:paraId="71D3D942" w14:textId="77777777" w:rsidR="006A3667" w:rsidRDefault="00045F32">
            <w:pPr>
              <w:jc w:val="right"/>
              <w:textAlignment w:val="bottom"/>
            </w:pPr>
            <w:r>
              <w:rPr>
                <w:rFonts w:ascii="Arial" w:eastAsia="宋体" w:hAnsi="Arial" w:cs="Arial"/>
                <w:b/>
                <w:bCs/>
                <w:color w:val="000000"/>
                <w:sz w:val="12"/>
                <w:szCs w:val="12"/>
              </w:rPr>
              <w:t>367,240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9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94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945" w14:textId="77777777" w:rsidR="006A3667" w:rsidRDefault="00045F32">
            <w:pPr>
              <w:jc w:val="right"/>
              <w:textAlignment w:val="bottom"/>
            </w:pPr>
            <w:r>
              <w:rPr>
                <w:rFonts w:ascii="Arial" w:eastAsia="宋体" w:hAnsi="Arial" w:cs="Arial"/>
                <w:color w:val="000000"/>
                <w:sz w:val="12"/>
                <w:szCs w:val="12"/>
              </w:rPr>
              <w:t>348,106 </w:t>
            </w:r>
          </w:p>
        </w:tc>
        <w:tc>
          <w:tcPr>
            <w:tcW w:w="0" w:type="auto"/>
            <w:shd w:val="clear" w:color="auto" w:fill="FFFFFF"/>
            <w:tcMar>
              <w:top w:w="40" w:type="dxa"/>
              <w:left w:w="0" w:type="dxa"/>
              <w:bottom w:w="40" w:type="dxa"/>
              <w:right w:w="20" w:type="dxa"/>
            </w:tcMar>
            <w:vAlign w:val="bottom"/>
          </w:tcPr>
          <w:p w14:paraId="71D3D9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94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948" w14:textId="77777777" w:rsidR="006A3667" w:rsidRDefault="00045F32">
            <w:pPr>
              <w:jc w:val="right"/>
              <w:textAlignment w:val="bottom"/>
            </w:pPr>
            <w:r>
              <w:rPr>
                <w:rFonts w:ascii="Arial" w:eastAsia="宋体" w:hAnsi="Arial" w:cs="Arial"/>
                <w:color w:val="000000"/>
                <w:sz w:val="12"/>
                <w:szCs w:val="12"/>
              </w:rPr>
              <w:t>5 </w:t>
            </w:r>
          </w:p>
        </w:tc>
        <w:tc>
          <w:tcPr>
            <w:tcW w:w="0" w:type="auto"/>
            <w:shd w:val="clear" w:color="auto" w:fill="FFFFFF"/>
            <w:tcMar>
              <w:top w:w="40" w:type="dxa"/>
              <w:left w:w="0" w:type="dxa"/>
              <w:bottom w:w="40" w:type="dxa"/>
              <w:right w:w="20" w:type="dxa"/>
            </w:tcMar>
            <w:vAlign w:val="bottom"/>
          </w:tcPr>
          <w:p w14:paraId="71D3D949" w14:textId="77777777" w:rsidR="006A3667" w:rsidRDefault="006A3667">
            <w:pPr>
              <w:jc w:val="right"/>
              <w:rPr>
                <w:rFonts w:ascii="宋体"/>
              </w:rPr>
            </w:pPr>
          </w:p>
        </w:tc>
        <w:tc>
          <w:tcPr>
            <w:tcW w:w="0" w:type="auto"/>
            <w:gridSpan w:val="3"/>
            <w:shd w:val="clear" w:color="auto" w:fill="auto"/>
            <w:vAlign w:val="bottom"/>
          </w:tcPr>
          <w:p w14:paraId="71D3D94A" w14:textId="77777777" w:rsidR="006A3667" w:rsidRDefault="006A3667">
            <w:pPr>
              <w:rPr>
                <w:rFonts w:ascii="宋体"/>
                <w:vanish/>
              </w:rPr>
            </w:pPr>
          </w:p>
        </w:tc>
        <w:tc>
          <w:tcPr>
            <w:tcW w:w="0" w:type="auto"/>
            <w:gridSpan w:val="3"/>
            <w:shd w:val="clear" w:color="auto" w:fill="auto"/>
            <w:vAlign w:val="bottom"/>
          </w:tcPr>
          <w:p w14:paraId="71D3D94B" w14:textId="77777777" w:rsidR="006A3667" w:rsidRDefault="006A3667">
            <w:pPr>
              <w:rPr>
                <w:rFonts w:ascii="宋体"/>
                <w:vanish/>
              </w:rPr>
            </w:pPr>
          </w:p>
        </w:tc>
        <w:tc>
          <w:tcPr>
            <w:tcW w:w="0" w:type="auto"/>
            <w:gridSpan w:val="3"/>
            <w:shd w:val="clear" w:color="auto" w:fill="auto"/>
            <w:vAlign w:val="bottom"/>
          </w:tcPr>
          <w:p w14:paraId="71D3D94C" w14:textId="77777777" w:rsidR="006A3667" w:rsidRDefault="006A3667">
            <w:pPr>
              <w:rPr>
                <w:rFonts w:ascii="宋体"/>
                <w:vanish/>
              </w:rPr>
            </w:pPr>
          </w:p>
        </w:tc>
        <w:tc>
          <w:tcPr>
            <w:tcW w:w="0" w:type="auto"/>
            <w:gridSpan w:val="3"/>
            <w:shd w:val="clear" w:color="auto" w:fill="auto"/>
            <w:vAlign w:val="bottom"/>
          </w:tcPr>
          <w:p w14:paraId="71D3D94D" w14:textId="77777777" w:rsidR="006A3667" w:rsidRDefault="006A3667">
            <w:pPr>
              <w:rPr>
                <w:rFonts w:ascii="宋体"/>
                <w:vanish/>
              </w:rPr>
            </w:pPr>
          </w:p>
        </w:tc>
        <w:tc>
          <w:tcPr>
            <w:tcW w:w="0" w:type="auto"/>
            <w:gridSpan w:val="3"/>
            <w:shd w:val="clear" w:color="auto" w:fill="auto"/>
            <w:vAlign w:val="bottom"/>
          </w:tcPr>
          <w:p w14:paraId="71D3D94E" w14:textId="77777777" w:rsidR="006A3667" w:rsidRDefault="006A3667">
            <w:pPr>
              <w:rPr>
                <w:rFonts w:ascii="宋体"/>
                <w:vanish/>
              </w:rPr>
            </w:pPr>
          </w:p>
        </w:tc>
      </w:tr>
      <w:tr w:rsidR="006A3667" w14:paraId="71D3D95E" w14:textId="77777777">
        <w:tc>
          <w:tcPr>
            <w:tcW w:w="0" w:type="auto"/>
            <w:gridSpan w:val="3"/>
            <w:shd w:val="clear" w:color="auto" w:fill="CCEEFF"/>
            <w:tcMar>
              <w:top w:w="40" w:type="dxa"/>
              <w:left w:w="245" w:type="dxa"/>
              <w:bottom w:w="40" w:type="dxa"/>
              <w:right w:w="20" w:type="dxa"/>
            </w:tcMar>
            <w:vAlign w:val="bottom"/>
          </w:tcPr>
          <w:p w14:paraId="71D3D950" w14:textId="77777777" w:rsidR="006A3667" w:rsidRDefault="00045F32">
            <w:pPr>
              <w:textAlignment w:val="bottom"/>
            </w:pPr>
            <w:r>
              <w:rPr>
                <w:rFonts w:ascii="Arial" w:eastAsia="宋体" w:hAnsi="Arial" w:cs="Arial"/>
                <w:color w:val="000000"/>
                <w:sz w:val="12"/>
                <w:szCs w:val="12"/>
              </w:rPr>
              <w:t>Dilute</w:t>
            </w:r>
            <w:r>
              <w:rPr>
                <w:rFonts w:ascii="Arial" w:eastAsia="宋体" w:hAnsi="Arial" w:cs="Arial"/>
                <w:color w:val="000000"/>
                <w:sz w:val="12"/>
                <w:szCs w:val="12"/>
              </w:rPr>
              <w:t>d</w:t>
            </w:r>
          </w:p>
        </w:tc>
        <w:tc>
          <w:tcPr>
            <w:tcW w:w="0" w:type="auto"/>
            <w:gridSpan w:val="2"/>
            <w:shd w:val="clear" w:color="auto" w:fill="CCEEFF"/>
            <w:tcMar>
              <w:top w:w="40" w:type="dxa"/>
              <w:left w:w="20" w:type="dxa"/>
              <w:bottom w:w="40" w:type="dxa"/>
              <w:right w:w="0" w:type="dxa"/>
            </w:tcMar>
            <w:vAlign w:val="bottom"/>
          </w:tcPr>
          <w:p w14:paraId="71D3D951" w14:textId="77777777" w:rsidR="006A3667" w:rsidRDefault="00045F32">
            <w:pPr>
              <w:jc w:val="right"/>
              <w:textAlignment w:val="bottom"/>
            </w:pPr>
            <w:r>
              <w:rPr>
                <w:rFonts w:ascii="Arial" w:eastAsia="宋体" w:hAnsi="Arial" w:cs="Arial"/>
                <w:b/>
                <w:bCs/>
                <w:color w:val="000000"/>
                <w:sz w:val="12"/>
                <w:szCs w:val="12"/>
              </w:rPr>
              <w:t>372,194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95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95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954" w14:textId="77777777" w:rsidR="006A3667" w:rsidRDefault="00045F32">
            <w:pPr>
              <w:jc w:val="right"/>
              <w:textAlignment w:val="bottom"/>
            </w:pPr>
            <w:r>
              <w:rPr>
                <w:rFonts w:ascii="Arial" w:eastAsia="宋体" w:hAnsi="Arial" w:cs="Arial"/>
                <w:color w:val="000000"/>
                <w:sz w:val="12"/>
                <w:szCs w:val="12"/>
              </w:rPr>
              <w:t>353,376 </w:t>
            </w:r>
          </w:p>
        </w:tc>
        <w:tc>
          <w:tcPr>
            <w:tcW w:w="0" w:type="auto"/>
            <w:shd w:val="clear" w:color="auto" w:fill="CCEEFF"/>
            <w:tcMar>
              <w:top w:w="40" w:type="dxa"/>
              <w:left w:w="0" w:type="dxa"/>
              <w:bottom w:w="40" w:type="dxa"/>
              <w:right w:w="20" w:type="dxa"/>
            </w:tcMar>
            <w:vAlign w:val="bottom"/>
          </w:tcPr>
          <w:p w14:paraId="71D3D95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95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957" w14:textId="77777777" w:rsidR="006A3667" w:rsidRDefault="00045F32">
            <w:pPr>
              <w:jc w:val="right"/>
              <w:textAlignment w:val="bottom"/>
            </w:pPr>
            <w:r>
              <w:rPr>
                <w:rFonts w:ascii="Arial" w:eastAsia="宋体" w:hAnsi="Arial" w:cs="Arial"/>
                <w:color w:val="000000"/>
                <w:sz w:val="12"/>
                <w:szCs w:val="12"/>
              </w:rPr>
              <w:t>5 </w:t>
            </w:r>
          </w:p>
        </w:tc>
        <w:tc>
          <w:tcPr>
            <w:tcW w:w="0" w:type="auto"/>
            <w:shd w:val="clear" w:color="auto" w:fill="CCEEFF"/>
            <w:tcMar>
              <w:top w:w="40" w:type="dxa"/>
              <w:left w:w="0" w:type="dxa"/>
              <w:bottom w:w="40" w:type="dxa"/>
              <w:right w:w="20" w:type="dxa"/>
            </w:tcMar>
            <w:vAlign w:val="bottom"/>
          </w:tcPr>
          <w:p w14:paraId="71D3D958" w14:textId="77777777" w:rsidR="006A3667" w:rsidRDefault="006A3667">
            <w:pPr>
              <w:jc w:val="right"/>
              <w:rPr>
                <w:rFonts w:ascii="宋体"/>
              </w:rPr>
            </w:pPr>
          </w:p>
        </w:tc>
        <w:tc>
          <w:tcPr>
            <w:tcW w:w="0" w:type="auto"/>
            <w:gridSpan w:val="3"/>
            <w:shd w:val="clear" w:color="auto" w:fill="auto"/>
            <w:vAlign w:val="bottom"/>
          </w:tcPr>
          <w:p w14:paraId="71D3D959" w14:textId="77777777" w:rsidR="006A3667" w:rsidRDefault="006A3667">
            <w:pPr>
              <w:rPr>
                <w:rFonts w:ascii="宋体"/>
                <w:vanish/>
              </w:rPr>
            </w:pPr>
          </w:p>
        </w:tc>
        <w:tc>
          <w:tcPr>
            <w:tcW w:w="0" w:type="auto"/>
            <w:gridSpan w:val="3"/>
            <w:shd w:val="clear" w:color="auto" w:fill="auto"/>
            <w:vAlign w:val="bottom"/>
          </w:tcPr>
          <w:p w14:paraId="71D3D95A" w14:textId="77777777" w:rsidR="006A3667" w:rsidRDefault="006A3667">
            <w:pPr>
              <w:rPr>
                <w:rFonts w:ascii="宋体"/>
                <w:vanish/>
              </w:rPr>
            </w:pPr>
          </w:p>
        </w:tc>
        <w:tc>
          <w:tcPr>
            <w:tcW w:w="0" w:type="auto"/>
            <w:gridSpan w:val="3"/>
            <w:shd w:val="clear" w:color="auto" w:fill="auto"/>
            <w:vAlign w:val="bottom"/>
          </w:tcPr>
          <w:p w14:paraId="71D3D95B" w14:textId="77777777" w:rsidR="006A3667" w:rsidRDefault="006A3667">
            <w:pPr>
              <w:rPr>
                <w:rFonts w:ascii="宋体"/>
                <w:vanish/>
              </w:rPr>
            </w:pPr>
          </w:p>
        </w:tc>
        <w:tc>
          <w:tcPr>
            <w:tcW w:w="0" w:type="auto"/>
            <w:gridSpan w:val="3"/>
            <w:shd w:val="clear" w:color="auto" w:fill="auto"/>
            <w:vAlign w:val="bottom"/>
          </w:tcPr>
          <w:p w14:paraId="71D3D95C" w14:textId="77777777" w:rsidR="006A3667" w:rsidRDefault="006A3667">
            <w:pPr>
              <w:rPr>
                <w:rFonts w:ascii="宋体"/>
                <w:vanish/>
              </w:rPr>
            </w:pPr>
          </w:p>
        </w:tc>
        <w:tc>
          <w:tcPr>
            <w:tcW w:w="0" w:type="auto"/>
            <w:gridSpan w:val="3"/>
            <w:shd w:val="clear" w:color="auto" w:fill="auto"/>
            <w:vAlign w:val="bottom"/>
          </w:tcPr>
          <w:p w14:paraId="71D3D95D" w14:textId="77777777" w:rsidR="006A3667" w:rsidRDefault="006A3667">
            <w:pPr>
              <w:rPr>
                <w:rFonts w:ascii="宋体"/>
                <w:vanish/>
              </w:rPr>
            </w:pPr>
          </w:p>
        </w:tc>
      </w:tr>
      <w:tr w:rsidR="006A3667" w14:paraId="71D3D96F" w14:textId="77777777">
        <w:tc>
          <w:tcPr>
            <w:tcW w:w="0" w:type="auto"/>
            <w:gridSpan w:val="3"/>
            <w:shd w:val="clear" w:color="auto" w:fill="FFFFFF"/>
            <w:tcMar>
              <w:top w:w="40" w:type="dxa"/>
              <w:left w:w="20" w:type="dxa"/>
              <w:bottom w:w="40" w:type="dxa"/>
              <w:right w:w="20" w:type="dxa"/>
            </w:tcMar>
            <w:vAlign w:val="bottom"/>
          </w:tcPr>
          <w:p w14:paraId="71D3D95F" w14:textId="77777777" w:rsidR="006A3667" w:rsidRDefault="00045F32">
            <w:pPr>
              <w:textAlignment w:val="bottom"/>
            </w:pPr>
            <w:r>
              <w:rPr>
                <w:rFonts w:ascii="Arial" w:eastAsia="宋体" w:hAnsi="Arial" w:cs="Arial"/>
                <w:color w:val="000000"/>
                <w:sz w:val="12"/>
                <w:szCs w:val="12"/>
              </w:rPr>
              <w:t>Cash dividends declared per common share</w:t>
            </w:r>
          </w:p>
        </w:tc>
        <w:tc>
          <w:tcPr>
            <w:tcW w:w="0" w:type="auto"/>
            <w:shd w:val="clear" w:color="auto" w:fill="FFFFFF"/>
            <w:tcMar>
              <w:top w:w="40" w:type="dxa"/>
              <w:left w:w="20" w:type="dxa"/>
              <w:bottom w:w="40" w:type="dxa"/>
              <w:right w:w="0" w:type="dxa"/>
            </w:tcMar>
            <w:vAlign w:val="bottom"/>
          </w:tcPr>
          <w:p w14:paraId="71D3D960"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3D961" w14:textId="77777777" w:rsidR="006A3667" w:rsidRDefault="00045F32">
            <w:pPr>
              <w:jc w:val="right"/>
              <w:textAlignment w:val="bottom"/>
            </w:pPr>
            <w:r>
              <w:rPr>
                <w:rFonts w:ascii="Arial" w:eastAsia="宋体" w:hAnsi="Arial" w:cs="Arial"/>
                <w:b/>
                <w:bCs/>
                <w:color w:val="000000"/>
                <w:sz w:val="12"/>
                <w:szCs w:val="12"/>
              </w:rPr>
              <w:t>1.77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D9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963"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3D964"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3D965" w14:textId="77777777" w:rsidR="006A3667" w:rsidRDefault="00045F32">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71D3D96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96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968" w14:textId="77777777" w:rsidR="006A3667" w:rsidRDefault="00045F32">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71D3D969" w14:textId="77777777" w:rsidR="006A3667" w:rsidRDefault="006A3667">
            <w:pPr>
              <w:jc w:val="right"/>
              <w:rPr>
                <w:rFonts w:ascii="宋体"/>
              </w:rPr>
            </w:pPr>
          </w:p>
        </w:tc>
        <w:tc>
          <w:tcPr>
            <w:tcW w:w="0" w:type="auto"/>
            <w:gridSpan w:val="3"/>
            <w:shd w:val="clear" w:color="auto" w:fill="auto"/>
            <w:vAlign w:val="bottom"/>
          </w:tcPr>
          <w:p w14:paraId="71D3D96A" w14:textId="77777777" w:rsidR="006A3667" w:rsidRDefault="006A3667">
            <w:pPr>
              <w:rPr>
                <w:rFonts w:ascii="宋体"/>
                <w:vanish/>
              </w:rPr>
            </w:pPr>
          </w:p>
        </w:tc>
        <w:tc>
          <w:tcPr>
            <w:tcW w:w="0" w:type="auto"/>
            <w:gridSpan w:val="3"/>
            <w:shd w:val="clear" w:color="auto" w:fill="auto"/>
            <w:vAlign w:val="bottom"/>
          </w:tcPr>
          <w:p w14:paraId="71D3D96B" w14:textId="77777777" w:rsidR="006A3667" w:rsidRDefault="006A3667">
            <w:pPr>
              <w:rPr>
                <w:rFonts w:ascii="宋体"/>
                <w:vanish/>
              </w:rPr>
            </w:pPr>
          </w:p>
        </w:tc>
        <w:tc>
          <w:tcPr>
            <w:tcW w:w="0" w:type="auto"/>
            <w:gridSpan w:val="3"/>
            <w:shd w:val="clear" w:color="auto" w:fill="auto"/>
            <w:vAlign w:val="bottom"/>
          </w:tcPr>
          <w:p w14:paraId="71D3D96C" w14:textId="77777777" w:rsidR="006A3667" w:rsidRDefault="006A3667">
            <w:pPr>
              <w:rPr>
                <w:rFonts w:ascii="宋体"/>
                <w:vanish/>
              </w:rPr>
            </w:pPr>
          </w:p>
        </w:tc>
        <w:tc>
          <w:tcPr>
            <w:tcW w:w="0" w:type="auto"/>
            <w:gridSpan w:val="3"/>
            <w:shd w:val="clear" w:color="auto" w:fill="auto"/>
            <w:vAlign w:val="bottom"/>
          </w:tcPr>
          <w:p w14:paraId="71D3D96D" w14:textId="77777777" w:rsidR="006A3667" w:rsidRDefault="006A3667">
            <w:pPr>
              <w:rPr>
                <w:rFonts w:ascii="宋体"/>
                <w:vanish/>
              </w:rPr>
            </w:pPr>
          </w:p>
        </w:tc>
        <w:tc>
          <w:tcPr>
            <w:tcW w:w="0" w:type="auto"/>
            <w:gridSpan w:val="3"/>
            <w:shd w:val="clear" w:color="auto" w:fill="auto"/>
            <w:vAlign w:val="bottom"/>
          </w:tcPr>
          <w:p w14:paraId="71D3D96E" w14:textId="77777777" w:rsidR="006A3667" w:rsidRDefault="006A3667">
            <w:pPr>
              <w:rPr>
                <w:rFonts w:ascii="宋体"/>
                <w:vanish/>
              </w:rPr>
            </w:pPr>
          </w:p>
        </w:tc>
      </w:tr>
      <w:tr w:rsidR="006A3667" w14:paraId="71D3D97D" w14:textId="77777777">
        <w:tc>
          <w:tcPr>
            <w:tcW w:w="0" w:type="auto"/>
            <w:gridSpan w:val="3"/>
            <w:shd w:val="clear" w:color="auto" w:fill="CCEEFF"/>
            <w:tcMar>
              <w:top w:w="40" w:type="dxa"/>
              <w:left w:w="20" w:type="dxa"/>
              <w:bottom w:w="40" w:type="dxa"/>
              <w:right w:w="20" w:type="dxa"/>
            </w:tcMar>
            <w:vAlign w:val="bottom"/>
          </w:tcPr>
          <w:p w14:paraId="71D3D970" w14:textId="77777777" w:rsidR="006A3667" w:rsidRDefault="00045F32">
            <w:pPr>
              <w:textAlignment w:val="bottom"/>
            </w:pPr>
            <w:r>
              <w:rPr>
                <w:rFonts w:ascii="Arial" w:eastAsia="宋体" w:hAnsi="Arial" w:cs="Arial"/>
                <w:color w:val="000000"/>
                <w:sz w:val="12"/>
                <w:szCs w:val="12"/>
              </w:rPr>
              <w:t>Return on average common equity</w:t>
            </w:r>
          </w:p>
        </w:tc>
        <w:tc>
          <w:tcPr>
            <w:tcW w:w="0" w:type="auto"/>
            <w:gridSpan w:val="2"/>
            <w:shd w:val="clear" w:color="auto" w:fill="CCEEFF"/>
            <w:tcMar>
              <w:top w:w="40" w:type="dxa"/>
              <w:left w:w="20" w:type="dxa"/>
              <w:bottom w:w="40" w:type="dxa"/>
              <w:right w:w="0" w:type="dxa"/>
            </w:tcMar>
            <w:vAlign w:val="bottom"/>
          </w:tcPr>
          <w:p w14:paraId="71D3D971" w14:textId="77777777" w:rsidR="006A3667" w:rsidRDefault="00045F32">
            <w:pPr>
              <w:jc w:val="right"/>
              <w:textAlignment w:val="bottom"/>
            </w:pPr>
            <w:r>
              <w:rPr>
                <w:rFonts w:ascii="Arial" w:eastAsia="宋体" w:hAnsi="Arial" w:cs="Arial"/>
                <w:b/>
                <w:bCs/>
                <w:color w:val="000000"/>
                <w:sz w:val="12"/>
                <w:szCs w:val="12"/>
              </w:rPr>
              <w:t>10.9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D972"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3D97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974" w14:textId="77777777" w:rsidR="006A3667" w:rsidRDefault="00045F32">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71D3D975"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3D976"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3D977" w14:textId="77777777" w:rsidR="006A3667" w:rsidRDefault="00045F32">
            <w:pPr>
              <w:jc w:val="right"/>
              <w:textAlignment w:val="bottom"/>
            </w:pPr>
            <w:r>
              <w:rPr>
                <w:rFonts w:ascii="Arial" w:eastAsia="宋体" w:hAnsi="Arial" w:cs="Arial"/>
                <w:color w:val="000000"/>
                <w:sz w:val="12"/>
                <w:szCs w:val="12"/>
              </w:rPr>
              <w:t>10 bps</w:t>
            </w:r>
          </w:p>
        </w:tc>
        <w:tc>
          <w:tcPr>
            <w:tcW w:w="0" w:type="auto"/>
            <w:gridSpan w:val="3"/>
            <w:shd w:val="clear" w:color="auto" w:fill="auto"/>
            <w:vAlign w:val="bottom"/>
          </w:tcPr>
          <w:p w14:paraId="71D3D978" w14:textId="77777777" w:rsidR="006A3667" w:rsidRDefault="006A3667">
            <w:pPr>
              <w:rPr>
                <w:rFonts w:ascii="宋体"/>
                <w:vanish/>
              </w:rPr>
            </w:pPr>
          </w:p>
        </w:tc>
        <w:tc>
          <w:tcPr>
            <w:tcW w:w="0" w:type="auto"/>
            <w:gridSpan w:val="3"/>
            <w:shd w:val="clear" w:color="auto" w:fill="auto"/>
            <w:vAlign w:val="bottom"/>
          </w:tcPr>
          <w:p w14:paraId="71D3D979" w14:textId="77777777" w:rsidR="006A3667" w:rsidRDefault="006A3667">
            <w:pPr>
              <w:rPr>
                <w:rFonts w:ascii="宋体"/>
                <w:vanish/>
              </w:rPr>
            </w:pPr>
          </w:p>
        </w:tc>
        <w:tc>
          <w:tcPr>
            <w:tcW w:w="0" w:type="auto"/>
            <w:gridSpan w:val="3"/>
            <w:shd w:val="clear" w:color="auto" w:fill="auto"/>
            <w:vAlign w:val="bottom"/>
          </w:tcPr>
          <w:p w14:paraId="71D3D97A" w14:textId="77777777" w:rsidR="006A3667" w:rsidRDefault="006A3667">
            <w:pPr>
              <w:rPr>
                <w:rFonts w:ascii="宋体"/>
                <w:vanish/>
              </w:rPr>
            </w:pPr>
          </w:p>
        </w:tc>
        <w:tc>
          <w:tcPr>
            <w:tcW w:w="0" w:type="auto"/>
            <w:gridSpan w:val="3"/>
            <w:shd w:val="clear" w:color="auto" w:fill="auto"/>
            <w:vAlign w:val="bottom"/>
          </w:tcPr>
          <w:p w14:paraId="71D3D97B" w14:textId="77777777" w:rsidR="006A3667" w:rsidRDefault="006A3667">
            <w:pPr>
              <w:rPr>
                <w:rFonts w:ascii="宋体"/>
                <w:vanish/>
              </w:rPr>
            </w:pPr>
          </w:p>
        </w:tc>
        <w:tc>
          <w:tcPr>
            <w:tcW w:w="0" w:type="auto"/>
            <w:gridSpan w:val="3"/>
            <w:shd w:val="clear" w:color="auto" w:fill="auto"/>
            <w:vAlign w:val="bottom"/>
          </w:tcPr>
          <w:p w14:paraId="71D3D97C" w14:textId="77777777" w:rsidR="006A3667" w:rsidRDefault="006A3667">
            <w:pPr>
              <w:rPr>
                <w:rFonts w:ascii="宋体"/>
                <w:vanish/>
              </w:rPr>
            </w:pPr>
          </w:p>
        </w:tc>
      </w:tr>
      <w:tr w:rsidR="006A3667" w14:paraId="71D3D98C" w14:textId="77777777">
        <w:tc>
          <w:tcPr>
            <w:tcW w:w="0" w:type="auto"/>
            <w:gridSpan w:val="3"/>
            <w:shd w:val="clear" w:color="auto" w:fill="auto"/>
            <w:tcMar>
              <w:top w:w="40" w:type="dxa"/>
              <w:left w:w="20" w:type="dxa"/>
              <w:bottom w:w="40" w:type="dxa"/>
              <w:right w:w="20" w:type="dxa"/>
            </w:tcMar>
            <w:vAlign w:val="bottom"/>
          </w:tcPr>
          <w:p w14:paraId="71D3D97E" w14:textId="77777777" w:rsidR="006A3667" w:rsidRDefault="00045F32">
            <w:pPr>
              <w:textAlignment w:val="bottom"/>
            </w:pPr>
            <w:r>
              <w:rPr>
                <w:rFonts w:ascii="Arial" w:eastAsia="宋体" w:hAnsi="Arial" w:cs="Arial"/>
                <w:color w:val="000000"/>
                <w:sz w:val="12"/>
                <w:szCs w:val="12"/>
              </w:rPr>
              <w:t>Pre-tax margin</w:t>
            </w:r>
          </w:p>
        </w:tc>
        <w:tc>
          <w:tcPr>
            <w:tcW w:w="0" w:type="auto"/>
            <w:gridSpan w:val="2"/>
            <w:shd w:val="clear" w:color="auto" w:fill="auto"/>
            <w:tcMar>
              <w:top w:w="40" w:type="dxa"/>
              <w:left w:w="20" w:type="dxa"/>
              <w:bottom w:w="40" w:type="dxa"/>
              <w:right w:w="0" w:type="dxa"/>
            </w:tcMar>
            <w:vAlign w:val="bottom"/>
          </w:tcPr>
          <w:p w14:paraId="71D3D97F" w14:textId="77777777" w:rsidR="006A3667" w:rsidRDefault="00045F32">
            <w:pPr>
              <w:jc w:val="right"/>
              <w:textAlignment w:val="bottom"/>
            </w:pPr>
            <w:r>
              <w:rPr>
                <w:rFonts w:ascii="Arial" w:eastAsia="宋体" w:hAnsi="Arial" w:cs="Arial"/>
                <w:b/>
                <w:bCs/>
                <w:color w:val="000000"/>
                <w:sz w:val="12"/>
                <w:szCs w:val="12"/>
              </w:rPr>
              <w:t>27.1</w:t>
            </w:r>
            <w:r>
              <w:rPr>
                <w:rFonts w:ascii="Arial" w:eastAsia="宋体" w:hAnsi="Arial" w:cs="Arial"/>
                <w:color w:val="000000"/>
                <w:sz w:val="12"/>
                <w:szCs w:val="12"/>
              </w:rPr>
              <w:t> </w:t>
            </w:r>
          </w:p>
        </w:tc>
        <w:tc>
          <w:tcPr>
            <w:tcW w:w="0" w:type="auto"/>
            <w:shd w:val="clear" w:color="auto" w:fill="auto"/>
            <w:tcMar>
              <w:top w:w="40" w:type="dxa"/>
              <w:left w:w="0" w:type="dxa"/>
              <w:bottom w:w="40" w:type="dxa"/>
              <w:right w:w="20" w:type="dxa"/>
            </w:tcMar>
            <w:vAlign w:val="bottom"/>
          </w:tcPr>
          <w:p w14:paraId="71D3D980" w14:textId="77777777" w:rsidR="006A3667" w:rsidRDefault="006A3667">
            <w:pPr>
              <w:jc w:val="right"/>
              <w:rPr>
                <w:rFonts w:ascii="宋体"/>
              </w:rPr>
            </w:pPr>
          </w:p>
        </w:tc>
        <w:tc>
          <w:tcPr>
            <w:tcW w:w="0" w:type="auto"/>
            <w:gridSpan w:val="3"/>
            <w:shd w:val="clear" w:color="auto" w:fill="auto"/>
            <w:tcMar>
              <w:top w:w="0" w:type="dxa"/>
              <w:left w:w="20" w:type="dxa"/>
              <w:bottom w:w="0" w:type="dxa"/>
              <w:right w:w="20" w:type="dxa"/>
            </w:tcMar>
            <w:vAlign w:val="bottom"/>
          </w:tcPr>
          <w:p w14:paraId="71D3D981" w14:textId="77777777" w:rsidR="006A3667" w:rsidRDefault="006A3667">
            <w:pPr>
              <w:rPr>
                <w:rFonts w:ascii="宋体"/>
              </w:rPr>
            </w:pPr>
          </w:p>
        </w:tc>
        <w:tc>
          <w:tcPr>
            <w:tcW w:w="0" w:type="auto"/>
            <w:gridSpan w:val="2"/>
            <w:shd w:val="clear" w:color="auto" w:fill="auto"/>
            <w:tcMar>
              <w:top w:w="40" w:type="dxa"/>
              <w:left w:w="20" w:type="dxa"/>
              <w:bottom w:w="40" w:type="dxa"/>
              <w:right w:w="0" w:type="dxa"/>
            </w:tcMar>
            <w:vAlign w:val="bottom"/>
          </w:tcPr>
          <w:p w14:paraId="71D3D982" w14:textId="77777777" w:rsidR="006A3667" w:rsidRDefault="00045F32">
            <w:pPr>
              <w:jc w:val="right"/>
              <w:textAlignment w:val="bottom"/>
            </w:pPr>
            <w:r>
              <w:rPr>
                <w:rFonts w:ascii="Arial" w:eastAsia="宋体" w:hAnsi="Arial" w:cs="Arial"/>
                <w:color w:val="000000"/>
                <w:sz w:val="12"/>
                <w:szCs w:val="12"/>
              </w:rPr>
              <w:t>27.2 </w:t>
            </w:r>
          </w:p>
        </w:tc>
        <w:tc>
          <w:tcPr>
            <w:tcW w:w="0" w:type="auto"/>
            <w:shd w:val="clear" w:color="auto" w:fill="auto"/>
            <w:tcMar>
              <w:top w:w="40" w:type="dxa"/>
              <w:left w:w="0" w:type="dxa"/>
              <w:bottom w:w="40" w:type="dxa"/>
              <w:right w:w="20" w:type="dxa"/>
            </w:tcMar>
            <w:vAlign w:val="bottom"/>
          </w:tcPr>
          <w:p w14:paraId="71D3D983" w14:textId="77777777" w:rsidR="006A3667" w:rsidRDefault="006A3667">
            <w:pPr>
              <w:jc w:val="right"/>
              <w:rPr>
                <w:rFonts w:ascii="宋体"/>
              </w:rPr>
            </w:pPr>
          </w:p>
        </w:tc>
        <w:tc>
          <w:tcPr>
            <w:tcW w:w="0" w:type="auto"/>
            <w:gridSpan w:val="3"/>
            <w:shd w:val="clear" w:color="auto" w:fill="auto"/>
            <w:tcMar>
              <w:top w:w="0" w:type="dxa"/>
              <w:left w:w="20" w:type="dxa"/>
              <w:bottom w:w="0" w:type="dxa"/>
              <w:right w:w="20" w:type="dxa"/>
            </w:tcMar>
            <w:vAlign w:val="bottom"/>
          </w:tcPr>
          <w:p w14:paraId="71D3D984" w14:textId="77777777" w:rsidR="006A3667" w:rsidRDefault="006A3667">
            <w:pPr>
              <w:rPr>
                <w:rFonts w:ascii="宋体"/>
              </w:rPr>
            </w:pPr>
          </w:p>
        </w:tc>
        <w:tc>
          <w:tcPr>
            <w:tcW w:w="0" w:type="auto"/>
            <w:gridSpan w:val="2"/>
            <w:shd w:val="clear" w:color="auto" w:fill="auto"/>
            <w:tcMar>
              <w:top w:w="40" w:type="dxa"/>
              <w:left w:w="20" w:type="dxa"/>
              <w:bottom w:w="40" w:type="dxa"/>
              <w:right w:w="0" w:type="dxa"/>
            </w:tcMar>
            <w:vAlign w:val="bottom"/>
          </w:tcPr>
          <w:p w14:paraId="71D3D985" w14:textId="77777777" w:rsidR="006A3667" w:rsidRDefault="00045F32">
            <w:pPr>
              <w:jc w:val="right"/>
              <w:textAlignment w:val="bottom"/>
            </w:pPr>
            <w:r>
              <w:rPr>
                <w:rFonts w:ascii="Arial" w:eastAsia="宋体" w:hAnsi="Arial" w:cs="Arial"/>
                <w:color w:val="000000"/>
                <w:sz w:val="12"/>
                <w:szCs w:val="12"/>
              </w:rPr>
              <w:t>(10)</w:t>
            </w:r>
          </w:p>
        </w:tc>
        <w:tc>
          <w:tcPr>
            <w:tcW w:w="0" w:type="auto"/>
            <w:shd w:val="clear" w:color="auto" w:fill="auto"/>
            <w:tcMar>
              <w:top w:w="40" w:type="dxa"/>
              <w:left w:w="0" w:type="dxa"/>
              <w:bottom w:w="40" w:type="dxa"/>
              <w:right w:w="20" w:type="dxa"/>
            </w:tcMar>
            <w:vAlign w:val="bottom"/>
          </w:tcPr>
          <w:p w14:paraId="71D3D986" w14:textId="77777777" w:rsidR="006A3667" w:rsidRDefault="006A3667">
            <w:pPr>
              <w:jc w:val="right"/>
              <w:rPr>
                <w:rFonts w:ascii="宋体"/>
              </w:rPr>
            </w:pPr>
          </w:p>
        </w:tc>
        <w:tc>
          <w:tcPr>
            <w:tcW w:w="0" w:type="auto"/>
            <w:gridSpan w:val="3"/>
            <w:shd w:val="clear" w:color="auto" w:fill="auto"/>
            <w:vAlign w:val="bottom"/>
          </w:tcPr>
          <w:p w14:paraId="71D3D987" w14:textId="77777777" w:rsidR="006A3667" w:rsidRDefault="006A3667">
            <w:pPr>
              <w:rPr>
                <w:rFonts w:ascii="宋体"/>
                <w:vanish/>
              </w:rPr>
            </w:pPr>
          </w:p>
        </w:tc>
        <w:tc>
          <w:tcPr>
            <w:tcW w:w="0" w:type="auto"/>
            <w:gridSpan w:val="3"/>
            <w:shd w:val="clear" w:color="auto" w:fill="auto"/>
            <w:vAlign w:val="bottom"/>
          </w:tcPr>
          <w:p w14:paraId="71D3D988" w14:textId="77777777" w:rsidR="006A3667" w:rsidRDefault="006A3667">
            <w:pPr>
              <w:rPr>
                <w:rFonts w:ascii="宋体"/>
                <w:vanish/>
              </w:rPr>
            </w:pPr>
          </w:p>
        </w:tc>
        <w:tc>
          <w:tcPr>
            <w:tcW w:w="0" w:type="auto"/>
            <w:gridSpan w:val="3"/>
            <w:shd w:val="clear" w:color="auto" w:fill="auto"/>
            <w:vAlign w:val="bottom"/>
          </w:tcPr>
          <w:p w14:paraId="71D3D989" w14:textId="77777777" w:rsidR="006A3667" w:rsidRDefault="006A3667">
            <w:pPr>
              <w:rPr>
                <w:rFonts w:ascii="宋体"/>
                <w:vanish/>
              </w:rPr>
            </w:pPr>
          </w:p>
        </w:tc>
        <w:tc>
          <w:tcPr>
            <w:tcW w:w="0" w:type="auto"/>
            <w:gridSpan w:val="3"/>
            <w:shd w:val="clear" w:color="auto" w:fill="auto"/>
            <w:vAlign w:val="bottom"/>
          </w:tcPr>
          <w:p w14:paraId="71D3D98A" w14:textId="77777777" w:rsidR="006A3667" w:rsidRDefault="006A3667">
            <w:pPr>
              <w:rPr>
                <w:rFonts w:ascii="宋体"/>
                <w:vanish/>
              </w:rPr>
            </w:pPr>
          </w:p>
        </w:tc>
        <w:tc>
          <w:tcPr>
            <w:tcW w:w="0" w:type="auto"/>
            <w:gridSpan w:val="3"/>
            <w:shd w:val="clear" w:color="auto" w:fill="auto"/>
            <w:vAlign w:val="bottom"/>
          </w:tcPr>
          <w:p w14:paraId="71D3D98B" w14:textId="77777777" w:rsidR="006A3667" w:rsidRDefault="006A3667">
            <w:pPr>
              <w:rPr>
                <w:rFonts w:ascii="宋体"/>
                <w:vanish/>
              </w:rPr>
            </w:pPr>
          </w:p>
        </w:tc>
      </w:tr>
      <w:tr w:rsidR="006A3667" w14:paraId="71D3D99C" w14:textId="77777777">
        <w:trPr>
          <w:hidden/>
        </w:trPr>
        <w:tc>
          <w:tcPr>
            <w:tcW w:w="0" w:type="auto"/>
            <w:gridSpan w:val="3"/>
            <w:shd w:val="clear" w:color="auto" w:fill="auto"/>
            <w:vAlign w:val="bottom"/>
          </w:tcPr>
          <w:p w14:paraId="71D3D98D" w14:textId="77777777" w:rsidR="006A3667" w:rsidRDefault="006A3667">
            <w:pPr>
              <w:rPr>
                <w:rFonts w:ascii="宋体"/>
                <w:vanish/>
              </w:rPr>
            </w:pPr>
          </w:p>
        </w:tc>
        <w:tc>
          <w:tcPr>
            <w:tcW w:w="0" w:type="auto"/>
            <w:gridSpan w:val="3"/>
            <w:shd w:val="clear" w:color="auto" w:fill="auto"/>
            <w:vAlign w:val="bottom"/>
          </w:tcPr>
          <w:p w14:paraId="71D3D98E" w14:textId="77777777" w:rsidR="006A3667" w:rsidRDefault="006A3667">
            <w:pPr>
              <w:rPr>
                <w:rFonts w:ascii="宋体"/>
                <w:vanish/>
              </w:rPr>
            </w:pPr>
          </w:p>
        </w:tc>
        <w:tc>
          <w:tcPr>
            <w:tcW w:w="0" w:type="auto"/>
            <w:gridSpan w:val="3"/>
            <w:shd w:val="clear" w:color="auto" w:fill="auto"/>
            <w:vAlign w:val="bottom"/>
          </w:tcPr>
          <w:p w14:paraId="71D3D98F" w14:textId="77777777" w:rsidR="006A3667" w:rsidRDefault="006A3667">
            <w:pPr>
              <w:rPr>
                <w:rFonts w:ascii="宋体"/>
                <w:vanish/>
              </w:rPr>
            </w:pPr>
          </w:p>
        </w:tc>
        <w:tc>
          <w:tcPr>
            <w:tcW w:w="0" w:type="auto"/>
            <w:gridSpan w:val="3"/>
            <w:shd w:val="clear" w:color="auto" w:fill="auto"/>
            <w:vAlign w:val="bottom"/>
          </w:tcPr>
          <w:p w14:paraId="71D3D990" w14:textId="77777777" w:rsidR="006A3667" w:rsidRDefault="006A3667">
            <w:pPr>
              <w:rPr>
                <w:rFonts w:ascii="宋体"/>
                <w:vanish/>
              </w:rPr>
            </w:pPr>
          </w:p>
        </w:tc>
        <w:tc>
          <w:tcPr>
            <w:tcW w:w="0" w:type="auto"/>
            <w:gridSpan w:val="3"/>
            <w:shd w:val="clear" w:color="auto" w:fill="auto"/>
            <w:vAlign w:val="bottom"/>
          </w:tcPr>
          <w:p w14:paraId="71D3D991" w14:textId="77777777" w:rsidR="006A3667" w:rsidRDefault="006A3667">
            <w:pPr>
              <w:rPr>
                <w:rFonts w:ascii="宋体"/>
                <w:vanish/>
              </w:rPr>
            </w:pPr>
          </w:p>
        </w:tc>
        <w:tc>
          <w:tcPr>
            <w:tcW w:w="0" w:type="auto"/>
            <w:gridSpan w:val="3"/>
            <w:shd w:val="clear" w:color="auto" w:fill="auto"/>
            <w:vAlign w:val="bottom"/>
          </w:tcPr>
          <w:p w14:paraId="71D3D992" w14:textId="77777777" w:rsidR="006A3667" w:rsidRDefault="006A3667">
            <w:pPr>
              <w:rPr>
                <w:rFonts w:ascii="宋体"/>
                <w:vanish/>
              </w:rPr>
            </w:pPr>
          </w:p>
        </w:tc>
        <w:tc>
          <w:tcPr>
            <w:tcW w:w="0" w:type="auto"/>
            <w:gridSpan w:val="3"/>
            <w:shd w:val="clear" w:color="auto" w:fill="auto"/>
            <w:vAlign w:val="bottom"/>
          </w:tcPr>
          <w:p w14:paraId="71D3D993" w14:textId="77777777" w:rsidR="006A3667" w:rsidRDefault="006A3667">
            <w:pPr>
              <w:rPr>
                <w:rFonts w:ascii="宋体"/>
                <w:vanish/>
              </w:rPr>
            </w:pPr>
          </w:p>
        </w:tc>
        <w:tc>
          <w:tcPr>
            <w:tcW w:w="0" w:type="auto"/>
            <w:gridSpan w:val="3"/>
            <w:shd w:val="clear" w:color="auto" w:fill="auto"/>
            <w:vAlign w:val="bottom"/>
          </w:tcPr>
          <w:p w14:paraId="71D3D994" w14:textId="77777777" w:rsidR="006A3667" w:rsidRDefault="006A3667">
            <w:pPr>
              <w:rPr>
                <w:rFonts w:ascii="宋体"/>
                <w:vanish/>
              </w:rPr>
            </w:pPr>
          </w:p>
        </w:tc>
        <w:tc>
          <w:tcPr>
            <w:tcW w:w="0" w:type="auto"/>
            <w:gridSpan w:val="3"/>
            <w:shd w:val="clear" w:color="auto" w:fill="auto"/>
            <w:vAlign w:val="bottom"/>
          </w:tcPr>
          <w:p w14:paraId="71D3D995" w14:textId="77777777" w:rsidR="006A3667" w:rsidRDefault="006A3667">
            <w:pPr>
              <w:rPr>
                <w:rFonts w:ascii="宋体"/>
                <w:vanish/>
              </w:rPr>
            </w:pPr>
          </w:p>
        </w:tc>
        <w:tc>
          <w:tcPr>
            <w:tcW w:w="0" w:type="auto"/>
            <w:shd w:val="clear" w:color="auto" w:fill="auto"/>
            <w:vAlign w:val="bottom"/>
          </w:tcPr>
          <w:p w14:paraId="71D3D996" w14:textId="77777777" w:rsidR="006A3667" w:rsidRDefault="006A3667">
            <w:pPr>
              <w:rPr>
                <w:rFonts w:ascii="宋体"/>
              </w:rPr>
            </w:pPr>
          </w:p>
        </w:tc>
        <w:tc>
          <w:tcPr>
            <w:tcW w:w="0" w:type="auto"/>
            <w:shd w:val="clear" w:color="auto" w:fill="auto"/>
            <w:vAlign w:val="bottom"/>
          </w:tcPr>
          <w:p w14:paraId="71D3D997" w14:textId="77777777" w:rsidR="006A3667" w:rsidRDefault="006A3667">
            <w:pPr>
              <w:rPr>
                <w:rFonts w:ascii="宋体"/>
              </w:rPr>
            </w:pPr>
          </w:p>
        </w:tc>
        <w:tc>
          <w:tcPr>
            <w:tcW w:w="0" w:type="auto"/>
            <w:shd w:val="clear" w:color="auto" w:fill="auto"/>
            <w:vAlign w:val="bottom"/>
          </w:tcPr>
          <w:p w14:paraId="71D3D998" w14:textId="77777777" w:rsidR="006A3667" w:rsidRDefault="006A3667">
            <w:pPr>
              <w:rPr>
                <w:rFonts w:ascii="宋体"/>
              </w:rPr>
            </w:pPr>
          </w:p>
        </w:tc>
        <w:tc>
          <w:tcPr>
            <w:tcW w:w="0" w:type="auto"/>
            <w:shd w:val="clear" w:color="auto" w:fill="auto"/>
            <w:vAlign w:val="bottom"/>
          </w:tcPr>
          <w:p w14:paraId="71D3D999" w14:textId="77777777" w:rsidR="006A3667" w:rsidRDefault="006A3667">
            <w:pPr>
              <w:rPr>
                <w:rFonts w:ascii="宋体"/>
              </w:rPr>
            </w:pPr>
          </w:p>
        </w:tc>
        <w:tc>
          <w:tcPr>
            <w:tcW w:w="0" w:type="auto"/>
            <w:shd w:val="clear" w:color="auto" w:fill="auto"/>
            <w:vAlign w:val="bottom"/>
          </w:tcPr>
          <w:p w14:paraId="71D3D99A" w14:textId="77777777" w:rsidR="006A3667" w:rsidRDefault="006A3667">
            <w:pPr>
              <w:rPr>
                <w:rFonts w:ascii="宋体"/>
              </w:rPr>
            </w:pPr>
          </w:p>
        </w:tc>
        <w:tc>
          <w:tcPr>
            <w:tcW w:w="0" w:type="auto"/>
            <w:shd w:val="clear" w:color="auto" w:fill="auto"/>
            <w:vAlign w:val="bottom"/>
          </w:tcPr>
          <w:p w14:paraId="71D3D99B" w14:textId="77777777" w:rsidR="006A3667" w:rsidRDefault="006A3667">
            <w:pPr>
              <w:rPr>
                <w:rFonts w:ascii="宋体"/>
              </w:rPr>
            </w:pPr>
          </w:p>
        </w:tc>
      </w:tr>
      <w:tr w:rsidR="006A3667" w14:paraId="71D3D9A8" w14:textId="77777777">
        <w:trPr>
          <w:hidden/>
        </w:trPr>
        <w:tc>
          <w:tcPr>
            <w:tcW w:w="0" w:type="auto"/>
            <w:gridSpan w:val="3"/>
            <w:shd w:val="clear" w:color="auto" w:fill="auto"/>
            <w:vAlign w:val="bottom"/>
          </w:tcPr>
          <w:p w14:paraId="71D3D99D" w14:textId="77777777" w:rsidR="006A3667" w:rsidRDefault="006A3667">
            <w:pPr>
              <w:rPr>
                <w:rFonts w:ascii="宋体"/>
                <w:vanish/>
              </w:rPr>
            </w:pPr>
          </w:p>
        </w:tc>
        <w:tc>
          <w:tcPr>
            <w:tcW w:w="0" w:type="auto"/>
            <w:gridSpan w:val="3"/>
            <w:shd w:val="clear" w:color="auto" w:fill="auto"/>
            <w:vAlign w:val="bottom"/>
          </w:tcPr>
          <w:p w14:paraId="71D3D99E" w14:textId="77777777" w:rsidR="006A3667" w:rsidRDefault="006A3667">
            <w:pPr>
              <w:rPr>
                <w:rFonts w:ascii="宋体"/>
                <w:vanish/>
              </w:rPr>
            </w:pPr>
          </w:p>
        </w:tc>
        <w:tc>
          <w:tcPr>
            <w:tcW w:w="0" w:type="auto"/>
            <w:gridSpan w:val="3"/>
            <w:shd w:val="clear" w:color="auto" w:fill="auto"/>
            <w:vAlign w:val="bottom"/>
          </w:tcPr>
          <w:p w14:paraId="71D3D99F" w14:textId="77777777" w:rsidR="006A3667" w:rsidRDefault="006A3667">
            <w:pPr>
              <w:rPr>
                <w:rFonts w:ascii="宋体"/>
                <w:vanish/>
              </w:rPr>
            </w:pPr>
          </w:p>
        </w:tc>
        <w:tc>
          <w:tcPr>
            <w:tcW w:w="0" w:type="auto"/>
            <w:gridSpan w:val="3"/>
            <w:shd w:val="clear" w:color="auto" w:fill="auto"/>
            <w:vAlign w:val="bottom"/>
          </w:tcPr>
          <w:p w14:paraId="71D3D9A0" w14:textId="77777777" w:rsidR="006A3667" w:rsidRDefault="006A3667">
            <w:pPr>
              <w:rPr>
                <w:rFonts w:ascii="宋体"/>
                <w:vanish/>
              </w:rPr>
            </w:pPr>
          </w:p>
        </w:tc>
        <w:tc>
          <w:tcPr>
            <w:tcW w:w="0" w:type="auto"/>
            <w:gridSpan w:val="3"/>
            <w:shd w:val="clear" w:color="auto" w:fill="auto"/>
            <w:vAlign w:val="bottom"/>
          </w:tcPr>
          <w:p w14:paraId="71D3D9A1" w14:textId="77777777" w:rsidR="006A3667" w:rsidRDefault="006A3667">
            <w:pPr>
              <w:rPr>
                <w:rFonts w:ascii="宋体"/>
                <w:vanish/>
              </w:rPr>
            </w:pPr>
          </w:p>
        </w:tc>
        <w:tc>
          <w:tcPr>
            <w:tcW w:w="0" w:type="auto"/>
            <w:gridSpan w:val="3"/>
            <w:shd w:val="clear" w:color="auto" w:fill="auto"/>
            <w:vAlign w:val="bottom"/>
          </w:tcPr>
          <w:p w14:paraId="71D3D9A2" w14:textId="77777777" w:rsidR="006A3667" w:rsidRDefault="006A3667">
            <w:pPr>
              <w:rPr>
                <w:rFonts w:ascii="宋体"/>
                <w:vanish/>
              </w:rPr>
            </w:pPr>
          </w:p>
        </w:tc>
        <w:tc>
          <w:tcPr>
            <w:tcW w:w="0" w:type="auto"/>
            <w:gridSpan w:val="3"/>
            <w:shd w:val="clear" w:color="auto" w:fill="auto"/>
            <w:vAlign w:val="bottom"/>
          </w:tcPr>
          <w:p w14:paraId="71D3D9A3" w14:textId="77777777" w:rsidR="006A3667" w:rsidRDefault="006A3667">
            <w:pPr>
              <w:rPr>
                <w:rFonts w:ascii="宋体"/>
                <w:vanish/>
              </w:rPr>
            </w:pPr>
          </w:p>
        </w:tc>
        <w:tc>
          <w:tcPr>
            <w:tcW w:w="0" w:type="auto"/>
            <w:gridSpan w:val="3"/>
            <w:shd w:val="clear" w:color="auto" w:fill="auto"/>
            <w:vAlign w:val="bottom"/>
          </w:tcPr>
          <w:p w14:paraId="71D3D9A4" w14:textId="77777777" w:rsidR="006A3667" w:rsidRDefault="006A3667">
            <w:pPr>
              <w:rPr>
                <w:rFonts w:ascii="宋体"/>
                <w:vanish/>
              </w:rPr>
            </w:pPr>
          </w:p>
        </w:tc>
        <w:tc>
          <w:tcPr>
            <w:tcW w:w="0" w:type="auto"/>
            <w:gridSpan w:val="3"/>
            <w:shd w:val="clear" w:color="auto" w:fill="auto"/>
            <w:vAlign w:val="bottom"/>
          </w:tcPr>
          <w:p w14:paraId="71D3D9A5" w14:textId="77777777" w:rsidR="006A3667" w:rsidRDefault="006A3667">
            <w:pPr>
              <w:rPr>
                <w:rFonts w:ascii="宋体"/>
                <w:vanish/>
              </w:rPr>
            </w:pPr>
          </w:p>
        </w:tc>
        <w:tc>
          <w:tcPr>
            <w:tcW w:w="0" w:type="auto"/>
            <w:gridSpan w:val="3"/>
            <w:shd w:val="clear" w:color="auto" w:fill="auto"/>
            <w:vAlign w:val="bottom"/>
          </w:tcPr>
          <w:p w14:paraId="71D3D9A6" w14:textId="77777777" w:rsidR="006A3667" w:rsidRDefault="006A3667">
            <w:pPr>
              <w:rPr>
                <w:rFonts w:ascii="宋体"/>
                <w:vanish/>
              </w:rPr>
            </w:pPr>
          </w:p>
        </w:tc>
        <w:tc>
          <w:tcPr>
            <w:tcW w:w="0" w:type="auto"/>
            <w:gridSpan w:val="3"/>
            <w:shd w:val="clear" w:color="auto" w:fill="auto"/>
            <w:vAlign w:val="bottom"/>
          </w:tcPr>
          <w:p w14:paraId="71D3D9A7" w14:textId="77777777" w:rsidR="006A3667" w:rsidRDefault="006A3667">
            <w:pPr>
              <w:rPr>
                <w:rFonts w:ascii="宋体"/>
                <w:vanish/>
              </w:rPr>
            </w:pPr>
          </w:p>
        </w:tc>
      </w:tr>
      <w:tr w:rsidR="006A3667" w14:paraId="71D3D9B4" w14:textId="77777777">
        <w:trPr>
          <w:hidden/>
        </w:trPr>
        <w:tc>
          <w:tcPr>
            <w:tcW w:w="0" w:type="auto"/>
            <w:gridSpan w:val="3"/>
            <w:shd w:val="clear" w:color="auto" w:fill="auto"/>
            <w:vAlign w:val="bottom"/>
          </w:tcPr>
          <w:p w14:paraId="71D3D9A9" w14:textId="77777777" w:rsidR="006A3667" w:rsidRDefault="006A3667">
            <w:pPr>
              <w:rPr>
                <w:rFonts w:ascii="宋体"/>
                <w:vanish/>
              </w:rPr>
            </w:pPr>
          </w:p>
        </w:tc>
        <w:tc>
          <w:tcPr>
            <w:tcW w:w="0" w:type="auto"/>
            <w:gridSpan w:val="3"/>
            <w:shd w:val="clear" w:color="auto" w:fill="auto"/>
            <w:vAlign w:val="bottom"/>
          </w:tcPr>
          <w:p w14:paraId="71D3D9AA" w14:textId="77777777" w:rsidR="006A3667" w:rsidRDefault="006A3667">
            <w:pPr>
              <w:rPr>
                <w:rFonts w:ascii="宋体"/>
                <w:vanish/>
              </w:rPr>
            </w:pPr>
          </w:p>
        </w:tc>
        <w:tc>
          <w:tcPr>
            <w:tcW w:w="0" w:type="auto"/>
            <w:gridSpan w:val="3"/>
            <w:shd w:val="clear" w:color="auto" w:fill="auto"/>
            <w:vAlign w:val="bottom"/>
          </w:tcPr>
          <w:p w14:paraId="71D3D9AB" w14:textId="77777777" w:rsidR="006A3667" w:rsidRDefault="006A3667">
            <w:pPr>
              <w:rPr>
                <w:rFonts w:ascii="宋体"/>
                <w:vanish/>
              </w:rPr>
            </w:pPr>
          </w:p>
        </w:tc>
        <w:tc>
          <w:tcPr>
            <w:tcW w:w="0" w:type="auto"/>
            <w:gridSpan w:val="3"/>
            <w:shd w:val="clear" w:color="auto" w:fill="auto"/>
            <w:vAlign w:val="bottom"/>
          </w:tcPr>
          <w:p w14:paraId="71D3D9AC" w14:textId="77777777" w:rsidR="006A3667" w:rsidRDefault="006A3667">
            <w:pPr>
              <w:rPr>
                <w:rFonts w:ascii="宋体"/>
                <w:vanish/>
              </w:rPr>
            </w:pPr>
          </w:p>
        </w:tc>
        <w:tc>
          <w:tcPr>
            <w:tcW w:w="0" w:type="auto"/>
            <w:gridSpan w:val="3"/>
            <w:shd w:val="clear" w:color="auto" w:fill="auto"/>
            <w:vAlign w:val="bottom"/>
          </w:tcPr>
          <w:p w14:paraId="71D3D9AD" w14:textId="77777777" w:rsidR="006A3667" w:rsidRDefault="006A3667">
            <w:pPr>
              <w:rPr>
                <w:rFonts w:ascii="宋体"/>
                <w:vanish/>
              </w:rPr>
            </w:pPr>
          </w:p>
        </w:tc>
        <w:tc>
          <w:tcPr>
            <w:tcW w:w="0" w:type="auto"/>
            <w:gridSpan w:val="3"/>
            <w:shd w:val="clear" w:color="auto" w:fill="auto"/>
            <w:vAlign w:val="bottom"/>
          </w:tcPr>
          <w:p w14:paraId="71D3D9AE" w14:textId="77777777" w:rsidR="006A3667" w:rsidRDefault="006A3667">
            <w:pPr>
              <w:rPr>
                <w:rFonts w:ascii="宋体"/>
                <w:vanish/>
              </w:rPr>
            </w:pPr>
          </w:p>
        </w:tc>
        <w:tc>
          <w:tcPr>
            <w:tcW w:w="0" w:type="auto"/>
            <w:gridSpan w:val="3"/>
            <w:shd w:val="clear" w:color="auto" w:fill="auto"/>
            <w:vAlign w:val="bottom"/>
          </w:tcPr>
          <w:p w14:paraId="71D3D9AF" w14:textId="77777777" w:rsidR="006A3667" w:rsidRDefault="006A3667">
            <w:pPr>
              <w:rPr>
                <w:rFonts w:ascii="宋体"/>
                <w:vanish/>
              </w:rPr>
            </w:pPr>
          </w:p>
        </w:tc>
        <w:tc>
          <w:tcPr>
            <w:tcW w:w="0" w:type="auto"/>
            <w:gridSpan w:val="3"/>
            <w:shd w:val="clear" w:color="auto" w:fill="auto"/>
            <w:vAlign w:val="bottom"/>
          </w:tcPr>
          <w:p w14:paraId="71D3D9B0" w14:textId="77777777" w:rsidR="006A3667" w:rsidRDefault="006A3667">
            <w:pPr>
              <w:rPr>
                <w:rFonts w:ascii="宋体"/>
                <w:vanish/>
              </w:rPr>
            </w:pPr>
          </w:p>
        </w:tc>
        <w:tc>
          <w:tcPr>
            <w:tcW w:w="0" w:type="auto"/>
            <w:gridSpan w:val="3"/>
            <w:shd w:val="clear" w:color="auto" w:fill="auto"/>
            <w:vAlign w:val="bottom"/>
          </w:tcPr>
          <w:p w14:paraId="71D3D9B1" w14:textId="77777777" w:rsidR="006A3667" w:rsidRDefault="006A3667">
            <w:pPr>
              <w:rPr>
                <w:rFonts w:ascii="宋体"/>
                <w:vanish/>
              </w:rPr>
            </w:pPr>
          </w:p>
        </w:tc>
        <w:tc>
          <w:tcPr>
            <w:tcW w:w="0" w:type="auto"/>
            <w:gridSpan w:val="3"/>
            <w:shd w:val="clear" w:color="auto" w:fill="auto"/>
            <w:vAlign w:val="bottom"/>
          </w:tcPr>
          <w:p w14:paraId="71D3D9B2" w14:textId="77777777" w:rsidR="006A3667" w:rsidRDefault="006A3667">
            <w:pPr>
              <w:rPr>
                <w:rFonts w:ascii="宋体"/>
                <w:vanish/>
              </w:rPr>
            </w:pPr>
          </w:p>
        </w:tc>
        <w:tc>
          <w:tcPr>
            <w:tcW w:w="0" w:type="auto"/>
            <w:gridSpan w:val="3"/>
            <w:shd w:val="clear" w:color="auto" w:fill="auto"/>
            <w:vAlign w:val="bottom"/>
          </w:tcPr>
          <w:p w14:paraId="71D3D9B3" w14:textId="77777777" w:rsidR="006A3667" w:rsidRDefault="006A3667">
            <w:pPr>
              <w:rPr>
                <w:rFonts w:ascii="宋体"/>
                <w:vanish/>
              </w:rPr>
            </w:pPr>
          </w:p>
        </w:tc>
      </w:tr>
      <w:tr w:rsidR="006A3667" w14:paraId="71D3D9C0" w14:textId="77777777">
        <w:trPr>
          <w:hidden/>
        </w:trPr>
        <w:tc>
          <w:tcPr>
            <w:tcW w:w="0" w:type="auto"/>
            <w:gridSpan w:val="3"/>
            <w:shd w:val="clear" w:color="auto" w:fill="auto"/>
            <w:vAlign w:val="bottom"/>
          </w:tcPr>
          <w:p w14:paraId="71D3D9B5" w14:textId="77777777" w:rsidR="006A3667" w:rsidRDefault="006A3667">
            <w:pPr>
              <w:rPr>
                <w:rFonts w:ascii="宋体"/>
                <w:vanish/>
              </w:rPr>
            </w:pPr>
          </w:p>
        </w:tc>
        <w:tc>
          <w:tcPr>
            <w:tcW w:w="0" w:type="auto"/>
            <w:gridSpan w:val="3"/>
            <w:shd w:val="clear" w:color="auto" w:fill="auto"/>
            <w:vAlign w:val="bottom"/>
          </w:tcPr>
          <w:p w14:paraId="71D3D9B6" w14:textId="77777777" w:rsidR="006A3667" w:rsidRDefault="006A3667">
            <w:pPr>
              <w:rPr>
                <w:rFonts w:ascii="宋体"/>
                <w:vanish/>
              </w:rPr>
            </w:pPr>
          </w:p>
        </w:tc>
        <w:tc>
          <w:tcPr>
            <w:tcW w:w="0" w:type="auto"/>
            <w:gridSpan w:val="3"/>
            <w:shd w:val="clear" w:color="auto" w:fill="auto"/>
            <w:vAlign w:val="bottom"/>
          </w:tcPr>
          <w:p w14:paraId="71D3D9B7" w14:textId="77777777" w:rsidR="006A3667" w:rsidRDefault="006A3667">
            <w:pPr>
              <w:rPr>
                <w:rFonts w:ascii="宋体"/>
                <w:vanish/>
              </w:rPr>
            </w:pPr>
          </w:p>
        </w:tc>
        <w:tc>
          <w:tcPr>
            <w:tcW w:w="0" w:type="auto"/>
            <w:gridSpan w:val="3"/>
            <w:shd w:val="clear" w:color="auto" w:fill="auto"/>
            <w:vAlign w:val="bottom"/>
          </w:tcPr>
          <w:p w14:paraId="71D3D9B8" w14:textId="77777777" w:rsidR="006A3667" w:rsidRDefault="006A3667">
            <w:pPr>
              <w:rPr>
                <w:rFonts w:ascii="宋体"/>
                <w:vanish/>
              </w:rPr>
            </w:pPr>
          </w:p>
        </w:tc>
        <w:tc>
          <w:tcPr>
            <w:tcW w:w="0" w:type="auto"/>
            <w:gridSpan w:val="3"/>
            <w:shd w:val="clear" w:color="auto" w:fill="auto"/>
            <w:vAlign w:val="bottom"/>
          </w:tcPr>
          <w:p w14:paraId="71D3D9B9" w14:textId="77777777" w:rsidR="006A3667" w:rsidRDefault="006A3667">
            <w:pPr>
              <w:rPr>
                <w:rFonts w:ascii="宋体"/>
                <w:vanish/>
              </w:rPr>
            </w:pPr>
          </w:p>
        </w:tc>
        <w:tc>
          <w:tcPr>
            <w:tcW w:w="0" w:type="auto"/>
            <w:gridSpan w:val="3"/>
            <w:shd w:val="clear" w:color="auto" w:fill="auto"/>
            <w:vAlign w:val="bottom"/>
          </w:tcPr>
          <w:p w14:paraId="71D3D9BA" w14:textId="77777777" w:rsidR="006A3667" w:rsidRDefault="006A3667">
            <w:pPr>
              <w:rPr>
                <w:rFonts w:ascii="宋体"/>
                <w:vanish/>
              </w:rPr>
            </w:pPr>
          </w:p>
        </w:tc>
        <w:tc>
          <w:tcPr>
            <w:tcW w:w="0" w:type="auto"/>
            <w:gridSpan w:val="3"/>
            <w:shd w:val="clear" w:color="auto" w:fill="auto"/>
            <w:vAlign w:val="bottom"/>
          </w:tcPr>
          <w:p w14:paraId="71D3D9BB" w14:textId="77777777" w:rsidR="006A3667" w:rsidRDefault="006A3667">
            <w:pPr>
              <w:rPr>
                <w:rFonts w:ascii="宋体"/>
                <w:vanish/>
              </w:rPr>
            </w:pPr>
          </w:p>
        </w:tc>
        <w:tc>
          <w:tcPr>
            <w:tcW w:w="0" w:type="auto"/>
            <w:gridSpan w:val="3"/>
            <w:shd w:val="clear" w:color="auto" w:fill="auto"/>
            <w:vAlign w:val="bottom"/>
          </w:tcPr>
          <w:p w14:paraId="71D3D9BC" w14:textId="77777777" w:rsidR="006A3667" w:rsidRDefault="006A3667">
            <w:pPr>
              <w:rPr>
                <w:rFonts w:ascii="宋体"/>
                <w:vanish/>
              </w:rPr>
            </w:pPr>
          </w:p>
        </w:tc>
        <w:tc>
          <w:tcPr>
            <w:tcW w:w="0" w:type="auto"/>
            <w:gridSpan w:val="3"/>
            <w:shd w:val="clear" w:color="auto" w:fill="auto"/>
            <w:vAlign w:val="bottom"/>
          </w:tcPr>
          <w:p w14:paraId="71D3D9BD" w14:textId="77777777" w:rsidR="006A3667" w:rsidRDefault="006A3667">
            <w:pPr>
              <w:rPr>
                <w:rFonts w:ascii="宋体"/>
                <w:vanish/>
              </w:rPr>
            </w:pPr>
          </w:p>
        </w:tc>
        <w:tc>
          <w:tcPr>
            <w:tcW w:w="0" w:type="auto"/>
            <w:gridSpan w:val="3"/>
            <w:shd w:val="clear" w:color="auto" w:fill="auto"/>
            <w:vAlign w:val="bottom"/>
          </w:tcPr>
          <w:p w14:paraId="71D3D9BE" w14:textId="77777777" w:rsidR="006A3667" w:rsidRDefault="006A3667">
            <w:pPr>
              <w:rPr>
                <w:rFonts w:ascii="宋体"/>
                <w:vanish/>
              </w:rPr>
            </w:pPr>
          </w:p>
        </w:tc>
        <w:tc>
          <w:tcPr>
            <w:tcW w:w="0" w:type="auto"/>
            <w:gridSpan w:val="3"/>
            <w:shd w:val="clear" w:color="auto" w:fill="auto"/>
            <w:vAlign w:val="bottom"/>
          </w:tcPr>
          <w:p w14:paraId="71D3D9BF" w14:textId="77777777" w:rsidR="006A3667" w:rsidRDefault="006A3667">
            <w:pPr>
              <w:rPr>
                <w:rFonts w:ascii="宋体"/>
                <w:vanish/>
              </w:rPr>
            </w:pPr>
          </w:p>
        </w:tc>
      </w:tr>
      <w:tr w:rsidR="006A3667" w14:paraId="71D3D9CC" w14:textId="77777777">
        <w:trPr>
          <w:hidden/>
        </w:trPr>
        <w:tc>
          <w:tcPr>
            <w:tcW w:w="0" w:type="auto"/>
            <w:gridSpan w:val="3"/>
            <w:shd w:val="clear" w:color="auto" w:fill="auto"/>
            <w:vAlign w:val="bottom"/>
          </w:tcPr>
          <w:p w14:paraId="71D3D9C1" w14:textId="77777777" w:rsidR="006A3667" w:rsidRDefault="006A3667">
            <w:pPr>
              <w:rPr>
                <w:rFonts w:ascii="宋体"/>
                <w:vanish/>
              </w:rPr>
            </w:pPr>
          </w:p>
        </w:tc>
        <w:tc>
          <w:tcPr>
            <w:tcW w:w="0" w:type="auto"/>
            <w:gridSpan w:val="3"/>
            <w:shd w:val="clear" w:color="auto" w:fill="auto"/>
            <w:vAlign w:val="bottom"/>
          </w:tcPr>
          <w:p w14:paraId="71D3D9C2" w14:textId="77777777" w:rsidR="006A3667" w:rsidRDefault="006A3667">
            <w:pPr>
              <w:rPr>
                <w:rFonts w:ascii="宋体"/>
                <w:vanish/>
              </w:rPr>
            </w:pPr>
          </w:p>
        </w:tc>
        <w:tc>
          <w:tcPr>
            <w:tcW w:w="0" w:type="auto"/>
            <w:gridSpan w:val="3"/>
            <w:shd w:val="clear" w:color="auto" w:fill="auto"/>
            <w:vAlign w:val="bottom"/>
          </w:tcPr>
          <w:p w14:paraId="71D3D9C3" w14:textId="77777777" w:rsidR="006A3667" w:rsidRDefault="006A3667">
            <w:pPr>
              <w:rPr>
                <w:rFonts w:ascii="宋体"/>
                <w:vanish/>
              </w:rPr>
            </w:pPr>
          </w:p>
        </w:tc>
        <w:tc>
          <w:tcPr>
            <w:tcW w:w="0" w:type="auto"/>
            <w:gridSpan w:val="3"/>
            <w:shd w:val="clear" w:color="auto" w:fill="auto"/>
            <w:vAlign w:val="bottom"/>
          </w:tcPr>
          <w:p w14:paraId="71D3D9C4" w14:textId="77777777" w:rsidR="006A3667" w:rsidRDefault="006A3667">
            <w:pPr>
              <w:rPr>
                <w:rFonts w:ascii="宋体"/>
                <w:vanish/>
              </w:rPr>
            </w:pPr>
          </w:p>
        </w:tc>
        <w:tc>
          <w:tcPr>
            <w:tcW w:w="0" w:type="auto"/>
            <w:gridSpan w:val="3"/>
            <w:shd w:val="clear" w:color="auto" w:fill="auto"/>
            <w:vAlign w:val="bottom"/>
          </w:tcPr>
          <w:p w14:paraId="71D3D9C5" w14:textId="77777777" w:rsidR="006A3667" w:rsidRDefault="006A3667">
            <w:pPr>
              <w:rPr>
                <w:rFonts w:ascii="宋体"/>
                <w:vanish/>
              </w:rPr>
            </w:pPr>
          </w:p>
        </w:tc>
        <w:tc>
          <w:tcPr>
            <w:tcW w:w="0" w:type="auto"/>
            <w:gridSpan w:val="3"/>
            <w:shd w:val="clear" w:color="auto" w:fill="auto"/>
            <w:vAlign w:val="bottom"/>
          </w:tcPr>
          <w:p w14:paraId="71D3D9C6" w14:textId="77777777" w:rsidR="006A3667" w:rsidRDefault="006A3667">
            <w:pPr>
              <w:rPr>
                <w:rFonts w:ascii="宋体"/>
                <w:vanish/>
              </w:rPr>
            </w:pPr>
          </w:p>
        </w:tc>
        <w:tc>
          <w:tcPr>
            <w:tcW w:w="0" w:type="auto"/>
            <w:gridSpan w:val="3"/>
            <w:shd w:val="clear" w:color="auto" w:fill="auto"/>
            <w:vAlign w:val="bottom"/>
          </w:tcPr>
          <w:p w14:paraId="71D3D9C7" w14:textId="77777777" w:rsidR="006A3667" w:rsidRDefault="006A3667">
            <w:pPr>
              <w:rPr>
                <w:rFonts w:ascii="宋体"/>
                <w:vanish/>
              </w:rPr>
            </w:pPr>
          </w:p>
        </w:tc>
        <w:tc>
          <w:tcPr>
            <w:tcW w:w="0" w:type="auto"/>
            <w:gridSpan w:val="3"/>
            <w:shd w:val="clear" w:color="auto" w:fill="auto"/>
            <w:vAlign w:val="bottom"/>
          </w:tcPr>
          <w:p w14:paraId="71D3D9C8" w14:textId="77777777" w:rsidR="006A3667" w:rsidRDefault="006A3667">
            <w:pPr>
              <w:rPr>
                <w:rFonts w:ascii="宋体"/>
                <w:vanish/>
              </w:rPr>
            </w:pPr>
          </w:p>
        </w:tc>
        <w:tc>
          <w:tcPr>
            <w:tcW w:w="0" w:type="auto"/>
            <w:gridSpan w:val="3"/>
            <w:shd w:val="clear" w:color="auto" w:fill="auto"/>
            <w:vAlign w:val="bottom"/>
          </w:tcPr>
          <w:p w14:paraId="71D3D9C9" w14:textId="77777777" w:rsidR="006A3667" w:rsidRDefault="006A3667">
            <w:pPr>
              <w:rPr>
                <w:rFonts w:ascii="宋体"/>
                <w:vanish/>
              </w:rPr>
            </w:pPr>
          </w:p>
        </w:tc>
        <w:tc>
          <w:tcPr>
            <w:tcW w:w="0" w:type="auto"/>
            <w:gridSpan w:val="3"/>
            <w:shd w:val="clear" w:color="auto" w:fill="auto"/>
            <w:vAlign w:val="bottom"/>
          </w:tcPr>
          <w:p w14:paraId="71D3D9CA" w14:textId="77777777" w:rsidR="006A3667" w:rsidRDefault="006A3667">
            <w:pPr>
              <w:rPr>
                <w:rFonts w:ascii="宋体"/>
                <w:vanish/>
              </w:rPr>
            </w:pPr>
          </w:p>
        </w:tc>
        <w:tc>
          <w:tcPr>
            <w:tcW w:w="0" w:type="auto"/>
            <w:gridSpan w:val="3"/>
            <w:shd w:val="clear" w:color="auto" w:fill="auto"/>
            <w:vAlign w:val="bottom"/>
          </w:tcPr>
          <w:p w14:paraId="71D3D9CB" w14:textId="77777777" w:rsidR="006A3667" w:rsidRDefault="006A3667">
            <w:pPr>
              <w:rPr>
                <w:rFonts w:ascii="宋体"/>
                <w:vanish/>
              </w:rPr>
            </w:pPr>
          </w:p>
        </w:tc>
      </w:tr>
      <w:tr w:rsidR="006A3667" w14:paraId="71D3D9D8" w14:textId="77777777">
        <w:trPr>
          <w:hidden/>
        </w:trPr>
        <w:tc>
          <w:tcPr>
            <w:tcW w:w="0" w:type="auto"/>
            <w:gridSpan w:val="3"/>
            <w:shd w:val="clear" w:color="auto" w:fill="auto"/>
            <w:vAlign w:val="bottom"/>
          </w:tcPr>
          <w:p w14:paraId="71D3D9CD" w14:textId="77777777" w:rsidR="006A3667" w:rsidRDefault="006A3667">
            <w:pPr>
              <w:rPr>
                <w:rFonts w:ascii="宋体"/>
                <w:vanish/>
              </w:rPr>
            </w:pPr>
          </w:p>
        </w:tc>
        <w:tc>
          <w:tcPr>
            <w:tcW w:w="0" w:type="auto"/>
            <w:gridSpan w:val="3"/>
            <w:shd w:val="clear" w:color="auto" w:fill="auto"/>
            <w:vAlign w:val="bottom"/>
          </w:tcPr>
          <w:p w14:paraId="71D3D9CE" w14:textId="77777777" w:rsidR="006A3667" w:rsidRDefault="006A3667">
            <w:pPr>
              <w:rPr>
                <w:rFonts w:ascii="宋体"/>
                <w:vanish/>
              </w:rPr>
            </w:pPr>
          </w:p>
        </w:tc>
        <w:tc>
          <w:tcPr>
            <w:tcW w:w="0" w:type="auto"/>
            <w:gridSpan w:val="3"/>
            <w:shd w:val="clear" w:color="auto" w:fill="auto"/>
            <w:vAlign w:val="bottom"/>
          </w:tcPr>
          <w:p w14:paraId="71D3D9CF" w14:textId="77777777" w:rsidR="006A3667" w:rsidRDefault="006A3667">
            <w:pPr>
              <w:rPr>
                <w:rFonts w:ascii="宋体"/>
                <w:vanish/>
              </w:rPr>
            </w:pPr>
          </w:p>
        </w:tc>
        <w:tc>
          <w:tcPr>
            <w:tcW w:w="0" w:type="auto"/>
            <w:gridSpan w:val="3"/>
            <w:shd w:val="clear" w:color="auto" w:fill="auto"/>
            <w:vAlign w:val="bottom"/>
          </w:tcPr>
          <w:p w14:paraId="71D3D9D0" w14:textId="77777777" w:rsidR="006A3667" w:rsidRDefault="006A3667">
            <w:pPr>
              <w:rPr>
                <w:rFonts w:ascii="宋体"/>
                <w:vanish/>
              </w:rPr>
            </w:pPr>
          </w:p>
        </w:tc>
        <w:tc>
          <w:tcPr>
            <w:tcW w:w="0" w:type="auto"/>
            <w:gridSpan w:val="3"/>
            <w:shd w:val="clear" w:color="auto" w:fill="auto"/>
            <w:vAlign w:val="bottom"/>
          </w:tcPr>
          <w:p w14:paraId="71D3D9D1" w14:textId="77777777" w:rsidR="006A3667" w:rsidRDefault="006A3667">
            <w:pPr>
              <w:rPr>
                <w:rFonts w:ascii="宋体"/>
                <w:vanish/>
              </w:rPr>
            </w:pPr>
          </w:p>
        </w:tc>
        <w:tc>
          <w:tcPr>
            <w:tcW w:w="0" w:type="auto"/>
            <w:gridSpan w:val="3"/>
            <w:shd w:val="clear" w:color="auto" w:fill="auto"/>
            <w:vAlign w:val="bottom"/>
          </w:tcPr>
          <w:p w14:paraId="71D3D9D2" w14:textId="77777777" w:rsidR="006A3667" w:rsidRDefault="006A3667">
            <w:pPr>
              <w:rPr>
                <w:rFonts w:ascii="宋体"/>
                <w:vanish/>
              </w:rPr>
            </w:pPr>
          </w:p>
        </w:tc>
        <w:tc>
          <w:tcPr>
            <w:tcW w:w="0" w:type="auto"/>
            <w:gridSpan w:val="3"/>
            <w:shd w:val="clear" w:color="auto" w:fill="auto"/>
            <w:vAlign w:val="bottom"/>
          </w:tcPr>
          <w:p w14:paraId="71D3D9D3" w14:textId="77777777" w:rsidR="006A3667" w:rsidRDefault="006A3667">
            <w:pPr>
              <w:rPr>
                <w:rFonts w:ascii="宋体"/>
                <w:vanish/>
              </w:rPr>
            </w:pPr>
          </w:p>
        </w:tc>
        <w:tc>
          <w:tcPr>
            <w:tcW w:w="0" w:type="auto"/>
            <w:gridSpan w:val="3"/>
            <w:shd w:val="clear" w:color="auto" w:fill="auto"/>
            <w:vAlign w:val="bottom"/>
          </w:tcPr>
          <w:p w14:paraId="71D3D9D4" w14:textId="77777777" w:rsidR="006A3667" w:rsidRDefault="006A3667">
            <w:pPr>
              <w:rPr>
                <w:rFonts w:ascii="宋体"/>
                <w:vanish/>
              </w:rPr>
            </w:pPr>
          </w:p>
        </w:tc>
        <w:tc>
          <w:tcPr>
            <w:tcW w:w="0" w:type="auto"/>
            <w:gridSpan w:val="3"/>
            <w:shd w:val="clear" w:color="auto" w:fill="auto"/>
            <w:vAlign w:val="bottom"/>
          </w:tcPr>
          <w:p w14:paraId="71D3D9D5" w14:textId="77777777" w:rsidR="006A3667" w:rsidRDefault="006A3667">
            <w:pPr>
              <w:rPr>
                <w:rFonts w:ascii="宋体"/>
                <w:vanish/>
              </w:rPr>
            </w:pPr>
          </w:p>
        </w:tc>
        <w:tc>
          <w:tcPr>
            <w:tcW w:w="0" w:type="auto"/>
            <w:gridSpan w:val="3"/>
            <w:shd w:val="clear" w:color="auto" w:fill="auto"/>
            <w:vAlign w:val="bottom"/>
          </w:tcPr>
          <w:p w14:paraId="71D3D9D6" w14:textId="77777777" w:rsidR="006A3667" w:rsidRDefault="006A3667">
            <w:pPr>
              <w:rPr>
                <w:rFonts w:ascii="宋体"/>
                <w:vanish/>
              </w:rPr>
            </w:pPr>
          </w:p>
        </w:tc>
        <w:tc>
          <w:tcPr>
            <w:tcW w:w="0" w:type="auto"/>
            <w:gridSpan w:val="3"/>
            <w:shd w:val="clear" w:color="auto" w:fill="auto"/>
            <w:vAlign w:val="bottom"/>
          </w:tcPr>
          <w:p w14:paraId="71D3D9D7" w14:textId="77777777" w:rsidR="006A3667" w:rsidRDefault="006A3667">
            <w:pPr>
              <w:rPr>
                <w:rFonts w:ascii="宋体"/>
                <w:vanish/>
              </w:rPr>
            </w:pPr>
          </w:p>
        </w:tc>
      </w:tr>
      <w:tr w:rsidR="006A3667" w14:paraId="71D3D9E4" w14:textId="77777777">
        <w:trPr>
          <w:hidden/>
        </w:trPr>
        <w:tc>
          <w:tcPr>
            <w:tcW w:w="0" w:type="auto"/>
            <w:gridSpan w:val="3"/>
            <w:shd w:val="clear" w:color="auto" w:fill="auto"/>
            <w:vAlign w:val="bottom"/>
          </w:tcPr>
          <w:p w14:paraId="71D3D9D9" w14:textId="77777777" w:rsidR="006A3667" w:rsidRDefault="006A3667">
            <w:pPr>
              <w:rPr>
                <w:rFonts w:ascii="宋体"/>
                <w:vanish/>
              </w:rPr>
            </w:pPr>
          </w:p>
        </w:tc>
        <w:tc>
          <w:tcPr>
            <w:tcW w:w="0" w:type="auto"/>
            <w:gridSpan w:val="3"/>
            <w:shd w:val="clear" w:color="auto" w:fill="auto"/>
            <w:vAlign w:val="bottom"/>
          </w:tcPr>
          <w:p w14:paraId="71D3D9DA" w14:textId="77777777" w:rsidR="006A3667" w:rsidRDefault="006A3667">
            <w:pPr>
              <w:rPr>
                <w:rFonts w:ascii="宋体"/>
                <w:vanish/>
              </w:rPr>
            </w:pPr>
          </w:p>
        </w:tc>
        <w:tc>
          <w:tcPr>
            <w:tcW w:w="0" w:type="auto"/>
            <w:gridSpan w:val="3"/>
            <w:shd w:val="clear" w:color="auto" w:fill="auto"/>
            <w:vAlign w:val="bottom"/>
          </w:tcPr>
          <w:p w14:paraId="71D3D9DB" w14:textId="77777777" w:rsidR="006A3667" w:rsidRDefault="006A3667">
            <w:pPr>
              <w:rPr>
                <w:rFonts w:ascii="宋体"/>
                <w:vanish/>
              </w:rPr>
            </w:pPr>
          </w:p>
        </w:tc>
        <w:tc>
          <w:tcPr>
            <w:tcW w:w="0" w:type="auto"/>
            <w:gridSpan w:val="3"/>
            <w:shd w:val="clear" w:color="auto" w:fill="auto"/>
            <w:vAlign w:val="bottom"/>
          </w:tcPr>
          <w:p w14:paraId="71D3D9DC" w14:textId="77777777" w:rsidR="006A3667" w:rsidRDefault="006A3667">
            <w:pPr>
              <w:rPr>
                <w:rFonts w:ascii="宋体"/>
                <w:vanish/>
              </w:rPr>
            </w:pPr>
          </w:p>
        </w:tc>
        <w:tc>
          <w:tcPr>
            <w:tcW w:w="0" w:type="auto"/>
            <w:gridSpan w:val="3"/>
            <w:shd w:val="clear" w:color="auto" w:fill="auto"/>
            <w:vAlign w:val="bottom"/>
          </w:tcPr>
          <w:p w14:paraId="71D3D9DD" w14:textId="77777777" w:rsidR="006A3667" w:rsidRDefault="006A3667">
            <w:pPr>
              <w:rPr>
                <w:rFonts w:ascii="宋体"/>
                <w:vanish/>
              </w:rPr>
            </w:pPr>
          </w:p>
        </w:tc>
        <w:tc>
          <w:tcPr>
            <w:tcW w:w="0" w:type="auto"/>
            <w:gridSpan w:val="3"/>
            <w:shd w:val="clear" w:color="auto" w:fill="auto"/>
            <w:vAlign w:val="bottom"/>
          </w:tcPr>
          <w:p w14:paraId="71D3D9DE" w14:textId="77777777" w:rsidR="006A3667" w:rsidRDefault="006A3667">
            <w:pPr>
              <w:rPr>
                <w:rFonts w:ascii="宋体"/>
                <w:vanish/>
              </w:rPr>
            </w:pPr>
          </w:p>
        </w:tc>
        <w:tc>
          <w:tcPr>
            <w:tcW w:w="0" w:type="auto"/>
            <w:gridSpan w:val="3"/>
            <w:shd w:val="clear" w:color="auto" w:fill="auto"/>
            <w:vAlign w:val="bottom"/>
          </w:tcPr>
          <w:p w14:paraId="71D3D9DF" w14:textId="77777777" w:rsidR="006A3667" w:rsidRDefault="006A3667">
            <w:pPr>
              <w:rPr>
                <w:rFonts w:ascii="宋体"/>
                <w:vanish/>
              </w:rPr>
            </w:pPr>
          </w:p>
        </w:tc>
        <w:tc>
          <w:tcPr>
            <w:tcW w:w="0" w:type="auto"/>
            <w:gridSpan w:val="3"/>
            <w:shd w:val="clear" w:color="auto" w:fill="auto"/>
            <w:vAlign w:val="bottom"/>
          </w:tcPr>
          <w:p w14:paraId="71D3D9E0" w14:textId="77777777" w:rsidR="006A3667" w:rsidRDefault="006A3667">
            <w:pPr>
              <w:rPr>
                <w:rFonts w:ascii="宋体"/>
                <w:vanish/>
              </w:rPr>
            </w:pPr>
          </w:p>
        </w:tc>
        <w:tc>
          <w:tcPr>
            <w:tcW w:w="0" w:type="auto"/>
            <w:gridSpan w:val="3"/>
            <w:shd w:val="clear" w:color="auto" w:fill="auto"/>
            <w:vAlign w:val="bottom"/>
          </w:tcPr>
          <w:p w14:paraId="71D3D9E1" w14:textId="77777777" w:rsidR="006A3667" w:rsidRDefault="006A3667">
            <w:pPr>
              <w:rPr>
                <w:rFonts w:ascii="宋体"/>
                <w:vanish/>
              </w:rPr>
            </w:pPr>
          </w:p>
        </w:tc>
        <w:tc>
          <w:tcPr>
            <w:tcW w:w="0" w:type="auto"/>
            <w:gridSpan w:val="3"/>
            <w:shd w:val="clear" w:color="auto" w:fill="auto"/>
            <w:vAlign w:val="bottom"/>
          </w:tcPr>
          <w:p w14:paraId="71D3D9E2" w14:textId="77777777" w:rsidR="006A3667" w:rsidRDefault="006A3667">
            <w:pPr>
              <w:rPr>
                <w:rFonts w:ascii="宋体"/>
                <w:vanish/>
              </w:rPr>
            </w:pPr>
          </w:p>
        </w:tc>
        <w:tc>
          <w:tcPr>
            <w:tcW w:w="0" w:type="auto"/>
            <w:gridSpan w:val="3"/>
            <w:shd w:val="clear" w:color="auto" w:fill="auto"/>
            <w:vAlign w:val="bottom"/>
          </w:tcPr>
          <w:p w14:paraId="71D3D9E3" w14:textId="77777777" w:rsidR="006A3667" w:rsidRDefault="006A3667">
            <w:pPr>
              <w:rPr>
                <w:rFonts w:ascii="宋体"/>
                <w:vanish/>
              </w:rPr>
            </w:pPr>
          </w:p>
        </w:tc>
      </w:tr>
      <w:tr w:rsidR="006A3667" w14:paraId="71D3D9F0" w14:textId="77777777">
        <w:trPr>
          <w:hidden/>
        </w:trPr>
        <w:tc>
          <w:tcPr>
            <w:tcW w:w="0" w:type="auto"/>
            <w:gridSpan w:val="3"/>
            <w:shd w:val="clear" w:color="auto" w:fill="auto"/>
            <w:vAlign w:val="bottom"/>
          </w:tcPr>
          <w:p w14:paraId="71D3D9E5" w14:textId="77777777" w:rsidR="006A3667" w:rsidRDefault="006A3667">
            <w:pPr>
              <w:rPr>
                <w:rFonts w:ascii="宋体"/>
                <w:vanish/>
              </w:rPr>
            </w:pPr>
          </w:p>
        </w:tc>
        <w:tc>
          <w:tcPr>
            <w:tcW w:w="0" w:type="auto"/>
            <w:gridSpan w:val="3"/>
            <w:shd w:val="clear" w:color="auto" w:fill="auto"/>
            <w:vAlign w:val="bottom"/>
          </w:tcPr>
          <w:p w14:paraId="71D3D9E6" w14:textId="77777777" w:rsidR="006A3667" w:rsidRDefault="006A3667">
            <w:pPr>
              <w:rPr>
                <w:rFonts w:ascii="宋体"/>
                <w:vanish/>
              </w:rPr>
            </w:pPr>
          </w:p>
        </w:tc>
        <w:tc>
          <w:tcPr>
            <w:tcW w:w="0" w:type="auto"/>
            <w:gridSpan w:val="3"/>
            <w:shd w:val="clear" w:color="auto" w:fill="auto"/>
            <w:vAlign w:val="bottom"/>
          </w:tcPr>
          <w:p w14:paraId="71D3D9E7" w14:textId="77777777" w:rsidR="006A3667" w:rsidRDefault="006A3667">
            <w:pPr>
              <w:rPr>
                <w:rFonts w:ascii="宋体"/>
                <w:vanish/>
              </w:rPr>
            </w:pPr>
          </w:p>
        </w:tc>
        <w:tc>
          <w:tcPr>
            <w:tcW w:w="0" w:type="auto"/>
            <w:gridSpan w:val="3"/>
            <w:shd w:val="clear" w:color="auto" w:fill="auto"/>
            <w:vAlign w:val="bottom"/>
          </w:tcPr>
          <w:p w14:paraId="71D3D9E8" w14:textId="77777777" w:rsidR="006A3667" w:rsidRDefault="006A3667">
            <w:pPr>
              <w:rPr>
                <w:rFonts w:ascii="宋体"/>
                <w:vanish/>
              </w:rPr>
            </w:pPr>
          </w:p>
        </w:tc>
        <w:tc>
          <w:tcPr>
            <w:tcW w:w="0" w:type="auto"/>
            <w:gridSpan w:val="3"/>
            <w:shd w:val="clear" w:color="auto" w:fill="auto"/>
            <w:vAlign w:val="bottom"/>
          </w:tcPr>
          <w:p w14:paraId="71D3D9E9" w14:textId="77777777" w:rsidR="006A3667" w:rsidRDefault="006A3667">
            <w:pPr>
              <w:rPr>
                <w:rFonts w:ascii="宋体"/>
                <w:vanish/>
              </w:rPr>
            </w:pPr>
          </w:p>
        </w:tc>
        <w:tc>
          <w:tcPr>
            <w:tcW w:w="0" w:type="auto"/>
            <w:gridSpan w:val="3"/>
            <w:shd w:val="clear" w:color="auto" w:fill="auto"/>
            <w:vAlign w:val="bottom"/>
          </w:tcPr>
          <w:p w14:paraId="71D3D9EA" w14:textId="77777777" w:rsidR="006A3667" w:rsidRDefault="006A3667">
            <w:pPr>
              <w:rPr>
                <w:rFonts w:ascii="宋体"/>
                <w:vanish/>
              </w:rPr>
            </w:pPr>
          </w:p>
        </w:tc>
        <w:tc>
          <w:tcPr>
            <w:tcW w:w="0" w:type="auto"/>
            <w:gridSpan w:val="3"/>
            <w:shd w:val="clear" w:color="auto" w:fill="auto"/>
            <w:vAlign w:val="bottom"/>
          </w:tcPr>
          <w:p w14:paraId="71D3D9EB" w14:textId="77777777" w:rsidR="006A3667" w:rsidRDefault="006A3667">
            <w:pPr>
              <w:rPr>
                <w:rFonts w:ascii="宋体"/>
                <w:vanish/>
              </w:rPr>
            </w:pPr>
          </w:p>
        </w:tc>
        <w:tc>
          <w:tcPr>
            <w:tcW w:w="0" w:type="auto"/>
            <w:gridSpan w:val="3"/>
            <w:shd w:val="clear" w:color="auto" w:fill="auto"/>
            <w:vAlign w:val="bottom"/>
          </w:tcPr>
          <w:p w14:paraId="71D3D9EC" w14:textId="77777777" w:rsidR="006A3667" w:rsidRDefault="006A3667">
            <w:pPr>
              <w:rPr>
                <w:rFonts w:ascii="宋体"/>
                <w:vanish/>
              </w:rPr>
            </w:pPr>
          </w:p>
        </w:tc>
        <w:tc>
          <w:tcPr>
            <w:tcW w:w="0" w:type="auto"/>
            <w:gridSpan w:val="3"/>
            <w:shd w:val="clear" w:color="auto" w:fill="auto"/>
            <w:vAlign w:val="bottom"/>
          </w:tcPr>
          <w:p w14:paraId="71D3D9ED" w14:textId="77777777" w:rsidR="006A3667" w:rsidRDefault="006A3667">
            <w:pPr>
              <w:rPr>
                <w:rFonts w:ascii="宋体"/>
                <w:vanish/>
              </w:rPr>
            </w:pPr>
          </w:p>
        </w:tc>
        <w:tc>
          <w:tcPr>
            <w:tcW w:w="0" w:type="auto"/>
            <w:gridSpan w:val="3"/>
            <w:shd w:val="clear" w:color="auto" w:fill="auto"/>
            <w:vAlign w:val="bottom"/>
          </w:tcPr>
          <w:p w14:paraId="71D3D9EE" w14:textId="77777777" w:rsidR="006A3667" w:rsidRDefault="006A3667">
            <w:pPr>
              <w:rPr>
                <w:rFonts w:ascii="宋体"/>
                <w:vanish/>
              </w:rPr>
            </w:pPr>
          </w:p>
        </w:tc>
        <w:tc>
          <w:tcPr>
            <w:tcW w:w="0" w:type="auto"/>
            <w:gridSpan w:val="3"/>
            <w:shd w:val="clear" w:color="auto" w:fill="auto"/>
            <w:vAlign w:val="bottom"/>
          </w:tcPr>
          <w:p w14:paraId="71D3D9EF" w14:textId="77777777" w:rsidR="006A3667" w:rsidRDefault="006A3667">
            <w:pPr>
              <w:rPr>
                <w:rFonts w:ascii="宋体"/>
                <w:vanish/>
              </w:rPr>
            </w:pPr>
          </w:p>
        </w:tc>
      </w:tr>
      <w:tr w:rsidR="006A3667" w14:paraId="71D3D9FC" w14:textId="77777777">
        <w:trPr>
          <w:hidden/>
        </w:trPr>
        <w:tc>
          <w:tcPr>
            <w:tcW w:w="0" w:type="auto"/>
            <w:gridSpan w:val="3"/>
            <w:shd w:val="clear" w:color="auto" w:fill="auto"/>
            <w:vAlign w:val="bottom"/>
          </w:tcPr>
          <w:p w14:paraId="71D3D9F1" w14:textId="77777777" w:rsidR="006A3667" w:rsidRDefault="006A3667">
            <w:pPr>
              <w:rPr>
                <w:rFonts w:ascii="宋体"/>
                <w:vanish/>
              </w:rPr>
            </w:pPr>
          </w:p>
        </w:tc>
        <w:tc>
          <w:tcPr>
            <w:tcW w:w="0" w:type="auto"/>
            <w:gridSpan w:val="3"/>
            <w:shd w:val="clear" w:color="auto" w:fill="auto"/>
            <w:vAlign w:val="bottom"/>
          </w:tcPr>
          <w:p w14:paraId="71D3D9F2" w14:textId="77777777" w:rsidR="006A3667" w:rsidRDefault="006A3667">
            <w:pPr>
              <w:rPr>
                <w:rFonts w:ascii="宋体"/>
                <w:vanish/>
              </w:rPr>
            </w:pPr>
          </w:p>
        </w:tc>
        <w:tc>
          <w:tcPr>
            <w:tcW w:w="0" w:type="auto"/>
            <w:gridSpan w:val="3"/>
            <w:shd w:val="clear" w:color="auto" w:fill="auto"/>
            <w:vAlign w:val="bottom"/>
          </w:tcPr>
          <w:p w14:paraId="71D3D9F3" w14:textId="77777777" w:rsidR="006A3667" w:rsidRDefault="006A3667">
            <w:pPr>
              <w:rPr>
                <w:rFonts w:ascii="宋体"/>
                <w:vanish/>
              </w:rPr>
            </w:pPr>
          </w:p>
        </w:tc>
        <w:tc>
          <w:tcPr>
            <w:tcW w:w="0" w:type="auto"/>
            <w:gridSpan w:val="3"/>
            <w:shd w:val="clear" w:color="auto" w:fill="auto"/>
            <w:vAlign w:val="bottom"/>
          </w:tcPr>
          <w:p w14:paraId="71D3D9F4" w14:textId="77777777" w:rsidR="006A3667" w:rsidRDefault="006A3667">
            <w:pPr>
              <w:rPr>
                <w:rFonts w:ascii="宋体"/>
                <w:vanish/>
              </w:rPr>
            </w:pPr>
          </w:p>
        </w:tc>
        <w:tc>
          <w:tcPr>
            <w:tcW w:w="0" w:type="auto"/>
            <w:gridSpan w:val="3"/>
            <w:shd w:val="clear" w:color="auto" w:fill="auto"/>
            <w:vAlign w:val="bottom"/>
          </w:tcPr>
          <w:p w14:paraId="71D3D9F5" w14:textId="77777777" w:rsidR="006A3667" w:rsidRDefault="006A3667">
            <w:pPr>
              <w:rPr>
                <w:rFonts w:ascii="宋体"/>
                <w:vanish/>
              </w:rPr>
            </w:pPr>
          </w:p>
        </w:tc>
        <w:tc>
          <w:tcPr>
            <w:tcW w:w="0" w:type="auto"/>
            <w:gridSpan w:val="3"/>
            <w:shd w:val="clear" w:color="auto" w:fill="auto"/>
            <w:vAlign w:val="bottom"/>
          </w:tcPr>
          <w:p w14:paraId="71D3D9F6" w14:textId="77777777" w:rsidR="006A3667" w:rsidRDefault="006A3667">
            <w:pPr>
              <w:rPr>
                <w:rFonts w:ascii="宋体"/>
                <w:vanish/>
              </w:rPr>
            </w:pPr>
          </w:p>
        </w:tc>
        <w:tc>
          <w:tcPr>
            <w:tcW w:w="0" w:type="auto"/>
            <w:gridSpan w:val="3"/>
            <w:shd w:val="clear" w:color="auto" w:fill="auto"/>
            <w:vAlign w:val="bottom"/>
          </w:tcPr>
          <w:p w14:paraId="71D3D9F7" w14:textId="77777777" w:rsidR="006A3667" w:rsidRDefault="006A3667">
            <w:pPr>
              <w:rPr>
                <w:rFonts w:ascii="宋体"/>
                <w:vanish/>
              </w:rPr>
            </w:pPr>
          </w:p>
        </w:tc>
        <w:tc>
          <w:tcPr>
            <w:tcW w:w="0" w:type="auto"/>
            <w:gridSpan w:val="3"/>
            <w:shd w:val="clear" w:color="auto" w:fill="auto"/>
            <w:vAlign w:val="bottom"/>
          </w:tcPr>
          <w:p w14:paraId="71D3D9F8" w14:textId="77777777" w:rsidR="006A3667" w:rsidRDefault="006A3667">
            <w:pPr>
              <w:rPr>
                <w:rFonts w:ascii="宋体"/>
                <w:vanish/>
              </w:rPr>
            </w:pPr>
          </w:p>
        </w:tc>
        <w:tc>
          <w:tcPr>
            <w:tcW w:w="0" w:type="auto"/>
            <w:gridSpan w:val="3"/>
            <w:shd w:val="clear" w:color="auto" w:fill="auto"/>
            <w:vAlign w:val="bottom"/>
          </w:tcPr>
          <w:p w14:paraId="71D3D9F9" w14:textId="77777777" w:rsidR="006A3667" w:rsidRDefault="006A3667">
            <w:pPr>
              <w:rPr>
                <w:rFonts w:ascii="宋体"/>
                <w:vanish/>
              </w:rPr>
            </w:pPr>
          </w:p>
        </w:tc>
        <w:tc>
          <w:tcPr>
            <w:tcW w:w="0" w:type="auto"/>
            <w:gridSpan w:val="3"/>
            <w:shd w:val="clear" w:color="auto" w:fill="auto"/>
            <w:vAlign w:val="bottom"/>
          </w:tcPr>
          <w:p w14:paraId="71D3D9FA" w14:textId="77777777" w:rsidR="006A3667" w:rsidRDefault="006A3667">
            <w:pPr>
              <w:rPr>
                <w:rFonts w:ascii="宋体"/>
                <w:vanish/>
              </w:rPr>
            </w:pPr>
          </w:p>
        </w:tc>
        <w:tc>
          <w:tcPr>
            <w:tcW w:w="0" w:type="auto"/>
            <w:gridSpan w:val="3"/>
            <w:shd w:val="clear" w:color="auto" w:fill="auto"/>
            <w:vAlign w:val="bottom"/>
          </w:tcPr>
          <w:p w14:paraId="71D3D9FB" w14:textId="77777777" w:rsidR="006A3667" w:rsidRDefault="006A3667">
            <w:pPr>
              <w:rPr>
                <w:rFonts w:ascii="宋体"/>
                <w:vanish/>
              </w:rPr>
            </w:pPr>
          </w:p>
        </w:tc>
      </w:tr>
      <w:tr w:rsidR="006A3667" w14:paraId="71D3DA08" w14:textId="77777777">
        <w:trPr>
          <w:hidden/>
        </w:trPr>
        <w:tc>
          <w:tcPr>
            <w:tcW w:w="0" w:type="auto"/>
            <w:gridSpan w:val="3"/>
            <w:shd w:val="clear" w:color="auto" w:fill="auto"/>
            <w:vAlign w:val="bottom"/>
          </w:tcPr>
          <w:p w14:paraId="71D3D9FD" w14:textId="77777777" w:rsidR="006A3667" w:rsidRDefault="006A3667">
            <w:pPr>
              <w:rPr>
                <w:rFonts w:ascii="宋体"/>
                <w:vanish/>
              </w:rPr>
            </w:pPr>
          </w:p>
        </w:tc>
        <w:tc>
          <w:tcPr>
            <w:tcW w:w="0" w:type="auto"/>
            <w:gridSpan w:val="3"/>
            <w:shd w:val="clear" w:color="auto" w:fill="auto"/>
            <w:vAlign w:val="bottom"/>
          </w:tcPr>
          <w:p w14:paraId="71D3D9FE" w14:textId="77777777" w:rsidR="006A3667" w:rsidRDefault="006A3667">
            <w:pPr>
              <w:rPr>
                <w:rFonts w:ascii="宋体"/>
                <w:vanish/>
              </w:rPr>
            </w:pPr>
          </w:p>
        </w:tc>
        <w:tc>
          <w:tcPr>
            <w:tcW w:w="0" w:type="auto"/>
            <w:gridSpan w:val="3"/>
            <w:shd w:val="clear" w:color="auto" w:fill="auto"/>
            <w:vAlign w:val="bottom"/>
          </w:tcPr>
          <w:p w14:paraId="71D3D9FF" w14:textId="77777777" w:rsidR="006A3667" w:rsidRDefault="006A3667">
            <w:pPr>
              <w:rPr>
                <w:rFonts w:ascii="宋体"/>
                <w:vanish/>
              </w:rPr>
            </w:pPr>
          </w:p>
        </w:tc>
        <w:tc>
          <w:tcPr>
            <w:tcW w:w="0" w:type="auto"/>
            <w:gridSpan w:val="3"/>
            <w:shd w:val="clear" w:color="auto" w:fill="auto"/>
            <w:vAlign w:val="bottom"/>
          </w:tcPr>
          <w:p w14:paraId="71D3DA00" w14:textId="77777777" w:rsidR="006A3667" w:rsidRDefault="006A3667">
            <w:pPr>
              <w:rPr>
                <w:rFonts w:ascii="宋体"/>
                <w:vanish/>
              </w:rPr>
            </w:pPr>
          </w:p>
        </w:tc>
        <w:tc>
          <w:tcPr>
            <w:tcW w:w="0" w:type="auto"/>
            <w:gridSpan w:val="3"/>
            <w:shd w:val="clear" w:color="auto" w:fill="auto"/>
            <w:vAlign w:val="bottom"/>
          </w:tcPr>
          <w:p w14:paraId="71D3DA01" w14:textId="77777777" w:rsidR="006A3667" w:rsidRDefault="006A3667">
            <w:pPr>
              <w:rPr>
                <w:rFonts w:ascii="宋体"/>
                <w:vanish/>
              </w:rPr>
            </w:pPr>
          </w:p>
        </w:tc>
        <w:tc>
          <w:tcPr>
            <w:tcW w:w="0" w:type="auto"/>
            <w:gridSpan w:val="3"/>
            <w:shd w:val="clear" w:color="auto" w:fill="auto"/>
            <w:vAlign w:val="bottom"/>
          </w:tcPr>
          <w:p w14:paraId="71D3DA02" w14:textId="77777777" w:rsidR="006A3667" w:rsidRDefault="006A3667">
            <w:pPr>
              <w:rPr>
                <w:rFonts w:ascii="宋体"/>
                <w:vanish/>
              </w:rPr>
            </w:pPr>
          </w:p>
        </w:tc>
        <w:tc>
          <w:tcPr>
            <w:tcW w:w="0" w:type="auto"/>
            <w:gridSpan w:val="3"/>
            <w:shd w:val="clear" w:color="auto" w:fill="auto"/>
            <w:vAlign w:val="bottom"/>
          </w:tcPr>
          <w:p w14:paraId="71D3DA03" w14:textId="77777777" w:rsidR="006A3667" w:rsidRDefault="006A3667">
            <w:pPr>
              <w:rPr>
                <w:rFonts w:ascii="宋体"/>
                <w:vanish/>
              </w:rPr>
            </w:pPr>
          </w:p>
        </w:tc>
        <w:tc>
          <w:tcPr>
            <w:tcW w:w="0" w:type="auto"/>
            <w:gridSpan w:val="3"/>
            <w:shd w:val="clear" w:color="auto" w:fill="auto"/>
            <w:vAlign w:val="bottom"/>
          </w:tcPr>
          <w:p w14:paraId="71D3DA04" w14:textId="77777777" w:rsidR="006A3667" w:rsidRDefault="006A3667">
            <w:pPr>
              <w:rPr>
                <w:rFonts w:ascii="宋体"/>
                <w:vanish/>
              </w:rPr>
            </w:pPr>
          </w:p>
        </w:tc>
        <w:tc>
          <w:tcPr>
            <w:tcW w:w="0" w:type="auto"/>
            <w:gridSpan w:val="3"/>
            <w:shd w:val="clear" w:color="auto" w:fill="auto"/>
            <w:vAlign w:val="bottom"/>
          </w:tcPr>
          <w:p w14:paraId="71D3DA05" w14:textId="77777777" w:rsidR="006A3667" w:rsidRDefault="006A3667">
            <w:pPr>
              <w:rPr>
                <w:rFonts w:ascii="宋体"/>
                <w:vanish/>
              </w:rPr>
            </w:pPr>
          </w:p>
        </w:tc>
        <w:tc>
          <w:tcPr>
            <w:tcW w:w="0" w:type="auto"/>
            <w:gridSpan w:val="3"/>
            <w:shd w:val="clear" w:color="auto" w:fill="auto"/>
            <w:vAlign w:val="bottom"/>
          </w:tcPr>
          <w:p w14:paraId="71D3DA06" w14:textId="77777777" w:rsidR="006A3667" w:rsidRDefault="006A3667">
            <w:pPr>
              <w:rPr>
                <w:rFonts w:ascii="宋体"/>
                <w:vanish/>
              </w:rPr>
            </w:pPr>
          </w:p>
        </w:tc>
        <w:tc>
          <w:tcPr>
            <w:tcW w:w="0" w:type="auto"/>
            <w:gridSpan w:val="3"/>
            <w:shd w:val="clear" w:color="auto" w:fill="auto"/>
            <w:vAlign w:val="bottom"/>
          </w:tcPr>
          <w:p w14:paraId="71D3DA07" w14:textId="77777777" w:rsidR="006A3667" w:rsidRDefault="006A3667">
            <w:pPr>
              <w:rPr>
                <w:rFonts w:ascii="宋体"/>
                <w:vanish/>
              </w:rPr>
            </w:pPr>
          </w:p>
        </w:tc>
      </w:tr>
      <w:tr w:rsidR="006A3667" w14:paraId="71D3DA14" w14:textId="77777777">
        <w:trPr>
          <w:hidden/>
        </w:trPr>
        <w:tc>
          <w:tcPr>
            <w:tcW w:w="0" w:type="auto"/>
            <w:gridSpan w:val="3"/>
            <w:shd w:val="clear" w:color="auto" w:fill="auto"/>
            <w:vAlign w:val="bottom"/>
          </w:tcPr>
          <w:p w14:paraId="71D3DA09" w14:textId="77777777" w:rsidR="006A3667" w:rsidRDefault="006A3667">
            <w:pPr>
              <w:rPr>
                <w:rFonts w:ascii="宋体"/>
                <w:vanish/>
              </w:rPr>
            </w:pPr>
          </w:p>
        </w:tc>
        <w:tc>
          <w:tcPr>
            <w:tcW w:w="0" w:type="auto"/>
            <w:gridSpan w:val="3"/>
            <w:shd w:val="clear" w:color="auto" w:fill="auto"/>
            <w:vAlign w:val="bottom"/>
          </w:tcPr>
          <w:p w14:paraId="71D3DA0A" w14:textId="77777777" w:rsidR="006A3667" w:rsidRDefault="006A3667">
            <w:pPr>
              <w:rPr>
                <w:rFonts w:ascii="宋体"/>
                <w:vanish/>
              </w:rPr>
            </w:pPr>
          </w:p>
        </w:tc>
        <w:tc>
          <w:tcPr>
            <w:tcW w:w="0" w:type="auto"/>
            <w:gridSpan w:val="3"/>
            <w:shd w:val="clear" w:color="auto" w:fill="auto"/>
            <w:vAlign w:val="bottom"/>
          </w:tcPr>
          <w:p w14:paraId="71D3DA0B" w14:textId="77777777" w:rsidR="006A3667" w:rsidRDefault="006A3667">
            <w:pPr>
              <w:rPr>
                <w:rFonts w:ascii="宋体"/>
                <w:vanish/>
              </w:rPr>
            </w:pPr>
          </w:p>
        </w:tc>
        <w:tc>
          <w:tcPr>
            <w:tcW w:w="0" w:type="auto"/>
            <w:gridSpan w:val="3"/>
            <w:shd w:val="clear" w:color="auto" w:fill="auto"/>
            <w:vAlign w:val="bottom"/>
          </w:tcPr>
          <w:p w14:paraId="71D3DA0C" w14:textId="77777777" w:rsidR="006A3667" w:rsidRDefault="006A3667">
            <w:pPr>
              <w:rPr>
                <w:rFonts w:ascii="宋体"/>
                <w:vanish/>
              </w:rPr>
            </w:pPr>
          </w:p>
        </w:tc>
        <w:tc>
          <w:tcPr>
            <w:tcW w:w="0" w:type="auto"/>
            <w:gridSpan w:val="3"/>
            <w:shd w:val="clear" w:color="auto" w:fill="auto"/>
            <w:vAlign w:val="bottom"/>
          </w:tcPr>
          <w:p w14:paraId="71D3DA0D" w14:textId="77777777" w:rsidR="006A3667" w:rsidRDefault="006A3667">
            <w:pPr>
              <w:rPr>
                <w:rFonts w:ascii="宋体"/>
                <w:vanish/>
              </w:rPr>
            </w:pPr>
          </w:p>
        </w:tc>
        <w:tc>
          <w:tcPr>
            <w:tcW w:w="0" w:type="auto"/>
            <w:gridSpan w:val="3"/>
            <w:shd w:val="clear" w:color="auto" w:fill="auto"/>
            <w:vAlign w:val="bottom"/>
          </w:tcPr>
          <w:p w14:paraId="71D3DA0E" w14:textId="77777777" w:rsidR="006A3667" w:rsidRDefault="006A3667">
            <w:pPr>
              <w:rPr>
                <w:rFonts w:ascii="宋体"/>
                <w:vanish/>
              </w:rPr>
            </w:pPr>
          </w:p>
        </w:tc>
        <w:tc>
          <w:tcPr>
            <w:tcW w:w="0" w:type="auto"/>
            <w:gridSpan w:val="3"/>
            <w:shd w:val="clear" w:color="auto" w:fill="auto"/>
            <w:vAlign w:val="bottom"/>
          </w:tcPr>
          <w:p w14:paraId="71D3DA0F" w14:textId="77777777" w:rsidR="006A3667" w:rsidRDefault="006A3667">
            <w:pPr>
              <w:rPr>
                <w:rFonts w:ascii="宋体"/>
                <w:vanish/>
              </w:rPr>
            </w:pPr>
          </w:p>
        </w:tc>
        <w:tc>
          <w:tcPr>
            <w:tcW w:w="0" w:type="auto"/>
            <w:gridSpan w:val="3"/>
            <w:shd w:val="clear" w:color="auto" w:fill="auto"/>
            <w:vAlign w:val="bottom"/>
          </w:tcPr>
          <w:p w14:paraId="71D3DA10" w14:textId="77777777" w:rsidR="006A3667" w:rsidRDefault="006A3667">
            <w:pPr>
              <w:rPr>
                <w:rFonts w:ascii="宋体"/>
                <w:vanish/>
              </w:rPr>
            </w:pPr>
          </w:p>
        </w:tc>
        <w:tc>
          <w:tcPr>
            <w:tcW w:w="0" w:type="auto"/>
            <w:gridSpan w:val="3"/>
            <w:shd w:val="clear" w:color="auto" w:fill="auto"/>
            <w:vAlign w:val="bottom"/>
          </w:tcPr>
          <w:p w14:paraId="71D3DA11" w14:textId="77777777" w:rsidR="006A3667" w:rsidRDefault="006A3667">
            <w:pPr>
              <w:rPr>
                <w:rFonts w:ascii="宋体"/>
                <w:vanish/>
              </w:rPr>
            </w:pPr>
          </w:p>
        </w:tc>
        <w:tc>
          <w:tcPr>
            <w:tcW w:w="0" w:type="auto"/>
            <w:gridSpan w:val="3"/>
            <w:shd w:val="clear" w:color="auto" w:fill="auto"/>
            <w:vAlign w:val="bottom"/>
          </w:tcPr>
          <w:p w14:paraId="71D3DA12" w14:textId="77777777" w:rsidR="006A3667" w:rsidRDefault="006A3667">
            <w:pPr>
              <w:rPr>
                <w:rFonts w:ascii="宋体"/>
                <w:vanish/>
              </w:rPr>
            </w:pPr>
          </w:p>
        </w:tc>
        <w:tc>
          <w:tcPr>
            <w:tcW w:w="0" w:type="auto"/>
            <w:gridSpan w:val="3"/>
            <w:shd w:val="clear" w:color="auto" w:fill="auto"/>
            <w:vAlign w:val="bottom"/>
          </w:tcPr>
          <w:p w14:paraId="71D3DA13" w14:textId="77777777" w:rsidR="006A3667" w:rsidRDefault="006A3667">
            <w:pPr>
              <w:rPr>
                <w:rFonts w:ascii="宋体"/>
                <w:vanish/>
              </w:rPr>
            </w:pPr>
          </w:p>
        </w:tc>
      </w:tr>
      <w:tr w:rsidR="006A3667" w14:paraId="71D3DA20" w14:textId="77777777">
        <w:trPr>
          <w:hidden/>
        </w:trPr>
        <w:tc>
          <w:tcPr>
            <w:tcW w:w="0" w:type="auto"/>
            <w:gridSpan w:val="3"/>
            <w:shd w:val="clear" w:color="auto" w:fill="auto"/>
            <w:vAlign w:val="bottom"/>
          </w:tcPr>
          <w:p w14:paraId="71D3DA15" w14:textId="77777777" w:rsidR="006A3667" w:rsidRDefault="006A3667">
            <w:pPr>
              <w:rPr>
                <w:rFonts w:ascii="宋体"/>
                <w:vanish/>
              </w:rPr>
            </w:pPr>
          </w:p>
        </w:tc>
        <w:tc>
          <w:tcPr>
            <w:tcW w:w="0" w:type="auto"/>
            <w:gridSpan w:val="3"/>
            <w:shd w:val="clear" w:color="auto" w:fill="auto"/>
            <w:vAlign w:val="bottom"/>
          </w:tcPr>
          <w:p w14:paraId="71D3DA16" w14:textId="77777777" w:rsidR="006A3667" w:rsidRDefault="006A3667">
            <w:pPr>
              <w:rPr>
                <w:rFonts w:ascii="宋体"/>
                <w:vanish/>
              </w:rPr>
            </w:pPr>
          </w:p>
        </w:tc>
        <w:tc>
          <w:tcPr>
            <w:tcW w:w="0" w:type="auto"/>
            <w:gridSpan w:val="3"/>
            <w:shd w:val="clear" w:color="auto" w:fill="auto"/>
            <w:vAlign w:val="bottom"/>
          </w:tcPr>
          <w:p w14:paraId="71D3DA17" w14:textId="77777777" w:rsidR="006A3667" w:rsidRDefault="006A3667">
            <w:pPr>
              <w:rPr>
                <w:rFonts w:ascii="宋体"/>
                <w:vanish/>
              </w:rPr>
            </w:pPr>
          </w:p>
        </w:tc>
        <w:tc>
          <w:tcPr>
            <w:tcW w:w="0" w:type="auto"/>
            <w:gridSpan w:val="3"/>
            <w:shd w:val="clear" w:color="auto" w:fill="auto"/>
            <w:vAlign w:val="bottom"/>
          </w:tcPr>
          <w:p w14:paraId="71D3DA18" w14:textId="77777777" w:rsidR="006A3667" w:rsidRDefault="006A3667">
            <w:pPr>
              <w:rPr>
                <w:rFonts w:ascii="宋体"/>
                <w:vanish/>
              </w:rPr>
            </w:pPr>
          </w:p>
        </w:tc>
        <w:tc>
          <w:tcPr>
            <w:tcW w:w="0" w:type="auto"/>
            <w:gridSpan w:val="3"/>
            <w:shd w:val="clear" w:color="auto" w:fill="auto"/>
            <w:vAlign w:val="bottom"/>
          </w:tcPr>
          <w:p w14:paraId="71D3DA19" w14:textId="77777777" w:rsidR="006A3667" w:rsidRDefault="006A3667">
            <w:pPr>
              <w:rPr>
                <w:rFonts w:ascii="宋体"/>
                <w:vanish/>
              </w:rPr>
            </w:pPr>
          </w:p>
        </w:tc>
        <w:tc>
          <w:tcPr>
            <w:tcW w:w="0" w:type="auto"/>
            <w:gridSpan w:val="3"/>
            <w:shd w:val="clear" w:color="auto" w:fill="auto"/>
            <w:vAlign w:val="bottom"/>
          </w:tcPr>
          <w:p w14:paraId="71D3DA1A" w14:textId="77777777" w:rsidR="006A3667" w:rsidRDefault="006A3667">
            <w:pPr>
              <w:rPr>
                <w:rFonts w:ascii="宋体"/>
                <w:vanish/>
              </w:rPr>
            </w:pPr>
          </w:p>
        </w:tc>
        <w:tc>
          <w:tcPr>
            <w:tcW w:w="0" w:type="auto"/>
            <w:gridSpan w:val="3"/>
            <w:shd w:val="clear" w:color="auto" w:fill="auto"/>
            <w:vAlign w:val="bottom"/>
          </w:tcPr>
          <w:p w14:paraId="71D3DA1B" w14:textId="77777777" w:rsidR="006A3667" w:rsidRDefault="006A3667">
            <w:pPr>
              <w:rPr>
                <w:rFonts w:ascii="宋体"/>
                <w:vanish/>
              </w:rPr>
            </w:pPr>
          </w:p>
        </w:tc>
        <w:tc>
          <w:tcPr>
            <w:tcW w:w="0" w:type="auto"/>
            <w:gridSpan w:val="3"/>
            <w:shd w:val="clear" w:color="auto" w:fill="auto"/>
            <w:vAlign w:val="bottom"/>
          </w:tcPr>
          <w:p w14:paraId="71D3DA1C" w14:textId="77777777" w:rsidR="006A3667" w:rsidRDefault="006A3667">
            <w:pPr>
              <w:rPr>
                <w:rFonts w:ascii="宋体"/>
                <w:vanish/>
              </w:rPr>
            </w:pPr>
          </w:p>
        </w:tc>
        <w:tc>
          <w:tcPr>
            <w:tcW w:w="0" w:type="auto"/>
            <w:gridSpan w:val="3"/>
            <w:shd w:val="clear" w:color="auto" w:fill="auto"/>
            <w:vAlign w:val="bottom"/>
          </w:tcPr>
          <w:p w14:paraId="71D3DA1D" w14:textId="77777777" w:rsidR="006A3667" w:rsidRDefault="006A3667">
            <w:pPr>
              <w:rPr>
                <w:rFonts w:ascii="宋体"/>
                <w:vanish/>
              </w:rPr>
            </w:pPr>
          </w:p>
        </w:tc>
        <w:tc>
          <w:tcPr>
            <w:tcW w:w="0" w:type="auto"/>
            <w:gridSpan w:val="3"/>
            <w:shd w:val="clear" w:color="auto" w:fill="auto"/>
            <w:vAlign w:val="bottom"/>
          </w:tcPr>
          <w:p w14:paraId="71D3DA1E" w14:textId="77777777" w:rsidR="006A3667" w:rsidRDefault="006A3667">
            <w:pPr>
              <w:rPr>
                <w:rFonts w:ascii="宋体"/>
                <w:vanish/>
              </w:rPr>
            </w:pPr>
          </w:p>
        </w:tc>
        <w:tc>
          <w:tcPr>
            <w:tcW w:w="0" w:type="auto"/>
            <w:gridSpan w:val="3"/>
            <w:shd w:val="clear" w:color="auto" w:fill="auto"/>
            <w:vAlign w:val="bottom"/>
          </w:tcPr>
          <w:p w14:paraId="71D3DA1F" w14:textId="77777777" w:rsidR="006A3667" w:rsidRDefault="006A3667">
            <w:pPr>
              <w:rPr>
                <w:rFonts w:ascii="宋体"/>
                <w:vanish/>
              </w:rPr>
            </w:pPr>
          </w:p>
        </w:tc>
      </w:tr>
      <w:tr w:rsidR="006A3667" w14:paraId="71D3DA2C" w14:textId="77777777">
        <w:trPr>
          <w:hidden/>
        </w:trPr>
        <w:tc>
          <w:tcPr>
            <w:tcW w:w="0" w:type="auto"/>
            <w:gridSpan w:val="3"/>
            <w:shd w:val="clear" w:color="auto" w:fill="auto"/>
            <w:vAlign w:val="bottom"/>
          </w:tcPr>
          <w:p w14:paraId="71D3DA21" w14:textId="77777777" w:rsidR="006A3667" w:rsidRDefault="006A3667">
            <w:pPr>
              <w:rPr>
                <w:rFonts w:ascii="宋体"/>
                <w:vanish/>
              </w:rPr>
            </w:pPr>
          </w:p>
        </w:tc>
        <w:tc>
          <w:tcPr>
            <w:tcW w:w="0" w:type="auto"/>
            <w:gridSpan w:val="3"/>
            <w:shd w:val="clear" w:color="auto" w:fill="auto"/>
            <w:vAlign w:val="bottom"/>
          </w:tcPr>
          <w:p w14:paraId="71D3DA22" w14:textId="77777777" w:rsidR="006A3667" w:rsidRDefault="006A3667">
            <w:pPr>
              <w:rPr>
                <w:rFonts w:ascii="宋体"/>
                <w:vanish/>
              </w:rPr>
            </w:pPr>
          </w:p>
        </w:tc>
        <w:tc>
          <w:tcPr>
            <w:tcW w:w="0" w:type="auto"/>
            <w:gridSpan w:val="3"/>
            <w:shd w:val="clear" w:color="auto" w:fill="auto"/>
            <w:vAlign w:val="bottom"/>
          </w:tcPr>
          <w:p w14:paraId="71D3DA23" w14:textId="77777777" w:rsidR="006A3667" w:rsidRDefault="006A3667">
            <w:pPr>
              <w:rPr>
                <w:rFonts w:ascii="宋体"/>
                <w:vanish/>
              </w:rPr>
            </w:pPr>
          </w:p>
        </w:tc>
        <w:tc>
          <w:tcPr>
            <w:tcW w:w="0" w:type="auto"/>
            <w:gridSpan w:val="3"/>
            <w:shd w:val="clear" w:color="auto" w:fill="auto"/>
            <w:vAlign w:val="bottom"/>
          </w:tcPr>
          <w:p w14:paraId="71D3DA24" w14:textId="77777777" w:rsidR="006A3667" w:rsidRDefault="006A3667">
            <w:pPr>
              <w:rPr>
                <w:rFonts w:ascii="宋体"/>
                <w:vanish/>
              </w:rPr>
            </w:pPr>
          </w:p>
        </w:tc>
        <w:tc>
          <w:tcPr>
            <w:tcW w:w="0" w:type="auto"/>
            <w:gridSpan w:val="3"/>
            <w:shd w:val="clear" w:color="auto" w:fill="auto"/>
            <w:vAlign w:val="bottom"/>
          </w:tcPr>
          <w:p w14:paraId="71D3DA25" w14:textId="77777777" w:rsidR="006A3667" w:rsidRDefault="006A3667">
            <w:pPr>
              <w:rPr>
                <w:rFonts w:ascii="宋体"/>
                <w:vanish/>
              </w:rPr>
            </w:pPr>
          </w:p>
        </w:tc>
        <w:tc>
          <w:tcPr>
            <w:tcW w:w="0" w:type="auto"/>
            <w:gridSpan w:val="3"/>
            <w:shd w:val="clear" w:color="auto" w:fill="auto"/>
            <w:vAlign w:val="bottom"/>
          </w:tcPr>
          <w:p w14:paraId="71D3DA26" w14:textId="77777777" w:rsidR="006A3667" w:rsidRDefault="006A3667">
            <w:pPr>
              <w:rPr>
                <w:rFonts w:ascii="宋体"/>
                <w:vanish/>
              </w:rPr>
            </w:pPr>
          </w:p>
        </w:tc>
        <w:tc>
          <w:tcPr>
            <w:tcW w:w="0" w:type="auto"/>
            <w:gridSpan w:val="3"/>
            <w:shd w:val="clear" w:color="auto" w:fill="auto"/>
            <w:vAlign w:val="bottom"/>
          </w:tcPr>
          <w:p w14:paraId="71D3DA27" w14:textId="77777777" w:rsidR="006A3667" w:rsidRDefault="006A3667">
            <w:pPr>
              <w:rPr>
                <w:rFonts w:ascii="宋体"/>
                <w:vanish/>
              </w:rPr>
            </w:pPr>
          </w:p>
        </w:tc>
        <w:tc>
          <w:tcPr>
            <w:tcW w:w="0" w:type="auto"/>
            <w:gridSpan w:val="3"/>
            <w:shd w:val="clear" w:color="auto" w:fill="auto"/>
            <w:vAlign w:val="bottom"/>
          </w:tcPr>
          <w:p w14:paraId="71D3DA28" w14:textId="77777777" w:rsidR="006A3667" w:rsidRDefault="006A3667">
            <w:pPr>
              <w:rPr>
                <w:rFonts w:ascii="宋体"/>
                <w:vanish/>
              </w:rPr>
            </w:pPr>
          </w:p>
        </w:tc>
        <w:tc>
          <w:tcPr>
            <w:tcW w:w="0" w:type="auto"/>
            <w:gridSpan w:val="3"/>
            <w:shd w:val="clear" w:color="auto" w:fill="auto"/>
            <w:vAlign w:val="bottom"/>
          </w:tcPr>
          <w:p w14:paraId="71D3DA29" w14:textId="77777777" w:rsidR="006A3667" w:rsidRDefault="006A3667">
            <w:pPr>
              <w:rPr>
                <w:rFonts w:ascii="宋体"/>
                <w:vanish/>
              </w:rPr>
            </w:pPr>
          </w:p>
        </w:tc>
        <w:tc>
          <w:tcPr>
            <w:tcW w:w="0" w:type="auto"/>
            <w:gridSpan w:val="3"/>
            <w:shd w:val="clear" w:color="auto" w:fill="auto"/>
            <w:vAlign w:val="bottom"/>
          </w:tcPr>
          <w:p w14:paraId="71D3DA2A" w14:textId="77777777" w:rsidR="006A3667" w:rsidRDefault="006A3667">
            <w:pPr>
              <w:rPr>
                <w:rFonts w:ascii="宋体"/>
                <w:vanish/>
              </w:rPr>
            </w:pPr>
          </w:p>
        </w:tc>
        <w:tc>
          <w:tcPr>
            <w:tcW w:w="0" w:type="auto"/>
            <w:gridSpan w:val="3"/>
            <w:shd w:val="clear" w:color="auto" w:fill="auto"/>
            <w:vAlign w:val="bottom"/>
          </w:tcPr>
          <w:p w14:paraId="71D3DA2B" w14:textId="77777777" w:rsidR="006A3667" w:rsidRDefault="006A3667">
            <w:pPr>
              <w:rPr>
                <w:rFonts w:ascii="宋体"/>
                <w:vanish/>
              </w:rPr>
            </w:pPr>
          </w:p>
        </w:tc>
      </w:tr>
      <w:tr w:rsidR="006A3667" w14:paraId="71D3DA38" w14:textId="77777777">
        <w:trPr>
          <w:hidden/>
        </w:trPr>
        <w:tc>
          <w:tcPr>
            <w:tcW w:w="0" w:type="auto"/>
            <w:gridSpan w:val="3"/>
            <w:shd w:val="clear" w:color="auto" w:fill="auto"/>
            <w:vAlign w:val="bottom"/>
          </w:tcPr>
          <w:p w14:paraId="71D3DA2D" w14:textId="77777777" w:rsidR="006A3667" w:rsidRDefault="006A3667">
            <w:pPr>
              <w:rPr>
                <w:rFonts w:ascii="宋体"/>
                <w:vanish/>
              </w:rPr>
            </w:pPr>
          </w:p>
        </w:tc>
        <w:tc>
          <w:tcPr>
            <w:tcW w:w="0" w:type="auto"/>
            <w:gridSpan w:val="3"/>
            <w:shd w:val="clear" w:color="auto" w:fill="auto"/>
            <w:vAlign w:val="bottom"/>
          </w:tcPr>
          <w:p w14:paraId="71D3DA2E" w14:textId="77777777" w:rsidR="006A3667" w:rsidRDefault="006A3667">
            <w:pPr>
              <w:rPr>
                <w:rFonts w:ascii="宋体"/>
                <w:vanish/>
              </w:rPr>
            </w:pPr>
          </w:p>
        </w:tc>
        <w:tc>
          <w:tcPr>
            <w:tcW w:w="0" w:type="auto"/>
            <w:gridSpan w:val="3"/>
            <w:shd w:val="clear" w:color="auto" w:fill="auto"/>
            <w:vAlign w:val="bottom"/>
          </w:tcPr>
          <w:p w14:paraId="71D3DA2F" w14:textId="77777777" w:rsidR="006A3667" w:rsidRDefault="006A3667">
            <w:pPr>
              <w:rPr>
                <w:rFonts w:ascii="宋体"/>
                <w:vanish/>
              </w:rPr>
            </w:pPr>
          </w:p>
        </w:tc>
        <w:tc>
          <w:tcPr>
            <w:tcW w:w="0" w:type="auto"/>
            <w:gridSpan w:val="3"/>
            <w:shd w:val="clear" w:color="auto" w:fill="auto"/>
            <w:vAlign w:val="bottom"/>
          </w:tcPr>
          <w:p w14:paraId="71D3DA30" w14:textId="77777777" w:rsidR="006A3667" w:rsidRDefault="006A3667">
            <w:pPr>
              <w:rPr>
                <w:rFonts w:ascii="宋体"/>
                <w:vanish/>
              </w:rPr>
            </w:pPr>
          </w:p>
        </w:tc>
        <w:tc>
          <w:tcPr>
            <w:tcW w:w="0" w:type="auto"/>
            <w:gridSpan w:val="3"/>
            <w:shd w:val="clear" w:color="auto" w:fill="auto"/>
            <w:vAlign w:val="bottom"/>
          </w:tcPr>
          <w:p w14:paraId="71D3DA31" w14:textId="77777777" w:rsidR="006A3667" w:rsidRDefault="006A3667">
            <w:pPr>
              <w:rPr>
                <w:rFonts w:ascii="宋体"/>
                <w:vanish/>
              </w:rPr>
            </w:pPr>
          </w:p>
        </w:tc>
        <w:tc>
          <w:tcPr>
            <w:tcW w:w="0" w:type="auto"/>
            <w:gridSpan w:val="3"/>
            <w:shd w:val="clear" w:color="auto" w:fill="auto"/>
            <w:vAlign w:val="bottom"/>
          </w:tcPr>
          <w:p w14:paraId="71D3DA32" w14:textId="77777777" w:rsidR="006A3667" w:rsidRDefault="006A3667">
            <w:pPr>
              <w:rPr>
                <w:rFonts w:ascii="宋体"/>
                <w:vanish/>
              </w:rPr>
            </w:pPr>
          </w:p>
        </w:tc>
        <w:tc>
          <w:tcPr>
            <w:tcW w:w="0" w:type="auto"/>
            <w:gridSpan w:val="3"/>
            <w:shd w:val="clear" w:color="auto" w:fill="auto"/>
            <w:vAlign w:val="bottom"/>
          </w:tcPr>
          <w:p w14:paraId="71D3DA33" w14:textId="77777777" w:rsidR="006A3667" w:rsidRDefault="006A3667">
            <w:pPr>
              <w:rPr>
                <w:rFonts w:ascii="宋体"/>
                <w:vanish/>
              </w:rPr>
            </w:pPr>
          </w:p>
        </w:tc>
        <w:tc>
          <w:tcPr>
            <w:tcW w:w="0" w:type="auto"/>
            <w:gridSpan w:val="3"/>
            <w:shd w:val="clear" w:color="auto" w:fill="auto"/>
            <w:vAlign w:val="bottom"/>
          </w:tcPr>
          <w:p w14:paraId="71D3DA34" w14:textId="77777777" w:rsidR="006A3667" w:rsidRDefault="006A3667">
            <w:pPr>
              <w:rPr>
                <w:rFonts w:ascii="宋体"/>
                <w:vanish/>
              </w:rPr>
            </w:pPr>
          </w:p>
        </w:tc>
        <w:tc>
          <w:tcPr>
            <w:tcW w:w="0" w:type="auto"/>
            <w:gridSpan w:val="3"/>
            <w:shd w:val="clear" w:color="auto" w:fill="auto"/>
            <w:vAlign w:val="bottom"/>
          </w:tcPr>
          <w:p w14:paraId="71D3DA35" w14:textId="77777777" w:rsidR="006A3667" w:rsidRDefault="006A3667">
            <w:pPr>
              <w:rPr>
                <w:rFonts w:ascii="宋体"/>
                <w:vanish/>
              </w:rPr>
            </w:pPr>
          </w:p>
        </w:tc>
        <w:tc>
          <w:tcPr>
            <w:tcW w:w="0" w:type="auto"/>
            <w:gridSpan w:val="3"/>
            <w:shd w:val="clear" w:color="auto" w:fill="auto"/>
            <w:vAlign w:val="bottom"/>
          </w:tcPr>
          <w:p w14:paraId="71D3DA36" w14:textId="77777777" w:rsidR="006A3667" w:rsidRDefault="006A3667">
            <w:pPr>
              <w:rPr>
                <w:rFonts w:ascii="宋体"/>
                <w:vanish/>
              </w:rPr>
            </w:pPr>
          </w:p>
        </w:tc>
        <w:tc>
          <w:tcPr>
            <w:tcW w:w="0" w:type="auto"/>
            <w:gridSpan w:val="3"/>
            <w:shd w:val="clear" w:color="auto" w:fill="auto"/>
            <w:vAlign w:val="bottom"/>
          </w:tcPr>
          <w:p w14:paraId="71D3DA37" w14:textId="77777777" w:rsidR="006A3667" w:rsidRDefault="006A3667">
            <w:pPr>
              <w:rPr>
                <w:rFonts w:ascii="宋体"/>
                <w:vanish/>
              </w:rPr>
            </w:pPr>
          </w:p>
        </w:tc>
      </w:tr>
      <w:tr w:rsidR="006A3667" w14:paraId="71D3DA44" w14:textId="77777777">
        <w:trPr>
          <w:hidden/>
        </w:trPr>
        <w:tc>
          <w:tcPr>
            <w:tcW w:w="0" w:type="auto"/>
            <w:gridSpan w:val="3"/>
            <w:shd w:val="clear" w:color="auto" w:fill="auto"/>
            <w:vAlign w:val="bottom"/>
          </w:tcPr>
          <w:p w14:paraId="71D3DA39" w14:textId="77777777" w:rsidR="006A3667" w:rsidRDefault="006A3667">
            <w:pPr>
              <w:rPr>
                <w:rFonts w:ascii="宋体"/>
                <w:vanish/>
              </w:rPr>
            </w:pPr>
          </w:p>
        </w:tc>
        <w:tc>
          <w:tcPr>
            <w:tcW w:w="0" w:type="auto"/>
            <w:gridSpan w:val="3"/>
            <w:shd w:val="clear" w:color="auto" w:fill="auto"/>
            <w:vAlign w:val="bottom"/>
          </w:tcPr>
          <w:p w14:paraId="71D3DA3A" w14:textId="77777777" w:rsidR="006A3667" w:rsidRDefault="006A3667">
            <w:pPr>
              <w:rPr>
                <w:rFonts w:ascii="宋体"/>
                <w:vanish/>
              </w:rPr>
            </w:pPr>
          </w:p>
        </w:tc>
        <w:tc>
          <w:tcPr>
            <w:tcW w:w="0" w:type="auto"/>
            <w:gridSpan w:val="3"/>
            <w:shd w:val="clear" w:color="auto" w:fill="auto"/>
            <w:vAlign w:val="bottom"/>
          </w:tcPr>
          <w:p w14:paraId="71D3DA3B" w14:textId="77777777" w:rsidR="006A3667" w:rsidRDefault="006A3667">
            <w:pPr>
              <w:rPr>
                <w:rFonts w:ascii="宋体"/>
                <w:vanish/>
              </w:rPr>
            </w:pPr>
          </w:p>
        </w:tc>
        <w:tc>
          <w:tcPr>
            <w:tcW w:w="0" w:type="auto"/>
            <w:gridSpan w:val="3"/>
            <w:shd w:val="clear" w:color="auto" w:fill="auto"/>
            <w:vAlign w:val="bottom"/>
          </w:tcPr>
          <w:p w14:paraId="71D3DA3C" w14:textId="77777777" w:rsidR="006A3667" w:rsidRDefault="006A3667">
            <w:pPr>
              <w:rPr>
                <w:rFonts w:ascii="宋体"/>
                <w:vanish/>
              </w:rPr>
            </w:pPr>
          </w:p>
        </w:tc>
        <w:tc>
          <w:tcPr>
            <w:tcW w:w="0" w:type="auto"/>
            <w:gridSpan w:val="3"/>
            <w:shd w:val="clear" w:color="auto" w:fill="auto"/>
            <w:vAlign w:val="bottom"/>
          </w:tcPr>
          <w:p w14:paraId="71D3DA3D" w14:textId="77777777" w:rsidR="006A3667" w:rsidRDefault="006A3667">
            <w:pPr>
              <w:rPr>
                <w:rFonts w:ascii="宋体"/>
                <w:vanish/>
              </w:rPr>
            </w:pPr>
          </w:p>
        </w:tc>
        <w:tc>
          <w:tcPr>
            <w:tcW w:w="0" w:type="auto"/>
            <w:gridSpan w:val="3"/>
            <w:shd w:val="clear" w:color="auto" w:fill="auto"/>
            <w:vAlign w:val="bottom"/>
          </w:tcPr>
          <w:p w14:paraId="71D3DA3E" w14:textId="77777777" w:rsidR="006A3667" w:rsidRDefault="006A3667">
            <w:pPr>
              <w:rPr>
                <w:rFonts w:ascii="宋体"/>
                <w:vanish/>
              </w:rPr>
            </w:pPr>
          </w:p>
        </w:tc>
        <w:tc>
          <w:tcPr>
            <w:tcW w:w="0" w:type="auto"/>
            <w:gridSpan w:val="3"/>
            <w:shd w:val="clear" w:color="auto" w:fill="auto"/>
            <w:vAlign w:val="bottom"/>
          </w:tcPr>
          <w:p w14:paraId="71D3DA3F" w14:textId="77777777" w:rsidR="006A3667" w:rsidRDefault="006A3667">
            <w:pPr>
              <w:rPr>
                <w:rFonts w:ascii="宋体"/>
                <w:vanish/>
              </w:rPr>
            </w:pPr>
          </w:p>
        </w:tc>
        <w:tc>
          <w:tcPr>
            <w:tcW w:w="0" w:type="auto"/>
            <w:gridSpan w:val="3"/>
            <w:shd w:val="clear" w:color="auto" w:fill="auto"/>
            <w:vAlign w:val="bottom"/>
          </w:tcPr>
          <w:p w14:paraId="71D3DA40" w14:textId="77777777" w:rsidR="006A3667" w:rsidRDefault="006A3667">
            <w:pPr>
              <w:rPr>
                <w:rFonts w:ascii="宋体"/>
                <w:vanish/>
              </w:rPr>
            </w:pPr>
          </w:p>
        </w:tc>
        <w:tc>
          <w:tcPr>
            <w:tcW w:w="0" w:type="auto"/>
            <w:gridSpan w:val="3"/>
            <w:shd w:val="clear" w:color="auto" w:fill="auto"/>
            <w:vAlign w:val="bottom"/>
          </w:tcPr>
          <w:p w14:paraId="71D3DA41" w14:textId="77777777" w:rsidR="006A3667" w:rsidRDefault="006A3667">
            <w:pPr>
              <w:rPr>
                <w:rFonts w:ascii="宋体"/>
                <w:vanish/>
              </w:rPr>
            </w:pPr>
          </w:p>
        </w:tc>
        <w:tc>
          <w:tcPr>
            <w:tcW w:w="0" w:type="auto"/>
            <w:gridSpan w:val="3"/>
            <w:shd w:val="clear" w:color="auto" w:fill="auto"/>
            <w:vAlign w:val="bottom"/>
          </w:tcPr>
          <w:p w14:paraId="71D3DA42" w14:textId="77777777" w:rsidR="006A3667" w:rsidRDefault="006A3667">
            <w:pPr>
              <w:rPr>
                <w:rFonts w:ascii="宋体"/>
                <w:vanish/>
              </w:rPr>
            </w:pPr>
          </w:p>
        </w:tc>
        <w:tc>
          <w:tcPr>
            <w:tcW w:w="0" w:type="auto"/>
            <w:gridSpan w:val="3"/>
            <w:shd w:val="clear" w:color="auto" w:fill="auto"/>
            <w:vAlign w:val="bottom"/>
          </w:tcPr>
          <w:p w14:paraId="71D3DA43" w14:textId="77777777" w:rsidR="006A3667" w:rsidRDefault="006A3667">
            <w:pPr>
              <w:rPr>
                <w:rFonts w:ascii="宋体"/>
                <w:vanish/>
              </w:rPr>
            </w:pPr>
          </w:p>
        </w:tc>
      </w:tr>
      <w:tr w:rsidR="006A3667" w14:paraId="71D3DA50" w14:textId="77777777">
        <w:trPr>
          <w:hidden/>
        </w:trPr>
        <w:tc>
          <w:tcPr>
            <w:tcW w:w="0" w:type="auto"/>
            <w:gridSpan w:val="3"/>
            <w:shd w:val="clear" w:color="auto" w:fill="auto"/>
            <w:vAlign w:val="bottom"/>
          </w:tcPr>
          <w:p w14:paraId="71D3DA45" w14:textId="77777777" w:rsidR="006A3667" w:rsidRDefault="006A3667">
            <w:pPr>
              <w:rPr>
                <w:rFonts w:ascii="宋体"/>
                <w:vanish/>
              </w:rPr>
            </w:pPr>
          </w:p>
        </w:tc>
        <w:tc>
          <w:tcPr>
            <w:tcW w:w="0" w:type="auto"/>
            <w:gridSpan w:val="3"/>
            <w:shd w:val="clear" w:color="auto" w:fill="auto"/>
            <w:vAlign w:val="bottom"/>
          </w:tcPr>
          <w:p w14:paraId="71D3DA46" w14:textId="77777777" w:rsidR="006A3667" w:rsidRDefault="006A3667">
            <w:pPr>
              <w:rPr>
                <w:rFonts w:ascii="宋体"/>
                <w:vanish/>
              </w:rPr>
            </w:pPr>
          </w:p>
        </w:tc>
        <w:tc>
          <w:tcPr>
            <w:tcW w:w="0" w:type="auto"/>
            <w:gridSpan w:val="3"/>
            <w:shd w:val="clear" w:color="auto" w:fill="auto"/>
            <w:vAlign w:val="bottom"/>
          </w:tcPr>
          <w:p w14:paraId="71D3DA47" w14:textId="77777777" w:rsidR="006A3667" w:rsidRDefault="006A3667">
            <w:pPr>
              <w:rPr>
                <w:rFonts w:ascii="宋体"/>
                <w:vanish/>
              </w:rPr>
            </w:pPr>
          </w:p>
        </w:tc>
        <w:tc>
          <w:tcPr>
            <w:tcW w:w="0" w:type="auto"/>
            <w:gridSpan w:val="3"/>
            <w:shd w:val="clear" w:color="auto" w:fill="auto"/>
            <w:vAlign w:val="bottom"/>
          </w:tcPr>
          <w:p w14:paraId="71D3DA48" w14:textId="77777777" w:rsidR="006A3667" w:rsidRDefault="006A3667">
            <w:pPr>
              <w:rPr>
                <w:rFonts w:ascii="宋体"/>
                <w:vanish/>
              </w:rPr>
            </w:pPr>
          </w:p>
        </w:tc>
        <w:tc>
          <w:tcPr>
            <w:tcW w:w="0" w:type="auto"/>
            <w:gridSpan w:val="3"/>
            <w:shd w:val="clear" w:color="auto" w:fill="auto"/>
            <w:vAlign w:val="bottom"/>
          </w:tcPr>
          <w:p w14:paraId="71D3DA49" w14:textId="77777777" w:rsidR="006A3667" w:rsidRDefault="006A3667">
            <w:pPr>
              <w:rPr>
                <w:rFonts w:ascii="宋体"/>
                <w:vanish/>
              </w:rPr>
            </w:pPr>
          </w:p>
        </w:tc>
        <w:tc>
          <w:tcPr>
            <w:tcW w:w="0" w:type="auto"/>
            <w:gridSpan w:val="3"/>
            <w:shd w:val="clear" w:color="auto" w:fill="auto"/>
            <w:vAlign w:val="bottom"/>
          </w:tcPr>
          <w:p w14:paraId="71D3DA4A" w14:textId="77777777" w:rsidR="006A3667" w:rsidRDefault="006A3667">
            <w:pPr>
              <w:rPr>
                <w:rFonts w:ascii="宋体"/>
                <w:vanish/>
              </w:rPr>
            </w:pPr>
          </w:p>
        </w:tc>
        <w:tc>
          <w:tcPr>
            <w:tcW w:w="0" w:type="auto"/>
            <w:gridSpan w:val="3"/>
            <w:shd w:val="clear" w:color="auto" w:fill="auto"/>
            <w:vAlign w:val="bottom"/>
          </w:tcPr>
          <w:p w14:paraId="71D3DA4B" w14:textId="77777777" w:rsidR="006A3667" w:rsidRDefault="006A3667">
            <w:pPr>
              <w:rPr>
                <w:rFonts w:ascii="宋体"/>
                <w:vanish/>
              </w:rPr>
            </w:pPr>
          </w:p>
        </w:tc>
        <w:tc>
          <w:tcPr>
            <w:tcW w:w="0" w:type="auto"/>
            <w:gridSpan w:val="3"/>
            <w:shd w:val="clear" w:color="auto" w:fill="auto"/>
            <w:vAlign w:val="bottom"/>
          </w:tcPr>
          <w:p w14:paraId="71D3DA4C" w14:textId="77777777" w:rsidR="006A3667" w:rsidRDefault="006A3667">
            <w:pPr>
              <w:rPr>
                <w:rFonts w:ascii="宋体"/>
                <w:vanish/>
              </w:rPr>
            </w:pPr>
          </w:p>
        </w:tc>
        <w:tc>
          <w:tcPr>
            <w:tcW w:w="0" w:type="auto"/>
            <w:gridSpan w:val="3"/>
            <w:shd w:val="clear" w:color="auto" w:fill="auto"/>
            <w:vAlign w:val="bottom"/>
          </w:tcPr>
          <w:p w14:paraId="71D3DA4D" w14:textId="77777777" w:rsidR="006A3667" w:rsidRDefault="006A3667">
            <w:pPr>
              <w:rPr>
                <w:rFonts w:ascii="宋体"/>
                <w:vanish/>
              </w:rPr>
            </w:pPr>
          </w:p>
        </w:tc>
        <w:tc>
          <w:tcPr>
            <w:tcW w:w="0" w:type="auto"/>
            <w:gridSpan w:val="3"/>
            <w:shd w:val="clear" w:color="auto" w:fill="auto"/>
            <w:vAlign w:val="bottom"/>
          </w:tcPr>
          <w:p w14:paraId="71D3DA4E" w14:textId="77777777" w:rsidR="006A3667" w:rsidRDefault="006A3667">
            <w:pPr>
              <w:rPr>
                <w:rFonts w:ascii="宋体"/>
                <w:vanish/>
              </w:rPr>
            </w:pPr>
          </w:p>
        </w:tc>
        <w:tc>
          <w:tcPr>
            <w:tcW w:w="0" w:type="auto"/>
            <w:gridSpan w:val="3"/>
            <w:shd w:val="clear" w:color="auto" w:fill="auto"/>
            <w:vAlign w:val="bottom"/>
          </w:tcPr>
          <w:p w14:paraId="71D3DA4F" w14:textId="77777777" w:rsidR="006A3667" w:rsidRDefault="006A3667">
            <w:pPr>
              <w:rPr>
                <w:rFonts w:ascii="宋体"/>
                <w:vanish/>
              </w:rPr>
            </w:pPr>
          </w:p>
        </w:tc>
      </w:tr>
      <w:tr w:rsidR="006A3667" w14:paraId="71D3DA5C" w14:textId="77777777">
        <w:trPr>
          <w:hidden/>
        </w:trPr>
        <w:tc>
          <w:tcPr>
            <w:tcW w:w="0" w:type="auto"/>
            <w:gridSpan w:val="3"/>
            <w:shd w:val="clear" w:color="auto" w:fill="auto"/>
            <w:vAlign w:val="bottom"/>
          </w:tcPr>
          <w:p w14:paraId="71D3DA51" w14:textId="77777777" w:rsidR="006A3667" w:rsidRDefault="006A3667">
            <w:pPr>
              <w:rPr>
                <w:rFonts w:ascii="宋体"/>
                <w:vanish/>
              </w:rPr>
            </w:pPr>
          </w:p>
        </w:tc>
        <w:tc>
          <w:tcPr>
            <w:tcW w:w="0" w:type="auto"/>
            <w:gridSpan w:val="3"/>
            <w:shd w:val="clear" w:color="auto" w:fill="auto"/>
            <w:vAlign w:val="bottom"/>
          </w:tcPr>
          <w:p w14:paraId="71D3DA52" w14:textId="77777777" w:rsidR="006A3667" w:rsidRDefault="006A3667">
            <w:pPr>
              <w:rPr>
                <w:rFonts w:ascii="宋体"/>
                <w:vanish/>
              </w:rPr>
            </w:pPr>
          </w:p>
        </w:tc>
        <w:tc>
          <w:tcPr>
            <w:tcW w:w="0" w:type="auto"/>
            <w:gridSpan w:val="3"/>
            <w:shd w:val="clear" w:color="auto" w:fill="auto"/>
            <w:vAlign w:val="bottom"/>
          </w:tcPr>
          <w:p w14:paraId="71D3DA53" w14:textId="77777777" w:rsidR="006A3667" w:rsidRDefault="006A3667">
            <w:pPr>
              <w:rPr>
                <w:rFonts w:ascii="宋体"/>
                <w:vanish/>
              </w:rPr>
            </w:pPr>
          </w:p>
        </w:tc>
        <w:tc>
          <w:tcPr>
            <w:tcW w:w="0" w:type="auto"/>
            <w:gridSpan w:val="3"/>
            <w:shd w:val="clear" w:color="auto" w:fill="auto"/>
            <w:vAlign w:val="bottom"/>
          </w:tcPr>
          <w:p w14:paraId="71D3DA54" w14:textId="77777777" w:rsidR="006A3667" w:rsidRDefault="006A3667">
            <w:pPr>
              <w:rPr>
                <w:rFonts w:ascii="宋体"/>
                <w:vanish/>
              </w:rPr>
            </w:pPr>
          </w:p>
        </w:tc>
        <w:tc>
          <w:tcPr>
            <w:tcW w:w="0" w:type="auto"/>
            <w:gridSpan w:val="3"/>
            <w:shd w:val="clear" w:color="auto" w:fill="auto"/>
            <w:vAlign w:val="bottom"/>
          </w:tcPr>
          <w:p w14:paraId="71D3DA55" w14:textId="77777777" w:rsidR="006A3667" w:rsidRDefault="006A3667">
            <w:pPr>
              <w:rPr>
                <w:rFonts w:ascii="宋体"/>
                <w:vanish/>
              </w:rPr>
            </w:pPr>
          </w:p>
        </w:tc>
        <w:tc>
          <w:tcPr>
            <w:tcW w:w="0" w:type="auto"/>
            <w:gridSpan w:val="3"/>
            <w:shd w:val="clear" w:color="auto" w:fill="auto"/>
            <w:vAlign w:val="bottom"/>
          </w:tcPr>
          <w:p w14:paraId="71D3DA56" w14:textId="77777777" w:rsidR="006A3667" w:rsidRDefault="006A3667">
            <w:pPr>
              <w:rPr>
                <w:rFonts w:ascii="宋体"/>
                <w:vanish/>
              </w:rPr>
            </w:pPr>
          </w:p>
        </w:tc>
        <w:tc>
          <w:tcPr>
            <w:tcW w:w="0" w:type="auto"/>
            <w:gridSpan w:val="3"/>
            <w:shd w:val="clear" w:color="auto" w:fill="auto"/>
            <w:vAlign w:val="bottom"/>
          </w:tcPr>
          <w:p w14:paraId="71D3DA57" w14:textId="77777777" w:rsidR="006A3667" w:rsidRDefault="006A3667">
            <w:pPr>
              <w:rPr>
                <w:rFonts w:ascii="宋体"/>
                <w:vanish/>
              </w:rPr>
            </w:pPr>
          </w:p>
        </w:tc>
        <w:tc>
          <w:tcPr>
            <w:tcW w:w="0" w:type="auto"/>
            <w:gridSpan w:val="3"/>
            <w:shd w:val="clear" w:color="auto" w:fill="auto"/>
            <w:vAlign w:val="bottom"/>
          </w:tcPr>
          <w:p w14:paraId="71D3DA58" w14:textId="77777777" w:rsidR="006A3667" w:rsidRDefault="006A3667">
            <w:pPr>
              <w:rPr>
                <w:rFonts w:ascii="宋体"/>
                <w:vanish/>
              </w:rPr>
            </w:pPr>
          </w:p>
        </w:tc>
        <w:tc>
          <w:tcPr>
            <w:tcW w:w="0" w:type="auto"/>
            <w:gridSpan w:val="3"/>
            <w:shd w:val="clear" w:color="auto" w:fill="auto"/>
            <w:vAlign w:val="bottom"/>
          </w:tcPr>
          <w:p w14:paraId="71D3DA59" w14:textId="77777777" w:rsidR="006A3667" w:rsidRDefault="006A3667">
            <w:pPr>
              <w:rPr>
                <w:rFonts w:ascii="宋体"/>
                <w:vanish/>
              </w:rPr>
            </w:pPr>
          </w:p>
        </w:tc>
        <w:tc>
          <w:tcPr>
            <w:tcW w:w="0" w:type="auto"/>
            <w:gridSpan w:val="3"/>
            <w:shd w:val="clear" w:color="auto" w:fill="auto"/>
            <w:vAlign w:val="bottom"/>
          </w:tcPr>
          <w:p w14:paraId="71D3DA5A" w14:textId="77777777" w:rsidR="006A3667" w:rsidRDefault="006A3667">
            <w:pPr>
              <w:rPr>
                <w:rFonts w:ascii="宋体"/>
                <w:vanish/>
              </w:rPr>
            </w:pPr>
          </w:p>
        </w:tc>
        <w:tc>
          <w:tcPr>
            <w:tcW w:w="0" w:type="auto"/>
            <w:gridSpan w:val="3"/>
            <w:shd w:val="clear" w:color="auto" w:fill="auto"/>
            <w:vAlign w:val="bottom"/>
          </w:tcPr>
          <w:p w14:paraId="71D3DA5B" w14:textId="77777777" w:rsidR="006A3667" w:rsidRDefault="006A3667">
            <w:pPr>
              <w:rPr>
                <w:rFonts w:ascii="宋体"/>
                <w:vanish/>
              </w:rPr>
            </w:pPr>
          </w:p>
        </w:tc>
      </w:tr>
      <w:tr w:rsidR="006A3667" w14:paraId="71D3DA68" w14:textId="77777777">
        <w:trPr>
          <w:hidden/>
        </w:trPr>
        <w:tc>
          <w:tcPr>
            <w:tcW w:w="0" w:type="auto"/>
            <w:gridSpan w:val="3"/>
            <w:shd w:val="clear" w:color="auto" w:fill="auto"/>
            <w:vAlign w:val="bottom"/>
          </w:tcPr>
          <w:p w14:paraId="71D3DA5D" w14:textId="77777777" w:rsidR="006A3667" w:rsidRDefault="006A3667">
            <w:pPr>
              <w:rPr>
                <w:rFonts w:ascii="宋体"/>
                <w:vanish/>
              </w:rPr>
            </w:pPr>
          </w:p>
        </w:tc>
        <w:tc>
          <w:tcPr>
            <w:tcW w:w="0" w:type="auto"/>
            <w:gridSpan w:val="3"/>
            <w:shd w:val="clear" w:color="auto" w:fill="auto"/>
            <w:vAlign w:val="bottom"/>
          </w:tcPr>
          <w:p w14:paraId="71D3DA5E" w14:textId="77777777" w:rsidR="006A3667" w:rsidRDefault="006A3667">
            <w:pPr>
              <w:rPr>
                <w:rFonts w:ascii="宋体"/>
                <w:vanish/>
              </w:rPr>
            </w:pPr>
          </w:p>
        </w:tc>
        <w:tc>
          <w:tcPr>
            <w:tcW w:w="0" w:type="auto"/>
            <w:gridSpan w:val="3"/>
            <w:shd w:val="clear" w:color="auto" w:fill="auto"/>
            <w:vAlign w:val="bottom"/>
          </w:tcPr>
          <w:p w14:paraId="71D3DA5F" w14:textId="77777777" w:rsidR="006A3667" w:rsidRDefault="006A3667">
            <w:pPr>
              <w:rPr>
                <w:rFonts w:ascii="宋体"/>
                <w:vanish/>
              </w:rPr>
            </w:pPr>
          </w:p>
        </w:tc>
        <w:tc>
          <w:tcPr>
            <w:tcW w:w="0" w:type="auto"/>
            <w:gridSpan w:val="3"/>
            <w:shd w:val="clear" w:color="auto" w:fill="auto"/>
            <w:vAlign w:val="bottom"/>
          </w:tcPr>
          <w:p w14:paraId="71D3DA60" w14:textId="77777777" w:rsidR="006A3667" w:rsidRDefault="006A3667">
            <w:pPr>
              <w:rPr>
                <w:rFonts w:ascii="宋体"/>
                <w:vanish/>
              </w:rPr>
            </w:pPr>
          </w:p>
        </w:tc>
        <w:tc>
          <w:tcPr>
            <w:tcW w:w="0" w:type="auto"/>
            <w:gridSpan w:val="3"/>
            <w:shd w:val="clear" w:color="auto" w:fill="auto"/>
            <w:vAlign w:val="bottom"/>
          </w:tcPr>
          <w:p w14:paraId="71D3DA61" w14:textId="77777777" w:rsidR="006A3667" w:rsidRDefault="006A3667">
            <w:pPr>
              <w:rPr>
                <w:rFonts w:ascii="宋体"/>
                <w:vanish/>
              </w:rPr>
            </w:pPr>
          </w:p>
        </w:tc>
        <w:tc>
          <w:tcPr>
            <w:tcW w:w="0" w:type="auto"/>
            <w:gridSpan w:val="3"/>
            <w:shd w:val="clear" w:color="auto" w:fill="auto"/>
            <w:vAlign w:val="bottom"/>
          </w:tcPr>
          <w:p w14:paraId="71D3DA62" w14:textId="77777777" w:rsidR="006A3667" w:rsidRDefault="006A3667">
            <w:pPr>
              <w:rPr>
                <w:rFonts w:ascii="宋体"/>
                <w:vanish/>
              </w:rPr>
            </w:pPr>
          </w:p>
        </w:tc>
        <w:tc>
          <w:tcPr>
            <w:tcW w:w="0" w:type="auto"/>
            <w:gridSpan w:val="3"/>
            <w:shd w:val="clear" w:color="auto" w:fill="auto"/>
            <w:vAlign w:val="bottom"/>
          </w:tcPr>
          <w:p w14:paraId="71D3DA63" w14:textId="77777777" w:rsidR="006A3667" w:rsidRDefault="006A3667">
            <w:pPr>
              <w:rPr>
                <w:rFonts w:ascii="宋体"/>
                <w:vanish/>
              </w:rPr>
            </w:pPr>
          </w:p>
        </w:tc>
        <w:tc>
          <w:tcPr>
            <w:tcW w:w="0" w:type="auto"/>
            <w:gridSpan w:val="3"/>
            <w:shd w:val="clear" w:color="auto" w:fill="auto"/>
            <w:vAlign w:val="bottom"/>
          </w:tcPr>
          <w:p w14:paraId="71D3DA64" w14:textId="77777777" w:rsidR="006A3667" w:rsidRDefault="006A3667">
            <w:pPr>
              <w:rPr>
                <w:rFonts w:ascii="宋体"/>
                <w:vanish/>
              </w:rPr>
            </w:pPr>
          </w:p>
        </w:tc>
        <w:tc>
          <w:tcPr>
            <w:tcW w:w="0" w:type="auto"/>
            <w:gridSpan w:val="3"/>
            <w:shd w:val="clear" w:color="auto" w:fill="auto"/>
            <w:vAlign w:val="bottom"/>
          </w:tcPr>
          <w:p w14:paraId="71D3DA65" w14:textId="77777777" w:rsidR="006A3667" w:rsidRDefault="006A3667">
            <w:pPr>
              <w:rPr>
                <w:rFonts w:ascii="宋体"/>
                <w:vanish/>
              </w:rPr>
            </w:pPr>
          </w:p>
        </w:tc>
        <w:tc>
          <w:tcPr>
            <w:tcW w:w="0" w:type="auto"/>
            <w:gridSpan w:val="3"/>
            <w:shd w:val="clear" w:color="auto" w:fill="auto"/>
            <w:vAlign w:val="bottom"/>
          </w:tcPr>
          <w:p w14:paraId="71D3DA66" w14:textId="77777777" w:rsidR="006A3667" w:rsidRDefault="006A3667">
            <w:pPr>
              <w:rPr>
                <w:rFonts w:ascii="宋体"/>
                <w:vanish/>
              </w:rPr>
            </w:pPr>
          </w:p>
        </w:tc>
        <w:tc>
          <w:tcPr>
            <w:tcW w:w="0" w:type="auto"/>
            <w:gridSpan w:val="3"/>
            <w:shd w:val="clear" w:color="auto" w:fill="auto"/>
            <w:vAlign w:val="bottom"/>
          </w:tcPr>
          <w:p w14:paraId="71D3DA67" w14:textId="77777777" w:rsidR="006A3667" w:rsidRDefault="006A3667">
            <w:pPr>
              <w:rPr>
                <w:rFonts w:ascii="宋体"/>
                <w:vanish/>
              </w:rPr>
            </w:pPr>
          </w:p>
        </w:tc>
      </w:tr>
      <w:tr w:rsidR="006A3667" w14:paraId="71D3DA74" w14:textId="77777777">
        <w:trPr>
          <w:hidden/>
        </w:trPr>
        <w:tc>
          <w:tcPr>
            <w:tcW w:w="0" w:type="auto"/>
            <w:gridSpan w:val="3"/>
            <w:shd w:val="clear" w:color="auto" w:fill="auto"/>
            <w:vAlign w:val="bottom"/>
          </w:tcPr>
          <w:p w14:paraId="71D3DA69" w14:textId="77777777" w:rsidR="006A3667" w:rsidRDefault="006A3667">
            <w:pPr>
              <w:rPr>
                <w:rFonts w:ascii="宋体"/>
                <w:vanish/>
              </w:rPr>
            </w:pPr>
          </w:p>
        </w:tc>
        <w:tc>
          <w:tcPr>
            <w:tcW w:w="0" w:type="auto"/>
            <w:gridSpan w:val="3"/>
            <w:shd w:val="clear" w:color="auto" w:fill="auto"/>
            <w:vAlign w:val="bottom"/>
          </w:tcPr>
          <w:p w14:paraId="71D3DA6A" w14:textId="77777777" w:rsidR="006A3667" w:rsidRDefault="006A3667">
            <w:pPr>
              <w:rPr>
                <w:rFonts w:ascii="宋体"/>
                <w:vanish/>
              </w:rPr>
            </w:pPr>
          </w:p>
        </w:tc>
        <w:tc>
          <w:tcPr>
            <w:tcW w:w="0" w:type="auto"/>
            <w:gridSpan w:val="3"/>
            <w:shd w:val="clear" w:color="auto" w:fill="auto"/>
            <w:vAlign w:val="bottom"/>
          </w:tcPr>
          <w:p w14:paraId="71D3DA6B" w14:textId="77777777" w:rsidR="006A3667" w:rsidRDefault="006A3667">
            <w:pPr>
              <w:rPr>
                <w:rFonts w:ascii="宋体"/>
                <w:vanish/>
              </w:rPr>
            </w:pPr>
          </w:p>
        </w:tc>
        <w:tc>
          <w:tcPr>
            <w:tcW w:w="0" w:type="auto"/>
            <w:gridSpan w:val="3"/>
            <w:shd w:val="clear" w:color="auto" w:fill="auto"/>
            <w:vAlign w:val="bottom"/>
          </w:tcPr>
          <w:p w14:paraId="71D3DA6C" w14:textId="77777777" w:rsidR="006A3667" w:rsidRDefault="006A3667">
            <w:pPr>
              <w:rPr>
                <w:rFonts w:ascii="宋体"/>
                <w:vanish/>
              </w:rPr>
            </w:pPr>
          </w:p>
        </w:tc>
        <w:tc>
          <w:tcPr>
            <w:tcW w:w="0" w:type="auto"/>
            <w:gridSpan w:val="3"/>
            <w:shd w:val="clear" w:color="auto" w:fill="auto"/>
            <w:vAlign w:val="bottom"/>
          </w:tcPr>
          <w:p w14:paraId="71D3DA6D" w14:textId="77777777" w:rsidR="006A3667" w:rsidRDefault="006A3667">
            <w:pPr>
              <w:rPr>
                <w:rFonts w:ascii="宋体"/>
                <w:vanish/>
              </w:rPr>
            </w:pPr>
          </w:p>
        </w:tc>
        <w:tc>
          <w:tcPr>
            <w:tcW w:w="0" w:type="auto"/>
            <w:gridSpan w:val="3"/>
            <w:shd w:val="clear" w:color="auto" w:fill="auto"/>
            <w:vAlign w:val="bottom"/>
          </w:tcPr>
          <w:p w14:paraId="71D3DA6E" w14:textId="77777777" w:rsidR="006A3667" w:rsidRDefault="006A3667">
            <w:pPr>
              <w:rPr>
                <w:rFonts w:ascii="宋体"/>
                <w:vanish/>
              </w:rPr>
            </w:pPr>
          </w:p>
        </w:tc>
        <w:tc>
          <w:tcPr>
            <w:tcW w:w="0" w:type="auto"/>
            <w:gridSpan w:val="3"/>
            <w:shd w:val="clear" w:color="auto" w:fill="auto"/>
            <w:vAlign w:val="bottom"/>
          </w:tcPr>
          <w:p w14:paraId="71D3DA6F" w14:textId="77777777" w:rsidR="006A3667" w:rsidRDefault="006A3667">
            <w:pPr>
              <w:rPr>
                <w:rFonts w:ascii="宋体"/>
                <w:vanish/>
              </w:rPr>
            </w:pPr>
          </w:p>
        </w:tc>
        <w:tc>
          <w:tcPr>
            <w:tcW w:w="0" w:type="auto"/>
            <w:gridSpan w:val="3"/>
            <w:shd w:val="clear" w:color="auto" w:fill="auto"/>
            <w:vAlign w:val="bottom"/>
          </w:tcPr>
          <w:p w14:paraId="71D3DA70" w14:textId="77777777" w:rsidR="006A3667" w:rsidRDefault="006A3667">
            <w:pPr>
              <w:rPr>
                <w:rFonts w:ascii="宋体"/>
                <w:vanish/>
              </w:rPr>
            </w:pPr>
          </w:p>
        </w:tc>
        <w:tc>
          <w:tcPr>
            <w:tcW w:w="0" w:type="auto"/>
            <w:gridSpan w:val="3"/>
            <w:shd w:val="clear" w:color="auto" w:fill="auto"/>
            <w:vAlign w:val="bottom"/>
          </w:tcPr>
          <w:p w14:paraId="71D3DA71" w14:textId="77777777" w:rsidR="006A3667" w:rsidRDefault="006A3667">
            <w:pPr>
              <w:rPr>
                <w:rFonts w:ascii="宋体"/>
                <w:vanish/>
              </w:rPr>
            </w:pPr>
          </w:p>
        </w:tc>
        <w:tc>
          <w:tcPr>
            <w:tcW w:w="0" w:type="auto"/>
            <w:gridSpan w:val="3"/>
            <w:shd w:val="clear" w:color="auto" w:fill="auto"/>
            <w:vAlign w:val="bottom"/>
          </w:tcPr>
          <w:p w14:paraId="71D3DA72" w14:textId="77777777" w:rsidR="006A3667" w:rsidRDefault="006A3667">
            <w:pPr>
              <w:rPr>
                <w:rFonts w:ascii="宋体"/>
                <w:vanish/>
              </w:rPr>
            </w:pPr>
          </w:p>
        </w:tc>
        <w:tc>
          <w:tcPr>
            <w:tcW w:w="0" w:type="auto"/>
            <w:gridSpan w:val="3"/>
            <w:shd w:val="clear" w:color="auto" w:fill="auto"/>
            <w:vAlign w:val="bottom"/>
          </w:tcPr>
          <w:p w14:paraId="71D3DA73" w14:textId="77777777" w:rsidR="006A3667" w:rsidRDefault="006A3667">
            <w:pPr>
              <w:rPr>
                <w:rFonts w:ascii="宋体"/>
                <w:vanish/>
              </w:rPr>
            </w:pPr>
          </w:p>
        </w:tc>
      </w:tr>
      <w:tr w:rsidR="006A3667" w14:paraId="71D3DA80" w14:textId="77777777">
        <w:trPr>
          <w:hidden/>
        </w:trPr>
        <w:tc>
          <w:tcPr>
            <w:tcW w:w="0" w:type="auto"/>
            <w:gridSpan w:val="3"/>
            <w:shd w:val="clear" w:color="auto" w:fill="auto"/>
            <w:vAlign w:val="bottom"/>
          </w:tcPr>
          <w:p w14:paraId="71D3DA75" w14:textId="77777777" w:rsidR="006A3667" w:rsidRDefault="006A3667">
            <w:pPr>
              <w:rPr>
                <w:rFonts w:ascii="宋体"/>
                <w:vanish/>
              </w:rPr>
            </w:pPr>
          </w:p>
        </w:tc>
        <w:tc>
          <w:tcPr>
            <w:tcW w:w="0" w:type="auto"/>
            <w:gridSpan w:val="3"/>
            <w:shd w:val="clear" w:color="auto" w:fill="auto"/>
            <w:vAlign w:val="bottom"/>
          </w:tcPr>
          <w:p w14:paraId="71D3DA76" w14:textId="77777777" w:rsidR="006A3667" w:rsidRDefault="006A3667">
            <w:pPr>
              <w:rPr>
                <w:rFonts w:ascii="宋体"/>
                <w:vanish/>
              </w:rPr>
            </w:pPr>
          </w:p>
        </w:tc>
        <w:tc>
          <w:tcPr>
            <w:tcW w:w="0" w:type="auto"/>
            <w:gridSpan w:val="3"/>
            <w:shd w:val="clear" w:color="auto" w:fill="auto"/>
            <w:vAlign w:val="bottom"/>
          </w:tcPr>
          <w:p w14:paraId="71D3DA77" w14:textId="77777777" w:rsidR="006A3667" w:rsidRDefault="006A3667">
            <w:pPr>
              <w:rPr>
                <w:rFonts w:ascii="宋体"/>
                <w:vanish/>
              </w:rPr>
            </w:pPr>
          </w:p>
        </w:tc>
        <w:tc>
          <w:tcPr>
            <w:tcW w:w="0" w:type="auto"/>
            <w:gridSpan w:val="3"/>
            <w:shd w:val="clear" w:color="auto" w:fill="auto"/>
            <w:vAlign w:val="bottom"/>
          </w:tcPr>
          <w:p w14:paraId="71D3DA78" w14:textId="77777777" w:rsidR="006A3667" w:rsidRDefault="006A3667">
            <w:pPr>
              <w:rPr>
                <w:rFonts w:ascii="宋体"/>
                <w:vanish/>
              </w:rPr>
            </w:pPr>
          </w:p>
        </w:tc>
        <w:tc>
          <w:tcPr>
            <w:tcW w:w="0" w:type="auto"/>
            <w:gridSpan w:val="3"/>
            <w:shd w:val="clear" w:color="auto" w:fill="auto"/>
            <w:vAlign w:val="bottom"/>
          </w:tcPr>
          <w:p w14:paraId="71D3DA79" w14:textId="77777777" w:rsidR="006A3667" w:rsidRDefault="006A3667">
            <w:pPr>
              <w:rPr>
                <w:rFonts w:ascii="宋体"/>
                <w:vanish/>
              </w:rPr>
            </w:pPr>
          </w:p>
        </w:tc>
        <w:tc>
          <w:tcPr>
            <w:tcW w:w="0" w:type="auto"/>
            <w:gridSpan w:val="3"/>
            <w:shd w:val="clear" w:color="auto" w:fill="auto"/>
            <w:vAlign w:val="bottom"/>
          </w:tcPr>
          <w:p w14:paraId="71D3DA7A" w14:textId="77777777" w:rsidR="006A3667" w:rsidRDefault="006A3667">
            <w:pPr>
              <w:rPr>
                <w:rFonts w:ascii="宋体"/>
                <w:vanish/>
              </w:rPr>
            </w:pPr>
          </w:p>
        </w:tc>
        <w:tc>
          <w:tcPr>
            <w:tcW w:w="0" w:type="auto"/>
            <w:gridSpan w:val="3"/>
            <w:shd w:val="clear" w:color="auto" w:fill="auto"/>
            <w:vAlign w:val="bottom"/>
          </w:tcPr>
          <w:p w14:paraId="71D3DA7B" w14:textId="77777777" w:rsidR="006A3667" w:rsidRDefault="006A3667">
            <w:pPr>
              <w:rPr>
                <w:rFonts w:ascii="宋体"/>
                <w:vanish/>
              </w:rPr>
            </w:pPr>
          </w:p>
        </w:tc>
        <w:tc>
          <w:tcPr>
            <w:tcW w:w="0" w:type="auto"/>
            <w:gridSpan w:val="3"/>
            <w:shd w:val="clear" w:color="auto" w:fill="auto"/>
            <w:vAlign w:val="bottom"/>
          </w:tcPr>
          <w:p w14:paraId="71D3DA7C" w14:textId="77777777" w:rsidR="006A3667" w:rsidRDefault="006A3667">
            <w:pPr>
              <w:rPr>
                <w:rFonts w:ascii="宋体"/>
                <w:vanish/>
              </w:rPr>
            </w:pPr>
          </w:p>
        </w:tc>
        <w:tc>
          <w:tcPr>
            <w:tcW w:w="0" w:type="auto"/>
            <w:gridSpan w:val="3"/>
            <w:shd w:val="clear" w:color="auto" w:fill="auto"/>
            <w:vAlign w:val="bottom"/>
          </w:tcPr>
          <w:p w14:paraId="71D3DA7D" w14:textId="77777777" w:rsidR="006A3667" w:rsidRDefault="006A3667">
            <w:pPr>
              <w:rPr>
                <w:rFonts w:ascii="宋体"/>
                <w:vanish/>
              </w:rPr>
            </w:pPr>
          </w:p>
        </w:tc>
        <w:tc>
          <w:tcPr>
            <w:tcW w:w="0" w:type="auto"/>
            <w:gridSpan w:val="3"/>
            <w:shd w:val="clear" w:color="auto" w:fill="auto"/>
            <w:vAlign w:val="bottom"/>
          </w:tcPr>
          <w:p w14:paraId="71D3DA7E" w14:textId="77777777" w:rsidR="006A3667" w:rsidRDefault="006A3667">
            <w:pPr>
              <w:rPr>
                <w:rFonts w:ascii="宋体"/>
                <w:vanish/>
              </w:rPr>
            </w:pPr>
          </w:p>
        </w:tc>
        <w:tc>
          <w:tcPr>
            <w:tcW w:w="0" w:type="auto"/>
            <w:gridSpan w:val="3"/>
            <w:shd w:val="clear" w:color="auto" w:fill="auto"/>
            <w:vAlign w:val="bottom"/>
          </w:tcPr>
          <w:p w14:paraId="71D3DA7F" w14:textId="77777777" w:rsidR="006A3667" w:rsidRDefault="006A3667">
            <w:pPr>
              <w:rPr>
                <w:rFonts w:ascii="宋体"/>
                <w:vanish/>
              </w:rPr>
            </w:pPr>
          </w:p>
        </w:tc>
      </w:tr>
      <w:tr w:rsidR="006A3667" w14:paraId="71D3DA8C" w14:textId="77777777">
        <w:trPr>
          <w:hidden/>
        </w:trPr>
        <w:tc>
          <w:tcPr>
            <w:tcW w:w="0" w:type="auto"/>
            <w:gridSpan w:val="3"/>
            <w:shd w:val="clear" w:color="auto" w:fill="auto"/>
            <w:vAlign w:val="bottom"/>
          </w:tcPr>
          <w:p w14:paraId="71D3DA81" w14:textId="77777777" w:rsidR="006A3667" w:rsidRDefault="006A3667">
            <w:pPr>
              <w:rPr>
                <w:rFonts w:ascii="宋体"/>
                <w:vanish/>
              </w:rPr>
            </w:pPr>
          </w:p>
        </w:tc>
        <w:tc>
          <w:tcPr>
            <w:tcW w:w="0" w:type="auto"/>
            <w:gridSpan w:val="3"/>
            <w:shd w:val="clear" w:color="auto" w:fill="auto"/>
            <w:vAlign w:val="bottom"/>
          </w:tcPr>
          <w:p w14:paraId="71D3DA82" w14:textId="77777777" w:rsidR="006A3667" w:rsidRDefault="006A3667">
            <w:pPr>
              <w:rPr>
                <w:rFonts w:ascii="宋体"/>
                <w:vanish/>
              </w:rPr>
            </w:pPr>
          </w:p>
        </w:tc>
        <w:tc>
          <w:tcPr>
            <w:tcW w:w="0" w:type="auto"/>
            <w:gridSpan w:val="3"/>
            <w:shd w:val="clear" w:color="auto" w:fill="auto"/>
            <w:vAlign w:val="bottom"/>
          </w:tcPr>
          <w:p w14:paraId="71D3DA83" w14:textId="77777777" w:rsidR="006A3667" w:rsidRDefault="006A3667">
            <w:pPr>
              <w:rPr>
                <w:rFonts w:ascii="宋体"/>
                <w:vanish/>
              </w:rPr>
            </w:pPr>
          </w:p>
        </w:tc>
        <w:tc>
          <w:tcPr>
            <w:tcW w:w="0" w:type="auto"/>
            <w:gridSpan w:val="3"/>
            <w:shd w:val="clear" w:color="auto" w:fill="auto"/>
            <w:vAlign w:val="bottom"/>
          </w:tcPr>
          <w:p w14:paraId="71D3DA84" w14:textId="77777777" w:rsidR="006A3667" w:rsidRDefault="006A3667">
            <w:pPr>
              <w:rPr>
                <w:rFonts w:ascii="宋体"/>
                <w:vanish/>
              </w:rPr>
            </w:pPr>
          </w:p>
        </w:tc>
        <w:tc>
          <w:tcPr>
            <w:tcW w:w="0" w:type="auto"/>
            <w:gridSpan w:val="3"/>
            <w:shd w:val="clear" w:color="auto" w:fill="auto"/>
            <w:vAlign w:val="bottom"/>
          </w:tcPr>
          <w:p w14:paraId="71D3DA85" w14:textId="77777777" w:rsidR="006A3667" w:rsidRDefault="006A3667">
            <w:pPr>
              <w:rPr>
                <w:rFonts w:ascii="宋体"/>
                <w:vanish/>
              </w:rPr>
            </w:pPr>
          </w:p>
        </w:tc>
        <w:tc>
          <w:tcPr>
            <w:tcW w:w="0" w:type="auto"/>
            <w:gridSpan w:val="3"/>
            <w:shd w:val="clear" w:color="auto" w:fill="auto"/>
            <w:vAlign w:val="bottom"/>
          </w:tcPr>
          <w:p w14:paraId="71D3DA86" w14:textId="77777777" w:rsidR="006A3667" w:rsidRDefault="006A3667">
            <w:pPr>
              <w:rPr>
                <w:rFonts w:ascii="宋体"/>
                <w:vanish/>
              </w:rPr>
            </w:pPr>
          </w:p>
        </w:tc>
        <w:tc>
          <w:tcPr>
            <w:tcW w:w="0" w:type="auto"/>
            <w:gridSpan w:val="3"/>
            <w:shd w:val="clear" w:color="auto" w:fill="auto"/>
            <w:vAlign w:val="bottom"/>
          </w:tcPr>
          <w:p w14:paraId="71D3DA87" w14:textId="77777777" w:rsidR="006A3667" w:rsidRDefault="006A3667">
            <w:pPr>
              <w:rPr>
                <w:rFonts w:ascii="宋体"/>
                <w:vanish/>
              </w:rPr>
            </w:pPr>
          </w:p>
        </w:tc>
        <w:tc>
          <w:tcPr>
            <w:tcW w:w="0" w:type="auto"/>
            <w:gridSpan w:val="3"/>
            <w:shd w:val="clear" w:color="auto" w:fill="auto"/>
            <w:vAlign w:val="bottom"/>
          </w:tcPr>
          <w:p w14:paraId="71D3DA88" w14:textId="77777777" w:rsidR="006A3667" w:rsidRDefault="006A3667">
            <w:pPr>
              <w:rPr>
                <w:rFonts w:ascii="宋体"/>
                <w:vanish/>
              </w:rPr>
            </w:pPr>
          </w:p>
        </w:tc>
        <w:tc>
          <w:tcPr>
            <w:tcW w:w="0" w:type="auto"/>
            <w:gridSpan w:val="3"/>
            <w:shd w:val="clear" w:color="auto" w:fill="auto"/>
            <w:vAlign w:val="bottom"/>
          </w:tcPr>
          <w:p w14:paraId="71D3DA89" w14:textId="77777777" w:rsidR="006A3667" w:rsidRDefault="006A3667">
            <w:pPr>
              <w:rPr>
                <w:rFonts w:ascii="宋体"/>
                <w:vanish/>
              </w:rPr>
            </w:pPr>
          </w:p>
        </w:tc>
        <w:tc>
          <w:tcPr>
            <w:tcW w:w="0" w:type="auto"/>
            <w:gridSpan w:val="3"/>
            <w:shd w:val="clear" w:color="auto" w:fill="auto"/>
            <w:vAlign w:val="bottom"/>
          </w:tcPr>
          <w:p w14:paraId="71D3DA8A" w14:textId="77777777" w:rsidR="006A3667" w:rsidRDefault="006A3667">
            <w:pPr>
              <w:rPr>
                <w:rFonts w:ascii="宋体"/>
                <w:vanish/>
              </w:rPr>
            </w:pPr>
          </w:p>
        </w:tc>
        <w:tc>
          <w:tcPr>
            <w:tcW w:w="0" w:type="auto"/>
            <w:gridSpan w:val="3"/>
            <w:shd w:val="clear" w:color="auto" w:fill="auto"/>
            <w:vAlign w:val="bottom"/>
          </w:tcPr>
          <w:p w14:paraId="71D3DA8B" w14:textId="77777777" w:rsidR="006A3667" w:rsidRDefault="006A3667">
            <w:pPr>
              <w:rPr>
                <w:rFonts w:ascii="宋体"/>
                <w:vanish/>
              </w:rPr>
            </w:pPr>
          </w:p>
        </w:tc>
      </w:tr>
      <w:tr w:rsidR="006A3667" w14:paraId="71D3DA98" w14:textId="77777777">
        <w:trPr>
          <w:hidden/>
        </w:trPr>
        <w:tc>
          <w:tcPr>
            <w:tcW w:w="0" w:type="auto"/>
            <w:gridSpan w:val="3"/>
            <w:shd w:val="clear" w:color="auto" w:fill="auto"/>
            <w:vAlign w:val="bottom"/>
          </w:tcPr>
          <w:p w14:paraId="71D3DA8D" w14:textId="77777777" w:rsidR="006A3667" w:rsidRDefault="006A3667">
            <w:pPr>
              <w:rPr>
                <w:rFonts w:ascii="宋体"/>
                <w:vanish/>
              </w:rPr>
            </w:pPr>
          </w:p>
        </w:tc>
        <w:tc>
          <w:tcPr>
            <w:tcW w:w="0" w:type="auto"/>
            <w:gridSpan w:val="3"/>
            <w:shd w:val="clear" w:color="auto" w:fill="auto"/>
            <w:vAlign w:val="bottom"/>
          </w:tcPr>
          <w:p w14:paraId="71D3DA8E" w14:textId="77777777" w:rsidR="006A3667" w:rsidRDefault="006A3667">
            <w:pPr>
              <w:rPr>
                <w:rFonts w:ascii="宋体"/>
                <w:vanish/>
              </w:rPr>
            </w:pPr>
          </w:p>
        </w:tc>
        <w:tc>
          <w:tcPr>
            <w:tcW w:w="0" w:type="auto"/>
            <w:gridSpan w:val="3"/>
            <w:shd w:val="clear" w:color="auto" w:fill="auto"/>
            <w:vAlign w:val="bottom"/>
          </w:tcPr>
          <w:p w14:paraId="71D3DA8F" w14:textId="77777777" w:rsidR="006A3667" w:rsidRDefault="006A3667">
            <w:pPr>
              <w:rPr>
                <w:rFonts w:ascii="宋体"/>
                <w:vanish/>
              </w:rPr>
            </w:pPr>
          </w:p>
        </w:tc>
        <w:tc>
          <w:tcPr>
            <w:tcW w:w="0" w:type="auto"/>
            <w:gridSpan w:val="3"/>
            <w:shd w:val="clear" w:color="auto" w:fill="auto"/>
            <w:vAlign w:val="bottom"/>
          </w:tcPr>
          <w:p w14:paraId="71D3DA90" w14:textId="77777777" w:rsidR="006A3667" w:rsidRDefault="006A3667">
            <w:pPr>
              <w:rPr>
                <w:rFonts w:ascii="宋体"/>
                <w:vanish/>
              </w:rPr>
            </w:pPr>
          </w:p>
        </w:tc>
        <w:tc>
          <w:tcPr>
            <w:tcW w:w="0" w:type="auto"/>
            <w:gridSpan w:val="3"/>
            <w:shd w:val="clear" w:color="auto" w:fill="auto"/>
            <w:vAlign w:val="bottom"/>
          </w:tcPr>
          <w:p w14:paraId="71D3DA91" w14:textId="77777777" w:rsidR="006A3667" w:rsidRDefault="006A3667">
            <w:pPr>
              <w:rPr>
                <w:rFonts w:ascii="宋体"/>
                <w:vanish/>
              </w:rPr>
            </w:pPr>
          </w:p>
        </w:tc>
        <w:tc>
          <w:tcPr>
            <w:tcW w:w="0" w:type="auto"/>
            <w:gridSpan w:val="3"/>
            <w:shd w:val="clear" w:color="auto" w:fill="auto"/>
            <w:vAlign w:val="bottom"/>
          </w:tcPr>
          <w:p w14:paraId="71D3DA92" w14:textId="77777777" w:rsidR="006A3667" w:rsidRDefault="006A3667">
            <w:pPr>
              <w:rPr>
                <w:rFonts w:ascii="宋体"/>
                <w:vanish/>
              </w:rPr>
            </w:pPr>
          </w:p>
        </w:tc>
        <w:tc>
          <w:tcPr>
            <w:tcW w:w="0" w:type="auto"/>
            <w:gridSpan w:val="3"/>
            <w:shd w:val="clear" w:color="auto" w:fill="auto"/>
            <w:vAlign w:val="bottom"/>
          </w:tcPr>
          <w:p w14:paraId="71D3DA93" w14:textId="77777777" w:rsidR="006A3667" w:rsidRDefault="006A3667">
            <w:pPr>
              <w:rPr>
                <w:rFonts w:ascii="宋体"/>
                <w:vanish/>
              </w:rPr>
            </w:pPr>
          </w:p>
        </w:tc>
        <w:tc>
          <w:tcPr>
            <w:tcW w:w="0" w:type="auto"/>
            <w:gridSpan w:val="3"/>
            <w:shd w:val="clear" w:color="auto" w:fill="auto"/>
            <w:vAlign w:val="bottom"/>
          </w:tcPr>
          <w:p w14:paraId="71D3DA94" w14:textId="77777777" w:rsidR="006A3667" w:rsidRDefault="006A3667">
            <w:pPr>
              <w:rPr>
                <w:rFonts w:ascii="宋体"/>
                <w:vanish/>
              </w:rPr>
            </w:pPr>
          </w:p>
        </w:tc>
        <w:tc>
          <w:tcPr>
            <w:tcW w:w="0" w:type="auto"/>
            <w:gridSpan w:val="3"/>
            <w:shd w:val="clear" w:color="auto" w:fill="auto"/>
            <w:vAlign w:val="bottom"/>
          </w:tcPr>
          <w:p w14:paraId="71D3DA95" w14:textId="77777777" w:rsidR="006A3667" w:rsidRDefault="006A3667">
            <w:pPr>
              <w:rPr>
                <w:rFonts w:ascii="宋体"/>
                <w:vanish/>
              </w:rPr>
            </w:pPr>
          </w:p>
        </w:tc>
        <w:tc>
          <w:tcPr>
            <w:tcW w:w="0" w:type="auto"/>
            <w:gridSpan w:val="3"/>
            <w:shd w:val="clear" w:color="auto" w:fill="auto"/>
            <w:vAlign w:val="bottom"/>
          </w:tcPr>
          <w:p w14:paraId="71D3DA96" w14:textId="77777777" w:rsidR="006A3667" w:rsidRDefault="006A3667">
            <w:pPr>
              <w:rPr>
                <w:rFonts w:ascii="宋体"/>
                <w:vanish/>
              </w:rPr>
            </w:pPr>
          </w:p>
        </w:tc>
        <w:tc>
          <w:tcPr>
            <w:tcW w:w="0" w:type="auto"/>
            <w:gridSpan w:val="3"/>
            <w:shd w:val="clear" w:color="auto" w:fill="auto"/>
            <w:vAlign w:val="bottom"/>
          </w:tcPr>
          <w:p w14:paraId="71D3DA97" w14:textId="77777777" w:rsidR="006A3667" w:rsidRDefault="006A3667">
            <w:pPr>
              <w:rPr>
                <w:rFonts w:ascii="宋体"/>
                <w:vanish/>
              </w:rPr>
            </w:pPr>
          </w:p>
        </w:tc>
      </w:tr>
      <w:tr w:rsidR="006A3667" w14:paraId="71D3DAA4" w14:textId="77777777">
        <w:trPr>
          <w:hidden/>
        </w:trPr>
        <w:tc>
          <w:tcPr>
            <w:tcW w:w="0" w:type="auto"/>
            <w:gridSpan w:val="3"/>
            <w:shd w:val="clear" w:color="auto" w:fill="auto"/>
            <w:vAlign w:val="bottom"/>
          </w:tcPr>
          <w:p w14:paraId="71D3DA99" w14:textId="77777777" w:rsidR="006A3667" w:rsidRDefault="006A3667">
            <w:pPr>
              <w:rPr>
                <w:rFonts w:ascii="宋体"/>
                <w:vanish/>
              </w:rPr>
            </w:pPr>
          </w:p>
        </w:tc>
        <w:tc>
          <w:tcPr>
            <w:tcW w:w="0" w:type="auto"/>
            <w:gridSpan w:val="3"/>
            <w:shd w:val="clear" w:color="auto" w:fill="auto"/>
            <w:vAlign w:val="bottom"/>
          </w:tcPr>
          <w:p w14:paraId="71D3DA9A" w14:textId="77777777" w:rsidR="006A3667" w:rsidRDefault="006A3667">
            <w:pPr>
              <w:rPr>
                <w:rFonts w:ascii="宋体"/>
                <w:vanish/>
              </w:rPr>
            </w:pPr>
          </w:p>
        </w:tc>
        <w:tc>
          <w:tcPr>
            <w:tcW w:w="0" w:type="auto"/>
            <w:gridSpan w:val="3"/>
            <w:shd w:val="clear" w:color="auto" w:fill="auto"/>
            <w:vAlign w:val="bottom"/>
          </w:tcPr>
          <w:p w14:paraId="71D3DA9B" w14:textId="77777777" w:rsidR="006A3667" w:rsidRDefault="006A3667">
            <w:pPr>
              <w:rPr>
                <w:rFonts w:ascii="宋体"/>
                <w:vanish/>
              </w:rPr>
            </w:pPr>
          </w:p>
        </w:tc>
        <w:tc>
          <w:tcPr>
            <w:tcW w:w="0" w:type="auto"/>
            <w:gridSpan w:val="3"/>
            <w:shd w:val="clear" w:color="auto" w:fill="auto"/>
            <w:vAlign w:val="bottom"/>
          </w:tcPr>
          <w:p w14:paraId="71D3DA9C" w14:textId="77777777" w:rsidR="006A3667" w:rsidRDefault="006A3667">
            <w:pPr>
              <w:rPr>
                <w:rFonts w:ascii="宋体"/>
                <w:vanish/>
              </w:rPr>
            </w:pPr>
          </w:p>
        </w:tc>
        <w:tc>
          <w:tcPr>
            <w:tcW w:w="0" w:type="auto"/>
            <w:gridSpan w:val="3"/>
            <w:shd w:val="clear" w:color="auto" w:fill="auto"/>
            <w:vAlign w:val="bottom"/>
          </w:tcPr>
          <w:p w14:paraId="71D3DA9D" w14:textId="77777777" w:rsidR="006A3667" w:rsidRDefault="006A3667">
            <w:pPr>
              <w:rPr>
                <w:rFonts w:ascii="宋体"/>
                <w:vanish/>
              </w:rPr>
            </w:pPr>
          </w:p>
        </w:tc>
        <w:tc>
          <w:tcPr>
            <w:tcW w:w="0" w:type="auto"/>
            <w:gridSpan w:val="3"/>
            <w:shd w:val="clear" w:color="auto" w:fill="auto"/>
            <w:vAlign w:val="bottom"/>
          </w:tcPr>
          <w:p w14:paraId="71D3DA9E" w14:textId="77777777" w:rsidR="006A3667" w:rsidRDefault="006A3667">
            <w:pPr>
              <w:rPr>
                <w:rFonts w:ascii="宋体"/>
                <w:vanish/>
              </w:rPr>
            </w:pPr>
          </w:p>
        </w:tc>
        <w:tc>
          <w:tcPr>
            <w:tcW w:w="0" w:type="auto"/>
            <w:gridSpan w:val="3"/>
            <w:shd w:val="clear" w:color="auto" w:fill="auto"/>
            <w:vAlign w:val="bottom"/>
          </w:tcPr>
          <w:p w14:paraId="71D3DA9F" w14:textId="77777777" w:rsidR="006A3667" w:rsidRDefault="006A3667">
            <w:pPr>
              <w:rPr>
                <w:rFonts w:ascii="宋体"/>
                <w:vanish/>
              </w:rPr>
            </w:pPr>
          </w:p>
        </w:tc>
        <w:tc>
          <w:tcPr>
            <w:tcW w:w="0" w:type="auto"/>
            <w:gridSpan w:val="3"/>
            <w:shd w:val="clear" w:color="auto" w:fill="auto"/>
            <w:vAlign w:val="bottom"/>
          </w:tcPr>
          <w:p w14:paraId="71D3DAA0" w14:textId="77777777" w:rsidR="006A3667" w:rsidRDefault="006A3667">
            <w:pPr>
              <w:rPr>
                <w:rFonts w:ascii="宋体"/>
                <w:vanish/>
              </w:rPr>
            </w:pPr>
          </w:p>
        </w:tc>
        <w:tc>
          <w:tcPr>
            <w:tcW w:w="0" w:type="auto"/>
            <w:gridSpan w:val="3"/>
            <w:shd w:val="clear" w:color="auto" w:fill="auto"/>
            <w:vAlign w:val="bottom"/>
          </w:tcPr>
          <w:p w14:paraId="71D3DAA1" w14:textId="77777777" w:rsidR="006A3667" w:rsidRDefault="006A3667">
            <w:pPr>
              <w:rPr>
                <w:rFonts w:ascii="宋体"/>
                <w:vanish/>
              </w:rPr>
            </w:pPr>
          </w:p>
        </w:tc>
        <w:tc>
          <w:tcPr>
            <w:tcW w:w="0" w:type="auto"/>
            <w:gridSpan w:val="3"/>
            <w:shd w:val="clear" w:color="auto" w:fill="auto"/>
            <w:vAlign w:val="bottom"/>
          </w:tcPr>
          <w:p w14:paraId="71D3DAA2" w14:textId="77777777" w:rsidR="006A3667" w:rsidRDefault="006A3667">
            <w:pPr>
              <w:rPr>
                <w:rFonts w:ascii="宋体"/>
                <w:vanish/>
              </w:rPr>
            </w:pPr>
          </w:p>
        </w:tc>
        <w:tc>
          <w:tcPr>
            <w:tcW w:w="0" w:type="auto"/>
            <w:gridSpan w:val="3"/>
            <w:shd w:val="clear" w:color="auto" w:fill="auto"/>
            <w:vAlign w:val="bottom"/>
          </w:tcPr>
          <w:p w14:paraId="71D3DAA3" w14:textId="77777777" w:rsidR="006A3667" w:rsidRDefault="006A3667">
            <w:pPr>
              <w:rPr>
                <w:rFonts w:ascii="宋体"/>
                <w:vanish/>
              </w:rPr>
            </w:pPr>
          </w:p>
        </w:tc>
      </w:tr>
      <w:tr w:rsidR="006A3667" w14:paraId="71D3DAB0" w14:textId="77777777">
        <w:trPr>
          <w:hidden/>
        </w:trPr>
        <w:tc>
          <w:tcPr>
            <w:tcW w:w="0" w:type="auto"/>
            <w:gridSpan w:val="3"/>
            <w:shd w:val="clear" w:color="auto" w:fill="auto"/>
            <w:vAlign w:val="bottom"/>
          </w:tcPr>
          <w:p w14:paraId="71D3DAA5" w14:textId="77777777" w:rsidR="006A3667" w:rsidRDefault="006A3667">
            <w:pPr>
              <w:rPr>
                <w:rFonts w:ascii="宋体"/>
                <w:vanish/>
              </w:rPr>
            </w:pPr>
          </w:p>
        </w:tc>
        <w:tc>
          <w:tcPr>
            <w:tcW w:w="0" w:type="auto"/>
            <w:gridSpan w:val="3"/>
            <w:shd w:val="clear" w:color="auto" w:fill="auto"/>
            <w:vAlign w:val="bottom"/>
          </w:tcPr>
          <w:p w14:paraId="71D3DAA6" w14:textId="77777777" w:rsidR="006A3667" w:rsidRDefault="006A3667">
            <w:pPr>
              <w:rPr>
                <w:rFonts w:ascii="宋体"/>
                <w:vanish/>
              </w:rPr>
            </w:pPr>
          </w:p>
        </w:tc>
        <w:tc>
          <w:tcPr>
            <w:tcW w:w="0" w:type="auto"/>
            <w:gridSpan w:val="3"/>
            <w:shd w:val="clear" w:color="auto" w:fill="auto"/>
            <w:vAlign w:val="bottom"/>
          </w:tcPr>
          <w:p w14:paraId="71D3DAA7" w14:textId="77777777" w:rsidR="006A3667" w:rsidRDefault="006A3667">
            <w:pPr>
              <w:rPr>
                <w:rFonts w:ascii="宋体"/>
                <w:vanish/>
              </w:rPr>
            </w:pPr>
          </w:p>
        </w:tc>
        <w:tc>
          <w:tcPr>
            <w:tcW w:w="0" w:type="auto"/>
            <w:gridSpan w:val="3"/>
            <w:shd w:val="clear" w:color="auto" w:fill="auto"/>
            <w:vAlign w:val="bottom"/>
          </w:tcPr>
          <w:p w14:paraId="71D3DAA8" w14:textId="77777777" w:rsidR="006A3667" w:rsidRDefault="006A3667">
            <w:pPr>
              <w:rPr>
                <w:rFonts w:ascii="宋体"/>
                <w:vanish/>
              </w:rPr>
            </w:pPr>
          </w:p>
        </w:tc>
        <w:tc>
          <w:tcPr>
            <w:tcW w:w="0" w:type="auto"/>
            <w:gridSpan w:val="3"/>
            <w:shd w:val="clear" w:color="auto" w:fill="auto"/>
            <w:vAlign w:val="bottom"/>
          </w:tcPr>
          <w:p w14:paraId="71D3DAA9" w14:textId="77777777" w:rsidR="006A3667" w:rsidRDefault="006A3667">
            <w:pPr>
              <w:rPr>
                <w:rFonts w:ascii="宋体"/>
                <w:vanish/>
              </w:rPr>
            </w:pPr>
          </w:p>
        </w:tc>
        <w:tc>
          <w:tcPr>
            <w:tcW w:w="0" w:type="auto"/>
            <w:gridSpan w:val="3"/>
            <w:shd w:val="clear" w:color="auto" w:fill="auto"/>
            <w:vAlign w:val="bottom"/>
          </w:tcPr>
          <w:p w14:paraId="71D3DAAA" w14:textId="77777777" w:rsidR="006A3667" w:rsidRDefault="006A3667">
            <w:pPr>
              <w:rPr>
                <w:rFonts w:ascii="宋体"/>
                <w:vanish/>
              </w:rPr>
            </w:pPr>
          </w:p>
        </w:tc>
        <w:tc>
          <w:tcPr>
            <w:tcW w:w="0" w:type="auto"/>
            <w:gridSpan w:val="3"/>
            <w:shd w:val="clear" w:color="auto" w:fill="auto"/>
            <w:vAlign w:val="bottom"/>
          </w:tcPr>
          <w:p w14:paraId="71D3DAAB" w14:textId="77777777" w:rsidR="006A3667" w:rsidRDefault="006A3667">
            <w:pPr>
              <w:rPr>
                <w:rFonts w:ascii="宋体"/>
                <w:vanish/>
              </w:rPr>
            </w:pPr>
          </w:p>
        </w:tc>
        <w:tc>
          <w:tcPr>
            <w:tcW w:w="0" w:type="auto"/>
            <w:gridSpan w:val="3"/>
            <w:shd w:val="clear" w:color="auto" w:fill="auto"/>
            <w:vAlign w:val="bottom"/>
          </w:tcPr>
          <w:p w14:paraId="71D3DAAC" w14:textId="77777777" w:rsidR="006A3667" w:rsidRDefault="006A3667">
            <w:pPr>
              <w:rPr>
                <w:rFonts w:ascii="宋体"/>
                <w:vanish/>
              </w:rPr>
            </w:pPr>
          </w:p>
        </w:tc>
        <w:tc>
          <w:tcPr>
            <w:tcW w:w="0" w:type="auto"/>
            <w:gridSpan w:val="3"/>
            <w:shd w:val="clear" w:color="auto" w:fill="auto"/>
            <w:vAlign w:val="bottom"/>
          </w:tcPr>
          <w:p w14:paraId="71D3DAAD" w14:textId="77777777" w:rsidR="006A3667" w:rsidRDefault="006A3667">
            <w:pPr>
              <w:rPr>
                <w:rFonts w:ascii="宋体"/>
                <w:vanish/>
              </w:rPr>
            </w:pPr>
          </w:p>
        </w:tc>
        <w:tc>
          <w:tcPr>
            <w:tcW w:w="0" w:type="auto"/>
            <w:gridSpan w:val="3"/>
            <w:shd w:val="clear" w:color="auto" w:fill="auto"/>
            <w:vAlign w:val="bottom"/>
          </w:tcPr>
          <w:p w14:paraId="71D3DAAE" w14:textId="77777777" w:rsidR="006A3667" w:rsidRDefault="006A3667">
            <w:pPr>
              <w:rPr>
                <w:rFonts w:ascii="宋体"/>
                <w:vanish/>
              </w:rPr>
            </w:pPr>
          </w:p>
        </w:tc>
        <w:tc>
          <w:tcPr>
            <w:tcW w:w="0" w:type="auto"/>
            <w:gridSpan w:val="3"/>
            <w:shd w:val="clear" w:color="auto" w:fill="auto"/>
            <w:vAlign w:val="bottom"/>
          </w:tcPr>
          <w:p w14:paraId="71D3DAAF" w14:textId="77777777" w:rsidR="006A3667" w:rsidRDefault="006A3667">
            <w:pPr>
              <w:rPr>
                <w:rFonts w:ascii="宋体"/>
                <w:vanish/>
              </w:rPr>
            </w:pPr>
          </w:p>
        </w:tc>
      </w:tr>
      <w:tr w:rsidR="006A3667" w14:paraId="71D3DABC" w14:textId="77777777">
        <w:trPr>
          <w:hidden/>
        </w:trPr>
        <w:tc>
          <w:tcPr>
            <w:tcW w:w="0" w:type="auto"/>
            <w:gridSpan w:val="3"/>
            <w:shd w:val="clear" w:color="auto" w:fill="auto"/>
            <w:vAlign w:val="bottom"/>
          </w:tcPr>
          <w:p w14:paraId="71D3DAB1" w14:textId="77777777" w:rsidR="006A3667" w:rsidRDefault="006A3667">
            <w:pPr>
              <w:rPr>
                <w:rFonts w:ascii="宋体"/>
                <w:vanish/>
              </w:rPr>
            </w:pPr>
          </w:p>
        </w:tc>
        <w:tc>
          <w:tcPr>
            <w:tcW w:w="0" w:type="auto"/>
            <w:gridSpan w:val="3"/>
            <w:shd w:val="clear" w:color="auto" w:fill="auto"/>
            <w:vAlign w:val="bottom"/>
          </w:tcPr>
          <w:p w14:paraId="71D3DAB2" w14:textId="77777777" w:rsidR="006A3667" w:rsidRDefault="006A3667">
            <w:pPr>
              <w:rPr>
                <w:rFonts w:ascii="宋体"/>
                <w:vanish/>
              </w:rPr>
            </w:pPr>
          </w:p>
        </w:tc>
        <w:tc>
          <w:tcPr>
            <w:tcW w:w="0" w:type="auto"/>
            <w:gridSpan w:val="3"/>
            <w:shd w:val="clear" w:color="auto" w:fill="auto"/>
            <w:vAlign w:val="bottom"/>
          </w:tcPr>
          <w:p w14:paraId="71D3DAB3" w14:textId="77777777" w:rsidR="006A3667" w:rsidRDefault="006A3667">
            <w:pPr>
              <w:rPr>
                <w:rFonts w:ascii="宋体"/>
                <w:vanish/>
              </w:rPr>
            </w:pPr>
          </w:p>
        </w:tc>
        <w:tc>
          <w:tcPr>
            <w:tcW w:w="0" w:type="auto"/>
            <w:gridSpan w:val="3"/>
            <w:shd w:val="clear" w:color="auto" w:fill="auto"/>
            <w:vAlign w:val="bottom"/>
          </w:tcPr>
          <w:p w14:paraId="71D3DAB4" w14:textId="77777777" w:rsidR="006A3667" w:rsidRDefault="006A3667">
            <w:pPr>
              <w:rPr>
                <w:rFonts w:ascii="宋体"/>
                <w:vanish/>
              </w:rPr>
            </w:pPr>
          </w:p>
        </w:tc>
        <w:tc>
          <w:tcPr>
            <w:tcW w:w="0" w:type="auto"/>
            <w:gridSpan w:val="3"/>
            <w:shd w:val="clear" w:color="auto" w:fill="auto"/>
            <w:vAlign w:val="bottom"/>
          </w:tcPr>
          <w:p w14:paraId="71D3DAB5" w14:textId="77777777" w:rsidR="006A3667" w:rsidRDefault="006A3667">
            <w:pPr>
              <w:rPr>
                <w:rFonts w:ascii="宋体"/>
                <w:vanish/>
              </w:rPr>
            </w:pPr>
          </w:p>
        </w:tc>
        <w:tc>
          <w:tcPr>
            <w:tcW w:w="0" w:type="auto"/>
            <w:gridSpan w:val="3"/>
            <w:shd w:val="clear" w:color="auto" w:fill="auto"/>
            <w:vAlign w:val="bottom"/>
          </w:tcPr>
          <w:p w14:paraId="71D3DAB6" w14:textId="77777777" w:rsidR="006A3667" w:rsidRDefault="006A3667">
            <w:pPr>
              <w:rPr>
                <w:rFonts w:ascii="宋体"/>
                <w:vanish/>
              </w:rPr>
            </w:pPr>
          </w:p>
        </w:tc>
        <w:tc>
          <w:tcPr>
            <w:tcW w:w="0" w:type="auto"/>
            <w:gridSpan w:val="3"/>
            <w:shd w:val="clear" w:color="auto" w:fill="auto"/>
            <w:vAlign w:val="bottom"/>
          </w:tcPr>
          <w:p w14:paraId="71D3DAB7" w14:textId="77777777" w:rsidR="006A3667" w:rsidRDefault="006A3667">
            <w:pPr>
              <w:rPr>
                <w:rFonts w:ascii="宋体"/>
                <w:vanish/>
              </w:rPr>
            </w:pPr>
          </w:p>
        </w:tc>
        <w:tc>
          <w:tcPr>
            <w:tcW w:w="0" w:type="auto"/>
            <w:gridSpan w:val="3"/>
            <w:shd w:val="clear" w:color="auto" w:fill="auto"/>
            <w:vAlign w:val="bottom"/>
          </w:tcPr>
          <w:p w14:paraId="71D3DAB8" w14:textId="77777777" w:rsidR="006A3667" w:rsidRDefault="006A3667">
            <w:pPr>
              <w:rPr>
                <w:rFonts w:ascii="宋体"/>
                <w:vanish/>
              </w:rPr>
            </w:pPr>
          </w:p>
        </w:tc>
        <w:tc>
          <w:tcPr>
            <w:tcW w:w="0" w:type="auto"/>
            <w:gridSpan w:val="3"/>
            <w:shd w:val="clear" w:color="auto" w:fill="auto"/>
            <w:vAlign w:val="bottom"/>
          </w:tcPr>
          <w:p w14:paraId="71D3DAB9" w14:textId="77777777" w:rsidR="006A3667" w:rsidRDefault="006A3667">
            <w:pPr>
              <w:rPr>
                <w:rFonts w:ascii="宋体"/>
                <w:vanish/>
              </w:rPr>
            </w:pPr>
          </w:p>
        </w:tc>
        <w:tc>
          <w:tcPr>
            <w:tcW w:w="0" w:type="auto"/>
            <w:gridSpan w:val="3"/>
            <w:shd w:val="clear" w:color="auto" w:fill="auto"/>
            <w:vAlign w:val="bottom"/>
          </w:tcPr>
          <w:p w14:paraId="71D3DABA" w14:textId="77777777" w:rsidR="006A3667" w:rsidRDefault="006A3667">
            <w:pPr>
              <w:rPr>
                <w:rFonts w:ascii="宋体"/>
                <w:vanish/>
              </w:rPr>
            </w:pPr>
          </w:p>
        </w:tc>
        <w:tc>
          <w:tcPr>
            <w:tcW w:w="0" w:type="auto"/>
            <w:gridSpan w:val="3"/>
            <w:shd w:val="clear" w:color="auto" w:fill="auto"/>
            <w:vAlign w:val="bottom"/>
          </w:tcPr>
          <w:p w14:paraId="71D3DABB" w14:textId="77777777" w:rsidR="006A3667" w:rsidRDefault="006A3667">
            <w:pPr>
              <w:rPr>
                <w:rFonts w:ascii="宋体"/>
                <w:vanish/>
              </w:rPr>
            </w:pPr>
          </w:p>
        </w:tc>
      </w:tr>
    </w:tbl>
    <w:p w14:paraId="71D3DABD" w14:textId="77777777" w:rsidR="006A3667" w:rsidRDefault="006A3667">
      <w:pPr>
        <w:rPr>
          <w:vanish/>
        </w:rPr>
      </w:pPr>
    </w:p>
    <w:tbl>
      <w:tblPr>
        <w:tblW w:w="4009" w:type="pct"/>
        <w:tblCellMar>
          <w:top w:w="15" w:type="dxa"/>
          <w:left w:w="15" w:type="dxa"/>
          <w:bottom w:w="15" w:type="dxa"/>
          <w:right w:w="15" w:type="dxa"/>
        </w:tblCellMar>
        <w:tblLook w:val="04A0" w:firstRow="1" w:lastRow="0" w:firstColumn="1" w:lastColumn="0" w:noHBand="0" w:noVBand="1"/>
      </w:tblPr>
      <w:tblGrid>
        <w:gridCol w:w="52"/>
        <w:gridCol w:w="3975"/>
        <w:gridCol w:w="36"/>
        <w:gridCol w:w="52"/>
        <w:gridCol w:w="2533"/>
        <w:gridCol w:w="36"/>
      </w:tblGrid>
      <w:tr w:rsidR="006A3667" w14:paraId="71D3DAC4" w14:textId="77777777">
        <w:tc>
          <w:tcPr>
            <w:tcW w:w="50" w:type="pct"/>
            <w:shd w:val="clear" w:color="auto" w:fill="auto"/>
            <w:vAlign w:val="bottom"/>
          </w:tcPr>
          <w:p w14:paraId="71D3DABE" w14:textId="77777777" w:rsidR="006A3667" w:rsidRDefault="006A3667">
            <w:pPr>
              <w:rPr>
                <w:rFonts w:ascii="宋体"/>
              </w:rPr>
            </w:pPr>
          </w:p>
        </w:tc>
        <w:tc>
          <w:tcPr>
            <w:tcW w:w="2984" w:type="pct"/>
            <w:shd w:val="clear" w:color="auto" w:fill="auto"/>
            <w:vAlign w:val="bottom"/>
          </w:tcPr>
          <w:p w14:paraId="71D3DABF" w14:textId="77777777" w:rsidR="006A3667" w:rsidRDefault="006A3667">
            <w:pPr>
              <w:rPr>
                <w:rFonts w:ascii="宋体"/>
              </w:rPr>
            </w:pPr>
          </w:p>
        </w:tc>
        <w:tc>
          <w:tcPr>
            <w:tcW w:w="5" w:type="pct"/>
            <w:shd w:val="clear" w:color="auto" w:fill="auto"/>
            <w:vAlign w:val="bottom"/>
          </w:tcPr>
          <w:p w14:paraId="71D3DAC0" w14:textId="77777777" w:rsidR="006A3667" w:rsidRDefault="006A3667">
            <w:pPr>
              <w:rPr>
                <w:rFonts w:ascii="宋体"/>
              </w:rPr>
            </w:pPr>
          </w:p>
        </w:tc>
        <w:tc>
          <w:tcPr>
            <w:tcW w:w="50" w:type="pct"/>
            <w:shd w:val="clear" w:color="auto" w:fill="auto"/>
            <w:vAlign w:val="bottom"/>
          </w:tcPr>
          <w:p w14:paraId="71D3DAC1" w14:textId="77777777" w:rsidR="006A3667" w:rsidRDefault="006A3667">
            <w:pPr>
              <w:rPr>
                <w:rFonts w:ascii="宋体"/>
              </w:rPr>
            </w:pPr>
          </w:p>
        </w:tc>
        <w:tc>
          <w:tcPr>
            <w:tcW w:w="1905" w:type="pct"/>
            <w:shd w:val="clear" w:color="auto" w:fill="auto"/>
            <w:vAlign w:val="bottom"/>
          </w:tcPr>
          <w:p w14:paraId="71D3DAC2" w14:textId="77777777" w:rsidR="006A3667" w:rsidRDefault="006A3667">
            <w:pPr>
              <w:rPr>
                <w:rFonts w:ascii="宋体"/>
              </w:rPr>
            </w:pPr>
          </w:p>
        </w:tc>
        <w:tc>
          <w:tcPr>
            <w:tcW w:w="5" w:type="pct"/>
            <w:shd w:val="clear" w:color="auto" w:fill="auto"/>
            <w:vAlign w:val="bottom"/>
          </w:tcPr>
          <w:p w14:paraId="71D3DAC3" w14:textId="77777777" w:rsidR="006A3667" w:rsidRDefault="006A3667">
            <w:pPr>
              <w:rPr>
                <w:rFonts w:ascii="宋体"/>
              </w:rPr>
            </w:pPr>
          </w:p>
        </w:tc>
      </w:tr>
      <w:tr w:rsidR="006A3667" w14:paraId="71D3DAC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DAC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AC6" w14:textId="77777777" w:rsidR="006A3667" w:rsidRDefault="006A3667">
            <w:pPr>
              <w:rPr>
                <w:rFonts w:ascii="宋体"/>
              </w:rPr>
            </w:pPr>
          </w:p>
        </w:tc>
      </w:tr>
      <w:tr w:rsidR="006A3667" w14:paraId="71D3DACA" w14:textId="77777777">
        <w:trPr>
          <w:hidden/>
        </w:trPr>
        <w:tc>
          <w:tcPr>
            <w:tcW w:w="0" w:type="auto"/>
            <w:gridSpan w:val="3"/>
            <w:shd w:val="clear" w:color="auto" w:fill="auto"/>
            <w:vAlign w:val="bottom"/>
          </w:tcPr>
          <w:p w14:paraId="71D3DAC8" w14:textId="77777777" w:rsidR="006A3667" w:rsidRDefault="006A3667">
            <w:pPr>
              <w:rPr>
                <w:rFonts w:ascii="宋体"/>
                <w:vanish/>
              </w:rPr>
            </w:pPr>
          </w:p>
        </w:tc>
        <w:tc>
          <w:tcPr>
            <w:tcW w:w="0" w:type="auto"/>
            <w:gridSpan w:val="3"/>
            <w:shd w:val="clear" w:color="auto" w:fill="auto"/>
            <w:vAlign w:val="bottom"/>
          </w:tcPr>
          <w:p w14:paraId="71D3DAC9" w14:textId="77777777" w:rsidR="006A3667" w:rsidRDefault="006A3667">
            <w:pPr>
              <w:rPr>
                <w:rFonts w:ascii="宋体"/>
                <w:vanish/>
              </w:rPr>
            </w:pPr>
          </w:p>
        </w:tc>
      </w:tr>
    </w:tbl>
    <w:p w14:paraId="71D3DACB" w14:textId="77777777" w:rsidR="006A3667" w:rsidRDefault="00045F32">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Additional information about our preferred stock dividends is provided in Note 12 to the consolidated financial statements in this Form 10-Q.</w:t>
      </w:r>
    </w:p>
    <w:p w14:paraId="71D3DACC" w14:textId="77777777" w:rsidR="006A3667" w:rsidRDefault="00045F32">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 xml:space="preserve">Represents the portion of net income </w:t>
      </w:r>
      <w:r>
        <w:rPr>
          <w:rFonts w:ascii="Arial" w:eastAsia="宋体" w:hAnsi="Arial" w:cs="Arial"/>
          <w:color w:val="000000"/>
          <w:sz w:val="12"/>
          <w:szCs w:val="12"/>
        </w:rPr>
        <w:t>available to common equity allocated to participating securities, composed of unvested and fully vested SERP (Supplemental executive retirement plans) shares and fully vested deferred director stock awards, which are equity-based awards that contain non-fo</w:t>
      </w:r>
      <w:r>
        <w:rPr>
          <w:rFonts w:ascii="Arial" w:eastAsia="宋体" w:hAnsi="Arial" w:cs="Arial"/>
          <w:color w:val="000000"/>
          <w:sz w:val="12"/>
          <w:szCs w:val="12"/>
        </w:rPr>
        <w:t>rfeitable rights to dividends, and are considered to participate with the common stock in undistributed earnings.</w:t>
      </w:r>
    </w:p>
    <w:p w14:paraId="71D3DACD" w14:textId="77777777" w:rsidR="006A3667" w:rsidRDefault="00045F32">
      <w:pPr>
        <w:spacing w:before="60"/>
        <w:jc w:val="both"/>
        <w:textAlignment w:val="top"/>
      </w:pPr>
      <w:r>
        <w:rPr>
          <w:rFonts w:ascii="Arial" w:eastAsia="宋体" w:hAnsi="Arial" w:cs="Arial"/>
          <w:color w:val="000000"/>
          <w:sz w:val="7"/>
          <w:szCs w:val="7"/>
        </w:rPr>
        <w:t>n</w:t>
      </w:r>
      <w:r>
        <w:rPr>
          <w:rFonts w:ascii="Arial" w:eastAsia="宋体" w:hAnsi="Arial" w:cs="Arial"/>
          <w:color w:val="000000"/>
          <w:sz w:val="7"/>
          <w:szCs w:val="7"/>
          <w:shd w:val="clear" w:color="auto" w:fill="FFFFFF"/>
        </w:rPr>
        <w:t>m</w:t>
      </w:r>
      <w:r>
        <w:rPr>
          <w:rFonts w:ascii="Arial" w:eastAsia="宋体" w:hAnsi="Arial" w:cs="Arial"/>
          <w:color w:val="000000"/>
          <w:sz w:val="12"/>
          <w:szCs w:val="12"/>
          <w:shd w:val="clear" w:color="auto" w:fill="FFFFFF"/>
        </w:rPr>
        <w:t xml:space="preserve"> Not meaningful</w:t>
      </w:r>
    </w:p>
    <w:p w14:paraId="71D3DACE" w14:textId="77777777" w:rsidR="006A3667" w:rsidRDefault="00045F32">
      <w:pPr>
        <w:spacing w:before="60"/>
        <w:ind w:firstLine="450"/>
        <w:jc w:val="both"/>
        <w:textAlignment w:val="top"/>
      </w:pPr>
      <w:r>
        <w:rPr>
          <w:rFonts w:ascii="Arial" w:eastAsia="宋体" w:hAnsi="Arial" w:cs="Arial"/>
          <w:color w:val="000000"/>
          <w:sz w:val="20"/>
          <w:szCs w:val="20"/>
        </w:rPr>
        <w:t>The following “Financial Results and Highlights” section provides information related to significant events, as well as high</w:t>
      </w:r>
      <w:r>
        <w:rPr>
          <w:rFonts w:ascii="Arial" w:eastAsia="宋体" w:hAnsi="Arial" w:cs="Arial"/>
          <w:color w:val="000000"/>
          <w:sz w:val="20"/>
          <w:szCs w:val="20"/>
        </w:rPr>
        <w:t>lights of our consolidated financial results for the third quarter of 2022 presented in Table 1: Overview of Financial Results. More detailed information about our consolidated financial results, including the comparison of our financial results for the th</w:t>
      </w:r>
      <w:r>
        <w:rPr>
          <w:rFonts w:ascii="Arial" w:eastAsia="宋体" w:hAnsi="Arial" w:cs="Arial"/>
          <w:color w:val="000000"/>
          <w:sz w:val="20"/>
          <w:szCs w:val="20"/>
        </w:rPr>
        <w:t xml:space="preserve">ree and nine months ended September 30, 2022, compared to the same periods in 2021, is provided under “Consolidated Results of Operations”, "Line of Business Information" and "Capital" which follows these sections, as well as in our consolidated financial </w:t>
      </w:r>
      <w:r>
        <w:rPr>
          <w:rFonts w:ascii="Arial" w:eastAsia="宋体" w:hAnsi="Arial" w:cs="Arial"/>
          <w:color w:val="000000"/>
          <w:sz w:val="20"/>
          <w:szCs w:val="20"/>
        </w:rPr>
        <w:t>statements in this Form 10-Q. In this Management’s Discussion and Analysis, where we describe the effects of changes in foreign currency translation, those effects are determined by applying applicable weighted average FX rates from the relevant 2021 perio</w:t>
      </w:r>
      <w:r>
        <w:rPr>
          <w:rFonts w:ascii="Arial" w:eastAsia="宋体" w:hAnsi="Arial" w:cs="Arial"/>
          <w:color w:val="000000"/>
          <w:sz w:val="20"/>
          <w:szCs w:val="20"/>
        </w:rPr>
        <w:t>d to the relevant 2022 period results.</w:t>
      </w:r>
    </w:p>
    <w:p w14:paraId="71D3DACF" w14:textId="77777777" w:rsidR="006A3667" w:rsidRDefault="00045F32">
      <w:pPr>
        <w:spacing w:before="90"/>
        <w:jc w:val="both"/>
        <w:textAlignment w:val="top"/>
      </w:pPr>
      <w:r>
        <w:rPr>
          <w:rFonts w:ascii="Arial" w:eastAsia="宋体" w:hAnsi="Arial" w:cs="Arial"/>
          <w:b/>
          <w:bCs/>
          <w:color w:val="000000"/>
          <w:sz w:val="20"/>
          <w:szCs w:val="20"/>
        </w:rPr>
        <w:t>Financial Results and Highlights</w:t>
      </w:r>
    </w:p>
    <w:p w14:paraId="71D3DAD0" w14:textId="77777777" w:rsidR="006A3667" w:rsidRDefault="00045F32">
      <w:pPr>
        <w:spacing w:before="60"/>
        <w:ind w:hanging="360"/>
        <w:jc w:val="both"/>
        <w:textAlignment w:val="top"/>
      </w:pPr>
      <w:r>
        <w:rPr>
          <w:rFonts w:ascii="Arial" w:eastAsia="宋体" w:hAnsi="Arial" w:cs="Arial"/>
          <w:color w:val="000000"/>
          <w:sz w:val="20"/>
          <w:szCs w:val="20"/>
        </w:rPr>
        <w:t>•Third quarter of 2022 financial performance:</w:t>
      </w:r>
    </w:p>
    <w:p w14:paraId="71D3DAD1" w14:textId="77777777" w:rsidR="006A3667" w:rsidRDefault="00045F32">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Earnings per share of $1.80 in the third quarter of 2022, decreased 8% compared to $1.96 in the same period in 2021.</w:t>
      </w:r>
    </w:p>
    <w:p w14:paraId="71D3DAD2" w14:textId="77777777" w:rsidR="006A3667" w:rsidRDefault="00045F32">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Total fee </w:t>
      </w:r>
      <w:r>
        <w:rPr>
          <w:rFonts w:ascii="Arial" w:eastAsia="宋体" w:hAnsi="Arial" w:cs="Arial"/>
          <w:color w:val="000000"/>
          <w:sz w:val="20"/>
          <w:szCs w:val="20"/>
        </w:rPr>
        <w:t>revenue and total revenue decreased 8% and 1%, respectively, in the third quarter of 2022, compared to the same period in 2021. Currency translation contributed 3% to the decrease in both fee revenue and total revenue in the third quarter of 2022, relative</w:t>
      </w:r>
      <w:r>
        <w:rPr>
          <w:rFonts w:ascii="Arial" w:eastAsia="宋体" w:hAnsi="Arial" w:cs="Arial"/>
          <w:color w:val="000000"/>
          <w:sz w:val="20"/>
          <w:szCs w:val="20"/>
        </w:rPr>
        <w:t xml:space="preserve"> to the same period in 2021.</w:t>
      </w:r>
    </w:p>
    <w:p w14:paraId="71D3DAD3" w14:textId="77777777" w:rsidR="006A3667" w:rsidRDefault="00045F32">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NII increased 36% in the third quarter of 2022, compared to the same period in 2021.</w:t>
      </w:r>
    </w:p>
    <w:p w14:paraId="71D3DAD4" w14:textId="77777777" w:rsidR="006A3667" w:rsidRDefault="00045F32">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In the third quarter of 2022, return on equity of 11.2% decreased from 11.6% in the same period in 2021, primarily due to a decrease in net </w:t>
      </w:r>
      <w:r>
        <w:rPr>
          <w:rFonts w:ascii="Arial" w:eastAsia="宋体" w:hAnsi="Arial" w:cs="Arial"/>
          <w:color w:val="000000"/>
          <w:sz w:val="20"/>
          <w:szCs w:val="20"/>
        </w:rPr>
        <w:t>income available to common shareholders. Pre-tax margin of 28.7% in the third quarter of 2022, decreased from 29.3% in the same period in 2021, primarily due to a decrease in total revenue.</w:t>
      </w:r>
    </w:p>
    <w:p w14:paraId="71D3DAD5" w14:textId="77777777" w:rsidR="006A3667" w:rsidRDefault="00045F32">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Negative operating leverage of 0.7% points in the third quarter o</w:t>
      </w:r>
      <w:r>
        <w:rPr>
          <w:rFonts w:ascii="Arial" w:eastAsia="宋体" w:hAnsi="Arial" w:cs="Arial"/>
          <w:color w:val="000000"/>
          <w:sz w:val="20"/>
          <w:szCs w:val="20"/>
        </w:rPr>
        <w:t>f 2022. Operating leverage represents the difference between the percentage change in total revenue and the percentage change in total expenses, in each case relative to the prior year period.</w:t>
      </w:r>
    </w:p>
    <w:p w14:paraId="71D3DAD6" w14:textId="77777777" w:rsidR="006A3667" w:rsidRDefault="00045F32">
      <w:pPr>
        <w:ind w:firstLine="450"/>
        <w:jc w:val="right"/>
      </w:pPr>
      <w:r>
        <w:rPr>
          <w:rFonts w:ascii="Arial" w:eastAsia="宋体" w:hAnsi="Arial" w:cs="Arial"/>
          <w:color w:val="000000"/>
          <w:sz w:val="18"/>
          <w:szCs w:val="18"/>
        </w:rPr>
        <w:t>State Street Corporation | 8</w:t>
      </w:r>
    </w:p>
    <w:p w14:paraId="71D3DAD7" w14:textId="77777777" w:rsidR="006A3667" w:rsidRDefault="006A3667">
      <w:pPr>
        <w:ind w:firstLine="450"/>
        <w:jc w:val="center"/>
      </w:pPr>
    </w:p>
    <w:p w14:paraId="71D3DAD8" w14:textId="77777777" w:rsidR="006A3667" w:rsidRDefault="00045F32">
      <w:r>
        <w:pict w14:anchorId="71D4AC1C">
          <v:rect id="_x0000_i1032" style="width:415.3pt;height:1.5pt" o:hralign="center" o:hrstd="t" o:hr="t" fillcolor="#a0a0a0" stroked="f"/>
        </w:pict>
      </w:r>
    </w:p>
    <w:p w14:paraId="71D3DAD9" w14:textId="77777777" w:rsidR="006A3667" w:rsidRDefault="00045F32">
      <w:pPr>
        <w:ind w:firstLine="450"/>
        <w:jc w:val="center"/>
      </w:pPr>
      <w:r>
        <w:rPr>
          <w:rFonts w:ascii="Arial" w:eastAsia="宋体" w:hAnsi="Arial" w:cs="Arial"/>
          <w:b/>
          <w:bCs/>
          <w:color w:val="000000"/>
          <w:sz w:val="20"/>
          <w:szCs w:val="20"/>
        </w:rPr>
        <w:t>MANAGEMENT’S DISCUSSION AND ANA</w:t>
      </w:r>
      <w:r>
        <w:rPr>
          <w:rFonts w:ascii="Arial" w:eastAsia="宋体" w:hAnsi="Arial" w:cs="Arial"/>
          <w:b/>
          <w:bCs/>
          <w:color w:val="000000"/>
          <w:sz w:val="20"/>
          <w:szCs w:val="20"/>
        </w:rPr>
        <w:t>LYSIS OF FINANCIAL CONDITION</w:t>
      </w:r>
    </w:p>
    <w:p w14:paraId="71D3DADA" w14:textId="77777777" w:rsidR="006A3667" w:rsidRDefault="00045F32">
      <w:pPr>
        <w:ind w:firstLine="450"/>
        <w:jc w:val="center"/>
      </w:pPr>
      <w:r>
        <w:rPr>
          <w:rFonts w:ascii="Arial" w:eastAsia="宋体" w:hAnsi="Arial" w:cs="Arial"/>
          <w:b/>
          <w:bCs/>
          <w:color w:val="000000"/>
          <w:sz w:val="20"/>
          <w:szCs w:val="20"/>
        </w:rPr>
        <w:t>AND RESULTS OF OPERATIONS</w:t>
      </w:r>
    </w:p>
    <w:p w14:paraId="71D3DADB" w14:textId="77777777" w:rsidR="006A3667" w:rsidRDefault="00045F32">
      <w:pP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shd w:val="clear" w:color="auto" w:fill="FFFFFF"/>
        </w:rPr>
        <w:t xml:space="preserve">Negative fee operating leverage of 7.9% </w:t>
      </w:r>
      <w:r>
        <w:rPr>
          <w:rFonts w:ascii="Arial" w:eastAsia="宋体" w:hAnsi="Arial" w:cs="Arial"/>
          <w:color w:val="000000"/>
          <w:sz w:val="20"/>
          <w:szCs w:val="20"/>
        </w:rPr>
        <w:t>points in the third quarter of 2022. Fee operating leverage represents the difference between the percentage change in total fee revenue and the percentage chan</w:t>
      </w:r>
      <w:r>
        <w:rPr>
          <w:rFonts w:ascii="Arial" w:eastAsia="宋体" w:hAnsi="Arial" w:cs="Arial"/>
          <w:color w:val="000000"/>
          <w:sz w:val="20"/>
          <w:szCs w:val="20"/>
        </w:rPr>
        <w:t>ge in total expenses, in each case relative to the prior year period.</w:t>
      </w:r>
    </w:p>
    <w:p w14:paraId="71D3DADC" w14:textId="77777777" w:rsidR="006A3667" w:rsidRDefault="00045F32">
      <w:pPr>
        <w:spacing w:before="60"/>
        <w:jc w:val="both"/>
        <w:textAlignment w:val="top"/>
      </w:pPr>
      <w:r>
        <w:rPr>
          <w:rFonts w:ascii="Arial" w:eastAsia="宋体" w:hAnsi="Arial" w:cs="Arial"/>
          <w:b/>
          <w:bCs/>
          <w:i/>
          <w:iCs/>
          <w:color w:val="000000"/>
          <w:sz w:val="20"/>
          <w:szCs w:val="20"/>
        </w:rPr>
        <w:t>Revenue</w:t>
      </w:r>
    </w:p>
    <w:p w14:paraId="71D3DADD" w14:textId="77777777" w:rsidR="006A3667" w:rsidRDefault="00045F32">
      <w:pPr>
        <w:spacing w:before="60"/>
        <w:ind w:hanging="360"/>
        <w:jc w:val="both"/>
        <w:textAlignment w:val="top"/>
      </w:pPr>
      <w:r>
        <w:rPr>
          <w:rFonts w:ascii="Arial" w:eastAsia="宋体" w:hAnsi="Arial" w:cs="Arial"/>
          <w:color w:val="000000"/>
          <w:sz w:val="20"/>
          <w:szCs w:val="20"/>
        </w:rPr>
        <w:t>•Total revenue decreased 1% in</w:t>
      </w:r>
      <w:r>
        <w:rPr>
          <w:rFonts w:ascii="Arial" w:eastAsia="宋体" w:hAnsi="Arial" w:cs="Arial"/>
          <w:color w:val="000000"/>
          <w:sz w:val="20"/>
          <w:szCs w:val="20"/>
          <w:shd w:val="clear" w:color="auto" w:fill="FFFFFF"/>
        </w:rPr>
        <w:t xml:space="preserve"> the third quarter of 2022, compared </w:t>
      </w:r>
      <w:r>
        <w:rPr>
          <w:rFonts w:ascii="Arial" w:eastAsia="宋体" w:hAnsi="Arial" w:cs="Arial"/>
          <w:color w:val="000000"/>
          <w:sz w:val="20"/>
          <w:szCs w:val="20"/>
        </w:rPr>
        <w:t xml:space="preserve">to the same period in 2021, as the decrease in total fee revenue was partially offset by higher NII. Total fee </w:t>
      </w:r>
      <w:r>
        <w:rPr>
          <w:rFonts w:ascii="Arial" w:eastAsia="宋体" w:hAnsi="Arial" w:cs="Arial"/>
          <w:color w:val="000000"/>
          <w:sz w:val="20"/>
          <w:szCs w:val="20"/>
        </w:rPr>
        <w:t>revenue decreased 8% in the third quarter of 2022, compared to the same period in 2021, primarily driven by lower servicing fees, management fees and other fee revenue, partially offset by higher foreign exchange trading services revenue, software and proc</w:t>
      </w:r>
      <w:r>
        <w:rPr>
          <w:rFonts w:ascii="Arial" w:eastAsia="宋体" w:hAnsi="Arial" w:cs="Arial"/>
          <w:color w:val="000000"/>
          <w:sz w:val="20"/>
          <w:szCs w:val="20"/>
        </w:rPr>
        <w:t>essing fees and securities finance revenue. Currency translation contributed 3% to the decrease in both total revenue and total fee revenue in the third quarter of 2022, relative to the same period in 2021.</w:t>
      </w:r>
    </w:p>
    <w:p w14:paraId="71D3DADE" w14:textId="77777777" w:rsidR="006A3667" w:rsidRDefault="00045F32">
      <w:pPr>
        <w:spacing w:before="60"/>
        <w:ind w:hanging="360"/>
        <w:jc w:val="both"/>
        <w:textAlignment w:val="top"/>
      </w:pPr>
      <w:r>
        <w:rPr>
          <w:rFonts w:ascii="Arial" w:eastAsia="宋体" w:hAnsi="Arial" w:cs="Arial"/>
          <w:color w:val="000000"/>
          <w:sz w:val="20"/>
          <w:szCs w:val="20"/>
        </w:rPr>
        <w:t>•Servicing fee revenue decreased 12% in the third</w:t>
      </w:r>
      <w:r>
        <w:rPr>
          <w:rFonts w:ascii="Arial" w:eastAsia="宋体" w:hAnsi="Arial" w:cs="Arial"/>
          <w:color w:val="000000"/>
          <w:sz w:val="20"/>
          <w:szCs w:val="20"/>
        </w:rPr>
        <w:t xml:space="preserve"> quarter of 2022, compared to the same period in 2021, primarily due to lower average market levels, lower client activity and adjustments, and normal pricing headwinds, partially offset by net new business. Currency translation contributed 3% to the decre</w:t>
      </w:r>
      <w:r>
        <w:rPr>
          <w:rFonts w:ascii="Arial" w:eastAsia="宋体" w:hAnsi="Arial" w:cs="Arial"/>
          <w:color w:val="000000"/>
          <w:sz w:val="20"/>
          <w:szCs w:val="20"/>
        </w:rPr>
        <w:t xml:space="preserve">ase in servicing fee revenue in the third quarter of 2022, relative to the same period in 2021. </w:t>
      </w:r>
    </w:p>
    <w:p w14:paraId="71D3DADF" w14:textId="77777777" w:rsidR="006A3667" w:rsidRDefault="00045F32">
      <w:pPr>
        <w:spacing w:before="60"/>
        <w:ind w:hanging="360"/>
        <w:jc w:val="both"/>
        <w:textAlignment w:val="top"/>
      </w:pPr>
      <w:r>
        <w:rPr>
          <w:rFonts w:ascii="Arial" w:eastAsia="宋体" w:hAnsi="Arial" w:cs="Arial"/>
          <w:color w:val="000000"/>
          <w:sz w:val="20"/>
          <w:szCs w:val="20"/>
        </w:rPr>
        <w:t>•Management fee revenue decreased 10% in the third quarter of 2022, compared to the same period in 2021, primarily due to lower average equity and fixed income</w:t>
      </w:r>
      <w:r>
        <w:rPr>
          <w:rFonts w:ascii="Arial" w:eastAsia="宋体" w:hAnsi="Arial" w:cs="Arial"/>
          <w:color w:val="000000"/>
          <w:sz w:val="20"/>
          <w:szCs w:val="20"/>
        </w:rPr>
        <w:t xml:space="preserve"> market levels, a previously reported client-specific pricing adjustment and institutional net outflows, partially offset by the absence of the impact of money market fee waivers and net inflows from cash and ETFs. Currency translation contributed 3% to th</w:t>
      </w:r>
      <w:r>
        <w:rPr>
          <w:rFonts w:ascii="Arial" w:eastAsia="宋体" w:hAnsi="Arial" w:cs="Arial"/>
          <w:color w:val="000000"/>
          <w:sz w:val="20"/>
          <w:szCs w:val="20"/>
        </w:rPr>
        <w:t xml:space="preserve">e decrease in management fee revenue in the third quarter of 2022, relative to the same period in 2021. </w:t>
      </w:r>
    </w:p>
    <w:p w14:paraId="71D3DAE0" w14:textId="77777777" w:rsidR="006A3667" w:rsidRDefault="00045F32">
      <w:pPr>
        <w:spacing w:before="60"/>
        <w:ind w:hanging="360"/>
        <w:jc w:val="both"/>
        <w:textAlignment w:val="top"/>
      </w:pPr>
      <w:r>
        <w:rPr>
          <w:rFonts w:ascii="Arial" w:eastAsia="宋体" w:hAnsi="Arial" w:cs="Arial"/>
          <w:color w:val="000000"/>
          <w:sz w:val="20"/>
          <w:szCs w:val="20"/>
        </w:rPr>
        <w:t>•Foreign exchange trading services revenue increased 14% in the third quarter of 2022, compared to the same period in 2021, primarily reflecting higher</w:t>
      </w:r>
      <w:r>
        <w:rPr>
          <w:rFonts w:ascii="Arial" w:eastAsia="宋体" w:hAnsi="Arial" w:cs="Arial"/>
          <w:color w:val="000000"/>
          <w:sz w:val="20"/>
          <w:szCs w:val="20"/>
        </w:rPr>
        <w:t xml:space="preserve"> FX spreads, partially offset by lower client FX volumes.</w:t>
      </w:r>
    </w:p>
    <w:p w14:paraId="71D3DAE1" w14:textId="77777777" w:rsidR="006A3667" w:rsidRDefault="00045F32">
      <w:pPr>
        <w:spacing w:before="60"/>
        <w:ind w:hanging="360"/>
        <w:jc w:val="both"/>
        <w:textAlignment w:val="top"/>
      </w:pPr>
      <w:r>
        <w:rPr>
          <w:rFonts w:ascii="Arial" w:eastAsia="宋体" w:hAnsi="Arial" w:cs="Arial"/>
          <w:color w:val="000000"/>
          <w:sz w:val="20"/>
          <w:szCs w:val="20"/>
        </w:rPr>
        <w:t>•Securities finance revenue increased 4% in the third quarter of 2022, compared to the same period in 2021, reflecting higher spreads, partially offset by lower agency and enhanced custody balances.</w:t>
      </w:r>
    </w:p>
    <w:p w14:paraId="71D3DAE2" w14:textId="77777777" w:rsidR="006A3667" w:rsidRDefault="00045F32">
      <w:pPr>
        <w:spacing w:before="60"/>
        <w:ind w:hanging="360"/>
        <w:jc w:val="both"/>
        <w:textAlignment w:val="top"/>
      </w:pPr>
      <w:r>
        <w:rPr>
          <w:rFonts w:ascii="Arial" w:eastAsia="宋体" w:hAnsi="Arial" w:cs="Arial"/>
          <w:color w:val="000000"/>
          <w:sz w:val="20"/>
          <w:szCs w:val="20"/>
        </w:rPr>
        <w:t>•Software and processing fees revenue increased 2% in the third quarter of 2022, compared to the same period in 2021, primarily due to higher front office software and data revenue associated with CRD, partially offset by lower lending fees.</w:t>
      </w:r>
    </w:p>
    <w:p w14:paraId="71D3DAE3" w14:textId="77777777" w:rsidR="006A3667" w:rsidRDefault="00045F32">
      <w:pPr>
        <w:spacing w:before="60"/>
        <w:ind w:hanging="360"/>
        <w:jc w:val="both"/>
        <w:textAlignment w:val="top"/>
      </w:pPr>
      <w:r>
        <w:rPr>
          <w:rFonts w:ascii="Arial" w:eastAsia="宋体" w:hAnsi="Arial" w:cs="Arial"/>
          <w:color w:val="000000"/>
          <w:sz w:val="20"/>
          <w:szCs w:val="20"/>
        </w:rPr>
        <w:t>•Other fee re</w:t>
      </w:r>
      <w:r>
        <w:rPr>
          <w:rFonts w:ascii="Arial" w:eastAsia="宋体" w:hAnsi="Arial" w:cs="Arial"/>
          <w:color w:val="000000"/>
          <w:sz w:val="20"/>
          <w:szCs w:val="20"/>
        </w:rPr>
        <w:t>venue decreased $27 million in the third quarter of 2022, compared to the same period in 2021, primarily driven by the absence of fair value adjustments on equity investments and negative m</w:t>
      </w:r>
      <w:r>
        <w:rPr>
          <w:rFonts w:ascii="Arial" w:eastAsia="宋体" w:hAnsi="Arial" w:cs="Arial"/>
          <w:color w:val="000000"/>
          <w:sz w:val="20"/>
          <w:szCs w:val="20"/>
          <w:shd w:val="clear" w:color="auto" w:fill="FFFFFF"/>
        </w:rPr>
        <w:t>arket-related adjustments</w:t>
      </w:r>
      <w:r>
        <w:rPr>
          <w:rFonts w:ascii="Arial" w:eastAsia="宋体" w:hAnsi="Arial" w:cs="Arial"/>
          <w:color w:val="000000"/>
          <w:sz w:val="20"/>
          <w:szCs w:val="20"/>
        </w:rPr>
        <w:t>.</w:t>
      </w:r>
    </w:p>
    <w:p w14:paraId="71D3DAE4" w14:textId="77777777" w:rsidR="006A3667" w:rsidRDefault="00045F32">
      <w:pPr>
        <w:spacing w:before="60"/>
        <w:ind w:hanging="360"/>
        <w:jc w:val="both"/>
        <w:textAlignment w:val="top"/>
      </w:pPr>
      <w:r>
        <w:rPr>
          <w:rFonts w:ascii="Arial" w:eastAsia="宋体" w:hAnsi="Arial" w:cs="Arial"/>
          <w:color w:val="000000"/>
          <w:sz w:val="20"/>
          <w:szCs w:val="20"/>
        </w:rPr>
        <w:t xml:space="preserve">•NII increased 36% in the third quarter </w:t>
      </w:r>
      <w:r>
        <w:rPr>
          <w:rFonts w:ascii="Arial" w:eastAsia="宋体" w:hAnsi="Arial" w:cs="Arial"/>
          <w:color w:val="000000"/>
          <w:sz w:val="20"/>
          <w:szCs w:val="20"/>
        </w:rPr>
        <w:t>of 2022, compared to the same period in 2021, primarily due to higher short-term interest rates from U.S. and international central bank rate hikes, partially offset by lower client deposits.</w:t>
      </w:r>
    </w:p>
    <w:p w14:paraId="71D3DAE5" w14:textId="77777777" w:rsidR="006A3667" w:rsidRDefault="00045F32">
      <w:pPr>
        <w:spacing w:before="60"/>
        <w:jc w:val="both"/>
        <w:textAlignment w:val="top"/>
      </w:pPr>
      <w:r>
        <w:rPr>
          <w:rFonts w:ascii="Arial" w:eastAsia="宋体" w:hAnsi="Arial" w:cs="Arial"/>
          <w:b/>
          <w:bCs/>
          <w:i/>
          <w:iCs/>
          <w:color w:val="000000"/>
          <w:sz w:val="20"/>
          <w:szCs w:val="20"/>
        </w:rPr>
        <w:t>Provision for Credit Losses</w:t>
      </w:r>
    </w:p>
    <w:p w14:paraId="71D3DAE6" w14:textId="77777777" w:rsidR="006A3667" w:rsidRDefault="00045F32">
      <w:pPr>
        <w:spacing w:before="60"/>
        <w:ind w:hanging="360"/>
        <w:jc w:val="both"/>
        <w:textAlignment w:val="top"/>
      </w:pPr>
      <w:r>
        <w:rPr>
          <w:rFonts w:ascii="Arial" w:eastAsia="宋体" w:hAnsi="Arial" w:cs="Arial"/>
          <w:color w:val="000000"/>
          <w:sz w:val="20"/>
          <w:szCs w:val="20"/>
        </w:rPr>
        <w:t>•We recorded no provision for credit</w:t>
      </w:r>
      <w:r>
        <w:rPr>
          <w:rFonts w:ascii="Arial" w:eastAsia="宋体" w:hAnsi="Arial" w:cs="Arial"/>
          <w:color w:val="000000"/>
          <w:sz w:val="20"/>
          <w:szCs w:val="20"/>
        </w:rPr>
        <w:t xml:space="preserve"> losses in the third quarter of 2022, compared to a $2 million reserve release in the same period in 2021, as a downward shift in management's economic outlook was offset by a reduction in loan portfolio risk.</w:t>
      </w:r>
    </w:p>
    <w:p w14:paraId="71D3DAE7" w14:textId="77777777" w:rsidR="006A3667" w:rsidRDefault="00045F32">
      <w:pPr>
        <w:spacing w:before="60"/>
        <w:jc w:val="both"/>
        <w:textAlignment w:val="top"/>
      </w:pPr>
      <w:r>
        <w:rPr>
          <w:rFonts w:ascii="Arial" w:eastAsia="宋体" w:hAnsi="Arial" w:cs="Arial"/>
          <w:b/>
          <w:bCs/>
          <w:i/>
          <w:iCs/>
          <w:color w:val="000000"/>
          <w:sz w:val="20"/>
          <w:szCs w:val="20"/>
        </w:rPr>
        <w:t>Expenses</w:t>
      </w:r>
    </w:p>
    <w:p w14:paraId="71D3DAE8" w14:textId="77777777" w:rsidR="006A3667" w:rsidRDefault="00045F32">
      <w:pPr>
        <w:spacing w:before="60"/>
        <w:ind w:hanging="360"/>
        <w:jc w:val="both"/>
        <w:textAlignment w:val="top"/>
      </w:pPr>
      <w:r>
        <w:rPr>
          <w:rFonts w:ascii="Arial" w:eastAsia="宋体" w:hAnsi="Arial" w:cs="Arial"/>
          <w:color w:val="000000"/>
          <w:sz w:val="20"/>
          <w:szCs w:val="20"/>
        </w:rPr>
        <w:t xml:space="preserve">•Total expenses were flat in the </w:t>
      </w:r>
      <w:r>
        <w:rPr>
          <w:rFonts w:ascii="Arial" w:eastAsia="宋体" w:hAnsi="Arial" w:cs="Arial"/>
          <w:color w:val="000000"/>
          <w:sz w:val="20"/>
          <w:szCs w:val="20"/>
        </w:rPr>
        <w:t>third quarter of 2022, compared to the same period in 2021, as continued productivity and optimization savings were offset by continued business investments and higher wages, marketing and travel costs. Currency translation reduced expenses by 4% in the th</w:t>
      </w:r>
      <w:r>
        <w:rPr>
          <w:rFonts w:ascii="Arial" w:eastAsia="宋体" w:hAnsi="Arial" w:cs="Arial"/>
          <w:color w:val="000000"/>
          <w:sz w:val="20"/>
          <w:szCs w:val="20"/>
        </w:rPr>
        <w:t>ird quarter of 2022, relative to the same period in 2021.</w:t>
      </w:r>
    </w:p>
    <w:p w14:paraId="71D3DAE9" w14:textId="77777777" w:rsidR="006A3667" w:rsidRDefault="00045F32">
      <w:pPr>
        <w:spacing w:before="60"/>
        <w:jc w:val="both"/>
        <w:textAlignment w:val="top"/>
      </w:pPr>
      <w:r>
        <w:rPr>
          <w:rFonts w:ascii="Arial" w:eastAsia="宋体" w:hAnsi="Arial" w:cs="Arial"/>
          <w:b/>
          <w:bCs/>
          <w:i/>
          <w:iCs/>
          <w:color w:val="000000"/>
          <w:sz w:val="20"/>
          <w:szCs w:val="20"/>
        </w:rPr>
        <w:t>Notable items</w:t>
      </w:r>
    </w:p>
    <w:p w14:paraId="71D3DAEA" w14:textId="77777777" w:rsidR="006A3667" w:rsidRDefault="00045F32">
      <w:pPr>
        <w:spacing w:before="60"/>
        <w:ind w:hanging="360"/>
        <w:jc w:val="both"/>
        <w:textAlignment w:val="top"/>
      </w:pPr>
      <w:r>
        <w:rPr>
          <w:rFonts w:ascii="Arial" w:eastAsia="宋体" w:hAnsi="Arial" w:cs="Arial"/>
          <w:color w:val="000000"/>
          <w:sz w:val="20"/>
          <w:szCs w:val="20"/>
        </w:rPr>
        <w:t>•The impact of notable items in the third quarter of 2022 includes acquisition and restructuring costs of approximately $13 million related to our proposed acquisition of the BBH Inves</w:t>
      </w:r>
      <w:r>
        <w:rPr>
          <w:rFonts w:ascii="Arial" w:eastAsia="宋体" w:hAnsi="Arial" w:cs="Arial"/>
          <w:color w:val="000000"/>
          <w:sz w:val="20"/>
          <w:szCs w:val="20"/>
        </w:rPr>
        <w:t>tor Services business, which is subject to regulatory review and other closing conditions.</w:t>
      </w:r>
    </w:p>
    <w:p w14:paraId="71D3DAEB" w14:textId="77777777" w:rsidR="006A3667" w:rsidRDefault="00045F32">
      <w:pPr>
        <w:spacing w:before="60"/>
        <w:ind w:hanging="360"/>
        <w:jc w:val="both"/>
        <w:textAlignment w:val="top"/>
      </w:pPr>
      <w:r>
        <w:rPr>
          <w:rFonts w:ascii="Arial" w:eastAsia="宋体" w:hAnsi="Arial" w:cs="Arial"/>
          <w:color w:val="000000"/>
          <w:sz w:val="20"/>
          <w:szCs w:val="20"/>
        </w:rPr>
        <w:t xml:space="preserve">•The impact of notable items in the third quarter of 2021 includes </w:t>
      </w:r>
      <w:r>
        <w:rPr>
          <w:rFonts w:ascii="Arial" w:eastAsia="宋体" w:hAnsi="Arial" w:cs="Arial"/>
          <w:color w:val="000000"/>
          <w:sz w:val="20"/>
          <w:szCs w:val="20"/>
          <w:shd w:val="clear" w:color="auto" w:fill="FFFFFF"/>
        </w:rPr>
        <w:t xml:space="preserve">acquisition and restructuring costs of approximately $18 million, of which $11 million related to </w:t>
      </w:r>
      <w:r>
        <w:rPr>
          <w:rFonts w:ascii="Arial" w:eastAsia="宋体" w:hAnsi="Arial" w:cs="Arial"/>
          <w:color w:val="000000"/>
          <w:sz w:val="20"/>
          <w:szCs w:val="20"/>
          <w:shd w:val="clear" w:color="auto" w:fill="FFFFFF"/>
        </w:rPr>
        <w:t>CRD and $7 million related to our proposed acquisition of the BBH Investor Services business.</w:t>
      </w:r>
    </w:p>
    <w:p w14:paraId="71D3DAEC" w14:textId="77777777" w:rsidR="006A3667" w:rsidRDefault="00045F32">
      <w:pPr>
        <w:ind w:firstLine="450"/>
        <w:jc w:val="right"/>
      </w:pPr>
      <w:r>
        <w:rPr>
          <w:rFonts w:ascii="Arial" w:eastAsia="宋体" w:hAnsi="Arial" w:cs="Arial"/>
          <w:color w:val="000000"/>
          <w:sz w:val="18"/>
          <w:szCs w:val="18"/>
        </w:rPr>
        <w:t>State Street Corporation | 9</w:t>
      </w:r>
    </w:p>
    <w:p w14:paraId="71D3DAED" w14:textId="77777777" w:rsidR="006A3667" w:rsidRDefault="006A3667">
      <w:pPr>
        <w:ind w:firstLine="450"/>
        <w:jc w:val="center"/>
      </w:pPr>
    </w:p>
    <w:p w14:paraId="71D3DAEE" w14:textId="77777777" w:rsidR="006A3667" w:rsidRDefault="00045F32">
      <w:r>
        <w:pict w14:anchorId="71D4AC1D">
          <v:rect id="_x0000_i1033" style="width:415.3pt;height:1.5pt" o:hralign="center" o:hrstd="t" o:hr="t" fillcolor="#a0a0a0" stroked="f"/>
        </w:pict>
      </w:r>
    </w:p>
    <w:p w14:paraId="71D3DAEF"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DAF0" w14:textId="77777777" w:rsidR="006A3667" w:rsidRDefault="00045F32">
      <w:pPr>
        <w:ind w:firstLine="450"/>
        <w:jc w:val="center"/>
      </w:pPr>
      <w:r>
        <w:rPr>
          <w:rFonts w:ascii="Arial" w:eastAsia="宋体" w:hAnsi="Arial" w:cs="Arial"/>
          <w:b/>
          <w:bCs/>
          <w:color w:val="000000"/>
          <w:sz w:val="20"/>
          <w:szCs w:val="20"/>
        </w:rPr>
        <w:t>AND RESULTS OF OPERATIONS</w:t>
      </w:r>
    </w:p>
    <w:p w14:paraId="71D3DAF1" w14:textId="77777777" w:rsidR="006A3667" w:rsidRDefault="00045F32">
      <w:pPr>
        <w:spacing w:before="60"/>
        <w:ind w:firstLine="360"/>
        <w:jc w:val="both"/>
        <w:textAlignment w:val="top"/>
      </w:pPr>
      <w:r>
        <w:rPr>
          <w:rFonts w:ascii="Arial" w:eastAsia="宋体" w:hAnsi="Arial" w:cs="Arial"/>
          <w:b/>
          <w:bCs/>
          <w:i/>
          <w:iCs/>
          <w:color w:val="000000"/>
          <w:sz w:val="20"/>
          <w:szCs w:val="20"/>
        </w:rPr>
        <w:t>AUC/A and AUM</w:t>
      </w:r>
    </w:p>
    <w:p w14:paraId="71D3DAF2" w14:textId="77777777" w:rsidR="006A3667" w:rsidRDefault="00045F32">
      <w:pPr>
        <w:spacing w:before="60"/>
        <w:ind w:hanging="360"/>
        <w:jc w:val="both"/>
        <w:textAlignment w:val="top"/>
      </w:pPr>
      <w:r>
        <w:rPr>
          <w:rFonts w:ascii="Arial" w:eastAsia="宋体" w:hAnsi="Arial" w:cs="Arial"/>
          <w:color w:val="000000"/>
          <w:sz w:val="20"/>
          <w:szCs w:val="20"/>
        </w:rPr>
        <w:t>•AUC/A of $35.69 trillion decr</w:t>
      </w:r>
      <w:r>
        <w:rPr>
          <w:rFonts w:ascii="Arial" w:eastAsia="宋体" w:hAnsi="Arial" w:cs="Arial"/>
          <w:color w:val="000000"/>
          <w:sz w:val="20"/>
          <w:szCs w:val="20"/>
        </w:rPr>
        <w:t xml:space="preserve">eased 18% as of September 30, 2022, compared to September 30, 2021, primarily due to lower market levels, a previously disclosed client transition and the impact of currency translation, partially offset by new business installations. In the third quarter </w:t>
      </w:r>
      <w:r>
        <w:rPr>
          <w:rFonts w:ascii="Arial" w:eastAsia="宋体" w:hAnsi="Arial" w:cs="Arial"/>
          <w:color w:val="000000"/>
          <w:sz w:val="20"/>
          <w:szCs w:val="20"/>
        </w:rPr>
        <w:t>of 2022, newly announced asset servicing mandates totaled approximately $233 billion. Servicing assets remaining to be installed in future periods totaled approximately $3.41 trillion as of September 30, 2022.</w:t>
      </w:r>
    </w:p>
    <w:p w14:paraId="71D3DAF3" w14:textId="77777777" w:rsidR="006A3667" w:rsidRDefault="00045F32">
      <w:pPr>
        <w:spacing w:before="60"/>
        <w:ind w:hanging="360"/>
        <w:jc w:val="both"/>
        <w:textAlignment w:val="top"/>
      </w:pPr>
      <w:r>
        <w:rPr>
          <w:rFonts w:ascii="Arial" w:eastAsia="宋体" w:hAnsi="Arial" w:cs="Arial"/>
          <w:color w:val="000000"/>
          <w:sz w:val="20"/>
          <w:szCs w:val="20"/>
        </w:rPr>
        <w:t>•AUM of $3.27 trillion decreased 15% as of Sep</w:t>
      </w:r>
      <w:r>
        <w:rPr>
          <w:rFonts w:ascii="Arial" w:eastAsia="宋体" w:hAnsi="Arial" w:cs="Arial"/>
          <w:color w:val="000000"/>
          <w:sz w:val="20"/>
          <w:szCs w:val="20"/>
        </w:rPr>
        <w:t>tember 30, 2022, compared to September 30, 2021, primarily due to lower market levels, institutional net outflows and the impact of currency translation, partially offset by net inflows from our ETFs and cash.</w:t>
      </w:r>
    </w:p>
    <w:p w14:paraId="71D3DAF4" w14:textId="77777777" w:rsidR="006A3667" w:rsidRDefault="00045F32">
      <w:pPr>
        <w:spacing w:before="60"/>
        <w:jc w:val="both"/>
        <w:textAlignment w:val="top"/>
      </w:pPr>
      <w:r>
        <w:rPr>
          <w:rFonts w:ascii="Arial" w:eastAsia="宋体" w:hAnsi="Arial" w:cs="Arial"/>
          <w:b/>
          <w:bCs/>
          <w:i/>
          <w:iCs/>
          <w:color w:val="000000"/>
          <w:sz w:val="20"/>
          <w:szCs w:val="20"/>
        </w:rPr>
        <w:t xml:space="preserve">Capital </w:t>
      </w:r>
    </w:p>
    <w:p w14:paraId="71D3DAF5" w14:textId="77777777" w:rsidR="006A3667" w:rsidRDefault="00045F32">
      <w:pPr>
        <w:spacing w:before="60"/>
        <w:ind w:hanging="360"/>
        <w:jc w:val="both"/>
        <w:textAlignment w:val="top"/>
      </w:pPr>
      <w:r>
        <w:rPr>
          <w:rFonts w:ascii="Arial" w:eastAsia="宋体" w:hAnsi="Arial" w:cs="Arial"/>
          <w:color w:val="000000"/>
          <w:sz w:val="20"/>
          <w:szCs w:val="20"/>
        </w:rPr>
        <w:t>•We declared common stock dividends o</w:t>
      </w:r>
      <w:r>
        <w:rPr>
          <w:rFonts w:ascii="Arial" w:eastAsia="宋体" w:hAnsi="Arial" w:cs="Arial"/>
          <w:color w:val="000000"/>
          <w:sz w:val="20"/>
          <w:szCs w:val="20"/>
        </w:rPr>
        <w:t>f $0.63 per share, totaling $232 million in the third quarter of 2022, compared to $0.57 per share, totaling $209 million in the same period in 2021.</w:t>
      </w:r>
    </w:p>
    <w:p w14:paraId="71D3DAF6" w14:textId="77777777" w:rsidR="006A3667" w:rsidRDefault="00045F32">
      <w:pPr>
        <w:spacing w:before="60"/>
        <w:ind w:hanging="360"/>
        <w:jc w:val="both"/>
        <w:textAlignment w:val="top"/>
      </w:pPr>
      <w:r>
        <w:rPr>
          <w:rFonts w:ascii="Arial" w:eastAsia="宋体" w:hAnsi="Arial" w:cs="Arial"/>
          <w:color w:val="000000"/>
          <w:sz w:val="20"/>
          <w:szCs w:val="20"/>
        </w:rPr>
        <w:t>•In July 2021, our Board authorized a share repurchase program for the repurchase of up to $3.0 billion of</w:t>
      </w:r>
      <w:r>
        <w:rPr>
          <w:rFonts w:ascii="Arial" w:eastAsia="宋体" w:hAnsi="Arial" w:cs="Arial"/>
          <w:color w:val="000000"/>
          <w:sz w:val="20"/>
          <w:szCs w:val="20"/>
        </w:rPr>
        <w:t xml:space="preserve"> our common stock through the end of 2022; however, in connection with our proposed acquisition of the BBH Investor Services business, we did not repurchase any common stock during the last half of 2021, as well as during the first nine months of 2022. We </w:t>
      </w:r>
      <w:r>
        <w:rPr>
          <w:rFonts w:ascii="Arial" w:eastAsia="宋体" w:hAnsi="Arial" w:cs="Arial"/>
          <w:color w:val="000000"/>
          <w:sz w:val="20"/>
          <w:szCs w:val="20"/>
        </w:rPr>
        <w:t xml:space="preserve">intend to repurchase approximately $1.0 billion of our common stock in the fourth quarter of 2022 under the existing share repurchase program, expiring December 21, 2022. </w:t>
      </w:r>
    </w:p>
    <w:p w14:paraId="71D3DAF7" w14:textId="77777777" w:rsidR="006A3667" w:rsidRDefault="00045F32">
      <w:pPr>
        <w:ind w:hanging="360"/>
        <w:jc w:val="both"/>
        <w:textAlignment w:val="top"/>
      </w:pPr>
      <w:r>
        <w:rPr>
          <w:rFonts w:ascii="Arial" w:eastAsia="宋体" w:hAnsi="Arial" w:cs="Arial"/>
          <w:color w:val="000000"/>
          <w:sz w:val="22"/>
          <w:szCs w:val="22"/>
        </w:rPr>
        <w:t>•</w:t>
      </w:r>
      <w:r>
        <w:rPr>
          <w:rFonts w:ascii="Arial" w:eastAsia="宋体" w:hAnsi="Arial" w:cs="Arial"/>
          <w:color w:val="000000"/>
          <w:sz w:val="20"/>
          <w:szCs w:val="20"/>
        </w:rPr>
        <w:t>Our standardized CET1 capital ratio decreased to 13.2% as of September 30, 2022, co</w:t>
      </w:r>
      <w:r>
        <w:rPr>
          <w:rFonts w:ascii="Arial" w:eastAsia="宋体" w:hAnsi="Arial" w:cs="Arial"/>
          <w:color w:val="000000"/>
          <w:sz w:val="20"/>
          <w:szCs w:val="20"/>
        </w:rPr>
        <w:t>mpared to 14.3% as of December 31, 2021, primarily reflecting lower AOCI related to AFS securities, largely recognized in the first half of 2022 driven by the significant increase in interest rates across the yield curve and the implementation of the stand</w:t>
      </w:r>
      <w:r>
        <w:rPr>
          <w:rFonts w:ascii="Arial" w:eastAsia="宋体" w:hAnsi="Arial" w:cs="Arial"/>
          <w:color w:val="000000"/>
          <w:sz w:val="20"/>
          <w:szCs w:val="20"/>
        </w:rPr>
        <w:t>ardized approach for counterparty credit risk (SA-CCR), partially offset by planned RWA reductions and optimizations. However, we anticipate modest RWA increase over the coming quarters as we efficiently deploy capital to our businesses. Our Tier 1 leverag</w:t>
      </w:r>
      <w:r>
        <w:rPr>
          <w:rFonts w:ascii="Arial" w:eastAsia="宋体" w:hAnsi="Arial" w:cs="Arial"/>
          <w:color w:val="000000"/>
          <w:sz w:val="20"/>
          <w:szCs w:val="20"/>
        </w:rPr>
        <w:t xml:space="preserve">e ratio increased to 6.4% as of September 30, 2022 compared to 6.1% as of December 31, 2021, primarily driven by lower consolidated average assets, partially offset by lower </w:t>
      </w:r>
    </w:p>
    <w:p w14:paraId="71D3DAF8" w14:textId="77777777" w:rsidR="006A3667" w:rsidRDefault="00045F32">
      <w:pPr>
        <w:jc w:val="both"/>
        <w:textAlignment w:val="top"/>
      </w:pPr>
      <w:r>
        <w:rPr>
          <w:rFonts w:ascii="Arial" w:eastAsia="宋体" w:hAnsi="Arial" w:cs="Arial"/>
          <w:color w:val="000000"/>
          <w:sz w:val="20"/>
          <w:szCs w:val="20"/>
        </w:rPr>
        <w:t>AOCI. During 2022, we completed a number of actions to mitigate additional AOCI r</w:t>
      </w:r>
      <w:r>
        <w:rPr>
          <w:rFonts w:ascii="Arial" w:eastAsia="宋体" w:hAnsi="Arial" w:cs="Arial"/>
          <w:color w:val="000000"/>
          <w:sz w:val="20"/>
          <w:szCs w:val="20"/>
        </w:rPr>
        <w:t xml:space="preserve">isk in the current environment including a $21.23 billion transfer of securities from AFS to HTM. Given the current global economic environment, we currently expect to operate with CET1 and Tier 1 leverage capital ratios within our target ranges of 10-11% </w:t>
      </w:r>
      <w:r>
        <w:rPr>
          <w:rFonts w:ascii="Arial" w:eastAsia="宋体" w:hAnsi="Arial" w:cs="Arial"/>
          <w:color w:val="000000"/>
          <w:sz w:val="20"/>
          <w:szCs w:val="20"/>
        </w:rPr>
        <w:t xml:space="preserve">and 5.25-5.75%, respectively. </w:t>
      </w:r>
    </w:p>
    <w:p w14:paraId="71D3DAF9" w14:textId="77777777" w:rsidR="006A3667" w:rsidRDefault="00045F32">
      <w:pPr>
        <w:spacing w:before="60"/>
        <w:ind w:firstLine="720"/>
        <w:jc w:val="both"/>
        <w:textAlignment w:val="top"/>
      </w:pPr>
      <w:r>
        <w:rPr>
          <w:rFonts w:ascii="Arial" w:eastAsia="宋体" w:hAnsi="Arial" w:cs="Arial"/>
          <w:b/>
          <w:bCs/>
          <w:i/>
          <w:iCs/>
          <w:color w:val="000000"/>
          <w:sz w:val="20"/>
          <w:szCs w:val="20"/>
        </w:rPr>
        <w:t>Debt Issuances and Redemptions</w:t>
      </w:r>
    </w:p>
    <w:p w14:paraId="71D3DAFA" w14:textId="77777777" w:rsidR="006A3667" w:rsidRDefault="00045F32">
      <w:pPr>
        <w:spacing w:before="60"/>
        <w:ind w:hanging="360"/>
        <w:jc w:val="both"/>
        <w:textAlignment w:val="top"/>
      </w:pPr>
      <w:r>
        <w:rPr>
          <w:rFonts w:ascii="Arial" w:eastAsia="宋体" w:hAnsi="Arial" w:cs="Arial"/>
          <w:color w:val="000000"/>
          <w:sz w:val="20"/>
          <w:szCs w:val="20"/>
          <w:shd w:val="clear" w:color="auto" w:fill="FFFFFF"/>
        </w:rPr>
        <w:t>•On August 4, 2022, we issued $750 million aggregate principal amount of 4.164% fixed-to-floating rate senior notes due 2033.</w:t>
      </w:r>
    </w:p>
    <w:p w14:paraId="71D3DAFB" w14:textId="77777777" w:rsidR="006A3667" w:rsidRDefault="00045F32">
      <w:pPr>
        <w:spacing w:before="90"/>
        <w:jc w:val="both"/>
        <w:textAlignment w:val="top"/>
      </w:pPr>
      <w:r>
        <w:rPr>
          <w:rFonts w:ascii="Arial" w:eastAsia="宋体" w:hAnsi="Arial" w:cs="Arial"/>
          <w:b/>
          <w:bCs/>
          <w:color w:val="000000"/>
          <w:sz w:val="20"/>
          <w:szCs w:val="20"/>
        </w:rPr>
        <w:t>CONSOLIDATED RESULTS OF OPERATIONS</w:t>
      </w:r>
    </w:p>
    <w:p w14:paraId="71D3DAFC" w14:textId="77777777" w:rsidR="006A3667" w:rsidRDefault="00045F32">
      <w:pPr>
        <w:spacing w:before="60"/>
        <w:ind w:firstLine="450"/>
        <w:jc w:val="both"/>
        <w:textAlignment w:val="top"/>
      </w:pPr>
      <w:r>
        <w:rPr>
          <w:rFonts w:ascii="Arial" w:eastAsia="宋体" w:hAnsi="Arial" w:cs="Arial"/>
          <w:color w:val="000000"/>
          <w:sz w:val="20"/>
          <w:szCs w:val="20"/>
        </w:rPr>
        <w:t xml:space="preserve">This section discusses our </w:t>
      </w:r>
      <w:r>
        <w:rPr>
          <w:rFonts w:ascii="Arial" w:eastAsia="宋体" w:hAnsi="Arial" w:cs="Arial"/>
          <w:color w:val="000000"/>
          <w:sz w:val="20"/>
          <w:szCs w:val="20"/>
        </w:rPr>
        <w:t>consolidated results of operations for the three and nine months ended September 30, 2022, compared to the same periods in 2021, and should be read in conjunction with the consolidated financial statements and accompanying notes to the consolidated financi</w:t>
      </w:r>
      <w:r>
        <w:rPr>
          <w:rFonts w:ascii="Arial" w:eastAsia="宋体" w:hAnsi="Arial" w:cs="Arial"/>
          <w:color w:val="000000"/>
          <w:sz w:val="20"/>
          <w:szCs w:val="20"/>
        </w:rPr>
        <w:t>al statements in this Form 10-Q.</w:t>
      </w:r>
    </w:p>
    <w:p w14:paraId="71D3DAFD" w14:textId="77777777" w:rsidR="006A3667" w:rsidRDefault="00045F32">
      <w:pPr>
        <w:ind w:firstLine="450"/>
        <w:jc w:val="right"/>
      </w:pPr>
      <w:r>
        <w:rPr>
          <w:rFonts w:ascii="Arial" w:eastAsia="宋体" w:hAnsi="Arial" w:cs="Arial"/>
          <w:color w:val="000000"/>
          <w:sz w:val="18"/>
          <w:szCs w:val="18"/>
        </w:rPr>
        <w:t>State Street Corporation | 10</w:t>
      </w:r>
    </w:p>
    <w:p w14:paraId="71D3DAFE" w14:textId="77777777" w:rsidR="006A3667" w:rsidRDefault="006A3667">
      <w:pPr>
        <w:ind w:firstLine="450"/>
        <w:jc w:val="center"/>
      </w:pPr>
    </w:p>
    <w:p w14:paraId="71D3DAFF" w14:textId="77777777" w:rsidR="006A3667" w:rsidRDefault="00045F32">
      <w:r>
        <w:pict w14:anchorId="71D4AC1E">
          <v:rect id="_x0000_i1034" style="width:415.3pt;height:1.5pt" o:hralign="center" o:hrstd="t" o:hr="t" fillcolor="#a0a0a0" stroked="f"/>
        </w:pict>
      </w:r>
    </w:p>
    <w:p w14:paraId="71D3DB00"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DB01" w14:textId="77777777" w:rsidR="006A3667" w:rsidRDefault="00045F32">
      <w:pPr>
        <w:ind w:firstLine="450"/>
        <w:jc w:val="center"/>
      </w:pPr>
      <w:r>
        <w:rPr>
          <w:rFonts w:ascii="Arial" w:eastAsia="宋体" w:hAnsi="Arial" w:cs="Arial"/>
          <w:b/>
          <w:bCs/>
          <w:color w:val="000000"/>
          <w:sz w:val="20"/>
          <w:szCs w:val="20"/>
        </w:rPr>
        <w:t>AND RESULTS OF OPERATIONS</w:t>
      </w:r>
    </w:p>
    <w:p w14:paraId="71D3DB02" w14:textId="77777777" w:rsidR="006A3667" w:rsidRDefault="00045F32">
      <w:pPr>
        <w:spacing w:before="90"/>
        <w:textAlignment w:val="top"/>
      </w:pPr>
      <w:r>
        <w:rPr>
          <w:rFonts w:ascii="Arial" w:eastAsia="宋体" w:hAnsi="Arial" w:cs="Arial"/>
          <w:b/>
          <w:bCs/>
          <w:color w:val="000000"/>
          <w:sz w:val="20"/>
          <w:szCs w:val="20"/>
        </w:rPr>
        <w:t>Total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3186"/>
        <w:gridCol w:w="38"/>
        <w:gridCol w:w="104"/>
        <w:gridCol w:w="1153"/>
        <w:gridCol w:w="36"/>
        <w:gridCol w:w="36"/>
        <w:gridCol w:w="36"/>
        <w:gridCol w:w="36"/>
        <w:gridCol w:w="104"/>
        <w:gridCol w:w="1153"/>
        <w:gridCol w:w="36"/>
        <w:gridCol w:w="46"/>
        <w:gridCol w:w="591"/>
        <w:gridCol w:w="36"/>
        <w:gridCol w:w="36"/>
        <w:gridCol w:w="36"/>
        <w:gridCol w:w="38"/>
        <w:gridCol w:w="1118"/>
        <w:gridCol w:w="154"/>
        <w:gridCol w:w="36"/>
        <w:gridCol w:w="36"/>
        <w:gridCol w:w="36"/>
        <w:gridCol w:w="36"/>
        <w:gridCol w:w="36"/>
        <w:gridCol w:w="36"/>
        <w:gridCol w:w="36"/>
        <w:gridCol w:w="36"/>
        <w:gridCol w:w="36"/>
      </w:tblGrid>
      <w:tr w:rsidR="006A3667" w14:paraId="71D3DB1A" w14:textId="77777777">
        <w:tc>
          <w:tcPr>
            <w:tcW w:w="50" w:type="pct"/>
            <w:shd w:val="clear" w:color="auto" w:fill="auto"/>
            <w:vAlign w:val="bottom"/>
          </w:tcPr>
          <w:p w14:paraId="71D3DB03" w14:textId="77777777" w:rsidR="006A3667" w:rsidRDefault="006A3667">
            <w:pPr>
              <w:rPr>
                <w:rFonts w:ascii="宋体"/>
              </w:rPr>
            </w:pPr>
          </w:p>
        </w:tc>
        <w:tc>
          <w:tcPr>
            <w:tcW w:w="2232" w:type="pct"/>
            <w:shd w:val="clear" w:color="auto" w:fill="auto"/>
            <w:vAlign w:val="bottom"/>
          </w:tcPr>
          <w:p w14:paraId="71D3DB04" w14:textId="77777777" w:rsidR="006A3667" w:rsidRDefault="006A3667">
            <w:pPr>
              <w:rPr>
                <w:rFonts w:ascii="宋体"/>
              </w:rPr>
            </w:pPr>
          </w:p>
        </w:tc>
        <w:tc>
          <w:tcPr>
            <w:tcW w:w="5" w:type="pct"/>
            <w:shd w:val="clear" w:color="auto" w:fill="auto"/>
            <w:vAlign w:val="bottom"/>
          </w:tcPr>
          <w:p w14:paraId="71D3DB05" w14:textId="77777777" w:rsidR="006A3667" w:rsidRDefault="006A3667">
            <w:pPr>
              <w:rPr>
                <w:rFonts w:ascii="宋体"/>
              </w:rPr>
            </w:pPr>
          </w:p>
        </w:tc>
        <w:tc>
          <w:tcPr>
            <w:tcW w:w="50" w:type="pct"/>
            <w:shd w:val="clear" w:color="auto" w:fill="auto"/>
            <w:vAlign w:val="bottom"/>
          </w:tcPr>
          <w:p w14:paraId="71D3DB06" w14:textId="77777777" w:rsidR="006A3667" w:rsidRDefault="006A3667">
            <w:pPr>
              <w:rPr>
                <w:rFonts w:ascii="宋体"/>
              </w:rPr>
            </w:pPr>
          </w:p>
        </w:tc>
        <w:tc>
          <w:tcPr>
            <w:tcW w:w="829" w:type="pct"/>
            <w:shd w:val="clear" w:color="auto" w:fill="auto"/>
            <w:vAlign w:val="bottom"/>
          </w:tcPr>
          <w:p w14:paraId="71D3DB07" w14:textId="77777777" w:rsidR="006A3667" w:rsidRDefault="006A3667">
            <w:pPr>
              <w:rPr>
                <w:rFonts w:ascii="宋体"/>
              </w:rPr>
            </w:pPr>
          </w:p>
        </w:tc>
        <w:tc>
          <w:tcPr>
            <w:tcW w:w="5" w:type="pct"/>
            <w:shd w:val="clear" w:color="auto" w:fill="auto"/>
            <w:vAlign w:val="bottom"/>
          </w:tcPr>
          <w:p w14:paraId="71D3DB08" w14:textId="77777777" w:rsidR="006A3667" w:rsidRDefault="006A3667">
            <w:pPr>
              <w:rPr>
                <w:rFonts w:ascii="宋体"/>
              </w:rPr>
            </w:pPr>
          </w:p>
        </w:tc>
        <w:tc>
          <w:tcPr>
            <w:tcW w:w="5" w:type="pct"/>
            <w:shd w:val="clear" w:color="auto" w:fill="auto"/>
            <w:vAlign w:val="bottom"/>
          </w:tcPr>
          <w:p w14:paraId="71D3DB09" w14:textId="77777777" w:rsidR="006A3667" w:rsidRDefault="006A3667">
            <w:pPr>
              <w:rPr>
                <w:rFonts w:ascii="宋体"/>
              </w:rPr>
            </w:pPr>
          </w:p>
        </w:tc>
        <w:tc>
          <w:tcPr>
            <w:tcW w:w="19" w:type="pct"/>
            <w:shd w:val="clear" w:color="auto" w:fill="auto"/>
            <w:vAlign w:val="bottom"/>
          </w:tcPr>
          <w:p w14:paraId="71D3DB0A" w14:textId="77777777" w:rsidR="006A3667" w:rsidRDefault="006A3667">
            <w:pPr>
              <w:rPr>
                <w:rFonts w:ascii="宋体"/>
              </w:rPr>
            </w:pPr>
          </w:p>
        </w:tc>
        <w:tc>
          <w:tcPr>
            <w:tcW w:w="5" w:type="pct"/>
            <w:shd w:val="clear" w:color="auto" w:fill="auto"/>
            <w:vAlign w:val="bottom"/>
          </w:tcPr>
          <w:p w14:paraId="71D3DB0B" w14:textId="77777777" w:rsidR="006A3667" w:rsidRDefault="006A3667">
            <w:pPr>
              <w:rPr>
                <w:rFonts w:ascii="宋体"/>
              </w:rPr>
            </w:pPr>
          </w:p>
        </w:tc>
        <w:tc>
          <w:tcPr>
            <w:tcW w:w="50" w:type="pct"/>
            <w:shd w:val="clear" w:color="auto" w:fill="auto"/>
            <w:vAlign w:val="bottom"/>
          </w:tcPr>
          <w:p w14:paraId="71D3DB0C" w14:textId="77777777" w:rsidR="006A3667" w:rsidRDefault="006A3667">
            <w:pPr>
              <w:rPr>
                <w:rFonts w:ascii="宋体"/>
              </w:rPr>
            </w:pPr>
          </w:p>
        </w:tc>
        <w:tc>
          <w:tcPr>
            <w:tcW w:w="829" w:type="pct"/>
            <w:shd w:val="clear" w:color="auto" w:fill="auto"/>
            <w:vAlign w:val="bottom"/>
          </w:tcPr>
          <w:p w14:paraId="71D3DB0D" w14:textId="77777777" w:rsidR="006A3667" w:rsidRDefault="006A3667">
            <w:pPr>
              <w:rPr>
                <w:rFonts w:ascii="宋体"/>
              </w:rPr>
            </w:pPr>
          </w:p>
        </w:tc>
        <w:tc>
          <w:tcPr>
            <w:tcW w:w="5" w:type="pct"/>
            <w:shd w:val="clear" w:color="auto" w:fill="auto"/>
            <w:vAlign w:val="bottom"/>
          </w:tcPr>
          <w:p w14:paraId="71D3DB0E" w14:textId="77777777" w:rsidR="006A3667" w:rsidRDefault="006A3667">
            <w:pPr>
              <w:rPr>
                <w:rFonts w:ascii="宋体"/>
              </w:rPr>
            </w:pPr>
          </w:p>
        </w:tc>
        <w:tc>
          <w:tcPr>
            <w:tcW w:w="0" w:type="auto"/>
            <w:shd w:val="clear" w:color="auto" w:fill="auto"/>
            <w:vAlign w:val="bottom"/>
          </w:tcPr>
          <w:p w14:paraId="71D3DB0F" w14:textId="77777777" w:rsidR="006A3667" w:rsidRDefault="006A3667">
            <w:pPr>
              <w:rPr>
                <w:rFonts w:ascii="宋体"/>
                <w:vanish/>
              </w:rPr>
            </w:pPr>
          </w:p>
        </w:tc>
        <w:tc>
          <w:tcPr>
            <w:tcW w:w="0" w:type="auto"/>
            <w:shd w:val="clear" w:color="auto" w:fill="auto"/>
            <w:vAlign w:val="bottom"/>
          </w:tcPr>
          <w:p w14:paraId="71D3DB10" w14:textId="77777777" w:rsidR="006A3667" w:rsidRDefault="006A3667">
            <w:pPr>
              <w:rPr>
                <w:rFonts w:ascii="宋体"/>
                <w:vanish/>
              </w:rPr>
            </w:pPr>
          </w:p>
        </w:tc>
        <w:tc>
          <w:tcPr>
            <w:tcW w:w="5" w:type="pct"/>
            <w:shd w:val="clear" w:color="auto" w:fill="auto"/>
            <w:vAlign w:val="bottom"/>
          </w:tcPr>
          <w:p w14:paraId="71D3DB11" w14:textId="77777777" w:rsidR="006A3667" w:rsidRDefault="006A3667">
            <w:pPr>
              <w:rPr>
                <w:rFonts w:ascii="宋体"/>
              </w:rPr>
            </w:pPr>
          </w:p>
        </w:tc>
        <w:tc>
          <w:tcPr>
            <w:tcW w:w="19" w:type="pct"/>
            <w:shd w:val="clear" w:color="auto" w:fill="auto"/>
            <w:vAlign w:val="bottom"/>
          </w:tcPr>
          <w:p w14:paraId="71D3DB12" w14:textId="77777777" w:rsidR="006A3667" w:rsidRDefault="006A3667">
            <w:pPr>
              <w:rPr>
                <w:rFonts w:ascii="宋体"/>
              </w:rPr>
            </w:pPr>
          </w:p>
        </w:tc>
        <w:tc>
          <w:tcPr>
            <w:tcW w:w="5" w:type="pct"/>
            <w:shd w:val="clear" w:color="auto" w:fill="auto"/>
            <w:vAlign w:val="bottom"/>
          </w:tcPr>
          <w:p w14:paraId="71D3DB13" w14:textId="77777777" w:rsidR="006A3667" w:rsidRDefault="006A3667">
            <w:pPr>
              <w:rPr>
                <w:rFonts w:ascii="宋体"/>
              </w:rPr>
            </w:pPr>
          </w:p>
        </w:tc>
        <w:tc>
          <w:tcPr>
            <w:tcW w:w="50" w:type="pct"/>
            <w:shd w:val="clear" w:color="auto" w:fill="auto"/>
            <w:vAlign w:val="bottom"/>
          </w:tcPr>
          <w:p w14:paraId="71D3DB14" w14:textId="77777777" w:rsidR="006A3667" w:rsidRDefault="006A3667">
            <w:pPr>
              <w:rPr>
                <w:rFonts w:ascii="宋体"/>
              </w:rPr>
            </w:pPr>
          </w:p>
        </w:tc>
        <w:tc>
          <w:tcPr>
            <w:tcW w:w="829" w:type="pct"/>
            <w:shd w:val="clear" w:color="auto" w:fill="auto"/>
            <w:vAlign w:val="bottom"/>
          </w:tcPr>
          <w:p w14:paraId="71D3DB15" w14:textId="77777777" w:rsidR="006A3667" w:rsidRDefault="006A3667">
            <w:pPr>
              <w:rPr>
                <w:rFonts w:ascii="宋体"/>
              </w:rPr>
            </w:pPr>
          </w:p>
        </w:tc>
        <w:tc>
          <w:tcPr>
            <w:tcW w:w="5" w:type="pct"/>
            <w:shd w:val="clear" w:color="auto" w:fill="auto"/>
            <w:vAlign w:val="bottom"/>
          </w:tcPr>
          <w:p w14:paraId="71D3DB16" w14:textId="77777777" w:rsidR="006A3667" w:rsidRDefault="006A3667">
            <w:pPr>
              <w:rPr>
                <w:rFonts w:ascii="宋体"/>
              </w:rPr>
            </w:pPr>
          </w:p>
        </w:tc>
        <w:tc>
          <w:tcPr>
            <w:tcW w:w="0" w:type="auto"/>
            <w:gridSpan w:val="3"/>
            <w:shd w:val="clear" w:color="auto" w:fill="auto"/>
            <w:vAlign w:val="bottom"/>
          </w:tcPr>
          <w:p w14:paraId="71D3DB17" w14:textId="77777777" w:rsidR="006A3667" w:rsidRDefault="006A3667">
            <w:pPr>
              <w:rPr>
                <w:rFonts w:ascii="宋体"/>
                <w:vanish/>
              </w:rPr>
            </w:pPr>
          </w:p>
        </w:tc>
        <w:tc>
          <w:tcPr>
            <w:tcW w:w="0" w:type="auto"/>
            <w:gridSpan w:val="3"/>
            <w:shd w:val="clear" w:color="auto" w:fill="auto"/>
            <w:vAlign w:val="bottom"/>
          </w:tcPr>
          <w:p w14:paraId="71D3DB18" w14:textId="77777777" w:rsidR="006A3667" w:rsidRDefault="006A3667">
            <w:pPr>
              <w:rPr>
                <w:rFonts w:ascii="宋体"/>
                <w:vanish/>
              </w:rPr>
            </w:pPr>
          </w:p>
        </w:tc>
        <w:tc>
          <w:tcPr>
            <w:tcW w:w="0" w:type="auto"/>
            <w:gridSpan w:val="3"/>
            <w:shd w:val="clear" w:color="auto" w:fill="auto"/>
            <w:vAlign w:val="bottom"/>
          </w:tcPr>
          <w:p w14:paraId="71D3DB19" w14:textId="77777777" w:rsidR="006A3667" w:rsidRDefault="006A3667">
            <w:pPr>
              <w:rPr>
                <w:rFonts w:ascii="宋体"/>
                <w:vanish/>
              </w:rPr>
            </w:pPr>
          </w:p>
        </w:tc>
      </w:tr>
      <w:tr w:rsidR="006A3667" w14:paraId="71D3DB2B" w14:textId="77777777">
        <w:tc>
          <w:tcPr>
            <w:tcW w:w="0" w:type="auto"/>
            <w:gridSpan w:val="14"/>
            <w:shd w:val="clear" w:color="auto" w:fill="auto"/>
            <w:tcMar>
              <w:top w:w="40" w:type="dxa"/>
              <w:left w:w="20" w:type="dxa"/>
              <w:bottom w:w="40" w:type="dxa"/>
              <w:right w:w="20" w:type="dxa"/>
            </w:tcMar>
            <w:vAlign w:val="bottom"/>
          </w:tcPr>
          <w:p w14:paraId="71D3DB1B" w14:textId="77777777" w:rsidR="006A3667" w:rsidRDefault="00045F32">
            <w:pPr>
              <w:textAlignment w:val="bottom"/>
            </w:pPr>
            <w:r>
              <w:rPr>
                <w:rFonts w:ascii="Arial" w:eastAsia="宋体" w:hAnsi="Arial" w:cs="Arial"/>
                <w:b/>
                <w:bCs/>
                <w:color w:val="000000"/>
                <w:sz w:val="16"/>
                <w:szCs w:val="16"/>
              </w:rPr>
              <w:t>TABLE 2: TOTAL REVENUE</w:t>
            </w:r>
          </w:p>
        </w:tc>
        <w:tc>
          <w:tcPr>
            <w:tcW w:w="0" w:type="auto"/>
            <w:shd w:val="clear" w:color="auto" w:fill="auto"/>
            <w:vAlign w:val="bottom"/>
          </w:tcPr>
          <w:p w14:paraId="71D3DB1C" w14:textId="77777777" w:rsidR="006A3667" w:rsidRDefault="006A3667">
            <w:pPr>
              <w:rPr>
                <w:rFonts w:ascii="宋体"/>
              </w:rPr>
            </w:pPr>
          </w:p>
        </w:tc>
        <w:tc>
          <w:tcPr>
            <w:tcW w:w="0" w:type="auto"/>
            <w:shd w:val="clear" w:color="auto" w:fill="auto"/>
            <w:vAlign w:val="bottom"/>
          </w:tcPr>
          <w:p w14:paraId="71D3DB1D" w14:textId="77777777" w:rsidR="006A3667" w:rsidRDefault="006A3667">
            <w:pPr>
              <w:rPr>
                <w:rFonts w:ascii="宋体"/>
              </w:rPr>
            </w:pPr>
          </w:p>
        </w:tc>
        <w:tc>
          <w:tcPr>
            <w:tcW w:w="0" w:type="auto"/>
            <w:shd w:val="clear" w:color="auto" w:fill="auto"/>
            <w:vAlign w:val="bottom"/>
          </w:tcPr>
          <w:p w14:paraId="71D3DB1E" w14:textId="77777777" w:rsidR="006A3667" w:rsidRDefault="006A3667">
            <w:pPr>
              <w:rPr>
                <w:rFonts w:ascii="宋体"/>
              </w:rPr>
            </w:pPr>
          </w:p>
        </w:tc>
        <w:tc>
          <w:tcPr>
            <w:tcW w:w="0" w:type="auto"/>
            <w:shd w:val="clear" w:color="auto" w:fill="auto"/>
            <w:vAlign w:val="bottom"/>
          </w:tcPr>
          <w:p w14:paraId="71D3DB1F" w14:textId="77777777" w:rsidR="006A3667" w:rsidRDefault="006A3667">
            <w:pPr>
              <w:rPr>
                <w:rFonts w:ascii="宋体"/>
              </w:rPr>
            </w:pPr>
          </w:p>
        </w:tc>
        <w:tc>
          <w:tcPr>
            <w:tcW w:w="0" w:type="auto"/>
            <w:shd w:val="clear" w:color="auto" w:fill="auto"/>
            <w:vAlign w:val="bottom"/>
          </w:tcPr>
          <w:p w14:paraId="71D3DB20" w14:textId="77777777" w:rsidR="006A3667" w:rsidRDefault="006A3667">
            <w:pPr>
              <w:rPr>
                <w:rFonts w:ascii="宋体"/>
              </w:rPr>
            </w:pPr>
          </w:p>
        </w:tc>
        <w:tc>
          <w:tcPr>
            <w:tcW w:w="0" w:type="auto"/>
            <w:shd w:val="clear" w:color="auto" w:fill="auto"/>
            <w:vAlign w:val="bottom"/>
          </w:tcPr>
          <w:p w14:paraId="71D3DB21" w14:textId="77777777" w:rsidR="006A3667" w:rsidRDefault="006A3667">
            <w:pPr>
              <w:rPr>
                <w:rFonts w:ascii="宋体"/>
              </w:rPr>
            </w:pPr>
          </w:p>
        </w:tc>
        <w:tc>
          <w:tcPr>
            <w:tcW w:w="0" w:type="auto"/>
            <w:shd w:val="clear" w:color="auto" w:fill="auto"/>
            <w:vAlign w:val="bottom"/>
          </w:tcPr>
          <w:p w14:paraId="71D3DB22" w14:textId="77777777" w:rsidR="006A3667" w:rsidRDefault="006A3667">
            <w:pPr>
              <w:rPr>
                <w:rFonts w:ascii="宋体"/>
              </w:rPr>
            </w:pPr>
          </w:p>
        </w:tc>
        <w:tc>
          <w:tcPr>
            <w:tcW w:w="0" w:type="auto"/>
            <w:shd w:val="clear" w:color="auto" w:fill="auto"/>
            <w:vAlign w:val="bottom"/>
          </w:tcPr>
          <w:p w14:paraId="71D3DB23" w14:textId="77777777" w:rsidR="006A3667" w:rsidRDefault="006A3667">
            <w:pPr>
              <w:rPr>
                <w:rFonts w:ascii="宋体"/>
              </w:rPr>
            </w:pPr>
          </w:p>
        </w:tc>
        <w:tc>
          <w:tcPr>
            <w:tcW w:w="0" w:type="auto"/>
            <w:shd w:val="clear" w:color="auto" w:fill="auto"/>
            <w:vAlign w:val="bottom"/>
          </w:tcPr>
          <w:p w14:paraId="71D3DB24" w14:textId="77777777" w:rsidR="006A3667" w:rsidRDefault="006A3667">
            <w:pPr>
              <w:rPr>
                <w:rFonts w:ascii="宋体"/>
              </w:rPr>
            </w:pPr>
          </w:p>
        </w:tc>
        <w:tc>
          <w:tcPr>
            <w:tcW w:w="0" w:type="auto"/>
            <w:shd w:val="clear" w:color="auto" w:fill="auto"/>
            <w:vAlign w:val="bottom"/>
          </w:tcPr>
          <w:p w14:paraId="71D3DB25" w14:textId="77777777" w:rsidR="006A3667" w:rsidRDefault="006A3667">
            <w:pPr>
              <w:rPr>
                <w:rFonts w:ascii="宋体"/>
              </w:rPr>
            </w:pPr>
          </w:p>
        </w:tc>
        <w:tc>
          <w:tcPr>
            <w:tcW w:w="0" w:type="auto"/>
            <w:shd w:val="clear" w:color="auto" w:fill="auto"/>
            <w:vAlign w:val="bottom"/>
          </w:tcPr>
          <w:p w14:paraId="71D3DB26" w14:textId="77777777" w:rsidR="006A3667" w:rsidRDefault="006A3667">
            <w:pPr>
              <w:rPr>
                <w:rFonts w:ascii="宋体"/>
              </w:rPr>
            </w:pPr>
          </w:p>
        </w:tc>
        <w:tc>
          <w:tcPr>
            <w:tcW w:w="0" w:type="auto"/>
            <w:shd w:val="clear" w:color="auto" w:fill="auto"/>
            <w:vAlign w:val="bottom"/>
          </w:tcPr>
          <w:p w14:paraId="71D3DB27" w14:textId="77777777" w:rsidR="006A3667" w:rsidRDefault="006A3667">
            <w:pPr>
              <w:rPr>
                <w:rFonts w:ascii="宋体"/>
              </w:rPr>
            </w:pPr>
          </w:p>
        </w:tc>
        <w:tc>
          <w:tcPr>
            <w:tcW w:w="0" w:type="auto"/>
            <w:shd w:val="clear" w:color="auto" w:fill="auto"/>
            <w:vAlign w:val="bottom"/>
          </w:tcPr>
          <w:p w14:paraId="71D3DB28" w14:textId="77777777" w:rsidR="006A3667" w:rsidRDefault="006A3667">
            <w:pPr>
              <w:rPr>
                <w:rFonts w:ascii="宋体"/>
              </w:rPr>
            </w:pPr>
          </w:p>
        </w:tc>
        <w:tc>
          <w:tcPr>
            <w:tcW w:w="0" w:type="auto"/>
            <w:shd w:val="clear" w:color="auto" w:fill="auto"/>
            <w:vAlign w:val="bottom"/>
          </w:tcPr>
          <w:p w14:paraId="71D3DB29" w14:textId="77777777" w:rsidR="006A3667" w:rsidRDefault="006A3667">
            <w:pPr>
              <w:rPr>
                <w:rFonts w:ascii="宋体"/>
              </w:rPr>
            </w:pPr>
          </w:p>
        </w:tc>
        <w:tc>
          <w:tcPr>
            <w:tcW w:w="0" w:type="auto"/>
            <w:shd w:val="clear" w:color="auto" w:fill="auto"/>
            <w:vAlign w:val="bottom"/>
          </w:tcPr>
          <w:p w14:paraId="71D3DB2A" w14:textId="77777777" w:rsidR="006A3667" w:rsidRDefault="006A3667">
            <w:pPr>
              <w:rPr>
                <w:rFonts w:ascii="宋体"/>
              </w:rPr>
            </w:pPr>
          </w:p>
        </w:tc>
      </w:tr>
      <w:tr w:rsidR="006A3667" w14:paraId="71D3DB39" w14:textId="77777777">
        <w:trPr>
          <w:trHeight w:val="220"/>
        </w:trPr>
        <w:tc>
          <w:tcPr>
            <w:tcW w:w="0" w:type="auto"/>
            <w:gridSpan w:val="3"/>
            <w:shd w:val="clear" w:color="auto" w:fill="auto"/>
            <w:tcMar>
              <w:top w:w="0" w:type="dxa"/>
              <w:left w:w="20" w:type="dxa"/>
              <w:bottom w:w="0" w:type="dxa"/>
              <w:right w:w="20" w:type="dxa"/>
            </w:tcMar>
            <w:vAlign w:val="bottom"/>
          </w:tcPr>
          <w:p w14:paraId="71D3DB2C"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3DB2D" w14:textId="77777777" w:rsidR="006A3667" w:rsidRDefault="00045F32">
            <w:pPr>
              <w:jc w:val="center"/>
              <w:textAlignment w:val="bottom"/>
            </w:pPr>
            <w:r>
              <w:rPr>
                <w:rFonts w:ascii="Arial" w:eastAsia="宋体" w:hAnsi="Arial" w:cs="Arial"/>
                <w:b/>
                <w:bCs/>
                <w:color w:val="000000"/>
                <w:sz w:val="15"/>
                <w:szCs w:val="15"/>
              </w:rPr>
              <w:t>Three Months Ended September 30,</w:t>
            </w:r>
          </w:p>
        </w:tc>
        <w:tc>
          <w:tcPr>
            <w:tcW w:w="0" w:type="auto"/>
            <w:shd w:val="clear" w:color="auto" w:fill="auto"/>
            <w:tcMar>
              <w:top w:w="0" w:type="dxa"/>
              <w:left w:w="20" w:type="dxa"/>
              <w:bottom w:w="0" w:type="dxa"/>
              <w:right w:w="20" w:type="dxa"/>
            </w:tcMar>
            <w:vAlign w:val="bottom"/>
          </w:tcPr>
          <w:p w14:paraId="71D3DB2E" w14:textId="77777777" w:rsidR="006A3667" w:rsidRDefault="006A3667">
            <w:pPr>
              <w:rPr>
                <w:rFonts w:ascii="宋体"/>
              </w:rPr>
            </w:pPr>
          </w:p>
        </w:tc>
        <w:tc>
          <w:tcPr>
            <w:tcW w:w="0" w:type="auto"/>
            <w:vMerge w:val="restart"/>
            <w:shd w:val="clear" w:color="auto" w:fill="auto"/>
            <w:tcMar>
              <w:top w:w="40" w:type="dxa"/>
              <w:left w:w="20" w:type="dxa"/>
              <w:bottom w:w="40" w:type="dxa"/>
              <w:right w:w="20" w:type="dxa"/>
            </w:tcMar>
            <w:vAlign w:val="bottom"/>
          </w:tcPr>
          <w:p w14:paraId="71D3DB2F" w14:textId="77777777" w:rsidR="006A3667" w:rsidRDefault="00045F32">
            <w:pPr>
              <w:jc w:val="center"/>
              <w:textAlignment w:val="bottom"/>
            </w:pPr>
            <w:r>
              <w:rPr>
                <w:rFonts w:ascii="Arial" w:eastAsia="宋体" w:hAnsi="Arial" w:cs="Arial"/>
                <w:b/>
                <w:bCs/>
                <w:color w:val="000000"/>
                <w:sz w:val="15"/>
                <w:szCs w:val="15"/>
              </w:rPr>
              <w:t>% Change</w:t>
            </w:r>
          </w:p>
        </w:tc>
        <w:tc>
          <w:tcPr>
            <w:tcW w:w="0" w:type="auto"/>
            <w:gridSpan w:val="3"/>
            <w:shd w:val="clear" w:color="auto" w:fill="auto"/>
            <w:vAlign w:val="bottom"/>
          </w:tcPr>
          <w:p w14:paraId="71D3DB30" w14:textId="77777777" w:rsidR="006A3667" w:rsidRDefault="006A3667">
            <w:pPr>
              <w:rPr>
                <w:rFonts w:ascii="宋体"/>
                <w:vanish/>
              </w:rPr>
            </w:pPr>
          </w:p>
        </w:tc>
        <w:tc>
          <w:tcPr>
            <w:tcW w:w="0" w:type="auto"/>
            <w:gridSpan w:val="3"/>
            <w:shd w:val="clear" w:color="auto" w:fill="auto"/>
            <w:vAlign w:val="bottom"/>
          </w:tcPr>
          <w:p w14:paraId="71D3DB31" w14:textId="77777777" w:rsidR="006A3667" w:rsidRDefault="006A3667">
            <w:pPr>
              <w:rPr>
                <w:rFonts w:ascii="宋体"/>
                <w:vanish/>
              </w:rPr>
            </w:pPr>
          </w:p>
        </w:tc>
        <w:tc>
          <w:tcPr>
            <w:tcW w:w="0" w:type="auto"/>
            <w:gridSpan w:val="3"/>
            <w:shd w:val="clear" w:color="auto" w:fill="auto"/>
            <w:vAlign w:val="bottom"/>
          </w:tcPr>
          <w:p w14:paraId="71D3DB32" w14:textId="77777777" w:rsidR="006A3667" w:rsidRDefault="006A3667">
            <w:pPr>
              <w:rPr>
                <w:rFonts w:ascii="宋体"/>
                <w:vanish/>
              </w:rPr>
            </w:pPr>
          </w:p>
        </w:tc>
        <w:tc>
          <w:tcPr>
            <w:tcW w:w="0" w:type="auto"/>
            <w:shd w:val="clear" w:color="auto" w:fill="auto"/>
            <w:vAlign w:val="bottom"/>
          </w:tcPr>
          <w:p w14:paraId="71D3DB33" w14:textId="77777777" w:rsidR="006A3667" w:rsidRDefault="006A3667">
            <w:pPr>
              <w:rPr>
                <w:rFonts w:ascii="宋体"/>
              </w:rPr>
            </w:pPr>
          </w:p>
        </w:tc>
        <w:tc>
          <w:tcPr>
            <w:tcW w:w="0" w:type="auto"/>
            <w:shd w:val="clear" w:color="auto" w:fill="auto"/>
            <w:vAlign w:val="bottom"/>
          </w:tcPr>
          <w:p w14:paraId="71D3DB34" w14:textId="77777777" w:rsidR="006A3667" w:rsidRDefault="006A3667">
            <w:pPr>
              <w:rPr>
                <w:rFonts w:ascii="宋体"/>
              </w:rPr>
            </w:pPr>
          </w:p>
        </w:tc>
        <w:tc>
          <w:tcPr>
            <w:tcW w:w="0" w:type="auto"/>
            <w:shd w:val="clear" w:color="auto" w:fill="auto"/>
            <w:vAlign w:val="bottom"/>
          </w:tcPr>
          <w:p w14:paraId="71D3DB35" w14:textId="77777777" w:rsidR="006A3667" w:rsidRDefault="006A3667">
            <w:pPr>
              <w:rPr>
                <w:rFonts w:ascii="宋体"/>
              </w:rPr>
            </w:pPr>
          </w:p>
        </w:tc>
        <w:tc>
          <w:tcPr>
            <w:tcW w:w="0" w:type="auto"/>
            <w:shd w:val="clear" w:color="auto" w:fill="auto"/>
            <w:vAlign w:val="bottom"/>
          </w:tcPr>
          <w:p w14:paraId="71D3DB36" w14:textId="77777777" w:rsidR="006A3667" w:rsidRDefault="006A3667">
            <w:pPr>
              <w:rPr>
                <w:rFonts w:ascii="宋体"/>
              </w:rPr>
            </w:pPr>
          </w:p>
        </w:tc>
        <w:tc>
          <w:tcPr>
            <w:tcW w:w="0" w:type="auto"/>
            <w:shd w:val="clear" w:color="auto" w:fill="auto"/>
            <w:vAlign w:val="bottom"/>
          </w:tcPr>
          <w:p w14:paraId="71D3DB37" w14:textId="77777777" w:rsidR="006A3667" w:rsidRDefault="006A3667">
            <w:pPr>
              <w:rPr>
                <w:rFonts w:ascii="宋体"/>
              </w:rPr>
            </w:pPr>
          </w:p>
        </w:tc>
        <w:tc>
          <w:tcPr>
            <w:tcW w:w="0" w:type="auto"/>
            <w:shd w:val="clear" w:color="auto" w:fill="auto"/>
            <w:vAlign w:val="bottom"/>
          </w:tcPr>
          <w:p w14:paraId="71D3DB38" w14:textId="77777777" w:rsidR="006A3667" w:rsidRDefault="006A3667">
            <w:pPr>
              <w:rPr>
                <w:rFonts w:ascii="宋体"/>
              </w:rPr>
            </w:pPr>
          </w:p>
        </w:tc>
      </w:tr>
      <w:tr w:rsidR="006A3667" w14:paraId="71D3DB45" w14:textId="77777777">
        <w:trPr>
          <w:trHeight w:val="220"/>
        </w:trPr>
        <w:tc>
          <w:tcPr>
            <w:tcW w:w="0" w:type="auto"/>
            <w:gridSpan w:val="3"/>
            <w:shd w:val="clear" w:color="auto" w:fill="auto"/>
            <w:tcMar>
              <w:top w:w="40" w:type="dxa"/>
              <w:left w:w="20" w:type="dxa"/>
              <w:bottom w:w="40" w:type="dxa"/>
              <w:right w:w="20" w:type="dxa"/>
            </w:tcMar>
            <w:vAlign w:val="bottom"/>
          </w:tcPr>
          <w:p w14:paraId="71D3DB3A" w14:textId="77777777" w:rsidR="006A3667" w:rsidRDefault="00045F32">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B3B"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B3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B3D" w14:textId="77777777" w:rsidR="006A3667" w:rsidRDefault="00045F32">
            <w:pPr>
              <w:jc w:val="center"/>
              <w:textAlignment w:val="bottom"/>
            </w:pPr>
            <w:r>
              <w:rPr>
                <w:rFonts w:ascii="Arial" w:eastAsia="宋体" w:hAnsi="Arial" w:cs="Arial"/>
                <w:b/>
                <w:bCs/>
                <w:color w:val="000000"/>
                <w:sz w:val="15"/>
                <w:szCs w:val="15"/>
              </w:rPr>
              <w:t>2021</w:t>
            </w:r>
          </w:p>
        </w:tc>
        <w:tc>
          <w:tcPr>
            <w:tcW w:w="0" w:type="auto"/>
            <w:shd w:val="clear" w:color="auto" w:fill="auto"/>
            <w:vAlign w:val="bottom"/>
          </w:tcPr>
          <w:p w14:paraId="71D3DB3E" w14:textId="77777777" w:rsidR="006A3667" w:rsidRDefault="006A3667">
            <w:pPr>
              <w:rPr>
                <w:rFonts w:ascii="宋体"/>
                <w:vanish/>
              </w:rPr>
            </w:pPr>
          </w:p>
        </w:tc>
        <w:tc>
          <w:tcPr>
            <w:tcW w:w="0" w:type="auto"/>
            <w:vMerge/>
            <w:shd w:val="clear" w:color="auto" w:fill="auto"/>
            <w:tcMar>
              <w:top w:w="40" w:type="dxa"/>
              <w:left w:w="20" w:type="dxa"/>
              <w:bottom w:w="40" w:type="dxa"/>
              <w:right w:w="20" w:type="dxa"/>
            </w:tcMar>
            <w:vAlign w:val="bottom"/>
          </w:tcPr>
          <w:p w14:paraId="71D3DB3F" w14:textId="77777777" w:rsidR="006A3667" w:rsidRDefault="006A3667">
            <w:pPr>
              <w:jc w:val="center"/>
              <w:rPr>
                <w:rFonts w:ascii="宋体"/>
              </w:rPr>
            </w:pPr>
          </w:p>
        </w:tc>
        <w:tc>
          <w:tcPr>
            <w:tcW w:w="0" w:type="auto"/>
            <w:gridSpan w:val="3"/>
            <w:shd w:val="clear" w:color="auto" w:fill="auto"/>
            <w:vAlign w:val="bottom"/>
          </w:tcPr>
          <w:p w14:paraId="71D3DB40"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DB41" w14:textId="77777777" w:rsidR="006A3667" w:rsidRDefault="006A3667">
            <w:pPr>
              <w:rPr>
                <w:rFonts w:ascii="宋体"/>
              </w:rPr>
            </w:pPr>
          </w:p>
        </w:tc>
        <w:tc>
          <w:tcPr>
            <w:tcW w:w="0" w:type="auto"/>
            <w:gridSpan w:val="3"/>
            <w:shd w:val="clear" w:color="auto" w:fill="auto"/>
            <w:vAlign w:val="bottom"/>
          </w:tcPr>
          <w:p w14:paraId="71D3DB42" w14:textId="77777777" w:rsidR="006A3667" w:rsidRDefault="006A3667">
            <w:pPr>
              <w:rPr>
                <w:rFonts w:ascii="宋体"/>
                <w:vanish/>
              </w:rPr>
            </w:pPr>
          </w:p>
        </w:tc>
        <w:tc>
          <w:tcPr>
            <w:tcW w:w="0" w:type="auto"/>
            <w:gridSpan w:val="3"/>
            <w:shd w:val="clear" w:color="auto" w:fill="auto"/>
            <w:vAlign w:val="bottom"/>
          </w:tcPr>
          <w:p w14:paraId="71D3DB43" w14:textId="77777777" w:rsidR="006A3667" w:rsidRDefault="006A3667">
            <w:pPr>
              <w:rPr>
                <w:rFonts w:ascii="宋体"/>
                <w:vanish/>
              </w:rPr>
            </w:pPr>
          </w:p>
        </w:tc>
        <w:tc>
          <w:tcPr>
            <w:tcW w:w="0" w:type="auto"/>
            <w:gridSpan w:val="3"/>
            <w:shd w:val="clear" w:color="auto" w:fill="auto"/>
            <w:vAlign w:val="bottom"/>
          </w:tcPr>
          <w:p w14:paraId="71D3DB44" w14:textId="77777777" w:rsidR="006A3667" w:rsidRDefault="006A3667">
            <w:pPr>
              <w:rPr>
                <w:rFonts w:ascii="宋体"/>
                <w:vanish/>
              </w:rPr>
            </w:pPr>
          </w:p>
        </w:tc>
      </w:tr>
      <w:tr w:rsidR="006A3667" w14:paraId="71D3DB51" w14:textId="77777777">
        <w:tc>
          <w:tcPr>
            <w:tcW w:w="0" w:type="auto"/>
            <w:gridSpan w:val="3"/>
            <w:shd w:val="clear" w:color="auto" w:fill="auto"/>
            <w:tcMar>
              <w:top w:w="40" w:type="dxa"/>
              <w:left w:w="20" w:type="dxa"/>
              <w:bottom w:w="40" w:type="dxa"/>
              <w:right w:w="20" w:type="dxa"/>
            </w:tcMar>
            <w:vAlign w:val="bottom"/>
          </w:tcPr>
          <w:p w14:paraId="71D3DB46" w14:textId="77777777" w:rsidR="006A3667" w:rsidRDefault="00045F32">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B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B4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B49" w14:textId="77777777" w:rsidR="006A3667" w:rsidRDefault="006A3667">
            <w:pPr>
              <w:rPr>
                <w:rFonts w:ascii="宋体"/>
              </w:rPr>
            </w:pPr>
          </w:p>
        </w:tc>
        <w:tc>
          <w:tcPr>
            <w:tcW w:w="0" w:type="auto"/>
            <w:shd w:val="clear" w:color="auto" w:fill="auto"/>
            <w:vAlign w:val="bottom"/>
          </w:tcPr>
          <w:p w14:paraId="71D3DB4A" w14:textId="77777777" w:rsidR="006A3667" w:rsidRDefault="006A3667">
            <w:pPr>
              <w:rPr>
                <w:rFonts w:ascii="宋体"/>
                <w:vanish/>
              </w:rPr>
            </w:pPr>
          </w:p>
        </w:tc>
        <w:tc>
          <w:tcPr>
            <w:tcW w:w="0" w:type="auto"/>
            <w:shd w:val="clear" w:color="auto" w:fill="auto"/>
            <w:vAlign w:val="bottom"/>
          </w:tcPr>
          <w:p w14:paraId="71D3DB4B"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DB4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B4D" w14:textId="77777777" w:rsidR="006A3667" w:rsidRDefault="006A3667">
            <w:pPr>
              <w:rPr>
                <w:rFonts w:ascii="宋体"/>
              </w:rPr>
            </w:pPr>
          </w:p>
        </w:tc>
        <w:tc>
          <w:tcPr>
            <w:tcW w:w="0" w:type="auto"/>
            <w:gridSpan w:val="3"/>
            <w:shd w:val="clear" w:color="auto" w:fill="auto"/>
            <w:vAlign w:val="bottom"/>
          </w:tcPr>
          <w:p w14:paraId="71D3DB4E" w14:textId="77777777" w:rsidR="006A3667" w:rsidRDefault="006A3667">
            <w:pPr>
              <w:rPr>
                <w:rFonts w:ascii="宋体"/>
                <w:vanish/>
              </w:rPr>
            </w:pPr>
          </w:p>
        </w:tc>
        <w:tc>
          <w:tcPr>
            <w:tcW w:w="0" w:type="auto"/>
            <w:gridSpan w:val="3"/>
            <w:shd w:val="clear" w:color="auto" w:fill="auto"/>
            <w:vAlign w:val="bottom"/>
          </w:tcPr>
          <w:p w14:paraId="71D3DB4F" w14:textId="77777777" w:rsidR="006A3667" w:rsidRDefault="006A3667">
            <w:pPr>
              <w:rPr>
                <w:rFonts w:ascii="宋体"/>
                <w:vanish/>
              </w:rPr>
            </w:pPr>
          </w:p>
        </w:tc>
        <w:tc>
          <w:tcPr>
            <w:tcW w:w="0" w:type="auto"/>
            <w:gridSpan w:val="3"/>
            <w:shd w:val="clear" w:color="auto" w:fill="auto"/>
            <w:vAlign w:val="bottom"/>
          </w:tcPr>
          <w:p w14:paraId="71D3DB50" w14:textId="77777777" w:rsidR="006A3667" w:rsidRDefault="006A3667">
            <w:pPr>
              <w:rPr>
                <w:rFonts w:ascii="宋体"/>
                <w:vanish/>
              </w:rPr>
            </w:pPr>
          </w:p>
        </w:tc>
      </w:tr>
      <w:tr w:rsidR="006A3667" w14:paraId="71D3DB62" w14:textId="77777777">
        <w:tc>
          <w:tcPr>
            <w:tcW w:w="0" w:type="auto"/>
            <w:gridSpan w:val="3"/>
            <w:shd w:val="clear" w:color="auto" w:fill="CCEEFF"/>
            <w:tcMar>
              <w:top w:w="40" w:type="dxa"/>
              <w:left w:w="20" w:type="dxa"/>
              <w:bottom w:w="40" w:type="dxa"/>
              <w:right w:w="20" w:type="dxa"/>
            </w:tcMar>
          </w:tcPr>
          <w:p w14:paraId="71D3DB52" w14:textId="77777777" w:rsidR="006A3667" w:rsidRDefault="00045F32">
            <w:pPr>
              <w:textAlignment w:val="top"/>
            </w:pPr>
            <w:r>
              <w:rPr>
                <w:rFonts w:ascii="Arial" w:eastAsia="宋体" w:hAnsi="Arial" w:cs="Arial"/>
                <w:color w:val="000000"/>
                <w:sz w:val="15"/>
                <w:szCs w:val="15"/>
              </w:rPr>
              <w:t>      Back office services</w:t>
            </w:r>
          </w:p>
        </w:tc>
        <w:tc>
          <w:tcPr>
            <w:tcW w:w="0" w:type="auto"/>
            <w:shd w:val="clear" w:color="auto" w:fill="CCEEFF"/>
            <w:tcMar>
              <w:top w:w="40" w:type="dxa"/>
              <w:left w:w="20" w:type="dxa"/>
              <w:bottom w:w="40" w:type="dxa"/>
              <w:right w:w="0" w:type="dxa"/>
            </w:tcMar>
            <w:vAlign w:val="bottom"/>
          </w:tcPr>
          <w:p w14:paraId="71D3DB53"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3DB54" w14:textId="77777777" w:rsidR="006A3667" w:rsidRDefault="00045F32">
            <w:pPr>
              <w:jc w:val="right"/>
              <w:textAlignment w:val="bottom"/>
            </w:pPr>
            <w:r>
              <w:rPr>
                <w:rFonts w:ascii="Arial" w:eastAsia="宋体" w:hAnsi="Arial" w:cs="Arial"/>
                <w:b/>
                <w:bCs/>
                <w:color w:val="000000"/>
                <w:sz w:val="15"/>
                <w:szCs w:val="15"/>
              </w:rPr>
              <w:t>1,126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B5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B5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DB57"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3DB58" w14:textId="77777777" w:rsidR="006A3667" w:rsidRDefault="00045F32">
            <w:pPr>
              <w:jc w:val="right"/>
              <w:textAlignment w:val="bottom"/>
            </w:pPr>
            <w:r>
              <w:rPr>
                <w:rFonts w:ascii="Arial" w:eastAsia="宋体" w:hAnsi="Arial" w:cs="Arial"/>
                <w:color w:val="000000"/>
                <w:sz w:val="15"/>
                <w:szCs w:val="15"/>
              </w:rPr>
              <w:t>1,289 </w:t>
            </w:r>
          </w:p>
        </w:tc>
        <w:tc>
          <w:tcPr>
            <w:tcW w:w="0" w:type="auto"/>
            <w:shd w:val="clear" w:color="auto" w:fill="CCEEFF"/>
            <w:tcMar>
              <w:top w:w="40" w:type="dxa"/>
              <w:left w:w="0" w:type="dxa"/>
              <w:bottom w:w="40" w:type="dxa"/>
              <w:right w:w="20" w:type="dxa"/>
            </w:tcMar>
            <w:vAlign w:val="bottom"/>
          </w:tcPr>
          <w:p w14:paraId="71D3DB59" w14:textId="77777777" w:rsidR="006A3667" w:rsidRDefault="006A3667">
            <w:pPr>
              <w:jc w:val="right"/>
              <w:rPr>
                <w:rFonts w:ascii="宋体"/>
              </w:rPr>
            </w:pPr>
          </w:p>
        </w:tc>
        <w:tc>
          <w:tcPr>
            <w:tcW w:w="0" w:type="auto"/>
            <w:shd w:val="clear" w:color="auto" w:fill="auto"/>
            <w:vAlign w:val="bottom"/>
          </w:tcPr>
          <w:p w14:paraId="71D3DB5A" w14:textId="77777777" w:rsidR="006A3667" w:rsidRDefault="006A3667">
            <w:pPr>
              <w:rPr>
                <w:rFonts w:ascii="宋体"/>
                <w:vanish/>
              </w:rPr>
            </w:pPr>
          </w:p>
        </w:tc>
        <w:tc>
          <w:tcPr>
            <w:tcW w:w="0" w:type="auto"/>
            <w:shd w:val="clear" w:color="auto" w:fill="auto"/>
            <w:vAlign w:val="bottom"/>
          </w:tcPr>
          <w:p w14:paraId="71D3DB5B"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B5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B5D" w14:textId="77777777" w:rsidR="006A3667" w:rsidRDefault="00045F32">
            <w:pPr>
              <w:jc w:val="right"/>
              <w:textAlignment w:val="bottom"/>
            </w:pPr>
            <w:r>
              <w:rPr>
                <w:rFonts w:ascii="Arial" w:eastAsia="宋体" w:hAnsi="Arial" w:cs="Arial"/>
                <w:color w:val="000000"/>
                <w:sz w:val="15"/>
                <w:szCs w:val="15"/>
              </w:rPr>
              <w:t>(13)</w:t>
            </w:r>
          </w:p>
        </w:tc>
        <w:tc>
          <w:tcPr>
            <w:tcW w:w="0" w:type="auto"/>
            <w:shd w:val="clear" w:color="auto" w:fill="CCEEFF"/>
            <w:tcMar>
              <w:top w:w="40" w:type="dxa"/>
              <w:left w:w="0" w:type="dxa"/>
              <w:bottom w:w="40" w:type="dxa"/>
              <w:right w:w="20" w:type="dxa"/>
            </w:tcMar>
            <w:vAlign w:val="bottom"/>
          </w:tcPr>
          <w:p w14:paraId="71D3DB5E"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71D3DB5F" w14:textId="77777777" w:rsidR="006A3667" w:rsidRDefault="006A3667">
            <w:pPr>
              <w:rPr>
                <w:rFonts w:ascii="宋体"/>
                <w:vanish/>
              </w:rPr>
            </w:pPr>
          </w:p>
        </w:tc>
        <w:tc>
          <w:tcPr>
            <w:tcW w:w="0" w:type="auto"/>
            <w:gridSpan w:val="3"/>
            <w:shd w:val="clear" w:color="auto" w:fill="auto"/>
            <w:vAlign w:val="bottom"/>
          </w:tcPr>
          <w:p w14:paraId="71D3DB60" w14:textId="77777777" w:rsidR="006A3667" w:rsidRDefault="006A3667">
            <w:pPr>
              <w:rPr>
                <w:rFonts w:ascii="宋体"/>
                <w:vanish/>
              </w:rPr>
            </w:pPr>
          </w:p>
        </w:tc>
        <w:tc>
          <w:tcPr>
            <w:tcW w:w="0" w:type="auto"/>
            <w:gridSpan w:val="3"/>
            <w:shd w:val="clear" w:color="auto" w:fill="auto"/>
            <w:vAlign w:val="bottom"/>
          </w:tcPr>
          <w:p w14:paraId="71D3DB61" w14:textId="77777777" w:rsidR="006A3667" w:rsidRDefault="006A3667">
            <w:pPr>
              <w:rPr>
                <w:rFonts w:ascii="宋体"/>
                <w:vanish/>
              </w:rPr>
            </w:pPr>
          </w:p>
        </w:tc>
      </w:tr>
      <w:tr w:rsidR="006A3667" w14:paraId="71D3DB71" w14:textId="77777777">
        <w:tc>
          <w:tcPr>
            <w:tcW w:w="0" w:type="auto"/>
            <w:gridSpan w:val="3"/>
            <w:shd w:val="clear" w:color="auto" w:fill="FFFFFF"/>
            <w:tcMar>
              <w:top w:w="40" w:type="dxa"/>
              <w:left w:w="20" w:type="dxa"/>
              <w:bottom w:w="40" w:type="dxa"/>
              <w:right w:w="20" w:type="dxa"/>
            </w:tcMar>
          </w:tcPr>
          <w:p w14:paraId="71D3DB63" w14:textId="77777777" w:rsidR="006A3667" w:rsidRDefault="00045F32">
            <w:pPr>
              <w:textAlignment w:val="top"/>
            </w:pPr>
            <w:r>
              <w:rPr>
                <w:rFonts w:ascii="Arial" w:eastAsia="宋体" w:hAnsi="Arial" w:cs="Arial"/>
                <w:color w:val="000000"/>
                <w:sz w:val="15"/>
                <w:szCs w:val="15"/>
              </w:rPr>
              <w:t>      Middle office services</w:t>
            </w:r>
          </w:p>
        </w:tc>
        <w:tc>
          <w:tcPr>
            <w:tcW w:w="0" w:type="auto"/>
            <w:gridSpan w:val="2"/>
            <w:shd w:val="clear" w:color="auto" w:fill="FFFFFF"/>
            <w:tcMar>
              <w:top w:w="40" w:type="dxa"/>
              <w:left w:w="20" w:type="dxa"/>
              <w:bottom w:w="40" w:type="dxa"/>
              <w:right w:w="0" w:type="dxa"/>
            </w:tcMar>
            <w:vAlign w:val="bottom"/>
          </w:tcPr>
          <w:p w14:paraId="71D3DB64" w14:textId="77777777" w:rsidR="006A3667" w:rsidRDefault="00045F32">
            <w:pPr>
              <w:jc w:val="right"/>
              <w:textAlignment w:val="bottom"/>
            </w:pPr>
            <w:r>
              <w:rPr>
                <w:rFonts w:ascii="Arial" w:eastAsia="宋体" w:hAnsi="Arial" w:cs="Arial"/>
                <w:b/>
                <w:bCs/>
                <w:color w:val="000000"/>
                <w:sz w:val="15"/>
                <w:szCs w:val="15"/>
              </w:rPr>
              <w:t>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B6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B6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67" w14:textId="77777777" w:rsidR="006A3667" w:rsidRDefault="00045F32">
            <w:pPr>
              <w:jc w:val="right"/>
              <w:textAlignment w:val="bottom"/>
            </w:pPr>
            <w:r>
              <w:rPr>
                <w:rFonts w:ascii="Arial" w:eastAsia="宋体" w:hAnsi="Arial" w:cs="Arial"/>
                <w:color w:val="000000"/>
                <w:sz w:val="15"/>
                <w:szCs w:val="15"/>
              </w:rPr>
              <w:t>102 </w:t>
            </w:r>
          </w:p>
        </w:tc>
        <w:tc>
          <w:tcPr>
            <w:tcW w:w="0" w:type="auto"/>
            <w:shd w:val="clear" w:color="auto" w:fill="FFFFFF"/>
            <w:tcMar>
              <w:top w:w="40" w:type="dxa"/>
              <w:left w:w="0" w:type="dxa"/>
              <w:bottom w:w="40" w:type="dxa"/>
              <w:right w:w="20" w:type="dxa"/>
            </w:tcMar>
            <w:vAlign w:val="bottom"/>
          </w:tcPr>
          <w:p w14:paraId="71D3DB68" w14:textId="77777777" w:rsidR="006A3667" w:rsidRDefault="006A3667">
            <w:pPr>
              <w:jc w:val="right"/>
              <w:rPr>
                <w:rFonts w:ascii="宋体"/>
              </w:rPr>
            </w:pPr>
          </w:p>
        </w:tc>
        <w:tc>
          <w:tcPr>
            <w:tcW w:w="0" w:type="auto"/>
            <w:shd w:val="clear" w:color="auto" w:fill="auto"/>
            <w:vAlign w:val="bottom"/>
          </w:tcPr>
          <w:p w14:paraId="71D3DB69" w14:textId="77777777" w:rsidR="006A3667" w:rsidRDefault="006A3667">
            <w:pPr>
              <w:rPr>
                <w:rFonts w:ascii="宋体"/>
                <w:vanish/>
              </w:rPr>
            </w:pPr>
          </w:p>
        </w:tc>
        <w:tc>
          <w:tcPr>
            <w:tcW w:w="0" w:type="auto"/>
            <w:shd w:val="clear" w:color="auto" w:fill="auto"/>
            <w:vAlign w:val="bottom"/>
          </w:tcPr>
          <w:p w14:paraId="71D3DB6A"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B6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6C" w14:textId="77777777" w:rsidR="006A3667" w:rsidRDefault="00045F32">
            <w:pPr>
              <w:jc w:val="right"/>
              <w:textAlignment w:val="bottom"/>
            </w:pPr>
            <w:r>
              <w:rPr>
                <w:rFonts w:ascii="Arial" w:eastAsia="宋体" w:hAnsi="Arial" w:cs="Arial"/>
                <w:color w:val="000000"/>
                <w:sz w:val="15"/>
                <w:szCs w:val="15"/>
              </w:rPr>
              <w:t>(9)</w:t>
            </w:r>
          </w:p>
        </w:tc>
        <w:tc>
          <w:tcPr>
            <w:tcW w:w="0" w:type="auto"/>
            <w:shd w:val="clear" w:color="auto" w:fill="FFFFFF"/>
            <w:tcMar>
              <w:top w:w="40" w:type="dxa"/>
              <w:left w:w="0" w:type="dxa"/>
              <w:bottom w:w="40" w:type="dxa"/>
              <w:right w:w="20" w:type="dxa"/>
            </w:tcMar>
            <w:vAlign w:val="bottom"/>
          </w:tcPr>
          <w:p w14:paraId="71D3DB6D" w14:textId="77777777" w:rsidR="006A3667" w:rsidRDefault="006A3667">
            <w:pPr>
              <w:jc w:val="right"/>
              <w:rPr>
                <w:rFonts w:ascii="宋体"/>
              </w:rPr>
            </w:pPr>
          </w:p>
        </w:tc>
        <w:tc>
          <w:tcPr>
            <w:tcW w:w="0" w:type="auto"/>
            <w:gridSpan w:val="3"/>
            <w:shd w:val="clear" w:color="auto" w:fill="auto"/>
            <w:vAlign w:val="bottom"/>
          </w:tcPr>
          <w:p w14:paraId="71D3DB6E" w14:textId="77777777" w:rsidR="006A3667" w:rsidRDefault="006A3667">
            <w:pPr>
              <w:rPr>
                <w:rFonts w:ascii="宋体"/>
                <w:vanish/>
              </w:rPr>
            </w:pPr>
          </w:p>
        </w:tc>
        <w:tc>
          <w:tcPr>
            <w:tcW w:w="0" w:type="auto"/>
            <w:gridSpan w:val="3"/>
            <w:shd w:val="clear" w:color="auto" w:fill="auto"/>
            <w:vAlign w:val="bottom"/>
          </w:tcPr>
          <w:p w14:paraId="71D3DB6F" w14:textId="77777777" w:rsidR="006A3667" w:rsidRDefault="006A3667">
            <w:pPr>
              <w:rPr>
                <w:rFonts w:ascii="宋体"/>
                <w:vanish/>
              </w:rPr>
            </w:pPr>
          </w:p>
        </w:tc>
        <w:tc>
          <w:tcPr>
            <w:tcW w:w="0" w:type="auto"/>
            <w:gridSpan w:val="3"/>
            <w:shd w:val="clear" w:color="auto" w:fill="auto"/>
            <w:vAlign w:val="bottom"/>
          </w:tcPr>
          <w:p w14:paraId="71D3DB70" w14:textId="77777777" w:rsidR="006A3667" w:rsidRDefault="006A3667">
            <w:pPr>
              <w:rPr>
                <w:rFonts w:ascii="宋体"/>
                <w:vanish/>
              </w:rPr>
            </w:pPr>
          </w:p>
        </w:tc>
      </w:tr>
      <w:tr w:rsidR="006A3667" w14:paraId="71D3DB80" w14:textId="77777777">
        <w:tc>
          <w:tcPr>
            <w:tcW w:w="0" w:type="auto"/>
            <w:gridSpan w:val="3"/>
            <w:shd w:val="clear" w:color="auto" w:fill="CCEEFF"/>
            <w:tcMar>
              <w:top w:w="40" w:type="dxa"/>
              <w:left w:w="20" w:type="dxa"/>
              <w:bottom w:w="40" w:type="dxa"/>
              <w:right w:w="20" w:type="dxa"/>
            </w:tcMar>
            <w:vAlign w:val="bottom"/>
          </w:tcPr>
          <w:p w14:paraId="71D3DB72" w14:textId="77777777" w:rsidR="006A3667" w:rsidRDefault="00045F32">
            <w:pPr>
              <w:textAlignment w:val="bottom"/>
            </w:pPr>
            <w:r>
              <w:rPr>
                <w:rFonts w:ascii="Arial" w:eastAsia="宋体" w:hAnsi="Arial" w:cs="Arial"/>
                <w:color w:val="000000"/>
                <w:sz w:val="15"/>
                <w:szCs w:val="15"/>
              </w:rPr>
              <w:t>Servicing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B73" w14:textId="77777777" w:rsidR="006A3667" w:rsidRDefault="00045F32">
            <w:pPr>
              <w:jc w:val="right"/>
              <w:textAlignment w:val="bottom"/>
            </w:pPr>
            <w:r>
              <w:rPr>
                <w:rFonts w:ascii="Arial" w:eastAsia="宋体" w:hAnsi="Arial" w:cs="Arial"/>
                <w:b/>
                <w:bCs/>
                <w:color w:val="000000"/>
                <w:sz w:val="15"/>
                <w:szCs w:val="15"/>
              </w:rPr>
              <w:t>1,219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B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B7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B76" w14:textId="77777777" w:rsidR="006A3667" w:rsidRDefault="00045F32">
            <w:pPr>
              <w:jc w:val="right"/>
              <w:textAlignment w:val="bottom"/>
            </w:pPr>
            <w:r>
              <w:rPr>
                <w:rFonts w:ascii="Arial" w:eastAsia="宋体" w:hAnsi="Arial" w:cs="Arial"/>
                <w:color w:val="000000"/>
                <w:sz w:val="15"/>
                <w:szCs w:val="15"/>
              </w:rPr>
              <w:t>1,391 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B77" w14:textId="77777777" w:rsidR="006A3667" w:rsidRDefault="006A3667">
            <w:pPr>
              <w:jc w:val="right"/>
              <w:rPr>
                <w:rFonts w:ascii="宋体"/>
              </w:rPr>
            </w:pPr>
          </w:p>
        </w:tc>
        <w:tc>
          <w:tcPr>
            <w:tcW w:w="0" w:type="auto"/>
            <w:shd w:val="clear" w:color="auto" w:fill="auto"/>
            <w:vAlign w:val="bottom"/>
          </w:tcPr>
          <w:p w14:paraId="71D3DB78" w14:textId="77777777" w:rsidR="006A3667" w:rsidRDefault="006A3667">
            <w:pPr>
              <w:rPr>
                <w:rFonts w:ascii="宋体"/>
                <w:vanish/>
              </w:rPr>
            </w:pPr>
          </w:p>
        </w:tc>
        <w:tc>
          <w:tcPr>
            <w:tcW w:w="0" w:type="auto"/>
            <w:shd w:val="clear" w:color="auto" w:fill="auto"/>
            <w:vAlign w:val="bottom"/>
          </w:tcPr>
          <w:p w14:paraId="71D3DB79"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B7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B7B" w14:textId="77777777" w:rsidR="006A3667" w:rsidRDefault="00045F32">
            <w:pPr>
              <w:jc w:val="right"/>
              <w:textAlignment w:val="bottom"/>
            </w:pPr>
            <w:r>
              <w:rPr>
                <w:rFonts w:ascii="Arial" w:eastAsia="宋体" w:hAnsi="Arial" w:cs="Arial"/>
                <w:color w:val="000000"/>
                <w:sz w:val="15"/>
                <w:szCs w:val="15"/>
              </w:rPr>
              <w:t>(12)</w:t>
            </w:r>
          </w:p>
        </w:tc>
        <w:tc>
          <w:tcPr>
            <w:tcW w:w="0" w:type="auto"/>
            <w:shd w:val="clear" w:color="auto" w:fill="CCEEFF"/>
            <w:tcMar>
              <w:top w:w="40" w:type="dxa"/>
              <w:left w:w="0" w:type="dxa"/>
              <w:bottom w:w="40" w:type="dxa"/>
              <w:right w:w="20" w:type="dxa"/>
            </w:tcMar>
            <w:vAlign w:val="bottom"/>
          </w:tcPr>
          <w:p w14:paraId="71D3DB7C" w14:textId="77777777" w:rsidR="006A3667" w:rsidRDefault="006A3667">
            <w:pPr>
              <w:jc w:val="right"/>
              <w:rPr>
                <w:rFonts w:ascii="宋体"/>
              </w:rPr>
            </w:pPr>
          </w:p>
        </w:tc>
        <w:tc>
          <w:tcPr>
            <w:tcW w:w="0" w:type="auto"/>
            <w:gridSpan w:val="3"/>
            <w:shd w:val="clear" w:color="auto" w:fill="auto"/>
            <w:vAlign w:val="bottom"/>
          </w:tcPr>
          <w:p w14:paraId="71D3DB7D" w14:textId="77777777" w:rsidR="006A3667" w:rsidRDefault="006A3667">
            <w:pPr>
              <w:rPr>
                <w:rFonts w:ascii="宋体"/>
                <w:vanish/>
              </w:rPr>
            </w:pPr>
          </w:p>
        </w:tc>
        <w:tc>
          <w:tcPr>
            <w:tcW w:w="0" w:type="auto"/>
            <w:gridSpan w:val="3"/>
            <w:shd w:val="clear" w:color="auto" w:fill="auto"/>
            <w:vAlign w:val="bottom"/>
          </w:tcPr>
          <w:p w14:paraId="71D3DB7E" w14:textId="77777777" w:rsidR="006A3667" w:rsidRDefault="006A3667">
            <w:pPr>
              <w:rPr>
                <w:rFonts w:ascii="宋体"/>
                <w:vanish/>
              </w:rPr>
            </w:pPr>
          </w:p>
        </w:tc>
        <w:tc>
          <w:tcPr>
            <w:tcW w:w="0" w:type="auto"/>
            <w:gridSpan w:val="3"/>
            <w:shd w:val="clear" w:color="auto" w:fill="auto"/>
            <w:vAlign w:val="bottom"/>
          </w:tcPr>
          <w:p w14:paraId="71D3DB7F" w14:textId="77777777" w:rsidR="006A3667" w:rsidRDefault="006A3667">
            <w:pPr>
              <w:rPr>
                <w:rFonts w:ascii="宋体"/>
                <w:vanish/>
              </w:rPr>
            </w:pPr>
          </w:p>
        </w:tc>
      </w:tr>
      <w:tr w:rsidR="006A3667" w14:paraId="71D3DB8F" w14:textId="77777777">
        <w:tc>
          <w:tcPr>
            <w:tcW w:w="0" w:type="auto"/>
            <w:gridSpan w:val="3"/>
            <w:shd w:val="clear" w:color="auto" w:fill="FFFFFF"/>
            <w:tcMar>
              <w:top w:w="40" w:type="dxa"/>
              <w:left w:w="140" w:type="dxa"/>
              <w:bottom w:w="40" w:type="dxa"/>
              <w:right w:w="20" w:type="dxa"/>
            </w:tcMar>
            <w:vAlign w:val="bottom"/>
          </w:tcPr>
          <w:p w14:paraId="71D3DB81" w14:textId="77777777" w:rsidR="006A3667" w:rsidRDefault="00045F32">
            <w:pPr>
              <w:textAlignment w:val="bottom"/>
            </w:pPr>
            <w:r>
              <w:rPr>
                <w:rFonts w:ascii="Arial" w:eastAsia="宋体" w:hAnsi="Arial" w:cs="Arial"/>
                <w:color w:val="000000"/>
                <w:sz w:val="15"/>
                <w:szCs w:val="15"/>
              </w:rPr>
              <w:t>Management fees</w:t>
            </w:r>
          </w:p>
        </w:tc>
        <w:tc>
          <w:tcPr>
            <w:tcW w:w="0" w:type="auto"/>
            <w:gridSpan w:val="2"/>
            <w:shd w:val="clear" w:color="auto" w:fill="FFFFFF"/>
            <w:tcMar>
              <w:top w:w="40" w:type="dxa"/>
              <w:left w:w="20" w:type="dxa"/>
              <w:bottom w:w="40" w:type="dxa"/>
              <w:right w:w="0" w:type="dxa"/>
            </w:tcMar>
            <w:vAlign w:val="bottom"/>
          </w:tcPr>
          <w:p w14:paraId="71D3DB82" w14:textId="77777777" w:rsidR="006A3667" w:rsidRDefault="00045F32">
            <w:pPr>
              <w:jc w:val="right"/>
              <w:textAlignment w:val="bottom"/>
            </w:pPr>
            <w:r>
              <w:rPr>
                <w:rFonts w:ascii="Arial" w:eastAsia="宋体" w:hAnsi="Arial" w:cs="Arial"/>
                <w:b/>
                <w:bCs/>
                <w:color w:val="000000"/>
                <w:sz w:val="15"/>
                <w:szCs w:val="15"/>
              </w:rPr>
              <w:t>472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B8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B8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85" w14:textId="77777777" w:rsidR="006A3667" w:rsidRDefault="00045F32">
            <w:pPr>
              <w:jc w:val="right"/>
              <w:textAlignment w:val="bottom"/>
            </w:pPr>
            <w:r>
              <w:rPr>
                <w:rFonts w:ascii="Arial" w:eastAsia="宋体" w:hAnsi="Arial" w:cs="Arial"/>
                <w:color w:val="000000"/>
                <w:sz w:val="15"/>
                <w:szCs w:val="15"/>
              </w:rPr>
              <w:t>526 </w:t>
            </w:r>
          </w:p>
        </w:tc>
        <w:tc>
          <w:tcPr>
            <w:tcW w:w="0" w:type="auto"/>
            <w:shd w:val="clear" w:color="auto" w:fill="FFFFFF"/>
            <w:tcMar>
              <w:top w:w="40" w:type="dxa"/>
              <w:left w:w="0" w:type="dxa"/>
              <w:bottom w:w="40" w:type="dxa"/>
              <w:right w:w="20" w:type="dxa"/>
            </w:tcMar>
            <w:vAlign w:val="bottom"/>
          </w:tcPr>
          <w:p w14:paraId="71D3DB86" w14:textId="77777777" w:rsidR="006A3667" w:rsidRDefault="006A3667">
            <w:pPr>
              <w:jc w:val="right"/>
              <w:rPr>
                <w:rFonts w:ascii="宋体"/>
              </w:rPr>
            </w:pPr>
          </w:p>
        </w:tc>
        <w:tc>
          <w:tcPr>
            <w:tcW w:w="0" w:type="auto"/>
            <w:shd w:val="clear" w:color="auto" w:fill="auto"/>
            <w:vAlign w:val="bottom"/>
          </w:tcPr>
          <w:p w14:paraId="71D3DB87" w14:textId="77777777" w:rsidR="006A3667" w:rsidRDefault="006A3667">
            <w:pPr>
              <w:rPr>
                <w:rFonts w:ascii="宋体"/>
                <w:vanish/>
              </w:rPr>
            </w:pPr>
          </w:p>
        </w:tc>
        <w:tc>
          <w:tcPr>
            <w:tcW w:w="0" w:type="auto"/>
            <w:shd w:val="clear" w:color="auto" w:fill="auto"/>
            <w:vAlign w:val="bottom"/>
          </w:tcPr>
          <w:p w14:paraId="71D3DB88"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B8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8A" w14:textId="77777777" w:rsidR="006A3667" w:rsidRDefault="00045F32">
            <w:pPr>
              <w:jc w:val="right"/>
              <w:textAlignment w:val="bottom"/>
            </w:pPr>
            <w:r>
              <w:rPr>
                <w:rFonts w:ascii="Arial" w:eastAsia="宋体" w:hAnsi="Arial" w:cs="Arial"/>
                <w:color w:val="000000"/>
                <w:sz w:val="15"/>
                <w:szCs w:val="15"/>
              </w:rPr>
              <w:t>(10)</w:t>
            </w:r>
          </w:p>
        </w:tc>
        <w:tc>
          <w:tcPr>
            <w:tcW w:w="0" w:type="auto"/>
            <w:shd w:val="clear" w:color="auto" w:fill="FFFFFF"/>
            <w:tcMar>
              <w:top w:w="40" w:type="dxa"/>
              <w:left w:w="0" w:type="dxa"/>
              <w:bottom w:w="40" w:type="dxa"/>
              <w:right w:w="20" w:type="dxa"/>
            </w:tcMar>
            <w:vAlign w:val="bottom"/>
          </w:tcPr>
          <w:p w14:paraId="71D3DB8B" w14:textId="77777777" w:rsidR="006A3667" w:rsidRDefault="006A3667">
            <w:pPr>
              <w:jc w:val="right"/>
              <w:rPr>
                <w:rFonts w:ascii="宋体"/>
              </w:rPr>
            </w:pPr>
          </w:p>
        </w:tc>
        <w:tc>
          <w:tcPr>
            <w:tcW w:w="0" w:type="auto"/>
            <w:gridSpan w:val="3"/>
            <w:shd w:val="clear" w:color="auto" w:fill="auto"/>
            <w:vAlign w:val="bottom"/>
          </w:tcPr>
          <w:p w14:paraId="71D3DB8C" w14:textId="77777777" w:rsidR="006A3667" w:rsidRDefault="006A3667">
            <w:pPr>
              <w:rPr>
                <w:rFonts w:ascii="宋体"/>
                <w:vanish/>
              </w:rPr>
            </w:pPr>
          </w:p>
        </w:tc>
        <w:tc>
          <w:tcPr>
            <w:tcW w:w="0" w:type="auto"/>
            <w:gridSpan w:val="3"/>
            <w:shd w:val="clear" w:color="auto" w:fill="auto"/>
            <w:vAlign w:val="bottom"/>
          </w:tcPr>
          <w:p w14:paraId="71D3DB8D" w14:textId="77777777" w:rsidR="006A3667" w:rsidRDefault="006A3667">
            <w:pPr>
              <w:rPr>
                <w:rFonts w:ascii="宋体"/>
                <w:vanish/>
              </w:rPr>
            </w:pPr>
          </w:p>
        </w:tc>
        <w:tc>
          <w:tcPr>
            <w:tcW w:w="0" w:type="auto"/>
            <w:gridSpan w:val="3"/>
            <w:shd w:val="clear" w:color="auto" w:fill="auto"/>
            <w:vAlign w:val="bottom"/>
          </w:tcPr>
          <w:p w14:paraId="71D3DB8E" w14:textId="77777777" w:rsidR="006A3667" w:rsidRDefault="006A3667">
            <w:pPr>
              <w:rPr>
                <w:rFonts w:ascii="宋体"/>
                <w:vanish/>
              </w:rPr>
            </w:pPr>
          </w:p>
        </w:tc>
      </w:tr>
      <w:tr w:rsidR="006A3667" w14:paraId="71D3DB9E" w14:textId="77777777">
        <w:tc>
          <w:tcPr>
            <w:tcW w:w="0" w:type="auto"/>
            <w:gridSpan w:val="3"/>
            <w:shd w:val="clear" w:color="auto" w:fill="CCEEFF"/>
            <w:tcMar>
              <w:top w:w="40" w:type="dxa"/>
              <w:left w:w="140" w:type="dxa"/>
              <w:bottom w:w="40" w:type="dxa"/>
              <w:right w:w="20" w:type="dxa"/>
            </w:tcMar>
            <w:vAlign w:val="bottom"/>
          </w:tcPr>
          <w:p w14:paraId="71D3DB90" w14:textId="77777777" w:rsidR="006A3667" w:rsidRDefault="00045F32">
            <w:pPr>
              <w:textAlignment w:val="bottom"/>
            </w:pPr>
            <w:r>
              <w:rPr>
                <w:rFonts w:ascii="Arial" w:eastAsia="宋体" w:hAnsi="Arial" w:cs="Arial"/>
                <w:color w:val="000000"/>
                <w:sz w:val="15"/>
                <w:szCs w:val="15"/>
              </w:rPr>
              <w:t>Foreign exchange trading services</w:t>
            </w:r>
          </w:p>
        </w:tc>
        <w:tc>
          <w:tcPr>
            <w:tcW w:w="0" w:type="auto"/>
            <w:gridSpan w:val="2"/>
            <w:shd w:val="clear" w:color="auto" w:fill="CCEEFF"/>
            <w:tcMar>
              <w:top w:w="40" w:type="dxa"/>
              <w:left w:w="20" w:type="dxa"/>
              <w:bottom w:w="40" w:type="dxa"/>
              <w:right w:w="0" w:type="dxa"/>
            </w:tcMar>
            <w:vAlign w:val="bottom"/>
          </w:tcPr>
          <w:p w14:paraId="71D3DB91" w14:textId="77777777" w:rsidR="006A3667" w:rsidRDefault="00045F32">
            <w:pPr>
              <w:jc w:val="right"/>
              <w:textAlignment w:val="bottom"/>
            </w:pPr>
            <w:r>
              <w:rPr>
                <w:rFonts w:ascii="Arial" w:eastAsia="宋体" w:hAnsi="Arial" w:cs="Arial"/>
                <w:b/>
                <w:bCs/>
                <w:color w:val="000000"/>
                <w:sz w:val="15"/>
                <w:szCs w:val="15"/>
              </w:rPr>
              <w:t>319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B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B9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B94" w14:textId="77777777" w:rsidR="006A3667" w:rsidRDefault="00045F32">
            <w:pPr>
              <w:jc w:val="right"/>
              <w:textAlignment w:val="bottom"/>
            </w:pPr>
            <w:r>
              <w:rPr>
                <w:rFonts w:ascii="Arial" w:eastAsia="宋体" w:hAnsi="Arial" w:cs="Arial"/>
                <w:color w:val="000000"/>
                <w:sz w:val="15"/>
                <w:szCs w:val="15"/>
              </w:rPr>
              <w:t>279 </w:t>
            </w:r>
          </w:p>
        </w:tc>
        <w:tc>
          <w:tcPr>
            <w:tcW w:w="0" w:type="auto"/>
            <w:shd w:val="clear" w:color="auto" w:fill="CCEEFF"/>
            <w:tcMar>
              <w:top w:w="40" w:type="dxa"/>
              <w:left w:w="0" w:type="dxa"/>
              <w:bottom w:w="40" w:type="dxa"/>
              <w:right w:w="20" w:type="dxa"/>
            </w:tcMar>
            <w:vAlign w:val="bottom"/>
          </w:tcPr>
          <w:p w14:paraId="71D3DB95" w14:textId="77777777" w:rsidR="006A3667" w:rsidRDefault="006A3667">
            <w:pPr>
              <w:jc w:val="right"/>
              <w:rPr>
                <w:rFonts w:ascii="宋体"/>
              </w:rPr>
            </w:pPr>
          </w:p>
        </w:tc>
        <w:tc>
          <w:tcPr>
            <w:tcW w:w="0" w:type="auto"/>
            <w:shd w:val="clear" w:color="auto" w:fill="auto"/>
            <w:vAlign w:val="bottom"/>
          </w:tcPr>
          <w:p w14:paraId="71D3DB96" w14:textId="77777777" w:rsidR="006A3667" w:rsidRDefault="006A3667">
            <w:pPr>
              <w:rPr>
                <w:rFonts w:ascii="宋体"/>
                <w:vanish/>
              </w:rPr>
            </w:pPr>
          </w:p>
        </w:tc>
        <w:tc>
          <w:tcPr>
            <w:tcW w:w="0" w:type="auto"/>
            <w:shd w:val="clear" w:color="auto" w:fill="auto"/>
            <w:vAlign w:val="bottom"/>
          </w:tcPr>
          <w:p w14:paraId="71D3DB97"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B9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B99" w14:textId="77777777" w:rsidR="006A3667" w:rsidRDefault="00045F32">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71D3DB9A" w14:textId="77777777" w:rsidR="006A3667" w:rsidRDefault="006A3667">
            <w:pPr>
              <w:jc w:val="right"/>
              <w:rPr>
                <w:rFonts w:ascii="宋体"/>
              </w:rPr>
            </w:pPr>
          </w:p>
        </w:tc>
        <w:tc>
          <w:tcPr>
            <w:tcW w:w="0" w:type="auto"/>
            <w:gridSpan w:val="3"/>
            <w:shd w:val="clear" w:color="auto" w:fill="auto"/>
            <w:vAlign w:val="bottom"/>
          </w:tcPr>
          <w:p w14:paraId="71D3DB9B" w14:textId="77777777" w:rsidR="006A3667" w:rsidRDefault="006A3667">
            <w:pPr>
              <w:rPr>
                <w:rFonts w:ascii="宋体"/>
                <w:vanish/>
              </w:rPr>
            </w:pPr>
          </w:p>
        </w:tc>
        <w:tc>
          <w:tcPr>
            <w:tcW w:w="0" w:type="auto"/>
            <w:gridSpan w:val="3"/>
            <w:shd w:val="clear" w:color="auto" w:fill="auto"/>
            <w:vAlign w:val="bottom"/>
          </w:tcPr>
          <w:p w14:paraId="71D3DB9C" w14:textId="77777777" w:rsidR="006A3667" w:rsidRDefault="006A3667">
            <w:pPr>
              <w:rPr>
                <w:rFonts w:ascii="宋体"/>
                <w:vanish/>
              </w:rPr>
            </w:pPr>
          </w:p>
        </w:tc>
        <w:tc>
          <w:tcPr>
            <w:tcW w:w="0" w:type="auto"/>
            <w:gridSpan w:val="3"/>
            <w:shd w:val="clear" w:color="auto" w:fill="auto"/>
            <w:vAlign w:val="bottom"/>
          </w:tcPr>
          <w:p w14:paraId="71D3DB9D" w14:textId="77777777" w:rsidR="006A3667" w:rsidRDefault="006A3667">
            <w:pPr>
              <w:rPr>
                <w:rFonts w:ascii="宋体"/>
                <w:vanish/>
              </w:rPr>
            </w:pPr>
          </w:p>
        </w:tc>
      </w:tr>
      <w:tr w:rsidR="006A3667" w14:paraId="71D3DBAD" w14:textId="77777777">
        <w:tc>
          <w:tcPr>
            <w:tcW w:w="0" w:type="auto"/>
            <w:gridSpan w:val="3"/>
            <w:shd w:val="clear" w:color="auto" w:fill="FFFFFF"/>
            <w:tcMar>
              <w:top w:w="40" w:type="dxa"/>
              <w:left w:w="140" w:type="dxa"/>
              <w:bottom w:w="40" w:type="dxa"/>
              <w:right w:w="20" w:type="dxa"/>
            </w:tcMar>
            <w:vAlign w:val="bottom"/>
          </w:tcPr>
          <w:p w14:paraId="71D3DB9F" w14:textId="77777777" w:rsidR="006A3667" w:rsidRDefault="00045F32">
            <w:pPr>
              <w:textAlignment w:val="bottom"/>
            </w:pPr>
            <w:r>
              <w:rPr>
                <w:rFonts w:ascii="Arial" w:eastAsia="宋体" w:hAnsi="Arial" w:cs="Arial"/>
                <w:color w:val="000000"/>
                <w:sz w:val="15"/>
                <w:szCs w:val="15"/>
              </w:rPr>
              <w:t>Securities finance</w:t>
            </w:r>
          </w:p>
        </w:tc>
        <w:tc>
          <w:tcPr>
            <w:tcW w:w="0" w:type="auto"/>
            <w:gridSpan w:val="2"/>
            <w:shd w:val="clear" w:color="auto" w:fill="FFFFFF"/>
            <w:tcMar>
              <w:top w:w="40" w:type="dxa"/>
              <w:left w:w="20" w:type="dxa"/>
              <w:bottom w:w="40" w:type="dxa"/>
              <w:right w:w="0" w:type="dxa"/>
            </w:tcMar>
            <w:vAlign w:val="bottom"/>
          </w:tcPr>
          <w:p w14:paraId="71D3DBA0" w14:textId="77777777" w:rsidR="006A3667" w:rsidRDefault="00045F32">
            <w:pPr>
              <w:jc w:val="right"/>
              <w:textAlignment w:val="bottom"/>
            </w:pPr>
            <w:r>
              <w:rPr>
                <w:rFonts w:ascii="Arial" w:eastAsia="宋体" w:hAnsi="Arial" w:cs="Arial"/>
                <w:b/>
                <w:bCs/>
                <w:color w:val="000000"/>
                <w:sz w:val="15"/>
                <w:szCs w:val="15"/>
              </w:rPr>
              <w:t>110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BA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BA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A3" w14:textId="77777777" w:rsidR="006A3667" w:rsidRDefault="00045F32">
            <w:pPr>
              <w:jc w:val="right"/>
              <w:textAlignment w:val="bottom"/>
            </w:pPr>
            <w:r>
              <w:rPr>
                <w:rFonts w:ascii="Arial" w:eastAsia="宋体" w:hAnsi="Arial" w:cs="Arial"/>
                <w:color w:val="000000"/>
                <w:sz w:val="15"/>
                <w:szCs w:val="15"/>
              </w:rPr>
              <w:t>106 </w:t>
            </w:r>
          </w:p>
        </w:tc>
        <w:tc>
          <w:tcPr>
            <w:tcW w:w="0" w:type="auto"/>
            <w:shd w:val="clear" w:color="auto" w:fill="FFFFFF"/>
            <w:tcMar>
              <w:top w:w="40" w:type="dxa"/>
              <w:left w:w="0" w:type="dxa"/>
              <w:bottom w:w="40" w:type="dxa"/>
              <w:right w:w="20" w:type="dxa"/>
            </w:tcMar>
            <w:vAlign w:val="bottom"/>
          </w:tcPr>
          <w:p w14:paraId="71D3DBA4" w14:textId="77777777" w:rsidR="006A3667" w:rsidRDefault="006A3667">
            <w:pPr>
              <w:jc w:val="right"/>
              <w:rPr>
                <w:rFonts w:ascii="宋体"/>
              </w:rPr>
            </w:pPr>
          </w:p>
        </w:tc>
        <w:tc>
          <w:tcPr>
            <w:tcW w:w="0" w:type="auto"/>
            <w:shd w:val="clear" w:color="auto" w:fill="auto"/>
            <w:vAlign w:val="bottom"/>
          </w:tcPr>
          <w:p w14:paraId="71D3DBA5" w14:textId="77777777" w:rsidR="006A3667" w:rsidRDefault="006A3667">
            <w:pPr>
              <w:rPr>
                <w:rFonts w:ascii="宋体"/>
                <w:vanish/>
              </w:rPr>
            </w:pPr>
          </w:p>
        </w:tc>
        <w:tc>
          <w:tcPr>
            <w:tcW w:w="0" w:type="auto"/>
            <w:shd w:val="clear" w:color="auto" w:fill="auto"/>
            <w:vAlign w:val="bottom"/>
          </w:tcPr>
          <w:p w14:paraId="71D3DBA6"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BA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A8" w14:textId="77777777" w:rsidR="006A3667" w:rsidRDefault="00045F32">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71D3DBA9" w14:textId="77777777" w:rsidR="006A3667" w:rsidRDefault="006A3667">
            <w:pPr>
              <w:jc w:val="right"/>
              <w:rPr>
                <w:rFonts w:ascii="宋体"/>
              </w:rPr>
            </w:pPr>
          </w:p>
        </w:tc>
        <w:tc>
          <w:tcPr>
            <w:tcW w:w="0" w:type="auto"/>
            <w:gridSpan w:val="3"/>
            <w:shd w:val="clear" w:color="auto" w:fill="auto"/>
            <w:vAlign w:val="bottom"/>
          </w:tcPr>
          <w:p w14:paraId="71D3DBAA" w14:textId="77777777" w:rsidR="006A3667" w:rsidRDefault="006A3667">
            <w:pPr>
              <w:rPr>
                <w:rFonts w:ascii="宋体"/>
                <w:vanish/>
              </w:rPr>
            </w:pPr>
          </w:p>
        </w:tc>
        <w:tc>
          <w:tcPr>
            <w:tcW w:w="0" w:type="auto"/>
            <w:gridSpan w:val="3"/>
            <w:shd w:val="clear" w:color="auto" w:fill="auto"/>
            <w:vAlign w:val="bottom"/>
          </w:tcPr>
          <w:p w14:paraId="71D3DBAB" w14:textId="77777777" w:rsidR="006A3667" w:rsidRDefault="006A3667">
            <w:pPr>
              <w:rPr>
                <w:rFonts w:ascii="宋体"/>
                <w:vanish/>
              </w:rPr>
            </w:pPr>
          </w:p>
        </w:tc>
        <w:tc>
          <w:tcPr>
            <w:tcW w:w="0" w:type="auto"/>
            <w:gridSpan w:val="3"/>
            <w:shd w:val="clear" w:color="auto" w:fill="auto"/>
            <w:vAlign w:val="bottom"/>
          </w:tcPr>
          <w:p w14:paraId="71D3DBAC" w14:textId="77777777" w:rsidR="006A3667" w:rsidRDefault="006A3667">
            <w:pPr>
              <w:rPr>
                <w:rFonts w:ascii="宋体"/>
                <w:vanish/>
              </w:rPr>
            </w:pPr>
          </w:p>
        </w:tc>
      </w:tr>
      <w:tr w:rsidR="006A3667" w14:paraId="71D3DBBC" w14:textId="77777777">
        <w:tc>
          <w:tcPr>
            <w:tcW w:w="0" w:type="auto"/>
            <w:gridSpan w:val="3"/>
            <w:shd w:val="clear" w:color="auto" w:fill="CCEEFF"/>
            <w:tcMar>
              <w:top w:w="40" w:type="dxa"/>
              <w:left w:w="20" w:type="dxa"/>
              <w:bottom w:w="40" w:type="dxa"/>
              <w:right w:w="20" w:type="dxa"/>
            </w:tcMar>
          </w:tcPr>
          <w:p w14:paraId="71D3DBAE" w14:textId="77777777" w:rsidR="006A3667" w:rsidRDefault="00045F32">
            <w:pPr>
              <w:textAlignment w:val="top"/>
            </w:pPr>
            <w:r>
              <w:rPr>
                <w:rFonts w:ascii="Arial" w:eastAsia="宋体" w:hAnsi="Arial" w:cs="Arial"/>
                <w:color w:val="000000"/>
                <w:sz w:val="15"/>
                <w:szCs w:val="15"/>
              </w:rPr>
              <w:t>      Front office software and data</w:t>
            </w:r>
          </w:p>
        </w:tc>
        <w:tc>
          <w:tcPr>
            <w:tcW w:w="0" w:type="auto"/>
            <w:gridSpan w:val="2"/>
            <w:shd w:val="clear" w:color="auto" w:fill="CCEEFF"/>
            <w:tcMar>
              <w:top w:w="40" w:type="dxa"/>
              <w:left w:w="20" w:type="dxa"/>
              <w:bottom w:w="40" w:type="dxa"/>
              <w:right w:w="0" w:type="dxa"/>
            </w:tcMar>
            <w:vAlign w:val="bottom"/>
          </w:tcPr>
          <w:p w14:paraId="71D3DBAF" w14:textId="77777777" w:rsidR="006A3667" w:rsidRDefault="00045F32">
            <w:pPr>
              <w:jc w:val="right"/>
              <w:textAlignment w:val="bottom"/>
            </w:pPr>
            <w:r>
              <w:rPr>
                <w:rFonts w:ascii="Arial" w:eastAsia="宋体" w:hAnsi="Arial" w:cs="Arial"/>
                <w:b/>
                <w:bCs/>
                <w:color w:val="000000"/>
                <w:sz w:val="15"/>
                <w:szCs w:val="15"/>
              </w:rPr>
              <w:t>127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BB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BB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BB2" w14:textId="77777777" w:rsidR="006A3667" w:rsidRDefault="00045F32">
            <w:pPr>
              <w:jc w:val="right"/>
              <w:textAlignment w:val="bottom"/>
            </w:pPr>
            <w:r>
              <w:rPr>
                <w:rFonts w:ascii="Arial" w:eastAsia="宋体" w:hAnsi="Arial" w:cs="Arial"/>
                <w:color w:val="000000"/>
                <w:sz w:val="15"/>
                <w:szCs w:val="15"/>
              </w:rPr>
              <w:t>116 </w:t>
            </w:r>
          </w:p>
        </w:tc>
        <w:tc>
          <w:tcPr>
            <w:tcW w:w="0" w:type="auto"/>
            <w:shd w:val="clear" w:color="auto" w:fill="CCEEFF"/>
            <w:tcMar>
              <w:top w:w="40" w:type="dxa"/>
              <w:left w:w="0" w:type="dxa"/>
              <w:bottom w:w="40" w:type="dxa"/>
              <w:right w:w="20" w:type="dxa"/>
            </w:tcMar>
            <w:vAlign w:val="bottom"/>
          </w:tcPr>
          <w:p w14:paraId="71D3DBB3" w14:textId="77777777" w:rsidR="006A3667" w:rsidRDefault="006A3667">
            <w:pPr>
              <w:jc w:val="right"/>
              <w:rPr>
                <w:rFonts w:ascii="宋体"/>
              </w:rPr>
            </w:pPr>
          </w:p>
        </w:tc>
        <w:tc>
          <w:tcPr>
            <w:tcW w:w="0" w:type="auto"/>
            <w:shd w:val="clear" w:color="auto" w:fill="auto"/>
            <w:vAlign w:val="bottom"/>
          </w:tcPr>
          <w:p w14:paraId="71D3DBB4" w14:textId="77777777" w:rsidR="006A3667" w:rsidRDefault="006A3667">
            <w:pPr>
              <w:rPr>
                <w:rFonts w:ascii="宋体"/>
                <w:vanish/>
              </w:rPr>
            </w:pPr>
          </w:p>
        </w:tc>
        <w:tc>
          <w:tcPr>
            <w:tcW w:w="0" w:type="auto"/>
            <w:shd w:val="clear" w:color="auto" w:fill="auto"/>
            <w:vAlign w:val="bottom"/>
          </w:tcPr>
          <w:p w14:paraId="71D3DBB5"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BB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BB7" w14:textId="77777777" w:rsidR="006A3667" w:rsidRDefault="00045F32">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71D3DBB8" w14:textId="77777777" w:rsidR="006A3667" w:rsidRDefault="006A3667">
            <w:pPr>
              <w:jc w:val="right"/>
              <w:rPr>
                <w:rFonts w:ascii="宋体"/>
              </w:rPr>
            </w:pPr>
          </w:p>
        </w:tc>
        <w:tc>
          <w:tcPr>
            <w:tcW w:w="0" w:type="auto"/>
            <w:gridSpan w:val="3"/>
            <w:shd w:val="clear" w:color="auto" w:fill="auto"/>
            <w:vAlign w:val="bottom"/>
          </w:tcPr>
          <w:p w14:paraId="71D3DBB9" w14:textId="77777777" w:rsidR="006A3667" w:rsidRDefault="006A3667">
            <w:pPr>
              <w:rPr>
                <w:rFonts w:ascii="宋体"/>
                <w:vanish/>
              </w:rPr>
            </w:pPr>
          </w:p>
        </w:tc>
        <w:tc>
          <w:tcPr>
            <w:tcW w:w="0" w:type="auto"/>
            <w:gridSpan w:val="3"/>
            <w:shd w:val="clear" w:color="auto" w:fill="auto"/>
            <w:vAlign w:val="bottom"/>
          </w:tcPr>
          <w:p w14:paraId="71D3DBBA" w14:textId="77777777" w:rsidR="006A3667" w:rsidRDefault="006A3667">
            <w:pPr>
              <w:rPr>
                <w:rFonts w:ascii="宋体"/>
                <w:vanish/>
              </w:rPr>
            </w:pPr>
          </w:p>
        </w:tc>
        <w:tc>
          <w:tcPr>
            <w:tcW w:w="0" w:type="auto"/>
            <w:gridSpan w:val="3"/>
            <w:shd w:val="clear" w:color="auto" w:fill="auto"/>
            <w:vAlign w:val="bottom"/>
          </w:tcPr>
          <w:p w14:paraId="71D3DBBB" w14:textId="77777777" w:rsidR="006A3667" w:rsidRDefault="006A3667">
            <w:pPr>
              <w:rPr>
                <w:rFonts w:ascii="宋体"/>
                <w:vanish/>
              </w:rPr>
            </w:pPr>
          </w:p>
        </w:tc>
      </w:tr>
      <w:tr w:rsidR="006A3667" w14:paraId="71D3DBCB" w14:textId="77777777">
        <w:tc>
          <w:tcPr>
            <w:tcW w:w="0" w:type="auto"/>
            <w:gridSpan w:val="3"/>
            <w:shd w:val="clear" w:color="auto" w:fill="FFFFFF"/>
            <w:tcMar>
              <w:top w:w="40" w:type="dxa"/>
              <w:left w:w="20" w:type="dxa"/>
              <w:bottom w:w="40" w:type="dxa"/>
              <w:right w:w="20" w:type="dxa"/>
            </w:tcMar>
          </w:tcPr>
          <w:p w14:paraId="71D3DBBD" w14:textId="77777777" w:rsidR="006A3667" w:rsidRDefault="00045F32">
            <w:pPr>
              <w:textAlignment w:val="top"/>
            </w:pPr>
            <w:r>
              <w:rPr>
                <w:rFonts w:ascii="Arial" w:eastAsia="宋体" w:hAnsi="Arial" w:cs="Arial"/>
                <w:color w:val="000000"/>
                <w:sz w:val="15"/>
                <w:szCs w:val="15"/>
              </w:rPr>
              <w:t>      Lending related and other fees</w:t>
            </w:r>
          </w:p>
        </w:tc>
        <w:tc>
          <w:tcPr>
            <w:tcW w:w="0" w:type="auto"/>
            <w:gridSpan w:val="2"/>
            <w:shd w:val="clear" w:color="auto" w:fill="FFFFFF"/>
            <w:tcMar>
              <w:top w:w="40" w:type="dxa"/>
              <w:left w:w="20" w:type="dxa"/>
              <w:bottom w:w="40" w:type="dxa"/>
              <w:right w:w="0" w:type="dxa"/>
            </w:tcMar>
            <w:vAlign w:val="bottom"/>
          </w:tcPr>
          <w:p w14:paraId="71D3DBBE" w14:textId="77777777" w:rsidR="006A3667" w:rsidRDefault="00045F32">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BB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BC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C1" w14:textId="77777777" w:rsidR="006A3667" w:rsidRDefault="00045F32">
            <w:pPr>
              <w:jc w:val="right"/>
              <w:textAlignment w:val="bottom"/>
            </w:pPr>
            <w:r>
              <w:rPr>
                <w:rFonts w:ascii="Arial" w:eastAsia="宋体" w:hAnsi="Arial" w:cs="Arial"/>
                <w:color w:val="000000"/>
                <w:sz w:val="15"/>
                <w:szCs w:val="15"/>
              </w:rPr>
              <w:t>64 </w:t>
            </w:r>
          </w:p>
        </w:tc>
        <w:tc>
          <w:tcPr>
            <w:tcW w:w="0" w:type="auto"/>
            <w:shd w:val="clear" w:color="auto" w:fill="FFFFFF"/>
            <w:tcMar>
              <w:top w:w="40" w:type="dxa"/>
              <w:left w:w="0" w:type="dxa"/>
              <w:bottom w:w="40" w:type="dxa"/>
              <w:right w:w="20" w:type="dxa"/>
            </w:tcMar>
            <w:vAlign w:val="bottom"/>
          </w:tcPr>
          <w:p w14:paraId="71D3DBC2" w14:textId="77777777" w:rsidR="006A3667" w:rsidRDefault="006A3667">
            <w:pPr>
              <w:jc w:val="right"/>
              <w:rPr>
                <w:rFonts w:ascii="宋体"/>
              </w:rPr>
            </w:pPr>
          </w:p>
        </w:tc>
        <w:tc>
          <w:tcPr>
            <w:tcW w:w="0" w:type="auto"/>
            <w:shd w:val="clear" w:color="auto" w:fill="auto"/>
            <w:vAlign w:val="bottom"/>
          </w:tcPr>
          <w:p w14:paraId="71D3DBC3" w14:textId="77777777" w:rsidR="006A3667" w:rsidRDefault="006A3667">
            <w:pPr>
              <w:rPr>
                <w:rFonts w:ascii="宋体"/>
                <w:vanish/>
              </w:rPr>
            </w:pPr>
          </w:p>
        </w:tc>
        <w:tc>
          <w:tcPr>
            <w:tcW w:w="0" w:type="auto"/>
            <w:shd w:val="clear" w:color="auto" w:fill="auto"/>
            <w:vAlign w:val="bottom"/>
          </w:tcPr>
          <w:p w14:paraId="71D3DBC4"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B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C6" w14:textId="77777777" w:rsidR="006A3667" w:rsidRDefault="00045F32">
            <w:pPr>
              <w:jc w:val="right"/>
              <w:textAlignment w:val="bottom"/>
            </w:pPr>
            <w:r>
              <w:rPr>
                <w:rFonts w:ascii="Arial" w:eastAsia="宋体" w:hAnsi="Arial" w:cs="Arial"/>
                <w:color w:val="000000"/>
                <w:sz w:val="15"/>
                <w:szCs w:val="15"/>
              </w:rPr>
              <w:t>(11)</w:t>
            </w:r>
          </w:p>
        </w:tc>
        <w:tc>
          <w:tcPr>
            <w:tcW w:w="0" w:type="auto"/>
            <w:shd w:val="clear" w:color="auto" w:fill="FFFFFF"/>
            <w:tcMar>
              <w:top w:w="40" w:type="dxa"/>
              <w:left w:w="0" w:type="dxa"/>
              <w:bottom w:w="40" w:type="dxa"/>
              <w:right w:w="20" w:type="dxa"/>
            </w:tcMar>
            <w:vAlign w:val="bottom"/>
          </w:tcPr>
          <w:p w14:paraId="71D3DBC7" w14:textId="77777777" w:rsidR="006A3667" w:rsidRDefault="006A3667">
            <w:pPr>
              <w:jc w:val="right"/>
              <w:rPr>
                <w:rFonts w:ascii="宋体"/>
              </w:rPr>
            </w:pPr>
          </w:p>
        </w:tc>
        <w:tc>
          <w:tcPr>
            <w:tcW w:w="0" w:type="auto"/>
            <w:gridSpan w:val="3"/>
            <w:shd w:val="clear" w:color="auto" w:fill="auto"/>
            <w:vAlign w:val="bottom"/>
          </w:tcPr>
          <w:p w14:paraId="71D3DBC8" w14:textId="77777777" w:rsidR="006A3667" w:rsidRDefault="006A3667">
            <w:pPr>
              <w:rPr>
                <w:rFonts w:ascii="宋体"/>
                <w:vanish/>
              </w:rPr>
            </w:pPr>
          </w:p>
        </w:tc>
        <w:tc>
          <w:tcPr>
            <w:tcW w:w="0" w:type="auto"/>
            <w:gridSpan w:val="3"/>
            <w:shd w:val="clear" w:color="auto" w:fill="auto"/>
            <w:vAlign w:val="bottom"/>
          </w:tcPr>
          <w:p w14:paraId="71D3DBC9" w14:textId="77777777" w:rsidR="006A3667" w:rsidRDefault="006A3667">
            <w:pPr>
              <w:rPr>
                <w:rFonts w:ascii="宋体"/>
                <w:vanish/>
              </w:rPr>
            </w:pPr>
          </w:p>
        </w:tc>
        <w:tc>
          <w:tcPr>
            <w:tcW w:w="0" w:type="auto"/>
            <w:gridSpan w:val="3"/>
            <w:shd w:val="clear" w:color="auto" w:fill="auto"/>
            <w:vAlign w:val="bottom"/>
          </w:tcPr>
          <w:p w14:paraId="71D3DBCA" w14:textId="77777777" w:rsidR="006A3667" w:rsidRDefault="006A3667">
            <w:pPr>
              <w:rPr>
                <w:rFonts w:ascii="宋体"/>
                <w:vanish/>
              </w:rPr>
            </w:pPr>
          </w:p>
        </w:tc>
      </w:tr>
      <w:tr w:rsidR="006A3667" w14:paraId="71D3DBDA" w14:textId="77777777">
        <w:tc>
          <w:tcPr>
            <w:tcW w:w="0" w:type="auto"/>
            <w:gridSpan w:val="3"/>
            <w:shd w:val="clear" w:color="auto" w:fill="CCEEFF"/>
            <w:tcMar>
              <w:top w:w="40" w:type="dxa"/>
              <w:left w:w="20" w:type="dxa"/>
              <w:bottom w:w="40" w:type="dxa"/>
              <w:right w:w="20" w:type="dxa"/>
            </w:tcMar>
            <w:vAlign w:val="bottom"/>
          </w:tcPr>
          <w:p w14:paraId="71D3DBCC" w14:textId="77777777" w:rsidR="006A3667" w:rsidRDefault="00045F32">
            <w:pPr>
              <w:textAlignment w:val="bottom"/>
            </w:pPr>
            <w:r>
              <w:rPr>
                <w:rFonts w:ascii="Arial" w:eastAsia="宋体" w:hAnsi="Arial" w:cs="Arial"/>
                <w:color w:val="000000"/>
                <w:sz w:val="15"/>
                <w:szCs w:val="15"/>
              </w:rPr>
              <w:t>Software and processing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BCD" w14:textId="77777777" w:rsidR="006A3667" w:rsidRDefault="00045F32">
            <w:pPr>
              <w:jc w:val="right"/>
              <w:textAlignment w:val="bottom"/>
            </w:pPr>
            <w:r>
              <w:rPr>
                <w:rFonts w:ascii="Arial" w:eastAsia="宋体" w:hAnsi="Arial" w:cs="Arial"/>
                <w:b/>
                <w:bCs/>
                <w:color w:val="000000"/>
                <w:sz w:val="15"/>
                <w:szCs w:val="15"/>
              </w:rPr>
              <w:t>184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B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BC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BD0" w14:textId="77777777" w:rsidR="006A3667" w:rsidRDefault="00045F32">
            <w:pPr>
              <w:jc w:val="right"/>
              <w:textAlignment w:val="bottom"/>
            </w:pPr>
            <w:r>
              <w:rPr>
                <w:rFonts w:ascii="Arial" w:eastAsia="宋体" w:hAnsi="Arial" w:cs="Arial"/>
                <w:color w:val="000000"/>
                <w:sz w:val="15"/>
                <w:szCs w:val="15"/>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BD1" w14:textId="77777777" w:rsidR="006A3667" w:rsidRDefault="006A3667">
            <w:pPr>
              <w:jc w:val="right"/>
              <w:rPr>
                <w:rFonts w:ascii="宋体"/>
              </w:rPr>
            </w:pPr>
          </w:p>
        </w:tc>
        <w:tc>
          <w:tcPr>
            <w:tcW w:w="0" w:type="auto"/>
            <w:shd w:val="clear" w:color="auto" w:fill="auto"/>
            <w:vAlign w:val="bottom"/>
          </w:tcPr>
          <w:p w14:paraId="71D3DBD2" w14:textId="77777777" w:rsidR="006A3667" w:rsidRDefault="006A3667">
            <w:pPr>
              <w:rPr>
                <w:rFonts w:ascii="宋体"/>
                <w:vanish/>
              </w:rPr>
            </w:pPr>
          </w:p>
        </w:tc>
        <w:tc>
          <w:tcPr>
            <w:tcW w:w="0" w:type="auto"/>
            <w:shd w:val="clear" w:color="auto" w:fill="auto"/>
            <w:vAlign w:val="bottom"/>
          </w:tcPr>
          <w:p w14:paraId="71D3DBD3"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BD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BD5"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1D3DBD6" w14:textId="77777777" w:rsidR="006A3667" w:rsidRDefault="006A3667">
            <w:pPr>
              <w:jc w:val="right"/>
              <w:rPr>
                <w:rFonts w:ascii="宋体"/>
              </w:rPr>
            </w:pPr>
          </w:p>
        </w:tc>
        <w:tc>
          <w:tcPr>
            <w:tcW w:w="0" w:type="auto"/>
            <w:gridSpan w:val="3"/>
            <w:shd w:val="clear" w:color="auto" w:fill="auto"/>
            <w:vAlign w:val="bottom"/>
          </w:tcPr>
          <w:p w14:paraId="71D3DBD7" w14:textId="77777777" w:rsidR="006A3667" w:rsidRDefault="006A3667">
            <w:pPr>
              <w:rPr>
                <w:rFonts w:ascii="宋体"/>
                <w:vanish/>
              </w:rPr>
            </w:pPr>
          </w:p>
        </w:tc>
        <w:tc>
          <w:tcPr>
            <w:tcW w:w="0" w:type="auto"/>
            <w:gridSpan w:val="3"/>
            <w:shd w:val="clear" w:color="auto" w:fill="auto"/>
            <w:vAlign w:val="bottom"/>
          </w:tcPr>
          <w:p w14:paraId="71D3DBD8" w14:textId="77777777" w:rsidR="006A3667" w:rsidRDefault="006A3667">
            <w:pPr>
              <w:rPr>
                <w:rFonts w:ascii="宋体"/>
                <w:vanish/>
              </w:rPr>
            </w:pPr>
          </w:p>
        </w:tc>
        <w:tc>
          <w:tcPr>
            <w:tcW w:w="0" w:type="auto"/>
            <w:gridSpan w:val="3"/>
            <w:shd w:val="clear" w:color="auto" w:fill="auto"/>
            <w:vAlign w:val="bottom"/>
          </w:tcPr>
          <w:p w14:paraId="71D3DBD9" w14:textId="77777777" w:rsidR="006A3667" w:rsidRDefault="006A3667">
            <w:pPr>
              <w:rPr>
                <w:rFonts w:ascii="宋体"/>
                <w:vanish/>
              </w:rPr>
            </w:pPr>
          </w:p>
        </w:tc>
      </w:tr>
      <w:tr w:rsidR="006A3667" w14:paraId="71D3DBE8" w14:textId="77777777">
        <w:tc>
          <w:tcPr>
            <w:tcW w:w="0" w:type="auto"/>
            <w:gridSpan w:val="3"/>
            <w:shd w:val="clear" w:color="auto" w:fill="FFFFFF"/>
            <w:tcMar>
              <w:top w:w="40" w:type="dxa"/>
              <w:left w:w="20" w:type="dxa"/>
              <w:bottom w:w="40" w:type="dxa"/>
              <w:right w:w="20" w:type="dxa"/>
            </w:tcMar>
          </w:tcPr>
          <w:p w14:paraId="71D3DBDB" w14:textId="77777777" w:rsidR="006A3667" w:rsidRDefault="00045F32">
            <w:pPr>
              <w:textAlignment w:val="top"/>
            </w:pPr>
            <w:r>
              <w:rPr>
                <w:rFonts w:ascii="Arial" w:eastAsia="宋体" w:hAnsi="Arial" w:cs="Arial"/>
                <w:color w:val="000000"/>
                <w:sz w:val="15"/>
                <w:szCs w:val="15"/>
              </w:rPr>
              <w:t>Other fee revenue</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3DBDC" w14:textId="77777777" w:rsidR="006A3667" w:rsidRDefault="00045F32">
            <w:pPr>
              <w:jc w:val="right"/>
              <w:textAlignment w:val="bottom"/>
            </w:pPr>
            <w:r>
              <w:rPr>
                <w:rFonts w:ascii="Arial" w:eastAsia="宋体" w:hAnsi="Arial" w:cs="Arial"/>
                <w:b/>
                <w:bCs/>
                <w:color w:val="000000"/>
                <w:sz w:val="15"/>
                <w:szCs w:val="15"/>
              </w:rPr>
              <w:t>(5)</w:t>
            </w:r>
          </w:p>
        </w:tc>
        <w:tc>
          <w:tcPr>
            <w:tcW w:w="0" w:type="auto"/>
            <w:shd w:val="clear" w:color="auto" w:fill="FFFFFF"/>
            <w:tcMar>
              <w:top w:w="40" w:type="dxa"/>
              <w:left w:w="0" w:type="dxa"/>
              <w:bottom w:w="40" w:type="dxa"/>
              <w:right w:w="20" w:type="dxa"/>
            </w:tcMar>
            <w:vAlign w:val="bottom"/>
          </w:tcPr>
          <w:p w14:paraId="71D3DB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BD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BDF" w14:textId="77777777" w:rsidR="006A3667" w:rsidRDefault="00045F32">
            <w:pPr>
              <w:jc w:val="right"/>
              <w:textAlignment w:val="bottom"/>
            </w:pPr>
            <w:r>
              <w:rPr>
                <w:rFonts w:ascii="Arial" w:eastAsia="宋体" w:hAnsi="Arial" w:cs="Arial"/>
                <w:color w:val="000000"/>
                <w:sz w:val="15"/>
                <w:szCs w:val="15"/>
              </w:rPr>
              <w:t>22 </w:t>
            </w:r>
          </w:p>
        </w:tc>
        <w:tc>
          <w:tcPr>
            <w:tcW w:w="0" w:type="auto"/>
            <w:shd w:val="clear" w:color="auto" w:fill="FFFFFF"/>
            <w:tcMar>
              <w:top w:w="40" w:type="dxa"/>
              <w:left w:w="0" w:type="dxa"/>
              <w:bottom w:w="40" w:type="dxa"/>
              <w:right w:w="20" w:type="dxa"/>
            </w:tcMar>
            <w:vAlign w:val="bottom"/>
          </w:tcPr>
          <w:p w14:paraId="71D3DBE0" w14:textId="77777777" w:rsidR="006A3667" w:rsidRDefault="006A3667">
            <w:pPr>
              <w:jc w:val="right"/>
              <w:rPr>
                <w:rFonts w:ascii="宋体"/>
              </w:rPr>
            </w:pPr>
          </w:p>
        </w:tc>
        <w:tc>
          <w:tcPr>
            <w:tcW w:w="0" w:type="auto"/>
            <w:shd w:val="clear" w:color="auto" w:fill="auto"/>
            <w:vAlign w:val="bottom"/>
          </w:tcPr>
          <w:p w14:paraId="71D3DBE1" w14:textId="77777777" w:rsidR="006A3667" w:rsidRDefault="006A3667">
            <w:pPr>
              <w:rPr>
                <w:rFonts w:ascii="宋体"/>
                <w:vanish/>
              </w:rPr>
            </w:pPr>
          </w:p>
        </w:tc>
        <w:tc>
          <w:tcPr>
            <w:tcW w:w="0" w:type="auto"/>
            <w:shd w:val="clear" w:color="auto" w:fill="auto"/>
            <w:vAlign w:val="bottom"/>
          </w:tcPr>
          <w:p w14:paraId="71D3DBE2"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BE3"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DBE4"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BE5" w14:textId="77777777" w:rsidR="006A3667" w:rsidRDefault="006A3667">
            <w:pPr>
              <w:rPr>
                <w:rFonts w:ascii="宋体"/>
                <w:vanish/>
              </w:rPr>
            </w:pPr>
          </w:p>
        </w:tc>
        <w:tc>
          <w:tcPr>
            <w:tcW w:w="0" w:type="auto"/>
            <w:gridSpan w:val="3"/>
            <w:shd w:val="clear" w:color="auto" w:fill="auto"/>
            <w:vAlign w:val="bottom"/>
          </w:tcPr>
          <w:p w14:paraId="71D3DBE6" w14:textId="77777777" w:rsidR="006A3667" w:rsidRDefault="006A3667">
            <w:pPr>
              <w:rPr>
                <w:rFonts w:ascii="宋体"/>
                <w:vanish/>
              </w:rPr>
            </w:pPr>
          </w:p>
        </w:tc>
        <w:tc>
          <w:tcPr>
            <w:tcW w:w="0" w:type="auto"/>
            <w:gridSpan w:val="3"/>
            <w:shd w:val="clear" w:color="auto" w:fill="auto"/>
            <w:vAlign w:val="bottom"/>
          </w:tcPr>
          <w:p w14:paraId="71D3DBE7" w14:textId="77777777" w:rsidR="006A3667" w:rsidRDefault="006A3667">
            <w:pPr>
              <w:rPr>
                <w:rFonts w:ascii="宋体"/>
                <w:vanish/>
              </w:rPr>
            </w:pPr>
          </w:p>
        </w:tc>
      </w:tr>
      <w:tr w:rsidR="006A3667" w14:paraId="71D3DBF7" w14:textId="77777777">
        <w:tc>
          <w:tcPr>
            <w:tcW w:w="0" w:type="auto"/>
            <w:gridSpan w:val="3"/>
            <w:shd w:val="clear" w:color="auto" w:fill="CCEEFF"/>
            <w:tcMar>
              <w:top w:w="40" w:type="dxa"/>
              <w:left w:w="20" w:type="dxa"/>
              <w:bottom w:w="40" w:type="dxa"/>
              <w:right w:w="20" w:type="dxa"/>
            </w:tcMar>
            <w:vAlign w:val="bottom"/>
          </w:tcPr>
          <w:p w14:paraId="71D3DBE9" w14:textId="77777777" w:rsidR="006A3667" w:rsidRDefault="00045F32">
            <w:pPr>
              <w:textAlignment w:val="bottom"/>
            </w:pPr>
            <w:r>
              <w:rPr>
                <w:rFonts w:ascii="Arial" w:eastAsia="宋体" w:hAnsi="Arial" w:cs="Arial"/>
                <w:color w:val="000000"/>
                <w:sz w:val="15"/>
                <w:szCs w:val="15"/>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BEA" w14:textId="77777777" w:rsidR="006A3667" w:rsidRDefault="00045F32">
            <w:pPr>
              <w:jc w:val="right"/>
              <w:textAlignment w:val="bottom"/>
            </w:pPr>
            <w:r>
              <w:rPr>
                <w:rFonts w:ascii="Arial" w:eastAsia="宋体" w:hAnsi="Arial" w:cs="Arial"/>
                <w:b/>
                <w:bCs/>
                <w:color w:val="000000"/>
                <w:sz w:val="15"/>
                <w:szCs w:val="15"/>
              </w:rPr>
              <w:t>2,299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BE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BE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BED" w14:textId="77777777" w:rsidR="006A3667" w:rsidRDefault="00045F32">
            <w:pPr>
              <w:jc w:val="right"/>
              <w:textAlignment w:val="bottom"/>
            </w:pPr>
            <w:r>
              <w:rPr>
                <w:rFonts w:ascii="Arial" w:eastAsia="宋体" w:hAnsi="Arial" w:cs="Arial"/>
                <w:color w:val="000000"/>
                <w:sz w:val="15"/>
                <w:szCs w:val="15"/>
              </w:rPr>
              <w:t>2,504 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BEE" w14:textId="77777777" w:rsidR="006A3667" w:rsidRDefault="006A3667">
            <w:pPr>
              <w:jc w:val="right"/>
              <w:rPr>
                <w:rFonts w:ascii="宋体"/>
              </w:rPr>
            </w:pPr>
          </w:p>
        </w:tc>
        <w:tc>
          <w:tcPr>
            <w:tcW w:w="0" w:type="auto"/>
            <w:shd w:val="clear" w:color="auto" w:fill="auto"/>
            <w:vAlign w:val="bottom"/>
          </w:tcPr>
          <w:p w14:paraId="71D3DBEF" w14:textId="77777777" w:rsidR="006A3667" w:rsidRDefault="006A3667">
            <w:pPr>
              <w:rPr>
                <w:rFonts w:ascii="宋体"/>
                <w:vanish/>
              </w:rPr>
            </w:pPr>
          </w:p>
        </w:tc>
        <w:tc>
          <w:tcPr>
            <w:tcW w:w="0" w:type="auto"/>
            <w:shd w:val="clear" w:color="auto" w:fill="auto"/>
            <w:vAlign w:val="bottom"/>
          </w:tcPr>
          <w:p w14:paraId="71D3DBF0"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BF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BF2" w14:textId="77777777" w:rsidR="006A3667" w:rsidRDefault="00045F32">
            <w:pPr>
              <w:jc w:val="right"/>
              <w:textAlignment w:val="bottom"/>
            </w:pPr>
            <w:r>
              <w:rPr>
                <w:rFonts w:ascii="Arial" w:eastAsia="宋体" w:hAnsi="Arial" w:cs="Arial"/>
                <w:color w:val="000000"/>
                <w:sz w:val="15"/>
                <w:szCs w:val="15"/>
              </w:rPr>
              <w:t>(8)</w:t>
            </w:r>
          </w:p>
        </w:tc>
        <w:tc>
          <w:tcPr>
            <w:tcW w:w="0" w:type="auto"/>
            <w:shd w:val="clear" w:color="auto" w:fill="CCEEFF"/>
            <w:tcMar>
              <w:top w:w="40" w:type="dxa"/>
              <w:left w:w="0" w:type="dxa"/>
              <w:bottom w:w="40" w:type="dxa"/>
              <w:right w:w="20" w:type="dxa"/>
            </w:tcMar>
            <w:vAlign w:val="bottom"/>
          </w:tcPr>
          <w:p w14:paraId="71D3DBF3" w14:textId="77777777" w:rsidR="006A3667" w:rsidRDefault="006A3667">
            <w:pPr>
              <w:jc w:val="right"/>
              <w:rPr>
                <w:rFonts w:ascii="宋体"/>
              </w:rPr>
            </w:pPr>
          </w:p>
        </w:tc>
        <w:tc>
          <w:tcPr>
            <w:tcW w:w="0" w:type="auto"/>
            <w:gridSpan w:val="3"/>
            <w:shd w:val="clear" w:color="auto" w:fill="auto"/>
            <w:vAlign w:val="bottom"/>
          </w:tcPr>
          <w:p w14:paraId="71D3DBF4" w14:textId="77777777" w:rsidR="006A3667" w:rsidRDefault="006A3667">
            <w:pPr>
              <w:rPr>
                <w:rFonts w:ascii="宋体"/>
                <w:vanish/>
              </w:rPr>
            </w:pPr>
          </w:p>
        </w:tc>
        <w:tc>
          <w:tcPr>
            <w:tcW w:w="0" w:type="auto"/>
            <w:gridSpan w:val="3"/>
            <w:shd w:val="clear" w:color="auto" w:fill="auto"/>
            <w:vAlign w:val="bottom"/>
          </w:tcPr>
          <w:p w14:paraId="71D3DBF5" w14:textId="77777777" w:rsidR="006A3667" w:rsidRDefault="006A3667">
            <w:pPr>
              <w:rPr>
                <w:rFonts w:ascii="宋体"/>
                <w:vanish/>
              </w:rPr>
            </w:pPr>
          </w:p>
        </w:tc>
        <w:tc>
          <w:tcPr>
            <w:tcW w:w="0" w:type="auto"/>
            <w:gridSpan w:val="3"/>
            <w:shd w:val="clear" w:color="auto" w:fill="auto"/>
            <w:vAlign w:val="bottom"/>
          </w:tcPr>
          <w:p w14:paraId="71D3DBF6" w14:textId="77777777" w:rsidR="006A3667" w:rsidRDefault="006A3667">
            <w:pPr>
              <w:rPr>
                <w:rFonts w:ascii="宋体"/>
                <w:vanish/>
              </w:rPr>
            </w:pPr>
          </w:p>
        </w:tc>
      </w:tr>
      <w:tr w:rsidR="006A3667" w14:paraId="71D3DC03" w14:textId="77777777">
        <w:tc>
          <w:tcPr>
            <w:tcW w:w="0" w:type="auto"/>
            <w:gridSpan w:val="3"/>
            <w:shd w:val="clear" w:color="auto" w:fill="FFFFFF"/>
            <w:tcMar>
              <w:top w:w="40" w:type="dxa"/>
              <w:left w:w="20" w:type="dxa"/>
              <w:bottom w:w="40" w:type="dxa"/>
              <w:right w:w="20" w:type="dxa"/>
            </w:tcMar>
            <w:vAlign w:val="bottom"/>
          </w:tcPr>
          <w:p w14:paraId="71D3DBF8" w14:textId="77777777" w:rsidR="006A3667" w:rsidRDefault="00045F32">
            <w:pPr>
              <w:textAlignment w:val="bottom"/>
            </w:pPr>
            <w:r>
              <w:rPr>
                <w:rFonts w:ascii="Arial" w:eastAsia="宋体" w:hAnsi="Arial" w:cs="Arial"/>
                <w:color w:val="000000"/>
                <w:sz w:val="15"/>
                <w:szCs w:val="15"/>
              </w:rPr>
              <w:t>Net interest income:</w:t>
            </w:r>
          </w:p>
        </w:tc>
        <w:tc>
          <w:tcPr>
            <w:tcW w:w="0" w:type="auto"/>
            <w:gridSpan w:val="3"/>
            <w:shd w:val="clear" w:color="auto" w:fill="FFFFFF"/>
            <w:tcMar>
              <w:top w:w="0" w:type="dxa"/>
              <w:left w:w="20" w:type="dxa"/>
              <w:bottom w:w="0" w:type="dxa"/>
              <w:right w:w="20" w:type="dxa"/>
            </w:tcMar>
            <w:vAlign w:val="bottom"/>
          </w:tcPr>
          <w:p w14:paraId="71D3DBF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BF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BFB" w14:textId="77777777" w:rsidR="006A3667" w:rsidRDefault="006A3667">
            <w:pPr>
              <w:rPr>
                <w:rFonts w:ascii="宋体"/>
              </w:rPr>
            </w:pPr>
          </w:p>
        </w:tc>
        <w:tc>
          <w:tcPr>
            <w:tcW w:w="0" w:type="auto"/>
            <w:shd w:val="clear" w:color="auto" w:fill="auto"/>
            <w:vAlign w:val="bottom"/>
          </w:tcPr>
          <w:p w14:paraId="71D3DBFC" w14:textId="77777777" w:rsidR="006A3667" w:rsidRDefault="006A3667">
            <w:pPr>
              <w:rPr>
                <w:rFonts w:ascii="宋体"/>
                <w:vanish/>
              </w:rPr>
            </w:pPr>
          </w:p>
        </w:tc>
        <w:tc>
          <w:tcPr>
            <w:tcW w:w="0" w:type="auto"/>
            <w:shd w:val="clear" w:color="auto" w:fill="auto"/>
            <w:vAlign w:val="bottom"/>
          </w:tcPr>
          <w:p w14:paraId="71D3DBFD"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BF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BFF" w14:textId="77777777" w:rsidR="006A3667" w:rsidRDefault="006A3667">
            <w:pPr>
              <w:rPr>
                <w:rFonts w:ascii="宋体"/>
              </w:rPr>
            </w:pPr>
          </w:p>
        </w:tc>
        <w:tc>
          <w:tcPr>
            <w:tcW w:w="0" w:type="auto"/>
            <w:gridSpan w:val="3"/>
            <w:shd w:val="clear" w:color="auto" w:fill="auto"/>
            <w:vAlign w:val="bottom"/>
          </w:tcPr>
          <w:p w14:paraId="71D3DC00" w14:textId="77777777" w:rsidR="006A3667" w:rsidRDefault="006A3667">
            <w:pPr>
              <w:rPr>
                <w:rFonts w:ascii="宋体"/>
                <w:vanish/>
              </w:rPr>
            </w:pPr>
          </w:p>
        </w:tc>
        <w:tc>
          <w:tcPr>
            <w:tcW w:w="0" w:type="auto"/>
            <w:gridSpan w:val="3"/>
            <w:shd w:val="clear" w:color="auto" w:fill="auto"/>
            <w:vAlign w:val="bottom"/>
          </w:tcPr>
          <w:p w14:paraId="71D3DC01" w14:textId="77777777" w:rsidR="006A3667" w:rsidRDefault="006A3667">
            <w:pPr>
              <w:rPr>
                <w:rFonts w:ascii="宋体"/>
                <w:vanish/>
              </w:rPr>
            </w:pPr>
          </w:p>
        </w:tc>
        <w:tc>
          <w:tcPr>
            <w:tcW w:w="0" w:type="auto"/>
            <w:gridSpan w:val="3"/>
            <w:shd w:val="clear" w:color="auto" w:fill="auto"/>
            <w:vAlign w:val="bottom"/>
          </w:tcPr>
          <w:p w14:paraId="71D3DC02" w14:textId="77777777" w:rsidR="006A3667" w:rsidRDefault="006A3667">
            <w:pPr>
              <w:rPr>
                <w:rFonts w:ascii="宋体"/>
                <w:vanish/>
              </w:rPr>
            </w:pPr>
          </w:p>
        </w:tc>
      </w:tr>
      <w:tr w:rsidR="006A3667" w14:paraId="71D3DC11" w14:textId="77777777">
        <w:tc>
          <w:tcPr>
            <w:tcW w:w="0" w:type="auto"/>
            <w:gridSpan w:val="3"/>
            <w:shd w:val="clear" w:color="auto" w:fill="CCEEFF"/>
            <w:tcMar>
              <w:top w:w="40" w:type="dxa"/>
              <w:left w:w="20" w:type="dxa"/>
              <w:bottom w:w="40" w:type="dxa"/>
              <w:right w:w="20" w:type="dxa"/>
            </w:tcMar>
            <w:vAlign w:val="bottom"/>
          </w:tcPr>
          <w:p w14:paraId="71D3DC04" w14:textId="77777777" w:rsidR="006A3667" w:rsidRDefault="00045F32">
            <w:pPr>
              <w:textAlignment w:val="bottom"/>
            </w:pPr>
            <w:r>
              <w:rPr>
                <w:rFonts w:ascii="Arial" w:eastAsia="宋体" w:hAnsi="Arial" w:cs="Arial"/>
                <w:color w:val="000000"/>
                <w:sz w:val="15"/>
                <w:szCs w:val="15"/>
              </w:rPr>
              <w:t>   Interest income</w:t>
            </w:r>
          </w:p>
        </w:tc>
        <w:tc>
          <w:tcPr>
            <w:tcW w:w="0" w:type="auto"/>
            <w:gridSpan w:val="2"/>
            <w:shd w:val="clear" w:color="auto" w:fill="CCEEFF"/>
            <w:tcMar>
              <w:top w:w="40" w:type="dxa"/>
              <w:left w:w="20" w:type="dxa"/>
              <w:bottom w:w="40" w:type="dxa"/>
              <w:right w:w="0" w:type="dxa"/>
            </w:tcMar>
            <w:vAlign w:val="bottom"/>
          </w:tcPr>
          <w:p w14:paraId="71D3DC05" w14:textId="77777777" w:rsidR="006A3667" w:rsidRDefault="00045F32">
            <w:pPr>
              <w:jc w:val="right"/>
              <w:textAlignment w:val="bottom"/>
            </w:pPr>
            <w:r>
              <w:rPr>
                <w:rFonts w:ascii="Arial" w:eastAsia="宋体" w:hAnsi="Arial" w:cs="Arial"/>
                <w:b/>
                <w:bCs/>
                <w:color w:val="000000"/>
                <w:sz w:val="15"/>
                <w:szCs w:val="15"/>
              </w:rPr>
              <w:t>1,101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C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C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C08" w14:textId="77777777" w:rsidR="006A3667" w:rsidRDefault="00045F32">
            <w:pPr>
              <w:jc w:val="right"/>
              <w:textAlignment w:val="bottom"/>
            </w:pPr>
            <w:r>
              <w:rPr>
                <w:rFonts w:ascii="Arial" w:eastAsia="宋体" w:hAnsi="Arial" w:cs="Arial"/>
                <w:color w:val="000000"/>
                <w:sz w:val="15"/>
                <w:szCs w:val="15"/>
              </w:rPr>
              <w:t>487 </w:t>
            </w:r>
          </w:p>
        </w:tc>
        <w:tc>
          <w:tcPr>
            <w:tcW w:w="0" w:type="auto"/>
            <w:shd w:val="clear" w:color="auto" w:fill="CCEEFF"/>
            <w:tcMar>
              <w:top w:w="40" w:type="dxa"/>
              <w:left w:w="0" w:type="dxa"/>
              <w:bottom w:w="40" w:type="dxa"/>
              <w:right w:w="20" w:type="dxa"/>
            </w:tcMar>
            <w:vAlign w:val="bottom"/>
          </w:tcPr>
          <w:p w14:paraId="71D3DC09" w14:textId="77777777" w:rsidR="006A3667" w:rsidRDefault="006A3667">
            <w:pPr>
              <w:jc w:val="right"/>
              <w:rPr>
                <w:rFonts w:ascii="宋体"/>
              </w:rPr>
            </w:pPr>
          </w:p>
        </w:tc>
        <w:tc>
          <w:tcPr>
            <w:tcW w:w="0" w:type="auto"/>
            <w:shd w:val="clear" w:color="auto" w:fill="auto"/>
            <w:vAlign w:val="bottom"/>
          </w:tcPr>
          <w:p w14:paraId="71D3DC0A" w14:textId="77777777" w:rsidR="006A3667" w:rsidRDefault="006A3667">
            <w:pPr>
              <w:rPr>
                <w:rFonts w:ascii="宋体"/>
                <w:vanish/>
              </w:rPr>
            </w:pPr>
          </w:p>
        </w:tc>
        <w:tc>
          <w:tcPr>
            <w:tcW w:w="0" w:type="auto"/>
            <w:shd w:val="clear" w:color="auto" w:fill="auto"/>
            <w:vAlign w:val="bottom"/>
          </w:tcPr>
          <w:p w14:paraId="71D3DC0B"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C0C"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DC0D"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C0E" w14:textId="77777777" w:rsidR="006A3667" w:rsidRDefault="006A3667">
            <w:pPr>
              <w:rPr>
                <w:rFonts w:ascii="宋体"/>
                <w:vanish/>
              </w:rPr>
            </w:pPr>
          </w:p>
        </w:tc>
        <w:tc>
          <w:tcPr>
            <w:tcW w:w="0" w:type="auto"/>
            <w:gridSpan w:val="3"/>
            <w:shd w:val="clear" w:color="auto" w:fill="auto"/>
            <w:vAlign w:val="bottom"/>
          </w:tcPr>
          <w:p w14:paraId="71D3DC0F" w14:textId="77777777" w:rsidR="006A3667" w:rsidRDefault="006A3667">
            <w:pPr>
              <w:rPr>
                <w:rFonts w:ascii="宋体"/>
                <w:vanish/>
              </w:rPr>
            </w:pPr>
          </w:p>
        </w:tc>
        <w:tc>
          <w:tcPr>
            <w:tcW w:w="0" w:type="auto"/>
            <w:gridSpan w:val="3"/>
            <w:shd w:val="clear" w:color="auto" w:fill="auto"/>
            <w:vAlign w:val="bottom"/>
          </w:tcPr>
          <w:p w14:paraId="71D3DC10" w14:textId="77777777" w:rsidR="006A3667" w:rsidRDefault="006A3667">
            <w:pPr>
              <w:rPr>
                <w:rFonts w:ascii="宋体"/>
                <w:vanish/>
              </w:rPr>
            </w:pPr>
          </w:p>
        </w:tc>
      </w:tr>
      <w:tr w:rsidR="006A3667" w14:paraId="71D3DC1F" w14:textId="77777777">
        <w:tc>
          <w:tcPr>
            <w:tcW w:w="0" w:type="auto"/>
            <w:gridSpan w:val="3"/>
            <w:shd w:val="clear" w:color="auto" w:fill="FFFFFF"/>
            <w:tcMar>
              <w:top w:w="40" w:type="dxa"/>
              <w:left w:w="20" w:type="dxa"/>
              <w:bottom w:w="40" w:type="dxa"/>
              <w:right w:w="20" w:type="dxa"/>
            </w:tcMar>
            <w:vAlign w:val="bottom"/>
          </w:tcPr>
          <w:p w14:paraId="71D3DC12" w14:textId="77777777" w:rsidR="006A3667" w:rsidRDefault="00045F32">
            <w:pPr>
              <w:textAlignment w:val="bottom"/>
            </w:pPr>
            <w:r>
              <w:rPr>
                <w:rFonts w:ascii="Arial" w:eastAsia="宋体" w:hAnsi="Arial" w:cs="Arial"/>
                <w:color w:val="000000"/>
                <w:sz w:val="15"/>
                <w:szCs w:val="15"/>
              </w:rPr>
              <w:t>   Interest expense</w:t>
            </w:r>
          </w:p>
        </w:tc>
        <w:tc>
          <w:tcPr>
            <w:tcW w:w="0" w:type="auto"/>
            <w:gridSpan w:val="2"/>
            <w:shd w:val="clear" w:color="auto" w:fill="FFFFFF"/>
            <w:tcMar>
              <w:top w:w="40" w:type="dxa"/>
              <w:left w:w="20" w:type="dxa"/>
              <w:bottom w:w="40" w:type="dxa"/>
              <w:right w:w="0" w:type="dxa"/>
            </w:tcMar>
            <w:vAlign w:val="bottom"/>
          </w:tcPr>
          <w:p w14:paraId="71D3DC13" w14:textId="77777777" w:rsidR="006A3667" w:rsidRDefault="00045F32">
            <w:pPr>
              <w:jc w:val="right"/>
              <w:textAlignment w:val="bottom"/>
            </w:pPr>
            <w:r>
              <w:rPr>
                <w:rFonts w:ascii="Arial" w:eastAsia="宋体" w:hAnsi="Arial" w:cs="Arial"/>
                <w:b/>
                <w:bCs/>
                <w:color w:val="000000"/>
                <w:sz w:val="15"/>
                <w:szCs w:val="15"/>
              </w:rPr>
              <w:t>441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C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C1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C16"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C17" w14:textId="77777777" w:rsidR="006A3667" w:rsidRDefault="006A3667">
            <w:pPr>
              <w:jc w:val="right"/>
              <w:rPr>
                <w:rFonts w:ascii="宋体"/>
              </w:rPr>
            </w:pPr>
          </w:p>
        </w:tc>
        <w:tc>
          <w:tcPr>
            <w:tcW w:w="0" w:type="auto"/>
            <w:shd w:val="clear" w:color="auto" w:fill="auto"/>
            <w:vAlign w:val="bottom"/>
          </w:tcPr>
          <w:p w14:paraId="71D3DC18" w14:textId="77777777" w:rsidR="006A3667" w:rsidRDefault="006A3667">
            <w:pPr>
              <w:rPr>
                <w:rFonts w:ascii="宋体"/>
                <w:vanish/>
              </w:rPr>
            </w:pPr>
          </w:p>
        </w:tc>
        <w:tc>
          <w:tcPr>
            <w:tcW w:w="0" w:type="auto"/>
            <w:shd w:val="clear" w:color="auto" w:fill="auto"/>
            <w:vAlign w:val="bottom"/>
          </w:tcPr>
          <w:p w14:paraId="71D3DC19"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C1A"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DC1B"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C1C" w14:textId="77777777" w:rsidR="006A3667" w:rsidRDefault="006A3667">
            <w:pPr>
              <w:rPr>
                <w:rFonts w:ascii="宋体"/>
                <w:vanish/>
              </w:rPr>
            </w:pPr>
          </w:p>
        </w:tc>
        <w:tc>
          <w:tcPr>
            <w:tcW w:w="0" w:type="auto"/>
            <w:gridSpan w:val="3"/>
            <w:shd w:val="clear" w:color="auto" w:fill="auto"/>
            <w:vAlign w:val="bottom"/>
          </w:tcPr>
          <w:p w14:paraId="71D3DC1D" w14:textId="77777777" w:rsidR="006A3667" w:rsidRDefault="006A3667">
            <w:pPr>
              <w:rPr>
                <w:rFonts w:ascii="宋体"/>
                <w:vanish/>
              </w:rPr>
            </w:pPr>
          </w:p>
        </w:tc>
        <w:tc>
          <w:tcPr>
            <w:tcW w:w="0" w:type="auto"/>
            <w:gridSpan w:val="3"/>
            <w:shd w:val="clear" w:color="auto" w:fill="auto"/>
            <w:vAlign w:val="bottom"/>
          </w:tcPr>
          <w:p w14:paraId="71D3DC1E" w14:textId="77777777" w:rsidR="006A3667" w:rsidRDefault="006A3667">
            <w:pPr>
              <w:rPr>
                <w:rFonts w:ascii="宋体"/>
                <w:vanish/>
              </w:rPr>
            </w:pPr>
          </w:p>
        </w:tc>
      </w:tr>
      <w:tr w:rsidR="006A3667" w14:paraId="71D3DC2E" w14:textId="77777777">
        <w:tc>
          <w:tcPr>
            <w:tcW w:w="0" w:type="auto"/>
            <w:gridSpan w:val="3"/>
            <w:shd w:val="clear" w:color="auto" w:fill="CCEEFF"/>
            <w:tcMar>
              <w:top w:w="40" w:type="dxa"/>
              <w:left w:w="20" w:type="dxa"/>
              <w:bottom w:w="40" w:type="dxa"/>
              <w:right w:w="20" w:type="dxa"/>
            </w:tcMar>
            <w:vAlign w:val="bottom"/>
          </w:tcPr>
          <w:p w14:paraId="71D3DC20" w14:textId="77777777" w:rsidR="006A3667" w:rsidRDefault="00045F32">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C21" w14:textId="77777777" w:rsidR="006A3667" w:rsidRDefault="00045F32">
            <w:pPr>
              <w:jc w:val="right"/>
              <w:textAlignment w:val="bottom"/>
            </w:pPr>
            <w:r>
              <w:rPr>
                <w:rFonts w:ascii="Arial" w:eastAsia="宋体" w:hAnsi="Arial" w:cs="Arial"/>
                <w:b/>
                <w:bCs/>
                <w:color w:val="000000"/>
                <w:sz w:val="15"/>
                <w:szCs w:val="15"/>
              </w:rPr>
              <w:t>660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C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C2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C24" w14:textId="77777777" w:rsidR="006A3667" w:rsidRDefault="00045F32">
            <w:pPr>
              <w:jc w:val="right"/>
              <w:textAlignment w:val="bottom"/>
            </w:pPr>
            <w:r>
              <w:rPr>
                <w:rFonts w:ascii="Arial" w:eastAsia="宋体" w:hAnsi="Arial" w:cs="Arial"/>
                <w:color w:val="000000"/>
                <w:sz w:val="15"/>
                <w:szCs w:val="15"/>
              </w:rPr>
              <w:t>487 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C25" w14:textId="77777777" w:rsidR="006A3667" w:rsidRDefault="006A3667">
            <w:pPr>
              <w:jc w:val="right"/>
              <w:rPr>
                <w:rFonts w:ascii="宋体"/>
              </w:rPr>
            </w:pPr>
          </w:p>
        </w:tc>
        <w:tc>
          <w:tcPr>
            <w:tcW w:w="0" w:type="auto"/>
            <w:shd w:val="clear" w:color="auto" w:fill="auto"/>
            <w:vAlign w:val="bottom"/>
          </w:tcPr>
          <w:p w14:paraId="71D3DC26" w14:textId="77777777" w:rsidR="006A3667" w:rsidRDefault="006A3667">
            <w:pPr>
              <w:rPr>
                <w:rFonts w:ascii="宋体"/>
                <w:vanish/>
              </w:rPr>
            </w:pPr>
          </w:p>
        </w:tc>
        <w:tc>
          <w:tcPr>
            <w:tcW w:w="0" w:type="auto"/>
            <w:shd w:val="clear" w:color="auto" w:fill="auto"/>
            <w:vAlign w:val="bottom"/>
          </w:tcPr>
          <w:p w14:paraId="71D3DC27"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C2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C29" w14:textId="77777777" w:rsidR="006A3667" w:rsidRDefault="00045F32">
            <w:pPr>
              <w:jc w:val="right"/>
              <w:textAlignment w:val="bottom"/>
            </w:pPr>
            <w:r>
              <w:rPr>
                <w:rFonts w:ascii="Arial" w:eastAsia="宋体" w:hAnsi="Arial" w:cs="Arial"/>
                <w:color w:val="000000"/>
                <w:sz w:val="15"/>
                <w:szCs w:val="15"/>
              </w:rPr>
              <w:t>36 </w:t>
            </w:r>
          </w:p>
        </w:tc>
        <w:tc>
          <w:tcPr>
            <w:tcW w:w="0" w:type="auto"/>
            <w:shd w:val="clear" w:color="auto" w:fill="CCEEFF"/>
            <w:tcMar>
              <w:top w:w="40" w:type="dxa"/>
              <w:left w:w="0" w:type="dxa"/>
              <w:bottom w:w="40" w:type="dxa"/>
              <w:right w:w="20" w:type="dxa"/>
            </w:tcMar>
            <w:vAlign w:val="bottom"/>
          </w:tcPr>
          <w:p w14:paraId="71D3DC2A" w14:textId="77777777" w:rsidR="006A3667" w:rsidRDefault="006A3667">
            <w:pPr>
              <w:jc w:val="right"/>
              <w:rPr>
                <w:rFonts w:ascii="宋体"/>
              </w:rPr>
            </w:pPr>
          </w:p>
        </w:tc>
        <w:tc>
          <w:tcPr>
            <w:tcW w:w="0" w:type="auto"/>
            <w:gridSpan w:val="3"/>
            <w:shd w:val="clear" w:color="auto" w:fill="auto"/>
            <w:vAlign w:val="bottom"/>
          </w:tcPr>
          <w:p w14:paraId="71D3DC2B" w14:textId="77777777" w:rsidR="006A3667" w:rsidRDefault="006A3667">
            <w:pPr>
              <w:rPr>
                <w:rFonts w:ascii="宋体"/>
                <w:vanish/>
              </w:rPr>
            </w:pPr>
          </w:p>
        </w:tc>
        <w:tc>
          <w:tcPr>
            <w:tcW w:w="0" w:type="auto"/>
            <w:gridSpan w:val="3"/>
            <w:shd w:val="clear" w:color="auto" w:fill="auto"/>
            <w:vAlign w:val="bottom"/>
          </w:tcPr>
          <w:p w14:paraId="71D3DC2C" w14:textId="77777777" w:rsidR="006A3667" w:rsidRDefault="006A3667">
            <w:pPr>
              <w:rPr>
                <w:rFonts w:ascii="宋体"/>
                <w:vanish/>
              </w:rPr>
            </w:pPr>
          </w:p>
        </w:tc>
        <w:tc>
          <w:tcPr>
            <w:tcW w:w="0" w:type="auto"/>
            <w:gridSpan w:val="3"/>
            <w:shd w:val="clear" w:color="auto" w:fill="auto"/>
            <w:vAlign w:val="bottom"/>
          </w:tcPr>
          <w:p w14:paraId="71D3DC2D" w14:textId="77777777" w:rsidR="006A3667" w:rsidRDefault="006A3667">
            <w:pPr>
              <w:rPr>
                <w:rFonts w:ascii="宋体"/>
                <w:vanish/>
              </w:rPr>
            </w:pPr>
          </w:p>
        </w:tc>
      </w:tr>
      <w:tr w:rsidR="006A3667" w14:paraId="71D3DC3A" w14:textId="77777777">
        <w:tc>
          <w:tcPr>
            <w:tcW w:w="0" w:type="auto"/>
            <w:gridSpan w:val="3"/>
            <w:shd w:val="clear" w:color="auto" w:fill="FFFFFF"/>
            <w:tcMar>
              <w:top w:w="40" w:type="dxa"/>
              <w:left w:w="20" w:type="dxa"/>
              <w:bottom w:w="40" w:type="dxa"/>
              <w:right w:w="20" w:type="dxa"/>
            </w:tcMar>
            <w:vAlign w:val="bottom"/>
          </w:tcPr>
          <w:p w14:paraId="71D3DC2F" w14:textId="77777777" w:rsidR="006A3667" w:rsidRDefault="00045F32">
            <w:pPr>
              <w:textAlignment w:val="bottom"/>
            </w:pPr>
            <w:r>
              <w:rPr>
                <w:rFonts w:ascii="Arial" w:eastAsia="宋体" w:hAnsi="Arial" w:cs="Arial"/>
                <w:color w:val="000000"/>
                <w:sz w:val="15"/>
                <w:szCs w:val="15"/>
              </w:rPr>
              <w:t>Other income:</w:t>
            </w:r>
          </w:p>
        </w:tc>
        <w:tc>
          <w:tcPr>
            <w:tcW w:w="0" w:type="auto"/>
            <w:gridSpan w:val="3"/>
            <w:shd w:val="clear" w:color="auto" w:fill="FFFFFF"/>
            <w:tcMar>
              <w:top w:w="0" w:type="dxa"/>
              <w:left w:w="20" w:type="dxa"/>
              <w:bottom w:w="0" w:type="dxa"/>
              <w:right w:w="20" w:type="dxa"/>
            </w:tcMar>
            <w:vAlign w:val="bottom"/>
          </w:tcPr>
          <w:p w14:paraId="71D3DC3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C3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C32" w14:textId="77777777" w:rsidR="006A3667" w:rsidRDefault="006A3667">
            <w:pPr>
              <w:rPr>
                <w:rFonts w:ascii="宋体"/>
              </w:rPr>
            </w:pPr>
          </w:p>
        </w:tc>
        <w:tc>
          <w:tcPr>
            <w:tcW w:w="0" w:type="auto"/>
            <w:shd w:val="clear" w:color="auto" w:fill="auto"/>
            <w:vAlign w:val="bottom"/>
          </w:tcPr>
          <w:p w14:paraId="71D3DC33" w14:textId="77777777" w:rsidR="006A3667" w:rsidRDefault="006A3667">
            <w:pPr>
              <w:rPr>
                <w:rFonts w:ascii="宋体"/>
                <w:vanish/>
              </w:rPr>
            </w:pPr>
          </w:p>
        </w:tc>
        <w:tc>
          <w:tcPr>
            <w:tcW w:w="0" w:type="auto"/>
            <w:shd w:val="clear" w:color="auto" w:fill="auto"/>
            <w:vAlign w:val="bottom"/>
          </w:tcPr>
          <w:p w14:paraId="71D3DC34"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C3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C36" w14:textId="77777777" w:rsidR="006A3667" w:rsidRDefault="006A3667">
            <w:pPr>
              <w:rPr>
                <w:rFonts w:ascii="宋体"/>
              </w:rPr>
            </w:pPr>
          </w:p>
        </w:tc>
        <w:tc>
          <w:tcPr>
            <w:tcW w:w="0" w:type="auto"/>
            <w:gridSpan w:val="3"/>
            <w:shd w:val="clear" w:color="auto" w:fill="auto"/>
            <w:vAlign w:val="bottom"/>
          </w:tcPr>
          <w:p w14:paraId="71D3DC37" w14:textId="77777777" w:rsidR="006A3667" w:rsidRDefault="006A3667">
            <w:pPr>
              <w:rPr>
                <w:rFonts w:ascii="宋体"/>
                <w:vanish/>
              </w:rPr>
            </w:pPr>
          </w:p>
        </w:tc>
        <w:tc>
          <w:tcPr>
            <w:tcW w:w="0" w:type="auto"/>
            <w:gridSpan w:val="3"/>
            <w:shd w:val="clear" w:color="auto" w:fill="auto"/>
            <w:vAlign w:val="bottom"/>
          </w:tcPr>
          <w:p w14:paraId="71D3DC38" w14:textId="77777777" w:rsidR="006A3667" w:rsidRDefault="006A3667">
            <w:pPr>
              <w:rPr>
                <w:rFonts w:ascii="宋体"/>
                <w:vanish/>
              </w:rPr>
            </w:pPr>
          </w:p>
        </w:tc>
        <w:tc>
          <w:tcPr>
            <w:tcW w:w="0" w:type="auto"/>
            <w:gridSpan w:val="3"/>
            <w:shd w:val="clear" w:color="auto" w:fill="auto"/>
            <w:vAlign w:val="bottom"/>
          </w:tcPr>
          <w:p w14:paraId="71D3DC39" w14:textId="77777777" w:rsidR="006A3667" w:rsidRDefault="006A3667">
            <w:pPr>
              <w:rPr>
                <w:rFonts w:ascii="宋体"/>
                <w:vanish/>
              </w:rPr>
            </w:pPr>
          </w:p>
        </w:tc>
      </w:tr>
      <w:tr w:rsidR="006A3667" w14:paraId="71D3DC48" w14:textId="77777777">
        <w:tc>
          <w:tcPr>
            <w:tcW w:w="0" w:type="auto"/>
            <w:gridSpan w:val="3"/>
            <w:shd w:val="clear" w:color="auto" w:fill="CCEEFF"/>
            <w:tcMar>
              <w:top w:w="40" w:type="dxa"/>
              <w:left w:w="140" w:type="dxa"/>
              <w:bottom w:w="40" w:type="dxa"/>
              <w:right w:w="20" w:type="dxa"/>
            </w:tcMar>
            <w:vAlign w:val="bottom"/>
          </w:tcPr>
          <w:p w14:paraId="71D3DC3B" w14:textId="77777777" w:rsidR="006A3667" w:rsidRDefault="00045F32">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CCEEFF"/>
            <w:tcMar>
              <w:top w:w="40" w:type="dxa"/>
              <w:left w:w="20" w:type="dxa"/>
              <w:bottom w:w="40" w:type="dxa"/>
              <w:right w:w="0" w:type="dxa"/>
            </w:tcMar>
            <w:vAlign w:val="bottom"/>
          </w:tcPr>
          <w:p w14:paraId="71D3DC3C"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C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C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C3F"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1D3DC40" w14:textId="77777777" w:rsidR="006A3667" w:rsidRDefault="006A3667">
            <w:pPr>
              <w:jc w:val="right"/>
              <w:rPr>
                <w:rFonts w:ascii="宋体"/>
              </w:rPr>
            </w:pPr>
          </w:p>
        </w:tc>
        <w:tc>
          <w:tcPr>
            <w:tcW w:w="0" w:type="auto"/>
            <w:shd w:val="clear" w:color="auto" w:fill="auto"/>
            <w:vAlign w:val="bottom"/>
          </w:tcPr>
          <w:p w14:paraId="71D3DC41" w14:textId="77777777" w:rsidR="006A3667" w:rsidRDefault="006A3667">
            <w:pPr>
              <w:rPr>
                <w:rFonts w:ascii="宋体"/>
                <w:vanish/>
              </w:rPr>
            </w:pPr>
          </w:p>
        </w:tc>
        <w:tc>
          <w:tcPr>
            <w:tcW w:w="0" w:type="auto"/>
            <w:shd w:val="clear" w:color="auto" w:fill="auto"/>
            <w:vAlign w:val="bottom"/>
          </w:tcPr>
          <w:p w14:paraId="71D3DC42"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C43"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DC44"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C45" w14:textId="77777777" w:rsidR="006A3667" w:rsidRDefault="006A3667">
            <w:pPr>
              <w:rPr>
                <w:rFonts w:ascii="宋体"/>
                <w:vanish/>
              </w:rPr>
            </w:pPr>
          </w:p>
        </w:tc>
        <w:tc>
          <w:tcPr>
            <w:tcW w:w="0" w:type="auto"/>
            <w:gridSpan w:val="3"/>
            <w:shd w:val="clear" w:color="auto" w:fill="auto"/>
            <w:vAlign w:val="bottom"/>
          </w:tcPr>
          <w:p w14:paraId="71D3DC46" w14:textId="77777777" w:rsidR="006A3667" w:rsidRDefault="006A3667">
            <w:pPr>
              <w:rPr>
                <w:rFonts w:ascii="宋体"/>
                <w:vanish/>
              </w:rPr>
            </w:pPr>
          </w:p>
        </w:tc>
        <w:tc>
          <w:tcPr>
            <w:tcW w:w="0" w:type="auto"/>
            <w:gridSpan w:val="3"/>
            <w:shd w:val="clear" w:color="auto" w:fill="auto"/>
            <w:vAlign w:val="bottom"/>
          </w:tcPr>
          <w:p w14:paraId="71D3DC47" w14:textId="77777777" w:rsidR="006A3667" w:rsidRDefault="006A3667">
            <w:pPr>
              <w:rPr>
                <w:rFonts w:ascii="宋体"/>
                <w:vanish/>
              </w:rPr>
            </w:pPr>
          </w:p>
        </w:tc>
      </w:tr>
      <w:tr w:rsidR="006A3667" w14:paraId="71D3DC54" w14:textId="77777777">
        <w:trPr>
          <w:hidden/>
        </w:trPr>
        <w:tc>
          <w:tcPr>
            <w:tcW w:w="0" w:type="auto"/>
            <w:gridSpan w:val="3"/>
            <w:shd w:val="clear" w:color="auto" w:fill="auto"/>
            <w:vAlign w:val="bottom"/>
          </w:tcPr>
          <w:p w14:paraId="71D3DC49" w14:textId="77777777" w:rsidR="006A3667" w:rsidRDefault="006A3667">
            <w:pPr>
              <w:rPr>
                <w:rFonts w:ascii="宋体"/>
                <w:vanish/>
              </w:rPr>
            </w:pPr>
          </w:p>
        </w:tc>
        <w:tc>
          <w:tcPr>
            <w:tcW w:w="0" w:type="auto"/>
            <w:gridSpan w:val="3"/>
            <w:shd w:val="clear" w:color="auto" w:fill="auto"/>
            <w:vAlign w:val="bottom"/>
          </w:tcPr>
          <w:p w14:paraId="71D3DC4A" w14:textId="77777777" w:rsidR="006A3667" w:rsidRDefault="006A3667">
            <w:pPr>
              <w:rPr>
                <w:rFonts w:ascii="宋体"/>
                <w:vanish/>
              </w:rPr>
            </w:pPr>
          </w:p>
        </w:tc>
        <w:tc>
          <w:tcPr>
            <w:tcW w:w="0" w:type="auto"/>
            <w:gridSpan w:val="3"/>
            <w:shd w:val="clear" w:color="auto" w:fill="auto"/>
            <w:vAlign w:val="bottom"/>
          </w:tcPr>
          <w:p w14:paraId="71D3DC4B" w14:textId="77777777" w:rsidR="006A3667" w:rsidRDefault="006A3667">
            <w:pPr>
              <w:rPr>
                <w:rFonts w:ascii="宋体"/>
                <w:vanish/>
              </w:rPr>
            </w:pPr>
          </w:p>
        </w:tc>
        <w:tc>
          <w:tcPr>
            <w:tcW w:w="0" w:type="auto"/>
            <w:gridSpan w:val="3"/>
            <w:shd w:val="clear" w:color="auto" w:fill="auto"/>
            <w:vAlign w:val="bottom"/>
          </w:tcPr>
          <w:p w14:paraId="71D3DC4C" w14:textId="77777777" w:rsidR="006A3667" w:rsidRDefault="006A3667">
            <w:pPr>
              <w:rPr>
                <w:rFonts w:ascii="宋体"/>
                <w:vanish/>
              </w:rPr>
            </w:pPr>
          </w:p>
        </w:tc>
        <w:tc>
          <w:tcPr>
            <w:tcW w:w="0" w:type="auto"/>
            <w:shd w:val="clear" w:color="auto" w:fill="auto"/>
            <w:vAlign w:val="bottom"/>
          </w:tcPr>
          <w:p w14:paraId="71D3DC4D" w14:textId="77777777" w:rsidR="006A3667" w:rsidRDefault="006A3667">
            <w:pPr>
              <w:rPr>
                <w:rFonts w:ascii="宋体"/>
                <w:vanish/>
              </w:rPr>
            </w:pPr>
          </w:p>
        </w:tc>
        <w:tc>
          <w:tcPr>
            <w:tcW w:w="0" w:type="auto"/>
            <w:shd w:val="clear" w:color="auto" w:fill="auto"/>
            <w:vAlign w:val="bottom"/>
          </w:tcPr>
          <w:p w14:paraId="71D3DC4E" w14:textId="77777777" w:rsidR="006A3667" w:rsidRDefault="006A3667">
            <w:pPr>
              <w:rPr>
                <w:rFonts w:ascii="宋体"/>
                <w:vanish/>
              </w:rPr>
            </w:pPr>
          </w:p>
        </w:tc>
        <w:tc>
          <w:tcPr>
            <w:tcW w:w="0" w:type="auto"/>
            <w:gridSpan w:val="3"/>
            <w:shd w:val="clear" w:color="auto" w:fill="auto"/>
            <w:vAlign w:val="bottom"/>
          </w:tcPr>
          <w:p w14:paraId="71D3DC4F" w14:textId="77777777" w:rsidR="006A3667" w:rsidRDefault="006A3667">
            <w:pPr>
              <w:rPr>
                <w:rFonts w:ascii="宋体"/>
                <w:vanish/>
              </w:rPr>
            </w:pPr>
          </w:p>
        </w:tc>
        <w:tc>
          <w:tcPr>
            <w:tcW w:w="0" w:type="auto"/>
            <w:gridSpan w:val="3"/>
            <w:shd w:val="clear" w:color="auto" w:fill="auto"/>
            <w:vAlign w:val="bottom"/>
          </w:tcPr>
          <w:p w14:paraId="71D3DC50" w14:textId="77777777" w:rsidR="006A3667" w:rsidRDefault="006A3667">
            <w:pPr>
              <w:rPr>
                <w:rFonts w:ascii="宋体"/>
                <w:vanish/>
              </w:rPr>
            </w:pPr>
          </w:p>
        </w:tc>
        <w:tc>
          <w:tcPr>
            <w:tcW w:w="0" w:type="auto"/>
            <w:gridSpan w:val="3"/>
            <w:shd w:val="clear" w:color="auto" w:fill="auto"/>
            <w:vAlign w:val="bottom"/>
          </w:tcPr>
          <w:p w14:paraId="71D3DC51" w14:textId="77777777" w:rsidR="006A3667" w:rsidRDefault="006A3667">
            <w:pPr>
              <w:rPr>
                <w:rFonts w:ascii="宋体"/>
                <w:vanish/>
              </w:rPr>
            </w:pPr>
          </w:p>
        </w:tc>
        <w:tc>
          <w:tcPr>
            <w:tcW w:w="0" w:type="auto"/>
            <w:gridSpan w:val="3"/>
            <w:shd w:val="clear" w:color="auto" w:fill="auto"/>
            <w:vAlign w:val="bottom"/>
          </w:tcPr>
          <w:p w14:paraId="71D3DC52" w14:textId="77777777" w:rsidR="006A3667" w:rsidRDefault="006A3667">
            <w:pPr>
              <w:rPr>
                <w:rFonts w:ascii="宋体"/>
                <w:vanish/>
              </w:rPr>
            </w:pPr>
          </w:p>
        </w:tc>
        <w:tc>
          <w:tcPr>
            <w:tcW w:w="0" w:type="auto"/>
            <w:gridSpan w:val="3"/>
            <w:shd w:val="clear" w:color="auto" w:fill="auto"/>
            <w:vAlign w:val="bottom"/>
          </w:tcPr>
          <w:p w14:paraId="71D3DC53" w14:textId="77777777" w:rsidR="006A3667" w:rsidRDefault="006A3667">
            <w:pPr>
              <w:rPr>
                <w:rFonts w:ascii="宋体"/>
                <w:vanish/>
              </w:rPr>
            </w:pPr>
          </w:p>
        </w:tc>
      </w:tr>
      <w:tr w:rsidR="006A3667" w14:paraId="71D3DC62" w14:textId="77777777">
        <w:tc>
          <w:tcPr>
            <w:tcW w:w="0" w:type="auto"/>
            <w:gridSpan w:val="3"/>
            <w:shd w:val="clear" w:color="auto" w:fill="FFFFFF"/>
            <w:tcMar>
              <w:top w:w="40" w:type="dxa"/>
              <w:left w:w="20" w:type="dxa"/>
              <w:bottom w:w="40" w:type="dxa"/>
              <w:right w:w="20" w:type="dxa"/>
            </w:tcMar>
            <w:vAlign w:val="bottom"/>
          </w:tcPr>
          <w:p w14:paraId="71D3DC55" w14:textId="77777777" w:rsidR="006A3667" w:rsidRDefault="00045F32">
            <w:pPr>
              <w:textAlignment w:val="bottom"/>
            </w:pPr>
            <w:r>
              <w:rPr>
                <w:rFonts w:ascii="Arial" w:eastAsia="宋体" w:hAnsi="Arial" w:cs="Arial"/>
                <w:color w:val="000000"/>
                <w:sz w:val="15"/>
                <w:szCs w:val="15"/>
              </w:rPr>
              <w:t>Total other income</w:t>
            </w:r>
          </w:p>
        </w:tc>
        <w:tc>
          <w:tcPr>
            <w:tcW w:w="0" w:type="auto"/>
            <w:gridSpan w:val="2"/>
            <w:shd w:val="clear" w:color="auto" w:fill="FFFFFF"/>
            <w:tcMar>
              <w:top w:w="40" w:type="dxa"/>
              <w:left w:w="20" w:type="dxa"/>
              <w:bottom w:w="40" w:type="dxa"/>
              <w:right w:w="0" w:type="dxa"/>
            </w:tcMar>
            <w:vAlign w:val="bottom"/>
          </w:tcPr>
          <w:p w14:paraId="71D3DC56"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C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C5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C59"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1D3DC5A" w14:textId="77777777" w:rsidR="006A3667" w:rsidRDefault="006A3667">
            <w:pPr>
              <w:jc w:val="right"/>
              <w:rPr>
                <w:rFonts w:ascii="宋体"/>
              </w:rPr>
            </w:pPr>
          </w:p>
        </w:tc>
        <w:tc>
          <w:tcPr>
            <w:tcW w:w="0" w:type="auto"/>
            <w:shd w:val="clear" w:color="auto" w:fill="auto"/>
            <w:vAlign w:val="bottom"/>
          </w:tcPr>
          <w:p w14:paraId="71D3DC5B" w14:textId="77777777" w:rsidR="006A3667" w:rsidRDefault="006A3667">
            <w:pPr>
              <w:rPr>
                <w:rFonts w:ascii="宋体"/>
                <w:vanish/>
              </w:rPr>
            </w:pPr>
          </w:p>
        </w:tc>
        <w:tc>
          <w:tcPr>
            <w:tcW w:w="0" w:type="auto"/>
            <w:shd w:val="clear" w:color="auto" w:fill="auto"/>
            <w:vAlign w:val="bottom"/>
          </w:tcPr>
          <w:p w14:paraId="71D3DC5C"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C5D"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DC5E"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C5F" w14:textId="77777777" w:rsidR="006A3667" w:rsidRDefault="006A3667">
            <w:pPr>
              <w:rPr>
                <w:rFonts w:ascii="宋体"/>
                <w:vanish/>
              </w:rPr>
            </w:pPr>
          </w:p>
        </w:tc>
        <w:tc>
          <w:tcPr>
            <w:tcW w:w="0" w:type="auto"/>
            <w:gridSpan w:val="3"/>
            <w:shd w:val="clear" w:color="auto" w:fill="auto"/>
            <w:vAlign w:val="bottom"/>
          </w:tcPr>
          <w:p w14:paraId="71D3DC60" w14:textId="77777777" w:rsidR="006A3667" w:rsidRDefault="006A3667">
            <w:pPr>
              <w:rPr>
                <w:rFonts w:ascii="宋体"/>
                <w:vanish/>
              </w:rPr>
            </w:pPr>
          </w:p>
        </w:tc>
        <w:tc>
          <w:tcPr>
            <w:tcW w:w="0" w:type="auto"/>
            <w:gridSpan w:val="3"/>
            <w:shd w:val="clear" w:color="auto" w:fill="auto"/>
            <w:vAlign w:val="bottom"/>
          </w:tcPr>
          <w:p w14:paraId="71D3DC61" w14:textId="77777777" w:rsidR="006A3667" w:rsidRDefault="006A3667">
            <w:pPr>
              <w:rPr>
                <w:rFonts w:ascii="宋体"/>
                <w:vanish/>
              </w:rPr>
            </w:pPr>
          </w:p>
        </w:tc>
      </w:tr>
      <w:tr w:rsidR="006A3667" w14:paraId="71D3DC73" w14:textId="77777777">
        <w:tc>
          <w:tcPr>
            <w:tcW w:w="0" w:type="auto"/>
            <w:gridSpan w:val="3"/>
            <w:shd w:val="clear" w:color="auto" w:fill="CCEEFF"/>
            <w:tcMar>
              <w:top w:w="40" w:type="dxa"/>
              <w:left w:w="20" w:type="dxa"/>
              <w:bottom w:w="40" w:type="dxa"/>
              <w:right w:w="20" w:type="dxa"/>
            </w:tcMar>
            <w:vAlign w:val="bottom"/>
          </w:tcPr>
          <w:p w14:paraId="71D3DC63" w14:textId="77777777" w:rsidR="006A3667" w:rsidRDefault="00045F32">
            <w:pPr>
              <w:textAlignment w:val="bottom"/>
            </w:pPr>
            <w:r>
              <w:rPr>
                <w:rFonts w:ascii="Arial" w:eastAsia="宋体" w:hAnsi="Arial" w:cs="Arial"/>
                <w:color w:val="000000"/>
                <w:sz w:val="15"/>
                <w:szCs w:val="15"/>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DC64"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C65" w14:textId="77777777" w:rsidR="006A3667" w:rsidRDefault="00045F32">
            <w:pPr>
              <w:jc w:val="right"/>
              <w:textAlignment w:val="bottom"/>
            </w:pPr>
            <w:r>
              <w:rPr>
                <w:rFonts w:ascii="Arial" w:eastAsia="宋体" w:hAnsi="Arial" w:cs="Arial"/>
                <w:b/>
                <w:bCs/>
                <w:color w:val="000000"/>
                <w:sz w:val="15"/>
                <w:szCs w:val="15"/>
              </w:rPr>
              <w:t>2,959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C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C6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DC68"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DC69" w14:textId="77777777" w:rsidR="006A3667" w:rsidRDefault="00045F32">
            <w:pPr>
              <w:jc w:val="right"/>
              <w:textAlignment w:val="bottom"/>
            </w:pPr>
            <w:r>
              <w:rPr>
                <w:rFonts w:ascii="Arial" w:eastAsia="宋体" w:hAnsi="Arial" w:cs="Arial"/>
                <w:color w:val="000000"/>
                <w:sz w:val="15"/>
                <w:szCs w:val="15"/>
              </w:rPr>
              <w:t>2,990 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C6A" w14:textId="77777777" w:rsidR="006A3667" w:rsidRDefault="006A3667">
            <w:pPr>
              <w:jc w:val="right"/>
              <w:rPr>
                <w:rFonts w:ascii="宋体"/>
              </w:rPr>
            </w:pPr>
          </w:p>
        </w:tc>
        <w:tc>
          <w:tcPr>
            <w:tcW w:w="0" w:type="auto"/>
            <w:shd w:val="clear" w:color="auto" w:fill="auto"/>
            <w:vAlign w:val="bottom"/>
          </w:tcPr>
          <w:p w14:paraId="71D3DC6B" w14:textId="77777777" w:rsidR="006A3667" w:rsidRDefault="006A3667">
            <w:pPr>
              <w:rPr>
                <w:rFonts w:ascii="宋体"/>
                <w:vanish/>
              </w:rPr>
            </w:pPr>
          </w:p>
        </w:tc>
        <w:tc>
          <w:tcPr>
            <w:tcW w:w="0" w:type="auto"/>
            <w:shd w:val="clear" w:color="auto" w:fill="auto"/>
            <w:vAlign w:val="bottom"/>
          </w:tcPr>
          <w:p w14:paraId="71D3DC6C"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C6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C6E"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1D3DC6F" w14:textId="77777777" w:rsidR="006A3667" w:rsidRDefault="006A3667">
            <w:pPr>
              <w:jc w:val="right"/>
              <w:rPr>
                <w:rFonts w:ascii="宋体"/>
              </w:rPr>
            </w:pPr>
          </w:p>
        </w:tc>
        <w:tc>
          <w:tcPr>
            <w:tcW w:w="0" w:type="auto"/>
            <w:gridSpan w:val="3"/>
            <w:shd w:val="clear" w:color="auto" w:fill="auto"/>
            <w:vAlign w:val="bottom"/>
          </w:tcPr>
          <w:p w14:paraId="71D3DC70" w14:textId="77777777" w:rsidR="006A3667" w:rsidRDefault="006A3667">
            <w:pPr>
              <w:rPr>
                <w:rFonts w:ascii="宋体"/>
                <w:vanish/>
              </w:rPr>
            </w:pPr>
          </w:p>
        </w:tc>
        <w:tc>
          <w:tcPr>
            <w:tcW w:w="0" w:type="auto"/>
            <w:gridSpan w:val="3"/>
            <w:shd w:val="clear" w:color="auto" w:fill="auto"/>
            <w:vAlign w:val="bottom"/>
          </w:tcPr>
          <w:p w14:paraId="71D3DC71" w14:textId="77777777" w:rsidR="006A3667" w:rsidRDefault="006A3667">
            <w:pPr>
              <w:rPr>
                <w:rFonts w:ascii="宋体"/>
                <w:vanish/>
              </w:rPr>
            </w:pPr>
          </w:p>
        </w:tc>
        <w:tc>
          <w:tcPr>
            <w:tcW w:w="0" w:type="auto"/>
            <w:gridSpan w:val="3"/>
            <w:shd w:val="clear" w:color="auto" w:fill="auto"/>
            <w:vAlign w:val="bottom"/>
          </w:tcPr>
          <w:p w14:paraId="71D3DC72" w14:textId="77777777" w:rsidR="006A3667" w:rsidRDefault="006A3667">
            <w:pPr>
              <w:rPr>
                <w:rFonts w:ascii="宋体"/>
                <w:vanish/>
              </w:rPr>
            </w:pPr>
          </w:p>
        </w:tc>
      </w:tr>
      <w:tr w:rsidR="006A3667" w14:paraId="71D3DC7F" w14:textId="77777777">
        <w:trPr>
          <w:trHeight w:val="240"/>
        </w:trPr>
        <w:tc>
          <w:tcPr>
            <w:tcW w:w="0" w:type="auto"/>
            <w:gridSpan w:val="3"/>
            <w:shd w:val="clear" w:color="auto" w:fill="auto"/>
            <w:tcMar>
              <w:top w:w="0" w:type="dxa"/>
              <w:left w:w="20" w:type="dxa"/>
              <w:bottom w:w="0" w:type="dxa"/>
              <w:right w:w="20" w:type="dxa"/>
            </w:tcMar>
            <w:vAlign w:val="bottom"/>
          </w:tcPr>
          <w:p w14:paraId="71D3DC74"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3DC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C76"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3DC77" w14:textId="77777777" w:rsidR="006A3667" w:rsidRDefault="006A3667">
            <w:pPr>
              <w:rPr>
                <w:rFonts w:ascii="宋体"/>
              </w:rPr>
            </w:pPr>
          </w:p>
        </w:tc>
        <w:tc>
          <w:tcPr>
            <w:tcW w:w="0" w:type="auto"/>
            <w:shd w:val="clear" w:color="auto" w:fill="auto"/>
            <w:vAlign w:val="bottom"/>
          </w:tcPr>
          <w:p w14:paraId="71D3DC78" w14:textId="77777777" w:rsidR="006A3667" w:rsidRDefault="006A3667">
            <w:pPr>
              <w:rPr>
                <w:rFonts w:ascii="宋体"/>
                <w:vanish/>
              </w:rPr>
            </w:pPr>
          </w:p>
        </w:tc>
        <w:tc>
          <w:tcPr>
            <w:tcW w:w="0" w:type="auto"/>
            <w:shd w:val="clear" w:color="auto" w:fill="auto"/>
            <w:vAlign w:val="bottom"/>
          </w:tcPr>
          <w:p w14:paraId="71D3DC79"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DC7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C7B" w14:textId="77777777" w:rsidR="006A3667" w:rsidRDefault="006A3667">
            <w:pPr>
              <w:rPr>
                <w:rFonts w:ascii="宋体"/>
              </w:rPr>
            </w:pPr>
          </w:p>
        </w:tc>
        <w:tc>
          <w:tcPr>
            <w:tcW w:w="0" w:type="auto"/>
            <w:gridSpan w:val="3"/>
            <w:shd w:val="clear" w:color="auto" w:fill="auto"/>
            <w:vAlign w:val="bottom"/>
          </w:tcPr>
          <w:p w14:paraId="71D3DC7C" w14:textId="77777777" w:rsidR="006A3667" w:rsidRDefault="006A3667">
            <w:pPr>
              <w:rPr>
                <w:rFonts w:ascii="宋体"/>
                <w:vanish/>
              </w:rPr>
            </w:pPr>
          </w:p>
        </w:tc>
        <w:tc>
          <w:tcPr>
            <w:tcW w:w="0" w:type="auto"/>
            <w:gridSpan w:val="3"/>
            <w:shd w:val="clear" w:color="auto" w:fill="auto"/>
            <w:vAlign w:val="bottom"/>
          </w:tcPr>
          <w:p w14:paraId="71D3DC7D" w14:textId="77777777" w:rsidR="006A3667" w:rsidRDefault="006A3667">
            <w:pPr>
              <w:rPr>
                <w:rFonts w:ascii="宋体"/>
                <w:vanish/>
              </w:rPr>
            </w:pPr>
          </w:p>
        </w:tc>
        <w:tc>
          <w:tcPr>
            <w:tcW w:w="0" w:type="auto"/>
            <w:gridSpan w:val="3"/>
            <w:shd w:val="clear" w:color="auto" w:fill="auto"/>
            <w:vAlign w:val="bottom"/>
          </w:tcPr>
          <w:p w14:paraId="71D3DC7E" w14:textId="77777777" w:rsidR="006A3667" w:rsidRDefault="006A3667">
            <w:pPr>
              <w:rPr>
                <w:rFonts w:ascii="宋体"/>
                <w:vanish/>
              </w:rPr>
            </w:pPr>
          </w:p>
        </w:tc>
      </w:tr>
      <w:tr w:rsidR="006A3667" w14:paraId="71D3DC89" w14:textId="77777777">
        <w:trPr>
          <w:trHeight w:val="220"/>
        </w:trPr>
        <w:tc>
          <w:tcPr>
            <w:tcW w:w="0" w:type="auto"/>
            <w:gridSpan w:val="3"/>
            <w:shd w:val="clear" w:color="auto" w:fill="auto"/>
            <w:tcMar>
              <w:top w:w="0" w:type="dxa"/>
              <w:left w:w="20" w:type="dxa"/>
              <w:bottom w:w="0" w:type="dxa"/>
              <w:right w:w="20" w:type="dxa"/>
            </w:tcMar>
            <w:vAlign w:val="bottom"/>
          </w:tcPr>
          <w:p w14:paraId="71D3DC80"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center"/>
          </w:tcPr>
          <w:p w14:paraId="71D3DC81" w14:textId="77777777" w:rsidR="006A3667" w:rsidRDefault="00045F32">
            <w:pPr>
              <w:jc w:val="center"/>
              <w:textAlignment w:val="center"/>
            </w:pPr>
            <w:r>
              <w:rPr>
                <w:rFonts w:ascii="Arial" w:eastAsia="宋体" w:hAnsi="Arial" w:cs="Arial"/>
                <w:b/>
                <w:bCs/>
                <w:color w:val="000000"/>
                <w:sz w:val="15"/>
                <w:szCs w:val="15"/>
              </w:rPr>
              <w:t>Nine Months Ended September 30,</w:t>
            </w:r>
          </w:p>
        </w:tc>
        <w:tc>
          <w:tcPr>
            <w:tcW w:w="0" w:type="auto"/>
            <w:shd w:val="clear" w:color="auto" w:fill="auto"/>
            <w:vAlign w:val="bottom"/>
          </w:tcPr>
          <w:p w14:paraId="71D3DC82" w14:textId="77777777" w:rsidR="006A3667" w:rsidRDefault="006A3667">
            <w:pPr>
              <w:rPr>
                <w:rFonts w:ascii="宋体"/>
                <w:vanish/>
              </w:rPr>
            </w:pPr>
          </w:p>
        </w:tc>
        <w:tc>
          <w:tcPr>
            <w:tcW w:w="0" w:type="auto"/>
            <w:shd w:val="clear" w:color="auto" w:fill="auto"/>
            <w:vAlign w:val="bottom"/>
          </w:tcPr>
          <w:p w14:paraId="71D3DC83"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DC84"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3DC85" w14:textId="77777777" w:rsidR="006A3667" w:rsidRDefault="00045F32">
            <w:pPr>
              <w:jc w:val="center"/>
              <w:textAlignment w:val="bottom"/>
            </w:pPr>
            <w:r>
              <w:rPr>
                <w:rFonts w:ascii="Arial" w:eastAsia="宋体" w:hAnsi="Arial" w:cs="Arial"/>
                <w:b/>
                <w:bCs/>
                <w:color w:val="000000"/>
                <w:sz w:val="15"/>
                <w:szCs w:val="15"/>
              </w:rPr>
              <w:t xml:space="preserve">% Change </w:t>
            </w:r>
          </w:p>
        </w:tc>
        <w:tc>
          <w:tcPr>
            <w:tcW w:w="0" w:type="auto"/>
            <w:gridSpan w:val="3"/>
            <w:shd w:val="clear" w:color="auto" w:fill="auto"/>
            <w:vAlign w:val="bottom"/>
          </w:tcPr>
          <w:p w14:paraId="71D3DC86" w14:textId="77777777" w:rsidR="006A3667" w:rsidRDefault="006A3667">
            <w:pPr>
              <w:rPr>
                <w:rFonts w:ascii="宋体"/>
                <w:vanish/>
              </w:rPr>
            </w:pPr>
          </w:p>
        </w:tc>
        <w:tc>
          <w:tcPr>
            <w:tcW w:w="0" w:type="auto"/>
            <w:gridSpan w:val="3"/>
            <w:shd w:val="clear" w:color="auto" w:fill="auto"/>
            <w:vAlign w:val="bottom"/>
          </w:tcPr>
          <w:p w14:paraId="71D3DC87" w14:textId="77777777" w:rsidR="006A3667" w:rsidRDefault="006A3667">
            <w:pPr>
              <w:rPr>
                <w:rFonts w:ascii="宋体"/>
                <w:vanish/>
              </w:rPr>
            </w:pPr>
          </w:p>
        </w:tc>
        <w:tc>
          <w:tcPr>
            <w:tcW w:w="0" w:type="auto"/>
            <w:gridSpan w:val="3"/>
            <w:shd w:val="clear" w:color="auto" w:fill="auto"/>
            <w:vAlign w:val="bottom"/>
          </w:tcPr>
          <w:p w14:paraId="71D3DC88" w14:textId="77777777" w:rsidR="006A3667" w:rsidRDefault="006A3667">
            <w:pPr>
              <w:rPr>
                <w:rFonts w:ascii="宋体"/>
                <w:vanish/>
              </w:rPr>
            </w:pPr>
          </w:p>
        </w:tc>
      </w:tr>
      <w:tr w:rsidR="006A3667" w14:paraId="71D3DC97" w14:textId="77777777">
        <w:trPr>
          <w:trHeight w:val="220"/>
        </w:trPr>
        <w:tc>
          <w:tcPr>
            <w:tcW w:w="0" w:type="auto"/>
            <w:gridSpan w:val="3"/>
            <w:shd w:val="clear" w:color="auto" w:fill="auto"/>
            <w:tcMar>
              <w:top w:w="40" w:type="dxa"/>
              <w:left w:w="20" w:type="dxa"/>
              <w:bottom w:w="40" w:type="dxa"/>
              <w:right w:w="20" w:type="dxa"/>
            </w:tcMar>
            <w:vAlign w:val="bottom"/>
          </w:tcPr>
          <w:p w14:paraId="71D3DC8A" w14:textId="77777777" w:rsidR="006A3667" w:rsidRDefault="00045F32">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C8B"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C8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C8D" w14:textId="77777777" w:rsidR="006A3667" w:rsidRDefault="00045F32">
            <w:pPr>
              <w:jc w:val="center"/>
              <w:textAlignment w:val="bottom"/>
            </w:pPr>
            <w:r>
              <w:rPr>
                <w:rFonts w:ascii="Arial" w:eastAsia="宋体" w:hAnsi="Arial" w:cs="Arial"/>
                <w:b/>
                <w:bCs/>
                <w:color w:val="000000"/>
                <w:sz w:val="15"/>
                <w:szCs w:val="15"/>
              </w:rPr>
              <w:t>2021</w:t>
            </w:r>
          </w:p>
        </w:tc>
        <w:tc>
          <w:tcPr>
            <w:tcW w:w="0" w:type="auto"/>
            <w:shd w:val="clear" w:color="auto" w:fill="auto"/>
            <w:vAlign w:val="bottom"/>
          </w:tcPr>
          <w:p w14:paraId="71D3DC8E" w14:textId="77777777" w:rsidR="006A3667" w:rsidRDefault="006A3667">
            <w:pPr>
              <w:rPr>
                <w:rFonts w:ascii="宋体"/>
                <w:vanish/>
              </w:rPr>
            </w:pPr>
          </w:p>
        </w:tc>
        <w:tc>
          <w:tcPr>
            <w:tcW w:w="0" w:type="auto"/>
            <w:shd w:val="clear" w:color="auto" w:fill="auto"/>
            <w:vAlign w:val="bottom"/>
          </w:tcPr>
          <w:p w14:paraId="71D3DC8F"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DC90"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3DC91" w14:textId="77777777" w:rsidR="006A3667" w:rsidRDefault="006A3667">
            <w:pPr>
              <w:jc w:val="center"/>
              <w:rPr>
                <w:rFonts w:ascii="宋体"/>
              </w:rPr>
            </w:pPr>
          </w:p>
        </w:tc>
        <w:tc>
          <w:tcPr>
            <w:tcW w:w="0" w:type="auto"/>
            <w:gridSpan w:val="3"/>
            <w:shd w:val="clear" w:color="auto" w:fill="auto"/>
            <w:vAlign w:val="bottom"/>
          </w:tcPr>
          <w:p w14:paraId="71D3DC92" w14:textId="77777777" w:rsidR="006A3667" w:rsidRDefault="006A3667">
            <w:pPr>
              <w:rPr>
                <w:rFonts w:ascii="宋体"/>
                <w:vanish/>
              </w:rPr>
            </w:pPr>
          </w:p>
        </w:tc>
        <w:tc>
          <w:tcPr>
            <w:tcW w:w="0" w:type="auto"/>
            <w:gridSpan w:val="3"/>
            <w:shd w:val="clear" w:color="auto" w:fill="auto"/>
            <w:vAlign w:val="bottom"/>
          </w:tcPr>
          <w:p w14:paraId="71D3DC93" w14:textId="77777777" w:rsidR="006A3667" w:rsidRDefault="006A3667">
            <w:pPr>
              <w:rPr>
                <w:rFonts w:ascii="宋体"/>
                <w:vanish/>
              </w:rPr>
            </w:pPr>
          </w:p>
        </w:tc>
        <w:tc>
          <w:tcPr>
            <w:tcW w:w="0" w:type="auto"/>
            <w:shd w:val="clear" w:color="auto" w:fill="auto"/>
            <w:vAlign w:val="bottom"/>
          </w:tcPr>
          <w:p w14:paraId="71D3DC94" w14:textId="77777777" w:rsidR="006A3667" w:rsidRDefault="006A3667">
            <w:pPr>
              <w:rPr>
                <w:rFonts w:ascii="宋体"/>
              </w:rPr>
            </w:pPr>
          </w:p>
        </w:tc>
        <w:tc>
          <w:tcPr>
            <w:tcW w:w="0" w:type="auto"/>
            <w:shd w:val="clear" w:color="auto" w:fill="auto"/>
            <w:vAlign w:val="bottom"/>
          </w:tcPr>
          <w:p w14:paraId="71D3DC95" w14:textId="77777777" w:rsidR="006A3667" w:rsidRDefault="006A3667">
            <w:pPr>
              <w:rPr>
                <w:rFonts w:ascii="宋体"/>
              </w:rPr>
            </w:pPr>
          </w:p>
        </w:tc>
        <w:tc>
          <w:tcPr>
            <w:tcW w:w="0" w:type="auto"/>
            <w:shd w:val="clear" w:color="auto" w:fill="auto"/>
            <w:vAlign w:val="bottom"/>
          </w:tcPr>
          <w:p w14:paraId="71D3DC96" w14:textId="77777777" w:rsidR="006A3667" w:rsidRDefault="006A3667">
            <w:pPr>
              <w:rPr>
                <w:rFonts w:ascii="宋体"/>
              </w:rPr>
            </w:pPr>
          </w:p>
        </w:tc>
      </w:tr>
      <w:tr w:rsidR="006A3667" w14:paraId="71D3DCA3" w14:textId="77777777">
        <w:tc>
          <w:tcPr>
            <w:tcW w:w="0" w:type="auto"/>
            <w:gridSpan w:val="3"/>
            <w:shd w:val="clear" w:color="auto" w:fill="auto"/>
            <w:tcMar>
              <w:top w:w="40" w:type="dxa"/>
              <w:left w:w="20" w:type="dxa"/>
              <w:bottom w:w="40" w:type="dxa"/>
              <w:right w:w="20" w:type="dxa"/>
            </w:tcMar>
            <w:vAlign w:val="bottom"/>
          </w:tcPr>
          <w:p w14:paraId="71D3DC98" w14:textId="77777777" w:rsidR="006A3667" w:rsidRDefault="00045F32">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C9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C9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C9B" w14:textId="77777777" w:rsidR="006A3667" w:rsidRDefault="006A3667">
            <w:pPr>
              <w:rPr>
                <w:rFonts w:ascii="宋体"/>
              </w:rPr>
            </w:pPr>
          </w:p>
        </w:tc>
        <w:tc>
          <w:tcPr>
            <w:tcW w:w="0" w:type="auto"/>
            <w:shd w:val="clear" w:color="auto" w:fill="auto"/>
            <w:vAlign w:val="bottom"/>
          </w:tcPr>
          <w:p w14:paraId="71D3DC9C" w14:textId="77777777" w:rsidR="006A3667" w:rsidRDefault="006A3667">
            <w:pPr>
              <w:rPr>
                <w:rFonts w:ascii="宋体"/>
                <w:vanish/>
              </w:rPr>
            </w:pPr>
          </w:p>
        </w:tc>
        <w:tc>
          <w:tcPr>
            <w:tcW w:w="0" w:type="auto"/>
            <w:shd w:val="clear" w:color="auto" w:fill="auto"/>
            <w:vAlign w:val="bottom"/>
          </w:tcPr>
          <w:p w14:paraId="71D3DC9D"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DC9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C9F" w14:textId="77777777" w:rsidR="006A3667" w:rsidRDefault="006A3667">
            <w:pPr>
              <w:rPr>
                <w:rFonts w:ascii="宋体"/>
              </w:rPr>
            </w:pPr>
          </w:p>
        </w:tc>
        <w:tc>
          <w:tcPr>
            <w:tcW w:w="0" w:type="auto"/>
            <w:gridSpan w:val="3"/>
            <w:shd w:val="clear" w:color="auto" w:fill="auto"/>
            <w:vAlign w:val="bottom"/>
          </w:tcPr>
          <w:p w14:paraId="71D3DCA0" w14:textId="77777777" w:rsidR="006A3667" w:rsidRDefault="006A3667">
            <w:pPr>
              <w:rPr>
                <w:rFonts w:ascii="宋体"/>
                <w:vanish/>
              </w:rPr>
            </w:pPr>
          </w:p>
        </w:tc>
        <w:tc>
          <w:tcPr>
            <w:tcW w:w="0" w:type="auto"/>
            <w:gridSpan w:val="3"/>
            <w:shd w:val="clear" w:color="auto" w:fill="auto"/>
            <w:vAlign w:val="bottom"/>
          </w:tcPr>
          <w:p w14:paraId="71D3DCA1" w14:textId="77777777" w:rsidR="006A3667" w:rsidRDefault="006A3667">
            <w:pPr>
              <w:rPr>
                <w:rFonts w:ascii="宋体"/>
                <w:vanish/>
              </w:rPr>
            </w:pPr>
          </w:p>
        </w:tc>
        <w:tc>
          <w:tcPr>
            <w:tcW w:w="0" w:type="auto"/>
            <w:gridSpan w:val="3"/>
            <w:shd w:val="clear" w:color="auto" w:fill="auto"/>
            <w:vAlign w:val="bottom"/>
          </w:tcPr>
          <w:p w14:paraId="71D3DCA2" w14:textId="77777777" w:rsidR="006A3667" w:rsidRDefault="006A3667">
            <w:pPr>
              <w:rPr>
                <w:rFonts w:ascii="宋体"/>
                <w:vanish/>
              </w:rPr>
            </w:pPr>
          </w:p>
        </w:tc>
      </w:tr>
      <w:tr w:rsidR="006A3667" w14:paraId="71D3DCB4" w14:textId="77777777">
        <w:tc>
          <w:tcPr>
            <w:tcW w:w="0" w:type="auto"/>
            <w:gridSpan w:val="3"/>
            <w:shd w:val="clear" w:color="auto" w:fill="CCEEFF"/>
            <w:tcMar>
              <w:top w:w="40" w:type="dxa"/>
              <w:left w:w="20" w:type="dxa"/>
              <w:bottom w:w="40" w:type="dxa"/>
              <w:right w:w="20" w:type="dxa"/>
            </w:tcMar>
          </w:tcPr>
          <w:p w14:paraId="71D3DCA4" w14:textId="77777777" w:rsidR="006A3667" w:rsidRDefault="00045F32">
            <w:pPr>
              <w:textAlignment w:val="top"/>
            </w:pPr>
            <w:r>
              <w:rPr>
                <w:rFonts w:ascii="Arial" w:eastAsia="宋体" w:hAnsi="Arial" w:cs="Arial"/>
                <w:color w:val="000000"/>
                <w:sz w:val="15"/>
                <w:szCs w:val="15"/>
              </w:rPr>
              <w:t>      Back office services</w:t>
            </w:r>
          </w:p>
        </w:tc>
        <w:tc>
          <w:tcPr>
            <w:tcW w:w="0" w:type="auto"/>
            <w:shd w:val="clear" w:color="auto" w:fill="CCEEFF"/>
            <w:tcMar>
              <w:top w:w="40" w:type="dxa"/>
              <w:left w:w="20" w:type="dxa"/>
              <w:bottom w:w="40" w:type="dxa"/>
              <w:right w:w="0" w:type="dxa"/>
            </w:tcMar>
            <w:vAlign w:val="bottom"/>
          </w:tcPr>
          <w:p w14:paraId="71D3DCA5"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3DCA6" w14:textId="77777777" w:rsidR="006A3667" w:rsidRDefault="00045F32">
            <w:pPr>
              <w:jc w:val="right"/>
              <w:textAlignment w:val="bottom"/>
            </w:pPr>
            <w:r>
              <w:rPr>
                <w:rFonts w:ascii="Arial" w:eastAsia="宋体" w:hAnsi="Arial" w:cs="Arial"/>
                <w:b/>
                <w:bCs/>
                <w:color w:val="000000"/>
                <w:sz w:val="15"/>
                <w:szCs w:val="15"/>
              </w:rPr>
              <w:t>3,599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C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CA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DCA9"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3DCAA" w14:textId="77777777" w:rsidR="006A3667" w:rsidRDefault="00045F32">
            <w:pPr>
              <w:jc w:val="right"/>
              <w:textAlignment w:val="bottom"/>
            </w:pPr>
            <w:r>
              <w:rPr>
                <w:rFonts w:ascii="Arial" w:eastAsia="宋体" w:hAnsi="Arial" w:cs="Arial"/>
                <w:color w:val="000000"/>
                <w:sz w:val="15"/>
                <w:szCs w:val="15"/>
              </w:rPr>
              <w:t>3,845 </w:t>
            </w:r>
          </w:p>
        </w:tc>
        <w:tc>
          <w:tcPr>
            <w:tcW w:w="0" w:type="auto"/>
            <w:shd w:val="clear" w:color="auto" w:fill="CCEEFF"/>
            <w:tcMar>
              <w:top w:w="40" w:type="dxa"/>
              <w:left w:w="0" w:type="dxa"/>
              <w:bottom w:w="40" w:type="dxa"/>
              <w:right w:w="20" w:type="dxa"/>
            </w:tcMar>
            <w:vAlign w:val="bottom"/>
          </w:tcPr>
          <w:p w14:paraId="71D3DCAB" w14:textId="77777777" w:rsidR="006A3667" w:rsidRDefault="006A3667">
            <w:pPr>
              <w:jc w:val="right"/>
              <w:rPr>
                <w:rFonts w:ascii="宋体"/>
              </w:rPr>
            </w:pPr>
          </w:p>
        </w:tc>
        <w:tc>
          <w:tcPr>
            <w:tcW w:w="0" w:type="auto"/>
            <w:shd w:val="clear" w:color="auto" w:fill="auto"/>
            <w:vAlign w:val="bottom"/>
          </w:tcPr>
          <w:p w14:paraId="71D3DCAC" w14:textId="77777777" w:rsidR="006A3667" w:rsidRDefault="006A3667">
            <w:pPr>
              <w:rPr>
                <w:rFonts w:ascii="宋体"/>
                <w:vanish/>
              </w:rPr>
            </w:pPr>
          </w:p>
        </w:tc>
        <w:tc>
          <w:tcPr>
            <w:tcW w:w="0" w:type="auto"/>
            <w:shd w:val="clear" w:color="auto" w:fill="auto"/>
            <w:vAlign w:val="bottom"/>
          </w:tcPr>
          <w:p w14:paraId="71D3DCAD"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CA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CAF" w14:textId="77777777" w:rsidR="006A3667" w:rsidRDefault="00045F32">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71D3DCB0"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71D3DCB1" w14:textId="77777777" w:rsidR="006A3667" w:rsidRDefault="006A3667">
            <w:pPr>
              <w:rPr>
                <w:rFonts w:ascii="宋体"/>
                <w:vanish/>
              </w:rPr>
            </w:pPr>
          </w:p>
        </w:tc>
        <w:tc>
          <w:tcPr>
            <w:tcW w:w="0" w:type="auto"/>
            <w:gridSpan w:val="3"/>
            <w:shd w:val="clear" w:color="auto" w:fill="auto"/>
            <w:vAlign w:val="bottom"/>
          </w:tcPr>
          <w:p w14:paraId="71D3DCB2" w14:textId="77777777" w:rsidR="006A3667" w:rsidRDefault="006A3667">
            <w:pPr>
              <w:rPr>
                <w:rFonts w:ascii="宋体"/>
                <w:vanish/>
              </w:rPr>
            </w:pPr>
          </w:p>
        </w:tc>
        <w:tc>
          <w:tcPr>
            <w:tcW w:w="0" w:type="auto"/>
            <w:gridSpan w:val="3"/>
            <w:shd w:val="clear" w:color="auto" w:fill="auto"/>
            <w:vAlign w:val="bottom"/>
          </w:tcPr>
          <w:p w14:paraId="71D3DCB3" w14:textId="77777777" w:rsidR="006A3667" w:rsidRDefault="006A3667">
            <w:pPr>
              <w:rPr>
                <w:rFonts w:ascii="宋体"/>
                <w:vanish/>
              </w:rPr>
            </w:pPr>
          </w:p>
        </w:tc>
      </w:tr>
      <w:tr w:rsidR="006A3667" w14:paraId="71D3DCC3" w14:textId="77777777">
        <w:tc>
          <w:tcPr>
            <w:tcW w:w="0" w:type="auto"/>
            <w:gridSpan w:val="3"/>
            <w:shd w:val="clear" w:color="auto" w:fill="FFFFFF"/>
            <w:tcMar>
              <w:top w:w="40" w:type="dxa"/>
              <w:left w:w="20" w:type="dxa"/>
              <w:bottom w:w="40" w:type="dxa"/>
              <w:right w:w="20" w:type="dxa"/>
            </w:tcMar>
          </w:tcPr>
          <w:p w14:paraId="71D3DCB5" w14:textId="77777777" w:rsidR="006A3667" w:rsidRDefault="00045F32">
            <w:pPr>
              <w:textAlignment w:val="top"/>
            </w:pPr>
            <w:r>
              <w:rPr>
                <w:rFonts w:ascii="Arial" w:eastAsia="宋体" w:hAnsi="Arial" w:cs="Arial"/>
                <w:color w:val="000000"/>
                <w:sz w:val="15"/>
                <w:szCs w:val="15"/>
              </w:rPr>
              <w:t>      Middle office services</w:t>
            </w:r>
          </w:p>
        </w:tc>
        <w:tc>
          <w:tcPr>
            <w:tcW w:w="0" w:type="auto"/>
            <w:gridSpan w:val="2"/>
            <w:shd w:val="clear" w:color="auto" w:fill="FFFFFF"/>
            <w:tcMar>
              <w:top w:w="40" w:type="dxa"/>
              <w:left w:w="20" w:type="dxa"/>
              <w:bottom w:w="40" w:type="dxa"/>
              <w:right w:w="0" w:type="dxa"/>
            </w:tcMar>
            <w:vAlign w:val="bottom"/>
          </w:tcPr>
          <w:p w14:paraId="71D3DCB6" w14:textId="77777777" w:rsidR="006A3667" w:rsidRDefault="00045F32">
            <w:pPr>
              <w:jc w:val="right"/>
              <w:textAlignment w:val="bottom"/>
            </w:pPr>
            <w:r>
              <w:rPr>
                <w:rFonts w:ascii="Arial" w:eastAsia="宋体" w:hAnsi="Arial" w:cs="Arial"/>
                <w:b/>
                <w:bCs/>
                <w:color w:val="000000"/>
                <w:sz w:val="15"/>
                <w:szCs w:val="15"/>
              </w:rPr>
              <w:t>285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CB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CB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CB9" w14:textId="77777777" w:rsidR="006A3667" w:rsidRDefault="00045F32">
            <w:pPr>
              <w:jc w:val="right"/>
              <w:textAlignment w:val="bottom"/>
            </w:pPr>
            <w:r>
              <w:rPr>
                <w:rFonts w:ascii="Arial" w:eastAsia="宋体" w:hAnsi="Arial" w:cs="Arial"/>
                <w:color w:val="000000"/>
                <w:sz w:val="15"/>
                <w:szCs w:val="15"/>
              </w:rPr>
              <w:t>309 </w:t>
            </w:r>
          </w:p>
        </w:tc>
        <w:tc>
          <w:tcPr>
            <w:tcW w:w="0" w:type="auto"/>
            <w:shd w:val="clear" w:color="auto" w:fill="FFFFFF"/>
            <w:tcMar>
              <w:top w:w="40" w:type="dxa"/>
              <w:left w:w="0" w:type="dxa"/>
              <w:bottom w:w="40" w:type="dxa"/>
              <w:right w:w="20" w:type="dxa"/>
            </w:tcMar>
            <w:vAlign w:val="bottom"/>
          </w:tcPr>
          <w:p w14:paraId="71D3DCBA" w14:textId="77777777" w:rsidR="006A3667" w:rsidRDefault="006A3667">
            <w:pPr>
              <w:jc w:val="right"/>
              <w:rPr>
                <w:rFonts w:ascii="宋体"/>
              </w:rPr>
            </w:pPr>
          </w:p>
        </w:tc>
        <w:tc>
          <w:tcPr>
            <w:tcW w:w="0" w:type="auto"/>
            <w:shd w:val="clear" w:color="auto" w:fill="auto"/>
            <w:vAlign w:val="bottom"/>
          </w:tcPr>
          <w:p w14:paraId="71D3DCBB" w14:textId="77777777" w:rsidR="006A3667" w:rsidRDefault="006A3667">
            <w:pPr>
              <w:rPr>
                <w:rFonts w:ascii="宋体"/>
                <w:vanish/>
              </w:rPr>
            </w:pPr>
          </w:p>
        </w:tc>
        <w:tc>
          <w:tcPr>
            <w:tcW w:w="0" w:type="auto"/>
            <w:shd w:val="clear" w:color="auto" w:fill="auto"/>
            <w:vAlign w:val="bottom"/>
          </w:tcPr>
          <w:p w14:paraId="71D3DCBC"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CB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CBE" w14:textId="77777777" w:rsidR="006A3667" w:rsidRDefault="00045F32">
            <w:pPr>
              <w:jc w:val="right"/>
              <w:textAlignment w:val="bottom"/>
            </w:pPr>
            <w:r>
              <w:rPr>
                <w:rFonts w:ascii="Arial" w:eastAsia="宋体" w:hAnsi="Arial" w:cs="Arial"/>
                <w:color w:val="000000"/>
                <w:sz w:val="15"/>
                <w:szCs w:val="15"/>
              </w:rPr>
              <w:t>(8)</w:t>
            </w:r>
          </w:p>
        </w:tc>
        <w:tc>
          <w:tcPr>
            <w:tcW w:w="0" w:type="auto"/>
            <w:shd w:val="clear" w:color="auto" w:fill="FFFFFF"/>
            <w:tcMar>
              <w:top w:w="40" w:type="dxa"/>
              <w:left w:w="0" w:type="dxa"/>
              <w:bottom w:w="40" w:type="dxa"/>
              <w:right w:w="20" w:type="dxa"/>
            </w:tcMar>
            <w:vAlign w:val="bottom"/>
          </w:tcPr>
          <w:p w14:paraId="71D3DCBF" w14:textId="77777777" w:rsidR="006A3667" w:rsidRDefault="006A3667">
            <w:pPr>
              <w:jc w:val="right"/>
              <w:rPr>
                <w:rFonts w:ascii="宋体"/>
              </w:rPr>
            </w:pPr>
          </w:p>
        </w:tc>
        <w:tc>
          <w:tcPr>
            <w:tcW w:w="0" w:type="auto"/>
            <w:gridSpan w:val="3"/>
            <w:shd w:val="clear" w:color="auto" w:fill="auto"/>
            <w:vAlign w:val="bottom"/>
          </w:tcPr>
          <w:p w14:paraId="71D3DCC0" w14:textId="77777777" w:rsidR="006A3667" w:rsidRDefault="006A3667">
            <w:pPr>
              <w:rPr>
                <w:rFonts w:ascii="宋体"/>
                <w:vanish/>
              </w:rPr>
            </w:pPr>
          </w:p>
        </w:tc>
        <w:tc>
          <w:tcPr>
            <w:tcW w:w="0" w:type="auto"/>
            <w:gridSpan w:val="3"/>
            <w:shd w:val="clear" w:color="auto" w:fill="auto"/>
            <w:vAlign w:val="bottom"/>
          </w:tcPr>
          <w:p w14:paraId="71D3DCC1" w14:textId="77777777" w:rsidR="006A3667" w:rsidRDefault="006A3667">
            <w:pPr>
              <w:rPr>
                <w:rFonts w:ascii="宋体"/>
                <w:vanish/>
              </w:rPr>
            </w:pPr>
          </w:p>
        </w:tc>
        <w:tc>
          <w:tcPr>
            <w:tcW w:w="0" w:type="auto"/>
            <w:gridSpan w:val="3"/>
            <w:shd w:val="clear" w:color="auto" w:fill="auto"/>
            <w:vAlign w:val="bottom"/>
          </w:tcPr>
          <w:p w14:paraId="71D3DCC2" w14:textId="77777777" w:rsidR="006A3667" w:rsidRDefault="006A3667">
            <w:pPr>
              <w:rPr>
                <w:rFonts w:ascii="宋体"/>
                <w:vanish/>
              </w:rPr>
            </w:pPr>
          </w:p>
        </w:tc>
      </w:tr>
      <w:tr w:rsidR="006A3667" w14:paraId="71D3DCD2" w14:textId="77777777">
        <w:tc>
          <w:tcPr>
            <w:tcW w:w="0" w:type="auto"/>
            <w:gridSpan w:val="3"/>
            <w:shd w:val="clear" w:color="auto" w:fill="CCEEFF"/>
            <w:tcMar>
              <w:top w:w="40" w:type="dxa"/>
              <w:left w:w="20" w:type="dxa"/>
              <w:bottom w:w="40" w:type="dxa"/>
              <w:right w:w="20" w:type="dxa"/>
            </w:tcMar>
            <w:vAlign w:val="bottom"/>
          </w:tcPr>
          <w:p w14:paraId="71D3DCC4" w14:textId="77777777" w:rsidR="006A3667" w:rsidRDefault="00045F32">
            <w:pPr>
              <w:textAlignment w:val="bottom"/>
            </w:pPr>
            <w:r>
              <w:rPr>
                <w:rFonts w:ascii="Arial" w:eastAsia="宋体" w:hAnsi="Arial" w:cs="Arial"/>
                <w:color w:val="000000"/>
                <w:sz w:val="15"/>
                <w:szCs w:val="15"/>
              </w:rPr>
              <w:t>Servicing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CC5" w14:textId="77777777" w:rsidR="006A3667" w:rsidRDefault="00045F32">
            <w:pPr>
              <w:jc w:val="right"/>
              <w:textAlignment w:val="bottom"/>
            </w:pPr>
            <w:r>
              <w:rPr>
                <w:rFonts w:ascii="Arial" w:eastAsia="宋体" w:hAnsi="Arial" w:cs="Arial"/>
                <w:b/>
                <w:bCs/>
                <w:color w:val="000000"/>
                <w:sz w:val="15"/>
                <w:szCs w:val="15"/>
              </w:rPr>
              <w:t>3,884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CC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CC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CC8" w14:textId="77777777" w:rsidR="006A3667" w:rsidRDefault="00045F32">
            <w:pPr>
              <w:jc w:val="right"/>
              <w:textAlignment w:val="bottom"/>
            </w:pPr>
            <w:r>
              <w:rPr>
                <w:rFonts w:ascii="Arial" w:eastAsia="宋体" w:hAnsi="Arial" w:cs="Arial"/>
                <w:color w:val="000000"/>
                <w:sz w:val="15"/>
                <w:szCs w:val="15"/>
              </w:rPr>
              <w:t>4,154 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CC9" w14:textId="77777777" w:rsidR="006A3667" w:rsidRDefault="006A3667">
            <w:pPr>
              <w:jc w:val="right"/>
              <w:rPr>
                <w:rFonts w:ascii="宋体"/>
              </w:rPr>
            </w:pPr>
          </w:p>
        </w:tc>
        <w:tc>
          <w:tcPr>
            <w:tcW w:w="0" w:type="auto"/>
            <w:shd w:val="clear" w:color="auto" w:fill="auto"/>
            <w:vAlign w:val="bottom"/>
          </w:tcPr>
          <w:p w14:paraId="71D3DCCA" w14:textId="77777777" w:rsidR="006A3667" w:rsidRDefault="006A3667">
            <w:pPr>
              <w:rPr>
                <w:rFonts w:ascii="宋体"/>
                <w:vanish/>
              </w:rPr>
            </w:pPr>
          </w:p>
        </w:tc>
        <w:tc>
          <w:tcPr>
            <w:tcW w:w="0" w:type="auto"/>
            <w:shd w:val="clear" w:color="auto" w:fill="auto"/>
            <w:vAlign w:val="bottom"/>
          </w:tcPr>
          <w:p w14:paraId="71D3DCCB"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CC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CCD" w14:textId="77777777" w:rsidR="006A3667" w:rsidRDefault="00045F32">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71D3DCCE" w14:textId="77777777" w:rsidR="006A3667" w:rsidRDefault="006A3667">
            <w:pPr>
              <w:jc w:val="right"/>
              <w:rPr>
                <w:rFonts w:ascii="宋体"/>
              </w:rPr>
            </w:pPr>
          </w:p>
        </w:tc>
        <w:tc>
          <w:tcPr>
            <w:tcW w:w="0" w:type="auto"/>
            <w:gridSpan w:val="3"/>
            <w:shd w:val="clear" w:color="auto" w:fill="auto"/>
            <w:vAlign w:val="bottom"/>
          </w:tcPr>
          <w:p w14:paraId="71D3DCCF" w14:textId="77777777" w:rsidR="006A3667" w:rsidRDefault="006A3667">
            <w:pPr>
              <w:rPr>
                <w:rFonts w:ascii="宋体"/>
                <w:vanish/>
              </w:rPr>
            </w:pPr>
          </w:p>
        </w:tc>
        <w:tc>
          <w:tcPr>
            <w:tcW w:w="0" w:type="auto"/>
            <w:gridSpan w:val="3"/>
            <w:shd w:val="clear" w:color="auto" w:fill="auto"/>
            <w:vAlign w:val="bottom"/>
          </w:tcPr>
          <w:p w14:paraId="71D3DCD0" w14:textId="77777777" w:rsidR="006A3667" w:rsidRDefault="006A3667">
            <w:pPr>
              <w:rPr>
                <w:rFonts w:ascii="宋体"/>
                <w:vanish/>
              </w:rPr>
            </w:pPr>
          </w:p>
        </w:tc>
        <w:tc>
          <w:tcPr>
            <w:tcW w:w="0" w:type="auto"/>
            <w:gridSpan w:val="3"/>
            <w:shd w:val="clear" w:color="auto" w:fill="auto"/>
            <w:vAlign w:val="bottom"/>
          </w:tcPr>
          <w:p w14:paraId="71D3DCD1" w14:textId="77777777" w:rsidR="006A3667" w:rsidRDefault="006A3667">
            <w:pPr>
              <w:rPr>
                <w:rFonts w:ascii="宋体"/>
                <w:vanish/>
              </w:rPr>
            </w:pPr>
          </w:p>
        </w:tc>
      </w:tr>
      <w:tr w:rsidR="006A3667" w14:paraId="71D3DCE1" w14:textId="77777777">
        <w:tc>
          <w:tcPr>
            <w:tcW w:w="0" w:type="auto"/>
            <w:gridSpan w:val="3"/>
            <w:shd w:val="clear" w:color="auto" w:fill="FFFFFF"/>
            <w:tcMar>
              <w:top w:w="40" w:type="dxa"/>
              <w:left w:w="140" w:type="dxa"/>
              <w:bottom w:w="40" w:type="dxa"/>
              <w:right w:w="20" w:type="dxa"/>
            </w:tcMar>
            <w:vAlign w:val="bottom"/>
          </w:tcPr>
          <w:p w14:paraId="71D3DCD3" w14:textId="77777777" w:rsidR="006A3667" w:rsidRDefault="00045F32">
            <w:pPr>
              <w:textAlignment w:val="bottom"/>
            </w:pPr>
            <w:r>
              <w:rPr>
                <w:rFonts w:ascii="Arial" w:eastAsia="宋体" w:hAnsi="Arial" w:cs="Arial"/>
                <w:color w:val="000000"/>
                <w:sz w:val="15"/>
                <w:szCs w:val="15"/>
              </w:rPr>
              <w:t>Management fees</w:t>
            </w:r>
          </w:p>
        </w:tc>
        <w:tc>
          <w:tcPr>
            <w:tcW w:w="0" w:type="auto"/>
            <w:gridSpan w:val="2"/>
            <w:shd w:val="clear" w:color="auto" w:fill="FFFFFF"/>
            <w:tcMar>
              <w:top w:w="40" w:type="dxa"/>
              <w:left w:w="20" w:type="dxa"/>
              <w:bottom w:w="40" w:type="dxa"/>
              <w:right w:w="0" w:type="dxa"/>
            </w:tcMar>
            <w:vAlign w:val="bottom"/>
          </w:tcPr>
          <w:p w14:paraId="71D3DCD4" w14:textId="77777777" w:rsidR="006A3667" w:rsidRDefault="00045F32">
            <w:pPr>
              <w:jc w:val="right"/>
              <w:textAlignment w:val="bottom"/>
            </w:pPr>
            <w:r>
              <w:rPr>
                <w:rFonts w:ascii="Arial" w:eastAsia="宋体" w:hAnsi="Arial" w:cs="Arial"/>
                <w:b/>
                <w:bCs/>
                <w:color w:val="000000"/>
                <w:sz w:val="15"/>
                <w:szCs w:val="15"/>
              </w:rPr>
              <w:t>1,482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C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C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CD7" w14:textId="77777777" w:rsidR="006A3667" w:rsidRDefault="00045F32">
            <w:pPr>
              <w:jc w:val="right"/>
              <w:textAlignment w:val="bottom"/>
            </w:pPr>
            <w:r>
              <w:rPr>
                <w:rFonts w:ascii="Arial" w:eastAsia="宋体" w:hAnsi="Arial" w:cs="Arial"/>
                <w:color w:val="000000"/>
                <w:sz w:val="15"/>
                <w:szCs w:val="15"/>
              </w:rPr>
              <w:t>1,523 </w:t>
            </w:r>
          </w:p>
        </w:tc>
        <w:tc>
          <w:tcPr>
            <w:tcW w:w="0" w:type="auto"/>
            <w:shd w:val="clear" w:color="auto" w:fill="FFFFFF"/>
            <w:tcMar>
              <w:top w:w="40" w:type="dxa"/>
              <w:left w:w="0" w:type="dxa"/>
              <w:bottom w:w="40" w:type="dxa"/>
              <w:right w:w="20" w:type="dxa"/>
            </w:tcMar>
            <w:vAlign w:val="bottom"/>
          </w:tcPr>
          <w:p w14:paraId="71D3DCD8" w14:textId="77777777" w:rsidR="006A3667" w:rsidRDefault="006A3667">
            <w:pPr>
              <w:jc w:val="right"/>
              <w:rPr>
                <w:rFonts w:ascii="宋体"/>
              </w:rPr>
            </w:pPr>
          </w:p>
        </w:tc>
        <w:tc>
          <w:tcPr>
            <w:tcW w:w="0" w:type="auto"/>
            <w:shd w:val="clear" w:color="auto" w:fill="auto"/>
            <w:vAlign w:val="bottom"/>
          </w:tcPr>
          <w:p w14:paraId="71D3DCD9" w14:textId="77777777" w:rsidR="006A3667" w:rsidRDefault="006A3667">
            <w:pPr>
              <w:rPr>
                <w:rFonts w:ascii="宋体"/>
                <w:vanish/>
              </w:rPr>
            </w:pPr>
          </w:p>
        </w:tc>
        <w:tc>
          <w:tcPr>
            <w:tcW w:w="0" w:type="auto"/>
            <w:shd w:val="clear" w:color="auto" w:fill="auto"/>
            <w:vAlign w:val="bottom"/>
          </w:tcPr>
          <w:p w14:paraId="71D3DCDA"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C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CDC" w14:textId="77777777" w:rsidR="006A3667" w:rsidRDefault="00045F32">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71D3DCDD" w14:textId="77777777" w:rsidR="006A3667" w:rsidRDefault="006A3667">
            <w:pPr>
              <w:jc w:val="right"/>
              <w:rPr>
                <w:rFonts w:ascii="宋体"/>
              </w:rPr>
            </w:pPr>
          </w:p>
        </w:tc>
        <w:tc>
          <w:tcPr>
            <w:tcW w:w="0" w:type="auto"/>
            <w:gridSpan w:val="3"/>
            <w:shd w:val="clear" w:color="auto" w:fill="auto"/>
            <w:vAlign w:val="bottom"/>
          </w:tcPr>
          <w:p w14:paraId="71D3DCDE" w14:textId="77777777" w:rsidR="006A3667" w:rsidRDefault="006A3667">
            <w:pPr>
              <w:rPr>
                <w:rFonts w:ascii="宋体"/>
                <w:vanish/>
              </w:rPr>
            </w:pPr>
          </w:p>
        </w:tc>
        <w:tc>
          <w:tcPr>
            <w:tcW w:w="0" w:type="auto"/>
            <w:gridSpan w:val="3"/>
            <w:shd w:val="clear" w:color="auto" w:fill="auto"/>
            <w:vAlign w:val="bottom"/>
          </w:tcPr>
          <w:p w14:paraId="71D3DCDF" w14:textId="77777777" w:rsidR="006A3667" w:rsidRDefault="006A3667">
            <w:pPr>
              <w:rPr>
                <w:rFonts w:ascii="宋体"/>
                <w:vanish/>
              </w:rPr>
            </w:pPr>
          </w:p>
        </w:tc>
        <w:tc>
          <w:tcPr>
            <w:tcW w:w="0" w:type="auto"/>
            <w:gridSpan w:val="3"/>
            <w:shd w:val="clear" w:color="auto" w:fill="auto"/>
            <w:vAlign w:val="bottom"/>
          </w:tcPr>
          <w:p w14:paraId="71D3DCE0" w14:textId="77777777" w:rsidR="006A3667" w:rsidRDefault="006A3667">
            <w:pPr>
              <w:rPr>
                <w:rFonts w:ascii="宋体"/>
                <w:vanish/>
              </w:rPr>
            </w:pPr>
          </w:p>
        </w:tc>
      </w:tr>
      <w:tr w:rsidR="006A3667" w14:paraId="71D3DCF0" w14:textId="77777777">
        <w:tc>
          <w:tcPr>
            <w:tcW w:w="0" w:type="auto"/>
            <w:gridSpan w:val="3"/>
            <w:shd w:val="clear" w:color="auto" w:fill="CCEEFF"/>
            <w:tcMar>
              <w:top w:w="40" w:type="dxa"/>
              <w:left w:w="140" w:type="dxa"/>
              <w:bottom w:w="40" w:type="dxa"/>
              <w:right w:w="20" w:type="dxa"/>
            </w:tcMar>
            <w:vAlign w:val="bottom"/>
          </w:tcPr>
          <w:p w14:paraId="71D3DCE2" w14:textId="77777777" w:rsidR="006A3667" w:rsidRDefault="00045F32">
            <w:pPr>
              <w:textAlignment w:val="bottom"/>
            </w:pPr>
            <w:r>
              <w:rPr>
                <w:rFonts w:ascii="Arial" w:eastAsia="宋体" w:hAnsi="Arial" w:cs="Arial"/>
                <w:color w:val="000000"/>
                <w:sz w:val="15"/>
                <w:szCs w:val="15"/>
              </w:rPr>
              <w:t>Foreign exchange trading services</w:t>
            </w:r>
          </w:p>
        </w:tc>
        <w:tc>
          <w:tcPr>
            <w:tcW w:w="0" w:type="auto"/>
            <w:gridSpan w:val="2"/>
            <w:shd w:val="clear" w:color="auto" w:fill="CCEEFF"/>
            <w:tcMar>
              <w:top w:w="40" w:type="dxa"/>
              <w:left w:w="20" w:type="dxa"/>
              <w:bottom w:w="40" w:type="dxa"/>
              <w:right w:w="0" w:type="dxa"/>
            </w:tcMar>
            <w:vAlign w:val="bottom"/>
          </w:tcPr>
          <w:p w14:paraId="71D3DCE3" w14:textId="77777777" w:rsidR="006A3667" w:rsidRDefault="00045F32">
            <w:pPr>
              <w:jc w:val="right"/>
              <w:textAlignment w:val="bottom"/>
            </w:pPr>
            <w:r>
              <w:rPr>
                <w:rFonts w:ascii="Arial" w:eastAsia="宋体" w:hAnsi="Arial" w:cs="Arial"/>
                <w:b/>
                <w:bCs/>
                <w:color w:val="000000"/>
                <w:sz w:val="15"/>
                <w:szCs w:val="15"/>
              </w:rPr>
              <w:t>1,009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C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CE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CE6" w14:textId="77777777" w:rsidR="006A3667" w:rsidRDefault="00045F32">
            <w:pPr>
              <w:jc w:val="right"/>
              <w:textAlignment w:val="bottom"/>
            </w:pPr>
            <w:r>
              <w:rPr>
                <w:rFonts w:ascii="Arial" w:eastAsia="宋体" w:hAnsi="Arial" w:cs="Arial"/>
                <w:color w:val="000000"/>
                <w:sz w:val="15"/>
                <w:szCs w:val="15"/>
              </w:rPr>
              <w:t>911 </w:t>
            </w:r>
          </w:p>
        </w:tc>
        <w:tc>
          <w:tcPr>
            <w:tcW w:w="0" w:type="auto"/>
            <w:shd w:val="clear" w:color="auto" w:fill="CCEEFF"/>
            <w:tcMar>
              <w:top w:w="40" w:type="dxa"/>
              <w:left w:w="0" w:type="dxa"/>
              <w:bottom w:w="40" w:type="dxa"/>
              <w:right w:w="20" w:type="dxa"/>
            </w:tcMar>
            <w:vAlign w:val="bottom"/>
          </w:tcPr>
          <w:p w14:paraId="71D3DCE7" w14:textId="77777777" w:rsidR="006A3667" w:rsidRDefault="006A3667">
            <w:pPr>
              <w:jc w:val="right"/>
              <w:rPr>
                <w:rFonts w:ascii="宋体"/>
              </w:rPr>
            </w:pPr>
          </w:p>
        </w:tc>
        <w:tc>
          <w:tcPr>
            <w:tcW w:w="0" w:type="auto"/>
            <w:shd w:val="clear" w:color="auto" w:fill="auto"/>
            <w:vAlign w:val="bottom"/>
          </w:tcPr>
          <w:p w14:paraId="71D3DCE8" w14:textId="77777777" w:rsidR="006A3667" w:rsidRDefault="006A3667">
            <w:pPr>
              <w:rPr>
                <w:rFonts w:ascii="宋体"/>
                <w:vanish/>
              </w:rPr>
            </w:pPr>
          </w:p>
        </w:tc>
        <w:tc>
          <w:tcPr>
            <w:tcW w:w="0" w:type="auto"/>
            <w:shd w:val="clear" w:color="auto" w:fill="auto"/>
            <w:vAlign w:val="bottom"/>
          </w:tcPr>
          <w:p w14:paraId="71D3DCE9"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CE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CEB" w14:textId="77777777" w:rsidR="006A3667" w:rsidRDefault="00045F32">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71D3DCEC" w14:textId="77777777" w:rsidR="006A3667" w:rsidRDefault="006A3667">
            <w:pPr>
              <w:jc w:val="right"/>
              <w:rPr>
                <w:rFonts w:ascii="宋体"/>
              </w:rPr>
            </w:pPr>
          </w:p>
        </w:tc>
        <w:tc>
          <w:tcPr>
            <w:tcW w:w="0" w:type="auto"/>
            <w:gridSpan w:val="3"/>
            <w:shd w:val="clear" w:color="auto" w:fill="auto"/>
            <w:vAlign w:val="bottom"/>
          </w:tcPr>
          <w:p w14:paraId="71D3DCED" w14:textId="77777777" w:rsidR="006A3667" w:rsidRDefault="006A3667">
            <w:pPr>
              <w:rPr>
                <w:rFonts w:ascii="宋体"/>
                <w:vanish/>
              </w:rPr>
            </w:pPr>
          </w:p>
        </w:tc>
        <w:tc>
          <w:tcPr>
            <w:tcW w:w="0" w:type="auto"/>
            <w:gridSpan w:val="3"/>
            <w:shd w:val="clear" w:color="auto" w:fill="auto"/>
            <w:vAlign w:val="bottom"/>
          </w:tcPr>
          <w:p w14:paraId="71D3DCEE" w14:textId="77777777" w:rsidR="006A3667" w:rsidRDefault="006A3667">
            <w:pPr>
              <w:rPr>
                <w:rFonts w:ascii="宋体"/>
                <w:vanish/>
              </w:rPr>
            </w:pPr>
          </w:p>
        </w:tc>
        <w:tc>
          <w:tcPr>
            <w:tcW w:w="0" w:type="auto"/>
            <w:gridSpan w:val="3"/>
            <w:shd w:val="clear" w:color="auto" w:fill="auto"/>
            <w:vAlign w:val="bottom"/>
          </w:tcPr>
          <w:p w14:paraId="71D3DCEF" w14:textId="77777777" w:rsidR="006A3667" w:rsidRDefault="006A3667">
            <w:pPr>
              <w:rPr>
                <w:rFonts w:ascii="宋体"/>
                <w:vanish/>
              </w:rPr>
            </w:pPr>
          </w:p>
        </w:tc>
      </w:tr>
      <w:tr w:rsidR="006A3667" w14:paraId="71D3DCFF" w14:textId="77777777">
        <w:tc>
          <w:tcPr>
            <w:tcW w:w="0" w:type="auto"/>
            <w:gridSpan w:val="3"/>
            <w:shd w:val="clear" w:color="auto" w:fill="FFFFFF"/>
            <w:tcMar>
              <w:top w:w="40" w:type="dxa"/>
              <w:left w:w="140" w:type="dxa"/>
              <w:bottom w:w="40" w:type="dxa"/>
              <w:right w:w="20" w:type="dxa"/>
            </w:tcMar>
            <w:vAlign w:val="bottom"/>
          </w:tcPr>
          <w:p w14:paraId="71D3DCF1" w14:textId="77777777" w:rsidR="006A3667" w:rsidRDefault="00045F32">
            <w:pPr>
              <w:textAlignment w:val="bottom"/>
            </w:pPr>
            <w:r>
              <w:rPr>
                <w:rFonts w:ascii="Arial" w:eastAsia="宋体" w:hAnsi="Arial" w:cs="Arial"/>
                <w:color w:val="000000"/>
                <w:sz w:val="15"/>
                <w:szCs w:val="15"/>
              </w:rPr>
              <w:t>Securities finance</w:t>
            </w:r>
          </w:p>
        </w:tc>
        <w:tc>
          <w:tcPr>
            <w:tcW w:w="0" w:type="auto"/>
            <w:gridSpan w:val="2"/>
            <w:shd w:val="clear" w:color="auto" w:fill="FFFFFF"/>
            <w:tcMar>
              <w:top w:w="40" w:type="dxa"/>
              <w:left w:w="20" w:type="dxa"/>
              <w:bottom w:w="40" w:type="dxa"/>
              <w:right w:w="0" w:type="dxa"/>
            </w:tcMar>
            <w:vAlign w:val="bottom"/>
          </w:tcPr>
          <w:p w14:paraId="71D3DCF2" w14:textId="77777777" w:rsidR="006A3667" w:rsidRDefault="00045F32">
            <w:pPr>
              <w:jc w:val="right"/>
              <w:textAlignment w:val="bottom"/>
            </w:pPr>
            <w:r>
              <w:rPr>
                <w:rFonts w:ascii="Arial" w:eastAsia="宋体" w:hAnsi="Arial" w:cs="Arial"/>
                <w:b/>
                <w:bCs/>
                <w:color w:val="000000"/>
                <w:sz w:val="15"/>
                <w:szCs w:val="15"/>
              </w:rPr>
              <w:t>313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C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C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CF5" w14:textId="77777777" w:rsidR="006A3667" w:rsidRDefault="00045F32">
            <w:pPr>
              <w:jc w:val="right"/>
              <w:textAlignment w:val="bottom"/>
            </w:pPr>
            <w:r>
              <w:rPr>
                <w:rFonts w:ascii="Arial" w:eastAsia="宋体" w:hAnsi="Arial" w:cs="Arial"/>
                <w:color w:val="000000"/>
                <w:sz w:val="15"/>
                <w:szCs w:val="15"/>
              </w:rPr>
              <w:t>314 </w:t>
            </w:r>
          </w:p>
        </w:tc>
        <w:tc>
          <w:tcPr>
            <w:tcW w:w="0" w:type="auto"/>
            <w:shd w:val="clear" w:color="auto" w:fill="FFFFFF"/>
            <w:tcMar>
              <w:top w:w="40" w:type="dxa"/>
              <w:left w:w="0" w:type="dxa"/>
              <w:bottom w:w="40" w:type="dxa"/>
              <w:right w:w="20" w:type="dxa"/>
            </w:tcMar>
            <w:vAlign w:val="bottom"/>
          </w:tcPr>
          <w:p w14:paraId="71D3DCF6" w14:textId="77777777" w:rsidR="006A3667" w:rsidRDefault="006A3667">
            <w:pPr>
              <w:jc w:val="right"/>
              <w:rPr>
                <w:rFonts w:ascii="宋体"/>
              </w:rPr>
            </w:pPr>
          </w:p>
        </w:tc>
        <w:tc>
          <w:tcPr>
            <w:tcW w:w="0" w:type="auto"/>
            <w:shd w:val="clear" w:color="auto" w:fill="auto"/>
            <w:vAlign w:val="bottom"/>
          </w:tcPr>
          <w:p w14:paraId="71D3DCF7" w14:textId="77777777" w:rsidR="006A3667" w:rsidRDefault="006A3667">
            <w:pPr>
              <w:rPr>
                <w:rFonts w:ascii="宋体"/>
                <w:vanish/>
              </w:rPr>
            </w:pPr>
          </w:p>
        </w:tc>
        <w:tc>
          <w:tcPr>
            <w:tcW w:w="0" w:type="auto"/>
            <w:shd w:val="clear" w:color="auto" w:fill="auto"/>
            <w:vAlign w:val="bottom"/>
          </w:tcPr>
          <w:p w14:paraId="71D3DCF8"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CF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CFA"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CFB" w14:textId="77777777" w:rsidR="006A3667" w:rsidRDefault="006A3667">
            <w:pPr>
              <w:jc w:val="right"/>
              <w:rPr>
                <w:rFonts w:ascii="宋体"/>
              </w:rPr>
            </w:pPr>
          </w:p>
        </w:tc>
        <w:tc>
          <w:tcPr>
            <w:tcW w:w="0" w:type="auto"/>
            <w:gridSpan w:val="3"/>
            <w:shd w:val="clear" w:color="auto" w:fill="auto"/>
            <w:vAlign w:val="bottom"/>
          </w:tcPr>
          <w:p w14:paraId="71D3DCFC" w14:textId="77777777" w:rsidR="006A3667" w:rsidRDefault="006A3667">
            <w:pPr>
              <w:rPr>
                <w:rFonts w:ascii="宋体"/>
                <w:vanish/>
              </w:rPr>
            </w:pPr>
          </w:p>
        </w:tc>
        <w:tc>
          <w:tcPr>
            <w:tcW w:w="0" w:type="auto"/>
            <w:gridSpan w:val="3"/>
            <w:shd w:val="clear" w:color="auto" w:fill="auto"/>
            <w:vAlign w:val="bottom"/>
          </w:tcPr>
          <w:p w14:paraId="71D3DCFD" w14:textId="77777777" w:rsidR="006A3667" w:rsidRDefault="006A3667">
            <w:pPr>
              <w:rPr>
                <w:rFonts w:ascii="宋体"/>
                <w:vanish/>
              </w:rPr>
            </w:pPr>
          </w:p>
        </w:tc>
        <w:tc>
          <w:tcPr>
            <w:tcW w:w="0" w:type="auto"/>
            <w:gridSpan w:val="3"/>
            <w:shd w:val="clear" w:color="auto" w:fill="auto"/>
            <w:vAlign w:val="bottom"/>
          </w:tcPr>
          <w:p w14:paraId="71D3DCFE" w14:textId="77777777" w:rsidR="006A3667" w:rsidRDefault="006A3667">
            <w:pPr>
              <w:rPr>
                <w:rFonts w:ascii="宋体"/>
                <w:vanish/>
              </w:rPr>
            </w:pPr>
          </w:p>
        </w:tc>
      </w:tr>
      <w:tr w:rsidR="006A3667" w14:paraId="71D3DD0E" w14:textId="77777777">
        <w:tc>
          <w:tcPr>
            <w:tcW w:w="0" w:type="auto"/>
            <w:gridSpan w:val="3"/>
            <w:shd w:val="clear" w:color="auto" w:fill="CCEEFF"/>
            <w:tcMar>
              <w:top w:w="40" w:type="dxa"/>
              <w:left w:w="140" w:type="dxa"/>
              <w:bottom w:w="40" w:type="dxa"/>
              <w:right w:w="20" w:type="dxa"/>
            </w:tcMar>
            <w:vAlign w:val="bottom"/>
          </w:tcPr>
          <w:p w14:paraId="71D3DD00" w14:textId="77777777" w:rsidR="006A3667" w:rsidRDefault="00045F32">
            <w:pPr>
              <w:textAlignment w:val="bottom"/>
            </w:pPr>
            <w:r>
              <w:rPr>
                <w:rFonts w:ascii="Arial" w:eastAsia="宋体" w:hAnsi="Arial" w:cs="Arial"/>
                <w:color w:val="000000"/>
                <w:sz w:val="15"/>
                <w:szCs w:val="15"/>
              </w:rPr>
              <w:t>      Front office software and data</w:t>
            </w:r>
          </w:p>
        </w:tc>
        <w:tc>
          <w:tcPr>
            <w:tcW w:w="0" w:type="auto"/>
            <w:gridSpan w:val="2"/>
            <w:shd w:val="clear" w:color="auto" w:fill="CCEEFF"/>
            <w:tcMar>
              <w:top w:w="40" w:type="dxa"/>
              <w:left w:w="20" w:type="dxa"/>
              <w:bottom w:w="40" w:type="dxa"/>
              <w:right w:w="0" w:type="dxa"/>
            </w:tcMar>
            <w:vAlign w:val="bottom"/>
          </w:tcPr>
          <w:p w14:paraId="71D3DD01" w14:textId="77777777" w:rsidR="006A3667" w:rsidRDefault="00045F32">
            <w:pPr>
              <w:jc w:val="right"/>
              <w:textAlignment w:val="bottom"/>
            </w:pPr>
            <w:r>
              <w:rPr>
                <w:rFonts w:ascii="Arial" w:eastAsia="宋体" w:hAnsi="Arial" w:cs="Arial"/>
                <w:b/>
                <w:bCs/>
                <w:color w:val="000000"/>
                <w:sz w:val="15"/>
                <w:szCs w:val="15"/>
              </w:rPr>
              <w:t>391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D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D0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D04" w14:textId="77777777" w:rsidR="006A3667" w:rsidRDefault="00045F32">
            <w:pPr>
              <w:jc w:val="right"/>
              <w:textAlignment w:val="bottom"/>
            </w:pPr>
            <w:r>
              <w:rPr>
                <w:rFonts w:ascii="Arial" w:eastAsia="宋体" w:hAnsi="Arial" w:cs="Arial"/>
                <w:color w:val="000000"/>
                <w:sz w:val="15"/>
                <w:szCs w:val="15"/>
              </w:rPr>
              <w:t>360 </w:t>
            </w:r>
          </w:p>
        </w:tc>
        <w:tc>
          <w:tcPr>
            <w:tcW w:w="0" w:type="auto"/>
            <w:shd w:val="clear" w:color="auto" w:fill="CCEEFF"/>
            <w:tcMar>
              <w:top w:w="40" w:type="dxa"/>
              <w:left w:w="0" w:type="dxa"/>
              <w:bottom w:w="40" w:type="dxa"/>
              <w:right w:w="20" w:type="dxa"/>
            </w:tcMar>
            <w:vAlign w:val="bottom"/>
          </w:tcPr>
          <w:p w14:paraId="71D3DD05" w14:textId="77777777" w:rsidR="006A3667" w:rsidRDefault="006A3667">
            <w:pPr>
              <w:jc w:val="right"/>
              <w:rPr>
                <w:rFonts w:ascii="宋体"/>
              </w:rPr>
            </w:pPr>
          </w:p>
        </w:tc>
        <w:tc>
          <w:tcPr>
            <w:tcW w:w="0" w:type="auto"/>
            <w:shd w:val="clear" w:color="auto" w:fill="auto"/>
            <w:vAlign w:val="bottom"/>
          </w:tcPr>
          <w:p w14:paraId="71D3DD06" w14:textId="77777777" w:rsidR="006A3667" w:rsidRDefault="006A3667">
            <w:pPr>
              <w:rPr>
                <w:rFonts w:ascii="宋体"/>
                <w:vanish/>
              </w:rPr>
            </w:pPr>
          </w:p>
        </w:tc>
        <w:tc>
          <w:tcPr>
            <w:tcW w:w="0" w:type="auto"/>
            <w:shd w:val="clear" w:color="auto" w:fill="auto"/>
            <w:vAlign w:val="bottom"/>
          </w:tcPr>
          <w:p w14:paraId="71D3DD07"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D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D09" w14:textId="77777777" w:rsidR="006A3667" w:rsidRDefault="00045F32">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71D3DD0A" w14:textId="77777777" w:rsidR="006A3667" w:rsidRDefault="006A3667">
            <w:pPr>
              <w:jc w:val="right"/>
              <w:rPr>
                <w:rFonts w:ascii="宋体"/>
              </w:rPr>
            </w:pPr>
          </w:p>
        </w:tc>
        <w:tc>
          <w:tcPr>
            <w:tcW w:w="0" w:type="auto"/>
            <w:gridSpan w:val="3"/>
            <w:shd w:val="clear" w:color="auto" w:fill="auto"/>
            <w:vAlign w:val="bottom"/>
          </w:tcPr>
          <w:p w14:paraId="71D3DD0B" w14:textId="77777777" w:rsidR="006A3667" w:rsidRDefault="006A3667">
            <w:pPr>
              <w:rPr>
                <w:rFonts w:ascii="宋体"/>
                <w:vanish/>
              </w:rPr>
            </w:pPr>
          </w:p>
        </w:tc>
        <w:tc>
          <w:tcPr>
            <w:tcW w:w="0" w:type="auto"/>
            <w:gridSpan w:val="3"/>
            <w:shd w:val="clear" w:color="auto" w:fill="auto"/>
            <w:vAlign w:val="bottom"/>
          </w:tcPr>
          <w:p w14:paraId="71D3DD0C" w14:textId="77777777" w:rsidR="006A3667" w:rsidRDefault="006A3667">
            <w:pPr>
              <w:rPr>
                <w:rFonts w:ascii="宋体"/>
                <w:vanish/>
              </w:rPr>
            </w:pPr>
          </w:p>
        </w:tc>
        <w:tc>
          <w:tcPr>
            <w:tcW w:w="0" w:type="auto"/>
            <w:gridSpan w:val="3"/>
            <w:shd w:val="clear" w:color="auto" w:fill="auto"/>
            <w:vAlign w:val="bottom"/>
          </w:tcPr>
          <w:p w14:paraId="71D3DD0D" w14:textId="77777777" w:rsidR="006A3667" w:rsidRDefault="006A3667">
            <w:pPr>
              <w:rPr>
                <w:rFonts w:ascii="宋体"/>
                <w:vanish/>
              </w:rPr>
            </w:pPr>
          </w:p>
        </w:tc>
      </w:tr>
      <w:tr w:rsidR="006A3667" w14:paraId="71D3DD1D" w14:textId="77777777">
        <w:tc>
          <w:tcPr>
            <w:tcW w:w="0" w:type="auto"/>
            <w:gridSpan w:val="3"/>
            <w:shd w:val="clear" w:color="auto" w:fill="FFFFFF"/>
            <w:tcMar>
              <w:top w:w="40" w:type="dxa"/>
              <w:left w:w="140" w:type="dxa"/>
              <w:bottom w:w="40" w:type="dxa"/>
              <w:right w:w="20" w:type="dxa"/>
            </w:tcMar>
            <w:vAlign w:val="bottom"/>
          </w:tcPr>
          <w:p w14:paraId="71D3DD0F" w14:textId="77777777" w:rsidR="006A3667" w:rsidRDefault="00045F32">
            <w:pPr>
              <w:textAlignment w:val="bottom"/>
            </w:pPr>
            <w:r>
              <w:rPr>
                <w:rFonts w:ascii="Arial" w:eastAsia="宋体" w:hAnsi="Arial" w:cs="Arial"/>
                <w:color w:val="000000"/>
                <w:sz w:val="15"/>
                <w:szCs w:val="15"/>
              </w:rPr>
              <w:t>      Lending related and other fees</w:t>
            </w:r>
          </w:p>
        </w:tc>
        <w:tc>
          <w:tcPr>
            <w:tcW w:w="0" w:type="auto"/>
            <w:gridSpan w:val="2"/>
            <w:shd w:val="clear" w:color="auto" w:fill="FFFFFF"/>
            <w:tcMar>
              <w:top w:w="40" w:type="dxa"/>
              <w:left w:w="20" w:type="dxa"/>
              <w:bottom w:w="40" w:type="dxa"/>
              <w:right w:w="0" w:type="dxa"/>
            </w:tcMar>
            <w:vAlign w:val="bottom"/>
          </w:tcPr>
          <w:p w14:paraId="71D3DD10" w14:textId="77777777" w:rsidR="006A3667" w:rsidRDefault="00045F32">
            <w:pPr>
              <w:jc w:val="right"/>
              <w:textAlignment w:val="bottom"/>
            </w:pPr>
            <w:r>
              <w:rPr>
                <w:rFonts w:ascii="Arial" w:eastAsia="宋体" w:hAnsi="Arial" w:cs="Arial"/>
                <w:b/>
                <w:bCs/>
                <w:color w:val="000000"/>
                <w:sz w:val="15"/>
                <w:szCs w:val="15"/>
              </w:rPr>
              <w:t>182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D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D1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D13" w14:textId="77777777" w:rsidR="006A3667" w:rsidRDefault="00045F32">
            <w:pPr>
              <w:jc w:val="right"/>
              <w:textAlignment w:val="bottom"/>
            </w:pPr>
            <w:r>
              <w:rPr>
                <w:rFonts w:ascii="Arial" w:eastAsia="宋体" w:hAnsi="Arial" w:cs="Arial"/>
                <w:color w:val="000000"/>
                <w:sz w:val="15"/>
                <w:szCs w:val="15"/>
              </w:rPr>
              <w:t>191 </w:t>
            </w:r>
          </w:p>
        </w:tc>
        <w:tc>
          <w:tcPr>
            <w:tcW w:w="0" w:type="auto"/>
            <w:shd w:val="clear" w:color="auto" w:fill="FFFFFF"/>
            <w:tcMar>
              <w:top w:w="40" w:type="dxa"/>
              <w:left w:w="0" w:type="dxa"/>
              <w:bottom w:w="40" w:type="dxa"/>
              <w:right w:w="20" w:type="dxa"/>
            </w:tcMar>
            <w:vAlign w:val="bottom"/>
          </w:tcPr>
          <w:p w14:paraId="71D3DD14" w14:textId="77777777" w:rsidR="006A3667" w:rsidRDefault="006A3667">
            <w:pPr>
              <w:jc w:val="right"/>
              <w:rPr>
                <w:rFonts w:ascii="宋体"/>
              </w:rPr>
            </w:pPr>
          </w:p>
        </w:tc>
        <w:tc>
          <w:tcPr>
            <w:tcW w:w="0" w:type="auto"/>
            <w:shd w:val="clear" w:color="auto" w:fill="auto"/>
            <w:vAlign w:val="bottom"/>
          </w:tcPr>
          <w:p w14:paraId="71D3DD15" w14:textId="77777777" w:rsidR="006A3667" w:rsidRDefault="006A3667">
            <w:pPr>
              <w:rPr>
                <w:rFonts w:ascii="宋体"/>
                <w:vanish/>
              </w:rPr>
            </w:pPr>
          </w:p>
        </w:tc>
        <w:tc>
          <w:tcPr>
            <w:tcW w:w="0" w:type="auto"/>
            <w:shd w:val="clear" w:color="auto" w:fill="auto"/>
            <w:vAlign w:val="bottom"/>
          </w:tcPr>
          <w:p w14:paraId="71D3DD16"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D1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D18" w14:textId="77777777" w:rsidR="006A3667" w:rsidRDefault="00045F32">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1D3DD19" w14:textId="77777777" w:rsidR="006A3667" w:rsidRDefault="006A3667">
            <w:pPr>
              <w:jc w:val="right"/>
              <w:rPr>
                <w:rFonts w:ascii="宋体"/>
              </w:rPr>
            </w:pPr>
          </w:p>
        </w:tc>
        <w:tc>
          <w:tcPr>
            <w:tcW w:w="0" w:type="auto"/>
            <w:gridSpan w:val="3"/>
            <w:shd w:val="clear" w:color="auto" w:fill="auto"/>
            <w:vAlign w:val="bottom"/>
          </w:tcPr>
          <w:p w14:paraId="71D3DD1A" w14:textId="77777777" w:rsidR="006A3667" w:rsidRDefault="006A3667">
            <w:pPr>
              <w:rPr>
                <w:rFonts w:ascii="宋体"/>
                <w:vanish/>
              </w:rPr>
            </w:pPr>
          </w:p>
        </w:tc>
        <w:tc>
          <w:tcPr>
            <w:tcW w:w="0" w:type="auto"/>
            <w:gridSpan w:val="3"/>
            <w:shd w:val="clear" w:color="auto" w:fill="auto"/>
            <w:vAlign w:val="bottom"/>
          </w:tcPr>
          <w:p w14:paraId="71D3DD1B" w14:textId="77777777" w:rsidR="006A3667" w:rsidRDefault="006A3667">
            <w:pPr>
              <w:rPr>
                <w:rFonts w:ascii="宋体"/>
                <w:vanish/>
              </w:rPr>
            </w:pPr>
          </w:p>
        </w:tc>
        <w:tc>
          <w:tcPr>
            <w:tcW w:w="0" w:type="auto"/>
            <w:gridSpan w:val="3"/>
            <w:shd w:val="clear" w:color="auto" w:fill="auto"/>
            <w:vAlign w:val="bottom"/>
          </w:tcPr>
          <w:p w14:paraId="71D3DD1C" w14:textId="77777777" w:rsidR="006A3667" w:rsidRDefault="006A3667">
            <w:pPr>
              <w:rPr>
                <w:rFonts w:ascii="宋体"/>
                <w:vanish/>
              </w:rPr>
            </w:pPr>
          </w:p>
        </w:tc>
      </w:tr>
      <w:tr w:rsidR="006A3667" w14:paraId="71D3DD2C" w14:textId="77777777">
        <w:tc>
          <w:tcPr>
            <w:tcW w:w="0" w:type="auto"/>
            <w:gridSpan w:val="3"/>
            <w:shd w:val="clear" w:color="auto" w:fill="CCEEFF"/>
            <w:tcMar>
              <w:top w:w="40" w:type="dxa"/>
              <w:left w:w="20" w:type="dxa"/>
              <w:bottom w:w="40" w:type="dxa"/>
              <w:right w:w="20" w:type="dxa"/>
            </w:tcMar>
            <w:vAlign w:val="bottom"/>
          </w:tcPr>
          <w:p w14:paraId="71D3DD1E" w14:textId="77777777" w:rsidR="006A3667" w:rsidRDefault="00045F32">
            <w:pPr>
              <w:textAlignment w:val="bottom"/>
            </w:pPr>
            <w:r>
              <w:rPr>
                <w:rFonts w:ascii="Arial" w:eastAsia="宋体" w:hAnsi="Arial" w:cs="Arial"/>
                <w:color w:val="000000"/>
                <w:sz w:val="15"/>
                <w:szCs w:val="15"/>
              </w:rPr>
              <w:t>Software and processing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D1F" w14:textId="77777777" w:rsidR="006A3667" w:rsidRDefault="00045F32">
            <w:pPr>
              <w:jc w:val="right"/>
              <w:textAlignment w:val="bottom"/>
            </w:pPr>
            <w:r>
              <w:rPr>
                <w:rFonts w:ascii="Arial" w:eastAsia="宋体" w:hAnsi="Arial" w:cs="Arial"/>
                <w:b/>
                <w:bCs/>
                <w:color w:val="000000"/>
                <w:sz w:val="15"/>
                <w:szCs w:val="15"/>
              </w:rPr>
              <w:t>573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D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D2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D22" w14:textId="77777777" w:rsidR="006A3667" w:rsidRDefault="00045F32">
            <w:pPr>
              <w:jc w:val="right"/>
              <w:textAlignment w:val="bottom"/>
            </w:pPr>
            <w:r>
              <w:rPr>
                <w:rFonts w:ascii="Arial" w:eastAsia="宋体" w:hAnsi="Arial" w:cs="Arial"/>
                <w:color w:val="000000"/>
                <w:sz w:val="15"/>
                <w:szCs w:val="15"/>
              </w:rPr>
              <w:t>551 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D23" w14:textId="77777777" w:rsidR="006A3667" w:rsidRDefault="006A3667">
            <w:pPr>
              <w:jc w:val="right"/>
              <w:rPr>
                <w:rFonts w:ascii="宋体"/>
              </w:rPr>
            </w:pPr>
          </w:p>
        </w:tc>
        <w:tc>
          <w:tcPr>
            <w:tcW w:w="0" w:type="auto"/>
            <w:shd w:val="clear" w:color="auto" w:fill="auto"/>
            <w:vAlign w:val="bottom"/>
          </w:tcPr>
          <w:p w14:paraId="71D3DD24" w14:textId="77777777" w:rsidR="006A3667" w:rsidRDefault="006A3667">
            <w:pPr>
              <w:rPr>
                <w:rFonts w:ascii="宋体"/>
                <w:vanish/>
              </w:rPr>
            </w:pPr>
          </w:p>
        </w:tc>
        <w:tc>
          <w:tcPr>
            <w:tcW w:w="0" w:type="auto"/>
            <w:shd w:val="clear" w:color="auto" w:fill="auto"/>
            <w:vAlign w:val="bottom"/>
          </w:tcPr>
          <w:p w14:paraId="71D3DD25"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D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D27" w14:textId="77777777" w:rsidR="006A3667" w:rsidRDefault="00045F32">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71D3DD28" w14:textId="77777777" w:rsidR="006A3667" w:rsidRDefault="006A3667">
            <w:pPr>
              <w:jc w:val="right"/>
              <w:rPr>
                <w:rFonts w:ascii="宋体"/>
              </w:rPr>
            </w:pPr>
          </w:p>
        </w:tc>
        <w:tc>
          <w:tcPr>
            <w:tcW w:w="0" w:type="auto"/>
            <w:gridSpan w:val="3"/>
            <w:shd w:val="clear" w:color="auto" w:fill="auto"/>
            <w:vAlign w:val="bottom"/>
          </w:tcPr>
          <w:p w14:paraId="71D3DD29" w14:textId="77777777" w:rsidR="006A3667" w:rsidRDefault="006A3667">
            <w:pPr>
              <w:rPr>
                <w:rFonts w:ascii="宋体"/>
                <w:vanish/>
              </w:rPr>
            </w:pPr>
          </w:p>
        </w:tc>
        <w:tc>
          <w:tcPr>
            <w:tcW w:w="0" w:type="auto"/>
            <w:gridSpan w:val="3"/>
            <w:shd w:val="clear" w:color="auto" w:fill="auto"/>
            <w:vAlign w:val="bottom"/>
          </w:tcPr>
          <w:p w14:paraId="71D3DD2A" w14:textId="77777777" w:rsidR="006A3667" w:rsidRDefault="006A3667">
            <w:pPr>
              <w:rPr>
                <w:rFonts w:ascii="宋体"/>
                <w:vanish/>
              </w:rPr>
            </w:pPr>
          </w:p>
        </w:tc>
        <w:tc>
          <w:tcPr>
            <w:tcW w:w="0" w:type="auto"/>
            <w:gridSpan w:val="3"/>
            <w:shd w:val="clear" w:color="auto" w:fill="auto"/>
            <w:vAlign w:val="bottom"/>
          </w:tcPr>
          <w:p w14:paraId="71D3DD2B" w14:textId="77777777" w:rsidR="006A3667" w:rsidRDefault="006A3667">
            <w:pPr>
              <w:rPr>
                <w:rFonts w:ascii="宋体"/>
                <w:vanish/>
              </w:rPr>
            </w:pPr>
          </w:p>
        </w:tc>
      </w:tr>
      <w:tr w:rsidR="006A3667" w14:paraId="71D3DD3A" w14:textId="77777777">
        <w:tc>
          <w:tcPr>
            <w:tcW w:w="0" w:type="auto"/>
            <w:gridSpan w:val="3"/>
            <w:shd w:val="clear" w:color="auto" w:fill="FFFFFF"/>
            <w:tcMar>
              <w:top w:w="40" w:type="dxa"/>
              <w:left w:w="20" w:type="dxa"/>
              <w:bottom w:w="40" w:type="dxa"/>
              <w:right w:w="20" w:type="dxa"/>
            </w:tcMar>
          </w:tcPr>
          <w:p w14:paraId="71D3DD2D" w14:textId="77777777" w:rsidR="006A3667" w:rsidRDefault="00045F32">
            <w:pPr>
              <w:textAlignment w:val="top"/>
            </w:pPr>
            <w:r>
              <w:rPr>
                <w:rFonts w:ascii="Arial" w:eastAsia="宋体" w:hAnsi="Arial" w:cs="Arial"/>
                <w:color w:val="000000"/>
                <w:sz w:val="15"/>
                <w:szCs w:val="15"/>
              </w:rPr>
              <w:t>Other fee revenue</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3DD2E" w14:textId="77777777" w:rsidR="006A3667" w:rsidRDefault="00045F32">
            <w:pPr>
              <w:jc w:val="right"/>
              <w:textAlignment w:val="bottom"/>
            </w:pPr>
            <w:r>
              <w:rPr>
                <w:rFonts w:ascii="Arial" w:eastAsia="宋体" w:hAnsi="Arial" w:cs="Arial"/>
                <w:b/>
                <w:bCs/>
                <w:color w:val="000000"/>
                <w:sz w:val="15"/>
                <w:szCs w:val="15"/>
              </w:rPr>
              <w:t>(19)</w:t>
            </w:r>
          </w:p>
        </w:tc>
        <w:tc>
          <w:tcPr>
            <w:tcW w:w="0" w:type="auto"/>
            <w:shd w:val="clear" w:color="auto" w:fill="FFFFFF"/>
            <w:tcMar>
              <w:top w:w="40" w:type="dxa"/>
              <w:left w:w="0" w:type="dxa"/>
              <w:bottom w:w="40" w:type="dxa"/>
              <w:right w:w="20" w:type="dxa"/>
            </w:tcMar>
            <w:vAlign w:val="bottom"/>
          </w:tcPr>
          <w:p w14:paraId="71D3DD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D3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D31" w14:textId="77777777" w:rsidR="006A3667" w:rsidRDefault="00045F32">
            <w:pPr>
              <w:jc w:val="right"/>
              <w:textAlignment w:val="bottom"/>
            </w:pPr>
            <w:r>
              <w:rPr>
                <w:rFonts w:ascii="Arial" w:eastAsia="宋体" w:hAnsi="Arial" w:cs="Arial"/>
                <w:color w:val="000000"/>
                <w:sz w:val="15"/>
                <w:szCs w:val="15"/>
              </w:rPr>
              <w:t>48 </w:t>
            </w:r>
          </w:p>
        </w:tc>
        <w:tc>
          <w:tcPr>
            <w:tcW w:w="0" w:type="auto"/>
            <w:shd w:val="clear" w:color="auto" w:fill="FFFFFF"/>
            <w:tcMar>
              <w:top w:w="40" w:type="dxa"/>
              <w:left w:w="0" w:type="dxa"/>
              <w:bottom w:w="40" w:type="dxa"/>
              <w:right w:w="20" w:type="dxa"/>
            </w:tcMar>
            <w:vAlign w:val="bottom"/>
          </w:tcPr>
          <w:p w14:paraId="71D3DD32" w14:textId="77777777" w:rsidR="006A3667" w:rsidRDefault="006A3667">
            <w:pPr>
              <w:jc w:val="right"/>
              <w:rPr>
                <w:rFonts w:ascii="宋体"/>
              </w:rPr>
            </w:pPr>
          </w:p>
        </w:tc>
        <w:tc>
          <w:tcPr>
            <w:tcW w:w="0" w:type="auto"/>
            <w:shd w:val="clear" w:color="auto" w:fill="auto"/>
            <w:vAlign w:val="bottom"/>
          </w:tcPr>
          <w:p w14:paraId="71D3DD33" w14:textId="77777777" w:rsidR="006A3667" w:rsidRDefault="006A3667">
            <w:pPr>
              <w:rPr>
                <w:rFonts w:ascii="宋体"/>
                <w:vanish/>
              </w:rPr>
            </w:pPr>
          </w:p>
        </w:tc>
        <w:tc>
          <w:tcPr>
            <w:tcW w:w="0" w:type="auto"/>
            <w:shd w:val="clear" w:color="auto" w:fill="auto"/>
            <w:vAlign w:val="bottom"/>
          </w:tcPr>
          <w:p w14:paraId="71D3DD34"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D35"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DD36"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D37" w14:textId="77777777" w:rsidR="006A3667" w:rsidRDefault="006A3667">
            <w:pPr>
              <w:rPr>
                <w:rFonts w:ascii="宋体"/>
                <w:vanish/>
              </w:rPr>
            </w:pPr>
          </w:p>
        </w:tc>
        <w:tc>
          <w:tcPr>
            <w:tcW w:w="0" w:type="auto"/>
            <w:gridSpan w:val="3"/>
            <w:shd w:val="clear" w:color="auto" w:fill="auto"/>
            <w:vAlign w:val="bottom"/>
          </w:tcPr>
          <w:p w14:paraId="71D3DD38" w14:textId="77777777" w:rsidR="006A3667" w:rsidRDefault="006A3667">
            <w:pPr>
              <w:rPr>
                <w:rFonts w:ascii="宋体"/>
                <w:vanish/>
              </w:rPr>
            </w:pPr>
          </w:p>
        </w:tc>
        <w:tc>
          <w:tcPr>
            <w:tcW w:w="0" w:type="auto"/>
            <w:gridSpan w:val="3"/>
            <w:shd w:val="clear" w:color="auto" w:fill="auto"/>
            <w:vAlign w:val="bottom"/>
          </w:tcPr>
          <w:p w14:paraId="71D3DD39" w14:textId="77777777" w:rsidR="006A3667" w:rsidRDefault="006A3667">
            <w:pPr>
              <w:rPr>
                <w:rFonts w:ascii="宋体"/>
                <w:vanish/>
              </w:rPr>
            </w:pPr>
          </w:p>
        </w:tc>
      </w:tr>
      <w:tr w:rsidR="006A3667" w14:paraId="71D3DD49" w14:textId="77777777">
        <w:tc>
          <w:tcPr>
            <w:tcW w:w="0" w:type="auto"/>
            <w:gridSpan w:val="3"/>
            <w:shd w:val="clear" w:color="auto" w:fill="CCEEFF"/>
            <w:tcMar>
              <w:top w:w="40" w:type="dxa"/>
              <w:left w:w="20" w:type="dxa"/>
              <w:bottom w:w="40" w:type="dxa"/>
              <w:right w:w="20" w:type="dxa"/>
            </w:tcMar>
            <w:vAlign w:val="bottom"/>
          </w:tcPr>
          <w:p w14:paraId="71D3DD3B" w14:textId="77777777" w:rsidR="006A3667" w:rsidRDefault="00045F32">
            <w:pPr>
              <w:textAlignment w:val="bottom"/>
            </w:pPr>
            <w:r>
              <w:rPr>
                <w:rFonts w:ascii="Arial" w:eastAsia="宋体" w:hAnsi="Arial" w:cs="Arial"/>
                <w:color w:val="000000"/>
                <w:sz w:val="15"/>
                <w:szCs w:val="15"/>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D3C" w14:textId="77777777" w:rsidR="006A3667" w:rsidRDefault="00045F32">
            <w:pPr>
              <w:jc w:val="right"/>
              <w:textAlignment w:val="bottom"/>
            </w:pPr>
            <w:r>
              <w:rPr>
                <w:rFonts w:ascii="Arial" w:eastAsia="宋体" w:hAnsi="Arial" w:cs="Arial"/>
                <w:b/>
                <w:bCs/>
                <w:color w:val="000000"/>
                <w:sz w:val="15"/>
                <w:szCs w:val="15"/>
              </w:rPr>
              <w:t>7,242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D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D3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D3F" w14:textId="77777777" w:rsidR="006A3667" w:rsidRDefault="00045F32">
            <w:pPr>
              <w:jc w:val="right"/>
              <w:textAlignment w:val="bottom"/>
            </w:pPr>
            <w:r>
              <w:rPr>
                <w:rFonts w:ascii="Arial" w:eastAsia="宋体" w:hAnsi="Arial" w:cs="Arial"/>
                <w:color w:val="000000"/>
                <w:sz w:val="15"/>
                <w:szCs w:val="15"/>
              </w:rPr>
              <w:t>7,501 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D40" w14:textId="77777777" w:rsidR="006A3667" w:rsidRDefault="006A3667">
            <w:pPr>
              <w:jc w:val="right"/>
              <w:rPr>
                <w:rFonts w:ascii="宋体"/>
              </w:rPr>
            </w:pPr>
          </w:p>
        </w:tc>
        <w:tc>
          <w:tcPr>
            <w:tcW w:w="0" w:type="auto"/>
            <w:shd w:val="clear" w:color="auto" w:fill="auto"/>
            <w:vAlign w:val="bottom"/>
          </w:tcPr>
          <w:p w14:paraId="71D3DD41" w14:textId="77777777" w:rsidR="006A3667" w:rsidRDefault="006A3667">
            <w:pPr>
              <w:rPr>
                <w:rFonts w:ascii="宋体"/>
                <w:vanish/>
              </w:rPr>
            </w:pPr>
          </w:p>
        </w:tc>
        <w:tc>
          <w:tcPr>
            <w:tcW w:w="0" w:type="auto"/>
            <w:shd w:val="clear" w:color="auto" w:fill="auto"/>
            <w:vAlign w:val="bottom"/>
          </w:tcPr>
          <w:p w14:paraId="71D3DD42"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D4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D44" w14:textId="77777777" w:rsidR="006A3667" w:rsidRDefault="00045F32">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71D3DD45" w14:textId="77777777" w:rsidR="006A3667" w:rsidRDefault="006A3667">
            <w:pPr>
              <w:jc w:val="right"/>
              <w:rPr>
                <w:rFonts w:ascii="宋体"/>
              </w:rPr>
            </w:pPr>
          </w:p>
        </w:tc>
        <w:tc>
          <w:tcPr>
            <w:tcW w:w="0" w:type="auto"/>
            <w:gridSpan w:val="3"/>
            <w:shd w:val="clear" w:color="auto" w:fill="auto"/>
            <w:vAlign w:val="bottom"/>
          </w:tcPr>
          <w:p w14:paraId="71D3DD46" w14:textId="77777777" w:rsidR="006A3667" w:rsidRDefault="006A3667">
            <w:pPr>
              <w:rPr>
                <w:rFonts w:ascii="宋体"/>
                <w:vanish/>
              </w:rPr>
            </w:pPr>
          </w:p>
        </w:tc>
        <w:tc>
          <w:tcPr>
            <w:tcW w:w="0" w:type="auto"/>
            <w:gridSpan w:val="3"/>
            <w:shd w:val="clear" w:color="auto" w:fill="auto"/>
            <w:vAlign w:val="bottom"/>
          </w:tcPr>
          <w:p w14:paraId="71D3DD47" w14:textId="77777777" w:rsidR="006A3667" w:rsidRDefault="006A3667">
            <w:pPr>
              <w:rPr>
                <w:rFonts w:ascii="宋体"/>
                <w:vanish/>
              </w:rPr>
            </w:pPr>
          </w:p>
        </w:tc>
        <w:tc>
          <w:tcPr>
            <w:tcW w:w="0" w:type="auto"/>
            <w:gridSpan w:val="3"/>
            <w:shd w:val="clear" w:color="auto" w:fill="auto"/>
            <w:vAlign w:val="bottom"/>
          </w:tcPr>
          <w:p w14:paraId="71D3DD48" w14:textId="77777777" w:rsidR="006A3667" w:rsidRDefault="006A3667">
            <w:pPr>
              <w:rPr>
                <w:rFonts w:ascii="宋体"/>
                <w:vanish/>
              </w:rPr>
            </w:pPr>
          </w:p>
        </w:tc>
      </w:tr>
      <w:tr w:rsidR="006A3667" w14:paraId="71D3DD55" w14:textId="77777777">
        <w:tc>
          <w:tcPr>
            <w:tcW w:w="0" w:type="auto"/>
            <w:gridSpan w:val="3"/>
            <w:shd w:val="clear" w:color="auto" w:fill="FFFFFF"/>
            <w:tcMar>
              <w:top w:w="40" w:type="dxa"/>
              <w:left w:w="20" w:type="dxa"/>
              <w:bottom w:w="40" w:type="dxa"/>
              <w:right w:w="20" w:type="dxa"/>
            </w:tcMar>
            <w:vAlign w:val="bottom"/>
          </w:tcPr>
          <w:p w14:paraId="71D3DD4A" w14:textId="77777777" w:rsidR="006A3667" w:rsidRDefault="00045F32">
            <w:pPr>
              <w:textAlignment w:val="bottom"/>
            </w:pPr>
            <w:r>
              <w:rPr>
                <w:rFonts w:ascii="Arial" w:eastAsia="宋体" w:hAnsi="Arial" w:cs="Arial"/>
                <w:color w:val="000000"/>
                <w:sz w:val="15"/>
                <w:szCs w:val="15"/>
              </w:rPr>
              <w:t>Net interest income:</w:t>
            </w:r>
          </w:p>
        </w:tc>
        <w:tc>
          <w:tcPr>
            <w:tcW w:w="0" w:type="auto"/>
            <w:gridSpan w:val="3"/>
            <w:shd w:val="clear" w:color="auto" w:fill="FFFFFF"/>
            <w:tcMar>
              <w:top w:w="0" w:type="dxa"/>
              <w:left w:w="20" w:type="dxa"/>
              <w:bottom w:w="0" w:type="dxa"/>
              <w:right w:w="20" w:type="dxa"/>
            </w:tcMar>
            <w:vAlign w:val="bottom"/>
          </w:tcPr>
          <w:p w14:paraId="71D3DD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D4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D4D" w14:textId="77777777" w:rsidR="006A3667" w:rsidRDefault="006A3667">
            <w:pPr>
              <w:rPr>
                <w:rFonts w:ascii="宋体"/>
              </w:rPr>
            </w:pPr>
          </w:p>
        </w:tc>
        <w:tc>
          <w:tcPr>
            <w:tcW w:w="0" w:type="auto"/>
            <w:shd w:val="clear" w:color="auto" w:fill="auto"/>
            <w:vAlign w:val="bottom"/>
          </w:tcPr>
          <w:p w14:paraId="71D3DD4E" w14:textId="77777777" w:rsidR="006A3667" w:rsidRDefault="006A3667">
            <w:pPr>
              <w:rPr>
                <w:rFonts w:ascii="宋体"/>
                <w:vanish/>
              </w:rPr>
            </w:pPr>
          </w:p>
        </w:tc>
        <w:tc>
          <w:tcPr>
            <w:tcW w:w="0" w:type="auto"/>
            <w:shd w:val="clear" w:color="auto" w:fill="auto"/>
            <w:vAlign w:val="bottom"/>
          </w:tcPr>
          <w:p w14:paraId="71D3DD4F"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D5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D51" w14:textId="77777777" w:rsidR="006A3667" w:rsidRDefault="006A3667">
            <w:pPr>
              <w:rPr>
                <w:rFonts w:ascii="宋体"/>
              </w:rPr>
            </w:pPr>
          </w:p>
        </w:tc>
        <w:tc>
          <w:tcPr>
            <w:tcW w:w="0" w:type="auto"/>
            <w:gridSpan w:val="3"/>
            <w:shd w:val="clear" w:color="auto" w:fill="auto"/>
            <w:vAlign w:val="bottom"/>
          </w:tcPr>
          <w:p w14:paraId="71D3DD52" w14:textId="77777777" w:rsidR="006A3667" w:rsidRDefault="006A3667">
            <w:pPr>
              <w:rPr>
                <w:rFonts w:ascii="宋体"/>
                <w:vanish/>
              </w:rPr>
            </w:pPr>
          </w:p>
        </w:tc>
        <w:tc>
          <w:tcPr>
            <w:tcW w:w="0" w:type="auto"/>
            <w:gridSpan w:val="3"/>
            <w:shd w:val="clear" w:color="auto" w:fill="auto"/>
            <w:vAlign w:val="bottom"/>
          </w:tcPr>
          <w:p w14:paraId="71D3DD53" w14:textId="77777777" w:rsidR="006A3667" w:rsidRDefault="006A3667">
            <w:pPr>
              <w:rPr>
                <w:rFonts w:ascii="宋体"/>
                <w:vanish/>
              </w:rPr>
            </w:pPr>
          </w:p>
        </w:tc>
        <w:tc>
          <w:tcPr>
            <w:tcW w:w="0" w:type="auto"/>
            <w:gridSpan w:val="3"/>
            <w:shd w:val="clear" w:color="auto" w:fill="auto"/>
            <w:vAlign w:val="bottom"/>
          </w:tcPr>
          <w:p w14:paraId="71D3DD54" w14:textId="77777777" w:rsidR="006A3667" w:rsidRDefault="006A3667">
            <w:pPr>
              <w:rPr>
                <w:rFonts w:ascii="宋体"/>
                <w:vanish/>
              </w:rPr>
            </w:pPr>
          </w:p>
        </w:tc>
      </w:tr>
      <w:tr w:rsidR="006A3667" w14:paraId="71D3DD64" w14:textId="77777777">
        <w:tc>
          <w:tcPr>
            <w:tcW w:w="0" w:type="auto"/>
            <w:gridSpan w:val="3"/>
            <w:shd w:val="clear" w:color="auto" w:fill="CCEEFF"/>
            <w:tcMar>
              <w:top w:w="40" w:type="dxa"/>
              <w:left w:w="140" w:type="dxa"/>
              <w:bottom w:w="40" w:type="dxa"/>
              <w:right w:w="20" w:type="dxa"/>
            </w:tcMar>
            <w:vAlign w:val="bottom"/>
          </w:tcPr>
          <w:p w14:paraId="71D3DD56" w14:textId="77777777" w:rsidR="006A3667" w:rsidRDefault="00045F32">
            <w:pPr>
              <w:textAlignment w:val="bottom"/>
            </w:pPr>
            <w:r>
              <w:rPr>
                <w:rFonts w:ascii="Arial" w:eastAsia="宋体" w:hAnsi="Arial" w:cs="Arial"/>
                <w:color w:val="000000"/>
                <w:sz w:val="15"/>
                <w:szCs w:val="15"/>
              </w:rPr>
              <w:t>Interest income</w:t>
            </w:r>
          </w:p>
        </w:tc>
        <w:tc>
          <w:tcPr>
            <w:tcW w:w="0" w:type="auto"/>
            <w:gridSpan w:val="2"/>
            <w:shd w:val="clear" w:color="auto" w:fill="CCEEFF"/>
            <w:tcMar>
              <w:top w:w="40" w:type="dxa"/>
              <w:left w:w="20" w:type="dxa"/>
              <w:bottom w:w="40" w:type="dxa"/>
              <w:right w:w="0" w:type="dxa"/>
            </w:tcMar>
            <w:vAlign w:val="bottom"/>
          </w:tcPr>
          <w:p w14:paraId="71D3DD57" w14:textId="77777777" w:rsidR="006A3667" w:rsidRDefault="00045F32">
            <w:pPr>
              <w:jc w:val="right"/>
              <w:textAlignment w:val="bottom"/>
            </w:pPr>
            <w:r>
              <w:rPr>
                <w:rFonts w:ascii="Arial" w:eastAsia="宋体" w:hAnsi="Arial" w:cs="Arial"/>
                <w:b/>
                <w:bCs/>
                <w:color w:val="000000"/>
                <w:sz w:val="15"/>
                <w:szCs w:val="15"/>
              </w:rPr>
              <w:t>2,326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DD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D5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D5A" w14:textId="77777777" w:rsidR="006A3667" w:rsidRDefault="00045F32">
            <w:pPr>
              <w:jc w:val="right"/>
              <w:textAlignment w:val="bottom"/>
            </w:pPr>
            <w:r>
              <w:rPr>
                <w:rFonts w:ascii="Arial" w:eastAsia="宋体" w:hAnsi="Arial" w:cs="Arial"/>
                <w:color w:val="000000"/>
                <w:sz w:val="15"/>
                <w:szCs w:val="15"/>
              </w:rPr>
              <w:t>1,425 </w:t>
            </w:r>
          </w:p>
        </w:tc>
        <w:tc>
          <w:tcPr>
            <w:tcW w:w="0" w:type="auto"/>
            <w:shd w:val="clear" w:color="auto" w:fill="CCEEFF"/>
            <w:tcMar>
              <w:top w:w="40" w:type="dxa"/>
              <w:left w:w="0" w:type="dxa"/>
              <w:bottom w:w="40" w:type="dxa"/>
              <w:right w:w="20" w:type="dxa"/>
            </w:tcMar>
            <w:vAlign w:val="bottom"/>
          </w:tcPr>
          <w:p w14:paraId="71D3DD5B" w14:textId="77777777" w:rsidR="006A3667" w:rsidRDefault="006A3667">
            <w:pPr>
              <w:jc w:val="right"/>
              <w:rPr>
                <w:rFonts w:ascii="宋体"/>
              </w:rPr>
            </w:pPr>
          </w:p>
        </w:tc>
        <w:tc>
          <w:tcPr>
            <w:tcW w:w="0" w:type="auto"/>
            <w:shd w:val="clear" w:color="auto" w:fill="auto"/>
            <w:vAlign w:val="bottom"/>
          </w:tcPr>
          <w:p w14:paraId="71D3DD5C" w14:textId="77777777" w:rsidR="006A3667" w:rsidRDefault="006A3667">
            <w:pPr>
              <w:rPr>
                <w:rFonts w:ascii="宋体"/>
                <w:vanish/>
              </w:rPr>
            </w:pPr>
          </w:p>
        </w:tc>
        <w:tc>
          <w:tcPr>
            <w:tcW w:w="0" w:type="auto"/>
            <w:shd w:val="clear" w:color="auto" w:fill="auto"/>
            <w:vAlign w:val="bottom"/>
          </w:tcPr>
          <w:p w14:paraId="71D3DD5D"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D5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D5F" w14:textId="77777777" w:rsidR="006A3667" w:rsidRDefault="00045F32">
            <w:pPr>
              <w:jc w:val="right"/>
              <w:textAlignment w:val="bottom"/>
            </w:pPr>
            <w:r>
              <w:rPr>
                <w:rFonts w:ascii="Arial" w:eastAsia="宋体" w:hAnsi="Arial" w:cs="Arial"/>
                <w:color w:val="000000"/>
                <w:sz w:val="15"/>
                <w:szCs w:val="15"/>
              </w:rPr>
              <w:t>63 </w:t>
            </w:r>
          </w:p>
        </w:tc>
        <w:tc>
          <w:tcPr>
            <w:tcW w:w="0" w:type="auto"/>
            <w:shd w:val="clear" w:color="auto" w:fill="CCEEFF"/>
            <w:tcMar>
              <w:top w:w="40" w:type="dxa"/>
              <w:left w:w="0" w:type="dxa"/>
              <w:bottom w:w="40" w:type="dxa"/>
              <w:right w:w="20" w:type="dxa"/>
            </w:tcMar>
            <w:vAlign w:val="bottom"/>
          </w:tcPr>
          <w:p w14:paraId="71D3DD60" w14:textId="77777777" w:rsidR="006A3667" w:rsidRDefault="006A3667">
            <w:pPr>
              <w:jc w:val="right"/>
              <w:rPr>
                <w:rFonts w:ascii="宋体"/>
              </w:rPr>
            </w:pPr>
          </w:p>
        </w:tc>
        <w:tc>
          <w:tcPr>
            <w:tcW w:w="0" w:type="auto"/>
            <w:gridSpan w:val="3"/>
            <w:shd w:val="clear" w:color="auto" w:fill="auto"/>
            <w:vAlign w:val="bottom"/>
          </w:tcPr>
          <w:p w14:paraId="71D3DD61" w14:textId="77777777" w:rsidR="006A3667" w:rsidRDefault="006A3667">
            <w:pPr>
              <w:rPr>
                <w:rFonts w:ascii="宋体"/>
                <w:vanish/>
              </w:rPr>
            </w:pPr>
          </w:p>
        </w:tc>
        <w:tc>
          <w:tcPr>
            <w:tcW w:w="0" w:type="auto"/>
            <w:gridSpan w:val="3"/>
            <w:shd w:val="clear" w:color="auto" w:fill="auto"/>
            <w:vAlign w:val="bottom"/>
          </w:tcPr>
          <w:p w14:paraId="71D3DD62" w14:textId="77777777" w:rsidR="006A3667" w:rsidRDefault="006A3667">
            <w:pPr>
              <w:rPr>
                <w:rFonts w:ascii="宋体"/>
                <w:vanish/>
              </w:rPr>
            </w:pPr>
          </w:p>
        </w:tc>
        <w:tc>
          <w:tcPr>
            <w:tcW w:w="0" w:type="auto"/>
            <w:gridSpan w:val="3"/>
            <w:shd w:val="clear" w:color="auto" w:fill="auto"/>
            <w:vAlign w:val="bottom"/>
          </w:tcPr>
          <w:p w14:paraId="71D3DD63" w14:textId="77777777" w:rsidR="006A3667" w:rsidRDefault="006A3667">
            <w:pPr>
              <w:rPr>
                <w:rFonts w:ascii="宋体"/>
                <w:vanish/>
              </w:rPr>
            </w:pPr>
          </w:p>
        </w:tc>
      </w:tr>
      <w:tr w:rsidR="006A3667" w14:paraId="71D3DD72" w14:textId="77777777">
        <w:tc>
          <w:tcPr>
            <w:tcW w:w="0" w:type="auto"/>
            <w:gridSpan w:val="3"/>
            <w:shd w:val="clear" w:color="auto" w:fill="FFFFFF"/>
            <w:tcMar>
              <w:top w:w="40" w:type="dxa"/>
              <w:left w:w="140" w:type="dxa"/>
              <w:bottom w:w="40" w:type="dxa"/>
              <w:right w:w="20" w:type="dxa"/>
            </w:tcMar>
            <w:vAlign w:val="bottom"/>
          </w:tcPr>
          <w:p w14:paraId="71D3DD65" w14:textId="77777777" w:rsidR="006A3667" w:rsidRDefault="00045F32">
            <w:pPr>
              <w:textAlignment w:val="bottom"/>
            </w:pPr>
            <w:r>
              <w:rPr>
                <w:rFonts w:ascii="Arial" w:eastAsia="宋体" w:hAnsi="Arial" w:cs="Arial"/>
                <w:color w:val="000000"/>
                <w:sz w:val="15"/>
                <w:szCs w:val="15"/>
              </w:rPr>
              <w:t>Interest expense</w:t>
            </w:r>
          </w:p>
        </w:tc>
        <w:tc>
          <w:tcPr>
            <w:tcW w:w="0" w:type="auto"/>
            <w:gridSpan w:val="2"/>
            <w:shd w:val="clear" w:color="auto" w:fill="FFFFFF"/>
            <w:tcMar>
              <w:top w:w="40" w:type="dxa"/>
              <w:left w:w="20" w:type="dxa"/>
              <w:bottom w:w="40" w:type="dxa"/>
              <w:right w:w="0" w:type="dxa"/>
            </w:tcMar>
            <w:vAlign w:val="bottom"/>
          </w:tcPr>
          <w:p w14:paraId="71D3DD66" w14:textId="77777777" w:rsidR="006A3667" w:rsidRDefault="00045F32">
            <w:pPr>
              <w:jc w:val="right"/>
              <w:textAlignment w:val="bottom"/>
            </w:pPr>
            <w:r>
              <w:rPr>
                <w:rFonts w:ascii="Arial" w:eastAsia="宋体" w:hAnsi="Arial" w:cs="Arial"/>
                <w:b/>
                <w:bCs/>
                <w:color w:val="000000"/>
                <w:sz w:val="15"/>
                <w:szCs w:val="15"/>
              </w:rPr>
              <w:t>573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D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D6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D69" w14:textId="77777777" w:rsidR="006A3667" w:rsidRDefault="00045F32">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71D3DD6A" w14:textId="77777777" w:rsidR="006A3667" w:rsidRDefault="006A3667">
            <w:pPr>
              <w:jc w:val="right"/>
              <w:rPr>
                <w:rFonts w:ascii="宋体"/>
              </w:rPr>
            </w:pPr>
          </w:p>
        </w:tc>
        <w:tc>
          <w:tcPr>
            <w:tcW w:w="0" w:type="auto"/>
            <w:shd w:val="clear" w:color="auto" w:fill="auto"/>
            <w:vAlign w:val="bottom"/>
          </w:tcPr>
          <w:p w14:paraId="71D3DD6B" w14:textId="77777777" w:rsidR="006A3667" w:rsidRDefault="006A3667">
            <w:pPr>
              <w:rPr>
                <w:rFonts w:ascii="宋体"/>
                <w:vanish/>
              </w:rPr>
            </w:pPr>
          </w:p>
        </w:tc>
        <w:tc>
          <w:tcPr>
            <w:tcW w:w="0" w:type="auto"/>
            <w:shd w:val="clear" w:color="auto" w:fill="auto"/>
            <w:vAlign w:val="bottom"/>
          </w:tcPr>
          <w:p w14:paraId="71D3DD6C"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D6D"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DD6E"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D6F" w14:textId="77777777" w:rsidR="006A3667" w:rsidRDefault="006A3667">
            <w:pPr>
              <w:rPr>
                <w:rFonts w:ascii="宋体"/>
                <w:vanish/>
              </w:rPr>
            </w:pPr>
          </w:p>
        </w:tc>
        <w:tc>
          <w:tcPr>
            <w:tcW w:w="0" w:type="auto"/>
            <w:gridSpan w:val="3"/>
            <w:shd w:val="clear" w:color="auto" w:fill="auto"/>
            <w:vAlign w:val="bottom"/>
          </w:tcPr>
          <w:p w14:paraId="71D3DD70" w14:textId="77777777" w:rsidR="006A3667" w:rsidRDefault="006A3667">
            <w:pPr>
              <w:rPr>
                <w:rFonts w:ascii="宋体"/>
                <w:vanish/>
              </w:rPr>
            </w:pPr>
          </w:p>
        </w:tc>
        <w:tc>
          <w:tcPr>
            <w:tcW w:w="0" w:type="auto"/>
            <w:gridSpan w:val="3"/>
            <w:shd w:val="clear" w:color="auto" w:fill="auto"/>
            <w:vAlign w:val="bottom"/>
          </w:tcPr>
          <w:p w14:paraId="71D3DD71" w14:textId="77777777" w:rsidR="006A3667" w:rsidRDefault="006A3667">
            <w:pPr>
              <w:rPr>
                <w:rFonts w:ascii="宋体"/>
                <w:vanish/>
              </w:rPr>
            </w:pPr>
          </w:p>
        </w:tc>
      </w:tr>
      <w:tr w:rsidR="006A3667" w14:paraId="71D3DD81" w14:textId="77777777">
        <w:tc>
          <w:tcPr>
            <w:tcW w:w="0" w:type="auto"/>
            <w:gridSpan w:val="3"/>
            <w:shd w:val="clear" w:color="auto" w:fill="CCEEFF"/>
            <w:tcMar>
              <w:top w:w="40" w:type="dxa"/>
              <w:left w:w="20" w:type="dxa"/>
              <w:bottom w:w="40" w:type="dxa"/>
              <w:right w:w="20" w:type="dxa"/>
            </w:tcMar>
            <w:vAlign w:val="bottom"/>
          </w:tcPr>
          <w:p w14:paraId="71D3DD73" w14:textId="77777777" w:rsidR="006A3667" w:rsidRDefault="00045F32">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D74" w14:textId="77777777" w:rsidR="006A3667" w:rsidRDefault="00045F32">
            <w:pPr>
              <w:jc w:val="right"/>
              <w:textAlignment w:val="bottom"/>
            </w:pPr>
            <w:r>
              <w:rPr>
                <w:rFonts w:ascii="Arial" w:eastAsia="宋体" w:hAnsi="Arial" w:cs="Arial"/>
                <w:b/>
                <w:bCs/>
                <w:color w:val="000000"/>
                <w:sz w:val="15"/>
                <w:szCs w:val="15"/>
              </w:rPr>
              <w:t>1,753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D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D7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D77" w14:textId="77777777" w:rsidR="006A3667" w:rsidRDefault="00045F32">
            <w:pPr>
              <w:jc w:val="right"/>
              <w:textAlignment w:val="bottom"/>
            </w:pPr>
            <w:r>
              <w:rPr>
                <w:rFonts w:ascii="Arial" w:eastAsia="宋体" w:hAnsi="Arial" w:cs="Arial"/>
                <w:color w:val="000000"/>
                <w:sz w:val="15"/>
                <w:szCs w:val="15"/>
              </w:rPr>
              <w:t>1,421 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D78" w14:textId="77777777" w:rsidR="006A3667" w:rsidRDefault="006A3667">
            <w:pPr>
              <w:jc w:val="right"/>
              <w:rPr>
                <w:rFonts w:ascii="宋体"/>
              </w:rPr>
            </w:pPr>
          </w:p>
        </w:tc>
        <w:tc>
          <w:tcPr>
            <w:tcW w:w="0" w:type="auto"/>
            <w:shd w:val="clear" w:color="auto" w:fill="auto"/>
            <w:vAlign w:val="bottom"/>
          </w:tcPr>
          <w:p w14:paraId="71D3DD79" w14:textId="77777777" w:rsidR="006A3667" w:rsidRDefault="006A3667">
            <w:pPr>
              <w:rPr>
                <w:rFonts w:ascii="宋体"/>
                <w:vanish/>
              </w:rPr>
            </w:pPr>
          </w:p>
        </w:tc>
        <w:tc>
          <w:tcPr>
            <w:tcW w:w="0" w:type="auto"/>
            <w:shd w:val="clear" w:color="auto" w:fill="auto"/>
            <w:vAlign w:val="bottom"/>
          </w:tcPr>
          <w:p w14:paraId="71D3DD7A"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D7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D7C" w14:textId="77777777" w:rsidR="006A3667" w:rsidRDefault="00045F32">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71D3DD7D" w14:textId="77777777" w:rsidR="006A3667" w:rsidRDefault="006A3667">
            <w:pPr>
              <w:jc w:val="right"/>
              <w:rPr>
                <w:rFonts w:ascii="宋体"/>
              </w:rPr>
            </w:pPr>
          </w:p>
        </w:tc>
        <w:tc>
          <w:tcPr>
            <w:tcW w:w="0" w:type="auto"/>
            <w:gridSpan w:val="3"/>
            <w:shd w:val="clear" w:color="auto" w:fill="auto"/>
            <w:vAlign w:val="bottom"/>
          </w:tcPr>
          <w:p w14:paraId="71D3DD7E" w14:textId="77777777" w:rsidR="006A3667" w:rsidRDefault="006A3667">
            <w:pPr>
              <w:rPr>
                <w:rFonts w:ascii="宋体"/>
                <w:vanish/>
              </w:rPr>
            </w:pPr>
          </w:p>
        </w:tc>
        <w:tc>
          <w:tcPr>
            <w:tcW w:w="0" w:type="auto"/>
            <w:gridSpan w:val="3"/>
            <w:shd w:val="clear" w:color="auto" w:fill="auto"/>
            <w:vAlign w:val="bottom"/>
          </w:tcPr>
          <w:p w14:paraId="71D3DD7F" w14:textId="77777777" w:rsidR="006A3667" w:rsidRDefault="006A3667">
            <w:pPr>
              <w:rPr>
                <w:rFonts w:ascii="宋体"/>
                <w:vanish/>
              </w:rPr>
            </w:pPr>
          </w:p>
        </w:tc>
        <w:tc>
          <w:tcPr>
            <w:tcW w:w="0" w:type="auto"/>
            <w:gridSpan w:val="3"/>
            <w:shd w:val="clear" w:color="auto" w:fill="auto"/>
            <w:vAlign w:val="bottom"/>
          </w:tcPr>
          <w:p w14:paraId="71D3DD80" w14:textId="77777777" w:rsidR="006A3667" w:rsidRDefault="006A3667">
            <w:pPr>
              <w:rPr>
                <w:rFonts w:ascii="宋体"/>
                <w:vanish/>
              </w:rPr>
            </w:pPr>
          </w:p>
        </w:tc>
      </w:tr>
      <w:tr w:rsidR="006A3667" w14:paraId="71D3DD8D" w14:textId="77777777">
        <w:tc>
          <w:tcPr>
            <w:tcW w:w="0" w:type="auto"/>
            <w:gridSpan w:val="3"/>
            <w:shd w:val="clear" w:color="auto" w:fill="FFFFFF"/>
            <w:tcMar>
              <w:top w:w="40" w:type="dxa"/>
              <w:left w:w="20" w:type="dxa"/>
              <w:bottom w:w="40" w:type="dxa"/>
              <w:right w:w="20" w:type="dxa"/>
            </w:tcMar>
            <w:vAlign w:val="bottom"/>
          </w:tcPr>
          <w:p w14:paraId="71D3DD82" w14:textId="77777777" w:rsidR="006A3667" w:rsidRDefault="00045F32">
            <w:pPr>
              <w:textAlignment w:val="bottom"/>
            </w:pPr>
            <w:r>
              <w:rPr>
                <w:rFonts w:ascii="Arial" w:eastAsia="宋体" w:hAnsi="Arial" w:cs="Arial"/>
                <w:color w:val="000000"/>
                <w:sz w:val="15"/>
                <w:szCs w:val="15"/>
              </w:rPr>
              <w:t>Other income:</w:t>
            </w:r>
          </w:p>
        </w:tc>
        <w:tc>
          <w:tcPr>
            <w:tcW w:w="0" w:type="auto"/>
            <w:gridSpan w:val="3"/>
            <w:shd w:val="clear" w:color="auto" w:fill="FFFFFF"/>
            <w:tcMar>
              <w:top w:w="0" w:type="dxa"/>
              <w:left w:w="20" w:type="dxa"/>
              <w:bottom w:w="0" w:type="dxa"/>
              <w:right w:w="20" w:type="dxa"/>
            </w:tcMar>
            <w:vAlign w:val="bottom"/>
          </w:tcPr>
          <w:p w14:paraId="71D3DD8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D8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D85" w14:textId="77777777" w:rsidR="006A3667" w:rsidRDefault="006A3667">
            <w:pPr>
              <w:rPr>
                <w:rFonts w:ascii="宋体"/>
              </w:rPr>
            </w:pPr>
          </w:p>
        </w:tc>
        <w:tc>
          <w:tcPr>
            <w:tcW w:w="0" w:type="auto"/>
            <w:shd w:val="clear" w:color="auto" w:fill="auto"/>
            <w:vAlign w:val="bottom"/>
          </w:tcPr>
          <w:p w14:paraId="71D3DD86" w14:textId="77777777" w:rsidR="006A3667" w:rsidRDefault="006A3667">
            <w:pPr>
              <w:rPr>
                <w:rFonts w:ascii="宋体"/>
                <w:vanish/>
              </w:rPr>
            </w:pPr>
          </w:p>
        </w:tc>
        <w:tc>
          <w:tcPr>
            <w:tcW w:w="0" w:type="auto"/>
            <w:shd w:val="clear" w:color="auto" w:fill="auto"/>
            <w:vAlign w:val="bottom"/>
          </w:tcPr>
          <w:p w14:paraId="71D3DD87"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D8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D89" w14:textId="77777777" w:rsidR="006A3667" w:rsidRDefault="006A3667">
            <w:pPr>
              <w:rPr>
                <w:rFonts w:ascii="宋体"/>
              </w:rPr>
            </w:pPr>
          </w:p>
        </w:tc>
        <w:tc>
          <w:tcPr>
            <w:tcW w:w="0" w:type="auto"/>
            <w:gridSpan w:val="3"/>
            <w:shd w:val="clear" w:color="auto" w:fill="auto"/>
            <w:vAlign w:val="bottom"/>
          </w:tcPr>
          <w:p w14:paraId="71D3DD8A" w14:textId="77777777" w:rsidR="006A3667" w:rsidRDefault="006A3667">
            <w:pPr>
              <w:rPr>
                <w:rFonts w:ascii="宋体"/>
                <w:vanish/>
              </w:rPr>
            </w:pPr>
          </w:p>
        </w:tc>
        <w:tc>
          <w:tcPr>
            <w:tcW w:w="0" w:type="auto"/>
            <w:gridSpan w:val="3"/>
            <w:shd w:val="clear" w:color="auto" w:fill="auto"/>
            <w:vAlign w:val="bottom"/>
          </w:tcPr>
          <w:p w14:paraId="71D3DD8B" w14:textId="77777777" w:rsidR="006A3667" w:rsidRDefault="006A3667">
            <w:pPr>
              <w:rPr>
                <w:rFonts w:ascii="宋体"/>
                <w:vanish/>
              </w:rPr>
            </w:pPr>
          </w:p>
        </w:tc>
        <w:tc>
          <w:tcPr>
            <w:tcW w:w="0" w:type="auto"/>
            <w:gridSpan w:val="3"/>
            <w:shd w:val="clear" w:color="auto" w:fill="auto"/>
            <w:vAlign w:val="bottom"/>
          </w:tcPr>
          <w:p w14:paraId="71D3DD8C" w14:textId="77777777" w:rsidR="006A3667" w:rsidRDefault="006A3667">
            <w:pPr>
              <w:rPr>
                <w:rFonts w:ascii="宋体"/>
                <w:vanish/>
              </w:rPr>
            </w:pPr>
          </w:p>
        </w:tc>
      </w:tr>
      <w:tr w:rsidR="006A3667" w14:paraId="71D3DD9B" w14:textId="77777777">
        <w:tc>
          <w:tcPr>
            <w:tcW w:w="0" w:type="auto"/>
            <w:gridSpan w:val="3"/>
            <w:shd w:val="clear" w:color="auto" w:fill="CCEEFF"/>
            <w:tcMar>
              <w:top w:w="40" w:type="dxa"/>
              <w:left w:w="140" w:type="dxa"/>
              <w:bottom w:w="40" w:type="dxa"/>
              <w:right w:w="20" w:type="dxa"/>
            </w:tcMar>
            <w:vAlign w:val="bottom"/>
          </w:tcPr>
          <w:p w14:paraId="71D3DD8E" w14:textId="77777777" w:rsidR="006A3667" w:rsidRDefault="00045F32">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CCEEFF"/>
            <w:tcMar>
              <w:top w:w="40" w:type="dxa"/>
              <w:left w:w="20" w:type="dxa"/>
              <w:bottom w:w="40" w:type="dxa"/>
              <w:right w:w="0" w:type="dxa"/>
            </w:tcMar>
            <w:vAlign w:val="bottom"/>
          </w:tcPr>
          <w:p w14:paraId="71D3DD8F" w14:textId="77777777" w:rsidR="006A3667" w:rsidRDefault="00045F32">
            <w:pPr>
              <w:jc w:val="right"/>
              <w:textAlignment w:val="bottom"/>
            </w:pPr>
            <w:r>
              <w:rPr>
                <w:rFonts w:ascii="Arial" w:eastAsia="宋体" w:hAnsi="Arial" w:cs="Arial"/>
                <w:b/>
                <w:bCs/>
                <w:color w:val="000000"/>
                <w:sz w:val="15"/>
                <w:szCs w:val="15"/>
              </w:rPr>
              <w:t>(2)</w:t>
            </w:r>
          </w:p>
        </w:tc>
        <w:tc>
          <w:tcPr>
            <w:tcW w:w="0" w:type="auto"/>
            <w:shd w:val="clear" w:color="auto" w:fill="CCEEFF"/>
            <w:tcMar>
              <w:top w:w="40" w:type="dxa"/>
              <w:left w:w="0" w:type="dxa"/>
              <w:bottom w:w="40" w:type="dxa"/>
              <w:right w:w="20" w:type="dxa"/>
            </w:tcMar>
            <w:vAlign w:val="bottom"/>
          </w:tcPr>
          <w:p w14:paraId="71D3DD9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D9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DD92"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1D3DD93" w14:textId="77777777" w:rsidR="006A3667" w:rsidRDefault="006A3667">
            <w:pPr>
              <w:jc w:val="right"/>
              <w:rPr>
                <w:rFonts w:ascii="宋体"/>
              </w:rPr>
            </w:pPr>
          </w:p>
        </w:tc>
        <w:tc>
          <w:tcPr>
            <w:tcW w:w="0" w:type="auto"/>
            <w:shd w:val="clear" w:color="auto" w:fill="auto"/>
            <w:vAlign w:val="bottom"/>
          </w:tcPr>
          <w:p w14:paraId="71D3DD94" w14:textId="77777777" w:rsidR="006A3667" w:rsidRDefault="006A3667">
            <w:pPr>
              <w:rPr>
                <w:rFonts w:ascii="宋体"/>
                <w:vanish/>
              </w:rPr>
            </w:pPr>
          </w:p>
        </w:tc>
        <w:tc>
          <w:tcPr>
            <w:tcW w:w="0" w:type="auto"/>
            <w:shd w:val="clear" w:color="auto" w:fill="auto"/>
            <w:vAlign w:val="bottom"/>
          </w:tcPr>
          <w:p w14:paraId="71D3DD95"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D96"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DD97"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D98" w14:textId="77777777" w:rsidR="006A3667" w:rsidRDefault="006A3667">
            <w:pPr>
              <w:rPr>
                <w:rFonts w:ascii="宋体"/>
                <w:vanish/>
              </w:rPr>
            </w:pPr>
          </w:p>
        </w:tc>
        <w:tc>
          <w:tcPr>
            <w:tcW w:w="0" w:type="auto"/>
            <w:gridSpan w:val="3"/>
            <w:shd w:val="clear" w:color="auto" w:fill="auto"/>
            <w:vAlign w:val="bottom"/>
          </w:tcPr>
          <w:p w14:paraId="71D3DD99" w14:textId="77777777" w:rsidR="006A3667" w:rsidRDefault="006A3667">
            <w:pPr>
              <w:rPr>
                <w:rFonts w:ascii="宋体"/>
                <w:vanish/>
              </w:rPr>
            </w:pPr>
          </w:p>
        </w:tc>
        <w:tc>
          <w:tcPr>
            <w:tcW w:w="0" w:type="auto"/>
            <w:gridSpan w:val="3"/>
            <w:shd w:val="clear" w:color="auto" w:fill="auto"/>
            <w:vAlign w:val="bottom"/>
          </w:tcPr>
          <w:p w14:paraId="71D3DD9A" w14:textId="77777777" w:rsidR="006A3667" w:rsidRDefault="006A3667">
            <w:pPr>
              <w:rPr>
                <w:rFonts w:ascii="宋体"/>
                <w:vanish/>
              </w:rPr>
            </w:pPr>
          </w:p>
        </w:tc>
      </w:tr>
      <w:tr w:rsidR="006A3667" w14:paraId="71D3DDA9" w14:textId="77777777">
        <w:tc>
          <w:tcPr>
            <w:tcW w:w="0" w:type="auto"/>
            <w:gridSpan w:val="3"/>
            <w:shd w:val="clear" w:color="auto" w:fill="FFFFFF"/>
            <w:tcMar>
              <w:top w:w="40" w:type="dxa"/>
              <w:left w:w="140" w:type="dxa"/>
              <w:bottom w:w="40" w:type="dxa"/>
              <w:right w:w="20" w:type="dxa"/>
            </w:tcMar>
            <w:vAlign w:val="bottom"/>
          </w:tcPr>
          <w:p w14:paraId="71D3DD9C" w14:textId="77777777" w:rsidR="006A3667" w:rsidRDefault="00045F32">
            <w:pPr>
              <w:textAlignment w:val="bottom"/>
            </w:pPr>
            <w:r>
              <w:rPr>
                <w:rFonts w:ascii="Arial" w:eastAsia="宋体" w:hAnsi="Arial" w:cs="Arial"/>
                <w:color w:val="000000"/>
                <w:sz w:val="15"/>
                <w:szCs w:val="15"/>
              </w:rPr>
              <w:t>Other income</w:t>
            </w:r>
          </w:p>
        </w:tc>
        <w:tc>
          <w:tcPr>
            <w:tcW w:w="0" w:type="auto"/>
            <w:gridSpan w:val="2"/>
            <w:shd w:val="clear" w:color="auto" w:fill="FFFFFF"/>
            <w:tcMar>
              <w:top w:w="40" w:type="dxa"/>
              <w:left w:w="20" w:type="dxa"/>
              <w:bottom w:w="40" w:type="dxa"/>
              <w:right w:w="0" w:type="dxa"/>
            </w:tcMar>
            <w:vAlign w:val="bottom"/>
          </w:tcPr>
          <w:p w14:paraId="71D3DD9D"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D9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D9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DA0" w14:textId="77777777" w:rsidR="006A3667" w:rsidRDefault="00045F32">
            <w:pPr>
              <w:jc w:val="right"/>
              <w:textAlignment w:val="bottom"/>
            </w:pPr>
            <w:r>
              <w:rPr>
                <w:rFonts w:ascii="Arial" w:eastAsia="宋体" w:hAnsi="Arial" w:cs="Arial"/>
                <w:color w:val="000000"/>
                <w:sz w:val="15"/>
                <w:szCs w:val="15"/>
              </w:rPr>
              <w:t>53 </w:t>
            </w:r>
          </w:p>
        </w:tc>
        <w:tc>
          <w:tcPr>
            <w:tcW w:w="0" w:type="auto"/>
            <w:shd w:val="clear" w:color="auto" w:fill="FFFFFF"/>
            <w:tcMar>
              <w:top w:w="40" w:type="dxa"/>
              <w:left w:w="0" w:type="dxa"/>
              <w:bottom w:w="40" w:type="dxa"/>
              <w:right w:w="20" w:type="dxa"/>
            </w:tcMar>
            <w:vAlign w:val="bottom"/>
          </w:tcPr>
          <w:p w14:paraId="71D3DDA1" w14:textId="77777777" w:rsidR="006A3667" w:rsidRDefault="006A3667">
            <w:pPr>
              <w:jc w:val="right"/>
              <w:rPr>
                <w:rFonts w:ascii="宋体"/>
              </w:rPr>
            </w:pPr>
          </w:p>
        </w:tc>
        <w:tc>
          <w:tcPr>
            <w:tcW w:w="0" w:type="auto"/>
            <w:shd w:val="clear" w:color="auto" w:fill="auto"/>
            <w:vAlign w:val="bottom"/>
          </w:tcPr>
          <w:p w14:paraId="71D3DDA2" w14:textId="77777777" w:rsidR="006A3667" w:rsidRDefault="006A3667">
            <w:pPr>
              <w:rPr>
                <w:rFonts w:ascii="宋体"/>
                <w:vanish/>
              </w:rPr>
            </w:pPr>
          </w:p>
        </w:tc>
        <w:tc>
          <w:tcPr>
            <w:tcW w:w="0" w:type="auto"/>
            <w:shd w:val="clear" w:color="auto" w:fill="auto"/>
            <w:vAlign w:val="bottom"/>
          </w:tcPr>
          <w:p w14:paraId="71D3DDA3"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DA4"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DDA5"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DA6" w14:textId="77777777" w:rsidR="006A3667" w:rsidRDefault="006A3667">
            <w:pPr>
              <w:rPr>
                <w:rFonts w:ascii="宋体"/>
                <w:vanish/>
              </w:rPr>
            </w:pPr>
          </w:p>
        </w:tc>
        <w:tc>
          <w:tcPr>
            <w:tcW w:w="0" w:type="auto"/>
            <w:gridSpan w:val="3"/>
            <w:shd w:val="clear" w:color="auto" w:fill="auto"/>
            <w:vAlign w:val="bottom"/>
          </w:tcPr>
          <w:p w14:paraId="71D3DDA7" w14:textId="77777777" w:rsidR="006A3667" w:rsidRDefault="006A3667">
            <w:pPr>
              <w:rPr>
                <w:rFonts w:ascii="宋体"/>
                <w:vanish/>
              </w:rPr>
            </w:pPr>
          </w:p>
        </w:tc>
        <w:tc>
          <w:tcPr>
            <w:tcW w:w="0" w:type="auto"/>
            <w:gridSpan w:val="3"/>
            <w:shd w:val="clear" w:color="auto" w:fill="auto"/>
            <w:vAlign w:val="bottom"/>
          </w:tcPr>
          <w:p w14:paraId="71D3DDA8" w14:textId="77777777" w:rsidR="006A3667" w:rsidRDefault="006A3667">
            <w:pPr>
              <w:rPr>
                <w:rFonts w:ascii="宋体"/>
                <w:vanish/>
              </w:rPr>
            </w:pPr>
          </w:p>
        </w:tc>
      </w:tr>
      <w:tr w:rsidR="006A3667" w14:paraId="71D3DDB7" w14:textId="77777777">
        <w:tc>
          <w:tcPr>
            <w:tcW w:w="0" w:type="auto"/>
            <w:gridSpan w:val="3"/>
            <w:shd w:val="clear" w:color="auto" w:fill="CCEEFF"/>
            <w:tcMar>
              <w:top w:w="40" w:type="dxa"/>
              <w:left w:w="20" w:type="dxa"/>
              <w:bottom w:w="40" w:type="dxa"/>
              <w:right w:w="20" w:type="dxa"/>
            </w:tcMar>
            <w:vAlign w:val="bottom"/>
          </w:tcPr>
          <w:p w14:paraId="71D3DDAA" w14:textId="77777777" w:rsidR="006A3667" w:rsidRDefault="00045F32">
            <w:pPr>
              <w:textAlignment w:val="bottom"/>
            </w:pPr>
            <w:r>
              <w:rPr>
                <w:rFonts w:ascii="Arial" w:eastAsia="宋体" w:hAnsi="Arial" w:cs="Arial"/>
                <w:color w:val="000000"/>
                <w:sz w:val="15"/>
                <w:szCs w:val="15"/>
              </w:rPr>
              <w:t>Total other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DAB" w14:textId="77777777" w:rsidR="006A3667" w:rsidRDefault="00045F32">
            <w:pPr>
              <w:jc w:val="right"/>
              <w:textAlignment w:val="bottom"/>
            </w:pPr>
            <w:r>
              <w:rPr>
                <w:rFonts w:ascii="Arial" w:eastAsia="宋体" w:hAnsi="Arial" w:cs="Arial"/>
                <w:b/>
                <w:bCs/>
                <w:color w:val="000000"/>
                <w:sz w:val="15"/>
                <w:szCs w:val="15"/>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D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DA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DDAE" w14:textId="77777777" w:rsidR="006A3667" w:rsidRDefault="00045F32">
            <w:pPr>
              <w:jc w:val="right"/>
              <w:textAlignment w:val="bottom"/>
            </w:pPr>
            <w:r>
              <w:rPr>
                <w:rFonts w:ascii="Arial" w:eastAsia="宋体" w:hAnsi="Arial" w:cs="Arial"/>
                <w:color w:val="000000"/>
                <w:sz w:val="15"/>
                <w:szCs w:val="15"/>
              </w:rPr>
              <w:t>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DDAF" w14:textId="77777777" w:rsidR="006A3667" w:rsidRDefault="006A3667">
            <w:pPr>
              <w:jc w:val="right"/>
              <w:rPr>
                <w:rFonts w:ascii="宋体"/>
              </w:rPr>
            </w:pPr>
          </w:p>
        </w:tc>
        <w:tc>
          <w:tcPr>
            <w:tcW w:w="0" w:type="auto"/>
            <w:shd w:val="clear" w:color="auto" w:fill="auto"/>
            <w:vAlign w:val="bottom"/>
          </w:tcPr>
          <w:p w14:paraId="71D3DDB0" w14:textId="77777777" w:rsidR="006A3667" w:rsidRDefault="006A3667">
            <w:pPr>
              <w:rPr>
                <w:rFonts w:ascii="宋体"/>
                <w:vanish/>
              </w:rPr>
            </w:pPr>
          </w:p>
        </w:tc>
        <w:tc>
          <w:tcPr>
            <w:tcW w:w="0" w:type="auto"/>
            <w:shd w:val="clear" w:color="auto" w:fill="auto"/>
            <w:vAlign w:val="bottom"/>
          </w:tcPr>
          <w:p w14:paraId="71D3DDB1"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DDB2"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DDB3"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DDB4" w14:textId="77777777" w:rsidR="006A3667" w:rsidRDefault="006A3667">
            <w:pPr>
              <w:rPr>
                <w:rFonts w:ascii="宋体"/>
                <w:vanish/>
              </w:rPr>
            </w:pPr>
          </w:p>
        </w:tc>
        <w:tc>
          <w:tcPr>
            <w:tcW w:w="0" w:type="auto"/>
            <w:gridSpan w:val="3"/>
            <w:shd w:val="clear" w:color="auto" w:fill="auto"/>
            <w:vAlign w:val="bottom"/>
          </w:tcPr>
          <w:p w14:paraId="71D3DDB5" w14:textId="77777777" w:rsidR="006A3667" w:rsidRDefault="006A3667">
            <w:pPr>
              <w:rPr>
                <w:rFonts w:ascii="宋体"/>
                <w:vanish/>
              </w:rPr>
            </w:pPr>
          </w:p>
        </w:tc>
        <w:tc>
          <w:tcPr>
            <w:tcW w:w="0" w:type="auto"/>
            <w:gridSpan w:val="3"/>
            <w:shd w:val="clear" w:color="auto" w:fill="auto"/>
            <w:vAlign w:val="bottom"/>
          </w:tcPr>
          <w:p w14:paraId="71D3DDB6" w14:textId="77777777" w:rsidR="006A3667" w:rsidRDefault="006A3667">
            <w:pPr>
              <w:rPr>
                <w:rFonts w:ascii="宋体"/>
                <w:vanish/>
              </w:rPr>
            </w:pPr>
          </w:p>
        </w:tc>
      </w:tr>
      <w:tr w:rsidR="006A3667" w14:paraId="71D3DDC8" w14:textId="77777777">
        <w:tc>
          <w:tcPr>
            <w:tcW w:w="0" w:type="auto"/>
            <w:gridSpan w:val="3"/>
            <w:shd w:val="clear" w:color="auto" w:fill="FFFFFF"/>
            <w:tcMar>
              <w:top w:w="40" w:type="dxa"/>
              <w:left w:w="20" w:type="dxa"/>
              <w:bottom w:w="40" w:type="dxa"/>
              <w:right w:w="20" w:type="dxa"/>
            </w:tcMar>
            <w:vAlign w:val="bottom"/>
          </w:tcPr>
          <w:p w14:paraId="71D3DDB8" w14:textId="77777777" w:rsidR="006A3667" w:rsidRDefault="00045F32">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DDB9"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DDBA" w14:textId="77777777" w:rsidR="006A3667" w:rsidRDefault="00045F32">
            <w:pPr>
              <w:jc w:val="right"/>
              <w:textAlignment w:val="bottom"/>
            </w:pPr>
            <w:r>
              <w:rPr>
                <w:rFonts w:ascii="Arial" w:eastAsia="宋体" w:hAnsi="Arial" w:cs="Arial"/>
                <w:b/>
                <w:bCs/>
                <w:color w:val="000000"/>
                <w:sz w:val="15"/>
                <w:szCs w:val="15"/>
              </w:rPr>
              <w:t>8,993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DD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DB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DDB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DDBE" w14:textId="77777777" w:rsidR="006A3667" w:rsidRDefault="00045F32">
            <w:pPr>
              <w:jc w:val="right"/>
              <w:textAlignment w:val="bottom"/>
            </w:pPr>
            <w:r>
              <w:rPr>
                <w:rFonts w:ascii="Arial" w:eastAsia="宋体" w:hAnsi="Arial" w:cs="Arial"/>
                <w:color w:val="000000"/>
                <w:sz w:val="15"/>
                <w:szCs w:val="15"/>
              </w:rPr>
              <w:t>8,974 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DDBF" w14:textId="77777777" w:rsidR="006A3667" w:rsidRDefault="006A3667">
            <w:pPr>
              <w:jc w:val="right"/>
              <w:rPr>
                <w:rFonts w:ascii="宋体"/>
              </w:rPr>
            </w:pPr>
          </w:p>
        </w:tc>
        <w:tc>
          <w:tcPr>
            <w:tcW w:w="0" w:type="auto"/>
            <w:shd w:val="clear" w:color="auto" w:fill="auto"/>
            <w:vAlign w:val="bottom"/>
          </w:tcPr>
          <w:p w14:paraId="71D3DDC0" w14:textId="77777777" w:rsidR="006A3667" w:rsidRDefault="006A3667">
            <w:pPr>
              <w:rPr>
                <w:rFonts w:ascii="宋体"/>
                <w:vanish/>
              </w:rPr>
            </w:pPr>
          </w:p>
        </w:tc>
        <w:tc>
          <w:tcPr>
            <w:tcW w:w="0" w:type="auto"/>
            <w:shd w:val="clear" w:color="auto" w:fill="auto"/>
            <w:vAlign w:val="bottom"/>
          </w:tcPr>
          <w:p w14:paraId="71D3DDC1"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DD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DDC3"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DDC4" w14:textId="77777777" w:rsidR="006A3667" w:rsidRDefault="006A3667">
            <w:pPr>
              <w:jc w:val="right"/>
              <w:rPr>
                <w:rFonts w:ascii="宋体"/>
              </w:rPr>
            </w:pPr>
          </w:p>
        </w:tc>
        <w:tc>
          <w:tcPr>
            <w:tcW w:w="0" w:type="auto"/>
            <w:gridSpan w:val="3"/>
            <w:shd w:val="clear" w:color="auto" w:fill="auto"/>
            <w:vAlign w:val="bottom"/>
          </w:tcPr>
          <w:p w14:paraId="71D3DDC5" w14:textId="77777777" w:rsidR="006A3667" w:rsidRDefault="006A3667">
            <w:pPr>
              <w:rPr>
                <w:rFonts w:ascii="宋体"/>
                <w:vanish/>
              </w:rPr>
            </w:pPr>
          </w:p>
        </w:tc>
        <w:tc>
          <w:tcPr>
            <w:tcW w:w="0" w:type="auto"/>
            <w:gridSpan w:val="3"/>
            <w:shd w:val="clear" w:color="auto" w:fill="auto"/>
            <w:vAlign w:val="bottom"/>
          </w:tcPr>
          <w:p w14:paraId="71D3DDC6" w14:textId="77777777" w:rsidR="006A3667" w:rsidRDefault="006A3667">
            <w:pPr>
              <w:rPr>
                <w:rFonts w:ascii="宋体"/>
                <w:vanish/>
              </w:rPr>
            </w:pPr>
          </w:p>
        </w:tc>
        <w:tc>
          <w:tcPr>
            <w:tcW w:w="0" w:type="auto"/>
            <w:gridSpan w:val="3"/>
            <w:shd w:val="clear" w:color="auto" w:fill="auto"/>
            <w:vAlign w:val="bottom"/>
          </w:tcPr>
          <w:p w14:paraId="71D3DDC7" w14:textId="77777777" w:rsidR="006A3667" w:rsidRDefault="006A3667">
            <w:pPr>
              <w:rPr>
                <w:rFonts w:ascii="宋体"/>
                <w:vanish/>
              </w:rPr>
            </w:pPr>
          </w:p>
        </w:tc>
      </w:tr>
    </w:tbl>
    <w:p w14:paraId="71D3DDC9" w14:textId="77777777" w:rsidR="006A3667" w:rsidRDefault="006A3667">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68"/>
        <w:gridCol w:w="36"/>
        <w:gridCol w:w="36"/>
        <w:gridCol w:w="1464"/>
        <w:gridCol w:w="36"/>
      </w:tblGrid>
      <w:tr w:rsidR="006A3667" w14:paraId="71D3DDD0" w14:textId="77777777">
        <w:tc>
          <w:tcPr>
            <w:tcW w:w="50" w:type="pct"/>
            <w:shd w:val="clear" w:color="auto" w:fill="auto"/>
            <w:vAlign w:val="bottom"/>
          </w:tcPr>
          <w:p w14:paraId="71D3DDCA" w14:textId="77777777" w:rsidR="006A3667" w:rsidRDefault="006A3667">
            <w:pPr>
              <w:rPr>
                <w:rFonts w:ascii="宋体"/>
              </w:rPr>
            </w:pPr>
          </w:p>
        </w:tc>
        <w:tc>
          <w:tcPr>
            <w:tcW w:w="2963" w:type="pct"/>
            <w:shd w:val="clear" w:color="auto" w:fill="auto"/>
            <w:vAlign w:val="bottom"/>
          </w:tcPr>
          <w:p w14:paraId="71D3DDCB" w14:textId="77777777" w:rsidR="006A3667" w:rsidRDefault="006A3667">
            <w:pPr>
              <w:rPr>
                <w:rFonts w:ascii="宋体"/>
              </w:rPr>
            </w:pPr>
          </w:p>
        </w:tc>
        <w:tc>
          <w:tcPr>
            <w:tcW w:w="5" w:type="pct"/>
            <w:shd w:val="clear" w:color="auto" w:fill="auto"/>
            <w:vAlign w:val="bottom"/>
          </w:tcPr>
          <w:p w14:paraId="71D3DDCC" w14:textId="77777777" w:rsidR="006A3667" w:rsidRDefault="006A3667">
            <w:pPr>
              <w:rPr>
                <w:rFonts w:ascii="宋体"/>
              </w:rPr>
            </w:pPr>
          </w:p>
        </w:tc>
        <w:tc>
          <w:tcPr>
            <w:tcW w:w="50" w:type="pct"/>
            <w:shd w:val="clear" w:color="auto" w:fill="auto"/>
            <w:vAlign w:val="bottom"/>
          </w:tcPr>
          <w:p w14:paraId="71D3DDCD" w14:textId="77777777" w:rsidR="006A3667" w:rsidRDefault="006A3667">
            <w:pPr>
              <w:rPr>
                <w:rFonts w:ascii="宋体"/>
              </w:rPr>
            </w:pPr>
          </w:p>
        </w:tc>
        <w:tc>
          <w:tcPr>
            <w:tcW w:w="1926" w:type="pct"/>
            <w:shd w:val="clear" w:color="auto" w:fill="auto"/>
            <w:vAlign w:val="bottom"/>
          </w:tcPr>
          <w:p w14:paraId="71D3DDCE" w14:textId="77777777" w:rsidR="006A3667" w:rsidRDefault="006A3667">
            <w:pPr>
              <w:rPr>
                <w:rFonts w:ascii="宋体"/>
              </w:rPr>
            </w:pPr>
          </w:p>
        </w:tc>
        <w:tc>
          <w:tcPr>
            <w:tcW w:w="5" w:type="pct"/>
            <w:shd w:val="clear" w:color="auto" w:fill="auto"/>
            <w:vAlign w:val="bottom"/>
          </w:tcPr>
          <w:p w14:paraId="71D3DDCF" w14:textId="77777777" w:rsidR="006A3667" w:rsidRDefault="006A3667">
            <w:pPr>
              <w:rPr>
                <w:rFonts w:ascii="宋体"/>
              </w:rPr>
            </w:pPr>
          </w:p>
        </w:tc>
      </w:tr>
      <w:tr w:rsidR="006A3667" w14:paraId="71D3DDD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DDD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DDD2" w14:textId="77777777" w:rsidR="006A3667" w:rsidRDefault="006A3667">
            <w:pPr>
              <w:rPr>
                <w:rFonts w:ascii="宋体"/>
              </w:rPr>
            </w:pPr>
          </w:p>
        </w:tc>
      </w:tr>
    </w:tbl>
    <w:p w14:paraId="71D3DDD4" w14:textId="77777777" w:rsidR="006A3667" w:rsidRDefault="00045F32">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In the first quarter of 2022, we reclassified certain fee revenue in our Consolidated Statement of Operations, primarily moving revenues that are not directly associated with software and processing fees to a new Other fee revenue line item. In addition, </w:t>
      </w:r>
      <w:r>
        <w:rPr>
          <w:rFonts w:ascii="Arial" w:eastAsia="宋体" w:hAnsi="Arial" w:cs="Arial"/>
          <w:color w:val="000000"/>
          <w:sz w:val="14"/>
          <w:szCs w:val="14"/>
        </w:rPr>
        <w:t>we provided a disaggregation of servicing fees into Back office services and Middle office services and of software and processing fees into Front office software and data and Lending related and other fees. Prior periods were revised to reflect these chan</w:t>
      </w:r>
      <w:r>
        <w:rPr>
          <w:rFonts w:ascii="Arial" w:eastAsia="宋体" w:hAnsi="Arial" w:cs="Arial"/>
          <w:color w:val="000000"/>
          <w:sz w:val="14"/>
          <w:szCs w:val="14"/>
        </w:rPr>
        <w:t>ges.</w:t>
      </w:r>
    </w:p>
    <w:p w14:paraId="71D3DDD5" w14:textId="77777777" w:rsidR="006A3667" w:rsidRDefault="00045F32">
      <w:pPr>
        <w:spacing w:before="60"/>
        <w:jc w:val="both"/>
      </w:pPr>
      <w:r>
        <w:rPr>
          <w:rFonts w:ascii="Arial" w:eastAsia="宋体" w:hAnsi="Arial" w:cs="Arial"/>
          <w:color w:val="000000"/>
          <w:sz w:val="9"/>
          <w:szCs w:val="9"/>
        </w:rPr>
        <w:t>nm</w:t>
      </w:r>
      <w:r>
        <w:rPr>
          <w:rFonts w:ascii="Arial" w:eastAsia="宋体" w:hAnsi="Arial" w:cs="Arial"/>
          <w:color w:val="000000"/>
          <w:sz w:val="14"/>
          <w:szCs w:val="14"/>
        </w:rPr>
        <w:t xml:space="preserve"> </w:t>
      </w:r>
      <w:r>
        <w:rPr>
          <w:rFonts w:ascii="Arial" w:eastAsia="宋体" w:hAnsi="Arial" w:cs="Arial"/>
          <w:color w:val="000000"/>
          <w:sz w:val="14"/>
          <w:szCs w:val="14"/>
          <w:shd w:val="clear" w:color="auto" w:fill="FFFFFF"/>
        </w:rPr>
        <w:t>Not meaningful</w:t>
      </w:r>
    </w:p>
    <w:p w14:paraId="71D3DDD6" w14:textId="77777777" w:rsidR="006A3667" w:rsidRDefault="00045F32">
      <w:pPr>
        <w:ind w:firstLine="450"/>
        <w:jc w:val="right"/>
      </w:pPr>
      <w:r>
        <w:rPr>
          <w:rFonts w:ascii="Arial" w:eastAsia="宋体" w:hAnsi="Arial" w:cs="Arial"/>
          <w:color w:val="000000"/>
          <w:sz w:val="18"/>
          <w:szCs w:val="18"/>
        </w:rPr>
        <w:t>State Street Corporation | 11</w:t>
      </w:r>
    </w:p>
    <w:p w14:paraId="71D3DDD7" w14:textId="77777777" w:rsidR="006A3667" w:rsidRDefault="006A3667">
      <w:pPr>
        <w:ind w:firstLine="450"/>
        <w:jc w:val="center"/>
      </w:pPr>
    </w:p>
    <w:p w14:paraId="71D3DDD8" w14:textId="77777777" w:rsidR="006A3667" w:rsidRDefault="00045F32">
      <w:r>
        <w:pict w14:anchorId="71D4AC1F">
          <v:rect id="_x0000_i1035" style="width:415.3pt;height:1.5pt" o:hralign="center" o:hrstd="t" o:hr="t" fillcolor="#a0a0a0" stroked="f"/>
        </w:pict>
      </w:r>
    </w:p>
    <w:p w14:paraId="71D3DDD9"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DDDA" w14:textId="77777777" w:rsidR="006A3667" w:rsidRDefault="00045F32">
      <w:pPr>
        <w:ind w:firstLine="450"/>
        <w:jc w:val="center"/>
      </w:pPr>
      <w:r>
        <w:rPr>
          <w:rFonts w:ascii="Arial" w:eastAsia="宋体" w:hAnsi="Arial" w:cs="Arial"/>
          <w:b/>
          <w:bCs/>
          <w:color w:val="000000"/>
          <w:sz w:val="20"/>
          <w:szCs w:val="20"/>
        </w:rPr>
        <w:t>AND RESULTS OF OPERATIONS</w:t>
      </w:r>
    </w:p>
    <w:p w14:paraId="71D3DDDB" w14:textId="77777777" w:rsidR="006A3667" w:rsidRDefault="00045F32">
      <w:pPr>
        <w:spacing w:before="60"/>
      </w:pPr>
      <w:r>
        <w:rPr>
          <w:rFonts w:ascii="Arial" w:eastAsia="宋体" w:hAnsi="Arial" w:cs="Arial"/>
          <w:b/>
          <w:bCs/>
          <w:i/>
          <w:iCs/>
          <w:color w:val="000000"/>
          <w:sz w:val="20"/>
          <w:szCs w:val="20"/>
        </w:rPr>
        <w:t>Fee Revenue</w:t>
      </w:r>
    </w:p>
    <w:p w14:paraId="71D3DDDC" w14:textId="77777777" w:rsidR="006A3667" w:rsidRDefault="00045F32">
      <w:pPr>
        <w:spacing w:before="60"/>
        <w:ind w:firstLine="450"/>
        <w:jc w:val="both"/>
      </w:pPr>
      <w:r>
        <w:rPr>
          <w:rFonts w:ascii="Arial" w:eastAsia="宋体" w:hAnsi="Arial" w:cs="Arial"/>
          <w:color w:val="000000"/>
          <w:sz w:val="20"/>
          <w:szCs w:val="20"/>
        </w:rPr>
        <w:t xml:space="preserve">Table 2: Total Revenue, provides the breakout of fee revenue for the three and nine months ended </w:t>
      </w:r>
      <w:r>
        <w:rPr>
          <w:rFonts w:ascii="Arial" w:eastAsia="宋体" w:hAnsi="Arial" w:cs="Arial"/>
          <w:color w:val="000000"/>
          <w:sz w:val="20"/>
          <w:szCs w:val="20"/>
        </w:rPr>
        <w:t xml:space="preserve">September 30, 2022 and 2021. Servicing and management fees collectively made up approximately 74% of the total fee revenue in both the three and nine months ended September 30, 2022, compared to 77% and 76% in the three and nine months ended September 30, </w:t>
      </w:r>
      <w:r>
        <w:rPr>
          <w:rFonts w:ascii="Arial" w:eastAsia="宋体" w:hAnsi="Arial" w:cs="Arial"/>
          <w:color w:val="000000"/>
          <w:sz w:val="20"/>
          <w:szCs w:val="20"/>
        </w:rPr>
        <w:t>2021, respectively.</w:t>
      </w:r>
    </w:p>
    <w:p w14:paraId="71D3DDDD" w14:textId="77777777" w:rsidR="006A3667" w:rsidRDefault="00045F32">
      <w:pPr>
        <w:spacing w:before="60"/>
      </w:pPr>
      <w:r>
        <w:rPr>
          <w:rFonts w:ascii="Arial" w:eastAsia="宋体" w:hAnsi="Arial" w:cs="Arial"/>
          <w:b/>
          <w:bCs/>
          <w:i/>
          <w:iCs/>
          <w:color w:val="000000"/>
          <w:sz w:val="20"/>
          <w:szCs w:val="20"/>
        </w:rPr>
        <w:t>Servicing Fee Revenue</w:t>
      </w:r>
    </w:p>
    <w:p w14:paraId="71D3DDDE" w14:textId="77777777" w:rsidR="006A3667" w:rsidRDefault="00045F32">
      <w:pPr>
        <w:spacing w:before="60"/>
        <w:ind w:firstLine="450"/>
        <w:jc w:val="both"/>
      </w:pPr>
      <w:r>
        <w:rPr>
          <w:rFonts w:ascii="Arial" w:eastAsia="宋体" w:hAnsi="Arial" w:cs="Arial"/>
          <w:color w:val="000000"/>
          <w:sz w:val="20"/>
          <w:szCs w:val="20"/>
        </w:rPr>
        <w:t>Servicing fee revenue comprises revenue from both back office and middle office services. Generally, our servicing fee revenues are affected by several factors including changes in market valuations, client activit</w:t>
      </w:r>
      <w:r>
        <w:rPr>
          <w:rFonts w:ascii="Arial" w:eastAsia="宋体" w:hAnsi="Arial" w:cs="Arial"/>
          <w:color w:val="000000"/>
          <w:sz w:val="20"/>
          <w:szCs w:val="20"/>
        </w:rPr>
        <w:t>y and asset flows, net new business and the manner in which we price our services. We provide a range of services to our clients, including core custody services, accounting, reporting and administration, which we refer to collectively as back office servi</w:t>
      </w:r>
      <w:r>
        <w:rPr>
          <w:rFonts w:ascii="Arial" w:eastAsia="宋体" w:hAnsi="Arial" w:cs="Arial"/>
          <w:color w:val="000000"/>
          <w:sz w:val="20"/>
          <w:szCs w:val="20"/>
        </w:rPr>
        <w:t xml:space="preserve">ces, and middle office services. The nature and mix of services provided affects our servicing fees. The basis for fees will differ across regions and clients. </w:t>
      </w:r>
    </w:p>
    <w:p w14:paraId="71D3DDDF" w14:textId="77777777" w:rsidR="006A3667" w:rsidRDefault="00045F32">
      <w:pPr>
        <w:spacing w:before="60"/>
      </w:pPr>
      <w:r>
        <w:rPr>
          <w:rFonts w:ascii="Arial" w:eastAsia="宋体" w:hAnsi="Arial" w:cs="Arial"/>
          <w:i/>
          <w:iCs/>
          <w:color w:val="000000"/>
          <w:sz w:val="20"/>
          <w:szCs w:val="20"/>
        </w:rPr>
        <w:t>Changes in Market Valuations</w:t>
      </w:r>
    </w:p>
    <w:p w14:paraId="71D3DDE0" w14:textId="77777777" w:rsidR="006A3667" w:rsidRDefault="00045F32">
      <w:pPr>
        <w:spacing w:before="60"/>
        <w:ind w:firstLine="450"/>
        <w:jc w:val="both"/>
      </w:pPr>
      <w:r>
        <w:rPr>
          <w:rFonts w:ascii="Arial" w:eastAsia="宋体" w:hAnsi="Arial" w:cs="Arial"/>
          <w:color w:val="000000"/>
          <w:sz w:val="20"/>
          <w:szCs w:val="20"/>
        </w:rPr>
        <w:t>Our servicing fee revenue is impacted by both our levels and the g</w:t>
      </w:r>
      <w:r>
        <w:rPr>
          <w:rFonts w:ascii="Arial" w:eastAsia="宋体" w:hAnsi="Arial" w:cs="Arial"/>
          <w:color w:val="000000"/>
          <w:sz w:val="20"/>
          <w:szCs w:val="20"/>
        </w:rPr>
        <w:t>eographic and product mix of our AUC/A. Increases or decreases in market valuations have a corresponding impact on the level of our AUC/A and servicing fee revenues, though the degree of impact will vary depending on asset types and classes and geography o</w:t>
      </w:r>
      <w:r>
        <w:rPr>
          <w:rFonts w:ascii="Arial" w:eastAsia="宋体" w:hAnsi="Arial" w:cs="Arial"/>
          <w:color w:val="000000"/>
          <w:sz w:val="20"/>
          <w:szCs w:val="20"/>
        </w:rPr>
        <w:t>f assets held within our clients’ portfolios. For certain asset classes where the valuation process is more complex, including alternative investments, or where our valuation is dependent on third party information, AUC/A is reported on a lag, typically on</w:t>
      </w:r>
      <w:r>
        <w:rPr>
          <w:rFonts w:ascii="Arial" w:eastAsia="宋体" w:hAnsi="Arial" w:cs="Arial"/>
          <w:color w:val="000000"/>
          <w:sz w:val="20"/>
          <w:szCs w:val="20"/>
        </w:rPr>
        <w:t>e-month. For those asset classes, the impact of market levels on our reported AUC/A does not reflect current period-end market levels.</w:t>
      </w:r>
    </w:p>
    <w:p w14:paraId="71D3DDE1" w14:textId="77777777" w:rsidR="006A3667" w:rsidRDefault="00045F32">
      <w:pPr>
        <w:spacing w:before="60"/>
        <w:ind w:firstLine="450"/>
        <w:jc w:val="both"/>
      </w:pPr>
      <w:r>
        <w:rPr>
          <w:rFonts w:ascii="Arial" w:eastAsia="宋体" w:hAnsi="Arial" w:cs="Arial"/>
          <w:color w:val="000000"/>
          <w:sz w:val="20"/>
          <w:szCs w:val="20"/>
        </w:rPr>
        <w:t>Over the five years ended December 31, 2021, we estimate that worldwide market valuations impacted our servicing fee reve</w:t>
      </w:r>
      <w:r>
        <w:rPr>
          <w:rFonts w:ascii="Arial" w:eastAsia="宋体" w:hAnsi="Arial" w:cs="Arial"/>
          <w:color w:val="000000"/>
          <w:sz w:val="20"/>
          <w:szCs w:val="20"/>
        </w:rPr>
        <w:t>nues by approximately 3% on average with a range of 0% to 7% annually and approximately 7% and 2% in 2021 and 2020, respectively. See Table 3: Daily Averages, Month-End Averages and Quarter-End Equity Indices for selected indices. While the specific indice</w:t>
      </w:r>
      <w:r>
        <w:rPr>
          <w:rFonts w:ascii="Arial" w:eastAsia="宋体" w:hAnsi="Arial" w:cs="Arial"/>
          <w:color w:val="000000"/>
          <w:sz w:val="20"/>
          <w:szCs w:val="20"/>
        </w:rPr>
        <w:t>s presented are indicative of general market trends, the asset types and classes relevant to individual client portfolios can and do differ, and the performance of associated relevant indices and of client portfolios can therefore differ from the performan</w:t>
      </w:r>
      <w:r>
        <w:rPr>
          <w:rFonts w:ascii="Arial" w:eastAsia="宋体" w:hAnsi="Arial" w:cs="Arial"/>
          <w:color w:val="000000"/>
          <w:sz w:val="20"/>
          <w:szCs w:val="20"/>
        </w:rPr>
        <w:t>ce of the indices presented. In addition, our asset classifications may differ from those industry classifications presented.</w:t>
      </w:r>
    </w:p>
    <w:p w14:paraId="71D3DDE2" w14:textId="77777777" w:rsidR="006A3667" w:rsidRDefault="00045F32">
      <w:pPr>
        <w:ind w:firstLine="450"/>
        <w:jc w:val="both"/>
      </w:pPr>
      <w:r>
        <w:rPr>
          <w:rFonts w:ascii="Arial" w:eastAsia="宋体" w:hAnsi="Arial" w:cs="Arial"/>
          <w:color w:val="000000"/>
          <w:sz w:val="20"/>
          <w:szCs w:val="20"/>
        </w:rPr>
        <w:t>Assuming that all other factors remain constant, including client activity, asset flows and pricing, we estimate, using relevant i</w:t>
      </w:r>
      <w:r>
        <w:rPr>
          <w:rFonts w:ascii="Arial" w:eastAsia="宋体" w:hAnsi="Arial" w:cs="Arial"/>
          <w:color w:val="000000"/>
          <w:sz w:val="20"/>
          <w:szCs w:val="20"/>
        </w:rPr>
        <w:t xml:space="preserve">nformation as of September 30, 2022 that a </w:t>
      </w:r>
      <w:r>
        <w:rPr>
          <w:rFonts w:ascii="Arial" w:eastAsia="宋体" w:hAnsi="Arial" w:cs="Arial"/>
          <w:color w:val="000000"/>
          <w:sz w:val="20"/>
          <w:szCs w:val="20"/>
          <w:shd w:val="clear" w:color="auto" w:fill="FFFFFF"/>
        </w:rPr>
        <w:t>10%</w:t>
      </w:r>
      <w:r>
        <w:rPr>
          <w:rFonts w:ascii="Arial" w:eastAsia="宋体" w:hAnsi="Arial" w:cs="Arial"/>
          <w:color w:val="000000"/>
          <w:sz w:val="20"/>
          <w:szCs w:val="20"/>
        </w:rPr>
        <w:t xml:space="preserve"> increase or decrease in worldwide equity valuations, on a weighted average basis, over the relevant periods for which our servicing fees are calculated, would result in a corresponding change in our total serv</w:t>
      </w:r>
      <w:r>
        <w:rPr>
          <w:rFonts w:ascii="Arial" w:eastAsia="宋体" w:hAnsi="Arial" w:cs="Arial"/>
          <w:color w:val="000000"/>
          <w:sz w:val="20"/>
          <w:szCs w:val="20"/>
        </w:rPr>
        <w:t xml:space="preserve">icing fee revenues, on average and over multiple quarters, of approximately </w:t>
      </w:r>
      <w:r>
        <w:rPr>
          <w:rFonts w:ascii="Arial" w:eastAsia="宋体" w:hAnsi="Arial" w:cs="Arial"/>
          <w:color w:val="000000"/>
          <w:sz w:val="20"/>
          <w:szCs w:val="20"/>
          <w:shd w:val="clear" w:color="auto" w:fill="FFFFFF"/>
        </w:rPr>
        <w:t>3%</w:t>
      </w:r>
      <w:r>
        <w:rPr>
          <w:rFonts w:ascii="Arial" w:eastAsia="宋体" w:hAnsi="Arial" w:cs="Arial"/>
          <w:color w:val="000000"/>
          <w:sz w:val="20"/>
          <w:szCs w:val="20"/>
        </w:rPr>
        <w:t>. We estimate, similarly assuming all other factors remain constant and using relevant information as of September 30, 2022, that changes in worldwide fixed income markets, which</w:t>
      </w:r>
      <w:r>
        <w:rPr>
          <w:rFonts w:ascii="Arial" w:eastAsia="宋体" w:hAnsi="Arial" w:cs="Arial"/>
          <w:color w:val="000000"/>
          <w:sz w:val="20"/>
          <w:szCs w:val="20"/>
        </w:rPr>
        <w:t xml:space="preserve"> on a weighted average basis and over time are typically less volatile than worldwide equity markets, have a significantly smaller impact on our servicing fee revenues on average and over time.</w:t>
      </w:r>
    </w:p>
    <w:tbl>
      <w:tblPr>
        <w:tblW w:w="4956" w:type="pct"/>
        <w:tblCellMar>
          <w:top w:w="15" w:type="dxa"/>
          <w:left w:w="15" w:type="dxa"/>
          <w:bottom w:w="15" w:type="dxa"/>
          <w:right w:w="15" w:type="dxa"/>
        </w:tblCellMar>
        <w:tblLook w:val="04A0" w:firstRow="1" w:lastRow="0" w:firstColumn="1" w:lastColumn="0" w:noHBand="0" w:noVBand="1"/>
      </w:tblPr>
      <w:tblGrid>
        <w:gridCol w:w="37"/>
        <w:gridCol w:w="1404"/>
        <w:gridCol w:w="36"/>
        <w:gridCol w:w="50"/>
        <w:gridCol w:w="468"/>
        <w:gridCol w:w="38"/>
        <w:gridCol w:w="37"/>
        <w:gridCol w:w="37"/>
        <w:gridCol w:w="37"/>
        <w:gridCol w:w="50"/>
        <w:gridCol w:w="468"/>
        <w:gridCol w:w="38"/>
        <w:gridCol w:w="37"/>
        <w:gridCol w:w="37"/>
        <w:gridCol w:w="37"/>
        <w:gridCol w:w="86"/>
        <w:gridCol w:w="623"/>
        <w:gridCol w:w="147"/>
        <w:gridCol w:w="36"/>
        <w:gridCol w:w="36"/>
        <w:gridCol w:w="36"/>
        <w:gridCol w:w="50"/>
        <w:gridCol w:w="468"/>
        <w:gridCol w:w="38"/>
        <w:gridCol w:w="37"/>
        <w:gridCol w:w="37"/>
        <w:gridCol w:w="37"/>
        <w:gridCol w:w="50"/>
        <w:gridCol w:w="468"/>
        <w:gridCol w:w="38"/>
        <w:gridCol w:w="37"/>
        <w:gridCol w:w="37"/>
        <w:gridCol w:w="37"/>
        <w:gridCol w:w="86"/>
        <w:gridCol w:w="623"/>
        <w:gridCol w:w="147"/>
        <w:gridCol w:w="36"/>
        <w:gridCol w:w="36"/>
        <w:gridCol w:w="36"/>
        <w:gridCol w:w="50"/>
        <w:gridCol w:w="468"/>
        <w:gridCol w:w="38"/>
        <w:gridCol w:w="37"/>
        <w:gridCol w:w="37"/>
        <w:gridCol w:w="37"/>
        <w:gridCol w:w="50"/>
        <w:gridCol w:w="468"/>
        <w:gridCol w:w="38"/>
        <w:gridCol w:w="37"/>
        <w:gridCol w:w="37"/>
        <w:gridCol w:w="37"/>
        <w:gridCol w:w="86"/>
        <w:gridCol w:w="623"/>
        <w:gridCol w:w="147"/>
      </w:tblGrid>
      <w:tr w:rsidR="006A3667" w14:paraId="71D3DE19" w14:textId="77777777">
        <w:tc>
          <w:tcPr>
            <w:tcW w:w="50" w:type="pct"/>
            <w:shd w:val="clear" w:color="auto" w:fill="auto"/>
            <w:vAlign w:val="bottom"/>
          </w:tcPr>
          <w:p w14:paraId="71D3DDE3" w14:textId="77777777" w:rsidR="006A3667" w:rsidRDefault="006A3667">
            <w:pPr>
              <w:rPr>
                <w:rFonts w:ascii="宋体"/>
              </w:rPr>
            </w:pPr>
          </w:p>
        </w:tc>
        <w:tc>
          <w:tcPr>
            <w:tcW w:w="925" w:type="pct"/>
            <w:shd w:val="clear" w:color="auto" w:fill="auto"/>
            <w:vAlign w:val="bottom"/>
          </w:tcPr>
          <w:p w14:paraId="71D3DDE4" w14:textId="77777777" w:rsidR="006A3667" w:rsidRDefault="006A3667">
            <w:pPr>
              <w:rPr>
                <w:rFonts w:ascii="宋体"/>
              </w:rPr>
            </w:pPr>
          </w:p>
        </w:tc>
        <w:tc>
          <w:tcPr>
            <w:tcW w:w="5" w:type="pct"/>
            <w:shd w:val="clear" w:color="auto" w:fill="auto"/>
            <w:vAlign w:val="bottom"/>
          </w:tcPr>
          <w:p w14:paraId="71D3DDE5" w14:textId="77777777" w:rsidR="006A3667" w:rsidRDefault="006A3667">
            <w:pPr>
              <w:rPr>
                <w:rFonts w:ascii="宋体"/>
              </w:rPr>
            </w:pPr>
          </w:p>
        </w:tc>
        <w:tc>
          <w:tcPr>
            <w:tcW w:w="50" w:type="pct"/>
            <w:shd w:val="clear" w:color="auto" w:fill="auto"/>
            <w:vAlign w:val="bottom"/>
          </w:tcPr>
          <w:p w14:paraId="71D3DDE6" w14:textId="77777777" w:rsidR="006A3667" w:rsidRDefault="006A3667">
            <w:pPr>
              <w:rPr>
                <w:rFonts w:ascii="宋体"/>
              </w:rPr>
            </w:pPr>
          </w:p>
        </w:tc>
        <w:tc>
          <w:tcPr>
            <w:tcW w:w="365" w:type="pct"/>
            <w:shd w:val="clear" w:color="auto" w:fill="auto"/>
            <w:vAlign w:val="bottom"/>
          </w:tcPr>
          <w:p w14:paraId="71D3DDE7" w14:textId="77777777" w:rsidR="006A3667" w:rsidRDefault="006A3667">
            <w:pPr>
              <w:rPr>
                <w:rFonts w:ascii="宋体"/>
              </w:rPr>
            </w:pPr>
          </w:p>
        </w:tc>
        <w:tc>
          <w:tcPr>
            <w:tcW w:w="5" w:type="pct"/>
            <w:shd w:val="clear" w:color="auto" w:fill="auto"/>
            <w:vAlign w:val="bottom"/>
          </w:tcPr>
          <w:p w14:paraId="71D3DDE8" w14:textId="77777777" w:rsidR="006A3667" w:rsidRDefault="006A3667">
            <w:pPr>
              <w:rPr>
                <w:rFonts w:ascii="宋体"/>
              </w:rPr>
            </w:pPr>
          </w:p>
        </w:tc>
        <w:tc>
          <w:tcPr>
            <w:tcW w:w="5" w:type="pct"/>
            <w:shd w:val="clear" w:color="auto" w:fill="auto"/>
            <w:vAlign w:val="bottom"/>
          </w:tcPr>
          <w:p w14:paraId="71D3DDE9" w14:textId="77777777" w:rsidR="006A3667" w:rsidRDefault="006A3667">
            <w:pPr>
              <w:rPr>
                <w:rFonts w:ascii="宋体"/>
              </w:rPr>
            </w:pPr>
          </w:p>
        </w:tc>
        <w:tc>
          <w:tcPr>
            <w:tcW w:w="19" w:type="pct"/>
            <w:shd w:val="clear" w:color="auto" w:fill="auto"/>
            <w:vAlign w:val="bottom"/>
          </w:tcPr>
          <w:p w14:paraId="71D3DDEA" w14:textId="77777777" w:rsidR="006A3667" w:rsidRDefault="006A3667">
            <w:pPr>
              <w:rPr>
                <w:rFonts w:ascii="宋体"/>
              </w:rPr>
            </w:pPr>
          </w:p>
        </w:tc>
        <w:tc>
          <w:tcPr>
            <w:tcW w:w="5" w:type="pct"/>
            <w:shd w:val="clear" w:color="auto" w:fill="auto"/>
            <w:vAlign w:val="bottom"/>
          </w:tcPr>
          <w:p w14:paraId="71D3DDEB" w14:textId="77777777" w:rsidR="006A3667" w:rsidRDefault="006A3667">
            <w:pPr>
              <w:rPr>
                <w:rFonts w:ascii="宋体"/>
              </w:rPr>
            </w:pPr>
          </w:p>
        </w:tc>
        <w:tc>
          <w:tcPr>
            <w:tcW w:w="50" w:type="pct"/>
            <w:shd w:val="clear" w:color="auto" w:fill="auto"/>
            <w:vAlign w:val="bottom"/>
          </w:tcPr>
          <w:p w14:paraId="71D3DDEC" w14:textId="77777777" w:rsidR="006A3667" w:rsidRDefault="006A3667">
            <w:pPr>
              <w:rPr>
                <w:rFonts w:ascii="宋体"/>
              </w:rPr>
            </w:pPr>
          </w:p>
        </w:tc>
        <w:tc>
          <w:tcPr>
            <w:tcW w:w="365" w:type="pct"/>
            <w:shd w:val="clear" w:color="auto" w:fill="auto"/>
            <w:vAlign w:val="bottom"/>
          </w:tcPr>
          <w:p w14:paraId="71D3DDED" w14:textId="77777777" w:rsidR="006A3667" w:rsidRDefault="006A3667">
            <w:pPr>
              <w:rPr>
                <w:rFonts w:ascii="宋体"/>
              </w:rPr>
            </w:pPr>
          </w:p>
        </w:tc>
        <w:tc>
          <w:tcPr>
            <w:tcW w:w="5" w:type="pct"/>
            <w:shd w:val="clear" w:color="auto" w:fill="auto"/>
            <w:vAlign w:val="bottom"/>
          </w:tcPr>
          <w:p w14:paraId="71D3DDEE" w14:textId="77777777" w:rsidR="006A3667" w:rsidRDefault="006A3667">
            <w:pPr>
              <w:rPr>
                <w:rFonts w:ascii="宋体"/>
              </w:rPr>
            </w:pPr>
          </w:p>
        </w:tc>
        <w:tc>
          <w:tcPr>
            <w:tcW w:w="5" w:type="pct"/>
            <w:shd w:val="clear" w:color="auto" w:fill="auto"/>
            <w:vAlign w:val="bottom"/>
          </w:tcPr>
          <w:p w14:paraId="71D3DDEF" w14:textId="77777777" w:rsidR="006A3667" w:rsidRDefault="006A3667">
            <w:pPr>
              <w:rPr>
                <w:rFonts w:ascii="宋体"/>
              </w:rPr>
            </w:pPr>
          </w:p>
        </w:tc>
        <w:tc>
          <w:tcPr>
            <w:tcW w:w="19" w:type="pct"/>
            <w:shd w:val="clear" w:color="auto" w:fill="auto"/>
            <w:vAlign w:val="bottom"/>
          </w:tcPr>
          <w:p w14:paraId="71D3DDF0" w14:textId="77777777" w:rsidR="006A3667" w:rsidRDefault="006A3667">
            <w:pPr>
              <w:rPr>
                <w:rFonts w:ascii="宋体"/>
              </w:rPr>
            </w:pPr>
          </w:p>
        </w:tc>
        <w:tc>
          <w:tcPr>
            <w:tcW w:w="5" w:type="pct"/>
            <w:shd w:val="clear" w:color="auto" w:fill="auto"/>
            <w:vAlign w:val="bottom"/>
          </w:tcPr>
          <w:p w14:paraId="71D3DDF1" w14:textId="77777777" w:rsidR="006A3667" w:rsidRDefault="006A3667">
            <w:pPr>
              <w:rPr>
                <w:rFonts w:ascii="宋体"/>
              </w:rPr>
            </w:pPr>
          </w:p>
        </w:tc>
        <w:tc>
          <w:tcPr>
            <w:tcW w:w="50" w:type="pct"/>
            <w:shd w:val="clear" w:color="auto" w:fill="auto"/>
            <w:vAlign w:val="bottom"/>
          </w:tcPr>
          <w:p w14:paraId="71D3DDF2" w14:textId="77777777" w:rsidR="006A3667" w:rsidRDefault="006A3667">
            <w:pPr>
              <w:rPr>
                <w:rFonts w:ascii="宋体"/>
              </w:rPr>
            </w:pPr>
          </w:p>
        </w:tc>
        <w:tc>
          <w:tcPr>
            <w:tcW w:w="365" w:type="pct"/>
            <w:shd w:val="clear" w:color="auto" w:fill="auto"/>
            <w:vAlign w:val="bottom"/>
          </w:tcPr>
          <w:p w14:paraId="71D3DDF3" w14:textId="77777777" w:rsidR="006A3667" w:rsidRDefault="006A3667">
            <w:pPr>
              <w:rPr>
                <w:rFonts w:ascii="宋体"/>
              </w:rPr>
            </w:pPr>
          </w:p>
        </w:tc>
        <w:tc>
          <w:tcPr>
            <w:tcW w:w="5" w:type="pct"/>
            <w:shd w:val="clear" w:color="auto" w:fill="auto"/>
            <w:vAlign w:val="bottom"/>
          </w:tcPr>
          <w:p w14:paraId="71D3DDF4" w14:textId="77777777" w:rsidR="006A3667" w:rsidRDefault="006A3667">
            <w:pPr>
              <w:rPr>
                <w:rFonts w:ascii="宋体"/>
              </w:rPr>
            </w:pPr>
          </w:p>
        </w:tc>
        <w:tc>
          <w:tcPr>
            <w:tcW w:w="5" w:type="pct"/>
            <w:shd w:val="clear" w:color="auto" w:fill="auto"/>
            <w:vAlign w:val="bottom"/>
          </w:tcPr>
          <w:p w14:paraId="71D3DDF5" w14:textId="77777777" w:rsidR="006A3667" w:rsidRDefault="006A3667">
            <w:pPr>
              <w:rPr>
                <w:rFonts w:ascii="宋体"/>
              </w:rPr>
            </w:pPr>
          </w:p>
        </w:tc>
        <w:tc>
          <w:tcPr>
            <w:tcW w:w="19" w:type="pct"/>
            <w:shd w:val="clear" w:color="auto" w:fill="auto"/>
            <w:vAlign w:val="bottom"/>
          </w:tcPr>
          <w:p w14:paraId="71D3DDF6" w14:textId="77777777" w:rsidR="006A3667" w:rsidRDefault="006A3667">
            <w:pPr>
              <w:rPr>
                <w:rFonts w:ascii="宋体"/>
              </w:rPr>
            </w:pPr>
          </w:p>
        </w:tc>
        <w:tc>
          <w:tcPr>
            <w:tcW w:w="5" w:type="pct"/>
            <w:shd w:val="clear" w:color="auto" w:fill="auto"/>
            <w:vAlign w:val="bottom"/>
          </w:tcPr>
          <w:p w14:paraId="71D3DDF7" w14:textId="77777777" w:rsidR="006A3667" w:rsidRDefault="006A3667">
            <w:pPr>
              <w:rPr>
                <w:rFonts w:ascii="宋体"/>
              </w:rPr>
            </w:pPr>
          </w:p>
        </w:tc>
        <w:tc>
          <w:tcPr>
            <w:tcW w:w="50" w:type="pct"/>
            <w:shd w:val="clear" w:color="auto" w:fill="auto"/>
            <w:vAlign w:val="bottom"/>
          </w:tcPr>
          <w:p w14:paraId="71D3DDF8" w14:textId="77777777" w:rsidR="006A3667" w:rsidRDefault="006A3667">
            <w:pPr>
              <w:rPr>
                <w:rFonts w:ascii="宋体"/>
              </w:rPr>
            </w:pPr>
          </w:p>
        </w:tc>
        <w:tc>
          <w:tcPr>
            <w:tcW w:w="365" w:type="pct"/>
            <w:shd w:val="clear" w:color="auto" w:fill="auto"/>
            <w:vAlign w:val="bottom"/>
          </w:tcPr>
          <w:p w14:paraId="71D3DDF9" w14:textId="77777777" w:rsidR="006A3667" w:rsidRDefault="006A3667">
            <w:pPr>
              <w:rPr>
                <w:rFonts w:ascii="宋体"/>
              </w:rPr>
            </w:pPr>
          </w:p>
        </w:tc>
        <w:tc>
          <w:tcPr>
            <w:tcW w:w="5" w:type="pct"/>
            <w:shd w:val="clear" w:color="auto" w:fill="auto"/>
            <w:vAlign w:val="bottom"/>
          </w:tcPr>
          <w:p w14:paraId="71D3DDFA" w14:textId="77777777" w:rsidR="006A3667" w:rsidRDefault="006A3667">
            <w:pPr>
              <w:rPr>
                <w:rFonts w:ascii="宋体"/>
              </w:rPr>
            </w:pPr>
          </w:p>
        </w:tc>
        <w:tc>
          <w:tcPr>
            <w:tcW w:w="5" w:type="pct"/>
            <w:shd w:val="clear" w:color="auto" w:fill="auto"/>
            <w:vAlign w:val="bottom"/>
          </w:tcPr>
          <w:p w14:paraId="71D3DDFB" w14:textId="77777777" w:rsidR="006A3667" w:rsidRDefault="006A3667">
            <w:pPr>
              <w:rPr>
                <w:rFonts w:ascii="宋体"/>
              </w:rPr>
            </w:pPr>
          </w:p>
        </w:tc>
        <w:tc>
          <w:tcPr>
            <w:tcW w:w="19" w:type="pct"/>
            <w:shd w:val="clear" w:color="auto" w:fill="auto"/>
            <w:vAlign w:val="bottom"/>
          </w:tcPr>
          <w:p w14:paraId="71D3DDFC" w14:textId="77777777" w:rsidR="006A3667" w:rsidRDefault="006A3667">
            <w:pPr>
              <w:rPr>
                <w:rFonts w:ascii="宋体"/>
              </w:rPr>
            </w:pPr>
          </w:p>
        </w:tc>
        <w:tc>
          <w:tcPr>
            <w:tcW w:w="5" w:type="pct"/>
            <w:shd w:val="clear" w:color="auto" w:fill="auto"/>
            <w:vAlign w:val="bottom"/>
          </w:tcPr>
          <w:p w14:paraId="71D3DDFD" w14:textId="77777777" w:rsidR="006A3667" w:rsidRDefault="006A3667">
            <w:pPr>
              <w:rPr>
                <w:rFonts w:ascii="宋体"/>
              </w:rPr>
            </w:pPr>
          </w:p>
        </w:tc>
        <w:tc>
          <w:tcPr>
            <w:tcW w:w="50" w:type="pct"/>
            <w:shd w:val="clear" w:color="auto" w:fill="auto"/>
            <w:vAlign w:val="bottom"/>
          </w:tcPr>
          <w:p w14:paraId="71D3DDFE" w14:textId="77777777" w:rsidR="006A3667" w:rsidRDefault="006A3667">
            <w:pPr>
              <w:rPr>
                <w:rFonts w:ascii="宋体"/>
              </w:rPr>
            </w:pPr>
          </w:p>
        </w:tc>
        <w:tc>
          <w:tcPr>
            <w:tcW w:w="365" w:type="pct"/>
            <w:shd w:val="clear" w:color="auto" w:fill="auto"/>
            <w:vAlign w:val="bottom"/>
          </w:tcPr>
          <w:p w14:paraId="71D3DDFF" w14:textId="77777777" w:rsidR="006A3667" w:rsidRDefault="006A3667">
            <w:pPr>
              <w:rPr>
                <w:rFonts w:ascii="宋体"/>
              </w:rPr>
            </w:pPr>
          </w:p>
        </w:tc>
        <w:tc>
          <w:tcPr>
            <w:tcW w:w="5" w:type="pct"/>
            <w:shd w:val="clear" w:color="auto" w:fill="auto"/>
            <w:vAlign w:val="bottom"/>
          </w:tcPr>
          <w:p w14:paraId="71D3DE00" w14:textId="77777777" w:rsidR="006A3667" w:rsidRDefault="006A3667">
            <w:pPr>
              <w:rPr>
                <w:rFonts w:ascii="宋体"/>
              </w:rPr>
            </w:pPr>
          </w:p>
        </w:tc>
        <w:tc>
          <w:tcPr>
            <w:tcW w:w="5" w:type="pct"/>
            <w:shd w:val="clear" w:color="auto" w:fill="auto"/>
            <w:vAlign w:val="bottom"/>
          </w:tcPr>
          <w:p w14:paraId="71D3DE01" w14:textId="77777777" w:rsidR="006A3667" w:rsidRDefault="006A3667">
            <w:pPr>
              <w:rPr>
                <w:rFonts w:ascii="宋体"/>
              </w:rPr>
            </w:pPr>
          </w:p>
        </w:tc>
        <w:tc>
          <w:tcPr>
            <w:tcW w:w="19" w:type="pct"/>
            <w:shd w:val="clear" w:color="auto" w:fill="auto"/>
            <w:vAlign w:val="bottom"/>
          </w:tcPr>
          <w:p w14:paraId="71D3DE02" w14:textId="77777777" w:rsidR="006A3667" w:rsidRDefault="006A3667">
            <w:pPr>
              <w:rPr>
                <w:rFonts w:ascii="宋体"/>
              </w:rPr>
            </w:pPr>
          </w:p>
        </w:tc>
        <w:tc>
          <w:tcPr>
            <w:tcW w:w="5" w:type="pct"/>
            <w:shd w:val="clear" w:color="auto" w:fill="auto"/>
            <w:vAlign w:val="bottom"/>
          </w:tcPr>
          <w:p w14:paraId="71D3DE03" w14:textId="77777777" w:rsidR="006A3667" w:rsidRDefault="006A3667">
            <w:pPr>
              <w:rPr>
                <w:rFonts w:ascii="宋体"/>
              </w:rPr>
            </w:pPr>
          </w:p>
        </w:tc>
        <w:tc>
          <w:tcPr>
            <w:tcW w:w="50" w:type="pct"/>
            <w:shd w:val="clear" w:color="auto" w:fill="auto"/>
            <w:vAlign w:val="bottom"/>
          </w:tcPr>
          <w:p w14:paraId="71D3DE04" w14:textId="77777777" w:rsidR="006A3667" w:rsidRDefault="006A3667">
            <w:pPr>
              <w:rPr>
                <w:rFonts w:ascii="宋体"/>
              </w:rPr>
            </w:pPr>
          </w:p>
        </w:tc>
        <w:tc>
          <w:tcPr>
            <w:tcW w:w="365" w:type="pct"/>
            <w:shd w:val="clear" w:color="auto" w:fill="auto"/>
            <w:vAlign w:val="bottom"/>
          </w:tcPr>
          <w:p w14:paraId="71D3DE05" w14:textId="77777777" w:rsidR="006A3667" w:rsidRDefault="006A3667">
            <w:pPr>
              <w:rPr>
                <w:rFonts w:ascii="宋体"/>
              </w:rPr>
            </w:pPr>
          </w:p>
        </w:tc>
        <w:tc>
          <w:tcPr>
            <w:tcW w:w="5" w:type="pct"/>
            <w:shd w:val="clear" w:color="auto" w:fill="auto"/>
            <w:vAlign w:val="bottom"/>
          </w:tcPr>
          <w:p w14:paraId="71D3DE06" w14:textId="77777777" w:rsidR="006A3667" w:rsidRDefault="006A3667">
            <w:pPr>
              <w:rPr>
                <w:rFonts w:ascii="宋体"/>
              </w:rPr>
            </w:pPr>
          </w:p>
        </w:tc>
        <w:tc>
          <w:tcPr>
            <w:tcW w:w="5" w:type="pct"/>
            <w:shd w:val="clear" w:color="auto" w:fill="auto"/>
            <w:vAlign w:val="bottom"/>
          </w:tcPr>
          <w:p w14:paraId="71D3DE07" w14:textId="77777777" w:rsidR="006A3667" w:rsidRDefault="006A3667">
            <w:pPr>
              <w:rPr>
                <w:rFonts w:ascii="宋体"/>
              </w:rPr>
            </w:pPr>
          </w:p>
        </w:tc>
        <w:tc>
          <w:tcPr>
            <w:tcW w:w="19" w:type="pct"/>
            <w:shd w:val="clear" w:color="auto" w:fill="auto"/>
            <w:vAlign w:val="bottom"/>
          </w:tcPr>
          <w:p w14:paraId="71D3DE08" w14:textId="77777777" w:rsidR="006A3667" w:rsidRDefault="006A3667">
            <w:pPr>
              <w:rPr>
                <w:rFonts w:ascii="宋体"/>
              </w:rPr>
            </w:pPr>
          </w:p>
        </w:tc>
        <w:tc>
          <w:tcPr>
            <w:tcW w:w="5" w:type="pct"/>
            <w:shd w:val="clear" w:color="auto" w:fill="auto"/>
            <w:vAlign w:val="bottom"/>
          </w:tcPr>
          <w:p w14:paraId="71D3DE09" w14:textId="77777777" w:rsidR="006A3667" w:rsidRDefault="006A3667">
            <w:pPr>
              <w:rPr>
                <w:rFonts w:ascii="宋体"/>
              </w:rPr>
            </w:pPr>
          </w:p>
        </w:tc>
        <w:tc>
          <w:tcPr>
            <w:tcW w:w="50" w:type="pct"/>
            <w:shd w:val="clear" w:color="auto" w:fill="auto"/>
            <w:vAlign w:val="bottom"/>
          </w:tcPr>
          <w:p w14:paraId="71D3DE0A" w14:textId="77777777" w:rsidR="006A3667" w:rsidRDefault="006A3667">
            <w:pPr>
              <w:rPr>
                <w:rFonts w:ascii="宋体"/>
              </w:rPr>
            </w:pPr>
          </w:p>
        </w:tc>
        <w:tc>
          <w:tcPr>
            <w:tcW w:w="365" w:type="pct"/>
            <w:shd w:val="clear" w:color="auto" w:fill="auto"/>
            <w:vAlign w:val="bottom"/>
          </w:tcPr>
          <w:p w14:paraId="71D3DE0B" w14:textId="77777777" w:rsidR="006A3667" w:rsidRDefault="006A3667">
            <w:pPr>
              <w:rPr>
                <w:rFonts w:ascii="宋体"/>
              </w:rPr>
            </w:pPr>
          </w:p>
        </w:tc>
        <w:tc>
          <w:tcPr>
            <w:tcW w:w="5" w:type="pct"/>
            <w:shd w:val="clear" w:color="auto" w:fill="auto"/>
            <w:vAlign w:val="bottom"/>
          </w:tcPr>
          <w:p w14:paraId="71D3DE0C" w14:textId="77777777" w:rsidR="006A3667" w:rsidRDefault="006A3667">
            <w:pPr>
              <w:rPr>
                <w:rFonts w:ascii="宋体"/>
              </w:rPr>
            </w:pPr>
          </w:p>
        </w:tc>
        <w:tc>
          <w:tcPr>
            <w:tcW w:w="5" w:type="pct"/>
            <w:shd w:val="clear" w:color="auto" w:fill="auto"/>
            <w:vAlign w:val="bottom"/>
          </w:tcPr>
          <w:p w14:paraId="71D3DE0D" w14:textId="77777777" w:rsidR="006A3667" w:rsidRDefault="006A3667">
            <w:pPr>
              <w:rPr>
                <w:rFonts w:ascii="宋体"/>
              </w:rPr>
            </w:pPr>
          </w:p>
        </w:tc>
        <w:tc>
          <w:tcPr>
            <w:tcW w:w="19" w:type="pct"/>
            <w:shd w:val="clear" w:color="auto" w:fill="auto"/>
            <w:vAlign w:val="bottom"/>
          </w:tcPr>
          <w:p w14:paraId="71D3DE0E" w14:textId="77777777" w:rsidR="006A3667" w:rsidRDefault="006A3667">
            <w:pPr>
              <w:rPr>
                <w:rFonts w:ascii="宋体"/>
              </w:rPr>
            </w:pPr>
          </w:p>
        </w:tc>
        <w:tc>
          <w:tcPr>
            <w:tcW w:w="5" w:type="pct"/>
            <w:shd w:val="clear" w:color="auto" w:fill="auto"/>
            <w:vAlign w:val="bottom"/>
          </w:tcPr>
          <w:p w14:paraId="71D3DE0F" w14:textId="77777777" w:rsidR="006A3667" w:rsidRDefault="006A3667">
            <w:pPr>
              <w:rPr>
                <w:rFonts w:ascii="宋体"/>
              </w:rPr>
            </w:pPr>
          </w:p>
        </w:tc>
        <w:tc>
          <w:tcPr>
            <w:tcW w:w="50" w:type="pct"/>
            <w:shd w:val="clear" w:color="auto" w:fill="auto"/>
            <w:vAlign w:val="bottom"/>
          </w:tcPr>
          <w:p w14:paraId="71D3DE10" w14:textId="77777777" w:rsidR="006A3667" w:rsidRDefault="006A3667">
            <w:pPr>
              <w:rPr>
                <w:rFonts w:ascii="宋体"/>
              </w:rPr>
            </w:pPr>
          </w:p>
        </w:tc>
        <w:tc>
          <w:tcPr>
            <w:tcW w:w="365" w:type="pct"/>
            <w:shd w:val="clear" w:color="auto" w:fill="auto"/>
            <w:vAlign w:val="bottom"/>
          </w:tcPr>
          <w:p w14:paraId="71D3DE11" w14:textId="77777777" w:rsidR="006A3667" w:rsidRDefault="006A3667">
            <w:pPr>
              <w:rPr>
                <w:rFonts w:ascii="宋体"/>
              </w:rPr>
            </w:pPr>
          </w:p>
        </w:tc>
        <w:tc>
          <w:tcPr>
            <w:tcW w:w="5" w:type="pct"/>
            <w:shd w:val="clear" w:color="auto" w:fill="auto"/>
            <w:vAlign w:val="bottom"/>
          </w:tcPr>
          <w:p w14:paraId="71D3DE12" w14:textId="77777777" w:rsidR="006A3667" w:rsidRDefault="006A3667">
            <w:pPr>
              <w:rPr>
                <w:rFonts w:ascii="宋体"/>
              </w:rPr>
            </w:pPr>
          </w:p>
        </w:tc>
        <w:tc>
          <w:tcPr>
            <w:tcW w:w="5" w:type="pct"/>
            <w:shd w:val="clear" w:color="auto" w:fill="auto"/>
            <w:vAlign w:val="bottom"/>
          </w:tcPr>
          <w:p w14:paraId="71D3DE13" w14:textId="77777777" w:rsidR="006A3667" w:rsidRDefault="006A3667">
            <w:pPr>
              <w:rPr>
                <w:rFonts w:ascii="宋体"/>
              </w:rPr>
            </w:pPr>
          </w:p>
        </w:tc>
        <w:tc>
          <w:tcPr>
            <w:tcW w:w="19" w:type="pct"/>
            <w:shd w:val="clear" w:color="auto" w:fill="auto"/>
            <w:vAlign w:val="bottom"/>
          </w:tcPr>
          <w:p w14:paraId="71D3DE14" w14:textId="77777777" w:rsidR="006A3667" w:rsidRDefault="006A3667">
            <w:pPr>
              <w:rPr>
                <w:rFonts w:ascii="宋体"/>
              </w:rPr>
            </w:pPr>
          </w:p>
        </w:tc>
        <w:tc>
          <w:tcPr>
            <w:tcW w:w="5" w:type="pct"/>
            <w:shd w:val="clear" w:color="auto" w:fill="auto"/>
            <w:vAlign w:val="bottom"/>
          </w:tcPr>
          <w:p w14:paraId="71D3DE15" w14:textId="77777777" w:rsidR="006A3667" w:rsidRDefault="006A3667">
            <w:pPr>
              <w:rPr>
                <w:rFonts w:ascii="宋体"/>
              </w:rPr>
            </w:pPr>
          </w:p>
        </w:tc>
        <w:tc>
          <w:tcPr>
            <w:tcW w:w="50" w:type="pct"/>
            <w:shd w:val="clear" w:color="auto" w:fill="auto"/>
            <w:vAlign w:val="bottom"/>
          </w:tcPr>
          <w:p w14:paraId="71D3DE16" w14:textId="77777777" w:rsidR="006A3667" w:rsidRDefault="006A3667">
            <w:pPr>
              <w:rPr>
                <w:rFonts w:ascii="宋体"/>
              </w:rPr>
            </w:pPr>
          </w:p>
        </w:tc>
        <w:tc>
          <w:tcPr>
            <w:tcW w:w="365" w:type="pct"/>
            <w:shd w:val="clear" w:color="auto" w:fill="auto"/>
            <w:vAlign w:val="bottom"/>
          </w:tcPr>
          <w:p w14:paraId="71D3DE17" w14:textId="77777777" w:rsidR="006A3667" w:rsidRDefault="006A3667">
            <w:pPr>
              <w:rPr>
                <w:rFonts w:ascii="宋体"/>
              </w:rPr>
            </w:pPr>
          </w:p>
        </w:tc>
        <w:tc>
          <w:tcPr>
            <w:tcW w:w="5" w:type="pct"/>
            <w:shd w:val="clear" w:color="auto" w:fill="auto"/>
            <w:vAlign w:val="bottom"/>
          </w:tcPr>
          <w:p w14:paraId="71D3DE18" w14:textId="77777777" w:rsidR="006A3667" w:rsidRDefault="006A3667">
            <w:pPr>
              <w:rPr>
                <w:rFonts w:ascii="宋体"/>
              </w:rPr>
            </w:pPr>
          </w:p>
        </w:tc>
      </w:tr>
      <w:tr w:rsidR="006A3667" w14:paraId="71D3DE1B" w14:textId="77777777">
        <w:tc>
          <w:tcPr>
            <w:tcW w:w="0" w:type="auto"/>
            <w:gridSpan w:val="54"/>
            <w:shd w:val="clear" w:color="auto" w:fill="auto"/>
            <w:tcMar>
              <w:top w:w="40" w:type="dxa"/>
              <w:left w:w="20" w:type="dxa"/>
              <w:bottom w:w="40" w:type="dxa"/>
              <w:right w:w="20" w:type="dxa"/>
            </w:tcMar>
            <w:vAlign w:val="bottom"/>
          </w:tcPr>
          <w:p w14:paraId="71D3DE1A" w14:textId="77777777" w:rsidR="006A3667" w:rsidRDefault="00045F32">
            <w:pPr>
              <w:textAlignment w:val="bottom"/>
            </w:pPr>
            <w:r>
              <w:rPr>
                <w:rFonts w:ascii="Arial" w:eastAsia="宋体" w:hAnsi="Arial" w:cs="Arial"/>
                <w:b/>
                <w:bCs/>
                <w:color w:val="000000"/>
                <w:sz w:val="16"/>
                <w:szCs w:val="16"/>
              </w:rPr>
              <w:t>TABLE 3: DAILY AVERAGES, MONTH-END AVERAGES AND QUARTER-END EQUITY INDICES</w:t>
            </w:r>
            <w:r>
              <w:rPr>
                <w:rFonts w:ascii="Arial" w:eastAsia="宋体" w:hAnsi="Arial" w:cs="Arial"/>
                <w:b/>
                <w:bCs/>
                <w:color w:val="000000"/>
                <w:sz w:val="10"/>
                <w:szCs w:val="10"/>
              </w:rPr>
              <w:t>(1)</w:t>
            </w:r>
          </w:p>
        </w:tc>
      </w:tr>
      <w:tr w:rsidR="006A3667" w14:paraId="71D3DE22" w14:textId="77777777">
        <w:tc>
          <w:tcPr>
            <w:tcW w:w="0" w:type="auto"/>
            <w:gridSpan w:val="3"/>
            <w:shd w:val="clear" w:color="auto" w:fill="auto"/>
            <w:tcMar>
              <w:top w:w="0" w:type="dxa"/>
              <w:left w:w="20" w:type="dxa"/>
              <w:bottom w:w="0" w:type="dxa"/>
              <w:right w:w="20" w:type="dxa"/>
            </w:tcMar>
            <w:vAlign w:val="bottom"/>
          </w:tcPr>
          <w:p w14:paraId="71D3DE1C" w14:textId="77777777" w:rsidR="006A3667" w:rsidRDefault="006A3667">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1D3DE1D" w14:textId="77777777" w:rsidR="006A3667" w:rsidRDefault="00045F32">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vAlign w:val="bottom"/>
          </w:tcPr>
          <w:p w14:paraId="71D3DE1E" w14:textId="77777777" w:rsidR="006A3667" w:rsidRDefault="006A3667">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1D3DE1F" w14:textId="77777777" w:rsidR="006A3667" w:rsidRDefault="00045F32">
            <w:pPr>
              <w:jc w:val="center"/>
              <w:textAlignment w:val="bottom"/>
            </w:pPr>
            <w:r>
              <w:rPr>
                <w:rFonts w:ascii="Arial" w:eastAsia="宋体" w:hAnsi="Arial" w:cs="Arial"/>
                <w:b/>
                <w:bCs/>
                <w:color w:val="000000"/>
                <w:sz w:val="14"/>
                <w:szCs w:val="14"/>
              </w:rPr>
              <w:t>Month-End Averages of Indices</w:t>
            </w:r>
          </w:p>
        </w:tc>
        <w:tc>
          <w:tcPr>
            <w:tcW w:w="0" w:type="auto"/>
            <w:gridSpan w:val="3"/>
            <w:shd w:val="clear" w:color="auto" w:fill="auto"/>
            <w:tcMar>
              <w:top w:w="0" w:type="dxa"/>
              <w:left w:w="20" w:type="dxa"/>
              <w:bottom w:w="0" w:type="dxa"/>
              <w:right w:w="20" w:type="dxa"/>
            </w:tcMar>
            <w:vAlign w:val="bottom"/>
          </w:tcPr>
          <w:p w14:paraId="71D3DE20" w14:textId="77777777" w:rsidR="006A3667" w:rsidRDefault="006A3667">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1D3DE21" w14:textId="77777777" w:rsidR="006A3667" w:rsidRDefault="00045F32">
            <w:pPr>
              <w:jc w:val="center"/>
              <w:textAlignment w:val="bottom"/>
            </w:pPr>
            <w:r>
              <w:rPr>
                <w:rFonts w:ascii="Arial" w:eastAsia="宋体" w:hAnsi="Arial" w:cs="Arial"/>
                <w:b/>
                <w:bCs/>
                <w:color w:val="000000"/>
                <w:sz w:val="14"/>
                <w:szCs w:val="14"/>
              </w:rPr>
              <w:t>Quarter-End Indices</w:t>
            </w:r>
          </w:p>
        </w:tc>
      </w:tr>
      <w:tr w:rsidR="006A3667" w14:paraId="71D3DE29" w14:textId="77777777">
        <w:tc>
          <w:tcPr>
            <w:tcW w:w="0" w:type="auto"/>
            <w:gridSpan w:val="3"/>
            <w:shd w:val="clear" w:color="auto" w:fill="auto"/>
            <w:tcMar>
              <w:top w:w="0" w:type="dxa"/>
              <w:left w:w="20" w:type="dxa"/>
              <w:bottom w:w="0" w:type="dxa"/>
              <w:right w:w="20" w:type="dxa"/>
            </w:tcMar>
            <w:vAlign w:val="bottom"/>
          </w:tcPr>
          <w:p w14:paraId="71D3DE23"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DE24" w14:textId="77777777" w:rsidR="006A3667" w:rsidRDefault="00045F32">
            <w:pPr>
              <w:jc w:val="center"/>
              <w:textAlignment w:val="bottom"/>
            </w:pPr>
            <w:r>
              <w:rPr>
                <w:rFonts w:ascii="Arial" w:eastAsia="宋体" w:hAnsi="Arial" w:cs="Arial"/>
                <w:b/>
                <w:bCs/>
                <w:color w:val="000000"/>
                <w:sz w:val="14"/>
                <w:szCs w:val="14"/>
              </w:rPr>
              <w:t xml:space="preserve">Three Months </w:t>
            </w:r>
            <w:r>
              <w:rPr>
                <w:rFonts w:ascii="Arial" w:eastAsia="宋体" w:hAnsi="Arial" w:cs="Arial"/>
                <w:b/>
                <w:bCs/>
                <w:color w:val="000000"/>
                <w:sz w:val="14"/>
                <w:szCs w:val="14"/>
              </w:rPr>
              <w:t>Ended September 30,</w:t>
            </w:r>
          </w:p>
        </w:tc>
        <w:tc>
          <w:tcPr>
            <w:tcW w:w="0" w:type="auto"/>
            <w:gridSpan w:val="3"/>
            <w:shd w:val="clear" w:color="auto" w:fill="auto"/>
            <w:tcMar>
              <w:top w:w="0" w:type="dxa"/>
              <w:left w:w="20" w:type="dxa"/>
              <w:bottom w:w="0" w:type="dxa"/>
              <w:right w:w="20" w:type="dxa"/>
            </w:tcMar>
            <w:vAlign w:val="bottom"/>
          </w:tcPr>
          <w:p w14:paraId="71D3DE25"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DE26"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1D3DE27"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DE28" w14:textId="77777777" w:rsidR="006A3667" w:rsidRDefault="00045F32">
            <w:pPr>
              <w:jc w:val="center"/>
              <w:textAlignment w:val="bottom"/>
            </w:pPr>
            <w:r>
              <w:rPr>
                <w:rFonts w:ascii="Arial" w:eastAsia="宋体" w:hAnsi="Arial" w:cs="Arial"/>
                <w:b/>
                <w:bCs/>
                <w:color w:val="000000"/>
                <w:sz w:val="14"/>
                <w:szCs w:val="14"/>
              </w:rPr>
              <w:t>As of September 30,</w:t>
            </w:r>
          </w:p>
        </w:tc>
      </w:tr>
      <w:tr w:rsidR="006A3667" w14:paraId="71D3DE3C" w14:textId="77777777">
        <w:tc>
          <w:tcPr>
            <w:tcW w:w="0" w:type="auto"/>
            <w:gridSpan w:val="3"/>
            <w:shd w:val="clear" w:color="auto" w:fill="auto"/>
            <w:tcMar>
              <w:top w:w="0" w:type="dxa"/>
              <w:left w:w="20" w:type="dxa"/>
              <w:bottom w:w="0" w:type="dxa"/>
              <w:right w:w="20" w:type="dxa"/>
            </w:tcMar>
            <w:vAlign w:val="bottom"/>
          </w:tcPr>
          <w:p w14:paraId="71D3DE2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2B"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E2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2D"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E2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2F" w14:textId="77777777" w:rsidR="006A3667" w:rsidRDefault="00045F32">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71D3DE3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31"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E3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33"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E3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35" w14:textId="77777777" w:rsidR="006A3667" w:rsidRDefault="00045F32">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71D3DE3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37"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E3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39"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E3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E3B" w14:textId="77777777" w:rsidR="006A3667" w:rsidRDefault="00045F32">
            <w:pPr>
              <w:jc w:val="center"/>
              <w:textAlignment w:val="bottom"/>
            </w:pPr>
            <w:r>
              <w:rPr>
                <w:rFonts w:ascii="Arial" w:eastAsia="宋体" w:hAnsi="Arial" w:cs="Arial"/>
                <w:b/>
                <w:bCs/>
                <w:color w:val="000000"/>
                <w:sz w:val="14"/>
                <w:szCs w:val="14"/>
              </w:rPr>
              <w:t>% Change</w:t>
            </w:r>
          </w:p>
        </w:tc>
      </w:tr>
      <w:tr w:rsidR="006A3667" w14:paraId="71D3DE58" w14:textId="77777777">
        <w:tc>
          <w:tcPr>
            <w:tcW w:w="0" w:type="auto"/>
            <w:gridSpan w:val="3"/>
            <w:shd w:val="clear" w:color="auto" w:fill="CCEEFF"/>
            <w:tcMar>
              <w:top w:w="40" w:type="dxa"/>
              <w:left w:w="20" w:type="dxa"/>
              <w:bottom w:w="40" w:type="dxa"/>
              <w:right w:w="20" w:type="dxa"/>
            </w:tcMar>
            <w:vAlign w:val="center"/>
          </w:tcPr>
          <w:p w14:paraId="71D3DE3D" w14:textId="77777777" w:rsidR="006A3667" w:rsidRDefault="00045F32">
            <w:pPr>
              <w:textAlignment w:val="center"/>
            </w:pPr>
            <w:r>
              <w:rPr>
                <w:rFonts w:ascii="Arial" w:eastAsia="宋体" w:hAnsi="Arial" w:cs="Arial"/>
                <w:color w:val="000000"/>
                <w:sz w:val="14"/>
                <w:szCs w:val="14"/>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3E" w14:textId="77777777" w:rsidR="006A3667" w:rsidRDefault="00045F32">
            <w:pPr>
              <w:jc w:val="right"/>
              <w:textAlignment w:val="center"/>
            </w:pPr>
            <w:r>
              <w:rPr>
                <w:rFonts w:ascii="Arial" w:eastAsia="宋体" w:hAnsi="Arial" w:cs="Arial"/>
                <w:b/>
                <w:bCs/>
                <w:color w:val="000000"/>
                <w:sz w:val="14"/>
                <w:szCs w:val="14"/>
              </w:rPr>
              <w:t>3,980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3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4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41" w14:textId="77777777" w:rsidR="006A3667" w:rsidRDefault="00045F32">
            <w:pPr>
              <w:jc w:val="right"/>
              <w:textAlignment w:val="center"/>
            </w:pPr>
            <w:r>
              <w:rPr>
                <w:rFonts w:ascii="Arial" w:eastAsia="宋体" w:hAnsi="Arial" w:cs="Arial"/>
                <w:color w:val="000000"/>
                <w:sz w:val="14"/>
                <w:szCs w:val="14"/>
              </w:rPr>
              <w:t>4,422 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4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44" w14:textId="77777777" w:rsidR="006A3667" w:rsidRDefault="00045F32">
            <w:pPr>
              <w:jc w:val="right"/>
              <w:textAlignment w:val="center"/>
            </w:pPr>
            <w:r>
              <w:rPr>
                <w:rFonts w:ascii="Arial" w:eastAsia="宋体" w:hAnsi="Arial" w:cs="Arial"/>
                <w:color w:val="000000"/>
                <w:sz w:val="14"/>
                <w:szCs w:val="14"/>
              </w:rPr>
              <w:t>(10)</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45" w14:textId="77777777" w:rsidR="006A3667" w:rsidRDefault="00045F32">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3DE4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47" w14:textId="77777777" w:rsidR="006A3667" w:rsidRDefault="00045F32">
            <w:pPr>
              <w:jc w:val="right"/>
              <w:textAlignment w:val="center"/>
            </w:pPr>
            <w:r>
              <w:rPr>
                <w:rFonts w:ascii="Arial" w:eastAsia="宋体" w:hAnsi="Arial" w:cs="Arial"/>
                <w:b/>
                <w:bCs/>
                <w:color w:val="000000"/>
                <w:sz w:val="14"/>
                <w:szCs w:val="14"/>
              </w:rPr>
              <w:t>3,890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4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4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4A" w14:textId="77777777" w:rsidR="006A3667" w:rsidRDefault="00045F32">
            <w:pPr>
              <w:jc w:val="right"/>
              <w:textAlignment w:val="center"/>
            </w:pPr>
            <w:r>
              <w:rPr>
                <w:rFonts w:ascii="Arial" w:eastAsia="宋体" w:hAnsi="Arial" w:cs="Arial"/>
                <w:color w:val="000000"/>
                <w:sz w:val="14"/>
                <w:szCs w:val="14"/>
              </w:rPr>
              <w:t>4,408 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4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4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4D" w14:textId="77777777" w:rsidR="006A3667" w:rsidRDefault="00045F32">
            <w:pPr>
              <w:jc w:val="right"/>
              <w:textAlignment w:val="center"/>
            </w:pPr>
            <w:r>
              <w:rPr>
                <w:rFonts w:ascii="Arial" w:eastAsia="宋体" w:hAnsi="Arial" w:cs="Arial"/>
                <w:color w:val="000000"/>
                <w:sz w:val="14"/>
                <w:szCs w:val="14"/>
              </w:rPr>
              <w:t>(12)</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4E" w14:textId="77777777" w:rsidR="006A3667" w:rsidRDefault="00045F32">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3DE4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50" w14:textId="77777777" w:rsidR="006A3667" w:rsidRDefault="00045F32">
            <w:pPr>
              <w:jc w:val="right"/>
              <w:textAlignment w:val="center"/>
            </w:pPr>
            <w:r>
              <w:rPr>
                <w:rFonts w:ascii="Arial" w:eastAsia="宋体" w:hAnsi="Arial" w:cs="Arial"/>
                <w:b/>
                <w:bCs/>
                <w:color w:val="000000"/>
                <w:sz w:val="14"/>
                <w:szCs w:val="14"/>
              </w:rPr>
              <w:t>3,586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5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53" w14:textId="77777777" w:rsidR="006A3667" w:rsidRDefault="00045F32">
            <w:pPr>
              <w:jc w:val="right"/>
              <w:textAlignment w:val="center"/>
            </w:pPr>
            <w:r>
              <w:rPr>
                <w:rFonts w:ascii="Arial" w:eastAsia="宋体" w:hAnsi="Arial" w:cs="Arial"/>
                <w:color w:val="000000"/>
                <w:sz w:val="14"/>
                <w:szCs w:val="14"/>
              </w:rPr>
              <w:t>4,308 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5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E56" w14:textId="77777777" w:rsidR="006A3667" w:rsidRDefault="00045F32">
            <w:pPr>
              <w:jc w:val="right"/>
              <w:textAlignment w:val="center"/>
            </w:pPr>
            <w:r>
              <w:rPr>
                <w:rFonts w:ascii="Arial" w:eastAsia="宋体" w:hAnsi="Arial" w:cs="Arial"/>
                <w:color w:val="000000"/>
                <w:sz w:val="14"/>
                <w:szCs w:val="14"/>
              </w:rPr>
              <w:t>(17)</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E57" w14:textId="77777777" w:rsidR="006A3667" w:rsidRDefault="00045F32">
            <w:pPr>
              <w:jc w:val="right"/>
              <w:textAlignment w:val="center"/>
            </w:pPr>
            <w:r>
              <w:rPr>
                <w:rFonts w:ascii="Arial" w:eastAsia="宋体" w:hAnsi="Arial" w:cs="Arial"/>
                <w:color w:val="000000"/>
                <w:sz w:val="14"/>
                <w:szCs w:val="14"/>
              </w:rPr>
              <w:t>%</w:t>
            </w:r>
          </w:p>
        </w:tc>
      </w:tr>
      <w:tr w:rsidR="006A3667" w14:paraId="71D3DE74" w14:textId="77777777">
        <w:tc>
          <w:tcPr>
            <w:tcW w:w="0" w:type="auto"/>
            <w:gridSpan w:val="3"/>
            <w:shd w:val="clear" w:color="auto" w:fill="FFFFFF"/>
            <w:tcMar>
              <w:top w:w="40" w:type="dxa"/>
              <w:left w:w="20" w:type="dxa"/>
              <w:bottom w:w="40" w:type="dxa"/>
              <w:right w:w="20" w:type="dxa"/>
            </w:tcMar>
            <w:vAlign w:val="center"/>
          </w:tcPr>
          <w:p w14:paraId="71D3DE59" w14:textId="77777777" w:rsidR="006A3667" w:rsidRDefault="00045F32">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71D3DE5A" w14:textId="77777777" w:rsidR="006A3667" w:rsidRDefault="00045F32">
            <w:pPr>
              <w:jc w:val="right"/>
              <w:textAlignment w:val="center"/>
            </w:pPr>
            <w:r>
              <w:rPr>
                <w:rFonts w:ascii="Arial" w:eastAsia="宋体" w:hAnsi="Arial" w:cs="Arial"/>
                <w:b/>
                <w:bCs/>
                <w:color w:val="000000"/>
                <w:sz w:val="14"/>
                <w:szCs w:val="14"/>
              </w:rPr>
              <w:t>1,848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1D3DE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E5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E5D" w14:textId="77777777" w:rsidR="006A3667" w:rsidRDefault="00045F32">
            <w:pPr>
              <w:jc w:val="right"/>
              <w:textAlignment w:val="center"/>
            </w:pPr>
            <w:r>
              <w:rPr>
                <w:rFonts w:ascii="Arial" w:eastAsia="宋体" w:hAnsi="Arial" w:cs="Arial"/>
                <w:color w:val="000000"/>
                <w:sz w:val="14"/>
                <w:szCs w:val="14"/>
              </w:rPr>
              <w:t>2,338 </w:t>
            </w:r>
          </w:p>
        </w:tc>
        <w:tc>
          <w:tcPr>
            <w:tcW w:w="0" w:type="auto"/>
            <w:shd w:val="clear" w:color="auto" w:fill="FFFFFF"/>
            <w:tcMar>
              <w:top w:w="40" w:type="dxa"/>
              <w:left w:w="0" w:type="dxa"/>
              <w:bottom w:w="40" w:type="dxa"/>
              <w:right w:w="20" w:type="dxa"/>
            </w:tcMar>
            <w:vAlign w:val="center"/>
          </w:tcPr>
          <w:p w14:paraId="71D3DE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E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E60" w14:textId="77777777" w:rsidR="006A3667" w:rsidRDefault="00045F32">
            <w:pPr>
              <w:jc w:val="right"/>
              <w:textAlignment w:val="center"/>
            </w:pPr>
            <w:r>
              <w:rPr>
                <w:rFonts w:ascii="Arial" w:eastAsia="宋体" w:hAnsi="Arial" w:cs="Arial"/>
                <w:color w:val="000000"/>
                <w:sz w:val="14"/>
                <w:szCs w:val="14"/>
              </w:rPr>
              <w:t>(21)</w:t>
            </w:r>
          </w:p>
        </w:tc>
        <w:tc>
          <w:tcPr>
            <w:tcW w:w="0" w:type="auto"/>
            <w:shd w:val="clear" w:color="auto" w:fill="FFFFFF"/>
            <w:tcMar>
              <w:top w:w="40" w:type="dxa"/>
              <w:left w:w="0" w:type="dxa"/>
              <w:bottom w:w="40" w:type="dxa"/>
              <w:right w:w="20" w:type="dxa"/>
            </w:tcMar>
            <w:vAlign w:val="center"/>
          </w:tcPr>
          <w:p w14:paraId="71D3DE6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E6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E63" w14:textId="77777777" w:rsidR="006A3667" w:rsidRDefault="00045F32">
            <w:pPr>
              <w:jc w:val="right"/>
              <w:textAlignment w:val="center"/>
            </w:pPr>
            <w:r>
              <w:rPr>
                <w:rFonts w:ascii="Arial" w:eastAsia="宋体" w:hAnsi="Arial" w:cs="Arial"/>
                <w:b/>
                <w:bCs/>
                <w:color w:val="000000"/>
                <w:sz w:val="14"/>
                <w:szCs w:val="14"/>
              </w:rPr>
              <w:t>1,813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1D3DE6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E6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E66" w14:textId="77777777" w:rsidR="006A3667" w:rsidRDefault="00045F32">
            <w:pPr>
              <w:jc w:val="right"/>
              <w:textAlignment w:val="center"/>
            </w:pPr>
            <w:r>
              <w:rPr>
                <w:rFonts w:ascii="Arial" w:eastAsia="宋体" w:hAnsi="Arial" w:cs="Arial"/>
                <w:color w:val="000000"/>
                <w:sz w:val="14"/>
                <w:szCs w:val="14"/>
              </w:rPr>
              <w:t>2,320 </w:t>
            </w:r>
          </w:p>
        </w:tc>
        <w:tc>
          <w:tcPr>
            <w:tcW w:w="0" w:type="auto"/>
            <w:shd w:val="clear" w:color="auto" w:fill="FFFFFF"/>
            <w:tcMar>
              <w:top w:w="40" w:type="dxa"/>
              <w:left w:w="0" w:type="dxa"/>
              <w:bottom w:w="40" w:type="dxa"/>
              <w:right w:w="20" w:type="dxa"/>
            </w:tcMar>
            <w:vAlign w:val="center"/>
          </w:tcPr>
          <w:p w14:paraId="71D3DE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E6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E69" w14:textId="77777777" w:rsidR="006A3667" w:rsidRDefault="00045F32">
            <w:pPr>
              <w:jc w:val="right"/>
              <w:textAlignment w:val="center"/>
            </w:pPr>
            <w:r>
              <w:rPr>
                <w:rFonts w:ascii="Arial" w:eastAsia="宋体" w:hAnsi="Arial" w:cs="Arial"/>
                <w:color w:val="000000"/>
                <w:sz w:val="14"/>
                <w:szCs w:val="14"/>
              </w:rPr>
              <w:t>(22)</w:t>
            </w:r>
          </w:p>
        </w:tc>
        <w:tc>
          <w:tcPr>
            <w:tcW w:w="0" w:type="auto"/>
            <w:shd w:val="clear" w:color="auto" w:fill="FFFFFF"/>
            <w:tcMar>
              <w:top w:w="40" w:type="dxa"/>
              <w:left w:w="0" w:type="dxa"/>
              <w:bottom w:w="40" w:type="dxa"/>
              <w:right w:w="20" w:type="dxa"/>
            </w:tcMar>
            <w:vAlign w:val="center"/>
          </w:tcPr>
          <w:p w14:paraId="71D3DE6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E6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E6C" w14:textId="77777777" w:rsidR="006A3667" w:rsidRDefault="00045F32">
            <w:pPr>
              <w:jc w:val="right"/>
              <w:textAlignment w:val="center"/>
            </w:pPr>
            <w:r>
              <w:rPr>
                <w:rFonts w:ascii="Arial" w:eastAsia="宋体" w:hAnsi="Arial" w:cs="Arial"/>
                <w:b/>
                <w:bCs/>
                <w:color w:val="000000"/>
                <w:sz w:val="14"/>
                <w:szCs w:val="14"/>
              </w:rPr>
              <w:t>1,661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1D3DE6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E6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E6F" w14:textId="77777777" w:rsidR="006A3667" w:rsidRDefault="00045F32">
            <w:pPr>
              <w:jc w:val="right"/>
              <w:textAlignment w:val="center"/>
            </w:pPr>
            <w:r>
              <w:rPr>
                <w:rFonts w:ascii="Arial" w:eastAsia="宋体" w:hAnsi="Arial" w:cs="Arial"/>
                <w:color w:val="000000"/>
                <w:sz w:val="14"/>
                <w:szCs w:val="14"/>
              </w:rPr>
              <w:t>2,281 </w:t>
            </w:r>
          </w:p>
        </w:tc>
        <w:tc>
          <w:tcPr>
            <w:tcW w:w="0" w:type="auto"/>
            <w:shd w:val="clear" w:color="auto" w:fill="FFFFFF"/>
            <w:tcMar>
              <w:top w:w="40" w:type="dxa"/>
              <w:left w:w="0" w:type="dxa"/>
              <w:bottom w:w="40" w:type="dxa"/>
              <w:right w:w="20" w:type="dxa"/>
            </w:tcMar>
            <w:vAlign w:val="center"/>
          </w:tcPr>
          <w:p w14:paraId="71D3DE7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E7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E72" w14:textId="77777777" w:rsidR="006A3667" w:rsidRDefault="00045F32">
            <w:pPr>
              <w:jc w:val="right"/>
              <w:textAlignment w:val="center"/>
            </w:pPr>
            <w:r>
              <w:rPr>
                <w:rFonts w:ascii="Arial" w:eastAsia="宋体" w:hAnsi="Arial" w:cs="Arial"/>
                <w:color w:val="000000"/>
                <w:sz w:val="14"/>
                <w:szCs w:val="14"/>
              </w:rPr>
              <w:t>(27)</w:t>
            </w:r>
          </w:p>
        </w:tc>
        <w:tc>
          <w:tcPr>
            <w:tcW w:w="0" w:type="auto"/>
            <w:shd w:val="clear" w:color="auto" w:fill="FFFFFF"/>
            <w:tcMar>
              <w:top w:w="40" w:type="dxa"/>
              <w:left w:w="0" w:type="dxa"/>
              <w:bottom w:w="40" w:type="dxa"/>
              <w:right w:w="20" w:type="dxa"/>
            </w:tcMar>
            <w:vAlign w:val="center"/>
          </w:tcPr>
          <w:p w14:paraId="71D3DE73" w14:textId="77777777" w:rsidR="006A3667" w:rsidRDefault="006A3667">
            <w:pPr>
              <w:jc w:val="right"/>
              <w:rPr>
                <w:rFonts w:ascii="宋体"/>
              </w:rPr>
            </w:pPr>
          </w:p>
        </w:tc>
      </w:tr>
      <w:tr w:rsidR="006A3667" w14:paraId="71D3DE90" w14:textId="77777777">
        <w:tc>
          <w:tcPr>
            <w:tcW w:w="0" w:type="auto"/>
            <w:gridSpan w:val="3"/>
            <w:shd w:val="clear" w:color="auto" w:fill="CCEEFF"/>
            <w:tcMar>
              <w:top w:w="40" w:type="dxa"/>
              <w:left w:w="20" w:type="dxa"/>
              <w:bottom w:w="40" w:type="dxa"/>
              <w:right w:w="20" w:type="dxa"/>
            </w:tcMar>
            <w:vAlign w:val="center"/>
          </w:tcPr>
          <w:p w14:paraId="71D3DE75" w14:textId="77777777" w:rsidR="006A3667" w:rsidRDefault="00045F32">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2"/>
            <w:shd w:val="clear" w:color="auto" w:fill="CCEEFF"/>
            <w:tcMar>
              <w:top w:w="40" w:type="dxa"/>
              <w:left w:w="20" w:type="dxa"/>
              <w:bottom w:w="40" w:type="dxa"/>
              <w:right w:w="0" w:type="dxa"/>
            </w:tcMar>
            <w:vAlign w:val="center"/>
          </w:tcPr>
          <w:p w14:paraId="71D3DE76" w14:textId="77777777" w:rsidR="006A3667" w:rsidRDefault="00045F32">
            <w:pPr>
              <w:jc w:val="right"/>
              <w:textAlignment w:val="center"/>
            </w:pPr>
            <w:r>
              <w:rPr>
                <w:rFonts w:ascii="Arial" w:eastAsia="宋体" w:hAnsi="Arial" w:cs="Arial"/>
                <w:b/>
                <w:bCs/>
                <w:color w:val="000000"/>
                <w:sz w:val="14"/>
                <w:szCs w:val="14"/>
              </w:rPr>
              <w:t>975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1D3DE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7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E79" w14:textId="77777777" w:rsidR="006A3667" w:rsidRDefault="00045F32">
            <w:pPr>
              <w:jc w:val="right"/>
              <w:textAlignment w:val="center"/>
            </w:pPr>
            <w:r>
              <w:rPr>
                <w:rFonts w:ascii="Arial" w:eastAsia="宋体" w:hAnsi="Arial" w:cs="Arial"/>
                <w:color w:val="000000"/>
                <w:sz w:val="14"/>
                <w:szCs w:val="14"/>
              </w:rPr>
              <w:t>1,295 </w:t>
            </w:r>
          </w:p>
        </w:tc>
        <w:tc>
          <w:tcPr>
            <w:tcW w:w="0" w:type="auto"/>
            <w:shd w:val="clear" w:color="auto" w:fill="CCEEFF"/>
            <w:tcMar>
              <w:top w:w="40" w:type="dxa"/>
              <w:left w:w="0" w:type="dxa"/>
              <w:bottom w:w="40" w:type="dxa"/>
              <w:right w:w="20" w:type="dxa"/>
            </w:tcMar>
            <w:vAlign w:val="center"/>
          </w:tcPr>
          <w:p w14:paraId="71D3DE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7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E7C" w14:textId="77777777" w:rsidR="006A3667" w:rsidRDefault="00045F32">
            <w:pPr>
              <w:jc w:val="right"/>
              <w:textAlignment w:val="center"/>
            </w:pPr>
            <w:r>
              <w:rPr>
                <w:rFonts w:ascii="Arial" w:eastAsia="宋体" w:hAnsi="Arial" w:cs="Arial"/>
                <w:color w:val="000000"/>
                <w:sz w:val="14"/>
                <w:szCs w:val="14"/>
              </w:rPr>
              <w:t>(25)</w:t>
            </w:r>
          </w:p>
        </w:tc>
        <w:tc>
          <w:tcPr>
            <w:tcW w:w="0" w:type="auto"/>
            <w:shd w:val="clear" w:color="auto" w:fill="CCEEFF"/>
            <w:tcMar>
              <w:top w:w="40" w:type="dxa"/>
              <w:left w:w="0" w:type="dxa"/>
              <w:bottom w:w="40" w:type="dxa"/>
              <w:right w:w="20" w:type="dxa"/>
            </w:tcMar>
            <w:vAlign w:val="center"/>
          </w:tcPr>
          <w:p w14:paraId="71D3DE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7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E7F" w14:textId="77777777" w:rsidR="006A3667" w:rsidRDefault="00045F32">
            <w:pPr>
              <w:jc w:val="right"/>
              <w:textAlignment w:val="center"/>
            </w:pPr>
            <w:r>
              <w:rPr>
                <w:rFonts w:ascii="Arial" w:eastAsia="宋体" w:hAnsi="Arial" w:cs="Arial"/>
                <w:b/>
                <w:bCs/>
                <w:color w:val="000000"/>
                <w:sz w:val="14"/>
                <w:szCs w:val="14"/>
              </w:rPr>
              <w:t>955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1D3DE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8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E82" w14:textId="77777777" w:rsidR="006A3667" w:rsidRDefault="00045F32">
            <w:pPr>
              <w:jc w:val="right"/>
              <w:textAlignment w:val="center"/>
            </w:pPr>
            <w:r>
              <w:rPr>
                <w:rFonts w:ascii="Arial" w:eastAsia="宋体" w:hAnsi="Arial" w:cs="Arial"/>
                <w:color w:val="000000"/>
                <w:sz w:val="14"/>
                <w:szCs w:val="14"/>
              </w:rPr>
              <w:t>1,280 </w:t>
            </w:r>
          </w:p>
        </w:tc>
        <w:tc>
          <w:tcPr>
            <w:tcW w:w="0" w:type="auto"/>
            <w:shd w:val="clear" w:color="auto" w:fill="CCEEFF"/>
            <w:tcMar>
              <w:top w:w="40" w:type="dxa"/>
              <w:left w:w="0" w:type="dxa"/>
              <w:bottom w:w="40" w:type="dxa"/>
              <w:right w:w="20" w:type="dxa"/>
            </w:tcMar>
            <w:vAlign w:val="center"/>
          </w:tcPr>
          <w:p w14:paraId="71D3DE8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8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E85" w14:textId="77777777" w:rsidR="006A3667" w:rsidRDefault="00045F32">
            <w:pPr>
              <w:jc w:val="right"/>
              <w:textAlignment w:val="center"/>
            </w:pPr>
            <w:r>
              <w:rPr>
                <w:rFonts w:ascii="Arial" w:eastAsia="宋体" w:hAnsi="Arial" w:cs="Arial"/>
                <w:color w:val="000000"/>
                <w:sz w:val="14"/>
                <w:szCs w:val="14"/>
              </w:rPr>
              <w:t>(25)</w:t>
            </w:r>
          </w:p>
        </w:tc>
        <w:tc>
          <w:tcPr>
            <w:tcW w:w="0" w:type="auto"/>
            <w:shd w:val="clear" w:color="auto" w:fill="CCEEFF"/>
            <w:tcMar>
              <w:top w:w="40" w:type="dxa"/>
              <w:left w:w="0" w:type="dxa"/>
              <w:bottom w:w="40" w:type="dxa"/>
              <w:right w:w="20" w:type="dxa"/>
            </w:tcMar>
            <w:vAlign w:val="center"/>
          </w:tcPr>
          <w:p w14:paraId="71D3DE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E88" w14:textId="77777777" w:rsidR="006A3667" w:rsidRDefault="00045F32">
            <w:pPr>
              <w:jc w:val="right"/>
              <w:textAlignment w:val="center"/>
            </w:pPr>
            <w:r>
              <w:rPr>
                <w:rFonts w:ascii="Arial" w:eastAsia="宋体" w:hAnsi="Arial" w:cs="Arial"/>
                <w:b/>
                <w:bCs/>
                <w:color w:val="000000"/>
                <w:sz w:val="14"/>
                <w:szCs w:val="14"/>
              </w:rPr>
              <w:t>876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1D3DE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E8B" w14:textId="77777777" w:rsidR="006A3667" w:rsidRDefault="00045F32">
            <w:pPr>
              <w:jc w:val="right"/>
              <w:textAlignment w:val="center"/>
            </w:pPr>
            <w:r>
              <w:rPr>
                <w:rFonts w:ascii="Arial" w:eastAsia="宋体" w:hAnsi="Arial" w:cs="Arial"/>
                <w:color w:val="000000"/>
                <w:sz w:val="14"/>
                <w:szCs w:val="14"/>
              </w:rPr>
              <w:t>1,253 </w:t>
            </w:r>
          </w:p>
        </w:tc>
        <w:tc>
          <w:tcPr>
            <w:tcW w:w="0" w:type="auto"/>
            <w:shd w:val="clear" w:color="auto" w:fill="CCEEFF"/>
            <w:tcMar>
              <w:top w:w="40" w:type="dxa"/>
              <w:left w:w="0" w:type="dxa"/>
              <w:bottom w:w="40" w:type="dxa"/>
              <w:right w:w="20" w:type="dxa"/>
            </w:tcMar>
            <w:vAlign w:val="center"/>
          </w:tcPr>
          <w:p w14:paraId="71D3DE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E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E8E" w14:textId="77777777" w:rsidR="006A3667" w:rsidRDefault="00045F32">
            <w:pPr>
              <w:jc w:val="right"/>
              <w:textAlignment w:val="center"/>
            </w:pPr>
            <w:r>
              <w:rPr>
                <w:rFonts w:ascii="Arial" w:eastAsia="宋体" w:hAnsi="Arial" w:cs="Arial"/>
                <w:color w:val="000000"/>
                <w:sz w:val="14"/>
                <w:szCs w:val="14"/>
              </w:rPr>
              <w:t>(30)</w:t>
            </w:r>
          </w:p>
        </w:tc>
        <w:tc>
          <w:tcPr>
            <w:tcW w:w="0" w:type="auto"/>
            <w:shd w:val="clear" w:color="auto" w:fill="CCEEFF"/>
            <w:tcMar>
              <w:top w:w="40" w:type="dxa"/>
              <w:left w:w="0" w:type="dxa"/>
              <w:bottom w:w="40" w:type="dxa"/>
              <w:right w:w="20" w:type="dxa"/>
            </w:tcMar>
            <w:vAlign w:val="center"/>
          </w:tcPr>
          <w:p w14:paraId="71D3DE8F" w14:textId="77777777" w:rsidR="006A3667" w:rsidRDefault="006A3667">
            <w:pPr>
              <w:jc w:val="right"/>
              <w:rPr>
                <w:rFonts w:ascii="宋体"/>
              </w:rPr>
            </w:pPr>
          </w:p>
        </w:tc>
      </w:tr>
      <w:tr w:rsidR="006A3667" w14:paraId="71D3DEA3" w14:textId="77777777">
        <w:trPr>
          <w:trHeight w:val="60"/>
        </w:trPr>
        <w:tc>
          <w:tcPr>
            <w:tcW w:w="0" w:type="auto"/>
            <w:gridSpan w:val="3"/>
            <w:shd w:val="clear" w:color="auto" w:fill="FFFFFF"/>
            <w:tcMar>
              <w:top w:w="0" w:type="dxa"/>
              <w:left w:w="20" w:type="dxa"/>
              <w:bottom w:w="0" w:type="dxa"/>
              <w:right w:w="20" w:type="dxa"/>
            </w:tcMar>
            <w:vAlign w:val="bottom"/>
          </w:tcPr>
          <w:p w14:paraId="71D3DE9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A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A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EA2" w14:textId="77777777" w:rsidR="006A3667" w:rsidRDefault="006A3667">
            <w:pPr>
              <w:rPr>
                <w:rFonts w:ascii="宋体"/>
              </w:rPr>
            </w:pPr>
          </w:p>
        </w:tc>
      </w:tr>
      <w:tr w:rsidR="006A3667" w14:paraId="71D3DECE" w14:textId="77777777">
        <w:trPr>
          <w:hidden/>
        </w:trPr>
        <w:tc>
          <w:tcPr>
            <w:tcW w:w="0" w:type="auto"/>
            <w:gridSpan w:val="3"/>
            <w:shd w:val="clear" w:color="auto" w:fill="auto"/>
            <w:vAlign w:val="bottom"/>
          </w:tcPr>
          <w:p w14:paraId="71D3DEA4" w14:textId="77777777" w:rsidR="006A3667" w:rsidRDefault="006A3667">
            <w:pPr>
              <w:rPr>
                <w:rFonts w:ascii="宋体"/>
                <w:vanish/>
              </w:rPr>
            </w:pPr>
          </w:p>
        </w:tc>
        <w:tc>
          <w:tcPr>
            <w:tcW w:w="0" w:type="auto"/>
            <w:gridSpan w:val="3"/>
            <w:shd w:val="clear" w:color="auto" w:fill="auto"/>
            <w:vAlign w:val="bottom"/>
          </w:tcPr>
          <w:p w14:paraId="71D3DEA5" w14:textId="77777777" w:rsidR="006A3667" w:rsidRDefault="006A3667">
            <w:pPr>
              <w:rPr>
                <w:rFonts w:ascii="宋体"/>
                <w:vanish/>
              </w:rPr>
            </w:pPr>
          </w:p>
        </w:tc>
        <w:tc>
          <w:tcPr>
            <w:tcW w:w="0" w:type="auto"/>
            <w:gridSpan w:val="3"/>
            <w:shd w:val="clear" w:color="auto" w:fill="auto"/>
            <w:vAlign w:val="bottom"/>
          </w:tcPr>
          <w:p w14:paraId="71D3DEA6" w14:textId="77777777" w:rsidR="006A3667" w:rsidRDefault="006A3667">
            <w:pPr>
              <w:rPr>
                <w:rFonts w:ascii="宋体"/>
                <w:vanish/>
              </w:rPr>
            </w:pPr>
          </w:p>
        </w:tc>
        <w:tc>
          <w:tcPr>
            <w:tcW w:w="0" w:type="auto"/>
            <w:gridSpan w:val="3"/>
            <w:shd w:val="clear" w:color="auto" w:fill="auto"/>
            <w:vAlign w:val="bottom"/>
          </w:tcPr>
          <w:p w14:paraId="71D3DEA7" w14:textId="77777777" w:rsidR="006A3667" w:rsidRDefault="006A3667">
            <w:pPr>
              <w:rPr>
                <w:rFonts w:ascii="宋体"/>
                <w:vanish/>
              </w:rPr>
            </w:pPr>
          </w:p>
        </w:tc>
        <w:tc>
          <w:tcPr>
            <w:tcW w:w="0" w:type="auto"/>
            <w:gridSpan w:val="3"/>
            <w:shd w:val="clear" w:color="auto" w:fill="auto"/>
            <w:vAlign w:val="bottom"/>
          </w:tcPr>
          <w:p w14:paraId="71D3DEA8" w14:textId="77777777" w:rsidR="006A3667" w:rsidRDefault="006A3667">
            <w:pPr>
              <w:rPr>
                <w:rFonts w:ascii="宋体"/>
                <w:vanish/>
              </w:rPr>
            </w:pPr>
          </w:p>
        </w:tc>
        <w:tc>
          <w:tcPr>
            <w:tcW w:w="0" w:type="auto"/>
            <w:gridSpan w:val="3"/>
            <w:shd w:val="clear" w:color="auto" w:fill="auto"/>
            <w:vAlign w:val="bottom"/>
          </w:tcPr>
          <w:p w14:paraId="71D3DEA9" w14:textId="77777777" w:rsidR="006A3667" w:rsidRDefault="006A3667">
            <w:pPr>
              <w:rPr>
                <w:rFonts w:ascii="宋体"/>
                <w:vanish/>
              </w:rPr>
            </w:pPr>
          </w:p>
        </w:tc>
        <w:tc>
          <w:tcPr>
            <w:tcW w:w="0" w:type="auto"/>
            <w:shd w:val="clear" w:color="auto" w:fill="auto"/>
            <w:vAlign w:val="bottom"/>
          </w:tcPr>
          <w:p w14:paraId="71D3DEAA" w14:textId="77777777" w:rsidR="006A3667" w:rsidRDefault="006A3667">
            <w:pPr>
              <w:rPr>
                <w:rFonts w:ascii="宋体"/>
              </w:rPr>
            </w:pPr>
          </w:p>
        </w:tc>
        <w:tc>
          <w:tcPr>
            <w:tcW w:w="0" w:type="auto"/>
            <w:shd w:val="clear" w:color="auto" w:fill="auto"/>
            <w:vAlign w:val="bottom"/>
          </w:tcPr>
          <w:p w14:paraId="71D3DEAB" w14:textId="77777777" w:rsidR="006A3667" w:rsidRDefault="006A3667">
            <w:pPr>
              <w:rPr>
                <w:rFonts w:ascii="宋体"/>
              </w:rPr>
            </w:pPr>
          </w:p>
        </w:tc>
        <w:tc>
          <w:tcPr>
            <w:tcW w:w="0" w:type="auto"/>
            <w:shd w:val="clear" w:color="auto" w:fill="auto"/>
            <w:vAlign w:val="bottom"/>
          </w:tcPr>
          <w:p w14:paraId="71D3DEAC" w14:textId="77777777" w:rsidR="006A3667" w:rsidRDefault="006A3667">
            <w:pPr>
              <w:rPr>
                <w:rFonts w:ascii="宋体"/>
              </w:rPr>
            </w:pPr>
          </w:p>
        </w:tc>
        <w:tc>
          <w:tcPr>
            <w:tcW w:w="0" w:type="auto"/>
            <w:shd w:val="clear" w:color="auto" w:fill="auto"/>
            <w:vAlign w:val="bottom"/>
          </w:tcPr>
          <w:p w14:paraId="71D3DEAD" w14:textId="77777777" w:rsidR="006A3667" w:rsidRDefault="006A3667">
            <w:pPr>
              <w:rPr>
                <w:rFonts w:ascii="宋体"/>
              </w:rPr>
            </w:pPr>
          </w:p>
        </w:tc>
        <w:tc>
          <w:tcPr>
            <w:tcW w:w="0" w:type="auto"/>
            <w:shd w:val="clear" w:color="auto" w:fill="auto"/>
            <w:vAlign w:val="bottom"/>
          </w:tcPr>
          <w:p w14:paraId="71D3DEAE" w14:textId="77777777" w:rsidR="006A3667" w:rsidRDefault="006A3667">
            <w:pPr>
              <w:rPr>
                <w:rFonts w:ascii="宋体"/>
              </w:rPr>
            </w:pPr>
          </w:p>
        </w:tc>
        <w:tc>
          <w:tcPr>
            <w:tcW w:w="0" w:type="auto"/>
            <w:shd w:val="clear" w:color="auto" w:fill="auto"/>
            <w:vAlign w:val="bottom"/>
          </w:tcPr>
          <w:p w14:paraId="71D3DEAF" w14:textId="77777777" w:rsidR="006A3667" w:rsidRDefault="006A3667">
            <w:pPr>
              <w:rPr>
                <w:rFonts w:ascii="宋体"/>
              </w:rPr>
            </w:pPr>
          </w:p>
        </w:tc>
        <w:tc>
          <w:tcPr>
            <w:tcW w:w="0" w:type="auto"/>
            <w:shd w:val="clear" w:color="auto" w:fill="auto"/>
            <w:vAlign w:val="bottom"/>
          </w:tcPr>
          <w:p w14:paraId="71D3DEB0" w14:textId="77777777" w:rsidR="006A3667" w:rsidRDefault="006A3667">
            <w:pPr>
              <w:rPr>
                <w:rFonts w:ascii="宋体"/>
              </w:rPr>
            </w:pPr>
          </w:p>
        </w:tc>
        <w:tc>
          <w:tcPr>
            <w:tcW w:w="0" w:type="auto"/>
            <w:shd w:val="clear" w:color="auto" w:fill="auto"/>
            <w:vAlign w:val="bottom"/>
          </w:tcPr>
          <w:p w14:paraId="71D3DEB1" w14:textId="77777777" w:rsidR="006A3667" w:rsidRDefault="006A3667">
            <w:pPr>
              <w:rPr>
                <w:rFonts w:ascii="宋体"/>
              </w:rPr>
            </w:pPr>
          </w:p>
        </w:tc>
        <w:tc>
          <w:tcPr>
            <w:tcW w:w="0" w:type="auto"/>
            <w:shd w:val="clear" w:color="auto" w:fill="auto"/>
            <w:vAlign w:val="bottom"/>
          </w:tcPr>
          <w:p w14:paraId="71D3DEB2" w14:textId="77777777" w:rsidR="006A3667" w:rsidRDefault="006A3667">
            <w:pPr>
              <w:rPr>
                <w:rFonts w:ascii="宋体"/>
              </w:rPr>
            </w:pPr>
          </w:p>
        </w:tc>
        <w:tc>
          <w:tcPr>
            <w:tcW w:w="0" w:type="auto"/>
            <w:shd w:val="clear" w:color="auto" w:fill="auto"/>
            <w:vAlign w:val="bottom"/>
          </w:tcPr>
          <w:p w14:paraId="71D3DEB3" w14:textId="77777777" w:rsidR="006A3667" w:rsidRDefault="006A3667">
            <w:pPr>
              <w:rPr>
                <w:rFonts w:ascii="宋体"/>
              </w:rPr>
            </w:pPr>
          </w:p>
        </w:tc>
        <w:tc>
          <w:tcPr>
            <w:tcW w:w="0" w:type="auto"/>
            <w:shd w:val="clear" w:color="auto" w:fill="auto"/>
            <w:vAlign w:val="bottom"/>
          </w:tcPr>
          <w:p w14:paraId="71D3DEB4" w14:textId="77777777" w:rsidR="006A3667" w:rsidRDefault="006A3667">
            <w:pPr>
              <w:rPr>
                <w:rFonts w:ascii="宋体"/>
              </w:rPr>
            </w:pPr>
          </w:p>
        </w:tc>
        <w:tc>
          <w:tcPr>
            <w:tcW w:w="0" w:type="auto"/>
            <w:shd w:val="clear" w:color="auto" w:fill="auto"/>
            <w:vAlign w:val="bottom"/>
          </w:tcPr>
          <w:p w14:paraId="71D3DEB5" w14:textId="77777777" w:rsidR="006A3667" w:rsidRDefault="006A3667">
            <w:pPr>
              <w:rPr>
                <w:rFonts w:ascii="宋体"/>
              </w:rPr>
            </w:pPr>
          </w:p>
        </w:tc>
        <w:tc>
          <w:tcPr>
            <w:tcW w:w="0" w:type="auto"/>
            <w:shd w:val="clear" w:color="auto" w:fill="auto"/>
            <w:vAlign w:val="bottom"/>
          </w:tcPr>
          <w:p w14:paraId="71D3DEB6" w14:textId="77777777" w:rsidR="006A3667" w:rsidRDefault="006A3667">
            <w:pPr>
              <w:rPr>
                <w:rFonts w:ascii="宋体"/>
              </w:rPr>
            </w:pPr>
          </w:p>
        </w:tc>
        <w:tc>
          <w:tcPr>
            <w:tcW w:w="0" w:type="auto"/>
            <w:shd w:val="clear" w:color="auto" w:fill="auto"/>
            <w:vAlign w:val="bottom"/>
          </w:tcPr>
          <w:p w14:paraId="71D3DEB7" w14:textId="77777777" w:rsidR="006A3667" w:rsidRDefault="006A3667">
            <w:pPr>
              <w:rPr>
                <w:rFonts w:ascii="宋体"/>
              </w:rPr>
            </w:pPr>
          </w:p>
        </w:tc>
        <w:tc>
          <w:tcPr>
            <w:tcW w:w="0" w:type="auto"/>
            <w:shd w:val="clear" w:color="auto" w:fill="auto"/>
            <w:vAlign w:val="bottom"/>
          </w:tcPr>
          <w:p w14:paraId="71D3DEB8" w14:textId="77777777" w:rsidR="006A3667" w:rsidRDefault="006A3667">
            <w:pPr>
              <w:rPr>
                <w:rFonts w:ascii="宋体"/>
              </w:rPr>
            </w:pPr>
          </w:p>
        </w:tc>
        <w:tc>
          <w:tcPr>
            <w:tcW w:w="0" w:type="auto"/>
            <w:shd w:val="clear" w:color="auto" w:fill="auto"/>
            <w:vAlign w:val="bottom"/>
          </w:tcPr>
          <w:p w14:paraId="71D3DEB9" w14:textId="77777777" w:rsidR="006A3667" w:rsidRDefault="006A3667">
            <w:pPr>
              <w:rPr>
                <w:rFonts w:ascii="宋体"/>
              </w:rPr>
            </w:pPr>
          </w:p>
        </w:tc>
        <w:tc>
          <w:tcPr>
            <w:tcW w:w="0" w:type="auto"/>
            <w:shd w:val="clear" w:color="auto" w:fill="auto"/>
            <w:vAlign w:val="bottom"/>
          </w:tcPr>
          <w:p w14:paraId="71D3DEBA" w14:textId="77777777" w:rsidR="006A3667" w:rsidRDefault="006A3667">
            <w:pPr>
              <w:rPr>
                <w:rFonts w:ascii="宋体"/>
              </w:rPr>
            </w:pPr>
          </w:p>
        </w:tc>
        <w:tc>
          <w:tcPr>
            <w:tcW w:w="0" w:type="auto"/>
            <w:shd w:val="clear" w:color="auto" w:fill="auto"/>
            <w:vAlign w:val="bottom"/>
          </w:tcPr>
          <w:p w14:paraId="71D3DEBB" w14:textId="77777777" w:rsidR="006A3667" w:rsidRDefault="006A3667">
            <w:pPr>
              <w:rPr>
                <w:rFonts w:ascii="宋体"/>
              </w:rPr>
            </w:pPr>
          </w:p>
        </w:tc>
        <w:tc>
          <w:tcPr>
            <w:tcW w:w="0" w:type="auto"/>
            <w:shd w:val="clear" w:color="auto" w:fill="auto"/>
            <w:vAlign w:val="bottom"/>
          </w:tcPr>
          <w:p w14:paraId="71D3DEBC" w14:textId="77777777" w:rsidR="006A3667" w:rsidRDefault="006A3667">
            <w:pPr>
              <w:rPr>
                <w:rFonts w:ascii="宋体"/>
              </w:rPr>
            </w:pPr>
          </w:p>
        </w:tc>
        <w:tc>
          <w:tcPr>
            <w:tcW w:w="0" w:type="auto"/>
            <w:shd w:val="clear" w:color="auto" w:fill="auto"/>
            <w:vAlign w:val="bottom"/>
          </w:tcPr>
          <w:p w14:paraId="71D3DEBD" w14:textId="77777777" w:rsidR="006A3667" w:rsidRDefault="006A3667">
            <w:pPr>
              <w:rPr>
                <w:rFonts w:ascii="宋体"/>
              </w:rPr>
            </w:pPr>
          </w:p>
        </w:tc>
        <w:tc>
          <w:tcPr>
            <w:tcW w:w="0" w:type="auto"/>
            <w:shd w:val="clear" w:color="auto" w:fill="auto"/>
            <w:vAlign w:val="bottom"/>
          </w:tcPr>
          <w:p w14:paraId="71D3DEBE" w14:textId="77777777" w:rsidR="006A3667" w:rsidRDefault="006A3667">
            <w:pPr>
              <w:rPr>
                <w:rFonts w:ascii="宋体"/>
              </w:rPr>
            </w:pPr>
          </w:p>
        </w:tc>
        <w:tc>
          <w:tcPr>
            <w:tcW w:w="0" w:type="auto"/>
            <w:shd w:val="clear" w:color="auto" w:fill="auto"/>
            <w:vAlign w:val="bottom"/>
          </w:tcPr>
          <w:p w14:paraId="71D3DEBF" w14:textId="77777777" w:rsidR="006A3667" w:rsidRDefault="006A3667">
            <w:pPr>
              <w:rPr>
                <w:rFonts w:ascii="宋体"/>
              </w:rPr>
            </w:pPr>
          </w:p>
        </w:tc>
        <w:tc>
          <w:tcPr>
            <w:tcW w:w="0" w:type="auto"/>
            <w:shd w:val="clear" w:color="auto" w:fill="auto"/>
            <w:vAlign w:val="bottom"/>
          </w:tcPr>
          <w:p w14:paraId="71D3DEC0" w14:textId="77777777" w:rsidR="006A3667" w:rsidRDefault="006A3667">
            <w:pPr>
              <w:rPr>
                <w:rFonts w:ascii="宋体"/>
              </w:rPr>
            </w:pPr>
          </w:p>
        </w:tc>
        <w:tc>
          <w:tcPr>
            <w:tcW w:w="0" w:type="auto"/>
            <w:shd w:val="clear" w:color="auto" w:fill="auto"/>
            <w:vAlign w:val="bottom"/>
          </w:tcPr>
          <w:p w14:paraId="71D3DEC1" w14:textId="77777777" w:rsidR="006A3667" w:rsidRDefault="006A3667">
            <w:pPr>
              <w:rPr>
                <w:rFonts w:ascii="宋体"/>
              </w:rPr>
            </w:pPr>
          </w:p>
        </w:tc>
        <w:tc>
          <w:tcPr>
            <w:tcW w:w="0" w:type="auto"/>
            <w:shd w:val="clear" w:color="auto" w:fill="auto"/>
            <w:vAlign w:val="bottom"/>
          </w:tcPr>
          <w:p w14:paraId="71D3DEC2" w14:textId="77777777" w:rsidR="006A3667" w:rsidRDefault="006A3667">
            <w:pPr>
              <w:rPr>
                <w:rFonts w:ascii="宋体"/>
              </w:rPr>
            </w:pPr>
          </w:p>
        </w:tc>
        <w:tc>
          <w:tcPr>
            <w:tcW w:w="0" w:type="auto"/>
            <w:shd w:val="clear" w:color="auto" w:fill="auto"/>
            <w:vAlign w:val="bottom"/>
          </w:tcPr>
          <w:p w14:paraId="71D3DEC3" w14:textId="77777777" w:rsidR="006A3667" w:rsidRDefault="006A3667">
            <w:pPr>
              <w:rPr>
                <w:rFonts w:ascii="宋体"/>
              </w:rPr>
            </w:pPr>
          </w:p>
        </w:tc>
        <w:tc>
          <w:tcPr>
            <w:tcW w:w="0" w:type="auto"/>
            <w:shd w:val="clear" w:color="auto" w:fill="auto"/>
            <w:vAlign w:val="bottom"/>
          </w:tcPr>
          <w:p w14:paraId="71D3DEC4" w14:textId="77777777" w:rsidR="006A3667" w:rsidRDefault="006A3667">
            <w:pPr>
              <w:rPr>
                <w:rFonts w:ascii="宋体"/>
              </w:rPr>
            </w:pPr>
          </w:p>
        </w:tc>
        <w:tc>
          <w:tcPr>
            <w:tcW w:w="0" w:type="auto"/>
            <w:shd w:val="clear" w:color="auto" w:fill="auto"/>
            <w:vAlign w:val="bottom"/>
          </w:tcPr>
          <w:p w14:paraId="71D3DEC5" w14:textId="77777777" w:rsidR="006A3667" w:rsidRDefault="006A3667">
            <w:pPr>
              <w:rPr>
                <w:rFonts w:ascii="宋体"/>
              </w:rPr>
            </w:pPr>
          </w:p>
        </w:tc>
        <w:tc>
          <w:tcPr>
            <w:tcW w:w="0" w:type="auto"/>
            <w:shd w:val="clear" w:color="auto" w:fill="auto"/>
            <w:vAlign w:val="bottom"/>
          </w:tcPr>
          <w:p w14:paraId="71D3DEC6" w14:textId="77777777" w:rsidR="006A3667" w:rsidRDefault="006A3667">
            <w:pPr>
              <w:rPr>
                <w:rFonts w:ascii="宋体"/>
              </w:rPr>
            </w:pPr>
          </w:p>
        </w:tc>
        <w:tc>
          <w:tcPr>
            <w:tcW w:w="0" w:type="auto"/>
            <w:shd w:val="clear" w:color="auto" w:fill="auto"/>
            <w:vAlign w:val="bottom"/>
          </w:tcPr>
          <w:p w14:paraId="71D3DEC7" w14:textId="77777777" w:rsidR="006A3667" w:rsidRDefault="006A3667">
            <w:pPr>
              <w:rPr>
                <w:rFonts w:ascii="宋体"/>
              </w:rPr>
            </w:pPr>
          </w:p>
        </w:tc>
        <w:tc>
          <w:tcPr>
            <w:tcW w:w="0" w:type="auto"/>
            <w:shd w:val="clear" w:color="auto" w:fill="auto"/>
            <w:vAlign w:val="bottom"/>
          </w:tcPr>
          <w:p w14:paraId="71D3DEC8" w14:textId="77777777" w:rsidR="006A3667" w:rsidRDefault="006A3667">
            <w:pPr>
              <w:rPr>
                <w:rFonts w:ascii="宋体"/>
              </w:rPr>
            </w:pPr>
          </w:p>
        </w:tc>
        <w:tc>
          <w:tcPr>
            <w:tcW w:w="0" w:type="auto"/>
            <w:shd w:val="clear" w:color="auto" w:fill="auto"/>
            <w:vAlign w:val="bottom"/>
          </w:tcPr>
          <w:p w14:paraId="71D3DEC9" w14:textId="77777777" w:rsidR="006A3667" w:rsidRDefault="006A3667">
            <w:pPr>
              <w:rPr>
                <w:rFonts w:ascii="宋体"/>
              </w:rPr>
            </w:pPr>
          </w:p>
        </w:tc>
        <w:tc>
          <w:tcPr>
            <w:tcW w:w="0" w:type="auto"/>
            <w:shd w:val="clear" w:color="auto" w:fill="auto"/>
            <w:vAlign w:val="bottom"/>
          </w:tcPr>
          <w:p w14:paraId="71D3DECA" w14:textId="77777777" w:rsidR="006A3667" w:rsidRDefault="006A3667">
            <w:pPr>
              <w:rPr>
                <w:rFonts w:ascii="宋体"/>
              </w:rPr>
            </w:pPr>
          </w:p>
        </w:tc>
        <w:tc>
          <w:tcPr>
            <w:tcW w:w="0" w:type="auto"/>
            <w:shd w:val="clear" w:color="auto" w:fill="auto"/>
            <w:vAlign w:val="bottom"/>
          </w:tcPr>
          <w:p w14:paraId="71D3DECB" w14:textId="77777777" w:rsidR="006A3667" w:rsidRDefault="006A3667">
            <w:pPr>
              <w:rPr>
                <w:rFonts w:ascii="宋体"/>
              </w:rPr>
            </w:pPr>
          </w:p>
        </w:tc>
        <w:tc>
          <w:tcPr>
            <w:tcW w:w="0" w:type="auto"/>
            <w:shd w:val="clear" w:color="auto" w:fill="auto"/>
            <w:vAlign w:val="bottom"/>
          </w:tcPr>
          <w:p w14:paraId="71D3DECC" w14:textId="77777777" w:rsidR="006A3667" w:rsidRDefault="006A3667">
            <w:pPr>
              <w:rPr>
                <w:rFonts w:ascii="宋体"/>
              </w:rPr>
            </w:pPr>
          </w:p>
        </w:tc>
        <w:tc>
          <w:tcPr>
            <w:tcW w:w="0" w:type="auto"/>
            <w:shd w:val="clear" w:color="auto" w:fill="auto"/>
            <w:vAlign w:val="bottom"/>
          </w:tcPr>
          <w:p w14:paraId="71D3DECD" w14:textId="77777777" w:rsidR="006A3667" w:rsidRDefault="006A3667">
            <w:pPr>
              <w:rPr>
                <w:rFonts w:ascii="宋体"/>
              </w:rPr>
            </w:pPr>
          </w:p>
        </w:tc>
      </w:tr>
      <w:tr w:rsidR="006A3667" w14:paraId="71D3DEF9" w14:textId="77777777">
        <w:trPr>
          <w:hidden/>
        </w:trPr>
        <w:tc>
          <w:tcPr>
            <w:tcW w:w="0" w:type="auto"/>
            <w:gridSpan w:val="3"/>
            <w:shd w:val="clear" w:color="auto" w:fill="auto"/>
            <w:vAlign w:val="bottom"/>
          </w:tcPr>
          <w:p w14:paraId="71D3DECF" w14:textId="77777777" w:rsidR="006A3667" w:rsidRDefault="006A3667">
            <w:pPr>
              <w:rPr>
                <w:rFonts w:ascii="宋体"/>
                <w:vanish/>
              </w:rPr>
            </w:pPr>
          </w:p>
        </w:tc>
        <w:tc>
          <w:tcPr>
            <w:tcW w:w="0" w:type="auto"/>
            <w:gridSpan w:val="3"/>
            <w:shd w:val="clear" w:color="auto" w:fill="auto"/>
            <w:vAlign w:val="bottom"/>
          </w:tcPr>
          <w:p w14:paraId="71D3DED0" w14:textId="77777777" w:rsidR="006A3667" w:rsidRDefault="006A3667">
            <w:pPr>
              <w:rPr>
                <w:rFonts w:ascii="宋体"/>
                <w:vanish/>
              </w:rPr>
            </w:pPr>
          </w:p>
        </w:tc>
        <w:tc>
          <w:tcPr>
            <w:tcW w:w="0" w:type="auto"/>
            <w:gridSpan w:val="3"/>
            <w:shd w:val="clear" w:color="auto" w:fill="auto"/>
            <w:vAlign w:val="bottom"/>
          </w:tcPr>
          <w:p w14:paraId="71D3DED1" w14:textId="77777777" w:rsidR="006A3667" w:rsidRDefault="006A3667">
            <w:pPr>
              <w:rPr>
                <w:rFonts w:ascii="宋体"/>
                <w:vanish/>
              </w:rPr>
            </w:pPr>
          </w:p>
        </w:tc>
        <w:tc>
          <w:tcPr>
            <w:tcW w:w="0" w:type="auto"/>
            <w:gridSpan w:val="3"/>
            <w:shd w:val="clear" w:color="auto" w:fill="auto"/>
            <w:vAlign w:val="bottom"/>
          </w:tcPr>
          <w:p w14:paraId="71D3DED2" w14:textId="77777777" w:rsidR="006A3667" w:rsidRDefault="006A3667">
            <w:pPr>
              <w:rPr>
                <w:rFonts w:ascii="宋体"/>
                <w:vanish/>
              </w:rPr>
            </w:pPr>
          </w:p>
        </w:tc>
        <w:tc>
          <w:tcPr>
            <w:tcW w:w="0" w:type="auto"/>
            <w:gridSpan w:val="3"/>
            <w:shd w:val="clear" w:color="auto" w:fill="auto"/>
            <w:vAlign w:val="bottom"/>
          </w:tcPr>
          <w:p w14:paraId="71D3DED3" w14:textId="77777777" w:rsidR="006A3667" w:rsidRDefault="006A3667">
            <w:pPr>
              <w:rPr>
                <w:rFonts w:ascii="宋体"/>
                <w:vanish/>
              </w:rPr>
            </w:pPr>
          </w:p>
        </w:tc>
        <w:tc>
          <w:tcPr>
            <w:tcW w:w="0" w:type="auto"/>
            <w:gridSpan w:val="3"/>
            <w:shd w:val="clear" w:color="auto" w:fill="auto"/>
            <w:vAlign w:val="bottom"/>
          </w:tcPr>
          <w:p w14:paraId="71D3DED4" w14:textId="77777777" w:rsidR="006A3667" w:rsidRDefault="006A3667">
            <w:pPr>
              <w:rPr>
                <w:rFonts w:ascii="宋体"/>
                <w:vanish/>
              </w:rPr>
            </w:pPr>
          </w:p>
        </w:tc>
        <w:tc>
          <w:tcPr>
            <w:tcW w:w="0" w:type="auto"/>
            <w:shd w:val="clear" w:color="auto" w:fill="auto"/>
            <w:vAlign w:val="bottom"/>
          </w:tcPr>
          <w:p w14:paraId="71D3DED5" w14:textId="77777777" w:rsidR="006A3667" w:rsidRDefault="006A3667">
            <w:pPr>
              <w:rPr>
                <w:rFonts w:ascii="宋体"/>
              </w:rPr>
            </w:pPr>
          </w:p>
        </w:tc>
        <w:tc>
          <w:tcPr>
            <w:tcW w:w="0" w:type="auto"/>
            <w:shd w:val="clear" w:color="auto" w:fill="auto"/>
            <w:vAlign w:val="bottom"/>
          </w:tcPr>
          <w:p w14:paraId="71D3DED6" w14:textId="77777777" w:rsidR="006A3667" w:rsidRDefault="006A3667">
            <w:pPr>
              <w:rPr>
                <w:rFonts w:ascii="宋体"/>
              </w:rPr>
            </w:pPr>
          </w:p>
        </w:tc>
        <w:tc>
          <w:tcPr>
            <w:tcW w:w="0" w:type="auto"/>
            <w:shd w:val="clear" w:color="auto" w:fill="auto"/>
            <w:vAlign w:val="bottom"/>
          </w:tcPr>
          <w:p w14:paraId="71D3DED7" w14:textId="77777777" w:rsidR="006A3667" w:rsidRDefault="006A3667">
            <w:pPr>
              <w:rPr>
                <w:rFonts w:ascii="宋体"/>
              </w:rPr>
            </w:pPr>
          </w:p>
        </w:tc>
        <w:tc>
          <w:tcPr>
            <w:tcW w:w="0" w:type="auto"/>
            <w:shd w:val="clear" w:color="auto" w:fill="auto"/>
            <w:vAlign w:val="bottom"/>
          </w:tcPr>
          <w:p w14:paraId="71D3DED8" w14:textId="77777777" w:rsidR="006A3667" w:rsidRDefault="006A3667">
            <w:pPr>
              <w:rPr>
                <w:rFonts w:ascii="宋体"/>
              </w:rPr>
            </w:pPr>
          </w:p>
        </w:tc>
        <w:tc>
          <w:tcPr>
            <w:tcW w:w="0" w:type="auto"/>
            <w:shd w:val="clear" w:color="auto" w:fill="auto"/>
            <w:vAlign w:val="bottom"/>
          </w:tcPr>
          <w:p w14:paraId="71D3DED9" w14:textId="77777777" w:rsidR="006A3667" w:rsidRDefault="006A3667">
            <w:pPr>
              <w:rPr>
                <w:rFonts w:ascii="宋体"/>
              </w:rPr>
            </w:pPr>
          </w:p>
        </w:tc>
        <w:tc>
          <w:tcPr>
            <w:tcW w:w="0" w:type="auto"/>
            <w:shd w:val="clear" w:color="auto" w:fill="auto"/>
            <w:vAlign w:val="bottom"/>
          </w:tcPr>
          <w:p w14:paraId="71D3DEDA" w14:textId="77777777" w:rsidR="006A3667" w:rsidRDefault="006A3667">
            <w:pPr>
              <w:rPr>
                <w:rFonts w:ascii="宋体"/>
              </w:rPr>
            </w:pPr>
          </w:p>
        </w:tc>
        <w:tc>
          <w:tcPr>
            <w:tcW w:w="0" w:type="auto"/>
            <w:shd w:val="clear" w:color="auto" w:fill="auto"/>
            <w:vAlign w:val="bottom"/>
          </w:tcPr>
          <w:p w14:paraId="71D3DEDB" w14:textId="77777777" w:rsidR="006A3667" w:rsidRDefault="006A3667">
            <w:pPr>
              <w:rPr>
                <w:rFonts w:ascii="宋体"/>
              </w:rPr>
            </w:pPr>
          </w:p>
        </w:tc>
        <w:tc>
          <w:tcPr>
            <w:tcW w:w="0" w:type="auto"/>
            <w:shd w:val="clear" w:color="auto" w:fill="auto"/>
            <w:vAlign w:val="bottom"/>
          </w:tcPr>
          <w:p w14:paraId="71D3DEDC" w14:textId="77777777" w:rsidR="006A3667" w:rsidRDefault="006A3667">
            <w:pPr>
              <w:rPr>
                <w:rFonts w:ascii="宋体"/>
              </w:rPr>
            </w:pPr>
          </w:p>
        </w:tc>
        <w:tc>
          <w:tcPr>
            <w:tcW w:w="0" w:type="auto"/>
            <w:shd w:val="clear" w:color="auto" w:fill="auto"/>
            <w:vAlign w:val="bottom"/>
          </w:tcPr>
          <w:p w14:paraId="71D3DEDD" w14:textId="77777777" w:rsidR="006A3667" w:rsidRDefault="006A3667">
            <w:pPr>
              <w:rPr>
                <w:rFonts w:ascii="宋体"/>
              </w:rPr>
            </w:pPr>
          </w:p>
        </w:tc>
        <w:tc>
          <w:tcPr>
            <w:tcW w:w="0" w:type="auto"/>
            <w:shd w:val="clear" w:color="auto" w:fill="auto"/>
            <w:vAlign w:val="bottom"/>
          </w:tcPr>
          <w:p w14:paraId="71D3DEDE" w14:textId="77777777" w:rsidR="006A3667" w:rsidRDefault="006A3667">
            <w:pPr>
              <w:rPr>
                <w:rFonts w:ascii="宋体"/>
              </w:rPr>
            </w:pPr>
          </w:p>
        </w:tc>
        <w:tc>
          <w:tcPr>
            <w:tcW w:w="0" w:type="auto"/>
            <w:shd w:val="clear" w:color="auto" w:fill="auto"/>
            <w:vAlign w:val="bottom"/>
          </w:tcPr>
          <w:p w14:paraId="71D3DEDF" w14:textId="77777777" w:rsidR="006A3667" w:rsidRDefault="006A3667">
            <w:pPr>
              <w:rPr>
                <w:rFonts w:ascii="宋体"/>
              </w:rPr>
            </w:pPr>
          </w:p>
        </w:tc>
        <w:tc>
          <w:tcPr>
            <w:tcW w:w="0" w:type="auto"/>
            <w:shd w:val="clear" w:color="auto" w:fill="auto"/>
            <w:vAlign w:val="bottom"/>
          </w:tcPr>
          <w:p w14:paraId="71D3DEE0" w14:textId="77777777" w:rsidR="006A3667" w:rsidRDefault="006A3667">
            <w:pPr>
              <w:rPr>
                <w:rFonts w:ascii="宋体"/>
              </w:rPr>
            </w:pPr>
          </w:p>
        </w:tc>
        <w:tc>
          <w:tcPr>
            <w:tcW w:w="0" w:type="auto"/>
            <w:shd w:val="clear" w:color="auto" w:fill="auto"/>
            <w:vAlign w:val="bottom"/>
          </w:tcPr>
          <w:p w14:paraId="71D3DEE1" w14:textId="77777777" w:rsidR="006A3667" w:rsidRDefault="006A3667">
            <w:pPr>
              <w:rPr>
                <w:rFonts w:ascii="宋体"/>
              </w:rPr>
            </w:pPr>
          </w:p>
        </w:tc>
        <w:tc>
          <w:tcPr>
            <w:tcW w:w="0" w:type="auto"/>
            <w:shd w:val="clear" w:color="auto" w:fill="auto"/>
            <w:vAlign w:val="bottom"/>
          </w:tcPr>
          <w:p w14:paraId="71D3DEE2" w14:textId="77777777" w:rsidR="006A3667" w:rsidRDefault="006A3667">
            <w:pPr>
              <w:rPr>
                <w:rFonts w:ascii="宋体"/>
              </w:rPr>
            </w:pPr>
          </w:p>
        </w:tc>
        <w:tc>
          <w:tcPr>
            <w:tcW w:w="0" w:type="auto"/>
            <w:shd w:val="clear" w:color="auto" w:fill="auto"/>
            <w:vAlign w:val="bottom"/>
          </w:tcPr>
          <w:p w14:paraId="71D3DEE3" w14:textId="77777777" w:rsidR="006A3667" w:rsidRDefault="006A3667">
            <w:pPr>
              <w:rPr>
                <w:rFonts w:ascii="宋体"/>
              </w:rPr>
            </w:pPr>
          </w:p>
        </w:tc>
        <w:tc>
          <w:tcPr>
            <w:tcW w:w="0" w:type="auto"/>
            <w:shd w:val="clear" w:color="auto" w:fill="auto"/>
            <w:vAlign w:val="bottom"/>
          </w:tcPr>
          <w:p w14:paraId="71D3DEE4" w14:textId="77777777" w:rsidR="006A3667" w:rsidRDefault="006A3667">
            <w:pPr>
              <w:rPr>
                <w:rFonts w:ascii="宋体"/>
              </w:rPr>
            </w:pPr>
          </w:p>
        </w:tc>
        <w:tc>
          <w:tcPr>
            <w:tcW w:w="0" w:type="auto"/>
            <w:shd w:val="clear" w:color="auto" w:fill="auto"/>
            <w:vAlign w:val="bottom"/>
          </w:tcPr>
          <w:p w14:paraId="71D3DEE5" w14:textId="77777777" w:rsidR="006A3667" w:rsidRDefault="006A3667">
            <w:pPr>
              <w:rPr>
                <w:rFonts w:ascii="宋体"/>
              </w:rPr>
            </w:pPr>
          </w:p>
        </w:tc>
        <w:tc>
          <w:tcPr>
            <w:tcW w:w="0" w:type="auto"/>
            <w:shd w:val="clear" w:color="auto" w:fill="auto"/>
            <w:vAlign w:val="bottom"/>
          </w:tcPr>
          <w:p w14:paraId="71D3DEE6" w14:textId="77777777" w:rsidR="006A3667" w:rsidRDefault="006A3667">
            <w:pPr>
              <w:rPr>
                <w:rFonts w:ascii="宋体"/>
              </w:rPr>
            </w:pPr>
          </w:p>
        </w:tc>
        <w:tc>
          <w:tcPr>
            <w:tcW w:w="0" w:type="auto"/>
            <w:shd w:val="clear" w:color="auto" w:fill="auto"/>
            <w:vAlign w:val="bottom"/>
          </w:tcPr>
          <w:p w14:paraId="71D3DEE7" w14:textId="77777777" w:rsidR="006A3667" w:rsidRDefault="006A3667">
            <w:pPr>
              <w:rPr>
                <w:rFonts w:ascii="宋体"/>
              </w:rPr>
            </w:pPr>
          </w:p>
        </w:tc>
        <w:tc>
          <w:tcPr>
            <w:tcW w:w="0" w:type="auto"/>
            <w:shd w:val="clear" w:color="auto" w:fill="auto"/>
            <w:vAlign w:val="bottom"/>
          </w:tcPr>
          <w:p w14:paraId="71D3DEE8" w14:textId="77777777" w:rsidR="006A3667" w:rsidRDefault="006A3667">
            <w:pPr>
              <w:rPr>
                <w:rFonts w:ascii="宋体"/>
              </w:rPr>
            </w:pPr>
          </w:p>
        </w:tc>
        <w:tc>
          <w:tcPr>
            <w:tcW w:w="0" w:type="auto"/>
            <w:shd w:val="clear" w:color="auto" w:fill="auto"/>
            <w:vAlign w:val="bottom"/>
          </w:tcPr>
          <w:p w14:paraId="71D3DEE9" w14:textId="77777777" w:rsidR="006A3667" w:rsidRDefault="006A3667">
            <w:pPr>
              <w:rPr>
                <w:rFonts w:ascii="宋体"/>
              </w:rPr>
            </w:pPr>
          </w:p>
        </w:tc>
        <w:tc>
          <w:tcPr>
            <w:tcW w:w="0" w:type="auto"/>
            <w:shd w:val="clear" w:color="auto" w:fill="auto"/>
            <w:vAlign w:val="bottom"/>
          </w:tcPr>
          <w:p w14:paraId="71D3DEEA" w14:textId="77777777" w:rsidR="006A3667" w:rsidRDefault="006A3667">
            <w:pPr>
              <w:rPr>
                <w:rFonts w:ascii="宋体"/>
              </w:rPr>
            </w:pPr>
          </w:p>
        </w:tc>
        <w:tc>
          <w:tcPr>
            <w:tcW w:w="0" w:type="auto"/>
            <w:shd w:val="clear" w:color="auto" w:fill="auto"/>
            <w:vAlign w:val="bottom"/>
          </w:tcPr>
          <w:p w14:paraId="71D3DEEB" w14:textId="77777777" w:rsidR="006A3667" w:rsidRDefault="006A3667">
            <w:pPr>
              <w:rPr>
                <w:rFonts w:ascii="宋体"/>
              </w:rPr>
            </w:pPr>
          </w:p>
        </w:tc>
        <w:tc>
          <w:tcPr>
            <w:tcW w:w="0" w:type="auto"/>
            <w:shd w:val="clear" w:color="auto" w:fill="auto"/>
            <w:vAlign w:val="bottom"/>
          </w:tcPr>
          <w:p w14:paraId="71D3DEEC" w14:textId="77777777" w:rsidR="006A3667" w:rsidRDefault="006A3667">
            <w:pPr>
              <w:rPr>
                <w:rFonts w:ascii="宋体"/>
              </w:rPr>
            </w:pPr>
          </w:p>
        </w:tc>
        <w:tc>
          <w:tcPr>
            <w:tcW w:w="0" w:type="auto"/>
            <w:shd w:val="clear" w:color="auto" w:fill="auto"/>
            <w:vAlign w:val="bottom"/>
          </w:tcPr>
          <w:p w14:paraId="71D3DEED" w14:textId="77777777" w:rsidR="006A3667" w:rsidRDefault="006A3667">
            <w:pPr>
              <w:rPr>
                <w:rFonts w:ascii="宋体"/>
              </w:rPr>
            </w:pPr>
          </w:p>
        </w:tc>
        <w:tc>
          <w:tcPr>
            <w:tcW w:w="0" w:type="auto"/>
            <w:shd w:val="clear" w:color="auto" w:fill="auto"/>
            <w:vAlign w:val="bottom"/>
          </w:tcPr>
          <w:p w14:paraId="71D3DEEE" w14:textId="77777777" w:rsidR="006A3667" w:rsidRDefault="006A3667">
            <w:pPr>
              <w:rPr>
                <w:rFonts w:ascii="宋体"/>
              </w:rPr>
            </w:pPr>
          </w:p>
        </w:tc>
        <w:tc>
          <w:tcPr>
            <w:tcW w:w="0" w:type="auto"/>
            <w:shd w:val="clear" w:color="auto" w:fill="auto"/>
            <w:vAlign w:val="bottom"/>
          </w:tcPr>
          <w:p w14:paraId="71D3DEEF" w14:textId="77777777" w:rsidR="006A3667" w:rsidRDefault="006A3667">
            <w:pPr>
              <w:rPr>
                <w:rFonts w:ascii="宋体"/>
              </w:rPr>
            </w:pPr>
          </w:p>
        </w:tc>
        <w:tc>
          <w:tcPr>
            <w:tcW w:w="0" w:type="auto"/>
            <w:shd w:val="clear" w:color="auto" w:fill="auto"/>
            <w:vAlign w:val="bottom"/>
          </w:tcPr>
          <w:p w14:paraId="71D3DEF0" w14:textId="77777777" w:rsidR="006A3667" w:rsidRDefault="006A3667">
            <w:pPr>
              <w:rPr>
                <w:rFonts w:ascii="宋体"/>
              </w:rPr>
            </w:pPr>
          </w:p>
        </w:tc>
        <w:tc>
          <w:tcPr>
            <w:tcW w:w="0" w:type="auto"/>
            <w:shd w:val="clear" w:color="auto" w:fill="auto"/>
            <w:vAlign w:val="bottom"/>
          </w:tcPr>
          <w:p w14:paraId="71D3DEF1" w14:textId="77777777" w:rsidR="006A3667" w:rsidRDefault="006A3667">
            <w:pPr>
              <w:rPr>
                <w:rFonts w:ascii="宋体"/>
              </w:rPr>
            </w:pPr>
          </w:p>
        </w:tc>
        <w:tc>
          <w:tcPr>
            <w:tcW w:w="0" w:type="auto"/>
            <w:shd w:val="clear" w:color="auto" w:fill="auto"/>
            <w:vAlign w:val="bottom"/>
          </w:tcPr>
          <w:p w14:paraId="71D3DEF2" w14:textId="77777777" w:rsidR="006A3667" w:rsidRDefault="006A3667">
            <w:pPr>
              <w:rPr>
                <w:rFonts w:ascii="宋体"/>
              </w:rPr>
            </w:pPr>
          </w:p>
        </w:tc>
        <w:tc>
          <w:tcPr>
            <w:tcW w:w="0" w:type="auto"/>
            <w:shd w:val="clear" w:color="auto" w:fill="auto"/>
            <w:vAlign w:val="bottom"/>
          </w:tcPr>
          <w:p w14:paraId="71D3DEF3" w14:textId="77777777" w:rsidR="006A3667" w:rsidRDefault="006A3667">
            <w:pPr>
              <w:rPr>
                <w:rFonts w:ascii="宋体"/>
              </w:rPr>
            </w:pPr>
          </w:p>
        </w:tc>
        <w:tc>
          <w:tcPr>
            <w:tcW w:w="0" w:type="auto"/>
            <w:shd w:val="clear" w:color="auto" w:fill="auto"/>
            <w:vAlign w:val="bottom"/>
          </w:tcPr>
          <w:p w14:paraId="71D3DEF4" w14:textId="77777777" w:rsidR="006A3667" w:rsidRDefault="006A3667">
            <w:pPr>
              <w:rPr>
                <w:rFonts w:ascii="宋体"/>
              </w:rPr>
            </w:pPr>
          </w:p>
        </w:tc>
        <w:tc>
          <w:tcPr>
            <w:tcW w:w="0" w:type="auto"/>
            <w:shd w:val="clear" w:color="auto" w:fill="auto"/>
            <w:vAlign w:val="bottom"/>
          </w:tcPr>
          <w:p w14:paraId="71D3DEF5" w14:textId="77777777" w:rsidR="006A3667" w:rsidRDefault="006A3667">
            <w:pPr>
              <w:rPr>
                <w:rFonts w:ascii="宋体"/>
              </w:rPr>
            </w:pPr>
          </w:p>
        </w:tc>
        <w:tc>
          <w:tcPr>
            <w:tcW w:w="0" w:type="auto"/>
            <w:shd w:val="clear" w:color="auto" w:fill="auto"/>
            <w:vAlign w:val="bottom"/>
          </w:tcPr>
          <w:p w14:paraId="71D3DEF6" w14:textId="77777777" w:rsidR="006A3667" w:rsidRDefault="006A3667">
            <w:pPr>
              <w:rPr>
                <w:rFonts w:ascii="宋体"/>
              </w:rPr>
            </w:pPr>
          </w:p>
        </w:tc>
        <w:tc>
          <w:tcPr>
            <w:tcW w:w="0" w:type="auto"/>
            <w:shd w:val="clear" w:color="auto" w:fill="auto"/>
            <w:vAlign w:val="bottom"/>
          </w:tcPr>
          <w:p w14:paraId="71D3DEF7" w14:textId="77777777" w:rsidR="006A3667" w:rsidRDefault="006A3667">
            <w:pPr>
              <w:rPr>
                <w:rFonts w:ascii="宋体"/>
              </w:rPr>
            </w:pPr>
          </w:p>
        </w:tc>
        <w:tc>
          <w:tcPr>
            <w:tcW w:w="0" w:type="auto"/>
            <w:shd w:val="clear" w:color="auto" w:fill="auto"/>
            <w:vAlign w:val="bottom"/>
          </w:tcPr>
          <w:p w14:paraId="71D3DEF8" w14:textId="77777777" w:rsidR="006A3667" w:rsidRDefault="006A3667">
            <w:pPr>
              <w:rPr>
                <w:rFonts w:ascii="宋体"/>
              </w:rPr>
            </w:pPr>
          </w:p>
        </w:tc>
      </w:tr>
      <w:tr w:rsidR="006A3667" w14:paraId="71D3DF0C" w14:textId="77777777">
        <w:trPr>
          <w:hidden/>
        </w:trPr>
        <w:tc>
          <w:tcPr>
            <w:tcW w:w="0" w:type="auto"/>
            <w:gridSpan w:val="3"/>
            <w:shd w:val="clear" w:color="auto" w:fill="auto"/>
            <w:vAlign w:val="bottom"/>
          </w:tcPr>
          <w:p w14:paraId="71D3DEFA" w14:textId="77777777" w:rsidR="006A3667" w:rsidRDefault="006A3667">
            <w:pPr>
              <w:rPr>
                <w:rFonts w:ascii="宋体"/>
                <w:vanish/>
              </w:rPr>
            </w:pPr>
          </w:p>
        </w:tc>
        <w:tc>
          <w:tcPr>
            <w:tcW w:w="0" w:type="auto"/>
            <w:gridSpan w:val="3"/>
            <w:shd w:val="clear" w:color="auto" w:fill="auto"/>
            <w:vAlign w:val="bottom"/>
          </w:tcPr>
          <w:p w14:paraId="71D3DEFB" w14:textId="77777777" w:rsidR="006A3667" w:rsidRDefault="006A3667">
            <w:pPr>
              <w:rPr>
                <w:rFonts w:ascii="宋体"/>
                <w:vanish/>
              </w:rPr>
            </w:pPr>
          </w:p>
        </w:tc>
        <w:tc>
          <w:tcPr>
            <w:tcW w:w="0" w:type="auto"/>
            <w:gridSpan w:val="3"/>
            <w:shd w:val="clear" w:color="auto" w:fill="auto"/>
            <w:vAlign w:val="bottom"/>
          </w:tcPr>
          <w:p w14:paraId="71D3DEFC" w14:textId="77777777" w:rsidR="006A3667" w:rsidRDefault="006A3667">
            <w:pPr>
              <w:rPr>
                <w:rFonts w:ascii="宋体"/>
                <w:vanish/>
              </w:rPr>
            </w:pPr>
          </w:p>
        </w:tc>
        <w:tc>
          <w:tcPr>
            <w:tcW w:w="0" w:type="auto"/>
            <w:gridSpan w:val="3"/>
            <w:shd w:val="clear" w:color="auto" w:fill="auto"/>
            <w:vAlign w:val="bottom"/>
          </w:tcPr>
          <w:p w14:paraId="71D3DEFD" w14:textId="77777777" w:rsidR="006A3667" w:rsidRDefault="006A3667">
            <w:pPr>
              <w:rPr>
                <w:rFonts w:ascii="宋体"/>
                <w:vanish/>
              </w:rPr>
            </w:pPr>
          </w:p>
        </w:tc>
        <w:tc>
          <w:tcPr>
            <w:tcW w:w="0" w:type="auto"/>
            <w:gridSpan w:val="3"/>
            <w:shd w:val="clear" w:color="auto" w:fill="auto"/>
            <w:vAlign w:val="bottom"/>
          </w:tcPr>
          <w:p w14:paraId="71D3DEFE" w14:textId="77777777" w:rsidR="006A3667" w:rsidRDefault="006A3667">
            <w:pPr>
              <w:rPr>
                <w:rFonts w:ascii="宋体"/>
                <w:vanish/>
              </w:rPr>
            </w:pPr>
          </w:p>
        </w:tc>
        <w:tc>
          <w:tcPr>
            <w:tcW w:w="0" w:type="auto"/>
            <w:gridSpan w:val="3"/>
            <w:shd w:val="clear" w:color="auto" w:fill="auto"/>
            <w:vAlign w:val="bottom"/>
          </w:tcPr>
          <w:p w14:paraId="71D3DEFF" w14:textId="77777777" w:rsidR="006A3667" w:rsidRDefault="006A3667">
            <w:pPr>
              <w:rPr>
                <w:rFonts w:ascii="宋体"/>
                <w:vanish/>
              </w:rPr>
            </w:pPr>
          </w:p>
        </w:tc>
        <w:tc>
          <w:tcPr>
            <w:tcW w:w="0" w:type="auto"/>
            <w:gridSpan w:val="3"/>
            <w:shd w:val="clear" w:color="auto" w:fill="auto"/>
            <w:vAlign w:val="bottom"/>
          </w:tcPr>
          <w:p w14:paraId="71D3DF00" w14:textId="77777777" w:rsidR="006A3667" w:rsidRDefault="006A3667">
            <w:pPr>
              <w:rPr>
                <w:rFonts w:ascii="宋体"/>
                <w:vanish/>
              </w:rPr>
            </w:pPr>
          </w:p>
        </w:tc>
        <w:tc>
          <w:tcPr>
            <w:tcW w:w="0" w:type="auto"/>
            <w:gridSpan w:val="3"/>
            <w:shd w:val="clear" w:color="auto" w:fill="auto"/>
            <w:vAlign w:val="bottom"/>
          </w:tcPr>
          <w:p w14:paraId="71D3DF01" w14:textId="77777777" w:rsidR="006A3667" w:rsidRDefault="006A3667">
            <w:pPr>
              <w:rPr>
                <w:rFonts w:ascii="宋体"/>
                <w:vanish/>
              </w:rPr>
            </w:pPr>
          </w:p>
        </w:tc>
        <w:tc>
          <w:tcPr>
            <w:tcW w:w="0" w:type="auto"/>
            <w:gridSpan w:val="3"/>
            <w:shd w:val="clear" w:color="auto" w:fill="auto"/>
            <w:vAlign w:val="bottom"/>
          </w:tcPr>
          <w:p w14:paraId="71D3DF02" w14:textId="77777777" w:rsidR="006A3667" w:rsidRDefault="006A3667">
            <w:pPr>
              <w:rPr>
                <w:rFonts w:ascii="宋体"/>
                <w:vanish/>
              </w:rPr>
            </w:pPr>
          </w:p>
        </w:tc>
        <w:tc>
          <w:tcPr>
            <w:tcW w:w="0" w:type="auto"/>
            <w:gridSpan w:val="3"/>
            <w:shd w:val="clear" w:color="auto" w:fill="auto"/>
            <w:vAlign w:val="bottom"/>
          </w:tcPr>
          <w:p w14:paraId="71D3DF03" w14:textId="77777777" w:rsidR="006A3667" w:rsidRDefault="006A3667">
            <w:pPr>
              <w:rPr>
                <w:rFonts w:ascii="宋体"/>
                <w:vanish/>
              </w:rPr>
            </w:pPr>
          </w:p>
        </w:tc>
        <w:tc>
          <w:tcPr>
            <w:tcW w:w="0" w:type="auto"/>
            <w:gridSpan w:val="3"/>
            <w:shd w:val="clear" w:color="auto" w:fill="auto"/>
            <w:vAlign w:val="bottom"/>
          </w:tcPr>
          <w:p w14:paraId="71D3DF04" w14:textId="77777777" w:rsidR="006A3667" w:rsidRDefault="006A3667">
            <w:pPr>
              <w:rPr>
                <w:rFonts w:ascii="宋体"/>
                <w:vanish/>
              </w:rPr>
            </w:pPr>
          </w:p>
        </w:tc>
        <w:tc>
          <w:tcPr>
            <w:tcW w:w="0" w:type="auto"/>
            <w:gridSpan w:val="3"/>
            <w:shd w:val="clear" w:color="auto" w:fill="auto"/>
            <w:vAlign w:val="bottom"/>
          </w:tcPr>
          <w:p w14:paraId="71D3DF05" w14:textId="77777777" w:rsidR="006A3667" w:rsidRDefault="006A3667">
            <w:pPr>
              <w:rPr>
                <w:rFonts w:ascii="宋体"/>
                <w:vanish/>
              </w:rPr>
            </w:pPr>
          </w:p>
        </w:tc>
        <w:tc>
          <w:tcPr>
            <w:tcW w:w="0" w:type="auto"/>
            <w:gridSpan w:val="3"/>
            <w:shd w:val="clear" w:color="auto" w:fill="auto"/>
            <w:vAlign w:val="bottom"/>
          </w:tcPr>
          <w:p w14:paraId="71D3DF06" w14:textId="77777777" w:rsidR="006A3667" w:rsidRDefault="006A3667">
            <w:pPr>
              <w:rPr>
                <w:rFonts w:ascii="宋体"/>
                <w:vanish/>
              </w:rPr>
            </w:pPr>
          </w:p>
        </w:tc>
        <w:tc>
          <w:tcPr>
            <w:tcW w:w="0" w:type="auto"/>
            <w:gridSpan w:val="3"/>
            <w:shd w:val="clear" w:color="auto" w:fill="auto"/>
            <w:vAlign w:val="bottom"/>
          </w:tcPr>
          <w:p w14:paraId="71D3DF07" w14:textId="77777777" w:rsidR="006A3667" w:rsidRDefault="006A3667">
            <w:pPr>
              <w:rPr>
                <w:rFonts w:ascii="宋体"/>
                <w:vanish/>
              </w:rPr>
            </w:pPr>
          </w:p>
        </w:tc>
        <w:tc>
          <w:tcPr>
            <w:tcW w:w="0" w:type="auto"/>
            <w:gridSpan w:val="3"/>
            <w:shd w:val="clear" w:color="auto" w:fill="auto"/>
            <w:vAlign w:val="bottom"/>
          </w:tcPr>
          <w:p w14:paraId="71D3DF08" w14:textId="77777777" w:rsidR="006A3667" w:rsidRDefault="006A3667">
            <w:pPr>
              <w:rPr>
                <w:rFonts w:ascii="宋体"/>
                <w:vanish/>
              </w:rPr>
            </w:pPr>
          </w:p>
        </w:tc>
        <w:tc>
          <w:tcPr>
            <w:tcW w:w="0" w:type="auto"/>
            <w:gridSpan w:val="3"/>
            <w:shd w:val="clear" w:color="auto" w:fill="auto"/>
            <w:vAlign w:val="bottom"/>
          </w:tcPr>
          <w:p w14:paraId="71D3DF09" w14:textId="77777777" w:rsidR="006A3667" w:rsidRDefault="006A3667">
            <w:pPr>
              <w:rPr>
                <w:rFonts w:ascii="宋体"/>
                <w:vanish/>
              </w:rPr>
            </w:pPr>
          </w:p>
        </w:tc>
        <w:tc>
          <w:tcPr>
            <w:tcW w:w="0" w:type="auto"/>
            <w:gridSpan w:val="3"/>
            <w:shd w:val="clear" w:color="auto" w:fill="auto"/>
            <w:vAlign w:val="bottom"/>
          </w:tcPr>
          <w:p w14:paraId="71D3DF0A" w14:textId="77777777" w:rsidR="006A3667" w:rsidRDefault="006A3667">
            <w:pPr>
              <w:rPr>
                <w:rFonts w:ascii="宋体"/>
                <w:vanish/>
              </w:rPr>
            </w:pPr>
          </w:p>
        </w:tc>
        <w:tc>
          <w:tcPr>
            <w:tcW w:w="0" w:type="auto"/>
            <w:gridSpan w:val="3"/>
            <w:shd w:val="clear" w:color="auto" w:fill="auto"/>
            <w:vAlign w:val="bottom"/>
          </w:tcPr>
          <w:p w14:paraId="71D3DF0B" w14:textId="77777777" w:rsidR="006A3667" w:rsidRDefault="006A3667">
            <w:pPr>
              <w:rPr>
                <w:rFonts w:ascii="宋体"/>
                <w:vanish/>
              </w:rPr>
            </w:pPr>
          </w:p>
        </w:tc>
      </w:tr>
      <w:tr w:rsidR="006A3667" w14:paraId="71D3DF21" w14:textId="77777777">
        <w:trPr>
          <w:hidden/>
        </w:trPr>
        <w:tc>
          <w:tcPr>
            <w:tcW w:w="0" w:type="auto"/>
            <w:gridSpan w:val="3"/>
            <w:shd w:val="clear" w:color="auto" w:fill="auto"/>
            <w:vAlign w:val="bottom"/>
          </w:tcPr>
          <w:p w14:paraId="71D3DF0D" w14:textId="77777777" w:rsidR="006A3667" w:rsidRDefault="006A3667">
            <w:pPr>
              <w:rPr>
                <w:rFonts w:ascii="宋体"/>
                <w:vanish/>
              </w:rPr>
            </w:pPr>
          </w:p>
        </w:tc>
        <w:tc>
          <w:tcPr>
            <w:tcW w:w="0" w:type="auto"/>
            <w:gridSpan w:val="3"/>
            <w:shd w:val="clear" w:color="auto" w:fill="auto"/>
            <w:vAlign w:val="bottom"/>
          </w:tcPr>
          <w:p w14:paraId="71D3DF0E" w14:textId="77777777" w:rsidR="006A3667" w:rsidRDefault="006A3667">
            <w:pPr>
              <w:rPr>
                <w:rFonts w:ascii="宋体"/>
                <w:vanish/>
              </w:rPr>
            </w:pPr>
          </w:p>
        </w:tc>
        <w:tc>
          <w:tcPr>
            <w:tcW w:w="0" w:type="auto"/>
            <w:gridSpan w:val="3"/>
            <w:shd w:val="clear" w:color="auto" w:fill="auto"/>
            <w:vAlign w:val="bottom"/>
          </w:tcPr>
          <w:p w14:paraId="71D3DF0F" w14:textId="77777777" w:rsidR="006A3667" w:rsidRDefault="006A3667">
            <w:pPr>
              <w:rPr>
                <w:rFonts w:ascii="宋体"/>
                <w:vanish/>
              </w:rPr>
            </w:pPr>
          </w:p>
        </w:tc>
        <w:tc>
          <w:tcPr>
            <w:tcW w:w="0" w:type="auto"/>
            <w:gridSpan w:val="3"/>
            <w:shd w:val="clear" w:color="auto" w:fill="auto"/>
            <w:vAlign w:val="bottom"/>
          </w:tcPr>
          <w:p w14:paraId="71D3DF10" w14:textId="77777777" w:rsidR="006A3667" w:rsidRDefault="006A3667">
            <w:pPr>
              <w:rPr>
                <w:rFonts w:ascii="宋体"/>
                <w:vanish/>
              </w:rPr>
            </w:pPr>
          </w:p>
        </w:tc>
        <w:tc>
          <w:tcPr>
            <w:tcW w:w="0" w:type="auto"/>
            <w:gridSpan w:val="3"/>
            <w:shd w:val="clear" w:color="auto" w:fill="auto"/>
            <w:vAlign w:val="bottom"/>
          </w:tcPr>
          <w:p w14:paraId="71D3DF11" w14:textId="77777777" w:rsidR="006A3667" w:rsidRDefault="006A3667">
            <w:pPr>
              <w:rPr>
                <w:rFonts w:ascii="宋体"/>
                <w:vanish/>
              </w:rPr>
            </w:pPr>
          </w:p>
        </w:tc>
        <w:tc>
          <w:tcPr>
            <w:tcW w:w="0" w:type="auto"/>
            <w:gridSpan w:val="3"/>
            <w:shd w:val="clear" w:color="auto" w:fill="auto"/>
            <w:vAlign w:val="bottom"/>
          </w:tcPr>
          <w:p w14:paraId="71D3DF12" w14:textId="77777777" w:rsidR="006A3667" w:rsidRDefault="006A3667">
            <w:pPr>
              <w:rPr>
                <w:rFonts w:ascii="宋体"/>
                <w:vanish/>
              </w:rPr>
            </w:pPr>
          </w:p>
        </w:tc>
        <w:tc>
          <w:tcPr>
            <w:tcW w:w="0" w:type="auto"/>
            <w:gridSpan w:val="3"/>
            <w:shd w:val="clear" w:color="auto" w:fill="auto"/>
            <w:vAlign w:val="bottom"/>
          </w:tcPr>
          <w:p w14:paraId="71D3DF13" w14:textId="77777777" w:rsidR="006A3667" w:rsidRDefault="006A3667">
            <w:pPr>
              <w:rPr>
                <w:rFonts w:ascii="宋体"/>
                <w:vanish/>
              </w:rPr>
            </w:pPr>
          </w:p>
        </w:tc>
        <w:tc>
          <w:tcPr>
            <w:tcW w:w="0" w:type="auto"/>
            <w:gridSpan w:val="3"/>
            <w:shd w:val="clear" w:color="auto" w:fill="auto"/>
            <w:vAlign w:val="bottom"/>
          </w:tcPr>
          <w:p w14:paraId="71D3DF14" w14:textId="77777777" w:rsidR="006A3667" w:rsidRDefault="006A3667">
            <w:pPr>
              <w:rPr>
                <w:rFonts w:ascii="宋体"/>
                <w:vanish/>
              </w:rPr>
            </w:pPr>
          </w:p>
        </w:tc>
        <w:tc>
          <w:tcPr>
            <w:tcW w:w="0" w:type="auto"/>
            <w:gridSpan w:val="3"/>
            <w:shd w:val="clear" w:color="auto" w:fill="auto"/>
            <w:vAlign w:val="bottom"/>
          </w:tcPr>
          <w:p w14:paraId="71D3DF15" w14:textId="77777777" w:rsidR="006A3667" w:rsidRDefault="006A3667">
            <w:pPr>
              <w:rPr>
                <w:rFonts w:ascii="宋体"/>
                <w:vanish/>
              </w:rPr>
            </w:pPr>
          </w:p>
        </w:tc>
        <w:tc>
          <w:tcPr>
            <w:tcW w:w="0" w:type="auto"/>
            <w:gridSpan w:val="3"/>
            <w:shd w:val="clear" w:color="auto" w:fill="auto"/>
            <w:vAlign w:val="bottom"/>
          </w:tcPr>
          <w:p w14:paraId="71D3DF16" w14:textId="77777777" w:rsidR="006A3667" w:rsidRDefault="006A3667">
            <w:pPr>
              <w:rPr>
                <w:rFonts w:ascii="宋体"/>
                <w:vanish/>
              </w:rPr>
            </w:pPr>
          </w:p>
        </w:tc>
        <w:tc>
          <w:tcPr>
            <w:tcW w:w="0" w:type="auto"/>
            <w:gridSpan w:val="3"/>
            <w:shd w:val="clear" w:color="auto" w:fill="auto"/>
            <w:vAlign w:val="bottom"/>
          </w:tcPr>
          <w:p w14:paraId="71D3DF17" w14:textId="77777777" w:rsidR="006A3667" w:rsidRDefault="006A3667">
            <w:pPr>
              <w:rPr>
                <w:rFonts w:ascii="宋体"/>
                <w:vanish/>
              </w:rPr>
            </w:pPr>
          </w:p>
        </w:tc>
        <w:tc>
          <w:tcPr>
            <w:tcW w:w="0" w:type="auto"/>
            <w:gridSpan w:val="3"/>
            <w:shd w:val="clear" w:color="auto" w:fill="auto"/>
            <w:vAlign w:val="bottom"/>
          </w:tcPr>
          <w:p w14:paraId="71D3DF18" w14:textId="77777777" w:rsidR="006A3667" w:rsidRDefault="006A3667">
            <w:pPr>
              <w:rPr>
                <w:rFonts w:ascii="宋体"/>
                <w:vanish/>
              </w:rPr>
            </w:pPr>
          </w:p>
        </w:tc>
        <w:tc>
          <w:tcPr>
            <w:tcW w:w="0" w:type="auto"/>
            <w:gridSpan w:val="3"/>
            <w:shd w:val="clear" w:color="auto" w:fill="auto"/>
            <w:vAlign w:val="bottom"/>
          </w:tcPr>
          <w:p w14:paraId="71D3DF19" w14:textId="77777777" w:rsidR="006A3667" w:rsidRDefault="006A3667">
            <w:pPr>
              <w:rPr>
                <w:rFonts w:ascii="宋体"/>
                <w:vanish/>
              </w:rPr>
            </w:pPr>
          </w:p>
        </w:tc>
        <w:tc>
          <w:tcPr>
            <w:tcW w:w="0" w:type="auto"/>
            <w:gridSpan w:val="3"/>
            <w:shd w:val="clear" w:color="auto" w:fill="auto"/>
            <w:vAlign w:val="bottom"/>
          </w:tcPr>
          <w:p w14:paraId="71D3DF1A" w14:textId="77777777" w:rsidR="006A3667" w:rsidRDefault="006A3667">
            <w:pPr>
              <w:rPr>
                <w:rFonts w:ascii="宋体"/>
                <w:vanish/>
              </w:rPr>
            </w:pPr>
          </w:p>
        </w:tc>
        <w:tc>
          <w:tcPr>
            <w:tcW w:w="0" w:type="auto"/>
            <w:gridSpan w:val="3"/>
            <w:shd w:val="clear" w:color="auto" w:fill="auto"/>
            <w:vAlign w:val="bottom"/>
          </w:tcPr>
          <w:p w14:paraId="71D3DF1B" w14:textId="77777777" w:rsidR="006A3667" w:rsidRDefault="006A3667">
            <w:pPr>
              <w:rPr>
                <w:rFonts w:ascii="宋体"/>
                <w:vanish/>
              </w:rPr>
            </w:pPr>
          </w:p>
        </w:tc>
        <w:tc>
          <w:tcPr>
            <w:tcW w:w="0" w:type="auto"/>
            <w:gridSpan w:val="3"/>
            <w:shd w:val="clear" w:color="auto" w:fill="auto"/>
            <w:vAlign w:val="bottom"/>
          </w:tcPr>
          <w:p w14:paraId="71D3DF1C" w14:textId="77777777" w:rsidR="006A3667" w:rsidRDefault="006A3667">
            <w:pPr>
              <w:rPr>
                <w:rFonts w:ascii="宋体"/>
                <w:vanish/>
              </w:rPr>
            </w:pPr>
          </w:p>
        </w:tc>
        <w:tc>
          <w:tcPr>
            <w:tcW w:w="0" w:type="auto"/>
            <w:gridSpan w:val="3"/>
            <w:shd w:val="clear" w:color="auto" w:fill="auto"/>
            <w:vAlign w:val="bottom"/>
          </w:tcPr>
          <w:p w14:paraId="71D3DF1D" w14:textId="77777777" w:rsidR="006A3667" w:rsidRDefault="006A3667">
            <w:pPr>
              <w:rPr>
                <w:rFonts w:ascii="宋体"/>
                <w:vanish/>
              </w:rPr>
            </w:pPr>
          </w:p>
        </w:tc>
        <w:tc>
          <w:tcPr>
            <w:tcW w:w="0" w:type="auto"/>
            <w:shd w:val="clear" w:color="auto" w:fill="auto"/>
            <w:vAlign w:val="bottom"/>
          </w:tcPr>
          <w:p w14:paraId="71D3DF1E" w14:textId="77777777" w:rsidR="006A3667" w:rsidRDefault="006A3667">
            <w:pPr>
              <w:rPr>
                <w:rFonts w:ascii="宋体"/>
              </w:rPr>
            </w:pPr>
          </w:p>
        </w:tc>
        <w:tc>
          <w:tcPr>
            <w:tcW w:w="0" w:type="auto"/>
            <w:shd w:val="clear" w:color="auto" w:fill="auto"/>
            <w:vAlign w:val="bottom"/>
          </w:tcPr>
          <w:p w14:paraId="71D3DF1F" w14:textId="77777777" w:rsidR="006A3667" w:rsidRDefault="006A3667">
            <w:pPr>
              <w:rPr>
                <w:rFonts w:ascii="宋体"/>
              </w:rPr>
            </w:pPr>
          </w:p>
        </w:tc>
        <w:tc>
          <w:tcPr>
            <w:tcW w:w="0" w:type="auto"/>
            <w:shd w:val="clear" w:color="auto" w:fill="auto"/>
            <w:vAlign w:val="bottom"/>
          </w:tcPr>
          <w:p w14:paraId="71D3DF20" w14:textId="77777777" w:rsidR="006A3667" w:rsidRDefault="006A3667">
            <w:pPr>
              <w:rPr>
                <w:rFonts w:ascii="宋体"/>
              </w:rPr>
            </w:pPr>
          </w:p>
        </w:tc>
      </w:tr>
      <w:tr w:rsidR="006A3667" w14:paraId="71D3DF36" w14:textId="77777777">
        <w:trPr>
          <w:hidden/>
        </w:trPr>
        <w:tc>
          <w:tcPr>
            <w:tcW w:w="0" w:type="auto"/>
            <w:gridSpan w:val="3"/>
            <w:shd w:val="clear" w:color="auto" w:fill="auto"/>
            <w:vAlign w:val="bottom"/>
          </w:tcPr>
          <w:p w14:paraId="71D3DF22" w14:textId="77777777" w:rsidR="006A3667" w:rsidRDefault="006A3667">
            <w:pPr>
              <w:rPr>
                <w:rFonts w:ascii="宋体"/>
                <w:vanish/>
              </w:rPr>
            </w:pPr>
          </w:p>
        </w:tc>
        <w:tc>
          <w:tcPr>
            <w:tcW w:w="0" w:type="auto"/>
            <w:gridSpan w:val="3"/>
            <w:shd w:val="clear" w:color="auto" w:fill="auto"/>
            <w:vAlign w:val="bottom"/>
          </w:tcPr>
          <w:p w14:paraId="71D3DF23" w14:textId="77777777" w:rsidR="006A3667" w:rsidRDefault="006A3667">
            <w:pPr>
              <w:rPr>
                <w:rFonts w:ascii="宋体"/>
                <w:vanish/>
              </w:rPr>
            </w:pPr>
          </w:p>
        </w:tc>
        <w:tc>
          <w:tcPr>
            <w:tcW w:w="0" w:type="auto"/>
            <w:gridSpan w:val="3"/>
            <w:shd w:val="clear" w:color="auto" w:fill="auto"/>
            <w:vAlign w:val="bottom"/>
          </w:tcPr>
          <w:p w14:paraId="71D3DF24" w14:textId="77777777" w:rsidR="006A3667" w:rsidRDefault="006A3667">
            <w:pPr>
              <w:rPr>
                <w:rFonts w:ascii="宋体"/>
                <w:vanish/>
              </w:rPr>
            </w:pPr>
          </w:p>
        </w:tc>
        <w:tc>
          <w:tcPr>
            <w:tcW w:w="0" w:type="auto"/>
            <w:gridSpan w:val="3"/>
            <w:shd w:val="clear" w:color="auto" w:fill="auto"/>
            <w:vAlign w:val="bottom"/>
          </w:tcPr>
          <w:p w14:paraId="71D3DF25" w14:textId="77777777" w:rsidR="006A3667" w:rsidRDefault="006A3667">
            <w:pPr>
              <w:rPr>
                <w:rFonts w:ascii="宋体"/>
                <w:vanish/>
              </w:rPr>
            </w:pPr>
          </w:p>
        </w:tc>
        <w:tc>
          <w:tcPr>
            <w:tcW w:w="0" w:type="auto"/>
            <w:gridSpan w:val="3"/>
            <w:shd w:val="clear" w:color="auto" w:fill="auto"/>
            <w:vAlign w:val="bottom"/>
          </w:tcPr>
          <w:p w14:paraId="71D3DF26" w14:textId="77777777" w:rsidR="006A3667" w:rsidRDefault="006A3667">
            <w:pPr>
              <w:rPr>
                <w:rFonts w:ascii="宋体"/>
                <w:vanish/>
              </w:rPr>
            </w:pPr>
          </w:p>
        </w:tc>
        <w:tc>
          <w:tcPr>
            <w:tcW w:w="0" w:type="auto"/>
            <w:gridSpan w:val="3"/>
            <w:shd w:val="clear" w:color="auto" w:fill="auto"/>
            <w:vAlign w:val="bottom"/>
          </w:tcPr>
          <w:p w14:paraId="71D3DF27" w14:textId="77777777" w:rsidR="006A3667" w:rsidRDefault="006A3667">
            <w:pPr>
              <w:rPr>
                <w:rFonts w:ascii="宋体"/>
                <w:vanish/>
              </w:rPr>
            </w:pPr>
          </w:p>
        </w:tc>
        <w:tc>
          <w:tcPr>
            <w:tcW w:w="0" w:type="auto"/>
            <w:gridSpan w:val="3"/>
            <w:shd w:val="clear" w:color="auto" w:fill="auto"/>
            <w:vAlign w:val="bottom"/>
          </w:tcPr>
          <w:p w14:paraId="71D3DF28" w14:textId="77777777" w:rsidR="006A3667" w:rsidRDefault="006A3667">
            <w:pPr>
              <w:rPr>
                <w:rFonts w:ascii="宋体"/>
                <w:vanish/>
              </w:rPr>
            </w:pPr>
          </w:p>
        </w:tc>
        <w:tc>
          <w:tcPr>
            <w:tcW w:w="0" w:type="auto"/>
            <w:gridSpan w:val="3"/>
            <w:shd w:val="clear" w:color="auto" w:fill="auto"/>
            <w:vAlign w:val="bottom"/>
          </w:tcPr>
          <w:p w14:paraId="71D3DF29" w14:textId="77777777" w:rsidR="006A3667" w:rsidRDefault="006A3667">
            <w:pPr>
              <w:rPr>
                <w:rFonts w:ascii="宋体"/>
                <w:vanish/>
              </w:rPr>
            </w:pPr>
          </w:p>
        </w:tc>
        <w:tc>
          <w:tcPr>
            <w:tcW w:w="0" w:type="auto"/>
            <w:gridSpan w:val="3"/>
            <w:shd w:val="clear" w:color="auto" w:fill="auto"/>
            <w:vAlign w:val="bottom"/>
          </w:tcPr>
          <w:p w14:paraId="71D3DF2A" w14:textId="77777777" w:rsidR="006A3667" w:rsidRDefault="006A3667">
            <w:pPr>
              <w:rPr>
                <w:rFonts w:ascii="宋体"/>
                <w:vanish/>
              </w:rPr>
            </w:pPr>
          </w:p>
        </w:tc>
        <w:tc>
          <w:tcPr>
            <w:tcW w:w="0" w:type="auto"/>
            <w:gridSpan w:val="3"/>
            <w:shd w:val="clear" w:color="auto" w:fill="auto"/>
            <w:vAlign w:val="bottom"/>
          </w:tcPr>
          <w:p w14:paraId="71D3DF2B" w14:textId="77777777" w:rsidR="006A3667" w:rsidRDefault="006A3667">
            <w:pPr>
              <w:rPr>
                <w:rFonts w:ascii="宋体"/>
                <w:vanish/>
              </w:rPr>
            </w:pPr>
          </w:p>
        </w:tc>
        <w:tc>
          <w:tcPr>
            <w:tcW w:w="0" w:type="auto"/>
            <w:gridSpan w:val="3"/>
            <w:shd w:val="clear" w:color="auto" w:fill="auto"/>
            <w:vAlign w:val="bottom"/>
          </w:tcPr>
          <w:p w14:paraId="71D3DF2C" w14:textId="77777777" w:rsidR="006A3667" w:rsidRDefault="006A3667">
            <w:pPr>
              <w:rPr>
                <w:rFonts w:ascii="宋体"/>
                <w:vanish/>
              </w:rPr>
            </w:pPr>
          </w:p>
        </w:tc>
        <w:tc>
          <w:tcPr>
            <w:tcW w:w="0" w:type="auto"/>
            <w:gridSpan w:val="3"/>
            <w:shd w:val="clear" w:color="auto" w:fill="auto"/>
            <w:vAlign w:val="bottom"/>
          </w:tcPr>
          <w:p w14:paraId="71D3DF2D" w14:textId="77777777" w:rsidR="006A3667" w:rsidRDefault="006A3667">
            <w:pPr>
              <w:rPr>
                <w:rFonts w:ascii="宋体"/>
                <w:vanish/>
              </w:rPr>
            </w:pPr>
          </w:p>
        </w:tc>
        <w:tc>
          <w:tcPr>
            <w:tcW w:w="0" w:type="auto"/>
            <w:gridSpan w:val="3"/>
            <w:shd w:val="clear" w:color="auto" w:fill="auto"/>
            <w:vAlign w:val="bottom"/>
          </w:tcPr>
          <w:p w14:paraId="71D3DF2E" w14:textId="77777777" w:rsidR="006A3667" w:rsidRDefault="006A3667">
            <w:pPr>
              <w:rPr>
                <w:rFonts w:ascii="宋体"/>
                <w:vanish/>
              </w:rPr>
            </w:pPr>
          </w:p>
        </w:tc>
        <w:tc>
          <w:tcPr>
            <w:tcW w:w="0" w:type="auto"/>
            <w:gridSpan w:val="3"/>
            <w:shd w:val="clear" w:color="auto" w:fill="auto"/>
            <w:vAlign w:val="bottom"/>
          </w:tcPr>
          <w:p w14:paraId="71D3DF2F" w14:textId="77777777" w:rsidR="006A3667" w:rsidRDefault="006A3667">
            <w:pPr>
              <w:rPr>
                <w:rFonts w:ascii="宋体"/>
                <w:vanish/>
              </w:rPr>
            </w:pPr>
          </w:p>
        </w:tc>
        <w:tc>
          <w:tcPr>
            <w:tcW w:w="0" w:type="auto"/>
            <w:gridSpan w:val="3"/>
            <w:shd w:val="clear" w:color="auto" w:fill="auto"/>
            <w:vAlign w:val="bottom"/>
          </w:tcPr>
          <w:p w14:paraId="71D3DF30" w14:textId="77777777" w:rsidR="006A3667" w:rsidRDefault="006A3667">
            <w:pPr>
              <w:rPr>
                <w:rFonts w:ascii="宋体"/>
                <w:vanish/>
              </w:rPr>
            </w:pPr>
          </w:p>
        </w:tc>
        <w:tc>
          <w:tcPr>
            <w:tcW w:w="0" w:type="auto"/>
            <w:gridSpan w:val="3"/>
            <w:shd w:val="clear" w:color="auto" w:fill="auto"/>
            <w:vAlign w:val="bottom"/>
          </w:tcPr>
          <w:p w14:paraId="71D3DF31" w14:textId="77777777" w:rsidR="006A3667" w:rsidRDefault="006A3667">
            <w:pPr>
              <w:rPr>
                <w:rFonts w:ascii="宋体"/>
                <w:vanish/>
              </w:rPr>
            </w:pPr>
          </w:p>
        </w:tc>
        <w:tc>
          <w:tcPr>
            <w:tcW w:w="0" w:type="auto"/>
            <w:gridSpan w:val="3"/>
            <w:shd w:val="clear" w:color="auto" w:fill="auto"/>
            <w:vAlign w:val="bottom"/>
          </w:tcPr>
          <w:p w14:paraId="71D3DF32" w14:textId="77777777" w:rsidR="006A3667" w:rsidRDefault="006A3667">
            <w:pPr>
              <w:rPr>
                <w:rFonts w:ascii="宋体"/>
                <w:vanish/>
              </w:rPr>
            </w:pPr>
          </w:p>
        </w:tc>
        <w:tc>
          <w:tcPr>
            <w:tcW w:w="0" w:type="auto"/>
            <w:shd w:val="clear" w:color="auto" w:fill="auto"/>
            <w:vAlign w:val="bottom"/>
          </w:tcPr>
          <w:p w14:paraId="71D3DF33" w14:textId="77777777" w:rsidR="006A3667" w:rsidRDefault="006A3667">
            <w:pPr>
              <w:rPr>
                <w:rFonts w:ascii="宋体"/>
              </w:rPr>
            </w:pPr>
          </w:p>
        </w:tc>
        <w:tc>
          <w:tcPr>
            <w:tcW w:w="0" w:type="auto"/>
            <w:shd w:val="clear" w:color="auto" w:fill="auto"/>
            <w:vAlign w:val="bottom"/>
          </w:tcPr>
          <w:p w14:paraId="71D3DF34" w14:textId="77777777" w:rsidR="006A3667" w:rsidRDefault="006A3667">
            <w:pPr>
              <w:rPr>
                <w:rFonts w:ascii="宋体"/>
              </w:rPr>
            </w:pPr>
          </w:p>
        </w:tc>
        <w:tc>
          <w:tcPr>
            <w:tcW w:w="0" w:type="auto"/>
            <w:shd w:val="clear" w:color="auto" w:fill="auto"/>
            <w:vAlign w:val="bottom"/>
          </w:tcPr>
          <w:p w14:paraId="71D3DF35" w14:textId="77777777" w:rsidR="006A3667" w:rsidRDefault="006A3667">
            <w:pPr>
              <w:rPr>
                <w:rFonts w:ascii="宋体"/>
              </w:rPr>
            </w:pPr>
          </w:p>
        </w:tc>
      </w:tr>
      <w:tr w:rsidR="006A3667" w14:paraId="71D3DF4B" w14:textId="77777777">
        <w:trPr>
          <w:hidden/>
        </w:trPr>
        <w:tc>
          <w:tcPr>
            <w:tcW w:w="0" w:type="auto"/>
            <w:gridSpan w:val="3"/>
            <w:shd w:val="clear" w:color="auto" w:fill="auto"/>
            <w:vAlign w:val="bottom"/>
          </w:tcPr>
          <w:p w14:paraId="71D3DF37" w14:textId="77777777" w:rsidR="006A3667" w:rsidRDefault="006A3667">
            <w:pPr>
              <w:rPr>
                <w:rFonts w:ascii="宋体"/>
                <w:vanish/>
              </w:rPr>
            </w:pPr>
          </w:p>
        </w:tc>
        <w:tc>
          <w:tcPr>
            <w:tcW w:w="0" w:type="auto"/>
            <w:gridSpan w:val="3"/>
            <w:shd w:val="clear" w:color="auto" w:fill="auto"/>
            <w:vAlign w:val="bottom"/>
          </w:tcPr>
          <w:p w14:paraId="71D3DF38" w14:textId="77777777" w:rsidR="006A3667" w:rsidRDefault="006A3667">
            <w:pPr>
              <w:rPr>
                <w:rFonts w:ascii="宋体"/>
                <w:vanish/>
              </w:rPr>
            </w:pPr>
          </w:p>
        </w:tc>
        <w:tc>
          <w:tcPr>
            <w:tcW w:w="0" w:type="auto"/>
            <w:gridSpan w:val="3"/>
            <w:shd w:val="clear" w:color="auto" w:fill="auto"/>
            <w:vAlign w:val="bottom"/>
          </w:tcPr>
          <w:p w14:paraId="71D3DF39" w14:textId="77777777" w:rsidR="006A3667" w:rsidRDefault="006A3667">
            <w:pPr>
              <w:rPr>
                <w:rFonts w:ascii="宋体"/>
                <w:vanish/>
              </w:rPr>
            </w:pPr>
          </w:p>
        </w:tc>
        <w:tc>
          <w:tcPr>
            <w:tcW w:w="0" w:type="auto"/>
            <w:gridSpan w:val="3"/>
            <w:shd w:val="clear" w:color="auto" w:fill="auto"/>
            <w:vAlign w:val="bottom"/>
          </w:tcPr>
          <w:p w14:paraId="71D3DF3A" w14:textId="77777777" w:rsidR="006A3667" w:rsidRDefault="006A3667">
            <w:pPr>
              <w:rPr>
                <w:rFonts w:ascii="宋体"/>
                <w:vanish/>
              </w:rPr>
            </w:pPr>
          </w:p>
        </w:tc>
        <w:tc>
          <w:tcPr>
            <w:tcW w:w="0" w:type="auto"/>
            <w:gridSpan w:val="3"/>
            <w:shd w:val="clear" w:color="auto" w:fill="auto"/>
            <w:vAlign w:val="bottom"/>
          </w:tcPr>
          <w:p w14:paraId="71D3DF3B" w14:textId="77777777" w:rsidR="006A3667" w:rsidRDefault="006A3667">
            <w:pPr>
              <w:rPr>
                <w:rFonts w:ascii="宋体"/>
                <w:vanish/>
              </w:rPr>
            </w:pPr>
          </w:p>
        </w:tc>
        <w:tc>
          <w:tcPr>
            <w:tcW w:w="0" w:type="auto"/>
            <w:gridSpan w:val="3"/>
            <w:shd w:val="clear" w:color="auto" w:fill="auto"/>
            <w:vAlign w:val="bottom"/>
          </w:tcPr>
          <w:p w14:paraId="71D3DF3C" w14:textId="77777777" w:rsidR="006A3667" w:rsidRDefault="006A3667">
            <w:pPr>
              <w:rPr>
                <w:rFonts w:ascii="宋体"/>
                <w:vanish/>
              </w:rPr>
            </w:pPr>
          </w:p>
        </w:tc>
        <w:tc>
          <w:tcPr>
            <w:tcW w:w="0" w:type="auto"/>
            <w:gridSpan w:val="3"/>
            <w:shd w:val="clear" w:color="auto" w:fill="auto"/>
            <w:vAlign w:val="bottom"/>
          </w:tcPr>
          <w:p w14:paraId="71D3DF3D" w14:textId="77777777" w:rsidR="006A3667" w:rsidRDefault="006A3667">
            <w:pPr>
              <w:rPr>
                <w:rFonts w:ascii="宋体"/>
                <w:vanish/>
              </w:rPr>
            </w:pPr>
          </w:p>
        </w:tc>
        <w:tc>
          <w:tcPr>
            <w:tcW w:w="0" w:type="auto"/>
            <w:gridSpan w:val="3"/>
            <w:shd w:val="clear" w:color="auto" w:fill="auto"/>
            <w:vAlign w:val="bottom"/>
          </w:tcPr>
          <w:p w14:paraId="71D3DF3E" w14:textId="77777777" w:rsidR="006A3667" w:rsidRDefault="006A3667">
            <w:pPr>
              <w:rPr>
                <w:rFonts w:ascii="宋体"/>
                <w:vanish/>
              </w:rPr>
            </w:pPr>
          </w:p>
        </w:tc>
        <w:tc>
          <w:tcPr>
            <w:tcW w:w="0" w:type="auto"/>
            <w:gridSpan w:val="3"/>
            <w:shd w:val="clear" w:color="auto" w:fill="auto"/>
            <w:vAlign w:val="bottom"/>
          </w:tcPr>
          <w:p w14:paraId="71D3DF3F" w14:textId="77777777" w:rsidR="006A3667" w:rsidRDefault="006A3667">
            <w:pPr>
              <w:rPr>
                <w:rFonts w:ascii="宋体"/>
                <w:vanish/>
              </w:rPr>
            </w:pPr>
          </w:p>
        </w:tc>
        <w:tc>
          <w:tcPr>
            <w:tcW w:w="0" w:type="auto"/>
            <w:gridSpan w:val="3"/>
            <w:shd w:val="clear" w:color="auto" w:fill="auto"/>
            <w:vAlign w:val="bottom"/>
          </w:tcPr>
          <w:p w14:paraId="71D3DF40" w14:textId="77777777" w:rsidR="006A3667" w:rsidRDefault="006A3667">
            <w:pPr>
              <w:rPr>
                <w:rFonts w:ascii="宋体"/>
                <w:vanish/>
              </w:rPr>
            </w:pPr>
          </w:p>
        </w:tc>
        <w:tc>
          <w:tcPr>
            <w:tcW w:w="0" w:type="auto"/>
            <w:gridSpan w:val="3"/>
            <w:shd w:val="clear" w:color="auto" w:fill="auto"/>
            <w:vAlign w:val="bottom"/>
          </w:tcPr>
          <w:p w14:paraId="71D3DF41" w14:textId="77777777" w:rsidR="006A3667" w:rsidRDefault="006A3667">
            <w:pPr>
              <w:rPr>
                <w:rFonts w:ascii="宋体"/>
                <w:vanish/>
              </w:rPr>
            </w:pPr>
          </w:p>
        </w:tc>
        <w:tc>
          <w:tcPr>
            <w:tcW w:w="0" w:type="auto"/>
            <w:gridSpan w:val="3"/>
            <w:shd w:val="clear" w:color="auto" w:fill="auto"/>
            <w:vAlign w:val="bottom"/>
          </w:tcPr>
          <w:p w14:paraId="71D3DF42" w14:textId="77777777" w:rsidR="006A3667" w:rsidRDefault="006A3667">
            <w:pPr>
              <w:rPr>
                <w:rFonts w:ascii="宋体"/>
                <w:vanish/>
              </w:rPr>
            </w:pPr>
          </w:p>
        </w:tc>
        <w:tc>
          <w:tcPr>
            <w:tcW w:w="0" w:type="auto"/>
            <w:gridSpan w:val="3"/>
            <w:shd w:val="clear" w:color="auto" w:fill="auto"/>
            <w:vAlign w:val="bottom"/>
          </w:tcPr>
          <w:p w14:paraId="71D3DF43" w14:textId="77777777" w:rsidR="006A3667" w:rsidRDefault="006A3667">
            <w:pPr>
              <w:rPr>
                <w:rFonts w:ascii="宋体"/>
                <w:vanish/>
              </w:rPr>
            </w:pPr>
          </w:p>
        </w:tc>
        <w:tc>
          <w:tcPr>
            <w:tcW w:w="0" w:type="auto"/>
            <w:gridSpan w:val="3"/>
            <w:shd w:val="clear" w:color="auto" w:fill="auto"/>
            <w:vAlign w:val="bottom"/>
          </w:tcPr>
          <w:p w14:paraId="71D3DF44" w14:textId="77777777" w:rsidR="006A3667" w:rsidRDefault="006A3667">
            <w:pPr>
              <w:rPr>
                <w:rFonts w:ascii="宋体"/>
                <w:vanish/>
              </w:rPr>
            </w:pPr>
          </w:p>
        </w:tc>
        <w:tc>
          <w:tcPr>
            <w:tcW w:w="0" w:type="auto"/>
            <w:gridSpan w:val="3"/>
            <w:shd w:val="clear" w:color="auto" w:fill="auto"/>
            <w:vAlign w:val="bottom"/>
          </w:tcPr>
          <w:p w14:paraId="71D3DF45" w14:textId="77777777" w:rsidR="006A3667" w:rsidRDefault="006A3667">
            <w:pPr>
              <w:rPr>
                <w:rFonts w:ascii="宋体"/>
                <w:vanish/>
              </w:rPr>
            </w:pPr>
          </w:p>
        </w:tc>
        <w:tc>
          <w:tcPr>
            <w:tcW w:w="0" w:type="auto"/>
            <w:gridSpan w:val="3"/>
            <w:shd w:val="clear" w:color="auto" w:fill="auto"/>
            <w:vAlign w:val="bottom"/>
          </w:tcPr>
          <w:p w14:paraId="71D3DF46" w14:textId="77777777" w:rsidR="006A3667" w:rsidRDefault="006A3667">
            <w:pPr>
              <w:rPr>
                <w:rFonts w:ascii="宋体"/>
                <w:vanish/>
              </w:rPr>
            </w:pPr>
          </w:p>
        </w:tc>
        <w:tc>
          <w:tcPr>
            <w:tcW w:w="0" w:type="auto"/>
            <w:gridSpan w:val="3"/>
            <w:shd w:val="clear" w:color="auto" w:fill="auto"/>
            <w:vAlign w:val="bottom"/>
          </w:tcPr>
          <w:p w14:paraId="71D3DF47" w14:textId="77777777" w:rsidR="006A3667" w:rsidRDefault="006A3667">
            <w:pPr>
              <w:rPr>
                <w:rFonts w:ascii="宋体"/>
                <w:vanish/>
              </w:rPr>
            </w:pPr>
          </w:p>
        </w:tc>
        <w:tc>
          <w:tcPr>
            <w:tcW w:w="0" w:type="auto"/>
            <w:shd w:val="clear" w:color="auto" w:fill="auto"/>
            <w:vAlign w:val="bottom"/>
          </w:tcPr>
          <w:p w14:paraId="71D3DF48" w14:textId="77777777" w:rsidR="006A3667" w:rsidRDefault="006A3667">
            <w:pPr>
              <w:rPr>
                <w:rFonts w:ascii="宋体"/>
              </w:rPr>
            </w:pPr>
          </w:p>
        </w:tc>
        <w:tc>
          <w:tcPr>
            <w:tcW w:w="0" w:type="auto"/>
            <w:shd w:val="clear" w:color="auto" w:fill="auto"/>
            <w:vAlign w:val="bottom"/>
          </w:tcPr>
          <w:p w14:paraId="71D3DF49" w14:textId="77777777" w:rsidR="006A3667" w:rsidRDefault="006A3667">
            <w:pPr>
              <w:rPr>
                <w:rFonts w:ascii="宋体"/>
              </w:rPr>
            </w:pPr>
          </w:p>
        </w:tc>
        <w:tc>
          <w:tcPr>
            <w:tcW w:w="0" w:type="auto"/>
            <w:shd w:val="clear" w:color="auto" w:fill="auto"/>
            <w:vAlign w:val="bottom"/>
          </w:tcPr>
          <w:p w14:paraId="71D3DF4A" w14:textId="77777777" w:rsidR="006A3667" w:rsidRDefault="006A3667">
            <w:pPr>
              <w:rPr>
                <w:rFonts w:ascii="宋体"/>
              </w:rPr>
            </w:pPr>
          </w:p>
        </w:tc>
      </w:tr>
    </w:tbl>
    <w:p w14:paraId="71D3DF4C" w14:textId="77777777" w:rsidR="006A3667" w:rsidRDefault="006A3667">
      <w:pPr>
        <w:rPr>
          <w:vanish/>
        </w:rPr>
      </w:pPr>
    </w:p>
    <w:tbl>
      <w:tblPr>
        <w:tblW w:w="3618" w:type="pct"/>
        <w:tblCellMar>
          <w:top w:w="15" w:type="dxa"/>
          <w:left w:w="15" w:type="dxa"/>
          <w:bottom w:w="15" w:type="dxa"/>
          <w:right w:w="15" w:type="dxa"/>
        </w:tblCellMar>
        <w:tblLook w:val="04A0" w:firstRow="1" w:lastRow="0" w:firstColumn="1" w:lastColumn="0" w:noHBand="0" w:noVBand="1"/>
      </w:tblPr>
      <w:tblGrid>
        <w:gridCol w:w="37"/>
        <w:gridCol w:w="1421"/>
        <w:gridCol w:w="36"/>
        <w:gridCol w:w="39"/>
        <w:gridCol w:w="492"/>
        <w:gridCol w:w="38"/>
        <w:gridCol w:w="37"/>
        <w:gridCol w:w="37"/>
        <w:gridCol w:w="37"/>
        <w:gridCol w:w="39"/>
        <w:gridCol w:w="493"/>
        <w:gridCol w:w="38"/>
        <w:gridCol w:w="36"/>
        <w:gridCol w:w="36"/>
        <w:gridCol w:w="36"/>
        <w:gridCol w:w="63"/>
        <w:gridCol w:w="648"/>
        <w:gridCol w:w="146"/>
        <w:gridCol w:w="36"/>
        <w:gridCol w:w="36"/>
        <w:gridCol w:w="36"/>
        <w:gridCol w:w="39"/>
        <w:gridCol w:w="494"/>
        <w:gridCol w:w="38"/>
        <w:gridCol w:w="37"/>
        <w:gridCol w:w="36"/>
        <w:gridCol w:w="36"/>
        <w:gridCol w:w="38"/>
        <w:gridCol w:w="495"/>
        <w:gridCol w:w="37"/>
        <w:gridCol w:w="36"/>
        <w:gridCol w:w="36"/>
        <w:gridCol w:w="36"/>
        <w:gridCol w:w="63"/>
        <w:gridCol w:w="648"/>
        <w:gridCol w:w="146"/>
      </w:tblGrid>
      <w:tr w:rsidR="006A3667" w14:paraId="71D3DF71" w14:textId="77777777">
        <w:tc>
          <w:tcPr>
            <w:tcW w:w="50" w:type="pct"/>
            <w:shd w:val="clear" w:color="auto" w:fill="auto"/>
            <w:vAlign w:val="bottom"/>
          </w:tcPr>
          <w:p w14:paraId="71D3DF4D" w14:textId="77777777" w:rsidR="006A3667" w:rsidRDefault="006A3667">
            <w:pPr>
              <w:rPr>
                <w:rFonts w:ascii="宋体"/>
              </w:rPr>
            </w:pPr>
          </w:p>
        </w:tc>
        <w:tc>
          <w:tcPr>
            <w:tcW w:w="1288" w:type="pct"/>
            <w:shd w:val="clear" w:color="auto" w:fill="auto"/>
            <w:vAlign w:val="bottom"/>
          </w:tcPr>
          <w:p w14:paraId="71D3DF4E" w14:textId="77777777" w:rsidR="006A3667" w:rsidRDefault="006A3667">
            <w:pPr>
              <w:rPr>
                <w:rFonts w:ascii="宋体"/>
              </w:rPr>
            </w:pPr>
          </w:p>
        </w:tc>
        <w:tc>
          <w:tcPr>
            <w:tcW w:w="5" w:type="pct"/>
            <w:shd w:val="clear" w:color="auto" w:fill="auto"/>
            <w:vAlign w:val="bottom"/>
          </w:tcPr>
          <w:p w14:paraId="71D3DF4F" w14:textId="77777777" w:rsidR="006A3667" w:rsidRDefault="006A3667">
            <w:pPr>
              <w:rPr>
                <w:rFonts w:ascii="宋体"/>
              </w:rPr>
            </w:pPr>
          </w:p>
        </w:tc>
        <w:tc>
          <w:tcPr>
            <w:tcW w:w="50" w:type="pct"/>
            <w:shd w:val="clear" w:color="auto" w:fill="auto"/>
            <w:vAlign w:val="bottom"/>
          </w:tcPr>
          <w:p w14:paraId="71D3DF50" w14:textId="77777777" w:rsidR="006A3667" w:rsidRDefault="006A3667">
            <w:pPr>
              <w:rPr>
                <w:rFonts w:ascii="宋体"/>
              </w:rPr>
            </w:pPr>
          </w:p>
        </w:tc>
        <w:tc>
          <w:tcPr>
            <w:tcW w:w="520" w:type="pct"/>
            <w:shd w:val="clear" w:color="auto" w:fill="auto"/>
            <w:vAlign w:val="bottom"/>
          </w:tcPr>
          <w:p w14:paraId="71D3DF51" w14:textId="77777777" w:rsidR="006A3667" w:rsidRDefault="006A3667">
            <w:pPr>
              <w:rPr>
                <w:rFonts w:ascii="宋体"/>
              </w:rPr>
            </w:pPr>
          </w:p>
        </w:tc>
        <w:tc>
          <w:tcPr>
            <w:tcW w:w="5" w:type="pct"/>
            <w:shd w:val="clear" w:color="auto" w:fill="auto"/>
            <w:vAlign w:val="bottom"/>
          </w:tcPr>
          <w:p w14:paraId="71D3DF52" w14:textId="77777777" w:rsidR="006A3667" w:rsidRDefault="006A3667">
            <w:pPr>
              <w:rPr>
                <w:rFonts w:ascii="宋体"/>
              </w:rPr>
            </w:pPr>
          </w:p>
        </w:tc>
        <w:tc>
          <w:tcPr>
            <w:tcW w:w="5" w:type="pct"/>
            <w:shd w:val="clear" w:color="auto" w:fill="auto"/>
            <w:vAlign w:val="bottom"/>
          </w:tcPr>
          <w:p w14:paraId="71D3DF53" w14:textId="77777777" w:rsidR="006A3667" w:rsidRDefault="006A3667">
            <w:pPr>
              <w:rPr>
                <w:rFonts w:ascii="宋体"/>
              </w:rPr>
            </w:pPr>
          </w:p>
        </w:tc>
        <w:tc>
          <w:tcPr>
            <w:tcW w:w="30" w:type="pct"/>
            <w:shd w:val="clear" w:color="auto" w:fill="auto"/>
            <w:vAlign w:val="bottom"/>
          </w:tcPr>
          <w:p w14:paraId="71D3DF54" w14:textId="77777777" w:rsidR="006A3667" w:rsidRDefault="006A3667">
            <w:pPr>
              <w:rPr>
                <w:rFonts w:ascii="宋体"/>
              </w:rPr>
            </w:pPr>
          </w:p>
        </w:tc>
        <w:tc>
          <w:tcPr>
            <w:tcW w:w="5" w:type="pct"/>
            <w:shd w:val="clear" w:color="auto" w:fill="auto"/>
            <w:vAlign w:val="bottom"/>
          </w:tcPr>
          <w:p w14:paraId="71D3DF55" w14:textId="77777777" w:rsidR="006A3667" w:rsidRDefault="006A3667">
            <w:pPr>
              <w:rPr>
                <w:rFonts w:ascii="宋体"/>
              </w:rPr>
            </w:pPr>
          </w:p>
        </w:tc>
        <w:tc>
          <w:tcPr>
            <w:tcW w:w="50" w:type="pct"/>
            <w:shd w:val="clear" w:color="auto" w:fill="auto"/>
            <w:vAlign w:val="bottom"/>
          </w:tcPr>
          <w:p w14:paraId="71D3DF56" w14:textId="77777777" w:rsidR="006A3667" w:rsidRDefault="006A3667">
            <w:pPr>
              <w:rPr>
                <w:rFonts w:ascii="宋体"/>
              </w:rPr>
            </w:pPr>
          </w:p>
        </w:tc>
        <w:tc>
          <w:tcPr>
            <w:tcW w:w="520" w:type="pct"/>
            <w:shd w:val="clear" w:color="auto" w:fill="auto"/>
            <w:vAlign w:val="bottom"/>
          </w:tcPr>
          <w:p w14:paraId="71D3DF57" w14:textId="77777777" w:rsidR="006A3667" w:rsidRDefault="006A3667">
            <w:pPr>
              <w:rPr>
                <w:rFonts w:ascii="宋体"/>
              </w:rPr>
            </w:pPr>
          </w:p>
        </w:tc>
        <w:tc>
          <w:tcPr>
            <w:tcW w:w="5" w:type="pct"/>
            <w:shd w:val="clear" w:color="auto" w:fill="auto"/>
            <w:vAlign w:val="bottom"/>
          </w:tcPr>
          <w:p w14:paraId="71D3DF58" w14:textId="77777777" w:rsidR="006A3667" w:rsidRDefault="006A3667">
            <w:pPr>
              <w:rPr>
                <w:rFonts w:ascii="宋体"/>
              </w:rPr>
            </w:pPr>
          </w:p>
        </w:tc>
        <w:tc>
          <w:tcPr>
            <w:tcW w:w="5" w:type="pct"/>
            <w:shd w:val="clear" w:color="auto" w:fill="auto"/>
            <w:vAlign w:val="bottom"/>
          </w:tcPr>
          <w:p w14:paraId="71D3DF59" w14:textId="77777777" w:rsidR="006A3667" w:rsidRDefault="006A3667">
            <w:pPr>
              <w:rPr>
                <w:rFonts w:ascii="宋体"/>
              </w:rPr>
            </w:pPr>
          </w:p>
        </w:tc>
        <w:tc>
          <w:tcPr>
            <w:tcW w:w="30" w:type="pct"/>
            <w:shd w:val="clear" w:color="auto" w:fill="auto"/>
            <w:vAlign w:val="bottom"/>
          </w:tcPr>
          <w:p w14:paraId="71D3DF5A" w14:textId="77777777" w:rsidR="006A3667" w:rsidRDefault="006A3667">
            <w:pPr>
              <w:rPr>
                <w:rFonts w:ascii="宋体"/>
              </w:rPr>
            </w:pPr>
          </w:p>
        </w:tc>
        <w:tc>
          <w:tcPr>
            <w:tcW w:w="5" w:type="pct"/>
            <w:shd w:val="clear" w:color="auto" w:fill="auto"/>
            <w:vAlign w:val="bottom"/>
          </w:tcPr>
          <w:p w14:paraId="71D3DF5B" w14:textId="77777777" w:rsidR="006A3667" w:rsidRDefault="006A3667">
            <w:pPr>
              <w:rPr>
                <w:rFonts w:ascii="宋体"/>
              </w:rPr>
            </w:pPr>
          </w:p>
        </w:tc>
        <w:tc>
          <w:tcPr>
            <w:tcW w:w="50" w:type="pct"/>
            <w:shd w:val="clear" w:color="auto" w:fill="auto"/>
            <w:vAlign w:val="bottom"/>
          </w:tcPr>
          <w:p w14:paraId="71D3DF5C" w14:textId="77777777" w:rsidR="006A3667" w:rsidRDefault="006A3667">
            <w:pPr>
              <w:rPr>
                <w:rFonts w:ascii="宋体"/>
              </w:rPr>
            </w:pPr>
          </w:p>
        </w:tc>
        <w:tc>
          <w:tcPr>
            <w:tcW w:w="520" w:type="pct"/>
            <w:shd w:val="clear" w:color="auto" w:fill="auto"/>
            <w:vAlign w:val="bottom"/>
          </w:tcPr>
          <w:p w14:paraId="71D3DF5D" w14:textId="77777777" w:rsidR="006A3667" w:rsidRDefault="006A3667">
            <w:pPr>
              <w:rPr>
                <w:rFonts w:ascii="宋体"/>
              </w:rPr>
            </w:pPr>
          </w:p>
        </w:tc>
        <w:tc>
          <w:tcPr>
            <w:tcW w:w="5" w:type="pct"/>
            <w:shd w:val="clear" w:color="auto" w:fill="auto"/>
            <w:vAlign w:val="bottom"/>
          </w:tcPr>
          <w:p w14:paraId="71D3DF5E" w14:textId="77777777" w:rsidR="006A3667" w:rsidRDefault="006A3667">
            <w:pPr>
              <w:rPr>
                <w:rFonts w:ascii="宋体"/>
              </w:rPr>
            </w:pPr>
          </w:p>
        </w:tc>
        <w:tc>
          <w:tcPr>
            <w:tcW w:w="5" w:type="pct"/>
            <w:shd w:val="clear" w:color="auto" w:fill="auto"/>
            <w:vAlign w:val="bottom"/>
          </w:tcPr>
          <w:p w14:paraId="71D3DF5F" w14:textId="77777777" w:rsidR="006A3667" w:rsidRDefault="006A3667">
            <w:pPr>
              <w:rPr>
                <w:rFonts w:ascii="宋体"/>
              </w:rPr>
            </w:pPr>
          </w:p>
        </w:tc>
        <w:tc>
          <w:tcPr>
            <w:tcW w:w="30" w:type="pct"/>
            <w:shd w:val="clear" w:color="auto" w:fill="auto"/>
            <w:vAlign w:val="bottom"/>
          </w:tcPr>
          <w:p w14:paraId="71D3DF60" w14:textId="77777777" w:rsidR="006A3667" w:rsidRDefault="006A3667">
            <w:pPr>
              <w:rPr>
                <w:rFonts w:ascii="宋体"/>
              </w:rPr>
            </w:pPr>
          </w:p>
        </w:tc>
        <w:tc>
          <w:tcPr>
            <w:tcW w:w="5" w:type="pct"/>
            <w:shd w:val="clear" w:color="auto" w:fill="auto"/>
            <w:vAlign w:val="bottom"/>
          </w:tcPr>
          <w:p w14:paraId="71D3DF61" w14:textId="77777777" w:rsidR="006A3667" w:rsidRDefault="006A3667">
            <w:pPr>
              <w:rPr>
                <w:rFonts w:ascii="宋体"/>
              </w:rPr>
            </w:pPr>
          </w:p>
        </w:tc>
        <w:tc>
          <w:tcPr>
            <w:tcW w:w="50" w:type="pct"/>
            <w:shd w:val="clear" w:color="auto" w:fill="auto"/>
            <w:vAlign w:val="bottom"/>
          </w:tcPr>
          <w:p w14:paraId="71D3DF62" w14:textId="77777777" w:rsidR="006A3667" w:rsidRDefault="006A3667">
            <w:pPr>
              <w:rPr>
                <w:rFonts w:ascii="宋体"/>
              </w:rPr>
            </w:pPr>
          </w:p>
        </w:tc>
        <w:tc>
          <w:tcPr>
            <w:tcW w:w="520" w:type="pct"/>
            <w:shd w:val="clear" w:color="auto" w:fill="auto"/>
            <w:vAlign w:val="bottom"/>
          </w:tcPr>
          <w:p w14:paraId="71D3DF63" w14:textId="77777777" w:rsidR="006A3667" w:rsidRDefault="006A3667">
            <w:pPr>
              <w:rPr>
                <w:rFonts w:ascii="宋体"/>
              </w:rPr>
            </w:pPr>
          </w:p>
        </w:tc>
        <w:tc>
          <w:tcPr>
            <w:tcW w:w="5" w:type="pct"/>
            <w:shd w:val="clear" w:color="auto" w:fill="auto"/>
            <w:vAlign w:val="bottom"/>
          </w:tcPr>
          <w:p w14:paraId="71D3DF64" w14:textId="77777777" w:rsidR="006A3667" w:rsidRDefault="006A3667">
            <w:pPr>
              <w:rPr>
                <w:rFonts w:ascii="宋体"/>
              </w:rPr>
            </w:pPr>
          </w:p>
        </w:tc>
        <w:tc>
          <w:tcPr>
            <w:tcW w:w="5" w:type="pct"/>
            <w:shd w:val="clear" w:color="auto" w:fill="auto"/>
            <w:vAlign w:val="bottom"/>
          </w:tcPr>
          <w:p w14:paraId="71D3DF65" w14:textId="77777777" w:rsidR="006A3667" w:rsidRDefault="006A3667">
            <w:pPr>
              <w:rPr>
                <w:rFonts w:ascii="宋体"/>
              </w:rPr>
            </w:pPr>
          </w:p>
        </w:tc>
        <w:tc>
          <w:tcPr>
            <w:tcW w:w="30" w:type="pct"/>
            <w:shd w:val="clear" w:color="auto" w:fill="auto"/>
            <w:vAlign w:val="bottom"/>
          </w:tcPr>
          <w:p w14:paraId="71D3DF66" w14:textId="77777777" w:rsidR="006A3667" w:rsidRDefault="006A3667">
            <w:pPr>
              <w:rPr>
                <w:rFonts w:ascii="宋体"/>
              </w:rPr>
            </w:pPr>
          </w:p>
        </w:tc>
        <w:tc>
          <w:tcPr>
            <w:tcW w:w="5" w:type="pct"/>
            <w:shd w:val="clear" w:color="auto" w:fill="auto"/>
            <w:vAlign w:val="bottom"/>
          </w:tcPr>
          <w:p w14:paraId="71D3DF67" w14:textId="77777777" w:rsidR="006A3667" w:rsidRDefault="006A3667">
            <w:pPr>
              <w:rPr>
                <w:rFonts w:ascii="宋体"/>
              </w:rPr>
            </w:pPr>
          </w:p>
        </w:tc>
        <w:tc>
          <w:tcPr>
            <w:tcW w:w="50" w:type="pct"/>
            <w:shd w:val="clear" w:color="auto" w:fill="auto"/>
            <w:vAlign w:val="bottom"/>
          </w:tcPr>
          <w:p w14:paraId="71D3DF68" w14:textId="77777777" w:rsidR="006A3667" w:rsidRDefault="006A3667">
            <w:pPr>
              <w:rPr>
                <w:rFonts w:ascii="宋体"/>
              </w:rPr>
            </w:pPr>
          </w:p>
        </w:tc>
        <w:tc>
          <w:tcPr>
            <w:tcW w:w="520" w:type="pct"/>
            <w:shd w:val="clear" w:color="auto" w:fill="auto"/>
            <w:vAlign w:val="bottom"/>
          </w:tcPr>
          <w:p w14:paraId="71D3DF69" w14:textId="77777777" w:rsidR="006A3667" w:rsidRDefault="006A3667">
            <w:pPr>
              <w:rPr>
                <w:rFonts w:ascii="宋体"/>
              </w:rPr>
            </w:pPr>
          </w:p>
        </w:tc>
        <w:tc>
          <w:tcPr>
            <w:tcW w:w="5" w:type="pct"/>
            <w:shd w:val="clear" w:color="auto" w:fill="auto"/>
            <w:vAlign w:val="bottom"/>
          </w:tcPr>
          <w:p w14:paraId="71D3DF6A" w14:textId="77777777" w:rsidR="006A3667" w:rsidRDefault="006A3667">
            <w:pPr>
              <w:rPr>
                <w:rFonts w:ascii="宋体"/>
              </w:rPr>
            </w:pPr>
          </w:p>
        </w:tc>
        <w:tc>
          <w:tcPr>
            <w:tcW w:w="5" w:type="pct"/>
            <w:shd w:val="clear" w:color="auto" w:fill="auto"/>
            <w:vAlign w:val="bottom"/>
          </w:tcPr>
          <w:p w14:paraId="71D3DF6B" w14:textId="77777777" w:rsidR="006A3667" w:rsidRDefault="006A3667">
            <w:pPr>
              <w:rPr>
                <w:rFonts w:ascii="宋体"/>
              </w:rPr>
            </w:pPr>
          </w:p>
        </w:tc>
        <w:tc>
          <w:tcPr>
            <w:tcW w:w="30" w:type="pct"/>
            <w:shd w:val="clear" w:color="auto" w:fill="auto"/>
            <w:vAlign w:val="bottom"/>
          </w:tcPr>
          <w:p w14:paraId="71D3DF6C" w14:textId="77777777" w:rsidR="006A3667" w:rsidRDefault="006A3667">
            <w:pPr>
              <w:rPr>
                <w:rFonts w:ascii="宋体"/>
              </w:rPr>
            </w:pPr>
          </w:p>
        </w:tc>
        <w:tc>
          <w:tcPr>
            <w:tcW w:w="5" w:type="pct"/>
            <w:shd w:val="clear" w:color="auto" w:fill="auto"/>
            <w:vAlign w:val="bottom"/>
          </w:tcPr>
          <w:p w14:paraId="71D3DF6D" w14:textId="77777777" w:rsidR="006A3667" w:rsidRDefault="006A3667">
            <w:pPr>
              <w:rPr>
                <w:rFonts w:ascii="宋体"/>
              </w:rPr>
            </w:pPr>
          </w:p>
        </w:tc>
        <w:tc>
          <w:tcPr>
            <w:tcW w:w="50" w:type="pct"/>
            <w:shd w:val="clear" w:color="auto" w:fill="auto"/>
            <w:vAlign w:val="bottom"/>
          </w:tcPr>
          <w:p w14:paraId="71D3DF6E" w14:textId="77777777" w:rsidR="006A3667" w:rsidRDefault="006A3667">
            <w:pPr>
              <w:rPr>
                <w:rFonts w:ascii="宋体"/>
              </w:rPr>
            </w:pPr>
          </w:p>
        </w:tc>
        <w:tc>
          <w:tcPr>
            <w:tcW w:w="520" w:type="pct"/>
            <w:shd w:val="clear" w:color="auto" w:fill="auto"/>
            <w:vAlign w:val="bottom"/>
          </w:tcPr>
          <w:p w14:paraId="71D3DF6F" w14:textId="77777777" w:rsidR="006A3667" w:rsidRDefault="006A3667">
            <w:pPr>
              <w:rPr>
                <w:rFonts w:ascii="宋体"/>
              </w:rPr>
            </w:pPr>
          </w:p>
        </w:tc>
        <w:tc>
          <w:tcPr>
            <w:tcW w:w="5" w:type="pct"/>
            <w:shd w:val="clear" w:color="auto" w:fill="auto"/>
            <w:vAlign w:val="bottom"/>
          </w:tcPr>
          <w:p w14:paraId="71D3DF70" w14:textId="77777777" w:rsidR="006A3667" w:rsidRDefault="006A3667">
            <w:pPr>
              <w:rPr>
                <w:rFonts w:ascii="宋体"/>
              </w:rPr>
            </w:pPr>
          </w:p>
        </w:tc>
      </w:tr>
      <w:tr w:rsidR="006A3667" w14:paraId="71D3DF76" w14:textId="77777777">
        <w:tc>
          <w:tcPr>
            <w:tcW w:w="0" w:type="auto"/>
            <w:gridSpan w:val="3"/>
            <w:shd w:val="clear" w:color="auto" w:fill="auto"/>
            <w:tcMar>
              <w:top w:w="0" w:type="dxa"/>
              <w:left w:w="20" w:type="dxa"/>
              <w:bottom w:w="0" w:type="dxa"/>
              <w:right w:w="20" w:type="dxa"/>
            </w:tcMar>
            <w:vAlign w:val="bottom"/>
          </w:tcPr>
          <w:p w14:paraId="71D3DF72" w14:textId="77777777" w:rsidR="006A3667" w:rsidRDefault="006A3667">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1D3DF73" w14:textId="77777777" w:rsidR="006A3667" w:rsidRDefault="00045F32">
            <w:pPr>
              <w:jc w:val="center"/>
              <w:textAlignment w:val="bottom"/>
            </w:pPr>
            <w:r>
              <w:rPr>
                <w:rFonts w:ascii="Arial" w:eastAsia="宋体" w:hAnsi="Arial" w:cs="Arial"/>
                <w:b/>
                <w:bCs/>
                <w:color w:val="000000"/>
                <w:sz w:val="14"/>
                <w:szCs w:val="14"/>
              </w:rPr>
              <w:t>Daily Averages of Indices</w:t>
            </w:r>
          </w:p>
        </w:tc>
        <w:tc>
          <w:tcPr>
            <w:tcW w:w="0" w:type="auto"/>
            <w:gridSpan w:val="3"/>
            <w:shd w:val="clear" w:color="auto" w:fill="auto"/>
            <w:tcMar>
              <w:top w:w="0" w:type="dxa"/>
              <w:left w:w="20" w:type="dxa"/>
              <w:bottom w:w="0" w:type="dxa"/>
              <w:right w:w="20" w:type="dxa"/>
            </w:tcMar>
            <w:vAlign w:val="bottom"/>
          </w:tcPr>
          <w:p w14:paraId="71D3DF74" w14:textId="77777777" w:rsidR="006A3667" w:rsidRDefault="006A3667">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1D3DF75" w14:textId="77777777" w:rsidR="006A3667" w:rsidRDefault="00045F32">
            <w:pPr>
              <w:jc w:val="center"/>
              <w:textAlignment w:val="bottom"/>
            </w:pPr>
            <w:r>
              <w:rPr>
                <w:rFonts w:ascii="Arial" w:eastAsia="宋体" w:hAnsi="Arial" w:cs="Arial"/>
                <w:b/>
                <w:bCs/>
                <w:color w:val="000000"/>
                <w:sz w:val="14"/>
                <w:szCs w:val="14"/>
              </w:rPr>
              <w:t>Month-End Averages of Indices</w:t>
            </w:r>
          </w:p>
        </w:tc>
      </w:tr>
      <w:tr w:rsidR="006A3667" w14:paraId="71D3DF7B" w14:textId="77777777">
        <w:tc>
          <w:tcPr>
            <w:tcW w:w="0" w:type="auto"/>
            <w:gridSpan w:val="3"/>
            <w:shd w:val="clear" w:color="auto" w:fill="auto"/>
            <w:tcMar>
              <w:top w:w="0" w:type="dxa"/>
              <w:left w:w="20" w:type="dxa"/>
              <w:bottom w:w="0" w:type="dxa"/>
              <w:right w:w="20" w:type="dxa"/>
            </w:tcMar>
            <w:vAlign w:val="bottom"/>
          </w:tcPr>
          <w:p w14:paraId="71D3DF77"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DF78"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Mar>
              <w:top w:w="0" w:type="dxa"/>
              <w:left w:w="20" w:type="dxa"/>
              <w:bottom w:w="0" w:type="dxa"/>
              <w:right w:w="20" w:type="dxa"/>
            </w:tcMar>
            <w:vAlign w:val="bottom"/>
          </w:tcPr>
          <w:p w14:paraId="71D3DF79"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DF7A" w14:textId="77777777" w:rsidR="006A3667" w:rsidRDefault="00045F32">
            <w:pPr>
              <w:jc w:val="center"/>
              <w:textAlignment w:val="bottom"/>
            </w:pPr>
            <w:r>
              <w:rPr>
                <w:rFonts w:ascii="Arial" w:eastAsia="宋体" w:hAnsi="Arial" w:cs="Arial"/>
                <w:b/>
                <w:bCs/>
                <w:color w:val="000000"/>
                <w:sz w:val="14"/>
                <w:szCs w:val="14"/>
              </w:rPr>
              <w:t xml:space="preserve">Nine Months Ended </w:t>
            </w:r>
            <w:r>
              <w:rPr>
                <w:rFonts w:ascii="Arial" w:eastAsia="宋体" w:hAnsi="Arial" w:cs="Arial"/>
                <w:b/>
                <w:bCs/>
                <w:color w:val="000000"/>
                <w:sz w:val="14"/>
                <w:szCs w:val="14"/>
              </w:rPr>
              <w:t>September 30,</w:t>
            </w:r>
          </w:p>
        </w:tc>
      </w:tr>
      <w:tr w:rsidR="006A3667" w14:paraId="71D3DF88" w14:textId="77777777">
        <w:tc>
          <w:tcPr>
            <w:tcW w:w="0" w:type="auto"/>
            <w:gridSpan w:val="3"/>
            <w:shd w:val="clear" w:color="auto" w:fill="auto"/>
            <w:tcMar>
              <w:top w:w="0" w:type="dxa"/>
              <w:left w:w="20" w:type="dxa"/>
              <w:bottom w:w="0" w:type="dxa"/>
              <w:right w:w="20" w:type="dxa"/>
            </w:tcMar>
            <w:vAlign w:val="bottom"/>
          </w:tcPr>
          <w:p w14:paraId="71D3DF7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7D"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F7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7F"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F8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81" w14:textId="77777777" w:rsidR="006A3667" w:rsidRDefault="00045F32">
            <w:pPr>
              <w:jc w:val="center"/>
              <w:textAlignment w:val="bottom"/>
            </w:pPr>
            <w:r>
              <w:rPr>
                <w:rFonts w:ascii="Arial" w:eastAsia="宋体" w:hAnsi="Arial" w:cs="Arial"/>
                <w:b/>
                <w:bCs/>
                <w:color w:val="000000"/>
                <w:sz w:val="14"/>
                <w:szCs w:val="14"/>
              </w:rPr>
              <w:t>% Change</w:t>
            </w:r>
          </w:p>
        </w:tc>
        <w:tc>
          <w:tcPr>
            <w:tcW w:w="0" w:type="auto"/>
            <w:gridSpan w:val="3"/>
            <w:shd w:val="clear" w:color="auto" w:fill="auto"/>
            <w:tcMar>
              <w:top w:w="0" w:type="dxa"/>
              <w:left w:w="20" w:type="dxa"/>
              <w:bottom w:w="0" w:type="dxa"/>
              <w:right w:w="20" w:type="dxa"/>
            </w:tcMar>
            <w:vAlign w:val="bottom"/>
          </w:tcPr>
          <w:p w14:paraId="71D3DF8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83"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F8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85"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F8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87" w14:textId="77777777" w:rsidR="006A3667" w:rsidRDefault="00045F32">
            <w:pPr>
              <w:jc w:val="center"/>
              <w:textAlignment w:val="bottom"/>
            </w:pPr>
            <w:r>
              <w:rPr>
                <w:rFonts w:ascii="Arial" w:eastAsia="宋体" w:hAnsi="Arial" w:cs="Arial"/>
                <w:b/>
                <w:bCs/>
                <w:color w:val="000000"/>
                <w:sz w:val="14"/>
                <w:szCs w:val="14"/>
              </w:rPr>
              <w:t>% Change</w:t>
            </w:r>
          </w:p>
        </w:tc>
      </w:tr>
      <w:tr w:rsidR="006A3667" w14:paraId="71D3DF9B" w14:textId="77777777">
        <w:tc>
          <w:tcPr>
            <w:tcW w:w="0" w:type="auto"/>
            <w:gridSpan w:val="3"/>
            <w:shd w:val="clear" w:color="auto" w:fill="CCEEFF"/>
            <w:tcMar>
              <w:top w:w="40" w:type="dxa"/>
              <w:left w:w="20" w:type="dxa"/>
              <w:bottom w:w="40" w:type="dxa"/>
              <w:right w:w="20" w:type="dxa"/>
            </w:tcMar>
            <w:vAlign w:val="center"/>
          </w:tcPr>
          <w:p w14:paraId="71D3DF89" w14:textId="77777777" w:rsidR="006A3667" w:rsidRDefault="00045F32">
            <w:pPr>
              <w:textAlignment w:val="center"/>
            </w:pPr>
            <w:r>
              <w:rPr>
                <w:rFonts w:ascii="Arial" w:eastAsia="宋体" w:hAnsi="Arial" w:cs="Arial"/>
                <w:color w:val="000000"/>
                <w:sz w:val="14"/>
                <w:szCs w:val="14"/>
              </w:rPr>
              <w:t>S</w:t>
            </w:r>
            <w:r>
              <w:rPr>
                <w:rFonts w:ascii="Arial" w:eastAsia="宋体" w:hAnsi="Arial" w:cs="Arial"/>
                <w:color w:val="000000"/>
                <w:sz w:val="14"/>
                <w:szCs w:val="14"/>
              </w:rPr>
              <w:t>&amp;P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F8A" w14:textId="77777777" w:rsidR="006A3667" w:rsidRDefault="00045F32">
            <w:pPr>
              <w:jc w:val="right"/>
              <w:textAlignment w:val="center"/>
            </w:pPr>
            <w:r>
              <w:rPr>
                <w:rFonts w:ascii="Arial" w:eastAsia="宋体" w:hAnsi="Arial" w:cs="Arial"/>
                <w:b/>
                <w:bCs/>
                <w:color w:val="000000"/>
                <w:sz w:val="14"/>
                <w:szCs w:val="14"/>
              </w:rPr>
              <w:t>4,181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F8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8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F8D" w14:textId="77777777" w:rsidR="006A3667" w:rsidRDefault="00045F32">
            <w:pPr>
              <w:jc w:val="right"/>
              <w:textAlignment w:val="center"/>
            </w:pPr>
            <w:r>
              <w:rPr>
                <w:rFonts w:ascii="Arial" w:eastAsia="宋体" w:hAnsi="Arial" w:cs="Arial"/>
                <w:color w:val="000000"/>
                <w:sz w:val="14"/>
                <w:szCs w:val="14"/>
              </w:rPr>
              <w:t>4,162 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F8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8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F90" w14:textId="77777777" w:rsidR="006A3667" w:rsidRDefault="00045F32">
            <w:pPr>
              <w:jc w:val="right"/>
              <w:textAlignment w:val="center"/>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F91" w14:textId="77777777" w:rsidR="006A3667" w:rsidRDefault="00045F32">
            <w:pPr>
              <w:jc w:val="right"/>
              <w:textAlignment w:val="center"/>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3DF9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F93" w14:textId="77777777" w:rsidR="006A3667" w:rsidRDefault="00045F32">
            <w:pPr>
              <w:jc w:val="right"/>
              <w:textAlignment w:val="center"/>
            </w:pPr>
            <w:r>
              <w:rPr>
                <w:rFonts w:ascii="Arial" w:eastAsia="宋体" w:hAnsi="Arial" w:cs="Arial"/>
                <w:b/>
                <w:bCs/>
                <w:color w:val="000000"/>
                <w:sz w:val="14"/>
                <w:szCs w:val="14"/>
              </w:rPr>
              <w:t>4,127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F9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9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F96" w14:textId="77777777" w:rsidR="006A3667" w:rsidRDefault="00045F32">
            <w:pPr>
              <w:jc w:val="right"/>
              <w:textAlignment w:val="center"/>
            </w:pPr>
            <w:r>
              <w:rPr>
                <w:rFonts w:ascii="Arial" w:eastAsia="宋体" w:hAnsi="Arial" w:cs="Arial"/>
                <w:color w:val="000000"/>
                <w:sz w:val="14"/>
                <w:szCs w:val="14"/>
              </w:rPr>
              <w:t>4,156 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F9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9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F99" w14:textId="77777777" w:rsidR="006A3667" w:rsidRDefault="00045F32">
            <w:pPr>
              <w:jc w:val="right"/>
              <w:textAlignment w:val="center"/>
            </w:pPr>
            <w:r>
              <w:rPr>
                <w:rFonts w:ascii="Arial" w:eastAsia="宋体" w:hAnsi="Arial" w:cs="Arial"/>
                <w:color w:val="000000"/>
                <w:sz w:val="14"/>
                <w:szCs w:val="14"/>
              </w:rPr>
              <w:t>(1)</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F9A" w14:textId="77777777" w:rsidR="006A3667" w:rsidRDefault="00045F32">
            <w:pPr>
              <w:jc w:val="right"/>
              <w:textAlignment w:val="center"/>
            </w:pPr>
            <w:r>
              <w:rPr>
                <w:rFonts w:ascii="Arial" w:eastAsia="宋体" w:hAnsi="Arial" w:cs="Arial"/>
                <w:color w:val="000000"/>
                <w:sz w:val="14"/>
                <w:szCs w:val="14"/>
              </w:rPr>
              <w:t>%</w:t>
            </w:r>
          </w:p>
        </w:tc>
      </w:tr>
      <w:tr w:rsidR="006A3667" w14:paraId="71D3DFAE" w14:textId="77777777">
        <w:tc>
          <w:tcPr>
            <w:tcW w:w="0" w:type="auto"/>
            <w:gridSpan w:val="3"/>
            <w:shd w:val="clear" w:color="auto" w:fill="FFFFFF"/>
            <w:tcMar>
              <w:top w:w="40" w:type="dxa"/>
              <w:left w:w="20" w:type="dxa"/>
              <w:bottom w:w="40" w:type="dxa"/>
              <w:right w:w="20" w:type="dxa"/>
            </w:tcMar>
            <w:vAlign w:val="center"/>
          </w:tcPr>
          <w:p w14:paraId="71D3DF9C" w14:textId="77777777" w:rsidR="006A3667" w:rsidRDefault="00045F32">
            <w:pPr>
              <w:textAlignment w:val="center"/>
            </w:pPr>
            <w:r>
              <w:rPr>
                <w:rFonts w:ascii="Arial" w:eastAsia="宋体" w:hAnsi="Arial" w:cs="Arial"/>
                <w:color w:val="000000"/>
                <w:sz w:val="14"/>
                <w:szCs w:val="14"/>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71D3DF9D" w14:textId="77777777" w:rsidR="006A3667" w:rsidRDefault="00045F32">
            <w:pPr>
              <w:jc w:val="right"/>
              <w:textAlignment w:val="center"/>
            </w:pPr>
            <w:r>
              <w:rPr>
                <w:rFonts w:ascii="Arial" w:eastAsia="宋体" w:hAnsi="Arial" w:cs="Arial"/>
                <w:b/>
                <w:bCs/>
                <w:color w:val="000000"/>
                <w:sz w:val="14"/>
                <w:szCs w:val="14"/>
              </w:rPr>
              <w:t>2,018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1D3DF9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F9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FA0" w14:textId="77777777" w:rsidR="006A3667" w:rsidRDefault="00045F32">
            <w:pPr>
              <w:jc w:val="right"/>
              <w:textAlignment w:val="center"/>
            </w:pPr>
            <w:r>
              <w:rPr>
                <w:rFonts w:ascii="Arial" w:eastAsia="宋体" w:hAnsi="Arial" w:cs="Arial"/>
                <w:color w:val="000000"/>
                <w:sz w:val="14"/>
                <w:szCs w:val="14"/>
              </w:rPr>
              <w:t>2,283 </w:t>
            </w:r>
          </w:p>
        </w:tc>
        <w:tc>
          <w:tcPr>
            <w:tcW w:w="0" w:type="auto"/>
            <w:shd w:val="clear" w:color="auto" w:fill="FFFFFF"/>
            <w:tcMar>
              <w:top w:w="40" w:type="dxa"/>
              <w:left w:w="0" w:type="dxa"/>
              <w:bottom w:w="40" w:type="dxa"/>
              <w:right w:w="20" w:type="dxa"/>
            </w:tcMar>
            <w:vAlign w:val="center"/>
          </w:tcPr>
          <w:p w14:paraId="71D3DFA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FA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FA3" w14:textId="77777777" w:rsidR="006A3667" w:rsidRDefault="00045F32">
            <w:pPr>
              <w:jc w:val="right"/>
              <w:textAlignment w:val="center"/>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center"/>
          </w:tcPr>
          <w:p w14:paraId="71D3DFA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FA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FA6" w14:textId="77777777" w:rsidR="006A3667" w:rsidRDefault="00045F32">
            <w:pPr>
              <w:jc w:val="right"/>
              <w:textAlignment w:val="center"/>
            </w:pPr>
            <w:r>
              <w:rPr>
                <w:rFonts w:ascii="Arial" w:eastAsia="宋体" w:hAnsi="Arial" w:cs="Arial"/>
                <w:b/>
                <w:bCs/>
                <w:color w:val="000000"/>
                <w:sz w:val="14"/>
                <w:szCs w:val="14"/>
              </w:rPr>
              <w:t>1,993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1D3DFA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FA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FA9" w14:textId="77777777" w:rsidR="006A3667" w:rsidRDefault="00045F32">
            <w:pPr>
              <w:jc w:val="right"/>
              <w:textAlignment w:val="center"/>
            </w:pPr>
            <w:r>
              <w:rPr>
                <w:rFonts w:ascii="Arial" w:eastAsia="宋体" w:hAnsi="Arial" w:cs="Arial"/>
                <w:color w:val="000000"/>
                <w:sz w:val="14"/>
                <w:szCs w:val="14"/>
              </w:rPr>
              <w:t>2,263 </w:t>
            </w:r>
          </w:p>
        </w:tc>
        <w:tc>
          <w:tcPr>
            <w:tcW w:w="0" w:type="auto"/>
            <w:shd w:val="clear" w:color="auto" w:fill="FFFFFF"/>
            <w:tcMar>
              <w:top w:w="40" w:type="dxa"/>
              <w:left w:w="0" w:type="dxa"/>
              <w:bottom w:w="40" w:type="dxa"/>
              <w:right w:w="20" w:type="dxa"/>
            </w:tcMar>
            <w:vAlign w:val="center"/>
          </w:tcPr>
          <w:p w14:paraId="71D3DFA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DFA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DFAC" w14:textId="77777777" w:rsidR="006A3667" w:rsidRDefault="00045F32">
            <w:pPr>
              <w:jc w:val="right"/>
              <w:textAlignment w:val="center"/>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center"/>
          </w:tcPr>
          <w:p w14:paraId="71D3DFAD" w14:textId="77777777" w:rsidR="006A3667" w:rsidRDefault="006A3667">
            <w:pPr>
              <w:jc w:val="right"/>
              <w:rPr>
                <w:rFonts w:ascii="宋体"/>
              </w:rPr>
            </w:pPr>
          </w:p>
        </w:tc>
      </w:tr>
      <w:tr w:rsidR="006A3667" w14:paraId="71D3DFC1" w14:textId="77777777">
        <w:tc>
          <w:tcPr>
            <w:tcW w:w="0" w:type="auto"/>
            <w:gridSpan w:val="3"/>
            <w:shd w:val="clear" w:color="auto" w:fill="CCEEFF"/>
            <w:tcMar>
              <w:top w:w="40" w:type="dxa"/>
              <w:left w:w="20" w:type="dxa"/>
              <w:bottom w:w="40" w:type="dxa"/>
              <w:right w:w="20" w:type="dxa"/>
            </w:tcMar>
            <w:vAlign w:val="center"/>
          </w:tcPr>
          <w:p w14:paraId="71D3DFAF" w14:textId="77777777" w:rsidR="006A3667" w:rsidRDefault="00045F32">
            <w:pPr>
              <w:textAlignment w:val="center"/>
            </w:pPr>
            <w:r>
              <w:rPr>
                <w:rFonts w:ascii="Arial" w:eastAsia="宋体" w:hAnsi="Arial" w:cs="Arial"/>
                <w:color w:val="000000"/>
                <w:sz w:val="14"/>
                <w:szCs w:val="14"/>
              </w:rPr>
              <w:t>MSCI</w:t>
            </w:r>
            <w:r>
              <w:rPr>
                <w:rFonts w:ascii="Arial" w:eastAsia="宋体" w:hAnsi="Arial" w:cs="Arial"/>
                <w:color w:val="000000"/>
                <w:sz w:val="9"/>
                <w:szCs w:val="9"/>
              </w:rPr>
              <w:t>®</w:t>
            </w:r>
            <w:r>
              <w:rPr>
                <w:rFonts w:ascii="Arial" w:eastAsia="宋体" w:hAnsi="Arial" w:cs="Arial"/>
                <w:color w:val="000000"/>
                <w:sz w:val="14"/>
                <w:szCs w:val="14"/>
              </w:rPr>
              <w:t xml:space="preserve"> Emerging Markets</w:t>
            </w:r>
          </w:p>
        </w:tc>
        <w:tc>
          <w:tcPr>
            <w:tcW w:w="0" w:type="auto"/>
            <w:gridSpan w:val="2"/>
            <w:shd w:val="clear" w:color="auto" w:fill="CCEEFF"/>
            <w:tcMar>
              <w:top w:w="40" w:type="dxa"/>
              <w:left w:w="20" w:type="dxa"/>
              <w:bottom w:w="40" w:type="dxa"/>
              <w:right w:w="0" w:type="dxa"/>
            </w:tcMar>
            <w:vAlign w:val="center"/>
          </w:tcPr>
          <w:p w14:paraId="71D3DFB0" w14:textId="77777777" w:rsidR="006A3667" w:rsidRDefault="00045F32">
            <w:pPr>
              <w:jc w:val="right"/>
              <w:textAlignment w:val="center"/>
            </w:pPr>
            <w:r>
              <w:rPr>
                <w:rFonts w:ascii="Arial" w:eastAsia="宋体" w:hAnsi="Arial" w:cs="Arial"/>
                <w:b/>
                <w:bCs/>
                <w:color w:val="000000"/>
                <w:sz w:val="14"/>
                <w:szCs w:val="14"/>
              </w:rPr>
              <w:t>1,071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1D3DF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B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FB3" w14:textId="77777777" w:rsidR="006A3667" w:rsidRDefault="00045F32">
            <w:pPr>
              <w:jc w:val="right"/>
              <w:textAlignment w:val="center"/>
            </w:pPr>
            <w:r>
              <w:rPr>
                <w:rFonts w:ascii="Arial" w:eastAsia="宋体" w:hAnsi="Arial" w:cs="Arial"/>
                <w:color w:val="000000"/>
                <w:sz w:val="14"/>
                <w:szCs w:val="14"/>
              </w:rPr>
              <w:t>1,336 </w:t>
            </w:r>
          </w:p>
        </w:tc>
        <w:tc>
          <w:tcPr>
            <w:tcW w:w="0" w:type="auto"/>
            <w:shd w:val="clear" w:color="auto" w:fill="CCEEFF"/>
            <w:tcMar>
              <w:top w:w="40" w:type="dxa"/>
              <w:left w:w="0" w:type="dxa"/>
              <w:bottom w:w="40" w:type="dxa"/>
              <w:right w:w="20" w:type="dxa"/>
            </w:tcMar>
            <w:vAlign w:val="center"/>
          </w:tcPr>
          <w:p w14:paraId="71D3DFB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B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FB6" w14:textId="77777777" w:rsidR="006A3667" w:rsidRDefault="00045F32">
            <w:pPr>
              <w:jc w:val="right"/>
              <w:textAlignment w:val="center"/>
            </w:pPr>
            <w:r>
              <w:rPr>
                <w:rFonts w:ascii="Arial" w:eastAsia="宋体" w:hAnsi="Arial" w:cs="Arial"/>
                <w:color w:val="000000"/>
                <w:sz w:val="14"/>
                <w:szCs w:val="14"/>
              </w:rPr>
              <w:t>(20)</w:t>
            </w:r>
          </w:p>
        </w:tc>
        <w:tc>
          <w:tcPr>
            <w:tcW w:w="0" w:type="auto"/>
            <w:shd w:val="clear" w:color="auto" w:fill="CCEEFF"/>
            <w:tcMar>
              <w:top w:w="40" w:type="dxa"/>
              <w:left w:w="0" w:type="dxa"/>
              <w:bottom w:w="40" w:type="dxa"/>
              <w:right w:w="20" w:type="dxa"/>
            </w:tcMar>
            <w:vAlign w:val="center"/>
          </w:tcPr>
          <w:p w14:paraId="71D3DF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B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FB9" w14:textId="77777777" w:rsidR="006A3667" w:rsidRDefault="00045F32">
            <w:pPr>
              <w:jc w:val="right"/>
              <w:textAlignment w:val="center"/>
            </w:pPr>
            <w:r>
              <w:rPr>
                <w:rFonts w:ascii="Arial" w:eastAsia="宋体" w:hAnsi="Arial" w:cs="Arial"/>
                <w:b/>
                <w:bCs/>
                <w:color w:val="000000"/>
                <w:sz w:val="14"/>
                <w:szCs w:val="14"/>
              </w:rPr>
              <w:t>1,060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1D3DF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B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FBC" w14:textId="77777777" w:rsidR="006A3667" w:rsidRDefault="00045F32">
            <w:pPr>
              <w:jc w:val="right"/>
              <w:textAlignment w:val="center"/>
            </w:pPr>
            <w:r>
              <w:rPr>
                <w:rFonts w:ascii="Arial" w:eastAsia="宋体" w:hAnsi="Arial" w:cs="Arial"/>
                <w:color w:val="000000"/>
                <w:sz w:val="14"/>
                <w:szCs w:val="14"/>
              </w:rPr>
              <w:t>1,325 </w:t>
            </w:r>
          </w:p>
        </w:tc>
        <w:tc>
          <w:tcPr>
            <w:tcW w:w="0" w:type="auto"/>
            <w:shd w:val="clear" w:color="auto" w:fill="CCEEFF"/>
            <w:tcMar>
              <w:top w:w="40" w:type="dxa"/>
              <w:left w:w="0" w:type="dxa"/>
              <w:bottom w:w="40" w:type="dxa"/>
              <w:right w:w="20" w:type="dxa"/>
            </w:tcMar>
            <w:vAlign w:val="center"/>
          </w:tcPr>
          <w:p w14:paraId="71D3DF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DFB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3DFBF" w14:textId="77777777" w:rsidR="006A3667" w:rsidRDefault="00045F32">
            <w:pPr>
              <w:jc w:val="right"/>
              <w:textAlignment w:val="center"/>
            </w:pPr>
            <w:r>
              <w:rPr>
                <w:rFonts w:ascii="Arial" w:eastAsia="宋体" w:hAnsi="Arial" w:cs="Arial"/>
                <w:color w:val="000000"/>
                <w:sz w:val="14"/>
                <w:szCs w:val="14"/>
              </w:rPr>
              <w:t>(20)</w:t>
            </w:r>
          </w:p>
        </w:tc>
        <w:tc>
          <w:tcPr>
            <w:tcW w:w="0" w:type="auto"/>
            <w:shd w:val="clear" w:color="auto" w:fill="CCEEFF"/>
            <w:tcMar>
              <w:top w:w="40" w:type="dxa"/>
              <w:left w:w="0" w:type="dxa"/>
              <w:bottom w:w="40" w:type="dxa"/>
              <w:right w:w="20" w:type="dxa"/>
            </w:tcMar>
            <w:vAlign w:val="center"/>
          </w:tcPr>
          <w:p w14:paraId="71D3DFC0" w14:textId="77777777" w:rsidR="006A3667" w:rsidRDefault="006A3667">
            <w:pPr>
              <w:jc w:val="right"/>
              <w:rPr>
                <w:rFonts w:ascii="宋体"/>
              </w:rPr>
            </w:pPr>
          </w:p>
        </w:tc>
      </w:tr>
      <w:tr w:rsidR="006A3667" w14:paraId="71D3DFCE" w14:textId="77777777">
        <w:trPr>
          <w:trHeight w:val="60"/>
        </w:trPr>
        <w:tc>
          <w:tcPr>
            <w:tcW w:w="0" w:type="auto"/>
            <w:gridSpan w:val="3"/>
            <w:shd w:val="clear" w:color="auto" w:fill="FFFFFF"/>
            <w:tcMar>
              <w:top w:w="0" w:type="dxa"/>
              <w:left w:w="20" w:type="dxa"/>
              <w:bottom w:w="0" w:type="dxa"/>
              <w:right w:w="20" w:type="dxa"/>
            </w:tcMar>
            <w:vAlign w:val="bottom"/>
          </w:tcPr>
          <w:p w14:paraId="71D3DFC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DFCD" w14:textId="77777777" w:rsidR="006A3667" w:rsidRDefault="006A3667">
            <w:pPr>
              <w:rPr>
                <w:rFonts w:ascii="宋体"/>
              </w:rPr>
            </w:pPr>
          </w:p>
        </w:tc>
      </w:tr>
    </w:tbl>
    <w:p w14:paraId="71D3DFCF"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3DFD6" w14:textId="77777777">
        <w:tc>
          <w:tcPr>
            <w:tcW w:w="50" w:type="pct"/>
            <w:shd w:val="clear" w:color="auto" w:fill="auto"/>
            <w:vAlign w:val="bottom"/>
          </w:tcPr>
          <w:p w14:paraId="71D3DFD0" w14:textId="77777777" w:rsidR="006A3667" w:rsidRDefault="006A3667">
            <w:pPr>
              <w:rPr>
                <w:rFonts w:ascii="宋体"/>
              </w:rPr>
            </w:pPr>
          </w:p>
        </w:tc>
        <w:tc>
          <w:tcPr>
            <w:tcW w:w="1348" w:type="pct"/>
            <w:shd w:val="clear" w:color="auto" w:fill="auto"/>
            <w:vAlign w:val="bottom"/>
          </w:tcPr>
          <w:p w14:paraId="71D3DFD1" w14:textId="77777777" w:rsidR="006A3667" w:rsidRDefault="006A3667">
            <w:pPr>
              <w:rPr>
                <w:rFonts w:ascii="宋体"/>
              </w:rPr>
            </w:pPr>
          </w:p>
        </w:tc>
        <w:tc>
          <w:tcPr>
            <w:tcW w:w="5" w:type="pct"/>
            <w:shd w:val="clear" w:color="auto" w:fill="auto"/>
            <w:vAlign w:val="bottom"/>
          </w:tcPr>
          <w:p w14:paraId="71D3DFD2" w14:textId="77777777" w:rsidR="006A3667" w:rsidRDefault="006A3667">
            <w:pPr>
              <w:rPr>
                <w:rFonts w:ascii="宋体"/>
              </w:rPr>
            </w:pPr>
          </w:p>
        </w:tc>
        <w:tc>
          <w:tcPr>
            <w:tcW w:w="50" w:type="pct"/>
            <w:shd w:val="clear" w:color="auto" w:fill="auto"/>
            <w:vAlign w:val="bottom"/>
          </w:tcPr>
          <w:p w14:paraId="71D3DFD3" w14:textId="77777777" w:rsidR="006A3667" w:rsidRDefault="006A3667">
            <w:pPr>
              <w:rPr>
                <w:rFonts w:ascii="宋体"/>
              </w:rPr>
            </w:pPr>
          </w:p>
        </w:tc>
        <w:tc>
          <w:tcPr>
            <w:tcW w:w="3541" w:type="pct"/>
            <w:shd w:val="clear" w:color="auto" w:fill="auto"/>
            <w:vAlign w:val="bottom"/>
          </w:tcPr>
          <w:p w14:paraId="71D3DFD4" w14:textId="77777777" w:rsidR="006A3667" w:rsidRDefault="006A3667">
            <w:pPr>
              <w:rPr>
                <w:rFonts w:ascii="宋体"/>
              </w:rPr>
            </w:pPr>
          </w:p>
        </w:tc>
        <w:tc>
          <w:tcPr>
            <w:tcW w:w="5" w:type="pct"/>
            <w:shd w:val="clear" w:color="auto" w:fill="auto"/>
            <w:vAlign w:val="bottom"/>
          </w:tcPr>
          <w:p w14:paraId="71D3DFD5" w14:textId="77777777" w:rsidR="006A3667" w:rsidRDefault="006A3667">
            <w:pPr>
              <w:rPr>
                <w:rFonts w:ascii="宋体"/>
              </w:rPr>
            </w:pPr>
          </w:p>
        </w:tc>
      </w:tr>
      <w:tr w:rsidR="006A3667" w14:paraId="71D3DFD9" w14:textId="77777777">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1D3DFD7" w14:textId="77777777" w:rsidR="006A3667" w:rsidRDefault="00045F32">
            <w:pPr>
              <w:textAlignment w:val="bottom"/>
            </w:pPr>
            <w:r>
              <w:rPr>
                <w:rFonts w:ascii="Arial" w:eastAsia="宋体" w:hAnsi="Arial" w:cs="Arial"/>
                <w:color w:val="000000"/>
                <w:sz w:val="14"/>
                <w:szCs w:val="14"/>
              </w:rPr>
              <w:t>c</w:t>
            </w:r>
          </w:p>
        </w:tc>
        <w:tc>
          <w:tcPr>
            <w:tcW w:w="0" w:type="auto"/>
            <w:gridSpan w:val="3"/>
            <w:shd w:val="clear" w:color="auto" w:fill="auto"/>
            <w:tcMar>
              <w:top w:w="0" w:type="dxa"/>
              <w:left w:w="20" w:type="dxa"/>
              <w:bottom w:w="0" w:type="dxa"/>
              <w:right w:w="20" w:type="dxa"/>
            </w:tcMar>
            <w:vAlign w:val="bottom"/>
          </w:tcPr>
          <w:p w14:paraId="71D3DFD8" w14:textId="77777777" w:rsidR="006A3667" w:rsidRDefault="006A3667">
            <w:pPr>
              <w:rPr>
                <w:rFonts w:ascii="宋体"/>
              </w:rPr>
            </w:pPr>
          </w:p>
        </w:tc>
      </w:tr>
      <w:tr w:rsidR="006A3667" w14:paraId="71D3DFDC" w14:textId="77777777">
        <w:trPr>
          <w:hidden/>
        </w:trPr>
        <w:tc>
          <w:tcPr>
            <w:tcW w:w="0" w:type="auto"/>
            <w:gridSpan w:val="3"/>
            <w:shd w:val="clear" w:color="auto" w:fill="auto"/>
            <w:vAlign w:val="bottom"/>
          </w:tcPr>
          <w:p w14:paraId="71D3DFDA" w14:textId="77777777" w:rsidR="006A3667" w:rsidRDefault="006A3667">
            <w:pPr>
              <w:rPr>
                <w:rFonts w:ascii="宋体"/>
                <w:vanish/>
              </w:rPr>
            </w:pPr>
          </w:p>
        </w:tc>
        <w:tc>
          <w:tcPr>
            <w:tcW w:w="0" w:type="auto"/>
            <w:gridSpan w:val="3"/>
            <w:shd w:val="clear" w:color="auto" w:fill="auto"/>
            <w:vAlign w:val="bottom"/>
          </w:tcPr>
          <w:p w14:paraId="71D3DFDB" w14:textId="77777777" w:rsidR="006A3667" w:rsidRDefault="006A3667">
            <w:pPr>
              <w:rPr>
                <w:rFonts w:ascii="宋体"/>
                <w:vanish/>
              </w:rPr>
            </w:pPr>
          </w:p>
        </w:tc>
      </w:tr>
    </w:tbl>
    <w:p w14:paraId="71D3DFDD" w14:textId="77777777" w:rsidR="006A3667" w:rsidRDefault="00045F32">
      <w:r>
        <w:rPr>
          <w:rFonts w:ascii="Arial" w:eastAsia="宋体" w:hAnsi="Arial" w:cs="Arial"/>
          <w:color w:val="000000"/>
          <w:sz w:val="8"/>
          <w:szCs w:val="8"/>
        </w:rPr>
        <w:t xml:space="preserve">(1) </w:t>
      </w:r>
      <w:r>
        <w:rPr>
          <w:rFonts w:ascii="Arial" w:eastAsia="宋体" w:hAnsi="Arial" w:cs="Arial"/>
          <w:color w:val="000000"/>
          <w:sz w:val="13"/>
          <w:szCs w:val="13"/>
        </w:rPr>
        <w:t xml:space="preserve">The index names listed in the </w:t>
      </w:r>
      <w:r>
        <w:rPr>
          <w:rFonts w:ascii="Arial" w:eastAsia="宋体" w:hAnsi="Arial" w:cs="Arial"/>
          <w:color w:val="000000"/>
          <w:sz w:val="13"/>
          <w:szCs w:val="13"/>
        </w:rPr>
        <w:t>table are service marks of their respective owners.</w:t>
      </w:r>
    </w:p>
    <w:tbl>
      <w:tblPr>
        <w:tblW w:w="5000" w:type="pct"/>
        <w:tblCellMar>
          <w:top w:w="15" w:type="dxa"/>
          <w:left w:w="15" w:type="dxa"/>
          <w:bottom w:w="15" w:type="dxa"/>
          <w:right w:w="15" w:type="dxa"/>
        </w:tblCellMar>
        <w:tblLook w:val="04A0" w:firstRow="1" w:lastRow="0" w:firstColumn="1" w:lastColumn="0" w:noHBand="0" w:noVBand="1"/>
      </w:tblPr>
      <w:tblGrid>
        <w:gridCol w:w="49"/>
        <w:gridCol w:w="4178"/>
        <w:gridCol w:w="37"/>
        <w:gridCol w:w="50"/>
        <w:gridCol w:w="1179"/>
        <w:gridCol w:w="38"/>
        <w:gridCol w:w="37"/>
        <w:gridCol w:w="36"/>
        <w:gridCol w:w="36"/>
        <w:gridCol w:w="38"/>
        <w:gridCol w:w="1165"/>
        <w:gridCol w:w="37"/>
        <w:gridCol w:w="36"/>
        <w:gridCol w:w="36"/>
        <w:gridCol w:w="36"/>
        <w:gridCol w:w="46"/>
        <w:gridCol w:w="1157"/>
        <w:gridCol w:w="145"/>
      </w:tblGrid>
      <w:tr w:rsidR="006A3667" w14:paraId="71D3DFF0" w14:textId="77777777">
        <w:tc>
          <w:tcPr>
            <w:tcW w:w="50" w:type="pct"/>
            <w:shd w:val="clear" w:color="auto" w:fill="auto"/>
            <w:vAlign w:val="bottom"/>
          </w:tcPr>
          <w:p w14:paraId="71D3DFDE" w14:textId="77777777" w:rsidR="006A3667" w:rsidRDefault="006A3667">
            <w:pPr>
              <w:rPr>
                <w:rFonts w:ascii="宋体"/>
              </w:rPr>
            </w:pPr>
          </w:p>
        </w:tc>
        <w:tc>
          <w:tcPr>
            <w:tcW w:w="2525" w:type="pct"/>
            <w:shd w:val="clear" w:color="auto" w:fill="auto"/>
            <w:vAlign w:val="bottom"/>
          </w:tcPr>
          <w:p w14:paraId="71D3DFDF" w14:textId="77777777" w:rsidR="006A3667" w:rsidRDefault="006A3667">
            <w:pPr>
              <w:rPr>
                <w:rFonts w:ascii="宋体"/>
              </w:rPr>
            </w:pPr>
          </w:p>
        </w:tc>
        <w:tc>
          <w:tcPr>
            <w:tcW w:w="5" w:type="pct"/>
            <w:shd w:val="clear" w:color="auto" w:fill="auto"/>
            <w:vAlign w:val="bottom"/>
          </w:tcPr>
          <w:p w14:paraId="71D3DFE0" w14:textId="77777777" w:rsidR="006A3667" w:rsidRDefault="006A3667">
            <w:pPr>
              <w:rPr>
                <w:rFonts w:ascii="宋体"/>
              </w:rPr>
            </w:pPr>
          </w:p>
        </w:tc>
        <w:tc>
          <w:tcPr>
            <w:tcW w:w="50" w:type="pct"/>
            <w:shd w:val="clear" w:color="auto" w:fill="auto"/>
            <w:vAlign w:val="bottom"/>
          </w:tcPr>
          <w:p w14:paraId="71D3DFE1" w14:textId="77777777" w:rsidR="006A3667" w:rsidRDefault="006A3667">
            <w:pPr>
              <w:rPr>
                <w:rFonts w:ascii="宋体"/>
              </w:rPr>
            </w:pPr>
          </w:p>
        </w:tc>
        <w:tc>
          <w:tcPr>
            <w:tcW w:w="727" w:type="pct"/>
            <w:shd w:val="clear" w:color="auto" w:fill="auto"/>
            <w:vAlign w:val="bottom"/>
          </w:tcPr>
          <w:p w14:paraId="71D3DFE2" w14:textId="77777777" w:rsidR="006A3667" w:rsidRDefault="006A3667">
            <w:pPr>
              <w:rPr>
                <w:rFonts w:ascii="宋体"/>
              </w:rPr>
            </w:pPr>
          </w:p>
        </w:tc>
        <w:tc>
          <w:tcPr>
            <w:tcW w:w="5" w:type="pct"/>
            <w:shd w:val="clear" w:color="auto" w:fill="auto"/>
            <w:vAlign w:val="bottom"/>
          </w:tcPr>
          <w:p w14:paraId="71D3DFE3" w14:textId="77777777" w:rsidR="006A3667" w:rsidRDefault="006A3667">
            <w:pPr>
              <w:rPr>
                <w:rFonts w:ascii="宋体"/>
              </w:rPr>
            </w:pPr>
          </w:p>
        </w:tc>
        <w:tc>
          <w:tcPr>
            <w:tcW w:w="5" w:type="pct"/>
            <w:shd w:val="clear" w:color="auto" w:fill="auto"/>
            <w:vAlign w:val="bottom"/>
          </w:tcPr>
          <w:p w14:paraId="71D3DFE4" w14:textId="77777777" w:rsidR="006A3667" w:rsidRDefault="006A3667">
            <w:pPr>
              <w:rPr>
                <w:rFonts w:ascii="宋体"/>
              </w:rPr>
            </w:pPr>
          </w:p>
        </w:tc>
        <w:tc>
          <w:tcPr>
            <w:tcW w:w="26" w:type="pct"/>
            <w:shd w:val="clear" w:color="auto" w:fill="auto"/>
            <w:vAlign w:val="bottom"/>
          </w:tcPr>
          <w:p w14:paraId="71D3DFE5" w14:textId="77777777" w:rsidR="006A3667" w:rsidRDefault="006A3667">
            <w:pPr>
              <w:rPr>
                <w:rFonts w:ascii="宋体"/>
              </w:rPr>
            </w:pPr>
          </w:p>
        </w:tc>
        <w:tc>
          <w:tcPr>
            <w:tcW w:w="5" w:type="pct"/>
            <w:shd w:val="clear" w:color="auto" w:fill="auto"/>
            <w:vAlign w:val="bottom"/>
          </w:tcPr>
          <w:p w14:paraId="71D3DFE6" w14:textId="77777777" w:rsidR="006A3667" w:rsidRDefault="006A3667">
            <w:pPr>
              <w:rPr>
                <w:rFonts w:ascii="宋体"/>
              </w:rPr>
            </w:pPr>
          </w:p>
        </w:tc>
        <w:tc>
          <w:tcPr>
            <w:tcW w:w="50" w:type="pct"/>
            <w:shd w:val="clear" w:color="auto" w:fill="auto"/>
            <w:vAlign w:val="bottom"/>
          </w:tcPr>
          <w:p w14:paraId="71D3DFE7" w14:textId="77777777" w:rsidR="006A3667" w:rsidRDefault="006A3667">
            <w:pPr>
              <w:rPr>
                <w:rFonts w:ascii="宋体"/>
              </w:rPr>
            </w:pPr>
          </w:p>
        </w:tc>
        <w:tc>
          <w:tcPr>
            <w:tcW w:w="727" w:type="pct"/>
            <w:shd w:val="clear" w:color="auto" w:fill="auto"/>
            <w:vAlign w:val="bottom"/>
          </w:tcPr>
          <w:p w14:paraId="71D3DFE8" w14:textId="77777777" w:rsidR="006A3667" w:rsidRDefault="006A3667">
            <w:pPr>
              <w:rPr>
                <w:rFonts w:ascii="宋体"/>
              </w:rPr>
            </w:pPr>
          </w:p>
        </w:tc>
        <w:tc>
          <w:tcPr>
            <w:tcW w:w="5" w:type="pct"/>
            <w:shd w:val="clear" w:color="auto" w:fill="auto"/>
            <w:vAlign w:val="bottom"/>
          </w:tcPr>
          <w:p w14:paraId="71D3DFE9" w14:textId="77777777" w:rsidR="006A3667" w:rsidRDefault="006A3667">
            <w:pPr>
              <w:rPr>
                <w:rFonts w:ascii="宋体"/>
              </w:rPr>
            </w:pPr>
          </w:p>
        </w:tc>
        <w:tc>
          <w:tcPr>
            <w:tcW w:w="5" w:type="pct"/>
            <w:shd w:val="clear" w:color="auto" w:fill="auto"/>
            <w:vAlign w:val="bottom"/>
          </w:tcPr>
          <w:p w14:paraId="71D3DFEA" w14:textId="77777777" w:rsidR="006A3667" w:rsidRDefault="006A3667">
            <w:pPr>
              <w:rPr>
                <w:rFonts w:ascii="宋体"/>
              </w:rPr>
            </w:pPr>
          </w:p>
        </w:tc>
        <w:tc>
          <w:tcPr>
            <w:tcW w:w="26" w:type="pct"/>
            <w:shd w:val="clear" w:color="auto" w:fill="auto"/>
            <w:vAlign w:val="bottom"/>
          </w:tcPr>
          <w:p w14:paraId="71D3DFEB" w14:textId="77777777" w:rsidR="006A3667" w:rsidRDefault="006A3667">
            <w:pPr>
              <w:rPr>
                <w:rFonts w:ascii="宋体"/>
              </w:rPr>
            </w:pPr>
          </w:p>
        </w:tc>
        <w:tc>
          <w:tcPr>
            <w:tcW w:w="5" w:type="pct"/>
            <w:shd w:val="clear" w:color="auto" w:fill="auto"/>
            <w:vAlign w:val="bottom"/>
          </w:tcPr>
          <w:p w14:paraId="71D3DFEC" w14:textId="77777777" w:rsidR="006A3667" w:rsidRDefault="006A3667">
            <w:pPr>
              <w:rPr>
                <w:rFonts w:ascii="宋体"/>
              </w:rPr>
            </w:pPr>
          </w:p>
        </w:tc>
        <w:tc>
          <w:tcPr>
            <w:tcW w:w="50" w:type="pct"/>
            <w:shd w:val="clear" w:color="auto" w:fill="auto"/>
            <w:vAlign w:val="bottom"/>
          </w:tcPr>
          <w:p w14:paraId="71D3DFED" w14:textId="77777777" w:rsidR="006A3667" w:rsidRDefault="006A3667">
            <w:pPr>
              <w:rPr>
                <w:rFonts w:ascii="宋体"/>
              </w:rPr>
            </w:pPr>
          </w:p>
        </w:tc>
        <w:tc>
          <w:tcPr>
            <w:tcW w:w="727" w:type="pct"/>
            <w:shd w:val="clear" w:color="auto" w:fill="auto"/>
            <w:vAlign w:val="bottom"/>
          </w:tcPr>
          <w:p w14:paraId="71D3DFEE" w14:textId="77777777" w:rsidR="006A3667" w:rsidRDefault="006A3667">
            <w:pPr>
              <w:rPr>
                <w:rFonts w:ascii="宋体"/>
              </w:rPr>
            </w:pPr>
          </w:p>
        </w:tc>
        <w:tc>
          <w:tcPr>
            <w:tcW w:w="5" w:type="pct"/>
            <w:shd w:val="clear" w:color="auto" w:fill="auto"/>
            <w:vAlign w:val="bottom"/>
          </w:tcPr>
          <w:p w14:paraId="71D3DFEF" w14:textId="77777777" w:rsidR="006A3667" w:rsidRDefault="006A3667">
            <w:pPr>
              <w:rPr>
                <w:rFonts w:ascii="宋体"/>
              </w:rPr>
            </w:pPr>
          </w:p>
        </w:tc>
      </w:tr>
      <w:tr w:rsidR="006A3667" w14:paraId="71D3DFF2" w14:textId="77777777">
        <w:tc>
          <w:tcPr>
            <w:tcW w:w="0" w:type="auto"/>
            <w:gridSpan w:val="18"/>
            <w:shd w:val="clear" w:color="auto" w:fill="auto"/>
            <w:tcMar>
              <w:top w:w="40" w:type="dxa"/>
              <w:left w:w="20" w:type="dxa"/>
              <w:bottom w:w="40" w:type="dxa"/>
              <w:right w:w="20" w:type="dxa"/>
            </w:tcMar>
            <w:vAlign w:val="bottom"/>
          </w:tcPr>
          <w:p w14:paraId="71D3DFF1" w14:textId="77777777" w:rsidR="006A3667" w:rsidRDefault="00045F32">
            <w:pPr>
              <w:textAlignment w:val="bottom"/>
            </w:pPr>
            <w:r>
              <w:rPr>
                <w:rFonts w:ascii="Arial" w:eastAsia="宋体" w:hAnsi="Arial" w:cs="Arial"/>
                <w:b/>
                <w:bCs/>
                <w:color w:val="000000"/>
                <w:sz w:val="16"/>
                <w:szCs w:val="16"/>
              </w:rPr>
              <w:t>TABLE 4: QUARTER-END DEBT INDICES</w:t>
            </w:r>
            <w:r>
              <w:rPr>
                <w:rFonts w:ascii="Arial" w:eastAsia="宋体" w:hAnsi="Arial" w:cs="Arial"/>
                <w:b/>
                <w:bCs/>
                <w:color w:val="000000"/>
                <w:sz w:val="10"/>
                <w:szCs w:val="10"/>
              </w:rPr>
              <w:t>(1)</w:t>
            </w:r>
          </w:p>
        </w:tc>
      </w:tr>
      <w:tr w:rsidR="006A3667" w14:paraId="71D3DFF5" w14:textId="77777777">
        <w:tc>
          <w:tcPr>
            <w:tcW w:w="0" w:type="auto"/>
            <w:gridSpan w:val="3"/>
            <w:shd w:val="clear" w:color="auto" w:fill="auto"/>
            <w:tcMar>
              <w:top w:w="0" w:type="dxa"/>
              <w:left w:w="20" w:type="dxa"/>
              <w:bottom w:w="0" w:type="dxa"/>
              <w:right w:w="20" w:type="dxa"/>
            </w:tcMar>
            <w:vAlign w:val="bottom"/>
          </w:tcPr>
          <w:p w14:paraId="71D3DFF3"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3DFF4" w14:textId="77777777" w:rsidR="006A3667" w:rsidRDefault="00045F32">
            <w:pPr>
              <w:jc w:val="center"/>
              <w:textAlignment w:val="bottom"/>
            </w:pPr>
            <w:r>
              <w:rPr>
                <w:rFonts w:ascii="Arial" w:eastAsia="宋体" w:hAnsi="Arial" w:cs="Arial"/>
                <w:b/>
                <w:bCs/>
                <w:color w:val="000000"/>
                <w:sz w:val="14"/>
                <w:szCs w:val="14"/>
              </w:rPr>
              <w:t>As of September 30,</w:t>
            </w:r>
          </w:p>
        </w:tc>
      </w:tr>
      <w:tr w:rsidR="006A3667" w14:paraId="71D3DFFC" w14:textId="77777777">
        <w:tc>
          <w:tcPr>
            <w:tcW w:w="0" w:type="auto"/>
            <w:gridSpan w:val="3"/>
            <w:shd w:val="clear" w:color="auto" w:fill="auto"/>
            <w:tcMar>
              <w:top w:w="0" w:type="dxa"/>
              <w:left w:w="20" w:type="dxa"/>
              <w:bottom w:w="0" w:type="dxa"/>
              <w:right w:w="20" w:type="dxa"/>
            </w:tcMar>
            <w:vAlign w:val="bottom"/>
          </w:tcPr>
          <w:p w14:paraId="71D3DFF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F7"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FF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F9"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DFF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DFFB" w14:textId="77777777" w:rsidR="006A3667" w:rsidRDefault="00045F32">
            <w:pPr>
              <w:jc w:val="center"/>
              <w:textAlignment w:val="bottom"/>
            </w:pPr>
            <w:r>
              <w:rPr>
                <w:rFonts w:ascii="Arial" w:eastAsia="宋体" w:hAnsi="Arial" w:cs="Arial"/>
                <w:b/>
                <w:bCs/>
                <w:color w:val="000000"/>
                <w:sz w:val="14"/>
                <w:szCs w:val="14"/>
              </w:rPr>
              <w:t>% Change</w:t>
            </w:r>
          </w:p>
        </w:tc>
      </w:tr>
      <w:tr w:rsidR="006A3667" w14:paraId="71D3E006" w14:textId="77777777">
        <w:tc>
          <w:tcPr>
            <w:tcW w:w="0" w:type="auto"/>
            <w:gridSpan w:val="3"/>
            <w:shd w:val="clear" w:color="auto" w:fill="CCEEFF"/>
            <w:tcMar>
              <w:top w:w="40" w:type="dxa"/>
              <w:left w:w="20" w:type="dxa"/>
              <w:bottom w:w="40" w:type="dxa"/>
              <w:right w:w="20" w:type="dxa"/>
            </w:tcMar>
            <w:vAlign w:val="center"/>
          </w:tcPr>
          <w:p w14:paraId="71D3DFFD" w14:textId="77777777" w:rsidR="006A3667" w:rsidRDefault="00045F32">
            <w:pPr>
              <w:textAlignment w:val="center"/>
            </w:pPr>
            <w:r>
              <w:rPr>
                <w:rFonts w:ascii="Arial" w:eastAsia="宋体" w:hAnsi="Arial" w:cs="Arial"/>
                <w:color w:val="000000"/>
                <w:sz w:val="14"/>
                <w:szCs w:val="14"/>
              </w:rPr>
              <w:t>Barclays Capital U.S. 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DFFE" w14:textId="77777777" w:rsidR="006A3667" w:rsidRDefault="00045F32">
            <w:pPr>
              <w:jc w:val="right"/>
              <w:textAlignment w:val="center"/>
            </w:pPr>
            <w:r>
              <w:rPr>
                <w:rFonts w:ascii="Arial" w:eastAsia="宋体" w:hAnsi="Arial" w:cs="Arial"/>
                <w:b/>
                <w:bCs/>
                <w:color w:val="000000"/>
                <w:sz w:val="14"/>
                <w:szCs w:val="14"/>
              </w:rPr>
              <w:t>2,011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DFF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00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E001" w14:textId="77777777" w:rsidR="006A3667" w:rsidRDefault="00045F32">
            <w:pPr>
              <w:jc w:val="right"/>
              <w:textAlignment w:val="center"/>
            </w:pPr>
            <w:r>
              <w:rPr>
                <w:rFonts w:ascii="Arial" w:eastAsia="宋体" w:hAnsi="Arial" w:cs="Arial"/>
                <w:color w:val="000000"/>
                <w:sz w:val="14"/>
                <w:szCs w:val="14"/>
              </w:rPr>
              <w:t>2,355 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E0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00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3E004" w14:textId="77777777" w:rsidR="006A3667" w:rsidRDefault="00045F32">
            <w:pPr>
              <w:jc w:val="right"/>
              <w:textAlignment w:val="center"/>
            </w:pPr>
            <w:r>
              <w:rPr>
                <w:rFonts w:ascii="Arial" w:eastAsia="宋体" w:hAnsi="Arial" w:cs="Arial"/>
                <w:color w:val="000000"/>
                <w:sz w:val="14"/>
                <w:szCs w:val="14"/>
              </w:rPr>
              <w:t>(15)</w:t>
            </w:r>
          </w:p>
        </w:tc>
        <w:tc>
          <w:tcPr>
            <w:tcW w:w="0" w:type="auto"/>
            <w:tcBorders>
              <w:top w:val="single" w:sz="8" w:space="0" w:color="000000"/>
            </w:tcBorders>
            <w:shd w:val="clear" w:color="auto" w:fill="CCEEFF"/>
            <w:tcMar>
              <w:top w:w="40" w:type="dxa"/>
              <w:left w:w="0" w:type="dxa"/>
              <w:bottom w:w="40" w:type="dxa"/>
              <w:right w:w="20" w:type="dxa"/>
            </w:tcMar>
            <w:vAlign w:val="center"/>
          </w:tcPr>
          <w:p w14:paraId="71D3E005" w14:textId="77777777" w:rsidR="006A3667" w:rsidRDefault="00045F32">
            <w:pPr>
              <w:jc w:val="right"/>
              <w:textAlignment w:val="center"/>
            </w:pPr>
            <w:r>
              <w:rPr>
                <w:rFonts w:ascii="Arial" w:eastAsia="宋体" w:hAnsi="Arial" w:cs="Arial"/>
                <w:color w:val="000000"/>
                <w:sz w:val="14"/>
                <w:szCs w:val="14"/>
              </w:rPr>
              <w:t>%</w:t>
            </w:r>
          </w:p>
        </w:tc>
      </w:tr>
      <w:tr w:rsidR="006A3667" w14:paraId="71D3E010" w14:textId="77777777">
        <w:tc>
          <w:tcPr>
            <w:tcW w:w="0" w:type="auto"/>
            <w:gridSpan w:val="3"/>
            <w:shd w:val="clear" w:color="auto" w:fill="FFFFFF"/>
            <w:tcMar>
              <w:top w:w="40" w:type="dxa"/>
              <w:left w:w="20" w:type="dxa"/>
              <w:bottom w:w="40" w:type="dxa"/>
              <w:right w:w="20" w:type="dxa"/>
            </w:tcMar>
            <w:vAlign w:val="center"/>
          </w:tcPr>
          <w:p w14:paraId="71D3E007" w14:textId="77777777" w:rsidR="006A3667" w:rsidRDefault="00045F32">
            <w:pPr>
              <w:textAlignment w:val="center"/>
            </w:pPr>
            <w:r>
              <w:rPr>
                <w:rFonts w:ascii="Arial" w:eastAsia="宋体" w:hAnsi="Arial" w:cs="Arial"/>
                <w:color w:val="000000"/>
                <w:sz w:val="14"/>
                <w:szCs w:val="14"/>
              </w:rPr>
              <w:t>Barcla</w:t>
            </w:r>
            <w:r>
              <w:rPr>
                <w:rFonts w:ascii="Arial" w:eastAsia="宋体" w:hAnsi="Arial" w:cs="Arial"/>
                <w:color w:val="000000"/>
                <w:sz w:val="14"/>
                <w:szCs w:val="14"/>
              </w:rPr>
              <w:t>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71D3E008" w14:textId="77777777" w:rsidR="006A3667" w:rsidRDefault="00045F32">
            <w:pPr>
              <w:jc w:val="right"/>
              <w:textAlignment w:val="center"/>
            </w:pPr>
            <w:r>
              <w:rPr>
                <w:rFonts w:ascii="Arial" w:eastAsia="宋体" w:hAnsi="Arial" w:cs="Arial"/>
                <w:b/>
                <w:bCs/>
                <w:color w:val="000000"/>
                <w:sz w:val="14"/>
                <w:szCs w:val="14"/>
              </w:rPr>
              <w:t>427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1D3E0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0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E00B" w14:textId="77777777" w:rsidR="006A3667" w:rsidRDefault="00045F32">
            <w:pPr>
              <w:jc w:val="right"/>
              <w:textAlignment w:val="center"/>
            </w:pPr>
            <w:r>
              <w:rPr>
                <w:rFonts w:ascii="Arial" w:eastAsia="宋体" w:hAnsi="Arial" w:cs="Arial"/>
                <w:color w:val="000000"/>
                <w:sz w:val="14"/>
                <w:szCs w:val="14"/>
              </w:rPr>
              <w:t>536 </w:t>
            </w:r>
          </w:p>
        </w:tc>
        <w:tc>
          <w:tcPr>
            <w:tcW w:w="0" w:type="auto"/>
            <w:shd w:val="clear" w:color="auto" w:fill="FFFFFF"/>
            <w:tcMar>
              <w:top w:w="40" w:type="dxa"/>
              <w:left w:w="0" w:type="dxa"/>
              <w:bottom w:w="40" w:type="dxa"/>
              <w:right w:w="20" w:type="dxa"/>
            </w:tcMar>
            <w:vAlign w:val="center"/>
          </w:tcPr>
          <w:p w14:paraId="71D3E0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0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3E00E" w14:textId="77777777" w:rsidR="006A3667" w:rsidRDefault="00045F32">
            <w:pPr>
              <w:jc w:val="right"/>
              <w:textAlignment w:val="center"/>
            </w:pPr>
            <w:r>
              <w:rPr>
                <w:rFonts w:ascii="Arial" w:eastAsia="宋体" w:hAnsi="Arial" w:cs="Arial"/>
                <w:color w:val="000000"/>
                <w:sz w:val="14"/>
                <w:szCs w:val="14"/>
              </w:rPr>
              <w:t>(20)</w:t>
            </w:r>
          </w:p>
        </w:tc>
        <w:tc>
          <w:tcPr>
            <w:tcW w:w="0" w:type="auto"/>
            <w:shd w:val="clear" w:color="auto" w:fill="FFFFFF"/>
            <w:tcMar>
              <w:top w:w="40" w:type="dxa"/>
              <w:left w:w="0" w:type="dxa"/>
              <w:bottom w:w="40" w:type="dxa"/>
              <w:right w:w="20" w:type="dxa"/>
            </w:tcMar>
            <w:vAlign w:val="center"/>
          </w:tcPr>
          <w:p w14:paraId="71D3E00F" w14:textId="77777777" w:rsidR="006A3667" w:rsidRDefault="006A3667">
            <w:pPr>
              <w:jc w:val="right"/>
              <w:rPr>
                <w:rFonts w:ascii="宋体"/>
              </w:rPr>
            </w:pPr>
          </w:p>
        </w:tc>
      </w:tr>
    </w:tbl>
    <w:p w14:paraId="71D3E011"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3E018" w14:textId="77777777">
        <w:tc>
          <w:tcPr>
            <w:tcW w:w="50" w:type="pct"/>
            <w:shd w:val="clear" w:color="auto" w:fill="auto"/>
            <w:vAlign w:val="bottom"/>
          </w:tcPr>
          <w:p w14:paraId="71D3E012" w14:textId="77777777" w:rsidR="006A3667" w:rsidRDefault="006A3667">
            <w:pPr>
              <w:rPr>
                <w:rFonts w:ascii="宋体"/>
              </w:rPr>
            </w:pPr>
          </w:p>
        </w:tc>
        <w:tc>
          <w:tcPr>
            <w:tcW w:w="1348" w:type="pct"/>
            <w:shd w:val="clear" w:color="auto" w:fill="auto"/>
            <w:vAlign w:val="bottom"/>
          </w:tcPr>
          <w:p w14:paraId="71D3E013" w14:textId="77777777" w:rsidR="006A3667" w:rsidRDefault="006A3667">
            <w:pPr>
              <w:rPr>
                <w:rFonts w:ascii="宋体"/>
              </w:rPr>
            </w:pPr>
          </w:p>
        </w:tc>
        <w:tc>
          <w:tcPr>
            <w:tcW w:w="5" w:type="pct"/>
            <w:shd w:val="clear" w:color="auto" w:fill="auto"/>
            <w:vAlign w:val="bottom"/>
          </w:tcPr>
          <w:p w14:paraId="71D3E014" w14:textId="77777777" w:rsidR="006A3667" w:rsidRDefault="006A3667">
            <w:pPr>
              <w:rPr>
                <w:rFonts w:ascii="宋体"/>
              </w:rPr>
            </w:pPr>
          </w:p>
        </w:tc>
        <w:tc>
          <w:tcPr>
            <w:tcW w:w="50" w:type="pct"/>
            <w:shd w:val="clear" w:color="auto" w:fill="auto"/>
            <w:vAlign w:val="bottom"/>
          </w:tcPr>
          <w:p w14:paraId="71D3E015" w14:textId="77777777" w:rsidR="006A3667" w:rsidRDefault="006A3667">
            <w:pPr>
              <w:rPr>
                <w:rFonts w:ascii="宋体"/>
              </w:rPr>
            </w:pPr>
          </w:p>
        </w:tc>
        <w:tc>
          <w:tcPr>
            <w:tcW w:w="3541" w:type="pct"/>
            <w:shd w:val="clear" w:color="auto" w:fill="auto"/>
            <w:vAlign w:val="bottom"/>
          </w:tcPr>
          <w:p w14:paraId="71D3E016" w14:textId="77777777" w:rsidR="006A3667" w:rsidRDefault="006A3667">
            <w:pPr>
              <w:rPr>
                <w:rFonts w:ascii="宋体"/>
              </w:rPr>
            </w:pPr>
          </w:p>
        </w:tc>
        <w:tc>
          <w:tcPr>
            <w:tcW w:w="5" w:type="pct"/>
            <w:shd w:val="clear" w:color="auto" w:fill="auto"/>
            <w:vAlign w:val="bottom"/>
          </w:tcPr>
          <w:p w14:paraId="71D3E017" w14:textId="77777777" w:rsidR="006A3667" w:rsidRDefault="006A3667">
            <w:pPr>
              <w:rPr>
                <w:rFonts w:ascii="宋体"/>
              </w:rPr>
            </w:pPr>
          </w:p>
        </w:tc>
      </w:tr>
      <w:tr w:rsidR="006A3667" w14:paraId="71D3E01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E01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01A" w14:textId="77777777" w:rsidR="006A3667" w:rsidRDefault="006A3667">
            <w:pPr>
              <w:rPr>
                <w:rFonts w:ascii="宋体"/>
              </w:rPr>
            </w:pPr>
          </w:p>
        </w:tc>
      </w:tr>
    </w:tbl>
    <w:p w14:paraId="71D3E01C" w14:textId="77777777" w:rsidR="006A3667" w:rsidRDefault="00045F32">
      <w:r>
        <w:rPr>
          <w:rFonts w:ascii="Arial" w:eastAsia="宋体" w:hAnsi="Arial" w:cs="Arial"/>
          <w:color w:val="000000"/>
          <w:sz w:val="8"/>
          <w:szCs w:val="8"/>
        </w:rPr>
        <w:t xml:space="preserve">(1) </w:t>
      </w:r>
      <w:r>
        <w:rPr>
          <w:rFonts w:ascii="Arial" w:eastAsia="宋体" w:hAnsi="Arial" w:cs="Arial"/>
          <w:color w:val="000000"/>
          <w:sz w:val="13"/>
          <w:szCs w:val="13"/>
        </w:rPr>
        <w:t>The index names listed in the table are service marks of their respective owners.</w:t>
      </w:r>
    </w:p>
    <w:p w14:paraId="71D3E01D" w14:textId="77777777" w:rsidR="006A3667" w:rsidRDefault="00045F32">
      <w:pPr>
        <w:ind w:firstLine="450"/>
        <w:jc w:val="right"/>
      </w:pPr>
      <w:r>
        <w:rPr>
          <w:rFonts w:ascii="Arial" w:eastAsia="宋体" w:hAnsi="Arial" w:cs="Arial"/>
          <w:color w:val="000000"/>
          <w:sz w:val="18"/>
          <w:szCs w:val="18"/>
        </w:rPr>
        <w:t>State Street Corporation | 12</w:t>
      </w:r>
    </w:p>
    <w:p w14:paraId="71D3E01E" w14:textId="77777777" w:rsidR="006A3667" w:rsidRDefault="006A3667">
      <w:pPr>
        <w:ind w:firstLine="450"/>
        <w:jc w:val="center"/>
      </w:pPr>
    </w:p>
    <w:p w14:paraId="71D3E01F" w14:textId="77777777" w:rsidR="006A3667" w:rsidRDefault="00045F32">
      <w:r>
        <w:pict w14:anchorId="71D4AC20">
          <v:rect id="_x0000_i1036" style="width:415.3pt;height:1.5pt" o:hralign="center" o:hrstd="t" o:hr="t" fillcolor="#a0a0a0" stroked="f"/>
        </w:pict>
      </w:r>
    </w:p>
    <w:p w14:paraId="71D3E020" w14:textId="77777777" w:rsidR="006A3667" w:rsidRDefault="00045F32">
      <w:pPr>
        <w:ind w:firstLine="450"/>
        <w:jc w:val="center"/>
      </w:pPr>
      <w:r>
        <w:rPr>
          <w:rFonts w:ascii="Arial" w:eastAsia="宋体" w:hAnsi="Arial" w:cs="Arial"/>
          <w:b/>
          <w:bCs/>
          <w:color w:val="000000"/>
          <w:sz w:val="20"/>
          <w:szCs w:val="20"/>
        </w:rPr>
        <w:t xml:space="preserve">MANAGEMENT’S DISCUSSION AND ANALYSIS OF FINANCIAL </w:t>
      </w:r>
      <w:r>
        <w:rPr>
          <w:rFonts w:ascii="Arial" w:eastAsia="宋体" w:hAnsi="Arial" w:cs="Arial"/>
          <w:b/>
          <w:bCs/>
          <w:color w:val="000000"/>
          <w:sz w:val="20"/>
          <w:szCs w:val="20"/>
        </w:rPr>
        <w:t>CONDITION</w:t>
      </w:r>
    </w:p>
    <w:p w14:paraId="71D3E021" w14:textId="77777777" w:rsidR="006A3667" w:rsidRDefault="00045F32">
      <w:pPr>
        <w:ind w:firstLine="450"/>
        <w:jc w:val="center"/>
      </w:pPr>
      <w:r>
        <w:rPr>
          <w:rFonts w:ascii="Arial" w:eastAsia="宋体" w:hAnsi="Arial" w:cs="Arial"/>
          <w:b/>
          <w:bCs/>
          <w:color w:val="000000"/>
          <w:sz w:val="20"/>
          <w:szCs w:val="20"/>
        </w:rPr>
        <w:t>AND RESULTS OF OPERATIONS</w:t>
      </w:r>
    </w:p>
    <w:p w14:paraId="71D3E022" w14:textId="77777777" w:rsidR="006A3667" w:rsidRDefault="00045F32">
      <w:pPr>
        <w:spacing w:before="60"/>
      </w:pPr>
      <w:r>
        <w:rPr>
          <w:rFonts w:ascii="Arial" w:eastAsia="宋体" w:hAnsi="Arial" w:cs="Arial"/>
          <w:i/>
          <w:iCs/>
          <w:color w:val="000000"/>
          <w:sz w:val="20"/>
          <w:szCs w:val="20"/>
        </w:rPr>
        <w:t>Client Activity and Asset Flows</w:t>
      </w:r>
    </w:p>
    <w:p w14:paraId="71D3E023" w14:textId="77777777" w:rsidR="006A3667" w:rsidRDefault="00045F32">
      <w:pPr>
        <w:spacing w:before="60"/>
        <w:ind w:firstLine="450"/>
        <w:jc w:val="both"/>
      </w:pPr>
      <w:r>
        <w:rPr>
          <w:rFonts w:ascii="Arial" w:eastAsia="宋体" w:hAnsi="Arial" w:cs="Arial"/>
          <w:color w:val="000000"/>
          <w:sz w:val="20"/>
          <w:szCs w:val="20"/>
        </w:rPr>
        <w:t xml:space="preserve">Client activity and asset flows are impacted by the number of transactions we execute on behalf of our clients, including FX settlements, equity and derivative trades, and wire </w:t>
      </w:r>
      <w:r>
        <w:rPr>
          <w:rFonts w:ascii="Arial" w:eastAsia="宋体" w:hAnsi="Arial" w:cs="Arial"/>
          <w:color w:val="000000"/>
          <w:sz w:val="20"/>
          <w:szCs w:val="20"/>
        </w:rPr>
        <w:t xml:space="preserve">transfer activity, as well as actions by our clients to change the asset class in which their assets are invested. Our servicing fee revenues are impacted by a number of factors, including transaction volumes, asset levels and asset classes in which funds </w:t>
      </w:r>
      <w:r>
        <w:rPr>
          <w:rFonts w:ascii="Arial" w:eastAsia="宋体" w:hAnsi="Arial" w:cs="Arial"/>
          <w:color w:val="000000"/>
          <w:sz w:val="20"/>
          <w:szCs w:val="20"/>
        </w:rPr>
        <w:t>are invested, as well as industry trends associated with these client-related activities.</w:t>
      </w:r>
    </w:p>
    <w:p w14:paraId="71D3E024" w14:textId="77777777" w:rsidR="006A3667" w:rsidRDefault="00045F32">
      <w:pPr>
        <w:spacing w:before="60"/>
        <w:ind w:firstLine="450"/>
        <w:jc w:val="both"/>
      </w:pPr>
      <w:r>
        <w:rPr>
          <w:rFonts w:ascii="Arial" w:eastAsia="宋体" w:hAnsi="Arial" w:cs="Arial"/>
          <w:color w:val="000000"/>
          <w:sz w:val="20"/>
          <w:szCs w:val="20"/>
        </w:rPr>
        <w:t>Our clients may change the asset classes in which their assets are invested, based on their market outlook, risk acceptance tolerance or other considerations. Over th</w:t>
      </w:r>
      <w:r>
        <w:rPr>
          <w:rFonts w:ascii="Arial" w:eastAsia="宋体" w:hAnsi="Arial" w:cs="Arial"/>
          <w:color w:val="000000"/>
          <w:sz w:val="20"/>
          <w:szCs w:val="20"/>
        </w:rPr>
        <w:t>e five years ended December 31, 2021, we estimate that client activity and asset flows, together, impacted our servicing fee revenues by approximately 0% on average with a range of (1)% to 2% annually and approximately 0% and 2% in 2021 and 2020, respectiv</w:t>
      </w:r>
      <w:r>
        <w:rPr>
          <w:rFonts w:ascii="Arial" w:eastAsia="宋体" w:hAnsi="Arial" w:cs="Arial"/>
          <w:color w:val="000000"/>
          <w:sz w:val="20"/>
          <w:szCs w:val="20"/>
        </w:rPr>
        <w:t>ely. See Table 5: Industry Asset Flows for selected asset flow information. While the asset flows presented are indicative of general market trends, the asset types and classes relevant to individual client portfolios can and do differ, and our flows may d</w:t>
      </w:r>
      <w:r>
        <w:rPr>
          <w:rFonts w:ascii="Arial" w:eastAsia="宋体" w:hAnsi="Arial" w:cs="Arial"/>
          <w:color w:val="000000"/>
          <w:sz w:val="20"/>
          <w:szCs w:val="20"/>
        </w:rPr>
        <w:t>iffer from those market trends. In addition, our asset classifications may differ from those industry classifications presented.</w:t>
      </w:r>
    </w:p>
    <w:tbl>
      <w:tblPr>
        <w:tblW w:w="5000" w:type="pct"/>
        <w:tblCellMar>
          <w:top w:w="15" w:type="dxa"/>
          <w:left w:w="15" w:type="dxa"/>
          <w:bottom w:w="15" w:type="dxa"/>
          <w:right w:w="15" w:type="dxa"/>
        </w:tblCellMar>
        <w:tblLook w:val="04A0" w:firstRow="1" w:lastRow="0" w:firstColumn="1" w:lastColumn="0" w:noHBand="0" w:noVBand="1"/>
      </w:tblPr>
      <w:tblGrid>
        <w:gridCol w:w="47"/>
        <w:gridCol w:w="4175"/>
        <w:gridCol w:w="37"/>
        <w:gridCol w:w="104"/>
        <w:gridCol w:w="1858"/>
        <w:gridCol w:w="36"/>
        <w:gridCol w:w="36"/>
        <w:gridCol w:w="36"/>
        <w:gridCol w:w="36"/>
        <w:gridCol w:w="104"/>
        <w:gridCol w:w="1831"/>
        <w:gridCol w:w="36"/>
      </w:tblGrid>
      <w:tr w:rsidR="006A3667" w14:paraId="71D3E031" w14:textId="77777777">
        <w:tc>
          <w:tcPr>
            <w:tcW w:w="50" w:type="pct"/>
            <w:shd w:val="clear" w:color="auto" w:fill="auto"/>
            <w:vAlign w:val="bottom"/>
          </w:tcPr>
          <w:p w14:paraId="71D3E025" w14:textId="77777777" w:rsidR="006A3667" w:rsidRDefault="006A3667">
            <w:pPr>
              <w:rPr>
                <w:rFonts w:ascii="宋体"/>
              </w:rPr>
            </w:pPr>
          </w:p>
        </w:tc>
        <w:tc>
          <w:tcPr>
            <w:tcW w:w="2525" w:type="pct"/>
            <w:shd w:val="clear" w:color="auto" w:fill="auto"/>
            <w:vAlign w:val="bottom"/>
          </w:tcPr>
          <w:p w14:paraId="71D3E026" w14:textId="77777777" w:rsidR="006A3667" w:rsidRDefault="006A3667">
            <w:pPr>
              <w:rPr>
                <w:rFonts w:ascii="宋体"/>
              </w:rPr>
            </w:pPr>
          </w:p>
        </w:tc>
        <w:tc>
          <w:tcPr>
            <w:tcW w:w="5" w:type="pct"/>
            <w:shd w:val="clear" w:color="auto" w:fill="auto"/>
            <w:vAlign w:val="bottom"/>
          </w:tcPr>
          <w:p w14:paraId="71D3E027" w14:textId="77777777" w:rsidR="006A3667" w:rsidRDefault="006A3667">
            <w:pPr>
              <w:rPr>
                <w:rFonts w:ascii="宋体"/>
              </w:rPr>
            </w:pPr>
          </w:p>
        </w:tc>
        <w:tc>
          <w:tcPr>
            <w:tcW w:w="50" w:type="pct"/>
            <w:shd w:val="clear" w:color="auto" w:fill="auto"/>
            <w:vAlign w:val="bottom"/>
          </w:tcPr>
          <w:p w14:paraId="71D3E028" w14:textId="77777777" w:rsidR="006A3667" w:rsidRDefault="006A3667">
            <w:pPr>
              <w:rPr>
                <w:rFonts w:ascii="宋体"/>
              </w:rPr>
            </w:pPr>
          </w:p>
        </w:tc>
        <w:tc>
          <w:tcPr>
            <w:tcW w:w="1136" w:type="pct"/>
            <w:shd w:val="clear" w:color="auto" w:fill="auto"/>
            <w:vAlign w:val="bottom"/>
          </w:tcPr>
          <w:p w14:paraId="71D3E029" w14:textId="77777777" w:rsidR="006A3667" w:rsidRDefault="006A3667">
            <w:pPr>
              <w:rPr>
                <w:rFonts w:ascii="宋体"/>
              </w:rPr>
            </w:pPr>
          </w:p>
        </w:tc>
        <w:tc>
          <w:tcPr>
            <w:tcW w:w="5" w:type="pct"/>
            <w:shd w:val="clear" w:color="auto" w:fill="auto"/>
            <w:vAlign w:val="bottom"/>
          </w:tcPr>
          <w:p w14:paraId="71D3E02A" w14:textId="77777777" w:rsidR="006A3667" w:rsidRDefault="006A3667">
            <w:pPr>
              <w:rPr>
                <w:rFonts w:ascii="宋体"/>
              </w:rPr>
            </w:pPr>
          </w:p>
        </w:tc>
        <w:tc>
          <w:tcPr>
            <w:tcW w:w="5" w:type="pct"/>
            <w:shd w:val="clear" w:color="auto" w:fill="auto"/>
            <w:vAlign w:val="bottom"/>
          </w:tcPr>
          <w:p w14:paraId="71D3E02B" w14:textId="77777777" w:rsidR="006A3667" w:rsidRDefault="006A3667">
            <w:pPr>
              <w:rPr>
                <w:rFonts w:ascii="宋体"/>
              </w:rPr>
            </w:pPr>
          </w:p>
        </w:tc>
        <w:tc>
          <w:tcPr>
            <w:tcW w:w="26" w:type="pct"/>
            <w:shd w:val="clear" w:color="auto" w:fill="auto"/>
            <w:vAlign w:val="bottom"/>
          </w:tcPr>
          <w:p w14:paraId="71D3E02C" w14:textId="77777777" w:rsidR="006A3667" w:rsidRDefault="006A3667">
            <w:pPr>
              <w:rPr>
                <w:rFonts w:ascii="宋体"/>
              </w:rPr>
            </w:pPr>
          </w:p>
        </w:tc>
        <w:tc>
          <w:tcPr>
            <w:tcW w:w="5" w:type="pct"/>
            <w:shd w:val="clear" w:color="auto" w:fill="auto"/>
            <w:vAlign w:val="bottom"/>
          </w:tcPr>
          <w:p w14:paraId="71D3E02D" w14:textId="77777777" w:rsidR="006A3667" w:rsidRDefault="006A3667">
            <w:pPr>
              <w:rPr>
                <w:rFonts w:ascii="宋体"/>
              </w:rPr>
            </w:pPr>
          </w:p>
        </w:tc>
        <w:tc>
          <w:tcPr>
            <w:tcW w:w="50" w:type="pct"/>
            <w:shd w:val="clear" w:color="auto" w:fill="auto"/>
            <w:vAlign w:val="bottom"/>
          </w:tcPr>
          <w:p w14:paraId="71D3E02E" w14:textId="77777777" w:rsidR="006A3667" w:rsidRDefault="006A3667">
            <w:pPr>
              <w:rPr>
                <w:rFonts w:ascii="宋体"/>
              </w:rPr>
            </w:pPr>
          </w:p>
        </w:tc>
        <w:tc>
          <w:tcPr>
            <w:tcW w:w="1136" w:type="pct"/>
            <w:shd w:val="clear" w:color="auto" w:fill="auto"/>
            <w:vAlign w:val="bottom"/>
          </w:tcPr>
          <w:p w14:paraId="71D3E02F" w14:textId="77777777" w:rsidR="006A3667" w:rsidRDefault="006A3667">
            <w:pPr>
              <w:rPr>
                <w:rFonts w:ascii="宋体"/>
              </w:rPr>
            </w:pPr>
          </w:p>
        </w:tc>
        <w:tc>
          <w:tcPr>
            <w:tcW w:w="5" w:type="pct"/>
            <w:shd w:val="clear" w:color="auto" w:fill="auto"/>
            <w:vAlign w:val="bottom"/>
          </w:tcPr>
          <w:p w14:paraId="71D3E030" w14:textId="77777777" w:rsidR="006A3667" w:rsidRDefault="006A3667">
            <w:pPr>
              <w:rPr>
                <w:rFonts w:ascii="宋体"/>
              </w:rPr>
            </w:pPr>
          </w:p>
        </w:tc>
      </w:tr>
      <w:tr w:rsidR="006A3667" w14:paraId="71D3E033" w14:textId="77777777">
        <w:tc>
          <w:tcPr>
            <w:tcW w:w="0" w:type="auto"/>
            <w:gridSpan w:val="12"/>
            <w:shd w:val="clear" w:color="auto" w:fill="auto"/>
            <w:tcMar>
              <w:top w:w="40" w:type="dxa"/>
              <w:left w:w="20" w:type="dxa"/>
              <w:bottom w:w="40" w:type="dxa"/>
              <w:right w:w="20" w:type="dxa"/>
            </w:tcMar>
            <w:vAlign w:val="bottom"/>
          </w:tcPr>
          <w:p w14:paraId="71D3E032" w14:textId="77777777" w:rsidR="006A3667" w:rsidRDefault="00045F32">
            <w:pPr>
              <w:textAlignment w:val="bottom"/>
            </w:pPr>
            <w:r>
              <w:rPr>
                <w:rFonts w:ascii="Arial" w:eastAsia="宋体" w:hAnsi="Arial" w:cs="Arial"/>
                <w:b/>
                <w:bCs/>
                <w:color w:val="000000"/>
                <w:sz w:val="16"/>
                <w:szCs w:val="16"/>
              </w:rPr>
              <w:t>TABLE 5: INDUSTRY ASSET FLOWS</w:t>
            </w:r>
          </w:p>
        </w:tc>
      </w:tr>
      <w:tr w:rsidR="006A3667" w14:paraId="71D3E036" w14:textId="77777777">
        <w:tc>
          <w:tcPr>
            <w:tcW w:w="0" w:type="auto"/>
            <w:gridSpan w:val="3"/>
            <w:shd w:val="clear" w:color="auto" w:fill="auto"/>
            <w:tcMar>
              <w:top w:w="0" w:type="dxa"/>
              <w:left w:w="20" w:type="dxa"/>
              <w:bottom w:w="0" w:type="dxa"/>
              <w:right w:w="20" w:type="dxa"/>
            </w:tcMar>
            <w:vAlign w:val="bottom"/>
          </w:tcPr>
          <w:p w14:paraId="71D3E034"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3E035" w14:textId="77777777" w:rsidR="006A3667" w:rsidRDefault="00045F32">
            <w:pPr>
              <w:jc w:val="center"/>
              <w:textAlignment w:val="bottom"/>
            </w:pPr>
            <w:r>
              <w:rPr>
                <w:rFonts w:ascii="Arial" w:eastAsia="宋体" w:hAnsi="Arial" w:cs="Arial"/>
                <w:b/>
                <w:bCs/>
                <w:color w:val="000000"/>
                <w:sz w:val="15"/>
                <w:szCs w:val="15"/>
              </w:rPr>
              <w:t>Three Months Ended September 30,</w:t>
            </w:r>
          </w:p>
        </w:tc>
      </w:tr>
      <w:tr w:rsidR="006A3667" w14:paraId="71D3E03B" w14:textId="77777777">
        <w:tc>
          <w:tcPr>
            <w:tcW w:w="0" w:type="auto"/>
            <w:gridSpan w:val="3"/>
            <w:shd w:val="clear" w:color="auto" w:fill="auto"/>
            <w:tcMar>
              <w:top w:w="40" w:type="dxa"/>
              <w:left w:w="20" w:type="dxa"/>
              <w:bottom w:w="40" w:type="dxa"/>
              <w:right w:w="20" w:type="dxa"/>
            </w:tcMar>
            <w:vAlign w:val="bottom"/>
          </w:tcPr>
          <w:p w14:paraId="71D3E037" w14:textId="77777777" w:rsidR="006A3667" w:rsidRDefault="00045F32">
            <w:pPr>
              <w:textAlignment w:val="bottom"/>
            </w:pPr>
            <w:r>
              <w:rPr>
                <w:rFonts w:ascii="Arial" w:eastAsia="宋体" w:hAnsi="Arial" w:cs="Arial"/>
                <w:b/>
                <w:bCs/>
                <w:color w:val="000000"/>
                <w:sz w:val="15"/>
                <w:szCs w:val="15"/>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038"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03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03A" w14:textId="77777777" w:rsidR="006A3667" w:rsidRDefault="00045F32">
            <w:pPr>
              <w:jc w:val="center"/>
              <w:textAlignment w:val="bottom"/>
            </w:pPr>
            <w:r>
              <w:rPr>
                <w:rFonts w:ascii="Arial" w:eastAsia="宋体" w:hAnsi="Arial" w:cs="Arial"/>
                <w:b/>
                <w:bCs/>
                <w:color w:val="000000"/>
                <w:sz w:val="15"/>
                <w:szCs w:val="15"/>
              </w:rPr>
              <w:t>2021</w:t>
            </w:r>
          </w:p>
        </w:tc>
      </w:tr>
      <w:tr w:rsidR="006A3667" w14:paraId="71D3E040" w14:textId="77777777">
        <w:tc>
          <w:tcPr>
            <w:tcW w:w="0" w:type="auto"/>
            <w:gridSpan w:val="3"/>
            <w:shd w:val="clear" w:color="auto" w:fill="auto"/>
            <w:tcMar>
              <w:top w:w="40" w:type="dxa"/>
              <w:left w:w="20" w:type="dxa"/>
              <w:bottom w:w="40" w:type="dxa"/>
              <w:right w:w="20" w:type="dxa"/>
            </w:tcMar>
            <w:vAlign w:val="bottom"/>
          </w:tcPr>
          <w:p w14:paraId="71D3E03C" w14:textId="77777777" w:rsidR="006A3667" w:rsidRDefault="00045F32">
            <w:pPr>
              <w:textAlignment w:val="bottom"/>
            </w:pPr>
            <w:r>
              <w:rPr>
                <w:rFonts w:ascii="Arial" w:eastAsia="宋体" w:hAnsi="Arial" w:cs="Arial"/>
                <w:b/>
                <w:bCs/>
                <w:color w:val="000000"/>
                <w:sz w:val="15"/>
                <w:szCs w:val="15"/>
              </w:rPr>
              <w:t xml:space="preserve">North America - (US </w:t>
            </w:r>
            <w:r>
              <w:rPr>
                <w:rFonts w:ascii="Arial" w:eastAsia="宋体" w:hAnsi="Arial" w:cs="Arial"/>
                <w:b/>
                <w:bCs/>
                <w:color w:val="000000"/>
                <w:sz w:val="15"/>
                <w:szCs w:val="15"/>
              </w:rPr>
              <w:t>Domiciled) - Morningstar Direct Market Data</w:t>
            </w:r>
            <w:r>
              <w:rPr>
                <w:rFonts w:ascii="Arial" w:eastAsia="宋体" w:hAnsi="Arial" w:cs="Arial"/>
                <w:b/>
                <w:bCs/>
                <w:color w:val="000000"/>
                <w:sz w:val="9"/>
                <w:szCs w:val="9"/>
              </w:rPr>
              <w:t>(1)(2)(3)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03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03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03F" w14:textId="77777777" w:rsidR="006A3667" w:rsidRDefault="006A3667">
            <w:pPr>
              <w:rPr>
                <w:rFonts w:ascii="宋体"/>
              </w:rPr>
            </w:pPr>
          </w:p>
        </w:tc>
      </w:tr>
      <w:tr w:rsidR="006A3667" w14:paraId="71D3E049" w14:textId="77777777">
        <w:tc>
          <w:tcPr>
            <w:tcW w:w="0" w:type="auto"/>
            <w:gridSpan w:val="3"/>
            <w:shd w:val="clear" w:color="auto" w:fill="CCEEFF"/>
            <w:tcMar>
              <w:top w:w="40" w:type="dxa"/>
              <w:left w:w="20" w:type="dxa"/>
              <w:bottom w:w="40" w:type="dxa"/>
              <w:right w:w="20" w:type="dxa"/>
            </w:tcMar>
            <w:vAlign w:val="bottom"/>
          </w:tcPr>
          <w:p w14:paraId="71D3E041" w14:textId="77777777" w:rsidR="006A3667" w:rsidRDefault="00045F32">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71D3E042"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3E043" w14:textId="77777777" w:rsidR="006A3667" w:rsidRDefault="00045F32">
            <w:pPr>
              <w:jc w:val="right"/>
              <w:textAlignment w:val="bottom"/>
            </w:pPr>
            <w:r>
              <w:rPr>
                <w:rFonts w:ascii="Arial" w:eastAsia="宋体" w:hAnsi="Arial" w:cs="Arial"/>
                <w:b/>
                <w:bCs/>
                <w:color w:val="000000"/>
                <w:sz w:val="15"/>
                <w:szCs w:val="15"/>
              </w:rPr>
              <w:t>(194.0)</w:t>
            </w:r>
          </w:p>
        </w:tc>
        <w:tc>
          <w:tcPr>
            <w:tcW w:w="0" w:type="auto"/>
            <w:shd w:val="clear" w:color="auto" w:fill="CCEEFF"/>
            <w:tcMar>
              <w:top w:w="40" w:type="dxa"/>
              <w:left w:w="0" w:type="dxa"/>
              <w:bottom w:w="40" w:type="dxa"/>
              <w:right w:w="20" w:type="dxa"/>
            </w:tcMar>
            <w:vAlign w:val="bottom"/>
          </w:tcPr>
          <w:p w14:paraId="71D3E0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04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E046"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3E047" w14:textId="77777777" w:rsidR="006A3667" w:rsidRDefault="00045F32">
            <w:pPr>
              <w:jc w:val="right"/>
              <w:textAlignment w:val="bottom"/>
            </w:pPr>
            <w:r>
              <w:rPr>
                <w:rFonts w:ascii="Arial" w:eastAsia="宋体" w:hAnsi="Arial" w:cs="Arial"/>
                <w:color w:val="000000"/>
                <w:sz w:val="15"/>
                <w:szCs w:val="15"/>
              </w:rPr>
              <w:t>149.8 </w:t>
            </w:r>
          </w:p>
        </w:tc>
        <w:tc>
          <w:tcPr>
            <w:tcW w:w="0" w:type="auto"/>
            <w:shd w:val="clear" w:color="auto" w:fill="CCEEFF"/>
            <w:tcMar>
              <w:top w:w="40" w:type="dxa"/>
              <w:left w:w="0" w:type="dxa"/>
              <w:bottom w:w="40" w:type="dxa"/>
              <w:right w:w="20" w:type="dxa"/>
            </w:tcMar>
            <w:vAlign w:val="bottom"/>
          </w:tcPr>
          <w:p w14:paraId="71D3E048" w14:textId="77777777" w:rsidR="006A3667" w:rsidRDefault="006A3667">
            <w:pPr>
              <w:jc w:val="right"/>
              <w:rPr>
                <w:rFonts w:ascii="宋体"/>
              </w:rPr>
            </w:pPr>
          </w:p>
        </w:tc>
      </w:tr>
      <w:tr w:rsidR="006A3667" w14:paraId="71D3E050" w14:textId="77777777">
        <w:tc>
          <w:tcPr>
            <w:tcW w:w="0" w:type="auto"/>
            <w:gridSpan w:val="3"/>
            <w:shd w:val="clear" w:color="auto" w:fill="FFFFFF"/>
            <w:tcMar>
              <w:top w:w="40" w:type="dxa"/>
              <w:left w:w="155" w:type="dxa"/>
              <w:bottom w:w="40" w:type="dxa"/>
              <w:right w:w="20" w:type="dxa"/>
            </w:tcMar>
            <w:vAlign w:val="bottom"/>
          </w:tcPr>
          <w:p w14:paraId="71D3E04A" w14:textId="77777777" w:rsidR="006A3667" w:rsidRDefault="00045F32">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71D3E04B" w14:textId="77777777" w:rsidR="006A3667" w:rsidRDefault="00045F32">
            <w:pPr>
              <w:jc w:val="right"/>
              <w:textAlignment w:val="bottom"/>
            </w:pPr>
            <w:r>
              <w:rPr>
                <w:rFonts w:ascii="Arial" w:eastAsia="宋体" w:hAnsi="Arial" w:cs="Arial"/>
                <w:b/>
                <w:bCs/>
                <w:color w:val="000000"/>
                <w:sz w:val="15"/>
                <w:szCs w:val="15"/>
              </w:rPr>
              <w:t>(24.4)</w:t>
            </w:r>
          </w:p>
        </w:tc>
        <w:tc>
          <w:tcPr>
            <w:tcW w:w="0" w:type="auto"/>
            <w:shd w:val="clear" w:color="auto" w:fill="FFFFFF"/>
            <w:tcMar>
              <w:top w:w="40" w:type="dxa"/>
              <w:left w:w="0" w:type="dxa"/>
              <w:bottom w:w="40" w:type="dxa"/>
              <w:right w:w="20" w:type="dxa"/>
            </w:tcMar>
            <w:vAlign w:val="bottom"/>
          </w:tcPr>
          <w:p w14:paraId="71D3E04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04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04E" w14:textId="77777777" w:rsidR="006A3667" w:rsidRDefault="00045F32">
            <w:pPr>
              <w:jc w:val="right"/>
              <w:textAlignment w:val="bottom"/>
            </w:pPr>
            <w:r>
              <w:rPr>
                <w:rFonts w:ascii="Arial" w:eastAsia="宋体" w:hAnsi="Arial" w:cs="Arial"/>
                <w:color w:val="000000"/>
                <w:sz w:val="15"/>
                <w:szCs w:val="15"/>
              </w:rPr>
              <w:t>15.2 </w:t>
            </w:r>
          </w:p>
        </w:tc>
        <w:tc>
          <w:tcPr>
            <w:tcW w:w="0" w:type="auto"/>
            <w:shd w:val="clear" w:color="auto" w:fill="FFFFFF"/>
            <w:tcMar>
              <w:top w:w="40" w:type="dxa"/>
              <w:left w:w="0" w:type="dxa"/>
              <w:bottom w:w="40" w:type="dxa"/>
              <w:right w:w="20" w:type="dxa"/>
            </w:tcMar>
            <w:vAlign w:val="bottom"/>
          </w:tcPr>
          <w:p w14:paraId="71D3E04F" w14:textId="77777777" w:rsidR="006A3667" w:rsidRDefault="006A3667">
            <w:pPr>
              <w:jc w:val="right"/>
              <w:rPr>
                <w:rFonts w:ascii="宋体"/>
              </w:rPr>
            </w:pPr>
          </w:p>
        </w:tc>
      </w:tr>
      <w:tr w:rsidR="006A3667" w14:paraId="71D3E057" w14:textId="77777777">
        <w:tc>
          <w:tcPr>
            <w:tcW w:w="0" w:type="auto"/>
            <w:gridSpan w:val="3"/>
            <w:shd w:val="clear" w:color="auto" w:fill="CCEEFF"/>
            <w:tcMar>
              <w:top w:w="40" w:type="dxa"/>
              <w:left w:w="155" w:type="dxa"/>
              <w:bottom w:w="40" w:type="dxa"/>
              <w:right w:w="20" w:type="dxa"/>
            </w:tcMar>
            <w:vAlign w:val="bottom"/>
          </w:tcPr>
          <w:p w14:paraId="71D3E051" w14:textId="77777777" w:rsidR="006A3667" w:rsidRDefault="00045F32">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71D3E052" w14:textId="77777777" w:rsidR="006A3667" w:rsidRDefault="00045F32">
            <w:pPr>
              <w:jc w:val="right"/>
              <w:textAlignment w:val="bottom"/>
            </w:pPr>
            <w:r>
              <w:rPr>
                <w:rFonts w:ascii="Arial" w:eastAsia="宋体" w:hAnsi="Arial" w:cs="Arial"/>
                <w:b/>
                <w:bCs/>
                <w:color w:val="000000"/>
                <w:sz w:val="15"/>
                <w:szCs w:val="15"/>
              </w:rPr>
              <w:t>109.9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E05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05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055" w14:textId="77777777" w:rsidR="006A3667" w:rsidRDefault="00045F32">
            <w:pPr>
              <w:jc w:val="right"/>
              <w:textAlignment w:val="bottom"/>
            </w:pPr>
            <w:r>
              <w:rPr>
                <w:rFonts w:ascii="Arial" w:eastAsia="宋体" w:hAnsi="Arial" w:cs="Arial"/>
                <w:color w:val="000000"/>
                <w:sz w:val="15"/>
                <w:szCs w:val="15"/>
              </w:rPr>
              <w:t>77.1 </w:t>
            </w:r>
          </w:p>
        </w:tc>
        <w:tc>
          <w:tcPr>
            <w:tcW w:w="0" w:type="auto"/>
            <w:shd w:val="clear" w:color="auto" w:fill="CCEEFF"/>
            <w:tcMar>
              <w:top w:w="40" w:type="dxa"/>
              <w:left w:w="0" w:type="dxa"/>
              <w:bottom w:w="40" w:type="dxa"/>
              <w:right w:w="20" w:type="dxa"/>
            </w:tcMar>
            <w:vAlign w:val="bottom"/>
          </w:tcPr>
          <w:p w14:paraId="71D3E056" w14:textId="77777777" w:rsidR="006A3667" w:rsidRDefault="006A3667">
            <w:pPr>
              <w:jc w:val="right"/>
              <w:rPr>
                <w:rFonts w:ascii="宋体"/>
              </w:rPr>
            </w:pPr>
          </w:p>
        </w:tc>
      </w:tr>
      <w:tr w:rsidR="006A3667" w14:paraId="71D3E060" w14:textId="77777777">
        <w:tc>
          <w:tcPr>
            <w:tcW w:w="0" w:type="auto"/>
            <w:gridSpan w:val="3"/>
            <w:shd w:val="clear" w:color="auto" w:fill="FFFFFF"/>
            <w:tcMar>
              <w:top w:w="40" w:type="dxa"/>
              <w:left w:w="20" w:type="dxa"/>
              <w:bottom w:w="40" w:type="dxa"/>
              <w:right w:w="20" w:type="dxa"/>
            </w:tcMar>
            <w:vAlign w:val="bottom"/>
          </w:tcPr>
          <w:p w14:paraId="71D3E058" w14:textId="77777777" w:rsidR="006A3667" w:rsidRDefault="00045F32">
            <w:pPr>
              <w:textAlignment w:val="bottom"/>
            </w:pPr>
            <w:r>
              <w:rPr>
                <w:rFonts w:ascii="Arial" w:eastAsia="宋体" w:hAnsi="Arial" w:cs="Arial"/>
                <w:b/>
                <w:bCs/>
                <w:color w:val="000000"/>
                <w:sz w:val="15"/>
                <w:szCs w:val="15"/>
              </w:rPr>
              <w:t>Total Flows</w:t>
            </w:r>
          </w:p>
        </w:tc>
        <w:tc>
          <w:tcPr>
            <w:tcW w:w="0" w:type="auto"/>
            <w:tcBorders>
              <w:top w:val="single" w:sz="8" w:space="0" w:color="000000"/>
            </w:tcBorders>
            <w:shd w:val="clear" w:color="auto" w:fill="FFFFFF"/>
            <w:tcMar>
              <w:top w:w="40" w:type="dxa"/>
              <w:left w:w="20" w:type="dxa"/>
              <w:bottom w:w="40" w:type="dxa"/>
              <w:right w:w="0" w:type="dxa"/>
            </w:tcMar>
            <w:vAlign w:val="bottom"/>
          </w:tcPr>
          <w:p w14:paraId="71D3E059"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E05A" w14:textId="77777777" w:rsidR="006A3667" w:rsidRDefault="00045F32">
            <w:pPr>
              <w:jc w:val="right"/>
              <w:textAlignment w:val="bottom"/>
            </w:pPr>
            <w:r>
              <w:rPr>
                <w:rFonts w:ascii="Arial" w:eastAsia="宋体" w:hAnsi="Arial" w:cs="Arial"/>
                <w:b/>
                <w:bCs/>
                <w:color w:val="000000"/>
                <w:sz w:val="15"/>
                <w:szCs w:val="15"/>
              </w:rPr>
              <w:t>(108.5)</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0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05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E05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E05E" w14:textId="77777777" w:rsidR="006A3667" w:rsidRDefault="00045F32">
            <w:pPr>
              <w:jc w:val="right"/>
              <w:textAlignment w:val="bottom"/>
            </w:pPr>
            <w:r>
              <w:rPr>
                <w:rFonts w:ascii="Arial" w:eastAsia="宋体" w:hAnsi="Arial" w:cs="Arial"/>
                <w:color w:val="000000"/>
                <w:sz w:val="15"/>
                <w:szCs w:val="15"/>
              </w:rPr>
              <w:t>242.1 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05F" w14:textId="77777777" w:rsidR="006A3667" w:rsidRDefault="006A3667">
            <w:pPr>
              <w:jc w:val="right"/>
              <w:rPr>
                <w:rFonts w:ascii="宋体"/>
              </w:rPr>
            </w:pPr>
          </w:p>
        </w:tc>
      </w:tr>
      <w:tr w:rsidR="006A3667" w14:paraId="71D3E065" w14:textId="77777777">
        <w:trPr>
          <w:trHeight w:val="60"/>
        </w:trPr>
        <w:tc>
          <w:tcPr>
            <w:tcW w:w="0" w:type="auto"/>
            <w:gridSpan w:val="3"/>
            <w:shd w:val="clear" w:color="auto" w:fill="auto"/>
            <w:tcMar>
              <w:top w:w="0" w:type="dxa"/>
              <w:left w:w="20" w:type="dxa"/>
              <w:bottom w:w="0" w:type="dxa"/>
              <w:right w:w="20" w:type="dxa"/>
            </w:tcMar>
            <w:vAlign w:val="bottom"/>
          </w:tcPr>
          <w:p w14:paraId="71D3E061"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E06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063"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3E064" w14:textId="77777777" w:rsidR="006A3667" w:rsidRDefault="006A3667">
            <w:pPr>
              <w:rPr>
                <w:rFonts w:ascii="宋体"/>
              </w:rPr>
            </w:pPr>
          </w:p>
        </w:tc>
      </w:tr>
      <w:tr w:rsidR="006A3667" w14:paraId="71D3E06A" w14:textId="77777777">
        <w:tc>
          <w:tcPr>
            <w:tcW w:w="0" w:type="auto"/>
            <w:gridSpan w:val="3"/>
            <w:shd w:val="clear" w:color="auto" w:fill="FFFFFF"/>
            <w:tcMar>
              <w:top w:w="40" w:type="dxa"/>
              <w:left w:w="20" w:type="dxa"/>
              <w:bottom w:w="40" w:type="dxa"/>
              <w:right w:w="20" w:type="dxa"/>
            </w:tcMar>
            <w:vAlign w:val="bottom"/>
          </w:tcPr>
          <w:p w14:paraId="71D3E066" w14:textId="77777777" w:rsidR="006A3667" w:rsidRDefault="00045F32">
            <w:pPr>
              <w:textAlignment w:val="bottom"/>
            </w:pPr>
            <w:r>
              <w:rPr>
                <w:rFonts w:ascii="Arial" w:eastAsia="宋体" w:hAnsi="Arial" w:cs="Arial"/>
                <w:b/>
                <w:bCs/>
                <w:color w:val="000000"/>
                <w:sz w:val="15"/>
                <w:szCs w:val="15"/>
              </w:rPr>
              <w:t>Europe - Morningstar Direct Market Data</w:t>
            </w:r>
            <w:r>
              <w:rPr>
                <w:rFonts w:ascii="Arial" w:eastAsia="宋体" w:hAnsi="Arial" w:cs="Arial"/>
                <w:b/>
                <w:bCs/>
                <w:color w:val="000000"/>
                <w:sz w:val="9"/>
                <w:szCs w:val="9"/>
              </w:rPr>
              <w:t>(1)(2)(5)</w:t>
            </w:r>
          </w:p>
        </w:tc>
        <w:tc>
          <w:tcPr>
            <w:tcW w:w="0" w:type="auto"/>
            <w:gridSpan w:val="3"/>
            <w:shd w:val="clear" w:color="auto" w:fill="FFFFFF"/>
            <w:tcMar>
              <w:top w:w="0" w:type="dxa"/>
              <w:left w:w="20" w:type="dxa"/>
              <w:bottom w:w="0" w:type="dxa"/>
              <w:right w:w="20" w:type="dxa"/>
            </w:tcMar>
            <w:vAlign w:val="bottom"/>
          </w:tcPr>
          <w:p w14:paraId="71D3E06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06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069" w14:textId="77777777" w:rsidR="006A3667" w:rsidRDefault="006A3667">
            <w:pPr>
              <w:rPr>
                <w:rFonts w:ascii="宋体"/>
              </w:rPr>
            </w:pPr>
          </w:p>
        </w:tc>
      </w:tr>
      <w:tr w:rsidR="006A3667" w14:paraId="71D3E073" w14:textId="77777777">
        <w:tc>
          <w:tcPr>
            <w:tcW w:w="0" w:type="auto"/>
            <w:gridSpan w:val="3"/>
            <w:shd w:val="clear" w:color="auto" w:fill="CCEEFF"/>
            <w:tcMar>
              <w:top w:w="40" w:type="dxa"/>
              <w:left w:w="20" w:type="dxa"/>
              <w:bottom w:w="40" w:type="dxa"/>
              <w:right w:w="20" w:type="dxa"/>
            </w:tcMar>
            <w:vAlign w:val="bottom"/>
          </w:tcPr>
          <w:p w14:paraId="71D3E06B" w14:textId="77777777" w:rsidR="006A3667" w:rsidRDefault="00045F32">
            <w:pP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71D3E06C"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3E06D" w14:textId="77777777" w:rsidR="006A3667" w:rsidRDefault="00045F32">
            <w:pPr>
              <w:jc w:val="right"/>
              <w:textAlignment w:val="bottom"/>
            </w:pPr>
            <w:r>
              <w:rPr>
                <w:rFonts w:ascii="Arial" w:eastAsia="宋体" w:hAnsi="Arial" w:cs="Arial"/>
                <w:b/>
                <w:bCs/>
                <w:color w:val="000000"/>
                <w:sz w:val="15"/>
                <w:szCs w:val="15"/>
              </w:rPr>
              <w:t>(88.7)</w:t>
            </w:r>
          </w:p>
        </w:tc>
        <w:tc>
          <w:tcPr>
            <w:tcW w:w="0" w:type="auto"/>
            <w:shd w:val="clear" w:color="auto" w:fill="CCEEFF"/>
            <w:tcMar>
              <w:top w:w="40" w:type="dxa"/>
              <w:left w:w="0" w:type="dxa"/>
              <w:bottom w:w="40" w:type="dxa"/>
              <w:right w:w="20" w:type="dxa"/>
            </w:tcMar>
            <w:vAlign w:val="bottom"/>
          </w:tcPr>
          <w:p w14:paraId="71D3E0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06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E070"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3E071" w14:textId="77777777" w:rsidR="006A3667" w:rsidRDefault="00045F32">
            <w:pPr>
              <w:jc w:val="right"/>
              <w:textAlignment w:val="bottom"/>
            </w:pPr>
            <w:r>
              <w:rPr>
                <w:rFonts w:ascii="Arial" w:eastAsia="宋体" w:hAnsi="Arial" w:cs="Arial"/>
                <w:color w:val="000000"/>
                <w:sz w:val="15"/>
                <w:szCs w:val="15"/>
              </w:rPr>
              <w:t>192.1 </w:t>
            </w:r>
          </w:p>
        </w:tc>
        <w:tc>
          <w:tcPr>
            <w:tcW w:w="0" w:type="auto"/>
            <w:shd w:val="clear" w:color="auto" w:fill="CCEEFF"/>
            <w:tcMar>
              <w:top w:w="40" w:type="dxa"/>
              <w:left w:w="0" w:type="dxa"/>
              <w:bottom w:w="40" w:type="dxa"/>
              <w:right w:w="20" w:type="dxa"/>
            </w:tcMar>
            <w:vAlign w:val="bottom"/>
          </w:tcPr>
          <w:p w14:paraId="71D3E072" w14:textId="77777777" w:rsidR="006A3667" w:rsidRDefault="006A3667">
            <w:pPr>
              <w:jc w:val="right"/>
              <w:rPr>
                <w:rFonts w:ascii="宋体"/>
              </w:rPr>
            </w:pPr>
          </w:p>
        </w:tc>
      </w:tr>
      <w:tr w:rsidR="006A3667" w14:paraId="71D3E07A" w14:textId="77777777">
        <w:tc>
          <w:tcPr>
            <w:tcW w:w="0" w:type="auto"/>
            <w:gridSpan w:val="3"/>
            <w:shd w:val="clear" w:color="auto" w:fill="FFFFFF"/>
            <w:tcMar>
              <w:top w:w="40" w:type="dxa"/>
              <w:left w:w="155" w:type="dxa"/>
              <w:bottom w:w="40" w:type="dxa"/>
              <w:right w:w="20" w:type="dxa"/>
            </w:tcMar>
            <w:vAlign w:val="bottom"/>
          </w:tcPr>
          <w:p w14:paraId="71D3E074" w14:textId="77777777" w:rsidR="006A3667" w:rsidRDefault="00045F32">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71D3E075" w14:textId="77777777" w:rsidR="006A3667" w:rsidRDefault="00045F32">
            <w:pPr>
              <w:jc w:val="right"/>
              <w:textAlignment w:val="bottom"/>
            </w:pPr>
            <w:r>
              <w:rPr>
                <w:rFonts w:ascii="Arial" w:eastAsia="宋体" w:hAnsi="Arial" w:cs="Arial"/>
                <w:b/>
                <w:bCs/>
                <w:color w:val="000000"/>
                <w:sz w:val="15"/>
                <w:szCs w:val="15"/>
              </w:rPr>
              <w:t>11.5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E07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07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078" w14:textId="77777777" w:rsidR="006A3667" w:rsidRDefault="00045F32">
            <w:pPr>
              <w:jc w:val="right"/>
              <w:textAlignment w:val="bottom"/>
            </w:pPr>
            <w:r>
              <w:rPr>
                <w:rFonts w:ascii="Arial" w:eastAsia="宋体" w:hAnsi="Arial" w:cs="Arial"/>
                <w:color w:val="000000"/>
                <w:sz w:val="15"/>
                <w:szCs w:val="15"/>
              </w:rPr>
              <w:t>(4.3)</w:t>
            </w:r>
          </w:p>
        </w:tc>
        <w:tc>
          <w:tcPr>
            <w:tcW w:w="0" w:type="auto"/>
            <w:shd w:val="clear" w:color="auto" w:fill="FFFFFF"/>
            <w:tcMar>
              <w:top w:w="40" w:type="dxa"/>
              <w:left w:w="0" w:type="dxa"/>
              <w:bottom w:w="40" w:type="dxa"/>
              <w:right w:w="20" w:type="dxa"/>
            </w:tcMar>
            <w:vAlign w:val="bottom"/>
          </w:tcPr>
          <w:p w14:paraId="71D3E079" w14:textId="77777777" w:rsidR="006A3667" w:rsidRDefault="006A3667">
            <w:pPr>
              <w:jc w:val="right"/>
              <w:rPr>
                <w:rFonts w:ascii="宋体"/>
              </w:rPr>
            </w:pPr>
          </w:p>
        </w:tc>
      </w:tr>
      <w:tr w:rsidR="006A3667" w14:paraId="71D3E081" w14:textId="77777777">
        <w:tc>
          <w:tcPr>
            <w:tcW w:w="0" w:type="auto"/>
            <w:gridSpan w:val="3"/>
            <w:shd w:val="clear" w:color="auto" w:fill="CCEEFF"/>
            <w:tcMar>
              <w:top w:w="40" w:type="dxa"/>
              <w:left w:w="155" w:type="dxa"/>
              <w:bottom w:w="40" w:type="dxa"/>
              <w:right w:w="20" w:type="dxa"/>
            </w:tcMar>
            <w:vAlign w:val="bottom"/>
          </w:tcPr>
          <w:p w14:paraId="71D3E07B" w14:textId="77777777" w:rsidR="006A3667" w:rsidRDefault="00045F32">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71D3E07C" w14:textId="77777777" w:rsidR="006A3667" w:rsidRDefault="00045F32">
            <w:pPr>
              <w:jc w:val="right"/>
              <w:textAlignment w:val="bottom"/>
            </w:pPr>
            <w:r>
              <w:rPr>
                <w:rFonts w:ascii="Arial" w:eastAsia="宋体" w:hAnsi="Arial" w:cs="Arial"/>
                <w:b/>
                <w:bCs/>
                <w:color w:val="000000"/>
                <w:sz w:val="15"/>
                <w:szCs w:val="15"/>
              </w:rPr>
              <w:t>(2.9)</w:t>
            </w:r>
          </w:p>
        </w:tc>
        <w:tc>
          <w:tcPr>
            <w:tcW w:w="0" w:type="auto"/>
            <w:shd w:val="clear" w:color="auto" w:fill="CCEEFF"/>
            <w:tcMar>
              <w:top w:w="40" w:type="dxa"/>
              <w:left w:w="0" w:type="dxa"/>
              <w:bottom w:w="40" w:type="dxa"/>
              <w:right w:w="20" w:type="dxa"/>
            </w:tcMar>
            <w:vAlign w:val="bottom"/>
          </w:tcPr>
          <w:p w14:paraId="71D3E0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07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07F" w14:textId="77777777" w:rsidR="006A3667" w:rsidRDefault="00045F32">
            <w:pPr>
              <w:jc w:val="right"/>
              <w:textAlignment w:val="bottom"/>
            </w:pPr>
            <w:r>
              <w:rPr>
                <w:rFonts w:ascii="Arial" w:eastAsia="宋体" w:hAnsi="Arial" w:cs="Arial"/>
                <w:color w:val="000000"/>
                <w:sz w:val="15"/>
                <w:szCs w:val="15"/>
              </w:rPr>
              <w:t>36.8 </w:t>
            </w:r>
          </w:p>
        </w:tc>
        <w:tc>
          <w:tcPr>
            <w:tcW w:w="0" w:type="auto"/>
            <w:shd w:val="clear" w:color="auto" w:fill="CCEEFF"/>
            <w:tcMar>
              <w:top w:w="40" w:type="dxa"/>
              <w:left w:w="0" w:type="dxa"/>
              <w:bottom w:w="40" w:type="dxa"/>
              <w:right w:w="20" w:type="dxa"/>
            </w:tcMar>
            <w:vAlign w:val="bottom"/>
          </w:tcPr>
          <w:p w14:paraId="71D3E080" w14:textId="77777777" w:rsidR="006A3667" w:rsidRDefault="006A3667">
            <w:pPr>
              <w:jc w:val="right"/>
              <w:rPr>
                <w:rFonts w:ascii="宋体"/>
              </w:rPr>
            </w:pPr>
          </w:p>
        </w:tc>
      </w:tr>
      <w:tr w:rsidR="006A3667" w14:paraId="71D3E086" w14:textId="77777777">
        <w:trPr>
          <w:hidden/>
        </w:trPr>
        <w:tc>
          <w:tcPr>
            <w:tcW w:w="0" w:type="auto"/>
            <w:gridSpan w:val="3"/>
            <w:shd w:val="clear" w:color="auto" w:fill="auto"/>
            <w:vAlign w:val="bottom"/>
          </w:tcPr>
          <w:p w14:paraId="71D3E082" w14:textId="77777777" w:rsidR="006A3667" w:rsidRDefault="006A3667">
            <w:pPr>
              <w:rPr>
                <w:rFonts w:ascii="宋体"/>
                <w:vanish/>
              </w:rPr>
            </w:pPr>
          </w:p>
        </w:tc>
        <w:tc>
          <w:tcPr>
            <w:tcW w:w="0" w:type="auto"/>
            <w:gridSpan w:val="3"/>
            <w:shd w:val="clear" w:color="auto" w:fill="auto"/>
            <w:vAlign w:val="bottom"/>
          </w:tcPr>
          <w:p w14:paraId="71D3E083" w14:textId="77777777" w:rsidR="006A3667" w:rsidRDefault="006A3667">
            <w:pPr>
              <w:rPr>
                <w:rFonts w:ascii="宋体"/>
                <w:vanish/>
              </w:rPr>
            </w:pPr>
          </w:p>
        </w:tc>
        <w:tc>
          <w:tcPr>
            <w:tcW w:w="0" w:type="auto"/>
            <w:gridSpan w:val="3"/>
            <w:shd w:val="clear" w:color="auto" w:fill="auto"/>
            <w:vAlign w:val="bottom"/>
          </w:tcPr>
          <w:p w14:paraId="71D3E084" w14:textId="77777777" w:rsidR="006A3667" w:rsidRDefault="006A3667">
            <w:pPr>
              <w:rPr>
                <w:rFonts w:ascii="宋体"/>
                <w:vanish/>
              </w:rPr>
            </w:pPr>
          </w:p>
        </w:tc>
        <w:tc>
          <w:tcPr>
            <w:tcW w:w="0" w:type="auto"/>
            <w:gridSpan w:val="3"/>
            <w:shd w:val="clear" w:color="auto" w:fill="auto"/>
            <w:vAlign w:val="bottom"/>
          </w:tcPr>
          <w:p w14:paraId="71D3E085" w14:textId="77777777" w:rsidR="006A3667" w:rsidRDefault="006A3667">
            <w:pPr>
              <w:rPr>
                <w:rFonts w:ascii="宋体"/>
                <w:vanish/>
              </w:rPr>
            </w:pPr>
          </w:p>
        </w:tc>
      </w:tr>
      <w:tr w:rsidR="006A3667" w14:paraId="71D3E08B" w14:textId="77777777">
        <w:trPr>
          <w:hidden/>
        </w:trPr>
        <w:tc>
          <w:tcPr>
            <w:tcW w:w="0" w:type="auto"/>
            <w:gridSpan w:val="3"/>
            <w:shd w:val="clear" w:color="auto" w:fill="auto"/>
            <w:vAlign w:val="bottom"/>
          </w:tcPr>
          <w:p w14:paraId="71D3E087" w14:textId="77777777" w:rsidR="006A3667" w:rsidRDefault="006A3667">
            <w:pPr>
              <w:rPr>
                <w:rFonts w:ascii="宋体"/>
                <w:vanish/>
              </w:rPr>
            </w:pPr>
          </w:p>
        </w:tc>
        <w:tc>
          <w:tcPr>
            <w:tcW w:w="0" w:type="auto"/>
            <w:gridSpan w:val="3"/>
            <w:shd w:val="clear" w:color="auto" w:fill="auto"/>
            <w:vAlign w:val="bottom"/>
          </w:tcPr>
          <w:p w14:paraId="71D3E088" w14:textId="77777777" w:rsidR="006A3667" w:rsidRDefault="006A3667">
            <w:pPr>
              <w:rPr>
                <w:rFonts w:ascii="宋体"/>
                <w:vanish/>
              </w:rPr>
            </w:pPr>
          </w:p>
        </w:tc>
        <w:tc>
          <w:tcPr>
            <w:tcW w:w="0" w:type="auto"/>
            <w:gridSpan w:val="3"/>
            <w:shd w:val="clear" w:color="auto" w:fill="auto"/>
            <w:vAlign w:val="bottom"/>
          </w:tcPr>
          <w:p w14:paraId="71D3E089" w14:textId="77777777" w:rsidR="006A3667" w:rsidRDefault="006A3667">
            <w:pPr>
              <w:rPr>
                <w:rFonts w:ascii="宋体"/>
                <w:vanish/>
              </w:rPr>
            </w:pPr>
          </w:p>
        </w:tc>
        <w:tc>
          <w:tcPr>
            <w:tcW w:w="0" w:type="auto"/>
            <w:gridSpan w:val="3"/>
            <w:shd w:val="clear" w:color="auto" w:fill="auto"/>
            <w:vAlign w:val="bottom"/>
          </w:tcPr>
          <w:p w14:paraId="71D3E08A" w14:textId="77777777" w:rsidR="006A3667" w:rsidRDefault="006A3667">
            <w:pPr>
              <w:rPr>
                <w:rFonts w:ascii="宋体"/>
                <w:vanish/>
              </w:rPr>
            </w:pPr>
          </w:p>
        </w:tc>
      </w:tr>
      <w:tr w:rsidR="006A3667" w14:paraId="71D3E094" w14:textId="77777777">
        <w:tc>
          <w:tcPr>
            <w:tcW w:w="0" w:type="auto"/>
            <w:gridSpan w:val="3"/>
            <w:shd w:val="clear" w:color="auto" w:fill="FFFFFF"/>
            <w:tcMar>
              <w:top w:w="40" w:type="dxa"/>
              <w:left w:w="20" w:type="dxa"/>
              <w:bottom w:w="40" w:type="dxa"/>
              <w:right w:w="20" w:type="dxa"/>
            </w:tcMar>
            <w:vAlign w:val="bottom"/>
          </w:tcPr>
          <w:p w14:paraId="71D3E08C" w14:textId="77777777" w:rsidR="006A3667" w:rsidRDefault="00045F32">
            <w:pPr>
              <w:textAlignment w:val="bottom"/>
            </w:pPr>
            <w:r>
              <w:rPr>
                <w:rFonts w:ascii="Arial" w:eastAsia="宋体" w:hAnsi="Arial" w:cs="Arial"/>
                <w:b/>
                <w:bCs/>
                <w:color w:val="000000"/>
                <w:sz w:val="15"/>
                <w:szCs w:val="15"/>
              </w:rPr>
              <w:t>Total Flows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71D3E08D"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71D3E08E" w14:textId="77777777" w:rsidR="006A3667" w:rsidRDefault="00045F32">
            <w:pPr>
              <w:jc w:val="right"/>
              <w:textAlignment w:val="bottom"/>
            </w:pPr>
            <w:r>
              <w:rPr>
                <w:rFonts w:ascii="Arial" w:eastAsia="宋体" w:hAnsi="Arial" w:cs="Arial"/>
                <w:b/>
                <w:bCs/>
                <w:color w:val="000000"/>
                <w:sz w:val="15"/>
                <w:szCs w:val="15"/>
              </w:rPr>
              <w:t>(80.1)</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71D3E08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09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091"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092" w14:textId="77777777" w:rsidR="006A3667" w:rsidRDefault="00045F32">
            <w:pPr>
              <w:jc w:val="right"/>
              <w:textAlignment w:val="bottom"/>
            </w:pPr>
            <w:r>
              <w:rPr>
                <w:rFonts w:ascii="Arial" w:eastAsia="宋体" w:hAnsi="Arial" w:cs="Arial"/>
                <w:color w:val="000000"/>
                <w:sz w:val="15"/>
                <w:szCs w:val="15"/>
              </w:rPr>
              <w:t>224.6 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093" w14:textId="77777777" w:rsidR="006A3667" w:rsidRDefault="006A3667">
            <w:pPr>
              <w:jc w:val="right"/>
              <w:rPr>
                <w:rFonts w:ascii="宋体"/>
              </w:rPr>
            </w:pPr>
          </w:p>
        </w:tc>
      </w:tr>
    </w:tbl>
    <w:p w14:paraId="71D3E095"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2225"/>
        <w:gridCol w:w="36"/>
        <w:gridCol w:w="36"/>
        <w:gridCol w:w="36"/>
        <w:gridCol w:w="36"/>
        <w:gridCol w:w="46"/>
        <w:gridCol w:w="5824"/>
        <w:gridCol w:w="36"/>
      </w:tblGrid>
      <w:tr w:rsidR="006A3667" w14:paraId="71D3E09F" w14:textId="77777777">
        <w:tc>
          <w:tcPr>
            <w:tcW w:w="50" w:type="pct"/>
            <w:shd w:val="clear" w:color="auto" w:fill="auto"/>
            <w:vAlign w:val="bottom"/>
          </w:tcPr>
          <w:p w14:paraId="71D3E096" w14:textId="77777777" w:rsidR="006A3667" w:rsidRDefault="006A3667">
            <w:pPr>
              <w:rPr>
                <w:rFonts w:ascii="宋体"/>
              </w:rPr>
            </w:pPr>
          </w:p>
        </w:tc>
        <w:tc>
          <w:tcPr>
            <w:tcW w:w="1348" w:type="pct"/>
            <w:shd w:val="clear" w:color="auto" w:fill="auto"/>
            <w:vAlign w:val="bottom"/>
          </w:tcPr>
          <w:p w14:paraId="71D3E097" w14:textId="77777777" w:rsidR="006A3667" w:rsidRDefault="006A3667">
            <w:pPr>
              <w:rPr>
                <w:rFonts w:ascii="宋体"/>
              </w:rPr>
            </w:pPr>
          </w:p>
        </w:tc>
        <w:tc>
          <w:tcPr>
            <w:tcW w:w="5" w:type="pct"/>
            <w:shd w:val="clear" w:color="auto" w:fill="auto"/>
            <w:vAlign w:val="bottom"/>
          </w:tcPr>
          <w:p w14:paraId="71D3E098" w14:textId="77777777" w:rsidR="006A3667" w:rsidRDefault="006A3667">
            <w:pPr>
              <w:rPr>
                <w:rFonts w:ascii="宋体"/>
              </w:rPr>
            </w:pPr>
          </w:p>
        </w:tc>
        <w:tc>
          <w:tcPr>
            <w:tcW w:w="5" w:type="pct"/>
            <w:shd w:val="clear" w:color="auto" w:fill="auto"/>
            <w:vAlign w:val="bottom"/>
          </w:tcPr>
          <w:p w14:paraId="71D3E099" w14:textId="77777777" w:rsidR="006A3667" w:rsidRDefault="006A3667">
            <w:pPr>
              <w:rPr>
                <w:rFonts w:ascii="宋体"/>
              </w:rPr>
            </w:pPr>
          </w:p>
        </w:tc>
        <w:tc>
          <w:tcPr>
            <w:tcW w:w="26" w:type="pct"/>
            <w:shd w:val="clear" w:color="auto" w:fill="auto"/>
            <w:vAlign w:val="bottom"/>
          </w:tcPr>
          <w:p w14:paraId="71D3E09A" w14:textId="77777777" w:rsidR="006A3667" w:rsidRDefault="006A3667">
            <w:pPr>
              <w:rPr>
                <w:rFonts w:ascii="宋体"/>
              </w:rPr>
            </w:pPr>
          </w:p>
        </w:tc>
        <w:tc>
          <w:tcPr>
            <w:tcW w:w="5" w:type="pct"/>
            <w:shd w:val="clear" w:color="auto" w:fill="auto"/>
            <w:vAlign w:val="bottom"/>
          </w:tcPr>
          <w:p w14:paraId="71D3E09B" w14:textId="77777777" w:rsidR="006A3667" w:rsidRDefault="006A3667">
            <w:pPr>
              <w:rPr>
                <w:rFonts w:ascii="宋体"/>
              </w:rPr>
            </w:pPr>
          </w:p>
        </w:tc>
        <w:tc>
          <w:tcPr>
            <w:tcW w:w="50" w:type="pct"/>
            <w:shd w:val="clear" w:color="auto" w:fill="auto"/>
            <w:vAlign w:val="bottom"/>
          </w:tcPr>
          <w:p w14:paraId="71D3E09C" w14:textId="77777777" w:rsidR="006A3667" w:rsidRDefault="006A3667">
            <w:pPr>
              <w:rPr>
                <w:rFonts w:ascii="宋体"/>
              </w:rPr>
            </w:pPr>
          </w:p>
        </w:tc>
        <w:tc>
          <w:tcPr>
            <w:tcW w:w="3505" w:type="pct"/>
            <w:shd w:val="clear" w:color="auto" w:fill="auto"/>
            <w:vAlign w:val="bottom"/>
          </w:tcPr>
          <w:p w14:paraId="71D3E09D" w14:textId="77777777" w:rsidR="006A3667" w:rsidRDefault="006A3667">
            <w:pPr>
              <w:rPr>
                <w:rFonts w:ascii="宋体"/>
              </w:rPr>
            </w:pPr>
          </w:p>
        </w:tc>
        <w:tc>
          <w:tcPr>
            <w:tcW w:w="5" w:type="pct"/>
            <w:shd w:val="clear" w:color="auto" w:fill="auto"/>
            <w:vAlign w:val="bottom"/>
          </w:tcPr>
          <w:p w14:paraId="71D3E09E" w14:textId="77777777" w:rsidR="006A3667" w:rsidRDefault="006A3667">
            <w:pPr>
              <w:rPr>
                <w:rFonts w:ascii="宋体"/>
              </w:rPr>
            </w:pPr>
          </w:p>
        </w:tc>
      </w:tr>
      <w:tr w:rsidR="006A3667" w14:paraId="71D3E0A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E0A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0A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0A2" w14:textId="77777777" w:rsidR="006A3667" w:rsidRDefault="006A3667">
            <w:pPr>
              <w:rPr>
                <w:rFonts w:ascii="宋体"/>
              </w:rPr>
            </w:pPr>
          </w:p>
        </w:tc>
      </w:tr>
    </w:tbl>
    <w:p w14:paraId="71D3E0A4" w14:textId="77777777" w:rsidR="006A3667" w:rsidRDefault="00045F32">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Industry data is provided for illustrative purposes only. It is not </w:t>
      </w:r>
      <w:r>
        <w:rPr>
          <w:rFonts w:ascii="Arial" w:eastAsia="宋体" w:hAnsi="Arial" w:cs="Arial"/>
          <w:color w:val="000000"/>
          <w:sz w:val="14"/>
          <w:szCs w:val="14"/>
        </w:rPr>
        <w:t>intended to reflect our activity or our clients' activity and is indicative of only segments of the entire industry.</w:t>
      </w:r>
    </w:p>
    <w:p w14:paraId="71D3E0A5" w14:textId="77777777" w:rsidR="006A3667" w:rsidRDefault="00045F32">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Source: Morningstar. The data includes long-term mutual funds, ETFs and money market funds. Mutual fund data represents estimates of ne</w:t>
      </w:r>
      <w:r>
        <w:rPr>
          <w:rFonts w:ascii="Arial" w:eastAsia="宋体" w:hAnsi="Arial" w:cs="Arial"/>
          <w:color w:val="000000"/>
          <w:sz w:val="14"/>
          <w:szCs w:val="14"/>
        </w:rPr>
        <w:t>t new cash flow, which is new sales minus redemptions combined with net exchanges, while ETF data represents net issuance, which is gross issuance less gross redemptions. Data for Fund of Funds, Feeder funds and Obsolete funds were excluded from the series</w:t>
      </w:r>
      <w:r>
        <w:rPr>
          <w:rFonts w:ascii="Arial" w:eastAsia="宋体" w:hAnsi="Arial" w:cs="Arial"/>
          <w:color w:val="000000"/>
          <w:sz w:val="14"/>
          <w:szCs w:val="14"/>
        </w:rPr>
        <w:t xml:space="preserve"> to prevent double counting. Data is from the Morningstar Direct Asset Flows database.</w:t>
      </w:r>
    </w:p>
    <w:p w14:paraId="71D3E0A6" w14:textId="77777777" w:rsidR="006A3667" w:rsidRDefault="00045F32">
      <w:pPr>
        <w:spacing w:before="60"/>
        <w:jc w:val="both"/>
      </w:pPr>
      <w:r>
        <w:rPr>
          <w:rFonts w:ascii="Arial" w:eastAsia="宋体" w:hAnsi="Arial" w:cs="Arial"/>
          <w:color w:val="000000"/>
          <w:sz w:val="9"/>
          <w:szCs w:val="9"/>
        </w:rPr>
        <w:t>(3)</w:t>
      </w:r>
      <w:r>
        <w:rPr>
          <w:rFonts w:ascii="Arial" w:eastAsia="宋体" w:hAnsi="Arial" w:cs="Arial"/>
          <w:color w:val="000000"/>
          <w:sz w:val="14"/>
          <w:szCs w:val="14"/>
        </w:rPr>
        <w:t xml:space="preserve"> The third quarter of 2022 data for North America (U.S. domiciled) includes Morningstar direct actuals for July and August 2022 and Morningstar direct estimates for S</w:t>
      </w:r>
      <w:r>
        <w:rPr>
          <w:rFonts w:ascii="Arial" w:eastAsia="宋体" w:hAnsi="Arial" w:cs="Arial"/>
          <w:color w:val="000000"/>
          <w:sz w:val="14"/>
          <w:szCs w:val="14"/>
        </w:rPr>
        <w:t xml:space="preserve">eptember 2022. </w:t>
      </w:r>
    </w:p>
    <w:p w14:paraId="71D3E0A7" w14:textId="77777777" w:rsidR="006A3667" w:rsidRDefault="00045F32">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 xml:space="preserve">The long-term fund flows reported by Morningstar direct in North America are composed of U.S. domiciled market flows mainly in Equities, Allocation and Fixed-Income asset classes. The long-term fund flows reported by Morningstar direct </w:t>
      </w:r>
      <w:r>
        <w:rPr>
          <w:rFonts w:ascii="Arial" w:eastAsia="宋体" w:hAnsi="Arial" w:cs="Arial"/>
          <w:color w:val="000000"/>
          <w:sz w:val="14"/>
          <w:szCs w:val="14"/>
        </w:rPr>
        <w:t>in Europe, Middle East, and Africa are composed of the European market flows mainly in Equities, Allocation and Fixed-Income asset classes.</w:t>
      </w:r>
    </w:p>
    <w:p w14:paraId="71D3E0A8" w14:textId="77777777" w:rsidR="006A3667" w:rsidRDefault="00045F32">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The third quarter of 2022 data for Europe is on a rolling three month basis for June 2022 through August 2022, s</w:t>
      </w:r>
      <w:r>
        <w:rPr>
          <w:rFonts w:ascii="Arial" w:eastAsia="宋体" w:hAnsi="Arial" w:cs="Arial"/>
          <w:color w:val="000000"/>
          <w:sz w:val="14"/>
          <w:szCs w:val="14"/>
        </w:rPr>
        <w:t>ourced by Morningstar.</w:t>
      </w:r>
    </w:p>
    <w:p w14:paraId="71D3E0A9" w14:textId="77777777" w:rsidR="006A3667" w:rsidRDefault="00045F32">
      <w:pPr>
        <w:spacing w:before="60"/>
        <w:jc w:val="both"/>
      </w:pPr>
      <w:r>
        <w:rPr>
          <w:rFonts w:ascii="Arial" w:eastAsia="宋体" w:hAnsi="Arial" w:cs="Arial"/>
          <w:i/>
          <w:iCs/>
          <w:color w:val="000000"/>
          <w:sz w:val="20"/>
          <w:szCs w:val="20"/>
        </w:rPr>
        <w:t>Net New Business</w:t>
      </w:r>
    </w:p>
    <w:p w14:paraId="71D3E0AA" w14:textId="77777777" w:rsidR="006A3667" w:rsidRDefault="00045F32">
      <w:pPr>
        <w:spacing w:before="60"/>
        <w:ind w:firstLine="450"/>
        <w:jc w:val="both"/>
      </w:pPr>
      <w:r>
        <w:rPr>
          <w:rFonts w:ascii="Arial" w:eastAsia="宋体" w:hAnsi="Arial" w:cs="Arial"/>
          <w:color w:val="000000"/>
          <w:sz w:val="20"/>
          <w:szCs w:val="20"/>
        </w:rPr>
        <w:t>Over the five years ended December 31, 2021, net new business, which includes business both won and lost, has affected our servicing fee revenues by approximately 1% on average with a range of 0% to 3% annually and a</w:t>
      </w:r>
      <w:r>
        <w:rPr>
          <w:rFonts w:ascii="Arial" w:eastAsia="宋体" w:hAnsi="Arial" w:cs="Arial"/>
          <w:color w:val="000000"/>
          <w:sz w:val="20"/>
          <w:szCs w:val="20"/>
        </w:rPr>
        <w:t xml:space="preserve">pproximately 1% and 0% in 2021 and 2020, respectively. </w:t>
      </w:r>
    </w:p>
    <w:p w14:paraId="71D3E0AB" w14:textId="77777777" w:rsidR="006A3667" w:rsidRDefault="00045F32">
      <w:pPr>
        <w:spacing w:before="60"/>
        <w:ind w:firstLine="450"/>
        <w:jc w:val="both"/>
      </w:pPr>
      <w:r>
        <w:rPr>
          <w:rFonts w:ascii="Arial" w:eastAsia="宋体" w:hAnsi="Arial" w:cs="Arial"/>
          <w:color w:val="000000"/>
          <w:sz w:val="20"/>
          <w:szCs w:val="20"/>
        </w:rPr>
        <w:t>Gross new investment servicing mandates were $233 billion in the third quarter of 2022 and $1.8 trillion per year on average over the past five years. Over the five years ended December 31, 2021, gross new annual investment servicing mandates ranged from $</w:t>
      </w:r>
      <w:r>
        <w:rPr>
          <w:rFonts w:ascii="Arial" w:eastAsia="宋体" w:hAnsi="Arial" w:cs="Arial"/>
          <w:color w:val="000000"/>
          <w:sz w:val="20"/>
          <w:szCs w:val="20"/>
        </w:rPr>
        <w:t xml:space="preserve">750 billion to $3.5 trillion. </w:t>
      </w:r>
    </w:p>
    <w:p w14:paraId="71D3E0AC" w14:textId="77777777" w:rsidR="006A3667" w:rsidRDefault="00045F32">
      <w:pPr>
        <w:spacing w:before="60"/>
        <w:ind w:firstLine="450"/>
        <w:jc w:val="both"/>
      </w:pPr>
      <w:r>
        <w:rPr>
          <w:rFonts w:ascii="Arial" w:eastAsia="宋体" w:hAnsi="Arial" w:cs="Arial"/>
          <w:color w:val="000000"/>
          <w:sz w:val="20"/>
          <w:szCs w:val="20"/>
        </w:rPr>
        <w:t>Servicing fee revenue associated with new servicing mandates may vary based on the breadth of services provided, the time required to install the assets, and the types of assets installed.</w:t>
      </w:r>
    </w:p>
    <w:p w14:paraId="71D3E0AD" w14:textId="77777777" w:rsidR="006A3667" w:rsidRDefault="00045F32">
      <w:pPr>
        <w:spacing w:before="60"/>
        <w:ind w:firstLine="450"/>
        <w:jc w:val="both"/>
      </w:pPr>
      <w:r>
        <w:rPr>
          <w:rFonts w:ascii="Arial" w:eastAsia="宋体" w:hAnsi="Arial" w:cs="Arial"/>
          <w:color w:val="000000"/>
          <w:sz w:val="20"/>
          <w:szCs w:val="20"/>
        </w:rPr>
        <w:t>Revenues associated with new mandate</w:t>
      </w:r>
      <w:r>
        <w:rPr>
          <w:rFonts w:ascii="Arial" w:eastAsia="宋体" w:hAnsi="Arial" w:cs="Arial"/>
          <w:color w:val="000000"/>
          <w:sz w:val="20"/>
          <w:szCs w:val="20"/>
        </w:rPr>
        <w:t>s are not reflected in our servicing fee revenue until the assets have been installed. Our installation timeline, in general, can range from 6 to 36 months, with the average installation timeline being approximately 9 to 12 months over the past 2 years. Ou</w:t>
      </w:r>
      <w:r>
        <w:rPr>
          <w:rFonts w:ascii="Arial" w:eastAsia="宋体" w:hAnsi="Arial" w:cs="Arial"/>
          <w:color w:val="000000"/>
          <w:sz w:val="20"/>
          <w:szCs w:val="20"/>
        </w:rPr>
        <w:t>r more complex installations, including new State Street Alpha mandates, will generally be on the longer end of that range. With respect to the current asset mandates of approximately $3.41 trillion that are yet to be installed as of September 30, 2022, we</w:t>
      </w:r>
      <w:r>
        <w:rPr>
          <w:rFonts w:ascii="Arial" w:eastAsia="宋体" w:hAnsi="Arial" w:cs="Arial"/>
          <w:color w:val="000000"/>
          <w:sz w:val="20"/>
          <w:szCs w:val="20"/>
        </w:rPr>
        <w:t xml:space="preserve"> expect the conversion will occur over the coming 36 months.</w:t>
      </w:r>
    </w:p>
    <w:p w14:paraId="71D3E0AE" w14:textId="77777777" w:rsidR="006A3667" w:rsidRDefault="00045F32">
      <w:pPr>
        <w:ind w:firstLine="450"/>
        <w:jc w:val="right"/>
      </w:pPr>
      <w:r>
        <w:rPr>
          <w:rFonts w:ascii="Arial" w:eastAsia="宋体" w:hAnsi="Arial" w:cs="Arial"/>
          <w:color w:val="000000"/>
          <w:sz w:val="18"/>
          <w:szCs w:val="18"/>
        </w:rPr>
        <w:t>State Street Corporation | 13</w:t>
      </w:r>
    </w:p>
    <w:p w14:paraId="71D3E0AF" w14:textId="77777777" w:rsidR="006A3667" w:rsidRDefault="006A3667">
      <w:pPr>
        <w:ind w:firstLine="450"/>
        <w:jc w:val="center"/>
      </w:pPr>
    </w:p>
    <w:p w14:paraId="71D3E0B0" w14:textId="77777777" w:rsidR="006A3667" w:rsidRDefault="00045F32">
      <w:r>
        <w:pict w14:anchorId="71D4AC21">
          <v:rect id="_x0000_i1037" style="width:415.3pt;height:1.5pt" o:hralign="center" o:hrstd="t" o:hr="t" fillcolor="#a0a0a0" stroked="f"/>
        </w:pict>
      </w:r>
    </w:p>
    <w:p w14:paraId="71D3E0B1"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E0B2" w14:textId="77777777" w:rsidR="006A3667" w:rsidRDefault="00045F32">
      <w:pPr>
        <w:ind w:firstLine="450"/>
        <w:jc w:val="center"/>
      </w:pPr>
      <w:r>
        <w:rPr>
          <w:rFonts w:ascii="Arial" w:eastAsia="宋体" w:hAnsi="Arial" w:cs="Arial"/>
          <w:b/>
          <w:bCs/>
          <w:color w:val="000000"/>
          <w:sz w:val="20"/>
          <w:szCs w:val="20"/>
        </w:rPr>
        <w:t>AND RESULTS OF OPERATIONS</w:t>
      </w:r>
    </w:p>
    <w:p w14:paraId="71D3E0B3" w14:textId="77777777" w:rsidR="006A3667" w:rsidRDefault="00045F32">
      <w:pPr>
        <w:spacing w:before="60"/>
        <w:textAlignment w:val="top"/>
      </w:pPr>
      <w:r>
        <w:rPr>
          <w:rFonts w:ascii="Arial" w:eastAsia="宋体" w:hAnsi="Arial" w:cs="Arial"/>
          <w:i/>
          <w:iCs/>
          <w:color w:val="000000"/>
          <w:sz w:val="20"/>
          <w:szCs w:val="20"/>
        </w:rPr>
        <w:t>Pricing</w:t>
      </w:r>
    </w:p>
    <w:p w14:paraId="71D3E0B4" w14:textId="77777777" w:rsidR="006A3667" w:rsidRDefault="00045F32">
      <w:pPr>
        <w:spacing w:before="60"/>
        <w:ind w:firstLine="450"/>
        <w:jc w:val="both"/>
        <w:textAlignment w:val="top"/>
      </w:pPr>
      <w:r>
        <w:rPr>
          <w:rFonts w:ascii="Arial" w:eastAsia="宋体" w:hAnsi="Arial" w:cs="Arial"/>
          <w:color w:val="000000"/>
          <w:sz w:val="20"/>
          <w:szCs w:val="20"/>
        </w:rPr>
        <w:t xml:space="preserve">The industry in which we operate has historically faced </w:t>
      </w:r>
      <w:r>
        <w:rPr>
          <w:rFonts w:ascii="Arial" w:eastAsia="宋体" w:hAnsi="Arial" w:cs="Arial"/>
          <w:color w:val="000000"/>
          <w:sz w:val="20"/>
          <w:szCs w:val="20"/>
        </w:rPr>
        <w:t>pricing pressure, and our servicing fee revenues are also affected by such pressures today. Consequently, no assumption should be drawn as to future revenue run rate from announced servicing wins, as the amount of revenue associated with AUC/A can vary mat</w:t>
      </w:r>
      <w:r>
        <w:rPr>
          <w:rFonts w:ascii="Arial" w:eastAsia="宋体" w:hAnsi="Arial" w:cs="Arial"/>
          <w:color w:val="000000"/>
          <w:sz w:val="20"/>
          <w:szCs w:val="20"/>
        </w:rPr>
        <w:t>erially. On average, over the five years ended December 31, 2021, we estimate that pricing pressure with respect to existing clients has impacted our servicing fees by approximately (2)% annually, with the impact ranging from (1)% to (4)% in any given year</w:t>
      </w:r>
      <w:r>
        <w:rPr>
          <w:rFonts w:ascii="Arial" w:eastAsia="宋体" w:hAnsi="Arial" w:cs="Arial"/>
          <w:color w:val="000000"/>
          <w:sz w:val="20"/>
          <w:szCs w:val="20"/>
        </w:rPr>
        <w:t>, and approximately (2)% in both 2021 and 2020. Pricing concessions can be a part of a contract renegotiation with a client including terms that may benefit us, such as extending the term of our relationship with the client, expanding the scope of services</w:t>
      </w:r>
      <w:r>
        <w:rPr>
          <w:rFonts w:ascii="Arial" w:eastAsia="宋体" w:hAnsi="Arial" w:cs="Arial"/>
          <w:color w:val="000000"/>
          <w:sz w:val="20"/>
          <w:szCs w:val="20"/>
        </w:rPr>
        <w:t xml:space="preserve"> that we provide or reducing our dependency on manual processes through the standardization of the services we provide. The timing of the impact of additional revenue generated by anticipated additional services, and the amount of revenue generated, may di</w:t>
      </w:r>
      <w:r>
        <w:rPr>
          <w:rFonts w:ascii="Arial" w:eastAsia="宋体" w:hAnsi="Arial" w:cs="Arial"/>
          <w:color w:val="000000"/>
          <w:sz w:val="20"/>
          <w:szCs w:val="20"/>
        </w:rPr>
        <w:t>ffer from expectations due to the impact of pricing concessions on existing services due to the necessary time required to onboard those new services, the nature of those services and client investment practices and other factors. These same market pressur</w:t>
      </w:r>
      <w:r>
        <w:rPr>
          <w:rFonts w:ascii="Arial" w:eastAsia="宋体" w:hAnsi="Arial" w:cs="Arial"/>
          <w:color w:val="000000"/>
          <w:sz w:val="20"/>
          <w:szCs w:val="20"/>
        </w:rPr>
        <w:t>es also impact the fees we negotiate when we win business from new clients.</w:t>
      </w:r>
    </w:p>
    <w:p w14:paraId="71D3E0B5" w14:textId="77777777" w:rsidR="006A3667" w:rsidRDefault="00045F32">
      <w:pPr>
        <w:spacing w:before="60"/>
        <w:ind w:firstLine="450"/>
        <w:jc w:val="both"/>
        <w:textAlignment w:val="top"/>
      </w:pPr>
      <w:r>
        <w:rPr>
          <w:rFonts w:ascii="Arial" w:eastAsia="宋体" w:hAnsi="Arial" w:cs="Arial"/>
          <w:color w:val="000000"/>
          <w:sz w:val="20"/>
          <w:szCs w:val="20"/>
        </w:rPr>
        <w:t>In order to offset the typical client attrition and normal pricing headwinds, we estimate that we need at least $1.5 trillion of new AUC/A per year; although, notwithstanding incre</w:t>
      </w:r>
      <w:r>
        <w:rPr>
          <w:rFonts w:ascii="Arial" w:eastAsia="宋体" w:hAnsi="Arial" w:cs="Arial"/>
          <w:color w:val="000000"/>
          <w:sz w:val="20"/>
          <w:szCs w:val="20"/>
        </w:rPr>
        <w:t>ases in AUC/A, servicing fees remain subject to several factors, including changes in market valuations, client activity and asset flows, the manner in which we price our services, the nature of the assets being serviced and the type of services and the ot</w:t>
      </w:r>
      <w:r>
        <w:rPr>
          <w:rFonts w:ascii="Arial" w:eastAsia="宋体" w:hAnsi="Arial" w:cs="Arial"/>
          <w:color w:val="000000"/>
          <w:sz w:val="20"/>
          <w:szCs w:val="20"/>
        </w:rPr>
        <w:t>her factors described in this Form 10-Q.</w:t>
      </w:r>
    </w:p>
    <w:p w14:paraId="71D3E0B6" w14:textId="77777777" w:rsidR="006A3667" w:rsidRDefault="00045F32">
      <w:pPr>
        <w:spacing w:before="60"/>
        <w:ind w:firstLine="450"/>
        <w:jc w:val="both"/>
        <w:textAlignment w:val="top"/>
      </w:pPr>
      <w:r>
        <w:rPr>
          <w:rFonts w:ascii="Arial" w:eastAsia="宋体" w:hAnsi="Arial" w:cs="Arial"/>
          <w:color w:val="000000"/>
          <w:sz w:val="20"/>
          <w:szCs w:val="20"/>
        </w:rPr>
        <w:t>Historically, and based on an indicative sample of revenue, we estimate that approximately 55%, on average, of our servicing fee revenues have been variable due to changes in asset valuations including changes in da</w:t>
      </w:r>
      <w:r>
        <w:rPr>
          <w:rFonts w:ascii="Arial" w:eastAsia="宋体" w:hAnsi="Arial" w:cs="Arial"/>
          <w:color w:val="000000"/>
          <w:sz w:val="20"/>
          <w:szCs w:val="20"/>
        </w:rPr>
        <w:t>ily average valuations of AUC/A; another 15%, on average, of our servicing fees are impacted by the volume of activity in the funds we serve; and the remaining approximately 30% of our servicing fees tend not to be variable in nature nor impacted by market</w:t>
      </w:r>
      <w:r>
        <w:rPr>
          <w:rFonts w:ascii="Arial" w:eastAsia="宋体" w:hAnsi="Arial" w:cs="Arial"/>
          <w:color w:val="000000"/>
          <w:sz w:val="20"/>
          <w:szCs w:val="20"/>
        </w:rPr>
        <w:t xml:space="preserve"> fluctuations or values. </w:t>
      </w:r>
    </w:p>
    <w:p w14:paraId="71D3E0B7" w14:textId="77777777" w:rsidR="006A3667" w:rsidRDefault="00045F32">
      <w:pPr>
        <w:spacing w:before="60"/>
        <w:ind w:firstLine="450"/>
        <w:jc w:val="both"/>
        <w:textAlignment w:val="top"/>
      </w:pPr>
      <w:r>
        <w:rPr>
          <w:rFonts w:ascii="Arial" w:eastAsia="宋体" w:hAnsi="Arial" w:cs="Arial"/>
          <w:color w:val="000000"/>
          <w:sz w:val="20"/>
          <w:szCs w:val="20"/>
        </w:rPr>
        <w:t>Based on the impact of the above, client activity and asset flows, net new business and pricing, noted drivers of our servicing fee revenue will vary depending on the mix of products and services we provide to our clients. The ful</w:t>
      </w:r>
      <w:r>
        <w:rPr>
          <w:rFonts w:ascii="Arial" w:eastAsia="宋体" w:hAnsi="Arial" w:cs="Arial"/>
          <w:color w:val="000000"/>
          <w:sz w:val="20"/>
          <w:szCs w:val="20"/>
        </w:rPr>
        <w:t>l impact of changes in market valuations and the volume of activity in the funds may not be fully reflected in our servicing fee revenues in the periods in which the changes occur, particularly in periods of higher volatility.</w:t>
      </w:r>
    </w:p>
    <w:p w14:paraId="71D3E0B8" w14:textId="77777777" w:rsidR="006A3667" w:rsidRDefault="00045F32">
      <w:pPr>
        <w:spacing w:before="60"/>
        <w:ind w:firstLine="450"/>
        <w:jc w:val="both"/>
        <w:textAlignment w:val="top"/>
      </w:pPr>
      <w:r>
        <w:rPr>
          <w:rFonts w:ascii="Arial" w:eastAsia="宋体" w:hAnsi="Arial" w:cs="Arial"/>
          <w:color w:val="000000"/>
          <w:sz w:val="20"/>
          <w:szCs w:val="20"/>
        </w:rPr>
        <w:t>Servicing f</w:t>
      </w:r>
      <w:r>
        <w:rPr>
          <w:rFonts w:ascii="Arial" w:eastAsia="宋体" w:hAnsi="Arial" w:cs="Arial"/>
          <w:color w:val="000000"/>
          <w:sz w:val="20"/>
          <w:szCs w:val="20"/>
          <w:shd w:val="clear" w:color="auto" w:fill="FFFFFF"/>
        </w:rPr>
        <w:t>ees, as pres</w:t>
      </w:r>
      <w:r>
        <w:rPr>
          <w:rFonts w:ascii="Arial" w:eastAsia="宋体" w:hAnsi="Arial" w:cs="Arial"/>
          <w:color w:val="000000"/>
          <w:sz w:val="20"/>
          <w:szCs w:val="20"/>
        </w:rPr>
        <w:t xml:space="preserve">ented </w:t>
      </w:r>
      <w:r>
        <w:rPr>
          <w:rFonts w:ascii="Arial" w:eastAsia="宋体" w:hAnsi="Arial" w:cs="Arial"/>
          <w:color w:val="000000"/>
          <w:sz w:val="20"/>
          <w:szCs w:val="20"/>
        </w:rPr>
        <w:t>in Table 2: Total Revenue, decreased 12% and 6% in the three and nine months ended September 30, 2022, respectively, compared to the same periods in 2021, primarily due to lower average market levels, lower client activity and adjustments and normal pricin</w:t>
      </w:r>
      <w:r>
        <w:rPr>
          <w:rFonts w:ascii="Arial" w:eastAsia="宋体" w:hAnsi="Arial" w:cs="Arial"/>
          <w:color w:val="000000"/>
          <w:sz w:val="20"/>
          <w:szCs w:val="20"/>
        </w:rPr>
        <w:t xml:space="preserve">g headwinds, partially offset by net new business. Currency translation decreased servicing fee revenue by 3% in both the three and nine months ended September 30, 2022, relative to the same periods in 2021. </w:t>
      </w:r>
    </w:p>
    <w:p w14:paraId="71D3E0B9" w14:textId="77777777" w:rsidR="006A3667" w:rsidRDefault="00045F32">
      <w:pPr>
        <w:spacing w:before="60"/>
        <w:ind w:firstLine="450"/>
        <w:jc w:val="both"/>
        <w:textAlignment w:val="top"/>
      </w:pPr>
      <w:r>
        <w:rPr>
          <w:rFonts w:ascii="Arial" w:eastAsia="宋体" w:hAnsi="Arial" w:cs="Arial"/>
          <w:color w:val="000000"/>
          <w:sz w:val="20"/>
          <w:szCs w:val="20"/>
        </w:rPr>
        <w:t xml:space="preserve">Servicing fees generated outside the U.S. were </w:t>
      </w:r>
      <w:r>
        <w:rPr>
          <w:rFonts w:ascii="Arial" w:eastAsia="宋体" w:hAnsi="Arial" w:cs="Arial"/>
          <w:color w:val="000000"/>
          <w:sz w:val="20"/>
          <w:szCs w:val="20"/>
        </w:rPr>
        <w:t xml:space="preserve">approximately 45% and 46% of total servicing fees in the three and nine months ended September 30, 2022, respectively, compared to approximately </w:t>
      </w:r>
      <w:r>
        <w:rPr>
          <w:rFonts w:ascii="Arial" w:eastAsia="宋体" w:hAnsi="Arial" w:cs="Arial"/>
          <w:color w:val="000000"/>
          <w:sz w:val="20"/>
          <w:szCs w:val="20"/>
          <w:shd w:val="clear" w:color="auto" w:fill="FFFFFF"/>
        </w:rPr>
        <w:t>48%</w:t>
      </w:r>
      <w:r>
        <w:rPr>
          <w:rFonts w:ascii="Arial" w:eastAsia="宋体" w:hAnsi="Arial" w:cs="Arial"/>
          <w:color w:val="000000"/>
          <w:sz w:val="20"/>
          <w:szCs w:val="20"/>
        </w:rPr>
        <w:t xml:space="preserve"> in both the three and nine months ended September 30,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2051"/>
        <w:gridCol w:w="37"/>
        <w:gridCol w:w="99"/>
        <w:gridCol w:w="1552"/>
        <w:gridCol w:w="37"/>
        <w:gridCol w:w="36"/>
        <w:gridCol w:w="36"/>
        <w:gridCol w:w="36"/>
        <w:gridCol w:w="99"/>
        <w:gridCol w:w="1549"/>
        <w:gridCol w:w="37"/>
        <w:gridCol w:w="36"/>
        <w:gridCol w:w="36"/>
        <w:gridCol w:w="36"/>
        <w:gridCol w:w="99"/>
        <w:gridCol w:w="1549"/>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3E0D6" w14:textId="77777777">
        <w:tc>
          <w:tcPr>
            <w:tcW w:w="50" w:type="pct"/>
            <w:shd w:val="clear" w:color="auto" w:fill="auto"/>
            <w:vAlign w:val="bottom"/>
          </w:tcPr>
          <w:p w14:paraId="71D3E0BA" w14:textId="77777777" w:rsidR="006A3667" w:rsidRDefault="006A3667">
            <w:pPr>
              <w:rPr>
                <w:rFonts w:ascii="宋体"/>
              </w:rPr>
            </w:pPr>
          </w:p>
        </w:tc>
        <w:tc>
          <w:tcPr>
            <w:tcW w:w="1422" w:type="pct"/>
            <w:shd w:val="clear" w:color="auto" w:fill="auto"/>
            <w:vAlign w:val="bottom"/>
          </w:tcPr>
          <w:p w14:paraId="71D3E0BB" w14:textId="77777777" w:rsidR="006A3667" w:rsidRDefault="006A3667">
            <w:pPr>
              <w:rPr>
                <w:rFonts w:ascii="宋体"/>
              </w:rPr>
            </w:pPr>
          </w:p>
        </w:tc>
        <w:tc>
          <w:tcPr>
            <w:tcW w:w="5" w:type="pct"/>
            <w:shd w:val="clear" w:color="auto" w:fill="auto"/>
            <w:vAlign w:val="bottom"/>
          </w:tcPr>
          <w:p w14:paraId="71D3E0BC" w14:textId="77777777" w:rsidR="006A3667" w:rsidRDefault="006A3667">
            <w:pPr>
              <w:rPr>
                <w:rFonts w:ascii="宋体"/>
              </w:rPr>
            </w:pPr>
          </w:p>
        </w:tc>
        <w:tc>
          <w:tcPr>
            <w:tcW w:w="50" w:type="pct"/>
            <w:shd w:val="clear" w:color="auto" w:fill="auto"/>
            <w:vAlign w:val="bottom"/>
          </w:tcPr>
          <w:p w14:paraId="71D3E0BD" w14:textId="77777777" w:rsidR="006A3667" w:rsidRDefault="006A3667">
            <w:pPr>
              <w:rPr>
                <w:rFonts w:ascii="宋体"/>
              </w:rPr>
            </w:pPr>
          </w:p>
        </w:tc>
        <w:tc>
          <w:tcPr>
            <w:tcW w:w="1077" w:type="pct"/>
            <w:shd w:val="clear" w:color="auto" w:fill="auto"/>
            <w:vAlign w:val="bottom"/>
          </w:tcPr>
          <w:p w14:paraId="71D3E0BE" w14:textId="77777777" w:rsidR="006A3667" w:rsidRDefault="006A3667">
            <w:pPr>
              <w:rPr>
                <w:rFonts w:ascii="宋体"/>
              </w:rPr>
            </w:pPr>
          </w:p>
        </w:tc>
        <w:tc>
          <w:tcPr>
            <w:tcW w:w="5" w:type="pct"/>
            <w:shd w:val="clear" w:color="auto" w:fill="auto"/>
            <w:vAlign w:val="bottom"/>
          </w:tcPr>
          <w:p w14:paraId="71D3E0BF" w14:textId="77777777" w:rsidR="006A3667" w:rsidRDefault="006A3667">
            <w:pPr>
              <w:rPr>
                <w:rFonts w:ascii="宋体"/>
              </w:rPr>
            </w:pPr>
          </w:p>
        </w:tc>
        <w:tc>
          <w:tcPr>
            <w:tcW w:w="5" w:type="pct"/>
            <w:shd w:val="clear" w:color="auto" w:fill="auto"/>
            <w:vAlign w:val="bottom"/>
          </w:tcPr>
          <w:p w14:paraId="71D3E0C0" w14:textId="77777777" w:rsidR="006A3667" w:rsidRDefault="006A3667">
            <w:pPr>
              <w:rPr>
                <w:rFonts w:ascii="宋体"/>
              </w:rPr>
            </w:pPr>
          </w:p>
        </w:tc>
        <w:tc>
          <w:tcPr>
            <w:tcW w:w="52" w:type="pct"/>
            <w:shd w:val="clear" w:color="auto" w:fill="auto"/>
            <w:vAlign w:val="bottom"/>
          </w:tcPr>
          <w:p w14:paraId="71D3E0C1" w14:textId="77777777" w:rsidR="006A3667" w:rsidRDefault="006A3667">
            <w:pPr>
              <w:rPr>
                <w:rFonts w:ascii="宋体"/>
              </w:rPr>
            </w:pPr>
          </w:p>
        </w:tc>
        <w:tc>
          <w:tcPr>
            <w:tcW w:w="5" w:type="pct"/>
            <w:shd w:val="clear" w:color="auto" w:fill="auto"/>
            <w:vAlign w:val="bottom"/>
          </w:tcPr>
          <w:p w14:paraId="71D3E0C2" w14:textId="77777777" w:rsidR="006A3667" w:rsidRDefault="006A3667">
            <w:pPr>
              <w:rPr>
                <w:rFonts w:ascii="宋体"/>
              </w:rPr>
            </w:pPr>
          </w:p>
        </w:tc>
        <w:tc>
          <w:tcPr>
            <w:tcW w:w="50" w:type="pct"/>
            <w:shd w:val="clear" w:color="auto" w:fill="auto"/>
            <w:vAlign w:val="bottom"/>
          </w:tcPr>
          <w:p w14:paraId="71D3E0C3" w14:textId="77777777" w:rsidR="006A3667" w:rsidRDefault="006A3667">
            <w:pPr>
              <w:rPr>
                <w:rFonts w:ascii="宋体"/>
              </w:rPr>
            </w:pPr>
          </w:p>
        </w:tc>
        <w:tc>
          <w:tcPr>
            <w:tcW w:w="1077" w:type="pct"/>
            <w:shd w:val="clear" w:color="auto" w:fill="auto"/>
            <w:vAlign w:val="bottom"/>
          </w:tcPr>
          <w:p w14:paraId="71D3E0C4" w14:textId="77777777" w:rsidR="006A3667" w:rsidRDefault="006A3667">
            <w:pPr>
              <w:rPr>
                <w:rFonts w:ascii="宋体"/>
              </w:rPr>
            </w:pPr>
          </w:p>
        </w:tc>
        <w:tc>
          <w:tcPr>
            <w:tcW w:w="5" w:type="pct"/>
            <w:shd w:val="clear" w:color="auto" w:fill="auto"/>
            <w:vAlign w:val="bottom"/>
          </w:tcPr>
          <w:p w14:paraId="71D3E0C5" w14:textId="77777777" w:rsidR="006A3667" w:rsidRDefault="006A3667">
            <w:pPr>
              <w:rPr>
                <w:rFonts w:ascii="宋体"/>
              </w:rPr>
            </w:pPr>
          </w:p>
        </w:tc>
        <w:tc>
          <w:tcPr>
            <w:tcW w:w="5" w:type="pct"/>
            <w:shd w:val="clear" w:color="auto" w:fill="auto"/>
            <w:vAlign w:val="bottom"/>
          </w:tcPr>
          <w:p w14:paraId="71D3E0C6" w14:textId="77777777" w:rsidR="006A3667" w:rsidRDefault="006A3667">
            <w:pPr>
              <w:rPr>
                <w:rFonts w:ascii="宋体"/>
              </w:rPr>
            </w:pPr>
          </w:p>
        </w:tc>
        <w:tc>
          <w:tcPr>
            <w:tcW w:w="52" w:type="pct"/>
            <w:shd w:val="clear" w:color="auto" w:fill="auto"/>
            <w:vAlign w:val="bottom"/>
          </w:tcPr>
          <w:p w14:paraId="71D3E0C7" w14:textId="77777777" w:rsidR="006A3667" w:rsidRDefault="006A3667">
            <w:pPr>
              <w:rPr>
                <w:rFonts w:ascii="宋体"/>
              </w:rPr>
            </w:pPr>
          </w:p>
        </w:tc>
        <w:tc>
          <w:tcPr>
            <w:tcW w:w="5" w:type="pct"/>
            <w:shd w:val="clear" w:color="auto" w:fill="auto"/>
            <w:vAlign w:val="bottom"/>
          </w:tcPr>
          <w:p w14:paraId="71D3E0C8" w14:textId="77777777" w:rsidR="006A3667" w:rsidRDefault="006A3667">
            <w:pPr>
              <w:rPr>
                <w:rFonts w:ascii="宋体"/>
              </w:rPr>
            </w:pPr>
          </w:p>
        </w:tc>
        <w:tc>
          <w:tcPr>
            <w:tcW w:w="50" w:type="pct"/>
            <w:shd w:val="clear" w:color="auto" w:fill="auto"/>
            <w:vAlign w:val="bottom"/>
          </w:tcPr>
          <w:p w14:paraId="71D3E0C9" w14:textId="77777777" w:rsidR="006A3667" w:rsidRDefault="006A3667">
            <w:pPr>
              <w:rPr>
                <w:rFonts w:ascii="宋体"/>
              </w:rPr>
            </w:pPr>
          </w:p>
        </w:tc>
        <w:tc>
          <w:tcPr>
            <w:tcW w:w="1077" w:type="pct"/>
            <w:shd w:val="clear" w:color="auto" w:fill="auto"/>
            <w:vAlign w:val="bottom"/>
          </w:tcPr>
          <w:p w14:paraId="71D3E0CA" w14:textId="77777777" w:rsidR="006A3667" w:rsidRDefault="006A3667">
            <w:pPr>
              <w:rPr>
                <w:rFonts w:ascii="宋体"/>
              </w:rPr>
            </w:pPr>
          </w:p>
        </w:tc>
        <w:tc>
          <w:tcPr>
            <w:tcW w:w="5" w:type="pct"/>
            <w:shd w:val="clear" w:color="auto" w:fill="auto"/>
            <w:vAlign w:val="bottom"/>
          </w:tcPr>
          <w:p w14:paraId="71D3E0CB" w14:textId="77777777" w:rsidR="006A3667" w:rsidRDefault="006A3667">
            <w:pPr>
              <w:rPr>
                <w:rFonts w:ascii="宋体"/>
              </w:rPr>
            </w:pPr>
          </w:p>
        </w:tc>
        <w:tc>
          <w:tcPr>
            <w:tcW w:w="0" w:type="auto"/>
            <w:shd w:val="clear" w:color="auto" w:fill="auto"/>
            <w:vAlign w:val="bottom"/>
          </w:tcPr>
          <w:p w14:paraId="71D3E0CC" w14:textId="77777777" w:rsidR="006A3667" w:rsidRDefault="006A3667">
            <w:pPr>
              <w:rPr>
                <w:rFonts w:ascii="宋体"/>
                <w:vanish/>
              </w:rPr>
            </w:pPr>
          </w:p>
        </w:tc>
        <w:tc>
          <w:tcPr>
            <w:tcW w:w="0" w:type="auto"/>
            <w:shd w:val="clear" w:color="auto" w:fill="auto"/>
            <w:vAlign w:val="bottom"/>
          </w:tcPr>
          <w:p w14:paraId="71D3E0CD" w14:textId="77777777" w:rsidR="006A3667" w:rsidRDefault="006A3667">
            <w:pPr>
              <w:rPr>
                <w:rFonts w:ascii="宋体"/>
                <w:vanish/>
              </w:rPr>
            </w:pPr>
          </w:p>
        </w:tc>
        <w:tc>
          <w:tcPr>
            <w:tcW w:w="0" w:type="auto"/>
            <w:gridSpan w:val="3"/>
            <w:shd w:val="clear" w:color="auto" w:fill="auto"/>
            <w:vAlign w:val="bottom"/>
          </w:tcPr>
          <w:p w14:paraId="71D3E0CE" w14:textId="77777777" w:rsidR="006A3667" w:rsidRDefault="006A3667">
            <w:pPr>
              <w:rPr>
                <w:rFonts w:ascii="宋体"/>
                <w:vanish/>
              </w:rPr>
            </w:pPr>
          </w:p>
        </w:tc>
        <w:tc>
          <w:tcPr>
            <w:tcW w:w="0" w:type="auto"/>
            <w:gridSpan w:val="3"/>
            <w:shd w:val="clear" w:color="auto" w:fill="auto"/>
            <w:vAlign w:val="bottom"/>
          </w:tcPr>
          <w:p w14:paraId="71D3E0CF" w14:textId="77777777" w:rsidR="006A3667" w:rsidRDefault="006A3667">
            <w:pPr>
              <w:rPr>
                <w:rFonts w:ascii="宋体"/>
                <w:vanish/>
              </w:rPr>
            </w:pPr>
          </w:p>
        </w:tc>
        <w:tc>
          <w:tcPr>
            <w:tcW w:w="0" w:type="auto"/>
            <w:gridSpan w:val="3"/>
            <w:shd w:val="clear" w:color="auto" w:fill="auto"/>
            <w:vAlign w:val="bottom"/>
          </w:tcPr>
          <w:p w14:paraId="71D3E0D0" w14:textId="77777777" w:rsidR="006A3667" w:rsidRDefault="006A3667">
            <w:pPr>
              <w:rPr>
                <w:rFonts w:ascii="宋体"/>
                <w:vanish/>
              </w:rPr>
            </w:pPr>
          </w:p>
        </w:tc>
        <w:tc>
          <w:tcPr>
            <w:tcW w:w="0" w:type="auto"/>
            <w:gridSpan w:val="3"/>
            <w:shd w:val="clear" w:color="auto" w:fill="auto"/>
            <w:vAlign w:val="bottom"/>
          </w:tcPr>
          <w:p w14:paraId="71D3E0D1" w14:textId="77777777" w:rsidR="006A3667" w:rsidRDefault="006A3667">
            <w:pPr>
              <w:rPr>
                <w:rFonts w:ascii="宋体"/>
                <w:vanish/>
              </w:rPr>
            </w:pPr>
          </w:p>
        </w:tc>
        <w:tc>
          <w:tcPr>
            <w:tcW w:w="0" w:type="auto"/>
            <w:gridSpan w:val="3"/>
            <w:shd w:val="clear" w:color="auto" w:fill="auto"/>
            <w:vAlign w:val="bottom"/>
          </w:tcPr>
          <w:p w14:paraId="71D3E0D2" w14:textId="77777777" w:rsidR="006A3667" w:rsidRDefault="006A3667">
            <w:pPr>
              <w:rPr>
                <w:rFonts w:ascii="宋体"/>
                <w:vanish/>
              </w:rPr>
            </w:pPr>
          </w:p>
        </w:tc>
        <w:tc>
          <w:tcPr>
            <w:tcW w:w="0" w:type="auto"/>
            <w:gridSpan w:val="3"/>
            <w:shd w:val="clear" w:color="auto" w:fill="auto"/>
            <w:vAlign w:val="bottom"/>
          </w:tcPr>
          <w:p w14:paraId="71D3E0D3" w14:textId="77777777" w:rsidR="006A3667" w:rsidRDefault="006A3667">
            <w:pPr>
              <w:rPr>
                <w:rFonts w:ascii="宋体"/>
                <w:vanish/>
              </w:rPr>
            </w:pPr>
          </w:p>
        </w:tc>
        <w:tc>
          <w:tcPr>
            <w:tcW w:w="0" w:type="auto"/>
            <w:gridSpan w:val="3"/>
            <w:shd w:val="clear" w:color="auto" w:fill="auto"/>
            <w:vAlign w:val="bottom"/>
          </w:tcPr>
          <w:p w14:paraId="71D3E0D4" w14:textId="77777777" w:rsidR="006A3667" w:rsidRDefault="006A3667">
            <w:pPr>
              <w:rPr>
                <w:rFonts w:ascii="宋体"/>
                <w:vanish/>
              </w:rPr>
            </w:pPr>
          </w:p>
        </w:tc>
        <w:tc>
          <w:tcPr>
            <w:tcW w:w="0" w:type="auto"/>
            <w:gridSpan w:val="3"/>
            <w:shd w:val="clear" w:color="auto" w:fill="auto"/>
            <w:vAlign w:val="bottom"/>
          </w:tcPr>
          <w:p w14:paraId="71D3E0D5" w14:textId="77777777" w:rsidR="006A3667" w:rsidRDefault="006A3667">
            <w:pPr>
              <w:rPr>
                <w:rFonts w:ascii="宋体"/>
                <w:vanish/>
              </w:rPr>
            </w:pPr>
          </w:p>
        </w:tc>
      </w:tr>
      <w:tr w:rsidR="006A3667" w14:paraId="71D3E0F2" w14:textId="77777777">
        <w:tc>
          <w:tcPr>
            <w:tcW w:w="0" w:type="auto"/>
            <w:gridSpan w:val="18"/>
            <w:shd w:val="clear" w:color="auto" w:fill="auto"/>
            <w:tcMar>
              <w:top w:w="40" w:type="dxa"/>
              <w:left w:w="20" w:type="dxa"/>
              <w:bottom w:w="40" w:type="dxa"/>
              <w:right w:w="20" w:type="dxa"/>
            </w:tcMar>
            <w:vAlign w:val="bottom"/>
          </w:tcPr>
          <w:p w14:paraId="71D3E0D7" w14:textId="77777777" w:rsidR="006A3667" w:rsidRDefault="00045F32">
            <w:pPr>
              <w:jc w:val="both"/>
              <w:textAlignment w:val="bottom"/>
            </w:pPr>
            <w:r>
              <w:rPr>
                <w:rFonts w:ascii="Arial" w:eastAsia="宋体" w:hAnsi="Arial" w:cs="Arial"/>
                <w:b/>
                <w:bCs/>
                <w:color w:val="000000"/>
                <w:sz w:val="16"/>
                <w:szCs w:val="16"/>
              </w:rPr>
              <w:t>TABLE 6: ASSETS UNDER CUSTODY AND/OR ADMINISTRATION BY PRODUCT</w:t>
            </w:r>
            <w:r>
              <w:rPr>
                <w:rFonts w:ascii="Arial" w:eastAsia="宋体" w:hAnsi="Arial" w:cs="Arial"/>
                <w:b/>
                <w:bCs/>
                <w:color w:val="000000"/>
                <w:sz w:val="10"/>
                <w:szCs w:val="10"/>
              </w:rPr>
              <w:t>(1)</w:t>
            </w:r>
          </w:p>
        </w:tc>
        <w:tc>
          <w:tcPr>
            <w:tcW w:w="0" w:type="auto"/>
            <w:shd w:val="clear" w:color="auto" w:fill="auto"/>
            <w:vAlign w:val="bottom"/>
          </w:tcPr>
          <w:p w14:paraId="71D3E0D8" w14:textId="77777777" w:rsidR="006A3667" w:rsidRDefault="006A3667">
            <w:pPr>
              <w:rPr>
                <w:rFonts w:ascii="宋体"/>
                <w:vanish/>
              </w:rPr>
            </w:pPr>
          </w:p>
        </w:tc>
        <w:tc>
          <w:tcPr>
            <w:tcW w:w="0" w:type="auto"/>
            <w:shd w:val="clear" w:color="auto" w:fill="auto"/>
            <w:vAlign w:val="bottom"/>
          </w:tcPr>
          <w:p w14:paraId="71D3E0D9" w14:textId="77777777" w:rsidR="006A3667" w:rsidRDefault="006A3667">
            <w:pPr>
              <w:rPr>
                <w:rFonts w:ascii="宋体"/>
                <w:vanish/>
              </w:rPr>
            </w:pPr>
          </w:p>
        </w:tc>
        <w:tc>
          <w:tcPr>
            <w:tcW w:w="0" w:type="auto"/>
            <w:shd w:val="clear" w:color="auto" w:fill="auto"/>
            <w:vAlign w:val="bottom"/>
          </w:tcPr>
          <w:p w14:paraId="71D3E0DA" w14:textId="77777777" w:rsidR="006A3667" w:rsidRDefault="006A3667">
            <w:pPr>
              <w:rPr>
                <w:rFonts w:ascii="宋体"/>
              </w:rPr>
            </w:pPr>
          </w:p>
        </w:tc>
        <w:tc>
          <w:tcPr>
            <w:tcW w:w="0" w:type="auto"/>
            <w:shd w:val="clear" w:color="auto" w:fill="auto"/>
            <w:vAlign w:val="bottom"/>
          </w:tcPr>
          <w:p w14:paraId="71D3E0DB" w14:textId="77777777" w:rsidR="006A3667" w:rsidRDefault="006A3667">
            <w:pPr>
              <w:rPr>
                <w:rFonts w:ascii="宋体"/>
              </w:rPr>
            </w:pPr>
          </w:p>
        </w:tc>
        <w:tc>
          <w:tcPr>
            <w:tcW w:w="0" w:type="auto"/>
            <w:shd w:val="clear" w:color="auto" w:fill="auto"/>
            <w:vAlign w:val="bottom"/>
          </w:tcPr>
          <w:p w14:paraId="71D3E0DC" w14:textId="77777777" w:rsidR="006A3667" w:rsidRDefault="006A3667">
            <w:pPr>
              <w:rPr>
                <w:rFonts w:ascii="宋体"/>
              </w:rPr>
            </w:pPr>
          </w:p>
        </w:tc>
        <w:tc>
          <w:tcPr>
            <w:tcW w:w="0" w:type="auto"/>
            <w:shd w:val="clear" w:color="auto" w:fill="auto"/>
            <w:vAlign w:val="bottom"/>
          </w:tcPr>
          <w:p w14:paraId="71D3E0DD" w14:textId="77777777" w:rsidR="006A3667" w:rsidRDefault="006A3667">
            <w:pPr>
              <w:rPr>
                <w:rFonts w:ascii="宋体"/>
              </w:rPr>
            </w:pPr>
          </w:p>
        </w:tc>
        <w:tc>
          <w:tcPr>
            <w:tcW w:w="0" w:type="auto"/>
            <w:shd w:val="clear" w:color="auto" w:fill="auto"/>
            <w:vAlign w:val="bottom"/>
          </w:tcPr>
          <w:p w14:paraId="71D3E0DE" w14:textId="77777777" w:rsidR="006A3667" w:rsidRDefault="006A3667">
            <w:pPr>
              <w:rPr>
                <w:rFonts w:ascii="宋体"/>
              </w:rPr>
            </w:pPr>
          </w:p>
        </w:tc>
        <w:tc>
          <w:tcPr>
            <w:tcW w:w="0" w:type="auto"/>
            <w:shd w:val="clear" w:color="auto" w:fill="auto"/>
            <w:vAlign w:val="bottom"/>
          </w:tcPr>
          <w:p w14:paraId="71D3E0DF" w14:textId="77777777" w:rsidR="006A3667" w:rsidRDefault="006A3667">
            <w:pPr>
              <w:rPr>
                <w:rFonts w:ascii="宋体"/>
              </w:rPr>
            </w:pPr>
          </w:p>
        </w:tc>
        <w:tc>
          <w:tcPr>
            <w:tcW w:w="0" w:type="auto"/>
            <w:shd w:val="clear" w:color="auto" w:fill="auto"/>
            <w:vAlign w:val="bottom"/>
          </w:tcPr>
          <w:p w14:paraId="71D3E0E0" w14:textId="77777777" w:rsidR="006A3667" w:rsidRDefault="006A3667">
            <w:pPr>
              <w:rPr>
                <w:rFonts w:ascii="宋体"/>
              </w:rPr>
            </w:pPr>
          </w:p>
        </w:tc>
        <w:tc>
          <w:tcPr>
            <w:tcW w:w="0" w:type="auto"/>
            <w:shd w:val="clear" w:color="auto" w:fill="auto"/>
            <w:vAlign w:val="bottom"/>
          </w:tcPr>
          <w:p w14:paraId="71D3E0E1" w14:textId="77777777" w:rsidR="006A3667" w:rsidRDefault="006A3667">
            <w:pPr>
              <w:rPr>
                <w:rFonts w:ascii="宋体"/>
              </w:rPr>
            </w:pPr>
          </w:p>
        </w:tc>
        <w:tc>
          <w:tcPr>
            <w:tcW w:w="0" w:type="auto"/>
            <w:shd w:val="clear" w:color="auto" w:fill="auto"/>
            <w:vAlign w:val="bottom"/>
          </w:tcPr>
          <w:p w14:paraId="71D3E0E2" w14:textId="77777777" w:rsidR="006A3667" w:rsidRDefault="006A3667">
            <w:pPr>
              <w:rPr>
                <w:rFonts w:ascii="宋体"/>
              </w:rPr>
            </w:pPr>
          </w:p>
        </w:tc>
        <w:tc>
          <w:tcPr>
            <w:tcW w:w="0" w:type="auto"/>
            <w:shd w:val="clear" w:color="auto" w:fill="auto"/>
            <w:vAlign w:val="bottom"/>
          </w:tcPr>
          <w:p w14:paraId="71D3E0E3" w14:textId="77777777" w:rsidR="006A3667" w:rsidRDefault="006A3667">
            <w:pPr>
              <w:rPr>
                <w:rFonts w:ascii="宋体"/>
              </w:rPr>
            </w:pPr>
          </w:p>
        </w:tc>
        <w:tc>
          <w:tcPr>
            <w:tcW w:w="0" w:type="auto"/>
            <w:shd w:val="clear" w:color="auto" w:fill="auto"/>
            <w:vAlign w:val="bottom"/>
          </w:tcPr>
          <w:p w14:paraId="71D3E0E4" w14:textId="77777777" w:rsidR="006A3667" w:rsidRDefault="006A3667">
            <w:pPr>
              <w:rPr>
                <w:rFonts w:ascii="宋体"/>
              </w:rPr>
            </w:pPr>
          </w:p>
        </w:tc>
        <w:tc>
          <w:tcPr>
            <w:tcW w:w="0" w:type="auto"/>
            <w:shd w:val="clear" w:color="auto" w:fill="auto"/>
            <w:vAlign w:val="bottom"/>
          </w:tcPr>
          <w:p w14:paraId="71D3E0E5" w14:textId="77777777" w:rsidR="006A3667" w:rsidRDefault="006A3667">
            <w:pPr>
              <w:rPr>
                <w:rFonts w:ascii="宋体"/>
              </w:rPr>
            </w:pPr>
          </w:p>
        </w:tc>
        <w:tc>
          <w:tcPr>
            <w:tcW w:w="0" w:type="auto"/>
            <w:shd w:val="clear" w:color="auto" w:fill="auto"/>
            <w:vAlign w:val="bottom"/>
          </w:tcPr>
          <w:p w14:paraId="71D3E0E6" w14:textId="77777777" w:rsidR="006A3667" w:rsidRDefault="006A3667">
            <w:pPr>
              <w:rPr>
                <w:rFonts w:ascii="宋体"/>
              </w:rPr>
            </w:pPr>
          </w:p>
        </w:tc>
        <w:tc>
          <w:tcPr>
            <w:tcW w:w="0" w:type="auto"/>
            <w:shd w:val="clear" w:color="auto" w:fill="auto"/>
            <w:vAlign w:val="bottom"/>
          </w:tcPr>
          <w:p w14:paraId="71D3E0E7" w14:textId="77777777" w:rsidR="006A3667" w:rsidRDefault="006A3667">
            <w:pPr>
              <w:rPr>
                <w:rFonts w:ascii="宋体"/>
              </w:rPr>
            </w:pPr>
          </w:p>
        </w:tc>
        <w:tc>
          <w:tcPr>
            <w:tcW w:w="0" w:type="auto"/>
            <w:shd w:val="clear" w:color="auto" w:fill="auto"/>
            <w:vAlign w:val="bottom"/>
          </w:tcPr>
          <w:p w14:paraId="71D3E0E8" w14:textId="77777777" w:rsidR="006A3667" w:rsidRDefault="006A3667">
            <w:pPr>
              <w:rPr>
                <w:rFonts w:ascii="宋体"/>
              </w:rPr>
            </w:pPr>
          </w:p>
        </w:tc>
        <w:tc>
          <w:tcPr>
            <w:tcW w:w="0" w:type="auto"/>
            <w:shd w:val="clear" w:color="auto" w:fill="auto"/>
            <w:vAlign w:val="bottom"/>
          </w:tcPr>
          <w:p w14:paraId="71D3E0E9" w14:textId="77777777" w:rsidR="006A3667" w:rsidRDefault="006A3667">
            <w:pPr>
              <w:rPr>
                <w:rFonts w:ascii="宋体"/>
              </w:rPr>
            </w:pPr>
          </w:p>
        </w:tc>
        <w:tc>
          <w:tcPr>
            <w:tcW w:w="0" w:type="auto"/>
            <w:shd w:val="clear" w:color="auto" w:fill="auto"/>
            <w:vAlign w:val="bottom"/>
          </w:tcPr>
          <w:p w14:paraId="71D3E0EA" w14:textId="77777777" w:rsidR="006A3667" w:rsidRDefault="006A3667">
            <w:pPr>
              <w:rPr>
                <w:rFonts w:ascii="宋体"/>
              </w:rPr>
            </w:pPr>
          </w:p>
        </w:tc>
        <w:tc>
          <w:tcPr>
            <w:tcW w:w="0" w:type="auto"/>
            <w:shd w:val="clear" w:color="auto" w:fill="auto"/>
            <w:vAlign w:val="bottom"/>
          </w:tcPr>
          <w:p w14:paraId="71D3E0EB" w14:textId="77777777" w:rsidR="006A3667" w:rsidRDefault="006A3667">
            <w:pPr>
              <w:rPr>
                <w:rFonts w:ascii="宋体"/>
              </w:rPr>
            </w:pPr>
          </w:p>
        </w:tc>
        <w:tc>
          <w:tcPr>
            <w:tcW w:w="0" w:type="auto"/>
            <w:shd w:val="clear" w:color="auto" w:fill="auto"/>
            <w:vAlign w:val="bottom"/>
          </w:tcPr>
          <w:p w14:paraId="71D3E0EC" w14:textId="77777777" w:rsidR="006A3667" w:rsidRDefault="006A3667">
            <w:pPr>
              <w:rPr>
                <w:rFonts w:ascii="宋体"/>
              </w:rPr>
            </w:pPr>
          </w:p>
        </w:tc>
        <w:tc>
          <w:tcPr>
            <w:tcW w:w="0" w:type="auto"/>
            <w:shd w:val="clear" w:color="auto" w:fill="auto"/>
            <w:vAlign w:val="bottom"/>
          </w:tcPr>
          <w:p w14:paraId="71D3E0ED" w14:textId="77777777" w:rsidR="006A3667" w:rsidRDefault="006A3667">
            <w:pPr>
              <w:rPr>
                <w:rFonts w:ascii="宋体"/>
              </w:rPr>
            </w:pPr>
          </w:p>
        </w:tc>
        <w:tc>
          <w:tcPr>
            <w:tcW w:w="0" w:type="auto"/>
            <w:shd w:val="clear" w:color="auto" w:fill="auto"/>
            <w:vAlign w:val="bottom"/>
          </w:tcPr>
          <w:p w14:paraId="71D3E0EE" w14:textId="77777777" w:rsidR="006A3667" w:rsidRDefault="006A3667">
            <w:pPr>
              <w:rPr>
                <w:rFonts w:ascii="宋体"/>
              </w:rPr>
            </w:pPr>
          </w:p>
        </w:tc>
        <w:tc>
          <w:tcPr>
            <w:tcW w:w="0" w:type="auto"/>
            <w:shd w:val="clear" w:color="auto" w:fill="auto"/>
            <w:vAlign w:val="bottom"/>
          </w:tcPr>
          <w:p w14:paraId="71D3E0EF" w14:textId="77777777" w:rsidR="006A3667" w:rsidRDefault="006A3667">
            <w:pPr>
              <w:rPr>
                <w:rFonts w:ascii="宋体"/>
              </w:rPr>
            </w:pPr>
          </w:p>
        </w:tc>
        <w:tc>
          <w:tcPr>
            <w:tcW w:w="0" w:type="auto"/>
            <w:shd w:val="clear" w:color="auto" w:fill="auto"/>
            <w:vAlign w:val="bottom"/>
          </w:tcPr>
          <w:p w14:paraId="71D3E0F0" w14:textId="77777777" w:rsidR="006A3667" w:rsidRDefault="006A3667">
            <w:pPr>
              <w:rPr>
                <w:rFonts w:ascii="宋体"/>
              </w:rPr>
            </w:pPr>
          </w:p>
        </w:tc>
        <w:tc>
          <w:tcPr>
            <w:tcW w:w="0" w:type="auto"/>
            <w:shd w:val="clear" w:color="auto" w:fill="auto"/>
            <w:vAlign w:val="bottom"/>
          </w:tcPr>
          <w:p w14:paraId="71D3E0F1" w14:textId="77777777" w:rsidR="006A3667" w:rsidRDefault="006A3667">
            <w:pPr>
              <w:rPr>
                <w:rFonts w:ascii="宋体"/>
              </w:rPr>
            </w:pPr>
          </w:p>
        </w:tc>
      </w:tr>
      <w:tr w:rsidR="006A3667" w14:paraId="71D3E103" w14:textId="77777777">
        <w:tc>
          <w:tcPr>
            <w:tcW w:w="0" w:type="auto"/>
            <w:gridSpan w:val="3"/>
            <w:shd w:val="clear" w:color="auto" w:fill="auto"/>
            <w:tcMar>
              <w:top w:w="40" w:type="dxa"/>
              <w:left w:w="20" w:type="dxa"/>
              <w:bottom w:w="40" w:type="dxa"/>
              <w:right w:w="20" w:type="dxa"/>
            </w:tcMar>
            <w:vAlign w:val="bottom"/>
          </w:tcPr>
          <w:p w14:paraId="71D3E0F3" w14:textId="77777777" w:rsidR="006A3667" w:rsidRDefault="00045F32">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71D3E0F4"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3E0F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0F6" w14:textId="77777777" w:rsidR="006A3667" w:rsidRDefault="00045F32">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71D3E0F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0F8" w14:textId="77777777" w:rsidR="006A3667" w:rsidRDefault="00045F32">
            <w:pPr>
              <w:jc w:val="center"/>
              <w:textAlignment w:val="bottom"/>
            </w:pPr>
            <w:r>
              <w:rPr>
                <w:rFonts w:ascii="Arial" w:eastAsia="宋体" w:hAnsi="Arial" w:cs="Arial"/>
                <w:b/>
                <w:bCs/>
                <w:color w:val="000000"/>
                <w:sz w:val="14"/>
                <w:szCs w:val="14"/>
              </w:rPr>
              <w:t>September 30, 2021</w:t>
            </w:r>
          </w:p>
        </w:tc>
        <w:tc>
          <w:tcPr>
            <w:tcW w:w="0" w:type="auto"/>
            <w:shd w:val="clear" w:color="auto" w:fill="auto"/>
            <w:vAlign w:val="bottom"/>
          </w:tcPr>
          <w:p w14:paraId="71D3E0F9" w14:textId="77777777" w:rsidR="006A3667" w:rsidRDefault="006A3667">
            <w:pPr>
              <w:rPr>
                <w:rFonts w:ascii="宋体"/>
                <w:vanish/>
              </w:rPr>
            </w:pPr>
          </w:p>
        </w:tc>
        <w:tc>
          <w:tcPr>
            <w:tcW w:w="0" w:type="auto"/>
            <w:shd w:val="clear" w:color="auto" w:fill="auto"/>
            <w:vAlign w:val="bottom"/>
          </w:tcPr>
          <w:p w14:paraId="71D3E0FA" w14:textId="77777777" w:rsidR="006A3667" w:rsidRDefault="006A3667">
            <w:pPr>
              <w:rPr>
                <w:rFonts w:ascii="宋体"/>
                <w:vanish/>
              </w:rPr>
            </w:pPr>
          </w:p>
        </w:tc>
        <w:tc>
          <w:tcPr>
            <w:tcW w:w="0" w:type="auto"/>
            <w:gridSpan w:val="3"/>
            <w:shd w:val="clear" w:color="auto" w:fill="auto"/>
            <w:vAlign w:val="bottom"/>
          </w:tcPr>
          <w:p w14:paraId="71D3E0FB" w14:textId="77777777" w:rsidR="006A3667" w:rsidRDefault="006A3667">
            <w:pPr>
              <w:rPr>
                <w:rFonts w:ascii="宋体"/>
                <w:vanish/>
              </w:rPr>
            </w:pPr>
          </w:p>
        </w:tc>
        <w:tc>
          <w:tcPr>
            <w:tcW w:w="0" w:type="auto"/>
            <w:gridSpan w:val="3"/>
            <w:shd w:val="clear" w:color="auto" w:fill="auto"/>
            <w:vAlign w:val="bottom"/>
          </w:tcPr>
          <w:p w14:paraId="71D3E0FC" w14:textId="77777777" w:rsidR="006A3667" w:rsidRDefault="006A3667">
            <w:pPr>
              <w:rPr>
                <w:rFonts w:ascii="宋体"/>
                <w:vanish/>
              </w:rPr>
            </w:pPr>
          </w:p>
        </w:tc>
        <w:tc>
          <w:tcPr>
            <w:tcW w:w="0" w:type="auto"/>
            <w:gridSpan w:val="3"/>
            <w:shd w:val="clear" w:color="auto" w:fill="auto"/>
            <w:vAlign w:val="bottom"/>
          </w:tcPr>
          <w:p w14:paraId="71D3E0FD" w14:textId="77777777" w:rsidR="006A3667" w:rsidRDefault="006A3667">
            <w:pPr>
              <w:rPr>
                <w:rFonts w:ascii="宋体"/>
                <w:vanish/>
              </w:rPr>
            </w:pPr>
          </w:p>
        </w:tc>
        <w:tc>
          <w:tcPr>
            <w:tcW w:w="0" w:type="auto"/>
            <w:gridSpan w:val="3"/>
            <w:shd w:val="clear" w:color="auto" w:fill="auto"/>
            <w:vAlign w:val="bottom"/>
          </w:tcPr>
          <w:p w14:paraId="71D3E0FE" w14:textId="77777777" w:rsidR="006A3667" w:rsidRDefault="006A3667">
            <w:pPr>
              <w:rPr>
                <w:rFonts w:ascii="宋体"/>
                <w:vanish/>
              </w:rPr>
            </w:pPr>
          </w:p>
        </w:tc>
        <w:tc>
          <w:tcPr>
            <w:tcW w:w="0" w:type="auto"/>
            <w:gridSpan w:val="3"/>
            <w:shd w:val="clear" w:color="auto" w:fill="auto"/>
            <w:vAlign w:val="bottom"/>
          </w:tcPr>
          <w:p w14:paraId="71D3E0FF" w14:textId="77777777" w:rsidR="006A3667" w:rsidRDefault="006A3667">
            <w:pPr>
              <w:rPr>
                <w:rFonts w:ascii="宋体"/>
                <w:vanish/>
              </w:rPr>
            </w:pPr>
          </w:p>
        </w:tc>
        <w:tc>
          <w:tcPr>
            <w:tcW w:w="0" w:type="auto"/>
            <w:gridSpan w:val="3"/>
            <w:shd w:val="clear" w:color="auto" w:fill="auto"/>
            <w:vAlign w:val="bottom"/>
          </w:tcPr>
          <w:p w14:paraId="71D3E100" w14:textId="77777777" w:rsidR="006A3667" w:rsidRDefault="006A3667">
            <w:pPr>
              <w:rPr>
                <w:rFonts w:ascii="宋体"/>
                <w:vanish/>
              </w:rPr>
            </w:pPr>
          </w:p>
        </w:tc>
        <w:tc>
          <w:tcPr>
            <w:tcW w:w="0" w:type="auto"/>
            <w:gridSpan w:val="3"/>
            <w:shd w:val="clear" w:color="auto" w:fill="auto"/>
            <w:vAlign w:val="bottom"/>
          </w:tcPr>
          <w:p w14:paraId="71D3E101" w14:textId="77777777" w:rsidR="006A3667" w:rsidRDefault="006A3667">
            <w:pPr>
              <w:rPr>
                <w:rFonts w:ascii="宋体"/>
                <w:vanish/>
              </w:rPr>
            </w:pPr>
          </w:p>
        </w:tc>
        <w:tc>
          <w:tcPr>
            <w:tcW w:w="0" w:type="auto"/>
            <w:gridSpan w:val="3"/>
            <w:shd w:val="clear" w:color="auto" w:fill="auto"/>
            <w:vAlign w:val="bottom"/>
          </w:tcPr>
          <w:p w14:paraId="71D3E102" w14:textId="77777777" w:rsidR="006A3667" w:rsidRDefault="006A3667">
            <w:pPr>
              <w:rPr>
                <w:rFonts w:ascii="宋体"/>
                <w:vanish/>
              </w:rPr>
            </w:pPr>
          </w:p>
        </w:tc>
      </w:tr>
      <w:tr w:rsidR="006A3667" w14:paraId="71D3E11A" w14:textId="77777777">
        <w:tc>
          <w:tcPr>
            <w:tcW w:w="0" w:type="auto"/>
            <w:gridSpan w:val="3"/>
            <w:shd w:val="clear" w:color="auto" w:fill="CCEEFF"/>
            <w:tcMar>
              <w:top w:w="40" w:type="dxa"/>
              <w:left w:w="20" w:type="dxa"/>
              <w:bottom w:w="40" w:type="dxa"/>
              <w:right w:w="20" w:type="dxa"/>
            </w:tcMar>
            <w:vAlign w:val="bottom"/>
          </w:tcPr>
          <w:p w14:paraId="71D3E104" w14:textId="77777777" w:rsidR="006A3667" w:rsidRDefault="00045F32">
            <w:pPr>
              <w:textAlignment w:val="bottom"/>
            </w:pPr>
            <w:r>
              <w:rPr>
                <w:rFonts w:ascii="Arial" w:eastAsia="宋体" w:hAnsi="Arial" w:cs="Arial"/>
                <w:color w:val="000000"/>
                <w:sz w:val="14"/>
                <w:szCs w:val="14"/>
              </w:rPr>
              <w:t>Collective funds, including ETFs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10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106" w14:textId="77777777" w:rsidR="006A3667" w:rsidRDefault="00045F32">
            <w:pPr>
              <w:jc w:val="right"/>
              <w:textAlignment w:val="bottom"/>
            </w:pPr>
            <w:r>
              <w:rPr>
                <w:rFonts w:ascii="Arial" w:eastAsia="宋体" w:hAnsi="Arial" w:cs="Arial"/>
                <w:b/>
                <w:bCs/>
                <w:color w:val="000000"/>
                <w:sz w:val="14"/>
                <w:szCs w:val="14"/>
              </w:rPr>
              <w:t>11,649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1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0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10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10A" w14:textId="77777777" w:rsidR="006A3667" w:rsidRDefault="00045F32">
            <w:pPr>
              <w:jc w:val="right"/>
              <w:textAlignment w:val="bottom"/>
            </w:pPr>
            <w:r>
              <w:rPr>
                <w:rFonts w:ascii="Arial" w:eastAsia="宋体" w:hAnsi="Arial" w:cs="Arial"/>
                <w:color w:val="000000"/>
                <w:sz w:val="14"/>
                <w:szCs w:val="14"/>
              </w:rPr>
              <w:t>15,722 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1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0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10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10E" w14:textId="77777777" w:rsidR="006A3667" w:rsidRDefault="00045F32">
            <w:pPr>
              <w:jc w:val="right"/>
              <w:textAlignment w:val="bottom"/>
            </w:pPr>
            <w:r>
              <w:rPr>
                <w:rFonts w:ascii="Arial" w:eastAsia="宋体" w:hAnsi="Arial" w:cs="Arial"/>
                <w:color w:val="000000"/>
                <w:sz w:val="14"/>
                <w:szCs w:val="14"/>
              </w:rPr>
              <w:t>15,159 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10F" w14:textId="77777777" w:rsidR="006A3667" w:rsidRDefault="006A3667">
            <w:pPr>
              <w:jc w:val="right"/>
              <w:rPr>
                <w:rFonts w:ascii="宋体"/>
              </w:rPr>
            </w:pPr>
          </w:p>
        </w:tc>
        <w:tc>
          <w:tcPr>
            <w:tcW w:w="0" w:type="auto"/>
            <w:shd w:val="clear" w:color="auto" w:fill="auto"/>
            <w:vAlign w:val="bottom"/>
          </w:tcPr>
          <w:p w14:paraId="71D3E110" w14:textId="77777777" w:rsidR="006A3667" w:rsidRDefault="006A3667">
            <w:pPr>
              <w:rPr>
                <w:rFonts w:ascii="宋体"/>
                <w:vanish/>
              </w:rPr>
            </w:pPr>
          </w:p>
        </w:tc>
        <w:tc>
          <w:tcPr>
            <w:tcW w:w="0" w:type="auto"/>
            <w:shd w:val="clear" w:color="auto" w:fill="auto"/>
            <w:vAlign w:val="bottom"/>
          </w:tcPr>
          <w:p w14:paraId="71D3E111" w14:textId="77777777" w:rsidR="006A3667" w:rsidRDefault="006A3667">
            <w:pPr>
              <w:rPr>
                <w:rFonts w:ascii="宋体"/>
                <w:vanish/>
              </w:rPr>
            </w:pPr>
          </w:p>
        </w:tc>
        <w:tc>
          <w:tcPr>
            <w:tcW w:w="0" w:type="auto"/>
            <w:gridSpan w:val="3"/>
            <w:shd w:val="clear" w:color="auto" w:fill="auto"/>
            <w:vAlign w:val="bottom"/>
          </w:tcPr>
          <w:p w14:paraId="71D3E112" w14:textId="77777777" w:rsidR="006A3667" w:rsidRDefault="006A3667">
            <w:pPr>
              <w:rPr>
                <w:rFonts w:ascii="宋体"/>
                <w:vanish/>
              </w:rPr>
            </w:pPr>
          </w:p>
        </w:tc>
        <w:tc>
          <w:tcPr>
            <w:tcW w:w="0" w:type="auto"/>
            <w:gridSpan w:val="3"/>
            <w:shd w:val="clear" w:color="auto" w:fill="auto"/>
            <w:vAlign w:val="bottom"/>
          </w:tcPr>
          <w:p w14:paraId="71D3E113" w14:textId="77777777" w:rsidR="006A3667" w:rsidRDefault="006A3667">
            <w:pPr>
              <w:rPr>
                <w:rFonts w:ascii="宋体"/>
                <w:vanish/>
              </w:rPr>
            </w:pPr>
          </w:p>
        </w:tc>
        <w:tc>
          <w:tcPr>
            <w:tcW w:w="0" w:type="auto"/>
            <w:gridSpan w:val="3"/>
            <w:shd w:val="clear" w:color="auto" w:fill="auto"/>
            <w:vAlign w:val="bottom"/>
          </w:tcPr>
          <w:p w14:paraId="71D3E114" w14:textId="77777777" w:rsidR="006A3667" w:rsidRDefault="006A3667">
            <w:pPr>
              <w:rPr>
                <w:rFonts w:ascii="宋体"/>
                <w:vanish/>
              </w:rPr>
            </w:pPr>
          </w:p>
        </w:tc>
        <w:tc>
          <w:tcPr>
            <w:tcW w:w="0" w:type="auto"/>
            <w:gridSpan w:val="3"/>
            <w:shd w:val="clear" w:color="auto" w:fill="auto"/>
            <w:vAlign w:val="bottom"/>
          </w:tcPr>
          <w:p w14:paraId="71D3E115" w14:textId="77777777" w:rsidR="006A3667" w:rsidRDefault="006A3667">
            <w:pPr>
              <w:rPr>
                <w:rFonts w:ascii="宋体"/>
                <w:vanish/>
              </w:rPr>
            </w:pPr>
          </w:p>
        </w:tc>
        <w:tc>
          <w:tcPr>
            <w:tcW w:w="0" w:type="auto"/>
            <w:gridSpan w:val="3"/>
            <w:shd w:val="clear" w:color="auto" w:fill="auto"/>
            <w:vAlign w:val="bottom"/>
          </w:tcPr>
          <w:p w14:paraId="71D3E116" w14:textId="77777777" w:rsidR="006A3667" w:rsidRDefault="006A3667">
            <w:pPr>
              <w:rPr>
                <w:rFonts w:ascii="宋体"/>
                <w:vanish/>
              </w:rPr>
            </w:pPr>
          </w:p>
        </w:tc>
        <w:tc>
          <w:tcPr>
            <w:tcW w:w="0" w:type="auto"/>
            <w:gridSpan w:val="3"/>
            <w:shd w:val="clear" w:color="auto" w:fill="auto"/>
            <w:vAlign w:val="bottom"/>
          </w:tcPr>
          <w:p w14:paraId="71D3E117" w14:textId="77777777" w:rsidR="006A3667" w:rsidRDefault="006A3667">
            <w:pPr>
              <w:rPr>
                <w:rFonts w:ascii="宋体"/>
                <w:vanish/>
              </w:rPr>
            </w:pPr>
          </w:p>
        </w:tc>
        <w:tc>
          <w:tcPr>
            <w:tcW w:w="0" w:type="auto"/>
            <w:gridSpan w:val="3"/>
            <w:shd w:val="clear" w:color="auto" w:fill="auto"/>
            <w:vAlign w:val="bottom"/>
          </w:tcPr>
          <w:p w14:paraId="71D3E118" w14:textId="77777777" w:rsidR="006A3667" w:rsidRDefault="006A3667">
            <w:pPr>
              <w:rPr>
                <w:rFonts w:ascii="宋体"/>
                <w:vanish/>
              </w:rPr>
            </w:pPr>
          </w:p>
        </w:tc>
        <w:tc>
          <w:tcPr>
            <w:tcW w:w="0" w:type="auto"/>
            <w:gridSpan w:val="3"/>
            <w:shd w:val="clear" w:color="auto" w:fill="auto"/>
            <w:vAlign w:val="bottom"/>
          </w:tcPr>
          <w:p w14:paraId="71D3E119" w14:textId="77777777" w:rsidR="006A3667" w:rsidRDefault="006A3667">
            <w:pPr>
              <w:rPr>
                <w:rFonts w:ascii="宋体"/>
                <w:vanish/>
              </w:rPr>
            </w:pPr>
          </w:p>
        </w:tc>
      </w:tr>
      <w:tr w:rsidR="006A3667" w14:paraId="71D3E12E" w14:textId="77777777">
        <w:tc>
          <w:tcPr>
            <w:tcW w:w="0" w:type="auto"/>
            <w:gridSpan w:val="3"/>
            <w:shd w:val="clear" w:color="auto" w:fill="FFFFFF"/>
            <w:tcMar>
              <w:top w:w="40" w:type="dxa"/>
              <w:left w:w="20" w:type="dxa"/>
              <w:bottom w:w="40" w:type="dxa"/>
              <w:right w:w="20" w:type="dxa"/>
            </w:tcMar>
            <w:vAlign w:val="bottom"/>
          </w:tcPr>
          <w:p w14:paraId="71D3E11B" w14:textId="77777777" w:rsidR="006A3667" w:rsidRDefault="00045F32">
            <w:pPr>
              <w:textAlignment w:val="bottom"/>
            </w:pPr>
            <w:r>
              <w:rPr>
                <w:rFonts w:ascii="Arial" w:eastAsia="宋体" w:hAnsi="Arial" w:cs="Arial"/>
                <w:color w:val="000000"/>
                <w:sz w:val="14"/>
                <w:szCs w:val="14"/>
              </w:rPr>
              <w:t>Mutual funds</w:t>
            </w:r>
          </w:p>
        </w:tc>
        <w:tc>
          <w:tcPr>
            <w:tcW w:w="0" w:type="auto"/>
            <w:gridSpan w:val="2"/>
            <w:shd w:val="clear" w:color="auto" w:fill="FFFFFF"/>
            <w:tcMar>
              <w:top w:w="40" w:type="dxa"/>
              <w:left w:w="20" w:type="dxa"/>
              <w:bottom w:w="40" w:type="dxa"/>
              <w:right w:w="0" w:type="dxa"/>
            </w:tcMar>
            <w:vAlign w:val="bottom"/>
          </w:tcPr>
          <w:p w14:paraId="71D3E11C" w14:textId="77777777" w:rsidR="006A3667" w:rsidRDefault="00045F32">
            <w:pPr>
              <w:jc w:val="right"/>
              <w:textAlignment w:val="bottom"/>
            </w:pPr>
            <w:r>
              <w:rPr>
                <w:rFonts w:ascii="Arial" w:eastAsia="宋体" w:hAnsi="Arial" w:cs="Arial"/>
                <w:b/>
                <w:bCs/>
                <w:color w:val="000000"/>
                <w:sz w:val="14"/>
                <w:szCs w:val="14"/>
              </w:rPr>
              <w:t>9,289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1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11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11F" w14:textId="77777777" w:rsidR="006A3667" w:rsidRDefault="00045F32">
            <w:pPr>
              <w:jc w:val="right"/>
              <w:textAlignment w:val="bottom"/>
            </w:pPr>
            <w:r>
              <w:rPr>
                <w:rFonts w:ascii="Arial" w:eastAsia="宋体" w:hAnsi="Arial" w:cs="Arial"/>
                <w:color w:val="000000"/>
                <w:sz w:val="14"/>
                <w:szCs w:val="14"/>
              </w:rPr>
              <w:t>11,575 </w:t>
            </w:r>
          </w:p>
        </w:tc>
        <w:tc>
          <w:tcPr>
            <w:tcW w:w="0" w:type="auto"/>
            <w:shd w:val="clear" w:color="auto" w:fill="FFFFFF"/>
            <w:tcMar>
              <w:top w:w="40" w:type="dxa"/>
              <w:left w:w="0" w:type="dxa"/>
              <w:bottom w:w="40" w:type="dxa"/>
              <w:right w:w="20" w:type="dxa"/>
            </w:tcMar>
            <w:vAlign w:val="bottom"/>
          </w:tcPr>
          <w:p w14:paraId="71D3E12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12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122" w14:textId="77777777" w:rsidR="006A3667" w:rsidRDefault="00045F32">
            <w:pPr>
              <w:jc w:val="right"/>
              <w:textAlignment w:val="bottom"/>
            </w:pPr>
            <w:r>
              <w:rPr>
                <w:rFonts w:ascii="Arial" w:eastAsia="宋体" w:hAnsi="Arial" w:cs="Arial"/>
                <w:color w:val="000000"/>
                <w:sz w:val="14"/>
                <w:szCs w:val="14"/>
              </w:rPr>
              <w:t>11,505 </w:t>
            </w:r>
          </w:p>
        </w:tc>
        <w:tc>
          <w:tcPr>
            <w:tcW w:w="0" w:type="auto"/>
            <w:shd w:val="clear" w:color="auto" w:fill="FFFFFF"/>
            <w:tcMar>
              <w:top w:w="40" w:type="dxa"/>
              <w:left w:w="0" w:type="dxa"/>
              <w:bottom w:w="40" w:type="dxa"/>
              <w:right w:w="20" w:type="dxa"/>
            </w:tcMar>
            <w:vAlign w:val="bottom"/>
          </w:tcPr>
          <w:p w14:paraId="71D3E123" w14:textId="77777777" w:rsidR="006A3667" w:rsidRDefault="006A3667">
            <w:pPr>
              <w:jc w:val="right"/>
              <w:rPr>
                <w:rFonts w:ascii="宋体"/>
              </w:rPr>
            </w:pPr>
          </w:p>
        </w:tc>
        <w:tc>
          <w:tcPr>
            <w:tcW w:w="0" w:type="auto"/>
            <w:shd w:val="clear" w:color="auto" w:fill="auto"/>
            <w:vAlign w:val="bottom"/>
          </w:tcPr>
          <w:p w14:paraId="71D3E124" w14:textId="77777777" w:rsidR="006A3667" w:rsidRDefault="006A3667">
            <w:pPr>
              <w:rPr>
                <w:rFonts w:ascii="宋体"/>
                <w:vanish/>
              </w:rPr>
            </w:pPr>
          </w:p>
        </w:tc>
        <w:tc>
          <w:tcPr>
            <w:tcW w:w="0" w:type="auto"/>
            <w:shd w:val="clear" w:color="auto" w:fill="auto"/>
            <w:vAlign w:val="bottom"/>
          </w:tcPr>
          <w:p w14:paraId="71D3E125" w14:textId="77777777" w:rsidR="006A3667" w:rsidRDefault="006A3667">
            <w:pPr>
              <w:rPr>
                <w:rFonts w:ascii="宋体"/>
                <w:vanish/>
              </w:rPr>
            </w:pPr>
          </w:p>
        </w:tc>
        <w:tc>
          <w:tcPr>
            <w:tcW w:w="0" w:type="auto"/>
            <w:gridSpan w:val="3"/>
            <w:shd w:val="clear" w:color="auto" w:fill="auto"/>
            <w:vAlign w:val="bottom"/>
          </w:tcPr>
          <w:p w14:paraId="71D3E126" w14:textId="77777777" w:rsidR="006A3667" w:rsidRDefault="006A3667">
            <w:pPr>
              <w:rPr>
                <w:rFonts w:ascii="宋体"/>
                <w:vanish/>
              </w:rPr>
            </w:pPr>
          </w:p>
        </w:tc>
        <w:tc>
          <w:tcPr>
            <w:tcW w:w="0" w:type="auto"/>
            <w:gridSpan w:val="3"/>
            <w:shd w:val="clear" w:color="auto" w:fill="auto"/>
            <w:vAlign w:val="bottom"/>
          </w:tcPr>
          <w:p w14:paraId="71D3E127" w14:textId="77777777" w:rsidR="006A3667" w:rsidRDefault="006A3667">
            <w:pPr>
              <w:rPr>
                <w:rFonts w:ascii="宋体"/>
                <w:vanish/>
              </w:rPr>
            </w:pPr>
          </w:p>
        </w:tc>
        <w:tc>
          <w:tcPr>
            <w:tcW w:w="0" w:type="auto"/>
            <w:gridSpan w:val="3"/>
            <w:shd w:val="clear" w:color="auto" w:fill="auto"/>
            <w:vAlign w:val="bottom"/>
          </w:tcPr>
          <w:p w14:paraId="71D3E128" w14:textId="77777777" w:rsidR="006A3667" w:rsidRDefault="006A3667">
            <w:pPr>
              <w:rPr>
                <w:rFonts w:ascii="宋体"/>
                <w:vanish/>
              </w:rPr>
            </w:pPr>
          </w:p>
        </w:tc>
        <w:tc>
          <w:tcPr>
            <w:tcW w:w="0" w:type="auto"/>
            <w:gridSpan w:val="3"/>
            <w:shd w:val="clear" w:color="auto" w:fill="auto"/>
            <w:vAlign w:val="bottom"/>
          </w:tcPr>
          <w:p w14:paraId="71D3E129" w14:textId="77777777" w:rsidR="006A3667" w:rsidRDefault="006A3667">
            <w:pPr>
              <w:rPr>
                <w:rFonts w:ascii="宋体"/>
                <w:vanish/>
              </w:rPr>
            </w:pPr>
          </w:p>
        </w:tc>
        <w:tc>
          <w:tcPr>
            <w:tcW w:w="0" w:type="auto"/>
            <w:gridSpan w:val="3"/>
            <w:shd w:val="clear" w:color="auto" w:fill="auto"/>
            <w:vAlign w:val="bottom"/>
          </w:tcPr>
          <w:p w14:paraId="71D3E12A" w14:textId="77777777" w:rsidR="006A3667" w:rsidRDefault="006A3667">
            <w:pPr>
              <w:rPr>
                <w:rFonts w:ascii="宋体"/>
                <w:vanish/>
              </w:rPr>
            </w:pPr>
          </w:p>
        </w:tc>
        <w:tc>
          <w:tcPr>
            <w:tcW w:w="0" w:type="auto"/>
            <w:gridSpan w:val="3"/>
            <w:shd w:val="clear" w:color="auto" w:fill="auto"/>
            <w:vAlign w:val="bottom"/>
          </w:tcPr>
          <w:p w14:paraId="71D3E12B" w14:textId="77777777" w:rsidR="006A3667" w:rsidRDefault="006A3667">
            <w:pPr>
              <w:rPr>
                <w:rFonts w:ascii="宋体"/>
                <w:vanish/>
              </w:rPr>
            </w:pPr>
          </w:p>
        </w:tc>
        <w:tc>
          <w:tcPr>
            <w:tcW w:w="0" w:type="auto"/>
            <w:gridSpan w:val="3"/>
            <w:shd w:val="clear" w:color="auto" w:fill="auto"/>
            <w:vAlign w:val="bottom"/>
          </w:tcPr>
          <w:p w14:paraId="71D3E12C" w14:textId="77777777" w:rsidR="006A3667" w:rsidRDefault="006A3667">
            <w:pPr>
              <w:rPr>
                <w:rFonts w:ascii="宋体"/>
                <w:vanish/>
              </w:rPr>
            </w:pPr>
          </w:p>
        </w:tc>
        <w:tc>
          <w:tcPr>
            <w:tcW w:w="0" w:type="auto"/>
            <w:gridSpan w:val="3"/>
            <w:shd w:val="clear" w:color="auto" w:fill="auto"/>
            <w:vAlign w:val="bottom"/>
          </w:tcPr>
          <w:p w14:paraId="71D3E12D" w14:textId="77777777" w:rsidR="006A3667" w:rsidRDefault="006A3667">
            <w:pPr>
              <w:rPr>
                <w:rFonts w:ascii="宋体"/>
                <w:vanish/>
              </w:rPr>
            </w:pPr>
          </w:p>
        </w:tc>
      </w:tr>
      <w:tr w:rsidR="006A3667" w14:paraId="71D3E142" w14:textId="77777777">
        <w:tc>
          <w:tcPr>
            <w:tcW w:w="0" w:type="auto"/>
            <w:gridSpan w:val="3"/>
            <w:shd w:val="clear" w:color="auto" w:fill="CCEEFF"/>
            <w:tcMar>
              <w:top w:w="40" w:type="dxa"/>
              <w:left w:w="20" w:type="dxa"/>
              <w:bottom w:w="40" w:type="dxa"/>
              <w:right w:w="20" w:type="dxa"/>
            </w:tcMar>
            <w:vAlign w:val="bottom"/>
          </w:tcPr>
          <w:p w14:paraId="71D3E12F" w14:textId="77777777" w:rsidR="006A3667" w:rsidRDefault="00045F32">
            <w:pPr>
              <w:textAlignment w:val="bottom"/>
            </w:pPr>
            <w:r>
              <w:rPr>
                <w:rFonts w:ascii="Arial" w:eastAsia="宋体" w:hAnsi="Arial" w:cs="Arial"/>
                <w:color w:val="000000"/>
                <w:sz w:val="14"/>
                <w:szCs w:val="14"/>
              </w:rPr>
              <w:t>Pension products</w:t>
            </w:r>
          </w:p>
        </w:tc>
        <w:tc>
          <w:tcPr>
            <w:tcW w:w="0" w:type="auto"/>
            <w:gridSpan w:val="2"/>
            <w:shd w:val="clear" w:color="auto" w:fill="CCEEFF"/>
            <w:tcMar>
              <w:top w:w="40" w:type="dxa"/>
              <w:left w:w="20" w:type="dxa"/>
              <w:bottom w:w="40" w:type="dxa"/>
              <w:right w:w="0" w:type="dxa"/>
            </w:tcMar>
            <w:vAlign w:val="bottom"/>
          </w:tcPr>
          <w:p w14:paraId="71D3E130" w14:textId="77777777" w:rsidR="006A3667" w:rsidRDefault="00045F32">
            <w:pPr>
              <w:jc w:val="right"/>
              <w:textAlignment w:val="bottom"/>
            </w:pPr>
            <w:r>
              <w:rPr>
                <w:rFonts w:ascii="Arial" w:eastAsia="宋体" w:hAnsi="Arial" w:cs="Arial"/>
                <w:b/>
                <w:bCs/>
                <w:color w:val="000000"/>
                <w:sz w:val="14"/>
                <w:szCs w:val="14"/>
              </w:rPr>
              <w:t>7,669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1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3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133" w14:textId="77777777" w:rsidR="006A3667" w:rsidRDefault="00045F32">
            <w:pPr>
              <w:jc w:val="right"/>
              <w:textAlignment w:val="bottom"/>
            </w:pPr>
            <w:r>
              <w:rPr>
                <w:rFonts w:ascii="Arial" w:eastAsia="宋体" w:hAnsi="Arial" w:cs="Arial"/>
                <w:color w:val="000000"/>
                <w:sz w:val="14"/>
                <w:szCs w:val="14"/>
              </w:rPr>
              <w:t>8,443 </w:t>
            </w:r>
          </w:p>
        </w:tc>
        <w:tc>
          <w:tcPr>
            <w:tcW w:w="0" w:type="auto"/>
            <w:shd w:val="clear" w:color="auto" w:fill="CCEEFF"/>
            <w:tcMar>
              <w:top w:w="40" w:type="dxa"/>
              <w:left w:w="0" w:type="dxa"/>
              <w:bottom w:w="40" w:type="dxa"/>
              <w:right w:w="20" w:type="dxa"/>
            </w:tcMar>
            <w:vAlign w:val="bottom"/>
          </w:tcPr>
          <w:p w14:paraId="71D3E1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3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136" w14:textId="77777777" w:rsidR="006A3667" w:rsidRDefault="00045F32">
            <w:pPr>
              <w:jc w:val="right"/>
              <w:textAlignment w:val="bottom"/>
            </w:pPr>
            <w:r>
              <w:rPr>
                <w:rFonts w:ascii="Arial" w:eastAsia="宋体" w:hAnsi="Arial" w:cs="Arial"/>
                <w:color w:val="000000"/>
                <w:sz w:val="14"/>
                <w:szCs w:val="14"/>
              </w:rPr>
              <w:t>8,497 </w:t>
            </w:r>
          </w:p>
        </w:tc>
        <w:tc>
          <w:tcPr>
            <w:tcW w:w="0" w:type="auto"/>
            <w:shd w:val="clear" w:color="auto" w:fill="CCEEFF"/>
            <w:tcMar>
              <w:top w:w="40" w:type="dxa"/>
              <w:left w:w="0" w:type="dxa"/>
              <w:bottom w:w="40" w:type="dxa"/>
              <w:right w:w="20" w:type="dxa"/>
            </w:tcMar>
            <w:vAlign w:val="bottom"/>
          </w:tcPr>
          <w:p w14:paraId="71D3E137" w14:textId="77777777" w:rsidR="006A3667" w:rsidRDefault="006A3667">
            <w:pPr>
              <w:jc w:val="right"/>
              <w:rPr>
                <w:rFonts w:ascii="宋体"/>
              </w:rPr>
            </w:pPr>
          </w:p>
        </w:tc>
        <w:tc>
          <w:tcPr>
            <w:tcW w:w="0" w:type="auto"/>
            <w:shd w:val="clear" w:color="auto" w:fill="auto"/>
            <w:vAlign w:val="bottom"/>
          </w:tcPr>
          <w:p w14:paraId="71D3E138" w14:textId="77777777" w:rsidR="006A3667" w:rsidRDefault="006A3667">
            <w:pPr>
              <w:rPr>
                <w:rFonts w:ascii="宋体"/>
                <w:vanish/>
              </w:rPr>
            </w:pPr>
          </w:p>
        </w:tc>
        <w:tc>
          <w:tcPr>
            <w:tcW w:w="0" w:type="auto"/>
            <w:shd w:val="clear" w:color="auto" w:fill="auto"/>
            <w:vAlign w:val="bottom"/>
          </w:tcPr>
          <w:p w14:paraId="71D3E139" w14:textId="77777777" w:rsidR="006A3667" w:rsidRDefault="006A3667">
            <w:pPr>
              <w:rPr>
                <w:rFonts w:ascii="宋体"/>
                <w:vanish/>
              </w:rPr>
            </w:pPr>
          </w:p>
        </w:tc>
        <w:tc>
          <w:tcPr>
            <w:tcW w:w="0" w:type="auto"/>
            <w:gridSpan w:val="3"/>
            <w:shd w:val="clear" w:color="auto" w:fill="auto"/>
            <w:vAlign w:val="bottom"/>
          </w:tcPr>
          <w:p w14:paraId="71D3E13A" w14:textId="77777777" w:rsidR="006A3667" w:rsidRDefault="006A3667">
            <w:pPr>
              <w:rPr>
                <w:rFonts w:ascii="宋体"/>
                <w:vanish/>
              </w:rPr>
            </w:pPr>
          </w:p>
        </w:tc>
        <w:tc>
          <w:tcPr>
            <w:tcW w:w="0" w:type="auto"/>
            <w:gridSpan w:val="3"/>
            <w:shd w:val="clear" w:color="auto" w:fill="auto"/>
            <w:vAlign w:val="bottom"/>
          </w:tcPr>
          <w:p w14:paraId="71D3E13B" w14:textId="77777777" w:rsidR="006A3667" w:rsidRDefault="006A3667">
            <w:pPr>
              <w:rPr>
                <w:rFonts w:ascii="宋体"/>
                <w:vanish/>
              </w:rPr>
            </w:pPr>
          </w:p>
        </w:tc>
        <w:tc>
          <w:tcPr>
            <w:tcW w:w="0" w:type="auto"/>
            <w:gridSpan w:val="3"/>
            <w:shd w:val="clear" w:color="auto" w:fill="auto"/>
            <w:vAlign w:val="bottom"/>
          </w:tcPr>
          <w:p w14:paraId="71D3E13C" w14:textId="77777777" w:rsidR="006A3667" w:rsidRDefault="006A3667">
            <w:pPr>
              <w:rPr>
                <w:rFonts w:ascii="宋体"/>
                <w:vanish/>
              </w:rPr>
            </w:pPr>
          </w:p>
        </w:tc>
        <w:tc>
          <w:tcPr>
            <w:tcW w:w="0" w:type="auto"/>
            <w:gridSpan w:val="3"/>
            <w:shd w:val="clear" w:color="auto" w:fill="auto"/>
            <w:vAlign w:val="bottom"/>
          </w:tcPr>
          <w:p w14:paraId="71D3E13D" w14:textId="77777777" w:rsidR="006A3667" w:rsidRDefault="006A3667">
            <w:pPr>
              <w:rPr>
                <w:rFonts w:ascii="宋体"/>
                <w:vanish/>
              </w:rPr>
            </w:pPr>
          </w:p>
        </w:tc>
        <w:tc>
          <w:tcPr>
            <w:tcW w:w="0" w:type="auto"/>
            <w:gridSpan w:val="3"/>
            <w:shd w:val="clear" w:color="auto" w:fill="auto"/>
            <w:vAlign w:val="bottom"/>
          </w:tcPr>
          <w:p w14:paraId="71D3E13E" w14:textId="77777777" w:rsidR="006A3667" w:rsidRDefault="006A3667">
            <w:pPr>
              <w:rPr>
                <w:rFonts w:ascii="宋体"/>
                <w:vanish/>
              </w:rPr>
            </w:pPr>
          </w:p>
        </w:tc>
        <w:tc>
          <w:tcPr>
            <w:tcW w:w="0" w:type="auto"/>
            <w:gridSpan w:val="3"/>
            <w:shd w:val="clear" w:color="auto" w:fill="auto"/>
            <w:vAlign w:val="bottom"/>
          </w:tcPr>
          <w:p w14:paraId="71D3E13F" w14:textId="77777777" w:rsidR="006A3667" w:rsidRDefault="006A3667">
            <w:pPr>
              <w:rPr>
                <w:rFonts w:ascii="宋体"/>
                <w:vanish/>
              </w:rPr>
            </w:pPr>
          </w:p>
        </w:tc>
        <w:tc>
          <w:tcPr>
            <w:tcW w:w="0" w:type="auto"/>
            <w:gridSpan w:val="3"/>
            <w:shd w:val="clear" w:color="auto" w:fill="auto"/>
            <w:vAlign w:val="bottom"/>
          </w:tcPr>
          <w:p w14:paraId="71D3E140" w14:textId="77777777" w:rsidR="006A3667" w:rsidRDefault="006A3667">
            <w:pPr>
              <w:rPr>
                <w:rFonts w:ascii="宋体"/>
                <w:vanish/>
              </w:rPr>
            </w:pPr>
          </w:p>
        </w:tc>
        <w:tc>
          <w:tcPr>
            <w:tcW w:w="0" w:type="auto"/>
            <w:gridSpan w:val="3"/>
            <w:shd w:val="clear" w:color="auto" w:fill="auto"/>
            <w:vAlign w:val="bottom"/>
          </w:tcPr>
          <w:p w14:paraId="71D3E141" w14:textId="77777777" w:rsidR="006A3667" w:rsidRDefault="006A3667">
            <w:pPr>
              <w:rPr>
                <w:rFonts w:ascii="宋体"/>
                <w:vanish/>
              </w:rPr>
            </w:pPr>
          </w:p>
        </w:tc>
      </w:tr>
      <w:tr w:rsidR="006A3667" w14:paraId="71D3E156" w14:textId="77777777">
        <w:tc>
          <w:tcPr>
            <w:tcW w:w="0" w:type="auto"/>
            <w:gridSpan w:val="3"/>
            <w:shd w:val="clear" w:color="auto" w:fill="FFFFFF"/>
            <w:tcMar>
              <w:top w:w="40" w:type="dxa"/>
              <w:left w:w="20" w:type="dxa"/>
              <w:bottom w:w="40" w:type="dxa"/>
              <w:right w:w="20" w:type="dxa"/>
            </w:tcMar>
            <w:vAlign w:val="bottom"/>
          </w:tcPr>
          <w:p w14:paraId="71D3E143" w14:textId="77777777" w:rsidR="006A3667" w:rsidRDefault="00045F32">
            <w:pPr>
              <w:textAlignment w:val="bottom"/>
            </w:pPr>
            <w:r>
              <w:rPr>
                <w:rFonts w:ascii="Arial" w:eastAsia="宋体" w:hAnsi="Arial" w:cs="Arial"/>
                <w:color w:val="000000"/>
                <w:sz w:val="14"/>
                <w:szCs w:val="14"/>
              </w:rPr>
              <w:t>Insurance and other products</w:t>
            </w:r>
          </w:p>
        </w:tc>
        <w:tc>
          <w:tcPr>
            <w:tcW w:w="0" w:type="auto"/>
            <w:gridSpan w:val="2"/>
            <w:shd w:val="clear" w:color="auto" w:fill="FFFFFF"/>
            <w:tcMar>
              <w:top w:w="40" w:type="dxa"/>
              <w:left w:w="20" w:type="dxa"/>
              <w:bottom w:w="40" w:type="dxa"/>
              <w:right w:w="0" w:type="dxa"/>
            </w:tcMar>
            <w:vAlign w:val="bottom"/>
          </w:tcPr>
          <w:p w14:paraId="71D3E144" w14:textId="77777777" w:rsidR="006A3667" w:rsidRDefault="00045F32">
            <w:pPr>
              <w:jc w:val="right"/>
              <w:textAlignment w:val="bottom"/>
            </w:pPr>
            <w:r>
              <w:rPr>
                <w:rFonts w:ascii="Arial" w:eastAsia="宋体" w:hAnsi="Arial" w:cs="Arial"/>
                <w:b/>
                <w:bCs/>
                <w:color w:val="000000"/>
                <w:sz w:val="14"/>
                <w:szCs w:val="14"/>
              </w:rPr>
              <w:t>7,081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1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14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147" w14:textId="77777777" w:rsidR="006A3667" w:rsidRDefault="00045F32">
            <w:pPr>
              <w:jc w:val="right"/>
              <w:textAlignment w:val="bottom"/>
            </w:pPr>
            <w:r>
              <w:rPr>
                <w:rFonts w:ascii="Arial" w:eastAsia="宋体" w:hAnsi="Arial" w:cs="Arial"/>
                <w:color w:val="000000"/>
                <w:sz w:val="14"/>
                <w:szCs w:val="14"/>
              </w:rPr>
              <w:t>7,938 </w:t>
            </w:r>
          </w:p>
        </w:tc>
        <w:tc>
          <w:tcPr>
            <w:tcW w:w="0" w:type="auto"/>
            <w:shd w:val="clear" w:color="auto" w:fill="FFFFFF"/>
            <w:tcMar>
              <w:top w:w="40" w:type="dxa"/>
              <w:left w:w="0" w:type="dxa"/>
              <w:bottom w:w="40" w:type="dxa"/>
              <w:right w:w="20" w:type="dxa"/>
            </w:tcMar>
            <w:vAlign w:val="bottom"/>
          </w:tcPr>
          <w:p w14:paraId="71D3E1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1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14A" w14:textId="77777777" w:rsidR="006A3667" w:rsidRDefault="00045F32">
            <w:pPr>
              <w:jc w:val="right"/>
              <w:textAlignment w:val="bottom"/>
            </w:pPr>
            <w:r>
              <w:rPr>
                <w:rFonts w:ascii="Arial" w:eastAsia="宋体" w:hAnsi="Arial" w:cs="Arial"/>
                <w:color w:val="000000"/>
                <w:sz w:val="14"/>
                <w:szCs w:val="14"/>
              </w:rPr>
              <w:t>8,176 </w:t>
            </w:r>
          </w:p>
        </w:tc>
        <w:tc>
          <w:tcPr>
            <w:tcW w:w="0" w:type="auto"/>
            <w:shd w:val="clear" w:color="auto" w:fill="FFFFFF"/>
            <w:tcMar>
              <w:top w:w="40" w:type="dxa"/>
              <w:left w:w="0" w:type="dxa"/>
              <w:bottom w:w="40" w:type="dxa"/>
              <w:right w:w="20" w:type="dxa"/>
            </w:tcMar>
            <w:vAlign w:val="bottom"/>
          </w:tcPr>
          <w:p w14:paraId="71D3E14B" w14:textId="77777777" w:rsidR="006A3667" w:rsidRDefault="006A3667">
            <w:pPr>
              <w:jc w:val="right"/>
              <w:rPr>
                <w:rFonts w:ascii="宋体"/>
              </w:rPr>
            </w:pPr>
          </w:p>
        </w:tc>
        <w:tc>
          <w:tcPr>
            <w:tcW w:w="0" w:type="auto"/>
            <w:shd w:val="clear" w:color="auto" w:fill="auto"/>
            <w:vAlign w:val="bottom"/>
          </w:tcPr>
          <w:p w14:paraId="71D3E14C" w14:textId="77777777" w:rsidR="006A3667" w:rsidRDefault="006A3667">
            <w:pPr>
              <w:rPr>
                <w:rFonts w:ascii="宋体"/>
                <w:vanish/>
              </w:rPr>
            </w:pPr>
          </w:p>
        </w:tc>
        <w:tc>
          <w:tcPr>
            <w:tcW w:w="0" w:type="auto"/>
            <w:shd w:val="clear" w:color="auto" w:fill="auto"/>
            <w:vAlign w:val="bottom"/>
          </w:tcPr>
          <w:p w14:paraId="71D3E14D" w14:textId="77777777" w:rsidR="006A3667" w:rsidRDefault="006A3667">
            <w:pPr>
              <w:rPr>
                <w:rFonts w:ascii="宋体"/>
                <w:vanish/>
              </w:rPr>
            </w:pPr>
          </w:p>
        </w:tc>
        <w:tc>
          <w:tcPr>
            <w:tcW w:w="0" w:type="auto"/>
            <w:gridSpan w:val="3"/>
            <w:shd w:val="clear" w:color="auto" w:fill="auto"/>
            <w:vAlign w:val="bottom"/>
          </w:tcPr>
          <w:p w14:paraId="71D3E14E" w14:textId="77777777" w:rsidR="006A3667" w:rsidRDefault="006A3667">
            <w:pPr>
              <w:rPr>
                <w:rFonts w:ascii="宋体"/>
                <w:vanish/>
              </w:rPr>
            </w:pPr>
          </w:p>
        </w:tc>
        <w:tc>
          <w:tcPr>
            <w:tcW w:w="0" w:type="auto"/>
            <w:gridSpan w:val="3"/>
            <w:shd w:val="clear" w:color="auto" w:fill="auto"/>
            <w:vAlign w:val="bottom"/>
          </w:tcPr>
          <w:p w14:paraId="71D3E14F" w14:textId="77777777" w:rsidR="006A3667" w:rsidRDefault="006A3667">
            <w:pPr>
              <w:rPr>
                <w:rFonts w:ascii="宋体"/>
                <w:vanish/>
              </w:rPr>
            </w:pPr>
          </w:p>
        </w:tc>
        <w:tc>
          <w:tcPr>
            <w:tcW w:w="0" w:type="auto"/>
            <w:gridSpan w:val="3"/>
            <w:shd w:val="clear" w:color="auto" w:fill="auto"/>
            <w:vAlign w:val="bottom"/>
          </w:tcPr>
          <w:p w14:paraId="71D3E150" w14:textId="77777777" w:rsidR="006A3667" w:rsidRDefault="006A3667">
            <w:pPr>
              <w:rPr>
                <w:rFonts w:ascii="宋体"/>
                <w:vanish/>
              </w:rPr>
            </w:pPr>
          </w:p>
        </w:tc>
        <w:tc>
          <w:tcPr>
            <w:tcW w:w="0" w:type="auto"/>
            <w:gridSpan w:val="3"/>
            <w:shd w:val="clear" w:color="auto" w:fill="auto"/>
            <w:vAlign w:val="bottom"/>
          </w:tcPr>
          <w:p w14:paraId="71D3E151" w14:textId="77777777" w:rsidR="006A3667" w:rsidRDefault="006A3667">
            <w:pPr>
              <w:rPr>
                <w:rFonts w:ascii="宋体"/>
                <w:vanish/>
              </w:rPr>
            </w:pPr>
          </w:p>
        </w:tc>
        <w:tc>
          <w:tcPr>
            <w:tcW w:w="0" w:type="auto"/>
            <w:gridSpan w:val="3"/>
            <w:shd w:val="clear" w:color="auto" w:fill="auto"/>
            <w:vAlign w:val="bottom"/>
          </w:tcPr>
          <w:p w14:paraId="71D3E152" w14:textId="77777777" w:rsidR="006A3667" w:rsidRDefault="006A3667">
            <w:pPr>
              <w:rPr>
                <w:rFonts w:ascii="宋体"/>
                <w:vanish/>
              </w:rPr>
            </w:pPr>
          </w:p>
        </w:tc>
        <w:tc>
          <w:tcPr>
            <w:tcW w:w="0" w:type="auto"/>
            <w:gridSpan w:val="3"/>
            <w:shd w:val="clear" w:color="auto" w:fill="auto"/>
            <w:vAlign w:val="bottom"/>
          </w:tcPr>
          <w:p w14:paraId="71D3E153" w14:textId="77777777" w:rsidR="006A3667" w:rsidRDefault="006A3667">
            <w:pPr>
              <w:rPr>
                <w:rFonts w:ascii="宋体"/>
                <w:vanish/>
              </w:rPr>
            </w:pPr>
          </w:p>
        </w:tc>
        <w:tc>
          <w:tcPr>
            <w:tcW w:w="0" w:type="auto"/>
            <w:gridSpan w:val="3"/>
            <w:shd w:val="clear" w:color="auto" w:fill="auto"/>
            <w:vAlign w:val="bottom"/>
          </w:tcPr>
          <w:p w14:paraId="71D3E154" w14:textId="77777777" w:rsidR="006A3667" w:rsidRDefault="006A3667">
            <w:pPr>
              <w:rPr>
                <w:rFonts w:ascii="宋体"/>
                <w:vanish/>
              </w:rPr>
            </w:pPr>
          </w:p>
        </w:tc>
        <w:tc>
          <w:tcPr>
            <w:tcW w:w="0" w:type="auto"/>
            <w:gridSpan w:val="3"/>
            <w:shd w:val="clear" w:color="auto" w:fill="auto"/>
            <w:vAlign w:val="bottom"/>
          </w:tcPr>
          <w:p w14:paraId="71D3E155" w14:textId="77777777" w:rsidR="006A3667" w:rsidRDefault="006A3667">
            <w:pPr>
              <w:rPr>
                <w:rFonts w:ascii="宋体"/>
                <w:vanish/>
              </w:rPr>
            </w:pPr>
          </w:p>
        </w:tc>
      </w:tr>
      <w:tr w:rsidR="006A3667" w14:paraId="71D3E16D" w14:textId="77777777">
        <w:tc>
          <w:tcPr>
            <w:tcW w:w="0" w:type="auto"/>
            <w:gridSpan w:val="3"/>
            <w:shd w:val="clear" w:color="auto" w:fill="CCEEFF"/>
            <w:tcMar>
              <w:top w:w="40" w:type="dxa"/>
              <w:left w:w="20" w:type="dxa"/>
              <w:bottom w:w="40" w:type="dxa"/>
              <w:right w:w="20" w:type="dxa"/>
            </w:tcMar>
            <w:vAlign w:val="bottom"/>
          </w:tcPr>
          <w:p w14:paraId="71D3E157" w14:textId="77777777" w:rsidR="006A3667" w:rsidRDefault="00045F32">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15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3E159" w14:textId="77777777" w:rsidR="006A3667" w:rsidRDefault="00045F32">
            <w:pPr>
              <w:jc w:val="right"/>
              <w:textAlignment w:val="bottom"/>
            </w:pPr>
            <w:r>
              <w:rPr>
                <w:rFonts w:ascii="Arial" w:eastAsia="宋体" w:hAnsi="Arial" w:cs="Arial"/>
                <w:b/>
                <w:bCs/>
                <w:color w:val="000000"/>
                <w:sz w:val="14"/>
                <w:szCs w:val="14"/>
              </w:rPr>
              <w:t>35,688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3E1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5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15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3E15D" w14:textId="77777777" w:rsidR="006A3667" w:rsidRDefault="00045F32">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3E15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5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16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3E161" w14:textId="77777777" w:rsidR="006A3667" w:rsidRDefault="00045F32">
            <w:pPr>
              <w:jc w:val="right"/>
              <w:textAlignment w:val="bottom"/>
            </w:pPr>
            <w:r>
              <w:rPr>
                <w:rFonts w:ascii="Arial" w:eastAsia="宋体" w:hAnsi="Arial" w:cs="Arial"/>
                <w:color w:val="000000"/>
                <w:sz w:val="14"/>
                <w:szCs w:val="14"/>
              </w:rPr>
              <w:t>43,337 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3E162" w14:textId="77777777" w:rsidR="006A3667" w:rsidRDefault="006A3667">
            <w:pPr>
              <w:jc w:val="right"/>
              <w:rPr>
                <w:rFonts w:ascii="宋体"/>
              </w:rPr>
            </w:pPr>
          </w:p>
        </w:tc>
        <w:tc>
          <w:tcPr>
            <w:tcW w:w="0" w:type="auto"/>
            <w:shd w:val="clear" w:color="auto" w:fill="auto"/>
            <w:vAlign w:val="bottom"/>
          </w:tcPr>
          <w:p w14:paraId="71D3E163" w14:textId="77777777" w:rsidR="006A3667" w:rsidRDefault="006A3667">
            <w:pPr>
              <w:rPr>
                <w:rFonts w:ascii="宋体"/>
                <w:vanish/>
              </w:rPr>
            </w:pPr>
          </w:p>
        </w:tc>
        <w:tc>
          <w:tcPr>
            <w:tcW w:w="0" w:type="auto"/>
            <w:shd w:val="clear" w:color="auto" w:fill="auto"/>
            <w:vAlign w:val="bottom"/>
          </w:tcPr>
          <w:p w14:paraId="71D3E164" w14:textId="77777777" w:rsidR="006A3667" w:rsidRDefault="006A3667">
            <w:pPr>
              <w:rPr>
                <w:rFonts w:ascii="宋体"/>
                <w:vanish/>
              </w:rPr>
            </w:pPr>
          </w:p>
        </w:tc>
        <w:tc>
          <w:tcPr>
            <w:tcW w:w="0" w:type="auto"/>
            <w:gridSpan w:val="3"/>
            <w:shd w:val="clear" w:color="auto" w:fill="auto"/>
            <w:vAlign w:val="bottom"/>
          </w:tcPr>
          <w:p w14:paraId="71D3E165" w14:textId="77777777" w:rsidR="006A3667" w:rsidRDefault="006A3667">
            <w:pPr>
              <w:rPr>
                <w:rFonts w:ascii="宋体"/>
                <w:vanish/>
              </w:rPr>
            </w:pPr>
          </w:p>
        </w:tc>
        <w:tc>
          <w:tcPr>
            <w:tcW w:w="0" w:type="auto"/>
            <w:gridSpan w:val="3"/>
            <w:shd w:val="clear" w:color="auto" w:fill="auto"/>
            <w:vAlign w:val="bottom"/>
          </w:tcPr>
          <w:p w14:paraId="71D3E166" w14:textId="77777777" w:rsidR="006A3667" w:rsidRDefault="006A3667">
            <w:pPr>
              <w:rPr>
                <w:rFonts w:ascii="宋体"/>
                <w:vanish/>
              </w:rPr>
            </w:pPr>
          </w:p>
        </w:tc>
        <w:tc>
          <w:tcPr>
            <w:tcW w:w="0" w:type="auto"/>
            <w:gridSpan w:val="3"/>
            <w:shd w:val="clear" w:color="auto" w:fill="auto"/>
            <w:vAlign w:val="bottom"/>
          </w:tcPr>
          <w:p w14:paraId="71D3E167" w14:textId="77777777" w:rsidR="006A3667" w:rsidRDefault="006A3667">
            <w:pPr>
              <w:rPr>
                <w:rFonts w:ascii="宋体"/>
                <w:vanish/>
              </w:rPr>
            </w:pPr>
          </w:p>
        </w:tc>
        <w:tc>
          <w:tcPr>
            <w:tcW w:w="0" w:type="auto"/>
            <w:gridSpan w:val="3"/>
            <w:shd w:val="clear" w:color="auto" w:fill="auto"/>
            <w:vAlign w:val="bottom"/>
          </w:tcPr>
          <w:p w14:paraId="71D3E168" w14:textId="77777777" w:rsidR="006A3667" w:rsidRDefault="006A3667">
            <w:pPr>
              <w:rPr>
                <w:rFonts w:ascii="宋体"/>
                <w:vanish/>
              </w:rPr>
            </w:pPr>
          </w:p>
        </w:tc>
        <w:tc>
          <w:tcPr>
            <w:tcW w:w="0" w:type="auto"/>
            <w:gridSpan w:val="3"/>
            <w:shd w:val="clear" w:color="auto" w:fill="auto"/>
            <w:vAlign w:val="bottom"/>
          </w:tcPr>
          <w:p w14:paraId="71D3E169" w14:textId="77777777" w:rsidR="006A3667" w:rsidRDefault="006A3667">
            <w:pPr>
              <w:rPr>
                <w:rFonts w:ascii="宋体"/>
                <w:vanish/>
              </w:rPr>
            </w:pPr>
          </w:p>
        </w:tc>
        <w:tc>
          <w:tcPr>
            <w:tcW w:w="0" w:type="auto"/>
            <w:gridSpan w:val="3"/>
            <w:shd w:val="clear" w:color="auto" w:fill="auto"/>
            <w:vAlign w:val="bottom"/>
          </w:tcPr>
          <w:p w14:paraId="71D3E16A" w14:textId="77777777" w:rsidR="006A3667" w:rsidRDefault="006A3667">
            <w:pPr>
              <w:rPr>
                <w:rFonts w:ascii="宋体"/>
                <w:vanish/>
              </w:rPr>
            </w:pPr>
          </w:p>
        </w:tc>
        <w:tc>
          <w:tcPr>
            <w:tcW w:w="0" w:type="auto"/>
            <w:gridSpan w:val="3"/>
            <w:shd w:val="clear" w:color="auto" w:fill="auto"/>
            <w:vAlign w:val="bottom"/>
          </w:tcPr>
          <w:p w14:paraId="71D3E16B" w14:textId="77777777" w:rsidR="006A3667" w:rsidRDefault="006A3667">
            <w:pPr>
              <w:rPr>
                <w:rFonts w:ascii="宋体"/>
                <w:vanish/>
              </w:rPr>
            </w:pPr>
          </w:p>
        </w:tc>
        <w:tc>
          <w:tcPr>
            <w:tcW w:w="0" w:type="auto"/>
            <w:gridSpan w:val="3"/>
            <w:shd w:val="clear" w:color="auto" w:fill="auto"/>
            <w:vAlign w:val="bottom"/>
          </w:tcPr>
          <w:p w14:paraId="71D3E16C" w14:textId="77777777" w:rsidR="006A3667" w:rsidRDefault="006A3667">
            <w:pPr>
              <w:rPr>
                <w:rFonts w:ascii="宋体"/>
                <w:vanish/>
              </w:rPr>
            </w:pPr>
          </w:p>
        </w:tc>
      </w:tr>
    </w:tbl>
    <w:p w14:paraId="71D3E16E"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986"/>
        <w:gridCol w:w="36"/>
        <w:gridCol w:w="99"/>
        <w:gridCol w:w="1504"/>
        <w:gridCol w:w="37"/>
        <w:gridCol w:w="36"/>
        <w:gridCol w:w="36"/>
        <w:gridCol w:w="36"/>
        <w:gridCol w:w="99"/>
        <w:gridCol w:w="1498"/>
        <w:gridCol w:w="37"/>
        <w:gridCol w:w="36"/>
        <w:gridCol w:w="36"/>
        <w:gridCol w:w="36"/>
        <w:gridCol w:w="99"/>
        <w:gridCol w:w="1498"/>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3E18D" w14:textId="77777777">
        <w:tc>
          <w:tcPr>
            <w:tcW w:w="50" w:type="pct"/>
            <w:shd w:val="clear" w:color="auto" w:fill="auto"/>
            <w:vAlign w:val="bottom"/>
          </w:tcPr>
          <w:p w14:paraId="71D3E16F" w14:textId="77777777" w:rsidR="006A3667" w:rsidRDefault="006A3667">
            <w:pPr>
              <w:rPr>
                <w:rFonts w:ascii="宋体"/>
              </w:rPr>
            </w:pPr>
          </w:p>
        </w:tc>
        <w:tc>
          <w:tcPr>
            <w:tcW w:w="1422" w:type="pct"/>
            <w:shd w:val="clear" w:color="auto" w:fill="auto"/>
            <w:vAlign w:val="bottom"/>
          </w:tcPr>
          <w:p w14:paraId="71D3E170" w14:textId="77777777" w:rsidR="006A3667" w:rsidRDefault="006A3667">
            <w:pPr>
              <w:rPr>
                <w:rFonts w:ascii="宋体"/>
              </w:rPr>
            </w:pPr>
          </w:p>
        </w:tc>
        <w:tc>
          <w:tcPr>
            <w:tcW w:w="5" w:type="pct"/>
            <w:shd w:val="clear" w:color="auto" w:fill="auto"/>
            <w:vAlign w:val="bottom"/>
          </w:tcPr>
          <w:p w14:paraId="71D3E171" w14:textId="77777777" w:rsidR="006A3667" w:rsidRDefault="006A3667">
            <w:pPr>
              <w:rPr>
                <w:rFonts w:ascii="宋体"/>
              </w:rPr>
            </w:pPr>
          </w:p>
        </w:tc>
        <w:tc>
          <w:tcPr>
            <w:tcW w:w="50" w:type="pct"/>
            <w:shd w:val="clear" w:color="auto" w:fill="auto"/>
            <w:vAlign w:val="bottom"/>
          </w:tcPr>
          <w:p w14:paraId="71D3E172" w14:textId="77777777" w:rsidR="006A3667" w:rsidRDefault="006A3667">
            <w:pPr>
              <w:rPr>
                <w:rFonts w:ascii="宋体"/>
              </w:rPr>
            </w:pPr>
          </w:p>
        </w:tc>
        <w:tc>
          <w:tcPr>
            <w:tcW w:w="1077" w:type="pct"/>
            <w:shd w:val="clear" w:color="auto" w:fill="auto"/>
            <w:vAlign w:val="bottom"/>
          </w:tcPr>
          <w:p w14:paraId="71D3E173" w14:textId="77777777" w:rsidR="006A3667" w:rsidRDefault="006A3667">
            <w:pPr>
              <w:rPr>
                <w:rFonts w:ascii="宋体"/>
              </w:rPr>
            </w:pPr>
          </w:p>
        </w:tc>
        <w:tc>
          <w:tcPr>
            <w:tcW w:w="5" w:type="pct"/>
            <w:shd w:val="clear" w:color="auto" w:fill="auto"/>
            <w:vAlign w:val="bottom"/>
          </w:tcPr>
          <w:p w14:paraId="71D3E174" w14:textId="77777777" w:rsidR="006A3667" w:rsidRDefault="006A3667">
            <w:pPr>
              <w:rPr>
                <w:rFonts w:ascii="宋体"/>
              </w:rPr>
            </w:pPr>
          </w:p>
        </w:tc>
        <w:tc>
          <w:tcPr>
            <w:tcW w:w="5" w:type="pct"/>
            <w:shd w:val="clear" w:color="auto" w:fill="auto"/>
            <w:vAlign w:val="bottom"/>
          </w:tcPr>
          <w:p w14:paraId="71D3E175" w14:textId="77777777" w:rsidR="006A3667" w:rsidRDefault="006A3667">
            <w:pPr>
              <w:rPr>
                <w:rFonts w:ascii="宋体"/>
              </w:rPr>
            </w:pPr>
          </w:p>
        </w:tc>
        <w:tc>
          <w:tcPr>
            <w:tcW w:w="52" w:type="pct"/>
            <w:shd w:val="clear" w:color="auto" w:fill="auto"/>
            <w:vAlign w:val="bottom"/>
          </w:tcPr>
          <w:p w14:paraId="71D3E176" w14:textId="77777777" w:rsidR="006A3667" w:rsidRDefault="006A3667">
            <w:pPr>
              <w:rPr>
                <w:rFonts w:ascii="宋体"/>
              </w:rPr>
            </w:pPr>
          </w:p>
        </w:tc>
        <w:tc>
          <w:tcPr>
            <w:tcW w:w="5" w:type="pct"/>
            <w:shd w:val="clear" w:color="auto" w:fill="auto"/>
            <w:vAlign w:val="bottom"/>
          </w:tcPr>
          <w:p w14:paraId="71D3E177" w14:textId="77777777" w:rsidR="006A3667" w:rsidRDefault="006A3667">
            <w:pPr>
              <w:rPr>
                <w:rFonts w:ascii="宋体"/>
              </w:rPr>
            </w:pPr>
          </w:p>
        </w:tc>
        <w:tc>
          <w:tcPr>
            <w:tcW w:w="50" w:type="pct"/>
            <w:shd w:val="clear" w:color="auto" w:fill="auto"/>
            <w:vAlign w:val="bottom"/>
          </w:tcPr>
          <w:p w14:paraId="71D3E178" w14:textId="77777777" w:rsidR="006A3667" w:rsidRDefault="006A3667">
            <w:pPr>
              <w:rPr>
                <w:rFonts w:ascii="宋体"/>
              </w:rPr>
            </w:pPr>
          </w:p>
        </w:tc>
        <w:tc>
          <w:tcPr>
            <w:tcW w:w="1077" w:type="pct"/>
            <w:shd w:val="clear" w:color="auto" w:fill="auto"/>
            <w:vAlign w:val="bottom"/>
          </w:tcPr>
          <w:p w14:paraId="71D3E179" w14:textId="77777777" w:rsidR="006A3667" w:rsidRDefault="006A3667">
            <w:pPr>
              <w:rPr>
                <w:rFonts w:ascii="宋体"/>
              </w:rPr>
            </w:pPr>
          </w:p>
        </w:tc>
        <w:tc>
          <w:tcPr>
            <w:tcW w:w="5" w:type="pct"/>
            <w:shd w:val="clear" w:color="auto" w:fill="auto"/>
            <w:vAlign w:val="bottom"/>
          </w:tcPr>
          <w:p w14:paraId="71D3E17A" w14:textId="77777777" w:rsidR="006A3667" w:rsidRDefault="006A3667">
            <w:pPr>
              <w:rPr>
                <w:rFonts w:ascii="宋体"/>
              </w:rPr>
            </w:pPr>
          </w:p>
        </w:tc>
        <w:tc>
          <w:tcPr>
            <w:tcW w:w="5" w:type="pct"/>
            <w:shd w:val="clear" w:color="auto" w:fill="auto"/>
            <w:vAlign w:val="bottom"/>
          </w:tcPr>
          <w:p w14:paraId="71D3E17B" w14:textId="77777777" w:rsidR="006A3667" w:rsidRDefault="006A3667">
            <w:pPr>
              <w:rPr>
                <w:rFonts w:ascii="宋体"/>
              </w:rPr>
            </w:pPr>
          </w:p>
        </w:tc>
        <w:tc>
          <w:tcPr>
            <w:tcW w:w="52" w:type="pct"/>
            <w:shd w:val="clear" w:color="auto" w:fill="auto"/>
            <w:vAlign w:val="bottom"/>
          </w:tcPr>
          <w:p w14:paraId="71D3E17C" w14:textId="77777777" w:rsidR="006A3667" w:rsidRDefault="006A3667">
            <w:pPr>
              <w:rPr>
                <w:rFonts w:ascii="宋体"/>
              </w:rPr>
            </w:pPr>
          </w:p>
        </w:tc>
        <w:tc>
          <w:tcPr>
            <w:tcW w:w="5" w:type="pct"/>
            <w:shd w:val="clear" w:color="auto" w:fill="auto"/>
            <w:vAlign w:val="bottom"/>
          </w:tcPr>
          <w:p w14:paraId="71D3E17D" w14:textId="77777777" w:rsidR="006A3667" w:rsidRDefault="006A3667">
            <w:pPr>
              <w:rPr>
                <w:rFonts w:ascii="宋体"/>
              </w:rPr>
            </w:pPr>
          </w:p>
        </w:tc>
        <w:tc>
          <w:tcPr>
            <w:tcW w:w="50" w:type="pct"/>
            <w:shd w:val="clear" w:color="auto" w:fill="auto"/>
            <w:vAlign w:val="bottom"/>
          </w:tcPr>
          <w:p w14:paraId="71D3E17E" w14:textId="77777777" w:rsidR="006A3667" w:rsidRDefault="006A3667">
            <w:pPr>
              <w:rPr>
                <w:rFonts w:ascii="宋体"/>
              </w:rPr>
            </w:pPr>
          </w:p>
        </w:tc>
        <w:tc>
          <w:tcPr>
            <w:tcW w:w="1077" w:type="pct"/>
            <w:shd w:val="clear" w:color="auto" w:fill="auto"/>
            <w:vAlign w:val="bottom"/>
          </w:tcPr>
          <w:p w14:paraId="71D3E17F" w14:textId="77777777" w:rsidR="006A3667" w:rsidRDefault="006A3667">
            <w:pPr>
              <w:rPr>
                <w:rFonts w:ascii="宋体"/>
              </w:rPr>
            </w:pPr>
          </w:p>
        </w:tc>
        <w:tc>
          <w:tcPr>
            <w:tcW w:w="5" w:type="pct"/>
            <w:shd w:val="clear" w:color="auto" w:fill="auto"/>
            <w:vAlign w:val="bottom"/>
          </w:tcPr>
          <w:p w14:paraId="71D3E180" w14:textId="77777777" w:rsidR="006A3667" w:rsidRDefault="006A3667">
            <w:pPr>
              <w:rPr>
                <w:rFonts w:ascii="宋体"/>
              </w:rPr>
            </w:pPr>
          </w:p>
        </w:tc>
        <w:tc>
          <w:tcPr>
            <w:tcW w:w="0" w:type="auto"/>
            <w:shd w:val="clear" w:color="auto" w:fill="auto"/>
            <w:vAlign w:val="bottom"/>
          </w:tcPr>
          <w:p w14:paraId="71D3E181" w14:textId="77777777" w:rsidR="006A3667" w:rsidRDefault="006A3667">
            <w:pPr>
              <w:rPr>
                <w:rFonts w:ascii="宋体"/>
                <w:vanish/>
              </w:rPr>
            </w:pPr>
          </w:p>
        </w:tc>
        <w:tc>
          <w:tcPr>
            <w:tcW w:w="0" w:type="auto"/>
            <w:shd w:val="clear" w:color="auto" w:fill="auto"/>
            <w:vAlign w:val="bottom"/>
          </w:tcPr>
          <w:p w14:paraId="71D3E182" w14:textId="77777777" w:rsidR="006A3667" w:rsidRDefault="006A3667">
            <w:pPr>
              <w:rPr>
                <w:rFonts w:ascii="宋体"/>
                <w:vanish/>
              </w:rPr>
            </w:pPr>
          </w:p>
        </w:tc>
        <w:tc>
          <w:tcPr>
            <w:tcW w:w="0" w:type="auto"/>
            <w:gridSpan w:val="3"/>
            <w:shd w:val="clear" w:color="auto" w:fill="auto"/>
            <w:vAlign w:val="bottom"/>
          </w:tcPr>
          <w:p w14:paraId="71D3E183" w14:textId="77777777" w:rsidR="006A3667" w:rsidRDefault="006A3667">
            <w:pPr>
              <w:rPr>
                <w:rFonts w:ascii="宋体"/>
                <w:vanish/>
              </w:rPr>
            </w:pPr>
          </w:p>
        </w:tc>
        <w:tc>
          <w:tcPr>
            <w:tcW w:w="0" w:type="auto"/>
            <w:gridSpan w:val="3"/>
            <w:shd w:val="clear" w:color="auto" w:fill="auto"/>
            <w:vAlign w:val="bottom"/>
          </w:tcPr>
          <w:p w14:paraId="71D3E184" w14:textId="77777777" w:rsidR="006A3667" w:rsidRDefault="006A3667">
            <w:pPr>
              <w:rPr>
                <w:rFonts w:ascii="宋体"/>
                <w:vanish/>
              </w:rPr>
            </w:pPr>
          </w:p>
        </w:tc>
        <w:tc>
          <w:tcPr>
            <w:tcW w:w="0" w:type="auto"/>
            <w:gridSpan w:val="3"/>
            <w:shd w:val="clear" w:color="auto" w:fill="auto"/>
            <w:vAlign w:val="bottom"/>
          </w:tcPr>
          <w:p w14:paraId="71D3E185" w14:textId="77777777" w:rsidR="006A3667" w:rsidRDefault="006A3667">
            <w:pPr>
              <w:rPr>
                <w:rFonts w:ascii="宋体"/>
                <w:vanish/>
              </w:rPr>
            </w:pPr>
          </w:p>
        </w:tc>
        <w:tc>
          <w:tcPr>
            <w:tcW w:w="0" w:type="auto"/>
            <w:gridSpan w:val="3"/>
            <w:shd w:val="clear" w:color="auto" w:fill="auto"/>
            <w:vAlign w:val="bottom"/>
          </w:tcPr>
          <w:p w14:paraId="71D3E186" w14:textId="77777777" w:rsidR="006A3667" w:rsidRDefault="006A3667">
            <w:pPr>
              <w:rPr>
                <w:rFonts w:ascii="宋体"/>
                <w:vanish/>
              </w:rPr>
            </w:pPr>
          </w:p>
        </w:tc>
        <w:tc>
          <w:tcPr>
            <w:tcW w:w="0" w:type="auto"/>
            <w:gridSpan w:val="3"/>
            <w:shd w:val="clear" w:color="auto" w:fill="auto"/>
            <w:vAlign w:val="bottom"/>
          </w:tcPr>
          <w:p w14:paraId="71D3E187" w14:textId="77777777" w:rsidR="006A3667" w:rsidRDefault="006A3667">
            <w:pPr>
              <w:rPr>
                <w:rFonts w:ascii="宋体"/>
                <w:vanish/>
              </w:rPr>
            </w:pPr>
          </w:p>
        </w:tc>
        <w:tc>
          <w:tcPr>
            <w:tcW w:w="0" w:type="auto"/>
            <w:gridSpan w:val="3"/>
            <w:shd w:val="clear" w:color="auto" w:fill="auto"/>
            <w:vAlign w:val="bottom"/>
          </w:tcPr>
          <w:p w14:paraId="71D3E188" w14:textId="77777777" w:rsidR="006A3667" w:rsidRDefault="006A3667">
            <w:pPr>
              <w:rPr>
                <w:rFonts w:ascii="宋体"/>
                <w:vanish/>
              </w:rPr>
            </w:pPr>
          </w:p>
        </w:tc>
        <w:tc>
          <w:tcPr>
            <w:tcW w:w="0" w:type="auto"/>
            <w:gridSpan w:val="3"/>
            <w:shd w:val="clear" w:color="auto" w:fill="auto"/>
            <w:vAlign w:val="bottom"/>
          </w:tcPr>
          <w:p w14:paraId="71D3E189" w14:textId="77777777" w:rsidR="006A3667" w:rsidRDefault="006A3667">
            <w:pPr>
              <w:rPr>
                <w:rFonts w:ascii="宋体"/>
                <w:vanish/>
              </w:rPr>
            </w:pPr>
          </w:p>
        </w:tc>
        <w:tc>
          <w:tcPr>
            <w:tcW w:w="0" w:type="auto"/>
            <w:gridSpan w:val="3"/>
            <w:shd w:val="clear" w:color="auto" w:fill="auto"/>
            <w:vAlign w:val="bottom"/>
          </w:tcPr>
          <w:p w14:paraId="71D3E18A" w14:textId="77777777" w:rsidR="006A3667" w:rsidRDefault="006A3667">
            <w:pPr>
              <w:rPr>
                <w:rFonts w:ascii="宋体"/>
                <w:vanish/>
              </w:rPr>
            </w:pPr>
          </w:p>
        </w:tc>
        <w:tc>
          <w:tcPr>
            <w:tcW w:w="0" w:type="auto"/>
            <w:gridSpan w:val="3"/>
            <w:shd w:val="clear" w:color="auto" w:fill="auto"/>
            <w:vAlign w:val="bottom"/>
          </w:tcPr>
          <w:p w14:paraId="71D3E18B" w14:textId="77777777" w:rsidR="006A3667" w:rsidRDefault="006A3667">
            <w:pPr>
              <w:rPr>
                <w:rFonts w:ascii="宋体"/>
                <w:vanish/>
              </w:rPr>
            </w:pPr>
          </w:p>
        </w:tc>
        <w:tc>
          <w:tcPr>
            <w:tcW w:w="0" w:type="auto"/>
            <w:gridSpan w:val="3"/>
            <w:shd w:val="clear" w:color="auto" w:fill="auto"/>
            <w:vAlign w:val="bottom"/>
          </w:tcPr>
          <w:p w14:paraId="71D3E18C" w14:textId="77777777" w:rsidR="006A3667" w:rsidRDefault="006A3667">
            <w:pPr>
              <w:rPr>
                <w:rFonts w:ascii="宋体"/>
                <w:vanish/>
              </w:rPr>
            </w:pPr>
          </w:p>
        </w:tc>
      </w:tr>
      <w:tr w:rsidR="006A3667" w14:paraId="71D3E1AF" w14:textId="77777777">
        <w:tc>
          <w:tcPr>
            <w:tcW w:w="0" w:type="auto"/>
            <w:gridSpan w:val="18"/>
            <w:shd w:val="clear" w:color="auto" w:fill="auto"/>
            <w:tcMar>
              <w:top w:w="40" w:type="dxa"/>
              <w:left w:w="20" w:type="dxa"/>
              <w:bottom w:w="40" w:type="dxa"/>
              <w:right w:w="20" w:type="dxa"/>
            </w:tcMar>
            <w:vAlign w:val="bottom"/>
          </w:tcPr>
          <w:p w14:paraId="71D3E18E" w14:textId="77777777" w:rsidR="006A3667" w:rsidRDefault="00045F32">
            <w:pPr>
              <w:jc w:val="both"/>
              <w:textAlignment w:val="bottom"/>
            </w:pPr>
            <w:r>
              <w:rPr>
                <w:rFonts w:ascii="Arial" w:eastAsia="宋体" w:hAnsi="Arial" w:cs="Arial"/>
                <w:b/>
                <w:bCs/>
                <w:color w:val="000000"/>
                <w:sz w:val="16"/>
                <w:szCs w:val="16"/>
              </w:rPr>
              <w:t>TABLE 7: ASSETS UNDER CUSTODY AND/OR ADMINISTRATION BY ASSET CLASS</w:t>
            </w:r>
            <w:r>
              <w:rPr>
                <w:rFonts w:ascii="Arial" w:eastAsia="宋体" w:hAnsi="Arial" w:cs="Arial"/>
                <w:b/>
                <w:bCs/>
                <w:color w:val="000000"/>
                <w:sz w:val="10"/>
                <w:szCs w:val="10"/>
              </w:rPr>
              <w:t>(1)</w:t>
            </w:r>
          </w:p>
        </w:tc>
        <w:tc>
          <w:tcPr>
            <w:tcW w:w="0" w:type="auto"/>
            <w:shd w:val="clear" w:color="auto" w:fill="auto"/>
            <w:vAlign w:val="bottom"/>
          </w:tcPr>
          <w:p w14:paraId="71D3E18F" w14:textId="77777777" w:rsidR="006A3667" w:rsidRDefault="006A3667">
            <w:pPr>
              <w:rPr>
                <w:rFonts w:ascii="宋体"/>
                <w:vanish/>
              </w:rPr>
            </w:pPr>
          </w:p>
        </w:tc>
        <w:tc>
          <w:tcPr>
            <w:tcW w:w="0" w:type="auto"/>
            <w:shd w:val="clear" w:color="auto" w:fill="auto"/>
            <w:vAlign w:val="bottom"/>
          </w:tcPr>
          <w:p w14:paraId="71D3E190" w14:textId="77777777" w:rsidR="006A3667" w:rsidRDefault="006A3667">
            <w:pPr>
              <w:rPr>
                <w:rFonts w:ascii="宋体"/>
                <w:vanish/>
              </w:rPr>
            </w:pPr>
          </w:p>
        </w:tc>
        <w:tc>
          <w:tcPr>
            <w:tcW w:w="0" w:type="auto"/>
            <w:shd w:val="clear" w:color="auto" w:fill="auto"/>
            <w:vAlign w:val="bottom"/>
          </w:tcPr>
          <w:p w14:paraId="71D3E191" w14:textId="77777777" w:rsidR="006A3667" w:rsidRDefault="006A3667">
            <w:pPr>
              <w:rPr>
                <w:rFonts w:ascii="宋体"/>
              </w:rPr>
            </w:pPr>
          </w:p>
        </w:tc>
        <w:tc>
          <w:tcPr>
            <w:tcW w:w="0" w:type="auto"/>
            <w:shd w:val="clear" w:color="auto" w:fill="auto"/>
            <w:vAlign w:val="bottom"/>
          </w:tcPr>
          <w:p w14:paraId="71D3E192" w14:textId="77777777" w:rsidR="006A3667" w:rsidRDefault="006A3667">
            <w:pPr>
              <w:rPr>
                <w:rFonts w:ascii="宋体"/>
              </w:rPr>
            </w:pPr>
          </w:p>
        </w:tc>
        <w:tc>
          <w:tcPr>
            <w:tcW w:w="0" w:type="auto"/>
            <w:shd w:val="clear" w:color="auto" w:fill="auto"/>
            <w:vAlign w:val="bottom"/>
          </w:tcPr>
          <w:p w14:paraId="71D3E193" w14:textId="77777777" w:rsidR="006A3667" w:rsidRDefault="006A3667">
            <w:pPr>
              <w:rPr>
                <w:rFonts w:ascii="宋体"/>
              </w:rPr>
            </w:pPr>
          </w:p>
        </w:tc>
        <w:tc>
          <w:tcPr>
            <w:tcW w:w="0" w:type="auto"/>
            <w:shd w:val="clear" w:color="auto" w:fill="auto"/>
            <w:vAlign w:val="bottom"/>
          </w:tcPr>
          <w:p w14:paraId="71D3E194" w14:textId="77777777" w:rsidR="006A3667" w:rsidRDefault="006A3667">
            <w:pPr>
              <w:rPr>
                <w:rFonts w:ascii="宋体"/>
              </w:rPr>
            </w:pPr>
          </w:p>
        </w:tc>
        <w:tc>
          <w:tcPr>
            <w:tcW w:w="0" w:type="auto"/>
            <w:shd w:val="clear" w:color="auto" w:fill="auto"/>
            <w:vAlign w:val="bottom"/>
          </w:tcPr>
          <w:p w14:paraId="71D3E195" w14:textId="77777777" w:rsidR="006A3667" w:rsidRDefault="006A3667">
            <w:pPr>
              <w:rPr>
                <w:rFonts w:ascii="宋体"/>
              </w:rPr>
            </w:pPr>
          </w:p>
        </w:tc>
        <w:tc>
          <w:tcPr>
            <w:tcW w:w="0" w:type="auto"/>
            <w:shd w:val="clear" w:color="auto" w:fill="auto"/>
            <w:vAlign w:val="bottom"/>
          </w:tcPr>
          <w:p w14:paraId="71D3E196" w14:textId="77777777" w:rsidR="006A3667" w:rsidRDefault="006A3667">
            <w:pPr>
              <w:rPr>
                <w:rFonts w:ascii="宋体"/>
              </w:rPr>
            </w:pPr>
          </w:p>
        </w:tc>
        <w:tc>
          <w:tcPr>
            <w:tcW w:w="0" w:type="auto"/>
            <w:shd w:val="clear" w:color="auto" w:fill="auto"/>
            <w:vAlign w:val="bottom"/>
          </w:tcPr>
          <w:p w14:paraId="71D3E197" w14:textId="77777777" w:rsidR="006A3667" w:rsidRDefault="006A3667">
            <w:pPr>
              <w:rPr>
                <w:rFonts w:ascii="宋体"/>
              </w:rPr>
            </w:pPr>
          </w:p>
        </w:tc>
        <w:tc>
          <w:tcPr>
            <w:tcW w:w="0" w:type="auto"/>
            <w:shd w:val="clear" w:color="auto" w:fill="auto"/>
            <w:vAlign w:val="bottom"/>
          </w:tcPr>
          <w:p w14:paraId="71D3E198" w14:textId="77777777" w:rsidR="006A3667" w:rsidRDefault="006A3667">
            <w:pPr>
              <w:rPr>
                <w:rFonts w:ascii="宋体"/>
              </w:rPr>
            </w:pPr>
          </w:p>
        </w:tc>
        <w:tc>
          <w:tcPr>
            <w:tcW w:w="0" w:type="auto"/>
            <w:shd w:val="clear" w:color="auto" w:fill="auto"/>
            <w:vAlign w:val="bottom"/>
          </w:tcPr>
          <w:p w14:paraId="71D3E199" w14:textId="77777777" w:rsidR="006A3667" w:rsidRDefault="006A3667">
            <w:pPr>
              <w:rPr>
                <w:rFonts w:ascii="宋体"/>
              </w:rPr>
            </w:pPr>
          </w:p>
        </w:tc>
        <w:tc>
          <w:tcPr>
            <w:tcW w:w="0" w:type="auto"/>
            <w:shd w:val="clear" w:color="auto" w:fill="auto"/>
            <w:vAlign w:val="bottom"/>
          </w:tcPr>
          <w:p w14:paraId="71D3E19A" w14:textId="77777777" w:rsidR="006A3667" w:rsidRDefault="006A3667">
            <w:pPr>
              <w:rPr>
                <w:rFonts w:ascii="宋体"/>
              </w:rPr>
            </w:pPr>
          </w:p>
        </w:tc>
        <w:tc>
          <w:tcPr>
            <w:tcW w:w="0" w:type="auto"/>
            <w:shd w:val="clear" w:color="auto" w:fill="auto"/>
            <w:vAlign w:val="bottom"/>
          </w:tcPr>
          <w:p w14:paraId="71D3E19B" w14:textId="77777777" w:rsidR="006A3667" w:rsidRDefault="006A3667">
            <w:pPr>
              <w:rPr>
                <w:rFonts w:ascii="宋体"/>
              </w:rPr>
            </w:pPr>
          </w:p>
        </w:tc>
        <w:tc>
          <w:tcPr>
            <w:tcW w:w="0" w:type="auto"/>
            <w:shd w:val="clear" w:color="auto" w:fill="auto"/>
            <w:vAlign w:val="bottom"/>
          </w:tcPr>
          <w:p w14:paraId="71D3E19C" w14:textId="77777777" w:rsidR="006A3667" w:rsidRDefault="006A3667">
            <w:pPr>
              <w:rPr>
                <w:rFonts w:ascii="宋体"/>
              </w:rPr>
            </w:pPr>
          </w:p>
        </w:tc>
        <w:tc>
          <w:tcPr>
            <w:tcW w:w="0" w:type="auto"/>
            <w:shd w:val="clear" w:color="auto" w:fill="auto"/>
            <w:vAlign w:val="bottom"/>
          </w:tcPr>
          <w:p w14:paraId="71D3E19D" w14:textId="77777777" w:rsidR="006A3667" w:rsidRDefault="006A3667">
            <w:pPr>
              <w:rPr>
                <w:rFonts w:ascii="宋体"/>
              </w:rPr>
            </w:pPr>
          </w:p>
        </w:tc>
        <w:tc>
          <w:tcPr>
            <w:tcW w:w="0" w:type="auto"/>
            <w:shd w:val="clear" w:color="auto" w:fill="auto"/>
            <w:vAlign w:val="bottom"/>
          </w:tcPr>
          <w:p w14:paraId="71D3E19E" w14:textId="77777777" w:rsidR="006A3667" w:rsidRDefault="006A3667">
            <w:pPr>
              <w:rPr>
                <w:rFonts w:ascii="宋体"/>
              </w:rPr>
            </w:pPr>
          </w:p>
        </w:tc>
        <w:tc>
          <w:tcPr>
            <w:tcW w:w="0" w:type="auto"/>
            <w:shd w:val="clear" w:color="auto" w:fill="auto"/>
            <w:vAlign w:val="bottom"/>
          </w:tcPr>
          <w:p w14:paraId="71D3E19F" w14:textId="77777777" w:rsidR="006A3667" w:rsidRDefault="006A3667">
            <w:pPr>
              <w:rPr>
                <w:rFonts w:ascii="宋体"/>
              </w:rPr>
            </w:pPr>
          </w:p>
        </w:tc>
        <w:tc>
          <w:tcPr>
            <w:tcW w:w="0" w:type="auto"/>
            <w:shd w:val="clear" w:color="auto" w:fill="auto"/>
            <w:vAlign w:val="bottom"/>
          </w:tcPr>
          <w:p w14:paraId="71D3E1A0" w14:textId="77777777" w:rsidR="006A3667" w:rsidRDefault="006A3667">
            <w:pPr>
              <w:rPr>
                <w:rFonts w:ascii="宋体"/>
              </w:rPr>
            </w:pPr>
          </w:p>
        </w:tc>
        <w:tc>
          <w:tcPr>
            <w:tcW w:w="0" w:type="auto"/>
            <w:shd w:val="clear" w:color="auto" w:fill="auto"/>
            <w:vAlign w:val="bottom"/>
          </w:tcPr>
          <w:p w14:paraId="71D3E1A1" w14:textId="77777777" w:rsidR="006A3667" w:rsidRDefault="006A3667">
            <w:pPr>
              <w:rPr>
                <w:rFonts w:ascii="宋体"/>
              </w:rPr>
            </w:pPr>
          </w:p>
        </w:tc>
        <w:tc>
          <w:tcPr>
            <w:tcW w:w="0" w:type="auto"/>
            <w:shd w:val="clear" w:color="auto" w:fill="auto"/>
            <w:vAlign w:val="bottom"/>
          </w:tcPr>
          <w:p w14:paraId="71D3E1A2" w14:textId="77777777" w:rsidR="006A3667" w:rsidRDefault="006A3667">
            <w:pPr>
              <w:rPr>
                <w:rFonts w:ascii="宋体"/>
              </w:rPr>
            </w:pPr>
          </w:p>
        </w:tc>
        <w:tc>
          <w:tcPr>
            <w:tcW w:w="0" w:type="auto"/>
            <w:shd w:val="clear" w:color="auto" w:fill="auto"/>
            <w:vAlign w:val="bottom"/>
          </w:tcPr>
          <w:p w14:paraId="71D3E1A3" w14:textId="77777777" w:rsidR="006A3667" w:rsidRDefault="006A3667">
            <w:pPr>
              <w:rPr>
                <w:rFonts w:ascii="宋体"/>
              </w:rPr>
            </w:pPr>
          </w:p>
        </w:tc>
        <w:tc>
          <w:tcPr>
            <w:tcW w:w="0" w:type="auto"/>
            <w:shd w:val="clear" w:color="auto" w:fill="auto"/>
            <w:vAlign w:val="bottom"/>
          </w:tcPr>
          <w:p w14:paraId="71D3E1A4" w14:textId="77777777" w:rsidR="006A3667" w:rsidRDefault="006A3667">
            <w:pPr>
              <w:rPr>
                <w:rFonts w:ascii="宋体"/>
              </w:rPr>
            </w:pPr>
          </w:p>
        </w:tc>
        <w:tc>
          <w:tcPr>
            <w:tcW w:w="0" w:type="auto"/>
            <w:shd w:val="clear" w:color="auto" w:fill="auto"/>
            <w:vAlign w:val="bottom"/>
          </w:tcPr>
          <w:p w14:paraId="71D3E1A5" w14:textId="77777777" w:rsidR="006A3667" w:rsidRDefault="006A3667">
            <w:pPr>
              <w:rPr>
                <w:rFonts w:ascii="宋体"/>
              </w:rPr>
            </w:pPr>
          </w:p>
        </w:tc>
        <w:tc>
          <w:tcPr>
            <w:tcW w:w="0" w:type="auto"/>
            <w:shd w:val="clear" w:color="auto" w:fill="auto"/>
            <w:vAlign w:val="bottom"/>
          </w:tcPr>
          <w:p w14:paraId="71D3E1A6" w14:textId="77777777" w:rsidR="006A3667" w:rsidRDefault="006A3667">
            <w:pPr>
              <w:rPr>
                <w:rFonts w:ascii="宋体"/>
              </w:rPr>
            </w:pPr>
          </w:p>
        </w:tc>
        <w:tc>
          <w:tcPr>
            <w:tcW w:w="0" w:type="auto"/>
            <w:shd w:val="clear" w:color="auto" w:fill="auto"/>
            <w:vAlign w:val="bottom"/>
          </w:tcPr>
          <w:p w14:paraId="71D3E1A7" w14:textId="77777777" w:rsidR="006A3667" w:rsidRDefault="006A3667">
            <w:pPr>
              <w:rPr>
                <w:rFonts w:ascii="宋体"/>
              </w:rPr>
            </w:pPr>
          </w:p>
        </w:tc>
        <w:tc>
          <w:tcPr>
            <w:tcW w:w="0" w:type="auto"/>
            <w:shd w:val="clear" w:color="auto" w:fill="auto"/>
            <w:vAlign w:val="bottom"/>
          </w:tcPr>
          <w:p w14:paraId="71D3E1A8" w14:textId="77777777" w:rsidR="006A3667" w:rsidRDefault="006A3667">
            <w:pPr>
              <w:rPr>
                <w:rFonts w:ascii="宋体"/>
              </w:rPr>
            </w:pPr>
          </w:p>
        </w:tc>
        <w:tc>
          <w:tcPr>
            <w:tcW w:w="0" w:type="auto"/>
            <w:shd w:val="clear" w:color="auto" w:fill="auto"/>
            <w:vAlign w:val="bottom"/>
          </w:tcPr>
          <w:p w14:paraId="71D3E1A9" w14:textId="77777777" w:rsidR="006A3667" w:rsidRDefault="006A3667">
            <w:pPr>
              <w:rPr>
                <w:rFonts w:ascii="宋体"/>
              </w:rPr>
            </w:pPr>
          </w:p>
        </w:tc>
        <w:tc>
          <w:tcPr>
            <w:tcW w:w="0" w:type="auto"/>
            <w:shd w:val="clear" w:color="auto" w:fill="auto"/>
            <w:vAlign w:val="bottom"/>
          </w:tcPr>
          <w:p w14:paraId="71D3E1AA" w14:textId="77777777" w:rsidR="006A3667" w:rsidRDefault="006A3667">
            <w:pPr>
              <w:rPr>
                <w:rFonts w:ascii="宋体"/>
              </w:rPr>
            </w:pPr>
          </w:p>
        </w:tc>
        <w:tc>
          <w:tcPr>
            <w:tcW w:w="0" w:type="auto"/>
            <w:shd w:val="clear" w:color="auto" w:fill="auto"/>
            <w:vAlign w:val="bottom"/>
          </w:tcPr>
          <w:p w14:paraId="71D3E1AB" w14:textId="77777777" w:rsidR="006A3667" w:rsidRDefault="006A3667">
            <w:pPr>
              <w:rPr>
                <w:rFonts w:ascii="宋体"/>
              </w:rPr>
            </w:pPr>
          </w:p>
        </w:tc>
        <w:tc>
          <w:tcPr>
            <w:tcW w:w="0" w:type="auto"/>
            <w:shd w:val="clear" w:color="auto" w:fill="auto"/>
            <w:vAlign w:val="bottom"/>
          </w:tcPr>
          <w:p w14:paraId="71D3E1AC" w14:textId="77777777" w:rsidR="006A3667" w:rsidRDefault="006A3667">
            <w:pPr>
              <w:rPr>
                <w:rFonts w:ascii="宋体"/>
              </w:rPr>
            </w:pPr>
          </w:p>
        </w:tc>
        <w:tc>
          <w:tcPr>
            <w:tcW w:w="0" w:type="auto"/>
            <w:shd w:val="clear" w:color="auto" w:fill="auto"/>
            <w:vAlign w:val="bottom"/>
          </w:tcPr>
          <w:p w14:paraId="71D3E1AD" w14:textId="77777777" w:rsidR="006A3667" w:rsidRDefault="006A3667">
            <w:pPr>
              <w:rPr>
                <w:rFonts w:ascii="宋体"/>
              </w:rPr>
            </w:pPr>
          </w:p>
        </w:tc>
        <w:tc>
          <w:tcPr>
            <w:tcW w:w="0" w:type="auto"/>
            <w:shd w:val="clear" w:color="auto" w:fill="auto"/>
            <w:vAlign w:val="bottom"/>
          </w:tcPr>
          <w:p w14:paraId="71D3E1AE" w14:textId="77777777" w:rsidR="006A3667" w:rsidRDefault="006A3667">
            <w:pPr>
              <w:rPr>
                <w:rFonts w:ascii="宋体"/>
              </w:rPr>
            </w:pPr>
          </w:p>
        </w:tc>
      </w:tr>
      <w:tr w:rsidR="006A3667" w14:paraId="71D3E1C2" w14:textId="77777777">
        <w:tc>
          <w:tcPr>
            <w:tcW w:w="0" w:type="auto"/>
            <w:gridSpan w:val="3"/>
            <w:shd w:val="clear" w:color="auto" w:fill="auto"/>
            <w:tcMar>
              <w:top w:w="40" w:type="dxa"/>
              <w:left w:w="20" w:type="dxa"/>
              <w:bottom w:w="40" w:type="dxa"/>
              <w:right w:w="20" w:type="dxa"/>
            </w:tcMar>
            <w:vAlign w:val="bottom"/>
          </w:tcPr>
          <w:p w14:paraId="71D3E1B0" w14:textId="77777777" w:rsidR="006A3667" w:rsidRDefault="00045F32">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71D3E1B1"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3E1B2"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1B3" w14:textId="77777777" w:rsidR="006A3667" w:rsidRDefault="00045F32">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71D3E1B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1B5" w14:textId="77777777" w:rsidR="006A3667" w:rsidRDefault="00045F32">
            <w:pPr>
              <w:jc w:val="center"/>
              <w:textAlignment w:val="bottom"/>
            </w:pPr>
            <w:r>
              <w:rPr>
                <w:rFonts w:ascii="Arial" w:eastAsia="宋体" w:hAnsi="Arial" w:cs="Arial"/>
                <w:b/>
                <w:bCs/>
                <w:color w:val="000000"/>
                <w:sz w:val="14"/>
                <w:szCs w:val="14"/>
              </w:rPr>
              <w:t>September 30, 2021</w:t>
            </w:r>
          </w:p>
        </w:tc>
        <w:tc>
          <w:tcPr>
            <w:tcW w:w="0" w:type="auto"/>
            <w:shd w:val="clear" w:color="auto" w:fill="auto"/>
            <w:vAlign w:val="bottom"/>
          </w:tcPr>
          <w:p w14:paraId="71D3E1B6" w14:textId="77777777" w:rsidR="006A3667" w:rsidRDefault="006A3667">
            <w:pPr>
              <w:rPr>
                <w:rFonts w:ascii="宋体"/>
                <w:vanish/>
              </w:rPr>
            </w:pPr>
          </w:p>
        </w:tc>
        <w:tc>
          <w:tcPr>
            <w:tcW w:w="0" w:type="auto"/>
            <w:shd w:val="clear" w:color="auto" w:fill="auto"/>
            <w:vAlign w:val="bottom"/>
          </w:tcPr>
          <w:p w14:paraId="71D3E1B7" w14:textId="77777777" w:rsidR="006A3667" w:rsidRDefault="006A3667">
            <w:pPr>
              <w:rPr>
                <w:rFonts w:ascii="宋体"/>
                <w:vanish/>
              </w:rPr>
            </w:pPr>
          </w:p>
        </w:tc>
        <w:tc>
          <w:tcPr>
            <w:tcW w:w="0" w:type="auto"/>
            <w:gridSpan w:val="3"/>
            <w:shd w:val="clear" w:color="auto" w:fill="auto"/>
            <w:vAlign w:val="bottom"/>
          </w:tcPr>
          <w:p w14:paraId="71D3E1B8" w14:textId="77777777" w:rsidR="006A3667" w:rsidRDefault="006A3667">
            <w:pPr>
              <w:rPr>
                <w:rFonts w:ascii="宋体"/>
                <w:vanish/>
              </w:rPr>
            </w:pPr>
          </w:p>
        </w:tc>
        <w:tc>
          <w:tcPr>
            <w:tcW w:w="0" w:type="auto"/>
            <w:gridSpan w:val="3"/>
            <w:shd w:val="clear" w:color="auto" w:fill="auto"/>
            <w:vAlign w:val="bottom"/>
          </w:tcPr>
          <w:p w14:paraId="71D3E1B9" w14:textId="77777777" w:rsidR="006A3667" w:rsidRDefault="006A3667">
            <w:pPr>
              <w:rPr>
                <w:rFonts w:ascii="宋体"/>
                <w:vanish/>
              </w:rPr>
            </w:pPr>
          </w:p>
        </w:tc>
        <w:tc>
          <w:tcPr>
            <w:tcW w:w="0" w:type="auto"/>
            <w:gridSpan w:val="3"/>
            <w:shd w:val="clear" w:color="auto" w:fill="auto"/>
            <w:vAlign w:val="bottom"/>
          </w:tcPr>
          <w:p w14:paraId="71D3E1BA" w14:textId="77777777" w:rsidR="006A3667" w:rsidRDefault="006A3667">
            <w:pPr>
              <w:rPr>
                <w:rFonts w:ascii="宋体"/>
                <w:vanish/>
              </w:rPr>
            </w:pPr>
          </w:p>
        </w:tc>
        <w:tc>
          <w:tcPr>
            <w:tcW w:w="0" w:type="auto"/>
            <w:gridSpan w:val="3"/>
            <w:shd w:val="clear" w:color="auto" w:fill="auto"/>
            <w:vAlign w:val="bottom"/>
          </w:tcPr>
          <w:p w14:paraId="71D3E1BB" w14:textId="77777777" w:rsidR="006A3667" w:rsidRDefault="006A3667">
            <w:pPr>
              <w:rPr>
                <w:rFonts w:ascii="宋体"/>
                <w:vanish/>
              </w:rPr>
            </w:pPr>
          </w:p>
        </w:tc>
        <w:tc>
          <w:tcPr>
            <w:tcW w:w="0" w:type="auto"/>
            <w:gridSpan w:val="3"/>
            <w:shd w:val="clear" w:color="auto" w:fill="auto"/>
            <w:vAlign w:val="bottom"/>
          </w:tcPr>
          <w:p w14:paraId="71D3E1BC" w14:textId="77777777" w:rsidR="006A3667" w:rsidRDefault="006A3667">
            <w:pPr>
              <w:rPr>
                <w:rFonts w:ascii="宋体"/>
                <w:vanish/>
              </w:rPr>
            </w:pPr>
          </w:p>
        </w:tc>
        <w:tc>
          <w:tcPr>
            <w:tcW w:w="0" w:type="auto"/>
            <w:gridSpan w:val="3"/>
            <w:shd w:val="clear" w:color="auto" w:fill="auto"/>
            <w:vAlign w:val="bottom"/>
          </w:tcPr>
          <w:p w14:paraId="71D3E1BD" w14:textId="77777777" w:rsidR="006A3667" w:rsidRDefault="006A3667">
            <w:pPr>
              <w:rPr>
                <w:rFonts w:ascii="宋体"/>
                <w:vanish/>
              </w:rPr>
            </w:pPr>
          </w:p>
        </w:tc>
        <w:tc>
          <w:tcPr>
            <w:tcW w:w="0" w:type="auto"/>
            <w:gridSpan w:val="3"/>
            <w:shd w:val="clear" w:color="auto" w:fill="auto"/>
            <w:vAlign w:val="bottom"/>
          </w:tcPr>
          <w:p w14:paraId="71D3E1BE" w14:textId="77777777" w:rsidR="006A3667" w:rsidRDefault="006A3667">
            <w:pPr>
              <w:rPr>
                <w:rFonts w:ascii="宋体"/>
                <w:vanish/>
              </w:rPr>
            </w:pPr>
          </w:p>
        </w:tc>
        <w:tc>
          <w:tcPr>
            <w:tcW w:w="0" w:type="auto"/>
            <w:gridSpan w:val="3"/>
            <w:shd w:val="clear" w:color="auto" w:fill="auto"/>
            <w:vAlign w:val="bottom"/>
          </w:tcPr>
          <w:p w14:paraId="71D3E1BF" w14:textId="77777777" w:rsidR="006A3667" w:rsidRDefault="006A3667">
            <w:pPr>
              <w:rPr>
                <w:rFonts w:ascii="宋体"/>
                <w:vanish/>
              </w:rPr>
            </w:pPr>
          </w:p>
        </w:tc>
        <w:tc>
          <w:tcPr>
            <w:tcW w:w="0" w:type="auto"/>
            <w:gridSpan w:val="3"/>
            <w:shd w:val="clear" w:color="auto" w:fill="auto"/>
            <w:vAlign w:val="bottom"/>
          </w:tcPr>
          <w:p w14:paraId="71D3E1C0" w14:textId="77777777" w:rsidR="006A3667" w:rsidRDefault="006A3667">
            <w:pPr>
              <w:rPr>
                <w:rFonts w:ascii="宋体"/>
                <w:vanish/>
              </w:rPr>
            </w:pPr>
          </w:p>
        </w:tc>
        <w:tc>
          <w:tcPr>
            <w:tcW w:w="0" w:type="auto"/>
            <w:gridSpan w:val="3"/>
            <w:shd w:val="clear" w:color="auto" w:fill="auto"/>
            <w:vAlign w:val="bottom"/>
          </w:tcPr>
          <w:p w14:paraId="71D3E1C1" w14:textId="77777777" w:rsidR="006A3667" w:rsidRDefault="006A3667">
            <w:pPr>
              <w:rPr>
                <w:rFonts w:ascii="宋体"/>
                <w:vanish/>
              </w:rPr>
            </w:pPr>
          </w:p>
        </w:tc>
      </w:tr>
      <w:tr w:rsidR="006A3667" w14:paraId="71D3E1DB" w14:textId="77777777">
        <w:tc>
          <w:tcPr>
            <w:tcW w:w="0" w:type="auto"/>
            <w:gridSpan w:val="3"/>
            <w:shd w:val="clear" w:color="auto" w:fill="CCEEFF"/>
            <w:tcMar>
              <w:top w:w="40" w:type="dxa"/>
              <w:left w:w="20" w:type="dxa"/>
              <w:bottom w:w="40" w:type="dxa"/>
              <w:right w:w="20" w:type="dxa"/>
            </w:tcMar>
            <w:vAlign w:val="bottom"/>
          </w:tcPr>
          <w:p w14:paraId="71D3E1C3" w14:textId="77777777" w:rsidR="006A3667" w:rsidRDefault="00045F32">
            <w:pPr>
              <w:textAlignment w:val="bottom"/>
            </w:pPr>
            <w:r>
              <w:rPr>
                <w:rFonts w:ascii="Arial" w:eastAsia="宋体" w:hAnsi="Arial" w:cs="Arial"/>
                <w:color w:val="000000"/>
                <w:sz w:val="14"/>
                <w:szCs w:val="14"/>
              </w:rPr>
              <w:t>Equities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1C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1C5" w14:textId="77777777" w:rsidR="006A3667" w:rsidRDefault="00045F32">
            <w:pPr>
              <w:jc w:val="right"/>
              <w:textAlignment w:val="bottom"/>
            </w:pPr>
            <w:r>
              <w:rPr>
                <w:rFonts w:ascii="Arial" w:eastAsia="宋体" w:hAnsi="Arial" w:cs="Arial"/>
                <w:b/>
                <w:bCs/>
                <w:color w:val="000000"/>
                <w:sz w:val="14"/>
                <w:szCs w:val="14"/>
              </w:rPr>
              <w:t>19,889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1C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C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1C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1C9" w14:textId="77777777" w:rsidR="006A3667" w:rsidRDefault="00045F32">
            <w:pPr>
              <w:jc w:val="right"/>
              <w:textAlignment w:val="bottom"/>
            </w:pPr>
            <w:r>
              <w:rPr>
                <w:rFonts w:ascii="Arial" w:eastAsia="宋体" w:hAnsi="Arial" w:cs="Arial"/>
                <w:color w:val="000000"/>
                <w:sz w:val="14"/>
                <w:szCs w:val="14"/>
              </w:rPr>
              <w:t>25,974 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1C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C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1C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1CD" w14:textId="77777777" w:rsidR="006A3667" w:rsidRDefault="00045F32">
            <w:pPr>
              <w:jc w:val="right"/>
              <w:textAlignment w:val="bottom"/>
            </w:pPr>
            <w:r>
              <w:rPr>
                <w:rFonts w:ascii="Arial" w:eastAsia="宋体" w:hAnsi="Arial" w:cs="Arial"/>
                <w:color w:val="000000"/>
                <w:sz w:val="14"/>
                <w:szCs w:val="14"/>
              </w:rPr>
              <w:t>25,350 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1CE" w14:textId="77777777" w:rsidR="006A3667" w:rsidRDefault="006A3667">
            <w:pPr>
              <w:jc w:val="right"/>
              <w:rPr>
                <w:rFonts w:ascii="宋体"/>
              </w:rPr>
            </w:pPr>
          </w:p>
        </w:tc>
        <w:tc>
          <w:tcPr>
            <w:tcW w:w="0" w:type="auto"/>
            <w:shd w:val="clear" w:color="auto" w:fill="auto"/>
            <w:vAlign w:val="bottom"/>
          </w:tcPr>
          <w:p w14:paraId="71D3E1CF" w14:textId="77777777" w:rsidR="006A3667" w:rsidRDefault="006A3667">
            <w:pPr>
              <w:rPr>
                <w:rFonts w:ascii="宋体"/>
                <w:vanish/>
              </w:rPr>
            </w:pPr>
          </w:p>
        </w:tc>
        <w:tc>
          <w:tcPr>
            <w:tcW w:w="0" w:type="auto"/>
            <w:shd w:val="clear" w:color="auto" w:fill="auto"/>
            <w:vAlign w:val="bottom"/>
          </w:tcPr>
          <w:p w14:paraId="71D3E1D0" w14:textId="77777777" w:rsidR="006A3667" w:rsidRDefault="006A3667">
            <w:pPr>
              <w:rPr>
                <w:rFonts w:ascii="宋体"/>
                <w:vanish/>
              </w:rPr>
            </w:pPr>
          </w:p>
        </w:tc>
        <w:tc>
          <w:tcPr>
            <w:tcW w:w="0" w:type="auto"/>
            <w:gridSpan w:val="3"/>
            <w:shd w:val="clear" w:color="auto" w:fill="auto"/>
            <w:vAlign w:val="bottom"/>
          </w:tcPr>
          <w:p w14:paraId="71D3E1D1" w14:textId="77777777" w:rsidR="006A3667" w:rsidRDefault="006A3667">
            <w:pPr>
              <w:rPr>
                <w:rFonts w:ascii="宋体"/>
                <w:vanish/>
              </w:rPr>
            </w:pPr>
          </w:p>
        </w:tc>
        <w:tc>
          <w:tcPr>
            <w:tcW w:w="0" w:type="auto"/>
            <w:gridSpan w:val="3"/>
            <w:shd w:val="clear" w:color="auto" w:fill="auto"/>
            <w:vAlign w:val="bottom"/>
          </w:tcPr>
          <w:p w14:paraId="71D3E1D2" w14:textId="77777777" w:rsidR="006A3667" w:rsidRDefault="006A3667">
            <w:pPr>
              <w:rPr>
                <w:rFonts w:ascii="宋体"/>
                <w:vanish/>
              </w:rPr>
            </w:pPr>
          </w:p>
        </w:tc>
        <w:tc>
          <w:tcPr>
            <w:tcW w:w="0" w:type="auto"/>
            <w:gridSpan w:val="3"/>
            <w:shd w:val="clear" w:color="auto" w:fill="auto"/>
            <w:vAlign w:val="bottom"/>
          </w:tcPr>
          <w:p w14:paraId="71D3E1D3" w14:textId="77777777" w:rsidR="006A3667" w:rsidRDefault="006A3667">
            <w:pPr>
              <w:rPr>
                <w:rFonts w:ascii="宋体"/>
                <w:vanish/>
              </w:rPr>
            </w:pPr>
          </w:p>
        </w:tc>
        <w:tc>
          <w:tcPr>
            <w:tcW w:w="0" w:type="auto"/>
            <w:gridSpan w:val="3"/>
            <w:shd w:val="clear" w:color="auto" w:fill="auto"/>
            <w:vAlign w:val="bottom"/>
          </w:tcPr>
          <w:p w14:paraId="71D3E1D4" w14:textId="77777777" w:rsidR="006A3667" w:rsidRDefault="006A3667">
            <w:pPr>
              <w:rPr>
                <w:rFonts w:ascii="宋体"/>
                <w:vanish/>
              </w:rPr>
            </w:pPr>
          </w:p>
        </w:tc>
        <w:tc>
          <w:tcPr>
            <w:tcW w:w="0" w:type="auto"/>
            <w:gridSpan w:val="3"/>
            <w:shd w:val="clear" w:color="auto" w:fill="auto"/>
            <w:vAlign w:val="bottom"/>
          </w:tcPr>
          <w:p w14:paraId="71D3E1D5" w14:textId="77777777" w:rsidR="006A3667" w:rsidRDefault="006A3667">
            <w:pPr>
              <w:rPr>
                <w:rFonts w:ascii="宋体"/>
                <w:vanish/>
              </w:rPr>
            </w:pPr>
          </w:p>
        </w:tc>
        <w:tc>
          <w:tcPr>
            <w:tcW w:w="0" w:type="auto"/>
            <w:gridSpan w:val="3"/>
            <w:shd w:val="clear" w:color="auto" w:fill="auto"/>
            <w:vAlign w:val="bottom"/>
          </w:tcPr>
          <w:p w14:paraId="71D3E1D6" w14:textId="77777777" w:rsidR="006A3667" w:rsidRDefault="006A3667">
            <w:pPr>
              <w:rPr>
                <w:rFonts w:ascii="宋体"/>
                <w:vanish/>
              </w:rPr>
            </w:pPr>
          </w:p>
        </w:tc>
        <w:tc>
          <w:tcPr>
            <w:tcW w:w="0" w:type="auto"/>
            <w:gridSpan w:val="3"/>
            <w:shd w:val="clear" w:color="auto" w:fill="auto"/>
            <w:vAlign w:val="bottom"/>
          </w:tcPr>
          <w:p w14:paraId="71D3E1D7" w14:textId="77777777" w:rsidR="006A3667" w:rsidRDefault="006A3667">
            <w:pPr>
              <w:rPr>
                <w:rFonts w:ascii="宋体"/>
                <w:vanish/>
              </w:rPr>
            </w:pPr>
          </w:p>
        </w:tc>
        <w:tc>
          <w:tcPr>
            <w:tcW w:w="0" w:type="auto"/>
            <w:gridSpan w:val="3"/>
            <w:shd w:val="clear" w:color="auto" w:fill="auto"/>
            <w:vAlign w:val="bottom"/>
          </w:tcPr>
          <w:p w14:paraId="71D3E1D8" w14:textId="77777777" w:rsidR="006A3667" w:rsidRDefault="006A3667">
            <w:pPr>
              <w:rPr>
                <w:rFonts w:ascii="宋体"/>
                <w:vanish/>
              </w:rPr>
            </w:pPr>
          </w:p>
        </w:tc>
        <w:tc>
          <w:tcPr>
            <w:tcW w:w="0" w:type="auto"/>
            <w:gridSpan w:val="3"/>
            <w:shd w:val="clear" w:color="auto" w:fill="auto"/>
            <w:vAlign w:val="bottom"/>
          </w:tcPr>
          <w:p w14:paraId="71D3E1D9" w14:textId="77777777" w:rsidR="006A3667" w:rsidRDefault="006A3667">
            <w:pPr>
              <w:rPr>
                <w:rFonts w:ascii="宋体"/>
                <w:vanish/>
              </w:rPr>
            </w:pPr>
          </w:p>
        </w:tc>
        <w:tc>
          <w:tcPr>
            <w:tcW w:w="0" w:type="auto"/>
            <w:gridSpan w:val="3"/>
            <w:shd w:val="clear" w:color="auto" w:fill="auto"/>
            <w:vAlign w:val="bottom"/>
          </w:tcPr>
          <w:p w14:paraId="71D3E1DA" w14:textId="77777777" w:rsidR="006A3667" w:rsidRDefault="006A3667">
            <w:pPr>
              <w:rPr>
                <w:rFonts w:ascii="宋体"/>
                <w:vanish/>
              </w:rPr>
            </w:pPr>
          </w:p>
        </w:tc>
      </w:tr>
      <w:tr w:rsidR="006A3667" w14:paraId="71D3E1F1" w14:textId="77777777">
        <w:tc>
          <w:tcPr>
            <w:tcW w:w="0" w:type="auto"/>
            <w:gridSpan w:val="3"/>
            <w:shd w:val="clear" w:color="auto" w:fill="FFFFFF"/>
            <w:tcMar>
              <w:top w:w="40" w:type="dxa"/>
              <w:left w:w="20" w:type="dxa"/>
              <w:bottom w:w="40" w:type="dxa"/>
              <w:right w:w="20" w:type="dxa"/>
            </w:tcMar>
            <w:vAlign w:val="bottom"/>
          </w:tcPr>
          <w:p w14:paraId="71D3E1DC" w14:textId="77777777" w:rsidR="006A3667" w:rsidRDefault="00045F32">
            <w:pPr>
              <w:textAlignment w:val="bottom"/>
            </w:pPr>
            <w:r>
              <w:rPr>
                <w:rFonts w:ascii="Arial" w:eastAsia="宋体" w:hAnsi="Arial" w:cs="Arial"/>
                <w:color w:val="000000"/>
                <w:sz w:val="14"/>
                <w:szCs w:val="14"/>
              </w:rPr>
              <w:t>Fixed-income</w:t>
            </w:r>
          </w:p>
        </w:tc>
        <w:tc>
          <w:tcPr>
            <w:tcW w:w="0" w:type="auto"/>
            <w:gridSpan w:val="2"/>
            <w:shd w:val="clear" w:color="auto" w:fill="FFFFFF"/>
            <w:tcMar>
              <w:top w:w="40" w:type="dxa"/>
              <w:left w:w="20" w:type="dxa"/>
              <w:bottom w:w="40" w:type="dxa"/>
              <w:right w:w="0" w:type="dxa"/>
            </w:tcMar>
            <w:vAlign w:val="bottom"/>
          </w:tcPr>
          <w:p w14:paraId="71D3E1DD" w14:textId="77777777" w:rsidR="006A3667" w:rsidRDefault="00045F32">
            <w:pPr>
              <w:jc w:val="right"/>
              <w:textAlignment w:val="bottom"/>
            </w:pPr>
            <w:r>
              <w:rPr>
                <w:rFonts w:ascii="Arial" w:eastAsia="宋体" w:hAnsi="Arial" w:cs="Arial"/>
                <w:b/>
                <w:bCs/>
                <w:color w:val="000000"/>
                <w:sz w:val="14"/>
                <w:szCs w:val="14"/>
              </w:rPr>
              <w:t>10,150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1D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1D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1E0" w14:textId="77777777" w:rsidR="006A3667" w:rsidRDefault="00045F32">
            <w:pPr>
              <w:jc w:val="right"/>
              <w:textAlignment w:val="bottom"/>
            </w:pPr>
            <w:r>
              <w:rPr>
                <w:rFonts w:ascii="Arial" w:eastAsia="宋体" w:hAnsi="Arial" w:cs="Arial"/>
                <w:color w:val="000000"/>
                <w:sz w:val="14"/>
                <w:szCs w:val="14"/>
              </w:rPr>
              <w:t>12,587 </w:t>
            </w:r>
          </w:p>
        </w:tc>
        <w:tc>
          <w:tcPr>
            <w:tcW w:w="0" w:type="auto"/>
            <w:shd w:val="clear" w:color="auto" w:fill="FFFFFF"/>
            <w:tcMar>
              <w:top w:w="40" w:type="dxa"/>
              <w:left w:w="0" w:type="dxa"/>
              <w:bottom w:w="40" w:type="dxa"/>
              <w:right w:w="20" w:type="dxa"/>
            </w:tcMar>
            <w:vAlign w:val="bottom"/>
          </w:tcPr>
          <w:p w14:paraId="71D3E1E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1E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1E3" w14:textId="77777777" w:rsidR="006A3667" w:rsidRDefault="00045F32">
            <w:pPr>
              <w:jc w:val="right"/>
              <w:textAlignment w:val="bottom"/>
            </w:pPr>
            <w:r>
              <w:rPr>
                <w:rFonts w:ascii="Arial" w:eastAsia="宋体" w:hAnsi="Arial" w:cs="Arial"/>
                <w:color w:val="000000"/>
                <w:sz w:val="14"/>
                <w:szCs w:val="14"/>
              </w:rPr>
              <w:t>12,808 </w:t>
            </w:r>
          </w:p>
        </w:tc>
        <w:tc>
          <w:tcPr>
            <w:tcW w:w="0" w:type="auto"/>
            <w:shd w:val="clear" w:color="auto" w:fill="FFFFFF"/>
            <w:tcMar>
              <w:top w:w="40" w:type="dxa"/>
              <w:left w:w="0" w:type="dxa"/>
              <w:bottom w:w="40" w:type="dxa"/>
              <w:right w:w="20" w:type="dxa"/>
            </w:tcMar>
            <w:vAlign w:val="bottom"/>
          </w:tcPr>
          <w:p w14:paraId="71D3E1E4" w14:textId="77777777" w:rsidR="006A3667" w:rsidRDefault="006A3667">
            <w:pPr>
              <w:jc w:val="right"/>
              <w:rPr>
                <w:rFonts w:ascii="宋体"/>
              </w:rPr>
            </w:pPr>
          </w:p>
        </w:tc>
        <w:tc>
          <w:tcPr>
            <w:tcW w:w="0" w:type="auto"/>
            <w:shd w:val="clear" w:color="auto" w:fill="auto"/>
            <w:vAlign w:val="bottom"/>
          </w:tcPr>
          <w:p w14:paraId="71D3E1E5" w14:textId="77777777" w:rsidR="006A3667" w:rsidRDefault="006A3667">
            <w:pPr>
              <w:rPr>
                <w:rFonts w:ascii="宋体"/>
                <w:vanish/>
              </w:rPr>
            </w:pPr>
          </w:p>
        </w:tc>
        <w:tc>
          <w:tcPr>
            <w:tcW w:w="0" w:type="auto"/>
            <w:shd w:val="clear" w:color="auto" w:fill="auto"/>
            <w:vAlign w:val="bottom"/>
          </w:tcPr>
          <w:p w14:paraId="71D3E1E6" w14:textId="77777777" w:rsidR="006A3667" w:rsidRDefault="006A3667">
            <w:pPr>
              <w:rPr>
                <w:rFonts w:ascii="宋体"/>
                <w:vanish/>
              </w:rPr>
            </w:pPr>
          </w:p>
        </w:tc>
        <w:tc>
          <w:tcPr>
            <w:tcW w:w="0" w:type="auto"/>
            <w:gridSpan w:val="3"/>
            <w:shd w:val="clear" w:color="auto" w:fill="auto"/>
            <w:vAlign w:val="bottom"/>
          </w:tcPr>
          <w:p w14:paraId="71D3E1E7" w14:textId="77777777" w:rsidR="006A3667" w:rsidRDefault="006A3667">
            <w:pPr>
              <w:rPr>
                <w:rFonts w:ascii="宋体"/>
                <w:vanish/>
              </w:rPr>
            </w:pPr>
          </w:p>
        </w:tc>
        <w:tc>
          <w:tcPr>
            <w:tcW w:w="0" w:type="auto"/>
            <w:gridSpan w:val="3"/>
            <w:shd w:val="clear" w:color="auto" w:fill="auto"/>
            <w:vAlign w:val="bottom"/>
          </w:tcPr>
          <w:p w14:paraId="71D3E1E8" w14:textId="77777777" w:rsidR="006A3667" w:rsidRDefault="006A3667">
            <w:pPr>
              <w:rPr>
                <w:rFonts w:ascii="宋体"/>
                <w:vanish/>
              </w:rPr>
            </w:pPr>
          </w:p>
        </w:tc>
        <w:tc>
          <w:tcPr>
            <w:tcW w:w="0" w:type="auto"/>
            <w:gridSpan w:val="3"/>
            <w:shd w:val="clear" w:color="auto" w:fill="auto"/>
            <w:vAlign w:val="bottom"/>
          </w:tcPr>
          <w:p w14:paraId="71D3E1E9" w14:textId="77777777" w:rsidR="006A3667" w:rsidRDefault="006A3667">
            <w:pPr>
              <w:rPr>
                <w:rFonts w:ascii="宋体"/>
                <w:vanish/>
              </w:rPr>
            </w:pPr>
          </w:p>
        </w:tc>
        <w:tc>
          <w:tcPr>
            <w:tcW w:w="0" w:type="auto"/>
            <w:gridSpan w:val="3"/>
            <w:shd w:val="clear" w:color="auto" w:fill="auto"/>
            <w:vAlign w:val="bottom"/>
          </w:tcPr>
          <w:p w14:paraId="71D3E1EA" w14:textId="77777777" w:rsidR="006A3667" w:rsidRDefault="006A3667">
            <w:pPr>
              <w:rPr>
                <w:rFonts w:ascii="宋体"/>
                <w:vanish/>
              </w:rPr>
            </w:pPr>
          </w:p>
        </w:tc>
        <w:tc>
          <w:tcPr>
            <w:tcW w:w="0" w:type="auto"/>
            <w:gridSpan w:val="3"/>
            <w:shd w:val="clear" w:color="auto" w:fill="auto"/>
            <w:vAlign w:val="bottom"/>
          </w:tcPr>
          <w:p w14:paraId="71D3E1EB" w14:textId="77777777" w:rsidR="006A3667" w:rsidRDefault="006A3667">
            <w:pPr>
              <w:rPr>
                <w:rFonts w:ascii="宋体"/>
                <w:vanish/>
              </w:rPr>
            </w:pPr>
          </w:p>
        </w:tc>
        <w:tc>
          <w:tcPr>
            <w:tcW w:w="0" w:type="auto"/>
            <w:gridSpan w:val="3"/>
            <w:shd w:val="clear" w:color="auto" w:fill="auto"/>
            <w:vAlign w:val="bottom"/>
          </w:tcPr>
          <w:p w14:paraId="71D3E1EC" w14:textId="77777777" w:rsidR="006A3667" w:rsidRDefault="006A3667">
            <w:pPr>
              <w:rPr>
                <w:rFonts w:ascii="宋体"/>
                <w:vanish/>
              </w:rPr>
            </w:pPr>
          </w:p>
        </w:tc>
        <w:tc>
          <w:tcPr>
            <w:tcW w:w="0" w:type="auto"/>
            <w:gridSpan w:val="3"/>
            <w:shd w:val="clear" w:color="auto" w:fill="auto"/>
            <w:vAlign w:val="bottom"/>
          </w:tcPr>
          <w:p w14:paraId="71D3E1ED" w14:textId="77777777" w:rsidR="006A3667" w:rsidRDefault="006A3667">
            <w:pPr>
              <w:rPr>
                <w:rFonts w:ascii="宋体"/>
                <w:vanish/>
              </w:rPr>
            </w:pPr>
          </w:p>
        </w:tc>
        <w:tc>
          <w:tcPr>
            <w:tcW w:w="0" w:type="auto"/>
            <w:gridSpan w:val="3"/>
            <w:shd w:val="clear" w:color="auto" w:fill="auto"/>
            <w:vAlign w:val="bottom"/>
          </w:tcPr>
          <w:p w14:paraId="71D3E1EE" w14:textId="77777777" w:rsidR="006A3667" w:rsidRDefault="006A3667">
            <w:pPr>
              <w:rPr>
                <w:rFonts w:ascii="宋体"/>
                <w:vanish/>
              </w:rPr>
            </w:pPr>
          </w:p>
        </w:tc>
        <w:tc>
          <w:tcPr>
            <w:tcW w:w="0" w:type="auto"/>
            <w:gridSpan w:val="3"/>
            <w:shd w:val="clear" w:color="auto" w:fill="auto"/>
            <w:vAlign w:val="bottom"/>
          </w:tcPr>
          <w:p w14:paraId="71D3E1EF" w14:textId="77777777" w:rsidR="006A3667" w:rsidRDefault="006A3667">
            <w:pPr>
              <w:rPr>
                <w:rFonts w:ascii="宋体"/>
                <w:vanish/>
              </w:rPr>
            </w:pPr>
          </w:p>
        </w:tc>
        <w:tc>
          <w:tcPr>
            <w:tcW w:w="0" w:type="auto"/>
            <w:gridSpan w:val="3"/>
            <w:shd w:val="clear" w:color="auto" w:fill="auto"/>
            <w:vAlign w:val="bottom"/>
          </w:tcPr>
          <w:p w14:paraId="71D3E1F0" w14:textId="77777777" w:rsidR="006A3667" w:rsidRDefault="006A3667">
            <w:pPr>
              <w:rPr>
                <w:rFonts w:ascii="宋体"/>
                <w:vanish/>
              </w:rPr>
            </w:pPr>
          </w:p>
        </w:tc>
      </w:tr>
      <w:tr w:rsidR="006A3667" w14:paraId="71D3E207" w14:textId="77777777">
        <w:tc>
          <w:tcPr>
            <w:tcW w:w="0" w:type="auto"/>
            <w:gridSpan w:val="3"/>
            <w:shd w:val="clear" w:color="auto" w:fill="CCEEFF"/>
            <w:tcMar>
              <w:top w:w="40" w:type="dxa"/>
              <w:left w:w="20" w:type="dxa"/>
              <w:bottom w:w="40" w:type="dxa"/>
              <w:right w:w="20" w:type="dxa"/>
            </w:tcMar>
            <w:vAlign w:val="bottom"/>
          </w:tcPr>
          <w:p w14:paraId="71D3E1F2" w14:textId="77777777" w:rsidR="006A3667" w:rsidRDefault="00045F32">
            <w:pPr>
              <w:textAlignment w:val="bottom"/>
            </w:pPr>
            <w:r>
              <w:rPr>
                <w:rFonts w:ascii="Arial" w:eastAsia="宋体" w:hAnsi="Arial" w:cs="Arial"/>
                <w:color w:val="000000"/>
                <w:sz w:val="14"/>
                <w:szCs w:val="14"/>
              </w:rPr>
              <w:t>Short-term and other investments</w:t>
            </w:r>
          </w:p>
        </w:tc>
        <w:tc>
          <w:tcPr>
            <w:tcW w:w="0" w:type="auto"/>
            <w:gridSpan w:val="2"/>
            <w:shd w:val="clear" w:color="auto" w:fill="CCEEFF"/>
            <w:tcMar>
              <w:top w:w="40" w:type="dxa"/>
              <w:left w:w="20" w:type="dxa"/>
              <w:bottom w:w="40" w:type="dxa"/>
              <w:right w:w="0" w:type="dxa"/>
            </w:tcMar>
            <w:vAlign w:val="bottom"/>
          </w:tcPr>
          <w:p w14:paraId="71D3E1F3" w14:textId="77777777" w:rsidR="006A3667" w:rsidRDefault="00045F32">
            <w:pPr>
              <w:jc w:val="right"/>
              <w:textAlignment w:val="bottom"/>
            </w:pPr>
            <w:r>
              <w:rPr>
                <w:rFonts w:ascii="Arial" w:eastAsia="宋体" w:hAnsi="Arial" w:cs="Arial"/>
                <w:b/>
                <w:bCs/>
                <w:color w:val="000000"/>
                <w:sz w:val="14"/>
                <w:szCs w:val="14"/>
              </w:rPr>
              <w:t>5,649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1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1F6" w14:textId="77777777" w:rsidR="006A3667" w:rsidRDefault="00045F32">
            <w:pPr>
              <w:jc w:val="right"/>
              <w:textAlignment w:val="bottom"/>
            </w:pPr>
            <w:r>
              <w:rPr>
                <w:rFonts w:ascii="Arial" w:eastAsia="宋体" w:hAnsi="Arial" w:cs="Arial"/>
                <w:color w:val="000000"/>
                <w:sz w:val="14"/>
                <w:szCs w:val="14"/>
              </w:rPr>
              <w:t>5,117 </w:t>
            </w:r>
          </w:p>
        </w:tc>
        <w:tc>
          <w:tcPr>
            <w:tcW w:w="0" w:type="auto"/>
            <w:shd w:val="clear" w:color="auto" w:fill="CCEEFF"/>
            <w:tcMar>
              <w:top w:w="40" w:type="dxa"/>
              <w:left w:w="0" w:type="dxa"/>
              <w:bottom w:w="40" w:type="dxa"/>
              <w:right w:w="20" w:type="dxa"/>
            </w:tcMar>
            <w:vAlign w:val="bottom"/>
          </w:tcPr>
          <w:p w14:paraId="71D3E1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1F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1F9" w14:textId="77777777" w:rsidR="006A3667" w:rsidRDefault="00045F32">
            <w:pPr>
              <w:jc w:val="right"/>
              <w:textAlignment w:val="bottom"/>
            </w:pPr>
            <w:r>
              <w:rPr>
                <w:rFonts w:ascii="Arial" w:eastAsia="宋体" w:hAnsi="Arial" w:cs="Arial"/>
                <w:color w:val="000000"/>
                <w:sz w:val="14"/>
                <w:szCs w:val="14"/>
              </w:rPr>
              <w:t>5,179 </w:t>
            </w:r>
          </w:p>
        </w:tc>
        <w:tc>
          <w:tcPr>
            <w:tcW w:w="0" w:type="auto"/>
            <w:shd w:val="clear" w:color="auto" w:fill="CCEEFF"/>
            <w:tcMar>
              <w:top w:w="40" w:type="dxa"/>
              <w:left w:w="0" w:type="dxa"/>
              <w:bottom w:w="40" w:type="dxa"/>
              <w:right w:w="20" w:type="dxa"/>
            </w:tcMar>
            <w:vAlign w:val="bottom"/>
          </w:tcPr>
          <w:p w14:paraId="71D3E1FA" w14:textId="77777777" w:rsidR="006A3667" w:rsidRDefault="006A3667">
            <w:pPr>
              <w:jc w:val="right"/>
              <w:rPr>
                <w:rFonts w:ascii="宋体"/>
              </w:rPr>
            </w:pPr>
          </w:p>
        </w:tc>
        <w:tc>
          <w:tcPr>
            <w:tcW w:w="0" w:type="auto"/>
            <w:shd w:val="clear" w:color="auto" w:fill="auto"/>
            <w:vAlign w:val="bottom"/>
          </w:tcPr>
          <w:p w14:paraId="71D3E1FB" w14:textId="77777777" w:rsidR="006A3667" w:rsidRDefault="006A3667">
            <w:pPr>
              <w:rPr>
                <w:rFonts w:ascii="宋体"/>
                <w:vanish/>
              </w:rPr>
            </w:pPr>
          </w:p>
        </w:tc>
        <w:tc>
          <w:tcPr>
            <w:tcW w:w="0" w:type="auto"/>
            <w:shd w:val="clear" w:color="auto" w:fill="auto"/>
            <w:vAlign w:val="bottom"/>
          </w:tcPr>
          <w:p w14:paraId="71D3E1FC" w14:textId="77777777" w:rsidR="006A3667" w:rsidRDefault="006A3667">
            <w:pPr>
              <w:rPr>
                <w:rFonts w:ascii="宋体"/>
                <w:vanish/>
              </w:rPr>
            </w:pPr>
          </w:p>
        </w:tc>
        <w:tc>
          <w:tcPr>
            <w:tcW w:w="0" w:type="auto"/>
            <w:gridSpan w:val="3"/>
            <w:shd w:val="clear" w:color="auto" w:fill="auto"/>
            <w:vAlign w:val="bottom"/>
          </w:tcPr>
          <w:p w14:paraId="71D3E1FD" w14:textId="77777777" w:rsidR="006A3667" w:rsidRDefault="006A3667">
            <w:pPr>
              <w:rPr>
                <w:rFonts w:ascii="宋体"/>
                <w:vanish/>
              </w:rPr>
            </w:pPr>
          </w:p>
        </w:tc>
        <w:tc>
          <w:tcPr>
            <w:tcW w:w="0" w:type="auto"/>
            <w:gridSpan w:val="3"/>
            <w:shd w:val="clear" w:color="auto" w:fill="auto"/>
            <w:vAlign w:val="bottom"/>
          </w:tcPr>
          <w:p w14:paraId="71D3E1FE" w14:textId="77777777" w:rsidR="006A3667" w:rsidRDefault="006A3667">
            <w:pPr>
              <w:rPr>
                <w:rFonts w:ascii="宋体"/>
                <w:vanish/>
              </w:rPr>
            </w:pPr>
          </w:p>
        </w:tc>
        <w:tc>
          <w:tcPr>
            <w:tcW w:w="0" w:type="auto"/>
            <w:gridSpan w:val="3"/>
            <w:shd w:val="clear" w:color="auto" w:fill="auto"/>
            <w:vAlign w:val="bottom"/>
          </w:tcPr>
          <w:p w14:paraId="71D3E1FF" w14:textId="77777777" w:rsidR="006A3667" w:rsidRDefault="006A3667">
            <w:pPr>
              <w:rPr>
                <w:rFonts w:ascii="宋体"/>
                <w:vanish/>
              </w:rPr>
            </w:pPr>
          </w:p>
        </w:tc>
        <w:tc>
          <w:tcPr>
            <w:tcW w:w="0" w:type="auto"/>
            <w:gridSpan w:val="3"/>
            <w:shd w:val="clear" w:color="auto" w:fill="auto"/>
            <w:vAlign w:val="bottom"/>
          </w:tcPr>
          <w:p w14:paraId="71D3E200" w14:textId="77777777" w:rsidR="006A3667" w:rsidRDefault="006A3667">
            <w:pPr>
              <w:rPr>
                <w:rFonts w:ascii="宋体"/>
                <w:vanish/>
              </w:rPr>
            </w:pPr>
          </w:p>
        </w:tc>
        <w:tc>
          <w:tcPr>
            <w:tcW w:w="0" w:type="auto"/>
            <w:gridSpan w:val="3"/>
            <w:shd w:val="clear" w:color="auto" w:fill="auto"/>
            <w:vAlign w:val="bottom"/>
          </w:tcPr>
          <w:p w14:paraId="71D3E201" w14:textId="77777777" w:rsidR="006A3667" w:rsidRDefault="006A3667">
            <w:pPr>
              <w:rPr>
                <w:rFonts w:ascii="宋体"/>
                <w:vanish/>
              </w:rPr>
            </w:pPr>
          </w:p>
        </w:tc>
        <w:tc>
          <w:tcPr>
            <w:tcW w:w="0" w:type="auto"/>
            <w:gridSpan w:val="3"/>
            <w:shd w:val="clear" w:color="auto" w:fill="auto"/>
            <w:vAlign w:val="bottom"/>
          </w:tcPr>
          <w:p w14:paraId="71D3E202" w14:textId="77777777" w:rsidR="006A3667" w:rsidRDefault="006A3667">
            <w:pPr>
              <w:rPr>
                <w:rFonts w:ascii="宋体"/>
                <w:vanish/>
              </w:rPr>
            </w:pPr>
          </w:p>
        </w:tc>
        <w:tc>
          <w:tcPr>
            <w:tcW w:w="0" w:type="auto"/>
            <w:gridSpan w:val="3"/>
            <w:shd w:val="clear" w:color="auto" w:fill="auto"/>
            <w:vAlign w:val="bottom"/>
          </w:tcPr>
          <w:p w14:paraId="71D3E203" w14:textId="77777777" w:rsidR="006A3667" w:rsidRDefault="006A3667">
            <w:pPr>
              <w:rPr>
                <w:rFonts w:ascii="宋体"/>
                <w:vanish/>
              </w:rPr>
            </w:pPr>
          </w:p>
        </w:tc>
        <w:tc>
          <w:tcPr>
            <w:tcW w:w="0" w:type="auto"/>
            <w:gridSpan w:val="3"/>
            <w:shd w:val="clear" w:color="auto" w:fill="auto"/>
            <w:vAlign w:val="bottom"/>
          </w:tcPr>
          <w:p w14:paraId="71D3E204" w14:textId="77777777" w:rsidR="006A3667" w:rsidRDefault="006A3667">
            <w:pPr>
              <w:rPr>
                <w:rFonts w:ascii="宋体"/>
                <w:vanish/>
              </w:rPr>
            </w:pPr>
          </w:p>
        </w:tc>
        <w:tc>
          <w:tcPr>
            <w:tcW w:w="0" w:type="auto"/>
            <w:gridSpan w:val="3"/>
            <w:shd w:val="clear" w:color="auto" w:fill="auto"/>
            <w:vAlign w:val="bottom"/>
          </w:tcPr>
          <w:p w14:paraId="71D3E205" w14:textId="77777777" w:rsidR="006A3667" w:rsidRDefault="006A3667">
            <w:pPr>
              <w:rPr>
                <w:rFonts w:ascii="宋体"/>
                <w:vanish/>
              </w:rPr>
            </w:pPr>
          </w:p>
        </w:tc>
        <w:tc>
          <w:tcPr>
            <w:tcW w:w="0" w:type="auto"/>
            <w:gridSpan w:val="3"/>
            <w:shd w:val="clear" w:color="auto" w:fill="auto"/>
            <w:vAlign w:val="bottom"/>
          </w:tcPr>
          <w:p w14:paraId="71D3E206" w14:textId="77777777" w:rsidR="006A3667" w:rsidRDefault="006A3667">
            <w:pPr>
              <w:rPr>
                <w:rFonts w:ascii="宋体"/>
                <w:vanish/>
              </w:rPr>
            </w:pPr>
          </w:p>
        </w:tc>
      </w:tr>
      <w:tr w:rsidR="006A3667" w14:paraId="71D3E220" w14:textId="77777777">
        <w:tc>
          <w:tcPr>
            <w:tcW w:w="0" w:type="auto"/>
            <w:gridSpan w:val="3"/>
            <w:shd w:val="clear" w:color="auto" w:fill="FFFFFF"/>
            <w:tcMar>
              <w:top w:w="40" w:type="dxa"/>
              <w:left w:w="20" w:type="dxa"/>
              <w:bottom w:w="40" w:type="dxa"/>
              <w:right w:w="20" w:type="dxa"/>
            </w:tcMar>
            <w:vAlign w:val="bottom"/>
          </w:tcPr>
          <w:p w14:paraId="71D3E208" w14:textId="77777777" w:rsidR="006A3667" w:rsidRDefault="00045F32">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20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20A" w14:textId="77777777" w:rsidR="006A3667" w:rsidRDefault="00045F32">
            <w:pPr>
              <w:jc w:val="right"/>
              <w:textAlignment w:val="bottom"/>
            </w:pPr>
            <w:r>
              <w:rPr>
                <w:rFonts w:ascii="Arial" w:eastAsia="宋体" w:hAnsi="Arial" w:cs="Arial"/>
                <w:b/>
                <w:bCs/>
                <w:color w:val="000000"/>
                <w:sz w:val="14"/>
                <w:szCs w:val="14"/>
              </w:rPr>
              <w:t>35,688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20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20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20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20E" w14:textId="77777777" w:rsidR="006A3667" w:rsidRDefault="00045F32">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2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21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21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212" w14:textId="77777777" w:rsidR="006A3667" w:rsidRDefault="00045F32">
            <w:pPr>
              <w:jc w:val="right"/>
              <w:textAlignment w:val="bottom"/>
            </w:pPr>
            <w:r>
              <w:rPr>
                <w:rFonts w:ascii="Arial" w:eastAsia="宋体" w:hAnsi="Arial" w:cs="Arial"/>
                <w:color w:val="000000"/>
                <w:sz w:val="14"/>
                <w:szCs w:val="14"/>
              </w:rPr>
              <w:t>43,337 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213" w14:textId="77777777" w:rsidR="006A3667" w:rsidRDefault="006A3667">
            <w:pPr>
              <w:jc w:val="right"/>
              <w:rPr>
                <w:rFonts w:ascii="宋体"/>
              </w:rPr>
            </w:pPr>
          </w:p>
        </w:tc>
        <w:tc>
          <w:tcPr>
            <w:tcW w:w="0" w:type="auto"/>
            <w:shd w:val="clear" w:color="auto" w:fill="auto"/>
            <w:vAlign w:val="bottom"/>
          </w:tcPr>
          <w:p w14:paraId="71D3E214" w14:textId="77777777" w:rsidR="006A3667" w:rsidRDefault="006A3667">
            <w:pPr>
              <w:rPr>
                <w:rFonts w:ascii="宋体"/>
                <w:vanish/>
              </w:rPr>
            </w:pPr>
          </w:p>
        </w:tc>
        <w:tc>
          <w:tcPr>
            <w:tcW w:w="0" w:type="auto"/>
            <w:shd w:val="clear" w:color="auto" w:fill="auto"/>
            <w:vAlign w:val="bottom"/>
          </w:tcPr>
          <w:p w14:paraId="71D3E215" w14:textId="77777777" w:rsidR="006A3667" w:rsidRDefault="006A3667">
            <w:pPr>
              <w:rPr>
                <w:rFonts w:ascii="宋体"/>
                <w:vanish/>
              </w:rPr>
            </w:pPr>
          </w:p>
        </w:tc>
        <w:tc>
          <w:tcPr>
            <w:tcW w:w="0" w:type="auto"/>
            <w:gridSpan w:val="3"/>
            <w:shd w:val="clear" w:color="auto" w:fill="auto"/>
            <w:vAlign w:val="bottom"/>
          </w:tcPr>
          <w:p w14:paraId="71D3E216" w14:textId="77777777" w:rsidR="006A3667" w:rsidRDefault="006A3667">
            <w:pPr>
              <w:rPr>
                <w:rFonts w:ascii="宋体"/>
                <w:vanish/>
              </w:rPr>
            </w:pPr>
          </w:p>
        </w:tc>
        <w:tc>
          <w:tcPr>
            <w:tcW w:w="0" w:type="auto"/>
            <w:gridSpan w:val="3"/>
            <w:shd w:val="clear" w:color="auto" w:fill="auto"/>
            <w:vAlign w:val="bottom"/>
          </w:tcPr>
          <w:p w14:paraId="71D3E217" w14:textId="77777777" w:rsidR="006A3667" w:rsidRDefault="006A3667">
            <w:pPr>
              <w:rPr>
                <w:rFonts w:ascii="宋体"/>
                <w:vanish/>
              </w:rPr>
            </w:pPr>
          </w:p>
        </w:tc>
        <w:tc>
          <w:tcPr>
            <w:tcW w:w="0" w:type="auto"/>
            <w:gridSpan w:val="3"/>
            <w:shd w:val="clear" w:color="auto" w:fill="auto"/>
            <w:vAlign w:val="bottom"/>
          </w:tcPr>
          <w:p w14:paraId="71D3E218" w14:textId="77777777" w:rsidR="006A3667" w:rsidRDefault="006A3667">
            <w:pPr>
              <w:rPr>
                <w:rFonts w:ascii="宋体"/>
                <w:vanish/>
              </w:rPr>
            </w:pPr>
          </w:p>
        </w:tc>
        <w:tc>
          <w:tcPr>
            <w:tcW w:w="0" w:type="auto"/>
            <w:gridSpan w:val="3"/>
            <w:shd w:val="clear" w:color="auto" w:fill="auto"/>
            <w:vAlign w:val="bottom"/>
          </w:tcPr>
          <w:p w14:paraId="71D3E219" w14:textId="77777777" w:rsidR="006A3667" w:rsidRDefault="006A3667">
            <w:pPr>
              <w:rPr>
                <w:rFonts w:ascii="宋体"/>
                <w:vanish/>
              </w:rPr>
            </w:pPr>
          </w:p>
        </w:tc>
        <w:tc>
          <w:tcPr>
            <w:tcW w:w="0" w:type="auto"/>
            <w:gridSpan w:val="3"/>
            <w:shd w:val="clear" w:color="auto" w:fill="auto"/>
            <w:vAlign w:val="bottom"/>
          </w:tcPr>
          <w:p w14:paraId="71D3E21A" w14:textId="77777777" w:rsidR="006A3667" w:rsidRDefault="006A3667">
            <w:pPr>
              <w:rPr>
                <w:rFonts w:ascii="宋体"/>
                <w:vanish/>
              </w:rPr>
            </w:pPr>
          </w:p>
        </w:tc>
        <w:tc>
          <w:tcPr>
            <w:tcW w:w="0" w:type="auto"/>
            <w:gridSpan w:val="3"/>
            <w:shd w:val="clear" w:color="auto" w:fill="auto"/>
            <w:vAlign w:val="bottom"/>
          </w:tcPr>
          <w:p w14:paraId="71D3E21B" w14:textId="77777777" w:rsidR="006A3667" w:rsidRDefault="006A3667">
            <w:pPr>
              <w:rPr>
                <w:rFonts w:ascii="宋体"/>
                <w:vanish/>
              </w:rPr>
            </w:pPr>
          </w:p>
        </w:tc>
        <w:tc>
          <w:tcPr>
            <w:tcW w:w="0" w:type="auto"/>
            <w:gridSpan w:val="3"/>
            <w:shd w:val="clear" w:color="auto" w:fill="auto"/>
            <w:vAlign w:val="bottom"/>
          </w:tcPr>
          <w:p w14:paraId="71D3E21C" w14:textId="77777777" w:rsidR="006A3667" w:rsidRDefault="006A3667">
            <w:pPr>
              <w:rPr>
                <w:rFonts w:ascii="宋体"/>
                <w:vanish/>
              </w:rPr>
            </w:pPr>
          </w:p>
        </w:tc>
        <w:tc>
          <w:tcPr>
            <w:tcW w:w="0" w:type="auto"/>
            <w:gridSpan w:val="3"/>
            <w:shd w:val="clear" w:color="auto" w:fill="auto"/>
            <w:vAlign w:val="bottom"/>
          </w:tcPr>
          <w:p w14:paraId="71D3E21D" w14:textId="77777777" w:rsidR="006A3667" w:rsidRDefault="006A3667">
            <w:pPr>
              <w:rPr>
                <w:rFonts w:ascii="宋体"/>
                <w:vanish/>
              </w:rPr>
            </w:pPr>
          </w:p>
        </w:tc>
        <w:tc>
          <w:tcPr>
            <w:tcW w:w="0" w:type="auto"/>
            <w:gridSpan w:val="3"/>
            <w:shd w:val="clear" w:color="auto" w:fill="auto"/>
            <w:vAlign w:val="bottom"/>
          </w:tcPr>
          <w:p w14:paraId="71D3E21E" w14:textId="77777777" w:rsidR="006A3667" w:rsidRDefault="006A3667">
            <w:pPr>
              <w:rPr>
                <w:rFonts w:ascii="宋体"/>
                <w:vanish/>
              </w:rPr>
            </w:pPr>
          </w:p>
        </w:tc>
        <w:tc>
          <w:tcPr>
            <w:tcW w:w="0" w:type="auto"/>
            <w:gridSpan w:val="3"/>
            <w:shd w:val="clear" w:color="auto" w:fill="auto"/>
            <w:vAlign w:val="bottom"/>
          </w:tcPr>
          <w:p w14:paraId="71D3E21F" w14:textId="77777777" w:rsidR="006A3667" w:rsidRDefault="006A3667">
            <w:pPr>
              <w:rPr>
                <w:rFonts w:ascii="宋体"/>
                <w:vanish/>
              </w:rPr>
            </w:pPr>
          </w:p>
        </w:tc>
      </w:tr>
      <w:tr w:rsidR="006A3667" w14:paraId="71D3E233" w14:textId="77777777">
        <w:trPr>
          <w:hidden/>
        </w:trPr>
        <w:tc>
          <w:tcPr>
            <w:tcW w:w="0" w:type="auto"/>
            <w:gridSpan w:val="3"/>
            <w:shd w:val="clear" w:color="auto" w:fill="auto"/>
            <w:vAlign w:val="bottom"/>
          </w:tcPr>
          <w:p w14:paraId="71D3E221" w14:textId="77777777" w:rsidR="006A3667" w:rsidRDefault="006A3667">
            <w:pPr>
              <w:rPr>
                <w:rFonts w:ascii="宋体"/>
                <w:vanish/>
              </w:rPr>
            </w:pPr>
          </w:p>
        </w:tc>
        <w:tc>
          <w:tcPr>
            <w:tcW w:w="0" w:type="auto"/>
            <w:gridSpan w:val="3"/>
            <w:shd w:val="clear" w:color="auto" w:fill="auto"/>
            <w:vAlign w:val="bottom"/>
          </w:tcPr>
          <w:p w14:paraId="71D3E222" w14:textId="77777777" w:rsidR="006A3667" w:rsidRDefault="006A3667">
            <w:pPr>
              <w:rPr>
                <w:rFonts w:ascii="宋体"/>
                <w:vanish/>
              </w:rPr>
            </w:pPr>
          </w:p>
        </w:tc>
        <w:tc>
          <w:tcPr>
            <w:tcW w:w="0" w:type="auto"/>
            <w:gridSpan w:val="3"/>
            <w:shd w:val="clear" w:color="auto" w:fill="auto"/>
            <w:vAlign w:val="bottom"/>
          </w:tcPr>
          <w:p w14:paraId="71D3E223" w14:textId="77777777" w:rsidR="006A3667" w:rsidRDefault="006A3667">
            <w:pPr>
              <w:rPr>
                <w:rFonts w:ascii="宋体"/>
                <w:vanish/>
              </w:rPr>
            </w:pPr>
          </w:p>
        </w:tc>
        <w:tc>
          <w:tcPr>
            <w:tcW w:w="0" w:type="auto"/>
            <w:gridSpan w:val="3"/>
            <w:shd w:val="clear" w:color="auto" w:fill="auto"/>
            <w:vAlign w:val="bottom"/>
          </w:tcPr>
          <w:p w14:paraId="71D3E224" w14:textId="77777777" w:rsidR="006A3667" w:rsidRDefault="006A3667">
            <w:pPr>
              <w:rPr>
                <w:rFonts w:ascii="宋体"/>
                <w:vanish/>
              </w:rPr>
            </w:pPr>
          </w:p>
        </w:tc>
        <w:tc>
          <w:tcPr>
            <w:tcW w:w="0" w:type="auto"/>
            <w:gridSpan w:val="3"/>
            <w:shd w:val="clear" w:color="auto" w:fill="auto"/>
            <w:vAlign w:val="bottom"/>
          </w:tcPr>
          <w:p w14:paraId="71D3E225" w14:textId="77777777" w:rsidR="006A3667" w:rsidRDefault="006A3667">
            <w:pPr>
              <w:rPr>
                <w:rFonts w:ascii="宋体"/>
                <w:vanish/>
              </w:rPr>
            </w:pPr>
          </w:p>
        </w:tc>
        <w:tc>
          <w:tcPr>
            <w:tcW w:w="0" w:type="auto"/>
            <w:gridSpan w:val="3"/>
            <w:shd w:val="clear" w:color="auto" w:fill="auto"/>
            <w:vAlign w:val="bottom"/>
          </w:tcPr>
          <w:p w14:paraId="71D3E226" w14:textId="77777777" w:rsidR="006A3667" w:rsidRDefault="006A3667">
            <w:pPr>
              <w:rPr>
                <w:rFonts w:ascii="宋体"/>
                <w:vanish/>
              </w:rPr>
            </w:pPr>
          </w:p>
        </w:tc>
        <w:tc>
          <w:tcPr>
            <w:tcW w:w="0" w:type="auto"/>
            <w:shd w:val="clear" w:color="auto" w:fill="auto"/>
            <w:vAlign w:val="bottom"/>
          </w:tcPr>
          <w:p w14:paraId="71D3E227" w14:textId="77777777" w:rsidR="006A3667" w:rsidRDefault="006A3667">
            <w:pPr>
              <w:rPr>
                <w:rFonts w:ascii="宋体"/>
                <w:vanish/>
              </w:rPr>
            </w:pPr>
          </w:p>
        </w:tc>
        <w:tc>
          <w:tcPr>
            <w:tcW w:w="0" w:type="auto"/>
            <w:shd w:val="clear" w:color="auto" w:fill="auto"/>
            <w:vAlign w:val="bottom"/>
          </w:tcPr>
          <w:p w14:paraId="71D3E228" w14:textId="77777777" w:rsidR="006A3667" w:rsidRDefault="006A3667">
            <w:pPr>
              <w:rPr>
                <w:rFonts w:ascii="宋体"/>
                <w:vanish/>
              </w:rPr>
            </w:pPr>
          </w:p>
        </w:tc>
        <w:tc>
          <w:tcPr>
            <w:tcW w:w="0" w:type="auto"/>
            <w:gridSpan w:val="3"/>
            <w:shd w:val="clear" w:color="auto" w:fill="auto"/>
            <w:vAlign w:val="bottom"/>
          </w:tcPr>
          <w:p w14:paraId="71D3E229" w14:textId="77777777" w:rsidR="006A3667" w:rsidRDefault="006A3667">
            <w:pPr>
              <w:rPr>
                <w:rFonts w:ascii="宋体"/>
                <w:vanish/>
              </w:rPr>
            </w:pPr>
          </w:p>
        </w:tc>
        <w:tc>
          <w:tcPr>
            <w:tcW w:w="0" w:type="auto"/>
            <w:gridSpan w:val="3"/>
            <w:shd w:val="clear" w:color="auto" w:fill="auto"/>
            <w:vAlign w:val="bottom"/>
          </w:tcPr>
          <w:p w14:paraId="71D3E22A" w14:textId="77777777" w:rsidR="006A3667" w:rsidRDefault="006A3667">
            <w:pPr>
              <w:rPr>
                <w:rFonts w:ascii="宋体"/>
                <w:vanish/>
              </w:rPr>
            </w:pPr>
          </w:p>
        </w:tc>
        <w:tc>
          <w:tcPr>
            <w:tcW w:w="0" w:type="auto"/>
            <w:gridSpan w:val="3"/>
            <w:shd w:val="clear" w:color="auto" w:fill="auto"/>
            <w:vAlign w:val="bottom"/>
          </w:tcPr>
          <w:p w14:paraId="71D3E22B" w14:textId="77777777" w:rsidR="006A3667" w:rsidRDefault="006A3667">
            <w:pPr>
              <w:rPr>
                <w:rFonts w:ascii="宋体"/>
                <w:vanish/>
              </w:rPr>
            </w:pPr>
          </w:p>
        </w:tc>
        <w:tc>
          <w:tcPr>
            <w:tcW w:w="0" w:type="auto"/>
            <w:gridSpan w:val="3"/>
            <w:shd w:val="clear" w:color="auto" w:fill="auto"/>
            <w:vAlign w:val="bottom"/>
          </w:tcPr>
          <w:p w14:paraId="71D3E22C" w14:textId="77777777" w:rsidR="006A3667" w:rsidRDefault="006A3667">
            <w:pPr>
              <w:rPr>
                <w:rFonts w:ascii="宋体"/>
                <w:vanish/>
              </w:rPr>
            </w:pPr>
          </w:p>
        </w:tc>
        <w:tc>
          <w:tcPr>
            <w:tcW w:w="0" w:type="auto"/>
            <w:gridSpan w:val="3"/>
            <w:shd w:val="clear" w:color="auto" w:fill="auto"/>
            <w:vAlign w:val="bottom"/>
          </w:tcPr>
          <w:p w14:paraId="71D3E22D" w14:textId="77777777" w:rsidR="006A3667" w:rsidRDefault="006A3667">
            <w:pPr>
              <w:rPr>
                <w:rFonts w:ascii="宋体"/>
                <w:vanish/>
              </w:rPr>
            </w:pPr>
          </w:p>
        </w:tc>
        <w:tc>
          <w:tcPr>
            <w:tcW w:w="0" w:type="auto"/>
            <w:gridSpan w:val="3"/>
            <w:shd w:val="clear" w:color="auto" w:fill="auto"/>
            <w:vAlign w:val="bottom"/>
          </w:tcPr>
          <w:p w14:paraId="71D3E22E" w14:textId="77777777" w:rsidR="006A3667" w:rsidRDefault="006A3667">
            <w:pPr>
              <w:rPr>
                <w:rFonts w:ascii="宋体"/>
                <w:vanish/>
              </w:rPr>
            </w:pPr>
          </w:p>
        </w:tc>
        <w:tc>
          <w:tcPr>
            <w:tcW w:w="0" w:type="auto"/>
            <w:gridSpan w:val="3"/>
            <w:shd w:val="clear" w:color="auto" w:fill="auto"/>
            <w:vAlign w:val="bottom"/>
          </w:tcPr>
          <w:p w14:paraId="71D3E22F" w14:textId="77777777" w:rsidR="006A3667" w:rsidRDefault="006A3667">
            <w:pPr>
              <w:rPr>
                <w:rFonts w:ascii="宋体"/>
                <w:vanish/>
              </w:rPr>
            </w:pPr>
          </w:p>
        </w:tc>
        <w:tc>
          <w:tcPr>
            <w:tcW w:w="0" w:type="auto"/>
            <w:gridSpan w:val="3"/>
            <w:shd w:val="clear" w:color="auto" w:fill="auto"/>
            <w:vAlign w:val="bottom"/>
          </w:tcPr>
          <w:p w14:paraId="71D3E230" w14:textId="77777777" w:rsidR="006A3667" w:rsidRDefault="006A3667">
            <w:pPr>
              <w:rPr>
                <w:rFonts w:ascii="宋体"/>
                <w:vanish/>
              </w:rPr>
            </w:pPr>
          </w:p>
        </w:tc>
        <w:tc>
          <w:tcPr>
            <w:tcW w:w="0" w:type="auto"/>
            <w:gridSpan w:val="3"/>
            <w:shd w:val="clear" w:color="auto" w:fill="auto"/>
            <w:vAlign w:val="bottom"/>
          </w:tcPr>
          <w:p w14:paraId="71D3E231" w14:textId="77777777" w:rsidR="006A3667" w:rsidRDefault="006A3667">
            <w:pPr>
              <w:rPr>
                <w:rFonts w:ascii="宋体"/>
                <w:vanish/>
              </w:rPr>
            </w:pPr>
          </w:p>
        </w:tc>
        <w:tc>
          <w:tcPr>
            <w:tcW w:w="0" w:type="auto"/>
            <w:gridSpan w:val="3"/>
            <w:shd w:val="clear" w:color="auto" w:fill="auto"/>
            <w:vAlign w:val="bottom"/>
          </w:tcPr>
          <w:p w14:paraId="71D3E232" w14:textId="77777777" w:rsidR="006A3667" w:rsidRDefault="006A3667">
            <w:pPr>
              <w:rPr>
                <w:rFonts w:ascii="宋体"/>
                <w:vanish/>
              </w:rPr>
            </w:pPr>
          </w:p>
        </w:tc>
      </w:tr>
    </w:tbl>
    <w:p w14:paraId="71D3E234"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165"/>
        <w:gridCol w:w="36"/>
        <w:gridCol w:w="99"/>
        <w:gridCol w:w="1630"/>
        <w:gridCol w:w="37"/>
        <w:gridCol w:w="36"/>
        <w:gridCol w:w="38"/>
        <w:gridCol w:w="36"/>
        <w:gridCol w:w="99"/>
        <w:gridCol w:w="1631"/>
        <w:gridCol w:w="37"/>
        <w:gridCol w:w="36"/>
        <w:gridCol w:w="39"/>
        <w:gridCol w:w="36"/>
        <w:gridCol w:w="99"/>
        <w:gridCol w:w="1631"/>
        <w:gridCol w:w="37"/>
        <w:gridCol w:w="36"/>
        <w:gridCol w:w="36"/>
        <w:gridCol w:w="36"/>
        <w:gridCol w:w="36"/>
        <w:gridCol w:w="36"/>
        <w:gridCol w:w="36"/>
        <w:gridCol w:w="36"/>
        <w:gridCol w:w="36"/>
        <w:gridCol w:w="36"/>
        <w:gridCol w:w="36"/>
        <w:gridCol w:w="36"/>
        <w:gridCol w:w="36"/>
        <w:gridCol w:w="36"/>
        <w:gridCol w:w="36"/>
        <w:gridCol w:w="36"/>
        <w:gridCol w:w="36"/>
      </w:tblGrid>
      <w:tr w:rsidR="006A3667" w14:paraId="71D3E24F" w14:textId="77777777">
        <w:tc>
          <w:tcPr>
            <w:tcW w:w="50" w:type="pct"/>
            <w:shd w:val="clear" w:color="auto" w:fill="auto"/>
            <w:vAlign w:val="bottom"/>
          </w:tcPr>
          <w:p w14:paraId="71D3E235" w14:textId="77777777" w:rsidR="006A3667" w:rsidRDefault="006A3667">
            <w:pPr>
              <w:rPr>
                <w:rFonts w:ascii="宋体"/>
              </w:rPr>
            </w:pPr>
          </w:p>
        </w:tc>
        <w:tc>
          <w:tcPr>
            <w:tcW w:w="1422" w:type="pct"/>
            <w:shd w:val="clear" w:color="auto" w:fill="auto"/>
            <w:vAlign w:val="bottom"/>
          </w:tcPr>
          <w:p w14:paraId="71D3E236" w14:textId="77777777" w:rsidR="006A3667" w:rsidRDefault="006A3667">
            <w:pPr>
              <w:rPr>
                <w:rFonts w:ascii="宋体"/>
              </w:rPr>
            </w:pPr>
          </w:p>
        </w:tc>
        <w:tc>
          <w:tcPr>
            <w:tcW w:w="5" w:type="pct"/>
            <w:shd w:val="clear" w:color="auto" w:fill="auto"/>
            <w:vAlign w:val="bottom"/>
          </w:tcPr>
          <w:p w14:paraId="71D3E237" w14:textId="77777777" w:rsidR="006A3667" w:rsidRDefault="006A3667">
            <w:pPr>
              <w:rPr>
                <w:rFonts w:ascii="宋体"/>
              </w:rPr>
            </w:pPr>
          </w:p>
        </w:tc>
        <w:tc>
          <w:tcPr>
            <w:tcW w:w="50" w:type="pct"/>
            <w:shd w:val="clear" w:color="auto" w:fill="auto"/>
            <w:vAlign w:val="bottom"/>
          </w:tcPr>
          <w:p w14:paraId="71D3E238" w14:textId="77777777" w:rsidR="006A3667" w:rsidRDefault="006A3667">
            <w:pPr>
              <w:rPr>
                <w:rFonts w:ascii="宋体"/>
              </w:rPr>
            </w:pPr>
          </w:p>
        </w:tc>
        <w:tc>
          <w:tcPr>
            <w:tcW w:w="1077" w:type="pct"/>
            <w:shd w:val="clear" w:color="auto" w:fill="auto"/>
            <w:vAlign w:val="bottom"/>
          </w:tcPr>
          <w:p w14:paraId="71D3E239" w14:textId="77777777" w:rsidR="006A3667" w:rsidRDefault="006A3667">
            <w:pPr>
              <w:rPr>
                <w:rFonts w:ascii="宋体"/>
              </w:rPr>
            </w:pPr>
          </w:p>
        </w:tc>
        <w:tc>
          <w:tcPr>
            <w:tcW w:w="5" w:type="pct"/>
            <w:shd w:val="clear" w:color="auto" w:fill="auto"/>
            <w:vAlign w:val="bottom"/>
          </w:tcPr>
          <w:p w14:paraId="71D3E23A" w14:textId="77777777" w:rsidR="006A3667" w:rsidRDefault="006A3667">
            <w:pPr>
              <w:rPr>
                <w:rFonts w:ascii="宋体"/>
              </w:rPr>
            </w:pPr>
          </w:p>
        </w:tc>
        <w:tc>
          <w:tcPr>
            <w:tcW w:w="5" w:type="pct"/>
            <w:shd w:val="clear" w:color="auto" w:fill="auto"/>
            <w:vAlign w:val="bottom"/>
          </w:tcPr>
          <w:p w14:paraId="71D3E23B" w14:textId="77777777" w:rsidR="006A3667" w:rsidRDefault="006A3667">
            <w:pPr>
              <w:rPr>
                <w:rFonts w:ascii="宋体"/>
              </w:rPr>
            </w:pPr>
          </w:p>
        </w:tc>
        <w:tc>
          <w:tcPr>
            <w:tcW w:w="52" w:type="pct"/>
            <w:shd w:val="clear" w:color="auto" w:fill="auto"/>
            <w:vAlign w:val="bottom"/>
          </w:tcPr>
          <w:p w14:paraId="71D3E23C" w14:textId="77777777" w:rsidR="006A3667" w:rsidRDefault="006A3667">
            <w:pPr>
              <w:rPr>
                <w:rFonts w:ascii="宋体"/>
              </w:rPr>
            </w:pPr>
          </w:p>
        </w:tc>
        <w:tc>
          <w:tcPr>
            <w:tcW w:w="5" w:type="pct"/>
            <w:shd w:val="clear" w:color="auto" w:fill="auto"/>
            <w:vAlign w:val="bottom"/>
          </w:tcPr>
          <w:p w14:paraId="71D3E23D" w14:textId="77777777" w:rsidR="006A3667" w:rsidRDefault="006A3667">
            <w:pPr>
              <w:rPr>
                <w:rFonts w:ascii="宋体"/>
              </w:rPr>
            </w:pPr>
          </w:p>
        </w:tc>
        <w:tc>
          <w:tcPr>
            <w:tcW w:w="50" w:type="pct"/>
            <w:shd w:val="clear" w:color="auto" w:fill="auto"/>
            <w:vAlign w:val="bottom"/>
          </w:tcPr>
          <w:p w14:paraId="71D3E23E" w14:textId="77777777" w:rsidR="006A3667" w:rsidRDefault="006A3667">
            <w:pPr>
              <w:rPr>
                <w:rFonts w:ascii="宋体"/>
              </w:rPr>
            </w:pPr>
          </w:p>
        </w:tc>
        <w:tc>
          <w:tcPr>
            <w:tcW w:w="1077" w:type="pct"/>
            <w:shd w:val="clear" w:color="auto" w:fill="auto"/>
            <w:vAlign w:val="bottom"/>
          </w:tcPr>
          <w:p w14:paraId="71D3E23F" w14:textId="77777777" w:rsidR="006A3667" w:rsidRDefault="006A3667">
            <w:pPr>
              <w:rPr>
                <w:rFonts w:ascii="宋体"/>
              </w:rPr>
            </w:pPr>
          </w:p>
        </w:tc>
        <w:tc>
          <w:tcPr>
            <w:tcW w:w="5" w:type="pct"/>
            <w:shd w:val="clear" w:color="auto" w:fill="auto"/>
            <w:vAlign w:val="bottom"/>
          </w:tcPr>
          <w:p w14:paraId="71D3E240" w14:textId="77777777" w:rsidR="006A3667" w:rsidRDefault="006A3667">
            <w:pPr>
              <w:rPr>
                <w:rFonts w:ascii="宋体"/>
              </w:rPr>
            </w:pPr>
          </w:p>
        </w:tc>
        <w:tc>
          <w:tcPr>
            <w:tcW w:w="5" w:type="pct"/>
            <w:shd w:val="clear" w:color="auto" w:fill="auto"/>
            <w:vAlign w:val="bottom"/>
          </w:tcPr>
          <w:p w14:paraId="71D3E241" w14:textId="77777777" w:rsidR="006A3667" w:rsidRDefault="006A3667">
            <w:pPr>
              <w:rPr>
                <w:rFonts w:ascii="宋体"/>
              </w:rPr>
            </w:pPr>
          </w:p>
        </w:tc>
        <w:tc>
          <w:tcPr>
            <w:tcW w:w="52" w:type="pct"/>
            <w:shd w:val="clear" w:color="auto" w:fill="auto"/>
            <w:vAlign w:val="bottom"/>
          </w:tcPr>
          <w:p w14:paraId="71D3E242" w14:textId="77777777" w:rsidR="006A3667" w:rsidRDefault="006A3667">
            <w:pPr>
              <w:rPr>
                <w:rFonts w:ascii="宋体"/>
              </w:rPr>
            </w:pPr>
          </w:p>
        </w:tc>
        <w:tc>
          <w:tcPr>
            <w:tcW w:w="5" w:type="pct"/>
            <w:shd w:val="clear" w:color="auto" w:fill="auto"/>
            <w:vAlign w:val="bottom"/>
          </w:tcPr>
          <w:p w14:paraId="71D3E243" w14:textId="77777777" w:rsidR="006A3667" w:rsidRDefault="006A3667">
            <w:pPr>
              <w:rPr>
                <w:rFonts w:ascii="宋体"/>
              </w:rPr>
            </w:pPr>
          </w:p>
        </w:tc>
        <w:tc>
          <w:tcPr>
            <w:tcW w:w="50" w:type="pct"/>
            <w:shd w:val="clear" w:color="auto" w:fill="auto"/>
            <w:vAlign w:val="bottom"/>
          </w:tcPr>
          <w:p w14:paraId="71D3E244" w14:textId="77777777" w:rsidR="006A3667" w:rsidRDefault="006A3667">
            <w:pPr>
              <w:rPr>
                <w:rFonts w:ascii="宋体"/>
              </w:rPr>
            </w:pPr>
          </w:p>
        </w:tc>
        <w:tc>
          <w:tcPr>
            <w:tcW w:w="1077" w:type="pct"/>
            <w:shd w:val="clear" w:color="auto" w:fill="auto"/>
            <w:vAlign w:val="bottom"/>
          </w:tcPr>
          <w:p w14:paraId="71D3E245" w14:textId="77777777" w:rsidR="006A3667" w:rsidRDefault="006A3667">
            <w:pPr>
              <w:rPr>
                <w:rFonts w:ascii="宋体"/>
              </w:rPr>
            </w:pPr>
          </w:p>
        </w:tc>
        <w:tc>
          <w:tcPr>
            <w:tcW w:w="5" w:type="pct"/>
            <w:shd w:val="clear" w:color="auto" w:fill="auto"/>
            <w:vAlign w:val="bottom"/>
          </w:tcPr>
          <w:p w14:paraId="71D3E246" w14:textId="77777777" w:rsidR="006A3667" w:rsidRDefault="006A3667">
            <w:pPr>
              <w:rPr>
                <w:rFonts w:ascii="宋体"/>
              </w:rPr>
            </w:pPr>
          </w:p>
        </w:tc>
        <w:tc>
          <w:tcPr>
            <w:tcW w:w="0" w:type="auto"/>
            <w:shd w:val="clear" w:color="auto" w:fill="auto"/>
            <w:vAlign w:val="bottom"/>
          </w:tcPr>
          <w:p w14:paraId="71D3E247" w14:textId="77777777" w:rsidR="006A3667" w:rsidRDefault="006A3667">
            <w:pPr>
              <w:rPr>
                <w:rFonts w:ascii="宋体"/>
                <w:vanish/>
              </w:rPr>
            </w:pPr>
          </w:p>
        </w:tc>
        <w:tc>
          <w:tcPr>
            <w:tcW w:w="0" w:type="auto"/>
            <w:shd w:val="clear" w:color="auto" w:fill="auto"/>
            <w:vAlign w:val="bottom"/>
          </w:tcPr>
          <w:p w14:paraId="71D3E248" w14:textId="77777777" w:rsidR="006A3667" w:rsidRDefault="006A3667">
            <w:pPr>
              <w:rPr>
                <w:rFonts w:ascii="宋体"/>
                <w:vanish/>
              </w:rPr>
            </w:pPr>
          </w:p>
        </w:tc>
        <w:tc>
          <w:tcPr>
            <w:tcW w:w="0" w:type="auto"/>
            <w:shd w:val="clear" w:color="auto" w:fill="auto"/>
            <w:vAlign w:val="bottom"/>
          </w:tcPr>
          <w:p w14:paraId="71D3E249" w14:textId="77777777" w:rsidR="006A3667" w:rsidRDefault="006A3667">
            <w:pPr>
              <w:rPr>
                <w:rFonts w:ascii="宋体"/>
                <w:vanish/>
              </w:rPr>
            </w:pPr>
          </w:p>
        </w:tc>
        <w:tc>
          <w:tcPr>
            <w:tcW w:w="0" w:type="auto"/>
            <w:shd w:val="clear" w:color="auto" w:fill="auto"/>
            <w:vAlign w:val="bottom"/>
          </w:tcPr>
          <w:p w14:paraId="71D3E24A" w14:textId="77777777" w:rsidR="006A3667" w:rsidRDefault="006A3667">
            <w:pPr>
              <w:rPr>
                <w:rFonts w:ascii="宋体"/>
                <w:vanish/>
              </w:rPr>
            </w:pPr>
          </w:p>
        </w:tc>
        <w:tc>
          <w:tcPr>
            <w:tcW w:w="0" w:type="auto"/>
            <w:gridSpan w:val="3"/>
            <w:shd w:val="clear" w:color="auto" w:fill="auto"/>
            <w:vAlign w:val="bottom"/>
          </w:tcPr>
          <w:p w14:paraId="71D3E24B" w14:textId="77777777" w:rsidR="006A3667" w:rsidRDefault="006A3667">
            <w:pPr>
              <w:rPr>
                <w:rFonts w:ascii="宋体"/>
                <w:vanish/>
              </w:rPr>
            </w:pPr>
          </w:p>
        </w:tc>
        <w:tc>
          <w:tcPr>
            <w:tcW w:w="0" w:type="auto"/>
            <w:gridSpan w:val="3"/>
            <w:shd w:val="clear" w:color="auto" w:fill="auto"/>
            <w:vAlign w:val="bottom"/>
          </w:tcPr>
          <w:p w14:paraId="71D3E24C" w14:textId="77777777" w:rsidR="006A3667" w:rsidRDefault="006A3667">
            <w:pPr>
              <w:rPr>
                <w:rFonts w:ascii="宋体"/>
                <w:vanish/>
              </w:rPr>
            </w:pPr>
          </w:p>
        </w:tc>
        <w:tc>
          <w:tcPr>
            <w:tcW w:w="0" w:type="auto"/>
            <w:gridSpan w:val="3"/>
            <w:shd w:val="clear" w:color="auto" w:fill="auto"/>
            <w:vAlign w:val="bottom"/>
          </w:tcPr>
          <w:p w14:paraId="71D3E24D" w14:textId="77777777" w:rsidR="006A3667" w:rsidRDefault="006A3667">
            <w:pPr>
              <w:rPr>
                <w:rFonts w:ascii="宋体"/>
                <w:vanish/>
              </w:rPr>
            </w:pPr>
          </w:p>
        </w:tc>
        <w:tc>
          <w:tcPr>
            <w:tcW w:w="0" w:type="auto"/>
            <w:gridSpan w:val="3"/>
            <w:shd w:val="clear" w:color="auto" w:fill="auto"/>
            <w:vAlign w:val="bottom"/>
          </w:tcPr>
          <w:p w14:paraId="71D3E24E" w14:textId="77777777" w:rsidR="006A3667" w:rsidRDefault="006A3667">
            <w:pPr>
              <w:rPr>
                <w:rFonts w:ascii="宋体"/>
                <w:vanish/>
              </w:rPr>
            </w:pPr>
          </w:p>
        </w:tc>
      </w:tr>
      <w:tr w:rsidR="006A3667" w14:paraId="71D3E261" w14:textId="77777777">
        <w:tc>
          <w:tcPr>
            <w:tcW w:w="0" w:type="auto"/>
            <w:gridSpan w:val="18"/>
            <w:shd w:val="clear" w:color="auto" w:fill="auto"/>
            <w:tcMar>
              <w:top w:w="40" w:type="dxa"/>
              <w:left w:w="20" w:type="dxa"/>
              <w:bottom w:w="40" w:type="dxa"/>
              <w:right w:w="20" w:type="dxa"/>
            </w:tcMar>
            <w:vAlign w:val="bottom"/>
          </w:tcPr>
          <w:p w14:paraId="71D3E250" w14:textId="77777777" w:rsidR="006A3667" w:rsidRDefault="00045F32">
            <w:pPr>
              <w:jc w:val="both"/>
              <w:textAlignment w:val="bottom"/>
            </w:pPr>
            <w:r>
              <w:rPr>
                <w:rFonts w:ascii="Arial" w:eastAsia="宋体" w:hAnsi="Arial" w:cs="Arial"/>
                <w:b/>
                <w:bCs/>
                <w:color w:val="000000"/>
                <w:sz w:val="16"/>
                <w:szCs w:val="16"/>
              </w:rPr>
              <w:t>TABLE 8: ASSETS UNDER CUSTODY AND/OR ADMINISTRATION BY GEOGRAPHY</w:t>
            </w:r>
            <w:r>
              <w:rPr>
                <w:rFonts w:ascii="Arial" w:eastAsia="宋体" w:hAnsi="Arial" w:cs="Arial"/>
                <w:b/>
                <w:bCs/>
                <w:color w:val="000000"/>
                <w:sz w:val="10"/>
                <w:szCs w:val="10"/>
              </w:rPr>
              <w:t>(1)(2)</w:t>
            </w:r>
          </w:p>
        </w:tc>
        <w:tc>
          <w:tcPr>
            <w:tcW w:w="0" w:type="auto"/>
            <w:shd w:val="clear" w:color="auto" w:fill="auto"/>
            <w:vAlign w:val="bottom"/>
          </w:tcPr>
          <w:p w14:paraId="71D3E251" w14:textId="77777777" w:rsidR="006A3667" w:rsidRDefault="006A3667">
            <w:pPr>
              <w:rPr>
                <w:rFonts w:ascii="宋体"/>
                <w:vanish/>
              </w:rPr>
            </w:pPr>
          </w:p>
        </w:tc>
        <w:tc>
          <w:tcPr>
            <w:tcW w:w="0" w:type="auto"/>
            <w:shd w:val="clear" w:color="auto" w:fill="auto"/>
            <w:vAlign w:val="bottom"/>
          </w:tcPr>
          <w:p w14:paraId="71D3E252" w14:textId="77777777" w:rsidR="006A3667" w:rsidRDefault="006A3667">
            <w:pPr>
              <w:rPr>
                <w:rFonts w:ascii="宋体"/>
                <w:vanish/>
              </w:rPr>
            </w:pPr>
          </w:p>
        </w:tc>
        <w:tc>
          <w:tcPr>
            <w:tcW w:w="0" w:type="auto"/>
            <w:shd w:val="clear" w:color="auto" w:fill="auto"/>
            <w:vAlign w:val="bottom"/>
          </w:tcPr>
          <w:p w14:paraId="71D3E253" w14:textId="77777777" w:rsidR="006A3667" w:rsidRDefault="006A3667">
            <w:pPr>
              <w:rPr>
                <w:rFonts w:ascii="宋体"/>
                <w:vanish/>
              </w:rPr>
            </w:pPr>
          </w:p>
        </w:tc>
        <w:tc>
          <w:tcPr>
            <w:tcW w:w="0" w:type="auto"/>
            <w:shd w:val="clear" w:color="auto" w:fill="auto"/>
            <w:vAlign w:val="bottom"/>
          </w:tcPr>
          <w:p w14:paraId="71D3E254" w14:textId="77777777" w:rsidR="006A3667" w:rsidRDefault="006A3667">
            <w:pPr>
              <w:rPr>
                <w:rFonts w:ascii="宋体"/>
                <w:vanish/>
              </w:rPr>
            </w:pPr>
          </w:p>
        </w:tc>
        <w:tc>
          <w:tcPr>
            <w:tcW w:w="0" w:type="auto"/>
            <w:shd w:val="clear" w:color="auto" w:fill="auto"/>
            <w:vAlign w:val="bottom"/>
          </w:tcPr>
          <w:p w14:paraId="71D3E255" w14:textId="77777777" w:rsidR="006A3667" w:rsidRDefault="006A3667">
            <w:pPr>
              <w:rPr>
                <w:rFonts w:ascii="宋体"/>
              </w:rPr>
            </w:pPr>
          </w:p>
        </w:tc>
        <w:tc>
          <w:tcPr>
            <w:tcW w:w="0" w:type="auto"/>
            <w:shd w:val="clear" w:color="auto" w:fill="auto"/>
            <w:vAlign w:val="bottom"/>
          </w:tcPr>
          <w:p w14:paraId="71D3E256" w14:textId="77777777" w:rsidR="006A3667" w:rsidRDefault="006A3667">
            <w:pPr>
              <w:rPr>
                <w:rFonts w:ascii="宋体"/>
              </w:rPr>
            </w:pPr>
          </w:p>
        </w:tc>
        <w:tc>
          <w:tcPr>
            <w:tcW w:w="0" w:type="auto"/>
            <w:shd w:val="clear" w:color="auto" w:fill="auto"/>
            <w:vAlign w:val="bottom"/>
          </w:tcPr>
          <w:p w14:paraId="71D3E257" w14:textId="77777777" w:rsidR="006A3667" w:rsidRDefault="006A3667">
            <w:pPr>
              <w:rPr>
                <w:rFonts w:ascii="宋体"/>
              </w:rPr>
            </w:pPr>
          </w:p>
        </w:tc>
        <w:tc>
          <w:tcPr>
            <w:tcW w:w="0" w:type="auto"/>
            <w:shd w:val="clear" w:color="auto" w:fill="auto"/>
            <w:vAlign w:val="bottom"/>
          </w:tcPr>
          <w:p w14:paraId="71D3E258" w14:textId="77777777" w:rsidR="006A3667" w:rsidRDefault="006A3667">
            <w:pPr>
              <w:rPr>
                <w:rFonts w:ascii="宋体"/>
              </w:rPr>
            </w:pPr>
          </w:p>
        </w:tc>
        <w:tc>
          <w:tcPr>
            <w:tcW w:w="0" w:type="auto"/>
            <w:shd w:val="clear" w:color="auto" w:fill="auto"/>
            <w:vAlign w:val="bottom"/>
          </w:tcPr>
          <w:p w14:paraId="71D3E259" w14:textId="77777777" w:rsidR="006A3667" w:rsidRDefault="006A3667">
            <w:pPr>
              <w:rPr>
                <w:rFonts w:ascii="宋体"/>
              </w:rPr>
            </w:pPr>
          </w:p>
        </w:tc>
        <w:tc>
          <w:tcPr>
            <w:tcW w:w="0" w:type="auto"/>
            <w:shd w:val="clear" w:color="auto" w:fill="auto"/>
            <w:vAlign w:val="bottom"/>
          </w:tcPr>
          <w:p w14:paraId="71D3E25A" w14:textId="77777777" w:rsidR="006A3667" w:rsidRDefault="006A3667">
            <w:pPr>
              <w:rPr>
                <w:rFonts w:ascii="宋体"/>
              </w:rPr>
            </w:pPr>
          </w:p>
        </w:tc>
        <w:tc>
          <w:tcPr>
            <w:tcW w:w="0" w:type="auto"/>
            <w:shd w:val="clear" w:color="auto" w:fill="auto"/>
            <w:vAlign w:val="bottom"/>
          </w:tcPr>
          <w:p w14:paraId="71D3E25B" w14:textId="77777777" w:rsidR="006A3667" w:rsidRDefault="006A3667">
            <w:pPr>
              <w:rPr>
                <w:rFonts w:ascii="宋体"/>
              </w:rPr>
            </w:pPr>
          </w:p>
        </w:tc>
        <w:tc>
          <w:tcPr>
            <w:tcW w:w="0" w:type="auto"/>
            <w:shd w:val="clear" w:color="auto" w:fill="auto"/>
            <w:vAlign w:val="bottom"/>
          </w:tcPr>
          <w:p w14:paraId="71D3E25C" w14:textId="77777777" w:rsidR="006A3667" w:rsidRDefault="006A3667">
            <w:pPr>
              <w:rPr>
                <w:rFonts w:ascii="宋体"/>
              </w:rPr>
            </w:pPr>
          </w:p>
        </w:tc>
        <w:tc>
          <w:tcPr>
            <w:tcW w:w="0" w:type="auto"/>
            <w:shd w:val="clear" w:color="auto" w:fill="auto"/>
            <w:vAlign w:val="bottom"/>
          </w:tcPr>
          <w:p w14:paraId="71D3E25D" w14:textId="77777777" w:rsidR="006A3667" w:rsidRDefault="006A3667">
            <w:pPr>
              <w:rPr>
                <w:rFonts w:ascii="宋体"/>
              </w:rPr>
            </w:pPr>
          </w:p>
        </w:tc>
        <w:tc>
          <w:tcPr>
            <w:tcW w:w="0" w:type="auto"/>
            <w:shd w:val="clear" w:color="auto" w:fill="auto"/>
            <w:vAlign w:val="bottom"/>
          </w:tcPr>
          <w:p w14:paraId="71D3E25E" w14:textId="77777777" w:rsidR="006A3667" w:rsidRDefault="006A3667">
            <w:pPr>
              <w:rPr>
                <w:rFonts w:ascii="宋体"/>
              </w:rPr>
            </w:pPr>
          </w:p>
        </w:tc>
        <w:tc>
          <w:tcPr>
            <w:tcW w:w="0" w:type="auto"/>
            <w:shd w:val="clear" w:color="auto" w:fill="auto"/>
            <w:vAlign w:val="bottom"/>
          </w:tcPr>
          <w:p w14:paraId="71D3E25F" w14:textId="77777777" w:rsidR="006A3667" w:rsidRDefault="006A3667">
            <w:pPr>
              <w:rPr>
                <w:rFonts w:ascii="宋体"/>
              </w:rPr>
            </w:pPr>
          </w:p>
        </w:tc>
        <w:tc>
          <w:tcPr>
            <w:tcW w:w="0" w:type="auto"/>
            <w:shd w:val="clear" w:color="auto" w:fill="auto"/>
            <w:vAlign w:val="bottom"/>
          </w:tcPr>
          <w:p w14:paraId="71D3E260" w14:textId="77777777" w:rsidR="006A3667" w:rsidRDefault="006A3667">
            <w:pPr>
              <w:rPr>
                <w:rFonts w:ascii="宋体"/>
              </w:rPr>
            </w:pPr>
          </w:p>
        </w:tc>
      </w:tr>
      <w:tr w:rsidR="006A3667" w14:paraId="71D3E270" w14:textId="77777777">
        <w:tc>
          <w:tcPr>
            <w:tcW w:w="0" w:type="auto"/>
            <w:gridSpan w:val="3"/>
            <w:shd w:val="clear" w:color="auto" w:fill="auto"/>
            <w:tcMar>
              <w:top w:w="40" w:type="dxa"/>
              <w:left w:w="20" w:type="dxa"/>
              <w:bottom w:w="40" w:type="dxa"/>
              <w:right w:w="20" w:type="dxa"/>
            </w:tcMar>
            <w:vAlign w:val="bottom"/>
          </w:tcPr>
          <w:p w14:paraId="71D3E262" w14:textId="77777777" w:rsidR="006A3667" w:rsidRDefault="00045F32">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71D3E263"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3E26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265" w14:textId="77777777" w:rsidR="006A3667" w:rsidRDefault="00045F32">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71D3E26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267" w14:textId="77777777" w:rsidR="006A3667" w:rsidRDefault="00045F32">
            <w:pPr>
              <w:jc w:val="center"/>
              <w:textAlignment w:val="bottom"/>
            </w:pPr>
            <w:r>
              <w:rPr>
                <w:rFonts w:ascii="Arial" w:eastAsia="宋体" w:hAnsi="Arial" w:cs="Arial"/>
                <w:b/>
                <w:bCs/>
                <w:color w:val="000000"/>
                <w:sz w:val="14"/>
                <w:szCs w:val="14"/>
              </w:rPr>
              <w:t>September 30, 2021</w:t>
            </w:r>
          </w:p>
        </w:tc>
        <w:tc>
          <w:tcPr>
            <w:tcW w:w="0" w:type="auto"/>
            <w:shd w:val="clear" w:color="auto" w:fill="auto"/>
            <w:vAlign w:val="bottom"/>
          </w:tcPr>
          <w:p w14:paraId="71D3E268" w14:textId="77777777" w:rsidR="006A3667" w:rsidRDefault="006A3667">
            <w:pPr>
              <w:rPr>
                <w:rFonts w:ascii="宋体"/>
                <w:vanish/>
              </w:rPr>
            </w:pPr>
          </w:p>
        </w:tc>
        <w:tc>
          <w:tcPr>
            <w:tcW w:w="0" w:type="auto"/>
            <w:shd w:val="clear" w:color="auto" w:fill="auto"/>
            <w:vAlign w:val="bottom"/>
          </w:tcPr>
          <w:p w14:paraId="71D3E269" w14:textId="77777777" w:rsidR="006A3667" w:rsidRDefault="006A3667">
            <w:pPr>
              <w:rPr>
                <w:rFonts w:ascii="宋体"/>
                <w:vanish/>
              </w:rPr>
            </w:pPr>
          </w:p>
        </w:tc>
        <w:tc>
          <w:tcPr>
            <w:tcW w:w="0" w:type="auto"/>
            <w:shd w:val="clear" w:color="auto" w:fill="auto"/>
            <w:vAlign w:val="bottom"/>
          </w:tcPr>
          <w:p w14:paraId="71D3E26A" w14:textId="77777777" w:rsidR="006A3667" w:rsidRDefault="006A3667">
            <w:pPr>
              <w:rPr>
                <w:rFonts w:ascii="宋体"/>
                <w:vanish/>
              </w:rPr>
            </w:pPr>
          </w:p>
        </w:tc>
        <w:tc>
          <w:tcPr>
            <w:tcW w:w="0" w:type="auto"/>
            <w:shd w:val="clear" w:color="auto" w:fill="auto"/>
            <w:vAlign w:val="bottom"/>
          </w:tcPr>
          <w:p w14:paraId="71D3E26B" w14:textId="77777777" w:rsidR="006A3667" w:rsidRDefault="006A3667">
            <w:pPr>
              <w:rPr>
                <w:rFonts w:ascii="宋体"/>
                <w:vanish/>
              </w:rPr>
            </w:pPr>
          </w:p>
        </w:tc>
        <w:tc>
          <w:tcPr>
            <w:tcW w:w="0" w:type="auto"/>
            <w:gridSpan w:val="3"/>
            <w:shd w:val="clear" w:color="auto" w:fill="auto"/>
            <w:vAlign w:val="bottom"/>
          </w:tcPr>
          <w:p w14:paraId="71D3E26C" w14:textId="77777777" w:rsidR="006A3667" w:rsidRDefault="006A3667">
            <w:pPr>
              <w:rPr>
                <w:rFonts w:ascii="宋体"/>
                <w:vanish/>
              </w:rPr>
            </w:pPr>
          </w:p>
        </w:tc>
        <w:tc>
          <w:tcPr>
            <w:tcW w:w="0" w:type="auto"/>
            <w:gridSpan w:val="3"/>
            <w:shd w:val="clear" w:color="auto" w:fill="auto"/>
            <w:vAlign w:val="bottom"/>
          </w:tcPr>
          <w:p w14:paraId="71D3E26D" w14:textId="77777777" w:rsidR="006A3667" w:rsidRDefault="006A3667">
            <w:pPr>
              <w:rPr>
                <w:rFonts w:ascii="宋体"/>
                <w:vanish/>
              </w:rPr>
            </w:pPr>
          </w:p>
        </w:tc>
        <w:tc>
          <w:tcPr>
            <w:tcW w:w="0" w:type="auto"/>
            <w:gridSpan w:val="3"/>
            <w:shd w:val="clear" w:color="auto" w:fill="auto"/>
            <w:vAlign w:val="bottom"/>
          </w:tcPr>
          <w:p w14:paraId="71D3E26E" w14:textId="77777777" w:rsidR="006A3667" w:rsidRDefault="006A3667">
            <w:pPr>
              <w:rPr>
                <w:rFonts w:ascii="宋体"/>
                <w:vanish/>
              </w:rPr>
            </w:pPr>
          </w:p>
        </w:tc>
        <w:tc>
          <w:tcPr>
            <w:tcW w:w="0" w:type="auto"/>
            <w:gridSpan w:val="3"/>
            <w:shd w:val="clear" w:color="auto" w:fill="auto"/>
            <w:vAlign w:val="bottom"/>
          </w:tcPr>
          <w:p w14:paraId="71D3E26F" w14:textId="77777777" w:rsidR="006A3667" w:rsidRDefault="006A3667">
            <w:pPr>
              <w:rPr>
                <w:rFonts w:ascii="宋体"/>
                <w:vanish/>
              </w:rPr>
            </w:pPr>
          </w:p>
        </w:tc>
      </w:tr>
      <w:tr w:rsidR="006A3667" w14:paraId="71D3E285" w14:textId="77777777">
        <w:tc>
          <w:tcPr>
            <w:tcW w:w="0" w:type="auto"/>
            <w:gridSpan w:val="3"/>
            <w:shd w:val="clear" w:color="auto" w:fill="CCEEFF"/>
            <w:tcMar>
              <w:top w:w="40" w:type="dxa"/>
              <w:left w:w="20" w:type="dxa"/>
              <w:bottom w:w="40" w:type="dxa"/>
              <w:right w:w="20" w:type="dxa"/>
            </w:tcMar>
            <w:vAlign w:val="bottom"/>
          </w:tcPr>
          <w:p w14:paraId="71D3E271" w14:textId="77777777" w:rsidR="006A3667" w:rsidRDefault="00045F32">
            <w:pPr>
              <w:textAlignment w:val="bottom"/>
            </w:pPr>
            <w:r>
              <w:rPr>
                <w:rFonts w:ascii="Arial" w:eastAsia="宋体" w:hAnsi="Arial" w:cs="Arial"/>
                <w:color w:val="000000"/>
                <w:sz w:val="14"/>
                <w:szCs w:val="14"/>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272"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273" w14:textId="77777777" w:rsidR="006A3667" w:rsidRDefault="00045F32">
            <w:pPr>
              <w:jc w:val="right"/>
              <w:textAlignment w:val="bottom"/>
            </w:pPr>
            <w:r>
              <w:rPr>
                <w:rFonts w:ascii="Arial" w:eastAsia="宋体" w:hAnsi="Arial" w:cs="Arial"/>
                <w:b/>
                <w:bCs/>
                <w:color w:val="000000"/>
                <w:sz w:val="14"/>
                <w:szCs w:val="14"/>
              </w:rPr>
              <w:t>26,051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2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27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27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277" w14:textId="77777777" w:rsidR="006A3667" w:rsidRDefault="00045F32">
            <w:pPr>
              <w:jc w:val="right"/>
              <w:textAlignment w:val="bottom"/>
            </w:pPr>
            <w:r>
              <w:rPr>
                <w:rFonts w:ascii="Arial" w:eastAsia="宋体" w:hAnsi="Arial" w:cs="Arial"/>
                <w:color w:val="000000"/>
                <w:sz w:val="14"/>
                <w:szCs w:val="14"/>
              </w:rPr>
              <w:t>32,427 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27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27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27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27B" w14:textId="77777777" w:rsidR="006A3667" w:rsidRDefault="00045F32">
            <w:pPr>
              <w:jc w:val="right"/>
              <w:textAlignment w:val="bottom"/>
            </w:pPr>
            <w:r>
              <w:rPr>
                <w:rFonts w:ascii="Arial" w:eastAsia="宋体" w:hAnsi="Arial" w:cs="Arial"/>
                <w:color w:val="000000"/>
                <w:sz w:val="14"/>
                <w:szCs w:val="14"/>
              </w:rPr>
              <w:t>31,934 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27C" w14:textId="77777777" w:rsidR="006A3667" w:rsidRDefault="006A3667">
            <w:pPr>
              <w:jc w:val="right"/>
              <w:rPr>
                <w:rFonts w:ascii="宋体"/>
              </w:rPr>
            </w:pPr>
          </w:p>
        </w:tc>
        <w:tc>
          <w:tcPr>
            <w:tcW w:w="0" w:type="auto"/>
            <w:shd w:val="clear" w:color="auto" w:fill="auto"/>
            <w:vAlign w:val="bottom"/>
          </w:tcPr>
          <w:p w14:paraId="71D3E27D" w14:textId="77777777" w:rsidR="006A3667" w:rsidRDefault="006A3667">
            <w:pPr>
              <w:rPr>
                <w:rFonts w:ascii="宋体"/>
                <w:vanish/>
              </w:rPr>
            </w:pPr>
          </w:p>
        </w:tc>
        <w:tc>
          <w:tcPr>
            <w:tcW w:w="0" w:type="auto"/>
            <w:shd w:val="clear" w:color="auto" w:fill="auto"/>
            <w:vAlign w:val="bottom"/>
          </w:tcPr>
          <w:p w14:paraId="71D3E27E" w14:textId="77777777" w:rsidR="006A3667" w:rsidRDefault="006A3667">
            <w:pPr>
              <w:rPr>
                <w:rFonts w:ascii="宋体"/>
                <w:vanish/>
              </w:rPr>
            </w:pPr>
          </w:p>
        </w:tc>
        <w:tc>
          <w:tcPr>
            <w:tcW w:w="0" w:type="auto"/>
            <w:shd w:val="clear" w:color="auto" w:fill="auto"/>
            <w:vAlign w:val="bottom"/>
          </w:tcPr>
          <w:p w14:paraId="71D3E27F" w14:textId="77777777" w:rsidR="006A3667" w:rsidRDefault="006A3667">
            <w:pPr>
              <w:rPr>
                <w:rFonts w:ascii="宋体"/>
                <w:vanish/>
              </w:rPr>
            </w:pPr>
          </w:p>
        </w:tc>
        <w:tc>
          <w:tcPr>
            <w:tcW w:w="0" w:type="auto"/>
            <w:shd w:val="clear" w:color="auto" w:fill="auto"/>
            <w:vAlign w:val="bottom"/>
          </w:tcPr>
          <w:p w14:paraId="71D3E280" w14:textId="77777777" w:rsidR="006A3667" w:rsidRDefault="006A3667">
            <w:pPr>
              <w:rPr>
                <w:rFonts w:ascii="宋体"/>
                <w:vanish/>
              </w:rPr>
            </w:pPr>
          </w:p>
        </w:tc>
        <w:tc>
          <w:tcPr>
            <w:tcW w:w="0" w:type="auto"/>
            <w:gridSpan w:val="3"/>
            <w:shd w:val="clear" w:color="auto" w:fill="auto"/>
            <w:vAlign w:val="bottom"/>
          </w:tcPr>
          <w:p w14:paraId="71D3E281" w14:textId="77777777" w:rsidR="006A3667" w:rsidRDefault="006A3667">
            <w:pPr>
              <w:rPr>
                <w:rFonts w:ascii="宋体"/>
                <w:vanish/>
              </w:rPr>
            </w:pPr>
          </w:p>
        </w:tc>
        <w:tc>
          <w:tcPr>
            <w:tcW w:w="0" w:type="auto"/>
            <w:gridSpan w:val="3"/>
            <w:shd w:val="clear" w:color="auto" w:fill="auto"/>
            <w:vAlign w:val="bottom"/>
          </w:tcPr>
          <w:p w14:paraId="71D3E282" w14:textId="77777777" w:rsidR="006A3667" w:rsidRDefault="006A3667">
            <w:pPr>
              <w:rPr>
                <w:rFonts w:ascii="宋体"/>
                <w:vanish/>
              </w:rPr>
            </w:pPr>
          </w:p>
        </w:tc>
        <w:tc>
          <w:tcPr>
            <w:tcW w:w="0" w:type="auto"/>
            <w:gridSpan w:val="3"/>
            <w:shd w:val="clear" w:color="auto" w:fill="auto"/>
            <w:vAlign w:val="bottom"/>
          </w:tcPr>
          <w:p w14:paraId="71D3E283" w14:textId="77777777" w:rsidR="006A3667" w:rsidRDefault="006A3667">
            <w:pPr>
              <w:rPr>
                <w:rFonts w:ascii="宋体"/>
                <w:vanish/>
              </w:rPr>
            </w:pPr>
          </w:p>
        </w:tc>
        <w:tc>
          <w:tcPr>
            <w:tcW w:w="0" w:type="auto"/>
            <w:gridSpan w:val="3"/>
            <w:shd w:val="clear" w:color="auto" w:fill="auto"/>
            <w:vAlign w:val="bottom"/>
          </w:tcPr>
          <w:p w14:paraId="71D3E284" w14:textId="77777777" w:rsidR="006A3667" w:rsidRDefault="006A3667">
            <w:pPr>
              <w:rPr>
                <w:rFonts w:ascii="宋体"/>
                <w:vanish/>
              </w:rPr>
            </w:pPr>
          </w:p>
        </w:tc>
      </w:tr>
      <w:tr w:rsidR="006A3667" w14:paraId="71D3E297" w14:textId="77777777">
        <w:tc>
          <w:tcPr>
            <w:tcW w:w="0" w:type="auto"/>
            <w:gridSpan w:val="3"/>
            <w:shd w:val="clear" w:color="auto" w:fill="FFFFFF"/>
            <w:tcMar>
              <w:top w:w="40" w:type="dxa"/>
              <w:left w:w="20" w:type="dxa"/>
              <w:bottom w:w="40" w:type="dxa"/>
              <w:right w:w="20" w:type="dxa"/>
            </w:tcMar>
            <w:vAlign w:val="bottom"/>
          </w:tcPr>
          <w:p w14:paraId="71D3E286" w14:textId="77777777" w:rsidR="006A3667" w:rsidRDefault="00045F32">
            <w:pPr>
              <w:textAlignment w:val="bottom"/>
            </w:pPr>
            <w:r>
              <w:rPr>
                <w:rFonts w:ascii="Arial" w:eastAsia="宋体" w:hAnsi="Arial" w:cs="Arial"/>
                <w:color w:val="000000"/>
                <w:sz w:val="14"/>
                <w:szCs w:val="14"/>
              </w:rPr>
              <w:t>Europe/Middle East/Africa</w:t>
            </w:r>
          </w:p>
        </w:tc>
        <w:tc>
          <w:tcPr>
            <w:tcW w:w="0" w:type="auto"/>
            <w:gridSpan w:val="2"/>
            <w:shd w:val="clear" w:color="auto" w:fill="FFFFFF"/>
            <w:tcMar>
              <w:top w:w="40" w:type="dxa"/>
              <w:left w:w="20" w:type="dxa"/>
              <w:bottom w:w="40" w:type="dxa"/>
              <w:right w:w="0" w:type="dxa"/>
            </w:tcMar>
            <w:vAlign w:val="bottom"/>
          </w:tcPr>
          <w:p w14:paraId="71D3E287" w14:textId="77777777" w:rsidR="006A3667" w:rsidRDefault="00045F32">
            <w:pPr>
              <w:jc w:val="right"/>
              <w:textAlignment w:val="bottom"/>
            </w:pPr>
            <w:r>
              <w:rPr>
                <w:rFonts w:ascii="Arial" w:eastAsia="宋体" w:hAnsi="Arial" w:cs="Arial"/>
                <w:b/>
                <w:bCs/>
                <w:color w:val="000000"/>
                <w:sz w:val="14"/>
                <w:szCs w:val="14"/>
              </w:rPr>
              <w:t>6,990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28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28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28A" w14:textId="77777777" w:rsidR="006A3667" w:rsidRDefault="00045F32">
            <w:pPr>
              <w:jc w:val="right"/>
              <w:textAlignment w:val="bottom"/>
            </w:pPr>
            <w:r>
              <w:rPr>
                <w:rFonts w:ascii="Arial" w:eastAsia="宋体" w:hAnsi="Arial" w:cs="Arial"/>
                <w:color w:val="000000"/>
                <w:sz w:val="14"/>
                <w:szCs w:val="14"/>
              </w:rPr>
              <w:t>8,599 </w:t>
            </w:r>
          </w:p>
        </w:tc>
        <w:tc>
          <w:tcPr>
            <w:tcW w:w="0" w:type="auto"/>
            <w:shd w:val="clear" w:color="auto" w:fill="FFFFFF"/>
            <w:tcMar>
              <w:top w:w="40" w:type="dxa"/>
              <w:left w:w="0" w:type="dxa"/>
              <w:bottom w:w="40" w:type="dxa"/>
              <w:right w:w="20" w:type="dxa"/>
            </w:tcMar>
            <w:vAlign w:val="bottom"/>
          </w:tcPr>
          <w:p w14:paraId="71D3E28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28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28D" w14:textId="77777777" w:rsidR="006A3667" w:rsidRDefault="00045F32">
            <w:pPr>
              <w:jc w:val="right"/>
              <w:textAlignment w:val="bottom"/>
            </w:pPr>
            <w:r>
              <w:rPr>
                <w:rFonts w:ascii="Arial" w:eastAsia="宋体" w:hAnsi="Arial" w:cs="Arial"/>
                <w:color w:val="000000"/>
                <w:sz w:val="14"/>
                <w:szCs w:val="14"/>
              </w:rPr>
              <w:t>8,748 </w:t>
            </w:r>
          </w:p>
        </w:tc>
        <w:tc>
          <w:tcPr>
            <w:tcW w:w="0" w:type="auto"/>
            <w:shd w:val="clear" w:color="auto" w:fill="FFFFFF"/>
            <w:tcMar>
              <w:top w:w="40" w:type="dxa"/>
              <w:left w:w="0" w:type="dxa"/>
              <w:bottom w:w="40" w:type="dxa"/>
              <w:right w:w="20" w:type="dxa"/>
            </w:tcMar>
            <w:vAlign w:val="bottom"/>
          </w:tcPr>
          <w:p w14:paraId="71D3E28E" w14:textId="77777777" w:rsidR="006A3667" w:rsidRDefault="006A3667">
            <w:pPr>
              <w:jc w:val="right"/>
              <w:rPr>
                <w:rFonts w:ascii="宋体"/>
              </w:rPr>
            </w:pPr>
          </w:p>
        </w:tc>
        <w:tc>
          <w:tcPr>
            <w:tcW w:w="0" w:type="auto"/>
            <w:shd w:val="clear" w:color="auto" w:fill="auto"/>
            <w:vAlign w:val="bottom"/>
          </w:tcPr>
          <w:p w14:paraId="71D3E28F" w14:textId="77777777" w:rsidR="006A3667" w:rsidRDefault="006A3667">
            <w:pPr>
              <w:rPr>
                <w:rFonts w:ascii="宋体"/>
                <w:vanish/>
              </w:rPr>
            </w:pPr>
          </w:p>
        </w:tc>
        <w:tc>
          <w:tcPr>
            <w:tcW w:w="0" w:type="auto"/>
            <w:shd w:val="clear" w:color="auto" w:fill="auto"/>
            <w:vAlign w:val="bottom"/>
          </w:tcPr>
          <w:p w14:paraId="71D3E290" w14:textId="77777777" w:rsidR="006A3667" w:rsidRDefault="006A3667">
            <w:pPr>
              <w:rPr>
                <w:rFonts w:ascii="宋体"/>
                <w:vanish/>
              </w:rPr>
            </w:pPr>
          </w:p>
        </w:tc>
        <w:tc>
          <w:tcPr>
            <w:tcW w:w="0" w:type="auto"/>
            <w:shd w:val="clear" w:color="auto" w:fill="auto"/>
            <w:vAlign w:val="bottom"/>
          </w:tcPr>
          <w:p w14:paraId="71D3E291" w14:textId="77777777" w:rsidR="006A3667" w:rsidRDefault="006A3667">
            <w:pPr>
              <w:rPr>
                <w:rFonts w:ascii="宋体"/>
                <w:vanish/>
              </w:rPr>
            </w:pPr>
          </w:p>
        </w:tc>
        <w:tc>
          <w:tcPr>
            <w:tcW w:w="0" w:type="auto"/>
            <w:shd w:val="clear" w:color="auto" w:fill="auto"/>
            <w:vAlign w:val="bottom"/>
          </w:tcPr>
          <w:p w14:paraId="71D3E292" w14:textId="77777777" w:rsidR="006A3667" w:rsidRDefault="006A3667">
            <w:pPr>
              <w:rPr>
                <w:rFonts w:ascii="宋体"/>
                <w:vanish/>
              </w:rPr>
            </w:pPr>
          </w:p>
        </w:tc>
        <w:tc>
          <w:tcPr>
            <w:tcW w:w="0" w:type="auto"/>
            <w:gridSpan w:val="3"/>
            <w:shd w:val="clear" w:color="auto" w:fill="auto"/>
            <w:vAlign w:val="bottom"/>
          </w:tcPr>
          <w:p w14:paraId="71D3E293" w14:textId="77777777" w:rsidR="006A3667" w:rsidRDefault="006A3667">
            <w:pPr>
              <w:rPr>
                <w:rFonts w:ascii="宋体"/>
                <w:vanish/>
              </w:rPr>
            </w:pPr>
          </w:p>
        </w:tc>
        <w:tc>
          <w:tcPr>
            <w:tcW w:w="0" w:type="auto"/>
            <w:gridSpan w:val="3"/>
            <w:shd w:val="clear" w:color="auto" w:fill="auto"/>
            <w:vAlign w:val="bottom"/>
          </w:tcPr>
          <w:p w14:paraId="71D3E294" w14:textId="77777777" w:rsidR="006A3667" w:rsidRDefault="006A3667">
            <w:pPr>
              <w:rPr>
                <w:rFonts w:ascii="宋体"/>
                <w:vanish/>
              </w:rPr>
            </w:pPr>
          </w:p>
        </w:tc>
        <w:tc>
          <w:tcPr>
            <w:tcW w:w="0" w:type="auto"/>
            <w:gridSpan w:val="3"/>
            <w:shd w:val="clear" w:color="auto" w:fill="auto"/>
            <w:vAlign w:val="bottom"/>
          </w:tcPr>
          <w:p w14:paraId="71D3E295" w14:textId="77777777" w:rsidR="006A3667" w:rsidRDefault="006A3667">
            <w:pPr>
              <w:rPr>
                <w:rFonts w:ascii="宋体"/>
                <w:vanish/>
              </w:rPr>
            </w:pPr>
          </w:p>
        </w:tc>
        <w:tc>
          <w:tcPr>
            <w:tcW w:w="0" w:type="auto"/>
            <w:gridSpan w:val="3"/>
            <w:shd w:val="clear" w:color="auto" w:fill="auto"/>
            <w:vAlign w:val="bottom"/>
          </w:tcPr>
          <w:p w14:paraId="71D3E296" w14:textId="77777777" w:rsidR="006A3667" w:rsidRDefault="006A3667">
            <w:pPr>
              <w:rPr>
                <w:rFonts w:ascii="宋体"/>
                <w:vanish/>
              </w:rPr>
            </w:pPr>
          </w:p>
        </w:tc>
      </w:tr>
      <w:tr w:rsidR="006A3667" w14:paraId="71D3E2A9" w14:textId="77777777">
        <w:tc>
          <w:tcPr>
            <w:tcW w:w="0" w:type="auto"/>
            <w:gridSpan w:val="3"/>
            <w:shd w:val="clear" w:color="auto" w:fill="CCEEFF"/>
            <w:tcMar>
              <w:top w:w="40" w:type="dxa"/>
              <w:left w:w="20" w:type="dxa"/>
              <w:bottom w:w="40" w:type="dxa"/>
              <w:right w:w="20" w:type="dxa"/>
            </w:tcMar>
            <w:vAlign w:val="bottom"/>
          </w:tcPr>
          <w:p w14:paraId="71D3E298" w14:textId="77777777" w:rsidR="006A3667" w:rsidRDefault="00045F32">
            <w:pPr>
              <w:textAlignment w:val="bottom"/>
            </w:pPr>
            <w:r>
              <w:rPr>
                <w:rFonts w:ascii="Arial" w:eastAsia="宋体" w:hAnsi="Arial" w:cs="Arial"/>
                <w:color w:val="000000"/>
                <w:sz w:val="14"/>
                <w:szCs w:val="14"/>
              </w:rPr>
              <w:t>Asia/Pacific</w:t>
            </w:r>
          </w:p>
        </w:tc>
        <w:tc>
          <w:tcPr>
            <w:tcW w:w="0" w:type="auto"/>
            <w:gridSpan w:val="2"/>
            <w:shd w:val="clear" w:color="auto" w:fill="CCEEFF"/>
            <w:tcMar>
              <w:top w:w="40" w:type="dxa"/>
              <w:left w:w="20" w:type="dxa"/>
              <w:bottom w:w="40" w:type="dxa"/>
              <w:right w:w="0" w:type="dxa"/>
            </w:tcMar>
            <w:vAlign w:val="bottom"/>
          </w:tcPr>
          <w:p w14:paraId="71D3E299" w14:textId="77777777" w:rsidR="006A3667" w:rsidRDefault="00045F32">
            <w:pPr>
              <w:jc w:val="right"/>
              <w:textAlignment w:val="bottom"/>
            </w:pPr>
            <w:r>
              <w:rPr>
                <w:rFonts w:ascii="Arial" w:eastAsia="宋体" w:hAnsi="Arial" w:cs="Arial"/>
                <w:b/>
                <w:bCs/>
                <w:color w:val="000000"/>
                <w:sz w:val="14"/>
                <w:szCs w:val="14"/>
              </w:rPr>
              <w:t>2,647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29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29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29C" w14:textId="77777777" w:rsidR="006A3667" w:rsidRDefault="00045F32">
            <w:pPr>
              <w:jc w:val="right"/>
              <w:textAlignment w:val="bottom"/>
            </w:pPr>
            <w:r>
              <w:rPr>
                <w:rFonts w:ascii="Arial" w:eastAsia="宋体" w:hAnsi="Arial" w:cs="Arial"/>
                <w:color w:val="000000"/>
                <w:sz w:val="14"/>
                <w:szCs w:val="14"/>
              </w:rPr>
              <w:t>2,652 </w:t>
            </w:r>
          </w:p>
        </w:tc>
        <w:tc>
          <w:tcPr>
            <w:tcW w:w="0" w:type="auto"/>
            <w:shd w:val="clear" w:color="auto" w:fill="CCEEFF"/>
            <w:tcMar>
              <w:top w:w="40" w:type="dxa"/>
              <w:left w:w="0" w:type="dxa"/>
              <w:bottom w:w="40" w:type="dxa"/>
              <w:right w:w="20" w:type="dxa"/>
            </w:tcMar>
            <w:vAlign w:val="bottom"/>
          </w:tcPr>
          <w:p w14:paraId="71D3E29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29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29F" w14:textId="77777777" w:rsidR="006A3667" w:rsidRDefault="00045F32">
            <w:pPr>
              <w:jc w:val="right"/>
              <w:textAlignment w:val="bottom"/>
            </w:pPr>
            <w:r>
              <w:rPr>
                <w:rFonts w:ascii="Arial" w:eastAsia="宋体" w:hAnsi="Arial" w:cs="Arial"/>
                <w:color w:val="000000"/>
                <w:sz w:val="14"/>
                <w:szCs w:val="14"/>
              </w:rPr>
              <w:t>2,655 </w:t>
            </w:r>
          </w:p>
        </w:tc>
        <w:tc>
          <w:tcPr>
            <w:tcW w:w="0" w:type="auto"/>
            <w:shd w:val="clear" w:color="auto" w:fill="CCEEFF"/>
            <w:tcMar>
              <w:top w:w="40" w:type="dxa"/>
              <w:left w:w="0" w:type="dxa"/>
              <w:bottom w:w="40" w:type="dxa"/>
              <w:right w:w="20" w:type="dxa"/>
            </w:tcMar>
            <w:vAlign w:val="bottom"/>
          </w:tcPr>
          <w:p w14:paraId="71D3E2A0" w14:textId="77777777" w:rsidR="006A3667" w:rsidRDefault="006A3667">
            <w:pPr>
              <w:jc w:val="right"/>
              <w:rPr>
                <w:rFonts w:ascii="宋体"/>
              </w:rPr>
            </w:pPr>
          </w:p>
        </w:tc>
        <w:tc>
          <w:tcPr>
            <w:tcW w:w="0" w:type="auto"/>
            <w:shd w:val="clear" w:color="auto" w:fill="auto"/>
            <w:vAlign w:val="bottom"/>
          </w:tcPr>
          <w:p w14:paraId="71D3E2A1" w14:textId="77777777" w:rsidR="006A3667" w:rsidRDefault="006A3667">
            <w:pPr>
              <w:rPr>
                <w:rFonts w:ascii="宋体"/>
                <w:vanish/>
              </w:rPr>
            </w:pPr>
          </w:p>
        </w:tc>
        <w:tc>
          <w:tcPr>
            <w:tcW w:w="0" w:type="auto"/>
            <w:shd w:val="clear" w:color="auto" w:fill="auto"/>
            <w:vAlign w:val="bottom"/>
          </w:tcPr>
          <w:p w14:paraId="71D3E2A2" w14:textId="77777777" w:rsidR="006A3667" w:rsidRDefault="006A3667">
            <w:pPr>
              <w:rPr>
                <w:rFonts w:ascii="宋体"/>
                <w:vanish/>
              </w:rPr>
            </w:pPr>
          </w:p>
        </w:tc>
        <w:tc>
          <w:tcPr>
            <w:tcW w:w="0" w:type="auto"/>
            <w:shd w:val="clear" w:color="auto" w:fill="auto"/>
            <w:vAlign w:val="bottom"/>
          </w:tcPr>
          <w:p w14:paraId="71D3E2A3" w14:textId="77777777" w:rsidR="006A3667" w:rsidRDefault="006A3667">
            <w:pPr>
              <w:rPr>
                <w:rFonts w:ascii="宋体"/>
                <w:vanish/>
              </w:rPr>
            </w:pPr>
          </w:p>
        </w:tc>
        <w:tc>
          <w:tcPr>
            <w:tcW w:w="0" w:type="auto"/>
            <w:shd w:val="clear" w:color="auto" w:fill="auto"/>
            <w:vAlign w:val="bottom"/>
          </w:tcPr>
          <w:p w14:paraId="71D3E2A4" w14:textId="77777777" w:rsidR="006A3667" w:rsidRDefault="006A3667">
            <w:pPr>
              <w:rPr>
                <w:rFonts w:ascii="宋体"/>
                <w:vanish/>
              </w:rPr>
            </w:pPr>
          </w:p>
        </w:tc>
        <w:tc>
          <w:tcPr>
            <w:tcW w:w="0" w:type="auto"/>
            <w:gridSpan w:val="3"/>
            <w:shd w:val="clear" w:color="auto" w:fill="auto"/>
            <w:vAlign w:val="bottom"/>
          </w:tcPr>
          <w:p w14:paraId="71D3E2A5" w14:textId="77777777" w:rsidR="006A3667" w:rsidRDefault="006A3667">
            <w:pPr>
              <w:rPr>
                <w:rFonts w:ascii="宋体"/>
                <w:vanish/>
              </w:rPr>
            </w:pPr>
          </w:p>
        </w:tc>
        <w:tc>
          <w:tcPr>
            <w:tcW w:w="0" w:type="auto"/>
            <w:gridSpan w:val="3"/>
            <w:shd w:val="clear" w:color="auto" w:fill="auto"/>
            <w:vAlign w:val="bottom"/>
          </w:tcPr>
          <w:p w14:paraId="71D3E2A6" w14:textId="77777777" w:rsidR="006A3667" w:rsidRDefault="006A3667">
            <w:pPr>
              <w:rPr>
                <w:rFonts w:ascii="宋体"/>
                <w:vanish/>
              </w:rPr>
            </w:pPr>
          </w:p>
        </w:tc>
        <w:tc>
          <w:tcPr>
            <w:tcW w:w="0" w:type="auto"/>
            <w:gridSpan w:val="3"/>
            <w:shd w:val="clear" w:color="auto" w:fill="auto"/>
            <w:vAlign w:val="bottom"/>
          </w:tcPr>
          <w:p w14:paraId="71D3E2A7" w14:textId="77777777" w:rsidR="006A3667" w:rsidRDefault="006A3667">
            <w:pPr>
              <w:rPr>
                <w:rFonts w:ascii="宋体"/>
                <w:vanish/>
              </w:rPr>
            </w:pPr>
          </w:p>
        </w:tc>
        <w:tc>
          <w:tcPr>
            <w:tcW w:w="0" w:type="auto"/>
            <w:gridSpan w:val="3"/>
            <w:shd w:val="clear" w:color="auto" w:fill="auto"/>
            <w:vAlign w:val="bottom"/>
          </w:tcPr>
          <w:p w14:paraId="71D3E2A8" w14:textId="77777777" w:rsidR="006A3667" w:rsidRDefault="006A3667">
            <w:pPr>
              <w:rPr>
                <w:rFonts w:ascii="宋体"/>
                <w:vanish/>
              </w:rPr>
            </w:pPr>
          </w:p>
        </w:tc>
      </w:tr>
      <w:tr w:rsidR="006A3667" w14:paraId="71D3E2BE" w14:textId="77777777">
        <w:tc>
          <w:tcPr>
            <w:tcW w:w="0" w:type="auto"/>
            <w:gridSpan w:val="3"/>
            <w:shd w:val="clear" w:color="auto" w:fill="FFFFFF"/>
            <w:tcMar>
              <w:top w:w="40" w:type="dxa"/>
              <w:left w:w="20" w:type="dxa"/>
              <w:bottom w:w="40" w:type="dxa"/>
              <w:right w:w="20" w:type="dxa"/>
            </w:tcMar>
            <w:vAlign w:val="bottom"/>
          </w:tcPr>
          <w:p w14:paraId="71D3E2AA" w14:textId="77777777" w:rsidR="006A3667" w:rsidRDefault="00045F32">
            <w:pPr>
              <w:textAlignment w:val="bottom"/>
            </w:pPr>
            <w:r>
              <w:rPr>
                <w:rFonts w:ascii="Arial" w:eastAsia="宋体" w:hAnsi="Arial" w:cs="Arial"/>
                <w:b/>
                <w:bCs/>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2AB"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2AC" w14:textId="77777777" w:rsidR="006A3667" w:rsidRDefault="00045F32">
            <w:pPr>
              <w:jc w:val="right"/>
              <w:textAlignment w:val="bottom"/>
            </w:pPr>
            <w:r>
              <w:rPr>
                <w:rFonts w:ascii="Arial" w:eastAsia="宋体" w:hAnsi="Arial" w:cs="Arial"/>
                <w:b/>
                <w:bCs/>
                <w:color w:val="000000"/>
                <w:sz w:val="14"/>
                <w:szCs w:val="14"/>
              </w:rPr>
              <w:t>35,688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2A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2AE"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2A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2B0" w14:textId="77777777" w:rsidR="006A3667" w:rsidRDefault="00045F32">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2B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2B2"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2B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2B4" w14:textId="77777777" w:rsidR="006A3667" w:rsidRDefault="00045F32">
            <w:pPr>
              <w:jc w:val="right"/>
              <w:textAlignment w:val="bottom"/>
            </w:pPr>
            <w:r>
              <w:rPr>
                <w:rFonts w:ascii="Arial" w:eastAsia="宋体" w:hAnsi="Arial" w:cs="Arial"/>
                <w:color w:val="000000"/>
                <w:sz w:val="14"/>
                <w:szCs w:val="14"/>
              </w:rPr>
              <w:t>43,337 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2B5" w14:textId="77777777" w:rsidR="006A3667" w:rsidRDefault="006A3667">
            <w:pPr>
              <w:jc w:val="right"/>
              <w:rPr>
                <w:rFonts w:ascii="宋体"/>
              </w:rPr>
            </w:pPr>
          </w:p>
        </w:tc>
        <w:tc>
          <w:tcPr>
            <w:tcW w:w="0" w:type="auto"/>
            <w:shd w:val="clear" w:color="auto" w:fill="auto"/>
            <w:vAlign w:val="bottom"/>
          </w:tcPr>
          <w:p w14:paraId="71D3E2B6" w14:textId="77777777" w:rsidR="006A3667" w:rsidRDefault="006A3667">
            <w:pPr>
              <w:rPr>
                <w:rFonts w:ascii="宋体"/>
                <w:vanish/>
              </w:rPr>
            </w:pPr>
          </w:p>
        </w:tc>
        <w:tc>
          <w:tcPr>
            <w:tcW w:w="0" w:type="auto"/>
            <w:shd w:val="clear" w:color="auto" w:fill="auto"/>
            <w:vAlign w:val="bottom"/>
          </w:tcPr>
          <w:p w14:paraId="71D3E2B7" w14:textId="77777777" w:rsidR="006A3667" w:rsidRDefault="006A3667">
            <w:pPr>
              <w:rPr>
                <w:rFonts w:ascii="宋体"/>
                <w:vanish/>
              </w:rPr>
            </w:pPr>
          </w:p>
        </w:tc>
        <w:tc>
          <w:tcPr>
            <w:tcW w:w="0" w:type="auto"/>
            <w:shd w:val="clear" w:color="auto" w:fill="auto"/>
            <w:vAlign w:val="bottom"/>
          </w:tcPr>
          <w:p w14:paraId="71D3E2B8" w14:textId="77777777" w:rsidR="006A3667" w:rsidRDefault="006A3667">
            <w:pPr>
              <w:rPr>
                <w:rFonts w:ascii="宋体"/>
                <w:vanish/>
              </w:rPr>
            </w:pPr>
          </w:p>
        </w:tc>
        <w:tc>
          <w:tcPr>
            <w:tcW w:w="0" w:type="auto"/>
            <w:shd w:val="clear" w:color="auto" w:fill="auto"/>
            <w:vAlign w:val="bottom"/>
          </w:tcPr>
          <w:p w14:paraId="71D3E2B9" w14:textId="77777777" w:rsidR="006A3667" w:rsidRDefault="006A3667">
            <w:pPr>
              <w:rPr>
                <w:rFonts w:ascii="宋体"/>
                <w:vanish/>
              </w:rPr>
            </w:pPr>
          </w:p>
        </w:tc>
        <w:tc>
          <w:tcPr>
            <w:tcW w:w="0" w:type="auto"/>
            <w:gridSpan w:val="3"/>
            <w:shd w:val="clear" w:color="auto" w:fill="auto"/>
            <w:vAlign w:val="bottom"/>
          </w:tcPr>
          <w:p w14:paraId="71D3E2BA" w14:textId="77777777" w:rsidR="006A3667" w:rsidRDefault="006A3667">
            <w:pPr>
              <w:rPr>
                <w:rFonts w:ascii="宋体"/>
                <w:vanish/>
              </w:rPr>
            </w:pPr>
          </w:p>
        </w:tc>
        <w:tc>
          <w:tcPr>
            <w:tcW w:w="0" w:type="auto"/>
            <w:gridSpan w:val="3"/>
            <w:shd w:val="clear" w:color="auto" w:fill="auto"/>
            <w:vAlign w:val="bottom"/>
          </w:tcPr>
          <w:p w14:paraId="71D3E2BB" w14:textId="77777777" w:rsidR="006A3667" w:rsidRDefault="006A3667">
            <w:pPr>
              <w:rPr>
                <w:rFonts w:ascii="宋体"/>
                <w:vanish/>
              </w:rPr>
            </w:pPr>
          </w:p>
        </w:tc>
        <w:tc>
          <w:tcPr>
            <w:tcW w:w="0" w:type="auto"/>
            <w:gridSpan w:val="3"/>
            <w:shd w:val="clear" w:color="auto" w:fill="auto"/>
            <w:vAlign w:val="bottom"/>
          </w:tcPr>
          <w:p w14:paraId="71D3E2BC" w14:textId="77777777" w:rsidR="006A3667" w:rsidRDefault="006A3667">
            <w:pPr>
              <w:rPr>
                <w:rFonts w:ascii="宋体"/>
                <w:vanish/>
              </w:rPr>
            </w:pPr>
          </w:p>
        </w:tc>
        <w:tc>
          <w:tcPr>
            <w:tcW w:w="0" w:type="auto"/>
            <w:gridSpan w:val="3"/>
            <w:shd w:val="clear" w:color="auto" w:fill="auto"/>
            <w:vAlign w:val="bottom"/>
          </w:tcPr>
          <w:p w14:paraId="71D3E2BD" w14:textId="77777777" w:rsidR="006A3667" w:rsidRDefault="006A3667">
            <w:pPr>
              <w:rPr>
                <w:rFonts w:ascii="宋体"/>
                <w:vanish/>
              </w:rPr>
            </w:pPr>
          </w:p>
        </w:tc>
      </w:tr>
    </w:tbl>
    <w:p w14:paraId="71D3E2BF"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57"/>
        <w:gridCol w:w="36"/>
        <w:gridCol w:w="70"/>
        <w:gridCol w:w="4168"/>
        <w:gridCol w:w="36"/>
      </w:tblGrid>
      <w:tr w:rsidR="006A3667" w14:paraId="71D3E2C6" w14:textId="77777777">
        <w:tc>
          <w:tcPr>
            <w:tcW w:w="50" w:type="pct"/>
            <w:shd w:val="clear" w:color="auto" w:fill="auto"/>
            <w:vAlign w:val="bottom"/>
          </w:tcPr>
          <w:p w14:paraId="71D3E2C0" w14:textId="77777777" w:rsidR="006A3667" w:rsidRDefault="006A3667">
            <w:pPr>
              <w:rPr>
                <w:rFonts w:ascii="宋体"/>
              </w:rPr>
            </w:pPr>
          </w:p>
        </w:tc>
        <w:tc>
          <w:tcPr>
            <w:tcW w:w="2382" w:type="pct"/>
            <w:shd w:val="clear" w:color="auto" w:fill="auto"/>
            <w:vAlign w:val="bottom"/>
          </w:tcPr>
          <w:p w14:paraId="71D3E2C1" w14:textId="77777777" w:rsidR="006A3667" w:rsidRDefault="006A3667">
            <w:pPr>
              <w:rPr>
                <w:rFonts w:ascii="宋体"/>
              </w:rPr>
            </w:pPr>
          </w:p>
        </w:tc>
        <w:tc>
          <w:tcPr>
            <w:tcW w:w="5" w:type="pct"/>
            <w:shd w:val="clear" w:color="auto" w:fill="auto"/>
            <w:vAlign w:val="bottom"/>
          </w:tcPr>
          <w:p w14:paraId="71D3E2C2" w14:textId="77777777" w:rsidR="006A3667" w:rsidRDefault="006A3667">
            <w:pPr>
              <w:rPr>
                <w:rFonts w:ascii="宋体"/>
              </w:rPr>
            </w:pPr>
          </w:p>
        </w:tc>
        <w:tc>
          <w:tcPr>
            <w:tcW w:w="50" w:type="pct"/>
            <w:shd w:val="clear" w:color="auto" w:fill="auto"/>
            <w:vAlign w:val="bottom"/>
          </w:tcPr>
          <w:p w14:paraId="71D3E2C3" w14:textId="77777777" w:rsidR="006A3667" w:rsidRDefault="006A3667">
            <w:pPr>
              <w:rPr>
                <w:rFonts w:ascii="宋体"/>
              </w:rPr>
            </w:pPr>
          </w:p>
        </w:tc>
        <w:tc>
          <w:tcPr>
            <w:tcW w:w="2507" w:type="pct"/>
            <w:shd w:val="clear" w:color="auto" w:fill="auto"/>
            <w:vAlign w:val="bottom"/>
          </w:tcPr>
          <w:p w14:paraId="71D3E2C4" w14:textId="77777777" w:rsidR="006A3667" w:rsidRDefault="006A3667">
            <w:pPr>
              <w:rPr>
                <w:rFonts w:ascii="宋体"/>
              </w:rPr>
            </w:pPr>
          </w:p>
        </w:tc>
        <w:tc>
          <w:tcPr>
            <w:tcW w:w="5" w:type="pct"/>
            <w:shd w:val="clear" w:color="auto" w:fill="auto"/>
            <w:vAlign w:val="bottom"/>
          </w:tcPr>
          <w:p w14:paraId="71D3E2C5" w14:textId="77777777" w:rsidR="006A3667" w:rsidRDefault="006A3667">
            <w:pPr>
              <w:rPr>
                <w:rFonts w:ascii="宋体"/>
              </w:rPr>
            </w:pPr>
          </w:p>
        </w:tc>
      </w:tr>
      <w:tr w:rsidR="006A3667" w14:paraId="71D3E2C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E2C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2C8" w14:textId="77777777" w:rsidR="006A3667" w:rsidRDefault="006A3667">
            <w:pPr>
              <w:rPr>
                <w:rFonts w:ascii="宋体"/>
              </w:rPr>
            </w:pPr>
          </w:p>
        </w:tc>
      </w:tr>
    </w:tbl>
    <w:p w14:paraId="71D3E2CA" w14:textId="77777777" w:rsidR="006A3667" w:rsidRDefault="00045F32">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Consistent with past practice, AUC/A values for certain asset classes are based on a lag, typically one-month.</w:t>
      </w:r>
    </w:p>
    <w:p w14:paraId="71D3E2CB" w14:textId="77777777" w:rsidR="006A3667" w:rsidRDefault="00045F32">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Geographic mix is generally based on the domicile of the entity servicing the funds and is not necessarily representative of the underlying </w:t>
      </w:r>
      <w:r>
        <w:rPr>
          <w:rFonts w:ascii="Arial" w:eastAsia="宋体" w:hAnsi="Arial" w:cs="Arial"/>
          <w:color w:val="000000"/>
          <w:sz w:val="13"/>
          <w:szCs w:val="13"/>
        </w:rPr>
        <w:t>asset mix.</w:t>
      </w:r>
    </w:p>
    <w:p w14:paraId="71D3E2CC" w14:textId="77777777" w:rsidR="006A3667" w:rsidRDefault="00045F32">
      <w:pPr>
        <w:ind w:firstLine="450"/>
        <w:jc w:val="right"/>
      </w:pPr>
      <w:r>
        <w:rPr>
          <w:rFonts w:ascii="Arial" w:eastAsia="宋体" w:hAnsi="Arial" w:cs="Arial"/>
          <w:color w:val="000000"/>
          <w:sz w:val="18"/>
          <w:szCs w:val="18"/>
        </w:rPr>
        <w:t>State Street Corporation | 14</w:t>
      </w:r>
    </w:p>
    <w:p w14:paraId="71D3E2CD" w14:textId="77777777" w:rsidR="006A3667" w:rsidRDefault="006A3667">
      <w:pPr>
        <w:ind w:firstLine="450"/>
        <w:jc w:val="center"/>
      </w:pPr>
    </w:p>
    <w:p w14:paraId="71D3E2CE" w14:textId="77777777" w:rsidR="006A3667" w:rsidRDefault="00045F32">
      <w:r>
        <w:pict w14:anchorId="71D4AC22">
          <v:rect id="_x0000_i1038" style="width:415.3pt;height:1.5pt" o:hralign="center" o:hrstd="t" o:hr="t" fillcolor="#a0a0a0" stroked="f"/>
        </w:pict>
      </w:r>
    </w:p>
    <w:p w14:paraId="71D3E2CF"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E2D0" w14:textId="77777777" w:rsidR="006A3667" w:rsidRDefault="00045F32">
      <w:pPr>
        <w:ind w:firstLine="450"/>
        <w:jc w:val="center"/>
      </w:pPr>
      <w:r>
        <w:rPr>
          <w:rFonts w:ascii="Arial" w:eastAsia="宋体" w:hAnsi="Arial" w:cs="Arial"/>
          <w:b/>
          <w:bCs/>
          <w:color w:val="000000"/>
          <w:sz w:val="20"/>
          <w:szCs w:val="20"/>
        </w:rPr>
        <w:t>AND RESULTS OF OPERATIONS</w:t>
      </w:r>
    </w:p>
    <w:p w14:paraId="71D3E2D1" w14:textId="77777777" w:rsidR="006A3667" w:rsidRDefault="00045F32">
      <w:pPr>
        <w:spacing w:before="60"/>
        <w:ind w:firstLine="450"/>
        <w:jc w:val="both"/>
        <w:textAlignment w:val="top"/>
      </w:pPr>
      <w:r>
        <w:rPr>
          <w:rFonts w:ascii="Arial" w:eastAsia="宋体" w:hAnsi="Arial" w:cs="Arial"/>
          <w:color w:val="000000"/>
          <w:sz w:val="20"/>
          <w:szCs w:val="20"/>
        </w:rPr>
        <w:t>Asset servicing mandates newly announced in the third quarter of 2022 totaled approximately $233 billion. Servicing assets remaining to be installed in future periods totaled approximately $3.41 trillion as of September 30, 2022, which will be reflected in</w:t>
      </w:r>
      <w:r>
        <w:rPr>
          <w:rFonts w:ascii="Arial" w:eastAsia="宋体" w:hAnsi="Arial" w:cs="Arial"/>
          <w:color w:val="000000"/>
          <w:sz w:val="20"/>
          <w:szCs w:val="20"/>
        </w:rPr>
        <w:t xml:space="preserve"> AUC/A in future periods after installation and will generate servicing fee revenue in subsequent periods. The full revenue impact of such mandates will be realized as the assets are installed and additional services are added over that period. </w:t>
      </w:r>
    </w:p>
    <w:p w14:paraId="71D3E2D2" w14:textId="77777777" w:rsidR="006A3667" w:rsidRDefault="00045F32">
      <w:pPr>
        <w:spacing w:before="60"/>
        <w:ind w:firstLine="450"/>
        <w:jc w:val="both"/>
        <w:textAlignment w:val="top"/>
      </w:pPr>
      <w:r>
        <w:rPr>
          <w:rFonts w:ascii="Arial" w:eastAsia="宋体" w:hAnsi="Arial" w:cs="Arial"/>
          <w:color w:val="000000"/>
          <w:sz w:val="20"/>
          <w:szCs w:val="20"/>
        </w:rPr>
        <w:t xml:space="preserve">New asset </w:t>
      </w:r>
      <w:r>
        <w:rPr>
          <w:rFonts w:ascii="Arial" w:eastAsia="宋体" w:hAnsi="Arial" w:cs="Arial"/>
          <w:color w:val="000000"/>
          <w:sz w:val="20"/>
          <w:szCs w:val="20"/>
        </w:rPr>
        <w:t>servicing mandates may be subject to completion of definitive agreements, approval of applicable boards and shareholders and customary regulatory approvals. New asset servicing mandates and servicing assets remaining to be installed in future periods exclu</w:t>
      </w:r>
      <w:r>
        <w:rPr>
          <w:rFonts w:ascii="Arial" w:eastAsia="宋体" w:hAnsi="Arial" w:cs="Arial"/>
          <w:color w:val="000000"/>
          <w:sz w:val="20"/>
          <w:szCs w:val="20"/>
        </w:rPr>
        <w:t>de certain new business which has been contracted, but for which the client has not yet provided permission to publicly disclose and the expected installation date extends beyond one quarter. These excluded assets, which from time to time may be significan</w:t>
      </w:r>
      <w:r>
        <w:rPr>
          <w:rFonts w:ascii="Arial" w:eastAsia="宋体" w:hAnsi="Arial" w:cs="Arial"/>
          <w:color w:val="000000"/>
          <w:sz w:val="20"/>
          <w:szCs w:val="20"/>
        </w:rPr>
        <w:t>t, will be included in new asset servicing mandates and reflected in servicing assets remaining to be installed in the period in which the client provides its permission. Servicing mandates and servicing assets remaining to be installed in future periods a</w:t>
      </w:r>
      <w:r>
        <w:rPr>
          <w:rFonts w:ascii="Arial" w:eastAsia="宋体" w:hAnsi="Arial" w:cs="Arial"/>
          <w:color w:val="000000"/>
          <w:sz w:val="20"/>
          <w:szCs w:val="20"/>
        </w:rPr>
        <w:t xml:space="preserve">re presented on a gross basis and therefore also do not include the impact of clients who have notified us during the period of their intent to terminate or reduce their relationship with us, which may from time to time be significant. </w:t>
      </w:r>
    </w:p>
    <w:p w14:paraId="71D3E2D3" w14:textId="77777777" w:rsidR="006A3667" w:rsidRDefault="00045F32">
      <w:pPr>
        <w:spacing w:before="60"/>
        <w:ind w:firstLine="450"/>
        <w:jc w:val="both"/>
        <w:textAlignment w:val="top"/>
      </w:pPr>
      <w:r>
        <w:rPr>
          <w:rFonts w:ascii="Arial" w:eastAsia="宋体" w:hAnsi="Arial" w:cs="Arial"/>
          <w:color w:val="000000"/>
          <w:sz w:val="20"/>
          <w:szCs w:val="20"/>
        </w:rPr>
        <w:t>With respect to the</w:t>
      </w:r>
      <w:r>
        <w:rPr>
          <w:rFonts w:ascii="Arial" w:eastAsia="宋体" w:hAnsi="Arial" w:cs="Arial"/>
          <w:color w:val="000000"/>
          <w:sz w:val="20"/>
          <w:szCs w:val="20"/>
        </w:rPr>
        <w:t>se new servicing mandates, once installed we may provide various services, including back office services such as custody and safekeeping, transaction processing and trade settlement, fund administration, reporting and record keeping, security servicing, f</w:t>
      </w:r>
      <w:r>
        <w:rPr>
          <w:rFonts w:ascii="Arial" w:eastAsia="宋体" w:hAnsi="Arial" w:cs="Arial"/>
          <w:color w:val="000000"/>
          <w:sz w:val="20"/>
          <w:szCs w:val="20"/>
        </w:rPr>
        <w:t>und accounting, middle office services such as investment book of records (IBOR), transaction management, loans, cash, derivatives and collateral services, recordkeeping, client reporting and investment analytics, markets services such as FX trading servic</w:t>
      </w:r>
      <w:r>
        <w:rPr>
          <w:rFonts w:ascii="Arial" w:eastAsia="宋体" w:hAnsi="Arial" w:cs="Arial"/>
          <w:color w:val="000000"/>
          <w:sz w:val="20"/>
          <w:szCs w:val="20"/>
        </w:rPr>
        <w:t>es, liquidity solutions, currency and collateral management, securities finance, and front office services such as portfolio management solutions, risk analytics, scenario analysis, performance and attribution, trade order and execution management, pre-tra</w:t>
      </w:r>
      <w:r>
        <w:rPr>
          <w:rFonts w:ascii="Arial" w:eastAsia="宋体" w:hAnsi="Arial" w:cs="Arial"/>
          <w:color w:val="000000"/>
          <w:sz w:val="20"/>
          <w:szCs w:val="20"/>
        </w:rPr>
        <w:t>de compliance and environmental, social and governance (ESG) investment tools. Revenues associated with new servicing mandates may vary based on the breadth of services provided and the timing of installation, and the types of assets.</w:t>
      </w:r>
    </w:p>
    <w:p w14:paraId="71D3E2D4" w14:textId="77777777" w:rsidR="006A3667" w:rsidRDefault="00045F32">
      <w:pPr>
        <w:spacing w:before="60"/>
        <w:ind w:firstLine="450"/>
        <w:jc w:val="both"/>
        <w:textAlignment w:val="top"/>
      </w:pPr>
      <w:r>
        <w:rPr>
          <w:rFonts w:ascii="Arial" w:eastAsia="宋体" w:hAnsi="Arial" w:cs="Arial"/>
          <w:color w:val="000000"/>
          <w:sz w:val="20"/>
          <w:szCs w:val="20"/>
        </w:rPr>
        <w:t>As a result of a deci</w:t>
      </w:r>
      <w:r>
        <w:rPr>
          <w:rFonts w:ascii="Arial" w:eastAsia="宋体" w:hAnsi="Arial" w:cs="Arial"/>
          <w:color w:val="000000"/>
          <w:sz w:val="20"/>
          <w:szCs w:val="20"/>
        </w:rPr>
        <w:t>sion to diversify providers, one of our large asset servicing clients has advised us it expects to move a significant portion of its ETF assets currently with State Street to one or more other providers, pending necessary approvals. We expect to continue a</w:t>
      </w:r>
      <w:r>
        <w:rPr>
          <w:rFonts w:ascii="Arial" w:eastAsia="宋体" w:hAnsi="Arial" w:cs="Arial"/>
          <w:color w:val="000000"/>
          <w:sz w:val="20"/>
          <w:szCs w:val="20"/>
        </w:rPr>
        <w:t xml:space="preserve">s a significant service provider for </w:t>
      </w:r>
    </w:p>
    <w:p w14:paraId="71D3E2D5" w14:textId="77777777" w:rsidR="006A3667" w:rsidRDefault="00045F32">
      <w:pPr>
        <w:spacing w:before="60"/>
        <w:jc w:val="both"/>
        <w:textAlignment w:val="top"/>
      </w:pPr>
      <w:r>
        <w:rPr>
          <w:rFonts w:ascii="Arial" w:eastAsia="宋体" w:hAnsi="Arial" w:cs="Arial"/>
          <w:color w:val="000000"/>
          <w:sz w:val="20"/>
          <w:szCs w:val="20"/>
        </w:rPr>
        <w:t>this client after this transition and for the client to continue to be meaningful to our business. The transition began in 2022, but will principally occur in 2023 and 2024. For the year ended December 31, 2021, the fe</w:t>
      </w:r>
      <w:r>
        <w:rPr>
          <w:rFonts w:ascii="Arial" w:eastAsia="宋体" w:hAnsi="Arial" w:cs="Arial"/>
          <w:color w:val="000000"/>
          <w:sz w:val="20"/>
          <w:szCs w:val="20"/>
        </w:rPr>
        <w:t>e revenue associated with the transitioning assets represented approximately 1.9% of our total 2021 fee revenue. The actual total revenue and income impact of this transition will reflect a range of factors, including potential growth in our continuing bus</w:t>
      </w:r>
      <w:r>
        <w:rPr>
          <w:rFonts w:ascii="Arial" w:eastAsia="宋体" w:hAnsi="Arial" w:cs="Arial"/>
          <w:color w:val="000000"/>
          <w:sz w:val="20"/>
          <w:szCs w:val="20"/>
        </w:rPr>
        <w:t>iness with the client and expense reductions associated with the transition.</w:t>
      </w:r>
    </w:p>
    <w:p w14:paraId="71D3E2D6" w14:textId="77777777" w:rsidR="006A3667" w:rsidRDefault="00045F32">
      <w:pPr>
        <w:spacing w:before="60"/>
        <w:textAlignment w:val="top"/>
      </w:pPr>
      <w:r>
        <w:rPr>
          <w:rFonts w:ascii="Arial" w:eastAsia="宋体" w:hAnsi="Arial" w:cs="Arial"/>
          <w:b/>
          <w:bCs/>
          <w:i/>
          <w:iCs/>
          <w:color w:val="000000"/>
          <w:sz w:val="20"/>
          <w:szCs w:val="20"/>
        </w:rPr>
        <w:t>Management Fee Revenue</w:t>
      </w:r>
    </w:p>
    <w:p w14:paraId="71D3E2D7" w14:textId="77777777" w:rsidR="006A3667" w:rsidRDefault="00045F32">
      <w:pPr>
        <w:spacing w:before="60"/>
        <w:ind w:firstLine="450"/>
        <w:jc w:val="both"/>
        <w:textAlignment w:val="top"/>
      </w:pPr>
      <w:r>
        <w:rPr>
          <w:rFonts w:ascii="Arial" w:eastAsia="宋体" w:hAnsi="Arial" w:cs="Arial"/>
          <w:color w:val="000000"/>
          <w:sz w:val="20"/>
          <w:szCs w:val="20"/>
        </w:rPr>
        <w:t>Management fees generally are affected by our level of AUM, which we report based on month-end valuations. Management fees for certain components of managed</w:t>
      </w:r>
      <w:r>
        <w:rPr>
          <w:rFonts w:ascii="Arial" w:eastAsia="宋体" w:hAnsi="Arial" w:cs="Arial"/>
          <w:color w:val="000000"/>
          <w:sz w:val="20"/>
          <w:szCs w:val="20"/>
        </w:rPr>
        <w:t xml:space="preserve"> assets, such as ETFs, mutual funds and Undertakings for Collective Investments in Transferable Securities, are affected by daily average valuations of AUM. Management fee revenue is more sensitive to market valuations than servicing fee revenue, as a high</w:t>
      </w:r>
      <w:r>
        <w:rPr>
          <w:rFonts w:ascii="Arial" w:eastAsia="宋体" w:hAnsi="Arial" w:cs="Arial"/>
          <w:color w:val="000000"/>
          <w:sz w:val="20"/>
          <w:szCs w:val="20"/>
        </w:rPr>
        <w:t>er proportion of the underlying services provided, and the associated management fees earned, are dependent on equity and fixed-income security valuations. Additional factors, such as the relative mix of assets managed, may have a significant effect on our</w:t>
      </w:r>
      <w:r>
        <w:rPr>
          <w:rFonts w:ascii="Arial" w:eastAsia="宋体" w:hAnsi="Arial" w:cs="Arial"/>
          <w:color w:val="000000"/>
          <w:sz w:val="20"/>
          <w:szCs w:val="20"/>
        </w:rPr>
        <w:t xml:space="preserve"> management fee revenue. While certain management fees are directly determined by the values of AUM and the investment strategies employed, management fees may reflect other factors, including performance fee arrangements, as well as our relationship prici</w:t>
      </w:r>
      <w:r>
        <w:rPr>
          <w:rFonts w:ascii="Arial" w:eastAsia="宋体" w:hAnsi="Arial" w:cs="Arial"/>
          <w:color w:val="000000"/>
          <w:sz w:val="20"/>
          <w:szCs w:val="20"/>
        </w:rPr>
        <w:t>ng for clients. From the second half of 2020 through the first quarter of 2022, we were in a prolonged low-interest rate environment, and waived certain fees for our clients for money market products. Following the Federal Reserve rate hikes in March and S</w:t>
      </w:r>
      <w:r>
        <w:rPr>
          <w:rFonts w:ascii="Arial" w:eastAsia="宋体" w:hAnsi="Arial" w:cs="Arial"/>
          <w:color w:val="000000"/>
          <w:sz w:val="20"/>
          <w:szCs w:val="20"/>
        </w:rPr>
        <w:t>eptember 2022, money market fee waivers did not have a significant impact on our management fee revenue in the second and third quarters of 2022, and we do not expect them to materially impact the fourth quarter of 2022.</w:t>
      </w:r>
    </w:p>
    <w:p w14:paraId="71D3E2D8" w14:textId="77777777" w:rsidR="006A3667" w:rsidRDefault="00045F32">
      <w:pPr>
        <w:spacing w:before="60"/>
        <w:ind w:firstLine="450"/>
        <w:jc w:val="both"/>
        <w:textAlignment w:val="top"/>
      </w:pPr>
      <w:r>
        <w:rPr>
          <w:rFonts w:ascii="Arial" w:eastAsia="宋体" w:hAnsi="Arial" w:cs="Arial"/>
          <w:color w:val="000000"/>
          <w:sz w:val="20"/>
          <w:szCs w:val="20"/>
        </w:rPr>
        <w:t>Asset-based management fees for pas</w:t>
      </w:r>
      <w:r>
        <w:rPr>
          <w:rFonts w:ascii="Arial" w:eastAsia="宋体" w:hAnsi="Arial" w:cs="Arial"/>
          <w:color w:val="000000"/>
          <w:sz w:val="20"/>
          <w:szCs w:val="20"/>
        </w:rPr>
        <w:t>sively managed products, to which our AUM is currently primarily weighted, are generally charged at a lower fee on AUM than for actively managed products. Actively managed products may also include performance fee arrangements which are recorded when the f</w:t>
      </w:r>
      <w:r>
        <w:rPr>
          <w:rFonts w:ascii="Arial" w:eastAsia="宋体" w:hAnsi="Arial" w:cs="Arial"/>
          <w:color w:val="000000"/>
          <w:sz w:val="20"/>
          <w:szCs w:val="20"/>
        </w:rPr>
        <w:t xml:space="preserve">ee is earned, based on predetermined benchmarks associated with the applicable account's performance. </w:t>
      </w:r>
    </w:p>
    <w:p w14:paraId="71D3E2D9" w14:textId="77777777" w:rsidR="006A3667" w:rsidRDefault="006A3667">
      <w:pPr>
        <w:spacing w:before="60"/>
        <w:ind w:firstLine="450"/>
        <w:jc w:val="both"/>
        <w:textAlignment w:val="top"/>
      </w:pPr>
    </w:p>
    <w:p w14:paraId="71D3E2DA" w14:textId="77777777" w:rsidR="006A3667" w:rsidRDefault="00045F32">
      <w:pPr>
        <w:ind w:firstLine="450"/>
        <w:jc w:val="right"/>
      </w:pPr>
      <w:r>
        <w:rPr>
          <w:rFonts w:ascii="Arial" w:eastAsia="宋体" w:hAnsi="Arial" w:cs="Arial"/>
          <w:color w:val="000000"/>
          <w:sz w:val="18"/>
          <w:szCs w:val="18"/>
        </w:rPr>
        <w:t>State Street Corporation | 15</w:t>
      </w:r>
    </w:p>
    <w:p w14:paraId="71D3E2DB" w14:textId="77777777" w:rsidR="006A3667" w:rsidRDefault="006A3667">
      <w:pPr>
        <w:ind w:firstLine="450"/>
        <w:jc w:val="center"/>
      </w:pPr>
    </w:p>
    <w:p w14:paraId="71D3E2DC" w14:textId="77777777" w:rsidR="006A3667" w:rsidRDefault="00045F32">
      <w:r>
        <w:pict w14:anchorId="71D4AC23">
          <v:rect id="_x0000_i1039" style="width:415.3pt;height:1.5pt" o:hralign="center" o:hrstd="t" o:hr="t" fillcolor="#a0a0a0" stroked="f"/>
        </w:pict>
      </w:r>
    </w:p>
    <w:p w14:paraId="71D3E2DD"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E2DE" w14:textId="77777777" w:rsidR="006A3667" w:rsidRDefault="00045F32">
      <w:pPr>
        <w:ind w:firstLine="450"/>
        <w:jc w:val="center"/>
      </w:pPr>
      <w:r>
        <w:rPr>
          <w:rFonts w:ascii="Arial" w:eastAsia="宋体" w:hAnsi="Arial" w:cs="Arial"/>
          <w:b/>
          <w:bCs/>
          <w:color w:val="000000"/>
          <w:sz w:val="20"/>
          <w:szCs w:val="20"/>
        </w:rPr>
        <w:t>AND RESULTS OF OPERATIONS</w:t>
      </w:r>
    </w:p>
    <w:p w14:paraId="71D3E2DF" w14:textId="77777777" w:rsidR="006A3667" w:rsidRDefault="00045F32">
      <w:pPr>
        <w:spacing w:before="60"/>
        <w:ind w:firstLine="450"/>
        <w:jc w:val="both"/>
      </w:pPr>
      <w:r>
        <w:rPr>
          <w:rFonts w:ascii="Arial" w:eastAsia="宋体" w:hAnsi="Arial" w:cs="Arial"/>
          <w:color w:val="000000"/>
          <w:sz w:val="20"/>
          <w:szCs w:val="20"/>
        </w:rPr>
        <w:t xml:space="preserve">In light of the above, we </w:t>
      </w:r>
      <w:r>
        <w:rPr>
          <w:rFonts w:ascii="Arial" w:eastAsia="宋体" w:hAnsi="Arial" w:cs="Arial"/>
          <w:color w:val="000000"/>
          <w:sz w:val="20"/>
          <w:szCs w:val="20"/>
        </w:rPr>
        <w:t>estimate, using relevant information as of September 30, 2022, and assuming that all other factors remain constant, including the impact of business won and lost and client flows, that:</w:t>
      </w:r>
    </w:p>
    <w:p w14:paraId="71D3E2E0" w14:textId="77777777" w:rsidR="006A3667" w:rsidRDefault="00045F32">
      <w:pPr>
        <w:spacing w:before="60"/>
        <w:ind w:hanging="360"/>
        <w:jc w:val="both"/>
      </w:pPr>
      <w:r>
        <w:rPr>
          <w:rFonts w:ascii="Arial" w:eastAsia="宋体" w:hAnsi="Arial" w:cs="Arial"/>
          <w:color w:val="000000"/>
          <w:sz w:val="20"/>
          <w:szCs w:val="20"/>
        </w:rPr>
        <w:t>•A 10% increase or decrease in worldwide equity valuations, on a weigh</w:t>
      </w:r>
      <w:r>
        <w:rPr>
          <w:rFonts w:ascii="Arial" w:eastAsia="宋体" w:hAnsi="Arial" w:cs="Arial"/>
          <w:color w:val="000000"/>
          <w:sz w:val="20"/>
          <w:szCs w:val="20"/>
        </w:rPr>
        <w:t>ted average basis, over the relevant periods for which our management fees are calculated, would result in a corresponding change in our total management fee revenues, on average and over multiple quarters, of approximately 5%; and</w:t>
      </w:r>
    </w:p>
    <w:p w14:paraId="71D3E2E1" w14:textId="77777777" w:rsidR="006A3667" w:rsidRDefault="00045F32">
      <w:pPr>
        <w:spacing w:before="60"/>
        <w:ind w:hanging="360"/>
        <w:jc w:val="both"/>
      </w:pPr>
      <w:r>
        <w:rPr>
          <w:rFonts w:ascii="Arial" w:eastAsia="宋体" w:hAnsi="Arial" w:cs="Arial"/>
          <w:color w:val="000000"/>
          <w:sz w:val="20"/>
          <w:szCs w:val="20"/>
        </w:rPr>
        <w:t xml:space="preserve">•changes in </w:t>
      </w:r>
      <w:r>
        <w:rPr>
          <w:rFonts w:ascii="Arial" w:eastAsia="宋体" w:hAnsi="Arial" w:cs="Arial"/>
          <w:color w:val="000000"/>
          <w:sz w:val="20"/>
          <w:szCs w:val="20"/>
        </w:rPr>
        <w:t>worldwide fixed income markets, which on a weighted average basis and over time are typically less volatile than worldwide equity markets, will have a significantly smaller impact on our management fee revenues on average and over time.</w:t>
      </w:r>
    </w:p>
    <w:p w14:paraId="71D3E2E2" w14:textId="77777777" w:rsidR="006A3667" w:rsidRDefault="00045F32">
      <w:pPr>
        <w:spacing w:before="60"/>
        <w:ind w:firstLine="450"/>
        <w:jc w:val="both"/>
      </w:pPr>
      <w:r>
        <w:rPr>
          <w:rFonts w:ascii="Arial" w:eastAsia="宋体" w:hAnsi="Arial" w:cs="Arial"/>
          <w:color w:val="000000"/>
          <w:sz w:val="20"/>
          <w:szCs w:val="20"/>
        </w:rPr>
        <w:t>Daily averages, mon</w:t>
      </w:r>
      <w:r>
        <w:rPr>
          <w:rFonts w:ascii="Arial" w:eastAsia="宋体" w:hAnsi="Arial" w:cs="Arial"/>
          <w:color w:val="000000"/>
          <w:sz w:val="20"/>
          <w:szCs w:val="20"/>
        </w:rPr>
        <w:t>th-end averages and year-end indices demonstrate worldwide changes in equity and debt markets that affect our management fee revenue. Year-end indices affect the values of AUM as of those dates. See Table 3: Daily Averages, Month-End Averages and Quarter-E</w:t>
      </w:r>
      <w:r>
        <w:rPr>
          <w:rFonts w:ascii="Arial" w:eastAsia="宋体" w:hAnsi="Arial" w:cs="Arial"/>
          <w:color w:val="000000"/>
          <w:sz w:val="20"/>
          <w:szCs w:val="20"/>
        </w:rPr>
        <w:t>nd Equity Indices for selected indices. While the specific indices presented are indicative of general market trends, the asset types and classes relevant to individual client portfolios can and do differ, and the performance of associated relevant indices</w:t>
      </w:r>
      <w:r>
        <w:rPr>
          <w:rFonts w:ascii="Arial" w:eastAsia="宋体" w:hAnsi="Arial" w:cs="Arial"/>
          <w:color w:val="000000"/>
          <w:sz w:val="20"/>
          <w:szCs w:val="20"/>
        </w:rPr>
        <w:t xml:space="preserve"> and of client portfolios can therefore differ from the performance of the indices presented. In addition, our asset classifications may differ from those industry classifications presented.</w:t>
      </w:r>
    </w:p>
    <w:p w14:paraId="71D3E2E3" w14:textId="77777777" w:rsidR="006A3667" w:rsidRDefault="00045F32">
      <w:pPr>
        <w:spacing w:before="60"/>
        <w:ind w:firstLine="450"/>
        <w:jc w:val="both"/>
      </w:pPr>
      <w:r>
        <w:rPr>
          <w:rFonts w:ascii="Arial" w:eastAsia="宋体" w:hAnsi="Arial" w:cs="Arial"/>
          <w:color w:val="000000"/>
          <w:sz w:val="20"/>
          <w:szCs w:val="20"/>
        </w:rPr>
        <w:t>Management fees decreased 10% and 3% in the three and nine months</w:t>
      </w:r>
      <w:r>
        <w:rPr>
          <w:rFonts w:ascii="Arial" w:eastAsia="宋体" w:hAnsi="Arial" w:cs="Arial"/>
          <w:color w:val="000000"/>
          <w:sz w:val="20"/>
          <w:szCs w:val="20"/>
        </w:rPr>
        <w:t xml:space="preserve"> ended September 30, 2022, respectively, compared to same periods in 2021, primarily due to lower average equity and fixed income market levels, a previously reported client-specific pricing adjustment and institutional net outflows, partially offset by th</w:t>
      </w:r>
      <w:r>
        <w:rPr>
          <w:rFonts w:ascii="Arial" w:eastAsia="宋体" w:hAnsi="Arial" w:cs="Arial"/>
          <w:color w:val="000000"/>
          <w:sz w:val="20"/>
          <w:szCs w:val="20"/>
        </w:rPr>
        <w:t xml:space="preserve">e absence of the impact of money market fee waivers and net inflows from cash and ETFs. Currency translation decreased management fees by 3% and 2% in the three and nine months ended September 30, 2022, respectively, relative to the same periods in 2021. </w:t>
      </w:r>
    </w:p>
    <w:p w14:paraId="71D3E2E4" w14:textId="77777777" w:rsidR="006A3667" w:rsidRDefault="00045F32">
      <w:pPr>
        <w:spacing w:before="60"/>
        <w:ind w:firstLine="450"/>
        <w:jc w:val="both"/>
      </w:pPr>
      <w:r>
        <w:rPr>
          <w:rFonts w:ascii="Arial" w:eastAsia="宋体" w:hAnsi="Arial" w:cs="Arial"/>
          <w:color w:val="000000"/>
          <w:sz w:val="20"/>
          <w:szCs w:val="20"/>
        </w:rPr>
        <w:t>Management fees generated outside the U.S. were approximately 25% and 26% of total management fees in the three and nine months ended September 30, 2022, respectively, compared to approximately 26% in both the three and nine months ended September 30, 2021</w:t>
      </w:r>
      <w:r>
        <w:rPr>
          <w:rFonts w:ascii="Arial" w:eastAsia="宋体" w:hAnsi="Arial" w:cs="Arial"/>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39"/>
        <w:gridCol w:w="1906"/>
        <w:gridCol w:w="38"/>
        <w:gridCol w:w="94"/>
        <w:gridCol w:w="1598"/>
        <w:gridCol w:w="37"/>
        <w:gridCol w:w="36"/>
        <w:gridCol w:w="36"/>
        <w:gridCol w:w="36"/>
        <w:gridCol w:w="94"/>
        <w:gridCol w:w="1599"/>
        <w:gridCol w:w="37"/>
        <w:gridCol w:w="36"/>
        <w:gridCol w:w="36"/>
        <w:gridCol w:w="36"/>
        <w:gridCol w:w="94"/>
        <w:gridCol w:w="1599"/>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3E301" w14:textId="77777777">
        <w:tc>
          <w:tcPr>
            <w:tcW w:w="50" w:type="pct"/>
            <w:shd w:val="clear" w:color="auto" w:fill="auto"/>
            <w:vAlign w:val="bottom"/>
          </w:tcPr>
          <w:p w14:paraId="71D3E2E5" w14:textId="77777777" w:rsidR="006A3667" w:rsidRDefault="006A3667">
            <w:pPr>
              <w:rPr>
                <w:rFonts w:ascii="宋体"/>
              </w:rPr>
            </w:pPr>
          </w:p>
        </w:tc>
        <w:tc>
          <w:tcPr>
            <w:tcW w:w="1350" w:type="pct"/>
            <w:shd w:val="clear" w:color="auto" w:fill="auto"/>
            <w:vAlign w:val="bottom"/>
          </w:tcPr>
          <w:p w14:paraId="71D3E2E6" w14:textId="77777777" w:rsidR="006A3667" w:rsidRDefault="006A3667">
            <w:pPr>
              <w:rPr>
                <w:rFonts w:ascii="宋体"/>
              </w:rPr>
            </w:pPr>
          </w:p>
        </w:tc>
        <w:tc>
          <w:tcPr>
            <w:tcW w:w="5" w:type="pct"/>
            <w:shd w:val="clear" w:color="auto" w:fill="auto"/>
            <w:vAlign w:val="bottom"/>
          </w:tcPr>
          <w:p w14:paraId="71D3E2E7" w14:textId="77777777" w:rsidR="006A3667" w:rsidRDefault="006A3667">
            <w:pPr>
              <w:rPr>
                <w:rFonts w:ascii="宋体"/>
              </w:rPr>
            </w:pPr>
          </w:p>
        </w:tc>
        <w:tc>
          <w:tcPr>
            <w:tcW w:w="50" w:type="pct"/>
            <w:shd w:val="clear" w:color="auto" w:fill="auto"/>
            <w:vAlign w:val="bottom"/>
          </w:tcPr>
          <w:p w14:paraId="71D3E2E8" w14:textId="77777777" w:rsidR="006A3667" w:rsidRDefault="006A3667">
            <w:pPr>
              <w:rPr>
                <w:rFonts w:ascii="宋体"/>
              </w:rPr>
            </w:pPr>
          </w:p>
        </w:tc>
        <w:tc>
          <w:tcPr>
            <w:tcW w:w="1123" w:type="pct"/>
            <w:shd w:val="clear" w:color="auto" w:fill="auto"/>
            <w:vAlign w:val="bottom"/>
          </w:tcPr>
          <w:p w14:paraId="71D3E2E9" w14:textId="77777777" w:rsidR="006A3667" w:rsidRDefault="006A3667">
            <w:pPr>
              <w:rPr>
                <w:rFonts w:ascii="宋体"/>
              </w:rPr>
            </w:pPr>
          </w:p>
        </w:tc>
        <w:tc>
          <w:tcPr>
            <w:tcW w:w="5" w:type="pct"/>
            <w:shd w:val="clear" w:color="auto" w:fill="auto"/>
            <w:vAlign w:val="bottom"/>
          </w:tcPr>
          <w:p w14:paraId="71D3E2EA" w14:textId="77777777" w:rsidR="006A3667" w:rsidRDefault="006A3667">
            <w:pPr>
              <w:rPr>
                <w:rFonts w:ascii="宋体"/>
              </w:rPr>
            </w:pPr>
          </w:p>
        </w:tc>
        <w:tc>
          <w:tcPr>
            <w:tcW w:w="5" w:type="pct"/>
            <w:shd w:val="clear" w:color="auto" w:fill="auto"/>
            <w:vAlign w:val="bottom"/>
          </w:tcPr>
          <w:p w14:paraId="71D3E2EB" w14:textId="77777777" w:rsidR="006A3667" w:rsidRDefault="006A3667">
            <w:pPr>
              <w:rPr>
                <w:rFonts w:ascii="宋体"/>
              </w:rPr>
            </w:pPr>
          </w:p>
        </w:tc>
        <w:tc>
          <w:tcPr>
            <w:tcW w:w="19" w:type="pct"/>
            <w:shd w:val="clear" w:color="auto" w:fill="auto"/>
            <w:vAlign w:val="bottom"/>
          </w:tcPr>
          <w:p w14:paraId="71D3E2EC" w14:textId="77777777" w:rsidR="006A3667" w:rsidRDefault="006A3667">
            <w:pPr>
              <w:rPr>
                <w:rFonts w:ascii="宋体"/>
              </w:rPr>
            </w:pPr>
          </w:p>
        </w:tc>
        <w:tc>
          <w:tcPr>
            <w:tcW w:w="5" w:type="pct"/>
            <w:shd w:val="clear" w:color="auto" w:fill="auto"/>
            <w:vAlign w:val="bottom"/>
          </w:tcPr>
          <w:p w14:paraId="71D3E2ED" w14:textId="77777777" w:rsidR="006A3667" w:rsidRDefault="006A3667">
            <w:pPr>
              <w:rPr>
                <w:rFonts w:ascii="宋体"/>
              </w:rPr>
            </w:pPr>
          </w:p>
        </w:tc>
        <w:tc>
          <w:tcPr>
            <w:tcW w:w="50" w:type="pct"/>
            <w:shd w:val="clear" w:color="auto" w:fill="auto"/>
            <w:vAlign w:val="bottom"/>
          </w:tcPr>
          <w:p w14:paraId="71D3E2EE" w14:textId="77777777" w:rsidR="006A3667" w:rsidRDefault="006A3667">
            <w:pPr>
              <w:rPr>
                <w:rFonts w:ascii="宋体"/>
              </w:rPr>
            </w:pPr>
          </w:p>
        </w:tc>
        <w:tc>
          <w:tcPr>
            <w:tcW w:w="1123" w:type="pct"/>
            <w:shd w:val="clear" w:color="auto" w:fill="auto"/>
            <w:vAlign w:val="bottom"/>
          </w:tcPr>
          <w:p w14:paraId="71D3E2EF" w14:textId="77777777" w:rsidR="006A3667" w:rsidRDefault="006A3667">
            <w:pPr>
              <w:rPr>
                <w:rFonts w:ascii="宋体"/>
              </w:rPr>
            </w:pPr>
          </w:p>
        </w:tc>
        <w:tc>
          <w:tcPr>
            <w:tcW w:w="5" w:type="pct"/>
            <w:shd w:val="clear" w:color="auto" w:fill="auto"/>
            <w:vAlign w:val="bottom"/>
          </w:tcPr>
          <w:p w14:paraId="71D3E2F0" w14:textId="77777777" w:rsidR="006A3667" w:rsidRDefault="006A3667">
            <w:pPr>
              <w:rPr>
                <w:rFonts w:ascii="宋体"/>
              </w:rPr>
            </w:pPr>
          </w:p>
        </w:tc>
        <w:tc>
          <w:tcPr>
            <w:tcW w:w="5" w:type="pct"/>
            <w:shd w:val="clear" w:color="auto" w:fill="auto"/>
            <w:vAlign w:val="bottom"/>
          </w:tcPr>
          <w:p w14:paraId="71D3E2F1" w14:textId="77777777" w:rsidR="006A3667" w:rsidRDefault="006A3667">
            <w:pPr>
              <w:rPr>
                <w:rFonts w:ascii="宋体"/>
              </w:rPr>
            </w:pPr>
          </w:p>
        </w:tc>
        <w:tc>
          <w:tcPr>
            <w:tcW w:w="19" w:type="pct"/>
            <w:shd w:val="clear" w:color="auto" w:fill="auto"/>
            <w:vAlign w:val="bottom"/>
          </w:tcPr>
          <w:p w14:paraId="71D3E2F2" w14:textId="77777777" w:rsidR="006A3667" w:rsidRDefault="006A3667">
            <w:pPr>
              <w:rPr>
                <w:rFonts w:ascii="宋体"/>
              </w:rPr>
            </w:pPr>
          </w:p>
        </w:tc>
        <w:tc>
          <w:tcPr>
            <w:tcW w:w="5" w:type="pct"/>
            <w:shd w:val="clear" w:color="auto" w:fill="auto"/>
            <w:vAlign w:val="bottom"/>
          </w:tcPr>
          <w:p w14:paraId="71D3E2F3" w14:textId="77777777" w:rsidR="006A3667" w:rsidRDefault="006A3667">
            <w:pPr>
              <w:rPr>
                <w:rFonts w:ascii="宋体"/>
              </w:rPr>
            </w:pPr>
          </w:p>
        </w:tc>
        <w:tc>
          <w:tcPr>
            <w:tcW w:w="50" w:type="pct"/>
            <w:shd w:val="clear" w:color="auto" w:fill="auto"/>
            <w:vAlign w:val="bottom"/>
          </w:tcPr>
          <w:p w14:paraId="71D3E2F4" w14:textId="77777777" w:rsidR="006A3667" w:rsidRDefault="006A3667">
            <w:pPr>
              <w:rPr>
                <w:rFonts w:ascii="宋体"/>
              </w:rPr>
            </w:pPr>
          </w:p>
        </w:tc>
        <w:tc>
          <w:tcPr>
            <w:tcW w:w="1123" w:type="pct"/>
            <w:shd w:val="clear" w:color="auto" w:fill="auto"/>
            <w:vAlign w:val="bottom"/>
          </w:tcPr>
          <w:p w14:paraId="71D3E2F5" w14:textId="77777777" w:rsidR="006A3667" w:rsidRDefault="006A3667">
            <w:pPr>
              <w:rPr>
                <w:rFonts w:ascii="宋体"/>
              </w:rPr>
            </w:pPr>
          </w:p>
        </w:tc>
        <w:tc>
          <w:tcPr>
            <w:tcW w:w="5" w:type="pct"/>
            <w:shd w:val="clear" w:color="auto" w:fill="auto"/>
            <w:vAlign w:val="bottom"/>
          </w:tcPr>
          <w:p w14:paraId="71D3E2F6" w14:textId="77777777" w:rsidR="006A3667" w:rsidRDefault="006A3667">
            <w:pPr>
              <w:rPr>
                <w:rFonts w:ascii="宋体"/>
              </w:rPr>
            </w:pPr>
          </w:p>
        </w:tc>
        <w:tc>
          <w:tcPr>
            <w:tcW w:w="0" w:type="auto"/>
            <w:shd w:val="clear" w:color="auto" w:fill="auto"/>
            <w:vAlign w:val="bottom"/>
          </w:tcPr>
          <w:p w14:paraId="71D3E2F7" w14:textId="77777777" w:rsidR="006A3667" w:rsidRDefault="006A3667">
            <w:pPr>
              <w:rPr>
                <w:rFonts w:ascii="宋体"/>
                <w:vanish/>
              </w:rPr>
            </w:pPr>
          </w:p>
        </w:tc>
        <w:tc>
          <w:tcPr>
            <w:tcW w:w="0" w:type="auto"/>
            <w:shd w:val="clear" w:color="auto" w:fill="auto"/>
            <w:vAlign w:val="bottom"/>
          </w:tcPr>
          <w:p w14:paraId="71D3E2F8" w14:textId="77777777" w:rsidR="006A3667" w:rsidRDefault="006A3667">
            <w:pPr>
              <w:rPr>
                <w:rFonts w:ascii="宋体"/>
                <w:vanish/>
              </w:rPr>
            </w:pPr>
          </w:p>
        </w:tc>
        <w:tc>
          <w:tcPr>
            <w:tcW w:w="0" w:type="auto"/>
            <w:gridSpan w:val="3"/>
            <w:shd w:val="clear" w:color="auto" w:fill="auto"/>
            <w:vAlign w:val="bottom"/>
          </w:tcPr>
          <w:p w14:paraId="71D3E2F9" w14:textId="77777777" w:rsidR="006A3667" w:rsidRDefault="006A3667">
            <w:pPr>
              <w:rPr>
                <w:rFonts w:ascii="宋体"/>
                <w:vanish/>
              </w:rPr>
            </w:pPr>
          </w:p>
        </w:tc>
        <w:tc>
          <w:tcPr>
            <w:tcW w:w="0" w:type="auto"/>
            <w:gridSpan w:val="3"/>
            <w:shd w:val="clear" w:color="auto" w:fill="auto"/>
            <w:vAlign w:val="bottom"/>
          </w:tcPr>
          <w:p w14:paraId="71D3E2FA" w14:textId="77777777" w:rsidR="006A3667" w:rsidRDefault="006A3667">
            <w:pPr>
              <w:rPr>
                <w:rFonts w:ascii="宋体"/>
                <w:vanish/>
              </w:rPr>
            </w:pPr>
          </w:p>
        </w:tc>
        <w:tc>
          <w:tcPr>
            <w:tcW w:w="0" w:type="auto"/>
            <w:gridSpan w:val="3"/>
            <w:shd w:val="clear" w:color="auto" w:fill="auto"/>
            <w:vAlign w:val="bottom"/>
          </w:tcPr>
          <w:p w14:paraId="71D3E2FB" w14:textId="77777777" w:rsidR="006A3667" w:rsidRDefault="006A3667">
            <w:pPr>
              <w:rPr>
                <w:rFonts w:ascii="宋体"/>
                <w:vanish/>
              </w:rPr>
            </w:pPr>
          </w:p>
        </w:tc>
        <w:tc>
          <w:tcPr>
            <w:tcW w:w="0" w:type="auto"/>
            <w:gridSpan w:val="3"/>
            <w:shd w:val="clear" w:color="auto" w:fill="auto"/>
            <w:vAlign w:val="bottom"/>
          </w:tcPr>
          <w:p w14:paraId="71D3E2FC" w14:textId="77777777" w:rsidR="006A3667" w:rsidRDefault="006A3667">
            <w:pPr>
              <w:rPr>
                <w:rFonts w:ascii="宋体"/>
                <w:vanish/>
              </w:rPr>
            </w:pPr>
          </w:p>
        </w:tc>
        <w:tc>
          <w:tcPr>
            <w:tcW w:w="0" w:type="auto"/>
            <w:gridSpan w:val="3"/>
            <w:shd w:val="clear" w:color="auto" w:fill="auto"/>
            <w:vAlign w:val="bottom"/>
          </w:tcPr>
          <w:p w14:paraId="71D3E2FD" w14:textId="77777777" w:rsidR="006A3667" w:rsidRDefault="006A3667">
            <w:pPr>
              <w:rPr>
                <w:rFonts w:ascii="宋体"/>
                <w:vanish/>
              </w:rPr>
            </w:pPr>
          </w:p>
        </w:tc>
        <w:tc>
          <w:tcPr>
            <w:tcW w:w="0" w:type="auto"/>
            <w:gridSpan w:val="3"/>
            <w:shd w:val="clear" w:color="auto" w:fill="auto"/>
            <w:vAlign w:val="bottom"/>
          </w:tcPr>
          <w:p w14:paraId="71D3E2FE" w14:textId="77777777" w:rsidR="006A3667" w:rsidRDefault="006A3667">
            <w:pPr>
              <w:rPr>
                <w:rFonts w:ascii="宋体"/>
                <w:vanish/>
              </w:rPr>
            </w:pPr>
          </w:p>
        </w:tc>
        <w:tc>
          <w:tcPr>
            <w:tcW w:w="0" w:type="auto"/>
            <w:gridSpan w:val="3"/>
            <w:shd w:val="clear" w:color="auto" w:fill="auto"/>
            <w:vAlign w:val="bottom"/>
          </w:tcPr>
          <w:p w14:paraId="71D3E2FF" w14:textId="77777777" w:rsidR="006A3667" w:rsidRDefault="006A3667">
            <w:pPr>
              <w:rPr>
                <w:rFonts w:ascii="宋体"/>
                <w:vanish/>
              </w:rPr>
            </w:pPr>
          </w:p>
        </w:tc>
        <w:tc>
          <w:tcPr>
            <w:tcW w:w="0" w:type="auto"/>
            <w:gridSpan w:val="3"/>
            <w:shd w:val="clear" w:color="auto" w:fill="auto"/>
            <w:vAlign w:val="bottom"/>
          </w:tcPr>
          <w:p w14:paraId="71D3E300" w14:textId="77777777" w:rsidR="006A3667" w:rsidRDefault="006A3667">
            <w:pPr>
              <w:rPr>
                <w:rFonts w:ascii="宋体"/>
                <w:vanish/>
              </w:rPr>
            </w:pPr>
          </w:p>
        </w:tc>
      </w:tr>
      <w:tr w:rsidR="006A3667" w14:paraId="71D3E30D" w14:textId="77777777">
        <w:tc>
          <w:tcPr>
            <w:tcW w:w="0" w:type="auto"/>
            <w:gridSpan w:val="18"/>
            <w:shd w:val="clear" w:color="auto" w:fill="auto"/>
            <w:tcMar>
              <w:top w:w="40" w:type="dxa"/>
              <w:left w:w="20" w:type="dxa"/>
              <w:bottom w:w="40" w:type="dxa"/>
              <w:right w:w="20" w:type="dxa"/>
            </w:tcMar>
            <w:vAlign w:val="bottom"/>
          </w:tcPr>
          <w:p w14:paraId="71D3E302" w14:textId="77777777" w:rsidR="006A3667" w:rsidRDefault="00045F32">
            <w:pPr>
              <w:textAlignment w:val="bottom"/>
            </w:pPr>
            <w:r>
              <w:rPr>
                <w:rFonts w:ascii="Arial" w:eastAsia="宋体" w:hAnsi="Arial" w:cs="Arial"/>
                <w:b/>
                <w:bCs/>
                <w:color w:val="000000"/>
                <w:sz w:val="16"/>
                <w:szCs w:val="16"/>
              </w:rPr>
              <w:t>TABLE 9: ASSETS UNDER MANAGEMENT BY ASSET CLASS AND INVESTMENT APPROACH</w:t>
            </w:r>
          </w:p>
        </w:tc>
        <w:tc>
          <w:tcPr>
            <w:tcW w:w="0" w:type="auto"/>
            <w:shd w:val="clear" w:color="auto" w:fill="auto"/>
            <w:vAlign w:val="bottom"/>
          </w:tcPr>
          <w:p w14:paraId="71D3E303" w14:textId="77777777" w:rsidR="006A3667" w:rsidRDefault="006A3667">
            <w:pPr>
              <w:rPr>
                <w:rFonts w:ascii="宋体"/>
                <w:vanish/>
              </w:rPr>
            </w:pPr>
          </w:p>
        </w:tc>
        <w:tc>
          <w:tcPr>
            <w:tcW w:w="0" w:type="auto"/>
            <w:shd w:val="clear" w:color="auto" w:fill="auto"/>
            <w:vAlign w:val="bottom"/>
          </w:tcPr>
          <w:p w14:paraId="71D3E304" w14:textId="77777777" w:rsidR="006A3667" w:rsidRDefault="006A3667">
            <w:pPr>
              <w:rPr>
                <w:rFonts w:ascii="宋体"/>
                <w:vanish/>
              </w:rPr>
            </w:pPr>
          </w:p>
        </w:tc>
        <w:tc>
          <w:tcPr>
            <w:tcW w:w="0" w:type="auto"/>
            <w:gridSpan w:val="3"/>
            <w:shd w:val="clear" w:color="auto" w:fill="auto"/>
            <w:vAlign w:val="bottom"/>
          </w:tcPr>
          <w:p w14:paraId="71D3E305" w14:textId="77777777" w:rsidR="006A3667" w:rsidRDefault="006A3667">
            <w:pPr>
              <w:rPr>
                <w:rFonts w:ascii="宋体"/>
                <w:vanish/>
              </w:rPr>
            </w:pPr>
          </w:p>
        </w:tc>
        <w:tc>
          <w:tcPr>
            <w:tcW w:w="0" w:type="auto"/>
            <w:gridSpan w:val="3"/>
            <w:shd w:val="clear" w:color="auto" w:fill="auto"/>
            <w:vAlign w:val="bottom"/>
          </w:tcPr>
          <w:p w14:paraId="71D3E306" w14:textId="77777777" w:rsidR="006A3667" w:rsidRDefault="006A3667">
            <w:pPr>
              <w:rPr>
                <w:rFonts w:ascii="宋体"/>
                <w:vanish/>
              </w:rPr>
            </w:pPr>
          </w:p>
        </w:tc>
        <w:tc>
          <w:tcPr>
            <w:tcW w:w="0" w:type="auto"/>
            <w:gridSpan w:val="3"/>
            <w:shd w:val="clear" w:color="auto" w:fill="auto"/>
            <w:vAlign w:val="bottom"/>
          </w:tcPr>
          <w:p w14:paraId="71D3E307" w14:textId="77777777" w:rsidR="006A3667" w:rsidRDefault="006A3667">
            <w:pPr>
              <w:rPr>
                <w:rFonts w:ascii="宋体"/>
                <w:vanish/>
              </w:rPr>
            </w:pPr>
          </w:p>
        </w:tc>
        <w:tc>
          <w:tcPr>
            <w:tcW w:w="0" w:type="auto"/>
            <w:gridSpan w:val="3"/>
            <w:shd w:val="clear" w:color="auto" w:fill="auto"/>
            <w:vAlign w:val="bottom"/>
          </w:tcPr>
          <w:p w14:paraId="71D3E308" w14:textId="77777777" w:rsidR="006A3667" w:rsidRDefault="006A3667">
            <w:pPr>
              <w:rPr>
                <w:rFonts w:ascii="宋体"/>
                <w:vanish/>
              </w:rPr>
            </w:pPr>
          </w:p>
        </w:tc>
        <w:tc>
          <w:tcPr>
            <w:tcW w:w="0" w:type="auto"/>
            <w:gridSpan w:val="3"/>
            <w:shd w:val="clear" w:color="auto" w:fill="auto"/>
            <w:vAlign w:val="bottom"/>
          </w:tcPr>
          <w:p w14:paraId="71D3E309" w14:textId="77777777" w:rsidR="006A3667" w:rsidRDefault="006A3667">
            <w:pPr>
              <w:rPr>
                <w:rFonts w:ascii="宋体"/>
                <w:vanish/>
              </w:rPr>
            </w:pPr>
          </w:p>
        </w:tc>
        <w:tc>
          <w:tcPr>
            <w:tcW w:w="0" w:type="auto"/>
            <w:gridSpan w:val="3"/>
            <w:shd w:val="clear" w:color="auto" w:fill="auto"/>
            <w:vAlign w:val="bottom"/>
          </w:tcPr>
          <w:p w14:paraId="71D3E30A" w14:textId="77777777" w:rsidR="006A3667" w:rsidRDefault="006A3667">
            <w:pPr>
              <w:rPr>
                <w:rFonts w:ascii="宋体"/>
                <w:vanish/>
              </w:rPr>
            </w:pPr>
          </w:p>
        </w:tc>
        <w:tc>
          <w:tcPr>
            <w:tcW w:w="0" w:type="auto"/>
            <w:gridSpan w:val="3"/>
            <w:shd w:val="clear" w:color="auto" w:fill="auto"/>
            <w:vAlign w:val="bottom"/>
          </w:tcPr>
          <w:p w14:paraId="71D3E30B" w14:textId="77777777" w:rsidR="006A3667" w:rsidRDefault="006A3667">
            <w:pPr>
              <w:rPr>
                <w:rFonts w:ascii="宋体"/>
                <w:vanish/>
              </w:rPr>
            </w:pPr>
          </w:p>
        </w:tc>
        <w:tc>
          <w:tcPr>
            <w:tcW w:w="0" w:type="auto"/>
            <w:gridSpan w:val="3"/>
            <w:shd w:val="clear" w:color="auto" w:fill="auto"/>
            <w:vAlign w:val="bottom"/>
          </w:tcPr>
          <w:p w14:paraId="71D3E30C" w14:textId="77777777" w:rsidR="006A3667" w:rsidRDefault="006A3667">
            <w:pPr>
              <w:rPr>
                <w:rFonts w:ascii="宋体"/>
                <w:vanish/>
              </w:rPr>
            </w:pPr>
          </w:p>
        </w:tc>
      </w:tr>
      <w:tr w:rsidR="006A3667" w14:paraId="71D3E31E" w14:textId="77777777">
        <w:tc>
          <w:tcPr>
            <w:tcW w:w="0" w:type="auto"/>
            <w:gridSpan w:val="3"/>
            <w:shd w:val="clear" w:color="auto" w:fill="auto"/>
            <w:tcMar>
              <w:top w:w="40" w:type="dxa"/>
              <w:left w:w="20" w:type="dxa"/>
              <w:bottom w:w="40" w:type="dxa"/>
              <w:right w:w="20" w:type="dxa"/>
            </w:tcMar>
            <w:vAlign w:val="bottom"/>
          </w:tcPr>
          <w:p w14:paraId="71D3E30E" w14:textId="77777777" w:rsidR="006A3667" w:rsidRDefault="00045F32">
            <w:pPr>
              <w:textAlignment w:val="bottom"/>
            </w:pPr>
            <w:r>
              <w:rPr>
                <w:rFonts w:ascii="Arial" w:eastAsia="宋体" w:hAnsi="Arial" w:cs="Arial"/>
                <w:b/>
                <w:bCs/>
                <w:color w:val="000000"/>
                <w:sz w:val="13"/>
                <w:szCs w:val="13"/>
              </w:rPr>
              <w:t>(In billions)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1D3E30F" w14:textId="77777777" w:rsidR="006A3667" w:rsidRDefault="00045F32">
            <w:pPr>
              <w:jc w:val="center"/>
              <w:textAlignment w:val="bottom"/>
            </w:pPr>
            <w:r>
              <w:rPr>
                <w:rFonts w:ascii="Arial" w:eastAsia="宋体" w:hAnsi="Arial" w:cs="Arial"/>
                <w:b/>
                <w:bCs/>
                <w:color w:val="000000"/>
                <w:sz w:val="13"/>
                <w:szCs w:val="13"/>
              </w:rPr>
              <w:t>September 30, 2022</w:t>
            </w:r>
          </w:p>
        </w:tc>
        <w:tc>
          <w:tcPr>
            <w:tcW w:w="0" w:type="auto"/>
            <w:gridSpan w:val="3"/>
            <w:shd w:val="clear" w:color="auto" w:fill="auto"/>
            <w:tcMar>
              <w:top w:w="0" w:type="dxa"/>
              <w:left w:w="20" w:type="dxa"/>
              <w:bottom w:w="0" w:type="dxa"/>
              <w:right w:w="20" w:type="dxa"/>
            </w:tcMar>
            <w:vAlign w:val="bottom"/>
          </w:tcPr>
          <w:p w14:paraId="71D3E310" w14:textId="77777777" w:rsidR="006A3667" w:rsidRDefault="006A366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1D3E311" w14:textId="77777777" w:rsidR="006A3667" w:rsidRDefault="00045F32">
            <w:pPr>
              <w:jc w:val="center"/>
              <w:textAlignment w:val="bottom"/>
            </w:pPr>
            <w:r>
              <w:rPr>
                <w:rFonts w:ascii="Arial" w:eastAsia="宋体" w:hAnsi="Arial" w:cs="Arial"/>
                <w:b/>
                <w:bCs/>
                <w:color w:val="000000"/>
                <w:sz w:val="13"/>
                <w:szCs w:val="13"/>
              </w:rPr>
              <w:t>December 31, 2021</w:t>
            </w:r>
          </w:p>
        </w:tc>
        <w:tc>
          <w:tcPr>
            <w:tcW w:w="0" w:type="auto"/>
            <w:gridSpan w:val="3"/>
            <w:shd w:val="clear" w:color="auto" w:fill="auto"/>
            <w:tcMar>
              <w:top w:w="0" w:type="dxa"/>
              <w:left w:w="20" w:type="dxa"/>
              <w:bottom w:w="0" w:type="dxa"/>
              <w:right w:w="20" w:type="dxa"/>
            </w:tcMar>
            <w:vAlign w:val="bottom"/>
          </w:tcPr>
          <w:p w14:paraId="71D3E312" w14:textId="77777777" w:rsidR="006A3667" w:rsidRDefault="006A3667">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1D3E313" w14:textId="77777777" w:rsidR="006A3667" w:rsidRDefault="00045F32">
            <w:pPr>
              <w:jc w:val="center"/>
              <w:textAlignment w:val="bottom"/>
            </w:pPr>
            <w:r>
              <w:rPr>
                <w:rFonts w:ascii="Arial" w:eastAsia="宋体" w:hAnsi="Arial" w:cs="Arial"/>
                <w:b/>
                <w:bCs/>
                <w:color w:val="000000"/>
                <w:sz w:val="13"/>
                <w:szCs w:val="13"/>
              </w:rPr>
              <w:t> September 30, 2021</w:t>
            </w:r>
          </w:p>
        </w:tc>
        <w:tc>
          <w:tcPr>
            <w:tcW w:w="0" w:type="auto"/>
            <w:shd w:val="clear" w:color="auto" w:fill="auto"/>
            <w:vAlign w:val="bottom"/>
          </w:tcPr>
          <w:p w14:paraId="71D3E314" w14:textId="77777777" w:rsidR="006A3667" w:rsidRDefault="006A3667">
            <w:pPr>
              <w:rPr>
                <w:rFonts w:ascii="宋体"/>
                <w:vanish/>
              </w:rPr>
            </w:pPr>
          </w:p>
        </w:tc>
        <w:tc>
          <w:tcPr>
            <w:tcW w:w="0" w:type="auto"/>
            <w:shd w:val="clear" w:color="auto" w:fill="auto"/>
            <w:vAlign w:val="bottom"/>
          </w:tcPr>
          <w:p w14:paraId="71D3E315" w14:textId="77777777" w:rsidR="006A3667" w:rsidRDefault="006A3667">
            <w:pPr>
              <w:rPr>
                <w:rFonts w:ascii="宋体"/>
                <w:vanish/>
              </w:rPr>
            </w:pPr>
          </w:p>
        </w:tc>
        <w:tc>
          <w:tcPr>
            <w:tcW w:w="0" w:type="auto"/>
            <w:gridSpan w:val="3"/>
            <w:shd w:val="clear" w:color="auto" w:fill="auto"/>
            <w:vAlign w:val="bottom"/>
          </w:tcPr>
          <w:p w14:paraId="71D3E316" w14:textId="77777777" w:rsidR="006A3667" w:rsidRDefault="006A3667">
            <w:pPr>
              <w:rPr>
                <w:rFonts w:ascii="宋体"/>
                <w:vanish/>
              </w:rPr>
            </w:pPr>
          </w:p>
        </w:tc>
        <w:tc>
          <w:tcPr>
            <w:tcW w:w="0" w:type="auto"/>
            <w:gridSpan w:val="3"/>
            <w:shd w:val="clear" w:color="auto" w:fill="auto"/>
            <w:vAlign w:val="bottom"/>
          </w:tcPr>
          <w:p w14:paraId="71D3E317" w14:textId="77777777" w:rsidR="006A3667" w:rsidRDefault="006A3667">
            <w:pPr>
              <w:rPr>
                <w:rFonts w:ascii="宋体"/>
                <w:vanish/>
              </w:rPr>
            </w:pPr>
          </w:p>
        </w:tc>
        <w:tc>
          <w:tcPr>
            <w:tcW w:w="0" w:type="auto"/>
            <w:gridSpan w:val="3"/>
            <w:shd w:val="clear" w:color="auto" w:fill="auto"/>
            <w:vAlign w:val="bottom"/>
          </w:tcPr>
          <w:p w14:paraId="71D3E318" w14:textId="77777777" w:rsidR="006A3667" w:rsidRDefault="006A3667">
            <w:pPr>
              <w:rPr>
                <w:rFonts w:ascii="宋体"/>
                <w:vanish/>
              </w:rPr>
            </w:pPr>
          </w:p>
        </w:tc>
        <w:tc>
          <w:tcPr>
            <w:tcW w:w="0" w:type="auto"/>
            <w:gridSpan w:val="3"/>
            <w:shd w:val="clear" w:color="auto" w:fill="auto"/>
            <w:vAlign w:val="bottom"/>
          </w:tcPr>
          <w:p w14:paraId="71D3E319" w14:textId="77777777" w:rsidR="006A3667" w:rsidRDefault="006A3667">
            <w:pPr>
              <w:rPr>
                <w:rFonts w:ascii="宋体"/>
                <w:vanish/>
              </w:rPr>
            </w:pPr>
          </w:p>
        </w:tc>
        <w:tc>
          <w:tcPr>
            <w:tcW w:w="0" w:type="auto"/>
            <w:gridSpan w:val="3"/>
            <w:shd w:val="clear" w:color="auto" w:fill="auto"/>
            <w:vAlign w:val="bottom"/>
          </w:tcPr>
          <w:p w14:paraId="71D3E31A" w14:textId="77777777" w:rsidR="006A3667" w:rsidRDefault="006A3667">
            <w:pPr>
              <w:rPr>
                <w:rFonts w:ascii="宋体"/>
                <w:vanish/>
              </w:rPr>
            </w:pPr>
          </w:p>
        </w:tc>
        <w:tc>
          <w:tcPr>
            <w:tcW w:w="0" w:type="auto"/>
            <w:gridSpan w:val="3"/>
            <w:shd w:val="clear" w:color="auto" w:fill="auto"/>
            <w:vAlign w:val="bottom"/>
          </w:tcPr>
          <w:p w14:paraId="71D3E31B" w14:textId="77777777" w:rsidR="006A3667" w:rsidRDefault="006A3667">
            <w:pPr>
              <w:rPr>
                <w:rFonts w:ascii="宋体"/>
                <w:vanish/>
              </w:rPr>
            </w:pPr>
          </w:p>
        </w:tc>
        <w:tc>
          <w:tcPr>
            <w:tcW w:w="0" w:type="auto"/>
            <w:gridSpan w:val="3"/>
            <w:shd w:val="clear" w:color="auto" w:fill="auto"/>
            <w:vAlign w:val="bottom"/>
          </w:tcPr>
          <w:p w14:paraId="71D3E31C" w14:textId="77777777" w:rsidR="006A3667" w:rsidRDefault="006A3667">
            <w:pPr>
              <w:rPr>
                <w:rFonts w:ascii="宋体"/>
                <w:vanish/>
              </w:rPr>
            </w:pPr>
          </w:p>
        </w:tc>
        <w:tc>
          <w:tcPr>
            <w:tcW w:w="0" w:type="auto"/>
            <w:gridSpan w:val="3"/>
            <w:shd w:val="clear" w:color="auto" w:fill="auto"/>
            <w:vAlign w:val="bottom"/>
          </w:tcPr>
          <w:p w14:paraId="71D3E31D" w14:textId="77777777" w:rsidR="006A3667" w:rsidRDefault="006A3667">
            <w:pPr>
              <w:rPr>
                <w:rFonts w:ascii="宋体"/>
                <w:vanish/>
              </w:rPr>
            </w:pPr>
          </w:p>
        </w:tc>
      </w:tr>
      <w:tr w:rsidR="006A3667" w14:paraId="71D3E33A" w14:textId="77777777">
        <w:tc>
          <w:tcPr>
            <w:tcW w:w="0" w:type="auto"/>
            <w:gridSpan w:val="18"/>
            <w:shd w:val="clear" w:color="auto" w:fill="auto"/>
            <w:tcMar>
              <w:top w:w="40" w:type="dxa"/>
              <w:left w:w="20" w:type="dxa"/>
              <w:bottom w:w="40" w:type="dxa"/>
              <w:right w:w="20" w:type="dxa"/>
            </w:tcMar>
            <w:vAlign w:val="bottom"/>
          </w:tcPr>
          <w:p w14:paraId="71D3E31F" w14:textId="77777777" w:rsidR="006A3667" w:rsidRDefault="00045F32">
            <w:pPr>
              <w:textAlignment w:val="bottom"/>
            </w:pPr>
            <w:r>
              <w:rPr>
                <w:rFonts w:ascii="Arial" w:eastAsia="宋体" w:hAnsi="Arial" w:cs="Arial"/>
                <w:color w:val="000000"/>
                <w:sz w:val="13"/>
                <w:szCs w:val="13"/>
              </w:rPr>
              <w:t>Equity:</w:t>
            </w:r>
          </w:p>
        </w:tc>
        <w:tc>
          <w:tcPr>
            <w:tcW w:w="0" w:type="auto"/>
            <w:shd w:val="clear" w:color="auto" w:fill="auto"/>
            <w:vAlign w:val="bottom"/>
          </w:tcPr>
          <w:p w14:paraId="71D3E320" w14:textId="77777777" w:rsidR="006A3667" w:rsidRDefault="006A3667">
            <w:pPr>
              <w:rPr>
                <w:rFonts w:ascii="宋体"/>
                <w:vanish/>
              </w:rPr>
            </w:pPr>
          </w:p>
        </w:tc>
        <w:tc>
          <w:tcPr>
            <w:tcW w:w="0" w:type="auto"/>
            <w:shd w:val="clear" w:color="auto" w:fill="auto"/>
            <w:vAlign w:val="bottom"/>
          </w:tcPr>
          <w:p w14:paraId="71D3E321" w14:textId="77777777" w:rsidR="006A3667" w:rsidRDefault="006A3667">
            <w:pPr>
              <w:rPr>
                <w:rFonts w:ascii="宋体"/>
                <w:vanish/>
              </w:rPr>
            </w:pPr>
          </w:p>
        </w:tc>
        <w:tc>
          <w:tcPr>
            <w:tcW w:w="0" w:type="auto"/>
            <w:shd w:val="clear" w:color="auto" w:fill="auto"/>
            <w:vAlign w:val="bottom"/>
          </w:tcPr>
          <w:p w14:paraId="71D3E322" w14:textId="77777777" w:rsidR="006A3667" w:rsidRDefault="006A3667">
            <w:pPr>
              <w:rPr>
                <w:rFonts w:ascii="宋体"/>
              </w:rPr>
            </w:pPr>
          </w:p>
        </w:tc>
        <w:tc>
          <w:tcPr>
            <w:tcW w:w="0" w:type="auto"/>
            <w:shd w:val="clear" w:color="auto" w:fill="auto"/>
            <w:vAlign w:val="bottom"/>
          </w:tcPr>
          <w:p w14:paraId="71D3E323" w14:textId="77777777" w:rsidR="006A3667" w:rsidRDefault="006A3667">
            <w:pPr>
              <w:rPr>
                <w:rFonts w:ascii="宋体"/>
              </w:rPr>
            </w:pPr>
          </w:p>
        </w:tc>
        <w:tc>
          <w:tcPr>
            <w:tcW w:w="0" w:type="auto"/>
            <w:shd w:val="clear" w:color="auto" w:fill="auto"/>
            <w:vAlign w:val="bottom"/>
          </w:tcPr>
          <w:p w14:paraId="71D3E324" w14:textId="77777777" w:rsidR="006A3667" w:rsidRDefault="006A3667">
            <w:pPr>
              <w:rPr>
                <w:rFonts w:ascii="宋体"/>
              </w:rPr>
            </w:pPr>
          </w:p>
        </w:tc>
        <w:tc>
          <w:tcPr>
            <w:tcW w:w="0" w:type="auto"/>
            <w:shd w:val="clear" w:color="auto" w:fill="auto"/>
            <w:vAlign w:val="bottom"/>
          </w:tcPr>
          <w:p w14:paraId="71D3E325" w14:textId="77777777" w:rsidR="006A3667" w:rsidRDefault="006A3667">
            <w:pPr>
              <w:rPr>
                <w:rFonts w:ascii="宋体"/>
              </w:rPr>
            </w:pPr>
          </w:p>
        </w:tc>
        <w:tc>
          <w:tcPr>
            <w:tcW w:w="0" w:type="auto"/>
            <w:shd w:val="clear" w:color="auto" w:fill="auto"/>
            <w:vAlign w:val="bottom"/>
          </w:tcPr>
          <w:p w14:paraId="71D3E326" w14:textId="77777777" w:rsidR="006A3667" w:rsidRDefault="006A3667">
            <w:pPr>
              <w:rPr>
                <w:rFonts w:ascii="宋体"/>
              </w:rPr>
            </w:pPr>
          </w:p>
        </w:tc>
        <w:tc>
          <w:tcPr>
            <w:tcW w:w="0" w:type="auto"/>
            <w:shd w:val="clear" w:color="auto" w:fill="auto"/>
            <w:vAlign w:val="bottom"/>
          </w:tcPr>
          <w:p w14:paraId="71D3E327" w14:textId="77777777" w:rsidR="006A3667" w:rsidRDefault="006A3667">
            <w:pPr>
              <w:rPr>
                <w:rFonts w:ascii="宋体"/>
              </w:rPr>
            </w:pPr>
          </w:p>
        </w:tc>
        <w:tc>
          <w:tcPr>
            <w:tcW w:w="0" w:type="auto"/>
            <w:shd w:val="clear" w:color="auto" w:fill="auto"/>
            <w:vAlign w:val="bottom"/>
          </w:tcPr>
          <w:p w14:paraId="71D3E328" w14:textId="77777777" w:rsidR="006A3667" w:rsidRDefault="006A3667">
            <w:pPr>
              <w:rPr>
                <w:rFonts w:ascii="宋体"/>
              </w:rPr>
            </w:pPr>
          </w:p>
        </w:tc>
        <w:tc>
          <w:tcPr>
            <w:tcW w:w="0" w:type="auto"/>
            <w:shd w:val="clear" w:color="auto" w:fill="auto"/>
            <w:vAlign w:val="bottom"/>
          </w:tcPr>
          <w:p w14:paraId="71D3E329" w14:textId="77777777" w:rsidR="006A3667" w:rsidRDefault="006A3667">
            <w:pPr>
              <w:rPr>
                <w:rFonts w:ascii="宋体"/>
              </w:rPr>
            </w:pPr>
          </w:p>
        </w:tc>
        <w:tc>
          <w:tcPr>
            <w:tcW w:w="0" w:type="auto"/>
            <w:shd w:val="clear" w:color="auto" w:fill="auto"/>
            <w:vAlign w:val="bottom"/>
          </w:tcPr>
          <w:p w14:paraId="71D3E32A" w14:textId="77777777" w:rsidR="006A3667" w:rsidRDefault="006A3667">
            <w:pPr>
              <w:rPr>
                <w:rFonts w:ascii="宋体"/>
              </w:rPr>
            </w:pPr>
          </w:p>
        </w:tc>
        <w:tc>
          <w:tcPr>
            <w:tcW w:w="0" w:type="auto"/>
            <w:shd w:val="clear" w:color="auto" w:fill="auto"/>
            <w:vAlign w:val="bottom"/>
          </w:tcPr>
          <w:p w14:paraId="71D3E32B" w14:textId="77777777" w:rsidR="006A3667" w:rsidRDefault="006A3667">
            <w:pPr>
              <w:rPr>
                <w:rFonts w:ascii="宋体"/>
              </w:rPr>
            </w:pPr>
          </w:p>
        </w:tc>
        <w:tc>
          <w:tcPr>
            <w:tcW w:w="0" w:type="auto"/>
            <w:shd w:val="clear" w:color="auto" w:fill="auto"/>
            <w:vAlign w:val="bottom"/>
          </w:tcPr>
          <w:p w14:paraId="71D3E32C" w14:textId="77777777" w:rsidR="006A3667" w:rsidRDefault="006A3667">
            <w:pPr>
              <w:rPr>
                <w:rFonts w:ascii="宋体"/>
              </w:rPr>
            </w:pPr>
          </w:p>
        </w:tc>
        <w:tc>
          <w:tcPr>
            <w:tcW w:w="0" w:type="auto"/>
            <w:shd w:val="clear" w:color="auto" w:fill="auto"/>
            <w:vAlign w:val="bottom"/>
          </w:tcPr>
          <w:p w14:paraId="71D3E32D" w14:textId="77777777" w:rsidR="006A3667" w:rsidRDefault="006A3667">
            <w:pPr>
              <w:rPr>
                <w:rFonts w:ascii="宋体"/>
              </w:rPr>
            </w:pPr>
          </w:p>
        </w:tc>
        <w:tc>
          <w:tcPr>
            <w:tcW w:w="0" w:type="auto"/>
            <w:shd w:val="clear" w:color="auto" w:fill="auto"/>
            <w:vAlign w:val="bottom"/>
          </w:tcPr>
          <w:p w14:paraId="71D3E32E" w14:textId="77777777" w:rsidR="006A3667" w:rsidRDefault="006A3667">
            <w:pPr>
              <w:rPr>
                <w:rFonts w:ascii="宋体"/>
              </w:rPr>
            </w:pPr>
          </w:p>
        </w:tc>
        <w:tc>
          <w:tcPr>
            <w:tcW w:w="0" w:type="auto"/>
            <w:shd w:val="clear" w:color="auto" w:fill="auto"/>
            <w:vAlign w:val="bottom"/>
          </w:tcPr>
          <w:p w14:paraId="71D3E32F" w14:textId="77777777" w:rsidR="006A3667" w:rsidRDefault="006A3667">
            <w:pPr>
              <w:rPr>
                <w:rFonts w:ascii="宋体"/>
              </w:rPr>
            </w:pPr>
          </w:p>
        </w:tc>
        <w:tc>
          <w:tcPr>
            <w:tcW w:w="0" w:type="auto"/>
            <w:shd w:val="clear" w:color="auto" w:fill="auto"/>
            <w:vAlign w:val="bottom"/>
          </w:tcPr>
          <w:p w14:paraId="71D3E330" w14:textId="77777777" w:rsidR="006A3667" w:rsidRDefault="006A3667">
            <w:pPr>
              <w:rPr>
                <w:rFonts w:ascii="宋体"/>
              </w:rPr>
            </w:pPr>
          </w:p>
        </w:tc>
        <w:tc>
          <w:tcPr>
            <w:tcW w:w="0" w:type="auto"/>
            <w:shd w:val="clear" w:color="auto" w:fill="auto"/>
            <w:vAlign w:val="bottom"/>
          </w:tcPr>
          <w:p w14:paraId="71D3E331" w14:textId="77777777" w:rsidR="006A3667" w:rsidRDefault="006A3667">
            <w:pPr>
              <w:rPr>
                <w:rFonts w:ascii="宋体"/>
              </w:rPr>
            </w:pPr>
          </w:p>
        </w:tc>
        <w:tc>
          <w:tcPr>
            <w:tcW w:w="0" w:type="auto"/>
            <w:shd w:val="clear" w:color="auto" w:fill="auto"/>
            <w:vAlign w:val="bottom"/>
          </w:tcPr>
          <w:p w14:paraId="71D3E332" w14:textId="77777777" w:rsidR="006A3667" w:rsidRDefault="006A3667">
            <w:pPr>
              <w:rPr>
                <w:rFonts w:ascii="宋体"/>
              </w:rPr>
            </w:pPr>
          </w:p>
        </w:tc>
        <w:tc>
          <w:tcPr>
            <w:tcW w:w="0" w:type="auto"/>
            <w:shd w:val="clear" w:color="auto" w:fill="auto"/>
            <w:vAlign w:val="bottom"/>
          </w:tcPr>
          <w:p w14:paraId="71D3E333" w14:textId="77777777" w:rsidR="006A3667" w:rsidRDefault="006A3667">
            <w:pPr>
              <w:rPr>
                <w:rFonts w:ascii="宋体"/>
              </w:rPr>
            </w:pPr>
          </w:p>
        </w:tc>
        <w:tc>
          <w:tcPr>
            <w:tcW w:w="0" w:type="auto"/>
            <w:shd w:val="clear" w:color="auto" w:fill="auto"/>
            <w:vAlign w:val="bottom"/>
          </w:tcPr>
          <w:p w14:paraId="71D3E334" w14:textId="77777777" w:rsidR="006A3667" w:rsidRDefault="006A3667">
            <w:pPr>
              <w:rPr>
                <w:rFonts w:ascii="宋体"/>
              </w:rPr>
            </w:pPr>
          </w:p>
        </w:tc>
        <w:tc>
          <w:tcPr>
            <w:tcW w:w="0" w:type="auto"/>
            <w:shd w:val="clear" w:color="auto" w:fill="auto"/>
            <w:vAlign w:val="bottom"/>
          </w:tcPr>
          <w:p w14:paraId="71D3E335" w14:textId="77777777" w:rsidR="006A3667" w:rsidRDefault="006A3667">
            <w:pPr>
              <w:rPr>
                <w:rFonts w:ascii="宋体"/>
              </w:rPr>
            </w:pPr>
          </w:p>
        </w:tc>
        <w:tc>
          <w:tcPr>
            <w:tcW w:w="0" w:type="auto"/>
            <w:shd w:val="clear" w:color="auto" w:fill="auto"/>
            <w:vAlign w:val="bottom"/>
          </w:tcPr>
          <w:p w14:paraId="71D3E336" w14:textId="77777777" w:rsidR="006A3667" w:rsidRDefault="006A3667">
            <w:pPr>
              <w:rPr>
                <w:rFonts w:ascii="宋体"/>
              </w:rPr>
            </w:pPr>
          </w:p>
        </w:tc>
        <w:tc>
          <w:tcPr>
            <w:tcW w:w="0" w:type="auto"/>
            <w:shd w:val="clear" w:color="auto" w:fill="auto"/>
            <w:vAlign w:val="bottom"/>
          </w:tcPr>
          <w:p w14:paraId="71D3E337" w14:textId="77777777" w:rsidR="006A3667" w:rsidRDefault="006A3667">
            <w:pPr>
              <w:rPr>
                <w:rFonts w:ascii="宋体"/>
              </w:rPr>
            </w:pPr>
          </w:p>
        </w:tc>
        <w:tc>
          <w:tcPr>
            <w:tcW w:w="0" w:type="auto"/>
            <w:shd w:val="clear" w:color="auto" w:fill="auto"/>
            <w:vAlign w:val="bottom"/>
          </w:tcPr>
          <w:p w14:paraId="71D3E338" w14:textId="77777777" w:rsidR="006A3667" w:rsidRDefault="006A3667">
            <w:pPr>
              <w:rPr>
                <w:rFonts w:ascii="宋体"/>
              </w:rPr>
            </w:pPr>
          </w:p>
        </w:tc>
        <w:tc>
          <w:tcPr>
            <w:tcW w:w="0" w:type="auto"/>
            <w:shd w:val="clear" w:color="auto" w:fill="auto"/>
            <w:vAlign w:val="bottom"/>
          </w:tcPr>
          <w:p w14:paraId="71D3E339" w14:textId="77777777" w:rsidR="006A3667" w:rsidRDefault="006A3667">
            <w:pPr>
              <w:rPr>
                <w:rFonts w:ascii="宋体"/>
              </w:rPr>
            </w:pPr>
          </w:p>
        </w:tc>
      </w:tr>
      <w:tr w:rsidR="006A3667" w14:paraId="71D3E351" w14:textId="77777777">
        <w:tc>
          <w:tcPr>
            <w:tcW w:w="0" w:type="auto"/>
            <w:gridSpan w:val="3"/>
            <w:shd w:val="clear" w:color="auto" w:fill="CCEEFF"/>
            <w:tcMar>
              <w:top w:w="40" w:type="dxa"/>
              <w:left w:w="20" w:type="dxa"/>
              <w:bottom w:w="40" w:type="dxa"/>
              <w:right w:w="20" w:type="dxa"/>
            </w:tcMar>
            <w:vAlign w:val="bottom"/>
          </w:tcPr>
          <w:p w14:paraId="71D3E33B" w14:textId="77777777" w:rsidR="006A3667" w:rsidRDefault="00045F32">
            <w:pPr>
              <w:textAlignment w:val="bottom"/>
            </w:pPr>
            <w:r>
              <w:rPr>
                <w:rFonts w:ascii="Arial" w:eastAsia="宋体" w:hAnsi="Arial" w:cs="Arial"/>
                <w:color w:val="000000"/>
                <w:sz w:val="13"/>
                <w:szCs w:val="13"/>
              </w:rPr>
              <w:t>  Active</w:t>
            </w:r>
          </w:p>
        </w:tc>
        <w:tc>
          <w:tcPr>
            <w:tcW w:w="0" w:type="auto"/>
            <w:shd w:val="clear" w:color="auto" w:fill="CCEEFF"/>
            <w:tcMar>
              <w:top w:w="40" w:type="dxa"/>
              <w:left w:w="20" w:type="dxa"/>
              <w:bottom w:w="40" w:type="dxa"/>
              <w:right w:w="0" w:type="dxa"/>
            </w:tcMar>
            <w:vAlign w:val="bottom"/>
          </w:tcPr>
          <w:p w14:paraId="71D3E33C"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3E33D" w14:textId="77777777" w:rsidR="006A3667" w:rsidRDefault="00045F32">
            <w:pPr>
              <w:jc w:val="right"/>
              <w:textAlignment w:val="bottom"/>
            </w:pPr>
            <w:r>
              <w:rPr>
                <w:rFonts w:ascii="Arial" w:eastAsia="宋体" w:hAnsi="Arial" w:cs="Arial"/>
                <w:b/>
                <w:bCs/>
                <w:color w:val="000000"/>
                <w:sz w:val="13"/>
                <w:szCs w:val="13"/>
              </w:rPr>
              <w:t>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3E3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33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E340"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3E341" w14:textId="77777777" w:rsidR="006A3667" w:rsidRDefault="00045F32">
            <w:pPr>
              <w:jc w:val="right"/>
              <w:textAlignment w:val="bottom"/>
            </w:pPr>
            <w:r>
              <w:rPr>
                <w:rFonts w:ascii="Arial" w:eastAsia="宋体" w:hAnsi="Arial" w:cs="Arial"/>
                <w:color w:val="000000"/>
                <w:sz w:val="13"/>
                <w:szCs w:val="13"/>
              </w:rPr>
              <w:t>80 </w:t>
            </w:r>
          </w:p>
        </w:tc>
        <w:tc>
          <w:tcPr>
            <w:tcW w:w="0" w:type="auto"/>
            <w:shd w:val="clear" w:color="auto" w:fill="CCEEFF"/>
            <w:tcMar>
              <w:top w:w="40" w:type="dxa"/>
              <w:left w:w="0" w:type="dxa"/>
              <w:bottom w:w="40" w:type="dxa"/>
              <w:right w:w="20" w:type="dxa"/>
            </w:tcMar>
            <w:vAlign w:val="bottom"/>
          </w:tcPr>
          <w:p w14:paraId="71D3E3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34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E344"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3E345" w14:textId="77777777" w:rsidR="006A3667" w:rsidRDefault="00045F32">
            <w:pPr>
              <w:jc w:val="right"/>
              <w:textAlignment w:val="bottom"/>
            </w:pPr>
            <w:r>
              <w:rPr>
                <w:rFonts w:ascii="Arial" w:eastAsia="宋体" w:hAnsi="Arial" w:cs="Arial"/>
                <w:color w:val="000000"/>
                <w:sz w:val="13"/>
                <w:szCs w:val="13"/>
              </w:rPr>
              <w:t>79 </w:t>
            </w:r>
          </w:p>
        </w:tc>
        <w:tc>
          <w:tcPr>
            <w:tcW w:w="0" w:type="auto"/>
            <w:shd w:val="clear" w:color="auto" w:fill="CCEEFF"/>
            <w:tcMar>
              <w:top w:w="40" w:type="dxa"/>
              <w:left w:w="0" w:type="dxa"/>
              <w:bottom w:w="40" w:type="dxa"/>
              <w:right w:w="20" w:type="dxa"/>
            </w:tcMar>
            <w:vAlign w:val="bottom"/>
          </w:tcPr>
          <w:p w14:paraId="71D3E346" w14:textId="77777777" w:rsidR="006A3667" w:rsidRDefault="006A3667">
            <w:pPr>
              <w:jc w:val="right"/>
              <w:rPr>
                <w:rFonts w:ascii="宋体"/>
              </w:rPr>
            </w:pPr>
          </w:p>
        </w:tc>
        <w:tc>
          <w:tcPr>
            <w:tcW w:w="0" w:type="auto"/>
            <w:shd w:val="clear" w:color="auto" w:fill="auto"/>
            <w:vAlign w:val="bottom"/>
          </w:tcPr>
          <w:p w14:paraId="71D3E347" w14:textId="77777777" w:rsidR="006A3667" w:rsidRDefault="006A3667">
            <w:pPr>
              <w:rPr>
                <w:rFonts w:ascii="宋体"/>
                <w:vanish/>
              </w:rPr>
            </w:pPr>
          </w:p>
        </w:tc>
        <w:tc>
          <w:tcPr>
            <w:tcW w:w="0" w:type="auto"/>
            <w:shd w:val="clear" w:color="auto" w:fill="auto"/>
            <w:vAlign w:val="bottom"/>
          </w:tcPr>
          <w:p w14:paraId="71D3E348" w14:textId="77777777" w:rsidR="006A3667" w:rsidRDefault="006A3667">
            <w:pPr>
              <w:rPr>
                <w:rFonts w:ascii="宋体"/>
                <w:vanish/>
              </w:rPr>
            </w:pPr>
          </w:p>
        </w:tc>
        <w:tc>
          <w:tcPr>
            <w:tcW w:w="0" w:type="auto"/>
            <w:gridSpan w:val="3"/>
            <w:shd w:val="clear" w:color="auto" w:fill="auto"/>
            <w:vAlign w:val="bottom"/>
          </w:tcPr>
          <w:p w14:paraId="71D3E349" w14:textId="77777777" w:rsidR="006A3667" w:rsidRDefault="006A3667">
            <w:pPr>
              <w:rPr>
                <w:rFonts w:ascii="宋体"/>
                <w:vanish/>
              </w:rPr>
            </w:pPr>
          </w:p>
        </w:tc>
        <w:tc>
          <w:tcPr>
            <w:tcW w:w="0" w:type="auto"/>
            <w:gridSpan w:val="3"/>
            <w:shd w:val="clear" w:color="auto" w:fill="auto"/>
            <w:vAlign w:val="bottom"/>
          </w:tcPr>
          <w:p w14:paraId="71D3E34A" w14:textId="77777777" w:rsidR="006A3667" w:rsidRDefault="006A3667">
            <w:pPr>
              <w:rPr>
                <w:rFonts w:ascii="宋体"/>
                <w:vanish/>
              </w:rPr>
            </w:pPr>
          </w:p>
        </w:tc>
        <w:tc>
          <w:tcPr>
            <w:tcW w:w="0" w:type="auto"/>
            <w:gridSpan w:val="3"/>
            <w:shd w:val="clear" w:color="auto" w:fill="auto"/>
            <w:vAlign w:val="bottom"/>
          </w:tcPr>
          <w:p w14:paraId="71D3E34B" w14:textId="77777777" w:rsidR="006A3667" w:rsidRDefault="006A3667">
            <w:pPr>
              <w:rPr>
                <w:rFonts w:ascii="宋体"/>
                <w:vanish/>
              </w:rPr>
            </w:pPr>
          </w:p>
        </w:tc>
        <w:tc>
          <w:tcPr>
            <w:tcW w:w="0" w:type="auto"/>
            <w:gridSpan w:val="3"/>
            <w:shd w:val="clear" w:color="auto" w:fill="auto"/>
            <w:vAlign w:val="bottom"/>
          </w:tcPr>
          <w:p w14:paraId="71D3E34C" w14:textId="77777777" w:rsidR="006A3667" w:rsidRDefault="006A3667">
            <w:pPr>
              <w:rPr>
                <w:rFonts w:ascii="宋体"/>
                <w:vanish/>
              </w:rPr>
            </w:pPr>
          </w:p>
        </w:tc>
        <w:tc>
          <w:tcPr>
            <w:tcW w:w="0" w:type="auto"/>
            <w:gridSpan w:val="3"/>
            <w:shd w:val="clear" w:color="auto" w:fill="auto"/>
            <w:vAlign w:val="bottom"/>
          </w:tcPr>
          <w:p w14:paraId="71D3E34D" w14:textId="77777777" w:rsidR="006A3667" w:rsidRDefault="006A3667">
            <w:pPr>
              <w:rPr>
                <w:rFonts w:ascii="宋体"/>
                <w:vanish/>
              </w:rPr>
            </w:pPr>
          </w:p>
        </w:tc>
        <w:tc>
          <w:tcPr>
            <w:tcW w:w="0" w:type="auto"/>
            <w:gridSpan w:val="3"/>
            <w:shd w:val="clear" w:color="auto" w:fill="auto"/>
            <w:vAlign w:val="bottom"/>
          </w:tcPr>
          <w:p w14:paraId="71D3E34E" w14:textId="77777777" w:rsidR="006A3667" w:rsidRDefault="006A3667">
            <w:pPr>
              <w:rPr>
                <w:rFonts w:ascii="宋体"/>
                <w:vanish/>
              </w:rPr>
            </w:pPr>
          </w:p>
        </w:tc>
        <w:tc>
          <w:tcPr>
            <w:tcW w:w="0" w:type="auto"/>
            <w:gridSpan w:val="3"/>
            <w:shd w:val="clear" w:color="auto" w:fill="auto"/>
            <w:vAlign w:val="bottom"/>
          </w:tcPr>
          <w:p w14:paraId="71D3E34F" w14:textId="77777777" w:rsidR="006A3667" w:rsidRDefault="006A3667">
            <w:pPr>
              <w:rPr>
                <w:rFonts w:ascii="宋体"/>
                <w:vanish/>
              </w:rPr>
            </w:pPr>
          </w:p>
        </w:tc>
        <w:tc>
          <w:tcPr>
            <w:tcW w:w="0" w:type="auto"/>
            <w:gridSpan w:val="3"/>
            <w:shd w:val="clear" w:color="auto" w:fill="auto"/>
            <w:vAlign w:val="bottom"/>
          </w:tcPr>
          <w:p w14:paraId="71D3E350" w14:textId="77777777" w:rsidR="006A3667" w:rsidRDefault="006A3667">
            <w:pPr>
              <w:rPr>
                <w:rFonts w:ascii="宋体"/>
                <w:vanish/>
              </w:rPr>
            </w:pPr>
          </w:p>
        </w:tc>
      </w:tr>
      <w:tr w:rsidR="006A3667" w14:paraId="71D3E365" w14:textId="77777777">
        <w:tc>
          <w:tcPr>
            <w:tcW w:w="0" w:type="auto"/>
            <w:gridSpan w:val="3"/>
            <w:shd w:val="clear" w:color="auto" w:fill="FFFFFF"/>
            <w:tcMar>
              <w:top w:w="40" w:type="dxa"/>
              <w:left w:w="20" w:type="dxa"/>
              <w:bottom w:w="40" w:type="dxa"/>
              <w:right w:w="20" w:type="dxa"/>
            </w:tcMar>
            <w:vAlign w:val="bottom"/>
          </w:tcPr>
          <w:p w14:paraId="71D3E352" w14:textId="77777777" w:rsidR="006A3667" w:rsidRDefault="00045F32">
            <w:pPr>
              <w:textAlignment w:val="bottom"/>
            </w:pPr>
            <w:r>
              <w:rPr>
                <w:rFonts w:ascii="Arial" w:eastAsia="宋体" w:hAnsi="Arial" w:cs="Arial"/>
                <w:color w:val="000000"/>
                <w:sz w:val="13"/>
                <w:szCs w:val="13"/>
              </w:rPr>
              <w:t>  Passive</w:t>
            </w:r>
          </w:p>
        </w:tc>
        <w:tc>
          <w:tcPr>
            <w:tcW w:w="0" w:type="auto"/>
            <w:gridSpan w:val="2"/>
            <w:shd w:val="clear" w:color="auto" w:fill="FFFFFF"/>
            <w:tcMar>
              <w:top w:w="40" w:type="dxa"/>
              <w:left w:w="20" w:type="dxa"/>
              <w:bottom w:w="40" w:type="dxa"/>
              <w:right w:w="0" w:type="dxa"/>
            </w:tcMar>
            <w:vAlign w:val="bottom"/>
          </w:tcPr>
          <w:p w14:paraId="71D3E353" w14:textId="77777777" w:rsidR="006A3667" w:rsidRDefault="00045F32">
            <w:pPr>
              <w:jc w:val="right"/>
              <w:textAlignment w:val="bottom"/>
            </w:pPr>
            <w:r>
              <w:rPr>
                <w:rFonts w:ascii="Arial" w:eastAsia="宋体" w:hAnsi="Arial" w:cs="Arial"/>
                <w:b/>
                <w:bCs/>
                <w:color w:val="000000"/>
                <w:sz w:val="13"/>
                <w:szCs w:val="13"/>
              </w:rPr>
              <w:t>1,890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3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3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356" w14:textId="77777777" w:rsidR="006A3667" w:rsidRDefault="00045F32">
            <w:pPr>
              <w:jc w:val="right"/>
              <w:textAlignment w:val="bottom"/>
            </w:pPr>
            <w:r>
              <w:rPr>
                <w:rFonts w:ascii="Arial" w:eastAsia="宋体" w:hAnsi="Arial" w:cs="Arial"/>
                <w:color w:val="000000"/>
                <w:sz w:val="13"/>
                <w:szCs w:val="13"/>
              </w:rPr>
              <w:t>2,594 </w:t>
            </w:r>
          </w:p>
        </w:tc>
        <w:tc>
          <w:tcPr>
            <w:tcW w:w="0" w:type="auto"/>
            <w:shd w:val="clear" w:color="auto" w:fill="FFFFFF"/>
            <w:tcMar>
              <w:top w:w="40" w:type="dxa"/>
              <w:left w:w="0" w:type="dxa"/>
              <w:bottom w:w="40" w:type="dxa"/>
              <w:right w:w="20" w:type="dxa"/>
            </w:tcMar>
            <w:vAlign w:val="bottom"/>
          </w:tcPr>
          <w:p w14:paraId="71D3E3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35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359" w14:textId="77777777" w:rsidR="006A3667" w:rsidRDefault="00045F32">
            <w:pPr>
              <w:jc w:val="right"/>
              <w:textAlignment w:val="bottom"/>
            </w:pPr>
            <w:r>
              <w:rPr>
                <w:rFonts w:ascii="Arial" w:eastAsia="宋体" w:hAnsi="Arial" w:cs="Arial"/>
                <w:color w:val="000000"/>
                <w:sz w:val="13"/>
                <w:szCs w:val="13"/>
              </w:rPr>
              <w:t>2,361 </w:t>
            </w:r>
          </w:p>
        </w:tc>
        <w:tc>
          <w:tcPr>
            <w:tcW w:w="0" w:type="auto"/>
            <w:shd w:val="clear" w:color="auto" w:fill="FFFFFF"/>
            <w:tcMar>
              <w:top w:w="40" w:type="dxa"/>
              <w:left w:w="0" w:type="dxa"/>
              <w:bottom w:w="40" w:type="dxa"/>
              <w:right w:w="20" w:type="dxa"/>
            </w:tcMar>
            <w:vAlign w:val="bottom"/>
          </w:tcPr>
          <w:p w14:paraId="71D3E35A" w14:textId="77777777" w:rsidR="006A3667" w:rsidRDefault="006A3667">
            <w:pPr>
              <w:jc w:val="right"/>
              <w:rPr>
                <w:rFonts w:ascii="宋体"/>
              </w:rPr>
            </w:pPr>
          </w:p>
        </w:tc>
        <w:tc>
          <w:tcPr>
            <w:tcW w:w="0" w:type="auto"/>
            <w:shd w:val="clear" w:color="auto" w:fill="auto"/>
            <w:vAlign w:val="bottom"/>
          </w:tcPr>
          <w:p w14:paraId="71D3E35B" w14:textId="77777777" w:rsidR="006A3667" w:rsidRDefault="006A3667">
            <w:pPr>
              <w:rPr>
                <w:rFonts w:ascii="宋体"/>
                <w:vanish/>
              </w:rPr>
            </w:pPr>
          </w:p>
        </w:tc>
        <w:tc>
          <w:tcPr>
            <w:tcW w:w="0" w:type="auto"/>
            <w:shd w:val="clear" w:color="auto" w:fill="auto"/>
            <w:vAlign w:val="bottom"/>
          </w:tcPr>
          <w:p w14:paraId="71D3E35C" w14:textId="77777777" w:rsidR="006A3667" w:rsidRDefault="006A3667">
            <w:pPr>
              <w:rPr>
                <w:rFonts w:ascii="宋体"/>
                <w:vanish/>
              </w:rPr>
            </w:pPr>
          </w:p>
        </w:tc>
        <w:tc>
          <w:tcPr>
            <w:tcW w:w="0" w:type="auto"/>
            <w:gridSpan w:val="3"/>
            <w:shd w:val="clear" w:color="auto" w:fill="auto"/>
            <w:vAlign w:val="bottom"/>
          </w:tcPr>
          <w:p w14:paraId="71D3E35D" w14:textId="77777777" w:rsidR="006A3667" w:rsidRDefault="006A3667">
            <w:pPr>
              <w:rPr>
                <w:rFonts w:ascii="宋体"/>
                <w:vanish/>
              </w:rPr>
            </w:pPr>
          </w:p>
        </w:tc>
        <w:tc>
          <w:tcPr>
            <w:tcW w:w="0" w:type="auto"/>
            <w:gridSpan w:val="3"/>
            <w:shd w:val="clear" w:color="auto" w:fill="auto"/>
            <w:vAlign w:val="bottom"/>
          </w:tcPr>
          <w:p w14:paraId="71D3E35E" w14:textId="77777777" w:rsidR="006A3667" w:rsidRDefault="006A3667">
            <w:pPr>
              <w:rPr>
                <w:rFonts w:ascii="宋体"/>
                <w:vanish/>
              </w:rPr>
            </w:pPr>
          </w:p>
        </w:tc>
        <w:tc>
          <w:tcPr>
            <w:tcW w:w="0" w:type="auto"/>
            <w:gridSpan w:val="3"/>
            <w:shd w:val="clear" w:color="auto" w:fill="auto"/>
            <w:vAlign w:val="bottom"/>
          </w:tcPr>
          <w:p w14:paraId="71D3E35F" w14:textId="77777777" w:rsidR="006A3667" w:rsidRDefault="006A3667">
            <w:pPr>
              <w:rPr>
                <w:rFonts w:ascii="宋体"/>
                <w:vanish/>
              </w:rPr>
            </w:pPr>
          </w:p>
        </w:tc>
        <w:tc>
          <w:tcPr>
            <w:tcW w:w="0" w:type="auto"/>
            <w:gridSpan w:val="3"/>
            <w:shd w:val="clear" w:color="auto" w:fill="auto"/>
            <w:vAlign w:val="bottom"/>
          </w:tcPr>
          <w:p w14:paraId="71D3E360" w14:textId="77777777" w:rsidR="006A3667" w:rsidRDefault="006A3667">
            <w:pPr>
              <w:rPr>
                <w:rFonts w:ascii="宋体"/>
                <w:vanish/>
              </w:rPr>
            </w:pPr>
          </w:p>
        </w:tc>
        <w:tc>
          <w:tcPr>
            <w:tcW w:w="0" w:type="auto"/>
            <w:gridSpan w:val="3"/>
            <w:shd w:val="clear" w:color="auto" w:fill="auto"/>
            <w:vAlign w:val="bottom"/>
          </w:tcPr>
          <w:p w14:paraId="71D3E361" w14:textId="77777777" w:rsidR="006A3667" w:rsidRDefault="006A3667">
            <w:pPr>
              <w:rPr>
                <w:rFonts w:ascii="宋体"/>
                <w:vanish/>
              </w:rPr>
            </w:pPr>
          </w:p>
        </w:tc>
        <w:tc>
          <w:tcPr>
            <w:tcW w:w="0" w:type="auto"/>
            <w:gridSpan w:val="3"/>
            <w:shd w:val="clear" w:color="auto" w:fill="auto"/>
            <w:vAlign w:val="bottom"/>
          </w:tcPr>
          <w:p w14:paraId="71D3E362" w14:textId="77777777" w:rsidR="006A3667" w:rsidRDefault="006A3667">
            <w:pPr>
              <w:rPr>
                <w:rFonts w:ascii="宋体"/>
                <w:vanish/>
              </w:rPr>
            </w:pPr>
          </w:p>
        </w:tc>
        <w:tc>
          <w:tcPr>
            <w:tcW w:w="0" w:type="auto"/>
            <w:gridSpan w:val="3"/>
            <w:shd w:val="clear" w:color="auto" w:fill="auto"/>
            <w:vAlign w:val="bottom"/>
          </w:tcPr>
          <w:p w14:paraId="71D3E363" w14:textId="77777777" w:rsidR="006A3667" w:rsidRDefault="006A3667">
            <w:pPr>
              <w:rPr>
                <w:rFonts w:ascii="宋体"/>
                <w:vanish/>
              </w:rPr>
            </w:pPr>
          </w:p>
        </w:tc>
        <w:tc>
          <w:tcPr>
            <w:tcW w:w="0" w:type="auto"/>
            <w:gridSpan w:val="3"/>
            <w:shd w:val="clear" w:color="auto" w:fill="auto"/>
            <w:vAlign w:val="bottom"/>
          </w:tcPr>
          <w:p w14:paraId="71D3E364" w14:textId="77777777" w:rsidR="006A3667" w:rsidRDefault="006A3667">
            <w:pPr>
              <w:rPr>
                <w:rFonts w:ascii="宋体"/>
                <w:vanish/>
              </w:rPr>
            </w:pPr>
          </w:p>
        </w:tc>
      </w:tr>
      <w:tr w:rsidR="006A3667" w14:paraId="71D3E379" w14:textId="77777777">
        <w:tc>
          <w:tcPr>
            <w:tcW w:w="0" w:type="auto"/>
            <w:gridSpan w:val="3"/>
            <w:shd w:val="clear" w:color="auto" w:fill="CCEEFF"/>
            <w:tcMar>
              <w:top w:w="40" w:type="dxa"/>
              <w:left w:w="20" w:type="dxa"/>
              <w:bottom w:w="40" w:type="dxa"/>
              <w:right w:w="20" w:type="dxa"/>
            </w:tcMar>
            <w:vAlign w:val="bottom"/>
          </w:tcPr>
          <w:p w14:paraId="71D3E366" w14:textId="77777777" w:rsidR="006A3667" w:rsidRDefault="00045F32">
            <w:pPr>
              <w:textAlignment w:val="bottom"/>
            </w:pPr>
            <w:r>
              <w:rPr>
                <w:rFonts w:ascii="Arial" w:eastAsia="宋体" w:hAnsi="Arial" w:cs="Arial"/>
                <w:color w:val="000000"/>
                <w:sz w:val="13"/>
                <w:szCs w:val="13"/>
              </w:rPr>
              <w:t>Total equity</w:t>
            </w:r>
            <w:r>
              <w:rPr>
                <w:rFonts w:ascii="Arial" w:eastAsia="宋体" w:hAnsi="Arial" w:cs="Arial"/>
                <w:color w:val="000000"/>
                <w:sz w:val="8"/>
                <w:szCs w:val="8"/>
              </w:rPr>
              <w:t xml:space="preserv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367" w14:textId="77777777" w:rsidR="006A3667" w:rsidRDefault="00045F32">
            <w:pPr>
              <w:jc w:val="right"/>
              <w:textAlignment w:val="bottom"/>
            </w:pPr>
            <w:r>
              <w:rPr>
                <w:rFonts w:ascii="Arial" w:eastAsia="宋体" w:hAnsi="Arial" w:cs="Arial"/>
                <w:b/>
                <w:bCs/>
                <w:color w:val="000000"/>
                <w:sz w:val="13"/>
                <w:szCs w:val="13"/>
              </w:rPr>
              <w:t>1,943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36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36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36A" w14:textId="77777777" w:rsidR="006A3667" w:rsidRDefault="00045F32">
            <w:pPr>
              <w:jc w:val="right"/>
              <w:textAlignment w:val="bottom"/>
            </w:pPr>
            <w:r>
              <w:rPr>
                <w:rFonts w:ascii="Arial" w:eastAsia="宋体" w:hAnsi="Arial" w:cs="Arial"/>
                <w:color w:val="000000"/>
                <w:sz w:val="13"/>
                <w:szCs w:val="13"/>
              </w:rPr>
              <w:t>2,674 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3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36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36D" w14:textId="77777777" w:rsidR="006A3667" w:rsidRDefault="00045F32">
            <w:pPr>
              <w:jc w:val="right"/>
              <w:textAlignment w:val="bottom"/>
            </w:pPr>
            <w:r>
              <w:rPr>
                <w:rFonts w:ascii="Arial" w:eastAsia="宋体" w:hAnsi="Arial" w:cs="Arial"/>
                <w:color w:val="000000"/>
                <w:sz w:val="13"/>
                <w:szCs w:val="13"/>
              </w:rPr>
              <w:t>2,440 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36E" w14:textId="77777777" w:rsidR="006A3667" w:rsidRDefault="006A3667">
            <w:pPr>
              <w:jc w:val="right"/>
              <w:rPr>
                <w:rFonts w:ascii="宋体"/>
              </w:rPr>
            </w:pPr>
          </w:p>
        </w:tc>
        <w:tc>
          <w:tcPr>
            <w:tcW w:w="0" w:type="auto"/>
            <w:shd w:val="clear" w:color="auto" w:fill="auto"/>
            <w:vAlign w:val="bottom"/>
          </w:tcPr>
          <w:p w14:paraId="71D3E36F" w14:textId="77777777" w:rsidR="006A3667" w:rsidRDefault="006A3667">
            <w:pPr>
              <w:rPr>
                <w:rFonts w:ascii="宋体"/>
                <w:vanish/>
              </w:rPr>
            </w:pPr>
          </w:p>
        </w:tc>
        <w:tc>
          <w:tcPr>
            <w:tcW w:w="0" w:type="auto"/>
            <w:shd w:val="clear" w:color="auto" w:fill="auto"/>
            <w:vAlign w:val="bottom"/>
          </w:tcPr>
          <w:p w14:paraId="71D3E370" w14:textId="77777777" w:rsidR="006A3667" w:rsidRDefault="006A3667">
            <w:pPr>
              <w:rPr>
                <w:rFonts w:ascii="宋体"/>
                <w:vanish/>
              </w:rPr>
            </w:pPr>
          </w:p>
        </w:tc>
        <w:tc>
          <w:tcPr>
            <w:tcW w:w="0" w:type="auto"/>
            <w:gridSpan w:val="3"/>
            <w:shd w:val="clear" w:color="auto" w:fill="auto"/>
            <w:vAlign w:val="bottom"/>
          </w:tcPr>
          <w:p w14:paraId="71D3E371" w14:textId="77777777" w:rsidR="006A3667" w:rsidRDefault="006A3667">
            <w:pPr>
              <w:rPr>
                <w:rFonts w:ascii="宋体"/>
                <w:vanish/>
              </w:rPr>
            </w:pPr>
          </w:p>
        </w:tc>
        <w:tc>
          <w:tcPr>
            <w:tcW w:w="0" w:type="auto"/>
            <w:gridSpan w:val="3"/>
            <w:shd w:val="clear" w:color="auto" w:fill="auto"/>
            <w:vAlign w:val="bottom"/>
          </w:tcPr>
          <w:p w14:paraId="71D3E372" w14:textId="77777777" w:rsidR="006A3667" w:rsidRDefault="006A3667">
            <w:pPr>
              <w:rPr>
                <w:rFonts w:ascii="宋体"/>
                <w:vanish/>
              </w:rPr>
            </w:pPr>
          </w:p>
        </w:tc>
        <w:tc>
          <w:tcPr>
            <w:tcW w:w="0" w:type="auto"/>
            <w:gridSpan w:val="3"/>
            <w:shd w:val="clear" w:color="auto" w:fill="auto"/>
            <w:vAlign w:val="bottom"/>
          </w:tcPr>
          <w:p w14:paraId="71D3E373" w14:textId="77777777" w:rsidR="006A3667" w:rsidRDefault="006A3667">
            <w:pPr>
              <w:rPr>
                <w:rFonts w:ascii="宋体"/>
                <w:vanish/>
              </w:rPr>
            </w:pPr>
          </w:p>
        </w:tc>
        <w:tc>
          <w:tcPr>
            <w:tcW w:w="0" w:type="auto"/>
            <w:gridSpan w:val="3"/>
            <w:shd w:val="clear" w:color="auto" w:fill="auto"/>
            <w:vAlign w:val="bottom"/>
          </w:tcPr>
          <w:p w14:paraId="71D3E374" w14:textId="77777777" w:rsidR="006A3667" w:rsidRDefault="006A3667">
            <w:pPr>
              <w:rPr>
                <w:rFonts w:ascii="宋体"/>
                <w:vanish/>
              </w:rPr>
            </w:pPr>
          </w:p>
        </w:tc>
        <w:tc>
          <w:tcPr>
            <w:tcW w:w="0" w:type="auto"/>
            <w:gridSpan w:val="3"/>
            <w:shd w:val="clear" w:color="auto" w:fill="auto"/>
            <w:vAlign w:val="bottom"/>
          </w:tcPr>
          <w:p w14:paraId="71D3E375" w14:textId="77777777" w:rsidR="006A3667" w:rsidRDefault="006A3667">
            <w:pPr>
              <w:rPr>
                <w:rFonts w:ascii="宋体"/>
                <w:vanish/>
              </w:rPr>
            </w:pPr>
          </w:p>
        </w:tc>
        <w:tc>
          <w:tcPr>
            <w:tcW w:w="0" w:type="auto"/>
            <w:gridSpan w:val="3"/>
            <w:shd w:val="clear" w:color="auto" w:fill="auto"/>
            <w:vAlign w:val="bottom"/>
          </w:tcPr>
          <w:p w14:paraId="71D3E376" w14:textId="77777777" w:rsidR="006A3667" w:rsidRDefault="006A3667">
            <w:pPr>
              <w:rPr>
                <w:rFonts w:ascii="宋体"/>
                <w:vanish/>
              </w:rPr>
            </w:pPr>
          </w:p>
        </w:tc>
        <w:tc>
          <w:tcPr>
            <w:tcW w:w="0" w:type="auto"/>
            <w:gridSpan w:val="3"/>
            <w:shd w:val="clear" w:color="auto" w:fill="auto"/>
            <w:vAlign w:val="bottom"/>
          </w:tcPr>
          <w:p w14:paraId="71D3E377" w14:textId="77777777" w:rsidR="006A3667" w:rsidRDefault="006A3667">
            <w:pPr>
              <w:rPr>
                <w:rFonts w:ascii="宋体"/>
                <w:vanish/>
              </w:rPr>
            </w:pPr>
          </w:p>
        </w:tc>
        <w:tc>
          <w:tcPr>
            <w:tcW w:w="0" w:type="auto"/>
            <w:gridSpan w:val="3"/>
            <w:shd w:val="clear" w:color="auto" w:fill="auto"/>
            <w:vAlign w:val="bottom"/>
          </w:tcPr>
          <w:p w14:paraId="71D3E378" w14:textId="77777777" w:rsidR="006A3667" w:rsidRDefault="006A3667">
            <w:pPr>
              <w:rPr>
                <w:rFonts w:ascii="宋体"/>
                <w:vanish/>
              </w:rPr>
            </w:pPr>
          </w:p>
        </w:tc>
      </w:tr>
      <w:tr w:rsidR="006A3667" w14:paraId="71D3E395" w14:textId="77777777">
        <w:tc>
          <w:tcPr>
            <w:tcW w:w="0" w:type="auto"/>
            <w:gridSpan w:val="18"/>
            <w:shd w:val="clear" w:color="auto" w:fill="FFFFFF"/>
            <w:tcMar>
              <w:top w:w="40" w:type="dxa"/>
              <w:left w:w="20" w:type="dxa"/>
              <w:bottom w:w="40" w:type="dxa"/>
              <w:right w:w="20" w:type="dxa"/>
            </w:tcMar>
            <w:vAlign w:val="bottom"/>
          </w:tcPr>
          <w:p w14:paraId="71D3E37A" w14:textId="77777777" w:rsidR="006A3667" w:rsidRDefault="00045F32">
            <w:pPr>
              <w:textAlignment w:val="bottom"/>
            </w:pPr>
            <w:r>
              <w:rPr>
                <w:rFonts w:ascii="Arial" w:eastAsia="宋体" w:hAnsi="Arial" w:cs="Arial"/>
                <w:color w:val="000000"/>
                <w:sz w:val="13"/>
                <w:szCs w:val="13"/>
              </w:rPr>
              <w:t>Fixed-income:</w:t>
            </w:r>
          </w:p>
        </w:tc>
        <w:tc>
          <w:tcPr>
            <w:tcW w:w="0" w:type="auto"/>
            <w:shd w:val="clear" w:color="auto" w:fill="auto"/>
            <w:vAlign w:val="bottom"/>
          </w:tcPr>
          <w:p w14:paraId="71D3E37B" w14:textId="77777777" w:rsidR="006A3667" w:rsidRDefault="006A3667">
            <w:pPr>
              <w:rPr>
                <w:rFonts w:ascii="宋体"/>
                <w:vanish/>
              </w:rPr>
            </w:pPr>
          </w:p>
        </w:tc>
        <w:tc>
          <w:tcPr>
            <w:tcW w:w="0" w:type="auto"/>
            <w:shd w:val="clear" w:color="auto" w:fill="auto"/>
            <w:vAlign w:val="bottom"/>
          </w:tcPr>
          <w:p w14:paraId="71D3E37C" w14:textId="77777777" w:rsidR="006A3667" w:rsidRDefault="006A3667">
            <w:pPr>
              <w:rPr>
                <w:rFonts w:ascii="宋体"/>
                <w:vanish/>
              </w:rPr>
            </w:pPr>
          </w:p>
        </w:tc>
        <w:tc>
          <w:tcPr>
            <w:tcW w:w="0" w:type="auto"/>
            <w:shd w:val="clear" w:color="auto" w:fill="auto"/>
            <w:vAlign w:val="bottom"/>
          </w:tcPr>
          <w:p w14:paraId="71D3E37D" w14:textId="77777777" w:rsidR="006A3667" w:rsidRDefault="006A3667">
            <w:pPr>
              <w:rPr>
                <w:rFonts w:ascii="宋体"/>
              </w:rPr>
            </w:pPr>
          </w:p>
        </w:tc>
        <w:tc>
          <w:tcPr>
            <w:tcW w:w="0" w:type="auto"/>
            <w:shd w:val="clear" w:color="auto" w:fill="auto"/>
            <w:vAlign w:val="bottom"/>
          </w:tcPr>
          <w:p w14:paraId="71D3E37E" w14:textId="77777777" w:rsidR="006A3667" w:rsidRDefault="006A3667">
            <w:pPr>
              <w:rPr>
                <w:rFonts w:ascii="宋体"/>
              </w:rPr>
            </w:pPr>
          </w:p>
        </w:tc>
        <w:tc>
          <w:tcPr>
            <w:tcW w:w="0" w:type="auto"/>
            <w:shd w:val="clear" w:color="auto" w:fill="auto"/>
            <w:vAlign w:val="bottom"/>
          </w:tcPr>
          <w:p w14:paraId="71D3E37F" w14:textId="77777777" w:rsidR="006A3667" w:rsidRDefault="006A3667">
            <w:pPr>
              <w:rPr>
                <w:rFonts w:ascii="宋体"/>
              </w:rPr>
            </w:pPr>
          </w:p>
        </w:tc>
        <w:tc>
          <w:tcPr>
            <w:tcW w:w="0" w:type="auto"/>
            <w:shd w:val="clear" w:color="auto" w:fill="auto"/>
            <w:vAlign w:val="bottom"/>
          </w:tcPr>
          <w:p w14:paraId="71D3E380" w14:textId="77777777" w:rsidR="006A3667" w:rsidRDefault="006A3667">
            <w:pPr>
              <w:rPr>
                <w:rFonts w:ascii="宋体"/>
              </w:rPr>
            </w:pPr>
          </w:p>
        </w:tc>
        <w:tc>
          <w:tcPr>
            <w:tcW w:w="0" w:type="auto"/>
            <w:shd w:val="clear" w:color="auto" w:fill="auto"/>
            <w:vAlign w:val="bottom"/>
          </w:tcPr>
          <w:p w14:paraId="71D3E381" w14:textId="77777777" w:rsidR="006A3667" w:rsidRDefault="006A3667">
            <w:pPr>
              <w:rPr>
                <w:rFonts w:ascii="宋体"/>
              </w:rPr>
            </w:pPr>
          </w:p>
        </w:tc>
        <w:tc>
          <w:tcPr>
            <w:tcW w:w="0" w:type="auto"/>
            <w:shd w:val="clear" w:color="auto" w:fill="auto"/>
            <w:vAlign w:val="bottom"/>
          </w:tcPr>
          <w:p w14:paraId="71D3E382" w14:textId="77777777" w:rsidR="006A3667" w:rsidRDefault="006A3667">
            <w:pPr>
              <w:rPr>
                <w:rFonts w:ascii="宋体"/>
              </w:rPr>
            </w:pPr>
          </w:p>
        </w:tc>
        <w:tc>
          <w:tcPr>
            <w:tcW w:w="0" w:type="auto"/>
            <w:shd w:val="clear" w:color="auto" w:fill="auto"/>
            <w:vAlign w:val="bottom"/>
          </w:tcPr>
          <w:p w14:paraId="71D3E383" w14:textId="77777777" w:rsidR="006A3667" w:rsidRDefault="006A3667">
            <w:pPr>
              <w:rPr>
                <w:rFonts w:ascii="宋体"/>
              </w:rPr>
            </w:pPr>
          </w:p>
        </w:tc>
        <w:tc>
          <w:tcPr>
            <w:tcW w:w="0" w:type="auto"/>
            <w:shd w:val="clear" w:color="auto" w:fill="auto"/>
            <w:vAlign w:val="bottom"/>
          </w:tcPr>
          <w:p w14:paraId="71D3E384" w14:textId="77777777" w:rsidR="006A3667" w:rsidRDefault="006A3667">
            <w:pPr>
              <w:rPr>
                <w:rFonts w:ascii="宋体"/>
              </w:rPr>
            </w:pPr>
          </w:p>
        </w:tc>
        <w:tc>
          <w:tcPr>
            <w:tcW w:w="0" w:type="auto"/>
            <w:shd w:val="clear" w:color="auto" w:fill="auto"/>
            <w:vAlign w:val="bottom"/>
          </w:tcPr>
          <w:p w14:paraId="71D3E385" w14:textId="77777777" w:rsidR="006A3667" w:rsidRDefault="006A3667">
            <w:pPr>
              <w:rPr>
                <w:rFonts w:ascii="宋体"/>
              </w:rPr>
            </w:pPr>
          </w:p>
        </w:tc>
        <w:tc>
          <w:tcPr>
            <w:tcW w:w="0" w:type="auto"/>
            <w:shd w:val="clear" w:color="auto" w:fill="auto"/>
            <w:vAlign w:val="bottom"/>
          </w:tcPr>
          <w:p w14:paraId="71D3E386" w14:textId="77777777" w:rsidR="006A3667" w:rsidRDefault="006A3667">
            <w:pPr>
              <w:rPr>
                <w:rFonts w:ascii="宋体"/>
              </w:rPr>
            </w:pPr>
          </w:p>
        </w:tc>
        <w:tc>
          <w:tcPr>
            <w:tcW w:w="0" w:type="auto"/>
            <w:shd w:val="clear" w:color="auto" w:fill="auto"/>
            <w:vAlign w:val="bottom"/>
          </w:tcPr>
          <w:p w14:paraId="71D3E387" w14:textId="77777777" w:rsidR="006A3667" w:rsidRDefault="006A3667">
            <w:pPr>
              <w:rPr>
                <w:rFonts w:ascii="宋体"/>
              </w:rPr>
            </w:pPr>
          </w:p>
        </w:tc>
        <w:tc>
          <w:tcPr>
            <w:tcW w:w="0" w:type="auto"/>
            <w:shd w:val="clear" w:color="auto" w:fill="auto"/>
            <w:vAlign w:val="bottom"/>
          </w:tcPr>
          <w:p w14:paraId="71D3E388" w14:textId="77777777" w:rsidR="006A3667" w:rsidRDefault="006A3667">
            <w:pPr>
              <w:rPr>
                <w:rFonts w:ascii="宋体"/>
              </w:rPr>
            </w:pPr>
          </w:p>
        </w:tc>
        <w:tc>
          <w:tcPr>
            <w:tcW w:w="0" w:type="auto"/>
            <w:shd w:val="clear" w:color="auto" w:fill="auto"/>
            <w:vAlign w:val="bottom"/>
          </w:tcPr>
          <w:p w14:paraId="71D3E389" w14:textId="77777777" w:rsidR="006A3667" w:rsidRDefault="006A3667">
            <w:pPr>
              <w:rPr>
                <w:rFonts w:ascii="宋体"/>
              </w:rPr>
            </w:pPr>
          </w:p>
        </w:tc>
        <w:tc>
          <w:tcPr>
            <w:tcW w:w="0" w:type="auto"/>
            <w:shd w:val="clear" w:color="auto" w:fill="auto"/>
            <w:vAlign w:val="bottom"/>
          </w:tcPr>
          <w:p w14:paraId="71D3E38A" w14:textId="77777777" w:rsidR="006A3667" w:rsidRDefault="006A3667">
            <w:pPr>
              <w:rPr>
                <w:rFonts w:ascii="宋体"/>
              </w:rPr>
            </w:pPr>
          </w:p>
        </w:tc>
        <w:tc>
          <w:tcPr>
            <w:tcW w:w="0" w:type="auto"/>
            <w:shd w:val="clear" w:color="auto" w:fill="auto"/>
            <w:vAlign w:val="bottom"/>
          </w:tcPr>
          <w:p w14:paraId="71D3E38B" w14:textId="77777777" w:rsidR="006A3667" w:rsidRDefault="006A3667">
            <w:pPr>
              <w:rPr>
                <w:rFonts w:ascii="宋体"/>
              </w:rPr>
            </w:pPr>
          </w:p>
        </w:tc>
        <w:tc>
          <w:tcPr>
            <w:tcW w:w="0" w:type="auto"/>
            <w:shd w:val="clear" w:color="auto" w:fill="auto"/>
            <w:vAlign w:val="bottom"/>
          </w:tcPr>
          <w:p w14:paraId="71D3E38C" w14:textId="77777777" w:rsidR="006A3667" w:rsidRDefault="006A3667">
            <w:pPr>
              <w:rPr>
                <w:rFonts w:ascii="宋体"/>
              </w:rPr>
            </w:pPr>
          </w:p>
        </w:tc>
        <w:tc>
          <w:tcPr>
            <w:tcW w:w="0" w:type="auto"/>
            <w:shd w:val="clear" w:color="auto" w:fill="auto"/>
            <w:vAlign w:val="bottom"/>
          </w:tcPr>
          <w:p w14:paraId="71D3E38D" w14:textId="77777777" w:rsidR="006A3667" w:rsidRDefault="006A3667">
            <w:pPr>
              <w:rPr>
                <w:rFonts w:ascii="宋体"/>
              </w:rPr>
            </w:pPr>
          </w:p>
        </w:tc>
        <w:tc>
          <w:tcPr>
            <w:tcW w:w="0" w:type="auto"/>
            <w:shd w:val="clear" w:color="auto" w:fill="auto"/>
            <w:vAlign w:val="bottom"/>
          </w:tcPr>
          <w:p w14:paraId="71D3E38E" w14:textId="77777777" w:rsidR="006A3667" w:rsidRDefault="006A3667">
            <w:pPr>
              <w:rPr>
                <w:rFonts w:ascii="宋体"/>
              </w:rPr>
            </w:pPr>
          </w:p>
        </w:tc>
        <w:tc>
          <w:tcPr>
            <w:tcW w:w="0" w:type="auto"/>
            <w:shd w:val="clear" w:color="auto" w:fill="auto"/>
            <w:vAlign w:val="bottom"/>
          </w:tcPr>
          <w:p w14:paraId="71D3E38F" w14:textId="77777777" w:rsidR="006A3667" w:rsidRDefault="006A3667">
            <w:pPr>
              <w:rPr>
                <w:rFonts w:ascii="宋体"/>
              </w:rPr>
            </w:pPr>
          </w:p>
        </w:tc>
        <w:tc>
          <w:tcPr>
            <w:tcW w:w="0" w:type="auto"/>
            <w:shd w:val="clear" w:color="auto" w:fill="auto"/>
            <w:vAlign w:val="bottom"/>
          </w:tcPr>
          <w:p w14:paraId="71D3E390" w14:textId="77777777" w:rsidR="006A3667" w:rsidRDefault="006A3667">
            <w:pPr>
              <w:rPr>
                <w:rFonts w:ascii="宋体"/>
              </w:rPr>
            </w:pPr>
          </w:p>
        </w:tc>
        <w:tc>
          <w:tcPr>
            <w:tcW w:w="0" w:type="auto"/>
            <w:shd w:val="clear" w:color="auto" w:fill="auto"/>
            <w:vAlign w:val="bottom"/>
          </w:tcPr>
          <w:p w14:paraId="71D3E391" w14:textId="77777777" w:rsidR="006A3667" w:rsidRDefault="006A3667">
            <w:pPr>
              <w:rPr>
                <w:rFonts w:ascii="宋体"/>
              </w:rPr>
            </w:pPr>
          </w:p>
        </w:tc>
        <w:tc>
          <w:tcPr>
            <w:tcW w:w="0" w:type="auto"/>
            <w:shd w:val="clear" w:color="auto" w:fill="auto"/>
            <w:vAlign w:val="bottom"/>
          </w:tcPr>
          <w:p w14:paraId="71D3E392" w14:textId="77777777" w:rsidR="006A3667" w:rsidRDefault="006A3667">
            <w:pPr>
              <w:rPr>
                <w:rFonts w:ascii="宋体"/>
              </w:rPr>
            </w:pPr>
          </w:p>
        </w:tc>
        <w:tc>
          <w:tcPr>
            <w:tcW w:w="0" w:type="auto"/>
            <w:shd w:val="clear" w:color="auto" w:fill="auto"/>
            <w:vAlign w:val="bottom"/>
          </w:tcPr>
          <w:p w14:paraId="71D3E393" w14:textId="77777777" w:rsidR="006A3667" w:rsidRDefault="006A3667">
            <w:pPr>
              <w:rPr>
                <w:rFonts w:ascii="宋体"/>
              </w:rPr>
            </w:pPr>
          </w:p>
        </w:tc>
        <w:tc>
          <w:tcPr>
            <w:tcW w:w="0" w:type="auto"/>
            <w:shd w:val="clear" w:color="auto" w:fill="auto"/>
            <w:vAlign w:val="bottom"/>
          </w:tcPr>
          <w:p w14:paraId="71D3E394" w14:textId="77777777" w:rsidR="006A3667" w:rsidRDefault="006A3667">
            <w:pPr>
              <w:rPr>
                <w:rFonts w:ascii="宋体"/>
              </w:rPr>
            </w:pPr>
          </w:p>
        </w:tc>
      </w:tr>
      <w:tr w:rsidR="006A3667" w14:paraId="71D3E3A9" w14:textId="77777777">
        <w:tc>
          <w:tcPr>
            <w:tcW w:w="0" w:type="auto"/>
            <w:gridSpan w:val="3"/>
            <w:shd w:val="clear" w:color="auto" w:fill="CCEEFF"/>
            <w:tcMar>
              <w:top w:w="40" w:type="dxa"/>
              <w:left w:w="20" w:type="dxa"/>
              <w:bottom w:w="40" w:type="dxa"/>
              <w:right w:w="20" w:type="dxa"/>
            </w:tcMar>
            <w:vAlign w:val="bottom"/>
          </w:tcPr>
          <w:p w14:paraId="71D3E396" w14:textId="77777777" w:rsidR="006A3667" w:rsidRDefault="00045F32">
            <w:pPr>
              <w:textAlignment w:val="bottom"/>
            </w:pPr>
            <w:r>
              <w:rPr>
                <w:rFonts w:ascii="Arial" w:eastAsia="宋体" w:hAnsi="Arial" w:cs="Arial"/>
                <w:color w:val="000000"/>
                <w:sz w:val="13"/>
                <w:szCs w:val="13"/>
              </w:rPr>
              <w:t>  Active</w:t>
            </w:r>
          </w:p>
        </w:tc>
        <w:tc>
          <w:tcPr>
            <w:tcW w:w="0" w:type="auto"/>
            <w:gridSpan w:val="2"/>
            <w:shd w:val="clear" w:color="auto" w:fill="CCEEFF"/>
            <w:tcMar>
              <w:top w:w="40" w:type="dxa"/>
              <w:left w:w="20" w:type="dxa"/>
              <w:bottom w:w="40" w:type="dxa"/>
              <w:right w:w="0" w:type="dxa"/>
            </w:tcMar>
            <w:vAlign w:val="bottom"/>
          </w:tcPr>
          <w:p w14:paraId="71D3E397" w14:textId="77777777" w:rsidR="006A3667" w:rsidRDefault="00045F32">
            <w:pPr>
              <w:jc w:val="right"/>
              <w:textAlignment w:val="bottom"/>
            </w:pPr>
            <w:r>
              <w:rPr>
                <w:rFonts w:ascii="Arial" w:eastAsia="宋体" w:hAnsi="Arial" w:cs="Arial"/>
                <w:b/>
                <w:bCs/>
                <w:color w:val="000000"/>
                <w:sz w:val="13"/>
                <w:szCs w:val="13"/>
              </w:rPr>
              <w:t>79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3E39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39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39A" w14:textId="77777777" w:rsidR="006A3667" w:rsidRDefault="00045F32">
            <w:pPr>
              <w:jc w:val="right"/>
              <w:textAlignment w:val="bottom"/>
            </w:pPr>
            <w:r>
              <w:rPr>
                <w:rFonts w:ascii="Arial" w:eastAsia="宋体" w:hAnsi="Arial" w:cs="Arial"/>
                <w:color w:val="000000"/>
                <w:sz w:val="13"/>
                <w:szCs w:val="13"/>
              </w:rPr>
              <w:t>103 </w:t>
            </w:r>
          </w:p>
        </w:tc>
        <w:tc>
          <w:tcPr>
            <w:tcW w:w="0" w:type="auto"/>
            <w:shd w:val="clear" w:color="auto" w:fill="CCEEFF"/>
            <w:tcMar>
              <w:top w:w="40" w:type="dxa"/>
              <w:left w:w="0" w:type="dxa"/>
              <w:bottom w:w="40" w:type="dxa"/>
              <w:right w:w="20" w:type="dxa"/>
            </w:tcMar>
            <w:vAlign w:val="bottom"/>
          </w:tcPr>
          <w:p w14:paraId="71D3E39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39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39D" w14:textId="77777777" w:rsidR="006A3667" w:rsidRDefault="00045F32">
            <w:pPr>
              <w:jc w:val="right"/>
              <w:textAlignment w:val="bottom"/>
            </w:pPr>
            <w:r>
              <w:rPr>
                <w:rFonts w:ascii="Arial" w:eastAsia="宋体" w:hAnsi="Arial" w:cs="Arial"/>
                <w:color w:val="000000"/>
                <w:sz w:val="13"/>
                <w:szCs w:val="13"/>
              </w:rPr>
              <w:t>101 </w:t>
            </w:r>
          </w:p>
        </w:tc>
        <w:tc>
          <w:tcPr>
            <w:tcW w:w="0" w:type="auto"/>
            <w:shd w:val="clear" w:color="auto" w:fill="CCEEFF"/>
            <w:tcMar>
              <w:top w:w="40" w:type="dxa"/>
              <w:left w:w="0" w:type="dxa"/>
              <w:bottom w:w="40" w:type="dxa"/>
              <w:right w:w="20" w:type="dxa"/>
            </w:tcMar>
            <w:vAlign w:val="bottom"/>
          </w:tcPr>
          <w:p w14:paraId="71D3E39E" w14:textId="77777777" w:rsidR="006A3667" w:rsidRDefault="006A3667">
            <w:pPr>
              <w:jc w:val="right"/>
              <w:rPr>
                <w:rFonts w:ascii="宋体"/>
              </w:rPr>
            </w:pPr>
          </w:p>
        </w:tc>
        <w:tc>
          <w:tcPr>
            <w:tcW w:w="0" w:type="auto"/>
            <w:shd w:val="clear" w:color="auto" w:fill="auto"/>
            <w:vAlign w:val="bottom"/>
          </w:tcPr>
          <w:p w14:paraId="71D3E39F" w14:textId="77777777" w:rsidR="006A3667" w:rsidRDefault="006A3667">
            <w:pPr>
              <w:rPr>
                <w:rFonts w:ascii="宋体"/>
                <w:vanish/>
              </w:rPr>
            </w:pPr>
          </w:p>
        </w:tc>
        <w:tc>
          <w:tcPr>
            <w:tcW w:w="0" w:type="auto"/>
            <w:shd w:val="clear" w:color="auto" w:fill="auto"/>
            <w:vAlign w:val="bottom"/>
          </w:tcPr>
          <w:p w14:paraId="71D3E3A0" w14:textId="77777777" w:rsidR="006A3667" w:rsidRDefault="006A3667">
            <w:pPr>
              <w:rPr>
                <w:rFonts w:ascii="宋体"/>
                <w:vanish/>
              </w:rPr>
            </w:pPr>
          </w:p>
        </w:tc>
        <w:tc>
          <w:tcPr>
            <w:tcW w:w="0" w:type="auto"/>
            <w:gridSpan w:val="3"/>
            <w:shd w:val="clear" w:color="auto" w:fill="auto"/>
            <w:vAlign w:val="bottom"/>
          </w:tcPr>
          <w:p w14:paraId="71D3E3A1" w14:textId="77777777" w:rsidR="006A3667" w:rsidRDefault="006A3667">
            <w:pPr>
              <w:rPr>
                <w:rFonts w:ascii="宋体"/>
                <w:vanish/>
              </w:rPr>
            </w:pPr>
          </w:p>
        </w:tc>
        <w:tc>
          <w:tcPr>
            <w:tcW w:w="0" w:type="auto"/>
            <w:gridSpan w:val="3"/>
            <w:shd w:val="clear" w:color="auto" w:fill="auto"/>
            <w:vAlign w:val="bottom"/>
          </w:tcPr>
          <w:p w14:paraId="71D3E3A2" w14:textId="77777777" w:rsidR="006A3667" w:rsidRDefault="006A3667">
            <w:pPr>
              <w:rPr>
                <w:rFonts w:ascii="宋体"/>
                <w:vanish/>
              </w:rPr>
            </w:pPr>
          </w:p>
        </w:tc>
        <w:tc>
          <w:tcPr>
            <w:tcW w:w="0" w:type="auto"/>
            <w:gridSpan w:val="3"/>
            <w:shd w:val="clear" w:color="auto" w:fill="auto"/>
            <w:vAlign w:val="bottom"/>
          </w:tcPr>
          <w:p w14:paraId="71D3E3A3" w14:textId="77777777" w:rsidR="006A3667" w:rsidRDefault="006A3667">
            <w:pPr>
              <w:rPr>
                <w:rFonts w:ascii="宋体"/>
                <w:vanish/>
              </w:rPr>
            </w:pPr>
          </w:p>
        </w:tc>
        <w:tc>
          <w:tcPr>
            <w:tcW w:w="0" w:type="auto"/>
            <w:gridSpan w:val="3"/>
            <w:shd w:val="clear" w:color="auto" w:fill="auto"/>
            <w:vAlign w:val="bottom"/>
          </w:tcPr>
          <w:p w14:paraId="71D3E3A4" w14:textId="77777777" w:rsidR="006A3667" w:rsidRDefault="006A3667">
            <w:pPr>
              <w:rPr>
                <w:rFonts w:ascii="宋体"/>
                <w:vanish/>
              </w:rPr>
            </w:pPr>
          </w:p>
        </w:tc>
        <w:tc>
          <w:tcPr>
            <w:tcW w:w="0" w:type="auto"/>
            <w:gridSpan w:val="3"/>
            <w:shd w:val="clear" w:color="auto" w:fill="auto"/>
            <w:vAlign w:val="bottom"/>
          </w:tcPr>
          <w:p w14:paraId="71D3E3A5" w14:textId="77777777" w:rsidR="006A3667" w:rsidRDefault="006A3667">
            <w:pPr>
              <w:rPr>
                <w:rFonts w:ascii="宋体"/>
                <w:vanish/>
              </w:rPr>
            </w:pPr>
          </w:p>
        </w:tc>
        <w:tc>
          <w:tcPr>
            <w:tcW w:w="0" w:type="auto"/>
            <w:gridSpan w:val="3"/>
            <w:shd w:val="clear" w:color="auto" w:fill="auto"/>
            <w:vAlign w:val="bottom"/>
          </w:tcPr>
          <w:p w14:paraId="71D3E3A6" w14:textId="77777777" w:rsidR="006A3667" w:rsidRDefault="006A3667">
            <w:pPr>
              <w:rPr>
                <w:rFonts w:ascii="宋体"/>
                <w:vanish/>
              </w:rPr>
            </w:pPr>
          </w:p>
        </w:tc>
        <w:tc>
          <w:tcPr>
            <w:tcW w:w="0" w:type="auto"/>
            <w:gridSpan w:val="3"/>
            <w:shd w:val="clear" w:color="auto" w:fill="auto"/>
            <w:vAlign w:val="bottom"/>
          </w:tcPr>
          <w:p w14:paraId="71D3E3A7" w14:textId="77777777" w:rsidR="006A3667" w:rsidRDefault="006A3667">
            <w:pPr>
              <w:rPr>
                <w:rFonts w:ascii="宋体"/>
                <w:vanish/>
              </w:rPr>
            </w:pPr>
          </w:p>
        </w:tc>
        <w:tc>
          <w:tcPr>
            <w:tcW w:w="0" w:type="auto"/>
            <w:gridSpan w:val="3"/>
            <w:shd w:val="clear" w:color="auto" w:fill="auto"/>
            <w:vAlign w:val="bottom"/>
          </w:tcPr>
          <w:p w14:paraId="71D3E3A8" w14:textId="77777777" w:rsidR="006A3667" w:rsidRDefault="006A3667">
            <w:pPr>
              <w:rPr>
                <w:rFonts w:ascii="宋体"/>
                <w:vanish/>
              </w:rPr>
            </w:pPr>
          </w:p>
        </w:tc>
      </w:tr>
      <w:tr w:rsidR="006A3667" w14:paraId="71D3E3BD" w14:textId="77777777">
        <w:tc>
          <w:tcPr>
            <w:tcW w:w="0" w:type="auto"/>
            <w:gridSpan w:val="3"/>
            <w:shd w:val="clear" w:color="auto" w:fill="FFFFFF"/>
            <w:tcMar>
              <w:top w:w="40" w:type="dxa"/>
              <w:left w:w="20" w:type="dxa"/>
              <w:bottom w:w="40" w:type="dxa"/>
              <w:right w:w="20" w:type="dxa"/>
            </w:tcMar>
            <w:vAlign w:val="bottom"/>
          </w:tcPr>
          <w:p w14:paraId="71D3E3AA" w14:textId="77777777" w:rsidR="006A3667" w:rsidRDefault="00045F32">
            <w:pPr>
              <w:textAlignment w:val="bottom"/>
            </w:pPr>
            <w:r>
              <w:rPr>
                <w:rFonts w:ascii="Arial" w:eastAsia="宋体" w:hAnsi="Arial" w:cs="Arial"/>
                <w:color w:val="000000"/>
                <w:sz w:val="13"/>
                <w:szCs w:val="13"/>
              </w:rPr>
              <w:t>  Passive</w:t>
            </w:r>
          </w:p>
        </w:tc>
        <w:tc>
          <w:tcPr>
            <w:tcW w:w="0" w:type="auto"/>
            <w:gridSpan w:val="2"/>
            <w:shd w:val="clear" w:color="auto" w:fill="FFFFFF"/>
            <w:tcMar>
              <w:top w:w="40" w:type="dxa"/>
              <w:left w:w="20" w:type="dxa"/>
              <w:bottom w:w="40" w:type="dxa"/>
              <w:right w:w="0" w:type="dxa"/>
            </w:tcMar>
            <w:vAlign w:val="bottom"/>
          </w:tcPr>
          <w:p w14:paraId="71D3E3AB" w14:textId="77777777" w:rsidR="006A3667" w:rsidRDefault="00045F32">
            <w:pPr>
              <w:jc w:val="right"/>
              <w:textAlignment w:val="bottom"/>
            </w:pPr>
            <w:r>
              <w:rPr>
                <w:rFonts w:ascii="Arial" w:eastAsia="宋体" w:hAnsi="Arial" w:cs="Arial"/>
                <w:b/>
                <w:bCs/>
                <w:color w:val="000000"/>
                <w:sz w:val="13"/>
                <w:szCs w:val="13"/>
              </w:rPr>
              <w:t>439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3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3A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3AE" w14:textId="77777777" w:rsidR="006A3667" w:rsidRDefault="00045F32">
            <w:pPr>
              <w:jc w:val="right"/>
              <w:textAlignment w:val="bottom"/>
            </w:pPr>
            <w:r>
              <w:rPr>
                <w:rFonts w:ascii="Arial" w:eastAsia="宋体" w:hAnsi="Arial" w:cs="Arial"/>
                <w:color w:val="000000"/>
                <w:sz w:val="13"/>
                <w:szCs w:val="13"/>
              </w:rPr>
              <w:t>520 </w:t>
            </w:r>
          </w:p>
        </w:tc>
        <w:tc>
          <w:tcPr>
            <w:tcW w:w="0" w:type="auto"/>
            <w:shd w:val="clear" w:color="auto" w:fill="FFFFFF"/>
            <w:tcMar>
              <w:top w:w="40" w:type="dxa"/>
              <w:left w:w="0" w:type="dxa"/>
              <w:bottom w:w="40" w:type="dxa"/>
              <w:right w:w="20" w:type="dxa"/>
            </w:tcMar>
            <w:vAlign w:val="bottom"/>
          </w:tcPr>
          <w:p w14:paraId="71D3E3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3B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3B1" w14:textId="77777777" w:rsidR="006A3667" w:rsidRDefault="00045F32">
            <w:pPr>
              <w:jc w:val="right"/>
              <w:textAlignment w:val="bottom"/>
            </w:pPr>
            <w:r>
              <w:rPr>
                <w:rFonts w:ascii="Arial" w:eastAsia="宋体" w:hAnsi="Arial" w:cs="Arial"/>
                <w:color w:val="000000"/>
                <w:sz w:val="13"/>
                <w:szCs w:val="13"/>
              </w:rPr>
              <w:t>509 </w:t>
            </w:r>
          </w:p>
        </w:tc>
        <w:tc>
          <w:tcPr>
            <w:tcW w:w="0" w:type="auto"/>
            <w:shd w:val="clear" w:color="auto" w:fill="FFFFFF"/>
            <w:tcMar>
              <w:top w:w="40" w:type="dxa"/>
              <w:left w:w="0" w:type="dxa"/>
              <w:bottom w:w="40" w:type="dxa"/>
              <w:right w:w="20" w:type="dxa"/>
            </w:tcMar>
            <w:vAlign w:val="bottom"/>
          </w:tcPr>
          <w:p w14:paraId="71D3E3B2" w14:textId="77777777" w:rsidR="006A3667" w:rsidRDefault="006A3667">
            <w:pPr>
              <w:jc w:val="right"/>
              <w:rPr>
                <w:rFonts w:ascii="宋体"/>
              </w:rPr>
            </w:pPr>
          </w:p>
        </w:tc>
        <w:tc>
          <w:tcPr>
            <w:tcW w:w="0" w:type="auto"/>
            <w:shd w:val="clear" w:color="auto" w:fill="auto"/>
            <w:vAlign w:val="bottom"/>
          </w:tcPr>
          <w:p w14:paraId="71D3E3B3" w14:textId="77777777" w:rsidR="006A3667" w:rsidRDefault="006A3667">
            <w:pPr>
              <w:rPr>
                <w:rFonts w:ascii="宋体"/>
                <w:vanish/>
              </w:rPr>
            </w:pPr>
          </w:p>
        </w:tc>
        <w:tc>
          <w:tcPr>
            <w:tcW w:w="0" w:type="auto"/>
            <w:shd w:val="clear" w:color="auto" w:fill="auto"/>
            <w:vAlign w:val="bottom"/>
          </w:tcPr>
          <w:p w14:paraId="71D3E3B4" w14:textId="77777777" w:rsidR="006A3667" w:rsidRDefault="006A3667">
            <w:pPr>
              <w:rPr>
                <w:rFonts w:ascii="宋体"/>
                <w:vanish/>
              </w:rPr>
            </w:pPr>
          </w:p>
        </w:tc>
        <w:tc>
          <w:tcPr>
            <w:tcW w:w="0" w:type="auto"/>
            <w:gridSpan w:val="3"/>
            <w:shd w:val="clear" w:color="auto" w:fill="auto"/>
            <w:vAlign w:val="bottom"/>
          </w:tcPr>
          <w:p w14:paraId="71D3E3B5" w14:textId="77777777" w:rsidR="006A3667" w:rsidRDefault="006A3667">
            <w:pPr>
              <w:rPr>
                <w:rFonts w:ascii="宋体"/>
                <w:vanish/>
              </w:rPr>
            </w:pPr>
          </w:p>
        </w:tc>
        <w:tc>
          <w:tcPr>
            <w:tcW w:w="0" w:type="auto"/>
            <w:gridSpan w:val="3"/>
            <w:shd w:val="clear" w:color="auto" w:fill="auto"/>
            <w:vAlign w:val="bottom"/>
          </w:tcPr>
          <w:p w14:paraId="71D3E3B6" w14:textId="77777777" w:rsidR="006A3667" w:rsidRDefault="006A3667">
            <w:pPr>
              <w:rPr>
                <w:rFonts w:ascii="宋体"/>
                <w:vanish/>
              </w:rPr>
            </w:pPr>
          </w:p>
        </w:tc>
        <w:tc>
          <w:tcPr>
            <w:tcW w:w="0" w:type="auto"/>
            <w:gridSpan w:val="3"/>
            <w:shd w:val="clear" w:color="auto" w:fill="auto"/>
            <w:vAlign w:val="bottom"/>
          </w:tcPr>
          <w:p w14:paraId="71D3E3B7" w14:textId="77777777" w:rsidR="006A3667" w:rsidRDefault="006A3667">
            <w:pPr>
              <w:rPr>
                <w:rFonts w:ascii="宋体"/>
                <w:vanish/>
              </w:rPr>
            </w:pPr>
          </w:p>
        </w:tc>
        <w:tc>
          <w:tcPr>
            <w:tcW w:w="0" w:type="auto"/>
            <w:gridSpan w:val="3"/>
            <w:shd w:val="clear" w:color="auto" w:fill="auto"/>
            <w:vAlign w:val="bottom"/>
          </w:tcPr>
          <w:p w14:paraId="71D3E3B8" w14:textId="77777777" w:rsidR="006A3667" w:rsidRDefault="006A3667">
            <w:pPr>
              <w:rPr>
                <w:rFonts w:ascii="宋体"/>
                <w:vanish/>
              </w:rPr>
            </w:pPr>
          </w:p>
        </w:tc>
        <w:tc>
          <w:tcPr>
            <w:tcW w:w="0" w:type="auto"/>
            <w:gridSpan w:val="3"/>
            <w:shd w:val="clear" w:color="auto" w:fill="auto"/>
            <w:vAlign w:val="bottom"/>
          </w:tcPr>
          <w:p w14:paraId="71D3E3B9" w14:textId="77777777" w:rsidR="006A3667" w:rsidRDefault="006A3667">
            <w:pPr>
              <w:rPr>
                <w:rFonts w:ascii="宋体"/>
                <w:vanish/>
              </w:rPr>
            </w:pPr>
          </w:p>
        </w:tc>
        <w:tc>
          <w:tcPr>
            <w:tcW w:w="0" w:type="auto"/>
            <w:gridSpan w:val="3"/>
            <w:shd w:val="clear" w:color="auto" w:fill="auto"/>
            <w:vAlign w:val="bottom"/>
          </w:tcPr>
          <w:p w14:paraId="71D3E3BA" w14:textId="77777777" w:rsidR="006A3667" w:rsidRDefault="006A3667">
            <w:pPr>
              <w:rPr>
                <w:rFonts w:ascii="宋体"/>
                <w:vanish/>
              </w:rPr>
            </w:pPr>
          </w:p>
        </w:tc>
        <w:tc>
          <w:tcPr>
            <w:tcW w:w="0" w:type="auto"/>
            <w:gridSpan w:val="3"/>
            <w:shd w:val="clear" w:color="auto" w:fill="auto"/>
            <w:vAlign w:val="bottom"/>
          </w:tcPr>
          <w:p w14:paraId="71D3E3BB" w14:textId="77777777" w:rsidR="006A3667" w:rsidRDefault="006A3667">
            <w:pPr>
              <w:rPr>
                <w:rFonts w:ascii="宋体"/>
                <w:vanish/>
              </w:rPr>
            </w:pPr>
          </w:p>
        </w:tc>
        <w:tc>
          <w:tcPr>
            <w:tcW w:w="0" w:type="auto"/>
            <w:gridSpan w:val="3"/>
            <w:shd w:val="clear" w:color="auto" w:fill="auto"/>
            <w:vAlign w:val="bottom"/>
          </w:tcPr>
          <w:p w14:paraId="71D3E3BC" w14:textId="77777777" w:rsidR="006A3667" w:rsidRDefault="006A3667">
            <w:pPr>
              <w:rPr>
                <w:rFonts w:ascii="宋体"/>
                <w:vanish/>
              </w:rPr>
            </w:pPr>
          </w:p>
        </w:tc>
      </w:tr>
      <w:tr w:rsidR="006A3667" w14:paraId="71D3E3D1" w14:textId="77777777">
        <w:tc>
          <w:tcPr>
            <w:tcW w:w="0" w:type="auto"/>
            <w:gridSpan w:val="3"/>
            <w:shd w:val="clear" w:color="auto" w:fill="CCEEFF"/>
            <w:tcMar>
              <w:top w:w="40" w:type="dxa"/>
              <w:left w:w="20" w:type="dxa"/>
              <w:bottom w:w="40" w:type="dxa"/>
              <w:right w:w="20" w:type="dxa"/>
            </w:tcMar>
            <w:vAlign w:val="bottom"/>
          </w:tcPr>
          <w:p w14:paraId="71D3E3BE" w14:textId="77777777" w:rsidR="006A3667" w:rsidRDefault="00045F32">
            <w:pPr>
              <w:textAlignment w:val="bottom"/>
            </w:pPr>
            <w:r>
              <w:rPr>
                <w:rFonts w:ascii="Arial" w:eastAsia="宋体" w:hAnsi="Arial" w:cs="Arial"/>
                <w:color w:val="000000"/>
                <w:sz w:val="13"/>
                <w:szCs w:val="13"/>
              </w:rPr>
              <w:t>Total fixed-income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3BF" w14:textId="77777777" w:rsidR="006A3667" w:rsidRDefault="00045F32">
            <w:pPr>
              <w:jc w:val="right"/>
              <w:textAlignment w:val="bottom"/>
            </w:pPr>
            <w:r>
              <w:rPr>
                <w:rFonts w:ascii="Arial" w:eastAsia="宋体" w:hAnsi="Arial" w:cs="Arial"/>
                <w:b/>
                <w:bCs/>
                <w:color w:val="000000"/>
                <w:sz w:val="13"/>
                <w:szCs w:val="13"/>
              </w:rPr>
              <w:t>518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3C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3C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3C2" w14:textId="77777777" w:rsidR="006A3667" w:rsidRDefault="00045F32">
            <w:pPr>
              <w:jc w:val="right"/>
              <w:textAlignment w:val="bottom"/>
            </w:pPr>
            <w:r>
              <w:rPr>
                <w:rFonts w:ascii="Arial" w:eastAsia="宋体" w:hAnsi="Arial" w:cs="Arial"/>
                <w:color w:val="000000"/>
                <w:sz w:val="13"/>
                <w:szCs w:val="13"/>
              </w:rPr>
              <w:t>623 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3C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3C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3C5" w14:textId="77777777" w:rsidR="006A3667" w:rsidRDefault="00045F32">
            <w:pPr>
              <w:jc w:val="right"/>
              <w:textAlignment w:val="bottom"/>
            </w:pPr>
            <w:r>
              <w:rPr>
                <w:rFonts w:ascii="Arial" w:eastAsia="宋体" w:hAnsi="Arial" w:cs="Arial"/>
                <w:color w:val="000000"/>
                <w:sz w:val="13"/>
                <w:szCs w:val="13"/>
              </w:rPr>
              <w:t>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3C6" w14:textId="77777777" w:rsidR="006A3667" w:rsidRDefault="006A3667">
            <w:pPr>
              <w:jc w:val="right"/>
              <w:rPr>
                <w:rFonts w:ascii="宋体"/>
              </w:rPr>
            </w:pPr>
          </w:p>
        </w:tc>
        <w:tc>
          <w:tcPr>
            <w:tcW w:w="0" w:type="auto"/>
            <w:shd w:val="clear" w:color="auto" w:fill="auto"/>
            <w:vAlign w:val="bottom"/>
          </w:tcPr>
          <w:p w14:paraId="71D3E3C7" w14:textId="77777777" w:rsidR="006A3667" w:rsidRDefault="006A3667">
            <w:pPr>
              <w:rPr>
                <w:rFonts w:ascii="宋体"/>
                <w:vanish/>
              </w:rPr>
            </w:pPr>
          </w:p>
        </w:tc>
        <w:tc>
          <w:tcPr>
            <w:tcW w:w="0" w:type="auto"/>
            <w:shd w:val="clear" w:color="auto" w:fill="auto"/>
            <w:vAlign w:val="bottom"/>
          </w:tcPr>
          <w:p w14:paraId="71D3E3C8" w14:textId="77777777" w:rsidR="006A3667" w:rsidRDefault="006A3667">
            <w:pPr>
              <w:rPr>
                <w:rFonts w:ascii="宋体"/>
                <w:vanish/>
              </w:rPr>
            </w:pPr>
          </w:p>
        </w:tc>
        <w:tc>
          <w:tcPr>
            <w:tcW w:w="0" w:type="auto"/>
            <w:gridSpan w:val="3"/>
            <w:shd w:val="clear" w:color="auto" w:fill="auto"/>
            <w:vAlign w:val="bottom"/>
          </w:tcPr>
          <w:p w14:paraId="71D3E3C9" w14:textId="77777777" w:rsidR="006A3667" w:rsidRDefault="006A3667">
            <w:pPr>
              <w:rPr>
                <w:rFonts w:ascii="宋体"/>
                <w:vanish/>
              </w:rPr>
            </w:pPr>
          </w:p>
        </w:tc>
        <w:tc>
          <w:tcPr>
            <w:tcW w:w="0" w:type="auto"/>
            <w:gridSpan w:val="3"/>
            <w:shd w:val="clear" w:color="auto" w:fill="auto"/>
            <w:vAlign w:val="bottom"/>
          </w:tcPr>
          <w:p w14:paraId="71D3E3CA" w14:textId="77777777" w:rsidR="006A3667" w:rsidRDefault="006A3667">
            <w:pPr>
              <w:rPr>
                <w:rFonts w:ascii="宋体"/>
                <w:vanish/>
              </w:rPr>
            </w:pPr>
          </w:p>
        </w:tc>
        <w:tc>
          <w:tcPr>
            <w:tcW w:w="0" w:type="auto"/>
            <w:gridSpan w:val="3"/>
            <w:shd w:val="clear" w:color="auto" w:fill="auto"/>
            <w:vAlign w:val="bottom"/>
          </w:tcPr>
          <w:p w14:paraId="71D3E3CB" w14:textId="77777777" w:rsidR="006A3667" w:rsidRDefault="006A3667">
            <w:pPr>
              <w:rPr>
                <w:rFonts w:ascii="宋体"/>
                <w:vanish/>
              </w:rPr>
            </w:pPr>
          </w:p>
        </w:tc>
        <w:tc>
          <w:tcPr>
            <w:tcW w:w="0" w:type="auto"/>
            <w:gridSpan w:val="3"/>
            <w:shd w:val="clear" w:color="auto" w:fill="auto"/>
            <w:vAlign w:val="bottom"/>
          </w:tcPr>
          <w:p w14:paraId="71D3E3CC" w14:textId="77777777" w:rsidR="006A3667" w:rsidRDefault="006A3667">
            <w:pPr>
              <w:rPr>
                <w:rFonts w:ascii="宋体"/>
                <w:vanish/>
              </w:rPr>
            </w:pPr>
          </w:p>
        </w:tc>
        <w:tc>
          <w:tcPr>
            <w:tcW w:w="0" w:type="auto"/>
            <w:gridSpan w:val="3"/>
            <w:shd w:val="clear" w:color="auto" w:fill="auto"/>
            <w:vAlign w:val="bottom"/>
          </w:tcPr>
          <w:p w14:paraId="71D3E3CD" w14:textId="77777777" w:rsidR="006A3667" w:rsidRDefault="006A3667">
            <w:pPr>
              <w:rPr>
                <w:rFonts w:ascii="宋体"/>
                <w:vanish/>
              </w:rPr>
            </w:pPr>
          </w:p>
        </w:tc>
        <w:tc>
          <w:tcPr>
            <w:tcW w:w="0" w:type="auto"/>
            <w:gridSpan w:val="3"/>
            <w:shd w:val="clear" w:color="auto" w:fill="auto"/>
            <w:vAlign w:val="bottom"/>
          </w:tcPr>
          <w:p w14:paraId="71D3E3CE" w14:textId="77777777" w:rsidR="006A3667" w:rsidRDefault="006A3667">
            <w:pPr>
              <w:rPr>
                <w:rFonts w:ascii="宋体"/>
                <w:vanish/>
              </w:rPr>
            </w:pPr>
          </w:p>
        </w:tc>
        <w:tc>
          <w:tcPr>
            <w:tcW w:w="0" w:type="auto"/>
            <w:gridSpan w:val="3"/>
            <w:shd w:val="clear" w:color="auto" w:fill="auto"/>
            <w:vAlign w:val="bottom"/>
          </w:tcPr>
          <w:p w14:paraId="71D3E3CF" w14:textId="77777777" w:rsidR="006A3667" w:rsidRDefault="006A3667">
            <w:pPr>
              <w:rPr>
                <w:rFonts w:ascii="宋体"/>
                <w:vanish/>
              </w:rPr>
            </w:pPr>
          </w:p>
        </w:tc>
        <w:tc>
          <w:tcPr>
            <w:tcW w:w="0" w:type="auto"/>
            <w:gridSpan w:val="3"/>
            <w:shd w:val="clear" w:color="auto" w:fill="auto"/>
            <w:vAlign w:val="bottom"/>
          </w:tcPr>
          <w:p w14:paraId="71D3E3D0" w14:textId="77777777" w:rsidR="006A3667" w:rsidRDefault="006A3667">
            <w:pPr>
              <w:rPr>
                <w:rFonts w:ascii="宋体"/>
                <w:vanish/>
              </w:rPr>
            </w:pPr>
          </w:p>
        </w:tc>
      </w:tr>
      <w:tr w:rsidR="006A3667" w14:paraId="71D3E3E5" w14:textId="77777777">
        <w:tc>
          <w:tcPr>
            <w:tcW w:w="0" w:type="auto"/>
            <w:gridSpan w:val="3"/>
            <w:shd w:val="clear" w:color="auto" w:fill="FFFFFF"/>
            <w:tcMar>
              <w:top w:w="40" w:type="dxa"/>
              <w:left w:w="20" w:type="dxa"/>
              <w:bottom w:w="40" w:type="dxa"/>
              <w:right w:w="20" w:type="dxa"/>
            </w:tcMar>
            <w:vAlign w:val="bottom"/>
          </w:tcPr>
          <w:p w14:paraId="71D3E3D2" w14:textId="77777777" w:rsidR="006A3667" w:rsidRDefault="00045F32">
            <w:pPr>
              <w:textAlignment w:val="bottom"/>
            </w:pPr>
            <w:r>
              <w:rPr>
                <w:rFonts w:ascii="Arial" w:eastAsia="宋体" w:hAnsi="Arial" w:cs="Arial"/>
                <w:color w:val="000000"/>
                <w:sz w:val="13"/>
                <w:szCs w:val="13"/>
              </w:rPr>
              <w:t>Cash</w:t>
            </w:r>
            <w:r>
              <w:rPr>
                <w:rFonts w:ascii="Arial" w:eastAsia="宋体" w:hAnsi="Arial" w:cs="Arial"/>
                <w:color w:val="000000"/>
                <w:sz w:val="8"/>
                <w:szCs w:val="8"/>
              </w:rPr>
              <w:t>(1)</w:t>
            </w:r>
          </w:p>
        </w:tc>
        <w:tc>
          <w:tcPr>
            <w:tcW w:w="0" w:type="auto"/>
            <w:gridSpan w:val="2"/>
            <w:shd w:val="clear" w:color="auto" w:fill="FFFFFF"/>
            <w:tcMar>
              <w:top w:w="40" w:type="dxa"/>
              <w:left w:w="20" w:type="dxa"/>
              <w:bottom w:w="40" w:type="dxa"/>
              <w:right w:w="0" w:type="dxa"/>
            </w:tcMar>
            <w:vAlign w:val="bottom"/>
          </w:tcPr>
          <w:p w14:paraId="71D3E3D3" w14:textId="77777777" w:rsidR="006A3667" w:rsidRDefault="00045F32">
            <w:pPr>
              <w:jc w:val="right"/>
              <w:textAlignment w:val="bottom"/>
            </w:pPr>
            <w:r>
              <w:rPr>
                <w:rFonts w:ascii="Arial" w:eastAsia="宋体" w:hAnsi="Arial" w:cs="Arial"/>
                <w:b/>
                <w:bCs/>
                <w:color w:val="000000"/>
                <w:sz w:val="13"/>
                <w:szCs w:val="13"/>
              </w:rPr>
              <w:t>410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3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3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3D6" w14:textId="77777777" w:rsidR="006A3667" w:rsidRDefault="00045F32">
            <w:pPr>
              <w:jc w:val="right"/>
              <w:textAlignment w:val="bottom"/>
            </w:pPr>
            <w:r>
              <w:rPr>
                <w:rFonts w:ascii="Arial" w:eastAsia="宋体" w:hAnsi="Arial" w:cs="Arial"/>
                <w:color w:val="000000"/>
                <w:sz w:val="13"/>
                <w:szCs w:val="13"/>
              </w:rPr>
              <w:t>368 </w:t>
            </w:r>
          </w:p>
        </w:tc>
        <w:tc>
          <w:tcPr>
            <w:tcW w:w="0" w:type="auto"/>
            <w:shd w:val="clear" w:color="auto" w:fill="FFFFFF"/>
            <w:tcMar>
              <w:top w:w="40" w:type="dxa"/>
              <w:left w:w="0" w:type="dxa"/>
              <w:bottom w:w="40" w:type="dxa"/>
              <w:right w:w="20" w:type="dxa"/>
            </w:tcMar>
            <w:vAlign w:val="bottom"/>
          </w:tcPr>
          <w:p w14:paraId="71D3E3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3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3D9" w14:textId="77777777" w:rsidR="006A3667" w:rsidRDefault="00045F32">
            <w:pPr>
              <w:jc w:val="right"/>
              <w:textAlignment w:val="bottom"/>
            </w:pPr>
            <w:r>
              <w:rPr>
                <w:rFonts w:ascii="Arial" w:eastAsia="宋体" w:hAnsi="Arial" w:cs="Arial"/>
                <w:color w:val="000000"/>
                <w:sz w:val="13"/>
                <w:szCs w:val="13"/>
              </w:rPr>
              <w:t>367 </w:t>
            </w:r>
          </w:p>
        </w:tc>
        <w:tc>
          <w:tcPr>
            <w:tcW w:w="0" w:type="auto"/>
            <w:shd w:val="clear" w:color="auto" w:fill="FFFFFF"/>
            <w:tcMar>
              <w:top w:w="40" w:type="dxa"/>
              <w:left w:w="0" w:type="dxa"/>
              <w:bottom w:w="40" w:type="dxa"/>
              <w:right w:w="20" w:type="dxa"/>
            </w:tcMar>
            <w:vAlign w:val="bottom"/>
          </w:tcPr>
          <w:p w14:paraId="71D3E3DA" w14:textId="77777777" w:rsidR="006A3667" w:rsidRDefault="006A3667">
            <w:pPr>
              <w:jc w:val="right"/>
              <w:rPr>
                <w:rFonts w:ascii="宋体"/>
              </w:rPr>
            </w:pPr>
          </w:p>
        </w:tc>
        <w:tc>
          <w:tcPr>
            <w:tcW w:w="0" w:type="auto"/>
            <w:shd w:val="clear" w:color="auto" w:fill="auto"/>
            <w:vAlign w:val="bottom"/>
          </w:tcPr>
          <w:p w14:paraId="71D3E3DB" w14:textId="77777777" w:rsidR="006A3667" w:rsidRDefault="006A3667">
            <w:pPr>
              <w:rPr>
                <w:rFonts w:ascii="宋体"/>
                <w:vanish/>
              </w:rPr>
            </w:pPr>
          </w:p>
        </w:tc>
        <w:tc>
          <w:tcPr>
            <w:tcW w:w="0" w:type="auto"/>
            <w:shd w:val="clear" w:color="auto" w:fill="auto"/>
            <w:vAlign w:val="bottom"/>
          </w:tcPr>
          <w:p w14:paraId="71D3E3DC" w14:textId="77777777" w:rsidR="006A3667" w:rsidRDefault="006A3667">
            <w:pPr>
              <w:rPr>
                <w:rFonts w:ascii="宋体"/>
                <w:vanish/>
              </w:rPr>
            </w:pPr>
          </w:p>
        </w:tc>
        <w:tc>
          <w:tcPr>
            <w:tcW w:w="0" w:type="auto"/>
            <w:gridSpan w:val="3"/>
            <w:shd w:val="clear" w:color="auto" w:fill="auto"/>
            <w:vAlign w:val="bottom"/>
          </w:tcPr>
          <w:p w14:paraId="71D3E3DD" w14:textId="77777777" w:rsidR="006A3667" w:rsidRDefault="006A3667">
            <w:pPr>
              <w:rPr>
                <w:rFonts w:ascii="宋体"/>
                <w:vanish/>
              </w:rPr>
            </w:pPr>
          </w:p>
        </w:tc>
        <w:tc>
          <w:tcPr>
            <w:tcW w:w="0" w:type="auto"/>
            <w:gridSpan w:val="3"/>
            <w:shd w:val="clear" w:color="auto" w:fill="auto"/>
            <w:vAlign w:val="bottom"/>
          </w:tcPr>
          <w:p w14:paraId="71D3E3DE" w14:textId="77777777" w:rsidR="006A3667" w:rsidRDefault="006A3667">
            <w:pPr>
              <w:rPr>
                <w:rFonts w:ascii="宋体"/>
                <w:vanish/>
              </w:rPr>
            </w:pPr>
          </w:p>
        </w:tc>
        <w:tc>
          <w:tcPr>
            <w:tcW w:w="0" w:type="auto"/>
            <w:gridSpan w:val="3"/>
            <w:shd w:val="clear" w:color="auto" w:fill="auto"/>
            <w:vAlign w:val="bottom"/>
          </w:tcPr>
          <w:p w14:paraId="71D3E3DF" w14:textId="77777777" w:rsidR="006A3667" w:rsidRDefault="006A3667">
            <w:pPr>
              <w:rPr>
                <w:rFonts w:ascii="宋体"/>
                <w:vanish/>
              </w:rPr>
            </w:pPr>
          </w:p>
        </w:tc>
        <w:tc>
          <w:tcPr>
            <w:tcW w:w="0" w:type="auto"/>
            <w:gridSpan w:val="3"/>
            <w:shd w:val="clear" w:color="auto" w:fill="auto"/>
            <w:vAlign w:val="bottom"/>
          </w:tcPr>
          <w:p w14:paraId="71D3E3E0" w14:textId="77777777" w:rsidR="006A3667" w:rsidRDefault="006A3667">
            <w:pPr>
              <w:rPr>
                <w:rFonts w:ascii="宋体"/>
                <w:vanish/>
              </w:rPr>
            </w:pPr>
          </w:p>
        </w:tc>
        <w:tc>
          <w:tcPr>
            <w:tcW w:w="0" w:type="auto"/>
            <w:gridSpan w:val="3"/>
            <w:shd w:val="clear" w:color="auto" w:fill="auto"/>
            <w:vAlign w:val="bottom"/>
          </w:tcPr>
          <w:p w14:paraId="71D3E3E1" w14:textId="77777777" w:rsidR="006A3667" w:rsidRDefault="006A3667">
            <w:pPr>
              <w:rPr>
                <w:rFonts w:ascii="宋体"/>
                <w:vanish/>
              </w:rPr>
            </w:pPr>
          </w:p>
        </w:tc>
        <w:tc>
          <w:tcPr>
            <w:tcW w:w="0" w:type="auto"/>
            <w:gridSpan w:val="3"/>
            <w:shd w:val="clear" w:color="auto" w:fill="auto"/>
            <w:vAlign w:val="bottom"/>
          </w:tcPr>
          <w:p w14:paraId="71D3E3E2" w14:textId="77777777" w:rsidR="006A3667" w:rsidRDefault="006A3667">
            <w:pPr>
              <w:rPr>
                <w:rFonts w:ascii="宋体"/>
                <w:vanish/>
              </w:rPr>
            </w:pPr>
          </w:p>
        </w:tc>
        <w:tc>
          <w:tcPr>
            <w:tcW w:w="0" w:type="auto"/>
            <w:gridSpan w:val="3"/>
            <w:shd w:val="clear" w:color="auto" w:fill="auto"/>
            <w:vAlign w:val="bottom"/>
          </w:tcPr>
          <w:p w14:paraId="71D3E3E3" w14:textId="77777777" w:rsidR="006A3667" w:rsidRDefault="006A3667">
            <w:pPr>
              <w:rPr>
                <w:rFonts w:ascii="宋体"/>
                <w:vanish/>
              </w:rPr>
            </w:pPr>
          </w:p>
        </w:tc>
        <w:tc>
          <w:tcPr>
            <w:tcW w:w="0" w:type="auto"/>
            <w:gridSpan w:val="3"/>
            <w:shd w:val="clear" w:color="auto" w:fill="auto"/>
            <w:vAlign w:val="bottom"/>
          </w:tcPr>
          <w:p w14:paraId="71D3E3E4" w14:textId="77777777" w:rsidR="006A3667" w:rsidRDefault="006A3667">
            <w:pPr>
              <w:rPr>
                <w:rFonts w:ascii="宋体"/>
                <w:vanish/>
              </w:rPr>
            </w:pPr>
          </w:p>
        </w:tc>
      </w:tr>
      <w:tr w:rsidR="006A3667" w14:paraId="71D3E401" w14:textId="77777777">
        <w:tc>
          <w:tcPr>
            <w:tcW w:w="0" w:type="auto"/>
            <w:gridSpan w:val="18"/>
            <w:shd w:val="clear" w:color="auto" w:fill="CCEEFF"/>
            <w:tcMar>
              <w:top w:w="40" w:type="dxa"/>
              <w:left w:w="20" w:type="dxa"/>
              <w:bottom w:w="40" w:type="dxa"/>
              <w:right w:w="20" w:type="dxa"/>
            </w:tcMar>
            <w:vAlign w:val="bottom"/>
          </w:tcPr>
          <w:p w14:paraId="71D3E3E6" w14:textId="77777777" w:rsidR="006A3667" w:rsidRDefault="00045F32">
            <w:pPr>
              <w:textAlignment w:val="bottom"/>
            </w:pPr>
            <w:r>
              <w:rPr>
                <w:rFonts w:ascii="Arial" w:eastAsia="宋体" w:hAnsi="Arial" w:cs="Arial"/>
                <w:color w:val="000000"/>
                <w:sz w:val="13"/>
                <w:szCs w:val="13"/>
              </w:rPr>
              <w:t>Multi-asset-class solutions:</w:t>
            </w:r>
          </w:p>
        </w:tc>
        <w:tc>
          <w:tcPr>
            <w:tcW w:w="0" w:type="auto"/>
            <w:shd w:val="clear" w:color="auto" w:fill="auto"/>
            <w:vAlign w:val="bottom"/>
          </w:tcPr>
          <w:p w14:paraId="71D3E3E7" w14:textId="77777777" w:rsidR="006A3667" w:rsidRDefault="006A3667">
            <w:pPr>
              <w:rPr>
                <w:rFonts w:ascii="宋体"/>
                <w:vanish/>
              </w:rPr>
            </w:pPr>
          </w:p>
        </w:tc>
        <w:tc>
          <w:tcPr>
            <w:tcW w:w="0" w:type="auto"/>
            <w:shd w:val="clear" w:color="auto" w:fill="auto"/>
            <w:vAlign w:val="bottom"/>
          </w:tcPr>
          <w:p w14:paraId="71D3E3E8" w14:textId="77777777" w:rsidR="006A3667" w:rsidRDefault="006A3667">
            <w:pPr>
              <w:rPr>
                <w:rFonts w:ascii="宋体"/>
                <w:vanish/>
              </w:rPr>
            </w:pPr>
          </w:p>
        </w:tc>
        <w:tc>
          <w:tcPr>
            <w:tcW w:w="0" w:type="auto"/>
            <w:shd w:val="clear" w:color="auto" w:fill="auto"/>
            <w:vAlign w:val="bottom"/>
          </w:tcPr>
          <w:p w14:paraId="71D3E3E9" w14:textId="77777777" w:rsidR="006A3667" w:rsidRDefault="006A3667">
            <w:pPr>
              <w:rPr>
                <w:rFonts w:ascii="宋体"/>
              </w:rPr>
            </w:pPr>
          </w:p>
        </w:tc>
        <w:tc>
          <w:tcPr>
            <w:tcW w:w="0" w:type="auto"/>
            <w:shd w:val="clear" w:color="auto" w:fill="auto"/>
            <w:vAlign w:val="bottom"/>
          </w:tcPr>
          <w:p w14:paraId="71D3E3EA" w14:textId="77777777" w:rsidR="006A3667" w:rsidRDefault="006A3667">
            <w:pPr>
              <w:rPr>
                <w:rFonts w:ascii="宋体"/>
              </w:rPr>
            </w:pPr>
          </w:p>
        </w:tc>
        <w:tc>
          <w:tcPr>
            <w:tcW w:w="0" w:type="auto"/>
            <w:shd w:val="clear" w:color="auto" w:fill="auto"/>
            <w:vAlign w:val="bottom"/>
          </w:tcPr>
          <w:p w14:paraId="71D3E3EB" w14:textId="77777777" w:rsidR="006A3667" w:rsidRDefault="006A3667">
            <w:pPr>
              <w:rPr>
                <w:rFonts w:ascii="宋体"/>
              </w:rPr>
            </w:pPr>
          </w:p>
        </w:tc>
        <w:tc>
          <w:tcPr>
            <w:tcW w:w="0" w:type="auto"/>
            <w:shd w:val="clear" w:color="auto" w:fill="auto"/>
            <w:vAlign w:val="bottom"/>
          </w:tcPr>
          <w:p w14:paraId="71D3E3EC" w14:textId="77777777" w:rsidR="006A3667" w:rsidRDefault="006A3667">
            <w:pPr>
              <w:rPr>
                <w:rFonts w:ascii="宋体"/>
              </w:rPr>
            </w:pPr>
          </w:p>
        </w:tc>
        <w:tc>
          <w:tcPr>
            <w:tcW w:w="0" w:type="auto"/>
            <w:shd w:val="clear" w:color="auto" w:fill="auto"/>
            <w:vAlign w:val="bottom"/>
          </w:tcPr>
          <w:p w14:paraId="71D3E3ED" w14:textId="77777777" w:rsidR="006A3667" w:rsidRDefault="006A3667">
            <w:pPr>
              <w:rPr>
                <w:rFonts w:ascii="宋体"/>
              </w:rPr>
            </w:pPr>
          </w:p>
        </w:tc>
        <w:tc>
          <w:tcPr>
            <w:tcW w:w="0" w:type="auto"/>
            <w:shd w:val="clear" w:color="auto" w:fill="auto"/>
            <w:vAlign w:val="bottom"/>
          </w:tcPr>
          <w:p w14:paraId="71D3E3EE" w14:textId="77777777" w:rsidR="006A3667" w:rsidRDefault="006A3667">
            <w:pPr>
              <w:rPr>
                <w:rFonts w:ascii="宋体"/>
              </w:rPr>
            </w:pPr>
          </w:p>
        </w:tc>
        <w:tc>
          <w:tcPr>
            <w:tcW w:w="0" w:type="auto"/>
            <w:shd w:val="clear" w:color="auto" w:fill="auto"/>
            <w:vAlign w:val="bottom"/>
          </w:tcPr>
          <w:p w14:paraId="71D3E3EF" w14:textId="77777777" w:rsidR="006A3667" w:rsidRDefault="006A3667">
            <w:pPr>
              <w:rPr>
                <w:rFonts w:ascii="宋体"/>
              </w:rPr>
            </w:pPr>
          </w:p>
        </w:tc>
        <w:tc>
          <w:tcPr>
            <w:tcW w:w="0" w:type="auto"/>
            <w:shd w:val="clear" w:color="auto" w:fill="auto"/>
            <w:vAlign w:val="bottom"/>
          </w:tcPr>
          <w:p w14:paraId="71D3E3F0" w14:textId="77777777" w:rsidR="006A3667" w:rsidRDefault="006A3667">
            <w:pPr>
              <w:rPr>
                <w:rFonts w:ascii="宋体"/>
              </w:rPr>
            </w:pPr>
          </w:p>
        </w:tc>
        <w:tc>
          <w:tcPr>
            <w:tcW w:w="0" w:type="auto"/>
            <w:shd w:val="clear" w:color="auto" w:fill="auto"/>
            <w:vAlign w:val="bottom"/>
          </w:tcPr>
          <w:p w14:paraId="71D3E3F1" w14:textId="77777777" w:rsidR="006A3667" w:rsidRDefault="006A3667">
            <w:pPr>
              <w:rPr>
                <w:rFonts w:ascii="宋体"/>
              </w:rPr>
            </w:pPr>
          </w:p>
        </w:tc>
        <w:tc>
          <w:tcPr>
            <w:tcW w:w="0" w:type="auto"/>
            <w:shd w:val="clear" w:color="auto" w:fill="auto"/>
            <w:vAlign w:val="bottom"/>
          </w:tcPr>
          <w:p w14:paraId="71D3E3F2" w14:textId="77777777" w:rsidR="006A3667" w:rsidRDefault="006A3667">
            <w:pPr>
              <w:rPr>
                <w:rFonts w:ascii="宋体"/>
              </w:rPr>
            </w:pPr>
          </w:p>
        </w:tc>
        <w:tc>
          <w:tcPr>
            <w:tcW w:w="0" w:type="auto"/>
            <w:shd w:val="clear" w:color="auto" w:fill="auto"/>
            <w:vAlign w:val="bottom"/>
          </w:tcPr>
          <w:p w14:paraId="71D3E3F3" w14:textId="77777777" w:rsidR="006A3667" w:rsidRDefault="006A3667">
            <w:pPr>
              <w:rPr>
                <w:rFonts w:ascii="宋体"/>
              </w:rPr>
            </w:pPr>
          </w:p>
        </w:tc>
        <w:tc>
          <w:tcPr>
            <w:tcW w:w="0" w:type="auto"/>
            <w:shd w:val="clear" w:color="auto" w:fill="auto"/>
            <w:vAlign w:val="bottom"/>
          </w:tcPr>
          <w:p w14:paraId="71D3E3F4" w14:textId="77777777" w:rsidR="006A3667" w:rsidRDefault="006A3667">
            <w:pPr>
              <w:rPr>
                <w:rFonts w:ascii="宋体"/>
              </w:rPr>
            </w:pPr>
          </w:p>
        </w:tc>
        <w:tc>
          <w:tcPr>
            <w:tcW w:w="0" w:type="auto"/>
            <w:shd w:val="clear" w:color="auto" w:fill="auto"/>
            <w:vAlign w:val="bottom"/>
          </w:tcPr>
          <w:p w14:paraId="71D3E3F5" w14:textId="77777777" w:rsidR="006A3667" w:rsidRDefault="006A3667">
            <w:pPr>
              <w:rPr>
                <w:rFonts w:ascii="宋体"/>
              </w:rPr>
            </w:pPr>
          </w:p>
        </w:tc>
        <w:tc>
          <w:tcPr>
            <w:tcW w:w="0" w:type="auto"/>
            <w:shd w:val="clear" w:color="auto" w:fill="auto"/>
            <w:vAlign w:val="bottom"/>
          </w:tcPr>
          <w:p w14:paraId="71D3E3F6" w14:textId="77777777" w:rsidR="006A3667" w:rsidRDefault="006A3667">
            <w:pPr>
              <w:rPr>
                <w:rFonts w:ascii="宋体"/>
              </w:rPr>
            </w:pPr>
          </w:p>
        </w:tc>
        <w:tc>
          <w:tcPr>
            <w:tcW w:w="0" w:type="auto"/>
            <w:shd w:val="clear" w:color="auto" w:fill="auto"/>
            <w:vAlign w:val="bottom"/>
          </w:tcPr>
          <w:p w14:paraId="71D3E3F7" w14:textId="77777777" w:rsidR="006A3667" w:rsidRDefault="006A3667">
            <w:pPr>
              <w:rPr>
                <w:rFonts w:ascii="宋体"/>
              </w:rPr>
            </w:pPr>
          </w:p>
        </w:tc>
        <w:tc>
          <w:tcPr>
            <w:tcW w:w="0" w:type="auto"/>
            <w:shd w:val="clear" w:color="auto" w:fill="auto"/>
            <w:vAlign w:val="bottom"/>
          </w:tcPr>
          <w:p w14:paraId="71D3E3F8" w14:textId="77777777" w:rsidR="006A3667" w:rsidRDefault="006A3667">
            <w:pPr>
              <w:rPr>
                <w:rFonts w:ascii="宋体"/>
              </w:rPr>
            </w:pPr>
          </w:p>
        </w:tc>
        <w:tc>
          <w:tcPr>
            <w:tcW w:w="0" w:type="auto"/>
            <w:shd w:val="clear" w:color="auto" w:fill="auto"/>
            <w:vAlign w:val="bottom"/>
          </w:tcPr>
          <w:p w14:paraId="71D3E3F9" w14:textId="77777777" w:rsidR="006A3667" w:rsidRDefault="006A3667">
            <w:pPr>
              <w:rPr>
                <w:rFonts w:ascii="宋体"/>
              </w:rPr>
            </w:pPr>
          </w:p>
        </w:tc>
        <w:tc>
          <w:tcPr>
            <w:tcW w:w="0" w:type="auto"/>
            <w:shd w:val="clear" w:color="auto" w:fill="auto"/>
            <w:vAlign w:val="bottom"/>
          </w:tcPr>
          <w:p w14:paraId="71D3E3FA" w14:textId="77777777" w:rsidR="006A3667" w:rsidRDefault="006A3667">
            <w:pPr>
              <w:rPr>
                <w:rFonts w:ascii="宋体"/>
              </w:rPr>
            </w:pPr>
          </w:p>
        </w:tc>
        <w:tc>
          <w:tcPr>
            <w:tcW w:w="0" w:type="auto"/>
            <w:shd w:val="clear" w:color="auto" w:fill="auto"/>
            <w:vAlign w:val="bottom"/>
          </w:tcPr>
          <w:p w14:paraId="71D3E3FB" w14:textId="77777777" w:rsidR="006A3667" w:rsidRDefault="006A3667">
            <w:pPr>
              <w:rPr>
                <w:rFonts w:ascii="宋体"/>
              </w:rPr>
            </w:pPr>
          </w:p>
        </w:tc>
        <w:tc>
          <w:tcPr>
            <w:tcW w:w="0" w:type="auto"/>
            <w:shd w:val="clear" w:color="auto" w:fill="auto"/>
            <w:vAlign w:val="bottom"/>
          </w:tcPr>
          <w:p w14:paraId="71D3E3FC" w14:textId="77777777" w:rsidR="006A3667" w:rsidRDefault="006A3667">
            <w:pPr>
              <w:rPr>
                <w:rFonts w:ascii="宋体"/>
              </w:rPr>
            </w:pPr>
          </w:p>
        </w:tc>
        <w:tc>
          <w:tcPr>
            <w:tcW w:w="0" w:type="auto"/>
            <w:shd w:val="clear" w:color="auto" w:fill="auto"/>
            <w:vAlign w:val="bottom"/>
          </w:tcPr>
          <w:p w14:paraId="71D3E3FD" w14:textId="77777777" w:rsidR="006A3667" w:rsidRDefault="006A3667">
            <w:pPr>
              <w:rPr>
                <w:rFonts w:ascii="宋体"/>
              </w:rPr>
            </w:pPr>
          </w:p>
        </w:tc>
        <w:tc>
          <w:tcPr>
            <w:tcW w:w="0" w:type="auto"/>
            <w:shd w:val="clear" w:color="auto" w:fill="auto"/>
            <w:vAlign w:val="bottom"/>
          </w:tcPr>
          <w:p w14:paraId="71D3E3FE" w14:textId="77777777" w:rsidR="006A3667" w:rsidRDefault="006A3667">
            <w:pPr>
              <w:rPr>
                <w:rFonts w:ascii="宋体"/>
              </w:rPr>
            </w:pPr>
          </w:p>
        </w:tc>
        <w:tc>
          <w:tcPr>
            <w:tcW w:w="0" w:type="auto"/>
            <w:shd w:val="clear" w:color="auto" w:fill="auto"/>
            <w:vAlign w:val="bottom"/>
          </w:tcPr>
          <w:p w14:paraId="71D3E3FF" w14:textId="77777777" w:rsidR="006A3667" w:rsidRDefault="006A3667">
            <w:pPr>
              <w:rPr>
                <w:rFonts w:ascii="宋体"/>
              </w:rPr>
            </w:pPr>
          </w:p>
        </w:tc>
        <w:tc>
          <w:tcPr>
            <w:tcW w:w="0" w:type="auto"/>
            <w:shd w:val="clear" w:color="auto" w:fill="auto"/>
            <w:vAlign w:val="bottom"/>
          </w:tcPr>
          <w:p w14:paraId="71D3E400" w14:textId="77777777" w:rsidR="006A3667" w:rsidRDefault="006A3667">
            <w:pPr>
              <w:rPr>
                <w:rFonts w:ascii="宋体"/>
              </w:rPr>
            </w:pPr>
          </w:p>
        </w:tc>
      </w:tr>
      <w:tr w:rsidR="006A3667" w14:paraId="71D3E415" w14:textId="77777777">
        <w:tc>
          <w:tcPr>
            <w:tcW w:w="0" w:type="auto"/>
            <w:gridSpan w:val="3"/>
            <w:shd w:val="clear" w:color="auto" w:fill="FFFFFF"/>
            <w:tcMar>
              <w:top w:w="40" w:type="dxa"/>
              <w:left w:w="20" w:type="dxa"/>
              <w:bottom w:w="40" w:type="dxa"/>
              <w:right w:w="20" w:type="dxa"/>
            </w:tcMar>
            <w:vAlign w:val="bottom"/>
          </w:tcPr>
          <w:p w14:paraId="71D3E402" w14:textId="77777777" w:rsidR="006A3667" w:rsidRDefault="00045F32">
            <w:pPr>
              <w:textAlignment w:val="bottom"/>
            </w:pPr>
            <w:r>
              <w:rPr>
                <w:rFonts w:ascii="Arial" w:eastAsia="宋体" w:hAnsi="Arial" w:cs="Arial"/>
                <w:color w:val="000000"/>
                <w:sz w:val="13"/>
                <w:szCs w:val="13"/>
              </w:rPr>
              <w:t>  Active</w:t>
            </w:r>
          </w:p>
        </w:tc>
        <w:tc>
          <w:tcPr>
            <w:tcW w:w="0" w:type="auto"/>
            <w:gridSpan w:val="2"/>
            <w:shd w:val="clear" w:color="auto" w:fill="FFFFFF"/>
            <w:tcMar>
              <w:top w:w="40" w:type="dxa"/>
              <w:left w:w="20" w:type="dxa"/>
              <w:bottom w:w="40" w:type="dxa"/>
              <w:right w:w="0" w:type="dxa"/>
            </w:tcMar>
            <w:vAlign w:val="bottom"/>
          </w:tcPr>
          <w:p w14:paraId="71D3E403" w14:textId="77777777" w:rsidR="006A3667" w:rsidRDefault="00045F32">
            <w:pPr>
              <w:jc w:val="right"/>
              <w:textAlignment w:val="bottom"/>
            </w:pPr>
            <w:r>
              <w:rPr>
                <w:rFonts w:ascii="Arial" w:eastAsia="宋体" w:hAnsi="Arial" w:cs="Arial"/>
                <w:b/>
                <w:bCs/>
                <w:color w:val="000000"/>
                <w:sz w:val="13"/>
                <w:szCs w:val="13"/>
              </w:rPr>
              <w:t>25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4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4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406" w14:textId="77777777" w:rsidR="006A3667" w:rsidRDefault="00045F32">
            <w:pPr>
              <w:jc w:val="right"/>
              <w:textAlignment w:val="bottom"/>
            </w:pPr>
            <w:r>
              <w:rPr>
                <w:rFonts w:ascii="Arial" w:eastAsia="宋体" w:hAnsi="Arial" w:cs="Arial"/>
                <w:color w:val="000000"/>
                <w:sz w:val="13"/>
                <w:szCs w:val="13"/>
              </w:rPr>
              <w:t>34 </w:t>
            </w:r>
          </w:p>
        </w:tc>
        <w:tc>
          <w:tcPr>
            <w:tcW w:w="0" w:type="auto"/>
            <w:shd w:val="clear" w:color="auto" w:fill="FFFFFF"/>
            <w:tcMar>
              <w:top w:w="40" w:type="dxa"/>
              <w:left w:w="0" w:type="dxa"/>
              <w:bottom w:w="40" w:type="dxa"/>
              <w:right w:w="20" w:type="dxa"/>
            </w:tcMar>
            <w:vAlign w:val="bottom"/>
          </w:tcPr>
          <w:p w14:paraId="71D3E4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40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409" w14:textId="77777777" w:rsidR="006A3667" w:rsidRDefault="00045F32">
            <w:pPr>
              <w:jc w:val="right"/>
              <w:textAlignment w:val="bottom"/>
            </w:pPr>
            <w:r>
              <w:rPr>
                <w:rFonts w:ascii="Arial" w:eastAsia="宋体" w:hAnsi="Arial" w:cs="Arial"/>
                <w:color w:val="000000"/>
                <w:sz w:val="13"/>
                <w:szCs w:val="13"/>
              </w:rPr>
              <w:t>35 </w:t>
            </w:r>
          </w:p>
        </w:tc>
        <w:tc>
          <w:tcPr>
            <w:tcW w:w="0" w:type="auto"/>
            <w:shd w:val="clear" w:color="auto" w:fill="FFFFFF"/>
            <w:tcMar>
              <w:top w:w="40" w:type="dxa"/>
              <w:left w:w="0" w:type="dxa"/>
              <w:bottom w:w="40" w:type="dxa"/>
              <w:right w:w="20" w:type="dxa"/>
            </w:tcMar>
            <w:vAlign w:val="bottom"/>
          </w:tcPr>
          <w:p w14:paraId="71D3E40A" w14:textId="77777777" w:rsidR="006A3667" w:rsidRDefault="006A3667">
            <w:pPr>
              <w:jc w:val="right"/>
              <w:rPr>
                <w:rFonts w:ascii="宋体"/>
              </w:rPr>
            </w:pPr>
          </w:p>
        </w:tc>
        <w:tc>
          <w:tcPr>
            <w:tcW w:w="0" w:type="auto"/>
            <w:shd w:val="clear" w:color="auto" w:fill="auto"/>
            <w:vAlign w:val="bottom"/>
          </w:tcPr>
          <w:p w14:paraId="71D3E40B" w14:textId="77777777" w:rsidR="006A3667" w:rsidRDefault="006A3667">
            <w:pPr>
              <w:rPr>
                <w:rFonts w:ascii="宋体"/>
                <w:vanish/>
              </w:rPr>
            </w:pPr>
          </w:p>
        </w:tc>
        <w:tc>
          <w:tcPr>
            <w:tcW w:w="0" w:type="auto"/>
            <w:shd w:val="clear" w:color="auto" w:fill="auto"/>
            <w:vAlign w:val="bottom"/>
          </w:tcPr>
          <w:p w14:paraId="71D3E40C" w14:textId="77777777" w:rsidR="006A3667" w:rsidRDefault="006A3667">
            <w:pPr>
              <w:rPr>
                <w:rFonts w:ascii="宋体"/>
                <w:vanish/>
              </w:rPr>
            </w:pPr>
          </w:p>
        </w:tc>
        <w:tc>
          <w:tcPr>
            <w:tcW w:w="0" w:type="auto"/>
            <w:gridSpan w:val="3"/>
            <w:shd w:val="clear" w:color="auto" w:fill="auto"/>
            <w:vAlign w:val="bottom"/>
          </w:tcPr>
          <w:p w14:paraId="71D3E40D" w14:textId="77777777" w:rsidR="006A3667" w:rsidRDefault="006A3667">
            <w:pPr>
              <w:rPr>
                <w:rFonts w:ascii="宋体"/>
                <w:vanish/>
              </w:rPr>
            </w:pPr>
          </w:p>
        </w:tc>
        <w:tc>
          <w:tcPr>
            <w:tcW w:w="0" w:type="auto"/>
            <w:gridSpan w:val="3"/>
            <w:shd w:val="clear" w:color="auto" w:fill="auto"/>
            <w:vAlign w:val="bottom"/>
          </w:tcPr>
          <w:p w14:paraId="71D3E40E" w14:textId="77777777" w:rsidR="006A3667" w:rsidRDefault="006A3667">
            <w:pPr>
              <w:rPr>
                <w:rFonts w:ascii="宋体"/>
                <w:vanish/>
              </w:rPr>
            </w:pPr>
          </w:p>
        </w:tc>
        <w:tc>
          <w:tcPr>
            <w:tcW w:w="0" w:type="auto"/>
            <w:gridSpan w:val="3"/>
            <w:shd w:val="clear" w:color="auto" w:fill="auto"/>
            <w:vAlign w:val="bottom"/>
          </w:tcPr>
          <w:p w14:paraId="71D3E40F" w14:textId="77777777" w:rsidR="006A3667" w:rsidRDefault="006A3667">
            <w:pPr>
              <w:rPr>
                <w:rFonts w:ascii="宋体"/>
                <w:vanish/>
              </w:rPr>
            </w:pPr>
          </w:p>
        </w:tc>
        <w:tc>
          <w:tcPr>
            <w:tcW w:w="0" w:type="auto"/>
            <w:gridSpan w:val="3"/>
            <w:shd w:val="clear" w:color="auto" w:fill="auto"/>
            <w:vAlign w:val="bottom"/>
          </w:tcPr>
          <w:p w14:paraId="71D3E410" w14:textId="77777777" w:rsidR="006A3667" w:rsidRDefault="006A3667">
            <w:pPr>
              <w:rPr>
                <w:rFonts w:ascii="宋体"/>
                <w:vanish/>
              </w:rPr>
            </w:pPr>
          </w:p>
        </w:tc>
        <w:tc>
          <w:tcPr>
            <w:tcW w:w="0" w:type="auto"/>
            <w:gridSpan w:val="3"/>
            <w:shd w:val="clear" w:color="auto" w:fill="auto"/>
            <w:vAlign w:val="bottom"/>
          </w:tcPr>
          <w:p w14:paraId="71D3E411" w14:textId="77777777" w:rsidR="006A3667" w:rsidRDefault="006A3667">
            <w:pPr>
              <w:rPr>
                <w:rFonts w:ascii="宋体"/>
                <w:vanish/>
              </w:rPr>
            </w:pPr>
          </w:p>
        </w:tc>
        <w:tc>
          <w:tcPr>
            <w:tcW w:w="0" w:type="auto"/>
            <w:gridSpan w:val="3"/>
            <w:shd w:val="clear" w:color="auto" w:fill="auto"/>
            <w:vAlign w:val="bottom"/>
          </w:tcPr>
          <w:p w14:paraId="71D3E412" w14:textId="77777777" w:rsidR="006A3667" w:rsidRDefault="006A3667">
            <w:pPr>
              <w:rPr>
                <w:rFonts w:ascii="宋体"/>
                <w:vanish/>
              </w:rPr>
            </w:pPr>
          </w:p>
        </w:tc>
        <w:tc>
          <w:tcPr>
            <w:tcW w:w="0" w:type="auto"/>
            <w:gridSpan w:val="3"/>
            <w:shd w:val="clear" w:color="auto" w:fill="auto"/>
            <w:vAlign w:val="bottom"/>
          </w:tcPr>
          <w:p w14:paraId="71D3E413" w14:textId="77777777" w:rsidR="006A3667" w:rsidRDefault="006A3667">
            <w:pPr>
              <w:rPr>
                <w:rFonts w:ascii="宋体"/>
                <w:vanish/>
              </w:rPr>
            </w:pPr>
          </w:p>
        </w:tc>
        <w:tc>
          <w:tcPr>
            <w:tcW w:w="0" w:type="auto"/>
            <w:gridSpan w:val="3"/>
            <w:shd w:val="clear" w:color="auto" w:fill="auto"/>
            <w:vAlign w:val="bottom"/>
          </w:tcPr>
          <w:p w14:paraId="71D3E414" w14:textId="77777777" w:rsidR="006A3667" w:rsidRDefault="006A3667">
            <w:pPr>
              <w:rPr>
                <w:rFonts w:ascii="宋体"/>
                <w:vanish/>
              </w:rPr>
            </w:pPr>
          </w:p>
        </w:tc>
      </w:tr>
      <w:tr w:rsidR="006A3667" w14:paraId="71D3E429" w14:textId="77777777">
        <w:tc>
          <w:tcPr>
            <w:tcW w:w="0" w:type="auto"/>
            <w:gridSpan w:val="3"/>
            <w:shd w:val="clear" w:color="auto" w:fill="CCEEFF"/>
            <w:tcMar>
              <w:top w:w="40" w:type="dxa"/>
              <w:left w:w="20" w:type="dxa"/>
              <w:bottom w:w="40" w:type="dxa"/>
              <w:right w:w="20" w:type="dxa"/>
            </w:tcMar>
            <w:vAlign w:val="bottom"/>
          </w:tcPr>
          <w:p w14:paraId="71D3E416" w14:textId="77777777" w:rsidR="006A3667" w:rsidRDefault="00045F32">
            <w:pPr>
              <w:textAlignment w:val="bottom"/>
            </w:pPr>
            <w:r>
              <w:rPr>
                <w:rFonts w:ascii="Arial" w:eastAsia="宋体" w:hAnsi="Arial" w:cs="Arial"/>
                <w:color w:val="000000"/>
                <w:sz w:val="13"/>
                <w:szCs w:val="13"/>
              </w:rPr>
              <w:t>  Passive</w:t>
            </w:r>
          </w:p>
        </w:tc>
        <w:tc>
          <w:tcPr>
            <w:tcW w:w="0" w:type="auto"/>
            <w:gridSpan w:val="2"/>
            <w:shd w:val="clear" w:color="auto" w:fill="CCEEFF"/>
            <w:tcMar>
              <w:top w:w="40" w:type="dxa"/>
              <w:left w:w="20" w:type="dxa"/>
              <w:bottom w:w="40" w:type="dxa"/>
              <w:right w:w="0" w:type="dxa"/>
            </w:tcMar>
            <w:vAlign w:val="bottom"/>
          </w:tcPr>
          <w:p w14:paraId="71D3E417" w14:textId="77777777" w:rsidR="006A3667" w:rsidRDefault="00045F32">
            <w:pPr>
              <w:jc w:val="right"/>
              <w:textAlignment w:val="bottom"/>
            </w:pPr>
            <w:r>
              <w:rPr>
                <w:rFonts w:ascii="Arial" w:eastAsia="宋体" w:hAnsi="Arial" w:cs="Arial"/>
                <w:b/>
                <w:bCs/>
                <w:color w:val="000000"/>
                <w:sz w:val="13"/>
                <w:szCs w:val="13"/>
              </w:rPr>
              <w:t>167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3E4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41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41A" w14:textId="77777777" w:rsidR="006A3667" w:rsidRDefault="00045F32">
            <w:pPr>
              <w:jc w:val="right"/>
              <w:textAlignment w:val="bottom"/>
            </w:pPr>
            <w:r>
              <w:rPr>
                <w:rFonts w:ascii="Arial" w:eastAsia="宋体" w:hAnsi="Arial" w:cs="Arial"/>
                <w:color w:val="000000"/>
                <w:sz w:val="13"/>
                <w:szCs w:val="13"/>
              </w:rPr>
              <w:t>188 </w:t>
            </w:r>
          </w:p>
        </w:tc>
        <w:tc>
          <w:tcPr>
            <w:tcW w:w="0" w:type="auto"/>
            <w:shd w:val="clear" w:color="auto" w:fill="CCEEFF"/>
            <w:tcMar>
              <w:top w:w="40" w:type="dxa"/>
              <w:left w:w="0" w:type="dxa"/>
              <w:bottom w:w="40" w:type="dxa"/>
              <w:right w:w="20" w:type="dxa"/>
            </w:tcMar>
            <w:vAlign w:val="bottom"/>
          </w:tcPr>
          <w:p w14:paraId="71D3E41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41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41D" w14:textId="77777777" w:rsidR="006A3667" w:rsidRDefault="00045F32">
            <w:pPr>
              <w:jc w:val="right"/>
              <w:textAlignment w:val="bottom"/>
            </w:pPr>
            <w:r>
              <w:rPr>
                <w:rFonts w:ascii="Arial" w:eastAsia="宋体" w:hAnsi="Arial" w:cs="Arial"/>
                <w:color w:val="000000"/>
                <w:sz w:val="13"/>
                <w:szCs w:val="13"/>
              </w:rPr>
              <w:t>174 </w:t>
            </w:r>
          </w:p>
        </w:tc>
        <w:tc>
          <w:tcPr>
            <w:tcW w:w="0" w:type="auto"/>
            <w:shd w:val="clear" w:color="auto" w:fill="CCEEFF"/>
            <w:tcMar>
              <w:top w:w="40" w:type="dxa"/>
              <w:left w:w="0" w:type="dxa"/>
              <w:bottom w:w="40" w:type="dxa"/>
              <w:right w:w="20" w:type="dxa"/>
            </w:tcMar>
            <w:vAlign w:val="bottom"/>
          </w:tcPr>
          <w:p w14:paraId="71D3E41E" w14:textId="77777777" w:rsidR="006A3667" w:rsidRDefault="006A3667">
            <w:pPr>
              <w:jc w:val="right"/>
              <w:rPr>
                <w:rFonts w:ascii="宋体"/>
              </w:rPr>
            </w:pPr>
          </w:p>
        </w:tc>
        <w:tc>
          <w:tcPr>
            <w:tcW w:w="0" w:type="auto"/>
            <w:shd w:val="clear" w:color="auto" w:fill="auto"/>
            <w:vAlign w:val="bottom"/>
          </w:tcPr>
          <w:p w14:paraId="71D3E41F" w14:textId="77777777" w:rsidR="006A3667" w:rsidRDefault="006A3667">
            <w:pPr>
              <w:rPr>
                <w:rFonts w:ascii="宋体"/>
                <w:vanish/>
              </w:rPr>
            </w:pPr>
          </w:p>
        </w:tc>
        <w:tc>
          <w:tcPr>
            <w:tcW w:w="0" w:type="auto"/>
            <w:shd w:val="clear" w:color="auto" w:fill="auto"/>
            <w:vAlign w:val="bottom"/>
          </w:tcPr>
          <w:p w14:paraId="71D3E420" w14:textId="77777777" w:rsidR="006A3667" w:rsidRDefault="006A3667">
            <w:pPr>
              <w:rPr>
                <w:rFonts w:ascii="宋体"/>
                <w:vanish/>
              </w:rPr>
            </w:pPr>
          </w:p>
        </w:tc>
        <w:tc>
          <w:tcPr>
            <w:tcW w:w="0" w:type="auto"/>
            <w:gridSpan w:val="3"/>
            <w:shd w:val="clear" w:color="auto" w:fill="auto"/>
            <w:vAlign w:val="bottom"/>
          </w:tcPr>
          <w:p w14:paraId="71D3E421" w14:textId="77777777" w:rsidR="006A3667" w:rsidRDefault="006A3667">
            <w:pPr>
              <w:rPr>
                <w:rFonts w:ascii="宋体"/>
                <w:vanish/>
              </w:rPr>
            </w:pPr>
          </w:p>
        </w:tc>
        <w:tc>
          <w:tcPr>
            <w:tcW w:w="0" w:type="auto"/>
            <w:gridSpan w:val="3"/>
            <w:shd w:val="clear" w:color="auto" w:fill="auto"/>
            <w:vAlign w:val="bottom"/>
          </w:tcPr>
          <w:p w14:paraId="71D3E422" w14:textId="77777777" w:rsidR="006A3667" w:rsidRDefault="006A3667">
            <w:pPr>
              <w:rPr>
                <w:rFonts w:ascii="宋体"/>
                <w:vanish/>
              </w:rPr>
            </w:pPr>
          </w:p>
        </w:tc>
        <w:tc>
          <w:tcPr>
            <w:tcW w:w="0" w:type="auto"/>
            <w:gridSpan w:val="3"/>
            <w:shd w:val="clear" w:color="auto" w:fill="auto"/>
            <w:vAlign w:val="bottom"/>
          </w:tcPr>
          <w:p w14:paraId="71D3E423" w14:textId="77777777" w:rsidR="006A3667" w:rsidRDefault="006A3667">
            <w:pPr>
              <w:rPr>
                <w:rFonts w:ascii="宋体"/>
                <w:vanish/>
              </w:rPr>
            </w:pPr>
          </w:p>
        </w:tc>
        <w:tc>
          <w:tcPr>
            <w:tcW w:w="0" w:type="auto"/>
            <w:gridSpan w:val="3"/>
            <w:shd w:val="clear" w:color="auto" w:fill="auto"/>
            <w:vAlign w:val="bottom"/>
          </w:tcPr>
          <w:p w14:paraId="71D3E424" w14:textId="77777777" w:rsidR="006A3667" w:rsidRDefault="006A3667">
            <w:pPr>
              <w:rPr>
                <w:rFonts w:ascii="宋体"/>
                <w:vanish/>
              </w:rPr>
            </w:pPr>
          </w:p>
        </w:tc>
        <w:tc>
          <w:tcPr>
            <w:tcW w:w="0" w:type="auto"/>
            <w:gridSpan w:val="3"/>
            <w:shd w:val="clear" w:color="auto" w:fill="auto"/>
            <w:vAlign w:val="bottom"/>
          </w:tcPr>
          <w:p w14:paraId="71D3E425" w14:textId="77777777" w:rsidR="006A3667" w:rsidRDefault="006A3667">
            <w:pPr>
              <w:rPr>
                <w:rFonts w:ascii="宋体"/>
                <w:vanish/>
              </w:rPr>
            </w:pPr>
          </w:p>
        </w:tc>
        <w:tc>
          <w:tcPr>
            <w:tcW w:w="0" w:type="auto"/>
            <w:gridSpan w:val="3"/>
            <w:shd w:val="clear" w:color="auto" w:fill="auto"/>
            <w:vAlign w:val="bottom"/>
          </w:tcPr>
          <w:p w14:paraId="71D3E426" w14:textId="77777777" w:rsidR="006A3667" w:rsidRDefault="006A3667">
            <w:pPr>
              <w:rPr>
                <w:rFonts w:ascii="宋体"/>
                <w:vanish/>
              </w:rPr>
            </w:pPr>
          </w:p>
        </w:tc>
        <w:tc>
          <w:tcPr>
            <w:tcW w:w="0" w:type="auto"/>
            <w:gridSpan w:val="3"/>
            <w:shd w:val="clear" w:color="auto" w:fill="auto"/>
            <w:vAlign w:val="bottom"/>
          </w:tcPr>
          <w:p w14:paraId="71D3E427" w14:textId="77777777" w:rsidR="006A3667" w:rsidRDefault="006A3667">
            <w:pPr>
              <w:rPr>
                <w:rFonts w:ascii="宋体"/>
                <w:vanish/>
              </w:rPr>
            </w:pPr>
          </w:p>
        </w:tc>
        <w:tc>
          <w:tcPr>
            <w:tcW w:w="0" w:type="auto"/>
            <w:gridSpan w:val="3"/>
            <w:shd w:val="clear" w:color="auto" w:fill="auto"/>
            <w:vAlign w:val="bottom"/>
          </w:tcPr>
          <w:p w14:paraId="71D3E428" w14:textId="77777777" w:rsidR="006A3667" w:rsidRDefault="006A3667">
            <w:pPr>
              <w:rPr>
                <w:rFonts w:ascii="宋体"/>
                <w:vanish/>
              </w:rPr>
            </w:pPr>
          </w:p>
        </w:tc>
      </w:tr>
      <w:tr w:rsidR="006A3667" w14:paraId="71D3E43D" w14:textId="77777777">
        <w:tc>
          <w:tcPr>
            <w:tcW w:w="0" w:type="auto"/>
            <w:gridSpan w:val="3"/>
            <w:shd w:val="clear" w:color="auto" w:fill="FFFFFF"/>
            <w:tcMar>
              <w:top w:w="40" w:type="dxa"/>
              <w:left w:w="20" w:type="dxa"/>
              <w:bottom w:w="40" w:type="dxa"/>
              <w:right w:w="20" w:type="dxa"/>
            </w:tcMar>
            <w:vAlign w:val="bottom"/>
          </w:tcPr>
          <w:p w14:paraId="71D3E42A" w14:textId="77777777" w:rsidR="006A3667" w:rsidRDefault="00045F32">
            <w:pPr>
              <w:textAlignment w:val="bottom"/>
            </w:pPr>
            <w:r>
              <w:rPr>
                <w:rFonts w:ascii="Arial" w:eastAsia="宋体" w:hAnsi="Arial" w:cs="Arial"/>
                <w:color w:val="000000"/>
                <w:sz w:val="13"/>
                <w:szCs w:val="13"/>
              </w:rPr>
              <w:t>Total multi-asset-class solutions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42B" w14:textId="77777777" w:rsidR="006A3667" w:rsidRDefault="00045F32">
            <w:pPr>
              <w:jc w:val="right"/>
              <w:textAlignment w:val="bottom"/>
            </w:pPr>
            <w:r>
              <w:rPr>
                <w:rFonts w:ascii="Arial" w:eastAsia="宋体" w:hAnsi="Arial" w:cs="Arial"/>
                <w:b/>
                <w:bCs/>
                <w:color w:val="000000"/>
                <w:sz w:val="13"/>
                <w:szCs w:val="13"/>
              </w:rPr>
              <w:t>192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4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42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42E" w14:textId="77777777" w:rsidR="006A3667" w:rsidRDefault="00045F32">
            <w:pPr>
              <w:jc w:val="right"/>
              <w:textAlignment w:val="bottom"/>
            </w:pPr>
            <w:r>
              <w:rPr>
                <w:rFonts w:ascii="Arial" w:eastAsia="宋体" w:hAnsi="Arial" w:cs="Arial"/>
                <w:color w:val="000000"/>
                <w:sz w:val="13"/>
                <w:szCs w:val="13"/>
              </w:rPr>
              <w:t>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4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43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431" w14:textId="77777777" w:rsidR="006A3667" w:rsidRDefault="00045F32">
            <w:pPr>
              <w:jc w:val="right"/>
              <w:textAlignment w:val="bottom"/>
            </w:pPr>
            <w:r>
              <w:rPr>
                <w:rFonts w:ascii="Arial" w:eastAsia="宋体" w:hAnsi="Arial" w:cs="Arial"/>
                <w:color w:val="000000"/>
                <w:sz w:val="13"/>
                <w:szCs w:val="13"/>
              </w:rPr>
              <w:t>209 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432" w14:textId="77777777" w:rsidR="006A3667" w:rsidRDefault="006A3667">
            <w:pPr>
              <w:jc w:val="right"/>
              <w:rPr>
                <w:rFonts w:ascii="宋体"/>
              </w:rPr>
            </w:pPr>
          </w:p>
        </w:tc>
        <w:tc>
          <w:tcPr>
            <w:tcW w:w="0" w:type="auto"/>
            <w:shd w:val="clear" w:color="auto" w:fill="auto"/>
            <w:vAlign w:val="bottom"/>
          </w:tcPr>
          <w:p w14:paraId="71D3E433" w14:textId="77777777" w:rsidR="006A3667" w:rsidRDefault="006A3667">
            <w:pPr>
              <w:rPr>
                <w:rFonts w:ascii="宋体"/>
                <w:vanish/>
              </w:rPr>
            </w:pPr>
          </w:p>
        </w:tc>
        <w:tc>
          <w:tcPr>
            <w:tcW w:w="0" w:type="auto"/>
            <w:shd w:val="clear" w:color="auto" w:fill="auto"/>
            <w:vAlign w:val="bottom"/>
          </w:tcPr>
          <w:p w14:paraId="71D3E434" w14:textId="77777777" w:rsidR="006A3667" w:rsidRDefault="006A3667">
            <w:pPr>
              <w:rPr>
                <w:rFonts w:ascii="宋体"/>
                <w:vanish/>
              </w:rPr>
            </w:pPr>
          </w:p>
        </w:tc>
        <w:tc>
          <w:tcPr>
            <w:tcW w:w="0" w:type="auto"/>
            <w:gridSpan w:val="3"/>
            <w:shd w:val="clear" w:color="auto" w:fill="auto"/>
            <w:vAlign w:val="bottom"/>
          </w:tcPr>
          <w:p w14:paraId="71D3E435" w14:textId="77777777" w:rsidR="006A3667" w:rsidRDefault="006A3667">
            <w:pPr>
              <w:rPr>
                <w:rFonts w:ascii="宋体"/>
                <w:vanish/>
              </w:rPr>
            </w:pPr>
          </w:p>
        </w:tc>
        <w:tc>
          <w:tcPr>
            <w:tcW w:w="0" w:type="auto"/>
            <w:gridSpan w:val="3"/>
            <w:shd w:val="clear" w:color="auto" w:fill="auto"/>
            <w:vAlign w:val="bottom"/>
          </w:tcPr>
          <w:p w14:paraId="71D3E436" w14:textId="77777777" w:rsidR="006A3667" w:rsidRDefault="006A3667">
            <w:pPr>
              <w:rPr>
                <w:rFonts w:ascii="宋体"/>
                <w:vanish/>
              </w:rPr>
            </w:pPr>
          </w:p>
        </w:tc>
        <w:tc>
          <w:tcPr>
            <w:tcW w:w="0" w:type="auto"/>
            <w:gridSpan w:val="3"/>
            <w:shd w:val="clear" w:color="auto" w:fill="auto"/>
            <w:vAlign w:val="bottom"/>
          </w:tcPr>
          <w:p w14:paraId="71D3E437" w14:textId="77777777" w:rsidR="006A3667" w:rsidRDefault="006A3667">
            <w:pPr>
              <w:rPr>
                <w:rFonts w:ascii="宋体"/>
                <w:vanish/>
              </w:rPr>
            </w:pPr>
          </w:p>
        </w:tc>
        <w:tc>
          <w:tcPr>
            <w:tcW w:w="0" w:type="auto"/>
            <w:gridSpan w:val="3"/>
            <w:shd w:val="clear" w:color="auto" w:fill="auto"/>
            <w:vAlign w:val="bottom"/>
          </w:tcPr>
          <w:p w14:paraId="71D3E438" w14:textId="77777777" w:rsidR="006A3667" w:rsidRDefault="006A3667">
            <w:pPr>
              <w:rPr>
                <w:rFonts w:ascii="宋体"/>
                <w:vanish/>
              </w:rPr>
            </w:pPr>
          </w:p>
        </w:tc>
        <w:tc>
          <w:tcPr>
            <w:tcW w:w="0" w:type="auto"/>
            <w:gridSpan w:val="3"/>
            <w:shd w:val="clear" w:color="auto" w:fill="auto"/>
            <w:vAlign w:val="bottom"/>
          </w:tcPr>
          <w:p w14:paraId="71D3E439" w14:textId="77777777" w:rsidR="006A3667" w:rsidRDefault="006A3667">
            <w:pPr>
              <w:rPr>
                <w:rFonts w:ascii="宋体"/>
                <w:vanish/>
              </w:rPr>
            </w:pPr>
          </w:p>
        </w:tc>
        <w:tc>
          <w:tcPr>
            <w:tcW w:w="0" w:type="auto"/>
            <w:gridSpan w:val="3"/>
            <w:shd w:val="clear" w:color="auto" w:fill="auto"/>
            <w:vAlign w:val="bottom"/>
          </w:tcPr>
          <w:p w14:paraId="71D3E43A" w14:textId="77777777" w:rsidR="006A3667" w:rsidRDefault="006A3667">
            <w:pPr>
              <w:rPr>
                <w:rFonts w:ascii="宋体"/>
                <w:vanish/>
              </w:rPr>
            </w:pPr>
          </w:p>
        </w:tc>
        <w:tc>
          <w:tcPr>
            <w:tcW w:w="0" w:type="auto"/>
            <w:gridSpan w:val="3"/>
            <w:shd w:val="clear" w:color="auto" w:fill="auto"/>
            <w:vAlign w:val="bottom"/>
          </w:tcPr>
          <w:p w14:paraId="71D3E43B" w14:textId="77777777" w:rsidR="006A3667" w:rsidRDefault="006A3667">
            <w:pPr>
              <w:rPr>
                <w:rFonts w:ascii="宋体"/>
                <w:vanish/>
              </w:rPr>
            </w:pPr>
          </w:p>
        </w:tc>
        <w:tc>
          <w:tcPr>
            <w:tcW w:w="0" w:type="auto"/>
            <w:gridSpan w:val="3"/>
            <w:shd w:val="clear" w:color="auto" w:fill="auto"/>
            <w:vAlign w:val="bottom"/>
          </w:tcPr>
          <w:p w14:paraId="71D3E43C" w14:textId="77777777" w:rsidR="006A3667" w:rsidRDefault="006A3667">
            <w:pPr>
              <w:rPr>
                <w:rFonts w:ascii="宋体"/>
                <w:vanish/>
              </w:rPr>
            </w:pPr>
          </w:p>
        </w:tc>
      </w:tr>
      <w:tr w:rsidR="006A3667" w14:paraId="71D3E459" w14:textId="77777777">
        <w:tc>
          <w:tcPr>
            <w:tcW w:w="0" w:type="auto"/>
            <w:gridSpan w:val="18"/>
            <w:shd w:val="clear" w:color="auto" w:fill="CCEEFF"/>
            <w:tcMar>
              <w:top w:w="40" w:type="dxa"/>
              <w:left w:w="20" w:type="dxa"/>
              <w:bottom w:w="40" w:type="dxa"/>
              <w:right w:w="20" w:type="dxa"/>
            </w:tcMar>
            <w:vAlign w:val="bottom"/>
          </w:tcPr>
          <w:p w14:paraId="71D3E43E" w14:textId="77777777" w:rsidR="006A3667" w:rsidRDefault="00045F32">
            <w:pPr>
              <w:textAlignment w:val="bottom"/>
            </w:pPr>
            <w:r>
              <w:rPr>
                <w:rFonts w:ascii="Arial" w:eastAsia="宋体" w:hAnsi="Arial" w:cs="Arial"/>
                <w:color w:val="000000"/>
                <w:sz w:val="13"/>
                <w:szCs w:val="13"/>
              </w:rPr>
              <w:t>Alternative investments</w:t>
            </w:r>
            <w:r>
              <w:rPr>
                <w:rFonts w:ascii="Arial" w:eastAsia="宋体" w:hAnsi="Arial" w:cs="Arial"/>
                <w:color w:val="000000"/>
                <w:sz w:val="8"/>
                <w:szCs w:val="8"/>
              </w:rPr>
              <w:t>(2)</w:t>
            </w:r>
            <w:r>
              <w:rPr>
                <w:rFonts w:ascii="Arial" w:eastAsia="宋体" w:hAnsi="Arial" w:cs="Arial"/>
                <w:color w:val="000000"/>
                <w:sz w:val="13"/>
                <w:szCs w:val="13"/>
              </w:rPr>
              <w:t>:</w:t>
            </w:r>
          </w:p>
        </w:tc>
        <w:tc>
          <w:tcPr>
            <w:tcW w:w="0" w:type="auto"/>
            <w:shd w:val="clear" w:color="auto" w:fill="auto"/>
            <w:vAlign w:val="bottom"/>
          </w:tcPr>
          <w:p w14:paraId="71D3E43F" w14:textId="77777777" w:rsidR="006A3667" w:rsidRDefault="006A3667">
            <w:pPr>
              <w:rPr>
                <w:rFonts w:ascii="宋体"/>
                <w:vanish/>
              </w:rPr>
            </w:pPr>
          </w:p>
        </w:tc>
        <w:tc>
          <w:tcPr>
            <w:tcW w:w="0" w:type="auto"/>
            <w:shd w:val="clear" w:color="auto" w:fill="auto"/>
            <w:vAlign w:val="bottom"/>
          </w:tcPr>
          <w:p w14:paraId="71D3E440" w14:textId="77777777" w:rsidR="006A3667" w:rsidRDefault="006A3667">
            <w:pPr>
              <w:rPr>
                <w:rFonts w:ascii="宋体"/>
                <w:vanish/>
              </w:rPr>
            </w:pPr>
          </w:p>
        </w:tc>
        <w:tc>
          <w:tcPr>
            <w:tcW w:w="0" w:type="auto"/>
            <w:shd w:val="clear" w:color="auto" w:fill="auto"/>
            <w:vAlign w:val="bottom"/>
          </w:tcPr>
          <w:p w14:paraId="71D3E441" w14:textId="77777777" w:rsidR="006A3667" w:rsidRDefault="006A3667">
            <w:pPr>
              <w:rPr>
                <w:rFonts w:ascii="宋体"/>
              </w:rPr>
            </w:pPr>
          </w:p>
        </w:tc>
        <w:tc>
          <w:tcPr>
            <w:tcW w:w="0" w:type="auto"/>
            <w:shd w:val="clear" w:color="auto" w:fill="auto"/>
            <w:vAlign w:val="bottom"/>
          </w:tcPr>
          <w:p w14:paraId="71D3E442" w14:textId="77777777" w:rsidR="006A3667" w:rsidRDefault="006A3667">
            <w:pPr>
              <w:rPr>
                <w:rFonts w:ascii="宋体"/>
              </w:rPr>
            </w:pPr>
          </w:p>
        </w:tc>
        <w:tc>
          <w:tcPr>
            <w:tcW w:w="0" w:type="auto"/>
            <w:shd w:val="clear" w:color="auto" w:fill="auto"/>
            <w:vAlign w:val="bottom"/>
          </w:tcPr>
          <w:p w14:paraId="71D3E443" w14:textId="77777777" w:rsidR="006A3667" w:rsidRDefault="006A3667">
            <w:pPr>
              <w:rPr>
                <w:rFonts w:ascii="宋体"/>
              </w:rPr>
            </w:pPr>
          </w:p>
        </w:tc>
        <w:tc>
          <w:tcPr>
            <w:tcW w:w="0" w:type="auto"/>
            <w:shd w:val="clear" w:color="auto" w:fill="auto"/>
            <w:vAlign w:val="bottom"/>
          </w:tcPr>
          <w:p w14:paraId="71D3E444" w14:textId="77777777" w:rsidR="006A3667" w:rsidRDefault="006A3667">
            <w:pPr>
              <w:rPr>
                <w:rFonts w:ascii="宋体"/>
              </w:rPr>
            </w:pPr>
          </w:p>
        </w:tc>
        <w:tc>
          <w:tcPr>
            <w:tcW w:w="0" w:type="auto"/>
            <w:shd w:val="clear" w:color="auto" w:fill="auto"/>
            <w:vAlign w:val="bottom"/>
          </w:tcPr>
          <w:p w14:paraId="71D3E445" w14:textId="77777777" w:rsidR="006A3667" w:rsidRDefault="006A3667">
            <w:pPr>
              <w:rPr>
                <w:rFonts w:ascii="宋体"/>
              </w:rPr>
            </w:pPr>
          </w:p>
        </w:tc>
        <w:tc>
          <w:tcPr>
            <w:tcW w:w="0" w:type="auto"/>
            <w:shd w:val="clear" w:color="auto" w:fill="auto"/>
            <w:vAlign w:val="bottom"/>
          </w:tcPr>
          <w:p w14:paraId="71D3E446" w14:textId="77777777" w:rsidR="006A3667" w:rsidRDefault="006A3667">
            <w:pPr>
              <w:rPr>
                <w:rFonts w:ascii="宋体"/>
              </w:rPr>
            </w:pPr>
          </w:p>
        </w:tc>
        <w:tc>
          <w:tcPr>
            <w:tcW w:w="0" w:type="auto"/>
            <w:shd w:val="clear" w:color="auto" w:fill="auto"/>
            <w:vAlign w:val="bottom"/>
          </w:tcPr>
          <w:p w14:paraId="71D3E447" w14:textId="77777777" w:rsidR="006A3667" w:rsidRDefault="006A3667">
            <w:pPr>
              <w:rPr>
                <w:rFonts w:ascii="宋体"/>
              </w:rPr>
            </w:pPr>
          </w:p>
        </w:tc>
        <w:tc>
          <w:tcPr>
            <w:tcW w:w="0" w:type="auto"/>
            <w:shd w:val="clear" w:color="auto" w:fill="auto"/>
            <w:vAlign w:val="bottom"/>
          </w:tcPr>
          <w:p w14:paraId="71D3E448" w14:textId="77777777" w:rsidR="006A3667" w:rsidRDefault="006A3667">
            <w:pPr>
              <w:rPr>
                <w:rFonts w:ascii="宋体"/>
              </w:rPr>
            </w:pPr>
          </w:p>
        </w:tc>
        <w:tc>
          <w:tcPr>
            <w:tcW w:w="0" w:type="auto"/>
            <w:shd w:val="clear" w:color="auto" w:fill="auto"/>
            <w:vAlign w:val="bottom"/>
          </w:tcPr>
          <w:p w14:paraId="71D3E449" w14:textId="77777777" w:rsidR="006A3667" w:rsidRDefault="006A3667">
            <w:pPr>
              <w:rPr>
                <w:rFonts w:ascii="宋体"/>
              </w:rPr>
            </w:pPr>
          </w:p>
        </w:tc>
        <w:tc>
          <w:tcPr>
            <w:tcW w:w="0" w:type="auto"/>
            <w:shd w:val="clear" w:color="auto" w:fill="auto"/>
            <w:vAlign w:val="bottom"/>
          </w:tcPr>
          <w:p w14:paraId="71D3E44A" w14:textId="77777777" w:rsidR="006A3667" w:rsidRDefault="006A3667">
            <w:pPr>
              <w:rPr>
                <w:rFonts w:ascii="宋体"/>
              </w:rPr>
            </w:pPr>
          </w:p>
        </w:tc>
        <w:tc>
          <w:tcPr>
            <w:tcW w:w="0" w:type="auto"/>
            <w:shd w:val="clear" w:color="auto" w:fill="auto"/>
            <w:vAlign w:val="bottom"/>
          </w:tcPr>
          <w:p w14:paraId="71D3E44B" w14:textId="77777777" w:rsidR="006A3667" w:rsidRDefault="006A3667">
            <w:pPr>
              <w:rPr>
                <w:rFonts w:ascii="宋体"/>
              </w:rPr>
            </w:pPr>
          </w:p>
        </w:tc>
        <w:tc>
          <w:tcPr>
            <w:tcW w:w="0" w:type="auto"/>
            <w:shd w:val="clear" w:color="auto" w:fill="auto"/>
            <w:vAlign w:val="bottom"/>
          </w:tcPr>
          <w:p w14:paraId="71D3E44C" w14:textId="77777777" w:rsidR="006A3667" w:rsidRDefault="006A3667">
            <w:pPr>
              <w:rPr>
                <w:rFonts w:ascii="宋体"/>
              </w:rPr>
            </w:pPr>
          </w:p>
        </w:tc>
        <w:tc>
          <w:tcPr>
            <w:tcW w:w="0" w:type="auto"/>
            <w:shd w:val="clear" w:color="auto" w:fill="auto"/>
            <w:vAlign w:val="bottom"/>
          </w:tcPr>
          <w:p w14:paraId="71D3E44D" w14:textId="77777777" w:rsidR="006A3667" w:rsidRDefault="006A3667">
            <w:pPr>
              <w:rPr>
                <w:rFonts w:ascii="宋体"/>
              </w:rPr>
            </w:pPr>
          </w:p>
        </w:tc>
        <w:tc>
          <w:tcPr>
            <w:tcW w:w="0" w:type="auto"/>
            <w:shd w:val="clear" w:color="auto" w:fill="auto"/>
            <w:vAlign w:val="bottom"/>
          </w:tcPr>
          <w:p w14:paraId="71D3E44E" w14:textId="77777777" w:rsidR="006A3667" w:rsidRDefault="006A3667">
            <w:pPr>
              <w:rPr>
                <w:rFonts w:ascii="宋体"/>
              </w:rPr>
            </w:pPr>
          </w:p>
        </w:tc>
        <w:tc>
          <w:tcPr>
            <w:tcW w:w="0" w:type="auto"/>
            <w:shd w:val="clear" w:color="auto" w:fill="auto"/>
            <w:vAlign w:val="bottom"/>
          </w:tcPr>
          <w:p w14:paraId="71D3E44F" w14:textId="77777777" w:rsidR="006A3667" w:rsidRDefault="006A3667">
            <w:pPr>
              <w:rPr>
                <w:rFonts w:ascii="宋体"/>
              </w:rPr>
            </w:pPr>
          </w:p>
        </w:tc>
        <w:tc>
          <w:tcPr>
            <w:tcW w:w="0" w:type="auto"/>
            <w:shd w:val="clear" w:color="auto" w:fill="auto"/>
            <w:vAlign w:val="bottom"/>
          </w:tcPr>
          <w:p w14:paraId="71D3E450" w14:textId="77777777" w:rsidR="006A3667" w:rsidRDefault="006A3667">
            <w:pPr>
              <w:rPr>
                <w:rFonts w:ascii="宋体"/>
              </w:rPr>
            </w:pPr>
          </w:p>
        </w:tc>
        <w:tc>
          <w:tcPr>
            <w:tcW w:w="0" w:type="auto"/>
            <w:shd w:val="clear" w:color="auto" w:fill="auto"/>
            <w:vAlign w:val="bottom"/>
          </w:tcPr>
          <w:p w14:paraId="71D3E451" w14:textId="77777777" w:rsidR="006A3667" w:rsidRDefault="006A3667">
            <w:pPr>
              <w:rPr>
                <w:rFonts w:ascii="宋体"/>
              </w:rPr>
            </w:pPr>
          </w:p>
        </w:tc>
        <w:tc>
          <w:tcPr>
            <w:tcW w:w="0" w:type="auto"/>
            <w:shd w:val="clear" w:color="auto" w:fill="auto"/>
            <w:vAlign w:val="bottom"/>
          </w:tcPr>
          <w:p w14:paraId="71D3E452" w14:textId="77777777" w:rsidR="006A3667" w:rsidRDefault="006A3667">
            <w:pPr>
              <w:rPr>
                <w:rFonts w:ascii="宋体"/>
              </w:rPr>
            </w:pPr>
          </w:p>
        </w:tc>
        <w:tc>
          <w:tcPr>
            <w:tcW w:w="0" w:type="auto"/>
            <w:shd w:val="clear" w:color="auto" w:fill="auto"/>
            <w:vAlign w:val="bottom"/>
          </w:tcPr>
          <w:p w14:paraId="71D3E453" w14:textId="77777777" w:rsidR="006A3667" w:rsidRDefault="006A3667">
            <w:pPr>
              <w:rPr>
                <w:rFonts w:ascii="宋体"/>
              </w:rPr>
            </w:pPr>
          </w:p>
        </w:tc>
        <w:tc>
          <w:tcPr>
            <w:tcW w:w="0" w:type="auto"/>
            <w:shd w:val="clear" w:color="auto" w:fill="auto"/>
            <w:vAlign w:val="bottom"/>
          </w:tcPr>
          <w:p w14:paraId="71D3E454" w14:textId="77777777" w:rsidR="006A3667" w:rsidRDefault="006A3667">
            <w:pPr>
              <w:rPr>
                <w:rFonts w:ascii="宋体"/>
              </w:rPr>
            </w:pPr>
          </w:p>
        </w:tc>
        <w:tc>
          <w:tcPr>
            <w:tcW w:w="0" w:type="auto"/>
            <w:shd w:val="clear" w:color="auto" w:fill="auto"/>
            <w:vAlign w:val="bottom"/>
          </w:tcPr>
          <w:p w14:paraId="71D3E455" w14:textId="77777777" w:rsidR="006A3667" w:rsidRDefault="006A3667">
            <w:pPr>
              <w:rPr>
                <w:rFonts w:ascii="宋体"/>
              </w:rPr>
            </w:pPr>
          </w:p>
        </w:tc>
        <w:tc>
          <w:tcPr>
            <w:tcW w:w="0" w:type="auto"/>
            <w:shd w:val="clear" w:color="auto" w:fill="auto"/>
            <w:vAlign w:val="bottom"/>
          </w:tcPr>
          <w:p w14:paraId="71D3E456" w14:textId="77777777" w:rsidR="006A3667" w:rsidRDefault="006A3667">
            <w:pPr>
              <w:rPr>
                <w:rFonts w:ascii="宋体"/>
              </w:rPr>
            </w:pPr>
          </w:p>
        </w:tc>
        <w:tc>
          <w:tcPr>
            <w:tcW w:w="0" w:type="auto"/>
            <w:shd w:val="clear" w:color="auto" w:fill="auto"/>
            <w:vAlign w:val="bottom"/>
          </w:tcPr>
          <w:p w14:paraId="71D3E457" w14:textId="77777777" w:rsidR="006A3667" w:rsidRDefault="006A3667">
            <w:pPr>
              <w:rPr>
                <w:rFonts w:ascii="宋体"/>
              </w:rPr>
            </w:pPr>
          </w:p>
        </w:tc>
        <w:tc>
          <w:tcPr>
            <w:tcW w:w="0" w:type="auto"/>
            <w:shd w:val="clear" w:color="auto" w:fill="auto"/>
            <w:vAlign w:val="bottom"/>
          </w:tcPr>
          <w:p w14:paraId="71D3E458" w14:textId="77777777" w:rsidR="006A3667" w:rsidRDefault="006A3667">
            <w:pPr>
              <w:rPr>
                <w:rFonts w:ascii="宋体"/>
              </w:rPr>
            </w:pPr>
          </w:p>
        </w:tc>
      </w:tr>
      <w:tr w:rsidR="006A3667" w14:paraId="71D3E46D" w14:textId="77777777">
        <w:tc>
          <w:tcPr>
            <w:tcW w:w="0" w:type="auto"/>
            <w:gridSpan w:val="3"/>
            <w:shd w:val="clear" w:color="auto" w:fill="FFFFFF"/>
            <w:tcMar>
              <w:top w:w="40" w:type="dxa"/>
              <w:left w:w="20" w:type="dxa"/>
              <w:bottom w:w="40" w:type="dxa"/>
              <w:right w:w="20" w:type="dxa"/>
            </w:tcMar>
            <w:vAlign w:val="bottom"/>
          </w:tcPr>
          <w:p w14:paraId="71D3E45A" w14:textId="77777777" w:rsidR="006A3667" w:rsidRDefault="00045F32">
            <w:pPr>
              <w:textAlignment w:val="bottom"/>
            </w:pPr>
            <w:r>
              <w:rPr>
                <w:rFonts w:ascii="Arial" w:eastAsia="宋体" w:hAnsi="Arial" w:cs="Arial"/>
                <w:color w:val="000000"/>
                <w:sz w:val="13"/>
                <w:szCs w:val="13"/>
              </w:rPr>
              <w:t>  Active</w:t>
            </w:r>
          </w:p>
        </w:tc>
        <w:tc>
          <w:tcPr>
            <w:tcW w:w="0" w:type="auto"/>
            <w:gridSpan w:val="2"/>
            <w:shd w:val="clear" w:color="auto" w:fill="FFFFFF"/>
            <w:tcMar>
              <w:top w:w="40" w:type="dxa"/>
              <w:left w:w="20" w:type="dxa"/>
              <w:bottom w:w="40" w:type="dxa"/>
              <w:right w:w="0" w:type="dxa"/>
            </w:tcMar>
            <w:vAlign w:val="bottom"/>
          </w:tcPr>
          <w:p w14:paraId="71D3E45B" w14:textId="77777777" w:rsidR="006A3667" w:rsidRDefault="00045F32">
            <w:pPr>
              <w:jc w:val="right"/>
              <w:textAlignment w:val="bottom"/>
            </w:pPr>
            <w:r>
              <w:rPr>
                <w:rFonts w:ascii="Arial" w:eastAsia="宋体" w:hAnsi="Arial" w:cs="Arial"/>
                <w:b/>
                <w:bCs/>
                <w:color w:val="000000"/>
                <w:sz w:val="13"/>
                <w:szCs w:val="13"/>
              </w:rPr>
              <w:t>35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4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4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45E" w14:textId="77777777" w:rsidR="006A3667" w:rsidRDefault="00045F32">
            <w:pPr>
              <w:jc w:val="right"/>
              <w:textAlignment w:val="bottom"/>
            </w:pPr>
            <w:r>
              <w:rPr>
                <w:rFonts w:ascii="Arial" w:eastAsia="宋体" w:hAnsi="Arial" w:cs="Arial"/>
                <w:color w:val="000000"/>
                <w:sz w:val="13"/>
                <w:szCs w:val="13"/>
              </w:rPr>
              <w:t>56 </w:t>
            </w:r>
          </w:p>
        </w:tc>
        <w:tc>
          <w:tcPr>
            <w:tcW w:w="0" w:type="auto"/>
            <w:shd w:val="clear" w:color="auto" w:fill="FFFFFF"/>
            <w:tcMar>
              <w:top w:w="40" w:type="dxa"/>
              <w:left w:w="0" w:type="dxa"/>
              <w:bottom w:w="40" w:type="dxa"/>
              <w:right w:w="20" w:type="dxa"/>
            </w:tcMar>
            <w:vAlign w:val="bottom"/>
          </w:tcPr>
          <w:p w14:paraId="71D3E4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4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461" w14:textId="77777777" w:rsidR="006A3667" w:rsidRDefault="00045F32">
            <w:pPr>
              <w:jc w:val="right"/>
              <w:textAlignment w:val="bottom"/>
            </w:pPr>
            <w:r>
              <w:rPr>
                <w:rFonts w:ascii="Arial" w:eastAsia="宋体" w:hAnsi="Arial" w:cs="Arial"/>
                <w:color w:val="000000"/>
                <w:sz w:val="13"/>
                <w:szCs w:val="13"/>
              </w:rPr>
              <w:t>58 </w:t>
            </w:r>
          </w:p>
        </w:tc>
        <w:tc>
          <w:tcPr>
            <w:tcW w:w="0" w:type="auto"/>
            <w:shd w:val="clear" w:color="auto" w:fill="FFFFFF"/>
            <w:tcMar>
              <w:top w:w="40" w:type="dxa"/>
              <w:left w:w="0" w:type="dxa"/>
              <w:bottom w:w="40" w:type="dxa"/>
              <w:right w:w="20" w:type="dxa"/>
            </w:tcMar>
            <w:vAlign w:val="bottom"/>
          </w:tcPr>
          <w:p w14:paraId="71D3E462" w14:textId="77777777" w:rsidR="006A3667" w:rsidRDefault="006A3667">
            <w:pPr>
              <w:jc w:val="right"/>
              <w:rPr>
                <w:rFonts w:ascii="宋体"/>
              </w:rPr>
            </w:pPr>
          </w:p>
        </w:tc>
        <w:tc>
          <w:tcPr>
            <w:tcW w:w="0" w:type="auto"/>
            <w:shd w:val="clear" w:color="auto" w:fill="auto"/>
            <w:vAlign w:val="bottom"/>
          </w:tcPr>
          <w:p w14:paraId="71D3E463" w14:textId="77777777" w:rsidR="006A3667" w:rsidRDefault="006A3667">
            <w:pPr>
              <w:rPr>
                <w:rFonts w:ascii="宋体"/>
                <w:vanish/>
              </w:rPr>
            </w:pPr>
          </w:p>
        </w:tc>
        <w:tc>
          <w:tcPr>
            <w:tcW w:w="0" w:type="auto"/>
            <w:shd w:val="clear" w:color="auto" w:fill="auto"/>
            <w:vAlign w:val="bottom"/>
          </w:tcPr>
          <w:p w14:paraId="71D3E464" w14:textId="77777777" w:rsidR="006A3667" w:rsidRDefault="006A3667">
            <w:pPr>
              <w:rPr>
                <w:rFonts w:ascii="宋体"/>
                <w:vanish/>
              </w:rPr>
            </w:pPr>
          </w:p>
        </w:tc>
        <w:tc>
          <w:tcPr>
            <w:tcW w:w="0" w:type="auto"/>
            <w:gridSpan w:val="3"/>
            <w:shd w:val="clear" w:color="auto" w:fill="auto"/>
            <w:vAlign w:val="bottom"/>
          </w:tcPr>
          <w:p w14:paraId="71D3E465" w14:textId="77777777" w:rsidR="006A3667" w:rsidRDefault="006A3667">
            <w:pPr>
              <w:rPr>
                <w:rFonts w:ascii="宋体"/>
                <w:vanish/>
              </w:rPr>
            </w:pPr>
          </w:p>
        </w:tc>
        <w:tc>
          <w:tcPr>
            <w:tcW w:w="0" w:type="auto"/>
            <w:gridSpan w:val="3"/>
            <w:shd w:val="clear" w:color="auto" w:fill="auto"/>
            <w:vAlign w:val="bottom"/>
          </w:tcPr>
          <w:p w14:paraId="71D3E466" w14:textId="77777777" w:rsidR="006A3667" w:rsidRDefault="006A3667">
            <w:pPr>
              <w:rPr>
                <w:rFonts w:ascii="宋体"/>
                <w:vanish/>
              </w:rPr>
            </w:pPr>
          </w:p>
        </w:tc>
        <w:tc>
          <w:tcPr>
            <w:tcW w:w="0" w:type="auto"/>
            <w:gridSpan w:val="3"/>
            <w:shd w:val="clear" w:color="auto" w:fill="auto"/>
            <w:vAlign w:val="bottom"/>
          </w:tcPr>
          <w:p w14:paraId="71D3E467" w14:textId="77777777" w:rsidR="006A3667" w:rsidRDefault="006A3667">
            <w:pPr>
              <w:rPr>
                <w:rFonts w:ascii="宋体"/>
                <w:vanish/>
              </w:rPr>
            </w:pPr>
          </w:p>
        </w:tc>
        <w:tc>
          <w:tcPr>
            <w:tcW w:w="0" w:type="auto"/>
            <w:gridSpan w:val="3"/>
            <w:shd w:val="clear" w:color="auto" w:fill="auto"/>
            <w:vAlign w:val="bottom"/>
          </w:tcPr>
          <w:p w14:paraId="71D3E468" w14:textId="77777777" w:rsidR="006A3667" w:rsidRDefault="006A3667">
            <w:pPr>
              <w:rPr>
                <w:rFonts w:ascii="宋体"/>
                <w:vanish/>
              </w:rPr>
            </w:pPr>
          </w:p>
        </w:tc>
        <w:tc>
          <w:tcPr>
            <w:tcW w:w="0" w:type="auto"/>
            <w:gridSpan w:val="3"/>
            <w:shd w:val="clear" w:color="auto" w:fill="auto"/>
            <w:vAlign w:val="bottom"/>
          </w:tcPr>
          <w:p w14:paraId="71D3E469" w14:textId="77777777" w:rsidR="006A3667" w:rsidRDefault="006A3667">
            <w:pPr>
              <w:rPr>
                <w:rFonts w:ascii="宋体"/>
                <w:vanish/>
              </w:rPr>
            </w:pPr>
          </w:p>
        </w:tc>
        <w:tc>
          <w:tcPr>
            <w:tcW w:w="0" w:type="auto"/>
            <w:gridSpan w:val="3"/>
            <w:shd w:val="clear" w:color="auto" w:fill="auto"/>
            <w:vAlign w:val="bottom"/>
          </w:tcPr>
          <w:p w14:paraId="71D3E46A" w14:textId="77777777" w:rsidR="006A3667" w:rsidRDefault="006A3667">
            <w:pPr>
              <w:rPr>
                <w:rFonts w:ascii="宋体"/>
                <w:vanish/>
              </w:rPr>
            </w:pPr>
          </w:p>
        </w:tc>
        <w:tc>
          <w:tcPr>
            <w:tcW w:w="0" w:type="auto"/>
            <w:gridSpan w:val="3"/>
            <w:shd w:val="clear" w:color="auto" w:fill="auto"/>
            <w:vAlign w:val="bottom"/>
          </w:tcPr>
          <w:p w14:paraId="71D3E46B" w14:textId="77777777" w:rsidR="006A3667" w:rsidRDefault="006A3667">
            <w:pPr>
              <w:rPr>
                <w:rFonts w:ascii="宋体"/>
                <w:vanish/>
              </w:rPr>
            </w:pPr>
          </w:p>
        </w:tc>
        <w:tc>
          <w:tcPr>
            <w:tcW w:w="0" w:type="auto"/>
            <w:gridSpan w:val="3"/>
            <w:shd w:val="clear" w:color="auto" w:fill="auto"/>
            <w:vAlign w:val="bottom"/>
          </w:tcPr>
          <w:p w14:paraId="71D3E46C" w14:textId="77777777" w:rsidR="006A3667" w:rsidRDefault="006A3667">
            <w:pPr>
              <w:rPr>
                <w:rFonts w:ascii="宋体"/>
                <w:vanish/>
              </w:rPr>
            </w:pPr>
          </w:p>
        </w:tc>
      </w:tr>
      <w:tr w:rsidR="006A3667" w14:paraId="71D3E481" w14:textId="77777777">
        <w:tc>
          <w:tcPr>
            <w:tcW w:w="0" w:type="auto"/>
            <w:gridSpan w:val="3"/>
            <w:shd w:val="clear" w:color="auto" w:fill="CCEEFF"/>
            <w:tcMar>
              <w:top w:w="40" w:type="dxa"/>
              <w:left w:w="20" w:type="dxa"/>
              <w:bottom w:w="40" w:type="dxa"/>
              <w:right w:w="20" w:type="dxa"/>
            </w:tcMar>
            <w:vAlign w:val="bottom"/>
          </w:tcPr>
          <w:p w14:paraId="71D3E46E" w14:textId="77777777" w:rsidR="006A3667" w:rsidRDefault="00045F32">
            <w:pPr>
              <w:textAlignment w:val="bottom"/>
            </w:pPr>
            <w:r>
              <w:rPr>
                <w:rFonts w:ascii="Arial" w:eastAsia="宋体" w:hAnsi="Arial" w:cs="Arial"/>
                <w:color w:val="000000"/>
                <w:sz w:val="13"/>
                <w:szCs w:val="13"/>
              </w:rPr>
              <w:t>  Passive</w:t>
            </w:r>
          </w:p>
        </w:tc>
        <w:tc>
          <w:tcPr>
            <w:tcW w:w="0" w:type="auto"/>
            <w:gridSpan w:val="2"/>
            <w:shd w:val="clear" w:color="auto" w:fill="CCEEFF"/>
            <w:tcMar>
              <w:top w:w="40" w:type="dxa"/>
              <w:left w:w="20" w:type="dxa"/>
              <w:bottom w:w="40" w:type="dxa"/>
              <w:right w:w="0" w:type="dxa"/>
            </w:tcMar>
            <w:vAlign w:val="bottom"/>
          </w:tcPr>
          <w:p w14:paraId="71D3E46F" w14:textId="77777777" w:rsidR="006A3667" w:rsidRDefault="00045F32">
            <w:pPr>
              <w:jc w:val="right"/>
              <w:textAlignment w:val="bottom"/>
            </w:pPr>
            <w:r>
              <w:rPr>
                <w:rFonts w:ascii="Arial" w:eastAsia="宋体" w:hAnsi="Arial" w:cs="Arial"/>
                <w:b/>
                <w:bCs/>
                <w:color w:val="000000"/>
                <w:sz w:val="13"/>
                <w:szCs w:val="13"/>
              </w:rPr>
              <w:t>167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3E4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47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472" w14:textId="77777777" w:rsidR="006A3667" w:rsidRDefault="00045F32">
            <w:pPr>
              <w:jc w:val="right"/>
              <w:textAlignment w:val="bottom"/>
            </w:pPr>
            <w:r>
              <w:rPr>
                <w:rFonts w:ascii="Arial" w:eastAsia="宋体" w:hAnsi="Arial" w:cs="Arial"/>
                <w:color w:val="000000"/>
                <w:sz w:val="13"/>
                <w:szCs w:val="13"/>
              </w:rPr>
              <w:t>195 </w:t>
            </w:r>
          </w:p>
        </w:tc>
        <w:tc>
          <w:tcPr>
            <w:tcW w:w="0" w:type="auto"/>
            <w:shd w:val="clear" w:color="auto" w:fill="CCEEFF"/>
            <w:tcMar>
              <w:top w:w="40" w:type="dxa"/>
              <w:left w:w="0" w:type="dxa"/>
              <w:bottom w:w="40" w:type="dxa"/>
              <w:right w:w="20" w:type="dxa"/>
            </w:tcMar>
            <w:vAlign w:val="bottom"/>
          </w:tcPr>
          <w:p w14:paraId="71D3E4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47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475" w14:textId="77777777" w:rsidR="006A3667" w:rsidRDefault="00045F32">
            <w:pPr>
              <w:jc w:val="right"/>
              <w:textAlignment w:val="bottom"/>
            </w:pPr>
            <w:r>
              <w:rPr>
                <w:rFonts w:ascii="Arial" w:eastAsia="宋体" w:hAnsi="Arial" w:cs="Arial"/>
                <w:color w:val="000000"/>
                <w:sz w:val="13"/>
                <w:szCs w:val="13"/>
              </w:rPr>
              <w:t>178 </w:t>
            </w:r>
          </w:p>
        </w:tc>
        <w:tc>
          <w:tcPr>
            <w:tcW w:w="0" w:type="auto"/>
            <w:shd w:val="clear" w:color="auto" w:fill="CCEEFF"/>
            <w:tcMar>
              <w:top w:w="40" w:type="dxa"/>
              <w:left w:w="0" w:type="dxa"/>
              <w:bottom w:w="40" w:type="dxa"/>
              <w:right w:w="20" w:type="dxa"/>
            </w:tcMar>
            <w:vAlign w:val="bottom"/>
          </w:tcPr>
          <w:p w14:paraId="71D3E476" w14:textId="77777777" w:rsidR="006A3667" w:rsidRDefault="006A3667">
            <w:pPr>
              <w:jc w:val="right"/>
              <w:rPr>
                <w:rFonts w:ascii="宋体"/>
              </w:rPr>
            </w:pPr>
          </w:p>
        </w:tc>
        <w:tc>
          <w:tcPr>
            <w:tcW w:w="0" w:type="auto"/>
            <w:shd w:val="clear" w:color="auto" w:fill="auto"/>
            <w:vAlign w:val="bottom"/>
          </w:tcPr>
          <w:p w14:paraId="71D3E477" w14:textId="77777777" w:rsidR="006A3667" w:rsidRDefault="006A3667">
            <w:pPr>
              <w:rPr>
                <w:rFonts w:ascii="宋体"/>
                <w:vanish/>
              </w:rPr>
            </w:pPr>
          </w:p>
        </w:tc>
        <w:tc>
          <w:tcPr>
            <w:tcW w:w="0" w:type="auto"/>
            <w:shd w:val="clear" w:color="auto" w:fill="auto"/>
            <w:vAlign w:val="bottom"/>
          </w:tcPr>
          <w:p w14:paraId="71D3E478" w14:textId="77777777" w:rsidR="006A3667" w:rsidRDefault="006A3667">
            <w:pPr>
              <w:rPr>
                <w:rFonts w:ascii="宋体"/>
                <w:vanish/>
              </w:rPr>
            </w:pPr>
          </w:p>
        </w:tc>
        <w:tc>
          <w:tcPr>
            <w:tcW w:w="0" w:type="auto"/>
            <w:gridSpan w:val="3"/>
            <w:shd w:val="clear" w:color="auto" w:fill="auto"/>
            <w:vAlign w:val="bottom"/>
          </w:tcPr>
          <w:p w14:paraId="71D3E479" w14:textId="77777777" w:rsidR="006A3667" w:rsidRDefault="006A3667">
            <w:pPr>
              <w:rPr>
                <w:rFonts w:ascii="宋体"/>
                <w:vanish/>
              </w:rPr>
            </w:pPr>
          </w:p>
        </w:tc>
        <w:tc>
          <w:tcPr>
            <w:tcW w:w="0" w:type="auto"/>
            <w:gridSpan w:val="3"/>
            <w:shd w:val="clear" w:color="auto" w:fill="auto"/>
            <w:vAlign w:val="bottom"/>
          </w:tcPr>
          <w:p w14:paraId="71D3E47A" w14:textId="77777777" w:rsidR="006A3667" w:rsidRDefault="006A3667">
            <w:pPr>
              <w:rPr>
                <w:rFonts w:ascii="宋体"/>
                <w:vanish/>
              </w:rPr>
            </w:pPr>
          </w:p>
        </w:tc>
        <w:tc>
          <w:tcPr>
            <w:tcW w:w="0" w:type="auto"/>
            <w:gridSpan w:val="3"/>
            <w:shd w:val="clear" w:color="auto" w:fill="auto"/>
            <w:vAlign w:val="bottom"/>
          </w:tcPr>
          <w:p w14:paraId="71D3E47B" w14:textId="77777777" w:rsidR="006A3667" w:rsidRDefault="006A3667">
            <w:pPr>
              <w:rPr>
                <w:rFonts w:ascii="宋体"/>
                <w:vanish/>
              </w:rPr>
            </w:pPr>
          </w:p>
        </w:tc>
        <w:tc>
          <w:tcPr>
            <w:tcW w:w="0" w:type="auto"/>
            <w:gridSpan w:val="3"/>
            <w:shd w:val="clear" w:color="auto" w:fill="auto"/>
            <w:vAlign w:val="bottom"/>
          </w:tcPr>
          <w:p w14:paraId="71D3E47C" w14:textId="77777777" w:rsidR="006A3667" w:rsidRDefault="006A3667">
            <w:pPr>
              <w:rPr>
                <w:rFonts w:ascii="宋体"/>
                <w:vanish/>
              </w:rPr>
            </w:pPr>
          </w:p>
        </w:tc>
        <w:tc>
          <w:tcPr>
            <w:tcW w:w="0" w:type="auto"/>
            <w:gridSpan w:val="3"/>
            <w:shd w:val="clear" w:color="auto" w:fill="auto"/>
            <w:vAlign w:val="bottom"/>
          </w:tcPr>
          <w:p w14:paraId="71D3E47D" w14:textId="77777777" w:rsidR="006A3667" w:rsidRDefault="006A3667">
            <w:pPr>
              <w:rPr>
                <w:rFonts w:ascii="宋体"/>
                <w:vanish/>
              </w:rPr>
            </w:pPr>
          </w:p>
        </w:tc>
        <w:tc>
          <w:tcPr>
            <w:tcW w:w="0" w:type="auto"/>
            <w:gridSpan w:val="3"/>
            <w:shd w:val="clear" w:color="auto" w:fill="auto"/>
            <w:vAlign w:val="bottom"/>
          </w:tcPr>
          <w:p w14:paraId="71D3E47E" w14:textId="77777777" w:rsidR="006A3667" w:rsidRDefault="006A3667">
            <w:pPr>
              <w:rPr>
                <w:rFonts w:ascii="宋体"/>
                <w:vanish/>
              </w:rPr>
            </w:pPr>
          </w:p>
        </w:tc>
        <w:tc>
          <w:tcPr>
            <w:tcW w:w="0" w:type="auto"/>
            <w:gridSpan w:val="3"/>
            <w:shd w:val="clear" w:color="auto" w:fill="auto"/>
            <w:vAlign w:val="bottom"/>
          </w:tcPr>
          <w:p w14:paraId="71D3E47F" w14:textId="77777777" w:rsidR="006A3667" w:rsidRDefault="006A3667">
            <w:pPr>
              <w:rPr>
                <w:rFonts w:ascii="宋体"/>
                <w:vanish/>
              </w:rPr>
            </w:pPr>
          </w:p>
        </w:tc>
        <w:tc>
          <w:tcPr>
            <w:tcW w:w="0" w:type="auto"/>
            <w:gridSpan w:val="3"/>
            <w:shd w:val="clear" w:color="auto" w:fill="auto"/>
            <w:vAlign w:val="bottom"/>
          </w:tcPr>
          <w:p w14:paraId="71D3E480" w14:textId="77777777" w:rsidR="006A3667" w:rsidRDefault="006A3667">
            <w:pPr>
              <w:rPr>
                <w:rFonts w:ascii="宋体"/>
                <w:vanish/>
              </w:rPr>
            </w:pPr>
          </w:p>
        </w:tc>
      </w:tr>
      <w:tr w:rsidR="006A3667" w14:paraId="71D3E495" w14:textId="77777777">
        <w:tc>
          <w:tcPr>
            <w:tcW w:w="0" w:type="auto"/>
            <w:gridSpan w:val="3"/>
            <w:shd w:val="clear" w:color="auto" w:fill="FFFFFF"/>
            <w:tcMar>
              <w:top w:w="40" w:type="dxa"/>
              <w:left w:w="20" w:type="dxa"/>
              <w:bottom w:w="40" w:type="dxa"/>
              <w:right w:w="20" w:type="dxa"/>
            </w:tcMar>
            <w:vAlign w:val="bottom"/>
          </w:tcPr>
          <w:p w14:paraId="71D3E482" w14:textId="77777777" w:rsidR="006A3667" w:rsidRDefault="00045F32">
            <w:pPr>
              <w:textAlignment w:val="bottom"/>
            </w:pPr>
            <w:r>
              <w:rPr>
                <w:rFonts w:ascii="Arial" w:eastAsia="宋体" w:hAnsi="Arial" w:cs="Arial"/>
                <w:color w:val="000000"/>
                <w:sz w:val="13"/>
                <w:szCs w:val="13"/>
              </w:rPr>
              <w:t>Total alternative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483" w14:textId="77777777" w:rsidR="006A3667" w:rsidRDefault="00045F32">
            <w:pPr>
              <w:jc w:val="right"/>
              <w:textAlignment w:val="bottom"/>
            </w:pPr>
            <w:r>
              <w:rPr>
                <w:rFonts w:ascii="Arial" w:eastAsia="宋体" w:hAnsi="Arial" w:cs="Arial"/>
                <w:b/>
                <w:bCs/>
                <w:color w:val="000000"/>
                <w:sz w:val="13"/>
                <w:szCs w:val="13"/>
              </w:rPr>
              <w:t>202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4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48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486" w14:textId="77777777" w:rsidR="006A3667" w:rsidRDefault="00045F32">
            <w:pPr>
              <w:jc w:val="right"/>
              <w:textAlignment w:val="bottom"/>
            </w:pPr>
            <w:r>
              <w:rPr>
                <w:rFonts w:ascii="Arial" w:eastAsia="宋体" w:hAnsi="Arial" w:cs="Arial"/>
                <w:color w:val="000000"/>
                <w:sz w:val="13"/>
                <w:szCs w:val="13"/>
              </w:rPr>
              <w:t>251 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4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48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489" w14:textId="77777777" w:rsidR="006A3667" w:rsidRDefault="00045F32">
            <w:pPr>
              <w:jc w:val="right"/>
              <w:textAlignment w:val="bottom"/>
            </w:pPr>
            <w:r>
              <w:rPr>
                <w:rFonts w:ascii="Arial" w:eastAsia="宋体" w:hAnsi="Arial" w:cs="Arial"/>
                <w:color w:val="000000"/>
                <w:sz w:val="13"/>
                <w:szCs w:val="13"/>
              </w:rPr>
              <w:t>236 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48A" w14:textId="77777777" w:rsidR="006A3667" w:rsidRDefault="006A3667">
            <w:pPr>
              <w:jc w:val="right"/>
              <w:rPr>
                <w:rFonts w:ascii="宋体"/>
              </w:rPr>
            </w:pPr>
          </w:p>
        </w:tc>
        <w:tc>
          <w:tcPr>
            <w:tcW w:w="0" w:type="auto"/>
            <w:shd w:val="clear" w:color="auto" w:fill="auto"/>
            <w:vAlign w:val="bottom"/>
          </w:tcPr>
          <w:p w14:paraId="71D3E48B" w14:textId="77777777" w:rsidR="006A3667" w:rsidRDefault="006A3667">
            <w:pPr>
              <w:rPr>
                <w:rFonts w:ascii="宋体"/>
                <w:vanish/>
              </w:rPr>
            </w:pPr>
          </w:p>
        </w:tc>
        <w:tc>
          <w:tcPr>
            <w:tcW w:w="0" w:type="auto"/>
            <w:shd w:val="clear" w:color="auto" w:fill="auto"/>
            <w:vAlign w:val="bottom"/>
          </w:tcPr>
          <w:p w14:paraId="71D3E48C" w14:textId="77777777" w:rsidR="006A3667" w:rsidRDefault="006A3667">
            <w:pPr>
              <w:rPr>
                <w:rFonts w:ascii="宋体"/>
                <w:vanish/>
              </w:rPr>
            </w:pPr>
          </w:p>
        </w:tc>
        <w:tc>
          <w:tcPr>
            <w:tcW w:w="0" w:type="auto"/>
            <w:gridSpan w:val="3"/>
            <w:shd w:val="clear" w:color="auto" w:fill="auto"/>
            <w:vAlign w:val="bottom"/>
          </w:tcPr>
          <w:p w14:paraId="71D3E48D" w14:textId="77777777" w:rsidR="006A3667" w:rsidRDefault="006A3667">
            <w:pPr>
              <w:rPr>
                <w:rFonts w:ascii="宋体"/>
                <w:vanish/>
              </w:rPr>
            </w:pPr>
          </w:p>
        </w:tc>
        <w:tc>
          <w:tcPr>
            <w:tcW w:w="0" w:type="auto"/>
            <w:gridSpan w:val="3"/>
            <w:shd w:val="clear" w:color="auto" w:fill="auto"/>
            <w:vAlign w:val="bottom"/>
          </w:tcPr>
          <w:p w14:paraId="71D3E48E" w14:textId="77777777" w:rsidR="006A3667" w:rsidRDefault="006A3667">
            <w:pPr>
              <w:rPr>
                <w:rFonts w:ascii="宋体"/>
                <w:vanish/>
              </w:rPr>
            </w:pPr>
          </w:p>
        </w:tc>
        <w:tc>
          <w:tcPr>
            <w:tcW w:w="0" w:type="auto"/>
            <w:gridSpan w:val="3"/>
            <w:shd w:val="clear" w:color="auto" w:fill="auto"/>
            <w:vAlign w:val="bottom"/>
          </w:tcPr>
          <w:p w14:paraId="71D3E48F" w14:textId="77777777" w:rsidR="006A3667" w:rsidRDefault="006A3667">
            <w:pPr>
              <w:rPr>
                <w:rFonts w:ascii="宋体"/>
                <w:vanish/>
              </w:rPr>
            </w:pPr>
          </w:p>
        </w:tc>
        <w:tc>
          <w:tcPr>
            <w:tcW w:w="0" w:type="auto"/>
            <w:gridSpan w:val="3"/>
            <w:shd w:val="clear" w:color="auto" w:fill="auto"/>
            <w:vAlign w:val="bottom"/>
          </w:tcPr>
          <w:p w14:paraId="71D3E490" w14:textId="77777777" w:rsidR="006A3667" w:rsidRDefault="006A3667">
            <w:pPr>
              <w:rPr>
                <w:rFonts w:ascii="宋体"/>
                <w:vanish/>
              </w:rPr>
            </w:pPr>
          </w:p>
        </w:tc>
        <w:tc>
          <w:tcPr>
            <w:tcW w:w="0" w:type="auto"/>
            <w:gridSpan w:val="3"/>
            <w:shd w:val="clear" w:color="auto" w:fill="auto"/>
            <w:vAlign w:val="bottom"/>
          </w:tcPr>
          <w:p w14:paraId="71D3E491" w14:textId="77777777" w:rsidR="006A3667" w:rsidRDefault="006A3667">
            <w:pPr>
              <w:rPr>
                <w:rFonts w:ascii="宋体"/>
                <w:vanish/>
              </w:rPr>
            </w:pPr>
          </w:p>
        </w:tc>
        <w:tc>
          <w:tcPr>
            <w:tcW w:w="0" w:type="auto"/>
            <w:gridSpan w:val="3"/>
            <w:shd w:val="clear" w:color="auto" w:fill="auto"/>
            <w:vAlign w:val="bottom"/>
          </w:tcPr>
          <w:p w14:paraId="71D3E492" w14:textId="77777777" w:rsidR="006A3667" w:rsidRDefault="006A3667">
            <w:pPr>
              <w:rPr>
                <w:rFonts w:ascii="宋体"/>
                <w:vanish/>
              </w:rPr>
            </w:pPr>
          </w:p>
        </w:tc>
        <w:tc>
          <w:tcPr>
            <w:tcW w:w="0" w:type="auto"/>
            <w:gridSpan w:val="3"/>
            <w:shd w:val="clear" w:color="auto" w:fill="auto"/>
            <w:vAlign w:val="bottom"/>
          </w:tcPr>
          <w:p w14:paraId="71D3E493" w14:textId="77777777" w:rsidR="006A3667" w:rsidRDefault="006A3667">
            <w:pPr>
              <w:rPr>
                <w:rFonts w:ascii="宋体"/>
                <w:vanish/>
              </w:rPr>
            </w:pPr>
          </w:p>
        </w:tc>
        <w:tc>
          <w:tcPr>
            <w:tcW w:w="0" w:type="auto"/>
            <w:gridSpan w:val="3"/>
            <w:shd w:val="clear" w:color="auto" w:fill="auto"/>
            <w:vAlign w:val="bottom"/>
          </w:tcPr>
          <w:p w14:paraId="71D3E494" w14:textId="77777777" w:rsidR="006A3667" w:rsidRDefault="006A3667">
            <w:pPr>
              <w:rPr>
                <w:rFonts w:ascii="宋体"/>
                <w:vanish/>
              </w:rPr>
            </w:pPr>
          </w:p>
        </w:tc>
      </w:tr>
      <w:tr w:rsidR="006A3667" w14:paraId="71D3E4AC" w14:textId="77777777">
        <w:tc>
          <w:tcPr>
            <w:tcW w:w="0" w:type="auto"/>
            <w:gridSpan w:val="3"/>
            <w:shd w:val="clear" w:color="auto" w:fill="CCEEFF"/>
            <w:tcMar>
              <w:top w:w="40" w:type="dxa"/>
              <w:left w:w="20" w:type="dxa"/>
              <w:bottom w:w="40" w:type="dxa"/>
              <w:right w:w="20" w:type="dxa"/>
            </w:tcMar>
            <w:vAlign w:val="bottom"/>
          </w:tcPr>
          <w:p w14:paraId="71D3E496" w14:textId="77777777" w:rsidR="006A3667" w:rsidRDefault="00045F32">
            <w:pPr>
              <w:textAlignment w:val="bottom"/>
            </w:pPr>
            <w:r>
              <w:rPr>
                <w:rFonts w:ascii="Arial" w:eastAsia="宋体" w:hAnsi="Arial" w:cs="Arial"/>
                <w:b/>
                <w:bCs/>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497"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3E498" w14:textId="77777777" w:rsidR="006A3667" w:rsidRDefault="00045F32">
            <w:pPr>
              <w:jc w:val="right"/>
              <w:textAlignment w:val="bottom"/>
            </w:pPr>
            <w:r>
              <w:rPr>
                <w:rFonts w:ascii="Arial" w:eastAsia="宋体" w:hAnsi="Arial" w:cs="Arial"/>
                <w:b/>
                <w:bCs/>
                <w:color w:val="000000"/>
                <w:sz w:val="13"/>
                <w:szCs w:val="13"/>
              </w:rPr>
              <w:t>3,265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3E4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49A"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49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3E49C" w14:textId="77777777" w:rsidR="006A3667" w:rsidRDefault="00045F32">
            <w:pPr>
              <w:jc w:val="right"/>
              <w:textAlignment w:val="bottom"/>
            </w:pPr>
            <w:r>
              <w:rPr>
                <w:rFonts w:ascii="Arial" w:eastAsia="宋体" w:hAnsi="Arial" w:cs="Arial"/>
                <w:color w:val="000000"/>
                <w:sz w:val="13"/>
                <w:szCs w:val="13"/>
              </w:rPr>
              <w:t>4,138 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3E49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49E"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49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3E4A0" w14:textId="77777777" w:rsidR="006A3667" w:rsidRDefault="00045F32">
            <w:pPr>
              <w:jc w:val="right"/>
              <w:textAlignment w:val="bottom"/>
            </w:pPr>
            <w:r>
              <w:rPr>
                <w:rFonts w:ascii="Arial" w:eastAsia="宋体" w:hAnsi="Arial" w:cs="Arial"/>
                <w:color w:val="000000"/>
                <w:sz w:val="13"/>
                <w:szCs w:val="13"/>
              </w:rPr>
              <w:t>3,862 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3E4A1" w14:textId="77777777" w:rsidR="006A3667" w:rsidRDefault="006A3667">
            <w:pPr>
              <w:jc w:val="right"/>
              <w:rPr>
                <w:rFonts w:ascii="宋体"/>
              </w:rPr>
            </w:pPr>
          </w:p>
        </w:tc>
        <w:tc>
          <w:tcPr>
            <w:tcW w:w="0" w:type="auto"/>
            <w:shd w:val="clear" w:color="auto" w:fill="auto"/>
            <w:vAlign w:val="bottom"/>
          </w:tcPr>
          <w:p w14:paraId="71D3E4A2" w14:textId="77777777" w:rsidR="006A3667" w:rsidRDefault="006A3667">
            <w:pPr>
              <w:rPr>
                <w:rFonts w:ascii="宋体"/>
                <w:vanish/>
              </w:rPr>
            </w:pPr>
          </w:p>
        </w:tc>
        <w:tc>
          <w:tcPr>
            <w:tcW w:w="0" w:type="auto"/>
            <w:shd w:val="clear" w:color="auto" w:fill="auto"/>
            <w:vAlign w:val="bottom"/>
          </w:tcPr>
          <w:p w14:paraId="71D3E4A3" w14:textId="77777777" w:rsidR="006A3667" w:rsidRDefault="006A3667">
            <w:pPr>
              <w:rPr>
                <w:rFonts w:ascii="宋体"/>
                <w:vanish/>
              </w:rPr>
            </w:pPr>
          </w:p>
        </w:tc>
        <w:tc>
          <w:tcPr>
            <w:tcW w:w="0" w:type="auto"/>
            <w:gridSpan w:val="3"/>
            <w:shd w:val="clear" w:color="auto" w:fill="auto"/>
            <w:vAlign w:val="bottom"/>
          </w:tcPr>
          <w:p w14:paraId="71D3E4A4" w14:textId="77777777" w:rsidR="006A3667" w:rsidRDefault="006A3667">
            <w:pPr>
              <w:rPr>
                <w:rFonts w:ascii="宋体"/>
                <w:vanish/>
              </w:rPr>
            </w:pPr>
          </w:p>
        </w:tc>
        <w:tc>
          <w:tcPr>
            <w:tcW w:w="0" w:type="auto"/>
            <w:gridSpan w:val="3"/>
            <w:shd w:val="clear" w:color="auto" w:fill="auto"/>
            <w:vAlign w:val="bottom"/>
          </w:tcPr>
          <w:p w14:paraId="71D3E4A5" w14:textId="77777777" w:rsidR="006A3667" w:rsidRDefault="006A3667">
            <w:pPr>
              <w:rPr>
                <w:rFonts w:ascii="宋体"/>
                <w:vanish/>
              </w:rPr>
            </w:pPr>
          </w:p>
        </w:tc>
        <w:tc>
          <w:tcPr>
            <w:tcW w:w="0" w:type="auto"/>
            <w:gridSpan w:val="3"/>
            <w:shd w:val="clear" w:color="auto" w:fill="auto"/>
            <w:vAlign w:val="bottom"/>
          </w:tcPr>
          <w:p w14:paraId="71D3E4A6" w14:textId="77777777" w:rsidR="006A3667" w:rsidRDefault="006A3667">
            <w:pPr>
              <w:rPr>
                <w:rFonts w:ascii="宋体"/>
                <w:vanish/>
              </w:rPr>
            </w:pPr>
          </w:p>
        </w:tc>
        <w:tc>
          <w:tcPr>
            <w:tcW w:w="0" w:type="auto"/>
            <w:gridSpan w:val="3"/>
            <w:shd w:val="clear" w:color="auto" w:fill="auto"/>
            <w:vAlign w:val="bottom"/>
          </w:tcPr>
          <w:p w14:paraId="71D3E4A7" w14:textId="77777777" w:rsidR="006A3667" w:rsidRDefault="006A3667">
            <w:pPr>
              <w:rPr>
                <w:rFonts w:ascii="宋体"/>
                <w:vanish/>
              </w:rPr>
            </w:pPr>
          </w:p>
        </w:tc>
        <w:tc>
          <w:tcPr>
            <w:tcW w:w="0" w:type="auto"/>
            <w:gridSpan w:val="3"/>
            <w:shd w:val="clear" w:color="auto" w:fill="auto"/>
            <w:vAlign w:val="bottom"/>
          </w:tcPr>
          <w:p w14:paraId="71D3E4A8" w14:textId="77777777" w:rsidR="006A3667" w:rsidRDefault="006A3667">
            <w:pPr>
              <w:rPr>
                <w:rFonts w:ascii="宋体"/>
                <w:vanish/>
              </w:rPr>
            </w:pPr>
          </w:p>
        </w:tc>
        <w:tc>
          <w:tcPr>
            <w:tcW w:w="0" w:type="auto"/>
            <w:gridSpan w:val="3"/>
            <w:shd w:val="clear" w:color="auto" w:fill="auto"/>
            <w:vAlign w:val="bottom"/>
          </w:tcPr>
          <w:p w14:paraId="71D3E4A9" w14:textId="77777777" w:rsidR="006A3667" w:rsidRDefault="006A3667">
            <w:pPr>
              <w:rPr>
                <w:rFonts w:ascii="宋体"/>
                <w:vanish/>
              </w:rPr>
            </w:pPr>
          </w:p>
        </w:tc>
        <w:tc>
          <w:tcPr>
            <w:tcW w:w="0" w:type="auto"/>
            <w:gridSpan w:val="3"/>
            <w:shd w:val="clear" w:color="auto" w:fill="auto"/>
            <w:vAlign w:val="bottom"/>
          </w:tcPr>
          <w:p w14:paraId="71D3E4AA" w14:textId="77777777" w:rsidR="006A3667" w:rsidRDefault="006A3667">
            <w:pPr>
              <w:rPr>
                <w:rFonts w:ascii="宋体"/>
                <w:vanish/>
              </w:rPr>
            </w:pPr>
          </w:p>
        </w:tc>
        <w:tc>
          <w:tcPr>
            <w:tcW w:w="0" w:type="auto"/>
            <w:gridSpan w:val="3"/>
            <w:shd w:val="clear" w:color="auto" w:fill="auto"/>
            <w:vAlign w:val="bottom"/>
          </w:tcPr>
          <w:p w14:paraId="71D3E4AB" w14:textId="77777777" w:rsidR="006A3667" w:rsidRDefault="006A3667">
            <w:pPr>
              <w:rPr>
                <w:rFonts w:ascii="宋体"/>
                <w:vanish/>
              </w:rPr>
            </w:pPr>
          </w:p>
        </w:tc>
      </w:tr>
    </w:tbl>
    <w:p w14:paraId="71D3E4AD" w14:textId="77777777" w:rsidR="006A3667" w:rsidRDefault="006A3667">
      <w:pPr>
        <w:rPr>
          <w:vanish/>
        </w:rPr>
      </w:pPr>
    </w:p>
    <w:tbl>
      <w:tblPr>
        <w:tblW w:w="5000" w:type="pct"/>
        <w:tblInd w:w="-75" w:type="dxa"/>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3E4B4" w14:textId="77777777">
        <w:tc>
          <w:tcPr>
            <w:tcW w:w="50" w:type="pct"/>
            <w:shd w:val="clear" w:color="auto" w:fill="auto"/>
            <w:vAlign w:val="bottom"/>
          </w:tcPr>
          <w:p w14:paraId="71D3E4AE" w14:textId="77777777" w:rsidR="006A3667" w:rsidRDefault="006A3667">
            <w:pPr>
              <w:rPr>
                <w:rFonts w:ascii="宋体"/>
              </w:rPr>
            </w:pPr>
          </w:p>
        </w:tc>
        <w:tc>
          <w:tcPr>
            <w:tcW w:w="1348" w:type="pct"/>
            <w:shd w:val="clear" w:color="auto" w:fill="auto"/>
            <w:vAlign w:val="bottom"/>
          </w:tcPr>
          <w:p w14:paraId="71D3E4AF" w14:textId="77777777" w:rsidR="006A3667" w:rsidRDefault="006A3667">
            <w:pPr>
              <w:rPr>
                <w:rFonts w:ascii="宋体"/>
              </w:rPr>
            </w:pPr>
          </w:p>
        </w:tc>
        <w:tc>
          <w:tcPr>
            <w:tcW w:w="5" w:type="pct"/>
            <w:shd w:val="clear" w:color="auto" w:fill="auto"/>
            <w:vAlign w:val="bottom"/>
          </w:tcPr>
          <w:p w14:paraId="71D3E4B0" w14:textId="77777777" w:rsidR="006A3667" w:rsidRDefault="006A3667">
            <w:pPr>
              <w:rPr>
                <w:rFonts w:ascii="宋体"/>
              </w:rPr>
            </w:pPr>
          </w:p>
        </w:tc>
        <w:tc>
          <w:tcPr>
            <w:tcW w:w="50" w:type="pct"/>
            <w:shd w:val="clear" w:color="auto" w:fill="auto"/>
            <w:vAlign w:val="bottom"/>
          </w:tcPr>
          <w:p w14:paraId="71D3E4B1" w14:textId="77777777" w:rsidR="006A3667" w:rsidRDefault="006A3667">
            <w:pPr>
              <w:rPr>
                <w:rFonts w:ascii="宋体"/>
              </w:rPr>
            </w:pPr>
          </w:p>
        </w:tc>
        <w:tc>
          <w:tcPr>
            <w:tcW w:w="3541" w:type="pct"/>
            <w:shd w:val="clear" w:color="auto" w:fill="auto"/>
            <w:vAlign w:val="bottom"/>
          </w:tcPr>
          <w:p w14:paraId="71D3E4B2" w14:textId="77777777" w:rsidR="006A3667" w:rsidRDefault="006A3667">
            <w:pPr>
              <w:rPr>
                <w:rFonts w:ascii="宋体"/>
              </w:rPr>
            </w:pPr>
          </w:p>
        </w:tc>
        <w:tc>
          <w:tcPr>
            <w:tcW w:w="5" w:type="pct"/>
            <w:shd w:val="clear" w:color="auto" w:fill="auto"/>
            <w:vAlign w:val="bottom"/>
          </w:tcPr>
          <w:p w14:paraId="71D3E4B3" w14:textId="77777777" w:rsidR="006A3667" w:rsidRDefault="006A3667">
            <w:pPr>
              <w:rPr>
                <w:rFonts w:ascii="宋体"/>
              </w:rPr>
            </w:pPr>
          </w:p>
        </w:tc>
      </w:tr>
      <w:tr w:rsidR="006A3667" w14:paraId="71D3E4B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E4B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4B6" w14:textId="77777777" w:rsidR="006A3667" w:rsidRDefault="006A3667">
            <w:pPr>
              <w:rPr>
                <w:rFonts w:ascii="宋体"/>
              </w:rPr>
            </w:pPr>
          </w:p>
        </w:tc>
      </w:tr>
    </w:tbl>
    <w:p w14:paraId="71D3E4B8" w14:textId="77777777" w:rsidR="006A3667" w:rsidRDefault="00045F32">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Includes both floating- and constant-net-asset-value portfolios held in commingled structures or separate accounts.</w:t>
      </w:r>
    </w:p>
    <w:p w14:paraId="71D3E4B9" w14:textId="77777777" w:rsidR="006A3667" w:rsidRDefault="00045F32">
      <w:pPr>
        <w:spacing w:before="60"/>
      </w:pPr>
      <w:r>
        <w:rPr>
          <w:rFonts w:ascii="Arial" w:eastAsia="宋体" w:hAnsi="Arial" w:cs="Arial"/>
          <w:color w:val="000000"/>
          <w:sz w:val="7"/>
          <w:szCs w:val="7"/>
        </w:rPr>
        <w:t>(2)</w:t>
      </w:r>
      <w:r>
        <w:rPr>
          <w:rFonts w:ascii="Arial" w:eastAsia="宋体" w:hAnsi="Arial" w:cs="Arial"/>
          <w:color w:val="000000"/>
          <w:sz w:val="12"/>
          <w:szCs w:val="12"/>
        </w:rPr>
        <w:t xml:space="preserve"> Includes real estate investment trusts, currency and commodities, including SPDR</w:t>
      </w:r>
      <w:r>
        <w:rPr>
          <w:rFonts w:ascii="Arial" w:eastAsia="宋体" w:hAnsi="Arial" w:cs="Arial"/>
          <w:color w:val="000000"/>
          <w:sz w:val="7"/>
          <w:szCs w:val="7"/>
        </w:rPr>
        <w:t xml:space="preserve">® </w:t>
      </w:r>
      <w:r>
        <w:rPr>
          <w:rFonts w:ascii="Arial" w:eastAsia="宋体" w:hAnsi="Arial" w:cs="Arial"/>
          <w:color w:val="000000"/>
          <w:sz w:val="12"/>
          <w:szCs w:val="12"/>
        </w:rPr>
        <w:t>Gold Shares and SPDR</w:t>
      </w:r>
      <w:r>
        <w:rPr>
          <w:rFonts w:ascii="Arial" w:eastAsia="宋体" w:hAnsi="Arial" w:cs="Arial"/>
          <w:color w:val="000000"/>
          <w:sz w:val="7"/>
          <w:szCs w:val="7"/>
        </w:rPr>
        <w:t>®</w:t>
      </w:r>
      <w:r>
        <w:rPr>
          <w:rFonts w:ascii="Arial" w:eastAsia="宋体" w:hAnsi="Arial" w:cs="Arial"/>
          <w:color w:val="000000"/>
          <w:sz w:val="12"/>
          <w:szCs w:val="12"/>
        </w:rPr>
        <w:t xml:space="preserve"> Gold MiniSharesSM Trust. We are not the investment manager for the SPDR</w:t>
      </w:r>
      <w:r>
        <w:rPr>
          <w:rFonts w:ascii="Arial" w:eastAsia="宋体" w:hAnsi="Arial" w:cs="Arial"/>
          <w:color w:val="000000"/>
          <w:sz w:val="7"/>
          <w:szCs w:val="7"/>
        </w:rPr>
        <w:t xml:space="preserve">® </w:t>
      </w:r>
      <w:r>
        <w:rPr>
          <w:rFonts w:ascii="Arial" w:eastAsia="宋体" w:hAnsi="Arial" w:cs="Arial"/>
          <w:color w:val="000000"/>
          <w:sz w:val="12"/>
          <w:szCs w:val="12"/>
        </w:rPr>
        <w:t>Gold Shares and SPDR</w:t>
      </w:r>
      <w:r>
        <w:rPr>
          <w:rFonts w:ascii="Arial" w:eastAsia="宋体" w:hAnsi="Arial" w:cs="Arial"/>
          <w:color w:val="000000"/>
          <w:sz w:val="7"/>
          <w:szCs w:val="7"/>
        </w:rPr>
        <w:t>®</w:t>
      </w:r>
      <w:r>
        <w:rPr>
          <w:rFonts w:ascii="Arial" w:eastAsia="宋体" w:hAnsi="Arial" w:cs="Arial"/>
          <w:color w:val="000000"/>
          <w:sz w:val="12"/>
          <w:szCs w:val="12"/>
        </w:rPr>
        <w:t>Gold</w:t>
      </w:r>
      <w:r>
        <w:rPr>
          <w:rFonts w:ascii="Arial" w:eastAsia="宋体" w:hAnsi="Arial" w:cs="Arial"/>
          <w:color w:val="000000"/>
          <w:sz w:val="7"/>
          <w:szCs w:val="7"/>
        </w:rPr>
        <w:t xml:space="preserve"> </w:t>
      </w:r>
      <w:r>
        <w:rPr>
          <w:rFonts w:ascii="Arial" w:eastAsia="宋体" w:hAnsi="Arial" w:cs="Arial"/>
          <w:color w:val="000000"/>
          <w:sz w:val="12"/>
          <w:szCs w:val="12"/>
        </w:rPr>
        <w:t xml:space="preserve">MiniSharesSM Trust, but act as the marketing agent. </w:t>
      </w:r>
    </w:p>
    <w:tbl>
      <w:tblPr>
        <w:tblW w:w="4993" w:type="pct"/>
        <w:tblCellMar>
          <w:top w:w="15" w:type="dxa"/>
          <w:left w:w="15" w:type="dxa"/>
          <w:bottom w:w="15" w:type="dxa"/>
          <w:right w:w="15" w:type="dxa"/>
        </w:tblCellMar>
        <w:tblLook w:val="04A0" w:firstRow="1" w:lastRow="0" w:firstColumn="1" w:lastColumn="0" w:noHBand="0" w:noVBand="1"/>
      </w:tblPr>
      <w:tblGrid>
        <w:gridCol w:w="41"/>
        <w:gridCol w:w="2072"/>
        <w:gridCol w:w="40"/>
        <w:gridCol w:w="95"/>
        <w:gridCol w:w="1732"/>
        <w:gridCol w:w="38"/>
        <w:gridCol w:w="37"/>
        <w:gridCol w:w="37"/>
        <w:gridCol w:w="37"/>
        <w:gridCol w:w="95"/>
        <w:gridCol w:w="1732"/>
        <w:gridCol w:w="37"/>
        <w:gridCol w:w="36"/>
        <w:gridCol w:w="36"/>
        <w:gridCol w:w="36"/>
        <w:gridCol w:w="94"/>
        <w:gridCol w:w="1732"/>
        <w:gridCol w:w="37"/>
        <w:gridCol w:w="36"/>
        <w:gridCol w:w="36"/>
        <w:gridCol w:w="36"/>
        <w:gridCol w:w="36"/>
        <w:gridCol w:w="36"/>
        <w:gridCol w:w="36"/>
        <w:gridCol w:w="36"/>
        <w:gridCol w:w="36"/>
        <w:gridCol w:w="36"/>
        <w:gridCol w:w="36"/>
      </w:tblGrid>
      <w:tr w:rsidR="006A3667" w14:paraId="71D3E4D6" w14:textId="77777777">
        <w:tc>
          <w:tcPr>
            <w:tcW w:w="50" w:type="pct"/>
            <w:shd w:val="clear" w:color="auto" w:fill="auto"/>
            <w:vAlign w:val="bottom"/>
          </w:tcPr>
          <w:p w14:paraId="71D3E4BA" w14:textId="77777777" w:rsidR="006A3667" w:rsidRDefault="006A3667">
            <w:pPr>
              <w:rPr>
                <w:rFonts w:ascii="宋体"/>
              </w:rPr>
            </w:pPr>
          </w:p>
        </w:tc>
        <w:tc>
          <w:tcPr>
            <w:tcW w:w="1350" w:type="pct"/>
            <w:shd w:val="clear" w:color="auto" w:fill="auto"/>
            <w:vAlign w:val="bottom"/>
          </w:tcPr>
          <w:p w14:paraId="71D3E4BB" w14:textId="77777777" w:rsidR="006A3667" w:rsidRDefault="006A3667">
            <w:pPr>
              <w:rPr>
                <w:rFonts w:ascii="宋体"/>
              </w:rPr>
            </w:pPr>
          </w:p>
        </w:tc>
        <w:tc>
          <w:tcPr>
            <w:tcW w:w="5" w:type="pct"/>
            <w:shd w:val="clear" w:color="auto" w:fill="auto"/>
            <w:vAlign w:val="bottom"/>
          </w:tcPr>
          <w:p w14:paraId="71D3E4BC" w14:textId="77777777" w:rsidR="006A3667" w:rsidRDefault="006A3667">
            <w:pPr>
              <w:rPr>
                <w:rFonts w:ascii="宋体"/>
              </w:rPr>
            </w:pPr>
          </w:p>
        </w:tc>
        <w:tc>
          <w:tcPr>
            <w:tcW w:w="50" w:type="pct"/>
            <w:shd w:val="clear" w:color="auto" w:fill="auto"/>
            <w:vAlign w:val="bottom"/>
          </w:tcPr>
          <w:p w14:paraId="71D3E4BD" w14:textId="77777777" w:rsidR="006A3667" w:rsidRDefault="006A3667">
            <w:pPr>
              <w:rPr>
                <w:rFonts w:ascii="宋体"/>
              </w:rPr>
            </w:pPr>
          </w:p>
        </w:tc>
        <w:tc>
          <w:tcPr>
            <w:tcW w:w="1123" w:type="pct"/>
            <w:shd w:val="clear" w:color="auto" w:fill="auto"/>
            <w:vAlign w:val="bottom"/>
          </w:tcPr>
          <w:p w14:paraId="71D3E4BE" w14:textId="77777777" w:rsidR="006A3667" w:rsidRDefault="006A3667">
            <w:pPr>
              <w:rPr>
                <w:rFonts w:ascii="宋体"/>
              </w:rPr>
            </w:pPr>
          </w:p>
        </w:tc>
        <w:tc>
          <w:tcPr>
            <w:tcW w:w="5" w:type="pct"/>
            <w:shd w:val="clear" w:color="auto" w:fill="auto"/>
            <w:vAlign w:val="bottom"/>
          </w:tcPr>
          <w:p w14:paraId="71D3E4BF" w14:textId="77777777" w:rsidR="006A3667" w:rsidRDefault="006A3667">
            <w:pPr>
              <w:rPr>
                <w:rFonts w:ascii="宋体"/>
              </w:rPr>
            </w:pPr>
          </w:p>
        </w:tc>
        <w:tc>
          <w:tcPr>
            <w:tcW w:w="5" w:type="pct"/>
            <w:shd w:val="clear" w:color="auto" w:fill="auto"/>
            <w:vAlign w:val="bottom"/>
          </w:tcPr>
          <w:p w14:paraId="71D3E4C0" w14:textId="77777777" w:rsidR="006A3667" w:rsidRDefault="006A3667">
            <w:pPr>
              <w:rPr>
                <w:rFonts w:ascii="宋体"/>
              </w:rPr>
            </w:pPr>
          </w:p>
        </w:tc>
        <w:tc>
          <w:tcPr>
            <w:tcW w:w="19" w:type="pct"/>
            <w:shd w:val="clear" w:color="auto" w:fill="auto"/>
            <w:vAlign w:val="bottom"/>
          </w:tcPr>
          <w:p w14:paraId="71D3E4C1" w14:textId="77777777" w:rsidR="006A3667" w:rsidRDefault="006A3667">
            <w:pPr>
              <w:rPr>
                <w:rFonts w:ascii="宋体"/>
              </w:rPr>
            </w:pPr>
          </w:p>
        </w:tc>
        <w:tc>
          <w:tcPr>
            <w:tcW w:w="5" w:type="pct"/>
            <w:shd w:val="clear" w:color="auto" w:fill="auto"/>
            <w:vAlign w:val="bottom"/>
          </w:tcPr>
          <w:p w14:paraId="71D3E4C2" w14:textId="77777777" w:rsidR="006A3667" w:rsidRDefault="006A3667">
            <w:pPr>
              <w:rPr>
                <w:rFonts w:ascii="宋体"/>
              </w:rPr>
            </w:pPr>
          </w:p>
        </w:tc>
        <w:tc>
          <w:tcPr>
            <w:tcW w:w="50" w:type="pct"/>
            <w:shd w:val="clear" w:color="auto" w:fill="auto"/>
            <w:vAlign w:val="bottom"/>
          </w:tcPr>
          <w:p w14:paraId="71D3E4C3" w14:textId="77777777" w:rsidR="006A3667" w:rsidRDefault="006A3667">
            <w:pPr>
              <w:rPr>
                <w:rFonts w:ascii="宋体"/>
              </w:rPr>
            </w:pPr>
          </w:p>
        </w:tc>
        <w:tc>
          <w:tcPr>
            <w:tcW w:w="1123" w:type="pct"/>
            <w:shd w:val="clear" w:color="auto" w:fill="auto"/>
            <w:vAlign w:val="bottom"/>
          </w:tcPr>
          <w:p w14:paraId="71D3E4C4" w14:textId="77777777" w:rsidR="006A3667" w:rsidRDefault="006A3667">
            <w:pPr>
              <w:rPr>
                <w:rFonts w:ascii="宋体"/>
              </w:rPr>
            </w:pPr>
          </w:p>
        </w:tc>
        <w:tc>
          <w:tcPr>
            <w:tcW w:w="5" w:type="pct"/>
            <w:shd w:val="clear" w:color="auto" w:fill="auto"/>
            <w:vAlign w:val="bottom"/>
          </w:tcPr>
          <w:p w14:paraId="71D3E4C5" w14:textId="77777777" w:rsidR="006A3667" w:rsidRDefault="006A3667">
            <w:pPr>
              <w:rPr>
                <w:rFonts w:ascii="宋体"/>
              </w:rPr>
            </w:pPr>
          </w:p>
        </w:tc>
        <w:tc>
          <w:tcPr>
            <w:tcW w:w="5" w:type="pct"/>
            <w:shd w:val="clear" w:color="auto" w:fill="auto"/>
            <w:vAlign w:val="bottom"/>
          </w:tcPr>
          <w:p w14:paraId="71D3E4C6" w14:textId="77777777" w:rsidR="006A3667" w:rsidRDefault="006A3667">
            <w:pPr>
              <w:rPr>
                <w:rFonts w:ascii="宋体"/>
              </w:rPr>
            </w:pPr>
          </w:p>
        </w:tc>
        <w:tc>
          <w:tcPr>
            <w:tcW w:w="19" w:type="pct"/>
            <w:shd w:val="clear" w:color="auto" w:fill="auto"/>
            <w:vAlign w:val="bottom"/>
          </w:tcPr>
          <w:p w14:paraId="71D3E4C7" w14:textId="77777777" w:rsidR="006A3667" w:rsidRDefault="006A3667">
            <w:pPr>
              <w:rPr>
                <w:rFonts w:ascii="宋体"/>
              </w:rPr>
            </w:pPr>
          </w:p>
        </w:tc>
        <w:tc>
          <w:tcPr>
            <w:tcW w:w="5" w:type="pct"/>
            <w:shd w:val="clear" w:color="auto" w:fill="auto"/>
            <w:vAlign w:val="bottom"/>
          </w:tcPr>
          <w:p w14:paraId="71D3E4C8" w14:textId="77777777" w:rsidR="006A3667" w:rsidRDefault="006A3667">
            <w:pPr>
              <w:rPr>
                <w:rFonts w:ascii="宋体"/>
              </w:rPr>
            </w:pPr>
          </w:p>
        </w:tc>
        <w:tc>
          <w:tcPr>
            <w:tcW w:w="50" w:type="pct"/>
            <w:shd w:val="clear" w:color="auto" w:fill="auto"/>
            <w:vAlign w:val="bottom"/>
          </w:tcPr>
          <w:p w14:paraId="71D3E4C9" w14:textId="77777777" w:rsidR="006A3667" w:rsidRDefault="006A3667">
            <w:pPr>
              <w:rPr>
                <w:rFonts w:ascii="宋体"/>
              </w:rPr>
            </w:pPr>
          </w:p>
        </w:tc>
        <w:tc>
          <w:tcPr>
            <w:tcW w:w="1123" w:type="pct"/>
            <w:shd w:val="clear" w:color="auto" w:fill="auto"/>
            <w:vAlign w:val="bottom"/>
          </w:tcPr>
          <w:p w14:paraId="71D3E4CA" w14:textId="77777777" w:rsidR="006A3667" w:rsidRDefault="006A3667">
            <w:pPr>
              <w:rPr>
                <w:rFonts w:ascii="宋体"/>
              </w:rPr>
            </w:pPr>
          </w:p>
        </w:tc>
        <w:tc>
          <w:tcPr>
            <w:tcW w:w="5" w:type="pct"/>
            <w:shd w:val="clear" w:color="auto" w:fill="auto"/>
            <w:vAlign w:val="bottom"/>
          </w:tcPr>
          <w:p w14:paraId="71D3E4CB" w14:textId="77777777" w:rsidR="006A3667" w:rsidRDefault="006A3667">
            <w:pPr>
              <w:rPr>
                <w:rFonts w:ascii="宋体"/>
              </w:rPr>
            </w:pPr>
          </w:p>
        </w:tc>
        <w:tc>
          <w:tcPr>
            <w:tcW w:w="0" w:type="auto"/>
            <w:shd w:val="clear" w:color="auto" w:fill="auto"/>
            <w:vAlign w:val="bottom"/>
          </w:tcPr>
          <w:p w14:paraId="71D3E4CC" w14:textId="77777777" w:rsidR="006A3667" w:rsidRDefault="006A3667">
            <w:pPr>
              <w:rPr>
                <w:rFonts w:ascii="宋体"/>
                <w:vanish/>
              </w:rPr>
            </w:pPr>
          </w:p>
        </w:tc>
        <w:tc>
          <w:tcPr>
            <w:tcW w:w="0" w:type="auto"/>
            <w:shd w:val="clear" w:color="auto" w:fill="auto"/>
            <w:vAlign w:val="bottom"/>
          </w:tcPr>
          <w:p w14:paraId="71D3E4CD" w14:textId="77777777" w:rsidR="006A3667" w:rsidRDefault="006A3667">
            <w:pPr>
              <w:rPr>
                <w:rFonts w:ascii="宋体"/>
                <w:vanish/>
              </w:rPr>
            </w:pPr>
          </w:p>
        </w:tc>
        <w:tc>
          <w:tcPr>
            <w:tcW w:w="0" w:type="auto"/>
            <w:shd w:val="clear" w:color="auto" w:fill="auto"/>
            <w:vAlign w:val="bottom"/>
          </w:tcPr>
          <w:p w14:paraId="71D3E4CE" w14:textId="77777777" w:rsidR="006A3667" w:rsidRDefault="006A3667">
            <w:pPr>
              <w:rPr>
                <w:rFonts w:ascii="宋体"/>
                <w:vanish/>
              </w:rPr>
            </w:pPr>
          </w:p>
        </w:tc>
        <w:tc>
          <w:tcPr>
            <w:tcW w:w="0" w:type="auto"/>
            <w:shd w:val="clear" w:color="auto" w:fill="auto"/>
            <w:vAlign w:val="bottom"/>
          </w:tcPr>
          <w:p w14:paraId="71D3E4CF" w14:textId="77777777" w:rsidR="006A3667" w:rsidRDefault="006A3667">
            <w:pPr>
              <w:rPr>
                <w:rFonts w:ascii="宋体"/>
                <w:vanish/>
              </w:rPr>
            </w:pPr>
          </w:p>
        </w:tc>
        <w:tc>
          <w:tcPr>
            <w:tcW w:w="0" w:type="auto"/>
            <w:shd w:val="clear" w:color="auto" w:fill="auto"/>
            <w:vAlign w:val="bottom"/>
          </w:tcPr>
          <w:p w14:paraId="71D3E4D0" w14:textId="77777777" w:rsidR="006A3667" w:rsidRDefault="006A3667">
            <w:pPr>
              <w:rPr>
                <w:rFonts w:ascii="宋体"/>
                <w:vanish/>
              </w:rPr>
            </w:pPr>
          </w:p>
        </w:tc>
        <w:tc>
          <w:tcPr>
            <w:tcW w:w="0" w:type="auto"/>
            <w:shd w:val="clear" w:color="auto" w:fill="auto"/>
            <w:vAlign w:val="bottom"/>
          </w:tcPr>
          <w:p w14:paraId="71D3E4D1" w14:textId="77777777" w:rsidR="006A3667" w:rsidRDefault="006A3667">
            <w:pPr>
              <w:rPr>
                <w:rFonts w:ascii="宋体"/>
                <w:vanish/>
              </w:rPr>
            </w:pPr>
          </w:p>
        </w:tc>
        <w:tc>
          <w:tcPr>
            <w:tcW w:w="0" w:type="auto"/>
            <w:shd w:val="clear" w:color="auto" w:fill="auto"/>
            <w:vAlign w:val="bottom"/>
          </w:tcPr>
          <w:p w14:paraId="71D3E4D2" w14:textId="77777777" w:rsidR="006A3667" w:rsidRDefault="006A3667">
            <w:pPr>
              <w:rPr>
                <w:rFonts w:ascii="宋体"/>
                <w:vanish/>
              </w:rPr>
            </w:pPr>
          </w:p>
        </w:tc>
        <w:tc>
          <w:tcPr>
            <w:tcW w:w="0" w:type="auto"/>
            <w:shd w:val="clear" w:color="auto" w:fill="auto"/>
            <w:vAlign w:val="bottom"/>
          </w:tcPr>
          <w:p w14:paraId="71D3E4D3" w14:textId="77777777" w:rsidR="006A3667" w:rsidRDefault="006A3667">
            <w:pPr>
              <w:rPr>
                <w:rFonts w:ascii="宋体"/>
                <w:vanish/>
              </w:rPr>
            </w:pPr>
          </w:p>
        </w:tc>
        <w:tc>
          <w:tcPr>
            <w:tcW w:w="0" w:type="auto"/>
            <w:shd w:val="clear" w:color="auto" w:fill="auto"/>
            <w:vAlign w:val="bottom"/>
          </w:tcPr>
          <w:p w14:paraId="71D3E4D4" w14:textId="77777777" w:rsidR="006A3667" w:rsidRDefault="006A3667">
            <w:pPr>
              <w:rPr>
                <w:rFonts w:ascii="宋体"/>
                <w:vanish/>
              </w:rPr>
            </w:pPr>
          </w:p>
        </w:tc>
        <w:tc>
          <w:tcPr>
            <w:tcW w:w="0" w:type="auto"/>
            <w:shd w:val="clear" w:color="auto" w:fill="auto"/>
            <w:vAlign w:val="bottom"/>
          </w:tcPr>
          <w:p w14:paraId="71D3E4D5" w14:textId="77777777" w:rsidR="006A3667" w:rsidRDefault="006A3667">
            <w:pPr>
              <w:rPr>
                <w:rFonts w:ascii="宋体"/>
                <w:vanish/>
              </w:rPr>
            </w:pPr>
          </w:p>
        </w:tc>
      </w:tr>
      <w:tr w:rsidR="006A3667" w14:paraId="71D3E4E2" w14:textId="77777777">
        <w:tc>
          <w:tcPr>
            <w:tcW w:w="0" w:type="auto"/>
            <w:gridSpan w:val="18"/>
            <w:shd w:val="clear" w:color="auto" w:fill="auto"/>
            <w:tcMar>
              <w:top w:w="40" w:type="dxa"/>
              <w:left w:w="20" w:type="dxa"/>
              <w:bottom w:w="40" w:type="dxa"/>
              <w:right w:w="20" w:type="dxa"/>
            </w:tcMar>
            <w:vAlign w:val="center"/>
          </w:tcPr>
          <w:p w14:paraId="71D3E4D7" w14:textId="77777777" w:rsidR="006A3667" w:rsidRDefault="00045F32">
            <w:pPr>
              <w:textAlignment w:val="center"/>
            </w:pPr>
            <w:r>
              <w:rPr>
                <w:rFonts w:ascii="Arial" w:eastAsia="宋体" w:hAnsi="Arial" w:cs="Arial"/>
                <w:b/>
                <w:bCs/>
                <w:color w:val="000000"/>
                <w:sz w:val="16"/>
                <w:szCs w:val="16"/>
              </w:rPr>
              <w:t>TABLE 10: EXCHANGE-TRADED FUNDS BY ASSET CLASS</w:t>
            </w:r>
            <w:r>
              <w:rPr>
                <w:rFonts w:ascii="Arial" w:eastAsia="宋体" w:hAnsi="Arial" w:cs="Arial"/>
                <w:b/>
                <w:bCs/>
                <w:color w:val="000000"/>
                <w:sz w:val="10"/>
                <w:szCs w:val="10"/>
              </w:rPr>
              <w:t>(1)</w:t>
            </w:r>
          </w:p>
        </w:tc>
        <w:tc>
          <w:tcPr>
            <w:tcW w:w="0" w:type="auto"/>
            <w:shd w:val="clear" w:color="auto" w:fill="auto"/>
            <w:vAlign w:val="bottom"/>
          </w:tcPr>
          <w:p w14:paraId="71D3E4D8" w14:textId="77777777" w:rsidR="006A3667" w:rsidRDefault="006A3667">
            <w:pPr>
              <w:rPr>
                <w:rFonts w:ascii="宋体"/>
                <w:vanish/>
              </w:rPr>
            </w:pPr>
          </w:p>
        </w:tc>
        <w:tc>
          <w:tcPr>
            <w:tcW w:w="0" w:type="auto"/>
            <w:shd w:val="clear" w:color="auto" w:fill="auto"/>
            <w:vAlign w:val="bottom"/>
          </w:tcPr>
          <w:p w14:paraId="71D3E4D9" w14:textId="77777777" w:rsidR="006A3667" w:rsidRDefault="006A3667">
            <w:pPr>
              <w:rPr>
                <w:rFonts w:ascii="宋体"/>
                <w:vanish/>
              </w:rPr>
            </w:pPr>
          </w:p>
        </w:tc>
        <w:tc>
          <w:tcPr>
            <w:tcW w:w="0" w:type="auto"/>
            <w:shd w:val="clear" w:color="auto" w:fill="auto"/>
            <w:vAlign w:val="bottom"/>
          </w:tcPr>
          <w:p w14:paraId="71D3E4DA" w14:textId="77777777" w:rsidR="006A3667" w:rsidRDefault="006A3667">
            <w:pPr>
              <w:rPr>
                <w:rFonts w:ascii="宋体"/>
                <w:vanish/>
              </w:rPr>
            </w:pPr>
          </w:p>
        </w:tc>
        <w:tc>
          <w:tcPr>
            <w:tcW w:w="0" w:type="auto"/>
            <w:shd w:val="clear" w:color="auto" w:fill="auto"/>
            <w:vAlign w:val="bottom"/>
          </w:tcPr>
          <w:p w14:paraId="71D3E4DB" w14:textId="77777777" w:rsidR="006A3667" w:rsidRDefault="006A3667">
            <w:pPr>
              <w:rPr>
                <w:rFonts w:ascii="宋体"/>
                <w:vanish/>
              </w:rPr>
            </w:pPr>
          </w:p>
        </w:tc>
        <w:tc>
          <w:tcPr>
            <w:tcW w:w="0" w:type="auto"/>
            <w:shd w:val="clear" w:color="auto" w:fill="auto"/>
            <w:vAlign w:val="bottom"/>
          </w:tcPr>
          <w:p w14:paraId="71D3E4DC" w14:textId="77777777" w:rsidR="006A3667" w:rsidRDefault="006A3667">
            <w:pPr>
              <w:rPr>
                <w:rFonts w:ascii="宋体"/>
                <w:vanish/>
              </w:rPr>
            </w:pPr>
          </w:p>
        </w:tc>
        <w:tc>
          <w:tcPr>
            <w:tcW w:w="0" w:type="auto"/>
            <w:shd w:val="clear" w:color="auto" w:fill="auto"/>
            <w:vAlign w:val="bottom"/>
          </w:tcPr>
          <w:p w14:paraId="71D3E4DD" w14:textId="77777777" w:rsidR="006A3667" w:rsidRDefault="006A3667">
            <w:pPr>
              <w:rPr>
                <w:rFonts w:ascii="宋体"/>
                <w:vanish/>
              </w:rPr>
            </w:pPr>
          </w:p>
        </w:tc>
        <w:tc>
          <w:tcPr>
            <w:tcW w:w="0" w:type="auto"/>
            <w:shd w:val="clear" w:color="auto" w:fill="auto"/>
            <w:vAlign w:val="bottom"/>
          </w:tcPr>
          <w:p w14:paraId="71D3E4DE" w14:textId="77777777" w:rsidR="006A3667" w:rsidRDefault="006A3667">
            <w:pPr>
              <w:rPr>
                <w:rFonts w:ascii="宋体"/>
                <w:vanish/>
              </w:rPr>
            </w:pPr>
          </w:p>
        </w:tc>
        <w:tc>
          <w:tcPr>
            <w:tcW w:w="0" w:type="auto"/>
            <w:shd w:val="clear" w:color="auto" w:fill="auto"/>
            <w:vAlign w:val="bottom"/>
          </w:tcPr>
          <w:p w14:paraId="71D3E4DF" w14:textId="77777777" w:rsidR="006A3667" w:rsidRDefault="006A3667">
            <w:pPr>
              <w:rPr>
                <w:rFonts w:ascii="宋体"/>
                <w:vanish/>
              </w:rPr>
            </w:pPr>
          </w:p>
        </w:tc>
        <w:tc>
          <w:tcPr>
            <w:tcW w:w="0" w:type="auto"/>
            <w:shd w:val="clear" w:color="auto" w:fill="auto"/>
            <w:vAlign w:val="bottom"/>
          </w:tcPr>
          <w:p w14:paraId="71D3E4E0" w14:textId="77777777" w:rsidR="006A3667" w:rsidRDefault="006A3667">
            <w:pPr>
              <w:rPr>
                <w:rFonts w:ascii="宋体"/>
                <w:vanish/>
              </w:rPr>
            </w:pPr>
          </w:p>
        </w:tc>
        <w:tc>
          <w:tcPr>
            <w:tcW w:w="0" w:type="auto"/>
            <w:shd w:val="clear" w:color="auto" w:fill="auto"/>
            <w:vAlign w:val="bottom"/>
          </w:tcPr>
          <w:p w14:paraId="71D3E4E1" w14:textId="77777777" w:rsidR="006A3667" w:rsidRDefault="006A3667">
            <w:pPr>
              <w:rPr>
                <w:rFonts w:ascii="宋体"/>
                <w:vanish/>
              </w:rPr>
            </w:pPr>
          </w:p>
        </w:tc>
      </w:tr>
      <w:tr w:rsidR="006A3667" w14:paraId="71D3E4F3" w14:textId="77777777">
        <w:tc>
          <w:tcPr>
            <w:tcW w:w="0" w:type="auto"/>
            <w:gridSpan w:val="3"/>
            <w:shd w:val="clear" w:color="auto" w:fill="auto"/>
            <w:tcMar>
              <w:top w:w="40" w:type="dxa"/>
              <w:left w:w="380" w:type="dxa"/>
              <w:bottom w:w="40" w:type="dxa"/>
              <w:right w:w="20" w:type="dxa"/>
            </w:tcMar>
            <w:vAlign w:val="bottom"/>
          </w:tcPr>
          <w:p w14:paraId="71D3E4E3" w14:textId="77777777" w:rsidR="006A3667" w:rsidRDefault="00045F32">
            <w:pPr>
              <w:ind w:hanging="360"/>
              <w:textAlignment w:val="bottom"/>
            </w:pPr>
            <w:r>
              <w:rPr>
                <w:rFonts w:ascii="Arial" w:eastAsia="宋体" w:hAnsi="Arial" w:cs="Arial"/>
                <w:b/>
                <w:bCs/>
                <w:color w:val="000000"/>
                <w:sz w:val="13"/>
                <w:szCs w:val="13"/>
              </w:rPr>
              <w:t>(In billions)</w:t>
            </w:r>
          </w:p>
        </w:tc>
        <w:tc>
          <w:tcPr>
            <w:tcW w:w="0" w:type="auto"/>
            <w:gridSpan w:val="3"/>
            <w:shd w:val="clear" w:color="auto" w:fill="auto"/>
            <w:tcMar>
              <w:top w:w="40" w:type="dxa"/>
              <w:left w:w="20" w:type="dxa"/>
              <w:bottom w:w="40" w:type="dxa"/>
              <w:right w:w="20" w:type="dxa"/>
            </w:tcMar>
            <w:vAlign w:val="bottom"/>
          </w:tcPr>
          <w:p w14:paraId="71D3E4E4" w14:textId="77777777" w:rsidR="006A3667" w:rsidRDefault="00045F32">
            <w:pPr>
              <w:jc w:val="center"/>
              <w:textAlignment w:val="bottom"/>
            </w:pPr>
            <w:r>
              <w:rPr>
                <w:rFonts w:ascii="Arial" w:eastAsia="宋体" w:hAnsi="Arial" w:cs="Arial"/>
                <w:b/>
                <w:bCs/>
                <w:color w:val="000000"/>
                <w:sz w:val="13"/>
                <w:szCs w:val="13"/>
              </w:rPr>
              <w:t>September 30, 2022</w:t>
            </w:r>
          </w:p>
        </w:tc>
        <w:tc>
          <w:tcPr>
            <w:tcW w:w="0" w:type="auto"/>
            <w:gridSpan w:val="3"/>
            <w:shd w:val="clear" w:color="auto" w:fill="auto"/>
            <w:tcMar>
              <w:top w:w="0" w:type="dxa"/>
              <w:left w:w="20" w:type="dxa"/>
              <w:bottom w:w="0" w:type="dxa"/>
              <w:right w:w="20" w:type="dxa"/>
            </w:tcMar>
            <w:vAlign w:val="bottom"/>
          </w:tcPr>
          <w:p w14:paraId="71D3E4E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4E6" w14:textId="77777777" w:rsidR="006A3667" w:rsidRDefault="00045F32">
            <w:pPr>
              <w:jc w:val="center"/>
              <w:textAlignment w:val="bottom"/>
            </w:pPr>
            <w:r>
              <w:rPr>
                <w:rFonts w:ascii="Arial" w:eastAsia="宋体" w:hAnsi="Arial" w:cs="Arial"/>
                <w:b/>
                <w:bCs/>
                <w:color w:val="000000"/>
                <w:sz w:val="13"/>
                <w:szCs w:val="13"/>
              </w:rPr>
              <w:t>December 31, 2021</w:t>
            </w:r>
          </w:p>
        </w:tc>
        <w:tc>
          <w:tcPr>
            <w:tcW w:w="0" w:type="auto"/>
            <w:gridSpan w:val="3"/>
            <w:shd w:val="clear" w:color="auto" w:fill="auto"/>
            <w:tcMar>
              <w:top w:w="0" w:type="dxa"/>
              <w:left w:w="20" w:type="dxa"/>
              <w:bottom w:w="0" w:type="dxa"/>
              <w:right w:w="20" w:type="dxa"/>
            </w:tcMar>
            <w:vAlign w:val="bottom"/>
          </w:tcPr>
          <w:p w14:paraId="71D3E4E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4E8" w14:textId="77777777" w:rsidR="006A3667" w:rsidRDefault="00045F32">
            <w:pPr>
              <w:jc w:val="center"/>
              <w:textAlignment w:val="bottom"/>
            </w:pPr>
            <w:r>
              <w:rPr>
                <w:rFonts w:ascii="Arial" w:eastAsia="宋体" w:hAnsi="Arial" w:cs="Arial"/>
                <w:b/>
                <w:bCs/>
                <w:color w:val="000000"/>
                <w:sz w:val="13"/>
                <w:szCs w:val="13"/>
              </w:rPr>
              <w:t> September 30, 2021</w:t>
            </w:r>
          </w:p>
        </w:tc>
        <w:tc>
          <w:tcPr>
            <w:tcW w:w="0" w:type="auto"/>
            <w:shd w:val="clear" w:color="auto" w:fill="auto"/>
            <w:vAlign w:val="bottom"/>
          </w:tcPr>
          <w:p w14:paraId="71D3E4E9" w14:textId="77777777" w:rsidR="006A3667" w:rsidRDefault="006A3667">
            <w:pPr>
              <w:rPr>
                <w:rFonts w:ascii="宋体"/>
                <w:vanish/>
              </w:rPr>
            </w:pPr>
          </w:p>
        </w:tc>
        <w:tc>
          <w:tcPr>
            <w:tcW w:w="0" w:type="auto"/>
            <w:shd w:val="clear" w:color="auto" w:fill="auto"/>
            <w:vAlign w:val="bottom"/>
          </w:tcPr>
          <w:p w14:paraId="71D3E4EA" w14:textId="77777777" w:rsidR="006A3667" w:rsidRDefault="006A3667">
            <w:pPr>
              <w:rPr>
                <w:rFonts w:ascii="宋体"/>
                <w:vanish/>
              </w:rPr>
            </w:pPr>
          </w:p>
        </w:tc>
        <w:tc>
          <w:tcPr>
            <w:tcW w:w="0" w:type="auto"/>
            <w:shd w:val="clear" w:color="auto" w:fill="auto"/>
            <w:vAlign w:val="bottom"/>
          </w:tcPr>
          <w:p w14:paraId="71D3E4EB" w14:textId="77777777" w:rsidR="006A3667" w:rsidRDefault="006A3667">
            <w:pPr>
              <w:rPr>
                <w:rFonts w:ascii="宋体"/>
                <w:vanish/>
              </w:rPr>
            </w:pPr>
          </w:p>
        </w:tc>
        <w:tc>
          <w:tcPr>
            <w:tcW w:w="0" w:type="auto"/>
            <w:shd w:val="clear" w:color="auto" w:fill="auto"/>
            <w:vAlign w:val="bottom"/>
          </w:tcPr>
          <w:p w14:paraId="71D3E4EC" w14:textId="77777777" w:rsidR="006A3667" w:rsidRDefault="006A3667">
            <w:pPr>
              <w:rPr>
                <w:rFonts w:ascii="宋体"/>
                <w:vanish/>
              </w:rPr>
            </w:pPr>
          </w:p>
        </w:tc>
        <w:tc>
          <w:tcPr>
            <w:tcW w:w="0" w:type="auto"/>
            <w:shd w:val="clear" w:color="auto" w:fill="auto"/>
            <w:vAlign w:val="bottom"/>
          </w:tcPr>
          <w:p w14:paraId="71D3E4ED" w14:textId="77777777" w:rsidR="006A3667" w:rsidRDefault="006A3667">
            <w:pPr>
              <w:rPr>
                <w:rFonts w:ascii="宋体"/>
                <w:vanish/>
              </w:rPr>
            </w:pPr>
          </w:p>
        </w:tc>
        <w:tc>
          <w:tcPr>
            <w:tcW w:w="0" w:type="auto"/>
            <w:shd w:val="clear" w:color="auto" w:fill="auto"/>
            <w:vAlign w:val="bottom"/>
          </w:tcPr>
          <w:p w14:paraId="71D3E4EE" w14:textId="77777777" w:rsidR="006A3667" w:rsidRDefault="006A3667">
            <w:pPr>
              <w:rPr>
                <w:rFonts w:ascii="宋体"/>
                <w:vanish/>
              </w:rPr>
            </w:pPr>
          </w:p>
        </w:tc>
        <w:tc>
          <w:tcPr>
            <w:tcW w:w="0" w:type="auto"/>
            <w:shd w:val="clear" w:color="auto" w:fill="auto"/>
            <w:vAlign w:val="bottom"/>
          </w:tcPr>
          <w:p w14:paraId="71D3E4EF" w14:textId="77777777" w:rsidR="006A3667" w:rsidRDefault="006A3667">
            <w:pPr>
              <w:rPr>
                <w:rFonts w:ascii="宋体"/>
                <w:vanish/>
              </w:rPr>
            </w:pPr>
          </w:p>
        </w:tc>
        <w:tc>
          <w:tcPr>
            <w:tcW w:w="0" w:type="auto"/>
            <w:shd w:val="clear" w:color="auto" w:fill="auto"/>
            <w:vAlign w:val="bottom"/>
          </w:tcPr>
          <w:p w14:paraId="71D3E4F0" w14:textId="77777777" w:rsidR="006A3667" w:rsidRDefault="006A3667">
            <w:pPr>
              <w:rPr>
                <w:rFonts w:ascii="宋体"/>
                <w:vanish/>
              </w:rPr>
            </w:pPr>
          </w:p>
        </w:tc>
        <w:tc>
          <w:tcPr>
            <w:tcW w:w="0" w:type="auto"/>
            <w:shd w:val="clear" w:color="auto" w:fill="auto"/>
            <w:vAlign w:val="bottom"/>
          </w:tcPr>
          <w:p w14:paraId="71D3E4F1" w14:textId="77777777" w:rsidR="006A3667" w:rsidRDefault="006A3667">
            <w:pPr>
              <w:rPr>
                <w:rFonts w:ascii="宋体"/>
                <w:vanish/>
              </w:rPr>
            </w:pPr>
          </w:p>
        </w:tc>
        <w:tc>
          <w:tcPr>
            <w:tcW w:w="0" w:type="auto"/>
            <w:shd w:val="clear" w:color="auto" w:fill="auto"/>
            <w:vAlign w:val="bottom"/>
          </w:tcPr>
          <w:p w14:paraId="71D3E4F2" w14:textId="77777777" w:rsidR="006A3667" w:rsidRDefault="006A3667">
            <w:pPr>
              <w:rPr>
                <w:rFonts w:ascii="宋体"/>
                <w:vanish/>
              </w:rPr>
            </w:pPr>
          </w:p>
        </w:tc>
      </w:tr>
      <w:tr w:rsidR="006A3667" w14:paraId="71D3E507" w14:textId="77777777">
        <w:tc>
          <w:tcPr>
            <w:tcW w:w="0" w:type="auto"/>
            <w:gridSpan w:val="3"/>
            <w:shd w:val="clear" w:color="auto" w:fill="CCEEFF"/>
            <w:tcMar>
              <w:top w:w="40" w:type="dxa"/>
              <w:left w:w="20" w:type="dxa"/>
              <w:bottom w:w="40" w:type="dxa"/>
              <w:right w:w="20" w:type="dxa"/>
            </w:tcMar>
            <w:vAlign w:val="bottom"/>
          </w:tcPr>
          <w:p w14:paraId="71D3E4F4" w14:textId="77777777" w:rsidR="006A3667" w:rsidRDefault="00045F32">
            <w:pPr>
              <w:ind w:hanging="360"/>
              <w:textAlignment w:val="bottom"/>
            </w:pPr>
            <w:r>
              <w:rPr>
                <w:rFonts w:ascii="Arial" w:eastAsia="宋体" w:hAnsi="Arial" w:cs="Arial"/>
                <w:color w:val="000000"/>
                <w:sz w:val="13"/>
                <w:szCs w:val="13"/>
              </w:rPr>
              <w:t>Alternative Investments</w:t>
            </w:r>
            <w:r>
              <w:rPr>
                <w:rFonts w:ascii="Arial" w:eastAsia="宋体" w:hAnsi="Arial" w:cs="Arial"/>
                <w:color w:val="000000"/>
                <w:sz w:val="8"/>
                <w:szCs w:val="8"/>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4F5" w14:textId="77777777" w:rsidR="006A3667" w:rsidRDefault="00045F32">
            <w:pPr>
              <w:textAlignment w:val="bottom"/>
            </w:pPr>
            <w:r>
              <w:rPr>
                <w:rFonts w:ascii="Arial" w:eastAsia="宋体" w:hAnsi="Arial" w:cs="Arial"/>
                <w:b/>
                <w:bCs/>
                <w:color w:val="000000"/>
                <w:sz w:val="13"/>
                <w:szCs w:val="13"/>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1D3E4F6" w14:textId="77777777" w:rsidR="006A3667" w:rsidRDefault="00045F32">
            <w:pPr>
              <w:jc w:val="right"/>
              <w:textAlignment w:val="bottom"/>
            </w:pPr>
            <w:r>
              <w:rPr>
                <w:rFonts w:ascii="Arial" w:eastAsia="宋体" w:hAnsi="Arial" w:cs="Arial"/>
                <w:b/>
                <w:bCs/>
                <w:color w:val="000000"/>
                <w:sz w:val="13"/>
                <w:szCs w:val="13"/>
              </w:rPr>
              <w:t>63</w:t>
            </w:r>
          </w:p>
        </w:tc>
        <w:tc>
          <w:tcPr>
            <w:tcW w:w="0" w:type="auto"/>
            <w:gridSpan w:val="3"/>
            <w:shd w:val="clear" w:color="auto" w:fill="CCEEFF"/>
            <w:tcMar>
              <w:top w:w="0" w:type="dxa"/>
              <w:left w:w="20" w:type="dxa"/>
              <w:bottom w:w="0" w:type="dxa"/>
              <w:right w:w="20" w:type="dxa"/>
            </w:tcMar>
            <w:vAlign w:val="bottom"/>
          </w:tcPr>
          <w:p w14:paraId="71D3E4F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4F8" w14:textId="77777777" w:rsidR="006A3667" w:rsidRDefault="00045F32">
            <w:pPr>
              <w:textAlignment w:val="bottom"/>
            </w:pPr>
            <w:r>
              <w:rPr>
                <w:rFonts w:ascii="Arial" w:eastAsia="宋体" w:hAnsi="Arial" w:cs="Arial"/>
                <w:color w:val="000000"/>
                <w:sz w:val="13"/>
                <w:szCs w:val="13"/>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1D3E4F9" w14:textId="77777777" w:rsidR="006A3667" w:rsidRDefault="00045F32">
            <w:pPr>
              <w:jc w:val="right"/>
              <w:textAlignment w:val="bottom"/>
            </w:pPr>
            <w:r>
              <w:rPr>
                <w:rFonts w:ascii="Arial" w:eastAsia="宋体" w:hAnsi="Arial" w:cs="Arial"/>
                <w:color w:val="000000"/>
                <w:sz w:val="13"/>
                <w:szCs w:val="13"/>
              </w:rPr>
              <w:t>72</w:t>
            </w:r>
          </w:p>
        </w:tc>
        <w:tc>
          <w:tcPr>
            <w:tcW w:w="0" w:type="auto"/>
            <w:gridSpan w:val="3"/>
            <w:shd w:val="clear" w:color="auto" w:fill="CCEEFF"/>
            <w:tcMar>
              <w:top w:w="0" w:type="dxa"/>
              <w:left w:w="20" w:type="dxa"/>
              <w:bottom w:w="0" w:type="dxa"/>
              <w:right w:w="20" w:type="dxa"/>
            </w:tcMar>
            <w:vAlign w:val="bottom"/>
          </w:tcPr>
          <w:p w14:paraId="71D3E4F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4FB" w14:textId="77777777" w:rsidR="006A3667" w:rsidRDefault="00045F32">
            <w:pPr>
              <w:textAlignment w:val="bottom"/>
            </w:pPr>
            <w:r>
              <w:rPr>
                <w:rFonts w:ascii="Arial" w:eastAsia="宋体" w:hAnsi="Arial" w:cs="Arial"/>
                <w:color w:val="000000"/>
                <w:sz w:val="13"/>
                <w:szCs w:val="13"/>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1D3E4FC" w14:textId="77777777" w:rsidR="006A3667" w:rsidRDefault="00045F32">
            <w:pPr>
              <w:jc w:val="right"/>
              <w:textAlignment w:val="bottom"/>
            </w:pPr>
            <w:r>
              <w:rPr>
                <w:rFonts w:ascii="Arial" w:eastAsia="宋体" w:hAnsi="Arial" w:cs="Arial"/>
                <w:color w:val="000000"/>
                <w:sz w:val="13"/>
                <w:szCs w:val="13"/>
              </w:rPr>
              <w:t>69</w:t>
            </w:r>
          </w:p>
        </w:tc>
        <w:tc>
          <w:tcPr>
            <w:tcW w:w="0" w:type="auto"/>
            <w:shd w:val="clear" w:color="auto" w:fill="auto"/>
            <w:vAlign w:val="bottom"/>
          </w:tcPr>
          <w:p w14:paraId="71D3E4FD" w14:textId="77777777" w:rsidR="006A3667" w:rsidRDefault="006A3667">
            <w:pPr>
              <w:rPr>
                <w:rFonts w:ascii="宋体"/>
                <w:vanish/>
              </w:rPr>
            </w:pPr>
          </w:p>
        </w:tc>
        <w:tc>
          <w:tcPr>
            <w:tcW w:w="0" w:type="auto"/>
            <w:shd w:val="clear" w:color="auto" w:fill="auto"/>
            <w:vAlign w:val="bottom"/>
          </w:tcPr>
          <w:p w14:paraId="71D3E4FE" w14:textId="77777777" w:rsidR="006A3667" w:rsidRDefault="006A3667">
            <w:pPr>
              <w:rPr>
                <w:rFonts w:ascii="宋体"/>
                <w:vanish/>
              </w:rPr>
            </w:pPr>
          </w:p>
        </w:tc>
        <w:tc>
          <w:tcPr>
            <w:tcW w:w="0" w:type="auto"/>
            <w:shd w:val="clear" w:color="auto" w:fill="auto"/>
            <w:vAlign w:val="bottom"/>
          </w:tcPr>
          <w:p w14:paraId="71D3E4FF" w14:textId="77777777" w:rsidR="006A3667" w:rsidRDefault="006A3667">
            <w:pPr>
              <w:rPr>
                <w:rFonts w:ascii="宋体"/>
                <w:vanish/>
              </w:rPr>
            </w:pPr>
          </w:p>
        </w:tc>
        <w:tc>
          <w:tcPr>
            <w:tcW w:w="0" w:type="auto"/>
            <w:shd w:val="clear" w:color="auto" w:fill="auto"/>
            <w:vAlign w:val="bottom"/>
          </w:tcPr>
          <w:p w14:paraId="71D3E500" w14:textId="77777777" w:rsidR="006A3667" w:rsidRDefault="006A3667">
            <w:pPr>
              <w:rPr>
                <w:rFonts w:ascii="宋体"/>
                <w:vanish/>
              </w:rPr>
            </w:pPr>
          </w:p>
        </w:tc>
        <w:tc>
          <w:tcPr>
            <w:tcW w:w="0" w:type="auto"/>
            <w:shd w:val="clear" w:color="auto" w:fill="auto"/>
            <w:vAlign w:val="bottom"/>
          </w:tcPr>
          <w:p w14:paraId="71D3E501" w14:textId="77777777" w:rsidR="006A3667" w:rsidRDefault="006A3667">
            <w:pPr>
              <w:rPr>
                <w:rFonts w:ascii="宋体"/>
                <w:vanish/>
              </w:rPr>
            </w:pPr>
          </w:p>
        </w:tc>
        <w:tc>
          <w:tcPr>
            <w:tcW w:w="0" w:type="auto"/>
            <w:shd w:val="clear" w:color="auto" w:fill="auto"/>
            <w:vAlign w:val="bottom"/>
          </w:tcPr>
          <w:p w14:paraId="71D3E502" w14:textId="77777777" w:rsidR="006A3667" w:rsidRDefault="006A3667">
            <w:pPr>
              <w:rPr>
                <w:rFonts w:ascii="宋体"/>
                <w:vanish/>
              </w:rPr>
            </w:pPr>
          </w:p>
        </w:tc>
        <w:tc>
          <w:tcPr>
            <w:tcW w:w="0" w:type="auto"/>
            <w:shd w:val="clear" w:color="auto" w:fill="auto"/>
            <w:vAlign w:val="bottom"/>
          </w:tcPr>
          <w:p w14:paraId="71D3E503" w14:textId="77777777" w:rsidR="006A3667" w:rsidRDefault="006A3667">
            <w:pPr>
              <w:rPr>
                <w:rFonts w:ascii="宋体"/>
                <w:vanish/>
              </w:rPr>
            </w:pPr>
          </w:p>
        </w:tc>
        <w:tc>
          <w:tcPr>
            <w:tcW w:w="0" w:type="auto"/>
            <w:shd w:val="clear" w:color="auto" w:fill="auto"/>
            <w:vAlign w:val="bottom"/>
          </w:tcPr>
          <w:p w14:paraId="71D3E504" w14:textId="77777777" w:rsidR="006A3667" w:rsidRDefault="006A3667">
            <w:pPr>
              <w:rPr>
                <w:rFonts w:ascii="宋体"/>
                <w:vanish/>
              </w:rPr>
            </w:pPr>
          </w:p>
        </w:tc>
        <w:tc>
          <w:tcPr>
            <w:tcW w:w="0" w:type="auto"/>
            <w:shd w:val="clear" w:color="auto" w:fill="auto"/>
            <w:vAlign w:val="bottom"/>
          </w:tcPr>
          <w:p w14:paraId="71D3E505" w14:textId="77777777" w:rsidR="006A3667" w:rsidRDefault="006A3667">
            <w:pPr>
              <w:rPr>
                <w:rFonts w:ascii="宋体"/>
                <w:vanish/>
              </w:rPr>
            </w:pPr>
          </w:p>
        </w:tc>
        <w:tc>
          <w:tcPr>
            <w:tcW w:w="0" w:type="auto"/>
            <w:shd w:val="clear" w:color="auto" w:fill="auto"/>
            <w:vAlign w:val="bottom"/>
          </w:tcPr>
          <w:p w14:paraId="71D3E506" w14:textId="77777777" w:rsidR="006A3667" w:rsidRDefault="006A3667">
            <w:pPr>
              <w:rPr>
                <w:rFonts w:ascii="宋体"/>
                <w:vanish/>
              </w:rPr>
            </w:pPr>
          </w:p>
        </w:tc>
      </w:tr>
      <w:tr w:rsidR="006A3667" w14:paraId="71D3E518" w14:textId="77777777">
        <w:trPr>
          <w:hidden/>
        </w:trPr>
        <w:tc>
          <w:tcPr>
            <w:tcW w:w="0" w:type="auto"/>
            <w:gridSpan w:val="3"/>
            <w:shd w:val="clear" w:color="auto" w:fill="auto"/>
            <w:vAlign w:val="bottom"/>
          </w:tcPr>
          <w:p w14:paraId="71D3E508" w14:textId="77777777" w:rsidR="006A3667" w:rsidRDefault="006A3667">
            <w:pPr>
              <w:rPr>
                <w:rFonts w:ascii="宋体"/>
                <w:vanish/>
              </w:rPr>
            </w:pPr>
          </w:p>
        </w:tc>
        <w:tc>
          <w:tcPr>
            <w:tcW w:w="0" w:type="auto"/>
            <w:gridSpan w:val="3"/>
            <w:shd w:val="clear" w:color="auto" w:fill="auto"/>
            <w:vAlign w:val="bottom"/>
          </w:tcPr>
          <w:p w14:paraId="71D3E509" w14:textId="77777777" w:rsidR="006A3667" w:rsidRDefault="006A3667">
            <w:pPr>
              <w:rPr>
                <w:rFonts w:ascii="宋体"/>
                <w:vanish/>
              </w:rPr>
            </w:pPr>
          </w:p>
        </w:tc>
        <w:tc>
          <w:tcPr>
            <w:tcW w:w="0" w:type="auto"/>
            <w:gridSpan w:val="3"/>
            <w:shd w:val="clear" w:color="auto" w:fill="auto"/>
            <w:vAlign w:val="bottom"/>
          </w:tcPr>
          <w:p w14:paraId="71D3E50A" w14:textId="77777777" w:rsidR="006A3667" w:rsidRDefault="006A3667">
            <w:pPr>
              <w:rPr>
                <w:rFonts w:ascii="宋体"/>
                <w:vanish/>
              </w:rPr>
            </w:pPr>
          </w:p>
        </w:tc>
        <w:tc>
          <w:tcPr>
            <w:tcW w:w="0" w:type="auto"/>
            <w:gridSpan w:val="3"/>
            <w:shd w:val="clear" w:color="auto" w:fill="auto"/>
            <w:vAlign w:val="bottom"/>
          </w:tcPr>
          <w:p w14:paraId="71D3E50B" w14:textId="77777777" w:rsidR="006A3667" w:rsidRDefault="006A3667">
            <w:pPr>
              <w:rPr>
                <w:rFonts w:ascii="宋体"/>
                <w:vanish/>
              </w:rPr>
            </w:pPr>
          </w:p>
        </w:tc>
        <w:tc>
          <w:tcPr>
            <w:tcW w:w="0" w:type="auto"/>
            <w:gridSpan w:val="3"/>
            <w:shd w:val="clear" w:color="auto" w:fill="auto"/>
            <w:vAlign w:val="bottom"/>
          </w:tcPr>
          <w:p w14:paraId="71D3E50C" w14:textId="77777777" w:rsidR="006A3667" w:rsidRDefault="006A3667">
            <w:pPr>
              <w:rPr>
                <w:rFonts w:ascii="宋体"/>
                <w:vanish/>
              </w:rPr>
            </w:pPr>
          </w:p>
        </w:tc>
        <w:tc>
          <w:tcPr>
            <w:tcW w:w="0" w:type="auto"/>
            <w:gridSpan w:val="3"/>
            <w:shd w:val="clear" w:color="auto" w:fill="auto"/>
            <w:vAlign w:val="bottom"/>
          </w:tcPr>
          <w:p w14:paraId="71D3E50D" w14:textId="77777777" w:rsidR="006A3667" w:rsidRDefault="006A3667">
            <w:pPr>
              <w:rPr>
                <w:rFonts w:ascii="宋体"/>
                <w:vanish/>
              </w:rPr>
            </w:pPr>
          </w:p>
        </w:tc>
        <w:tc>
          <w:tcPr>
            <w:tcW w:w="0" w:type="auto"/>
            <w:shd w:val="clear" w:color="auto" w:fill="auto"/>
            <w:vAlign w:val="bottom"/>
          </w:tcPr>
          <w:p w14:paraId="71D3E50E" w14:textId="77777777" w:rsidR="006A3667" w:rsidRDefault="006A3667">
            <w:pPr>
              <w:rPr>
                <w:rFonts w:ascii="宋体"/>
                <w:vanish/>
              </w:rPr>
            </w:pPr>
          </w:p>
        </w:tc>
        <w:tc>
          <w:tcPr>
            <w:tcW w:w="0" w:type="auto"/>
            <w:shd w:val="clear" w:color="auto" w:fill="auto"/>
            <w:vAlign w:val="bottom"/>
          </w:tcPr>
          <w:p w14:paraId="71D3E50F" w14:textId="77777777" w:rsidR="006A3667" w:rsidRDefault="006A3667">
            <w:pPr>
              <w:rPr>
                <w:rFonts w:ascii="宋体"/>
                <w:vanish/>
              </w:rPr>
            </w:pPr>
          </w:p>
        </w:tc>
        <w:tc>
          <w:tcPr>
            <w:tcW w:w="0" w:type="auto"/>
            <w:shd w:val="clear" w:color="auto" w:fill="auto"/>
            <w:vAlign w:val="bottom"/>
          </w:tcPr>
          <w:p w14:paraId="71D3E510" w14:textId="77777777" w:rsidR="006A3667" w:rsidRDefault="006A3667">
            <w:pPr>
              <w:rPr>
                <w:rFonts w:ascii="宋体"/>
                <w:vanish/>
              </w:rPr>
            </w:pPr>
          </w:p>
        </w:tc>
        <w:tc>
          <w:tcPr>
            <w:tcW w:w="0" w:type="auto"/>
            <w:shd w:val="clear" w:color="auto" w:fill="auto"/>
            <w:vAlign w:val="bottom"/>
          </w:tcPr>
          <w:p w14:paraId="71D3E511" w14:textId="77777777" w:rsidR="006A3667" w:rsidRDefault="006A3667">
            <w:pPr>
              <w:rPr>
                <w:rFonts w:ascii="宋体"/>
                <w:vanish/>
              </w:rPr>
            </w:pPr>
          </w:p>
        </w:tc>
        <w:tc>
          <w:tcPr>
            <w:tcW w:w="0" w:type="auto"/>
            <w:shd w:val="clear" w:color="auto" w:fill="auto"/>
            <w:vAlign w:val="bottom"/>
          </w:tcPr>
          <w:p w14:paraId="71D3E512" w14:textId="77777777" w:rsidR="006A3667" w:rsidRDefault="006A3667">
            <w:pPr>
              <w:rPr>
                <w:rFonts w:ascii="宋体"/>
                <w:vanish/>
              </w:rPr>
            </w:pPr>
          </w:p>
        </w:tc>
        <w:tc>
          <w:tcPr>
            <w:tcW w:w="0" w:type="auto"/>
            <w:shd w:val="clear" w:color="auto" w:fill="auto"/>
            <w:vAlign w:val="bottom"/>
          </w:tcPr>
          <w:p w14:paraId="71D3E513" w14:textId="77777777" w:rsidR="006A3667" w:rsidRDefault="006A3667">
            <w:pPr>
              <w:rPr>
                <w:rFonts w:ascii="宋体"/>
                <w:vanish/>
              </w:rPr>
            </w:pPr>
          </w:p>
        </w:tc>
        <w:tc>
          <w:tcPr>
            <w:tcW w:w="0" w:type="auto"/>
            <w:shd w:val="clear" w:color="auto" w:fill="auto"/>
            <w:vAlign w:val="bottom"/>
          </w:tcPr>
          <w:p w14:paraId="71D3E514" w14:textId="77777777" w:rsidR="006A3667" w:rsidRDefault="006A3667">
            <w:pPr>
              <w:rPr>
                <w:rFonts w:ascii="宋体"/>
                <w:vanish/>
              </w:rPr>
            </w:pPr>
          </w:p>
        </w:tc>
        <w:tc>
          <w:tcPr>
            <w:tcW w:w="0" w:type="auto"/>
            <w:shd w:val="clear" w:color="auto" w:fill="auto"/>
            <w:vAlign w:val="bottom"/>
          </w:tcPr>
          <w:p w14:paraId="71D3E515" w14:textId="77777777" w:rsidR="006A3667" w:rsidRDefault="006A3667">
            <w:pPr>
              <w:rPr>
                <w:rFonts w:ascii="宋体"/>
                <w:vanish/>
              </w:rPr>
            </w:pPr>
          </w:p>
        </w:tc>
        <w:tc>
          <w:tcPr>
            <w:tcW w:w="0" w:type="auto"/>
            <w:shd w:val="clear" w:color="auto" w:fill="auto"/>
            <w:vAlign w:val="bottom"/>
          </w:tcPr>
          <w:p w14:paraId="71D3E516" w14:textId="77777777" w:rsidR="006A3667" w:rsidRDefault="006A3667">
            <w:pPr>
              <w:rPr>
                <w:rFonts w:ascii="宋体"/>
                <w:vanish/>
              </w:rPr>
            </w:pPr>
          </w:p>
        </w:tc>
        <w:tc>
          <w:tcPr>
            <w:tcW w:w="0" w:type="auto"/>
            <w:shd w:val="clear" w:color="auto" w:fill="auto"/>
            <w:vAlign w:val="bottom"/>
          </w:tcPr>
          <w:p w14:paraId="71D3E517" w14:textId="77777777" w:rsidR="006A3667" w:rsidRDefault="006A3667">
            <w:pPr>
              <w:rPr>
                <w:rFonts w:ascii="宋体"/>
                <w:vanish/>
              </w:rPr>
            </w:pPr>
          </w:p>
        </w:tc>
      </w:tr>
      <w:tr w:rsidR="006A3667" w14:paraId="71D3E529" w14:textId="77777777">
        <w:tc>
          <w:tcPr>
            <w:tcW w:w="0" w:type="auto"/>
            <w:gridSpan w:val="3"/>
            <w:shd w:val="clear" w:color="auto" w:fill="FFFFFF"/>
            <w:tcMar>
              <w:top w:w="40" w:type="dxa"/>
              <w:left w:w="380" w:type="dxa"/>
              <w:bottom w:w="40" w:type="dxa"/>
              <w:right w:w="20" w:type="dxa"/>
            </w:tcMar>
            <w:vAlign w:val="bottom"/>
          </w:tcPr>
          <w:p w14:paraId="71D3E519" w14:textId="77777777" w:rsidR="006A3667" w:rsidRDefault="00045F32">
            <w:pPr>
              <w:ind w:hanging="360"/>
              <w:textAlignment w:val="bottom"/>
            </w:pPr>
            <w:r>
              <w:rPr>
                <w:rFonts w:ascii="Arial" w:eastAsia="宋体" w:hAnsi="Arial" w:cs="Arial"/>
                <w:color w:val="000000"/>
                <w:sz w:val="13"/>
                <w:szCs w:val="13"/>
              </w:rPr>
              <w:t>Equity</w:t>
            </w:r>
          </w:p>
        </w:tc>
        <w:tc>
          <w:tcPr>
            <w:tcW w:w="0" w:type="auto"/>
            <w:gridSpan w:val="3"/>
            <w:shd w:val="clear" w:color="auto" w:fill="FFFFFF"/>
            <w:tcMar>
              <w:top w:w="40" w:type="dxa"/>
              <w:left w:w="20" w:type="dxa"/>
              <w:bottom w:w="40" w:type="dxa"/>
              <w:right w:w="140" w:type="dxa"/>
            </w:tcMar>
            <w:vAlign w:val="bottom"/>
          </w:tcPr>
          <w:p w14:paraId="71D3E51A" w14:textId="77777777" w:rsidR="006A3667" w:rsidRDefault="00045F32">
            <w:pPr>
              <w:jc w:val="right"/>
              <w:textAlignment w:val="bottom"/>
            </w:pPr>
            <w:r>
              <w:rPr>
                <w:rFonts w:ascii="Arial" w:eastAsia="宋体" w:hAnsi="Arial" w:cs="Arial"/>
                <w:b/>
                <w:bCs/>
                <w:color w:val="000000"/>
                <w:sz w:val="13"/>
                <w:szCs w:val="13"/>
              </w:rPr>
              <w:t>734</w:t>
            </w:r>
          </w:p>
        </w:tc>
        <w:tc>
          <w:tcPr>
            <w:tcW w:w="0" w:type="auto"/>
            <w:gridSpan w:val="3"/>
            <w:shd w:val="clear" w:color="auto" w:fill="FFFFFF"/>
            <w:tcMar>
              <w:top w:w="0" w:type="dxa"/>
              <w:left w:w="20" w:type="dxa"/>
              <w:bottom w:w="0" w:type="dxa"/>
              <w:right w:w="20" w:type="dxa"/>
            </w:tcMar>
            <w:vAlign w:val="bottom"/>
          </w:tcPr>
          <w:p w14:paraId="71D3E51B"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E51C" w14:textId="77777777" w:rsidR="006A3667" w:rsidRDefault="00045F32">
            <w:pPr>
              <w:jc w:val="right"/>
              <w:textAlignment w:val="bottom"/>
            </w:pPr>
            <w:r>
              <w:rPr>
                <w:rFonts w:ascii="Arial" w:eastAsia="宋体" w:hAnsi="Arial" w:cs="Arial"/>
                <w:color w:val="000000"/>
                <w:sz w:val="13"/>
                <w:szCs w:val="13"/>
              </w:rPr>
              <w:t>970</w:t>
            </w:r>
          </w:p>
        </w:tc>
        <w:tc>
          <w:tcPr>
            <w:tcW w:w="0" w:type="auto"/>
            <w:gridSpan w:val="3"/>
            <w:shd w:val="clear" w:color="auto" w:fill="FFFFFF"/>
            <w:tcMar>
              <w:top w:w="0" w:type="dxa"/>
              <w:left w:w="20" w:type="dxa"/>
              <w:bottom w:w="0" w:type="dxa"/>
              <w:right w:w="20" w:type="dxa"/>
            </w:tcMar>
            <w:vAlign w:val="bottom"/>
          </w:tcPr>
          <w:p w14:paraId="71D3E51D"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E51E" w14:textId="77777777" w:rsidR="006A3667" w:rsidRDefault="00045F32">
            <w:pPr>
              <w:jc w:val="right"/>
              <w:textAlignment w:val="bottom"/>
            </w:pPr>
            <w:r>
              <w:rPr>
                <w:rFonts w:ascii="Arial" w:eastAsia="宋体" w:hAnsi="Arial" w:cs="Arial"/>
                <w:color w:val="000000"/>
                <w:sz w:val="13"/>
                <w:szCs w:val="13"/>
              </w:rPr>
              <w:t>849</w:t>
            </w:r>
          </w:p>
        </w:tc>
        <w:tc>
          <w:tcPr>
            <w:tcW w:w="0" w:type="auto"/>
            <w:shd w:val="clear" w:color="auto" w:fill="auto"/>
            <w:vAlign w:val="bottom"/>
          </w:tcPr>
          <w:p w14:paraId="71D3E51F" w14:textId="77777777" w:rsidR="006A3667" w:rsidRDefault="006A3667">
            <w:pPr>
              <w:rPr>
                <w:rFonts w:ascii="宋体"/>
                <w:vanish/>
              </w:rPr>
            </w:pPr>
          </w:p>
        </w:tc>
        <w:tc>
          <w:tcPr>
            <w:tcW w:w="0" w:type="auto"/>
            <w:shd w:val="clear" w:color="auto" w:fill="auto"/>
            <w:vAlign w:val="bottom"/>
          </w:tcPr>
          <w:p w14:paraId="71D3E520" w14:textId="77777777" w:rsidR="006A3667" w:rsidRDefault="006A3667">
            <w:pPr>
              <w:rPr>
                <w:rFonts w:ascii="宋体"/>
                <w:vanish/>
              </w:rPr>
            </w:pPr>
          </w:p>
        </w:tc>
        <w:tc>
          <w:tcPr>
            <w:tcW w:w="0" w:type="auto"/>
            <w:shd w:val="clear" w:color="auto" w:fill="auto"/>
            <w:vAlign w:val="bottom"/>
          </w:tcPr>
          <w:p w14:paraId="71D3E521" w14:textId="77777777" w:rsidR="006A3667" w:rsidRDefault="006A3667">
            <w:pPr>
              <w:rPr>
                <w:rFonts w:ascii="宋体"/>
                <w:vanish/>
              </w:rPr>
            </w:pPr>
          </w:p>
        </w:tc>
        <w:tc>
          <w:tcPr>
            <w:tcW w:w="0" w:type="auto"/>
            <w:shd w:val="clear" w:color="auto" w:fill="auto"/>
            <w:vAlign w:val="bottom"/>
          </w:tcPr>
          <w:p w14:paraId="71D3E522" w14:textId="77777777" w:rsidR="006A3667" w:rsidRDefault="006A3667">
            <w:pPr>
              <w:rPr>
                <w:rFonts w:ascii="宋体"/>
                <w:vanish/>
              </w:rPr>
            </w:pPr>
          </w:p>
        </w:tc>
        <w:tc>
          <w:tcPr>
            <w:tcW w:w="0" w:type="auto"/>
            <w:shd w:val="clear" w:color="auto" w:fill="auto"/>
            <w:vAlign w:val="bottom"/>
          </w:tcPr>
          <w:p w14:paraId="71D3E523" w14:textId="77777777" w:rsidR="006A3667" w:rsidRDefault="006A3667">
            <w:pPr>
              <w:rPr>
                <w:rFonts w:ascii="宋体"/>
                <w:vanish/>
              </w:rPr>
            </w:pPr>
          </w:p>
        </w:tc>
        <w:tc>
          <w:tcPr>
            <w:tcW w:w="0" w:type="auto"/>
            <w:shd w:val="clear" w:color="auto" w:fill="auto"/>
            <w:vAlign w:val="bottom"/>
          </w:tcPr>
          <w:p w14:paraId="71D3E524" w14:textId="77777777" w:rsidR="006A3667" w:rsidRDefault="006A3667">
            <w:pPr>
              <w:rPr>
                <w:rFonts w:ascii="宋体"/>
                <w:vanish/>
              </w:rPr>
            </w:pPr>
          </w:p>
        </w:tc>
        <w:tc>
          <w:tcPr>
            <w:tcW w:w="0" w:type="auto"/>
            <w:shd w:val="clear" w:color="auto" w:fill="auto"/>
            <w:vAlign w:val="bottom"/>
          </w:tcPr>
          <w:p w14:paraId="71D3E525" w14:textId="77777777" w:rsidR="006A3667" w:rsidRDefault="006A3667">
            <w:pPr>
              <w:rPr>
                <w:rFonts w:ascii="宋体"/>
                <w:vanish/>
              </w:rPr>
            </w:pPr>
          </w:p>
        </w:tc>
        <w:tc>
          <w:tcPr>
            <w:tcW w:w="0" w:type="auto"/>
            <w:shd w:val="clear" w:color="auto" w:fill="auto"/>
            <w:vAlign w:val="bottom"/>
          </w:tcPr>
          <w:p w14:paraId="71D3E526" w14:textId="77777777" w:rsidR="006A3667" w:rsidRDefault="006A3667">
            <w:pPr>
              <w:rPr>
                <w:rFonts w:ascii="宋体"/>
                <w:vanish/>
              </w:rPr>
            </w:pPr>
          </w:p>
        </w:tc>
        <w:tc>
          <w:tcPr>
            <w:tcW w:w="0" w:type="auto"/>
            <w:shd w:val="clear" w:color="auto" w:fill="auto"/>
            <w:vAlign w:val="bottom"/>
          </w:tcPr>
          <w:p w14:paraId="71D3E527" w14:textId="77777777" w:rsidR="006A3667" w:rsidRDefault="006A3667">
            <w:pPr>
              <w:rPr>
                <w:rFonts w:ascii="宋体"/>
                <w:vanish/>
              </w:rPr>
            </w:pPr>
          </w:p>
        </w:tc>
        <w:tc>
          <w:tcPr>
            <w:tcW w:w="0" w:type="auto"/>
            <w:shd w:val="clear" w:color="auto" w:fill="auto"/>
            <w:vAlign w:val="bottom"/>
          </w:tcPr>
          <w:p w14:paraId="71D3E528" w14:textId="77777777" w:rsidR="006A3667" w:rsidRDefault="006A3667">
            <w:pPr>
              <w:rPr>
                <w:rFonts w:ascii="宋体"/>
                <w:vanish/>
              </w:rPr>
            </w:pPr>
          </w:p>
        </w:tc>
      </w:tr>
      <w:tr w:rsidR="006A3667" w14:paraId="71D3E53A" w14:textId="77777777">
        <w:tc>
          <w:tcPr>
            <w:tcW w:w="0" w:type="auto"/>
            <w:gridSpan w:val="3"/>
            <w:shd w:val="clear" w:color="auto" w:fill="CCEEFF"/>
            <w:tcMar>
              <w:top w:w="40" w:type="dxa"/>
              <w:left w:w="380" w:type="dxa"/>
              <w:bottom w:w="40" w:type="dxa"/>
              <w:right w:w="20" w:type="dxa"/>
            </w:tcMar>
            <w:vAlign w:val="bottom"/>
          </w:tcPr>
          <w:p w14:paraId="71D3E52A" w14:textId="77777777" w:rsidR="006A3667" w:rsidRDefault="00045F32">
            <w:pPr>
              <w:ind w:hanging="360"/>
              <w:textAlignment w:val="bottom"/>
            </w:pPr>
            <w:r>
              <w:rPr>
                <w:rFonts w:ascii="Arial" w:eastAsia="宋体" w:hAnsi="Arial" w:cs="Arial"/>
                <w:color w:val="000000"/>
                <w:sz w:val="13"/>
                <w:szCs w:val="13"/>
              </w:rPr>
              <w:t>Multi Asset</w:t>
            </w:r>
          </w:p>
        </w:tc>
        <w:tc>
          <w:tcPr>
            <w:tcW w:w="0" w:type="auto"/>
            <w:gridSpan w:val="3"/>
            <w:shd w:val="clear" w:color="auto" w:fill="CCEEFF"/>
            <w:tcMar>
              <w:top w:w="40" w:type="dxa"/>
              <w:left w:w="20" w:type="dxa"/>
              <w:bottom w:w="40" w:type="dxa"/>
              <w:right w:w="140" w:type="dxa"/>
            </w:tcMar>
            <w:vAlign w:val="bottom"/>
          </w:tcPr>
          <w:p w14:paraId="71D3E52B" w14:textId="77777777" w:rsidR="006A3667" w:rsidRDefault="00045F32">
            <w:pPr>
              <w:jc w:val="right"/>
              <w:textAlignment w:val="bottom"/>
            </w:pPr>
            <w:r>
              <w:rPr>
                <w:rFonts w:ascii="Arial" w:eastAsia="宋体" w:hAnsi="Arial" w:cs="Arial"/>
                <w:b/>
                <w:bCs/>
                <w:color w:val="000000"/>
                <w:sz w:val="13"/>
                <w:szCs w:val="13"/>
              </w:rPr>
              <w:t>1</w:t>
            </w:r>
          </w:p>
        </w:tc>
        <w:tc>
          <w:tcPr>
            <w:tcW w:w="0" w:type="auto"/>
            <w:gridSpan w:val="3"/>
            <w:shd w:val="clear" w:color="auto" w:fill="CCEEFF"/>
            <w:tcMar>
              <w:top w:w="0" w:type="dxa"/>
              <w:left w:w="20" w:type="dxa"/>
              <w:bottom w:w="0" w:type="dxa"/>
              <w:right w:w="20" w:type="dxa"/>
            </w:tcMar>
            <w:vAlign w:val="bottom"/>
          </w:tcPr>
          <w:p w14:paraId="71D3E52C"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E52D" w14:textId="77777777" w:rsidR="006A3667" w:rsidRDefault="00045F32">
            <w:pPr>
              <w:jc w:val="right"/>
              <w:textAlignment w:val="bottom"/>
            </w:pPr>
            <w:r>
              <w:rPr>
                <w:rFonts w:ascii="Arial" w:eastAsia="宋体" w:hAnsi="Arial" w:cs="Arial"/>
                <w:color w:val="000000"/>
                <w:sz w:val="13"/>
                <w:szCs w:val="13"/>
              </w:rPr>
              <w:t>1</w:t>
            </w:r>
          </w:p>
        </w:tc>
        <w:tc>
          <w:tcPr>
            <w:tcW w:w="0" w:type="auto"/>
            <w:gridSpan w:val="3"/>
            <w:shd w:val="clear" w:color="auto" w:fill="CCEEFF"/>
            <w:tcMar>
              <w:top w:w="0" w:type="dxa"/>
              <w:left w:w="20" w:type="dxa"/>
              <w:bottom w:w="0" w:type="dxa"/>
              <w:right w:w="20" w:type="dxa"/>
            </w:tcMar>
            <w:vAlign w:val="bottom"/>
          </w:tcPr>
          <w:p w14:paraId="71D3E52E"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3E52F" w14:textId="77777777" w:rsidR="006A3667" w:rsidRDefault="00045F32">
            <w:pPr>
              <w:jc w:val="right"/>
              <w:textAlignment w:val="bottom"/>
            </w:pPr>
            <w:r>
              <w:rPr>
                <w:rFonts w:ascii="Arial" w:eastAsia="宋体" w:hAnsi="Arial" w:cs="Arial"/>
                <w:color w:val="000000"/>
                <w:sz w:val="13"/>
                <w:szCs w:val="13"/>
              </w:rPr>
              <w:t>1</w:t>
            </w:r>
          </w:p>
        </w:tc>
        <w:tc>
          <w:tcPr>
            <w:tcW w:w="0" w:type="auto"/>
            <w:shd w:val="clear" w:color="auto" w:fill="auto"/>
            <w:vAlign w:val="bottom"/>
          </w:tcPr>
          <w:p w14:paraId="71D3E530" w14:textId="77777777" w:rsidR="006A3667" w:rsidRDefault="006A3667">
            <w:pPr>
              <w:rPr>
                <w:rFonts w:ascii="宋体"/>
                <w:vanish/>
              </w:rPr>
            </w:pPr>
          </w:p>
        </w:tc>
        <w:tc>
          <w:tcPr>
            <w:tcW w:w="0" w:type="auto"/>
            <w:shd w:val="clear" w:color="auto" w:fill="auto"/>
            <w:vAlign w:val="bottom"/>
          </w:tcPr>
          <w:p w14:paraId="71D3E531" w14:textId="77777777" w:rsidR="006A3667" w:rsidRDefault="006A3667">
            <w:pPr>
              <w:rPr>
                <w:rFonts w:ascii="宋体"/>
                <w:vanish/>
              </w:rPr>
            </w:pPr>
          </w:p>
        </w:tc>
        <w:tc>
          <w:tcPr>
            <w:tcW w:w="0" w:type="auto"/>
            <w:shd w:val="clear" w:color="auto" w:fill="auto"/>
            <w:vAlign w:val="bottom"/>
          </w:tcPr>
          <w:p w14:paraId="71D3E532" w14:textId="77777777" w:rsidR="006A3667" w:rsidRDefault="006A3667">
            <w:pPr>
              <w:rPr>
                <w:rFonts w:ascii="宋体"/>
                <w:vanish/>
              </w:rPr>
            </w:pPr>
          </w:p>
        </w:tc>
        <w:tc>
          <w:tcPr>
            <w:tcW w:w="0" w:type="auto"/>
            <w:shd w:val="clear" w:color="auto" w:fill="auto"/>
            <w:vAlign w:val="bottom"/>
          </w:tcPr>
          <w:p w14:paraId="71D3E533" w14:textId="77777777" w:rsidR="006A3667" w:rsidRDefault="006A3667">
            <w:pPr>
              <w:rPr>
                <w:rFonts w:ascii="宋体"/>
                <w:vanish/>
              </w:rPr>
            </w:pPr>
          </w:p>
        </w:tc>
        <w:tc>
          <w:tcPr>
            <w:tcW w:w="0" w:type="auto"/>
            <w:shd w:val="clear" w:color="auto" w:fill="auto"/>
            <w:vAlign w:val="bottom"/>
          </w:tcPr>
          <w:p w14:paraId="71D3E534" w14:textId="77777777" w:rsidR="006A3667" w:rsidRDefault="006A3667">
            <w:pPr>
              <w:rPr>
                <w:rFonts w:ascii="宋体"/>
                <w:vanish/>
              </w:rPr>
            </w:pPr>
          </w:p>
        </w:tc>
        <w:tc>
          <w:tcPr>
            <w:tcW w:w="0" w:type="auto"/>
            <w:shd w:val="clear" w:color="auto" w:fill="auto"/>
            <w:vAlign w:val="bottom"/>
          </w:tcPr>
          <w:p w14:paraId="71D3E535" w14:textId="77777777" w:rsidR="006A3667" w:rsidRDefault="006A3667">
            <w:pPr>
              <w:rPr>
                <w:rFonts w:ascii="宋体"/>
                <w:vanish/>
              </w:rPr>
            </w:pPr>
          </w:p>
        </w:tc>
        <w:tc>
          <w:tcPr>
            <w:tcW w:w="0" w:type="auto"/>
            <w:shd w:val="clear" w:color="auto" w:fill="auto"/>
            <w:vAlign w:val="bottom"/>
          </w:tcPr>
          <w:p w14:paraId="71D3E536" w14:textId="77777777" w:rsidR="006A3667" w:rsidRDefault="006A3667">
            <w:pPr>
              <w:rPr>
                <w:rFonts w:ascii="宋体"/>
                <w:vanish/>
              </w:rPr>
            </w:pPr>
          </w:p>
        </w:tc>
        <w:tc>
          <w:tcPr>
            <w:tcW w:w="0" w:type="auto"/>
            <w:shd w:val="clear" w:color="auto" w:fill="auto"/>
            <w:vAlign w:val="bottom"/>
          </w:tcPr>
          <w:p w14:paraId="71D3E537" w14:textId="77777777" w:rsidR="006A3667" w:rsidRDefault="006A3667">
            <w:pPr>
              <w:rPr>
                <w:rFonts w:ascii="宋体"/>
                <w:vanish/>
              </w:rPr>
            </w:pPr>
          </w:p>
        </w:tc>
        <w:tc>
          <w:tcPr>
            <w:tcW w:w="0" w:type="auto"/>
            <w:shd w:val="clear" w:color="auto" w:fill="auto"/>
            <w:vAlign w:val="bottom"/>
          </w:tcPr>
          <w:p w14:paraId="71D3E538" w14:textId="77777777" w:rsidR="006A3667" w:rsidRDefault="006A3667">
            <w:pPr>
              <w:rPr>
                <w:rFonts w:ascii="宋体"/>
                <w:vanish/>
              </w:rPr>
            </w:pPr>
          </w:p>
        </w:tc>
        <w:tc>
          <w:tcPr>
            <w:tcW w:w="0" w:type="auto"/>
            <w:shd w:val="clear" w:color="auto" w:fill="auto"/>
            <w:vAlign w:val="bottom"/>
          </w:tcPr>
          <w:p w14:paraId="71D3E539" w14:textId="77777777" w:rsidR="006A3667" w:rsidRDefault="006A3667">
            <w:pPr>
              <w:rPr>
                <w:rFonts w:ascii="宋体"/>
                <w:vanish/>
              </w:rPr>
            </w:pPr>
          </w:p>
        </w:tc>
      </w:tr>
      <w:tr w:rsidR="006A3667" w14:paraId="71D3E54B" w14:textId="77777777">
        <w:tc>
          <w:tcPr>
            <w:tcW w:w="0" w:type="auto"/>
            <w:gridSpan w:val="3"/>
            <w:shd w:val="clear" w:color="auto" w:fill="FFFFFF"/>
            <w:tcMar>
              <w:top w:w="40" w:type="dxa"/>
              <w:left w:w="380" w:type="dxa"/>
              <w:bottom w:w="40" w:type="dxa"/>
              <w:right w:w="20" w:type="dxa"/>
            </w:tcMar>
            <w:vAlign w:val="bottom"/>
          </w:tcPr>
          <w:p w14:paraId="71D3E53B" w14:textId="77777777" w:rsidR="006A3667" w:rsidRDefault="00045F32">
            <w:pPr>
              <w:ind w:hanging="360"/>
              <w:textAlignment w:val="bottom"/>
            </w:pPr>
            <w:r>
              <w:rPr>
                <w:rFonts w:ascii="Arial" w:eastAsia="宋体" w:hAnsi="Arial" w:cs="Arial"/>
                <w:color w:val="000000"/>
                <w:sz w:val="13"/>
                <w:szCs w:val="13"/>
              </w:rPr>
              <w:t>Fixed-Income</w:t>
            </w:r>
          </w:p>
        </w:tc>
        <w:tc>
          <w:tcPr>
            <w:tcW w:w="0" w:type="auto"/>
            <w:gridSpan w:val="3"/>
            <w:shd w:val="clear" w:color="auto" w:fill="FFFFFF"/>
            <w:tcMar>
              <w:top w:w="40" w:type="dxa"/>
              <w:left w:w="20" w:type="dxa"/>
              <w:bottom w:w="40" w:type="dxa"/>
              <w:right w:w="140" w:type="dxa"/>
            </w:tcMar>
            <w:vAlign w:val="bottom"/>
          </w:tcPr>
          <w:p w14:paraId="71D3E53C" w14:textId="77777777" w:rsidR="006A3667" w:rsidRDefault="00045F32">
            <w:pPr>
              <w:jc w:val="right"/>
              <w:textAlignment w:val="bottom"/>
            </w:pPr>
            <w:r>
              <w:rPr>
                <w:rFonts w:ascii="Arial" w:eastAsia="宋体" w:hAnsi="Arial" w:cs="Arial"/>
                <w:b/>
                <w:bCs/>
                <w:color w:val="000000"/>
                <w:sz w:val="13"/>
                <w:szCs w:val="13"/>
              </w:rPr>
              <w:t>121</w:t>
            </w:r>
          </w:p>
        </w:tc>
        <w:tc>
          <w:tcPr>
            <w:tcW w:w="0" w:type="auto"/>
            <w:gridSpan w:val="3"/>
            <w:shd w:val="clear" w:color="auto" w:fill="FFFFFF"/>
            <w:tcMar>
              <w:top w:w="0" w:type="dxa"/>
              <w:left w:w="20" w:type="dxa"/>
              <w:bottom w:w="0" w:type="dxa"/>
              <w:right w:w="20" w:type="dxa"/>
            </w:tcMar>
            <w:vAlign w:val="bottom"/>
          </w:tcPr>
          <w:p w14:paraId="71D3E53D"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E53E" w14:textId="77777777" w:rsidR="006A3667" w:rsidRDefault="00045F32">
            <w:pPr>
              <w:jc w:val="right"/>
              <w:textAlignment w:val="bottom"/>
            </w:pPr>
            <w:r>
              <w:rPr>
                <w:rFonts w:ascii="Arial" w:eastAsia="宋体" w:hAnsi="Arial" w:cs="Arial"/>
                <w:color w:val="000000"/>
                <w:sz w:val="13"/>
                <w:szCs w:val="13"/>
              </w:rPr>
              <w:t>135</w:t>
            </w:r>
          </w:p>
        </w:tc>
        <w:tc>
          <w:tcPr>
            <w:tcW w:w="0" w:type="auto"/>
            <w:gridSpan w:val="3"/>
            <w:shd w:val="clear" w:color="auto" w:fill="FFFFFF"/>
            <w:tcMar>
              <w:top w:w="0" w:type="dxa"/>
              <w:left w:w="20" w:type="dxa"/>
              <w:bottom w:w="0" w:type="dxa"/>
              <w:right w:w="20" w:type="dxa"/>
            </w:tcMar>
            <w:vAlign w:val="bottom"/>
          </w:tcPr>
          <w:p w14:paraId="71D3E53F" w14:textId="77777777" w:rsidR="006A3667" w:rsidRDefault="006A3667">
            <w:pPr>
              <w:rPr>
                <w:rFonts w:ascii="宋体"/>
              </w:rPr>
            </w:pPr>
          </w:p>
        </w:tc>
        <w:tc>
          <w:tcPr>
            <w:tcW w:w="0" w:type="auto"/>
            <w:gridSpan w:val="3"/>
            <w:shd w:val="clear" w:color="auto" w:fill="FFFFFF"/>
            <w:tcMar>
              <w:top w:w="40" w:type="dxa"/>
              <w:left w:w="20" w:type="dxa"/>
              <w:bottom w:w="40" w:type="dxa"/>
              <w:right w:w="140" w:type="dxa"/>
            </w:tcMar>
            <w:vAlign w:val="bottom"/>
          </w:tcPr>
          <w:p w14:paraId="71D3E540" w14:textId="77777777" w:rsidR="006A3667" w:rsidRDefault="00045F32">
            <w:pPr>
              <w:jc w:val="right"/>
              <w:textAlignment w:val="bottom"/>
            </w:pPr>
            <w:r>
              <w:rPr>
                <w:rFonts w:ascii="Arial" w:eastAsia="宋体" w:hAnsi="Arial" w:cs="Arial"/>
                <w:color w:val="000000"/>
                <w:sz w:val="13"/>
                <w:szCs w:val="13"/>
              </w:rPr>
              <w:t>131</w:t>
            </w:r>
          </w:p>
        </w:tc>
        <w:tc>
          <w:tcPr>
            <w:tcW w:w="0" w:type="auto"/>
            <w:shd w:val="clear" w:color="auto" w:fill="auto"/>
            <w:vAlign w:val="bottom"/>
          </w:tcPr>
          <w:p w14:paraId="71D3E541" w14:textId="77777777" w:rsidR="006A3667" w:rsidRDefault="006A3667">
            <w:pPr>
              <w:rPr>
                <w:rFonts w:ascii="宋体"/>
                <w:vanish/>
              </w:rPr>
            </w:pPr>
          </w:p>
        </w:tc>
        <w:tc>
          <w:tcPr>
            <w:tcW w:w="0" w:type="auto"/>
            <w:shd w:val="clear" w:color="auto" w:fill="auto"/>
            <w:vAlign w:val="bottom"/>
          </w:tcPr>
          <w:p w14:paraId="71D3E542" w14:textId="77777777" w:rsidR="006A3667" w:rsidRDefault="006A3667">
            <w:pPr>
              <w:rPr>
                <w:rFonts w:ascii="宋体"/>
                <w:vanish/>
              </w:rPr>
            </w:pPr>
          </w:p>
        </w:tc>
        <w:tc>
          <w:tcPr>
            <w:tcW w:w="0" w:type="auto"/>
            <w:shd w:val="clear" w:color="auto" w:fill="auto"/>
            <w:vAlign w:val="bottom"/>
          </w:tcPr>
          <w:p w14:paraId="71D3E543" w14:textId="77777777" w:rsidR="006A3667" w:rsidRDefault="006A3667">
            <w:pPr>
              <w:rPr>
                <w:rFonts w:ascii="宋体"/>
                <w:vanish/>
              </w:rPr>
            </w:pPr>
          </w:p>
        </w:tc>
        <w:tc>
          <w:tcPr>
            <w:tcW w:w="0" w:type="auto"/>
            <w:shd w:val="clear" w:color="auto" w:fill="auto"/>
            <w:vAlign w:val="bottom"/>
          </w:tcPr>
          <w:p w14:paraId="71D3E544" w14:textId="77777777" w:rsidR="006A3667" w:rsidRDefault="006A3667">
            <w:pPr>
              <w:rPr>
                <w:rFonts w:ascii="宋体"/>
                <w:vanish/>
              </w:rPr>
            </w:pPr>
          </w:p>
        </w:tc>
        <w:tc>
          <w:tcPr>
            <w:tcW w:w="0" w:type="auto"/>
            <w:shd w:val="clear" w:color="auto" w:fill="auto"/>
            <w:vAlign w:val="bottom"/>
          </w:tcPr>
          <w:p w14:paraId="71D3E545" w14:textId="77777777" w:rsidR="006A3667" w:rsidRDefault="006A3667">
            <w:pPr>
              <w:rPr>
                <w:rFonts w:ascii="宋体"/>
                <w:vanish/>
              </w:rPr>
            </w:pPr>
          </w:p>
        </w:tc>
        <w:tc>
          <w:tcPr>
            <w:tcW w:w="0" w:type="auto"/>
            <w:shd w:val="clear" w:color="auto" w:fill="auto"/>
            <w:vAlign w:val="bottom"/>
          </w:tcPr>
          <w:p w14:paraId="71D3E546" w14:textId="77777777" w:rsidR="006A3667" w:rsidRDefault="006A3667">
            <w:pPr>
              <w:rPr>
                <w:rFonts w:ascii="宋体"/>
                <w:vanish/>
              </w:rPr>
            </w:pPr>
          </w:p>
        </w:tc>
        <w:tc>
          <w:tcPr>
            <w:tcW w:w="0" w:type="auto"/>
            <w:shd w:val="clear" w:color="auto" w:fill="auto"/>
            <w:vAlign w:val="bottom"/>
          </w:tcPr>
          <w:p w14:paraId="71D3E547" w14:textId="77777777" w:rsidR="006A3667" w:rsidRDefault="006A3667">
            <w:pPr>
              <w:rPr>
                <w:rFonts w:ascii="宋体"/>
                <w:vanish/>
              </w:rPr>
            </w:pPr>
          </w:p>
        </w:tc>
        <w:tc>
          <w:tcPr>
            <w:tcW w:w="0" w:type="auto"/>
            <w:shd w:val="clear" w:color="auto" w:fill="auto"/>
            <w:vAlign w:val="bottom"/>
          </w:tcPr>
          <w:p w14:paraId="71D3E548" w14:textId="77777777" w:rsidR="006A3667" w:rsidRDefault="006A3667">
            <w:pPr>
              <w:rPr>
                <w:rFonts w:ascii="宋体"/>
                <w:vanish/>
              </w:rPr>
            </w:pPr>
          </w:p>
        </w:tc>
        <w:tc>
          <w:tcPr>
            <w:tcW w:w="0" w:type="auto"/>
            <w:shd w:val="clear" w:color="auto" w:fill="auto"/>
            <w:vAlign w:val="bottom"/>
          </w:tcPr>
          <w:p w14:paraId="71D3E549" w14:textId="77777777" w:rsidR="006A3667" w:rsidRDefault="006A3667">
            <w:pPr>
              <w:rPr>
                <w:rFonts w:ascii="宋体"/>
                <w:vanish/>
              </w:rPr>
            </w:pPr>
          </w:p>
        </w:tc>
        <w:tc>
          <w:tcPr>
            <w:tcW w:w="0" w:type="auto"/>
            <w:shd w:val="clear" w:color="auto" w:fill="auto"/>
            <w:vAlign w:val="bottom"/>
          </w:tcPr>
          <w:p w14:paraId="71D3E54A" w14:textId="77777777" w:rsidR="006A3667" w:rsidRDefault="006A3667">
            <w:pPr>
              <w:rPr>
                <w:rFonts w:ascii="宋体"/>
                <w:vanish/>
              </w:rPr>
            </w:pPr>
          </w:p>
        </w:tc>
      </w:tr>
      <w:tr w:rsidR="006A3667" w14:paraId="71D3E55F" w14:textId="77777777">
        <w:tc>
          <w:tcPr>
            <w:tcW w:w="0" w:type="auto"/>
            <w:gridSpan w:val="3"/>
            <w:shd w:val="clear" w:color="auto" w:fill="CCEEFF"/>
            <w:tcMar>
              <w:top w:w="40" w:type="dxa"/>
              <w:left w:w="380" w:type="dxa"/>
              <w:bottom w:w="40" w:type="dxa"/>
              <w:right w:w="20" w:type="dxa"/>
            </w:tcMar>
            <w:vAlign w:val="bottom"/>
          </w:tcPr>
          <w:p w14:paraId="71D3E54C" w14:textId="77777777" w:rsidR="006A3667" w:rsidRDefault="00045F32">
            <w:pPr>
              <w:ind w:hanging="360"/>
              <w:textAlignment w:val="bottom"/>
            </w:pPr>
            <w:r>
              <w:rPr>
                <w:rFonts w:ascii="Arial" w:eastAsia="宋体" w:hAnsi="Arial" w:cs="Arial"/>
                <w:b/>
                <w:bCs/>
                <w:color w:val="000000"/>
                <w:sz w:val="13"/>
                <w:szCs w:val="13"/>
              </w:rPr>
              <w:t>Total Exchange-Traded Funds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54D" w14:textId="77777777" w:rsidR="006A3667" w:rsidRDefault="00045F32">
            <w:pPr>
              <w:textAlignment w:val="bottom"/>
            </w:pPr>
            <w:r>
              <w:rPr>
                <w:rFonts w:ascii="Arial" w:eastAsia="宋体" w:hAnsi="Arial" w:cs="Arial"/>
                <w:b/>
                <w:bCs/>
                <w:color w:val="000000"/>
                <w:sz w:val="13"/>
                <w:szCs w:val="13"/>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71D3E54E" w14:textId="77777777" w:rsidR="006A3667" w:rsidRDefault="00045F32">
            <w:pPr>
              <w:jc w:val="right"/>
              <w:textAlignment w:val="bottom"/>
            </w:pPr>
            <w:r>
              <w:rPr>
                <w:rFonts w:ascii="Arial" w:eastAsia="宋体" w:hAnsi="Arial" w:cs="Arial"/>
                <w:b/>
                <w:bCs/>
                <w:color w:val="000000"/>
                <w:sz w:val="13"/>
                <w:szCs w:val="13"/>
              </w:rPr>
              <w:t>919</w:t>
            </w:r>
          </w:p>
        </w:tc>
        <w:tc>
          <w:tcPr>
            <w:tcW w:w="0" w:type="auto"/>
            <w:gridSpan w:val="3"/>
            <w:shd w:val="clear" w:color="auto" w:fill="CCEEFF"/>
            <w:tcMar>
              <w:top w:w="0" w:type="dxa"/>
              <w:left w:w="20" w:type="dxa"/>
              <w:bottom w:w="0" w:type="dxa"/>
              <w:right w:w="20" w:type="dxa"/>
            </w:tcMar>
            <w:vAlign w:val="bottom"/>
          </w:tcPr>
          <w:p w14:paraId="71D3E54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550" w14:textId="77777777" w:rsidR="006A3667" w:rsidRDefault="00045F32">
            <w:pPr>
              <w:textAlignment w:val="bottom"/>
            </w:pPr>
            <w:r>
              <w:rPr>
                <w:rFonts w:ascii="Arial" w:eastAsia="宋体" w:hAnsi="Arial" w:cs="Arial"/>
                <w:color w:val="000000"/>
                <w:sz w:val="13"/>
                <w:szCs w:val="13"/>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71D3E551" w14:textId="77777777" w:rsidR="006A3667" w:rsidRDefault="00045F32">
            <w:pPr>
              <w:jc w:val="right"/>
              <w:textAlignment w:val="bottom"/>
            </w:pPr>
            <w:r>
              <w:rPr>
                <w:rFonts w:ascii="Arial" w:eastAsia="宋体" w:hAnsi="Arial" w:cs="Arial"/>
                <w:color w:val="000000"/>
                <w:sz w:val="13"/>
                <w:szCs w:val="13"/>
              </w:rPr>
              <w:t>1,178</w:t>
            </w:r>
          </w:p>
        </w:tc>
        <w:tc>
          <w:tcPr>
            <w:tcW w:w="0" w:type="auto"/>
            <w:gridSpan w:val="3"/>
            <w:shd w:val="clear" w:color="auto" w:fill="CCEEFF"/>
            <w:tcMar>
              <w:top w:w="0" w:type="dxa"/>
              <w:left w:w="20" w:type="dxa"/>
              <w:bottom w:w="0" w:type="dxa"/>
              <w:right w:w="20" w:type="dxa"/>
            </w:tcMar>
            <w:vAlign w:val="bottom"/>
          </w:tcPr>
          <w:p w14:paraId="71D3E552"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3E553" w14:textId="77777777" w:rsidR="006A3667" w:rsidRDefault="00045F32">
            <w:pPr>
              <w:textAlignment w:val="bottom"/>
            </w:pPr>
            <w:r>
              <w:rPr>
                <w:rFonts w:ascii="Arial" w:eastAsia="宋体" w:hAnsi="Arial" w:cs="Arial"/>
                <w:color w:val="000000"/>
                <w:sz w:val="13"/>
                <w:szCs w:val="13"/>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71D3E554" w14:textId="77777777" w:rsidR="006A3667" w:rsidRDefault="00045F32">
            <w:pPr>
              <w:jc w:val="right"/>
              <w:textAlignment w:val="bottom"/>
            </w:pPr>
            <w:r>
              <w:rPr>
                <w:rFonts w:ascii="Arial" w:eastAsia="宋体" w:hAnsi="Arial" w:cs="Arial"/>
                <w:color w:val="000000"/>
                <w:sz w:val="13"/>
                <w:szCs w:val="13"/>
              </w:rPr>
              <w:t>1,050</w:t>
            </w:r>
          </w:p>
        </w:tc>
        <w:tc>
          <w:tcPr>
            <w:tcW w:w="0" w:type="auto"/>
            <w:shd w:val="clear" w:color="auto" w:fill="auto"/>
            <w:vAlign w:val="bottom"/>
          </w:tcPr>
          <w:p w14:paraId="71D3E555" w14:textId="77777777" w:rsidR="006A3667" w:rsidRDefault="006A3667">
            <w:pPr>
              <w:rPr>
                <w:rFonts w:ascii="宋体"/>
                <w:vanish/>
              </w:rPr>
            </w:pPr>
          </w:p>
        </w:tc>
        <w:tc>
          <w:tcPr>
            <w:tcW w:w="0" w:type="auto"/>
            <w:shd w:val="clear" w:color="auto" w:fill="auto"/>
            <w:vAlign w:val="bottom"/>
          </w:tcPr>
          <w:p w14:paraId="71D3E556" w14:textId="77777777" w:rsidR="006A3667" w:rsidRDefault="006A3667">
            <w:pPr>
              <w:rPr>
                <w:rFonts w:ascii="宋体"/>
                <w:vanish/>
              </w:rPr>
            </w:pPr>
          </w:p>
        </w:tc>
        <w:tc>
          <w:tcPr>
            <w:tcW w:w="0" w:type="auto"/>
            <w:shd w:val="clear" w:color="auto" w:fill="auto"/>
            <w:vAlign w:val="bottom"/>
          </w:tcPr>
          <w:p w14:paraId="71D3E557" w14:textId="77777777" w:rsidR="006A3667" w:rsidRDefault="006A3667">
            <w:pPr>
              <w:rPr>
                <w:rFonts w:ascii="宋体"/>
                <w:vanish/>
              </w:rPr>
            </w:pPr>
          </w:p>
        </w:tc>
        <w:tc>
          <w:tcPr>
            <w:tcW w:w="0" w:type="auto"/>
            <w:shd w:val="clear" w:color="auto" w:fill="auto"/>
            <w:vAlign w:val="bottom"/>
          </w:tcPr>
          <w:p w14:paraId="71D3E558" w14:textId="77777777" w:rsidR="006A3667" w:rsidRDefault="006A3667">
            <w:pPr>
              <w:rPr>
                <w:rFonts w:ascii="宋体"/>
                <w:vanish/>
              </w:rPr>
            </w:pPr>
          </w:p>
        </w:tc>
        <w:tc>
          <w:tcPr>
            <w:tcW w:w="0" w:type="auto"/>
            <w:shd w:val="clear" w:color="auto" w:fill="auto"/>
            <w:vAlign w:val="bottom"/>
          </w:tcPr>
          <w:p w14:paraId="71D3E559" w14:textId="77777777" w:rsidR="006A3667" w:rsidRDefault="006A3667">
            <w:pPr>
              <w:rPr>
                <w:rFonts w:ascii="宋体"/>
                <w:vanish/>
              </w:rPr>
            </w:pPr>
          </w:p>
        </w:tc>
        <w:tc>
          <w:tcPr>
            <w:tcW w:w="0" w:type="auto"/>
            <w:shd w:val="clear" w:color="auto" w:fill="auto"/>
            <w:vAlign w:val="bottom"/>
          </w:tcPr>
          <w:p w14:paraId="71D3E55A" w14:textId="77777777" w:rsidR="006A3667" w:rsidRDefault="006A3667">
            <w:pPr>
              <w:rPr>
                <w:rFonts w:ascii="宋体"/>
                <w:vanish/>
              </w:rPr>
            </w:pPr>
          </w:p>
        </w:tc>
        <w:tc>
          <w:tcPr>
            <w:tcW w:w="0" w:type="auto"/>
            <w:shd w:val="clear" w:color="auto" w:fill="auto"/>
            <w:vAlign w:val="bottom"/>
          </w:tcPr>
          <w:p w14:paraId="71D3E55B" w14:textId="77777777" w:rsidR="006A3667" w:rsidRDefault="006A3667">
            <w:pPr>
              <w:rPr>
                <w:rFonts w:ascii="宋体"/>
                <w:vanish/>
              </w:rPr>
            </w:pPr>
          </w:p>
        </w:tc>
        <w:tc>
          <w:tcPr>
            <w:tcW w:w="0" w:type="auto"/>
            <w:shd w:val="clear" w:color="auto" w:fill="auto"/>
            <w:vAlign w:val="bottom"/>
          </w:tcPr>
          <w:p w14:paraId="71D3E55C" w14:textId="77777777" w:rsidR="006A3667" w:rsidRDefault="006A3667">
            <w:pPr>
              <w:rPr>
                <w:rFonts w:ascii="宋体"/>
                <w:vanish/>
              </w:rPr>
            </w:pPr>
          </w:p>
        </w:tc>
        <w:tc>
          <w:tcPr>
            <w:tcW w:w="0" w:type="auto"/>
            <w:shd w:val="clear" w:color="auto" w:fill="auto"/>
            <w:vAlign w:val="bottom"/>
          </w:tcPr>
          <w:p w14:paraId="71D3E55D" w14:textId="77777777" w:rsidR="006A3667" w:rsidRDefault="006A3667">
            <w:pPr>
              <w:rPr>
                <w:rFonts w:ascii="宋体"/>
                <w:vanish/>
              </w:rPr>
            </w:pPr>
          </w:p>
        </w:tc>
        <w:tc>
          <w:tcPr>
            <w:tcW w:w="0" w:type="auto"/>
            <w:shd w:val="clear" w:color="auto" w:fill="auto"/>
            <w:vAlign w:val="bottom"/>
          </w:tcPr>
          <w:p w14:paraId="71D3E55E" w14:textId="77777777" w:rsidR="006A3667" w:rsidRDefault="006A3667">
            <w:pPr>
              <w:rPr>
                <w:rFonts w:ascii="宋体"/>
                <w:vanish/>
              </w:rPr>
            </w:pPr>
          </w:p>
        </w:tc>
      </w:tr>
    </w:tbl>
    <w:p w14:paraId="71D3E560"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3E567" w14:textId="77777777">
        <w:tc>
          <w:tcPr>
            <w:tcW w:w="50" w:type="pct"/>
            <w:shd w:val="clear" w:color="auto" w:fill="auto"/>
            <w:vAlign w:val="bottom"/>
          </w:tcPr>
          <w:p w14:paraId="71D3E561" w14:textId="77777777" w:rsidR="006A3667" w:rsidRDefault="006A3667">
            <w:pPr>
              <w:rPr>
                <w:rFonts w:ascii="宋体"/>
              </w:rPr>
            </w:pPr>
          </w:p>
        </w:tc>
        <w:tc>
          <w:tcPr>
            <w:tcW w:w="1348" w:type="pct"/>
            <w:shd w:val="clear" w:color="auto" w:fill="auto"/>
            <w:vAlign w:val="bottom"/>
          </w:tcPr>
          <w:p w14:paraId="71D3E562" w14:textId="77777777" w:rsidR="006A3667" w:rsidRDefault="006A3667">
            <w:pPr>
              <w:rPr>
                <w:rFonts w:ascii="宋体"/>
              </w:rPr>
            </w:pPr>
          </w:p>
        </w:tc>
        <w:tc>
          <w:tcPr>
            <w:tcW w:w="5" w:type="pct"/>
            <w:shd w:val="clear" w:color="auto" w:fill="auto"/>
            <w:vAlign w:val="bottom"/>
          </w:tcPr>
          <w:p w14:paraId="71D3E563" w14:textId="77777777" w:rsidR="006A3667" w:rsidRDefault="006A3667">
            <w:pPr>
              <w:rPr>
                <w:rFonts w:ascii="宋体"/>
              </w:rPr>
            </w:pPr>
          </w:p>
        </w:tc>
        <w:tc>
          <w:tcPr>
            <w:tcW w:w="50" w:type="pct"/>
            <w:shd w:val="clear" w:color="auto" w:fill="auto"/>
            <w:vAlign w:val="bottom"/>
          </w:tcPr>
          <w:p w14:paraId="71D3E564" w14:textId="77777777" w:rsidR="006A3667" w:rsidRDefault="006A3667">
            <w:pPr>
              <w:rPr>
                <w:rFonts w:ascii="宋体"/>
              </w:rPr>
            </w:pPr>
          </w:p>
        </w:tc>
        <w:tc>
          <w:tcPr>
            <w:tcW w:w="3541" w:type="pct"/>
            <w:shd w:val="clear" w:color="auto" w:fill="auto"/>
            <w:vAlign w:val="bottom"/>
          </w:tcPr>
          <w:p w14:paraId="71D3E565" w14:textId="77777777" w:rsidR="006A3667" w:rsidRDefault="006A3667">
            <w:pPr>
              <w:rPr>
                <w:rFonts w:ascii="宋体"/>
              </w:rPr>
            </w:pPr>
          </w:p>
        </w:tc>
        <w:tc>
          <w:tcPr>
            <w:tcW w:w="5" w:type="pct"/>
            <w:shd w:val="clear" w:color="auto" w:fill="auto"/>
            <w:vAlign w:val="bottom"/>
          </w:tcPr>
          <w:p w14:paraId="71D3E566" w14:textId="77777777" w:rsidR="006A3667" w:rsidRDefault="006A3667">
            <w:pPr>
              <w:rPr>
                <w:rFonts w:ascii="宋体"/>
              </w:rPr>
            </w:pPr>
          </w:p>
        </w:tc>
      </w:tr>
      <w:tr w:rsidR="006A3667" w14:paraId="71D3E56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E56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569" w14:textId="77777777" w:rsidR="006A3667" w:rsidRDefault="006A3667">
            <w:pPr>
              <w:rPr>
                <w:rFonts w:ascii="宋体"/>
              </w:rPr>
            </w:pPr>
          </w:p>
        </w:tc>
      </w:tr>
    </w:tbl>
    <w:p w14:paraId="71D3E56B" w14:textId="77777777" w:rsidR="006A3667" w:rsidRDefault="00045F32">
      <w:pPr>
        <w:jc w:val="both"/>
      </w:pPr>
      <w:r>
        <w:rPr>
          <w:rFonts w:ascii="Arial" w:eastAsia="宋体" w:hAnsi="Arial" w:cs="Arial"/>
          <w:color w:val="000000"/>
          <w:sz w:val="7"/>
          <w:szCs w:val="7"/>
        </w:rPr>
        <w:t>(1)</w:t>
      </w:r>
      <w:r>
        <w:rPr>
          <w:rFonts w:ascii="Arial" w:eastAsia="宋体" w:hAnsi="Arial" w:cs="Arial"/>
          <w:color w:val="000000"/>
          <w:sz w:val="12"/>
          <w:szCs w:val="12"/>
        </w:rPr>
        <w:t xml:space="preserve"> ETFs are a component of AUM presented in the preceding table.</w:t>
      </w:r>
    </w:p>
    <w:p w14:paraId="71D3E56C" w14:textId="77777777" w:rsidR="006A3667" w:rsidRDefault="00045F32">
      <w:pPr>
        <w:spacing w:before="90"/>
      </w:pPr>
      <w:r>
        <w:rPr>
          <w:rFonts w:ascii="Arial" w:eastAsia="宋体" w:hAnsi="Arial" w:cs="Arial"/>
          <w:color w:val="000000"/>
          <w:sz w:val="7"/>
          <w:szCs w:val="7"/>
        </w:rPr>
        <w:t xml:space="preserve">(2) </w:t>
      </w:r>
      <w:r>
        <w:rPr>
          <w:rFonts w:ascii="Arial" w:eastAsia="宋体" w:hAnsi="Arial" w:cs="Arial"/>
          <w:color w:val="000000"/>
          <w:sz w:val="12"/>
          <w:szCs w:val="12"/>
        </w:rPr>
        <w:t>Includes real estate investment trusts, currency and commodities, including SPDR</w:t>
      </w:r>
      <w:r>
        <w:rPr>
          <w:rFonts w:ascii="Arial" w:eastAsia="宋体" w:hAnsi="Arial" w:cs="Arial"/>
          <w:color w:val="000000"/>
          <w:sz w:val="7"/>
          <w:szCs w:val="7"/>
        </w:rPr>
        <w:t xml:space="preserve">® </w:t>
      </w:r>
      <w:r>
        <w:rPr>
          <w:rFonts w:ascii="Arial" w:eastAsia="宋体" w:hAnsi="Arial" w:cs="Arial"/>
          <w:color w:val="000000"/>
          <w:sz w:val="12"/>
          <w:szCs w:val="12"/>
        </w:rPr>
        <w:t>Gold Shares and SPDR</w:t>
      </w:r>
      <w:r>
        <w:rPr>
          <w:rFonts w:ascii="Arial" w:eastAsia="宋体" w:hAnsi="Arial" w:cs="Arial"/>
          <w:color w:val="000000"/>
          <w:sz w:val="7"/>
          <w:szCs w:val="7"/>
        </w:rPr>
        <w:t>®</w:t>
      </w:r>
      <w:r>
        <w:rPr>
          <w:rFonts w:ascii="Arial" w:eastAsia="宋体" w:hAnsi="Arial" w:cs="Arial"/>
          <w:color w:val="000000"/>
          <w:sz w:val="12"/>
          <w:szCs w:val="12"/>
        </w:rPr>
        <w:t xml:space="preserve"> Gold MiniSharesSM Trust. We are not the investment manager for the SPDR</w:t>
      </w:r>
      <w:r>
        <w:rPr>
          <w:rFonts w:ascii="Arial" w:eastAsia="宋体" w:hAnsi="Arial" w:cs="Arial"/>
          <w:color w:val="000000"/>
          <w:sz w:val="7"/>
          <w:szCs w:val="7"/>
        </w:rPr>
        <w:t xml:space="preserve">® </w:t>
      </w:r>
      <w:r>
        <w:rPr>
          <w:rFonts w:ascii="Arial" w:eastAsia="宋体" w:hAnsi="Arial" w:cs="Arial"/>
          <w:color w:val="000000"/>
          <w:sz w:val="12"/>
          <w:szCs w:val="12"/>
        </w:rPr>
        <w:t>Gold Shares and SPDR</w:t>
      </w:r>
      <w:r>
        <w:rPr>
          <w:rFonts w:ascii="Arial" w:eastAsia="宋体" w:hAnsi="Arial" w:cs="Arial"/>
          <w:color w:val="000000"/>
          <w:sz w:val="7"/>
          <w:szCs w:val="7"/>
        </w:rPr>
        <w:t>®</w:t>
      </w:r>
      <w:r>
        <w:rPr>
          <w:rFonts w:ascii="Arial" w:eastAsia="宋体" w:hAnsi="Arial" w:cs="Arial"/>
          <w:color w:val="000000"/>
          <w:sz w:val="12"/>
          <w:szCs w:val="12"/>
        </w:rPr>
        <w:t>Gold</w:t>
      </w:r>
      <w:r>
        <w:rPr>
          <w:rFonts w:ascii="Arial" w:eastAsia="宋体" w:hAnsi="Arial" w:cs="Arial"/>
          <w:color w:val="000000"/>
          <w:sz w:val="7"/>
          <w:szCs w:val="7"/>
        </w:rPr>
        <w:t xml:space="preserve"> </w:t>
      </w:r>
      <w:r>
        <w:rPr>
          <w:rFonts w:ascii="Arial" w:eastAsia="宋体" w:hAnsi="Arial" w:cs="Arial"/>
          <w:color w:val="000000"/>
          <w:sz w:val="12"/>
          <w:szCs w:val="12"/>
        </w:rPr>
        <w:t xml:space="preserve">MiniSharesSM Trust, but act as the marketing agent. </w:t>
      </w:r>
    </w:p>
    <w:p w14:paraId="71D3E56D" w14:textId="77777777" w:rsidR="006A3667" w:rsidRDefault="00045F32">
      <w:pPr>
        <w:ind w:firstLine="450"/>
        <w:jc w:val="right"/>
      </w:pPr>
      <w:r>
        <w:rPr>
          <w:rFonts w:ascii="Arial" w:eastAsia="宋体" w:hAnsi="Arial" w:cs="Arial"/>
          <w:color w:val="000000"/>
          <w:sz w:val="18"/>
          <w:szCs w:val="18"/>
        </w:rPr>
        <w:t>State Street Corporation | 16</w:t>
      </w:r>
    </w:p>
    <w:p w14:paraId="71D3E56E" w14:textId="77777777" w:rsidR="006A3667" w:rsidRDefault="006A3667">
      <w:pPr>
        <w:ind w:firstLine="450"/>
        <w:jc w:val="center"/>
      </w:pPr>
    </w:p>
    <w:p w14:paraId="71D3E56F" w14:textId="77777777" w:rsidR="006A3667" w:rsidRDefault="00045F32">
      <w:r>
        <w:pict w14:anchorId="71D4AC24">
          <v:rect id="_x0000_i1040" style="width:415.3pt;height:1.5pt" o:hralign="center" o:hrstd="t" o:hr="t" fillcolor="#a0a0a0" stroked="f"/>
        </w:pict>
      </w:r>
    </w:p>
    <w:p w14:paraId="71D3E570"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E571" w14:textId="77777777" w:rsidR="006A3667" w:rsidRDefault="00045F32">
      <w:pPr>
        <w:ind w:firstLine="450"/>
        <w:jc w:val="center"/>
      </w:pPr>
      <w:r>
        <w:rPr>
          <w:rFonts w:ascii="Arial" w:eastAsia="宋体" w:hAnsi="Arial" w:cs="Arial"/>
          <w:b/>
          <w:bCs/>
          <w:color w:val="000000"/>
          <w:sz w:val="20"/>
          <w:szCs w:val="20"/>
        </w:rPr>
        <w:t>AND RESULT</w:t>
      </w:r>
      <w:r>
        <w:rPr>
          <w:rFonts w:ascii="Arial" w:eastAsia="宋体" w:hAnsi="Arial" w:cs="Arial"/>
          <w:b/>
          <w:bCs/>
          <w:color w:val="000000"/>
          <w:sz w:val="20"/>
          <w:szCs w:val="20"/>
        </w:rPr>
        <w:t>S OF OPERATIONS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2101"/>
        <w:gridCol w:w="36"/>
        <w:gridCol w:w="94"/>
        <w:gridCol w:w="1750"/>
        <w:gridCol w:w="37"/>
        <w:gridCol w:w="36"/>
        <w:gridCol w:w="36"/>
        <w:gridCol w:w="36"/>
        <w:gridCol w:w="94"/>
        <w:gridCol w:w="1751"/>
        <w:gridCol w:w="37"/>
        <w:gridCol w:w="36"/>
        <w:gridCol w:w="36"/>
        <w:gridCol w:w="36"/>
        <w:gridCol w:w="94"/>
        <w:gridCol w:w="1751"/>
        <w:gridCol w:w="37"/>
        <w:gridCol w:w="36"/>
        <w:gridCol w:w="36"/>
        <w:gridCol w:w="36"/>
        <w:gridCol w:w="36"/>
        <w:gridCol w:w="36"/>
        <w:gridCol w:w="36"/>
        <w:gridCol w:w="36"/>
        <w:gridCol w:w="36"/>
      </w:tblGrid>
      <w:tr w:rsidR="006A3667" w14:paraId="71D3E58C" w14:textId="77777777">
        <w:tc>
          <w:tcPr>
            <w:tcW w:w="50" w:type="pct"/>
            <w:shd w:val="clear" w:color="auto" w:fill="auto"/>
            <w:vAlign w:val="bottom"/>
          </w:tcPr>
          <w:p w14:paraId="71D3E572" w14:textId="77777777" w:rsidR="006A3667" w:rsidRDefault="006A3667">
            <w:pPr>
              <w:rPr>
                <w:rFonts w:ascii="宋体"/>
              </w:rPr>
            </w:pPr>
          </w:p>
        </w:tc>
        <w:tc>
          <w:tcPr>
            <w:tcW w:w="1350" w:type="pct"/>
            <w:shd w:val="clear" w:color="auto" w:fill="auto"/>
            <w:vAlign w:val="bottom"/>
          </w:tcPr>
          <w:p w14:paraId="71D3E573" w14:textId="77777777" w:rsidR="006A3667" w:rsidRDefault="006A3667">
            <w:pPr>
              <w:rPr>
                <w:rFonts w:ascii="宋体"/>
              </w:rPr>
            </w:pPr>
          </w:p>
        </w:tc>
        <w:tc>
          <w:tcPr>
            <w:tcW w:w="5" w:type="pct"/>
            <w:shd w:val="clear" w:color="auto" w:fill="auto"/>
            <w:vAlign w:val="bottom"/>
          </w:tcPr>
          <w:p w14:paraId="71D3E574" w14:textId="77777777" w:rsidR="006A3667" w:rsidRDefault="006A3667">
            <w:pPr>
              <w:rPr>
                <w:rFonts w:ascii="宋体"/>
              </w:rPr>
            </w:pPr>
          </w:p>
        </w:tc>
        <w:tc>
          <w:tcPr>
            <w:tcW w:w="50" w:type="pct"/>
            <w:shd w:val="clear" w:color="auto" w:fill="auto"/>
            <w:vAlign w:val="bottom"/>
          </w:tcPr>
          <w:p w14:paraId="71D3E575" w14:textId="77777777" w:rsidR="006A3667" w:rsidRDefault="006A3667">
            <w:pPr>
              <w:rPr>
                <w:rFonts w:ascii="宋体"/>
              </w:rPr>
            </w:pPr>
          </w:p>
        </w:tc>
        <w:tc>
          <w:tcPr>
            <w:tcW w:w="1123" w:type="pct"/>
            <w:shd w:val="clear" w:color="auto" w:fill="auto"/>
            <w:vAlign w:val="bottom"/>
          </w:tcPr>
          <w:p w14:paraId="71D3E576" w14:textId="77777777" w:rsidR="006A3667" w:rsidRDefault="006A3667">
            <w:pPr>
              <w:rPr>
                <w:rFonts w:ascii="宋体"/>
              </w:rPr>
            </w:pPr>
          </w:p>
        </w:tc>
        <w:tc>
          <w:tcPr>
            <w:tcW w:w="5" w:type="pct"/>
            <w:shd w:val="clear" w:color="auto" w:fill="auto"/>
            <w:vAlign w:val="bottom"/>
          </w:tcPr>
          <w:p w14:paraId="71D3E577" w14:textId="77777777" w:rsidR="006A3667" w:rsidRDefault="006A3667">
            <w:pPr>
              <w:rPr>
                <w:rFonts w:ascii="宋体"/>
              </w:rPr>
            </w:pPr>
          </w:p>
        </w:tc>
        <w:tc>
          <w:tcPr>
            <w:tcW w:w="5" w:type="pct"/>
            <w:shd w:val="clear" w:color="auto" w:fill="auto"/>
            <w:vAlign w:val="bottom"/>
          </w:tcPr>
          <w:p w14:paraId="71D3E578" w14:textId="77777777" w:rsidR="006A3667" w:rsidRDefault="006A3667">
            <w:pPr>
              <w:rPr>
                <w:rFonts w:ascii="宋体"/>
              </w:rPr>
            </w:pPr>
          </w:p>
        </w:tc>
        <w:tc>
          <w:tcPr>
            <w:tcW w:w="19" w:type="pct"/>
            <w:shd w:val="clear" w:color="auto" w:fill="auto"/>
            <w:vAlign w:val="bottom"/>
          </w:tcPr>
          <w:p w14:paraId="71D3E579" w14:textId="77777777" w:rsidR="006A3667" w:rsidRDefault="006A3667">
            <w:pPr>
              <w:rPr>
                <w:rFonts w:ascii="宋体"/>
              </w:rPr>
            </w:pPr>
          </w:p>
        </w:tc>
        <w:tc>
          <w:tcPr>
            <w:tcW w:w="5" w:type="pct"/>
            <w:shd w:val="clear" w:color="auto" w:fill="auto"/>
            <w:vAlign w:val="bottom"/>
          </w:tcPr>
          <w:p w14:paraId="71D3E57A" w14:textId="77777777" w:rsidR="006A3667" w:rsidRDefault="006A3667">
            <w:pPr>
              <w:rPr>
                <w:rFonts w:ascii="宋体"/>
              </w:rPr>
            </w:pPr>
          </w:p>
        </w:tc>
        <w:tc>
          <w:tcPr>
            <w:tcW w:w="50" w:type="pct"/>
            <w:shd w:val="clear" w:color="auto" w:fill="auto"/>
            <w:vAlign w:val="bottom"/>
          </w:tcPr>
          <w:p w14:paraId="71D3E57B" w14:textId="77777777" w:rsidR="006A3667" w:rsidRDefault="006A3667">
            <w:pPr>
              <w:rPr>
                <w:rFonts w:ascii="宋体"/>
              </w:rPr>
            </w:pPr>
          </w:p>
        </w:tc>
        <w:tc>
          <w:tcPr>
            <w:tcW w:w="1123" w:type="pct"/>
            <w:shd w:val="clear" w:color="auto" w:fill="auto"/>
            <w:vAlign w:val="bottom"/>
          </w:tcPr>
          <w:p w14:paraId="71D3E57C" w14:textId="77777777" w:rsidR="006A3667" w:rsidRDefault="006A3667">
            <w:pPr>
              <w:rPr>
                <w:rFonts w:ascii="宋体"/>
              </w:rPr>
            </w:pPr>
          </w:p>
        </w:tc>
        <w:tc>
          <w:tcPr>
            <w:tcW w:w="5" w:type="pct"/>
            <w:shd w:val="clear" w:color="auto" w:fill="auto"/>
            <w:vAlign w:val="bottom"/>
          </w:tcPr>
          <w:p w14:paraId="71D3E57D" w14:textId="77777777" w:rsidR="006A3667" w:rsidRDefault="006A3667">
            <w:pPr>
              <w:rPr>
                <w:rFonts w:ascii="宋体"/>
              </w:rPr>
            </w:pPr>
          </w:p>
        </w:tc>
        <w:tc>
          <w:tcPr>
            <w:tcW w:w="5" w:type="pct"/>
            <w:shd w:val="clear" w:color="auto" w:fill="auto"/>
            <w:vAlign w:val="bottom"/>
          </w:tcPr>
          <w:p w14:paraId="71D3E57E" w14:textId="77777777" w:rsidR="006A3667" w:rsidRDefault="006A3667">
            <w:pPr>
              <w:rPr>
                <w:rFonts w:ascii="宋体"/>
              </w:rPr>
            </w:pPr>
          </w:p>
        </w:tc>
        <w:tc>
          <w:tcPr>
            <w:tcW w:w="19" w:type="pct"/>
            <w:shd w:val="clear" w:color="auto" w:fill="auto"/>
            <w:vAlign w:val="bottom"/>
          </w:tcPr>
          <w:p w14:paraId="71D3E57F" w14:textId="77777777" w:rsidR="006A3667" w:rsidRDefault="006A3667">
            <w:pPr>
              <w:rPr>
                <w:rFonts w:ascii="宋体"/>
              </w:rPr>
            </w:pPr>
          </w:p>
        </w:tc>
        <w:tc>
          <w:tcPr>
            <w:tcW w:w="5" w:type="pct"/>
            <w:shd w:val="clear" w:color="auto" w:fill="auto"/>
            <w:vAlign w:val="bottom"/>
          </w:tcPr>
          <w:p w14:paraId="71D3E580" w14:textId="77777777" w:rsidR="006A3667" w:rsidRDefault="006A3667">
            <w:pPr>
              <w:rPr>
                <w:rFonts w:ascii="宋体"/>
              </w:rPr>
            </w:pPr>
          </w:p>
        </w:tc>
        <w:tc>
          <w:tcPr>
            <w:tcW w:w="50" w:type="pct"/>
            <w:shd w:val="clear" w:color="auto" w:fill="auto"/>
            <w:vAlign w:val="bottom"/>
          </w:tcPr>
          <w:p w14:paraId="71D3E581" w14:textId="77777777" w:rsidR="006A3667" w:rsidRDefault="006A3667">
            <w:pPr>
              <w:rPr>
                <w:rFonts w:ascii="宋体"/>
              </w:rPr>
            </w:pPr>
          </w:p>
        </w:tc>
        <w:tc>
          <w:tcPr>
            <w:tcW w:w="1123" w:type="pct"/>
            <w:shd w:val="clear" w:color="auto" w:fill="auto"/>
            <w:vAlign w:val="bottom"/>
          </w:tcPr>
          <w:p w14:paraId="71D3E582" w14:textId="77777777" w:rsidR="006A3667" w:rsidRDefault="006A3667">
            <w:pPr>
              <w:rPr>
                <w:rFonts w:ascii="宋体"/>
              </w:rPr>
            </w:pPr>
          </w:p>
        </w:tc>
        <w:tc>
          <w:tcPr>
            <w:tcW w:w="5" w:type="pct"/>
            <w:shd w:val="clear" w:color="auto" w:fill="auto"/>
            <w:vAlign w:val="bottom"/>
          </w:tcPr>
          <w:p w14:paraId="71D3E583" w14:textId="77777777" w:rsidR="006A3667" w:rsidRDefault="006A3667">
            <w:pPr>
              <w:rPr>
                <w:rFonts w:ascii="宋体"/>
              </w:rPr>
            </w:pPr>
          </w:p>
        </w:tc>
        <w:tc>
          <w:tcPr>
            <w:tcW w:w="0" w:type="auto"/>
            <w:shd w:val="clear" w:color="auto" w:fill="auto"/>
            <w:vAlign w:val="bottom"/>
          </w:tcPr>
          <w:p w14:paraId="71D3E584" w14:textId="77777777" w:rsidR="006A3667" w:rsidRDefault="006A3667">
            <w:pPr>
              <w:rPr>
                <w:rFonts w:ascii="宋体"/>
                <w:vanish/>
              </w:rPr>
            </w:pPr>
          </w:p>
        </w:tc>
        <w:tc>
          <w:tcPr>
            <w:tcW w:w="0" w:type="auto"/>
            <w:shd w:val="clear" w:color="auto" w:fill="auto"/>
            <w:vAlign w:val="bottom"/>
          </w:tcPr>
          <w:p w14:paraId="71D3E585" w14:textId="77777777" w:rsidR="006A3667" w:rsidRDefault="006A3667">
            <w:pPr>
              <w:rPr>
                <w:rFonts w:ascii="宋体"/>
                <w:vanish/>
              </w:rPr>
            </w:pPr>
          </w:p>
        </w:tc>
        <w:tc>
          <w:tcPr>
            <w:tcW w:w="0" w:type="auto"/>
            <w:shd w:val="clear" w:color="auto" w:fill="auto"/>
            <w:vAlign w:val="bottom"/>
          </w:tcPr>
          <w:p w14:paraId="71D3E586" w14:textId="77777777" w:rsidR="006A3667" w:rsidRDefault="006A3667">
            <w:pPr>
              <w:rPr>
                <w:rFonts w:ascii="宋体"/>
                <w:vanish/>
              </w:rPr>
            </w:pPr>
          </w:p>
        </w:tc>
        <w:tc>
          <w:tcPr>
            <w:tcW w:w="0" w:type="auto"/>
            <w:shd w:val="clear" w:color="auto" w:fill="auto"/>
            <w:vAlign w:val="bottom"/>
          </w:tcPr>
          <w:p w14:paraId="71D3E587" w14:textId="77777777" w:rsidR="006A3667" w:rsidRDefault="006A3667">
            <w:pPr>
              <w:rPr>
                <w:rFonts w:ascii="宋体"/>
                <w:vanish/>
              </w:rPr>
            </w:pPr>
          </w:p>
        </w:tc>
        <w:tc>
          <w:tcPr>
            <w:tcW w:w="0" w:type="auto"/>
            <w:shd w:val="clear" w:color="auto" w:fill="auto"/>
            <w:vAlign w:val="bottom"/>
          </w:tcPr>
          <w:p w14:paraId="71D3E588" w14:textId="77777777" w:rsidR="006A3667" w:rsidRDefault="006A3667">
            <w:pPr>
              <w:rPr>
                <w:rFonts w:ascii="宋体"/>
                <w:vanish/>
              </w:rPr>
            </w:pPr>
          </w:p>
        </w:tc>
        <w:tc>
          <w:tcPr>
            <w:tcW w:w="0" w:type="auto"/>
            <w:shd w:val="clear" w:color="auto" w:fill="auto"/>
            <w:vAlign w:val="bottom"/>
          </w:tcPr>
          <w:p w14:paraId="71D3E589" w14:textId="77777777" w:rsidR="006A3667" w:rsidRDefault="006A3667">
            <w:pPr>
              <w:rPr>
                <w:rFonts w:ascii="宋体"/>
                <w:vanish/>
              </w:rPr>
            </w:pPr>
          </w:p>
        </w:tc>
        <w:tc>
          <w:tcPr>
            <w:tcW w:w="0" w:type="auto"/>
            <w:shd w:val="clear" w:color="auto" w:fill="auto"/>
            <w:vAlign w:val="bottom"/>
          </w:tcPr>
          <w:p w14:paraId="71D3E58A" w14:textId="77777777" w:rsidR="006A3667" w:rsidRDefault="006A3667">
            <w:pPr>
              <w:rPr>
                <w:rFonts w:ascii="宋体"/>
                <w:vanish/>
              </w:rPr>
            </w:pPr>
          </w:p>
        </w:tc>
        <w:tc>
          <w:tcPr>
            <w:tcW w:w="0" w:type="auto"/>
            <w:shd w:val="clear" w:color="auto" w:fill="auto"/>
            <w:vAlign w:val="bottom"/>
          </w:tcPr>
          <w:p w14:paraId="71D3E58B" w14:textId="77777777" w:rsidR="006A3667" w:rsidRDefault="006A3667">
            <w:pPr>
              <w:rPr>
                <w:rFonts w:ascii="宋体"/>
                <w:vanish/>
              </w:rPr>
            </w:pPr>
          </w:p>
        </w:tc>
      </w:tr>
      <w:tr w:rsidR="006A3667" w14:paraId="71D3E596" w14:textId="77777777">
        <w:tc>
          <w:tcPr>
            <w:tcW w:w="0" w:type="auto"/>
            <w:gridSpan w:val="18"/>
            <w:shd w:val="clear" w:color="auto" w:fill="auto"/>
            <w:tcMar>
              <w:top w:w="40" w:type="dxa"/>
              <w:left w:w="20" w:type="dxa"/>
              <w:bottom w:w="40" w:type="dxa"/>
              <w:right w:w="20" w:type="dxa"/>
            </w:tcMar>
            <w:vAlign w:val="center"/>
          </w:tcPr>
          <w:p w14:paraId="71D3E58D" w14:textId="77777777" w:rsidR="006A3667" w:rsidRDefault="00045F32">
            <w:pPr>
              <w:textAlignment w:val="center"/>
            </w:pPr>
            <w:r>
              <w:rPr>
                <w:rFonts w:ascii="Arial" w:eastAsia="宋体" w:hAnsi="Arial" w:cs="Arial"/>
                <w:b/>
                <w:bCs/>
                <w:color w:val="000000"/>
                <w:sz w:val="16"/>
                <w:szCs w:val="16"/>
              </w:rPr>
              <w:t>TABLE 11: GEOGRAPHIC MIX OF ASSETS UNDER MANAGEMENT</w:t>
            </w:r>
            <w:r>
              <w:rPr>
                <w:rFonts w:ascii="Arial" w:eastAsia="宋体" w:hAnsi="Arial" w:cs="Arial"/>
                <w:b/>
                <w:bCs/>
                <w:color w:val="000000"/>
                <w:sz w:val="10"/>
                <w:szCs w:val="10"/>
              </w:rPr>
              <w:t>(1)</w:t>
            </w:r>
          </w:p>
        </w:tc>
        <w:tc>
          <w:tcPr>
            <w:tcW w:w="0" w:type="auto"/>
            <w:shd w:val="clear" w:color="auto" w:fill="auto"/>
            <w:vAlign w:val="bottom"/>
          </w:tcPr>
          <w:p w14:paraId="71D3E58E" w14:textId="77777777" w:rsidR="006A3667" w:rsidRDefault="006A3667">
            <w:pPr>
              <w:rPr>
                <w:rFonts w:ascii="宋体"/>
                <w:vanish/>
              </w:rPr>
            </w:pPr>
          </w:p>
        </w:tc>
        <w:tc>
          <w:tcPr>
            <w:tcW w:w="0" w:type="auto"/>
            <w:shd w:val="clear" w:color="auto" w:fill="auto"/>
            <w:vAlign w:val="bottom"/>
          </w:tcPr>
          <w:p w14:paraId="71D3E58F" w14:textId="77777777" w:rsidR="006A3667" w:rsidRDefault="006A3667">
            <w:pPr>
              <w:rPr>
                <w:rFonts w:ascii="宋体"/>
                <w:vanish/>
              </w:rPr>
            </w:pPr>
          </w:p>
        </w:tc>
        <w:tc>
          <w:tcPr>
            <w:tcW w:w="0" w:type="auto"/>
            <w:shd w:val="clear" w:color="auto" w:fill="auto"/>
            <w:vAlign w:val="bottom"/>
          </w:tcPr>
          <w:p w14:paraId="71D3E590" w14:textId="77777777" w:rsidR="006A3667" w:rsidRDefault="006A3667">
            <w:pPr>
              <w:rPr>
                <w:rFonts w:ascii="宋体"/>
                <w:vanish/>
              </w:rPr>
            </w:pPr>
          </w:p>
        </w:tc>
        <w:tc>
          <w:tcPr>
            <w:tcW w:w="0" w:type="auto"/>
            <w:shd w:val="clear" w:color="auto" w:fill="auto"/>
            <w:vAlign w:val="bottom"/>
          </w:tcPr>
          <w:p w14:paraId="71D3E591" w14:textId="77777777" w:rsidR="006A3667" w:rsidRDefault="006A3667">
            <w:pPr>
              <w:rPr>
                <w:rFonts w:ascii="宋体"/>
                <w:vanish/>
              </w:rPr>
            </w:pPr>
          </w:p>
        </w:tc>
        <w:tc>
          <w:tcPr>
            <w:tcW w:w="0" w:type="auto"/>
            <w:shd w:val="clear" w:color="auto" w:fill="auto"/>
            <w:vAlign w:val="bottom"/>
          </w:tcPr>
          <w:p w14:paraId="71D3E592" w14:textId="77777777" w:rsidR="006A3667" w:rsidRDefault="006A3667">
            <w:pPr>
              <w:rPr>
                <w:rFonts w:ascii="宋体"/>
                <w:vanish/>
              </w:rPr>
            </w:pPr>
          </w:p>
        </w:tc>
        <w:tc>
          <w:tcPr>
            <w:tcW w:w="0" w:type="auto"/>
            <w:shd w:val="clear" w:color="auto" w:fill="auto"/>
            <w:vAlign w:val="bottom"/>
          </w:tcPr>
          <w:p w14:paraId="71D3E593" w14:textId="77777777" w:rsidR="006A3667" w:rsidRDefault="006A3667">
            <w:pPr>
              <w:rPr>
                <w:rFonts w:ascii="宋体"/>
                <w:vanish/>
              </w:rPr>
            </w:pPr>
          </w:p>
        </w:tc>
        <w:tc>
          <w:tcPr>
            <w:tcW w:w="0" w:type="auto"/>
            <w:shd w:val="clear" w:color="auto" w:fill="auto"/>
            <w:vAlign w:val="bottom"/>
          </w:tcPr>
          <w:p w14:paraId="71D3E594" w14:textId="77777777" w:rsidR="006A3667" w:rsidRDefault="006A3667">
            <w:pPr>
              <w:rPr>
                <w:rFonts w:ascii="宋体"/>
                <w:vanish/>
              </w:rPr>
            </w:pPr>
          </w:p>
        </w:tc>
        <w:tc>
          <w:tcPr>
            <w:tcW w:w="0" w:type="auto"/>
            <w:shd w:val="clear" w:color="auto" w:fill="auto"/>
            <w:vAlign w:val="bottom"/>
          </w:tcPr>
          <w:p w14:paraId="71D3E595" w14:textId="77777777" w:rsidR="006A3667" w:rsidRDefault="006A3667">
            <w:pPr>
              <w:rPr>
                <w:rFonts w:ascii="宋体"/>
                <w:vanish/>
              </w:rPr>
            </w:pPr>
          </w:p>
        </w:tc>
      </w:tr>
      <w:tr w:rsidR="006A3667" w14:paraId="71D3E5A5" w14:textId="77777777">
        <w:tc>
          <w:tcPr>
            <w:tcW w:w="0" w:type="auto"/>
            <w:gridSpan w:val="3"/>
            <w:shd w:val="clear" w:color="auto" w:fill="auto"/>
            <w:tcMar>
              <w:top w:w="40" w:type="dxa"/>
              <w:left w:w="20" w:type="dxa"/>
              <w:bottom w:w="40" w:type="dxa"/>
              <w:right w:w="20" w:type="dxa"/>
            </w:tcMar>
            <w:vAlign w:val="bottom"/>
          </w:tcPr>
          <w:p w14:paraId="71D3E597" w14:textId="77777777" w:rsidR="006A3667" w:rsidRDefault="00045F32">
            <w:pPr>
              <w:textAlignment w:val="bottom"/>
            </w:pPr>
            <w:r>
              <w:rPr>
                <w:rFonts w:ascii="Arial" w:eastAsia="宋体" w:hAnsi="Arial" w:cs="Arial"/>
                <w:b/>
                <w:bCs/>
                <w:color w:val="000000"/>
                <w:sz w:val="13"/>
                <w:szCs w:val="13"/>
              </w:rPr>
              <w:t>(In billions)</w:t>
            </w:r>
          </w:p>
        </w:tc>
        <w:tc>
          <w:tcPr>
            <w:tcW w:w="0" w:type="auto"/>
            <w:gridSpan w:val="3"/>
            <w:shd w:val="clear" w:color="auto" w:fill="auto"/>
            <w:tcMar>
              <w:top w:w="40" w:type="dxa"/>
              <w:left w:w="20" w:type="dxa"/>
              <w:bottom w:w="40" w:type="dxa"/>
              <w:right w:w="20" w:type="dxa"/>
            </w:tcMar>
            <w:vAlign w:val="bottom"/>
          </w:tcPr>
          <w:p w14:paraId="71D3E598" w14:textId="77777777" w:rsidR="006A3667" w:rsidRDefault="00045F32">
            <w:pPr>
              <w:jc w:val="center"/>
              <w:textAlignment w:val="bottom"/>
            </w:pPr>
            <w:r>
              <w:rPr>
                <w:rFonts w:ascii="Arial" w:eastAsia="宋体" w:hAnsi="Arial" w:cs="Arial"/>
                <w:b/>
                <w:bCs/>
                <w:color w:val="000000"/>
                <w:sz w:val="13"/>
                <w:szCs w:val="13"/>
              </w:rPr>
              <w:t>September 30, 2022</w:t>
            </w:r>
          </w:p>
        </w:tc>
        <w:tc>
          <w:tcPr>
            <w:tcW w:w="0" w:type="auto"/>
            <w:gridSpan w:val="3"/>
            <w:shd w:val="clear" w:color="auto" w:fill="auto"/>
            <w:tcMar>
              <w:top w:w="0" w:type="dxa"/>
              <w:left w:w="20" w:type="dxa"/>
              <w:bottom w:w="0" w:type="dxa"/>
              <w:right w:w="20" w:type="dxa"/>
            </w:tcMar>
            <w:vAlign w:val="bottom"/>
          </w:tcPr>
          <w:p w14:paraId="71D3E59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59A" w14:textId="77777777" w:rsidR="006A3667" w:rsidRDefault="00045F32">
            <w:pPr>
              <w:jc w:val="center"/>
              <w:textAlignment w:val="bottom"/>
            </w:pPr>
            <w:r>
              <w:rPr>
                <w:rFonts w:ascii="Arial" w:eastAsia="宋体" w:hAnsi="Arial" w:cs="Arial"/>
                <w:b/>
                <w:bCs/>
                <w:color w:val="000000"/>
                <w:sz w:val="13"/>
                <w:szCs w:val="13"/>
              </w:rPr>
              <w:t>December 31, 2021</w:t>
            </w:r>
          </w:p>
        </w:tc>
        <w:tc>
          <w:tcPr>
            <w:tcW w:w="0" w:type="auto"/>
            <w:gridSpan w:val="3"/>
            <w:shd w:val="clear" w:color="auto" w:fill="auto"/>
            <w:tcMar>
              <w:top w:w="0" w:type="dxa"/>
              <w:left w:w="20" w:type="dxa"/>
              <w:bottom w:w="0" w:type="dxa"/>
              <w:right w:w="20" w:type="dxa"/>
            </w:tcMar>
            <w:vAlign w:val="bottom"/>
          </w:tcPr>
          <w:p w14:paraId="71D3E59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59C" w14:textId="77777777" w:rsidR="006A3667" w:rsidRDefault="00045F32">
            <w:pPr>
              <w:jc w:val="center"/>
              <w:textAlignment w:val="bottom"/>
            </w:pPr>
            <w:r>
              <w:rPr>
                <w:rFonts w:ascii="Arial" w:eastAsia="宋体" w:hAnsi="Arial" w:cs="Arial"/>
                <w:b/>
                <w:bCs/>
                <w:color w:val="000000"/>
                <w:sz w:val="13"/>
                <w:szCs w:val="13"/>
              </w:rPr>
              <w:t> September 30, 2021</w:t>
            </w:r>
          </w:p>
        </w:tc>
        <w:tc>
          <w:tcPr>
            <w:tcW w:w="0" w:type="auto"/>
            <w:shd w:val="clear" w:color="auto" w:fill="auto"/>
            <w:vAlign w:val="bottom"/>
          </w:tcPr>
          <w:p w14:paraId="71D3E59D" w14:textId="77777777" w:rsidR="006A3667" w:rsidRDefault="006A3667">
            <w:pPr>
              <w:rPr>
                <w:rFonts w:ascii="宋体"/>
                <w:vanish/>
              </w:rPr>
            </w:pPr>
          </w:p>
        </w:tc>
        <w:tc>
          <w:tcPr>
            <w:tcW w:w="0" w:type="auto"/>
            <w:shd w:val="clear" w:color="auto" w:fill="auto"/>
            <w:vAlign w:val="bottom"/>
          </w:tcPr>
          <w:p w14:paraId="71D3E59E" w14:textId="77777777" w:rsidR="006A3667" w:rsidRDefault="006A3667">
            <w:pPr>
              <w:rPr>
                <w:rFonts w:ascii="宋体"/>
                <w:vanish/>
              </w:rPr>
            </w:pPr>
          </w:p>
        </w:tc>
        <w:tc>
          <w:tcPr>
            <w:tcW w:w="0" w:type="auto"/>
            <w:shd w:val="clear" w:color="auto" w:fill="auto"/>
            <w:vAlign w:val="bottom"/>
          </w:tcPr>
          <w:p w14:paraId="71D3E59F" w14:textId="77777777" w:rsidR="006A3667" w:rsidRDefault="006A3667">
            <w:pPr>
              <w:rPr>
                <w:rFonts w:ascii="宋体"/>
                <w:vanish/>
              </w:rPr>
            </w:pPr>
          </w:p>
        </w:tc>
        <w:tc>
          <w:tcPr>
            <w:tcW w:w="0" w:type="auto"/>
            <w:shd w:val="clear" w:color="auto" w:fill="auto"/>
            <w:vAlign w:val="bottom"/>
          </w:tcPr>
          <w:p w14:paraId="71D3E5A0" w14:textId="77777777" w:rsidR="006A3667" w:rsidRDefault="006A3667">
            <w:pPr>
              <w:rPr>
                <w:rFonts w:ascii="宋体"/>
                <w:vanish/>
              </w:rPr>
            </w:pPr>
          </w:p>
        </w:tc>
        <w:tc>
          <w:tcPr>
            <w:tcW w:w="0" w:type="auto"/>
            <w:shd w:val="clear" w:color="auto" w:fill="auto"/>
            <w:vAlign w:val="bottom"/>
          </w:tcPr>
          <w:p w14:paraId="71D3E5A1" w14:textId="77777777" w:rsidR="006A3667" w:rsidRDefault="006A3667">
            <w:pPr>
              <w:rPr>
                <w:rFonts w:ascii="宋体"/>
                <w:vanish/>
              </w:rPr>
            </w:pPr>
          </w:p>
        </w:tc>
        <w:tc>
          <w:tcPr>
            <w:tcW w:w="0" w:type="auto"/>
            <w:shd w:val="clear" w:color="auto" w:fill="auto"/>
            <w:vAlign w:val="bottom"/>
          </w:tcPr>
          <w:p w14:paraId="71D3E5A2" w14:textId="77777777" w:rsidR="006A3667" w:rsidRDefault="006A3667">
            <w:pPr>
              <w:rPr>
                <w:rFonts w:ascii="宋体"/>
                <w:vanish/>
              </w:rPr>
            </w:pPr>
          </w:p>
        </w:tc>
        <w:tc>
          <w:tcPr>
            <w:tcW w:w="0" w:type="auto"/>
            <w:shd w:val="clear" w:color="auto" w:fill="auto"/>
            <w:vAlign w:val="bottom"/>
          </w:tcPr>
          <w:p w14:paraId="71D3E5A3" w14:textId="77777777" w:rsidR="006A3667" w:rsidRDefault="006A3667">
            <w:pPr>
              <w:rPr>
                <w:rFonts w:ascii="宋体"/>
                <w:vanish/>
              </w:rPr>
            </w:pPr>
          </w:p>
        </w:tc>
        <w:tc>
          <w:tcPr>
            <w:tcW w:w="0" w:type="auto"/>
            <w:shd w:val="clear" w:color="auto" w:fill="auto"/>
            <w:vAlign w:val="bottom"/>
          </w:tcPr>
          <w:p w14:paraId="71D3E5A4" w14:textId="77777777" w:rsidR="006A3667" w:rsidRDefault="006A3667">
            <w:pPr>
              <w:rPr>
                <w:rFonts w:ascii="宋体"/>
                <w:vanish/>
              </w:rPr>
            </w:pPr>
          </w:p>
        </w:tc>
      </w:tr>
      <w:tr w:rsidR="006A3667" w14:paraId="71D3E5BA" w14:textId="77777777">
        <w:tc>
          <w:tcPr>
            <w:tcW w:w="0" w:type="auto"/>
            <w:gridSpan w:val="3"/>
            <w:shd w:val="clear" w:color="auto" w:fill="CCEEFF"/>
            <w:tcMar>
              <w:top w:w="40" w:type="dxa"/>
              <w:left w:w="20" w:type="dxa"/>
              <w:bottom w:w="40" w:type="dxa"/>
              <w:right w:w="20" w:type="dxa"/>
            </w:tcMar>
            <w:vAlign w:val="bottom"/>
          </w:tcPr>
          <w:p w14:paraId="71D3E5A6" w14:textId="77777777" w:rsidR="006A3667" w:rsidRDefault="00045F32">
            <w:pPr>
              <w:textAlignment w:val="bottom"/>
            </w:pPr>
            <w:r>
              <w:rPr>
                <w:rFonts w:ascii="Arial" w:eastAsia="宋体" w:hAnsi="Arial" w:cs="Arial"/>
                <w:color w:val="000000"/>
                <w:sz w:val="13"/>
                <w:szCs w:val="13"/>
              </w:rPr>
              <w:t>North America</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5A7"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5A8" w14:textId="77777777" w:rsidR="006A3667" w:rsidRDefault="00045F32">
            <w:pPr>
              <w:jc w:val="right"/>
              <w:textAlignment w:val="bottom"/>
            </w:pPr>
            <w:r>
              <w:rPr>
                <w:rFonts w:ascii="Arial" w:eastAsia="宋体" w:hAnsi="Arial" w:cs="Arial"/>
                <w:b/>
                <w:bCs/>
                <w:color w:val="000000"/>
                <w:sz w:val="13"/>
                <w:szCs w:val="13"/>
              </w:rPr>
              <w:t>2,396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5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5A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5A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5AC" w14:textId="77777777" w:rsidR="006A3667" w:rsidRDefault="00045F32">
            <w:pPr>
              <w:jc w:val="right"/>
              <w:textAlignment w:val="bottom"/>
            </w:pPr>
            <w:r>
              <w:rPr>
                <w:rFonts w:ascii="Arial" w:eastAsia="宋体" w:hAnsi="Arial" w:cs="Arial"/>
                <w:color w:val="000000"/>
                <w:sz w:val="13"/>
                <w:szCs w:val="13"/>
              </w:rPr>
              <w:t>2,931 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5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5A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5A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5B0" w14:textId="77777777" w:rsidR="006A3667" w:rsidRDefault="00045F32">
            <w:pPr>
              <w:jc w:val="right"/>
              <w:textAlignment w:val="bottom"/>
            </w:pPr>
            <w:r>
              <w:rPr>
                <w:rFonts w:ascii="Arial" w:eastAsia="宋体" w:hAnsi="Arial" w:cs="Arial"/>
                <w:color w:val="000000"/>
                <w:sz w:val="13"/>
                <w:szCs w:val="13"/>
              </w:rPr>
              <w:t>2,732 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5B1" w14:textId="77777777" w:rsidR="006A3667" w:rsidRDefault="006A3667">
            <w:pPr>
              <w:jc w:val="right"/>
              <w:rPr>
                <w:rFonts w:ascii="宋体"/>
              </w:rPr>
            </w:pPr>
          </w:p>
        </w:tc>
        <w:tc>
          <w:tcPr>
            <w:tcW w:w="0" w:type="auto"/>
            <w:shd w:val="clear" w:color="auto" w:fill="auto"/>
            <w:vAlign w:val="bottom"/>
          </w:tcPr>
          <w:p w14:paraId="71D3E5B2" w14:textId="77777777" w:rsidR="006A3667" w:rsidRDefault="006A3667">
            <w:pPr>
              <w:rPr>
                <w:rFonts w:ascii="宋体"/>
                <w:vanish/>
              </w:rPr>
            </w:pPr>
          </w:p>
        </w:tc>
        <w:tc>
          <w:tcPr>
            <w:tcW w:w="0" w:type="auto"/>
            <w:shd w:val="clear" w:color="auto" w:fill="auto"/>
            <w:vAlign w:val="bottom"/>
          </w:tcPr>
          <w:p w14:paraId="71D3E5B3" w14:textId="77777777" w:rsidR="006A3667" w:rsidRDefault="006A3667">
            <w:pPr>
              <w:rPr>
                <w:rFonts w:ascii="宋体"/>
                <w:vanish/>
              </w:rPr>
            </w:pPr>
          </w:p>
        </w:tc>
        <w:tc>
          <w:tcPr>
            <w:tcW w:w="0" w:type="auto"/>
            <w:shd w:val="clear" w:color="auto" w:fill="auto"/>
            <w:vAlign w:val="bottom"/>
          </w:tcPr>
          <w:p w14:paraId="71D3E5B4" w14:textId="77777777" w:rsidR="006A3667" w:rsidRDefault="006A3667">
            <w:pPr>
              <w:rPr>
                <w:rFonts w:ascii="宋体"/>
                <w:vanish/>
              </w:rPr>
            </w:pPr>
          </w:p>
        </w:tc>
        <w:tc>
          <w:tcPr>
            <w:tcW w:w="0" w:type="auto"/>
            <w:shd w:val="clear" w:color="auto" w:fill="auto"/>
            <w:vAlign w:val="bottom"/>
          </w:tcPr>
          <w:p w14:paraId="71D3E5B5" w14:textId="77777777" w:rsidR="006A3667" w:rsidRDefault="006A3667">
            <w:pPr>
              <w:rPr>
                <w:rFonts w:ascii="宋体"/>
                <w:vanish/>
              </w:rPr>
            </w:pPr>
          </w:p>
        </w:tc>
        <w:tc>
          <w:tcPr>
            <w:tcW w:w="0" w:type="auto"/>
            <w:shd w:val="clear" w:color="auto" w:fill="auto"/>
            <w:vAlign w:val="bottom"/>
          </w:tcPr>
          <w:p w14:paraId="71D3E5B6" w14:textId="77777777" w:rsidR="006A3667" w:rsidRDefault="006A3667">
            <w:pPr>
              <w:rPr>
                <w:rFonts w:ascii="宋体"/>
                <w:vanish/>
              </w:rPr>
            </w:pPr>
          </w:p>
        </w:tc>
        <w:tc>
          <w:tcPr>
            <w:tcW w:w="0" w:type="auto"/>
            <w:shd w:val="clear" w:color="auto" w:fill="auto"/>
            <w:vAlign w:val="bottom"/>
          </w:tcPr>
          <w:p w14:paraId="71D3E5B7" w14:textId="77777777" w:rsidR="006A3667" w:rsidRDefault="006A3667">
            <w:pPr>
              <w:rPr>
                <w:rFonts w:ascii="宋体"/>
                <w:vanish/>
              </w:rPr>
            </w:pPr>
          </w:p>
        </w:tc>
        <w:tc>
          <w:tcPr>
            <w:tcW w:w="0" w:type="auto"/>
            <w:shd w:val="clear" w:color="auto" w:fill="auto"/>
            <w:vAlign w:val="bottom"/>
          </w:tcPr>
          <w:p w14:paraId="71D3E5B8" w14:textId="77777777" w:rsidR="006A3667" w:rsidRDefault="006A3667">
            <w:pPr>
              <w:rPr>
                <w:rFonts w:ascii="宋体"/>
                <w:vanish/>
              </w:rPr>
            </w:pPr>
          </w:p>
        </w:tc>
        <w:tc>
          <w:tcPr>
            <w:tcW w:w="0" w:type="auto"/>
            <w:shd w:val="clear" w:color="auto" w:fill="auto"/>
            <w:vAlign w:val="bottom"/>
          </w:tcPr>
          <w:p w14:paraId="71D3E5B9" w14:textId="77777777" w:rsidR="006A3667" w:rsidRDefault="006A3667">
            <w:pPr>
              <w:rPr>
                <w:rFonts w:ascii="宋体"/>
                <w:vanish/>
              </w:rPr>
            </w:pPr>
          </w:p>
        </w:tc>
      </w:tr>
      <w:tr w:rsidR="006A3667" w14:paraId="71D3E5CC" w14:textId="77777777">
        <w:tc>
          <w:tcPr>
            <w:tcW w:w="0" w:type="auto"/>
            <w:gridSpan w:val="3"/>
            <w:shd w:val="clear" w:color="auto" w:fill="FFFFFF"/>
            <w:tcMar>
              <w:top w:w="40" w:type="dxa"/>
              <w:left w:w="20" w:type="dxa"/>
              <w:bottom w:w="40" w:type="dxa"/>
              <w:right w:w="20" w:type="dxa"/>
            </w:tcMar>
            <w:vAlign w:val="bottom"/>
          </w:tcPr>
          <w:p w14:paraId="71D3E5BB" w14:textId="77777777" w:rsidR="006A3667" w:rsidRDefault="00045F32">
            <w:pPr>
              <w:textAlignment w:val="bottom"/>
            </w:pPr>
            <w:r>
              <w:rPr>
                <w:rFonts w:ascii="Arial" w:eastAsia="宋体" w:hAnsi="Arial" w:cs="Arial"/>
                <w:color w:val="000000"/>
                <w:sz w:val="13"/>
                <w:szCs w:val="13"/>
              </w:rPr>
              <w:t>Europe/Middle East/Africa</w:t>
            </w:r>
          </w:p>
        </w:tc>
        <w:tc>
          <w:tcPr>
            <w:tcW w:w="0" w:type="auto"/>
            <w:gridSpan w:val="2"/>
            <w:shd w:val="clear" w:color="auto" w:fill="FFFFFF"/>
            <w:tcMar>
              <w:top w:w="40" w:type="dxa"/>
              <w:left w:w="20" w:type="dxa"/>
              <w:bottom w:w="40" w:type="dxa"/>
              <w:right w:w="0" w:type="dxa"/>
            </w:tcMar>
            <w:vAlign w:val="bottom"/>
          </w:tcPr>
          <w:p w14:paraId="71D3E5BC" w14:textId="77777777" w:rsidR="006A3667" w:rsidRDefault="00045F32">
            <w:pPr>
              <w:jc w:val="right"/>
              <w:textAlignment w:val="bottom"/>
            </w:pPr>
            <w:r>
              <w:rPr>
                <w:rFonts w:ascii="Arial" w:eastAsia="宋体" w:hAnsi="Arial" w:cs="Arial"/>
                <w:b/>
                <w:bCs/>
                <w:color w:val="000000"/>
                <w:sz w:val="13"/>
                <w:szCs w:val="13"/>
              </w:rPr>
              <w:t>474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5B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5B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5BF" w14:textId="77777777" w:rsidR="006A3667" w:rsidRDefault="00045F32">
            <w:pPr>
              <w:jc w:val="right"/>
              <w:textAlignment w:val="bottom"/>
            </w:pPr>
            <w:r>
              <w:rPr>
                <w:rFonts w:ascii="Arial" w:eastAsia="宋体" w:hAnsi="Arial" w:cs="Arial"/>
                <w:color w:val="000000"/>
                <w:sz w:val="13"/>
                <w:szCs w:val="13"/>
              </w:rPr>
              <w:t>592 </w:t>
            </w:r>
          </w:p>
        </w:tc>
        <w:tc>
          <w:tcPr>
            <w:tcW w:w="0" w:type="auto"/>
            <w:shd w:val="clear" w:color="auto" w:fill="FFFFFF"/>
            <w:tcMar>
              <w:top w:w="40" w:type="dxa"/>
              <w:left w:w="0" w:type="dxa"/>
              <w:bottom w:w="40" w:type="dxa"/>
              <w:right w:w="20" w:type="dxa"/>
            </w:tcMar>
            <w:vAlign w:val="bottom"/>
          </w:tcPr>
          <w:p w14:paraId="71D3E5C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5C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5C2" w14:textId="77777777" w:rsidR="006A3667" w:rsidRDefault="00045F32">
            <w:pPr>
              <w:jc w:val="right"/>
              <w:textAlignment w:val="bottom"/>
            </w:pPr>
            <w:r>
              <w:rPr>
                <w:rFonts w:ascii="Arial" w:eastAsia="宋体" w:hAnsi="Arial" w:cs="Arial"/>
                <w:color w:val="000000"/>
                <w:sz w:val="13"/>
                <w:szCs w:val="13"/>
              </w:rPr>
              <w:t>558 </w:t>
            </w:r>
          </w:p>
        </w:tc>
        <w:tc>
          <w:tcPr>
            <w:tcW w:w="0" w:type="auto"/>
            <w:shd w:val="clear" w:color="auto" w:fill="FFFFFF"/>
            <w:tcMar>
              <w:top w:w="40" w:type="dxa"/>
              <w:left w:w="0" w:type="dxa"/>
              <w:bottom w:w="40" w:type="dxa"/>
              <w:right w:w="20" w:type="dxa"/>
            </w:tcMar>
            <w:vAlign w:val="bottom"/>
          </w:tcPr>
          <w:p w14:paraId="71D3E5C3" w14:textId="77777777" w:rsidR="006A3667" w:rsidRDefault="006A3667">
            <w:pPr>
              <w:jc w:val="right"/>
              <w:rPr>
                <w:rFonts w:ascii="宋体"/>
              </w:rPr>
            </w:pPr>
          </w:p>
        </w:tc>
        <w:tc>
          <w:tcPr>
            <w:tcW w:w="0" w:type="auto"/>
            <w:shd w:val="clear" w:color="auto" w:fill="auto"/>
            <w:vAlign w:val="bottom"/>
          </w:tcPr>
          <w:p w14:paraId="71D3E5C4" w14:textId="77777777" w:rsidR="006A3667" w:rsidRDefault="006A3667">
            <w:pPr>
              <w:rPr>
                <w:rFonts w:ascii="宋体"/>
                <w:vanish/>
              </w:rPr>
            </w:pPr>
          </w:p>
        </w:tc>
        <w:tc>
          <w:tcPr>
            <w:tcW w:w="0" w:type="auto"/>
            <w:shd w:val="clear" w:color="auto" w:fill="auto"/>
            <w:vAlign w:val="bottom"/>
          </w:tcPr>
          <w:p w14:paraId="71D3E5C5" w14:textId="77777777" w:rsidR="006A3667" w:rsidRDefault="006A3667">
            <w:pPr>
              <w:rPr>
                <w:rFonts w:ascii="宋体"/>
                <w:vanish/>
              </w:rPr>
            </w:pPr>
          </w:p>
        </w:tc>
        <w:tc>
          <w:tcPr>
            <w:tcW w:w="0" w:type="auto"/>
            <w:shd w:val="clear" w:color="auto" w:fill="auto"/>
            <w:vAlign w:val="bottom"/>
          </w:tcPr>
          <w:p w14:paraId="71D3E5C6" w14:textId="77777777" w:rsidR="006A3667" w:rsidRDefault="006A3667">
            <w:pPr>
              <w:rPr>
                <w:rFonts w:ascii="宋体"/>
                <w:vanish/>
              </w:rPr>
            </w:pPr>
          </w:p>
        </w:tc>
        <w:tc>
          <w:tcPr>
            <w:tcW w:w="0" w:type="auto"/>
            <w:shd w:val="clear" w:color="auto" w:fill="auto"/>
            <w:vAlign w:val="bottom"/>
          </w:tcPr>
          <w:p w14:paraId="71D3E5C7" w14:textId="77777777" w:rsidR="006A3667" w:rsidRDefault="006A3667">
            <w:pPr>
              <w:rPr>
                <w:rFonts w:ascii="宋体"/>
                <w:vanish/>
              </w:rPr>
            </w:pPr>
          </w:p>
        </w:tc>
        <w:tc>
          <w:tcPr>
            <w:tcW w:w="0" w:type="auto"/>
            <w:shd w:val="clear" w:color="auto" w:fill="auto"/>
            <w:vAlign w:val="bottom"/>
          </w:tcPr>
          <w:p w14:paraId="71D3E5C8" w14:textId="77777777" w:rsidR="006A3667" w:rsidRDefault="006A3667">
            <w:pPr>
              <w:rPr>
                <w:rFonts w:ascii="宋体"/>
                <w:vanish/>
              </w:rPr>
            </w:pPr>
          </w:p>
        </w:tc>
        <w:tc>
          <w:tcPr>
            <w:tcW w:w="0" w:type="auto"/>
            <w:shd w:val="clear" w:color="auto" w:fill="auto"/>
            <w:vAlign w:val="bottom"/>
          </w:tcPr>
          <w:p w14:paraId="71D3E5C9" w14:textId="77777777" w:rsidR="006A3667" w:rsidRDefault="006A3667">
            <w:pPr>
              <w:rPr>
                <w:rFonts w:ascii="宋体"/>
                <w:vanish/>
              </w:rPr>
            </w:pPr>
          </w:p>
        </w:tc>
        <w:tc>
          <w:tcPr>
            <w:tcW w:w="0" w:type="auto"/>
            <w:shd w:val="clear" w:color="auto" w:fill="auto"/>
            <w:vAlign w:val="bottom"/>
          </w:tcPr>
          <w:p w14:paraId="71D3E5CA" w14:textId="77777777" w:rsidR="006A3667" w:rsidRDefault="006A3667">
            <w:pPr>
              <w:rPr>
                <w:rFonts w:ascii="宋体"/>
                <w:vanish/>
              </w:rPr>
            </w:pPr>
          </w:p>
        </w:tc>
        <w:tc>
          <w:tcPr>
            <w:tcW w:w="0" w:type="auto"/>
            <w:shd w:val="clear" w:color="auto" w:fill="auto"/>
            <w:vAlign w:val="bottom"/>
          </w:tcPr>
          <w:p w14:paraId="71D3E5CB" w14:textId="77777777" w:rsidR="006A3667" w:rsidRDefault="006A3667">
            <w:pPr>
              <w:rPr>
                <w:rFonts w:ascii="宋体"/>
                <w:vanish/>
              </w:rPr>
            </w:pPr>
          </w:p>
        </w:tc>
      </w:tr>
      <w:tr w:rsidR="006A3667" w14:paraId="71D3E5DE" w14:textId="77777777">
        <w:tc>
          <w:tcPr>
            <w:tcW w:w="0" w:type="auto"/>
            <w:gridSpan w:val="3"/>
            <w:shd w:val="clear" w:color="auto" w:fill="CCEEFF"/>
            <w:tcMar>
              <w:top w:w="40" w:type="dxa"/>
              <w:left w:w="20" w:type="dxa"/>
              <w:bottom w:w="40" w:type="dxa"/>
              <w:right w:w="20" w:type="dxa"/>
            </w:tcMar>
            <w:vAlign w:val="bottom"/>
          </w:tcPr>
          <w:p w14:paraId="71D3E5CD" w14:textId="77777777" w:rsidR="006A3667" w:rsidRDefault="00045F32">
            <w:pPr>
              <w:textAlignment w:val="bottom"/>
            </w:pPr>
            <w:r>
              <w:rPr>
                <w:rFonts w:ascii="Arial" w:eastAsia="宋体" w:hAnsi="Arial" w:cs="Arial"/>
                <w:color w:val="000000"/>
                <w:sz w:val="13"/>
                <w:szCs w:val="13"/>
              </w:rPr>
              <w:t>Asia/Pacific</w:t>
            </w:r>
          </w:p>
        </w:tc>
        <w:tc>
          <w:tcPr>
            <w:tcW w:w="0" w:type="auto"/>
            <w:gridSpan w:val="2"/>
            <w:shd w:val="clear" w:color="auto" w:fill="CCEEFF"/>
            <w:tcMar>
              <w:top w:w="40" w:type="dxa"/>
              <w:left w:w="20" w:type="dxa"/>
              <w:bottom w:w="40" w:type="dxa"/>
              <w:right w:w="0" w:type="dxa"/>
            </w:tcMar>
            <w:vAlign w:val="bottom"/>
          </w:tcPr>
          <w:p w14:paraId="71D3E5CE" w14:textId="77777777" w:rsidR="006A3667" w:rsidRDefault="00045F32">
            <w:pPr>
              <w:jc w:val="right"/>
              <w:textAlignment w:val="bottom"/>
            </w:pPr>
            <w:r>
              <w:rPr>
                <w:rFonts w:ascii="Arial" w:eastAsia="宋体" w:hAnsi="Arial" w:cs="Arial"/>
                <w:b/>
                <w:bCs/>
                <w:color w:val="000000"/>
                <w:sz w:val="13"/>
                <w:szCs w:val="13"/>
              </w:rPr>
              <w:t>395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3E5C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5D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5D1" w14:textId="77777777" w:rsidR="006A3667" w:rsidRDefault="00045F32">
            <w:pPr>
              <w:jc w:val="right"/>
              <w:textAlignment w:val="bottom"/>
            </w:pPr>
            <w:r>
              <w:rPr>
                <w:rFonts w:ascii="Arial" w:eastAsia="宋体" w:hAnsi="Arial" w:cs="Arial"/>
                <w:color w:val="000000"/>
                <w:sz w:val="13"/>
                <w:szCs w:val="13"/>
              </w:rPr>
              <w:t>615 </w:t>
            </w:r>
          </w:p>
        </w:tc>
        <w:tc>
          <w:tcPr>
            <w:tcW w:w="0" w:type="auto"/>
            <w:shd w:val="clear" w:color="auto" w:fill="CCEEFF"/>
            <w:tcMar>
              <w:top w:w="40" w:type="dxa"/>
              <w:left w:w="0" w:type="dxa"/>
              <w:bottom w:w="40" w:type="dxa"/>
              <w:right w:w="20" w:type="dxa"/>
            </w:tcMar>
            <w:vAlign w:val="bottom"/>
          </w:tcPr>
          <w:p w14:paraId="71D3E5D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5D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5D4" w14:textId="77777777" w:rsidR="006A3667" w:rsidRDefault="00045F32">
            <w:pPr>
              <w:jc w:val="right"/>
              <w:textAlignment w:val="bottom"/>
            </w:pPr>
            <w:r>
              <w:rPr>
                <w:rFonts w:ascii="Arial" w:eastAsia="宋体" w:hAnsi="Arial" w:cs="Arial"/>
                <w:color w:val="000000"/>
                <w:sz w:val="13"/>
                <w:szCs w:val="13"/>
              </w:rPr>
              <w:t>572 </w:t>
            </w:r>
          </w:p>
        </w:tc>
        <w:tc>
          <w:tcPr>
            <w:tcW w:w="0" w:type="auto"/>
            <w:shd w:val="clear" w:color="auto" w:fill="CCEEFF"/>
            <w:tcMar>
              <w:top w:w="40" w:type="dxa"/>
              <w:left w:w="0" w:type="dxa"/>
              <w:bottom w:w="40" w:type="dxa"/>
              <w:right w:w="20" w:type="dxa"/>
            </w:tcMar>
            <w:vAlign w:val="bottom"/>
          </w:tcPr>
          <w:p w14:paraId="71D3E5D5" w14:textId="77777777" w:rsidR="006A3667" w:rsidRDefault="006A3667">
            <w:pPr>
              <w:jc w:val="right"/>
              <w:rPr>
                <w:rFonts w:ascii="宋体"/>
              </w:rPr>
            </w:pPr>
          </w:p>
        </w:tc>
        <w:tc>
          <w:tcPr>
            <w:tcW w:w="0" w:type="auto"/>
            <w:shd w:val="clear" w:color="auto" w:fill="auto"/>
            <w:vAlign w:val="bottom"/>
          </w:tcPr>
          <w:p w14:paraId="71D3E5D6" w14:textId="77777777" w:rsidR="006A3667" w:rsidRDefault="006A3667">
            <w:pPr>
              <w:rPr>
                <w:rFonts w:ascii="宋体"/>
                <w:vanish/>
              </w:rPr>
            </w:pPr>
          </w:p>
        </w:tc>
        <w:tc>
          <w:tcPr>
            <w:tcW w:w="0" w:type="auto"/>
            <w:shd w:val="clear" w:color="auto" w:fill="auto"/>
            <w:vAlign w:val="bottom"/>
          </w:tcPr>
          <w:p w14:paraId="71D3E5D7" w14:textId="77777777" w:rsidR="006A3667" w:rsidRDefault="006A3667">
            <w:pPr>
              <w:rPr>
                <w:rFonts w:ascii="宋体"/>
                <w:vanish/>
              </w:rPr>
            </w:pPr>
          </w:p>
        </w:tc>
        <w:tc>
          <w:tcPr>
            <w:tcW w:w="0" w:type="auto"/>
            <w:shd w:val="clear" w:color="auto" w:fill="auto"/>
            <w:vAlign w:val="bottom"/>
          </w:tcPr>
          <w:p w14:paraId="71D3E5D8" w14:textId="77777777" w:rsidR="006A3667" w:rsidRDefault="006A3667">
            <w:pPr>
              <w:rPr>
                <w:rFonts w:ascii="宋体"/>
                <w:vanish/>
              </w:rPr>
            </w:pPr>
          </w:p>
        </w:tc>
        <w:tc>
          <w:tcPr>
            <w:tcW w:w="0" w:type="auto"/>
            <w:shd w:val="clear" w:color="auto" w:fill="auto"/>
            <w:vAlign w:val="bottom"/>
          </w:tcPr>
          <w:p w14:paraId="71D3E5D9" w14:textId="77777777" w:rsidR="006A3667" w:rsidRDefault="006A3667">
            <w:pPr>
              <w:rPr>
                <w:rFonts w:ascii="宋体"/>
                <w:vanish/>
              </w:rPr>
            </w:pPr>
          </w:p>
        </w:tc>
        <w:tc>
          <w:tcPr>
            <w:tcW w:w="0" w:type="auto"/>
            <w:shd w:val="clear" w:color="auto" w:fill="auto"/>
            <w:vAlign w:val="bottom"/>
          </w:tcPr>
          <w:p w14:paraId="71D3E5DA" w14:textId="77777777" w:rsidR="006A3667" w:rsidRDefault="006A3667">
            <w:pPr>
              <w:rPr>
                <w:rFonts w:ascii="宋体"/>
                <w:vanish/>
              </w:rPr>
            </w:pPr>
          </w:p>
        </w:tc>
        <w:tc>
          <w:tcPr>
            <w:tcW w:w="0" w:type="auto"/>
            <w:shd w:val="clear" w:color="auto" w:fill="auto"/>
            <w:vAlign w:val="bottom"/>
          </w:tcPr>
          <w:p w14:paraId="71D3E5DB" w14:textId="77777777" w:rsidR="006A3667" w:rsidRDefault="006A3667">
            <w:pPr>
              <w:rPr>
                <w:rFonts w:ascii="宋体"/>
                <w:vanish/>
              </w:rPr>
            </w:pPr>
          </w:p>
        </w:tc>
        <w:tc>
          <w:tcPr>
            <w:tcW w:w="0" w:type="auto"/>
            <w:shd w:val="clear" w:color="auto" w:fill="auto"/>
            <w:vAlign w:val="bottom"/>
          </w:tcPr>
          <w:p w14:paraId="71D3E5DC" w14:textId="77777777" w:rsidR="006A3667" w:rsidRDefault="006A3667">
            <w:pPr>
              <w:rPr>
                <w:rFonts w:ascii="宋体"/>
                <w:vanish/>
              </w:rPr>
            </w:pPr>
          </w:p>
        </w:tc>
        <w:tc>
          <w:tcPr>
            <w:tcW w:w="0" w:type="auto"/>
            <w:shd w:val="clear" w:color="auto" w:fill="auto"/>
            <w:vAlign w:val="bottom"/>
          </w:tcPr>
          <w:p w14:paraId="71D3E5DD" w14:textId="77777777" w:rsidR="006A3667" w:rsidRDefault="006A3667">
            <w:pPr>
              <w:rPr>
                <w:rFonts w:ascii="宋体"/>
                <w:vanish/>
              </w:rPr>
            </w:pPr>
          </w:p>
        </w:tc>
      </w:tr>
      <w:tr w:rsidR="006A3667" w14:paraId="71D3E5F3" w14:textId="77777777">
        <w:tc>
          <w:tcPr>
            <w:tcW w:w="0" w:type="auto"/>
            <w:gridSpan w:val="3"/>
            <w:shd w:val="clear" w:color="auto" w:fill="FFFFFF"/>
            <w:tcMar>
              <w:top w:w="40" w:type="dxa"/>
              <w:left w:w="20" w:type="dxa"/>
              <w:bottom w:w="40" w:type="dxa"/>
              <w:right w:w="20" w:type="dxa"/>
            </w:tcMar>
            <w:vAlign w:val="bottom"/>
          </w:tcPr>
          <w:p w14:paraId="71D3E5DF" w14:textId="77777777" w:rsidR="006A3667" w:rsidRDefault="00045F32">
            <w:pPr>
              <w:textAlignment w:val="bottom"/>
            </w:pPr>
            <w:r>
              <w:rPr>
                <w:rFonts w:ascii="Arial" w:eastAsia="宋体" w:hAnsi="Arial" w:cs="Arial"/>
                <w:b/>
                <w:bCs/>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5E0"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5E1" w14:textId="77777777" w:rsidR="006A3667" w:rsidRDefault="00045F32">
            <w:pPr>
              <w:jc w:val="right"/>
              <w:textAlignment w:val="bottom"/>
            </w:pPr>
            <w:r>
              <w:rPr>
                <w:rFonts w:ascii="Arial" w:eastAsia="宋体" w:hAnsi="Arial" w:cs="Arial"/>
                <w:b/>
                <w:bCs/>
                <w:color w:val="000000"/>
                <w:sz w:val="13"/>
                <w:szCs w:val="13"/>
              </w:rPr>
              <w:t>3,265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5E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5E3"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5E4"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5E5" w14:textId="77777777" w:rsidR="006A3667" w:rsidRDefault="00045F32">
            <w:pPr>
              <w:jc w:val="right"/>
              <w:textAlignment w:val="bottom"/>
            </w:pPr>
            <w:r>
              <w:rPr>
                <w:rFonts w:ascii="Arial" w:eastAsia="宋体" w:hAnsi="Arial" w:cs="Arial"/>
                <w:color w:val="000000"/>
                <w:sz w:val="13"/>
                <w:szCs w:val="13"/>
              </w:rPr>
              <w:t>4,138 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5E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5E7"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5E8"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5E9" w14:textId="77777777" w:rsidR="006A3667" w:rsidRDefault="00045F32">
            <w:pPr>
              <w:jc w:val="right"/>
              <w:textAlignment w:val="bottom"/>
            </w:pPr>
            <w:r>
              <w:rPr>
                <w:rFonts w:ascii="Arial" w:eastAsia="宋体" w:hAnsi="Arial" w:cs="Arial"/>
                <w:color w:val="000000"/>
                <w:sz w:val="13"/>
                <w:szCs w:val="13"/>
              </w:rPr>
              <w:t>3,862 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5EA" w14:textId="77777777" w:rsidR="006A3667" w:rsidRDefault="006A3667">
            <w:pPr>
              <w:jc w:val="right"/>
              <w:rPr>
                <w:rFonts w:ascii="宋体"/>
              </w:rPr>
            </w:pPr>
          </w:p>
        </w:tc>
        <w:tc>
          <w:tcPr>
            <w:tcW w:w="0" w:type="auto"/>
            <w:shd w:val="clear" w:color="auto" w:fill="auto"/>
            <w:vAlign w:val="bottom"/>
          </w:tcPr>
          <w:p w14:paraId="71D3E5EB" w14:textId="77777777" w:rsidR="006A3667" w:rsidRDefault="006A3667">
            <w:pPr>
              <w:rPr>
                <w:rFonts w:ascii="宋体"/>
                <w:vanish/>
              </w:rPr>
            </w:pPr>
          </w:p>
        </w:tc>
        <w:tc>
          <w:tcPr>
            <w:tcW w:w="0" w:type="auto"/>
            <w:shd w:val="clear" w:color="auto" w:fill="auto"/>
            <w:vAlign w:val="bottom"/>
          </w:tcPr>
          <w:p w14:paraId="71D3E5EC" w14:textId="77777777" w:rsidR="006A3667" w:rsidRDefault="006A3667">
            <w:pPr>
              <w:rPr>
                <w:rFonts w:ascii="宋体"/>
                <w:vanish/>
              </w:rPr>
            </w:pPr>
          </w:p>
        </w:tc>
        <w:tc>
          <w:tcPr>
            <w:tcW w:w="0" w:type="auto"/>
            <w:shd w:val="clear" w:color="auto" w:fill="auto"/>
            <w:vAlign w:val="bottom"/>
          </w:tcPr>
          <w:p w14:paraId="71D3E5ED" w14:textId="77777777" w:rsidR="006A3667" w:rsidRDefault="006A3667">
            <w:pPr>
              <w:rPr>
                <w:rFonts w:ascii="宋体"/>
                <w:vanish/>
              </w:rPr>
            </w:pPr>
          </w:p>
        </w:tc>
        <w:tc>
          <w:tcPr>
            <w:tcW w:w="0" w:type="auto"/>
            <w:shd w:val="clear" w:color="auto" w:fill="auto"/>
            <w:vAlign w:val="bottom"/>
          </w:tcPr>
          <w:p w14:paraId="71D3E5EE" w14:textId="77777777" w:rsidR="006A3667" w:rsidRDefault="006A3667">
            <w:pPr>
              <w:rPr>
                <w:rFonts w:ascii="宋体"/>
                <w:vanish/>
              </w:rPr>
            </w:pPr>
          </w:p>
        </w:tc>
        <w:tc>
          <w:tcPr>
            <w:tcW w:w="0" w:type="auto"/>
            <w:shd w:val="clear" w:color="auto" w:fill="auto"/>
            <w:vAlign w:val="bottom"/>
          </w:tcPr>
          <w:p w14:paraId="71D3E5EF" w14:textId="77777777" w:rsidR="006A3667" w:rsidRDefault="006A3667">
            <w:pPr>
              <w:rPr>
                <w:rFonts w:ascii="宋体"/>
                <w:vanish/>
              </w:rPr>
            </w:pPr>
          </w:p>
        </w:tc>
        <w:tc>
          <w:tcPr>
            <w:tcW w:w="0" w:type="auto"/>
            <w:shd w:val="clear" w:color="auto" w:fill="auto"/>
            <w:vAlign w:val="bottom"/>
          </w:tcPr>
          <w:p w14:paraId="71D3E5F0" w14:textId="77777777" w:rsidR="006A3667" w:rsidRDefault="006A3667">
            <w:pPr>
              <w:rPr>
                <w:rFonts w:ascii="宋体"/>
                <w:vanish/>
              </w:rPr>
            </w:pPr>
          </w:p>
        </w:tc>
        <w:tc>
          <w:tcPr>
            <w:tcW w:w="0" w:type="auto"/>
            <w:shd w:val="clear" w:color="auto" w:fill="auto"/>
            <w:vAlign w:val="bottom"/>
          </w:tcPr>
          <w:p w14:paraId="71D3E5F1" w14:textId="77777777" w:rsidR="006A3667" w:rsidRDefault="006A3667">
            <w:pPr>
              <w:rPr>
                <w:rFonts w:ascii="宋体"/>
                <w:vanish/>
              </w:rPr>
            </w:pPr>
          </w:p>
        </w:tc>
        <w:tc>
          <w:tcPr>
            <w:tcW w:w="0" w:type="auto"/>
            <w:shd w:val="clear" w:color="auto" w:fill="auto"/>
            <w:vAlign w:val="bottom"/>
          </w:tcPr>
          <w:p w14:paraId="71D3E5F2" w14:textId="77777777" w:rsidR="006A3667" w:rsidRDefault="006A3667">
            <w:pPr>
              <w:rPr>
                <w:rFonts w:ascii="宋体"/>
                <w:vanish/>
              </w:rPr>
            </w:pPr>
          </w:p>
        </w:tc>
      </w:tr>
    </w:tbl>
    <w:p w14:paraId="71D3E5F4" w14:textId="77777777" w:rsidR="006A3667" w:rsidRDefault="006A3667">
      <w:pPr>
        <w:rPr>
          <w:vanish/>
        </w:rPr>
      </w:pPr>
    </w:p>
    <w:tbl>
      <w:tblPr>
        <w:tblW w:w="247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720"/>
        <w:gridCol w:w="36"/>
      </w:tblGrid>
      <w:tr w:rsidR="006A3667" w14:paraId="71D3E5FB" w14:textId="77777777">
        <w:tc>
          <w:tcPr>
            <w:tcW w:w="50" w:type="pct"/>
            <w:shd w:val="clear" w:color="auto" w:fill="auto"/>
            <w:vAlign w:val="bottom"/>
          </w:tcPr>
          <w:p w14:paraId="71D3E5F5" w14:textId="77777777" w:rsidR="006A3667" w:rsidRDefault="006A3667">
            <w:pPr>
              <w:rPr>
                <w:rFonts w:ascii="宋体"/>
              </w:rPr>
            </w:pPr>
          </w:p>
        </w:tc>
        <w:tc>
          <w:tcPr>
            <w:tcW w:w="2776" w:type="pct"/>
            <w:shd w:val="clear" w:color="auto" w:fill="auto"/>
            <w:vAlign w:val="bottom"/>
          </w:tcPr>
          <w:p w14:paraId="71D3E5F6" w14:textId="77777777" w:rsidR="006A3667" w:rsidRDefault="006A3667">
            <w:pPr>
              <w:rPr>
                <w:rFonts w:ascii="宋体"/>
              </w:rPr>
            </w:pPr>
          </w:p>
        </w:tc>
        <w:tc>
          <w:tcPr>
            <w:tcW w:w="5" w:type="pct"/>
            <w:shd w:val="clear" w:color="auto" w:fill="auto"/>
            <w:vAlign w:val="bottom"/>
          </w:tcPr>
          <w:p w14:paraId="71D3E5F7" w14:textId="77777777" w:rsidR="006A3667" w:rsidRDefault="006A3667">
            <w:pPr>
              <w:rPr>
                <w:rFonts w:ascii="宋体"/>
              </w:rPr>
            </w:pPr>
          </w:p>
        </w:tc>
        <w:tc>
          <w:tcPr>
            <w:tcW w:w="50" w:type="pct"/>
            <w:shd w:val="clear" w:color="auto" w:fill="auto"/>
            <w:vAlign w:val="bottom"/>
          </w:tcPr>
          <w:p w14:paraId="71D3E5F8" w14:textId="77777777" w:rsidR="006A3667" w:rsidRDefault="006A3667">
            <w:pPr>
              <w:rPr>
                <w:rFonts w:ascii="宋体"/>
              </w:rPr>
            </w:pPr>
          </w:p>
        </w:tc>
        <w:tc>
          <w:tcPr>
            <w:tcW w:w="2113" w:type="pct"/>
            <w:shd w:val="clear" w:color="auto" w:fill="auto"/>
            <w:vAlign w:val="bottom"/>
          </w:tcPr>
          <w:p w14:paraId="71D3E5F9" w14:textId="77777777" w:rsidR="006A3667" w:rsidRDefault="006A3667">
            <w:pPr>
              <w:rPr>
                <w:rFonts w:ascii="宋体"/>
              </w:rPr>
            </w:pPr>
          </w:p>
        </w:tc>
        <w:tc>
          <w:tcPr>
            <w:tcW w:w="5" w:type="pct"/>
            <w:shd w:val="clear" w:color="auto" w:fill="auto"/>
            <w:vAlign w:val="bottom"/>
          </w:tcPr>
          <w:p w14:paraId="71D3E5FA" w14:textId="77777777" w:rsidR="006A3667" w:rsidRDefault="006A3667">
            <w:pPr>
              <w:rPr>
                <w:rFonts w:ascii="宋体"/>
              </w:rPr>
            </w:pPr>
          </w:p>
        </w:tc>
      </w:tr>
      <w:tr w:rsidR="006A3667" w14:paraId="71D3E5F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E5F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5FD" w14:textId="77777777" w:rsidR="006A3667" w:rsidRDefault="006A3667">
            <w:pPr>
              <w:rPr>
                <w:rFonts w:ascii="宋体"/>
              </w:rPr>
            </w:pPr>
          </w:p>
        </w:tc>
      </w:tr>
    </w:tbl>
    <w:p w14:paraId="71D3E5FF" w14:textId="77777777" w:rsidR="006A3667" w:rsidRDefault="00045F32">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Geographic mix is based on client location or fund management location.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2322"/>
        <w:gridCol w:w="38"/>
        <w:gridCol w:w="99"/>
        <w:gridCol w:w="567"/>
        <w:gridCol w:w="37"/>
        <w:gridCol w:w="36"/>
        <w:gridCol w:w="36"/>
        <w:gridCol w:w="36"/>
        <w:gridCol w:w="99"/>
        <w:gridCol w:w="958"/>
        <w:gridCol w:w="36"/>
        <w:gridCol w:w="36"/>
        <w:gridCol w:w="36"/>
        <w:gridCol w:w="36"/>
        <w:gridCol w:w="99"/>
        <w:gridCol w:w="528"/>
        <w:gridCol w:w="37"/>
        <w:gridCol w:w="36"/>
        <w:gridCol w:w="36"/>
        <w:gridCol w:w="36"/>
        <w:gridCol w:w="99"/>
        <w:gridCol w:w="1117"/>
        <w:gridCol w:w="36"/>
        <w:gridCol w:w="36"/>
        <w:gridCol w:w="36"/>
        <w:gridCol w:w="36"/>
        <w:gridCol w:w="99"/>
        <w:gridCol w:w="990"/>
        <w:gridCol w:w="36"/>
        <w:gridCol w:w="36"/>
        <w:gridCol w:w="36"/>
        <w:gridCol w:w="36"/>
        <w:gridCol w:w="98"/>
        <w:gridCol w:w="390"/>
        <w:gridCol w:w="36"/>
        <w:gridCol w:w="36"/>
      </w:tblGrid>
      <w:tr w:rsidR="006A3667" w14:paraId="71D3E625" w14:textId="77777777">
        <w:tc>
          <w:tcPr>
            <w:tcW w:w="50" w:type="pct"/>
            <w:shd w:val="clear" w:color="auto" w:fill="auto"/>
            <w:vAlign w:val="bottom"/>
          </w:tcPr>
          <w:p w14:paraId="71D3E600" w14:textId="77777777" w:rsidR="006A3667" w:rsidRDefault="006A3667">
            <w:pPr>
              <w:rPr>
                <w:rFonts w:ascii="宋体"/>
              </w:rPr>
            </w:pPr>
          </w:p>
        </w:tc>
        <w:tc>
          <w:tcPr>
            <w:tcW w:w="1458" w:type="pct"/>
            <w:shd w:val="clear" w:color="auto" w:fill="auto"/>
            <w:vAlign w:val="bottom"/>
          </w:tcPr>
          <w:p w14:paraId="71D3E601" w14:textId="77777777" w:rsidR="006A3667" w:rsidRDefault="006A3667">
            <w:pPr>
              <w:rPr>
                <w:rFonts w:ascii="宋体"/>
              </w:rPr>
            </w:pPr>
          </w:p>
        </w:tc>
        <w:tc>
          <w:tcPr>
            <w:tcW w:w="5" w:type="pct"/>
            <w:shd w:val="clear" w:color="auto" w:fill="auto"/>
            <w:vAlign w:val="bottom"/>
          </w:tcPr>
          <w:p w14:paraId="71D3E602" w14:textId="77777777" w:rsidR="006A3667" w:rsidRDefault="006A3667">
            <w:pPr>
              <w:rPr>
                <w:rFonts w:ascii="宋体"/>
              </w:rPr>
            </w:pPr>
          </w:p>
        </w:tc>
        <w:tc>
          <w:tcPr>
            <w:tcW w:w="50" w:type="pct"/>
            <w:shd w:val="clear" w:color="auto" w:fill="auto"/>
            <w:vAlign w:val="bottom"/>
          </w:tcPr>
          <w:p w14:paraId="71D3E603" w14:textId="77777777" w:rsidR="006A3667" w:rsidRDefault="006A3667">
            <w:pPr>
              <w:rPr>
                <w:rFonts w:ascii="宋体"/>
              </w:rPr>
            </w:pPr>
          </w:p>
        </w:tc>
        <w:tc>
          <w:tcPr>
            <w:tcW w:w="390" w:type="pct"/>
            <w:shd w:val="clear" w:color="auto" w:fill="auto"/>
            <w:vAlign w:val="bottom"/>
          </w:tcPr>
          <w:p w14:paraId="71D3E604" w14:textId="77777777" w:rsidR="006A3667" w:rsidRDefault="006A3667">
            <w:pPr>
              <w:rPr>
                <w:rFonts w:ascii="宋体"/>
              </w:rPr>
            </w:pPr>
          </w:p>
        </w:tc>
        <w:tc>
          <w:tcPr>
            <w:tcW w:w="5" w:type="pct"/>
            <w:shd w:val="clear" w:color="auto" w:fill="auto"/>
            <w:vAlign w:val="bottom"/>
          </w:tcPr>
          <w:p w14:paraId="71D3E605" w14:textId="77777777" w:rsidR="006A3667" w:rsidRDefault="006A3667">
            <w:pPr>
              <w:rPr>
                <w:rFonts w:ascii="宋体"/>
              </w:rPr>
            </w:pPr>
          </w:p>
        </w:tc>
        <w:tc>
          <w:tcPr>
            <w:tcW w:w="5" w:type="pct"/>
            <w:shd w:val="clear" w:color="auto" w:fill="auto"/>
            <w:vAlign w:val="bottom"/>
          </w:tcPr>
          <w:p w14:paraId="71D3E606" w14:textId="77777777" w:rsidR="006A3667" w:rsidRDefault="006A3667">
            <w:pPr>
              <w:rPr>
                <w:rFonts w:ascii="宋体"/>
              </w:rPr>
            </w:pPr>
          </w:p>
        </w:tc>
        <w:tc>
          <w:tcPr>
            <w:tcW w:w="26" w:type="pct"/>
            <w:shd w:val="clear" w:color="auto" w:fill="auto"/>
            <w:vAlign w:val="bottom"/>
          </w:tcPr>
          <w:p w14:paraId="71D3E607" w14:textId="77777777" w:rsidR="006A3667" w:rsidRDefault="006A3667">
            <w:pPr>
              <w:rPr>
                <w:rFonts w:ascii="宋体"/>
              </w:rPr>
            </w:pPr>
          </w:p>
        </w:tc>
        <w:tc>
          <w:tcPr>
            <w:tcW w:w="5" w:type="pct"/>
            <w:shd w:val="clear" w:color="auto" w:fill="auto"/>
            <w:vAlign w:val="bottom"/>
          </w:tcPr>
          <w:p w14:paraId="71D3E608" w14:textId="77777777" w:rsidR="006A3667" w:rsidRDefault="006A3667">
            <w:pPr>
              <w:rPr>
                <w:rFonts w:ascii="宋体"/>
              </w:rPr>
            </w:pPr>
          </w:p>
        </w:tc>
        <w:tc>
          <w:tcPr>
            <w:tcW w:w="50" w:type="pct"/>
            <w:shd w:val="clear" w:color="auto" w:fill="auto"/>
            <w:vAlign w:val="bottom"/>
          </w:tcPr>
          <w:p w14:paraId="71D3E609" w14:textId="77777777" w:rsidR="006A3667" w:rsidRDefault="006A3667">
            <w:pPr>
              <w:rPr>
                <w:rFonts w:ascii="宋体"/>
              </w:rPr>
            </w:pPr>
          </w:p>
        </w:tc>
        <w:tc>
          <w:tcPr>
            <w:tcW w:w="551" w:type="pct"/>
            <w:shd w:val="clear" w:color="auto" w:fill="auto"/>
            <w:vAlign w:val="bottom"/>
          </w:tcPr>
          <w:p w14:paraId="71D3E60A" w14:textId="77777777" w:rsidR="006A3667" w:rsidRDefault="006A3667">
            <w:pPr>
              <w:rPr>
                <w:rFonts w:ascii="宋体"/>
              </w:rPr>
            </w:pPr>
          </w:p>
        </w:tc>
        <w:tc>
          <w:tcPr>
            <w:tcW w:w="5" w:type="pct"/>
            <w:shd w:val="clear" w:color="auto" w:fill="auto"/>
            <w:vAlign w:val="bottom"/>
          </w:tcPr>
          <w:p w14:paraId="71D3E60B" w14:textId="77777777" w:rsidR="006A3667" w:rsidRDefault="006A3667">
            <w:pPr>
              <w:rPr>
                <w:rFonts w:ascii="宋体"/>
              </w:rPr>
            </w:pPr>
          </w:p>
        </w:tc>
        <w:tc>
          <w:tcPr>
            <w:tcW w:w="5" w:type="pct"/>
            <w:shd w:val="clear" w:color="auto" w:fill="auto"/>
            <w:vAlign w:val="bottom"/>
          </w:tcPr>
          <w:p w14:paraId="71D3E60C" w14:textId="77777777" w:rsidR="006A3667" w:rsidRDefault="006A3667">
            <w:pPr>
              <w:rPr>
                <w:rFonts w:ascii="宋体"/>
              </w:rPr>
            </w:pPr>
          </w:p>
        </w:tc>
        <w:tc>
          <w:tcPr>
            <w:tcW w:w="26" w:type="pct"/>
            <w:shd w:val="clear" w:color="auto" w:fill="auto"/>
            <w:vAlign w:val="bottom"/>
          </w:tcPr>
          <w:p w14:paraId="71D3E60D" w14:textId="77777777" w:rsidR="006A3667" w:rsidRDefault="006A3667">
            <w:pPr>
              <w:rPr>
                <w:rFonts w:ascii="宋体"/>
              </w:rPr>
            </w:pPr>
          </w:p>
        </w:tc>
        <w:tc>
          <w:tcPr>
            <w:tcW w:w="5" w:type="pct"/>
            <w:shd w:val="clear" w:color="auto" w:fill="auto"/>
            <w:vAlign w:val="bottom"/>
          </w:tcPr>
          <w:p w14:paraId="71D3E60E" w14:textId="77777777" w:rsidR="006A3667" w:rsidRDefault="006A3667">
            <w:pPr>
              <w:rPr>
                <w:rFonts w:ascii="宋体"/>
              </w:rPr>
            </w:pPr>
          </w:p>
        </w:tc>
        <w:tc>
          <w:tcPr>
            <w:tcW w:w="50" w:type="pct"/>
            <w:shd w:val="clear" w:color="auto" w:fill="auto"/>
            <w:vAlign w:val="bottom"/>
          </w:tcPr>
          <w:p w14:paraId="71D3E60F" w14:textId="77777777" w:rsidR="006A3667" w:rsidRDefault="006A3667">
            <w:pPr>
              <w:rPr>
                <w:rFonts w:ascii="宋体"/>
              </w:rPr>
            </w:pPr>
          </w:p>
        </w:tc>
        <w:tc>
          <w:tcPr>
            <w:tcW w:w="390" w:type="pct"/>
            <w:shd w:val="clear" w:color="auto" w:fill="auto"/>
            <w:vAlign w:val="bottom"/>
          </w:tcPr>
          <w:p w14:paraId="71D3E610" w14:textId="77777777" w:rsidR="006A3667" w:rsidRDefault="006A3667">
            <w:pPr>
              <w:rPr>
                <w:rFonts w:ascii="宋体"/>
              </w:rPr>
            </w:pPr>
          </w:p>
        </w:tc>
        <w:tc>
          <w:tcPr>
            <w:tcW w:w="5" w:type="pct"/>
            <w:shd w:val="clear" w:color="auto" w:fill="auto"/>
            <w:vAlign w:val="bottom"/>
          </w:tcPr>
          <w:p w14:paraId="71D3E611" w14:textId="77777777" w:rsidR="006A3667" w:rsidRDefault="006A3667">
            <w:pPr>
              <w:rPr>
                <w:rFonts w:ascii="宋体"/>
              </w:rPr>
            </w:pPr>
          </w:p>
        </w:tc>
        <w:tc>
          <w:tcPr>
            <w:tcW w:w="5" w:type="pct"/>
            <w:shd w:val="clear" w:color="auto" w:fill="auto"/>
            <w:vAlign w:val="bottom"/>
          </w:tcPr>
          <w:p w14:paraId="71D3E612" w14:textId="77777777" w:rsidR="006A3667" w:rsidRDefault="006A3667">
            <w:pPr>
              <w:rPr>
                <w:rFonts w:ascii="宋体"/>
              </w:rPr>
            </w:pPr>
          </w:p>
        </w:tc>
        <w:tc>
          <w:tcPr>
            <w:tcW w:w="26" w:type="pct"/>
            <w:shd w:val="clear" w:color="auto" w:fill="auto"/>
            <w:vAlign w:val="bottom"/>
          </w:tcPr>
          <w:p w14:paraId="71D3E613" w14:textId="77777777" w:rsidR="006A3667" w:rsidRDefault="006A3667">
            <w:pPr>
              <w:rPr>
                <w:rFonts w:ascii="宋体"/>
              </w:rPr>
            </w:pPr>
          </w:p>
        </w:tc>
        <w:tc>
          <w:tcPr>
            <w:tcW w:w="5" w:type="pct"/>
            <w:shd w:val="clear" w:color="auto" w:fill="auto"/>
            <w:vAlign w:val="bottom"/>
          </w:tcPr>
          <w:p w14:paraId="71D3E614" w14:textId="77777777" w:rsidR="006A3667" w:rsidRDefault="006A3667">
            <w:pPr>
              <w:rPr>
                <w:rFonts w:ascii="宋体"/>
              </w:rPr>
            </w:pPr>
          </w:p>
        </w:tc>
        <w:tc>
          <w:tcPr>
            <w:tcW w:w="50" w:type="pct"/>
            <w:shd w:val="clear" w:color="auto" w:fill="auto"/>
            <w:vAlign w:val="bottom"/>
          </w:tcPr>
          <w:p w14:paraId="71D3E615" w14:textId="77777777" w:rsidR="006A3667" w:rsidRDefault="006A3667">
            <w:pPr>
              <w:rPr>
                <w:rFonts w:ascii="宋体"/>
              </w:rPr>
            </w:pPr>
          </w:p>
        </w:tc>
        <w:tc>
          <w:tcPr>
            <w:tcW w:w="624" w:type="pct"/>
            <w:shd w:val="clear" w:color="auto" w:fill="auto"/>
            <w:vAlign w:val="bottom"/>
          </w:tcPr>
          <w:p w14:paraId="71D3E616" w14:textId="77777777" w:rsidR="006A3667" w:rsidRDefault="006A3667">
            <w:pPr>
              <w:rPr>
                <w:rFonts w:ascii="宋体"/>
              </w:rPr>
            </w:pPr>
          </w:p>
        </w:tc>
        <w:tc>
          <w:tcPr>
            <w:tcW w:w="5" w:type="pct"/>
            <w:shd w:val="clear" w:color="auto" w:fill="auto"/>
            <w:vAlign w:val="bottom"/>
          </w:tcPr>
          <w:p w14:paraId="71D3E617" w14:textId="77777777" w:rsidR="006A3667" w:rsidRDefault="006A3667">
            <w:pPr>
              <w:rPr>
                <w:rFonts w:ascii="宋体"/>
              </w:rPr>
            </w:pPr>
          </w:p>
        </w:tc>
        <w:tc>
          <w:tcPr>
            <w:tcW w:w="5" w:type="pct"/>
            <w:shd w:val="clear" w:color="auto" w:fill="auto"/>
            <w:vAlign w:val="bottom"/>
          </w:tcPr>
          <w:p w14:paraId="71D3E618" w14:textId="77777777" w:rsidR="006A3667" w:rsidRDefault="006A3667">
            <w:pPr>
              <w:rPr>
                <w:rFonts w:ascii="宋体"/>
              </w:rPr>
            </w:pPr>
          </w:p>
        </w:tc>
        <w:tc>
          <w:tcPr>
            <w:tcW w:w="26" w:type="pct"/>
            <w:shd w:val="clear" w:color="auto" w:fill="auto"/>
            <w:vAlign w:val="bottom"/>
          </w:tcPr>
          <w:p w14:paraId="71D3E619" w14:textId="77777777" w:rsidR="006A3667" w:rsidRDefault="006A3667">
            <w:pPr>
              <w:rPr>
                <w:rFonts w:ascii="宋体"/>
              </w:rPr>
            </w:pPr>
          </w:p>
        </w:tc>
        <w:tc>
          <w:tcPr>
            <w:tcW w:w="5" w:type="pct"/>
            <w:shd w:val="clear" w:color="auto" w:fill="auto"/>
            <w:vAlign w:val="bottom"/>
          </w:tcPr>
          <w:p w14:paraId="71D3E61A" w14:textId="77777777" w:rsidR="006A3667" w:rsidRDefault="006A3667">
            <w:pPr>
              <w:rPr>
                <w:rFonts w:ascii="宋体"/>
              </w:rPr>
            </w:pPr>
          </w:p>
        </w:tc>
        <w:tc>
          <w:tcPr>
            <w:tcW w:w="50" w:type="pct"/>
            <w:shd w:val="clear" w:color="auto" w:fill="auto"/>
            <w:vAlign w:val="bottom"/>
          </w:tcPr>
          <w:p w14:paraId="71D3E61B" w14:textId="77777777" w:rsidR="006A3667" w:rsidRDefault="006A3667">
            <w:pPr>
              <w:rPr>
                <w:rFonts w:ascii="宋体"/>
              </w:rPr>
            </w:pPr>
          </w:p>
        </w:tc>
        <w:tc>
          <w:tcPr>
            <w:tcW w:w="624" w:type="pct"/>
            <w:shd w:val="clear" w:color="auto" w:fill="auto"/>
            <w:vAlign w:val="bottom"/>
          </w:tcPr>
          <w:p w14:paraId="71D3E61C" w14:textId="77777777" w:rsidR="006A3667" w:rsidRDefault="006A3667">
            <w:pPr>
              <w:rPr>
                <w:rFonts w:ascii="宋体"/>
              </w:rPr>
            </w:pPr>
          </w:p>
        </w:tc>
        <w:tc>
          <w:tcPr>
            <w:tcW w:w="5" w:type="pct"/>
            <w:shd w:val="clear" w:color="auto" w:fill="auto"/>
            <w:vAlign w:val="bottom"/>
          </w:tcPr>
          <w:p w14:paraId="71D3E61D" w14:textId="77777777" w:rsidR="006A3667" w:rsidRDefault="006A3667">
            <w:pPr>
              <w:rPr>
                <w:rFonts w:ascii="宋体"/>
              </w:rPr>
            </w:pPr>
          </w:p>
        </w:tc>
        <w:tc>
          <w:tcPr>
            <w:tcW w:w="5" w:type="pct"/>
            <w:shd w:val="clear" w:color="auto" w:fill="auto"/>
            <w:vAlign w:val="bottom"/>
          </w:tcPr>
          <w:p w14:paraId="71D3E61E" w14:textId="77777777" w:rsidR="006A3667" w:rsidRDefault="006A3667">
            <w:pPr>
              <w:rPr>
                <w:rFonts w:ascii="宋体"/>
              </w:rPr>
            </w:pPr>
          </w:p>
        </w:tc>
        <w:tc>
          <w:tcPr>
            <w:tcW w:w="26" w:type="pct"/>
            <w:shd w:val="clear" w:color="auto" w:fill="auto"/>
            <w:vAlign w:val="bottom"/>
          </w:tcPr>
          <w:p w14:paraId="71D3E61F" w14:textId="77777777" w:rsidR="006A3667" w:rsidRDefault="006A3667">
            <w:pPr>
              <w:rPr>
                <w:rFonts w:ascii="宋体"/>
              </w:rPr>
            </w:pPr>
          </w:p>
        </w:tc>
        <w:tc>
          <w:tcPr>
            <w:tcW w:w="5" w:type="pct"/>
            <w:shd w:val="clear" w:color="auto" w:fill="auto"/>
            <w:vAlign w:val="bottom"/>
          </w:tcPr>
          <w:p w14:paraId="71D3E620" w14:textId="77777777" w:rsidR="006A3667" w:rsidRDefault="006A3667">
            <w:pPr>
              <w:rPr>
                <w:rFonts w:ascii="宋体"/>
              </w:rPr>
            </w:pPr>
          </w:p>
        </w:tc>
        <w:tc>
          <w:tcPr>
            <w:tcW w:w="50" w:type="pct"/>
            <w:shd w:val="clear" w:color="auto" w:fill="auto"/>
            <w:vAlign w:val="bottom"/>
          </w:tcPr>
          <w:p w14:paraId="71D3E621" w14:textId="77777777" w:rsidR="006A3667" w:rsidRDefault="006A3667">
            <w:pPr>
              <w:rPr>
                <w:rFonts w:ascii="宋体"/>
              </w:rPr>
            </w:pPr>
          </w:p>
        </w:tc>
        <w:tc>
          <w:tcPr>
            <w:tcW w:w="391" w:type="pct"/>
            <w:shd w:val="clear" w:color="auto" w:fill="auto"/>
            <w:vAlign w:val="bottom"/>
          </w:tcPr>
          <w:p w14:paraId="71D3E622" w14:textId="77777777" w:rsidR="006A3667" w:rsidRDefault="006A3667">
            <w:pPr>
              <w:rPr>
                <w:rFonts w:ascii="宋体"/>
              </w:rPr>
            </w:pPr>
          </w:p>
        </w:tc>
        <w:tc>
          <w:tcPr>
            <w:tcW w:w="5" w:type="pct"/>
            <w:shd w:val="clear" w:color="auto" w:fill="auto"/>
            <w:vAlign w:val="bottom"/>
          </w:tcPr>
          <w:p w14:paraId="71D3E623" w14:textId="77777777" w:rsidR="006A3667" w:rsidRDefault="006A3667">
            <w:pPr>
              <w:rPr>
                <w:rFonts w:ascii="宋体"/>
              </w:rPr>
            </w:pPr>
          </w:p>
        </w:tc>
        <w:tc>
          <w:tcPr>
            <w:tcW w:w="0" w:type="auto"/>
            <w:shd w:val="clear" w:color="auto" w:fill="auto"/>
            <w:vAlign w:val="bottom"/>
          </w:tcPr>
          <w:p w14:paraId="71D3E624" w14:textId="77777777" w:rsidR="006A3667" w:rsidRDefault="006A3667">
            <w:pPr>
              <w:rPr>
                <w:rFonts w:ascii="宋体"/>
                <w:vanish/>
              </w:rPr>
            </w:pPr>
          </w:p>
        </w:tc>
      </w:tr>
      <w:tr w:rsidR="006A3667" w14:paraId="71D3E628" w14:textId="77777777">
        <w:tc>
          <w:tcPr>
            <w:tcW w:w="0" w:type="auto"/>
            <w:gridSpan w:val="36"/>
            <w:shd w:val="clear" w:color="auto" w:fill="auto"/>
            <w:tcMar>
              <w:top w:w="40" w:type="dxa"/>
              <w:left w:w="20" w:type="dxa"/>
              <w:bottom w:w="40" w:type="dxa"/>
              <w:right w:w="20" w:type="dxa"/>
            </w:tcMar>
            <w:vAlign w:val="bottom"/>
          </w:tcPr>
          <w:p w14:paraId="71D3E626" w14:textId="77777777" w:rsidR="006A3667" w:rsidRDefault="00045F32">
            <w:pPr>
              <w:textAlignment w:val="bottom"/>
            </w:pPr>
            <w:r>
              <w:rPr>
                <w:rFonts w:ascii="Arial" w:eastAsia="宋体" w:hAnsi="Arial" w:cs="Arial"/>
                <w:b/>
                <w:bCs/>
                <w:color w:val="000000"/>
                <w:sz w:val="16"/>
                <w:szCs w:val="16"/>
              </w:rPr>
              <w:t>TABLE 12: ACTIVITY IN ASSETS UNDER MANAGEMENT BY PRODUCT CATEGORY</w:t>
            </w:r>
          </w:p>
        </w:tc>
        <w:tc>
          <w:tcPr>
            <w:tcW w:w="0" w:type="auto"/>
            <w:shd w:val="clear" w:color="auto" w:fill="auto"/>
            <w:vAlign w:val="bottom"/>
          </w:tcPr>
          <w:p w14:paraId="71D3E627" w14:textId="77777777" w:rsidR="006A3667" w:rsidRDefault="006A3667">
            <w:pPr>
              <w:rPr>
                <w:rFonts w:ascii="宋体"/>
                <w:vanish/>
              </w:rPr>
            </w:pPr>
          </w:p>
        </w:tc>
      </w:tr>
      <w:tr w:rsidR="006A3667" w14:paraId="71D3E636" w14:textId="77777777">
        <w:tc>
          <w:tcPr>
            <w:tcW w:w="0" w:type="auto"/>
            <w:gridSpan w:val="3"/>
            <w:shd w:val="clear" w:color="auto" w:fill="auto"/>
            <w:tcMar>
              <w:top w:w="40" w:type="dxa"/>
              <w:left w:w="20" w:type="dxa"/>
              <w:bottom w:w="40" w:type="dxa"/>
              <w:right w:w="20" w:type="dxa"/>
            </w:tcMar>
            <w:vAlign w:val="bottom"/>
          </w:tcPr>
          <w:p w14:paraId="71D3E629" w14:textId="77777777" w:rsidR="006A3667" w:rsidRDefault="00045F32">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71D3E62A" w14:textId="77777777" w:rsidR="006A3667" w:rsidRDefault="00045F32">
            <w:pPr>
              <w:jc w:val="center"/>
              <w:textAlignment w:val="bottom"/>
            </w:pPr>
            <w:r>
              <w:rPr>
                <w:rFonts w:ascii="Arial" w:eastAsia="宋体" w:hAnsi="Arial" w:cs="Arial"/>
                <w:b/>
                <w:bCs/>
                <w:color w:val="000000"/>
                <w:sz w:val="14"/>
                <w:szCs w:val="14"/>
              </w:rPr>
              <w:t>Equity</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3E62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62C" w14:textId="77777777" w:rsidR="006A3667" w:rsidRDefault="00045F32">
            <w:pPr>
              <w:jc w:val="center"/>
              <w:textAlignment w:val="bottom"/>
            </w:pPr>
            <w:r>
              <w:rPr>
                <w:rFonts w:ascii="Arial" w:eastAsia="宋体" w:hAnsi="Arial" w:cs="Arial"/>
                <w:b/>
                <w:bCs/>
                <w:color w:val="000000"/>
                <w:sz w:val="14"/>
                <w:szCs w:val="14"/>
              </w:rPr>
              <w:t>Fixed-In</w:t>
            </w:r>
            <w:r>
              <w:rPr>
                <w:rFonts w:ascii="Arial" w:eastAsia="宋体" w:hAnsi="Arial" w:cs="Arial"/>
                <w:b/>
                <w:bCs/>
                <w:color w:val="000000"/>
                <w:sz w:val="14"/>
                <w:szCs w:val="14"/>
              </w:rPr>
              <w:t>come</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3E62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62E" w14:textId="77777777" w:rsidR="006A3667" w:rsidRDefault="00045F32">
            <w:pPr>
              <w:jc w:val="center"/>
              <w:textAlignment w:val="bottom"/>
            </w:pPr>
            <w:r>
              <w:rPr>
                <w:rFonts w:ascii="Arial" w:eastAsia="宋体" w:hAnsi="Arial" w:cs="Arial"/>
                <w:b/>
                <w:bCs/>
                <w:color w:val="000000"/>
                <w:sz w:val="14"/>
                <w:szCs w:val="14"/>
              </w:rPr>
              <w:t>Cash</w:t>
            </w:r>
            <w:r>
              <w:rPr>
                <w:rFonts w:ascii="Arial" w:eastAsia="宋体" w:hAnsi="Arial" w:cs="Arial"/>
                <w:b/>
                <w:bCs/>
                <w:color w:val="000000"/>
                <w:sz w:val="9"/>
                <w:szCs w:val="9"/>
              </w:rPr>
              <w:t>(1)(2)</w:t>
            </w:r>
          </w:p>
        </w:tc>
        <w:tc>
          <w:tcPr>
            <w:tcW w:w="0" w:type="auto"/>
            <w:gridSpan w:val="3"/>
            <w:shd w:val="clear" w:color="auto" w:fill="auto"/>
            <w:tcMar>
              <w:top w:w="0" w:type="dxa"/>
              <w:left w:w="20" w:type="dxa"/>
              <w:bottom w:w="0" w:type="dxa"/>
              <w:right w:w="20" w:type="dxa"/>
            </w:tcMar>
            <w:vAlign w:val="bottom"/>
          </w:tcPr>
          <w:p w14:paraId="71D3E62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630" w14:textId="77777777" w:rsidR="006A3667" w:rsidRDefault="00045F32">
            <w:pPr>
              <w:jc w:val="center"/>
              <w:textAlignment w:val="bottom"/>
            </w:pPr>
            <w:r>
              <w:rPr>
                <w:rFonts w:ascii="Arial" w:eastAsia="宋体" w:hAnsi="Arial" w:cs="Arial"/>
                <w:b/>
                <w:bCs/>
                <w:color w:val="000000"/>
                <w:sz w:val="14"/>
                <w:szCs w:val="14"/>
              </w:rPr>
              <w:t>Multi-Asset-Class Solutions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3E63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632" w14:textId="77777777" w:rsidR="006A3667" w:rsidRDefault="00045F32">
            <w:pPr>
              <w:jc w:val="center"/>
              <w:textAlignment w:val="bottom"/>
            </w:pPr>
            <w:r>
              <w:rPr>
                <w:rFonts w:ascii="Arial" w:eastAsia="宋体" w:hAnsi="Arial" w:cs="Arial"/>
                <w:b/>
                <w:bCs/>
                <w:color w:val="000000"/>
                <w:sz w:val="14"/>
                <w:szCs w:val="14"/>
              </w:rPr>
              <w:t>Alternative Investments</w:t>
            </w:r>
            <w:r>
              <w:rPr>
                <w:rFonts w:ascii="Arial" w:eastAsia="宋体" w:hAnsi="Arial" w:cs="Arial"/>
                <w:b/>
                <w:bCs/>
                <w:color w:val="000000"/>
                <w:sz w:val="9"/>
                <w:szCs w:val="9"/>
              </w:rPr>
              <w:t>(1)(3)</w:t>
            </w:r>
          </w:p>
        </w:tc>
        <w:tc>
          <w:tcPr>
            <w:tcW w:w="0" w:type="auto"/>
            <w:gridSpan w:val="3"/>
            <w:shd w:val="clear" w:color="auto" w:fill="auto"/>
            <w:tcMar>
              <w:top w:w="0" w:type="dxa"/>
              <w:left w:w="20" w:type="dxa"/>
              <w:bottom w:w="0" w:type="dxa"/>
              <w:right w:w="20" w:type="dxa"/>
            </w:tcMar>
            <w:vAlign w:val="bottom"/>
          </w:tcPr>
          <w:p w14:paraId="71D3E63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E634" w14:textId="77777777" w:rsidR="006A3667" w:rsidRDefault="00045F32">
            <w:pPr>
              <w:jc w:val="center"/>
              <w:textAlignment w:val="bottom"/>
            </w:pPr>
            <w:r>
              <w:rPr>
                <w:rFonts w:ascii="Arial" w:eastAsia="宋体" w:hAnsi="Arial" w:cs="Arial"/>
                <w:b/>
                <w:bCs/>
                <w:color w:val="000000"/>
                <w:sz w:val="14"/>
                <w:szCs w:val="14"/>
              </w:rPr>
              <w:t>Total</w:t>
            </w:r>
          </w:p>
        </w:tc>
        <w:tc>
          <w:tcPr>
            <w:tcW w:w="0" w:type="auto"/>
            <w:shd w:val="clear" w:color="auto" w:fill="auto"/>
            <w:vAlign w:val="bottom"/>
          </w:tcPr>
          <w:p w14:paraId="71D3E635" w14:textId="77777777" w:rsidR="006A3667" w:rsidRDefault="006A3667">
            <w:pPr>
              <w:rPr>
                <w:rFonts w:ascii="宋体"/>
                <w:vanish/>
              </w:rPr>
            </w:pPr>
          </w:p>
        </w:tc>
      </w:tr>
      <w:tr w:rsidR="006A3667" w14:paraId="71D3E650" w14:textId="77777777">
        <w:tc>
          <w:tcPr>
            <w:tcW w:w="0" w:type="auto"/>
            <w:gridSpan w:val="3"/>
            <w:shd w:val="clear" w:color="auto" w:fill="CCEEFF"/>
            <w:tcMar>
              <w:top w:w="40" w:type="dxa"/>
              <w:left w:w="20" w:type="dxa"/>
              <w:bottom w:w="40" w:type="dxa"/>
              <w:right w:w="20" w:type="dxa"/>
            </w:tcMar>
            <w:vAlign w:val="bottom"/>
          </w:tcPr>
          <w:p w14:paraId="71D3E637" w14:textId="77777777" w:rsidR="006A3667" w:rsidRDefault="00045F32">
            <w:pPr>
              <w:textAlignment w:val="bottom"/>
            </w:pPr>
            <w:r>
              <w:rPr>
                <w:rFonts w:ascii="Arial" w:eastAsia="宋体" w:hAnsi="Arial" w:cs="Arial"/>
                <w:b/>
                <w:bCs/>
                <w:color w:val="000000"/>
                <w:sz w:val="14"/>
                <w:szCs w:val="14"/>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63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639" w14:textId="77777777" w:rsidR="006A3667" w:rsidRDefault="00045F32">
            <w:pPr>
              <w:jc w:val="right"/>
              <w:textAlignment w:val="bottom"/>
            </w:pPr>
            <w:r>
              <w:rPr>
                <w:rFonts w:ascii="Arial" w:eastAsia="宋体" w:hAnsi="Arial" w:cs="Arial"/>
                <w:color w:val="000000"/>
                <w:sz w:val="14"/>
                <w:szCs w:val="14"/>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3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63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63D" w14:textId="77777777" w:rsidR="006A3667" w:rsidRDefault="00045F32">
            <w:pPr>
              <w:jc w:val="right"/>
              <w:textAlignment w:val="bottom"/>
            </w:pPr>
            <w:r>
              <w:rPr>
                <w:rFonts w:ascii="Arial" w:eastAsia="宋体" w:hAnsi="Arial" w:cs="Arial"/>
                <w:color w:val="000000"/>
                <w:sz w:val="14"/>
                <w:szCs w:val="14"/>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3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64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641" w14:textId="77777777" w:rsidR="006A3667" w:rsidRDefault="00045F32">
            <w:pPr>
              <w:jc w:val="right"/>
              <w:textAlignment w:val="bottom"/>
            </w:pPr>
            <w:r>
              <w:rPr>
                <w:rFonts w:ascii="Arial" w:eastAsia="宋体" w:hAnsi="Arial" w:cs="Arial"/>
                <w:color w:val="000000"/>
                <w:sz w:val="14"/>
                <w:szCs w:val="14"/>
              </w:rPr>
              <w:t>349 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4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64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645" w14:textId="77777777" w:rsidR="006A3667" w:rsidRDefault="00045F32">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4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4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64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649" w14:textId="77777777" w:rsidR="006A3667" w:rsidRDefault="00045F32">
            <w:pPr>
              <w:jc w:val="right"/>
              <w:textAlignment w:val="bottom"/>
            </w:pPr>
            <w:r>
              <w:rPr>
                <w:rFonts w:ascii="Arial" w:eastAsia="宋体" w:hAnsi="Arial" w:cs="Arial"/>
                <w:color w:val="000000"/>
                <w:sz w:val="14"/>
                <w:szCs w:val="14"/>
              </w:rPr>
              <w:t>212 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4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4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64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64D" w14:textId="77777777" w:rsidR="006A3667" w:rsidRDefault="00045F32">
            <w:pPr>
              <w:jc w:val="right"/>
              <w:textAlignment w:val="bottom"/>
            </w:pPr>
            <w:r>
              <w:rPr>
                <w:rFonts w:ascii="Arial" w:eastAsia="宋体" w:hAnsi="Arial" w:cs="Arial"/>
                <w:color w:val="000000"/>
                <w:sz w:val="14"/>
                <w:szCs w:val="14"/>
              </w:rPr>
              <w:t>3,467 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4E" w14:textId="77777777" w:rsidR="006A3667" w:rsidRDefault="006A3667">
            <w:pPr>
              <w:jc w:val="right"/>
              <w:rPr>
                <w:rFonts w:ascii="宋体"/>
              </w:rPr>
            </w:pPr>
          </w:p>
        </w:tc>
        <w:tc>
          <w:tcPr>
            <w:tcW w:w="0" w:type="auto"/>
            <w:shd w:val="clear" w:color="auto" w:fill="auto"/>
            <w:vAlign w:val="bottom"/>
          </w:tcPr>
          <w:p w14:paraId="71D3E64F" w14:textId="77777777" w:rsidR="006A3667" w:rsidRDefault="006A3667">
            <w:pPr>
              <w:rPr>
                <w:rFonts w:ascii="宋体"/>
                <w:vanish/>
              </w:rPr>
            </w:pPr>
          </w:p>
        </w:tc>
      </w:tr>
      <w:tr w:rsidR="006A3667" w14:paraId="71D3E664" w14:textId="77777777">
        <w:tc>
          <w:tcPr>
            <w:tcW w:w="0" w:type="auto"/>
            <w:gridSpan w:val="3"/>
            <w:shd w:val="clear" w:color="auto" w:fill="FFFFFF"/>
            <w:tcMar>
              <w:top w:w="40" w:type="dxa"/>
              <w:left w:w="20" w:type="dxa"/>
              <w:bottom w:w="40" w:type="dxa"/>
              <w:right w:w="20" w:type="dxa"/>
            </w:tcMar>
            <w:vAlign w:val="bottom"/>
          </w:tcPr>
          <w:p w14:paraId="71D3E651" w14:textId="77777777" w:rsidR="006A3667" w:rsidRDefault="00045F32">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71D3E652" w14:textId="77777777" w:rsidR="006A3667" w:rsidRDefault="00045F32">
            <w:pPr>
              <w:jc w:val="right"/>
              <w:textAlignment w:val="bottom"/>
            </w:pPr>
            <w:r>
              <w:rPr>
                <w:rFonts w:ascii="Arial" w:eastAsia="宋体" w:hAnsi="Arial" w:cs="Arial"/>
                <w:color w:val="000000"/>
                <w:sz w:val="14"/>
                <w:szCs w:val="14"/>
              </w:rPr>
              <w:t>(35)</w:t>
            </w:r>
          </w:p>
        </w:tc>
        <w:tc>
          <w:tcPr>
            <w:tcW w:w="0" w:type="auto"/>
            <w:shd w:val="clear" w:color="auto" w:fill="FFFFFF"/>
            <w:tcMar>
              <w:top w:w="40" w:type="dxa"/>
              <w:left w:w="0" w:type="dxa"/>
              <w:bottom w:w="40" w:type="dxa"/>
              <w:right w:w="20" w:type="dxa"/>
            </w:tcMar>
            <w:vAlign w:val="bottom"/>
          </w:tcPr>
          <w:p w14:paraId="71D3E6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5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55" w14:textId="77777777" w:rsidR="006A3667" w:rsidRDefault="00045F32">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71D3E6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5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58"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E6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5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5B"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1D3E6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5E"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1D3E6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61" w14:textId="77777777" w:rsidR="006A3667" w:rsidRDefault="00045F32">
            <w:pPr>
              <w:jc w:val="right"/>
              <w:textAlignment w:val="bottom"/>
            </w:pPr>
            <w:r>
              <w:rPr>
                <w:rFonts w:ascii="Arial" w:eastAsia="宋体" w:hAnsi="Arial" w:cs="Arial"/>
                <w:color w:val="000000"/>
                <w:sz w:val="14"/>
                <w:szCs w:val="14"/>
              </w:rPr>
              <w:t>(8)</w:t>
            </w:r>
          </w:p>
        </w:tc>
        <w:tc>
          <w:tcPr>
            <w:tcW w:w="0" w:type="auto"/>
            <w:shd w:val="clear" w:color="auto" w:fill="FFFFFF"/>
            <w:tcMar>
              <w:top w:w="40" w:type="dxa"/>
              <w:left w:w="0" w:type="dxa"/>
              <w:bottom w:w="40" w:type="dxa"/>
              <w:right w:w="20" w:type="dxa"/>
            </w:tcMar>
            <w:vAlign w:val="bottom"/>
          </w:tcPr>
          <w:p w14:paraId="71D3E662" w14:textId="77777777" w:rsidR="006A3667" w:rsidRDefault="006A3667">
            <w:pPr>
              <w:jc w:val="right"/>
              <w:rPr>
                <w:rFonts w:ascii="宋体"/>
              </w:rPr>
            </w:pPr>
          </w:p>
        </w:tc>
        <w:tc>
          <w:tcPr>
            <w:tcW w:w="0" w:type="auto"/>
            <w:shd w:val="clear" w:color="auto" w:fill="auto"/>
            <w:vAlign w:val="bottom"/>
          </w:tcPr>
          <w:p w14:paraId="71D3E663" w14:textId="77777777" w:rsidR="006A3667" w:rsidRDefault="006A3667">
            <w:pPr>
              <w:rPr>
                <w:rFonts w:ascii="宋体"/>
                <w:vanish/>
              </w:rPr>
            </w:pPr>
          </w:p>
        </w:tc>
      </w:tr>
      <w:tr w:rsidR="006A3667" w14:paraId="71D3E678" w14:textId="77777777">
        <w:tc>
          <w:tcPr>
            <w:tcW w:w="0" w:type="auto"/>
            <w:gridSpan w:val="3"/>
            <w:shd w:val="clear" w:color="auto" w:fill="CCEEFF"/>
            <w:tcMar>
              <w:top w:w="40" w:type="dxa"/>
              <w:left w:w="20" w:type="dxa"/>
              <w:bottom w:w="40" w:type="dxa"/>
              <w:right w:w="20" w:type="dxa"/>
            </w:tcMar>
            <w:vAlign w:val="bottom"/>
          </w:tcPr>
          <w:p w14:paraId="71D3E665" w14:textId="77777777" w:rsidR="006A3667" w:rsidRDefault="00045F32">
            <w:pPr>
              <w:textAlignment w:val="bottom"/>
            </w:pPr>
            <w:r>
              <w:rPr>
                <w:rFonts w:ascii="Arial" w:eastAsia="宋体" w:hAnsi="Arial" w:cs="Arial"/>
                <w:color w:val="000000"/>
                <w:sz w:val="14"/>
                <w:szCs w:val="14"/>
              </w:rPr>
              <w:t>Exchange-traded fund flows, net</w:t>
            </w:r>
          </w:p>
        </w:tc>
        <w:tc>
          <w:tcPr>
            <w:tcW w:w="0" w:type="auto"/>
            <w:gridSpan w:val="2"/>
            <w:shd w:val="clear" w:color="auto" w:fill="CCEEFF"/>
            <w:tcMar>
              <w:top w:w="40" w:type="dxa"/>
              <w:left w:w="20" w:type="dxa"/>
              <w:bottom w:w="40" w:type="dxa"/>
              <w:right w:w="0" w:type="dxa"/>
            </w:tcMar>
            <w:vAlign w:val="bottom"/>
          </w:tcPr>
          <w:p w14:paraId="71D3E666" w14:textId="77777777" w:rsidR="006A3667" w:rsidRDefault="00045F32">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71D3E6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6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69" w14:textId="77777777" w:rsidR="006A3667" w:rsidRDefault="00045F32">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71D3E6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6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6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66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6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6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6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7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72" w14:textId="77777777" w:rsidR="006A3667" w:rsidRDefault="00045F32">
            <w:pPr>
              <w:jc w:val="right"/>
              <w:textAlignment w:val="bottom"/>
            </w:pPr>
            <w:r>
              <w:rPr>
                <w:rFonts w:ascii="Arial" w:eastAsia="宋体" w:hAnsi="Arial" w:cs="Arial"/>
                <w:color w:val="000000"/>
                <w:sz w:val="14"/>
                <w:szCs w:val="14"/>
              </w:rPr>
              <w:t>(7)</w:t>
            </w:r>
          </w:p>
        </w:tc>
        <w:tc>
          <w:tcPr>
            <w:tcW w:w="0" w:type="auto"/>
            <w:shd w:val="clear" w:color="auto" w:fill="CCEEFF"/>
            <w:tcMar>
              <w:top w:w="40" w:type="dxa"/>
              <w:left w:w="0" w:type="dxa"/>
              <w:bottom w:w="40" w:type="dxa"/>
              <w:right w:w="20" w:type="dxa"/>
            </w:tcMar>
            <w:vAlign w:val="bottom"/>
          </w:tcPr>
          <w:p w14:paraId="71D3E6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7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75" w14:textId="77777777" w:rsidR="006A3667" w:rsidRDefault="00045F32">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71D3E676" w14:textId="77777777" w:rsidR="006A3667" w:rsidRDefault="006A3667">
            <w:pPr>
              <w:jc w:val="right"/>
              <w:rPr>
                <w:rFonts w:ascii="宋体"/>
              </w:rPr>
            </w:pPr>
          </w:p>
        </w:tc>
        <w:tc>
          <w:tcPr>
            <w:tcW w:w="0" w:type="auto"/>
            <w:shd w:val="clear" w:color="auto" w:fill="auto"/>
            <w:vAlign w:val="bottom"/>
          </w:tcPr>
          <w:p w14:paraId="71D3E677" w14:textId="77777777" w:rsidR="006A3667" w:rsidRDefault="006A3667">
            <w:pPr>
              <w:rPr>
                <w:rFonts w:ascii="宋体"/>
                <w:vanish/>
              </w:rPr>
            </w:pPr>
          </w:p>
        </w:tc>
      </w:tr>
      <w:tr w:rsidR="006A3667" w14:paraId="71D3E68C" w14:textId="77777777">
        <w:tc>
          <w:tcPr>
            <w:tcW w:w="0" w:type="auto"/>
            <w:gridSpan w:val="3"/>
            <w:shd w:val="clear" w:color="auto" w:fill="FFFFFF"/>
            <w:tcMar>
              <w:top w:w="40" w:type="dxa"/>
              <w:left w:w="20" w:type="dxa"/>
              <w:bottom w:w="40" w:type="dxa"/>
              <w:right w:w="20" w:type="dxa"/>
            </w:tcMar>
            <w:vAlign w:val="bottom"/>
          </w:tcPr>
          <w:p w14:paraId="71D3E679" w14:textId="77777777" w:rsidR="006A3667" w:rsidRDefault="00045F32">
            <w:pPr>
              <w:textAlignment w:val="bottom"/>
            </w:pPr>
            <w:r>
              <w:rPr>
                <w:rFonts w:ascii="Arial" w:eastAsia="宋体" w:hAnsi="Arial" w:cs="Arial"/>
                <w:color w:val="000000"/>
                <w:sz w:val="14"/>
                <w:szCs w:val="14"/>
              </w:rPr>
              <w:t>Cash fund flows, net</w:t>
            </w:r>
          </w:p>
        </w:tc>
        <w:tc>
          <w:tcPr>
            <w:tcW w:w="0" w:type="auto"/>
            <w:gridSpan w:val="2"/>
            <w:shd w:val="clear" w:color="auto" w:fill="FFFFFF"/>
            <w:tcMar>
              <w:top w:w="40" w:type="dxa"/>
              <w:left w:w="20" w:type="dxa"/>
              <w:bottom w:w="40" w:type="dxa"/>
              <w:right w:w="0" w:type="dxa"/>
            </w:tcMar>
            <w:vAlign w:val="bottom"/>
          </w:tcPr>
          <w:p w14:paraId="71D3E67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67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7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7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6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7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80" w14:textId="77777777" w:rsidR="006A3667" w:rsidRDefault="00045F32">
            <w:pPr>
              <w:jc w:val="right"/>
              <w:textAlignment w:val="bottom"/>
            </w:pPr>
            <w:r>
              <w:rPr>
                <w:rFonts w:ascii="Arial" w:eastAsia="宋体" w:hAnsi="Arial" w:cs="Arial"/>
                <w:color w:val="000000"/>
                <w:sz w:val="14"/>
                <w:szCs w:val="14"/>
              </w:rPr>
              <w:t>24 </w:t>
            </w:r>
          </w:p>
        </w:tc>
        <w:tc>
          <w:tcPr>
            <w:tcW w:w="0" w:type="auto"/>
            <w:shd w:val="clear" w:color="auto" w:fill="FFFFFF"/>
            <w:tcMar>
              <w:top w:w="40" w:type="dxa"/>
              <w:left w:w="0" w:type="dxa"/>
              <w:bottom w:w="40" w:type="dxa"/>
              <w:right w:w="20" w:type="dxa"/>
            </w:tcMar>
            <w:vAlign w:val="bottom"/>
          </w:tcPr>
          <w:p w14:paraId="71D3E68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8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8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6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8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6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89" w14:textId="77777777" w:rsidR="006A3667" w:rsidRDefault="00045F32">
            <w:pPr>
              <w:jc w:val="right"/>
              <w:textAlignment w:val="bottom"/>
            </w:pPr>
            <w:r>
              <w:rPr>
                <w:rFonts w:ascii="Arial" w:eastAsia="宋体" w:hAnsi="Arial" w:cs="Arial"/>
                <w:color w:val="000000"/>
                <w:sz w:val="14"/>
                <w:szCs w:val="14"/>
              </w:rPr>
              <w:t>24 </w:t>
            </w:r>
          </w:p>
        </w:tc>
        <w:tc>
          <w:tcPr>
            <w:tcW w:w="0" w:type="auto"/>
            <w:shd w:val="clear" w:color="auto" w:fill="FFFFFF"/>
            <w:tcMar>
              <w:top w:w="40" w:type="dxa"/>
              <w:left w:w="0" w:type="dxa"/>
              <w:bottom w:w="40" w:type="dxa"/>
              <w:right w:w="20" w:type="dxa"/>
            </w:tcMar>
            <w:vAlign w:val="bottom"/>
          </w:tcPr>
          <w:p w14:paraId="71D3E68A" w14:textId="77777777" w:rsidR="006A3667" w:rsidRDefault="006A3667">
            <w:pPr>
              <w:jc w:val="right"/>
              <w:rPr>
                <w:rFonts w:ascii="宋体"/>
              </w:rPr>
            </w:pPr>
          </w:p>
        </w:tc>
        <w:tc>
          <w:tcPr>
            <w:tcW w:w="0" w:type="auto"/>
            <w:shd w:val="clear" w:color="auto" w:fill="auto"/>
            <w:vAlign w:val="bottom"/>
          </w:tcPr>
          <w:p w14:paraId="71D3E68B" w14:textId="77777777" w:rsidR="006A3667" w:rsidRDefault="006A3667">
            <w:pPr>
              <w:rPr>
                <w:rFonts w:ascii="宋体"/>
                <w:vanish/>
              </w:rPr>
            </w:pPr>
          </w:p>
        </w:tc>
      </w:tr>
      <w:tr w:rsidR="006A3667" w14:paraId="71D3E6A0" w14:textId="77777777">
        <w:tc>
          <w:tcPr>
            <w:tcW w:w="0" w:type="auto"/>
            <w:gridSpan w:val="3"/>
            <w:shd w:val="clear" w:color="auto" w:fill="CCEEFF"/>
            <w:tcMar>
              <w:top w:w="40" w:type="dxa"/>
              <w:left w:w="20" w:type="dxa"/>
              <w:bottom w:w="40" w:type="dxa"/>
              <w:right w:w="20" w:type="dxa"/>
            </w:tcMar>
            <w:vAlign w:val="bottom"/>
          </w:tcPr>
          <w:p w14:paraId="71D3E68D" w14:textId="77777777" w:rsidR="006A3667" w:rsidRDefault="00045F32">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8E" w14:textId="77777777" w:rsidR="006A3667" w:rsidRDefault="00045F32">
            <w:pPr>
              <w:jc w:val="right"/>
              <w:textAlignment w:val="bottom"/>
            </w:pPr>
            <w:r>
              <w:rPr>
                <w:rFonts w:ascii="Arial" w:eastAsia="宋体" w:hAnsi="Arial" w:cs="Arial"/>
                <w:color w:val="000000"/>
                <w:sz w:val="14"/>
                <w:szCs w:val="14"/>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9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91" w14:textId="77777777" w:rsidR="006A3667" w:rsidRDefault="00045F32">
            <w:pPr>
              <w:jc w:val="right"/>
              <w:textAlignment w:val="bottom"/>
            </w:pPr>
            <w:r>
              <w:rPr>
                <w:rFonts w:ascii="Arial" w:eastAsia="宋体" w:hAnsi="Arial" w:cs="Arial"/>
                <w:color w:val="000000"/>
                <w:sz w:val="14"/>
                <w:szCs w:val="14"/>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9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94" w14:textId="77777777" w:rsidR="006A3667" w:rsidRDefault="00045F32">
            <w:pPr>
              <w:jc w:val="right"/>
              <w:textAlignment w:val="bottom"/>
            </w:pPr>
            <w:r>
              <w:rPr>
                <w:rFonts w:ascii="Arial" w:eastAsia="宋体" w:hAnsi="Arial" w:cs="Arial"/>
                <w:color w:val="000000"/>
                <w:sz w:val="14"/>
                <w:szCs w:val="14"/>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9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9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97" w14:textId="77777777" w:rsidR="006A3667" w:rsidRDefault="00045F32">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9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9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9A" w14:textId="77777777" w:rsidR="006A3667" w:rsidRDefault="00045F32">
            <w:pPr>
              <w:jc w:val="right"/>
              <w:textAlignment w:val="bottom"/>
            </w:pPr>
            <w:r>
              <w:rPr>
                <w:rFonts w:ascii="Arial" w:eastAsia="宋体" w:hAnsi="Arial" w:cs="Arial"/>
                <w:color w:val="000000"/>
                <w:sz w:val="14"/>
                <w:szCs w:val="14"/>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9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9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9D" w14:textId="77777777" w:rsidR="006A3667" w:rsidRDefault="00045F32">
            <w:pPr>
              <w:jc w:val="right"/>
              <w:textAlignment w:val="bottom"/>
            </w:pPr>
            <w:r>
              <w:rPr>
                <w:rFonts w:ascii="Arial" w:eastAsia="宋体" w:hAnsi="Arial" w:cs="Arial"/>
                <w:color w:val="000000"/>
                <w:sz w:val="14"/>
                <w:szCs w:val="14"/>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9E" w14:textId="77777777" w:rsidR="006A3667" w:rsidRDefault="006A3667">
            <w:pPr>
              <w:jc w:val="right"/>
              <w:rPr>
                <w:rFonts w:ascii="宋体"/>
              </w:rPr>
            </w:pPr>
          </w:p>
        </w:tc>
        <w:tc>
          <w:tcPr>
            <w:tcW w:w="0" w:type="auto"/>
            <w:shd w:val="clear" w:color="auto" w:fill="auto"/>
            <w:vAlign w:val="bottom"/>
          </w:tcPr>
          <w:p w14:paraId="71D3E69F" w14:textId="77777777" w:rsidR="006A3667" w:rsidRDefault="006A3667">
            <w:pPr>
              <w:rPr>
                <w:rFonts w:ascii="宋体"/>
                <w:vanish/>
              </w:rPr>
            </w:pPr>
          </w:p>
        </w:tc>
      </w:tr>
      <w:tr w:rsidR="006A3667" w14:paraId="71D3E6B4" w14:textId="77777777">
        <w:tc>
          <w:tcPr>
            <w:tcW w:w="0" w:type="auto"/>
            <w:gridSpan w:val="3"/>
            <w:shd w:val="clear" w:color="auto" w:fill="FFFFFF"/>
            <w:tcMar>
              <w:top w:w="40" w:type="dxa"/>
              <w:left w:w="155" w:type="dxa"/>
              <w:bottom w:w="40" w:type="dxa"/>
              <w:right w:w="20" w:type="dxa"/>
            </w:tcMar>
            <w:vAlign w:val="bottom"/>
          </w:tcPr>
          <w:p w14:paraId="71D3E6A1" w14:textId="77777777" w:rsidR="006A3667" w:rsidRDefault="00045F32">
            <w:pPr>
              <w:textAlignment w:val="bottom"/>
            </w:pPr>
            <w:r>
              <w:rPr>
                <w:rFonts w:ascii="Arial" w:eastAsia="宋体" w:hAnsi="Arial" w:cs="Arial"/>
                <w:color w:val="000000"/>
                <w:sz w:val="14"/>
                <w:szCs w:val="14"/>
              </w:rPr>
              <w:t>Market appreciation (depreciation)</w:t>
            </w:r>
          </w:p>
        </w:tc>
        <w:tc>
          <w:tcPr>
            <w:tcW w:w="0" w:type="auto"/>
            <w:gridSpan w:val="2"/>
            <w:shd w:val="clear" w:color="auto" w:fill="FFFFFF"/>
            <w:tcMar>
              <w:top w:w="40" w:type="dxa"/>
              <w:left w:w="20" w:type="dxa"/>
              <w:bottom w:w="40" w:type="dxa"/>
              <w:right w:w="0" w:type="dxa"/>
            </w:tcMar>
            <w:vAlign w:val="bottom"/>
          </w:tcPr>
          <w:p w14:paraId="71D3E6A2" w14:textId="77777777" w:rsidR="006A3667" w:rsidRDefault="00045F32">
            <w:pPr>
              <w:jc w:val="right"/>
              <w:textAlignment w:val="bottom"/>
            </w:pPr>
            <w:r>
              <w:rPr>
                <w:rFonts w:ascii="Arial" w:eastAsia="宋体" w:hAnsi="Arial" w:cs="Arial"/>
                <w:color w:val="000000"/>
                <w:sz w:val="14"/>
                <w:szCs w:val="14"/>
              </w:rPr>
              <w:t>148 </w:t>
            </w:r>
          </w:p>
        </w:tc>
        <w:tc>
          <w:tcPr>
            <w:tcW w:w="0" w:type="auto"/>
            <w:shd w:val="clear" w:color="auto" w:fill="FFFFFF"/>
            <w:tcMar>
              <w:top w:w="40" w:type="dxa"/>
              <w:left w:w="0" w:type="dxa"/>
              <w:bottom w:w="40" w:type="dxa"/>
              <w:right w:w="20" w:type="dxa"/>
            </w:tcMar>
            <w:vAlign w:val="bottom"/>
          </w:tcPr>
          <w:p w14:paraId="71D3E6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A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A5" w14:textId="77777777" w:rsidR="006A3667" w:rsidRDefault="00045F32">
            <w:pPr>
              <w:jc w:val="right"/>
              <w:textAlignment w:val="bottom"/>
            </w:pPr>
            <w:r>
              <w:rPr>
                <w:rFonts w:ascii="Arial" w:eastAsia="宋体" w:hAnsi="Arial" w:cs="Arial"/>
                <w:color w:val="000000"/>
                <w:sz w:val="14"/>
                <w:szCs w:val="14"/>
              </w:rPr>
              <w:t>(24)</w:t>
            </w:r>
          </w:p>
        </w:tc>
        <w:tc>
          <w:tcPr>
            <w:tcW w:w="0" w:type="auto"/>
            <w:shd w:val="clear" w:color="auto" w:fill="FFFFFF"/>
            <w:tcMar>
              <w:top w:w="40" w:type="dxa"/>
              <w:left w:w="0" w:type="dxa"/>
              <w:bottom w:w="40" w:type="dxa"/>
              <w:right w:w="20" w:type="dxa"/>
            </w:tcMar>
            <w:vAlign w:val="bottom"/>
          </w:tcPr>
          <w:p w14:paraId="71D3E6A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A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A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6A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A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AB"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1D3E6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A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AE"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71D3E6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B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B1" w14:textId="77777777" w:rsidR="006A3667" w:rsidRDefault="00045F32">
            <w:pPr>
              <w:jc w:val="right"/>
              <w:textAlignment w:val="bottom"/>
            </w:pPr>
            <w:r>
              <w:rPr>
                <w:rFonts w:ascii="Arial" w:eastAsia="宋体" w:hAnsi="Arial" w:cs="Arial"/>
                <w:color w:val="000000"/>
                <w:sz w:val="14"/>
                <w:szCs w:val="14"/>
              </w:rPr>
              <w:t>116 </w:t>
            </w:r>
          </w:p>
        </w:tc>
        <w:tc>
          <w:tcPr>
            <w:tcW w:w="0" w:type="auto"/>
            <w:shd w:val="clear" w:color="auto" w:fill="FFFFFF"/>
            <w:tcMar>
              <w:top w:w="40" w:type="dxa"/>
              <w:left w:w="0" w:type="dxa"/>
              <w:bottom w:w="40" w:type="dxa"/>
              <w:right w:w="20" w:type="dxa"/>
            </w:tcMar>
            <w:vAlign w:val="bottom"/>
          </w:tcPr>
          <w:p w14:paraId="71D3E6B2" w14:textId="77777777" w:rsidR="006A3667" w:rsidRDefault="006A3667">
            <w:pPr>
              <w:jc w:val="right"/>
              <w:rPr>
                <w:rFonts w:ascii="宋体"/>
              </w:rPr>
            </w:pPr>
          </w:p>
        </w:tc>
        <w:tc>
          <w:tcPr>
            <w:tcW w:w="0" w:type="auto"/>
            <w:shd w:val="clear" w:color="auto" w:fill="auto"/>
            <w:vAlign w:val="bottom"/>
          </w:tcPr>
          <w:p w14:paraId="71D3E6B3" w14:textId="77777777" w:rsidR="006A3667" w:rsidRDefault="006A3667">
            <w:pPr>
              <w:rPr>
                <w:rFonts w:ascii="宋体"/>
                <w:vanish/>
              </w:rPr>
            </w:pPr>
          </w:p>
        </w:tc>
      </w:tr>
      <w:tr w:rsidR="006A3667" w14:paraId="71D3E6C8" w14:textId="77777777">
        <w:tc>
          <w:tcPr>
            <w:tcW w:w="0" w:type="auto"/>
            <w:gridSpan w:val="3"/>
            <w:shd w:val="clear" w:color="auto" w:fill="CCEEFF"/>
            <w:tcMar>
              <w:top w:w="40" w:type="dxa"/>
              <w:left w:w="155" w:type="dxa"/>
              <w:bottom w:w="40" w:type="dxa"/>
              <w:right w:w="20" w:type="dxa"/>
            </w:tcMar>
            <w:vAlign w:val="bottom"/>
          </w:tcPr>
          <w:p w14:paraId="71D3E6B5" w14:textId="77777777" w:rsidR="006A3667" w:rsidRDefault="00045F32">
            <w:pPr>
              <w:textAlignment w:val="bottom"/>
            </w:pPr>
            <w:r>
              <w:rPr>
                <w:rFonts w:ascii="Arial" w:eastAsia="宋体" w:hAnsi="Arial" w:cs="Arial"/>
                <w:color w:val="000000"/>
                <w:sz w:val="14"/>
                <w:szCs w:val="14"/>
              </w:rPr>
              <w:t>Foreign exchange impact</w:t>
            </w:r>
          </w:p>
        </w:tc>
        <w:tc>
          <w:tcPr>
            <w:tcW w:w="0" w:type="auto"/>
            <w:gridSpan w:val="2"/>
            <w:shd w:val="clear" w:color="auto" w:fill="CCEEFF"/>
            <w:tcMar>
              <w:top w:w="40" w:type="dxa"/>
              <w:left w:w="20" w:type="dxa"/>
              <w:bottom w:w="40" w:type="dxa"/>
              <w:right w:w="0" w:type="dxa"/>
            </w:tcMar>
            <w:vAlign w:val="bottom"/>
          </w:tcPr>
          <w:p w14:paraId="71D3E6B6" w14:textId="77777777" w:rsidR="006A3667" w:rsidRDefault="00045F32">
            <w:pPr>
              <w:jc w:val="right"/>
              <w:textAlignment w:val="bottom"/>
            </w:pPr>
            <w:r>
              <w:rPr>
                <w:rFonts w:ascii="Arial" w:eastAsia="宋体" w:hAnsi="Arial" w:cs="Arial"/>
                <w:color w:val="000000"/>
                <w:sz w:val="14"/>
                <w:szCs w:val="14"/>
              </w:rPr>
              <w:t>(23)</w:t>
            </w:r>
          </w:p>
        </w:tc>
        <w:tc>
          <w:tcPr>
            <w:tcW w:w="0" w:type="auto"/>
            <w:shd w:val="clear" w:color="auto" w:fill="CCEEFF"/>
            <w:tcMar>
              <w:top w:w="40" w:type="dxa"/>
              <w:left w:w="0" w:type="dxa"/>
              <w:bottom w:w="40" w:type="dxa"/>
              <w:right w:w="20" w:type="dxa"/>
            </w:tcMar>
            <w:vAlign w:val="bottom"/>
          </w:tcPr>
          <w:p w14:paraId="71D3E6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B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B9" w14:textId="77777777" w:rsidR="006A3667" w:rsidRDefault="00045F32">
            <w:pPr>
              <w:jc w:val="right"/>
              <w:textAlignment w:val="bottom"/>
            </w:pPr>
            <w:r>
              <w:rPr>
                <w:rFonts w:ascii="Arial" w:eastAsia="宋体" w:hAnsi="Arial" w:cs="Arial"/>
                <w:color w:val="000000"/>
                <w:sz w:val="14"/>
                <w:szCs w:val="14"/>
              </w:rPr>
              <w:t>(6)</w:t>
            </w:r>
          </w:p>
        </w:tc>
        <w:tc>
          <w:tcPr>
            <w:tcW w:w="0" w:type="auto"/>
            <w:shd w:val="clear" w:color="auto" w:fill="CCEEFF"/>
            <w:tcMar>
              <w:top w:w="40" w:type="dxa"/>
              <w:left w:w="0" w:type="dxa"/>
              <w:bottom w:w="40" w:type="dxa"/>
              <w:right w:w="20" w:type="dxa"/>
            </w:tcMar>
            <w:vAlign w:val="bottom"/>
          </w:tcPr>
          <w:p w14:paraId="71D3E6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B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B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6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B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BF"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3E6C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C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C2"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3E6C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C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6C5" w14:textId="77777777" w:rsidR="006A3667" w:rsidRDefault="00045F32">
            <w:pPr>
              <w:jc w:val="right"/>
              <w:textAlignment w:val="bottom"/>
            </w:pPr>
            <w:r>
              <w:rPr>
                <w:rFonts w:ascii="Arial" w:eastAsia="宋体" w:hAnsi="Arial" w:cs="Arial"/>
                <w:color w:val="000000"/>
                <w:sz w:val="14"/>
                <w:szCs w:val="14"/>
              </w:rPr>
              <w:t>(31)</w:t>
            </w:r>
          </w:p>
        </w:tc>
        <w:tc>
          <w:tcPr>
            <w:tcW w:w="0" w:type="auto"/>
            <w:shd w:val="clear" w:color="auto" w:fill="CCEEFF"/>
            <w:tcMar>
              <w:top w:w="40" w:type="dxa"/>
              <w:left w:w="0" w:type="dxa"/>
              <w:bottom w:w="40" w:type="dxa"/>
              <w:right w:w="20" w:type="dxa"/>
            </w:tcMar>
            <w:vAlign w:val="bottom"/>
          </w:tcPr>
          <w:p w14:paraId="71D3E6C6" w14:textId="77777777" w:rsidR="006A3667" w:rsidRDefault="006A3667">
            <w:pPr>
              <w:jc w:val="right"/>
              <w:rPr>
                <w:rFonts w:ascii="宋体"/>
              </w:rPr>
            </w:pPr>
          </w:p>
        </w:tc>
        <w:tc>
          <w:tcPr>
            <w:tcW w:w="0" w:type="auto"/>
            <w:shd w:val="clear" w:color="auto" w:fill="auto"/>
            <w:vAlign w:val="bottom"/>
          </w:tcPr>
          <w:p w14:paraId="71D3E6C7" w14:textId="77777777" w:rsidR="006A3667" w:rsidRDefault="006A3667">
            <w:pPr>
              <w:rPr>
                <w:rFonts w:ascii="宋体"/>
                <w:vanish/>
              </w:rPr>
            </w:pPr>
          </w:p>
        </w:tc>
      </w:tr>
      <w:tr w:rsidR="006A3667" w14:paraId="71D3E6DC" w14:textId="77777777">
        <w:tc>
          <w:tcPr>
            <w:tcW w:w="0" w:type="auto"/>
            <w:gridSpan w:val="3"/>
            <w:shd w:val="clear" w:color="auto" w:fill="FFFFFF"/>
            <w:tcMar>
              <w:top w:w="40" w:type="dxa"/>
              <w:left w:w="20" w:type="dxa"/>
              <w:bottom w:w="40" w:type="dxa"/>
              <w:right w:w="20" w:type="dxa"/>
            </w:tcMar>
            <w:vAlign w:val="bottom"/>
          </w:tcPr>
          <w:p w14:paraId="71D3E6C9" w14:textId="77777777" w:rsidR="006A3667" w:rsidRDefault="00045F32">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6CA" w14:textId="77777777" w:rsidR="006A3667" w:rsidRDefault="00045F32">
            <w:pPr>
              <w:jc w:val="right"/>
              <w:textAlignment w:val="bottom"/>
            </w:pPr>
            <w:r>
              <w:rPr>
                <w:rFonts w:ascii="Arial" w:eastAsia="宋体" w:hAnsi="Arial" w:cs="Arial"/>
                <w:color w:val="000000"/>
                <w:sz w:val="14"/>
                <w:szCs w:val="14"/>
              </w:rPr>
              <w:t>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6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C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6CD" w14:textId="77777777" w:rsidR="006A3667" w:rsidRDefault="00045F32">
            <w:pPr>
              <w:jc w:val="right"/>
              <w:textAlignment w:val="bottom"/>
            </w:pPr>
            <w:r>
              <w:rPr>
                <w:rFonts w:ascii="Arial" w:eastAsia="宋体" w:hAnsi="Arial" w:cs="Arial"/>
                <w:color w:val="000000"/>
                <w:sz w:val="14"/>
                <w:szCs w:val="14"/>
              </w:rPr>
              <w:t>(30)</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6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C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6D0"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6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D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6D3"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6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D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6D6" w14:textId="77777777" w:rsidR="006A3667" w:rsidRDefault="00045F32">
            <w:pPr>
              <w:jc w:val="right"/>
              <w:textAlignment w:val="bottom"/>
            </w:pPr>
            <w:r>
              <w:rPr>
                <w:rFonts w:ascii="Arial" w:eastAsia="宋体" w:hAnsi="Arial" w:cs="Arial"/>
                <w:color w:val="000000"/>
                <w:sz w:val="14"/>
                <w:szCs w:val="14"/>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6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D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6D9" w14:textId="77777777" w:rsidR="006A3667" w:rsidRDefault="00045F32">
            <w:pPr>
              <w:jc w:val="right"/>
              <w:textAlignment w:val="bottom"/>
            </w:pPr>
            <w:r>
              <w:rPr>
                <w:rFonts w:ascii="Arial" w:eastAsia="宋体" w:hAnsi="Arial" w:cs="Arial"/>
                <w:color w:val="000000"/>
                <w:sz w:val="14"/>
                <w:szCs w:val="14"/>
              </w:rPr>
              <w:t>85 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6DA" w14:textId="77777777" w:rsidR="006A3667" w:rsidRDefault="006A3667">
            <w:pPr>
              <w:jc w:val="right"/>
              <w:rPr>
                <w:rFonts w:ascii="宋体"/>
              </w:rPr>
            </w:pPr>
          </w:p>
        </w:tc>
        <w:tc>
          <w:tcPr>
            <w:tcW w:w="0" w:type="auto"/>
            <w:shd w:val="clear" w:color="auto" w:fill="auto"/>
            <w:vAlign w:val="bottom"/>
          </w:tcPr>
          <w:p w14:paraId="71D3E6DB" w14:textId="77777777" w:rsidR="006A3667" w:rsidRDefault="006A3667">
            <w:pPr>
              <w:rPr>
                <w:rFonts w:ascii="宋体"/>
                <w:vanish/>
              </w:rPr>
            </w:pPr>
          </w:p>
        </w:tc>
      </w:tr>
      <w:tr w:rsidR="006A3667" w14:paraId="71D3E6F0" w14:textId="77777777">
        <w:tc>
          <w:tcPr>
            <w:tcW w:w="0" w:type="auto"/>
            <w:gridSpan w:val="3"/>
            <w:shd w:val="clear" w:color="auto" w:fill="CCEEFF"/>
            <w:tcMar>
              <w:top w:w="40" w:type="dxa"/>
              <w:left w:w="20" w:type="dxa"/>
              <w:bottom w:w="40" w:type="dxa"/>
              <w:right w:w="20" w:type="dxa"/>
            </w:tcMar>
            <w:vAlign w:val="bottom"/>
          </w:tcPr>
          <w:p w14:paraId="71D3E6DD" w14:textId="77777777" w:rsidR="006A3667" w:rsidRDefault="00045F32">
            <w:pPr>
              <w:textAlignment w:val="bottom"/>
            </w:pPr>
            <w:r>
              <w:rPr>
                <w:rFonts w:ascii="Arial" w:eastAsia="宋体" w:hAnsi="Arial" w:cs="Arial"/>
                <w:b/>
                <w:bCs/>
                <w:color w:val="000000"/>
                <w:sz w:val="14"/>
                <w:szCs w:val="14"/>
              </w:rPr>
              <w:t>Balance as of March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DE" w14:textId="77777777" w:rsidR="006A3667" w:rsidRDefault="00045F32">
            <w:pPr>
              <w:jc w:val="right"/>
              <w:textAlignment w:val="bottom"/>
            </w:pPr>
            <w:r>
              <w:rPr>
                <w:rFonts w:ascii="Arial" w:eastAsia="宋体" w:hAnsi="Arial" w:cs="Arial"/>
                <w:color w:val="000000"/>
                <w:sz w:val="14"/>
                <w:szCs w:val="14"/>
              </w:rPr>
              <w:t>2,282 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E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E1" w14:textId="77777777" w:rsidR="006A3667" w:rsidRDefault="00045F32">
            <w:pPr>
              <w:jc w:val="right"/>
              <w:textAlignment w:val="bottom"/>
            </w:pPr>
            <w:r>
              <w:rPr>
                <w:rFonts w:ascii="Arial" w:eastAsia="宋体" w:hAnsi="Arial" w:cs="Arial"/>
                <w:color w:val="000000"/>
                <w:sz w:val="14"/>
                <w:szCs w:val="14"/>
              </w:rPr>
              <w:t>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E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E4" w14:textId="77777777" w:rsidR="006A3667" w:rsidRDefault="00045F32">
            <w:pPr>
              <w:jc w:val="right"/>
              <w:textAlignment w:val="bottom"/>
            </w:pPr>
            <w:r>
              <w:rPr>
                <w:rFonts w:ascii="Arial" w:eastAsia="宋体" w:hAnsi="Arial" w:cs="Arial"/>
                <w:color w:val="000000"/>
                <w:sz w:val="14"/>
                <w:szCs w:val="14"/>
              </w:rPr>
              <w:t>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E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E7" w14:textId="77777777" w:rsidR="006A3667" w:rsidRDefault="00045F32">
            <w:pPr>
              <w:jc w:val="right"/>
              <w:textAlignment w:val="bottom"/>
            </w:pPr>
            <w:r>
              <w:rPr>
                <w:rFonts w:ascii="Arial" w:eastAsia="宋体" w:hAnsi="Arial" w:cs="Arial"/>
                <w:color w:val="000000"/>
                <w:sz w:val="14"/>
                <w:szCs w:val="14"/>
              </w:rPr>
              <w:t>189 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E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EA" w14:textId="77777777" w:rsidR="006A3667" w:rsidRDefault="00045F32">
            <w:pPr>
              <w:jc w:val="right"/>
              <w:textAlignment w:val="bottom"/>
            </w:pPr>
            <w:r>
              <w:rPr>
                <w:rFonts w:ascii="Arial" w:eastAsia="宋体" w:hAnsi="Arial" w:cs="Arial"/>
                <w:color w:val="000000"/>
                <w:sz w:val="14"/>
                <w:szCs w:val="14"/>
              </w:rPr>
              <w:t>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E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6E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6ED" w14:textId="77777777" w:rsidR="006A3667" w:rsidRDefault="00045F32">
            <w:pPr>
              <w:jc w:val="right"/>
              <w:textAlignment w:val="bottom"/>
            </w:pPr>
            <w:r>
              <w:rPr>
                <w:rFonts w:ascii="Arial" w:eastAsia="宋体" w:hAnsi="Arial" w:cs="Arial"/>
                <w:color w:val="000000"/>
                <w:sz w:val="14"/>
                <w:szCs w:val="14"/>
              </w:rPr>
              <w:t>3,591 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6EE" w14:textId="77777777" w:rsidR="006A3667" w:rsidRDefault="006A3667">
            <w:pPr>
              <w:jc w:val="right"/>
              <w:rPr>
                <w:rFonts w:ascii="宋体"/>
              </w:rPr>
            </w:pPr>
          </w:p>
        </w:tc>
        <w:tc>
          <w:tcPr>
            <w:tcW w:w="0" w:type="auto"/>
            <w:shd w:val="clear" w:color="auto" w:fill="auto"/>
            <w:vAlign w:val="bottom"/>
          </w:tcPr>
          <w:p w14:paraId="71D3E6EF" w14:textId="77777777" w:rsidR="006A3667" w:rsidRDefault="006A3667">
            <w:pPr>
              <w:rPr>
                <w:rFonts w:ascii="宋体"/>
                <w:vanish/>
              </w:rPr>
            </w:pPr>
          </w:p>
        </w:tc>
      </w:tr>
      <w:tr w:rsidR="006A3667" w14:paraId="71D3E704" w14:textId="77777777">
        <w:tc>
          <w:tcPr>
            <w:tcW w:w="0" w:type="auto"/>
            <w:gridSpan w:val="3"/>
            <w:shd w:val="clear" w:color="auto" w:fill="FFFFFF"/>
            <w:tcMar>
              <w:top w:w="40" w:type="dxa"/>
              <w:left w:w="20" w:type="dxa"/>
              <w:bottom w:w="40" w:type="dxa"/>
              <w:right w:w="20" w:type="dxa"/>
            </w:tcMar>
            <w:vAlign w:val="bottom"/>
          </w:tcPr>
          <w:p w14:paraId="71D3E6F1" w14:textId="77777777" w:rsidR="006A3667" w:rsidRDefault="00045F32">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71D3E6F2"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71D3E6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F5" w14:textId="77777777" w:rsidR="006A3667" w:rsidRDefault="00045F32">
            <w:pPr>
              <w:jc w:val="right"/>
              <w:textAlignment w:val="bottom"/>
            </w:pPr>
            <w:r>
              <w:rPr>
                <w:rFonts w:ascii="Arial" w:eastAsia="宋体" w:hAnsi="Arial" w:cs="Arial"/>
                <w:color w:val="000000"/>
                <w:sz w:val="14"/>
                <w:szCs w:val="14"/>
              </w:rPr>
              <w:t>37 </w:t>
            </w:r>
          </w:p>
        </w:tc>
        <w:tc>
          <w:tcPr>
            <w:tcW w:w="0" w:type="auto"/>
            <w:shd w:val="clear" w:color="auto" w:fill="FFFFFF"/>
            <w:tcMar>
              <w:top w:w="40" w:type="dxa"/>
              <w:left w:w="0" w:type="dxa"/>
              <w:bottom w:w="40" w:type="dxa"/>
              <w:right w:w="20" w:type="dxa"/>
            </w:tcMar>
            <w:vAlign w:val="bottom"/>
          </w:tcPr>
          <w:p w14:paraId="71D3E6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F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F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6F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F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FB" w14:textId="77777777" w:rsidR="006A3667" w:rsidRDefault="00045F32">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1D3E6F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6F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6FE"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71D3E6F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0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01" w14:textId="77777777" w:rsidR="006A3667" w:rsidRDefault="00045F32">
            <w:pPr>
              <w:jc w:val="right"/>
              <w:textAlignment w:val="bottom"/>
            </w:pPr>
            <w:r>
              <w:rPr>
                <w:rFonts w:ascii="Arial" w:eastAsia="宋体" w:hAnsi="Arial" w:cs="Arial"/>
                <w:color w:val="000000"/>
                <w:sz w:val="14"/>
                <w:szCs w:val="14"/>
              </w:rPr>
              <w:t>55 </w:t>
            </w:r>
          </w:p>
        </w:tc>
        <w:tc>
          <w:tcPr>
            <w:tcW w:w="0" w:type="auto"/>
            <w:shd w:val="clear" w:color="auto" w:fill="FFFFFF"/>
            <w:tcMar>
              <w:top w:w="40" w:type="dxa"/>
              <w:left w:w="0" w:type="dxa"/>
              <w:bottom w:w="40" w:type="dxa"/>
              <w:right w:w="20" w:type="dxa"/>
            </w:tcMar>
            <w:vAlign w:val="bottom"/>
          </w:tcPr>
          <w:p w14:paraId="71D3E702" w14:textId="77777777" w:rsidR="006A3667" w:rsidRDefault="006A3667">
            <w:pPr>
              <w:jc w:val="right"/>
              <w:rPr>
                <w:rFonts w:ascii="宋体"/>
              </w:rPr>
            </w:pPr>
          </w:p>
        </w:tc>
        <w:tc>
          <w:tcPr>
            <w:tcW w:w="0" w:type="auto"/>
            <w:shd w:val="clear" w:color="auto" w:fill="auto"/>
            <w:vAlign w:val="bottom"/>
          </w:tcPr>
          <w:p w14:paraId="71D3E703" w14:textId="77777777" w:rsidR="006A3667" w:rsidRDefault="006A3667">
            <w:pPr>
              <w:rPr>
                <w:rFonts w:ascii="宋体"/>
                <w:vanish/>
              </w:rPr>
            </w:pPr>
          </w:p>
        </w:tc>
      </w:tr>
      <w:tr w:rsidR="006A3667" w14:paraId="71D3E718" w14:textId="77777777">
        <w:tc>
          <w:tcPr>
            <w:tcW w:w="0" w:type="auto"/>
            <w:gridSpan w:val="3"/>
            <w:shd w:val="clear" w:color="auto" w:fill="CCEEFF"/>
            <w:tcMar>
              <w:top w:w="40" w:type="dxa"/>
              <w:left w:w="20" w:type="dxa"/>
              <w:bottom w:w="40" w:type="dxa"/>
              <w:right w:w="20" w:type="dxa"/>
            </w:tcMar>
            <w:vAlign w:val="bottom"/>
          </w:tcPr>
          <w:p w14:paraId="71D3E705" w14:textId="77777777" w:rsidR="006A3667" w:rsidRDefault="00045F32">
            <w:pPr>
              <w:textAlignment w:val="bottom"/>
            </w:pPr>
            <w:r>
              <w:rPr>
                <w:rFonts w:ascii="Arial" w:eastAsia="宋体" w:hAnsi="Arial" w:cs="Arial"/>
                <w:color w:val="000000"/>
                <w:sz w:val="14"/>
                <w:szCs w:val="14"/>
              </w:rPr>
              <w:t>Exchange-traded fund flows, net</w:t>
            </w:r>
          </w:p>
        </w:tc>
        <w:tc>
          <w:tcPr>
            <w:tcW w:w="0" w:type="auto"/>
            <w:gridSpan w:val="2"/>
            <w:shd w:val="clear" w:color="auto" w:fill="CCEEFF"/>
            <w:tcMar>
              <w:top w:w="40" w:type="dxa"/>
              <w:left w:w="20" w:type="dxa"/>
              <w:bottom w:w="40" w:type="dxa"/>
              <w:right w:w="0" w:type="dxa"/>
            </w:tcMar>
            <w:vAlign w:val="bottom"/>
          </w:tcPr>
          <w:p w14:paraId="71D3E706" w14:textId="77777777" w:rsidR="006A3667" w:rsidRDefault="00045F32">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71D3E7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09" w14:textId="77777777" w:rsidR="006A3667" w:rsidRDefault="00045F32">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71D3E7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0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0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7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0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0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7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1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12"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3E7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1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15" w14:textId="77777777" w:rsidR="006A3667" w:rsidRDefault="00045F32">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71D3E716" w14:textId="77777777" w:rsidR="006A3667" w:rsidRDefault="006A3667">
            <w:pPr>
              <w:jc w:val="right"/>
              <w:rPr>
                <w:rFonts w:ascii="宋体"/>
              </w:rPr>
            </w:pPr>
          </w:p>
        </w:tc>
        <w:tc>
          <w:tcPr>
            <w:tcW w:w="0" w:type="auto"/>
            <w:shd w:val="clear" w:color="auto" w:fill="auto"/>
            <w:vAlign w:val="bottom"/>
          </w:tcPr>
          <w:p w14:paraId="71D3E717" w14:textId="77777777" w:rsidR="006A3667" w:rsidRDefault="006A3667">
            <w:pPr>
              <w:rPr>
                <w:rFonts w:ascii="宋体"/>
                <w:vanish/>
              </w:rPr>
            </w:pPr>
          </w:p>
        </w:tc>
      </w:tr>
      <w:tr w:rsidR="006A3667" w14:paraId="71D3E72C" w14:textId="77777777">
        <w:tc>
          <w:tcPr>
            <w:tcW w:w="0" w:type="auto"/>
            <w:gridSpan w:val="3"/>
            <w:shd w:val="clear" w:color="auto" w:fill="FFFFFF"/>
            <w:tcMar>
              <w:top w:w="40" w:type="dxa"/>
              <w:left w:w="20" w:type="dxa"/>
              <w:bottom w:w="40" w:type="dxa"/>
              <w:right w:w="20" w:type="dxa"/>
            </w:tcMar>
            <w:vAlign w:val="bottom"/>
          </w:tcPr>
          <w:p w14:paraId="71D3E719" w14:textId="77777777" w:rsidR="006A3667" w:rsidRDefault="00045F32">
            <w:pPr>
              <w:textAlignment w:val="bottom"/>
            </w:pPr>
            <w:r>
              <w:rPr>
                <w:rFonts w:ascii="Arial" w:eastAsia="宋体" w:hAnsi="Arial" w:cs="Arial"/>
                <w:color w:val="000000"/>
                <w:sz w:val="14"/>
                <w:szCs w:val="14"/>
              </w:rPr>
              <w:t>Cash fund flows, net</w:t>
            </w:r>
          </w:p>
        </w:tc>
        <w:tc>
          <w:tcPr>
            <w:tcW w:w="0" w:type="auto"/>
            <w:gridSpan w:val="2"/>
            <w:shd w:val="clear" w:color="auto" w:fill="FFFFFF"/>
            <w:tcMar>
              <w:top w:w="40" w:type="dxa"/>
              <w:left w:w="20" w:type="dxa"/>
              <w:bottom w:w="40" w:type="dxa"/>
              <w:right w:w="0" w:type="dxa"/>
            </w:tcMar>
            <w:vAlign w:val="bottom"/>
          </w:tcPr>
          <w:p w14:paraId="71D3E71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71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1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1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71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1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20" w14:textId="77777777" w:rsidR="006A3667" w:rsidRDefault="00045F32">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1D3E7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2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2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72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2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2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72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2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29" w14:textId="77777777" w:rsidR="006A3667" w:rsidRDefault="00045F32">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1D3E72A" w14:textId="77777777" w:rsidR="006A3667" w:rsidRDefault="006A3667">
            <w:pPr>
              <w:jc w:val="right"/>
              <w:rPr>
                <w:rFonts w:ascii="宋体"/>
              </w:rPr>
            </w:pPr>
          </w:p>
        </w:tc>
        <w:tc>
          <w:tcPr>
            <w:tcW w:w="0" w:type="auto"/>
            <w:shd w:val="clear" w:color="auto" w:fill="auto"/>
            <w:vAlign w:val="bottom"/>
          </w:tcPr>
          <w:p w14:paraId="71D3E72B" w14:textId="77777777" w:rsidR="006A3667" w:rsidRDefault="006A3667">
            <w:pPr>
              <w:rPr>
                <w:rFonts w:ascii="宋体"/>
                <w:vanish/>
              </w:rPr>
            </w:pPr>
          </w:p>
        </w:tc>
      </w:tr>
      <w:tr w:rsidR="006A3667" w14:paraId="71D3E740" w14:textId="77777777">
        <w:tc>
          <w:tcPr>
            <w:tcW w:w="0" w:type="auto"/>
            <w:gridSpan w:val="3"/>
            <w:shd w:val="clear" w:color="auto" w:fill="CCEEFF"/>
            <w:tcMar>
              <w:top w:w="40" w:type="dxa"/>
              <w:left w:w="20" w:type="dxa"/>
              <w:bottom w:w="40" w:type="dxa"/>
              <w:right w:w="20" w:type="dxa"/>
            </w:tcMar>
            <w:vAlign w:val="bottom"/>
          </w:tcPr>
          <w:p w14:paraId="71D3E72D" w14:textId="77777777" w:rsidR="006A3667" w:rsidRDefault="00045F32">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2E" w14:textId="77777777" w:rsidR="006A3667" w:rsidRDefault="00045F32">
            <w:pPr>
              <w:jc w:val="right"/>
              <w:textAlignment w:val="bottom"/>
            </w:pPr>
            <w:r>
              <w:rPr>
                <w:rFonts w:ascii="Arial" w:eastAsia="宋体" w:hAnsi="Arial" w:cs="Arial"/>
                <w:color w:val="000000"/>
                <w:sz w:val="14"/>
                <w:szCs w:val="14"/>
              </w:rPr>
              <w:t>28 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3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31" w14:textId="77777777" w:rsidR="006A3667" w:rsidRDefault="00045F32">
            <w:pPr>
              <w:jc w:val="right"/>
              <w:textAlignment w:val="bottom"/>
            </w:pPr>
            <w:r>
              <w:rPr>
                <w:rFonts w:ascii="Arial" w:eastAsia="宋体" w:hAnsi="Arial" w:cs="Arial"/>
                <w:color w:val="000000"/>
                <w:sz w:val="14"/>
                <w:szCs w:val="14"/>
              </w:rPr>
              <w:t>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3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34" w14:textId="77777777" w:rsidR="006A3667" w:rsidRDefault="00045F32">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3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37" w14:textId="77777777" w:rsidR="006A3667" w:rsidRDefault="00045F32">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3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3A" w14:textId="77777777" w:rsidR="006A3667" w:rsidRDefault="00045F32">
            <w:pPr>
              <w:jc w:val="right"/>
              <w:textAlignment w:val="bottom"/>
            </w:pPr>
            <w:r>
              <w:rPr>
                <w:rFonts w:ascii="Arial" w:eastAsia="宋体" w:hAnsi="Arial" w:cs="Arial"/>
                <w:color w:val="000000"/>
                <w:sz w:val="14"/>
                <w:szCs w:val="14"/>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3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3D" w14:textId="77777777" w:rsidR="006A3667" w:rsidRDefault="00045F32">
            <w:pPr>
              <w:jc w:val="right"/>
              <w:textAlignment w:val="bottom"/>
            </w:pPr>
            <w:r>
              <w:rPr>
                <w:rFonts w:ascii="Arial" w:eastAsia="宋体" w:hAnsi="Arial" w:cs="Arial"/>
                <w:color w:val="000000"/>
                <w:sz w:val="14"/>
                <w:szCs w:val="14"/>
              </w:rPr>
              <w:t>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3E" w14:textId="77777777" w:rsidR="006A3667" w:rsidRDefault="006A3667">
            <w:pPr>
              <w:jc w:val="right"/>
              <w:rPr>
                <w:rFonts w:ascii="宋体"/>
              </w:rPr>
            </w:pPr>
          </w:p>
        </w:tc>
        <w:tc>
          <w:tcPr>
            <w:tcW w:w="0" w:type="auto"/>
            <w:shd w:val="clear" w:color="auto" w:fill="auto"/>
            <w:vAlign w:val="bottom"/>
          </w:tcPr>
          <w:p w14:paraId="71D3E73F" w14:textId="77777777" w:rsidR="006A3667" w:rsidRDefault="006A3667">
            <w:pPr>
              <w:rPr>
                <w:rFonts w:ascii="宋体"/>
                <w:vanish/>
              </w:rPr>
            </w:pPr>
          </w:p>
        </w:tc>
      </w:tr>
      <w:tr w:rsidR="006A3667" w14:paraId="71D3E754" w14:textId="77777777">
        <w:tc>
          <w:tcPr>
            <w:tcW w:w="0" w:type="auto"/>
            <w:gridSpan w:val="3"/>
            <w:shd w:val="clear" w:color="auto" w:fill="FFFFFF"/>
            <w:tcMar>
              <w:top w:w="40" w:type="dxa"/>
              <w:left w:w="155" w:type="dxa"/>
              <w:bottom w:w="40" w:type="dxa"/>
              <w:right w:w="20" w:type="dxa"/>
            </w:tcMar>
            <w:vAlign w:val="bottom"/>
          </w:tcPr>
          <w:p w14:paraId="71D3E741" w14:textId="77777777" w:rsidR="006A3667" w:rsidRDefault="00045F32">
            <w:pPr>
              <w:textAlignment w:val="bottom"/>
            </w:pPr>
            <w:r>
              <w:rPr>
                <w:rFonts w:ascii="Arial" w:eastAsia="宋体" w:hAnsi="Arial" w:cs="Arial"/>
                <w:color w:val="000000"/>
                <w:sz w:val="14"/>
                <w:szCs w:val="14"/>
              </w:rPr>
              <w:t>Market appreciation (depreciation)</w:t>
            </w:r>
          </w:p>
        </w:tc>
        <w:tc>
          <w:tcPr>
            <w:tcW w:w="0" w:type="auto"/>
            <w:gridSpan w:val="2"/>
            <w:shd w:val="clear" w:color="auto" w:fill="FFFFFF"/>
            <w:tcMar>
              <w:top w:w="40" w:type="dxa"/>
              <w:left w:w="20" w:type="dxa"/>
              <w:bottom w:w="40" w:type="dxa"/>
              <w:right w:w="0" w:type="dxa"/>
            </w:tcMar>
            <w:vAlign w:val="bottom"/>
          </w:tcPr>
          <w:p w14:paraId="71D3E742" w14:textId="77777777" w:rsidR="006A3667" w:rsidRDefault="00045F32">
            <w:pPr>
              <w:jc w:val="right"/>
              <w:textAlignment w:val="bottom"/>
            </w:pPr>
            <w:r>
              <w:rPr>
                <w:rFonts w:ascii="Arial" w:eastAsia="宋体" w:hAnsi="Arial" w:cs="Arial"/>
                <w:color w:val="000000"/>
                <w:sz w:val="14"/>
                <w:szCs w:val="14"/>
              </w:rPr>
              <w:t>152 </w:t>
            </w:r>
          </w:p>
        </w:tc>
        <w:tc>
          <w:tcPr>
            <w:tcW w:w="0" w:type="auto"/>
            <w:shd w:val="clear" w:color="auto" w:fill="FFFFFF"/>
            <w:tcMar>
              <w:top w:w="40" w:type="dxa"/>
              <w:left w:w="0" w:type="dxa"/>
              <w:bottom w:w="40" w:type="dxa"/>
              <w:right w:w="20" w:type="dxa"/>
            </w:tcMar>
            <w:vAlign w:val="bottom"/>
          </w:tcPr>
          <w:p w14:paraId="71D3E7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4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45" w14:textId="77777777" w:rsidR="006A3667" w:rsidRDefault="00045F32">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71D3E7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4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48"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1D3E74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4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4B" w14:textId="77777777" w:rsidR="006A3667" w:rsidRDefault="00045F32">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71D3E74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4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4E" w14:textId="77777777" w:rsidR="006A3667" w:rsidRDefault="00045F32">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71D3E7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5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51" w14:textId="77777777" w:rsidR="006A3667" w:rsidRDefault="00045F32">
            <w:pPr>
              <w:jc w:val="right"/>
              <w:textAlignment w:val="bottom"/>
            </w:pPr>
            <w:r>
              <w:rPr>
                <w:rFonts w:ascii="Arial" w:eastAsia="宋体" w:hAnsi="Arial" w:cs="Arial"/>
                <w:color w:val="000000"/>
                <w:sz w:val="14"/>
                <w:szCs w:val="14"/>
              </w:rPr>
              <w:t>224 </w:t>
            </w:r>
          </w:p>
        </w:tc>
        <w:tc>
          <w:tcPr>
            <w:tcW w:w="0" w:type="auto"/>
            <w:shd w:val="clear" w:color="auto" w:fill="FFFFFF"/>
            <w:tcMar>
              <w:top w:w="40" w:type="dxa"/>
              <w:left w:w="0" w:type="dxa"/>
              <w:bottom w:w="40" w:type="dxa"/>
              <w:right w:w="20" w:type="dxa"/>
            </w:tcMar>
            <w:vAlign w:val="bottom"/>
          </w:tcPr>
          <w:p w14:paraId="71D3E752" w14:textId="77777777" w:rsidR="006A3667" w:rsidRDefault="006A3667">
            <w:pPr>
              <w:jc w:val="right"/>
              <w:rPr>
                <w:rFonts w:ascii="宋体"/>
              </w:rPr>
            </w:pPr>
          </w:p>
        </w:tc>
        <w:tc>
          <w:tcPr>
            <w:tcW w:w="0" w:type="auto"/>
            <w:shd w:val="clear" w:color="auto" w:fill="auto"/>
            <w:vAlign w:val="bottom"/>
          </w:tcPr>
          <w:p w14:paraId="71D3E753" w14:textId="77777777" w:rsidR="006A3667" w:rsidRDefault="006A3667">
            <w:pPr>
              <w:rPr>
                <w:rFonts w:ascii="宋体"/>
                <w:vanish/>
              </w:rPr>
            </w:pPr>
          </w:p>
        </w:tc>
      </w:tr>
      <w:tr w:rsidR="006A3667" w14:paraId="71D3E768" w14:textId="77777777">
        <w:tc>
          <w:tcPr>
            <w:tcW w:w="0" w:type="auto"/>
            <w:gridSpan w:val="3"/>
            <w:shd w:val="clear" w:color="auto" w:fill="CCEEFF"/>
            <w:tcMar>
              <w:top w:w="40" w:type="dxa"/>
              <w:left w:w="155" w:type="dxa"/>
              <w:bottom w:w="40" w:type="dxa"/>
              <w:right w:w="20" w:type="dxa"/>
            </w:tcMar>
            <w:vAlign w:val="bottom"/>
          </w:tcPr>
          <w:p w14:paraId="71D3E755" w14:textId="77777777" w:rsidR="006A3667" w:rsidRDefault="00045F32">
            <w:pPr>
              <w:textAlignment w:val="bottom"/>
            </w:pPr>
            <w:r>
              <w:rPr>
                <w:rFonts w:ascii="Arial" w:eastAsia="宋体" w:hAnsi="Arial" w:cs="Arial"/>
                <w:color w:val="000000"/>
                <w:sz w:val="14"/>
                <w:szCs w:val="14"/>
              </w:rPr>
              <w:t>Foreign exchange impact</w:t>
            </w:r>
          </w:p>
        </w:tc>
        <w:tc>
          <w:tcPr>
            <w:tcW w:w="0" w:type="auto"/>
            <w:gridSpan w:val="2"/>
            <w:shd w:val="clear" w:color="auto" w:fill="CCEEFF"/>
            <w:tcMar>
              <w:top w:w="40" w:type="dxa"/>
              <w:left w:w="20" w:type="dxa"/>
              <w:bottom w:w="40" w:type="dxa"/>
              <w:right w:w="0" w:type="dxa"/>
            </w:tcMar>
            <w:vAlign w:val="bottom"/>
          </w:tcPr>
          <w:p w14:paraId="71D3E756"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3E7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5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5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7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5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5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7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5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5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7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6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6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7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6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65"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3E766" w14:textId="77777777" w:rsidR="006A3667" w:rsidRDefault="006A3667">
            <w:pPr>
              <w:jc w:val="right"/>
              <w:rPr>
                <w:rFonts w:ascii="宋体"/>
              </w:rPr>
            </w:pPr>
          </w:p>
        </w:tc>
        <w:tc>
          <w:tcPr>
            <w:tcW w:w="0" w:type="auto"/>
            <w:shd w:val="clear" w:color="auto" w:fill="auto"/>
            <w:vAlign w:val="bottom"/>
          </w:tcPr>
          <w:p w14:paraId="71D3E767" w14:textId="77777777" w:rsidR="006A3667" w:rsidRDefault="006A3667">
            <w:pPr>
              <w:rPr>
                <w:rFonts w:ascii="宋体"/>
                <w:vanish/>
              </w:rPr>
            </w:pPr>
          </w:p>
        </w:tc>
      </w:tr>
      <w:tr w:rsidR="006A3667" w14:paraId="71D3E77C" w14:textId="77777777">
        <w:tc>
          <w:tcPr>
            <w:tcW w:w="0" w:type="auto"/>
            <w:gridSpan w:val="3"/>
            <w:shd w:val="clear" w:color="auto" w:fill="FFFFFF"/>
            <w:tcMar>
              <w:top w:w="40" w:type="dxa"/>
              <w:left w:w="20" w:type="dxa"/>
              <w:bottom w:w="40" w:type="dxa"/>
              <w:right w:w="20" w:type="dxa"/>
            </w:tcMar>
            <w:vAlign w:val="bottom"/>
          </w:tcPr>
          <w:p w14:paraId="71D3E769" w14:textId="77777777" w:rsidR="006A3667" w:rsidRDefault="00045F32">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76A" w14:textId="77777777" w:rsidR="006A3667" w:rsidRDefault="00045F32">
            <w:pPr>
              <w:jc w:val="right"/>
              <w:textAlignment w:val="bottom"/>
            </w:pPr>
            <w:r>
              <w:rPr>
                <w:rFonts w:ascii="Arial" w:eastAsia="宋体" w:hAnsi="Arial" w:cs="Arial"/>
                <w:color w:val="000000"/>
                <w:sz w:val="14"/>
                <w:szCs w:val="14"/>
              </w:rPr>
              <w:t>151 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76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6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76D" w14:textId="77777777" w:rsidR="006A3667" w:rsidRDefault="00045F32">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76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6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770"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77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7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773" w14:textId="77777777" w:rsidR="006A3667" w:rsidRDefault="00045F32">
            <w:pPr>
              <w:jc w:val="right"/>
              <w:textAlignment w:val="bottom"/>
            </w:pPr>
            <w:r>
              <w:rPr>
                <w:rFonts w:ascii="Arial" w:eastAsia="宋体" w:hAnsi="Arial" w:cs="Arial"/>
                <w:color w:val="000000"/>
                <w:sz w:val="14"/>
                <w:szCs w:val="14"/>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7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7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776" w14:textId="77777777" w:rsidR="006A3667" w:rsidRDefault="00045F32">
            <w:pPr>
              <w:jc w:val="right"/>
              <w:textAlignment w:val="bottom"/>
            </w:pPr>
            <w:r>
              <w:rPr>
                <w:rFonts w:ascii="Arial" w:eastAsia="宋体" w:hAnsi="Arial" w:cs="Arial"/>
                <w:color w:val="000000"/>
                <w:sz w:val="14"/>
                <w:szCs w:val="14"/>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77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7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779" w14:textId="77777777" w:rsidR="006A3667" w:rsidRDefault="00045F32">
            <w:pPr>
              <w:jc w:val="right"/>
              <w:textAlignment w:val="bottom"/>
            </w:pPr>
            <w:r>
              <w:rPr>
                <w:rFonts w:ascii="Arial" w:eastAsia="宋体" w:hAnsi="Arial" w:cs="Arial"/>
                <w:color w:val="000000"/>
                <w:sz w:val="14"/>
                <w:szCs w:val="14"/>
              </w:rPr>
              <w:t>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77A" w14:textId="77777777" w:rsidR="006A3667" w:rsidRDefault="006A3667">
            <w:pPr>
              <w:jc w:val="right"/>
              <w:rPr>
                <w:rFonts w:ascii="宋体"/>
              </w:rPr>
            </w:pPr>
          </w:p>
        </w:tc>
        <w:tc>
          <w:tcPr>
            <w:tcW w:w="0" w:type="auto"/>
            <w:shd w:val="clear" w:color="auto" w:fill="auto"/>
            <w:vAlign w:val="bottom"/>
          </w:tcPr>
          <w:p w14:paraId="71D3E77B" w14:textId="77777777" w:rsidR="006A3667" w:rsidRDefault="006A3667">
            <w:pPr>
              <w:rPr>
                <w:rFonts w:ascii="宋体"/>
                <w:vanish/>
              </w:rPr>
            </w:pPr>
          </w:p>
        </w:tc>
      </w:tr>
      <w:tr w:rsidR="006A3667" w14:paraId="71D3E796" w14:textId="77777777">
        <w:tc>
          <w:tcPr>
            <w:tcW w:w="0" w:type="auto"/>
            <w:gridSpan w:val="3"/>
            <w:shd w:val="clear" w:color="auto" w:fill="CCEEFF"/>
            <w:tcMar>
              <w:top w:w="40" w:type="dxa"/>
              <w:left w:w="20" w:type="dxa"/>
              <w:bottom w:w="40" w:type="dxa"/>
              <w:right w:w="20" w:type="dxa"/>
            </w:tcMar>
            <w:vAlign w:val="bottom"/>
          </w:tcPr>
          <w:p w14:paraId="71D3E77D" w14:textId="77777777" w:rsidR="006A3667" w:rsidRDefault="00045F32">
            <w:pPr>
              <w:textAlignment w:val="bottom"/>
            </w:pPr>
            <w:r>
              <w:rPr>
                <w:rFonts w:ascii="Arial" w:eastAsia="宋体" w:hAnsi="Arial" w:cs="Arial"/>
                <w:b/>
                <w:bCs/>
                <w:color w:val="000000"/>
                <w:sz w:val="14"/>
                <w:szCs w:val="14"/>
              </w:rPr>
              <w:t>Balance as of June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77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77F" w14:textId="77777777" w:rsidR="006A3667" w:rsidRDefault="00045F32">
            <w:pPr>
              <w:jc w:val="right"/>
              <w:textAlignment w:val="bottom"/>
            </w:pPr>
            <w:r>
              <w:rPr>
                <w:rFonts w:ascii="Arial" w:eastAsia="宋体" w:hAnsi="Arial" w:cs="Arial"/>
                <w:color w:val="000000"/>
                <w:sz w:val="14"/>
                <w:szCs w:val="14"/>
              </w:rPr>
              <w:t>2,461 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8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78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783" w14:textId="77777777" w:rsidR="006A3667" w:rsidRDefault="00045F32">
            <w:pPr>
              <w:jc w:val="right"/>
              <w:textAlignment w:val="bottom"/>
            </w:pPr>
            <w:r>
              <w:rPr>
                <w:rFonts w:ascii="Arial" w:eastAsia="宋体" w:hAnsi="Arial" w:cs="Arial"/>
                <w:color w:val="000000"/>
                <w:sz w:val="14"/>
                <w:szCs w:val="14"/>
              </w:rPr>
              <w:t>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8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8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78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787" w14:textId="77777777" w:rsidR="006A3667" w:rsidRDefault="00045F32">
            <w:pPr>
              <w:jc w:val="right"/>
              <w:textAlignment w:val="bottom"/>
            </w:pPr>
            <w:r>
              <w:rPr>
                <w:rFonts w:ascii="Arial" w:eastAsia="宋体" w:hAnsi="Arial" w:cs="Arial"/>
                <w:color w:val="000000"/>
                <w:sz w:val="14"/>
                <w:szCs w:val="14"/>
              </w:rPr>
              <w:t>381 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8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78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78B" w14:textId="77777777" w:rsidR="006A3667" w:rsidRDefault="00045F32">
            <w:pPr>
              <w:jc w:val="right"/>
              <w:textAlignment w:val="bottom"/>
            </w:pPr>
            <w:r>
              <w:rPr>
                <w:rFonts w:ascii="Arial" w:eastAsia="宋体" w:hAnsi="Arial" w:cs="Arial"/>
                <w:color w:val="000000"/>
                <w:sz w:val="14"/>
                <w:szCs w:val="14"/>
              </w:rPr>
              <w:t>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8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78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78F" w14:textId="77777777" w:rsidR="006A3667" w:rsidRDefault="00045F32">
            <w:pPr>
              <w:jc w:val="right"/>
              <w:textAlignment w:val="bottom"/>
            </w:pPr>
            <w:r>
              <w:rPr>
                <w:rFonts w:ascii="Arial" w:eastAsia="宋体" w:hAnsi="Arial" w:cs="Arial"/>
                <w:color w:val="000000"/>
                <w:sz w:val="14"/>
                <w:szCs w:val="14"/>
              </w:rPr>
              <w:t>238 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9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9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79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793" w14:textId="77777777" w:rsidR="006A3667" w:rsidRDefault="00045F32">
            <w:pPr>
              <w:jc w:val="right"/>
              <w:textAlignment w:val="bottom"/>
            </w:pPr>
            <w:r>
              <w:rPr>
                <w:rFonts w:ascii="Arial" w:eastAsia="宋体" w:hAnsi="Arial" w:cs="Arial"/>
                <w:color w:val="000000"/>
                <w:sz w:val="14"/>
                <w:szCs w:val="14"/>
              </w:rPr>
              <w:t>3,897 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94" w14:textId="77777777" w:rsidR="006A3667" w:rsidRDefault="006A3667">
            <w:pPr>
              <w:jc w:val="right"/>
              <w:rPr>
                <w:rFonts w:ascii="宋体"/>
              </w:rPr>
            </w:pPr>
          </w:p>
        </w:tc>
        <w:tc>
          <w:tcPr>
            <w:tcW w:w="0" w:type="auto"/>
            <w:shd w:val="clear" w:color="auto" w:fill="auto"/>
            <w:vAlign w:val="bottom"/>
          </w:tcPr>
          <w:p w14:paraId="71D3E795" w14:textId="77777777" w:rsidR="006A3667" w:rsidRDefault="006A3667">
            <w:pPr>
              <w:rPr>
                <w:rFonts w:ascii="宋体"/>
                <w:vanish/>
              </w:rPr>
            </w:pPr>
          </w:p>
        </w:tc>
      </w:tr>
      <w:tr w:rsidR="006A3667" w14:paraId="71D3E7AA" w14:textId="77777777">
        <w:tc>
          <w:tcPr>
            <w:tcW w:w="0" w:type="auto"/>
            <w:gridSpan w:val="3"/>
            <w:shd w:val="clear" w:color="auto" w:fill="FFFFFF"/>
            <w:tcMar>
              <w:top w:w="40" w:type="dxa"/>
              <w:left w:w="20" w:type="dxa"/>
              <w:bottom w:w="40" w:type="dxa"/>
              <w:right w:w="20" w:type="dxa"/>
            </w:tcMar>
            <w:vAlign w:val="bottom"/>
          </w:tcPr>
          <w:p w14:paraId="71D3E797" w14:textId="77777777" w:rsidR="006A3667" w:rsidRDefault="00045F32">
            <w:pPr>
              <w:textAlignment w:val="bottom"/>
            </w:pPr>
            <w:r>
              <w:rPr>
                <w:rFonts w:ascii="Arial" w:eastAsia="宋体" w:hAnsi="Arial" w:cs="Arial"/>
                <w:color w:val="000000"/>
                <w:sz w:val="14"/>
                <w:szCs w:val="14"/>
              </w:rPr>
              <w:t>Long-term institutional flows, net(4)</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3E798" w14:textId="77777777" w:rsidR="006A3667" w:rsidRDefault="00045F32">
            <w:pPr>
              <w:jc w:val="right"/>
              <w:textAlignment w:val="bottom"/>
            </w:pPr>
            <w:r>
              <w:rPr>
                <w:rFonts w:ascii="Arial" w:eastAsia="宋体" w:hAnsi="Arial" w:cs="Arial"/>
                <w:color w:val="000000"/>
                <w:sz w:val="14"/>
                <w:szCs w:val="14"/>
              </w:rPr>
              <w:t>(10)</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7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9A"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3E79B"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7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9D"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3E79E"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79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A0"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3E7A1" w14:textId="77777777" w:rsidR="006A3667" w:rsidRDefault="00045F32">
            <w:pPr>
              <w:jc w:val="right"/>
              <w:textAlignment w:val="bottom"/>
            </w:pPr>
            <w:r>
              <w:rPr>
                <w:rFonts w:ascii="Arial" w:eastAsia="宋体" w:hAnsi="Arial" w:cs="Arial"/>
                <w:color w:val="000000"/>
                <w:sz w:val="14"/>
                <w:szCs w:val="14"/>
              </w:rPr>
              <w:t>4 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7A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A3"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3E7A4"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7A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A6"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3E7A7" w14:textId="77777777" w:rsidR="006A3667" w:rsidRDefault="00045F32">
            <w:pPr>
              <w:jc w:val="right"/>
              <w:textAlignment w:val="bottom"/>
            </w:pPr>
            <w:r>
              <w:rPr>
                <w:rFonts w:ascii="Arial" w:eastAsia="宋体" w:hAnsi="Arial" w:cs="Arial"/>
                <w:color w:val="000000"/>
                <w:sz w:val="14"/>
                <w:szCs w:val="14"/>
              </w:rPr>
              <w:t>(6)</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7A8" w14:textId="77777777" w:rsidR="006A3667" w:rsidRDefault="006A3667">
            <w:pPr>
              <w:jc w:val="right"/>
              <w:rPr>
                <w:rFonts w:ascii="宋体"/>
              </w:rPr>
            </w:pPr>
          </w:p>
        </w:tc>
        <w:tc>
          <w:tcPr>
            <w:tcW w:w="0" w:type="auto"/>
            <w:shd w:val="clear" w:color="auto" w:fill="auto"/>
            <w:vAlign w:val="bottom"/>
          </w:tcPr>
          <w:p w14:paraId="71D3E7A9" w14:textId="77777777" w:rsidR="006A3667" w:rsidRDefault="006A3667">
            <w:pPr>
              <w:rPr>
                <w:rFonts w:ascii="宋体"/>
                <w:vanish/>
              </w:rPr>
            </w:pPr>
          </w:p>
        </w:tc>
      </w:tr>
      <w:tr w:rsidR="006A3667" w14:paraId="71D3E7BE" w14:textId="77777777">
        <w:tc>
          <w:tcPr>
            <w:tcW w:w="0" w:type="auto"/>
            <w:gridSpan w:val="3"/>
            <w:shd w:val="clear" w:color="auto" w:fill="CCEEFF"/>
            <w:tcMar>
              <w:top w:w="40" w:type="dxa"/>
              <w:left w:w="20" w:type="dxa"/>
              <w:bottom w:w="40" w:type="dxa"/>
              <w:right w:w="20" w:type="dxa"/>
            </w:tcMar>
            <w:vAlign w:val="bottom"/>
          </w:tcPr>
          <w:p w14:paraId="71D3E7AB" w14:textId="77777777" w:rsidR="006A3667" w:rsidRDefault="00045F32">
            <w:pPr>
              <w:textAlignment w:val="bottom"/>
            </w:pPr>
            <w:r>
              <w:rPr>
                <w:rFonts w:ascii="Arial" w:eastAsia="宋体" w:hAnsi="Arial" w:cs="Arial"/>
                <w:color w:val="000000"/>
                <w:sz w:val="14"/>
                <w:szCs w:val="14"/>
              </w:rPr>
              <w:t>Exchange-traded fund flows, net</w:t>
            </w:r>
          </w:p>
        </w:tc>
        <w:tc>
          <w:tcPr>
            <w:tcW w:w="0" w:type="auto"/>
            <w:gridSpan w:val="2"/>
            <w:shd w:val="clear" w:color="auto" w:fill="CCEEFF"/>
            <w:tcMar>
              <w:top w:w="40" w:type="dxa"/>
              <w:left w:w="20" w:type="dxa"/>
              <w:bottom w:w="40" w:type="dxa"/>
              <w:right w:w="0" w:type="dxa"/>
            </w:tcMar>
            <w:vAlign w:val="bottom"/>
          </w:tcPr>
          <w:p w14:paraId="71D3E7AC" w14:textId="77777777" w:rsidR="006A3667" w:rsidRDefault="00045F32">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71D3E7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A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AF" w14:textId="77777777" w:rsidR="006A3667" w:rsidRDefault="00045F32">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71D3E7B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B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B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7B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B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B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7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B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B8"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71D3E7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B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BB"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71D3E7BC" w14:textId="77777777" w:rsidR="006A3667" w:rsidRDefault="006A3667">
            <w:pPr>
              <w:jc w:val="right"/>
              <w:rPr>
                <w:rFonts w:ascii="宋体"/>
              </w:rPr>
            </w:pPr>
          </w:p>
        </w:tc>
        <w:tc>
          <w:tcPr>
            <w:tcW w:w="0" w:type="auto"/>
            <w:shd w:val="clear" w:color="auto" w:fill="auto"/>
            <w:vAlign w:val="bottom"/>
          </w:tcPr>
          <w:p w14:paraId="71D3E7BD" w14:textId="77777777" w:rsidR="006A3667" w:rsidRDefault="006A3667">
            <w:pPr>
              <w:rPr>
                <w:rFonts w:ascii="宋体"/>
                <w:vanish/>
              </w:rPr>
            </w:pPr>
          </w:p>
        </w:tc>
      </w:tr>
      <w:tr w:rsidR="006A3667" w14:paraId="71D3E7D2" w14:textId="77777777">
        <w:tc>
          <w:tcPr>
            <w:tcW w:w="0" w:type="auto"/>
            <w:gridSpan w:val="3"/>
            <w:shd w:val="clear" w:color="auto" w:fill="FFFFFF"/>
            <w:tcMar>
              <w:top w:w="40" w:type="dxa"/>
              <w:left w:w="20" w:type="dxa"/>
              <w:bottom w:w="40" w:type="dxa"/>
              <w:right w:w="20" w:type="dxa"/>
            </w:tcMar>
            <w:vAlign w:val="bottom"/>
          </w:tcPr>
          <w:p w14:paraId="71D3E7BF" w14:textId="77777777" w:rsidR="006A3667" w:rsidRDefault="00045F32">
            <w:pPr>
              <w:textAlignment w:val="bottom"/>
            </w:pPr>
            <w:r>
              <w:rPr>
                <w:rFonts w:ascii="Arial" w:eastAsia="宋体" w:hAnsi="Arial" w:cs="Arial"/>
                <w:color w:val="000000"/>
                <w:sz w:val="14"/>
                <w:szCs w:val="14"/>
              </w:rPr>
              <w:t>Cash fund flows, net</w:t>
            </w:r>
          </w:p>
        </w:tc>
        <w:tc>
          <w:tcPr>
            <w:tcW w:w="0" w:type="auto"/>
            <w:gridSpan w:val="2"/>
            <w:shd w:val="clear" w:color="auto" w:fill="FFFFFF"/>
            <w:tcMar>
              <w:top w:w="40" w:type="dxa"/>
              <w:left w:w="20" w:type="dxa"/>
              <w:bottom w:w="40" w:type="dxa"/>
              <w:right w:w="0" w:type="dxa"/>
            </w:tcMar>
            <w:vAlign w:val="bottom"/>
          </w:tcPr>
          <w:p w14:paraId="71D3E7C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7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C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7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C6" w14:textId="77777777" w:rsidR="006A3667" w:rsidRDefault="00045F32">
            <w:pPr>
              <w:jc w:val="right"/>
              <w:textAlignment w:val="bottom"/>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bottom"/>
          </w:tcPr>
          <w:p w14:paraId="71D3E7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C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C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7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C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C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7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C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CF" w14:textId="77777777" w:rsidR="006A3667" w:rsidRDefault="00045F32">
            <w:pPr>
              <w:jc w:val="right"/>
              <w:textAlignment w:val="bottom"/>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bottom"/>
          </w:tcPr>
          <w:p w14:paraId="71D3E7D0" w14:textId="77777777" w:rsidR="006A3667" w:rsidRDefault="006A3667">
            <w:pPr>
              <w:jc w:val="right"/>
              <w:rPr>
                <w:rFonts w:ascii="宋体"/>
              </w:rPr>
            </w:pPr>
          </w:p>
        </w:tc>
        <w:tc>
          <w:tcPr>
            <w:tcW w:w="0" w:type="auto"/>
            <w:shd w:val="clear" w:color="auto" w:fill="auto"/>
            <w:vAlign w:val="bottom"/>
          </w:tcPr>
          <w:p w14:paraId="71D3E7D1" w14:textId="77777777" w:rsidR="006A3667" w:rsidRDefault="006A3667">
            <w:pPr>
              <w:rPr>
                <w:rFonts w:ascii="宋体"/>
                <w:vanish/>
              </w:rPr>
            </w:pPr>
          </w:p>
        </w:tc>
      </w:tr>
      <w:tr w:rsidR="006A3667" w14:paraId="71D3E7E6" w14:textId="77777777">
        <w:tc>
          <w:tcPr>
            <w:tcW w:w="0" w:type="auto"/>
            <w:gridSpan w:val="3"/>
            <w:shd w:val="clear" w:color="auto" w:fill="CCEEFF"/>
            <w:tcMar>
              <w:top w:w="40" w:type="dxa"/>
              <w:left w:w="20" w:type="dxa"/>
              <w:bottom w:w="40" w:type="dxa"/>
              <w:right w:w="20" w:type="dxa"/>
            </w:tcMar>
            <w:vAlign w:val="bottom"/>
          </w:tcPr>
          <w:p w14:paraId="71D3E7D3" w14:textId="77777777" w:rsidR="006A3667" w:rsidRDefault="00045F32">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D4"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D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D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D7" w14:textId="77777777" w:rsidR="006A3667" w:rsidRDefault="00045F32">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D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DA" w14:textId="77777777" w:rsidR="006A3667" w:rsidRDefault="00045F32">
            <w:pPr>
              <w:jc w:val="right"/>
              <w:textAlignment w:val="bottom"/>
            </w:pPr>
            <w:r>
              <w:rPr>
                <w:rFonts w:ascii="Arial" w:eastAsia="宋体" w:hAnsi="Arial" w:cs="Arial"/>
                <w:color w:val="000000"/>
                <w:sz w:val="14"/>
                <w:szCs w:val="14"/>
              </w:rPr>
              <w:t>(12)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D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DD" w14:textId="77777777" w:rsidR="006A3667" w:rsidRDefault="00045F32">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D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D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E0" w14:textId="77777777" w:rsidR="006A3667" w:rsidRDefault="00045F32">
            <w:pPr>
              <w:jc w:val="right"/>
              <w:textAlignment w:val="bottom"/>
            </w:pPr>
            <w:r>
              <w:rPr>
                <w:rFonts w:ascii="Arial" w:eastAsia="宋体" w:hAnsi="Arial" w:cs="Arial"/>
                <w:color w:val="000000"/>
                <w:sz w:val="14"/>
                <w:szCs w:val="14"/>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E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7E3" w14:textId="77777777" w:rsidR="006A3667" w:rsidRDefault="00045F32">
            <w:pPr>
              <w:jc w:val="right"/>
              <w:textAlignment w:val="bottom"/>
            </w:pPr>
            <w:r>
              <w:rPr>
                <w:rFonts w:ascii="Arial" w:eastAsia="宋体" w:hAnsi="Arial" w:cs="Arial"/>
                <w:color w:val="000000"/>
                <w:sz w:val="14"/>
                <w:szCs w:val="14"/>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7E4" w14:textId="77777777" w:rsidR="006A3667" w:rsidRDefault="006A3667">
            <w:pPr>
              <w:jc w:val="right"/>
              <w:rPr>
                <w:rFonts w:ascii="宋体"/>
              </w:rPr>
            </w:pPr>
          </w:p>
        </w:tc>
        <w:tc>
          <w:tcPr>
            <w:tcW w:w="0" w:type="auto"/>
            <w:shd w:val="clear" w:color="auto" w:fill="auto"/>
            <w:vAlign w:val="bottom"/>
          </w:tcPr>
          <w:p w14:paraId="71D3E7E5" w14:textId="77777777" w:rsidR="006A3667" w:rsidRDefault="006A3667">
            <w:pPr>
              <w:rPr>
                <w:rFonts w:ascii="宋体"/>
                <w:vanish/>
              </w:rPr>
            </w:pPr>
          </w:p>
        </w:tc>
      </w:tr>
      <w:tr w:rsidR="006A3667" w14:paraId="71D3E7FA" w14:textId="77777777">
        <w:tc>
          <w:tcPr>
            <w:tcW w:w="0" w:type="auto"/>
            <w:gridSpan w:val="3"/>
            <w:shd w:val="clear" w:color="auto" w:fill="FFFFFF"/>
            <w:tcMar>
              <w:top w:w="40" w:type="dxa"/>
              <w:left w:w="155" w:type="dxa"/>
              <w:bottom w:w="40" w:type="dxa"/>
              <w:right w:w="20" w:type="dxa"/>
            </w:tcMar>
            <w:vAlign w:val="bottom"/>
          </w:tcPr>
          <w:p w14:paraId="71D3E7E7" w14:textId="77777777" w:rsidR="006A3667" w:rsidRDefault="00045F32">
            <w:pPr>
              <w:textAlignment w:val="bottom"/>
            </w:pPr>
            <w:r>
              <w:rPr>
                <w:rFonts w:ascii="Arial" w:eastAsia="宋体" w:hAnsi="Arial" w:cs="Arial"/>
                <w:color w:val="000000"/>
                <w:sz w:val="14"/>
                <w:szCs w:val="14"/>
              </w:rPr>
              <w:t>Market appreciation (depreciation)</w:t>
            </w:r>
          </w:p>
        </w:tc>
        <w:tc>
          <w:tcPr>
            <w:tcW w:w="0" w:type="auto"/>
            <w:gridSpan w:val="2"/>
            <w:shd w:val="clear" w:color="auto" w:fill="FFFFFF"/>
            <w:tcMar>
              <w:top w:w="40" w:type="dxa"/>
              <w:left w:w="20" w:type="dxa"/>
              <w:bottom w:w="40" w:type="dxa"/>
              <w:right w:w="0" w:type="dxa"/>
            </w:tcMar>
            <w:vAlign w:val="bottom"/>
          </w:tcPr>
          <w:p w14:paraId="71D3E7E8" w14:textId="77777777" w:rsidR="006A3667" w:rsidRDefault="00045F32">
            <w:pPr>
              <w:jc w:val="right"/>
              <w:textAlignment w:val="bottom"/>
            </w:pPr>
            <w:r>
              <w:rPr>
                <w:rFonts w:ascii="Arial" w:eastAsia="宋体" w:hAnsi="Arial" w:cs="Arial"/>
                <w:color w:val="000000"/>
                <w:sz w:val="14"/>
                <w:szCs w:val="14"/>
              </w:rPr>
              <w:t>(13)</w:t>
            </w:r>
          </w:p>
        </w:tc>
        <w:tc>
          <w:tcPr>
            <w:tcW w:w="0" w:type="auto"/>
            <w:shd w:val="clear" w:color="auto" w:fill="FFFFFF"/>
            <w:tcMar>
              <w:top w:w="40" w:type="dxa"/>
              <w:left w:w="0" w:type="dxa"/>
              <w:bottom w:w="40" w:type="dxa"/>
              <w:right w:w="20" w:type="dxa"/>
            </w:tcMar>
            <w:vAlign w:val="bottom"/>
          </w:tcPr>
          <w:p w14:paraId="71D3E7E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E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EB"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E7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E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EE"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E7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F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F1"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E7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F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F4" w14:textId="77777777" w:rsidR="006A3667" w:rsidRDefault="00045F32">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71D3E7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7F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7F7" w14:textId="77777777" w:rsidR="006A3667" w:rsidRDefault="00045F32">
            <w:pPr>
              <w:jc w:val="right"/>
              <w:textAlignment w:val="bottom"/>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bottom"/>
          </w:tcPr>
          <w:p w14:paraId="71D3E7F8" w14:textId="77777777" w:rsidR="006A3667" w:rsidRDefault="006A3667">
            <w:pPr>
              <w:jc w:val="right"/>
              <w:rPr>
                <w:rFonts w:ascii="宋体"/>
              </w:rPr>
            </w:pPr>
          </w:p>
        </w:tc>
        <w:tc>
          <w:tcPr>
            <w:tcW w:w="0" w:type="auto"/>
            <w:shd w:val="clear" w:color="auto" w:fill="auto"/>
            <w:vAlign w:val="bottom"/>
          </w:tcPr>
          <w:p w14:paraId="71D3E7F9" w14:textId="77777777" w:rsidR="006A3667" w:rsidRDefault="006A3667">
            <w:pPr>
              <w:rPr>
                <w:rFonts w:ascii="宋体"/>
                <w:vanish/>
              </w:rPr>
            </w:pPr>
          </w:p>
        </w:tc>
      </w:tr>
      <w:tr w:rsidR="006A3667" w14:paraId="71D3E80E" w14:textId="77777777">
        <w:tc>
          <w:tcPr>
            <w:tcW w:w="0" w:type="auto"/>
            <w:gridSpan w:val="3"/>
            <w:shd w:val="clear" w:color="auto" w:fill="CCEEFF"/>
            <w:tcMar>
              <w:top w:w="40" w:type="dxa"/>
              <w:left w:w="155" w:type="dxa"/>
              <w:bottom w:w="40" w:type="dxa"/>
              <w:right w:w="20" w:type="dxa"/>
            </w:tcMar>
            <w:vAlign w:val="bottom"/>
          </w:tcPr>
          <w:p w14:paraId="71D3E7FB" w14:textId="77777777" w:rsidR="006A3667" w:rsidRDefault="00045F32">
            <w:pPr>
              <w:textAlignment w:val="bottom"/>
            </w:pPr>
            <w:r>
              <w:rPr>
                <w:rFonts w:ascii="Arial" w:eastAsia="宋体" w:hAnsi="Arial" w:cs="Arial"/>
                <w:color w:val="000000"/>
                <w:sz w:val="14"/>
                <w:szCs w:val="14"/>
              </w:rPr>
              <w:t>Foreign exchange impact</w:t>
            </w:r>
          </w:p>
        </w:tc>
        <w:tc>
          <w:tcPr>
            <w:tcW w:w="0" w:type="auto"/>
            <w:gridSpan w:val="2"/>
            <w:shd w:val="clear" w:color="auto" w:fill="CCEEFF"/>
            <w:tcMar>
              <w:top w:w="40" w:type="dxa"/>
              <w:left w:w="20" w:type="dxa"/>
              <w:bottom w:w="40" w:type="dxa"/>
              <w:right w:w="0" w:type="dxa"/>
            </w:tcMar>
            <w:vAlign w:val="bottom"/>
          </w:tcPr>
          <w:p w14:paraId="71D3E7FC" w14:textId="77777777" w:rsidR="006A3667" w:rsidRDefault="00045F32">
            <w:pPr>
              <w:jc w:val="right"/>
              <w:textAlignment w:val="bottom"/>
            </w:pPr>
            <w:r>
              <w:rPr>
                <w:rFonts w:ascii="Arial" w:eastAsia="宋体" w:hAnsi="Arial" w:cs="Arial"/>
                <w:color w:val="000000"/>
                <w:sz w:val="14"/>
                <w:szCs w:val="14"/>
              </w:rPr>
              <w:t>(10)</w:t>
            </w:r>
          </w:p>
        </w:tc>
        <w:tc>
          <w:tcPr>
            <w:tcW w:w="0" w:type="auto"/>
            <w:shd w:val="clear" w:color="auto" w:fill="CCEEFF"/>
            <w:tcMar>
              <w:top w:w="40" w:type="dxa"/>
              <w:left w:w="0" w:type="dxa"/>
              <w:bottom w:w="40" w:type="dxa"/>
              <w:right w:w="20" w:type="dxa"/>
            </w:tcMar>
            <w:vAlign w:val="bottom"/>
          </w:tcPr>
          <w:p w14:paraId="71D3E7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7F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7FF"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71D3E8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0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02"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3E80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0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05"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3E8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08"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71D3E8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0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0B" w14:textId="77777777" w:rsidR="006A3667" w:rsidRDefault="00045F32">
            <w:pPr>
              <w:jc w:val="right"/>
              <w:textAlignment w:val="bottom"/>
            </w:pPr>
            <w:r>
              <w:rPr>
                <w:rFonts w:ascii="Arial" w:eastAsia="宋体" w:hAnsi="Arial" w:cs="Arial"/>
                <w:color w:val="000000"/>
                <w:sz w:val="14"/>
                <w:szCs w:val="14"/>
              </w:rPr>
              <w:t>(18)</w:t>
            </w:r>
          </w:p>
        </w:tc>
        <w:tc>
          <w:tcPr>
            <w:tcW w:w="0" w:type="auto"/>
            <w:shd w:val="clear" w:color="auto" w:fill="CCEEFF"/>
            <w:tcMar>
              <w:top w:w="40" w:type="dxa"/>
              <w:left w:w="0" w:type="dxa"/>
              <w:bottom w:w="40" w:type="dxa"/>
              <w:right w:w="20" w:type="dxa"/>
            </w:tcMar>
            <w:vAlign w:val="bottom"/>
          </w:tcPr>
          <w:p w14:paraId="71D3E80C" w14:textId="77777777" w:rsidR="006A3667" w:rsidRDefault="006A3667">
            <w:pPr>
              <w:jc w:val="right"/>
              <w:rPr>
                <w:rFonts w:ascii="宋体"/>
              </w:rPr>
            </w:pPr>
          </w:p>
        </w:tc>
        <w:tc>
          <w:tcPr>
            <w:tcW w:w="0" w:type="auto"/>
            <w:shd w:val="clear" w:color="auto" w:fill="auto"/>
            <w:vAlign w:val="bottom"/>
          </w:tcPr>
          <w:p w14:paraId="71D3E80D" w14:textId="77777777" w:rsidR="006A3667" w:rsidRDefault="006A3667">
            <w:pPr>
              <w:rPr>
                <w:rFonts w:ascii="宋体"/>
                <w:vanish/>
              </w:rPr>
            </w:pPr>
          </w:p>
        </w:tc>
      </w:tr>
      <w:tr w:rsidR="006A3667" w14:paraId="71D3E822" w14:textId="77777777">
        <w:tc>
          <w:tcPr>
            <w:tcW w:w="0" w:type="auto"/>
            <w:gridSpan w:val="3"/>
            <w:shd w:val="clear" w:color="auto" w:fill="FFFFFF"/>
            <w:tcMar>
              <w:top w:w="40" w:type="dxa"/>
              <w:left w:w="20" w:type="dxa"/>
              <w:bottom w:w="40" w:type="dxa"/>
              <w:right w:w="20" w:type="dxa"/>
            </w:tcMar>
            <w:vAlign w:val="bottom"/>
          </w:tcPr>
          <w:p w14:paraId="71D3E80F" w14:textId="77777777" w:rsidR="006A3667" w:rsidRDefault="00045F32">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10" w14:textId="77777777" w:rsidR="006A3667" w:rsidRDefault="00045F32">
            <w:pPr>
              <w:jc w:val="right"/>
              <w:textAlignment w:val="bottom"/>
            </w:pPr>
            <w:r>
              <w:rPr>
                <w:rFonts w:ascii="Arial" w:eastAsia="宋体" w:hAnsi="Arial" w:cs="Arial"/>
                <w:color w:val="000000"/>
                <w:sz w:val="14"/>
                <w:szCs w:val="14"/>
              </w:rPr>
              <w:t>(23)</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1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13" w14:textId="77777777" w:rsidR="006A3667" w:rsidRDefault="00045F32">
            <w:pPr>
              <w:jc w:val="right"/>
              <w:textAlignment w:val="bottom"/>
            </w:pPr>
            <w:r>
              <w:rPr>
                <w:rFonts w:ascii="Arial" w:eastAsia="宋体" w:hAnsi="Arial" w:cs="Arial"/>
                <w:color w:val="000000"/>
                <w:sz w:val="14"/>
                <w:szCs w:val="14"/>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1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16" w14:textId="77777777" w:rsidR="006A3667" w:rsidRDefault="00045F32">
            <w:pPr>
              <w:jc w:val="right"/>
              <w:textAlignment w:val="bottom"/>
            </w:pPr>
            <w:r>
              <w:rPr>
                <w:rFonts w:ascii="Arial" w:eastAsia="宋体" w:hAnsi="Arial" w:cs="Arial"/>
                <w:color w:val="000000"/>
                <w:sz w:val="14"/>
                <w:szCs w:val="14"/>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1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19" w14:textId="77777777" w:rsidR="006A3667" w:rsidRDefault="00045F32">
            <w:pPr>
              <w:jc w:val="right"/>
              <w:textAlignment w:val="bottom"/>
            </w:pPr>
            <w:r>
              <w:rPr>
                <w:rFonts w:ascii="Arial" w:eastAsia="宋体" w:hAnsi="Arial" w:cs="Arial"/>
                <w:color w:val="000000"/>
                <w:sz w:val="14"/>
                <w:szCs w:val="14"/>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1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1C" w14:textId="77777777" w:rsidR="006A3667" w:rsidRDefault="00045F32">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1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1F" w14:textId="77777777" w:rsidR="006A3667" w:rsidRDefault="00045F32">
            <w:pPr>
              <w:jc w:val="right"/>
              <w:textAlignment w:val="bottom"/>
            </w:pPr>
            <w:r>
              <w:rPr>
                <w:rFonts w:ascii="Arial" w:eastAsia="宋体" w:hAnsi="Arial" w:cs="Arial"/>
                <w:color w:val="000000"/>
                <w:sz w:val="14"/>
                <w:szCs w:val="14"/>
              </w:rPr>
              <w:t>(30)</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20" w14:textId="77777777" w:rsidR="006A3667" w:rsidRDefault="006A3667">
            <w:pPr>
              <w:jc w:val="right"/>
              <w:rPr>
                <w:rFonts w:ascii="宋体"/>
              </w:rPr>
            </w:pPr>
          </w:p>
        </w:tc>
        <w:tc>
          <w:tcPr>
            <w:tcW w:w="0" w:type="auto"/>
            <w:shd w:val="clear" w:color="auto" w:fill="auto"/>
            <w:vAlign w:val="bottom"/>
          </w:tcPr>
          <w:p w14:paraId="71D3E821" w14:textId="77777777" w:rsidR="006A3667" w:rsidRDefault="006A3667">
            <w:pPr>
              <w:rPr>
                <w:rFonts w:ascii="宋体"/>
                <w:vanish/>
              </w:rPr>
            </w:pPr>
          </w:p>
        </w:tc>
      </w:tr>
      <w:tr w:rsidR="006A3667" w14:paraId="71D3E83C" w14:textId="77777777">
        <w:tc>
          <w:tcPr>
            <w:tcW w:w="0" w:type="auto"/>
            <w:gridSpan w:val="3"/>
            <w:shd w:val="clear" w:color="auto" w:fill="CCEEFF"/>
            <w:tcMar>
              <w:top w:w="40" w:type="dxa"/>
              <w:left w:w="20" w:type="dxa"/>
              <w:bottom w:w="40" w:type="dxa"/>
              <w:right w:w="20" w:type="dxa"/>
            </w:tcMar>
            <w:vAlign w:val="bottom"/>
          </w:tcPr>
          <w:p w14:paraId="71D3E823" w14:textId="77777777" w:rsidR="006A3667" w:rsidRDefault="00045F32">
            <w:pPr>
              <w:textAlignment w:val="bottom"/>
            </w:pPr>
            <w:r>
              <w:rPr>
                <w:rFonts w:ascii="Arial" w:eastAsia="宋体" w:hAnsi="Arial" w:cs="Arial"/>
                <w:b/>
                <w:bCs/>
                <w:color w:val="000000"/>
                <w:sz w:val="14"/>
                <w:szCs w:val="14"/>
              </w:rPr>
              <w:t>Balance as of September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82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825" w14:textId="77777777" w:rsidR="006A3667" w:rsidRDefault="00045F32">
            <w:pPr>
              <w:jc w:val="right"/>
              <w:textAlignment w:val="bottom"/>
            </w:pPr>
            <w:r>
              <w:rPr>
                <w:rFonts w:ascii="Arial" w:eastAsia="宋体" w:hAnsi="Arial" w:cs="Arial"/>
                <w:color w:val="000000"/>
                <w:sz w:val="14"/>
                <w:szCs w:val="14"/>
              </w:rPr>
              <w:t>2,440 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2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82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829" w14:textId="77777777" w:rsidR="006A3667" w:rsidRDefault="00045F32">
            <w:pPr>
              <w:jc w:val="right"/>
              <w:textAlignment w:val="bottom"/>
            </w:pPr>
            <w:r>
              <w:rPr>
                <w:rFonts w:ascii="Arial" w:eastAsia="宋体" w:hAnsi="Arial" w:cs="Arial"/>
                <w:color w:val="000000"/>
                <w:sz w:val="14"/>
                <w:szCs w:val="14"/>
              </w:rPr>
              <w:t>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2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82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82D" w14:textId="77777777" w:rsidR="006A3667" w:rsidRDefault="00045F32">
            <w:pPr>
              <w:jc w:val="right"/>
              <w:textAlignment w:val="bottom"/>
            </w:pPr>
            <w:r>
              <w:rPr>
                <w:rFonts w:ascii="Arial" w:eastAsia="宋体" w:hAnsi="Arial" w:cs="Arial"/>
                <w:color w:val="000000"/>
                <w:sz w:val="14"/>
                <w:szCs w:val="14"/>
              </w:rPr>
              <w:t>367 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2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83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831" w14:textId="77777777" w:rsidR="006A3667" w:rsidRDefault="00045F32">
            <w:pPr>
              <w:jc w:val="right"/>
              <w:textAlignment w:val="bottom"/>
            </w:pPr>
            <w:r>
              <w:rPr>
                <w:rFonts w:ascii="Arial" w:eastAsia="宋体" w:hAnsi="Arial" w:cs="Arial"/>
                <w:color w:val="000000"/>
                <w:sz w:val="14"/>
                <w:szCs w:val="14"/>
              </w:rPr>
              <w:t>209 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3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83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835" w14:textId="77777777" w:rsidR="006A3667" w:rsidRDefault="00045F32">
            <w:pPr>
              <w:jc w:val="right"/>
              <w:textAlignment w:val="bottom"/>
            </w:pPr>
            <w:r>
              <w:rPr>
                <w:rFonts w:ascii="Arial" w:eastAsia="宋体" w:hAnsi="Arial" w:cs="Arial"/>
                <w:color w:val="000000"/>
                <w:sz w:val="14"/>
                <w:szCs w:val="14"/>
              </w:rPr>
              <w:t>236 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3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3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83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839" w14:textId="77777777" w:rsidR="006A3667" w:rsidRDefault="00045F32">
            <w:pPr>
              <w:jc w:val="right"/>
              <w:textAlignment w:val="bottom"/>
            </w:pPr>
            <w:r>
              <w:rPr>
                <w:rFonts w:ascii="Arial" w:eastAsia="宋体" w:hAnsi="Arial" w:cs="Arial"/>
                <w:color w:val="000000"/>
                <w:sz w:val="14"/>
                <w:szCs w:val="14"/>
              </w:rPr>
              <w:t>3,862 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3A" w14:textId="77777777" w:rsidR="006A3667" w:rsidRDefault="006A3667">
            <w:pPr>
              <w:jc w:val="right"/>
              <w:rPr>
                <w:rFonts w:ascii="宋体"/>
              </w:rPr>
            </w:pPr>
          </w:p>
        </w:tc>
        <w:tc>
          <w:tcPr>
            <w:tcW w:w="0" w:type="auto"/>
            <w:shd w:val="clear" w:color="auto" w:fill="auto"/>
            <w:vAlign w:val="bottom"/>
          </w:tcPr>
          <w:p w14:paraId="71D3E83B" w14:textId="77777777" w:rsidR="006A3667" w:rsidRDefault="006A3667">
            <w:pPr>
              <w:rPr>
                <w:rFonts w:ascii="宋体"/>
                <w:vanish/>
              </w:rPr>
            </w:pPr>
          </w:p>
        </w:tc>
      </w:tr>
      <w:tr w:rsidR="006A3667" w14:paraId="71D3E84A" w14:textId="77777777">
        <w:trPr>
          <w:hidden/>
        </w:trPr>
        <w:tc>
          <w:tcPr>
            <w:tcW w:w="0" w:type="auto"/>
            <w:gridSpan w:val="3"/>
            <w:shd w:val="clear" w:color="auto" w:fill="auto"/>
            <w:vAlign w:val="bottom"/>
          </w:tcPr>
          <w:p w14:paraId="71D3E83D" w14:textId="77777777" w:rsidR="006A3667" w:rsidRDefault="006A3667">
            <w:pPr>
              <w:rPr>
                <w:rFonts w:ascii="宋体"/>
                <w:vanish/>
              </w:rPr>
            </w:pPr>
          </w:p>
        </w:tc>
        <w:tc>
          <w:tcPr>
            <w:tcW w:w="0" w:type="auto"/>
            <w:gridSpan w:val="3"/>
            <w:shd w:val="clear" w:color="auto" w:fill="auto"/>
            <w:vAlign w:val="bottom"/>
          </w:tcPr>
          <w:p w14:paraId="71D3E83E" w14:textId="77777777" w:rsidR="006A3667" w:rsidRDefault="006A3667">
            <w:pPr>
              <w:rPr>
                <w:rFonts w:ascii="宋体"/>
                <w:vanish/>
              </w:rPr>
            </w:pPr>
          </w:p>
        </w:tc>
        <w:tc>
          <w:tcPr>
            <w:tcW w:w="0" w:type="auto"/>
            <w:gridSpan w:val="3"/>
            <w:shd w:val="clear" w:color="auto" w:fill="auto"/>
            <w:vAlign w:val="bottom"/>
          </w:tcPr>
          <w:p w14:paraId="71D3E83F" w14:textId="77777777" w:rsidR="006A3667" w:rsidRDefault="006A3667">
            <w:pPr>
              <w:rPr>
                <w:rFonts w:ascii="宋体"/>
                <w:vanish/>
              </w:rPr>
            </w:pPr>
          </w:p>
        </w:tc>
        <w:tc>
          <w:tcPr>
            <w:tcW w:w="0" w:type="auto"/>
            <w:gridSpan w:val="3"/>
            <w:shd w:val="clear" w:color="auto" w:fill="auto"/>
            <w:vAlign w:val="bottom"/>
          </w:tcPr>
          <w:p w14:paraId="71D3E840" w14:textId="77777777" w:rsidR="006A3667" w:rsidRDefault="006A3667">
            <w:pPr>
              <w:rPr>
                <w:rFonts w:ascii="宋体"/>
                <w:vanish/>
              </w:rPr>
            </w:pPr>
          </w:p>
        </w:tc>
        <w:tc>
          <w:tcPr>
            <w:tcW w:w="0" w:type="auto"/>
            <w:gridSpan w:val="3"/>
            <w:shd w:val="clear" w:color="auto" w:fill="auto"/>
            <w:vAlign w:val="bottom"/>
          </w:tcPr>
          <w:p w14:paraId="71D3E841" w14:textId="77777777" w:rsidR="006A3667" w:rsidRDefault="006A3667">
            <w:pPr>
              <w:rPr>
                <w:rFonts w:ascii="宋体"/>
                <w:vanish/>
              </w:rPr>
            </w:pPr>
          </w:p>
        </w:tc>
        <w:tc>
          <w:tcPr>
            <w:tcW w:w="0" w:type="auto"/>
            <w:gridSpan w:val="3"/>
            <w:shd w:val="clear" w:color="auto" w:fill="auto"/>
            <w:vAlign w:val="bottom"/>
          </w:tcPr>
          <w:p w14:paraId="71D3E842" w14:textId="77777777" w:rsidR="006A3667" w:rsidRDefault="006A3667">
            <w:pPr>
              <w:rPr>
                <w:rFonts w:ascii="宋体"/>
                <w:vanish/>
              </w:rPr>
            </w:pPr>
          </w:p>
        </w:tc>
        <w:tc>
          <w:tcPr>
            <w:tcW w:w="0" w:type="auto"/>
            <w:gridSpan w:val="3"/>
            <w:shd w:val="clear" w:color="auto" w:fill="auto"/>
            <w:vAlign w:val="bottom"/>
          </w:tcPr>
          <w:p w14:paraId="71D3E843" w14:textId="77777777" w:rsidR="006A3667" w:rsidRDefault="006A3667">
            <w:pPr>
              <w:rPr>
                <w:rFonts w:ascii="宋体"/>
                <w:vanish/>
              </w:rPr>
            </w:pPr>
          </w:p>
        </w:tc>
        <w:tc>
          <w:tcPr>
            <w:tcW w:w="0" w:type="auto"/>
            <w:gridSpan w:val="3"/>
            <w:shd w:val="clear" w:color="auto" w:fill="auto"/>
            <w:vAlign w:val="bottom"/>
          </w:tcPr>
          <w:p w14:paraId="71D3E844" w14:textId="77777777" w:rsidR="006A3667" w:rsidRDefault="006A3667">
            <w:pPr>
              <w:rPr>
                <w:rFonts w:ascii="宋体"/>
                <w:vanish/>
              </w:rPr>
            </w:pPr>
          </w:p>
        </w:tc>
        <w:tc>
          <w:tcPr>
            <w:tcW w:w="0" w:type="auto"/>
            <w:gridSpan w:val="3"/>
            <w:shd w:val="clear" w:color="auto" w:fill="auto"/>
            <w:vAlign w:val="bottom"/>
          </w:tcPr>
          <w:p w14:paraId="71D3E845" w14:textId="77777777" w:rsidR="006A3667" w:rsidRDefault="006A3667">
            <w:pPr>
              <w:rPr>
                <w:rFonts w:ascii="宋体"/>
                <w:vanish/>
              </w:rPr>
            </w:pPr>
          </w:p>
        </w:tc>
        <w:tc>
          <w:tcPr>
            <w:tcW w:w="0" w:type="auto"/>
            <w:gridSpan w:val="3"/>
            <w:shd w:val="clear" w:color="auto" w:fill="auto"/>
            <w:vAlign w:val="bottom"/>
          </w:tcPr>
          <w:p w14:paraId="71D3E846" w14:textId="77777777" w:rsidR="006A3667" w:rsidRDefault="006A3667">
            <w:pPr>
              <w:rPr>
                <w:rFonts w:ascii="宋体"/>
                <w:vanish/>
              </w:rPr>
            </w:pPr>
          </w:p>
        </w:tc>
        <w:tc>
          <w:tcPr>
            <w:tcW w:w="0" w:type="auto"/>
            <w:gridSpan w:val="3"/>
            <w:shd w:val="clear" w:color="auto" w:fill="auto"/>
            <w:vAlign w:val="bottom"/>
          </w:tcPr>
          <w:p w14:paraId="71D3E847" w14:textId="77777777" w:rsidR="006A3667" w:rsidRDefault="006A3667">
            <w:pPr>
              <w:rPr>
                <w:rFonts w:ascii="宋体"/>
                <w:vanish/>
              </w:rPr>
            </w:pPr>
          </w:p>
        </w:tc>
        <w:tc>
          <w:tcPr>
            <w:tcW w:w="0" w:type="auto"/>
            <w:gridSpan w:val="3"/>
            <w:shd w:val="clear" w:color="auto" w:fill="auto"/>
            <w:vAlign w:val="bottom"/>
          </w:tcPr>
          <w:p w14:paraId="71D3E848" w14:textId="77777777" w:rsidR="006A3667" w:rsidRDefault="006A3667">
            <w:pPr>
              <w:rPr>
                <w:rFonts w:ascii="宋体"/>
                <w:vanish/>
              </w:rPr>
            </w:pPr>
          </w:p>
        </w:tc>
        <w:tc>
          <w:tcPr>
            <w:tcW w:w="0" w:type="auto"/>
            <w:shd w:val="clear" w:color="auto" w:fill="auto"/>
            <w:vAlign w:val="bottom"/>
          </w:tcPr>
          <w:p w14:paraId="71D3E849" w14:textId="77777777" w:rsidR="006A3667" w:rsidRDefault="006A3667">
            <w:pPr>
              <w:rPr>
                <w:rFonts w:ascii="宋体"/>
                <w:vanish/>
              </w:rPr>
            </w:pPr>
          </w:p>
        </w:tc>
      </w:tr>
      <w:tr w:rsidR="006A3667" w14:paraId="71D3E864" w14:textId="77777777">
        <w:tc>
          <w:tcPr>
            <w:tcW w:w="0" w:type="auto"/>
            <w:gridSpan w:val="3"/>
            <w:shd w:val="clear" w:color="auto" w:fill="FFFFFF"/>
            <w:tcMar>
              <w:top w:w="40" w:type="dxa"/>
              <w:left w:w="20" w:type="dxa"/>
              <w:bottom w:w="40" w:type="dxa"/>
              <w:right w:w="20" w:type="dxa"/>
            </w:tcMar>
            <w:vAlign w:val="bottom"/>
          </w:tcPr>
          <w:p w14:paraId="71D3E84B" w14:textId="77777777" w:rsidR="006A3667" w:rsidRDefault="00045F32">
            <w:pPr>
              <w:textAlignment w:val="bottom"/>
            </w:pPr>
            <w:r>
              <w:rPr>
                <w:rFonts w:ascii="Arial" w:eastAsia="宋体" w:hAnsi="Arial" w:cs="Arial"/>
                <w:b/>
                <w:bCs/>
                <w:color w:val="000000"/>
                <w:sz w:val="14"/>
                <w:szCs w:val="14"/>
              </w:rPr>
              <w:t>Balance as of December 31, 2021</w:t>
            </w:r>
          </w:p>
        </w:tc>
        <w:tc>
          <w:tcPr>
            <w:tcW w:w="0" w:type="auto"/>
            <w:tcBorders>
              <w:top w:val="double" w:sz="6" w:space="0" w:color="000000"/>
            </w:tcBorders>
            <w:shd w:val="clear" w:color="auto" w:fill="FFFFFF"/>
            <w:tcMar>
              <w:top w:w="40" w:type="dxa"/>
              <w:left w:w="20" w:type="dxa"/>
              <w:bottom w:w="40" w:type="dxa"/>
              <w:right w:w="0" w:type="dxa"/>
            </w:tcMar>
            <w:vAlign w:val="bottom"/>
          </w:tcPr>
          <w:p w14:paraId="71D3E84C"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3E84D" w14:textId="77777777" w:rsidR="006A3667" w:rsidRDefault="00045F32">
            <w:pPr>
              <w:jc w:val="right"/>
              <w:textAlignment w:val="bottom"/>
            </w:pPr>
            <w:r>
              <w:rPr>
                <w:rFonts w:ascii="Arial" w:eastAsia="宋体" w:hAnsi="Arial" w:cs="Arial"/>
                <w:color w:val="000000"/>
                <w:sz w:val="14"/>
                <w:szCs w:val="14"/>
              </w:rPr>
              <w:t>2,674 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8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4F"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3E850"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3E851" w14:textId="77777777" w:rsidR="006A3667" w:rsidRDefault="00045F32">
            <w:pPr>
              <w:jc w:val="right"/>
              <w:textAlignment w:val="bottom"/>
            </w:pPr>
            <w:r>
              <w:rPr>
                <w:rFonts w:ascii="Arial" w:eastAsia="宋体" w:hAnsi="Arial" w:cs="Arial"/>
                <w:color w:val="000000"/>
                <w:sz w:val="14"/>
                <w:szCs w:val="14"/>
              </w:rPr>
              <w:t>623 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85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53"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3E854"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3E855" w14:textId="77777777" w:rsidR="006A3667" w:rsidRDefault="00045F32">
            <w:pPr>
              <w:jc w:val="right"/>
              <w:textAlignment w:val="bottom"/>
            </w:pPr>
            <w:r>
              <w:rPr>
                <w:rFonts w:ascii="Arial" w:eastAsia="宋体" w:hAnsi="Arial" w:cs="Arial"/>
                <w:color w:val="000000"/>
                <w:sz w:val="14"/>
                <w:szCs w:val="14"/>
              </w:rPr>
              <w:t>368 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8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57"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3E858"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3E859" w14:textId="77777777" w:rsidR="006A3667" w:rsidRDefault="00045F32">
            <w:pPr>
              <w:jc w:val="right"/>
              <w:textAlignment w:val="bottom"/>
            </w:pPr>
            <w:r>
              <w:rPr>
                <w:rFonts w:ascii="Arial" w:eastAsia="宋体" w:hAnsi="Arial" w:cs="Arial"/>
                <w:color w:val="000000"/>
                <w:sz w:val="14"/>
                <w:szCs w:val="14"/>
              </w:rPr>
              <w:t>222 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85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5B"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3E85C"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3E85D" w14:textId="77777777" w:rsidR="006A3667" w:rsidRDefault="00045F32">
            <w:pPr>
              <w:jc w:val="right"/>
              <w:textAlignment w:val="bottom"/>
            </w:pPr>
            <w:r>
              <w:rPr>
                <w:rFonts w:ascii="Arial" w:eastAsia="宋体" w:hAnsi="Arial" w:cs="Arial"/>
                <w:color w:val="000000"/>
                <w:sz w:val="14"/>
                <w:szCs w:val="14"/>
              </w:rPr>
              <w:t>251 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8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5F"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3E860"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3E861" w14:textId="77777777" w:rsidR="006A3667" w:rsidRDefault="00045F32">
            <w:pPr>
              <w:jc w:val="right"/>
              <w:textAlignment w:val="bottom"/>
            </w:pPr>
            <w:r>
              <w:rPr>
                <w:rFonts w:ascii="Arial" w:eastAsia="宋体" w:hAnsi="Arial" w:cs="Arial"/>
                <w:color w:val="000000"/>
                <w:sz w:val="14"/>
                <w:szCs w:val="14"/>
              </w:rPr>
              <w:t>4,138 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3E862" w14:textId="77777777" w:rsidR="006A3667" w:rsidRDefault="006A3667">
            <w:pPr>
              <w:jc w:val="right"/>
              <w:rPr>
                <w:rFonts w:ascii="宋体"/>
              </w:rPr>
            </w:pPr>
          </w:p>
        </w:tc>
        <w:tc>
          <w:tcPr>
            <w:tcW w:w="0" w:type="auto"/>
            <w:shd w:val="clear" w:color="auto" w:fill="auto"/>
            <w:vAlign w:val="bottom"/>
          </w:tcPr>
          <w:p w14:paraId="71D3E863" w14:textId="77777777" w:rsidR="006A3667" w:rsidRDefault="006A3667">
            <w:pPr>
              <w:rPr>
                <w:rFonts w:ascii="宋体"/>
                <w:vanish/>
              </w:rPr>
            </w:pPr>
          </w:p>
        </w:tc>
      </w:tr>
      <w:tr w:rsidR="006A3667" w14:paraId="71D3E878" w14:textId="77777777">
        <w:tc>
          <w:tcPr>
            <w:tcW w:w="0" w:type="auto"/>
            <w:gridSpan w:val="3"/>
            <w:shd w:val="clear" w:color="auto" w:fill="CCEEFF"/>
            <w:tcMar>
              <w:top w:w="40" w:type="dxa"/>
              <w:left w:w="20" w:type="dxa"/>
              <w:bottom w:w="40" w:type="dxa"/>
              <w:right w:w="20" w:type="dxa"/>
            </w:tcMar>
            <w:vAlign w:val="bottom"/>
          </w:tcPr>
          <w:p w14:paraId="71D3E865" w14:textId="77777777" w:rsidR="006A3667" w:rsidRDefault="00045F32">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1D3E866" w14:textId="77777777" w:rsidR="006A3667" w:rsidRDefault="00045F32">
            <w:pPr>
              <w:jc w:val="right"/>
              <w:textAlignment w:val="bottom"/>
            </w:pPr>
            <w:r>
              <w:rPr>
                <w:rFonts w:ascii="Arial" w:eastAsia="宋体" w:hAnsi="Arial" w:cs="Arial"/>
                <w:color w:val="000000"/>
                <w:sz w:val="14"/>
                <w:szCs w:val="14"/>
              </w:rPr>
              <w:t>(25)</w:t>
            </w:r>
          </w:p>
        </w:tc>
        <w:tc>
          <w:tcPr>
            <w:tcW w:w="0" w:type="auto"/>
            <w:shd w:val="clear" w:color="auto" w:fill="CCEEFF"/>
            <w:tcMar>
              <w:top w:w="40" w:type="dxa"/>
              <w:left w:w="0" w:type="dxa"/>
              <w:bottom w:w="40" w:type="dxa"/>
              <w:right w:w="20" w:type="dxa"/>
            </w:tcMar>
            <w:vAlign w:val="bottom"/>
          </w:tcPr>
          <w:p w14:paraId="71D3E8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6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69" w14:textId="77777777" w:rsidR="006A3667" w:rsidRDefault="00045F32">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71D3E8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6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6C" w14:textId="77777777" w:rsidR="006A3667" w:rsidRDefault="00045F32">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71D3E86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6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6F" w14:textId="77777777" w:rsidR="006A3667" w:rsidRDefault="00045F32">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71D3E8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7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72"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71D3E8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7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75" w14:textId="77777777" w:rsidR="006A3667" w:rsidRDefault="00045F32">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71D3E876" w14:textId="77777777" w:rsidR="006A3667" w:rsidRDefault="006A3667">
            <w:pPr>
              <w:jc w:val="right"/>
              <w:rPr>
                <w:rFonts w:ascii="宋体"/>
              </w:rPr>
            </w:pPr>
          </w:p>
        </w:tc>
        <w:tc>
          <w:tcPr>
            <w:tcW w:w="0" w:type="auto"/>
            <w:shd w:val="clear" w:color="auto" w:fill="auto"/>
            <w:vAlign w:val="bottom"/>
          </w:tcPr>
          <w:p w14:paraId="71D3E877" w14:textId="77777777" w:rsidR="006A3667" w:rsidRDefault="006A3667">
            <w:pPr>
              <w:rPr>
                <w:rFonts w:ascii="宋体"/>
                <w:vanish/>
              </w:rPr>
            </w:pPr>
          </w:p>
        </w:tc>
      </w:tr>
      <w:tr w:rsidR="006A3667" w14:paraId="71D3E88C" w14:textId="77777777">
        <w:tc>
          <w:tcPr>
            <w:tcW w:w="0" w:type="auto"/>
            <w:gridSpan w:val="3"/>
            <w:shd w:val="clear" w:color="auto" w:fill="FFFFFF"/>
            <w:tcMar>
              <w:top w:w="40" w:type="dxa"/>
              <w:left w:w="20" w:type="dxa"/>
              <w:bottom w:w="40" w:type="dxa"/>
              <w:right w:w="20" w:type="dxa"/>
            </w:tcMar>
            <w:vAlign w:val="bottom"/>
          </w:tcPr>
          <w:p w14:paraId="71D3E879" w14:textId="77777777" w:rsidR="006A3667" w:rsidRDefault="00045F32">
            <w:pPr>
              <w:textAlignment w:val="bottom"/>
            </w:pPr>
            <w:r>
              <w:rPr>
                <w:rFonts w:ascii="Arial" w:eastAsia="宋体" w:hAnsi="Arial" w:cs="Arial"/>
                <w:color w:val="000000"/>
                <w:sz w:val="14"/>
                <w:szCs w:val="14"/>
              </w:rPr>
              <w:t>Exchange-traded fund flows, net</w:t>
            </w:r>
          </w:p>
        </w:tc>
        <w:tc>
          <w:tcPr>
            <w:tcW w:w="0" w:type="auto"/>
            <w:gridSpan w:val="2"/>
            <w:shd w:val="clear" w:color="auto" w:fill="FFFFFF"/>
            <w:tcMar>
              <w:top w:w="40" w:type="dxa"/>
              <w:left w:w="20" w:type="dxa"/>
              <w:bottom w:w="40" w:type="dxa"/>
              <w:right w:w="0" w:type="dxa"/>
            </w:tcMar>
            <w:vAlign w:val="bottom"/>
          </w:tcPr>
          <w:p w14:paraId="71D3E87A" w14:textId="77777777" w:rsidR="006A3667" w:rsidRDefault="00045F32">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71D3E87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7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7D" w14:textId="77777777" w:rsidR="006A3667" w:rsidRDefault="00045F32">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1D3E8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7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8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88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8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8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8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86" w14:textId="77777777" w:rsidR="006A3667" w:rsidRDefault="00045F32">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71D3E8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89" w14:textId="77777777" w:rsidR="006A3667" w:rsidRDefault="00045F32">
            <w:pPr>
              <w:jc w:val="right"/>
              <w:textAlignment w:val="bottom"/>
            </w:pPr>
            <w:r>
              <w:rPr>
                <w:rFonts w:ascii="Arial" w:eastAsia="宋体" w:hAnsi="Arial" w:cs="Arial"/>
                <w:color w:val="000000"/>
                <w:sz w:val="14"/>
                <w:szCs w:val="14"/>
              </w:rPr>
              <w:t>17 </w:t>
            </w:r>
          </w:p>
        </w:tc>
        <w:tc>
          <w:tcPr>
            <w:tcW w:w="0" w:type="auto"/>
            <w:shd w:val="clear" w:color="auto" w:fill="FFFFFF"/>
            <w:tcMar>
              <w:top w:w="40" w:type="dxa"/>
              <w:left w:w="0" w:type="dxa"/>
              <w:bottom w:w="40" w:type="dxa"/>
              <w:right w:w="20" w:type="dxa"/>
            </w:tcMar>
            <w:vAlign w:val="bottom"/>
          </w:tcPr>
          <w:p w14:paraId="71D3E88A" w14:textId="77777777" w:rsidR="006A3667" w:rsidRDefault="006A3667">
            <w:pPr>
              <w:jc w:val="right"/>
              <w:rPr>
                <w:rFonts w:ascii="宋体"/>
              </w:rPr>
            </w:pPr>
          </w:p>
        </w:tc>
        <w:tc>
          <w:tcPr>
            <w:tcW w:w="0" w:type="auto"/>
            <w:shd w:val="clear" w:color="auto" w:fill="auto"/>
            <w:vAlign w:val="bottom"/>
          </w:tcPr>
          <w:p w14:paraId="71D3E88B" w14:textId="77777777" w:rsidR="006A3667" w:rsidRDefault="006A3667">
            <w:pPr>
              <w:rPr>
                <w:rFonts w:ascii="宋体"/>
                <w:vanish/>
              </w:rPr>
            </w:pPr>
          </w:p>
        </w:tc>
      </w:tr>
      <w:tr w:rsidR="006A3667" w14:paraId="71D3E8A0" w14:textId="77777777">
        <w:tc>
          <w:tcPr>
            <w:tcW w:w="0" w:type="auto"/>
            <w:gridSpan w:val="3"/>
            <w:shd w:val="clear" w:color="auto" w:fill="CCEEFF"/>
            <w:tcMar>
              <w:top w:w="40" w:type="dxa"/>
              <w:left w:w="20" w:type="dxa"/>
              <w:bottom w:w="40" w:type="dxa"/>
              <w:right w:w="20" w:type="dxa"/>
            </w:tcMar>
            <w:vAlign w:val="bottom"/>
          </w:tcPr>
          <w:p w14:paraId="71D3E88D" w14:textId="77777777" w:rsidR="006A3667" w:rsidRDefault="00045F32">
            <w:pPr>
              <w:textAlignment w:val="bottom"/>
            </w:pPr>
            <w:r>
              <w:rPr>
                <w:rFonts w:ascii="Arial" w:eastAsia="宋体" w:hAnsi="Arial" w:cs="Arial"/>
                <w:color w:val="000000"/>
                <w:sz w:val="14"/>
                <w:szCs w:val="14"/>
              </w:rPr>
              <w:t>Cash fund flows, net</w:t>
            </w:r>
          </w:p>
        </w:tc>
        <w:tc>
          <w:tcPr>
            <w:tcW w:w="0" w:type="auto"/>
            <w:gridSpan w:val="2"/>
            <w:shd w:val="clear" w:color="auto" w:fill="CCEEFF"/>
            <w:tcMar>
              <w:top w:w="40" w:type="dxa"/>
              <w:left w:w="20" w:type="dxa"/>
              <w:bottom w:w="40" w:type="dxa"/>
              <w:right w:w="0" w:type="dxa"/>
            </w:tcMar>
            <w:vAlign w:val="bottom"/>
          </w:tcPr>
          <w:p w14:paraId="71D3E88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8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9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9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8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9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94" w14:textId="77777777" w:rsidR="006A3667" w:rsidRDefault="00045F32">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71D3E89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9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9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89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9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9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89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9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9D" w14:textId="77777777" w:rsidR="006A3667" w:rsidRDefault="00045F32">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71D3E89E" w14:textId="77777777" w:rsidR="006A3667" w:rsidRDefault="006A3667">
            <w:pPr>
              <w:jc w:val="right"/>
              <w:rPr>
                <w:rFonts w:ascii="宋体"/>
              </w:rPr>
            </w:pPr>
          </w:p>
        </w:tc>
        <w:tc>
          <w:tcPr>
            <w:tcW w:w="0" w:type="auto"/>
            <w:shd w:val="clear" w:color="auto" w:fill="auto"/>
            <w:vAlign w:val="bottom"/>
          </w:tcPr>
          <w:p w14:paraId="71D3E89F" w14:textId="77777777" w:rsidR="006A3667" w:rsidRDefault="006A3667">
            <w:pPr>
              <w:rPr>
                <w:rFonts w:ascii="宋体"/>
                <w:vanish/>
              </w:rPr>
            </w:pPr>
          </w:p>
        </w:tc>
      </w:tr>
      <w:tr w:rsidR="006A3667" w14:paraId="71D3E8B4" w14:textId="77777777">
        <w:tc>
          <w:tcPr>
            <w:tcW w:w="0" w:type="auto"/>
            <w:gridSpan w:val="3"/>
            <w:shd w:val="clear" w:color="auto" w:fill="FFFFFF"/>
            <w:tcMar>
              <w:top w:w="40" w:type="dxa"/>
              <w:left w:w="20" w:type="dxa"/>
              <w:bottom w:w="40" w:type="dxa"/>
              <w:right w:w="20" w:type="dxa"/>
            </w:tcMar>
            <w:vAlign w:val="bottom"/>
          </w:tcPr>
          <w:p w14:paraId="71D3E8A1" w14:textId="77777777" w:rsidR="006A3667" w:rsidRDefault="00045F32">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A2" w14:textId="77777777" w:rsidR="006A3667" w:rsidRDefault="00045F32">
            <w:pPr>
              <w:jc w:val="right"/>
              <w:textAlignment w:val="bottom"/>
            </w:pPr>
            <w:r>
              <w:rPr>
                <w:rFonts w:ascii="Arial" w:eastAsia="宋体" w:hAnsi="Arial" w:cs="Arial"/>
                <w:color w:val="000000"/>
                <w:sz w:val="14"/>
                <w:szCs w:val="14"/>
              </w:rPr>
              <w:t>(21)</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A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A5" w14:textId="77777777" w:rsidR="006A3667" w:rsidRDefault="00045F32">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A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A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A8" w14:textId="77777777" w:rsidR="006A3667" w:rsidRDefault="00045F32">
            <w:pPr>
              <w:jc w:val="right"/>
              <w:textAlignment w:val="bottom"/>
            </w:pPr>
            <w:r>
              <w:rPr>
                <w:rFonts w:ascii="Arial" w:eastAsia="宋体" w:hAnsi="Arial" w:cs="Arial"/>
                <w:color w:val="000000"/>
                <w:sz w:val="14"/>
                <w:szCs w:val="14"/>
              </w:rPr>
              <w:t>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A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A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AB" w14:textId="77777777" w:rsidR="006A3667" w:rsidRDefault="00045F32">
            <w:pPr>
              <w:jc w:val="right"/>
              <w:textAlignment w:val="bottom"/>
            </w:pPr>
            <w:r>
              <w:rPr>
                <w:rFonts w:ascii="Arial" w:eastAsia="宋体" w:hAnsi="Arial" w:cs="Arial"/>
                <w:color w:val="000000"/>
                <w:sz w:val="14"/>
                <w:szCs w:val="14"/>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A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AE" w14:textId="77777777" w:rsidR="006A3667" w:rsidRDefault="00045F32">
            <w:pPr>
              <w:jc w:val="right"/>
              <w:textAlignment w:val="bottom"/>
            </w:pPr>
            <w:r>
              <w:rPr>
                <w:rFonts w:ascii="Arial" w:eastAsia="宋体" w:hAnsi="Arial" w:cs="Arial"/>
                <w:color w:val="000000"/>
                <w:sz w:val="14"/>
                <w:szCs w:val="14"/>
              </w:rPr>
              <w:t>21 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B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B1" w14:textId="77777777" w:rsidR="006A3667" w:rsidRDefault="00045F32">
            <w:pPr>
              <w:jc w:val="right"/>
              <w:textAlignment w:val="bottom"/>
            </w:pPr>
            <w:r>
              <w:rPr>
                <w:rFonts w:ascii="Arial" w:eastAsia="宋体" w:hAnsi="Arial" w:cs="Arial"/>
                <w:color w:val="000000"/>
                <w:sz w:val="14"/>
                <w:szCs w:val="14"/>
              </w:rPr>
              <w:t>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B2" w14:textId="77777777" w:rsidR="006A3667" w:rsidRDefault="006A3667">
            <w:pPr>
              <w:jc w:val="right"/>
              <w:rPr>
                <w:rFonts w:ascii="宋体"/>
              </w:rPr>
            </w:pPr>
          </w:p>
        </w:tc>
        <w:tc>
          <w:tcPr>
            <w:tcW w:w="0" w:type="auto"/>
            <w:shd w:val="clear" w:color="auto" w:fill="auto"/>
            <w:vAlign w:val="bottom"/>
          </w:tcPr>
          <w:p w14:paraId="71D3E8B3" w14:textId="77777777" w:rsidR="006A3667" w:rsidRDefault="006A3667">
            <w:pPr>
              <w:rPr>
                <w:rFonts w:ascii="宋体"/>
                <w:vanish/>
              </w:rPr>
            </w:pPr>
          </w:p>
        </w:tc>
      </w:tr>
      <w:tr w:rsidR="006A3667" w14:paraId="71D3E8C8" w14:textId="77777777">
        <w:tc>
          <w:tcPr>
            <w:tcW w:w="0" w:type="auto"/>
            <w:gridSpan w:val="3"/>
            <w:shd w:val="clear" w:color="auto" w:fill="CCEEFF"/>
            <w:tcMar>
              <w:top w:w="40" w:type="dxa"/>
              <w:left w:w="155" w:type="dxa"/>
              <w:bottom w:w="40" w:type="dxa"/>
              <w:right w:w="20" w:type="dxa"/>
            </w:tcMar>
            <w:vAlign w:val="bottom"/>
          </w:tcPr>
          <w:p w14:paraId="71D3E8B5" w14:textId="77777777" w:rsidR="006A3667" w:rsidRDefault="00045F32">
            <w:pPr>
              <w:textAlignment w:val="bottom"/>
            </w:pPr>
            <w:r>
              <w:rPr>
                <w:rFonts w:ascii="Arial" w:eastAsia="宋体" w:hAnsi="Arial" w:cs="Arial"/>
                <w:color w:val="000000"/>
                <w:sz w:val="14"/>
                <w:szCs w:val="14"/>
              </w:rPr>
              <w:t>Market appreciation (depreciation)</w:t>
            </w:r>
          </w:p>
        </w:tc>
        <w:tc>
          <w:tcPr>
            <w:tcW w:w="0" w:type="auto"/>
            <w:gridSpan w:val="2"/>
            <w:shd w:val="clear" w:color="auto" w:fill="CCEEFF"/>
            <w:tcMar>
              <w:top w:w="40" w:type="dxa"/>
              <w:left w:w="20" w:type="dxa"/>
              <w:bottom w:w="40" w:type="dxa"/>
              <w:right w:w="0" w:type="dxa"/>
            </w:tcMar>
            <w:vAlign w:val="bottom"/>
          </w:tcPr>
          <w:p w14:paraId="71D3E8B6" w14:textId="77777777" w:rsidR="006A3667" w:rsidRDefault="00045F32">
            <w:pPr>
              <w:jc w:val="right"/>
              <w:textAlignment w:val="bottom"/>
            </w:pPr>
            <w:r>
              <w:rPr>
                <w:rFonts w:ascii="Arial" w:eastAsia="宋体" w:hAnsi="Arial" w:cs="Arial"/>
                <w:color w:val="000000"/>
                <w:sz w:val="14"/>
                <w:szCs w:val="14"/>
              </w:rPr>
              <w:t>(113)</w:t>
            </w:r>
          </w:p>
        </w:tc>
        <w:tc>
          <w:tcPr>
            <w:tcW w:w="0" w:type="auto"/>
            <w:shd w:val="clear" w:color="auto" w:fill="CCEEFF"/>
            <w:tcMar>
              <w:top w:w="40" w:type="dxa"/>
              <w:left w:w="0" w:type="dxa"/>
              <w:bottom w:w="40" w:type="dxa"/>
              <w:right w:w="20" w:type="dxa"/>
            </w:tcMar>
            <w:vAlign w:val="bottom"/>
          </w:tcPr>
          <w:p w14:paraId="71D3E8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B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B9" w14:textId="77777777" w:rsidR="006A3667" w:rsidRDefault="00045F32">
            <w:pPr>
              <w:jc w:val="right"/>
              <w:textAlignment w:val="bottom"/>
            </w:pPr>
            <w:r>
              <w:rPr>
                <w:rFonts w:ascii="Arial" w:eastAsia="宋体" w:hAnsi="Arial" w:cs="Arial"/>
                <w:color w:val="000000"/>
                <w:sz w:val="14"/>
                <w:szCs w:val="14"/>
              </w:rPr>
              <w:t>(34)</w:t>
            </w:r>
          </w:p>
        </w:tc>
        <w:tc>
          <w:tcPr>
            <w:tcW w:w="0" w:type="auto"/>
            <w:shd w:val="clear" w:color="auto" w:fill="CCEEFF"/>
            <w:tcMar>
              <w:top w:w="40" w:type="dxa"/>
              <w:left w:w="0" w:type="dxa"/>
              <w:bottom w:w="40" w:type="dxa"/>
              <w:right w:w="20" w:type="dxa"/>
            </w:tcMar>
            <w:vAlign w:val="bottom"/>
          </w:tcPr>
          <w:p w14:paraId="71D3E8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B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BC"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3E8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B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BF"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71D3E8C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C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C2" w14:textId="77777777" w:rsidR="006A3667" w:rsidRDefault="00045F32">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71D3E8C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C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8C5" w14:textId="77777777" w:rsidR="006A3667" w:rsidRDefault="00045F32">
            <w:pPr>
              <w:jc w:val="right"/>
              <w:textAlignment w:val="bottom"/>
            </w:pPr>
            <w:r>
              <w:rPr>
                <w:rFonts w:ascii="Arial" w:eastAsia="宋体" w:hAnsi="Arial" w:cs="Arial"/>
                <w:color w:val="000000"/>
                <w:sz w:val="14"/>
                <w:szCs w:val="14"/>
              </w:rPr>
              <w:t>(153)</w:t>
            </w:r>
          </w:p>
        </w:tc>
        <w:tc>
          <w:tcPr>
            <w:tcW w:w="0" w:type="auto"/>
            <w:shd w:val="clear" w:color="auto" w:fill="CCEEFF"/>
            <w:tcMar>
              <w:top w:w="40" w:type="dxa"/>
              <w:left w:w="0" w:type="dxa"/>
              <w:bottom w:w="40" w:type="dxa"/>
              <w:right w:w="20" w:type="dxa"/>
            </w:tcMar>
            <w:vAlign w:val="bottom"/>
          </w:tcPr>
          <w:p w14:paraId="71D3E8C6" w14:textId="77777777" w:rsidR="006A3667" w:rsidRDefault="006A3667">
            <w:pPr>
              <w:jc w:val="right"/>
              <w:rPr>
                <w:rFonts w:ascii="宋体"/>
              </w:rPr>
            </w:pPr>
          </w:p>
        </w:tc>
        <w:tc>
          <w:tcPr>
            <w:tcW w:w="0" w:type="auto"/>
            <w:shd w:val="clear" w:color="auto" w:fill="auto"/>
            <w:vAlign w:val="bottom"/>
          </w:tcPr>
          <w:p w14:paraId="71D3E8C7" w14:textId="77777777" w:rsidR="006A3667" w:rsidRDefault="006A3667">
            <w:pPr>
              <w:rPr>
                <w:rFonts w:ascii="宋体"/>
                <w:vanish/>
              </w:rPr>
            </w:pPr>
          </w:p>
        </w:tc>
      </w:tr>
      <w:tr w:rsidR="006A3667" w14:paraId="71D3E8DC" w14:textId="77777777">
        <w:tc>
          <w:tcPr>
            <w:tcW w:w="0" w:type="auto"/>
            <w:gridSpan w:val="3"/>
            <w:shd w:val="clear" w:color="auto" w:fill="FFFFFF"/>
            <w:tcMar>
              <w:top w:w="40" w:type="dxa"/>
              <w:left w:w="155" w:type="dxa"/>
              <w:bottom w:w="40" w:type="dxa"/>
              <w:right w:w="20" w:type="dxa"/>
            </w:tcMar>
            <w:vAlign w:val="bottom"/>
          </w:tcPr>
          <w:p w14:paraId="71D3E8C9" w14:textId="77777777" w:rsidR="006A3667" w:rsidRDefault="00045F32">
            <w:pPr>
              <w:textAlignment w:val="bottom"/>
            </w:pPr>
            <w:r>
              <w:rPr>
                <w:rFonts w:ascii="Arial" w:eastAsia="宋体" w:hAnsi="Arial" w:cs="Arial"/>
                <w:color w:val="000000"/>
                <w:sz w:val="14"/>
                <w:szCs w:val="14"/>
              </w:rPr>
              <w:t>Foreign exchange impact</w:t>
            </w:r>
          </w:p>
        </w:tc>
        <w:tc>
          <w:tcPr>
            <w:tcW w:w="0" w:type="auto"/>
            <w:gridSpan w:val="2"/>
            <w:shd w:val="clear" w:color="auto" w:fill="FFFFFF"/>
            <w:tcMar>
              <w:top w:w="40" w:type="dxa"/>
              <w:left w:w="20" w:type="dxa"/>
              <w:bottom w:w="40" w:type="dxa"/>
              <w:right w:w="0" w:type="dxa"/>
            </w:tcMar>
            <w:vAlign w:val="bottom"/>
          </w:tcPr>
          <w:p w14:paraId="71D3E8CA" w14:textId="77777777" w:rsidR="006A3667" w:rsidRDefault="00045F32">
            <w:pPr>
              <w:jc w:val="right"/>
              <w:textAlignment w:val="bottom"/>
            </w:pPr>
            <w:r>
              <w:rPr>
                <w:rFonts w:ascii="Arial" w:eastAsia="宋体" w:hAnsi="Arial" w:cs="Arial"/>
                <w:color w:val="000000"/>
                <w:sz w:val="14"/>
                <w:szCs w:val="14"/>
              </w:rPr>
              <w:t>(10)</w:t>
            </w:r>
          </w:p>
        </w:tc>
        <w:tc>
          <w:tcPr>
            <w:tcW w:w="0" w:type="auto"/>
            <w:shd w:val="clear" w:color="auto" w:fill="FFFFFF"/>
            <w:tcMar>
              <w:top w:w="40" w:type="dxa"/>
              <w:left w:w="0" w:type="dxa"/>
              <w:bottom w:w="40" w:type="dxa"/>
              <w:right w:w="20" w:type="dxa"/>
            </w:tcMar>
            <w:vAlign w:val="bottom"/>
          </w:tcPr>
          <w:p w14:paraId="71D3E8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CD" w14:textId="77777777" w:rsidR="006A3667" w:rsidRDefault="00045F32">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71D3E8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D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8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D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D3"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E8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D6"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1D3E8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8D9" w14:textId="77777777" w:rsidR="006A3667" w:rsidRDefault="00045F32">
            <w:pPr>
              <w:jc w:val="right"/>
              <w:textAlignment w:val="bottom"/>
            </w:pPr>
            <w:r>
              <w:rPr>
                <w:rFonts w:ascii="Arial" w:eastAsia="宋体" w:hAnsi="Arial" w:cs="Arial"/>
                <w:color w:val="000000"/>
                <w:sz w:val="14"/>
                <w:szCs w:val="14"/>
              </w:rPr>
              <w:t>(14)</w:t>
            </w:r>
          </w:p>
        </w:tc>
        <w:tc>
          <w:tcPr>
            <w:tcW w:w="0" w:type="auto"/>
            <w:shd w:val="clear" w:color="auto" w:fill="FFFFFF"/>
            <w:tcMar>
              <w:top w:w="40" w:type="dxa"/>
              <w:left w:w="0" w:type="dxa"/>
              <w:bottom w:w="40" w:type="dxa"/>
              <w:right w:w="20" w:type="dxa"/>
            </w:tcMar>
            <w:vAlign w:val="bottom"/>
          </w:tcPr>
          <w:p w14:paraId="71D3E8DA" w14:textId="77777777" w:rsidR="006A3667" w:rsidRDefault="006A3667">
            <w:pPr>
              <w:jc w:val="right"/>
              <w:rPr>
                <w:rFonts w:ascii="宋体"/>
              </w:rPr>
            </w:pPr>
          </w:p>
        </w:tc>
        <w:tc>
          <w:tcPr>
            <w:tcW w:w="0" w:type="auto"/>
            <w:shd w:val="clear" w:color="auto" w:fill="auto"/>
            <w:vAlign w:val="bottom"/>
          </w:tcPr>
          <w:p w14:paraId="71D3E8DB" w14:textId="77777777" w:rsidR="006A3667" w:rsidRDefault="006A3667">
            <w:pPr>
              <w:rPr>
                <w:rFonts w:ascii="宋体"/>
                <w:vanish/>
              </w:rPr>
            </w:pPr>
          </w:p>
        </w:tc>
      </w:tr>
      <w:tr w:rsidR="006A3667" w14:paraId="71D3E8F0" w14:textId="77777777">
        <w:tc>
          <w:tcPr>
            <w:tcW w:w="0" w:type="auto"/>
            <w:gridSpan w:val="3"/>
            <w:shd w:val="clear" w:color="auto" w:fill="CCEEFF"/>
            <w:tcMar>
              <w:top w:w="40" w:type="dxa"/>
              <w:left w:w="20" w:type="dxa"/>
              <w:bottom w:w="40" w:type="dxa"/>
              <w:right w:w="20" w:type="dxa"/>
            </w:tcMar>
            <w:vAlign w:val="bottom"/>
          </w:tcPr>
          <w:p w14:paraId="71D3E8DD" w14:textId="77777777" w:rsidR="006A3667" w:rsidRDefault="00045F32">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8DE" w14:textId="77777777" w:rsidR="006A3667" w:rsidRDefault="00045F32">
            <w:pPr>
              <w:jc w:val="right"/>
              <w:textAlignment w:val="bottom"/>
            </w:pPr>
            <w:r>
              <w:rPr>
                <w:rFonts w:ascii="Arial" w:eastAsia="宋体" w:hAnsi="Arial" w:cs="Arial"/>
                <w:color w:val="000000"/>
                <w:sz w:val="14"/>
                <w:szCs w:val="14"/>
              </w:rPr>
              <w:t>(123)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E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8E1" w14:textId="77777777" w:rsidR="006A3667" w:rsidRDefault="00045F32">
            <w:pPr>
              <w:jc w:val="right"/>
              <w:textAlignment w:val="bottom"/>
            </w:pPr>
            <w:r>
              <w:rPr>
                <w:rFonts w:ascii="Arial" w:eastAsia="宋体" w:hAnsi="Arial" w:cs="Arial"/>
                <w:color w:val="000000"/>
                <w:sz w:val="14"/>
                <w:szCs w:val="14"/>
              </w:rPr>
              <w:t>(38)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E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8E4" w14:textId="77777777" w:rsidR="006A3667" w:rsidRDefault="00045F32">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E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8E7" w14:textId="77777777" w:rsidR="006A3667" w:rsidRDefault="00045F32">
            <w:pPr>
              <w:jc w:val="right"/>
              <w:textAlignment w:val="bottom"/>
            </w:pPr>
            <w:r>
              <w:rPr>
                <w:rFonts w:ascii="Arial" w:eastAsia="宋体" w:hAnsi="Arial" w:cs="Arial"/>
                <w:color w:val="000000"/>
                <w:sz w:val="14"/>
                <w:szCs w:val="14"/>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E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8EA" w14:textId="77777777" w:rsidR="006A3667" w:rsidRDefault="00045F32">
            <w:pPr>
              <w:jc w:val="right"/>
              <w:textAlignment w:val="bottom"/>
            </w:pPr>
            <w:r>
              <w:rPr>
                <w:rFonts w:ascii="Arial" w:eastAsia="宋体" w:hAnsi="Arial" w:cs="Arial"/>
                <w:color w:val="000000"/>
                <w:sz w:val="14"/>
                <w:szCs w:val="14"/>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E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8E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8ED" w14:textId="77777777" w:rsidR="006A3667" w:rsidRDefault="00045F32">
            <w:pPr>
              <w:jc w:val="right"/>
              <w:textAlignment w:val="bottom"/>
            </w:pPr>
            <w:r>
              <w:rPr>
                <w:rFonts w:ascii="Arial" w:eastAsia="宋体" w:hAnsi="Arial" w:cs="Arial"/>
                <w:color w:val="000000"/>
                <w:sz w:val="14"/>
                <w:szCs w:val="14"/>
              </w:rPr>
              <w:t>(167)</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8EE" w14:textId="77777777" w:rsidR="006A3667" w:rsidRDefault="006A3667">
            <w:pPr>
              <w:jc w:val="right"/>
              <w:rPr>
                <w:rFonts w:ascii="宋体"/>
              </w:rPr>
            </w:pPr>
          </w:p>
        </w:tc>
        <w:tc>
          <w:tcPr>
            <w:tcW w:w="0" w:type="auto"/>
            <w:shd w:val="clear" w:color="auto" w:fill="auto"/>
            <w:vAlign w:val="bottom"/>
          </w:tcPr>
          <w:p w14:paraId="71D3E8EF" w14:textId="77777777" w:rsidR="006A3667" w:rsidRDefault="006A3667">
            <w:pPr>
              <w:rPr>
                <w:rFonts w:ascii="宋体"/>
                <w:vanish/>
              </w:rPr>
            </w:pPr>
          </w:p>
        </w:tc>
      </w:tr>
      <w:tr w:rsidR="006A3667" w14:paraId="71D3E904" w14:textId="77777777">
        <w:tc>
          <w:tcPr>
            <w:tcW w:w="0" w:type="auto"/>
            <w:gridSpan w:val="3"/>
            <w:shd w:val="clear" w:color="auto" w:fill="FFFFFF"/>
            <w:tcMar>
              <w:top w:w="40" w:type="dxa"/>
              <w:left w:w="20" w:type="dxa"/>
              <w:bottom w:w="40" w:type="dxa"/>
              <w:right w:w="20" w:type="dxa"/>
            </w:tcMar>
            <w:vAlign w:val="bottom"/>
          </w:tcPr>
          <w:p w14:paraId="71D3E8F1" w14:textId="77777777" w:rsidR="006A3667" w:rsidRDefault="00045F32">
            <w:pPr>
              <w:textAlignment w:val="bottom"/>
            </w:pPr>
            <w:r>
              <w:rPr>
                <w:rFonts w:ascii="Arial" w:eastAsia="宋体" w:hAnsi="Arial" w:cs="Arial"/>
                <w:b/>
                <w:bCs/>
                <w:color w:val="000000"/>
                <w:sz w:val="14"/>
                <w:szCs w:val="14"/>
              </w:rPr>
              <w:t>Balance as of March 31, 2022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F2" w14:textId="77777777" w:rsidR="006A3667" w:rsidRDefault="00045F32">
            <w:pPr>
              <w:jc w:val="right"/>
              <w:textAlignment w:val="bottom"/>
            </w:pPr>
            <w:r>
              <w:rPr>
                <w:rFonts w:ascii="Arial" w:eastAsia="宋体" w:hAnsi="Arial" w:cs="Arial"/>
                <w:color w:val="000000"/>
                <w:sz w:val="14"/>
                <w:szCs w:val="14"/>
              </w:rPr>
              <w:t>2,530 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F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F5" w14:textId="77777777" w:rsidR="006A3667" w:rsidRDefault="00045F32">
            <w:pPr>
              <w:jc w:val="right"/>
              <w:textAlignment w:val="bottom"/>
            </w:pPr>
            <w:r>
              <w:rPr>
                <w:rFonts w:ascii="Arial" w:eastAsia="宋体" w:hAnsi="Arial" w:cs="Arial"/>
                <w:color w:val="000000"/>
                <w:sz w:val="14"/>
                <w:szCs w:val="14"/>
              </w:rPr>
              <w:t>601 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F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F8" w14:textId="77777777" w:rsidR="006A3667" w:rsidRDefault="00045F32">
            <w:pPr>
              <w:jc w:val="right"/>
              <w:textAlignment w:val="bottom"/>
            </w:pPr>
            <w:r>
              <w:rPr>
                <w:rFonts w:ascii="Arial" w:eastAsia="宋体" w:hAnsi="Arial" w:cs="Arial"/>
                <w:color w:val="000000"/>
                <w:sz w:val="14"/>
                <w:szCs w:val="14"/>
              </w:rPr>
              <w:t>393 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F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F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FB" w14:textId="77777777" w:rsidR="006A3667" w:rsidRDefault="00045F32">
            <w:pPr>
              <w:jc w:val="right"/>
              <w:textAlignment w:val="bottom"/>
            </w:pPr>
            <w:r>
              <w:rPr>
                <w:rFonts w:ascii="Arial" w:eastAsia="宋体" w:hAnsi="Arial" w:cs="Arial"/>
                <w:color w:val="000000"/>
                <w:sz w:val="14"/>
                <w:szCs w:val="14"/>
              </w:rPr>
              <w:t>229 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F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8F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8FE" w14:textId="77777777" w:rsidR="006A3667" w:rsidRDefault="00045F32">
            <w:pPr>
              <w:jc w:val="right"/>
              <w:textAlignment w:val="bottom"/>
            </w:pPr>
            <w:r>
              <w:rPr>
                <w:rFonts w:ascii="Arial" w:eastAsia="宋体" w:hAnsi="Arial" w:cs="Arial"/>
                <w:color w:val="000000"/>
                <w:sz w:val="14"/>
                <w:szCs w:val="14"/>
              </w:rPr>
              <w:t>269 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8F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0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01" w14:textId="77777777" w:rsidR="006A3667" w:rsidRDefault="00045F32">
            <w:pPr>
              <w:jc w:val="right"/>
              <w:textAlignment w:val="bottom"/>
            </w:pPr>
            <w:r>
              <w:rPr>
                <w:rFonts w:ascii="Arial" w:eastAsia="宋体" w:hAnsi="Arial" w:cs="Arial"/>
                <w:color w:val="000000"/>
                <w:sz w:val="14"/>
                <w:szCs w:val="14"/>
              </w:rPr>
              <w:t>4,022 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02" w14:textId="77777777" w:rsidR="006A3667" w:rsidRDefault="006A3667">
            <w:pPr>
              <w:jc w:val="right"/>
              <w:rPr>
                <w:rFonts w:ascii="宋体"/>
              </w:rPr>
            </w:pPr>
          </w:p>
        </w:tc>
        <w:tc>
          <w:tcPr>
            <w:tcW w:w="0" w:type="auto"/>
            <w:shd w:val="clear" w:color="auto" w:fill="auto"/>
            <w:vAlign w:val="bottom"/>
          </w:tcPr>
          <w:p w14:paraId="71D3E903" w14:textId="77777777" w:rsidR="006A3667" w:rsidRDefault="006A3667">
            <w:pPr>
              <w:rPr>
                <w:rFonts w:ascii="宋体"/>
                <w:vanish/>
              </w:rPr>
            </w:pPr>
          </w:p>
        </w:tc>
      </w:tr>
      <w:tr w:rsidR="006A3667" w14:paraId="71D3E918" w14:textId="77777777">
        <w:tc>
          <w:tcPr>
            <w:tcW w:w="0" w:type="auto"/>
            <w:gridSpan w:val="3"/>
            <w:shd w:val="clear" w:color="auto" w:fill="CCEEFF"/>
            <w:tcMar>
              <w:top w:w="40" w:type="dxa"/>
              <w:left w:w="20" w:type="dxa"/>
              <w:bottom w:w="40" w:type="dxa"/>
              <w:right w:w="20" w:type="dxa"/>
            </w:tcMar>
            <w:vAlign w:val="bottom"/>
          </w:tcPr>
          <w:p w14:paraId="71D3E905" w14:textId="77777777" w:rsidR="006A3667" w:rsidRDefault="00045F32">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1D3E906" w14:textId="77777777" w:rsidR="006A3667" w:rsidRDefault="00045F32">
            <w:pPr>
              <w:jc w:val="right"/>
              <w:textAlignment w:val="bottom"/>
            </w:pPr>
            <w:r>
              <w:rPr>
                <w:rFonts w:ascii="Arial" w:eastAsia="宋体" w:hAnsi="Arial" w:cs="Arial"/>
                <w:color w:val="000000"/>
                <w:sz w:val="14"/>
                <w:szCs w:val="14"/>
              </w:rPr>
              <w:t>(52)</w:t>
            </w:r>
          </w:p>
        </w:tc>
        <w:tc>
          <w:tcPr>
            <w:tcW w:w="0" w:type="auto"/>
            <w:shd w:val="clear" w:color="auto" w:fill="CCEEFF"/>
            <w:tcMar>
              <w:top w:w="40" w:type="dxa"/>
              <w:left w:w="0" w:type="dxa"/>
              <w:bottom w:w="40" w:type="dxa"/>
              <w:right w:w="20" w:type="dxa"/>
            </w:tcMar>
            <w:vAlign w:val="bottom"/>
          </w:tcPr>
          <w:p w14:paraId="71D3E9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09" w14:textId="77777777" w:rsidR="006A3667" w:rsidRDefault="00045F32">
            <w:pPr>
              <w:jc w:val="right"/>
              <w:textAlignment w:val="bottom"/>
            </w:pPr>
            <w:r>
              <w:rPr>
                <w:rFonts w:ascii="Arial" w:eastAsia="宋体" w:hAnsi="Arial" w:cs="Arial"/>
                <w:color w:val="000000"/>
                <w:sz w:val="14"/>
                <w:szCs w:val="14"/>
              </w:rPr>
              <w:t>(10)</w:t>
            </w:r>
          </w:p>
        </w:tc>
        <w:tc>
          <w:tcPr>
            <w:tcW w:w="0" w:type="auto"/>
            <w:shd w:val="clear" w:color="auto" w:fill="CCEEFF"/>
            <w:tcMar>
              <w:top w:w="40" w:type="dxa"/>
              <w:left w:w="0" w:type="dxa"/>
              <w:bottom w:w="40" w:type="dxa"/>
              <w:right w:w="20" w:type="dxa"/>
            </w:tcMar>
            <w:vAlign w:val="bottom"/>
          </w:tcPr>
          <w:p w14:paraId="71D3E9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0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0C"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CCEEFF"/>
            <w:tcMar>
              <w:top w:w="40" w:type="dxa"/>
              <w:left w:w="0" w:type="dxa"/>
              <w:bottom w:w="40" w:type="dxa"/>
              <w:right w:w="20" w:type="dxa"/>
            </w:tcMar>
            <w:vAlign w:val="bottom"/>
          </w:tcPr>
          <w:p w14:paraId="71D3E9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0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0F" w14:textId="77777777" w:rsidR="006A3667" w:rsidRDefault="00045F32">
            <w:pPr>
              <w:jc w:val="right"/>
              <w:textAlignment w:val="bottom"/>
            </w:pPr>
            <w:r>
              <w:rPr>
                <w:rFonts w:ascii="Arial" w:eastAsia="宋体" w:hAnsi="Arial" w:cs="Arial"/>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1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12" w14:textId="77777777" w:rsidR="006A3667" w:rsidRDefault="00045F32">
            <w:pPr>
              <w:jc w:val="right"/>
              <w:textAlignment w:val="bottom"/>
            </w:pPr>
            <w:r>
              <w:rPr>
                <w:rFonts w:ascii="Arial" w:eastAsia="宋体" w:hAnsi="Arial" w:cs="Arial"/>
                <w:color w:val="000000"/>
                <w:sz w:val="14"/>
                <w:szCs w:val="14"/>
              </w:rPr>
              <w:t>(6)</w:t>
            </w:r>
          </w:p>
        </w:tc>
        <w:tc>
          <w:tcPr>
            <w:tcW w:w="0" w:type="auto"/>
            <w:shd w:val="clear" w:color="auto" w:fill="CCEEFF"/>
            <w:tcMar>
              <w:top w:w="40" w:type="dxa"/>
              <w:left w:w="0" w:type="dxa"/>
              <w:bottom w:w="40" w:type="dxa"/>
              <w:right w:w="20" w:type="dxa"/>
            </w:tcMar>
            <w:vAlign w:val="bottom"/>
          </w:tcPr>
          <w:p w14:paraId="71D3E9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1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15" w14:textId="77777777" w:rsidR="006A3667" w:rsidRDefault="00045F32">
            <w:pPr>
              <w:jc w:val="right"/>
              <w:textAlignment w:val="bottom"/>
            </w:pPr>
            <w:r>
              <w:rPr>
                <w:rFonts w:ascii="Arial" w:eastAsia="宋体" w:hAnsi="Arial" w:cs="Arial"/>
                <w:color w:val="000000"/>
                <w:sz w:val="14"/>
                <w:szCs w:val="14"/>
              </w:rPr>
              <w:t>(69)</w:t>
            </w:r>
          </w:p>
        </w:tc>
        <w:tc>
          <w:tcPr>
            <w:tcW w:w="0" w:type="auto"/>
            <w:shd w:val="clear" w:color="auto" w:fill="CCEEFF"/>
            <w:tcMar>
              <w:top w:w="40" w:type="dxa"/>
              <w:left w:w="0" w:type="dxa"/>
              <w:bottom w:w="40" w:type="dxa"/>
              <w:right w:w="20" w:type="dxa"/>
            </w:tcMar>
            <w:vAlign w:val="bottom"/>
          </w:tcPr>
          <w:p w14:paraId="71D3E916" w14:textId="77777777" w:rsidR="006A3667" w:rsidRDefault="006A3667">
            <w:pPr>
              <w:jc w:val="right"/>
              <w:rPr>
                <w:rFonts w:ascii="宋体"/>
              </w:rPr>
            </w:pPr>
          </w:p>
        </w:tc>
        <w:tc>
          <w:tcPr>
            <w:tcW w:w="0" w:type="auto"/>
            <w:shd w:val="clear" w:color="auto" w:fill="auto"/>
            <w:vAlign w:val="bottom"/>
          </w:tcPr>
          <w:p w14:paraId="71D3E917" w14:textId="77777777" w:rsidR="006A3667" w:rsidRDefault="006A3667">
            <w:pPr>
              <w:rPr>
                <w:rFonts w:ascii="宋体"/>
                <w:vanish/>
              </w:rPr>
            </w:pPr>
          </w:p>
        </w:tc>
      </w:tr>
      <w:tr w:rsidR="006A3667" w14:paraId="71D3E92C" w14:textId="77777777">
        <w:tc>
          <w:tcPr>
            <w:tcW w:w="0" w:type="auto"/>
            <w:gridSpan w:val="3"/>
            <w:shd w:val="clear" w:color="auto" w:fill="FFFFFF"/>
            <w:tcMar>
              <w:top w:w="40" w:type="dxa"/>
              <w:left w:w="20" w:type="dxa"/>
              <w:bottom w:w="40" w:type="dxa"/>
              <w:right w:w="20" w:type="dxa"/>
            </w:tcMar>
            <w:vAlign w:val="bottom"/>
          </w:tcPr>
          <w:p w14:paraId="71D3E919" w14:textId="77777777" w:rsidR="006A3667" w:rsidRDefault="00045F32">
            <w:pPr>
              <w:textAlignment w:val="bottom"/>
            </w:pPr>
            <w:r>
              <w:rPr>
                <w:rFonts w:ascii="Arial" w:eastAsia="宋体" w:hAnsi="Arial" w:cs="Arial"/>
                <w:color w:val="000000"/>
                <w:sz w:val="14"/>
                <w:szCs w:val="14"/>
              </w:rPr>
              <w:t>Exchange-traded fund flows, net</w:t>
            </w:r>
          </w:p>
        </w:tc>
        <w:tc>
          <w:tcPr>
            <w:tcW w:w="0" w:type="auto"/>
            <w:gridSpan w:val="2"/>
            <w:shd w:val="clear" w:color="auto" w:fill="FFFFFF"/>
            <w:tcMar>
              <w:top w:w="40" w:type="dxa"/>
              <w:left w:w="20" w:type="dxa"/>
              <w:bottom w:w="40" w:type="dxa"/>
              <w:right w:w="0" w:type="dxa"/>
            </w:tcMar>
            <w:vAlign w:val="bottom"/>
          </w:tcPr>
          <w:p w14:paraId="71D3E91A" w14:textId="77777777" w:rsidR="006A3667" w:rsidRDefault="00045F32">
            <w:pPr>
              <w:jc w:val="right"/>
              <w:textAlignment w:val="bottom"/>
            </w:pPr>
            <w:r>
              <w:rPr>
                <w:rFonts w:ascii="Arial" w:eastAsia="宋体" w:hAnsi="Arial" w:cs="Arial"/>
                <w:color w:val="000000"/>
                <w:sz w:val="14"/>
                <w:szCs w:val="14"/>
              </w:rPr>
              <w:t>(12)</w:t>
            </w:r>
          </w:p>
        </w:tc>
        <w:tc>
          <w:tcPr>
            <w:tcW w:w="0" w:type="auto"/>
            <w:shd w:val="clear" w:color="auto" w:fill="FFFFFF"/>
            <w:tcMar>
              <w:top w:w="40" w:type="dxa"/>
              <w:left w:w="0" w:type="dxa"/>
              <w:bottom w:w="40" w:type="dxa"/>
              <w:right w:w="20" w:type="dxa"/>
            </w:tcMar>
            <w:vAlign w:val="bottom"/>
          </w:tcPr>
          <w:p w14:paraId="71D3E91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1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1D" w14:textId="77777777" w:rsidR="006A3667" w:rsidRDefault="00045F32">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1D3E91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1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2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9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2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2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92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2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26"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E92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2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29" w14:textId="77777777" w:rsidR="006A3667" w:rsidRDefault="00045F32">
            <w:pPr>
              <w:jc w:val="right"/>
              <w:textAlignment w:val="bottom"/>
            </w:pPr>
            <w:r>
              <w:rPr>
                <w:rFonts w:ascii="Arial" w:eastAsia="宋体" w:hAnsi="Arial" w:cs="Arial"/>
                <w:color w:val="000000"/>
                <w:sz w:val="14"/>
                <w:szCs w:val="14"/>
              </w:rPr>
              <w:t>(8)</w:t>
            </w:r>
          </w:p>
        </w:tc>
        <w:tc>
          <w:tcPr>
            <w:tcW w:w="0" w:type="auto"/>
            <w:shd w:val="clear" w:color="auto" w:fill="FFFFFF"/>
            <w:tcMar>
              <w:top w:w="40" w:type="dxa"/>
              <w:left w:w="0" w:type="dxa"/>
              <w:bottom w:w="40" w:type="dxa"/>
              <w:right w:w="20" w:type="dxa"/>
            </w:tcMar>
            <w:vAlign w:val="bottom"/>
          </w:tcPr>
          <w:p w14:paraId="71D3E92A" w14:textId="77777777" w:rsidR="006A3667" w:rsidRDefault="006A3667">
            <w:pPr>
              <w:jc w:val="right"/>
              <w:rPr>
                <w:rFonts w:ascii="宋体"/>
              </w:rPr>
            </w:pPr>
          </w:p>
        </w:tc>
        <w:tc>
          <w:tcPr>
            <w:tcW w:w="0" w:type="auto"/>
            <w:shd w:val="clear" w:color="auto" w:fill="auto"/>
            <w:vAlign w:val="bottom"/>
          </w:tcPr>
          <w:p w14:paraId="71D3E92B" w14:textId="77777777" w:rsidR="006A3667" w:rsidRDefault="006A3667">
            <w:pPr>
              <w:rPr>
                <w:rFonts w:ascii="宋体"/>
                <w:vanish/>
              </w:rPr>
            </w:pPr>
          </w:p>
        </w:tc>
      </w:tr>
      <w:tr w:rsidR="006A3667" w14:paraId="71D3E940" w14:textId="77777777">
        <w:tc>
          <w:tcPr>
            <w:tcW w:w="0" w:type="auto"/>
            <w:gridSpan w:val="3"/>
            <w:shd w:val="clear" w:color="auto" w:fill="CCEEFF"/>
            <w:tcMar>
              <w:top w:w="40" w:type="dxa"/>
              <w:left w:w="20" w:type="dxa"/>
              <w:bottom w:w="40" w:type="dxa"/>
              <w:right w:w="20" w:type="dxa"/>
            </w:tcMar>
            <w:vAlign w:val="bottom"/>
          </w:tcPr>
          <w:p w14:paraId="71D3E92D" w14:textId="77777777" w:rsidR="006A3667" w:rsidRDefault="00045F32">
            <w:pPr>
              <w:textAlignment w:val="bottom"/>
            </w:pPr>
            <w:r>
              <w:rPr>
                <w:rFonts w:ascii="Arial" w:eastAsia="宋体" w:hAnsi="Arial" w:cs="Arial"/>
                <w:color w:val="000000"/>
                <w:sz w:val="14"/>
                <w:szCs w:val="14"/>
              </w:rPr>
              <w:t>Cash fund flows, net</w:t>
            </w:r>
          </w:p>
        </w:tc>
        <w:tc>
          <w:tcPr>
            <w:tcW w:w="0" w:type="auto"/>
            <w:gridSpan w:val="2"/>
            <w:shd w:val="clear" w:color="auto" w:fill="CCEEFF"/>
            <w:tcMar>
              <w:top w:w="40" w:type="dxa"/>
              <w:left w:w="20" w:type="dxa"/>
              <w:bottom w:w="40" w:type="dxa"/>
              <w:right w:w="0" w:type="dxa"/>
            </w:tcMar>
            <w:vAlign w:val="bottom"/>
          </w:tcPr>
          <w:p w14:paraId="71D3E92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3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3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34" w14:textId="77777777" w:rsidR="006A3667" w:rsidRDefault="00045F32">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71D3E9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3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3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3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3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3D" w14:textId="77777777" w:rsidR="006A3667" w:rsidRDefault="00045F32">
            <w:pPr>
              <w:jc w:val="right"/>
              <w:textAlignment w:val="bottom"/>
            </w:pPr>
            <w:r>
              <w:rPr>
                <w:rFonts w:ascii="Arial" w:eastAsia="宋体" w:hAnsi="Arial" w:cs="Arial"/>
                <w:color w:val="000000"/>
                <w:sz w:val="14"/>
                <w:szCs w:val="14"/>
              </w:rPr>
              <w:t>15 </w:t>
            </w:r>
          </w:p>
        </w:tc>
        <w:tc>
          <w:tcPr>
            <w:tcW w:w="0" w:type="auto"/>
            <w:shd w:val="clear" w:color="auto" w:fill="CCEEFF"/>
            <w:tcMar>
              <w:top w:w="40" w:type="dxa"/>
              <w:left w:w="0" w:type="dxa"/>
              <w:bottom w:w="40" w:type="dxa"/>
              <w:right w:w="20" w:type="dxa"/>
            </w:tcMar>
            <w:vAlign w:val="bottom"/>
          </w:tcPr>
          <w:p w14:paraId="71D3E93E" w14:textId="77777777" w:rsidR="006A3667" w:rsidRDefault="006A3667">
            <w:pPr>
              <w:jc w:val="right"/>
              <w:rPr>
                <w:rFonts w:ascii="宋体"/>
              </w:rPr>
            </w:pPr>
          </w:p>
        </w:tc>
        <w:tc>
          <w:tcPr>
            <w:tcW w:w="0" w:type="auto"/>
            <w:shd w:val="clear" w:color="auto" w:fill="auto"/>
            <w:vAlign w:val="bottom"/>
          </w:tcPr>
          <w:p w14:paraId="71D3E93F" w14:textId="77777777" w:rsidR="006A3667" w:rsidRDefault="006A3667">
            <w:pPr>
              <w:rPr>
                <w:rFonts w:ascii="宋体"/>
                <w:vanish/>
              </w:rPr>
            </w:pPr>
          </w:p>
        </w:tc>
      </w:tr>
      <w:tr w:rsidR="006A3667" w14:paraId="71D3E954" w14:textId="77777777">
        <w:tc>
          <w:tcPr>
            <w:tcW w:w="0" w:type="auto"/>
            <w:gridSpan w:val="3"/>
            <w:shd w:val="clear" w:color="auto" w:fill="FFFFFF"/>
            <w:tcMar>
              <w:top w:w="40" w:type="dxa"/>
              <w:left w:w="20" w:type="dxa"/>
              <w:bottom w:w="40" w:type="dxa"/>
              <w:right w:w="20" w:type="dxa"/>
            </w:tcMar>
            <w:vAlign w:val="bottom"/>
          </w:tcPr>
          <w:p w14:paraId="71D3E941" w14:textId="77777777" w:rsidR="006A3667" w:rsidRDefault="00045F32">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42" w14:textId="77777777" w:rsidR="006A3667" w:rsidRDefault="00045F32">
            <w:pPr>
              <w:jc w:val="right"/>
              <w:textAlignment w:val="bottom"/>
            </w:pPr>
            <w:r>
              <w:rPr>
                <w:rFonts w:ascii="Arial" w:eastAsia="宋体" w:hAnsi="Arial" w:cs="Arial"/>
                <w:color w:val="000000"/>
                <w:sz w:val="14"/>
                <w:szCs w:val="14"/>
              </w:rPr>
              <w:t>(64)</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4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45" w14:textId="77777777" w:rsidR="006A3667" w:rsidRDefault="00045F32">
            <w:pPr>
              <w:jc w:val="right"/>
              <w:textAlignment w:val="bottom"/>
            </w:pPr>
            <w:r>
              <w:rPr>
                <w:rFonts w:ascii="Arial" w:eastAsia="宋体" w:hAnsi="Arial" w:cs="Arial"/>
                <w:color w:val="000000"/>
                <w:sz w:val="14"/>
                <w:szCs w:val="14"/>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4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48" w14:textId="77777777" w:rsidR="006A3667" w:rsidRDefault="00045F32">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4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4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4B"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4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4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4E" w14:textId="77777777" w:rsidR="006A3667" w:rsidRDefault="00045F32">
            <w:pPr>
              <w:jc w:val="right"/>
              <w:textAlignment w:val="bottom"/>
            </w:pPr>
            <w:r>
              <w:rPr>
                <w:rFonts w:ascii="Arial" w:eastAsia="宋体" w:hAnsi="Arial" w:cs="Arial"/>
                <w:color w:val="000000"/>
                <w:sz w:val="14"/>
                <w:szCs w:val="14"/>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5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51" w14:textId="77777777" w:rsidR="006A3667" w:rsidRDefault="00045F32">
            <w:pPr>
              <w:jc w:val="right"/>
              <w:textAlignment w:val="bottom"/>
            </w:pPr>
            <w:r>
              <w:rPr>
                <w:rFonts w:ascii="Arial" w:eastAsia="宋体" w:hAnsi="Arial" w:cs="Arial"/>
                <w:color w:val="000000"/>
                <w:sz w:val="14"/>
                <w:szCs w:val="14"/>
              </w:rPr>
              <w:t>(62)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52" w14:textId="77777777" w:rsidR="006A3667" w:rsidRDefault="006A3667">
            <w:pPr>
              <w:jc w:val="right"/>
              <w:rPr>
                <w:rFonts w:ascii="宋体"/>
              </w:rPr>
            </w:pPr>
          </w:p>
        </w:tc>
        <w:tc>
          <w:tcPr>
            <w:tcW w:w="0" w:type="auto"/>
            <w:shd w:val="clear" w:color="auto" w:fill="auto"/>
            <w:vAlign w:val="bottom"/>
          </w:tcPr>
          <w:p w14:paraId="71D3E953" w14:textId="77777777" w:rsidR="006A3667" w:rsidRDefault="006A3667">
            <w:pPr>
              <w:rPr>
                <w:rFonts w:ascii="宋体"/>
                <w:vanish/>
              </w:rPr>
            </w:pPr>
          </w:p>
        </w:tc>
      </w:tr>
      <w:tr w:rsidR="006A3667" w14:paraId="71D3E968" w14:textId="77777777">
        <w:tc>
          <w:tcPr>
            <w:tcW w:w="0" w:type="auto"/>
            <w:gridSpan w:val="3"/>
            <w:shd w:val="clear" w:color="auto" w:fill="CCEEFF"/>
            <w:tcMar>
              <w:top w:w="40" w:type="dxa"/>
              <w:left w:w="155" w:type="dxa"/>
              <w:bottom w:w="40" w:type="dxa"/>
              <w:right w:w="20" w:type="dxa"/>
            </w:tcMar>
            <w:vAlign w:val="bottom"/>
          </w:tcPr>
          <w:p w14:paraId="71D3E955" w14:textId="77777777" w:rsidR="006A3667" w:rsidRDefault="00045F32">
            <w:pPr>
              <w:textAlignment w:val="bottom"/>
            </w:pPr>
            <w:r>
              <w:rPr>
                <w:rFonts w:ascii="Arial" w:eastAsia="宋体" w:hAnsi="Arial" w:cs="Arial"/>
                <w:color w:val="000000"/>
                <w:sz w:val="14"/>
                <w:szCs w:val="14"/>
              </w:rPr>
              <w:t>Market appreciation (depreciation)</w:t>
            </w:r>
          </w:p>
        </w:tc>
        <w:tc>
          <w:tcPr>
            <w:tcW w:w="0" w:type="auto"/>
            <w:gridSpan w:val="2"/>
            <w:shd w:val="clear" w:color="auto" w:fill="CCEEFF"/>
            <w:tcMar>
              <w:top w:w="40" w:type="dxa"/>
              <w:left w:w="20" w:type="dxa"/>
              <w:bottom w:w="40" w:type="dxa"/>
              <w:right w:w="0" w:type="dxa"/>
            </w:tcMar>
            <w:vAlign w:val="bottom"/>
          </w:tcPr>
          <w:p w14:paraId="71D3E956" w14:textId="77777777" w:rsidR="006A3667" w:rsidRDefault="00045F32">
            <w:pPr>
              <w:jc w:val="right"/>
              <w:textAlignment w:val="bottom"/>
            </w:pPr>
            <w:r>
              <w:rPr>
                <w:rFonts w:ascii="Arial" w:eastAsia="宋体" w:hAnsi="Arial" w:cs="Arial"/>
                <w:color w:val="000000"/>
                <w:sz w:val="14"/>
                <w:szCs w:val="14"/>
              </w:rPr>
              <w:t>(337)</w:t>
            </w:r>
          </w:p>
        </w:tc>
        <w:tc>
          <w:tcPr>
            <w:tcW w:w="0" w:type="auto"/>
            <w:shd w:val="clear" w:color="auto" w:fill="CCEEFF"/>
            <w:tcMar>
              <w:top w:w="40" w:type="dxa"/>
              <w:left w:w="0" w:type="dxa"/>
              <w:bottom w:w="40" w:type="dxa"/>
              <w:right w:w="20" w:type="dxa"/>
            </w:tcMar>
            <w:vAlign w:val="bottom"/>
          </w:tcPr>
          <w:p w14:paraId="71D3E9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5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59" w14:textId="77777777" w:rsidR="006A3667" w:rsidRDefault="00045F32">
            <w:pPr>
              <w:jc w:val="right"/>
              <w:textAlignment w:val="bottom"/>
            </w:pPr>
            <w:r>
              <w:rPr>
                <w:rFonts w:ascii="Arial" w:eastAsia="宋体" w:hAnsi="Arial" w:cs="Arial"/>
                <w:color w:val="000000"/>
                <w:sz w:val="14"/>
                <w:szCs w:val="14"/>
              </w:rPr>
              <w:t>(33)</w:t>
            </w:r>
          </w:p>
        </w:tc>
        <w:tc>
          <w:tcPr>
            <w:tcW w:w="0" w:type="auto"/>
            <w:shd w:val="clear" w:color="auto" w:fill="CCEEFF"/>
            <w:tcMar>
              <w:top w:w="40" w:type="dxa"/>
              <w:left w:w="0" w:type="dxa"/>
              <w:bottom w:w="40" w:type="dxa"/>
              <w:right w:w="20" w:type="dxa"/>
            </w:tcMar>
            <w:vAlign w:val="bottom"/>
          </w:tcPr>
          <w:p w14:paraId="71D3E9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5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5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5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5F" w14:textId="77777777" w:rsidR="006A3667" w:rsidRDefault="00045F32">
            <w:pPr>
              <w:jc w:val="right"/>
              <w:textAlignment w:val="bottom"/>
            </w:pPr>
            <w:r>
              <w:rPr>
                <w:rFonts w:ascii="Arial" w:eastAsia="宋体" w:hAnsi="Arial" w:cs="Arial"/>
                <w:color w:val="000000"/>
                <w:sz w:val="14"/>
                <w:szCs w:val="14"/>
              </w:rPr>
              <w:t>(26)</w:t>
            </w:r>
          </w:p>
        </w:tc>
        <w:tc>
          <w:tcPr>
            <w:tcW w:w="0" w:type="auto"/>
            <w:shd w:val="clear" w:color="auto" w:fill="CCEEFF"/>
            <w:tcMar>
              <w:top w:w="40" w:type="dxa"/>
              <w:left w:w="0" w:type="dxa"/>
              <w:bottom w:w="40" w:type="dxa"/>
              <w:right w:w="20" w:type="dxa"/>
            </w:tcMar>
            <w:vAlign w:val="bottom"/>
          </w:tcPr>
          <w:p w14:paraId="71D3E9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6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62" w14:textId="77777777" w:rsidR="006A3667" w:rsidRDefault="00045F32">
            <w:pPr>
              <w:jc w:val="right"/>
              <w:textAlignment w:val="bottom"/>
            </w:pPr>
            <w:r>
              <w:rPr>
                <w:rFonts w:ascii="Arial" w:eastAsia="宋体" w:hAnsi="Arial" w:cs="Arial"/>
                <w:color w:val="000000"/>
                <w:sz w:val="14"/>
                <w:szCs w:val="14"/>
              </w:rPr>
              <w:t>(21)</w:t>
            </w:r>
          </w:p>
        </w:tc>
        <w:tc>
          <w:tcPr>
            <w:tcW w:w="0" w:type="auto"/>
            <w:shd w:val="clear" w:color="auto" w:fill="CCEEFF"/>
            <w:tcMar>
              <w:top w:w="40" w:type="dxa"/>
              <w:left w:w="0" w:type="dxa"/>
              <w:bottom w:w="40" w:type="dxa"/>
              <w:right w:w="20" w:type="dxa"/>
            </w:tcMar>
            <w:vAlign w:val="bottom"/>
          </w:tcPr>
          <w:p w14:paraId="71D3E9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6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65" w14:textId="77777777" w:rsidR="006A3667" w:rsidRDefault="00045F32">
            <w:pPr>
              <w:jc w:val="right"/>
              <w:textAlignment w:val="bottom"/>
            </w:pPr>
            <w:r>
              <w:rPr>
                <w:rFonts w:ascii="Arial" w:eastAsia="宋体" w:hAnsi="Arial" w:cs="Arial"/>
                <w:color w:val="000000"/>
                <w:sz w:val="14"/>
                <w:szCs w:val="14"/>
              </w:rPr>
              <w:t>(417)</w:t>
            </w:r>
          </w:p>
        </w:tc>
        <w:tc>
          <w:tcPr>
            <w:tcW w:w="0" w:type="auto"/>
            <w:shd w:val="clear" w:color="auto" w:fill="CCEEFF"/>
            <w:tcMar>
              <w:top w:w="40" w:type="dxa"/>
              <w:left w:w="0" w:type="dxa"/>
              <w:bottom w:w="40" w:type="dxa"/>
              <w:right w:w="20" w:type="dxa"/>
            </w:tcMar>
            <w:vAlign w:val="bottom"/>
          </w:tcPr>
          <w:p w14:paraId="71D3E966" w14:textId="77777777" w:rsidR="006A3667" w:rsidRDefault="006A3667">
            <w:pPr>
              <w:jc w:val="right"/>
              <w:rPr>
                <w:rFonts w:ascii="宋体"/>
              </w:rPr>
            </w:pPr>
          </w:p>
        </w:tc>
        <w:tc>
          <w:tcPr>
            <w:tcW w:w="0" w:type="auto"/>
            <w:shd w:val="clear" w:color="auto" w:fill="auto"/>
            <w:vAlign w:val="bottom"/>
          </w:tcPr>
          <w:p w14:paraId="71D3E967" w14:textId="77777777" w:rsidR="006A3667" w:rsidRDefault="006A3667">
            <w:pPr>
              <w:rPr>
                <w:rFonts w:ascii="宋体"/>
                <w:vanish/>
              </w:rPr>
            </w:pPr>
          </w:p>
        </w:tc>
      </w:tr>
      <w:tr w:rsidR="006A3667" w14:paraId="71D3E97C" w14:textId="77777777">
        <w:tc>
          <w:tcPr>
            <w:tcW w:w="0" w:type="auto"/>
            <w:gridSpan w:val="3"/>
            <w:shd w:val="clear" w:color="auto" w:fill="FFFFFF"/>
            <w:tcMar>
              <w:top w:w="40" w:type="dxa"/>
              <w:left w:w="155" w:type="dxa"/>
              <w:bottom w:w="40" w:type="dxa"/>
              <w:right w:w="20" w:type="dxa"/>
            </w:tcMar>
            <w:vAlign w:val="bottom"/>
          </w:tcPr>
          <w:p w14:paraId="71D3E969" w14:textId="77777777" w:rsidR="006A3667" w:rsidRDefault="00045F32">
            <w:pPr>
              <w:textAlignment w:val="bottom"/>
            </w:pPr>
            <w:r>
              <w:rPr>
                <w:rFonts w:ascii="Arial" w:eastAsia="宋体" w:hAnsi="Arial" w:cs="Arial"/>
                <w:color w:val="000000"/>
                <w:sz w:val="14"/>
                <w:szCs w:val="14"/>
              </w:rPr>
              <w:t>Foreign exchange impact</w:t>
            </w:r>
          </w:p>
        </w:tc>
        <w:tc>
          <w:tcPr>
            <w:tcW w:w="0" w:type="auto"/>
            <w:gridSpan w:val="2"/>
            <w:shd w:val="clear" w:color="auto" w:fill="FFFFFF"/>
            <w:tcMar>
              <w:top w:w="40" w:type="dxa"/>
              <w:left w:w="20" w:type="dxa"/>
              <w:bottom w:w="40" w:type="dxa"/>
              <w:right w:w="0" w:type="dxa"/>
            </w:tcMar>
            <w:vAlign w:val="bottom"/>
          </w:tcPr>
          <w:p w14:paraId="71D3E96A" w14:textId="77777777" w:rsidR="006A3667" w:rsidRDefault="00045F32">
            <w:pPr>
              <w:jc w:val="right"/>
              <w:textAlignment w:val="bottom"/>
            </w:pPr>
            <w:r>
              <w:rPr>
                <w:rFonts w:ascii="Arial" w:eastAsia="宋体" w:hAnsi="Arial" w:cs="Arial"/>
                <w:color w:val="000000"/>
                <w:sz w:val="14"/>
                <w:szCs w:val="14"/>
              </w:rPr>
              <w:t>(43)</w:t>
            </w:r>
          </w:p>
        </w:tc>
        <w:tc>
          <w:tcPr>
            <w:tcW w:w="0" w:type="auto"/>
            <w:shd w:val="clear" w:color="auto" w:fill="FFFFFF"/>
            <w:tcMar>
              <w:top w:w="40" w:type="dxa"/>
              <w:left w:w="0" w:type="dxa"/>
              <w:bottom w:w="40" w:type="dxa"/>
              <w:right w:w="20" w:type="dxa"/>
            </w:tcMar>
            <w:vAlign w:val="bottom"/>
          </w:tcPr>
          <w:p w14:paraId="71D3E96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6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6D" w14:textId="77777777" w:rsidR="006A3667" w:rsidRDefault="00045F32">
            <w:pPr>
              <w:jc w:val="right"/>
              <w:textAlignment w:val="bottom"/>
            </w:pPr>
            <w:r>
              <w:rPr>
                <w:rFonts w:ascii="Arial" w:eastAsia="宋体" w:hAnsi="Arial" w:cs="Arial"/>
                <w:color w:val="000000"/>
                <w:sz w:val="14"/>
                <w:szCs w:val="14"/>
              </w:rPr>
              <w:t>(13)</w:t>
            </w:r>
          </w:p>
        </w:tc>
        <w:tc>
          <w:tcPr>
            <w:tcW w:w="0" w:type="auto"/>
            <w:shd w:val="clear" w:color="auto" w:fill="FFFFFF"/>
            <w:tcMar>
              <w:top w:w="40" w:type="dxa"/>
              <w:left w:w="0" w:type="dxa"/>
              <w:bottom w:w="40" w:type="dxa"/>
              <w:right w:w="20" w:type="dxa"/>
            </w:tcMar>
            <w:vAlign w:val="bottom"/>
          </w:tcPr>
          <w:p w14:paraId="71D3E96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6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70"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71D3E97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7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73"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71D3E9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7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76" w14:textId="77777777" w:rsidR="006A3667" w:rsidRDefault="00045F32">
            <w:pPr>
              <w:jc w:val="right"/>
              <w:textAlignment w:val="bottom"/>
            </w:pPr>
            <w:r>
              <w:rPr>
                <w:rFonts w:ascii="Arial" w:eastAsia="宋体" w:hAnsi="Arial" w:cs="Arial"/>
                <w:color w:val="000000"/>
                <w:sz w:val="14"/>
                <w:szCs w:val="14"/>
              </w:rPr>
              <w:t>(7)</w:t>
            </w:r>
          </w:p>
        </w:tc>
        <w:tc>
          <w:tcPr>
            <w:tcW w:w="0" w:type="auto"/>
            <w:shd w:val="clear" w:color="auto" w:fill="FFFFFF"/>
            <w:tcMar>
              <w:top w:w="40" w:type="dxa"/>
              <w:left w:w="0" w:type="dxa"/>
              <w:bottom w:w="40" w:type="dxa"/>
              <w:right w:w="20" w:type="dxa"/>
            </w:tcMar>
            <w:vAlign w:val="bottom"/>
          </w:tcPr>
          <w:p w14:paraId="71D3E97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7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79" w14:textId="77777777" w:rsidR="006A3667" w:rsidRDefault="00045F32">
            <w:pPr>
              <w:jc w:val="right"/>
              <w:textAlignment w:val="bottom"/>
            </w:pPr>
            <w:r>
              <w:rPr>
                <w:rFonts w:ascii="Arial" w:eastAsia="宋体" w:hAnsi="Arial" w:cs="Arial"/>
                <w:color w:val="000000"/>
                <w:sz w:val="14"/>
                <w:szCs w:val="14"/>
              </w:rPr>
              <w:t>(68)</w:t>
            </w:r>
          </w:p>
        </w:tc>
        <w:tc>
          <w:tcPr>
            <w:tcW w:w="0" w:type="auto"/>
            <w:shd w:val="clear" w:color="auto" w:fill="FFFFFF"/>
            <w:tcMar>
              <w:top w:w="40" w:type="dxa"/>
              <w:left w:w="0" w:type="dxa"/>
              <w:bottom w:w="40" w:type="dxa"/>
              <w:right w:w="20" w:type="dxa"/>
            </w:tcMar>
            <w:vAlign w:val="bottom"/>
          </w:tcPr>
          <w:p w14:paraId="71D3E97A" w14:textId="77777777" w:rsidR="006A3667" w:rsidRDefault="006A3667">
            <w:pPr>
              <w:jc w:val="right"/>
              <w:rPr>
                <w:rFonts w:ascii="宋体"/>
              </w:rPr>
            </w:pPr>
          </w:p>
        </w:tc>
        <w:tc>
          <w:tcPr>
            <w:tcW w:w="0" w:type="auto"/>
            <w:shd w:val="clear" w:color="auto" w:fill="auto"/>
            <w:vAlign w:val="bottom"/>
          </w:tcPr>
          <w:p w14:paraId="71D3E97B" w14:textId="77777777" w:rsidR="006A3667" w:rsidRDefault="006A3667">
            <w:pPr>
              <w:rPr>
                <w:rFonts w:ascii="宋体"/>
                <w:vanish/>
              </w:rPr>
            </w:pPr>
          </w:p>
        </w:tc>
      </w:tr>
      <w:tr w:rsidR="006A3667" w14:paraId="71D3E990" w14:textId="77777777">
        <w:tc>
          <w:tcPr>
            <w:tcW w:w="0" w:type="auto"/>
            <w:gridSpan w:val="3"/>
            <w:shd w:val="clear" w:color="auto" w:fill="CCEEFF"/>
            <w:tcMar>
              <w:top w:w="40" w:type="dxa"/>
              <w:left w:w="20" w:type="dxa"/>
              <w:bottom w:w="40" w:type="dxa"/>
              <w:right w:w="20" w:type="dxa"/>
            </w:tcMar>
            <w:vAlign w:val="bottom"/>
          </w:tcPr>
          <w:p w14:paraId="71D3E97D" w14:textId="77777777" w:rsidR="006A3667" w:rsidRDefault="00045F32">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97E" w14:textId="77777777" w:rsidR="006A3667" w:rsidRDefault="00045F32">
            <w:pPr>
              <w:jc w:val="right"/>
              <w:textAlignment w:val="bottom"/>
            </w:pPr>
            <w:r>
              <w:rPr>
                <w:rFonts w:ascii="Arial" w:eastAsia="宋体" w:hAnsi="Arial" w:cs="Arial"/>
                <w:color w:val="000000"/>
                <w:sz w:val="14"/>
                <w:szCs w:val="14"/>
              </w:rPr>
              <w:t>(380)</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97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8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981" w14:textId="77777777" w:rsidR="006A3667" w:rsidRDefault="00045F32">
            <w:pPr>
              <w:jc w:val="right"/>
              <w:textAlignment w:val="bottom"/>
            </w:pPr>
            <w:r>
              <w:rPr>
                <w:rFonts w:ascii="Arial" w:eastAsia="宋体" w:hAnsi="Arial" w:cs="Arial"/>
                <w:color w:val="000000"/>
                <w:sz w:val="14"/>
                <w:szCs w:val="14"/>
              </w:rPr>
              <w:t>(46)</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98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8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984" w14:textId="77777777" w:rsidR="006A3667" w:rsidRDefault="00045F32">
            <w:pPr>
              <w:jc w:val="right"/>
              <w:textAlignment w:val="bottom"/>
            </w:pPr>
            <w:r>
              <w:rPr>
                <w:rFonts w:ascii="Arial" w:eastAsia="宋体" w:hAnsi="Arial" w:cs="Arial"/>
                <w:color w:val="000000"/>
                <w:sz w:val="14"/>
                <w:szCs w:val="14"/>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98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8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987" w14:textId="77777777" w:rsidR="006A3667" w:rsidRDefault="00045F32">
            <w:pPr>
              <w:jc w:val="right"/>
              <w:textAlignment w:val="bottom"/>
            </w:pPr>
            <w:r>
              <w:rPr>
                <w:rFonts w:ascii="Arial" w:eastAsia="宋体" w:hAnsi="Arial" w:cs="Arial"/>
                <w:color w:val="000000"/>
                <w:sz w:val="14"/>
                <w:szCs w:val="14"/>
              </w:rPr>
              <w:t>(29)</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9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8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98A" w14:textId="77777777" w:rsidR="006A3667" w:rsidRDefault="00045F32">
            <w:pPr>
              <w:jc w:val="right"/>
              <w:textAlignment w:val="bottom"/>
            </w:pPr>
            <w:r>
              <w:rPr>
                <w:rFonts w:ascii="Arial" w:eastAsia="宋体" w:hAnsi="Arial" w:cs="Arial"/>
                <w:color w:val="000000"/>
                <w:sz w:val="14"/>
                <w:szCs w:val="14"/>
              </w:rPr>
              <w:t>(28)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98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8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98D" w14:textId="77777777" w:rsidR="006A3667" w:rsidRDefault="00045F32">
            <w:pPr>
              <w:jc w:val="right"/>
              <w:textAlignment w:val="bottom"/>
            </w:pPr>
            <w:r>
              <w:rPr>
                <w:rFonts w:ascii="Arial" w:eastAsia="宋体" w:hAnsi="Arial" w:cs="Arial"/>
                <w:color w:val="000000"/>
                <w:sz w:val="14"/>
                <w:szCs w:val="14"/>
              </w:rPr>
              <w:t>(485)</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98E" w14:textId="77777777" w:rsidR="006A3667" w:rsidRDefault="006A3667">
            <w:pPr>
              <w:jc w:val="right"/>
              <w:rPr>
                <w:rFonts w:ascii="宋体"/>
              </w:rPr>
            </w:pPr>
          </w:p>
        </w:tc>
        <w:tc>
          <w:tcPr>
            <w:tcW w:w="0" w:type="auto"/>
            <w:shd w:val="clear" w:color="auto" w:fill="auto"/>
            <w:vAlign w:val="bottom"/>
          </w:tcPr>
          <w:p w14:paraId="71D3E98F" w14:textId="77777777" w:rsidR="006A3667" w:rsidRDefault="006A3667">
            <w:pPr>
              <w:rPr>
                <w:rFonts w:ascii="宋体"/>
                <w:vanish/>
              </w:rPr>
            </w:pPr>
          </w:p>
        </w:tc>
      </w:tr>
      <w:tr w:rsidR="006A3667" w14:paraId="71D3E9AA" w14:textId="77777777">
        <w:tc>
          <w:tcPr>
            <w:tcW w:w="0" w:type="auto"/>
            <w:gridSpan w:val="3"/>
            <w:shd w:val="clear" w:color="auto" w:fill="FFFFFF"/>
            <w:tcMar>
              <w:top w:w="40" w:type="dxa"/>
              <w:left w:w="20" w:type="dxa"/>
              <w:bottom w:w="40" w:type="dxa"/>
              <w:right w:w="20" w:type="dxa"/>
            </w:tcMar>
            <w:vAlign w:val="bottom"/>
          </w:tcPr>
          <w:p w14:paraId="71D3E991" w14:textId="77777777" w:rsidR="006A3667" w:rsidRDefault="00045F32">
            <w:pPr>
              <w:textAlignment w:val="bottom"/>
            </w:pPr>
            <w:r>
              <w:rPr>
                <w:rFonts w:ascii="Arial" w:eastAsia="宋体" w:hAnsi="Arial" w:cs="Arial"/>
                <w:b/>
                <w:bCs/>
                <w:color w:val="000000"/>
                <w:sz w:val="14"/>
                <w:szCs w:val="14"/>
              </w:rPr>
              <w:t>Balance as of June 30, 2022</w:t>
            </w:r>
          </w:p>
        </w:tc>
        <w:tc>
          <w:tcPr>
            <w:tcW w:w="0" w:type="auto"/>
            <w:tcBorders>
              <w:top w:val="single" w:sz="8" w:space="0" w:color="000000"/>
            </w:tcBorders>
            <w:shd w:val="clear" w:color="auto" w:fill="FFFFFF"/>
            <w:tcMar>
              <w:top w:w="40" w:type="dxa"/>
              <w:left w:w="20" w:type="dxa"/>
              <w:bottom w:w="40" w:type="dxa"/>
              <w:right w:w="0" w:type="dxa"/>
            </w:tcMar>
            <w:vAlign w:val="bottom"/>
          </w:tcPr>
          <w:p w14:paraId="71D3E99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E993" w14:textId="77777777" w:rsidR="006A3667" w:rsidRDefault="00045F32">
            <w:pPr>
              <w:jc w:val="right"/>
              <w:textAlignment w:val="bottom"/>
            </w:pPr>
            <w:r>
              <w:rPr>
                <w:rFonts w:ascii="Arial" w:eastAsia="宋体" w:hAnsi="Arial" w:cs="Arial"/>
                <w:color w:val="000000"/>
                <w:sz w:val="14"/>
                <w:szCs w:val="14"/>
              </w:rPr>
              <w:t>2,086 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9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95"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E99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E997" w14:textId="77777777" w:rsidR="006A3667" w:rsidRDefault="00045F32">
            <w:pPr>
              <w:jc w:val="right"/>
              <w:textAlignment w:val="bottom"/>
            </w:pPr>
            <w:r>
              <w:rPr>
                <w:rFonts w:ascii="Arial" w:eastAsia="宋体" w:hAnsi="Arial" w:cs="Arial"/>
                <w:color w:val="000000"/>
                <w:sz w:val="14"/>
                <w:szCs w:val="14"/>
              </w:rPr>
              <w:t>550 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99"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E99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E99B" w14:textId="77777777" w:rsidR="006A3667" w:rsidRDefault="00045F32">
            <w:pPr>
              <w:jc w:val="right"/>
              <w:textAlignment w:val="bottom"/>
            </w:pPr>
            <w:r>
              <w:rPr>
                <w:rFonts w:ascii="Arial" w:eastAsia="宋体" w:hAnsi="Arial" w:cs="Arial"/>
                <w:color w:val="000000"/>
                <w:sz w:val="14"/>
                <w:szCs w:val="14"/>
              </w:rPr>
              <w:t>403 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9D"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E99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E99F" w14:textId="77777777" w:rsidR="006A3667" w:rsidRDefault="00045F32">
            <w:pPr>
              <w:jc w:val="right"/>
              <w:textAlignment w:val="bottom"/>
            </w:pPr>
            <w:r>
              <w:rPr>
                <w:rFonts w:ascii="Arial" w:eastAsia="宋体" w:hAnsi="Arial" w:cs="Arial"/>
                <w:color w:val="000000"/>
                <w:sz w:val="14"/>
                <w:szCs w:val="14"/>
              </w:rPr>
              <w:t>202 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A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A1"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E9A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E9A3" w14:textId="77777777" w:rsidR="006A3667" w:rsidRDefault="00045F32">
            <w:pPr>
              <w:jc w:val="right"/>
              <w:textAlignment w:val="bottom"/>
            </w:pPr>
            <w:r>
              <w:rPr>
                <w:rFonts w:ascii="Arial" w:eastAsia="宋体" w:hAnsi="Arial" w:cs="Arial"/>
                <w:color w:val="000000"/>
                <w:sz w:val="14"/>
                <w:szCs w:val="14"/>
              </w:rPr>
              <w:t>234 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A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A5"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E9A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E9A7" w14:textId="77777777" w:rsidR="006A3667" w:rsidRDefault="00045F32">
            <w:pPr>
              <w:jc w:val="right"/>
              <w:textAlignment w:val="bottom"/>
            </w:pPr>
            <w:r>
              <w:rPr>
                <w:rFonts w:ascii="Arial" w:eastAsia="宋体" w:hAnsi="Arial" w:cs="Arial"/>
                <w:color w:val="000000"/>
                <w:sz w:val="14"/>
                <w:szCs w:val="14"/>
              </w:rPr>
              <w:t>3,475 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A8" w14:textId="77777777" w:rsidR="006A3667" w:rsidRDefault="006A3667">
            <w:pPr>
              <w:jc w:val="right"/>
              <w:rPr>
                <w:rFonts w:ascii="宋体"/>
              </w:rPr>
            </w:pPr>
          </w:p>
        </w:tc>
        <w:tc>
          <w:tcPr>
            <w:tcW w:w="0" w:type="auto"/>
            <w:shd w:val="clear" w:color="auto" w:fill="auto"/>
            <w:vAlign w:val="bottom"/>
          </w:tcPr>
          <w:p w14:paraId="71D3E9A9" w14:textId="77777777" w:rsidR="006A3667" w:rsidRDefault="006A3667">
            <w:pPr>
              <w:rPr>
                <w:rFonts w:ascii="宋体"/>
                <w:vanish/>
              </w:rPr>
            </w:pPr>
          </w:p>
        </w:tc>
      </w:tr>
      <w:tr w:rsidR="006A3667" w14:paraId="71D3E9BE" w14:textId="77777777">
        <w:tc>
          <w:tcPr>
            <w:tcW w:w="0" w:type="auto"/>
            <w:gridSpan w:val="3"/>
            <w:shd w:val="clear" w:color="auto" w:fill="CCEEFF"/>
            <w:tcMar>
              <w:top w:w="40" w:type="dxa"/>
              <w:left w:w="20" w:type="dxa"/>
              <w:bottom w:w="40" w:type="dxa"/>
              <w:right w:w="20" w:type="dxa"/>
            </w:tcMar>
            <w:vAlign w:val="bottom"/>
          </w:tcPr>
          <w:p w14:paraId="71D3E9AB" w14:textId="77777777" w:rsidR="006A3667" w:rsidRDefault="00045F32">
            <w:pPr>
              <w:textAlignment w:val="bottom"/>
            </w:pPr>
            <w:r>
              <w:rPr>
                <w:rFonts w:ascii="Arial" w:eastAsia="宋体" w:hAnsi="Arial" w:cs="Arial"/>
                <w:color w:val="000000"/>
                <w:sz w:val="14"/>
                <w:szCs w:val="14"/>
              </w:rPr>
              <w:t>Long-term institutional flows, net</w:t>
            </w:r>
            <w:r>
              <w:rPr>
                <w:rFonts w:ascii="Arial" w:eastAsia="宋体" w:hAnsi="Arial" w:cs="Arial"/>
                <w:color w:val="000000"/>
                <w:sz w:val="9"/>
                <w:szCs w:val="9"/>
              </w:rPr>
              <w:t>(4)</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E9AC" w14:textId="77777777" w:rsidR="006A3667" w:rsidRDefault="00045F32">
            <w:pPr>
              <w:jc w:val="right"/>
              <w:textAlignment w:val="bottom"/>
            </w:pPr>
            <w:r>
              <w:rPr>
                <w:rFonts w:ascii="Arial" w:eastAsia="宋体" w:hAnsi="Arial" w:cs="Arial"/>
                <w:b/>
                <w:bCs/>
                <w:color w:val="000000"/>
                <w:sz w:val="14"/>
                <w:szCs w:val="14"/>
              </w:rPr>
              <w:t>(2)</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E9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AE"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E9AF" w14:textId="77777777" w:rsidR="006A3667" w:rsidRDefault="00045F32">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E9B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B1"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E9B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E9B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B4"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E9B5" w14:textId="77777777" w:rsidR="006A3667" w:rsidRDefault="00045F32">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E9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B7"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E9B8" w14:textId="77777777" w:rsidR="006A3667" w:rsidRDefault="00045F32">
            <w:pPr>
              <w:jc w:val="right"/>
              <w:textAlignment w:val="bottom"/>
            </w:pPr>
            <w:r>
              <w:rPr>
                <w:rFonts w:ascii="Arial" w:eastAsia="宋体" w:hAnsi="Arial" w:cs="Arial"/>
                <w:b/>
                <w:bCs/>
                <w:color w:val="000000"/>
                <w:sz w:val="14"/>
                <w:szCs w:val="14"/>
              </w:rPr>
              <w:t>(7)</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E9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BA"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E9B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E9BC" w14:textId="77777777" w:rsidR="006A3667" w:rsidRDefault="006A3667">
            <w:pPr>
              <w:jc w:val="right"/>
              <w:rPr>
                <w:rFonts w:ascii="宋体"/>
              </w:rPr>
            </w:pPr>
          </w:p>
        </w:tc>
        <w:tc>
          <w:tcPr>
            <w:tcW w:w="0" w:type="auto"/>
            <w:shd w:val="clear" w:color="auto" w:fill="auto"/>
            <w:vAlign w:val="bottom"/>
          </w:tcPr>
          <w:p w14:paraId="71D3E9BD" w14:textId="77777777" w:rsidR="006A3667" w:rsidRDefault="006A3667">
            <w:pPr>
              <w:rPr>
                <w:rFonts w:ascii="宋体"/>
                <w:vanish/>
              </w:rPr>
            </w:pPr>
          </w:p>
        </w:tc>
      </w:tr>
      <w:tr w:rsidR="006A3667" w14:paraId="71D3E9D2" w14:textId="77777777">
        <w:tc>
          <w:tcPr>
            <w:tcW w:w="0" w:type="auto"/>
            <w:gridSpan w:val="3"/>
            <w:shd w:val="clear" w:color="auto" w:fill="FFFFFF"/>
            <w:tcMar>
              <w:top w:w="40" w:type="dxa"/>
              <w:left w:w="20" w:type="dxa"/>
              <w:bottom w:w="40" w:type="dxa"/>
              <w:right w:w="20" w:type="dxa"/>
            </w:tcMar>
            <w:vAlign w:val="bottom"/>
          </w:tcPr>
          <w:p w14:paraId="71D3E9BF" w14:textId="77777777" w:rsidR="006A3667" w:rsidRDefault="00045F32">
            <w:pPr>
              <w:textAlignment w:val="bottom"/>
            </w:pPr>
            <w:r>
              <w:rPr>
                <w:rFonts w:ascii="Arial" w:eastAsia="宋体" w:hAnsi="Arial" w:cs="Arial"/>
                <w:color w:val="000000"/>
                <w:sz w:val="14"/>
                <w:szCs w:val="14"/>
              </w:rPr>
              <w:t>Exchange-traded fund flows, net</w:t>
            </w:r>
          </w:p>
        </w:tc>
        <w:tc>
          <w:tcPr>
            <w:tcW w:w="0" w:type="auto"/>
            <w:gridSpan w:val="2"/>
            <w:shd w:val="clear" w:color="auto" w:fill="FFFFFF"/>
            <w:tcMar>
              <w:top w:w="40" w:type="dxa"/>
              <w:left w:w="20" w:type="dxa"/>
              <w:bottom w:w="40" w:type="dxa"/>
              <w:right w:w="0" w:type="dxa"/>
            </w:tcMar>
            <w:vAlign w:val="bottom"/>
          </w:tcPr>
          <w:p w14:paraId="71D3E9C0" w14:textId="77777777" w:rsidR="006A3667" w:rsidRDefault="00045F32">
            <w:pPr>
              <w:jc w:val="right"/>
              <w:textAlignment w:val="bottom"/>
            </w:pPr>
            <w:r>
              <w:rPr>
                <w:rFonts w:ascii="Arial" w:eastAsia="宋体" w:hAnsi="Arial" w:cs="Arial"/>
                <w:b/>
                <w:bCs/>
                <w:color w:val="000000"/>
                <w:sz w:val="14"/>
                <w:szCs w:val="14"/>
              </w:rPr>
              <w:t>(9)</w:t>
            </w:r>
          </w:p>
        </w:tc>
        <w:tc>
          <w:tcPr>
            <w:tcW w:w="0" w:type="auto"/>
            <w:shd w:val="clear" w:color="auto" w:fill="FFFFFF"/>
            <w:tcMar>
              <w:top w:w="40" w:type="dxa"/>
              <w:left w:w="0" w:type="dxa"/>
              <w:bottom w:w="40" w:type="dxa"/>
              <w:right w:w="20" w:type="dxa"/>
            </w:tcMar>
            <w:vAlign w:val="bottom"/>
          </w:tcPr>
          <w:p w14:paraId="71D3E9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C3"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9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C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9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C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C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E9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C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CC" w14:textId="77777777" w:rsidR="006A3667" w:rsidRDefault="00045F32">
            <w:pPr>
              <w:jc w:val="right"/>
              <w:textAlignment w:val="bottom"/>
            </w:pPr>
            <w:r>
              <w:rPr>
                <w:rFonts w:ascii="Arial" w:eastAsia="宋体" w:hAnsi="Arial" w:cs="Arial"/>
                <w:b/>
                <w:bCs/>
                <w:color w:val="000000"/>
                <w:sz w:val="14"/>
                <w:szCs w:val="14"/>
              </w:rPr>
              <w:t>(7)</w:t>
            </w:r>
          </w:p>
        </w:tc>
        <w:tc>
          <w:tcPr>
            <w:tcW w:w="0" w:type="auto"/>
            <w:shd w:val="clear" w:color="auto" w:fill="FFFFFF"/>
            <w:tcMar>
              <w:top w:w="40" w:type="dxa"/>
              <w:left w:w="0" w:type="dxa"/>
              <w:bottom w:w="40" w:type="dxa"/>
              <w:right w:w="20" w:type="dxa"/>
            </w:tcMar>
            <w:vAlign w:val="bottom"/>
          </w:tcPr>
          <w:p w14:paraId="71D3E9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C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9CF" w14:textId="77777777" w:rsidR="006A3667" w:rsidRDefault="00045F32">
            <w:pPr>
              <w:jc w:val="right"/>
              <w:textAlignment w:val="bottom"/>
            </w:pPr>
            <w:r>
              <w:rPr>
                <w:rFonts w:ascii="Arial" w:eastAsia="宋体" w:hAnsi="Arial" w:cs="Arial"/>
                <w:b/>
                <w:bCs/>
                <w:color w:val="000000"/>
                <w:sz w:val="14"/>
                <w:szCs w:val="14"/>
              </w:rPr>
              <w:t>(14)</w:t>
            </w:r>
          </w:p>
        </w:tc>
        <w:tc>
          <w:tcPr>
            <w:tcW w:w="0" w:type="auto"/>
            <w:shd w:val="clear" w:color="auto" w:fill="FFFFFF"/>
            <w:tcMar>
              <w:top w:w="40" w:type="dxa"/>
              <w:left w:w="0" w:type="dxa"/>
              <w:bottom w:w="40" w:type="dxa"/>
              <w:right w:w="20" w:type="dxa"/>
            </w:tcMar>
            <w:vAlign w:val="bottom"/>
          </w:tcPr>
          <w:p w14:paraId="71D3E9D0" w14:textId="77777777" w:rsidR="006A3667" w:rsidRDefault="006A3667">
            <w:pPr>
              <w:jc w:val="right"/>
              <w:rPr>
                <w:rFonts w:ascii="宋体"/>
              </w:rPr>
            </w:pPr>
          </w:p>
        </w:tc>
        <w:tc>
          <w:tcPr>
            <w:tcW w:w="0" w:type="auto"/>
            <w:shd w:val="clear" w:color="auto" w:fill="auto"/>
            <w:vAlign w:val="bottom"/>
          </w:tcPr>
          <w:p w14:paraId="71D3E9D1" w14:textId="77777777" w:rsidR="006A3667" w:rsidRDefault="006A3667">
            <w:pPr>
              <w:rPr>
                <w:rFonts w:ascii="宋体"/>
                <w:vanish/>
              </w:rPr>
            </w:pPr>
          </w:p>
        </w:tc>
      </w:tr>
      <w:tr w:rsidR="006A3667" w14:paraId="71D3E9E6" w14:textId="77777777">
        <w:tc>
          <w:tcPr>
            <w:tcW w:w="0" w:type="auto"/>
            <w:gridSpan w:val="3"/>
            <w:shd w:val="clear" w:color="auto" w:fill="CCEEFF"/>
            <w:tcMar>
              <w:top w:w="40" w:type="dxa"/>
              <w:left w:w="20" w:type="dxa"/>
              <w:bottom w:w="40" w:type="dxa"/>
              <w:right w:w="20" w:type="dxa"/>
            </w:tcMar>
            <w:vAlign w:val="bottom"/>
          </w:tcPr>
          <w:p w14:paraId="71D3E9D3" w14:textId="77777777" w:rsidR="006A3667" w:rsidRDefault="00045F32">
            <w:pPr>
              <w:textAlignment w:val="bottom"/>
            </w:pPr>
            <w:r>
              <w:rPr>
                <w:rFonts w:ascii="Arial" w:eastAsia="宋体" w:hAnsi="Arial" w:cs="Arial"/>
                <w:color w:val="000000"/>
                <w:sz w:val="14"/>
                <w:szCs w:val="14"/>
              </w:rPr>
              <w:t>Cash fund flows, net</w:t>
            </w:r>
          </w:p>
        </w:tc>
        <w:tc>
          <w:tcPr>
            <w:tcW w:w="0" w:type="auto"/>
            <w:gridSpan w:val="2"/>
            <w:shd w:val="clear" w:color="auto" w:fill="CCEEFF"/>
            <w:tcMar>
              <w:top w:w="40" w:type="dxa"/>
              <w:left w:w="20" w:type="dxa"/>
              <w:bottom w:w="40" w:type="dxa"/>
              <w:right w:w="0" w:type="dxa"/>
            </w:tcMar>
            <w:vAlign w:val="bottom"/>
          </w:tcPr>
          <w:p w14:paraId="71D3E9D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D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D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D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D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DA"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D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D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D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D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E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E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E3"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9E4" w14:textId="77777777" w:rsidR="006A3667" w:rsidRDefault="006A3667">
            <w:pPr>
              <w:jc w:val="right"/>
              <w:rPr>
                <w:rFonts w:ascii="宋体"/>
              </w:rPr>
            </w:pPr>
          </w:p>
        </w:tc>
        <w:tc>
          <w:tcPr>
            <w:tcW w:w="0" w:type="auto"/>
            <w:shd w:val="clear" w:color="auto" w:fill="auto"/>
            <w:vAlign w:val="bottom"/>
          </w:tcPr>
          <w:p w14:paraId="71D3E9E5" w14:textId="77777777" w:rsidR="006A3667" w:rsidRDefault="006A3667">
            <w:pPr>
              <w:rPr>
                <w:rFonts w:ascii="宋体"/>
                <w:vanish/>
              </w:rPr>
            </w:pPr>
          </w:p>
        </w:tc>
      </w:tr>
      <w:tr w:rsidR="006A3667" w14:paraId="71D3E9FA" w14:textId="77777777">
        <w:tc>
          <w:tcPr>
            <w:tcW w:w="0" w:type="auto"/>
            <w:gridSpan w:val="3"/>
            <w:shd w:val="clear" w:color="auto" w:fill="FFFFFF"/>
            <w:tcMar>
              <w:top w:w="40" w:type="dxa"/>
              <w:left w:w="20" w:type="dxa"/>
              <w:bottom w:w="40" w:type="dxa"/>
              <w:right w:w="20" w:type="dxa"/>
            </w:tcMar>
            <w:vAlign w:val="bottom"/>
          </w:tcPr>
          <w:p w14:paraId="71D3E9E7" w14:textId="77777777" w:rsidR="006A3667" w:rsidRDefault="00045F32">
            <w:pPr>
              <w:textAlignment w:val="bottom"/>
            </w:pPr>
            <w:r>
              <w:rPr>
                <w:rFonts w:ascii="Arial" w:eastAsia="宋体" w:hAnsi="Arial" w:cs="Arial"/>
                <w:color w:val="000000"/>
                <w:sz w:val="14"/>
                <w:szCs w:val="14"/>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E8" w14:textId="77777777" w:rsidR="006A3667" w:rsidRDefault="00045F32">
            <w:pPr>
              <w:jc w:val="right"/>
              <w:textAlignment w:val="bottom"/>
            </w:pPr>
            <w:r>
              <w:rPr>
                <w:rFonts w:ascii="Arial" w:eastAsia="宋体" w:hAnsi="Arial" w:cs="Arial"/>
                <w:b/>
                <w:bCs/>
                <w:color w:val="000000"/>
                <w:sz w:val="14"/>
                <w:szCs w:val="14"/>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E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E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EB" w14:textId="77777777" w:rsidR="006A3667" w:rsidRDefault="00045F32">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E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EE"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F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F1" w14:textId="77777777" w:rsidR="006A3667" w:rsidRDefault="00045F32">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F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F4" w14:textId="77777777" w:rsidR="006A3667" w:rsidRDefault="00045F32">
            <w:pPr>
              <w:jc w:val="right"/>
              <w:textAlignment w:val="bottom"/>
            </w:pPr>
            <w:r>
              <w:rPr>
                <w:rFonts w:ascii="Arial" w:eastAsia="宋体" w:hAnsi="Arial" w:cs="Arial"/>
                <w:b/>
                <w:bCs/>
                <w:color w:val="000000"/>
                <w:sz w:val="14"/>
                <w:szCs w:val="14"/>
              </w:rPr>
              <w:t>(14)</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9F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9F7" w14:textId="77777777" w:rsidR="006A3667" w:rsidRDefault="00045F32">
            <w:pPr>
              <w:jc w:val="right"/>
              <w:textAlignment w:val="bottom"/>
            </w:pPr>
            <w:r>
              <w:rPr>
                <w:rFonts w:ascii="Arial" w:eastAsia="宋体" w:hAnsi="Arial" w:cs="Arial"/>
                <w:b/>
                <w:bCs/>
                <w:color w:val="000000"/>
                <w:sz w:val="14"/>
                <w:szCs w:val="14"/>
              </w:rPr>
              <w:t>(9)</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9F8" w14:textId="77777777" w:rsidR="006A3667" w:rsidRDefault="006A3667">
            <w:pPr>
              <w:jc w:val="right"/>
              <w:rPr>
                <w:rFonts w:ascii="宋体"/>
              </w:rPr>
            </w:pPr>
          </w:p>
        </w:tc>
        <w:tc>
          <w:tcPr>
            <w:tcW w:w="0" w:type="auto"/>
            <w:shd w:val="clear" w:color="auto" w:fill="auto"/>
            <w:vAlign w:val="bottom"/>
          </w:tcPr>
          <w:p w14:paraId="71D3E9F9" w14:textId="77777777" w:rsidR="006A3667" w:rsidRDefault="006A3667">
            <w:pPr>
              <w:rPr>
                <w:rFonts w:ascii="宋体"/>
                <w:vanish/>
              </w:rPr>
            </w:pPr>
          </w:p>
        </w:tc>
      </w:tr>
      <w:tr w:rsidR="006A3667" w14:paraId="71D3EA0E" w14:textId="77777777">
        <w:tc>
          <w:tcPr>
            <w:tcW w:w="0" w:type="auto"/>
            <w:gridSpan w:val="3"/>
            <w:shd w:val="clear" w:color="auto" w:fill="CCEEFF"/>
            <w:tcMar>
              <w:top w:w="40" w:type="dxa"/>
              <w:left w:w="155" w:type="dxa"/>
              <w:bottom w:w="40" w:type="dxa"/>
              <w:right w:w="20" w:type="dxa"/>
            </w:tcMar>
            <w:vAlign w:val="bottom"/>
          </w:tcPr>
          <w:p w14:paraId="71D3E9FB" w14:textId="77777777" w:rsidR="006A3667" w:rsidRDefault="00045F32">
            <w:pPr>
              <w:textAlignment w:val="bottom"/>
            </w:pPr>
            <w:r>
              <w:rPr>
                <w:rFonts w:ascii="Arial" w:eastAsia="宋体" w:hAnsi="Arial" w:cs="Arial"/>
                <w:color w:val="000000"/>
                <w:sz w:val="14"/>
                <w:szCs w:val="14"/>
              </w:rPr>
              <w:t>Market appreciation (depreciation)</w:t>
            </w:r>
          </w:p>
        </w:tc>
        <w:tc>
          <w:tcPr>
            <w:tcW w:w="0" w:type="auto"/>
            <w:gridSpan w:val="2"/>
            <w:shd w:val="clear" w:color="auto" w:fill="CCEEFF"/>
            <w:tcMar>
              <w:top w:w="40" w:type="dxa"/>
              <w:left w:w="20" w:type="dxa"/>
              <w:bottom w:w="40" w:type="dxa"/>
              <w:right w:w="0" w:type="dxa"/>
            </w:tcMar>
            <w:vAlign w:val="bottom"/>
          </w:tcPr>
          <w:p w14:paraId="71D3E9FC" w14:textId="77777777" w:rsidR="006A3667" w:rsidRDefault="00045F32">
            <w:pPr>
              <w:jc w:val="right"/>
              <w:textAlignment w:val="bottom"/>
            </w:pPr>
            <w:r>
              <w:rPr>
                <w:rFonts w:ascii="Arial" w:eastAsia="宋体" w:hAnsi="Arial" w:cs="Arial"/>
                <w:b/>
                <w:bCs/>
                <w:color w:val="000000"/>
                <w:sz w:val="14"/>
                <w:szCs w:val="14"/>
              </w:rPr>
              <w:t>(104)</w:t>
            </w:r>
          </w:p>
        </w:tc>
        <w:tc>
          <w:tcPr>
            <w:tcW w:w="0" w:type="auto"/>
            <w:shd w:val="clear" w:color="auto" w:fill="CCEEFF"/>
            <w:tcMar>
              <w:top w:w="40" w:type="dxa"/>
              <w:left w:w="0" w:type="dxa"/>
              <w:bottom w:w="40" w:type="dxa"/>
              <w:right w:w="20" w:type="dxa"/>
            </w:tcMar>
            <w:vAlign w:val="bottom"/>
          </w:tcPr>
          <w:p w14:paraId="71D3E9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9F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9FF" w14:textId="77777777" w:rsidR="006A3667" w:rsidRDefault="00045F32">
            <w:pPr>
              <w:jc w:val="right"/>
              <w:textAlignment w:val="bottom"/>
            </w:pPr>
            <w:r>
              <w:rPr>
                <w:rFonts w:ascii="Arial" w:eastAsia="宋体" w:hAnsi="Arial" w:cs="Arial"/>
                <w:b/>
                <w:bCs/>
                <w:color w:val="000000"/>
                <w:sz w:val="14"/>
                <w:szCs w:val="14"/>
              </w:rPr>
              <w:t>(32)</w:t>
            </w:r>
          </w:p>
        </w:tc>
        <w:tc>
          <w:tcPr>
            <w:tcW w:w="0" w:type="auto"/>
            <w:shd w:val="clear" w:color="auto" w:fill="CCEEFF"/>
            <w:tcMar>
              <w:top w:w="40" w:type="dxa"/>
              <w:left w:w="0" w:type="dxa"/>
              <w:bottom w:w="40" w:type="dxa"/>
              <w:right w:w="20" w:type="dxa"/>
            </w:tcMar>
            <w:vAlign w:val="bottom"/>
          </w:tcPr>
          <w:p w14:paraId="71D3EA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0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A02" w14:textId="77777777" w:rsidR="006A3667" w:rsidRDefault="00045F32">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EA0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0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A05" w14:textId="77777777" w:rsidR="006A3667" w:rsidRDefault="00045F32">
            <w:pPr>
              <w:jc w:val="right"/>
              <w:textAlignment w:val="bottom"/>
            </w:pPr>
            <w:r>
              <w:rPr>
                <w:rFonts w:ascii="Arial" w:eastAsia="宋体" w:hAnsi="Arial" w:cs="Arial"/>
                <w:b/>
                <w:bCs/>
                <w:color w:val="000000"/>
                <w:sz w:val="14"/>
                <w:szCs w:val="14"/>
              </w:rPr>
              <w:t>(11)</w:t>
            </w:r>
          </w:p>
        </w:tc>
        <w:tc>
          <w:tcPr>
            <w:tcW w:w="0" w:type="auto"/>
            <w:shd w:val="clear" w:color="auto" w:fill="CCEEFF"/>
            <w:tcMar>
              <w:top w:w="40" w:type="dxa"/>
              <w:left w:w="0" w:type="dxa"/>
              <w:bottom w:w="40" w:type="dxa"/>
              <w:right w:w="20" w:type="dxa"/>
            </w:tcMar>
            <w:vAlign w:val="bottom"/>
          </w:tcPr>
          <w:p w14:paraId="71D3EA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A08" w14:textId="77777777" w:rsidR="006A3667" w:rsidRDefault="00045F32">
            <w:pPr>
              <w:jc w:val="right"/>
              <w:textAlignment w:val="bottom"/>
            </w:pPr>
            <w:r>
              <w:rPr>
                <w:rFonts w:ascii="Arial" w:eastAsia="宋体" w:hAnsi="Arial" w:cs="Arial"/>
                <w:b/>
                <w:bCs/>
                <w:color w:val="000000"/>
                <w:sz w:val="14"/>
                <w:szCs w:val="14"/>
              </w:rPr>
              <w:t>(12)</w:t>
            </w:r>
          </w:p>
        </w:tc>
        <w:tc>
          <w:tcPr>
            <w:tcW w:w="0" w:type="auto"/>
            <w:shd w:val="clear" w:color="auto" w:fill="CCEEFF"/>
            <w:tcMar>
              <w:top w:w="40" w:type="dxa"/>
              <w:left w:w="0" w:type="dxa"/>
              <w:bottom w:w="40" w:type="dxa"/>
              <w:right w:w="20" w:type="dxa"/>
            </w:tcMar>
            <w:vAlign w:val="bottom"/>
          </w:tcPr>
          <w:p w14:paraId="71D3EA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0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A0B" w14:textId="77777777" w:rsidR="006A3667" w:rsidRDefault="00045F32">
            <w:pPr>
              <w:jc w:val="right"/>
              <w:textAlignment w:val="bottom"/>
            </w:pPr>
            <w:r>
              <w:rPr>
                <w:rFonts w:ascii="Arial" w:eastAsia="宋体" w:hAnsi="Arial" w:cs="Arial"/>
                <w:b/>
                <w:bCs/>
                <w:color w:val="000000"/>
                <w:sz w:val="14"/>
                <w:szCs w:val="14"/>
              </w:rPr>
              <w:t>(155)</w:t>
            </w:r>
          </w:p>
        </w:tc>
        <w:tc>
          <w:tcPr>
            <w:tcW w:w="0" w:type="auto"/>
            <w:shd w:val="clear" w:color="auto" w:fill="CCEEFF"/>
            <w:tcMar>
              <w:top w:w="40" w:type="dxa"/>
              <w:left w:w="0" w:type="dxa"/>
              <w:bottom w:w="40" w:type="dxa"/>
              <w:right w:w="20" w:type="dxa"/>
            </w:tcMar>
            <w:vAlign w:val="bottom"/>
          </w:tcPr>
          <w:p w14:paraId="71D3EA0C" w14:textId="77777777" w:rsidR="006A3667" w:rsidRDefault="006A3667">
            <w:pPr>
              <w:jc w:val="right"/>
              <w:rPr>
                <w:rFonts w:ascii="宋体"/>
              </w:rPr>
            </w:pPr>
          </w:p>
        </w:tc>
        <w:tc>
          <w:tcPr>
            <w:tcW w:w="0" w:type="auto"/>
            <w:shd w:val="clear" w:color="auto" w:fill="auto"/>
            <w:vAlign w:val="bottom"/>
          </w:tcPr>
          <w:p w14:paraId="71D3EA0D" w14:textId="77777777" w:rsidR="006A3667" w:rsidRDefault="006A3667">
            <w:pPr>
              <w:rPr>
                <w:rFonts w:ascii="宋体"/>
                <w:vanish/>
              </w:rPr>
            </w:pPr>
          </w:p>
        </w:tc>
      </w:tr>
      <w:tr w:rsidR="006A3667" w14:paraId="71D3EA22" w14:textId="77777777">
        <w:tc>
          <w:tcPr>
            <w:tcW w:w="0" w:type="auto"/>
            <w:gridSpan w:val="3"/>
            <w:shd w:val="clear" w:color="auto" w:fill="FFFFFF"/>
            <w:tcMar>
              <w:top w:w="40" w:type="dxa"/>
              <w:left w:w="155" w:type="dxa"/>
              <w:bottom w:w="40" w:type="dxa"/>
              <w:right w:w="20" w:type="dxa"/>
            </w:tcMar>
            <w:vAlign w:val="bottom"/>
          </w:tcPr>
          <w:p w14:paraId="71D3EA0F" w14:textId="77777777" w:rsidR="006A3667" w:rsidRDefault="00045F32">
            <w:pPr>
              <w:textAlignment w:val="bottom"/>
            </w:pPr>
            <w:r>
              <w:rPr>
                <w:rFonts w:ascii="Arial" w:eastAsia="宋体" w:hAnsi="Arial" w:cs="Arial"/>
                <w:color w:val="000000"/>
                <w:sz w:val="14"/>
                <w:szCs w:val="14"/>
              </w:rPr>
              <w:t>Foreign exchange impact</w:t>
            </w:r>
          </w:p>
        </w:tc>
        <w:tc>
          <w:tcPr>
            <w:tcW w:w="0" w:type="auto"/>
            <w:gridSpan w:val="2"/>
            <w:shd w:val="clear" w:color="auto" w:fill="FFFFFF"/>
            <w:tcMar>
              <w:top w:w="40" w:type="dxa"/>
              <w:left w:w="20" w:type="dxa"/>
              <w:bottom w:w="40" w:type="dxa"/>
              <w:right w:w="0" w:type="dxa"/>
            </w:tcMar>
            <w:vAlign w:val="bottom"/>
          </w:tcPr>
          <w:p w14:paraId="71D3EA10" w14:textId="77777777" w:rsidR="006A3667" w:rsidRDefault="00045F32">
            <w:pPr>
              <w:jc w:val="right"/>
              <w:textAlignment w:val="bottom"/>
            </w:pPr>
            <w:r>
              <w:rPr>
                <w:rFonts w:ascii="Arial" w:eastAsia="宋体" w:hAnsi="Arial" w:cs="Arial"/>
                <w:b/>
                <w:bCs/>
                <w:color w:val="000000"/>
                <w:sz w:val="14"/>
                <w:szCs w:val="14"/>
              </w:rPr>
              <w:t>(28)</w:t>
            </w:r>
          </w:p>
        </w:tc>
        <w:tc>
          <w:tcPr>
            <w:tcW w:w="0" w:type="auto"/>
            <w:shd w:val="clear" w:color="auto" w:fill="FFFFFF"/>
            <w:tcMar>
              <w:top w:w="40" w:type="dxa"/>
              <w:left w:w="0" w:type="dxa"/>
              <w:bottom w:w="40" w:type="dxa"/>
              <w:right w:w="20" w:type="dxa"/>
            </w:tcMar>
            <w:vAlign w:val="bottom"/>
          </w:tcPr>
          <w:p w14:paraId="71D3EA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1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A13" w14:textId="77777777" w:rsidR="006A3667" w:rsidRDefault="00045F32">
            <w:pPr>
              <w:jc w:val="right"/>
              <w:textAlignment w:val="bottom"/>
            </w:pPr>
            <w:r>
              <w:rPr>
                <w:rFonts w:ascii="Arial" w:eastAsia="宋体" w:hAnsi="Arial" w:cs="Arial"/>
                <w:b/>
                <w:bCs/>
                <w:color w:val="000000"/>
                <w:sz w:val="14"/>
                <w:szCs w:val="14"/>
              </w:rPr>
              <w:t>(8)</w:t>
            </w:r>
          </w:p>
        </w:tc>
        <w:tc>
          <w:tcPr>
            <w:tcW w:w="0" w:type="auto"/>
            <w:shd w:val="clear" w:color="auto" w:fill="FFFFFF"/>
            <w:tcMar>
              <w:top w:w="40" w:type="dxa"/>
              <w:left w:w="0" w:type="dxa"/>
              <w:bottom w:w="40" w:type="dxa"/>
              <w:right w:w="20" w:type="dxa"/>
            </w:tcMar>
            <w:vAlign w:val="bottom"/>
          </w:tcPr>
          <w:p w14:paraId="71D3EA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1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A16"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71D3EA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1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A19"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71D3EA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1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A1C" w14:textId="77777777" w:rsidR="006A3667" w:rsidRDefault="00045F32">
            <w:pPr>
              <w:jc w:val="right"/>
              <w:textAlignment w:val="bottom"/>
            </w:pPr>
            <w:r>
              <w:rPr>
                <w:rFonts w:ascii="Arial" w:eastAsia="宋体" w:hAnsi="Arial" w:cs="Arial"/>
                <w:b/>
                <w:bCs/>
                <w:color w:val="000000"/>
                <w:sz w:val="14"/>
                <w:szCs w:val="14"/>
              </w:rPr>
              <w:t>(6)</w:t>
            </w:r>
          </w:p>
        </w:tc>
        <w:tc>
          <w:tcPr>
            <w:tcW w:w="0" w:type="auto"/>
            <w:shd w:val="clear" w:color="auto" w:fill="FFFFFF"/>
            <w:tcMar>
              <w:top w:w="40" w:type="dxa"/>
              <w:left w:w="0" w:type="dxa"/>
              <w:bottom w:w="40" w:type="dxa"/>
              <w:right w:w="20" w:type="dxa"/>
            </w:tcMar>
            <w:vAlign w:val="bottom"/>
          </w:tcPr>
          <w:p w14:paraId="71D3EA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1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A1F" w14:textId="77777777" w:rsidR="006A3667" w:rsidRDefault="00045F32">
            <w:pPr>
              <w:jc w:val="right"/>
              <w:textAlignment w:val="bottom"/>
            </w:pPr>
            <w:r>
              <w:rPr>
                <w:rFonts w:ascii="Arial" w:eastAsia="宋体" w:hAnsi="Arial" w:cs="Arial"/>
                <w:b/>
                <w:bCs/>
                <w:color w:val="000000"/>
                <w:sz w:val="14"/>
                <w:szCs w:val="14"/>
              </w:rPr>
              <w:t>(46)</w:t>
            </w:r>
          </w:p>
        </w:tc>
        <w:tc>
          <w:tcPr>
            <w:tcW w:w="0" w:type="auto"/>
            <w:shd w:val="clear" w:color="auto" w:fill="FFFFFF"/>
            <w:tcMar>
              <w:top w:w="40" w:type="dxa"/>
              <w:left w:w="0" w:type="dxa"/>
              <w:bottom w:w="40" w:type="dxa"/>
              <w:right w:w="20" w:type="dxa"/>
            </w:tcMar>
            <w:vAlign w:val="bottom"/>
          </w:tcPr>
          <w:p w14:paraId="71D3EA20" w14:textId="77777777" w:rsidR="006A3667" w:rsidRDefault="006A3667">
            <w:pPr>
              <w:jc w:val="right"/>
              <w:rPr>
                <w:rFonts w:ascii="宋体"/>
              </w:rPr>
            </w:pPr>
          </w:p>
        </w:tc>
        <w:tc>
          <w:tcPr>
            <w:tcW w:w="0" w:type="auto"/>
            <w:shd w:val="clear" w:color="auto" w:fill="auto"/>
            <w:vAlign w:val="bottom"/>
          </w:tcPr>
          <w:p w14:paraId="71D3EA21" w14:textId="77777777" w:rsidR="006A3667" w:rsidRDefault="006A3667">
            <w:pPr>
              <w:rPr>
                <w:rFonts w:ascii="宋体"/>
                <w:vanish/>
              </w:rPr>
            </w:pPr>
          </w:p>
        </w:tc>
      </w:tr>
      <w:tr w:rsidR="006A3667" w14:paraId="71D3EA36" w14:textId="77777777">
        <w:tc>
          <w:tcPr>
            <w:tcW w:w="0" w:type="auto"/>
            <w:gridSpan w:val="3"/>
            <w:shd w:val="clear" w:color="auto" w:fill="CCEEFF"/>
            <w:tcMar>
              <w:top w:w="40" w:type="dxa"/>
              <w:left w:w="20" w:type="dxa"/>
              <w:bottom w:w="40" w:type="dxa"/>
              <w:right w:w="20" w:type="dxa"/>
            </w:tcMar>
            <w:vAlign w:val="bottom"/>
          </w:tcPr>
          <w:p w14:paraId="71D3EA23" w14:textId="77777777" w:rsidR="006A3667" w:rsidRDefault="00045F32">
            <w:pPr>
              <w:textAlignment w:val="bottom"/>
            </w:pPr>
            <w:r>
              <w:rPr>
                <w:rFonts w:ascii="Arial" w:eastAsia="宋体" w:hAnsi="Arial" w:cs="Arial"/>
                <w:color w:val="000000"/>
                <w:sz w:val="14"/>
                <w:szCs w:val="14"/>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A24" w14:textId="77777777" w:rsidR="006A3667" w:rsidRDefault="00045F32">
            <w:pPr>
              <w:jc w:val="right"/>
              <w:textAlignment w:val="bottom"/>
            </w:pPr>
            <w:r>
              <w:rPr>
                <w:rFonts w:ascii="Arial" w:eastAsia="宋体" w:hAnsi="Arial" w:cs="Arial"/>
                <w:b/>
                <w:bCs/>
                <w:color w:val="000000"/>
                <w:sz w:val="14"/>
                <w:szCs w:val="14"/>
              </w:rPr>
              <w:t>(132)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A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2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A27" w14:textId="77777777" w:rsidR="006A3667" w:rsidRDefault="00045F32">
            <w:pPr>
              <w:jc w:val="right"/>
              <w:textAlignment w:val="bottom"/>
            </w:pPr>
            <w:r>
              <w:rPr>
                <w:rFonts w:ascii="Arial" w:eastAsia="宋体" w:hAnsi="Arial" w:cs="Arial"/>
                <w:b/>
                <w:bCs/>
                <w:color w:val="000000"/>
                <w:sz w:val="14"/>
                <w:szCs w:val="14"/>
              </w:rPr>
              <w:t>(40)</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A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2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A2A"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A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2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A2D" w14:textId="77777777" w:rsidR="006A3667" w:rsidRDefault="00045F32">
            <w:pPr>
              <w:jc w:val="right"/>
              <w:textAlignment w:val="bottom"/>
            </w:pPr>
            <w:r>
              <w:rPr>
                <w:rFonts w:ascii="Arial" w:eastAsia="宋体" w:hAnsi="Arial" w:cs="Arial"/>
                <w:b/>
                <w:bCs/>
                <w:color w:val="000000"/>
                <w:sz w:val="14"/>
                <w:szCs w:val="14"/>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A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2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A30" w14:textId="77777777" w:rsidR="006A3667" w:rsidRDefault="00045F32">
            <w:pPr>
              <w:jc w:val="right"/>
              <w:textAlignment w:val="bottom"/>
            </w:pPr>
            <w:r>
              <w:rPr>
                <w:rFonts w:ascii="Arial" w:eastAsia="宋体" w:hAnsi="Arial" w:cs="Arial"/>
                <w:b/>
                <w:bCs/>
                <w:color w:val="000000"/>
                <w:sz w:val="14"/>
                <w:szCs w:val="14"/>
              </w:rPr>
              <w:t>(18)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A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A3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A33" w14:textId="77777777" w:rsidR="006A3667" w:rsidRDefault="00045F32">
            <w:pPr>
              <w:jc w:val="right"/>
              <w:textAlignment w:val="bottom"/>
            </w:pPr>
            <w:r>
              <w:rPr>
                <w:rFonts w:ascii="Arial" w:eastAsia="宋体" w:hAnsi="Arial" w:cs="Arial"/>
                <w:b/>
                <w:bCs/>
                <w:color w:val="000000"/>
                <w:sz w:val="14"/>
                <w:szCs w:val="14"/>
              </w:rPr>
              <w:t>(201)</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A34" w14:textId="77777777" w:rsidR="006A3667" w:rsidRDefault="006A3667">
            <w:pPr>
              <w:jc w:val="right"/>
              <w:rPr>
                <w:rFonts w:ascii="宋体"/>
              </w:rPr>
            </w:pPr>
          </w:p>
        </w:tc>
        <w:tc>
          <w:tcPr>
            <w:tcW w:w="0" w:type="auto"/>
            <w:shd w:val="clear" w:color="auto" w:fill="auto"/>
            <w:vAlign w:val="bottom"/>
          </w:tcPr>
          <w:p w14:paraId="71D3EA35" w14:textId="77777777" w:rsidR="006A3667" w:rsidRDefault="006A3667">
            <w:pPr>
              <w:rPr>
                <w:rFonts w:ascii="宋体"/>
                <w:vanish/>
              </w:rPr>
            </w:pPr>
          </w:p>
        </w:tc>
      </w:tr>
      <w:tr w:rsidR="006A3667" w14:paraId="71D3EA50" w14:textId="77777777">
        <w:tc>
          <w:tcPr>
            <w:tcW w:w="0" w:type="auto"/>
            <w:gridSpan w:val="3"/>
            <w:shd w:val="clear" w:color="auto" w:fill="FFFFFF"/>
            <w:tcMar>
              <w:top w:w="40" w:type="dxa"/>
              <w:left w:w="20" w:type="dxa"/>
              <w:bottom w:w="40" w:type="dxa"/>
              <w:right w:w="20" w:type="dxa"/>
            </w:tcMar>
            <w:vAlign w:val="bottom"/>
          </w:tcPr>
          <w:p w14:paraId="71D3EA37" w14:textId="77777777" w:rsidR="006A3667" w:rsidRDefault="00045F32">
            <w:pPr>
              <w:textAlignment w:val="bottom"/>
            </w:pPr>
            <w:r>
              <w:rPr>
                <w:rFonts w:ascii="Arial" w:eastAsia="宋体" w:hAnsi="Arial" w:cs="Arial"/>
                <w:b/>
                <w:bCs/>
                <w:color w:val="000000"/>
                <w:sz w:val="14"/>
                <w:szCs w:val="14"/>
              </w:rPr>
              <w:t>Balance as of September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A3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A39" w14:textId="77777777" w:rsidR="006A3667" w:rsidRDefault="00045F32">
            <w:pPr>
              <w:jc w:val="right"/>
              <w:textAlignment w:val="bottom"/>
            </w:pPr>
            <w:r>
              <w:rPr>
                <w:rFonts w:ascii="Arial" w:eastAsia="宋体" w:hAnsi="Arial" w:cs="Arial"/>
                <w:b/>
                <w:bCs/>
                <w:color w:val="000000"/>
                <w:sz w:val="14"/>
                <w:szCs w:val="14"/>
              </w:rPr>
              <w:t>1,943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A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3B"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A3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A3D" w14:textId="77777777" w:rsidR="006A3667" w:rsidRDefault="00045F32">
            <w:pPr>
              <w:jc w:val="right"/>
              <w:textAlignment w:val="bottom"/>
            </w:pPr>
            <w:r>
              <w:rPr>
                <w:rFonts w:ascii="Arial" w:eastAsia="宋体" w:hAnsi="Arial" w:cs="Arial"/>
                <w:b/>
                <w:bCs/>
                <w:color w:val="000000"/>
                <w:sz w:val="14"/>
                <w:szCs w:val="14"/>
              </w:rPr>
              <w:t>518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A3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3F"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A4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A41" w14:textId="77777777" w:rsidR="006A3667" w:rsidRDefault="00045F32">
            <w:pPr>
              <w:jc w:val="right"/>
              <w:textAlignment w:val="bottom"/>
            </w:pPr>
            <w:r>
              <w:rPr>
                <w:rFonts w:ascii="Arial" w:eastAsia="宋体" w:hAnsi="Arial" w:cs="Arial"/>
                <w:b/>
                <w:bCs/>
                <w:color w:val="000000"/>
                <w:sz w:val="14"/>
                <w:szCs w:val="14"/>
              </w:rPr>
              <w:t>410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A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43"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A4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A45" w14:textId="77777777" w:rsidR="006A3667" w:rsidRDefault="00045F32">
            <w:pPr>
              <w:jc w:val="right"/>
              <w:textAlignment w:val="bottom"/>
            </w:pPr>
            <w:r>
              <w:rPr>
                <w:rFonts w:ascii="Arial" w:eastAsia="宋体" w:hAnsi="Arial" w:cs="Arial"/>
                <w:b/>
                <w:bCs/>
                <w:color w:val="000000"/>
                <w:sz w:val="14"/>
                <w:szCs w:val="14"/>
              </w:rPr>
              <w:t>192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A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47"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A4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A49" w14:textId="77777777" w:rsidR="006A3667" w:rsidRDefault="00045F32">
            <w:pPr>
              <w:jc w:val="right"/>
              <w:textAlignment w:val="bottom"/>
            </w:pPr>
            <w:r>
              <w:rPr>
                <w:rFonts w:ascii="Arial" w:eastAsia="宋体" w:hAnsi="Arial" w:cs="Arial"/>
                <w:b/>
                <w:bCs/>
                <w:color w:val="000000"/>
                <w:sz w:val="14"/>
                <w:szCs w:val="14"/>
              </w:rPr>
              <w:t>202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A4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A4B"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EA4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EA4D" w14:textId="77777777" w:rsidR="006A3667" w:rsidRDefault="00045F32">
            <w:pPr>
              <w:jc w:val="right"/>
              <w:textAlignment w:val="bottom"/>
            </w:pPr>
            <w:r>
              <w:rPr>
                <w:rFonts w:ascii="Arial" w:eastAsia="宋体" w:hAnsi="Arial" w:cs="Arial"/>
                <w:b/>
                <w:bCs/>
                <w:color w:val="000000"/>
                <w:sz w:val="14"/>
                <w:szCs w:val="14"/>
              </w:rPr>
              <w:t>3,265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EA4E" w14:textId="77777777" w:rsidR="006A3667" w:rsidRDefault="006A3667">
            <w:pPr>
              <w:jc w:val="right"/>
              <w:rPr>
                <w:rFonts w:ascii="宋体"/>
              </w:rPr>
            </w:pPr>
          </w:p>
        </w:tc>
        <w:tc>
          <w:tcPr>
            <w:tcW w:w="0" w:type="auto"/>
            <w:shd w:val="clear" w:color="auto" w:fill="auto"/>
            <w:vAlign w:val="bottom"/>
          </w:tcPr>
          <w:p w14:paraId="71D3EA4F" w14:textId="77777777" w:rsidR="006A3667" w:rsidRDefault="006A3667">
            <w:pPr>
              <w:rPr>
                <w:rFonts w:ascii="宋体"/>
                <w:vanish/>
              </w:rPr>
            </w:pPr>
          </w:p>
        </w:tc>
      </w:tr>
      <w:tr w:rsidR="006A3667" w14:paraId="71D3EA5E" w14:textId="77777777">
        <w:trPr>
          <w:hidden/>
        </w:trPr>
        <w:tc>
          <w:tcPr>
            <w:tcW w:w="0" w:type="auto"/>
            <w:gridSpan w:val="3"/>
            <w:shd w:val="clear" w:color="auto" w:fill="auto"/>
            <w:vAlign w:val="bottom"/>
          </w:tcPr>
          <w:p w14:paraId="71D3EA51" w14:textId="77777777" w:rsidR="006A3667" w:rsidRDefault="006A3667">
            <w:pPr>
              <w:rPr>
                <w:rFonts w:ascii="宋体"/>
                <w:vanish/>
              </w:rPr>
            </w:pPr>
          </w:p>
        </w:tc>
        <w:tc>
          <w:tcPr>
            <w:tcW w:w="0" w:type="auto"/>
            <w:gridSpan w:val="3"/>
            <w:shd w:val="clear" w:color="auto" w:fill="auto"/>
            <w:vAlign w:val="bottom"/>
          </w:tcPr>
          <w:p w14:paraId="71D3EA52" w14:textId="77777777" w:rsidR="006A3667" w:rsidRDefault="006A3667">
            <w:pPr>
              <w:rPr>
                <w:rFonts w:ascii="宋体"/>
                <w:vanish/>
              </w:rPr>
            </w:pPr>
          </w:p>
        </w:tc>
        <w:tc>
          <w:tcPr>
            <w:tcW w:w="0" w:type="auto"/>
            <w:gridSpan w:val="3"/>
            <w:shd w:val="clear" w:color="auto" w:fill="auto"/>
            <w:vAlign w:val="bottom"/>
          </w:tcPr>
          <w:p w14:paraId="71D3EA53" w14:textId="77777777" w:rsidR="006A3667" w:rsidRDefault="006A3667">
            <w:pPr>
              <w:rPr>
                <w:rFonts w:ascii="宋体"/>
                <w:vanish/>
              </w:rPr>
            </w:pPr>
          </w:p>
        </w:tc>
        <w:tc>
          <w:tcPr>
            <w:tcW w:w="0" w:type="auto"/>
            <w:gridSpan w:val="3"/>
            <w:shd w:val="clear" w:color="auto" w:fill="auto"/>
            <w:vAlign w:val="bottom"/>
          </w:tcPr>
          <w:p w14:paraId="71D3EA54" w14:textId="77777777" w:rsidR="006A3667" w:rsidRDefault="006A3667">
            <w:pPr>
              <w:rPr>
                <w:rFonts w:ascii="宋体"/>
                <w:vanish/>
              </w:rPr>
            </w:pPr>
          </w:p>
        </w:tc>
        <w:tc>
          <w:tcPr>
            <w:tcW w:w="0" w:type="auto"/>
            <w:gridSpan w:val="3"/>
            <w:shd w:val="clear" w:color="auto" w:fill="auto"/>
            <w:vAlign w:val="bottom"/>
          </w:tcPr>
          <w:p w14:paraId="71D3EA55" w14:textId="77777777" w:rsidR="006A3667" w:rsidRDefault="006A3667">
            <w:pPr>
              <w:rPr>
                <w:rFonts w:ascii="宋体"/>
                <w:vanish/>
              </w:rPr>
            </w:pPr>
          </w:p>
        </w:tc>
        <w:tc>
          <w:tcPr>
            <w:tcW w:w="0" w:type="auto"/>
            <w:gridSpan w:val="3"/>
            <w:shd w:val="clear" w:color="auto" w:fill="auto"/>
            <w:vAlign w:val="bottom"/>
          </w:tcPr>
          <w:p w14:paraId="71D3EA56" w14:textId="77777777" w:rsidR="006A3667" w:rsidRDefault="006A3667">
            <w:pPr>
              <w:rPr>
                <w:rFonts w:ascii="宋体"/>
                <w:vanish/>
              </w:rPr>
            </w:pPr>
          </w:p>
        </w:tc>
        <w:tc>
          <w:tcPr>
            <w:tcW w:w="0" w:type="auto"/>
            <w:gridSpan w:val="3"/>
            <w:shd w:val="clear" w:color="auto" w:fill="auto"/>
            <w:vAlign w:val="bottom"/>
          </w:tcPr>
          <w:p w14:paraId="71D3EA57" w14:textId="77777777" w:rsidR="006A3667" w:rsidRDefault="006A3667">
            <w:pPr>
              <w:rPr>
                <w:rFonts w:ascii="宋体"/>
                <w:vanish/>
              </w:rPr>
            </w:pPr>
          </w:p>
        </w:tc>
        <w:tc>
          <w:tcPr>
            <w:tcW w:w="0" w:type="auto"/>
            <w:gridSpan w:val="3"/>
            <w:shd w:val="clear" w:color="auto" w:fill="auto"/>
            <w:vAlign w:val="bottom"/>
          </w:tcPr>
          <w:p w14:paraId="71D3EA58" w14:textId="77777777" w:rsidR="006A3667" w:rsidRDefault="006A3667">
            <w:pPr>
              <w:rPr>
                <w:rFonts w:ascii="宋体"/>
                <w:vanish/>
              </w:rPr>
            </w:pPr>
          </w:p>
        </w:tc>
        <w:tc>
          <w:tcPr>
            <w:tcW w:w="0" w:type="auto"/>
            <w:gridSpan w:val="3"/>
            <w:shd w:val="clear" w:color="auto" w:fill="auto"/>
            <w:vAlign w:val="bottom"/>
          </w:tcPr>
          <w:p w14:paraId="71D3EA59" w14:textId="77777777" w:rsidR="006A3667" w:rsidRDefault="006A3667">
            <w:pPr>
              <w:rPr>
                <w:rFonts w:ascii="宋体"/>
                <w:vanish/>
              </w:rPr>
            </w:pPr>
          </w:p>
        </w:tc>
        <w:tc>
          <w:tcPr>
            <w:tcW w:w="0" w:type="auto"/>
            <w:gridSpan w:val="3"/>
            <w:shd w:val="clear" w:color="auto" w:fill="auto"/>
            <w:vAlign w:val="bottom"/>
          </w:tcPr>
          <w:p w14:paraId="71D3EA5A" w14:textId="77777777" w:rsidR="006A3667" w:rsidRDefault="006A3667">
            <w:pPr>
              <w:rPr>
                <w:rFonts w:ascii="宋体"/>
                <w:vanish/>
              </w:rPr>
            </w:pPr>
          </w:p>
        </w:tc>
        <w:tc>
          <w:tcPr>
            <w:tcW w:w="0" w:type="auto"/>
            <w:gridSpan w:val="3"/>
            <w:shd w:val="clear" w:color="auto" w:fill="auto"/>
            <w:vAlign w:val="bottom"/>
          </w:tcPr>
          <w:p w14:paraId="71D3EA5B" w14:textId="77777777" w:rsidR="006A3667" w:rsidRDefault="006A3667">
            <w:pPr>
              <w:rPr>
                <w:rFonts w:ascii="宋体"/>
                <w:vanish/>
              </w:rPr>
            </w:pPr>
          </w:p>
        </w:tc>
        <w:tc>
          <w:tcPr>
            <w:tcW w:w="0" w:type="auto"/>
            <w:gridSpan w:val="3"/>
            <w:shd w:val="clear" w:color="auto" w:fill="auto"/>
            <w:vAlign w:val="bottom"/>
          </w:tcPr>
          <w:p w14:paraId="71D3EA5C" w14:textId="77777777" w:rsidR="006A3667" w:rsidRDefault="006A3667">
            <w:pPr>
              <w:rPr>
                <w:rFonts w:ascii="宋体"/>
                <w:vanish/>
              </w:rPr>
            </w:pPr>
          </w:p>
        </w:tc>
        <w:tc>
          <w:tcPr>
            <w:tcW w:w="0" w:type="auto"/>
            <w:shd w:val="clear" w:color="auto" w:fill="auto"/>
            <w:vAlign w:val="bottom"/>
          </w:tcPr>
          <w:p w14:paraId="71D3EA5D" w14:textId="77777777" w:rsidR="006A3667" w:rsidRDefault="006A3667">
            <w:pPr>
              <w:rPr>
                <w:rFonts w:ascii="宋体"/>
                <w:vanish/>
              </w:rPr>
            </w:pPr>
          </w:p>
        </w:tc>
      </w:tr>
      <w:tr w:rsidR="006A3667" w14:paraId="71D3EA6C" w14:textId="77777777">
        <w:trPr>
          <w:hidden/>
        </w:trPr>
        <w:tc>
          <w:tcPr>
            <w:tcW w:w="0" w:type="auto"/>
            <w:gridSpan w:val="3"/>
            <w:shd w:val="clear" w:color="auto" w:fill="auto"/>
            <w:vAlign w:val="bottom"/>
          </w:tcPr>
          <w:p w14:paraId="71D3EA5F" w14:textId="77777777" w:rsidR="006A3667" w:rsidRDefault="006A3667">
            <w:pPr>
              <w:rPr>
                <w:rFonts w:ascii="宋体"/>
                <w:vanish/>
              </w:rPr>
            </w:pPr>
          </w:p>
        </w:tc>
        <w:tc>
          <w:tcPr>
            <w:tcW w:w="0" w:type="auto"/>
            <w:gridSpan w:val="3"/>
            <w:shd w:val="clear" w:color="auto" w:fill="auto"/>
            <w:vAlign w:val="bottom"/>
          </w:tcPr>
          <w:p w14:paraId="71D3EA60" w14:textId="77777777" w:rsidR="006A3667" w:rsidRDefault="006A3667">
            <w:pPr>
              <w:rPr>
                <w:rFonts w:ascii="宋体"/>
                <w:vanish/>
              </w:rPr>
            </w:pPr>
          </w:p>
        </w:tc>
        <w:tc>
          <w:tcPr>
            <w:tcW w:w="0" w:type="auto"/>
            <w:gridSpan w:val="3"/>
            <w:shd w:val="clear" w:color="auto" w:fill="auto"/>
            <w:vAlign w:val="bottom"/>
          </w:tcPr>
          <w:p w14:paraId="71D3EA61" w14:textId="77777777" w:rsidR="006A3667" w:rsidRDefault="006A3667">
            <w:pPr>
              <w:rPr>
                <w:rFonts w:ascii="宋体"/>
                <w:vanish/>
              </w:rPr>
            </w:pPr>
          </w:p>
        </w:tc>
        <w:tc>
          <w:tcPr>
            <w:tcW w:w="0" w:type="auto"/>
            <w:gridSpan w:val="3"/>
            <w:shd w:val="clear" w:color="auto" w:fill="auto"/>
            <w:vAlign w:val="bottom"/>
          </w:tcPr>
          <w:p w14:paraId="71D3EA62" w14:textId="77777777" w:rsidR="006A3667" w:rsidRDefault="006A3667">
            <w:pPr>
              <w:rPr>
                <w:rFonts w:ascii="宋体"/>
                <w:vanish/>
              </w:rPr>
            </w:pPr>
          </w:p>
        </w:tc>
        <w:tc>
          <w:tcPr>
            <w:tcW w:w="0" w:type="auto"/>
            <w:gridSpan w:val="3"/>
            <w:shd w:val="clear" w:color="auto" w:fill="auto"/>
            <w:vAlign w:val="bottom"/>
          </w:tcPr>
          <w:p w14:paraId="71D3EA63" w14:textId="77777777" w:rsidR="006A3667" w:rsidRDefault="006A3667">
            <w:pPr>
              <w:rPr>
                <w:rFonts w:ascii="宋体"/>
                <w:vanish/>
              </w:rPr>
            </w:pPr>
          </w:p>
        </w:tc>
        <w:tc>
          <w:tcPr>
            <w:tcW w:w="0" w:type="auto"/>
            <w:gridSpan w:val="3"/>
            <w:shd w:val="clear" w:color="auto" w:fill="auto"/>
            <w:vAlign w:val="bottom"/>
          </w:tcPr>
          <w:p w14:paraId="71D3EA64" w14:textId="77777777" w:rsidR="006A3667" w:rsidRDefault="006A3667">
            <w:pPr>
              <w:rPr>
                <w:rFonts w:ascii="宋体"/>
                <w:vanish/>
              </w:rPr>
            </w:pPr>
          </w:p>
        </w:tc>
        <w:tc>
          <w:tcPr>
            <w:tcW w:w="0" w:type="auto"/>
            <w:gridSpan w:val="3"/>
            <w:shd w:val="clear" w:color="auto" w:fill="auto"/>
            <w:vAlign w:val="bottom"/>
          </w:tcPr>
          <w:p w14:paraId="71D3EA65" w14:textId="77777777" w:rsidR="006A3667" w:rsidRDefault="006A3667">
            <w:pPr>
              <w:rPr>
                <w:rFonts w:ascii="宋体"/>
                <w:vanish/>
              </w:rPr>
            </w:pPr>
          </w:p>
        </w:tc>
        <w:tc>
          <w:tcPr>
            <w:tcW w:w="0" w:type="auto"/>
            <w:gridSpan w:val="3"/>
            <w:shd w:val="clear" w:color="auto" w:fill="auto"/>
            <w:vAlign w:val="bottom"/>
          </w:tcPr>
          <w:p w14:paraId="71D3EA66" w14:textId="77777777" w:rsidR="006A3667" w:rsidRDefault="006A3667">
            <w:pPr>
              <w:rPr>
                <w:rFonts w:ascii="宋体"/>
                <w:vanish/>
              </w:rPr>
            </w:pPr>
          </w:p>
        </w:tc>
        <w:tc>
          <w:tcPr>
            <w:tcW w:w="0" w:type="auto"/>
            <w:gridSpan w:val="3"/>
            <w:shd w:val="clear" w:color="auto" w:fill="auto"/>
            <w:vAlign w:val="bottom"/>
          </w:tcPr>
          <w:p w14:paraId="71D3EA67" w14:textId="77777777" w:rsidR="006A3667" w:rsidRDefault="006A3667">
            <w:pPr>
              <w:rPr>
                <w:rFonts w:ascii="宋体"/>
                <w:vanish/>
              </w:rPr>
            </w:pPr>
          </w:p>
        </w:tc>
        <w:tc>
          <w:tcPr>
            <w:tcW w:w="0" w:type="auto"/>
            <w:gridSpan w:val="3"/>
            <w:shd w:val="clear" w:color="auto" w:fill="auto"/>
            <w:vAlign w:val="bottom"/>
          </w:tcPr>
          <w:p w14:paraId="71D3EA68" w14:textId="77777777" w:rsidR="006A3667" w:rsidRDefault="006A3667">
            <w:pPr>
              <w:rPr>
                <w:rFonts w:ascii="宋体"/>
                <w:vanish/>
              </w:rPr>
            </w:pPr>
          </w:p>
        </w:tc>
        <w:tc>
          <w:tcPr>
            <w:tcW w:w="0" w:type="auto"/>
            <w:gridSpan w:val="3"/>
            <w:shd w:val="clear" w:color="auto" w:fill="auto"/>
            <w:vAlign w:val="bottom"/>
          </w:tcPr>
          <w:p w14:paraId="71D3EA69" w14:textId="77777777" w:rsidR="006A3667" w:rsidRDefault="006A3667">
            <w:pPr>
              <w:rPr>
                <w:rFonts w:ascii="宋体"/>
                <w:vanish/>
              </w:rPr>
            </w:pPr>
          </w:p>
        </w:tc>
        <w:tc>
          <w:tcPr>
            <w:tcW w:w="0" w:type="auto"/>
            <w:gridSpan w:val="3"/>
            <w:shd w:val="clear" w:color="auto" w:fill="auto"/>
            <w:vAlign w:val="bottom"/>
          </w:tcPr>
          <w:p w14:paraId="71D3EA6A" w14:textId="77777777" w:rsidR="006A3667" w:rsidRDefault="006A3667">
            <w:pPr>
              <w:rPr>
                <w:rFonts w:ascii="宋体"/>
                <w:vanish/>
              </w:rPr>
            </w:pPr>
          </w:p>
        </w:tc>
        <w:tc>
          <w:tcPr>
            <w:tcW w:w="0" w:type="auto"/>
            <w:shd w:val="clear" w:color="auto" w:fill="auto"/>
            <w:vAlign w:val="bottom"/>
          </w:tcPr>
          <w:p w14:paraId="71D3EA6B" w14:textId="77777777" w:rsidR="006A3667" w:rsidRDefault="006A3667">
            <w:pPr>
              <w:rPr>
                <w:rFonts w:ascii="宋体"/>
                <w:vanish/>
              </w:rPr>
            </w:pPr>
          </w:p>
        </w:tc>
      </w:tr>
      <w:tr w:rsidR="006A3667" w14:paraId="71D3EA7A" w14:textId="77777777">
        <w:trPr>
          <w:hidden/>
        </w:trPr>
        <w:tc>
          <w:tcPr>
            <w:tcW w:w="0" w:type="auto"/>
            <w:gridSpan w:val="3"/>
            <w:shd w:val="clear" w:color="auto" w:fill="auto"/>
            <w:vAlign w:val="bottom"/>
          </w:tcPr>
          <w:p w14:paraId="71D3EA6D" w14:textId="77777777" w:rsidR="006A3667" w:rsidRDefault="006A3667">
            <w:pPr>
              <w:rPr>
                <w:rFonts w:ascii="宋体"/>
                <w:vanish/>
              </w:rPr>
            </w:pPr>
          </w:p>
        </w:tc>
        <w:tc>
          <w:tcPr>
            <w:tcW w:w="0" w:type="auto"/>
            <w:gridSpan w:val="3"/>
            <w:shd w:val="clear" w:color="auto" w:fill="auto"/>
            <w:vAlign w:val="bottom"/>
          </w:tcPr>
          <w:p w14:paraId="71D3EA6E" w14:textId="77777777" w:rsidR="006A3667" w:rsidRDefault="006A3667">
            <w:pPr>
              <w:rPr>
                <w:rFonts w:ascii="宋体"/>
                <w:vanish/>
              </w:rPr>
            </w:pPr>
          </w:p>
        </w:tc>
        <w:tc>
          <w:tcPr>
            <w:tcW w:w="0" w:type="auto"/>
            <w:gridSpan w:val="3"/>
            <w:shd w:val="clear" w:color="auto" w:fill="auto"/>
            <w:vAlign w:val="bottom"/>
          </w:tcPr>
          <w:p w14:paraId="71D3EA6F" w14:textId="77777777" w:rsidR="006A3667" w:rsidRDefault="006A3667">
            <w:pPr>
              <w:rPr>
                <w:rFonts w:ascii="宋体"/>
                <w:vanish/>
              </w:rPr>
            </w:pPr>
          </w:p>
        </w:tc>
        <w:tc>
          <w:tcPr>
            <w:tcW w:w="0" w:type="auto"/>
            <w:gridSpan w:val="3"/>
            <w:shd w:val="clear" w:color="auto" w:fill="auto"/>
            <w:vAlign w:val="bottom"/>
          </w:tcPr>
          <w:p w14:paraId="71D3EA70" w14:textId="77777777" w:rsidR="006A3667" w:rsidRDefault="006A3667">
            <w:pPr>
              <w:rPr>
                <w:rFonts w:ascii="宋体"/>
                <w:vanish/>
              </w:rPr>
            </w:pPr>
          </w:p>
        </w:tc>
        <w:tc>
          <w:tcPr>
            <w:tcW w:w="0" w:type="auto"/>
            <w:gridSpan w:val="3"/>
            <w:shd w:val="clear" w:color="auto" w:fill="auto"/>
            <w:vAlign w:val="bottom"/>
          </w:tcPr>
          <w:p w14:paraId="71D3EA71" w14:textId="77777777" w:rsidR="006A3667" w:rsidRDefault="006A3667">
            <w:pPr>
              <w:rPr>
                <w:rFonts w:ascii="宋体"/>
                <w:vanish/>
              </w:rPr>
            </w:pPr>
          </w:p>
        </w:tc>
        <w:tc>
          <w:tcPr>
            <w:tcW w:w="0" w:type="auto"/>
            <w:gridSpan w:val="3"/>
            <w:shd w:val="clear" w:color="auto" w:fill="auto"/>
            <w:vAlign w:val="bottom"/>
          </w:tcPr>
          <w:p w14:paraId="71D3EA72" w14:textId="77777777" w:rsidR="006A3667" w:rsidRDefault="006A3667">
            <w:pPr>
              <w:rPr>
                <w:rFonts w:ascii="宋体"/>
                <w:vanish/>
              </w:rPr>
            </w:pPr>
          </w:p>
        </w:tc>
        <w:tc>
          <w:tcPr>
            <w:tcW w:w="0" w:type="auto"/>
            <w:gridSpan w:val="3"/>
            <w:shd w:val="clear" w:color="auto" w:fill="auto"/>
            <w:vAlign w:val="bottom"/>
          </w:tcPr>
          <w:p w14:paraId="71D3EA73" w14:textId="77777777" w:rsidR="006A3667" w:rsidRDefault="006A3667">
            <w:pPr>
              <w:rPr>
                <w:rFonts w:ascii="宋体"/>
                <w:vanish/>
              </w:rPr>
            </w:pPr>
          </w:p>
        </w:tc>
        <w:tc>
          <w:tcPr>
            <w:tcW w:w="0" w:type="auto"/>
            <w:gridSpan w:val="3"/>
            <w:shd w:val="clear" w:color="auto" w:fill="auto"/>
            <w:vAlign w:val="bottom"/>
          </w:tcPr>
          <w:p w14:paraId="71D3EA74" w14:textId="77777777" w:rsidR="006A3667" w:rsidRDefault="006A3667">
            <w:pPr>
              <w:rPr>
                <w:rFonts w:ascii="宋体"/>
                <w:vanish/>
              </w:rPr>
            </w:pPr>
          </w:p>
        </w:tc>
        <w:tc>
          <w:tcPr>
            <w:tcW w:w="0" w:type="auto"/>
            <w:gridSpan w:val="3"/>
            <w:shd w:val="clear" w:color="auto" w:fill="auto"/>
            <w:vAlign w:val="bottom"/>
          </w:tcPr>
          <w:p w14:paraId="71D3EA75" w14:textId="77777777" w:rsidR="006A3667" w:rsidRDefault="006A3667">
            <w:pPr>
              <w:rPr>
                <w:rFonts w:ascii="宋体"/>
                <w:vanish/>
              </w:rPr>
            </w:pPr>
          </w:p>
        </w:tc>
        <w:tc>
          <w:tcPr>
            <w:tcW w:w="0" w:type="auto"/>
            <w:gridSpan w:val="3"/>
            <w:shd w:val="clear" w:color="auto" w:fill="auto"/>
            <w:vAlign w:val="bottom"/>
          </w:tcPr>
          <w:p w14:paraId="71D3EA76" w14:textId="77777777" w:rsidR="006A3667" w:rsidRDefault="006A3667">
            <w:pPr>
              <w:rPr>
                <w:rFonts w:ascii="宋体"/>
                <w:vanish/>
              </w:rPr>
            </w:pPr>
          </w:p>
        </w:tc>
        <w:tc>
          <w:tcPr>
            <w:tcW w:w="0" w:type="auto"/>
            <w:gridSpan w:val="3"/>
            <w:shd w:val="clear" w:color="auto" w:fill="auto"/>
            <w:vAlign w:val="bottom"/>
          </w:tcPr>
          <w:p w14:paraId="71D3EA77" w14:textId="77777777" w:rsidR="006A3667" w:rsidRDefault="006A3667">
            <w:pPr>
              <w:rPr>
                <w:rFonts w:ascii="宋体"/>
                <w:vanish/>
              </w:rPr>
            </w:pPr>
          </w:p>
        </w:tc>
        <w:tc>
          <w:tcPr>
            <w:tcW w:w="0" w:type="auto"/>
            <w:gridSpan w:val="3"/>
            <w:shd w:val="clear" w:color="auto" w:fill="auto"/>
            <w:vAlign w:val="bottom"/>
          </w:tcPr>
          <w:p w14:paraId="71D3EA78" w14:textId="77777777" w:rsidR="006A3667" w:rsidRDefault="006A3667">
            <w:pPr>
              <w:rPr>
                <w:rFonts w:ascii="宋体"/>
                <w:vanish/>
              </w:rPr>
            </w:pPr>
          </w:p>
        </w:tc>
        <w:tc>
          <w:tcPr>
            <w:tcW w:w="0" w:type="auto"/>
            <w:shd w:val="clear" w:color="auto" w:fill="auto"/>
            <w:vAlign w:val="bottom"/>
          </w:tcPr>
          <w:p w14:paraId="71D3EA79" w14:textId="77777777" w:rsidR="006A3667" w:rsidRDefault="006A3667">
            <w:pPr>
              <w:rPr>
                <w:rFonts w:ascii="宋体"/>
                <w:vanish/>
              </w:rPr>
            </w:pPr>
          </w:p>
        </w:tc>
      </w:tr>
      <w:tr w:rsidR="006A3667" w14:paraId="71D3EA88" w14:textId="77777777">
        <w:trPr>
          <w:hidden/>
        </w:trPr>
        <w:tc>
          <w:tcPr>
            <w:tcW w:w="0" w:type="auto"/>
            <w:gridSpan w:val="3"/>
            <w:shd w:val="clear" w:color="auto" w:fill="auto"/>
            <w:vAlign w:val="bottom"/>
          </w:tcPr>
          <w:p w14:paraId="71D3EA7B" w14:textId="77777777" w:rsidR="006A3667" w:rsidRDefault="006A3667">
            <w:pPr>
              <w:rPr>
                <w:rFonts w:ascii="宋体"/>
                <w:vanish/>
              </w:rPr>
            </w:pPr>
          </w:p>
        </w:tc>
        <w:tc>
          <w:tcPr>
            <w:tcW w:w="0" w:type="auto"/>
            <w:gridSpan w:val="3"/>
            <w:shd w:val="clear" w:color="auto" w:fill="auto"/>
            <w:vAlign w:val="bottom"/>
          </w:tcPr>
          <w:p w14:paraId="71D3EA7C" w14:textId="77777777" w:rsidR="006A3667" w:rsidRDefault="006A3667">
            <w:pPr>
              <w:rPr>
                <w:rFonts w:ascii="宋体"/>
                <w:vanish/>
              </w:rPr>
            </w:pPr>
          </w:p>
        </w:tc>
        <w:tc>
          <w:tcPr>
            <w:tcW w:w="0" w:type="auto"/>
            <w:gridSpan w:val="3"/>
            <w:shd w:val="clear" w:color="auto" w:fill="auto"/>
            <w:vAlign w:val="bottom"/>
          </w:tcPr>
          <w:p w14:paraId="71D3EA7D" w14:textId="77777777" w:rsidR="006A3667" w:rsidRDefault="006A3667">
            <w:pPr>
              <w:rPr>
                <w:rFonts w:ascii="宋体"/>
                <w:vanish/>
              </w:rPr>
            </w:pPr>
          </w:p>
        </w:tc>
        <w:tc>
          <w:tcPr>
            <w:tcW w:w="0" w:type="auto"/>
            <w:gridSpan w:val="3"/>
            <w:shd w:val="clear" w:color="auto" w:fill="auto"/>
            <w:vAlign w:val="bottom"/>
          </w:tcPr>
          <w:p w14:paraId="71D3EA7E" w14:textId="77777777" w:rsidR="006A3667" w:rsidRDefault="006A3667">
            <w:pPr>
              <w:rPr>
                <w:rFonts w:ascii="宋体"/>
                <w:vanish/>
              </w:rPr>
            </w:pPr>
          </w:p>
        </w:tc>
        <w:tc>
          <w:tcPr>
            <w:tcW w:w="0" w:type="auto"/>
            <w:gridSpan w:val="3"/>
            <w:shd w:val="clear" w:color="auto" w:fill="auto"/>
            <w:vAlign w:val="bottom"/>
          </w:tcPr>
          <w:p w14:paraId="71D3EA7F" w14:textId="77777777" w:rsidR="006A3667" w:rsidRDefault="006A3667">
            <w:pPr>
              <w:rPr>
                <w:rFonts w:ascii="宋体"/>
                <w:vanish/>
              </w:rPr>
            </w:pPr>
          </w:p>
        </w:tc>
        <w:tc>
          <w:tcPr>
            <w:tcW w:w="0" w:type="auto"/>
            <w:gridSpan w:val="3"/>
            <w:shd w:val="clear" w:color="auto" w:fill="auto"/>
            <w:vAlign w:val="bottom"/>
          </w:tcPr>
          <w:p w14:paraId="71D3EA80" w14:textId="77777777" w:rsidR="006A3667" w:rsidRDefault="006A3667">
            <w:pPr>
              <w:rPr>
                <w:rFonts w:ascii="宋体"/>
                <w:vanish/>
              </w:rPr>
            </w:pPr>
          </w:p>
        </w:tc>
        <w:tc>
          <w:tcPr>
            <w:tcW w:w="0" w:type="auto"/>
            <w:gridSpan w:val="3"/>
            <w:shd w:val="clear" w:color="auto" w:fill="auto"/>
            <w:vAlign w:val="bottom"/>
          </w:tcPr>
          <w:p w14:paraId="71D3EA81" w14:textId="77777777" w:rsidR="006A3667" w:rsidRDefault="006A3667">
            <w:pPr>
              <w:rPr>
                <w:rFonts w:ascii="宋体"/>
                <w:vanish/>
              </w:rPr>
            </w:pPr>
          </w:p>
        </w:tc>
        <w:tc>
          <w:tcPr>
            <w:tcW w:w="0" w:type="auto"/>
            <w:gridSpan w:val="3"/>
            <w:shd w:val="clear" w:color="auto" w:fill="auto"/>
            <w:vAlign w:val="bottom"/>
          </w:tcPr>
          <w:p w14:paraId="71D3EA82" w14:textId="77777777" w:rsidR="006A3667" w:rsidRDefault="006A3667">
            <w:pPr>
              <w:rPr>
                <w:rFonts w:ascii="宋体"/>
                <w:vanish/>
              </w:rPr>
            </w:pPr>
          </w:p>
        </w:tc>
        <w:tc>
          <w:tcPr>
            <w:tcW w:w="0" w:type="auto"/>
            <w:gridSpan w:val="3"/>
            <w:shd w:val="clear" w:color="auto" w:fill="auto"/>
            <w:vAlign w:val="bottom"/>
          </w:tcPr>
          <w:p w14:paraId="71D3EA83" w14:textId="77777777" w:rsidR="006A3667" w:rsidRDefault="006A3667">
            <w:pPr>
              <w:rPr>
                <w:rFonts w:ascii="宋体"/>
                <w:vanish/>
              </w:rPr>
            </w:pPr>
          </w:p>
        </w:tc>
        <w:tc>
          <w:tcPr>
            <w:tcW w:w="0" w:type="auto"/>
            <w:gridSpan w:val="3"/>
            <w:shd w:val="clear" w:color="auto" w:fill="auto"/>
            <w:vAlign w:val="bottom"/>
          </w:tcPr>
          <w:p w14:paraId="71D3EA84" w14:textId="77777777" w:rsidR="006A3667" w:rsidRDefault="006A3667">
            <w:pPr>
              <w:rPr>
                <w:rFonts w:ascii="宋体"/>
                <w:vanish/>
              </w:rPr>
            </w:pPr>
          </w:p>
        </w:tc>
        <w:tc>
          <w:tcPr>
            <w:tcW w:w="0" w:type="auto"/>
            <w:gridSpan w:val="3"/>
            <w:shd w:val="clear" w:color="auto" w:fill="auto"/>
            <w:vAlign w:val="bottom"/>
          </w:tcPr>
          <w:p w14:paraId="71D3EA85" w14:textId="77777777" w:rsidR="006A3667" w:rsidRDefault="006A3667">
            <w:pPr>
              <w:rPr>
                <w:rFonts w:ascii="宋体"/>
                <w:vanish/>
              </w:rPr>
            </w:pPr>
          </w:p>
        </w:tc>
        <w:tc>
          <w:tcPr>
            <w:tcW w:w="0" w:type="auto"/>
            <w:gridSpan w:val="3"/>
            <w:shd w:val="clear" w:color="auto" w:fill="auto"/>
            <w:vAlign w:val="bottom"/>
          </w:tcPr>
          <w:p w14:paraId="71D3EA86" w14:textId="77777777" w:rsidR="006A3667" w:rsidRDefault="006A3667">
            <w:pPr>
              <w:rPr>
                <w:rFonts w:ascii="宋体"/>
                <w:vanish/>
              </w:rPr>
            </w:pPr>
          </w:p>
        </w:tc>
        <w:tc>
          <w:tcPr>
            <w:tcW w:w="0" w:type="auto"/>
            <w:shd w:val="clear" w:color="auto" w:fill="auto"/>
            <w:vAlign w:val="bottom"/>
          </w:tcPr>
          <w:p w14:paraId="71D3EA87" w14:textId="77777777" w:rsidR="006A3667" w:rsidRDefault="006A3667">
            <w:pPr>
              <w:rPr>
                <w:rFonts w:ascii="宋体"/>
                <w:vanish/>
              </w:rPr>
            </w:pPr>
          </w:p>
        </w:tc>
      </w:tr>
      <w:tr w:rsidR="006A3667" w14:paraId="71D3EA96" w14:textId="77777777">
        <w:trPr>
          <w:hidden/>
        </w:trPr>
        <w:tc>
          <w:tcPr>
            <w:tcW w:w="0" w:type="auto"/>
            <w:gridSpan w:val="3"/>
            <w:shd w:val="clear" w:color="auto" w:fill="auto"/>
            <w:vAlign w:val="bottom"/>
          </w:tcPr>
          <w:p w14:paraId="71D3EA89" w14:textId="77777777" w:rsidR="006A3667" w:rsidRDefault="006A3667">
            <w:pPr>
              <w:rPr>
                <w:rFonts w:ascii="宋体"/>
                <w:vanish/>
              </w:rPr>
            </w:pPr>
          </w:p>
        </w:tc>
        <w:tc>
          <w:tcPr>
            <w:tcW w:w="0" w:type="auto"/>
            <w:gridSpan w:val="3"/>
            <w:shd w:val="clear" w:color="auto" w:fill="auto"/>
            <w:vAlign w:val="bottom"/>
          </w:tcPr>
          <w:p w14:paraId="71D3EA8A" w14:textId="77777777" w:rsidR="006A3667" w:rsidRDefault="006A3667">
            <w:pPr>
              <w:rPr>
                <w:rFonts w:ascii="宋体"/>
                <w:vanish/>
              </w:rPr>
            </w:pPr>
          </w:p>
        </w:tc>
        <w:tc>
          <w:tcPr>
            <w:tcW w:w="0" w:type="auto"/>
            <w:gridSpan w:val="3"/>
            <w:shd w:val="clear" w:color="auto" w:fill="auto"/>
            <w:vAlign w:val="bottom"/>
          </w:tcPr>
          <w:p w14:paraId="71D3EA8B" w14:textId="77777777" w:rsidR="006A3667" w:rsidRDefault="006A3667">
            <w:pPr>
              <w:rPr>
                <w:rFonts w:ascii="宋体"/>
                <w:vanish/>
              </w:rPr>
            </w:pPr>
          </w:p>
        </w:tc>
        <w:tc>
          <w:tcPr>
            <w:tcW w:w="0" w:type="auto"/>
            <w:gridSpan w:val="3"/>
            <w:shd w:val="clear" w:color="auto" w:fill="auto"/>
            <w:vAlign w:val="bottom"/>
          </w:tcPr>
          <w:p w14:paraId="71D3EA8C" w14:textId="77777777" w:rsidR="006A3667" w:rsidRDefault="006A3667">
            <w:pPr>
              <w:rPr>
                <w:rFonts w:ascii="宋体"/>
                <w:vanish/>
              </w:rPr>
            </w:pPr>
          </w:p>
        </w:tc>
        <w:tc>
          <w:tcPr>
            <w:tcW w:w="0" w:type="auto"/>
            <w:gridSpan w:val="3"/>
            <w:shd w:val="clear" w:color="auto" w:fill="auto"/>
            <w:vAlign w:val="bottom"/>
          </w:tcPr>
          <w:p w14:paraId="71D3EA8D" w14:textId="77777777" w:rsidR="006A3667" w:rsidRDefault="006A3667">
            <w:pPr>
              <w:rPr>
                <w:rFonts w:ascii="宋体"/>
                <w:vanish/>
              </w:rPr>
            </w:pPr>
          </w:p>
        </w:tc>
        <w:tc>
          <w:tcPr>
            <w:tcW w:w="0" w:type="auto"/>
            <w:gridSpan w:val="3"/>
            <w:shd w:val="clear" w:color="auto" w:fill="auto"/>
            <w:vAlign w:val="bottom"/>
          </w:tcPr>
          <w:p w14:paraId="71D3EA8E" w14:textId="77777777" w:rsidR="006A3667" w:rsidRDefault="006A3667">
            <w:pPr>
              <w:rPr>
                <w:rFonts w:ascii="宋体"/>
                <w:vanish/>
              </w:rPr>
            </w:pPr>
          </w:p>
        </w:tc>
        <w:tc>
          <w:tcPr>
            <w:tcW w:w="0" w:type="auto"/>
            <w:gridSpan w:val="3"/>
            <w:shd w:val="clear" w:color="auto" w:fill="auto"/>
            <w:vAlign w:val="bottom"/>
          </w:tcPr>
          <w:p w14:paraId="71D3EA8F" w14:textId="77777777" w:rsidR="006A3667" w:rsidRDefault="006A3667">
            <w:pPr>
              <w:rPr>
                <w:rFonts w:ascii="宋体"/>
                <w:vanish/>
              </w:rPr>
            </w:pPr>
          </w:p>
        </w:tc>
        <w:tc>
          <w:tcPr>
            <w:tcW w:w="0" w:type="auto"/>
            <w:gridSpan w:val="3"/>
            <w:shd w:val="clear" w:color="auto" w:fill="auto"/>
            <w:vAlign w:val="bottom"/>
          </w:tcPr>
          <w:p w14:paraId="71D3EA90" w14:textId="77777777" w:rsidR="006A3667" w:rsidRDefault="006A3667">
            <w:pPr>
              <w:rPr>
                <w:rFonts w:ascii="宋体"/>
                <w:vanish/>
              </w:rPr>
            </w:pPr>
          </w:p>
        </w:tc>
        <w:tc>
          <w:tcPr>
            <w:tcW w:w="0" w:type="auto"/>
            <w:gridSpan w:val="3"/>
            <w:shd w:val="clear" w:color="auto" w:fill="auto"/>
            <w:vAlign w:val="bottom"/>
          </w:tcPr>
          <w:p w14:paraId="71D3EA91" w14:textId="77777777" w:rsidR="006A3667" w:rsidRDefault="006A3667">
            <w:pPr>
              <w:rPr>
                <w:rFonts w:ascii="宋体"/>
                <w:vanish/>
              </w:rPr>
            </w:pPr>
          </w:p>
        </w:tc>
        <w:tc>
          <w:tcPr>
            <w:tcW w:w="0" w:type="auto"/>
            <w:gridSpan w:val="3"/>
            <w:shd w:val="clear" w:color="auto" w:fill="auto"/>
            <w:vAlign w:val="bottom"/>
          </w:tcPr>
          <w:p w14:paraId="71D3EA92" w14:textId="77777777" w:rsidR="006A3667" w:rsidRDefault="006A3667">
            <w:pPr>
              <w:rPr>
                <w:rFonts w:ascii="宋体"/>
                <w:vanish/>
              </w:rPr>
            </w:pPr>
          </w:p>
        </w:tc>
        <w:tc>
          <w:tcPr>
            <w:tcW w:w="0" w:type="auto"/>
            <w:gridSpan w:val="3"/>
            <w:shd w:val="clear" w:color="auto" w:fill="auto"/>
            <w:vAlign w:val="bottom"/>
          </w:tcPr>
          <w:p w14:paraId="71D3EA93" w14:textId="77777777" w:rsidR="006A3667" w:rsidRDefault="006A3667">
            <w:pPr>
              <w:rPr>
                <w:rFonts w:ascii="宋体"/>
                <w:vanish/>
              </w:rPr>
            </w:pPr>
          </w:p>
        </w:tc>
        <w:tc>
          <w:tcPr>
            <w:tcW w:w="0" w:type="auto"/>
            <w:gridSpan w:val="3"/>
            <w:shd w:val="clear" w:color="auto" w:fill="auto"/>
            <w:vAlign w:val="bottom"/>
          </w:tcPr>
          <w:p w14:paraId="71D3EA94" w14:textId="77777777" w:rsidR="006A3667" w:rsidRDefault="006A3667">
            <w:pPr>
              <w:rPr>
                <w:rFonts w:ascii="宋体"/>
                <w:vanish/>
              </w:rPr>
            </w:pPr>
          </w:p>
        </w:tc>
        <w:tc>
          <w:tcPr>
            <w:tcW w:w="0" w:type="auto"/>
            <w:shd w:val="clear" w:color="auto" w:fill="auto"/>
            <w:vAlign w:val="bottom"/>
          </w:tcPr>
          <w:p w14:paraId="71D3EA95" w14:textId="77777777" w:rsidR="006A3667" w:rsidRDefault="006A3667">
            <w:pPr>
              <w:rPr>
                <w:rFonts w:ascii="宋体"/>
                <w:vanish/>
              </w:rPr>
            </w:pPr>
          </w:p>
        </w:tc>
      </w:tr>
      <w:tr w:rsidR="006A3667" w14:paraId="71D3EAA4" w14:textId="77777777">
        <w:trPr>
          <w:hidden/>
        </w:trPr>
        <w:tc>
          <w:tcPr>
            <w:tcW w:w="0" w:type="auto"/>
            <w:gridSpan w:val="3"/>
            <w:shd w:val="clear" w:color="auto" w:fill="auto"/>
            <w:vAlign w:val="bottom"/>
          </w:tcPr>
          <w:p w14:paraId="71D3EA97" w14:textId="77777777" w:rsidR="006A3667" w:rsidRDefault="006A3667">
            <w:pPr>
              <w:rPr>
                <w:rFonts w:ascii="宋体"/>
                <w:vanish/>
              </w:rPr>
            </w:pPr>
          </w:p>
        </w:tc>
        <w:tc>
          <w:tcPr>
            <w:tcW w:w="0" w:type="auto"/>
            <w:gridSpan w:val="3"/>
            <w:shd w:val="clear" w:color="auto" w:fill="auto"/>
            <w:vAlign w:val="bottom"/>
          </w:tcPr>
          <w:p w14:paraId="71D3EA98" w14:textId="77777777" w:rsidR="006A3667" w:rsidRDefault="006A3667">
            <w:pPr>
              <w:rPr>
                <w:rFonts w:ascii="宋体"/>
                <w:vanish/>
              </w:rPr>
            </w:pPr>
          </w:p>
        </w:tc>
        <w:tc>
          <w:tcPr>
            <w:tcW w:w="0" w:type="auto"/>
            <w:gridSpan w:val="3"/>
            <w:shd w:val="clear" w:color="auto" w:fill="auto"/>
            <w:vAlign w:val="bottom"/>
          </w:tcPr>
          <w:p w14:paraId="71D3EA99" w14:textId="77777777" w:rsidR="006A3667" w:rsidRDefault="006A3667">
            <w:pPr>
              <w:rPr>
                <w:rFonts w:ascii="宋体"/>
                <w:vanish/>
              </w:rPr>
            </w:pPr>
          </w:p>
        </w:tc>
        <w:tc>
          <w:tcPr>
            <w:tcW w:w="0" w:type="auto"/>
            <w:gridSpan w:val="3"/>
            <w:shd w:val="clear" w:color="auto" w:fill="auto"/>
            <w:vAlign w:val="bottom"/>
          </w:tcPr>
          <w:p w14:paraId="71D3EA9A" w14:textId="77777777" w:rsidR="006A3667" w:rsidRDefault="006A3667">
            <w:pPr>
              <w:rPr>
                <w:rFonts w:ascii="宋体"/>
                <w:vanish/>
              </w:rPr>
            </w:pPr>
          </w:p>
        </w:tc>
        <w:tc>
          <w:tcPr>
            <w:tcW w:w="0" w:type="auto"/>
            <w:gridSpan w:val="3"/>
            <w:shd w:val="clear" w:color="auto" w:fill="auto"/>
            <w:vAlign w:val="bottom"/>
          </w:tcPr>
          <w:p w14:paraId="71D3EA9B" w14:textId="77777777" w:rsidR="006A3667" w:rsidRDefault="006A3667">
            <w:pPr>
              <w:rPr>
                <w:rFonts w:ascii="宋体"/>
                <w:vanish/>
              </w:rPr>
            </w:pPr>
          </w:p>
        </w:tc>
        <w:tc>
          <w:tcPr>
            <w:tcW w:w="0" w:type="auto"/>
            <w:gridSpan w:val="3"/>
            <w:shd w:val="clear" w:color="auto" w:fill="auto"/>
            <w:vAlign w:val="bottom"/>
          </w:tcPr>
          <w:p w14:paraId="71D3EA9C" w14:textId="77777777" w:rsidR="006A3667" w:rsidRDefault="006A3667">
            <w:pPr>
              <w:rPr>
                <w:rFonts w:ascii="宋体"/>
                <w:vanish/>
              </w:rPr>
            </w:pPr>
          </w:p>
        </w:tc>
        <w:tc>
          <w:tcPr>
            <w:tcW w:w="0" w:type="auto"/>
            <w:gridSpan w:val="3"/>
            <w:shd w:val="clear" w:color="auto" w:fill="auto"/>
            <w:vAlign w:val="bottom"/>
          </w:tcPr>
          <w:p w14:paraId="71D3EA9D" w14:textId="77777777" w:rsidR="006A3667" w:rsidRDefault="006A3667">
            <w:pPr>
              <w:rPr>
                <w:rFonts w:ascii="宋体"/>
                <w:vanish/>
              </w:rPr>
            </w:pPr>
          </w:p>
        </w:tc>
        <w:tc>
          <w:tcPr>
            <w:tcW w:w="0" w:type="auto"/>
            <w:gridSpan w:val="3"/>
            <w:shd w:val="clear" w:color="auto" w:fill="auto"/>
            <w:vAlign w:val="bottom"/>
          </w:tcPr>
          <w:p w14:paraId="71D3EA9E" w14:textId="77777777" w:rsidR="006A3667" w:rsidRDefault="006A3667">
            <w:pPr>
              <w:rPr>
                <w:rFonts w:ascii="宋体"/>
                <w:vanish/>
              </w:rPr>
            </w:pPr>
          </w:p>
        </w:tc>
        <w:tc>
          <w:tcPr>
            <w:tcW w:w="0" w:type="auto"/>
            <w:gridSpan w:val="3"/>
            <w:shd w:val="clear" w:color="auto" w:fill="auto"/>
            <w:vAlign w:val="bottom"/>
          </w:tcPr>
          <w:p w14:paraId="71D3EA9F" w14:textId="77777777" w:rsidR="006A3667" w:rsidRDefault="006A3667">
            <w:pPr>
              <w:rPr>
                <w:rFonts w:ascii="宋体"/>
                <w:vanish/>
              </w:rPr>
            </w:pPr>
          </w:p>
        </w:tc>
        <w:tc>
          <w:tcPr>
            <w:tcW w:w="0" w:type="auto"/>
            <w:gridSpan w:val="3"/>
            <w:shd w:val="clear" w:color="auto" w:fill="auto"/>
            <w:vAlign w:val="bottom"/>
          </w:tcPr>
          <w:p w14:paraId="71D3EAA0" w14:textId="77777777" w:rsidR="006A3667" w:rsidRDefault="006A3667">
            <w:pPr>
              <w:rPr>
                <w:rFonts w:ascii="宋体"/>
                <w:vanish/>
              </w:rPr>
            </w:pPr>
          </w:p>
        </w:tc>
        <w:tc>
          <w:tcPr>
            <w:tcW w:w="0" w:type="auto"/>
            <w:gridSpan w:val="3"/>
            <w:shd w:val="clear" w:color="auto" w:fill="auto"/>
            <w:vAlign w:val="bottom"/>
          </w:tcPr>
          <w:p w14:paraId="71D3EAA1" w14:textId="77777777" w:rsidR="006A3667" w:rsidRDefault="006A3667">
            <w:pPr>
              <w:rPr>
                <w:rFonts w:ascii="宋体"/>
                <w:vanish/>
              </w:rPr>
            </w:pPr>
          </w:p>
        </w:tc>
        <w:tc>
          <w:tcPr>
            <w:tcW w:w="0" w:type="auto"/>
            <w:gridSpan w:val="3"/>
            <w:shd w:val="clear" w:color="auto" w:fill="auto"/>
            <w:vAlign w:val="bottom"/>
          </w:tcPr>
          <w:p w14:paraId="71D3EAA2" w14:textId="77777777" w:rsidR="006A3667" w:rsidRDefault="006A3667">
            <w:pPr>
              <w:rPr>
                <w:rFonts w:ascii="宋体"/>
                <w:vanish/>
              </w:rPr>
            </w:pPr>
          </w:p>
        </w:tc>
        <w:tc>
          <w:tcPr>
            <w:tcW w:w="0" w:type="auto"/>
            <w:shd w:val="clear" w:color="auto" w:fill="auto"/>
            <w:vAlign w:val="bottom"/>
          </w:tcPr>
          <w:p w14:paraId="71D3EAA3" w14:textId="77777777" w:rsidR="006A3667" w:rsidRDefault="006A3667">
            <w:pPr>
              <w:rPr>
                <w:rFonts w:ascii="宋体"/>
                <w:vanish/>
              </w:rPr>
            </w:pPr>
          </w:p>
        </w:tc>
      </w:tr>
      <w:tr w:rsidR="006A3667" w14:paraId="71D3EAB2" w14:textId="77777777">
        <w:trPr>
          <w:hidden/>
        </w:trPr>
        <w:tc>
          <w:tcPr>
            <w:tcW w:w="0" w:type="auto"/>
            <w:gridSpan w:val="3"/>
            <w:shd w:val="clear" w:color="auto" w:fill="auto"/>
            <w:vAlign w:val="bottom"/>
          </w:tcPr>
          <w:p w14:paraId="71D3EAA5" w14:textId="77777777" w:rsidR="006A3667" w:rsidRDefault="006A3667">
            <w:pPr>
              <w:rPr>
                <w:rFonts w:ascii="宋体"/>
                <w:vanish/>
              </w:rPr>
            </w:pPr>
          </w:p>
        </w:tc>
        <w:tc>
          <w:tcPr>
            <w:tcW w:w="0" w:type="auto"/>
            <w:gridSpan w:val="3"/>
            <w:shd w:val="clear" w:color="auto" w:fill="auto"/>
            <w:vAlign w:val="bottom"/>
          </w:tcPr>
          <w:p w14:paraId="71D3EAA6" w14:textId="77777777" w:rsidR="006A3667" w:rsidRDefault="006A3667">
            <w:pPr>
              <w:rPr>
                <w:rFonts w:ascii="宋体"/>
                <w:vanish/>
              </w:rPr>
            </w:pPr>
          </w:p>
        </w:tc>
        <w:tc>
          <w:tcPr>
            <w:tcW w:w="0" w:type="auto"/>
            <w:gridSpan w:val="3"/>
            <w:shd w:val="clear" w:color="auto" w:fill="auto"/>
            <w:vAlign w:val="bottom"/>
          </w:tcPr>
          <w:p w14:paraId="71D3EAA7" w14:textId="77777777" w:rsidR="006A3667" w:rsidRDefault="006A3667">
            <w:pPr>
              <w:rPr>
                <w:rFonts w:ascii="宋体"/>
                <w:vanish/>
              </w:rPr>
            </w:pPr>
          </w:p>
        </w:tc>
        <w:tc>
          <w:tcPr>
            <w:tcW w:w="0" w:type="auto"/>
            <w:gridSpan w:val="3"/>
            <w:shd w:val="clear" w:color="auto" w:fill="auto"/>
            <w:vAlign w:val="bottom"/>
          </w:tcPr>
          <w:p w14:paraId="71D3EAA8" w14:textId="77777777" w:rsidR="006A3667" w:rsidRDefault="006A3667">
            <w:pPr>
              <w:rPr>
                <w:rFonts w:ascii="宋体"/>
                <w:vanish/>
              </w:rPr>
            </w:pPr>
          </w:p>
        </w:tc>
        <w:tc>
          <w:tcPr>
            <w:tcW w:w="0" w:type="auto"/>
            <w:gridSpan w:val="3"/>
            <w:shd w:val="clear" w:color="auto" w:fill="auto"/>
            <w:vAlign w:val="bottom"/>
          </w:tcPr>
          <w:p w14:paraId="71D3EAA9" w14:textId="77777777" w:rsidR="006A3667" w:rsidRDefault="006A3667">
            <w:pPr>
              <w:rPr>
                <w:rFonts w:ascii="宋体"/>
                <w:vanish/>
              </w:rPr>
            </w:pPr>
          </w:p>
        </w:tc>
        <w:tc>
          <w:tcPr>
            <w:tcW w:w="0" w:type="auto"/>
            <w:gridSpan w:val="3"/>
            <w:shd w:val="clear" w:color="auto" w:fill="auto"/>
            <w:vAlign w:val="bottom"/>
          </w:tcPr>
          <w:p w14:paraId="71D3EAAA" w14:textId="77777777" w:rsidR="006A3667" w:rsidRDefault="006A3667">
            <w:pPr>
              <w:rPr>
                <w:rFonts w:ascii="宋体"/>
                <w:vanish/>
              </w:rPr>
            </w:pPr>
          </w:p>
        </w:tc>
        <w:tc>
          <w:tcPr>
            <w:tcW w:w="0" w:type="auto"/>
            <w:gridSpan w:val="3"/>
            <w:shd w:val="clear" w:color="auto" w:fill="auto"/>
            <w:vAlign w:val="bottom"/>
          </w:tcPr>
          <w:p w14:paraId="71D3EAAB" w14:textId="77777777" w:rsidR="006A3667" w:rsidRDefault="006A3667">
            <w:pPr>
              <w:rPr>
                <w:rFonts w:ascii="宋体"/>
                <w:vanish/>
              </w:rPr>
            </w:pPr>
          </w:p>
        </w:tc>
        <w:tc>
          <w:tcPr>
            <w:tcW w:w="0" w:type="auto"/>
            <w:gridSpan w:val="3"/>
            <w:shd w:val="clear" w:color="auto" w:fill="auto"/>
            <w:vAlign w:val="bottom"/>
          </w:tcPr>
          <w:p w14:paraId="71D3EAAC" w14:textId="77777777" w:rsidR="006A3667" w:rsidRDefault="006A3667">
            <w:pPr>
              <w:rPr>
                <w:rFonts w:ascii="宋体"/>
                <w:vanish/>
              </w:rPr>
            </w:pPr>
          </w:p>
        </w:tc>
        <w:tc>
          <w:tcPr>
            <w:tcW w:w="0" w:type="auto"/>
            <w:gridSpan w:val="3"/>
            <w:shd w:val="clear" w:color="auto" w:fill="auto"/>
            <w:vAlign w:val="bottom"/>
          </w:tcPr>
          <w:p w14:paraId="71D3EAAD" w14:textId="77777777" w:rsidR="006A3667" w:rsidRDefault="006A3667">
            <w:pPr>
              <w:rPr>
                <w:rFonts w:ascii="宋体"/>
                <w:vanish/>
              </w:rPr>
            </w:pPr>
          </w:p>
        </w:tc>
        <w:tc>
          <w:tcPr>
            <w:tcW w:w="0" w:type="auto"/>
            <w:gridSpan w:val="3"/>
            <w:shd w:val="clear" w:color="auto" w:fill="auto"/>
            <w:vAlign w:val="bottom"/>
          </w:tcPr>
          <w:p w14:paraId="71D3EAAE" w14:textId="77777777" w:rsidR="006A3667" w:rsidRDefault="006A3667">
            <w:pPr>
              <w:rPr>
                <w:rFonts w:ascii="宋体"/>
                <w:vanish/>
              </w:rPr>
            </w:pPr>
          </w:p>
        </w:tc>
        <w:tc>
          <w:tcPr>
            <w:tcW w:w="0" w:type="auto"/>
            <w:gridSpan w:val="3"/>
            <w:shd w:val="clear" w:color="auto" w:fill="auto"/>
            <w:vAlign w:val="bottom"/>
          </w:tcPr>
          <w:p w14:paraId="71D3EAAF" w14:textId="77777777" w:rsidR="006A3667" w:rsidRDefault="006A3667">
            <w:pPr>
              <w:rPr>
                <w:rFonts w:ascii="宋体"/>
                <w:vanish/>
              </w:rPr>
            </w:pPr>
          </w:p>
        </w:tc>
        <w:tc>
          <w:tcPr>
            <w:tcW w:w="0" w:type="auto"/>
            <w:gridSpan w:val="3"/>
            <w:shd w:val="clear" w:color="auto" w:fill="auto"/>
            <w:vAlign w:val="bottom"/>
          </w:tcPr>
          <w:p w14:paraId="71D3EAB0" w14:textId="77777777" w:rsidR="006A3667" w:rsidRDefault="006A3667">
            <w:pPr>
              <w:rPr>
                <w:rFonts w:ascii="宋体"/>
                <w:vanish/>
              </w:rPr>
            </w:pPr>
          </w:p>
        </w:tc>
        <w:tc>
          <w:tcPr>
            <w:tcW w:w="0" w:type="auto"/>
            <w:shd w:val="clear" w:color="auto" w:fill="auto"/>
            <w:vAlign w:val="bottom"/>
          </w:tcPr>
          <w:p w14:paraId="71D3EAB1" w14:textId="77777777" w:rsidR="006A3667" w:rsidRDefault="006A3667">
            <w:pPr>
              <w:rPr>
                <w:rFonts w:ascii="宋体"/>
                <w:vanish/>
              </w:rPr>
            </w:pPr>
          </w:p>
        </w:tc>
      </w:tr>
      <w:tr w:rsidR="006A3667" w14:paraId="71D3EAC0" w14:textId="77777777">
        <w:trPr>
          <w:hidden/>
        </w:trPr>
        <w:tc>
          <w:tcPr>
            <w:tcW w:w="0" w:type="auto"/>
            <w:gridSpan w:val="3"/>
            <w:shd w:val="clear" w:color="auto" w:fill="auto"/>
            <w:vAlign w:val="bottom"/>
          </w:tcPr>
          <w:p w14:paraId="71D3EAB3" w14:textId="77777777" w:rsidR="006A3667" w:rsidRDefault="006A3667">
            <w:pPr>
              <w:rPr>
                <w:rFonts w:ascii="宋体"/>
                <w:vanish/>
              </w:rPr>
            </w:pPr>
          </w:p>
        </w:tc>
        <w:tc>
          <w:tcPr>
            <w:tcW w:w="0" w:type="auto"/>
            <w:gridSpan w:val="3"/>
            <w:shd w:val="clear" w:color="auto" w:fill="auto"/>
            <w:vAlign w:val="bottom"/>
          </w:tcPr>
          <w:p w14:paraId="71D3EAB4" w14:textId="77777777" w:rsidR="006A3667" w:rsidRDefault="006A3667">
            <w:pPr>
              <w:rPr>
                <w:rFonts w:ascii="宋体"/>
                <w:vanish/>
              </w:rPr>
            </w:pPr>
          </w:p>
        </w:tc>
        <w:tc>
          <w:tcPr>
            <w:tcW w:w="0" w:type="auto"/>
            <w:gridSpan w:val="3"/>
            <w:shd w:val="clear" w:color="auto" w:fill="auto"/>
            <w:vAlign w:val="bottom"/>
          </w:tcPr>
          <w:p w14:paraId="71D3EAB5" w14:textId="77777777" w:rsidR="006A3667" w:rsidRDefault="006A3667">
            <w:pPr>
              <w:rPr>
                <w:rFonts w:ascii="宋体"/>
                <w:vanish/>
              </w:rPr>
            </w:pPr>
          </w:p>
        </w:tc>
        <w:tc>
          <w:tcPr>
            <w:tcW w:w="0" w:type="auto"/>
            <w:gridSpan w:val="3"/>
            <w:shd w:val="clear" w:color="auto" w:fill="auto"/>
            <w:vAlign w:val="bottom"/>
          </w:tcPr>
          <w:p w14:paraId="71D3EAB6" w14:textId="77777777" w:rsidR="006A3667" w:rsidRDefault="006A3667">
            <w:pPr>
              <w:rPr>
                <w:rFonts w:ascii="宋体"/>
                <w:vanish/>
              </w:rPr>
            </w:pPr>
          </w:p>
        </w:tc>
        <w:tc>
          <w:tcPr>
            <w:tcW w:w="0" w:type="auto"/>
            <w:gridSpan w:val="3"/>
            <w:shd w:val="clear" w:color="auto" w:fill="auto"/>
            <w:vAlign w:val="bottom"/>
          </w:tcPr>
          <w:p w14:paraId="71D3EAB7" w14:textId="77777777" w:rsidR="006A3667" w:rsidRDefault="006A3667">
            <w:pPr>
              <w:rPr>
                <w:rFonts w:ascii="宋体"/>
                <w:vanish/>
              </w:rPr>
            </w:pPr>
          </w:p>
        </w:tc>
        <w:tc>
          <w:tcPr>
            <w:tcW w:w="0" w:type="auto"/>
            <w:gridSpan w:val="3"/>
            <w:shd w:val="clear" w:color="auto" w:fill="auto"/>
            <w:vAlign w:val="bottom"/>
          </w:tcPr>
          <w:p w14:paraId="71D3EAB8" w14:textId="77777777" w:rsidR="006A3667" w:rsidRDefault="006A3667">
            <w:pPr>
              <w:rPr>
                <w:rFonts w:ascii="宋体"/>
                <w:vanish/>
              </w:rPr>
            </w:pPr>
          </w:p>
        </w:tc>
        <w:tc>
          <w:tcPr>
            <w:tcW w:w="0" w:type="auto"/>
            <w:gridSpan w:val="3"/>
            <w:shd w:val="clear" w:color="auto" w:fill="auto"/>
            <w:vAlign w:val="bottom"/>
          </w:tcPr>
          <w:p w14:paraId="71D3EAB9" w14:textId="77777777" w:rsidR="006A3667" w:rsidRDefault="006A3667">
            <w:pPr>
              <w:rPr>
                <w:rFonts w:ascii="宋体"/>
                <w:vanish/>
              </w:rPr>
            </w:pPr>
          </w:p>
        </w:tc>
        <w:tc>
          <w:tcPr>
            <w:tcW w:w="0" w:type="auto"/>
            <w:gridSpan w:val="3"/>
            <w:shd w:val="clear" w:color="auto" w:fill="auto"/>
            <w:vAlign w:val="bottom"/>
          </w:tcPr>
          <w:p w14:paraId="71D3EABA" w14:textId="77777777" w:rsidR="006A3667" w:rsidRDefault="006A3667">
            <w:pPr>
              <w:rPr>
                <w:rFonts w:ascii="宋体"/>
                <w:vanish/>
              </w:rPr>
            </w:pPr>
          </w:p>
        </w:tc>
        <w:tc>
          <w:tcPr>
            <w:tcW w:w="0" w:type="auto"/>
            <w:gridSpan w:val="3"/>
            <w:shd w:val="clear" w:color="auto" w:fill="auto"/>
            <w:vAlign w:val="bottom"/>
          </w:tcPr>
          <w:p w14:paraId="71D3EABB" w14:textId="77777777" w:rsidR="006A3667" w:rsidRDefault="006A3667">
            <w:pPr>
              <w:rPr>
                <w:rFonts w:ascii="宋体"/>
                <w:vanish/>
              </w:rPr>
            </w:pPr>
          </w:p>
        </w:tc>
        <w:tc>
          <w:tcPr>
            <w:tcW w:w="0" w:type="auto"/>
            <w:gridSpan w:val="3"/>
            <w:shd w:val="clear" w:color="auto" w:fill="auto"/>
            <w:vAlign w:val="bottom"/>
          </w:tcPr>
          <w:p w14:paraId="71D3EABC" w14:textId="77777777" w:rsidR="006A3667" w:rsidRDefault="006A3667">
            <w:pPr>
              <w:rPr>
                <w:rFonts w:ascii="宋体"/>
                <w:vanish/>
              </w:rPr>
            </w:pPr>
          </w:p>
        </w:tc>
        <w:tc>
          <w:tcPr>
            <w:tcW w:w="0" w:type="auto"/>
            <w:gridSpan w:val="3"/>
            <w:shd w:val="clear" w:color="auto" w:fill="auto"/>
            <w:vAlign w:val="bottom"/>
          </w:tcPr>
          <w:p w14:paraId="71D3EABD" w14:textId="77777777" w:rsidR="006A3667" w:rsidRDefault="006A3667">
            <w:pPr>
              <w:rPr>
                <w:rFonts w:ascii="宋体"/>
                <w:vanish/>
              </w:rPr>
            </w:pPr>
          </w:p>
        </w:tc>
        <w:tc>
          <w:tcPr>
            <w:tcW w:w="0" w:type="auto"/>
            <w:gridSpan w:val="3"/>
            <w:shd w:val="clear" w:color="auto" w:fill="auto"/>
            <w:vAlign w:val="bottom"/>
          </w:tcPr>
          <w:p w14:paraId="71D3EABE" w14:textId="77777777" w:rsidR="006A3667" w:rsidRDefault="006A3667">
            <w:pPr>
              <w:rPr>
                <w:rFonts w:ascii="宋体"/>
                <w:vanish/>
              </w:rPr>
            </w:pPr>
          </w:p>
        </w:tc>
        <w:tc>
          <w:tcPr>
            <w:tcW w:w="0" w:type="auto"/>
            <w:shd w:val="clear" w:color="auto" w:fill="auto"/>
            <w:vAlign w:val="bottom"/>
          </w:tcPr>
          <w:p w14:paraId="71D3EABF" w14:textId="77777777" w:rsidR="006A3667" w:rsidRDefault="006A3667">
            <w:pPr>
              <w:rPr>
                <w:rFonts w:ascii="宋体"/>
                <w:vanish/>
              </w:rPr>
            </w:pPr>
          </w:p>
        </w:tc>
      </w:tr>
      <w:tr w:rsidR="006A3667" w14:paraId="71D3EACE" w14:textId="77777777">
        <w:trPr>
          <w:hidden/>
        </w:trPr>
        <w:tc>
          <w:tcPr>
            <w:tcW w:w="0" w:type="auto"/>
            <w:gridSpan w:val="3"/>
            <w:shd w:val="clear" w:color="auto" w:fill="auto"/>
            <w:vAlign w:val="bottom"/>
          </w:tcPr>
          <w:p w14:paraId="71D3EAC1" w14:textId="77777777" w:rsidR="006A3667" w:rsidRDefault="006A3667">
            <w:pPr>
              <w:rPr>
                <w:rFonts w:ascii="宋体"/>
                <w:vanish/>
              </w:rPr>
            </w:pPr>
          </w:p>
        </w:tc>
        <w:tc>
          <w:tcPr>
            <w:tcW w:w="0" w:type="auto"/>
            <w:gridSpan w:val="3"/>
            <w:shd w:val="clear" w:color="auto" w:fill="auto"/>
            <w:vAlign w:val="bottom"/>
          </w:tcPr>
          <w:p w14:paraId="71D3EAC2" w14:textId="77777777" w:rsidR="006A3667" w:rsidRDefault="006A3667">
            <w:pPr>
              <w:rPr>
                <w:rFonts w:ascii="宋体"/>
                <w:vanish/>
              </w:rPr>
            </w:pPr>
          </w:p>
        </w:tc>
        <w:tc>
          <w:tcPr>
            <w:tcW w:w="0" w:type="auto"/>
            <w:gridSpan w:val="3"/>
            <w:shd w:val="clear" w:color="auto" w:fill="auto"/>
            <w:vAlign w:val="bottom"/>
          </w:tcPr>
          <w:p w14:paraId="71D3EAC3" w14:textId="77777777" w:rsidR="006A3667" w:rsidRDefault="006A3667">
            <w:pPr>
              <w:rPr>
                <w:rFonts w:ascii="宋体"/>
                <w:vanish/>
              </w:rPr>
            </w:pPr>
          </w:p>
        </w:tc>
        <w:tc>
          <w:tcPr>
            <w:tcW w:w="0" w:type="auto"/>
            <w:gridSpan w:val="3"/>
            <w:shd w:val="clear" w:color="auto" w:fill="auto"/>
            <w:vAlign w:val="bottom"/>
          </w:tcPr>
          <w:p w14:paraId="71D3EAC4" w14:textId="77777777" w:rsidR="006A3667" w:rsidRDefault="006A3667">
            <w:pPr>
              <w:rPr>
                <w:rFonts w:ascii="宋体"/>
                <w:vanish/>
              </w:rPr>
            </w:pPr>
          </w:p>
        </w:tc>
        <w:tc>
          <w:tcPr>
            <w:tcW w:w="0" w:type="auto"/>
            <w:gridSpan w:val="3"/>
            <w:shd w:val="clear" w:color="auto" w:fill="auto"/>
            <w:vAlign w:val="bottom"/>
          </w:tcPr>
          <w:p w14:paraId="71D3EAC5" w14:textId="77777777" w:rsidR="006A3667" w:rsidRDefault="006A3667">
            <w:pPr>
              <w:rPr>
                <w:rFonts w:ascii="宋体"/>
                <w:vanish/>
              </w:rPr>
            </w:pPr>
          </w:p>
        </w:tc>
        <w:tc>
          <w:tcPr>
            <w:tcW w:w="0" w:type="auto"/>
            <w:gridSpan w:val="3"/>
            <w:shd w:val="clear" w:color="auto" w:fill="auto"/>
            <w:vAlign w:val="bottom"/>
          </w:tcPr>
          <w:p w14:paraId="71D3EAC6" w14:textId="77777777" w:rsidR="006A3667" w:rsidRDefault="006A3667">
            <w:pPr>
              <w:rPr>
                <w:rFonts w:ascii="宋体"/>
                <w:vanish/>
              </w:rPr>
            </w:pPr>
          </w:p>
        </w:tc>
        <w:tc>
          <w:tcPr>
            <w:tcW w:w="0" w:type="auto"/>
            <w:gridSpan w:val="3"/>
            <w:shd w:val="clear" w:color="auto" w:fill="auto"/>
            <w:vAlign w:val="bottom"/>
          </w:tcPr>
          <w:p w14:paraId="71D3EAC7" w14:textId="77777777" w:rsidR="006A3667" w:rsidRDefault="006A3667">
            <w:pPr>
              <w:rPr>
                <w:rFonts w:ascii="宋体"/>
                <w:vanish/>
              </w:rPr>
            </w:pPr>
          </w:p>
        </w:tc>
        <w:tc>
          <w:tcPr>
            <w:tcW w:w="0" w:type="auto"/>
            <w:gridSpan w:val="3"/>
            <w:shd w:val="clear" w:color="auto" w:fill="auto"/>
            <w:vAlign w:val="bottom"/>
          </w:tcPr>
          <w:p w14:paraId="71D3EAC8" w14:textId="77777777" w:rsidR="006A3667" w:rsidRDefault="006A3667">
            <w:pPr>
              <w:rPr>
                <w:rFonts w:ascii="宋体"/>
                <w:vanish/>
              </w:rPr>
            </w:pPr>
          </w:p>
        </w:tc>
        <w:tc>
          <w:tcPr>
            <w:tcW w:w="0" w:type="auto"/>
            <w:gridSpan w:val="3"/>
            <w:shd w:val="clear" w:color="auto" w:fill="auto"/>
            <w:vAlign w:val="bottom"/>
          </w:tcPr>
          <w:p w14:paraId="71D3EAC9" w14:textId="77777777" w:rsidR="006A3667" w:rsidRDefault="006A3667">
            <w:pPr>
              <w:rPr>
                <w:rFonts w:ascii="宋体"/>
                <w:vanish/>
              </w:rPr>
            </w:pPr>
          </w:p>
        </w:tc>
        <w:tc>
          <w:tcPr>
            <w:tcW w:w="0" w:type="auto"/>
            <w:gridSpan w:val="3"/>
            <w:shd w:val="clear" w:color="auto" w:fill="auto"/>
            <w:vAlign w:val="bottom"/>
          </w:tcPr>
          <w:p w14:paraId="71D3EACA" w14:textId="77777777" w:rsidR="006A3667" w:rsidRDefault="006A3667">
            <w:pPr>
              <w:rPr>
                <w:rFonts w:ascii="宋体"/>
                <w:vanish/>
              </w:rPr>
            </w:pPr>
          </w:p>
        </w:tc>
        <w:tc>
          <w:tcPr>
            <w:tcW w:w="0" w:type="auto"/>
            <w:gridSpan w:val="3"/>
            <w:shd w:val="clear" w:color="auto" w:fill="auto"/>
            <w:vAlign w:val="bottom"/>
          </w:tcPr>
          <w:p w14:paraId="71D3EACB" w14:textId="77777777" w:rsidR="006A3667" w:rsidRDefault="006A3667">
            <w:pPr>
              <w:rPr>
                <w:rFonts w:ascii="宋体"/>
                <w:vanish/>
              </w:rPr>
            </w:pPr>
          </w:p>
        </w:tc>
        <w:tc>
          <w:tcPr>
            <w:tcW w:w="0" w:type="auto"/>
            <w:gridSpan w:val="3"/>
            <w:shd w:val="clear" w:color="auto" w:fill="auto"/>
            <w:vAlign w:val="bottom"/>
          </w:tcPr>
          <w:p w14:paraId="71D3EACC" w14:textId="77777777" w:rsidR="006A3667" w:rsidRDefault="006A3667">
            <w:pPr>
              <w:rPr>
                <w:rFonts w:ascii="宋体"/>
                <w:vanish/>
              </w:rPr>
            </w:pPr>
          </w:p>
        </w:tc>
        <w:tc>
          <w:tcPr>
            <w:tcW w:w="0" w:type="auto"/>
            <w:shd w:val="clear" w:color="auto" w:fill="auto"/>
            <w:vAlign w:val="bottom"/>
          </w:tcPr>
          <w:p w14:paraId="71D3EACD" w14:textId="77777777" w:rsidR="006A3667" w:rsidRDefault="006A3667">
            <w:pPr>
              <w:rPr>
                <w:rFonts w:ascii="宋体"/>
                <w:vanish/>
              </w:rPr>
            </w:pPr>
          </w:p>
        </w:tc>
      </w:tr>
      <w:tr w:rsidR="006A3667" w14:paraId="71D3EADC" w14:textId="77777777">
        <w:trPr>
          <w:hidden/>
        </w:trPr>
        <w:tc>
          <w:tcPr>
            <w:tcW w:w="0" w:type="auto"/>
            <w:gridSpan w:val="3"/>
            <w:shd w:val="clear" w:color="auto" w:fill="auto"/>
            <w:vAlign w:val="bottom"/>
          </w:tcPr>
          <w:p w14:paraId="71D3EACF" w14:textId="77777777" w:rsidR="006A3667" w:rsidRDefault="006A3667">
            <w:pPr>
              <w:rPr>
                <w:rFonts w:ascii="宋体"/>
                <w:vanish/>
              </w:rPr>
            </w:pPr>
          </w:p>
        </w:tc>
        <w:tc>
          <w:tcPr>
            <w:tcW w:w="0" w:type="auto"/>
            <w:gridSpan w:val="3"/>
            <w:shd w:val="clear" w:color="auto" w:fill="auto"/>
            <w:vAlign w:val="bottom"/>
          </w:tcPr>
          <w:p w14:paraId="71D3EAD0" w14:textId="77777777" w:rsidR="006A3667" w:rsidRDefault="006A3667">
            <w:pPr>
              <w:rPr>
                <w:rFonts w:ascii="宋体"/>
                <w:vanish/>
              </w:rPr>
            </w:pPr>
          </w:p>
        </w:tc>
        <w:tc>
          <w:tcPr>
            <w:tcW w:w="0" w:type="auto"/>
            <w:gridSpan w:val="3"/>
            <w:shd w:val="clear" w:color="auto" w:fill="auto"/>
            <w:vAlign w:val="bottom"/>
          </w:tcPr>
          <w:p w14:paraId="71D3EAD1" w14:textId="77777777" w:rsidR="006A3667" w:rsidRDefault="006A3667">
            <w:pPr>
              <w:rPr>
                <w:rFonts w:ascii="宋体"/>
                <w:vanish/>
              </w:rPr>
            </w:pPr>
          </w:p>
        </w:tc>
        <w:tc>
          <w:tcPr>
            <w:tcW w:w="0" w:type="auto"/>
            <w:gridSpan w:val="3"/>
            <w:shd w:val="clear" w:color="auto" w:fill="auto"/>
            <w:vAlign w:val="bottom"/>
          </w:tcPr>
          <w:p w14:paraId="71D3EAD2" w14:textId="77777777" w:rsidR="006A3667" w:rsidRDefault="006A3667">
            <w:pPr>
              <w:rPr>
                <w:rFonts w:ascii="宋体"/>
                <w:vanish/>
              </w:rPr>
            </w:pPr>
          </w:p>
        </w:tc>
        <w:tc>
          <w:tcPr>
            <w:tcW w:w="0" w:type="auto"/>
            <w:gridSpan w:val="3"/>
            <w:shd w:val="clear" w:color="auto" w:fill="auto"/>
            <w:vAlign w:val="bottom"/>
          </w:tcPr>
          <w:p w14:paraId="71D3EAD3" w14:textId="77777777" w:rsidR="006A3667" w:rsidRDefault="006A3667">
            <w:pPr>
              <w:rPr>
                <w:rFonts w:ascii="宋体"/>
                <w:vanish/>
              </w:rPr>
            </w:pPr>
          </w:p>
        </w:tc>
        <w:tc>
          <w:tcPr>
            <w:tcW w:w="0" w:type="auto"/>
            <w:gridSpan w:val="3"/>
            <w:shd w:val="clear" w:color="auto" w:fill="auto"/>
            <w:vAlign w:val="bottom"/>
          </w:tcPr>
          <w:p w14:paraId="71D3EAD4" w14:textId="77777777" w:rsidR="006A3667" w:rsidRDefault="006A3667">
            <w:pPr>
              <w:rPr>
                <w:rFonts w:ascii="宋体"/>
                <w:vanish/>
              </w:rPr>
            </w:pPr>
          </w:p>
        </w:tc>
        <w:tc>
          <w:tcPr>
            <w:tcW w:w="0" w:type="auto"/>
            <w:gridSpan w:val="3"/>
            <w:shd w:val="clear" w:color="auto" w:fill="auto"/>
            <w:vAlign w:val="bottom"/>
          </w:tcPr>
          <w:p w14:paraId="71D3EAD5" w14:textId="77777777" w:rsidR="006A3667" w:rsidRDefault="006A3667">
            <w:pPr>
              <w:rPr>
                <w:rFonts w:ascii="宋体"/>
                <w:vanish/>
              </w:rPr>
            </w:pPr>
          </w:p>
        </w:tc>
        <w:tc>
          <w:tcPr>
            <w:tcW w:w="0" w:type="auto"/>
            <w:gridSpan w:val="3"/>
            <w:shd w:val="clear" w:color="auto" w:fill="auto"/>
            <w:vAlign w:val="bottom"/>
          </w:tcPr>
          <w:p w14:paraId="71D3EAD6" w14:textId="77777777" w:rsidR="006A3667" w:rsidRDefault="006A3667">
            <w:pPr>
              <w:rPr>
                <w:rFonts w:ascii="宋体"/>
                <w:vanish/>
              </w:rPr>
            </w:pPr>
          </w:p>
        </w:tc>
        <w:tc>
          <w:tcPr>
            <w:tcW w:w="0" w:type="auto"/>
            <w:gridSpan w:val="3"/>
            <w:shd w:val="clear" w:color="auto" w:fill="auto"/>
            <w:vAlign w:val="bottom"/>
          </w:tcPr>
          <w:p w14:paraId="71D3EAD7" w14:textId="77777777" w:rsidR="006A3667" w:rsidRDefault="006A3667">
            <w:pPr>
              <w:rPr>
                <w:rFonts w:ascii="宋体"/>
                <w:vanish/>
              </w:rPr>
            </w:pPr>
          </w:p>
        </w:tc>
        <w:tc>
          <w:tcPr>
            <w:tcW w:w="0" w:type="auto"/>
            <w:gridSpan w:val="3"/>
            <w:shd w:val="clear" w:color="auto" w:fill="auto"/>
            <w:vAlign w:val="bottom"/>
          </w:tcPr>
          <w:p w14:paraId="71D3EAD8" w14:textId="77777777" w:rsidR="006A3667" w:rsidRDefault="006A3667">
            <w:pPr>
              <w:rPr>
                <w:rFonts w:ascii="宋体"/>
                <w:vanish/>
              </w:rPr>
            </w:pPr>
          </w:p>
        </w:tc>
        <w:tc>
          <w:tcPr>
            <w:tcW w:w="0" w:type="auto"/>
            <w:gridSpan w:val="3"/>
            <w:shd w:val="clear" w:color="auto" w:fill="auto"/>
            <w:vAlign w:val="bottom"/>
          </w:tcPr>
          <w:p w14:paraId="71D3EAD9" w14:textId="77777777" w:rsidR="006A3667" w:rsidRDefault="006A3667">
            <w:pPr>
              <w:rPr>
                <w:rFonts w:ascii="宋体"/>
                <w:vanish/>
              </w:rPr>
            </w:pPr>
          </w:p>
        </w:tc>
        <w:tc>
          <w:tcPr>
            <w:tcW w:w="0" w:type="auto"/>
            <w:gridSpan w:val="3"/>
            <w:shd w:val="clear" w:color="auto" w:fill="auto"/>
            <w:vAlign w:val="bottom"/>
          </w:tcPr>
          <w:p w14:paraId="71D3EADA" w14:textId="77777777" w:rsidR="006A3667" w:rsidRDefault="006A3667">
            <w:pPr>
              <w:rPr>
                <w:rFonts w:ascii="宋体"/>
                <w:vanish/>
              </w:rPr>
            </w:pPr>
          </w:p>
        </w:tc>
        <w:tc>
          <w:tcPr>
            <w:tcW w:w="0" w:type="auto"/>
            <w:shd w:val="clear" w:color="auto" w:fill="auto"/>
            <w:vAlign w:val="bottom"/>
          </w:tcPr>
          <w:p w14:paraId="71D3EADB" w14:textId="77777777" w:rsidR="006A3667" w:rsidRDefault="006A3667">
            <w:pPr>
              <w:rPr>
                <w:rFonts w:ascii="宋体"/>
                <w:vanish/>
              </w:rPr>
            </w:pPr>
          </w:p>
        </w:tc>
      </w:tr>
      <w:tr w:rsidR="006A3667" w14:paraId="71D3EAEA" w14:textId="77777777">
        <w:trPr>
          <w:hidden/>
        </w:trPr>
        <w:tc>
          <w:tcPr>
            <w:tcW w:w="0" w:type="auto"/>
            <w:gridSpan w:val="3"/>
            <w:shd w:val="clear" w:color="auto" w:fill="auto"/>
            <w:vAlign w:val="bottom"/>
          </w:tcPr>
          <w:p w14:paraId="71D3EADD" w14:textId="77777777" w:rsidR="006A3667" w:rsidRDefault="006A3667">
            <w:pPr>
              <w:rPr>
                <w:rFonts w:ascii="宋体"/>
                <w:vanish/>
              </w:rPr>
            </w:pPr>
          </w:p>
        </w:tc>
        <w:tc>
          <w:tcPr>
            <w:tcW w:w="0" w:type="auto"/>
            <w:gridSpan w:val="3"/>
            <w:shd w:val="clear" w:color="auto" w:fill="auto"/>
            <w:vAlign w:val="bottom"/>
          </w:tcPr>
          <w:p w14:paraId="71D3EADE" w14:textId="77777777" w:rsidR="006A3667" w:rsidRDefault="006A3667">
            <w:pPr>
              <w:rPr>
                <w:rFonts w:ascii="宋体"/>
                <w:vanish/>
              </w:rPr>
            </w:pPr>
          </w:p>
        </w:tc>
        <w:tc>
          <w:tcPr>
            <w:tcW w:w="0" w:type="auto"/>
            <w:gridSpan w:val="3"/>
            <w:shd w:val="clear" w:color="auto" w:fill="auto"/>
            <w:vAlign w:val="bottom"/>
          </w:tcPr>
          <w:p w14:paraId="71D3EADF" w14:textId="77777777" w:rsidR="006A3667" w:rsidRDefault="006A3667">
            <w:pPr>
              <w:rPr>
                <w:rFonts w:ascii="宋体"/>
                <w:vanish/>
              </w:rPr>
            </w:pPr>
          </w:p>
        </w:tc>
        <w:tc>
          <w:tcPr>
            <w:tcW w:w="0" w:type="auto"/>
            <w:gridSpan w:val="3"/>
            <w:shd w:val="clear" w:color="auto" w:fill="auto"/>
            <w:vAlign w:val="bottom"/>
          </w:tcPr>
          <w:p w14:paraId="71D3EAE0" w14:textId="77777777" w:rsidR="006A3667" w:rsidRDefault="006A3667">
            <w:pPr>
              <w:rPr>
                <w:rFonts w:ascii="宋体"/>
                <w:vanish/>
              </w:rPr>
            </w:pPr>
          </w:p>
        </w:tc>
        <w:tc>
          <w:tcPr>
            <w:tcW w:w="0" w:type="auto"/>
            <w:gridSpan w:val="3"/>
            <w:shd w:val="clear" w:color="auto" w:fill="auto"/>
            <w:vAlign w:val="bottom"/>
          </w:tcPr>
          <w:p w14:paraId="71D3EAE1" w14:textId="77777777" w:rsidR="006A3667" w:rsidRDefault="006A3667">
            <w:pPr>
              <w:rPr>
                <w:rFonts w:ascii="宋体"/>
                <w:vanish/>
              </w:rPr>
            </w:pPr>
          </w:p>
        </w:tc>
        <w:tc>
          <w:tcPr>
            <w:tcW w:w="0" w:type="auto"/>
            <w:gridSpan w:val="3"/>
            <w:shd w:val="clear" w:color="auto" w:fill="auto"/>
            <w:vAlign w:val="bottom"/>
          </w:tcPr>
          <w:p w14:paraId="71D3EAE2" w14:textId="77777777" w:rsidR="006A3667" w:rsidRDefault="006A3667">
            <w:pPr>
              <w:rPr>
                <w:rFonts w:ascii="宋体"/>
                <w:vanish/>
              </w:rPr>
            </w:pPr>
          </w:p>
        </w:tc>
        <w:tc>
          <w:tcPr>
            <w:tcW w:w="0" w:type="auto"/>
            <w:gridSpan w:val="3"/>
            <w:shd w:val="clear" w:color="auto" w:fill="auto"/>
            <w:vAlign w:val="bottom"/>
          </w:tcPr>
          <w:p w14:paraId="71D3EAE3" w14:textId="77777777" w:rsidR="006A3667" w:rsidRDefault="006A3667">
            <w:pPr>
              <w:rPr>
                <w:rFonts w:ascii="宋体"/>
                <w:vanish/>
              </w:rPr>
            </w:pPr>
          </w:p>
        </w:tc>
        <w:tc>
          <w:tcPr>
            <w:tcW w:w="0" w:type="auto"/>
            <w:gridSpan w:val="3"/>
            <w:shd w:val="clear" w:color="auto" w:fill="auto"/>
            <w:vAlign w:val="bottom"/>
          </w:tcPr>
          <w:p w14:paraId="71D3EAE4" w14:textId="77777777" w:rsidR="006A3667" w:rsidRDefault="006A3667">
            <w:pPr>
              <w:rPr>
                <w:rFonts w:ascii="宋体"/>
                <w:vanish/>
              </w:rPr>
            </w:pPr>
          </w:p>
        </w:tc>
        <w:tc>
          <w:tcPr>
            <w:tcW w:w="0" w:type="auto"/>
            <w:gridSpan w:val="3"/>
            <w:shd w:val="clear" w:color="auto" w:fill="auto"/>
            <w:vAlign w:val="bottom"/>
          </w:tcPr>
          <w:p w14:paraId="71D3EAE5" w14:textId="77777777" w:rsidR="006A3667" w:rsidRDefault="006A3667">
            <w:pPr>
              <w:rPr>
                <w:rFonts w:ascii="宋体"/>
                <w:vanish/>
              </w:rPr>
            </w:pPr>
          </w:p>
        </w:tc>
        <w:tc>
          <w:tcPr>
            <w:tcW w:w="0" w:type="auto"/>
            <w:gridSpan w:val="3"/>
            <w:shd w:val="clear" w:color="auto" w:fill="auto"/>
            <w:vAlign w:val="bottom"/>
          </w:tcPr>
          <w:p w14:paraId="71D3EAE6" w14:textId="77777777" w:rsidR="006A3667" w:rsidRDefault="006A3667">
            <w:pPr>
              <w:rPr>
                <w:rFonts w:ascii="宋体"/>
                <w:vanish/>
              </w:rPr>
            </w:pPr>
          </w:p>
        </w:tc>
        <w:tc>
          <w:tcPr>
            <w:tcW w:w="0" w:type="auto"/>
            <w:gridSpan w:val="3"/>
            <w:shd w:val="clear" w:color="auto" w:fill="auto"/>
            <w:vAlign w:val="bottom"/>
          </w:tcPr>
          <w:p w14:paraId="71D3EAE7" w14:textId="77777777" w:rsidR="006A3667" w:rsidRDefault="006A3667">
            <w:pPr>
              <w:rPr>
                <w:rFonts w:ascii="宋体"/>
                <w:vanish/>
              </w:rPr>
            </w:pPr>
          </w:p>
        </w:tc>
        <w:tc>
          <w:tcPr>
            <w:tcW w:w="0" w:type="auto"/>
            <w:gridSpan w:val="3"/>
            <w:shd w:val="clear" w:color="auto" w:fill="auto"/>
            <w:vAlign w:val="bottom"/>
          </w:tcPr>
          <w:p w14:paraId="71D3EAE8" w14:textId="77777777" w:rsidR="006A3667" w:rsidRDefault="006A3667">
            <w:pPr>
              <w:rPr>
                <w:rFonts w:ascii="宋体"/>
                <w:vanish/>
              </w:rPr>
            </w:pPr>
          </w:p>
        </w:tc>
        <w:tc>
          <w:tcPr>
            <w:tcW w:w="0" w:type="auto"/>
            <w:shd w:val="clear" w:color="auto" w:fill="auto"/>
            <w:vAlign w:val="bottom"/>
          </w:tcPr>
          <w:p w14:paraId="71D3EAE9" w14:textId="77777777" w:rsidR="006A3667" w:rsidRDefault="006A3667">
            <w:pPr>
              <w:rPr>
                <w:rFonts w:ascii="宋体"/>
                <w:vanish/>
              </w:rPr>
            </w:pPr>
          </w:p>
        </w:tc>
      </w:tr>
      <w:tr w:rsidR="006A3667" w14:paraId="71D3EAF8" w14:textId="77777777">
        <w:trPr>
          <w:hidden/>
        </w:trPr>
        <w:tc>
          <w:tcPr>
            <w:tcW w:w="0" w:type="auto"/>
            <w:gridSpan w:val="3"/>
            <w:shd w:val="clear" w:color="auto" w:fill="auto"/>
            <w:vAlign w:val="bottom"/>
          </w:tcPr>
          <w:p w14:paraId="71D3EAEB" w14:textId="77777777" w:rsidR="006A3667" w:rsidRDefault="006A3667">
            <w:pPr>
              <w:rPr>
                <w:rFonts w:ascii="宋体"/>
                <w:vanish/>
              </w:rPr>
            </w:pPr>
          </w:p>
        </w:tc>
        <w:tc>
          <w:tcPr>
            <w:tcW w:w="0" w:type="auto"/>
            <w:gridSpan w:val="3"/>
            <w:shd w:val="clear" w:color="auto" w:fill="auto"/>
            <w:vAlign w:val="bottom"/>
          </w:tcPr>
          <w:p w14:paraId="71D3EAEC" w14:textId="77777777" w:rsidR="006A3667" w:rsidRDefault="006A3667">
            <w:pPr>
              <w:rPr>
                <w:rFonts w:ascii="宋体"/>
                <w:vanish/>
              </w:rPr>
            </w:pPr>
          </w:p>
        </w:tc>
        <w:tc>
          <w:tcPr>
            <w:tcW w:w="0" w:type="auto"/>
            <w:gridSpan w:val="3"/>
            <w:shd w:val="clear" w:color="auto" w:fill="auto"/>
            <w:vAlign w:val="bottom"/>
          </w:tcPr>
          <w:p w14:paraId="71D3EAED" w14:textId="77777777" w:rsidR="006A3667" w:rsidRDefault="006A3667">
            <w:pPr>
              <w:rPr>
                <w:rFonts w:ascii="宋体"/>
                <w:vanish/>
              </w:rPr>
            </w:pPr>
          </w:p>
        </w:tc>
        <w:tc>
          <w:tcPr>
            <w:tcW w:w="0" w:type="auto"/>
            <w:gridSpan w:val="3"/>
            <w:shd w:val="clear" w:color="auto" w:fill="auto"/>
            <w:vAlign w:val="bottom"/>
          </w:tcPr>
          <w:p w14:paraId="71D3EAEE" w14:textId="77777777" w:rsidR="006A3667" w:rsidRDefault="006A3667">
            <w:pPr>
              <w:rPr>
                <w:rFonts w:ascii="宋体"/>
                <w:vanish/>
              </w:rPr>
            </w:pPr>
          </w:p>
        </w:tc>
        <w:tc>
          <w:tcPr>
            <w:tcW w:w="0" w:type="auto"/>
            <w:gridSpan w:val="3"/>
            <w:shd w:val="clear" w:color="auto" w:fill="auto"/>
            <w:vAlign w:val="bottom"/>
          </w:tcPr>
          <w:p w14:paraId="71D3EAEF" w14:textId="77777777" w:rsidR="006A3667" w:rsidRDefault="006A3667">
            <w:pPr>
              <w:rPr>
                <w:rFonts w:ascii="宋体"/>
                <w:vanish/>
              </w:rPr>
            </w:pPr>
          </w:p>
        </w:tc>
        <w:tc>
          <w:tcPr>
            <w:tcW w:w="0" w:type="auto"/>
            <w:gridSpan w:val="3"/>
            <w:shd w:val="clear" w:color="auto" w:fill="auto"/>
            <w:vAlign w:val="bottom"/>
          </w:tcPr>
          <w:p w14:paraId="71D3EAF0" w14:textId="77777777" w:rsidR="006A3667" w:rsidRDefault="006A3667">
            <w:pPr>
              <w:rPr>
                <w:rFonts w:ascii="宋体"/>
                <w:vanish/>
              </w:rPr>
            </w:pPr>
          </w:p>
        </w:tc>
        <w:tc>
          <w:tcPr>
            <w:tcW w:w="0" w:type="auto"/>
            <w:gridSpan w:val="3"/>
            <w:shd w:val="clear" w:color="auto" w:fill="auto"/>
            <w:vAlign w:val="bottom"/>
          </w:tcPr>
          <w:p w14:paraId="71D3EAF1" w14:textId="77777777" w:rsidR="006A3667" w:rsidRDefault="006A3667">
            <w:pPr>
              <w:rPr>
                <w:rFonts w:ascii="宋体"/>
                <w:vanish/>
              </w:rPr>
            </w:pPr>
          </w:p>
        </w:tc>
        <w:tc>
          <w:tcPr>
            <w:tcW w:w="0" w:type="auto"/>
            <w:gridSpan w:val="3"/>
            <w:shd w:val="clear" w:color="auto" w:fill="auto"/>
            <w:vAlign w:val="bottom"/>
          </w:tcPr>
          <w:p w14:paraId="71D3EAF2" w14:textId="77777777" w:rsidR="006A3667" w:rsidRDefault="006A3667">
            <w:pPr>
              <w:rPr>
                <w:rFonts w:ascii="宋体"/>
                <w:vanish/>
              </w:rPr>
            </w:pPr>
          </w:p>
        </w:tc>
        <w:tc>
          <w:tcPr>
            <w:tcW w:w="0" w:type="auto"/>
            <w:gridSpan w:val="3"/>
            <w:shd w:val="clear" w:color="auto" w:fill="auto"/>
            <w:vAlign w:val="bottom"/>
          </w:tcPr>
          <w:p w14:paraId="71D3EAF3" w14:textId="77777777" w:rsidR="006A3667" w:rsidRDefault="006A3667">
            <w:pPr>
              <w:rPr>
                <w:rFonts w:ascii="宋体"/>
                <w:vanish/>
              </w:rPr>
            </w:pPr>
          </w:p>
        </w:tc>
        <w:tc>
          <w:tcPr>
            <w:tcW w:w="0" w:type="auto"/>
            <w:gridSpan w:val="3"/>
            <w:shd w:val="clear" w:color="auto" w:fill="auto"/>
            <w:vAlign w:val="bottom"/>
          </w:tcPr>
          <w:p w14:paraId="71D3EAF4" w14:textId="77777777" w:rsidR="006A3667" w:rsidRDefault="006A3667">
            <w:pPr>
              <w:rPr>
                <w:rFonts w:ascii="宋体"/>
                <w:vanish/>
              </w:rPr>
            </w:pPr>
          </w:p>
        </w:tc>
        <w:tc>
          <w:tcPr>
            <w:tcW w:w="0" w:type="auto"/>
            <w:gridSpan w:val="3"/>
            <w:shd w:val="clear" w:color="auto" w:fill="auto"/>
            <w:vAlign w:val="bottom"/>
          </w:tcPr>
          <w:p w14:paraId="71D3EAF5" w14:textId="77777777" w:rsidR="006A3667" w:rsidRDefault="006A3667">
            <w:pPr>
              <w:rPr>
                <w:rFonts w:ascii="宋体"/>
                <w:vanish/>
              </w:rPr>
            </w:pPr>
          </w:p>
        </w:tc>
        <w:tc>
          <w:tcPr>
            <w:tcW w:w="0" w:type="auto"/>
            <w:gridSpan w:val="3"/>
            <w:shd w:val="clear" w:color="auto" w:fill="auto"/>
            <w:vAlign w:val="bottom"/>
          </w:tcPr>
          <w:p w14:paraId="71D3EAF6" w14:textId="77777777" w:rsidR="006A3667" w:rsidRDefault="006A3667">
            <w:pPr>
              <w:rPr>
                <w:rFonts w:ascii="宋体"/>
                <w:vanish/>
              </w:rPr>
            </w:pPr>
          </w:p>
        </w:tc>
        <w:tc>
          <w:tcPr>
            <w:tcW w:w="0" w:type="auto"/>
            <w:shd w:val="clear" w:color="auto" w:fill="auto"/>
            <w:vAlign w:val="bottom"/>
          </w:tcPr>
          <w:p w14:paraId="71D3EAF7" w14:textId="77777777" w:rsidR="006A3667" w:rsidRDefault="006A3667">
            <w:pPr>
              <w:rPr>
                <w:rFonts w:ascii="宋体"/>
                <w:vanish/>
              </w:rPr>
            </w:pPr>
          </w:p>
        </w:tc>
      </w:tr>
      <w:tr w:rsidR="006A3667" w14:paraId="71D3EB06" w14:textId="77777777">
        <w:trPr>
          <w:hidden/>
        </w:trPr>
        <w:tc>
          <w:tcPr>
            <w:tcW w:w="0" w:type="auto"/>
            <w:gridSpan w:val="3"/>
            <w:shd w:val="clear" w:color="auto" w:fill="auto"/>
            <w:vAlign w:val="bottom"/>
          </w:tcPr>
          <w:p w14:paraId="71D3EAF9" w14:textId="77777777" w:rsidR="006A3667" w:rsidRDefault="006A3667">
            <w:pPr>
              <w:rPr>
                <w:rFonts w:ascii="宋体"/>
                <w:vanish/>
              </w:rPr>
            </w:pPr>
          </w:p>
        </w:tc>
        <w:tc>
          <w:tcPr>
            <w:tcW w:w="0" w:type="auto"/>
            <w:gridSpan w:val="3"/>
            <w:shd w:val="clear" w:color="auto" w:fill="auto"/>
            <w:vAlign w:val="bottom"/>
          </w:tcPr>
          <w:p w14:paraId="71D3EAFA" w14:textId="77777777" w:rsidR="006A3667" w:rsidRDefault="006A3667">
            <w:pPr>
              <w:rPr>
                <w:rFonts w:ascii="宋体"/>
                <w:vanish/>
              </w:rPr>
            </w:pPr>
          </w:p>
        </w:tc>
        <w:tc>
          <w:tcPr>
            <w:tcW w:w="0" w:type="auto"/>
            <w:gridSpan w:val="3"/>
            <w:shd w:val="clear" w:color="auto" w:fill="auto"/>
            <w:vAlign w:val="bottom"/>
          </w:tcPr>
          <w:p w14:paraId="71D3EAFB" w14:textId="77777777" w:rsidR="006A3667" w:rsidRDefault="006A3667">
            <w:pPr>
              <w:rPr>
                <w:rFonts w:ascii="宋体"/>
                <w:vanish/>
              </w:rPr>
            </w:pPr>
          </w:p>
        </w:tc>
        <w:tc>
          <w:tcPr>
            <w:tcW w:w="0" w:type="auto"/>
            <w:gridSpan w:val="3"/>
            <w:shd w:val="clear" w:color="auto" w:fill="auto"/>
            <w:vAlign w:val="bottom"/>
          </w:tcPr>
          <w:p w14:paraId="71D3EAFC" w14:textId="77777777" w:rsidR="006A3667" w:rsidRDefault="006A3667">
            <w:pPr>
              <w:rPr>
                <w:rFonts w:ascii="宋体"/>
                <w:vanish/>
              </w:rPr>
            </w:pPr>
          </w:p>
        </w:tc>
        <w:tc>
          <w:tcPr>
            <w:tcW w:w="0" w:type="auto"/>
            <w:gridSpan w:val="3"/>
            <w:shd w:val="clear" w:color="auto" w:fill="auto"/>
            <w:vAlign w:val="bottom"/>
          </w:tcPr>
          <w:p w14:paraId="71D3EAFD" w14:textId="77777777" w:rsidR="006A3667" w:rsidRDefault="006A3667">
            <w:pPr>
              <w:rPr>
                <w:rFonts w:ascii="宋体"/>
                <w:vanish/>
              </w:rPr>
            </w:pPr>
          </w:p>
        </w:tc>
        <w:tc>
          <w:tcPr>
            <w:tcW w:w="0" w:type="auto"/>
            <w:gridSpan w:val="3"/>
            <w:shd w:val="clear" w:color="auto" w:fill="auto"/>
            <w:vAlign w:val="bottom"/>
          </w:tcPr>
          <w:p w14:paraId="71D3EAFE" w14:textId="77777777" w:rsidR="006A3667" w:rsidRDefault="006A3667">
            <w:pPr>
              <w:rPr>
                <w:rFonts w:ascii="宋体"/>
                <w:vanish/>
              </w:rPr>
            </w:pPr>
          </w:p>
        </w:tc>
        <w:tc>
          <w:tcPr>
            <w:tcW w:w="0" w:type="auto"/>
            <w:gridSpan w:val="3"/>
            <w:shd w:val="clear" w:color="auto" w:fill="auto"/>
            <w:vAlign w:val="bottom"/>
          </w:tcPr>
          <w:p w14:paraId="71D3EAFF" w14:textId="77777777" w:rsidR="006A3667" w:rsidRDefault="006A3667">
            <w:pPr>
              <w:rPr>
                <w:rFonts w:ascii="宋体"/>
                <w:vanish/>
              </w:rPr>
            </w:pPr>
          </w:p>
        </w:tc>
        <w:tc>
          <w:tcPr>
            <w:tcW w:w="0" w:type="auto"/>
            <w:gridSpan w:val="3"/>
            <w:shd w:val="clear" w:color="auto" w:fill="auto"/>
            <w:vAlign w:val="bottom"/>
          </w:tcPr>
          <w:p w14:paraId="71D3EB00" w14:textId="77777777" w:rsidR="006A3667" w:rsidRDefault="006A3667">
            <w:pPr>
              <w:rPr>
                <w:rFonts w:ascii="宋体"/>
                <w:vanish/>
              </w:rPr>
            </w:pPr>
          </w:p>
        </w:tc>
        <w:tc>
          <w:tcPr>
            <w:tcW w:w="0" w:type="auto"/>
            <w:gridSpan w:val="3"/>
            <w:shd w:val="clear" w:color="auto" w:fill="auto"/>
            <w:vAlign w:val="bottom"/>
          </w:tcPr>
          <w:p w14:paraId="71D3EB01" w14:textId="77777777" w:rsidR="006A3667" w:rsidRDefault="006A3667">
            <w:pPr>
              <w:rPr>
                <w:rFonts w:ascii="宋体"/>
                <w:vanish/>
              </w:rPr>
            </w:pPr>
          </w:p>
        </w:tc>
        <w:tc>
          <w:tcPr>
            <w:tcW w:w="0" w:type="auto"/>
            <w:gridSpan w:val="3"/>
            <w:shd w:val="clear" w:color="auto" w:fill="auto"/>
            <w:vAlign w:val="bottom"/>
          </w:tcPr>
          <w:p w14:paraId="71D3EB02" w14:textId="77777777" w:rsidR="006A3667" w:rsidRDefault="006A3667">
            <w:pPr>
              <w:rPr>
                <w:rFonts w:ascii="宋体"/>
                <w:vanish/>
              </w:rPr>
            </w:pPr>
          </w:p>
        </w:tc>
        <w:tc>
          <w:tcPr>
            <w:tcW w:w="0" w:type="auto"/>
            <w:gridSpan w:val="3"/>
            <w:shd w:val="clear" w:color="auto" w:fill="auto"/>
            <w:vAlign w:val="bottom"/>
          </w:tcPr>
          <w:p w14:paraId="71D3EB03" w14:textId="77777777" w:rsidR="006A3667" w:rsidRDefault="006A3667">
            <w:pPr>
              <w:rPr>
                <w:rFonts w:ascii="宋体"/>
                <w:vanish/>
              </w:rPr>
            </w:pPr>
          </w:p>
        </w:tc>
        <w:tc>
          <w:tcPr>
            <w:tcW w:w="0" w:type="auto"/>
            <w:gridSpan w:val="3"/>
            <w:shd w:val="clear" w:color="auto" w:fill="auto"/>
            <w:vAlign w:val="bottom"/>
          </w:tcPr>
          <w:p w14:paraId="71D3EB04" w14:textId="77777777" w:rsidR="006A3667" w:rsidRDefault="006A3667">
            <w:pPr>
              <w:rPr>
                <w:rFonts w:ascii="宋体"/>
                <w:vanish/>
              </w:rPr>
            </w:pPr>
          </w:p>
        </w:tc>
        <w:tc>
          <w:tcPr>
            <w:tcW w:w="0" w:type="auto"/>
            <w:shd w:val="clear" w:color="auto" w:fill="auto"/>
            <w:vAlign w:val="bottom"/>
          </w:tcPr>
          <w:p w14:paraId="71D3EB05" w14:textId="77777777" w:rsidR="006A3667" w:rsidRDefault="006A3667">
            <w:pPr>
              <w:rPr>
                <w:rFonts w:ascii="宋体"/>
                <w:vanish/>
              </w:rPr>
            </w:pPr>
          </w:p>
        </w:tc>
      </w:tr>
      <w:tr w:rsidR="006A3667" w14:paraId="71D3EB14" w14:textId="77777777">
        <w:trPr>
          <w:hidden/>
        </w:trPr>
        <w:tc>
          <w:tcPr>
            <w:tcW w:w="0" w:type="auto"/>
            <w:gridSpan w:val="3"/>
            <w:shd w:val="clear" w:color="auto" w:fill="auto"/>
            <w:vAlign w:val="bottom"/>
          </w:tcPr>
          <w:p w14:paraId="71D3EB07" w14:textId="77777777" w:rsidR="006A3667" w:rsidRDefault="006A3667">
            <w:pPr>
              <w:rPr>
                <w:rFonts w:ascii="宋体"/>
                <w:vanish/>
              </w:rPr>
            </w:pPr>
          </w:p>
        </w:tc>
        <w:tc>
          <w:tcPr>
            <w:tcW w:w="0" w:type="auto"/>
            <w:gridSpan w:val="3"/>
            <w:shd w:val="clear" w:color="auto" w:fill="auto"/>
            <w:vAlign w:val="bottom"/>
          </w:tcPr>
          <w:p w14:paraId="71D3EB08" w14:textId="77777777" w:rsidR="006A3667" w:rsidRDefault="006A3667">
            <w:pPr>
              <w:rPr>
                <w:rFonts w:ascii="宋体"/>
                <w:vanish/>
              </w:rPr>
            </w:pPr>
          </w:p>
        </w:tc>
        <w:tc>
          <w:tcPr>
            <w:tcW w:w="0" w:type="auto"/>
            <w:gridSpan w:val="3"/>
            <w:shd w:val="clear" w:color="auto" w:fill="auto"/>
            <w:vAlign w:val="bottom"/>
          </w:tcPr>
          <w:p w14:paraId="71D3EB09" w14:textId="77777777" w:rsidR="006A3667" w:rsidRDefault="006A3667">
            <w:pPr>
              <w:rPr>
                <w:rFonts w:ascii="宋体"/>
                <w:vanish/>
              </w:rPr>
            </w:pPr>
          </w:p>
        </w:tc>
        <w:tc>
          <w:tcPr>
            <w:tcW w:w="0" w:type="auto"/>
            <w:gridSpan w:val="3"/>
            <w:shd w:val="clear" w:color="auto" w:fill="auto"/>
            <w:vAlign w:val="bottom"/>
          </w:tcPr>
          <w:p w14:paraId="71D3EB0A" w14:textId="77777777" w:rsidR="006A3667" w:rsidRDefault="006A3667">
            <w:pPr>
              <w:rPr>
                <w:rFonts w:ascii="宋体"/>
                <w:vanish/>
              </w:rPr>
            </w:pPr>
          </w:p>
        </w:tc>
        <w:tc>
          <w:tcPr>
            <w:tcW w:w="0" w:type="auto"/>
            <w:gridSpan w:val="3"/>
            <w:shd w:val="clear" w:color="auto" w:fill="auto"/>
            <w:vAlign w:val="bottom"/>
          </w:tcPr>
          <w:p w14:paraId="71D3EB0B" w14:textId="77777777" w:rsidR="006A3667" w:rsidRDefault="006A3667">
            <w:pPr>
              <w:rPr>
                <w:rFonts w:ascii="宋体"/>
                <w:vanish/>
              </w:rPr>
            </w:pPr>
          </w:p>
        </w:tc>
        <w:tc>
          <w:tcPr>
            <w:tcW w:w="0" w:type="auto"/>
            <w:gridSpan w:val="3"/>
            <w:shd w:val="clear" w:color="auto" w:fill="auto"/>
            <w:vAlign w:val="bottom"/>
          </w:tcPr>
          <w:p w14:paraId="71D3EB0C" w14:textId="77777777" w:rsidR="006A3667" w:rsidRDefault="006A3667">
            <w:pPr>
              <w:rPr>
                <w:rFonts w:ascii="宋体"/>
                <w:vanish/>
              </w:rPr>
            </w:pPr>
          </w:p>
        </w:tc>
        <w:tc>
          <w:tcPr>
            <w:tcW w:w="0" w:type="auto"/>
            <w:gridSpan w:val="3"/>
            <w:shd w:val="clear" w:color="auto" w:fill="auto"/>
            <w:vAlign w:val="bottom"/>
          </w:tcPr>
          <w:p w14:paraId="71D3EB0D" w14:textId="77777777" w:rsidR="006A3667" w:rsidRDefault="006A3667">
            <w:pPr>
              <w:rPr>
                <w:rFonts w:ascii="宋体"/>
                <w:vanish/>
              </w:rPr>
            </w:pPr>
          </w:p>
        </w:tc>
        <w:tc>
          <w:tcPr>
            <w:tcW w:w="0" w:type="auto"/>
            <w:gridSpan w:val="3"/>
            <w:shd w:val="clear" w:color="auto" w:fill="auto"/>
            <w:vAlign w:val="bottom"/>
          </w:tcPr>
          <w:p w14:paraId="71D3EB0E" w14:textId="77777777" w:rsidR="006A3667" w:rsidRDefault="006A3667">
            <w:pPr>
              <w:rPr>
                <w:rFonts w:ascii="宋体"/>
                <w:vanish/>
              </w:rPr>
            </w:pPr>
          </w:p>
        </w:tc>
        <w:tc>
          <w:tcPr>
            <w:tcW w:w="0" w:type="auto"/>
            <w:gridSpan w:val="3"/>
            <w:shd w:val="clear" w:color="auto" w:fill="auto"/>
            <w:vAlign w:val="bottom"/>
          </w:tcPr>
          <w:p w14:paraId="71D3EB0F" w14:textId="77777777" w:rsidR="006A3667" w:rsidRDefault="006A3667">
            <w:pPr>
              <w:rPr>
                <w:rFonts w:ascii="宋体"/>
                <w:vanish/>
              </w:rPr>
            </w:pPr>
          </w:p>
        </w:tc>
        <w:tc>
          <w:tcPr>
            <w:tcW w:w="0" w:type="auto"/>
            <w:gridSpan w:val="3"/>
            <w:shd w:val="clear" w:color="auto" w:fill="auto"/>
            <w:vAlign w:val="bottom"/>
          </w:tcPr>
          <w:p w14:paraId="71D3EB10" w14:textId="77777777" w:rsidR="006A3667" w:rsidRDefault="006A3667">
            <w:pPr>
              <w:rPr>
                <w:rFonts w:ascii="宋体"/>
                <w:vanish/>
              </w:rPr>
            </w:pPr>
          </w:p>
        </w:tc>
        <w:tc>
          <w:tcPr>
            <w:tcW w:w="0" w:type="auto"/>
            <w:gridSpan w:val="3"/>
            <w:shd w:val="clear" w:color="auto" w:fill="auto"/>
            <w:vAlign w:val="bottom"/>
          </w:tcPr>
          <w:p w14:paraId="71D3EB11" w14:textId="77777777" w:rsidR="006A3667" w:rsidRDefault="006A3667">
            <w:pPr>
              <w:rPr>
                <w:rFonts w:ascii="宋体"/>
                <w:vanish/>
              </w:rPr>
            </w:pPr>
          </w:p>
        </w:tc>
        <w:tc>
          <w:tcPr>
            <w:tcW w:w="0" w:type="auto"/>
            <w:gridSpan w:val="3"/>
            <w:shd w:val="clear" w:color="auto" w:fill="auto"/>
            <w:vAlign w:val="bottom"/>
          </w:tcPr>
          <w:p w14:paraId="71D3EB12" w14:textId="77777777" w:rsidR="006A3667" w:rsidRDefault="006A3667">
            <w:pPr>
              <w:rPr>
                <w:rFonts w:ascii="宋体"/>
                <w:vanish/>
              </w:rPr>
            </w:pPr>
          </w:p>
        </w:tc>
        <w:tc>
          <w:tcPr>
            <w:tcW w:w="0" w:type="auto"/>
            <w:shd w:val="clear" w:color="auto" w:fill="auto"/>
            <w:vAlign w:val="bottom"/>
          </w:tcPr>
          <w:p w14:paraId="71D3EB13" w14:textId="77777777" w:rsidR="006A3667" w:rsidRDefault="006A3667">
            <w:pPr>
              <w:rPr>
                <w:rFonts w:ascii="宋体"/>
                <w:vanish/>
              </w:rPr>
            </w:pPr>
          </w:p>
        </w:tc>
      </w:tr>
      <w:tr w:rsidR="006A3667" w14:paraId="71D3EB22" w14:textId="77777777">
        <w:trPr>
          <w:hidden/>
        </w:trPr>
        <w:tc>
          <w:tcPr>
            <w:tcW w:w="0" w:type="auto"/>
            <w:gridSpan w:val="3"/>
            <w:shd w:val="clear" w:color="auto" w:fill="auto"/>
            <w:vAlign w:val="bottom"/>
          </w:tcPr>
          <w:p w14:paraId="71D3EB15" w14:textId="77777777" w:rsidR="006A3667" w:rsidRDefault="006A3667">
            <w:pPr>
              <w:rPr>
                <w:rFonts w:ascii="宋体"/>
                <w:vanish/>
              </w:rPr>
            </w:pPr>
          </w:p>
        </w:tc>
        <w:tc>
          <w:tcPr>
            <w:tcW w:w="0" w:type="auto"/>
            <w:gridSpan w:val="3"/>
            <w:shd w:val="clear" w:color="auto" w:fill="auto"/>
            <w:vAlign w:val="bottom"/>
          </w:tcPr>
          <w:p w14:paraId="71D3EB16" w14:textId="77777777" w:rsidR="006A3667" w:rsidRDefault="006A3667">
            <w:pPr>
              <w:rPr>
                <w:rFonts w:ascii="宋体"/>
                <w:vanish/>
              </w:rPr>
            </w:pPr>
          </w:p>
        </w:tc>
        <w:tc>
          <w:tcPr>
            <w:tcW w:w="0" w:type="auto"/>
            <w:gridSpan w:val="3"/>
            <w:shd w:val="clear" w:color="auto" w:fill="auto"/>
            <w:vAlign w:val="bottom"/>
          </w:tcPr>
          <w:p w14:paraId="71D3EB17" w14:textId="77777777" w:rsidR="006A3667" w:rsidRDefault="006A3667">
            <w:pPr>
              <w:rPr>
                <w:rFonts w:ascii="宋体"/>
                <w:vanish/>
              </w:rPr>
            </w:pPr>
          </w:p>
        </w:tc>
        <w:tc>
          <w:tcPr>
            <w:tcW w:w="0" w:type="auto"/>
            <w:gridSpan w:val="3"/>
            <w:shd w:val="clear" w:color="auto" w:fill="auto"/>
            <w:vAlign w:val="bottom"/>
          </w:tcPr>
          <w:p w14:paraId="71D3EB18" w14:textId="77777777" w:rsidR="006A3667" w:rsidRDefault="006A3667">
            <w:pPr>
              <w:rPr>
                <w:rFonts w:ascii="宋体"/>
                <w:vanish/>
              </w:rPr>
            </w:pPr>
          </w:p>
        </w:tc>
        <w:tc>
          <w:tcPr>
            <w:tcW w:w="0" w:type="auto"/>
            <w:gridSpan w:val="3"/>
            <w:shd w:val="clear" w:color="auto" w:fill="auto"/>
            <w:vAlign w:val="bottom"/>
          </w:tcPr>
          <w:p w14:paraId="71D3EB19" w14:textId="77777777" w:rsidR="006A3667" w:rsidRDefault="006A3667">
            <w:pPr>
              <w:rPr>
                <w:rFonts w:ascii="宋体"/>
                <w:vanish/>
              </w:rPr>
            </w:pPr>
          </w:p>
        </w:tc>
        <w:tc>
          <w:tcPr>
            <w:tcW w:w="0" w:type="auto"/>
            <w:gridSpan w:val="3"/>
            <w:shd w:val="clear" w:color="auto" w:fill="auto"/>
            <w:vAlign w:val="bottom"/>
          </w:tcPr>
          <w:p w14:paraId="71D3EB1A" w14:textId="77777777" w:rsidR="006A3667" w:rsidRDefault="006A3667">
            <w:pPr>
              <w:rPr>
                <w:rFonts w:ascii="宋体"/>
                <w:vanish/>
              </w:rPr>
            </w:pPr>
          </w:p>
        </w:tc>
        <w:tc>
          <w:tcPr>
            <w:tcW w:w="0" w:type="auto"/>
            <w:gridSpan w:val="3"/>
            <w:shd w:val="clear" w:color="auto" w:fill="auto"/>
            <w:vAlign w:val="bottom"/>
          </w:tcPr>
          <w:p w14:paraId="71D3EB1B" w14:textId="77777777" w:rsidR="006A3667" w:rsidRDefault="006A3667">
            <w:pPr>
              <w:rPr>
                <w:rFonts w:ascii="宋体"/>
                <w:vanish/>
              </w:rPr>
            </w:pPr>
          </w:p>
        </w:tc>
        <w:tc>
          <w:tcPr>
            <w:tcW w:w="0" w:type="auto"/>
            <w:gridSpan w:val="3"/>
            <w:shd w:val="clear" w:color="auto" w:fill="auto"/>
            <w:vAlign w:val="bottom"/>
          </w:tcPr>
          <w:p w14:paraId="71D3EB1C" w14:textId="77777777" w:rsidR="006A3667" w:rsidRDefault="006A3667">
            <w:pPr>
              <w:rPr>
                <w:rFonts w:ascii="宋体"/>
                <w:vanish/>
              </w:rPr>
            </w:pPr>
          </w:p>
        </w:tc>
        <w:tc>
          <w:tcPr>
            <w:tcW w:w="0" w:type="auto"/>
            <w:gridSpan w:val="3"/>
            <w:shd w:val="clear" w:color="auto" w:fill="auto"/>
            <w:vAlign w:val="bottom"/>
          </w:tcPr>
          <w:p w14:paraId="71D3EB1D" w14:textId="77777777" w:rsidR="006A3667" w:rsidRDefault="006A3667">
            <w:pPr>
              <w:rPr>
                <w:rFonts w:ascii="宋体"/>
                <w:vanish/>
              </w:rPr>
            </w:pPr>
          </w:p>
        </w:tc>
        <w:tc>
          <w:tcPr>
            <w:tcW w:w="0" w:type="auto"/>
            <w:gridSpan w:val="3"/>
            <w:shd w:val="clear" w:color="auto" w:fill="auto"/>
            <w:vAlign w:val="bottom"/>
          </w:tcPr>
          <w:p w14:paraId="71D3EB1E" w14:textId="77777777" w:rsidR="006A3667" w:rsidRDefault="006A3667">
            <w:pPr>
              <w:rPr>
                <w:rFonts w:ascii="宋体"/>
                <w:vanish/>
              </w:rPr>
            </w:pPr>
          </w:p>
        </w:tc>
        <w:tc>
          <w:tcPr>
            <w:tcW w:w="0" w:type="auto"/>
            <w:gridSpan w:val="3"/>
            <w:shd w:val="clear" w:color="auto" w:fill="auto"/>
            <w:vAlign w:val="bottom"/>
          </w:tcPr>
          <w:p w14:paraId="71D3EB1F" w14:textId="77777777" w:rsidR="006A3667" w:rsidRDefault="006A3667">
            <w:pPr>
              <w:rPr>
                <w:rFonts w:ascii="宋体"/>
                <w:vanish/>
              </w:rPr>
            </w:pPr>
          </w:p>
        </w:tc>
        <w:tc>
          <w:tcPr>
            <w:tcW w:w="0" w:type="auto"/>
            <w:gridSpan w:val="3"/>
            <w:shd w:val="clear" w:color="auto" w:fill="auto"/>
            <w:vAlign w:val="bottom"/>
          </w:tcPr>
          <w:p w14:paraId="71D3EB20" w14:textId="77777777" w:rsidR="006A3667" w:rsidRDefault="006A3667">
            <w:pPr>
              <w:rPr>
                <w:rFonts w:ascii="宋体"/>
                <w:vanish/>
              </w:rPr>
            </w:pPr>
          </w:p>
        </w:tc>
        <w:tc>
          <w:tcPr>
            <w:tcW w:w="0" w:type="auto"/>
            <w:shd w:val="clear" w:color="auto" w:fill="auto"/>
            <w:vAlign w:val="bottom"/>
          </w:tcPr>
          <w:p w14:paraId="71D3EB21" w14:textId="77777777" w:rsidR="006A3667" w:rsidRDefault="006A3667">
            <w:pPr>
              <w:rPr>
                <w:rFonts w:ascii="宋体"/>
                <w:vanish/>
              </w:rPr>
            </w:pPr>
          </w:p>
        </w:tc>
      </w:tr>
      <w:tr w:rsidR="006A3667" w14:paraId="71D3EB30" w14:textId="77777777">
        <w:trPr>
          <w:hidden/>
        </w:trPr>
        <w:tc>
          <w:tcPr>
            <w:tcW w:w="0" w:type="auto"/>
            <w:gridSpan w:val="3"/>
            <w:shd w:val="clear" w:color="auto" w:fill="auto"/>
            <w:vAlign w:val="bottom"/>
          </w:tcPr>
          <w:p w14:paraId="71D3EB23" w14:textId="77777777" w:rsidR="006A3667" w:rsidRDefault="006A3667">
            <w:pPr>
              <w:rPr>
                <w:rFonts w:ascii="宋体"/>
                <w:vanish/>
              </w:rPr>
            </w:pPr>
          </w:p>
        </w:tc>
        <w:tc>
          <w:tcPr>
            <w:tcW w:w="0" w:type="auto"/>
            <w:gridSpan w:val="3"/>
            <w:shd w:val="clear" w:color="auto" w:fill="auto"/>
            <w:vAlign w:val="bottom"/>
          </w:tcPr>
          <w:p w14:paraId="71D3EB24" w14:textId="77777777" w:rsidR="006A3667" w:rsidRDefault="006A3667">
            <w:pPr>
              <w:rPr>
                <w:rFonts w:ascii="宋体"/>
                <w:vanish/>
              </w:rPr>
            </w:pPr>
          </w:p>
        </w:tc>
        <w:tc>
          <w:tcPr>
            <w:tcW w:w="0" w:type="auto"/>
            <w:gridSpan w:val="3"/>
            <w:shd w:val="clear" w:color="auto" w:fill="auto"/>
            <w:vAlign w:val="bottom"/>
          </w:tcPr>
          <w:p w14:paraId="71D3EB25" w14:textId="77777777" w:rsidR="006A3667" w:rsidRDefault="006A3667">
            <w:pPr>
              <w:rPr>
                <w:rFonts w:ascii="宋体"/>
                <w:vanish/>
              </w:rPr>
            </w:pPr>
          </w:p>
        </w:tc>
        <w:tc>
          <w:tcPr>
            <w:tcW w:w="0" w:type="auto"/>
            <w:gridSpan w:val="3"/>
            <w:shd w:val="clear" w:color="auto" w:fill="auto"/>
            <w:vAlign w:val="bottom"/>
          </w:tcPr>
          <w:p w14:paraId="71D3EB26" w14:textId="77777777" w:rsidR="006A3667" w:rsidRDefault="006A3667">
            <w:pPr>
              <w:rPr>
                <w:rFonts w:ascii="宋体"/>
                <w:vanish/>
              </w:rPr>
            </w:pPr>
          </w:p>
        </w:tc>
        <w:tc>
          <w:tcPr>
            <w:tcW w:w="0" w:type="auto"/>
            <w:gridSpan w:val="3"/>
            <w:shd w:val="clear" w:color="auto" w:fill="auto"/>
            <w:vAlign w:val="bottom"/>
          </w:tcPr>
          <w:p w14:paraId="71D3EB27" w14:textId="77777777" w:rsidR="006A3667" w:rsidRDefault="006A3667">
            <w:pPr>
              <w:rPr>
                <w:rFonts w:ascii="宋体"/>
                <w:vanish/>
              </w:rPr>
            </w:pPr>
          </w:p>
        </w:tc>
        <w:tc>
          <w:tcPr>
            <w:tcW w:w="0" w:type="auto"/>
            <w:gridSpan w:val="3"/>
            <w:shd w:val="clear" w:color="auto" w:fill="auto"/>
            <w:vAlign w:val="bottom"/>
          </w:tcPr>
          <w:p w14:paraId="71D3EB28" w14:textId="77777777" w:rsidR="006A3667" w:rsidRDefault="006A3667">
            <w:pPr>
              <w:rPr>
                <w:rFonts w:ascii="宋体"/>
                <w:vanish/>
              </w:rPr>
            </w:pPr>
          </w:p>
        </w:tc>
        <w:tc>
          <w:tcPr>
            <w:tcW w:w="0" w:type="auto"/>
            <w:gridSpan w:val="3"/>
            <w:shd w:val="clear" w:color="auto" w:fill="auto"/>
            <w:vAlign w:val="bottom"/>
          </w:tcPr>
          <w:p w14:paraId="71D3EB29" w14:textId="77777777" w:rsidR="006A3667" w:rsidRDefault="006A3667">
            <w:pPr>
              <w:rPr>
                <w:rFonts w:ascii="宋体"/>
                <w:vanish/>
              </w:rPr>
            </w:pPr>
          </w:p>
        </w:tc>
        <w:tc>
          <w:tcPr>
            <w:tcW w:w="0" w:type="auto"/>
            <w:gridSpan w:val="3"/>
            <w:shd w:val="clear" w:color="auto" w:fill="auto"/>
            <w:vAlign w:val="bottom"/>
          </w:tcPr>
          <w:p w14:paraId="71D3EB2A" w14:textId="77777777" w:rsidR="006A3667" w:rsidRDefault="006A3667">
            <w:pPr>
              <w:rPr>
                <w:rFonts w:ascii="宋体"/>
                <w:vanish/>
              </w:rPr>
            </w:pPr>
          </w:p>
        </w:tc>
        <w:tc>
          <w:tcPr>
            <w:tcW w:w="0" w:type="auto"/>
            <w:gridSpan w:val="3"/>
            <w:shd w:val="clear" w:color="auto" w:fill="auto"/>
            <w:vAlign w:val="bottom"/>
          </w:tcPr>
          <w:p w14:paraId="71D3EB2B" w14:textId="77777777" w:rsidR="006A3667" w:rsidRDefault="006A3667">
            <w:pPr>
              <w:rPr>
                <w:rFonts w:ascii="宋体"/>
                <w:vanish/>
              </w:rPr>
            </w:pPr>
          </w:p>
        </w:tc>
        <w:tc>
          <w:tcPr>
            <w:tcW w:w="0" w:type="auto"/>
            <w:gridSpan w:val="3"/>
            <w:shd w:val="clear" w:color="auto" w:fill="auto"/>
            <w:vAlign w:val="bottom"/>
          </w:tcPr>
          <w:p w14:paraId="71D3EB2C" w14:textId="77777777" w:rsidR="006A3667" w:rsidRDefault="006A3667">
            <w:pPr>
              <w:rPr>
                <w:rFonts w:ascii="宋体"/>
                <w:vanish/>
              </w:rPr>
            </w:pPr>
          </w:p>
        </w:tc>
        <w:tc>
          <w:tcPr>
            <w:tcW w:w="0" w:type="auto"/>
            <w:gridSpan w:val="3"/>
            <w:shd w:val="clear" w:color="auto" w:fill="auto"/>
            <w:vAlign w:val="bottom"/>
          </w:tcPr>
          <w:p w14:paraId="71D3EB2D" w14:textId="77777777" w:rsidR="006A3667" w:rsidRDefault="006A3667">
            <w:pPr>
              <w:rPr>
                <w:rFonts w:ascii="宋体"/>
                <w:vanish/>
              </w:rPr>
            </w:pPr>
          </w:p>
        </w:tc>
        <w:tc>
          <w:tcPr>
            <w:tcW w:w="0" w:type="auto"/>
            <w:gridSpan w:val="3"/>
            <w:shd w:val="clear" w:color="auto" w:fill="auto"/>
            <w:vAlign w:val="bottom"/>
          </w:tcPr>
          <w:p w14:paraId="71D3EB2E" w14:textId="77777777" w:rsidR="006A3667" w:rsidRDefault="006A3667">
            <w:pPr>
              <w:rPr>
                <w:rFonts w:ascii="宋体"/>
                <w:vanish/>
              </w:rPr>
            </w:pPr>
          </w:p>
        </w:tc>
        <w:tc>
          <w:tcPr>
            <w:tcW w:w="0" w:type="auto"/>
            <w:shd w:val="clear" w:color="auto" w:fill="auto"/>
            <w:vAlign w:val="bottom"/>
          </w:tcPr>
          <w:p w14:paraId="71D3EB2F" w14:textId="77777777" w:rsidR="006A3667" w:rsidRDefault="006A3667">
            <w:pPr>
              <w:rPr>
                <w:rFonts w:ascii="宋体"/>
                <w:vanish/>
              </w:rPr>
            </w:pPr>
          </w:p>
        </w:tc>
      </w:tr>
      <w:tr w:rsidR="006A3667" w14:paraId="71D3EB3E" w14:textId="77777777">
        <w:trPr>
          <w:hidden/>
        </w:trPr>
        <w:tc>
          <w:tcPr>
            <w:tcW w:w="0" w:type="auto"/>
            <w:gridSpan w:val="3"/>
            <w:shd w:val="clear" w:color="auto" w:fill="auto"/>
            <w:vAlign w:val="bottom"/>
          </w:tcPr>
          <w:p w14:paraId="71D3EB31" w14:textId="77777777" w:rsidR="006A3667" w:rsidRDefault="006A3667">
            <w:pPr>
              <w:rPr>
                <w:rFonts w:ascii="宋体"/>
                <w:vanish/>
              </w:rPr>
            </w:pPr>
          </w:p>
        </w:tc>
        <w:tc>
          <w:tcPr>
            <w:tcW w:w="0" w:type="auto"/>
            <w:gridSpan w:val="3"/>
            <w:shd w:val="clear" w:color="auto" w:fill="auto"/>
            <w:vAlign w:val="bottom"/>
          </w:tcPr>
          <w:p w14:paraId="71D3EB32" w14:textId="77777777" w:rsidR="006A3667" w:rsidRDefault="006A3667">
            <w:pPr>
              <w:rPr>
                <w:rFonts w:ascii="宋体"/>
                <w:vanish/>
              </w:rPr>
            </w:pPr>
          </w:p>
        </w:tc>
        <w:tc>
          <w:tcPr>
            <w:tcW w:w="0" w:type="auto"/>
            <w:gridSpan w:val="3"/>
            <w:shd w:val="clear" w:color="auto" w:fill="auto"/>
            <w:vAlign w:val="bottom"/>
          </w:tcPr>
          <w:p w14:paraId="71D3EB33" w14:textId="77777777" w:rsidR="006A3667" w:rsidRDefault="006A3667">
            <w:pPr>
              <w:rPr>
                <w:rFonts w:ascii="宋体"/>
                <w:vanish/>
              </w:rPr>
            </w:pPr>
          </w:p>
        </w:tc>
        <w:tc>
          <w:tcPr>
            <w:tcW w:w="0" w:type="auto"/>
            <w:gridSpan w:val="3"/>
            <w:shd w:val="clear" w:color="auto" w:fill="auto"/>
            <w:vAlign w:val="bottom"/>
          </w:tcPr>
          <w:p w14:paraId="71D3EB34" w14:textId="77777777" w:rsidR="006A3667" w:rsidRDefault="006A3667">
            <w:pPr>
              <w:rPr>
                <w:rFonts w:ascii="宋体"/>
                <w:vanish/>
              </w:rPr>
            </w:pPr>
          </w:p>
        </w:tc>
        <w:tc>
          <w:tcPr>
            <w:tcW w:w="0" w:type="auto"/>
            <w:gridSpan w:val="3"/>
            <w:shd w:val="clear" w:color="auto" w:fill="auto"/>
            <w:vAlign w:val="bottom"/>
          </w:tcPr>
          <w:p w14:paraId="71D3EB35" w14:textId="77777777" w:rsidR="006A3667" w:rsidRDefault="006A3667">
            <w:pPr>
              <w:rPr>
                <w:rFonts w:ascii="宋体"/>
                <w:vanish/>
              </w:rPr>
            </w:pPr>
          </w:p>
        </w:tc>
        <w:tc>
          <w:tcPr>
            <w:tcW w:w="0" w:type="auto"/>
            <w:gridSpan w:val="3"/>
            <w:shd w:val="clear" w:color="auto" w:fill="auto"/>
            <w:vAlign w:val="bottom"/>
          </w:tcPr>
          <w:p w14:paraId="71D3EB36" w14:textId="77777777" w:rsidR="006A3667" w:rsidRDefault="006A3667">
            <w:pPr>
              <w:rPr>
                <w:rFonts w:ascii="宋体"/>
                <w:vanish/>
              </w:rPr>
            </w:pPr>
          </w:p>
        </w:tc>
        <w:tc>
          <w:tcPr>
            <w:tcW w:w="0" w:type="auto"/>
            <w:gridSpan w:val="3"/>
            <w:shd w:val="clear" w:color="auto" w:fill="auto"/>
            <w:vAlign w:val="bottom"/>
          </w:tcPr>
          <w:p w14:paraId="71D3EB37" w14:textId="77777777" w:rsidR="006A3667" w:rsidRDefault="006A3667">
            <w:pPr>
              <w:rPr>
                <w:rFonts w:ascii="宋体"/>
                <w:vanish/>
              </w:rPr>
            </w:pPr>
          </w:p>
        </w:tc>
        <w:tc>
          <w:tcPr>
            <w:tcW w:w="0" w:type="auto"/>
            <w:gridSpan w:val="3"/>
            <w:shd w:val="clear" w:color="auto" w:fill="auto"/>
            <w:vAlign w:val="bottom"/>
          </w:tcPr>
          <w:p w14:paraId="71D3EB38" w14:textId="77777777" w:rsidR="006A3667" w:rsidRDefault="006A3667">
            <w:pPr>
              <w:rPr>
                <w:rFonts w:ascii="宋体"/>
                <w:vanish/>
              </w:rPr>
            </w:pPr>
          </w:p>
        </w:tc>
        <w:tc>
          <w:tcPr>
            <w:tcW w:w="0" w:type="auto"/>
            <w:gridSpan w:val="3"/>
            <w:shd w:val="clear" w:color="auto" w:fill="auto"/>
            <w:vAlign w:val="bottom"/>
          </w:tcPr>
          <w:p w14:paraId="71D3EB39" w14:textId="77777777" w:rsidR="006A3667" w:rsidRDefault="006A3667">
            <w:pPr>
              <w:rPr>
                <w:rFonts w:ascii="宋体"/>
                <w:vanish/>
              </w:rPr>
            </w:pPr>
          </w:p>
        </w:tc>
        <w:tc>
          <w:tcPr>
            <w:tcW w:w="0" w:type="auto"/>
            <w:gridSpan w:val="3"/>
            <w:shd w:val="clear" w:color="auto" w:fill="auto"/>
            <w:vAlign w:val="bottom"/>
          </w:tcPr>
          <w:p w14:paraId="71D3EB3A" w14:textId="77777777" w:rsidR="006A3667" w:rsidRDefault="006A3667">
            <w:pPr>
              <w:rPr>
                <w:rFonts w:ascii="宋体"/>
                <w:vanish/>
              </w:rPr>
            </w:pPr>
          </w:p>
        </w:tc>
        <w:tc>
          <w:tcPr>
            <w:tcW w:w="0" w:type="auto"/>
            <w:gridSpan w:val="3"/>
            <w:shd w:val="clear" w:color="auto" w:fill="auto"/>
            <w:vAlign w:val="bottom"/>
          </w:tcPr>
          <w:p w14:paraId="71D3EB3B" w14:textId="77777777" w:rsidR="006A3667" w:rsidRDefault="006A3667">
            <w:pPr>
              <w:rPr>
                <w:rFonts w:ascii="宋体"/>
                <w:vanish/>
              </w:rPr>
            </w:pPr>
          </w:p>
        </w:tc>
        <w:tc>
          <w:tcPr>
            <w:tcW w:w="0" w:type="auto"/>
            <w:gridSpan w:val="3"/>
            <w:shd w:val="clear" w:color="auto" w:fill="auto"/>
            <w:vAlign w:val="bottom"/>
          </w:tcPr>
          <w:p w14:paraId="71D3EB3C" w14:textId="77777777" w:rsidR="006A3667" w:rsidRDefault="006A3667">
            <w:pPr>
              <w:rPr>
                <w:rFonts w:ascii="宋体"/>
                <w:vanish/>
              </w:rPr>
            </w:pPr>
          </w:p>
        </w:tc>
        <w:tc>
          <w:tcPr>
            <w:tcW w:w="0" w:type="auto"/>
            <w:shd w:val="clear" w:color="auto" w:fill="auto"/>
            <w:vAlign w:val="bottom"/>
          </w:tcPr>
          <w:p w14:paraId="71D3EB3D" w14:textId="77777777" w:rsidR="006A3667" w:rsidRDefault="006A3667">
            <w:pPr>
              <w:rPr>
                <w:rFonts w:ascii="宋体"/>
                <w:vanish/>
              </w:rPr>
            </w:pPr>
          </w:p>
        </w:tc>
      </w:tr>
      <w:tr w:rsidR="006A3667" w14:paraId="71D3EB4C" w14:textId="77777777">
        <w:trPr>
          <w:hidden/>
        </w:trPr>
        <w:tc>
          <w:tcPr>
            <w:tcW w:w="0" w:type="auto"/>
            <w:gridSpan w:val="3"/>
            <w:shd w:val="clear" w:color="auto" w:fill="auto"/>
            <w:vAlign w:val="bottom"/>
          </w:tcPr>
          <w:p w14:paraId="71D3EB3F" w14:textId="77777777" w:rsidR="006A3667" w:rsidRDefault="006A3667">
            <w:pPr>
              <w:rPr>
                <w:rFonts w:ascii="宋体"/>
                <w:vanish/>
              </w:rPr>
            </w:pPr>
          </w:p>
        </w:tc>
        <w:tc>
          <w:tcPr>
            <w:tcW w:w="0" w:type="auto"/>
            <w:gridSpan w:val="3"/>
            <w:shd w:val="clear" w:color="auto" w:fill="auto"/>
            <w:vAlign w:val="bottom"/>
          </w:tcPr>
          <w:p w14:paraId="71D3EB40" w14:textId="77777777" w:rsidR="006A3667" w:rsidRDefault="006A3667">
            <w:pPr>
              <w:rPr>
                <w:rFonts w:ascii="宋体"/>
                <w:vanish/>
              </w:rPr>
            </w:pPr>
          </w:p>
        </w:tc>
        <w:tc>
          <w:tcPr>
            <w:tcW w:w="0" w:type="auto"/>
            <w:gridSpan w:val="3"/>
            <w:shd w:val="clear" w:color="auto" w:fill="auto"/>
            <w:vAlign w:val="bottom"/>
          </w:tcPr>
          <w:p w14:paraId="71D3EB41" w14:textId="77777777" w:rsidR="006A3667" w:rsidRDefault="006A3667">
            <w:pPr>
              <w:rPr>
                <w:rFonts w:ascii="宋体"/>
                <w:vanish/>
              </w:rPr>
            </w:pPr>
          </w:p>
        </w:tc>
        <w:tc>
          <w:tcPr>
            <w:tcW w:w="0" w:type="auto"/>
            <w:gridSpan w:val="3"/>
            <w:shd w:val="clear" w:color="auto" w:fill="auto"/>
            <w:vAlign w:val="bottom"/>
          </w:tcPr>
          <w:p w14:paraId="71D3EB42" w14:textId="77777777" w:rsidR="006A3667" w:rsidRDefault="006A3667">
            <w:pPr>
              <w:rPr>
                <w:rFonts w:ascii="宋体"/>
                <w:vanish/>
              </w:rPr>
            </w:pPr>
          </w:p>
        </w:tc>
        <w:tc>
          <w:tcPr>
            <w:tcW w:w="0" w:type="auto"/>
            <w:gridSpan w:val="3"/>
            <w:shd w:val="clear" w:color="auto" w:fill="auto"/>
            <w:vAlign w:val="bottom"/>
          </w:tcPr>
          <w:p w14:paraId="71D3EB43" w14:textId="77777777" w:rsidR="006A3667" w:rsidRDefault="006A3667">
            <w:pPr>
              <w:rPr>
                <w:rFonts w:ascii="宋体"/>
                <w:vanish/>
              </w:rPr>
            </w:pPr>
          </w:p>
        </w:tc>
        <w:tc>
          <w:tcPr>
            <w:tcW w:w="0" w:type="auto"/>
            <w:gridSpan w:val="3"/>
            <w:shd w:val="clear" w:color="auto" w:fill="auto"/>
            <w:vAlign w:val="bottom"/>
          </w:tcPr>
          <w:p w14:paraId="71D3EB44" w14:textId="77777777" w:rsidR="006A3667" w:rsidRDefault="006A3667">
            <w:pPr>
              <w:rPr>
                <w:rFonts w:ascii="宋体"/>
                <w:vanish/>
              </w:rPr>
            </w:pPr>
          </w:p>
        </w:tc>
        <w:tc>
          <w:tcPr>
            <w:tcW w:w="0" w:type="auto"/>
            <w:gridSpan w:val="3"/>
            <w:shd w:val="clear" w:color="auto" w:fill="auto"/>
            <w:vAlign w:val="bottom"/>
          </w:tcPr>
          <w:p w14:paraId="71D3EB45" w14:textId="77777777" w:rsidR="006A3667" w:rsidRDefault="006A3667">
            <w:pPr>
              <w:rPr>
                <w:rFonts w:ascii="宋体"/>
                <w:vanish/>
              </w:rPr>
            </w:pPr>
          </w:p>
        </w:tc>
        <w:tc>
          <w:tcPr>
            <w:tcW w:w="0" w:type="auto"/>
            <w:gridSpan w:val="3"/>
            <w:shd w:val="clear" w:color="auto" w:fill="auto"/>
            <w:vAlign w:val="bottom"/>
          </w:tcPr>
          <w:p w14:paraId="71D3EB46" w14:textId="77777777" w:rsidR="006A3667" w:rsidRDefault="006A3667">
            <w:pPr>
              <w:rPr>
                <w:rFonts w:ascii="宋体"/>
                <w:vanish/>
              </w:rPr>
            </w:pPr>
          </w:p>
        </w:tc>
        <w:tc>
          <w:tcPr>
            <w:tcW w:w="0" w:type="auto"/>
            <w:gridSpan w:val="3"/>
            <w:shd w:val="clear" w:color="auto" w:fill="auto"/>
            <w:vAlign w:val="bottom"/>
          </w:tcPr>
          <w:p w14:paraId="71D3EB47" w14:textId="77777777" w:rsidR="006A3667" w:rsidRDefault="006A3667">
            <w:pPr>
              <w:rPr>
                <w:rFonts w:ascii="宋体"/>
                <w:vanish/>
              </w:rPr>
            </w:pPr>
          </w:p>
        </w:tc>
        <w:tc>
          <w:tcPr>
            <w:tcW w:w="0" w:type="auto"/>
            <w:gridSpan w:val="3"/>
            <w:shd w:val="clear" w:color="auto" w:fill="auto"/>
            <w:vAlign w:val="bottom"/>
          </w:tcPr>
          <w:p w14:paraId="71D3EB48" w14:textId="77777777" w:rsidR="006A3667" w:rsidRDefault="006A3667">
            <w:pPr>
              <w:rPr>
                <w:rFonts w:ascii="宋体"/>
                <w:vanish/>
              </w:rPr>
            </w:pPr>
          </w:p>
        </w:tc>
        <w:tc>
          <w:tcPr>
            <w:tcW w:w="0" w:type="auto"/>
            <w:gridSpan w:val="3"/>
            <w:shd w:val="clear" w:color="auto" w:fill="auto"/>
            <w:vAlign w:val="bottom"/>
          </w:tcPr>
          <w:p w14:paraId="71D3EB49" w14:textId="77777777" w:rsidR="006A3667" w:rsidRDefault="006A3667">
            <w:pPr>
              <w:rPr>
                <w:rFonts w:ascii="宋体"/>
                <w:vanish/>
              </w:rPr>
            </w:pPr>
          </w:p>
        </w:tc>
        <w:tc>
          <w:tcPr>
            <w:tcW w:w="0" w:type="auto"/>
            <w:gridSpan w:val="3"/>
            <w:shd w:val="clear" w:color="auto" w:fill="auto"/>
            <w:vAlign w:val="bottom"/>
          </w:tcPr>
          <w:p w14:paraId="71D3EB4A" w14:textId="77777777" w:rsidR="006A3667" w:rsidRDefault="006A3667">
            <w:pPr>
              <w:rPr>
                <w:rFonts w:ascii="宋体"/>
                <w:vanish/>
              </w:rPr>
            </w:pPr>
          </w:p>
        </w:tc>
        <w:tc>
          <w:tcPr>
            <w:tcW w:w="0" w:type="auto"/>
            <w:shd w:val="clear" w:color="auto" w:fill="auto"/>
            <w:vAlign w:val="bottom"/>
          </w:tcPr>
          <w:p w14:paraId="71D3EB4B" w14:textId="77777777" w:rsidR="006A3667" w:rsidRDefault="006A3667">
            <w:pPr>
              <w:rPr>
                <w:rFonts w:ascii="宋体"/>
                <w:vanish/>
              </w:rPr>
            </w:pPr>
          </w:p>
        </w:tc>
      </w:tr>
      <w:tr w:rsidR="006A3667" w14:paraId="71D3EB5A" w14:textId="77777777">
        <w:trPr>
          <w:hidden/>
        </w:trPr>
        <w:tc>
          <w:tcPr>
            <w:tcW w:w="0" w:type="auto"/>
            <w:gridSpan w:val="3"/>
            <w:shd w:val="clear" w:color="auto" w:fill="auto"/>
            <w:vAlign w:val="bottom"/>
          </w:tcPr>
          <w:p w14:paraId="71D3EB4D" w14:textId="77777777" w:rsidR="006A3667" w:rsidRDefault="006A3667">
            <w:pPr>
              <w:rPr>
                <w:rFonts w:ascii="宋体"/>
                <w:vanish/>
              </w:rPr>
            </w:pPr>
          </w:p>
        </w:tc>
        <w:tc>
          <w:tcPr>
            <w:tcW w:w="0" w:type="auto"/>
            <w:gridSpan w:val="3"/>
            <w:shd w:val="clear" w:color="auto" w:fill="auto"/>
            <w:vAlign w:val="bottom"/>
          </w:tcPr>
          <w:p w14:paraId="71D3EB4E" w14:textId="77777777" w:rsidR="006A3667" w:rsidRDefault="006A3667">
            <w:pPr>
              <w:rPr>
                <w:rFonts w:ascii="宋体"/>
                <w:vanish/>
              </w:rPr>
            </w:pPr>
          </w:p>
        </w:tc>
        <w:tc>
          <w:tcPr>
            <w:tcW w:w="0" w:type="auto"/>
            <w:gridSpan w:val="3"/>
            <w:shd w:val="clear" w:color="auto" w:fill="auto"/>
            <w:vAlign w:val="bottom"/>
          </w:tcPr>
          <w:p w14:paraId="71D3EB4F" w14:textId="77777777" w:rsidR="006A3667" w:rsidRDefault="006A3667">
            <w:pPr>
              <w:rPr>
                <w:rFonts w:ascii="宋体"/>
                <w:vanish/>
              </w:rPr>
            </w:pPr>
          </w:p>
        </w:tc>
        <w:tc>
          <w:tcPr>
            <w:tcW w:w="0" w:type="auto"/>
            <w:gridSpan w:val="3"/>
            <w:shd w:val="clear" w:color="auto" w:fill="auto"/>
            <w:vAlign w:val="bottom"/>
          </w:tcPr>
          <w:p w14:paraId="71D3EB50" w14:textId="77777777" w:rsidR="006A3667" w:rsidRDefault="006A3667">
            <w:pPr>
              <w:rPr>
                <w:rFonts w:ascii="宋体"/>
                <w:vanish/>
              </w:rPr>
            </w:pPr>
          </w:p>
        </w:tc>
        <w:tc>
          <w:tcPr>
            <w:tcW w:w="0" w:type="auto"/>
            <w:gridSpan w:val="3"/>
            <w:shd w:val="clear" w:color="auto" w:fill="auto"/>
            <w:vAlign w:val="bottom"/>
          </w:tcPr>
          <w:p w14:paraId="71D3EB51" w14:textId="77777777" w:rsidR="006A3667" w:rsidRDefault="006A3667">
            <w:pPr>
              <w:rPr>
                <w:rFonts w:ascii="宋体"/>
                <w:vanish/>
              </w:rPr>
            </w:pPr>
          </w:p>
        </w:tc>
        <w:tc>
          <w:tcPr>
            <w:tcW w:w="0" w:type="auto"/>
            <w:gridSpan w:val="3"/>
            <w:shd w:val="clear" w:color="auto" w:fill="auto"/>
            <w:vAlign w:val="bottom"/>
          </w:tcPr>
          <w:p w14:paraId="71D3EB52" w14:textId="77777777" w:rsidR="006A3667" w:rsidRDefault="006A3667">
            <w:pPr>
              <w:rPr>
                <w:rFonts w:ascii="宋体"/>
                <w:vanish/>
              </w:rPr>
            </w:pPr>
          </w:p>
        </w:tc>
        <w:tc>
          <w:tcPr>
            <w:tcW w:w="0" w:type="auto"/>
            <w:gridSpan w:val="3"/>
            <w:shd w:val="clear" w:color="auto" w:fill="auto"/>
            <w:vAlign w:val="bottom"/>
          </w:tcPr>
          <w:p w14:paraId="71D3EB53" w14:textId="77777777" w:rsidR="006A3667" w:rsidRDefault="006A3667">
            <w:pPr>
              <w:rPr>
                <w:rFonts w:ascii="宋体"/>
                <w:vanish/>
              </w:rPr>
            </w:pPr>
          </w:p>
        </w:tc>
        <w:tc>
          <w:tcPr>
            <w:tcW w:w="0" w:type="auto"/>
            <w:gridSpan w:val="3"/>
            <w:shd w:val="clear" w:color="auto" w:fill="auto"/>
            <w:vAlign w:val="bottom"/>
          </w:tcPr>
          <w:p w14:paraId="71D3EB54" w14:textId="77777777" w:rsidR="006A3667" w:rsidRDefault="006A3667">
            <w:pPr>
              <w:rPr>
                <w:rFonts w:ascii="宋体"/>
                <w:vanish/>
              </w:rPr>
            </w:pPr>
          </w:p>
        </w:tc>
        <w:tc>
          <w:tcPr>
            <w:tcW w:w="0" w:type="auto"/>
            <w:gridSpan w:val="3"/>
            <w:shd w:val="clear" w:color="auto" w:fill="auto"/>
            <w:vAlign w:val="bottom"/>
          </w:tcPr>
          <w:p w14:paraId="71D3EB55" w14:textId="77777777" w:rsidR="006A3667" w:rsidRDefault="006A3667">
            <w:pPr>
              <w:rPr>
                <w:rFonts w:ascii="宋体"/>
                <w:vanish/>
              </w:rPr>
            </w:pPr>
          </w:p>
        </w:tc>
        <w:tc>
          <w:tcPr>
            <w:tcW w:w="0" w:type="auto"/>
            <w:gridSpan w:val="3"/>
            <w:shd w:val="clear" w:color="auto" w:fill="auto"/>
            <w:vAlign w:val="bottom"/>
          </w:tcPr>
          <w:p w14:paraId="71D3EB56" w14:textId="77777777" w:rsidR="006A3667" w:rsidRDefault="006A3667">
            <w:pPr>
              <w:rPr>
                <w:rFonts w:ascii="宋体"/>
                <w:vanish/>
              </w:rPr>
            </w:pPr>
          </w:p>
        </w:tc>
        <w:tc>
          <w:tcPr>
            <w:tcW w:w="0" w:type="auto"/>
            <w:gridSpan w:val="3"/>
            <w:shd w:val="clear" w:color="auto" w:fill="auto"/>
            <w:vAlign w:val="bottom"/>
          </w:tcPr>
          <w:p w14:paraId="71D3EB57" w14:textId="77777777" w:rsidR="006A3667" w:rsidRDefault="006A3667">
            <w:pPr>
              <w:rPr>
                <w:rFonts w:ascii="宋体"/>
                <w:vanish/>
              </w:rPr>
            </w:pPr>
          </w:p>
        </w:tc>
        <w:tc>
          <w:tcPr>
            <w:tcW w:w="0" w:type="auto"/>
            <w:gridSpan w:val="3"/>
            <w:shd w:val="clear" w:color="auto" w:fill="auto"/>
            <w:vAlign w:val="bottom"/>
          </w:tcPr>
          <w:p w14:paraId="71D3EB58" w14:textId="77777777" w:rsidR="006A3667" w:rsidRDefault="006A3667">
            <w:pPr>
              <w:rPr>
                <w:rFonts w:ascii="宋体"/>
                <w:vanish/>
              </w:rPr>
            </w:pPr>
          </w:p>
        </w:tc>
        <w:tc>
          <w:tcPr>
            <w:tcW w:w="0" w:type="auto"/>
            <w:shd w:val="clear" w:color="auto" w:fill="auto"/>
            <w:vAlign w:val="bottom"/>
          </w:tcPr>
          <w:p w14:paraId="71D3EB59" w14:textId="77777777" w:rsidR="006A3667" w:rsidRDefault="006A3667">
            <w:pPr>
              <w:rPr>
                <w:rFonts w:ascii="宋体"/>
                <w:vanish/>
              </w:rPr>
            </w:pPr>
          </w:p>
        </w:tc>
      </w:tr>
      <w:tr w:rsidR="006A3667" w14:paraId="71D3EB68" w14:textId="77777777">
        <w:trPr>
          <w:hidden/>
        </w:trPr>
        <w:tc>
          <w:tcPr>
            <w:tcW w:w="0" w:type="auto"/>
            <w:gridSpan w:val="3"/>
            <w:shd w:val="clear" w:color="auto" w:fill="auto"/>
            <w:vAlign w:val="bottom"/>
          </w:tcPr>
          <w:p w14:paraId="71D3EB5B" w14:textId="77777777" w:rsidR="006A3667" w:rsidRDefault="006A3667">
            <w:pPr>
              <w:rPr>
                <w:rFonts w:ascii="宋体"/>
                <w:vanish/>
              </w:rPr>
            </w:pPr>
          </w:p>
        </w:tc>
        <w:tc>
          <w:tcPr>
            <w:tcW w:w="0" w:type="auto"/>
            <w:gridSpan w:val="3"/>
            <w:shd w:val="clear" w:color="auto" w:fill="auto"/>
            <w:vAlign w:val="bottom"/>
          </w:tcPr>
          <w:p w14:paraId="71D3EB5C" w14:textId="77777777" w:rsidR="006A3667" w:rsidRDefault="006A3667">
            <w:pPr>
              <w:rPr>
                <w:rFonts w:ascii="宋体"/>
                <w:vanish/>
              </w:rPr>
            </w:pPr>
          </w:p>
        </w:tc>
        <w:tc>
          <w:tcPr>
            <w:tcW w:w="0" w:type="auto"/>
            <w:gridSpan w:val="3"/>
            <w:shd w:val="clear" w:color="auto" w:fill="auto"/>
            <w:vAlign w:val="bottom"/>
          </w:tcPr>
          <w:p w14:paraId="71D3EB5D" w14:textId="77777777" w:rsidR="006A3667" w:rsidRDefault="006A3667">
            <w:pPr>
              <w:rPr>
                <w:rFonts w:ascii="宋体"/>
                <w:vanish/>
              </w:rPr>
            </w:pPr>
          </w:p>
        </w:tc>
        <w:tc>
          <w:tcPr>
            <w:tcW w:w="0" w:type="auto"/>
            <w:gridSpan w:val="3"/>
            <w:shd w:val="clear" w:color="auto" w:fill="auto"/>
            <w:vAlign w:val="bottom"/>
          </w:tcPr>
          <w:p w14:paraId="71D3EB5E" w14:textId="77777777" w:rsidR="006A3667" w:rsidRDefault="006A3667">
            <w:pPr>
              <w:rPr>
                <w:rFonts w:ascii="宋体"/>
                <w:vanish/>
              </w:rPr>
            </w:pPr>
          </w:p>
        </w:tc>
        <w:tc>
          <w:tcPr>
            <w:tcW w:w="0" w:type="auto"/>
            <w:gridSpan w:val="3"/>
            <w:shd w:val="clear" w:color="auto" w:fill="auto"/>
            <w:vAlign w:val="bottom"/>
          </w:tcPr>
          <w:p w14:paraId="71D3EB5F" w14:textId="77777777" w:rsidR="006A3667" w:rsidRDefault="006A3667">
            <w:pPr>
              <w:rPr>
                <w:rFonts w:ascii="宋体"/>
                <w:vanish/>
              </w:rPr>
            </w:pPr>
          </w:p>
        </w:tc>
        <w:tc>
          <w:tcPr>
            <w:tcW w:w="0" w:type="auto"/>
            <w:gridSpan w:val="3"/>
            <w:shd w:val="clear" w:color="auto" w:fill="auto"/>
            <w:vAlign w:val="bottom"/>
          </w:tcPr>
          <w:p w14:paraId="71D3EB60" w14:textId="77777777" w:rsidR="006A3667" w:rsidRDefault="006A3667">
            <w:pPr>
              <w:rPr>
                <w:rFonts w:ascii="宋体"/>
                <w:vanish/>
              </w:rPr>
            </w:pPr>
          </w:p>
        </w:tc>
        <w:tc>
          <w:tcPr>
            <w:tcW w:w="0" w:type="auto"/>
            <w:gridSpan w:val="3"/>
            <w:shd w:val="clear" w:color="auto" w:fill="auto"/>
            <w:vAlign w:val="bottom"/>
          </w:tcPr>
          <w:p w14:paraId="71D3EB61" w14:textId="77777777" w:rsidR="006A3667" w:rsidRDefault="006A3667">
            <w:pPr>
              <w:rPr>
                <w:rFonts w:ascii="宋体"/>
                <w:vanish/>
              </w:rPr>
            </w:pPr>
          </w:p>
        </w:tc>
        <w:tc>
          <w:tcPr>
            <w:tcW w:w="0" w:type="auto"/>
            <w:gridSpan w:val="3"/>
            <w:shd w:val="clear" w:color="auto" w:fill="auto"/>
            <w:vAlign w:val="bottom"/>
          </w:tcPr>
          <w:p w14:paraId="71D3EB62" w14:textId="77777777" w:rsidR="006A3667" w:rsidRDefault="006A3667">
            <w:pPr>
              <w:rPr>
                <w:rFonts w:ascii="宋体"/>
                <w:vanish/>
              </w:rPr>
            </w:pPr>
          </w:p>
        </w:tc>
        <w:tc>
          <w:tcPr>
            <w:tcW w:w="0" w:type="auto"/>
            <w:gridSpan w:val="3"/>
            <w:shd w:val="clear" w:color="auto" w:fill="auto"/>
            <w:vAlign w:val="bottom"/>
          </w:tcPr>
          <w:p w14:paraId="71D3EB63" w14:textId="77777777" w:rsidR="006A3667" w:rsidRDefault="006A3667">
            <w:pPr>
              <w:rPr>
                <w:rFonts w:ascii="宋体"/>
                <w:vanish/>
              </w:rPr>
            </w:pPr>
          </w:p>
        </w:tc>
        <w:tc>
          <w:tcPr>
            <w:tcW w:w="0" w:type="auto"/>
            <w:gridSpan w:val="3"/>
            <w:shd w:val="clear" w:color="auto" w:fill="auto"/>
            <w:vAlign w:val="bottom"/>
          </w:tcPr>
          <w:p w14:paraId="71D3EB64" w14:textId="77777777" w:rsidR="006A3667" w:rsidRDefault="006A3667">
            <w:pPr>
              <w:rPr>
                <w:rFonts w:ascii="宋体"/>
                <w:vanish/>
              </w:rPr>
            </w:pPr>
          </w:p>
        </w:tc>
        <w:tc>
          <w:tcPr>
            <w:tcW w:w="0" w:type="auto"/>
            <w:gridSpan w:val="3"/>
            <w:shd w:val="clear" w:color="auto" w:fill="auto"/>
            <w:vAlign w:val="bottom"/>
          </w:tcPr>
          <w:p w14:paraId="71D3EB65" w14:textId="77777777" w:rsidR="006A3667" w:rsidRDefault="006A3667">
            <w:pPr>
              <w:rPr>
                <w:rFonts w:ascii="宋体"/>
                <w:vanish/>
              </w:rPr>
            </w:pPr>
          </w:p>
        </w:tc>
        <w:tc>
          <w:tcPr>
            <w:tcW w:w="0" w:type="auto"/>
            <w:gridSpan w:val="3"/>
            <w:shd w:val="clear" w:color="auto" w:fill="auto"/>
            <w:vAlign w:val="bottom"/>
          </w:tcPr>
          <w:p w14:paraId="71D3EB66" w14:textId="77777777" w:rsidR="006A3667" w:rsidRDefault="006A3667">
            <w:pPr>
              <w:rPr>
                <w:rFonts w:ascii="宋体"/>
                <w:vanish/>
              </w:rPr>
            </w:pPr>
          </w:p>
        </w:tc>
        <w:tc>
          <w:tcPr>
            <w:tcW w:w="0" w:type="auto"/>
            <w:shd w:val="clear" w:color="auto" w:fill="auto"/>
            <w:vAlign w:val="bottom"/>
          </w:tcPr>
          <w:p w14:paraId="71D3EB67" w14:textId="77777777" w:rsidR="006A3667" w:rsidRDefault="006A3667">
            <w:pPr>
              <w:rPr>
                <w:rFonts w:ascii="宋体"/>
                <w:vanish/>
              </w:rPr>
            </w:pPr>
          </w:p>
        </w:tc>
      </w:tr>
      <w:tr w:rsidR="006A3667" w14:paraId="71D3EB76" w14:textId="77777777">
        <w:trPr>
          <w:hidden/>
        </w:trPr>
        <w:tc>
          <w:tcPr>
            <w:tcW w:w="0" w:type="auto"/>
            <w:gridSpan w:val="3"/>
            <w:shd w:val="clear" w:color="auto" w:fill="auto"/>
            <w:vAlign w:val="bottom"/>
          </w:tcPr>
          <w:p w14:paraId="71D3EB69" w14:textId="77777777" w:rsidR="006A3667" w:rsidRDefault="006A3667">
            <w:pPr>
              <w:rPr>
                <w:rFonts w:ascii="宋体"/>
                <w:vanish/>
              </w:rPr>
            </w:pPr>
          </w:p>
        </w:tc>
        <w:tc>
          <w:tcPr>
            <w:tcW w:w="0" w:type="auto"/>
            <w:gridSpan w:val="3"/>
            <w:shd w:val="clear" w:color="auto" w:fill="auto"/>
            <w:vAlign w:val="bottom"/>
          </w:tcPr>
          <w:p w14:paraId="71D3EB6A" w14:textId="77777777" w:rsidR="006A3667" w:rsidRDefault="006A3667">
            <w:pPr>
              <w:rPr>
                <w:rFonts w:ascii="宋体"/>
                <w:vanish/>
              </w:rPr>
            </w:pPr>
          </w:p>
        </w:tc>
        <w:tc>
          <w:tcPr>
            <w:tcW w:w="0" w:type="auto"/>
            <w:gridSpan w:val="3"/>
            <w:shd w:val="clear" w:color="auto" w:fill="auto"/>
            <w:vAlign w:val="bottom"/>
          </w:tcPr>
          <w:p w14:paraId="71D3EB6B" w14:textId="77777777" w:rsidR="006A3667" w:rsidRDefault="006A3667">
            <w:pPr>
              <w:rPr>
                <w:rFonts w:ascii="宋体"/>
                <w:vanish/>
              </w:rPr>
            </w:pPr>
          </w:p>
        </w:tc>
        <w:tc>
          <w:tcPr>
            <w:tcW w:w="0" w:type="auto"/>
            <w:gridSpan w:val="3"/>
            <w:shd w:val="clear" w:color="auto" w:fill="auto"/>
            <w:vAlign w:val="bottom"/>
          </w:tcPr>
          <w:p w14:paraId="71D3EB6C" w14:textId="77777777" w:rsidR="006A3667" w:rsidRDefault="006A3667">
            <w:pPr>
              <w:rPr>
                <w:rFonts w:ascii="宋体"/>
                <w:vanish/>
              </w:rPr>
            </w:pPr>
          </w:p>
        </w:tc>
        <w:tc>
          <w:tcPr>
            <w:tcW w:w="0" w:type="auto"/>
            <w:gridSpan w:val="3"/>
            <w:shd w:val="clear" w:color="auto" w:fill="auto"/>
            <w:vAlign w:val="bottom"/>
          </w:tcPr>
          <w:p w14:paraId="71D3EB6D" w14:textId="77777777" w:rsidR="006A3667" w:rsidRDefault="006A3667">
            <w:pPr>
              <w:rPr>
                <w:rFonts w:ascii="宋体"/>
                <w:vanish/>
              </w:rPr>
            </w:pPr>
          </w:p>
        </w:tc>
        <w:tc>
          <w:tcPr>
            <w:tcW w:w="0" w:type="auto"/>
            <w:gridSpan w:val="3"/>
            <w:shd w:val="clear" w:color="auto" w:fill="auto"/>
            <w:vAlign w:val="bottom"/>
          </w:tcPr>
          <w:p w14:paraId="71D3EB6E" w14:textId="77777777" w:rsidR="006A3667" w:rsidRDefault="006A3667">
            <w:pPr>
              <w:rPr>
                <w:rFonts w:ascii="宋体"/>
                <w:vanish/>
              </w:rPr>
            </w:pPr>
          </w:p>
        </w:tc>
        <w:tc>
          <w:tcPr>
            <w:tcW w:w="0" w:type="auto"/>
            <w:gridSpan w:val="3"/>
            <w:shd w:val="clear" w:color="auto" w:fill="auto"/>
            <w:vAlign w:val="bottom"/>
          </w:tcPr>
          <w:p w14:paraId="71D3EB6F" w14:textId="77777777" w:rsidR="006A3667" w:rsidRDefault="006A3667">
            <w:pPr>
              <w:rPr>
                <w:rFonts w:ascii="宋体"/>
                <w:vanish/>
              </w:rPr>
            </w:pPr>
          </w:p>
        </w:tc>
        <w:tc>
          <w:tcPr>
            <w:tcW w:w="0" w:type="auto"/>
            <w:gridSpan w:val="3"/>
            <w:shd w:val="clear" w:color="auto" w:fill="auto"/>
            <w:vAlign w:val="bottom"/>
          </w:tcPr>
          <w:p w14:paraId="71D3EB70" w14:textId="77777777" w:rsidR="006A3667" w:rsidRDefault="006A3667">
            <w:pPr>
              <w:rPr>
                <w:rFonts w:ascii="宋体"/>
                <w:vanish/>
              </w:rPr>
            </w:pPr>
          </w:p>
        </w:tc>
        <w:tc>
          <w:tcPr>
            <w:tcW w:w="0" w:type="auto"/>
            <w:gridSpan w:val="3"/>
            <w:shd w:val="clear" w:color="auto" w:fill="auto"/>
            <w:vAlign w:val="bottom"/>
          </w:tcPr>
          <w:p w14:paraId="71D3EB71" w14:textId="77777777" w:rsidR="006A3667" w:rsidRDefault="006A3667">
            <w:pPr>
              <w:rPr>
                <w:rFonts w:ascii="宋体"/>
                <w:vanish/>
              </w:rPr>
            </w:pPr>
          </w:p>
        </w:tc>
        <w:tc>
          <w:tcPr>
            <w:tcW w:w="0" w:type="auto"/>
            <w:gridSpan w:val="3"/>
            <w:shd w:val="clear" w:color="auto" w:fill="auto"/>
            <w:vAlign w:val="bottom"/>
          </w:tcPr>
          <w:p w14:paraId="71D3EB72" w14:textId="77777777" w:rsidR="006A3667" w:rsidRDefault="006A3667">
            <w:pPr>
              <w:rPr>
                <w:rFonts w:ascii="宋体"/>
                <w:vanish/>
              </w:rPr>
            </w:pPr>
          </w:p>
        </w:tc>
        <w:tc>
          <w:tcPr>
            <w:tcW w:w="0" w:type="auto"/>
            <w:gridSpan w:val="3"/>
            <w:shd w:val="clear" w:color="auto" w:fill="auto"/>
            <w:vAlign w:val="bottom"/>
          </w:tcPr>
          <w:p w14:paraId="71D3EB73" w14:textId="77777777" w:rsidR="006A3667" w:rsidRDefault="006A3667">
            <w:pPr>
              <w:rPr>
                <w:rFonts w:ascii="宋体"/>
                <w:vanish/>
              </w:rPr>
            </w:pPr>
          </w:p>
        </w:tc>
        <w:tc>
          <w:tcPr>
            <w:tcW w:w="0" w:type="auto"/>
            <w:gridSpan w:val="3"/>
            <w:shd w:val="clear" w:color="auto" w:fill="auto"/>
            <w:vAlign w:val="bottom"/>
          </w:tcPr>
          <w:p w14:paraId="71D3EB74" w14:textId="77777777" w:rsidR="006A3667" w:rsidRDefault="006A3667">
            <w:pPr>
              <w:rPr>
                <w:rFonts w:ascii="宋体"/>
                <w:vanish/>
              </w:rPr>
            </w:pPr>
          </w:p>
        </w:tc>
        <w:tc>
          <w:tcPr>
            <w:tcW w:w="0" w:type="auto"/>
            <w:shd w:val="clear" w:color="auto" w:fill="auto"/>
            <w:vAlign w:val="bottom"/>
          </w:tcPr>
          <w:p w14:paraId="71D3EB75" w14:textId="77777777" w:rsidR="006A3667" w:rsidRDefault="006A3667">
            <w:pPr>
              <w:rPr>
                <w:rFonts w:ascii="宋体"/>
                <w:vanish/>
              </w:rPr>
            </w:pPr>
          </w:p>
        </w:tc>
      </w:tr>
      <w:tr w:rsidR="006A3667" w14:paraId="71D3EB84" w14:textId="77777777">
        <w:trPr>
          <w:hidden/>
        </w:trPr>
        <w:tc>
          <w:tcPr>
            <w:tcW w:w="0" w:type="auto"/>
            <w:gridSpan w:val="3"/>
            <w:shd w:val="clear" w:color="auto" w:fill="auto"/>
            <w:vAlign w:val="bottom"/>
          </w:tcPr>
          <w:p w14:paraId="71D3EB77" w14:textId="77777777" w:rsidR="006A3667" w:rsidRDefault="006A3667">
            <w:pPr>
              <w:rPr>
                <w:rFonts w:ascii="宋体"/>
                <w:vanish/>
              </w:rPr>
            </w:pPr>
          </w:p>
        </w:tc>
        <w:tc>
          <w:tcPr>
            <w:tcW w:w="0" w:type="auto"/>
            <w:gridSpan w:val="3"/>
            <w:shd w:val="clear" w:color="auto" w:fill="auto"/>
            <w:vAlign w:val="bottom"/>
          </w:tcPr>
          <w:p w14:paraId="71D3EB78" w14:textId="77777777" w:rsidR="006A3667" w:rsidRDefault="006A3667">
            <w:pPr>
              <w:rPr>
                <w:rFonts w:ascii="宋体"/>
                <w:vanish/>
              </w:rPr>
            </w:pPr>
          </w:p>
        </w:tc>
        <w:tc>
          <w:tcPr>
            <w:tcW w:w="0" w:type="auto"/>
            <w:gridSpan w:val="3"/>
            <w:shd w:val="clear" w:color="auto" w:fill="auto"/>
            <w:vAlign w:val="bottom"/>
          </w:tcPr>
          <w:p w14:paraId="71D3EB79" w14:textId="77777777" w:rsidR="006A3667" w:rsidRDefault="006A3667">
            <w:pPr>
              <w:rPr>
                <w:rFonts w:ascii="宋体"/>
                <w:vanish/>
              </w:rPr>
            </w:pPr>
          </w:p>
        </w:tc>
        <w:tc>
          <w:tcPr>
            <w:tcW w:w="0" w:type="auto"/>
            <w:gridSpan w:val="3"/>
            <w:shd w:val="clear" w:color="auto" w:fill="auto"/>
            <w:vAlign w:val="bottom"/>
          </w:tcPr>
          <w:p w14:paraId="71D3EB7A" w14:textId="77777777" w:rsidR="006A3667" w:rsidRDefault="006A3667">
            <w:pPr>
              <w:rPr>
                <w:rFonts w:ascii="宋体"/>
                <w:vanish/>
              </w:rPr>
            </w:pPr>
          </w:p>
        </w:tc>
        <w:tc>
          <w:tcPr>
            <w:tcW w:w="0" w:type="auto"/>
            <w:gridSpan w:val="3"/>
            <w:shd w:val="clear" w:color="auto" w:fill="auto"/>
            <w:vAlign w:val="bottom"/>
          </w:tcPr>
          <w:p w14:paraId="71D3EB7B" w14:textId="77777777" w:rsidR="006A3667" w:rsidRDefault="006A3667">
            <w:pPr>
              <w:rPr>
                <w:rFonts w:ascii="宋体"/>
                <w:vanish/>
              </w:rPr>
            </w:pPr>
          </w:p>
        </w:tc>
        <w:tc>
          <w:tcPr>
            <w:tcW w:w="0" w:type="auto"/>
            <w:gridSpan w:val="3"/>
            <w:shd w:val="clear" w:color="auto" w:fill="auto"/>
            <w:vAlign w:val="bottom"/>
          </w:tcPr>
          <w:p w14:paraId="71D3EB7C" w14:textId="77777777" w:rsidR="006A3667" w:rsidRDefault="006A3667">
            <w:pPr>
              <w:rPr>
                <w:rFonts w:ascii="宋体"/>
                <w:vanish/>
              </w:rPr>
            </w:pPr>
          </w:p>
        </w:tc>
        <w:tc>
          <w:tcPr>
            <w:tcW w:w="0" w:type="auto"/>
            <w:gridSpan w:val="3"/>
            <w:shd w:val="clear" w:color="auto" w:fill="auto"/>
            <w:vAlign w:val="bottom"/>
          </w:tcPr>
          <w:p w14:paraId="71D3EB7D" w14:textId="77777777" w:rsidR="006A3667" w:rsidRDefault="006A3667">
            <w:pPr>
              <w:rPr>
                <w:rFonts w:ascii="宋体"/>
                <w:vanish/>
              </w:rPr>
            </w:pPr>
          </w:p>
        </w:tc>
        <w:tc>
          <w:tcPr>
            <w:tcW w:w="0" w:type="auto"/>
            <w:gridSpan w:val="3"/>
            <w:shd w:val="clear" w:color="auto" w:fill="auto"/>
            <w:vAlign w:val="bottom"/>
          </w:tcPr>
          <w:p w14:paraId="71D3EB7E" w14:textId="77777777" w:rsidR="006A3667" w:rsidRDefault="006A3667">
            <w:pPr>
              <w:rPr>
                <w:rFonts w:ascii="宋体"/>
                <w:vanish/>
              </w:rPr>
            </w:pPr>
          </w:p>
        </w:tc>
        <w:tc>
          <w:tcPr>
            <w:tcW w:w="0" w:type="auto"/>
            <w:gridSpan w:val="3"/>
            <w:shd w:val="clear" w:color="auto" w:fill="auto"/>
            <w:vAlign w:val="bottom"/>
          </w:tcPr>
          <w:p w14:paraId="71D3EB7F" w14:textId="77777777" w:rsidR="006A3667" w:rsidRDefault="006A3667">
            <w:pPr>
              <w:rPr>
                <w:rFonts w:ascii="宋体"/>
                <w:vanish/>
              </w:rPr>
            </w:pPr>
          </w:p>
        </w:tc>
        <w:tc>
          <w:tcPr>
            <w:tcW w:w="0" w:type="auto"/>
            <w:gridSpan w:val="3"/>
            <w:shd w:val="clear" w:color="auto" w:fill="auto"/>
            <w:vAlign w:val="bottom"/>
          </w:tcPr>
          <w:p w14:paraId="71D3EB80" w14:textId="77777777" w:rsidR="006A3667" w:rsidRDefault="006A3667">
            <w:pPr>
              <w:rPr>
                <w:rFonts w:ascii="宋体"/>
                <w:vanish/>
              </w:rPr>
            </w:pPr>
          </w:p>
        </w:tc>
        <w:tc>
          <w:tcPr>
            <w:tcW w:w="0" w:type="auto"/>
            <w:gridSpan w:val="3"/>
            <w:shd w:val="clear" w:color="auto" w:fill="auto"/>
            <w:vAlign w:val="bottom"/>
          </w:tcPr>
          <w:p w14:paraId="71D3EB81" w14:textId="77777777" w:rsidR="006A3667" w:rsidRDefault="006A3667">
            <w:pPr>
              <w:rPr>
                <w:rFonts w:ascii="宋体"/>
                <w:vanish/>
              </w:rPr>
            </w:pPr>
          </w:p>
        </w:tc>
        <w:tc>
          <w:tcPr>
            <w:tcW w:w="0" w:type="auto"/>
            <w:gridSpan w:val="3"/>
            <w:shd w:val="clear" w:color="auto" w:fill="auto"/>
            <w:vAlign w:val="bottom"/>
          </w:tcPr>
          <w:p w14:paraId="71D3EB82" w14:textId="77777777" w:rsidR="006A3667" w:rsidRDefault="006A3667">
            <w:pPr>
              <w:rPr>
                <w:rFonts w:ascii="宋体"/>
                <w:vanish/>
              </w:rPr>
            </w:pPr>
          </w:p>
        </w:tc>
        <w:tc>
          <w:tcPr>
            <w:tcW w:w="0" w:type="auto"/>
            <w:shd w:val="clear" w:color="auto" w:fill="auto"/>
            <w:vAlign w:val="bottom"/>
          </w:tcPr>
          <w:p w14:paraId="71D3EB83" w14:textId="77777777" w:rsidR="006A3667" w:rsidRDefault="006A3667">
            <w:pPr>
              <w:rPr>
                <w:rFonts w:ascii="宋体"/>
                <w:vanish/>
              </w:rPr>
            </w:pPr>
          </w:p>
        </w:tc>
      </w:tr>
      <w:tr w:rsidR="006A3667" w14:paraId="71D3EB92" w14:textId="77777777">
        <w:trPr>
          <w:hidden/>
        </w:trPr>
        <w:tc>
          <w:tcPr>
            <w:tcW w:w="0" w:type="auto"/>
            <w:gridSpan w:val="3"/>
            <w:shd w:val="clear" w:color="auto" w:fill="auto"/>
            <w:vAlign w:val="bottom"/>
          </w:tcPr>
          <w:p w14:paraId="71D3EB85" w14:textId="77777777" w:rsidR="006A3667" w:rsidRDefault="006A3667">
            <w:pPr>
              <w:rPr>
                <w:rFonts w:ascii="宋体"/>
                <w:vanish/>
              </w:rPr>
            </w:pPr>
          </w:p>
        </w:tc>
        <w:tc>
          <w:tcPr>
            <w:tcW w:w="0" w:type="auto"/>
            <w:gridSpan w:val="3"/>
            <w:shd w:val="clear" w:color="auto" w:fill="auto"/>
            <w:vAlign w:val="bottom"/>
          </w:tcPr>
          <w:p w14:paraId="71D3EB86" w14:textId="77777777" w:rsidR="006A3667" w:rsidRDefault="006A3667">
            <w:pPr>
              <w:rPr>
                <w:rFonts w:ascii="宋体"/>
                <w:vanish/>
              </w:rPr>
            </w:pPr>
          </w:p>
        </w:tc>
        <w:tc>
          <w:tcPr>
            <w:tcW w:w="0" w:type="auto"/>
            <w:gridSpan w:val="3"/>
            <w:shd w:val="clear" w:color="auto" w:fill="auto"/>
            <w:vAlign w:val="bottom"/>
          </w:tcPr>
          <w:p w14:paraId="71D3EB87" w14:textId="77777777" w:rsidR="006A3667" w:rsidRDefault="006A3667">
            <w:pPr>
              <w:rPr>
                <w:rFonts w:ascii="宋体"/>
                <w:vanish/>
              </w:rPr>
            </w:pPr>
          </w:p>
        </w:tc>
        <w:tc>
          <w:tcPr>
            <w:tcW w:w="0" w:type="auto"/>
            <w:gridSpan w:val="3"/>
            <w:shd w:val="clear" w:color="auto" w:fill="auto"/>
            <w:vAlign w:val="bottom"/>
          </w:tcPr>
          <w:p w14:paraId="71D3EB88" w14:textId="77777777" w:rsidR="006A3667" w:rsidRDefault="006A3667">
            <w:pPr>
              <w:rPr>
                <w:rFonts w:ascii="宋体"/>
                <w:vanish/>
              </w:rPr>
            </w:pPr>
          </w:p>
        </w:tc>
        <w:tc>
          <w:tcPr>
            <w:tcW w:w="0" w:type="auto"/>
            <w:gridSpan w:val="3"/>
            <w:shd w:val="clear" w:color="auto" w:fill="auto"/>
            <w:vAlign w:val="bottom"/>
          </w:tcPr>
          <w:p w14:paraId="71D3EB89" w14:textId="77777777" w:rsidR="006A3667" w:rsidRDefault="006A3667">
            <w:pPr>
              <w:rPr>
                <w:rFonts w:ascii="宋体"/>
                <w:vanish/>
              </w:rPr>
            </w:pPr>
          </w:p>
        </w:tc>
        <w:tc>
          <w:tcPr>
            <w:tcW w:w="0" w:type="auto"/>
            <w:gridSpan w:val="3"/>
            <w:shd w:val="clear" w:color="auto" w:fill="auto"/>
            <w:vAlign w:val="bottom"/>
          </w:tcPr>
          <w:p w14:paraId="71D3EB8A" w14:textId="77777777" w:rsidR="006A3667" w:rsidRDefault="006A3667">
            <w:pPr>
              <w:rPr>
                <w:rFonts w:ascii="宋体"/>
                <w:vanish/>
              </w:rPr>
            </w:pPr>
          </w:p>
        </w:tc>
        <w:tc>
          <w:tcPr>
            <w:tcW w:w="0" w:type="auto"/>
            <w:gridSpan w:val="3"/>
            <w:shd w:val="clear" w:color="auto" w:fill="auto"/>
            <w:vAlign w:val="bottom"/>
          </w:tcPr>
          <w:p w14:paraId="71D3EB8B" w14:textId="77777777" w:rsidR="006A3667" w:rsidRDefault="006A3667">
            <w:pPr>
              <w:rPr>
                <w:rFonts w:ascii="宋体"/>
                <w:vanish/>
              </w:rPr>
            </w:pPr>
          </w:p>
        </w:tc>
        <w:tc>
          <w:tcPr>
            <w:tcW w:w="0" w:type="auto"/>
            <w:gridSpan w:val="3"/>
            <w:shd w:val="clear" w:color="auto" w:fill="auto"/>
            <w:vAlign w:val="bottom"/>
          </w:tcPr>
          <w:p w14:paraId="71D3EB8C" w14:textId="77777777" w:rsidR="006A3667" w:rsidRDefault="006A3667">
            <w:pPr>
              <w:rPr>
                <w:rFonts w:ascii="宋体"/>
                <w:vanish/>
              </w:rPr>
            </w:pPr>
          </w:p>
        </w:tc>
        <w:tc>
          <w:tcPr>
            <w:tcW w:w="0" w:type="auto"/>
            <w:gridSpan w:val="3"/>
            <w:shd w:val="clear" w:color="auto" w:fill="auto"/>
            <w:vAlign w:val="bottom"/>
          </w:tcPr>
          <w:p w14:paraId="71D3EB8D" w14:textId="77777777" w:rsidR="006A3667" w:rsidRDefault="006A3667">
            <w:pPr>
              <w:rPr>
                <w:rFonts w:ascii="宋体"/>
                <w:vanish/>
              </w:rPr>
            </w:pPr>
          </w:p>
        </w:tc>
        <w:tc>
          <w:tcPr>
            <w:tcW w:w="0" w:type="auto"/>
            <w:gridSpan w:val="3"/>
            <w:shd w:val="clear" w:color="auto" w:fill="auto"/>
            <w:vAlign w:val="bottom"/>
          </w:tcPr>
          <w:p w14:paraId="71D3EB8E" w14:textId="77777777" w:rsidR="006A3667" w:rsidRDefault="006A3667">
            <w:pPr>
              <w:rPr>
                <w:rFonts w:ascii="宋体"/>
                <w:vanish/>
              </w:rPr>
            </w:pPr>
          </w:p>
        </w:tc>
        <w:tc>
          <w:tcPr>
            <w:tcW w:w="0" w:type="auto"/>
            <w:gridSpan w:val="3"/>
            <w:shd w:val="clear" w:color="auto" w:fill="auto"/>
            <w:vAlign w:val="bottom"/>
          </w:tcPr>
          <w:p w14:paraId="71D3EB8F" w14:textId="77777777" w:rsidR="006A3667" w:rsidRDefault="006A3667">
            <w:pPr>
              <w:rPr>
                <w:rFonts w:ascii="宋体"/>
                <w:vanish/>
              </w:rPr>
            </w:pPr>
          </w:p>
        </w:tc>
        <w:tc>
          <w:tcPr>
            <w:tcW w:w="0" w:type="auto"/>
            <w:gridSpan w:val="3"/>
            <w:shd w:val="clear" w:color="auto" w:fill="auto"/>
            <w:vAlign w:val="bottom"/>
          </w:tcPr>
          <w:p w14:paraId="71D3EB90" w14:textId="77777777" w:rsidR="006A3667" w:rsidRDefault="006A3667">
            <w:pPr>
              <w:rPr>
                <w:rFonts w:ascii="宋体"/>
                <w:vanish/>
              </w:rPr>
            </w:pPr>
          </w:p>
        </w:tc>
        <w:tc>
          <w:tcPr>
            <w:tcW w:w="0" w:type="auto"/>
            <w:shd w:val="clear" w:color="auto" w:fill="auto"/>
            <w:vAlign w:val="bottom"/>
          </w:tcPr>
          <w:p w14:paraId="71D3EB91" w14:textId="77777777" w:rsidR="006A3667" w:rsidRDefault="006A3667">
            <w:pPr>
              <w:rPr>
                <w:rFonts w:ascii="宋体"/>
                <w:vanish/>
              </w:rPr>
            </w:pPr>
          </w:p>
        </w:tc>
      </w:tr>
      <w:tr w:rsidR="006A3667" w14:paraId="71D3EBA0" w14:textId="77777777">
        <w:trPr>
          <w:hidden/>
        </w:trPr>
        <w:tc>
          <w:tcPr>
            <w:tcW w:w="0" w:type="auto"/>
            <w:gridSpan w:val="3"/>
            <w:shd w:val="clear" w:color="auto" w:fill="auto"/>
            <w:vAlign w:val="bottom"/>
          </w:tcPr>
          <w:p w14:paraId="71D3EB93" w14:textId="77777777" w:rsidR="006A3667" w:rsidRDefault="006A3667">
            <w:pPr>
              <w:rPr>
                <w:rFonts w:ascii="宋体"/>
                <w:vanish/>
              </w:rPr>
            </w:pPr>
          </w:p>
        </w:tc>
        <w:tc>
          <w:tcPr>
            <w:tcW w:w="0" w:type="auto"/>
            <w:gridSpan w:val="3"/>
            <w:shd w:val="clear" w:color="auto" w:fill="auto"/>
            <w:vAlign w:val="bottom"/>
          </w:tcPr>
          <w:p w14:paraId="71D3EB94" w14:textId="77777777" w:rsidR="006A3667" w:rsidRDefault="006A3667">
            <w:pPr>
              <w:rPr>
                <w:rFonts w:ascii="宋体"/>
                <w:vanish/>
              </w:rPr>
            </w:pPr>
          </w:p>
        </w:tc>
        <w:tc>
          <w:tcPr>
            <w:tcW w:w="0" w:type="auto"/>
            <w:gridSpan w:val="3"/>
            <w:shd w:val="clear" w:color="auto" w:fill="auto"/>
            <w:vAlign w:val="bottom"/>
          </w:tcPr>
          <w:p w14:paraId="71D3EB95" w14:textId="77777777" w:rsidR="006A3667" w:rsidRDefault="006A3667">
            <w:pPr>
              <w:rPr>
                <w:rFonts w:ascii="宋体"/>
                <w:vanish/>
              </w:rPr>
            </w:pPr>
          </w:p>
        </w:tc>
        <w:tc>
          <w:tcPr>
            <w:tcW w:w="0" w:type="auto"/>
            <w:gridSpan w:val="3"/>
            <w:shd w:val="clear" w:color="auto" w:fill="auto"/>
            <w:vAlign w:val="bottom"/>
          </w:tcPr>
          <w:p w14:paraId="71D3EB96" w14:textId="77777777" w:rsidR="006A3667" w:rsidRDefault="006A3667">
            <w:pPr>
              <w:rPr>
                <w:rFonts w:ascii="宋体"/>
                <w:vanish/>
              </w:rPr>
            </w:pPr>
          </w:p>
        </w:tc>
        <w:tc>
          <w:tcPr>
            <w:tcW w:w="0" w:type="auto"/>
            <w:gridSpan w:val="3"/>
            <w:shd w:val="clear" w:color="auto" w:fill="auto"/>
            <w:vAlign w:val="bottom"/>
          </w:tcPr>
          <w:p w14:paraId="71D3EB97" w14:textId="77777777" w:rsidR="006A3667" w:rsidRDefault="006A3667">
            <w:pPr>
              <w:rPr>
                <w:rFonts w:ascii="宋体"/>
                <w:vanish/>
              </w:rPr>
            </w:pPr>
          </w:p>
        </w:tc>
        <w:tc>
          <w:tcPr>
            <w:tcW w:w="0" w:type="auto"/>
            <w:gridSpan w:val="3"/>
            <w:shd w:val="clear" w:color="auto" w:fill="auto"/>
            <w:vAlign w:val="bottom"/>
          </w:tcPr>
          <w:p w14:paraId="71D3EB98" w14:textId="77777777" w:rsidR="006A3667" w:rsidRDefault="006A3667">
            <w:pPr>
              <w:rPr>
                <w:rFonts w:ascii="宋体"/>
                <w:vanish/>
              </w:rPr>
            </w:pPr>
          </w:p>
        </w:tc>
        <w:tc>
          <w:tcPr>
            <w:tcW w:w="0" w:type="auto"/>
            <w:gridSpan w:val="3"/>
            <w:shd w:val="clear" w:color="auto" w:fill="auto"/>
            <w:vAlign w:val="bottom"/>
          </w:tcPr>
          <w:p w14:paraId="71D3EB99" w14:textId="77777777" w:rsidR="006A3667" w:rsidRDefault="006A3667">
            <w:pPr>
              <w:rPr>
                <w:rFonts w:ascii="宋体"/>
                <w:vanish/>
              </w:rPr>
            </w:pPr>
          </w:p>
        </w:tc>
        <w:tc>
          <w:tcPr>
            <w:tcW w:w="0" w:type="auto"/>
            <w:gridSpan w:val="3"/>
            <w:shd w:val="clear" w:color="auto" w:fill="auto"/>
            <w:vAlign w:val="bottom"/>
          </w:tcPr>
          <w:p w14:paraId="71D3EB9A" w14:textId="77777777" w:rsidR="006A3667" w:rsidRDefault="006A3667">
            <w:pPr>
              <w:rPr>
                <w:rFonts w:ascii="宋体"/>
                <w:vanish/>
              </w:rPr>
            </w:pPr>
          </w:p>
        </w:tc>
        <w:tc>
          <w:tcPr>
            <w:tcW w:w="0" w:type="auto"/>
            <w:gridSpan w:val="3"/>
            <w:shd w:val="clear" w:color="auto" w:fill="auto"/>
            <w:vAlign w:val="bottom"/>
          </w:tcPr>
          <w:p w14:paraId="71D3EB9B" w14:textId="77777777" w:rsidR="006A3667" w:rsidRDefault="006A3667">
            <w:pPr>
              <w:rPr>
                <w:rFonts w:ascii="宋体"/>
                <w:vanish/>
              </w:rPr>
            </w:pPr>
          </w:p>
        </w:tc>
        <w:tc>
          <w:tcPr>
            <w:tcW w:w="0" w:type="auto"/>
            <w:gridSpan w:val="3"/>
            <w:shd w:val="clear" w:color="auto" w:fill="auto"/>
            <w:vAlign w:val="bottom"/>
          </w:tcPr>
          <w:p w14:paraId="71D3EB9C" w14:textId="77777777" w:rsidR="006A3667" w:rsidRDefault="006A3667">
            <w:pPr>
              <w:rPr>
                <w:rFonts w:ascii="宋体"/>
                <w:vanish/>
              </w:rPr>
            </w:pPr>
          </w:p>
        </w:tc>
        <w:tc>
          <w:tcPr>
            <w:tcW w:w="0" w:type="auto"/>
            <w:gridSpan w:val="3"/>
            <w:shd w:val="clear" w:color="auto" w:fill="auto"/>
            <w:vAlign w:val="bottom"/>
          </w:tcPr>
          <w:p w14:paraId="71D3EB9D" w14:textId="77777777" w:rsidR="006A3667" w:rsidRDefault="006A3667">
            <w:pPr>
              <w:rPr>
                <w:rFonts w:ascii="宋体"/>
                <w:vanish/>
              </w:rPr>
            </w:pPr>
          </w:p>
        </w:tc>
        <w:tc>
          <w:tcPr>
            <w:tcW w:w="0" w:type="auto"/>
            <w:gridSpan w:val="3"/>
            <w:shd w:val="clear" w:color="auto" w:fill="auto"/>
            <w:vAlign w:val="bottom"/>
          </w:tcPr>
          <w:p w14:paraId="71D3EB9E" w14:textId="77777777" w:rsidR="006A3667" w:rsidRDefault="006A3667">
            <w:pPr>
              <w:rPr>
                <w:rFonts w:ascii="宋体"/>
                <w:vanish/>
              </w:rPr>
            </w:pPr>
          </w:p>
        </w:tc>
        <w:tc>
          <w:tcPr>
            <w:tcW w:w="0" w:type="auto"/>
            <w:shd w:val="clear" w:color="auto" w:fill="auto"/>
            <w:vAlign w:val="bottom"/>
          </w:tcPr>
          <w:p w14:paraId="71D3EB9F" w14:textId="77777777" w:rsidR="006A3667" w:rsidRDefault="006A3667">
            <w:pPr>
              <w:rPr>
                <w:rFonts w:ascii="宋体"/>
                <w:vanish/>
              </w:rPr>
            </w:pPr>
          </w:p>
        </w:tc>
      </w:tr>
      <w:tr w:rsidR="006A3667" w14:paraId="71D3EBAE" w14:textId="77777777">
        <w:trPr>
          <w:hidden/>
        </w:trPr>
        <w:tc>
          <w:tcPr>
            <w:tcW w:w="0" w:type="auto"/>
            <w:gridSpan w:val="3"/>
            <w:shd w:val="clear" w:color="auto" w:fill="auto"/>
            <w:vAlign w:val="bottom"/>
          </w:tcPr>
          <w:p w14:paraId="71D3EBA1" w14:textId="77777777" w:rsidR="006A3667" w:rsidRDefault="006A3667">
            <w:pPr>
              <w:rPr>
                <w:rFonts w:ascii="宋体"/>
                <w:vanish/>
              </w:rPr>
            </w:pPr>
          </w:p>
        </w:tc>
        <w:tc>
          <w:tcPr>
            <w:tcW w:w="0" w:type="auto"/>
            <w:gridSpan w:val="3"/>
            <w:shd w:val="clear" w:color="auto" w:fill="auto"/>
            <w:vAlign w:val="bottom"/>
          </w:tcPr>
          <w:p w14:paraId="71D3EBA2" w14:textId="77777777" w:rsidR="006A3667" w:rsidRDefault="006A3667">
            <w:pPr>
              <w:rPr>
                <w:rFonts w:ascii="宋体"/>
                <w:vanish/>
              </w:rPr>
            </w:pPr>
          </w:p>
        </w:tc>
        <w:tc>
          <w:tcPr>
            <w:tcW w:w="0" w:type="auto"/>
            <w:gridSpan w:val="3"/>
            <w:shd w:val="clear" w:color="auto" w:fill="auto"/>
            <w:vAlign w:val="bottom"/>
          </w:tcPr>
          <w:p w14:paraId="71D3EBA3" w14:textId="77777777" w:rsidR="006A3667" w:rsidRDefault="006A3667">
            <w:pPr>
              <w:rPr>
                <w:rFonts w:ascii="宋体"/>
                <w:vanish/>
              </w:rPr>
            </w:pPr>
          </w:p>
        </w:tc>
        <w:tc>
          <w:tcPr>
            <w:tcW w:w="0" w:type="auto"/>
            <w:gridSpan w:val="3"/>
            <w:shd w:val="clear" w:color="auto" w:fill="auto"/>
            <w:vAlign w:val="bottom"/>
          </w:tcPr>
          <w:p w14:paraId="71D3EBA4" w14:textId="77777777" w:rsidR="006A3667" w:rsidRDefault="006A3667">
            <w:pPr>
              <w:rPr>
                <w:rFonts w:ascii="宋体"/>
                <w:vanish/>
              </w:rPr>
            </w:pPr>
          </w:p>
        </w:tc>
        <w:tc>
          <w:tcPr>
            <w:tcW w:w="0" w:type="auto"/>
            <w:gridSpan w:val="3"/>
            <w:shd w:val="clear" w:color="auto" w:fill="auto"/>
            <w:vAlign w:val="bottom"/>
          </w:tcPr>
          <w:p w14:paraId="71D3EBA5" w14:textId="77777777" w:rsidR="006A3667" w:rsidRDefault="006A3667">
            <w:pPr>
              <w:rPr>
                <w:rFonts w:ascii="宋体"/>
                <w:vanish/>
              </w:rPr>
            </w:pPr>
          </w:p>
        </w:tc>
        <w:tc>
          <w:tcPr>
            <w:tcW w:w="0" w:type="auto"/>
            <w:gridSpan w:val="3"/>
            <w:shd w:val="clear" w:color="auto" w:fill="auto"/>
            <w:vAlign w:val="bottom"/>
          </w:tcPr>
          <w:p w14:paraId="71D3EBA6" w14:textId="77777777" w:rsidR="006A3667" w:rsidRDefault="006A3667">
            <w:pPr>
              <w:rPr>
                <w:rFonts w:ascii="宋体"/>
                <w:vanish/>
              </w:rPr>
            </w:pPr>
          </w:p>
        </w:tc>
        <w:tc>
          <w:tcPr>
            <w:tcW w:w="0" w:type="auto"/>
            <w:gridSpan w:val="3"/>
            <w:shd w:val="clear" w:color="auto" w:fill="auto"/>
            <w:vAlign w:val="bottom"/>
          </w:tcPr>
          <w:p w14:paraId="71D3EBA7" w14:textId="77777777" w:rsidR="006A3667" w:rsidRDefault="006A3667">
            <w:pPr>
              <w:rPr>
                <w:rFonts w:ascii="宋体"/>
                <w:vanish/>
              </w:rPr>
            </w:pPr>
          </w:p>
        </w:tc>
        <w:tc>
          <w:tcPr>
            <w:tcW w:w="0" w:type="auto"/>
            <w:gridSpan w:val="3"/>
            <w:shd w:val="clear" w:color="auto" w:fill="auto"/>
            <w:vAlign w:val="bottom"/>
          </w:tcPr>
          <w:p w14:paraId="71D3EBA8" w14:textId="77777777" w:rsidR="006A3667" w:rsidRDefault="006A3667">
            <w:pPr>
              <w:rPr>
                <w:rFonts w:ascii="宋体"/>
                <w:vanish/>
              </w:rPr>
            </w:pPr>
          </w:p>
        </w:tc>
        <w:tc>
          <w:tcPr>
            <w:tcW w:w="0" w:type="auto"/>
            <w:gridSpan w:val="3"/>
            <w:shd w:val="clear" w:color="auto" w:fill="auto"/>
            <w:vAlign w:val="bottom"/>
          </w:tcPr>
          <w:p w14:paraId="71D3EBA9" w14:textId="77777777" w:rsidR="006A3667" w:rsidRDefault="006A3667">
            <w:pPr>
              <w:rPr>
                <w:rFonts w:ascii="宋体"/>
                <w:vanish/>
              </w:rPr>
            </w:pPr>
          </w:p>
        </w:tc>
        <w:tc>
          <w:tcPr>
            <w:tcW w:w="0" w:type="auto"/>
            <w:gridSpan w:val="3"/>
            <w:shd w:val="clear" w:color="auto" w:fill="auto"/>
            <w:vAlign w:val="bottom"/>
          </w:tcPr>
          <w:p w14:paraId="71D3EBAA" w14:textId="77777777" w:rsidR="006A3667" w:rsidRDefault="006A3667">
            <w:pPr>
              <w:rPr>
                <w:rFonts w:ascii="宋体"/>
                <w:vanish/>
              </w:rPr>
            </w:pPr>
          </w:p>
        </w:tc>
        <w:tc>
          <w:tcPr>
            <w:tcW w:w="0" w:type="auto"/>
            <w:gridSpan w:val="3"/>
            <w:shd w:val="clear" w:color="auto" w:fill="auto"/>
            <w:vAlign w:val="bottom"/>
          </w:tcPr>
          <w:p w14:paraId="71D3EBAB" w14:textId="77777777" w:rsidR="006A3667" w:rsidRDefault="006A3667">
            <w:pPr>
              <w:rPr>
                <w:rFonts w:ascii="宋体"/>
                <w:vanish/>
              </w:rPr>
            </w:pPr>
          </w:p>
        </w:tc>
        <w:tc>
          <w:tcPr>
            <w:tcW w:w="0" w:type="auto"/>
            <w:gridSpan w:val="3"/>
            <w:shd w:val="clear" w:color="auto" w:fill="auto"/>
            <w:vAlign w:val="bottom"/>
          </w:tcPr>
          <w:p w14:paraId="71D3EBAC" w14:textId="77777777" w:rsidR="006A3667" w:rsidRDefault="006A3667">
            <w:pPr>
              <w:rPr>
                <w:rFonts w:ascii="宋体"/>
                <w:vanish/>
              </w:rPr>
            </w:pPr>
          </w:p>
        </w:tc>
        <w:tc>
          <w:tcPr>
            <w:tcW w:w="0" w:type="auto"/>
            <w:shd w:val="clear" w:color="auto" w:fill="auto"/>
            <w:vAlign w:val="bottom"/>
          </w:tcPr>
          <w:p w14:paraId="71D3EBAD" w14:textId="77777777" w:rsidR="006A3667" w:rsidRDefault="006A3667">
            <w:pPr>
              <w:rPr>
                <w:rFonts w:ascii="宋体"/>
                <w:vanish/>
              </w:rPr>
            </w:pPr>
          </w:p>
        </w:tc>
      </w:tr>
      <w:tr w:rsidR="006A3667" w14:paraId="71D3EBBC" w14:textId="77777777">
        <w:trPr>
          <w:hidden/>
        </w:trPr>
        <w:tc>
          <w:tcPr>
            <w:tcW w:w="0" w:type="auto"/>
            <w:gridSpan w:val="3"/>
            <w:shd w:val="clear" w:color="auto" w:fill="auto"/>
            <w:vAlign w:val="bottom"/>
          </w:tcPr>
          <w:p w14:paraId="71D3EBAF" w14:textId="77777777" w:rsidR="006A3667" w:rsidRDefault="006A3667">
            <w:pPr>
              <w:rPr>
                <w:rFonts w:ascii="宋体"/>
                <w:vanish/>
              </w:rPr>
            </w:pPr>
          </w:p>
        </w:tc>
        <w:tc>
          <w:tcPr>
            <w:tcW w:w="0" w:type="auto"/>
            <w:gridSpan w:val="3"/>
            <w:shd w:val="clear" w:color="auto" w:fill="auto"/>
            <w:vAlign w:val="bottom"/>
          </w:tcPr>
          <w:p w14:paraId="71D3EBB0" w14:textId="77777777" w:rsidR="006A3667" w:rsidRDefault="006A3667">
            <w:pPr>
              <w:rPr>
                <w:rFonts w:ascii="宋体"/>
                <w:vanish/>
              </w:rPr>
            </w:pPr>
          </w:p>
        </w:tc>
        <w:tc>
          <w:tcPr>
            <w:tcW w:w="0" w:type="auto"/>
            <w:gridSpan w:val="3"/>
            <w:shd w:val="clear" w:color="auto" w:fill="auto"/>
            <w:vAlign w:val="bottom"/>
          </w:tcPr>
          <w:p w14:paraId="71D3EBB1" w14:textId="77777777" w:rsidR="006A3667" w:rsidRDefault="006A3667">
            <w:pPr>
              <w:rPr>
                <w:rFonts w:ascii="宋体"/>
                <w:vanish/>
              </w:rPr>
            </w:pPr>
          </w:p>
        </w:tc>
        <w:tc>
          <w:tcPr>
            <w:tcW w:w="0" w:type="auto"/>
            <w:gridSpan w:val="3"/>
            <w:shd w:val="clear" w:color="auto" w:fill="auto"/>
            <w:vAlign w:val="bottom"/>
          </w:tcPr>
          <w:p w14:paraId="71D3EBB2" w14:textId="77777777" w:rsidR="006A3667" w:rsidRDefault="006A3667">
            <w:pPr>
              <w:rPr>
                <w:rFonts w:ascii="宋体"/>
                <w:vanish/>
              </w:rPr>
            </w:pPr>
          </w:p>
        </w:tc>
        <w:tc>
          <w:tcPr>
            <w:tcW w:w="0" w:type="auto"/>
            <w:gridSpan w:val="3"/>
            <w:shd w:val="clear" w:color="auto" w:fill="auto"/>
            <w:vAlign w:val="bottom"/>
          </w:tcPr>
          <w:p w14:paraId="71D3EBB3" w14:textId="77777777" w:rsidR="006A3667" w:rsidRDefault="006A3667">
            <w:pPr>
              <w:rPr>
                <w:rFonts w:ascii="宋体"/>
                <w:vanish/>
              </w:rPr>
            </w:pPr>
          </w:p>
        </w:tc>
        <w:tc>
          <w:tcPr>
            <w:tcW w:w="0" w:type="auto"/>
            <w:gridSpan w:val="3"/>
            <w:shd w:val="clear" w:color="auto" w:fill="auto"/>
            <w:vAlign w:val="bottom"/>
          </w:tcPr>
          <w:p w14:paraId="71D3EBB4" w14:textId="77777777" w:rsidR="006A3667" w:rsidRDefault="006A3667">
            <w:pPr>
              <w:rPr>
                <w:rFonts w:ascii="宋体"/>
                <w:vanish/>
              </w:rPr>
            </w:pPr>
          </w:p>
        </w:tc>
        <w:tc>
          <w:tcPr>
            <w:tcW w:w="0" w:type="auto"/>
            <w:gridSpan w:val="3"/>
            <w:shd w:val="clear" w:color="auto" w:fill="auto"/>
            <w:vAlign w:val="bottom"/>
          </w:tcPr>
          <w:p w14:paraId="71D3EBB5" w14:textId="77777777" w:rsidR="006A3667" w:rsidRDefault="006A3667">
            <w:pPr>
              <w:rPr>
                <w:rFonts w:ascii="宋体"/>
                <w:vanish/>
              </w:rPr>
            </w:pPr>
          </w:p>
        </w:tc>
        <w:tc>
          <w:tcPr>
            <w:tcW w:w="0" w:type="auto"/>
            <w:gridSpan w:val="3"/>
            <w:shd w:val="clear" w:color="auto" w:fill="auto"/>
            <w:vAlign w:val="bottom"/>
          </w:tcPr>
          <w:p w14:paraId="71D3EBB6" w14:textId="77777777" w:rsidR="006A3667" w:rsidRDefault="006A3667">
            <w:pPr>
              <w:rPr>
                <w:rFonts w:ascii="宋体"/>
                <w:vanish/>
              </w:rPr>
            </w:pPr>
          </w:p>
        </w:tc>
        <w:tc>
          <w:tcPr>
            <w:tcW w:w="0" w:type="auto"/>
            <w:gridSpan w:val="3"/>
            <w:shd w:val="clear" w:color="auto" w:fill="auto"/>
            <w:vAlign w:val="bottom"/>
          </w:tcPr>
          <w:p w14:paraId="71D3EBB7" w14:textId="77777777" w:rsidR="006A3667" w:rsidRDefault="006A3667">
            <w:pPr>
              <w:rPr>
                <w:rFonts w:ascii="宋体"/>
                <w:vanish/>
              </w:rPr>
            </w:pPr>
          </w:p>
        </w:tc>
        <w:tc>
          <w:tcPr>
            <w:tcW w:w="0" w:type="auto"/>
            <w:gridSpan w:val="3"/>
            <w:shd w:val="clear" w:color="auto" w:fill="auto"/>
            <w:vAlign w:val="bottom"/>
          </w:tcPr>
          <w:p w14:paraId="71D3EBB8" w14:textId="77777777" w:rsidR="006A3667" w:rsidRDefault="006A3667">
            <w:pPr>
              <w:rPr>
                <w:rFonts w:ascii="宋体"/>
                <w:vanish/>
              </w:rPr>
            </w:pPr>
          </w:p>
        </w:tc>
        <w:tc>
          <w:tcPr>
            <w:tcW w:w="0" w:type="auto"/>
            <w:gridSpan w:val="3"/>
            <w:shd w:val="clear" w:color="auto" w:fill="auto"/>
            <w:vAlign w:val="bottom"/>
          </w:tcPr>
          <w:p w14:paraId="71D3EBB9" w14:textId="77777777" w:rsidR="006A3667" w:rsidRDefault="006A3667">
            <w:pPr>
              <w:rPr>
                <w:rFonts w:ascii="宋体"/>
                <w:vanish/>
              </w:rPr>
            </w:pPr>
          </w:p>
        </w:tc>
        <w:tc>
          <w:tcPr>
            <w:tcW w:w="0" w:type="auto"/>
            <w:gridSpan w:val="3"/>
            <w:shd w:val="clear" w:color="auto" w:fill="auto"/>
            <w:vAlign w:val="bottom"/>
          </w:tcPr>
          <w:p w14:paraId="71D3EBBA" w14:textId="77777777" w:rsidR="006A3667" w:rsidRDefault="006A3667">
            <w:pPr>
              <w:rPr>
                <w:rFonts w:ascii="宋体"/>
                <w:vanish/>
              </w:rPr>
            </w:pPr>
          </w:p>
        </w:tc>
        <w:tc>
          <w:tcPr>
            <w:tcW w:w="0" w:type="auto"/>
            <w:shd w:val="clear" w:color="auto" w:fill="auto"/>
            <w:vAlign w:val="bottom"/>
          </w:tcPr>
          <w:p w14:paraId="71D3EBBB" w14:textId="77777777" w:rsidR="006A3667" w:rsidRDefault="006A3667">
            <w:pPr>
              <w:rPr>
                <w:rFonts w:ascii="宋体"/>
                <w:vanish/>
              </w:rPr>
            </w:pPr>
          </w:p>
        </w:tc>
      </w:tr>
      <w:tr w:rsidR="006A3667" w14:paraId="71D3EBCA" w14:textId="77777777">
        <w:trPr>
          <w:hidden/>
        </w:trPr>
        <w:tc>
          <w:tcPr>
            <w:tcW w:w="0" w:type="auto"/>
            <w:gridSpan w:val="3"/>
            <w:shd w:val="clear" w:color="auto" w:fill="auto"/>
            <w:vAlign w:val="bottom"/>
          </w:tcPr>
          <w:p w14:paraId="71D3EBBD" w14:textId="77777777" w:rsidR="006A3667" w:rsidRDefault="006A3667">
            <w:pPr>
              <w:rPr>
                <w:rFonts w:ascii="宋体"/>
                <w:vanish/>
              </w:rPr>
            </w:pPr>
          </w:p>
        </w:tc>
        <w:tc>
          <w:tcPr>
            <w:tcW w:w="0" w:type="auto"/>
            <w:gridSpan w:val="3"/>
            <w:shd w:val="clear" w:color="auto" w:fill="auto"/>
            <w:vAlign w:val="bottom"/>
          </w:tcPr>
          <w:p w14:paraId="71D3EBBE" w14:textId="77777777" w:rsidR="006A3667" w:rsidRDefault="006A3667">
            <w:pPr>
              <w:rPr>
                <w:rFonts w:ascii="宋体"/>
                <w:vanish/>
              </w:rPr>
            </w:pPr>
          </w:p>
        </w:tc>
        <w:tc>
          <w:tcPr>
            <w:tcW w:w="0" w:type="auto"/>
            <w:gridSpan w:val="3"/>
            <w:shd w:val="clear" w:color="auto" w:fill="auto"/>
            <w:vAlign w:val="bottom"/>
          </w:tcPr>
          <w:p w14:paraId="71D3EBBF" w14:textId="77777777" w:rsidR="006A3667" w:rsidRDefault="006A3667">
            <w:pPr>
              <w:rPr>
                <w:rFonts w:ascii="宋体"/>
                <w:vanish/>
              </w:rPr>
            </w:pPr>
          </w:p>
        </w:tc>
        <w:tc>
          <w:tcPr>
            <w:tcW w:w="0" w:type="auto"/>
            <w:gridSpan w:val="3"/>
            <w:shd w:val="clear" w:color="auto" w:fill="auto"/>
            <w:vAlign w:val="bottom"/>
          </w:tcPr>
          <w:p w14:paraId="71D3EBC0" w14:textId="77777777" w:rsidR="006A3667" w:rsidRDefault="006A3667">
            <w:pPr>
              <w:rPr>
                <w:rFonts w:ascii="宋体"/>
                <w:vanish/>
              </w:rPr>
            </w:pPr>
          </w:p>
        </w:tc>
        <w:tc>
          <w:tcPr>
            <w:tcW w:w="0" w:type="auto"/>
            <w:gridSpan w:val="3"/>
            <w:shd w:val="clear" w:color="auto" w:fill="auto"/>
            <w:vAlign w:val="bottom"/>
          </w:tcPr>
          <w:p w14:paraId="71D3EBC1" w14:textId="77777777" w:rsidR="006A3667" w:rsidRDefault="006A3667">
            <w:pPr>
              <w:rPr>
                <w:rFonts w:ascii="宋体"/>
                <w:vanish/>
              </w:rPr>
            </w:pPr>
          </w:p>
        </w:tc>
        <w:tc>
          <w:tcPr>
            <w:tcW w:w="0" w:type="auto"/>
            <w:gridSpan w:val="3"/>
            <w:shd w:val="clear" w:color="auto" w:fill="auto"/>
            <w:vAlign w:val="bottom"/>
          </w:tcPr>
          <w:p w14:paraId="71D3EBC2" w14:textId="77777777" w:rsidR="006A3667" w:rsidRDefault="006A3667">
            <w:pPr>
              <w:rPr>
                <w:rFonts w:ascii="宋体"/>
                <w:vanish/>
              </w:rPr>
            </w:pPr>
          </w:p>
        </w:tc>
        <w:tc>
          <w:tcPr>
            <w:tcW w:w="0" w:type="auto"/>
            <w:gridSpan w:val="3"/>
            <w:shd w:val="clear" w:color="auto" w:fill="auto"/>
            <w:vAlign w:val="bottom"/>
          </w:tcPr>
          <w:p w14:paraId="71D3EBC3" w14:textId="77777777" w:rsidR="006A3667" w:rsidRDefault="006A3667">
            <w:pPr>
              <w:rPr>
                <w:rFonts w:ascii="宋体"/>
                <w:vanish/>
              </w:rPr>
            </w:pPr>
          </w:p>
        </w:tc>
        <w:tc>
          <w:tcPr>
            <w:tcW w:w="0" w:type="auto"/>
            <w:gridSpan w:val="3"/>
            <w:shd w:val="clear" w:color="auto" w:fill="auto"/>
            <w:vAlign w:val="bottom"/>
          </w:tcPr>
          <w:p w14:paraId="71D3EBC4" w14:textId="77777777" w:rsidR="006A3667" w:rsidRDefault="006A3667">
            <w:pPr>
              <w:rPr>
                <w:rFonts w:ascii="宋体"/>
                <w:vanish/>
              </w:rPr>
            </w:pPr>
          </w:p>
        </w:tc>
        <w:tc>
          <w:tcPr>
            <w:tcW w:w="0" w:type="auto"/>
            <w:gridSpan w:val="3"/>
            <w:shd w:val="clear" w:color="auto" w:fill="auto"/>
            <w:vAlign w:val="bottom"/>
          </w:tcPr>
          <w:p w14:paraId="71D3EBC5" w14:textId="77777777" w:rsidR="006A3667" w:rsidRDefault="006A3667">
            <w:pPr>
              <w:rPr>
                <w:rFonts w:ascii="宋体"/>
                <w:vanish/>
              </w:rPr>
            </w:pPr>
          </w:p>
        </w:tc>
        <w:tc>
          <w:tcPr>
            <w:tcW w:w="0" w:type="auto"/>
            <w:gridSpan w:val="3"/>
            <w:shd w:val="clear" w:color="auto" w:fill="auto"/>
            <w:vAlign w:val="bottom"/>
          </w:tcPr>
          <w:p w14:paraId="71D3EBC6" w14:textId="77777777" w:rsidR="006A3667" w:rsidRDefault="006A3667">
            <w:pPr>
              <w:rPr>
                <w:rFonts w:ascii="宋体"/>
                <w:vanish/>
              </w:rPr>
            </w:pPr>
          </w:p>
        </w:tc>
        <w:tc>
          <w:tcPr>
            <w:tcW w:w="0" w:type="auto"/>
            <w:gridSpan w:val="3"/>
            <w:shd w:val="clear" w:color="auto" w:fill="auto"/>
            <w:vAlign w:val="bottom"/>
          </w:tcPr>
          <w:p w14:paraId="71D3EBC7" w14:textId="77777777" w:rsidR="006A3667" w:rsidRDefault="006A3667">
            <w:pPr>
              <w:rPr>
                <w:rFonts w:ascii="宋体"/>
                <w:vanish/>
              </w:rPr>
            </w:pPr>
          </w:p>
        </w:tc>
        <w:tc>
          <w:tcPr>
            <w:tcW w:w="0" w:type="auto"/>
            <w:gridSpan w:val="3"/>
            <w:shd w:val="clear" w:color="auto" w:fill="auto"/>
            <w:vAlign w:val="bottom"/>
          </w:tcPr>
          <w:p w14:paraId="71D3EBC8" w14:textId="77777777" w:rsidR="006A3667" w:rsidRDefault="006A3667">
            <w:pPr>
              <w:rPr>
                <w:rFonts w:ascii="宋体"/>
                <w:vanish/>
              </w:rPr>
            </w:pPr>
          </w:p>
        </w:tc>
        <w:tc>
          <w:tcPr>
            <w:tcW w:w="0" w:type="auto"/>
            <w:shd w:val="clear" w:color="auto" w:fill="auto"/>
            <w:vAlign w:val="bottom"/>
          </w:tcPr>
          <w:p w14:paraId="71D3EBC9" w14:textId="77777777" w:rsidR="006A3667" w:rsidRDefault="006A3667">
            <w:pPr>
              <w:rPr>
                <w:rFonts w:ascii="宋体"/>
                <w:vanish/>
              </w:rPr>
            </w:pPr>
          </w:p>
        </w:tc>
      </w:tr>
    </w:tbl>
    <w:p w14:paraId="71D3EBCB"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002"/>
        <w:gridCol w:w="36"/>
        <w:gridCol w:w="69"/>
        <w:gridCol w:w="6124"/>
        <w:gridCol w:w="36"/>
      </w:tblGrid>
      <w:tr w:rsidR="006A3667" w14:paraId="71D3EBD2" w14:textId="77777777">
        <w:tc>
          <w:tcPr>
            <w:tcW w:w="50" w:type="pct"/>
            <w:shd w:val="clear" w:color="auto" w:fill="auto"/>
            <w:vAlign w:val="bottom"/>
          </w:tcPr>
          <w:p w14:paraId="71D3EBCC" w14:textId="77777777" w:rsidR="006A3667" w:rsidRDefault="006A3667">
            <w:pPr>
              <w:rPr>
                <w:rFonts w:ascii="宋体"/>
              </w:rPr>
            </w:pPr>
          </w:p>
        </w:tc>
        <w:tc>
          <w:tcPr>
            <w:tcW w:w="1209" w:type="pct"/>
            <w:shd w:val="clear" w:color="auto" w:fill="auto"/>
            <w:vAlign w:val="bottom"/>
          </w:tcPr>
          <w:p w14:paraId="71D3EBCD" w14:textId="77777777" w:rsidR="006A3667" w:rsidRDefault="006A3667">
            <w:pPr>
              <w:rPr>
                <w:rFonts w:ascii="宋体"/>
              </w:rPr>
            </w:pPr>
          </w:p>
        </w:tc>
        <w:tc>
          <w:tcPr>
            <w:tcW w:w="5" w:type="pct"/>
            <w:shd w:val="clear" w:color="auto" w:fill="auto"/>
            <w:vAlign w:val="bottom"/>
          </w:tcPr>
          <w:p w14:paraId="71D3EBCE" w14:textId="77777777" w:rsidR="006A3667" w:rsidRDefault="006A3667">
            <w:pPr>
              <w:rPr>
                <w:rFonts w:ascii="宋体"/>
              </w:rPr>
            </w:pPr>
          </w:p>
        </w:tc>
        <w:tc>
          <w:tcPr>
            <w:tcW w:w="50" w:type="pct"/>
            <w:shd w:val="clear" w:color="auto" w:fill="auto"/>
            <w:vAlign w:val="bottom"/>
          </w:tcPr>
          <w:p w14:paraId="71D3EBCF" w14:textId="77777777" w:rsidR="006A3667" w:rsidRDefault="006A3667">
            <w:pPr>
              <w:rPr>
                <w:rFonts w:ascii="宋体"/>
              </w:rPr>
            </w:pPr>
          </w:p>
        </w:tc>
        <w:tc>
          <w:tcPr>
            <w:tcW w:w="3680" w:type="pct"/>
            <w:shd w:val="clear" w:color="auto" w:fill="auto"/>
            <w:vAlign w:val="bottom"/>
          </w:tcPr>
          <w:p w14:paraId="71D3EBD0" w14:textId="77777777" w:rsidR="006A3667" w:rsidRDefault="006A3667">
            <w:pPr>
              <w:rPr>
                <w:rFonts w:ascii="宋体"/>
              </w:rPr>
            </w:pPr>
          </w:p>
        </w:tc>
        <w:tc>
          <w:tcPr>
            <w:tcW w:w="5" w:type="pct"/>
            <w:shd w:val="clear" w:color="auto" w:fill="auto"/>
            <w:vAlign w:val="bottom"/>
          </w:tcPr>
          <w:p w14:paraId="71D3EBD1" w14:textId="77777777" w:rsidR="006A3667" w:rsidRDefault="006A3667">
            <w:pPr>
              <w:rPr>
                <w:rFonts w:ascii="宋体"/>
              </w:rPr>
            </w:pPr>
          </w:p>
        </w:tc>
      </w:tr>
      <w:tr w:rsidR="006A3667" w14:paraId="71D3EBD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EBD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BD4" w14:textId="77777777" w:rsidR="006A3667" w:rsidRDefault="006A3667">
            <w:pPr>
              <w:rPr>
                <w:rFonts w:ascii="宋体"/>
              </w:rPr>
            </w:pPr>
          </w:p>
        </w:tc>
      </w:tr>
    </w:tbl>
    <w:p w14:paraId="71D3EBD6" w14:textId="77777777" w:rsidR="006A3667" w:rsidRDefault="00045F32">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The implementation of an improved internal data management system for product level data in the first quarter of 2021 resulted in some AUM reclassifications between the categories presented for prior periods to align with the current presentation. There w</w:t>
      </w:r>
      <w:r>
        <w:rPr>
          <w:rFonts w:ascii="Arial" w:eastAsia="宋体" w:hAnsi="Arial" w:cs="Arial"/>
          <w:color w:val="000000"/>
          <w:sz w:val="13"/>
          <w:szCs w:val="13"/>
        </w:rPr>
        <w:t xml:space="preserve">as no impact to the total level of reported AUM. </w:t>
      </w:r>
    </w:p>
    <w:p w14:paraId="71D3EBD7" w14:textId="77777777" w:rsidR="006A3667" w:rsidRDefault="00045F32">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both floating- and constant-net-asset-value portfolios held in commingled structures or separate accounts.</w:t>
      </w:r>
    </w:p>
    <w:p w14:paraId="71D3EBD8" w14:textId="77777777" w:rsidR="006A3667" w:rsidRDefault="00045F32">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MiniSharesSM Trust, but act as the marketing agent.</w:t>
      </w:r>
    </w:p>
    <w:p w14:paraId="71D3EBD9" w14:textId="77777777" w:rsidR="006A3667" w:rsidRDefault="00045F32">
      <w:pPr>
        <w:spacing w:before="60"/>
        <w:jc w:val="both"/>
      </w:pPr>
      <w:r>
        <w:rPr>
          <w:rFonts w:ascii="Arial" w:eastAsia="宋体" w:hAnsi="Arial" w:cs="Arial"/>
          <w:color w:val="000000"/>
          <w:sz w:val="8"/>
          <w:szCs w:val="8"/>
        </w:rPr>
        <w:t xml:space="preserve">(4) </w:t>
      </w:r>
      <w:r>
        <w:rPr>
          <w:rFonts w:ascii="Arial" w:eastAsia="宋体" w:hAnsi="Arial" w:cs="Arial"/>
          <w:color w:val="000000"/>
          <w:sz w:val="13"/>
          <w:szCs w:val="13"/>
        </w:rPr>
        <w:t>Amounts represent long-term portfolios, excluding ETFs.</w:t>
      </w:r>
    </w:p>
    <w:p w14:paraId="71D3EBDA" w14:textId="77777777" w:rsidR="006A3667" w:rsidRDefault="00045F32">
      <w:pPr>
        <w:ind w:firstLine="450"/>
        <w:jc w:val="right"/>
      </w:pPr>
      <w:r>
        <w:rPr>
          <w:rFonts w:ascii="Arial" w:eastAsia="宋体" w:hAnsi="Arial" w:cs="Arial"/>
          <w:color w:val="000000"/>
          <w:sz w:val="18"/>
          <w:szCs w:val="18"/>
        </w:rPr>
        <w:t>State Street Corporatio</w:t>
      </w:r>
      <w:r>
        <w:rPr>
          <w:rFonts w:ascii="Arial" w:eastAsia="宋体" w:hAnsi="Arial" w:cs="Arial"/>
          <w:color w:val="000000"/>
          <w:sz w:val="18"/>
          <w:szCs w:val="18"/>
        </w:rPr>
        <w:t>n | 17</w:t>
      </w:r>
    </w:p>
    <w:p w14:paraId="71D3EBDB" w14:textId="77777777" w:rsidR="006A3667" w:rsidRDefault="006A3667">
      <w:pPr>
        <w:ind w:firstLine="450"/>
        <w:jc w:val="center"/>
      </w:pPr>
    </w:p>
    <w:p w14:paraId="71D3EBDC" w14:textId="77777777" w:rsidR="006A3667" w:rsidRDefault="00045F32">
      <w:r>
        <w:pict w14:anchorId="71D4AC25">
          <v:rect id="_x0000_i1041" style="width:415.3pt;height:1.5pt" o:hralign="center" o:hrstd="t" o:hr="t" fillcolor="#a0a0a0" stroked="f"/>
        </w:pict>
      </w:r>
    </w:p>
    <w:p w14:paraId="71D3EBDD"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EBDE" w14:textId="77777777" w:rsidR="006A3667" w:rsidRDefault="00045F32">
      <w:pPr>
        <w:ind w:firstLine="450"/>
        <w:jc w:val="center"/>
      </w:pPr>
      <w:r>
        <w:rPr>
          <w:rFonts w:ascii="Arial" w:eastAsia="宋体" w:hAnsi="Arial" w:cs="Arial"/>
          <w:b/>
          <w:bCs/>
          <w:color w:val="000000"/>
          <w:sz w:val="20"/>
          <w:szCs w:val="20"/>
        </w:rPr>
        <w:t>AND RESULTS OF OPERATIONS</w:t>
      </w:r>
    </w:p>
    <w:p w14:paraId="71D3EBDF" w14:textId="77777777" w:rsidR="006A3667" w:rsidRDefault="00045F32">
      <w:pPr>
        <w:spacing w:before="60"/>
        <w:jc w:val="both"/>
        <w:textAlignment w:val="top"/>
      </w:pPr>
      <w:r>
        <w:rPr>
          <w:rFonts w:ascii="Arial" w:eastAsia="宋体" w:hAnsi="Arial" w:cs="Arial"/>
          <w:b/>
          <w:bCs/>
          <w:i/>
          <w:iCs/>
          <w:color w:val="000000"/>
          <w:sz w:val="20"/>
          <w:szCs w:val="20"/>
        </w:rPr>
        <w:t>Foreign Exchange Trading Services</w:t>
      </w:r>
    </w:p>
    <w:p w14:paraId="71D3EBE0" w14:textId="77777777" w:rsidR="006A3667" w:rsidRDefault="00045F32">
      <w:pPr>
        <w:spacing w:before="60"/>
        <w:ind w:firstLine="450"/>
        <w:jc w:val="both"/>
        <w:textAlignment w:val="top"/>
      </w:pPr>
      <w:r>
        <w:rPr>
          <w:rFonts w:ascii="Arial" w:eastAsia="宋体" w:hAnsi="Arial" w:cs="Arial"/>
          <w:color w:val="000000"/>
          <w:sz w:val="20"/>
          <w:szCs w:val="20"/>
        </w:rPr>
        <w:t>Foreign exchange trading services revenue, as presented in Table 2: Total Revenue, increased 14% and 11% in the three and nine months ended September 30, 2022, respectively, compared to the same periods in 2021, primarily due to higher FX spreads, partiall</w:t>
      </w:r>
      <w:r>
        <w:rPr>
          <w:rFonts w:ascii="Arial" w:eastAsia="宋体" w:hAnsi="Arial" w:cs="Arial"/>
          <w:color w:val="000000"/>
          <w:sz w:val="20"/>
          <w:szCs w:val="20"/>
        </w:rPr>
        <w:t>y offset by lower client FX volumes. Foreign exchange trading services revenue comprises revenue generated by FX trading and revenue generated by brokerage and other trading services, which made up 65% and 35%, respectively, of foreign exchange trading ser</w:t>
      </w:r>
      <w:r>
        <w:rPr>
          <w:rFonts w:ascii="Arial" w:eastAsia="宋体" w:hAnsi="Arial" w:cs="Arial"/>
          <w:color w:val="000000"/>
          <w:sz w:val="20"/>
          <w:szCs w:val="20"/>
        </w:rPr>
        <w:t>vices revenue in the third quarter of 2022, compared to 66% and 34%, respectively, in the same period in 2021. The impact of gross money market fund fee waivers on foreign exchange trading services was $1 million and $12 million in the three and nine month</w:t>
      </w:r>
      <w:r>
        <w:rPr>
          <w:rFonts w:ascii="Arial" w:eastAsia="宋体" w:hAnsi="Arial" w:cs="Arial"/>
          <w:color w:val="000000"/>
          <w:sz w:val="20"/>
          <w:szCs w:val="20"/>
        </w:rPr>
        <w:t xml:space="preserve">s ended September 30, 2022, respectively, compared to $15 million and $38 million in the same periods in 2021, respectively. This represents a reduction in revenue on the Fund Connect platform due to the impact of fee waivers by participating money market </w:t>
      </w:r>
      <w:r>
        <w:rPr>
          <w:rFonts w:ascii="Arial" w:eastAsia="宋体" w:hAnsi="Arial" w:cs="Arial"/>
          <w:color w:val="000000"/>
          <w:sz w:val="20"/>
          <w:szCs w:val="20"/>
        </w:rPr>
        <w:t xml:space="preserve">funds, including State Street Global Advisors funds. </w:t>
      </w:r>
    </w:p>
    <w:p w14:paraId="71D3EBE1" w14:textId="77777777" w:rsidR="006A3667" w:rsidRDefault="00045F32">
      <w:pPr>
        <w:spacing w:before="60"/>
        <w:ind w:firstLine="450"/>
        <w:jc w:val="both"/>
        <w:textAlignment w:val="top"/>
      </w:pPr>
      <w:r>
        <w:rPr>
          <w:rFonts w:ascii="Arial" w:eastAsia="宋体" w:hAnsi="Arial" w:cs="Arial"/>
          <w:color w:val="000000"/>
          <w:sz w:val="20"/>
          <w:szCs w:val="20"/>
        </w:rPr>
        <w:t>We primarily earn FX trading revenue by acting as a principal market-maker through both "direct sales and trading” and “indirect FX trading.”</w:t>
      </w:r>
    </w:p>
    <w:p w14:paraId="71D3EBE2" w14:textId="77777777" w:rsidR="006A3667" w:rsidRDefault="00045F32">
      <w:pPr>
        <w:spacing w:before="60"/>
        <w:ind w:hanging="360"/>
        <w:jc w:val="both"/>
        <w:textAlignment w:val="top"/>
      </w:pPr>
      <w:r>
        <w:rPr>
          <w:rFonts w:ascii="Arial" w:eastAsia="宋体" w:hAnsi="Arial" w:cs="Arial"/>
          <w:color w:val="000000"/>
          <w:sz w:val="20"/>
          <w:szCs w:val="20"/>
        </w:rPr>
        <w:t>•Direct sales and trading: Represent FX transactions at nego</w:t>
      </w:r>
      <w:r>
        <w:rPr>
          <w:rFonts w:ascii="Arial" w:eastAsia="宋体" w:hAnsi="Arial" w:cs="Arial"/>
          <w:color w:val="000000"/>
          <w:sz w:val="20"/>
          <w:szCs w:val="20"/>
        </w:rPr>
        <w:t>tiated rates with clients and investment managers that contact our trading desk directly. These principal market-making activities include transactions for funds serviced by third party custodians or prime brokers, as well as those funds under custody with</w:t>
      </w:r>
      <w:r>
        <w:rPr>
          <w:rFonts w:ascii="Arial" w:eastAsia="宋体" w:hAnsi="Arial" w:cs="Arial"/>
          <w:color w:val="000000"/>
          <w:sz w:val="20"/>
          <w:szCs w:val="20"/>
        </w:rPr>
        <w:t xml:space="preserve"> us.</w:t>
      </w:r>
    </w:p>
    <w:p w14:paraId="71D3EBE3" w14:textId="77777777" w:rsidR="006A3667" w:rsidRDefault="00045F32">
      <w:pPr>
        <w:spacing w:before="60"/>
        <w:ind w:hanging="360"/>
        <w:jc w:val="both"/>
        <w:textAlignment w:val="top"/>
      </w:pPr>
      <w:r>
        <w:rPr>
          <w:rFonts w:ascii="Arial" w:eastAsia="宋体" w:hAnsi="Arial" w:cs="Arial"/>
          <w:color w:val="000000"/>
          <w:sz w:val="20"/>
          <w:szCs w:val="20"/>
        </w:rPr>
        <w:t>•Indirect FX trading: Represents FX transactions with clients, for which we are the funds' custodian, or their investment managers, routed to our FX desk through our asset-servicing operation. We execute indirect FX trades as a principal at rates disc</w:t>
      </w:r>
      <w:r>
        <w:rPr>
          <w:rFonts w:ascii="Arial" w:eastAsia="宋体" w:hAnsi="Arial" w:cs="Arial"/>
          <w:color w:val="000000"/>
          <w:sz w:val="20"/>
          <w:szCs w:val="20"/>
        </w:rPr>
        <w:t>losed to our clients.</w:t>
      </w:r>
    </w:p>
    <w:p w14:paraId="71D3EBE4" w14:textId="77777777" w:rsidR="006A3667" w:rsidRDefault="00045F32">
      <w:pPr>
        <w:spacing w:before="60"/>
        <w:ind w:firstLine="450"/>
        <w:jc w:val="both"/>
        <w:textAlignment w:val="top"/>
      </w:pPr>
      <w:r>
        <w:rPr>
          <w:rFonts w:ascii="Arial" w:eastAsia="宋体" w:hAnsi="Arial" w:cs="Arial"/>
          <w:color w:val="000000"/>
          <w:sz w:val="20"/>
          <w:szCs w:val="20"/>
        </w:rPr>
        <w:t>Our FX trading revenue is influenced by multiple factors, including: the volume and type of client FX transactions and related spreads; currency volatility, reflecting market conditions; and our management of exchange rate, interest r</w:t>
      </w:r>
      <w:r>
        <w:rPr>
          <w:rFonts w:ascii="Arial" w:eastAsia="宋体" w:hAnsi="Arial" w:cs="Arial"/>
          <w:color w:val="000000"/>
          <w:sz w:val="20"/>
          <w:szCs w:val="20"/>
        </w:rPr>
        <w:t>ate and other market risks associated with our FX activities. The relative impact of these factors on our total FX trading revenues often differs from period to period. For example, assuming all other factors remain constant, increases or decreases in volu</w:t>
      </w:r>
      <w:r>
        <w:rPr>
          <w:rFonts w:ascii="Arial" w:eastAsia="宋体" w:hAnsi="Arial" w:cs="Arial"/>
          <w:color w:val="000000"/>
          <w:sz w:val="20"/>
          <w:szCs w:val="20"/>
        </w:rPr>
        <w:t xml:space="preserve">mes or bid-offer spreads across product mix tend to result in increases or decreases, as the case may be, in client-related FX revenue. </w:t>
      </w:r>
    </w:p>
    <w:p w14:paraId="71D3EBE5" w14:textId="77777777" w:rsidR="006A3667" w:rsidRDefault="00045F32">
      <w:pPr>
        <w:spacing w:before="60"/>
        <w:ind w:firstLine="450"/>
        <w:jc w:val="both"/>
        <w:textAlignment w:val="top"/>
      </w:pPr>
      <w:r>
        <w:rPr>
          <w:rFonts w:ascii="Arial" w:eastAsia="宋体" w:hAnsi="Arial" w:cs="Arial"/>
          <w:color w:val="000000"/>
          <w:sz w:val="20"/>
          <w:szCs w:val="20"/>
        </w:rPr>
        <w:t>Our clients that utilize indirect FX trading can, in addition to executing their FX transactions through dealers not af</w:t>
      </w:r>
      <w:r>
        <w:rPr>
          <w:rFonts w:ascii="Arial" w:eastAsia="宋体" w:hAnsi="Arial" w:cs="Arial"/>
          <w:color w:val="000000"/>
          <w:sz w:val="20"/>
          <w:szCs w:val="20"/>
        </w:rPr>
        <w:t xml:space="preserve">filiated with us, transition from indirect </w:t>
      </w:r>
    </w:p>
    <w:p w14:paraId="71D3EBE6" w14:textId="77777777" w:rsidR="006A3667" w:rsidRDefault="00045F32">
      <w:pPr>
        <w:spacing w:before="60"/>
        <w:jc w:val="both"/>
        <w:textAlignment w:val="top"/>
      </w:pPr>
      <w:r>
        <w:rPr>
          <w:rFonts w:ascii="Arial" w:eastAsia="宋体" w:hAnsi="Arial" w:cs="Arial"/>
          <w:color w:val="000000"/>
          <w:sz w:val="20"/>
          <w:szCs w:val="20"/>
        </w:rPr>
        <w:t>FX trading to either direct sales and trading execution, including our “Street FX” service, or to one of our electronic trading platforms. Street FX, in which we continue to act as a principal market-maker, enabl</w:t>
      </w:r>
      <w:r>
        <w:rPr>
          <w:rFonts w:ascii="Arial" w:eastAsia="宋体" w:hAnsi="Arial" w:cs="Arial"/>
          <w:color w:val="000000"/>
          <w:sz w:val="20"/>
          <w:szCs w:val="20"/>
        </w:rPr>
        <w:t xml:space="preserve">es our clients to define their FX execution strategy and automate the FX trade execution process, both for funds under custody with us as well as those under custody at another bank. </w:t>
      </w:r>
    </w:p>
    <w:p w14:paraId="71D3EBE7" w14:textId="77777777" w:rsidR="006A3667" w:rsidRDefault="00045F32">
      <w:pPr>
        <w:spacing w:before="60"/>
        <w:ind w:firstLine="450"/>
        <w:jc w:val="both"/>
        <w:textAlignment w:val="top"/>
      </w:pPr>
      <w:r>
        <w:rPr>
          <w:rFonts w:ascii="Arial" w:eastAsia="宋体" w:hAnsi="Arial" w:cs="Arial"/>
          <w:color w:val="000000"/>
          <w:sz w:val="20"/>
          <w:szCs w:val="20"/>
        </w:rPr>
        <w:t>We also earn foreign exchange trading services revenue through "electron</w:t>
      </w:r>
      <w:r>
        <w:rPr>
          <w:rFonts w:ascii="Arial" w:eastAsia="宋体" w:hAnsi="Arial" w:cs="Arial"/>
          <w:color w:val="000000"/>
          <w:sz w:val="20"/>
          <w:szCs w:val="20"/>
        </w:rPr>
        <w:t xml:space="preserve">ic FX services" and "other trading, transition management and brokerage revenue." </w:t>
      </w:r>
    </w:p>
    <w:p w14:paraId="71D3EBE8" w14:textId="77777777" w:rsidR="006A3667" w:rsidRDefault="00045F32">
      <w:pPr>
        <w:spacing w:before="60"/>
        <w:ind w:hanging="360"/>
        <w:jc w:val="both"/>
        <w:textAlignment w:val="top"/>
      </w:pPr>
      <w:r>
        <w:rPr>
          <w:rFonts w:ascii="Arial" w:eastAsia="宋体" w:hAnsi="Arial" w:cs="Arial"/>
          <w:color w:val="000000"/>
          <w:sz w:val="20"/>
          <w:szCs w:val="20"/>
        </w:rPr>
        <w:t>•Electronic FX services: Our clients may choose to execute FX transactions through one of our electronic trading platforms. These transactions generate revenue through a “cl</w:t>
      </w:r>
      <w:r>
        <w:rPr>
          <w:rFonts w:ascii="Arial" w:eastAsia="宋体" w:hAnsi="Arial" w:cs="Arial"/>
          <w:color w:val="000000"/>
          <w:sz w:val="20"/>
          <w:szCs w:val="20"/>
        </w:rPr>
        <w:t>ick” fee.</w:t>
      </w:r>
    </w:p>
    <w:p w14:paraId="71D3EBE9" w14:textId="77777777" w:rsidR="006A3667" w:rsidRDefault="00045F32">
      <w:pPr>
        <w:spacing w:before="60"/>
        <w:ind w:hanging="360"/>
        <w:jc w:val="both"/>
        <w:textAlignment w:val="top"/>
      </w:pPr>
      <w:r>
        <w:rPr>
          <w:rFonts w:ascii="Arial" w:eastAsia="宋体" w:hAnsi="Arial" w:cs="Arial"/>
          <w:color w:val="000000"/>
          <w:sz w:val="20"/>
          <w:szCs w:val="20"/>
        </w:rPr>
        <w:t>•Other trading, transition management and brokerage revenue: As our clients look to us to enhance and preserve portfolio values, they may choose to utilize our Transition or Currency Management capabilities or transact with our Equity Trade execu</w:t>
      </w:r>
      <w:r>
        <w:rPr>
          <w:rFonts w:ascii="Arial" w:eastAsia="宋体" w:hAnsi="Arial" w:cs="Arial"/>
          <w:color w:val="000000"/>
          <w:sz w:val="20"/>
          <w:szCs w:val="20"/>
        </w:rPr>
        <w:t xml:space="preserve">tion group. These transactions, which are not limited to foreign exchange, generate revenue via commissions charged for trades transacted during the management of these portfolios. </w:t>
      </w:r>
    </w:p>
    <w:p w14:paraId="71D3EBEA" w14:textId="77777777" w:rsidR="006A3667" w:rsidRDefault="00045F32">
      <w:pPr>
        <w:spacing w:before="60"/>
        <w:ind w:firstLine="450"/>
        <w:jc w:val="both"/>
        <w:textAlignment w:val="top"/>
      </w:pPr>
      <w:r>
        <w:rPr>
          <w:rFonts w:ascii="Arial" w:eastAsia="宋体" w:hAnsi="Arial" w:cs="Arial"/>
          <w:color w:val="000000"/>
          <w:sz w:val="20"/>
          <w:szCs w:val="20"/>
        </w:rPr>
        <w:t>Fund Connect is another one of our electronic trading platforms: it is a g</w:t>
      </w:r>
      <w:r>
        <w:rPr>
          <w:rFonts w:ascii="Arial" w:eastAsia="宋体" w:hAnsi="Arial" w:cs="Arial"/>
          <w:color w:val="000000"/>
          <w:sz w:val="20"/>
          <w:szCs w:val="20"/>
        </w:rPr>
        <w:t>lobal trading, analytics and cash management tool with access to more than 400 money market funds from leading providers.</w:t>
      </w:r>
    </w:p>
    <w:p w14:paraId="71D3EBEB" w14:textId="77777777" w:rsidR="006A3667" w:rsidRDefault="00045F32">
      <w:pPr>
        <w:spacing w:before="60"/>
        <w:jc w:val="both"/>
        <w:textAlignment w:val="top"/>
      </w:pPr>
      <w:r>
        <w:rPr>
          <w:rFonts w:ascii="Arial" w:eastAsia="宋体" w:hAnsi="Arial" w:cs="Arial"/>
          <w:b/>
          <w:bCs/>
          <w:i/>
          <w:iCs/>
          <w:color w:val="000000"/>
          <w:sz w:val="20"/>
          <w:szCs w:val="20"/>
        </w:rPr>
        <w:t>Securities Finance</w:t>
      </w:r>
    </w:p>
    <w:p w14:paraId="71D3EBEC" w14:textId="77777777" w:rsidR="006A3667" w:rsidRDefault="00045F32">
      <w:pPr>
        <w:spacing w:before="60"/>
        <w:ind w:firstLine="450"/>
        <w:jc w:val="both"/>
        <w:textAlignment w:val="top"/>
      </w:pPr>
      <w:r>
        <w:rPr>
          <w:rFonts w:ascii="Arial" w:eastAsia="宋体" w:hAnsi="Arial" w:cs="Arial"/>
          <w:color w:val="000000"/>
          <w:sz w:val="20"/>
          <w:szCs w:val="20"/>
        </w:rPr>
        <w:t xml:space="preserve">Our securities finance business consists of three components: </w:t>
      </w:r>
    </w:p>
    <w:p w14:paraId="71D3EBED" w14:textId="77777777" w:rsidR="006A3667" w:rsidRDefault="00045F32">
      <w:pPr>
        <w:spacing w:before="60"/>
        <w:ind w:hanging="360"/>
        <w:jc w:val="both"/>
        <w:textAlignment w:val="top"/>
      </w:pPr>
      <w:r>
        <w:rPr>
          <w:rFonts w:ascii="Arial" w:eastAsia="宋体" w:hAnsi="Arial" w:cs="Arial"/>
          <w:color w:val="000000"/>
          <w:sz w:val="20"/>
          <w:szCs w:val="20"/>
        </w:rPr>
        <w:t>(1) an agency lending program for State Street Global Advisors managed investment funds with a broad range of investment objectives, which we refer to as the State Street Global Advisors lendin</w:t>
      </w:r>
      <w:r>
        <w:rPr>
          <w:rFonts w:ascii="Arial" w:eastAsia="宋体" w:hAnsi="Arial" w:cs="Arial"/>
          <w:color w:val="000000"/>
          <w:sz w:val="20"/>
          <w:szCs w:val="20"/>
        </w:rPr>
        <w:t xml:space="preserve">g funds; </w:t>
      </w:r>
    </w:p>
    <w:p w14:paraId="71D3EBEE" w14:textId="77777777" w:rsidR="006A3667" w:rsidRDefault="00045F32">
      <w:pPr>
        <w:spacing w:before="60"/>
        <w:ind w:hanging="360"/>
        <w:jc w:val="both"/>
        <w:textAlignment w:val="top"/>
      </w:pPr>
      <w:r>
        <w:rPr>
          <w:rFonts w:ascii="Arial" w:eastAsia="宋体" w:hAnsi="Arial" w:cs="Arial"/>
          <w:color w:val="000000"/>
          <w:sz w:val="20"/>
          <w:szCs w:val="20"/>
        </w:rPr>
        <w:t xml:space="preserve">(2) an agency lending program for third-party investment managers and asset owners, which we refer to as the agency lending funds; and </w:t>
      </w:r>
    </w:p>
    <w:p w14:paraId="71D3EBEF" w14:textId="77777777" w:rsidR="006A3667" w:rsidRDefault="00045F32">
      <w:pPr>
        <w:spacing w:before="60"/>
        <w:ind w:hanging="360"/>
        <w:jc w:val="both"/>
        <w:textAlignment w:val="top"/>
      </w:pPr>
      <w:r>
        <w:rPr>
          <w:rFonts w:ascii="Arial" w:eastAsia="宋体" w:hAnsi="Arial" w:cs="Arial"/>
          <w:color w:val="000000"/>
          <w:sz w:val="20"/>
          <w:szCs w:val="20"/>
        </w:rPr>
        <w:t xml:space="preserve">(3) security lending transactions which we enter into as principal, which we refer to as our enhanced custody </w:t>
      </w:r>
      <w:r>
        <w:rPr>
          <w:rFonts w:ascii="Arial" w:eastAsia="宋体" w:hAnsi="Arial" w:cs="Arial"/>
          <w:color w:val="000000"/>
          <w:sz w:val="20"/>
          <w:szCs w:val="20"/>
        </w:rPr>
        <w:t>business.</w:t>
      </w:r>
    </w:p>
    <w:p w14:paraId="71D3EBF0" w14:textId="77777777" w:rsidR="006A3667" w:rsidRDefault="00045F32">
      <w:pPr>
        <w:spacing w:before="60"/>
        <w:ind w:firstLine="450"/>
        <w:jc w:val="both"/>
        <w:textAlignment w:val="top"/>
      </w:pPr>
      <w:r>
        <w:rPr>
          <w:rFonts w:ascii="Arial" w:eastAsia="宋体" w:hAnsi="Arial" w:cs="Arial"/>
          <w:color w:val="000000"/>
          <w:sz w:val="20"/>
          <w:szCs w:val="20"/>
        </w:rPr>
        <w:t>Securities finance revenue earned from our agency lending activities, which is composed of our split of both the spreads related to cash collateral and the fees related to non-cash collateral, is principally a function of the volume of securities</w:t>
      </w:r>
      <w:r>
        <w:rPr>
          <w:rFonts w:ascii="Arial" w:eastAsia="宋体" w:hAnsi="Arial" w:cs="Arial"/>
          <w:color w:val="000000"/>
          <w:sz w:val="20"/>
          <w:szCs w:val="20"/>
        </w:rPr>
        <w:t xml:space="preserve"> on loan, the interest rate spreads and fees earned on the underlying collateral and our share of the fee split.</w:t>
      </w:r>
    </w:p>
    <w:p w14:paraId="71D3EBF1" w14:textId="77777777" w:rsidR="006A3667" w:rsidRDefault="00045F32">
      <w:pPr>
        <w:ind w:firstLine="450"/>
        <w:jc w:val="right"/>
      </w:pPr>
      <w:r>
        <w:rPr>
          <w:rFonts w:ascii="Arial" w:eastAsia="宋体" w:hAnsi="Arial" w:cs="Arial"/>
          <w:color w:val="000000"/>
          <w:sz w:val="18"/>
          <w:szCs w:val="18"/>
        </w:rPr>
        <w:t>State Street Corporation | 18</w:t>
      </w:r>
    </w:p>
    <w:p w14:paraId="71D3EBF2" w14:textId="77777777" w:rsidR="006A3667" w:rsidRDefault="006A3667">
      <w:pPr>
        <w:ind w:firstLine="450"/>
        <w:jc w:val="center"/>
      </w:pPr>
    </w:p>
    <w:p w14:paraId="71D3EBF3" w14:textId="77777777" w:rsidR="006A3667" w:rsidRDefault="00045F32">
      <w:r>
        <w:pict w14:anchorId="71D4AC26">
          <v:rect id="_x0000_i1042" style="width:415.3pt;height:1.5pt" o:hralign="center" o:hrstd="t" o:hr="t" fillcolor="#a0a0a0" stroked="f"/>
        </w:pict>
      </w:r>
    </w:p>
    <w:p w14:paraId="71D3EBF4"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EBF5" w14:textId="77777777" w:rsidR="006A3667" w:rsidRDefault="00045F32">
      <w:pPr>
        <w:ind w:firstLine="450"/>
        <w:jc w:val="center"/>
      </w:pPr>
      <w:r>
        <w:rPr>
          <w:rFonts w:ascii="Arial" w:eastAsia="宋体" w:hAnsi="Arial" w:cs="Arial"/>
          <w:b/>
          <w:bCs/>
          <w:color w:val="000000"/>
          <w:sz w:val="20"/>
          <w:szCs w:val="20"/>
        </w:rPr>
        <w:t>AND RESULTS OF OPERATIONS</w:t>
      </w:r>
    </w:p>
    <w:p w14:paraId="71D3EBF6" w14:textId="77777777" w:rsidR="006A3667" w:rsidRDefault="00045F32">
      <w:pPr>
        <w:spacing w:before="60"/>
        <w:ind w:firstLine="450"/>
        <w:jc w:val="both"/>
        <w:textAlignment w:val="top"/>
      </w:pPr>
      <w:r>
        <w:rPr>
          <w:rFonts w:ascii="Arial" w:eastAsia="宋体" w:hAnsi="Arial" w:cs="Arial"/>
          <w:color w:val="000000"/>
          <w:sz w:val="20"/>
          <w:szCs w:val="20"/>
        </w:rPr>
        <w:t>As principal, our enhanc</w:t>
      </w:r>
      <w:r>
        <w:rPr>
          <w:rFonts w:ascii="Arial" w:eastAsia="宋体" w:hAnsi="Arial" w:cs="Arial"/>
          <w:color w:val="000000"/>
          <w:sz w:val="20"/>
          <w:szCs w:val="20"/>
        </w:rPr>
        <w:t>ed custody business borrows securities from the lending client or other market participants and then lends such securities to the subsequent borrower, either our client or a broker/dealer. We act as principal when the lending client is unable to, or elects</w:t>
      </w:r>
      <w:r>
        <w:rPr>
          <w:rFonts w:ascii="Arial" w:eastAsia="宋体" w:hAnsi="Arial" w:cs="Arial"/>
          <w:color w:val="000000"/>
          <w:sz w:val="20"/>
          <w:szCs w:val="20"/>
        </w:rPr>
        <w:t xml:space="preserve"> not to, transact directly with the market and execute the transaction and furnish the securities. In our role as principal, we provide support to the transaction through our credit rating. While we source a significant proportion of the securities furnish</w:t>
      </w:r>
      <w:r>
        <w:rPr>
          <w:rFonts w:ascii="Arial" w:eastAsia="宋体" w:hAnsi="Arial" w:cs="Arial"/>
          <w:color w:val="000000"/>
          <w:sz w:val="20"/>
          <w:szCs w:val="20"/>
        </w:rPr>
        <w:t>ed by us in our role as principal from third parties, we have the ability to source securities through assets under custody from clients who have designated us as an eligible borrower.</w:t>
      </w:r>
    </w:p>
    <w:p w14:paraId="71D3EBF7" w14:textId="77777777" w:rsidR="006A3667" w:rsidRDefault="00045F32">
      <w:pPr>
        <w:spacing w:before="60"/>
        <w:ind w:firstLine="450"/>
        <w:jc w:val="both"/>
        <w:textAlignment w:val="top"/>
      </w:pPr>
      <w:r>
        <w:rPr>
          <w:rFonts w:ascii="Arial" w:eastAsia="宋体" w:hAnsi="Arial" w:cs="Arial"/>
          <w:color w:val="000000"/>
          <w:sz w:val="20"/>
          <w:szCs w:val="20"/>
        </w:rPr>
        <w:t>Securities finance revenue, as presented in Table 2: Total Revenue, inc</w:t>
      </w:r>
      <w:r>
        <w:rPr>
          <w:rFonts w:ascii="Arial" w:eastAsia="宋体" w:hAnsi="Arial" w:cs="Arial"/>
          <w:color w:val="000000"/>
          <w:sz w:val="20"/>
          <w:szCs w:val="20"/>
        </w:rPr>
        <w:t>reased 4% in the three months ended September 30, 2022, compared to the same period in 2021, primarily driven by higher spreads, partially offset by lower agency and enhanced custody balances. Securities finance revenue, as presented in Table 2: Total Reve</w:t>
      </w:r>
      <w:r>
        <w:rPr>
          <w:rFonts w:ascii="Arial" w:eastAsia="宋体" w:hAnsi="Arial" w:cs="Arial"/>
          <w:color w:val="000000"/>
          <w:sz w:val="20"/>
          <w:szCs w:val="20"/>
        </w:rPr>
        <w:t>nue, was flat in the nine months ended September 30, 2022, compared to the same period in 2021, as higher spreads were offset by lower agency and enhanced custody balances.</w:t>
      </w:r>
    </w:p>
    <w:p w14:paraId="71D3EBF8" w14:textId="77777777" w:rsidR="006A3667" w:rsidRDefault="00045F32">
      <w:pPr>
        <w:spacing w:before="60"/>
        <w:ind w:firstLine="450"/>
        <w:jc w:val="both"/>
        <w:textAlignment w:val="top"/>
      </w:pPr>
      <w:r>
        <w:rPr>
          <w:rFonts w:ascii="Arial" w:eastAsia="宋体" w:hAnsi="Arial" w:cs="Arial"/>
          <w:color w:val="000000"/>
          <w:sz w:val="20"/>
          <w:szCs w:val="20"/>
        </w:rPr>
        <w:t xml:space="preserve">Market influences may continue to affect client demand for securities finance, and </w:t>
      </w:r>
      <w:r>
        <w:rPr>
          <w:rFonts w:ascii="Arial" w:eastAsia="宋体" w:hAnsi="Arial" w:cs="Arial"/>
          <w:color w:val="000000"/>
          <w:sz w:val="20"/>
          <w:szCs w:val="20"/>
        </w:rPr>
        <w:t>as a result our revenue from, and the profitability of, our securities lending activities in future periods. In addition, the constantly evolving regulatory environment, including revised or proposed capital and liquidity standards, interpretations of thos</w:t>
      </w:r>
      <w:r>
        <w:rPr>
          <w:rFonts w:ascii="Arial" w:eastAsia="宋体" w:hAnsi="Arial" w:cs="Arial"/>
          <w:color w:val="000000"/>
          <w:sz w:val="20"/>
          <w:szCs w:val="20"/>
        </w:rPr>
        <w:t xml:space="preserve">e standards, and our own balance sheet management activities, may influence modifications to the way in which we deliver our agency lending or enhanced custody businesses, the volume of our securities lending activity and related revenue and profitability </w:t>
      </w:r>
      <w:r>
        <w:rPr>
          <w:rFonts w:ascii="Arial" w:eastAsia="宋体" w:hAnsi="Arial" w:cs="Arial"/>
          <w:color w:val="000000"/>
          <w:sz w:val="20"/>
          <w:szCs w:val="20"/>
        </w:rPr>
        <w:t>in future periods.</w:t>
      </w:r>
    </w:p>
    <w:p w14:paraId="71D3EBF9" w14:textId="77777777" w:rsidR="006A3667" w:rsidRDefault="00045F32">
      <w:pPr>
        <w:spacing w:before="60"/>
        <w:jc w:val="both"/>
        <w:textAlignment w:val="top"/>
      </w:pPr>
      <w:r>
        <w:rPr>
          <w:rFonts w:ascii="Arial" w:eastAsia="宋体" w:hAnsi="Arial" w:cs="Arial"/>
          <w:b/>
          <w:bCs/>
          <w:i/>
          <w:iCs/>
          <w:color w:val="000000"/>
          <w:sz w:val="20"/>
          <w:szCs w:val="20"/>
        </w:rPr>
        <w:t>Software and Processing Fees</w:t>
      </w:r>
    </w:p>
    <w:p w14:paraId="71D3EBFA" w14:textId="77777777" w:rsidR="006A3667" w:rsidRDefault="00045F32">
      <w:pPr>
        <w:spacing w:before="60"/>
        <w:ind w:firstLine="450"/>
        <w:jc w:val="both"/>
        <w:textAlignment w:val="top"/>
      </w:pPr>
      <w:r>
        <w:rPr>
          <w:rFonts w:ascii="Arial" w:eastAsia="宋体" w:hAnsi="Arial" w:cs="Arial"/>
          <w:color w:val="000000"/>
          <w:sz w:val="20"/>
          <w:szCs w:val="20"/>
        </w:rPr>
        <w:t>Software and processing fees revenue includes diverse types of fees and revenue, including fees from software licensing and maintenance and fees from our structured products business.</w:t>
      </w:r>
    </w:p>
    <w:p w14:paraId="71D3EBFB" w14:textId="77777777" w:rsidR="006A3667" w:rsidRDefault="00045F32">
      <w:pPr>
        <w:spacing w:before="60"/>
        <w:ind w:firstLine="450"/>
        <w:jc w:val="both"/>
        <w:textAlignment w:val="top"/>
      </w:pPr>
      <w:r>
        <w:rPr>
          <w:rFonts w:ascii="Arial" w:eastAsia="宋体" w:hAnsi="Arial" w:cs="Arial"/>
          <w:color w:val="000000"/>
          <w:sz w:val="20"/>
          <w:szCs w:val="20"/>
        </w:rPr>
        <w:t>Software and processing fees revenue, presented in Table 2: Total Revenue, increased 2% in the three months ended September 30, 2022, compared to the same period in 2021, primarily driven by higher front office software and data revenue associated with CRD</w:t>
      </w:r>
      <w:r>
        <w:rPr>
          <w:rFonts w:ascii="Arial" w:eastAsia="宋体" w:hAnsi="Arial" w:cs="Arial"/>
          <w:color w:val="000000"/>
          <w:sz w:val="20"/>
          <w:szCs w:val="20"/>
        </w:rPr>
        <w:t>, partially offset by lower lending related and other fees. Software and processing fees revenue increased 4% in the nine months ended September 30, 2022, compared to the same period in 2021, primarily driven by higher front office software and data revenu</w:t>
      </w:r>
      <w:r>
        <w:rPr>
          <w:rFonts w:ascii="Arial" w:eastAsia="宋体" w:hAnsi="Arial" w:cs="Arial"/>
          <w:color w:val="000000"/>
          <w:sz w:val="20"/>
          <w:szCs w:val="20"/>
        </w:rPr>
        <w:t xml:space="preserve">e associated with CRD, partially offset by lower lending related and other fees. </w:t>
      </w:r>
    </w:p>
    <w:p w14:paraId="71D3EBFC" w14:textId="77777777" w:rsidR="006A3667" w:rsidRDefault="00045F32">
      <w:pPr>
        <w:spacing w:before="60"/>
        <w:ind w:firstLine="450"/>
        <w:jc w:val="both"/>
        <w:textAlignment w:val="top"/>
      </w:pPr>
      <w:r>
        <w:rPr>
          <w:rFonts w:ascii="Arial" w:eastAsia="宋体" w:hAnsi="Arial" w:cs="Arial"/>
          <w:color w:val="000000"/>
          <w:sz w:val="20"/>
          <w:szCs w:val="20"/>
        </w:rPr>
        <w:t>Front office software and data revenue, which includes primarily revenue from CRD, Alpha Data Platform and Alpha Data Services</w:t>
      </w:r>
      <w:r>
        <w:rPr>
          <w:rFonts w:ascii="Arial" w:eastAsia="宋体" w:hAnsi="Arial" w:cs="Arial"/>
          <w:color w:val="000000"/>
          <w:sz w:val="20"/>
          <w:szCs w:val="20"/>
          <w:shd w:val="clear" w:color="auto" w:fill="FFFFFF"/>
        </w:rPr>
        <w:t>, increa</w:t>
      </w:r>
      <w:r>
        <w:rPr>
          <w:rFonts w:ascii="Arial" w:eastAsia="宋体" w:hAnsi="Arial" w:cs="Arial"/>
          <w:color w:val="000000"/>
          <w:sz w:val="20"/>
          <w:szCs w:val="20"/>
        </w:rPr>
        <w:t>sed 9% in the three months ended Septemb</w:t>
      </w:r>
      <w:r>
        <w:rPr>
          <w:rFonts w:ascii="Arial" w:eastAsia="宋体" w:hAnsi="Arial" w:cs="Arial"/>
          <w:color w:val="000000"/>
          <w:sz w:val="20"/>
          <w:szCs w:val="20"/>
        </w:rPr>
        <w:t xml:space="preserve">er 30, 2022, compared to the same period in 2021, primarily driven by higher software-enabled revenue related to new client implementations and continued SaaS client conversions. Front office software and data revenue increased 9% in the nine months ended </w:t>
      </w:r>
      <w:r>
        <w:rPr>
          <w:rFonts w:ascii="Arial" w:eastAsia="宋体" w:hAnsi="Arial" w:cs="Arial"/>
          <w:color w:val="000000"/>
          <w:sz w:val="20"/>
          <w:szCs w:val="20"/>
        </w:rPr>
        <w:t>September 30, 2022, compared to the same period in 2021, primarily driven by higher software-enabled and professional services revenue, partially offset by lower on-premises renewals. Revenue related to the front office solutions provided by CRD is primari</w:t>
      </w:r>
      <w:r>
        <w:rPr>
          <w:rFonts w:ascii="Arial" w:eastAsia="宋体" w:hAnsi="Arial" w:cs="Arial"/>
          <w:color w:val="000000"/>
          <w:sz w:val="20"/>
          <w:szCs w:val="20"/>
        </w:rPr>
        <w:t xml:space="preserve">ly driven by the sale of term software licenses and SaaS, including professional services such as consulting and implementation services, software support and maintenance. Approximately 50%-70% of revenue associated with a sale of software to be installed </w:t>
      </w:r>
      <w:r>
        <w:rPr>
          <w:rFonts w:ascii="Arial" w:eastAsia="宋体" w:hAnsi="Arial" w:cs="Arial"/>
          <w:color w:val="000000"/>
          <w:sz w:val="20"/>
          <w:szCs w:val="20"/>
        </w:rPr>
        <w:t>on-premises is recognized at a point in time when the customer benefits from obtaining access to and use of the software license, with the percentage varying based on the length of the contract and other contractual terms. The remainder of revenue for on-p</w:t>
      </w:r>
      <w:r>
        <w:rPr>
          <w:rFonts w:ascii="Arial" w:eastAsia="宋体" w:hAnsi="Arial" w:cs="Arial"/>
          <w:color w:val="000000"/>
          <w:sz w:val="20"/>
          <w:szCs w:val="20"/>
        </w:rPr>
        <w:t>remise installations is recognized over the length of the contract as maintenance and other services are provided. Upon renewal of an on-premises software contract, the same pattern of revenue recognition is followed with 50%-70% recognized upon renewal an</w:t>
      </w:r>
      <w:r>
        <w:rPr>
          <w:rFonts w:ascii="Arial" w:eastAsia="宋体" w:hAnsi="Arial" w:cs="Arial"/>
          <w:color w:val="000000"/>
          <w:sz w:val="20"/>
          <w:szCs w:val="20"/>
        </w:rPr>
        <w:t>d the remaining balance recognized over the term of the contract. Revenue for a SaaS related arrangement, where the customer does not take possession of the software, is recognized over the term of the contract as services are provided. Upon renewal of a S</w:t>
      </w:r>
      <w:r>
        <w:rPr>
          <w:rFonts w:ascii="Arial" w:eastAsia="宋体" w:hAnsi="Arial" w:cs="Arial"/>
          <w:color w:val="000000"/>
          <w:sz w:val="20"/>
          <w:szCs w:val="20"/>
        </w:rPr>
        <w:t>aaS arrangement, revenue continues to be recognized as services are provided under the new contract. As a result of these differences in how portions of CRD revenue are accounted for, CRD revenue may vary more than other business units quarter to quarter.</w:t>
      </w:r>
    </w:p>
    <w:p w14:paraId="71D3EBFD" w14:textId="77777777" w:rsidR="006A3667" w:rsidRDefault="00045F32">
      <w:pPr>
        <w:spacing w:before="60"/>
        <w:ind w:firstLine="450"/>
        <w:jc w:val="both"/>
        <w:textAlignment w:val="top"/>
      </w:pPr>
      <w:r>
        <w:rPr>
          <w:rFonts w:ascii="Arial" w:eastAsia="宋体" w:hAnsi="Arial" w:cs="Arial"/>
          <w:color w:val="000000"/>
          <w:sz w:val="20"/>
          <w:szCs w:val="20"/>
        </w:rPr>
        <w:t>Lending related and other fees, which decreased 11% and 5% in the three and nine months ended September 30, 2022, respectively, compared to the same periods in 2021, primarily consists of fee revenue associated with our fund finance, leverage loans, munici</w:t>
      </w:r>
      <w:r>
        <w:rPr>
          <w:rFonts w:ascii="Arial" w:eastAsia="宋体" w:hAnsi="Arial" w:cs="Arial"/>
          <w:color w:val="000000"/>
          <w:sz w:val="20"/>
          <w:szCs w:val="20"/>
        </w:rPr>
        <w:t>pal finance, insurance and stable value wrap businesses.</w:t>
      </w:r>
    </w:p>
    <w:p w14:paraId="71D3EBFE" w14:textId="77777777" w:rsidR="006A3667" w:rsidRDefault="00045F32">
      <w:pPr>
        <w:spacing w:before="60"/>
        <w:jc w:val="both"/>
        <w:textAlignment w:val="top"/>
      </w:pPr>
      <w:r>
        <w:rPr>
          <w:rFonts w:ascii="Arial" w:eastAsia="宋体" w:hAnsi="Arial" w:cs="Arial"/>
          <w:b/>
          <w:bCs/>
          <w:i/>
          <w:iCs/>
          <w:color w:val="000000"/>
          <w:sz w:val="20"/>
          <w:szCs w:val="20"/>
        </w:rPr>
        <w:t>Other Fee Revenue</w:t>
      </w:r>
    </w:p>
    <w:p w14:paraId="71D3EBFF" w14:textId="77777777" w:rsidR="006A3667" w:rsidRDefault="00045F32">
      <w:pPr>
        <w:spacing w:before="60"/>
        <w:ind w:firstLine="450"/>
        <w:jc w:val="both"/>
        <w:textAlignment w:val="top"/>
      </w:pPr>
      <w:r>
        <w:rPr>
          <w:rFonts w:ascii="Arial" w:eastAsia="宋体" w:hAnsi="Arial" w:cs="Arial"/>
          <w:color w:val="000000"/>
          <w:sz w:val="20"/>
          <w:szCs w:val="20"/>
        </w:rPr>
        <w:t>Other fee revenue includes market-related adjustments and income associated with certain tax-advantaged investments and other equity method investments.</w:t>
      </w:r>
    </w:p>
    <w:p w14:paraId="71D3EC00" w14:textId="77777777" w:rsidR="006A3667" w:rsidRDefault="00045F32">
      <w:pPr>
        <w:spacing w:before="60"/>
        <w:ind w:firstLine="450"/>
        <w:jc w:val="both"/>
        <w:textAlignment w:val="top"/>
      </w:pPr>
      <w:r>
        <w:rPr>
          <w:rFonts w:ascii="Arial" w:eastAsia="宋体" w:hAnsi="Arial" w:cs="Arial"/>
          <w:color w:val="000000"/>
          <w:sz w:val="20"/>
          <w:szCs w:val="20"/>
        </w:rPr>
        <w:t xml:space="preserve">Other fee revenue decreased </w:t>
      </w:r>
      <w:r>
        <w:rPr>
          <w:rFonts w:ascii="Arial" w:eastAsia="宋体" w:hAnsi="Arial" w:cs="Arial"/>
          <w:color w:val="000000"/>
          <w:sz w:val="20"/>
          <w:szCs w:val="20"/>
        </w:rPr>
        <w:t xml:space="preserve">$27 million in the three months ended September 30, 2022, compared to the same period in 2021, primarily driven by the absence of fair value adjustments on equity </w:t>
      </w:r>
    </w:p>
    <w:p w14:paraId="71D3EC01" w14:textId="77777777" w:rsidR="006A3667" w:rsidRDefault="00045F32">
      <w:pPr>
        <w:ind w:firstLine="450"/>
        <w:jc w:val="right"/>
      </w:pPr>
      <w:r>
        <w:rPr>
          <w:rFonts w:ascii="Arial" w:eastAsia="宋体" w:hAnsi="Arial" w:cs="Arial"/>
          <w:color w:val="000000"/>
          <w:sz w:val="18"/>
          <w:szCs w:val="18"/>
        </w:rPr>
        <w:t>State Street Corporation | 19</w:t>
      </w:r>
    </w:p>
    <w:p w14:paraId="71D3EC02" w14:textId="77777777" w:rsidR="006A3667" w:rsidRDefault="006A3667">
      <w:pPr>
        <w:ind w:firstLine="450"/>
        <w:jc w:val="center"/>
      </w:pPr>
    </w:p>
    <w:p w14:paraId="71D3EC03" w14:textId="77777777" w:rsidR="006A3667" w:rsidRDefault="00045F32">
      <w:r>
        <w:pict w14:anchorId="71D4AC27">
          <v:rect id="_x0000_i1043" style="width:415.3pt;height:1.5pt" o:hralign="center" o:hrstd="t" o:hr="t" fillcolor="#a0a0a0" stroked="f"/>
        </w:pict>
      </w:r>
    </w:p>
    <w:p w14:paraId="71D3EC04" w14:textId="77777777" w:rsidR="006A3667" w:rsidRDefault="00045F32">
      <w:pPr>
        <w:ind w:firstLine="450"/>
        <w:jc w:val="center"/>
      </w:pPr>
      <w:r>
        <w:rPr>
          <w:rFonts w:ascii="Arial" w:eastAsia="宋体" w:hAnsi="Arial" w:cs="Arial"/>
          <w:b/>
          <w:bCs/>
          <w:color w:val="000000"/>
          <w:sz w:val="20"/>
          <w:szCs w:val="20"/>
        </w:rPr>
        <w:t xml:space="preserve">MANAGEMENT’S DISCUSSION AND ANALYSIS OF FINANCIAL </w:t>
      </w:r>
      <w:r>
        <w:rPr>
          <w:rFonts w:ascii="Arial" w:eastAsia="宋体" w:hAnsi="Arial" w:cs="Arial"/>
          <w:b/>
          <w:bCs/>
          <w:color w:val="000000"/>
          <w:sz w:val="20"/>
          <w:szCs w:val="20"/>
        </w:rPr>
        <w:t>CONDITION</w:t>
      </w:r>
    </w:p>
    <w:p w14:paraId="71D3EC05" w14:textId="77777777" w:rsidR="006A3667" w:rsidRDefault="00045F32">
      <w:pPr>
        <w:ind w:firstLine="450"/>
        <w:jc w:val="center"/>
      </w:pPr>
      <w:r>
        <w:rPr>
          <w:rFonts w:ascii="Arial" w:eastAsia="宋体" w:hAnsi="Arial" w:cs="Arial"/>
          <w:b/>
          <w:bCs/>
          <w:color w:val="000000"/>
          <w:sz w:val="20"/>
          <w:szCs w:val="20"/>
        </w:rPr>
        <w:t>AND RESULTS OF OPERATIONS</w:t>
      </w:r>
    </w:p>
    <w:p w14:paraId="71D3EC06" w14:textId="77777777" w:rsidR="006A3667" w:rsidRDefault="00045F32">
      <w:pPr>
        <w:spacing w:before="60"/>
        <w:jc w:val="both"/>
        <w:textAlignment w:val="top"/>
      </w:pPr>
      <w:r>
        <w:rPr>
          <w:rFonts w:ascii="Arial" w:eastAsia="宋体" w:hAnsi="Arial" w:cs="Arial"/>
          <w:color w:val="000000"/>
          <w:sz w:val="20"/>
          <w:szCs w:val="20"/>
        </w:rPr>
        <w:t>investments of $17 million, and m</w:t>
      </w:r>
      <w:r>
        <w:rPr>
          <w:rFonts w:ascii="Arial" w:eastAsia="宋体" w:hAnsi="Arial" w:cs="Arial"/>
          <w:color w:val="000000"/>
          <w:sz w:val="20"/>
          <w:szCs w:val="20"/>
          <w:shd w:val="clear" w:color="auto" w:fill="FFFFFF"/>
        </w:rPr>
        <w:t>arket-related adjustments which negatively impacted other fee revenue by $</w:t>
      </w:r>
      <w:r>
        <w:rPr>
          <w:rFonts w:ascii="Arial" w:eastAsia="宋体" w:hAnsi="Arial" w:cs="Arial"/>
          <w:color w:val="000000"/>
          <w:sz w:val="20"/>
          <w:szCs w:val="20"/>
        </w:rPr>
        <w:t>9 million compared to the same period in 2021.</w:t>
      </w:r>
      <w:r>
        <w:rPr>
          <w:rFonts w:ascii="Arial" w:eastAsia="宋体" w:hAnsi="Arial" w:cs="Arial"/>
          <w:color w:val="000000"/>
          <w:sz w:val="20"/>
          <w:szCs w:val="20"/>
          <w:shd w:val="clear" w:color="auto" w:fill="FFFFFF"/>
        </w:rPr>
        <w:t xml:space="preserve"> </w:t>
      </w:r>
    </w:p>
    <w:p w14:paraId="71D3EC07" w14:textId="77777777" w:rsidR="006A3667" w:rsidRDefault="00045F32">
      <w:pPr>
        <w:spacing w:before="60"/>
        <w:ind w:firstLine="450"/>
        <w:jc w:val="both"/>
        <w:textAlignment w:val="top"/>
      </w:pPr>
      <w:r>
        <w:rPr>
          <w:rFonts w:ascii="Arial" w:eastAsia="宋体" w:hAnsi="Arial" w:cs="Arial"/>
          <w:color w:val="000000"/>
          <w:sz w:val="20"/>
          <w:szCs w:val="20"/>
        </w:rPr>
        <w:t xml:space="preserve">Other fee revenue decreased $67 million in the nine months ended </w:t>
      </w:r>
      <w:r>
        <w:rPr>
          <w:rFonts w:ascii="Arial" w:eastAsia="宋体" w:hAnsi="Arial" w:cs="Arial"/>
          <w:color w:val="000000"/>
          <w:sz w:val="20"/>
          <w:szCs w:val="20"/>
        </w:rPr>
        <w:t>September 30, 2022, compared to the same period in 2021, primarily driven by m</w:t>
      </w:r>
      <w:r>
        <w:rPr>
          <w:rFonts w:ascii="Arial" w:eastAsia="宋体" w:hAnsi="Arial" w:cs="Arial"/>
          <w:color w:val="000000"/>
          <w:sz w:val="20"/>
          <w:szCs w:val="20"/>
          <w:shd w:val="clear" w:color="auto" w:fill="FFFFFF"/>
        </w:rPr>
        <w:t xml:space="preserve">arket-related adjustments which negatively impacted other fee revenue </w:t>
      </w:r>
      <w:r>
        <w:rPr>
          <w:rFonts w:ascii="Arial" w:eastAsia="宋体" w:hAnsi="Arial" w:cs="Arial"/>
          <w:color w:val="000000"/>
          <w:sz w:val="20"/>
          <w:szCs w:val="20"/>
        </w:rPr>
        <w:t>by approximately $64 million compared to the same period in 2021, partially offset by larger fair value adju</w:t>
      </w:r>
      <w:r>
        <w:rPr>
          <w:rFonts w:ascii="Arial" w:eastAsia="宋体" w:hAnsi="Arial" w:cs="Arial"/>
          <w:color w:val="000000"/>
          <w:sz w:val="20"/>
          <w:szCs w:val="20"/>
        </w:rPr>
        <w:t>stments on equity</w:t>
      </w:r>
      <w:r>
        <w:rPr>
          <w:rFonts w:ascii="Arial" w:eastAsia="宋体" w:hAnsi="Arial" w:cs="Arial"/>
          <w:color w:val="000000"/>
          <w:sz w:val="20"/>
          <w:szCs w:val="20"/>
          <w:shd w:val="clear" w:color="auto" w:fill="FFFFFF"/>
        </w:rPr>
        <w:t xml:space="preserve"> investments of $27 million compared to the same period in 2021. </w:t>
      </w:r>
    </w:p>
    <w:p w14:paraId="71D3EC08" w14:textId="77777777" w:rsidR="006A3667" w:rsidRDefault="00045F32">
      <w:pPr>
        <w:spacing w:before="60"/>
        <w:ind w:firstLine="450"/>
        <w:jc w:val="both"/>
        <w:textAlignment w:val="top"/>
      </w:pPr>
      <w:r>
        <w:rPr>
          <w:rFonts w:ascii="Arial" w:eastAsia="宋体" w:hAnsi="Arial" w:cs="Arial"/>
          <w:color w:val="000000"/>
          <w:sz w:val="20"/>
          <w:szCs w:val="20"/>
          <w:shd w:val="clear" w:color="auto" w:fill="FFFFFF"/>
        </w:rPr>
        <w:t>Additional information about fee revenue is provided under "Line of Business Information" included in this Management's Discussion and Analysis.</w:t>
      </w:r>
    </w:p>
    <w:p w14:paraId="71D3EC09" w14:textId="77777777" w:rsidR="006A3667" w:rsidRDefault="00045F32">
      <w:pPr>
        <w:spacing w:before="60"/>
        <w:jc w:val="both"/>
        <w:textAlignment w:val="top"/>
      </w:pPr>
      <w:r>
        <w:rPr>
          <w:rFonts w:ascii="Arial" w:eastAsia="宋体" w:hAnsi="Arial" w:cs="Arial"/>
          <w:b/>
          <w:bCs/>
          <w:i/>
          <w:iCs/>
          <w:color w:val="000000"/>
          <w:sz w:val="20"/>
          <w:szCs w:val="20"/>
        </w:rPr>
        <w:t>Net Interest Income</w:t>
      </w:r>
    </w:p>
    <w:p w14:paraId="71D3EC0A" w14:textId="77777777" w:rsidR="006A3667" w:rsidRDefault="00045F32">
      <w:pPr>
        <w:spacing w:before="60"/>
        <w:ind w:firstLine="450"/>
        <w:jc w:val="both"/>
        <w:textAlignment w:val="top"/>
      </w:pPr>
      <w:r>
        <w:rPr>
          <w:rFonts w:ascii="Arial" w:eastAsia="宋体" w:hAnsi="Arial" w:cs="Arial"/>
          <w:color w:val="000000"/>
          <w:sz w:val="20"/>
          <w:szCs w:val="20"/>
        </w:rPr>
        <w:t>See Tabl</w:t>
      </w:r>
      <w:r>
        <w:rPr>
          <w:rFonts w:ascii="Arial" w:eastAsia="宋体" w:hAnsi="Arial" w:cs="Arial"/>
          <w:color w:val="000000"/>
          <w:sz w:val="20"/>
          <w:szCs w:val="20"/>
        </w:rPr>
        <w:t xml:space="preserve">e 2: Total Revenue, for the breakout of interest income and interest expense for the three and nine months ended September 30, 2022, compared to the same periods in 2021. </w:t>
      </w:r>
    </w:p>
    <w:p w14:paraId="71D3EC0B" w14:textId="77777777" w:rsidR="006A3667" w:rsidRDefault="00045F32">
      <w:pPr>
        <w:spacing w:before="60"/>
        <w:ind w:firstLine="450"/>
        <w:jc w:val="both"/>
        <w:textAlignment w:val="top"/>
      </w:pPr>
      <w:r>
        <w:rPr>
          <w:rFonts w:ascii="Arial" w:eastAsia="宋体" w:hAnsi="Arial" w:cs="Arial"/>
          <w:color w:val="000000"/>
          <w:sz w:val="20"/>
          <w:szCs w:val="20"/>
        </w:rPr>
        <w:t>NII is defined as interest income earned on interest-earning assets less interest ex</w:t>
      </w:r>
      <w:r>
        <w:rPr>
          <w:rFonts w:ascii="Arial" w:eastAsia="宋体" w:hAnsi="Arial" w:cs="Arial"/>
          <w:color w:val="000000"/>
          <w:sz w:val="20"/>
          <w:szCs w:val="20"/>
        </w:rPr>
        <w:t xml:space="preserve">pense incurred on interest-bearing liabilities. Interest-earning assets, which principally consist of investment securities, interest-bearing deposits with banks, loans, resale agreements and other liquid assets, are financed primarily by client deposits, </w:t>
      </w:r>
      <w:r>
        <w:rPr>
          <w:rFonts w:ascii="Arial" w:eastAsia="宋体" w:hAnsi="Arial" w:cs="Arial"/>
          <w:color w:val="000000"/>
          <w:sz w:val="20"/>
          <w:szCs w:val="20"/>
        </w:rPr>
        <w:t>short-term borrowings and long-term debt.</w:t>
      </w:r>
    </w:p>
    <w:p w14:paraId="71D3EC0C" w14:textId="77777777" w:rsidR="006A3667" w:rsidRDefault="00045F32">
      <w:pPr>
        <w:spacing w:before="60"/>
        <w:ind w:firstLine="450"/>
        <w:jc w:val="both"/>
        <w:textAlignment w:val="top"/>
      </w:pPr>
      <w:r>
        <w:rPr>
          <w:rFonts w:ascii="Arial" w:eastAsia="宋体" w:hAnsi="Arial" w:cs="Arial"/>
          <w:color w:val="000000"/>
          <w:sz w:val="20"/>
          <w:szCs w:val="20"/>
        </w:rPr>
        <w:t>NIM represents the relationship between annualized FTE NII and average total interest-earning assets for the period. It is calculated by dividing FTE NII by average interest-earning assets. Revenue that is exempt f</w:t>
      </w:r>
      <w:r>
        <w:rPr>
          <w:rFonts w:ascii="Arial" w:eastAsia="宋体" w:hAnsi="Arial" w:cs="Arial"/>
          <w:color w:val="000000"/>
          <w:sz w:val="20"/>
          <w:szCs w:val="20"/>
        </w:rPr>
        <w:t>rom income taxes, mainly earned from certain investment securities (state and political subdivisions), is adjusted to a FTE basis using the U.S. federal and state statutory income tax rates.</w:t>
      </w:r>
    </w:p>
    <w:p w14:paraId="71D3EC0D" w14:textId="77777777" w:rsidR="006A3667" w:rsidRDefault="00045F32">
      <w:pPr>
        <w:spacing w:before="60"/>
        <w:ind w:firstLine="450"/>
        <w:jc w:val="both"/>
        <w:textAlignment w:val="top"/>
      </w:pPr>
      <w:r>
        <w:rPr>
          <w:rFonts w:ascii="Arial" w:eastAsia="宋体" w:hAnsi="Arial" w:cs="Arial"/>
          <w:color w:val="000000"/>
          <w:sz w:val="20"/>
          <w:szCs w:val="20"/>
        </w:rPr>
        <w:t xml:space="preserve">NII on an FTE basis increased in the three and nine months ended </w:t>
      </w:r>
      <w:r>
        <w:rPr>
          <w:rFonts w:ascii="Arial" w:eastAsia="宋体" w:hAnsi="Arial" w:cs="Arial"/>
          <w:color w:val="000000"/>
          <w:sz w:val="20"/>
          <w:szCs w:val="20"/>
        </w:rPr>
        <w:t>September 30, 2022, compared to the same periods in 2021, primarily due to higher short-term interest rates from U.S. and international central bank rate hikes, partially offset by lower client deposits.</w:t>
      </w:r>
    </w:p>
    <w:p w14:paraId="71D3EC0E" w14:textId="77777777" w:rsidR="006A3667" w:rsidRDefault="00045F32">
      <w:pPr>
        <w:spacing w:before="60"/>
        <w:ind w:firstLine="450"/>
        <w:jc w:val="both"/>
        <w:textAlignment w:val="top"/>
      </w:pPr>
      <w:r>
        <w:rPr>
          <w:rFonts w:ascii="Arial" w:eastAsia="宋体" w:hAnsi="Arial" w:cs="Arial"/>
          <w:color w:val="000000"/>
          <w:sz w:val="20"/>
          <w:szCs w:val="20"/>
        </w:rPr>
        <w:t>Investment securities net purchase premium amortizat</w:t>
      </w:r>
      <w:r>
        <w:rPr>
          <w:rFonts w:ascii="Arial" w:eastAsia="宋体" w:hAnsi="Arial" w:cs="Arial"/>
          <w:color w:val="000000"/>
          <w:sz w:val="20"/>
          <w:szCs w:val="20"/>
        </w:rPr>
        <w:t>ion, which is included in interest income, was $46 million and $199 million for the three and nine months ended September 30, 2022, respectively, compared to $128 million and $454 million in the same periods in 2021, respectively, primarily driven by lower</w:t>
      </w:r>
      <w:r>
        <w:rPr>
          <w:rFonts w:ascii="Arial" w:eastAsia="宋体" w:hAnsi="Arial" w:cs="Arial"/>
          <w:color w:val="000000"/>
          <w:sz w:val="20"/>
          <w:szCs w:val="20"/>
        </w:rPr>
        <w:t xml:space="preserve"> prepayments from higher long-end interest rates.</w:t>
      </w:r>
    </w:p>
    <w:p w14:paraId="71D3EC0F" w14:textId="77777777" w:rsidR="006A3667" w:rsidRDefault="00045F32">
      <w:pPr>
        <w:spacing w:before="60"/>
        <w:ind w:firstLine="450"/>
        <w:jc w:val="both"/>
        <w:textAlignment w:val="top"/>
      </w:pPr>
      <w:r>
        <w:rPr>
          <w:rFonts w:ascii="Arial" w:eastAsia="宋体" w:hAnsi="Arial" w:cs="Arial"/>
          <w:color w:val="000000"/>
          <w:sz w:val="20"/>
          <w:szCs w:val="20"/>
        </w:rPr>
        <w:t xml:space="preserve">Interest income related to debt securities is recognized in our consolidated statement of income using the effective interest method, or on a basis approximating a level rate of return over the contractual </w:t>
      </w:r>
      <w:r>
        <w:rPr>
          <w:rFonts w:ascii="Arial" w:eastAsia="宋体" w:hAnsi="Arial" w:cs="Arial"/>
          <w:color w:val="000000"/>
          <w:sz w:val="20"/>
          <w:szCs w:val="20"/>
        </w:rPr>
        <w:t>or estimated life of the security. The rate of return considers any non-refundable fees or costs, as well as purchase premiums or discounts, resulting in amortization or accretion, accordingly. The amortization of premiums and accretion of discounts are ad</w:t>
      </w:r>
      <w:r>
        <w:rPr>
          <w:rFonts w:ascii="Arial" w:eastAsia="宋体" w:hAnsi="Arial" w:cs="Arial"/>
          <w:color w:val="000000"/>
          <w:sz w:val="20"/>
          <w:szCs w:val="20"/>
        </w:rPr>
        <w:t>justed for prepayments when they occur, which primarily impact mortgage-backed securities.</w:t>
      </w:r>
    </w:p>
    <w:p w14:paraId="71D3EC10" w14:textId="77777777" w:rsidR="006A3667" w:rsidRDefault="00045F32">
      <w:pPr>
        <w:spacing w:before="60"/>
        <w:ind w:firstLine="450"/>
        <w:jc w:val="both"/>
        <w:textAlignment w:val="top"/>
      </w:pPr>
      <w:r>
        <w:rPr>
          <w:rFonts w:ascii="Arial" w:eastAsia="宋体" w:hAnsi="Arial" w:cs="Arial"/>
          <w:color w:val="000000"/>
          <w:sz w:val="20"/>
          <w:szCs w:val="20"/>
        </w:rPr>
        <w:t>The following table presents the investment securities amortizable purchase premium net of discount accretion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1622"/>
        <w:gridCol w:w="37"/>
        <w:gridCol w:w="93"/>
        <w:gridCol w:w="730"/>
        <w:gridCol w:w="36"/>
        <w:gridCol w:w="36"/>
        <w:gridCol w:w="36"/>
        <w:gridCol w:w="36"/>
        <w:gridCol w:w="93"/>
        <w:gridCol w:w="724"/>
        <w:gridCol w:w="36"/>
        <w:gridCol w:w="36"/>
        <w:gridCol w:w="36"/>
        <w:gridCol w:w="36"/>
        <w:gridCol w:w="94"/>
        <w:gridCol w:w="724"/>
        <w:gridCol w:w="37"/>
        <w:gridCol w:w="36"/>
        <w:gridCol w:w="36"/>
        <w:gridCol w:w="36"/>
        <w:gridCol w:w="93"/>
        <w:gridCol w:w="724"/>
        <w:gridCol w:w="36"/>
        <w:gridCol w:w="36"/>
        <w:gridCol w:w="36"/>
        <w:gridCol w:w="36"/>
        <w:gridCol w:w="93"/>
        <w:gridCol w:w="724"/>
        <w:gridCol w:w="36"/>
        <w:gridCol w:w="36"/>
        <w:gridCol w:w="36"/>
        <w:gridCol w:w="36"/>
        <w:gridCol w:w="93"/>
        <w:gridCol w:w="72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3EC3F" w14:textId="77777777">
        <w:tc>
          <w:tcPr>
            <w:tcW w:w="50" w:type="pct"/>
            <w:shd w:val="clear" w:color="auto" w:fill="auto"/>
            <w:vAlign w:val="bottom"/>
          </w:tcPr>
          <w:p w14:paraId="71D3EC11" w14:textId="77777777" w:rsidR="006A3667" w:rsidRDefault="006A3667">
            <w:pPr>
              <w:rPr>
                <w:rFonts w:ascii="宋体"/>
              </w:rPr>
            </w:pPr>
          </w:p>
        </w:tc>
        <w:tc>
          <w:tcPr>
            <w:tcW w:w="1139" w:type="pct"/>
            <w:shd w:val="clear" w:color="auto" w:fill="auto"/>
            <w:vAlign w:val="bottom"/>
          </w:tcPr>
          <w:p w14:paraId="71D3EC12" w14:textId="77777777" w:rsidR="006A3667" w:rsidRDefault="006A3667">
            <w:pPr>
              <w:rPr>
                <w:rFonts w:ascii="宋体"/>
              </w:rPr>
            </w:pPr>
          </w:p>
        </w:tc>
        <w:tc>
          <w:tcPr>
            <w:tcW w:w="5" w:type="pct"/>
            <w:shd w:val="clear" w:color="auto" w:fill="auto"/>
            <w:vAlign w:val="bottom"/>
          </w:tcPr>
          <w:p w14:paraId="71D3EC13" w14:textId="77777777" w:rsidR="006A3667" w:rsidRDefault="006A3667">
            <w:pPr>
              <w:rPr>
                <w:rFonts w:ascii="宋体"/>
              </w:rPr>
            </w:pPr>
          </w:p>
        </w:tc>
        <w:tc>
          <w:tcPr>
            <w:tcW w:w="50" w:type="pct"/>
            <w:shd w:val="clear" w:color="auto" w:fill="auto"/>
            <w:vAlign w:val="bottom"/>
          </w:tcPr>
          <w:p w14:paraId="71D3EC14" w14:textId="77777777" w:rsidR="006A3667" w:rsidRDefault="006A3667">
            <w:pPr>
              <w:rPr>
                <w:rFonts w:ascii="宋体"/>
              </w:rPr>
            </w:pPr>
          </w:p>
        </w:tc>
        <w:tc>
          <w:tcPr>
            <w:tcW w:w="526" w:type="pct"/>
            <w:shd w:val="clear" w:color="auto" w:fill="auto"/>
            <w:vAlign w:val="bottom"/>
          </w:tcPr>
          <w:p w14:paraId="71D3EC15" w14:textId="77777777" w:rsidR="006A3667" w:rsidRDefault="006A3667">
            <w:pPr>
              <w:rPr>
                <w:rFonts w:ascii="宋体"/>
              </w:rPr>
            </w:pPr>
          </w:p>
        </w:tc>
        <w:tc>
          <w:tcPr>
            <w:tcW w:w="5" w:type="pct"/>
            <w:shd w:val="clear" w:color="auto" w:fill="auto"/>
            <w:vAlign w:val="bottom"/>
          </w:tcPr>
          <w:p w14:paraId="71D3EC16" w14:textId="77777777" w:rsidR="006A3667" w:rsidRDefault="006A3667">
            <w:pPr>
              <w:rPr>
                <w:rFonts w:ascii="宋体"/>
              </w:rPr>
            </w:pPr>
          </w:p>
        </w:tc>
        <w:tc>
          <w:tcPr>
            <w:tcW w:w="5" w:type="pct"/>
            <w:shd w:val="clear" w:color="auto" w:fill="auto"/>
            <w:vAlign w:val="bottom"/>
          </w:tcPr>
          <w:p w14:paraId="71D3EC17" w14:textId="77777777" w:rsidR="006A3667" w:rsidRDefault="006A3667">
            <w:pPr>
              <w:rPr>
                <w:rFonts w:ascii="宋体"/>
              </w:rPr>
            </w:pPr>
          </w:p>
        </w:tc>
        <w:tc>
          <w:tcPr>
            <w:tcW w:w="52" w:type="pct"/>
            <w:shd w:val="clear" w:color="auto" w:fill="auto"/>
            <w:vAlign w:val="bottom"/>
          </w:tcPr>
          <w:p w14:paraId="71D3EC18" w14:textId="77777777" w:rsidR="006A3667" w:rsidRDefault="006A3667">
            <w:pPr>
              <w:rPr>
                <w:rFonts w:ascii="宋体"/>
              </w:rPr>
            </w:pPr>
          </w:p>
        </w:tc>
        <w:tc>
          <w:tcPr>
            <w:tcW w:w="5" w:type="pct"/>
            <w:shd w:val="clear" w:color="auto" w:fill="auto"/>
            <w:vAlign w:val="bottom"/>
          </w:tcPr>
          <w:p w14:paraId="71D3EC19" w14:textId="77777777" w:rsidR="006A3667" w:rsidRDefault="006A3667">
            <w:pPr>
              <w:rPr>
                <w:rFonts w:ascii="宋体"/>
              </w:rPr>
            </w:pPr>
          </w:p>
        </w:tc>
        <w:tc>
          <w:tcPr>
            <w:tcW w:w="50" w:type="pct"/>
            <w:shd w:val="clear" w:color="auto" w:fill="auto"/>
            <w:vAlign w:val="bottom"/>
          </w:tcPr>
          <w:p w14:paraId="71D3EC1A" w14:textId="77777777" w:rsidR="006A3667" w:rsidRDefault="006A3667">
            <w:pPr>
              <w:rPr>
                <w:rFonts w:ascii="宋体"/>
              </w:rPr>
            </w:pPr>
          </w:p>
        </w:tc>
        <w:tc>
          <w:tcPr>
            <w:tcW w:w="526" w:type="pct"/>
            <w:shd w:val="clear" w:color="auto" w:fill="auto"/>
            <w:vAlign w:val="bottom"/>
          </w:tcPr>
          <w:p w14:paraId="71D3EC1B" w14:textId="77777777" w:rsidR="006A3667" w:rsidRDefault="006A3667">
            <w:pPr>
              <w:rPr>
                <w:rFonts w:ascii="宋体"/>
              </w:rPr>
            </w:pPr>
          </w:p>
        </w:tc>
        <w:tc>
          <w:tcPr>
            <w:tcW w:w="5" w:type="pct"/>
            <w:shd w:val="clear" w:color="auto" w:fill="auto"/>
            <w:vAlign w:val="bottom"/>
          </w:tcPr>
          <w:p w14:paraId="71D3EC1C" w14:textId="77777777" w:rsidR="006A3667" w:rsidRDefault="006A3667">
            <w:pPr>
              <w:rPr>
                <w:rFonts w:ascii="宋体"/>
              </w:rPr>
            </w:pPr>
          </w:p>
        </w:tc>
        <w:tc>
          <w:tcPr>
            <w:tcW w:w="5" w:type="pct"/>
            <w:shd w:val="clear" w:color="auto" w:fill="auto"/>
            <w:vAlign w:val="bottom"/>
          </w:tcPr>
          <w:p w14:paraId="71D3EC1D" w14:textId="77777777" w:rsidR="006A3667" w:rsidRDefault="006A3667">
            <w:pPr>
              <w:rPr>
                <w:rFonts w:ascii="宋体"/>
              </w:rPr>
            </w:pPr>
          </w:p>
        </w:tc>
        <w:tc>
          <w:tcPr>
            <w:tcW w:w="52" w:type="pct"/>
            <w:shd w:val="clear" w:color="auto" w:fill="auto"/>
            <w:vAlign w:val="bottom"/>
          </w:tcPr>
          <w:p w14:paraId="71D3EC1E" w14:textId="77777777" w:rsidR="006A3667" w:rsidRDefault="006A3667">
            <w:pPr>
              <w:rPr>
                <w:rFonts w:ascii="宋体"/>
              </w:rPr>
            </w:pPr>
          </w:p>
        </w:tc>
        <w:tc>
          <w:tcPr>
            <w:tcW w:w="5" w:type="pct"/>
            <w:shd w:val="clear" w:color="auto" w:fill="auto"/>
            <w:vAlign w:val="bottom"/>
          </w:tcPr>
          <w:p w14:paraId="71D3EC1F" w14:textId="77777777" w:rsidR="006A3667" w:rsidRDefault="006A3667">
            <w:pPr>
              <w:rPr>
                <w:rFonts w:ascii="宋体"/>
              </w:rPr>
            </w:pPr>
          </w:p>
        </w:tc>
        <w:tc>
          <w:tcPr>
            <w:tcW w:w="50" w:type="pct"/>
            <w:shd w:val="clear" w:color="auto" w:fill="auto"/>
            <w:vAlign w:val="bottom"/>
          </w:tcPr>
          <w:p w14:paraId="71D3EC20" w14:textId="77777777" w:rsidR="006A3667" w:rsidRDefault="006A3667">
            <w:pPr>
              <w:rPr>
                <w:rFonts w:ascii="宋体"/>
              </w:rPr>
            </w:pPr>
          </w:p>
        </w:tc>
        <w:tc>
          <w:tcPr>
            <w:tcW w:w="526" w:type="pct"/>
            <w:shd w:val="clear" w:color="auto" w:fill="auto"/>
            <w:vAlign w:val="bottom"/>
          </w:tcPr>
          <w:p w14:paraId="71D3EC21" w14:textId="77777777" w:rsidR="006A3667" w:rsidRDefault="006A3667">
            <w:pPr>
              <w:rPr>
                <w:rFonts w:ascii="宋体"/>
              </w:rPr>
            </w:pPr>
          </w:p>
        </w:tc>
        <w:tc>
          <w:tcPr>
            <w:tcW w:w="5" w:type="pct"/>
            <w:shd w:val="clear" w:color="auto" w:fill="auto"/>
            <w:vAlign w:val="bottom"/>
          </w:tcPr>
          <w:p w14:paraId="71D3EC22" w14:textId="77777777" w:rsidR="006A3667" w:rsidRDefault="006A3667">
            <w:pPr>
              <w:rPr>
                <w:rFonts w:ascii="宋体"/>
              </w:rPr>
            </w:pPr>
          </w:p>
        </w:tc>
        <w:tc>
          <w:tcPr>
            <w:tcW w:w="5" w:type="pct"/>
            <w:shd w:val="clear" w:color="auto" w:fill="auto"/>
            <w:vAlign w:val="bottom"/>
          </w:tcPr>
          <w:p w14:paraId="71D3EC23" w14:textId="77777777" w:rsidR="006A3667" w:rsidRDefault="006A3667">
            <w:pPr>
              <w:rPr>
                <w:rFonts w:ascii="宋体"/>
              </w:rPr>
            </w:pPr>
          </w:p>
        </w:tc>
        <w:tc>
          <w:tcPr>
            <w:tcW w:w="52" w:type="pct"/>
            <w:shd w:val="clear" w:color="auto" w:fill="auto"/>
            <w:vAlign w:val="bottom"/>
          </w:tcPr>
          <w:p w14:paraId="71D3EC24" w14:textId="77777777" w:rsidR="006A3667" w:rsidRDefault="006A3667">
            <w:pPr>
              <w:rPr>
                <w:rFonts w:ascii="宋体"/>
              </w:rPr>
            </w:pPr>
          </w:p>
        </w:tc>
        <w:tc>
          <w:tcPr>
            <w:tcW w:w="5" w:type="pct"/>
            <w:shd w:val="clear" w:color="auto" w:fill="auto"/>
            <w:vAlign w:val="bottom"/>
          </w:tcPr>
          <w:p w14:paraId="71D3EC25" w14:textId="77777777" w:rsidR="006A3667" w:rsidRDefault="006A3667">
            <w:pPr>
              <w:rPr>
                <w:rFonts w:ascii="宋体"/>
              </w:rPr>
            </w:pPr>
          </w:p>
        </w:tc>
        <w:tc>
          <w:tcPr>
            <w:tcW w:w="50" w:type="pct"/>
            <w:shd w:val="clear" w:color="auto" w:fill="auto"/>
            <w:vAlign w:val="bottom"/>
          </w:tcPr>
          <w:p w14:paraId="71D3EC26" w14:textId="77777777" w:rsidR="006A3667" w:rsidRDefault="006A3667">
            <w:pPr>
              <w:rPr>
                <w:rFonts w:ascii="宋体"/>
              </w:rPr>
            </w:pPr>
          </w:p>
        </w:tc>
        <w:tc>
          <w:tcPr>
            <w:tcW w:w="526" w:type="pct"/>
            <w:shd w:val="clear" w:color="auto" w:fill="auto"/>
            <w:vAlign w:val="bottom"/>
          </w:tcPr>
          <w:p w14:paraId="71D3EC27" w14:textId="77777777" w:rsidR="006A3667" w:rsidRDefault="006A3667">
            <w:pPr>
              <w:rPr>
                <w:rFonts w:ascii="宋体"/>
              </w:rPr>
            </w:pPr>
          </w:p>
        </w:tc>
        <w:tc>
          <w:tcPr>
            <w:tcW w:w="5" w:type="pct"/>
            <w:shd w:val="clear" w:color="auto" w:fill="auto"/>
            <w:vAlign w:val="bottom"/>
          </w:tcPr>
          <w:p w14:paraId="71D3EC28" w14:textId="77777777" w:rsidR="006A3667" w:rsidRDefault="006A3667">
            <w:pPr>
              <w:rPr>
                <w:rFonts w:ascii="宋体"/>
              </w:rPr>
            </w:pPr>
          </w:p>
        </w:tc>
        <w:tc>
          <w:tcPr>
            <w:tcW w:w="5" w:type="pct"/>
            <w:shd w:val="clear" w:color="auto" w:fill="auto"/>
            <w:vAlign w:val="bottom"/>
          </w:tcPr>
          <w:p w14:paraId="71D3EC29" w14:textId="77777777" w:rsidR="006A3667" w:rsidRDefault="006A3667">
            <w:pPr>
              <w:rPr>
                <w:rFonts w:ascii="宋体"/>
              </w:rPr>
            </w:pPr>
          </w:p>
        </w:tc>
        <w:tc>
          <w:tcPr>
            <w:tcW w:w="52" w:type="pct"/>
            <w:shd w:val="clear" w:color="auto" w:fill="auto"/>
            <w:vAlign w:val="bottom"/>
          </w:tcPr>
          <w:p w14:paraId="71D3EC2A" w14:textId="77777777" w:rsidR="006A3667" w:rsidRDefault="006A3667">
            <w:pPr>
              <w:rPr>
                <w:rFonts w:ascii="宋体"/>
              </w:rPr>
            </w:pPr>
          </w:p>
        </w:tc>
        <w:tc>
          <w:tcPr>
            <w:tcW w:w="5" w:type="pct"/>
            <w:shd w:val="clear" w:color="auto" w:fill="auto"/>
            <w:vAlign w:val="bottom"/>
          </w:tcPr>
          <w:p w14:paraId="71D3EC2B" w14:textId="77777777" w:rsidR="006A3667" w:rsidRDefault="006A3667">
            <w:pPr>
              <w:rPr>
                <w:rFonts w:ascii="宋体"/>
              </w:rPr>
            </w:pPr>
          </w:p>
        </w:tc>
        <w:tc>
          <w:tcPr>
            <w:tcW w:w="50" w:type="pct"/>
            <w:shd w:val="clear" w:color="auto" w:fill="auto"/>
            <w:vAlign w:val="bottom"/>
          </w:tcPr>
          <w:p w14:paraId="71D3EC2C" w14:textId="77777777" w:rsidR="006A3667" w:rsidRDefault="006A3667">
            <w:pPr>
              <w:rPr>
                <w:rFonts w:ascii="宋体"/>
              </w:rPr>
            </w:pPr>
          </w:p>
        </w:tc>
        <w:tc>
          <w:tcPr>
            <w:tcW w:w="526" w:type="pct"/>
            <w:shd w:val="clear" w:color="auto" w:fill="auto"/>
            <w:vAlign w:val="bottom"/>
          </w:tcPr>
          <w:p w14:paraId="71D3EC2D" w14:textId="77777777" w:rsidR="006A3667" w:rsidRDefault="006A3667">
            <w:pPr>
              <w:rPr>
                <w:rFonts w:ascii="宋体"/>
              </w:rPr>
            </w:pPr>
          </w:p>
        </w:tc>
        <w:tc>
          <w:tcPr>
            <w:tcW w:w="5" w:type="pct"/>
            <w:shd w:val="clear" w:color="auto" w:fill="auto"/>
            <w:vAlign w:val="bottom"/>
          </w:tcPr>
          <w:p w14:paraId="71D3EC2E" w14:textId="77777777" w:rsidR="006A3667" w:rsidRDefault="006A3667">
            <w:pPr>
              <w:rPr>
                <w:rFonts w:ascii="宋体"/>
              </w:rPr>
            </w:pPr>
          </w:p>
        </w:tc>
        <w:tc>
          <w:tcPr>
            <w:tcW w:w="5" w:type="pct"/>
            <w:shd w:val="clear" w:color="auto" w:fill="auto"/>
            <w:vAlign w:val="bottom"/>
          </w:tcPr>
          <w:p w14:paraId="71D3EC2F" w14:textId="77777777" w:rsidR="006A3667" w:rsidRDefault="006A3667">
            <w:pPr>
              <w:rPr>
                <w:rFonts w:ascii="宋体"/>
              </w:rPr>
            </w:pPr>
          </w:p>
        </w:tc>
        <w:tc>
          <w:tcPr>
            <w:tcW w:w="52" w:type="pct"/>
            <w:shd w:val="clear" w:color="auto" w:fill="auto"/>
            <w:vAlign w:val="bottom"/>
          </w:tcPr>
          <w:p w14:paraId="71D3EC30" w14:textId="77777777" w:rsidR="006A3667" w:rsidRDefault="006A3667">
            <w:pPr>
              <w:rPr>
                <w:rFonts w:ascii="宋体"/>
              </w:rPr>
            </w:pPr>
          </w:p>
        </w:tc>
        <w:tc>
          <w:tcPr>
            <w:tcW w:w="5" w:type="pct"/>
            <w:shd w:val="clear" w:color="auto" w:fill="auto"/>
            <w:vAlign w:val="bottom"/>
          </w:tcPr>
          <w:p w14:paraId="71D3EC31" w14:textId="77777777" w:rsidR="006A3667" w:rsidRDefault="006A3667">
            <w:pPr>
              <w:rPr>
                <w:rFonts w:ascii="宋体"/>
              </w:rPr>
            </w:pPr>
          </w:p>
        </w:tc>
        <w:tc>
          <w:tcPr>
            <w:tcW w:w="50" w:type="pct"/>
            <w:shd w:val="clear" w:color="auto" w:fill="auto"/>
            <w:vAlign w:val="bottom"/>
          </w:tcPr>
          <w:p w14:paraId="71D3EC32" w14:textId="77777777" w:rsidR="006A3667" w:rsidRDefault="006A3667">
            <w:pPr>
              <w:rPr>
                <w:rFonts w:ascii="宋体"/>
              </w:rPr>
            </w:pPr>
          </w:p>
        </w:tc>
        <w:tc>
          <w:tcPr>
            <w:tcW w:w="527" w:type="pct"/>
            <w:shd w:val="clear" w:color="auto" w:fill="auto"/>
            <w:vAlign w:val="bottom"/>
          </w:tcPr>
          <w:p w14:paraId="71D3EC33" w14:textId="77777777" w:rsidR="006A3667" w:rsidRDefault="006A3667">
            <w:pPr>
              <w:rPr>
                <w:rFonts w:ascii="宋体"/>
              </w:rPr>
            </w:pPr>
          </w:p>
        </w:tc>
        <w:tc>
          <w:tcPr>
            <w:tcW w:w="5" w:type="pct"/>
            <w:shd w:val="clear" w:color="auto" w:fill="auto"/>
            <w:vAlign w:val="bottom"/>
          </w:tcPr>
          <w:p w14:paraId="71D3EC34" w14:textId="77777777" w:rsidR="006A3667" w:rsidRDefault="006A3667">
            <w:pPr>
              <w:rPr>
                <w:rFonts w:ascii="宋体"/>
              </w:rPr>
            </w:pPr>
          </w:p>
        </w:tc>
        <w:tc>
          <w:tcPr>
            <w:tcW w:w="0" w:type="auto"/>
            <w:gridSpan w:val="3"/>
            <w:shd w:val="clear" w:color="auto" w:fill="auto"/>
            <w:vAlign w:val="bottom"/>
          </w:tcPr>
          <w:p w14:paraId="71D3EC35" w14:textId="77777777" w:rsidR="006A3667" w:rsidRDefault="006A3667">
            <w:pPr>
              <w:rPr>
                <w:rFonts w:ascii="宋体"/>
                <w:vanish/>
              </w:rPr>
            </w:pPr>
          </w:p>
        </w:tc>
        <w:tc>
          <w:tcPr>
            <w:tcW w:w="0" w:type="auto"/>
            <w:gridSpan w:val="3"/>
            <w:shd w:val="clear" w:color="auto" w:fill="auto"/>
            <w:vAlign w:val="bottom"/>
          </w:tcPr>
          <w:p w14:paraId="71D3EC36" w14:textId="77777777" w:rsidR="006A3667" w:rsidRDefault="006A3667">
            <w:pPr>
              <w:rPr>
                <w:rFonts w:ascii="宋体"/>
                <w:vanish/>
              </w:rPr>
            </w:pPr>
          </w:p>
        </w:tc>
        <w:tc>
          <w:tcPr>
            <w:tcW w:w="0" w:type="auto"/>
            <w:gridSpan w:val="3"/>
            <w:shd w:val="clear" w:color="auto" w:fill="auto"/>
            <w:vAlign w:val="bottom"/>
          </w:tcPr>
          <w:p w14:paraId="71D3EC37" w14:textId="77777777" w:rsidR="006A3667" w:rsidRDefault="006A3667">
            <w:pPr>
              <w:rPr>
                <w:rFonts w:ascii="宋体"/>
                <w:vanish/>
              </w:rPr>
            </w:pPr>
          </w:p>
        </w:tc>
        <w:tc>
          <w:tcPr>
            <w:tcW w:w="0" w:type="auto"/>
            <w:gridSpan w:val="3"/>
            <w:shd w:val="clear" w:color="auto" w:fill="auto"/>
            <w:vAlign w:val="bottom"/>
          </w:tcPr>
          <w:p w14:paraId="71D3EC38" w14:textId="77777777" w:rsidR="006A3667" w:rsidRDefault="006A3667">
            <w:pPr>
              <w:rPr>
                <w:rFonts w:ascii="宋体"/>
                <w:vanish/>
              </w:rPr>
            </w:pPr>
          </w:p>
        </w:tc>
        <w:tc>
          <w:tcPr>
            <w:tcW w:w="0" w:type="auto"/>
            <w:gridSpan w:val="3"/>
            <w:shd w:val="clear" w:color="auto" w:fill="auto"/>
            <w:vAlign w:val="bottom"/>
          </w:tcPr>
          <w:p w14:paraId="71D3EC39" w14:textId="77777777" w:rsidR="006A3667" w:rsidRDefault="006A3667">
            <w:pPr>
              <w:rPr>
                <w:rFonts w:ascii="宋体"/>
                <w:vanish/>
              </w:rPr>
            </w:pPr>
          </w:p>
        </w:tc>
        <w:tc>
          <w:tcPr>
            <w:tcW w:w="0" w:type="auto"/>
            <w:gridSpan w:val="3"/>
            <w:shd w:val="clear" w:color="auto" w:fill="auto"/>
            <w:vAlign w:val="bottom"/>
          </w:tcPr>
          <w:p w14:paraId="71D3EC3A" w14:textId="77777777" w:rsidR="006A3667" w:rsidRDefault="006A3667">
            <w:pPr>
              <w:rPr>
                <w:rFonts w:ascii="宋体"/>
                <w:vanish/>
              </w:rPr>
            </w:pPr>
          </w:p>
        </w:tc>
        <w:tc>
          <w:tcPr>
            <w:tcW w:w="0" w:type="auto"/>
            <w:gridSpan w:val="3"/>
            <w:shd w:val="clear" w:color="auto" w:fill="auto"/>
            <w:vAlign w:val="bottom"/>
          </w:tcPr>
          <w:p w14:paraId="71D3EC3B" w14:textId="77777777" w:rsidR="006A3667" w:rsidRDefault="006A3667">
            <w:pPr>
              <w:rPr>
                <w:rFonts w:ascii="宋体"/>
                <w:vanish/>
              </w:rPr>
            </w:pPr>
          </w:p>
        </w:tc>
        <w:tc>
          <w:tcPr>
            <w:tcW w:w="0" w:type="auto"/>
            <w:gridSpan w:val="3"/>
            <w:shd w:val="clear" w:color="auto" w:fill="auto"/>
            <w:vAlign w:val="bottom"/>
          </w:tcPr>
          <w:p w14:paraId="71D3EC3C" w14:textId="77777777" w:rsidR="006A3667" w:rsidRDefault="006A3667">
            <w:pPr>
              <w:rPr>
                <w:rFonts w:ascii="宋体"/>
                <w:vanish/>
              </w:rPr>
            </w:pPr>
          </w:p>
        </w:tc>
        <w:tc>
          <w:tcPr>
            <w:tcW w:w="0" w:type="auto"/>
            <w:gridSpan w:val="2"/>
            <w:shd w:val="clear" w:color="auto" w:fill="auto"/>
            <w:vAlign w:val="bottom"/>
          </w:tcPr>
          <w:p w14:paraId="71D3EC3D" w14:textId="77777777" w:rsidR="006A3667" w:rsidRDefault="006A3667">
            <w:pPr>
              <w:rPr>
                <w:rFonts w:ascii="宋体"/>
                <w:vanish/>
              </w:rPr>
            </w:pPr>
          </w:p>
        </w:tc>
        <w:tc>
          <w:tcPr>
            <w:tcW w:w="0" w:type="auto"/>
            <w:shd w:val="clear" w:color="auto" w:fill="auto"/>
            <w:vAlign w:val="bottom"/>
          </w:tcPr>
          <w:p w14:paraId="71D3EC3E" w14:textId="77777777" w:rsidR="006A3667" w:rsidRDefault="006A3667">
            <w:pPr>
              <w:rPr>
                <w:rFonts w:ascii="宋体"/>
                <w:vanish/>
              </w:rPr>
            </w:pPr>
          </w:p>
        </w:tc>
      </w:tr>
      <w:tr w:rsidR="006A3667" w14:paraId="71D3EC4B" w14:textId="77777777">
        <w:tc>
          <w:tcPr>
            <w:tcW w:w="0" w:type="auto"/>
            <w:gridSpan w:val="36"/>
            <w:shd w:val="clear" w:color="auto" w:fill="auto"/>
            <w:tcMar>
              <w:top w:w="40" w:type="dxa"/>
              <w:left w:w="20" w:type="dxa"/>
              <w:bottom w:w="40" w:type="dxa"/>
              <w:right w:w="20" w:type="dxa"/>
            </w:tcMar>
            <w:vAlign w:val="bottom"/>
          </w:tcPr>
          <w:p w14:paraId="71D3EC40" w14:textId="77777777" w:rsidR="006A3667" w:rsidRDefault="00045F32">
            <w:pPr>
              <w:jc w:val="both"/>
              <w:textAlignment w:val="bottom"/>
            </w:pPr>
            <w:r>
              <w:rPr>
                <w:rFonts w:ascii="Arial" w:eastAsia="宋体" w:hAnsi="Arial" w:cs="Arial"/>
                <w:b/>
                <w:bCs/>
                <w:color w:val="000000"/>
                <w:sz w:val="16"/>
                <w:szCs w:val="16"/>
              </w:rPr>
              <w:t>TABLE 13: INVESTMENT SECURITIES NET PREM</w:t>
            </w:r>
            <w:r>
              <w:rPr>
                <w:rFonts w:ascii="Arial" w:eastAsia="宋体" w:hAnsi="Arial" w:cs="Arial"/>
                <w:b/>
                <w:bCs/>
                <w:color w:val="000000"/>
                <w:sz w:val="16"/>
                <w:szCs w:val="16"/>
              </w:rPr>
              <w:t>IUM AMORTIZATION</w:t>
            </w:r>
          </w:p>
        </w:tc>
        <w:tc>
          <w:tcPr>
            <w:tcW w:w="0" w:type="auto"/>
            <w:gridSpan w:val="3"/>
            <w:shd w:val="clear" w:color="auto" w:fill="auto"/>
            <w:vAlign w:val="bottom"/>
          </w:tcPr>
          <w:p w14:paraId="71D3EC41" w14:textId="77777777" w:rsidR="006A3667" w:rsidRDefault="006A3667">
            <w:pPr>
              <w:rPr>
                <w:rFonts w:ascii="宋体"/>
                <w:vanish/>
              </w:rPr>
            </w:pPr>
          </w:p>
        </w:tc>
        <w:tc>
          <w:tcPr>
            <w:tcW w:w="0" w:type="auto"/>
            <w:gridSpan w:val="3"/>
            <w:shd w:val="clear" w:color="auto" w:fill="auto"/>
            <w:vAlign w:val="bottom"/>
          </w:tcPr>
          <w:p w14:paraId="71D3EC42" w14:textId="77777777" w:rsidR="006A3667" w:rsidRDefault="006A3667">
            <w:pPr>
              <w:rPr>
                <w:rFonts w:ascii="宋体"/>
                <w:vanish/>
              </w:rPr>
            </w:pPr>
          </w:p>
        </w:tc>
        <w:tc>
          <w:tcPr>
            <w:tcW w:w="0" w:type="auto"/>
            <w:gridSpan w:val="3"/>
            <w:shd w:val="clear" w:color="auto" w:fill="auto"/>
            <w:vAlign w:val="bottom"/>
          </w:tcPr>
          <w:p w14:paraId="71D3EC43" w14:textId="77777777" w:rsidR="006A3667" w:rsidRDefault="006A3667">
            <w:pPr>
              <w:rPr>
                <w:rFonts w:ascii="宋体"/>
                <w:vanish/>
              </w:rPr>
            </w:pPr>
          </w:p>
        </w:tc>
        <w:tc>
          <w:tcPr>
            <w:tcW w:w="0" w:type="auto"/>
            <w:gridSpan w:val="3"/>
            <w:shd w:val="clear" w:color="auto" w:fill="auto"/>
            <w:vAlign w:val="bottom"/>
          </w:tcPr>
          <w:p w14:paraId="71D3EC44" w14:textId="77777777" w:rsidR="006A3667" w:rsidRDefault="006A3667">
            <w:pPr>
              <w:rPr>
                <w:rFonts w:ascii="宋体"/>
                <w:vanish/>
              </w:rPr>
            </w:pPr>
          </w:p>
        </w:tc>
        <w:tc>
          <w:tcPr>
            <w:tcW w:w="0" w:type="auto"/>
            <w:gridSpan w:val="3"/>
            <w:shd w:val="clear" w:color="auto" w:fill="auto"/>
            <w:vAlign w:val="bottom"/>
          </w:tcPr>
          <w:p w14:paraId="71D3EC45" w14:textId="77777777" w:rsidR="006A3667" w:rsidRDefault="006A3667">
            <w:pPr>
              <w:rPr>
                <w:rFonts w:ascii="宋体"/>
                <w:vanish/>
              </w:rPr>
            </w:pPr>
          </w:p>
        </w:tc>
        <w:tc>
          <w:tcPr>
            <w:tcW w:w="0" w:type="auto"/>
            <w:gridSpan w:val="3"/>
            <w:shd w:val="clear" w:color="auto" w:fill="auto"/>
            <w:vAlign w:val="bottom"/>
          </w:tcPr>
          <w:p w14:paraId="71D3EC46" w14:textId="77777777" w:rsidR="006A3667" w:rsidRDefault="006A3667">
            <w:pPr>
              <w:rPr>
                <w:rFonts w:ascii="宋体"/>
                <w:vanish/>
              </w:rPr>
            </w:pPr>
          </w:p>
        </w:tc>
        <w:tc>
          <w:tcPr>
            <w:tcW w:w="0" w:type="auto"/>
            <w:gridSpan w:val="3"/>
            <w:shd w:val="clear" w:color="auto" w:fill="auto"/>
            <w:vAlign w:val="bottom"/>
          </w:tcPr>
          <w:p w14:paraId="71D3EC47" w14:textId="77777777" w:rsidR="006A3667" w:rsidRDefault="006A3667">
            <w:pPr>
              <w:rPr>
                <w:rFonts w:ascii="宋体"/>
                <w:vanish/>
              </w:rPr>
            </w:pPr>
          </w:p>
        </w:tc>
        <w:tc>
          <w:tcPr>
            <w:tcW w:w="0" w:type="auto"/>
            <w:gridSpan w:val="3"/>
            <w:shd w:val="clear" w:color="auto" w:fill="auto"/>
            <w:vAlign w:val="bottom"/>
          </w:tcPr>
          <w:p w14:paraId="71D3EC48" w14:textId="77777777" w:rsidR="006A3667" w:rsidRDefault="006A3667">
            <w:pPr>
              <w:rPr>
                <w:rFonts w:ascii="宋体"/>
                <w:vanish/>
              </w:rPr>
            </w:pPr>
          </w:p>
        </w:tc>
        <w:tc>
          <w:tcPr>
            <w:tcW w:w="0" w:type="auto"/>
            <w:gridSpan w:val="2"/>
            <w:shd w:val="clear" w:color="auto" w:fill="auto"/>
            <w:vAlign w:val="bottom"/>
          </w:tcPr>
          <w:p w14:paraId="71D3EC49" w14:textId="77777777" w:rsidR="006A3667" w:rsidRDefault="006A3667">
            <w:pPr>
              <w:rPr>
                <w:rFonts w:ascii="宋体"/>
                <w:vanish/>
              </w:rPr>
            </w:pPr>
          </w:p>
        </w:tc>
        <w:tc>
          <w:tcPr>
            <w:tcW w:w="0" w:type="auto"/>
            <w:shd w:val="clear" w:color="auto" w:fill="auto"/>
            <w:vAlign w:val="bottom"/>
          </w:tcPr>
          <w:p w14:paraId="71D3EC4A" w14:textId="77777777" w:rsidR="006A3667" w:rsidRDefault="006A3667">
            <w:pPr>
              <w:rPr>
                <w:rFonts w:ascii="宋体"/>
                <w:vanish/>
              </w:rPr>
            </w:pPr>
          </w:p>
        </w:tc>
      </w:tr>
      <w:tr w:rsidR="006A3667" w14:paraId="71D3EC7F" w14:textId="77777777">
        <w:trPr>
          <w:hidden/>
        </w:trPr>
        <w:tc>
          <w:tcPr>
            <w:tcW w:w="0" w:type="auto"/>
            <w:gridSpan w:val="3"/>
            <w:shd w:val="clear" w:color="auto" w:fill="auto"/>
            <w:vAlign w:val="bottom"/>
          </w:tcPr>
          <w:p w14:paraId="71D3EC4C" w14:textId="77777777" w:rsidR="006A3667" w:rsidRDefault="006A3667">
            <w:pPr>
              <w:rPr>
                <w:rFonts w:ascii="宋体"/>
                <w:vanish/>
              </w:rPr>
            </w:pPr>
          </w:p>
        </w:tc>
        <w:tc>
          <w:tcPr>
            <w:tcW w:w="0" w:type="auto"/>
            <w:gridSpan w:val="3"/>
            <w:shd w:val="clear" w:color="auto" w:fill="auto"/>
            <w:vAlign w:val="bottom"/>
          </w:tcPr>
          <w:p w14:paraId="71D3EC4D" w14:textId="77777777" w:rsidR="006A3667" w:rsidRDefault="006A3667">
            <w:pPr>
              <w:rPr>
                <w:rFonts w:ascii="宋体"/>
                <w:vanish/>
              </w:rPr>
            </w:pPr>
          </w:p>
        </w:tc>
        <w:tc>
          <w:tcPr>
            <w:tcW w:w="0" w:type="auto"/>
            <w:gridSpan w:val="3"/>
            <w:shd w:val="clear" w:color="auto" w:fill="auto"/>
            <w:vAlign w:val="bottom"/>
          </w:tcPr>
          <w:p w14:paraId="71D3EC4E" w14:textId="77777777" w:rsidR="006A3667" w:rsidRDefault="006A3667">
            <w:pPr>
              <w:rPr>
                <w:rFonts w:ascii="宋体"/>
                <w:vanish/>
              </w:rPr>
            </w:pPr>
          </w:p>
        </w:tc>
        <w:tc>
          <w:tcPr>
            <w:tcW w:w="0" w:type="auto"/>
            <w:gridSpan w:val="3"/>
            <w:shd w:val="clear" w:color="auto" w:fill="auto"/>
            <w:vAlign w:val="bottom"/>
          </w:tcPr>
          <w:p w14:paraId="71D3EC4F" w14:textId="77777777" w:rsidR="006A3667" w:rsidRDefault="006A3667">
            <w:pPr>
              <w:rPr>
                <w:rFonts w:ascii="宋体"/>
                <w:vanish/>
              </w:rPr>
            </w:pPr>
          </w:p>
        </w:tc>
        <w:tc>
          <w:tcPr>
            <w:tcW w:w="0" w:type="auto"/>
            <w:gridSpan w:val="3"/>
            <w:shd w:val="clear" w:color="auto" w:fill="auto"/>
            <w:vAlign w:val="bottom"/>
          </w:tcPr>
          <w:p w14:paraId="71D3EC50" w14:textId="77777777" w:rsidR="006A3667" w:rsidRDefault="006A3667">
            <w:pPr>
              <w:rPr>
                <w:rFonts w:ascii="宋体"/>
                <w:vanish/>
              </w:rPr>
            </w:pPr>
          </w:p>
        </w:tc>
        <w:tc>
          <w:tcPr>
            <w:tcW w:w="0" w:type="auto"/>
            <w:gridSpan w:val="3"/>
            <w:shd w:val="clear" w:color="auto" w:fill="auto"/>
            <w:vAlign w:val="bottom"/>
          </w:tcPr>
          <w:p w14:paraId="71D3EC51" w14:textId="77777777" w:rsidR="006A3667" w:rsidRDefault="006A3667">
            <w:pPr>
              <w:rPr>
                <w:rFonts w:ascii="宋体"/>
                <w:vanish/>
              </w:rPr>
            </w:pPr>
          </w:p>
        </w:tc>
        <w:tc>
          <w:tcPr>
            <w:tcW w:w="0" w:type="auto"/>
            <w:shd w:val="clear" w:color="auto" w:fill="auto"/>
            <w:vAlign w:val="bottom"/>
          </w:tcPr>
          <w:p w14:paraId="71D3EC52" w14:textId="77777777" w:rsidR="006A3667" w:rsidRDefault="006A3667">
            <w:pPr>
              <w:rPr>
                <w:rFonts w:ascii="宋体"/>
              </w:rPr>
            </w:pPr>
          </w:p>
        </w:tc>
        <w:tc>
          <w:tcPr>
            <w:tcW w:w="0" w:type="auto"/>
            <w:shd w:val="clear" w:color="auto" w:fill="auto"/>
            <w:vAlign w:val="bottom"/>
          </w:tcPr>
          <w:p w14:paraId="71D3EC53" w14:textId="77777777" w:rsidR="006A3667" w:rsidRDefault="006A3667">
            <w:pPr>
              <w:rPr>
                <w:rFonts w:ascii="宋体"/>
              </w:rPr>
            </w:pPr>
          </w:p>
        </w:tc>
        <w:tc>
          <w:tcPr>
            <w:tcW w:w="0" w:type="auto"/>
            <w:shd w:val="clear" w:color="auto" w:fill="auto"/>
            <w:vAlign w:val="bottom"/>
          </w:tcPr>
          <w:p w14:paraId="71D3EC54" w14:textId="77777777" w:rsidR="006A3667" w:rsidRDefault="006A3667">
            <w:pPr>
              <w:rPr>
                <w:rFonts w:ascii="宋体"/>
              </w:rPr>
            </w:pPr>
          </w:p>
        </w:tc>
        <w:tc>
          <w:tcPr>
            <w:tcW w:w="0" w:type="auto"/>
            <w:shd w:val="clear" w:color="auto" w:fill="auto"/>
            <w:vAlign w:val="bottom"/>
          </w:tcPr>
          <w:p w14:paraId="71D3EC55" w14:textId="77777777" w:rsidR="006A3667" w:rsidRDefault="006A3667">
            <w:pPr>
              <w:rPr>
                <w:rFonts w:ascii="宋体"/>
              </w:rPr>
            </w:pPr>
          </w:p>
        </w:tc>
        <w:tc>
          <w:tcPr>
            <w:tcW w:w="0" w:type="auto"/>
            <w:shd w:val="clear" w:color="auto" w:fill="auto"/>
            <w:vAlign w:val="bottom"/>
          </w:tcPr>
          <w:p w14:paraId="71D3EC56" w14:textId="77777777" w:rsidR="006A3667" w:rsidRDefault="006A3667">
            <w:pPr>
              <w:rPr>
                <w:rFonts w:ascii="宋体"/>
              </w:rPr>
            </w:pPr>
          </w:p>
        </w:tc>
        <w:tc>
          <w:tcPr>
            <w:tcW w:w="0" w:type="auto"/>
            <w:shd w:val="clear" w:color="auto" w:fill="auto"/>
            <w:vAlign w:val="bottom"/>
          </w:tcPr>
          <w:p w14:paraId="71D3EC57" w14:textId="77777777" w:rsidR="006A3667" w:rsidRDefault="006A3667">
            <w:pPr>
              <w:rPr>
                <w:rFonts w:ascii="宋体"/>
              </w:rPr>
            </w:pPr>
          </w:p>
        </w:tc>
        <w:tc>
          <w:tcPr>
            <w:tcW w:w="0" w:type="auto"/>
            <w:shd w:val="clear" w:color="auto" w:fill="auto"/>
            <w:vAlign w:val="bottom"/>
          </w:tcPr>
          <w:p w14:paraId="71D3EC58" w14:textId="77777777" w:rsidR="006A3667" w:rsidRDefault="006A3667">
            <w:pPr>
              <w:rPr>
                <w:rFonts w:ascii="宋体"/>
              </w:rPr>
            </w:pPr>
          </w:p>
        </w:tc>
        <w:tc>
          <w:tcPr>
            <w:tcW w:w="0" w:type="auto"/>
            <w:shd w:val="clear" w:color="auto" w:fill="auto"/>
            <w:vAlign w:val="bottom"/>
          </w:tcPr>
          <w:p w14:paraId="71D3EC59" w14:textId="77777777" w:rsidR="006A3667" w:rsidRDefault="006A3667">
            <w:pPr>
              <w:rPr>
                <w:rFonts w:ascii="宋体"/>
              </w:rPr>
            </w:pPr>
          </w:p>
        </w:tc>
        <w:tc>
          <w:tcPr>
            <w:tcW w:w="0" w:type="auto"/>
            <w:shd w:val="clear" w:color="auto" w:fill="auto"/>
            <w:vAlign w:val="bottom"/>
          </w:tcPr>
          <w:p w14:paraId="71D3EC5A" w14:textId="77777777" w:rsidR="006A3667" w:rsidRDefault="006A3667">
            <w:pPr>
              <w:rPr>
                <w:rFonts w:ascii="宋体"/>
              </w:rPr>
            </w:pPr>
          </w:p>
        </w:tc>
        <w:tc>
          <w:tcPr>
            <w:tcW w:w="0" w:type="auto"/>
            <w:shd w:val="clear" w:color="auto" w:fill="auto"/>
            <w:vAlign w:val="bottom"/>
          </w:tcPr>
          <w:p w14:paraId="71D3EC5B" w14:textId="77777777" w:rsidR="006A3667" w:rsidRDefault="006A3667">
            <w:pPr>
              <w:rPr>
                <w:rFonts w:ascii="宋体"/>
              </w:rPr>
            </w:pPr>
          </w:p>
        </w:tc>
        <w:tc>
          <w:tcPr>
            <w:tcW w:w="0" w:type="auto"/>
            <w:shd w:val="clear" w:color="auto" w:fill="auto"/>
            <w:vAlign w:val="bottom"/>
          </w:tcPr>
          <w:p w14:paraId="71D3EC5C" w14:textId="77777777" w:rsidR="006A3667" w:rsidRDefault="006A3667">
            <w:pPr>
              <w:rPr>
                <w:rFonts w:ascii="宋体"/>
              </w:rPr>
            </w:pPr>
          </w:p>
        </w:tc>
        <w:tc>
          <w:tcPr>
            <w:tcW w:w="0" w:type="auto"/>
            <w:shd w:val="clear" w:color="auto" w:fill="auto"/>
            <w:vAlign w:val="bottom"/>
          </w:tcPr>
          <w:p w14:paraId="71D3EC5D" w14:textId="77777777" w:rsidR="006A3667" w:rsidRDefault="006A3667">
            <w:pPr>
              <w:rPr>
                <w:rFonts w:ascii="宋体"/>
              </w:rPr>
            </w:pPr>
          </w:p>
        </w:tc>
        <w:tc>
          <w:tcPr>
            <w:tcW w:w="0" w:type="auto"/>
            <w:shd w:val="clear" w:color="auto" w:fill="auto"/>
            <w:vAlign w:val="bottom"/>
          </w:tcPr>
          <w:p w14:paraId="71D3EC5E" w14:textId="77777777" w:rsidR="006A3667" w:rsidRDefault="006A3667">
            <w:pPr>
              <w:rPr>
                <w:rFonts w:ascii="宋体"/>
              </w:rPr>
            </w:pPr>
          </w:p>
        </w:tc>
        <w:tc>
          <w:tcPr>
            <w:tcW w:w="0" w:type="auto"/>
            <w:shd w:val="clear" w:color="auto" w:fill="auto"/>
            <w:vAlign w:val="bottom"/>
          </w:tcPr>
          <w:p w14:paraId="71D3EC5F" w14:textId="77777777" w:rsidR="006A3667" w:rsidRDefault="006A3667">
            <w:pPr>
              <w:rPr>
                <w:rFonts w:ascii="宋体"/>
              </w:rPr>
            </w:pPr>
          </w:p>
        </w:tc>
        <w:tc>
          <w:tcPr>
            <w:tcW w:w="0" w:type="auto"/>
            <w:shd w:val="clear" w:color="auto" w:fill="auto"/>
            <w:vAlign w:val="bottom"/>
          </w:tcPr>
          <w:p w14:paraId="71D3EC60" w14:textId="77777777" w:rsidR="006A3667" w:rsidRDefault="006A3667">
            <w:pPr>
              <w:rPr>
                <w:rFonts w:ascii="宋体"/>
              </w:rPr>
            </w:pPr>
          </w:p>
        </w:tc>
        <w:tc>
          <w:tcPr>
            <w:tcW w:w="0" w:type="auto"/>
            <w:shd w:val="clear" w:color="auto" w:fill="auto"/>
            <w:vAlign w:val="bottom"/>
          </w:tcPr>
          <w:p w14:paraId="71D3EC61" w14:textId="77777777" w:rsidR="006A3667" w:rsidRDefault="006A3667">
            <w:pPr>
              <w:rPr>
                <w:rFonts w:ascii="宋体"/>
              </w:rPr>
            </w:pPr>
          </w:p>
        </w:tc>
        <w:tc>
          <w:tcPr>
            <w:tcW w:w="0" w:type="auto"/>
            <w:shd w:val="clear" w:color="auto" w:fill="auto"/>
            <w:vAlign w:val="bottom"/>
          </w:tcPr>
          <w:p w14:paraId="71D3EC62" w14:textId="77777777" w:rsidR="006A3667" w:rsidRDefault="006A3667">
            <w:pPr>
              <w:rPr>
                <w:rFonts w:ascii="宋体"/>
              </w:rPr>
            </w:pPr>
          </w:p>
        </w:tc>
        <w:tc>
          <w:tcPr>
            <w:tcW w:w="0" w:type="auto"/>
            <w:shd w:val="clear" w:color="auto" w:fill="auto"/>
            <w:vAlign w:val="bottom"/>
          </w:tcPr>
          <w:p w14:paraId="71D3EC63" w14:textId="77777777" w:rsidR="006A3667" w:rsidRDefault="006A3667">
            <w:pPr>
              <w:rPr>
                <w:rFonts w:ascii="宋体"/>
              </w:rPr>
            </w:pPr>
          </w:p>
        </w:tc>
        <w:tc>
          <w:tcPr>
            <w:tcW w:w="0" w:type="auto"/>
            <w:shd w:val="clear" w:color="auto" w:fill="auto"/>
            <w:vAlign w:val="bottom"/>
          </w:tcPr>
          <w:p w14:paraId="71D3EC64" w14:textId="77777777" w:rsidR="006A3667" w:rsidRDefault="006A3667">
            <w:pPr>
              <w:rPr>
                <w:rFonts w:ascii="宋体"/>
              </w:rPr>
            </w:pPr>
          </w:p>
        </w:tc>
        <w:tc>
          <w:tcPr>
            <w:tcW w:w="0" w:type="auto"/>
            <w:shd w:val="clear" w:color="auto" w:fill="auto"/>
            <w:vAlign w:val="bottom"/>
          </w:tcPr>
          <w:p w14:paraId="71D3EC65" w14:textId="77777777" w:rsidR="006A3667" w:rsidRDefault="006A3667">
            <w:pPr>
              <w:rPr>
                <w:rFonts w:ascii="宋体"/>
              </w:rPr>
            </w:pPr>
          </w:p>
        </w:tc>
        <w:tc>
          <w:tcPr>
            <w:tcW w:w="0" w:type="auto"/>
            <w:shd w:val="clear" w:color="auto" w:fill="auto"/>
            <w:vAlign w:val="bottom"/>
          </w:tcPr>
          <w:p w14:paraId="71D3EC66" w14:textId="77777777" w:rsidR="006A3667" w:rsidRDefault="006A3667">
            <w:pPr>
              <w:rPr>
                <w:rFonts w:ascii="宋体"/>
              </w:rPr>
            </w:pPr>
          </w:p>
        </w:tc>
        <w:tc>
          <w:tcPr>
            <w:tcW w:w="0" w:type="auto"/>
            <w:shd w:val="clear" w:color="auto" w:fill="auto"/>
            <w:vAlign w:val="bottom"/>
          </w:tcPr>
          <w:p w14:paraId="71D3EC67" w14:textId="77777777" w:rsidR="006A3667" w:rsidRDefault="006A3667">
            <w:pPr>
              <w:rPr>
                <w:rFonts w:ascii="宋体"/>
              </w:rPr>
            </w:pPr>
          </w:p>
        </w:tc>
        <w:tc>
          <w:tcPr>
            <w:tcW w:w="0" w:type="auto"/>
            <w:shd w:val="clear" w:color="auto" w:fill="auto"/>
            <w:vAlign w:val="bottom"/>
          </w:tcPr>
          <w:p w14:paraId="71D3EC68" w14:textId="77777777" w:rsidR="006A3667" w:rsidRDefault="006A3667">
            <w:pPr>
              <w:rPr>
                <w:rFonts w:ascii="宋体"/>
              </w:rPr>
            </w:pPr>
          </w:p>
        </w:tc>
        <w:tc>
          <w:tcPr>
            <w:tcW w:w="0" w:type="auto"/>
            <w:shd w:val="clear" w:color="auto" w:fill="auto"/>
            <w:vAlign w:val="bottom"/>
          </w:tcPr>
          <w:p w14:paraId="71D3EC69" w14:textId="77777777" w:rsidR="006A3667" w:rsidRDefault="006A3667">
            <w:pPr>
              <w:rPr>
                <w:rFonts w:ascii="宋体"/>
              </w:rPr>
            </w:pPr>
          </w:p>
        </w:tc>
        <w:tc>
          <w:tcPr>
            <w:tcW w:w="0" w:type="auto"/>
            <w:shd w:val="clear" w:color="auto" w:fill="auto"/>
            <w:vAlign w:val="bottom"/>
          </w:tcPr>
          <w:p w14:paraId="71D3EC6A" w14:textId="77777777" w:rsidR="006A3667" w:rsidRDefault="006A3667">
            <w:pPr>
              <w:rPr>
                <w:rFonts w:ascii="宋体"/>
              </w:rPr>
            </w:pPr>
          </w:p>
        </w:tc>
        <w:tc>
          <w:tcPr>
            <w:tcW w:w="0" w:type="auto"/>
            <w:shd w:val="clear" w:color="auto" w:fill="auto"/>
            <w:vAlign w:val="bottom"/>
          </w:tcPr>
          <w:p w14:paraId="71D3EC6B" w14:textId="77777777" w:rsidR="006A3667" w:rsidRDefault="006A3667">
            <w:pPr>
              <w:rPr>
                <w:rFonts w:ascii="宋体"/>
              </w:rPr>
            </w:pPr>
          </w:p>
        </w:tc>
        <w:tc>
          <w:tcPr>
            <w:tcW w:w="0" w:type="auto"/>
            <w:shd w:val="clear" w:color="auto" w:fill="auto"/>
            <w:vAlign w:val="bottom"/>
          </w:tcPr>
          <w:p w14:paraId="71D3EC6C" w14:textId="77777777" w:rsidR="006A3667" w:rsidRDefault="006A3667">
            <w:pPr>
              <w:rPr>
                <w:rFonts w:ascii="宋体"/>
              </w:rPr>
            </w:pPr>
          </w:p>
        </w:tc>
        <w:tc>
          <w:tcPr>
            <w:tcW w:w="0" w:type="auto"/>
            <w:shd w:val="clear" w:color="auto" w:fill="auto"/>
            <w:vAlign w:val="bottom"/>
          </w:tcPr>
          <w:p w14:paraId="71D3EC6D" w14:textId="77777777" w:rsidR="006A3667" w:rsidRDefault="006A3667">
            <w:pPr>
              <w:rPr>
                <w:rFonts w:ascii="宋体"/>
              </w:rPr>
            </w:pPr>
          </w:p>
        </w:tc>
        <w:tc>
          <w:tcPr>
            <w:tcW w:w="0" w:type="auto"/>
            <w:shd w:val="clear" w:color="auto" w:fill="auto"/>
            <w:vAlign w:val="bottom"/>
          </w:tcPr>
          <w:p w14:paraId="71D3EC6E" w14:textId="77777777" w:rsidR="006A3667" w:rsidRDefault="006A3667">
            <w:pPr>
              <w:rPr>
                <w:rFonts w:ascii="宋体"/>
              </w:rPr>
            </w:pPr>
          </w:p>
        </w:tc>
        <w:tc>
          <w:tcPr>
            <w:tcW w:w="0" w:type="auto"/>
            <w:shd w:val="clear" w:color="auto" w:fill="auto"/>
            <w:vAlign w:val="bottom"/>
          </w:tcPr>
          <w:p w14:paraId="71D3EC6F" w14:textId="77777777" w:rsidR="006A3667" w:rsidRDefault="006A3667">
            <w:pPr>
              <w:rPr>
                <w:rFonts w:ascii="宋体"/>
              </w:rPr>
            </w:pPr>
          </w:p>
        </w:tc>
        <w:tc>
          <w:tcPr>
            <w:tcW w:w="0" w:type="auto"/>
            <w:shd w:val="clear" w:color="auto" w:fill="auto"/>
            <w:vAlign w:val="bottom"/>
          </w:tcPr>
          <w:p w14:paraId="71D3EC70" w14:textId="77777777" w:rsidR="006A3667" w:rsidRDefault="006A3667">
            <w:pPr>
              <w:rPr>
                <w:rFonts w:ascii="宋体"/>
              </w:rPr>
            </w:pPr>
          </w:p>
        </w:tc>
        <w:tc>
          <w:tcPr>
            <w:tcW w:w="0" w:type="auto"/>
            <w:shd w:val="clear" w:color="auto" w:fill="auto"/>
            <w:vAlign w:val="bottom"/>
          </w:tcPr>
          <w:p w14:paraId="71D3EC71" w14:textId="77777777" w:rsidR="006A3667" w:rsidRDefault="006A3667">
            <w:pPr>
              <w:rPr>
                <w:rFonts w:ascii="宋体"/>
              </w:rPr>
            </w:pPr>
          </w:p>
        </w:tc>
        <w:tc>
          <w:tcPr>
            <w:tcW w:w="0" w:type="auto"/>
            <w:shd w:val="clear" w:color="auto" w:fill="auto"/>
            <w:vAlign w:val="bottom"/>
          </w:tcPr>
          <w:p w14:paraId="71D3EC72" w14:textId="77777777" w:rsidR="006A3667" w:rsidRDefault="006A3667">
            <w:pPr>
              <w:rPr>
                <w:rFonts w:ascii="宋体"/>
              </w:rPr>
            </w:pPr>
          </w:p>
        </w:tc>
        <w:tc>
          <w:tcPr>
            <w:tcW w:w="0" w:type="auto"/>
            <w:shd w:val="clear" w:color="auto" w:fill="auto"/>
            <w:vAlign w:val="bottom"/>
          </w:tcPr>
          <w:p w14:paraId="71D3EC73" w14:textId="77777777" w:rsidR="006A3667" w:rsidRDefault="006A3667">
            <w:pPr>
              <w:rPr>
                <w:rFonts w:ascii="宋体"/>
              </w:rPr>
            </w:pPr>
          </w:p>
        </w:tc>
        <w:tc>
          <w:tcPr>
            <w:tcW w:w="0" w:type="auto"/>
            <w:shd w:val="clear" w:color="auto" w:fill="auto"/>
            <w:vAlign w:val="bottom"/>
          </w:tcPr>
          <w:p w14:paraId="71D3EC74" w14:textId="77777777" w:rsidR="006A3667" w:rsidRDefault="006A3667">
            <w:pPr>
              <w:rPr>
                <w:rFonts w:ascii="宋体"/>
              </w:rPr>
            </w:pPr>
          </w:p>
        </w:tc>
        <w:tc>
          <w:tcPr>
            <w:tcW w:w="0" w:type="auto"/>
            <w:shd w:val="clear" w:color="auto" w:fill="auto"/>
            <w:vAlign w:val="bottom"/>
          </w:tcPr>
          <w:p w14:paraId="71D3EC75" w14:textId="77777777" w:rsidR="006A3667" w:rsidRDefault="006A3667">
            <w:pPr>
              <w:rPr>
                <w:rFonts w:ascii="宋体"/>
              </w:rPr>
            </w:pPr>
          </w:p>
        </w:tc>
        <w:tc>
          <w:tcPr>
            <w:tcW w:w="0" w:type="auto"/>
            <w:shd w:val="clear" w:color="auto" w:fill="auto"/>
            <w:vAlign w:val="bottom"/>
          </w:tcPr>
          <w:p w14:paraId="71D3EC76" w14:textId="77777777" w:rsidR="006A3667" w:rsidRDefault="006A3667">
            <w:pPr>
              <w:rPr>
                <w:rFonts w:ascii="宋体"/>
              </w:rPr>
            </w:pPr>
          </w:p>
        </w:tc>
        <w:tc>
          <w:tcPr>
            <w:tcW w:w="0" w:type="auto"/>
            <w:shd w:val="clear" w:color="auto" w:fill="auto"/>
            <w:vAlign w:val="bottom"/>
          </w:tcPr>
          <w:p w14:paraId="71D3EC77" w14:textId="77777777" w:rsidR="006A3667" w:rsidRDefault="006A3667">
            <w:pPr>
              <w:rPr>
                <w:rFonts w:ascii="宋体"/>
              </w:rPr>
            </w:pPr>
          </w:p>
        </w:tc>
        <w:tc>
          <w:tcPr>
            <w:tcW w:w="0" w:type="auto"/>
            <w:shd w:val="clear" w:color="auto" w:fill="auto"/>
            <w:vAlign w:val="bottom"/>
          </w:tcPr>
          <w:p w14:paraId="71D3EC78" w14:textId="77777777" w:rsidR="006A3667" w:rsidRDefault="006A3667">
            <w:pPr>
              <w:rPr>
                <w:rFonts w:ascii="宋体"/>
              </w:rPr>
            </w:pPr>
          </w:p>
        </w:tc>
        <w:tc>
          <w:tcPr>
            <w:tcW w:w="0" w:type="auto"/>
            <w:shd w:val="clear" w:color="auto" w:fill="auto"/>
            <w:vAlign w:val="bottom"/>
          </w:tcPr>
          <w:p w14:paraId="71D3EC79" w14:textId="77777777" w:rsidR="006A3667" w:rsidRDefault="006A3667">
            <w:pPr>
              <w:rPr>
                <w:rFonts w:ascii="宋体"/>
              </w:rPr>
            </w:pPr>
          </w:p>
        </w:tc>
        <w:tc>
          <w:tcPr>
            <w:tcW w:w="0" w:type="auto"/>
            <w:shd w:val="clear" w:color="auto" w:fill="auto"/>
            <w:vAlign w:val="bottom"/>
          </w:tcPr>
          <w:p w14:paraId="71D3EC7A" w14:textId="77777777" w:rsidR="006A3667" w:rsidRDefault="006A3667">
            <w:pPr>
              <w:rPr>
                <w:rFonts w:ascii="宋体"/>
              </w:rPr>
            </w:pPr>
          </w:p>
        </w:tc>
        <w:tc>
          <w:tcPr>
            <w:tcW w:w="0" w:type="auto"/>
            <w:shd w:val="clear" w:color="auto" w:fill="auto"/>
            <w:vAlign w:val="bottom"/>
          </w:tcPr>
          <w:p w14:paraId="71D3EC7B" w14:textId="77777777" w:rsidR="006A3667" w:rsidRDefault="006A3667">
            <w:pPr>
              <w:rPr>
                <w:rFonts w:ascii="宋体"/>
              </w:rPr>
            </w:pPr>
          </w:p>
        </w:tc>
        <w:tc>
          <w:tcPr>
            <w:tcW w:w="0" w:type="auto"/>
            <w:shd w:val="clear" w:color="auto" w:fill="auto"/>
            <w:vAlign w:val="bottom"/>
          </w:tcPr>
          <w:p w14:paraId="71D3EC7C" w14:textId="77777777" w:rsidR="006A3667" w:rsidRDefault="006A3667">
            <w:pPr>
              <w:rPr>
                <w:rFonts w:ascii="宋体"/>
              </w:rPr>
            </w:pPr>
          </w:p>
        </w:tc>
        <w:tc>
          <w:tcPr>
            <w:tcW w:w="0" w:type="auto"/>
            <w:shd w:val="clear" w:color="auto" w:fill="auto"/>
            <w:vAlign w:val="bottom"/>
          </w:tcPr>
          <w:p w14:paraId="71D3EC7D" w14:textId="77777777" w:rsidR="006A3667" w:rsidRDefault="006A3667">
            <w:pPr>
              <w:rPr>
                <w:rFonts w:ascii="宋体"/>
              </w:rPr>
            </w:pPr>
          </w:p>
        </w:tc>
        <w:tc>
          <w:tcPr>
            <w:tcW w:w="0" w:type="auto"/>
            <w:shd w:val="clear" w:color="auto" w:fill="auto"/>
            <w:vAlign w:val="bottom"/>
          </w:tcPr>
          <w:p w14:paraId="71D3EC7E" w14:textId="77777777" w:rsidR="006A3667" w:rsidRDefault="006A3667">
            <w:pPr>
              <w:rPr>
                <w:rFonts w:ascii="宋体"/>
              </w:rPr>
            </w:pPr>
          </w:p>
        </w:tc>
      </w:tr>
      <w:tr w:rsidR="006A3667" w14:paraId="71D3EC96" w14:textId="77777777">
        <w:trPr>
          <w:hidden/>
        </w:trPr>
        <w:tc>
          <w:tcPr>
            <w:tcW w:w="0" w:type="auto"/>
            <w:gridSpan w:val="3"/>
            <w:shd w:val="clear" w:color="auto" w:fill="auto"/>
            <w:vAlign w:val="bottom"/>
          </w:tcPr>
          <w:p w14:paraId="71D3EC80" w14:textId="77777777" w:rsidR="006A3667" w:rsidRDefault="006A3667">
            <w:pPr>
              <w:rPr>
                <w:rFonts w:ascii="宋体"/>
                <w:vanish/>
              </w:rPr>
            </w:pPr>
          </w:p>
        </w:tc>
        <w:tc>
          <w:tcPr>
            <w:tcW w:w="0" w:type="auto"/>
            <w:gridSpan w:val="3"/>
            <w:shd w:val="clear" w:color="auto" w:fill="auto"/>
            <w:vAlign w:val="bottom"/>
          </w:tcPr>
          <w:p w14:paraId="71D3EC81" w14:textId="77777777" w:rsidR="006A3667" w:rsidRDefault="006A3667">
            <w:pPr>
              <w:rPr>
                <w:rFonts w:ascii="宋体"/>
                <w:vanish/>
              </w:rPr>
            </w:pPr>
          </w:p>
        </w:tc>
        <w:tc>
          <w:tcPr>
            <w:tcW w:w="0" w:type="auto"/>
            <w:gridSpan w:val="3"/>
            <w:shd w:val="clear" w:color="auto" w:fill="auto"/>
            <w:vAlign w:val="bottom"/>
          </w:tcPr>
          <w:p w14:paraId="71D3EC82" w14:textId="77777777" w:rsidR="006A3667" w:rsidRDefault="006A3667">
            <w:pPr>
              <w:rPr>
                <w:rFonts w:ascii="宋体"/>
                <w:vanish/>
              </w:rPr>
            </w:pPr>
          </w:p>
        </w:tc>
        <w:tc>
          <w:tcPr>
            <w:tcW w:w="0" w:type="auto"/>
            <w:gridSpan w:val="3"/>
            <w:shd w:val="clear" w:color="auto" w:fill="auto"/>
            <w:vAlign w:val="bottom"/>
          </w:tcPr>
          <w:p w14:paraId="71D3EC83" w14:textId="77777777" w:rsidR="006A3667" w:rsidRDefault="006A3667">
            <w:pPr>
              <w:rPr>
                <w:rFonts w:ascii="宋体"/>
                <w:vanish/>
              </w:rPr>
            </w:pPr>
          </w:p>
        </w:tc>
        <w:tc>
          <w:tcPr>
            <w:tcW w:w="0" w:type="auto"/>
            <w:gridSpan w:val="3"/>
            <w:shd w:val="clear" w:color="auto" w:fill="auto"/>
            <w:vAlign w:val="bottom"/>
          </w:tcPr>
          <w:p w14:paraId="71D3EC84" w14:textId="77777777" w:rsidR="006A3667" w:rsidRDefault="006A3667">
            <w:pPr>
              <w:rPr>
                <w:rFonts w:ascii="宋体"/>
                <w:vanish/>
              </w:rPr>
            </w:pPr>
          </w:p>
        </w:tc>
        <w:tc>
          <w:tcPr>
            <w:tcW w:w="0" w:type="auto"/>
            <w:gridSpan w:val="3"/>
            <w:shd w:val="clear" w:color="auto" w:fill="auto"/>
            <w:vAlign w:val="bottom"/>
          </w:tcPr>
          <w:p w14:paraId="71D3EC85" w14:textId="77777777" w:rsidR="006A3667" w:rsidRDefault="006A3667">
            <w:pPr>
              <w:rPr>
                <w:rFonts w:ascii="宋体"/>
                <w:vanish/>
              </w:rPr>
            </w:pPr>
          </w:p>
        </w:tc>
        <w:tc>
          <w:tcPr>
            <w:tcW w:w="0" w:type="auto"/>
            <w:gridSpan w:val="3"/>
            <w:shd w:val="clear" w:color="auto" w:fill="auto"/>
            <w:vAlign w:val="bottom"/>
          </w:tcPr>
          <w:p w14:paraId="71D3EC86" w14:textId="77777777" w:rsidR="006A3667" w:rsidRDefault="006A3667">
            <w:pPr>
              <w:rPr>
                <w:rFonts w:ascii="宋体"/>
                <w:vanish/>
              </w:rPr>
            </w:pPr>
          </w:p>
        </w:tc>
        <w:tc>
          <w:tcPr>
            <w:tcW w:w="0" w:type="auto"/>
            <w:gridSpan w:val="3"/>
            <w:shd w:val="clear" w:color="auto" w:fill="auto"/>
            <w:vAlign w:val="bottom"/>
          </w:tcPr>
          <w:p w14:paraId="71D3EC87" w14:textId="77777777" w:rsidR="006A3667" w:rsidRDefault="006A3667">
            <w:pPr>
              <w:rPr>
                <w:rFonts w:ascii="宋体"/>
                <w:vanish/>
              </w:rPr>
            </w:pPr>
          </w:p>
        </w:tc>
        <w:tc>
          <w:tcPr>
            <w:tcW w:w="0" w:type="auto"/>
            <w:gridSpan w:val="3"/>
            <w:shd w:val="clear" w:color="auto" w:fill="auto"/>
            <w:vAlign w:val="bottom"/>
          </w:tcPr>
          <w:p w14:paraId="71D3EC88" w14:textId="77777777" w:rsidR="006A3667" w:rsidRDefault="006A3667">
            <w:pPr>
              <w:rPr>
                <w:rFonts w:ascii="宋体"/>
                <w:vanish/>
              </w:rPr>
            </w:pPr>
          </w:p>
        </w:tc>
        <w:tc>
          <w:tcPr>
            <w:tcW w:w="0" w:type="auto"/>
            <w:gridSpan w:val="3"/>
            <w:shd w:val="clear" w:color="auto" w:fill="auto"/>
            <w:vAlign w:val="bottom"/>
          </w:tcPr>
          <w:p w14:paraId="71D3EC89" w14:textId="77777777" w:rsidR="006A3667" w:rsidRDefault="006A3667">
            <w:pPr>
              <w:rPr>
                <w:rFonts w:ascii="宋体"/>
                <w:vanish/>
              </w:rPr>
            </w:pPr>
          </w:p>
        </w:tc>
        <w:tc>
          <w:tcPr>
            <w:tcW w:w="0" w:type="auto"/>
            <w:gridSpan w:val="3"/>
            <w:shd w:val="clear" w:color="auto" w:fill="auto"/>
            <w:vAlign w:val="bottom"/>
          </w:tcPr>
          <w:p w14:paraId="71D3EC8A" w14:textId="77777777" w:rsidR="006A3667" w:rsidRDefault="006A3667">
            <w:pPr>
              <w:rPr>
                <w:rFonts w:ascii="宋体"/>
                <w:vanish/>
              </w:rPr>
            </w:pPr>
          </w:p>
        </w:tc>
        <w:tc>
          <w:tcPr>
            <w:tcW w:w="0" w:type="auto"/>
            <w:gridSpan w:val="3"/>
            <w:shd w:val="clear" w:color="auto" w:fill="auto"/>
            <w:vAlign w:val="bottom"/>
          </w:tcPr>
          <w:p w14:paraId="71D3EC8B" w14:textId="77777777" w:rsidR="006A3667" w:rsidRDefault="006A3667">
            <w:pPr>
              <w:rPr>
                <w:rFonts w:ascii="宋体"/>
                <w:vanish/>
              </w:rPr>
            </w:pPr>
          </w:p>
        </w:tc>
        <w:tc>
          <w:tcPr>
            <w:tcW w:w="0" w:type="auto"/>
            <w:gridSpan w:val="3"/>
            <w:shd w:val="clear" w:color="auto" w:fill="auto"/>
            <w:vAlign w:val="bottom"/>
          </w:tcPr>
          <w:p w14:paraId="71D3EC8C" w14:textId="77777777" w:rsidR="006A3667" w:rsidRDefault="006A3667">
            <w:pPr>
              <w:rPr>
                <w:rFonts w:ascii="宋体"/>
                <w:vanish/>
              </w:rPr>
            </w:pPr>
          </w:p>
        </w:tc>
        <w:tc>
          <w:tcPr>
            <w:tcW w:w="0" w:type="auto"/>
            <w:gridSpan w:val="3"/>
            <w:shd w:val="clear" w:color="auto" w:fill="auto"/>
            <w:vAlign w:val="bottom"/>
          </w:tcPr>
          <w:p w14:paraId="71D3EC8D" w14:textId="77777777" w:rsidR="006A3667" w:rsidRDefault="006A3667">
            <w:pPr>
              <w:rPr>
                <w:rFonts w:ascii="宋体"/>
                <w:vanish/>
              </w:rPr>
            </w:pPr>
          </w:p>
        </w:tc>
        <w:tc>
          <w:tcPr>
            <w:tcW w:w="0" w:type="auto"/>
            <w:gridSpan w:val="3"/>
            <w:shd w:val="clear" w:color="auto" w:fill="auto"/>
            <w:vAlign w:val="bottom"/>
          </w:tcPr>
          <w:p w14:paraId="71D3EC8E" w14:textId="77777777" w:rsidR="006A3667" w:rsidRDefault="006A3667">
            <w:pPr>
              <w:rPr>
                <w:rFonts w:ascii="宋体"/>
                <w:vanish/>
              </w:rPr>
            </w:pPr>
          </w:p>
        </w:tc>
        <w:tc>
          <w:tcPr>
            <w:tcW w:w="0" w:type="auto"/>
            <w:gridSpan w:val="3"/>
            <w:shd w:val="clear" w:color="auto" w:fill="auto"/>
            <w:vAlign w:val="bottom"/>
          </w:tcPr>
          <w:p w14:paraId="71D3EC8F" w14:textId="77777777" w:rsidR="006A3667" w:rsidRDefault="006A3667">
            <w:pPr>
              <w:rPr>
                <w:rFonts w:ascii="宋体"/>
                <w:vanish/>
              </w:rPr>
            </w:pPr>
          </w:p>
        </w:tc>
        <w:tc>
          <w:tcPr>
            <w:tcW w:w="0" w:type="auto"/>
            <w:gridSpan w:val="3"/>
            <w:shd w:val="clear" w:color="auto" w:fill="auto"/>
            <w:vAlign w:val="bottom"/>
          </w:tcPr>
          <w:p w14:paraId="71D3EC90" w14:textId="77777777" w:rsidR="006A3667" w:rsidRDefault="006A3667">
            <w:pPr>
              <w:rPr>
                <w:rFonts w:ascii="宋体"/>
                <w:vanish/>
              </w:rPr>
            </w:pPr>
          </w:p>
        </w:tc>
        <w:tc>
          <w:tcPr>
            <w:tcW w:w="0" w:type="auto"/>
            <w:gridSpan w:val="3"/>
            <w:shd w:val="clear" w:color="auto" w:fill="auto"/>
            <w:vAlign w:val="bottom"/>
          </w:tcPr>
          <w:p w14:paraId="71D3EC91" w14:textId="77777777" w:rsidR="006A3667" w:rsidRDefault="006A3667">
            <w:pPr>
              <w:rPr>
                <w:rFonts w:ascii="宋体"/>
                <w:vanish/>
              </w:rPr>
            </w:pPr>
          </w:p>
        </w:tc>
        <w:tc>
          <w:tcPr>
            <w:tcW w:w="0" w:type="auto"/>
            <w:gridSpan w:val="3"/>
            <w:shd w:val="clear" w:color="auto" w:fill="auto"/>
            <w:vAlign w:val="bottom"/>
          </w:tcPr>
          <w:p w14:paraId="71D3EC92" w14:textId="77777777" w:rsidR="006A3667" w:rsidRDefault="006A3667">
            <w:pPr>
              <w:rPr>
                <w:rFonts w:ascii="宋体"/>
                <w:vanish/>
              </w:rPr>
            </w:pPr>
          </w:p>
        </w:tc>
        <w:tc>
          <w:tcPr>
            <w:tcW w:w="0" w:type="auto"/>
            <w:gridSpan w:val="3"/>
            <w:shd w:val="clear" w:color="auto" w:fill="auto"/>
            <w:vAlign w:val="bottom"/>
          </w:tcPr>
          <w:p w14:paraId="71D3EC93" w14:textId="77777777" w:rsidR="006A3667" w:rsidRDefault="006A3667">
            <w:pPr>
              <w:rPr>
                <w:rFonts w:ascii="宋体"/>
                <w:vanish/>
              </w:rPr>
            </w:pPr>
          </w:p>
        </w:tc>
        <w:tc>
          <w:tcPr>
            <w:tcW w:w="0" w:type="auto"/>
            <w:gridSpan w:val="2"/>
            <w:shd w:val="clear" w:color="auto" w:fill="auto"/>
            <w:vAlign w:val="bottom"/>
          </w:tcPr>
          <w:p w14:paraId="71D3EC94" w14:textId="77777777" w:rsidR="006A3667" w:rsidRDefault="006A3667">
            <w:pPr>
              <w:rPr>
                <w:rFonts w:ascii="宋体"/>
                <w:vanish/>
              </w:rPr>
            </w:pPr>
          </w:p>
        </w:tc>
        <w:tc>
          <w:tcPr>
            <w:tcW w:w="0" w:type="auto"/>
            <w:shd w:val="clear" w:color="auto" w:fill="auto"/>
            <w:vAlign w:val="bottom"/>
          </w:tcPr>
          <w:p w14:paraId="71D3EC95" w14:textId="77777777" w:rsidR="006A3667" w:rsidRDefault="006A3667">
            <w:pPr>
              <w:rPr>
                <w:rFonts w:ascii="宋体"/>
                <w:vanish/>
              </w:rPr>
            </w:pPr>
          </w:p>
        </w:tc>
      </w:tr>
      <w:tr w:rsidR="006A3667" w14:paraId="71D3ECAD" w14:textId="77777777">
        <w:trPr>
          <w:hidden/>
        </w:trPr>
        <w:tc>
          <w:tcPr>
            <w:tcW w:w="0" w:type="auto"/>
            <w:gridSpan w:val="3"/>
            <w:shd w:val="clear" w:color="auto" w:fill="auto"/>
            <w:vAlign w:val="bottom"/>
          </w:tcPr>
          <w:p w14:paraId="71D3EC97" w14:textId="77777777" w:rsidR="006A3667" w:rsidRDefault="006A3667">
            <w:pPr>
              <w:rPr>
                <w:rFonts w:ascii="宋体"/>
                <w:vanish/>
              </w:rPr>
            </w:pPr>
          </w:p>
        </w:tc>
        <w:tc>
          <w:tcPr>
            <w:tcW w:w="0" w:type="auto"/>
            <w:gridSpan w:val="3"/>
            <w:shd w:val="clear" w:color="auto" w:fill="auto"/>
            <w:vAlign w:val="bottom"/>
          </w:tcPr>
          <w:p w14:paraId="71D3EC98" w14:textId="77777777" w:rsidR="006A3667" w:rsidRDefault="006A3667">
            <w:pPr>
              <w:rPr>
                <w:rFonts w:ascii="宋体"/>
                <w:vanish/>
              </w:rPr>
            </w:pPr>
          </w:p>
        </w:tc>
        <w:tc>
          <w:tcPr>
            <w:tcW w:w="0" w:type="auto"/>
            <w:gridSpan w:val="3"/>
            <w:shd w:val="clear" w:color="auto" w:fill="auto"/>
            <w:vAlign w:val="bottom"/>
          </w:tcPr>
          <w:p w14:paraId="71D3EC99" w14:textId="77777777" w:rsidR="006A3667" w:rsidRDefault="006A3667">
            <w:pPr>
              <w:rPr>
                <w:rFonts w:ascii="宋体"/>
                <w:vanish/>
              </w:rPr>
            </w:pPr>
          </w:p>
        </w:tc>
        <w:tc>
          <w:tcPr>
            <w:tcW w:w="0" w:type="auto"/>
            <w:gridSpan w:val="3"/>
            <w:shd w:val="clear" w:color="auto" w:fill="auto"/>
            <w:vAlign w:val="bottom"/>
          </w:tcPr>
          <w:p w14:paraId="71D3EC9A" w14:textId="77777777" w:rsidR="006A3667" w:rsidRDefault="006A3667">
            <w:pPr>
              <w:rPr>
                <w:rFonts w:ascii="宋体"/>
                <w:vanish/>
              </w:rPr>
            </w:pPr>
          </w:p>
        </w:tc>
        <w:tc>
          <w:tcPr>
            <w:tcW w:w="0" w:type="auto"/>
            <w:gridSpan w:val="3"/>
            <w:shd w:val="clear" w:color="auto" w:fill="auto"/>
            <w:vAlign w:val="bottom"/>
          </w:tcPr>
          <w:p w14:paraId="71D3EC9B" w14:textId="77777777" w:rsidR="006A3667" w:rsidRDefault="006A3667">
            <w:pPr>
              <w:rPr>
                <w:rFonts w:ascii="宋体"/>
                <w:vanish/>
              </w:rPr>
            </w:pPr>
          </w:p>
        </w:tc>
        <w:tc>
          <w:tcPr>
            <w:tcW w:w="0" w:type="auto"/>
            <w:gridSpan w:val="3"/>
            <w:shd w:val="clear" w:color="auto" w:fill="auto"/>
            <w:vAlign w:val="bottom"/>
          </w:tcPr>
          <w:p w14:paraId="71D3EC9C" w14:textId="77777777" w:rsidR="006A3667" w:rsidRDefault="006A3667">
            <w:pPr>
              <w:rPr>
                <w:rFonts w:ascii="宋体"/>
                <w:vanish/>
              </w:rPr>
            </w:pPr>
          </w:p>
        </w:tc>
        <w:tc>
          <w:tcPr>
            <w:tcW w:w="0" w:type="auto"/>
            <w:gridSpan w:val="3"/>
            <w:shd w:val="clear" w:color="auto" w:fill="auto"/>
            <w:vAlign w:val="bottom"/>
          </w:tcPr>
          <w:p w14:paraId="71D3EC9D" w14:textId="77777777" w:rsidR="006A3667" w:rsidRDefault="006A3667">
            <w:pPr>
              <w:rPr>
                <w:rFonts w:ascii="宋体"/>
                <w:vanish/>
              </w:rPr>
            </w:pPr>
          </w:p>
        </w:tc>
        <w:tc>
          <w:tcPr>
            <w:tcW w:w="0" w:type="auto"/>
            <w:gridSpan w:val="3"/>
            <w:shd w:val="clear" w:color="auto" w:fill="auto"/>
            <w:vAlign w:val="bottom"/>
          </w:tcPr>
          <w:p w14:paraId="71D3EC9E" w14:textId="77777777" w:rsidR="006A3667" w:rsidRDefault="006A3667">
            <w:pPr>
              <w:rPr>
                <w:rFonts w:ascii="宋体"/>
                <w:vanish/>
              </w:rPr>
            </w:pPr>
          </w:p>
        </w:tc>
        <w:tc>
          <w:tcPr>
            <w:tcW w:w="0" w:type="auto"/>
            <w:gridSpan w:val="3"/>
            <w:shd w:val="clear" w:color="auto" w:fill="auto"/>
            <w:vAlign w:val="bottom"/>
          </w:tcPr>
          <w:p w14:paraId="71D3EC9F" w14:textId="77777777" w:rsidR="006A3667" w:rsidRDefault="006A3667">
            <w:pPr>
              <w:rPr>
                <w:rFonts w:ascii="宋体"/>
                <w:vanish/>
              </w:rPr>
            </w:pPr>
          </w:p>
        </w:tc>
        <w:tc>
          <w:tcPr>
            <w:tcW w:w="0" w:type="auto"/>
            <w:gridSpan w:val="3"/>
            <w:shd w:val="clear" w:color="auto" w:fill="auto"/>
            <w:vAlign w:val="bottom"/>
          </w:tcPr>
          <w:p w14:paraId="71D3ECA0" w14:textId="77777777" w:rsidR="006A3667" w:rsidRDefault="006A3667">
            <w:pPr>
              <w:rPr>
                <w:rFonts w:ascii="宋体"/>
                <w:vanish/>
              </w:rPr>
            </w:pPr>
          </w:p>
        </w:tc>
        <w:tc>
          <w:tcPr>
            <w:tcW w:w="0" w:type="auto"/>
            <w:gridSpan w:val="3"/>
            <w:shd w:val="clear" w:color="auto" w:fill="auto"/>
            <w:vAlign w:val="bottom"/>
          </w:tcPr>
          <w:p w14:paraId="71D3ECA1" w14:textId="77777777" w:rsidR="006A3667" w:rsidRDefault="006A3667">
            <w:pPr>
              <w:rPr>
                <w:rFonts w:ascii="宋体"/>
                <w:vanish/>
              </w:rPr>
            </w:pPr>
          </w:p>
        </w:tc>
        <w:tc>
          <w:tcPr>
            <w:tcW w:w="0" w:type="auto"/>
            <w:gridSpan w:val="3"/>
            <w:shd w:val="clear" w:color="auto" w:fill="auto"/>
            <w:vAlign w:val="bottom"/>
          </w:tcPr>
          <w:p w14:paraId="71D3ECA2" w14:textId="77777777" w:rsidR="006A3667" w:rsidRDefault="006A3667">
            <w:pPr>
              <w:rPr>
                <w:rFonts w:ascii="宋体"/>
                <w:vanish/>
              </w:rPr>
            </w:pPr>
          </w:p>
        </w:tc>
        <w:tc>
          <w:tcPr>
            <w:tcW w:w="0" w:type="auto"/>
            <w:gridSpan w:val="3"/>
            <w:shd w:val="clear" w:color="auto" w:fill="auto"/>
            <w:vAlign w:val="bottom"/>
          </w:tcPr>
          <w:p w14:paraId="71D3ECA3" w14:textId="77777777" w:rsidR="006A3667" w:rsidRDefault="006A3667">
            <w:pPr>
              <w:rPr>
                <w:rFonts w:ascii="宋体"/>
                <w:vanish/>
              </w:rPr>
            </w:pPr>
          </w:p>
        </w:tc>
        <w:tc>
          <w:tcPr>
            <w:tcW w:w="0" w:type="auto"/>
            <w:gridSpan w:val="3"/>
            <w:shd w:val="clear" w:color="auto" w:fill="auto"/>
            <w:vAlign w:val="bottom"/>
          </w:tcPr>
          <w:p w14:paraId="71D3ECA4" w14:textId="77777777" w:rsidR="006A3667" w:rsidRDefault="006A3667">
            <w:pPr>
              <w:rPr>
                <w:rFonts w:ascii="宋体"/>
                <w:vanish/>
              </w:rPr>
            </w:pPr>
          </w:p>
        </w:tc>
        <w:tc>
          <w:tcPr>
            <w:tcW w:w="0" w:type="auto"/>
            <w:gridSpan w:val="3"/>
            <w:shd w:val="clear" w:color="auto" w:fill="auto"/>
            <w:vAlign w:val="bottom"/>
          </w:tcPr>
          <w:p w14:paraId="71D3ECA5" w14:textId="77777777" w:rsidR="006A3667" w:rsidRDefault="006A3667">
            <w:pPr>
              <w:rPr>
                <w:rFonts w:ascii="宋体"/>
                <w:vanish/>
              </w:rPr>
            </w:pPr>
          </w:p>
        </w:tc>
        <w:tc>
          <w:tcPr>
            <w:tcW w:w="0" w:type="auto"/>
            <w:gridSpan w:val="3"/>
            <w:shd w:val="clear" w:color="auto" w:fill="auto"/>
            <w:vAlign w:val="bottom"/>
          </w:tcPr>
          <w:p w14:paraId="71D3ECA6" w14:textId="77777777" w:rsidR="006A3667" w:rsidRDefault="006A3667">
            <w:pPr>
              <w:rPr>
                <w:rFonts w:ascii="宋体"/>
                <w:vanish/>
              </w:rPr>
            </w:pPr>
          </w:p>
        </w:tc>
        <w:tc>
          <w:tcPr>
            <w:tcW w:w="0" w:type="auto"/>
            <w:gridSpan w:val="3"/>
            <w:shd w:val="clear" w:color="auto" w:fill="auto"/>
            <w:vAlign w:val="bottom"/>
          </w:tcPr>
          <w:p w14:paraId="71D3ECA7" w14:textId="77777777" w:rsidR="006A3667" w:rsidRDefault="006A3667">
            <w:pPr>
              <w:rPr>
                <w:rFonts w:ascii="宋体"/>
                <w:vanish/>
              </w:rPr>
            </w:pPr>
          </w:p>
        </w:tc>
        <w:tc>
          <w:tcPr>
            <w:tcW w:w="0" w:type="auto"/>
            <w:gridSpan w:val="3"/>
            <w:shd w:val="clear" w:color="auto" w:fill="auto"/>
            <w:vAlign w:val="bottom"/>
          </w:tcPr>
          <w:p w14:paraId="71D3ECA8" w14:textId="77777777" w:rsidR="006A3667" w:rsidRDefault="006A3667">
            <w:pPr>
              <w:rPr>
                <w:rFonts w:ascii="宋体"/>
                <w:vanish/>
              </w:rPr>
            </w:pPr>
          </w:p>
        </w:tc>
        <w:tc>
          <w:tcPr>
            <w:tcW w:w="0" w:type="auto"/>
            <w:gridSpan w:val="3"/>
            <w:shd w:val="clear" w:color="auto" w:fill="auto"/>
            <w:vAlign w:val="bottom"/>
          </w:tcPr>
          <w:p w14:paraId="71D3ECA9" w14:textId="77777777" w:rsidR="006A3667" w:rsidRDefault="006A3667">
            <w:pPr>
              <w:rPr>
                <w:rFonts w:ascii="宋体"/>
                <w:vanish/>
              </w:rPr>
            </w:pPr>
          </w:p>
        </w:tc>
        <w:tc>
          <w:tcPr>
            <w:tcW w:w="0" w:type="auto"/>
            <w:gridSpan w:val="3"/>
            <w:shd w:val="clear" w:color="auto" w:fill="auto"/>
            <w:vAlign w:val="bottom"/>
          </w:tcPr>
          <w:p w14:paraId="71D3ECAA" w14:textId="77777777" w:rsidR="006A3667" w:rsidRDefault="006A3667">
            <w:pPr>
              <w:rPr>
                <w:rFonts w:ascii="宋体"/>
                <w:vanish/>
              </w:rPr>
            </w:pPr>
          </w:p>
        </w:tc>
        <w:tc>
          <w:tcPr>
            <w:tcW w:w="0" w:type="auto"/>
            <w:gridSpan w:val="2"/>
            <w:shd w:val="clear" w:color="auto" w:fill="auto"/>
            <w:vAlign w:val="bottom"/>
          </w:tcPr>
          <w:p w14:paraId="71D3ECAB" w14:textId="77777777" w:rsidR="006A3667" w:rsidRDefault="006A3667">
            <w:pPr>
              <w:rPr>
                <w:rFonts w:ascii="宋体"/>
                <w:vanish/>
              </w:rPr>
            </w:pPr>
          </w:p>
        </w:tc>
        <w:tc>
          <w:tcPr>
            <w:tcW w:w="0" w:type="auto"/>
            <w:shd w:val="clear" w:color="auto" w:fill="auto"/>
            <w:vAlign w:val="bottom"/>
          </w:tcPr>
          <w:p w14:paraId="71D3ECAC" w14:textId="77777777" w:rsidR="006A3667" w:rsidRDefault="006A3667">
            <w:pPr>
              <w:rPr>
                <w:rFonts w:ascii="宋体"/>
                <w:vanish/>
              </w:rPr>
            </w:pPr>
          </w:p>
        </w:tc>
      </w:tr>
      <w:tr w:rsidR="006A3667" w14:paraId="71D3ECC4" w14:textId="77777777">
        <w:trPr>
          <w:hidden/>
        </w:trPr>
        <w:tc>
          <w:tcPr>
            <w:tcW w:w="0" w:type="auto"/>
            <w:gridSpan w:val="3"/>
            <w:shd w:val="clear" w:color="auto" w:fill="auto"/>
            <w:vAlign w:val="bottom"/>
          </w:tcPr>
          <w:p w14:paraId="71D3ECAE" w14:textId="77777777" w:rsidR="006A3667" w:rsidRDefault="006A3667">
            <w:pPr>
              <w:rPr>
                <w:rFonts w:ascii="宋体"/>
                <w:vanish/>
              </w:rPr>
            </w:pPr>
          </w:p>
        </w:tc>
        <w:tc>
          <w:tcPr>
            <w:tcW w:w="0" w:type="auto"/>
            <w:gridSpan w:val="3"/>
            <w:shd w:val="clear" w:color="auto" w:fill="auto"/>
            <w:vAlign w:val="bottom"/>
          </w:tcPr>
          <w:p w14:paraId="71D3ECAF" w14:textId="77777777" w:rsidR="006A3667" w:rsidRDefault="006A3667">
            <w:pPr>
              <w:rPr>
                <w:rFonts w:ascii="宋体"/>
                <w:vanish/>
              </w:rPr>
            </w:pPr>
          </w:p>
        </w:tc>
        <w:tc>
          <w:tcPr>
            <w:tcW w:w="0" w:type="auto"/>
            <w:gridSpan w:val="3"/>
            <w:shd w:val="clear" w:color="auto" w:fill="auto"/>
            <w:vAlign w:val="bottom"/>
          </w:tcPr>
          <w:p w14:paraId="71D3ECB0" w14:textId="77777777" w:rsidR="006A3667" w:rsidRDefault="006A3667">
            <w:pPr>
              <w:rPr>
                <w:rFonts w:ascii="宋体"/>
                <w:vanish/>
              </w:rPr>
            </w:pPr>
          </w:p>
        </w:tc>
        <w:tc>
          <w:tcPr>
            <w:tcW w:w="0" w:type="auto"/>
            <w:gridSpan w:val="3"/>
            <w:shd w:val="clear" w:color="auto" w:fill="auto"/>
            <w:vAlign w:val="bottom"/>
          </w:tcPr>
          <w:p w14:paraId="71D3ECB1" w14:textId="77777777" w:rsidR="006A3667" w:rsidRDefault="006A3667">
            <w:pPr>
              <w:rPr>
                <w:rFonts w:ascii="宋体"/>
                <w:vanish/>
              </w:rPr>
            </w:pPr>
          </w:p>
        </w:tc>
        <w:tc>
          <w:tcPr>
            <w:tcW w:w="0" w:type="auto"/>
            <w:gridSpan w:val="3"/>
            <w:shd w:val="clear" w:color="auto" w:fill="auto"/>
            <w:vAlign w:val="bottom"/>
          </w:tcPr>
          <w:p w14:paraId="71D3ECB2" w14:textId="77777777" w:rsidR="006A3667" w:rsidRDefault="006A3667">
            <w:pPr>
              <w:rPr>
                <w:rFonts w:ascii="宋体"/>
                <w:vanish/>
              </w:rPr>
            </w:pPr>
          </w:p>
        </w:tc>
        <w:tc>
          <w:tcPr>
            <w:tcW w:w="0" w:type="auto"/>
            <w:gridSpan w:val="3"/>
            <w:shd w:val="clear" w:color="auto" w:fill="auto"/>
            <w:vAlign w:val="bottom"/>
          </w:tcPr>
          <w:p w14:paraId="71D3ECB3" w14:textId="77777777" w:rsidR="006A3667" w:rsidRDefault="006A3667">
            <w:pPr>
              <w:rPr>
                <w:rFonts w:ascii="宋体"/>
                <w:vanish/>
              </w:rPr>
            </w:pPr>
          </w:p>
        </w:tc>
        <w:tc>
          <w:tcPr>
            <w:tcW w:w="0" w:type="auto"/>
            <w:gridSpan w:val="3"/>
            <w:shd w:val="clear" w:color="auto" w:fill="auto"/>
            <w:vAlign w:val="bottom"/>
          </w:tcPr>
          <w:p w14:paraId="71D3ECB4" w14:textId="77777777" w:rsidR="006A3667" w:rsidRDefault="006A3667">
            <w:pPr>
              <w:rPr>
                <w:rFonts w:ascii="宋体"/>
                <w:vanish/>
              </w:rPr>
            </w:pPr>
          </w:p>
        </w:tc>
        <w:tc>
          <w:tcPr>
            <w:tcW w:w="0" w:type="auto"/>
            <w:gridSpan w:val="3"/>
            <w:shd w:val="clear" w:color="auto" w:fill="auto"/>
            <w:vAlign w:val="bottom"/>
          </w:tcPr>
          <w:p w14:paraId="71D3ECB5" w14:textId="77777777" w:rsidR="006A3667" w:rsidRDefault="006A3667">
            <w:pPr>
              <w:rPr>
                <w:rFonts w:ascii="宋体"/>
                <w:vanish/>
              </w:rPr>
            </w:pPr>
          </w:p>
        </w:tc>
        <w:tc>
          <w:tcPr>
            <w:tcW w:w="0" w:type="auto"/>
            <w:gridSpan w:val="3"/>
            <w:shd w:val="clear" w:color="auto" w:fill="auto"/>
            <w:vAlign w:val="bottom"/>
          </w:tcPr>
          <w:p w14:paraId="71D3ECB6" w14:textId="77777777" w:rsidR="006A3667" w:rsidRDefault="006A3667">
            <w:pPr>
              <w:rPr>
                <w:rFonts w:ascii="宋体"/>
                <w:vanish/>
              </w:rPr>
            </w:pPr>
          </w:p>
        </w:tc>
        <w:tc>
          <w:tcPr>
            <w:tcW w:w="0" w:type="auto"/>
            <w:gridSpan w:val="3"/>
            <w:shd w:val="clear" w:color="auto" w:fill="auto"/>
            <w:vAlign w:val="bottom"/>
          </w:tcPr>
          <w:p w14:paraId="71D3ECB7" w14:textId="77777777" w:rsidR="006A3667" w:rsidRDefault="006A3667">
            <w:pPr>
              <w:rPr>
                <w:rFonts w:ascii="宋体"/>
                <w:vanish/>
              </w:rPr>
            </w:pPr>
          </w:p>
        </w:tc>
        <w:tc>
          <w:tcPr>
            <w:tcW w:w="0" w:type="auto"/>
            <w:gridSpan w:val="3"/>
            <w:shd w:val="clear" w:color="auto" w:fill="auto"/>
            <w:vAlign w:val="bottom"/>
          </w:tcPr>
          <w:p w14:paraId="71D3ECB8" w14:textId="77777777" w:rsidR="006A3667" w:rsidRDefault="006A3667">
            <w:pPr>
              <w:rPr>
                <w:rFonts w:ascii="宋体"/>
                <w:vanish/>
              </w:rPr>
            </w:pPr>
          </w:p>
        </w:tc>
        <w:tc>
          <w:tcPr>
            <w:tcW w:w="0" w:type="auto"/>
            <w:gridSpan w:val="3"/>
            <w:shd w:val="clear" w:color="auto" w:fill="auto"/>
            <w:vAlign w:val="bottom"/>
          </w:tcPr>
          <w:p w14:paraId="71D3ECB9" w14:textId="77777777" w:rsidR="006A3667" w:rsidRDefault="006A3667">
            <w:pPr>
              <w:rPr>
                <w:rFonts w:ascii="宋体"/>
                <w:vanish/>
              </w:rPr>
            </w:pPr>
          </w:p>
        </w:tc>
        <w:tc>
          <w:tcPr>
            <w:tcW w:w="0" w:type="auto"/>
            <w:gridSpan w:val="3"/>
            <w:shd w:val="clear" w:color="auto" w:fill="auto"/>
            <w:vAlign w:val="bottom"/>
          </w:tcPr>
          <w:p w14:paraId="71D3ECBA" w14:textId="77777777" w:rsidR="006A3667" w:rsidRDefault="006A3667">
            <w:pPr>
              <w:rPr>
                <w:rFonts w:ascii="宋体"/>
                <w:vanish/>
              </w:rPr>
            </w:pPr>
          </w:p>
        </w:tc>
        <w:tc>
          <w:tcPr>
            <w:tcW w:w="0" w:type="auto"/>
            <w:gridSpan w:val="3"/>
            <w:shd w:val="clear" w:color="auto" w:fill="auto"/>
            <w:vAlign w:val="bottom"/>
          </w:tcPr>
          <w:p w14:paraId="71D3ECBB" w14:textId="77777777" w:rsidR="006A3667" w:rsidRDefault="006A3667">
            <w:pPr>
              <w:rPr>
                <w:rFonts w:ascii="宋体"/>
                <w:vanish/>
              </w:rPr>
            </w:pPr>
          </w:p>
        </w:tc>
        <w:tc>
          <w:tcPr>
            <w:tcW w:w="0" w:type="auto"/>
            <w:gridSpan w:val="3"/>
            <w:shd w:val="clear" w:color="auto" w:fill="auto"/>
            <w:vAlign w:val="bottom"/>
          </w:tcPr>
          <w:p w14:paraId="71D3ECBC" w14:textId="77777777" w:rsidR="006A3667" w:rsidRDefault="006A3667">
            <w:pPr>
              <w:rPr>
                <w:rFonts w:ascii="宋体"/>
                <w:vanish/>
              </w:rPr>
            </w:pPr>
          </w:p>
        </w:tc>
        <w:tc>
          <w:tcPr>
            <w:tcW w:w="0" w:type="auto"/>
            <w:gridSpan w:val="3"/>
            <w:shd w:val="clear" w:color="auto" w:fill="auto"/>
            <w:vAlign w:val="bottom"/>
          </w:tcPr>
          <w:p w14:paraId="71D3ECBD" w14:textId="77777777" w:rsidR="006A3667" w:rsidRDefault="006A3667">
            <w:pPr>
              <w:rPr>
                <w:rFonts w:ascii="宋体"/>
                <w:vanish/>
              </w:rPr>
            </w:pPr>
          </w:p>
        </w:tc>
        <w:tc>
          <w:tcPr>
            <w:tcW w:w="0" w:type="auto"/>
            <w:gridSpan w:val="3"/>
            <w:shd w:val="clear" w:color="auto" w:fill="auto"/>
            <w:vAlign w:val="bottom"/>
          </w:tcPr>
          <w:p w14:paraId="71D3ECBE" w14:textId="77777777" w:rsidR="006A3667" w:rsidRDefault="006A3667">
            <w:pPr>
              <w:rPr>
                <w:rFonts w:ascii="宋体"/>
                <w:vanish/>
              </w:rPr>
            </w:pPr>
          </w:p>
        </w:tc>
        <w:tc>
          <w:tcPr>
            <w:tcW w:w="0" w:type="auto"/>
            <w:gridSpan w:val="3"/>
            <w:shd w:val="clear" w:color="auto" w:fill="auto"/>
            <w:vAlign w:val="bottom"/>
          </w:tcPr>
          <w:p w14:paraId="71D3ECBF" w14:textId="77777777" w:rsidR="006A3667" w:rsidRDefault="006A3667">
            <w:pPr>
              <w:rPr>
                <w:rFonts w:ascii="宋体"/>
                <w:vanish/>
              </w:rPr>
            </w:pPr>
          </w:p>
        </w:tc>
        <w:tc>
          <w:tcPr>
            <w:tcW w:w="0" w:type="auto"/>
            <w:gridSpan w:val="3"/>
            <w:shd w:val="clear" w:color="auto" w:fill="auto"/>
            <w:vAlign w:val="bottom"/>
          </w:tcPr>
          <w:p w14:paraId="71D3ECC0" w14:textId="77777777" w:rsidR="006A3667" w:rsidRDefault="006A3667">
            <w:pPr>
              <w:rPr>
                <w:rFonts w:ascii="宋体"/>
                <w:vanish/>
              </w:rPr>
            </w:pPr>
          </w:p>
        </w:tc>
        <w:tc>
          <w:tcPr>
            <w:tcW w:w="0" w:type="auto"/>
            <w:gridSpan w:val="3"/>
            <w:shd w:val="clear" w:color="auto" w:fill="auto"/>
            <w:vAlign w:val="bottom"/>
          </w:tcPr>
          <w:p w14:paraId="71D3ECC1" w14:textId="77777777" w:rsidR="006A3667" w:rsidRDefault="006A3667">
            <w:pPr>
              <w:rPr>
                <w:rFonts w:ascii="宋体"/>
                <w:vanish/>
              </w:rPr>
            </w:pPr>
          </w:p>
        </w:tc>
        <w:tc>
          <w:tcPr>
            <w:tcW w:w="0" w:type="auto"/>
            <w:gridSpan w:val="2"/>
            <w:shd w:val="clear" w:color="auto" w:fill="auto"/>
            <w:vAlign w:val="bottom"/>
          </w:tcPr>
          <w:p w14:paraId="71D3ECC2" w14:textId="77777777" w:rsidR="006A3667" w:rsidRDefault="006A3667">
            <w:pPr>
              <w:rPr>
                <w:rFonts w:ascii="宋体"/>
                <w:vanish/>
              </w:rPr>
            </w:pPr>
          </w:p>
        </w:tc>
        <w:tc>
          <w:tcPr>
            <w:tcW w:w="0" w:type="auto"/>
            <w:shd w:val="clear" w:color="auto" w:fill="auto"/>
            <w:vAlign w:val="bottom"/>
          </w:tcPr>
          <w:p w14:paraId="71D3ECC3" w14:textId="77777777" w:rsidR="006A3667" w:rsidRDefault="006A3667">
            <w:pPr>
              <w:rPr>
                <w:rFonts w:ascii="宋体"/>
                <w:vanish/>
              </w:rPr>
            </w:pPr>
          </w:p>
        </w:tc>
      </w:tr>
      <w:tr w:rsidR="006A3667" w14:paraId="71D3ECDB" w14:textId="77777777">
        <w:trPr>
          <w:hidden/>
        </w:trPr>
        <w:tc>
          <w:tcPr>
            <w:tcW w:w="0" w:type="auto"/>
            <w:gridSpan w:val="3"/>
            <w:shd w:val="clear" w:color="auto" w:fill="auto"/>
            <w:vAlign w:val="bottom"/>
          </w:tcPr>
          <w:p w14:paraId="71D3ECC5" w14:textId="77777777" w:rsidR="006A3667" w:rsidRDefault="006A3667">
            <w:pPr>
              <w:rPr>
                <w:rFonts w:ascii="宋体"/>
                <w:vanish/>
              </w:rPr>
            </w:pPr>
          </w:p>
        </w:tc>
        <w:tc>
          <w:tcPr>
            <w:tcW w:w="0" w:type="auto"/>
            <w:gridSpan w:val="3"/>
            <w:shd w:val="clear" w:color="auto" w:fill="auto"/>
            <w:vAlign w:val="bottom"/>
          </w:tcPr>
          <w:p w14:paraId="71D3ECC6" w14:textId="77777777" w:rsidR="006A3667" w:rsidRDefault="006A3667">
            <w:pPr>
              <w:rPr>
                <w:rFonts w:ascii="宋体"/>
                <w:vanish/>
              </w:rPr>
            </w:pPr>
          </w:p>
        </w:tc>
        <w:tc>
          <w:tcPr>
            <w:tcW w:w="0" w:type="auto"/>
            <w:gridSpan w:val="3"/>
            <w:shd w:val="clear" w:color="auto" w:fill="auto"/>
            <w:vAlign w:val="bottom"/>
          </w:tcPr>
          <w:p w14:paraId="71D3ECC7" w14:textId="77777777" w:rsidR="006A3667" w:rsidRDefault="006A3667">
            <w:pPr>
              <w:rPr>
                <w:rFonts w:ascii="宋体"/>
                <w:vanish/>
              </w:rPr>
            </w:pPr>
          </w:p>
        </w:tc>
        <w:tc>
          <w:tcPr>
            <w:tcW w:w="0" w:type="auto"/>
            <w:gridSpan w:val="3"/>
            <w:shd w:val="clear" w:color="auto" w:fill="auto"/>
            <w:vAlign w:val="bottom"/>
          </w:tcPr>
          <w:p w14:paraId="71D3ECC8" w14:textId="77777777" w:rsidR="006A3667" w:rsidRDefault="006A3667">
            <w:pPr>
              <w:rPr>
                <w:rFonts w:ascii="宋体"/>
                <w:vanish/>
              </w:rPr>
            </w:pPr>
          </w:p>
        </w:tc>
        <w:tc>
          <w:tcPr>
            <w:tcW w:w="0" w:type="auto"/>
            <w:gridSpan w:val="3"/>
            <w:shd w:val="clear" w:color="auto" w:fill="auto"/>
            <w:vAlign w:val="bottom"/>
          </w:tcPr>
          <w:p w14:paraId="71D3ECC9" w14:textId="77777777" w:rsidR="006A3667" w:rsidRDefault="006A3667">
            <w:pPr>
              <w:rPr>
                <w:rFonts w:ascii="宋体"/>
                <w:vanish/>
              </w:rPr>
            </w:pPr>
          </w:p>
        </w:tc>
        <w:tc>
          <w:tcPr>
            <w:tcW w:w="0" w:type="auto"/>
            <w:gridSpan w:val="3"/>
            <w:shd w:val="clear" w:color="auto" w:fill="auto"/>
            <w:vAlign w:val="bottom"/>
          </w:tcPr>
          <w:p w14:paraId="71D3ECCA" w14:textId="77777777" w:rsidR="006A3667" w:rsidRDefault="006A3667">
            <w:pPr>
              <w:rPr>
                <w:rFonts w:ascii="宋体"/>
                <w:vanish/>
              </w:rPr>
            </w:pPr>
          </w:p>
        </w:tc>
        <w:tc>
          <w:tcPr>
            <w:tcW w:w="0" w:type="auto"/>
            <w:gridSpan w:val="3"/>
            <w:shd w:val="clear" w:color="auto" w:fill="auto"/>
            <w:vAlign w:val="bottom"/>
          </w:tcPr>
          <w:p w14:paraId="71D3ECCB" w14:textId="77777777" w:rsidR="006A3667" w:rsidRDefault="006A3667">
            <w:pPr>
              <w:rPr>
                <w:rFonts w:ascii="宋体"/>
                <w:vanish/>
              </w:rPr>
            </w:pPr>
          </w:p>
        </w:tc>
        <w:tc>
          <w:tcPr>
            <w:tcW w:w="0" w:type="auto"/>
            <w:gridSpan w:val="3"/>
            <w:shd w:val="clear" w:color="auto" w:fill="auto"/>
            <w:vAlign w:val="bottom"/>
          </w:tcPr>
          <w:p w14:paraId="71D3ECCC" w14:textId="77777777" w:rsidR="006A3667" w:rsidRDefault="006A3667">
            <w:pPr>
              <w:rPr>
                <w:rFonts w:ascii="宋体"/>
                <w:vanish/>
              </w:rPr>
            </w:pPr>
          </w:p>
        </w:tc>
        <w:tc>
          <w:tcPr>
            <w:tcW w:w="0" w:type="auto"/>
            <w:gridSpan w:val="3"/>
            <w:shd w:val="clear" w:color="auto" w:fill="auto"/>
            <w:vAlign w:val="bottom"/>
          </w:tcPr>
          <w:p w14:paraId="71D3ECCD" w14:textId="77777777" w:rsidR="006A3667" w:rsidRDefault="006A3667">
            <w:pPr>
              <w:rPr>
                <w:rFonts w:ascii="宋体"/>
                <w:vanish/>
              </w:rPr>
            </w:pPr>
          </w:p>
        </w:tc>
        <w:tc>
          <w:tcPr>
            <w:tcW w:w="0" w:type="auto"/>
            <w:gridSpan w:val="3"/>
            <w:shd w:val="clear" w:color="auto" w:fill="auto"/>
            <w:vAlign w:val="bottom"/>
          </w:tcPr>
          <w:p w14:paraId="71D3ECCE" w14:textId="77777777" w:rsidR="006A3667" w:rsidRDefault="006A3667">
            <w:pPr>
              <w:rPr>
                <w:rFonts w:ascii="宋体"/>
                <w:vanish/>
              </w:rPr>
            </w:pPr>
          </w:p>
        </w:tc>
        <w:tc>
          <w:tcPr>
            <w:tcW w:w="0" w:type="auto"/>
            <w:gridSpan w:val="3"/>
            <w:shd w:val="clear" w:color="auto" w:fill="auto"/>
            <w:vAlign w:val="bottom"/>
          </w:tcPr>
          <w:p w14:paraId="71D3ECCF" w14:textId="77777777" w:rsidR="006A3667" w:rsidRDefault="006A3667">
            <w:pPr>
              <w:rPr>
                <w:rFonts w:ascii="宋体"/>
                <w:vanish/>
              </w:rPr>
            </w:pPr>
          </w:p>
        </w:tc>
        <w:tc>
          <w:tcPr>
            <w:tcW w:w="0" w:type="auto"/>
            <w:gridSpan w:val="3"/>
            <w:shd w:val="clear" w:color="auto" w:fill="auto"/>
            <w:vAlign w:val="bottom"/>
          </w:tcPr>
          <w:p w14:paraId="71D3ECD0" w14:textId="77777777" w:rsidR="006A3667" w:rsidRDefault="006A3667">
            <w:pPr>
              <w:rPr>
                <w:rFonts w:ascii="宋体"/>
                <w:vanish/>
              </w:rPr>
            </w:pPr>
          </w:p>
        </w:tc>
        <w:tc>
          <w:tcPr>
            <w:tcW w:w="0" w:type="auto"/>
            <w:gridSpan w:val="3"/>
            <w:shd w:val="clear" w:color="auto" w:fill="auto"/>
            <w:vAlign w:val="bottom"/>
          </w:tcPr>
          <w:p w14:paraId="71D3ECD1" w14:textId="77777777" w:rsidR="006A3667" w:rsidRDefault="006A3667">
            <w:pPr>
              <w:rPr>
                <w:rFonts w:ascii="宋体"/>
                <w:vanish/>
              </w:rPr>
            </w:pPr>
          </w:p>
        </w:tc>
        <w:tc>
          <w:tcPr>
            <w:tcW w:w="0" w:type="auto"/>
            <w:gridSpan w:val="3"/>
            <w:shd w:val="clear" w:color="auto" w:fill="auto"/>
            <w:vAlign w:val="bottom"/>
          </w:tcPr>
          <w:p w14:paraId="71D3ECD2" w14:textId="77777777" w:rsidR="006A3667" w:rsidRDefault="006A3667">
            <w:pPr>
              <w:rPr>
                <w:rFonts w:ascii="宋体"/>
                <w:vanish/>
              </w:rPr>
            </w:pPr>
          </w:p>
        </w:tc>
        <w:tc>
          <w:tcPr>
            <w:tcW w:w="0" w:type="auto"/>
            <w:gridSpan w:val="3"/>
            <w:shd w:val="clear" w:color="auto" w:fill="auto"/>
            <w:vAlign w:val="bottom"/>
          </w:tcPr>
          <w:p w14:paraId="71D3ECD3" w14:textId="77777777" w:rsidR="006A3667" w:rsidRDefault="006A3667">
            <w:pPr>
              <w:rPr>
                <w:rFonts w:ascii="宋体"/>
                <w:vanish/>
              </w:rPr>
            </w:pPr>
          </w:p>
        </w:tc>
        <w:tc>
          <w:tcPr>
            <w:tcW w:w="0" w:type="auto"/>
            <w:gridSpan w:val="3"/>
            <w:shd w:val="clear" w:color="auto" w:fill="auto"/>
            <w:vAlign w:val="bottom"/>
          </w:tcPr>
          <w:p w14:paraId="71D3ECD4" w14:textId="77777777" w:rsidR="006A3667" w:rsidRDefault="006A3667">
            <w:pPr>
              <w:rPr>
                <w:rFonts w:ascii="宋体"/>
                <w:vanish/>
              </w:rPr>
            </w:pPr>
          </w:p>
        </w:tc>
        <w:tc>
          <w:tcPr>
            <w:tcW w:w="0" w:type="auto"/>
            <w:gridSpan w:val="3"/>
            <w:shd w:val="clear" w:color="auto" w:fill="auto"/>
            <w:vAlign w:val="bottom"/>
          </w:tcPr>
          <w:p w14:paraId="71D3ECD5" w14:textId="77777777" w:rsidR="006A3667" w:rsidRDefault="006A3667">
            <w:pPr>
              <w:rPr>
                <w:rFonts w:ascii="宋体"/>
                <w:vanish/>
              </w:rPr>
            </w:pPr>
          </w:p>
        </w:tc>
        <w:tc>
          <w:tcPr>
            <w:tcW w:w="0" w:type="auto"/>
            <w:gridSpan w:val="3"/>
            <w:shd w:val="clear" w:color="auto" w:fill="auto"/>
            <w:vAlign w:val="bottom"/>
          </w:tcPr>
          <w:p w14:paraId="71D3ECD6" w14:textId="77777777" w:rsidR="006A3667" w:rsidRDefault="006A3667">
            <w:pPr>
              <w:rPr>
                <w:rFonts w:ascii="宋体"/>
                <w:vanish/>
              </w:rPr>
            </w:pPr>
          </w:p>
        </w:tc>
        <w:tc>
          <w:tcPr>
            <w:tcW w:w="0" w:type="auto"/>
            <w:gridSpan w:val="3"/>
            <w:shd w:val="clear" w:color="auto" w:fill="auto"/>
            <w:vAlign w:val="bottom"/>
          </w:tcPr>
          <w:p w14:paraId="71D3ECD7" w14:textId="77777777" w:rsidR="006A3667" w:rsidRDefault="006A3667">
            <w:pPr>
              <w:rPr>
                <w:rFonts w:ascii="宋体"/>
                <w:vanish/>
              </w:rPr>
            </w:pPr>
          </w:p>
        </w:tc>
        <w:tc>
          <w:tcPr>
            <w:tcW w:w="0" w:type="auto"/>
            <w:gridSpan w:val="3"/>
            <w:shd w:val="clear" w:color="auto" w:fill="auto"/>
            <w:vAlign w:val="bottom"/>
          </w:tcPr>
          <w:p w14:paraId="71D3ECD8" w14:textId="77777777" w:rsidR="006A3667" w:rsidRDefault="006A3667">
            <w:pPr>
              <w:rPr>
                <w:rFonts w:ascii="宋体"/>
                <w:vanish/>
              </w:rPr>
            </w:pPr>
          </w:p>
        </w:tc>
        <w:tc>
          <w:tcPr>
            <w:tcW w:w="0" w:type="auto"/>
            <w:gridSpan w:val="2"/>
            <w:shd w:val="clear" w:color="auto" w:fill="auto"/>
            <w:vAlign w:val="bottom"/>
          </w:tcPr>
          <w:p w14:paraId="71D3ECD9" w14:textId="77777777" w:rsidR="006A3667" w:rsidRDefault="006A3667">
            <w:pPr>
              <w:rPr>
                <w:rFonts w:ascii="宋体"/>
                <w:vanish/>
              </w:rPr>
            </w:pPr>
          </w:p>
        </w:tc>
        <w:tc>
          <w:tcPr>
            <w:tcW w:w="0" w:type="auto"/>
            <w:shd w:val="clear" w:color="auto" w:fill="auto"/>
            <w:vAlign w:val="bottom"/>
          </w:tcPr>
          <w:p w14:paraId="71D3ECDA" w14:textId="77777777" w:rsidR="006A3667" w:rsidRDefault="006A3667">
            <w:pPr>
              <w:rPr>
                <w:rFonts w:ascii="宋体"/>
                <w:vanish/>
              </w:rPr>
            </w:pPr>
          </w:p>
        </w:tc>
      </w:tr>
      <w:tr w:rsidR="006A3667" w14:paraId="71D3ECF2" w14:textId="77777777">
        <w:trPr>
          <w:hidden/>
        </w:trPr>
        <w:tc>
          <w:tcPr>
            <w:tcW w:w="0" w:type="auto"/>
            <w:gridSpan w:val="3"/>
            <w:shd w:val="clear" w:color="auto" w:fill="auto"/>
            <w:vAlign w:val="bottom"/>
          </w:tcPr>
          <w:p w14:paraId="71D3ECDC" w14:textId="77777777" w:rsidR="006A3667" w:rsidRDefault="006A3667">
            <w:pPr>
              <w:rPr>
                <w:rFonts w:ascii="宋体"/>
                <w:vanish/>
              </w:rPr>
            </w:pPr>
          </w:p>
        </w:tc>
        <w:tc>
          <w:tcPr>
            <w:tcW w:w="0" w:type="auto"/>
            <w:gridSpan w:val="3"/>
            <w:shd w:val="clear" w:color="auto" w:fill="auto"/>
            <w:vAlign w:val="bottom"/>
          </w:tcPr>
          <w:p w14:paraId="71D3ECDD" w14:textId="77777777" w:rsidR="006A3667" w:rsidRDefault="006A3667">
            <w:pPr>
              <w:rPr>
                <w:rFonts w:ascii="宋体"/>
                <w:vanish/>
              </w:rPr>
            </w:pPr>
          </w:p>
        </w:tc>
        <w:tc>
          <w:tcPr>
            <w:tcW w:w="0" w:type="auto"/>
            <w:gridSpan w:val="3"/>
            <w:shd w:val="clear" w:color="auto" w:fill="auto"/>
            <w:vAlign w:val="bottom"/>
          </w:tcPr>
          <w:p w14:paraId="71D3ECDE" w14:textId="77777777" w:rsidR="006A3667" w:rsidRDefault="006A3667">
            <w:pPr>
              <w:rPr>
                <w:rFonts w:ascii="宋体"/>
                <w:vanish/>
              </w:rPr>
            </w:pPr>
          </w:p>
        </w:tc>
        <w:tc>
          <w:tcPr>
            <w:tcW w:w="0" w:type="auto"/>
            <w:gridSpan w:val="3"/>
            <w:shd w:val="clear" w:color="auto" w:fill="auto"/>
            <w:vAlign w:val="bottom"/>
          </w:tcPr>
          <w:p w14:paraId="71D3ECDF" w14:textId="77777777" w:rsidR="006A3667" w:rsidRDefault="006A3667">
            <w:pPr>
              <w:rPr>
                <w:rFonts w:ascii="宋体"/>
                <w:vanish/>
              </w:rPr>
            </w:pPr>
          </w:p>
        </w:tc>
        <w:tc>
          <w:tcPr>
            <w:tcW w:w="0" w:type="auto"/>
            <w:gridSpan w:val="3"/>
            <w:shd w:val="clear" w:color="auto" w:fill="auto"/>
            <w:vAlign w:val="bottom"/>
          </w:tcPr>
          <w:p w14:paraId="71D3ECE0" w14:textId="77777777" w:rsidR="006A3667" w:rsidRDefault="006A3667">
            <w:pPr>
              <w:rPr>
                <w:rFonts w:ascii="宋体"/>
                <w:vanish/>
              </w:rPr>
            </w:pPr>
          </w:p>
        </w:tc>
        <w:tc>
          <w:tcPr>
            <w:tcW w:w="0" w:type="auto"/>
            <w:gridSpan w:val="3"/>
            <w:shd w:val="clear" w:color="auto" w:fill="auto"/>
            <w:vAlign w:val="bottom"/>
          </w:tcPr>
          <w:p w14:paraId="71D3ECE1" w14:textId="77777777" w:rsidR="006A3667" w:rsidRDefault="006A3667">
            <w:pPr>
              <w:rPr>
                <w:rFonts w:ascii="宋体"/>
                <w:vanish/>
              </w:rPr>
            </w:pPr>
          </w:p>
        </w:tc>
        <w:tc>
          <w:tcPr>
            <w:tcW w:w="0" w:type="auto"/>
            <w:gridSpan w:val="3"/>
            <w:shd w:val="clear" w:color="auto" w:fill="auto"/>
            <w:vAlign w:val="bottom"/>
          </w:tcPr>
          <w:p w14:paraId="71D3ECE2" w14:textId="77777777" w:rsidR="006A3667" w:rsidRDefault="006A3667">
            <w:pPr>
              <w:rPr>
                <w:rFonts w:ascii="宋体"/>
                <w:vanish/>
              </w:rPr>
            </w:pPr>
          </w:p>
        </w:tc>
        <w:tc>
          <w:tcPr>
            <w:tcW w:w="0" w:type="auto"/>
            <w:gridSpan w:val="3"/>
            <w:shd w:val="clear" w:color="auto" w:fill="auto"/>
            <w:vAlign w:val="bottom"/>
          </w:tcPr>
          <w:p w14:paraId="71D3ECE3" w14:textId="77777777" w:rsidR="006A3667" w:rsidRDefault="006A3667">
            <w:pPr>
              <w:rPr>
                <w:rFonts w:ascii="宋体"/>
                <w:vanish/>
              </w:rPr>
            </w:pPr>
          </w:p>
        </w:tc>
        <w:tc>
          <w:tcPr>
            <w:tcW w:w="0" w:type="auto"/>
            <w:gridSpan w:val="3"/>
            <w:shd w:val="clear" w:color="auto" w:fill="auto"/>
            <w:vAlign w:val="bottom"/>
          </w:tcPr>
          <w:p w14:paraId="71D3ECE4" w14:textId="77777777" w:rsidR="006A3667" w:rsidRDefault="006A3667">
            <w:pPr>
              <w:rPr>
                <w:rFonts w:ascii="宋体"/>
                <w:vanish/>
              </w:rPr>
            </w:pPr>
          </w:p>
        </w:tc>
        <w:tc>
          <w:tcPr>
            <w:tcW w:w="0" w:type="auto"/>
            <w:gridSpan w:val="3"/>
            <w:shd w:val="clear" w:color="auto" w:fill="auto"/>
            <w:vAlign w:val="bottom"/>
          </w:tcPr>
          <w:p w14:paraId="71D3ECE5" w14:textId="77777777" w:rsidR="006A3667" w:rsidRDefault="006A3667">
            <w:pPr>
              <w:rPr>
                <w:rFonts w:ascii="宋体"/>
                <w:vanish/>
              </w:rPr>
            </w:pPr>
          </w:p>
        </w:tc>
        <w:tc>
          <w:tcPr>
            <w:tcW w:w="0" w:type="auto"/>
            <w:gridSpan w:val="3"/>
            <w:shd w:val="clear" w:color="auto" w:fill="auto"/>
            <w:vAlign w:val="bottom"/>
          </w:tcPr>
          <w:p w14:paraId="71D3ECE6" w14:textId="77777777" w:rsidR="006A3667" w:rsidRDefault="006A3667">
            <w:pPr>
              <w:rPr>
                <w:rFonts w:ascii="宋体"/>
                <w:vanish/>
              </w:rPr>
            </w:pPr>
          </w:p>
        </w:tc>
        <w:tc>
          <w:tcPr>
            <w:tcW w:w="0" w:type="auto"/>
            <w:gridSpan w:val="3"/>
            <w:shd w:val="clear" w:color="auto" w:fill="auto"/>
            <w:vAlign w:val="bottom"/>
          </w:tcPr>
          <w:p w14:paraId="71D3ECE7" w14:textId="77777777" w:rsidR="006A3667" w:rsidRDefault="006A3667">
            <w:pPr>
              <w:rPr>
                <w:rFonts w:ascii="宋体"/>
                <w:vanish/>
              </w:rPr>
            </w:pPr>
          </w:p>
        </w:tc>
        <w:tc>
          <w:tcPr>
            <w:tcW w:w="0" w:type="auto"/>
            <w:gridSpan w:val="3"/>
            <w:shd w:val="clear" w:color="auto" w:fill="auto"/>
            <w:vAlign w:val="bottom"/>
          </w:tcPr>
          <w:p w14:paraId="71D3ECE8" w14:textId="77777777" w:rsidR="006A3667" w:rsidRDefault="006A3667">
            <w:pPr>
              <w:rPr>
                <w:rFonts w:ascii="宋体"/>
                <w:vanish/>
              </w:rPr>
            </w:pPr>
          </w:p>
        </w:tc>
        <w:tc>
          <w:tcPr>
            <w:tcW w:w="0" w:type="auto"/>
            <w:gridSpan w:val="3"/>
            <w:shd w:val="clear" w:color="auto" w:fill="auto"/>
            <w:vAlign w:val="bottom"/>
          </w:tcPr>
          <w:p w14:paraId="71D3ECE9" w14:textId="77777777" w:rsidR="006A3667" w:rsidRDefault="006A3667">
            <w:pPr>
              <w:rPr>
                <w:rFonts w:ascii="宋体"/>
                <w:vanish/>
              </w:rPr>
            </w:pPr>
          </w:p>
        </w:tc>
        <w:tc>
          <w:tcPr>
            <w:tcW w:w="0" w:type="auto"/>
            <w:gridSpan w:val="3"/>
            <w:shd w:val="clear" w:color="auto" w:fill="auto"/>
            <w:vAlign w:val="bottom"/>
          </w:tcPr>
          <w:p w14:paraId="71D3ECEA" w14:textId="77777777" w:rsidR="006A3667" w:rsidRDefault="006A3667">
            <w:pPr>
              <w:rPr>
                <w:rFonts w:ascii="宋体"/>
                <w:vanish/>
              </w:rPr>
            </w:pPr>
          </w:p>
        </w:tc>
        <w:tc>
          <w:tcPr>
            <w:tcW w:w="0" w:type="auto"/>
            <w:gridSpan w:val="3"/>
            <w:shd w:val="clear" w:color="auto" w:fill="auto"/>
            <w:vAlign w:val="bottom"/>
          </w:tcPr>
          <w:p w14:paraId="71D3ECEB" w14:textId="77777777" w:rsidR="006A3667" w:rsidRDefault="006A3667">
            <w:pPr>
              <w:rPr>
                <w:rFonts w:ascii="宋体"/>
                <w:vanish/>
              </w:rPr>
            </w:pPr>
          </w:p>
        </w:tc>
        <w:tc>
          <w:tcPr>
            <w:tcW w:w="0" w:type="auto"/>
            <w:gridSpan w:val="3"/>
            <w:shd w:val="clear" w:color="auto" w:fill="auto"/>
            <w:vAlign w:val="bottom"/>
          </w:tcPr>
          <w:p w14:paraId="71D3ECEC" w14:textId="77777777" w:rsidR="006A3667" w:rsidRDefault="006A3667">
            <w:pPr>
              <w:rPr>
                <w:rFonts w:ascii="宋体"/>
                <w:vanish/>
              </w:rPr>
            </w:pPr>
          </w:p>
        </w:tc>
        <w:tc>
          <w:tcPr>
            <w:tcW w:w="0" w:type="auto"/>
            <w:gridSpan w:val="3"/>
            <w:shd w:val="clear" w:color="auto" w:fill="auto"/>
            <w:vAlign w:val="bottom"/>
          </w:tcPr>
          <w:p w14:paraId="71D3ECED" w14:textId="77777777" w:rsidR="006A3667" w:rsidRDefault="006A3667">
            <w:pPr>
              <w:rPr>
                <w:rFonts w:ascii="宋体"/>
                <w:vanish/>
              </w:rPr>
            </w:pPr>
          </w:p>
        </w:tc>
        <w:tc>
          <w:tcPr>
            <w:tcW w:w="0" w:type="auto"/>
            <w:gridSpan w:val="3"/>
            <w:shd w:val="clear" w:color="auto" w:fill="auto"/>
            <w:vAlign w:val="bottom"/>
          </w:tcPr>
          <w:p w14:paraId="71D3ECEE" w14:textId="77777777" w:rsidR="006A3667" w:rsidRDefault="006A3667">
            <w:pPr>
              <w:rPr>
                <w:rFonts w:ascii="宋体"/>
                <w:vanish/>
              </w:rPr>
            </w:pPr>
          </w:p>
        </w:tc>
        <w:tc>
          <w:tcPr>
            <w:tcW w:w="0" w:type="auto"/>
            <w:gridSpan w:val="3"/>
            <w:shd w:val="clear" w:color="auto" w:fill="auto"/>
            <w:vAlign w:val="bottom"/>
          </w:tcPr>
          <w:p w14:paraId="71D3ECEF" w14:textId="77777777" w:rsidR="006A3667" w:rsidRDefault="006A3667">
            <w:pPr>
              <w:rPr>
                <w:rFonts w:ascii="宋体"/>
                <w:vanish/>
              </w:rPr>
            </w:pPr>
          </w:p>
        </w:tc>
        <w:tc>
          <w:tcPr>
            <w:tcW w:w="0" w:type="auto"/>
            <w:gridSpan w:val="2"/>
            <w:shd w:val="clear" w:color="auto" w:fill="auto"/>
            <w:vAlign w:val="bottom"/>
          </w:tcPr>
          <w:p w14:paraId="71D3ECF0" w14:textId="77777777" w:rsidR="006A3667" w:rsidRDefault="006A3667">
            <w:pPr>
              <w:rPr>
                <w:rFonts w:ascii="宋体"/>
                <w:vanish/>
              </w:rPr>
            </w:pPr>
          </w:p>
        </w:tc>
        <w:tc>
          <w:tcPr>
            <w:tcW w:w="0" w:type="auto"/>
            <w:shd w:val="clear" w:color="auto" w:fill="auto"/>
            <w:vAlign w:val="bottom"/>
          </w:tcPr>
          <w:p w14:paraId="71D3ECF1" w14:textId="77777777" w:rsidR="006A3667" w:rsidRDefault="006A3667">
            <w:pPr>
              <w:rPr>
                <w:rFonts w:ascii="宋体"/>
                <w:vanish/>
              </w:rPr>
            </w:pPr>
          </w:p>
        </w:tc>
      </w:tr>
      <w:tr w:rsidR="006A3667" w14:paraId="71D3ED09" w14:textId="77777777">
        <w:trPr>
          <w:hidden/>
        </w:trPr>
        <w:tc>
          <w:tcPr>
            <w:tcW w:w="0" w:type="auto"/>
            <w:gridSpan w:val="3"/>
            <w:shd w:val="clear" w:color="auto" w:fill="auto"/>
            <w:vAlign w:val="bottom"/>
          </w:tcPr>
          <w:p w14:paraId="71D3ECF3" w14:textId="77777777" w:rsidR="006A3667" w:rsidRDefault="006A3667">
            <w:pPr>
              <w:rPr>
                <w:rFonts w:ascii="宋体"/>
                <w:vanish/>
              </w:rPr>
            </w:pPr>
          </w:p>
        </w:tc>
        <w:tc>
          <w:tcPr>
            <w:tcW w:w="0" w:type="auto"/>
            <w:gridSpan w:val="3"/>
            <w:shd w:val="clear" w:color="auto" w:fill="auto"/>
            <w:vAlign w:val="bottom"/>
          </w:tcPr>
          <w:p w14:paraId="71D3ECF4" w14:textId="77777777" w:rsidR="006A3667" w:rsidRDefault="006A3667">
            <w:pPr>
              <w:rPr>
                <w:rFonts w:ascii="宋体"/>
                <w:vanish/>
              </w:rPr>
            </w:pPr>
          </w:p>
        </w:tc>
        <w:tc>
          <w:tcPr>
            <w:tcW w:w="0" w:type="auto"/>
            <w:gridSpan w:val="3"/>
            <w:shd w:val="clear" w:color="auto" w:fill="auto"/>
            <w:vAlign w:val="bottom"/>
          </w:tcPr>
          <w:p w14:paraId="71D3ECF5" w14:textId="77777777" w:rsidR="006A3667" w:rsidRDefault="006A3667">
            <w:pPr>
              <w:rPr>
                <w:rFonts w:ascii="宋体"/>
                <w:vanish/>
              </w:rPr>
            </w:pPr>
          </w:p>
        </w:tc>
        <w:tc>
          <w:tcPr>
            <w:tcW w:w="0" w:type="auto"/>
            <w:gridSpan w:val="3"/>
            <w:shd w:val="clear" w:color="auto" w:fill="auto"/>
            <w:vAlign w:val="bottom"/>
          </w:tcPr>
          <w:p w14:paraId="71D3ECF6" w14:textId="77777777" w:rsidR="006A3667" w:rsidRDefault="006A3667">
            <w:pPr>
              <w:rPr>
                <w:rFonts w:ascii="宋体"/>
                <w:vanish/>
              </w:rPr>
            </w:pPr>
          </w:p>
        </w:tc>
        <w:tc>
          <w:tcPr>
            <w:tcW w:w="0" w:type="auto"/>
            <w:gridSpan w:val="3"/>
            <w:shd w:val="clear" w:color="auto" w:fill="auto"/>
            <w:vAlign w:val="bottom"/>
          </w:tcPr>
          <w:p w14:paraId="71D3ECF7" w14:textId="77777777" w:rsidR="006A3667" w:rsidRDefault="006A3667">
            <w:pPr>
              <w:rPr>
                <w:rFonts w:ascii="宋体"/>
                <w:vanish/>
              </w:rPr>
            </w:pPr>
          </w:p>
        </w:tc>
        <w:tc>
          <w:tcPr>
            <w:tcW w:w="0" w:type="auto"/>
            <w:gridSpan w:val="3"/>
            <w:shd w:val="clear" w:color="auto" w:fill="auto"/>
            <w:vAlign w:val="bottom"/>
          </w:tcPr>
          <w:p w14:paraId="71D3ECF8" w14:textId="77777777" w:rsidR="006A3667" w:rsidRDefault="006A3667">
            <w:pPr>
              <w:rPr>
                <w:rFonts w:ascii="宋体"/>
                <w:vanish/>
              </w:rPr>
            </w:pPr>
          </w:p>
        </w:tc>
        <w:tc>
          <w:tcPr>
            <w:tcW w:w="0" w:type="auto"/>
            <w:gridSpan w:val="3"/>
            <w:shd w:val="clear" w:color="auto" w:fill="auto"/>
            <w:vAlign w:val="bottom"/>
          </w:tcPr>
          <w:p w14:paraId="71D3ECF9" w14:textId="77777777" w:rsidR="006A3667" w:rsidRDefault="006A3667">
            <w:pPr>
              <w:rPr>
                <w:rFonts w:ascii="宋体"/>
                <w:vanish/>
              </w:rPr>
            </w:pPr>
          </w:p>
        </w:tc>
        <w:tc>
          <w:tcPr>
            <w:tcW w:w="0" w:type="auto"/>
            <w:gridSpan w:val="3"/>
            <w:shd w:val="clear" w:color="auto" w:fill="auto"/>
            <w:vAlign w:val="bottom"/>
          </w:tcPr>
          <w:p w14:paraId="71D3ECFA" w14:textId="77777777" w:rsidR="006A3667" w:rsidRDefault="006A3667">
            <w:pPr>
              <w:rPr>
                <w:rFonts w:ascii="宋体"/>
                <w:vanish/>
              </w:rPr>
            </w:pPr>
          </w:p>
        </w:tc>
        <w:tc>
          <w:tcPr>
            <w:tcW w:w="0" w:type="auto"/>
            <w:gridSpan w:val="3"/>
            <w:shd w:val="clear" w:color="auto" w:fill="auto"/>
            <w:vAlign w:val="bottom"/>
          </w:tcPr>
          <w:p w14:paraId="71D3ECFB" w14:textId="77777777" w:rsidR="006A3667" w:rsidRDefault="006A3667">
            <w:pPr>
              <w:rPr>
                <w:rFonts w:ascii="宋体"/>
                <w:vanish/>
              </w:rPr>
            </w:pPr>
          </w:p>
        </w:tc>
        <w:tc>
          <w:tcPr>
            <w:tcW w:w="0" w:type="auto"/>
            <w:gridSpan w:val="3"/>
            <w:shd w:val="clear" w:color="auto" w:fill="auto"/>
            <w:vAlign w:val="bottom"/>
          </w:tcPr>
          <w:p w14:paraId="71D3ECFC" w14:textId="77777777" w:rsidR="006A3667" w:rsidRDefault="006A3667">
            <w:pPr>
              <w:rPr>
                <w:rFonts w:ascii="宋体"/>
                <w:vanish/>
              </w:rPr>
            </w:pPr>
          </w:p>
        </w:tc>
        <w:tc>
          <w:tcPr>
            <w:tcW w:w="0" w:type="auto"/>
            <w:gridSpan w:val="3"/>
            <w:shd w:val="clear" w:color="auto" w:fill="auto"/>
            <w:vAlign w:val="bottom"/>
          </w:tcPr>
          <w:p w14:paraId="71D3ECFD" w14:textId="77777777" w:rsidR="006A3667" w:rsidRDefault="006A3667">
            <w:pPr>
              <w:rPr>
                <w:rFonts w:ascii="宋体"/>
                <w:vanish/>
              </w:rPr>
            </w:pPr>
          </w:p>
        </w:tc>
        <w:tc>
          <w:tcPr>
            <w:tcW w:w="0" w:type="auto"/>
            <w:gridSpan w:val="3"/>
            <w:shd w:val="clear" w:color="auto" w:fill="auto"/>
            <w:vAlign w:val="bottom"/>
          </w:tcPr>
          <w:p w14:paraId="71D3ECFE" w14:textId="77777777" w:rsidR="006A3667" w:rsidRDefault="006A3667">
            <w:pPr>
              <w:rPr>
                <w:rFonts w:ascii="宋体"/>
                <w:vanish/>
              </w:rPr>
            </w:pPr>
          </w:p>
        </w:tc>
        <w:tc>
          <w:tcPr>
            <w:tcW w:w="0" w:type="auto"/>
            <w:gridSpan w:val="3"/>
            <w:shd w:val="clear" w:color="auto" w:fill="auto"/>
            <w:vAlign w:val="bottom"/>
          </w:tcPr>
          <w:p w14:paraId="71D3ECFF" w14:textId="77777777" w:rsidR="006A3667" w:rsidRDefault="006A3667">
            <w:pPr>
              <w:rPr>
                <w:rFonts w:ascii="宋体"/>
                <w:vanish/>
              </w:rPr>
            </w:pPr>
          </w:p>
        </w:tc>
        <w:tc>
          <w:tcPr>
            <w:tcW w:w="0" w:type="auto"/>
            <w:gridSpan w:val="3"/>
            <w:shd w:val="clear" w:color="auto" w:fill="auto"/>
            <w:vAlign w:val="bottom"/>
          </w:tcPr>
          <w:p w14:paraId="71D3ED00" w14:textId="77777777" w:rsidR="006A3667" w:rsidRDefault="006A3667">
            <w:pPr>
              <w:rPr>
                <w:rFonts w:ascii="宋体"/>
                <w:vanish/>
              </w:rPr>
            </w:pPr>
          </w:p>
        </w:tc>
        <w:tc>
          <w:tcPr>
            <w:tcW w:w="0" w:type="auto"/>
            <w:gridSpan w:val="3"/>
            <w:shd w:val="clear" w:color="auto" w:fill="auto"/>
            <w:vAlign w:val="bottom"/>
          </w:tcPr>
          <w:p w14:paraId="71D3ED01" w14:textId="77777777" w:rsidR="006A3667" w:rsidRDefault="006A3667">
            <w:pPr>
              <w:rPr>
                <w:rFonts w:ascii="宋体"/>
                <w:vanish/>
              </w:rPr>
            </w:pPr>
          </w:p>
        </w:tc>
        <w:tc>
          <w:tcPr>
            <w:tcW w:w="0" w:type="auto"/>
            <w:gridSpan w:val="3"/>
            <w:shd w:val="clear" w:color="auto" w:fill="auto"/>
            <w:vAlign w:val="bottom"/>
          </w:tcPr>
          <w:p w14:paraId="71D3ED02" w14:textId="77777777" w:rsidR="006A3667" w:rsidRDefault="006A3667">
            <w:pPr>
              <w:rPr>
                <w:rFonts w:ascii="宋体"/>
                <w:vanish/>
              </w:rPr>
            </w:pPr>
          </w:p>
        </w:tc>
        <w:tc>
          <w:tcPr>
            <w:tcW w:w="0" w:type="auto"/>
            <w:gridSpan w:val="3"/>
            <w:shd w:val="clear" w:color="auto" w:fill="auto"/>
            <w:vAlign w:val="bottom"/>
          </w:tcPr>
          <w:p w14:paraId="71D3ED03" w14:textId="77777777" w:rsidR="006A3667" w:rsidRDefault="006A3667">
            <w:pPr>
              <w:rPr>
                <w:rFonts w:ascii="宋体"/>
                <w:vanish/>
              </w:rPr>
            </w:pPr>
          </w:p>
        </w:tc>
        <w:tc>
          <w:tcPr>
            <w:tcW w:w="0" w:type="auto"/>
            <w:gridSpan w:val="3"/>
            <w:shd w:val="clear" w:color="auto" w:fill="auto"/>
            <w:vAlign w:val="bottom"/>
          </w:tcPr>
          <w:p w14:paraId="71D3ED04" w14:textId="77777777" w:rsidR="006A3667" w:rsidRDefault="006A3667">
            <w:pPr>
              <w:rPr>
                <w:rFonts w:ascii="宋体"/>
                <w:vanish/>
              </w:rPr>
            </w:pPr>
          </w:p>
        </w:tc>
        <w:tc>
          <w:tcPr>
            <w:tcW w:w="0" w:type="auto"/>
            <w:gridSpan w:val="3"/>
            <w:shd w:val="clear" w:color="auto" w:fill="auto"/>
            <w:vAlign w:val="bottom"/>
          </w:tcPr>
          <w:p w14:paraId="71D3ED05" w14:textId="77777777" w:rsidR="006A3667" w:rsidRDefault="006A3667">
            <w:pPr>
              <w:rPr>
                <w:rFonts w:ascii="宋体"/>
                <w:vanish/>
              </w:rPr>
            </w:pPr>
          </w:p>
        </w:tc>
        <w:tc>
          <w:tcPr>
            <w:tcW w:w="0" w:type="auto"/>
            <w:gridSpan w:val="3"/>
            <w:shd w:val="clear" w:color="auto" w:fill="auto"/>
            <w:vAlign w:val="bottom"/>
          </w:tcPr>
          <w:p w14:paraId="71D3ED06" w14:textId="77777777" w:rsidR="006A3667" w:rsidRDefault="006A3667">
            <w:pPr>
              <w:rPr>
                <w:rFonts w:ascii="宋体"/>
                <w:vanish/>
              </w:rPr>
            </w:pPr>
          </w:p>
        </w:tc>
        <w:tc>
          <w:tcPr>
            <w:tcW w:w="0" w:type="auto"/>
            <w:gridSpan w:val="2"/>
            <w:shd w:val="clear" w:color="auto" w:fill="auto"/>
            <w:vAlign w:val="bottom"/>
          </w:tcPr>
          <w:p w14:paraId="71D3ED07" w14:textId="77777777" w:rsidR="006A3667" w:rsidRDefault="006A3667">
            <w:pPr>
              <w:rPr>
                <w:rFonts w:ascii="宋体"/>
                <w:vanish/>
              </w:rPr>
            </w:pPr>
          </w:p>
        </w:tc>
        <w:tc>
          <w:tcPr>
            <w:tcW w:w="0" w:type="auto"/>
            <w:shd w:val="clear" w:color="auto" w:fill="auto"/>
            <w:vAlign w:val="bottom"/>
          </w:tcPr>
          <w:p w14:paraId="71D3ED08" w14:textId="77777777" w:rsidR="006A3667" w:rsidRDefault="006A3667">
            <w:pPr>
              <w:rPr>
                <w:rFonts w:ascii="宋体"/>
                <w:vanish/>
              </w:rPr>
            </w:pPr>
          </w:p>
        </w:tc>
      </w:tr>
      <w:tr w:rsidR="006A3667" w14:paraId="71D3ED20" w14:textId="77777777">
        <w:trPr>
          <w:hidden/>
        </w:trPr>
        <w:tc>
          <w:tcPr>
            <w:tcW w:w="0" w:type="auto"/>
            <w:gridSpan w:val="3"/>
            <w:shd w:val="clear" w:color="auto" w:fill="auto"/>
            <w:vAlign w:val="bottom"/>
          </w:tcPr>
          <w:p w14:paraId="71D3ED0A" w14:textId="77777777" w:rsidR="006A3667" w:rsidRDefault="006A3667">
            <w:pPr>
              <w:rPr>
                <w:rFonts w:ascii="宋体"/>
                <w:vanish/>
              </w:rPr>
            </w:pPr>
          </w:p>
        </w:tc>
        <w:tc>
          <w:tcPr>
            <w:tcW w:w="0" w:type="auto"/>
            <w:gridSpan w:val="3"/>
            <w:shd w:val="clear" w:color="auto" w:fill="auto"/>
            <w:vAlign w:val="bottom"/>
          </w:tcPr>
          <w:p w14:paraId="71D3ED0B" w14:textId="77777777" w:rsidR="006A3667" w:rsidRDefault="006A3667">
            <w:pPr>
              <w:rPr>
                <w:rFonts w:ascii="宋体"/>
                <w:vanish/>
              </w:rPr>
            </w:pPr>
          </w:p>
        </w:tc>
        <w:tc>
          <w:tcPr>
            <w:tcW w:w="0" w:type="auto"/>
            <w:gridSpan w:val="3"/>
            <w:shd w:val="clear" w:color="auto" w:fill="auto"/>
            <w:vAlign w:val="bottom"/>
          </w:tcPr>
          <w:p w14:paraId="71D3ED0C" w14:textId="77777777" w:rsidR="006A3667" w:rsidRDefault="006A3667">
            <w:pPr>
              <w:rPr>
                <w:rFonts w:ascii="宋体"/>
                <w:vanish/>
              </w:rPr>
            </w:pPr>
          </w:p>
        </w:tc>
        <w:tc>
          <w:tcPr>
            <w:tcW w:w="0" w:type="auto"/>
            <w:gridSpan w:val="3"/>
            <w:shd w:val="clear" w:color="auto" w:fill="auto"/>
            <w:vAlign w:val="bottom"/>
          </w:tcPr>
          <w:p w14:paraId="71D3ED0D" w14:textId="77777777" w:rsidR="006A3667" w:rsidRDefault="006A3667">
            <w:pPr>
              <w:rPr>
                <w:rFonts w:ascii="宋体"/>
                <w:vanish/>
              </w:rPr>
            </w:pPr>
          </w:p>
        </w:tc>
        <w:tc>
          <w:tcPr>
            <w:tcW w:w="0" w:type="auto"/>
            <w:gridSpan w:val="3"/>
            <w:shd w:val="clear" w:color="auto" w:fill="auto"/>
            <w:vAlign w:val="bottom"/>
          </w:tcPr>
          <w:p w14:paraId="71D3ED0E" w14:textId="77777777" w:rsidR="006A3667" w:rsidRDefault="006A3667">
            <w:pPr>
              <w:rPr>
                <w:rFonts w:ascii="宋体"/>
                <w:vanish/>
              </w:rPr>
            </w:pPr>
          </w:p>
        </w:tc>
        <w:tc>
          <w:tcPr>
            <w:tcW w:w="0" w:type="auto"/>
            <w:gridSpan w:val="3"/>
            <w:shd w:val="clear" w:color="auto" w:fill="auto"/>
            <w:vAlign w:val="bottom"/>
          </w:tcPr>
          <w:p w14:paraId="71D3ED0F" w14:textId="77777777" w:rsidR="006A3667" w:rsidRDefault="006A3667">
            <w:pPr>
              <w:rPr>
                <w:rFonts w:ascii="宋体"/>
                <w:vanish/>
              </w:rPr>
            </w:pPr>
          </w:p>
        </w:tc>
        <w:tc>
          <w:tcPr>
            <w:tcW w:w="0" w:type="auto"/>
            <w:gridSpan w:val="3"/>
            <w:shd w:val="clear" w:color="auto" w:fill="auto"/>
            <w:vAlign w:val="bottom"/>
          </w:tcPr>
          <w:p w14:paraId="71D3ED10" w14:textId="77777777" w:rsidR="006A3667" w:rsidRDefault="006A3667">
            <w:pPr>
              <w:rPr>
                <w:rFonts w:ascii="宋体"/>
                <w:vanish/>
              </w:rPr>
            </w:pPr>
          </w:p>
        </w:tc>
        <w:tc>
          <w:tcPr>
            <w:tcW w:w="0" w:type="auto"/>
            <w:gridSpan w:val="3"/>
            <w:shd w:val="clear" w:color="auto" w:fill="auto"/>
            <w:vAlign w:val="bottom"/>
          </w:tcPr>
          <w:p w14:paraId="71D3ED11" w14:textId="77777777" w:rsidR="006A3667" w:rsidRDefault="006A3667">
            <w:pPr>
              <w:rPr>
                <w:rFonts w:ascii="宋体"/>
                <w:vanish/>
              </w:rPr>
            </w:pPr>
          </w:p>
        </w:tc>
        <w:tc>
          <w:tcPr>
            <w:tcW w:w="0" w:type="auto"/>
            <w:gridSpan w:val="3"/>
            <w:shd w:val="clear" w:color="auto" w:fill="auto"/>
            <w:vAlign w:val="bottom"/>
          </w:tcPr>
          <w:p w14:paraId="71D3ED12" w14:textId="77777777" w:rsidR="006A3667" w:rsidRDefault="006A3667">
            <w:pPr>
              <w:rPr>
                <w:rFonts w:ascii="宋体"/>
                <w:vanish/>
              </w:rPr>
            </w:pPr>
          </w:p>
        </w:tc>
        <w:tc>
          <w:tcPr>
            <w:tcW w:w="0" w:type="auto"/>
            <w:gridSpan w:val="3"/>
            <w:shd w:val="clear" w:color="auto" w:fill="auto"/>
            <w:vAlign w:val="bottom"/>
          </w:tcPr>
          <w:p w14:paraId="71D3ED13" w14:textId="77777777" w:rsidR="006A3667" w:rsidRDefault="006A3667">
            <w:pPr>
              <w:rPr>
                <w:rFonts w:ascii="宋体"/>
                <w:vanish/>
              </w:rPr>
            </w:pPr>
          </w:p>
        </w:tc>
        <w:tc>
          <w:tcPr>
            <w:tcW w:w="0" w:type="auto"/>
            <w:gridSpan w:val="3"/>
            <w:shd w:val="clear" w:color="auto" w:fill="auto"/>
            <w:vAlign w:val="bottom"/>
          </w:tcPr>
          <w:p w14:paraId="71D3ED14" w14:textId="77777777" w:rsidR="006A3667" w:rsidRDefault="006A3667">
            <w:pPr>
              <w:rPr>
                <w:rFonts w:ascii="宋体"/>
                <w:vanish/>
              </w:rPr>
            </w:pPr>
          </w:p>
        </w:tc>
        <w:tc>
          <w:tcPr>
            <w:tcW w:w="0" w:type="auto"/>
            <w:gridSpan w:val="3"/>
            <w:shd w:val="clear" w:color="auto" w:fill="auto"/>
            <w:vAlign w:val="bottom"/>
          </w:tcPr>
          <w:p w14:paraId="71D3ED15" w14:textId="77777777" w:rsidR="006A3667" w:rsidRDefault="006A3667">
            <w:pPr>
              <w:rPr>
                <w:rFonts w:ascii="宋体"/>
                <w:vanish/>
              </w:rPr>
            </w:pPr>
          </w:p>
        </w:tc>
        <w:tc>
          <w:tcPr>
            <w:tcW w:w="0" w:type="auto"/>
            <w:gridSpan w:val="3"/>
            <w:shd w:val="clear" w:color="auto" w:fill="auto"/>
            <w:vAlign w:val="bottom"/>
          </w:tcPr>
          <w:p w14:paraId="71D3ED16" w14:textId="77777777" w:rsidR="006A3667" w:rsidRDefault="006A3667">
            <w:pPr>
              <w:rPr>
                <w:rFonts w:ascii="宋体"/>
                <w:vanish/>
              </w:rPr>
            </w:pPr>
          </w:p>
        </w:tc>
        <w:tc>
          <w:tcPr>
            <w:tcW w:w="0" w:type="auto"/>
            <w:gridSpan w:val="3"/>
            <w:shd w:val="clear" w:color="auto" w:fill="auto"/>
            <w:vAlign w:val="bottom"/>
          </w:tcPr>
          <w:p w14:paraId="71D3ED17" w14:textId="77777777" w:rsidR="006A3667" w:rsidRDefault="006A3667">
            <w:pPr>
              <w:rPr>
                <w:rFonts w:ascii="宋体"/>
                <w:vanish/>
              </w:rPr>
            </w:pPr>
          </w:p>
        </w:tc>
        <w:tc>
          <w:tcPr>
            <w:tcW w:w="0" w:type="auto"/>
            <w:gridSpan w:val="3"/>
            <w:shd w:val="clear" w:color="auto" w:fill="auto"/>
            <w:vAlign w:val="bottom"/>
          </w:tcPr>
          <w:p w14:paraId="71D3ED18" w14:textId="77777777" w:rsidR="006A3667" w:rsidRDefault="006A3667">
            <w:pPr>
              <w:rPr>
                <w:rFonts w:ascii="宋体"/>
                <w:vanish/>
              </w:rPr>
            </w:pPr>
          </w:p>
        </w:tc>
        <w:tc>
          <w:tcPr>
            <w:tcW w:w="0" w:type="auto"/>
            <w:gridSpan w:val="3"/>
            <w:shd w:val="clear" w:color="auto" w:fill="auto"/>
            <w:vAlign w:val="bottom"/>
          </w:tcPr>
          <w:p w14:paraId="71D3ED19" w14:textId="77777777" w:rsidR="006A3667" w:rsidRDefault="006A3667">
            <w:pPr>
              <w:rPr>
                <w:rFonts w:ascii="宋体"/>
                <w:vanish/>
              </w:rPr>
            </w:pPr>
          </w:p>
        </w:tc>
        <w:tc>
          <w:tcPr>
            <w:tcW w:w="0" w:type="auto"/>
            <w:gridSpan w:val="3"/>
            <w:shd w:val="clear" w:color="auto" w:fill="auto"/>
            <w:vAlign w:val="bottom"/>
          </w:tcPr>
          <w:p w14:paraId="71D3ED1A" w14:textId="77777777" w:rsidR="006A3667" w:rsidRDefault="006A3667">
            <w:pPr>
              <w:rPr>
                <w:rFonts w:ascii="宋体"/>
                <w:vanish/>
              </w:rPr>
            </w:pPr>
          </w:p>
        </w:tc>
        <w:tc>
          <w:tcPr>
            <w:tcW w:w="0" w:type="auto"/>
            <w:gridSpan w:val="3"/>
            <w:shd w:val="clear" w:color="auto" w:fill="auto"/>
            <w:vAlign w:val="bottom"/>
          </w:tcPr>
          <w:p w14:paraId="71D3ED1B" w14:textId="77777777" w:rsidR="006A3667" w:rsidRDefault="006A3667">
            <w:pPr>
              <w:rPr>
                <w:rFonts w:ascii="宋体"/>
                <w:vanish/>
              </w:rPr>
            </w:pPr>
          </w:p>
        </w:tc>
        <w:tc>
          <w:tcPr>
            <w:tcW w:w="0" w:type="auto"/>
            <w:gridSpan w:val="3"/>
            <w:shd w:val="clear" w:color="auto" w:fill="auto"/>
            <w:vAlign w:val="bottom"/>
          </w:tcPr>
          <w:p w14:paraId="71D3ED1C" w14:textId="77777777" w:rsidR="006A3667" w:rsidRDefault="006A3667">
            <w:pPr>
              <w:rPr>
                <w:rFonts w:ascii="宋体"/>
                <w:vanish/>
              </w:rPr>
            </w:pPr>
          </w:p>
        </w:tc>
        <w:tc>
          <w:tcPr>
            <w:tcW w:w="0" w:type="auto"/>
            <w:gridSpan w:val="3"/>
            <w:shd w:val="clear" w:color="auto" w:fill="auto"/>
            <w:vAlign w:val="bottom"/>
          </w:tcPr>
          <w:p w14:paraId="71D3ED1D" w14:textId="77777777" w:rsidR="006A3667" w:rsidRDefault="006A3667">
            <w:pPr>
              <w:rPr>
                <w:rFonts w:ascii="宋体"/>
                <w:vanish/>
              </w:rPr>
            </w:pPr>
          </w:p>
        </w:tc>
        <w:tc>
          <w:tcPr>
            <w:tcW w:w="0" w:type="auto"/>
            <w:gridSpan w:val="2"/>
            <w:shd w:val="clear" w:color="auto" w:fill="auto"/>
            <w:vAlign w:val="bottom"/>
          </w:tcPr>
          <w:p w14:paraId="71D3ED1E" w14:textId="77777777" w:rsidR="006A3667" w:rsidRDefault="006A3667">
            <w:pPr>
              <w:rPr>
                <w:rFonts w:ascii="宋体"/>
                <w:vanish/>
              </w:rPr>
            </w:pPr>
          </w:p>
        </w:tc>
        <w:tc>
          <w:tcPr>
            <w:tcW w:w="0" w:type="auto"/>
            <w:shd w:val="clear" w:color="auto" w:fill="auto"/>
            <w:vAlign w:val="bottom"/>
          </w:tcPr>
          <w:p w14:paraId="71D3ED1F" w14:textId="77777777" w:rsidR="006A3667" w:rsidRDefault="006A3667">
            <w:pPr>
              <w:rPr>
                <w:rFonts w:ascii="宋体"/>
                <w:vanish/>
              </w:rPr>
            </w:pPr>
          </w:p>
        </w:tc>
      </w:tr>
      <w:tr w:rsidR="006A3667" w14:paraId="71D3ED2D" w14:textId="77777777">
        <w:tc>
          <w:tcPr>
            <w:tcW w:w="0" w:type="auto"/>
            <w:gridSpan w:val="3"/>
            <w:shd w:val="clear" w:color="auto" w:fill="auto"/>
            <w:tcMar>
              <w:top w:w="0" w:type="dxa"/>
              <w:left w:w="20" w:type="dxa"/>
              <w:bottom w:w="0" w:type="dxa"/>
              <w:right w:w="20" w:type="dxa"/>
            </w:tcMar>
            <w:vAlign w:val="bottom"/>
          </w:tcPr>
          <w:p w14:paraId="71D3ED21"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3ED22" w14:textId="77777777" w:rsidR="006A3667" w:rsidRDefault="00045F32">
            <w:pPr>
              <w:jc w:val="center"/>
              <w:textAlignment w:val="bottom"/>
            </w:pPr>
            <w:r>
              <w:rPr>
                <w:rFonts w:ascii="Arial" w:eastAsia="宋体" w:hAnsi="Arial" w:cs="Arial"/>
                <w:b/>
                <w:bCs/>
                <w:color w:val="000000"/>
                <w:sz w:val="13"/>
                <w:szCs w:val="13"/>
              </w:rPr>
              <w:t>Three Months Ended September 30,</w:t>
            </w:r>
          </w:p>
        </w:tc>
        <w:tc>
          <w:tcPr>
            <w:tcW w:w="0" w:type="auto"/>
            <w:gridSpan w:val="3"/>
            <w:shd w:val="clear" w:color="auto" w:fill="auto"/>
            <w:vAlign w:val="bottom"/>
          </w:tcPr>
          <w:p w14:paraId="71D3ED23" w14:textId="77777777" w:rsidR="006A3667" w:rsidRDefault="006A3667">
            <w:pPr>
              <w:rPr>
                <w:rFonts w:ascii="宋体"/>
                <w:vanish/>
              </w:rPr>
            </w:pPr>
          </w:p>
        </w:tc>
        <w:tc>
          <w:tcPr>
            <w:tcW w:w="0" w:type="auto"/>
            <w:gridSpan w:val="3"/>
            <w:shd w:val="clear" w:color="auto" w:fill="auto"/>
            <w:vAlign w:val="bottom"/>
          </w:tcPr>
          <w:p w14:paraId="71D3ED24" w14:textId="77777777" w:rsidR="006A3667" w:rsidRDefault="006A3667">
            <w:pPr>
              <w:rPr>
                <w:rFonts w:ascii="宋体"/>
                <w:vanish/>
              </w:rPr>
            </w:pPr>
          </w:p>
        </w:tc>
        <w:tc>
          <w:tcPr>
            <w:tcW w:w="0" w:type="auto"/>
            <w:gridSpan w:val="3"/>
            <w:shd w:val="clear" w:color="auto" w:fill="auto"/>
            <w:vAlign w:val="bottom"/>
          </w:tcPr>
          <w:p w14:paraId="71D3ED25" w14:textId="77777777" w:rsidR="006A3667" w:rsidRDefault="006A3667">
            <w:pPr>
              <w:rPr>
                <w:rFonts w:ascii="宋体"/>
                <w:vanish/>
              </w:rPr>
            </w:pPr>
          </w:p>
        </w:tc>
        <w:tc>
          <w:tcPr>
            <w:tcW w:w="0" w:type="auto"/>
            <w:gridSpan w:val="3"/>
            <w:shd w:val="clear" w:color="auto" w:fill="auto"/>
            <w:vAlign w:val="bottom"/>
          </w:tcPr>
          <w:p w14:paraId="71D3ED26" w14:textId="77777777" w:rsidR="006A3667" w:rsidRDefault="006A3667">
            <w:pPr>
              <w:rPr>
                <w:rFonts w:ascii="宋体"/>
                <w:vanish/>
              </w:rPr>
            </w:pPr>
          </w:p>
        </w:tc>
        <w:tc>
          <w:tcPr>
            <w:tcW w:w="0" w:type="auto"/>
            <w:gridSpan w:val="3"/>
            <w:shd w:val="clear" w:color="auto" w:fill="auto"/>
            <w:vAlign w:val="bottom"/>
          </w:tcPr>
          <w:p w14:paraId="71D3ED27" w14:textId="77777777" w:rsidR="006A3667" w:rsidRDefault="006A3667">
            <w:pPr>
              <w:rPr>
                <w:rFonts w:ascii="宋体"/>
                <w:vanish/>
              </w:rPr>
            </w:pPr>
          </w:p>
        </w:tc>
        <w:tc>
          <w:tcPr>
            <w:tcW w:w="0" w:type="auto"/>
            <w:gridSpan w:val="3"/>
            <w:shd w:val="clear" w:color="auto" w:fill="auto"/>
            <w:vAlign w:val="bottom"/>
          </w:tcPr>
          <w:p w14:paraId="71D3ED28" w14:textId="77777777" w:rsidR="006A3667" w:rsidRDefault="006A3667">
            <w:pPr>
              <w:rPr>
                <w:rFonts w:ascii="宋体"/>
                <w:vanish/>
              </w:rPr>
            </w:pPr>
          </w:p>
        </w:tc>
        <w:tc>
          <w:tcPr>
            <w:tcW w:w="0" w:type="auto"/>
            <w:gridSpan w:val="3"/>
            <w:shd w:val="clear" w:color="auto" w:fill="auto"/>
            <w:vAlign w:val="bottom"/>
          </w:tcPr>
          <w:p w14:paraId="71D3ED29" w14:textId="77777777" w:rsidR="006A3667" w:rsidRDefault="006A3667">
            <w:pPr>
              <w:rPr>
                <w:rFonts w:ascii="宋体"/>
                <w:vanish/>
              </w:rPr>
            </w:pPr>
          </w:p>
        </w:tc>
        <w:tc>
          <w:tcPr>
            <w:tcW w:w="0" w:type="auto"/>
            <w:gridSpan w:val="3"/>
            <w:shd w:val="clear" w:color="auto" w:fill="auto"/>
            <w:vAlign w:val="bottom"/>
          </w:tcPr>
          <w:p w14:paraId="71D3ED2A" w14:textId="77777777" w:rsidR="006A3667" w:rsidRDefault="006A3667">
            <w:pPr>
              <w:rPr>
                <w:rFonts w:ascii="宋体"/>
                <w:vanish/>
              </w:rPr>
            </w:pPr>
          </w:p>
        </w:tc>
        <w:tc>
          <w:tcPr>
            <w:tcW w:w="0" w:type="auto"/>
            <w:gridSpan w:val="2"/>
            <w:shd w:val="clear" w:color="auto" w:fill="auto"/>
            <w:vAlign w:val="bottom"/>
          </w:tcPr>
          <w:p w14:paraId="71D3ED2B" w14:textId="77777777" w:rsidR="006A3667" w:rsidRDefault="006A3667">
            <w:pPr>
              <w:rPr>
                <w:rFonts w:ascii="宋体"/>
                <w:vanish/>
              </w:rPr>
            </w:pPr>
          </w:p>
        </w:tc>
        <w:tc>
          <w:tcPr>
            <w:tcW w:w="0" w:type="auto"/>
            <w:shd w:val="clear" w:color="auto" w:fill="auto"/>
            <w:vAlign w:val="bottom"/>
          </w:tcPr>
          <w:p w14:paraId="71D3ED2C" w14:textId="77777777" w:rsidR="006A3667" w:rsidRDefault="006A3667">
            <w:pPr>
              <w:rPr>
                <w:rFonts w:ascii="宋体"/>
                <w:vanish/>
              </w:rPr>
            </w:pPr>
          </w:p>
        </w:tc>
      </w:tr>
      <w:tr w:rsidR="006A3667" w14:paraId="71D3ED3C" w14:textId="77777777">
        <w:tc>
          <w:tcPr>
            <w:tcW w:w="0" w:type="auto"/>
            <w:gridSpan w:val="3"/>
            <w:shd w:val="clear" w:color="auto" w:fill="auto"/>
            <w:tcMar>
              <w:top w:w="0" w:type="dxa"/>
              <w:left w:w="20" w:type="dxa"/>
              <w:bottom w:w="0" w:type="dxa"/>
              <w:right w:w="20" w:type="dxa"/>
            </w:tcMar>
            <w:vAlign w:val="bottom"/>
          </w:tcPr>
          <w:p w14:paraId="71D3ED2E"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ED2F"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D30"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ED31"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71D3ED32" w14:textId="77777777" w:rsidR="006A3667" w:rsidRDefault="006A3667">
            <w:pPr>
              <w:rPr>
                <w:rFonts w:ascii="宋体"/>
                <w:vanish/>
              </w:rPr>
            </w:pPr>
          </w:p>
        </w:tc>
        <w:tc>
          <w:tcPr>
            <w:tcW w:w="0" w:type="auto"/>
            <w:gridSpan w:val="3"/>
            <w:shd w:val="clear" w:color="auto" w:fill="auto"/>
            <w:vAlign w:val="bottom"/>
          </w:tcPr>
          <w:p w14:paraId="71D3ED33" w14:textId="77777777" w:rsidR="006A3667" w:rsidRDefault="006A3667">
            <w:pPr>
              <w:rPr>
                <w:rFonts w:ascii="宋体"/>
                <w:vanish/>
              </w:rPr>
            </w:pPr>
          </w:p>
        </w:tc>
        <w:tc>
          <w:tcPr>
            <w:tcW w:w="0" w:type="auto"/>
            <w:gridSpan w:val="3"/>
            <w:shd w:val="clear" w:color="auto" w:fill="auto"/>
            <w:vAlign w:val="bottom"/>
          </w:tcPr>
          <w:p w14:paraId="71D3ED34" w14:textId="77777777" w:rsidR="006A3667" w:rsidRDefault="006A3667">
            <w:pPr>
              <w:rPr>
                <w:rFonts w:ascii="宋体"/>
                <w:vanish/>
              </w:rPr>
            </w:pPr>
          </w:p>
        </w:tc>
        <w:tc>
          <w:tcPr>
            <w:tcW w:w="0" w:type="auto"/>
            <w:gridSpan w:val="3"/>
            <w:shd w:val="clear" w:color="auto" w:fill="auto"/>
            <w:vAlign w:val="bottom"/>
          </w:tcPr>
          <w:p w14:paraId="71D3ED35" w14:textId="77777777" w:rsidR="006A3667" w:rsidRDefault="006A3667">
            <w:pPr>
              <w:rPr>
                <w:rFonts w:ascii="宋体"/>
                <w:vanish/>
              </w:rPr>
            </w:pPr>
          </w:p>
        </w:tc>
        <w:tc>
          <w:tcPr>
            <w:tcW w:w="0" w:type="auto"/>
            <w:gridSpan w:val="3"/>
            <w:shd w:val="clear" w:color="auto" w:fill="auto"/>
            <w:vAlign w:val="bottom"/>
          </w:tcPr>
          <w:p w14:paraId="71D3ED36" w14:textId="77777777" w:rsidR="006A3667" w:rsidRDefault="006A3667">
            <w:pPr>
              <w:rPr>
                <w:rFonts w:ascii="宋体"/>
                <w:vanish/>
              </w:rPr>
            </w:pPr>
          </w:p>
        </w:tc>
        <w:tc>
          <w:tcPr>
            <w:tcW w:w="0" w:type="auto"/>
            <w:gridSpan w:val="3"/>
            <w:shd w:val="clear" w:color="auto" w:fill="auto"/>
            <w:vAlign w:val="bottom"/>
          </w:tcPr>
          <w:p w14:paraId="71D3ED37" w14:textId="77777777" w:rsidR="006A3667" w:rsidRDefault="006A3667">
            <w:pPr>
              <w:rPr>
                <w:rFonts w:ascii="宋体"/>
                <w:vanish/>
              </w:rPr>
            </w:pPr>
          </w:p>
        </w:tc>
        <w:tc>
          <w:tcPr>
            <w:tcW w:w="0" w:type="auto"/>
            <w:gridSpan w:val="3"/>
            <w:shd w:val="clear" w:color="auto" w:fill="auto"/>
            <w:vAlign w:val="bottom"/>
          </w:tcPr>
          <w:p w14:paraId="71D3ED38" w14:textId="77777777" w:rsidR="006A3667" w:rsidRDefault="006A3667">
            <w:pPr>
              <w:rPr>
                <w:rFonts w:ascii="宋体"/>
                <w:vanish/>
              </w:rPr>
            </w:pPr>
          </w:p>
        </w:tc>
        <w:tc>
          <w:tcPr>
            <w:tcW w:w="0" w:type="auto"/>
            <w:gridSpan w:val="3"/>
            <w:shd w:val="clear" w:color="auto" w:fill="auto"/>
            <w:vAlign w:val="bottom"/>
          </w:tcPr>
          <w:p w14:paraId="71D3ED39" w14:textId="77777777" w:rsidR="006A3667" w:rsidRDefault="006A3667">
            <w:pPr>
              <w:rPr>
                <w:rFonts w:ascii="宋体"/>
                <w:vanish/>
              </w:rPr>
            </w:pPr>
          </w:p>
        </w:tc>
        <w:tc>
          <w:tcPr>
            <w:tcW w:w="0" w:type="auto"/>
            <w:gridSpan w:val="2"/>
            <w:shd w:val="clear" w:color="auto" w:fill="auto"/>
            <w:vAlign w:val="bottom"/>
          </w:tcPr>
          <w:p w14:paraId="71D3ED3A" w14:textId="77777777" w:rsidR="006A3667" w:rsidRDefault="006A3667">
            <w:pPr>
              <w:rPr>
                <w:rFonts w:ascii="宋体"/>
                <w:vanish/>
              </w:rPr>
            </w:pPr>
          </w:p>
        </w:tc>
        <w:tc>
          <w:tcPr>
            <w:tcW w:w="0" w:type="auto"/>
            <w:shd w:val="clear" w:color="auto" w:fill="auto"/>
            <w:vAlign w:val="bottom"/>
          </w:tcPr>
          <w:p w14:paraId="71D3ED3B" w14:textId="77777777" w:rsidR="006A3667" w:rsidRDefault="006A3667">
            <w:pPr>
              <w:rPr>
                <w:rFonts w:ascii="宋体"/>
                <w:vanish/>
              </w:rPr>
            </w:pPr>
          </w:p>
        </w:tc>
      </w:tr>
      <w:tr w:rsidR="006A3667" w14:paraId="71D3ED53" w14:textId="77777777">
        <w:tc>
          <w:tcPr>
            <w:tcW w:w="0" w:type="auto"/>
            <w:gridSpan w:val="3"/>
            <w:shd w:val="clear" w:color="auto" w:fill="auto"/>
            <w:tcMar>
              <w:top w:w="40" w:type="dxa"/>
              <w:left w:w="20" w:type="dxa"/>
              <w:bottom w:w="40" w:type="dxa"/>
              <w:right w:w="20" w:type="dxa"/>
            </w:tcMar>
            <w:vAlign w:val="bottom"/>
          </w:tcPr>
          <w:p w14:paraId="71D3ED3D" w14:textId="77777777" w:rsidR="006A3667" w:rsidRDefault="00045F32">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D3E" w14:textId="77777777" w:rsidR="006A3667" w:rsidRDefault="00045F32">
            <w:pPr>
              <w:jc w:val="center"/>
              <w:textAlignment w:val="bottom"/>
            </w:pPr>
            <w:r>
              <w:rPr>
                <w:rFonts w:ascii="Arial" w:eastAsia="宋体" w:hAnsi="Arial" w:cs="Arial"/>
                <w:b/>
                <w:bCs/>
                <w:color w:val="000000"/>
                <w:sz w:val="13"/>
                <w:szCs w:val="13"/>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D3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D40" w14:textId="77777777" w:rsidR="006A3667" w:rsidRDefault="00045F32">
            <w:pPr>
              <w:jc w:val="center"/>
              <w:textAlignment w:val="bottom"/>
            </w:pPr>
            <w:r>
              <w:rPr>
                <w:rFonts w:ascii="Arial" w:eastAsia="宋体" w:hAnsi="Arial" w:cs="Arial"/>
                <w:b/>
                <w:bCs/>
                <w:color w:val="000000"/>
                <w:sz w:val="13"/>
                <w:szCs w:val="13"/>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D4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D42" w14:textId="77777777" w:rsidR="006A3667" w:rsidRDefault="00045F32">
            <w:pPr>
              <w:jc w:val="center"/>
              <w:textAlignment w:val="bottom"/>
            </w:pPr>
            <w:r>
              <w:rPr>
                <w:rFonts w:ascii="Arial" w:eastAsia="宋体" w:hAnsi="Arial" w:cs="Arial"/>
                <w:b/>
                <w:bCs/>
                <w:color w:val="000000"/>
                <w:sz w:val="13"/>
                <w:szCs w:val="13"/>
              </w:rPr>
              <w:t>Total</w:t>
            </w:r>
            <w:r>
              <w:rPr>
                <w:rFonts w:ascii="Arial" w:eastAsia="宋体" w:hAnsi="Arial" w:cs="Arial"/>
                <w:b/>
                <w:bCs/>
                <w:color w:val="000000"/>
                <w:sz w:val="8"/>
                <w:szCs w:val="8"/>
              </w:rPr>
              <w:t>(1)</w:t>
            </w:r>
          </w:p>
        </w:tc>
        <w:tc>
          <w:tcPr>
            <w:tcW w:w="0" w:type="auto"/>
            <w:gridSpan w:val="3"/>
            <w:shd w:val="clear" w:color="auto" w:fill="auto"/>
            <w:tcMar>
              <w:top w:w="0" w:type="dxa"/>
              <w:left w:w="20" w:type="dxa"/>
              <w:bottom w:w="0" w:type="dxa"/>
              <w:right w:w="20" w:type="dxa"/>
            </w:tcMar>
            <w:vAlign w:val="bottom"/>
          </w:tcPr>
          <w:p w14:paraId="71D3ED4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D44" w14:textId="77777777" w:rsidR="006A3667" w:rsidRDefault="00045F32">
            <w:pPr>
              <w:jc w:val="center"/>
              <w:textAlignment w:val="bottom"/>
            </w:pPr>
            <w:r>
              <w:rPr>
                <w:rFonts w:ascii="Arial" w:eastAsia="宋体" w:hAnsi="Arial" w:cs="Arial"/>
                <w:b/>
                <w:bCs/>
                <w:color w:val="000000"/>
                <w:sz w:val="13"/>
                <w:szCs w:val="13"/>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D4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D46" w14:textId="77777777" w:rsidR="006A3667" w:rsidRDefault="00045F32">
            <w:pPr>
              <w:jc w:val="center"/>
              <w:textAlignment w:val="bottom"/>
            </w:pPr>
            <w:r>
              <w:rPr>
                <w:rFonts w:ascii="Arial" w:eastAsia="宋体" w:hAnsi="Arial" w:cs="Arial"/>
                <w:b/>
                <w:bCs/>
                <w:color w:val="000000"/>
                <w:sz w:val="13"/>
                <w:szCs w:val="13"/>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D4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D48" w14:textId="77777777" w:rsidR="006A3667" w:rsidRDefault="00045F32">
            <w:pPr>
              <w:jc w:val="center"/>
              <w:textAlignment w:val="bottom"/>
            </w:pPr>
            <w:r>
              <w:rPr>
                <w:rFonts w:ascii="Arial" w:eastAsia="宋体" w:hAnsi="Arial" w:cs="Arial"/>
                <w:b/>
                <w:bCs/>
                <w:color w:val="000000"/>
                <w:sz w:val="13"/>
                <w:szCs w:val="13"/>
              </w:rPr>
              <w:t>Total</w:t>
            </w:r>
          </w:p>
        </w:tc>
        <w:tc>
          <w:tcPr>
            <w:tcW w:w="0" w:type="auto"/>
            <w:gridSpan w:val="3"/>
            <w:shd w:val="clear" w:color="auto" w:fill="auto"/>
            <w:vAlign w:val="bottom"/>
          </w:tcPr>
          <w:p w14:paraId="71D3ED49" w14:textId="77777777" w:rsidR="006A3667" w:rsidRDefault="006A3667">
            <w:pPr>
              <w:rPr>
                <w:rFonts w:ascii="宋体"/>
                <w:vanish/>
              </w:rPr>
            </w:pPr>
          </w:p>
        </w:tc>
        <w:tc>
          <w:tcPr>
            <w:tcW w:w="0" w:type="auto"/>
            <w:gridSpan w:val="3"/>
            <w:shd w:val="clear" w:color="auto" w:fill="auto"/>
            <w:vAlign w:val="bottom"/>
          </w:tcPr>
          <w:p w14:paraId="71D3ED4A" w14:textId="77777777" w:rsidR="006A3667" w:rsidRDefault="006A3667">
            <w:pPr>
              <w:rPr>
                <w:rFonts w:ascii="宋体"/>
                <w:vanish/>
              </w:rPr>
            </w:pPr>
          </w:p>
        </w:tc>
        <w:tc>
          <w:tcPr>
            <w:tcW w:w="0" w:type="auto"/>
            <w:gridSpan w:val="3"/>
            <w:shd w:val="clear" w:color="auto" w:fill="auto"/>
            <w:vAlign w:val="bottom"/>
          </w:tcPr>
          <w:p w14:paraId="71D3ED4B" w14:textId="77777777" w:rsidR="006A3667" w:rsidRDefault="006A3667">
            <w:pPr>
              <w:rPr>
                <w:rFonts w:ascii="宋体"/>
                <w:vanish/>
              </w:rPr>
            </w:pPr>
          </w:p>
        </w:tc>
        <w:tc>
          <w:tcPr>
            <w:tcW w:w="0" w:type="auto"/>
            <w:gridSpan w:val="3"/>
            <w:shd w:val="clear" w:color="auto" w:fill="auto"/>
            <w:vAlign w:val="bottom"/>
          </w:tcPr>
          <w:p w14:paraId="71D3ED4C" w14:textId="77777777" w:rsidR="006A3667" w:rsidRDefault="006A3667">
            <w:pPr>
              <w:rPr>
                <w:rFonts w:ascii="宋体"/>
                <w:vanish/>
              </w:rPr>
            </w:pPr>
          </w:p>
        </w:tc>
        <w:tc>
          <w:tcPr>
            <w:tcW w:w="0" w:type="auto"/>
            <w:gridSpan w:val="3"/>
            <w:shd w:val="clear" w:color="auto" w:fill="auto"/>
            <w:vAlign w:val="bottom"/>
          </w:tcPr>
          <w:p w14:paraId="71D3ED4D" w14:textId="77777777" w:rsidR="006A3667" w:rsidRDefault="006A3667">
            <w:pPr>
              <w:rPr>
                <w:rFonts w:ascii="宋体"/>
                <w:vanish/>
              </w:rPr>
            </w:pPr>
          </w:p>
        </w:tc>
        <w:tc>
          <w:tcPr>
            <w:tcW w:w="0" w:type="auto"/>
            <w:gridSpan w:val="3"/>
            <w:shd w:val="clear" w:color="auto" w:fill="auto"/>
            <w:vAlign w:val="bottom"/>
          </w:tcPr>
          <w:p w14:paraId="71D3ED4E" w14:textId="77777777" w:rsidR="006A3667" w:rsidRDefault="006A3667">
            <w:pPr>
              <w:rPr>
                <w:rFonts w:ascii="宋体"/>
                <w:vanish/>
              </w:rPr>
            </w:pPr>
          </w:p>
        </w:tc>
        <w:tc>
          <w:tcPr>
            <w:tcW w:w="0" w:type="auto"/>
            <w:gridSpan w:val="3"/>
            <w:shd w:val="clear" w:color="auto" w:fill="auto"/>
            <w:vAlign w:val="bottom"/>
          </w:tcPr>
          <w:p w14:paraId="71D3ED4F" w14:textId="77777777" w:rsidR="006A3667" w:rsidRDefault="006A3667">
            <w:pPr>
              <w:rPr>
                <w:rFonts w:ascii="宋体"/>
                <w:vanish/>
              </w:rPr>
            </w:pPr>
          </w:p>
        </w:tc>
        <w:tc>
          <w:tcPr>
            <w:tcW w:w="0" w:type="auto"/>
            <w:gridSpan w:val="3"/>
            <w:shd w:val="clear" w:color="auto" w:fill="auto"/>
            <w:vAlign w:val="bottom"/>
          </w:tcPr>
          <w:p w14:paraId="71D3ED50" w14:textId="77777777" w:rsidR="006A3667" w:rsidRDefault="006A3667">
            <w:pPr>
              <w:rPr>
                <w:rFonts w:ascii="宋体"/>
                <w:vanish/>
              </w:rPr>
            </w:pPr>
          </w:p>
        </w:tc>
        <w:tc>
          <w:tcPr>
            <w:tcW w:w="0" w:type="auto"/>
            <w:gridSpan w:val="2"/>
            <w:shd w:val="clear" w:color="auto" w:fill="auto"/>
            <w:vAlign w:val="bottom"/>
          </w:tcPr>
          <w:p w14:paraId="71D3ED51" w14:textId="77777777" w:rsidR="006A3667" w:rsidRDefault="006A3667">
            <w:pPr>
              <w:rPr>
                <w:rFonts w:ascii="宋体"/>
                <w:vanish/>
              </w:rPr>
            </w:pPr>
          </w:p>
        </w:tc>
        <w:tc>
          <w:tcPr>
            <w:tcW w:w="0" w:type="auto"/>
            <w:shd w:val="clear" w:color="auto" w:fill="auto"/>
            <w:vAlign w:val="bottom"/>
          </w:tcPr>
          <w:p w14:paraId="71D3ED52" w14:textId="77777777" w:rsidR="006A3667" w:rsidRDefault="006A3667">
            <w:pPr>
              <w:rPr>
                <w:rFonts w:ascii="宋体"/>
                <w:vanish/>
              </w:rPr>
            </w:pPr>
          </w:p>
        </w:tc>
      </w:tr>
      <w:tr w:rsidR="006A3667" w14:paraId="71D3ED76" w14:textId="77777777">
        <w:tc>
          <w:tcPr>
            <w:tcW w:w="0" w:type="auto"/>
            <w:gridSpan w:val="3"/>
            <w:shd w:val="clear" w:color="auto" w:fill="CCEEFF"/>
            <w:tcMar>
              <w:top w:w="40" w:type="dxa"/>
              <w:left w:w="20" w:type="dxa"/>
              <w:bottom w:w="40" w:type="dxa"/>
              <w:right w:w="20" w:type="dxa"/>
            </w:tcMar>
            <w:vAlign w:val="bottom"/>
          </w:tcPr>
          <w:p w14:paraId="71D3ED54" w14:textId="77777777" w:rsidR="006A3667" w:rsidRDefault="00045F32">
            <w:pPr>
              <w:textAlignment w:val="bottom"/>
            </w:pPr>
            <w:r>
              <w:rPr>
                <w:rFonts w:ascii="Arial" w:eastAsia="宋体" w:hAnsi="Arial" w:cs="Arial"/>
                <w:color w:val="000000"/>
                <w:sz w:val="13"/>
                <w:szCs w:val="13"/>
              </w:rPr>
              <w:t>Unamortized purchase premiums, net of discounts at period end</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D55"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D56" w14:textId="77777777" w:rsidR="006A3667" w:rsidRDefault="00045F32">
            <w:pPr>
              <w:jc w:val="right"/>
              <w:textAlignment w:val="bottom"/>
            </w:pPr>
            <w:r>
              <w:rPr>
                <w:rFonts w:ascii="Arial" w:eastAsia="宋体" w:hAnsi="Arial" w:cs="Arial"/>
                <w:b/>
                <w:bCs/>
                <w:color w:val="000000"/>
                <w:sz w:val="13"/>
                <w:szCs w:val="13"/>
              </w:rPr>
              <w:t>554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D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D5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D59"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D5A" w14:textId="77777777" w:rsidR="006A3667" w:rsidRDefault="00045F32">
            <w:pPr>
              <w:jc w:val="right"/>
              <w:textAlignment w:val="bottom"/>
            </w:pPr>
            <w:r>
              <w:rPr>
                <w:rFonts w:ascii="Arial" w:eastAsia="宋体" w:hAnsi="Arial" w:cs="Arial"/>
                <w:b/>
                <w:bCs/>
                <w:color w:val="000000"/>
                <w:sz w:val="13"/>
                <w:szCs w:val="13"/>
              </w:rPr>
              <w:t>239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D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D5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D5D"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D5E" w14:textId="77777777" w:rsidR="006A3667" w:rsidRDefault="00045F32">
            <w:pPr>
              <w:jc w:val="right"/>
              <w:textAlignment w:val="bottom"/>
            </w:pPr>
            <w:r>
              <w:rPr>
                <w:rFonts w:ascii="Arial" w:eastAsia="宋体" w:hAnsi="Arial" w:cs="Arial"/>
                <w:b/>
                <w:bCs/>
                <w:color w:val="000000"/>
                <w:sz w:val="13"/>
                <w:szCs w:val="13"/>
              </w:rPr>
              <w:t>793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D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D6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D61"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D62" w14:textId="77777777" w:rsidR="006A3667" w:rsidRDefault="00045F32">
            <w:pPr>
              <w:jc w:val="right"/>
              <w:textAlignment w:val="bottom"/>
            </w:pPr>
            <w:r>
              <w:rPr>
                <w:rFonts w:ascii="Arial" w:eastAsia="宋体" w:hAnsi="Arial" w:cs="Arial"/>
                <w:color w:val="000000"/>
                <w:sz w:val="13"/>
                <w:szCs w:val="13"/>
              </w:rPr>
              <w:t>768 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D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D6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D65"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D66" w14:textId="77777777" w:rsidR="006A3667" w:rsidRDefault="00045F32">
            <w:pPr>
              <w:jc w:val="right"/>
              <w:textAlignment w:val="bottom"/>
            </w:pPr>
            <w:r>
              <w:rPr>
                <w:rFonts w:ascii="Arial" w:eastAsia="宋体" w:hAnsi="Arial" w:cs="Arial"/>
                <w:color w:val="000000"/>
                <w:sz w:val="13"/>
                <w:szCs w:val="13"/>
              </w:rPr>
              <w:t>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D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D6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D69"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D6A" w14:textId="77777777" w:rsidR="006A3667" w:rsidRDefault="00045F32">
            <w:pPr>
              <w:jc w:val="right"/>
              <w:textAlignment w:val="bottom"/>
            </w:pPr>
            <w:r>
              <w:rPr>
                <w:rFonts w:ascii="Arial" w:eastAsia="宋体" w:hAnsi="Arial" w:cs="Arial"/>
                <w:color w:val="000000"/>
                <w:sz w:val="13"/>
                <w:szCs w:val="13"/>
              </w:rPr>
              <w:t>1,265 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D6B" w14:textId="77777777" w:rsidR="006A3667" w:rsidRDefault="006A3667">
            <w:pPr>
              <w:jc w:val="right"/>
              <w:rPr>
                <w:rFonts w:ascii="宋体"/>
              </w:rPr>
            </w:pPr>
          </w:p>
        </w:tc>
        <w:tc>
          <w:tcPr>
            <w:tcW w:w="0" w:type="auto"/>
            <w:gridSpan w:val="3"/>
            <w:shd w:val="clear" w:color="auto" w:fill="auto"/>
            <w:vAlign w:val="bottom"/>
          </w:tcPr>
          <w:p w14:paraId="71D3ED6C" w14:textId="77777777" w:rsidR="006A3667" w:rsidRDefault="006A3667">
            <w:pPr>
              <w:rPr>
                <w:rFonts w:ascii="宋体"/>
                <w:vanish/>
              </w:rPr>
            </w:pPr>
          </w:p>
        </w:tc>
        <w:tc>
          <w:tcPr>
            <w:tcW w:w="0" w:type="auto"/>
            <w:gridSpan w:val="3"/>
            <w:shd w:val="clear" w:color="auto" w:fill="auto"/>
            <w:vAlign w:val="bottom"/>
          </w:tcPr>
          <w:p w14:paraId="71D3ED6D" w14:textId="77777777" w:rsidR="006A3667" w:rsidRDefault="006A3667">
            <w:pPr>
              <w:rPr>
                <w:rFonts w:ascii="宋体"/>
                <w:vanish/>
              </w:rPr>
            </w:pPr>
          </w:p>
        </w:tc>
        <w:tc>
          <w:tcPr>
            <w:tcW w:w="0" w:type="auto"/>
            <w:gridSpan w:val="3"/>
            <w:shd w:val="clear" w:color="auto" w:fill="auto"/>
            <w:vAlign w:val="bottom"/>
          </w:tcPr>
          <w:p w14:paraId="71D3ED6E" w14:textId="77777777" w:rsidR="006A3667" w:rsidRDefault="006A3667">
            <w:pPr>
              <w:rPr>
                <w:rFonts w:ascii="宋体"/>
                <w:vanish/>
              </w:rPr>
            </w:pPr>
          </w:p>
        </w:tc>
        <w:tc>
          <w:tcPr>
            <w:tcW w:w="0" w:type="auto"/>
            <w:gridSpan w:val="3"/>
            <w:shd w:val="clear" w:color="auto" w:fill="auto"/>
            <w:vAlign w:val="bottom"/>
          </w:tcPr>
          <w:p w14:paraId="71D3ED6F" w14:textId="77777777" w:rsidR="006A3667" w:rsidRDefault="006A3667">
            <w:pPr>
              <w:rPr>
                <w:rFonts w:ascii="宋体"/>
                <w:vanish/>
              </w:rPr>
            </w:pPr>
          </w:p>
        </w:tc>
        <w:tc>
          <w:tcPr>
            <w:tcW w:w="0" w:type="auto"/>
            <w:gridSpan w:val="3"/>
            <w:shd w:val="clear" w:color="auto" w:fill="auto"/>
            <w:vAlign w:val="bottom"/>
          </w:tcPr>
          <w:p w14:paraId="71D3ED70" w14:textId="77777777" w:rsidR="006A3667" w:rsidRDefault="006A3667">
            <w:pPr>
              <w:rPr>
                <w:rFonts w:ascii="宋体"/>
                <w:vanish/>
              </w:rPr>
            </w:pPr>
          </w:p>
        </w:tc>
        <w:tc>
          <w:tcPr>
            <w:tcW w:w="0" w:type="auto"/>
            <w:gridSpan w:val="3"/>
            <w:shd w:val="clear" w:color="auto" w:fill="auto"/>
            <w:vAlign w:val="bottom"/>
          </w:tcPr>
          <w:p w14:paraId="71D3ED71" w14:textId="77777777" w:rsidR="006A3667" w:rsidRDefault="006A3667">
            <w:pPr>
              <w:rPr>
                <w:rFonts w:ascii="宋体"/>
                <w:vanish/>
              </w:rPr>
            </w:pPr>
          </w:p>
        </w:tc>
        <w:tc>
          <w:tcPr>
            <w:tcW w:w="0" w:type="auto"/>
            <w:gridSpan w:val="3"/>
            <w:shd w:val="clear" w:color="auto" w:fill="auto"/>
            <w:vAlign w:val="bottom"/>
          </w:tcPr>
          <w:p w14:paraId="71D3ED72" w14:textId="77777777" w:rsidR="006A3667" w:rsidRDefault="006A3667">
            <w:pPr>
              <w:rPr>
                <w:rFonts w:ascii="宋体"/>
                <w:vanish/>
              </w:rPr>
            </w:pPr>
          </w:p>
        </w:tc>
        <w:tc>
          <w:tcPr>
            <w:tcW w:w="0" w:type="auto"/>
            <w:gridSpan w:val="3"/>
            <w:shd w:val="clear" w:color="auto" w:fill="auto"/>
            <w:vAlign w:val="bottom"/>
          </w:tcPr>
          <w:p w14:paraId="71D3ED73" w14:textId="77777777" w:rsidR="006A3667" w:rsidRDefault="006A3667">
            <w:pPr>
              <w:rPr>
                <w:rFonts w:ascii="宋体"/>
                <w:vanish/>
              </w:rPr>
            </w:pPr>
          </w:p>
        </w:tc>
        <w:tc>
          <w:tcPr>
            <w:tcW w:w="0" w:type="auto"/>
            <w:gridSpan w:val="2"/>
            <w:shd w:val="clear" w:color="auto" w:fill="auto"/>
            <w:vAlign w:val="bottom"/>
          </w:tcPr>
          <w:p w14:paraId="71D3ED74" w14:textId="77777777" w:rsidR="006A3667" w:rsidRDefault="006A3667">
            <w:pPr>
              <w:rPr>
                <w:rFonts w:ascii="宋体"/>
                <w:vanish/>
              </w:rPr>
            </w:pPr>
          </w:p>
        </w:tc>
        <w:tc>
          <w:tcPr>
            <w:tcW w:w="0" w:type="auto"/>
            <w:shd w:val="clear" w:color="auto" w:fill="auto"/>
            <w:vAlign w:val="bottom"/>
          </w:tcPr>
          <w:p w14:paraId="71D3ED75" w14:textId="77777777" w:rsidR="006A3667" w:rsidRDefault="006A3667">
            <w:pPr>
              <w:rPr>
                <w:rFonts w:ascii="宋体"/>
                <w:vanish/>
              </w:rPr>
            </w:pPr>
          </w:p>
        </w:tc>
      </w:tr>
      <w:tr w:rsidR="006A3667" w14:paraId="71D3ED93" w14:textId="77777777">
        <w:tc>
          <w:tcPr>
            <w:tcW w:w="0" w:type="auto"/>
            <w:gridSpan w:val="3"/>
            <w:shd w:val="clear" w:color="auto" w:fill="FFFFFF"/>
            <w:tcMar>
              <w:top w:w="40" w:type="dxa"/>
              <w:left w:w="20" w:type="dxa"/>
              <w:bottom w:w="40" w:type="dxa"/>
              <w:right w:w="20" w:type="dxa"/>
            </w:tcMar>
            <w:vAlign w:val="bottom"/>
          </w:tcPr>
          <w:p w14:paraId="71D3ED77" w14:textId="77777777" w:rsidR="006A3667" w:rsidRDefault="00045F32">
            <w:pPr>
              <w:textAlignment w:val="bottom"/>
            </w:pPr>
            <w:r>
              <w:rPr>
                <w:rFonts w:ascii="Arial" w:eastAsia="宋体" w:hAnsi="Arial" w:cs="Arial"/>
                <w:color w:val="000000"/>
                <w:sz w:val="13"/>
                <w:szCs w:val="13"/>
              </w:rPr>
              <w:t>Net premium amortization</w:t>
            </w:r>
          </w:p>
        </w:tc>
        <w:tc>
          <w:tcPr>
            <w:tcW w:w="0" w:type="auto"/>
            <w:gridSpan w:val="2"/>
            <w:shd w:val="clear" w:color="auto" w:fill="FFFFFF"/>
            <w:tcMar>
              <w:top w:w="40" w:type="dxa"/>
              <w:left w:w="20" w:type="dxa"/>
              <w:bottom w:w="40" w:type="dxa"/>
              <w:right w:w="0" w:type="dxa"/>
            </w:tcMar>
            <w:vAlign w:val="bottom"/>
          </w:tcPr>
          <w:p w14:paraId="71D3ED78" w14:textId="77777777" w:rsidR="006A3667" w:rsidRDefault="00045F32">
            <w:pPr>
              <w:jc w:val="right"/>
              <w:textAlignment w:val="bottom"/>
            </w:pPr>
            <w:r>
              <w:rPr>
                <w:rFonts w:ascii="Arial" w:eastAsia="宋体" w:hAnsi="Arial" w:cs="Arial"/>
                <w:b/>
                <w:bCs/>
                <w:color w:val="000000"/>
                <w:sz w:val="13"/>
                <w:szCs w:val="13"/>
              </w:rPr>
              <w:t>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D7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D7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D7B" w14:textId="77777777" w:rsidR="006A3667" w:rsidRDefault="00045F32">
            <w:pPr>
              <w:jc w:val="right"/>
              <w:textAlignment w:val="bottom"/>
            </w:pPr>
            <w:r>
              <w:rPr>
                <w:rFonts w:ascii="Arial" w:eastAsia="宋体" w:hAnsi="Arial" w:cs="Arial"/>
                <w:b/>
                <w:bCs/>
                <w:color w:val="000000"/>
                <w:sz w:val="13"/>
                <w:szCs w:val="13"/>
              </w:rPr>
              <w:t>16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D7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D7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D7E" w14:textId="77777777" w:rsidR="006A3667" w:rsidRDefault="00045F32">
            <w:pPr>
              <w:jc w:val="right"/>
              <w:textAlignment w:val="bottom"/>
            </w:pPr>
            <w:r>
              <w:rPr>
                <w:rFonts w:ascii="Arial" w:eastAsia="宋体" w:hAnsi="Arial" w:cs="Arial"/>
                <w:b/>
                <w:bCs/>
                <w:color w:val="000000"/>
                <w:sz w:val="13"/>
                <w:szCs w:val="13"/>
              </w:rPr>
              <w:t>46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3ED7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D8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D81" w14:textId="77777777" w:rsidR="006A3667" w:rsidRDefault="00045F32">
            <w:pPr>
              <w:jc w:val="right"/>
              <w:textAlignment w:val="bottom"/>
            </w:pPr>
            <w:r>
              <w:rPr>
                <w:rFonts w:ascii="Arial" w:eastAsia="宋体" w:hAnsi="Arial" w:cs="Arial"/>
                <w:color w:val="000000"/>
                <w:sz w:val="13"/>
                <w:szCs w:val="13"/>
              </w:rPr>
              <w:t>78 </w:t>
            </w:r>
          </w:p>
        </w:tc>
        <w:tc>
          <w:tcPr>
            <w:tcW w:w="0" w:type="auto"/>
            <w:shd w:val="clear" w:color="auto" w:fill="FFFFFF"/>
            <w:tcMar>
              <w:top w:w="40" w:type="dxa"/>
              <w:left w:w="0" w:type="dxa"/>
              <w:bottom w:w="40" w:type="dxa"/>
              <w:right w:w="20" w:type="dxa"/>
            </w:tcMar>
            <w:vAlign w:val="bottom"/>
          </w:tcPr>
          <w:p w14:paraId="71D3ED8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D8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D84" w14:textId="77777777" w:rsidR="006A3667" w:rsidRDefault="00045F32">
            <w:pPr>
              <w:jc w:val="right"/>
              <w:textAlignment w:val="bottom"/>
            </w:pPr>
            <w:r>
              <w:rPr>
                <w:rFonts w:ascii="Arial" w:eastAsia="宋体" w:hAnsi="Arial" w:cs="Arial"/>
                <w:color w:val="000000"/>
                <w:sz w:val="13"/>
                <w:szCs w:val="13"/>
              </w:rPr>
              <w:t>50 </w:t>
            </w:r>
          </w:p>
        </w:tc>
        <w:tc>
          <w:tcPr>
            <w:tcW w:w="0" w:type="auto"/>
            <w:shd w:val="clear" w:color="auto" w:fill="FFFFFF"/>
            <w:tcMar>
              <w:top w:w="40" w:type="dxa"/>
              <w:left w:w="0" w:type="dxa"/>
              <w:bottom w:w="40" w:type="dxa"/>
              <w:right w:w="20" w:type="dxa"/>
            </w:tcMar>
            <w:vAlign w:val="bottom"/>
          </w:tcPr>
          <w:p w14:paraId="71D3ED8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D8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D87" w14:textId="77777777" w:rsidR="006A3667" w:rsidRDefault="00045F32">
            <w:pPr>
              <w:jc w:val="right"/>
              <w:textAlignment w:val="bottom"/>
            </w:pPr>
            <w:r>
              <w:rPr>
                <w:rFonts w:ascii="Arial" w:eastAsia="宋体" w:hAnsi="Arial" w:cs="Arial"/>
                <w:color w:val="000000"/>
                <w:sz w:val="13"/>
                <w:szCs w:val="13"/>
              </w:rPr>
              <w:t>128 </w:t>
            </w:r>
          </w:p>
        </w:tc>
        <w:tc>
          <w:tcPr>
            <w:tcW w:w="0" w:type="auto"/>
            <w:shd w:val="clear" w:color="auto" w:fill="FFFFFF"/>
            <w:tcMar>
              <w:top w:w="40" w:type="dxa"/>
              <w:left w:w="0" w:type="dxa"/>
              <w:bottom w:w="40" w:type="dxa"/>
              <w:right w:w="20" w:type="dxa"/>
            </w:tcMar>
            <w:vAlign w:val="bottom"/>
          </w:tcPr>
          <w:p w14:paraId="71D3ED88" w14:textId="77777777" w:rsidR="006A3667" w:rsidRDefault="006A3667">
            <w:pPr>
              <w:jc w:val="right"/>
              <w:rPr>
                <w:rFonts w:ascii="宋体"/>
              </w:rPr>
            </w:pPr>
          </w:p>
        </w:tc>
        <w:tc>
          <w:tcPr>
            <w:tcW w:w="0" w:type="auto"/>
            <w:gridSpan w:val="3"/>
            <w:shd w:val="clear" w:color="auto" w:fill="auto"/>
            <w:vAlign w:val="bottom"/>
          </w:tcPr>
          <w:p w14:paraId="71D3ED89" w14:textId="77777777" w:rsidR="006A3667" w:rsidRDefault="006A3667">
            <w:pPr>
              <w:rPr>
                <w:rFonts w:ascii="宋体"/>
                <w:vanish/>
              </w:rPr>
            </w:pPr>
          </w:p>
        </w:tc>
        <w:tc>
          <w:tcPr>
            <w:tcW w:w="0" w:type="auto"/>
            <w:gridSpan w:val="3"/>
            <w:shd w:val="clear" w:color="auto" w:fill="auto"/>
            <w:vAlign w:val="bottom"/>
          </w:tcPr>
          <w:p w14:paraId="71D3ED8A" w14:textId="77777777" w:rsidR="006A3667" w:rsidRDefault="006A3667">
            <w:pPr>
              <w:rPr>
                <w:rFonts w:ascii="宋体"/>
                <w:vanish/>
              </w:rPr>
            </w:pPr>
          </w:p>
        </w:tc>
        <w:tc>
          <w:tcPr>
            <w:tcW w:w="0" w:type="auto"/>
            <w:gridSpan w:val="3"/>
            <w:shd w:val="clear" w:color="auto" w:fill="auto"/>
            <w:vAlign w:val="bottom"/>
          </w:tcPr>
          <w:p w14:paraId="71D3ED8B" w14:textId="77777777" w:rsidR="006A3667" w:rsidRDefault="006A3667">
            <w:pPr>
              <w:rPr>
                <w:rFonts w:ascii="宋体"/>
                <w:vanish/>
              </w:rPr>
            </w:pPr>
          </w:p>
        </w:tc>
        <w:tc>
          <w:tcPr>
            <w:tcW w:w="0" w:type="auto"/>
            <w:gridSpan w:val="3"/>
            <w:shd w:val="clear" w:color="auto" w:fill="auto"/>
            <w:vAlign w:val="bottom"/>
          </w:tcPr>
          <w:p w14:paraId="71D3ED8C" w14:textId="77777777" w:rsidR="006A3667" w:rsidRDefault="006A3667">
            <w:pPr>
              <w:rPr>
                <w:rFonts w:ascii="宋体"/>
                <w:vanish/>
              </w:rPr>
            </w:pPr>
          </w:p>
        </w:tc>
        <w:tc>
          <w:tcPr>
            <w:tcW w:w="0" w:type="auto"/>
            <w:gridSpan w:val="3"/>
            <w:shd w:val="clear" w:color="auto" w:fill="auto"/>
            <w:vAlign w:val="bottom"/>
          </w:tcPr>
          <w:p w14:paraId="71D3ED8D" w14:textId="77777777" w:rsidR="006A3667" w:rsidRDefault="006A3667">
            <w:pPr>
              <w:rPr>
                <w:rFonts w:ascii="宋体"/>
                <w:vanish/>
              </w:rPr>
            </w:pPr>
          </w:p>
        </w:tc>
        <w:tc>
          <w:tcPr>
            <w:tcW w:w="0" w:type="auto"/>
            <w:gridSpan w:val="3"/>
            <w:shd w:val="clear" w:color="auto" w:fill="auto"/>
            <w:vAlign w:val="bottom"/>
          </w:tcPr>
          <w:p w14:paraId="71D3ED8E" w14:textId="77777777" w:rsidR="006A3667" w:rsidRDefault="006A3667">
            <w:pPr>
              <w:rPr>
                <w:rFonts w:ascii="宋体"/>
                <w:vanish/>
              </w:rPr>
            </w:pPr>
          </w:p>
        </w:tc>
        <w:tc>
          <w:tcPr>
            <w:tcW w:w="0" w:type="auto"/>
            <w:gridSpan w:val="3"/>
            <w:shd w:val="clear" w:color="auto" w:fill="auto"/>
            <w:vAlign w:val="bottom"/>
          </w:tcPr>
          <w:p w14:paraId="71D3ED8F" w14:textId="77777777" w:rsidR="006A3667" w:rsidRDefault="006A3667">
            <w:pPr>
              <w:rPr>
                <w:rFonts w:ascii="宋体"/>
                <w:vanish/>
              </w:rPr>
            </w:pPr>
          </w:p>
        </w:tc>
        <w:tc>
          <w:tcPr>
            <w:tcW w:w="0" w:type="auto"/>
            <w:gridSpan w:val="3"/>
            <w:shd w:val="clear" w:color="auto" w:fill="auto"/>
            <w:vAlign w:val="bottom"/>
          </w:tcPr>
          <w:p w14:paraId="71D3ED90" w14:textId="77777777" w:rsidR="006A3667" w:rsidRDefault="006A3667">
            <w:pPr>
              <w:rPr>
                <w:rFonts w:ascii="宋体"/>
                <w:vanish/>
              </w:rPr>
            </w:pPr>
          </w:p>
        </w:tc>
        <w:tc>
          <w:tcPr>
            <w:tcW w:w="0" w:type="auto"/>
            <w:gridSpan w:val="2"/>
            <w:shd w:val="clear" w:color="auto" w:fill="auto"/>
            <w:vAlign w:val="bottom"/>
          </w:tcPr>
          <w:p w14:paraId="71D3ED91" w14:textId="77777777" w:rsidR="006A3667" w:rsidRDefault="006A3667">
            <w:pPr>
              <w:rPr>
                <w:rFonts w:ascii="宋体"/>
                <w:vanish/>
              </w:rPr>
            </w:pPr>
          </w:p>
        </w:tc>
        <w:tc>
          <w:tcPr>
            <w:tcW w:w="0" w:type="auto"/>
            <w:shd w:val="clear" w:color="auto" w:fill="auto"/>
            <w:vAlign w:val="bottom"/>
          </w:tcPr>
          <w:p w14:paraId="71D3ED92" w14:textId="77777777" w:rsidR="006A3667" w:rsidRDefault="006A3667">
            <w:pPr>
              <w:rPr>
                <w:rFonts w:ascii="宋体"/>
                <w:vanish/>
              </w:rPr>
            </w:pPr>
          </w:p>
        </w:tc>
      </w:tr>
      <w:tr w:rsidR="006A3667" w14:paraId="71D3EDAA" w14:textId="77777777">
        <w:trPr>
          <w:hidden/>
        </w:trPr>
        <w:tc>
          <w:tcPr>
            <w:tcW w:w="0" w:type="auto"/>
            <w:gridSpan w:val="3"/>
            <w:shd w:val="clear" w:color="auto" w:fill="auto"/>
            <w:vAlign w:val="bottom"/>
          </w:tcPr>
          <w:p w14:paraId="71D3ED94" w14:textId="77777777" w:rsidR="006A3667" w:rsidRDefault="006A3667">
            <w:pPr>
              <w:rPr>
                <w:rFonts w:ascii="宋体"/>
                <w:vanish/>
              </w:rPr>
            </w:pPr>
          </w:p>
        </w:tc>
        <w:tc>
          <w:tcPr>
            <w:tcW w:w="0" w:type="auto"/>
            <w:gridSpan w:val="3"/>
            <w:shd w:val="clear" w:color="auto" w:fill="auto"/>
            <w:vAlign w:val="bottom"/>
          </w:tcPr>
          <w:p w14:paraId="71D3ED95" w14:textId="77777777" w:rsidR="006A3667" w:rsidRDefault="006A3667">
            <w:pPr>
              <w:rPr>
                <w:rFonts w:ascii="宋体"/>
                <w:vanish/>
              </w:rPr>
            </w:pPr>
          </w:p>
        </w:tc>
        <w:tc>
          <w:tcPr>
            <w:tcW w:w="0" w:type="auto"/>
            <w:gridSpan w:val="3"/>
            <w:shd w:val="clear" w:color="auto" w:fill="auto"/>
            <w:vAlign w:val="bottom"/>
          </w:tcPr>
          <w:p w14:paraId="71D3ED96" w14:textId="77777777" w:rsidR="006A3667" w:rsidRDefault="006A3667">
            <w:pPr>
              <w:rPr>
                <w:rFonts w:ascii="宋体"/>
                <w:vanish/>
              </w:rPr>
            </w:pPr>
          </w:p>
        </w:tc>
        <w:tc>
          <w:tcPr>
            <w:tcW w:w="0" w:type="auto"/>
            <w:gridSpan w:val="3"/>
            <w:shd w:val="clear" w:color="auto" w:fill="auto"/>
            <w:vAlign w:val="bottom"/>
          </w:tcPr>
          <w:p w14:paraId="71D3ED97" w14:textId="77777777" w:rsidR="006A3667" w:rsidRDefault="006A3667">
            <w:pPr>
              <w:rPr>
                <w:rFonts w:ascii="宋体"/>
                <w:vanish/>
              </w:rPr>
            </w:pPr>
          </w:p>
        </w:tc>
        <w:tc>
          <w:tcPr>
            <w:tcW w:w="0" w:type="auto"/>
            <w:gridSpan w:val="3"/>
            <w:shd w:val="clear" w:color="auto" w:fill="auto"/>
            <w:vAlign w:val="bottom"/>
          </w:tcPr>
          <w:p w14:paraId="71D3ED98" w14:textId="77777777" w:rsidR="006A3667" w:rsidRDefault="006A3667">
            <w:pPr>
              <w:rPr>
                <w:rFonts w:ascii="宋体"/>
                <w:vanish/>
              </w:rPr>
            </w:pPr>
          </w:p>
        </w:tc>
        <w:tc>
          <w:tcPr>
            <w:tcW w:w="0" w:type="auto"/>
            <w:gridSpan w:val="3"/>
            <w:shd w:val="clear" w:color="auto" w:fill="auto"/>
            <w:vAlign w:val="bottom"/>
          </w:tcPr>
          <w:p w14:paraId="71D3ED99" w14:textId="77777777" w:rsidR="006A3667" w:rsidRDefault="006A3667">
            <w:pPr>
              <w:rPr>
                <w:rFonts w:ascii="宋体"/>
                <w:vanish/>
              </w:rPr>
            </w:pPr>
          </w:p>
        </w:tc>
        <w:tc>
          <w:tcPr>
            <w:tcW w:w="0" w:type="auto"/>
            <w:gridSpan w:val="3"/>
            <w:shd w:val="clear" w:color="auto" w:fill="auto"/>
            <w:vAlign w:val="bottom"/>
          </w:tcPr>
          <w:p w14:paraId="71D3ED9A" w14:textId="77777777" w:rsidR="006A3667" w:rsidRDefault="006A3667">
            <w:pPr>
              <w:rPr>
                <w:rFonts w:ascii="宋体"/>
                <w:vanish/>
              </w:rPr>
            </w:pPr>
          </w:p>
        </w:tc>
        <w:tc>
          <w:tcPr>
            <w:tcW w:w="0" w:type="auto"/>
            <w:gridSpan w:val="3"/>
            <w:shd w:val="clear" w:color="auto" w:fill="auto"/>
            <w:vAlign w:val="bottom"/>
          </w:tcPr>
          <w:p w14:paraId="71D3ED9B" w14:textId="77777777" w:rsidR="006A3667" w:rsidRDefault="006A3667">
            <w:pPr>
              <w:rPr>
                <w:rFonts w:ascii="宋体"/>
                <w:vanish/>
              </w:rPr>
            </w:pPr>
          </w:p>
        </w:tc>
        <w:tc>
          <w:tcPr>
            <w:tcW w:w="0" w:type="auto"/>
            <w:gridSpan w:val="3"/>
            <w:shd w:val="clear" w:color="auto" w:fill="auto"/>
            <w:vAlign w:val="bottom"/>
          </w:tcPr>
          <w:p w14:paraId="71D3ED9C" w14:textId="77777777" w:rsidR="006A3667" w:rsidRDefault="006A3667">
            <w:pPr>
              <w:rPr>
                <w:rFonts w:ascii="宋体"/>
                <w:vanish/>
              </w:rPr>
            </w:pPr>
          </w:p>
        </w:tc>
        <w:tc>
          <w:tcPr>
            <w:tcW w:w="0" w:type="auto"/>
            <w:gridSpan w:val="3"/>
            <w:shd w:val="clear" w:color="auto" w:fill="auto"/>
            <w:vAlign w:val="bottom"/>
          </w:tcPr>
          <w:p w14:paraId="71D3ED9D" w14:textId="77777777" w:rsidR="006A3667" w:rsidRDefault="006A3667">
            <w:pPr>
              <w:rPr>
                <w:rFonts w:ascii="宋体"/>
                <w:vanish/>
              </w:rPr>
            </w:pPr>
          </w:p>
        </w:tc>
        <w:tc>
          <w:tcPr>
            <w:tcW w:w="0" w:type="auto"/>
            <w:gridSpan w:val="3"/>
            <w:shd w:val="clear" w:color="auto" w:fill="auto"/>
            <w:vAlign w:val="bottom"/>
          </w:tcPr>
          <w:p w14:paraId="71D3ED9E" w14:textId="77777777" w:rsidR="006A3667" w:rsidRDefault="006A3667">
            <w:pPr>
              <w:rPr>
                <w:rFonts w:ascii="宋体"/>
                <w:vanish/>
              </w:rPr>
            </w:pPr>
          </w:p>
        </w:tc>
        <w:tc>
          <w:tcPr>
            <w:tcW w:w="0" w:type="auto"/>
            <w:gridSpan w:val="3"/>
            <w:shd w:val="clear" w:color="auto" w:fill="auto"/>
            <w:vAlign w:val="bottom"/>
          </w:tcPr>
          <w:p w14:paraId="71D3ED9F" w14:textId="77777777" w:rsidR="006A3667" w:rsidRDefault="006A3667">
            <w:pPr>
              <w:rPr>
                <w:rFonts w:ascii="宋体"/>
                <w:vanish/>
              </w:rPr>
            </w:pPr>
          </w:p>
        </w:tc>
        <w:tc>
          <w:tcPr>
            <w:tcW w:w="0" w:type="auto"/>
            <w:gridSpan w:val="3"/>
            <w:shd w:val="clear" w:color="auto" w:fill="auto"/>
            <w:vAlign w:val="bottom"/>
          </w:tcPr>
          <w:p w14:paraId="71D3EDA0" w14:textId="77777777" w:rsidR="006A3667" w:rsidRDefault="006A3667">
            <w:pPr>
              <w:rPr>
                <w:rFonts w:ascii="宋体"/>
                <w:vanish/>
              </w:rPr>
            </w:pPr>
          </w:p>
        </w:tc>
        <w:tc>
          <w:tcPr>
            <w:tcW w:w="0" w:type="auto"/>
            <w:gridSpan w:val="3"/>
            <w:shd w:val="clear" w:color="auto" w:fill="auto"/>
            <w:vAlign w:val="bottom"/>
          </w:tcPr>
          <w:p w14:paraId="71D3EDA1" w14:textId="77777777" w:rsidR="006A3667" w:rsidRDefault="006A3667">
            <w:pPr>
              <w:rPr>
                <w:rFonts w:ascii="宋体"/>
                <w:vanish/>
              </w:rPr>
            </w:pPr>
          </w:p>
        </w:tc>
        <w:tc>
          <w:tcPr>
            <w:tcW w:w="0" w:type="auto"/>
            <w:gridSpan w:val="3"/>
            <w:shd w:val="clear" w:color="auto" w:fill="auto"/>
            <w:vAlign w:val="bottom"/>
          </w:tcPr>
          <w:p w14:paraId="71D3EDA2" w14:textId="77777777" w:rsidR="006A3667" w:rsidRDefault="006A3667">
            <w:pPr>
              <w:rPr>
                <w:rFonts w:ascii="宋体"/>
                <w:vanish/>
              </w:rPr>
            </w:pPr>
          </w:p>
        </w:tc>
        <w:tc>
          <w:tcPr>
            <w:tcW w:w="0" w:type="auto"/>
            <w:gridSpan w:val="3"/>
            <w:shd w:val="clear" w:color="auto" w:fill="auto"/>
            <w:vAlign w:val="bottom"/>
          </w:tcPr>
          <w:p w14:paraId="71D3EDA3" w14:textId="77777777" w:rsidR="006A3667" w:rsidRDefault="006A3667">
            <w:pPr>
              <w:rPr>
                <w:rFonts w:ascii="宋体"/>
                <w:vanish/>
              </w:rPr>
            </w:pPr>
          </w:p>
        </w:tc>
        <w:tc>
          <w:tcPr>
            <w:tcW w:w="0" w:type="auto"/>
            <w:gridSpan w:val="3"/>
            <w:shd w:val="clear" w:color="auto" w:fill="auto"/>
            <w:vAlign w:val="bottom"/>
          </w:tcPr>
          <w:p w14:paraId="71D3EDA4" w14:textId="77777777" w:rsidR="006A3667" w:rsidRDefault="006A3667">
            <w:pPr>
              <w:rPr>
                <w:rFonts w:ascii="宋体"/>
                <w:vanish/>
              </w:rPr>
            </w:pPr>
          </w:p>
        </w:tc>
        <w:tc>
          <w:tcPr>
            <w:tcW w:w="0" w:type="auto"/>
            <w:gridSpan w:val="3"/>
            <w:shd w:val="clear" w:color="auto" w:fill="auto"/>
            <w:vAlign w:val="bottom"/>
          </w:tcPr>
          <w:p w14:paraId="71D3EDA5" w14:textId="77777777" w:rsidR="006A3667" w:rsidRDefault="006A3667">
            <w:pPr>
              <w:rPr>
                <w:rFonts w:ascii="宋体"/>
                <w:vanish/>
              </w:rPr>
            </w:pPr>
          </w:p>
        </w:tc>
        <w:tc>
          <w:tcPr>
            <w:tcW w:w="0" w:type="auto"/>
            <w:gridSpan w:val="3"/>
            <w:shd w:val="clear" w:color="auto" w:fill="auto"/>
            <w:vAlign w:val="bottom"/>
          </w:tcPr>
          <w:p w14:paraId="71D3EDA6" w14:textId="77777777" w:rsidR="006A3667" w:rsidRDefault="006A3667">
            <w:pPr>
              <w:rPr>
                <w:rFonts w:ascii="宋体"/>
                <w:vanish/>
              </w:rPr>
            </w:pPr>
          </w:p>
        </w:tc>
        <w:tc>
          <w:tcPr>
            <w:tcW w:w="0" w:type="auto"/>
            <w:gridSpan w:val="3"/>
            <w:shd w:val="clear" w:color="auto" w:fill="auto"/>
            <w:vAlign w:val="bottom"/>
          </w:tcPr>
          <w:p w14:paraId="71D3EDA7" w14:textId="77777777" w:rsidR="006A3667" w:rsidRDefault="006A3667">
            <w:pPr>
              <w:rPr>
                <w:rFonts w:ascii="宋体"/>
                <w:vanish/>
              </w:rPr>
            </w:pPr>
          </w:p>
        </w:tc>
        <w:tc>
          <w:tcPr>
            <w:tcW w:w="0" w:type="auto"/>
            <w:gridSpan w:val="2"/>
            <w:shd w:val="clear" w:color="auto" w:fill="auto"/>
            <w:vAlign w:val="bottom"/>
          </w:tcPr>
          <w:p w14:paraId="71D3EDA8" w14:textId="77777777" w:rsidR="006A3667" w:rsidRDefault="006A3667">
            <w:pPr>
              <w:rPr>
                <w:rFonts w:ascii="宋体"/>
                <w:vanish/>
              </w:rPr>
            </w:pPr>
          </w:p>
        </w:tc>
        <w:tc>
          <w:tcPr>
            <w:tcW w:w="0" w:type="auto"/>
            <w:shd w:val="clear" w:color="auto" w:fill="auto"/>
            <w:vAlign w:val="bottom"/>
          </w:tcPr>
          <w:p w14:paraId="71D3EDA9" w14:textId="77777777" w:rsidR="006A3667" w:rsidRDefault="006A3667">
            <w:pPr>
              <w:rPr>
                <w:rFonts w:ascii="宋体"/>
                <w:vanish/>
              </w:rPr>
            </w:pPr>
          </w:p>
        </w:tc>
      </w:tr>
    </w:tbl>
    <w:p w14:paraId="71D3EDAB"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52"/>
        <w:gridCol w:w="36"/>
        <w:gridCol w:w="70"/>
        <w:gridCol w:w="4273"/>
        <w:gridCol w:w="36"/>
      </w:tblGrid>
      <w:tr w:rsidR="006A3667" w14:paraId="71D3EDB2" w14:textId="77777777">
        <w:tc>
          <w:tcPr>
            <w:tcW w:w="50" w:type="pct"/>
            <w:shd w:val="clear" w:color="auto" w:fill="auto"/>
            <w:vAlign w:val="bottom"/>
          </w:tcPr>
          <w:p w14:paraId="71D3EDAC" w14:textId="77777777" w:rsidR="006A3667" w:rsidRDefault="006A3667">
            <w:pPr>
              <w:rPr>
                <w:rFonts w:ascii="宋体"/>
              </w:rPr>
            </w:pPr>
          </w:p>
        </w:tc>
        <w:tc>
          <w:tcPr>
            <w:tcW w:w="2319" w:type="pct"/>
            <w:shd w:val="clear" w:color="auto" w:fill="auto"/>
            <w:vAlign w:val="bottom"/>
          </w:tcPr>
          <w:p w14:paraId="71D3EDAD" w14:textId="77777777" w:rsidR="006A3667" w:rsidRDefault="006A3667">
            <w:pPr>
              <w:rPr>
                <w:rFonts w:ascii="宋体"/>
              </w:rPr>
            </w:pPr>
          </w:p>
        </w:tc>
        <w:tc>
          <w:tcPr>
            <w:tcW w:w="5" w:type="pct"/>
            <w:shd w:val="clear" w:color="auto" w:fill="auto"/>
            <w:vAlign w:val="bottom"/>
          </w:tcPr>
          <w:p w14:paraId="71D3EDAE" w14:textId="77777777" w:rsidR="006A3667" w:rsidRDefault="006A3667">
            <w:pPr>
              <w:rPr>
                <w:rFonts w:ascii="宋体"/>
              </w:rPr>
            </w:pPr>
          </w:p>
        </w:tc>
        <w:tc>
          <w:tcPr>
            <w:tcW w:w="50" w:type="pct"/>
            <w:shd w:val="clear" w:color="auto" w:fill="auto"/>
            <w:vAlign w:val="bottom"/>
          </w:tcPr>
          <w:p w14:paraId="71D3EDAF" w14:textId="77777777" w:rsidR="006A3667" w:rsidRDefault="006A3667">
            <w:pPr>
              <w:rPr>
                <w:rFonts w:ascii="宋体"/>
              </w:rPr>
            </w:pPr>
          </w:p>
        </w:tc>
        <w:tc>
          <w:tcPr>
            <w:tcW w:w="2570" w:type="pct"/>
            <w:shd w:val="clear" w:color="auto" w:fill="auto"/>
            <w:vAlign w:val="bottom"/>
          </w:tcPr>
          <w:p w14:paraId="71D3EDB0" w14:textId="77777777" w:rsidR="006A3667" w:rsidRDefault="006A3667">
            <w:pPr>
              <w:rPr>
                <w:rFonts w:ascii="宋体"/>
              </w:rPr>
            </w:pPr>
          </w:p>
        </w:tc>
        <w:tc>
          <w:tcPr>
            <w:tcW w:w="5" w:type="pct"/>
            <w:shd w:val="clear" w:color="auto" w:fill="auto"/>
            <w:vAlign w:val="bottom"/>
          </w:tcPr>
          <w:p w14:paraId="71D3EDB1" w14:textId="77777777" w:rsidR="006A3667" w:rsidRDefault="006A3667">
            <w:pPr>
              <w:rPr>
                <w:rFonts w:ascii="宋体"/>
              </w:rPr>
            </w:pPr>
          </w:p>
        </w:tc>
      </w:tr>
      <w:tr w:rsidR="006A3667" w14:paraId="71D3EDB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EDB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EDB4" w14:textId="77777777" w:rsidR="006A3667" w:rsidRDefault="006A3667">
            <w:pPr>
              <w:rPr>
                <w:rFonts w:ascii="宋体"/>
              </w:rPr>
            </w:pPr>
          </w:p>
        </w:tc>
      </w:tr>
    </w:tbl>
    <w:p w14:paraId="71D3EDB6" w14:textId="77777777" w:rsidR="006A3667" w:rsidRDefault="00045F32">
      <w:pPr>
        <w:spacing w:before="60"/>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The investment securities portfolio duration is 2.7 years as of September 30, 2022.</w:t>
      </w:r>
    </w:p>
    <w:p w14:paraId="71D3EDB7" w14:textId="77777777" w:rsidR="006A3667" w:rsidRDefault="006A3667">
      <w:pPr>
        <w:spacing w:before="90"/>
        <w:jc w:val="both"/>
        <w:textAlignment w:val="top"/>
      </w:pPr>
    </w:p>
    <w:p w14:paraId="71D3EDB8" w14:textId="77777777" w:rsidR="006A3667" w:rsidRDefault="00045F32">
      <w:pPr>
        <w:ind w:firstLine="450"/>
        <w:jc w:val="right"/>
      </w:pPr>
      <w:r>
        <w:rPr>
          <w:rFonts w:ascii="Arial" w:eastAsia="宋体" w:hAnsi="Arial" w:cs="Arial"/>
          <w:color w:val="000000"/>
          <w:sz w:val="18"/>
          <w:szCs w:val="18"/>
        </w:rPr>
        <w:t>State Street Corporation | 20</w:t>
      </w:r>
    </w:p>
    <w:p w14:paraId="71D3EDB9" w14:textId="77777777" w:rsidR="006A3667" w:rsidRDefault="006A3667">
      <w:pPr>
        <w:ind w:firstLine="450"/>
        <w:jc w:val="center"/>
      </w:pPr>
    </w:p>
    <w:p w14:paraId="71D3EDBA" w14:textId="77777777" w:rsidR="006A3667" w:rsidRDefault="00045F32">
      <w:r>
        <w:pict w14:anchorId="71D4AC28">
          <v:rect id="_x0000_i1044" style="width:415.3pt;height:1.5pt" o:hralign="center" o:hrstd="t" o:hr="t" fillcolor="#a0a0a0" stroked="f"/>
        </w:pict>
      </w:r>
    </w:p>
    <w:p w14:paraId="71D3EDBB"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EDBC" w14:textId="77777777" w:rsidR="006A3667" w:rsidRDefault="00045F32">
      <w:pPr>
        <w:ind w:firstLine="450"/>
        <w:jc w:val="center"/>
      </w:pPr>
      <w:r>
        <w:rPr>
          <w:rFonts w:ascii="Arial" w:eastAsia="宋体" w:hAnsi="Arial" w:cs="Arial"/>
          <w:b/>
          <w:bCs/>
          <w:color w:val="000000"/>
          <w:sz w:val="20"/>
          <w:szCs w:val="20"/>
        </w:rPr>
        <w:t>AND RESULTS OF OPERATIONS</w:t>
      </w:r>
    </w:p>
    <w:p w14:paraId="71D3EDBD" w14:textId="77777777" w:rsidR="006A3667" w:rsidRDefault="00045F32">
      <w:pPr>
        <w:spacing w:before="60"/>
        <w:ind w:firstLine="450"/>
        <w:jc w:val="both"/>
      </w:pPr>
      <w:r>
        <w:rPr>
          <w:rFonts w:ascii="Arial" w:eastAsia="宋体" w:hAnsi="Arial" w:cs="Arial"/>
          <w:color w:val="000000"/>
          <w:sz w:val="20"/>
          <w:szCs w:val="20"/>
        </w:rPr>
        <w:t xml:space="preserve">See Table 14: Average Balances and Interest </w:t>
      </w:r>
      <w:r>
        <w:rPr>
          <w:rFonts w:ascii="Arial" w:eastAsia="宋体" w:hAnsi="Arial" w:cs="Arial"/>
          <w:color w:val="000000"/>
          <w:sz w:val="20"/>
          <w:szCs w:val="20"/>
        </w:rPr>
        <w:t>Rates - Fully Taxable-Equivalent Basis, for the breakout of NII on a FTE basis for the three and nine months ended September 30, 2022, compared to the same periods in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2767"/>
        <w:gridCol w:w="36"/>
        <w:gridCol w:w="87"/>
        <w:gridCol w:w="468"/>
        <w:gridCol w:w="36"/>
        <w:gridCol w:w="36"/>
        <w:gridCol w:w="36"/>
        <w:gridCol w:w="36"/>
        <w:gridCol w:w="131"/>
        <w:gridCol w:w="924"/>
        <w:gridCol w:w="37"/>
        <w:gridCol w:w="36"/>
        <w:gridCol w:w="36"/>
        <w:gridCol w:w="36"/>
        <w:gridCol w:w="58"/>
        <w:gridCol w:w="296"/>
        <w:gridCol w:w="128"/>
        <w:gridCol w:w="36"/>
        <w:gridCol w:w="36"/>
        <w:gridCol w:w="36"/>
        <w:gridCol w:w="87"/>
        <w:gridCol w:w="468"/>
        <w:gridCol w:w="36"/>
        <w:gridCol w:w="36"/>
        <w:gridCol w:w="36"/>
        <w:gridCol w:w="36"/>
        <w:gridCol w:w="131"/>
        <w:gridCol w:w="924"/>
        <w:gridCol w:w="37"/>
        <w:gridCol w:w="36"/>
        <w:gridCol w:w="36"/>
        <w:gridCol w:w="36"/>
        <w:gridCol w:w="48"/>
        <w:gridCol w:w="248"/>
        <w:gridCol w:w="128"/>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3EDEC" w14:textId="77777777">
        <w:tc>
          <w:tcPr>
            <w:tcW w:w="50" w:type="pct"/>
            <w:shd w:val="clear" w:color="auto" w:fill="auto"/>
            <w:vAlign w:val="bottom"/>
          </w:tcPr>
          <w:p w14:paraId="71D3EDBE" w14:textId="77777777" w:rsidR="006A3667" w:rsidRDefault="006A3667">
            <w:pPr>
              <w:rPr>
                <w:rFonts w:ascii="宋体"/>
              </w:rPr>
            </w:pPr>
          </w:p>
        </w:tc>
        <w:tc>
          <w:tcPr>
            <w:tcW w:w="2503" w:type="pct"/>
            <w:shd w:val="clear" w:color="auto" w:fill="auto"/>
            <w:vAlign w:val="bottom"/>
          </w:tcPr>
          <w:p w14:paraId="71D3EDBF" w14:textId="77777777" w:rsidR="006A3667" w:rsidRDefault="006A3667">
            <w:pPr>
              <w:rPr>
                <w:rFonts w:ascii="宋体"/>
              </w:rPr>
            </w:pPr>
          </w:p>
        </w:tc>
        <w:tc>
          <w:tcPr>
            <w:tcW w:w="5" w:type="pct"/>
            <w:shd w:val="clear" w:color="auto" w:fill="auto"/>
            <w:vAlign w:val="bottom"/>
          </w:tcPr>
          <w:p w14:paraId="71D3EDC0" w14:textId="77777777" w:rsidR="006A3667" w:rsidRDefault="006A3667">
            <w:pPr>
              <w:rPr>
                <w:rFonts w:ascii="宋体"/>
              </w:rPr>
            </w:pPr>
          </w:p>
        </w:tc>
        <w:tc>
          <w:tcPr>
            <w:tcW w:w="50" w:type="pct"/>
            <w:shd w:val="clear" w:color="auto" w:fill="auto"/>
            <w:vAlign w:val="bottom"/>
          </w:tcPr>
          <w:p w14:paraId="71D3EDC1" w14:textId="77777777" w:rsidR="006A3667" w:rsidRDefault="006A3667">
            <w:pPr>
              <w:rPr>
                <w:rFonts w:ascii="宋体"/>
              </w:rPr>
            </w:pPr>
          </w:p>
        </w:tc>
        <w:tc>
          <w:tcPr>
            <w:tcW w:w="347" w:type="pct"/>
            <w:shd w:val="clear" w:color="auto" w:fill="auto"/>
            <w:vAlign w:val="bottom"/>
          </w:tcPr>
          <w:p w14:paraId="71D3EDC2" w14:textId="77777777" w:rsidR="006A3667" w:rsidRDefault="006A3667">
            <w:pPr>
              <w:rPr>
                <w:rFonts w:ascii="宋体"/>
              </w:rPr>
            </w:pPr>
          </w:p>
        </w:tc>
        <w:tc>
          <w:tcPr>
            <w:tcW w:w="5" w:type="pct"/>
            <w:shd w:val="clear" w:color="auto" w:fill="auto"/>
            <w:vAlign w:val="bottom"/>
          </w:tcPr>
          <w:p w14:paraId="71D3EDC3" w14:textId="77777777" w:rsidR="006A3667" w:rsidRDefault="006A3667">
            <w:pPr>
              <w:rPr>
                <w:rFonts w:ascii="宋体"/>
              </w:rPr>
            </w:pPr>
          </w:p>
        </w:tc>
        <w:tc>
          <w:tcPr>
            <w:tcW w:w="5" w:type="pct"/>
            <w:shd w:val="clear" w:color="auto" w:fill="auto"/>
            <w:vAlign w:val="bottom"/>
          </w:tcPr>
          <w:p w14:paraId="71D3EDC4" w14:textId="77777777" w:rsidR="006A3667" w:rsidRDefault="006A3667">
            <w:pPr>
              <w:rPr>
                <w:rFonts w:ascii="宋体"/>
              </w:rPr>
            </w:pPr>
          </w:p>
        </w:tc>
        <w:tc>
          <w:tcPr>
            <w:tcW w:w="26" w:type="pct"/>
            <w:shd w:val="clear" w:color="auto" w:fill="auto"/>
            <w:vAlign w:val="bottom"/>
          </w:tcPr>
          <w:p w14:paraId="71D3EDC5" w14:textId="77777777" w:rsidR="006A3667" w:rsidRDefault="006A3667">
            <w:pPr>
              <w:rPr>
                <w:rFonts w:ascii="宋体"/>
              </w:rPr>
            </w:pPr>
          </w:p>
        </w:tc>
        <w:tc>
          <w:tcPr>
            <w:tcW w:w="5" w:type="pct"/>
            <w:shd w:val="clear" w:color="auto" w:fill="auto"/>
            <w:vAlign w:val="bottom"/>
          </w:tcPr>
          <w:p w14:paraId="71D3EDC6" w14:textId="77777777" w:rsidR="006A3667" w:rsidRDefault="006A3667">
            <w:pPr>
              <w:rPr>
                <w:rFonts w:ascii="宋体"/>
              </w:rPr>
            </w:pPr>
          </w:p>
        </w:tc>
        <w:tc>
          <w:tcPr>
            <w:tcW w:w="50" w:type="pct"/>
            <w:shd w:val="clear" w:color="auto" w:fill="auto"/>
            <w:vAlign w:val="bottom"/>
          </w:tcPr>
          <w:p w14:paraId="71D3EDC7" w14:textId="77777777" w:rsidR="006A3667" w:rsidRDefault="006A3667">
            <w:pPr>
              <w:rPr>
                <w:rFonts w:ascii="宋体"/>
              </w:rPr>
            </w:pPr>
          </w:p>
        </w:tc>
        <w:tc>
          <w:tcPr>
            <w:tcW w:w="354" w:type="pct"/>
            <w:shd w:val="clear" w:color="auto" w:fill="auto"/>
            <w:vAlign w:val="bottom"/>
          </w:tcPr>
          <w:p w14:paraId="71D3EDC8" w14:textId="77777777" w:rsidR="006A3667" w:rsidRDefault="006A3667">
            <w:pPr>
              <w:rPr>
                <w:rFonts w:ascii="宋体"/>
              </w:rPr>
            </w:pPr>
          </w:p>
        </w:tc>
        <w:tc>
          <w:tcPr>
            <w:tcW w:w="5" w:type="pct"/>
            <w:shd w:val="clear" w:color="auto" w:fill="auto"/>
            <w:vAlign w:val="bottom"/>
          </w:tcPr>
          <w:p w14:paraId="71D3EDC9" w14:textId="77777777" w:rsidR="006A3667" w:rsidRDefault="006A3667">
            <w:pPr>
              <w:rPr>
                <w:rFonts w:ascii="宋体"/>
              </w:rPr>
            </w:pPr>
          </w:p>
        </w:tc>
        <w:tc>
          <w:tcPr>
            <w:tcW w:w="5" w:type="pct"/>
            <w:shd w:val="clear" w:color="auto" w:fill="auto"/>
            <w:vAlign w:val="bottom"/>
          </w:tcPr>
          <w:p w14:paraId="71D3EDCA" w14:textId="77777777" w:rsidR="006A3667" w:rsidRDefault="006A3667">
            <w:pPr>
              <w:rPr>
                <w:rFonts w:ascii="宋体"/>
              </w:rPr>
            </w:pPr>
          </w:p>
        </w:tc>
        <w:tc>
          <w:tcPr>
            <w:tcW w:w="26" w:type="pct"/>
            <w:shd w:val="clear" w:color="auto" w:fill="auto"/>
            <w:vAlign w:val="bottom"/>
          </w:tcPr>
          <w:p w14:paraId="71D3EDCB" w14:textId="77777777" w:rsidR="006A3667" w:rsidRDefault="006A3667">
            <w:pPr>
              <w:rPr>
                <w:rFonts w:ascii="宋体"/>
              </w:rPr>
            </w:pPr>
          </w:p>
        </w:tc>
        <w:tc>
          <w:tcPr>
            <w:tcW w:w="5" w:type="pct"/>
            <w:shd w:val="clear" w:color="auto" w:fill="auto"/>
            <w:vAlign w:val="bottom"/>
          </w:tcPr>
          <w:p w14:paraId="71D3EDCC" w14:textId="77777777" w:rsidR="006A3667" w:rsidRDefault="006A3667">
            <w:pPr>
              <w:rPr>
                <w:rFonts w:ascii="宋体"/>
              </w:rPr>
            </w:pPr>
          </w:p>
        </w:tc>
        <w:tc>
          <w:tcPr>
            <w:tcW w:w="50" w:type="pct"/>
            <w:shd w:val="clear" w:color="auto" w:fill="auto"/>
            <w:vAlign w:val="bottom"/>
          </w:tcPr>
          <w:p w14:paraId="71D3EDCD" w14:textId="77777777" w:rsidR="006A3667" w:rsidRDefault="006A3667">
            <w:pPr>
              <w:rPr>
                <w:rFonts w:ascii="宋体"/>
              </w:rPr>
            </w:pPr>
          </w:p>
        </w:tc>
        <w:tc>
          <w:tcPr>
            <w:tcW w:w="259" w:type="pct"/>
            <w:shd w:val="clear" w:color="auto" w:fill="auto"/>
            <w:vAlign w:val="bottom"/>
          </w:tcPr>
          <w:p w14:paraId="71D3EDCE" w14:textId="77777777" w:rsidR="006A3667" w:rsidRDefault="006A3667">
            <w:pPr>
              <w:rPr>
                <w:rFonts w:ascii="宋体"/>
              </w:rPr>
            </w:pPr>
          </w:p>
        </w:tc>
        <w:tc>
          <w:tcPr>
            <w:tcW w:w="5" w:type="pct"/>
            <w:shd w:val="clear" w:color="auto" w:fill="auto"/>
            <w:vAlign w:val="bottom"/>
          </w:tcPr>
          <w:p w14:paraId="71D3EDCF" w14:textId="77777777" w:rsidR="006A3667" w:rsidRDefault="006A3667">
            <w:pPr>
              <w:rPr>
                <w:rFonts w:ascii="宋体"/>
              </w:rPr>
            </w:pPr>
          </w:p>
        </w:tc>
        <w:tc>
          <w:tcPr>
            <w:tcW w:w="5" w:type="pct"/>
            <w:shd w:val="clear" w:color="auto" w:fill="auto"/>
            <w:vAlign w:val="bottom"/>
          </w:tcPr>
          <w:p w14:paraId="71D3EDD0" w14:textId="77777777" w:rsidR="006A3667" w:rsidRDefault="006A3667">
            <w:pPr>
              <w:rPr>
                <w:rFonts w:ascii="宋体"/>
              </w:rPr>
            </w:pPr>
          </w:p>
        </w:tc>
        <w:tc>
          <w:tcPr>
            <w:tcW w:w="26" w:type="pct"/>
            <w:shd w:val="clear" w:color="auto" w:fill="auto"/>
            <w:vAlign w:val="bottom"/>
          </w:tcPr>
          <w:p w14:paraId="71D3EDD1" w14:textId="77777777" w:rsidR="006A3667" w:rsidRDefault="006A3667">
            <w:pPr>
              <w:rPr>
                <w:rFonts w:ascii="宋体"/>
              </w:rPr>
            </w:pPr>
          </w:p>
        </w:tc>
        <w:tc>
          <w:tcPr>
            <w:tcW w:w="5" w:type="pct"/>
            <w:shd w:val="clear" w:color="auto" w:fill="auto"/>
            <w:vAlign w:val="bottom"/>
          </w:tcPr>
          <w:p w14:paraId="71D3EDD2" w14:textId="77777777" w:rsidR="006A3667" w:rsidRDefault="006A3667">
            <w:pPr>
              <w:rPr>
                <w:rFonts w:ascii="宋体"/>
              </w:rPr>
            </w:pPr>
          </w:p>
        </w:tc>
        <w:tc>
          <w:tcPr>
            <w:tcW w:w="50" w:type="pct"/>
            <w:shd w:val="clear" w:color="auto" w:fill="auto"/>
            <w:vAlign w:val="bottom"/>
          </w:tcPr>
          <w:p w14:paraId="71D3EDD3" w14:textId="77777777" w:rsidR="006A3667" w:rsidRDefault="006A3667">
            <w:pPr>
              <w:rPr>
                <w:rFonts w:ascii="宋体"/>
              </w:rPr>
            </w:pPr>
          </w:p>
        </w:tc>
        <w:tc>
          <w:tcPr>
            <w:tcW w:w="354" w:type="pct"/>
            <w:shd w:val="clear" w:color="auto" w:fill="auto"/>
            <w:vAlign w:val="bottom"/>
          </w:tcPr>
          <w:p w14:paraId="71D3EDD4" w14:textId="77777777" w:rsidR="006A3667" w:rsidRDefault="006A3667">
            <w:pPr>
              <w:rPr>
                <w:rFonts w:ascii="宋体"/>
              </w:rPr>
            </w:pPr>
          </w:p>
        </w:tc>
        <w:tc>
          <w:tcPr>
            <w:tcW w:w="5" w:type="pct"/>
            <w:shd w:val="clear" w:color="auto" w:fill="auto"/>
            <w:vAlign w:val="bottom"/>
          </w:tcPr>
          <w:p w14:paraId="71D3EDD5" w14:textId="77777777" w:rsidR="006A3667" w:rsidRDefault="006A3667">
            <w:pPr>
              <w:rPr>
                <w:rFonts w:ascii="宋体"/>
              </w:rPr>
            </w:pPr>
          </w:p>
        </w:tc>
        <w:tc>
          <w:tcPr>
            <w:tcW w:w="5" w:type="pct"/>
            <w:shd w:val="clear" w:color="auto" w:fill="auto"/>
            <w:vAlign w:val="bottom"/>
          </w:tcPr>
          <w:p w14:paraId="71D3EDD6" w14:textId="77777777" w:rsidR="006A3667" w:rsidRDefault="006A3667">
            <w:pPr>
              <w:rPr>
                <w:rFonts w:ascii="宋体"/>
              </w:rPr>
            </w:pPr>
          </w:p>
        </w:tc>
        <w:tc>
          <w:tcPr>
            <w:tcW w:w="26" w:type="pct"/>
            <w:shd w:val="clear" w:color="auto" w:fill="auto"/>
            <w:vAlign w:val="bottom"/>
          </w:tcPr>
          <w:p w14:paraId="71D3EDD7" w14:textId="77777777" w:rsidR="006A3667" w:rsidRDefault="006A3667">
            <w:pPr>
              <w:rPr>
                <w:rFonts w:ascii="宋体"/>
              </w:rPr>
            </w:pPr>
          </w:p>
        </w:tc>
        <w:tc>
          <w:tcPr>
            <w:tcW w:w="5" w:type="pct"/>
            <w:shd w:val="clear" w:color="auto" w:fill="auto"/>
            <w:vAlign w:val="bottom"/>
          </w:tcPr>
          <w:p w14:paraId="71D3EDD8" w14:textId="77777777" w:rsidR="006A3667" w:rsidRDefault="006A3667">
            <w:pPr>
              <w:rPr>
                <w:rFonts w:ascii="宋体"/>
              </w:rPr>
            </w:pPr>
          </w:p>
        </w:tc>
        <w:tc>
          <w:tcPr>
            <w:tcW w:w="50" w:type="pct"/>
            <w:shd w:val="clear" w:color="auto" w:fill="auto"/>
            <w:vAlign w:val="bottom"/>
          </w:tcPr>
          <w:p w14:paraId="71D3EDD9" w14:textId="77777777" w:rsidR="006A3667" w:rsidRDefault="006A3667">
            <w:pPr>
              <w:rPr>
                <w:rFonts w:ascii="宋体"/>
              </w:rPr>
            </w:pPr>
          </w:p>
        </w:tc>
        <w:tc>
          <w:tcPr>
            <w:tcW w:w="354" w:type="pct"/>
            <w:shd w:val="clear" w:color="auto" w:fill="auto"/>
            <w:vAlign w:val="bottom"/>
          </w:tcPr>
          <w:p w14:paraId="71D3EDDA" w14:textId="77777777" w:rsidR="006A3667" w:rsidRDefault="006A3667">
            <w:pPr>
              <w:rPr>
                <w:rFonts w:ascii="宋体"/>
              </w:rPr>
            </w:pPr>
          </w:p>
        </w:tc>
        <w:tc>
          <w:tcPr>
            <w:tcW w:w="5" w:type="pct"/>
            <w:shd w:val="clear" w:color="auto" w:fill="auto"/>
            <w:vAlign w:val="bottom"/>
          </w:tcPr>
          <w:p w14:paraId="71D3EDDB" w14:textId="77777777" w:rsidR="006A3667" w:rsidRDefault="006A3667">
            <w:pPr>
              <w:rPr>
                <w:rFonts w:ascii="宋体"/>
              </w:rPr>
            </w:pPr>
          </w:p>
        </w:tc>
        <w:tc>
          <w:tcPr>
            <w:tcW w:w="5" w:type="pct"/>
            <w:shd w:val="clear" w:color="auto" w:fill="auto"/>
            <w:vAlign w:val="bottom"/>
          </w:tcPr>
          <w:p w14:paraId="71D3EDDC" w14:textId="77777777" w:rsidR="006A3667" w:rsidRDefault="006A3667">
            <w:pPr>
              <w:rPr>
                <w:rFonts w:ascii="宋体"/>
              </w:rPr>
            </w:pPr>
          </w:p>
        </w:tc>
        <w:tc>
          <w:tcPr>
            <w:tcW w:w="26" w:type="pct"/>
            <w:shd w:val="clear" w:color="auto" w:fill="auto"/>
            <w:vAlign w:val="bottom"/>
          </w:tcPr>
          <w:p w14:paraId="71D3EDDD" w14:textId="77777777" w:rsidR="006A3667" w:rsidRDefault="006A3667">
            <w:pPr>
              <w:rPr>
                <w:rFonts w:ascii="宋体"/>
              </w:rPr>
            </w:pPr>
          </w:p>
        </w:tc>
        <w:tc>
          <w:tcPr>
            <w:tcW w:w="5" w:type="pct"/>
            <w:shd w:val="clear" w:color="auto" w:fill="auto"/>
            <w:vAlign w:val="bottom"/>
          </w:tcPr>
          <w:p w14:paraId="71D3EDDE" w14:textId="77777777" w:rsidR="006A3667" w:rsidRDefault="006A3667">
            <w:pPr>
              <w:rPr>
                <w:rFonts w:ascii="宋体"/>
              </w:rPr>
            </w:pPr>
          </w:p>
        </w:tc>
        <w:tc>
          <w:tcPr>
            <w:tcW w:w="50" w:type="pct"/>
            <w:shd w:val="clear" w:color="auto" w:fill="auto"/>
            <w:vAlign w:val="bottom"/>
          </w:tcPr>
          <w:p w14:paraId="71D3EDDF" w14:textId="77777777" w:rsidR="006A3667" w:rsidRDefault="006A3667">
            <w:pPr>
              <w:rPr>
                <w:rFonts w:ascii="宋体"/>
              </w:rPr>
            </w:pPr>
          </w:p>
        </w:tc>
        <w:tc>
          <w:tcPr>
            <w:tcW w:w="259" w:type="pct"/>
            <w:shd w:val="clear" w:color="auto" w:fill="auto"/>
            <w:vAlign w:val="bottom"/>
          </w:tcPr>
          <w:p w14:paraId="71D3EDE0" w14:textId="77777777" w:rsidR="006A3667" w:rsidRDefault="006A3667">
            <w:pPr>
              <w:rPr>
                <w:rFonts w:ascii="宋体"/>
              </w:rPr>
            </w:pPr>
          </w:p>
        </w:tc>
        <w:tc>
          <w:tcPr>
            <w:tcW w:w="5" w:type="pct"/>
            <w:shd w:val="clear" w:color="auto" w:fill="auto"/>
            <w:vAlign w:val="bottom"/>
          </w:tcPr>
          <w:p w14:paraId="71D3EDE1" w14:textId="77777777" w:rsidR="006A3667" w:rsidRDefault="006A3667">
            <w:pPr>
              <w:rPr>
                <w:rFonts w:ascii="宋体"/>
              </w:rPr>
            </w:pPr>
          </w:p>
        </w:tc>
        <w:tc>
          <w:tcPr>
            <w:tcW w:w="0" w:type="auto"/>
            <w:shd w:val="clear" w:color="auto" w:fill="auto"/>
            <w:vAlign w:val="bottom"/>
          </w:tcPr>
          <w:p w14:paraId="71D3EDE2" w14:textId="77777777" w:rsidR="006A3667" w:rsidRDefault="006A3667">
            <w:pPr>
              <w:rPr>
                <w:rFonts w:ascii="宋体"/>
                <w:vanish/>
              </w:rPr>
            </w:pPr>
          </w:p>
        </w:tc>
        <w:tc>
          <w:tcPr>
            <w:tcW w:w="0" w:type="auto"/>
            <w:shd w:val="clear" w:color="auto" w:fill="auto"/>
            <w:vAlign w:val="bottom"/>
          </w:tcPr>
          <w:p w14:paraId="71D3EDE3" w14:textId="77777777" w:rsidR="006A3667" w:rsidRDefault="006A3667">
            <w:pPr>
              <w:rPr>
                <w:rFonts w:ascii="宋体"/>
                <w:vanish/>
              </w:rPr>
            </w:pPr>
          </w:p>
        </w:tc>
        <w:tc>
          <w:tcPr>
            <w:tcW w:w="0" w:type="auto"/>
            <w:shd w:val="clear" w:color="auto" w:fill="auto"/>
            <w:vAlign w:val="bottom"/>
          </w:tcPr>
          <w:p w14:paraId="71D3EDE4" w14:textId="77777777" w:rsidR="006A3667" w:rsidRDefault="006A3667">
            <w:pPr>
              <w:rPr>
                <w:rFonts w:ascii="宋体"/>
                <w:vanish/>
              </w:rPr>
            </w:pPr>
          </w:p>
        </w:tc>
        <w:tc>
          <w:tcPr>
            <w:tcW w:w="0" w:type="auto"/>
            <w:shd w:val="clear" w:color="auto" w:fill="auto"/>
            <w:vAlign w:val="bottom"/>
          </w:tcPr>
          <w:p w14:paraId="71D3EDE5" w14:textId="77777777" w:rsidR="006A3667" w:rsidRDefault="006A3667">
            <w:pPr>
              <w:rPr>
                <w:rFonts w:ascii="宋体"/>
                <w:vanish/>
              </w:rPr>
            </w:pPr>
          </w:p>
        </w:tc>
        <w:tc>
          <w:tcPr>
            <w:tcW w:w="0" w:type="auto"/>
            <w:gridSpan w:val="3"/>
            <w:shd w:val="clear" w:color="auto" w:fill="auto"/>
            <w:vAlign w:val="bottom"/>
          </w:tcPr>
          <w:p w14:paraId="71D3EDE6" w14:textId="77777777" w:rsidR="006A3667" w:rsidRDefault="006A3667">
            <w:pPr>
              <w:rPr>
                <w:rFonts w:ascii="宋体"/>
                <w:vanish/>
              </w:rPr>
            </w:pPr>
          </w:p>
        </w:tc>
        <w:tc>
          <w:tcPr>
            <w:tcW w:w="0" w:type="auto"/>
            <w:gridSpan w:val="3"/>
            <w:shd w:val="clear" w:color="auto" w:fill="auto"/>
            <w:vAlign w:val="bottom"/>
          </w:tcPr>
          <w:p w14:paraId="71D3EDE7" w14:textId="77777777" w:rsidR="006A3667" w:rsidRDefault="006A3667">
            <w:pPr>
              <w:rPr>
                <w:rFonts w:ascii="宋体"/>
                <w:vanish/>
              </w:rPr>
            </w:pPr>
          </w:p>
        </w:tc>
        <w:tc>
          <w:tcPr>
            <w:tcW w:w="0" w:type="auto"/>
            <w:gridSpan w:val="3"/>
            <w:shd w:val="clear" w:color="auto" w:fill="auto"/>
            <w:vAlign w:val="bottom"/>
          </w:tcPr>
          <w:p w14:paraId="71D3EDE8" w14:textId="77777777" w:rsidR="006A3667" w:rsidRDefault="006A3667">
            <w:pPr>
              <w:rPr>
                <w:rFonts w:ascii="宋体"/>
                <w:vanish/>
              </w:rPr>
            </w:pPr>
          </w:p>
        </w:tc>
        <w:tc>
          <w:tcPr>
            <w:tcW w:w="0" w:type="auto"/>
            <w:gridSpan w:val="3"/>
            <w:shd w:val="clear" w:color="auto" w:fill="auto"/>
            <w:vAlign w:val="bottom"/>
          </w:tcPr>
          <w:p w14:paraId="71D3EDE9" w14:textId="77777777" w:rsidR="006A3667" w:rsidRDefault="006A3667">
            <w:pPr>
              <w:rPr>
                <w:rFonts w:ascii="宋体"/>
                <w:vanish/>
              </w:rPr>
            </w:pPr>
          </w:p>
        </w:tc>
        <w:tc>
          <w:tcPr>
            <w:tcW w:w="0" w:type="auto"/>
            <w:gridSpan w:val="2"/>
            <w:shd w:val="clear" w:color="auto" w:fill="auto"/>
            <w:vAlign w:val="bottom"/>
          </w:tcPr>
          <w:p w14:paraId="71D3EDEA" w14:textId="77777777" w:rsidR="006A3667" w:rsidRDefault="006A3667">
            <w:pPr>
              <w:rPr>
                <w:rFonts w:ascii="宋体"/>
                <w:vanish/>
              </w:rPr>
            </w:pPr>
          </w:p>
        </w:tc>
        <w:tc>
          <w:tcPr>
            <w:tcW w:w="0" w:type="auto"/>
            <w:shd w:val="clear" w:color="auto" w:fill="auto"/>
            <w:vAlign w:val="bottom"/>
          </w:tcPr>
          <w:p w14:paraId="71D3EDEB" w14:textId="77777777" w:rsidR="006A3667" w:rsidRDefault="006A3667">
            <w:pPr>
              <w:rPr>
                <w:rFonts w:ascii="宋体"/>
                <w:vanish/>
              </w:rPr>
            </w:pPr>
          </w:p>
        </w:tc>
      </w:tr>
      <w:tr w:rsidR="006A3667" w14:paraId="71D3EDFD" w14:textId="77777777">
        <w:tc>
          <w:tcPr>
            <w:tcW w:w="0" w:type="auto"/>
            <w:gridSpan w:val="36"/>
            <w:shd w:val="clear" w:color="auto" w:fill="auto"/>
            <w:tcMar>
              <w:top w:w="40" w:type="dxa"/>
              <w:left w:w="20" w:type="dxa"/>
              <w:bottom w:w="40" w:type="dxa"/>
              <w:right w:w="20" w:type="dxa"/>
            </w:tcMar>
            <w:vAlign w:val="bottom"/>
          </w:tcPr>
          <w:p w14:paraId="71D3EDED" w14:textId="77777777" w:rsidR="006A3667" w:rsidRDefault="00045F32">
            <w:pPr>
              <w:textAlignment w:val="bottom"/>
            </w:pPr>
            <w:r>
              <w:rPr>
                <w:rFonts w:ascii="Arial" w:eastAsia="宋体" w:hAnsi="Arial" w:cs="Arial"/>
                <w:b/>
                <w:bCs/>
                <w:color w:val="000000"/>
                <w:sz w:val="16"/>
                <w:szCs w:val="16"/>
              </w:rPr>
              <w:t xml:space="preserve">TABLE 14: AVERAGE BALANCES AND INTEREST </w:t>
            </w:r>
            <w:r>
              <w:rPr>
                <w:rFonts w:ascii="Arial" w:eastAsia="宋体" w:hAnsi="Arial" w:cs="Arial"/>
                <w:b/>
                <w:bCs/>
                <w:color w:val="000000"/>
                <w:sz w:val="16"/>
                <w:szCs w:val="16"/>
              </w:rPr>
              <w:t>RATES - FULLY TAXABLE-EQUIVALENT BASIS</w:t>
            </w:r>
            <w:r>
              <w:rPr>
                <w:rFonts w:ascii="Arial" w:eastAsia="宋体" w:hAnsi="Arial" w:cs="Arial"/>
                <w:b/>
                <w:bCs/>
                <w:color w:val="000000"/>
                <w:sz w:val="10"/>
                <w:szCs w:val="10"/>
              </w:rPr>
              <w:t>(1)</w:t>
            </w:r>
          </w:p>
        </w:tc>
        <w:tc>
          <w:tcPr>
            <w:tcW w:w="0" w:type="auto"/>
            <w:shd w:val="clear" w:color="auto" w:fill="auto"/>
            <w:vAlign w:val="bottom"/>
          </w:tcPr>
          <w:p w14:paraId="71D3EDEE" w14:textId="77777777" w:rsidR="006A3667" w:rsidRDefault="006A3667">
            <w:pPr>
              <w:rPr>
                <w:rFonts w:ascii="宋体"/>
                <w:vanish/>
              </w:rPr>
            </w:pPr>
          </w:p>
        </w:tc>
        <w:tc>
          <w:tcPr>
            <w:tcW w:w="0" w:type="auto"/>
            <w:shd w:val="clear" w:color="auto" w:fill="auto"/>
            <w:vAlign w:val="bottom"/>
          </w:tcPr>
          <w:p w14:paraId="71D3EDEF" w14:textId="77777777" w:rsidR="006A3667" w:rsidRDefault="006A3667">
            <w:pPr>
              <w:rPr>
                <w:rFonts w:ascii="宋体"/>
                <w:vanish/>
              </w:rPr>
            </w:pPr>
          </w:p>
        </w:tc>
        <w:tc>
          <w:tcPr>
            <w:tcW w:w="0" w:type="auto"/>
            <w:shd w:val="clear" w:color="auto" w:fill="auto"/>
            <w:vAlign w:val="bottom"/>
          </w:tcPr>
          <w:p w14:paraId="71D3EDF0" w14:textId="77777777" w:rsidR="006A3667" w:rsidRDefault="006A3667">
            <w:pPr>
              <w:rPr>
                <w:rFonts w:ascii="宋体"/>
                <w:vanish/>
              </w:rPr>
            </w:pPr>
          </w:p>
        </w:tc>
        <w:tc>
          <w:tcPr>
            <w:tcW w:w="0" w:type="auto"/>
            <w:shd w:val="clear" w:color="auto" w:fill="auto"/>
            <w:vAlign w:val="bottom"/>
          </w:tcPr>
          <w:p w14:paraId="71D3EDF1" w14:textId="77777777" w:rsidR="006A3667" w:rsidRDefault="006A3667">
            <w:pPr>
              <w:rPr>
                <w:rFonts w:ascii="宋体"/>
                <w:vanish/>
              </w:rPr>
            </w:pPr>
          </w:p>
        </w:tc>
        <w:tc>
          <w:tcPr>
            <w:tcW w:w="0" w:type="auto"/>
            <w:gridSpan w:val="3"/>
            <w:shd w:val="clear" w:color="auto" w:fill="auto"/>
            <w:vAlign w:val="bottom"/>
          </w:tcPr>
          <w:p w14:paraId="71D3EDF2" w14:textId="77777777" w:rsidR="006A3667" w:rsidRDefault="006A3667">
            <w:pPr>
              <w:rPr>
                <w:rFonts w:ascii="宋体"/>
                <w:vanish/>
              </w:rPr>
            </w:pPr>
          </w:p>
        </w:tc>
        <w:tc>
          <w:tcPr>
            <w:tcW w:w="0" w:type="auto"/>
            <w:gridSpan w:val="3"/>
            <w:shd w:val="clear" w:color="auto" w:fill="auto"/>
            <w:vAlign w:val="bottom"/>
          </w:tcPr>
          <w:p w14:paraId="71D3EDF3" w14:textId="77777777" w:rsidR="006A3667" w:rsidRDefault="006A3667">
            <w:pPr>
              <w:rPr>
                <w:rFonts w:ascii="宋体"/>
                <w:vanish/>
              </w:rPr>
            </w:pPr>
          </w:p>
        </w:tc>
        <w:tc>
          <w:tcPr>
            <w:tcW w:w="0" w:type="auto"/>
            <w:shd w:val="clear" w:color="auto" w:fill="auto"/>
            <w:vAlign w:val="bottom"/>
          </w:tcPr>
          <w:p w14:paraId="71D3EDF4" w14:textId="77777777" w:rsidR="006A3667" w:rsidRDefault="006A3667">
            <w:pPr>
              <w:rPr>
                <w:rFonts w:ascii="宋体"/>
              </w:rPr>
            </w:pPr>
          </w:p>
        </w:tc>
        <w:tc>
          <w:tcPr>
            <w:tcW w:w="0" w:type="auto"/>
            <w:shd w:val="clear" w:color="auto" w:fill="auto"/>
            <w:vAlign w:val="bottom"/>
          </w:tcPr>
          <w:p w14:paraId="71D3EDF5" w14:textId="77777777" w:rsidR="006A3667" w:rsidRDefault="006A3667">
            <w:pPr>
              <w:rPr>
                <w:rFonts w:ascii="宋体"/>
              </w:rPr>
            </w:pPr>
          </w:p>
        </w:tc>
        <w:tc>
          <w:tcPr>
            <w:tcW w:w="0" w:type="auto"/>
            <w:shd w:val="clear" w:color="auto" w:fill="auto"/>
            <w:vAlign w:val="bottom"/>
          </w:tcPr>
          <w:p w14:paraId="71D3EDF6" w14:textId="77777777" w:rsidR="006A3667" w:rsidRDefault="006A3667">
            <w:pPr>
              <w:rPr>
                <w:rFonts w:ascii="宋体"/>
              </w:rPr>
            </w:pPr>
          </w:p>
        </w:tc>
        <w:tc>
          <w:tcPr>
            <w:tcW w:w="0" w:type="auto"/>
            <w:shd w:val="clear" w:color="auto" w:fill="auto"/>
            <w:vAlign w:val="bottom"/>
          </w:tcPr>
          <w:p w14:paraId="71D3EDF7" w14:textId="77777777" w:rsidR="006A3667" w:rsidRDefault="006A3667">
            <w:pPr>
              <w:rPr>
                <w:rFonts w:ascii="宋体"/>
              </w:rPr>
            </w:pPr>
          </w:p>
        </w:tc>
        <w:tc>
          <w:tcPr>
            <w:tcW w:w="0" w:type="auto"/>
            <w:shd w:val="clear" w:color="auto" w:fill="auto"/>
            <w:vAlign w:val="bottom"/>
          </w:tcPr>
          <w:p w14:paraId="71D3EDF8" w14:textId="77777777" w:rsidR="006A3667" w:rsidRDefault="006A3667">
            <w:pPr>
              <w:rPr>
                <w:rFonts w:ascii="宋体"/>
              </w:rPr>
            </w:pPr>
          </w:p>
        </w:tc>
        <w:tc>
          <w:tcPr>
            <w:tcW w:w="0" w:type="auto"/>
            <w:shd w:val="clear" w:color="auto" w:fill="auto"/>
            <w:vAlign w:val="bottom"/>
          </w:tcPr>
          <w:p w14:paraId="71D3EDF9" w14:textId="77777777" w:rsidR="006A3667" w:rsidRDefault="006A3667">
            <w:pPr>
              <w:rPr>
                <w:rFonts w:ascii="宋体"/>
              </w:rPr>
            </w:pPr>
          </w:p>
        </w:tc>
        <w:tc>
          <w:tcPr>
            <w:tcW w:w="0" w:type="auto"/>
            <w:shd w:val="clear" w:color="auto" w:fill="auto"/>
            <w:vAlign w:val="bottom"/>
          </w:tcPr>
          <w:p w14:paraId="71D3EDFA" w14:textId="77777777" w:rsidR="006A3667" w:rsidRDefault="006A3667">
            <w:pPr>
              <w:rPr>
                <w:rFonts w:ascii="宋体"/>
              </w:rPr>
            </w:pPr>
          </w:p>
        </w:tc>
        <w:tc>
          <w:tcPr>
            <w:tcW w:w="0" w:type="auto"/>
            <w:shd w:val="clear" w:color="auto" w:fill="auto"/>
            <w:vAlign w:val="bottom"/>
          </w:tcPr>
          <w:p w14:paraId="71D3EDFB" w14:textId="77777777" w:rsidR="006A3667" w:rsidRDefault="006A3667">
            <w:pPr>
              <w:rPr>
                <w:rFonts w:ascii="宋体"/>
              </w:rPr>
            </w:pPr>
          </w:p>
        </w:tc>
        <w:tc>
          <w:tcPr>
            <w:tcW w:w="0" w:type="auto"/>
            <w:shd w:val="clear" w:color="auto" w:fill="auto"/>
            <w:vAlign w:val="bottom"/>
          </w:tcPr>
          <w:p w14:paraId="71D3EDFC" w14:textId="77777777" w:rsidR="006A3667" w:rsidRDefault="006A3667">
            <w:pPr>
              <w:rPr>
                <w:rFonts w:ascii="宋体"/>
              </w:rPr>
            </w:pPr>
          </w:p>
        </w:tc>
      </w:tr>
      <w:tr w:rsidR="006A3667" w14:paraId="71D3EE0A" w14:textId="77777777">
        <w:tc>
          <w:tcPr>
            <w:tcW w:w="0" w:type="auto"/>
            <w:gridSpan w:val="3"/>
            <w:shd w:val="clear" w:color="auto" w:fill="auto"/>
            <w:tcMar>
              <w:top w:w="0" w:type="dxa"/>
              <w:left w:w="20" w:type="dxa"/>
              <w:bottom w:w="0" w:type="dxa"/>
              <w:right w:w="20" w:type="dxa"/>
            </w:tcMar>
            <w:vAlign w:val="bottom"/>
          </w:tcPr>
          <w:p w14:paraId="71D3EDFE"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3EDFF" w14:textId="77777777" w:rsidR="006A3667" w:rsidRDefault="00045F32">
            <w:pPr>
              <w:jc w:val="center"/>
              <w:textAlignment w:val="bottom"/>
            </w:pPr>
            <w:r>
              <w:rPr>
                <w:rFonts w:ascii="Arial" w:eastAsia="宋体" w:hAnsi="Arial" w:cs="Arial"/>
                <w:b/>
                <w:bCs/>
                <w:color w:val="000000"/>
                <w:sz w:val="12"/>
                <w:szCs w:val="12"/>
              </w:rPr>
              <w:t>Three Months Ended September 30,</w:t>
            </w:r>
          </w:p>
        </w:tc>
        <w:tc>
          <w:tcPr>
            <w:tcW w:w="0" w:type="auto"/>
            <w:shd w:val="clear" w:color="auto" w:fill="auto"/>
            <w:vAlign w:val="bottom"/>
          </w:tcPr>
          <w:p w14:paraId="71D3EE00" w14:textId="77777777" w:rsidR="006A3667" w:rsidRDefault="006A3667">
            <w:pPr>
              <w:rPr>
                <w:rFonts w:ascii="宋体"/>
                <w:vanish/>
              </w:rPr>
            </w:pPr>
          </w:p>
        </w:tc>
        <w:tc>
          <w:tcPr>
            <w:tcW w:w="0" w:type="auto"/>
            <w:shd w:val="clear" w:color="auto" w:fill="auto"/>
            <w:vAlign w:val="bottom"/>
          </w:tcPr>
          <w:p w14:paraId="71D3EE01" w14:textId="77777777" w:rsidR="006A3667" w:rsidRDefault="006A3667">
            <w:pPr>
              <w:rPr>
                <w:rFonts w:ascii="宋体"/>
                <w:vanish/>
              </w:rPr>
            </w:pPr>
          </w:p>
        </w:tc>
        <w:tc>
          <w:tcPr>
            <w:tcW w:w="0" w:type="auto"/>
            <w:shd w:val="clear" w:color="auto" w:fill="auto"/>
            <w:vAlign w:val="bottom"/>
          </w:tcPr>
          <w:p w14:paraId="71D3EE02" w14:textId="77777777" w:rsidR="006A3667" w:rsidRDefault="006A3667">
            <w:pPr>
              <w:rPr>
                <w:rFonts w:ascii="宋体"/>
                <w:vanish/>
              </w:rPr>
            </w:pPr>
          </w:p>
        </w:tc>
        <w:tc>
          <w:tcPr>
            <w:tcW w:w="0" w:type="auto"/>
            <w:shd w:val="clear" w:color="auto" w:fill="auto"/>
            <w:vAlign w:val="bottom"/>
          </w:tcPr>
          <w:p w14:paraId="71D3EE03" w14:textId="77777777" w:rsidR="006A3667" w:rsidRDefault="006A3667">
            <w:pPr>
              <w:rPr>
                <w:rFonts w:ascii="宋体"/>
                <w:vanish/>
              </w:rPr>
            </w:pPr>
          </w:p>
        </w:tc>
        <w:tc>
          <w:tcPr>
            <w:tcW w:w="0" w:type="auto"/>
            <w:gridSpan w:val="3"/>
            <w:shd w:val="clear" w:color="auto" w:fill="auto"/>
            <w:vAlign w:val="bottom"/>
          </w:tcPr>
          <w:p w14:paraId="71D3EE04" w14:textId="77777777" w:rsidR="006A3667" w:rsidRDefault="006A3667">
            <w:pPr>
              <w:rPr>
                <w:rFonts w:ascii="宋体"/>
                <w:vanish/>
              </w:rPr>
            </w:pPr>
          </w:p>
        </w:tc>
        <w:tc>
          <w:tcPr>
            <w:tcW w:w="0" w:type="auto"/>
            <w:gridSpan w:val="3"/>
            <w:shd w:val="clear" w:color="auto" w:fill="auto"/>
            <w:vAlign w:val="bottom"/>
          </w:tcPr>
          <w:p w14:paraId="71D3EE05" w14:textId="77777777" w:rsidR="006A3667" w:rsidRDefault="006A3667">
            <w:pPr>
              <w:rPr>
                <w:rFonts w:ascii="宋体"/>
                <w:vanish/>
              </w:rPr>
            </w:pPr>
          </w:p>
        </w:tc>
        <w:tc>
          <w:tcPr>
            <w:tcW w:w="0" w:type="auto"/>
            <w:gridSpan w:val="3"/>
            <w:shd w:val="clear" w:color="auto" w:fill="auto"/>
            <w:vAlign w:val="bottom"/>
          </w:tcPr>
          <w:p w14:paraId="71D3EE06" w14:textId="77777777" w:rsidR="006A3667" w:rsidRDefault="006A3667">
            <w:pPr>
              <w:rPr>
                <w:rFonts w:ascii="宋体"/>
                <w:vanish/>
              </w:rPr>
            </w:pPr>
          </w:p>
        </w:tc>
        <w:tc>
          <w:tcPr>
            <w:tcW w:w="0" w:type="auto"/>
            <w:gridSpan w:val="3"/>
            <w:shd w:val="clear" w:color="auto" w:fill="auto"/>
            <w:vAlign w:val="bottom"/>
          </w:tcPr>
          <w:p w14:paraId="71D3EE07" w14:textId="77777777" w:rsidR="006A3667" w:rsidRDefault="006A3667">
            <w:pPr>
              <w:rPr>
                <w:rFonts w:ascii="宋体"/>
                <w:vanish/>
              </w:rPr>
            </w:pPr>
          </w:p>
        </w:tc>
        <w:tc>
          <w:tcPr>
            <w:tcW w:w="0" w:type="auto"/>
            <w:gridSpan w:val="2"/>
            <w:shd w:val="clear" w:color="auto" w:fill="auto"/>
            <w:vAlign w:val="bottom"/>
          </w:tcPr>
          <w:p w14:paraId="71D3EE08" w14:textId="77777777" w:rsidR="006A3667" w:rsidRDefault="006A3667">
            <w:pPr>
              <w:rPr>
                <w:rFonts w:ascii="宋体"/>
                <w:vanish/>
              </w:rPr>
            </w:pPr>
          </w:p>
        </w:tc>
        <w:tc>
          <w:tcPr>
            <w:tcW w:w="0" w:type="auto"/>
            <w:shd w:val="clear" w:color="auto" w:fill="auto"/>
            <w:vAlign w:val="bottom"/>
          </w:tcPr>
          <w:p w14:paraId="71D3EE09" w14:textId="77777777" w:rsidR="006A3667" w:rsidRDefault="006A3667">
            <w:pPr>
              <w:rPr>
                <w:rFonts w:ascii="宋体"/>
                <w:vanish/>
              </w:rPr>
            </w:pPr>
          </w:p>
        </w:tc>
      </w:tr>
      <w:tr w:rsidR="006A3667" w14:paraId="71D3EE1A" w14:textId="77777777">
        <w:tc>
          <w:tcPr>
            <w:tcW w:w="0" w:type="auto"/>
            <w:gridSpan w:val="3"/>
            <w:shd w:val="clear" w:color="auto" w:fill="auto"/>
            <w:tcMar>
              <w:top w:w="0" w:type="dxa"/>
              <w:left w:w="20" w:type="dxa"/>
              <w:bottom w:w="0" w:type="dxa"/>
              <w:right w:w="20" w:type="dxa"/>
            </w:tcMar>
            <w:vAlign w:val="bottom"/>
          </w:tcPr>
          <w:p w14:paraId="71D3EE0B"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EE0C" w14:textId="77777777" w:rsidR="006A3667" w:rsidRDefault="00045F32">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E0D"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EE0E" w14:textId="77777777" w:rsidR="006A3667" w:rsidRDefault="00045F32">
            <w:pPr>
              <w:jc w:val="center"/>
              <w:textAlignment w:val="bottom"/>
            </w:pPr>
            <w:r>
              <w:rPr>
                <w:rFonts w:ascii="Arial" w:eastAsia="宋体" w:hAnsi="Arial" w:cs="Arial"/>
                <w:b/>
                <w:bCs/>
                <w:color w:val="000000"/>
                <w:sz w:val="12"/>
                <w:szCs w:val="12"/>
              </w:rPr>
              <w:t>2021</w:t>
            </w:r>
          </w:p>
        </w:tc>
        <w:tc>
          <w:tcPr>
            <w:tcW w:w="0" w:type="auto"/>
            <w:shd w:val="clear" w:color="auto" w:fill="auto"/>
            <w:vAlign w:val="bottom"/>
          </w:tcPr>
          <w:p w14:paraId="71D3EE0F" w14:textId="77777777" w:rsidR="006A3667" w:rsidRDefault="006A3667">
            <w:pPr>
              <w:rPr>
                <w:rFonts w:ascii="宋体"/>
                <w:vanish/>
              </w:rPr>
            </w:pPr>
          </w:p>
        </w:tc>
        <w:tc>
          <w:tcPr>
            <w:tcW w:w="0" w:type="auto"/>
            <w:shd w:val="clear" w:color="auto" w:fill="auto"/>
            <w:vAlign w:val="bottom"/>
          </w:tcPr>
          <w:p w14:paraId="71D3EE10" w14:textId="77777777" w:rsidR="006A3667" w:rsidRDefault="006A3667">
            <w:pPr>
              <w:rPr>
                <w:rFonts w:ascii="宋体"/>
                <w:vanish/>
              </w:rPr>
            </w:pPr>
          </w:p>
        </w:tc>
        <w:tc>
          <w:tcPr>
            <w:tcW w:w="0" w:type="auto"/>
            <w:shd w:val="clear" w:color="auto" w:fill="auto"/>
            <w:vAlign w:val="bottom"/>
          </w:tcPr>
          <w:p w14:paraId="71D3EE11" w14:textId="77777777" w:rsidR="006A3667" w:rsidRDefault="006A3667">
            <w:pPr>
              <w:rPr>
                <w:rFonts w:ascii="宋体"/>
                <w:vanish/>
              </w:rPr>
            </w:pPr>
          </w:p>
        </w:tc>
        <w:tc>
          <w:tcPr>
            <w:tcW w:w="0" w:type="auto"/>
            <w:shd w:val="clear" w:color="auto" w:fill="auto"/>
            <w:vAlign w:val="bottom"/>
          </w:tcPr>
          <w:p w14:paraId="71D3EE12" w14:textId="77777777" w:rsidR="006A3667" w:rsidRDefault="006A3667">
            <w:pPr>
              <w:rPr>
                <w:rFonts w:ascii="宋体"/>
                <w:vanish/>
              </w:rPr>
            </w:pPr>
          </w:p>
        </w:tc>
        <w:tc>
          <w:tcPr>
            <w:tcW w:w="0" w:type="auto"/>
            <w:gridSpan w:val="3"/>
            <w:shd w:val="clear" w:color="auto" w:fill="auto"/>
            <w:vAlign w:val="bottom"/>
          </w:tcPr>
          <w:p w14:paraId="71D3EE13" w14:textId="77777777" w:rsidR="006A3667" w:rsidRDefault="006A3667">
            <w:pPr>
              <w:rPr>
                <w:rFonts w:ascii="宋体"/>
                <w:vanish/>
              </w:rPr>
            </w:pPr>
          </w:p>
        </w:tc>
        <w:tc>
          <w:tcPr>
            <w:tcW w:w="0" w:type="auto"/>
            <w:gridSpan w:val="3"/>
            <w:shd w:val="clear" w:color="auto" w:fill="auto"/>
            <w:vAlign w:val="bottom"/>
          </w:tcPr>
          <w:p w14:paraId="71D3EE14" w14:textId="77777777" w:rsidR="006A3667" w:rsidRDefault="006A3667">
            <w:pPr>
              <w:rPr>
                <w:rFonts w:ascii="宋体"/>
                <w:vanish/>
              </w:rPr>
            </w:pPr>
          </w:p>
        </w:tc>
        <w:tc>
          <w:tcPr>
            <w:tcW w:w="0" w:type="auto"/>
            <w:gridSpan w:val="3"/>
            <w:shd w:val="clear" w:color="auto" w:fill="auto"/>
            <w:vAlign w:val="bottom"/>
          </w:tcPr>
          <w:p w14:paraId="71D3EE15" w14:textId="77777777" w:rsidR="006A3667" w:rsidRDefault="006A3667">
            <w:pPr>
              <w:rPr>
                <w:rFonts w:ascii="宋体"/>
                <w:vanish/>
              </w:rPr>
            </w:pPr>
          </w:p>
        </w:tc>
        <w:tc>
          <w:tcPr>
            <w:tcW w:w="0" w:type="auto"/>
            <w:gridSpan w:val="3"/>
            <w:shd w:val="clear" w:color="auto" w:fill="auto"/>
            <w:vAlign w:val="bottom"/>
          </w:tcPr>
          <w:p w14:paraId="71D3EE16" w14:textId="77777777" w:rsidR="006A3667" w:rsidRDefault="006A3667">
            <w:pPr>
              <w:rPr>
                <w:rFonts w:ascii="宋体"/>
                <w:vanish/>
              </w:rPr>
            </w:pPr>
          </w:p>
        </w:tc>
        <w:tc>
          <w:tcPr>
            <w:tcW w:w="0" w:type="auto"/>
            <w:shd w:val="clear" w:color="auto" w:fill="auto"/>
            <w:vAlign w:val="bottom"/>
          </w:tcPr>
          <w:p w14:paraId="71D3EE17" w14:textId="77777777" w:rsidR="006A3667" w:rsidRDefault="006A3667">
            <w:pPr>
              <w:rPr>
                <w:rFonts w:ascii="宋体"/>
              </w:rPr>
            </w:pPr>
          </w:p>
        </w:tc>
        <w:tc>
          <w:tcPr>
            <w:tcW w:w="0" w:type="auto"/>
            <w:shd w:val="clear" w:color="auto" w:fill="auto"/>
            <w:vAlign w:val="bottom"/>
          </w:tcPr>
          <w:p w14:paraId="71D3EE18" w14:textId="77777777" w:rsidR="006A3667" w:rsidRDefault="006A3667">
            <w:pPr>
              <w:rPr>
                <w:rFonts w:ascii="宋体"/>
              </w:rPr>
            </w:pPr>
          </w:p>
        </w:tc>
        <w:tc>
          <w:tcPr>
            <w:tcW w:w="0" w:type="auto"/>
            <w:shd w:val="clear" w:color="auto" w:fill="auto"/>
            <w:vAlign w:val="bottom"/>
          </w:tcPr>
          <w:p w14:paraId="71D3EE19" w14:textId="77777777" w:rsidR="006A3667" w:rsidRDefault="006A3667">
            <w:pPr>
              <w:rPr>
                <w:rFonts w:ascii="宋体"/>
              </w:rPr>
            </w:pPr>
          </w:p>
        </w:tc>
      </w:tr>
      <w:tr w:rsidR="006A3667" w14:paraId="71D3EE31" w14:textId="77777777">
        <w:tc>
          <w:tcPr>
            <w:tcW w:w="0" w:type="auto"/>
            <w:gridSpan w:val="3"/>
            <w:shd w:val="clear" w:color="auto" w:fill="auto"/>
            <w:tcMar>
              <w:top w:w="40" w:type="dxa"/>
              <w:left w:w="20" w:type="dxa"/>
              <w:bottom w:w="40" w:type="dxa"/>
              <w:right w:w="20" w:type="dxa"/>
            </w:tcMar>
            <w:vAlign w:val="bottom"/>
          </w:tcPr>
          <w:p w14:paraId="71D3EE1B" w14:textId="77777777" w:rsidR="006A3667" w:rsidRDefault="00045F32">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E1C" w14:textId="77777777" w:rsidR="006A3667" w:rsidRDefault="00045F32">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E1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E1E" w14:textId="77777777" w:rsidR="006A3667" w:rsidRDefault="00045F32">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E1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E20" w14:textId="77777777" w:rsidR="006A3667" w:rsidRDefault="00045F32">
            <w:pPr>
              <w:jc w:val="center"/>
              <w:textAlignment w:val="bottom"/>
            </w:pPr>
            <w:r>
              <w:rPr>
                <w:rFonts w:ascii="Arial" w:eastAsia="宋体" w:hAnsi="Arial" w:cs="Arial"/>
                <w:b/>
                <w:bCs/>
                <w:color w:val="000000"/>
                <w:sz w:val="12"/>
                <w:szCs w:val="12"/>
              </w:rPr>
              <w:t>Rate</w:t>
            </w:r>
          </w:p>
        </w:tc>
        <w:tc>
          <w:tcPr>
            <w:tcW w:w="0" w:type="auto"/>
            <w:gridSpan w:val="3"/>
            <w:shd w:val="clear" w:color="auto" w:fill="auto"/>
            <w:tcMar>
              <w:top w:w="0" w:type="dxa"/>
              <w:left w:w="20" w:type="dxa"/>
              <w:bottom w:w="0" w:type="dxa"/>
              <w:right w:w="20" w:type="dxa"/>
            </w:tcMar>
            <w:vAlign w:val="bottom"/>
          </w:tcPr>
          <w:p w14:paraId="71D3EE2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E22" w14:textId="77777777" w:rsidR="006A3667" w:rsidRDefault="00045F32">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E2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E24" w14:textId="77777777" w:rsidR="006A3667" w:rsidRDefault="00045F32">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EE2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EE26" w14:textId="77777777" w:rsidR="006A3667" w:rsidRDefault="00045F32">
            <w:pPr>
              <w:jc w:val="center"/>
              <w:textAlignment w:val="bottom"/>
            </w:pPr>
            <w:r>
              <w:rPr>
                <w:rFonts w:ascii="Arial" w:eastAsia="宋体" w:hAnsi="Arial" w:cs="Arial"/>
                <w:b/>
                <w:bCs/>
                <w:color w:val="000000"/>
                <w:sz w:val="12"/>
                <w:szCs w:val="12"/>
              </w:rPr>
              <w:t>Rate</w:t>
            </w:r>
          </w:p>
        </w:tc>
        <w:tc>
          <w:tcPr>
            <w:tcW w:w="0" w:type="auto"/>
            <w:shd w:val="clear" w:color="auto" w:fill="auto"/>
            <w:vAlign w:val="bottom"/>
          </w:tcPr>
          <w:p w14:paraId="71D3EE27" w14:textId="77777777" w:rsidR="006A3667" w:rsidRDefault="006A3667">
            <w:pPr>
              <w:rPr>
                <w:rFonts w:ascii="宋体"/>
                <w:vanish/>
              </w:rPr>
            </w:pPr>
          </w:p>
        </w:tc>
        <w:tc>
          <w:tcPr>
            <w:tcW w:w="0" w:type="auto"/>
            <w:shd w:val="clear" w:color="auto" w:fill="auto"/>
            <w:vAlign w:val="bottom"/>
          </w:tcPr>
          <w:p w14:paraId="71D3EE28" w14:textId="77777777" w:rsidR="006A3667" w:rsidRDefault="006A3667">
            <w:pPr>
              <w:rPr>
                <w:rFonts w:ascii="宋体"/>
                <w:vanish/>
              </w:rPr>
            </w:pPr>
          </w:p>
        </w:tc>
        <w:tc>
          <w:tcPr>
            <w:tcW w:w="0" w:type="auto"/>
            <w:shd w:val="clear" w:color="auto" w:fill="auto"/>
            <w:vAlign w:val="bottom"/>
          </w:tcPr>
          <w:p w14:paraId="71D3EE29" w14:textId="77777777" w:rsidR="006A3667" w:rsidRDefault="006A3667">
            <w:pPr>
              <w:rPr>
                <w:rFonts w:ascii="宋体"/>
                <w:vanish/>
              </w:rPr>
            </w:pPr>
          </w:p>
        </w:tc>
        <w:tc>
          <w:tcPr>
            <w:tcW w:w="0" w:type="auto"/>
            <w:shd w:val="clear" w:color="auto" w:fill="auto"/>
            <w:vAlign w:val="bottom"/>
          </w:tcPr>
          <w:p w14:paraId="71D3EE2A" w14:textId="77777777" w:rsidR="006A3667" w:rsidRDefault="006A3667">
            <w:pPr>
              <w:rPr>
                <w:rFonts w:ascii="宋体"/>
                <w:vanish/>
              </w:rPr>
            </w:pPr>
          </w:p>
        </w:tc>
        <w:tc>
          <w:tcPr>
            <w:tcW w:w="0" w:type="auto"/>
            <w:gridSpan w:val="3"/>
            <w:shd w:val="clear" w:color="auto" w:fill="auto"/>
            <w:vAlign w:val="bottom"/>
          </w:tcPr>
          <w:p w14:paraId="71D3EE2B" w14:textId="77777777" w:rsidR="006A3667" w:rsidRDefault="006A3667">
            <w:pPr>
              <w:rPr>
                <w:rFonts w:ascii="宋体"/>
                <w:vanish/>
              </w:rPr>
            </w:pPr>
          </w:p>
        </w:tc>
        <w:tc>
          <w:tcPr>
            <w:tcW w:w="0" w:type="auto"/>
            <w:gridSpan w:val="3"/>
            <w:shd w:val="clear" w:color="auto" w:fill="auto"/>
            <w:vAlign w:val="bottom"/>
          </w:tcPr>
          <w:p w14:paraId="71D3EE2C" w14:textId="77777777" w:rsidR="006A3667" w:rsidRDefault="006A3667">
            <w:pPr>
              <w:rPr>
                <w:rFonts w:ascii="宋体"/>
                <w:vanish/>
              </w:rPr>
            </w:pPr>
          </w:p>
        </w:tc>
        <w:tc>
          <w:tcPr>
            <w:tcW w:w="0" w:type="auto"/>
            <w:gridSpan w:val="3"/>
            <w:shd w:val="clear" w:color="auto" w:fill="auto"/>
            <w:vAlign w:val="bottom"/>
          </w:tcPr>
          <w:p w14:paraId="71D3EE2D" w14:textId="77777777" w:rsidR="006A3667" w:rsidRDefault="006A3667">
            <w:pPr>
              <w:rPr>
                <w:rFonts w:ascii="宋体"/>
                <w:vanish/>
              </w:rPr>
            </w:pPr>
          </w:p>
        </w:tc>
        <w:tc>
          <w:tcPr>
            <w:tcW w:w="0" w:type="auto"/>
            <w:gridSpan w:val="3"/>
            <w:shd w:val="clear" w:color="auto" w:fill="auto"/>
            <w:vAlign w:val="bottom"/>
          </w:tcPr>
          <w:p w14:paraId="71D3EE2E" w14:textId="77777777" w:rsidR="006A3667" w:rsidRDefault="006A3667">
            <w:pPr>
              <w:rPr>
                <w:rFonts w:ascii="宋体"/>
                <w:vanish/>
              </w:rPr>
            </w:pPr>
          </w:p>
        </w:tc>
        <w:tc>
          <w:tcPr>
            <w:tcW w:w="0" w:type="auto"/>
            <w:gridSpan w:val="2"/>
            <w:shd w:val="clear" w:color="auto" w:fill="auto"/>
            <w:vAlign w:val="bottom"/>
          </w:tcPr>
          <w:p w14:paraId="71D3EE2F" w14:textId="77777777" w:rsidR="006A3667" w:rsidRDefault="006A3667">
            <w:pPr>
              <w:rPr>
                <w:rFonts w:ascii="宋体"/>
                <w:vanish/>
              </w:rPr>
            </w:pPr>
          </w:p>
        </w:tc>
        <w:tc>
          <w:tcPr>
            <w:tcW w:w="0" w:type="auto"/>
            <w:shd w:val="clear" w:color="auto" w:fill="auto"/>
            <w:vAlign w:val="bottom"/>
          </w:tcPr>
          <w:p w14:paraId="71D3EE30" w14:textId="77777777" w:rsidR="006A3667" w:rsidRDefault="006A3667">
            <w:pPr>
              <w:rPr>
                <w:rFonts w:ascii="宋体"/>
                <w:vanish/>
              </w:rPr>
            </w:pPr>
          </w:p>
        </w:tc>
      </w:tr>
      <w:tr w:rsidR="006A3667" w14:paraId="71D3EE52" w14:textId="77777777">
        <w:tc>
          <w:tcPr>
            <w:tcW w:w="0" w:type="auto"/>
            <w:gridSpan w:val="3"/>
            <w:shd w:val="clear" w:color="auto" w:fill="CCEEFF"/>
            <w:tcMar>
              <w:top w:w="40" w:type="dxa"/>
              <w:left w:w="20" w:type="dxa"/>
              <w:bottom w:w="40" w:type="dxa"/>
              <w:right w:w="20" w:type="dxa"/>
            </w:tcMar>
            <w:vAlign w:val="bottom"/>
          </w:tcPr>
          <w:p w14:paraId="71D3EE32" w14:textId="77777777" w:rsidR="006A3667" w:rsidRDefault="00045F32">
            <w:pPr>
              <w:textAlignment w:val="bottom"/>
            </w:pPr>
            <w:r>
              <w:rPr>
                <w:rFonts w:ascii="Arial" w:eastAsia="宋体" w:hAnsi="Arial" w:cs="Arial"/>
                <w:color w:val="000000"/>
                <w:sz w:val="12"/>
                <w:szCs w:val="12"/>
              </w:rPr>
              <w:t xml:space="preserve">Interest-bearing deposits with banks </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E33"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E34" w14:textId="77777777" w:rsidR="006A3667" w:rsidRDefault="00045F32">
            <w:pPr>
              <w:jc w:val="right"/>
              <w:textAlignment w:val="bottom"/>
            </w:pPr>
            <w:r>
              <w:rPr>
                <w:rFonts w:ascii="Arial" w:eastAsia="宋体" w:hAnsi="Arial" w:cs="Arial"/>
                <w:b/>
                <w:bCs/>
                <w:color w:val="000000"/>
                <w:sz w:val="12"/>
                <w:szCs w:val="12"/>
              </w:rPr>
              <w:t>68,918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E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3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E37"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E38" w14:textId="77777777" w:rsidR="006A3667" w:rsidRDefault="00045F32">
            <w:pPr>
              <w:jc w:val="right"/>
              <w:textAlignment w:val="bottom"/>
            </w:pPr>
            <w:r>
              <w:rPr>
                <w:rFonts w:ascii="Arial" w:eastAsia="宋体" w:hAnsi="Arial" w:cs="Arial"/>
                <w:b/>
                <w:bCs/>
                <w:color w:val="000000"/>
                <w:sz w:val="12"/>
                <w:szCs w:val="12"/>
              </w:rPr>
              <w:t>202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E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3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E3B" w14:textId="77777777" w:rsidR="006A3667" w:rsidRDefault="00045F32">
            <w:pPr>
              <w:jc w:val="right"/>
              <w:textAlignment w:val="bottom"/>
            </w:pPr>
            <w:r>
              <w:rPr>
                <w:rFonts w:ascii="Arial" w:eastAsia="宋体" w:hAnsi="Arial" w:cs="Arial"/>
                <w:b/>
                <w:bCs/>
                <w:color w:val="000000"/>
                <w:sz w:val="12"/>
                <w:szCs w:val="12"/>
              </w:rPr>
              <w:t>1.16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E3C"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3EE3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E3E"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E3F" w14:textId="77777777" w:rsidR="006A3667" w:rsidRDefault="00045F32">
            <w:pPr>
              <w:jc w:val="right"/>
              <w:textAlignment w:val="bottom"/>
            </w:pPr>
            <w:r>
              <w:rPr>
                <w:rFonts w:ascii="Arial" w:eastAsia="宋体" w:hAnsi="Arial" w:cs="Arial"/>
                <w:color w:val="000000"/>
                <w:sz w:val="12"/>
                <w:szCs w:val="12"/>
              </w:rPr>
              <w:t>79,375 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E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4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E42"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E43" w14:textId="77777777" w:rsidR="006A3667" w:rsidRDefault="00045F32">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E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4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E46" w14:textId="77777777" w:rsidR="006A3667" w:rsidRDefault="00045F32">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E47" w14:textId="77777777" w:rsidR="006A3667" w:rsidRDefault="00045F32">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1D3EE48" w14:textId="77777777" w:rsidR="006A3667" w:rsidRDefault="006A3667">
            <w:pPr>
              <w:rPr>
                <w:rFonts w:ascii="宋体"/>
                <w:vanish/>
              </w:rPr>
            </w:pPr>
          </w:p>
        </w:tc>
        <w:tc>
          <w:tcPr>
            <w:tcW w:w="0" w:type="auto"/>
            <w:shd w:val="clear" w:color="auto" w:fill="auto"/>
            <w:vAlign w:val="bottom"/>
          </w:tcPr>
          <w:p w14:paraId="71D3EE49" w14:textId="77777777" w:rsidR="006A3667" w:rsidRDefault="006A3667">
            <w:pPr>
              <w:rPr>
                <w:rFonts w:ascii="宋体"/>
                <w:vanish/>
              </w:rPr>
            </w:pPr>
          </w:p>
        </w:tc>
        <w:tc>
          <w:tcPr>
            <w:tcW w:w="0" w:type="auto"/>
            <w:shd w:val="clear" w:color="auto" w:fill="auto"/>
            <w:vAlign w:val="bottom"/>
          </w:tcPr>
          <w:p w14:paraId="71D3EE4A" w14:textId="77777777" w:rsidR="006A3667" w:rsidRDefault="006A3667">
            <w:pPr>
              <w:rPr>
                <w:rFonts w:ascii="宋体"/>
                <w:vanish/>
              </w:rPr>
            </w:pPr>
          </w:p>
        </w:tc>
        <w:tc>
          <w:tcPr>
            <w:tcW w:w="0" w:type="auto"/>
            <w:shd w:val="clear" w:color="auto" w:fill="auto"/>
            <w:vAlign w:val="bottom"/>
          </w:tcPr>
          <w:p w14:paraId="71D3EE4B" w14:textId="77777777" w:rsidR="006A3667" w:rsidRDefault="006A3667">
            <w:pPr>
              <w:rPr>
                <w:rFonts w:ascii="宋体"/>
                <w:vanish/>
              </w:rPr>
            </w:pPr>
          </w:p>
        </w:tc>
        <w:tc>
          <w:tcPr>
            <w:tcW w:w="0" w:type="auto"/>
            <w:gridSpan w:val="3"/>
            <w:shd w:val="clear" w:color="auto" w:fill="auto"/>
            <w:vAlign w:val="bottom"/>
          </w:tcPr>
          <w:p w14:paraId="71D3EE4C" w14:textId="77777777" w:rsidR="006A3667" w:rsidRDefault="006A3667">
            <w:pPr>
              <w:rPr>
                <w:rFonts w:ascii="宋体"/>
                <w:vanish/>
              </w:rPr>
            </w:pPr>
          </w:p>
        </w:tc>
        <w:tc>
          <w:tcPr>
            <w:tcW w:w="0" w:type="auto"/>
            <w:gridSpan w:val="3"/>
            <w:shd w:val="clear" w:color="auto" w:fill="auto"/>
            <w:vAlign w:val="bottom"/>
          </w:tcPr>
          <w:p w14:paraId="71D3EE4D" w14:textId="77777777" w:rsidR="006A3667" w:rsidRDefault="006A3667">
            <w:pPr>
              <w:rPr>
                <w:rFonts w:ascii="宋体"/>
                <w:vanish/>
              </w:rPr>
            </w:pPr>
          </w:p>
        </w:tc>
        <w:tc>
          <w:tcPr>
            <w:tcW w:w="0" w:type="auto"/>
            <w:gridSpan w:val="3"/>
            <w:shd w:val="clear" w:color="auto" w:fill="auto"/>
            <w:vAlign w:val="bottom"/>
          </w:tcPr>
          <w:p w14:paraId="71D3EE4E" w14:textId="77777777" w:rsidR="006A3667" w:rsidRDefault="006A3667">
            <w:pPr>
              <w:rPr>
                <w:rFonts w:ascii="宋体"/>
                <w:vanish/>
              </w:rPr>
            </w:pPr>
          </w:p>
        </w:tc>
        <w:tc>
          <w:tcPr>
            <w:tcW w:w="0" w:type="auto"/>
            <w:gridSpan w:val="3"/>
            <w:shd w:val="clear" w:color="auto" w:fill="auto"/>
            <w:vAlign w:val="bottom"/>
          </w:tcPr>
          <w:p w14:paraId="71D3EE4F" w14:textId="77777777" w:rsidR="006A3667" w:rsidRDefault="006A3667">
            <w:pPr>
              <w:rPr>
                <w:rFonts w:ascii="宋体"/>
                <w:vanish/>
              </w:rPr>
            </w:pPr>
          </w:p>
        </w:tc>
        <w:tc>
          <w:tcPr>
            <w:tcW w:w="0" w:type="auto"/>
            <w:gridSpan w:val="2"/>
            <w:shd w:val="clear" w:color="auto" w:fill="auto"/>
            <w:vAlign w:val="bottom"/>
          </w:tcPr>
          <w:p w14:paraId="71D3EE50" w14:textId="77777777" w:rsidR="006A3667" w:rsidRDefault="006A3667">
            <w:pPr>
              <w:rPr>
                <w:rFonts w:ascii="宋体"/>
                <w:vanish/>
              </w:rPr>
            </w:pPr>
          </w:p>
        </w:tc>
        <w:tc>
          <w:tcPr>
            <w:tcW w:w="0" w:type="auto"/>
            <w:shd w:val="clear" w:color="auto" w:fill="auto"/>
            <w:vAlign w:val="bottom"/>
          </w:tcPr>
          <w:p w14:paraId="71D3EE51" w14:textId="77777777" w:rsidR="006A3667" w:rsidRDefault="006A3667">
            <w:pPr>
              <w:rPr>
                <w:rFonts w:ascii="宋体"/>
                <w:vanish/>
              </w:rPr>
            </w:pPr>
          </w:p>
        </w:tc>
      </w:tr>
      <w:tr w:rsidR="006A3667" w14:paraId="71D3EE6F" w14:textId="77777777">
        <w:tc>
          <w:tcPr>
            <w:tcW w:w="0" w:type="auto"/>
            <w:gridSpan w:val="3"/>
            <w:shd w:val="clear" w:color="auto" w:fill="FFFFFF"/>
            <w:tcMar>
              <w:top w:w="40" w:type="dxa"/>
              <w:left w:w="20" w:type="dxa"/>
              <w:bottom w:w="40" w:type="dxa"/>
              <w:right w:w="20" w:type="dxa"/>
            </w:tcMar>
            <w:vAlign w:val="bottom"/>
          </w:tcPr>
          <w:p w14:paraId="71D3EE53" w14:textId="77777777" w:rsidR="006A3667" w:rsidRDefault="00045F32">
            <w:pP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71D3EE54" w14:textId="77777777" w:rsidR="006A3667" w:rsidRDefault="00045F32">
            <w:pPr>
              <w:jc w:val="right"/>
              <w:textAlignment w:val="bottom"/>
            </w:pPr>
            <w:r>
              <w:rPr>
                <w:rFonts w:ascii="Arial" w:eastAsia="宋体" w:hAnsi="Arial" w:cs="Arial"/>
                <w:b/>
                <w:bCs/>
                <w:color w:val="000000"/>
                <w:sz w:val="12"/>
                <w:szCs w:val="12"/>
              </w:rPr>
              <w:t>1,470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E5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5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57" w14:textId="77777777" w:rsidR="006A3667" w:rsidRDefault="00045F32">
            <w:pPr>
              <w:jc w:val="right"/>
              <w:textAlignment w:val="bottom"/>
            </w:pPr>
            <w:r>
              <w:rPr>
                <w:rFonts w:ascii="Arial" w:eastAsia="宋体" w:hAnsi="Arial" w:cs="Arial"/>
                <w:b/>
                <w:bCs/>
                <w:color w:val="000000"/>
                <w:sz w:val="12"/>
                <w:szCs w:val="12"/>
              </w:rPr>
              <w:t>57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E5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5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5A" w14:textId="77777777" w:rsidR="006A3667" w:rsidRDefault="00045F32">
            <w:pPr>
              <w:jc w:val="right"/>
              <w:textAlignment w:val="bottom"/>
            </w:pPr>
            <w:r>
              <w:rPr>
                <w:rFonts w:ascii="Arial" w:eastAsia="宋体" w:hAnsi="Arial" w:cs="Arial"/>
                <w:b/>
                <w:bCs/>
                <w:color w:val="000000"/>
                <w:sz w:val="12"/>
                <w:szCs w:val="12"/>
              </w:rPr>
              <w:t>15.55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E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5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5D" w14:textId="77777777" w:rsidR="006A3667" w:rsidRDefault="00045F32">
            <w:pPr>
              <w:jc w:val="right"/>
              <w:textAlignment w:val="bottom"/>
            </w:pPr>
            <w:r>
              <w:rPr>
                <w:rFonts w:ascii="Arial" w:eastAsia="宋体" w:hAnsi="Arial" w:cs="Arial"/>
                <w:color w:val="000000"/>
                <w:sz w:val="12"/>
                <w:szCs w:val="12"/>
              </w:rPr>
              <w:t>4,061 </w:t>
            </w:r>
          </w:p>
        </w:tc>
        <w:tc>
          <w:tcPr>
            <w:tcW w:w="0" w:type="auto"/>
            <w:shd w:val="clear" w:color="auto" w:fill="FFFFFF"/>
            <w:tcMar>
              <w:top w:w="40" w:type="dxa"/>
              <w:left w:w="0" w:type="dxa"/>
              <w:bottom w:w="40" w:type="dxa"/>
              <w:right w:w="20" w:type="dxa"/>
            </w:tcMar>
            <w:vAlign w:val="bottom"/>
          </w:tcPr>
          <w:p w14:paraId="71D3EE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60" w14:textId="77777777" w:rsidR="006A3667" w:rsidRDefault="00045F32">
            <w:pPr>
              <w:jc w:val="right"/>
              <w:textAlignment w:val="bottom"/>
            </w:pPr>
            <w:r>
              <w:rPr>
                <w:rFonts w:ascii="Arial" w:eastAsia="宋体" w:hAnsi="Arial" w:cs="Arial"/>
                <w:color w:val="000000"/>
                <w:sz w:val="12"/>
                <w:szCs w:val="12"/>
              </w:rPr>
              <w:t>6 </w:t>
            </w:r>
          </w:p>
        </w:tc>
        <w:tc>
          <w:tcPr>
            <w:tcW w:w="0" w:type="auto"/>
            <w:shd w:val="clear" w:color="auto" w:fill="FFFFFF"/>
            <w:tcMar>
              <w:top w:w="40" w:type="dxa"/>
              <w:left w:w="0" w:type="dxa"/>
              <w:bottom w:w="40" w:type="dxa"/>
              <w:right w:w="20" w:type="dxa"/>
            </w:tcMar>
            <w:vAlign w:val="bottom"/>
          </w:tcPr>
          <w:p w14:paraId="71D3EE6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6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63" w14:textId="77777777" w:rsidR="006A3667" w:rsidRDefault="00045F32">
            <w:pPr>
              <w:jc w:val="right"/>
              <w:textAlignment w:val="bottom"/>
            </w:pPr>
            <w:r>
              <w:rPr>
                <w:rFonts w:ascii="Arial" w:eastAsia="宋体" w:hAnsi="Arial" w:cs="Arial"/>
                <w:color w:val="000000"/>
                <w:sz w:val="12"/>
                <w:szCs w:val="12"/>
              </w:rPr>
              <w:t>.65 </w:t>
            </w:r>
          </w:p>
        </w:tc>
        <w:tc>
          <w:tcPr>
            <w:tcW w:w="0" w:type="auto"/>
            <w:shd w:val="clear" w:color="auto" w:fill="FFFFFF"/>
            <w:tcMar>
              <w:top w:w="40" w:type="dxa"/>
              <w:left w:w="0" w:type="dxa"/>
              <w:bottom w:w="40" w:type="dxa"/>
              <w:right w:w="20" w:type="dxa"/>
            </w:tcMar>
            <w:vAlign w:val="bottom"/>
          </w:tcPr>
          <w:p w14:paraId="71D3EE64" w14:textId="77777777" w:rsidR="006A3667" w:rsidRDefault="006A3667">
            <w:pPr>
              <w:jc w:val="right"/>
              <w:rPr>
                <w:rFonts w:ascii="宋体"/>
              </w:rPr>
            </w:pPr>
          </w:p>
        </w:tc>
        <w:tc>
          <w:tcPr>
            <w:tcW w:w="0" w:type="auto"/>
            <w:shd w:val="clear" w:color="auto" w:fill="auto"/>
            <w:vAlign w:val="bottom"/>
          </w:tcPr>
          <w:p w14:paraId="71D3EE65" w14:textId="77777777" w:rsidR="006A3667" w:rsidRDefault="006A3667">
            <w:pPr>
              <w:rPr>
                <w:rFonts w:ascii="宋体"/>
                <w:vanish/>
              </w:rPr>
            </w:pPr>
          </w:p>
        </w:tc>
        <w:tc>
          <w:tcPr>
            <w:tcW w:w="0" w:type="auto"/>
            <w:shd w:val="clear" w:color="auto" w:fill="auto"/>
            <w:vAlign w:val="bottom"/>
          </w:tcPr>
          <w:p w14:paraId="71D3EE66" w14:textId="77777777" w:rsidR="006A3667" w:rsidRDefault="006A3667">
            <w:pPr>
              <w:rPr>
                <w:rFonts w:ascii="宋体"/>
                <w:vanish/>
              </w:rPr>
            </w:pPr>
          </w:p>
        </w:tc>
        <w:tc>
          <w:tcPr>
            <w:tcW w:w="0" w:type="auto"/>
            <w:shd w:val="clear" w:color="auto" w:fill="auto"/>
            <w:vAlign w:val="bottom"/>
          </w:tcPr>
          <w:p w14:paraId="71D3EE67" w14:textId="77777777" w:rsidR="006A3667" w:rsidRDefault="006A3667">
            <w:pPr>
              <w:rPr>
                <w:rFonts w:ascii="宋体"/>
                <w:vanish/>
              </w:rPr>
            </w:pPr>
          </w:p>
        </w:tc>
        <w:tc>
          <w:tcPr>
            <w:tcW w:w="0" w:type="auto"/>
            <w:shd w:val="clear" w:color="auto" w:fill="auto"/>
            <w:vAlign w:val="bottom"/>
          </w:tcPr>
          <w:p w14:paraId="71D3EE68" w14:textId="77777777" w:rsidR="006A3667" w:rsidRDefault="006A3667">
            <w:pPr>
              <w:rPr>
                <w:rFonts w:ascii="宋体"/>
                <w:vanish/>
              </w:rPr>
            </w:pPr>
          </w:p>
        </w:tc>
        <w:tc>
          <w:tcPr>
            <w:tcW w:w="0" w:type="auto"/>
            <w:gridSpan w:val="3"/>
            <w:shd w:val="clear" w:color="auto" w:fill="auto"/>
            <w:vAlign w:val="bottom"/>
          </w:tcPr>
          <w:p w14:paraId="71D3EE69" w14:textId="77777777" w:rsidR="006A3667" w:rsidRDefault="006A3667">
            <w:pPr>
              <w:rPr>
                <w:rFonts w:ascii="宋体"/>
                <w:vanish/>
              </w:rPr>
            </w:pPr>
          </w:p>
        </w:tc>
        <w:tc>
          <w:tcPr>
            <w:tcW w:w="0" w:type="auto"/>
            <w:gridSpan w:val="3"/>
            <w:shd w:val="clear" w:color="auto" w:fill="auto"/>
            <w:vAlign w:val="bottom"/>
          </w:tcPr>
          <w:p w14:paraId="71D3EE6A" w14:textId="77777777" w:rsidR="006A3667" w:rsidRDefault="006A3667">
            <w:pPr>
              <w:rPr>
                <w:rFonts w:ascii="宋体"/>
                <w:vanish/>
              </w:rPr>
            </w:pPr>
          </w:p>
        </w:tc>
        <w:tc>
          <w:tcPr>
            <w:tcW w:w="0" w:type="auto"/>
            <w:gridSpan w:val="3"/>
            <w:shd w:val="clear" w:color="auto" w:fill="auto"/>
            <w:vAlign w:val="bottom"/>
          </w:tcPr>
          <w:p w14:paraId="71D3EE6B" w14:textId="77777777" w:rsidR="006A3667" w:rsidRDefault="006A3667">
            <w:pPr>
              <w:rPr>
                <w:rFonts w:ascii="宋体"/>
                <w:vanish/>
              </w:rPr>
            </w:pPr>
          </w:p>
        </w:tc>
        <w:tc>
          <w:tcPr>
            <w:tcW w:w="0" w:type="auto"/>
            <w:gridSpan w:val="3"/>
            <w:shd w:val="clear" w:color="auto" w:fill="auto"/>
            <w:vAlign w:val="bottom"/>
          </w:tcPr>
          <w:p w14:paraId="71D3EE6C" w14:textId="77777777" w:rsidR="006A3667" w:rsidRDefault="006A3667">
            <w:pPr>
              <w:rPr>
                <w:rFonts w:ascii="宋体"/>
                <w:vanish/>
              </w:rPr>
            </w:pPr>
          </w:p>
        </w:tc>
        <w:tc>
          <w:tcPr>
            <w:tcW w:w="0" w:type="auto"/>
            <w:gridSpan w:val="2"/>
            <w:shd w:val="clear" w:color="auto" w:fill="auto"/>
            <w:vAlign w:val="bottom"/>
          </w:tcPr>
          <w:p w14:paraId="71D3EE6D" w14:textId="77777777" w:rsidR="006A3667" w:rsidRDefault="006A3667">
            <w:pPr>
              <w:rPr>
                <w:rFonts w:ascii="宋体"/>
                <w:vanish/>
              </w:rPr>
            </w:pPr>
          </w:p>
        </w:tc>
        <w:tc>
          <w:tcPr>
            <w:tcW w:w="0" w:type="auto"/>
            <w:shd w:val="clear" w:color="auto" w:fill="auto"/>
            <w:vAlign w:val="bottom"/>
          </w:tcPr>
          <w:p w14:paraId="71D3EE6E" w14:textId="77777777" w:rsidR="006A3667" w:rsidRDefault="006A3667">
            <w:pPr>
              <w:rPr>
                <w:rFonts w:ascii="宋体"/>
                <w:vanish/>
              </w:rPr>
            </w:pPr>
          </w:p>
        </w:tc>
      </w:tr>
      <w:tr w:rsidR="006A3667" w14:paraId="71D3EE8C" w14:textId="77777777">
        <w:tc>
          <w:tcPr>
            <w:tcW w:w="0" w:type="auto"/>
            <w:gridSpan w:val="3"/>
            <w:shd w:val="clear" w:color="auto" w:fill="CCEEFF"/>
            <w:tcMar>
              <w:top w:w="40" w:type="dxa"/>
              <w:left w:w="20" w:type="dxa"/>
              <w:bottom w:w="40" w:type="dxa"/>
              <w:right w:w="20" w:type="dxa"/>
            </w:tcMar>
            <w:vAlign w:val="bottom"/>
          </w:tcPr>
          <w:p w14:paraId="71D3EE70" w14:textId="77777777" w:rsidR="006A3667" w:rsidRDefault="00045F32">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71D3EE71" w14:textId="77777777" w:rsidR="006A3667" w:rsidRDefault="00045F32">
            <w:pPr>
              <w:jc w:val="right"/>
              <w:textAlignment w:val="bottom"/>
            </w:pPr>
            <w:r>
              <w:rPr>
                <w:rFonts w:ascii="Arial" w:eastAsia="宋体" w:hAnsi="Arial" w:cs="Arial"/>
                <w:b/>
                <w:bCs/>
                <w:color w:val="000000"/>
                <w:sz w:val="12"/>
                <w:szCs w:val="12"/>
              </w:rPr>
              <w:t>701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7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74"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7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77"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7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7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7A" w14:textId="77777777" w:rsidR="006A3667" w:rsidRDefault="00045F32">
            <w:pPr>
              <w:jc w:val="right"/>
              <w:textAlignment w:val="bottom"/>
            </w:pPr>
            <w:r>
              <w:rPr>
                <w:rFonts w:ascii="Arial" w:eastAsia="宋体" w:hAnsi="Arial" w:cs="Arial"/>
                <w:color w:val="000000"/>
                <w:sz w:val="12"/>
                <w:szCs w:val="12"/>
              </w:rPr>
              <w:t>733 </w:t>
            </w:r>
          </w:p>
        </w:tc>
        <w:tc>
          <w:tcPr>
            <w:tcW w:w="0" w:type="auto"/>
            <w:shd w:val="clear" w:color="auto" w:fill="CCEEFF"/>
            <w:tcMar>
              <w:top w:w="40" w:type="dxa"/>
              <w:left w:w="0" w:type="dxa"/>
              <w:bottom w:w="40" w:type="dxa"/>
              <w:right w:w="20" w:type="dxa"/>
            </w:tcMar>
            <w:vAlign w:val="bottom"/>
          </w:tcPr>
          <w:p w14:paraId="71D3EE7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7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7D"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7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80" w14:textId="77777777" w:rsidR="006A3667" w:rsidRDefault="00045F32">
            <w:pPr>
              <w:jc w:val="right"/>
              <w:textAlignment w:val="bottom"/>
            </w:pPr>
            <w:r>
              <w:rPr>
                <w:rFonts w:ascii="Arial" w:eastAsia="宋体" w:hAnsi="Arial" w:cs="Arial"/>
                <w:color w:val="000000"/>
                <w:sz w:val="12"/>
                <w:szCs w:val="12"/>
              </w:rPr>
              <w:t>.02 </w:t>
            </w:r>
          </w:p>
        </w:tc>
        <w:tc>
          <w:tcPr>
            <w:tcW w:w="0" w:type="auto"/>
            <w:shd w:val="clear" w:color="auto" w:fill="CCEEFF"/>
            <w:tcMar>
              <w:top w:w="40" w:type="dxa"/>
              <w:left w:w="0" w:type="dxa"/>
              <w:bottom w:w="40" w:type="dxa"/>
              <w:right w:w="20" w:type="dxa"/>
            </w:tcMar>
            <w:vAlign w:val="bottom"/>
          </w:tcPr>
          <w:p w14:paraId="71D3EE81" w14:textId="77777777" w:rsidR="006A3667" w:rsidRDefault="006A3667">
            <w:pPr>
              <w:jc w:val="right"/>
              <w:rPr>
                <w:rFonts w:ascii="宋体"/>
              </w:rPr>
            </w:pPr>
          </w:p>
        </w:tc>
        <w:tc>
          <w:tcPr>
            <w:tcW w:w="0" w:type="auto"/>
            <w:shd w:val="clear" w:color="auto" w:fill="auto"/>
            <w:vAlign w:val="bottom"/>
          </w:tcPr>
          <w:p w14:paraId="71D3EE82" w14:textId="77777777" w:rsidR="006A3667" w:rsidRDefault="006A3667">
            <w:pPr>
              <w:rPr>
                <w:rFonts w:ascii="宋体"/>
                <w:vanish/>
              </w:rPr>
            </w:pPr>
          </w:p>
        </w:tc>
        <w:tc>
          <w:tcPr>
            <w:tcW w:w="0" w:type="auto"/>
            <w:shd w:val="clear" w:color="auto" w:fill="auto"/>
            <w:vAlign w:val="bottom"/>
          </w:tcPr>
          <w:p w14:paraId="71D3EE83" w14:textId="77777777" w:rsidR="006A3667" w:rsidRDefault="006A3667">
            <w:pPr>
              <w:rPr>
                <w:rFonts w:ascii="宋体"/>
                <w:vanish/>
              </w:rPr>
            </w:pPr>
          </w:p>
        </w:tc>
        <w:tc>
          <w:tcPr>
            <w:tcW w:w="0" w:type="auto"/>
            <w:shd w:val="clear" w:color="auto" w:fill="auto"/>
            <w:vAlign w:val="bottom"/>
          </w:tcPr>
          <w:p w14:paraId="71D3EE84" w14:textId="77777777" w:rsidR="006A3667" w:rsidRDefault="006A3667">
            <w:pPr>
              <w:rPr>
                <w:rFonts w:ascii="宋体"/>
                <w:vanish/>
              </w:rPr>
            </w:pPr>
          </w:p>
        </w:tc>
        <w:tc>
          <w:tcPr>
            <w:tcW w:w="0" w:type="auto"/>
            <w:shd w:val="clear" w:color="auto" w:fill="auto"/>
            <w:vAlign w:val="bottom"/>
          </w:tcPr>
          <w:p w14:paraId="71D3EE85" w14:textId="77777777" w:rsidR="006A3667" w:rsidRDefault="006A3667">
            <w:pPr>
              <w:rPr>
                <w:rFonts w:ascii="宋体"/>
                <w:vanish/>
              </w:rPr>
            </w:pPr>
          </w:p>
        </w:tc>
        <w:tc>
          <w:tcPr>
            <w:tcW w:w="0" w:type="auto"/>
            <w:gridSpan w:val="3"/>
            <w:shd w:val="clear" w:color="auto" w:fill="auto"/>
            <w:vAlign w:val="bottom"/>
          </w:tcPr>
          <w:p w14:paraId="71D3EE86" w14:textId="77777777" w:rsidR="006A3667" w:rsidRDefault="006A3667">
            <w:pPr>
              <w:rPr>
                <w:rFonts w:ascii="宋体"/>
                <w:vanish/>
              </w:rPr>
            </w:pPr>
          </w:p>
        </w:tc>
        <w:tc>
          <w:tcPr>
            <w:tcW w:w="0" w:type="auto"/>
            <w:gridSpan w:val="3"/>
            <w:shd w:val="clear" w:color="auto" w:fill="auto"/>
            <w:vAlign w:val="bottom"/>
          </w:tcPr>
          <w:p w14:paraId="71D3EE87" w14:textId="77777777" w:rsidR="006A3667" w:rsidRDefault="006A3667">
            <w:pPr>
              <w:rPr>
                <w:rFonts w:ascii="宋体"/>
                <w:vanish/>
              </w:rPr>
            </w:pPr>
          </w:p>
        </w:tc>
        <w:tc>
          <w:tcPr>
            <w:tcW w:w="0" w:type="auto"/>
            <w:gridSpan w:val="3"/>
            <w:shd w:val="clear" w:color="auto" w:fill="auto"/>
            <w:vAlign w:val="bottom"/>
          </w:tcPr>
          <w:p w14:paraId="71D3EE88" w14:textId="77777777" w:rsidR="006A3667" w:rsidRDefault="006A3667">
            <w:pPr>
              <w:rPr>
                <w:rFonts w:ascii="宋体"/>
                <w:vanish/>
              </w:rPr>
            </w:pPr>
          </w:p>
        </w:tc>
        <w:tc>
          <w:tcPr>
            <w:tcW w:w="0" w:type="auto"/>
            <w:gridSpan w:val="3"/>
            <w:shd w:val="clear" w:color="auto" w:fill="auto"/>
            <w:vAlign w:val="bottom"/>
          </w:tcPr>
          <w:p w14:paraId="71D3EE89" w14:textId="77777777" w:rsidR="006A3667" w:rsidRDefault="006A3667">
            <w:pPr>
              <w:rPr>
                <w:rFonts w:ascii="宋体"/>
                <w:vanish/>
              </w:rPr>
            </w:pPr>
          </w:p>
        </w:tc>
        <w:tc>
          <w:tcPr>
            <w:tcW w:w="0" w:type="auto"/>
            <w:gridSpan w:val="2"/>
            <w:shd w:val="clear" w:color="auto" w:fill="auto"/>
            <w:vAlign w:val="bottom"/>
          </w:tcPr>
          <w:p w14:paraId="71D3EE8A" w14:textId="77777777" w:rsidR="006A3667" w:rsidRDefault="006A3667">
            <w:pPr>
              <w:rPr>
                <w:rFonts w:ascii="宋体"/>
                <w:vanish/>
              </w:rPr>
            </w:pPr>
          </w:p>
        </w:tc>
        <w:tc>
          <w:tcPr>
            <w:tcW w:w="0" w:type="auto"/>
            <w:shd w:val="clear" w:color="auto" w:fill="auto"/>
            <w:vAlign w:val="bottom"/>
          </w:tcPr>
          <w:p w14:paraId="71D3EE8B" w14:textId="77777777" w:rsidR="006A3667" w:rsidRDefault="006A3667">
            <w:pPr>
              <w:rPr>
                <w:rFonts w:ascii="宋体"/>
                <w:vanish/>
              </w:rPr>
            </w:pPr>
          </w:p>
        </w:tc>
      </w:tr>
      <w:tr w:rsidR="006A3667" w14:paraId="71D3EEA3" w14:textId="77777777">
        <w:tc>
          <w:tcPr>
            <w:tcW w:w="0" w:type="auto"/>
            <w:gridSpan w:val="3"/>
            <w:shd w:val="clear" w:color="auto" w:fill="FFFFFF"/>
            <w:tcMar>
              <w:top w:w="40" w:type="dxa"/>
              <w:left w:w="20" w:type="dxa"/>
              <w:bottom w:w="40" w:type="dxa"/>
              <w:right w:w="20" w:type="dxa"/>
            </w:tcMar>
            <w:vAlign w:val="bottom"/>
          </w:tcPr>
          <w:p w14:paraId="71D3EE8D" w14:textId="77777777" w:rsidR="006A3667" w:rsidRDefault="00045F32">
            <w:pPr>
              <w:textAlignment w:val="bottom"/>
            </w:pPr>
            <w:r>
              <w:rPr>
                <w:rFonts w:ascii="Arial" w:eastAsia="宋体" w:hAnsi="Arial" w:cs="Arial"/>
                <w:color w:val="000000"/>
                <w:sz w:val="12"/>
                <w:szCs w:val="12"/>
              </w:rPr>
              <w:t>Investment securities:</w:t>
            </w:r>
          </w:p>
        </w:tc>
        <w:tc>
          <w:tcPr>
            <w:tcW w:w="0" w:type="auto"/>
            <w:gridSpan w:val="3"/>
            <w:shd w:val="clear" w:color="auto" w:fill="FFFFFF"/>
            <w:tcMar>
              <w:top w:w="0" w:type="dxa"/>
              <w:left w:w="20" w:type="dxa"/>
              <w:bottom w:w="0" w:type="dxa"/>
              <w:right w:w="20" w:type="dxa"/>
            </w:tcMar>
            <w:vAlign w:val="bottom"/>
          </w:tcPr>
          <w:p w14:paraId="71D3EE8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8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E98" w14:textId="77777777" w:rsidR="006A3667" w:rsidRDefault="006A3667">
            <w:pPr>
              <w:rPr>
                <w:rFonts w:ascii="宋体"/>
              </w:rPr>
            </w:pPr>
          </w:p>
        </w:tc>
        <w:tc>
          <w:tcPr>
            <w:tcW w:w="0" w:type="auto"/>
            <w:shd w:val="clear" w:color="auto" w:fill="auto"/>
            <w:vAlign w:val="bottom"/>
          </w:tcPr>
          <w:p w14:paraId="71D3EE99" w14:textId="77777777" w:rsidR="006A3667" w:rsidRDefault="006A3667">
            <w:pPr>
              <w:rPr>
                <w:rFonts w:ascii="宋体"/>
                <w:vanish/>
              </w:rPr>
            </w:pPr>
          </w:p>
        </w:tc>
        <w:tc>
          <w:tcPr>
            <w:tcW w:w="0" w:type="auto"/>
            <w:shd w:val="clear" w:color="auto" w:fill="auto"/>
            <w:vAlign w:val="bottom"/>
          </w:tcPr>
          <w:p w14:paraId="71D3EE9A" w14:textId="77777777" w:rsidR="006A3667" w:rsidRDefault="006A3667">
            <w:pPr>
              <w:rPr>
                <w:rFonts w:ascii="宋体"/>
                <w:vanish/>
              </w:rPr>
            </w:pPr>
          </w:p>
        </w:tc>
        <w:tc>
          <w:tcPr>
            <w:tcW w:w="0" w:type="auto"/>
            <w:shd w:val="clear" w:color="auto" w:fill="auto"/>
            <w:vAlign w:val="bottom"/>
          </w:tcPr>
          <w:p w14:paraId="71D3EE9B" w14:textId="77777777" w:rsidR="006A3667" w:rsidRDefault="006A3667">
            <w:pPr>
              <w:rPr>
                <w:rFonts w:ascii="宋体"/>
                <w:vanish/>
              </w:rPr>
            </w:pPr>
          </w:p>
        </w:tc>
        <w:tc>
          <w:tcPr>
            <w:tcW w:w="0" w:type="auto"/>
            <w:shd w:val="clear" w:color="auto" w:fill="auto"/>
            <w:vAlign w:val="bottom"/>
          </w:tcPr>
          <w:p w14:paraId="71D3EE9C" w14:textId="77777777" w:rsidR="006A3667" w:rsidRDefault="006A3667">
            <w:pPr>
              <w:rPr>
                <w:rFonts w:ascii="宋体"/>
                <w:vanish/>
              </w:rPr>
            </w:pPr>
          </w:p>
        </w:tc>
        <w:tc>
          <w:tcPr>
            <w:tcW w:w="0" w:type="auto"/>
            <w:gridSpan w:val="3"/>
            <w:shd w:val="clear" w:color="auto" w:fill="auto"/>
            <w:vAlign w:val="bottom"/>
          </w:tcPr>
          <w:p w14:paraId="71D3EE9D" w14:textId="77777777" w:rsidR="006A3667" w:rsidRDefault="006A3667">
            <w:pPr>
              <w:rPr>
                <w:rFonts w:ascii="宋体"/>
                <w:vanish/>
              </w:rPr>
            </w:pPr>
          </w:p>
        </w:tc>
        <w:tc>
          <w:tcPr>
            <w:tcW w:w="0" w:type="auto"/>
            <w:gridSpan w:val="3"/>
            <w:shd w:val="clear" w:color="auto" w:fill="auto"/>
            <w:vAlign w:val="bottom"/>
          </w:tcPr>
          <w:p w14:paraId="71D3EE9E" w14:textId="77777777" w:rsidR="006A3667" w:rsidRDefault="006A3667">
            <w:pPr>
              <w:rPr>
                <w:rFonts w:ascii="宋体"/>
                <w:vanish/>
              </w:rPr>
            </w:pPr>
          </w:p>
        </w:tc>
        <w:tc>
          <w:tcPr>
            <w:tcW w:w="0" w:type="auto"/>
            <w:gridSpan w:val="3"/>
            <w:shd w:val="clear" w:color="auto" w:fill="auto"/>
            <w:vAlign w:val="bottom"/>
          </w:tcPr>
          <w:p w14:paraId="71D3EE9F" w14:textId="77777777" w:rsidR="006A3667" w:rsidRDefault="006A3667">
            <w:pPr>
              <w:rPr>
                <w:rFonts w:ascii="宋体"/>
                <w:vanish/>
              </w:rPr>
            </w:pPr>
          </w:p>
        </w:tc>
        <w:tc>
          <w:tcPr>
            <w:tcW w:w="0" w:type="auto"/>
            <w:gridSpan w:val="3"/>
            <w:shd w:val="clear" w:color="auto" w:fill="auto"/>
            <w:vAlign w:val="bottom"/>
          </w:tcPr>
          <w:p w14:paraId="71D3EEA0" w14:textId="77777777" w:rsidR="006A3667" w:rsidRDefault="006A3667">
            <w:pPr>
              <w:rPr>
                <w:rFonts w:ascii="宋体"/>
                <w:vanish/>
              </w:rPr>
            </w:pPr>
          </w:p>
        </w:tc>
        <w:tc>
          <w:tcPr>
            <w:tcW w:w="0" w:type="auto"/>
            <w:gridSpan w:val="2"/>
            <w:shd w:val="clear" w:color="auto" w:fill="auto"/>
            <w:vAlign w:val="bottom"/>
          </w:tcPr>
          <w:p w14:paraId="71D3EEA1" w14:textId="77777777" w:rsidR="006A3667" w:rsidRDefault="006A3667">
            <w:pPr>
              <w:rPr>
                <w:rFonts w:ascii="宋体"/>
                <w:vanish/>
              </w:rPr>
            </w:pPr>
          </w:p>
        </w:tc>
        <w:tc>
          <w:tcPr>
            <w:tcW w:w="0" w:type="auto"/>
            <w:shd w:val="clear" w:color="auto" w:fill="auto"/>
            <w:vAlign w:val="bottom"/>
          </w:tcPr>
          <w:p w14:paraId="71D3EEA2" w14:textId="77777777" w:rsidR="006A3667" w:rsidRDefault="006A3667">
            <w:pPr>
              <w:rPr>
                <w:rFonts w:ascii="宋体"/>
                <w:vanish/>
              </w:rPr>
            </w:pPr>
          </w:p>
        </w:tc>
      </w:tr>
      <w:tr w:rsidR="006A3667" w14:paraId="71D3EEC0" w14:textId="77777777">
        <w:tc>
          <w:tcPr>
            <w:tcW w:w="0" w:type="auto"/>
            <w:gridSpan w:val="3"/>
            <w:shd w:val="clear" w:color="auto" w:fill="CCEEFF"/>
            <w:tcMar>
              <w:top w:w="40" w:type="dxa"/>
              <w:left w:w="20" w:type="dxa"/>
              <w:bottom w:w="40" w:type="dxa"/>
              <w:right w:w="20" w:type="dxa"/>
            </w:tcMar>
            <w:vAlign w:val="bottom"/>
          </w:tcPr>
          <w:p w14:paraId="71D3EEA4" w14:textId="77777777" w:rsidR="006A3667" w:rsidRDefault="00045F32">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71D3EEA5" w14:textId="77777777" w:rsidR="006A3667" w:rsidRDefault="00045F32">
            <w:pPr>
              <w:jc w:val="right"/>
              <w:textAlignment w:val="bottom"/>
            </w:pPr>
            <w:r>
              <w:rPr>
                <w:rFonts w:ascii="Arial" w:eastAsia="宋体" w:hAnsi="Arial" w:cs="Arial"/>
                <w:b/>
                <w:bCs/>
                <w:color w:val="000000"/>
                <w:sz w:val="12"/>
                <w:szCs w:val="12"/>
              </w:rPr>
              <w:t>43,956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A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A8" w14:textId="77777777" w:rsidR="006A3667" w:rsidRDefault="00045F32">
            <w:pPr>
              <w:jc w:val="right"/>
              <w:textAlignment w:val="bottom"/>
            </w:pPr>
            <w:r>
              <w:rPr>
                <w:rFonts w:ascii="Arial" w:eastAsia="宋体" w:hAnsi="Arial" w:cs="Arial"/>
                <w:b/>
                <w:bCs/>
                <w:color w:val="000000"/>
                <w:sz w:val="12"/>
                <w:szCs w:val="12"/>
              </w:rPr>
              <w:t>178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A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AB" w14:textId="77777777" w:rsidR="006A3667" w:rsidRDefault="00045F32">
            <w:pPr>
              <w:jc w:val="right"/>
              <w:textAlignment w:val="bottom"/>
            </w:pPr>
            <w:r>
              <w:rPr>
                <w:rFonts w:ascii="Arial" w:eastAsia="宋体" w:hAnsi="Arial" w:cs="Arial"/>
                <w:b/>
                <w:bCs/>
                <w:color w:val="000000"/>
                <w:sz w:val="12"/>
                <w:szCs w:val="12"/>
              </w:rPr>
              <w:t>1.62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A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AE" w14:textId="77777777" w:rsidR="006A3667" w:rsidRDefault="00045F32">
            <w:pPr>
              <w:jc w:val="right"/>
              <w:textAlignment w:val="bottom"/>
            </w:pPr>
            <w:r>
              <w:rPr>
                <w:rFonts w:ascii="Arial" w:eastAsia="宋体" w:hAnsi="Arial" w:cs="Arial"/>
                <w:color w:val="000000"/>
                <w:sz w:val="12"/>
                <w:szCs w:val="12"/>
              </w:rPr>
              <w:t>69,621 </w:t>
            </w:r>
          </w:p>
        </w:tc>
        <w:tc>
          <w:tcPr>
            <w:tcW w:w="0" w:type="auto"/>
            <w:shd w:val="clear" w:color="auto" w:fill="CCEEFF"/>
            <w:tcMar>
              <w:top w:w="40" w:type="dxa"/>
              <w:left w:w="0" w:type="dxa"/>
              <w:bottom w:w="40" w:type="dxa"/>
              <w:right w:w="20" w:type="dxa"/>
            </w:tcMar>
            <w:vAlign w:val="bottom"/>
          </w:tcPr>
          <w:p w14:paraId="71D3EE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B1" w14:textId="77777777" w:rsidR="006A3667" w:rsidRDefault="00045F32">
            <w:pPr>
              <w:jc w:val="right"/>
              <w:textAlignment w:val="bottom"/>
            </w:pPr>
            <w:r>
              <w:rPr>
                <w:rFonts w:ascii="Arial" w:eastAsia="宋体" w:hAnsi="Arial" w:cs="Arial"/>
                <w:color w:val="000000"/>
                <w:sz w:val="12"/>
                <w:szCs w:val="12"/>
              </w:rPr>
              <w:t>150 </w:t>
            </w:r>
          </w:p>
        </w:tc>
        <w:tc>
          <w:tcPr>
            <w:tcW w:w="0" w:type="auto"/>
            <w:shd w:val="clear" w:color="auto" w:fill="CCEEFF"/>
            <w:tcMar>
              <w:top w:w="40" w:type="dxa"/>
              <w:left w:w="0" w:type="dxa"/>
              <w:bottom w:w="40" w:type="dxa"/>
              <w:right w:w="20" w:type="dxa"/>
            </w:tcMar>
            <w:vAlign w:val="bottom"/>
          </w:tcPr>
          <w:p w14:paraId="71D3EE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B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B4" w14:textId="77777777" w:rsidR="006A3667" w:rsidRDefault="00045F32">
            <w:pPr>
              <w:jc w:val="right"/>
              <w:textAlignment w:val="bottom"/>
            </w:pPr>
            <w:r>
              <w:rPr>
                <w:rFonts w:ascii="Arial" w:eastAsia="宋体" w:hAnsi="Arial" w:cs="Arial"/>
                <w:color w:val="000000"/>
                <w:sz w:val="12"/>
                <w:szCs w:val="12"/>
              </w:rPr>
              <w:t>.86 </w:t>
            </w:r>
          </w:p>
        </w:tc>
        <w:tc>
          <w:tcPr>
            <w:tcW w:w="0" w:type="auto"/>
            <w:shd w:val="clear" w:color="auto" w:fill="CCEEFF"/>
            <w:tcMar>
              <w:top w:w="40" w:type="dxa"/>
              <w:left w:w="0" w:type="dxa"/>
              <w:bottom w:w="40" w:type="dxa"/>
              <w:right w:w="20" w:type="dxa"/>
            </w:tcMar>
            <w:vAlign w:val="bottom"/>
          </w:tcPr>
          <w:p w14:paraId="71D3EEB5" w14:textId="77777777" w:rsidR="006A3667" w:rsidRDefault="006A3667">
            <w:pPr>
              <w:jc w:val="right"/>
              <w:rPr>
                <w:rFonts w:ascii="宋体"/>
              </w:rPr>
            </w:pPr>
          </w:p>
        </w:tc>
        <w:tc>
          <w:tcPr>
            <w:tcW w:w="0" w:type="auto"/>
            <w:shd w:val="clear" w:color="auto" w:fill="auto"/>
            <w:vAlign w:val="bottom"/>
          </w:tcPr>
          <w:p w14:paraId="71D3EEB6" w14:textId="77777777" w:rsidR="006A3667" w:rsidRDefault="006A3667">
            <w:pPr>
              <w:rPr>
                <w:rFonts w:ascii="宋体"/>
                <w:vanish/>
              </w:rPr>
            </w:pPr>
          </w:p>
        </w:tc>
        <w:tc>
          <w:tcPr>
            <w:tcW w:w="0" w:type="auto"/>
            <w:shd w:val="clear" w:color="auto" w:fill="auto"/>
            <w:vAlign w:val="bottom"/>
          </w:tcPr>
          <w:p w14:paraId="71D3EEB7" w14:textId="77777777" w:rsidR="006A3667" w:rsidRDefault="006A3667">
            <w:pPr>
              <w:rPr>
                <w:rFonts w:ascii="宋体"/>
                <w:vanish/>
              </w:rPr>
            </w:pPr>
          </w:p>
        </w:tc>
        <w:tc>
          <w:tcPr>
            <w:tcW w:w="0" w:type="auto"/>
            <w:shd w:val="clear" w:color="auto" w:fill="auto"/>
            <w:vAlign w:val="bottom"/>
          </w:tcPr>
          <w:p w14:paraId="71D3EEB8" w14:textId="77777777" w:rsidR="006A3667" w:rsidRDefault="006A3667">
            <w:pPr>
              <w:rPr>
                <w:rFonts w:ascii="宋体"/>
                <w:vanish/>
              </w:rPr>
            </w:pPr>
          </w:p>
        </w:tc>
        <w:tc>
          <w:tcPr>
            <w:tcW w:w="0" w:type="auto"/>
            <w:shd w:val="clear" w:color="auto" w:fill="auto"/>
            <w:vAlign w:val="bottom"/>
          </w:tcPr>
          <w:p w14:paraId="71D3EEB9" w14:textId="77777777" w:rsidR="006A3667" w:rsidRDefault="006A3667">
            <w:pPr>
              <w:rPr>
                <w:rFonts w:ascii="宋体"/>
                <w:vanish/>
              </w:rPr>
            </w:pPr>
          </w:p>
        </w:tc>
        <w:tc>
          <w:tcPr>
            <w:tcW w:w="0" w:type="auto"/>
            <w:gridSpan w:val="3"/>
            <w:shd w:val="clear" w:color="auto" w:fill="auto"/>
            <w:vAlign w:val="bottom"/>
          </w:tcPr>
          <w:p w14:paraId="71D3EEBA" w14:textId="77777777" w:rsidR="006A3667" w:rsidRDefault="006A3667">
            <w:pPr>
              <w:rPr>
                <w:rFonts w:ascii="宋体"/>
                <w:vanish/>
              </w:rPr>
            </w:pPr>
          </w:p>
        </w:tc>
        <w:tc>
          <w:tcPr>
            <w:tcW w:w="0" w:type="auto"/>
            <w:gridSpan w:val="3"/>
            <w:shd w:val="clear" w:color="auto" w:fill="auto"/>
            <w:vAlign w:val="bottom"/>
          </w:tcPr>
          <w:p w14:paraId="71D3EEBB" w14:textId="77777777" w:rsidR="006A3667" w:rsidRDefault="006A3667">
            <w:pPr>
              <w:rPr>
                <w:rFonts w:ascii="宋体"/>
                <w:vanish/>
              </w:rPr>
            </w:pPr>
          </w:p>
        </w:tc>
        <w:tc>
          <w:tcPr>
            <w:tcW w:w="0" w:type="auto"/>
            <w:gridSpan w:val="3"/>
            <w:shd w:val="clear" w:color="auto" w:fill="auto"/>
            <w:vAlign w:val="bottom"/>
          </w:tcPr>
          <w:p w14:paraId="71D3EEBC" w14:textId="77777777" w:rsidR="006A3667" w:rsidRDefault="006A3667">
            <w:pPr>
              <w:rPr>
                <w:rFonts w:ascii="宋体"/>
                <w:vanish/>
              </w:rPr>
            </w:pPr>
          </w:p>
        </w:tc>
        <w:tc>
          <w:tcPr>
            <w:tcW w:w="0" w:type="auto"/>
            <w:gridSpan w:val="3"/>
            <w:shd w:val="clear" w:color="auto" w:fill="auto"/>
            <w:vAlign w:val="bottom"/>
          </w:tcPr>
          <w:p w14:paraId="71D3EEBD" w14:textId="77777777" w:rsidR="006A3667" w:rsidRDefault="006A3667">
            <w:pPr>
              <w:rPr>
                <w:rFonts w:ascii="宋体"/>
                <w:vanish/>
              </w:rPr>
            </w:pPr>
          </w:p>
        </w:tc>
        <w:tc>
          <w:tcPr>
            <w:tcW w:w="0" w:type="auto"/>
            <w:gridSpan w:val="2"/>
            <w:shd w:val="clear" w:color="auto" w:fill="auto"/>
            <w:vAlign w:val="bottom"/>
          </w:tcPr>
          <w:p w14:paraId="71D3EEBE" w14:textId="77777777" w:rsidR="006A3667" w:rsidRDefault="006A3667">
            <w:pPr>
              <w:rPr>
                <w:rFonts w:ascii="宋体"/>
                <w:vanish/>
              </w:rPr>
            </w:pPr>
          </w:p>
        </w:tc>
        <w:tc>
          <w:tcPr>
            <w:tcW w:w="0" w:type="auto"/>
            <w:shd w:val="clear" w:color="auto" w:fill="auto"/>
            <w:vAlign w:val="bottom"/>
          </w:tcPr>
          <w:p w14:paraId="71D3EEBF" w14:textId="77777777" w:rsidR="006A3667" w:rsidRDefault="006A3667">
            <w:pPr>
              <w:rPr>
                <w:rFonts w:ascii="宋体"/>
                <w:vanish/>
              </w:rPr>
            </w:pPr>
          </w:p>
        </w:tc>
      </w:tr>
      <w:tr w:rsidR="006A3667" w14:paraId="71D3EEDD" w14:textId="77777777">
        <w:tc>
          <w:tcPr>
            <w:tcW w:w="0" w:type="auto"/>
            <w:gridSpan w:val="3"/>
            <w:shd w:val="clear" w:color="auto" w:fill="FFFFFF"/>
            <w:tcMar>
              <w:top w:w="40" w:type="dxa"/>
              <w:left w:w="20" w:type="dxa"/>
              <w:bottom w:w="40" w:type="dxa"/>
              <w:right w:w="20" w:type="dxa"/>
            </w:tcMar>
            <w:vAlign w:val="bottom"/>
          </w:tcPr>
          <w:p w14:paraId="71D3EEC1" w14:textId="77777777" w:rsidR="006A3667" w:rsidRDefault="00045F32">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71D3EEC2" w14:textId="77777777" w:rsidR="006A3667" w:rsidRDefault="00045F32">
            <w:pPr>
              <w:jc w:val="right"/>
              <w:textAlignment w:val="bottom"/>
            </w:pPr>
            <w:r>
              <w:rPr>
                <w:rFonts w:ascii="Arial" w:eastAsia="宋体" w:hAnsi="Arial" w:cs="Arial"/>
                <w:b/>
                <w:bCs/>
                <w:color w:val="000000"/>
                <w:sz w:val="12"/>
                <w:szCs w:val="12"/>
              </w:rPr>
              <w:t>64,919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EC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C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C5" w14:textId="77777777" w:rsidR="006A3667" w:rsidRDefault="00045F32">
            <w:pPr>
              <w:jc w:val="right"/>
              <w:textAlignment w:val="bottom"/>
            </w:pPr>
            <w:r>
              <w:rPr>
                <w:rFonts w:ascii="Arial" w:eastAsia="宋体" w:hAnsi="Arial" w:cs="Arial"/>
                <w:b/>
                <w:bCs/>
                <w:color w:val="000000"/>
                <w:sz w:val="12"/>
                <w:szCs w:val="12"/>
              </w:rPr>
              <w:t>27</w:t>
            </w: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EC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C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C8" w14:textId="77777777" w:rsidR="006A3667" w:rsidRDefault="00045F32">
            <w:pPr>
              <w:jc w:val="right"/>
              <w:textAlignment w:val="bottom"/>
            </w:pPr>
            <w:r>
              <w:rPr>
                <w:rFonts w:ascii="Arial" w:eastAsia="宋体" w:hAnsi="Arial" w:cs="Arial"/>
                <w:b/>
                <w:bCs/>
                <w:color w:val="000000"/>
                <w:sz w:val="12"/>
                <w:szCs w:val="12"/>
              </w:rPr>
              <w:t>1.67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E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C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CB" w14:textId="77777777" w:rsidR="006A3667" w:rsidRDefault="00045F32">
            <w:pPr>
              <w:jc w:val="right"/>
              <w:textAlignment w:val="bottom"/>
            </w:pPr>
            <w:r>
              <w:rPr>
                <w:rFonts w:ascii="Arial" w:eastAsia="宋体" w:hAnsi="Arial" w:cs="Arial"/>
                <w:color w:val="000000"/>
                <w:sz w:val="12"/>
                <w:szCs w:val="12"/>
              </w:rPr>
              <w:t>44,014 </w:t>
            </w:r>
          </w:p>
        </w:tc>
        <w:tc>
          <w:tcPr>
            <w:tcW w:w="0" w:type="auto"/>
            <w:shd w:val="clear" w:color="auto" w:fill="FFFFFF"/>
            <w:tcMar>
              <w:top w:w="40" w:type="dxa"/>
              <w:left w:w="0" w:type="dxa"/>
              <w:bottom w:w="40" w:type="dxa"/>
              <w:right w:w="20" w:type="dxa"/>
            </w:tcMar>
            <w:vAlign w:val="bottom"/>
          </w:tcPr>
          <w:p w14:paraId="71D3EEC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C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CE" w14:textId="77777777" w:rsidR="006A3667" w:rsidRDefault="00045F32">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71D3EE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D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ED1" w14:textId="77777777" w:rsidR="006A3667" w:rsidRDefault="00045F32">
            <w:pPr>
              <w:jc w:val="right"/>
              <w:textAlignment w:val="bottom"/>
            </w:pPr>
            <w:r>
              <w:rPr>
                <w:rFonts w:ascii="Arial" w:eastAsia="宋体" w:hAnsi="Arial" w:cs="Arial"/>
                <w:color w:val="000000"/>
                <w:sz w:val="12"/>
                <w:szCs w:val="12"/>
              </w:rPr>
              <w:t>1.47 </w:t>
            </w:r>
          </w:p>
        </w:tc>
        <w:tc>
          <w:tcPr>
            <w:tcW w:w="0" w:type="auto"/>
            <w:shd w:val="clear" w:color="auto" w:fill="FFFFFF"/>
            <w:tcMar>
              <w:top w:w="40" w:type="dxa"/>
              <w:left w:w="0" w:type="dxa"/>
              <w:bottom w:w="40" w:type="dxa"/>
              <w:right w:w="20" w:type="dxa"/>
            </w:tcMar>
            <w:vAlign w:val="bottom"/>
          </w:tcPr>
          <w:p w14:paraId="71D3EED2" w14:textId="77777777" w:rsidR="006A3667" w:rsidRDefault="006A3667">
            <w:pPr>
              <w:jc w:val="right"/>
              <w:rPr>
                <w:rFonts w:ascii="宋体"/>
              </w:rPr>
            </w:pPr>
          </w:p>
        </w:tc>
        <w:tc>
          <w:tcPr>
            <w:tcW w:w="0" w:type="auto"/>
            <w:shd w:val="clear" w:color="auto" w:fill="auto"/>
            <w:vAlign w:val="bottom"/>
          </w:tcPr>
          <w:p w14:paraId="71D3EED3" w14:textId="77777777" w:rsidR="006A3667" w:rsidRDefault="006A3667">
            <w:pPr>
              <w:rPr>
                <w:rFonts w:ascii="宋体"/>
                <w:vanish/>
              </w:rPr>
            </w:pPr>
          </w:p>
        </w:tc>
        <w:tc>
          <w:tcPr>
            <w:tcW w:w="0" w:type="auto"/>
            <w:shd w:val="clear" w:color="auto" w:fill="auto"/>
            <w:vAlign w:val="bottom"/>
          </w:tcPr>
          <w:p w14:paraId="71D3EED4" w14:textId="77777777" w:rsidR="006A3667" w:rsidRDefault="006A3667">
            <w:pPr>
              <w:rPr>
                <w:rFonts w:ascii="宋体"/>
                <w:vanish/>
              </w:rPr>
            </w:pPr>
          </w:p>
        </w:tc>
        <w:tc>
          <w:tcPr>
            <w:tcW w:w="0" w:type="auto"/>
            <w:shd w:val="clear" w:color="auto" w:fill="auto"/>
            <w:vAlign w:val="bottom"/>
          </w:tcPr>
          <w:p w14:paraId="71D3EED5" w14:textId="77777777" w:rsidR="006A3667" w:rsidRDefault="006A3667">
            <w:pPr>
              <w:rPr>
                <w:rFonts w:ascii="宋体"/>
                <w:vanish/>
              </w:rPr>
            </w:pPr>
          </w:p>
        </w:tc>
        <w:tc>
          <w:tcPr>
            <w:tcW w:w="0" w:type="auto"/>
            <w:shd w:val="clear" w:color="auto" w:fill="auto"/>
            <w:vAlign w:val="bottom"/>
          </w:tcPr>
          <w:p w14:paraId="71D3EED6" w14:textId="77777777" w:rsidR="006A3667" w:rsidRDefault="006A3667">
            <w:pPr>
              <w:rPr>
                <w:rFonts w:ascii="宋体"/>
                <w:vanish/>
              </w:rPr>
            </w:pPr>
          </w:p>
        </w:tc>
        <w:tc>
          <w:tcPr>
            <w:tcW w:w="0" w:type="auto"/>
            <w:gridSpan w:val="3"/>
            <w:shd w:val="clear" w:color="auto" w:fill="auto"/>
            <w:vAlign w:val="bottom"/>
          </w:tcPr>
          <w:p w14:paraId="71D3EED7" w14:textId="77777777" w:rsidR="006A3667" w:rsidRDefault="006A3667">
            <w:pPr>
              <w:rPr>
                <w:rFonts w:ascii="宋体"/>
                <w:vanish/>
              </w:rPr>
            </w:pPr>
          </w:p>
        </w:tc>
        <w:tc>
          <w:tcPr>
            <w:tcW w:w="0" w:type="auto"/>
            <w:gridSpan w:val="3"/>
            <w:shd w:val="clear" w:color="auto" w:fill="auto"/>
            <w:vAlign w:val="bottom"/>
          </w:tcPr>
          <w:p w14:paraId="71D3EED8" w14:textId="77777777" w:rsidR="006A3667" w:rsidRDefault="006A3667">
            <w:pPr>
              <w:rPr>
                <w:rFonts w:ascii="宋体"/>
                <w:vanish/>
              </w:rPr>
            </w:pPr>
          </w:p>
        </w:tc>
        <w:tc>
          <w:tcPr>
            <w:tcW w:w="0" w:type="auto"/>
            <w:gridSpan w:val="3"/>
            <w:shd w:val="clear" w:color="auto" w:fill="auto"/>
            <w:vAlign w:val="bottom"/>
          </w:tcPr>
          <w:p w14:paraId="71D3EED9" w14:textId="77777777" w:rsidR="006A3667" w:rsidRDefault="006A3667">
            <w:pPr>
              <w:rPr>
                <w:rFonts w:ascii="宋体"/>
                <w:vanish/>
              </w:rPr>
            </w:pPr>
          </w:p>
        </w:tc>
        <w:tc>
          <w:tcPr>
            <w:tcW w:w="0" w:type="auto"/>
            <w:gridSpan w:val="3"/>
            <w:shd w:val="clear" w:color="auto" w:fill="auto"/>
            <w:vAlign w:val="bottom"/>
          </w:tcPr>
          <w:p w14:paraId="71D3EEDA" w14:textId="77777777" w:rsidR="006A3667" w:rsidRDefault="006A3667">
            <w:pPr>
              <w:rPr>
                <w:rFonts w:ascii="宋体"/>
                <w:vanish/>
              </w:rPr>
            </w:pPr>
          </w:p>
        </w:tc>
        <w:tc>
          <w:tcPr>
            <w:tcW w:w="0" w:type="auto"/>
            <w:gridSpan w:val="2"/>
            <w:shd w:val="clear" w:color="auto" w:fill="auto"/>
            <w:vAlign w:val="bottom"/>
          </w:tcPr>
          <w:p w14:paraId="71D3EEDB" w14:textId="77777777" w:rsidR="006A3667" w:rsidRDefault="006A3667">
            <w:pPr>
              <w:rPr>
                <w:rFonts w:ascii="宋体"/>
                <w:vanish/>
              </w:rPr>
            </w:pPr>
          </w:p>
        </w:tc>
        <w:tc>
          <w:tcPr>
            <w:tcW w:w="0" w:type="auto"/>
            <w:shd w:val="clear" w:color="auto" w:fill="auto"/>
            <w:vAlign w:val="bottom"/>
          </w:tcPr>
          <w:p w14:paraId="71D3EEDC" w14:textId="77777777" w:rsidR="006A3667" w:rsidRDefault="006A3667">
            <w:pPr>
              <w:rPr>
                <w:rFonts w:ascii="宋体"/>
                <w:vanish/>
              </w:rPr>
            </w:pPr>
          </w:p>
        </w:tc>
      </w:tr>
      <w:tr w:rsidR="006A3667" w14:paraId="71D3EEFA" w14:textId="77777777">
        <w:tc>
          <w:tcPr>
            <w:tcW w:w="0" w:type="auto"/>
            <w:gridSpan w:val="3"/>
            <w:shd w:val="clear" w:color="auto" w:fill="CCEEFF"/>
            <w:tcMar>
              <w:top w:w="40" w:type="dxa"/>
              <w:left w:w="20" w:type="dxa"/>
              <w:bottom w:w="40" w:type="dxa"/>
              <w:right w:w="20" w:type="dxa"/>
            </w:tcMar>
            <w:vAlign w:val="bottom"/>
          </w:tcPr>
          <w:p w14:paraId="71D3EEDE" w14:textId="77777777" w:rsidR="006A3667" w:rsidRDefault="00045F32">
            <w:pPr>
              <w:textAlignment w:val="bottom"/>
            </w:pPr>
            <w:r>
              <w:rPr>
                <w:rFonts w:ascii="Arial" w:eastAsia="宋体" w:hAnsi="Arial" w:cs="Arial"/>
                <w:color w:val="000000"/>
                <w:sz w:val="12"/>
                <w:szCs w:val="12"/>
              </w:rPr>
              <w:t>Investment securities held-to-maturity purchased un</w:t>
            </w:r>
            <w:r>
              <w:rPr>
                <w:rFonts w:ascii="Arial" w:eastAsia="宋体" w:hAnsi="Arial" w:cs="Arial"/>
                <w:color w:val="000000"/>
                <w:sz w:val="12"/>
                <w:szCs w:val="12"/>
              </w:rPr>
              <w:t>der money market liquidity facility</w:t>
            </w:r>
          </w:p>
        </w:tc>
        <w:tc>
          <w:tcPr>
            <w:tcW w:w="0" w:type="auto"/>
            <w:gridSpan w:val="2"/>
            <w:shd w:val="clear" w:color="auto" w:fill="CCEEFF"/>
            <w:tcMar>
              <w:top w:w="40" w:type="dxa"/>
              <w:left w:w="20" w:type="dxa"/>
              <w:bottom w:w="40" w:type="dxa"/>
              <w:right w:w="0" w:type="dxa"/>
            </w:tcMar>
            <w:vAlign w:val="bottom"/>
          </w:tcPr>
          <w:p w14:paraId="71D3EEDF"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E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E2"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E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E5"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E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E8"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E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E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EB"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E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EE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EEE"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EEF" w14:textId="77777777" w:rsidR="006A3667" w:rsidRDefault="006A3667">
            <w:pPr>
              <w:jc w:val="right"/>
              <w:rPr>
                <w:rFonts w:ascii="宋体"/>
              </w:rPr>
            </w:pPr>
          </w:p>
        </w:tc>
        <w:tc>
          <w:tcPr>
            <w:tcW w:w="0" w:type="auto"/>
            <w:shd w:val="clear" w:color="auto" w:fill="auto"/>
            <w:vAlign w:val="bottom"/>
          </w:tcPr>
          <w:p w14:paraId="71D3EEF0" w14:textId="77777777" w:rsidR="006A3667" w:rsidRDefault="006A3667">
            <w:pPr>
              <w:rPr>
                <w:rFonts w:ascii="宋体"/>
                <w:vanish/>
              </w:rPr>
            </w:pPr>
          </w:p>
        </w:tc>
        <w:tc>
          <w:tcPr>
            <w:tcW w:w="0" w:type="auto"/>
            <w:shd w:val="clear" w:color="auto" w:fill="auto"/>
            <w:vAlign w:val="bottom"/>
          </w:tcPr>
          <w:p w14:paraId="71D3EEF1" w14:textId="77777777" w:rsidR="006A3667" w:rsidRDefault="006A3667">
            <w:pPr>
              <w:rPr>
                <w:rFonts w:ascii="宋体"/>
                <w:vanish/>
              </w:rPr>
            </w:pPr>
          </w:p>
        </w:tc>
        <w:tc>
          <w:tcPr>
            <w:tcW w:w="0" w:type="auto"/>
            <w:shd w:val="clear" w:color="auto" w:fill="auto"/>
            <w:vAlign w:val="bottom"/>
          </w:tcPr>
          <w:p w14:paraId="71D3EEF2" w14:textId="77777777" w:rsidR="006A3667" w:rsidRDefault="006A3667">
            <w:pPr>
              <w:rPr>
                <w:rFonts w:ascii="宋体"/>
                <w:vanish/>
              </w:rPr>
            </w:pPr>
          </w:p>
        </w:tc>
        <w:tc>
          <w:tcPr>
            <w:tcW w:w="0" w:type="auto"/>
            <w:shd w:val="clear" w:color="auto" w:fill="auto"/>
            <w:vAlign w:val="bottom"/>
          </w:tcPr>
          <w:p w14:paraId="71D3EEF3" w14:textId="77777777" w:rsidR="006A3667" w:rsidRDefault="006A3667">
            <w:pPr>
              <w:rPr>
                <w:rFonts w:ascii="宋体"/>
                <w:vanish/>
              </w:rPr>
            </w:pPr>
          </w:p>
        </w:tc>
        <w:tc>
          <w:tcPr>
            <w:tcW w:w="0" w:type="auto"/>
            <w:gridSpan w:val="3"/>
            <w:shd w:val="clear" w:color="auto" w:fill="auto"/>
            <w:vAlign w:val="bottom"/>
          </w:tcPr>
          <w:p w14:paraId="71D3EEF4" w14:textId="77777777" w:rsidR="006A3667" w:rsidRDefault="006A3667">
            <w:pPr>
              <w:rPr>
                <w:rFonts w:ascii="宋体"/>
                <w:vanish/>
              </w:rPr>
            </w:pPr>
          </w:p>
        </w:tc>
        <w:tc>
          <w:tcPr>
            <w:tcW w:w="0" w:type="auto"/>
            <w:gridSpan w:val="3"/>
            <w:shd w:val="clear" w:color="auto" w:fill="auto"/>
            <w:vAlign w:val="bottom"/>
          </w:tcPr>
          <w:p w14:paraId="71D3EEF5" w14:textId="77777777" w:rsidR="006A3667" w:rsidRDefault="006A3667">
            <w:pPr>
              <w:rPr>
                <w:rFonts w:ascii="宋体"/>
                <w:vanish/>
              </w:rPr>
            </w:pPr>
          </w:p>
        </w:tc>
        <w:tc>
          <w:tcPr>
            <w:tcW w:w="0" w:type="auto"/>
            <w:gridSpan w:val="3"/>
            <w:shd w:val="clear" w:color="auto" w:fill="auto"/>
            <w:vAlign w:val="bottom"/>
          </w:tcPr>
          <w:p w14:paraId="71D3EEF6" w14:textId="77777777" w:rsidR="006A3667" w:rsidRDefault="006A3667">
            <w:pPr>
              <w:rPr>
                <w:rFonts w:ascii="宋体"/>
                <w:vanish/>
              </w:rPr>
            </w:pPr>
          </w:p>
        </w:tc>
        <w:tc>
          <w:tcPr>
            <w:tcW w:w="0" w:type="auto"/>
            <w:gridSpan w:val="3"/>
            <w:shd w:val="clear" w:color="auto" w:fill="auto"/>
            <w:vAlign w:val="bottom"/>
          </w:tcPr>
          <w:p w14:paraId="71D3EEF7" w14:textId="77777777" w:rsidR="006A3667" w:rsidRDefault="006A3667">
            <w:pPr>
              <w:rPr>
                <w:rFonts w:ascii="宋体"/>
                <w:vanish/>
              </w:rPr>
            </w:pPr>
          </w:p>
        </w:tc>
        <w:tc>
          <w:tcPr>
            <w:tcW w:w="0" w:type="auto"/>
            <w:gridSpan w:val="2"/>
            <w:shd w:val="clear" w:color="auto" w:fill="auto"/>
            <w:vAlign w:val="bottom"/>
          </w:tcPr>
          <w:p w14:paraId="71D3EEF8" w14:textId="77777777" w:rsidR="006A3667" w:rsidRDefault="006A3667">
            <w:pPr>
              <w:rPr>
                <w:rFonts w:ascii="宋体"/>
                <w:vanish/>
              </w:rPr>
            </w:pPr>
          </w:p>
        </w:tc>
        <w:tc>
          <w:tcPr>
            <w:tcW w:w="0" w:type="auto"/>
            <w:shd w:val="clear" w:color="auto" w:fill="auto"/>
            <w:vAlign w:val="bottom"/>
          </w:tcPr>
          <w:p w14:paraId="71D3EEF9" w14:textId="77777777" w:rsidR="006A3667" w:rsidRDefault="006A3667">
            <w:pPr>
              <w:rPr>
                <w:rFonts w:ascii="宋体"/>
                <w:vanish/>
              </w:rPr>
            </w:pPr>
          </w:p>
        </w:tc>
      </w:tr>
      <w:tr w:rsidR="006A3667" w14:paraId="71D3EF17" w14:textId="77777777">
        <w:tc>
          <w:tcPr>
            <w:tcW w:w="0" w:type="auto"/>
            <w:gridSpan w:val="3"/>
            <w:shd w:val="clear" w:color="auto" w:fill="FFFFFF"/>
            <w:tcMar>
              <w:top w:w="40" w:type="dxa"/>
              <w:left w:w="20" w:type="dxa"/>
              <w:bottom w:w="40" w:type="dxa"/>
              <w:right w:w="20" w:type="dxa"/>
            </w:tcMar>
            <w:vAlign w:val="bottom"/>
          </w:tcPr>
          <w:p w14:paraId="71D3EEFB" w14:textId="77777777" w:rsidR="006A3667" w:rsidRDefault="00045F32">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EFC" w14:textId="77777777" w:rsidR="006A3667" w:rsidRDefault="00045F32">
            <w:pPr>
              <w:jc w:val="right"/>
              <w:textAlignment w:val="bottom"/>
            </w:pPr>
            <w:r>
              <w:rPr>
                <w:rFonts w:ascii="Arial" w:eastAsia="宋体" w:hAnsi="Arial" w:cs="Arial"/>
                <w:b/>
                <w:bCs/>
                <w:color w:val="000000"/>
                <w:sz w:val="12"/>
                <w:szCs w:val="12"/>
              </w:rPr>
              <w:t>108,875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EF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EF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EFF" w14:textId="77777777" w:rsidR="006A3667" w:rsidRDefault="00045F32">
            <w:pPr>
              <w:jc w:val="right"/>
              <w:textAlignment w:val="bottom"/>
            </w:pPr>
            <w:r>
              <w:rPr>
                <w:rFonts w:ascii="Arial" w:eastAsia="宋体" w:hAnsi="Arial" w:cs="Arial"/>
                <w:b/>
                <w:bCs/>
                <w:color w:val="000000"/>
                <w:sz w:val="12"/>
                <w:szCs w:val="12"/>
              </w:rPr>
              <w:t>449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F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0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02" w14:textId="77777777" w:rsidR="006A3667" w:rsidRDefault="00045F32">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0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F05" w14:textId="77777777" w:rsidR="006A3667" w:rsidRDefault="00045F32">
            <w:pPr>
              <w:jc w:val="right"/>
              <w:textAlignment w:val="bottom"/>
            </w:pPr>
            <w:r>
              <w:rPr>
                <w:rFonts w:ascii="Arial" w:eastAsia="宋体" w:hAnsi="Arial" w:cs="Arial"/>
                <w:color w:val="000000"/>
                <w:sz w:val="12"/>
                <w:szCs w:val="12"/>
              </w:rPr>
              <w:t>113,635 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F0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0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EF08" w14:textId="77777777" w:rsidR="006A3667" w:rsidRDefault="00045F32">
            <w:pPr>
              <w:jc w:val="right"/>
              <w:textAlignment w:val="bottom"/>
            </w:pPr>
            <w:r>
              <w:rPr>
                <w:rFonts w:ascii="Arial" w:eastAsia="宋体" w:hAnsi="Arial" w:cs="Arial"/>
                <w:color w:val="000000"/>
                <w:sz w:val="12"/>
                <w:szCs w:val="12"/>
              </w:rPr>
              <w:t>311 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EF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0B" w14:textId="77777777" w:rsidR="006A3667" w:rsidRDefault="00045F32">
            <w:pPr>
              <w:jc w:val="right"/>
              <w:textAlignment w:val="bottom"/>
            </w:pPr>
            <w:r>
              <w:rPr>
                <w:rFonts w:ascii="Arial" w:eastAsia="宋体" w:hAnsi="Arial" w:cs="Arial"/>
                <w:color w:val="000000"/>
                <w:sz w:val="12"/>
                <w:szCs w:val="12"/>
              </w:rPr>
              <w:t>1.10 </w:t>
            </w:r>
          </w:p>
        </w:tc>
        <w:tc>
          <w:tcPr>
            <w:tcW w:w="0" w:type="auto"/>
            <w:shd w:val="clear" w:color="auto" w:fill="FFFFFF"/>
            <w:tcMar>
              <w:top w:w="40" w:type="dxa"/>
              <w:left w:w="0" w:type="dxa"/>
              <w:bottom w:w="40" w:type="dxa"/>
              <w:right w:w="20" w:type="dxa"/>
            </w:tcMar>
            <w:vAlign w:val="bottom"/>
          </w:tcPr>
          <w:p w14:paraId="71D3EF0C" w14:textId="77777777" w:rsidR="006A3667" w:rsidRDefault="006A3667">
            <w:pPr>
              <w:jc w:val="right"/>
              <w:rPr>
                <w:rFonts w:ascii="宋体"/>
              </w:rPr>
            </w:pPr>
          </w:p>
        </w:tc>
        <w:tc>
          <w:tcPr>
            <w:tcW w:w="0" w:type="auto"/>
            <w:shd w:val="clear" w:color="auto" w:fill="auto"/>
            <w:vAlign w:val="bottom"/>
          </w:tcPr>
          <w:p w14:paraId="71D3EF0D" w14:textId="77777777" w:rsidR="006A3667" w:rsidRDefault="006A3667">
            <w:pPr>
              <w:rPr>
                <w:rFonts w:ascii="宋体"/>
                <w:vanish/>
              </w:rPr>
            </w:pPr>
          </w:p>
        </w:tc>
        <w:tc>
          <w:tcPr>
            <w:tcW w:w="0" w:type="auto"/>
            <w:shd w:val="clear" w:color="auto" w:fill="auto"/>
            <w:vAlign w:val="bottom"/>
          </w:tcPr>
          <w:p w14:paraId="71D3EF0E" w14:textId="77777777" w:rsidR="006A3667" w:rsidRDefault="006A3667">
            <w:pPr>
              <w:rPr>
                <w:rFonts w:ascii="宋体"/>
                <w:vanish/>
              </w:rPr>
            </w:pPr>
          </w:p>
        </w:tc>
        <w:tc>
          <w:tcPr>
            <w:tcW w:w="0" w:type="auto"/>
            <w:shd w:val="clear" w:color="auto" w:fill="auto"/>
            <w:vAlign w:val="bottom"/>
          </w:tcPr>
          <w:p w14:paraId="71D3EF0F" w14:textId="77777777" w:rsidR="006A3667" w:rsidRDefault="006A3667">
            <w:pPr>
              <w:rPr>
                <w:rFonts w:ascii="宋体"/>
                <w:vanish/>
              </w:rPr>
            </w:pPr>
          </w:p>
        </w:tc>
        <w:tc>
          <w:tcPr>
            <w:tcW w:w="0" w:type="auto"/>
            <w:shd w:val="clear" w:color="auto" w:fill="auto"/>
            <w:vAlign w:val="bottom"/>
          </w:tcPr>
          <w:p w14:paraId="71D3EF10" w14:textId="77777777" w:rsidR="006A3667" w:rsidRDefault="006A3667">
            <w:pPr>
              <w:rPr>
                <w:rFonts w:ascii="宋体"/>
                <w:vanish/>
              </w:rPr>
            </w:pPr>
          </w:p>
        </w:tc>
        <w:tc>
          <w:tcPr>
            <w:tcW w:w="0" w:type="auto"/>
            <w:gridSpan w:val="3"/>
            <w:shd w:val="clear" w:color="auto" w:fill="auto"/>
            <w:vAlign w:val="bottom"/>
          </w:tcPr>
          <w:p w14:paraId="71D3EF11" w14:textId="77777777" w:rsidR="006A3667" w:rsidRDefault="006A3667">
            <w:pPr>
              <w:rPr>
                <w:rFonts w:ascii="宋体"/>
                <w:vanish/>
              </w:rPr>
            </w:pPr>
          </w:p>
        </w:tc>
        <w:tc>
          <w:tcPr>
            <w:tcW w:w="0" w:type="auto"/>
            <w:gridSpan w:val="3"/>
            <w:shd w:val="clear" w:color="auto" w:fill="auto"/>
            <w:vAlign w:val="bottom"/>
          </w:tcPr>
          <w:p w14:paraId="71D3EF12" w14:textId="77777777" w:rsidR="006A3667" w:rsidRDefault="006A3667">
            <w:pPr>
              <w:rPr>
                <w:rFonts w:ascii="宋体"/>
                <w:vanish/>
              </w:rPr>
            </w:pPr>
          </w:p>
        </w:tc>
        <w:tc>
          <w:tcPr>
            <w:tcW w:w="0" w:type="auto"/>
            <w:gridSpan w:val="3"/>
            <w:shd w:val="clear" w:color="auto" w:fill="auto"/>
            <w:vAlign w:val="bottom"/>
          </w:tcPr>
          <w:p w14:paraId="71D3EF13" w14:textId="77777777" w:rsidR="006A3667" w:rsidRDefault="006A3667">
            <w:pPr>
              <w:rPr>
                <w:rFonts w:ascii="宋体"/>
                <w:vanish/>
              </w:rPr>
            </w:pPr>
          </w:p>
        </w:tc>
        <w:tc>
          <w:tcPr>
            <w:tcW w:w="0" w:type="auto"/>
            <w:gridSpan w:val="3"/>
            <w:shd w:val="clear" w:color="auto" w:fill="auto"/>
            <w:vAlign w:val="bottom"/>
          </w:tcPr>
          <w:p w14:paraId="71D3EF14" w14:textId="77777777" w:rsidR="006A3667" w:rsidRDefault="006A3667">
            <w:pPr>
              <w:rPr>
                <w:rFonts w:ascii="宋体"/>
                <w:vanish/>
              </w:rPr>
            </w:pPr>
          </w:p>
        </w:tc>
        <w:tc>
          <w:tcPr>
            <w:tcW w:w="0" w:type="auto"/>
            <w:gridSpan w:val="2"/>
            <w:shd w:val="clear" w:color="auto" w:fill="auto"/>
            <w:vAlign w:val="bottom"/>
          </w:tcPr>
          <w:p w14:paraId="71D3EF15" w14:textId="77777777" w:rsidR="006A3667" w:rsidRDefault="006A3667">
            <w:pPr>
              <w:rPr>
                <w:rFonts w:ascii="宋体"/>
                <w:vanish/>
              </w:rPr>
            </w:pPr>
          </w:p>
        </w:tc>
        <w:tc>
          <w:tcPr>
            <w:tcW w:w="0" w:type="auto"/>
            <w:shd w:val="clear" w:color="auto" w:fill="auto"/>
            <w:vAlign w:val="bottom"/>
          </w:tcPr>
          <w:p w14:paraId="71D3EF16" w14:textId="77777777" w:rsidR="006A3667" w:rsidRDefault="006A3667">
            <w:pPr>
              <w:rPr>
                <w:rFonts w:ascii="宋体"/>
                <w:vanish/>
              </w:rPr>
            </w:pPr>
          </w:p>
        </w:tc>
      </w:tr>
      <w:tr w:rsidR="006A3667" w14:paraId="71D3EF34" w14:textId="77777777">
        <w:tc>
          <w:tcPr>
            <w:tcW w:w="0" w:type="auto"/>
            <w:gridSpan w:val="3"/>
            <w:shd w:val="clear" w:color="auto" w:fill="CCEEFF"/>
            <w:tcMar>
              <w:top w:w="40" w:type="dxa"/>
              <w:left w:w="20" w:type="dxa"/>
              <w:bottom w:w="40" w:type="dxa"/>
              <w:right w:w="20" w:type="dxa"/>
            </w:tcMar>
            <w:vAlign w:val="bottom"/>
          </w:tcPr>
          <w:p w14:paraId="71D3EF18" w14:textId="77777777" w:rsidR="006A3667" w:rsidRDefault="00045F32">
            <w:pPr>
              <w:textAlignment w:val="bottom"/>
            </w:pPr>
            <w:r>
              <w:rPr>
                <w:rFonts w:ascii="Arial" w:eastAsia="宋体" w:hAnsi="Arial" w:cs="Arial"/>
                <w:color w:val="000000"/>
                <w:sz w:val="12"/>
                <w:szCs w:val="12"/>
              </w:rPr>
              <w:t>Loans</w:t>
            </w:r>
          </w:p>
        </w:tc>
        <w:tc>
          <w:tcPr>
            <w:tcW w:w="0" w:type="auto"/>
            <w:gridSpan w:val="2"/>
            <w:shd w:val="clear" w:color="auto" w:fill="CCEEFF"/>
            <w:tcMar>
              <w:top w:w="40" w:type="dxa"/>
              <w:left w:w="20" w:type="dxa"/>
              <w:bottom w:w="40" w:type="dxa"/>
              <w:right w:w="0" w:type="dxa"/>
            </w:tcMar>
            <w:vAlign w:val="bottom"/>
          </w:tcPr>
          <w:p w14:paraId="71D3EF19" w14:textId="77777777" w:rsidR="006A3667" w:rsidRDefault="00045F32">
            <w:pPr>
              <w:jc w:val="right"/>
              <w:textAlignment w:val="bottom"/>
            </w:pPr>
            <w:r>
              <w:rPr>
                <w:rFonts w:ascii="Arial" w:eastAsia="宋体" w:hAnsi="Arial" w:cs="Arial"/>
                <w:b/>
                <w:bCs/>
                <w:color w:val="000000"/>
                <w:sz w:val="12"/>
                <w:szCs w:val="12"/>
              </w:rPr>
              <w:t>35,069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F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1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1C" w14:textId="77777777" w:rsidR="006A3667" w:rsidRDefault="00045F32">
            <w:pPr>
              <w:jc w:val="right"/>
              <w:textAlignment w:val="bottom"/>
            </w:pPr>
            <w:r>
              <w:rPr>
                <w:rFonts w:ascii="Arial" w:eastAsia="宋体" w:hAnsi="Arial" w:cs="Arial"/>
                <w:b/>
                <w:bCs/>
                <w:color w:val="000000"/>
                <w:sz w:val="12"/>
                <w:szCs w:val="12"/>
              </w:rPr>
              <w:t>256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F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1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1F" w14:textId="77777777" w:rsidR="006A3667" w:rsidRDefault="00045F32">
            <w:pPr>
              <w:jc w:val="right"/>
              <w:textAlignment w:val="bottom"/>
            </w:pPr>
            <w:r>
              <w:rPr>
                <w:rFonts w:ascii="Arial" w:eastAsia="宋体" w:hAnsi="Arial" w:cs="Arial"/>
                <w:b/>
                <w:bCs/>
                <w:color w:val="000000"/>
                <w:sz w:val="12"/>
                <w:szCs w:val="12"/>
              </w:rPr>
              <w:t>2.90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F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2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22" w14:textId="77777777" w:rsidR="006A3667" w:rsidRDefault="00045F32">
            <w:pPr>
              <w:jc w:val="right"/>
              <w:textAlignment w:val="bottom"/>
            </w:pPr>
            <w:r>
              <w:rPr>
                <w:rFonts w:ascii="Arial" w:eastAsia="宋体" w:hAnsi="Arial" w:cs="Arial"/>
                <w:color w:val="000000"/>
                <w:sz w:val="12"/>
                <w:szCs w:val="12"/>
              </w:rPr>
              <w:t>32,035 </w:t>
            </w:r>
          </w:p>
        </w:tc>
        <w:tc>
          <w:tcPr>
            <w:tcW w:w="0" w:type="auto"/>
            <w:shd w:val="clear" w:color="auto" w:fill="CCEEFF"/>
            <w:tcMar>
              <w:top w:w="40" w:type="dxa"/>
              <w:left w:w="0" w:type="dxa"/>
              <w:bottom w:w="40" w:type="dxa"/>
              <w:right w:w="20" w:type="dxa"/>
            </w:tcMar>
            <w:vAlign w:val="bottom"/>
          </w:tcPr>
          <w:p w14:paraId="71D3EF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2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25" w14:textId="77777777" w:rsidR="006A3667" w:rsidRDefault="00045F32">
            <w:pPr>
              <w:jc w:val="right"/>
              <w:textAlignment w:val="bottom"/>
            </w:pPr>
            <w:r>
              <w:rPr>
                <w:rFonts w:ascii="Arial" w:eastAsia="宋体" w:hAnsi="Arial" w:cs="Arial"/>
                <w:color w:val="000000"/>
                <w:sz w:val="12"/>
                <w:szCs w:val="12"/>
              </w:rPr>
              <w:t>168 </w:t>
            </w:r>
          </w:p>
        </w:tc>
        <w:tc>
          <w:tcPr>
            <w:tcW w:w="0" w:type="auto"/>
            <w:shd w:val="clear" w:color="auto" w:fill="CCEEFF"/>
            <w:tcMar>
              <w:top w:w="40" w:type="dxa"/>
              <w:left w:w="0" w:type="dxa"/>
              <w:bottom w:w="40" w:type="dxa"/>
              <w:right w:w="20" w:type="dxa"/>
            </w:tcMar>
            <w:vAlign w:val="bottom"/>
          </w:tcPr>
          <w:p w14:paraId="71D3EF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28" w14:textId="77777777" w:rsidR="006A3667" w:rsidRDefault="00045F32">
            <w:pPr>
              <w:jc w:val="right"/>
              <w:textAlignment w:val="bottom"/>
            </w:pPr>
            <w:r>
              <w:rPr>
                <w:rFonts w:ascii="Arial" w:eastAsia="宋体" w:hAnsi="Arial" w:cs="Arial"/>
                <w:color w:val="000000"/>
                <w:sz w:val="12"/>
                <w:szCs w:val="12"/>
              </w:rPr>
              <w:t>2.08 </w:t>
            </w:r>
          </w:p>
        </w:tc>
        <w:tc>
          <w:tcPr>
            <w:tcW w:w="0" w:type="auto"/>
            <w:shd w:val="clear" w:color="auto" w:fill="CCEEFF"/>
            <w:tcMar>
              <w:top w:w="40" w:type="dxa"/>
              <w:left w:w="0" w:type="dxa"/>
              <w:bottom w:w="40" w:type="dxa"/>
              <w:right w:w="20" w:type="dxa"/>
            </w:tcMar>
            <w:vAlign w:val="bottom"/>
          </w:tcPr>
          <w:p w14:paraId="71D3EF29" w14:textId="77777777" w:rsidR="006A3667" w:rsidRDefault="006A3667">
            <w:pPr>
              <w:jc w:val="right"/>
              <w:rPr>
                <w:rFonts w:ascii="宋体"/>
              </w:rPr>
            </w:pPr>
          </w:p>
        </w:tc>
        <w:tc>
          <w:tcPr>
            <w:tcW w:w="0" w:type="auto"/>
            <w:shd w:val="clear" w:color="auto" w:fill="auto"/>
            <w:vAlign w:val="bottom"/>
          </w:tcPr>
          <w:p w14:paraId="71D3EF2A" w14:textId="77777777" w:rsidR="006A3667" w:rsidRDefault="006A3667">
            <w:pPr>
              <w:rPr>
                <w:rFonts w:ascii="宋体"/>
                <w:vanish/>
              </w:rPr>
            </w:pPr>
          </w:p>
        </w:tc>
        <w:tc>
          <w:tcPr>
            <w:tcW w:w="0" w:type="auto"/>
            <w:shd w:val="clear" w:color="auto" w:fill="auto"/>
            <w:vAlign w:val="bottom"/>
          </w:tcPr>
          <w:p w14:paraId="71D3EF2B" w14:textId="77777777" w:rsidR="006A3667" w:rsidRDefault="006A3667">
            <w:pPr>
              <w:rPr>
                <w:rFonts w:ascii="宋体"/>
                <w:vanish/>
              </w:rPr>
            </w:pPr>
          </w:p>
        </w:tc>
        <w:tc>
          <w:tcPr>
            <w:tcW w:w="0" w:type="auto"/>
            <w:shd w:val="clear" w:color="auto" w:fill="auto"/>
            <w:vAlign w:val="bottom"/>
          </w:tcPr>
          <w:p w14:paraId="71D3EF2C" w14:textId="77777777" w:rsidR="006A3667" w:rsidRDefault="006A3667">
            <w:pPr>
              <w:rPr>
                <w:rFonts w:ascii="宋体"/>
                <w:vanish/>
              </w:rPr>
            </w:pPr>
          </w:p>
        </w:tc>
        <w:tc>
          <w:tcPr>
            <w:tcW w:w="0" w:type="auto"/>
            <w:shd w:val="clear" w:color="auto" w:fill="auto"/>
            <w:vAlign w:val="bottom"/>
          </w:tcPr>
          <w:p w14:paraId="71D3EF2D" w14:textId="77777777" w:rsidR="006A3667" w:rsidRDefault="006A3667">
            <w:pPr>
              <w:rPr>
                <w:rFonts w:ascii="宋体"/>
                <w:vanish/>
              </w:rPr>
            </w:pPr>
          </w:p>
        </w:tc>
        <w:tc>
          <w:tcPr>
            <w:tcW w:w="0" w:type="auto"/>
            <w:gridSpan w:val="3"/>
            <w:shd w:val="clear" w:color="auto" w:fill="auto"/>
            <w:vAlign w:val="bottom"/>
          </w:tcPr>
          <w:p w14:paraId="71D3EF2E" w14:textId="77777777" w:rsidR="006A3667" w:rsidRDefault="006A3667">
            <w:pPr>
              <w:rPr>
                <w:rFonts w:ascii="宋体"/>
                <w:vanish/>
              </w:rPr>
            </w:pPr>
          </w:p>
        </w:tc>
        <w:tc>
          <w:tcPr>
            <w:tcW w:w="0" w:type="auto"/>
            <w:gridSpan w:val="3"/>
            <w:shd w:val="clear" w:color="auto" w:fill="auto"/>
            <w:vAlign w:val="bottom"/>
          </w:tcPr>
          <w:p w14:paraId="71D3EF2F" w14:textId="77777777" w:rsidR="006A3667" w:rsidRDefault="006A3667">
            <w:pPr>
              <w:rPr>
                <w:rFonts w:ascii="宋体"/>
                <w:vanish/>
              </w:rPr>
            </w:pPr>
          </w:p>
        </w:tc>
        <w:tc>
          <w:tcPr>
            <w:tcW w:w="0" w:type="auto"/>
            <w:gridSpan w:val="3"/>
            <w:shd w:val="clear" w:color="auto" w:fill="auto"/>
            <w:vAlign w:val="bottom"/>
          </w:tcPr>
          <w:p w14:paraId="71D3EF30" w14:textId="77777777" w:rsidR="006A3667" w:rsidRDefault="006A3667">
            <w:pPr>
              <w:rPr>
                <w:rFonts w:ascii="宋体"/>
                <w:vanish/>
              </w:rPr>
            </w:pPr>
          </w:p>
        </w:tc>
        <w:tc>
          <w:tcPr>
            <w:tcW w:w="0" w:type="auto"/>
            <w:gridSpan w:val="3"/>
            <w:shd w:val="clear" w:color="auto" w:fill="auto"/>
            <w:vAlign w:val="bottom"/>
          </w:tcPr>
          <w:p w14:paraId="71D3EF31" w14:textId="77777777" w:rsidR="006A3667" w:rsidRDefault="006A3667">
            <w:pPr>
              <w:rPr>
                <w:rFonts w:ascii="宋体"/>
                <w:vanish/>
              </w:rPr>
            </w:pPr>
          </w:p>
        </w:tc>
        <w:tc>
          <w:tcPr>
            <w:tcW w:w="0" w:type="auto"/>
            <w:gridSpan w:val="2"/>
            <w:shd w:val="clear" w:color="auto" w:fill="auto"/>
            <w:vAlign w:val="bottom"/>
          </w:tcPr>
          <w:p w14:paraId="71D3EF32" w14:textId="77777777" w:rsidR="006A3667" w:rsidRDefault="006A3667">
            <w:pPr>
              <w:rPr>
                <w:rFonts w:ascii="宋体"/>
                <w:vanish/>
              </w:rPr>
            </w:pPr>
          </w:p>
        </w:tc>
        <w:tc>
          <w:tcPr>
            <w:tcW w:w="0" w:type="auto"/>
            <w:shd w:val="clear" w:color="auto" w:fill="auto"/>
            <w:vAlign w:val="bottom"/>
          </w:tcPr>
          <w:p w14:paraId="71D3EF33" w14:textId="77777777" w:rsidR="006A3667" w:rsidRDefault="006A3667">
            <w:pPr>
              <w:rPr>
                <w:rFonts w:ascii="宋体"/>
                <w:vanish/>
              </w:rPr>
            </w:pPr>
          </w:p>
        </w:tc>
      </w:tr>
      <w:tr w:rsidR="006A3667" w14:paraId="71D3EF51" w14:textId="77777777">
        <w:tc>
          <w:tcPr>
            <w:tcW w:w="0" w:type="auto"/>
            <w:gridSpan w:val="3"/>
            <w:shd w:val="clear" w:color="auto" w:fill="FFFFFF"/>
            <w:tcMar>
              <w:top w:w="40" w:type="dxa"/>
              <w:left w:w="20" w:type="dxa"/>
              <w:bottom w:w="40" w:type="dxa"/>
              <w:right w:w="20" w:type="dxa"/>
            </w:tcMar>
            <w:vAlign w:val="bottom"/>
          </w:tcPr>
          <w:p w14:paraId="71D3EF35" w14:textId="77777777" w:rsidR="006A3667" w:rsidRDefault="00045F32">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71D3EF36" w14:textId="77777777" w:rsidR="006A3667" w:rsidRDefault="00045F32">
            <w:pPr>
              <w:jc w:val="right"/>
              <w:textAlignment w:val="bottom"/>
            </w:pPr>
            <w:r>
              <w:rPr>
                <w:rFonts w:ascii="Arial" w:eastAsia="宋体" w:hAnsi="Arial" w:cs="Arial"/>
                <w:b/>
                <w:bCs/>
                <w:color w:val="000000"/>
                <w:sz w:val="12"/>
                <w:szCs w:val="12"/>
              </w:rPr>
              <w:t>20,877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3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3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39" w14:textId="77777777" w:rsidR="006A3667" w:rsidRDefault="00045F32">
            <w:pPr>
              <w:jc w:val="right"/>
              <w:textAlignment w:val="bottom"/>
            </w:pPr>
            <w:r>
              <w:rPr>
                <w:rFonts w:ascii="Arial" w:eastAsia="宋体" w:hAnsi="Arial" w:cs="Arial"/>
                <w:b/>
                <w:bCs/>
                <w:color w:val="000000"/>
                <w:sz w:val="12"/>
                <w:szCs w:val="12"/>
              </w:rPr>
              <w:t>139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3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3C" w14:textId="77777777" w:rsidR="006A3667" w:rsidRDefault="00045F32">
            <w:pPr>
              <w:jc w:val="right"/>
              <w:textAlignment w:val="bottom"/>
            </w:pPr>
            <w:r>
              <w:rPr>
                <w:rFonts w:ascii="Arial" w:eastAsia="宋体" w:hAnsi="Arial" w:cs="Arial"/>
                <w:b/>
                <w:bCs/>
                <w:color w:val="000000"/>
                <w:sz w:val="12"/>
                <w:szCs w:val="12"/>
              </w:rPr>
              <w:t>2.63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3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3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3F" w14:textId="77777777" w:rsidR="006A3667" w:rsidRDefault="00045F32">
            <w:pPr>
              <w:jc w:val="right"/>
              <w:textAlignment w:val="bottom"/>
            </w:pPr>
            <w:r>
              <w:rPr>
                <w:rFonts w:ascii="Arial" w:eastAsia="宋体" w:hAnsi="Arial" w:cs="Arial"/>
                <w:color w:val="000000"/>
                <w:sz w:val="12"/>
                <w:szCs w:val="12"/>
              </w:rPr>
              <w:t>24,662 </w:t>
            </w:r>
          </w:p>
        </w:tc>
        <w:tc>
          <w:tcPr>
            <w:tcW w:w="0" w:type="auto"/>
            <w:shd w:val="clear" w:color="auto" w:fill="FFFFFF"/>
            <w:tcMar>
              <w:top w:w="40" w:type="dxa"/>
              <w:left w:w="0" w:type="dxa"/>
              <w:bottom w:w="40" w:type="dxa"/>
              <w:right w:w="20" w:type="dxa"/>
            </w:tcMar>
            <w:vAlign w:val="bottom"/>
          </w:tcPr>
          <w:p w14:paraId="71D3EF4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4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42" w14:textId="77777777" w:rsidR="006A3667" w:rsidRDefault="00045F32">
            <w:pPr>
              <w:jc w:val="right"/>
              <w:textAlignment w:val="bottom"/>
            </w:pPr>
            <w:r>
              <w:rPr>
                <w:rFonts w:ascii="Arial" w:eastAsia="宋体" w:hAnsi="Arial" w:cs="Arial"/>
                <w:color w:val="000000"/>
                <w:sz w:val="12"/>
                <w:szCs w:val="12"/>
              </w:rPr>
              <w:t>5 </w:t>
            </w:r>
          </w:p>
        </w:tc>
        <w:tc>
          <w:tcPr>
            <w:tcW w:w="0" w:type="auto"/>
            <w:shd w:val="clear" w:color="auto" w:fill="FFFFFF"/>
            <w:tcMar>
              <w:top w:w="40" w:type="dxa"/>
              <w:left w:w="0" w:type="dxa"/>
              <w:bottom w:w="40" w:type="dxa"/>
              <w:right w:w="20" w:type="dxa"/>
            </w:tcMar>
            <w:vAlign w:val="bottom"/>
          </w:tcPr>
          <w:p w14:paraId="71D3EF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4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45" w14:textId="77777777" w:rsidR="006A3667" w:rsidRDefault="00045F32">
            <w:pPr>
              <w:jc w:val="right"/>
              <w:textAlignment w:val="bottom"/>
            </w:pPr>
            <w:r>
              <w:rPr>
                <w:rFonts w:ascii="Arial" w:eastAsia="宋体" w:hAnsi="Arial" w:cs="Arial"/>
                <w:color w:val="000000"/>
                <w:sz w:val="12"/>
                <w:szCs w:val="12"/>
              </w:rPr>
              <w:t>.08 </w:t>
            </w:r>
          </w:p>
        </w:tc>
        <w:tc>
          <w:tcPr>
            <w:tcW w:w="0" w:type="auto"/>
            <w:shd w:val="clear" w:color="auto" w:fill="FFFFFF"/>
            <w:tcMar>
              <w:top w:w="40" w:type="dxa"/>
              <w:left w:w="0" w:type="dxa"/>
              <w:bottom w:w="40" w:type="dxa"/>
              <w:right w:w="20" w:type="dxa"/>
            </w:tcMar>
            <w:vAlign w:val="bottom"/>
          </w:tcPr>
          <w:p w14:paraId="71D3EF46" w14:textId="77777777" w:rsidR="006A3667" w:rsidRDefault="006A3667">
            <w:pPr>
              <w:jc w:val="right"/>
              <w:rPr>
                <w:rFonts w:ascii="宋体"/>
              </w:rPr>
            </w:pPr>
          </w:p>
        </w:tc>
        <w:tc>
          <w:tcPr>
            <w:tcW w:w="0" w:type="auto"/>
            <w:shd w:val="clear" w:color="auto" w:fill="auto"/>
            <w:vAlign w:val="bottom"/>
          </w:tcPr>
          <w:p w14:paraId="71D3EF47" w14:textId="77777777" w:rsidR="006A3667" w:rsidRDefault="006A3667">
            <w:pPr>
              <w:rPr>
                <w:rFonts w:ascii="宋体"/>
                <w:vanish/>
              </w:rPr>
            </w:pPr>
          </w:p>
        </w:tc>
        <w:tc>
          <w:tcPr>
            <w:tcW w:w="0" w:type="auto"/>
            <w:shd w:val="clear" w:color="auto" w:fill="auto"/>
            <w:vAlign w:val="bottom"/>
          </w:tcPr>
          <w:p w14:paraId="71D3EF48" w14:textId="77777777" w:rsidR="006A3667" w:rsidRDefault="006A3667">
            <w:pPr>
              <w:rPr>
                <w:rFonts w:ascii="宋体"/>
                <w:vanish/>
              </w:rPr>
            </w:pPr>
          </w:p>
        </w:tc>
        <w:tc>
          <w:tcPr>
            <w:tcW w:w="0" w:type="auto"/>
            <w:shd w:val="clear" w:color="auto" w:fill="auto"/>
            <w:vAlign w:val="bottom"/>
          </w:tcPr>
          <w:p w14:paraId="71D3EF49" w14:textId="77777777" w:rsidR="006A3667" w:rsidRDefault="006A3667">
            <w:pPr>
              <w:rPr>
                <w:rFonts w:ascii="宋体"/>
                <w:vanish/>
              </w:rPr>
            </w:pPr>
          </w:p>
        </w:tc>
        <w:tc>
          <w:tcPr>
            <w:tcW w:w="0" w:type="auto"/>
            <w:shd w:val="clear" w:color="auto" w:fill="auto"/>
            <w:vAlign w:val="bottom"/>
          </w:tcPr>
          <w:p w14:paraId="71D3EF4A" w14:textId="77777777" w:rsidR="006A3667" w:rsidRDefault="006A3667">
            <w:pPr>
              <w:rPr>
                <w:rFonts w:ascii="宋体"/>
                <w:vanish/>
              </w:rPr>
            </w:pPr>
          </w:p>
        </w:tc>
        <w:tc>
          <w:tcPr>
            <w:tcW w:w="0" w:type="auto"/>
            <w:gridSpan w:val="3"/>
            <w:shd w:val="clear" w:color="auto" w:fill="auto"/>
            <w:vAlign w:val="bottom"/>
          </w:tcPr>
          <w:p w14:paraId="71D3EF4B" w14:textId="77777777" w:rsidR="006A3667" w:rsidRDefault="006A3667">
            <w:pPr>
              <w:rPr>
                <w:rFonts w:ascii="宋体"/>
                <w:vanish/>
              </w:rPr>
            </w:pPr>
          </w:p>
        </w:tc>
        <w:tc>
          <w:tcPr>
            <w:tcW w:w="0" w:type="auto"/>
            <w:gridSpan w:val="3"/>
            <w:shd w:val="clear" w:color="auto" w:fill="auto"/>
            <w:vAlign w:val="bottom"/>
          </w:tcPr>
          <w:p w14:paraId="71D3EF4C" w14:textId="77777777" w:rsidR="006A3667" w:rsidRDefault="006A3667">
            <w:pPr>
              <w:rPr>
                <w:rFonts w:ascii="宋体"/>
                <w:vanish/>
              </w:rPr>
            </w:pPr>
          </w:p>
        </w:tc>
        <w:tc>
          <w:tcPr>
            <w:tcW w:w="0" w:type="auto"/>
            <w:gridSpan w:val="3"/>
            <w:shd w:val="clear" w:color="auto" w:fill="auto"/>
            <w:vAlign w:val="bottom"/>
          </w:tcPr>
          <w:p w14:paraId="71D3EF4D" w14:textId="77777777" w:rsidR="006A3667" w:rsidRDefault="006A3667">
            <w:pPr>
              <w:rPr>
                <w:rFonts w:ascii="宋体"/>
                <w:vanish/>
              </w:rPr>
            </w:pPr>
          </w:p>
        </w:tc>
        <w:tc>
          <w:tcPr>
            <w:tcW w:w="0" w:type="auto"/>
            <w:gridSpan w:val="3"/>
            <w:shd w:val="clear" w:color="auto" w:fill="auto"/>
            <w:vAlign w:val="bottom"/>
          </w:tcPr>
          <w:p w14:paraId="71D3EF4E" w14:textId="77777777" w:rsidR="006A3667" w:rsidRDefault="006A3667">
            <w:pPr>
              <w:rPr>
                <w:rFonts w:ascii="宋体"/>
                <w:vanish/>
              </w:rPr>
            </w:pPr>
          </w:p>
        </w:tc>
        <w:tc>
          <w:tcPr>
            <w:tcW w:w="0" w:type="auto"/>
            <w:gridSpan w:val="2"/>
            <w:shd w:val="clear" w:color="auto" w:fill="auto"/>
            <w:vAlign w:val="bottom"/>
          </w:tcPr>
          <w:p w14:paraId="71D3EF4F" w14:textId="77777777" w:rsidR="006A3667" w:rsidRDefault="006A3667">
            <w:pPr>
              <w:rPr>
                <w:rFonts w:ascii="宋体"/>
                <w:vanish/>
              </w:rPr>
            </w:pPr>
          </w:p>
        </w:tc>
        <w:tc>
          <w:tcPr>
            <w:tcW w:w="0" w:type="auto"/>
            <w:shd w:val="clear" w:color="auto" w:fill="auto"/>
            <w:vAlign w:val="bottom"/>
          </w:tcPr>
          <w:p w14:paraId="71D3EF50" w14:textId="77777777" w:rsidR="006A3667" w:rsidRDefault="006A3667">
            <w:pPr>
              <w:rPr>
                <w:rFonts w:ascii="宋体"/>
                <w:vanish/>
              </w:rPr>
            </w:pPr>
          </w:p>
        </w:tc>
      </w:tr>
      <w:tr w:rsidR="006A3667" w14:paraId="71D3EF72" w14:textId="77777777">
        <w:tc>
          <w:tcPr>
            <w:tcW w:w="0" w:type="auto"/>
            <w:gridSpan w:val="3"/>
            <w:shd w:val="clear" w:color="auto" w:fill="CCEEFF"/>
            <w:tcMar>
              <w:top w:w="40" w:type="dxa"/>
              <w:left w:w="20" w:type="dxa"/>
              <w:bottom w:w="40" w:type="dxa"/>
              <w:right w:w="20" w:type="dxa"/>
            </w:tcMar>
            <w:vAlign w:val="bottom"/>
          </w:tcPr>
          <w:p w14:paraId="71D3EF52" w14:textId="77777777" w:rsidR="006A3667" w:rsidRDefault="00045F32">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EF53"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F54" w14:textId="77777777" w:rsidR="006A3667" w:rsidRDefault="00045F32">
            <w:pPr>
              <w:jc w:val="right"/>
              <w:textAlignment w:val="bottom"/>
            </w:pPr>
            <w:r>
              <w:rPr>
                <w:rFonts w:ascii="Arial" w:eastAsia="宋体" w:hAnsi="Arial" w:cs="Arial"/>
                <w:b/>
                <w:bCs/>
                <w:color w:val="000000"/>
                <w:sz w:val="12"/>
                <w:szCs w:val="12"/>
              </w:rPr>
              <w:t>235,910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F5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5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F57"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F58" w14:textId="77777777" w:rsidR="006A3667" w:rsidRDefault="00045F32">
            <w:pPr>
              <w:jc w:val="right"/>
              <w:textAlignment w:val="bottom"/>
            </w:pPr>
            <w:r>
              <w:rPr>
                <w:rFonts w:ascii="Arial" w:eastAsia="宋体" w:hAnsi="Arial" w:cs="Arial"/>
                <w:b/>
                <w:bCs/>
                <w:color w:val="000000"/>
                <w:sz w:val="12"/>
                <w:szCs w:val="12"/>
              </w:rPr>
              <w:t>1,103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F5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5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5B" w14:textId="77777777" w:rsidR="006A3667" w:rsidRDefault="00045F32">
            <w:pPr>
              <w:jc w:val="right"/>
              <w:textAlignment w:val="bottom"/>
            </w:pPr>
            <w:r>
              <w:rPr>
                <w:rFonts w:ascii="Arial" w:eastAsia="宋体" w:hAnsi="Arial" w:cs="Arial"/>
                <w:b/>
                <w:bCs/>
                <w:color w:val="000000"/>
                <w:sz w:val="12"/>
                <w:szCs w:val="12"/>
              </w:rPr>
              <w:t>1.86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F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5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F5E"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F5F" w14:textId="77777777" w:rsidR="006A3667" w:rsidRDefault="00045F32">
            <w:pPr>
              <w:jc w:val="right"/>
              <w:textAlignment w:val="bottom"/>
            </w:pPr>
            <w:r>
              <w:rPr>
                <w:rFonts w:ascii="Arial" w:eastAsia="宋体" w:hAnsi="Arial" w:cs="Arial"/>
                <w:color w:val="000000"/>
                <w:sz w:val="12"/>
                <w:szCs w:val="12"/>
              </w:rPr>
              <w:t>254,501 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F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6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EF62"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EF63" w14:textId="77777777" w:rsidR="006A3667" w:rsidRDefault="00045F32">
            <w:pPr>
              <w:jc w:val="right"/>
              <w:textAlignment w:val="bottom"/>
            </w:pPr>
            <w:r>
              <w:rPr>
                <w:rFonts w:ascii="Arial" w:eastAsia="宋体" w:hAnsi="Arial" w:cs="Arial"/>
                <w:color w:val="000000"/>
                <w:sz w:val="12"/>
                <w:szCs w:val="12"/>
              </w:rPr>
              <w:t>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F6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6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66" w14:textId="77777777" w:rsidR="006A3667" w:rsidRDefault="00045F32">
            <w:pPr>
              <w:jc w:val="right"/>
              <w:textAlignment w:val="bottom"/>
            </w:pPr>
            <w:r>
              <w:rPr>
                <w:rFonts w:ascii="Arial" w:eastAsia="宋体" w:hAnsi="Arial" w:cs="Arial"/>
                <w:color w:val="000000"/>
                <w:sz w:val="12"/>
                <w:szCs w:val="12"/>
              </w:rPr>
              <w:t>.76 </w:t>
            </w:r>
          </w:p>
        </w:tc>
        <w:tc>
          <w:tcPr>
            <w:tcW w:w="0" w:type="auto"/>
            <w:shd w:val="clear" w:color="auto" w:fill="CCEEFF"/>
            <w:tcMar>
              <w:top w:w="40" w:type="dxa"/>
              <w:left w:w="0" w:type="dxa"/>
              <w:bottom w:w="40" w:type="dxa"/>
              <w:right w:w="20" w:type="dxa"/>
            </w:tcMar>
            <w:vAlign w:val="bottom"/>
          </w:tcPr>
          <w:p w14:paraId="71D3EF67" w14:textId="77777777" w:rsidR="006A3667" w:rsidRDefault="006A3667">
            <w:pPr>
              <w:jc w:val="right"/>
              <w:rPr>
                <w:rFonts w:ascii="宋体"/>
              </w:rPr>
            </w:pPr>
          </w:p>
        </w:tc>
        <w:tc>
          <w:tcPr>
            <w:tcW w:w="0" w:type="auto"/>
            <w:shd w:val="clear" w:color="auto" w:fill="auto"/>
            <w:vAlign w:val="bottom"/>
          </w:tcPr>
          <w:p w14:paraId="71D3EF68" w14:textId="77777777" w:rsidR="006A3667" w:rsidRDefault="006A3667">
            <w:pPr>
              <w:rPr>
                <w:rFonts w:ascii="宋体"/>
                <w:vanish/>
              </w:rPr>
            </w:pPr>
          </w:p>
        </w:tc>
        <w:tc>
          <w:tcPr>
            <w:tcW w:w="0" w:type="auto"/>
            <w:shd w:val="clear" w:color="auto" w:fill="auto"/>
            <w:vAlign w:val="bottom"/>
          </w:tcPr>
          <w:p w14:paraId="71D3EF69" w14:textId="77777777" w:rsidR="006A3667" w:rsidRDefault="006A3667">
            <w:pPr>
              <w:rPr>
                <w:rFonts w:ascii="宋体"/>
                <w:vanish/>
              </w:rPr>
            </w:pPr>
          </w:p>
        </w:tc>
        <w:tc>
          <w:tcPr>
            <w:tcW w:w="0" w:type="auto"/>
            <w:shd w:val="clear" w:color="auto" w:fill="auto"/>
            <w:vAlign w:val="bottom"/>
          </w:tcPr>
          <w:p w14:paraId="71D3EF6A" w14:textId="77777777" w:rsidR="006A3667" w:rsidRDefault="006A3667">
            <w:pPr>
              <w:rPr>
                <w:rFonts w:ascii="宋体"/>
                <w:vanish/>
              </w:rPr>
            </w:pPr>
          </w:p>
        </w:tc>
        <w:tc>
          <w:tcPr>
            <w:tcW w:w="0" w:type="auto"/>
            <w:shd w:val="clear" w:color="auto" w:fill="auto"/>
            <w:vAlign w:val="bottom"/>
          </w:tcPr>
          <w:p w14:paraId="71D3EF6B" w14:textId="77777777" w:rsidR="006A3667" w:rsidRDefault="006A3667">
            <w:pPr>
              <w:rPr>
                <w:rFonts w:ascii="宋体"/>
                <w:vanish/>
              </w:rPr>
            </w:pPr>
          </w:p>
        </w:tc>
        <w:tc>
          <w:tcPr>
            <w:tcW w:w="0" w:type="auto"/>
            <w:gridSpan w:val="3"/>
            <w:shd w:val="clear" w:color="auto" w:fill="auto"/>
            <w:vAlign w:val="bottom"/>
          </w:tcPr>
          <w:p w14:paraId="71D3EF6C" w14:textId="77777777" w:rsidR="006A3667" w:rsidRDefault="006A3667">
            <w:pPr>
              <w:rPr>
                <w:rFonts w:ascii="宋体"/>
                <w:vanish/>
              </w:rPr>
            </w:pPr>
          </w:p>
        </w:tc>
        <w:tc>
          <w:tcPr>
            <w:tcW w:w="0" w:type="auto"/>
            <w:gridSpan w:val="3"/>
            <w:shd w:val="clear" w:color="auto" w:fill="auto"/>
            <w:vAlign w:val="bottom"/>
          </w:tcPr>
          <w:p w14:paraId="71D3EF6D" w14:textId="77777777" w:rsidR="006A3667" w:rsidRDefault="006A3667">
            <w:pPr>
              <w:rPr>
                <w:rFonts w:ascii="宋体"/>
                <w:vanish/>
              </w:rPr>
            </w:pPr>
          </w:p>
        </w:tc>
        <w:tc>
          <w:tcPr>
            <w:tcW w:w="0" w:type="auto"/>
            <w:gridSpan w:val="3"/>
            <w:shd w:val="clear" w:color="auto" w:fill="auto"/>
            <w:vAlign w:val="bottom"/>
          </w:tcPr>
          <w:p w14:paraId="71D3EF6E" w14:textId="77777777" w:rsidR="006A3667" w:rsidRDefault="006A3667">
            <w:pPr>
              <w:rPr>
                <w:rFonts w:ascii="宋体"/>
                <w:vanish/>
              </w:rPr>
            </w:pPr>
          </w:p>
        </w:tc>
        <w:tc>
          <w:tcPr>
            <w:tcW w:w="0" w:type="auto"/>
            <w:gridSpan w:val="3"/>
            <w:shd w:val="clear" w:color="auto" w:fill="auto"/>
            <w:vAlign w:val="bottom"/>
          </w:tcPr>
          <w:p w14:paraId="71D3EF6F" w14:textId="77777777" w:rsidR="006A3667" w:rsidRDefault="006A3667">
            <w:pPr>
              <w:rPr>
                <w:rFonts w:ascii="宋体"/>
                <w:vanish/>
              </w:rPr>
            </w:pPr>
          </w:p>
        </w:tc>
        <w:tc>
          <w:tcPr>
            <w:tcW w:w="0" w:type="auto"/>
            <w:gridSpan w:val="2"/>
            <w:shd w:val="clear" w:color="auto" w:fill="auto"/>
            <w:vAlign w:val="bottom"/>
          </w:tcPr>
          <w:p w14:paraId="71D3EF70" w14:textId="77777777" w:rsidR="006A3667" w:rsidRDefault="006A3667">
            <w:pPr>
              <w:rPr>
                <w:rFonts w:ascii="宋体"/>
                <w:vanish/>
              </w:rPr>
            </w:pPr>
          </w:p>
        </w:tc>
        <w:tc>
          <w:tcPr>
            <w:tcW w:w="0" w:type="auto"/>
            <w:shd w:val="clear" w:color="auto" w:fill="auto"/>
            <w:vAlign w:val="bottom"/>
          </w:tcPr>
          <w:p w14:paraId="71D3EF71" w14:textId="77777777" w:rsidR="006A3667" w:rsidRDefault="006A3667">
            <w:pPr>
              <w:rPr>
                <w:rFonts w:ascii="宋体"/>
                <w:vanish/>
              </w:rPr>
            </w:pPr>
          </w:p>
        </w:tc>
      </w:tr>
      <w:tr w:rsidR="006A3667" w14:paraId="71D3EF89" w14:textId="77777777">
        <w:tc>
          <w:tcPr>
            <w:tcW w:w="0" w:type="auto"/>
            <w:gridSpan w:val="3"/>
            <w:shd w:val="clear" w:color="auto" w:fill="FFFFFF"/>
            <w:tcMar>
              <w:top w:w="40" w:type="dxa"/>
              <w:left w:w="20" w:type="dxa"/>
              <w:bottom w:w="40" w:type="dxa"/>
              <w:right w:w="20" w:type="dxa"/>
            </w:tcMar>
            <w:vAlign w:val="bottom"/>
          </w:tcPr>
          <w:p w14:paraId="71D3EF73" w14:textId="77777777" w:rsidR="006A3667" w:rsidRDefault="00045F32">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EF7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F75"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EF7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F7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F7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F79"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EF7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F7B"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EF7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F7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EF7E" w14:textId="77777777" w:rsidR="006A3667" w:rsidRDefault="006A3667">
            <w:pPr>
              <w:rPr>
                <w:rFonts w:ascii="宋体"/>
              </w:rPr>
            </w:pPr>
          </w:p>
        </w:tc>
        <w:tc>
          <w:tcPr>
            <w:tcW w:w="0" w:type="auto"/>
            <w:shd w:val="clear" w:color="auto" w:fill="auto"/>
            <w:vAlign w:val="bottom"/>
          </w:tcPr>
          <w:p w14:paraId="71D3EF7F" w14:textId="77777777" w:rsidR="006A3667" w:rsidRDefault="006A3667">
            <w:pPr>
              <w:rPr>
                <w:rFonts w:ascii="宋体"/>
                <w:vanish/>
              </w:rPr>
            </w:pPr>
          </w:p>
        </w:tc>
        <w:tc>
          <w:tcPr>
            <w:tcW w:w="0" w:type="auto"/>
            <w:shd w:val="clear" w:color="auto" w:fill="auto"/>
            <w:vAlign w:val="bottom"/>
          </w:tcPr>
          <w:p w14:paraId="71D3EF80" w14:textId="77777777" w:rsidR="006A3667" w:rsidRDefault="006A3667">
            <w:pPr>
              <w:rPr>
                <w:rFonts w:ascii="宋体"/>
                <w:vanish/>
              </w:rPr>
            </w:pPr>
          </w:p>
        </w:tc>
        <w:tc>
          <w:tcPr>
            <w:tcW w:w="0" w:type="auto"/>
            <w:shd w:val="clear" w:color="auto" w:fill="auto"/>
            <w:vAlign w:val="bottom"/>
          </w:tcPr>
          <w:p w14:paraId="71D3EF81" w14:textId="77777777" w:rsidR="006A3667" w:rsidRDefault="006A3667">
            <w:pPr>
              <w:rPr>
                <w:rFonts w:ascii="宋体"/>
                <w:vanish/>
              </w:rPr>
            </w:pPr>
          </w:p>
        </w:tc>
        <w:tc>
          <w:tcPr>
            <w:tcW w:w="0" w:type="auto"/>
            <w:shd w:val="clear" w:color="auto" w:fill="auto"/>
            <w:vAlign w:val="bottom"/>
          </w:tcPr>
          <w:p w14:paraId="71D3EF82" w14:textId="77777777" w:rsidR="006A3667" w:rsidRDefault="006A3667">
            <w:pPr>
              <w:rPr>
                <w:rFonts w:ascii="宋体"/>
                <w:vanish/>
              </w:rPr>
            </w:pPr>
          </w:p>
        </w:tc>
        <w:tc>
          <w:tcPr>
            <w:tcW w:w="0" w:type="auto"/>
            <w:gridSpan w:val="3"/>
            <w:shd w:val="clear" w:color="auto" w:fill="auto"/>
            <w:vAlign w:val="bottom"/>
          </w:tcPr>
          <w:p w14:paraId="71D3EF83" w14:textId="77777777" w:rsidR="006A3667" w:rsidRDefault="006A3667">
            <w:pPr>
              <w:rPr>
                <w:rFonts w:ascii="宋体"/>
                <w:vanish/>
              </w:rPr>
            </w:pPr>
          </w:p>
        </w:tc>
        <w:tc>
          <w:tcPr>
            <w:tcW w:w="0" w:type="auto"/>
            <w:gridSpan w:val="3"/>
            <w:shd w:val="clear" w:color="auto" w:fill="auto"/>
            <w:vAlign w:val="bottom"/>
          </w:tcPr>
          <w:p w14:paraId="71D3EF84" w14:textId="77777777" w:rsidR="006A3667" w:rsidRDefault="006A3667">
            <w:pPr>
              <w:rPr>
                <w:rFonts w:ascii="宋体"/>
                <w:vanish/>
              </w:rPr>
            </w:pPr>
          </w:p>
        </w:tc>
        <w:tc>
          <w:tcPr>
            <w:tcW w:w="0" w:type="auto"/>
            <w:gridSpan w:val="3"/>
            <w:shd w:val="clear" w:color="auto" w:fill="auto"/>
            <w:vAlign w:val="bottom"/>
          </w:tcPr>
          <w:p w14:paraId="71D3EF85" w14:textId="77777777" w:rsidR="006A3667" w:rsidRDefault="006A3667">
            <w:pPr>
              <w:rPr>
                <w:rFonts w:ascii="宋体"/>
                <w:vanish/>
              </w:rPr>
            </w:pPr>
          </w:p>
        </w:tc>
        <w:tc>
          <w:tcPr>
            <w:tcW w:w="0" w:type="auto"/>
            <w:gridSpan w:val="3"/>
            <w:shd w:val="clear" w:color="auto" w:fill="auto"/>
            <w:vAlign w:val="bottom"/>
          </w:tcPr>
          <w:p w14:paraId="71D3EF86" w14:textId="77777777" w:rsidR="006A3667" w:rsidRDefault="006A3667">
            <w:pPr>
              <w:rPr>
                <w:rFonts w:ascii="宋体"/>
                <w:vanish/>
              </w:rPr>
            </w:pPr>
          </w:p>
        </w:tc>
        <w:tc>
          <w:tcPr>
            <w:tcW w:w="0" w:type="auto"/>
            <w:gridSpan w:val="2"/>
            <w:shd w:val="clear" w:color="auto" w:fill="auto"/>
            <w:vAlign w:val="bottom"/>
          </w:tcPr>
          <w:p w14:paraId="71D3EF87" w14:textId="77777777" w:rsidR="006A3667" w:rsidRDefault="006A3667">
            <w:pPr>
              <w:rPr>
                <w:rFonts w:ascii="宋体"/>
                <w:vanish/>
              </w:rPr>
            </w:pPr>
          </w:p>
        </w:tc>
        <w:tc>
          <w:tcPr>
            <w:tcW w:w="0" w:type="auto"/>
            <w:shd w:val="clear" w:color="auto" w:fill="auto"/>
            <w:vAlign w:val="bottom"/>
          </w:tcPr>
          <w:p w14:paraId="71D3EF88" w14:textId="77777777" w:rsidR="006A3667" w:rsidRDefault="006A3667">
            <w:pPr>
              <w:rPr>
                <w:rFonts w:ascii="宋体"/>
                <w:vanish/>
              </w:rPr>
            </w:pPr>
          </w:p>
        </w:tc>
      </w:tr>
      <w:tr w:rsidR="006A3667" w14:paraId="71D3EFAA" w14:textId="77777777">
        <w:tc>
          <w:tcPr>
            <w:tcW w:w="0" w:type="auto"/>
            <w:gridSpan w:val="3"/>
            <w:shd w:val="clear" w:color="auto" w:fill="CCEEFF"/>
            <w:tcMar>
              <w:top w:w="40" w:type="dxa"/>
              <w:left w:w="20" w:type="dxa"/>
              <w:bottom w:w="40" w:type="dxa"/>
              <w:right w:w="20" w:type="dxa"/>
            </w:tcMar>
            <w:vAlign w:val="bottom"/>
          </w:tcPr>
          <w:p w14:paraId="71D3EF8A" w14:textId="77777777" w:rsidR="006A3667" w:rsidRDefault="00045F32">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71D3EF8B"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EF8C" w14:textId="77777777" w:rsidR="006A3667" w:rsidRDefault="00045F32">
            <w:pPr>
              <w:jc w:val="right"/>
              <w:textAlignment w:val="bottom"/>
            </w:pPr>
            <w:r>
              <w:rPr>
                <w:rFonts w:ascii="Arial" w:eastAsia="宋体" w:hAnsi="Arial" w:cs="Arial"/>
                <w:b/>
                <w:bCs/>
                <w:color w:val="000000"/>
                <w:sz w:val="12"/>
                <w:szCs w:val="12"/>
              </w:rPr>
              <w:t>94,636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F8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8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EF8F"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EF90" w14:textId="77777777" w:rsidR="006A3667" w:rsidRDefault="00045F32">
            <w:pPr>
              <w:jc w:val="right"/>
              <w:textAlignment w:val="bottom"/>
            </w:pPr>
            <w:r>
              <w:rPr>
                <w:rFonts w:ascii="Arial" w:eastAsia="宋体" w:hAnsi="Arial" w:cs="Arial"/>
                <w:b/>
                <w:bCs/>
                <w:color w:val="000000"/>
                <w:sz w:val="12"/>
                <w:szCs w:val="12"/>
              </w:rPr>
              <w:t>260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F9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9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93" w14:textId="77777777" w:rsidR="006A3667" w:rsidRDefault="00045F32">
            <w:pPr>
              <w:jc w:val="right"/>
              <w:textAlignment w:val="bottom"/>
            </w:pPr>
            <w:r>
              <w:rPr>
                <w:rFonts w:ascii="Arial" w:eastAsia="宋体" w:hAnsi="Arial" w:cs="Arial"/>
                <w:b/>
                <w:bCs/>
                <w:color w:val="000000"/>
                <w:sz w:val="12"/>
                <w:szCs w:val="12"/>
              </w:rPr>
              <w:t>1.09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F94"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3EF9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EF96"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EF97" w14:textId="77777777" w:rsidR="006A3667" w:rsidRDefault="00045F32">
            <w:pPr>
              <w:jc w:val="right"/>
              <w:textAlignment w:val="bottom"/>
            </w:pPr>
            <w:r>
              <w:rPr>
                <w:rFonts w:ascii="Arial" w:eastAsia="宋体" w:hAnsi="Arial" w:cs="Arial"/>
                <w:color w:val="000000"/>
                <w:sz w:val="12"/>
                <w:szCs w:val="12"/>
              </w:rPr>
              <w:t>104,575 </w:t>
            </w:r>
          </w:p>
        </w:tc>
        <w:tc>
          <w:tcPr>
            <w:tcW w:w="0" w:type="auto"/>
            <w:shd w:val="clear" w:color="auto" w:fill="CCEEFF"/>
            <w:tcMar>
              <w:top w:w="40" w:type="dxa"/>
              <w:left w:w="0" w:type="dxa"/>
              <w:bottom w:w="40" w:type="dxa"/>
              <w:right w:w="20" w:type="dxa"/>
            </w:tcMar>
            <w:vAlign w:val="bottom"/>
          </w:tcPr>
          <w:p w14:paraId="71D3EF9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9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EF9A"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EF9B" w14:textId="77777777" w:rsidR="006A3667" w:rsidRDefault="00045F32">
            <w:pPr>
              <w:jc w:val="right"/>
              <w:textAlignment w:val="bottom"/>
            </w:pPr>
            <w:r>
              <w:rPr>
                <w:rFonts w:ascii="Arial" w:eastAsia="宋体" w:hAnsi="Arial" w:cs="Arial"/>
                <w:color w:val="000000"/>
                <w:sz w:val="12"/>
                <w:szCs w:val="12"/>
              </w:rPr>
              <w:t>6 </w:t>
            </w:r>
          </w:p>
        </w:tc>
        <w:tc>
          <w:tcPr>
            <w:tcW w:w="0" w:type="auto"/>
            <w:shd w:val="clear" w:color="auto" w:fill="CCEEFF"/>
            <w:tcMar>
              <w:top w:w="40" w:type="dxa"/>
              <w:left w:w="0" w:type="dxa"/>
              <w:bottom w:w="40" w:type="dxa"/>
              <w:right w:w="20" w:type="dxa"/>
            </w:tcMar>
            <w:vAlign w:val="bottom"/>
          </w:tcPr>
          <w:p w14:paraId="71D3EF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9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9E" w14:textId="77777777" w:rsidR="006A3667" w:rsidRDefault="00045F32">
            <w:pPr>
              <w:jc w:val="right"/>
              <w:textAlignment w:val="bottom"/>
            </w:pPr>
            <w:r>
              <w:rPr>
                <w:rFonts w:ascii="Arial" w:eastAsia="宋体" w:hAnsi="Arial" w:cs="Arial"/>
                <w:color w:val="000000"/>
                <w:sz w:val="12"/>
                <w:szCs w:val="12"/>
              </w:rPr>
              <w:t>.02 </w:t>
            </w:r>
          </w:p>
        </w:tc>
        <w:tc>
          <w:tcPr>
            <w:tcW w:w="0" w:type="auto"/>
            <w:shd w:val="clear" w:color="auto" w:fill="CCEEFF"/>
            <w:tcMar>
              <w:top w:w="40" w:type="dxa"/>
              <w:left w:w="0" w:type="dxa"/>
              <w:bottom w:w="40" w:type="dxa"/>
              <w:right w:w="20" w:type="dxa"/>
            </w:tcMar>
            <w:vAlign w:val="bottom"/>
          </w:tcPr>
          <w:p w14:paraId="71D3EF9F" w14:textId="77777777" w:rsidR="006A3667" w:rsidRDefault="00045F32">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1D3EFA0" w14:textId="77777777" w:rsidR="006A3667" w:rsidRDefault="006A3667">
            <w:pPr>
              <w:rPr>
                <w:rFonts w:ascii="宋体"/>
                <w:vanish/>
              </w:rPr>
            </w:pPr>
          </w:p>
        </w:tc>
        <w:tc>
          <w:tcPr>
            <w:tcW w:w="0" w:type="auto"/>
            <w:shd w:val="clear" w:color="auto" w:fill="auto"/>
            <w:vAlign w:val="bottom"/>
          </w:tcPr>
          <w:p w14:paraId="71D3EFA1" w14:textId="77777777" w:rsidR="006A3667" w:rsidRDefault="006A3667">
            <w:pPr>
              <w:rPr>
                <w:rFonts w:ascii="宋体"/>
                <w:vanish/>
              </w:rPr>
            </w:pPr>
          </w:p>
        </w:tc>
        <w:tc>
          <w:tcPr>
            <w:tcW w:w="0" w:type="auto"/>
            <w:shd w:val="clear" w:color="auto" w:fill="auto"/>
            <w:vAlign w:val="bottom"/>
          </w:tcPr>
          <w:p w14:paraId="71D3EFA2" w14:textId="77777777" w:rsidR="006A3667" w:rsidRDefault="006A3667">
            <w:pPr>
              <w:rPr>
                <w:rFonts w:ascii="宋体"/>
                <w:vanish/>
              </w:rPr>
            </w:pPr>
          </w:p>
        </w:tc>
        <w:tc>
          <w:tcPr>
            <w:tcW w:w="0" w:type="auto"/>
            <w:shd w:val="clear" w:color="auto" w:fill="auto"/>
            <w:vAlign w:val="bottom"/>
          </w:tcPr>
          <w:p w14:paraId="71D3EFA3" w14:textId="77777777" w:rsidR="006A3667" w:rsidRDefault="006A3667">
            <w:pPr>
              <w:rPr>
                <w:rFonts w:ascii="宋体"/>
                <w:vanish/>
              </w:rPr>
            </w:pPr>
          </w:p>
        </w:tc>
        <w:tc>
          <w:tcPr>
            <w:tcW w:w="0" w:type="auto"/>
            <w:gridSpan w:val="3"/>
            <w:shd w:val="clear" w:color="auto" w:fill="auto"/>
            <w:vAlign w:val="bottom"/>
          </w:tcPr>
          <w:p w14:paraId="71D3EFA4" w14:textId="77777777" w:rsidR="006A3667" w:rsidRDefault="006A3667">
            <w:pPr>
              <w:rPr>
                <w:rFonts w:ascii="宋体"/>
                <w:vanish/>
              </w:rPr>
            </w:pPr>
          </w:p>
        </w:tc>
        <w:tc>
          <w:tcPr>
            <w:tcW w:w="0" w:type="auto"/>
            <w:gridSpan w:val="3"/>
            <w:shd w:val="clear" w:color="auto" w:fill="auto"/>
            <w:vAlign w:val="bottom"/>
          </w:tcPr>
          <w:p w14:paraId="71D3EFA5" w14:textId="77777777" w:rsidR="006A3667" w:rsidRDefault="006A3667">
            <w:pPr>
              <w:rPr>
                <w:rFonts w:ascii="宋体"/>
                <w:vanish/>
              </w:rPr>
            </w:pPr>
          </w:p>
        </w:tc>
        <w:tc>
          <w:tcPr>
            <w:tcW w:w="0" w:type="auto"/>
            <w:gridSpan w:val="3"/>
            <w:shd w:val="clear" w:color="auto" w:fill="auto"/>
            <w:vAlign w:val="bottom"/>
          </w:tcPr>
          <w:p w14:paraId="71D3EFA6" w14:textId="77777777" w:rsidR="006A3667" w:rsidRDefault="006A3667">
            <w:pPr>
              <w:rPr>
                <w:rFonts w:ascii="宋体"/>
                <w:vanish/>
              </w:rPr>
            </w:pPr>
          </w:p>
        </w:tc>
        <w:tc>
          <w:tcPr>
            <w:tcW w:w="0" w:type="auto"/>
            <w:gridSpan w:val="3"/>
            <w:shd w:val="clear" w:color="auto" w:fill="auto"/>
            <w:vAlign w:val="bottom"/>
          </w:tcPr>
          <w:p w14:paraId="71D3EFA7" w14:textId="77777777" w:rsidR="006A3667" w:rsidRDefault="006A3667">
            <w:pPr>
              <w:rPr>
                <w:rFonts w:ascii="宋体"/>
                <w:vanish/>
              </w:rPr>
            </w:pPr>
          </w:p>
        </w:tc>
        <w:tc>
          <w:tcPr>
            <w:tcW w:w="0" w:type="auto"/>
            <w:gridSpan w:val="2"/>
            <w:shd w:val="clear" w:color="auto" w:fill="auto"/>
            <w:vAlign w:val="bottom"/>
          </w:tcPr>
          <w:p w14:paraId="71D3EFA8" w14:textId="77777777" w:rsidR="006A3667" w:rsidRDefault="006A3667">
            <w:pPr>
              <w:rPr>
                <w:rFonts w:ascii="宋体"/>
                <w:vanish/>
              </w:rPr>
            </w:pPr>
          </w:p>
        </w:tc>
        <w:tc>
          <w:tcPr>
            <w:tcW w:w="0" w:type="auto"/>
            <w:shd w:val="clear" w:color="auto" w:fill="auto"/>
            <w:vAlign w:val="bottom"/>
          </w:tcPr>
          <w:p w14:paraId="71D3EFA9" w14:textId="77777777" w:rsidR="006A3667" w:rsidRDefault="006A3667">
            <w:pPr>
              <w:rPr>
                <w:rFonts w:ascii="宋体"/>
                <w:vanish/>
              </w:rPr>
            </w:pPr>
          </w:p>
        </w:tc>
      </w:tr>
      <w:tr w:rsidR="006A3667" w14:paraId="71D3EFC7" w14:textId="77777777">
        <w:tc>
          <w:tcPr>
            <w:tcW w:w="0" w:type="auto"/>
            <w:gridSpan w:val="3"/>
            <w:shd w:val="clear" w:color="auto" w:fill="FFFFFF"/>
            <w:tcMar>
              <w:top w:w="40" w:type="dxa"/>
              <w:left w:w="20" w:type="dxa"/>
              <w:bottom w:w="40" w:type="dxa"/>
              <w:right w:w="20" w:type="dxa"/>
            </w:tcMar>
            <w:vAlign w:val="bottom"/>
          </w:tcPr>
          <w:p w14:paraId="71D3EFAB" w14:textId="77777777" w:rsidR="006A3667" w:rsidRDefault="00045F32">
            <w:pP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71D3EFAC" w14:textId="77777777" w:rsidR="006A3667" w:rsidRDefault="00045F32">
            <w:pPr>
              <w:jc w:val="right"/>
              <w:textAlignment w:val="bottom"/>
            </w:pPr>
            <w:r>
              <w:rPr>
                <w:rFonts w:ascii="Arial" w:eastAsia="宋体" w:hAnsi="Arial" w:cs="Arial"/>
                <w:b/>
                <w:bCs/>
                <w:color w:val="000000"/>
                <w:sz w:val="12"/>
                <w:szCs w:val="12"/>
              </w:rPr>
              <w:t>72,202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A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A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AF" w14:textId="77777777" w:rsidR="006A3667" w:rsidRDefault="00045F32">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B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B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B2" w14:textId="77777777" w:rsidR="006A3667" w:rsidRDefault="00045F32">
            <w:pPr>
              <w:jc w:val="right"/>
              <w:textAlignment w:val="bottom"/>
            </w:pPr>
            <w:r>
              <w:rPr>
                <w:rFonts w:ascii="Arial" w:eastAsia="宋体" w:hAnsi="Arial" w:cs="Arial"/>
                <w:b/>
                <w:bCs/>
                <w:color w:val="000000"/>
                <w:sz w:val="12"/>
                <w:szCs w:val="12"/>
              </w:rPr>
              <w:t>.22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B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B5" w14:textId="77777777" w:rsidR="006A3667" w:rsidRDefault="00045F32">
            <w:pPr>
              <w:jc w:val="right"/>
              <w:textAlignment w:val="bottom"/>
            </w:pPr>
            <w:r>
              <w:rPr>
                <w:rFonts w:ascii="Arial" w:eastAsia="宋体" w:hAnsi="Arial" w:cs="Arial"/>
                <w:color w:val="000000"/>
                <w:sz w:val="12"/>
                <w:szCs w:val="12"/>
              </w:rPr>
              <w:t>82,230 </w:t>
            </w:r>
          </w:p>
        </w:tc>
        <w:tc>
          <w:tcPr>
            <w:tcW w:w="0" w:type="auto"/>
            <w:shd w:val="clear" w:color="auto" w:fill="FFFFFF"/>
            <w:tcMar>
              <w:top w:w="40" w:type="dxa"/>
              <w:left w:w="0" w:type="dxa"/>
              <w:bottom w:w="40" w:type="dxa"/>
              <w:right w:w="20" w:type="dxa"/>
            </w:tcMar>
            <w:vAlign w:val="bottom"/>
          </w:tcPr>
          <w:p w14:paraId="71D3EFB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B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B8" w14:textId="77777777" w:rsidR="006A3667" w:rsidRDefault="00045F32">
            <w:pPr>
              <w:jc w:val="right"/>
              <w:textAlignment w:val="bottom"/>
            </w:pPr>
            <w:r>
              <w:rPr>
                <w:rFonts w:ascii="Arial" w:eastAsia="宋体" w:hAnsi="Arial" w:cs="Arial"/>
                <w:color w:val="000000"/>
                <w:sz w:val="12"/>
                <w:szCs w:val="12"/>
              </w:rPr>
              <w:t>(68)</w:t>
            </w:r>
          </w:p>
        </w:tc>
        <w:tc>
          <w:tcPr>
            <w:tcW w:w="0" w:type="auto"/>
            <w:shd w:val="clear" w:color="auto" w:fill="FFFFFF"/>
            <w:tcMar>
              <w:top w:w="40" w:type="dxa"/>
              <w:left w:w="0" w:type="dxa"/>
              <w:bottom w:w="40" w:type="dxa"/>
              <w:right w:w="20" w:type="dxa"/>
            </w:tcMar>
            <w:vAlign w:val="bottom"/>
          </w:tcPr>
          <w:p w14:paraId="71D3EFB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B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BB" w14:textId="77777777" w:rsidR="006A3667" w:rsidRDefault="00045F32">
            <w:pPr>
              <w:jc w:val="right"/>
              <w:textAlignment w:val="bottom"/>
            </w:pPr>
            <w:r>
              <w:rPr>
                <w:rFonts w:ascii="Arial" w:eastAsia="宋体" w:hAnsi="Arial" w:cs="Arial"/>
                <w:color w:val="000000"/>
                <w:sz w:val="12"/>
                <w:szCs w:val="12"/>
              </w:rPr>
              <w:t>(.33)</w:t>
            </w:r>
          </w:p>
        </w:tc>
        <w:tc>
          <w:tcPr>
            <w:tcW w:w="0" w:type="auto"/>
            <w:shd w:val="clear" w:color="auto" w:fill="FFFFFF"/>
            <w:tcMar>
              <w:top w:w="40" w:type="dxa"/>
              <w:left w:w="0" w:type="dxa"/>
              <w:bottom w:w="40" w:type="dxa"/>
              <w:right w:w="20" w:type="dxa"/>
            </w:tcMar>
            <w:vAlign w:val="bottom"/>
          </w:tcPr>
          <w:p w14:paraId="71D3EFBC" w14:textId="77777777" w:rsidR="006A3667" w:rsidRDefault="006A3667">
            <w:pPr>
              <w:jc w:val="right"/>
              <w:rPr>
                <w:rFonts w:ascii="宋体"/>
              </w:rPr>
            </w:pPr>
          </w:p>
        </w:tc>
        <w:tc>
          <w:tcPr>
            <w:tcW w:w="0" w:type="auto"/>
            <w:shd w:val="clear" w:color="auto" w:fill="auto"/>
            <w:vAlign w:val="bottom"/>
          </w:tcPr>
          <w:p w14:paraId="71D3EFBD" w14:textId="77777777" w:rsidR="006A3667" w:rsidRDefault="006A3667">
            <w:pPr>
              <w:rPr>
                <w:rFonts w:ascii="宋体"/>
                <w:vanish/>
              </w:rPr>
            </w:pPr>
          </w:p>
        </w:tc>
        <w:tc>
          <w:tcPr>
            <w:tcW w:w="0" w:type="auto"/>
            <w:shd w:val="clear" w:color="auto" w:fill="auto"/>
            <w:vAlign w:val="bottom"/>
          </w:tcPr>
          <w:p w14:paraId="71D3EFBE" w14:textId="77777777" w:rsidR="006A3667" w:rsidRDefault="006A3667">
            <w:pPr>
              <w:rPr>
                <w:rFonts w:ascii="宋体"/>
                <w:vanish/>
              </w:rPr>
            </w:pPr>
          </w:p>
        </w:tc>
        <w:tc>
          <w:tcPr>
            <w:tcW w:w="0" w:type="auto"/>
            <w:shd w:val="clear" w:color="auto" w:fill="auto"/>
            <w:vAlign w:val="bottom"/>
          </w:tcPr>
          <w:p w14:paraId="71D3EFBF" w14:textId="77777777" w:rsidR="006A3667" w:rsidRDefault="006A3667">
            <w:pPr>
              <w:rPr>
                <w:rFonts w:ascii="宋体"/>
                <w:vanish/>
              </w:rPr>
            </w:pPr>
          </w:p>
        </w:tc>
        <w:tc>
          <w:tcPr>
            <w:tcW w:w="0" w:type="auto"/>
            <w:shd w:val="clear" w:color="auto" w:fill="auto"/>
            <w:vAlign w:val="bottom"/>
          </w:tcPr>
          <w:p w14:paraId="71D3EFC0" w14:textId="77777777" w:rsidR="006A3667" w:rsidRDefault="006A3667">
            <w:pPr>
              <w:rPr>
                <w:rFonts w:ascii="宋体"/>
                <w:vanish/>
              </w:rPr>
            </w:pPr>
          </w:p>
        </w:tc>
        <w:tc>
          <w:tcPr>
            <w:tcW w:w="0" w:type="auto"/>
            <w:gridSpan w:val="3"/>
            <w:shd w:val="clear" w:color="auto" w:fill="auto"/>
            <w:vAlign w:val="bottom"/>
          </w:tcPr>
          <w:p w14:paraId="71D3EFC1" w14:textId="77777777" w:rsidR="006A3667" w:rsidRDefault="006A3667">
            <w:pPr>
              <w:rPr>
                <w:rFonts w:ascii="宋体"/>
                <w:vanish/>
              </w:rPr>
            </w:pPr>
          </w:p>
        </w:tc>
        <w:tc>
          <w:tcPr>
            <w:tcW w:w="0" w:type="auto"/>
            <w:gridSpan w:val="3"/>
            <w:shd w:val="clear" w:color="auto" w:fill="auto"/>
            <w:vAlign w:val="bottom"/>
          </w:tcPr>
          <w:p w14:paraId="71D3EFC2" w14:textId="77777777" w:rsidR="006A3667" w:rsidRDefault="006A3667">
            <w:pPr>
              <w:rPr>
                <w:rFonts w:ascii="宋体"/>
                <w:vanish/>
              </w:rPr>
            </w:pPr>
          </w:p>
        </w:tc>
        <w:tc>
          <w:tcPr>
            <w:tcW w:w="0" w:type="auto"/>
            <w:gridSpan w:val="3"/>
            <w:shd w:val="clear" w:color="auto" w:fill="auto"/>
            <w:vAlign w:val="bottom"/>
          </w:tcPr>
          <w:p w14:paraId="71D3EFC3" w14:textId="77777777" w:rsidR="006A3667" w:rsidRDefault="006A3667">
            <w:pPr>
              <w:rPr>
                <w:rFonts w:ascii="宋体"/>
                <w:vanish/>
              </w:rPr>
            </w:pPr>
          </w:p>
        </w:tc>
        <w:tc>
          <w:tcPr>
            <w:tcW w:w="0" w:type="auto"/>
            <w:gridSpan w:val="3"/>
            <w:shd w:val="clear" w:color="auto" w:fill="auto"/>
            <w:vAlign w:val="bottom"/>
          </w:tcPr>
          <w:p w14:paraId="71D3EFC4" w14:textId="77777777" w:rsidR="006A3667" w:rsidRDefault="006A3667">
            <w:pPr>
              <w:rPr>
                <w:rFonts w:ascii="宋体"/>
                <w:vanish/>
              </w:rPr>
            </w:pPr>
          </w:p>
        </w:tc>
        <w:tc>
          <w:tcPr>
            <w:tcW w:w="0" w:type="auto"/>
            <w:gridSpan w:val="2"/>
            <w:shd w:val="clear" w:color="auto" w:fill="auto"/>
            <w:vAlign w:val="bottom"/>
          </w:tcPr>
          <w:p w14:paraId="71D3EFC5" w14:textId="77777777" w:rsidR="006A3667" w:rsidRDefault="006A3667">
            <w:pPr>
              <w:rPr>
                <w:rFonts w:ascii="宋体"/>
                <w:vanish/>
              </w:rPr>
            </w:pPr>
          </w:p>
        </w:tc>
        <w:tc>
          <w:tcPr>
            <w:tcW w:w="0" w:type="auto"/>
            <w:shd w:val="clear" w:color="auto" w:fill="auto"/>
            <w:vAlign w:val="bottom"/>
          </w:tcPr>
          <w:p w14:paraId="71D3EFC6" w14:textId="77777777" w:rsidR="006A3667" w:rsidRDefault="006A3667">
            <w:pPr>
              <w:rPr>
                <w:rFonts w:ascii="宋体"/>
                <w:vanish/>
              </w:rPr>
            </w:pPr>
          </w:p>
        </w:tc>
      </w:tr>
      <w:tr w:rsidR="006A3667" w14:paraId="71D3EFE4" w14:textId="77777777">
        <w:tc>
          <w:tcPr>
            <w:tcW w:w="0" w:type="auto"/>
            <w:gridSpan w:val="3"/>
            <w:shd w:val="clear" w:color="auto" w:fill="CCEEFF"/>
            <w:tcMar>
              <w:top w:w="40" w:type="dxa"/>
              <w:left w:w="20" w:type="dxa"/>
              <w:bottom w:w="40" w:type="dxa"/>
              <w:right w:w="20" w:type="dxa"/>
            </w:tcMar>
            <w:vAlign w:val="bottom"/>
          </w:tcPr>
          <w:p w14:paraId="71D3EFC8" w14:textId="77777777" w:rsidR="006A3667" w:rsidRDefault="00045F32">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FC9" w14:textId="77777777" w:rsidR="006A3667" w:rsidRDefault="00045F32">
            <w:pPr>
              <w:jc w:val="right"/>
              <w:textAlignment w:val="bottom"/>
            </w:pPr>
            <w:r>
              <w:rPr>
                <w:rFonts w:ascii="Arial" w:eastAsia="宋体" w:hAnsi="Arial" w:cs="Arial"/>
                <w:b/>
                <w:bCs/>
                <w:color w:val="000000"/>
                <w:sz w:val="12"/>
                <w:szCs w:val="12"/>
              </w:rPr>
              <w:t>166,838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FC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C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FCC" w14:textId="77777777" w:rsidR="006A3667" w:rsidRDefault="00045F32">
            <w:pPr>
              <w:jc w:val="right"/>
              <w:textAlignment w:val="bottom"/>
            </w:pPr>
            <w:r>
              <w:rPr>
                <w:rFonts w:ascii="Arial" w:eastAsia="宋体" w:hAnsi="Arial" w:cs="Arial"/>
                <w:b/>
                <w:bCs/>
                <w:color w:val="000000"/>
                <w:sz w:val="12"/>
                <w:szCs w:val="12"/>
              </w:rPr>
              <w:t>30</w:t>
            </w:r>
            <w:r>
              <w:rPr>
                <w:rFonts w:ascii="Arial" w:eastAsia="宋体" w:hAnsi="Arial" w:cs="Arial"/>
                <w:b/>
                <w:bCs/>
                <w:color w:val="000000"/>
                <w:sz w:val="12"/>
                <w:szCs w:val="12"/>
              </w:rPr>
              <w:t>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FC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C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CF" w14:textId="77777777" w:rsidR="006A3667" w:rsidRDefault="00045F32">
            <w:pPr>
              <w:jc w:val="right"/>
              <w:textAlignment w:val="bottom"/>
            </w:pPr>
            <w:r>
              <w:rPr>
                <w:rFonts w:ascii="Arial" w:eastAsia="宋体" w:hAnsi="Arial" w:cs="Arial"/>
                <w:b/>
                <w:bCs/>
                <w:color w:val="000000"/>
                <w:sz w:val="12"/>
                <w:szCs w:val="12"/>
              </w:rPr>
              <w:t>.71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EFD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D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FD2" w14:textId="77777777" w:rsidR="006A3667" w:rsidRDefault="00045F32">
            <w:pPr>
              <w:jc w:val="right"/>
              <w:textAlignment w:val="bottom"/>
            </w:pPr>
            <w:r>
              <w:rPr>
                <w:rFonts w:ascii="Arial" w:eastAsia="宋体" w:hAnsi="Arial" w:cs="Arial"/>
                <w:color w:val="000000"/>
                <w:sz w:val="12"/>
                <w:szCs w:val="12"/>
              </w:rPr>
              <w:t>186,805 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FD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D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EFD5" w14:textId="77777777" w:rsidR="006A3667" w:rsidRDefault="00045F32">
            <w:pPr>
              <w:jc w:val="right"/>
              <w:textAlignment w:val="bottom"/>
            </w:pPr>
            <w:r>
              <w:rPr>
                <w:rFonts w:ascii="Arial" w:eastAsia="宋体" w:hAnsi="Arial" w:cs="Arial"/>
                <w:color w:val="000000"/>
                <w:sz w:val="12"/>
                <w:szCs w:val="12"/>
              </w:rPr>
              <w:t>(62)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EFD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EFD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EFD8" w14:textId="77777777" w:rsidR="006A3667" w:rsidRDefault="00045F32">
            <w:pPr>
              <w:jc w:val="right"/>
              <w:textAlignment w:val="bottom"/>
            </w:pPr>
            <w:r>
              <w:rPr>
                <w:rFonts w:ascii="Arial" w:eastAsia="宋体" w:hAnsi="Arial" w:cs="Arial"/>
                <w:color w:val="000000"/>
                <w:sz w:val="12"/>
                <w:szCs w:val="12"/>
              </w:rPr>
              <w:t>(.13)</w:t>
            </w:r>
          </w:p>
        </w:tc>
        <w:tc>
          <w:tcPr>
            <w:tcW w:w="0" w:type="auto"/>
            <w:shd w:val="clear" w:color="auto" w:fill="CCEEFF"/>
            <w:tcMar>
              <w:top w:w="40" w:type="dxa"/>
              <w:left w:w="0" w:type="dxa"/>
              <w:bottom w:w="40" w:type="dxa"/>
              <w:right w:w="20" w:type="dxa"/>
            </w:tcMar>
            <w:vAlign w:val="bottom"/>
          </w:tcPr>
          <w:p w14:paraId="71D3EFD9" w14:textId="77777777" w:rsidR="006A3667" w:rsidRDefault="006A3667">
            <w:pPr>
              <w:jc w:val="right"/>
              <w:rPr>
                <w:rFonts w:ascii="宋体"/>
              </w:rPr>
            </w:pPr>
          </w:p>
        </w:tc>
        <w:tc>
          <w:tcPr>
            <w:tcW w:w="0" w:type="auto"/>
            <w:shd w:val="clear" w:color="auto" w:fill="auto"/>
            <w:vAlign w:val="bottom"/>
          </w:tcPr>
          <w:p w14:paraId="71D3EFDA" w14:textId="77777777" w:rsidR="006A3667" w:rsidRDefault="006A3667">
            <w:pPr>
              <w:rPr>
                <w:rFonts w:ascii="宋体"/>
                <w:vanish/>
              </w:rPr>
            </w:pPr>
          </w:p>
        </w:tc>
        <w:tc>
          <w:tcPr>
            <w:tcW w:w="0" w:type="auto"/>
            <w:shd w:val="clear" w:color="auto" w:fill="auto"/>
            <w:vAlign w:val="bottom"/>
          </w:tcPr>
          <w:p w14:paraId="71D3EFDB" w14:textId="77777777" w:rsidR="006A3667" w:rsidRDefault="006A3667">
            <w:pPr>
              <w:rPr>
                <w:rFonts w:ascii="宋体"/>
                <w:vanish/>
              </w:rPr>
            </w:pPr>
          </w:p>
        </w:tc>
        <w:tc>
          <w:tcPr>
            <w:tcW w:w="0" w:type="auto"/>
            <w:shd w:val="clear" w:color="auto" w:fill="auto"/>
            <w:vAlign w:val="bottom"/>
          </w:tcPr>
          <w:p w14:paraId="71D3EFDC" w14:textId="77777777" w:rsidR="006A3667" w:rsidRDefault="006A3667">
            <w:pPr>
              <w:rPr>
                <w:rFonts w:ascii="宋体"/>
                <w:vanish/>
              </w:rPr>
            </w:pPr>
          </w:p>
        </w:tc>
        <w:tc>
          <w:tcPr>
            <w:tcW w:w="0" w:type="auto"/>
            <w:shd w:val="clear" w:color="auto" w:fill="auto"/>
            <w:vAlign w:val="bottom"/>
          </w:tcPr>
          <w:p w14:paraId="71D3EFDD" w14:textId="77777777" w:rsidR="006A3667" w:rsidRDefault="006A3667">
            <w:pPr>
              <w:rPr>
                <w:rFonts w:ascii="宋体"/>
                <w:vanish/>
              </w:rPr>
            </w:pPr>
          </w:p>
        </w:tc>
        <w:tc>
          <w:tcPr>
            <w:tcW w:w="0" w:type="auto"/>
            <w:gridSpan w:val="3"/>
            <w:shd w:val="clear" w:color="auto" w:fill="auto"/>
            <w:vAlign w:val="bottom"/>
          </w:tcPr>
          <w:p w14:paraId="71D3EFDE" w14:textId="77777777" w:rsidR="006A3667" w:rsidRDefault="006A3667">
            <w:pPr>
              <w:rPr>
                <w:rFonts w:ascii="宋体"/>
                <w:vanish/>
              </w:rPr>
            </w:pPr>
          </w:p>
        </w:tc>
        <w:tc>
          <w:tcPr>
            <w:tcW w:w="0" w:type="auto"/>
            <w:gridSpan w:val="3"/>
            <w:shd w:val="clear" w:color="auto" w:fill="auto"/>
            <w:vAlign w:val="bottom"/>
          </w:tcPr>
          <w:p w14:paraId="71D3EFDF" w14:textId="77777777" w:rsidR="006A3667" w:rsidRDefault="006A3667">
            <w:pPr>
              <w:rPr>
                <w:rFonts w:ascii="宋体"/>
                <w:vanish/>
              </w:rPr>
            </w:pPr>
          </w:p>
        </w:tc>
        <w:tc>
          <w:tcPr>
            <w:tcW w:w="0" w:type="auto"/>
            <w:gridSpan w:val="3"/>
            <w:shd w:val="clear" w:color="auto" w:fill="auto"/>
            <w:vAlign w:val="bottom"/>
          </w:tcPr>
          <w:p w14:paraId="71D3EFE0" w14:textId="77777777" w:rsidR="006A3667" w:rsidRDefault="006A3667">
            <w:pPr>
              <w:rPr>
                <w:rFonts w:ascii="宋体"/>
                <w:vanish/>
              </w:rPr>
            </w:pPr>
          </w:p>
        </w:tc>
        <w:tc>
          <w:tcPr>
            <w:tcW w:w="0" w:type="auto"/>
            <w:gridSpan w:val="3"/>
            <w:shd w:val="clear" w:color="auto" w:fill="auto"/>
            <w:vAlign w:val="bottom"/>
          </w:tcPr>
          <w:p w14:paraId="71D3EFE1" w14:textId="77777777" w:rsidR="006A3667" w:rsidRDefault="006A3667">
            <w:pPr>
              <w:rPr>
                <w:rFonts w:ascii="宋体"/>
                <w:vanish/>
              </w:rPr>
            </w:pPr>
          </w:p>
        </w:tc>
        <w:tc>
          <w:tcPr>
            <w:tcW w:w="0" w:type="auto"/>
            <w:gridSpan w:val="2"/>
            <w:shd w:val="clear" w:color="auto" w:fill="auto"/>
            <w:vAlign w:val="bottom"/>
          </w:tcPr>
          <w:p w14:paraId="71D3EFE2" w14:textId="77777777" w:rsidR="006A3667" w:rsidRDefault="006A3667">
            <w:pPr>
              <w:rPr>
                <w:rFonts w:ascii="宋体"/>
                <w:vanish/>
              </w:rPr>
            </w:pPr>
          </w:p>
        </w:tc>
        <w:tc>
          <w:tcPr>
            <w:tcW w:w="0" w:type="auto"/>
            <w:shd w:val="clear" w:color="auto" w:fill="auto"/>
            <w:vAlign w:val="bottom"/>
          </w:tcPr>
          <w:p w14:paraId="71D3EFE3" w14:textId="77777777" w:rsidR="006A3667" w:rsidRDefault="006A3667">
            <w:pPr>
              <w:rPr>
                <w:rFonts w:ascii="宋体"/>
                <w:vanish/>
              </w:rPr>
            </w:pPr>
          </w:p>
        </w:tc>
      </w:tr>
      <w:tr w:rsidR="006A3667" w14:paraId="71D3F001" w14:textId="77777777">
        <w:tc>
          <w:tcPr>
            <w:tcW w:w="0" w:type="auto"/>
            <w:gridSpan w:val="3"/>
            <w:shd w:val="clear" w:color="auto" w:fill="FFFFFF"/>
            <w:tcMar>
              <w:top w:w="40" w:type="dxa"/>
              <w:left w:w="20" w:type="dxa"/>
              <w:bottom w:w="40" w:type="dxa"/>
              <w:right w:w="20" w:type="dxa"/>
            </w:tcMar>
            <w:vAlign w:val="bottom"/>
          </w:tcPr>
          <w:p w14:paraId="71D3EFE5" w14:textId="77777777" w:rsidR="006A3667" w:rsidRDefault="00045F32">
            <w:pPr>
              <w:textAlignment w:val="bottom"/>
            </w:pPr>
            <w:r>
              <w:rPr>
                <w:rFonts w:ascii="Arial" w:eastAsia="宋体" w:hAnsi="Arial" w:cs="Arial"/>
                <w:color w:val="000000"/>
                <w:sz w:val="12"/>
                <w:szCs w:val="12"/>
              </w:rPr>
              <w:t xml:space="preserve">Securities sold </w:t>
            </w:r>
            <w:r>
              <w:rPr>
                <w:rFonts w:ascii="Arial" w:eastAsia="宋体" w:hAnsi="Arial" w:cs="Arial"/>
                <w:color w:val="000000"/>
                <w:sz w:val="12"/>
                <w:szCs w:val="12"/>
              </w:rPr>
              <w:t>under repurchase agreements</w:t>
            </w:r>
          </w:p>
        </w:tc>
        <w:tc>
          <w:tcPr>
            <w:tcW w:w="0" w:type="auto"/>
            <w:gridSpan w:val="2"/>
            <w:shd w:val="clear" w:color="auto" w:fill="FFFFFF"/>
            <w:tcMar>
              <w:top w:w="40" w:type="dxa"/>
              <w:left w:w="20" w:type="dxa"/>
              <w:bottom w:w="40" w:type="dxa"/>
              <w:right w:w="0" w:type="dxa"/>
            </w:tcMar>
            <w:vAlign w:val="bottom"/>
          </w:tcPr>
          <w:p w14:paraId="71D3EFE6" w14:textId="77777777" w:rsidR="006A3667" w:rsidRDefault="00045F32">
            <w:pPr>
              <w:jc w:val="right"/>
              <w:textAlignment w:val="bottom"/>
            </w:pPr>
            <w:r>
              <w:rPr>
                <w:rFonts w:ascii="Arial" w:eastAsia="宋体" w:hAnsi="Arial" w:cs="Arial"/>
                <w:b/>
                <w:bCs/>
                <w:color w:val="000000"/>
                <w:sz w:val="12"/>
                <w:szCs w:val="12"/>
              </w:rPr>
              <w:t>3,814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E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E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E9" w14:textId="77777777" w:rsidR="006A3667" w:rsidRDefault="00045F32">
            <w:pPr>
              <w:jc w:val="right"/>
              <w:textAlignment w:val="bottom"/>
            </w:pP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E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E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EC" w14:textId="77777777" w:rsidR="006A3667" w:rsidRDefault="00045F32">
            <w:pPr>
              <w:jc w:val="right"/>
              <w:textAlignment w:val="bottom"/>
            </w:pPr>
            <w:r>
              <w:rPr>
                <w:rFonts w:ascii="Arial" w:eastAsia="宋体" w:hAnsi="Arial" w:cs="Arial"/>
                <w:b/>
                <w:bCs/>
                <w:color w:val="000000"/>
                <w:sz w:val="12"/>
                <w:szCs w:val="12"/>
              </w:rPr>
              <w:t>.23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E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E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EF" w14:textId="77777777" w:rsidR="006A3667" w:rsidRDefault="00045F32">
            <w:pPr>
              <w:jc w:val="right"/>
              <w:textAlignment w:val="bottom"/>
            </w:pPr>
            <w:r>
              <w:rPr>
                <w:rFonts w:ascii="Arial" w:eastAsia="宋体" w:hAnsi="Arial" w:cs="Arial"/>
                <w:color w:val="000000"/>
                <w:sz w:val="12"/>
                <w:szCs w:val="12"/>
              </w:rPr>
              <w:t>332 </w:t>
            </w:r>
          </w:p>
        </w:tc>
        <w:tc>
          <w:tcPr>
            <w:tcW w:w="0" w:type="auto"/>
            <w:shd w:val="clear" w:color="auto" w:fill="FFFFFF"/>
            <w:tcMar>
              <w:top w:w="40" w:type="dxa"/>
              <w:left w:w="0" w:type="dxa"/>
              <w:bottom w:w="40" w:type="dxa"/>
              <w:right w:w="20" w:type="dxa"/>
            </w:tcMar>
            <w:vAlign w:val="bottom"/>
          </w:tcPr>
          <w:p w14:paraId="71D3EFF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F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F2"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EF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EFF5"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EFF6" w14:textId="77777777" w:rsidR="006A3667" w:rsidRDefault="006A3667">
            <w:pPr>
              <w:jc w:val="right"/>
              <w:rPr>
                <w:rFonts w:ascii="宋体"/>
              </w:rPr>
            </w:pPr>
          </w:p>
        </w:tc>
        <w:tc>
          <w:tcPr>
            <w:tcW w:w="0" w:type="auto"/>
            <w:shd w:val="clear" w:color="auto" w:fill="auto"/>
            <w:vAlign w:val="bottom"/>
          </w:tcPr>
          <w:p w14:paraId="71D3EFF7" w14:textId="77777777" w:rsidR="006A3667" w:rsidRDefault="006A3667">
            <w:pPr>
              <w:rPr>
                <w:rFonts w:ascii="宋体"/>
                <w:vanish/>
              </w:rPr>
            </w:pPr>
          </w:p>
        </w:tc>
        <w:tc>
          <w:tcPr>
            <w:tcW w:w="0" w:type="auto"/>
            <w:shd w:val="clear" w:color="auto" w:fill="auto"/>
            <w:vAlign w:val="bottom"/>
          </w:tcPr>
          <w:p w14:paraId="71D3EFF8" w14:textId="77777777" w:rsidR="006A3667" w:rsidRDefault="006A3667">
            <w:pPr>
              <w:rPr>
                <w:rFonts w:ascii="宋体"/>
                <w:vanish/>
              </w:rPr>
            </w:pPr>
          </w:p>
        </w:tc>
        <w:tc>
          <w:tcPr>
            <w:tcW w:w="0" w:type="auto"/>
            <w:shd w:val="clear" w:color="auto" w:fill="auto"/>
            <w:vAlign w:val="bottom"/>
          </w:tcPr>
          <w:p w14:paraId="71D3EFF9" w14:textId="77777777" w:rsidR="006A3667" w:rsidRDefault="006A3667">
            <w:pPr>
              <w:rPr>
                <w:rFonts w:ascii="宋体"/>
                <w:vanish/>
              </w:rPr>
            </w:pPr>
          </w:p>
        </w:tc>
        <w:tc>
          <w:tcPr>
            <w:tcW w:w="0" w:type="auto"/>
            <w:shd w:val="clear" w:color="auto" w:fill="auto"/>
            <w:vAlign w:val="bottom"/>
          </w:tcPr>
          <w:p w14:paraId="71D3EFFA" w14:textId="77777777" w:rsidR="006A3667" w:rsidRDefault="006A3667">
            <w:pPr>
              <w:rPr>
                <w:rFonts w:ascii="宋体"/>
                <w:vanish/>
              </w:rPr>
            </w:pPr>
          </w:p>
        </w:tc>
        <w:tc>
          <w:tcPr>
            <w:tcW w:w="0" w:type="auto"/>
            <w:gridSpan w:val="3"/>
            <w:shd w:val="clear" w:color="auto" w:fill="auto"/>
            <w:vAlign w:val="bottom"/>
          </w:tcPr>
          <w:p w14:paraId="71D3EFFB" w14:textId="77777777" w:rsidR="006A3667" w:rsidRDefault="006A3667">
            <w:pPr>
              <w:rPr>
                <w:rFonts w:ascii="宋体"/>
                <w:vanish/>
              </w:rPr>
            </w:pPr>
          </w:p>
        </w:tc>
        <w:tc>
          <w:tcPr>
            <w:tcW w:w="0" w:type="auto"/>
            <w:gridSpan w:val="3"/>
            <w:shd w:val="clear" w:color="auto" w:fill="auto"/>
            <w:vAlign w:val="bottom"/>
          </w:tcPr>
          <w:p w14:paraId="71D3EFFC" w14:textId="77777777" w:rsidR="006A3667" w:rsidRDefault="006A3667">
            <w:pPr>
              <w:rPr>
                <w:rFonts w:ascii="宋体"/>
                <w:vanish/>
              </w:rPr>
            </w:pPr>
          </w:p>
        </w:tc>
        <w:tc>
          <w:tcPr>
            <w:tcW w:w="0" w:type="auto"/>
            <w:gridSpan w:val="3"/>
            <w:shd w:val="clear" w:color="auto" w:fill="auto"/>
            <w:vAlign w:val="bottom"/>
          </w:tcPr>
          <w:p w14:paraId="71D3EFFD" w14:textId="77777777" w:rsidR="006A3667" w:rsidRDefault="006A3667">
            <w:pPr>
              <w:rPr>
                <w:rFonts w:ascii="宋体"/>
                <w:vanish/>
              </w:rPr>
            </w:pPr>
          </w:p>
        </w:tc>
        <w:tc>
          <w:tcPr>
            <w:tcW w:w="0" w:type="auto"/>
            <w:gridSpan w:val="3"/>
            <w:shd w:val="clear" w:color="auto" w:fill="auto"/>
            <w:vAlign w:val="bottom"/>
          </w:tcPr>
          <w:p w14:paraId="71D3EFFE" w14:textId="77777777" w:rsidR="006A3667" w:rsidRDefault="006A3667">
            <w:pPr>
              <w:rPr>
                <w:rFonts w:ascii="宋体"/>
                <w:vanish/>
              </w:rPr>
            </w:pPr>
          </w:p>
        </w:tc>
        <w:tc>
          <w:tcPr>
            <w:tcW w:w="0" w:type="auto"/>
            <w:gridSpan w:val="2"/>
            <w:shd w:val="clear" w:color="auto" w:fill="auto"/>
            <w:vAlign w:val="bottom"/>
          </w:tcPr>
          <w:p w14:paraId="71D3EFFF" w14:textId="77777777" w:rsidR="006A3667" w:rsidRDefault="006A3667">
            <w:pPr>
              <w:rPr>
                <w:rFonts w:ascii="宋体"/>
                <w:vanish/>
              </w:rPr>
            </w:pPr>
          </w:p>
        </w:tc>
        <w:tc>
          <w:tcPr>
            <w:tcW w:w="0" w:type="auto"/>
            <w:shd w:val="clear" w:color="auto" w:fill="auto"/>
            <w:vAlign w:val="bottom"/>
          </w:tcPr>
          <w:p w14:paraId="71D3F000" w14:textId="77777777" w:rsidR="006A3667" w:rsidRDefault="006A3667">
            <w:pPr>
              <w:rPr>
                <w:rFonts w:ascii="宋体"/>
                <w:vanish/>
              </w:rPr>
            </w:pPr>
          </w:p>
        </w:tc>
      </w:tr>
      <w:tr w:rsidR="006A3667" w14:paraId="71D3F01E" w14:textId="77777777">
        <w:tc>
          <w:tcPr>
            <w:tcW w:w="0" w:type="auto"/>
            <w:gridSpan w:val="3"/>
            <w:shd w:val="clear" w:color="auto" w:fill="CCEEFF"/>
            <w:tcMar>
              <w:top w:w="40" w:type="dxa"/>
              <w:left w:w="20" w:type="dxa"/>
              <w:bottom w:w="40" w:type="dxa"/>
              <w:right w:w="20" w:type="dxa"/>
            </w:tcMar>
            <w:vAlign w:val="bottom"/>
          </w:tcPr>
          <w:p w14:paraId="71D3F002" w14:textId="77777777" w:rsidR="006A3667" w:rsidRDefault="00045F32">
            <w:pPr>
              <w:textAlignment w:val="bottom"/>
            </w:pPr>
            <w:r>
              <w:rPr>
                <w:rFonts w:ascii="Arial" w:eastAsia="宋体" w:hAnsi="Arial" w:cs="Arial"/>
                <w:color w:val="000000"/>
                <w:sz w:val="12"/>
                <w:szCs w:val="12"/>
              </w:rPr>
              <w:t xml:space="preserve">Short-term borrowings under money market liquidity </w:t>
            </w:r>
            <w:r>
              <w:rPr>
                <w:rFonts w:ascii="Arial" w:eastAsia="宋体" w:hAnsi="Arial" w:cs="Arial"/>
                <w:color w:val="000000"/>
                <w:sz w:val="12"/>
                <w:szCs w:val="12"/>
              </w:rPr>
              <w:t>facility</w:t>
            </w:r>
          </w:p>
        </w:tc>
        <w:tc>
          <w:tcPr>
            <w:tcW w:w="0" w:type="auto"/>
            <w:gridSpan w:val="2"/>
            <w:shd w:val="clear" w:color="auto" w:fill="CCEEFF"/>
            <w:tcMar>
              <w:top w:w="40" w:type="dxa"/>
              <w:left w:w="20" w:type="dxa"/>
              <w:bottom w:w="40" w:type="dxa"/>
              <w:right w:w="0" w:type="dxa"/>
            </w:tcMar>
            <w:vAlign w:val="bottom"/>
          </w:tcPr>
          <w:p w14:paraId="71D3F003"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0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06"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09"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0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0C"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0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0F"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1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12"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13" w14:textId="77777777" w:rsidR="006A3667" w:rsidRDefault="006A3667">
            <w:pPr>
              <w:jc w:val="right"/>
              <w:rPr>
                <w:rFonts w:ascii="宋体"/>
              </w:rPr>
            </w:pPr>
          </w:p>
        </w:tc>
        <w:tc>
          <w:tcPr>
            <w:tcW w:w="0" w:type="auto"/>
            <w:shd w:val="clear" w:color="auto" w:fill="auto"/>
            <w:vAlign w:val="bottom"/>
          </w:tcPr>
          <w:p w14:paraId="71D3F014" w14:textId="77777777" w:rsidR="006A3667" w:rsidRDefault="006A3667">
            <w:pPr>
              <w:rPr>
                <w:rFonts w:ascii="宋体"/>
                <w:vanish/>
              </w:rPr>
            </w:pPr>
          </w:p>
        </w:tc>
        <w:tc>
          <w:tcPr>
            <w:tcW w:w="0" w:type="auto"/>
            <w:shd w:val="clear" w:color="auto" w:fill="auto"/>
            <w:vAlign w:val="bottom"/>
          </w:tcPr>
          <w:p w14:paraId="71D3F015" w14:textId="77777777" w:rsidR="006A3667" w:rsidRDefault="006A3667">
            <w:pPr>
              <w:rPr>
                <w:rFonts w:ascii="宋体"/>
                <w:vanish/>
              </w:rPr>
            </w:pPr>
          </w:p>
        </w:tc>
        <w:tc>
          <w:tcPr>
            <w:tcW w:w="0" w:type="auto"/>
            <w:shd w:val="clear" w:color="auto" w:fill="auto"/>
            <w:vAlign w:val="bottom"/>
          </w:tcPr>
          <w:p w14:paraId="71D3F016" w14:textId="77777777" w:rsidR="006A3667" w:rsidRDefault="006A3667">
            <w:pPr>
              <w:rPr>
                <w:rFonts w:ascii="宋体"/>
                <w:vanish/>
              </w:rPr>
            </w:pPr>
          </w:p>
        </w:tc>
        <w:tc>
          <w:tcPr>
            <w:tcW w:w="0" w:type="auto"/>
            <w:shd w:val="clear" w:color="auto" w:fill="auto"/>
            <w:vAlign w:val="bottom"/>
          </w:tcPr>
          <w:p w14:paraId="71D3F017" w14:textId="77777777" w:rsidR="006A3667" w:rsidRDefault="006A3667">
            <w:pPr>
              <w:rPr>
                <w:rFonts w:ascii="宋体"/>
                <w:vanish/>
              </w:rPr>
            </w:pPr>
          </w:p>
        </w:tc>
        <w:tc>
          <w:tcPr>
            <w:tcW w:w="0" w:type="auto"/>
            <w:gridSpan w:val="3"/>
            <w:shd w:val="clear" w:color="auto" w:fill="auto"/>
            <w:vAlign w:val="bottom"/>
          </w:tcPr>
          <w:p w14:paraId="71D3F018" w14:textId="77777777" w:rsidR="006A3667" w:rsidRDefault="006A3667">
            <w:pPr>
              <w:rPr>
                <w:rFonts w:ascii="宋体"/>
                <w:vanish/>
              </w:rPr>
            </w:pPr>
          </w:p>
        </w:tc>
        <w:tc>
          <w:tcPr>
            <w:tcW w:w="0" w:type="auto"/>
            <w:gridSpan w:val="3"/>
            <w:shd w:val="clear" w:color="auto" w:fill="auto"/>
            <w:vAlign w:val="bottom"/>
          </w:tcPr>
          <w:p w14:paraId="71D3F019" w14:textId="77777777" w:rsidR="006A3667" w:rsidRDefault="006A3667">
            <w:pPr>
              <w:rPr>
                <w:rFonts w:ascii="宋体"/>
                <w:vanish/>
              </w:rPr>
            </w:pPr>
          </w:p>
        </w:tc>
        <w:tc>
          <w:tcPr>
            <w:tcW w:w="0" w:type="auto"/>
            <w:gridSpan w:val="3"/>
            <w:shd w:val="clear" w:color="auto" w:fill="auto"/>
            <w:vAlign w:val="bottom"/>
          </w:tcPr>
          <w:p w14:paraId="71D3F01A" w14:textId="77777777" w:rsidR="006A3667" w:rsidRDefault="006A3667">
            <w:pPr>
              <w:rPr>
                <w:rFonts w:ascii="宋体"/>
                <w:vanish/>
              </w:rPr>
            </w:pPr>
          </w:p>
        </w:tc>
        <w:tc>
          <w:tcPr>
            <w:tcW w:w="0" w:type="auto"/>
            <w:gridSpan w:val="3"/>
            <w:shd w:val="clear" w:color="auto" w:fill="auto"/>
            <w:vAlign w:val="bottom"/>
          </w:tcPr>
          <w:p w14:paraId="71D3F01B" w14:textId="77777777" w:rsidR="006A3667" w:rsidRDefault="006A3667">
            <w:pPr>
              <w:rPr>
                <w:rFonts w:ascii="宋体"/>
                <w:vanish/>
              </w:rPr>
            </w:pPr>
          </w:p>
        </w:tc>
        <w:tc>
          <w:tcPr>
            <w:tcW w:w="0" w:type="auto"/>
            <w:gridSpan w:val="2"/>
            <w:shd w:val="clear" w:color="auto" w:fill="auto"/>
            <w:vAlign w:val="bottom"/>
          </w:tcPr>
          <w:p w14:paraId="71D3F01C" w14:textId="77777777" w:rsidR="006A3667" w:rsidRDefault="006A3667">
            <w:pPr>
              <w:rPr>
                <w:rFonts w:ascii="宋体"/>
                <w:vanish/>
              </w:rPr>
            </w:pPr>
          </w:p>
        </w:tc>
        <w:tc>
          <w:tcPr>
            <w:tcW w:w="0" w:type="auto"/>
            <w:shd w:val="clear" w:color="auto" w:fill="auto"/>
            <w:vAlign w:val="bottom"/>
          </w:tcPr>
          <w:p w14:paraId="71D3F01D" w14:textId="77777777" w:rsidR="006A3667" w:rsidRDefault="006A3667">
            <w:pPr>
              <w:rPr>
                <w:rFonts w:ascii="宋体"/>
                <w:vanish/>
              </w:rPr>
            </w:pPr>
          </w:p>
        </w:tc>
      </w:tr>
      <w:tr w:rsidR="006A3667" w14:paraId="71D3F03B" w14:textId="77777777">
        <w:tc>
          <w:tcPr>
            <w:tcW w:w="0" w:type="auto"/>
            <w:gridSpan w:val="3"/>
            <w:shd w:val="clear" w:color="auto" w:fill="FFFFFF"/>
            <w:tcMar>
              <w:top w:w="40" w:type="dxa"/>
              <w:left w:w="20" w:type="dxa"/>
              <w:bottom w:w="40" w:type="dxa"/>
              <w:right w:w="20" w:type="dxa"/>
            </w:tcMar>
            <w:vAlign w:val="bottom"/>
          </w:tcPr>
          <w:p w14:paraId="71D3F01F" w14:textId="77777777" w:rsidR="006A3667" w:rsidRDefault="00045F32">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71D3F020" w14:textId="77777777" w:rsidR="006A3667" w:rsidRDefault="00045F32">
            <w:pPr>
              <w:jc w:val="right"/>
              <w:textAlignment w:val="bottom"/>
            </w:pPr>
            <w:r>
              <w:rPr>
                <w:rFonts w:ascii="Arial" w:eastAsia="宋体" w:hAnsi="Arial" w:cs="Arial"/>
                <w:b/>
                <w:bCs/>
                <w:color w:val="000000"/>
                <w:sz w:val="12"/>
                <w:szCs w:val="12"/>
              </w:rPr>
              <w:t>430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2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23"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2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2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26" w14:textId="77777777" w:rsidR="006A3667" w:rsidRDefault="00045F32">
            <w:pPr>
              <w:jc w:val="right"/>
              <w:textAlignment w:val="bottom"/>
            </w:pPr>
            <w:r>
              <w:rPr>
                <w:rFonts w:ascii="Arial" w:eastAsia="宋体" w:hAnsi="Arial" w:cs="Arial"/>
                <w:b/>
                <w:bCs/>
                <w:color w:val="000000"/>
                <w:sz w:val="12"/>
                <w:szCs w:val="12"/>
              </w:rPr>
              <w:t>.01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2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2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29" w14:textId="77777777" w:rsidR="006A3667" w:rsidRDefault="00045F32">
            <w:pPr>
              <w:jc w:val="right"/>
              <w:textAlignment w:val="bottom"/>
            </w:pPr>
            <w:r>
              <w:rPr>
                <w:rFonts w:ascii="Arial" w:eastAsia="宋体" w:hAnsi="Arial" w:cs="Arial"/>
                <w:color w:val="000000"/>
                <w:sz w:val="12"/>
                <w:szCs w:val="12"/>
              </w:rPr>
              <w:t>837 </w:t>
            </w:r>
          </w:p>
        </w:tc>
        <w:tc>
          <w:tcPr>
            <w:tcW w:w="0" w:type="auto"/>
            <w:shd w:val="clear" w:color="auto" w:fill="FFFFFF"/>
            <w:tcMar>
              <w:top w:w="40" w:type="dxa"/>
              <w:left w:w="0" w:type="dxa"/>
              <w:bottom w:w="40" w:type="dxa"/>
              <w:right w:w="20" w:type="dxa"/>
            </w:tcMar>
            <w:vAlign w:val="bottom"/>
          </w:tcPr>
          <w:p w14:paraId="71D3F02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2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2C"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2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2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2F" w14:textId="77777777" w:rsidR="006A3667" w:rsidRDefault="00045F32">
            <w:pPr>
              <w:jc w:val="right"/>
              <w:textAlignment w:val="bottom"/>
            </w:pPr>
            <w:r>
              <w:rPr>
                <w:rFonts w:ascii="Arial" w:eastAsia="宋体" w:hAnsi="Arial" w:cs="Arial"/>
                <w:color w:val="000000"/>
                <w:sz w:val="12"/>
                <w:szCs w:val="12"/>
              </w:rPr>
              <w:t>.17 </w:t>
            </w:r>
          </w:p>
        </w:tc>
        <w:tc>
          <w:tcPr>
            <w:tcW w:w="0" w:type="auto"/>
            <w:shd w:val="clear" w:color="auto" w:fill="FFFFFF"/>
            <w:tcMar>
              <w:top w:w="40" w:type="dxa"/>
              <w:left w:w="0" w:type="dxa"/>
              <w:bottom w:w="40" w:type="dxa"/>
              <w:right w:w="20" w:type="dxa"/>
            </w:tcMar>
            <w:vAlign w:val="bottom"/>
          </w:tcPr>
          <w:p w14:paraId="71D3F030" w14:textId="77777777" w:rsidR="006A3667" w:rsidRDefault="006A3667">
            <w:pPr>
              <w:jc w:val="right"/>
              <w:rPr>
                <w:rFonts w:ascii="宋体"/>
              </w:rPr>
            </w:pPr>
          </w:p>
        </w:tc>
        <w:tc>
          <w:tcPr>
            <w:tcW w:w="0" w:type="auto"/>
            <w:shd w:val="clear" w:color="auto" w:fill="auto"/>
            <w:vAlign w:val="bottom"/>
          </w:tcPr>
          <w:p w14:paraId="71D3F031" w14:textId="77777777" w:rsidR="006A3667" w:rsidRDefault="006A3667">
            <w:pPr>
              <w:rPr>
                <w:rFonts w:ascii="宋体"/>
                <w:vanish/>
              </w:rPr>
            </w:pPr>
          </w:p>
        </w:tc>
        <w:tc>
          <w:tcPr>
            <w:tcW w:w="0" w:type="auto"/>
            <w:shd w:val="clear" w:color="auto" w:fill="auto"/>
            <w:vAlign w:val="bottom"/>
          </w:tcPr>
          <w:p w14:paraId="71D3F032" w14:textId="77777777" w:rsidR="006A3667" w:rsidRDefault="006A3667">
            <w:pPr>
              <w:rPr>
                <w:rFonts w:ascii="宋体"/>
                <w:vanish/>
              </w:rPr>
            </w:pPr>
          </w:p>
        </w:tc>
        <w:tc>
          <w:tcPr>
            <w:tcW w:w="0" w:type="auto"/>
            <w:shd w:val="clear" w:color="auto" w:fill="auto"/>
            <w:vAlign w:val="bottom"/>
          </w:tcPr>
          <w:p w14:paraId="71D3F033" w14:textId="77777777" w:rsidR="006A3667" w:rsidRDefault="006A3667">
            <w:pPr>
              <w:rPr>
                <w:rFonts w:ascii="宋体"/>
                <w:vanish/>
              </w:rPr>
            </w:pPr>
          </w:p>
        </w:tc>
        <w:tc>
          <w:tcPr>
            <w:tcW w:w="0" w:type="auto"/>
            <w:shd w:val="clear" w:color="auto" w:fill="auto"/>
            <w:vAlign w:val="bottom"/>
          </w:tcPr>
          <w:p w14:paraId="71D3F034" w14:textId="77777777" w:rsidR="006A3667" w:rsidRDefault="006A3667">
            <w:pPr>
              <w:rPr>
                <w:rFonts w:ascii="宋体"/>
                <w:vanish/>
              </w:rPr>
            </w:pPr>
          </w:p>
        </w:tc>
        <w:tc>
          <w:tcPr>
            <w:tcW w:w="0" w:type="auto"/>
            <w:gridSpan w:val="3"/>
            <w:shd w:val="clear" w:color="auto" w:fill="auto"/>
            <w:vAlign w:val="bottom"/>
          </w:tcPr>
          <w:p w14:paraId="71D3F035" w14:textId="77777777" w:rsidR="006A3667" w:rsidRDefault="006A3667">
            <w:pPr>
              <w:rPr>
                <w:rFonts w:ascii="宋体"/>
                <w:vanish/>
              </w:rPr>
            </w:pPr>
          </w:p>
        </w:tc>
        <w:tc>
          <w:tcPr>
            <w:tcW w:w="0" w:type="auto"/>
            <w:gridSpan w:val="3"/>
            <w:shd w:val="clear" w:color="auto" w:fill="auto"/>
            <w:vAlign w:val="bottom"/>
          </w:tcPr>
          <w:p w14:paraId="71D3F036" w14:textId="77777777" w:rsidR="006A3667" w:rsidRDefault="006A3667">
            <w:pPr>
              <w:rPr>
                <w:rFonts w:ascii="宋体"/>
                <w:vanish/>
              </w:rPr>
            </w:pPr>
          </w:p>
        </w:tc>
        <w:tc>
          <w:tcPr>
            <w:tcW w:w="0" w:type="auto"/>
            <w:gridSpan w:val="3"/>
            <w:shd w:val="clear" w:color="auto" w:fill="auto"/>
            <w:vAlign w:val="bottom"/>
          </w:tcPr>
          <w:p w14:paraId="71D3F037" w14:textId="77777777" w:rsidR="006A3667" w:rsidRDefault="006A3667">
            <w:pPr>
              <w:rPr>
                <w:rFonts w:ascii="宋体"/>
                <w:vanish/>
              </w:rPr>
            </w:pPr>
          </w:p>
        </w:tc>
        <w:tc>
          <w:tcPr>
            <w:tcW w:w="0" w:type="auto"/>
            <w:gridSpan w:val="3"/>
            <w:shd w:val="clear" w:color="auto" w:fill="auto"/>
            <w:vAlign w:val="bottom"/>
          </w:tcPr>
          <w:p w14:paraId="71D3F038" w14:textId="77777777" w:rsidR="006A3667" w:rsidRDefault="006A3667">
            <w:pPr>
              <w:rPr>
                <w:rFonts w:ascii="宋体"/>
                <w:vanish/>
              </w:rPr>
            </w:pPr>
          </w:p>
        </w:tc>
        <w:tc>
          <w:tcPr>
            <w:tcW w:w="0" w:type="auto"/>
            <w:gridSpan w:val="2"/>
            <w:shd w:val="clear" w:color="auto" w:fill="auto"/>
            <w:vAlign w:val="bottom"/>
          </w:tcPr>
          <w:p w14:paraId="71D3F039" w14:textId="77777777" w:rsidR="006A3667" w:rsidRDefault="006A3667">
            <w:pPr>
              <w:rPr>
                <w:rFonts w:ascii="宋体"/>
                <w:vanish/>
              </w:rPr>
            </w:pPr>
          </w:p>
        </w:tc>
        <w:tc>
          <w:tcPr>
            <w:tcW w:w="0" w:type="auto"/>
            <w:shd w:val="clear" w:color="auto" w:fill="auto"/>
            <w:vAlign w:val="bottom"/>
          </w:tcPr>
          <w:p w14:paraId="71D3F03A" w14:textId="77777777" w:rsidR="006A3667" w:rsidRDefault="006A3667">
            <w:pPr>
              <w:rPr>
                <w:rFonts w:ascii="宋体"/>
                <w:vanish/>
              </w:rPr>
            </w:pPr>
          </w:p>
        </w:tc>
      </w:tr>
      <w:tr w:rsidR="006A3667" w14:paraId="71D3F058" w14:textId="77777777">
        <w:tc>
          <w:tcPr>
            <w:tcW w:w="0" w:type="auto"/>
            <w:gridSpan w:val="3"/>
            <w:shd w:val="clear" w:color="auto" w:fill="CCEEFF"/>
            <w:tcMar>
              <w:top w:w="40" w:type="dxa"/>
              <w:left w:w="20" w:type="dxa"/>
              <w:bottom w:w="40" w:type="dxa"/>
              <w:right w:w="20" w:type="dxa"/>
            </w:tcMar>
            <w:vAlign w:val="bottom"/>
          </w:tcPr>
          <w:p w14:paraId="71D3F03C" w14:textId="77777777" w:rsidR="006A3667" w:rsidRDefault="00045F32">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71D3F03D" w14:textId="77777777" w:rsidR="006A3667" w:rsidRDefault="00045F32">
            <w:pPr>
              <w:jc w:val="right"/>
              <w:textAlignment w:val="bottom"/>
            </w:pPr>
            <w:r>
              <w:rPr>
                <w:rFonts w:ascii="Arial" w:eastAsia="宋体" w:hAnsi="Arial" w:cs="Arial"/>
                <w:b/>
                <w:bCs/>
                <w:color w:val="000000"/>
                <w:sz w:val="12"/>
                <w:szCs w:val="12"/>
              </w:rPr>
              <w:t>13,958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3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40" w14:textId="77777777" w:rsidR="006A3667" w:rsidRDefault="00045F32">
            <w:pPr>
              <w:jc w:val="right"/>
              <w:textAlignment w:val="bottom"/>
            </w:pPr>
            <w:r>
              <w:rPr>
                <w:rFonts w:ascii="Arial" w:eastAsia="宋体" w:hAnsi="Arial" w:cs="Arial"/>
                <w:b/>
                <w:bCs/>
                <w:color w:val="000000"/>
                <w:sz w:val="12"/>
                <w:szCs w:val="12"/>
              </w:rPr>
              <w:t>97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4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43" w14:textId="77777777" w:rsidR="006A3667" w:rsidRDefault="00045F32">
            <w:pPr>
              <w:jc w:val="right"/>
              <w:textAlignment w:val="bottom"/>
            </w:pPr>
            <w:r>
              <w:rPr>
                <w:rFonts w:ascii="Arial" w:eastAsia="宋体" w:hAnsi="Arial" w:cs="Arial"/>
                <w:b/>
                <w:bCs/>
                <w:color w:val="000000"/>
                <w:sz w:val="12"/>
                <w:szCs w:val="12"/>
              </w:rPr>
              <w:t>2.78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4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46" w14:textId="77777777" w:rsidR="006A3667" w:rsidRDefault="00045F32">
            <w:pPr>
              <w:jc w:val="right"/>
              <w:textAlignment w:val="bottom"/>
            </w:pPr>
            <w:r>
              <w:rPr>
                <w:rFonts w:ascii="Arial" w:eastAsia="宋体" w:hAnsi="Arial" w:cs="Arial"/>
                <w:color w:val="000000"/>
                <w:sz w:val="12"/>
                <w:szCs w:val="12"/>
              </w:rPr>
              <w:t>13,021 </w:t>
            </w:r>
          </w:p>
        </w:tc>
        <w:tc>
          <w:tcPr>
            <w:tcW w:w="0" w:type="auto"/>
            <w:shd w:val="clear" w:color="auto" w:fill="CCEEFF"/>
            <w:tcMar>
              <w:top w:w="40" w:type="dxa"/>
              <w:left w:w="0" w:type="dxa"/>
              <w:bottom w:w="40" w:type="dxa"/>
              <w:right w:w="20" w:type="dxa"/>
            </w:tcMar>
            <w:vAlign w:val="bottom"/>
          </w:tcPr>
          <w:p w14:paraId="71D3F04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4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49" w14:textId="77777777" w:rsidR="006A3667" w:rsidRDefault="00045F32">
            <w:pPr>
              <w:jc w:val="right"/>
              <w:textAlignment w:val="bottom"/>
            </w:pPr>
            <w:r>
              <w:rPr>
                <w:rFonts w:ascii="Arial" w:eastAsia="宋体" w:hAnsi="Arial" w:cs="Arial"/>
                <w:color w:val="000000"/>
                <w:sz w:val="12"/>
                <w:szCs w:val="12"/>
              </w:rPr>
              <w:t>51 </w:t>
            </w:r>
          </w:p>
        </w:tc>
        <w:tc>
          <w:tcPr>
            <w:tcW w:w="0" w:type="auto"/>
            <w:shd w:val="clear" w:color="auto" w:fill="CCEEFF"/>
            <w:tcMar>
              <w:top w:w="40" w:type="dxa"/>
              <w:left w:w="0" w:type="dxa"/>
              <w:bottom w:w="40" w:type="dxa"/>
              <w:right w:w="20" w:type="dxa"/>
            </w:tcMar>
            <w:vAlign w:val="bottom"/>
          </w:tcPr>
          <w:p w14:paraId="71D3F04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4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4C" w14:textId="77777777" w:rsidR="006A3667" w:rsidRDefault="00045F32">
            <w:pPr>
              <w:jc w:val="right"/>
              <w:textAlignment w:val="bottom"/>
            </w:pPr>
            <w:r>
              <w:rPr>
                <w:rFonts w:ascii="Arial" w:eastAsia="宋体" w:hAnsi="Arial" w:cs="Arial"/>
                <w:color w:val="000000"/>
                <w:sz w:val="12"/>
                <w:szCs w:val="12"/>
              </w:rPr>
              <w:t>1.59 </w:t>
            </w:r>
          </w:p>
        </w:tc>
        <w:tc>
          <w:tcPr>
            <w:tcW w:w="0" w:type="auto"/>
            <w:shd w:val="clear" w:color="auto" w:fill="CCEEFF"/>
            <w:tcMar>
              <w:top w:w="40" w:type="dxa"/>
              <w:left w:w="0" w:type="dxa"/>
              <w:bottom w:w="40" w:type="dxa"/>
              <w:right w:w="20" w:type="dxa"/>
            </w:tcMar>
            <w:vAlign w:val="bottom"/>
          </w:tcPr>
          <w:p w14:paraId="71D3F04D" w14:textId="77777777" w:rsidR="006A3667" w:rsidRDefault="006A3667">
            <w:pPr>
              <w:jc w:val="right"/>
              <w:rPr>
                <w:rFonts w:ascii="宋体"/>
              </w:rPr>
            </w:pPr>
          </w:p>
        </w:tc>
        <w:tc>
          <w:tcPr>
            <w:tcW w:w="0" w:type="auto"/>
            <w:shd w:val="clear" w:color="auto" w:fill="auto"/>
            <w:vAlign w:val="bottom"/>
          </w:tcPr>
          <w:p w14:paraId="71D3F04E" w14:textId="77777777" w:rsidR="006A3667" w:rsidRDefault="006A3667">
            <w:pPr>
              <w:rPr>
                <w:rFonts w:ascii="宋体"/>
                <w:vanish/>
              </w:rPr>
            </w:pPr>
          </w:p>
        </w:tc>
        <w:tc>
          <w:tcPr>
            <w:tcW w:w="0" w:type="auto"/>
            <w:shd w:val="clear" w:color="auto" w:fill="auto"/>
            <w:vAlign w:val="bottom"/>
          </w:tcPr>
          <w:p w14:paraId="71D3F04F" w14:textId="77777777" w:rsidR="006A3667" w:rsidRDefault="006A3667">
            <w:pPr>
              <w:rPr>
                <w:rFonts w:ascii="宋体"/>
                <w:vanish/>
              </w:rPr>
            </w:pPr>
          </w:p>
        </w:tc>
        <w:tc>
          <w:tcPr>
            <w:tcW w:w="0" w:type="auto"/>
            <w:shd w:val="clear" w:color="auto" w:fill="auto"/>
            <w:vAlign w:val="bottom"/>
          </w:tcPr>
          <w:p w14:paraId="71D3F050" w14:textId="77777777" w:rsidR="006A3667" w:rsidRDefault="006A3667">
            <w:pPr>
              <w:rPr>
                <w:rFonts w:ascii="宋体"/>
                <w:vanish/>
              </w:rPr>
            </w:pPr>
          </w:p>
        </w:tc>
        <w:tc>
          <w:tcPr>
            <w:tcW w:w="0" w:type="auto"/>
            <w:shd w:val="clear" w:color="auto" w:fill="auto"/>
            <w:vAlign w:val="bottom"/>
          </w:tcPr>
          <w:p w14:paraId="71D3F051" w14:textId="77777777" w:rsidR="006A3667" w:rsidRDefault="006A3667">
            <w:pPr>
              <w:rPr>
                <w:rFonts w:ascii="宋体"/>
                <w:vanish/>
              </w:rPr>
            </w:pPr>
          </w:p>
        </w:tc>
        <w:tc>
          <w:tcPr>
            <w:tcW w:w="0" w:type="auto"/>
            <w:gridSpan w:val="3"/>
            <w:shd w:val="clear" w:color="auto" w:fill="auto"/>
            <w:vAlign w:val="bottom"/>
          </w:tcPr>
          <w:p w14:paraId="71D3F052" w14:textId="77777777" w:rsidR="006A3667" w:rsidRDefault="006A3667">
            <w:pPr>
              <w:rPr>
                <w:rFonts w:ascii="宋体"/>
                <w:vanish/>
              </w:rPr>
            </w:pPr>
          </w:p>
        </w:tc>
        <w:tc>
          <w:tcPr>
            <w:tcW w:w="0" w:type="auto"/>
            <w:gridSpan w:val="3"/>
            <w:shd w:val="clear" w:color="auto" w:fill="auto"/>
            <w:vAlign w:val="bottom"/>
          </w:tcPr>
          <w:p w14:paraId="71D3F053" w14:textId="77777777" w:rsidR="006A3667" w:rsidRDefault="006A3667">
            <w:pPr>
              <w:rPr>
                <w:rFonts w:ascii="宋体"/>
                <w:vanish/>
              </w:rPr>
            </w:pPr>
          </w:p>
        </w:tc>
        <w:tc>
          <w:tcPr>
            <w:tcW w:w="0" w:type="auto"/>
            <w:gridSpan w:val="3"/>
            <w:shd w:val="clear" w:color="auto" w:fill="auto"/>
            <w:vAlign w:val="bottom"/>
          </w:tcPr>
          <w:p w14:paraId="71D3F054" w14:textId="77777777" w:rsidR="006A3667" w:rsidRDefault="006A3667">
            <w:pPr>
              <w:rPr>
                <w:rFonts w:ascii="宋体"/>
                <w:vanish/>
              </w:rPr>
            </w:pPr>
          </w:p>
        </w:tc>
        <w:tc>
          <w:tcPr>
            <w:tcW w:w="0" w:type="auto"/>
            <w:gridSpan w:val="3"/>
            <w:shd w:val="clear" w:color="auto" w:fill="auto"/>
            <w:vAlign w:val="bottom"/>
          </w:tcPr>
          <w:p w14:paraId="71D3F055" w14:textId="77777777" w:rsidR="006A3667" w:rsidRDefault="006A3667">
            <w:pPr>
              <w:rPr>
                <w:rFonts w:ascii="宋体"/>
                <w:vanish/>
              </w:rPr>
            </w:pPr>
          </w:p>
        </w:tc>
        <w:tc>
          <w:tcPr>
            <w:tcW w:w="0" w:type="auto"/>
            <w:gridSpan w:val="2"/>
            <w:shd w:val="clear" w:color="auto" w:fill="auto"/>
            <w:vAlign w:val="bottom"/>
          </w:tcPr>
          <w:p w14:paraId="71D3F056" w14:textId="77777777" w:rsidR="006A3667" w:rsidRDefault="006A3667">
            <w:pPr>
              <w:rPr>
                <w:rFonts w:ascii="宋体"/>
                <w:vanish/>
              </w:rPr>
            </w:pPr>
          </w:p>
        </w:tc>
        <w:tc>
          <w:tcPr>
            <w:tcW w:w="0" w:type="auto"/>
            <w:shd w:val="clear" w:color="auto" w:fill="auto"/>
            <w:vAlign w:val="bottom"/>
          </w:tcPr>
          <w:p w14:paraId="71D3F057" w14:textId="77777777" w:rsidR="006A3667" w:rsidRDefault="006A3667">
            <w:pPr>
              <w:rPr>
                <w:rFonts w:ascii="宋体"/>
                <w:vanish/>
              </w:rPr>
            </w:pPr>
          </w:p>
        </w:tc>
      </w:tr>
      <w:tr w:rsidR="006A3667" w14:paraId="71D3F075" w14:textId="77777777">
        <w:tc>
          <w:tcPr>
            <w:tcW w:w="0" w:type="auto"/>
            <w:gridSpan w:val="3"/>
            <w:shd w:val="clear" w:color="auto" w:fill="FFFFFF"/>
            <w:tcMar>
              <w:top w:w="40" w:type="dxa"/>
              <w:left w:w="20" w:type="dxa"/>
              <w:bottom w:w="40" w:type="dxa"/>
              <w:right w:w="20" w:type="dxa"/>
            </w:tcMar>
            <w:vAlign w:val="bottom"/>
          </w:tcPr>
          <w:p w14:paraId="71D3F059" w14:textId="77777777" w:rsidR="006A3667" w:rsidRDefault="00045F32">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71D3F05A" w14:textId="77777777" w:rsidR="006A3667" w:rsidRDefault="00045F32">
            <w:pPr>
              <w:jc w:val="right"/>
              <w:textAlignment w:val="bottom"/>
            </w:pPr>
            <w:r>
              <w:rPr>
                <w:rFonts w:ascii="Arial" w:eastAsia="宋体" w:hAnsi="Arial" w:cs="Arial"/>
                <w:b/>
                <w:bCs/>
                <w:color w:val="000000"/>
                <w:sz w:val="12"/>
                <w:szCs w:val="12"/>
              </w:rPr>
              <w:t>2,536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5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5D" w14:textId="77777777" w:rsidR="006A3667" w:rsidRDefault="00045F32">
            <w:pPr>
              <w:jc w:val="right"/>
              <w:textAlignment w:val="bottom"/>
            </w:pPr>
            <w:r>
              <w:rPr>
                <w:rFonts w:ascii="Arial" w:eastAsia="宋体" w:hAnsi="Arial" w:cs="Arial"/>
                <w:b/>
                <w:bCs/>
                <w:color w:val="000000"/>
                <w:sz w:val="12"/>
                <w:szCs w:val="12"/>
              </w:rPr>
              <w:t>42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60" w14:textId="77777777" w:rsidR="006A3667" w:rsidRDefault="00045F32">
            <w:pPr>
              <w:jc w:val="right"/>
              <w:textAlignment w:val="bottom"/>
            </w:pPr>
            <w:r>
              <w:rPr>
                <w:rFonts w:ascii="Arial" w:eastAsia="宋体" w:hAnsi="Arial" w:cs="Arial"/>
                <w:b/>
                <w:bCs/>
                <w:color w:val="000000"/>
                <w:sz w:val="12"/>
                <w:szCs w:val="12"/>
              </w:rPr>
              <w:t>6</w:t>
            </w:r>
            <w:r>
              <w:rPr>
                <w:rFonts w:ascii="Arial" w:eastAsia="宋体" w:hAnsi="Arial" w:cs="Arial"/>
                <w:b/>
                <w:bCs/>
                <w:color w:val="000000"/>
                <w:sz w:val="12"/>
                <w:szCs w:val="12"/>
              </w:rPr>
              <w:t>.43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6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6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63" w14:textId="77777777" w:rsidR="006A3667" w:rsidRDefault="00045F32">
            <w:pPr>
              <w:jc w:val="right"/>
              <w:textAlignment w:val="bottom"/>
            </w:pPr>
            <w:r>
              <w:rPr>
                <w:rFonts w:ascii="Arial" w:eastAsia="宋体" w:hAnsi="Arial" w:cs="Arial"/>
                <w:color w:val="000000"/>
                <w:sz w:val="12"/>
                <w:szCs w:val="12"/>
              </w:rPr>
              <w:t>5,461 </w:t>
            </w:r>
          </w:p>
        </w:tc>
        <w:tc>
          <w:tcPr>
            <w:tcW w:w="0" w:type="auto"/>
            <w:shd w:val="clear" w:color="auto" w:fill="FFFFFF"/>
            <w:tcMar>
              <w:top w:w="40" w:type="dxa"/>
              <w:left w:w="0" w:type="dxa"/>
              <w:bottom w:w="40" w:type="dxa"/>
              <w:right w:w="20" w:type="dxa"/>
            </w:tcMar>
            <w:vAlign w:val="bottom"/>
          </w:tcPr>
          <w:p w14:paraId="71D3F06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6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66" w14:textId="77777777" w:rsidR="006A3667" w:rsidRDefault="00045F32">
            <w:pPr>
              <w:jc w:val="right"/>
              <w:textAlignment w:val="bottom"/>
            </w:pPr>
            <w:r>
              <w:rPr>
                <w:rFonts w:ascii="Arial" w:eastAsia="宋体" w:hAnsi="Arial" w:cs="Arial"/>
                <w:color w:val="000000"/>
                <w:sz w:val="12"/>
                <w:szCs w:val="12"/>
              </w:rPr>
              <w:t>11 </w:t>
            </w:r>
          </w:p>
        </w:tc>
        <w:tc>
          <w:tcPr>
            <w:tcW w:w="0" w:type="auto"/>
            <w:shd w:val="clear" w:color="auto" w:fill="FFFFFF"/>
            <w:tcMar>
              <w:top w:w="40" w:type="dxa"/>
              <w:left w:w="0" w:type="dxa"/>
              <w:bottom w:w="40" w:type="dxa"/>
              <w:right w:w="20" w:type="dxa"/>
            </w:tcMar>
            <w:vAlign w:val="bottom"/>
          </w:tcPr>
          <w:p w14:paraId="71D3F0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06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69" w14:textId="77777777" w:rsidR="006A3667" w:rsidRDefault="00045F32">
            <w:pPr>
              <w:jc w:val="right"/>
              <w:textAlignment w:val="bottom"/>
            </w:pPr>
            <w:r>
              <w:rPr>
                <w:rFonts w:ascii="Arial" w:eastAsia="宋体" w:hAnsi="Arial" w:cs="Arial"/>
                <w:color w:val="000000"/>
                <w:sz w:val="12"/>
                <w:szCs w:val="12"/>
              </w:rPr>
              <w:t>.78 </w:t>
            </w:r>
          </w:p>
        </w:tc>
        <w:tc>
          <w:tcPr>
            <w:tcW w:w="0" w:type="auto"/>
            <w:shd w:val="clear" w:color="auto" w:fill="FFFFFF"/>
            <w:tcMar>
              <w:top w:w="40" w:type="dxa"/>
              <w:left w:w="0" w:type="dxa"/>
              <w:bottom w:w="40" w:type="dxa"/>
              <w:right w:w="20" w:type="dxa"/>
            </w:tcMar>
            <w:vAlign w:val="bottom"/>
          </w:tcPr>
          <w:p w14:paraId="71D3F06A" w14:textId="77777777" w:rsidR="006A3667" w:rsidRDefault="006A3667">
            <w:pPr>
              <w:jc w:val="right"/>
              <w:rPr>
                <w:rFonts w:ascii="宋体"/>
              </w:rPr>
            </w:pPr>
          </w:p>
        </w:tc>
        <w:tc>
          <w:tcPr>
            <w:tcW w:w="0" w:type="auto"/>
            <w:shd w:val="clear" w:color="auto" w:fill="auto"/>
            <w:vAlign w:val="bottom"/>
          </w:tcPr>
          <w:p w14:paraId="71D3F06B" w14:textId="77777777" w:rsidR="006A3667" w:rsidRDefault="006A3667">
            <w:pPr>
              <w:rPr>
                <w:rFonts w:ascii="宋体"/>
                <w:vanish/>
              </w:rPr>
            </w:pPr>
          </w:p>
        </w:tc>
        <w:tc>
          <w:tcPr>
            <w:tcW w:w="0" w:type="auto"/>
            <w:shd w:val="clear" w:color="auto" w:fill="auto"/>
            <w:vAlign w:val="bottom"/>
          </w:tcPr>
          <w:p w14:paraId="71D3F06C" w14:textId="77777777" w:rsidR="006A3667" w:rsidRDefault="006A3667">
            <w:pPr>
              <w:rPr>
                <w:rFonts w:ascii="宋体"/>
                <w:vanish/>
              </w:rPr>
            </w:pPr>
          </w:p>
        </w:tc>
        <w:tc>
          <w:tcPr>
            <w:tcW w:w="0" w:type="auto"/>
            <w:shd w:val="clear" w:color="auto" w:fill="auto"/>
            <w:vAlign w:val="bottom"/>
          </w:tcPr>
          <w:p w14:paraId="71D3F06D" w14:textId="77777777" w:rsidR="006A3667" w:rsidRDefault="006A3667">
            <w:pPr>
              <w:rPr>
                <w:rFonts w:ascii="宋体"/>
                <w:vanish/>
              </w:rPr>
            </w:pPr>
          </w:p>
        </w:tc>
        <w:tc>
          <w:tcPr>
            <w:tcW w:w="0" w:type="auto"/>
            <w:shd w:val="clear" w:color="auto" w:fill="auto"/>
            <w:vAlign w:val="bottom"/>
          </w:tcPr>
          <w:p w14:paraId="71D3F06E" w14:textId="77777777" w:rsidR="006A3667" w:rsidRDefault="006A3667">
            <w:pPr>
              <w:rPr>
                <w:rFonts w:ascii="宋体"/>
                <w:vanish/>
              </w:rPr>
            </w:pPr>
          </w:p>
        </w:tc>
        <w:tc>
          <w:tcPr>
            <w:tcW w:w="0" w:type="auto"/>
            <w:gridSpan w:val="3"/>
            <w:shd w:val="clear" w:color="auto" w:fill="auto"/>
            <w:vAlign w:val="bottom"/>
          </w:tcPr>
          <w:p w14:paraId="71D3F06F" w14:textId="77777777" w:rsidR="006A3667" w:rsidRDefault="006A3667">
            <w:pPr>
              <w:rPr>
                <w:rFonts w:ascii="宋体"/>
                <w:vanish/>
              </w:rPr>
            </w:pPr>
          </w:p>
        </w:tc>
        <w:tc>
          <w:tcPr>
            <w:tcW w:w="0" w:type="auto"/>
            <w:gridSpan w:val="3"/>
            <w:shd w:val="clear" w:color="auto" w:fill="auto"/>
            <w:vAlign w:val="bottom"/>
          </w:tcPr>
          <w:p w14:paraId="71D3F070" w14:textId="77777777" w:rsidR="006A3667" w:rsidRDefault="006A3667">
            <w:pPr>
              <w:rPr>
                <w:rFonts w:ascii="宋体"/>
                <w:vanish/>
              </w:rPr>
            </w:pPr>
          </w:p>
        </w:tc>
        <w:tc>
          <w:tcPr>
            <w:tcW w:w="0" w:type="auto"/>
            <w:gridSpan w:val="3"/>
            <w:shd w:val="clear" w:color="auto" w:fill="auto"/>
            <w:vAlign w:val="bottom"/>
          </w:tcPr>
          <w:p w14:paraId="71D3F071" w14:textId="77777777" w:rsidR="006A3667" w:rsidRDefault="006A3667">
            <w:pPr>
              <w:rPr>
                <w:rFonts w:ascii="宋体"/>
                <w:vanish/>
              </w:rPr>
            </w:pPr>
          </w:p>
        </w:tc>
        <w:tc>
          <w:tcPr>
            <w:tcW w:w="0" w:type="auto"/>
            <w:gridSpan w:val="3"/>
            <w:shd w:val="clear" w:color="auto" w:fill="auto"/>
            <w:vAlign w:val="bottom"/>
          </w:tcPr>
          <w:p w14:paraId="71D3F072" w14:textId="77777777" w:rsidR="006A3667" w:rsidRDefault="006A3667">
            <w:pPr>
              <w:rPr>
                <w:rFonts w:ascii="宋体"/>
                <w:vanish/>
              </w:rPr>
            </w:pPr>
          </w:p>
        </w:tc>
        <w:tc>
          <w:tcPr>
            <w:tcW w:w="0" w:type="auto"/>
            <w:gridSpan w:val="2"/>
            <w:shd w:val="clear" w:color="auto" w:fill="auto"/>
            <w:vAlign w:val="bottom"/>
          </w:tcPr>
          <w:p w14:paraId="71D3F073" w14:textId="77777777" w:rsidR="006A3667" w:rsidRDefault="006A3667">
            <w:pPr>
              <w:rPr>
                <w:rFonts w:ascii="宋体"/>
                <w:vanish/>
              </w:rPr>
            </w:pPr>
          </w:p>
        </w:tc>
        <w:tc>
          <w:tcPr>
            <w:tcW w:w="0" w:type="auto"/>
            <w:shd w:val="clear" w:color="auto" w:fill="auto"/>
            <w:vAlign w:val="bottom"/>
          </w:tcPr>
          <w:p w14:paraId="71D3F074" w14:textId="77777777" w:rsidR="006A3667" w:rsidRDefault="006A3667">
            <w:pPr>
              <w:rPr>
                <w:rFonts w:ascii="宋体"/>
                <w:vanish/>
              </w:rPr>
            </w:pPr>
          </w:p>
        </w:tc>
      </w:tr>
      <w:tr w:rsidR="006A3667" w14:paraId="71D3F096" w14:textId="77777777">
        <w:tc>
          <w:tcPr>
            <w:tcW w:w="0" w:type="auto"/>
            <w:gridSpan w:val="3"/>
            <w:shd w:val="clear" w:color="auto" w:fill="CCEEFF"/>
            <w:tcMar>
              <w:top w:w="40" w:type="dxa"/>
              <w:left w:w="20" w:type="dxa"/>
              <w:bottom w:w="40" w:type="dxa"/>
              <w:right w:w="20" w:type="dxa"/>
            </w:tcMar>
            <w:vAlign w:val="bottom"/>
          </w:tcPr>
          <w:p w14:paraId="71D3F076" w14:textId="77777777" w:rsidR="006A3667" w:rsidRDefault="00045F32">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F077"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078" w14:textId="77777777" w:rsidR="006A3667" w:rsidRDefault="00045F32">
            <w:pPr>
              <w:jc w:val="right"/>
              <w:textAlignment w:val="bottom"/>
            </w:pPr>
            <w:r>
              <w:rPr>
                <w:rFonts w:ascii="Arial" w:eastAsia="宋体" w:hAnsi="Arial" w:cs="Arial"/>
                <w:b/>
                <w:bCs/>
                <w:color w:val="000000"/>
                <w:sz w:val="12"/>
                <w:szCs w:val="12"/>
              </w:rPr>
              <w:t>187,57</w:t>
            </w: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0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7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07B"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07C" w14:textId="77777777" w:rsidR="006A3667" w:rsidRDefault="00045F32">
            <w:pPr>
              <w:jc w:val="right"/>
              <w:textAlignment w:val="bottom"/>
            </w:pPr>
            <w:r>
              <w:rPr>
                <w:rFonts w:ascii="Arial" w:eastAsia="宋体" w:hAnsi="Arial" w:cs="Arial"/>
                <w:b/>
                <w:bCs/>
                <w:color w:val="000000"/>
                <w:sz w:val="12"/>
                <w:szCs w:val="12"/>
              </w:rPr>
              <w:t>441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0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7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7F" w14:textId="77777777" w:rsidR="006A3667" w:rsidRDefault="00045F32">
            <w:pPr>
              <w:jc w:val="right"/>
              <w:textAlignment w:val="bottom"/>
            </w:pPr>
            <w:r>
              <w:rPr>
                <w:rFonts w:ascii="Arial" w:eastAsia="宋体" w:hAnsi="Arial" w:cs="Arial"/>
                <w:b/>
                <w:bCs/>
                <w:color w:val="000000"/>
                <w:sz w:val="12"/>
                <w:szCs w:val="12"/>
              </w:rPr>
              <w:t>.93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8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082"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083" w14:textId="77777777" w:rsidR="006A3667" w:rsidRDefault="00045F32">
            <w:pPr>
              <w:jc w:val="right"/>
              <w:textAlignment w:val="bottom"/>
            </w:pPr>
            <w:r>
              <w:rPr>
                <w:rFonts w:ascii="Arial" w:eastAsia="宋体" w:hAnsi="Arial" w:cs="Arial"/>
                <w:color w:val="000000"/>
                <w:sz w:val="12"/>
                <w:szCs w:val="12"/>
              </w:rPr>
              <w:t>206,456 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08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8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086"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087" w14:textId="77777777" w:rsidR="006A3667" w:rsidRDefault="00045F32">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0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8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8A"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8B" w14:textId="77777777" w:rsidR="006A3667" w:rsidRDefault="006A3667">
            <w:pPr>
              <w:jc w:val="right"/>
              <w:rPr>
                <w:rFonts w:ascii="宋体"/>
              </w:rPr>
            </w:pPr>
          </w:p>
        </w:tc>
        <w:tc>
          <w:tcPr>
            <w:tcW w:w="0" w:type="auto"/>
            <w:shd w:val="clear" w:color="auto" w:fill="auto"/>
            <w:vAlign w:val="bottom"/>
          </w:tcPr>
          <w:p w14:paraId="71D3F08C" w14:textId="77777777" w:rsidR="006A3667" w:rsidRDefault="006A3667">
            <w:pPr>
              <w:rPr>
                <w:rFonts w:ascii="宋体"/>
                <w:vanish/>
              </w:rPr>
            </w:pPr>
          </w:p>
        </w:tc>
        <w:tc>
          <w:tcPr>
            <w:tcW w:w="0" w:type="auto"/>
            <w:shd w:val="clear" w:color="auto" w:fill="auto"/>
            <w:vAlign w:val="bottom"/>
          </w:tcPr>
          <w:p w14:paraId="71D3F08D" w14:textId="77777777" w:rsidR="006A3667" w:rsidRDefault="006A3667">
            <w:pPr>
              <w:rPr>
                <w:rFonts w:ascii="宋体"/>
                <w:vanish/>
              </w:rPr>
            </w:pPr>
          </w:p>
        </w:tc>
        <w:tc>
          <w:tcPr>
            <w:tcW w:w="0" w:type="auto"/>
            <w:shd w:val="clear" w:color="auto" w:fill="auto"/>
            <w:vAlign w:val="bottom"/>
          </w:tcPr>
          <w:p w14:paraId="71D3F08E" w14:textId="77777777" w:rsidR="006A3667" w:rsidRDefault="006A3667">
            <w:pPr>
              <w:rPr>
                <w:rFonts w:ascii="宋体"/>
                <w:vanish/>
              </w:rPr>
            </w:pPr>
          </w:p>
        </w:tc>
        <w:tc>
          <w:tcPr>
            <w:tcW w:w="0" w:type="auto"/>
            <w:shd w:val="clear" w:color="auto" w:fill="auto"/>
            <w:vAlign w:val="bottom"/>
          </w:tcPr>
          <w:p w14:paraId="71D3F08F" w14:textId="77777777" w:rsidR="006A3667" w:rsidRDefault="006A3667">
            <w:pPr>
              <w:rPr>
                <w:rFonts w:ascii="宋体"/>
                <w:vanish/>
              </w:rPr>
            </w:pPr>
          </w:p>
        </w:tc>
        <w:tc>
          <w:tcPr>
            <w:tcW w:w="0" w:type="auto"/>
            <w:gridSpan w:val="3"/>
            <w:shd w:val="clear" w:color="auto" w:fill="auto"/>
            <w:vAlign w:val="bottom"/>
          </w:tcPr>
          <w:p w14:paraId="71D3F090" w14:textId="77777777" w:rsidR="006A3667" w:rsidRDefault="006A3667">
            <w:pPr>
              <w:rPr>
                <w:rFonts w:ascii="宋体"/>
                <w:vanish/>
              </w:rPr>
            </w:pPr>
          </w:p>
        </w:tc>
        <w:tc>
          <w:tcPr>
            <w:tcW w:w="0" w:type="auto"/>
            <w:gridSpan w:val="3"/>
            <w:shd w:val="clear" w:color="auto" w:fill="auto"/>
            <w:vAlign w:val="bottom"/>
          </w:tcPr>
          <w:p w14:paraId="71D3F091" w14:textId="77777777" w:rsidR="006A3667" w:rsidRDefault="006A3667">
            <w:pPr>
              <w:rPr>
                <w:rFonts w:ascii="宋体"/>
                <w:vanish/>
              </w:rPr>
            </w:pPr>
          </w:p>
        </w:tc>
        <w:tc>
          <w:tcPr>
            <w:tcW w:w="0" w:type="auto"/>
            <w:gridSpan w:val="3"/>
            <w:shd w:val="clear" w:color="auto" w:fill="auto"/>
            <w:vAlign w:val="bottom"/>
          </w:tcPr>
          <w:p w14:paraId="71D3F092" w14:textId="77777777" w:rsidR="006A3667" w:rsidRDefault="006A3667">
            <w:pPr>
              <w:rPr>
                <w:rFonts w:ascii="宋体"/>
                <w:vanish/>
              </w:rPr>
            </w:pPr>
          </w:p>
        </w:tc>
        <w:tc>
          <w:tcPr>
            <w:tcW w:w="0" w:type="auto"/>
            <w:gridSpan w:val="3"/>
            <w:shd w:val="clear" w:color="auto" w:fill="auto"/>
            <w:vAlign w:val="bottom"/>
          </w:tcPr>
          <w:p w14:paraId="71D3F093" w14:textId="77777777" w:rsidR="006A3667" w:rsidRDefault="006A3667">
            <w:pPr>
              <w:rPr>
                <w:rFonts w:ascii="宋体"/>
                <w:vanish/>
              </w:rPr>
            </w:pPr>
          </w:p>
        </w:tc>
        <w:tc>
          <w:tcPr>
            <w:tcW w:w="0" w:type="auto"/>
            <w:gridSpan w:val="2"/>
            <w:shd w:val="clear" w:color="auto" w:fill="auto"/>
            <w:vAlign w:val="bottom"/>
          </w:tcPr>
          <w:p w14:paraId="71D3F094" w14:textId="77777777" w:rsidR="006A3667" w:rsidRDefault="006A3667">
            <w:pPr>
              <w:rPr>
                <w:rFonts w:ascii="宋体"/>
                <w:vanish/>
              </w:rPr>
            </w:pPr>
          </w:p>
        </w:tc>
        <w:tc>
          <w:tcPr>
            <w:tcW w:w="0" w:type="auto"/>
            <w:shd w:val="clear" w:color="auto" w:fill="auto"/>
            <w:vAlign w:val="bottom"/>
          </w:tcPr>
          <w:p w14:paraId="71D3F095" w14:textId="77777777" w:rsidR="006A3667" w:rsidRDefault="006A3667">
            <w:pPr>
              <w:rPr>
                <w:rFonts w:ascii="宋体"/>
                <w:vanish/>
              </w:rPr>
            </w:pPr>
          </w:p>
        </w:tc>
      </w:tr>
      <w:tr w:rsidR="006A3667" w14:paraId="71D3F0AF" w14:textId="77777777">
        <w:tc>
          <w:tcPr>
            <w:tcW w:w="0" w:type="auto"/>
            <w:gridSpan w:val="3"/>
            <w:shd w:val="clear" w:color="auto" w:fill="FFFFFF"/>
            <w:tcMar>
              <w:top w:w="40" w:type="dxa"/>
              <w:left w:w="20" w:type="dxa"/>
              <w:bottom w:w="40" w:type="dxa"/>
              <w:right w:w="20" w:type="dxa"/>
            </w:tcMar>
            <w:vAlign w:val="bottom"/>
          </w:tcPr>
          <w:p w14:paraId="71D3F097" w14:textId="77777777" w:rsidR="006A3667" w:rsidRDefault="00045F32">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09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99"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09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9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9C" w14:textId="77777777" w:rsidR="006A3667" w:rsidRDefault="00045F32">
            <w:pPr>
              <w:jc w:val="right"/>
              <w:textAlignment w:val="bottom"/>
            </w:pPr>
            <w:r>
              <w:rPr>
                <w:rFonts w:ascii="Arial" w:eastAsia="宋体" w:hAnsi="Arial" w:cs="Arial"/>
                <w:b/>
                <w:bCs/>
                <w:color w:val="000000"/>
                <w:sz w:val="12"/>
                <w:szCs w:val="12"/>
              </w:rPr>
              <w:t>.92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9D"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71D3F09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0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A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0A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A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A3" w14:textId="77777777" w:rsidR="006A3667" w:rsidRDefault="00045F32">
            <w:pPr>
              <w:jc w:val="right"/>
              <w:textAlignment w:val="bottom"/>
            </w:pPr>
            <w:r>
              <w:rPr>
                <w:rFonts w:ascii="Arial" w:eastAsia="宋体" w:hAnsi="Arial" w:cs="Arial"/>
                <w:color w:val="000000"/>
                <w:sz w:val="12"/>
                <w:szCs w:val="12"/>
              </w:rPr>
              <w:t>.76 </w:t>
            </w:r>
          </w:p>
        </w:tc>
        <w:tc>
          <w:tcPr>
            <w:tcW w:w="0" w:type="auto"/>
            <w:shd w:val="clear" w:color="auto" w:fill="FFFFFF"/>
            <w:tcMar>
              <w:top w:w="40" w:type="dxa"/>
              <w:left w:w="0" w:type="dxa"/>
              <w:bottom w:w="40" w:type="dxa"/>
              <w:right w:w="20" w:type="dxa"/>
            </w:tcMar>
            <w:vAlign w:val="bottom"/>
          </w:tcPr>
          <w:p w14:paraId="71D3F0A4" w14:textId="77777777" w:rsidR="006A3667" w:rsidRDefault="00045F32">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1D3F0A5" w14:textId="77777777" w:rsidR="006A3667" w:rsidRDefault="006A3667">
            <w:pPr>
              <w:rPr>
                <w:rFonts w:ascii="宋体"/>
                <w:vanish/>
              </w:rPr>
            </w:pPr>
          </w:p>
        </w:tc>
        <w:tc>
          <w:tcPr>
            <w:tcW w:w="0" w:type="auto"/>
            <w:shd w:val="clear" w:color="auto" w:fill="auto"/>
            <w:vAlign w:val="bottom"/>
          </w:tcPr>
          <w:p w14:paraId="71D3F0A6" w14:textId="77777777" w:rsidR="006A3667" w:rsidRDefault="006A3667">
            <w:pPr>
              <w:rPr>
                <w:rFonts w:ascii="宋体"/>
                <w:vanish/>
              </w:rPr>
            </w:pPr>
          </w:p>
        </w:tc>
        <w:tc>
          <w:tcPr>
            <w:tcW w:w="0" w:type="auto"/>
            <w:shd w:val="clear" w:color="auto" w:fill="auto"/>
            <w:vAlign w:val="bottom"/>
          </w:tcPr>
          <w:p w14:paraId="71D3F0A7" w14:textId="77777777" w:rsidR="006A3667" w:rsidRDefault="006A3667">
            <w:pPr>
              <w:rPr>
                <w:rFonts w:ascii="宋体"/>
                <w:vanish/>
              </w:rPr>
            </w:pPr>
          </w:p>
        </w:tc>
        <w:tc>
          <w:tcPr>
            <w:tcW w:w="0" w:type="auto"/>
            <w:shd w:val="clear" w:color="auto" w:fill="auto"/>
            <w:vAlign w:val="bottom"/>
          </w:tcPr>
          <w:p w14:paraId="71D3F0A8" w14:textId="77777777" w:rsidR="006A3667" w:rsidRDefault="006A3667">
            <w:pPr>
              <w:rPr>
                <w:rFonts w:ascii="宋体"/>
                <w:vanish/>
              </w:rPr>
            </w:pPr>
          </w:p>
        </w:tc>
        <w:tc>
          <w:tcPr>
            <w:tcW w:w="0" w:type="auto"/>
            <w:gridSpan w:val="3"/>
            <w:shd w:val="clear" w:color="auto" w:fill="auto"/>
            <w:vAlign w:val="bottom"/>
          </w:tcPr>
          <w:p w14:paraId="71D3F0A9" w14:textId="77777777" w:rsidR="006A3667" w:rsidRDefault="006A3667">
            <w:pPr>
              <w:rPr>
                <w:rFonts w:ascii="宋体"/>
                <w:vanish/>
              </w:rPr>
            </w:pPr>
          </w:p>
        </w:tc>
        <w:tc>
          <w:tcPr>
            <w:tcW w:w="0" w:type="auto"/>
            <w:gridSpan w:val="3"/>
            <w:shd w:val="clear" w:color="auto" w:fill="auto"/>
            <w:vAlign w:val="bottom"/>
          </w:tcPr>
          <w:p w14:paraId="71D3F0AA" w14:textId="77777777" w:rsidR="006A3667" w:rsidRDefault="006A3667">
            <w:pPr>
              <w:rPr>
                <w:rFonts w:ascii="宋体"/>
                <w:vanish/>
              </w:rPr>
            </w:pPr>
          </w:p>
        </w:tc>
        <w:tc>
          <w:tcPr>
            <w:tcW w:w="0" w:type="auto"/>
            <w:gridSpan w:val="3"/>
            <w:shd w:val="clear" w:color="auto" w:fill="auto"/>
            <w:vAlign w:val="bottom"/>
          </w:tcPr>
          <w:p w14:paraId="71D3F0AB" w14:textId="77777777" w:rsidR="006A3667" w:rsidRDefault="006A3667">
            <w:pPr>
              <w:rPr>
                <w:rFonts w:ascii="宋体"/>
                <w:vanish/>
              </w:rPr>
            </w:pPr>
          </w:p>
        </w:tc>
        <w:tc>
          <w:tcPr>
            <w:tcW w:w="0" w:type="auto"/>
            <w:gridSpan w:val="3"/>
            <w:shd w:val="clear" w:color="auto" w:fill="auto"/>
            <w:vAlign w:val="bottom"/>
          </w:tcPr>
          <w:p w14:paraId="71D3F0AC" w14:textId="77777777" w:rsidR="006A3667" w:rsidRDefault="006A3667">
            <w:pPr>
              <w:rPr>
                <w:rFonts w:ascii="宋体"/>
                <w:vanish/>
              </w:rPr>
            </w:pPr>
          </w:p>
        </w:tc>
        <w:tc>
          <w:tcPr>
            <w:tcW w:w="0" w:type="auto"/>
            <w:gridSpan w:val="2"/>
            <w:shd w:val="clear" w:color="auto" w:fill="auto"/>
            <w:vAlign w:val="bottom"/>
          </w:tcPr>
          <w:p w14:paraId="71D3F0AD" w14:textId="77777777" w:rsidR="006A3667" w:rsidRDefault="006A3667">
            <w:pPr>
              <w:rPr>
                <w:rFonts w:ascii="宋体"/>
                <w:vanish/>
              </w:rPr>
            </w:pPr>
          </w:p>
        </w:tc>
        <w:tc>
          <w:tcPr>
            <w:tcW w:w="0" w:type="auto"/>
            <w:shd w:val="clear" w:color="auto" w:fill="auto"/>
            <w:vAlign w:val="bottom"/>
          </w:tcPr>
          <w:p w14:paraId="71D3F0AE" w14:textId="77777777" w:rsidR="006A3667" w:rsidRDefault="006A3667">
            <w:pPr>
              <w:rPr>
                <w:rFonts w:ascii="宋体"/>
                <w:vanish/>
              </w:rPr>
            </w:pPr>
          </w:p>
        </w:tc>
      </w:tr>
      <w:tr w:rsidR="006A3667" w14:paraId="71D3F0CA" w14:textId="77777777">
        <w:tc>
          <w:tcPr>
            <w:tcW w:w="0" w:type="auto"/>
            <w:gridSpan w:val="3"/>
            <w:shd w:val="clear" w:color="auto" w:fill="CCEEFF"/>
            <w:tcMar>
              <w:top w:w="40" w:type="dxa"/>
              <w:left w:w="20" w:type="dxa"/>
              <w:bottom w:w="40" w:type="dxa"/>
              <w:right w:w="20" w:type="dxa"/>
            </w:tcMar>
            <w:vAlign w:val="bottom"/>
          </w:tcPr>
          <w:p w14:paraId="71D3F0B0" w14:textId="77777777" w:rsidR="006A3667" w:rsidRDefault="00045F32">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71D3F0B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B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F0B3"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F0B4" w14:textId="77777777" w:rsidR="006A3667" w:rsidRDefault="00045F32">
            <w:pPr>
              <w:jc w:val="right"/>
              <w:textAlignment w:val="bottom"/>
            </w:pPr>
            <w:r>
              <w:rPr>
                <w:rFonts w:ascii="Arial" w:eastAsia="宋体" w:hAnsi="Arial" w:cs="Arial"/>
                <w:b/>
                <w:bCs/>
                <w:color w:val="000000"/>
                <w:sz w:val="12"/>
                <w:szCs w:val="12"/>
              </w:rPr>
              <w:t>662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0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B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B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B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B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B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F0BB"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F0BC" w14:textId="77777777" w:rsidR="006A3667" w:rsidRDefault="00045F32">
            <w:pPr>
              <w:jc w:val="right"/>
              <w:textAlignment w:val="bottom"/>
            </w:pPr>
            <w:r>
              <w:rPr>
                <w:rFonts w:ascii="Arial" w:eastAsia="宋体" w:hAnsi="Arial" w:cs="Arial"/>
                <w:color w:val="000000"/>
                <w:sz w:val="12"/>
                <w:szCs w:val="12"/>
              </w:rPr>
              <w:t>490 </w:t>
            </w:r>
          </w:p>
        </w:tc>
        <w:tc>
          <w:tcPr>
            <w:tcW w:w="0" w:type="auto"/>
            <w:shd w:val="clear" w:color="auto" w:fill="CCEEFF"/>
            <w:tcMar>
              <w:top w:w="40" w:type="dxa"/>
              <w:left w:w="0" w:type="dxa"/>
              <w:bottom w:w="40" w:type="dxa"/>
              <w:right w:w="20" w:type="dxa"/>
            </w:tcMar>
            <w:vAlign w:val="bottom"/>
          </w:tcPr>
          <w:p w14:paraId="71D3F0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B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BF" w14:textId="77777777" w:rsidR="006A3667" w:rsidRDefault="006A3667">
            <w:pPr>
              <w:rPr>
                <w:rFonts w:ascii="宋体"/>
              </w:rPr>
            </w:pPr>
          </w:p>
        </w:tc>
        <w:tc>
          <w:tcPr>
            <w:tcW w:w="0" w:type="auto"/>
            <w:shd w:val="clear" w:color="auto" w:fill="auto"/>
            <w:vAlign w:val="bottom"/>
          </w:tcPr>
          <w:p w14:paraId="71D3F0C0" w14:textId="77777777" w:rsidR="006A3667" w:rsidRDefault="006A3667">
            <w:pPr>
              <w:rPr>
                <w:rFonts w:ascii="宋体"/>
                <w:vanish/>
              </w:rPr>
            </w:pPr>
          </w:p>
        </w:tc>
        <w:tc>
          <w:tcPr>
            <w:tcW w:w="0" w:type="auto"/>
            <w:shd w:val="clear" w:color="auto" w:fill="auto"/>
            <w:vAlign w:val="bottom"/>
          </w:tcPr>
          <w:p w14:paraId="71D3F0C1" w14:textId="77777777" w:rsidR="006A3667" w:rsidRDefault="006A3667">
            <w:pPr>
              <w:rPr>
                <w:rFonts w:ascii="宋体"/>
                <w:vanish/>
              </w:rPr>
            </w:pPr>
          </w:p>
        </w:tc>
        <w:tc>
          <w:tcPr>
            <w:tcW w:w="0" w:type="auto"/>
            <w:shd w:val="clear" w:color="auto" w:fill="auto"/>
            <w:vAlign w:val="bottom"/>
          </w:tcPr>
          <w:p w14:paraId="71D3F0C2" w14:textId="77777777" w:rsidR="006A3667" w:rsidRDefault="006A3667">
            <w:pPr>
              <w:rPr>
                <w:rFonts w:ascii="宋体"/>
                <w:vanish/>
              </w:rPr>
            </w:pPr>
          </w:p>
        </w:tc>
        <w:tc>
          <w:tcPr>
            <w:tcW w:w="0" w:type="auto"/>
            <w:shd w:val="clear" w:color="auto" w:fill="auto"/>
            <w:vAlign w:val="bottom"/>
          </w:tcPr>
          <w:p w14:paraId="71D3F0C3" w14:textId="77777777" w:rsidR="006A3667" w:rsidRDefault="006A3667">
            <w:pPr>
              <w:rPr>
                <w:rFonts w:ascii="宋体"/>
                <w:vanish/>
              </w:rPr>
            </w:pPr>
          </w:p>
        </w:tc>
        <w:tc>
          <w:tcPr>
            <w:tcW w:w="0" w:type="auto"/>
            <w:gridSpan w:val="3"/>
            <w:shd w:val="clear" w:color="auto" w:fill="auto"/>
            <w:vAlign w:val="bottom"/>
          </w:tcPr>
          <w:p w14:paraId="71D3F0C4" w14:textId="77777777" w:rsidR="006A3667" w:rsidRDefault="006A3667">
            <w:pPr>
              <w:rPr>
                <w:rFonts w:ascii="宋体"/>
                <w:vanish/>
              </w:rPr>
            </w:pPr>
          </w:p>
        </w:tc>
        <w:tc>
          <w:tcPr>
            <w:tcW w:w="0" w:type="auto"/>
            <w:gridSpan w:val="3"/>
            <w:shd w:val="clear" w:color="auto" w:fill="auto"/>
            <w:vAlign w:val="bottom"/>
          </w:tcPr>
          <w:p w14:paraId="71D3F0C5" w14:textId="77777777" w:rsidR="006A3667" w:rsidRDefault="006A3667">
            <w:pPr>
              <w:rPr>
                <w:rFonts w:ascii="宋体"/>
                <w:vanish/>
              </w:rPr>
            </w:pPr>
          </w:p>
        </w:tc>
        <w:tc>
          <w:tcPr>
            <w:tcW w:w="0" w:type="auto"/>
            <w:gridSpan w:val="3"/>
            <w:shd w:val="clear" w:color="auto" w:fill="auto"/>
            <w:vAlign w:val="bottom"/>
          </w:tcPr>
          <w:p w14:paraId="71D3F0C6" w14:textId="77777777" w:rsidR="006A3667" w:rsidRDefault="006A3667">
            <w:pPr>
              <w:rPr>
                <w:rFonts w:ascii="宋体"/>
                <w:vanish/>
              </w:rPr>
            </w:pPr>
          </w:p>
        </w:tc>
        <w:tc>
          <w:tcPr>
            <w:tcW w:w="0" w:type="auto"/>
            <w:gridSpan w:val="3"/>
            <w:shd w:val="clear" w:color="auto" w:fill="auto"/>
            <w:vAlign w:val="bottom"/>
          </w:tcPr>
          <w:p w14:paraId="71D3F0C7" w14:textId="77777777" w:rsidR="006A3667" w:rsidRDefault="006A3667">
            <w:pPr>
              <w:rPr>
                <w:rFonts w:ascii="宋体"/>
                <w:vanish/>
              </w:rPr>
            </w:pPr>
          </w:p>
        </w:tc>
        <w:tc>
          <w:tcPr>
            <w:tcW w:w="0" w:type="auto"/>
            <w:gridSpan w:val="2"/>
            <w:shd w:val="clear" w:color="auto" w:fill="auto"/>
            <w:vAlign w:val="bottom"/>
          </w:tcPr>
          <w:p w14:paraId="71D3F0C8" w14:textId="77777777" w:rsidR="006A3667" w:rsidRDefault="006A3667">
            <w:pPr>
              <w:rPr>
                <w:rFonts w:ascii="宋体"/>
                <w:vanish/>
              </w:rPr>
            </w:pPr>
          </w:p>
        </w:tc>
        <w:tc>
          <w:tcPr>
            <w:tcW w:w="0" w:type="auto"/>
            <w:shd w:val="clear" w:color="auto" w:fill="auto"/>
            <w:vAlign w:val="bottom"/>
          </w:tcPr>
          <w:p w14:paraId="71D3F0C9" w14:textId="77777777" w:rsidR="006A3667" w:rsidRDefault="006A3667">
            <w:pPr>
              <w:rPr>
                <w:rFonts w:ascii="宋体"/>
                <w:vanish/>
              </w:rPr>
            </w:pPr>
          </w:p>
        </w:tc>
      </w:tr>
      <w:tr w:rsidR="006A3667" w14:paraId="71D3F0E3" w14:textId="77777777">
        <w:tc>
          <w:tcPr>
            <w:tcW w:w="0" w:type="auto"/>
            <w:gridSpan w:val="3"/>
            <w:shd w:val="clear" w:color="auto" w:fill="FFFFFF"/>
            <w:tcMar>
              <w:top w:w="40" w:type="dxa"/>
              <w:left w:w="20" w:type="dxa"/>
              <w:bottom w:w="40" w:type="dxa"/>
              <w:right w:w="20" w:type="dxa"/>
            </w:tcMar>
            <w:vAlign w:val="bottom"/>
          </w:tcPr>
          <w:p w14:paraId="71D3F0CB" w14:textId="77777777" w:rsidR="006A3667" w:rsidRDefault="00045F32">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71D3F0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D0" w14:textId="77777777" w:rsidR="006A3667" w:rsidRDefault="00045F32">
            <w:pPr>
              <w:jc w:val="right"/>
              <w:textAlignment w:val="bottom"/>
            </w:pPr>
            <w:r>
              <w:rPr>
                <w:rFonts w:ascii="Arial" w:eastAsia="宋体" w:hAnsi="Arial" w:cs="Arial"/>
                <w:b/>
                <w:bCs/>
                <w:color w:val="000000"/>
                <w:sz w:val="12"/>
                <w:szCs w:val="12"/>
              </w:rPr>
              <w:t>1.11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0D1"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71D3F0D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D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D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D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0D7" w14:textId="77777777" w:rsidR="006A3667" w:rsidRDefault="00045F32">
            <w:pPr>
              <w:jc w:val="right"/>
              <w:textAlignment w:val="bottom"/>
            </w:pPr>
            <w:r>
              <w:rPr>
                <w:rFonts w:ascii="Arial" w:eastAsia="宋体" w:hAnsi="Arial" w:cs="Arial"/>
                <w:color w:val="000000"/>
                <w:sz w:val="12"/>
                <w:szCs w:val="12"/>
              </w:rPr>
              <w:t>.76 </w:t>
            </w:r>
          </w:p>
        </w:tc>
        <w:tc>
          <w:tcPr>
            <w:tcW w:w="0" w:type="auto"/>
            <w:shd w:val="clear" w:color="auto" w:fill="FFFFFF"/>
            <w:tcMar>
              <w:top w:w="40" w:type="dxa"/>
              <w:left w:w="0" w:type="dxa"/>
              <w:bottom w:w="40" w:type="dxa"/>
              <w:right w:w="20" w:type="dxa"/>
            </w:tcMar>
            <w:vAlign w:val="bottom"/>
          </w:tcPr>
          <w:p w14:paraId="71D3F0D8" w14:textId="77777777" w:rsidR="006A3667" w:rsidRDefault="00045F32">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1D3F0D9" w14:textId="77777777" w:rsidR="006A3667" w:rsidRDefault="006A3667">
            <w:pPr>
              <w:rPr>
                <w:rFonts w:ascii="宋体"/>
                <w:vanish/>
              </w:rPr>
            </w:pPr>
          </w:p>
        </w:tc>
        <w:tc>
          <w:tcPr>
            <w:tcW w:w="0" w:type="auto"/>
            <w:shd w:val="clear" w:color="auto" w:fill="auto"/>
            <w:vAlign w:val="bottom"/>
          </w:tcPr>
          <w:p w14:paraId="71D3F0DA" w14:textId="77777777" w:rsidR="006A3667" w:rsidRDefault="006A3667">
            <w:pPr>
              <w:rPr>
                <w:rFonts w:ascii="宋体"/>
                <w:vanish/>
              </w:rPr>
            </w:pPr>
          </w:p>
        </w:tc>
        <w:tc>
          <w:tcPr>
            <w:tcW w:w="0" w:type="auto"/>
            <w:shd w:val="clear" w:color="auto" w:fill="auto"/>
            <w:vAlign w:val="bottom"/>
          </w:tcPr>
          <w:p w14:paraId="71D3F0DB" w14:textId="77777777" w:rsidR="006A3667" w:rsidRDefault="006A3667">
            <w:pPr>
              <w:rPr>
                <w:rFonts w:ascii="宋体"/>
                <w:vanish/>
              </w:rPr>
            </w:pPr>
          </w:p>
        </w:tc>
        <w:tc>
          <w:tcPr>
            <w:tcW w:w="0" w:type="auto"/>
            <w:shd w:val="clear" w:color="auto" w:fill="auto"/>
            <w:vAlign w:val="bottom"/>
          </w:tcPr>
          <w:p w14:paraId="71D3F0DC" w14:textId="77777777" w:rsidR="006A3667" w:rsidRDefault="006A3667">
            <w:pPr>
              <w:rPr>
                <w:rFonts w:ascii="宋体"/>
                <w:vanish/>
              </w:rPr>
            </w:pPr>
          </w:p>
        </w:tc>
        <w:tc>
          <w:tcPr>
            <w:tcW w:w="0" w:type="auto"/>
            <w:gridSpan w:val="3"/>
            <w:shd w:val="clear" w:color="auto" w:fill="auto"/>
            <w:vAlign w:val="bottom"/>
          </w:tcPr>
          <w:p w14:paraId="71D3F0DD" w14:textId="77777777" w:rsidR="006A3667" w:rsidRDefault="006A3667">
            <w:pPr>
              <w:rPr>
                <w:rFonts w:ascii="宋体"/>
                <w:vanish/>
              </w:rPr>
            </w:pPr>
          </w:p>
        </w:tc>
        <w:tc>
          <w:tcPr>
            <w:tcW w:w="0" w:type="auto"/>
            <w:gridSpan w:val="3"/>
            <w:shd w:val="clear" w:color="auto" w:fill="auto"/>
            <w:vAlign w:val="bottom"/>
          </w:tcPr>
          <w:p w14:paraId="71D3F0DE" w14:textId="77777777" w:rsidR="006A3667" w:rsidRDefault="006A3667">
            <w:pPr>
              <w:rPr>
                <w:rFonts w:ascii="宋体"/>
                <w:vanish/>
              </w:rPr>
            </w:pPr>
          </w:p>
        </w:tc>
        <w:tc>
          <w:tcPr>
            <w:tcW w:w="0" w:type="auto"/>
            <w:gridSpan w:val="3"/>
            <w:shd w:val="clear" w:color="auto" w:fill="auto"/>
            <w:vAlign w:val="bottom"/>
          </w:tcPr>
          <w:p w14:paraId="71D3F0DF" w14:textId="77777777" w:rsidR="006A3667" w:rsidRDefault="006A3667">
            <w:pPr>
              <w:rPr>
                <w:rFonts w:ascii="宋体"/>
                <w:vanish/>
              </w:rPr>
            </w:pPr>
          </w:p>
        </w:tc>
        <w:tc>
          <w:tcPr>
            <w:tcW w:w="0" w:type="auto"/>
            <w:gridSpan w:val="3"/>
            <w:shd w:val="clear" w:color="auto" w:fill="auto"/>
            <w:vAlign w:val="bottom"/>
          </w:tcPr>
          <w:p w14:paraId="71D3F0E0" w14:textId="77777777" w:rsidR="006A3667" w:rsidRDefault="006A3667">
            <w:pPr>
              <w:rPr>
                <w:rFonts w:ascii="宋体"/>
                <w:vanish/>
              </w:rPr>
            </w:pPr>
          </w:p>
        </w:tc>
        <w:tc>
          <w:tcPr>
            <w:tcW w:w="0" w:type="auto"/>
            <w:gridSpan w:val="2"/>
            <w:shd w:val="clear" w:color="auto" w:fill="auto"/>
            <w:vAlign w:val="bottom"/>
          </w:tcPr>
          <w:p w14:paraId="71D3F0E1" w14:textId="77777777" w:rsidR="006A3667" w:rsidRDefault="006A3667">
            <w:pPr>
              <w:rPr>
                <w:rFonts w:ascii="宋体"/>
                <w:vanish/>
              </w:rPr>
            </w:pPr>
          </w:p>
        </w:tc>
        <w:tc>
          <w:tcPr>
            <w:tcW w:w="0" w:type="auto"/>
            <w:shd w:val="clear" w:color="auto" w:fill="auto"/>
            <w:vAlign w:val="bottom"/>
          </w:tcPr>
          <w:p w14:paraId="71D3F0E2" w14:textId="77777777" w:rsidR="006A3667" w:rsidRDefault="006A3667">
            <w:pPr>
              <w:rPr>
                <w:rFonts w:ascii="宋体"/>
                <w:vanish/>
              </w:rPr>
            </w:pPr>
          </w:p>
        </w:tc>
      </w:tr>
      <w:tr w:rsidR="006A3667" w14:paraId="71D3F0FC" w14:textId="77777777">
        <w:tc>
          <w:tcPr>
            <w:tcW w:w="0" w:type="auto"/>
            <w:gridSpan w:val="3"/>
            <w:shd w:val="clear" w:color="auto" w:fill="CCEEFF"/>
            <w:tcMar>
              <w:top w:w="40" w:type="dxa"/>
              <w:left w:w="20" w:type="dxa"/>
              <w:bottom w:w="40" w:type="dxa"/>
              <w:right w:w="20" w:type="dxa"/>
            </w:tcMar>
            <w:vAlign w:val="bottom"/>
          </w:tcPr>
          <w:p w14:paraId="71D3F0E4" w14:textId="77777777" w:rsidR="006A3667" w:rsidRDefault="00045F32">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71D3F0E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E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E7" w14:textId="77777777" w:rsidR="006A3667" w:rsidRDefault="00045F32">
            <w:pPr>
              <w:jc w:val="right"/>
              <w:textAlignment w:val="bottom"/>
            </w:pPr>
            <w:r>
              <w:rPr>
                <w:rFonts w:ascii="Arial" w:eastAsia="宋体" w:hAnsi="Arial" w:cs="Arial"/>
                <w:b/>
                <w:bCs/>
                <w:color w:val="000000"/>
                <w:sz w:val="12"/>
                <w:szCs w:val="12"/>
              </w:rPr>
              <w:t>(2)</w:t>
            </w:r>
          </w:p>
        </w:tc>
        <w:tc>
          <w:tcPr>
            <w:tcW w:w="0" w:type="auto"/>
            <w:shd w:val="clear" w:color="auto" w:fill="CCEEFF"/>
            <w:tcMar>
              <w:top w:w="40" w:type="dxa"/>
              <w:left w:w="0" w:type="dxa"/>
              <w:bottom w:w="40" w:type="dxa"/>
              <w:right w:w="20" w:type="dxa"/>
            </w:tcMar>
            <w:vAlign w:val="bottom"/>
          </w:tcPr>
          <w:p w14:paraId="71D3F0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E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E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E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E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E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0EE" w14:textId="77777777" w:rsidR="006A3667" w:rsidRDefault="00045F32">
            <w:pPr>
              <w:jc w:val="right"/>
              <w:textAlignment w:val="bottom"/>
            </w:pPr>
            <w:r>
              <w:rPr>
                <w:rFonts w:ascii="Arial" w:eastAsia="宋体" w:hAnsi="Arial" w:cs="Arial"/>
                <w:color w:val="000000"/>
                <w:sz w:val="12"/>
                <w:szCs w:val="12"/>
              </w:rPr>
              <w:t>(3)</w:t>
            </w:r>
          </w:p>
        </w:tc>
        <w:tc>
          <w:tcPr>
            <w:tcW w:w="0" w:type="auto"/>
            <w:shd w:val="clear" w:color="auto" w:fill="CCEEFF"/>
            <w:tcMar>
              <w:top w:w="40" w:type="dxa"/>
              <w:left w:w="0" w:type="dxa"/>
              <w:bottom w:w="40" w:type="dxa"/>
              <w:right w:w="20" w:type="dxa"/>
            </w:tcMar>
            <w:vAlign w:val="bottom"/>
          </w:tcPr>
          <w:p w14:paraId="71D3F0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0F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0F1" w14:textId="77777777" w:rsidR="006A3667" w:rsidRDefault="006A3667">
            <w:pPr>
              <w:rPr>
                <w:rFonts w:ascii="宋体"/>
              </w:rPr>
            </w:pPr>
          </w:p>
        </w:tc>
        <w:tc>
          <w:tcPr>
            <w:tcW w:w="0" w:type="auto"/>
            <w:shd w:val="clear" w:color="auto" w:fill="auto"/>
            <w:vAlign w:val="bottom"/>
          </w:tcPr>
          <w:p w14:paraId="71D3F0F2" w14:textId="77777777" w:rsidR="006A3667" w:rsidRDefault="006A3667">
            <w:pPr>
              <w:rPr>
                <w:rFonts w:ascii="宋体"/>
                <w:vanish/>
              </w:rPr>
            </w:pPr>
          </w:p>
        </w:tc>
        <w:tc>
          <w:tcPr>
            <w:tcW w:w="0" w:type="auto"/>
            <w:shd w:val="clear" w:color="auto" w:fill="auto"/>
            <w:vAlign w:val="bottom"/>
          </w:tcPr>
          <w:p w14:paraId="71D3F0F3" w14:textId="77777777" w:rsidR="006A3667" w:rsidRDefault="006A3667">
            <w:pPr>
              <w:rPr>
                <w:rFonts w:ascii="宋体"/>
                <w:vanish/>
              </w:rPr>
            </w:pPr>
          </w:p>
        </w:tc>
        <w:tc>
          <w:tcPr>
            <w:tcW w:w="0" w:type="auto"/>
            <w:shd w:val="clear" w:color="auto" w:fill="auto"/>
            <w:vAlign w:val="bottom"/>
          </w:tcPr>
          <w:p w14:paraId="71D3F0F4" w14:textId="77777777" w:rsidR="006A3667" w:rsidRDefault="006A3667">
            <w:pPr>
              <w:rPr>
                <w:rFonts w:ascii="宋体"/>
                <w:vanish/>
              </w:rPr>
            </w:pPr>
          </w:p>
        </w:tc>
        <w:tc>
          <w:tcPr>
            <w:tcW w:w="0" w:type="auto"/>
            <w:shd w:val="clear" w:color="auto" w:fill="auto"/>
            <w:vAlign w:val="bottom"/>
          </w:tcPr>
          <w:p w14:paraId="71D3F0F5" w14:textId="77777777" w:rsidR="006A3667" w:rsidRDefault="006A3667">
            <w:pPr>
              <w:rPr>
                <w:rFonts w:ascii="宋体"/>
                <w:vanish/>
              </w:rPr>
            </w:pPr>
          </w:p>
        </w:tc>
        <w:tc>
          <w:tcPr>
            <w:tcW w:w="0" w:type="auto"/>
            <w:gridSpan w:val="3"/>
            <w:shd w:val="clear" w:color="auto" w:fill="auto"/>
            <w:vAlign w:val="bottom"/>
          </w:tcPr>
          <w:p w14:paraId="71D3F0F6" w14:textId="77777777" w:rsidR="006A3667" w:rsidRDefault="006A3667">
            <w:pPr>
              <w:rPr>
                <w:rFonts w:ascii="宋体"/>
                <w:vanish/>
              </w:rPr>
            </w:pPr>
          </w:p>
        </w:tc>
        <w:tc>
          <w:tcPr>
            <w:tcW w:w="0" w:type="auto"/>
            <w:gridSpan w:val="3"/>
            <w:shd w:val="clear" w:color="auto" w:fill="auto"/>
            <w:vAlign w:val="bottom"/>
          </w:tcPr>
          <w:p w14:paraId="71D3F0F7" w14:textId="77777777" w:rsidR="006A3667" w:rsidRDefault="006A3667">
            <w:pPr>
              <w:rPr>
                <w:rFonts w:ascii="宋体"/>
                <w:vanish/>
              </w:rPr>
            </w:pPr>
          </w:p>
        </w:tc>
        <w:tc>
          <w:tcPr>
            <w:tcW w:w="0" w:type="auto"/>
            <w:gridSpan w:val="3"/>
            <w:shd w:val="clear" w:color="auto" w:fill="auto"/>
            <w:vAlign w:val="bottom"/>
          </w:tcPr>
          <w:p w14:paraId="71D3F0F8" w14:textId="77777777" w:rsidR="006A3667" w:rsidRDefault="006A3667">
            <w:pPr>
              <w:rPr>
                <w:rFonts w:ascii="宋体"/>
                <w:vanish/>
              </w:rPr>
            </w:pPr>
          </w:p>
        </w:tc>
        <w:tc>
          <w:tcPr>
            <w:tcW w:w="0" w:type="auto"/>
            <w:gridSpan w:val="3"/>
            <w:shd w:val="clear" w:color="auto" w:fill="auto"/>
            <w:vAlign w:val="bottom"/>
          </w:tcPr>
          <w:p w14:paraId="71D3F0F9" w14:textId="77777777" w:rsidR="006A3667" w:rsidRDefault="006A3667">
            <w:pPr>
              <w:rPr>
                <w:rFonts w:ascii="宋体"/>
                <w:vanish/>
              </w:rPr>
            </w:pPr>
          </w:p>
        </w:tc>
        <w:tc>
          <w:tcPr>
            <w:tcW w:w="0" w:type="auto"/>
            <w:gridSpan w:val="2"/>
            <w:shd w:val="clear" w:color="auto" w:fill="auto"/>
            <w:vAlign w:val="bottom"/>
          </w:tcPr>
          <w:p w14:paraId="71D3F0FA" w14:textId="77777777" w:rsidR="006A3667" w:rsidRDefault="006A3667">
            <w:pPr>
              <w:rPr>
                <w:rFonts w:ascii="宋体"/>
                <w:vanish/>
              </w:rPr>
            </w:pPr>
          </w:p>
        </w:tc>
        <w:tc>
          <w:tcPr>
            <w:tcW w:w="0" w:type="auto"/>
            <w:shd w:val="clear" w:color="auto" w:fill="auto"/>
            <w:vAlign w:val="bottom"/>
          </w:tcPr>
          <w:p w14:paraId="71D3F0FB" w14:textId="77777777" w:rsidR="006A3667" w:rsidRDefault="006A3667">
            <w:pPr>
              <w:rPr>
                <w:rFonts w:ascii="宋体"/>
                <w:vanish/>
              </w:rPr>
            </w:pPr>
          </w:p>
        </w:tc>
      </w:tr>
      <w:tr w:rsidR="006A3667" w14:paraId="71D3F117" w14:textId="77777777">
        <w:tc>
          <w:tcPr>
            <w:tcW w:w="0" w:type="auto"/>
            <w:gridSpan w:val="3"/>
            <w:shd w:val="clear" w:color="auto" w:fill="FFFFFF"/>
            <w:tcMar>
              <w:top w:w="40" w:type="dxa"/>
              <w:left w:w="20" w:type="dxa"/>
              <w:bottom w:w="40" w:type="dxa"/>
              <w:right w:w="20" w:type="dxa"/>
            </w:tcMar>
            <w:vAlign w:val="bottom"/>
          </w:tcPr>
          <w:p w14:paraId="71D3F0FD" w14:textId="77777777" w:rsidR="006A3667" w:rsidRDefault="00045F32">
            <w:pPr>
              <w:textAlignment w:val="bottom"/>
            </w:pPr>
            <w:r>
              <w:rPr>
                <w:rFonts w:ascii="Arial" w:eastAsia="宋体" w:hAnsi="Arial" w:cs="Arial"/>
                <w:color w:val="000000"/>
                <w:sz w:val="12"/>
                <w:szCs w:val="12"/>
              </w:rPr>
              <w:t>Net interest income, GAAP-basis</w:t>
            </w:r>
          </w:p>
        </w:tc>
        <w:tc>
          <w:tcPr>
            <w:tcW w:w="0" w:type="auto"/>
            <w:gridSpan w:val="3"/>
            <w:shd w:val="clear" w:color="auto" w:fill="FFFFFF"/>
            <w:tcMar>
              <w:top w:w="0" w:type="dxa"/>
              <w:left w:w="20" w:type="dxa"/>
              <w:bottom w:w="0" w:type="dxa"/>
              <w:right w:w="20" w:type="dxa"/>
            </w:tcMar>
            <w:vAlign w:val="bottom"/>
          </w:tcPr>
          <w:p w14:paraId="71D3F0F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0FF"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100"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101" w14:textId="77777777" w:rsidR="006A3667" w:rsidRDefault="00045F32">
            <w:pPr>
              <w:jc w:val="right"/>
              <w:textAlignment w:val="bottom"/>
            </w:pPr>
            <w:r>
              <w:rPr>
                <w:rFonts w:ascii="Arial" w:eastAsia="宋体" w:hAnsi="Arial" w:cs="Arial"/>
                <w:b/>
                <w:bCs/>
                <w:color w:val="000000"/>
                <w:sz w:val="12"/>
                <w:szCs w:val="12"/>
              </w:rPr>
              <w:t>660</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10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0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0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0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0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07"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108"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109" w14:textId="77777777" w:rsidR="006A3667" w:rsidRDefault="00045F32">
            <w:pPr>
              <w:jc w:val="right"/>
              <w:textAlignment w:val="bottom"/>
            </w:pPr>
            <w:r>
              <w:rPr>
                <w:rFonts w:ascii="Arial" w:eastAsia="宋体" w:hAnsi="Arial" w:cs="Arial"/>
                <w:color w:val="000000"/>
                <w:sz w:val="12"/>
                <w:szCs w:val="12"/>
              </w:rPr>
              <w:t>487 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1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0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0C" w14:textId="77777777" w:rsidR="006A3667" w:rsidRDefault="006A3667">
            <w:pPr>
              <w:rPr>
                <w:rFonts w:ascii="宋体"/>
              </w:rPr>
            </w:pPr>
          </w:p>
        </w:tc>
        <w:tc>
          <w:tcPr>
            <w:tcW w:w="0" w:type="auto"/>
            <w:shd w:val="clear" w:color="auto" w:fill="auto"/>
            <w:vAlign w:val="bottom"/>
          </w:tcPr>
          <w:p w14:paraId="71D3F10D" w14:textId="77777777" w:rsidR="006A3667" w:rsidRDefault="006A3667">
            <w:pPr>
              <w:rPr>
                <w:rFonts w:ascii="宋体"/>
                <w:vanish/>
              </w:rPr>
            </w:pPr>
          </w:p>
        </w:tc>
        <w:tc>
          <w:tcPr>
            <w:tcW w:w="0" w:type="auto"/>
            <w:shd w:val="clear" w:color="auto" w:fill="auto"/>
            <w:vAlign w:val="bottom"/>
          </w:tcPr>
          <w:p w14:paraId="71D3F10E" w14:textId="77777777" w:rsidR="006A3667" w:rsidRDefault="006A3667">
            <w:pPr>
              <w:rPr>
                <w:rFonts w:ascii="宋体"/>
                <w:vanish/>
              </w:rPr>
            </w:pPr>
          </w:p>
        </w:tc>
        <w:tc>
          <w:tcPr>
            <w:tcW w:w="0" w:type="auto"/>
            <w:shd w:val="clear" w:color="auto" w:fill="auto"/>
            <w:vAlign w:val="bottom"/>
          </w:tcPr>
          <w:p w14:paraId="71D3F10F" w14:textId="77777777" w:rsidR="006A3667" w:rsidRDefault="006A3667">
            <w:pPr>
              <w:rPr>
                <w:rFonts w:ascii="宋体"/>
                <w:vanish/>
              </w:rPr>
            </w:pPr>
          </w:p>
        </w:tc>
        <w:tc>
          <w:tcPr>
            <w:tcW w:w="0" w:type="auto"/>
            <w:shd w:val="clear" w:color="auto" w:fill="auto"/>
            <w:vAlign w:val="bottom"/>
          </w:tcPr>
          <w:p w14:paraId="71D3F110" w14:textId="77777777" w:rsidR="006A3667" w:rsidRDefault="006A3667">
            <w:pPr>
              <w:rPr>
                <w:rFonts w:ascii="宋体"/>
                <w:vanish/>
              </w:rPr>
            </w:pPr>
          </w:p>
        </w:tc>
        <w:tc>
          <w:tcPr>
            <w:tcW w:w="0" w:type="auto"/>
            <w:gridSpan w:val="3"/>
            <w:shd w:val="clear" w:color="auto" w:fill="auto"/>
            <w:vAlign w:val="bottom"/>
          </w:tcPr>
          <w:p w14:paraId="71D3F111" w14:textId="77777777" w:rsidR="006A3667" w:rsidRDefault="006A3667">
            <w:pPr>
              <w:rPr>
                <w:rFonts w:ascii="宋体"/>
                <w:vanish/>
              </w:rPr>
            </w:pPr>
          </w:p>
        </w:tc>
        <w:tc>
          <w:tcPr>
            <w:tcW w:w="0" w:type="auto"/>
            <w:gridSpan w:val="3"/>
            <w:shd w:val="clear" w:color="auto" w:fill="auto"/>
            <w:vAlign w:val="bottom"/>
          </w:tcPr>
          <w:p w14:paraId="71D3F112" w14:textId="77777777" w:rsidR="006A3667" w:rsidRDefault="006A3667">
            <w:pPr>
              <w:rPr>
                <w:rFonts w:ascii="宋体"/>
                <w:vanish/>
              </w:rPr>
            </w:pPr>
          </w:p>
        </w:tc>
        <w:tc>
          <w:tcPr>
            <w:tcW w:w="0" w:type="auto"/>
            <w:gridSpan w:val="3"/>
            <w:shd w:val="clear" w:color="auto" w:fill="auto"/>
            <w:vAlign w:val="bottom"/>
          </w:tcPr>
          <w:p w14:paraId="71D3F113" w14:textId="77777777" w:rsidR="006A3667" w:rsidRDefault="006A3667">
            <w:pPr>
              <w:rPr>
                <w:rFonts w:ascii="宋体"/>
                <w:vanish/>
              </w:rPr>
            </w:pPr>
          </w:p>
        </w:tc>
        <w:tc>
          <w:tcPr>
            <w:tcW w:w="0" w:type="auto"/>
            <w:gridSpan w:val="3"/>
            <w:shd w:val="clear" w:color="auto" w:fill="auto"/>
            <w:vAlign w:val="bottom"/>
          </w:tcPr>
          <w:p w14:paraId="71D3F114" w14:textId="77777777" w:rsidR="006A3667" w:rsidRDefault="006A3667">
            <w:pPr>
              <w:rPr>
                <w:rFonts w:ascii="宋体"/>
                <w:vanish/>
              </w:rPr>
            </w:pPr>
          </w:p>
        </w:tc>
        <w:tc>
          <w:tcPr>
            <w:tcW w:w="0" w:type="auto"/>
            <w:gridSpan w:val="2"/>
            <w:shd w:val="clear" w:color="auto" w:fill="auto"/>
            <w:vAlign w:val="bottom"/>
          </w:tcPr>
          <w:p w14:paraId="71D3F115" w14:textId="77777777" w:rsidR="006A3667" w:rsidRDefault="006A3667">
            <w:pPr>
              <w:rPr>
                <w:rFonts w:ascii="宋体"/>
                <w:vanish/>
              </w:rPr>
            </w:pPr>
          </w:p>
        </w:tc>
        <w:tc>
          <w:tcPr>
            <w:tcW w:w="0" w:type="auto"/>
            <w:shd w:val="clear" w:color="auto" w:fill="auto"/>
            <w:vAlign w:val="bottom"/>
          </w:tcPr>
          <w:p w14:paraId="71D3F116" w14:textId="77777777" w:rsidR="006A3667" w:rsidRDefault="006A3667">
            <w:pPr>
              <w:rPr>
                <w:rFonts w:ascii="宋体"/>
                <w:vanish/>
              </w:rPr>
            </w:pPr>
          </w:p>
        </w:tc>
      </w:tr>
      <w:tr w:rsidR="006A3667" w14:paraId="71D3F129" w14:textId="77777777">
        <w:tc>
          <w:tcPr>
            <w:tcW w:w="0" w:type="auto"/>
            <w:gridSpan w:val="3"/>
            <w:shd w:val="clear" w:color="auto" w:fill="auto"/>
            <w:tcMar>
              <w:top w:w="0" w:type="dxa"/>
              <w:left w:w="20" w:type="dxa"/>
              <w:bottom w:w="0" w:type="dxa"/>
              <w:right w:w="20" w:type="dxa"/>
            </w:tcMar>
            <w:vAlign w:val="bottom"/>
          </w:tcPr>
          <w:p w14:paraId="71D3F118"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3F119" w14:textId="77777777" w:rsidR="006A3667" w:rsidRDefault="00045F32">
            <w:pPr>
              <w:jc w:val="center"/>
              <w:textAlignment w:val="bottom"/>
            </w:pPr>
            <w:r>
              <w:rPr>
                <w:rFonts w:ascii="Arial" w:eastAsia="宋体" w:hAnsi="Arial" w:cs="Arial"/>
                <w:b/>
                <w:bCs/>
                <w:color w:val="000000"/>
                <w:sz w:val="12"/>
                <w:szCs w:val="12"/>
              </w:rPr>
              <w:t>Nine Months Ended September 30,</w:t>
            </w:r>
          </w:p>
        </w:tc>
        <w:tc>
          <w:tcPr>
            <w:tcW w:w="0" w:type="auto"/>
            <w:shd w:val="clear" w:color="auto" w:fill="auto"/>
            <w:vAlign w:val="bottom"/>
          </w:tcPr>
          <w:p w14:paraId="71D3F11A" w14:textId="77777777" w:rsidR="006A3667" w:rsidRDefault="006A3667">
            <w:pPr>
              <w:rPr>
                <w:rFonts w:ascii="宋体"/>
                <w:vanish/>
              </w:rPr>
            </w:pPr>
          </w:p>
        </w:tc>
        <w:tc>
          <w:tcPr>
            <w:tcW w:w="0" w:type="auto"/>
            <w:shd w:val="clear" w:color="auto" w:fill="auto"/>
            <w:vAlign w:val="bottom"/>
          </w:tcPr>
          <w:p w14:paraId="71D3F11B" w14:textId="77777777" w:rsidR="006A3667" w:rsidRDefault="006A3667">
            <w:pPr>
              <w:rPr>
                <w:rFonts w:ascii="宋体"/>
                <w:vanish/>
              </w:rPr>
            </w:pPr>
          </w:p>
        </w:tc>
        <w:tc>
          <w:tcPr>
            <w:tcW w:w="0" w:type="auto"/>
            <w:shd w:val="clear" w:color="auto" w:fill="auto"/>
            <w:vAlign w:val="bottom"/>
          </w:tcPr>
          <w:p w14:paraId="71D3F11C" w14:textId="77777777" w:rsidR="006A3667" w:rsidRDefault="006A3667">
            <w:pPr>
              <w:rPr>
                <w:rFonts w:ascii="宋体"/>
                <w:vanish/>
              </w:rPr>
            </w:pPr>
          </w:p>
        </w:tc>
        <w:tc>
          <w:tcPr>
            <w:tcW w:w="0" w:type="auto"/>
            <w:shd w:val="clear" w:color="auto" w:fill="auto"/>
            <w:vAlign w:val="bottom"/>
          </w:tcPr>
          <w:p w14:paraId="71D3F11D" w14:textId="77777777" w:rsidR="006A3667" w:rsidRDefault="006A3667">
            <w:pPr>
              <w:rPr>
                <w:rFonts w:ascii="宋体"/>
                <w:vanish/>
              </w:rPr>
            </w:pPr>
          </w:p>
        </w:tc>
        <w:tc>
          <w:tcPr>
            <w:tcW w:w="0" w:type="auto"/>
            <w:gridSpan w:val="3"/>
            <w:shd w:val="clear" w:color="auto" w:fill="auto"/>
            <w:vAlign w:val="bottom"/>
          </w:tcPr>
          <w:p w14:paraId="71D3F11E" w14:textId="77777777" w:rsidR="006A3667" w:rsidRDefault="006A3667">
            <w:pPr>
              <w:rPr>
                <w:rFonts w:ascii="宋体"/>
                <w:vanish/>
              </w:rPr>
            </w:pPr>
          </w:p>
        </w:tc>
        <w:tc>
          <w:tcPr>
            <w:tcW w:w="0" w:type="auto"/>
            <w:gridSpan w:val="3"/>
            <w:shd w:val="clear" w:color="auto" w:fill="auto"/>
            <w:vAlign w:val="bottom"/>
          </w:tcPr>
          <w:p w14:paraId="71D3F11F" w14:textId="77777777" w:rsidR="006A3667" w:rsidRDefault="006A3667">
            <w:pPr>
              <w:rPr>
                <w:rFonts w:ascii="宋体"/>
                <w:vanish/>
              </w:rPr>
            </w:pPr>
          </w:p>
        </w:tc>
        <w:tc>
          <w:tcPr>
            <w:tcW w:w="0" w:type="auto"/>
            <w:shd w:val="clear" w:color="auto" w:fill="auto"/>
            <w:vAlign w:val="bottom"/>
          </w:tcPr>
          <w:p w14:paraId="71D3F120" w14:textId="77777777" w:rsidR="006A3667" w:rsidRDefault="006A3667">
            <w:pPr>
              <w:rPr>
                <w:rFonts w:ascii="宋体"/>
              </w:rPr>
            </w:pPr>
          </w:p>
        </w:tc>
        <w:tc>
          <w:tcPr>
            <w:tcW w:w="0" w:type="auto"/>
            <w:shd w:val="clear" w:color="auto" w:fill="auto"/>
            <w:vAlign w:val="bottom"/>
          </w:tcPr>
          <w:p w14:paraId="71D3F121" w14:textId="77777777" w:rsidR="006A3667" w:rsidRDefault="006A3667">
            <w:pPr>
              <w:rPr>
                <w:rFonts w:ascii="宋体"/>
              </w:rPr>
            </w:pPr>
          </w:p>
        </w:tc>
        <w:tc>
          <w:tcPr>
            <w:tcW w:w="0" w:type="auto"/>
            <w:shd w:val="clear" w:color="auto" w:fill="auto"/>
            <w:vAlign w:val="bottom"/>
          </w:tcPr>
          <w:p w14:paraId="71D3F122" w14:textId="77777777" w:rsidR="006A3667" w:rsidRDefault="006A3667">
            <w:pPr>
              <w:rPr>
                <w:rFonts w:ascii="宋体"/>
              </w:rPr>
            </w:pPr>
          </w:p>
        </w:tc>
        <w:tc>
          <w:tcPr>
            <w:tcW w:w="0" w:type="auto"/>
            <w:shd w:val="clear" w:color="auto" w:fill="auto"/>
            <w:vAlign w:val="bottom"/>
          </w:tcPr>
          <w:p w14:paraId="71D3F123" w14:textId="77777777" w:rsidR="006A3667" w:rsidRDefault="006A3667">
            <w:pPr>
              <w:rPr>
                <w:rFonts w:ascii="宋体"/>
              </w:rPr>
            </w:pPr>
          </w:p>
        </w:tc>
        <w:tc>
          <w:tcPr>
            <w:tcW w:w="0" w:type="auto"/>
            <w:shd w:val="clear" w:color="auto" w:fill="auto"/>
            <w:vAlign w:val="bottom"/>
          </w:tcPr>
          <w:p w14:paraId="71D3F124" w14:textId="77777777" w:rsidR="006A3667" w:rsidRDefault="006A3667">
            <w:pPr>
              <w:rPr>
                <w:rFonts w:ascii="宋体"/>
              </w:rPr>
            </w:pPr>
          </w:p>
        </w:tc>
        <w:tc>
          <w:tcPr>
            <w:tcW w:w="0" w:type="auto"/>
            <w:shd w:val="clear" w:color="auto" w:fill="auto"/>
            <w:vAlign w:val="bottom"/>
          </w:tcPr>
          <w:p w14:paraId="71D3F125" w14:textId="77777777" w:rsidR="006A3667" w:rsidRDefault="006A3667">
            <w:pPr>
              <w:rPr>
                <w:rFonts w:ascii="宋体"/>
              </w:rPr>
            </w:pPr>
          </w:p>
        </w:tc>
        <w:tc>
          <w:tcPr>
            <w:tcW w:w="0" w:type="auto"/>
            <w:shd w:val="clear" w:color="auto" w:fill="auto"/>
            <w:vAlign w:val="bottom"/>
          </w:tcPr>
          <w:p w14:paraId="71D3F126" w14:textId="77777777" w:rsidR="006A3667" w:rsidRDefault="006A3667">
            <w:pPr>
              <w:rPr>
                <w:rFonts w:ascii="宋体"/>
              </w:rPr>
            </w:pPr>
          </w:p>
        </w:tc>
        <w:tc>
          <w:tcPr>
            <w:tcW w:w="0" w:type="auto"/>
            <w:shd w:val="clear" w:color="auto" w:fill="auto"/>
            <w:vAlign w:val="bottom"/>
          </w:tcPr>
          <w:p w14:paraId="71D3F127" w14:textId="77777777" w:rsidR="006A3667" w:rsidRDefault="006A3667">
            <w:pPr>
              <w:rPr>
                <w:rFonts w:ascii="宋体"/>
              </w:rPr>
            </w:pPr>
          </w:p>
        </w:tc>
        <w:tc>
          <w:tcPr>
            <w:tcW w:w="0" w:type="auto"/>
            <w:shd w:val="clear" w:color="auto" w:fill="auto"/>
            <w:vAlign w:val="bottom"/>
          </w:tcPr>
          <w:p w14:paraId="71D3F128" w14:textId="77777777" w:rsidR="006A3667" w:rsidRDefault="006A3667">
            <w:pPr>
              <w:rPr>
                <w:rFonts w:ascii="宋体"/>
              </w:rPr>
            </w:pPr>
          </w:p>
        </w:tc>
      </w:tr>
      <w:tr w:rsidR="006A3667" w14:paraId="71D3F141" w14:textId="77777777">
        <w:tc>
          <w:tcPr>
            <w:tcW w:w="0" w:type="auto"/>
            <w:gridSpan w:val="3"/>
            <w:shd w:val="clear" w:color="auto" w:fill="auto"/>
            <w:tcMar>
              <w:top w:w="0" w:type="dxa"/>
              <w:left w:w="20" w:type="dxa"/>
              <w:bottom w:w="0" w:type="dxa"/>
              <w:right w:w="20" w:type="dxa"/>
            </w:tcMar>
            <w:vAlign w:val="bottom"/>
          </w:tcPr>
          <w:p w14:paraId="71D3F12A"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F12B" w14:textId="77777777" w:rsidR="006A3667" w:rsidRDefault="00045F32">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F12C"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3F12D" w14:textId="77777777" w:rsidR="006A3667" w:rsidRDefault="00045F32">
            <w:pPr>
              <w:jc w:val="center"/>
              <w:textAlignment w:val="bottom"/>
            </w:pPr>
            <w:r>
              <w:rPr>
                <w:rFonts w:ascii="Arial" w:eastAsia="宋体" w:hAnsi="Arial" w:cs="Arial"/>
                <w:b/>
                <w:bCs/>
                <w:color w:val="000000"/>
                <w:sz w:val="12"/>
                <w:szCs w:val="12"/>
              </w:rPr>
              <w:t>2021</w:t>
            </w:r>
          </w:p>
        </w:tc>
        <w:tc>
          <w:tcPr>
            <w:tcW w:w="0" w:type="auto"/>
            <w:shd w:val="clear" w:color="auto" w:fill="auto"/>
            <w:vAlign w:val="bottom"/>
          </w:tcPr>
          <w:p w14:paraId="71D3F12E" w14:textId="77777777" w:rsidR="006A3667" w:rsidRDefault="006A3667">
            <w:pPr>
              <w:rPr>
                <w:rFonts w:ascii="宋体"/>
                <w:vanish/>
              </w:rPr>
            </w:pPr>
          </w:p>
        </w:tc>
        <w:tc>
          <w:tcPr>
            <w:tcW w:w="0" w:type="auto"/>
            <w:shd w:val="clear" w:color="auto" w:fill="auto"/>
            <w:vAlign w:val="bottom"/>
          </w:tcPr>
          <w:p w14:paraId="71D3F12F" w14:textId="77777777" w:rsidR="006A3667" w:rsidRDefault="006A3667">
            <w:pPr>
              <w:rPr>
                <w:rFonts w:ascii="宋体"/>
                <w:vanish/>
              </w:rPr>
            </w:pPr>
          </w:p>
        </w:tc>
        <w:tc>
          <w:tcPr>
            <w:tcW w:w="0" w:type="auto"/>
            <w:shd w:val="clear" w:color="auto" w:fill="auto"/>
            <w:vAlign w:val="bottom"/>
          </w:tcPr>
          <w:p w14:paraId="71D3F130" w14:textId="77777777" w:rsidR="006A3667" w:rsidRDefault="006A3667">
            <w:pPr>
              <w:rPr>
                <w:rFonts w:ascii="宋体"/>
                <w:vanish/>
              </w:rPr>
            </w:pPr>
          </w:p>
        </w:tc>
        <w:tc>
          <w:tcPr>
            <w:tcW w:w="0" w:type="auto"/>
            <w:shd w:val="clear" w:color="auto" w:fill="auto"/>
            <w:vAlign w:val="bottom"/>
          </w:tcPr>
          <w:p w14:paraId="71D3F131" w14:textId="77777777" w:rsidR="006A3667" w:rsidRDefault="006A3667">
            <w:pPr>
              <w:rPr>
                <w:rFonts w:ascii="宋体"/>
                <w:vanish/>
              </w:rPr>
            </w:pPr>
          </w:p>
        </w:tc>
        <w:tc>
          <w:tcPr>
            <w:tcW w:w="0" w:type="auto"/>
            <w:shd w:val="clear" w:color="auto" w:fill="auto"/>
            <w:vAlign w:val="bottom"/>
          </w:tcPr>
          <w:p w14:paraId="71D3F132" w14:textId="77777777" w:rsidR="006A3667" w:rsidRDefault="006A3667">
            <w:pPr>
              <w:rPr>
                <w:rFonts w:ascii="宋体"/>
              </w:rPr>
            </w:pPr>
          </w:p>
        </w:tc>
        <w:tc>
          <w:tcPr>
            <w:tcW w:w="0" w:type="auto"/>
            <w:shd w:val="clear" w:color="auto" w:fill="auto"/>
            <w:vAlign w:val="bottom"/>
          </w:tcPr>
          <w:p w14:paraId="71D3F133" w14:textId="77777777" w:rsidR="006A3667" w:rsidRDefault="006A3667">
            <w:pPr>
              <w:rPr>
                <w:rFonts w:ascii="宋体"/>
              </w:rPr>
            </w:pPr>
          </w:p>
        </w:tc>
        <w:tc>
          <w:tcPr>
            <w:tcW w:w="0" w:type="auto"/>
            <w:shd w:val="clear" w:color="auto" w:fill="auto"/>
            <w:vAlign w:val="bottom"/>
          </w:tcPr>
          <w:p w14:paraId="71D3F134" w14:textId="77777777" w:rsidR="006A3667" w:rsidRDefault="006A3667">
            <w:pPr>
              <w:rPr>
                <w:rFonts w:ascii="宋体"/>
              </w:rPr>
            </w:pPr>
          </w:p>
        </w:tc>
        <w:tc>
          <w:tcPr>
            <w:tcW w:w="0" w:type="auto"/>
            <w:shd w:val="clear" w:color="auto" w:fill="auto"/>
            <w:vAlign w:val="bottom"/>
          </w:tcPr>
          <w:p w14:paraId="71D3F135" w14:textId="77777777" w:rsidR="006A3667" w:rsidRDefault="006A3667">
            <w:pPr>
              <w:rPr>
                <w:rFonts w:ascii="宋体"/>
              </w:rPr>
            </w:pPr>
          </w:p>
        </w:tc>
        <w:tc>
          <w:tcPr>
            <w:tcW w:w="0" w:type="auto"/>
            <w:shd w:val="clear" w:color="auto" w:fill="auto"/>
            <w:vAlign w:val="bottom"/>
          </w:tcPr>
          <w:p w14:paraId="71D3F136" w14:textId="77777777" w:rsidR="006A3667" w:rsidRDefault="006A3667">
            <w:pPr>
              <w:rPr>
                <w:rFonts w:ascii="宋体"/>
              </w:rPr>
            </w:pPr>
          </w:p>
        </w:tc>
        <w:tc>
          <w:tcPr>
            <w:tcW w:w="0" w:type="auto"/>
            <w:shd w:val="clear" w:color="auto" w:fill="auto"/>
            <w:vAlign w:val="bottom"/>
          </w:tcPr>
          <w:p w14:paraId="71D3F137" w14:textId="77777777" w:rsidR="006A3667" w:rsidRDefault="006A3667">
            <w:pPr>
              <w:rPr>
                <w:rFonts w:ascii="宋体"/>
              </w:rPr>
            </w:pPr>
          </w:p>
        </w:tc>
        <w:tc>
          <w:tcPr>
            <w:tcW w:w="0" w:type="auto"/>
            <w:shd w:val="clear" w:color="auto" w:fill="auto"/>
            <w:vAlign w:val="bottom"/>
          </w:tcPr>
          <w:p w14:paraId="71D3F138" w14:textId="77777777" w:rsidR="006A3667" w:rsidRDefault="006A3667">
            <w:pPr>
              <w:rPr>
                <w:rFonts w:ascii="宋体"/>
              </w:rPr>
            </w:pPr>
          </w:p>
        </w:tc>
        <w:tc>
          <w:tcPr>
            <w:tcW w:w="0" w:type="auto"/>
            <w:shd w:val="clear" w:color="auto" w:fill="auto"/>
            <w:vAlign w:val="bottom"/>
          </w:tcPr>
          <w:p w14:paraId="71D3F139" w14:textId="77777777" w:rsidR="006A3667" w:rsidRDefault="006A3667">
            <w:pPr>
              <w:rPr>
                <w:rFonts w:ascii="宋体"/>
              </w:rPr>
            </w:pPr>
          </w:p>
        </w:tc>
        <w:tc>
          <w:tcPr>
            <w:tcW w:w="0" w:type="auto"/>
            <w:shd w:val="clear" w:color="auto" w:fill="auto"/>
            <w:vAlign w:val="bottom"/>
          </w:tcPr>
          <w:p w14:paraId="71D3F13A" w14:textId="77777777" w:rsidR="006A3667" w:rsidRDefault="006A3667">
            <w:pPr>
              <w:rPr>
                <w:rFonts w:ascii="宋体"/>
              </w:rPr>
            </w:pPr>
          </w:p>
        </w:tc>
        <w:tc>
          <w:tcPr>
            <w:tcW w:w="0" w:type="auto"/>
            <w:shd w:val="clear" w:color="auto" w:fill="auto"/>
            <w:vAlign w:val="bottom"/>
          </w:tcPr>
          <w:p w14:paraId="71D3F13B" w14:textId="77777777" w:rsidR="006A3667" w:rsidRDefault="006A3667">
            <w:pPr>
              <w:rPr>
                <w:rFonts w:ascii="宋体"/>
              </w:rPr>
            </w:pPr>
          </w:p>
        </w:tc>
        <w:tc>
          <w:tcPr>
            <w:tcW w:w="0" w:type="auto"/>
            <w:shd w:val="clear" w:color="auto" w:fill="auto"/>
            <w:vAlign w:val="bottom"/>
          </w:tcPr>
          <w:p w14:paraId="71D3F13C" w14:textId="77777777" w:rsidR="006A3667" w:rsidRDefault="006A3667">
            <w:pPr>
              <w:rPr>
                <w:rFonts w:ascii="宋体"/>
              </w:rPr>
            </w:pPr>
          </w:p>
        </w:tc>
        <w:tc>
          <w:tcPr>
            <w:tcW w:w="0" w:type="auto"/>
            <w:shd w:val="clear" w:color="auto" w:fill="auto"/>
            <w:vAlign w:val="bottom"/>
          </w:tcPr>
          <w:p w14:paraId="71D3F13D" w14:textId="77777777" w:rsidR="006A3667" w:rsidRDefault="006A3667">
            <w:pPr>
              <w:rPr>
                <w:rFonts w:ascii="宋体"/>
              </w:rPr>
            </w:pPr>
          </w:p>
        </w:tc>
        <w:tc>
          <w:tcPr>
            <w:tcW w:w="0" w:type="auto"/>
            <w:shd w:val="clear" w:color="auto" w:fill="auto"/>
            <w:vAlign w:val="bottom"/>
          </w:tcPr>
          <w:p w14:paraId="71D3F13E" w14:textId="77777777" w:rsidR="006A3667" w:rsidRDefault="006A3667">
            <w:pPr>
              <w:rPr>
                <w:rFonts w:ascii="宋体"/>
              </w:rPr>
            </w:pPr>
          </w:p>
        </w:tc>
        <w:tc>
          <w:tcPr>
            <w:tcW w:w="0" w:type="auto"/>
            <w:shd w:val="clear" w:color="auto" w:fill="auto"/>
            <w:vAlign w:val="bottom"/>
          </w:tcPr>
          <w:p w14:paraId="71D3F13F" w14:textId="77777777" w:rsidR="006A3667" w:rsidRDefault="006A3667">
            <w:pPr>
              <w:rPr>
                <w:rFonts w:ascii="宋体"/>
              </w:rPr>
            </w:pPr>
          </w:p>
        </w:tc>
        <w:tc>
          <w:tcPr>
            <w:tcW w:w="0" w:type="auto"/>
            <w:shd w:val="clear" w:color="auto" w:fill="auto"/>
            <w:vAlign w:val="bottom"/>
          </w:tcPr>
          <w:p w14:paraId="71D3F140" w14:textId="77777777" w:rsidR="006A3667" w:rsidRDefault="006A3667">
            <w:pPr>
              <w:rPr>
                <w:rFonts w:ascii="宋体"/>
              </w:rPr>
            </w:pPr>
          </w:p>
        </w:tc>
      </w:tr>
      <w:tr w:rsidR="006A3667" w14:paraId="71D3F158" w14:textId="77777777">
        <w:tc>
          <w:tcPr>
            <w:tcW w:w="0" w:type="auto"/>
            <w:gridSpan w:val="3"/>
            <w:shd w:val="clear" w:color="auto" w:fill="FFFFFF"/>
            <w:tcMar>
              <w:top w:w="40" w:type="dxa"/>
              <w:left w:w="20" w:type="dxa"/>
              <w:bottom w:w="40" w:type="dxa"/>
              <w:right w:w="20" w:type="dxa"/>
            </w:tcMar>
            <w:vAlign w:val="bottom"/>
          </w:tcPr>
          <w:p w14:paraId="71D3F142" w14:textId="77777777" w:rsidR="006A3667" w:rsidRDefault="00045F32">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3F143" w14:textId="77777777" w:rsidR="006A3667" w:rsidRDefault="00045F32">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3F144"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3F145" w14:textId="77777777" w:rsidR="006A3667" w:rsidRDefault="00045F32">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3F146"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3F147" w14:textId="77777777" w:rsidR="006A3667" w:rsidRDefault="00045F32">
            <w:pPr>
              <w:jc w:val="center"/>
              <w:textAlignment w:val="bottom"/>
            </w:pPr>
            <w:r>
              <w:rPr>
                <w:rFonts w:ascii="Arial" w:eastAsia="宋体" w:hAnsi="Arial" w:cs="Arial"/>
                <w:b/>
                <w:bCs/>
                <w:color w:val="000000"/>
                <w:sz w:val="12"/>
                <w:szCs w:val="12"/>
              </w:rPr>
              <w:t>Rate</w:t>
            </w:r>
          </w:p>
        </w:tc>
        <w:tc>
          <w:tcPr>
            <w:tcW w:w="0" w:type="auto"/>
            <w:gridSpan w:val="3"/>
            <w:shd w:val="clear" w:color="auto" w:fill="FFFFFF"/>
            <w:tcMar>
              <w:top w:w="0" w:type="dxa"/>
              <w:left w:w="20" w:type="dxa"/>
              <w:bottom w:w="0" w:type="dxa"/>
              <w:right w:w="20" w:type="dxa"/>
            </w:tcMar>
            <w:vAlign w:val="bottom"/>
          </w:tcPr>
          <w:p w14:paraId="71D3F148"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3F149" w14:textId="77777777" w:rsidR="006A3667" w:rsidRDefault="00045F32">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3F14A"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3F14B" w14:textId="77777777" w:rsidR="006A3667" w:rsidRDefault="00045F32">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3F14C"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3F14D" w14:textId="77777777" w:rsidR="006A3667" w:rsidRDefault="00045F32">
            <w:pPr>
              <w:jc w:val="center"/>
              <w:textAlignment w:val="bottom"/>
            </w:pPr>
            <w:r>
              <w:rPr>
                <w:rFonts w:ascii="Arial" w:eastAsia="宋体" w:hAnsi="Arial" w:cs="Arial"/>
                <w:b/>
                <w:bCs/>
                <w:color w:val="000000"/>
                <w:sz w:val="12"/>
                <w:szCs w:val="12"/>
              </w:rPr>
              <w:t>Rate</w:t>
            </w:r>
          </w:p>
        </w:tc>
        <w:tc>
          <w:tcPr>
            <w:tcW w:w="0" w:type="auto"/>
            <w:shd w:val="clear" w:color="auto" w:fill="auto"/>
            <w:vAlign w:val="bottom"/>
          </w:tcPr>
          <w:p w14:paraId="71D3F14E" w14:textId="77777777" w:rsidR="006A3667" w:rsidRDefault="006A3667">
            <w:pPr>
              <w:rPr>
                <w:rFonts w:ascii="宋体"/>
                <w:vanish/>
              </w:rPr>
            </w:pPr>
          </w:p>
        </w:tc>
        <w:tc>
          <w:tcPr>
            <w:tcW w:w="0" w:type="auto"/>
            <w:shd w:val="clear" w:color="auto" w:fill="auto"/>
            <w:vAlign w:val="bottom"/>
          </w:tcPr>
          <w:p w14:paraId="71D3F14F" w14:textId="77777777" w:rsidR="006A3667" w:rsidRDefault="006A3667">
            <w:pPr>
              <w:rPr>
                <w:rFonts w:ascii="宋体"/>
                <w:vanish/>
              </w:rPr>
            </w:pPr>
          </w:p>
        </w:tc>
        <w:tc>
          <w:tcPr>
            <w:tcW w:w="0" w:type="auto"/>
            <w:shd w:val="clear" w:color="auto" w:fill="auto"/>
            <w:vAlign w:val="bottom"/>
          </w:tcPr>
          <w:p w14:paraId="71D3F150" w14:textId="77777777" w:rsidR="006A3667" w:rsidRDefault="006A3667">
            <w:pPr>
              <w:rPr>
                <w:rFonts w:ascii="宋体"/>
                <w:vanish/>
              </w:rPr>
            </w:pPr>
          </w:p>
        </w:tc>
        <w:tc>
          <w:tcPr>
            <w:tcW w:w="0" w:type="auto"/>
            <w:shd w:val="clear" w:color="auto" w:fill="auto"/>
            <w:vAlign w:val="bottom"/>
          </w:tcPr>
          <w:p w14:paraId="71D3F151" w14:textId="77777777" w:rsidR="006A3667" w:rsidRDefault="006A3667">
            <w:pPr>
              <w:rPr>
                <w:rFonts w:ascii="宋体"/>
                <w:vanish/>
              </w:rPr>
            </w:pPr>
          </w:p>
        </w:tc>
        <w:tc>
          <w:tcPr>
            <w:tcW w:w="0" w:type="auto"/>
            <w:gridSpan w:val="3"/>
            <w:shd w:val="clear" w:color="auto" w:fill="auto"/>
            <w:vAlign w:val="bottom"/>
          </w:tcPr>
          <w:p w14:paraId="71D3F152" w14:textId="77777777" w:rsidR="006A3667" w:rsidRDefault="006A3667">
            <w:pPr>
              <w:rPr>
                <w:rFonts w:ascii="宋体"/>
                <w:vanish/>
              </w:rPr>
            </w:pPr>
          </w:p>
        </w:tc>
        <w:tc>
          <w:tcPr>
            <w:tcW w:w="0" w:type="auto"/>
            <w:gridSpan w:val="3"/>
            <w:shd w:val="clear" w:color="auto" w:fill="auto"/>
            <w:vAlign w:val="bottom"/>
          </w:tcPr>
          <w:p w14:paraId="71D3F153" w14:textId="77777777" w:rsidR="006A3667" w:rsidRDefault="006A3667">
            <w:pPr>
              <w:rPr>
                <w:rFonts w:ascii="宋体"/>
                <w:vanish/>
              </w:rPr>
            </w:pPr>
          </w:p>
        </w:tc>
        <w:tc>
          <w:tcPr>
            <w:tcW w:w="0" w:type="auto"/>
            <w:gridSpan w:val="3"/>
            <w:shd w:val="clear" w:color="auto" w:fill="auto"/>
            <w:vAlign w:val="bottom"/>
          </w:tcPr>
          <w:p w14:paraId="71D3F154" w14:textId="77777777" w:rsidR="006A3667" w:rsidRDefault="006A3667">
            <w:pPr>
              <w:rPr>
                <w:rFonts w:ascii="宋体"/>
                <w:vanish/>
              </w:rPr>
            </w:pPr>
          </w:p>
        </w:tc>
        <w:tc>
          <w:tcPr>
            <w:tcW w:w="0" w:type="auto"/>
            <w:gridSpan w:val="3"/>
            <w:shd w:val="clear" w:color="auto" w:fill="auto"/>
            <w:vAlign w:val="bottom"/>
          </w:tcPr>
          <w:p w14:paraId="71D3F155" w14:textId="77777777" w:rsidR="006A3667" w:rsidRDefault="006A3667">
            <w:pPr>
              <w:rPr>
                <w:rFonts w:ascii="宋体"/>
                <w:vanish/>
              </w:rPr>
            </w:pPr>
          </w:p>
        </w:tc>
        <w:tc>
          <w:tcPr>
            <w:tcW w:w="0" w:type="auto"/>
            <w:gridSpan w:val="2"/>
            <w:shd w:val="clear" w:color="auto" w:fill="auto"/>
            <w:vAlign w:val="bottom"/>
          </w:tcPr>
          <w:p w14:paraId="71D3F156" w14:textId="77777777" w:rsidR="006A3667" w:rsidRDefault="006A3667">
            <w:pPr>
              <w:rPr>
                <w:rFonts w:ascii="宋体"/>
                <w:vanish/>
              </w:rPr>
            </w:pPr>
          </w:p>
        </w:tc>
        <w:tc>
          <w:tcPr>
            <w:tcW w:w="0" w:type="auto"/>
            <w:shd w:val="clear" w:color="auto" w:fill="auto"/>
            <w:vAlign w:val="bottom"/>
          </w:tcPr>
          <w:p w14:paraId="71D3F157" w14:textId="77777777" w:rsidR="006A3667" w:rsidRDefault="006A3667">
            <w:pPr>
              <w:rPr>
                <w:rFonts w:ascii="宋体"/>
                <w:vanish/>
              </w:rPr>
            </w:pPr>
          </w:p>
        </w:tc>
      </w:tr>
      <w:tr w:rsidR="006A3667" w14:paraId="71D3F179" w14:textId="77777777">
        <w:tc>
          <w:tcPr>
            <w:tcW w:w="0" w:type="auto"/>
            <w:gridSpan w:val="3"/>
            <w:shd w:val="clear" w:color="auto" w:fill="CCEEFF"/>
            <w:tcMar>
              <w:top w:w="40" w:type="dxa"/>
              <w:left w:w="20" w:type="dxa"/>
              <w:bottom w:w="40" w:type="dxa"/>
              <w:right w:w="20" w:type="dxa"/>
            </w:tcMar>
            <w:vAlign w:val="bottom"/>
          </w:tcPr>
          <w:p w14:paraId="71D3F159" w14:textId="77777777" w:rsidR="006A3667" w:rsidRDefault="00045F32">
            <w:pPr>
              <w:textAlignment w:val="bottom"/>
            </w:pPr>
            <w:r>
              <w:rPr>
                <w:rFonts w:ascii="Arial" w:eastAsia="宋体" w:hAnsi="Arial" w:cs="Arial"/>
                <w:color w:val="000000"/>
                <w:sz w:val="12"/>
                <w:szCs w:val="12"/>
              </w:rPr>
              <w:t>Interest-bearing deposits with banks</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F15A"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15B" w14:textId="77777777" w:rsidR="006A3667" w:rsidRDefault="00045F32">
            <w:pPr>
              <w:jc w:val="right"/>
              <w:textAlignment w:val="bottom"/>
            </w:pPr>
            <w:r>
              <w:rPr>
                <w:rFonts w:ascii="Arial" w:eastAsia="宋体" w:hAnsi="Arial" w:cs="Arial"/>
                <w:b/>
                <w:bCs/>
                <w:color w:val="000000"/>
                <w:sz w:val="12"/>
                <w:szCs w:val="12"/>
              </w:rPr>
              <w:t>74,034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1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5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15E"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15F" w14:textId="77777777" w:rsidR="006A3667" w:rsidRDefault="00045F32">
            <w:pPr>
              <w:jc w:val="right"/>
              <w:textAlignment w:val="bottom"/>
            </w:pPr>
            <w:r>
              <w:rPr>
                <w:rFonts w:ascii="Arial" w:eastAsia="宋体" w:hAnsi="Arial" w:cs="Arial"/>
                <w:b/>
                <w:bCs/>
                <w:color w:val="000000"/>
                <w:sz w:val="12"/>
                <w:szCs w:val="12"/>
              </w:rPr>
              <w:t>281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1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6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162" w14:textId="77777777" w:rsidR="006A3667" w:rsidRDefault="00045F32">
            <w:pPr>
              <w:jc w:val="right"/>
              <w:textAlignment w:val="bottom"/>
            </w:pPr>
            <w:r>
              <w:rPr>
                <w:rFonts w:ascii="Arial" w:eastAsia="宋体" w:hAnsi="Arial" w:cs="Arial"/>
                <w:b/>
                <w:bCs/>
                <w:color w:val="000000"/>
                <w:sz w:val="12"/>
                <w:szCs w:val="12"/>
              </w:rPr>
              <w:t>.51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163"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3F16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165"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166" w14:textId="77777777" w:rsidR="006A3667" w:rsidRDefault="00045F32">
            <w:pPr>
              <w:jc w:val="right"/>
              <w:textAlignment w:val="bottom"/>
            </w:pPr>
            <w:r>
              <w:rPr>
                <w:rFonts w:ascii="Arial" w:eastAsia="宋体" w:hAnsi="Arial" w:cs="Arial"/>
                <w:color w:val="000000"/>
                <w:sz w:val="12"/>
                <w:szCs w:val="12"/>
              </w:rPr>
              <w:t>91,291 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1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6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169"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16A" w14:textId="77777777" w:rsidR="006A3667" w:rsidRDefault="00045F32">
            <w:pPr>
              <w:jc w:val="right"/>
              <w:textAlignment w:val="bottom"/>
            </w:pPr>
            <w:r>
              <w:rPr>
                <w:rFonts w:ascii="Arial" w:eastAsia="宋体" w:hAnsi="Arial" w:cs="Arial"/>
                <w:color w:val="000000"/>
                <w:sz w:val="12"/>
                <w:szCs w:val="12"/>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1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6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16D" w14:textId="77777777" w:rsidR="006A3667" w:rsidRDefault="00045F32">
            <w:pPr>
              <w:jc w:val="right"/>
              <w:textAlignment w:val="bottom"/>
            </w:pPr>
            <w:r>
              <w:rPr>
                <w:rFonts w:ascii="Arial" w:eastAsia="宋体" w:hAnsi="Arial" w:cs="Arial"/>
                <w:color w:val="000000"/>
                <w:sz w:val="12"/>
                <w:szCs w:val="12"/>
              </w:rPr>
              <w:t>(.02)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16E" w14:textId="77777777" w:rsidR="006A3667" w:rsidRDefault="00045F32">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1D3F16F" w14:textId="77777777" w:rsidR="006A3667" w:rsidRDefault="006A3667">
            <w:pPr>
              <w:rPr>
                <w:rFonts w:ascii="宋体"/>
                <w:vanish/>
              </w:rPr>
            </w:pPr>
          </w:p>
        </w:tc>
        <w:tc>
          <w:tcPr>
            <w:tcW w:w="0" w:type="auto"/>
            <w:shd w:val="clear" w:color="auto" w:fill="auto"/>
            <w:vAlign w:val="bottom"/>
          </w:tcPr>
          <w:p w14:paraId="71D3F170" w14:textId="77777777" w:rsidR="006A3667" w:rsidRDefault="006A3667">
            <w:pPr>
              <w:rPr>
                <w:rFonts w:ascii="宋体"/>
                <w:vanish/>
              </w:rPr>
            </w:pPr>
          </w:p>
        </w:tc>
        <w:tc>
          <w:tcPr>
            <w:tcW w:w="0" w:type="auto"/>
            <w:shd w:val="clear" w:color="auto" w:fill="auto"/>
            <w:vAlign w:val="bottom"/>
          </w:tcPr>
          <w:p w14:paraId="71D3F171" w14:textId="77777777" w:rsidR="006A3667" w:rsidRDefault="006A3667">
            <w:pPr>
              <w:rPr>
                <w:rFonts w:ascii="宋体"/>
                <w:vanish/>
              </w:rPr>
            </w:pPr>
          </w:p>
        </w:tc>
        <w:tc>
          <w:tcPr>
            <w:tcW w:w="0" w:type="auto"/>
            <w:shd w:val="clear" w:color="auto" w:fill="auto"/>
            <w:vAlign w:val="bottom"/>
          </w:tcPr>
          <w:p w14:paraId="71D3F172" w14:textId="77777777" w:rsidR="006A3667" w:rsidRDefault="006A3667">
            <w:pPr>
              <w:rPr>
                <w:rFonts w:ascii="宋体"/>
                <w:vanish/>
              </w:rPr>
            </w:pPr>
          </w:p>
        </w:tc>
        <w:tc>
          <w:tcPr>
            <w:tcW w:w="0" w:type="auto"/>
            <w:gridSpan w:val="3"/>
            <w:shd w:val="clear" w:color="auto" w:fill="auto"/>
            <w:vAlign w:val="bottom"/>
          </w:tcPr>
          <w:p w14:paraId="71D3F173" w14:textId="77777777" w:rsidR="006A3667" w:rsidRDefault="006A3667">
            <w:pPr>
              <w:rPr>
                <w:rFonts w:ascii="宋体"/>
                <w:vanish/>
              </w:rPr>
            </w:pPr>
          </w:p>
        </w:tc>
        <w:tc>
          <w:tcPr>
            <w:tcW w:w="0" w:type="auto"/>
            <w:gridSpan w:val="3"/>
            <w:shd w:val="clear" w:color="auto" w:fill="auto"/>
            <w:vAlign w:val="bottom"/>
          </w:tcPr>
          <w:p w14:paraId="71D3F174" w14:textId="77777777" w:rsidR="006A3667" w:rsidRDefault="006A3667">
            <w:pPr>
              <w:rPr>
                <w:rFonts w:ascii="宋体"/>
                <w:vanish/>
              </w:rPr>
            </w:pPr>
          </w:p>
        </w:tc>
        <w:tc>
          <w:tcPr>
            <w:tcW w:w="0" w:type="auto"/>
            <w:gridSpan w:val="3"/>
            <w:shd w:val="clear" w:color="auto" w:fill="auto"/>
            <w:vAlign w:val="bottom"/>
          </w:tcPr>
          <w:p w14:paraId="71D3F175" w14:textId="77777777" w:rsidR="006A3667" w:rsidRDefault="006A3667">
            <w:pPr>
              <w:rPr>
                <w:rFonts w:ascii="宋体"/>
                <w:vanish/>
              </w:rPr>
            </w:pPr>
          </w:p>
        </w:tc>
        <w:tc>
          <w:tcPr>
            <w:tcW w:w="0" w:type="auto"/>
            <w:gridSpan w:val="3"/>
            <w:shd w:val="clear" w:color="auto" w:fill="auto"/>
            <w:vAlign w:val="bottom"/>
          </w:tcPr>
          <w:p w14:paraId="71D3F176" w14:textId="77777777" w:rsidR="006A3667" w:rsidRDefault="006A3667">
            <w:pPr>
              <w:rPr>
                <w:rFonts w:ascii="宋体"/>
                <w:vanish/>
              </w:rPr>
            </w:pPr>
          </w:p>
        </w:tc>
        <w:tc>
          <w:tcPr>
            <w:tcW w:w="0" w:type="auto"/>
            <w:gridSpan w:val="2"/>
            <w:shd w:val="clear" w:color="auto" w:fill="auto"/>
            <w:vAlign w:val="bottom"/>
          </w:tcPr>
          <w:p w14:paraId="71D3F177" w14:textId="77777777" w:rsidR="006A3667" w:rsidRDefault="006A3667">
            <w:pPr>
              <w:rPr>
                <w:rFonts w:ascii="宋体"/>
                <w:vanish/>
              </w:rPr>
            </w:pPr>
          </w:p>
        </w:tc>
        <w:tc>
          <w:tcPr>
            <w:tcW w:w="0" w:type="auto"/>
            <w:shd w:val="clear" w:color="auto" w:fill="auto"/>
            <w:vAlign w:val="bottom"/>
          </w:tcPr>
          <w:p w14:paraId="71D3F178" w14:textId="77777777" w:rsidR="006A3667" w:rsidRDefault="006A3667">
            <w:pPr>
              <w:rPr>
                <w:rFonts w:ascii="宋体"/>
                <w:vanish/>
              </w:rPr>
            </w:pPr>
          </w:p>
        </w:tc>
      </w:tr>
      <w:tr w:rsidR="006A3667" w14:paraId="71D3F196" w14:textId="77777777">
        <w:tc>
          <w:tcPr>
            <w:tcW w:w="0" w:type="auto"/>
            <w:gridSpan w:val="3"/>
            <w:shd w:val="clear" w:color="auto" w:fill="FFFFFF"/>
            <w:tcMar>
              <w:top w:w="40" w:type="dxa"/>
              <w:left w:w="20" w:type="dxa"/>
              <w:bottom w:w="40" w:type="dxa"/>
              <w:right w:w="20" w:type="dxa"/>
            </w:tcMar>
            <w:vAlign w:val="bottom"/>
          </w:tcPr>
          <w:p w14:paraId="71D3F17A" w14:textId="77777777" w:rsidR="006A3667" w:rsidRDefault="00045F32">
            <w:pP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71D3F17B" w14:textId="77777777" w:rsidR="006A3667" w:rsidRDefault="00045F32">
            <w:pPr>
              <w:jc w:val="right"/>
              <w:textAlignment w:val="bottom"/>
            </w:pPr>
            <w:r>
              <w:rPr>
                <w:rFonts w:ascii="Arial" w:eastAsia="宋体" w:hAnsi="Arial" w:cs="Arial"/>
                <w:b/>
                <w:bCs/>
                <w:color w:val="000000"/>
                <w:sz w:val="12"/>
                <w:szCs w:val="12"/>
              </w:rPr>
              <w:t>2,208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17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7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7E" w14:textId="77777777" w:rsidR="006A3667" w:rsidRDefault="00045F32">
            <w:pPr>
              <w:jc w:val="right"/>
              <w:textAlignment w:val="bottom"/>
            </w:pPr>
            <w:r>
              <w:rPr>
                <w:rFonts w:ascii="Arial" w:eastAsia="宋体" w:hAnsi="Arial" w:cs="Arial"/>
                <w:b/>
                <w:bCs/>
                <w:color w:val="000000"/>
                <w:sz w:val="12"/>
                <w:szCs w:val="12"/>
              </w:rPr>
              <w:t>105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17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8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81" w14:textId="77777777" w:rsidR="006A3667" w:rsidRDefault="00045F32">
            <w:pPr>
              <w:jc w:val="right"/>
              <w:textAlignment w:val="bottom"/>
            </w:pPr>
            <w:r>
              <w:rPr>
                <w:rFonts w:ascii="Arial" w:eastAsia="宋体" w:hAnsi="Arial" w:cs="Arial"/>
                <w:b/>
                <w:bCs/>
                <w:color w:val="000000"/>
                <w:sz w:val="12"/>
                <w:szCs w:val="12"/>
              </w:rPr>
              <w:t>6.39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18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8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84" w14:textId="77777777" w:rsidR="006A3667" w:rsidRDefault="00045F32">
            <w:pPr>
              <w:jc w:val="right"/>
              <w:textAlignment w:val="bottom"/>
            </w:pPr>
            <w:r>
              <w:rPr>
                <w:rFonts w:ascii="Arial" w:eastAsia="宋体" w:hAnsi="Arial" w:cs="Arial"/>
                <w:color w:val="000000"/>
                <w:sz w:val="12"/>
                <w:szCs w:val="12"/>
              </w:rPr>
              <w:t>4,194 </w:t>
            </w:r>
          </w:p>
        </w:tc>
        <w:tc>
          <w:tcPr>
            <w:tcW w:w="0" w:type="auto"/>
            <w:shd w:val="clear" w:color="auto" w:fill="FFFFFF"/>
            <w:tcMar>
              <w:top w:w="40" w:type="dxa"/>
              <w:left w:w="0" w:type="dxa"/>
              <w:bottom w:w="40" w:type="dxa"/>
              <w:right w:w="20" w:type="dxa"/>
            </w:tcMar>
            <w:vAlign w:val="bottom"/>
          </w:tcPr>
          <w:p w14:paraId="71D3F18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8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87" w14:textId="77777777" w:rsidR="006A3667" w:rsidRDefault="00045F32">
            <w:pPr>
              <w:jc w:val="right"/>
              <w:textAlignment w:val="bottom"/>
            </w:pPr>
            <w:r>
              <w:rPr>
                <w:rFonts w:ascii="Arial" w:eastAsia="宋体" w:hAnsi="Arial" w:cs="Arial"/>
                <w:color w:val="000000"/>
                <w:sz w:val="12"/>
                <w:szCs w:val="12"/>
              </w:rPr>
              <w:t>19 </w:t>
            </w:r>
          </w:p>
        </w:tc>
        <w:tc>
          <w:tcPr>
            <w:tcW w:w="0" w:type="auto"/>
            <w:shd w:val="clear" w:color="auto" w:fill="FFFFFF"/>
            <w:tcMar>
              <w:top w:w="40" w:type="dxa"/>
              <w:left w:w="0" w:type="dxa"/>
              <w:bottom w:w="40" w:type="dxa"/>
              <w:right w:w="20" w:type="dxa"/>
            </w:tcMar>
            <w:vAlign w:val="bottom"/>
          </w:tcPr>
          <w:p w14:paraId="71D3F18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8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8A" w14:textId="77777777" w:rsidR="006A3667" w:rsidRDefault="00045F32">
            <w:pPr>
              <w:jc w:val="right"/>
              <w:textAlignment w:val="bottom"/>
            </w:pPr>
            <w:r>
              <w:rPr>
                <w:rFonts w:ascii="Arial" w:eastAsia="宋体" w:hAnsi="Arial" w:cs="Arial"/>
                <w:color w:val="000000"/>
                <w:sz w:val="12"/>
                <w:szCs w:val="12"/>
              </w:rPr>
              <w:t>.61 </w:t>
            </w:r>
          </w:p>
        </w:tc>
        <w:tc>
          <w:tcPr>
            <w:tcW w:w="0" w:type="auto"/>
            <w:shd w:val="clear" w:color="auto" w:fill="FFFFFF"/>
            <w:tcMar>
              <w:top w:w="40" w:type="dxa"/>
              <w:left w:w="0" w:type="dxa"/>
              <w:bottom w:w="40" w:type="dxa"/>
              <w:right w:w="20" w:type="dxa"/>
            </w:tcMar>
            <w:vAlign w:val="bottom"/>
          </w:tcPr>
          <w:p w14:paraId="71D3F18B" w14:textId="77777777" w:rsidR="006A3667" w:rsidRDefault="006A3667">
            <w:pPr>
              <w:jc w:val="right"/>
              <w:rPr>
                <w:rFonts w:ascii="宋体"/>
              </w:rPr>
            </w:pPr>
          </w:p>
        </w:tc>
        <w:tc>
          <w:tcPr>
            <w:tcW w:w="0" w:type="auto"/>
            <w:shd w:val="clear" w:color="auto" w:fill="auto"/>
            <w:vAlign w:val="bottom"/>
          </w:tcPr>
          <w:p w14:paraId="71D3F18C" w14:textId="77777777" w:rsidR="006A3667" w:rsidRDefault="006A3667">
            <w:pPr>
              <w:rPr>
                <w:rFonts w:ascii="宋体"/>
                <w:vanish/>
              </w:rPr>
            </w:pPr>
          </w:p>
        </w:tc>
        <w:tc>
          <w:tcPr>
            <w:tcW w:w="0" w:type="auto"/>
            <w:shd w:val="clear" w:color="auto" w:fill="auto"/>
            <w:vAlign w:val="bottom"/>
          </w:tcPr>
          <w:p w14:paraId="71D3F18D" w14:textId="77777777" w:rsidR="006A3667" w:rsidRDefault="006A3667">
            <w:pPr>
              <w:rPr>
                <w:rFonts w:ascii="宋体"/>
                <w:vanish/>
              </w:rPr>
            </w:pPr>
          </w:p>
        </w:tc>
        <w:tc>
          <w:tcPr>
            <w:tcW w:w="0" w:type="auto"/>
            <w:shd w:val="clear" w:color="auto" w:fill="auto"/>
            <w:vAlign w:val="bottom"/>
          </w:tcPr>
          <w:p w14:paraId="71D3F18E" w14:textId="77777777" w:rsidR="006A3667" w:rsidRDefault="006A3667">
            <w:pPr>
              <w:rPr>
                <w:rFonts w:ascii="宋体"/>
                <w:vanish/>
              </w:rPr>
            </w:pPr>
          </w:p>
        </w:tc>
        <w:tc>
          <w:tcPr>
            <w:tcW w:w="0" w:type="auto"/>
            <w:shd w:val="clear" w:color="auto" w:fill="auto"/>
            <w:vAlign w:val="bottom"/>
          </w:tcPr>
          <w:p w14:paraId="71D3F18F" w14:textId="77777777" w:rsidR="006A3667" w:rsidRDefault="006A3667">
            <w:pPr>
              <w:rPr>
                <w:rFonts w:ascii="宋体"/>
                <w:vanish/>
              </w:rPr>
            </w:pPr>
          </w:p>
        </w:tc>
        <w:tc>
          <w:tcPr>
            <w:tcW w:w="0" w:type="auto"/>
            <w:gridSpan w:val="3"/>
            <w:shd w:val="clear" w:color="auto" w:fill="auto"/>
            <w:vAlign w:val="bottom"/>
          </w:tcPr>
          <w:p w14:paraId="71D3F190" w14:textId="77777777" w:rsidR="006A3667" w:rsidRDefault="006A3667">
            <w:pPr>
              <w:rPr>
                <w:rFonts w:ascii="宋体"/>
                <w:vanish/>
              </w:rPr>
            </w:pPr>
          </w:p>
        </w:tc>
        <w:tc>
          <w:tcPr>
            <w:tcW w:w="0" w:type="auto"/>
            <w:gridSpan w:val="3"/>
            <w:shd w:val="clear" w:color="auto" w:fill="auto"/>
            <w:vAlign w:val="bottom"/>
          </w:tcPr>
          <w:p w14:paraId="71D3F191" w14:textId="77777777" w:rsidR="006A3667" w:rsidRDefault="006A3667">
            <w:pPr>
              <w:rPr>
                <w:rFonts w:ascii="宋体"/>
                <w:vanish/>
              </w:rPr>
            </w:pPr>
          </w:p>
        </w:tc>
        <w:tc>
          <w:tcPr>
            <w:tcW w:w="0" w:type="auto"/>
            <w:gridSpan w:val="3"/>
            <w:shd w:val="clear" w:color="auto" w:fill="auto"/>
            <w:vAlign w:val="bottom"/>
          </w:tcPr>
          <w:p w14:paraId="71D3F192" w14:textId="77777777" w:rsidR="006A3667" w:rsidRDefault="006A3667">
            <w:pPr>
              <w:rPr>
                <w:rFonts w:ascii="宋体"/>
                <w:vanish/>
              </w:rPr>
            </w:pPr>
          </w:p>
        </w:tc>
        <w:tc>
          <w:tcPr>
            <w:tcW w:w="0" w:type="auto"/>
            <w:gridSpan w:val="3"/>
            <w:shd w:val="clear" w:color="auto" w:fill="auto"/>
            <w:vAlign w:val="bottom"/>
          </w:tcPr>
          <w:p w14:paraId="71D3F193" w14:textId="77777777" w:rsidR="006A3667" w:rsidRDefault="006A3667">
            <w:pPr>
              <w:rPr>
                <w:rFonts w:ascii="宋体"/>
                <w:vanish/>
              </w:rPr>
            </w:pPr>
          </w:p>
        </w:tc>
        <w:tc>
          <w:tcPr>
            <w:tcW w:w="0" w:type="auto"/>
            <w:gridSpan w:val="2"/>
            <w:shd w:val="clear" w:color="auto" w:fill="auto"/>
            <w:vAlign w:val="bottom"/>
          </w:tcPr>
          <w:p w14:paraId="71D3F194" w14:textId="77777777" w:rsidR="006A3667" w:rsidRDefault="006A3667">
            <w:pPr>
              <w:rPr>
                <w:rFonts w:ascii="宋体"/>
                <w:vanish/>
              </w:rPr>
            </w:pPr>
          </w:p>
        </w:tc>
        <w:tc>
          <w:tcPr>
            <w:tcW w:w="0" w:type="auto"/>
            <w:shd w:val="clear" w:color="auto" w:fill="auto"/>
            <w:vAlign w:val="bottom"/>
          </w:tcPr>
          <w:p w14:paraId="71D3F195" w14:textId="77777777" w:rsidR="006A3667" w:rsidRDefault="006A3667">
            <w:pPr>
              <w:rPr>
                <w:rFonts w:ascii="宋体"/>
                <w:vanish/>
              </w:rPr>
            </w:pPr>
          </w:p>
        </w:tc>
      </w:tr>
      <w:tr w:rsidR="006A3667" w14:paraId="71D3F1B3" w14:textId="77777777">
        <w:tc>
          <w:tcPr>
            <w:tcW w:w="0" w:type="auto"/>
            <w:gridSpan w:val="3"/>
            <w:shd w:val="clear" w:color="auto" w:fill="CCEEFF"/>
            <w:tcMar>
              <w:top w:w="40" w:type="dxa"/>
              <w:left w:w="20" w:type="dxa"/>
              <w:bottom w:w="40" w:type="dxa"/>
              <w:right w:w="20" w:type="dxa"/>
            </w:tcMar>
            <w:vAlign w:val="bottom"/>
          </w:tcPr>
          <w:p w14:paraId="71D3F197" w14:textId="77777777" w:rsidR="006A3667" w:rsidRDefault="00045F32">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71D3F198" w14:textId="77777777" w:rsidR="006A3667" w:rsidRDefault="00045F32">
            <w:pPr>
              <w:jc w:val="right"/>
              <w:textAlignment w:val="bottom"/>
            </w:pPr>
            <w:r>
              <w:rPr>
                <w:rFonts w:ascii="Arial" w:eastAsia="宋体" w:hAnsi="Arial" w:cs="Arial"/>
                <w:b/>
                <w:bCs/>
                <w:color w:val="000000"/>
                <w:sz w:val="12"/>
                <w:szCs w:val="12"/>
              </w:rPr>
              <w:t>736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1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9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9B"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1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9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9E" w14:textId="77777777" w:rsidR="006A3667" w:rsidRDefault="00045F32">
            <w:pPr>
              <w:jc w:val="right"/>
              <w:textAlignment w:val="bottom"/>
            </w:pPr>
            <w:r>
              <w:rPr>
                <w:rFonts w:ascii="Arial" w:eastAsia="宋体" w:hAnsi="Arial" w:cs="Arial"/>
                <w:b/>
                <w:bCs/>
                <w:color w:val="000000"/>
                <w:sz w:val="12"/>
                <w:szCs w:val="12"/>
              </w:rPr>
              <w:t>.01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1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A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A1" w14:textId="77777777" w:rsidR="006A3667" w:rsidRDefault="00045F32">
            <w:pPr>
              <w:jc w:val="right"/>
              <w:textAlignment w:val="bottom"/>
            </w:pPr>
            <w:r>
              <w:rPr>
                <w:rFonts w:ascii="Arial" w:eastAsia="宋体" w:hAnsi="Arial" w:cs="Arial"/>
                <w:color w:val="000000"/>
                <w:sz w:val="12"/>
                <w:szCs w:val="12"/>
              </w:rPr>
              <w:t>754 </w:t>
            </w:r>
          </w:p>
        </w:tc>
        <w:tc>
          <w:tcPr>
            <w:tcW w:w="0" w:type="auto"/>
            <w:shd w:val="clear" w:color="auto" w:fill="CCEEFF"/>
            <w:tcMar>
              <w:top w:w="40" w:type="dxa"/>
              <w:left w:w="0" w:type="dxa"/>
              <w:bottom w:w="40" w:type="dxa"/>
              <w:right w:w="20" w:type="dxa"/>
            </w:tcMar>
            <w:vAlign w:val="bottom"/>
          </w:tcPr>
          <w:p w14:paraId="71D3F1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A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A4"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1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A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A7" w14:textId="77777777" w:rsidR="006A3667" w:rsidRDefault="00045F32">
            <w:pPr>
              <w:jc w:val="right"/>
              <w:textAlignment w:val="bottom"/>
            </w:pPr>
            <w:r>
              <w:rPr>
                <w:rFonts w:ascii="Arial" w:eastAsia="宋体" w:hAnsi="Arial" w:cs="Arial"/>
                <w:color w:val="000000"/>
                <w:sz w:val="12"/>
                <w:szCs w:val="12"/>
              </w:rPr>
              <w:t>.01 </w:t>
            </w:r>
          </w:p>
        </w:tc>
        <w:tc>
          <w:tcPr>
            <w:tcW w:w="0" w:type="auto"/>
            <w:shd w:val="clear" w:color="auto" w:fill="CCEEFF"/>
            <w:tcMar>
              <w:top w:w="40" w:type="dxa"/>
              <w:left w:w="0" w:type="dxa"/>
              <w:bottom w:w="40" w:type="dxa"/>
              <w:right w:w="20" w:type="dxa"/>
            </w:tcMar>
            <w:vAlign w:val="bottom"/>
          </w:tcPr>
          <w:p w14:paraId="71D3F1A8" w14:textId="77777777" w:rsidR="006A3667" w:rsidRDefault="006A3667">
            <w:pPr>
              <w:jc w:val="right"/>
              <w:rPr>
                <w:rFonts w:ascii="宋体"/>
              </w:rPr>
            </w:pPr>
          </w:p>
        </w:tc>
        <w:tc>
          <w:tcPr>
            <w:tcW w:w="0" w:type="auto"/>
            <w:shd w:val="clear" w:color="auto" w:fill="auto"/>
            <w:vAlign w:val="bottom"/>
          </w:tcPr>
          <w:p w14:paraId="71D3F1A9" w14:textId="77777777" w:rsidR="006A3667" w:rsidRDefault="006A3667">
            <w:pPr>
              <w:rPr>
                <w:rFonts w:ascii="宋体"/>
                <w:vanish/>
              </w:rPr>
            </w:pPr>
          </w:p>
        </w:tc>
        <w:tc>
          <w:tcPr>
            <w:tcW w:w="0" w:type="auto"/>
            <w:shd w:val="clear" w:color="auto" w:fill="auto"/>
            <w:vAlign w:val="bottom"/>
          </w:tcPr>
          <w:p w14:paraId="71D3F1AA" w14:textId="77777777" w:rsidR="006A3667" w:rsidRDefault="006A3667">
            <w:pPr>
              <w:rPr>
                <w:rFonts w:ascii="宋体"/>
                <w:vanish/>
              </w:rPr>
            </w:pPr>
          </w:p>
        </w:tc>
        <w:tc>
          <w:tcPr>
            <w:tcW w:w="0" w:type="auto"/>
            <w:shd w:val="clear" w:color="auto" w:fill="auto"/>
            <w:vAlign w:val="bottom"/>
          </w:tcPr>
          <w:p w14:paraId="71D3F1AB" w14:textId="77777777" w:rsidR="006A3667" w:rsidRDefault="006A3667">
            <w:pPr>
              <w:rPr>
                <w:rFonts w:ascii="宋体"/>
                <w:vanish/>
              </w:rPr>
            </w:pPr>
          </w:p>
        </w:tc>
        <w:tc>
          <w:tcPr>
            <w:tcW w:w="0" w:type="auto"/>
            <w:shd w:val="clear" w:color="auto" w:fill="auto"/>
            <w:vAlign w:val="bottom"/>
          </w:tcPr>
          <w:p w14:paraId="71D3F1AC" w14:textId="77777777" w:rsidR="006A3667" w:rsidRDefault="006A3667">
            <w:pPr>
              <w:rPr>
                <w:rFonts w:ascii="宋体"/>
                <w:vanish/>
              </w:rPr>
            </w:pPr>
          </w:p>
        </w:tc>
        <w:tc>
          <w:tcPr>
            <w:tcW w:w="0" w:type="auto"/>
            <w:gridSpan w:val="3"/>
            <w:shd w:val="clear" w:color="auto" w:fill="auto"/>
            <w:vAlign w:val="bottom"/>
          </w:tcPr>
          <w:p w14:paraId="71D3F1AD" w14:textId="77777777" w:rsidR="006A3667" w:rsidRDefault="006A3667">
            <w:pPr>
              <w:rPr>
                <w:rFonts w:ascii="宋体"/>
                <w:vanish/>
              </w:rPr>
            </w:pPr>
          </w:p>
        </w:tc>
        <w:tc>
          <w:tcPr>
            <w:tcW w:w="0" w:type="auto"/>
            <w:gridSpan w:val="3"/>
            <w:shd w:val="clear" w:color="auto" w:fill="auto"/>
            <w:vAlign w:val="bottom"/>
          </w:tcPr>
          <w:p w14:paraId="71D3F1AE" w14:textId="77777777" w:rsidR="006A3667" w:rsidRDefault="006A3667">
            <w:pPr>
              <w:rPr>
                <w:rFonts w:ascii="宋体"/>
                <w:vanish/>
              </w:rPr>
            </w:pPr>
          </w:p>
        </w:tc>
        <w:tc>
          <w:tcPr>
            <w:tcW w:w="0" w:type="auto"/>
            <w:gridSpan w:val="3"/>
            <w:shd w:val="clear" w:color="auto" w:fill="auto"/>
            <w:vAlign w:val="bottom"/>
          </w:tcPr>
          <w:p w14:paraId="71D3F1AF" w14:textId="77777777" w:rsidR="006A3667" w:rsidRDefault="006A3667">
            <w:pPr>
              <w:rPr>
                <w:rFonts w:ascii="宋体"/>
                <w:vanish/>
              </w:rPr>
            </w:pPr>
          </w:p>
        </w:tc>
        <w:tc>
          <w:tcPr>
            <w:tcW w:w="0" w:type="auto"/>
            <w:gridSpan w:val="3"/>
            <w:shd w:val="clear" w:color="auto" w:fill="auto"/>
            <w:vAlign w:val="bottom"/>
          </w:tcPr>
          <w:p w14:paraId="71D3F1B0" w14:textId="77777777" w:rsidR="006A3667" w:rsidRDefault="006A3667">
            <w:pPr>
              <w:rPr>
                <w:rFonts w:ascii="宋体"/>
                <w:vanish/>
              </w:rPr>
            </w:pPr>
          </w:p>
        </w:tc>
        <w:tc>
          <w:tcPr>
            <w:tcW w:w="0" w:type="auto"/>
            <w:gridSpan w:val="2"/>
            <w:shd w:val="clear" w:color="auto" w:fill="auto"/>
            <w:vAlign w:val="bottom"/>
          </w:tcPr>
          <w:p w14:paraId="71D3F1B1" w14:textId="77777777" w:rsidR="006A3667" w:rsidRDefault="006A3667">
            <w:pPr>
              <w:rPr>
                <w:rFonts w:ascii="宋体"/>
                <w:vanish/>
              </w:rPr>
            </w:pPr>
          </w:p>
        </w:tc>
        <w:tc>
          <w:tcPr>
            <w:tcW w:w="0" w:type="auto"/>
            <w:shd w:val="clear" w:color="auto" w:fill="auto"/>
            <w:vAlign w:val="bottom"/>
          </w:tcPr>
          <w:p w14:paraId="71D3F1B2" w14:textId="77777777" w:rsidR="006A3667" w:rsidRDefault="006A3667">
            <w:pPr>
              <w:rPr>
                <w:rFonts w:ascii="宋体"/>
                <w:vanish/>
              </w:rPr>
            </w:pPr>
          </w:p>
        </w:tc>
      </w:tr>
      <w:tr w:rsidR="006A3667" w14:paraId="71D3F1CA" w14:textId="77777777">
        <w:tc>
          <w:tcPr>
            <w:tcW w:w="0" w:type="auto"/>
            <w:gridSpan w:val="3"/>
            <w:shd w:val="clear" w:color="auto" w:fill="FFFFFF"/>
            <w:tcMar>
              <w:top w:w="40" w:type="dxa"/>
              <w:left w:w="20" w:type="dxa"/>
              <w:bottom w:w="40" w:type="dxa"/>
              <w:right w:w="20" w:type="dxa"/>
            </w:tcMar>
            <w:vAlign w:val="bottom"/>
          </w:tcPr>
          <w:p w14:paraId="71D3F1B4" w14:textId="77777777" w:rsidR="006A3667" w:rsidRDefault="00045F32">
            <w:pPr>
              <w:textAlignment w:val="bottom"/>
            </w:pPr>
            <w:r>
              <w:rPr>
                <w:rFonts w:ascii="Arial" w:eastAsia="宋体" w:hAnsi="Arial" w:cs="Arial"/>
                <w:color w:val="000000"/>
                <w:sz w:val="12"/>
                <w:szCs w:val="12"/>
              </w:rPr>
              <w:t xml:space="preserve">Investment </w:t>
            </w:r>
            <w:r>
              <w:rPr>
                <w:rFonts w:ascii="Arial" w:eastAsia="宋体" w:hAnsi="Arial" w:cs="Arial"/>
                <w:color w:val="000000"/>
                <w:sz w:val="12"/>
                <w:szCs w:val="12"/>
              </w:rPr>
              <w:t>securities:</w:t>
            </w:r>
          </w:p>
        </w:tc>
        <w:tc>
          <w:tcPr>
            <w:tcW w:w="0" w:type="auto"/>
            <w:gridSpan w:val="3"/>
            <w:shd w:val="clear" w:color="auto" w:fill="FFFFFF"/>
            <w:tcMar>
              <w:top w:w="0" w:type="dxa"/>
              <w:left w:w="20" w:type="dxa"/>
              <w:bottom w:w="0" w:type="dxa"/>
              <w:right w:w="20" w:type="dxa"/>
            </w:tcMar>
            <w:vAlign w:val="bottom"/>
          </w:tcPr>
          <w:p w14:paraId="71D3F1B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1BF" w14:textId="77777777" w:rsidR="006A3667" w:rsidRDefault="006A3667">
            <w:pPr>
              <w:rPr>
                <w:rFonts w:ascii="宋体"/>
              </w:rPr>
            </w:pPr>
          </w:p>
        </w:tc>
        <w:tc>
          <w:tcPr>
            <w:tcW w:w="0" w:type="auto"/>
            <w:shd w:val="clear" w:color="auto" w:fill="auto"/>
            <w:vAlign w:val="bottom"/>
          </w:tcPr>
          <w:p w14:paraId="71D3F1C0" w14:textId="77777777" w:rsidR="006A3667" w:rsidRDefault="006A3667">
            <w:pPr>
              <w:rPr>
                <w:rFonts w:ascii="宋体"/>
                <w:vanish/>
              </w:rPr>
            </w:pPr>
          </w:p>
        </w:tc>
        <w:tc>
          <w:tcPr>
            <w:tcW w:w="0" w:type="auto"/>
            <w:shd w:val="clear" w:color="auto" w:fill="auto"/>
            <w:vAlign w:val="bottom"/>
          </w:tcPr>
          <w:p w14:paraId="71D3F1C1" w14:textId="77777777" w:rsidR="006A3667" w:rsidRDefault="006A3667">
            <w:pPr>
              <w:rPr>
                <w:rFonts w:ascii="宋体"/>
                <w:vanish/>
              </w:rPr>
            </w:pPr>
          </w:p>
        </w:tc>
        <w:tc>
          <w:tcPr>
            <w:tcW w:w="0" w:type="auto"/>
            <w:shd w:val="clear" w:color="auto" w:fill="auto"/>
            <w:vAlign w:val="bottom"/>
          </w:tcPr>
          <w:p w14:paraId="71D3F1C2" w14:textId="77777777" w:rsidR="006A3667" w:rsidRDefault="006A3667">
            <w:pPr>
              <w:rPr>
                <w:rFonts w:ascii="宋体"/>
                <w:vanish/>
              </w:rPr>
            </w:pPr>
          </w:p>
        </w:tc>
        <w:tc>
          <w:tcPr>
            <w:tcW w:w="0" w:type="auto"/>
            <w:shd w:val="clear" w:color="auto" w:fill="auto"/>
            <w:vAlign w:val="bottom"/>
          </w:tcPr>
          <w:p w14:paraId="71D3F1C3" w14:textId="77777777" w:rsidR="006A3667" w:rsidRDefault="006A3667">
            <w:pPr>
              <w:rPr>
                <w:rFonts w:ascii="宋体"/>
                <w:vanish/>
              </w:rPr>
            </w:pPr>
          </w:p>
        </w:tc>
        <w:tc>
          <w:tcPr>
            <w:tcW w:w="0" w:type="auto"/>
            <w:gridSpan w:val="3"/>
            <w:shd w:val="clear" w:color="auto" w:fill="auto"/>
            <w:vAlign w:val="bottom"/>
          </w:tcPr>
          <w:p w14:paraId="71D3F1C4" w14:textId="77777777" w:rsidR="006A3667" w:rsidRDefault="006A3667">
            <w:pPr>
              <w:rPr>
                <w:rFonts w:ascii="宋体"/>
                <w:vanish/>
              </w:rPr>
            </w:pPr>
          </w:p>
        </w:tc>
        <w:tc>
          <w:tcPr>
            <w:tcW w:w="0" w:type="auto"/>
            <w:gridSpan w:val="3"/>
            <w:shd w:val="clear" w:color="auto" w:fill="auto"/>
            <w:vAlign w:val="bottom"/>
          </w:tcPr>
          <w:p w14:paraId="71D3F1C5" w14:textId="77777777" w:rsidR="006A3667" w:rsidRDefault="006A3667">
            <w:pPr>
              <w:rPr>
                <w:rFonts w:ascii="宋体"/>
                <w:vanish/>
              </w:rPr>
            </w:pPr>
          </w:p>
        </w:tc>
        <w:tc>
          <w:tcPr>
            <w:tcW w:w="0" w:type="auto"/>
            <w:gridSpan w:val="3"/>
            <w:shd w:val="clear" w:color="auto" w:fill="auto"/>
            <w:vAlign w:val="bottom"/>
          </w:tcPr>
          <w:p w14:paraId="71D3F1C6" w14:textId="77777777" w:rsidR="006A3667" w:rsidRDefault="006A3667">
            <w:pPr>
              <w:rPr>
                <w:rFonts w:ascii="宋体"/>
                <w:vanish/>
              </w:rPr>
            </w:pPr>
          </w:p>
        </w:tc>
        <w:tc>
          <w:tcPr>
            <w:tcW w:w="0" w:type="auto"/>
            <w:gridSpan w:val="3"/>
            <w:shd w:val="clear" w:color="auto" w:fill="auto"/>
            <w:vAlign w:val="bottom"/>
          </w:tcPr>
          <w:p w14:paraId="71D3F1C7" w14:textId="77777777" w:rsidR="006A3667" w:rsidRDefault="006A3667">
            <w:pPr>
              <w:rPr>
                <w:rFonts w:ascii="宋体"/>
                <w:vanish/>
              </w:rPr>
            </w:pPr>
          </w:p>
        </w:tc>
        <w:tc>
          <w:tcPr>
            <w:tcW w:w="0" w:type="auto"/>
            <w:gridSpan w:val="2"/>
            <w:shd w:val="clear" w:color="auto" w:fill="auto"/>
            <w:vAlign w:val="bottom"/>
          </w:tcPr>
          <w:p w14:paraId="71D3F1C8" w14:textId="77777777" w:rsidR="006A3667" w:rsidRDefault="006A3667">
            <w:pPr>
              <w:rPr>
                <w:rFonts w:ascii="宋体"/>
                <w:vanish/>
              </w:rPr>
            </w:pPr>
          </w:p>
        </w:tc>
        <w:tc>
          <w:tcPr>
            <w:tcW w:w="0" w:type="auto"/>
            <w:shd w:val="clear" w:color="auto" w:fill="auto"/>
            <w:vAlign w:val="bottom"/>
          </w:tcPr>
          <w:p w14:paraId="71D3F1C9" w14:textId="77777777" w:rsidR="006A3667" w:rsidRDefault="006A3667">
            <w:pPr>
              <w:rPr>
                <w:rFonts w:ascii="宋体"/>
                <w:vanish/>
              </w:rPr>
            </w:pPr>
          </w:p>
        </w:tc>
      </w:tr>
      <w:tr w:rsidR="006A3667" w14:paraId="71D3F1E7" w14:textId="77777777">
        <w:tc>
          <w:tcPr>
            <w:tcW w:w="0" w:type="auto"/>
            <w:gridSpan w:val="3"/>
            <w:shd w:val="clear" w:color="auto" w:fill="CCEEFF"/>
            <w:tcMar>
              <w:top w:w="40" w:type="dxa"/>
              <w:left w:w="20" w:type="dxa"/>
              <w:bottom w:w="40" w:type="dxa"/>
              <w:right w:w="20" w:type="dxa"/>
            </w:tcMar>
            <w:vAlign w:val="bottom"/>
          </w:tcPr>
          <w:p w14:paraId="71D3F1CB" w14:textId="77777777" w:rsidR="006A3667" w:rsidRDefault="00045F32">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71D3F1CC" w14:textId="77777777" w:rsidR="006A3667" w:rsidRDefault="00045F32">
            <w:pPr>
              <w:jc w:val="right"/>
              <w:textAlignment w:val="bottom"/>
            </w:pPr>
            <w:r>
              <w:rPr>
                <w:rFonts w:ascii="Arial" w:eastAsia="宋体" w:hAnsi="Arial" w:cs="Arial"/>
                <w:b/>
                <w:bCs/>
                <w:color w:val="000000"/>
                <w:sz w:val="12"/>
                <w:szCs w:val="12"/>
              </w:rPr>
              <w:t>57,868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1C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C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CF" w14:textId="77777777" w:rsidR="006A3667" w:rsidRDefault="00045F32">
            <w:pPr>
              <w:jc w:val="right"/>
              <w:textAlignment w:val="bottom"/>
            </w:pPr>
            <w:r>
              <w:rPr>
                <w:rFonts w:ascii="Arial" w:eastAsia="宋体" w:hAnsi="Arial" w:cs="Arial"/>
                <w:b/>
                <w:bCs/>
                <w:color w:val="000000"/>
                <w:sz w:val="12"/>
                <w:szCs w:val="12"/>
              </w:rPr>
              <w:t>459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1D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D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D2" w14:textId="77777777" w:rsidR="006A3667" w:rsidRDefault="00045F32">
            <w:pPr>
              <w:jc w:val="right"/>
              <w:textAlignment w:val="bottom"/>
            </w:pPr>
            <w:r>
              <w:rPr>
                <w:rFonts w:ascii="Arial" w:eastAsia="宋体" w:hAnsi="Arial" w:cs="Arial"/>
                <w:b/>
                <w:bCs/>
                <w:color w:val="000000"/>
                <w:sz w:val="12"/>
                <w:szCs w:val="12"/>
              </w:rPr>
              <w:t>1.06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1D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D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D5" w14:textId="77777777" w:rsidR="006A3667" w:rsidRDefault="00045F32">
            <w:pPr>
              <w:jc w:val="right"/>
              <w:textAlignment w:val="bottom"/>
            </w:pPr>
            <w:r>
              <w:rPr>
                <w:rFonts w:ascii="Arial" w:eastAsia="宋体" w:hAnsi="Arial" w:cs="Arial"/>
                <w:color w:val="000000"/>
                <w:sz w:val="12"/>
                <w:szCs w:val="12"/>
              </w:rPr>
              <w:t>65,051 </w:t>
            </w:r>
          </w:p>
        </w:tc>
        <w:tc>
          <w:tcPr>
            <w:tcW w:w="0" w:type="auto"/>
            <w:shd w:val="clear" w:color="auto" w:fill="CCEEFF"/>
            <w:tcMar>
              <w:top w:w="40" w:type="dxa"/>
              <w:left w:w="0" w:type="dxa"/>
              <w:bottom w:w="40" w:type="dxa"/>
              <w:right w:w="20" w:type="dxa"/>
            </w:tcMar>
            <w:vAlign w:val="bottom"/>
          </w:tcPr>
          <w:p w14:paraId="71D3F1D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D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D8" w14:textId="77777777" w:rsidR="006A3667" w:rsidRDefault="00045F32">
            <w:pPr>
              <w:jc w:val="right"/>
              <w:textAlignment w:val="bottom"/>
            </w:pPr>
            <w:r>
              <w:rPr>
                <w:rFonts w:ascii="Arial" w:eastAsia="宋体" w:hAnsi="Arial" w:cs="Arial"/>
                <w:color w:val="000000"/>
                <w:sz w:val="12"/>
                <w:szCs w:val="12"/>
              </w:rPr>
              <w:t>435 </w:t>
            </w:r>
          </w:p>
        </w:tc>
        <w:tc>
          <w:tcPr>
            <w:tcW w:w="0" w:type="auto"/>
            <w:shd w:val="clear" w:color="auto" w:fill="CCEEFF"/>
            <w:tcMar>
              <w:top w:w="40" w:type="dxa"/>
              <w:left w:w="0" w:type="dxa"/>
              <w:bottom w:w="40" w:type="dxa"/>
              <w:right w:w="20" w:type="dxa"/>
            </w:tcMar>
            <w:vAlign w:val="bottom"/>
          </w:tcPr>
          <w:p w14:paraId="71D3F1D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1D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1DB" w14:textId="77777777" w:rsidR="006A3667" w:rsidRDefault="00045F32">
            <w:pPr>
              <w:jc w:val="right"/>
              <w:textAlignment w:val="bottom"/>
            </w:pPr>
            <w:r>
              <w:rPr>
                <w:rFonts w:ascii="Arial" w:eastAsia="宋体" w:hAnsi="Arial" w:cs="Arial"/>
                <w:color w:val="000000"/>
                <w:sz w:val="12"/>
                <w:szCs w:val="12"/>
              </w:rPr>
              <w:t>.89 </w:t>
            </w:r>
          </w:p>
        </w:tc>
        <w:tc>
          <w:tcPr>
            <w:tcW w:w="0" w:type="auto"/>
            <w:shd w:val="clear" w:color="auto" w:fill="CCEEFF"/>
            <w:tcMar>
              <w:top w:w="40" w:type="dxa"/>
              <w:left w:w="0" w:type="dxa"/>
              <w:bottom w:w="40" w:type="dxa"/>
              <w:right w:w="20" w:type="dxa"/>
            </w:tcMar>
            <w:vAlign w:val="bottom"/>
          </w:tcPr>
          <w:p w14:paraId="71D3F1DC" w14:textId="77777777" w:rsidR="006A3667" w:rsidRDefault="006A3667">
            <w:pPr>
              <w:jc w:val="right"/>
              <w:rPr>
                <w:rFonts w:ascii="宋体"/>
              </w:rPr>
            </w:pPr>
          </w:p>
        </w:tc>
        <w:tc>
          <w:tcPr>
            <w:tcW w:w="0" w:type="auto"/>
            <w:shd w:val="clear" w:color="auto" w:fill="auto"/>
            <w:vAlign w:val="bottom"/>
          </w:tcPr>
          <w:p w14:paraId="71D3F1DD" w14:textId="77777777" w:rsidR="006A3667" w:rsidRDefault="006A3667">
            <w:pPr>
              <w:rPr>
                <w:rFonts w:ascii="宋体"/>
                <w:vanish/>
              </w:rPr>
            </w:pPr>
          </w:p>
        </w:tc>
        <w:tc>
          <w:tcPr>
            <w:tcW w:w="0" w:type="auto"/>
            <w:shd w:val="clear" w:color="auto" w:fill="auto"/>
            <w:vAlign w:val="bottom"/>
          </w:tcPr>
          <w:p w14:paraId="71D3F1DE" w14:textId="77777777" w:rsidR="006A3667" w:rsidRDefault="006A3667">
            <w:pPr>
              <w:rPr>
                <w:rFonts w:ascii="宋体"/>
                <w:vanish/>
              </w:rPr>
            </w:pPr>
          </w:p>
        </w:tc>
        <w:tc>
          <w:tcPr>
            <w:tcW w:w="0" w:type="auto"/>
            <w:shd w:val="clear" w:color="auto" w:fill="auto"/>
            <w:vAlign w:val="bottom"/>
          </w:tcPr>
          <w:p w14:paraId="71D3F1DF" w14:textId="77777777" w:rsidR="006A3667" w:rsidRDefault="006A3667">
            <w:pPr>
              <w:rPr>
                <w:rFonts w:ascii="宋体"/>
                <w:vanish/>
              </w:rPr>
            </w:pPr>
          </w:p>
        </w:tc>
        <w:tc>
          <w:tcPr>
            <w:tcW w:w="0" w:type="auto"/>
            <w:shd w:val="clear" w:color="auto" w:fill="auto"/>
            <w:vAlign w:val="bottom"/>
          </w:tcPr>
          <w:p w14:paraId="71D3F1E0" w14:textId="77777777" w:rsidR="006A3667" w:rsidRDefault="006A3667">
            <w:pPr>
              <w:rPr>
                <w:rFonts w:ascii="宋体"/>
                <w:vanish/>
              </w:rPr>
            </w:pPr>
          </w:p>
        </w:tc>
        <w:tc>
          <w:tcPr>
            <w:tcW w:w="0" w:type="auto"/>
            <w:gridSpan w:val="3"/>
            <w:shd w:val="clear" w:color="auto" w:fill="auto"/>
            <w:vAlign w:val="bottom"/>
          </w:tcPr>
          <w:p w14:paraId="71D3F1E1" w14:textId="77777777" w:rsidR="006A3667" w:rsidRDefault="006A3667">
            <w:pPr>
              <w:rPr>
                <w:rFonts w:ascii="宋体"/>
                <w:vanish/>
              </w:rPr>
            </w:pPr>
          </w:p>
        </w:tc>
        <w:tc>
          <w:tcPr>
            <w:tcW w:w="0" w:type="auto"/>
            <w:gridSpan w:val="3"/>
            <w:shd w:val="clear" w:color="auto" w:fill="auto"/>
            <w:vAlign w:val="bottom"/>
          </w:tcPr>
          <w:p w14:paraId="71D3F1E2" w14:textId="77777777" w:rsidR="006A3667" w:rsidRDefault="006A3667">
            <w:pPr>
              <w:rPr>
                <w:rFonts w:ascii="宋体"/>
                <w:vanish/>
              </w:rPr>
            </w:pPr>
          </w:p>
        </w:tc>
        <w:tc>
          <w:tcPr>
            <w:tcW w:w="0" w:type="auto"/>
            <w:gridSpan w:val="3"/>
            <w:shd w:val="clear" w:color="auto" w:fill="auto"/>
            <w:vAlign w:val="bottom"/>
          </w:tcPr>
          <w:p w14:paraId="71D3F1E3" w14:textId="77777777" w:rsidR="006A3667" w:rsidRDefault="006A3667">
            <w:pPr>
              <w:rPr>
                <w:rFonts w:ascii="宋体"/>
                <w:vanish/>
              </w:rPr>
            </w:pPr>
          </w:p>
        </w:tc>
        <w:tc>
          <w:tcPr>
            <w:tcW w:w="0" w:type="auto"/>
            <w:gridSpan w:val="3"/>
            <w:shd w:val="clear" w:color="auto" w:fill="auto"/>
            <w:vAlign w:val="bottom"/>
          </w:tcPr>
          <w:p w14:paraId="71D3F1E4" w14:textId="77777777" w:rsidR="006A3667" w:rsidRDefault="006A3667">
            <w:pPr>
              <w:rPr>
                <w:rFonts w:ascii="宋体"/>
                <w:vanish/>
              </w:rPr>
            </w:pPr>
          </w:p>
        </w:tc>
        <w:tc>
          <w:tcPr>
            <w:tcW w:w="0" w:type="auto"/>
            <w:gridSpan w:val="2"/>
            <w:shd w:val="clear" w:color="auto" w:fill="auto"/>
            <w:vAlign w:val="bottom"/>
          </w:tcPr>
          <w:p w14:paraId="71D3F1E5" w14:textId="77777777" w:rsidR="006A3667" w:rsidRDefault="006A3667">
            <w:pPr>
              <w:rPr>
                <w:rFonts w:ascii="宋体"/>
                <w:vanish/>
              </w:rPr>
            </w:pPr>
          </w:p>
        </w:tc>
        <w:tc>
          <w:tcPr>
            <w:tcW w:w="0" w:type="auto"/>
            <w:shd w:val="clear" w:color="auto" w:fill="auto"/>
            <w:vAlign w:val="bottom"/>
          </w:tcPr>
          <w:p w14:paraId="71D3F1E6" w14:textId="77777777" w:rsidR="006A3667" w:rsidRDefault="006A3667">
            <w:pPr>
              <w:rPr>
                <w:rFonts w:ascii="宋体"/>
                <w:vanish/>
              </w:rPr>
            </w:pPr>
          </w:p>
        </w:tc>
      </w:tr>
      <w:tr w:rsidR="006A3667" w14:paraId="71D3F204" w14:textId="77777777">
        <w:tc>
          <w:tcPr>
            <w:tcW w:w="0" w:type="auto"/>
            <w:gridSpan w:val="3"/>
            <w:shd w:val="clear" w:color="auto" w:fill="FFFFFF"/>
            <w:tcMar>
              <w:top w:w="40" w:type="dxa"/>
              <w:left w:w="20" w:type="dxa"/>
              <w:bottom w:w="40" w:type="dxa"/>
              <w:right w:w="20" w:type="dxa"/>
            </w:tcMar>
            <w:vAlign w:val="bottom"/>
          </w:tcPr>
          <w:p w14:paraId="71D3F1E8" w14:textId="77777777" w:rsidR="006A3667" w:rsidRDefault="00045F32">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71D3F1E9" w14:textId="77777777" w:rsidR="006A3667" w:rsidRDefault="00045F32">
            <w:pPr>
              <w:jc w:val="right"/>
              <w:textAlignment w:val="bottom"/>
            </w:pPr>
            <w:r>
              <w:rPr>
                <w:rFonts w:ascii="Arial" w:eastAsia="宋体" w:hAnsi="Arial" w:cs="Arial"/>
                <w:b/>
                <w:bCs/>
                <w:color w:val="000000"/>
                <w:sz w:val="12"/>
                <w:szCs w:val="12"/>
              </w:rPr>
              <w:t>56,124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1E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E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EC" w14:textId="77777777" w:rsidR="006A3667" w:rsidRDefault="00045F32">
            <w:pPr>
              <w:jc w:val="right"/>
              <w:textAlignment w:val="bottom"/>
            </w:pPr>
            <w:r>
              <w:rPr>
                <w:rFonts w:ascii="Arial" w:eastAsia="宋体" w:hAnsi="Arial" w:cs="Arial"/>
                <w:b/>
                <w:bCs/>
                <w:color w:val="000000"/>
                <w:sz w:val="12"/>
                <w:szCs w:val="12"/>
              </w:rPr>
              <w:t>67</w:t>
            </w:r>
            <w:r>
              <w:rPr>
                <w:rFonts w:ascii="Arial" w:eastAsia="宋体" w:hAnsi="Arial" w:cs="Arial"/>
                <w:b/>
                <w:bCs/>
                <w:color w:val="000000"/>
                <w:sz w:val="12"/>
                <w:szCs w:val="12"/>
              </w:rPr>
              <w:t>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1E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E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EF" w14:textId="77777777" w:rsidR="006A3667" w:rsidRDefault="00045F32">
            <w:pPr>
              <w:jc w:val="right"/>
              <w:textAlignment w:val="bottom"/>
            </w:pPr>
            <w:r>
              <w:rPr>
                <w:rFonts w:ascii="Arial" w:eastAsia="宋体" w:hAnsi="Arial" w:cs="Arial"/>
                <w:b/>
                <w:bCs/>
                <w:color w:val="000000"/>
                <w:sz w:val="12"/>
                <w:szCs w:val="12"/>
              </w:rPr>
              <w:t>1.60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1F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F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F2" w14:textId="77777777" w:rsidR="006A3667" w:rsidRDefault="00045F32">
            <w:pPr>
              <w:jc w:val="right"/>
              <w:textAlignment w:val="bottom"/>
            </w:pPr>
            <w:r>
              <w:rPr>
                <w:rFonts w:ascii="Arial" w:eastAsia="宋体" w:hAnsi="Arial" w:cs="Arial"/>
                <w:color w:val="000000"/>
                <w:sz w:val="12"/>
                <w:szCs w:val="12"/>
              </w:rPr>
              <w:t>45,526 </w:t>
            </w:r>
          </w:p>
        </w:tc>
        <w:tc>
          <w:tcPr>
            <w:tcW w:w="0" w:type="auto"/>
            <w:shd w:val="clear" w:color="auto" w:fill="FFFFFF"/>
            <w:tcMar>
              <w:top w:w="40" w:type="dxa"/>
              <w:left w:w="0" w:type="dxa"/>
              <w:bottom w:w="40" w:type="dxa"/>
              <w:right w:w="20" w:type="dxa"/>
            </w:tcMar>
            <w:vAlign w:val="bottom"/>
          </w:tcPr>
          <w:p w14:paraId="71D3F1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F5" w14:textId="77777777" w:rsidR="006A3667" w:rsidRDefault="00045F32">
            <w:pPr>
              <w:jc w:val="right"/>
              <w:textAlignment w:val="bottom"/>
            </w:pPr>
            <w:r>
              <w:rPr>
                <w:rFonts w:ascii="Arial" w:eastAsia="宋体" w:hAnsi="Arial" w:cs="Arial"/>
                <w:color w:val="000000"/>
                <w:sz w:val="12"/>
                <w:szCs w:val="12"/>
              </w:rPr>
              <w:t>510 </w:t>
            </w:r>
          </w:p>
        </w:tc>
        <w:tc>
          <w:tcPr>
            <w:tcW w:w="0" w:type="auto"/>
            <w:shd w:val="clear" w:color="auto" w:fill="FFFFFF"/>
            <w:tcMar>
              <w:top w:w="40" w:type="dxa"/>
              <w:left w:w="0" w:type="dxa"/>
              <w:bottom w:w="40" w:type="dxa"/>
              <w:right w:w="20" w:type="dxa"/>
            </w:tcMar>
            <w:vAlign w:val="bottom"/>
          </w:tcPr>
          <w:p w14:paraId="71D3F1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1F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1F8" w14:textId="77777777" w:rsidR="006A3667" w:rsidRDefault="00045F32">
            <w:pPr>
              <w:jc w:val="right"/>
              <w:textAlignment w:val="bottom"/>
            </w:pPr>
            <w:r>
              <w:rPr>
                <w:rFonts w:ascii="Arial" w:eastAsia="宋体" w:hAnsi="Arial" w:cs="Arial"/>
                <w:color w:val="000000"/>
                <w:sz w:val="12"/>
                <w:szCs w:val="12"/>
              </w:rPr>
              <w:t>1.49 </w:t>
            </w:r>
          </w:p>
        </w:tc>
        <w:tc>
          <w:tcPr>
            <w:tcW w:w="0" w:type="auto"/>
            <w:shd w:val="clear" w:color="auto" w:fill="FFFFFF"/>
            <w:tcMar>
              <w:top w:w="40" w:type="dxa"/>
              <w:left w:w="0" w:type="dxa"/>
              <w:bottom w:w="40" w:type="dxa"/>
              <w:right w:w="20" w:type="dxa"/>
            </w:tcMar>
            <w:vAlign w:val="bottom"/>
          </w:tcPr>
          <w:p w14:paraId="71D3F1F9" w14:textId="77777777" w:rsidR="006A3667" w:rsidRDefault="006A3667">
            <w:pPr>
              <w:jc w:val="right"/>
              <w:rPr>
                <w:rFonts w:ascii="宋体"/>
              </w:rPr>
            </w:pPr>
          </w:p>
        </w:tc>
        <w:tc>
          <w:tcPr>
            <w:tcW w:w="0" w:type="auto"/>
            <w:shd w:val="clear" w:color="auto" w:fill="auto"/>
            <w:vAlign w:val="bottom"/>
          </w:tcPr>
          <w:p w14:paraId="71D3F1FA" w14:textId="77777777" w:rsidR="006A3667" w:rsidRDefault="006A3667">
            <w:pPr>
              <w:rPr>
                <w:rFonts w:ascii="宋体"/>
                <w:vanish/>
              </w:rPr>
            </w:pPr>
          </w:p>
        </w:tc>
        <w:tc>
          <w:tcPr>
            <w:tcW w:w="0" w:type="auto"/>
            <w:shd w:val="clear" w:color="auto" w:fill="auto"/>
            <w:vAlign w:val="bottom"/>
          </w:tcPr>
          <w:p w14:paraId="71D3F1FB" w14:textId="77777777" w:rsidR="006A3667" w:rsidRDefault="006A3667">
            <w:pPr>
              <w:rPr>
                <w:rFonts w:ascii="宋体"/>
                <w:vanish/>
              </w:rPr>
            </w:pPr>
          </w:p>
        </w:tc>
        <w:tc>
          <w:tcPr>
            <w:tcW w:w="0" w:type="auto"/>
            <w:shd w:val="clear" w:color="auto" w:fill="auto"/>
            <w:vAlign w:val="bottom"/>
          </w:tcPr>
          <w:p w14:paraId="71D3F1FC" w14:textId="77777777" w:rsidR="006A3667" w:rsidRDefault="006A3667">
            <w:pPr>
              <w:rPr>
                <w:rFonts w:ascii="宋体"/>
                <w:vanish/>
              </w:rPr>
            </w:pPr>
          </w:p>
        </w:tc>
        <w:tc>
          <w:tcPr>
            <w:tcW w:w="0" w:type="auto"/>
            <w:shd w:val="clear" w:color="auto" w:fill="auto"/>
            <w:vAlign w:val="bottom"/>
          </w:tcPr>
          <w:p w14:paraId="71D3F1FD" w14:textId="77777777" w:rsidR="006A3667" w:rsidRDefault="006A3667">
            <w:pPr>
              <w:rPr>
                <w:rFonts w:ascii="宋体"/>
                <w:vanish/>
              </w:rPr>
            </w:pPr>
          </w:p>
        </w:tc>
        <w:tc>
          <w:tcPr>
            <w:tcW w:w="0" w:type="auto"/>
            <w:gridSpan w:val="3"/>
            <w:shd w:val="clear" w:color="auto" w:fill="auto"/>
            <w:vAlign w:val="bottom"/>
          </w:tcPr>
          <w:p w14:paraId="71D3F1FE" w14:textId="77777777" w:rsidR="006A3667" w:rsidRDefault="006A3667">
            <w:pPr>
              <w:rPr>
                <w:rFonts w:ascii="宋体"/>
                <w:vanish/>
              </w:rPr>
            </w:pPr>
          </w:p>
        </w:tc>
        <w:tc>
          <w:tcPr>
            <w:tcW w:w="0" w:type="auto"/>
            <w:gridSpan w:val="3"/>
            <w:shd w:val="clear" w:color="auto" w:fill="auto"/>
            <w:vAlign w:val="bottom"/>
          </w:tcPr>
          <w:p w14:paraId="71D3F1FF" w14:textId="77777777" w:rsidR="006A3667" w:rsidRDefault="006A3667">
            <w:pPr>
              <w:rPr>
                <w:rFonts w:ascii="宋体"/>
                <w:vanish/>
              </w:rPr>
            </w:pPr>
          </w:p>
        </w:tc>
        <w:tc>
          <w:tcPr>
            <w:tcW w:w="0" w:type="auto"/>
            <w:gridSpan w:val="3"/>
            <w:shd w:val="clear" w:color="auto" w:fill="auto"/>
            <w:vAlign w:val="bottom"/>
          </w:tcPr>
          <w:p w14:paraId="71D3F200" w14:textId="77777777" w:rsidR="006A3667" w:rsidRDefault="006A3667">
            <w:pPr>
              <w:rPr>
                <w:rFonts w:ascii="宋体"/>
                <w:vanish/>
              </w:rPr>
            </w:pPr>
          </w:p>
        </w:tc>
        <w:tc>
          <w:tcPr>
            <w:tcW w:w="0" w:type="auto"/>
            <w:gridSpan w:val="3"/>
            <w:shd w:val="clear" w:color="auto" w:fill="auto"/>
            <w:vAlign w:val="bottom"/>
          </w:tcPr>
          <w:p w14:paraId="71D3F201" w14:textId="77777777" w:rsidR="006A3667" w:rsidRDefault="006A3667">
            <w:pPr>
              <w:rPr>
                <w:rFonts w:ascii="宋体"/>
                <w:vanish/>
              </w:rPr>
            </w:pPr>
          </w:p>
        </w:tc>
        <w:tc>
          <w:tcPr>
            <w:tcW w:w="0" w:type="auto"/>
            <w:gridSpan w:val="2"/>
            <w:shd w:val="clear" w:color="auto" w:fill="auto"/>
            <w:vAlign w:val="bottom"/>
          </w:tcPr>
          <w:p w14:paraId="71D3F202" w14:textId="77777777" w:rsidR="006A3667" w:rsidRDefault="006A3667">
            <w:pPr>
              <w:rPr>
                <w:rFonts w:ascii="宋体"/>
                <w:vanish/>
              </w:rPr>
            </w:pPr>
          </w:p>
        </w:tc>
        <w:tc>
          <w:tcPr>
            <w:tcW w:w="0" w:type="auto"/>
            <w:shd w:val="clear" w:color="auto" w:fill="auto"/>
            <w:vAlign w:val="bottom"/>
          </w:tcPr>
          <w:p w14:paraId="71D3F203" w14:textId="77777777" w:rsidR="006A3667" w:rsidRDefault="006A3667">
            <w:pPr>
              <w:rPr>
                <w:rFonts w:ascii="宋体"/>
                <w:vanish/>
              </w:rPr>
            </w:pPr>
          </w:p>
        </w:tc>
      </w:tr>
      <w:tr w:rsidR="006A3667" w14:paraId="71D3F221" w14:textId="77777777">
        <w:tc>
          <w:tcPr>
            <w:tcW w:w="0" w:type="auto"/>
            <w:gridSpan w:val="3"/>
            <w:shd w:val="clear" w:color="auto" w:fill="CCEEFF"/>
            <w:tcMar>
              <w:top w:w="40" w:type="dxa"/>
              <w:left w:w="20" w:type="dxa"/>
              <w:bottom w:w="40" w:type="dxa"/>
              <w:right w:w="20" w:type="dxa"/>
            </w:tcMar>
            <w:vAlign w:val="bottom"/>
          </w:tcPr>
          <w:p w14:paraId="71D3F205" w14:textId="77777777" w:rsidR="006A3667" w:rsidRDefault="00045F32">
            <w:pPr>
              <w:textAlignment w:val="bottom"/>
            </w:pPr>
            <w:r>
              <w:rPr>
                <w:rFonts w:ascii="Arial" w:eastAsia="宋体" w:hAnsi="Arial" w:cs="Arial"/>
                <w:color w:val="000000"/>
                <w:sz w:val="12"/>
                <w:szCs w:val="12"/>
              </w:rPr>
              <w:t>Investment securities held-to-maturity purchased un</w:t>
            </w:r>
            <w:r>
              <w:rPr>
                <w:rFonts w:ascii="Arial" w:eastAsia="宋体" w:hAnsi="Arial" w:cs="Arial"/>
                <w:color w:val="000000"/>
                <w:sz w:val="12"/>
                <w:szCs w:val="12"/>
              </w:rPr>
              <w:t>der money market liquidity facility</w:t>
            </w:r>
          </w:p>
        </w:tc>
        <w:tc>
          <w:tcPr>
            <w:tcW w:w="0" w:type="auto"/>
            <w:gridSpan w:val="2"/>
            <w:shd w:val="clear" w:color="auto" w:fill="CCEEFF"/>
            <w:tcMar>
              <w:top w:w="40" w:type="dxa"/>
              <w:left w:w="20" w:type="dxa"/>
              <w:bottom w:w="40" w:type="dxa"/>
              <w:right w:w="0" w:type="dxa"/>
            </w:tcMar>
            <w:vAlign w:val="bottom"/>
          </w:tcPr>
          <w:p w14:paraId="71D3F206"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09"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0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0C"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0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0F" w14:textId="77777777" w:rsidR="006A3667" w:rsidRDefault="00045F32">
            <w:pPr>
              <w:jc w:val="right"/>
              <w:textAlignment w:val="bottom"/>
            </w:pPr>
            <w:r>
              <w:rPr>
                <w:rFonts w:ascii="Arial" w:eastAsia="宋体" w:hAnsi="Arial" w:cs="Arial"/>
                <w:color w:val="000000"/>
                <w:sz w:val="12"/>
                <w:szCs w:val="12"/>
              </w:rPr>
              <w:t>420 </w:t>
            </w:r>
          </w:p>
        </w:tc>
        <w:tc>
          <w:tcPr>
            <w:tcW w:w="0" w:type="auto"/>
            <w:shd w:val="clear" w:color="auto" w:fill="CCEEFF"/>
            <w:tcMar>
              <w:top w:w="40" w:type="dxa"/>
              <w:left w:w="0" w:type="dxa"/>
              <w:bottom w:w="40" w:type="dxa"/>
              <w:right w:w="20" w:type="dxa"/>
            </w:tcMar>
            <w:vAlign w:val="bottom"/>
          </w:tcPr>
          <w:p w14:paraId="71D3F2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1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12" w14:textId="77777777" w:rsidR="006A3667" w:rsidRDefault="00045F32">
            <w:pPr>
              <w:jc w:val="right"/>
              <w:textAlignment w:val="bottom"/>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bottom"/>
          </w:tcPr>
          <w:p w14:paraId="71D3F2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1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15" w14:textId="77777777" w:rsidR="006A3667" w:rsidRDefault="00045F32">
            <w:pPr>
              <w:jc w:val="right"/>
              <w:textAlignment w:val="bottom"/>
            </w:pPr>
            <w:r>
              <w:rPr>
                <w:rFonts w:ascii="Arial" w:eastAsia="宋体" w:hAnsi="Arial" w:cs="Arial"/>
                <w:color w:val="000000"/>
                <w:sz w:val="12"/>
                <w:szCs w:val="12"/>
              </w:rPr>
              <w:t>1.35 </w:t>
            </w:r>
          </w:p>
        </w:tc>
        <w:tc>
          <w:tcPr>
            <w:tcW w:w="0" w:type="auto"/>
            <w:shd w:val="clear" w:color="auto" w:fill="CCEEFF"/>
            <w:tcMar>
              <w:top w:w="40" w:type="dxa"/>
              <w:left w:w="0" w:type="dxa"/>
              <w:bottom w:w="40" w:type="dxa"/>
              <w:right w:w="20" w:type="dxa"/>
            </w:tcMar>
            <w:vAlign w:val="bottom"/>
          </w:tcPr>
          <w:p w14:paraId="71D3F216" w14:textId="77777777" w:rsidR="006A3667" w:rsidRDefault="006A3667">
            <w:pPr>
              <w:jc w:val="right"/>
              <w:rPr>
                <w:rFonts w:ascii="宋体"/>
              </w:rPr>
            </w:pPr>
          </w:p>
        </w:tc>
        <w:tc>
          <w:tcPr>
            <w:tcW w:w="0" w:type="auto"/>
            <w:shd w:val="clear" w:color="auto" w:fill="auto"/>
            <w:vAlign w:val="bottom"/>
          </w:tcPr>
          <w:p w14:paraId="71D3F217" w14:textId="77777777" w:rsidR="006A3667" w:rsidRDefault="006A3667">
            <w:pPr>
              <w:rPr>
                <w:rFonts w:ascii="宋体"/>
                <w:vanish/>
              </w:rPr>
            </w:pPr>
          </w:p>
        </w:tc>
        <w:tc>
          <w:tcPr>
            <w:tcW w:w="0" w:type="auto"/>
            <w:shd w:val="clear" w:color="auto" w:fill="auto"/>
            <w:vAlign w:val="bottom"/>
          </w:tcPr>
          <w:p w14:paraId="71D3F218" w14:textId="77777777" w:rsidR="006A3667" w:rsidRDefault="006A3667">
            <w:pPr>
              <w:rPr>
                <w:rFonts w:ascii="宋体"/>
                <w:vanish/>
              </w:rPr>
            </w:pPr>
          </w:p>
        </w:tc>
        <w:tc>
          <w:tcPr>
            <w:tcW w:w="0" w:type="auto"/>
            <w:shd w:val="clear" w:color="auto" w:fill="auto"/>
            <w:vAlign w:val="bottom"/>
          </w:tcPr>
          <w:p w14:paraId="71D3F219" w14:textId="77777777" w:rsidR="006A3667" w:rsidRDefault="006A3667">
            <w:pPr>
              <w:rPr>
                <w:rFonts w:ascii="宋体"/>
                <w:vanish/>
              </w:rPr>
            </w:pPr>
          </w:p>
        </w:tc>
        <w:tc>
          <w:tcPr>
            <w:tcW w:w="0" w:type="auto"/>
            <w:shd w:val="clear" w:color="auto" w:fill="auto"/>
            <w:vAlign w:val="bottom"/>
          </w:tcPr>
          <w:p w14:paraId="71D3F21A" w14:textId="77777777" w:rsidR="006A3667" w:rsidRDefault="006A3667">
            <w:pPr>
              <w:rPr>
                <w:rFonts w:ascii="宋体"/>
                <w:vanish/>
              </w:rPr>
            </w:pPr>
          </w:p>
        </w:tc>
        <w:tc>
          <w:tcPr>
            <w:tcW w:w="0" w:type="auto"/>
            <w:gridSpan w:val="3"/>
            <w:shd w:val="clear" w:color="auto" w:fill="auto"/>
            <w:vAlign w:val="bottom"/>
          </w:tcPr>
          <w:p w14:paraId="71D3F21B" w14:textId="77777777" w:rsidR="006A3667" w:rsidRDefault="006A3667">
            <w:pPr>
              <w:rPr>
                <w:rFonts w:ascii="宋体"/>
                <w:vanish/>
              </w:rPr>
            </w:pPr>
          </w:p>
        </w:tc>
        <w:tc>
          <w:tcPr>
            <w:tcW w:w="0" w:type="auto"/>
            <w:gridSpan w:val="3"/>
            <w:shd w:val="clear" w:color="auto" w:fill="auto"/>
            <w:vAlign w:val="bottom"/>
          </w:tcPr>
          <w:p w14:paraId="71D3F21C" w14:textId="77777777" w:rsidR="006A3667" w:rsidRDefault="006A3667">
            <w:pPr>
              <w:rPr>
                <w:rFonts w:ascii="宋体"/>
                <w:vanish/>
              </w:rPr>
            </w:pPr>
          </w:p>
        </w:tc>
        <w:tc>
          <w:tcPr>
            <w:tcW w:w="0" w:type="auto"/>
            <w:gridSpan w:val="3"/>
            <w:shd w:val="clear" w:color="auto" w:fill="auto"/>
            <w:vAlign w:val="bottom"/>
          </w:tcPr>
          <w:p w14:paraId="71D3F21D" w14:textId="77777777" w:rsidR="006A3667" w:rsidRDefault="006A3667">
            <w:pPr>
              <w:rPr>
                <w:rFonts w:ascii="宋体"/>
                <w:vanish/>
              </w:rPr>
            </w:pPr>
          </w:p>
        </w:tc>
        <w:tc>
          <w:tcPr>
            <w:tcW w:w="0" w:type="auto"/>
            <w:gridSpan w:val="3"/>
            <w:shd w:val="clear" w:color="auto" w:fill="auto"/>
            <w:vAlign w:val="bottom"/>
          </w:tcPr>
          <w:p w14:paraId="71D3F21E" w14:textId="77777777" w:rsidR="006A3667" w:rsidRDefault="006A3667">
            <w:pPr>
              <w:rPr>
                <w:rFonts w:ascii="宋体"/>
                <w:vanish/>
              </w:rPr>
            </w:pPr>
          </w:p>
        </w:tc>
        <w:tc>
          <w:tcPr>
            <w:tcW w:w="0" w:type="auto"/>
            <w:gridSpan w:val="2"/>
            <w:shd w:val="clear" w:color="auto" w:fill="auto"/>
            <w:vAlign w:val="bottom"/>
          </w:tcPr>
          <w:p w14:paraId="71D3F21F" w14:textId="77777777" w:rsidR="006A3667" w:rsidRDefault="006A3667">
            <w:pPr>
              <w:rPr>
                <w:rFonts w:ascii="宋体"/>
                <w:vanish/>
              </w:rPr>
            </w:pPr>
          </w:p>
        </w:tc>
        <w:tc>
          <w:tcPr>
            <w:tcW w:w="0" w:type="auto"/>
            <w:shd w:val="clear" w:color="auto" w:fill="auto"/>
            <w:vAlign w:val="bottom"/>
          </w:tcPr>
          <w:p w14:paraId="71D3F220" w14:textId="77777777" w:rsidR="006A3667" w:rsidRDefault="006A3667">
            <w:pPr>
              <w:rPr>
                <w:rFonts w:ascii="宋体"/>
                <w:vanish/>
              </w:rPr>
            </w:pPr>
          </w:p>
        </w:tc>
      </w:tr>
      <w:tr w:rsidR="006A3667" w14:paraId="71D3F23E" w14:textId="77777777">
        <w:tc>
          <w:tcPr>
            <w:tcW w:w="0" w:type="auto"/>
            <w:gridSpan w:val="3"/>
            <w:shd w:val="clear" w:color="auto" w:fill="FFFFFF"/>
            <w:tcMar>
              <w:top w:w="40" w:type="dxa"/>
              <w:left w:w="20" w:type="dxa"/>
              <w:bottom w:w="40" w:type="dxa"/>
              <w:right w:w="20" w:type="dxa"/>
            </w:tcMar>
            <w:vAlign w:val="bottom"/>
          </w:tcPr>
          <w:p w14:paraId="71D3F222" w14:textId="77777777" w:rsidR="006A3667" w:rsidRDefault="00045F32">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223" w14:textId="77777777" w:rsidR="006A3667" w:rsidRDefault="00045F32">
            <w:pPr>
              <w:jc w:val="right"/>
              <w:textAlignment w:val="bottom"/>
            </w:pPr>
            <w:r>
              <w:rPr>
                <w:rFonts w:ascii="Arial" w:eastAsia="宋体" w:hAnsi="Arial" w:cs="Arial"/>
                <w:b/>
                <w:bCs/>
                <w:color w:val="000000"/>
                <w:sz w:val="12"/>
                <w:szCs w:val="12"/>
              </w:rPr>
              <w:t>113,992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22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2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226" w14:textId="77777777" w:rsidR="006A3667" w:rsidRDefault="00045F32">
            <w:pPr>
              <w:jc w:val="right"/>
              <w:textAlignment w:val="bottom"/>
            </w:pPr>
            <w:r>
              <w:rPr>
                <w:rFonts w:ascii="Arial" w:eastAsia="宋体" w:hAnsi="Arial" w:cs="Arial"/>
                <w:b/>
                <w:bCs/>
                <w:color w:val="000000"/>
                <w:sz w:val="12"/>
                <w:szCs w:val="12"/>
              </w:rPr>
              <w:t>1,131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22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2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29" w14:textId="77777777" w:rsidR="006A3667" w:rsidRDefault="00045F32">
            <w:pPr>
              <w:jc w:val="right"/>
              <w:textAlignment w:val="bottom"/>
            </w:pPr>
            <w:r>
              <w:rPr>
                <w:rFonts w:ascii="Arial" w:eastAsia="宋体" w:hAnsi="Arial" w:cs="Arial"/>
                <w:b/>
                <w:bCs/>
                <w:color w:val="000000"/>
                <w:sz w:val="12"/>
                <w:szCs w:val="12"/>
              </w:rPr>
              <w:t>1.32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22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2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22C" w14:textId="77777777" w:rsidR="006A3667" w:rsidRDefault="00045F32">
            <w:pPr>
              <w:jc w:val="right"/>
              <w:textAlignment w:val="bottom"/>
            </w:pPr>
            <w:r>
              <w:rPr>
                <w:rFonts w:ascii="Arial" w:eastAsia="宋体" w:hAnsi="Arial" w:cs="Arial"/>
                <w:color w:val="000000"/>
                <w:sz w:val="12"/>
                <w:szCs w:val="12"/>
              </w:rPr>
              <w:t>110,997 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22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2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22F" w14:textId="77777777" w:rsidR="006A3667" w:rsidRDefault="00045F32">
            <w:pPr>
              <w:jc w:val="right"/>
              <w:textAlignment w:val="bottom"/>
            </w:pPr>
            <w:r>
              <w:rPr>
                <w:rFonts w:ascii="Arial" w:eastAsia="宋体" w:hAnsi="Arial" w:cs="Arial"/>
                <w:color w:val="000000"/>
                <w:sz w:val="12"/>
                <w:szCs w:val="12"/>
              </w:rPr>
              <w:t>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23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3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32" w14:textId="77777777" w:rsidR="006A3667" w:rsidRDefault="00045F32">
            <w:pPr>
              <w:jc w:val="right"/>
              <w:textAlignment w:val="bottom"/>
            </w:pPr>
            <w:r>
              <w:rPr>
                <w:rFonts w:ascii="Arial" w:eastAsia="宋体" w:hAnsi="Arial" w:cs="Arial"/>
                <w:color w:val="000000"/>
                <w:sz w:val="12"/>
                <w:szCs w:val="12"/>
              </w:rPr>
              <w:t>1.14 </w:t>
            </w:r>
          </w:p>
        </w:tc>
        <w:tc>
          <w:tcPr>
            <w:tcW w:w="0" w:type="auto"/>
            <w:shd w:val="clear" w:color="auto" w:fill="FFFFFF"/>
            <w:tcMar>
              <w:top w:w="40" w:type="dxa"/>
              <w:left w:w="0" w:type="dxa"/>
              <w:bottom w:w="40" w:type="dxa"/>
              <w:right w:w="20" w:type="dxa"/>
            </w:tcMar>
            <w:vAlign w:val="bottom"/>
          </w:tcPr>
          <w:p w14:paraId="71D3F233" w14:textId="77777777" w:rsidR="006A3667" w:rsidRDefault="006A3667">
            <w:pPr>
              <w:jc w:val="right"/>
              <w:rPr>
                <w:rFonts w:ascii="宋体"/>
              </w:rPr>
            </w:pPr>
          </w:p>
        </w:tc>
        <w:tc>
          <w:tcPr>
            <w:tcW w:w="0" w:type="auto"/>
            <w:shd w:val="clear" w:color="auto" w:fill="auto"/>
            <w:vAlign w:val="bottom"/>
          </w:tcPr>
          <w:p w14:paraId="71D3F234" w14:textId="77777777" w:rsidR="006A3667" w:rsidRDefault="006A3667">
            <w:pPr>
              <w:rPr>
                <w:rFonts w:ascii="宋体"/>
                <w:vanish/>
              </w:rPr>
            </w:pPr>
          </w:p>
        </w:tc>
        <w:tc>
          <w:tcPr>
            <w:tcW w:w="0" w:type="auto"/>
            <w:shd w:val="clear" w:color="auto" w:fill="auto"/>
            <w:vAlign w:val="bottom"/>
          </w:tcPr>
          <w:p w14:paraId="71D3F235" w14:textId="77777777" w:rsidR="006A3667" w:rsidRDefault="006A3667">
            <w:pPr>
              <w:rPr>
                <w:rFonts w:ascii="宋体"/>
                <w:vanish/>
              </w:rPr>
            </w:pPr>
          </w:p>
        </w:tc>
        <w:tc>
          <w:tcPr>
            <w:tcW w:w="0" w:type="auto"/>
            <w:shd w:val="clear" w:color="auto" w:fill="auto"/>
            <w:vAlign w:val="bottom"/>
          </w:tcPr>
          <w:p w14:paraId="71D3F236" w14:textId="77777777" w:rsidR="006A3667" w:rsidRDefault="006A3667">
            <w:pPr>
              <w:rPr>
                <w:rFonts w:ascii="宋体"/>
                <w:vanish/>
              </w:rPr>
            </w:pPr>
          </w:p>
        </w:tc>
        <w:tc>
          <w:tcPr>
            <w:tcW w:w="0" w:type="auto"/>
            <w:shd w:val="clear" w:color="auto" w:fill="auto"/>
            <w:vAlign w:val="bottom"/>
          </w:tcPr>
          <w:p w14:paraId="71D3F237" w14:textId="77777777" w:rsidR="006A3667" w:rsidRDefault="006A3667">
            <w:pPr>
              <w:rPr>
                <w:rFonts w:ascii="宋体"/>
                <w:vanish/>
              </w:rPr>
            </w:pPr>
          </w:p>
        </w:tc>
        <w:tc>
          <w:tcPr>
            <w:tcW w:w="0" w:type="auto"/>
            <w:gridSpan w:val="3"/>
            <w:shd w:val="clear" w:color="auto" w:fill="auto"/>
            <w:vAlign w:val="bottom"/>
          </w:tcPr>
          <w:p w14:paraId="71D3F238" w14:textId="77777777" w:rsidR="006A3667" w:rsidRDefault="006A3667">
            <w:pPr>
              <w:rPr>
                <w:rFonts w:ascii="宋体"/>
                <w:vanish/>
              </w:rPr>
            </w:pPr>
          </w:p>
        </w:tc>
        <w:tc>
          <w:tcPr>
            <w:tcW w:w="0" w:type="auto"/>
            <w:gridSpan w:val="3"/>
            <w:shd w:val="clear" w:color="auto" w:fill="auto"/>
            <w:vAlign w:val="bottom"/>
          </w:tcPr>
          <w:p w14:paraId="71D3F239" w14:textId="77777777" w:rsidR="006A3667" w:rsidRDefault="006A3667">
            <w:pPr>
              <w:rPr>
                <w:rFonts w:ascii="宋体"/>
                <w:vanish/>
              </w:rPr>
            </w:pPr>
          </w:p>
        </w:tc>
        <w:tc>
          <w:tcPr>
            <w:tcW w:w="0" w:type="auto"/>
            <w:gridSpan w:val="3"/>
            <w:shd w:val="clear" w:color="auto" w:fill="auto"/>
            <w:vAlign w:val="bottom"/>
          </w:tcPr>
          <w:p w14:paraId="71D3F23A" w14:textId="77777777" w:rsidR="006A3667" w:rsidRDefault="006A3667">
            <w:pPr>
              <w:rPr>
                <w:rFonts w:ascii="宋体"/>
                <w:vanish/>
              </w:rPr>
            </w:pPr>
          </w:p>
        </w:tc>
        <w:tc>
          <w:tcPr>
            <w:tcW w:w="0" w:type="auto"/>
            <w:gridSpan w:val="3"/>
            <w:shd w:val="clear" w:color="auto" w:fill="auto"/>
            <w:vAlign w:val="bottom"/>
          </w:tcPr>
          <w:p w14:paraId="71D3F23B" w14:textId="77777777" w:rsidR="006A3667" w:rsidRDefault="006A3667">
            <w:pPr>
              <w:rPr>
                <w:rFonts w:ascii="宋体"/>
                <w:vanish/>
              </w:rPr>
            </w:pPr>
          </w:p>
        </w:tc>
        <w:tc>
          <w:tcPr>
            <w:tcW w:w="0" w:type="auto"/>
            <w:gridSpan w:val="2"/>
            <w:shd w:val="clear" w:color="auto" w:fill="auto"/>
            <w:vAlign w:val="bottom"/>
          </w:tcPr>
          <w:p w14:paraId="71D3F23C" w14:textId="77777777" w:rsidR="006A3667" w:rsidRDefault="006A3667">
            <w:pPr>
              <w:rPr>
                <w:rFonts w:ascii="宋体"/>
                <w:vanish/>
              </w:rPr>
            </w:pPr>
          </w:p>
        </w:tc>
        <w:tc>
          <w:tcPr>
            <w:tcW w:w="0" w:type="auto"/>
            <w:shd w:val="clear" w:color="auto" w:fill="auto"/>
            <w:vAlign w:val="bottom"/>
          </w:tcPr>
          <w:p w14:paraId="71D3F23D" w14:textId="77777777" w:rsidR="006A3667" w:rsidRDefault="006A3667">
            <w:pPr>
              <w:rPr>
                <w:rFonts w:ascii="宋体"/>
                <w:vanish/>
              </w:rPr>
            </w:pPr>
          </w:p>
        </w:tc>
      </w:tr>
      <w:tr w:rsidR="006A3667" w14:paraId="71D3F25B" w14:textId="77777777">
        <w:tc>
          <w:tcPr>
            <w:tcW w:w="0" w:type="auto"/>
            <w:gridSpan w:val="3"/>
            <w:shd w:val="clear" w:color="auto" w:fill="CCEEFF"/>
            <w:tcMar>
              <w:top w:w="40" w:type="dxa"/>
              <w:left w:w="20" w:type="dxa"/>
              <w:bottom w:w="40" w:type="dxa"/>
              <w:right w:w="20" w:type="dxa"/>
            </w:tcMar>
            <w:vAlign w:val="bottom"/>
          </w:tcPr>
          <w:p w14:paraId="71D3F23F" w14:textId="77777777" w:rsidR="006A3667" w:rsidRDefault="00045F32">
            <w:pPr>
              <w:textAlignment w:val="bottom"/>
            </w:pPr>
            <w:r>
              <w:rPr>
                <w:rFonts w:ascii="Arial" w:eastAsia="宋体" w:hAnsi="Arial" w:cs="Arial"/>
                <w:color w:val="000000"/>
                <w:sz w:val="12"/>
                <w:szCs w:val="12"/>
              </w:rPr>
              <w:t xml:space="preserve">Loans </w:t>
            </w:r>
          </w:p>
        </w:tc>
        <w:tc>
          <w:tcPr>
            <w:tcW w:w="0" w:type="auto"/>
            <w:gridSpan w:val="2"/>
            <w:shd w:val="clear" w:color="auto" w:fill="CCEEFF"/>
            <w:tcMar>
              <w:top w:w="40" w:type="dxa"/>
              <w:left w:w="20" w:type="dxa"/>
              <w:bottom w:w="40" w:type="dxa"/>
              <w:right w:w="0" w:type="dxa"/>
            </w:tcMar>
            <w:vAlign w:val="bottom"/>
          </w:tcPr>
          <w:p w14:paraId="71D3F240" w14:textId="77777777" w:rsidR="006A3667" w:rsidRDefault="00045F32">
            <w:pPr>
              <w:jc w:val="right"/>
              <w:textAlignment w:val="bottom"/>
            </w:pPr>
            <w:r>
              <w:rPr>
                <w:rFonts w:ascii="Arial" w:eastAsia="宋体" w:hAnsi="Arial" w:cs="Arial"/>
                <w:b/>
                <w:bCs/>
                <w:color w:val="000000"/>
                <w:sz w:val="12"/>
                <w:szCs w:val="12"/>
              </w:rPr>
              <w:t>35,103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4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43" w14:textId="77777777" w:rsidR="006A3667" w:rsidRDefault="00045F32">
            <w:pPr>
              <w:jc w:val="right"/>
              <w:textAlignment w:val="bottom"/>
            </w:pPr>
            <w:r>
              <w:rPr>
                <w:rFonts w:ascii="Arial" w:eastAsia="宋体" w:hAnsi="Arial" w:cs="Arial"/>
                <w:b/>
                <w:bCs/>
                <w:color w:val="000000"/>
                <w:sz w:val="12"/>
                <w:szCs w:val="12"/>
              </w:rPr>
              <w:t>628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4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46" w14:textId="77777777" w:rsidR="006A3667" w:rsidRDefault="00045F32">
            <w:pPr>
              <w:jc w:val="right"/>
              <w:textAlignment w:val="bottom"/>
            </w:pPr>
            <w:r>
              <w:rPr>
                <w:rFonts w:ascii="Arial" w:eastAsia="宋体" w:hAnsi="Arial" w:cs="Arial"/>
                <w:b/>
                <w:bCs/>
                <w:color w:val="000000"/>
                <w:sz w:val="12"/>
                <w:szCs w:val="12"/>
              </w:rPr>
              <w:t>2.39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4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4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49" w14:textId="77777777" w:rsidR="006A3667" w:rsidRDefault="00045F32">
            <w:pPr>
              <w:jc w:val="right"/>
              <w:textAlignment w:val="bottom"/>
            </w:pPr>
            <w:r>
              <w:rPr>
                <w:rFonts w:ascii="Arial" w:eastAsia="宋体" w:hAnsi="Arial" w:cs="Arial"/>
                <w:color w:val="000000"/>
                <w:sz w:val="12"/>
                <w:szCs w:val="12"/>
              </w:rPr>
              <w:t>29,858 </w:t>
            </w:r>
          </w:p>
        </w:tc>
        <w:tc>
          <w:tcPr>
            <w:tcW w:w="0" w:type="auto"/>
            <w:shd w:val="clear" w:color="auto" w:fill="CCEEFF"/>
            <w:tcMar>
              <w:top w:w="40" w:type="dxa"/>
              <w:left w:w="0" w:type="dxa"/>
              <w:bottom w:w="40" w:type="dxa"/>
              <w:right w:w="20" w:type="dxa"/>
            </w:tcMar>
            <w:vAlign w:val="bottom"/>
          </w:tcPr>
          <w:p w14:paraId="71D3F24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4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4C" w14:textId="77777777" w:rsidR="006A3667" w:rsidRDefault="00045F32">
            <w:pPr>
              <w:jc w:val="right"/>
              <w:textAlignment w:val="bottom"/>
            </w:pPr>
            <w:r>
              <w:rPr>
                <w:rFonts w:ascii="Arial" w:eastAsia="宋体" w:hAnsi="Arial" w:cs="Arial"/>
                <w:color w:val="000000"/>
                <w:sz w:val="12"/>
                <w:szCs w:val="12"/>
              </w:rPr>
              <w:t>467 </w:t>
            </w:r>
          </w:p>
        </w:tc>
        <w:tc>
          <w:tcPr>
            <w:tcW w:w="0" w:type="auto"/>
            <w:shd w:val="clear" w:color="auto" w:fill="CCEEFF"/>
            <w:tcMar>
              <w:top w:w="40" w:type="dxa"/>
              <w:left w:w="0" w:type="dxa"/>
              <w:bottom w:w="40" w:type="dxa"/>
              <w:right w:w="20" w:type="dxa"/>
            </w:tcMar>
            <w:vAlign w:val="bottom"/>
          </w:tcPr>
          <w:p w14:paraId="71D3F2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4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4F" w14:textId="77777777" w:rsidR="006A3667" w:rsidRDefault="00045F32">
            <w:pPr>
              <w:jc w:val="right"/>
              <w:textAlignment w:val="bottom"/>
            </w:pPr>
            <w:r>
              <w:rPr>
                <w:rFonts w:ascii="Arial" w:eastAsia="宋体" w:hAnsi="Arial" w:cs="Arial"/>
                <w:color w:val="000000"/>
                <w:sz w:val="12"/>
                <w:szCs w:val="12"/>
              </w:rPr>
              <w:t>2.09 </w:t>
            </w:r>
          </w:p>
        </w:tc>
        <w:tc>
          <w:tcPr>
            <w:tcW w:w="0" w:type="auto"/>
            <w:shd w:val="clear" w:color="auto" w:fill="CCEEFF"/>
            <w:tcMar>
              <w:top w:w="40" w:type="dxa"/>
              <w:left w:w="0" w:type="dxa"/>
              <w:bottom w:w="40" w:type="dxa"/>
              <w:right w:w="20" w:type="dxa"/>
            </w:tcMar>
            <w:vAlign w:val="bottom"/>
          </w:tcPr>
          <w:p w14:paraId="71D3F250" w14:textId="77777777" w:rsidR="006A3667" w:rsidRDefault="006A3667">
            <w:pPr>
              <w:jc w:val="right"/>
              <w:rPr>
                <w:rFonts w:ascii="宋体"/>
              </w:rPr>
            </w:pPr>
          </w:p>
        </w:tc>
        <w:tc>
          <w:tcPr>
            <w:tcW w:w="0" w:type="auto"/>
            <w:shd w:val="clear" w:color="auto" w:fill="auto"/>
            <w:vAlign w:val="bottom"/>
          </w:tcPr>
          <w:p w14:paraId="71D3F251" w14:textId="77777777" w:rsidR="006A3667" w:rsidRDefault="006A3667">
            <w:pPr>
              <w:rPr>
                <w:rFonts w:ascii="宋体"/>
                <w:vanish/>
              </w:rPr>
            </w:pPr>
          </w:p>
        </w:tc>
        <w:tc>
          <w:tcPr>
            <w:tcW w:w="0" w:type="auto"/>
            <w:shd w:val="clear" w:color="auto" w:fill="auto"/>
            <w:vAlign w:val="bottom"/>
          </w:tcPr>
          <w:p w14:paraId="71D3F252" w14:textId="77777777" w:rsidR="006A3667" w:rsidRDefault="006A3667">
            <w:pPr>
              <w:rPr>
                <w:rFonts w:ascii="宋体"/>
                <w:vanish/>
              </w:rPr>
            </w:pPr>
          </w:p>
        </w:tc>
        <w:tc>
          <w:tcPr>
            <w:tcW w:w="0" w:type="auto"/>
            <w:shd w:val="clear" w:color="auto" w:fill="auto"/>
            <w:vAlign w:val="bottom"/>
          </w:tcPr>
          <w:p w14:paraId="71D3F253" w14:textId="77777777" w:rsidR="006A3667" w:rsidRDefault="006A3667">
            <w:pPr>
              <w:rPr>
                <w:rFonts w:ascii="宋体"/>
                <w:vanish/>
              </w:rPr>
            </w:pPr>
          </w:p>
        </w:tc>
        <w:tc>
          <w:tcPr>
            <w:tcW w:w="0" w:type="auto"/>
            <w:shd w:val="clear" w:color="auto" w:fill="auto"/>
            <w:vAlign w:val="bottom"/>
          </w:tcPr>
          <w:p w14:paraId="71D3F254" w14:textId="77777777" w:rsidR="006A3667" w:rsidRDefault="006A3667">
            <w:pPr>
              <w:rPr>
                <w:rFonts w:ascii="宋体"/>
                <w:vanish/>
              </w:rPr>
            </w:pPr>
          </w:p>
        </w:tc>
        <w:tc>
          <w:tcPr>
            <w:tcW w:w="0" w:type="auto"/>
            <w:gridSpan w:val="3"/>
            <w:shd w:val="clear" w:color="auto" w:fill="auto"/>
            <w:vAlign w:val="bottom"/>
          </w:tcPr>
          <w:p w14:paraId="71D3F255" w14:textId="77777777" w:rsidR="006A3667" w:rsidRDefault="006A3667">
            <w:pPr>
              <w:rPr>
                <w:rFonts w:ascii="宋体"/>
                <w:vanish/>
              </w:rPr>
            </w:pPr>
          </w:p>
        </w:tc>
        <w:tc>
          <w:tcPr>
            <w:tcW w:w="0" w:type="auto"/>
            <w:gridSpan w:val="3"/>
            <w:shd w:val="clear" w:color="auto" w:fill="auto"/>
            <w:vAlign w:val="bottom"/>
          </w:tcPr>
          <w:p w14:paraId="71D3F256" w14:textId="77777777" w:rsidR="006A3667" w:rsidRDefault="006A3667">
            <w:pPr>
              <w:rPr>
                <w:rFonts w:ascii="宋体"/>
                <w:vanish/>
              </w:rPr>
            </w:pPr>
          </w:p>
        </w:tc>
        <w:tc>
          <w:tcPr>
            <w:tcW w:w="0" w:type="auto"/>
            <w:gridSpan w:val="3"/>
            <w:shd w:val="clear" w:color="auto" w:fill="auto"/>
            <w:vAlign w:val="bottom"/>
          </w:tcPr>
          <w:p w14:paraId="71D3F257" w14:textId="77777777" w:rsidR="006A3667" w:rsidRDefault="006A3667">
            <w:pPr>
              <w:rPr>
                <w:rFonts w:ascii="宋体"/>
                <w:vanish/>
              </w:rPr>
            </w:pPr>
          </w:p>
        </w:tc>
        <w:tc>
          <w:tcPr>
            <w:tcW w:w="0" w:type="auto"/>
            <w:gridSpan w:val="3"/>
            <w:shd w:val="clear" w:color="auto" w:fill="auto"/>
            <w:vAlign w:val="bottom"/>
          </w:tcPr>
          <w:p w14:paraId="71D3F258" w14:textId="77777777" w:rsidR="006A3667" w:rsidRDefault="006A3667">
            <w:pPr>
              <w:rPr>
                <w:rFonts w:ascii="宋体"/>
                <w:vanish/>
              </w:rPr>
            </w:pPr>
          </w:p>
        </w:tc>
        <w:tc>
          <w:tcPr>
            <w:tcW w:w="0" w:type="auto"/>
            <w:gridSpan w:val="2"/>
            <w:shd w:val="clear" w:color="auto" w:fill="auto"/>
            <w:vAlign w:val="bottom"/>
          </w:tcPr>
          <w:p w14:paraId="71D3F259" w14:textId="77777777" w:rsidR="006A3667" w:rsidRDefault="006A3667">
            <w:pPr>
              <w:rPr>
                <w:rFonts w:ascii="宋体"/>
                <w:vanish/>
              </w:rPr>
            </w:pPr>
          </w:p>
        </w:tc>
        <w:tc>
          <w:tcPr>
            <w:tcW w:w="0" w:type="auto"/>
            <w:shd w:val="clear" w:color="auto" w:fill="auto"/>
            <w:vAlign w:val="bottom"/>
          </w:tcPr>
          <w:p w14:paraId="71D3F25A" w14:textId="77777777" w:rsidR="006A3667" w:rsidRDefault="006A3667">
            <w:pPr>
              <w:rPr>
                <w:rFonts w:ascii="宋体"/>
                <w:vanish/>
              </w:rPr>
            </w:pPr>
          </w:p>
        </w:tc>
      </w:tr>
      <w:tr w:rsidR="006A3667" w14:paraId="71D3F278" w14:textId="77777777">
        <w:tc>
          <w:tcPr>
            <w:tcW w:w="0" w:type="auto"/>
            <w:gridSpan w:val="3"/>
            <w:shd w:val="clear" w:color="auto" w:fill="FFFFFF"/>
            <w:tcMar>
              <w:top w:w="40" w:type="dxa"/>
              <w:left w:w="20" w:type="dxa"/>
              <w:bottom w:w="40" w:type="dxa"/>
              <w:right w:w="20" w:type="dxa"/>
            </w:tcMar>
            <w:vAlign w:val="bottom"/>
          </w:tcPr>
          <w:p w14:paraId="71D3F25C" w14:textId="77777777" w:rsidR="006A3667" w:rsidRDefault="00045F32">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71D3F25D" w14:textId="77777777" w:rsidR="006A3667" w:rsidRDefault="00045F32">
            <w:pPr>
              <w:jc w:val="right"/>
              <w:textAlignment w:val="bottom"/>
            </w:pPr>
            <w:r>
              <w:rPr>
                <w:rFonts w:ascii="Arial" w:eastAsia="宋体" w:hAnsi="Arial" w:cs="Arial"/>
                <w:b/>
                <w:bCs/>
                <w:color w:val="000000"/>
                <w:sz w:val="12"/>
                <w:szCs w:val="12"/>
              </w:rPr>
              <w:t>22,271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2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60" w14:textId="77777777" w:rsidR="006A3667" w:rsidRDefault="00045F32">
            <w:pPr>
              <w:jc w:val="right"/>
              <w:textAlignment w:val="bottom"/>
            </w:pPr>
            <w:r>
              <w:rPr>
                <w:rFonts w:ascii="Arial" w:eastAsia="宋体" w:hAnsi="Arial" w:cs="Arial"/>
                <w:b/>
                <w:bCs/>
                <w:color w:val="000000"/>
                <w:sz w:val="12"/>
                <w:szCs w:val="12"/>
              </w:rPr>
              <w:t>189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26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6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63" w14:textId="77777777" w:rsidR="006A3667" w:rsidRDefault="00045F32">
            <w:pPr>
              <w:jc w:val="right"/>
              <w:textAlignment w:val="bottom"/>
            </w:pPr>
            <w:r>
              <w:rPr>
                <w:rFonts w:ascii="Arial" w:eastAsia="宋体" w:hAnsi="Arial" w:cs="Arial"/>
                <w:b/>
                <w:bCs/>
                <w:color w:val="000000"/>
                <w:sz w:val="12"/>
                <w:szCs w:val="12"/>
              </w:rPr>
              <w:t>1.14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26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6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66" w14:textId="77777777" w:rsidR="006A3667" w:rsidRDefault="00045F32">
            <w:pPr>
              <w:jc w:val="right"/>
              <w:textAlignment w:val="bottom"/>
            </w:pPr>
            <w:r>
              <w:rPr>
                <w:rFonts w:ascii="Arial" w:eastAsia="宋体" w:hAnsi="Arial" w:cs="Arial"/>
                <w:color w:val="000000"/>
                <w:sz w:val="12"/>
                <w:szCs w:val="12"/>
              </w:rPr>
              <w:t>21,322 </w:t>
            </w:r>
          </w:p>
        </w:tc>
        <w:tc>
          <w:tcPr>
            <w:tcW w:w="0" w:type="auto"/>
            <w:shd w:val="clear" w:color="auto" w:fill="FFFFFF"/>
            <w:tcMar>
              <w:top w:w="40" w:type="dxa"/>
              <w:left w:w="0" w:type="dxa"/>
              <w:bottom w:w="40" w:type="dxa"/>
              <w:right w:w="20" w:type="dxa"/>
            </w:tcMar>
            <w:vAlign w:val="bottom"/>
          </w:tcPr>
          <w:p w14:paraId="71D3F2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6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69" w14:textId="77777777" w:rsidR="006A3667" w:rsidRDefault="00045F32">
            <w:pPr>
              <w:jc w:val="right"/>
              <w:textAlignment w:val="bottom"/>
            </w:pPr>
            <w:r>
              <w:rPr>
                <w:rFonts w:ascii="Arial" w:eastAsia="宋体" w:hAnsi="Arial" w:cs="Arial"/>
                <w:color w:val="000000"/>
                <w:sz w:val="12"/>
                <w:szCs w:val="12"/>
              </w:rPr>
              <w:t>13 </w:t>
            </w:r>
          </w:p>
        </w:tc>
        <w:tc>
          <w:tcPr>
            <w:tcW w:w="0" w:type="auto"/>
            <w:shd w:val="clear" w:color="auto" w:fill="FFFFFF"/>
            <w:tcMar>
              <w:top w:w="40" w:type="dxa"/>
              <w:left w:w="0" w:type="dxa"/>
              <w:bottom w:w="40" w:type="dxa"/>
              <w:right w:w="20" w:type="dxa"/>
            </w:tcMar>
            <w:vAlign w:val="bottom"/>
          </w:tcPr>
          <w:p w14:paraId="71D3F26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6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6C" w14:textId="77777777" w:rsidR="006A3667" w:rsidRDefault="00045F32">
            <w:pPr>
              <w:jc w:val="right"/>
              <w:textAlignment w:val="bottom"/>
            </w:pPr>
            <w:r>
              <w:rPr>
                <w:rFonts w:ascii="Arial" w:eastAsia="宋体" w:hAnsi="Arial" w:cs="Arial"/>
                <w:color w:val="000000"/>
                <w:sz w:val="12"/>
                <w:szCs w:val="12"/>
              </w:rPr>
              <w:t>.08 </w:t>
            </w:r>
          </w:p>
        </w:tc>
        <w:tc>
          <w:tcPr>
            <w:tcW w:w="0" w:type="auto"/>
            <w:shd w:val="clear" w:color="auto" w:fill="FFFFFF"/>
            <w:tcMar>
              <w:top w:w="40" w:type="dxa"/>
              <w:left w:w="0" w:type="dxa"/>
              <w:bottom w:w="40" w:type="dxa"/>
              <w:right w:w="20" w:type="dxa"/>
            </w:tcMar>
            <w:vAlign w:val="bottom"/>
          </w:tcPr>
          <w:p w14:paraId="71D3F26D" w14:textId="77777777" w:rsidR="006A3667" w:rsidRDefault="006A3667">
            <w:pPr>
              <w:jc w:val="right"/>
              <w:rPr>
                <w:rFonts w:ascii="宋体"/>
              </w:rPr>
            </w:pPr>
          </w:p>
        </w:tc>
        <w:tc>
          <w:tcPr>
            <w:tcW w:w="0" w:type="auto"/>
            <w:shd w:val="clear" w:color="auto" w:fill="auto"/>
            <w:vAlign w:val="bottom"/>
          </w:tcPr>
          <w:p w14:paraId="71D3F26E" w14:textId="77777777" w:rsidR="006A3667" w:rsidRDefault="006A3667">
            <w:pPr>
              <w:rPr>
                <w:rFonts w:ascii="宋体"/>
                <w:vanish/>
              </w:rPr>
            </w:pPr>
          </w:p>
        </w:tc>
        <w:tc>
          <w:tcPr>
            <w:tcW w:w="0" w:type="auto"/>
            <w:shd w:val="clear" w:color="auto" w:fill="auto"/>
            <w:vAlign w:val="bottom"/>
          </w:tcPr>
          <w:p w14:paraId="71D3F26F" w14:textId="77777777" w:rsidR="006A3667" w:rsidRDefault="006A3667">
            <w:pPr>
              <w:rPr>
                <w:rFonts w:ascii="宋体"/>
                <w:vanish/>
              </w:rPr>
            </w:pPr>
          </w:p>
        </w:tc>
        <w:tc>
          <w:tcPr>
            <w:tcW w:w="0" w:type="auto"/>
            <w:shd w:val="clear" w:color="auto" w:fill="auto"/>
            <w:vAlign w:val="bottom"/>
          </w:tcPr>
          <w:p w14:paraId="71D3F270" w14:textId="77777777" w:rsidR="006A3667" w:rsidRDefault="006A3667">
            <w:pPr>
              <w:rPr>
                <w:rFonts w:ascii="宋体"/>
                <w:vanish/>
              </w:rPr>
            </w:pPr>
          </w:p>
        </w:tc>
        <w:tc>
          <w:tcPr>
            <w:tcW w:w="0" w:type="auto"/>
            <w:shd w:val="clear" w:color="auto" w:fill="auto"/>
            <w:vAlign w:val="bottom"/>
          </w:tcPr>
          <w:p w14:paraId="71D3F271" w14:textId="77777777" w:rsidR="006A3667" w:rsidRDefault="006A3667">
            <w:pPr>
              <w:rPr>
                <w:rFonts w:ascii="宋体"/>
                <w:vanish/>
              </w:rPr>
            </w:pPr>
          </w:p>
        </w:tc>
        <w:tc>
          <w:tcPr>
            <w:tcW w:w="0" w:type="auto"/>
            <w:gridSpan w:val="3"/>
            <w:shd w:val="clear" w:color="auto" w:fill="auto"/>
            <w:vAlign w:val="bottom"/>
          </w:tcPr>
          <w:p w14:paraId="71D3F272" w14:textId="77777777" w:rsidR="006A3667" w:rsidRDefault="006A3667">
            <w:pPr>
              <w:rPr>
                <w:rFonts w:ascii="宋体"/>
                <w:vanish/>
              </w:rPr>
            </w:pPr>
          </w:p>
        </w:tc>
        <w:tc>
          <w:tcPr>
            <w:tcW w:w="0" w:type="auto"/>
            <w:gridSpan w:val="3"/>
            <w:shd w:val="clear" w:color="auto" w:fill="auto"/>
            <w:vAlign w:val="bottom"/>
          </w:tcPr>
          <w:p w14:paraId="71D3F273" w14:textId="77777777" w:rsidR="006A3667" w:rsidRDefault="006A3667">
            <w:pPr>
              <w:rPr>
                <w:rFonts w:ascii="宋体"/>
                <w:vanish/>
              </w:rPr>
            </w:pPr>
          </w:p>
        </w:tc>
        <w:tc>
          <w:tcPr>
            <w:tcW w:w="0" w:type="auto"/>
            <w:gridSpan w:val="3"/>
            <w:shd w:val="clear" w:color="auto" w:fill="auto"/>
            <w:vAlign w:val="bottom"/>
          </w:tcPr>
          <w:p w14:paraId="71D3F274" w14:textId="77777777" w:rsidR="006A3667" w:rsidRDefault="006A3667">
            <w:pPr>
              <w:rPr>
                <w:rFonts w:ascii="宋体"/>
                <w:vanish/>
              </w:rPr>
            </w:pPr>
          </w:p>
        </w:tc>
        <w:tc>
          <w:tcPr>
            <w:tcW w:w="0" w:type="auto"/>
            <w:gridSpan w:val="3"/>
            <w:shd w:val="clear" w:color="auto" w:fill="auto"/>
            <w:vAlign w:val="bottom"/>
          </w:tcPr>
          <w:p w14:paraId="71D3F275" w14:textId="77777777" w:rsidR="006A3667" w:rsidRDefault="006A3667">
            <w:pPr>
              <w:rPr>
                <w:rFonts w:ascii="宋体"/>
                <w:vanish/>
              </w:rPr>
            </w:pPr>
          </w:p>
        </w:tc>
        <w:tc>
          <w:tcPr>
            <w:tcW w:w="0" w:type="auto"/>
            <w:gridSpan w:val="2"/>
            <w:shd w:val="clear" w:color="auto" w:fill="auto"/>
            <w:vAlign w:val="bottom"/>
          </w:tcPr>
          <w:p w14:paraId="71D3F276" w14:textId="77777777" w:rsidR="006A3667" w:rsidRDefault="006A3667">
            <w:pPr>
              <w:rPr>
                <w:rFonts w:ascii="宋体"/>
                <w:vanish/>
              </w:rPr>
            </w:pPr>
          </w:p>
        </w:tc>
        <w:tc>
          <w:tcPr>
            <w:tcW w:w="0" w:type="auto"/>
            <w:shd w:val="clear" w:color="auto" w:fill="auto"/>
            <w:vAlign w:val="bottom"/>
          </w:tcPr>
          <w:p w14:paraId="71D3F277" w14:textId="77777777" w:rsidR="006A3667" w:rsidRDefault="006A3667">
            <w:pPr>
              <w:rPr>
                <w:rFonts w:ascii="宋体"/>
                <w:vanish/>
              </w:rPr>
            </w:pPr>
          </w:p>
        </w:tc>
      </w:tr>
      <w:tr w:rsidR="006A3667" w14:paraId="71D3F299" w14:textId="77777777">
        <w:tc>
          <w:tcPr>
            <w:tcW w:w="0" w:type="auto"/>
            <w:gridSpan w:val="3"/>
            <w:shd w:val="clear" w:color="auto" w:fill="CCEEFF"/>
            <w:tcMar>
              <w:top w:w="40" w:type="dxa"/>
              <w:left w:w="20" w:type="dxa"/>
              <w:bottom w:w="40" w:type="dxa"/>
              <w:right w:w="20" w:type="dxa"/>
            </w:tcMar>
            <w:vAlign w:val="bottom"/>
          </w:tcPr>
          <w:p w14:paraId="71D3F279" w14:textId="77777777" w:rsidR="006A3667" w:rsidRDefault="00045F32">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F27A"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27B" w14:textId="77777777" w:rsidR="006A3667" w:rsidRDefault="00045F32">
            <w:pPr>
              <w:jc w:val="right"/>
              <w:textAlignment w:val="bottom"/>
            </w:pPr>
            <w:r>
              <w:rPr>
                <w:rFonts w:ascii="Arial" w:eastAsia="宋体" w:hAnsi="Arial" w:cs="Arial"/>
                <w:b/>
                <w:bCs/>
                <w:color w:val="000000"/>
                <w:sz w:val="12"/>
                <w:szCs w:val="12"/>
              </w:rPr>
              <w:t>248,344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27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7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27E"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27F" w14:textId="77777777" w:rsidR="006A3667" w:rsidRDefault="00045F32">
            <w:pPr>
              <w:jc w:val="right"/>
              <w:textAlignment w:val="bottom"/>
            </w:pPr>
            <w:r>
              <w:rPr>
                <w:rFonts w:ascii="Arial" w:eastAsia="宋体" w:hAnsi="Arial" w:cs="Arial"/>
                <w:b/>
                <w:bCs/>
                <w:color w:val="000000"/>
                <w:sz w:val="12"/>
                <w:szCs w:val="12"/>
              </w:rPr>
              <w:t>2,334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2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8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82" w14:textId="77777777" w:rsidR="006A3667" w:rsidRDefault="00045F32">
            <w:pPr>
              <w:jc w:val="right"/>
              <w:textAlignment w:val="bottom"/>
            </w:pPr>
            <w:r>
              <w:rPr>
                <w:rFonts w:ascii="Arial" w:eastAsia="宋体" w:hAnsi="Arial" w:cs="Arial"/>
                <w:b/>
                <w:bCs/>
                <w:color w:val="000000"/>
                <w:sz w:val="12"/>
                <w:szCs w:val="12"/>
              </w:rPr>
              <w:t>1.26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8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8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285"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286" w14:textId="77777777" w:rsidR="006A3667" w:rsidRDefault="00045F32">
            <w:pPr>
              <w:jc w:val="right"/>
              <w:textAlignment w:val="bottom"/>
            </w:pPr>
            <w:r>
              <w:rPr>
                <w:rFonts w:ascii="Arial" w:eastAsia="宋体" w:hAnsi="Arial" w:cs="Arial"/>
                <w:color w:val="000000"/>
                <w:sz w:val="12"/>
                <w:szCs w:val="12"/>
              </w:rPr>
              <w:t>258,416 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28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8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289"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28A" w14:textId="77777777" w:rsidR="006A3667" w:rsidRDefault="00045F32">
            <w:pPr>
              <w:jc w:val="right"/>
              <w:textAlignment w:val="bottom"/>
            </w:pPr>
            <w:r>
              <w:rPr>
                <w:rFonts w:ascii="Arial" w:eastAsia="宋体" w:hAnsi="Arial" w:cs="Arial"/>
                <w:color w:val="000000"/>
                <w:sz w:val="12"/>
                <w:szCs w:val="12"/>
              </w:rPr>
              <w:t>1,435 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28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8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8D" w14:textId="77777777" w:rsidR="006A3667" w:rsidRDefault="00045F32">
            <w:pPr>
              <w:jc w:val="right"/>
              <w:textAlignment w:val="bottom"/>
            </w:pPr>
            <w:r>
              <w:rPr>
                <w:rFonts w:ascii="Arial" w:eastAsia="宋体" w:hAnsi="Arial" w:cs="Arial"/>
                <w:color w:val="000000"/>
                <w:sz w:val="12"/>
                <w:szCs w:val="12"/>
              </w:rPr>
              <w:t>.74 </w:t>
            </w:r>
          </w:p>
        </w:tc>
        <w:tc>
          <w:tcPr>
            <w:tcW w:w="0" w:type="auto"/>
            <w:shd w:val="clear" w:color="auto" w:fill="CCEEFF"/>
            <w:tcMar>
              <w:top w:w="40" w:type="dxa"/>
              <w:left w:w="0" w:type="dxa"/>
              <w:bottom w:w="40" w:type="dxa"/>
              <w:right w:w="20" w:type="dxa"/>
            </w:tcMar>
            <w:vAlign w:val="bottom"/>
          </w:tcPr>
          <w:p w14:paraId="71D3F28E" w14:textId="77777777" w:rsidR="006A3667" w:rsidRDefault="006A3667">
            <w:pPr>
              <w:jc w:val="right"/>
              <w:rPr>
                <w:rFonts w:ascii="宋体"/>
              </w:rPr>
            </w:pPr>
          </w:p>
        </w:tc>
        <w:tc>
          <w:tcPr>
            <w:tcW w:w="0" w:type="auto"/>
            <w:shd w:val="clear" w:color="auto" w:fill="auto"/>
            <w:vAlign w:val="bottom"/>
          </w:tcPr>
          <w:p w14:paraId="71D3F28F" w14:textId="77777777" w:rsidR="006A3667" w:rsidRDefault="006A3667">
            <w:pPr>
              <w:rPr>
                <w:rFonts w:ascii="宋体"/>
                <w:vanish/>
              </w:rPr>
            </w:pPr>
          </w:p>
        </w:tc>
        <w:tc>
          <w:tcPr>
            <w:tcW w:w="0" w:type="auto"/>
            <w:shd w:val="clear" w:color="auto" w:fill="auto"/>
            <w:vAlign w:val="bottom"/>
          </w:tcPr>
          <w:p w14:paraId="71D3F290" w14:textId="77777777" w:rsidR="006A3667" w:rsidRDefault="006A3667">
            <w:pPr>
              <w:rPr>
                <w:rFonts w:ascii="宋体"/>
                <w:vanish/>
              </w:rPr>
            </w:pPr>
          </w:p>
        </w:tc>
        <w:tc>
          <w:tcPr>
            <w:tcW w:w="0" w:type="auto"/>
            <w:shd w:val="clear" w:color="auto" w:fill="auto"/>
            <w:vAlign w:val="bottom"/>
          </w:tcPr>
          <w:p w14:paraId="71D3F291" w14:textId="77777777" w:rsidR="006A3667" w:rsidRDefault="006A3667">
            <w:pPr>
              <w:rPr>
                <w:rFonts w:ascii="宋体"/>
                <w:vanish/>
              </w:rPr>
            </w:pPr>
          </w:p>
        </w:tc>
        <w:tc>
          <w:tcPr>
            <w:tcW w:w="0" w:type="auto"/>
            <w:shd w:val="clear" w:color="auto" w:fill="auto"/>
            <w:vAlign w:val="bottom"/>
          </w:tcPr>
          <w:p w14:paraId="71D3F292" w14:textId="77777777" w:rsidR="006A3667" w:rsidRDefault="006A3667">
            <w:pPr>
              <w:rPr>
                <w:rFonts w:ascii="宋体"/>
                <w:vanish/>
              </w:rPr>
            </w:pPr>
          </w:p>
        </w:tc>
        <w:tc>
          <w:tcPr>
            <w:tcW w:w="0" w:type="auto"/>
            <w:gridSpan w:val="3"/>
            <w:shd w:val="clear" w:color="auto" w:fill="auto"/>
            <w:vAlign w:val="bottom"/>
          </w:tcPr>
          <w:p w14:paraId="71D3F293" w14:textId="77777777" w:rsidR="006A3667" w:rsidRDefault="006A3667">
            <w:pPr>
              <w:rPr>
                <w:rFonts w:ascii="宋体"/>
                <w:vanish/>
              </w:rPr>
            </w:pPr>
          </w:p>
        </w:tc>
        <w:tc>
          <w:tcPr>
            <w:tcW w:w="0" w:type="auto"/>
            <w:gridSpan w:val="3"/>
            <w:shd w:val="clear" w:color="auto" w:fill="auto"/>
            <w:vAlign w:val="bottom"/>
          </w:tcPr>
          <w:p w14:paraId="71D3F294" w14:textId="77777777" w:rsidR="006A3667" w:rsidRDefault="006A3667">
            <w:pPr>
              <w:rPr>
                <w:rFonts w:ascii="宋体"/>
                <w:vanish/>
              </w:rPr>
            </w:pPr>
          </w:p>
        </w:tc>
        <w:tc>
          <w:tcPr>
            <w:tcW w:w="0" w:type="auto"/>
            <w:gridSpan w:val="3"/>
            <w:shd w:val="clear" w:color="auto" w:fill="auto"/>
            <w:vAlign w:val="bottom"/>
          </w:tcPr>
          <w:p w14:paraId="71D3F295" w14:textId="77777777" w:rsidR="006A3667" w:rsidRDefault="006A3667">
            <w:pPr>
              <w:rPr>
                <w:rFonts w:ascii="宋体"/>
                <w:vanish/>
              </w:rPr>
            </w:pPr>
          </w:p>
        </w:tc>
        <w:tc>
          <w:tcPr>
            <w:tcW w:w="0" w:type="auto"/>
            <w:gridSpan w:val="3"/>
            <w:shd w:val="clear" w:color="auto" w:fill="auto"/>
            <w:vAlign w:val="bottom"/>
          </w:tcPr>
          <w:p w14:paraId="71D3F296" w14:textId="77777777" w:rsidR="006A3667" w:rsidRDefault="006A3667">
            <w:pPr>
              <w:rPr>
                <w:rFonts w:ascii="宋体"/>
                <w:vanish/>
              </w:rPr>
            </w:pPr>
          </w:p>
        </w:tc>
        <w:tc>
          <w:tcPr>
            <w:tcW w:w="0" w:type="auto"/>
            <w:gridSpan w:val="2"/>
            <w:shd w:val="clear" w:color="auto" w:fill="auto"/>
            <w:vAlign w:val="bottom"/>
          </w:tcPr>
          <w:p w14:paraId="71D3F297" w14:textId="77777777" w:rsidR="006A3667" w:rsidRDefault="006A3667">
            <w:pPr>
              <w:rPr>
                <w:rFonts w:ascii="宋体"/>
                <w:vanish/>
              </w:rPr>
            </w:pPr>
          </w:p>
        </w:tc>
        <w:tc>
          <w:tcPr>
            <w:tcW w:w="0" w:type="auto"/>
            <w:shd w:val="clear" w:color="auto" w:fill="auto"/>
            <w:vAlign w:val="bottom"/>
          </w:tcPr>
          <w:p w14:paraId="71D3F298" w14:textId="77777777" w:rsidR="006A3667" w:rsidRDefault="006A3667">
            <w:pPr>
              <w:rPr>
                <w:rFonts w:ascii="宋体"/>
                <w:vanish/>
              </w:rPr>
            </w:pPr>
          </w:p>
        </w:tc>
      </w:tr>
      <w:tr w:rsidR="006A3667" w14:paraId="71D3F2B0" w14:textId="77777777">
        <w:tc>
          <w:tcPr>
            <w:tcW w:w="0" w:type="auto"/>
            <w:gridSpan w:val="3"/>
            <w:shd w:val="clear" w:color="auto" w:fill="FFFFFF"/>
            <w:tcMar>
              <w:top w:w="40" w:type="dxa"/>
              <w:left w:w="20" w:type="dxa"/>
              <w:bottom w:w="40" w:type="dxa"/>
              <w:right w:w="20" w:type="dxa"/>
            </w:tcMar>
            <w:vAlign w:val="bottom"/>
          </w:tcPr>
          <w:p w14:paraId="71D3F29A" w14:textId="77777777" w:rsidR="006A3667" w:rsidRDefault="00045F32">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29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29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29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29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2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2A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2A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2A2"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2A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2A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2A5" w14:textId="77777777" w:rsidR="006A3667" w:rsidRDefault="006A3667">
            <w:pPr>
              <w:rPr>
                <w:rFonts w:ascii="宋体"/>
              </w:rPr>
            </w:pPr>
          </w:p>
        </w:tc>
        <w:tc>
          <w:tcPr>
            <w:tcW w:w="0" w:type="auto"/>
            <w:shd w:val="clear" w:color="auto" w:fill="auto"/>
            <w:vAlign w:val="bottom"/>
          </w:tcPr>
          <w:p w14:paraId="71D3F2A6" w14:textId="77777777" w:rsidR="006A3667" w:rsidRDefault="006A3667">
            <w:pPr>
              <w:rPr>
                <w:rFonts w:ascii="宋体"/>
                <w:vanish/>
              </w:rPr>
            </w:pPr>
          </w:p>
        </w:tc>
        <w:tc>
          <w:tcPr>
            <w:tcW w:w="0" w:type="auto"/>
            <w:shd w:val="clear" w:color="auto" w:fill="auto"/>
            <w:vAlign w:val="bottom"/>
          </w:tcPr>
          <w:p w14:paraId="71D3F2A7" w14:textId="77777777" w:rsidR="006A3667" w:rsidRDefault="006A3667">
            <w:pPr>
              <w:rPr>
                <w:rFonts w:ascii="宋体"/>
                <w:vanish/>
              </w:rPr>
            </w:pPr>
          </w:p>
        </w:tc>
        <w:tc>
          <w:tcPr>
            <w:tcW w:w="0" w:type="auto"/>
            <w:shd w:val="clear" w:color="auto" w:fill="auto"/>
            <w:vAlign w:val="bottom"/>
          </w:tcPr>
          <w:p w14:paraId="71D3F2A8" w14:textId="77777777" w:rsidR="006A3667" w:rsidRDefault="006A3667">
            <w:pPr>
              <w:rPr>
                <w:rFonts w:ascii="宋体"/>
                <w:vanish/>
              </w:rPr>
            </w:pPr>
          </w:p>
        </w:tc>
        <w:tc>
          <w:tcPr>
            <w:tcW w:w="0" w:type="auto"/>
            <w:shd w:val="clear" w:color="auto" w:fill="auto"/>
            <w:vAlign w:val="bottom"/>
          </w:tcPr>
          <w:p w14:paraId="71D3F2A9" w14:textId="77777777" w:rsidR="006A3667" w:rsidRDefault="006A3667">
            <w:pPr>
              <w:rPr>
                <w:rFonts w:ascii="宋体"/>
                <w:vanish/>
              </w:rPr>
            </w:pPr>
          </w:p>
        </w:tc>
        <w:tc>
          <w:tcPr>
            <w:tcW w:w="0" w:type="auto"/>
            <w:gridSpan w:val="3"/>
            <w:shd w:val="clear" w:color="auto" w:fill="auto"/>
            <w:vAlign w:val="bottom"/>
          </w:tcPr>
          <w:p w14:paraId="71D3F2AA" w14:textId="77777777" w:rsidR="006A3667" w:rsidRDefault="006A3667">
            <w:pPr>
              <w:rPr>
                <w:rFonts w:ascii="宋体"/>
                <w:vanish/>
              </w:rPr>
            </w:pPr>
          </w:p>
        </w:tc>
        <w:tc>
          <w:tcPr>
            <w:tcW w:w="0" w:type="auto"/>
            <w:gridSpan w:val="3"/>
            <w:shd w:val="clear" w:color="auto" w:fill="auto"/>
            <w:vAlign w:val="bottom"/>
          </w:tcPr>
          <w:p w14:paraId="71D3F2AB" w14:textId="77777777" w:rsidR="006A3667" w:rsidRDefault="006A3667">
            <w:pPr>
              <w:rPr>
                <w:rFonts w:ascii="宋体"/>
                <w:vanish/>
              </w:rPr>
            </w:pPr>
          </w:p>
        </w:tc>
        <w:tc>
          <w:tcPr>
            <w:tcW w:w="0" w:type="auto"/>
            <w:gridSpan w:val="3"/>
            <w:shd w:val="clear" w:color="auto" w:fill="auto"/>
            <w:vAlign w:val="bottom"/>
          </w:tcPr>
          <w:p w14:paraId="71D3F2AC" w14:textId="77777777" w:rsidR="006A3667" w:rsidRDefault="006A3667">
            <w:pPr>
              <w:rPr>
                <w:rFonts w:ascii="宋体"/>
                <w:vanish/>
              </w:rPr>
            </w:pPr>
          </w:p>
        </w:tc>
        <w:tc>
          <w:tcPr>
            <w:tcW w:w="0" w:type="auto"/>
            <w:gridSpan w:val="3"/>
            <w:shd w:val="clear" w:color="auto" w:fill="auto"/>
            <w:vAlign w:val="bottom"/>
          </w:tcPr>
          <w:p w14:paraId="71D3F2AD" w14:textId="77777777" w:rsidR="006A3667" w:rsidRDefault="006A3667">
            <w:pPr>
              <w:rPr>
                <w:rFonts w:ascii="宋体"/>
                <w:vanish/>
              </w:rPr>
            </w:pPr>
          </w:p>
        </w:tc>
        <w:tc>
          <w:tcPr>
            <w:tcW w:w="0" w:type="auto"/>
            <w:gridSpan w:val="2"/>
            <w:shd w:val="clear" w:color="auto" w:fill="auto"/>
            <w:vAlign w:val="bottom"/>
          </w:tcPr>
          <w:p w14:paraId="71D3F2AE" w14:textId="77777777" w:rsidR="006A3667" w:rsidRDefault="006A3667">
            <w:pPr>
              <w:rPr>
                <w:rFonts w:ascii="宋体"/>
                <w:vanish/>
              </w:rPr>
            </w:pPr>
          </w:p>
        </w:tc>
        <w:tc>
          <w:tcPr>
            <w:tcW w:w="0" w:type="auto"/>
            <w:shd w:val="clear" w:color="auto" w:fill="auto"/>
            <w:vAlign w:val="bottom"/>
          </w:tcPr>
          <w:p w14:paraId="71D3F2AF" w14:textId="77777777" w:rsidR="006A3667" w:rsidRDefault="006A3667">
            <w:pPr>
              <w:rPr>
                <w:rFonts w:ascii="宋体"/>
                <w:vanish/>
              </w:rPr>
            </w:pPr>
          </w:p>
        </w:tc>
      </w:tr>
      <w:tr w:rsidR="006A3667" w14:paraId="71D3F2D1" w14:textId="77777777">
        <w:tc>
          <w:tcPr>
            <w:tcW w:w="0" w:type="auto"/>
            <w:gridSpan w:val="3"/>
            <w:shd w:val="clear" w:color="auto" w:fill="CCEEFF"/>
            <w:tcMar>
              <w:top w:w="40" w:type="dxa"/>
              <w:left w:w="20" w:type="dxa"/>
              <w:bottom w:w="40" w:type="dxa"/>
              <w:right w:w="20" w:type="dxa"/>
            </w:tcMar>
            <w:vAlign w:val="bottom"/>
          </w:tcPr>
          <w:p w14:paraId="71D3F2B1" w14:textId="77777777" w:rsidR="006A3667" w:rsidRDefault="00045F32">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71D3F2B2"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F2B3" w14:textId="77777777" w:rsidR="006A3667" w:rsidRDefault="00045F32">
            <w:pPr>
              <w:jc w:val="right"/>
              <w:textAlignment w:val="bottom"/>
            </w:pPr>
            <w:r>
              <w:rPr>
                <w:rFonts w:ascii="Arial" w:eastAsia="宋体" w:hAnsi="Arial" w:cs="Arial"/>
                <w:b/>
                <w:bCs/>
                <w:color w:val="000000"/>
                <w:sz w:val="12"/>
                <w:szCs w:val="12"/>
              </w:rPr>
              <w:t>97,307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B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B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F2B6"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F2B7" w14:textId="77777777" w:rsidR="006A3667" w:rsidRDefault="00045F32">
            <w:pPr>
              <w:jc w:val="right"/>
              <w:textAlignment w:val="bottom"/>
            </w:pPr>
            <w:r>
              <w:rPr>
                <w:rFonts w:ascii="Arial" w:eastAsia="宋体" w:hAnsi="Arial" w:cs="Arial"/>
                <w:b/>
                <w:bCs/>
                <w:color w:val="000000"/>
                <w:sz w:val="12"/>
                <w:szCs w:val="12"/>
              </w:rPr>
              <w:t>327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B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BA" w14:textId="77777777" w:rsidR="006A3667" w:rsidRDefault="00045F32">
            <w:pPr>
              <w:jc w:val="right"/>
              <w:textAlignment w:val="bottom"/>
            </w:pPr>
            <w:r>
              <w:rPr>
                <w:rFonts w:ascii="Arial" w:eastAsia="宋体" w:hAnsi="Arial" w:cs="Arial"/>
                <w:b/>
                <w:bCs/>
                <w:color w:val="000000"/>
                <w:sz w:val="12"/>
                <w:szCs w:val="12"/>
              </w:rPr>
              <w:t>.45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BB"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3F2B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F2BD"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F2BE" w14:textId="77777777" w:rsidR="006A3667" w:rsidRDefault="00045F32">
            <w:pPr>
              <w:jc w:val="right"/>
              <w:textAlignment w:val="bottom"/>
            </w:pPr>
            <w:r>
              <w:rPr>
                <w:rFonts w:ascii="Arial" w:eastAsia="宋体" w:hAnsi="Arial" w:cs="Arial"/>
                <w:color w:val="000000"/>
                <w:sz w:val="12"/>
                <w:szCs w:val="12"/>
              </w:rPr>
              <w:t>105,286 </w:t>
            </w:r>
          </w:p>
        </w:tc>
        <w:tc>
          <w:tcPr>
            <w:tcW w:w="0" w:type="auto"/>
            <w:shd w:val="clear" w:color="auto" w:fill="CCEEFF"/>
            <w:tcMar>
              <w:top w:w="40" w:type="dxa"/>
              <w:left w:w="0" w:type="dxa"/>
              <w:bottom w:w="40" w:type="dxa"/>
              <w:right w:w="20" w:type="dxa"/>
            </w:tcMar>
            <w:vAlign w:val="bottom"/>
          </w:tcPr>
          <w:p w14:paraId="71D3F2B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C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F2C1"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F2C2" w14:textId="77777777" w:rsidR="006A3667" w:rsidRDefault="00045F32">
            <w:pPr>
              <w:jc w:val="right"/>
              <w:textAlignment w:val="bottom"/>
            </w:pPr>
            <w:r>
              <w:rPr>
                <w:rFonts w:ascii="Arial" w:eastAsia="宋体" w:hAnsi="Arial" w:cs="Arial"/>
                <w:color w:val="000000"/>
                <w:sz w:val="12"/>
                <w:szCs w:val="12"/>
              </w:rPr>
              <w:t>10 </w:t>
            </w:r>
          </w:p>
        </w:tc>
        <w:tc>
          <w:tcPr>
            <w:tcW w:w="0" w:type="auto"/>
            <w:shd w:val="clear" w:color="auto" w:fill="CCEEFF"/>
            <w:tcMar>
              <w:top w:w="40" w:type="dxa"/>
              <w:left w:w="0" w:type="dxa"/>
              <w:bottom w:w="40" w:type="dxa"/>
              <w:right w:w="20" w:type="dxa"/>
            </w:tcMar>
            <w:vAlign w:val="bottom"/>
          </w:tcPr>
          <w:p w14:paraId="71D3F2C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C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C5" w14:textId="77777777" w:rsidR="006A3667" w:rsidRDefault="00045F32">
            <w:pPr>
              <w:jc w:val="right"/>
              <w:textAlignment w:val="bottom"/>
            </w:pPr>
            <w:r>
              <w:rPr>
                <w:rFonts w:ascii="Arial" w:eastAsia="宋体" w:hAnsi="Arial" w:cs="Arial"/>
                <w:color w:val="000000"/>
                <w:sz w:val="12"/>
                <w:szCs w:val="12"/>
              </w:rPr>
              <w:t>.01 </w:t>
            </w:r>
          </w:p>
        </w:tc>
        <w:tc>
          <w:tcPr>
            <w:tcW w:w="0" w:type="auto"/>
            <w:shd w:val="clear" w:color="auto" w:fill="CCEEFF"/>
            <w:tcMar>
              <w:top w:w="40" w:type="dxa"/>
              <w:left w:w="0" w:type="dxa"/>
              <w:bottom w:w="40" w:type="dxa"/>
              <w:right w:w="20" w:type="dxa"/>
            </w:tcMar>
            <w:vAlign w:val="bottom"/>
          </w:tcPr>
          <w:p w14:paraId="71D3F2C6" w14:textId="77777777" w:rsidR="006A3667" w:rsidRDefault="00045F32">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1D3F2C7" w14:textId="77777777" w:rsidR="006A3667" w:rsidRDefault="006A3667">
            <w:pPr>
              <w:rPr>
                <w:rFonts w:ascii="宋体"/>
                <w:vanish/>
              </w:rPr>
            </w:pPr>
          </w:p>
        </w:tc>
        <w:tc>
          <w:tcPr>
            <w:tcW w:w="0" w:type="auto"/>
            <w:shd w:val="clear" w:color="auto" w:fill="auto"/>
            <w:vAlign w:val="bottom"/>
          </w:tcPr>
          <w:p w14:paraId="71D3F2C8" w14:textId="77777777" w:rsidR="006A3667" w:rsidRDefault="006A3667">
            <w:pPr>
              <w:rPr>
                <w:rFonts w:ascii="宋体"/>
                <w:vanish/>
              </w:rPr>
            </w:pPr>
          </w:p>
        </w:tc>
        <w:tc>
          <w:tcPr>
            <w:tcW w:w="0" w:type="auto"/>
            <w:shd w:val="clear" w:color="auto" w:fill="auto"/>
            <w:vAlign w:val="bottom"/>
          </w:tcPr>
          <w:p w14:paraId="71D3F2C9" w14:textId="77777777" w:rsidR="006A3667" w:rsidRDefault="006A3667">
            <w:pPr>
              <w:rPr>
                <w:rFonts w:ascii="宋体"/>
                <w:vanish/>
              </w:rPr>
            </w:pPr>
          </w:p>
        </w:tc>
        <w:tc>
          <w:tcPr>
            <w:tcW w:w="0" w:type="auto"/>
            <w:shd w:val="clear" w:color="auto" w:fill="auto"/>
            <w:vAlign w:val="bottom"/>
          </w:tcPr>
          <w:p w14:paraId="71D3F2CA" w14:textId="77777777" w:rsidR="006A3667" w:rsidRDefault="006A3667">
            <w:pPr>
              <w:rPr>
                <w:rFonts w:ascii="宋体"/>
                <w:vanish/>
              </w:rPr>
            </w:pPr>
          </w:p>
        </w:tc>
        <w:tc>
          <w:tcPr>
            <w:tcW w:w="0" w:type="auto"/>
            <w:gridSpan w:val="3"/>
            <w:shd w:val="clear" w:color="auto" w:fill="auto"/>
            <w:vAlign w:val="bottom"/>
          </w:tcPr>
          <w:p w14:paraId="71D3F2CB" w14:textId="77777777" w:rsidR="006A3667" w:rsidRDefault="006A3667">
            <w:pPr>
              <w:rPr>
                <w:rFonts w:ascii="宋体"/>
                <w:vanish/>
              </w:rPr>
            </w:pPr>
          </w:p>
        </w:tc>
        <w:tc>
          <w:tcPr>
            <w:tcW w:w="0" w:type="auto"/>
            <w:gridSpan w:val="3"/>
            <w:shd w:val="clear" w:color="auto" w:fill="auto"/>
            <w:vAlign w:val="bottom"/>
          </w:tcPr>
          <w:p w14:paraId="71D3F2CC" w14:textId="77777777" w:rsidR="006A3667" w:rsidRDefault="006A3667">
            <w:pPr>
              <w:rPr>
                <w:rFonts w:ascii="宋体"/>
                <w:vanish/>
              </w:rPr>
            </w:pPr>
          </w:p>
        </w:tc>
        <w:tc>
          <w:tcPr>
            <w:tcW w:w="0" w:type="auto"/>
            <w:gridSpan w:val="3"/>
            <w:shd w:val="clear" w:color="auto" w:fill="auto"/>
            <w:vAlign w:val="bottom"/>
          </w:tcPr>
          <w:p w14:paraId="71D3F2CD" w14:textId="77777777" w:rsidR="006A3667" w:rsidRDefault="006A3667">
            <w:pPr>
              <w:rPr>
                <w:rFonts w:ascii="宋体"/>
                <w:vanish/>
              </w:rPr>
            </w:pPr>
          </w:p>
        </w:tc>
        <w:tc>
          <w:tcPr>
            <w:tcW w:w="0" w:type="auto"/>
            <w:gridSpan w:val="3"/>
            <w:shd w:val="clear" w:color="auto" w:fill="auto"/>
            <w:vAlign w:val="bottom"/>
          </w:tcPr>
          <w:p w14:paraId="71D3F2CE" w14:textId="77777777" w:rsidR="006A3667" w:rsidRDefault="006A3667">
            <w:pPr>
              <w:rPr>
                <w:rFonts w:ascii="宋体"/>
                <w:vanish/>
              </w:rPr>
            </w:pPr>
          </w:p>
        </w:tc>
        <w:tc>
          <w:tcPr>
            <w:tcW w:w="0" w:type="auto"/>
            <w:gridSpan w:val="2"/>
            <w:shd w:val="clear" w:color="auto" w:fill="auto"/>
            <w:vAlign w:val="bottom"/>
          </w:tcPr>
          <w:p w14:paraId="71D3F2CF" w14:textId="77777777" w:rsidR="006A3667" w:rsidRDefault="006A3667">
            <w:pPr>
              <w:rPr>
                <w:rFonts w:ascii="宋体"/>
                <w:vanish/>
              </w:rPr>
            </w:pPr>
          </w:p>
        </w:tc>
        <w:tc>
          <w:tcPr>
            <w:tcW w:w="0" w:type="auto"/>
            <w:shd w:val="clear" w:color="auto" w:fill="auto"/>
            <w:vAlign w:val="bottom"/>
          </w:tcPr>
          <w:p w14:paraId="71D3F2D0" w14:textId="77777777" w:rsidR="006A3667" w:rsidRDefault="006A3667">
            <w:pPr>
              <w:rPr>
                <w:rFonts w:ascii="宋体"/>
                <w:vanish/>
              </w:rPr>
            </w:pPr>
          </w:p>
        </w:tc>
      </w:tr>
      <w:tr w:rsidR="006A3667" w14:paraId="71D3F2EE" w14:textId="77777777">
        <w:tc>
          <w:tcPr>
            <w:tcW w:w="0" w:type="auto"/>
            <w:gridSpan w:val="3"/>
            <w:shd w:val="clear" w:color="auto" w:fill="FFFFFF"/>
            <w:tcMar>
              <w:top w:w="40" w:type="dxa"/>
              <w:left w:w="20" w:type="dxa"/>
              <w:bottom w:w="40" w:type="dxa"/>
              <w:right w:w="20" w:type="dxa"/>
            </w:tcMar>
            <w:vAlign w:val="bottom"/>
          </w:tcPr>
          <w:p w14:paraId="71D3F2D2" w14:textId="77777777" w:rsidR="006A3667" w:rsidRDefault="00045F32">
            <w:pP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71D3F2D3" w14:textId="77777777" w:rsidR="006A3667" w:rsidRDefault="00045F32">
            <w:pPr>
              <w:jc w:val="right"/>
              <w:textAlignment w:val="bottom"/>
            </w:pPr>
            <w:r>
              <w:rPr>
                <w:rFonts w:ascii="Arial" w:eastAsia="宋体" w:hAnsi="Arial" w:cs="Arial"/>
                <w:b/>
                <w:bCs/>
                <w:color w:val="000000"/>
                <w:sz w:val="12"/>
                <w:szCs w:val="12"/>
              </w:rPr>
              <w:t>78,563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2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D6" w14:textId="77777777" w:rsidR="006A3667" w:rsidRDefault="00045F32">
            <w:pPr>
              <w:jc w:val="right"/>
              <w:textAlignment w:val="bottom"/>
            </w:pPr>
            <w:r>
              <w:rPr>
                <w:rFonts w:ascii="Arial" w:eastAsia="宋体" w:hAnsi="Arial" w:cs="Arial"/>
                <w:b/>
                <w:bCs/>
                <w:color w:val="000000"/>
                <w:sz w:val="12"/>
                <w:szCs w:val="12"/>
              </w:rPr>
              <w:t>(67)</w:t>
            </w:r>
          </w:p>
        </w:tc>
        <w:tc>
          <w:tcPr>
            <w:tcW w:w="0" w:type="auto"/>
            <w:shd w:val="clear" w:color="auto" w:fill="FFFFFF"/>
            <w:tcMar>
              <w:top w:w="40" w:type="dxa"/>
              <w:left w:w="0" w:type="dxa"/>
              <w:bottom w:w="40" w:type="dxa"/>
              <w:right w:w="20" w:type="dxa"/>
            </w:tcMar>
            <w:vAlign w:val="bottom"/>
          </w:tcPr>
          <w:p w14:paraId="71D3F2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D9" w14:textId="77777777" w:rsidR="006A3667" w:rsidRDefault="00045F32">
            <w:pPr>
              <w:jc w:val="right"/>
              <w:textAlignment w:val="bottom"/>
            </w:pPr>
            <w:r>
              <w:rPr>
                <w:rFonts w:ascii="Arial" w:eastAsia="宋体" w:hAnsi="Arial" w:cs="Arial"/>
                <w:b/>
                <w:bCs/>
                <w:color w:val="000000"/>
                <w:sz w:val="12"/>
                <w:szCs w:val="12"/>
              </w:rPr>
              <w:t>(.11)</w:t>
            </w:r>
          </w:p>
        </w:tc>
        <w:tc>
          <w:tcPr>
            <w:tcW w:w="0" w:type="auto"/>
            <w:shd w:val="clear" w:color="auto" w:fill="FFFFFF"/>
            <w:tcMar>
              <w:top w:w="40" w:type="dxa"/>
              <w:left w:w="0" w:type="dxa"/>
              <w:bottom w:w="40" w:type="dxa"/>
              <w:right w:w="20" w:type="dxa"/>
            </w:tcMar>
            <w:vAlign w:val="bottom"/>
          </w:tcPr>
          <w:p w14:paraId="71D3F2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DC" w14:textId="77777777" w:rsidR="006A3667" w:rsidRDefault="00045F32">
            <w:pPr>
              <w:jc w:val="right"/>
              <w:textAlignment w:val="bottom"/>
            </w:pPr>
            <w:r>
              <w:rPr>
                <w:rFonts w:ascii="Arial" w:eastAsia="宋体" w:hAnsi="Arial" w:cs="Arial"/>
                <w:color w:val="000000"/>
                <w:sz w:val="12"/>
                <w:szCs w:val="12"/>
              </w:rPr>
              <w:t>81,318 </w:t>
            </w:r>
          </w:p>
        </w:tc>
        <w:tc>
          <w:tcPr>
            <w:tcW w:w="0" w:type="auto"/>
            <w:shd w:val="clear" w:color="auto" w:fill="FFFFFF"/>
            <w:tcMar>
              <w:top w:w="40" w:type="dxa"/>
              <w:left w:w="0" w:type="dxa"/>
              <w:bottom w:w="40" w:type="dxa"/>
              <w:right w:w="20" w:type="dxa"/>
            </w:tcMar>
            <w:vAlign w:val="bottom"/>
          </w:tcPr>
          <w:p w14:paraId="71D3F2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D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DF" w14:textId="77777777" w:rsidR="006A3667" w:rsidRDefault="00045F32">
            <w:pPr>
              <w:jc w:val="right"/>
              <w:textAlignment w:val="bottom"/>
            </w:pPr>
            <w:r>
              <w:rPr>
                <w:rFonts w:ascii="Arial" w:eastAsia="宋体" w:hAnsi="Arial" w:cs="Arial"/>
                <w:color w:val="000000"/>
                <w:sz w:val="12"/>
                <w:szCs w:val="12"/>
              </w:rPr>
              <w:t>(206)</w:t>
            </w:r>
          </w:p>
        </w:tc>
        <w:tc>
          <w:tcPr>
            <w:tcW w:w="0" w:type="auto"/>
            <w:shd w:val="clear" w:color="auto" w:fill="FFFFFF"/>
            <w:tcMar>
              <w:top w:w="40" w:type="dxa"/>
              <w:left w:w="0" w:type="dxa"/>
              <w:bottom w:w="40" w:type="dxa"/>
              <w:right w:w="20" w:type="dxa"/>
            </w:tcMar>
            <w:vAlign w:val="bottom"/>
          </w:tcPr>
          <w:p w14:paraId="71D3F2E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2E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2E2" w14:textId="77777777" w:rsidR="006A3667" w:rsidRDefault="00045F32">
            <w:pPr>
              <w:jc w:val="right"/>
              <w:textAlignment w:val="bottom"/>
            </w:pPr>
            <w:r>
              <w:rPr>
                <w:rFonts w:ascii="Arial" w:eastAsia="宋体" w:hAnsi="Arial" w:cs="Arial"/>
                <w:color w:val="000000"/>
                <w:sz w:val="12"/>
                <w:szCs w:val="12"/>
              </w:rPr>
              <w:t>(.34)</w:t>
            </w:r>
          </w:p>
        </w:tc>
        <w:tc>
          <w:tcPr>
            <w:tcW w:w="0" w:type="auto"/>
            <w:shd w:val="clear" w:color="auto" w:fill="FFFFFF"/>
            <w:tcMar>
              <w:top w:w="40" w:type="dxa"/>
              <w:left w:w="0" w:type="dxa"/>
              <w:bottom w:w="40" w:type="dxa"/>
              <w:right w:w="20" w:type="dxa"/>
            </w:tcMar>
            <w:vAlign w:val="bottom"/>
          </w:tcPr>
          <w:p w14:paraId="71D3F2E3" w14:textId="77777777" w:rsidR="006A3667" w:rsidRDefault="006A3667">
            <w:pPr>
              <w:jc w:val="right"/>
              <w:rPr>
                <w:rFonts w:ascii="宋体"/>
              </w:rPr>
            </w:pPr>
          </w:p>
        </w:tc>
        <w:tc>
          <w:tcPr>
            <w:tcW w:w="0" w:type="auto"/>
            <w:shd w:val="clear" w:color="auto" w:fill="auto"/>
            <w:vAlign w:val="bottom"/>
          </w:tcPr>
          <w:p w14:paraId="71D3F2E4" w14:textId="77777777" w:rsidR="006A3667" w:rsidRDefault="006A3667">
            <w:pPr>
              <w:rPr>
                <w:rFonts w:ascii="宋体"/>
                <w:vanish/>
              </w:rPr>
            </w:pPr>
          </w:p>
        </w:tc>
        <w:tc>
          <w:tcPr>
            <w:tcW w:w="0" w:type="auto"/>
            <w:shd w:val="clear" w:color="auto" w:fill="auto"/>
            <w:vAlign w:val="bottom"/>
          </w:tcPr>
          <w:p w14:paraId="71D3F2E5" w14:textId="77777777" w:rsidR="006A3667" w:rsidRDefault="006A3667">
            <w:pPr>
              <w:rPr>
                <w:rFonts w:ascii="宋体"/>
                <w:vanish/>
              </w:rPr>
            </w:pPr>
          </w:p>
        </w:tc>
        <w:tc>
          <w:tcPr>
            <w:tcW w:w="0" w:type="auto"/>
            <w:shd w:val="clear" w:color="auto" w:fill="auto"/>
            <w:vAlign w:val="bottom"/>
          </w:tcPr>
          <w:p w14:paraId="71D3F2E6" w14:textId="77777777" w:rsidR="006A3667" w:rsidRDefault="006A3667">
            <w:pPr>
              <w:rPr>
                <w:rFonts w:ascii="宋体"/>
                <w:vanish/>
              </w:rPr>
            </w:pPr>
          </w:p>
        </w:tc>
        <w:tc>
          <w:tcPr>
            <w:tcW w:w="0" w:type="auto"/>
            <w:shd w:val="clear" w:color="auto" w:fill="auto"/>
            <w:vAlign w:val="bottom"/>
          </w:tcPr>
          <w:p w14:paraId="71D3F2E7" w14:textId="77777777" w:rsidR="006A3667" w:rsidRDefault="006A3667">
            <w:pPr>
              <w:rPr>
                <w:rFonts w:ascii="宋体"/>
                <w:vanish/>
              </w:rPr>
            </w:pPr>
          </w:p>
        </w:tc>
        <w:tc>
          <w:tcPr>
            <w:tcW w:w="0" w:type="auto"/>
            <w:gridSpan w:val="3"/>
            <w:shd w:val="clear" w:color="auto" w:fill="auto"/>
            <w:vAlign w:val="bottom"/>
          </w:tcPr>
          <w:p w14:paraId="71D3F2E8" w14:textId="77777777" w:rsidR="006A3667" w:rsidRDefault="006A3667">
            <w:pPr>
              <w:rPr>
                <w:rFonts w:ascii="宋体"/>
                <w:vanish/>
              </w:rPr>
            </w:pPr>
          </w:p>
        </w:tc>
        <w:tc>
          <w:tcPr>
            <w:tcW w:w="0" w:type="auto"/>
            <w:gridSpan w:val="3"/>
            <w:shd w:val="clear" w:color="auto" w:fill="auto"/>
            <w:vAlign w:val="bottom"/>
          </w:tcPr>
          <w:p w14:paraId="71D3F2E9" w14:textId="77777777" w:rsidR="006A3667" w:rsidRDefault="006A3667">
            <w:pPr>
              <w:rPr>
                <w:rFonts w:ascii="宋体"/>
                <w:vanish/>
              </w:rPr>
            </w:pPr>
          </w:p>
        </w:tc>
        <w:tc>
          <w:tcPr>
            <w:tcW w:w="0" w:type="auto"/>
            <w:gridSpan w:val="3"/>
            <w:shd w:val="clear" w:color="auto" w:fill="auto"/>
            <w:vAlign w:val="bottom"/>
          </w:tcPr>
          <w:p w14:paraId="71D3F2EA" w14:textId="77777777" w:rsidR="006A3667" w:rsidRDefault="006A3667">
            <w:pPr>
              <w:rPr>
                <w:rFonts w:ascii="宋体"/>
                <w:vanish/>
              </w:rPr>
            </w:pPr>
          </w:p>
        </w:tc>
        <w:tc>
          <w:tcPr>
            <w:tcW w:w="0" w:type="auto"/>
            <w:gridSpan w:val="3"/>
            <w:shd w:val="clear" w:color="auto" w:fill="auto"/>
            <w:vAlign w:val="bottom"/>
          </w:tcPr>
          <w:p w14:paraId="71D3F2EB" w14:textId="77777777" w:rsidR="006A3667" w:rsidRDefault="006A3667">
            <w:pPr>
              <w:rPr>
                <w:rFonts w:ascii="宋体"/>
                <w:vanish/>
              </w:rPr>
            </w:pPr>
          </w:p>
        </w:tc>
        <w:tc>
          <w:tcPr>
            <w:tcW w:w="0" w:type="auto"/>
            <w:gridSpan w:val="2"/>
            <w:shd w:val="clear" w:color="auto" w:fill="auto"/>
            <w:vAlign w:val="bottom"/>
          </w:tcPr>
          <w:p w14:paraId="71D3F2EC" w14:textId="77777777" w:rsidR="006A3667" w:rsidRDefault="006A3667">
            <w:pPr>
              <w:rPr>
                <w:rFonts w:ascii="宋体"/>
                <w:vanish/>
              </w:rPr>
            </w:pPr>
          </w:p>
        </w:tc>
        <w:tc>
          <w:tcPr>
            <w:tcW w:w="0" w:type="auto"/>
            <w:shd w:val="clear" w:color="auto" w:fill="auto"/>
            <w:vAlign w:val="bottom"/>
          </w:tcPr>
          <w:p w14:paraId="71D3F2ED" w14:textId="77777777" w:rsidR="006A3667" w:rsidRDefault="006A3667">
            <w:pPr>
              <w:rPr>
                <w:rFonts w:ascii="宋体"/>
                <w:vanish/>
              </w:rPr>
            </w:pPr>
          </w:p>
        </w:tc>
      </w:tr>
      <w:tr w:rsidR="006A3667" w14:paraId="71D3F30B" w14:textId="77777777">
        <w:tc>
          <w:tcPr>
            <w:tcW w:w="0" w:type="auto"/>
            <w:gridSpan w:val="3"/>
            <w:shd w:val="clear" w:color="auto" w:fill="CCEEFF"/>
            <w:tcMar>
              <w:top w:w="40" w:type="dxa"/>
              <w:left w:w="20" w:type="dxa"/>
              <w:bottom w:w="40" w:type="dxa"/>
              <w:right w:w="20" w:type="dxa"/>
            </w:tcMar>
            <w:vAlign w:val="bottom"/>
          </w:tcPr>
          <w:p w14:paraId="71D3F2EF" w14:textId="77777777" w:rsidR="006A3667" w:rsidRDefault="00045F32">
            <w:pP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2F0" w14:textId="77777777" w:rsidR="006A3667" w:rsidRDefault="00045F32">
            <w:pPr>
              <w:jc w:val="right"/>
              <w:textAlignment w:val="bottom"/>
            </w:pPr>
            <w:r>
              <w:rPr>
                <w:rFonts w:ascii="Arial" w:eastAsia="宋体" w:hAnsi="Arial" w:cs="Arial"/>
                <w:b/>
                <w:bCs/>
                <w:color w:val="000000"/>
                <w:sz w:val="12"/>
                <w:szCs w:val="12"/>
              </w:rPr>
              <w:t>175,870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2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F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2F3" w14:textId="77777777" w:rsidR="006A3667" w:rsidRDefault="00045F32">
            <w:pPr>
              <w:jc w:val="right"/>
              <w:textAlignment w:val="bottom"/>
            </w:pPr>
            <w:r>
              <w:rPr>
                <w:rFonts w:ascii="Arial" w:eastAsia="宋体" w:hAnsi="Arial" w:cs="Arial"/>
                <w:b/>
                <w:bCs/>
                <w:color w:val="000000"/>
                <w:sz w:val="12"/>
                <w:szCs w:val="12"/>
              </w:rPr>
              <w:t>26</w:t>
            </w:r>
            <w:r>
              <w:rPr>
                <w:rFonts w:ascii="Arial" w:eastAsia="宋体" w:hAnsi="Arial" w:cs="Arial"/>
                <w:b/>
                <w:bCs/>
                <w:color w:val="000000"/>
                <w:sz w:val="12"/>
                <w:szCs w:val="12"/>
              </w:rPr>
              <w:t>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2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F6" w14:textId="77777777" w:rsidR="006A3667" w:rsidRDefault="00045F32">
            <w:pPr>
              <w:jc w:val="right"/>
              <w:textAlignment w:val="bottom"/>
            </w:pPr>
            <w:r>
              <w:rPr>
                <w:rFonts w:ascii="Arial" w:eastAsia="宋体" w:hAnsi="Arial" w:cs="Arial"/>
                <w:b/>
                <w:bCs/>
                <w:color w:val="000000"/>
                <w:sz w:val="12"/>
                <w:szCs w:val="12"/>
              </w:rPr>
              <w:t>.20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2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F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2F9" w14:textId="77777777" w:rsidR="006A3667" w:rsidRDefault="00045F32">
            <w:pPr>
              <w:jc w:val="right"/>
              <w:textAlignment w:val="bottom"/>
            </w:pPr>
            <w:r>
              <w:rPr>
                <w:rFonts w:ascii="Arial" w:eastAsia="宋体" w:hAnsi="Arial" w:cs="Arial"/>
                <w:color w:val="000000"/>
                <w:sz w:val="12"/>
                <w:szCs w:val="12"/>
              </w:rPr>
              <w:t>186,604 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2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F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2FC" w14:textId="77777777" w:rsidR="006A3667" w:rsidRDefault="00045F32">
            <w:pPr>
              <w:jc w:val="right"/>
              <w:textAlignment w:val="bottom"/>
            </w:pPr>
            <w:r>
              <w:rPr>
                <w:rFonts w:ascii="Arial" w:eastAsia="宋体" w:hAnsi="Arial" w:cs="Arial"/>
                <w:color w:val="000000"/>
                <w:sz w:val="12"/>
                <w:szCs w:val="12"/>
              </w:rPr>
              <w:t>(196)</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2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2F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2FF" w14:textId="77777777" w:rsidR="006A3667" w:rsidRDefault="00045F32">
            <w:pPr>
              <w:jc w:val="right"/>
              <w:textAlignment w:val="bottom"/>
            </w:pPr>
            <w:r>
              <w:rPr>
                <w:rFonts w:ascii="Arial" w:eastAsia="宋体" w:hAnsi="Arial" w:cs="Arial"/>
                <w:color w:val="000000"/>
                <w:sz w:val="12"/>
                <w:szCs w:val="12"/>
              </w:rPr>
              <w:t>(.14)</w:t>
            </w:r>
          </w:p>
        </w:tc>
        <w:tc>
          <w:tcPr>
            <w:tcW w:w="0" w:type="auto"/>
            <w:shd w:val="clear" w:color="auto" w:fill="CCEEFF"/>
            <w:tcMar>
              <w:top w:w="40" w:type="dxa"/>
              <w:left w:w="0" w:type="dxa"/>
              <w:bottom w:w="40" w:type="dxa"/>
              <w:right w:w="20" w:type="dxa"/>
            </w:tcMar>
            <w:vAlign w:val="bottom"/>
          </w:tcPr>
          <w:p w14:paraId="71D3F300" w14:textId="77777777" w:rsidR="006A3667" w:rsidRDefault="006A3667">
            <w:pPr>
              <w:jc w:val="right"/>
              <w:rPr>
                <w:rFonts w:ascii="宋体"/>
              </w:rPr>
            </w:pPr>
          </w:p>
        </w:tc>
        <w:tc>
          <w:tcPr>
            <w:tcW w:w="0" w:type="auto"/>
            <w:shd w:val="clear" w:color="auto" w:fill="auto"/>
            <w:vAlign w:val="bottom"/>
          </w:tcPr>
          <w:p w14:paraId="71D3F301" w14:textId="77777777" w:rsidR="006A3667" w:rsidRDefault="006A3667">
            <w:pPr>
              <w:rPr>
                <w:rFonts w:ascii="宋体"/>
                <w:vanish/>
              </w:rPr>
            </w:pPr>
          </w:p>
        </w:tc>
        <w:tc>
          <w:tcPr>
            <w:tcW w:w="0" w:type="auto"/>
            <w:shd w:val="clear" w:color="auto" w:fill="auto"/>
            <w:vAlign w:val="bottom"/>
          </w:tcPr>
          <w:p w14:paraId="71D3F302" w14:textId="77777777" w:rsidR="006A3667" w:rsidRDefault="006A3667">
            <w:pPr>
              <w:rPr>
                <w:rFonts w:ascii="宋体"/>
                <w:vanish/>
              </w:rPr>
            </w:pPr>
          </w:p>
        </w:tc>
        <w:tc>
          <w:tcPr>
            <w:tcW w:w="0" w:type="auto"/>
            <w:shd w:val="clear" w:color="auto" w:fill="auto"/>
            <w:vAlign w:val="bottom"/>
          </w:tcPr>
          <w:p w14:paraId="71D3F303" w14:textId="77777777" w:rsidR="006A3667" w:rsidRDefault="006A3667">
            <w:pPr>
              <w:rPr>
                <w:rFonts w:ascii="宋体"/>
                <w:vanish/>
              </w:rPr>
            </w:pPr>
          </w:p>
        </w:tc>
        <w:tc>
          <w:tcPr>
            <w:tcW w:w="0" w:type="auto"/>
            <w:shd w:val="clear" w:color="auto" w:fill="auto"/>
            <w:vAlign w:val="bottom"/>
          </w:tcPr>
          <w:p w14:paraId="71D3F304" w14:textId="77777777" w:rsidR="006A3667" w:rsidRDefault="006A3667">
            <w:pPr>
              <w:rPr>
                <w:rFonts w:ascii="宋体"/>
                <w:vanish/>
              </w:rPr>
            </w:pPr>
          </w:p>
        </w:tc>
        <w:tc>
          <w:tcPr>
            <w:tcW w:w="0" w:type="auto"/>
            <w:gridSpan w:val="3"/>
            <w:shd w:val="clear" w:color="auto" w:fill="auto"/>
            <w:vAlign w:val="bottom"/>
          </w:tcPr>
          <w:p w14:paraId="71D3F305" w14:textId="77777777" w:rsidR="006A3667" w:rsidRDefault="006A3667">
            <w:pPr>
              <w:rPr>
                <w:rFonts w:ascii="宋体"/>
                <w:vanish/>
              </w:rPr>
            </w:pPr>
          </w:p>
        </w:tc>
        <w:tc>
          <w:tcPr>
            <w:tcW w:w="0" w:type="auto"/>
            <w:gridSpan w:val="3"/>
            <w:shd w:val="clear" w:color="auto" w:fill="auto"/>
            <w:vAlign w:val="bottom"/>
          </w:tcPr>
          <w:p w14:paraId="71D3F306" w14:textId="77777777" w:rsidR="006A3667" w:rsidRDefault="006A3667">
            <w:pPr>
              <w:rPr>
                <w:rFonts w:ascii="宋体"/>
                <w:vanish/>
              </w:rPr>
            </w:pPr>
          </w:p>
        </w:tc>
        <w:tc>
          <w:tcPr>
            <w:tcW w:w="0" w:type="auto"/>
            <w:gridSpan w:val="3"/>
            <w:shd w:val="clear" w:color="auto" w:fill="auto"/>
            <w:vAlign w:val="bottom"/>
          </w:tcPr>
          <w:p w14:paraId="71D3F307" w14:textId="77777777" w:rsidR="006A3667" w:rsidRDefault="006A3667">
            <w:pPr>
              <w:rPr>
                <w:rFonts w:ascii="宋体"/>
                <w:vanish/>
              </w:rPr>
            </w:pPr>
          </w:p>
        </w:tc>
        <w:tc>
          <w:tcPr>
            <w:tcW w:w="0" w:type="auto"/>
            <w:gridSpan w:val="3"/>
            <w:shd w:val="clear" w:color="auto" w:fill="auto"/>
            <w:vAlign w:val="bottom"/>
          </w:tcPr>
          <w:p w14:paraId="71D3F308" w14:textId="77777777" w:rsidR="006A3667" w:rsidRDefault="006A3667">
            <w:pPr>
              <w:rPr>
                <w:rFonts w:ascii="宋体"/>
                <w:vanish/>
              </w:rPr>
            </w:pPr>
          </w:p>
        </w:tc>
        <w:tc>
          <w:tcPr>
            <w:tcW w:w="0" w:type="auto"/>
            <w:gridSpan w:val="2"/>
            <w:shd w:val="clear" w:color="auto" w:fill="auto"/>
            <w:vAlign w:val="bottom"/>
          </w:tcPr>
          <w:p w14:paraId="71D3F309" w14:textId="77777777" w:rsidR="006A3667" w:rsidRDefault="006A3667">
            <w:pPr>
              <w:rPr>
                <w:rFonts w:ascii="宋体"/>
                <w:vanish/>
              </w:rPr>
            </w:pPr>
          </w:p>
        </w:tc>
        <w:tc>
          <w:tcPr>
            <w:tcW w:w="0" w:type="auto"/>
            <w:shd w:val="clear" w:color="auto" w:fill="auto"/>
            <w:vAlign w:val="bottom"/>
          </w:tcPr>
          <w:p w14:paraId="71D3F30A" w14:textId="77777777" w:rsidR="006A3667" w:rsidRDefault="006A3667">
            <w:pPr>
              <w:rPr>
                <w:rFonts w:ascii="宋体"/>
                <w:vanish/>
              </w:rPr>
            </w:pPr>
          </w:p>
        </w:tc>
      </w:tr>
      <w:tr w:rsidR="006A3667" w14:paraId="71D3F328" w14:textId="77777777">
        <w:tc>
          <w:tcPr>
            <w:tcW w:w="0" w:type="auto"/>
            <w:gridSpan w:val="3"/>
            <w:shd w:val="clear" w:color="auto" w:fill="FFFFFF"/>
            <w:tcMar>
              <w:top w:w="40" w:type="dxa"/>
              <w:left w:w="20" w:type="dxa"/>
              <w:bottom w:w="40" w:type="dxa"/>
              <w:right w:w="20" w:type="dxa"/>
            </w:tcMar>
            <w:vAlign w:val="bottom"/>
          </w:tcPr>
          <w:p w14:paraId="71D3F30C" w14:textId="77777777" w:rsidR="006A3667" w:rsidRDefault="00045F32">
            <w:pPr>
              <w:textAlignment w:val="bottom"/>
            </w:pPr>
            <w:r>
              <w:rPr>
                <w:rFonts w:ascii="Arial" w:eastAsia="宋体" w:hAnsi="Arial" w:cs="Arial"/>
                <w:color w:val="000000"/>
                <w:sz w:val="12"/>
                <w:szCs w:val="12"/>
              </w:rPr>
              <w:t xml:space="preserve">Securities sold </w:t>
            </w:r>
            <w:r>
              <w:rPr>
                <w:rFonts w:ascii="Arial" w:eastAsia="宋体" w:hAnsi="Arial" w:cs="Arial"/>
                <w:color w:val="000000"/>
                <w:sz w:val="12"/>
                <w:szCs w:val="12"/>
              </w:rPr>
              <w:t>under repurchase agreements</w:t>
            </w:r>
          </w:p>
        </w:tc>
        <w:tc>
          <w:tcPr>
            <w:tcW w:w="0" w:type="auto"/>
            <w:gridSpan w:val="2"/>
            <w:shd w:val="clear" w:color="auto" w:fill="FFFFFF"/>
            <w:tcMar>
              <w:top w:w="40" w:type="dxa"/>
              <w:left w:w="20" w:type="dxa"/>
              <w:bottom w:w="40" w:type="dxa"/>
              <w:right w:w="0" w:type="dxa"/>
            </w:tcMar>
            <w:vAlign w:val="bottom"/>
          </w:tcPr>
          <w:p w14:paraId="71D3F30D" w14:textId="77777777" w:rsidR="006A3667" w:rsidRDefault="00045F32">
            <w:pPr>
              <w:jc w:val="right"/>
              <w:textAlignment w:val="bottom"/>
            </w:pPr>
            <w:r>
              <w:rPr>
                <w:rFonts w:ascii="Arial" w:eastAsia="宋体" w:hAnsi="Arial" w:cs="Arial"/>
                <w:b/>
                <w:bCs/>
                <w:color w:val="000000"/>
                <w:sz w:val="12"/>
                <w:szCs w:val="12"/>
              </w:rPr>
              <w:t>3,532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0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0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10" w14:textId="77777777" w:rsidR="006A3667" w:rsidRDefault="00045F32">
            <w:pPr>
              <w:jc w:val="right"/>
              <w:textAlignment w:val="bottom"/>
            </w:pPr>
            <w:r>
              <w:rPr>
                <w:rFonts w:ascii="Arial" w:eastAsia="宋体" w:hAnsi="Arial" w:cs="Arial"/>
                <w:b/>
                <w:bCs/>
                <w:color w:val="000000"/>
                <w:sz w:val="12"/>
                <w:szCs w:val="12"/>
              </w:rPr>
              <w:t>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1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13" w14:textId="77777777" w:rsidR="006A3667" w:rsidRDefault="00045F32">
            <w:pPr>
              <w:jc w:val="right"/>
              <w:textAlignment w:val="bottom"/>
            </w:pPr>
            <w:r>
              <w:rPr>
                <w:rFonts w:ascii="Arial" w:eastAsia="宋体" w:hAnsi="Arial" w:cs="Arial"/>
                <w:b/>
                <w:bCs/>
                <w:color w:val="000000"/>
                <w:sz w:val="12"/>
                <w:szCs w:val="12"/>
              </w:rPr>
              <w:t>.19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1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16" w14:textId="77777777" w:rsidR="006A3667" w:rsidRDefault="00045F32">
            <w:pPr>
              <w:jc w:val="right"/>
              <w:textAlignment w:val="bottom"/>
            </w:pPr>
            <w:r>
              <w:rPr>
                <w:rFonts w:ascii="Arial" w:eastAsia="宋体" w:hAnsi="Arial" w:cs="Arial"/>
                <w:color w:val="000000"/>
                <w:sz w:val="12"/>
                <w:szCs w:val="12"/>
              </w:rPr>
              <w:t>606 </w:t>
            </w:r>
          </w:p>
        </w:tc>
        <w:tc>
          <w:tcPr>
            <w:tcW w:w="0" w:type="auto"/>
            <w:shd w:val="clear" w:color="auto" w:fill="FFFFFF"/>
            <w:tcMar>
              <w:top w:w="40" w:type="dxa"/>
              <w:left w:w="0" w:type="dxa"/>
              <w:bottom w:w="40" w:type="dxa"/>
              <w:right w:w="20" w:type="dxa"/>
            </w:tcMar>
            <w:vAlign w:val="bottom"/>
          </w:tcPr>
          <w:p w14:paraId="71D3F3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1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19"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1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1C" w14:textId="77777777" w:rsidR="006A3667" w:rsidRDefault="00045F32">
            <w:pPr>
              <w:jc w:val="right"/>
              <w:textAlignment w:val="bottom"/>
            </w:pPr>
            <w:r>
              <w:rPr>
                <w:rFonts w:ascii="Arial" w:eastAsia="宋体" w:hAnsi="Arial" w:cs="Arial"/>
                <w:color w:val="000000"/>
                <w:sz w:val="12"/>
                <w:szCs w:val="12"/>
              </w:rPr>
              <w:t>.02 </w:t>
            </w:r>
          </w:p>
        </w:tc>
        <w:tc>
          <w:tcPr>
            <w:tcW w:w="0" w:type="auto"/>
            <w:shd w:val="clear" w:color="auto" w:fill="FFFFFF"/>
            <w:tcMar>
              <w:top w:w="40" w:type="dxa"/>
              <w:left w:w="0" w:type="dxa"/>
              <w:bottom w:w="40" w:type="dxa"/>
              <w:right w:w="20" w:type="dxa"/>
            </w:tcMar>
            <w:vAlign w:val="bottom"/>
          </w:tcPr>
          <w:p w14:paraId="71D3F31D" w14:textId="77777777" w:rsidR="006A3667" w:rsidRDefault="006A3667">
            <w:pPr>
              <w:jc w:val="right"/>
              <w:rPr>
                <w:rFonts w:ascii="宋体"/>
              </w:rPr>
            </w:pPr>
          </w:p>
        </w:tc>
        <w:tc>
          <w:tcPr>
            <w:tcW w:w="0" w:type="auto"/>
            <w:shd w:val="clear" w:color="auto" w:fill="auto"/>
            <w:vAlign w:val="bottom"/>
          </w:tcPr>
          <w:p w14:paraId="71D3F31E" w14:textId="77777777" w:rsidR="006A3667" w:rsidRDefault="006A3667">
            <w:pPr>
              <w:rPr>
                <w:rFonts w:ascii="宋体"/>
                <w:vanish/>
              </w:rPr>
            </w:pPr>
          </w:p>
        </w:tc>
        <w:tc>
          <w:tcPr>
            <w:tcW w:w="0" w:type="auto"/>
            <w:shd w:val="clear" w:color="auto" w:fill="auto"/>
            <w:vAlign w:val="bottom"/>
          </w:tcPr>
          <w:p w14:paraId="71D3F31F" w14:textId="77777777" w:rsidR="006A3667" w:rsidRDefault="006A3667">
            <w:pPr>
              <w:rPr>
                <w:rFonts w:ascii="宋体"/>
                <w:vanish/>
              </w:rPr>
            </w:pPr>
          </w:p>
        </w:tc>
        <w:tc>
          <w:tcPr>
            <w:tcW w:w="0" w:type="auto"/>
            <w:shd w:val="clear" w:color="auto" w:fill="auto"/>
            <w:vAlign w:val="bottom"/>
          </w:tcPr>
          <w:p w14:paraId="71D3F320" w14:textId="77777777" w:rsidR="006A3667" w:rsidRDefault="006A3667">
            <w:pPr>
              <w:rPr>
                <w:rFonts w:ascii="宋体"/>
                <w:vanish/>
              </w:rPr>
            </w:pPr>
          </w:p>
        </w:tc>
        <w:tc>
          <w:tcPr>
            <w:tcW w:w="0" w:type="auto"/>
            <w:shd w:val="clear" w:color="auto" w:fill="auto"/>
            <w:vAlign w:val="bottom"/>
          </w:tcPr>
          <w:p w14:paraId="71D3F321" w14:textId="77777777" w:rsidR="006A3667" w:rsidRDefault="006A3667">
            <w:pPr>
              <w:rPr>
                <w:rFonts w:ascii="宋体"/>
                <w:vanish/>
              </w:rPr>
            </w:pPr>
          </w:p>
        </w:tc>
        <w:tc>
          <w:tcPr>
            <w:tcW w:w="0" w:type="auto"/>
            <w:gridSpan w:val="3"/>
            <w:shd w:val="clear" w:color="auto" w:fill="auto"/>
            <w:vAlign w:val="bottom"/>
          </w:tcPr>
          <w:p w14:paraId="71D3F322" w14:textId="77777777" w:rsidR="006A3667" w:rsidRDefault="006A3667">
            <w:pPr>
              <w:rPr>
                <w:rFonts w:ascii="宋体"/>
                <w:vanish/>
              </w:rPr>
            </w:pPr>
          </w:p>
        </w:tc>
        <w:tc>
          <w:tcPr>
            <w:tcW w:w="0" w:type="auto"/>
            <w:gridSpan w:val="3"/>
            <w:shd w:val="clear" w:color="auto" w:fill="auto"/>
            <w:vAlign w:val="bottom"/>
          </w:tcPr>
          <w:p w14:paraId="71D3F323" w14:textId="77777777" w:rsidR="006A3667" w:rsidRDefault="006A3667">
            <w:pPr>
              <w:rPr>
                <w:rFonts w:ascii="宋体"/>
                <w:vanish/>
              </w:rPr>
            </w:pPr>
          </w:p>
        </w:tc>
        <w:tc>
          <w:tcPr>
            <w:tcW w:w="0" w:type="auto"/>
            <w:gridSpan w:val="3"/>
            <w:shd w:val="clear" w:color="auto" w:fill="auto"/>
            <w:vAlign w:val="bottom"/>
          </w:tcPr>
          <w:p w14:paraId="71D3F324" w14:textId="77777777" w:rsidR="006A3667" w:rsidRDefault="006A3667">
            <w:pPr>
              <w:rPr>
                <w:rFonts w:ascii="宋体"/>
                <w:vanish/>
              </w:rPr>
            </w:pPr>
          </w:p>
        </w:tc>
        <w:tc>
          <w:tcPr>
            <w:tcW w:w="0" w:type="auto"/>
            <w:gridSpan w:val="3"/>
            <w:shd w:val="clear" w:color="auto" w:fill="auto"/>
            <w:vAlign w:val="bottom"/>
          </w:tcPr>
          <w:p w14:paraId="71D3F325" w14:textId="77777777" w:rsidR="006A3667" w:rsidRDefault="006A3667">
            <w:pPr>
              <w:rPr>
                <w:rFonts w:ascii="宋体"/>
                <w:vanish/>
              </w:rPr>
            </w:pPr>
          </w:p>
        </w:tc>
        <w:tc>
          <w:tcPr>
            <w:tcW w:w="0" w:type="auto"/>
            <w:gridSpan w:val="2"/>
            <w:shd w:val="clear" w:color="auto" w:fill="auto"/>
            <w:vAlign w:val="bottom"/>
          </w:tcPr>
          <w:p w14:paraId="71D3F326" w14:textId="77777777" w:rsidR="006A3667" w:rsidRDefault="006A3667">
            <w:pPr>
              <w:rPr>
                <w:rFonts w:ascii="宋体"/>
                <w:vanish/>
              </w:rPr>
            </w:pPr>
          </w:p>
        </w:tc>
        <w:tc>
          <w:tcPr>
            <w:tcW w:w="0" w:type="auto"/>
            <w:shd w:val="clear" w:color="auto" w:fill="auto"/>
            <w:vAlign w:val="bottom"/>
          </w:tcPr>
          <w:p w14:paraId="71D3F327" w14:textId="77777777" w:rsidR="006A3667" w:rsidRDefault="006A3667">
            <w:pPr>
              <w:rPr>
                <w:rFonts w:ascii="宋体"/>
                <w:vanish/>
              </w:rPr>
            </w:pPr>
          </w:p>
        </w:tc>
      </w:tr>
      <w:tr w:rsidR="006A3667" w14:paraId="71D3F345" w14:textId="77777777">
        <w:tc>
          <w:tcPr>
            <w:tcW w:w="0" w:type="auto"/>
            <w:gridSpan w:val="3"/>
            <w:shd w:val="clear" w:color="auto" w:fill="CCEEFF"/>
            <w:tcMar>
              <w:top w:w="40" w:type="dxa"/>
              <w:left w:w="20" w:type="dxa"/>
              <w:bottom w:w="40" w:type="dxa"/>
              <w:right w:w="20" w:type="dxa"/>
            </w:tcMar>
            <w:vAlign w:val="bottom"/>
          </w:tcPr>
          <w:p w14:paraId="71D3F329" w14:textId="77777777" w:rsidR="006A3667" w:rsidRDefault="00045F32">
            <w:pPr>
              <w:textAlignment w:val="bottom"/>
            </w:pPr>
            <w:r>
              <w:rPr>
                <w:rFonts w:ascii="Arial" w:eastAsia="宋体" w:hAnsi="Arial" w:cs="Arial"/>
                <w:color w:val="000000"/>
                <w:sz w:val="12"/>
                <w:szCs w:val="12"/>
              </w:rPr>
              <w:t xml:space="preserve">Short-term borrowings under money market liquidity </w:t>
            </w:r>
            <w:r>
              <w:rPr>
                <w:rFonts w:ascii="Arial" w:eastAsia="宋体" w:hAnsi="Arial" w:cs="Arial"/>
                <w:color w:val="000000"/>
                <w:sz w:val="12"/>
                <w:szCs w:val="12"/>
              </w:rPr>
              <w:t>facility</w:t>
            </w:r>
          </w:p>
        </w:tc>
        <w:tc>
          <w:tcPr>
            <w:tcW w:w="0" w:type="auto"/>
            <w:gridSpan w:val="2"/>
            <w:shd w:val="clear" w:color="auto" w:fill="CCEEFF"/>
            <w:tcMar>
              <w:top w:w="40" w:type="dxa"/>
              <w:left w:w="20" w:type="dxa"/>
              <w:bottom w:w="40" w:type="dxa"/>
              <w:right w:w="0" w:type="dxa"/>
            </w:tcMar>
            <w:vAlign w:val="bottom"/>
          </w:tcPr>
          <w:p w14:paraId="71D3F32A"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2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2D"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2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30"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3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33" w14:textId="77777777" w:rsidR="006A3667" w:rsidRDefault="00045F32">
            <w:pPr>
              <w:jc w:val="right"/>
              <w:textAlignment w:val="bottom"/>
            </w:pPr>
            <w:r>
              <w:rPr>
                <w:rFonts w:ascii="Arial" w:eastAsia="宋体" w:hAnsi="Arial" w:cs="Arial"/>
                <w:color w:val="000000"/>
                <w:sz w:val="12"/>
                <w:szCs w:val="12"/>
              </w:rPr>
              <w:t>421 </w:t>
            </w:r>
          </w:p>
        </w:tc>
        <w:tc>
          <w:tcPr>
            <w:tcW w:w="0" w:type="auto"/>
            <w:shd w:val="clear" w:color="auto" w:fill="CCEEFF"/>
            <w:tcMar>
              <w:top w:w="40" w:type="dxa"/>
              <w:left w:w="0" w:type="dxa"/>
              <w:bottom w:w="40" w:type="dxa"/>
              <w:right w:w="20" w:type="dxa"/>
            </w:tcMar>
            <w:vAlign w:val="bottom"/>
          </w:tcPr>
          <w:p w14:paraId="71D3F3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3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36" w14:textId="77777777" w:rsidR="006A3667" w:rsidRDefault="00045F32">
            <w:pPr>
              <w:jc w:val="right"/>
              <w:textAlignment w:val="bottom"/>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bottom"/>
          </w:tcPr>
          <w:p w14:paraId="71D3F33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3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39" w14:textId="77777777" w:rsidR="006A3667" w:rsidRDefault="00045F32">
            <w:pPr>
              <w:jc w:val="right"/>
              <w:textAlignment w:val="bottom"/>
            </w:pPr>
            <w:r>
              <w:rPr>
                <w:rFonts w:ascii="Arial" w:eastAsia="宋体" w:hAnsi="Arial" w:cs="Arial"/>
                <w:color w:val="000000"/>
                <w:sz w:val="12"/>
                <w:szCs w:val="12"/>
              </w:rPr>
              <w:t>1.21 </w:t>
            </w:r>
          </w:p>
        </w:tc>
        <w:tc>
          <w:tcPr>
            <w:tcW w:w="0" w:type="auto"/>
            <w:shd w:val="clear" w:color="auto" w:fill="CCEEFF"/>
            <w:tcMar>
              <w:top w:w="40" w:type="dxa"/>
              <w:left w:w="0" w:type="dxa"/>
              <w:bottom w:w="40" w:type="dxa"/>
              <w:right w:w="20" w:type="dxa"/>
            </w:tcMar>
            <w:vAlign w:val="bottom"/>
          </w:tcPr>
          <w:p w14:paraId="71D3F33A" w14:textId="77777777" w:rsidR="006A3667" w:rsidRDefault="006A3667">
            <w:pPr>
              <w:jc w:val="right"/>
              <w:rPr>
                <w:rFonts w:ascii="宋体"/>
              </w:rPr>
            </w:pPr>
          </w:p>
        </w:tc>
        <w:tc>
          <w:tcPr>
            <w:tcW w:w="0" w:type="auto"/>
            <w:shd w:val="clear" w:color="auto" w:fill="auto"/>
            <w:vAlign w:val="bottom"/>
          </w:tcPr>
          <w:p w14:paraId="71D3F33B" w14:textId="77777777" w:rsidR="006A3667" w:rsidRDefault="006A3667">
            <w:pPr>
              <w:rPr>
                <w:rFonts w:ascii="宋体"/>
                <w:vanish/>
              </w:rPr>
            </w:pPr>
          </w:p>
        </w:tc>
        <w:tc>
          <w:tcPr>
            <w:tcW w:w="0" w:type="auto"/>
            <w:shd w:val="clear" w:color="auto" w:fill="auto"/>
            <w:vAlign w:val="bottom"/>
          </w:tcPr>
          <w:p w14:paraId="71D3F33C" w14:textId="77777777" w:rsidR="006A3667" w:rsidRDefault="006A3667">
            <w:pPr>
              <w:rPr>
                <w:rFonts w:ascii="宋体"/>
                <w:vanish/>
              </w:rPr>
            </w:pPr>
          </w:p>
        </w:tc>
        <w:tc>
          <w:tcPr>
            <w:tcW w:w="0" w:type="auto"/>
            <w:shd w:val="clear" w:color="auto" w:fill="auto"/>
            <w:vAlign w:val="bottom"/>
          </w:tcPr>
          <w:p w14:paraId="71D3F33D" w14:textId="77777777" w:rsidR="006A3667" w:rsidRDefault="006A3667">
            <w:pPr>
              <w:rPr>
                <w:rFonts w:ascii="宋体"/>
                <w:vanish/>
              </w:rPr>
            </w:pPr>
          </w:p>
        </w:tc>
        <w:tc>
          <w:tcPr>
            <w:tcW w:w="0" w:type="auto"/>
            <w:shd w:val="clear" w:color="auto" w:fill="auto"/>
            <w:vAlign w:val="bottom"/>
          </w:tcPr>
          <w:p w14:paraId="71D3F33E" w14:textId="77777777" w:rsidR="006A3667" w:rsidRDefault="006A3667">
            <w:pPr>
              <w:rPr>
                <w:rFonts w:ascii="宋体"/>
                <w:vanish/>
              </w:rPr>
            </w:pPr>
          </w:p>
        </w:tc>
        <w:tc>
          <w:tcPr>
            <w:tcW w:w="0" w:type="auto"/>
            <w:gridSpan w:val="3"/>
            <w:shd w:val="clear" w:color="auto" w:fill="auto"/>
            <w:vAlign w:val="bottom"/>
          </w:tcPr>
          <w:p w14:paraId="71D3F33F" w14:textId="77777777" w:rsidR="006A3667" w:rsidRDefault="006A3667">
            <w:pPr>
              <w:rPr>
                <w:rFonts w:ascii="宋体"/>
                <w:vanish/>
              </w:rPr>
            </w:pPr>
          </w:p>
        </w:tc>
        <w:tc>
          <w:tcPr>
            <w:tcW w:w="0" w:type="auto"/>
            <w:gridSpan w:val="3"/>
            <w:shd w:val="clear" w:color="auto" w:fill="auto"/>
            <w:vAlign w:val="bottom"/>
          </w:tcPr>
          <w:p w14:paraId="71D3F340" w14:textId="77777777" w:rsidR="006A3667" w:rsidRDefault="006A3667">
            <w:pPr>
              <w:rPr>
                <w:rFonts w:ascii="宋体"/>
                <w:vanish/>
              </w:rPr>
            </w:pPr>
          </w:p>
        </w:tc>
        <w:tc>
          <w:tcPr>
            <w:tcW w:w="0" w:type="auto"/>
            <w:gridSpan w:val="3"/>
            <w:shd w:val="clear" w:color="auto" w:fill="auto"/>
            <w:vAlign w:val="bottom"/>
          </w:tcPr>
          <w:p w14:paraId="71D3F341" w14:textId="77777777" w:rsidR="006A3667" w:rsidRDefault="006A3667">
            <w:pPr>
              <w:rPr>
                <w:rFonts w:ascii="宋体"/>
                <w:vanish/>
              </w:rPr>
            </w:pPr>
          </w:p>
        </w:tc>
        <w:tc>
          <w:tcPr>
            <w:tcW w:w="0" w:type="auto"/>
            <w:gridSpan w:val="3"/>
            <w:shd w:val="clear" w:color="auto" w:fill="auto"/>
            <w:vAlign w:val="bottom"/>
          </w:tcPr>
          <w:p w14:paraId="71D3F342" w14:textId="77777777" w:rsidR="006A3667" w:rsidRDefault="006A3667">
            <w:pPr>
              <w:rPr>
                <w:rFonts w:ascii="宋体"/>
                <w:vanish/>
              </w:rPr>
            </w:pPr>
          </w:p>
        </w:tc>
        <w:tc>
          <w:tcPr>
            <w:tcW w:w="0" w:type="auto"/>
            <w:gridSpan w:val="2"/>
            <w:shd w:val="clear" w:color="auto" w:fill="auto"/>
            <w:vAlign w:val="bottom"/>
          </w:tcPr>
          <w:p w14:paraId="71D3F343" w14:textId="77777777" w:rsidR="006A3667" w:rsidRDefault="006A3667">
            <w:pPr>
              <w:rPr>
                <w:rFonts w:ascii="宋体"/>
                <w:vanish/>
              </w:rPr>
            </w:pPr>
          </w:p>
        </w:tc>
        <w:tc>
          <w:tcPr>
            <w:tcW w:w="0" w:type="auto"/>
            <w:shd w:val="clear" w:color="auto" w:fill="auto"/>
            <w:vAlign w:val="bottom"/>
          </w:tcPr>
          <w:p w14:paraId="71D3F344" w14:textId="77777777" w:rsidR="006A3667" w:rsidRDefault="006A3667">
            <w:pPr>
              <w:rPr>
                <w:rFonts w:ascii="宋体"/>
                <w:vanish/>
              </w:rPr>
            </w:pPr>
          </w:p>
        </w:tc>
      </w:tr>
      <w:tr w:rsidR="006A3667" w14:paraId="71D3F362" w14:textId="77777777">
        <w:tc>
          <w:tcPr>
            <w:tcW w:w="0" w:type="auto"/>
            <w:gridSpan w:val="3"/>
            <w:shd w:val="clear" w:color="auto" w:fill="FFFFFF"/>
            <w:tcMar>
              <w:top w:w="40" w:type="dxa"/>
              <w:left w:w="20" w:type="dxa"/>
              <w:bottom w:w="40" w:type="dxa"/>
              <w:right w:w="20" w:type="dxa"/>
            </w:tcMar>
            <w:vAlign w:val="bottom"/>
          </w:tcPr>
          <w:p w14:paraId="71D3F346" w14:textId="77777777" w:rsidR="006A3667" w:rsidRDefault="00045F32">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71D3F347" w14:textId="77777777" w:rsidR="006A3667" w:rsidRDefault="00045F32">
            <w:pPr>
              <w:jc w:val="right"/>
              <w:textAlignment w:val="bottom"/>
            </w:pPr>
            <w:r>
              <w:rPr>
                <w:rFonts w:ascii="Arial" w:eastAsia="宋体" w:hAnsi="Arial" w:cs="Arial"/>
                <w:b/>
                <w:bCs/>
                <w:color w:val="000000"/>
                <w:sz w:val="12"/>
                <w:szCs w:val="12"/>
              </w:rPr>
              <w:t>660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4A" w14:textId="77777777" w:rsidR="006A3667" w:rsidRDefault="00045F32">
            <w:pPr>
              <w:jc w:val="right"/>
              <w:textAlignment w:val="bottom"/>
            </w:pPr>
            <w:r>
              <w:rPr>
                <w:rFonts w:ascii="Arial" w:eastAsia="宋体" w:hAnsi="Arial" w:cs="Arial"/>
                <w:b/>
                <w:bCs/>
                <w:color w:val="000000"/>
                <w:sz w:val="12"/>
                <w:szCs w:val="12"/>
              </w:rPr>
              <w:t>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4D" w14:textId="77777777" w:rsidR="006A3667" w:rsidRDefault="00045F32">
            <w:pPr>
              <w:jc w:val="right"/>
              <w:textAlignment w:val="bottom"/>
            </w:pPr>
            <w:r>
              <w:rPr>
                <w:rFonts w:ascii="Arial" w:eastAsia="宋体" w:hAnsi="Arial" w:cs="Arial"/>
                <w:b/>
                <w:bCs/>
                <w:color w:val="000000"/>
                <w:sz w:val="12"/>
                <w:szCs w:val="12"/>
              </w:rPr>
              <w:t>.25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50" w14:textId="77777777" w:rsidR="006A3667" w:rsidRDefault="00045F32">
            <w:pPr>
              <w:jc w:val="right"/>
              <w:textAlignment w:val="bottom"/>
            </w:pPr>
            <w:r>
              <w:rPr>
                <w:rFonts w:ascii="Arial" w:eastAsia="宋体" w:hAnsi="Arial" w:cs="Arial"/>
                <w:color w:val="000000"/>
                <w:sz w:val="12"/>
                <w:szCs w:val="12"/>
              </w:rPr>
              <w:t>832 </w:t>
            </w:r>
          </w:p>
        </w:tc>
        <w:tc>
          <w:tcPr>
            <w:tcW w:w="0" w:type="auto"/>
            <w:shd w:val="clear" w:color="auto" w:fill="FFFFFF"/>
            <w:tcMar>
              <w:top w:w="40" w:type="dxa"/>
              <w:left w:w="0" w:type="dxa"/>
              <w:bottom w:w="40" w:type="dxa"/>
              <w:right w:w="20" w:type="dxa"/>
            </w:tcMar>
            <w:vAlign w:val="bottom"/>
          </w:tcPr>
          <w:p w14:paraId="71D3F35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5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53" w14:textId="77777777" w:rsidR="006A3667" w:rsidRDefault="00045F32">
            <w:pPr>
              <w:jc w:val="right"/>
              <w:textAlignment w:val="bottom"/>
            </w:pPr>
            <w:r>
              <w:rPr>
                <w:rFonts w:ascii="Arial" w:eastAsia="宋体" w:hAnsi="Arial" w:cs="Arial"/>
                <w:color w:val="000000"/>
                <w:sz w:val="12"/>
                <w:szCs w:val="12"/>
              </w:rPr>
              <w:t>1 </w:t>
            </w:r>
          </w:p>
        </w:tc>
        <w:tc>
          <w:tcPr>
            <w:tcW w:w="0" w:type="auto"/>
            <w:shd w:val="clear" w:color="auto" w:fill="FFFFFF"/>
            <w:tcMar>
              <w:top w:w="40" w:type="dxa"/>
              <w:left w:w="0" w:type="dxa"/>
              <w:bottom w:w="40" w:type="dxa"/>
              <w:right w:w="20" w:type="dxa"/>
            </w:tcMar>
            <w:vAlign w:val="bottom"/>
          </w:tcPr>
          <w:p w14:paraId="71D3F3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56" w14:textId="77777777" w:rsidR="006A3667" w:rsidRDefault="00045F32">
            <w:pPr>
              <w:jc w:val="right"/>
              <w:textAlignment w:val="bottom"/>
            </w:pPr>
            <w:r>
              <w:rPr>
                <w:rFonts w:ascii="Arial" w:eastAsia="宋体" w:hAnsi="Arial" w:cs="Arial"/>
                <w:color w:val="000000"/>
                <w:sz w:val="12"/>
                <w:szCs w:val="12"/>
              </w:rPr>
              <w:t>.20 </w:t>
            </w:r>
          </w:p>
        </w:tc>
        <w:tc>
          <w:tcPr>
            <w:tcW w:w="0" w:type="auto"/>
            <w:shd w:val="clear" w:color="auto" w:fill="FFFFFF"/>
            <w:tcMar>
              <w:top w:w="40" w:type="dxa"/>
              <w:left w:w="0" w:type="dxa"/>
              <w:bottom w:w="40" w:type="dxa"/>
              <w:right w:w="20" w:type="dxa"/>
            </w:tcMar>
            <w:vAlign w:val="bottom"/>
          </w:tcPr>
          <w:p w14:paraId="71D3F357" w14:textId="77777777" w:rsidR="006A3667" w:rsidRDefault="006A3667">
            <w:pPr>
              <w:jc w:val="right"/>
              <w:rPr>
                <w:rFonts w:ascii="宋体"/>
              </w:rPr>
            </w:pPr>
          </w:p>
        </w:tc>
        <w:tc>
          <w:tcPr>
            <w:tcW w:w="0" w:type="auto"/>
            <w:shd w:val="clear" w:color="auto" w:fill="auto"/>
            <w:vAlign w:val="bottom"/>
          </w:tcPr>
          <w:p w14:paraId="71D3F358" w14:textId="77777777" w:rsidR="006A3667" w:rsidRDefault="006A3667">
            <w:pPr>
              <w:rPr>
                <w:rFonts w:ascii="宋体"/>
                <w:vanish/>
              </w:rPr>
            </w:pPr>
          </w:p>
        </w:tc>
        <w:tc>
          <w:tcPr>
            <w:tcW w:w="0" w:type="auto"/>
            <w:shd w:val="clear" w:color="auto" w:fill="auto"/>
            <w:vAlign w:val="bottom"/>
          </w:tcPr>
          <w:p w14:paraId="71D3F359" w14:textId="77777777" w:rsidR="006A3667" w:rsidRDefault="006A3667">
            <w:pPr>
              <w:rPr>
                <w:rFonts w:ascii="宋体"/>
                <w:vanish/>
              </w:rPr>
            </w:pPr>
          </w:p>
        </w:tc>
        <w:tc>
          <w:tcPr>
            <w:tcW w:w="0" w:type="auto"/>
            <w:shd w:val="clear" w:color="auto" w:fill="auto"/>
            <w:vAlign w:val="bottom"/>
          </w:tcPr>
          <w:p w14:paraId="71D3F35A" w14:textId="77777777" w:rsidR="006A3667" w:rsidRDefault="006A3667">
            <w:pPr>
              <w:rPr>
                <w:rFonts w:ascii="宋体"/>
                <w:vanish/>
              </w:rPr>
            </w:pPr>
          </w:p>
        </w:tc>
        <w:tc>
          <w:tcPr>
            <w:tcW w:w="0" w:type="auto"/>
            <w:shd w:val="clear" w:color="auto" w:fill="auto"/>
            <w:vAlign w:val="bottom"/>
          </w:tcPr>
          <w:p w14:paraId="71D3F35B" w14:textId="77777777" w:rsidR="006A3667" w:rsidRDefault="006A3667">
            <w:pPr>
              <w:rPr>
                <w:rFonts w:ascii="宋体"/>
                <w:vanish/>
              </w:rPr>
            </w:pPr>
          </w:p>
        </w:tc>
        <w:tc>
          <w:tcPr>
            <w:tcW w:w="0" w:type="auto"/>
            <w:gridSpan w:val="3"/>
            <w:shd w:val="clear" w:color="auto" w:fill="auto"/>
            <w:vAlign w:val="bottom"/>
          </w:tcPr>
          <w:p w14:paraId="71D3F35C" w14:textId="77777777" w:rsidR="006A3667" w:rsidRDefault="006A3667">
            <w:pPr>
              <w:rPr>
                <w:rFonts w:ascii="宋体"/>
                <w:vanish/>
              </w:rPr>
            </w:pPr>
          </w:p>
        </w:tc>
        <w:tc>
          <w:tcPr>
            <w:tcW w:w="0" w:type="auto"/>
            <w:gridSpan w:val="3"/>
            <w:shd w:val="clear" w:color="auto" w:fill="auto"/>
            <w:vAlign w:val="bottom"/>
          </w:tcPr>
          <w:p w14:paraId="71D3F35D" w14:textId="77777777" w:rsidR="006A3667" w:rsidRDefault="006A3667">
            <w:pPr>
              <w:rPr>
                <w:rFonts w:ascii="宋体"/>
                <w:vanish/>
              </w:rPr>
            </w:pPr>
          </w:p>
        </w:tc>
        <w:tc>
          <w:tcPr>
            <w:tcW w:w="0" w:type="auto"/>
            <w:gridSpan w:val="3"/>
            <w:shd w:val="clear" w:color="auto" w:fill="auto"/>
            <w:vAlign w:val="bottom"/>
          </w:tcPr>
          <w:p w14:paraId="71D3F35E" w14:textId="77777777" w:rsidR="006A3667" w:rsidRDefault="006A3667">
            <w:pPr>
              <w:rPr>
                <w:rFonts w:ascii="宋体"/>
                <w:vanish/>
              </w:rPr>
            </w:pPr>
          </w:p>
        </w:tc>
        <w:tc>
          <w:tcPr>
            <w:tcW w:w="0" w:type="auto"/>
            <w:gridSpan w:val="3"/>
            <w:shd w:val="clear" w:color="auto" w:fill="auto"/>
            <w:vAlign w:val="bottom"/>
          </w:tcPr>
          <w:p w14:paraId="71D3F35F" w14:textId="77777777" w:rsidR="006A3667" w:rsidRDefault="006A3667">
            <w:pPr>
              <w:rPr>
                <w:rFonts w:ascii="宋体"/>
                <w:vanish/>
              </w:rPr>
            </w:pPr>
          </w:p>
        </w:tc>
        <w:tc>
          <w:tcPr>
            <w:tcW w:w="0" w:type="auto"/>
            <w:gridSpan w:val="2"/>
            <w:shd w:val="clear" w:color="auto" w:fill="auto"/>
            <w:vAlign w:val="bottom"/>
          </w:tcPr>
          <w:p w14:paraId="71D3F360" w14:textId="77777777" w:rsidR="006A3667" w:rsidRDefault="006A3667">
            <w:pPr>
              <w:rPr>
                <w:rFonts w:ascii="宋体"/>
                <w:vanish/>
              </w:rPr>
            </w:pPr>
          </w:p>
        </w:tc>
        <w:tc>
          <w:tcPr>
            <w:tcW w:w="0" w:type="auto"/>
            <w:shd w:val="clear" w:color="auto" w:fill="auto"/>
            <w:vAlign w:val="bottom"/>
          </w:tcPr>
          <w:p w14:paraId="71D3F361" w14:textId="77777777" w:rsidR="006A3667" w:rsidRDefault="006A3667">
            <w:pPr>
              <w:rPr>
                <w:rFonts w:ascii="宋体"/>
                <w:vanish/>
              </w:rPr>
            </w:pPr>
          </w:p>
        </w:tc>
      </w:tr>
      <w:tr w:rsidR="006A3667" w14:paraId="71D3F37F" w14:textId="77777777">
        <w:tc>
          <w:tcPr>
            <w:tcW w:w="0" w:type="auto"/>
            <w:gridSpan w:val="3"/>
            <w:shd w:val="clear" w:color="auto" w:fill="CCEEFF"/>
            <w:tcMar>
              <w:top w:w="40" w:type="dxa"/>
              <w:left w:w="20" w:type="dxa"/>
              <w:bottom w:w="40" w:type="dxa"/>
              <w:right w:w="20" w:type="dxa"/>
            </w:tcMar>
            <w:vAlign w:val="bottom"/>
          </w:tcPr>
          <w:p w14:paraId="71D3F363" w14:textId="77777777" w:rsidR="006A3667" w:rsidRDefault="00045F32">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71D3F364" w14:textId="77777777" w:rsidR="006A3667" w:rsidRDefault="00045F32">
            <w:pPr>
              <w:jc w:val="right"/>
              <w:textAlignment w:val="bottom"/>
            </w:pPr>
            <w:r>
              <w:rPr>
                <w:rFonts w:ascii="Arial" w:eastAsia="宋体" w:hAnsi="Arial" w:cs="Arial"/>
                <w:b/>
                <w:bCs/>
                <w:color w:val="000000"/>
                <w:sz w:val="12"/>
                <w:szCs w:val="12"/>
              </w:rPr>
              <w:t>13,974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6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6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67" w14:textId="77777777" w:rsidR="006A3667" w:rsidRDefault="00045F32">
            <w:pPr>
              <w:jc w:val="right"/>
              <w:textAlignment w:val="bottom"/>
            </w:pPr>
            <w:r>
              <w:rPr>
                <w:rFonts w:ascii="Arial" w:eastAsia="宋体" w:hAnsi="Arial" w:cs="Arial"/>
                <w:b/>
                <w:bCs/>
                <w:color w:val="000000"/>
                <w:sz w:val="12"/>
                <w:szCs w:val="12"/>
              </w:rPr>
              <w:t>234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6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6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6A" w14:textId="77777777" w:rsidR="006A3667" w:rsidRDefault="00045F32">
            <w:pPr>
              <w:jc w:val="right"/>
              <w:textAlignment w:val="bottom"/>
            </w:pPr>
            <w:r>
              <w:rPr>
                <w:rFonts w:ascii="Arial" w:eastAsia="宋体" w:hAnsi="Arial" w:cs="Arial"/>
                <w:b/>
                <w:bCs/>
                <w:color w:val="000000"/>
                <w:sz w:val="12"/>
                <w:szCs w:val="12"/>
              </w:rPr>
              <w:t>2.24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6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6D" w14:textId="77777777" w:rsidR="006A3667" w:rsidRDefault="00045F32">
            <w:pPr>
              <w:jc w:val="right"/>
              <w:textAlignment w:val="bottom"/>
            </w:pPr>
            <w:r>
              <w:rPr>
                <w:rFonts w:ascii="Arial" w:eastAsia="宋体" w:hAnsi="Arial" w:cs="Arial"/>
                <w:color w:val="000000"/>
                <w:sz w:val="12"/>
                <w:szCs w:val="12"/>
              </w:rPr>
              <w:t>13,431 </w:t>
            </w:r>
          </w:p>
        </w:tc>
        <w:tc>
          <w:tcPr>
            <w:tcW w:w="0" w:type="auto"/>
            <w:shd w:val="clear" w:color="auto" w:fill="CCEEFF"/>
            <w:tcMar>
              <w:top w:w="40" w:type="dxa"/>
              <w:left w:w="0" w:type="dxa"/>
              <w:bottom w:w="40" w:type="dxa"/>
              <w:right w:w="20" w:type="dxa"/>
            </w:tcMar>
            <w:vAlign w:val="bottom"/>
          </w:tcPr>
          <w:p w14:paraId="71D3F3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6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70" w14:textId="77777777" w:rsidR="006A3667" w:rsidRDefault="00045F32">
            <w:pPr>
              <w:jc w:val="right"/>
              <w:textAlignment w:val="bottom"/>
            </w:pPr>
            <w:r>
              <w:rPr>
                <w:rFonts w:ascii="Arial" w:eastAsia="宋体" w:hAnsi="Arial" w:cs="Arial"/>
                <w:color w:val="000000"/>
                <w:sz w:val="12"/>
                <w:szCs w:val="12"/>
              </w:rPr>
              <w:t>165 </w:t>
            </w:r>
          </w:p>
        </w:tc>
        <w:tc>
          <w:tcPr>
            <w:tcW w:w="0" w:type="auto"/>
            <w:shd w:val="clear" w:color="auto" w:fill="CCEEFF"/>
            <w:tcMar>
              <w:top w:w="40" w:type="dxa"/>
              <w:left w:w="0" w:type="dxa"/>
              <w:bottom w:w="40" w:type="dxa"/>
              <w:right w:w="20" w:type="dxa"/>
            </w:tcMar>
            <w:vAlign w:val="bottom"/>
          </w:tcPr>
          <w:p w14:paraId="71D3F3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7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73" w14:textId="77777777" w:rsidR="006A3667" w:rsidRDefault="00045F32">
            <w:pPr>
              <w:jc w:val="right"/>
              <w:textAlignment w:val="bottom"/>
            </w:pPr>
            <w:r>
              <w:rPr>
                <w:rFonts w:ascii="Arial" w:eastAsia="宋体" w:hAnsi="Arial" w:cs="Arial"/>
                <w:color w:val="000000"/>
                <w:sz w:val="12"/>
                <w:szCs w:val="12"/>
              </w:rPr>
              <w:t>1.64 </w:t>
            </w:r>
          </w:p>
        </w:tc>
        <w:tc>
          <w:tcPr>
            <w:tcW w:w="0" w:type="auto"/>
            <w:shd w:val="clear" w:color="auto" w:fill="CCEEFF"/>
            <w:tcMar>
              <w:top w:w="40" w:type="dxa"/>
              <w:left w:w="0" w:type="dxa"/>
              <w:bottom w:w="40" w:type="dxa"/>
              <w:right w:w="20" w:type="dxa"/>
            </w:tcMar>
            <w:vAlign w:val="bottom"/>
          </w:tcPr>
          <w:p w14:paraId="71D3F374" w14:textId="77777777" w:rsidR="006A3667" w:rsidRDefault="006A3667">
            <w:pPr>
              <w:jc w:val="right"/>
              <w:rPr>
                <w:rFonts w:ascii="宋体"/>
              </w:rPr>
            </w:pPr>
          </w:p>
        </w:tc>
        <w:tc>
          <w:tcPr>
            <w:tcW w:w="0" w:type="auto"/>
            <w:shd w:val="clear" w:color="auto" w:fill="auto"/>
            <w:vAlign w:val="bottom"/>
          </w:tcPr>
          <w:p w14:paraId="71D3F375" w14:textId="77777777" w:rsidR="006A3667" w:rsidRDefault="006A3667">
            <w:pPr>
              <w:rPr>
                <w:rFonts w:ascii="宋体"/>
                <w:vanish/>
              </w:rPr>
            </w:pPr>
          </w:p>
        </w:tc>
        <w:tc>
          <w:tcPr>
            <w:tcW w:w="0" w:type="auto"/>
            <w:shd w:val="clear" w:color="auto" w:fill="auto"/>
            <w:vAlign w:val="bottom"/>
          </w:tcPr>
          <w:p w14:paraId="71D3F376" w14:textId="77777777" w:rsidR="006A3667" w:rsidRDefault="006A3667">
            <w:pPr>
              <w:rPr>
                <w:rFonts w:ascii="宋体"/>
                <w:vanish/>
              </w:rPr>
            </w:pPr>
          </w:p>
        </w:tc>
        <w:tc>
          <w:tcPr>
            <w:tcW w:w="0" w:type="auto"/>
            <w:shd w:val="clear" w:color="auto" w:fill="auto"/>
            <w:vAlign w:val="bottom"/>
          </w:tcPr>
          <w:p w14:paraId="71D3F377" w14:textId="77777777" w:rsidR="006A3667" w:rsidRDefault="006A3667">
            <w:pPr>
              <w:rPr>
                <w:rFonts w:ascii="宋体"/>
                <w:vanish/>
              </w:rPr>
            </w:pPr>
          </w:p>
        </w:tc>
        <w:tc>
          <w:tcPr>
            <w:tcW w:w="0" w:type="auto"/>
            <w:shd w:val="clear" w:color="auto" w:fill="auto"/>
            <w:vAlign w:val="bottom"/>
          </w:tcPr>
          <w:p w14:paraId="71D3F378" w14:textId="77777777" w:rsidR="006A3667" w:rsidRDefault="006A3667">
            <w:pPr>
              <w:rPr>
                <w:rFonts w:ascii="宋体"/>
                <w:vanish/>
              </w:rPr>
            </w:pPr>
          </w:p>
        </w:tc>
        <w:tc>
          <w:tcPr>
            <w:tcW w:w="0" w:type="auto"/>
            <w:gridSpan w:val="3"/>
            <w:shd w:val="clear" w:color="auto" w:fill="auto"/>
            <w:vAlign w:val="bottom"/>
          </w:tcPr>
          <w:p w14:paraId="71D3F379" w14:textId="77777777" w:rsidR="006A3667" w:rsidRDefault="006A3667">
            <w:pPr>
              <w:rPr>
                <w:rFonts w:ascii="宋体"/>
                <w:vanish/>
              </w:rPr>
            </w:pPr>
          </w:p>
        </w:tc>
        <w:tc>
          <w:tcPr>
            <w:tcW w:w="0" w:type="auto"/>
            <w:gridSpan w:val="3"/>
            <w:shd w:val="clear" w:color="auto" w:fill="auto"/>
            <w:vAlign w:val="bottom"/>
          </w:tcPr>
          <w:p w14:paraId="71D3F37A" w14:textId="77777777" w:rsidR="006A3667" w:rsidRDefault="006A3667">
            <w:pPr>
              <w:rPr>
                <w:rFonts w:ascii="宋体"/>
                <w:vanish/>
              </w:rPr>
            </w:pPr>
          </w:p>
        </w:tc>
        <w:tc>
          <w:tcPr>
            <w:tcW w:w="0" w:type="auto"/>
            <w:gridSpan w:val="3"/>
            <w:shd w:val="clear" w:color="auto" w:fill="auto"/>
            <w:vAlign w:val="bottom"/>
          </w:tcPr>
          <w:p w14:paraId="71D3F37B" w14:textId="77777777" w:rsidR="006A3667" w:rsidRDefault="006A3667">
            <w:pPr>
              <w:rPr>
                <w:rFonts w:ascii="宋体"/>
                <w:vanish/>
              </w:rPr>
            </w:pPr>
          </w:p>
        </w:tc>
        <w:tc>
          <w:tcPr>
            <w:tcW w:w="0" w:type="auto"/>
            <w:gridSpan w:val="3"/>
            <w:shd w:val="clear" w:color="auto" w:fill="auto"/>
            <w:vAlign w:val="bottom"/>
          </w:tcPr>
          <w:p w14:paraId="71D3F37C" w14:textId="77777777" w:rsidR="006A3667" w:rsidRDefault="006A3667">
            <w:pPr>
              <w:rPr>
                <w:rFonts w:ascii="宋体"/>
                <w:vanish/>
              </w:rPr>
            </w:pPr>
          </w:p>
        </w:tc>
        <w:tc>
          <w:tcPr>
            <w:tcW w:w="0" w:type="auto"/>
            <w:gridSpan w:val="2"/>
            <w:shd w:val="clear" w:color="auto" w:fill="auto"/>
            <w:vAlign w:val="bottom"/>
          </w:tcPr>
          <w:p w14:paraId="71D3F37D" w14:textId="77777777" w:rsidR="006A3667" w:rsidRDefault="006A3667">
            <w:pPr>
              <w:rPr>
                <w:rFonts w:ascii="宋体"/>
                <w:vanish/>
              </w:rPr>
            </w:pPr>
          </w:p>
        </w:tc>
        <w:tc>
          <w:tcPr>
            <w:tcW w:w="0" w:type="auto"/>
            <w:shd w:val="clear" w:color="auto" w:fill="auto"/>
            <w:vAlign w:val="bottom"/>
          </w:tcPr>
          <w:p w14:paraId="71D3F37E" w14:textId="77777777" w:rsidR="006A3667" w:rsidRDefault="006A3667">
            <w:pPr>
              <w:rPr>
                <w:rFonts w:ascii="宋体"/>
                <w:vanish/>
              </w:rPr>
            </w:pPr>
          </w:p>
        </w:tc>
      </w:tr>
      <w:tr w:rsidR="006A3667" w14:paraId="71D3F39C" w14:textId="77777777">
        <w:tc>
          <w:tcPr>
            <w:tcW w:w="0" w:type="auto"/>
            <w:gridSpan w:val="3"/>
            <w:shd w:val="clear" w:color="auto" w:fill="FFFFFF"/>
            <w:tcMar>
              <w:top w:w="40" w:type="dxa"/>
              <w:left w:w="20" w:type="dxa"/>
              <w:bottom w:w="40" w:type="dxa"/>
              <w:right w:w="20" w:type="dxa"/>
            </w:tcMar>
            <w:vAlign w:val="bottom"/>
          </w:tcPr>
          <w:p w14:paraId="71D3F380" w14:textId="77777777" w:rsidR="006A3667" w:rsidRDefault="00045F32">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71D3F381" w14:textId="77777777" w:rsidR="006A3667" w:rsidRDefault="00045F32">
            <w:pPr>
              <w:jc w:val="right"/>
              <w:textAlignment w:val="bottom"/>
            </w:pPr>
            <w:r>
              <w:rPr>
                <w:rFonts w:ascii="Arial" w:eastAsia="宋体" w:hAnsi="Arial" w:cs="Arial"/>
                <w:b/>
                <w:bCs/>
                <w:color w:val="000000"/>
                <w:sz w:val="12"/>
                <w:szCs w:val="12"/>
              </w:rPr>
              <w:t>2,643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8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8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84" w14:textId="77777777" w:rsidR="006A3667" w:rsidRDefault="00045F32">
            <w:pPr>
              <w:jc w:val="right"/>
              <w:textAlignment w:val="bottom"/>
            </w:pPr>
            <w:r>
              <w:rPr>
                <w:rFonts w:ascii="Arial" w:eastAsia="宋体" w:hAnsi="Arial" w:cs="Arial"/>
                <w:b/>
                <w:bCs/>
                <w:color w:val="000000"/>
                <w:sz w:val="12"/>
                <w:szCs w:val="12"/>
              </w:rPr>
              <w:t>73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8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8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87" w14:textId="77777777" w:rsidR="006A3667" w:rsidRDefault="00045F32">
            <w:pPr>
              <w:jc w:val="right"/>
              <w:textAlignment w:val="bottom"/>
            </w:pPr>
            <w:r>
              <w:rPr>
                <w:rFonts w:ascii="Arial" w:eastAsia="宋体" w:hAnsi="Arial" w:cs="Arial"/>
                <w:b/>
                <w:bCs/>
                <w:color w:val="000000"/>
                <w:sz w:val="12"/>
                <w:szCs w:val="12"/>
              </w:rPr>
              <w:t>3</w:t>
            </w:r>
            <w:r>
              <w:rPr>
                <w:rFonts w:ascii="Arial" w:eastAsia="宋体" w:hAnsi="Arial" w:cs="Arial"/>
                <w:b/>
                <w:bCs/>
                <w:color w:val="000000"/>
                <w:sz w:val="12"/>
                <w:szCs w:val="12"/>
              </w:rPr>
              <w:t>.66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8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8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8A" w14:textId="77777777" w:rsidR="006A3667" w:rsidRDefault="00045F32">
            <w:pPr>
              <w:jc w:val="right"/>
              <w:textAlignment w:val="bottom"/>
            </w:pPr>
            <w:r>
              <w:rPr>
                <w:rFonts w:ascii="Arial" w:eastAsia="宋体" w:hAnsi="Arial" w:cs="Arial"/>
                <w:color w:val="000000"/>
                <w:sz w:val="12"/>
                <w:szCs w:val="12"/>
              </w:rPr>
              <w:t>5,332 </w:t>
            </w:r>
          </w:p>
        </w:tc>
        <w:tc>
          <w:tcPr>
            <w:tcW w:w="0" w:type="auto"/>
            <w:shd w:val="clear" w:color="auto" w:fill="FFFFFF"/>
            <w:tcMar>
              <w:top w:w="40" w:type="dxa"/>
              <w:left w:w="0" w:type="dxa"/>
              <w:bottom w:w="40" w:type="dxa"/>
              <w:right w:w="20" w:type="dxa"/>
            </w:tcMar>
            <w:vAlign w:val="bottom"/>
          </w:tcPr>
          <w:p w14:paraId="71D3F38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8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8D" w14:textId="77777777" w:rsidR="006A3667" w:rsidRDefault="00045F32">
            <w:pPr>
              <w:jc w:val="right"/>
              <w:textAlignment w:val="bottom"/>
            </w:pPr>
            <w:r>
              <w:rPr>
                <w:rFonts w:ascii="Arial" w:eastAsia="宋体" w:hAnsi="Arial" w:cs="Arial"/>
                <w:color w:val="000000"/>
                <w:sz w:val="12"/>
                <w:szCs w:val="12"/>
              </w:rPr>
              <w:t>30 </w:t>
            </w:r>
          </w:p>
        </w:tc>
        <w:tc>
          <w:tcPr>
            <w:tcW w:w="0" w:type="auto"/>
            <w:shd w:val="clear" w:color="auto" w:fill="FFFFFF"/>
            <w:tcMar>
              <w:top w:w="40" w:type="dxa"/>
              <w:left w:w="0" w:type="dxa"/>
              <w:bottom w:w="40" w:type="dxa"/>
              <w:right w:w="20" w:type="dxa"/>
            </w:tcMar>
            <w:vAlign w:val="bottom"/>
          </w:tcPr>
          <w:p w14:paraId="71D3F38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38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90" w14:textId="77777777" w:rsidR="006A3667" w:rsidRDefault="00045F32">
            <w:pPr>
              <w:jc w:val="right"/>
              <w:textAlignment w:val="bottom"/>
            </w:pPr>
            <w:r>
              <w:rPr>
                <w:rFonts w:ascii="Arial" w:eastAsia="宋体" w:hAnsi="Arial" w:cs="Arial"/>
                <w:color w:val="000000"/>
                <w:sz w:val="12"/>
                <w:szCs w:val="12"/>
              </w:rPr>
              <w:t>.77 </w:t>
            </w:r>
          </w:p>
        </w:tc>
        <w:tc>
          <w:tcPr>
            <w:tcW w:w="0" w:type="auto"/>
            <w:shd w:val="clear" w:color="auto" w:fill="FFFFFF"/>
            <w:tcMar>
              <w:top w:w="40" w:type="dxa"/>
              <w:left w:w="0" w:type="dxa"/>
              <w:bottom w:w="40" w:type="dxa"/>
              <w:right w:w="20" w:type="dxa"/>
            </w:tcMar>
            <w:vAlign w:val="bottom"/>
          </w:tcPr>
          <w:p w14:paraId="71D3F391" w14:textId="77777777" w:rsidR="006A3667" w:rsidRDefault="006A3667">
            <w:pPr>
              <w:jc w:val="right"/>
              <w:rPr>
                <w:rFonts w:ascii="宋体"/>
              </w:rPr>
            </w:pPr>
          </w:p>
        </w:tc>
        <w:tc>
          <w:tcPr>
            <w:tcW w:w="0" w:type="auto"/>
            <w:shd w:val="clear" w:color="auto" w:fill="auto"/>
            <w:vAlign w:val="bottom"/>
          </w:tcPr>
          <w:p w14:paraId="71D3F392" w14:textId="77777777" w:rsidR="006A3667" w:rsidRDefault="006A3667">
            <w:pPr>
              <w:rPr>
                <w:rFonts w:ascii="宋体"/>
                <w:vanish/>
              </w:rPr>
            </w:pPr>
          </w:p>
        </w:tc>
        <w:tc>
          <w:tcPr>
            <w:tcW w:w="0" w:type="auto"/>
            <w:shd w:val="clear" w:color="auto" w:fill="auto"/>
            <w:vAlign w:val="bottom"/>
          </w:tcPr>
          <w:p w14:paraId="71D3F393" w14:textId="77777777" w:rsidR="006A3667" w:rsidRDefault="006A3667">
            <w:pPr>
              <w:rPr>
                <w:rFonts w:ascii="宋体"/>
                <w:vanish/>
              </w:rPr>
            </w:pPr>
          </w:p>
        </w:tc>
        <w:tc>
          <w:tcPr>
            <w:tcW w:w="0" w:type="auto"/>
            <w:shd w:val="clear" w:color="auto" w:fill="auto"/>
            <w:vAlign w:val="bottom"/>
          </w:tcPr>
          <w:p w14:paraId="71D3F394" w14:textId="77777777" w:rsidR="006A3667" w:rsidRDefault="006A3667">
            <w:pPr>
              <w:rPr>
                <w:rFonts w:ascii="宋体"/>
                <w:vanish/>
              </w:rPr>
            </w:pPr>
          </w:p>
        </w:tc>
        <w:tc>
          <w:tcPr>
            <w:tcW w:w="0" w:type="auto"/>
            <w:shd w:val="clear" w:color="auto" w:fill="auto"/>
            <w:vAlign w:val="bottom"/>
          </w:tcPr>
          <w:p w14:paraId="71D3F395" w14:textId="77777777" w:rsidR="006A3667" w:rsidRDefault="006A3667">
            <w:pPr>
              <w:rPr>
                <w:rFonts w:ascii="宋体"/>
                <w:vanish/>
              </w:rPr>
            </w:pPr>
          </w:p>
        </w:tc>
        <w:tc>
          <w:tcPr>
            <w:tcW w:w="0" w:type="auto"/>
            <w:gridSpan w:val="3"/>
            <w:shd w:val="clear" w:color="auto" w:fill="auto"/>
            <w:vAlign w:val="bottom"/>
          </w:tcPr>
          <w:p w14:paraId="71D3F396" w14:textId="77777777" w:rsidR="006A3667" w:rsidRDefault="006A3667">
            <w:pPr>
              <w:rPr>
                <w:rFonts w:ascii="宋体"/>
                <w:vanish/>
              </w:rPr>
            </w:pPr>
          </w:p>
        </w:tc>
        <w:tc>
          <w:tcPr>
            <w:tcW w:w="0" w:type="auto"/>
            <w:gridSpan w:val="3"/>
            <w:shd w:val="clear" w:color="auto" w:fill="auto"/>
            <w:vAlign w:val="bottom"/>
          </w:tcPr>
          <w:p w14:paraId="71D3F397" w14:textId="77777777" w:rsidR="006A3667" w:rsidRDefault="006A3667">
            <w:pPr>
              <w:rPr>
                <w:rFonts w:ascii="宋体"/>
                <w:vanish/>
              </w:rPr>
            </w:pPr>
          </w:p>
        </w:tc>
        <w:tc>
          <w:tcPr>
            <w:tcW w:w="0" w:type="auto"/>
            <w:gridSpan w:val="3"/>
            <w:shd w:val="clear" w:color="auto" w:fill="auto"/>
            <w:vAlign w:val="bottom"/>
          </w:tcPr>
          <w:p w14:paraId="71D3F398" w14:textId="77777777" w:rsidR="006A3667" w:rsidRDefault="006A3667">
            <w:pPr>
              <w:rPr>
                <w:rFonts w:ascii="宋体"/>
                <w:vanish/>
              </w:rPr>
            </w:pPr>
          </w:p>
        </w:tc>
        <w:tc>
          <w:tcPr>
            <w:tcW w:w="0" w:type="auto"/>
            <w:gridSpan w:val="3"/>
            <w:shd w:val="clear" w:color="auto" w:fill="auto"/>
            <w:vAlign w:val="bottom"/>
          </w:tcPr>
          <w:p w14:paraId="71D3F399" w14:textId="77777777" w:rsidR="006A3667" w:rsidRDefault="006A3667">
            <w:pPr>
              <w:rPr>
                <w:rFonts w:ascii="宋体"/>
                <w:vanish/>
              </w:rPr>
            </w:pPr>
          </w:p>
        </w:tc>
        <w:tc>
          <w:tcPr>
            <w:tcW w:w="0" w:type="auto"/>
            <w:gridSpan w:val="2"/>
            <w:shd w:val="clear" w:color="auto" w:fill="auto"/>
            <w:vAlign w:val="bottom"/>
          </w:tcPr>
          <w:p w14:paraId="71D3F39A" w14:textId="77777777" w:rsidR="006A3667" w:rsidRDefault="006A3667">
            <w:pPr>
              <w:rPr>
                <w:rFonts w:ascii="宋体"/>
                <w:vanish/>
              </w:rPr>
            </w:pPr>
          </w:p>
        </w:tc>
        <w:tc>
          <w:tcPr>
            <w:tcW w:w="0" w:type="auto"/>
            <w:shd w:val="clear" w:color="auto" w:fill="auto"/>
            <w:vAlign w:val="bottom"/>
          </w:tcPr>
          <w:p w14:paraId="71D3F39B" w14:textId="77777777" w:rsidR="006A3667" w:rsidRDefault="006A3667">
            <w:pPr>
              <w:rPr>
                <w:rFonts w:ascii="宋体"/>
                <w:vanish/>
              </w:rPr>
            </w:pPr>
          </w:p>
        </w:tc>
      </w:tr>
      <w:tr w:rsidR="006A3667" w14:paraId="71D3F3BD" w14:textId="77777777">
        <w:tc>
          <w:tcPr>
            <w:tcW w:w="0" w:type="auto"/>
            <w:gridSpan w:val="3"/>
            <w:shd w:val="clear" w:color="auto" w:fill="CCEEFF"/>
            <w:tcMar>
              <w:top w:w="40" w:type="dxa"/>
              <w:left w:w="20" w:type="dxa"/>
              <w:bottom w:w="40" w:type="dxa"/>
              <w:right w:w="20" w:type="dxa"/>
            </w:tcMar>
            <w:vAlign w:val="bottom"/>
          </w:tcPr>
          <w:p w14:paraId="71D3F39D" w14:textId="77777777" w:rsidR="006A3667" w:rsidRDefault="00045F32">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F39E"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39F" w14:textId="77777777" w:rsidR="006A3667" w:rsidRDefault="00045F32">
            <w:pPr>
              <w:jc w:val="right"/>
              <w:textAlignment w:val="bottom"/>
            </w:pPr>
            <w:r>
              <w:rPr>
                <w:rFonts w:ascii="Arial" w:eastAsia="宋体" w:hAnsi="Arial" w:cs="Arial"/>
                <w:b/>
                <w:bCs/>
                <w:color w:val="000000"/>
                <w:sz w:val="12"/>
                <w:szCs w:val="12"/>
              </w:rPr>
              <w:t>196,67</w:t>
            </w: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3A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A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3A2"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3A3" w14:textId="77777777" w:rsidR="006A3667" w:rsidRDefault="00045F32">
            <w:pPr>
              <w:jc w:val="right"/>
              <w:textAlignment w:val="bottom"/>
            </w:pPr>
            <w:r>
              <w:rPr>
                <w:rFonts w:ascii="Arial" w:eastAsia="宋体" w:hAnsi="Arial" w:cs="Arial"/>
                <w:b/>
                <w:bCs/>
                <w:color w:val="000000"/>
                <w:sz w:val="12"/>
                <w:szCs w:val="12"/>
              </w:rPr>
              <w:t>573</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3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A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A6" w14:textId="77777777" w:rsidR="006A3667" w:rsidRDefault="00045F32">
            <w:pPr>
              <w:jc w:val="right"/>
              <w:textAlignment w:val="bottom"/>
            </w:pPr>
            <w:r>
              <w:rPr>
                <w:rFonts w:ascii="Arial" w:eastAsia="宋体" w:hAnsi="Arial" w:cs="Arial"/>
                <w:b/>
                <w:bCs/>
                <w:color w:val="000000"/>
                <w:sz w:val="12"/>
                <w:szCs w:val="12"/>
              </w:rPr>
              <w:t>.39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A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3A9"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3AA" w14:textId="77777777" w:rsidR="006A3667" w:rsidRDefault="00045F32">
            <w:pPr>
              <w:jc w:val="right"/>
              <w:textAlignment w:val="bottom"/>
            </w:pPr>
            <w:r>
              <w:rPr>
                <w:rFonts w:ascii="Arial" w:eastAsia="宋体" w:hAnsi="Arial" w:cs="Arial"/>
                <w:color w:val="000000"/>
                <w:sz w:val="12"/>
                <w:szCs w:val="12"/>
              </w:rPr>
              <w:t>207,226 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3A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A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3AD"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3AE" w14:textId="77777777" w:rsidR="006A3667" w:rsidRDefault="00045F32">
            <w:pPr>
              <w:jc w:val="right"/>
              <w:textAlignment w:val="bottom"/>
            </w:pPr>
            <w:r>
              <w:rPr>
                <w:rFonts w:ascii="Arial" w:eastAsia="宋体" w:hAnsi="Arial" w:cs="Arial"/>
                <w:color w:val="000000"/>
                <w:sz w:val="12"/>
                <w:szCs w:val="12"/>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3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3B1"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B2" w14:textId="77777777" w:rsidR="006A3667" w:rsidRDefault="006A3667">
            <w:pPr>
              <w:jc w:val="right"/>
              <w:rPr>
                <w:rFonts w:ascii="宋体"/>
              </w:rPr>
            </w:pPr>
          </w:p>
        </w:tc>
        <w:tc>
          <w:tcPr>
            <w:tcW w:w="0" w:type="auto"/>
            <w:shd w:val="clear" w:color="auto" w:fill="auto"/>
            <w:vAlign w:val="bottom"/>
          </w:tcPr>
          <w:p w14:paraId="71D3F3B3" w14:textId="77777777" w:rsidR="006A3667" w:rsidRDefault="006A3667">
            <w:pPr>
              <w:rPr>
                <w:rFonts w:ascii="宋体"/>
                <w:vanish/>
              </w:rPr>
            </w:pPr>
          </w:p>
        </w:tc>
        <w:tc>
          <w:tcPr>
            <w:tcW w:w="0" w:type="auto"/>
            <w:shd w:val="clear" w:color="auto" w:fill="auto"/>
            <w:vAlign w:val="bottom"/>
          </w:tcPr>
          <w:p w14:paraId="71D3F3B4" w14:textId="77777777" w:rsidR="006A3667" w:rsidRDefault="006A3667">
            <w:pPr>
              <w:rPr>
                <w:rFonts w:ascii="宋体"/>
                <w:vanish/>
              </w:rPr>
            </w:pPr>
          </w:p>
        </w:tc>
        <w:tc>
          <w:tcPr>
            <w:tcW w:w="0" w:type="auto"/>
            <w:shd w:val="clear" w:color="auto" w:fill="auto"/>
            <w:vAlign w:val="bottom"/>
          </w:tcPr>
          <w:p w14:paraId="71D3F3B5" w14:textId="77777777" w:rsidR="006A3667" w:rsidRDefault="006A3667">
            <w:pPr>
              <w:rPr>
                <w:rFonts w:ascii="宋体"/>
                <w:vanish/>
              </w:rPr>
            </w:pPr>
          </w:p>
        </w:tc>
        <w:tc>
          <w:tcPr>
            <w:tcW w:w="0" w:type="auto"/>
            <w:shd w:val="clear" w:color="auto" w:fill="auto"/>
            <w:vAlign w:val="bottom"/>
          </w:tcPr>
          <w:p w14:paraId="71D3F3B6" w14:textId="77777777" w:rsidR="006A3667" w:rsidRDefault="006A3667">
            <w:pPr>
              <w:rPr>
                <w:rFonts w:ascii="宋体"/>
                <w:vanish/>
              </w:rPr>
            </w:pPr>
          </w:p>
        </w:tc>
        <w:tc>
          <w:tcPr>
            <w:tcW w:w="0" w:type="auto"/>
            <w:gridSpan w:val="3"/>
            <w:shd w:val="clear" w:color="auto" w:fill="auto"/>
            <w:vAlign w:val="bottom"/>
          </w:tcPr>
          <w:p w14:paraId="71D3F3B7" w14:textId="77777777" w:rsidR="006A3667" w:rsidRDefault="006A3667">
            <w:pPr>
              <w:rPr>
                <w:rFonts w:ascii="宋体"/>
                <w:vanish/>
              </w:rPr>
            </w:pPr>
          </w:p>
        </w:tc>
        <w:tc>
          <w:tcPr>
            <w:tcW w:w="0" w:type="auto"/>
            <w:gridSpan w:val="3"/>
            <w:shd w:val="clear" w:color="auto" w:fill="auto"/>
            <w:vAlign w:val="bottom"/>
          </w:tcPr>
          <w:p w14:paraId="71D3F3B8" w14:textId="77777777" w:rsidR="006A3667" w:rsidRDefault="006A3667">
            <w:pPr>
              <w:rPr>
                <w:rFonts w:ascii="宋体"/>
                <w:vanish/>
              </w:rPr>
            </w:pPr>
          </w:p>
        </w:tc>
        <w:tc>
          <w:tcPr>
            <w:tcW w:w="0" w:type="auto"/>
            <w:gridSpan w:val="3"/>
            <w:shd w:val="clear" w:color="auto" w:fill="auto"/>
            <w:vAlign w:val="bottom"/>
          </w:tcPr>
          <w:p w14:paraId="71D3F3B9" w14:textId="77777777" w:rsidR="006A3667" w:rsidRDefault="006A3667">
            <w:pPr>
              <w:rPr>
                <w:rFonts w:ascii="宋体"/>
                <w:vanish/>
              </w:rPr>
            </w:pPr>
          </w:p>
        </w:tc>
        <w:tc>
          <w:tcPr>
            <w:tcW w:w="0" w:type="auto"/>
            <w:gridSpan w:val="3"/>
            <w:shd w:val="clear" w:color="auto" w:fill="auto"/>
            <w:vAlign w:val="bottom"/>
          </w:tcPr>
          <w:p w14:paraId="71D3F3BA" w14:textId="77777777" w:rsidR="006A3667" w:rsidRDefault="006A3667">
            <w:pPr>
              <w:rPr>
                <w:rFonts w:ascii="宋体"/>
                <w:vanish/>
              </w:rPr>
            </w:pPr>
          </w:p>
        </w:tc>
        <w:tc>
          <w:tcPr>
            <w:tcW w:w="0" w:type="auto"/>
            <w:gridSpan w:val="2"/>
            <w:shd w:val="clear" w:color="auto" w:fill="auto"/>
            <w:vAlign w:val="bottom"/>
          </w:tcPr>
          <w:p w14:paraId="71D3F3BB" w14:textId="77777777" w:rsidR="006A3667" w:rsidRDefault="006A3667">
            <w:pPr>
              <w:rPr>
                <w:rFonts w:ascii="宋体"/>
                <w:vanish/>
              </w:rPr>
            </w:pPr>
          </w:p>
        </w:tc>
        <w:tc>
          <w:tcPr>
            <w:tcW w:w="0" w:type="auto"/>
            <w:shd w:val="clear" w:color="auto" w:fill="auto"/>
            <w:vAlign w:val="bottom"/>
          </w:tcPr>
          <w:p w14:paraId="71D3F3BC" w14:textId="77777777" w:rsidR="006A3667" w:rsidRDefault="006A3667">
            <w:pPr>
              <w:rPr>
                <w:rFonts w:ascii="宋体"/>
                <w:vanish/>
              </w:rPr>
            </w:pPr>
          </w:p>
        </w:tc>
      </w:tr>
      <w:tr w:rsidR="006A3667" w14:paraId="71D3F3D6" w14:textId="77777777">
        <w:tc>
          <w:tcPr>
            <w:tcW w:w="0" w:type="auto"/>
            <w:gridSpan w:val="3"/>
            <w:shd w:val="clear" w:color="auto" w:fill="FFFFFF"/>
            <w:tcMar>
              <w:top w:w="40" w:type="dxa"/>
              <w:left w:w="20" w:type="dxa"/>
              <w:bottom w:w="40" w:type="dxa"/>
              <w:right w:w="20" w:type="dxa"/>
            </w:tcMar>
            <w:vAlign w:val="bottom"/>
          </w:tcPr>
          <w:p w14:paraId="71D3F3BE" w14:textId="77777777" w:rsidR="006A3667" w:rsidRDefault="00045F32">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3B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C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3C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C3" w14:textId="77777777" w:rsidR="006A3667" w:rsidRDefault="00045F32">
            <w:pPr>
              <w:jc w:val="right"/>
              <w:textAlignment w:val="bottom"/>
            </w:pPr>
            <w:r>
              <w:rPr>
                <w:rFonts w:ascii="Arial" w:eastAsia="宋体" w:hAnsi="Arial" w:cs="Arial"/>
                <w:b/>
                <w:bCs/>
                <w:color w:val="000000"/>
                <w:sz w:val="12"/>
                <w:szCs w:val="12"/>
              </w:rPr>
              <w:t>.87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C4"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71D3F3C5"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3C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C7"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3C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C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CA" w14:textId="77777777" w:rsidR="006A3667" w:rsidRDefault="00045F32">
            <w:pPr>
              <w:jc w:val="right"/>
              <w:textAlignment w:val="bottom"/>
            </w:pPr>
            <w:r>
              <w:rPr>
                <w:rFonts w:ascii="Arial" w:eastAsia="宋体" w:hAnsi="Arial" w:cs="Arial"/>
                <w:color w:val="000000"/>
                <w:sz w:val="12"/>
                <w:szCs w:val="12"/>
              </w:rPr>
              <w:t>.74 </w:t>
            </w:r>
          </w:p>
        </w:tc>
        <w:tc>
          <w:tcPr>
            <w:tcW w:w="0" w:type="auto"/>
            <w:shd w:val="clear" w:color="auto" w:fill="FFFFFF"/>
            <w:tcMar>
              <w:top w:w="40" w:type="dxa"/>
              <w:left w:w="0" w:type="dxa"/>
              <w:bottom w:w="40" w:type="dxa"/>
              <w:right w:w="20" w:type="dxa"/>
            </w:tcMar>
            <w:vAlign w:val="bottom"/>
          </w:tcPr>
          <w:p w14:paraId="71D3F3CB" w14:textId="77777777" w:rsidR="006A3667" w:rsidRDefault="00045F32">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1D3F3CC" w14:textId="77777777" w:rsidR="006A3667" w:rsidRDefault="006A3667">
            <w:pPr>
              <w:rPr>
                <w:rFonts w:ascii="宋体"/>
                <w:vanish/>
              </w:rPr>
            </w:pPr>
          </w:p>
        </w:tc>
        <w:tc>
          <w:tcPr>
            <w:tcW w:w="0" w:type="auto"/>
            <w:shd w:val="clear" w:color="auto" w:fill="auto"/>
            <w:vAlign w:val="bottom"/>
          </w:tcPr>
          <w:p w14:paraId="71D3F3CD" w14:textId="77777777" w:rsidR="006A3667" w:rsidRDefault="006A3667">
            <w:pPr>
              <w:rPr>
                <w:rFonts w:ascii="宋体"/>
                <w:vanish/>
              </w:rPr>
            </w:pPr>
          </w:p>
        </w:tc>
        <w:tc>
          <w:tcPr>
            <w:tcW w:w="0" w:type="auto"/>
            <w:shd w:val="clear" w:color="auto" w:fill="auto"/>
            <w:vAlign w:val="bottom"/>
          </w:tcPr>
          <w:p w14:paraId="71D3F3CE" w14:textId="77777777" w:rsidR="006A3667" w:rsidRDefault="006A3667">
            <w:pPr>
              <w:rPr>
                <w:rFonts w:ascii="宋体"/>
                <w:vanish/>
              </w:rPr>
            </w:pPr>
          </w:p>
        </w:tc>
        <w:tc>
          <w:tcPr>
            <w:tcW w:w="0" w:type="auto"/>
            <w:shd w:val="clear" w:color="auto" w:fill="auto"/>
            <w:vAlign w:val="bottom"/>
          </w:tcPr>
          <w:p w14:paraId="71D3F3CF" w14:textId="77777777" w:rsidR="006A3667" w:rsidRDefault="006A3667">
            <w:pPr>
              <w:rPr>
                <w:rFonts w:ascii="宋体"/>
                <w:vanish/>
              </w:rPr>
            </w:pPr>
          </w:p>
        </w:tc>
        <w:tc>
          <w:tcPr>
            <w:tcW w:w="0" w:type="auto"/>
            <w:gridSpan w:val="3"/>
            <w:shd w:val="clear" w:color="auto" w:fill="auto"/>
            <w:vAlign w:val="bottom"/>
          </w:tcPr>
          <w:p w14:paraId="71D3F3D0" w14:textId="77777777" w:rsidR="006A3667" w:rsidRDefault="006A3667">
            <w:pPr>
              <w:rPr>
                <w:rFonts w:ascii="宋体"/>
                <w:vanish/>
              </w:rPr>
            </w:pPr>
          </w:p>
        </w:tc>
        <w:tc>
          <w:tcPr>
            <w:tcW w:w="0" w:type="auto"/>
            <w:gridSpan w:val="3"/>
            <w:shd w:val="clear" w:color="auto" w:fill="auto"/>
            <w:vAlign w:val="bottom"/>
          </w:tcPr>
          <w:p w14:paraId="71D3F3D1" w14:textId="77777777" w:rsidR="006A3667" w:rsidRDefault="006A3667">
            <w:pPr>
              <w:rPr>
                <w:rFonts w:ascii="宋体"/>
                <w:vanish/>
              </w:rPr>
            </w:pPr>
          </w:p>
        </w:tc>
        <w:tc>
          <w:tcPr>
            <w:tcW w:w="0" w:type="auto"/>
            <w:gridSpan w:val="3"/>
            <w:shd w:val="clear" w:color="auto" w:fill="auto"/>
            <w:vAlign w:val="bottom"/>
          </w:tcPr>
          <w:p w14:paraId="71D3F3D2" w14:textId="77777777" w:rsidR="006A3667" w:rsidRDefault="006A3667">
            <w:pPr>
              <w:rPr>
                <w:rFonts w:ascii="宋体"/>
                <w:vanish/>
              </w:rPr>
            </w:pPr>
          </w:p>
        </w:tc>
        <w:tc>
          <w:tcPr>
            <w:tcW w:w="0" w:type="auto"/>
            <w:gridSpan w:val="3"/>
            <w:shd w:val="clear" w:color="auto" w:fill="auto"/>
            <w:vAlign w:val="bottom"/>
          </w:tcPr>
          <w:p w14:paraId="71D3F3D3" w14:textId="77777777" w:rsidR="006A3667" w:rsidRDefault="006A3667">
            <w:pPr>
              <w:rPr>
                <w:rFonts w:ascii="宋体"/>
                <w:vanish/>
              </w:rPr>
            </w:pPr>
          </w:p>
        </w:tc>
        <w:tc>
          <w:tcPr>
            <w:tcW w:w="0" w:type="auto"/>
            <w:gridSpan w:val="2"/>
            <w:shd w:val="clear" w:color="auto" w:fill="auto"/>
            <w:vAlign w:val="bottom"/>
          </w:tcPr>
          <w:p w14:paraId="71D3F3D4" w14:textId="77777777" w:rsidR="006A3667" w:rsidRDefault="006A3667">
            <w:pPr>
              <w:rPr>
                <w:rFonts w:ascii="宋体"/>
                <w:vanish/>
              </w:rPr>
            </w:pPr>
          </w:p>
        </w:tc>
        <w:tc>
          <w:tcPr>
            <w:tcW w:w="0" w:type="auto"/>
            <w:shd w:val="clear" w:color="auto" w:fill="auto"/>
            <w:vAlign w:val="bottom"/>
          </w:tcPr>
          <w:p w14:paraId="71D3F3D5" w14:textId="77777777" w:rsidR="006A3667" w:rsidRDefault="006A3667">
            <w:pPr>
              <w:rPr>
                <w:rFonts w:ascii="宋体"/>
                <w:vanish/>
              </w:rPr>
            </w:pPr>
          </w:p>
        </w:tc>
      </w:tr>
      <w:tr w:rsidR="006A3667" w14:paraId="71D3F3F1" w14:textId="77777777">
        <w:tc>
          <w:tcPr>
            <w:tcW w:w="0" w:type="auto"/>
            <w:gridSpan w:val="3"/>
            <w:shd w:val="clear" w:color="auto" w:fill="CCEEFF"/>
            <w:tcMar>
              <w:top w:w="40" w:type="dxa"/>
              <w:left w:w="20" w:type="dxa"/>
              <w:bottom w:w="40" w:type="dxa"/>
              <w:right w:w="20" w:type="dxa"/>
            </w:tcMar>
            <w:vAlign w:val="bottom"/>
          </w:tcPr>
          <w:p w14:paraId="71D3F3D7" w14:textId="77777777" w:rsidR="006A3667" w:rsidRDefault="00045F32">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71D3F3D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3D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F3DA"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3F3DB" w14:textId="77777777" w:rsidR="006A3667" w:rsidRDefault="00045F32">
            <w:pPr>
              <w:jc w:val="right"/>
              <w:textAlignment w:val="bottom"/>
            </w:pPr>
            <w:r>
              <w:rPr>
                <w:rFonts w:ascii="Arial" w:eastAsia="宋体" w:hAnsi="Arial" w:cs="Arial"/>
                <w:b/>
                <w:bCs/>
                <w:color w:val="000000"/>
                <w:sz w:val="12"/>
                <w:szCs w:val="12"/>
              </w:rPr>
              <w:t>1,761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3F3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D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3D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3D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3E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3E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3F3E2"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3F3E3" w14:textId="77777777" w:rsidR="006A3667" w:rsidRDefault="00045F32">
            <w:pPr>
              <w:jc w:val="right"/>
              <w:textAlignment w:val="bottom"/>
            </w:pPr>
            <w:r>
              <w:rPr>
                <w:rFonts w:ascii="Arial" w:eastAsia="宋体" w:hAnsi="Arial" w:cs="Arial"/>
                <w:color w:val="000000"/>
                <w:sz w:val="12"/>
                <w:szCs w:val="12"/>
              </w:rPr>
              <w:t>1,431 </w:t>
            </w:r>
          </w:p>
        </w:tc>
        <w:tc>
          <w:tcPr>
            <w:tcW w:w="0" w:type="auto"/>
            <w:shd w:val="clear" w:color="auto" w:fill="CCEEFF"/>
            <w:tcMar>
              <w:top w:w="40" w:type="dxa"/>
              <w:left w:w="0" w:type="dxa"/>
              <w:bottom w:w="40" w:type="dxa"/>
              <w:right w:w="20" w:type="dxa"/>
            </w:tcMar>
            <w:vAlign w:val="bottom"/>
          </w:tcPr>
          <w:p w14:paraId="71D3F3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3E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3E6" w14:textId="77777777" w:rsidR="006A3667" w:rsidRDefault="006A3667">
            <w:pPr>
              <w:rPr>
                <w:rFonts w:ascii="宋体"/>
              </w:rPr>
            </w:pPr>
          </w:p>
        </w:tc>
        <w:tc>
          <w:tcPr>
            <w:tcW w:w="0" w:type="auto"/>
            <w:shd w:val="clear" w:color="auto" w:fill="auto"/>
            <w:vAlign w:val="bottom"/>
          </w:tcPr>
          <w:p w14:paraId="71D3F3E7" w14:textId="77777777" w:rsidR="006A3667" w:rsidRDefault="006A3667">
            <w:pPr>
              <w:rPr>
                <w:rFonts w:ascii="宋体"/>
                <w:vanish/>
              </w:rPr>
            </w:pPr>
          </w:p>
        </w:tc>
        <w:tc>
          <w:tcPr>
            <w:tcW w:w="0" w:type="auto"/>
            <w:shd w:val="clear" w:color="auto" w:fill="auto"/>
            <w:vAlign w:val="bottom"/>
          </w:tcPr>
          <w:p w14:paraId="71D3F3E8" w14:textId="77777777" w:rsidR="006A3667" w:rsidRDefault="006A3667">
            <w:pPr>
              <w:rPr>
                <w:rFonts w:ascii="宋体"/>
                <w:vanish/>
              </w:rPr>
            </w:pPr>
          </w:p>
        </w:tc>
        <w:tc>
          <w:tcPr>
            <w:tcW w:w="0" w:type="auto"/>
            <w:shd w:val="clear" w:color="auto" w:fill="auto"/>
            <w:vAlign w:val="bottom"/>
          </w:tcPr>
          <w:p w14:paraId="71D3F3E9" w14:textId="77777777" w:rsidR="006A3667" w:rsidRDefault="006A3667">
            <w:pPr>
              <w:rPr>
                <w:rFonts w:ascii="宋体"/>
                <w:vanish/>
              </w:rPr>
            </w:pPr>
          </w:p>
        </w:tc>
        <w:tc>
          <w:tcPr>
            <w:tcW w:w="0" w:type="auto"/>
            <w:shd w:val="clear" w:color="auto" w:fill="auto"/>
            <w:vAlign w:val="bottom"/>
          </w:tcPr>
          <w:p w14:paraId="71D3F3EA" w14:textId="77777777" w:rsidR="006A3667" w:rsidRDefault="006A3667">
            <w:pPr>
              <w:rPr>
                <w:rFonts w:ascii="宋体"/>
                <w:vanish/>
              </w:rPr>
            </w:pPr>
          </w:p>
        </w:tc>
        <w:tc>
          <w:tcPr>
            <w:tcW w:w="0" w:type="auto"/>
            <w:gridSpan w:val="3"/>
            <w:shd w:val="clear" w:color="auto" w:fill="auto"/>
            <w:vAlign w:val="bottom"/>
          </w:tcPr>
          <w:p w14:paraId="71D3F3EB" w14:textId="77777777" w:rsidR="006A3667" w:rsidRDefault="006A3667">
            <w:pPr>
              <w:rPr>
                <w:rFonts w:ascii="宋体"/>
                <w:vanish/>
              </w:rPr>
            </w:pPr>
          </w:p>
        </w:tc>
        <w:tc>
          <w:tcPr>
            <w:tcW w:w="0" w:type="auto"/>
            <w:gridSpan w:val="3"/>
            <w:shd w:val="clear" w:color="auto" w:fill="auto"/>
            <w:vAlign w:val="bottom"/>
          </w:tcPr>
          <w:p w14:paraId="71D3F3EC" w14:textId="77777777" w:rsidR="006A3667" w:rsidRDefault="006A3667">
            <w:pPr>
              <w:rPr>
                <w:rFonts w:ascii="宋体"/>
                <w:vanish/>
              </w:rPr>
            </w:pPr>
          </w:p>
        </w:tc>
        <w:tc>
          <w:tcPr>
            <w:tcW w:w="0" w:type="auto"/>
            <w:gridSpan w:val="3"/>
            <w:shd w:val="clear" w:color="auto" w:fill="auto"/>
            <w:vAlign w:val="bottom"/>
          </w:tcPr>
          <w:p w14:paraId="71D3F3ED" w14:textId="77777777" w:rsidR="006A3667" w:rsidRDefault="006A3667">
            <w:pPr>
              <w:rPr>
                <w:rFonts w:ascii="宋体"/>
                <w:vanish/>
              </w:rPr>
            </w:pPr>
          </w:p>
        </w:tc>
        <w:tc>
          <w:tcPr>
            <w:tcW w:w="0" w:type="auto"/>
            <w:gridSpan w:val="3"/>
            <w:shd w:val="clear" w:color="auto" w:fill="auto"/>
            <w:vAlign w:val="bottom"/>
          </w:tcPr>
          <w:p w14:paraId="71D3F3EE" w14:textId="77777777" w:rsidR="006A3667" w:rsidRDefault="006A3667">
            <w:pPr>
              <w:rPr>
                <w:rFonts w:ascii="宋体"/>
                <w:vanish/>
              </w:rPr>
            </w:pPr>
          </w:p>
        </w:tc>
        <w:tc>
          <w:tcPr>
            <w:tcW w:w="0" w:type="auto"/>
            <w:gridSpan w:val="2"/>
            <w:shd w:val="clear" w:color="auto" w:fill="auto"/>
            <w:vAlign w:val="bottom"/>
          </w:tcPr>
          <w:p w14:paraId="71D3F3EF" w14:textId="77777777" w:rsidR="006A3667" w:rsidRDefault="006A3667">
            <w:pPr>
              <w:rPr>
                <w:rFonts w:ascii="宋体"/>
                <w:vanish/>
              </w:rPr>
            </w:pPr>
          </w:p>
        </w:tc>
        <w:tc>
          <w:tcPr>
            <w:tcW w:w="0" w:type="auto"/>
            <w:shd w:val="clear" w:color="auto" w:fill="auto"/>
            <w:vAlign w:val="bottom"/>
          </w:tcPr>
          <w:p w14:paraId="71D3F3F0" w14:textId="77777777" w:rsidR="006A3667" w:rsidRDefault="006A3667">
            <w:pPr>
              <w:rPr>
                <w:rFonts w:ascii="宋体"/>
                <w:vanish/>
              </w:rPr>
            </w:pPr>
          </w:p>
        </w:tc>
      </w:tr>
      <w:tr w:rsidR="006A3667" w14:paraId="71D3F40A" w14:textId="77777777">
        <w:tc>
          <w:tcPr>
            <w:tcW w:w="0" w:type="auto"/>
            <w:gridSpan w:val="3"/>
            <w:shd w:val="clear" w:color="auto" w:fill="FFFFFF"/>
            <w:tcMar>
              <w:top w:w="40" w:type="dxa"/>
              <w:left w:w="20" w:type="dxa"/>
              <w:bottom w:w="40" w:type="dxa"/>
              <w:right w:w="20" w:type="dxa"/>
            </w:tcMar>
            <w:vAlign w:val="bottom"/>
          </w:tcPr>
          <w:p w14:paraId="71D3F3F2" w14:textId="77777777" w:rsidR="006A3667" w:rsidRDefault="00045F32">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71D3F3F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F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F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F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F7" w14:textId="77777777" w:rsidR="006A3667" w:rsidRDefault="00045F32">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3F3F8"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71D3F3F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F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F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F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3F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3FE" w14:textId="77777777" w:rsidR="006A3667" w:rsidRDefault="00045F32">
            <w:pPr>
              <w:jc w:val="right"/>
              <w:textAlignment w:val="bottom"/>
            </w:pPr>
            <w:r>
              <w:rPr>
                <w:rFonts w:ascii="Arial" w:eastAsia="宋体" w:hAnsi="Arial" w:cs="Arial"/>
                <w:color w:val="000000"/>
                <w:sz w:val="12"/>
                <w:szCs w:val="12"/>
              </w:rPr>
              <w:t>.74 </w:t>
            </w:r>
          </w:p>
        </w:tc>
        <w:tc>
          <w:tcPr>
            <w:tcW w:w="0" w:type="auto"/>
            <w:shd w:val="clear" w:color="auto" w:fill="FFFFFF"/>
            <w:tcMar>
              <w:top w:w="40" w:type="dxa"/>
              <w:left w:w="0" w:type="dxa"/>
              <w:bottom w:w="40" w:type="dxa"/>
              <w:right w:w="20" w:type="dxa"/>
            </w:tcMar>
            <w:vAlign w:val="bottom"/>
          </w:tcPr>
          <w:p w14:paraId="71D3F3FF" w14:textId="77777777" w:rsidR="006A3667" w:rsidRDefault="00045F32">
            <w:pPr>
              <w:jc w:val="right"/>
              <w:textAlignment w:val="bottom"/>
            </w:pPr>
            <w:r>
              <w:rPr>
                <w:rFonts w:ascii="Arial" w:eastAsia="宋体" w:hAnsi="Arial" w:cs="Arial"/>
                <w:color w:val="000000"/>
                <w:sz w:val="12"/>
                <w:szCs w:val="12"/>
              </w:rPr>
              <w:t>%</w:t>
            </w:r>
          </w:p>
        </w:tc>
        <w:tc>
          <w:tcPr>
            <w:tcW w:w="0" w:type="auto"/>
            <w:shd w:val="clear" w:color="auto" w:fill="auto"/>
            <w:vAlign w:val="bottom"/>
          </w:tcPr>
          <w:p w14:paraId="71D3F400" w14:textId="77777777" w:rsidR="006A3667" w:rsidRDefault="006A3667">
            <w:pPr>
              <w:rPr>
                <w:rFonts w:ascii="宋体"/>
                <w:vanish/>
              </w:rPr>
            </w:pPr>
          </w:p>
        </w:tc>
        <w:tc>
          <w:tcPr>
            <w:tcW w:w="0" w:type="auto"/>
            <w:shd w:val="clear" w:color="auto" w:fill="auto"/>
            <w:vAlign w:val="bottom"/>
          </w:tcPr>
          <w:p w14:paraId="71D3F401" w14:textId="77777777" w:rsidR="006A3667" w:rsidRDefault="006A3667">
            <w:pPr>
              <w:rPr>
                <w:rFonts w:ascii="宋体"/>
                <w:vanish/>
              </w:rPr>
            </w:pPr>
          </w:p>
        </w:tc>
        <w:tc>
          <w:tcPr>
            <w:tcW w:w="0" w:type="auto"/>
            <w:shd w:val="clear" w:color="auto" w:fill="auto"/>
            <w:vAlign w:val="bottom"/>
          </w:tcPr>
          <w:p w14:paraId="71D3F402" w14:textId="77777777" w:rsidR="006A3667" w:rsidRDefault="006A3667">
            <w:pPr>
              <w:rPr>
                <w:rFonts w:ascii="宋体"/>
                <w:vanish/>
              </w:rPr>
            </w:pPr>
          </w:p>
        </w:tc>
        <w:tc>
          <w:tcPr>
            <w:tcW w:w="0" w:type="auto"/>
            <w:shd w:val="clear" w:color="auto" w:fill="auto"/>
            <w:vAlign w:val="bottom"/>
          </w:tcPr>
          <w:p w14:paraId="71D3F403" w14:textId="77777777" w:rsidR="006A3667" w:rsidRDefault="006A3667">
            <w:pPr>
              <w:rPr>
                <w:rFonts w:ascii="宋体"/>
                <w:vanish/>
              </w:rPr>
            </w:pPr>
          </w:p>
        </w:tc>
        <w:tc>
          <w:tcPr>
            <w:tcW w:w="0" w:type="auto"/>
            <w:gridSpan w:val="3"/>
            <w:shd w:val="clear" w:color="auto" w:fill="auto"/>
            <w:vAlign w:val="bottom"/>
          </w:tcPr>
          <w:p w14:paraId="71D3F404" w14:textId="77777777" w:rsidR="006A3667" w:rsidRDefault="006A3667">
            <w:pPr>
              <w:rPr>
                <w:rFonts w:ascii="宋体"/>
                <w:vanish/>
              </w:rPr>
            </w:pPr>
          </w:p>
        </w:tc>
        <w:tc>
          <w:tcPr>
            <w:tcW w:w="0" w:type="auto"/>
            <w:gridSpan w:val="3"/>
            <w:shd w:val="clear" w:color="auto" w:fill="auto"/>
            <w:vAlign w:val="bottom"/>
          </w:tcPr>
          <w:p w14:paraId="71D3F405" w14:textId="77777777" w:rsidR="006A3667" w:rsidRDefault="006A3667">
            <w:pPr>
              <w:rPr>
                <w:rFonts w:ascii="宋体"/>
                <w:vanish/>
              </w:rPr>
            </w:pPr>
          </w:p>
        </w:tc>
        <w:tc>
          <w:tcPr>
            <w:tcW w:w="0" w:type="auto"/>
            <w:gridSpan w:val="3"/>
            <w:shd w:val="clear" w:color="auto" w:fill="auto"/>
            <w:vAlign w:val="bottom"/>
          </w:tcPr>
          <w:p w14:paraId="71D3F406" w14:textId="77777777" w:rsidR="006A3667" w:rsidRDefault="006A3667">
            <w:pPr>
              <w:rPr>
                <w:rFonts w:ascii="宋体"/>
                <w:vanish/>
              </w:rPr>
            </w:pPr>
          </w:p>
        </w:tc>
        <w:tc>
          <w:tcPr>
            <w:tcW w:w="0" w:type="auto"/>
            <w:gridSpan w:val="3"/>
            <w:shd w:val="clear" w:color="auto" w:fill="auto"/>
            <w:vAlign w:val="bottom"/>
          </w:tcPr>
          <w:p w14:paraId="71D3F407" w14:textId="77777777" w:rsidR="006A3667" w:rsidRDefault="006A3667">
            <w:pPr>
              <w:rPr>
                <w:rFonts w:ascii="宋体"/>
                <w:vanish/>
              </w:rPr>
            </w:pPr>
          </w:p>
        </w:tc>
        <w:tc>
          <w:tcPr>
            <w:tcW w:w="0" w:type="auto"/>
            <w:gridSpan w:val="2"/>
            <w:shd w:val="clear" w:color="auto" w:fill="auto"/>
            <w:vAlign w:val="bottom"/>
          </w:tcPr>
          <w:p w14:paraId="71D3F408" w14:textId="77777777" w:rsidR="006A3667" w:rsidRDefault="006A3667">
            <w:pPr>
              <w:rPr>
                <w:rFonts w:ascii="宋体"/>
                <w:vanish/>
              </w:rPr>
            </w:pPr>
          </w:p>
        </w:tc>
        <w:tc>
          <w:tcPr>
            <w:tcW w:w="0" w:type="auto"/>
            <w:shd w:val="clear" w:color="auto" w:fill="auto"/>
            <w:vAlign w:val="bottom"/>
          </w:tcPr>
          <w:p w14:paraId="71D3F409" w14:textId="77777777" w:rsidR="006A3667" w:rsidRDefault="006A3667">
            <w:pPr>
              <w:rPr>
                <w:rFonts w:ascii="宋体"/>
                <w:vanish/>
              </w:rPr>
            </w:pPr>
          </w:p>
        </w:tc>
      </w:tr>
      <w:tr w:rsidR="006A3667" w14:paraId="71D3F423" w14:textId="77777777">
        <w:tc>
          <w:tcPr>
            <w:tcW w:w="0" w:type="auto"/>
            <w:gridSpan w:val="3"/>
            <w:shd w:val="clear" w:color="auto" w:fill="CCEEFF"/>
            <w:tcMar>
              <w:top w:w="40" w:type="dxa"/>
              <w:left w:w="20" w:type="dxa"/>
              <w:bottom w:w="40" w:type="dxa"/>
              <w:right w:w="20" w:type="dxa"/>
            </w:tcMar>
            <w:vAlign w:val="bottom"/>
          </w:tcPr>
          <w:p w14:paraId="71D3F40B" w14:textId="77777777" w:rsidR="006A3667" w:rsidRDefault="00045F32">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71D3F40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40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40E" w14:textId="77777777" w:rsidR="006A3667" w:rsidRDefault="00045F32">
            <w:pPr>
              <w:jc w:val="right"/>
              <w:textAlignment w:val="bottom"/>
            </w:pPr>
            <w:r>
              <w:rPr>
                <w:rFonts w:ascii="Arial" w:eastAsia="宋体" w:hAnsi="Arial" w:cs="Arial"/>
                <w:b/>
                <w:bCs/>
                <w:color w:val="000000"/>
                <w:sz w:val="12"/>
                <w:szCs w:val="12"/>
              </w:rPr>
              <w:t>(8)</w:t>
            </w:r>
          </w:p>
        </w:tc>
        <w:tc>
          <w:tcPr>
            <w:tcW w:w="0" w:type="auto"/>
            <w:shd w:val="clear" w:color="auto" w:fill="CCEEFF"/>
            <w:tcMar>
              <w:top w:w="40" w:type="dxa"/>
              <w:left w:w="0" w:type="dxa"/>
              <w:bottom w:w="40" w:type="dxa"/>
              <w:right w:w="20" w:type="dxa"/>
            </w:tcMar>
            <w:vAlign w:val="bottom"/>
          </w:tcPr>
          <w:p w14:paraId="71D3F40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41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41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41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41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41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415" w14:textId="77777777" w:rsidR="006A3667" w:rsidRDefault="00045F32">
            <w:pPr>
              <w:jc w:val="right"/>
              <w:textAlignment w:val="bottom"/>
            </w:pPr>
            <w:r>
              <w:rPr>
                <w:rFonts w:ascii="Arial" w:eastAsia="宋体" w:hAnsi="Arial" w:cs="Arial"/>
                <w:color w:val="000000"/>
                <w:sz w:val="12"/>
                <w:szCs w:val="12"/>
              </w:rPr>
              <w:t>(10)</w:t>
            </w:r>
          </w:p>
        </w:tc>
        <w:tc>
          <w:tcPr>
            <w:tcW w:w="0" w:type="auto"/>
            <w:shd w:val="clear" w:color="auto" w:fill="CCEEFF"/>
            <w:tcMar>
              <w:top w:w="40" w:type="dxa"/>
              <w:left w:w="0" w:type="dxa"/>
              <w:bottom w:w="40" w:type="dxa"/>
              <w:right w:w="20" w:type="dxa"/>
            </w:tcMar>
            <w:vAlign w:val="bottom"/>
          </w:tcPr>
          <w:p w14:paraId="71D3F41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41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3F418" w14:textId="77777777" w:rsidR="006A3667" w:rsidRDefault="006A3667">
            <w:pPr>
              <w:rPr>
                <w:rFonts w:ascii="宋体"/>
              </w:rPr>
            </w:pPr>
          </w:p>
        </w:tc>
        <w:tc>
          <w:tcPr>
            <w:tcW w:w="0" w:type="auto"/>
            <w:shd w:val="clear" w:color="auto" w:fill="auto"/>
            <w:vAlign w:val="bottom"/>
          </w:tcPr>
          <w:p w14:paraId="71D3F419" w14:textId="77777777" w:rsidR="006A3667" w:rsidRDefault="006A3667">
            <w:pPr>
              <w:rPr>
                <w:rFonts w:ascii="宋体"/>
                <w:vanish/>
              </w:rPr>
            </w:pPr>
          </w:p>
        </w:tc>
        <w:tc>
          <w:tcPr>
            <w:tcW w:w="0" w:type="auto"/>
            <w:shd w:val="clear" w:color="auto" w:fill="auto"/>
            <w:vAlign w:val="bottom"/>
          </w:tcPr>
          <w:p w14:paraId="71D3F41A" w14:textId="77777777" w:rsidR="006A3667" w:rsidRDefault="006A3667">
            <w:pPr>
              <w:rPr>
                <w:rFonts w:ascii="宋体"/>
                <w:vanish/>
              </w:rPr>
            </w:pPr>
          </w:p>
        </w:tc>
        <w:tc>
          <w:tcPr>
            <w:tcW w:w="0" w:type="auto"/>
            <w:shd w:val="clear" w:color="auto" w:fill="auto"/>
            <w:vAlign w:val="bottom"/>
          </w:tcPr>
          <w:p w14:paraId="71D3F41B" w14:textId="77777777" w:rsidR="006A3667" w:rsidRDefault="006A3667">
            <w:pPr>
              <w:rPr>
                <w:rFonts w:ascii="宋体"/>
                <w:vanish/>
              </w:rPr>
            </w:pPr>
          </w:p>
        </w:tc>
        <w:tc>
          <w:tcPr>
            <w:tcW w:w="0" w:type="auto"/>
            <w:shd w:val="clear" w:color="auto" w:fill="auto"/>
            <w:vAlign w:val="bottom"/>
          </w:tcPr>
          <w:p w14:paraId="71D3F41C" w14:textId="77777777" w:rsidR="006A3667" w:rsidRDefault="006A3667">
            <w:pPr>
              <w:rPr>
                <w:rFonts w:ascii="宋体"/>
                <w:vanish/>
              </w:rPr>
            </w:pPr>
          </w:p>
        </w:tc>
        <w:tc>
          <w:tcPr>
            <w:tcW w:w="0" w:type="auto"/>
            <w:gridSpan w:val="3"/>
            <w:shd w:val="clear" w:color="auto" w:fill="auto"/>
            <w:vAlign w:val="bottom"/>
          </w:tcPr>
          <w:p w14:paraId="71D3F41D" w14:textId="77777777" w:rsidR="006A3667" w:rsidRDefault="006A3667">
            <w:pPr>
              <w:rPr>
                <w:rFonts w:ascii="宋体"/>
                <w:vanish/>
              </w:rPr>
            </w:pPr>
          </w:p>
        </w:tc>
        <w:tc>
          <w:tcPr>
            <w:tcW w:w="0" w:type="auto"/>
            <w:gridSpan w:val="3"/>
            <w:shd w:val="clear" w:color="auto" w:fill="auto"/>
            <w:vAlign w:val="bottom"/>
          </w:tcPr>
          <w:p w14:paraId="71D3F41E" w14:textId="77777777" w:rsidR="006A3667" w:rsidRDefault="006A3667">
            <w:pPr>
              <w:rPr>
                <w:rFonts w:ascii="宋体"/>
                <w:vanish/>
              </w:rPr>
            </w:pPr>
          </w:p>
        </w:tc>
        <w:tc>
          <w:tcPr>
            <w:tcW w:w="0" w:type="auto"/>
            <w:gridSpan w:val="3"/>
            <w:shd w:val="clear" w:color="auto" w:fill="auto"/>
            <w:vAlign w:val="bottom"/>
          </w:tcPr>
          <w:p w14:paraId="71D3F41F" w14:textId="77777777" w:rsidR="006A3667" w:rsidRDefault="006A3667">
            <w:pPr>
              <w:rPr>
                <w:rFonts w:ascii="宋体"/>
                <w:vanish/>
              </w:rPr>
            </w:pPr>
          </w:p>
        </w:tc>
        <w:tc>
          <w:tcPr>
            <w:tcW w:w="0" w:type="auto"/>
            <w:gridSpan w:val="3"/>
            <w:shd w:val="clear" w:color="auto" w:fill="auto"/>
            <w:vAlign w:val="bottom"/>
          </w:tcPr>
          <w:p w14:paraId="71D3F420" w14:textId="77777777" w:rsidR="006A3667" w:rsidRDefault="006A3667">
            <w:pPr>
              <w:rPr>
                <w:rFonts w:ascii="宋体"/>
                <w:vanish/>
              </w:rPr>
            </w:pPr>
          </w:p>
        </w:tc>
        <w:tc>
          <w:tcPr>
            <w:tcW w:w="0" w:type="auto"/>
            <w:gridSpan w:val="2"/>
            <w:shd w:val="clear" w:color="auto" w:fill="auto"/>
            <w:vAlign w:val="bottom"/>
          </w:tcPr>
          <w:p w14:paraId="71D3F421" w14:textId="77777777" w:rsidR="006A3667" w:rsidRDefault="006A3667">
            <w:pPr>
              <w:rPr>
                <w:rFonts w:ascii="宋体"/>
                <w:vanish/>
              </w:rPr>
            </w:pPr>
          </w:p>
        </w:tc>
        <w:tc>
          <w:tcPr>
            <w:tcW w:w="0" w:type="auto"/>
            <w:shd w:val="clear" w:color="auto" w:fill="auto"/>
            <w:vAlign w:val="bottom"/>
          </w:tcPr>
          <w:p w14:paraId="71D3F422" w14:textId="77777777" w:rsidR="006A3667" w:rsidRDefault="006A3667">
            <w:pPr>
              <w:rPr>
                <w:rFonts w:ascii="宋体"/>
                <w:vanish/>
              </w:rPr>
            </w:pPr>
          </w:p>
        </w:tc>
      </w:tr>
      <w:tr w:rsidR="006A3667" w14:paraId="71D3F43E" w14:textId="77777777">
        <w:tc>
          <w:tcPr>
            <w:tcW w:w="0" w:type="auto"/>
            <w:gridSpan w:val="3"/>
            <w:shd w:val="clear" w:color="auto" w:fill="FFFFFF"/>
            <w:tcMar>
              <w:top w:w="40" w:type="dxa"/>
              <w:left w:w="20" w:type="dxa"/>
              <w:bottom w:w="40" w:type="dxa"/>
              <w:right w:w="20" w:type="dxa"/>
            </w:tcMar>
            <w:vAlign w:val="bottom"/>
          </w:tcPr>
          <w:p w14:paraId="71D3F424" w14:textId="77777777" w:rsidR="006A3667" w:rsidRDefault="00045F32">
            <w:pPr>
              <w:textAlignment w:val="bottom"/>
            </w:pPr>
            <w:r>
              <w:rPr>
                <w:rFonts w:ascii="Arial" w:eastAsia="宋体" w:hAnsi="Arial" w:cs="Arial"/>
                <w:color w:val="000000"/>
                <w:sz w:val="12"/>
                <w:szCs w:val="12"/>
              </w:rPr>
              <w:t xml:space="preserve">Net interest income, GAAP-basis </w:t>
            </w:r>
          </w:p>
        </w:tc>
        <w:tc>
          <w:tcPr>
            <w:tcW w:w="0" w:type="auto"/>
            <w:gridSpan w:val="3"/>
            <w:shd w:val="clear" w:color="auto" w:fill="FFFFFF"/>
            <w:tcMar>
              <w:top w:w="0" w:type="dxa"/>
              <w:left w:w="20" w:type="dxa"/>
              <w:bottom w:w="0" w:type="dxa"/>
              <w:right w:w="20" w:type="dxa"/>
            </w:tcMar>
            <w:vAlign w:val="bottom"/>
          </w:tcPr>
          <w:p w14:paraId="71D3F42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426"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427"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428" w14:textId="77777777" w:rsidR="006A3667" w:rsidRDefault="00045F32">
            <w:pPr>
              <w:jc w:val="right"/>
              <w:textAlignment w:val="bottom"/>
            </w:pPr>
            <w:r>
              <w:rPr>
                <w:rFonts w:ascii="Arial" w:eastAsia="宋体" w:hAnsi="Arial" w:cs="Arial"/>
                <w:b/>
                <w:bCs/>
                <w:color w:val="000000"/>
                <w:sz w:val="12"/>
                <w:szCs w:val="12"/>
              </w:rPr>
              <w:t>1,753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4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42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42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42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42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42E"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42F"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430" w14:textId="77777777" w:rsidR="006A3667" w:rsidRDefault="00045F32">
            <w:pPr>
              <w:jc w:val="right"/>
              <w:textAlignment w:val="bottom"/>
            </w:pPr>
            <w:r>
              <w:rPr>
                <w:rFonts w:ascii="Arial" w:eastAsia="宋体" w:hAnsi="Arial" w:cs="Arial"/>
                <w:color w:val="000000"/>
                <w:sz w:val="12"/>
                <w:szCs w:val="12"/>
              </w:rPr>
              <w:t>1,421 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43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43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433" w14:textId="77777777" w:rsidR="006A3667" w:rsidRDefault="006A3667">
            <w:pPr>
              <w:rPr>
                <w:rFonts w:ascii="宋体"/>
              </w:rPr>
            </w:pPr>
          </w:p>
        </w:tc>
        <w:tc>
          <w:tcPr>
            <w:tcW w:w="0" w:type="auto"/>
            <w:shd w:val="clear" w:color="auto" w:fill="auto"/>
            <w:vAlign w:val="bottom"/>
          </w:tcPr>
          <w:p w14:paraId="71D3F434" w14:textId="77777777" w:rsidR="006A3667" w:rsidRDefault="006A3667">
            <w:pPr>
              <w:rPr>
                <w:rFonts w:ascii="宋体"/>
                <w:vanish/>
              </w:rPr>
            </w:pPr>
          </w:p>
        </w:tc>
        <w:tc>
          <w:tcPr>
            <w:tcW w:w="0" w:type="auto"/>
            <w:shd w:val="clear" w:color="auto" w:fill="auto"/>
            <w:vAlign w:val="bottom"/>
          </w:tcPr>
          <w:p w14:paraId="71D3F435" w14:textId="77777777" w:rsidR="006A3667" w:rsidRDefault="006A3667">
            <w:pPr>
              <w:rPr>
                <w:rFonts w:ascii="宋体"/>
                <w:vanish/>
              </w:rPr>
            </w:pPr>
          </w:p>
        </w:tc>
        <w:tc>
          <w:tcPr>
            <w:tcW w:w="0" w:type="auto"/>
            <w:shd w:val="clear" w:color="auto" w:fill="auto"/>
            <w:vAlign w:val="bottom"/>
          </w:tcPr>
          <w:p w14:paraId="71D3F436" w14:textId="77777777" w:rsidR="006A3667" w:rsidRDefault="006A3667">
            <w:pPr>
              <w:rPr>
                <w:rFonts w:ascii="宋体"/>
                <w:vanish/>
              </w:rPr>
            </w:pPr>
          </w:p>
        </w:tc>
        <w:tc>
          <w:tcPr>
            <w:tcW w:w="0" w:type="auto"/>
            <w:shd w:val="clear" w:color="auto" w:fill="auto"/>
            <w:vAlign w:val="bottom"/>
          </w:tcPr>
          <w:p w14:paraId="71D3F437" w14:textId="77777777" w:rsidR="006A3667" w:rsidRDefault="006A3667">
            <w:pPr>
              <w:rPr>
                <w:rFonts w:ascii="宋体"/>
                <w:vanish/>
              </w:rPr>
            </w:pPr>
          </w:p>
        </w:tc>
        <w:tc>
          <w:tcPr>
            <w:tcW w:w="0" w:type="auto"/>
            <w:gridSpan w:val="3"/>
            <w:shd w:val="clear" w:color="auto" w:fill="auto"/>
            <w:vAlign w:val="bottom"/>
          </w:tcPr>
          <w:p w14:paraId="71D3F438" w14:textId="77777777" w:rsidR="006A3667" w:rsidRDefault="006A3667">
            <w:pPr>
              <w:rPr>
                <w:rFonts w:ascii="宋体"/>
                <w:vanish/>
              </w:rPr>
            </w:pPr>
          </w:p>
        </w:tc>
        <w:tc>
          <w:tcPr>
            <w:tcW w:w="0" w:type="auto"/>
            <w:gridSpan w:val="3"/>
            <w:shd w:val="clear" w:color="auto" w:fill="auto"/>
            <w:vAlign w:val="bottom"/>
          </w:tcPr>
          <w:p w14:paraId="71D3F439" w14:textId="77777777" w:rsidR="006A3667" w:rsidRDefault="006A3667">
            <w:pPr>
              <w:rPr>
                <w:rFonts w:ascii="宋体"/>
                <w:vanish/>
              </w:rPr>
            </w:pPr>
          </w:p>
        </w:tc>
        <w:tc>
          <w:tcPr>
            <w:tcW w:w="0" w:type="auto"/>
            <w:gridSpan w:val="3"/>
            <w:shd w:val="clear" w:color="auto" w:fill="auto"/>
            <w:vAlign w:val="bottom"/>
          </w:tcPr>
          <w:p w14:paraId="71D3F43A" w14:textId="77777777" w:rsidR="006A3667" w:rsidRDefault="006A3667">
            <w:pPr>
              <w:rPr>
                <w:rFonts w:ascii="宋体"/>
                <w:vanish/>
              </w:rPr>
            </w:pPr>
          </w:p>
        </w:tc>
        <w:tc>
          <w:tcPr>
            <w:tcW w:w="0" w:type="auto"/>
            <w:gridSpan w:val="3"/>
            <w:shd w:val="clear" w:color="auto" w:fill="auto"/>
            <w:vAlign w:val="bottom"/>
          </w:tcPr>
          <w:p w14:paraId="71D3F43B" w14:textId="77777777" w:rsidR="006A3667" w:rsidRDefault="006A3667">
            <w:pPr>
              <w:rPr>
                <w:rFonts w:ascii="宋体"/>
                <w:vanish/>
              </w:rPr>
            </w:pPr>
          </w:p>
        </w:tc>
        <w:tc>
          <w:tcPr>
            <w:tcW w:w="0" w:type="auto"/>
            <w:gridSpan w:val="2"/>
            <w:shd w:val="clear" w:color="auto" w:fill="auto"/>
            <w:vAlign w:val="bottom"/>
          </w:tcPr>
          <w:p w14:paraId="71D3F43C" w14:textId="77777777" w:rsidR="006A3667" w:rsidRDefault="006A3667">
            <w:pPr>
              <w:rPr>
                <w:rFonts w:ascii="宋体"/>
                <w:vanish/>
              </w:rPr>
            </w:pPr>
          </w:p>
        </w:tc>
        <w:tc>
          <w:tcPr>
            <w:tcW w:w="0" w:type="auto"/>
            <w:shd w:val="clear" w:color="auto" w:fill="auto"/>
            <w:vAlign w:val="bottom"/>
          </w:tcPr>
          <w:p w14:paraId="71D3F43D" w14:textId="77777777" w:rsidR="006A3667" w:rsidRDefault="006A3667">
            <w:pPr>
              <w:rPr>
                <w:rFonts w:ascii="宋体"/>
                <w:vanish/>
              </w:rPr>
            </w:pPr>
          </w:p>
        </w:tc>
      </w:tr>
    </w:tbl>
    <w:p w14:paraId="71D3F43F"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3F446" w14:textId="77777777">
        <w:tc>
          <w:tcPr>
            <w:tcW w:w="50" w:type="pct"/>
            <w:shd w:val="clear" w:color="auto" w:fill="auto"/>
            <w:vAlign w:val="bottom"/>
          </w:tcPr>
          <w:p w14:paraId="71D3F440" w14:textId="77777777" w:rsidR="006A3667" w:rsidRDefault="006A3667">
            <w:pPr>
              <w:rPr>
                <w:rFonts w:ascii="宋体"/>
              </w:rPr>
            </w:pPr>
          </w:p>
        </w:tc>
        <w:tc>
          <w:tcPr>
            <w:tcW w:w="1348" w:type="pct"/>
            <w:shd w:val="clear" w:color="auto" w:fill="auto"/>
            <w:vAlign w:val="bottom"/>
          </w:tcPr>
          <w:p w14:paraId="71D3F441" w14:textId="77777777" w:rsidR="006A3667" w:rsidRDefault="006A3667">
            <w:pPr>
              <w:rPr>
                <w:rFonts w:ascii="宋体"/>
              </w:rPr>
            </w:pPr>
          </w:p>
        </w:tc>
        <w:tc>
          <w:tcPr>
            <w:tcW w:w="5" w:type="pct"/>
            <w:shd w:val="clear" w:color="auto" w:fill="auto"/>
            <w:vAlign w:val="bottom"/>
          </w:tcPr>
          <w:p w14:paraId="71D3F442" w14:textId="77777777" w:rsidR="006A3667" w:rsidRDefault="006A3667">
            <w:pPr>
              <w:rPr>
                <w:rFonts w:ascii="宋体"/>
              </w:rPr>
            </w:pPr>
          </w:p>
        </w:tc>
        <w:tc>
          <w:tcPr>
            <w:tcW w:w="50" w:type="pct"/>
            <w:shd w:val="clear" w:color="auto" w:fill="auto"/>
            <w:vAlign w:val="bottom"/>
          </w:tcPr>
          <w:p w14:paraId="71D3F443" w14:textId="77777777" w:rsidR="006A3667" w:rsidRDefault="006A3667">
            <w:pPr>
              <w:rPr>
                <w:rFonts w:ascii="宋体"/>
              </w:rPr>
            </w:pPr>
          </w:p>
        </w:tc>
        <w:tc>
          <w:tcPr>
            <w:tcW w:w="3541" w:type="pct"/>
            <w:shd w:val="clear" w:color="auto" w:fill="auto"/>
            <w:vAlign w:val="bottom"/>
          </w:tcPr>
          <w:p w14:paraId="71D3F444" w14:textId="77777777" w:rsidR="006A3667" w:rsidRDefault="006A3667">
            <w:pPr>
              <w:rPr>
                <w:rFonts w:ascii="宋体"/>
              </w:rPr>
            </w:pPr>
          </w:p>
        </w:tc>
        <w:tc>
          <w:tcPr>
            <w:tcW w:w="5" w:type="pct"/>
            <w:shd w:val="clear" w:color="auto" w:fill="auto"/>
            <w:vAlign w:val="bottom"/>
          </w:tcPr>
          <w:p w14:paraId="71D3F445" w14:textId="77777777" w:rsidR="006A3667" w:rsidRDefault="006A3667">
            <w:pPr>
              <w:rPr>
                <w:rFonts w:ascii="宋体"/>
              </w:rPr>
            </w:pPr>
          </w:p>
        </w:tc>
      </w:tr>
      <w:tr w:rsidR="006A3667" w14:paraId="71D3F44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F4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448" w14:textId="77777777" w:rsidR="006A3667" w:rsidRDefault="006A3667">
            <w:pPr>
              <w:rPr>
                <w:rFonts w:ascii="宋体"/>
              </w:rPr>
            </w:pPr>
          </w:p>
        </w:tc>
      </w:tr>
    </w:tbl>
    <w:p w14:paraId="71D3F44A" w14:textId="77777777" w:rsidR="006A3667" w:rsidRDefault="00045F32">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Rates earned/paid on interest-earning assets and interest-bearing liabilities include the impact of hedge activities associated with our asset and liability management activities where applicable.</w:t>
      </w:r>
    </w:p>
    <w:p w14:paraId="71D3F44B" w14:textId="77777777" w:rsidR="006A3667" w:rsidRDefault="00045F32">
      <w:pPr>
        <w:spacing w:before="60"/>
        <w:jc w:val="both"/>
      </w:pPr>
      <w:r>
        <w:rPr>
          <w:rFonts w:ascii="Arial" w:eastAsia="宋体" w:hAnsi="Arial" w:cs="Arial"/>
          <w:color w:val="000000"/>
          <w:sz w:val="7"/>
          <w:szCs w:val="7"/>
        </w:rPr>
        <w:t>(2)</w:t>
      </w:r>
      <w:r>
        <w:rPr>
          <w:rFonts w:ascii="Arial" w:eastAsia="宋体" w:hAnsi="Arial" w:cs="Arial"/>
          <w:color w:val="000000"/>
          <w:sz w:val="12"/>
          <w:szCs w:val="12"/>
        </w:rPr>
        <w:t xml:space="preserve"> Negative values reflect the interest rate environment </w:t>
      </w:r>
      <w:r>
        <w:rPr>
          <w:rFonts w:ascii="Arial" w:eastAsia="宋体" w:hAnsi="Arial" w:cs="Arial"/>
          <w:color w:val="000000"/>
          <w:sz w:val="12"/>
          <w:szCs w:val="12"/>
        </w:rPr>
        <w:t>outside of the U.S. where central bank rates are below zero for several major currencies.</w:t>
      </w:r>
    </w:p>
    <w:p w14:paraId="71D3F44C" w14:textId="77777777" w:rsidR="006A3667" w:rsidRDefault="00045F32">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Reflects the impact of balance sheet netting under enforceable netting agreements of approximately </w:t>
      </w:r>
      <w:r>
        <w:rPr>
          <w:rFonts w:ascii="Arial" w:eastAsia="宋体" w:hAnsi="Arial" w:cs="Arial"/>
          <w:color w:val="000000"/>
          <w:sz w:val="12"/>
          <w:szCs w:val="12"/>
          <w:shd w:val="clear" w:color="auto" w:fill="FFFFFF"/>
        </w:rPr>
        <w:t>$72.74 billion</w:t>
      </w:r>
      <w:r>
        <w:rPr>
          <w:rFonts w:ascii="Arial" w:eastAsia="宋体" w:hAnsi="Arial" w:cs="Arial"/>
          <w:color w:val="000000"/>
          <w:sz w:val="12"/>
          <w:szCs w:val="12"/>
        </w:rPr>
        <w:t xml:space="preserve"> and </w:t>
      </w:r>
      <w:r>
        <w:rPr>
          <w:rFonts w:ascii="Arial" w:eastAsia="宋体" w:hAnsi="Arial" w:cs="Arial"/>
          <w:color w:val="000000"/>
          <w:sz w:val="12"/>
          <w:szCs w:val="12"/>
          <w:shd w:val="clear" w:color="auto" w:fill="FFFFFF"/>
        </w:rPr>
        <w:t>$66.35 billion</w:t>
      </w:r>
      <w:r>
        <w:rPr>
          <w:rFonts w:ascii="Arial" w:eastAsia="宋体" w:hAnsi="Arial" w:cs="Arial"/>
          <w:color w:val="000000"/>
          <w:sz w:val="12"/>
          <w:szCs w:val="12"/>
        </w:rPr>
        <w:t xml:space="preserve"> for the three and nine months ended September 30, 2022, respectively, compared to $52.17 billion and $66.92 billion for th</w:t>
      </w:r>
      <w:r>
        <w:rPr>
          <w:rFonts w:ascii="Arial" w:eastAsia="宋体" w:hAnsi="Arial" w:cs="Arial"/>
          <w:color w:val="000000"/>
          <w:sz w:val="12"/>
          <w:szCs w:val="12"/>
        </w:rPr>
        <w:t xml:space="preserve">e same periods in 2021, respectively. Excluding the impact of netting, the average interest rates would be approximately </w:t>
      </w:r>
      <w:r>
        <w:rPr>
          <w:rFonts w:ascii="Arial" w:eastAsia="宋体" w:hAnsi="Arial" w:cs="Arial"/>
          <w:color w:val="000000"/>
          <w:sz w:val="12"/>
          <w:szCs w:val="12"/>
          <w:shd w:val="clear" w:color="auto" w:fill="FFFFFF"/>
        </w:rPr>
        <w:t>0.31%</w:t>
      </w:r>
      <w:r>
        <w:rPr>
          <w:rFonts w:ascii="Arial" w:eastAsia="宋体" w:hAnsi="Arial" w:cs="Arial"/>
          <w:color w:val="000000"/>
          <w:sz w:val="12"/>
          <w:szCs w:val="12"/>
        </w:rPr>
        <w:t xml:space="preserve"> and </w:t>
      </w:r>
      <w:r>
        <w:rPr>
          <w:rFonts w:ascii="Arial" w:eastAsia="宋体" w:hAnsi="Arial" w:cs="Arial"/>
          <w:color w:val="000000"/>
          <w:sz w:val="12"/>
          <w:szCs w:val="12"/>
          <w:shd w:val="clear" w:color="auto" w:fill="FFFFFF"/>
        </w:rPr>
        <w:t>0.21%</w:t>
      </w:r>
      <w:r>
        <w:rPr>
          <w:rFonts w:ascii="Arial" w:eastAsia="宋体" w:hAnsi="Arial" w:cs="Arial"/>
          <w:color w:val="000000"/>
          <w:sz w:val="12"/>
          <w:szCs w:val="12"/>
        </w:rPr>
        <w:t xml:space="preserve"> in the three and nine months ended September 30, 2022, respectively, compared to 0.05% and 0.04% in the same periods in</w:t>
      </w:r>
      <w:r>
        <w:rPr>
          <w:rFonts w:ascii="Arial" w:eastAsia="宋体" w:hAnsi="Arial" w:cs="Arial"/>
          <w:color w:val="000000"/>
          <w:sz w:val="12"/>
          <w:szCs w:val="12"/>
        </w:rPr>
        <w:t xml:space="preserve"> 2021, respectively.</w:t>
      </w:r>
    </w:p>
    <w:p w14:paraId="71D3F44D" w14:textId="77777777" w:rsidR="006A3667" w:rsidRDefault="00045F32">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Average rate includes the impact of FX swap costs of approximately </w:t>
      </w:r>
      <w:r>
        <w:rPr>
          <w:rFonts w:ascii="Arial" w:eastAsia="宋体" w:hAnsi="Arial" w:cs="Arial"/>
          <w:color w:val="000000"/>
          <w:sz w:val="12"/>
          <w:szCs w:val="12"/>
          <w:shd w:val="clear" w:color="auto" w:fill="FFFFFF"/>
        </w:rPr>
        <w:t>$16 million</w:t>
      </w:r>
      <w:r>
        <w:rPr>
          <w:rFonts w:ascii="Arial" w:eastAsia="宋体" w:hAnsi="Arial" w:cs="Arial"/>
          <w:color w:val="000000"/>
          <w:sz w:val="12"/>
          <w:szCs w:val="12"/>
        </w:rPr>
        <w:t xml:space="preserve"> and </w:t>
      </w:r>
      <w:r>
        <w:rPr>
          <w:rFonts w:ascii="Arial" w:eastAsia="宋体" w:hAnsi="Arial" w:cs="Arial"/>
          <w:color w:val="000000"/>
          <w:sz w:val="12"/>
          <w:szCs w:val="12"/>
          <w:shd w:val="clear" w:color="auto" w:fill="FFFFFF"/>
        </w:rPr>
        <w:t>nil</w:t>
      </w:r>
      <w:r>
        <w:rPr>
          <w:rFonts w:ascii="Arial" w:eastAsia="宋体" w:hAnsi="Arial" w:cs="Arial"/>
          <w:color w:val="000000"/>
          <w:sz w:val="12"/>
          <w:szCs w:val="12"/>
        </w:rPr>
        <w:t xml:space="preserve"> for the three and nine months ended September 30, 2022, respectively, compared to ($16) million and ($53) million for the same periods in 2021, </w:t>
      </w:r>
      <w:r>
        <w:rPr>
          <w:rFonts w:ascii="Arial" w:eastAsia="宋体" w:hAnsi="Arial" w:cs="Arial"/>
          <w:color w:val="000000"/>
          <w:sz w:val="12"/>
          <w:szCs w:val="12"/>
        </w:rPr>
        <w:t xml:space="preserve">respectively. Average rates for total interest-bearing deposits excluding the impact of FX swap costs were </w:t>
      </w:r>
      <w:r>
        <w:rPr>
          <w:rFonts w:ascii="Arial" w:eastAsia="宋体" w:hAnsi="Arial" w:cs="Arial"/>
          <w:color w:val="000000"/>
          <w:sz w:val="12"/>
          <w:szCs w:val="12"/>
          <w:shd w:val="clear" w:color="auto" w:fill="FFFFFF"/>
        </w:rPr>
        <w:t>0.71%</w:t>
      </w:r>
      <w:r>
        <w:rPr>
          <w:rFonts w:ascii="Arial" w:eastAsia="宋体" w:hAnsi="Arial" w:cs="Arial"/>
          <w:color w:val="000000"/>
          <w:sz w:val="12"/>
          <w:szCs w:val="12"/>
        </w:rPr>
        <w:t xml:space="preserve"> and </w:t>
      </w:r>
      <w:r>
        <w:rPr>
          <w:rFonts w:ascii="Arial" w:eastAsia="宋体" w:hAnsi="Arial" w:cs="Arial"/>
          <w:color w:val="000000"/>
          <w:sz w:val="12"/>
          <w:szCs w:val="12"/>
          <w:shd w:val="clear" w:color="auto" w:fill="FFFFFF"/>
        </w:rPr>
        <w:t>0.20%</w:t>
      </w:r>
      <w:r>
        <w:rPr>
          <w:rFonts w:ascii="Arial" w:eastAsia="宋体" w:hAnsi="Arial" w:cs="Arial"/>
          <w:color w:val="000000"/>
          <w:sz w:val="12"/>
          <w:szCs w:val="12"/>
        </w:rPr>
        <w:t xml:space="preserve"> in the three and nine months ended September 30, 2022, respectively, compared to (0.10)% in both the same periods in 2021.</w:t>
      </w:r>
    </w:p>
    <w:p w14:paraId="71D3F44E" w14:textId="77777777" w:rsidR="006A3667" w:rsidRDefault="00045F32">
      <w:pPr>
        <w:spacing w:before="60"/>
        <w:jc w:val="both"/>
      </w:pPr>
      <w:r>
        <w:rPr>
          <w:rFonts w:ascii="Arial" w:eastAsia="宋体" w:hAnsi="Arial" w:cs="Arial"/>
          <w:color w:val="000000"/>
          <w:sz w:val="7"/>
          <w:szCs w:val="7"/>
        </w:rPr>
        <w:t>(5)</w:t>
      </w:r>
      <w:r>
        <w:rPr>
          <w:rFonts w:ascii="Arial" w:eastAsia="宋体" w:hAnsi="Arial" w:cs="Arial"/>
          <w:color w:val="000000"/>
          <w:sz w:val="12"/>
          <w:szCs w:val="12"/>
        </w:rPr>
        <w:t xml:space="preserve"> Total </w:t>
      </w:r>
      <w:r>
        <w:rPr>
          <w:rFonts w:ascii="Arial" w:eastAsia="宋体" w:hAnsi="Arial" w:cs="Arial"/>
          <w:color w:val="000000"/>
          <w:sz w:val="12"/>
          <w:szCs w:val="12"/>
        </w:rPr>
        <w:t xml:space="preserve">deposits averaged </w:t>
      </w:r>
      <w:r>
        <w:rPr>
          <w:rFonts w:ascii="Arial" w:eastAsia="宋体" w:hAnsi="Arial" w:cs="Arial"/>
          <w:color w:val="000000"/>
          <w:sz w:val="12"/>
          <w:szCs w:val="12"/>
          <w:shd w:val="clear" w:color="auto" w:fill="FFFFFF"/>
        </w:rPr>
        <w:t>$213.30 billion</w:t>
      </w:r>
      <w:r>
        <w:rPr>
          <w:rFonts w:ascii="Arial" w:eastAsia="宋体" w:hAnsi="Arial" w:cs="Arial"/>
          <w:color w:val="000000"/>
          <w:sz w:val="12"/>
          <w:szCs w:val="12"/>
        </w:rPr>
        <w:t xml:space="preserve"> and </w:t>
      </w:r>
      <w:r>
        <w:rPr>
          <w:rFonts w:ascii="Arial" w:eastAsia="宋体" w:hAnsi="Arial" w:cs="Arial"/>
          <w:color w:val="000000"/>
          <w:sz w:val="12"/>
          <w:szCs w:val="12"/>
          <w:shd w:val="clear" w:color="auto" w:fill="FFFFFF"/>
        </w:rPr>
        <w:t>$224.92 billion</w:t>
      </w:r>
      <w:r>
        <w:rPr>
          <w:rFonts w:ascii="Arial" w:eastAsia="宋体" w:hAnsi="Arial" w:cs="Arial"/>
          <w:color w:val="000000"/>
          <w:sz w:val="12"/>
          <w:szCs w:val="12"/>
        </w:rPr>
        <w:t xml:space="preserve"> in</w:t>
      </w:r>
      <w:r>
        <w:rPr>
          <w:rFonts w:ascii="Arial" w:eastAsia="宋体" w:hAnsi="Arial" w:cs="Arial"/>
          <w:color w:val="000000"/>
          <w:sz w:val="12"/>
          <w:szCs w:val="12"/>
          <w:shd w:val="clear" w:color="auto" w:fill="FFFFFF"/>
        </w:rPr>
        <w:t xml:space="preserve"> the three and nine months ended September 30, 2022, r</w:t>
      </w:r>
      <w:r>
        <w:rPr>
          <w:rFonts w:ascii="Arial" w:eastAsia="宋体" w:hAnsi="Arial" w:cs="Arial"/>
          <w:color w:val="000000"/>
          <w:sz w:val="12"/>
          <w:szCs w:val="12"/>
        </w:rPr>
        <w:t>espectively, compared to $233.27 billion and $233.96 billion in the same periods in 2021, respectively.</w:t>
      </w:r>
    </w:p>
    <w:p w14:paraId="71D3F44F" w14:textId="77777777" w:rsidR="006A3667" w:rsidRDefault="00045F32">
      <w:pPr>
        <w:ind w:firstLine="450"/>
        <w:jc w:val="right"/>
      </w:pPr>
      <w:r>
        <w:rPr>
          <w:rFonts w:ascii="Arial" w:eastAsia="宋体" w:hAnsi="Arial" w:cs="Arial"/>
          <w:color w:val="000000"/>
          <w:sz w:val="18"/>
          <w:szCs w:val="18"/>
        </w:rPr>
        <w:t>State Street Corporation | 21</w:t>
      </w:r>
    </w:p>
    <w:p w14:paraId="71D3F450" w14:textId="77777777" w:rsidR="006A3667" w:rsidRDefault="006A3667">
      <w:pPr>
        <w:ind w:firstLine="450"/>
        <w:jc w:val="center"/>
      </w:pPr>
    </w:p>
    <w:p w14:paraId="71D3F451" w14:textId="77777777" w:rsidR="006A3667" w:rsidRDefault="00045F32">
      <w:r>
        <w:pict w14:anchorId="71D4AC29">
          <v:rect id="_x0000_i1045" style="width:415.3pt;height:1.5pt" o:hralign="center" o:hrstd="t" o:hr="t" fillcolor="#a0a0a0" stroked="f"/>
        </w:pict>
      </w:r>
    </w:p>
    <w:p w14:paraId="71D3F452" w14:textId="77777777" w:rsidR="006A3667" w:rsidRDefault="00045F32">
      <w:pPr>
        <w:ind w:firstLine="450"/>
        <w:jc w:val="center"/>
      </w:pPr>
      <w:r>
        <w:rPr>
          <w:rFonts w:ascii="Arial" w:eastAsia="宋体" w:hAnsi="Arial" w:cs="Arial"/>
          <w:b/>
          <w:bCs/>
          <w:color w:val="000000"/>
          <w:sz w:val="20"/>
          <w:szCs w:val="20"/>
        </w:rPr>
        <w:t>MANAGEMEN</w:t>
      </w:r>
      <w:r>
        <w:rPr>
          <w:rFonts w:ascii="Arial" w:eastAsia="宋体" w:hAnsi="Arial" w:cs="Arial"/>
          <w:b/>
          <w:bCs/>
          <w:color w:val="000000"/>
          <w:sz w:val="20"/>
          <w:szCs w:val="20"/>
        </w:rPr>
        <w:t>T’S DISCUSSION AND ANALYSIS OF FINANCIAL CONDITION</w:t>
      </w:r>
    </w:p>
    <w:p w14:paraId="71D3F453" w14:textId="77777777" w:rsidR="006A3667" w:rsidRDefault="00045F32">
      <w:pPr>
        <w:ind w:firstLine="450"/>
        <w:jc w:val="center"/>
      </w:pPr>
      <w:r>
        <w:rPr>
          <w:rFonts w:ascii="Arial" w:eastAsia="宋体" w:hAnsi="Arial" w:cs="Arial"/>
          <w:b/>
          <w:bCs/>
          <w:color w:val="000000"/>
          <w:sz w:val="20"/>
          <w:szCs w:val="20"/>
        </w:rPr>
        <w:t>AND RESULTS OF OPERATIONS</w:t>
      </w:r>
    </w:p>
    <w:p w14:paraId="71D3F454" w14:textId="77777777" w:rsidR="006A3667" w:rsidRDefault="00045F32">
      <w:pPr>
        <w:spacing w:before="120"/>
        <w:ind w:firstLine="450"/>
        <w:jc w:val="both"/>
        <w:textAlignment w:val="top"/>
      </w:pPr>
      <w:r>
        <w:rPr>
          <w:rFonts w:ascii="Arial" w:eastAsia="宋体" w:hAnsi="Arial" w:cs="Arial"/>
          <w:color w:val="000000"/>
          <w:sz w:val="20"/>
          <w:szCs w:val="20"/>
        </w:rPr>
        <w:t>Changes in the components of interest-earning assets and interest-bearing liabilities are discussed in more detail below. Additional information about the components of interest i</w:t>
      </w:r>
      <w:r>
        <w:rPr>
          <w:rFonts w:ascii="Arial" w:eastAsia="宋体" w:hAnsi="Arial" w:cs="Arial"/>
          <w:color w:val="000000"/>
          <w:sz w:val="20"/>
          <w:szCs w:val="20"/>
        </w:rPr>
        <w:t>ncome and interest expense is provided in Note 14 to the consolidated financial statements within this Form 10-Q.</w:t>
      </w:r>
    </w:p>
    <w:p w14:paraId="71D3F455" w14:textId="77777777" w:rsidR="006A3667" w:rsidRDefault="00045F32">
      <w:pPr>
        <w:spacing w:before="120"/>
        <w:ind w:firstLine="450"/>
        <w:jc w:val="both"/>
        <w:textAlignment w:val="top"/>
      </w:pPr>
      <w:r>
        <w:rPr>
          <w:rFonts w:ascii="Arial" w:eastAsia="宋体" w:hAnsi="Arial" w:cs="Arial"/>
          <w:color w:val="000000"/>
          <w:sz w:val="20"/>
          <w:szCs w:val="20"/>
        </w:rPr>
        <w:t xml:space="preserve">Average total interest-earning assets were </w:t>
      </w:r>
      <w:r>
        <w:rPr>
          <w:rFonts w:ascii="Arial" w:eastAsia="宋体" w:hAnsi="Arial" w:cs="Arial"/>
          <w:color w:val="000000"/>
          <w:sz w:val="20"/>
          <w:szCs w:val="20"/>
          <w:shd w:val="clear" w:color="auto" w:fill="FFFFFF"/>
        </w:rPr>
        <w:t xml:space="preserve">$235.91 billion and $248.34 billion in the three and nine months ended September 30, 2022, </w:t>
      </w:r>
      <w:r>
        <w:rPr>
          <w:rFonts w:ascii="Arial" w:eastAsia="宋体" w:hAnsi="Arial" w:cs="Arial"/>
          <w:color w:val="000000"/>
          <w:sz w:val="20"/>
          <w:szCs w:val="20"/>
          <w:shd w:val="clear" w:color="auto" w:fill="FFFFFF"/>
        </w:rPr>
        <w:t>respectively, compared to $254.50 billion and $258.42 billion</w:t>
      </w:r>
      <w:r>
        <w:rPr>
          <w:rFonts w:ascii="Arial" w:eastAsia="宋体" w:hAnsi="Arial" w:cs="Arial"/>
          <w:color w:val="000000"/>
          <w:sz w:val="20"/>
          <w:szCs w:val="20"/>
        </w:rPr>
        <w:t xml:space="preserve"> in the same periods in 2021, respectively. The decreases in both periods are primarily due to lower client deposit balances.</w:t>
      </w:r>
    </w:p>
    <w:p w14:paraId="71D3F456" w14:textId="77777777" w:rsidR="006A3667" w:rsidRDefault="00045F32">
      <w:pPr>
        <w:spacing w:before="120"/>
        <w:ind w:firstLine="450"/>
        <w:jc w:val="both"/>
        <w:textAlignment w:val="top"/>
      </w:pPr>
      <w:r>
        <w:rPr>
          <w:rFonts w:ascii="Arial" w:eastAsia="宋体" w:hAnsi="Arial" w:cs="Arial"/>
          <w:color w:val="000000"/>
          <w:sz w:val="20"/>
          <w:szCs w:val="20"/>
        </w:rPr>
        <w:t xml:space="preserve">Interest-bearing deposits with banks averaged </w:t>
      </w:r>
      <w:r>
        <w:rPr>
          <w:rFonts w:ascii="Arial" w:eastAsia="宋体" w:hAnsi="Arial" w:cs="Arial"/>
          <w:color w:val="000000"/>
          <w:sz w:val="20"/>
          <w:szCs w:val="20"/>
          <w:shd w:val="clear" w:color="auto" w:fill="FFFFFF"/>
        </w:rPr>
        <w:t>$68.92 billion and $74.</w:t>
      </w:r>
      <w:r>
        <w:rPr>
          <w:rFonts w:ascii="Arial" w:eastAsia="宋体" w:hAnsi="Arial" w:cs="Arial"/>
          <w:color w:val="000000"/>
          <w:sz w:val="20"/>
          <w:szCs w:val="20"/>
          <w:shd w:val="clear" w:color="auto" w:fill="FFFFFF"/>
        </w:rPr>
        <w:t>03 billion</w:t>
      </w:r>
      <w:r>
        <w:rPr>
          <w:rFonts w:ascii="Arial" w:eastAsia="宋体" w:hAnsi="Arial" w:cs="Arial"/>
          <w:color w:val="000000"/>
          <w:sz w:val="20"/>
          <w:szCs w:val="20"/>
        </w:rPr>
        <w:t xml:space="preserve"> in the </w:t>
      </w:r>
      <w:r>
        <w:rPr>
          <w:rFonts w:ascii="Arial" w:eastAsia="宋体" w:hAnsi="Arial" w:cs="Arial"/>
          <w:color w:val="000000"/>
          <w:sz w:val="20"/>
          <w:szCs w:val="20"/>
          <w:shd w:val="clear" w:color="auto" w:fill="FFFFFF"/>
        </w:rPr>
        <w:t>three and nine months ended September 30, 2022</w:t>
      </w:r>
      <w:r>
        <w:rPr>
          <w:rFonts w:ascii="Arial" w:eastAsia="宋体" w:hAnsi="Arial" w:cs="Arial"/>
          <w:color w:val="000000"/>
          <w:sz w:val="20"/>
          <w:szCs w:val="20"/>
        </w:rPr>
        <w:t>, respectively, compared to $79.38 billion and $91.29 billion in the same periods in 2021, respectively. These deposits primarily reflect our maintenance of cash balances at the Federal Reserv</w:t>
      </w:r>
      <w:r>
        <w:rPr>
          <w:rFonts w:ascii="Arial" w:eastAsia="宋体" w:hAnsi="Arial" w:cs="Arial"/>
          <w:color w:val="000000"/>
          <w:sz w:val="20"/>
          <w:szCs w:val="20"/>
        </w:rPr>
        <w:t>e, the European Central Bank (ECB) and other non-U.S. central banks. The lower levels of average cash balances reflect lower client deposit balances.</w:t>
      </w:r>
    </w:p>
    <w:p w14:paraId="71D3F457" w14:textId="77777777" w:rsidR="006A3667" w:rsidRDefault="00045F32">
      <w:pPr>
        <w:spacing w:before="120"/>
        <w:ind w:firstLine="450"/>
        <w:jc w:val="both"/>
        <w:textAlignment w:val="top"/>
      </w:pPr>
      <w:r>
        <w:rPr>
          <w:rFonts w:ascii="Arial" w:eastAsia="宋体" w:hAnsi="Arial" w:cs="Arial"/>
          <w:color w:val="000000"/>
          <w:sz w:val="20"/>
          <w:szCs w:val="20"/>
        </w:rPr>
        <w:t xml:space="preserve">Securities repurchased under resale agreements averaged </w:t>
      </w:r>
      <w:r>
        <w:rPr>
          <w:rFonts w:ascii="Arial" w:eastAsia="宋体" w:hAnsi="Arial" w:cs="Arial"/>
          <w:color w:val="000000"/>
          <w:sz w:val="20"/>
          <w:szCs w:val="20"/>
          <w:shd w:val="clear" w:color="auto" w:fill="FFFFFF"/>
        </w:rPr>
        <w:t>$1.47 billion and $2.21 billion</w:t>
      </w:r>
      <w:r>
        <w:rPr>
          <w:rFonts w:ascii="Arial" w:eastAsia="宋体" w:hAnsi="Arial" w:cs="Arial"/>
          <w:color w:val="000000"/>
          <w:sz w:val="20"/>
          <w:szCs w:val="20"/>
        </w:rPr>
        <w:t xml:space="preserve"> in</w:t>
      </w:r>
      <w:r>
        <w:rPr>
          <w:rFonts w:ascii="Arial" w:eastAsia="宋体" w:hAnsi="Arial" w:cs="Arial"/>
          <w:color w:val="000000"/>
          <w:sz w:val="20"/>
          <w:szCs w:val="20"/>
          <w:shd w:val="clear" w:color="auto" w:fill="FFFFFF"/>
        </w:rPr>
        <w:t xml:space="preserve"> the three and n</w:t>
      </w:r>
      <w:r>
        <w:rPr>
          <w:rFonts w:ascii="Arial" w:eastAsia="宋体" w:hAnsi="Arial" w:cs="Arial"/>
          <w:color w:val="000000"/>
          <w:sz w:val="20"/>
          <w:szCs w:val="20"/>
          <w:shd w:val="clear" w:color="auto" w:fill="FFFFFF"/>
        </w:rPr>
        <w:t>ine months ended September 30, 2022, re</w:t>
      </w:r>
      <w:r>
        <w:rPr>
          <w:rFonts w:ascii="Arial" w:eastAsia="宋体" w:hAnsi="Arial" w:cs="Arial"/>
          <w:color w:val="000000"/>
          <w:sz w:val="20"/>
          <w:szCs w:val="20"/>
        </w:rPr>
        <w:t>spectively, compared to $4.06 billion and $4.19 billion in the same periods in 2021, respectively. As a member of the Fixed Income Clearing Corporation (FICC), we may net securities sold under repurchase agreements ag</w:t>
      </w:r>
      <w:r>
        <w:rPr>
          <w:rFonts w:ascii="Arial" w:eastAsia="宋体" w:hAnsi="Arial" w:cs="Arial"/>
          <w:color w:val="000000"/>
          <w:sz w:val="20"/>
          <w:szCs w:val="20"/>
        </w:rPr>
        <w:t xml:space="preserve">ainst those repurchased under resale agreements with counterparties that are also members of the clearing organization, when specific netting criteria are met. The impact of balance sheet netting increased to $72.74 billion and $66.35 billion in the three </w:t>
      </w:r>
      <w:r>
        <w:rPr>
          <w:rFonts w:ascii="Arial" w:eastAsia="宋体" w:hAnsi="Arial" w:cs="Arial"/>
          <w:color w:val="000000"/>
          <w:sz w:val="20"/>
          <w:szCs w:val="20"/>
        </w:rPr>
        <w:t>and nine months ended September 30, 2022, respectively, compared to $52.17 billion and $66.92 billion in the same periods in 2021, respectively, primarily driven by an increase in FICC repo volumes.</w:t>
      </w:r>
    </w:p>
    <w:p w14:paraId="71D3F458" w14:textId="77777777" w:rsidR="006A3667" w:rsidRDefault="00045F32">
      <w:pPr>
        <w:spacing w:before="60"/>
        <w:ind w:firstLine="450"/>
        <w:jc w:val="both"/>
        <w:textAlignment w:val="top"/>
      </w:pPr>
      <w:r>
        <w:rPr>
          <w:rFonts w:ascii="Arial" w:eastAsia="宋体" w:hAnsi="Arial" w:cs="Arial"/>
          <w:color w:val="000000"/>
          <w:sz w:val="20"/>
          <w:szCs w:val="20"/>
        </w:rPr>
        <w:t>We are a direct and sponsoring member of FICC. As a spons</w:t>
      </w:r>
      <w:r>
        <w:rPr>
          <w:rFonts w:ascii="Arial" w:eastAsia="宋体" w:hAnsi="Arial" w:cs="Arial"/>
          <w:color w:val="000000"/>
          <w:sz w:val="20"/>
          <w:szCs w:val="20"/>
        </w:rPr>
        <w:t>oring member within FICC, w</w:t>
      </w:r>
      <w:r>
        <w:rPr>
          <w:rFonts w:ascii="Arial" w:eastAsia="宋体" w:hAnsi="Arial" w:cs="Arial"/>
          <w:color w:val="000000"/>
          <w:sz w:val="20"/>
          <w:szCs w:val="20"/>
          <w:shd w:val="clear" w:color="auto" w:fill="FFFFFF"/>
        </w:rPr>
        <w:t>e enter into repurchase and resale transactions in eligible securities with sponsored clients and with other FICC members and, pursuant to FICC Government Securities Division rules, submit, novate and net the transactions. We may</w:t>
      </w:r>
      <w:r>
        <w:rPr>
          <w:rFonts w:ascii="Arial" w:eastAsia="宋体" w:hAnsi="Arial" w:cs="Arial"/>
          <w:color w:val="000000"/>
          <w:sz w:val="20"/>
          <w:szCs w:val="20"/>
          <w:shd w:val="clear" w:color="auto" w:fill="FFFFFF"/>
        </w:rPr>
        <w:t xml:space="preserve"> sponsor clients to clear their eligible repurchase transactions with FICC, backed by our guarantee to FICC of the prompt and full payment and performance of our sponsored member clients’ respective obligations. We generally obtain a security interest from</w:t>
      </w:r>
      <w:r>
        <w:rPr>
          <w:rFonts w:ascii="Arial" w:eastAsia="宋体" w:hAnsi="Arial" w:cs="Arial"/>
          <w:color w:val="000000"/>
          <w:sz w:val="20"/>
          <w:szCs w:val="20"/>
          <w:shd w:val="clear" w:color="auto" w:fill="FFFFFF"/>
        </w:rPr>
        <w:t xml:space="preserve"> our sponsored clients in the high quality securities collateral that they receive, which is designed to mitigate our potential exposure to FICC. </w:t>
      </w:r>
    </w:p>
    <w:p w14:paraId="71D3F459" w14:textId="77777777" w:rsidR="006A3667" w:rsidRDefault="00045F32">
      <w:pPr>
        <w:spacing w:before="60"/>
        <w:ind w:firstLine="450"/>
        <w:jc w:val="both"/>
        <w:textAlignment w:val="top"/>
      </w:pPr>
      <w:r>
        <w:rPr>
          <w:rFonts w:ascii="Arial" w:eastAsia="宋体" w:hAnsi="Arial" w:cs="Arial"/>
          <w:color w:val="000000"/>
          <w:sz w:val="20"/>
          <w:szCs w:val="20"/>
          <w:shd w:val="clear" w:color="auto" w:fill="FFFFFF"/>
        </w:rPr>
        <w:t>Additionally, as a member of FICC, we may be required to pay a pro rata share of the losses incurred by the o</w:t>
      </w:r>
      <w:r>
        <w:rPr>
          <w:rFonts w:ascii="Arial" w:eastAsia="宋体" w:hAnsi="Arial" w:cs="Arial"/>
          <w:color w:val="000000"/>
          <w:sz w:val="20"/>
          <w:szCs w:val="20"/>
          <w:shd w:val="clear" w:color="auto" w:fill="FFFFFF"/>
        </w:rPr>
        <w:t>rganization and provide liquidity support in the event of the default of another member to the extent that the defaulting member’s clearing fund obligation and the prescribed loss allocation to FICC is depleted. It is difficult to estimate State Street’s m</w:t>
      </w:r>
      <w:r>
        <w:rPr>
          <w:rFonts w:ascii="Arial" w:eastAsia="宋体" w:hAnsi="Arial" w:cs="Arial"/>
          <w:color w:val="000000"/>
          <w:sz w:val="20"/>
          <w:szCs w:val="20"/>
          <w:shd w:val="clear" w:color="auto" w:fill="FFFFFF"/>
        </w:rPr>
        <w:t>aximum possible exposure under its membership agreement, since this would require an assessment of future claims that may be made against us that have not yet occurred. At September 30, 2022 and December 31, 2021, we did not record any liabilities under th</w:t>
      </w:r>
      <w:r>
        <w:rPr>
          <w:rFonts w:ascii="Arial" w:eastAsia="宋体" w:hAnsi="Arial" w:cs="Arial"/>
          <w:color w:val="000000"/>
          <w:sz w:val="20"/>
          <w:szCs w:val="20"/>
          <w:shd w:val="clear" w:color="auto" w:fill="FFFFFF"/>
        </w:rPr>
        <w:t>ese arrangements</w:t>
      </w:r>
      <w:r>
        <w:rPr>
          <w:rFonts w:ascii="Arial" w:eastAsia="宋体" w:hAnsi="Arial" w:cs="Arial"/>
          <w:color w:val="000000"/>
          <w:sz w:val="20"/>
          <w:szCs w:val="20"/>
        </w:rPr>
        <w:t>.</w:t>
      </w:r>
    </w:p>
    <w:p w14:paraId="71D3F45A" w14:textId="77777777" w:rsidR="006A3667" w:rsidRDefault="00045F32">
      <w:pPr>
        <w:spacing w:before="120"/>
        <w:ind w:firstLine="450"/>
        <w:jc w:val="both"/>
        <w:textAlignment w:val="top"/>
      </w:pPr>
      <w:r>
        <w:rPr>
          <w:rFonts w:ascii="Arial" w:eastAsia="宋体" w:hAnsi="Arial" w:cs="Arial"/>
          <w:color w:val="000000"/>
          <w:sz w:val="20"/>
          <w:szCs w:val="20"/>
        </w:rPr>
        <w:t>Average investment securities were $108.88 billion and $113.99 billion in the three and nine months ended September 30, 2022, respectively, compared to $113.64 billion and $111.00 billion in the same periods in 2021, respectively. The dec</w:t>
      </w:r>
      <w:r>
        <w:rPr>
          <w:rFonts w:ascii="Arial" w:eastAsia="宋体" w:hAnsi="Arial" w:cs="Arial"/>
          <w:color w:val="000000"/>
          <w:sz w:val="20"/>
          <w:szCs w:val="20"/>
        </w:rPr>
        <w:t>rease in the three months relative to prior year was driven by a reduction in credit-sensitive assets, partially offset by an increase in U.S. Treasuries and agencies, MBS and CMBS balances. The increase in the nine months relative to prior year was driven</w:t>
      </w:r>
      <w:r>
        <w:rPr>
          <w:rFonts w:ascii="Arial" w:eastAsia="宋体" w:hAnsi="Arial" w:cs="Arial"/>
          <w:color w:val="000000"/>
          <w:sz w:val="20"/>
          <w:szCs w:val="20"/>
        </w:rPr>
        <w:t xml:space="preserve"> by growth in U.S. Treasuries, MBS and CMBS balances, partially offset by a reduction in credit-sensitive assets. </w:t>
      </w:r>
    </w:p>
    <w:p w14:paraId="71D3F45B" w14:textId="77777777" w:rsidR="006A3667" w:rsidRDefault="00045F32">
      <w:pPr>
        <w:spacing w:before="120"/>
        <w:ind w:firstLine="450"/>
        <w:jc w:val="both"/>
        <w:textAlignment w:val="top"/>
      </w:pPr>
      <w:r>
        <w:rPr>
          <w:rFonts w:ascii="Arial" w:eastAsia="宋体" w:hAnsi="Arial" w:cs="Arial"/>
          <w:color w:val="000000"/>
          <w:sz w:val="20"/>
          <w:szCs w:val="20"/>
          <w:shd w:val="clear" w:color="auto" w:fill="FFFFFF"/>
        </w:rPr>
        <w:t>Loans average</w:t>
      </w:r>
      <w:r>
        <w:rPr>
          <w:rFonts w:ascii="Arial" w:eastAsia="宋体" w:hAnsi="Arial" w:cs="Arial"/>
          <w:color w:val="000000"/>
          <w:sz w:val="20"/>
          <w:szCs w:val="20"/>
        </w:rPr>
        <w:t xml:space="preserve">d </w:t>
      </w:r>
      <w:r>
        <w:rPr>
          <w:rFonts w:ascii="Arial" w:eastAsia="宋体" w:hAnsi="Arial" w:cs="Arial"/>
          <w:color w:val="000000"/>
          <w:sz w:val="20"/>
          <w:szCs w:val="20"/>
          <w:shd w:val="clear" w:color="auto" w:fill="FFFFFF"/>
        </w:rPr>
        <w:t>$35.07 billion and $35.10 billion</w:t>
      </w:r>
      <w:r>
        <w:rPr>
          <w:rFonts w:ascii="Arial" w:eastAsia="宋体" w:hAnsi="Arial" w:cs="Arial"/>
          <w:color w:val="000000"/>
          <w:sz w:val="20"/>
          <w:szCs w:val="20"/>
        </w:rPr>
        <w:t xml:space="preserve"> </w:t>
      </w:r>
      <w:r>
        <w:rPr>
          <w:rFonts w:ascii="Arial" w:eastAsia="宋体" w:hAnsi="Arial" w:cs="Arial"/>
          <w:color w:val="000000"/>
          <w:sz w:val="20"/>
          <w:szCs w:val="20"/>
          <w:shd w:val="clear" w:color="auto" w:fill="FFFFFF"/>
        </w:rPr>
        <w:t>in the three and nine months ended September 30, 2022, r</w:t>
      </w:r>
      <w:r>
        <w:rPr>
          <w:rFonts w:ascii="Arial" w:eastAsia="宋体" w:hAnsi="Arial" w:cs="Arial"/>
          <w:color w:val="000000"/>
          <w:sz w:val="20"/>
          <w:szCs w:val="20"/>
        </w:rPr>
        <w:t>espectively, compared to $32.04 bill</w:t>
      </w:r>
      <w:r>
        <w:rPr>
          <w:rFonts w:ascii="Arial" w:eastAsia="宋体" w:hAnsi="Arial" w:cs="Arial"/>
          <w:color w:val="000000"/>
          <w:sz w:val="20"/>
          <w:szCs w:val="20"/>
        </w:rPr>
        <w:t>ion and $29.86 billion in the same periods in 2021, respectively. Average core loans, which exclude overdrafts and highlight our efforts to grow our lending portfolio over the prior year, averaged $29.31 billion and $29.14 billion in the three and nine mon</w:t>
      </w:r>
      <w:r>
        <w:rPr>
          <w:rFonts w:ascii="Arial" w:eastAsia="宋体" w:hAnsi="Arial" w:cs="Arial"/>
          <w:color w:val="000000"/>
          <w:sz w:val="20"/>
          <w:szCs w:val="20"/>
        </w:rPr>
        <w:t>ths ended September 30, 2022, respectively, compared to $28.41 billion and $25.92 billion in the same periods in 2021, respectively. The increases in both periods are primarily due to growth in CLOs in loan form and consumer real estate loans, partially of</w:t>
      </w:r>
      <w:r>
        <w:rPr>
          <w:rFonts w:ascii="Arial" w:eastAsia="宋体" w:hAnsi="Arial" w:cs="Arial"/>
          <w:color w:val="000000"/>
          <w:sz w:val="20"/>
          <w:szCs w:val="20"/>
        </w:rPr>
        <w:t>fset by a decline in leveraged loans. Additional information about these loans is provided in Note 4 to the consolidated financial statements in this Form 10-Q.</w:t>
      </w:r>
    </w:p>
    <w:p w14:paraId="71D3F45C" w14:textId="77777777" w:rsidR="006A3667" w:rsidRDefault="00045F32">
      <w:pPr>
        <w:spacing w:before="60"/>
        <w:ind w:firstLine="450"/>
        <w:jc w:val="both"/>
        <w:textAlignment w:val="top"/>
      </w:pPr>
      <w:r>
        <w:rPr>
          <w:rFonts w:ascii="Arial" w:eastAsia="宋体" w:hAnsi="Arial" w:cs="Arial"/>
          <w:color w:val="000000"/>
          <w:sz w:val="20"/>
          <w:szCs w:val="20"/>
        </w:rPr>
        <w:t>Average other interest-earning assets, largely associated with our enhanced custody business, a</w:t>
      </w:r>
      <w:r>
        <w:rPr>
          <w:rFonts w:ascii="Arial" w:eastAsia="宋体" w:hAnsi="Arial" w:cs="Arial"/>
          <w:color w:val="000000"/>
          <w:sz w:val="20"/>
          <w:szCs w:val="20"/>
        </w:rPr>
        <w:t xml:space="preserve">veraged </w:t>
      </w:r>
      <w:r>
        <w:rPr>
          <w:rFonts w:ascii="Arial" w:eastAsia="宋体" w:hAnsi="Arial" w:cs="Arial"/>
          <w:color w:val="000000"/>
          <w:sz w:val="20"/>
          <w:szCs w:val="20"/>
          <w:shd w:val="clear" w:color="auto" w:fill="FFFFFF"/>
        </w:rPr>
        <w:t>$20.88 billion and $22.27 billion</w:t>
      </w:r>
      <w:r>
        <w:rPr>
          <w:rFonts w:ascii="Arial" w:eastAsia="宋体" w:hAnsi="Arial" w:cs="Arial"/>
          <w:color w:val="000000"/>
          <w:sz w:val="20"/>
          <w:szCs w:val="20"/>
        </w:rPr>
        <w:t xml:space="preserve"> in the three and nine months ended September 30, 2022</w:t>
      </w:r>
      <w:r>
        <w:rPr>
          <w:rFonts w:ascii="Arial" w:eastAsia="宋体" w:hAnsi="Arial" w:cs="Arial"/>
          <w:color w:val="000000"/>
          <w:sz w:val="20"/>
          <w:szCs w:val="20"/>
          <w:shd w:val="clear" w:color="auto" w:fill="FFFFFF"/>
        </w:rPr>
        <w:t xml:space="preserve">, respectively, compared to </w:t>
      </w:r>
      <w:r>
        <w:rPr>
          <w:rFonts w:ascii="Arial" w:eastAsia="宋体" w:hAnsi="Arial" w:cs="Arial"/>
          <w:color w:val="000000"/>
          <w:sz w:val="20"/>
          <w:szCs w:val="20"/>
        </w:rPr>
        <w:t>$24.66 billion and $21.32 billion in the same periods in 2021, respectively. The change in both periods is primarily driven by the le</w:t>
      </w:r>
      <w:r>
        <w:rPr>
          <w:rFonts w:ascii="Arial" w:eastAsia="宋体" w:hAnsi="Arial" w:cs="Arial"/>
          <w:color w:val="000000"/>
          <w:sz w:val="20"/>
          <w:szCs w:val="20"/>
        </w:rPr>
        <w:t>vels of cash collateral posted. Enhanced custody is our securities financing business where we act as principal with respect to our custody clients and generate securities finance revenue. The NII earned on these transactions is generally lower than the in</w:t>
      </w:r>
      <w:r>
        <w:rPr>
          <w:rFonts w:ascii="Arial" w:eastAsia="宋体" w:hAnsi="Arial" w:cs="Arial"/>
          <w:color w:val="000000"/>
          <w:sz w:val="20"/>
          <w:szCs w:val="20"/>
        </w:rPr>
        <w:t>terest earned on other alternative investments.</w:t>
      </w:r>
    </w:p>
    <w:p w14:paraId="71D3F45D" w14:textId="77777777" w:rsidR="006A3667" w:rsidRDefault="00045F32">
      <w:pPr>
        <w:ind w:firstLine="450"/>
        <w:jc w:val="right"/>
      </w:pPr>
      <w:r>
        <w:rPr>
          <w:rFonts w:ascii="Arial" w:eastAsia="宋体" w:hAnsi="Arial" w:cs="Arial"/>
          <w:color w:val="000000"/>
          <w:sz w:val="18"/>
          <w:szCs w:val="18"/>
        </w:rPr>
        <w:t>State Street Corporation | 22</w:t>
      </w:r>
    </w:p>
    <w:p w14:paraId="71D3F45E" w14:textId="77777777" w:rsidR="006A3667" w:rsidRDefault="006A3667">
      <w:pPr>
        <w:ind w:firstLine="450"/>
        <w:jc w:val="center"/>
      </w:pPr>
    </w:p>
    <w:p w14:paraId="71D3F45F" w14:textId="77777777" w:rsidR="006A3667" w:rsidRDefault="00045F32">
      <w:r>
        <w:pict w14:anchorId="71D4AC2A">
          <v:rect id="_x0000_i1046" style="width:415.3pt;height:1.5pt" o:hralign="center" o:hrstd="t" o:hr="t" fillcolor="#a0a0a0" stroked="f"/>
        </w:pict>
      </w:r>
    </w:p>
    <w:p w14:paraId="71D3F460"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F461" w14:textId="77777777" w:rsidR="006A3667" w:rsidRDefault="00045F32">
      <w:pPr>
        <w:ind w:firstLine="450"/>
        <w:jc w:val="center"/>
      </w:pPr>
      <w:r>
        <w:rPr>
          <w:rFonts w:ascii="Arial" w:eastAsia="宋体" w:hAnsi="Arial" w:cs="Arial"/>
          <w:b/>
          <w:bCs/>
          <w:color w:val="000000"/>
          <w:sz w:val="20"/>
          <w:szCs w:val="20"/>
        </w:rPr>
        <w:t>AND RESULTS OF OPERATIONS</w:t>
      </w:r>
    </w:p>
    <w:p w14:paraId="71D3F462" w14:textId="77777777" w:rsidR="006A3667" w:rsidRDefault="00045F32">
      <w:pPr>
        <w:spacing w:before="60"/>
        <w:ind w:firstLine="450"/>
        <w:jc w:val="both"/>
        <w:textAlignment w:val="top"/>
      </w:pPr>
      <w:r>
        <w:rPr>
          <w:rFonts w:ascii="Arial" w:eastAsia="宋体" w:hAnsi="Arial" w:cs="Arial"/>
          <w:color w:val="000000"/>
          <w:sz w:val="20"/>
          <w:szCs w:val="20"/>
        </w:rPr>
        <w:t>Aggregate average total interest-bearing deposits decreased to $166.84 billion and $175.8</w:t>
      </w:r>
      <w:r>
        <w:rPr>
          <w:rFonts w:ascii="Arial" w:eastAsia="宋体" w:hAnsi="Arial" w:cs="Arial"/>
          <w:color w:val="000000"/>
          <w:sz w:val="20"/>
          <w:szCs w:val="20"/>
        </w:rPr>
        <w:t>7 billion in the three and nine months ended September 30, 2022, respectively, from $186.81 billion and $186.60 billion in the same periods in 2021, respectively. While average deposits decreased in both periods, they remain significantly higher than pre-p</w:t>
      </w:r>
      <w:r>
        <w:rPr>
          <w:rFonts w:ascii="Arial" w:eastAsia="宋体" w:hAnsi="Arial" w:cs="Arial"/>
          <w:color w:val="000000"/>
          <w:sz w:val="20"/>
          <w:szCs w:val="20"/>
        </w:rPr>
        <w:t>andemic levels. The decrease is driven by higher market rates and the impact of quantitative tightening, currency translation and equity market declines. Future deposit levels will be influenced by the underlying asset servicing business, client deposit be</w:t>
      </w:r>
      <w:r>
        <w:rPr>
          <w:rFonts w:ascii="Arial" w:eastAsia="宋体" w:hAnsi="Arial" w:cs="Arial"/>
          <w:color w:val="000000"/>
          <w:sz w:val="20"/>
          <w:szCs w:val="20"/>
        </w:rPr>
        <w:t>havior and market conditions, including the size of the Federal Reserve balance sheet and the general levels of U.S. and non-U.S. interest rates.</w:t>
      </w:r>
    </w:p>
    <w:p w14:paraId="71D3F463" w14:textId="77777777" w:rsidR="006A3667" w:rsidRDefault="00045F32">
      <w:pPr>
        <w:spacing w:before="60"/>
        <w:ind w:firstLine="450"/>
        <w:jc w:val="both"/>
        <w:textAlignment w:val="top"/>
      </w:pPr>
      <w:r>
        <w:rPr>
          <w:rFonts w:ascii="Arial" w:eastAsia="宋体" w:hAnsi="Arial" w:cs="Arial"/>
          <w:color w:val="000000"/>
          <w:sz w:val="20"/>
          <w:szCs w:val="20"/>
        </w:rPr>
        <w:t xml:space="preserve">Average other short-term borrowings </w:t>
      </w:r>
      <w:r>
        <w:rPr>
          <w:rFonts w:ascii="Arial" w:eastAsia="宋体" w:hAnsi="Arial" w:cs="Arial"/>
          <w:color w:val="000000"/>
          <w:sz w:val="20"/>
          <w:szCs w:val="20"/>
          <w:shd w:val="clear" w:color="auto" w:fill="FFFFFF"/>
        </w:rPr>
        <w:t>decreased</w:t>
      </w:r>
      <w:r>
        <w:rPr>
          <w:rFonts w:ascii="Arial" w:eastAsia="宋体" w:hAnsi="Arial" w:cs="Arial"/>
          <w:color w:val="000000"/>
          <w:sz w:val="20"/>
          <w:szCs w:val="20"/>
        </w:rPr>
        <w:t xml:space="preserve"> to </w:t>
      </w:r>
      <w:r>
        <w:rPr>
          <w:rFonts w:ascii="Arial" w:eastAsia="宋体" w:hAnsi="Arial" w:cs="Arial"/>
          <w:color w:val="000000"/>
          <w:sz w:val="20"/>
          <w:szCs w:val="20"/>
          <w:shd w:val="clear" w:color="auto" w:fill="FFFFFF"/>
        </w:rPr>
        <w:t xml:space="preserve">$0.43 billion and $0.66 billion </w:t>
      </w:r>
      <w:r>
        <w:rPr>
          <w:rFonts w:ascii="Arial" w:eastAsia="宋体" w:hAnsi="Arial" w:cs="Arial"/>
          <w:color w:val="000000"/>
          <w:sz w:val="20"/>
          <w:szCs w:val="20"/>
        </w:rPr>
        <w:t>in the</w:t>
      </w:r>
      <w:r>
        <w:rPr>
          <w:rFonts w:ascii="Arial" w:eastAsia="宋体" w:hAnsi="Arial" w:cs="Arial"/>
          <w:color w:val="000000"/>
          <w:sz w:val="20"/>
          <w:szCs w:val="20"/>
          <w:shd w:val="clear" w:color="auto" w:fill="FFFFFF"/>
        </w:rPr>
        <w:t xml:space="preserve"> three and nine months ended September 30, 2022, respectively, from $0.84 billion and $0.83 billion in the same periods in 2021, respectively. </w:t>
      </w:r>
    </w:p>
    <w:p w14:paraId="71D3F464" w14:textId="77777777" w:rsidR="006A3667" w:rsidRDefault="00045F32">
      <w:pPr>
        <w:spacing w:before="60"/>
        <w:ind w:firstLine="450"/>
        <w:jc w:val="both"/>
        <w:textAlignment w:val="top"/>
      </w:pPr>
      <w:r>
        <w:rPr>
          <w:rFonts w:ascii="Arial" w:eastAsia="宋体" w:hAnsi="Arial" w:cs="Arial"/>
          <w:color w:val="000000"/>
          <w:sz w:val="20"/>
          <w:szCs w:val="20"/>
        </w:rPr>
        <w:t xml:space="preserve">Average long-term debt was </w:t>
      </w:r>
      <w:r>
        <w:rPr>
          <w:rFonts w:ascii="Arial" w:eastAsia="宋体" w:hAnsi="Arial" w:cs="Arial"/>
          <w:color w:val="000000"/>
          <w:sz w:val="20"/>
          <w:szCs w:val="20"/>
          <w:shd w:val="clear" w:color="auto" w:fill="FFFFFF"/>
        </w:rPr>
        <w:t>$13.96 billion</w:t>
      </w:r>
      <w:r>
        <w:rPr>
          <w:rFonts w:ascii="Arial" w:eastAsia="宋体" w:hAnsi="Arial" w:cs="Arial"/>
          <w:color w:val="000000"/>
          <w:sz w:val="20"/>
          <w:szCs w:val="20"/>
        </w:rPr>
        <w:t xml:space="preserve"> and </w:t>
      </w:r>
      <w:r>
        <w:rPr>
          <w:rFonts w:ascii="Arial" w:eastAsia="宋体" w:hAnsi="Arial" w:cs="Arial"/>
          <w:color w:val="000000"/>
          <w:sz w:val="20"/>
          <w:szCs w:val="20"/>
          <w:shd w:val="clear" w:color="auto" w:fill="FFFFFF"/>
        </w:rPr>
        <w:t>$13.97 billion</w:t>
      </w:r>
      <w:r>
        <w:rPr>
          <w:rFonts w:ascii="Arial" w:eastAsia="宋体" w:hAnsi="Arial" w:cs="Arial"/>
          <w:color w:val="000000"/>
          <w:sz w:val="20"/>
          <w:szCs w:val="20"/>
        </w:rPr>
        <w:t xml:space="preserve"> in the three </w:t>
      </w:r>
      <w:r>
        <w:rPr>
          <w:rFonts w:ascii="Arial" w:eastAsia="宋体" w:hAnsi="Arial" w:cs="Arial"/>
          <w:color w:val="000000"/>
          <w:sz w:val="20"/>
          <w:szCs w:val="20"/>
        </w:rPr>
        <w:t xml:space="preserve">and nine months ended September 30, 2022, respectively, compared to $13.02 billion and $13.43 billion in the same periods in 2021, respectively. These amounts reflect issuances, redemptions and maturities of senior debt during the respective periods. </w:t>
      </w:r>
    </w:p>
    <w:p w14:paraId="71D3F465" w14:textId="77777777" w:rsidR="006A3667" w:rsidRDefault="00045F32">
      <w:pPr>
        <w:spacing w:before="60"/>
        <w:ind w:firstLine="450"/>
        <w:jc w:val="both"/>
        <w:textAlignment w:val="top"/>
      </w:pPr>
      <w:r>
        <w:rPr>
          <w:rFonts w:ascii="Arial" w:eastAsia="宋体" w:hAnsi="Arial" w:cs="Arial"/>
          <w:color w:val="000000"/>
          <w:sz w:val="20"/>
          <w:szCs w:val="20"/>
        </w:rPr>
        <w:t xml:space="preserve">Average other interest-bearing liabilities were </w:t>
      </w:r>
      <w:r>
        <w:rPr>
          <w:rFonts w:ascii="Arial" w:eastAsia="宋体" w:hAnsi="Arial" w:cs="Arial"/>
          <w:color w:val="000000"/>
          <w:sz w:val="20"/>
          <w:szCs w:val="20"/>
          <w:shd w:val="clear" w:color="auto" w:fill="FFFFFF"/>
        </w:rPr>
        <w:t>$2.54 billion</w:t>
      </w:r>
      <w:r>
        <w:rPr>
          <w:rFonts w:ascii="Arial" w:eastAsia="宋体" w:hAnsi="Arial" w:cs="Arial"/>
          <w:color w:val="000000"/>
          <w:sz w:val="20"/>
          <w:szCs w:val="20"/>
        </w:rPr>
        <w:t xml:space="preserve"> and </w:t>
      </w:r>
      <w:r>
        <w:rPr>
          <w:rFonts w:ascii="Arial" w:eastAsia="宋体" w:hAnsi="Arial" w:cs="Arial"/>
          <w:color w:val="000000"/>
          <w:sz w:val="20"/>
          <w:szCs w:val="20"/>
          <w:shd w:val="clear" w:color="auto" w:fill="FFFFFF"/>
        </w:rPr>
        <w:t>$2.64 billion in the three and nine months ended September 30, 2022, respectively, compared to $5.46 billion a</w:t>
      </w:r>
      <w:r>
        <w:rPr>
          <w:rFonts w:ascii="Arial" w:eastAsia="宋体" w:hAnsi="Arial" w:cs="Arial"/>
          <w:color w:val="000000"/>
          <w:sz w:val="20"/>
          <w:szCs w:val="20"/>
        </w:rPr>
        <w:t>nd $5.33 billion in the same periods in 2021, respectively. Other interest-beari</w:t>
      </w:r>
      <w:r>
        <w:rPr>
          <w:rFonts w:ascii="Arial" w:eastAsia="宋体" w:hAnsi="Arial" w:cs="Arial"/>
          <w:color w:val="000000"/>
          <w:sz w:val="20"/>
          <w:szCs w:val="20"/>
        </w:rPr>
        <w:t>ng liabilities primarily reflect our level of cash collateral received from clients in connection with our enhanced custody business, which is presented on a net basis where we have enforceable netting agreements.</w:t>
      </w:r>
    </w:p>
    <w:p w14:paraId="71D3F466" w14:textId="77777777" w:rsidR="006A3667" w:rsidRDefault="00045F32">
      <w:pPr>
        <w:spacing w:before="60"/>
        <w:ind w:firstLine="450"/>
        <w:jc w:val="both"/>
        <w:textAlignment w:val="top"/>
      </w:pPr>
      <w:r>
        <w:rPr>
          <w:rFonts w:ascii="Arial" w:eastAsia="宋体" w:hAnsi="Arial" w:cs="Arial"/>
          <w:color w:val="000000"/>
          <w:sz w:val="20"/>
          <w:szCs w:val="20"/>
        </w:rPr>
        <w:t>Several factors could affect future levels</w:t>
      </w:r>
      <w:r>
        <w:rPr>
          <w:rFonts w:ascii="Arial" w:eastAsia="宋体" w:hAnsi="Arial" w:cs="Arial"/>
          <w:color w:val="000000"/>
          <w:sz w:val="20"/>
          <w:szCs w:val="20"/>
        </w:rPr>
        <w:t xml:space="preserve"> of NII and NIM, including the volume and mix of client deposits and funding sources; central bank actions; balance sheet management activities; changes in the level and slope of U.S. and non-U.S. interest rates; revised or proposed regulatory capital or l</w:t>
      </w:r>
      <w:r>
        <w:rPr>
          <w:rFonts w:ascii="Arial" w:eastAsia="宋体" w:hAnsi="Arial" w:cs="Arial"/>
          <w:color w:val="000000"/>
          <w:sz w:val="20"/>
          <w:szCs w:val="20"/>
        </w:rPr>
        <w:t>iquidity standards, or interpretations of those standards; the yields earned on securities purchased compared to the yields earned on securities sold or matured; and changes in the type and amount of credit or other loans we extend.</w:t>
      </w:r>
    </w:p>
    <w:p w14:paraId="71D3F467" w14:textId="77777777" w:rsidR="006A3667" w:rsidRDefault="00045F32">
      <w:pPr>
        <w:spacing w:before="60"/>
        <w:ind w:firstLine="450"/>
        <w:jc w:val="both"/>
        <w:textAlignment w:val="top"/>
      </w:pPr>
      <w:r>
        <w:rPr>
          <w:rFonts w:ascii="Arial" w:eastAsia="宋体" w:hAnsi="Arial" w:cs="Arial"/>
          <w:color w:val="000000"/>
          <w:sz w:val="20"/>
          <w:szCs w:val="20"/>
        </w:rPr>
        <w:t>Based on market conditi</w:t>
      </w:r>
      <w:r>
        <w:rPr>
          <w:rFonts w:ascii="Arial" w:eastAsia="宋体" w:hAnsi="Arial" w:cs="Arial"/>
          <w:color w:val="000000"/>
          <w:sz w:val="20"/>
          <w:szCs w:val="20"/>
        </w:rPr>
        <w:t>ons and other factors, including regulatory standards, we continue to reinvest the majority of the proceeds from pay-downs and maturities of investment securities in highly-rated U.S. and non-U.S. securities, such as federal agency MBS, sovereign debt secu</w:t>
      </w:r>
      <w:r>
        <w:rPr>
          <w:rFonts w:ascii="Arial" w:eastAsia="宋体" w:hAnsi="Arial" w:cs="Arial"/>
          <w:color w:val="000000"/>
          <w:sz w:val="20"/>
          <w:szCs w:val="20"/>
        </w:rPr>
        <w:t xml:space="preserve">rities and U.S. Treasury and agency securities. The pace at which we reinvest </w:t>
      </w:r>
    </w:p>
    <w:p w14:paraId="71D3F468" w14:textId="77777777" w:rsidR="006A3667" w:rsidRDefault="00045F32">
      <w:pPr>
        <w:spacing w:before="60"/>
        <w:jc w:val="both"/>
        <w:textAlignment w:val="top"/>
      </w:pPr>
      <w:r>
        <w:rPr>
          <w:rFonts w:ascii="Arial" w:eastAsia="宋体" w:hAnsi="Arial" w:cs="Arial"/>
          <w:color w:val="000000"/>
          <w:sz w:val="20"/>
          <w:szCs w:val="20"/>
        </w:rPr>
        <w:t>and the types of investment securities purchased will depend on the impact of market conditions, the implementation of regulatory standards, including interpretation of those st</w:t>
      </w:r>
      <w:r>
        <w:rPr>
          <w:rFonts w:ascii="Arial" w:eastAsia="宋体" w:hAnsi="Arial" w:cs="Arial"/>
          <w:color w:val="000000"/>
          <w:sz w:val="20"/>
          <w:szCs w:val="20"/>
        </w:rPr>
        <w:t>andards and other factors over time. We expect these factors and the levels of global interest rates to impact our reinvestment program and future levels of NII and NIM.</w:t>
      </w:r>
    </w:p>
    <w:p w14:paraId="71D3F469" w14:textId="77777777" w:rsidR="006A3667" w:rsidRDefault="00045F32">
      <w:pPr>
        <w:spacing w:before="90"/>
        <w:textAlignment w:val="top"/>
      </w:pPr>
      <w:r>
        <w:rPr>
          <w:rFonts w:ascii="Arial" w:eastAsia="宋体" w:hAnsi="Arial" w:cs="Arial"/>
          <w:b/>
          <w:bCs/>
          <w:color w:val="000000"/>
          <w:sz w:val="20"/>
          <w:szCs w:val="20"/>
        </w:rPr>
        <w:t>Provision for Credit Losses</w:t>
      </w:r>
    </w:p>
    <w:p w14:paraId="71D3F46A" w14:textId="77777777" w:rsidR="006A3667" w:rsidRDefault="00045F32">
      <w:pPr>
        <w:ind w:firstLine="450"/>
        <w:jc w:val="both"/>
        <w:textAlignment w:val="top"/>
      </w:pPr>
      <w:r>
        <w:rPr>
          <w:rFonts w:ascii="Arial" w:eastAsia="宋体" w:hAnsi="Arial" w:cs="Arial"/>
          <w:color w:val="000000"/>
          <w:sz w:val="20"/>
          <w:szCs w:val="20"/>
        </w:rPr>
        <w:t>We recorded no provision for credit losses in the third qu</w:t>
      </w:r>
      <w:r>
        <w:rPr>
          <w:rFonts w:ascii="Arial" w:eastAsia="宋体" w:hAnsi="Arial" w:cs="Arial"/>
          <w:color w:val="000000"/>
          <w:sz w:val="20"/>
          <w:szCs w:val="20"/>
        </w:rPr>
        <w:t xml:space="preserve">arter of 2022, as a downward shift in management's economic outlook was offset by a reduction in loan portfolio risk. This compares to a $2 million reserve release in the third quarter of 2021. </w:t>
      </w:r>
    </w:p>
    <w:p w14:paraId="71D3F46B" w14:textId="77777777" w:rsidR="006A3667" w:rsidRDefault="00045F32">
      <w:pPr>
        <w:spacing w:before="60"/>
        <w:ind w:firstLine="450"/>
        <w:jc w:val="both"/>
        <w:textAlignment w:val="top"/>
      </w:pPr>
      <w:r>
        <w:rPr>
          <w:rFonts w:ascii="Arial" w:eastAsia="宋体" w:hAnsi="Arial" w:cs="Arial"/>
          <w:color w:val="000000"/>
          <w:sz w:val="20"/>
          <w:szCs w:val="20"/>
        </w:rPr>
        <w:t>Additional information is provided under “Loans” in "Financia</w:t>
      </w:r>
      <w:r>
        <w:rPr>
          <w:rFonts w:ascii="Arial" w:eastAsia="宋体" w:hAnsi="Arial" w:cs="Arial"/>
          <w:color w:val="000000"/>
          <w:sz w:val="20"/>
          <w:szCs w:val="20"/>
        </w:rPr>
        <w:t>l Condition" in this Management's Discussion and Analysis and in Note 4 to the consolidated financial statements in this Form 10-Q.</w:t>
      </w:r>
    </w:p>
    <w:p w14:paraId="71D3F46C" w14:textId="77777777" w:rsidR="006A3667" w:rsidRDefault="00045F32">
      <w:pPr>
        <w:spacing w:before="90"/>
        <w:textAlignment w:val="top"/>
      </w:pPr>
      <w:r>
        <w:rPr>
          <w:rFonts w:ascii="Arial" w:eastAsia="宋体" w:hAnsi="Arial" w:cs="Arial"/>
          <w:b/>
          <w:bCs/>
          <w:color w:val="000000"/>
          <w:sz w:val="20"/>
          <w:szCs w:val="20"/>
        </w:rPr>
        <w:t>Expenses</w:t>
      </w:r>
    </w:p>
    <w:p w14:paraId="71D3F46D" w14:textId="77777777" w:rsidR="006A3667" w:rsidRDefault="00045F32">
      <w:pPr>
        <w:spacing w:before="60"/>
        <w:ind w:firstLine="450"/>
        <w:jc w:val="both"/>
        <w:textAlignment w:val="top"/>
      </w:pPr>
      <w:r>
        <w:rPr>
          <w:rFonts w:ascii="Arial" w:eastAsia="宋体" w:hAnsi="Arial" w:cs="Arial"/>
          <w:color w:val="000000"/>
          <w:sz w:val="20"/>
          <w:szCs w:val="20"/>
        </w:rPr>
        <w:t>Table 15: Expenses, provides the breakout of expenses for the three and nine months ended September 30, 2022 compar</w:t>
      </w:r>
      <w:r>
        <w:rPr>
          <w:rFonts w:ascii="Arial" w:eastAsia="宋体" w:hAnsi="Arial" w:cs="Arial"/>
          <w:color w:val="000000"/>
          <w:sz w:val="20"/>
          <w:szCs w:val="20"/>
        </w:rPr>
        <w:t>ed to the same periods in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4215"/>
        <w:gridCol w:w="38"/>
        <w:gridCol w:w="98"/>
        <w:gridCol w:w="978"/>
        <w:gridCol w:w="36"/>
        <w:gridCol w:w="36"/>
        <w:gridCol w:w="37"/>
        <w:gridCol w:w="36"/>
        <w:gridCol w:w="98"/>
        <w:gridCol w:w="1156"/>
        <w:gridCol w:w="36"/>
        <w:gridCol w:w="36"/>
        <w:gridCol w:w="36"/>
        <w:gridCol w:w="36"/>
        <w:gridCol w:w="38"/>
        <w:gridCol w:w="36"/>
        <w:gridCol w:w="41"/>
        <w:gridCol w:w="949"/>
        <w:gridCol w:w="145"/>
        <w:gridCol w:w="36"/>
        <w:gridCol w:w="36"/>
        <w:gridCol w:w="36"/>
        <w:gridCol w:w="36"/>
        <w:gridCol w:w="36"/>
        <w:gridCol w:w="36"/>
      </w:tblGrid>
      <w:tr w:rsidR="006A3667" w14:paraId="71D3F484" w14:textId="77777777">
        <w:tc>
          <w:tcPr>
            <w:tcW w:w="50" w:type="pct"/>
            <w:shd w:val="clear" w:color="auto" w:fill="auto"/>
            <w:vAlign w:val="bottom"/>
          </w:tcPr>
          <w:p w14:paraId="71D3F46E" w14:textId="77777777" w:rsidR="006A3667" w:rsidRDefault="006A3667">
            <w:pPr>
              <w:rPr>
                <w:rFonts w:ascii="宋体"/>
              </w:rPr>
            </w:pPr>
          </w:p>
        </w:tc>
        <w:tc>
          <w:tcPr>
            <w:tcW w:w="2649" w:type="pct"/>
            <w:shd w:val="clear" w:color="auto" w:fill="auto"/>
            <w:vAlign w:val="bottom"/>
          </w:tcPr>
          <w:p w14:paraId="71D3F46F" w14:textId="77777777" w:rsidR="006A3667" w:rsidRDefault="006A3667">
            <w:pPr>
              <w:rPr>
                <w:rFonts w:ascii="宋体"/>
              </w:rPr>
            </w:pPr>
          </w:p>
        </w:tc>
        <w:tc>
          <w:tcPr>
            <w:tcW w:w="5" w:type="pct"/>
            <w:shd w:val="clear" w:color="auto" w:fill="auto"/>
            <w:vAlign w:val="bottom"/>
          </w:tcPr>
          <w:p w14:paraId="71D3F470" w14:textId="77777777" w:rsidR="006A3667" w:rsidRDefault="006A3667">
            <w:pPr>
              <w:rPr>
                <w:rFonts w:ascii="宋体"/>
              </w:rPr>
            </w:pPr>
          </w:p>
        </w:tc>
        <w:tc>
          <w:tcPr>
            <w:tcW w:w="50" w:type="pct"/>
            <w:shd w:val="clear" w:color="auto" w:fill="auto"/>
            <w:vAlign w:val="bottom"/>
          </w:tcPr>
          <w:p w14:paraId="71D3F471" w14:textId="77777777" w:rsidR="006A3667" w:rsidRDefault="006A3667">
            <w:pPr>
              <w:rPr>
                <w:rFonts w:ascii="宋体"/>
              </w:rPr>
            </w:pPr>
          </w:p>
        </w:tc>
        <w:tc>
          <w:tcPr>
            <w:tcW w:w="636" w:type="pct"/>
            <w:shd w:val="clear" w:color="auto" w:fill="auto"/>
            <w:vAlign w:val="bottom"/>
          </w:tcPr>
          <w:p w14:paraId="71D3F472" w14:textId="77777777" w:rsidR="006A3667" w:rsidRDefault="006A3667">
            <w:pPr>
              <w:rPr>
                <w:rFonts w:ascii="宋体"/>
              </w:rPr>
            </w:pPr>
          </w:p>
        </w:tc>
        <w:tc>
          <w:tcPr>
            <w:tcW w:w="5" w:type="pct"/>
            <w:shd w:val="clear" w:color="auto" w:fill="auto"/>
            <w:vAlign w:val="bottom"/>
          </w:tcPr>
          <w:p w14:paraId="71D3F473" w14:textId="77777777" w:rsidR="006A3667" w:rsidRDefault="006A3667">
            <w:pPr>
              <w:rPr>
                <w:rFonts w:ascii="宋体"/>
              </w:rPr>
            </w:pPr>
          </w:p>
        </w:tc>
        <w:tc>
          <w:tcPr>
            <w:tcW w:w="5" w:type="pct"/>
            <w:shd w:val="clear" w:color="auto" w:fill="auto"/>
            <w:vAlign w:val="bottom"/>
          </w:tcPr>
          <w:p w14:paraId="71D3F474" w14:textId="77777777" w:rsidR="006A3667" w:rsidRDefault="006A3667">
            <w:pPr>
              <w:rPr>
                <w:rFonts w:ascii="宋体"/>
              </w:rPr>
            </w:pPr>
          </w:p>
        </w:tc>
        <w:tc>
          <w:tcPr>
            <w:tcW w:w="52" w:type="pct"/>
            <w:shd w:val="clear" w:color="auto" w:fill="auto"/>
            <w:vAlign w:val="bottom"/>
          </w:tcPr>
          <w:p w14:paraId="71D3F475" w14:textId="77777777" w:rsidR="006A3667" w:rsidRDefault="006A3667">
            <w:pPr>
              <w:rPr>
                <w:rFonts w:ascii="宋体"/>
              </w:rPr>
            </w:pPr>
          </w:p>
        </w:tc>
        <w:tc>
          <w:tcPr>
            <w:tcW w:w="5" w:type="pct"/>
            <w:shd w:val="clear" w:color="auto" w:fill="auto"/>
            <w:vAlign w:val="bottom"/>
          </w:tcPr>
          <w:p w14:paraId="71D3F476" w14:textId="77777777" w:rsidR="006A3667" w:rsidRDefault="006A3667">
            <w:pPr>
              <w:rPr>
                <w:rFonts w:ascii="宋体"/>
              </w:rPr>
            </w:pPr>
          </w:p>
        </w:tc>
        <w:tc>
          <w:tcPr>
            <w:tcW w:w="50" w:type="pct"/>
            <w:shd w:val="clear" w:color="auto" w:fill="auto"/>
            <w:vAlign w:val="bottom"/>
          </w:tcPr>
          <w:p w14:paraId="71D3F477" w14:textId="77777777" w:rsidR="006A3667" w:rsidRDefault="006A3667">
            <w:pPr>
              <w:rPr>
                <w:rFonts w:ascii="宋体"/>
              </w:rPr>
            </w:pPr>
          </w:p>
        </w:tc>
        <w:tc>
          <w:tcPr>
            <w:tcW w:w="746" w:type="pct"/>
            <w:shd w:val="clear" w:color="auto" w:fill="auto"/>
            <w:vAlign w:val="bottom"/>
          </w:tcPr>
          <w:p w14:paraId="71D3F478" w14:textId="77777777" w:rsidR="006A3667" w:rsidRDefault="006A3667">
            <w:pPr>
              <w:rPr>
                <w:rFonts w:ascii="宋体"/>
              </w:rPr>
            </w:pPr>
          </w:p>
        </w:tc>
        <w:tc>
          <w:tcPr>
            <w:tcW w:w="5" w:type="pct"/>
            <w:shd w:val="clear" w:color="auto" w:fill="auto"/>
            <w:vAlign w:val="bottom"/>
          </w:tcPr>
          <w:p w14:paraId="71D3F479" w14:textId="77777777" w:rsidR="006A3667" w:rsidRDefault="006A3667">
            <w:pPr>
              <w:rPr>
                <w:rFonts w:ascii="宋体"/>
              </w:rPr>
            </w:pPr>
          </w:p>
        </w:tc>
        <w:tc>
          <w:tcPr>
            <w:tcW w:w="0" w:type="auto"/>
            <w:shd w:val="clear" w:color="auto" w:fill="auto"/>
            <w:vAlign w:val="bottom"/>
          </w:tcPr>
          <w:p w14:paraId="71D3F47A" w14:textId="77777777" w:rsidR="006A3667" w:rsidRDefault="006A3667">
            <w:pPr>
              <w:rPr>
                <w:rFonts w:ascii="宋体"/>
                <w:vanish/>
              </w:rPr>
            </w:pPr>
          </w:p>
        </w:tc>
        <w:tc>
          <w:tcPr>
            <w:tcW w:w="0" w:type="auto"/>
            <w:shd w:val="clear" w:color="auto" w:fill="auto"/>
            <w:vAlign w:val="bottom"/>
          </w:tcPr>
          <w:p w14:paraId="71D3F47B" w14:textId="77777777" w:rsidR="006A3667" w:rsidRDefault="006A3667">
            <w:pPr>
              <w:rPr>
                <w:rFonts w:ascii="宋体"/>
                <w:vanish/>
              </w:rPr>
            </w:pPr>
          </w:p>
        </w:tc>
        <w:tc>
          <w:tcPr>
            <w:tcW w:w="5" w:type="pct"/>
            <w:shd w:val="clear" w:color="auto" w:fill="auto"/>
            <w:vAlign w:val="bottom"/>
          </w:tcPr>
          <w:p w14:paraId="71D3F47C" w14:textId="77777777" w:rsidR="006A3667" w:rsidRDefault="006A3667">
            <w:pPr>
              <w:rPr>
                <w:rFonts w:ascii="宋体"/>
              </w:rPr>
            </w:pPr>
          </w:p>
        </w:tc>
        <w:tc>
          <w:tcPr>
            <w:tcW w:w="52" w:type="pct"/>
            <w:shd w:val="clear" w:color="auto" w:fill="auto"/>
            <w:vAlign w:val="bottom"/>
          </w:tcPr>
          <w:p w14:paraId="71D3F47D" w14:textId="77777777" w:rsidR="006A3667" w:rsidRDefault="006A3667">
            <w:pPr>
              <w:rPr>
                <w:rFonts w:ascii="宋体"/>
              </w:rPr>
            </w:pPr>
          </w:p>
        </w:tc>
        <w:tc>
          <w:tcPr>
            <w:tcW w:w="5" w:type="pct"/>
            <w:shd w:val="clear" w:color="auto" w:fill="auto"/>
            <w:vAlign w:val="bottom"/>
          </w:tcPr>
          <w:p w14:paraId="71D3F47E" w14:textId="77777777" w:rsidR="006A3667" w:rsidRDefault="006A3667">
            <w:pPr>
              <w:rPr>
                <w:rFonts w:ascii="宋体"/>
              </w:rPr>
            </w:pPr>
          </w:p>
        </w:tc>
        <w:tc>
          <w:tcPr>
            <w:tcW w:w="50" w:type="pct"/>
            <w:shd w:val="clear" w:color="auto" w:fill="auto"/>
            <w:vAlign w:val="bottom"/>
          </w:tcPr>
          <w:p w14:paraId="71D3F47F" w14:textId="77777777" w:rsidR="006A3667" w:rsidRDefault="006A3667">
            <w:pPr>
              <w:rPr>
                <w:rFonts w:ascii="宋体"/>
              </w:rPr>
            </w:pPr>
          </w:p>
        </w:tc>
        <w:tc>
          <w:tcPr>
            <w:tcW w:w="621" w:type="pct"/>
            <w:shd w:val="clear" w:color="auto" w:fill="auto"/>
            <w:vAlign w:val="bottom"/>
          </w:tcPr>
          <w:p w14:paraId="71D3F480" w14:textId="77777777" w:rsidR="006A3667" w:rsidRDefault="006A3667">
            <w:pPr>
              <w:rPr>
                <w:rFonts w:ascii="宋体"/>
              </w:rPr>
            </w:pPr>
          </w:p>
        </w:tc>
        <w:tc>
          <w:tcPr>
            <w:tcW w:w="5" w:type="pct"/>
            <w:shd w:val="clear" w:color="auto" w:fill="auto"/>
            <w:vAlign w:val="bottom"/>
          </w:tcPr>
          <w:p w14:paraId="71D3F481" w14:textId="77777777" w:rsidR="006A3667" w:rsidRDefault="006A3667">
            <w:pPr>
              <w:rPr>
                <w:rFonts w:ascii="宋体"/>
              </w:rPr>
            </w:pPr>
          </w:p>
        </w:tc>
        <w:tc>
          <w:tcPr>
            <w:tcW w:w="0" w:type="auto"/>
            <w:gridSpan w:val="3"/>
            <w:shd w:val="clear" w:color="auto" w:fill="auto"/>
            <w:vAlign w:val="bottom"/>
          </w:tcPr>
          <w:p w14:paraId="71D3F482" w14:textId="77777777" w:rsidR="006A3667" w:rsidRDefault="006A3667">
            <w:pPr>
              <w:rPr>
                <w:rFonts w:ascii="宋体"/>
                <w:vanish/>
              </w:rPr>
            </w:pPr>
          </w:p>
        </w:tc>
        <w:tc>
          <w:tcPr>
            <w:tcW w:w="0" w:type="auto"/>
            <w:gridSpan w:val="3"/>
            <w:shd w:val="clear" w:color="auto" w:fill="auto"/>
            <w:vAlign w:val="bottom"/>
          </w:tcPr>
          <w:p w14:paraId="71D3F483" w14:textId="77777777" w:rsidR="006A3667" w:rsidRDefault="006A3667">
            <w:pPr>
              <w:rPr>
                <w:rFonts w:ascii="宋体"/>
                <w:vanish/>
              </w:rPr>
            </w:pPr>
          </w:p>
        </w:tc>
      </w:tr>
      <w:tr w:rsidR="006A3667" w14:paraId="71D3F492" w14:textId="77777777">
        <w:tc>
          <w:tcPr>
            <w:tcW w:w="0" w:type="auto"/>
            <w:gridSpan w:val="14"/>
            <w:shd w:val="clear" w:color="auto" w:fill="auto"/>
            <w:tcMar>
              <w:top w:w="40" w:type="dxa"/>
              <w:left w:w="20" w:type="dxa"/>
              <w:bottom w:w="40" w:type="dxa"/>
              <w:right w:w="20" w:type="dxa"/>
            </w:tcMar>
            <w:vAlign w:val="bottom"/>
          </w:tcPr>
          <w:p w14:paraId="71D3F485" w14:textId="77777777" w:rsidR="006A3667" w:rsidRDefault="00045F32">
            <w:pPr>
              <w:textAlignment w:val="bottom"/>
            </w:pPr>
            <w:r>
              <w:rPr>
                <w:rFonts w:ascii="Arial" w:eastAsia="宋体" w:hAnsi="Arial" w:cs="Arial"/>
                <w:b/>
                <w:bCs/>
                <w:color w:val="000000"/>
                <w:sz w:val="16"/>
                <w:szCs w:val="16"/>
              </w:rPr>
              <w:t>TABLE 15: EXPENSES</w:t>
            </w:r>
          </w:p>
        </w:tc>
        <w:tc>
          <w:tcPr>
            <w:tcW w:w="0" w:type="auto"/>
            <w:shd w:val="clear" w:color="auto" w:fill="auto"/>
            <w:vAlign w:val="bottom"/>
          </w:tcPr>
          <w:p w14:paraId="71D3F486" w14:textId="77777777" w:rsidR="006A3667" w:rsidRDefault="006A3667">
            <w:pPr>
              <w:rPr>
                <w:rFonts w:ascii="宋体"/>
              </w:rPr>
            </w:pPr>
          </w:p>
        </w:tc>
        <w:tc>
          <w:tcPr>
            <w:tcW w:w="0" w:type="auto"/>
            <w:shd w:val="clear" w:color="auto" w:fill="auto"/>
            <w:vAlign w:val="bottom"/>
          </w:tcPr>
          <w:p w14:paraId="71D3F487" w14:textId="77777777" w:rsidR="006A3667" w:rsidRDefault="006A3667">
            <w:pPr>
              <w:rPr>
                <w:rFonts w:ascii="宋体"/>
              </w:rPr>
            </w:pPr>
          </w:p>
        </w:tc>
        <w:tc>
          <w:tcPr>
            <w:tcW w:w="0" w:type="auto"/>
            <w:shd w:val="clear" w:color="auto" w:fill="auto"/>
            <w:vAlign w:val="bottom"/>
          </w:tcPr>
          <w:p w14:paraId="71D3F488" w14:textId="77777777" w:rsidR="006A3667" w:rsidRDefault="006A3667">
            <w:pPr>
              <w:rPr>
                <w:rFonts w:ascii="宋体"/>
              </w:rPr>
            </w:pPr>
          </w:p>
        </w:tc>
        <w:tc>
          <w:tcPr>
            <w:tcW w:w="0" w:type="auto"/>
            <w:shd w:val="clear" w:color="auto" w:fill="auto"/>
            <w:vAlign w:val="bottom"/>
          </w:tcPr>
          <w:p w14:paraId="71D3F489" w14:textId="77777777" w:rsidR="006A3667" w:rsidRDefault="006A3667">
            <w:pPr>
              <w:rPr>
                <w:rFonts w:ascii="宋体"/>
              </w:rPr>
            </w:pPr>
          </w:p>
        </w:tc>
        <w:tc>
          <w:tcPr>
            <w:tcW w:w="0" w:type="auto"/>
            <w:shd w:val="clear" w:color="auto" w:fill="auto"/>
            <w:vAlign w:val="bottom"/>
          </w:tcPr>
          <w:p w14:paraId="71D3F48A" w14:textId="77777777" w:rsidR="006A3667" w:rsidRDefault="006A3667">
            <w:pPr>
              <w:rPr>
                <w:rFonts w:ascii="宋体"/>
              </w:rPr>
            </w:pPr>
          </w:p>
        </w:tc>
        <w:tc>
          <w:tcPr>
            <w:tcW w:w="0" w:type="auto"/>
            <w:shd w:val="clear" w:color="auto" w:fill="auto"/>
            <w:vAlign w:val="bottom"/>
          </w:tcPr>
          <w:p w14:paraId="71D3F48B" w14:textId="77777777" w:rsidR="006A3667" w:rsidRDefault="006A3667">
            <w:pPr>
              <w:rPr>
                <w:rFonts w:ascii="宋体"/>
              </w:rPr>
            </w:pPr>
          </w:p>
        </w:tc>
        <w:tc>
          <w:tcPr>
            <w:tcW w:w="0" w:type="auto"/>
            <w:shd w:val="clear" w:color="auto" w:fill="auto"/>
            <w:vAlign w:val="bottom"/>
          </w:tcPr>
          <w:p w14:paraId="71D3F48C" w14:textId="77777777" w:rsidR="006A3667" w:rsidRDefault="006A3667">
            <w:pPr>
              <w:rPr>
                <w:rFonts w:ascii="宋体"/>
              </w:rPr>
            </w:pPr>
          </w:p>
        </w:tc>
        <w:tc>
          <w:tcPr>
            <w:tcW w:w="0" w:type="auto"/>
            <w:shd w:val="clear" w:color="auto" w:fill="auto"/>
            <w:vAlign w:val="bottom"/>
          </w:tcPr>
          <w:p w14:paraId="71D3F48D" w14:textId="77777777" w:rsidR="006A3667" w:rsidRDefault="006A3667">
            <w:pPr>
              <w:rPr>
                <w:rFonts w:ascii="宋体"/>
              </w:rPr>
            </w:pPr>
          </w:p>
        </w:tc>
        <w:tc>
          <w:tcPr>
            <w:tcW w:w="0" w:type="auto"/>
            <w:shd w:val="clear" w:color="auto" w:fill="auto"/>
            <w:vAlign w:val="bottom"/>
          </w:tcPr>
          <w:p w14:paraId="71D3F48E" w14:textId="77777777" w:rsidR="006A3667" w:rsidRDefault="006A3667">
            <w:pPr>
              <w:rPr>
                <w:rFonts w:ascii="宋体"/>
              </w:rPr>
            </w:pPr>
          </w:p>
        </w:tc>
        <w:tc>
          <w:tcPr>
            <w:tcW w:w="0" w:type="auto"/>
            <w:shd w:val="clear" w:color="auto" w:fill="auto"/>
            <w:vAlign w:val="bottom"/>
          </w:tcPr>
          <w:p w14:paraId="71D3F48F" w14:textId="77777777" w:rsidR="006A3667" w:rsidRDefault="006A3667">
            <w:pPr>
              <w:rPr>
                <w:rFonts w:ascii="宋体"/>
              </w:rPr>
            </w:pPr>
          </w:p>
        </w:tc>
        <w:tc>
          <w:tcPr>
            <w:tcW w:w="0" w:type="auto"/>
            <w:shd w:val="clear" w:color="auto" w:fill="auto"/>
            <w:vAlign w:val="bottom"/>
          </w:tcPr>
          <w:p w14:paraId="71D3F490" w14:textId="77777777" w:rsidR="006A3667" w:rsidRDefault="006A3667">
            <w:pPr>
              <w:rPr>
                <w:rFonts w:ascii="宋体"/>
              </w:rPr>
            </w:pPr>
          </w:p>
        </w:tc>
        <w:tc>
          <w:tcPr>
            <w:tcW w:w="0" w:type="auto"/>
            <w:shd w:val="clear" w:color="auto" w:fill="auto"/>
            <w:vAlign w:val="bottom"/>
          </w:tcPr>
          <w:p w14:paraId="71D3F491" w14:textId="77777777" w:rsidR="006A3667" w:rsidRDefault="006A3667">
            <w:pPr>
              <w:rPr>
                <w:rFonts w:ascii="宋体"/>
              </w:rPr>
            </w:pPr>
          </w:p>
        </w:tc>
      </w:tr>
      <w:tr w:rsidR="006A3667" w14:paraId="71D3F49B" w14:textId="77777777">
        <w:trPr>
          <w:trHeight w:val="400"/>
        </w:trPr>
        <w:tc>
          <w:tcPr>
            <w:tcW w:w="0" w:type="auto"/>
            <w:gridSpan w:val="3"/>
            <w:shd w:val="clear" w:color="auto" w:fill="auto"/>
            <w:tcMar>
              <w:top w:w="0" w:type="dxa"/>
              <w:left w:w="20" w:type="dxa"/>
              <w:bottom w:w="0" w:type="dxa"/>
              <w:right w:w="20" w:type="dxa"/>
            </w:tcMar>
            <w:vAlign w:val="bottom"/>
          </w:tcPr>
          <w:p w14:paraId="71D3F493"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3F494"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shd w:val="clear" w:color="auto" w:fill="auto"/>
            <w:vAlign w:val="bottom"/>
          </w:tcPr>
          <w:p w14:paraId="71D3F495" w14:textId="77777777" w:rsidR="006A3667" w:rsidRDefault="006A3667">
            <w:pPr>
              <w:rPr>
                <w:rFonts w:ascii="宋体"/>
                <w:vanish/>
              </w:rPr>
            </w:pPr>
          </w:p>
        </w:tc>
        <w:tc>
          <w:tcPr>
            <w:tcW w:w="0" w:type="auto"/>
            <w:shd w:val="clear" w:color="auto" w:fill="auto"/>
            <w:vAlign w:val="bottom"/>
          </w:tcPr>
          <w:p w14:paraId="71D3F496"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497"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3F498" w14:textId="77777777" w:rsidR="006A3667" w:rsidRDefault="00045F32">
            <w:pPr>
              <w:jc w:val="center"/>
              <w:textAlignment w:val="bottom"/>
            </w:pPr>
            <w:r>
              <w:rPr>
                <w:rFonts w:ascii="Arial" w:eastAsia="宋体" w:hAnsi="Arial" w:cs="Arial"/>
                <w:b/>
                <w:bCs/>
                <w:color w:val="000000"/>
                <w:sz w:val="14"/>
                <w:szCs w:val="14"/>
              </w:rPr>
              <w:t xml:space="preserve">% Change </w:t>
            </w:r>
          </w:p>
        </w:tc>
        <w:tc>
          <w:tcPr>
            <w:tcW w:w="0" w:type="auto"/>
            <w:gridSpan w:val="3"/>
            <w:shd w:val="clear" w:color="auto" w:fill="auto"/>
            <w:vAlign w:val="bottom"/>
          </w:tcPr>
          <w:p w14:paraId="71D3F499" w14:textId="77777777" w:rsidR="006A3667" w:rsidRDefault="006A3667">
            <w:pPr>
              <w:rPr>
                <w:rFonts w:ascii="宋体"/>
                <w:vanish/>
              </w:rPr>
            </w:pPr>
          </w:p>
        </w:tc>
        <w:tc>
          <w:tcPr>
            <w:tcW w:w="0" w:type="auto"/>
            <w:gridSpan w:val="3"/>
            <w:shd w:val="clear" w:color="auto" w:fill="auto"/>
            <w:vAlign w:val="bottom"/>
          </w:tcPr>
          <w:p w14:paraId="71D3F49A" w14:textId="77777777" w:rsidR="006A3667" w:rsidRDefault="006A3667">
            <w:pPr>
              <w:rPr>
                <w:rFonts w:ascii="宋体"/>
                <w:vanish/>
              </w:rPr>
            </w:pPr>
          </w:p>
        </w:tc>
      </w:tr>
      <w:tr w:rsidR="006A3667" w14:paraId="71D3F4A8" w14:textId="77777777">
        <w:trPr>
          <w:trHeight w:val="220"/>
        </w:trPr>
        <w:tc>
          <w:tcPr>
            <w:tcW w:w="0" w:type="auto"/>
            <w:gridSpan w:val="3"/>
            <w:shd w:val="clear" w:color="auto" w:fill="auto"/>
            <w:tcMar>
              <w:top w:w="40" w:type="dxa"/>
              <w:left w:w="20" w:type="dxa"/>
              <w:bottom w:w="40" w:type="dxa"/>
              <w:right w:w="20" w:type="dxa"/>
            </w:tcMar>
            <w:vAlign w:val="bottom"/>
          </w:tcPr>
          <w:p w14:paraId="71D3F49C" w14:textId="77777777" w:rsidR="006A3667" w:rsidRDefault="00045F32">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49D"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F49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49F" w14:textId="77777777" w:rsidR="006A3667" w:rsidRDefault="00045F32">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71D3F4A0" w14:textId="77777777" w:rsidR="006A3667" w:rsidRDefault="006A3667">
            <w:pPr>
              <w:rPr>
                <w:rFonts w:ascii="宋体"/>
                <w:vanish/>
              </w:rPr>
            </w:pPr>
          </w:p>
        </w:tc>
        <w:tc>
          <w:tcPr>
            <w:tcW w:w="0" w:type="auto"/>
            <w:shd w:val="clear" w:color="auto" w:fill="auto"/>
            <w:vAlign w:val="bottom"/>
          </w:tcPr>
          <w:p w14:paraId="71D3F4A1"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4A2"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3F4A3" w14:textId="77777777" w:rsidR="006A3667" w:rsidRDefault="006A3667">
            <w:pPr>
              <w:jc w:val="center"/>
              <w:rPr>
                <w:rFonts w:ascii="宋体"/>
              </w:rPr>
            </w:pPr>
          </w:p>
        </w:tc>
        <w:tc>
          <w:tcPr>
            <w:tcW w:w="0" w:type="auto"/>
            <w:gridSpan w:val="3"/>
            <w:shd w:val="clear" w:color="auto" w:fill="auto"/>
            <w:vAlign w:val="bottom"/>
          </w:tcPr>
          <w:p w14:paraId="71D3F4A4" w14:textId="77777777" w:rsidR="006A3667" w:rsidRDefault="006A3667">
            <w:pPr>
              <w:rPr>
                <w:rFonts w:ascii="宋体"/>
                <w:vanish/>
              </w:rPr>
            </w:pPr>
          </w:p>
        </w:tc>
        <w:tc>
          <w:tcPr>
            <w:tcW w:w="0" w:type="auto"/>
            <w:shd w:val="clear" w:color="auto" w:fill="auto"/>
            <w:vAlign w:val="bottom"/>
          </w:tcPr>
          <w:p w14:paraId="71D3F4A5" w14:textId="77777777" w:rsidR="006A3667" w:rsidRDefault="006A3667">
            <w:pPr>
              <w:rPr>
                <w:rFonts w:ascii="宋体"/>
              </w:rPr>
            </w:pPr>
          </w:p>
        </w:tc>
        <w:tc>
          <w:tcPr>
            <w:tcW w:w="0" w:type="auto"/>
            <w:shd w:val="clear" w:color="auto" w:fill="auto"/>
            <w:vAlign w:val="bottom"/>
          </w:tcPr>
          <w:p w14:paraId="71D3F4A6" w14:textId="77777777" w:rsidR="006A3667" w:rsidRDefault="006A3667">
            <w:pPr>
              <w:rPr>
                <w:rFonts w:ascii="宋体"/>
              </w:rPr>
            </w:pPr>
          </w:p>
        </w:tc>
        <w:tc>
          <w:tcPr>
            <w:tcW w:w="0" w:type="auto"/>
            <w:shd w:val="clear" w:color="auto" w:fill="auto"/>
            <w:vAlign w:val="bottom"/>
          </w:tcPr>
          <w:p w14:paraId="71D3F4A7" w14:textId="77777777" w:rsidR="006A3667" w:rsidRDefault="006A3667">
            <w:pPr>
              <w:rPr>
                <w:rFonts w:ascii="宋体"/>
              </w:rPr>
            </w:pPr>
          </w:p>
        </w:tc>
      </w:tr>
      <w:tr w:rsidR="006A3667" w14:paraId="71D3F4B8" w14:textId="77777777">
        <w:tc>
          <w:tcPr>
            <w:tcW w:w="0" w:type="auto"/>
            <w:gridSpan w:val="3"/>
            <w:shd w:val="clear" w:color="auto" w:fill="CCEEFF"/>
            <w:tcMar>
              <w:top w:w="40" w:type="dxa"/>
              <w:left w:w="20" w:type="dxa"/>
              <w:bottom w:w="40" w:type="dxa"/>
              <w:right w:w="20" w:type="dxa"/>
            </w:tcMar>
            <w:vAlign w:val="bottom"/>
          </w:tcPr>
          <w:p w14:paraId="71D3F4A9" w14:textId="77777777" w:rsidR="006A3667" w:rsidRDefault="00045F32">
            <w:pPr>
              <w:textAlignment w:val="bottom"/>
            </w:pPr>
            <w:r>
              <w:rPr>
                <w:rFonts w:ascii="Arial" w:eastAsia="宋体" w:hAnsi="Arial" w:cs="Arial"/>
                <w:color w:val="000000"/>
                <w:sz w:val="14"/>
                <w:szCs w:val="14"/>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F4AA"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4AB" w14:textId="77777777" w:rsidR="006A3667" w:rsidRDefault="00045F32">
            <w:pPr>
              <w:jc w:val="right"/>
              <w:textAlignment w:val="bottom"/>
            </w:pPr>
            <w:r>
              <w:rPr>
                <w:rFonts w:ascii="Arial" w:eastAsia="宋体" w:hAnsi="Arial" w:cs="Arial"/>
                <w:b/>
                <w:bCs/>
                <w:color w:val="000000"/>
                <w:sz w:val="14"/>
                <w:szCs w:val="14"/>
              </w:rPr>
              <w:t>1,042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4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4A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4A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4AF" w14:textId="77777777" w:rsidR="006A3667" w:rsidRDefault="00045F32">
            <w:pPr>
              <w:jc w:val="right"/>
              <w:textAlignment w:val="bottom"/>
            </w:pPr>
            <w:r>
              <w:rPr>
                <w:rFonts w:ascii="Arial" w:eastAsia="宋体" w:hAnsi="Arial" w:cs="Arial"/>
                <w:color w:val="000000"/>
                <w:sz w:val="14"/>
                <w:szCs w:val="14"/>
              </w:rPr>
              <w:t>1,054 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4B0" w14:textId="77777777" w:rsidR="006A3667" w:rsidRDefault="006A3667">
            <w:pPr>
              <w:jc w:val="right"/>
              <w:rPr>
                <w:rFonts w:ascii="宋体"/>
              </w:rPr>
            </w:pPr>
          </w:p>
        </w:tc>
        <w:tc>
          <w:tcPr>
            <w:tcW w:w="0" w:type="auto"/>
            <w:shd w:val="clear" w:color="auto" w:fill="auto"/>
            <w:vAlign w:val="bottom"/>
          </w:tcPr>
          <w:p w14:paraId="71D3F4B1" w14:textId="77777777" w:rsidR="006A3667" w:rsidRDefault="006A3667">
            <w:pPr>
              <w:rPr>
                <w:rFonts w:ascii="宋体"/>
                <w:vanish/>
              </w:rPr>
            </w:pPr>
          </w:p>
        </w:tc>
        <w:tc>
          <w:tcPr>
            <w:tcW w:w="0" w:type="auto"/>
            <w:shd w:val="clear" w:color="auto" w:fill="auto"/>
            <w:vAlign w:val="bottom"/>
          </w:tcPr>
          <w:p w14:paraId="71D3F4B2"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4B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4B4" w14:textId="77777777" w:rsidR="006A3667" w:rsidRDefault="00045F32">
            <w:pPr>
              <w:jc w:val="right"/>
              <w:textAlignment w:val="bottom"/>
            </w:pPr>
            <w:r>
              <w:rPr>
                <w:rFonts w:ascii="Arial" w:eastAsia="宋体" w:hAnsi="Arial" w:cs="Arial"/>
                <w:color w:val="000000"/>
                <w:sz w:val="14"/>
                <w:szCs w:val="14"/>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4B5" w14:textId="77777777" w:rsidR="006A3667" w:rsidRDefault="00045F32">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71D3F4B6" w14:textId="77777777" w:rsidR="006A3667" w:rsidRDefault="006A3667">
            <w:pPr>
              <w:rPr>
                <w:rFonts w:ascii="宋体"/>
                <w:vanish/>
              </w:rPr>
            </w:pPr>
          </w:p>
        </w:tc>
        <w:tc>
          <w:tcPr>
            <w:tcW w:w="0" w:type="auto"/>
            <w:gridSpan w:val="3"/>
            <w:shd w:val="clear" w:color="auto" w:fill="auto"/>
            <w:vAlign w:val="bottom"/>
          </w:tcPr>
          <w:p w14:paraId="71D3F4B7" w14:textId="77777777" w:rsidR="006A3667" w:rsidRDefault="006A3667">
            <w:pPr>
              <w:rPr>
                <w:rFonts w:ascii="宋体"/>
                <w:vanish/>
              </w:rPr>
            </w:pPr>
          </w:p>
        </w:tc>
      </w:tr>
      <w:tr w:rsidR="006A3667" w14:paraId="71D3F4C6" w14:textId="77777777">
        <w:tc>
          <w:tcPr>
            <w:tcW w:w="0" w:type="auto"/>
            <w:gridSpan w:val="3"/>
            <w:shd w:val="clear" w:color="auto" w:fill="FFFFFF"/>
            <w:tcMar>
              <w:top w:w="40" w:type="dxa"/>
              <w:left w:w="20" w:type="dxa"/>
              <w:bottom w:w="40" w:type="dxa"/>
              <w:right w:w="20" w:type="dxa"/>
            </w:tcMar>
            <w:vAlign w:val="bottom"/>
          </w:tcPr>
          <w:p w14:paraId="71D3F4B9" w14:textId="77777777" w:rsidR="006A3667" w:rsidRDefault="00045F32">
            <w:pPr>
              <w:textAlignment w:val="bottom"/>
            </w:pPr>
            <w:r>
              <w:rPr>
                <w:rFonts w:ascii="Arial" w:eastAsia="宋体" w:hAnsi="Arial" w:cs="Arial"/>
                <w:color w:val="000000"/>
                <w:sz w:val="14"/>
                <w:szCs w:val="14"/>
              </w:rPr>
              <w:t>Information systems and communications</w:t>
            </w:r>
          </w:p>
        </w:tc>
        <w:tc>
          <w:tcPr>
            <w:tcW w:w="0" w:type="auto"/>
            <w:gridSpan w:val="2"/>
            <w:shd w:val="clear" w:color="auto" w:fill="FFFFFF"/>
            <w:tcMar>
              <w:top w:w="40" w:type="dxa"/>
              <w:left w:w="20" w:type="dxa"/>
              <w:bottom w:w="40" w:type="dxa"/>
              <w:right w:w="0" w:type="dxa"/>
            </w:tcMar>
            <w:vAlign w:val="bottom"/>
          </w:tcPr>
          <w:p w14:paraId="71D3F4BA" w14:textId="77777777" w:rsidR="006A3667" w:rsidRDefault="00045F32">
            <w:pPr>
              <w:jc w:val="right"/>
              <w:textAlignment w:val="bottom"/>
            </w:pPr>
            <w:r>
              <w:rPr>
                <w:rFonts w:ascii="Arial" w:eastAsia="宋体" w:hAnsi="Arial" w:cs="Arial"/>
                <w:b/>
                <w:bCs/>
                <w:color w:val="000000"/>
                <w:sz w:val="14"/>
                <w:szCs w:val="14"/>
              </w:rPr>
              <w:t>399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4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4B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4BD" w14:textId="77777777" w:rsidR="006A3667" w:rsidRDefault="00045F32">
            <w:pPr>
              <w:jc w:val="right"/>
              <w:textAlignment w:val="bottom"/>
            </w:pPr>
            <w:r>
              <w:rPr>
                <w:rFonts w:ascii="Arial" w:eastAsia="宋体" w:hAnsi="Arial" w:cs="Arial"/>
                <w:color w:val="000000"/>
                <w:sz w:val="14"/>
                <w:szCs w:val="14"/>
              </w:rPr>
              <w:t>406 </w:t>
            </w:r>
          </w:p>
        </w:tc>
        <w:tc>
          <w:tcPr>
            <w:tcW w:w="0" w:type="auto"/>
            <w:shd w:val="clear" w:color="auto" w:fill="FFFFFF"/>
            <w:tcMar>
              <w:top w:w="40" w:type="dxa"/>
              <w:left w:w="0" w:type="dxa"/>
              <w:bottom w:w="40" w:type="dxa"/>
              <w:right w:w="20" w:type="dxa"/>
            </w:tcMar>
            <w:vAlign w:val="bottom"/>
          </w:tcPr>
          <w:p w14:paraId="71D3F4BE" w14:textId="77777777" w:rsidR="006A3667" w:rsidRDefault="006A3667">
            <w:pPr>
              <w:jc w:val="right"/>
              <w:rPr>
                <w:rFonts w:ascii="宋体"/>
              </w:rPr>
            </w:pPr>
          </w:p>
        </w:tc>
        <w:tc>
          <w:tcPr>
            <w:tcW w:w="0" w:type="auto"/>
            <w:shd w:val="clear" w:color="auto" w:fill="auto"/>
            <w:vAlign w:val="bottom"/>
          </w:tcPr>
          <w:p w14:paraId="71D3F4BF" w14:textId="77777777" w:rsidR="006A3667" w:rsidRDefault="006A3667">
            <w:pPr>
              <w:rPr>
                <w:rFonts w:ascii="宋体"/>
                <w:vanish/>
              </w:rPr>
            </w:pPr>
          </w:p>
        </w:tc>
        <w:tc>
          <w:tcPr>
            <w:tcW w:w="0" w:type="auto"/>
            <w:shd w:val="clear" w:color="auto" w:fill="auto"/>
            <w:vAlign w:val="bottom"/>
          </w:tcPr>
          <w:p w14:paraId="71D3F4C0"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4C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4C2"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71D3F4C3" w14:textId="77777777" w:rsidR="006A3667" w:rsidRDefault="006A3667">
            <w:pPr>
              <w:jc w:val="right"/>
              <w:rPr>
                <w:rFonts w:ascii="宋体"/>
              </w:rPr>
            </w:pPr>
          </w:p>
        </w:tc>
        <w:tc>
          <w:tcPr>
            <w:tcW w:w="0" w:type="auto"/>
            <w:gridSpan w:val="3"/>
            <w:shd w:val="clear" w:color="auto" w:fill="auto"/>
            <w:vAlign w:val="bottom"/>
          </w:tcPr>
          <w:p w14:paraId="71D3F4C4" w14:textId="77777777" w:rsidR="006A3667" w:rsidRDefault="006A3667">
            <w:pPr>
              <w:rPr>
                <w:rFonts w:ascii="宋体"/>
                <w:vanish/>
              </w:rPr>
            </w:pPr>
          </w:p>
        </w:tc>
        <w:tc>
          <w:tcPr>
            <w:tcW w:w="0" w:type="auto"/>
            <w:gridSpan w:val="3"/>
            <w:shd w:val="clear" w:color="auto" w:fill="auto"/>
            <w:vAlign w:val="bottom"/>
          </w:tcPr>
          <w:p w14:paraId="71D3F4C5" w14:textId="77777777" w:rsidR="006A3667" w:rsidRDefault="006A3667">
            <w:pPr>
              <w:rPr>
                <w:rFonts w:ascii="宋体"/>
                <w:vanish/>
              </w:rPr>
            </w:pPr>
          </w:p>
        </w:tc>
      </w:tr>
      <w:tr w:rsidR="006A3667" w14:paraId="71D3F4D4" w14:textId="77777777">
        <w:tc>
          <w:tcPr>
            <w:tcW w:w="0" w:type="auto"/>
            <w:gridSpan w:val="3"/>
            <w:shd w:val="clear" w:color="auto" w:fill="CCEEFF"/>
            <w:tcMar>
              <w:top w:w="40" w:type="dxa"/>
              <w:left w:w="20" w:type="dxa"/>
              <w:bottom w:w="40" w:type="dxa"/>
              <w:right w:w="20" w:type="dxa"/>
            </w:tcMar>
            <w:vAlign w:val="bottom"/>
          </w:tcPr>
          <w:p w14:paraId="71D3F4C7" w14:textId="77777777" w:rsidR="006A3667" w:rsidRDefault="00045F32">
            <w:pPr>
              <w:textAlignment w:val="bottom"/>
            </w:pPr>
            <w:r>
              <w:rPr>
                <w:rFonts w:ascii="Arial" w:eastAsia="宋体" w:hAnsi="Arial" w:cs="Arial"/>
                <w:color w:val="000000"/>
                <w:sz w:val="14"/>
                <w:szCs w:val="14"/>
              </w:rPr>
              <w:t>Transaction processing services</w:t>
            </w:r>
          </w:p>
        </w:tc>
        <w:tc>
          <w:tcPr>
            <w:tcW w:w="0" w:type="auto"/>
            <w:gridSpan w:val="2"/>
            <w:shd w:val="clear" w:color="auto" w:fill="CCEEFF"/>
            <w:tcMar>
              <w:top w:w="40" w:type="dxa"/>
              <w:left w:w="20" w:type="dxa"/>
              <w:bottom w:w="40" w:type="dxa"/>
              <w:right w:w="0" w:type="dxa"/>
            </w:tcMar>
            <w:vAlign w:val="bottom"/>
          </w:tcPr>
          <w:p w14:paraId="71D3F4C8" w14:textId="77777777" w:rsidR="006A3667" w:rsidRDefault="00045F32">
            <w:pPr>
              <w:jc w:val="right"/>
              <w:textAlignment w:val="bottom"/>
            </w:pPr>
            <w:r>
              <w:rPr>
                <w:rFonts w:ascii="Arial" w:eastAsia="宋体" w:hAnsi="Arial" w:cs="Arial"/>
                <w:b/>
                <w:bCs/>
                <w:color w:val="000000"/>
                <w:sz w:val="14"/>
                <w:szCs w:val="14"/>
              </w:rPr>
              <w:t>227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4C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4C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4CB" w14:textId="77777777" w:rsidR="006A3667" w:rsidRDefault="00045F32">
            <w:pPr>
              <w:jc w:val="right"/>
              <w:textAlignment w:val="bottom"/>
            </w:pPr>
            <w:r>
              <w:rPr>
                <w:rFonts w:ascii="Arial" w:eastAsia="宋体" w:hAnsi="Arial" w:cs="Arial"/>
                <w:color w:val="000000"/>
                <w:sz w:val="14"/>
                <w:szCs w:val="14"/>
              </w:rPr>
              <w:t>253 </w:t>
            </w:r>
          </w:p>
        </w:tc>
        <w:tc>
          <w:tcPr>
            <w:tcW w:w="0" w:type="auto"/>
            <w:shd w:val="clear" w:color="auto" w:fill="CCEEFF"/>
            <w:tcMar>
              <w:top w:w="40" w:type="dxa"/>
              <w:left w:w="0" w:type="dxa"/>
              <w:bottom w:w="40" w:type="dxa"/>
              <w:right w:w="20" w:type="dxa"/>
            </w:tcMar>
            <w:vAlign w:val="bottom"/>
          </w:tcPr>
          <w:p w14:paraId="71D3F4CC" w14:textId="77777777" w:rsidR="006A3667" w:rsidRDefault="006A3667">
            <w:pPr>
              <w:jc w:val="right"/>
              <w:rPr>
                <w:rFonts w:ascii="宋体"/>
              </w:rPr>
            </w:pPr>
          </w:p>
        </w:tc>
        <w:tc>
          <w:tcPr>
            <w:tcW w:w="0" w:type="auto"/>
            <w:shd w:val="clear" w:color="auto" w:fill="auto"/>
            <w:vAlign w:val="bottom"/>
          </w:tcPr>
          <w:p w14:paraId="71D3F4CD" w14:textId="77777777" w:rsidR="006A3667" w:rsidRDefault="006A3667">
            <w:pPr>
              <w:rPr>
                <w:rFonts w:ascii="宋体"/>
                <w:vanish/>
              </w:rPr>
            </w:pPr>
          </w:p>
        </w:tc>
        <w:tc>
          <w:tcPr>
            <w:tcW w:w="0" w:type="auto"/>
            <w:shd w:val="clear" w:color="auto" w:fill="auto"/>
            <w:vAlign w:val="bottom"/>
          </w:tcPr>
          <w:p w14:paraId="71D3F4CE"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4C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4D0" w14:textId="77777777" w:rsidR="006A3667" w:rsidRDefault="00045F32">
            <w:pPr>
              <w:jc w:val="right"/>
              <w:textAlignment w:val="bottom"/>
            </w:pPr>
            <w:r>
              <w:rPr>
                <w:rFonts w:ascii="Arial" w:eastAsia="宋体" w:hAnsi="Arial" w:cs="Arial"/>
                <w:color w:val="000000"/>
                <w:sz w:val="14"/>
                <w:szCs w:val="14"/>
              </w:rPr>
              <w:t>(10)</w:t>
            </w:r>
          </w:p>
        </w:tc>
        <w:tc>
          <w:tcPr>
            <w:tcW w:w="0" w:type="auto"/>
            <w:shd w:val="clear" w:color="auto" w:fill="CCEEFF"/>
            <w:tcMar>
              <w:top w:w="40" w:type="dxa"/>
              <w:left w:w="0" w:type="dxa"/>
              <w:bottom w:w="40" w:type="dxa"/>
              <w:right w:w="20" w:type="dxa"/>
            </w:tcMar>
            <w:vAlign w:val="bottom"/>
          </w:tcPr>
          <w:p w14:paraId="71D3F4D1" w14:textId="77777777" w:rsidR="006A3667" w:rsidRDefault="006A3667">
            <w:pPr>
              <w:jc w:val="right"/>
              <w:rPr>
                <w:rFonts w:ascii="宋体"/>
              </w:rPr>
            </w:pPr>
          </w:p>
        </w:tc>
        <w:tc>
          <w:tcPr>
            <w:tcW w:w="0" w:type="auto"/>
            <w:gridSpan w:val="3"/>
            <w:shd w:val="clear" w:color="auto" w:fill="auto"/>
            <w:vAlign w:val="bottom"/>
          </w:tcPr>
          <w:p w14:paraId="71D3F4D2" w14:textId="77777777" w:rsidR="006A3667" w:rsidRDefault="006A3667">
            <w:pPr>
              <w:rPr>
                <w:rFonts w:ascii="宋体"/>
                <w:vanish/>
              </w:rPr>
            </w:pPr>
          </w:p>
        </w:tc>
        <w:tc>
          <w:tcPr>
            <w:tcW w:w="0" w:type="auto"/>
            <w:gridSpan w:val="3"/>
            <w:shd w:val="clear" w:color="auto" w:fill="auto"/>
            <w:vAlign w:val="bottom"/>
          </w:tcPr>
          <w:p w14:paraId="71D3F4D3" w14:textId="77777777" w:rsidR="006A3667" w:rsidRDefault="006A3667">
            <w:pPr>
              <w:rPr>
                <w:rFonts w:ascii="宋体"/>
                <w:vanish/>
              </w:rPr>
            </w:pPr>
          </w:p>
        </w:tc>
      </w:tr>
      <w:tr w:rsidR="006A3667" w14:paraId="71D3F4E2" w14:textId="77777777">
        <w:tc>
          <w:tcPr>
            <w:tcW w:w="0" w:type="auto"/>
            <w:gridSpan w:val="3"/>
            <w:shd w:val="clear" w:color="auto" w:fill="FFFFFF"/>
            <w:tcMar>
              <w:top w:w="40" w:type="dxa"/>
              <w:left w:w="20" w:type="dxa"/>
              <w:bottom w:w="40" w:type="dxa"/>
              <w:right w:w="20" w:type="dxa"/>
            </w:tcMar>
            <w:vAlign w:val="bottom"/>
          </w:tcPr>
          <w:p w14:paraId="71D3F4D5" w14:textId="77777777" w:rsidR="006A3667" w:rsidRDefault="00045F32">
            <w:pPr>
              <w:textAlignment w:val="bottom"/>
            </w:pPr>
            <w:r>
              <w:rPr>
                <w:rFonts w:ascii="Arial" w:eastAsia="宋体" w:hAnsi="Arial" w:cs="Arial"/>
                <w:color w:val="000000"/>
                <w:sz w:val="14"/>
                <w:szCs w:val="14"/>
              </w:rPr>
              <w:t>Occupancy</w:t>
            </w:r>
          </w:p>
        </w:tc>
        <w:tc>
          <w:tcPr>
            <w:tcW w:w="0" w:type="auto"/>
            <w:gridSpan w:val="2"/>
            <w:shd w:val="clear" w:color="auto" w:fill="FFFFFF"/>
            <w:tcMar>
              <w:top w:w="40" w:type="dxa"/>
              <w:left w:w="20" w:type="dxa"/>
              <w:bottom w:w="40" w:type="dxa"/>
              <w:right w:w="0" w:type="dxa"/>
            </w:tcMar>
            <w:vAlign w:val="bottom"/>
          </w:tcPr>
          <w:p w14:paraId="71D3F4D6" w14:textId="77777777" w:rsidR="006A3667" w:rsidRDefault="00045F32">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4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4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4D9" w14:textId="77777777" w:rsidR="006A3667" w:rsidRDefault="00045F32">
            <w:pPr>
              <w:jc w:val="right"/>
              <w:textAlignment w:val="bottom"/>
            </w:pPr>
            <w:r>
              <w:rPr>
                <w:rFonts w:ascii="Arial" w:eastAsia="宋体" w:hAnsi="Arial" w:cs="Arial"/>
                <w:color w:val="000000"/>
                <w:sz w:val="14"/>
                <w:szCs w:val="14"/>
              </w:rPr>
              <w:t>102 </w:t>
            </w:r>
          </w:p>
        </w:tc>
        <w:tc>
          <w:tcPr>
            <w:tcW w:w="0" w:type="auto"/>
            <w:shd w:val="clear" w:color="auto" w:fill="FFFFFF"/>
            <w:tcMar>
              <w:top w:w="40" w:type="dxa"/>
              <w:left w:w="0" w:type="dxa"/>
              <w:bottom w:w="40" w:type="dxa"/>
              <w:right w:w="20" w:type="dxa"/>
            </w:tcMar>
            <w:vAlign w:val="bottom"/>
          </w:tcPr>
          <w:p w14:paraId="71D3F4DA" w14:textId="77777777" w:rsidR="006A3667" w:rsidRDefault="006A3667">
            <w:pPr>
              <w:jc w:val="right"/>
              <w:rPr>
                <w:rFonts w:ascii="宋体"/>
              </w:rPr>
            </w:pPr>
          </w:p>
        </w:tc>
        <w:tc>
          <w:tcPr>
            <w:tcW w:w="0" w:type="auto"/>
            <w:shd w:val="clear" w:color="auto" w:fill="auto"/>
            <w:vAlign w:val="bottom"/>
          </w:tcPr>
          <w:p w14:paraId="71D3F4DB" w14:textId="77777777" w:rsidR="006A3667" w:rsidRDefault="006A3667">
            <w:pPr>
              <w:rPr>
                <w:rFonts w:ascii="宋体"/>
                <w:vanish/>
              </w:rPr>
            </w:pPr>
          </w:p>
        </w:tc>
        <w:tc>
          <w:tcPr>
            <w:tcW w:w="0" w:type="auto"/>
            <w:shd w:val="clear" w:color="auto" w:fill="auto"/>
            <w:vAlign w:val="bottom"/>
          </w:tcPr>
          <w:p w14:paraId="71D3F4DC"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4D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4DE" w14:textId="77777777" w:rsidR="006A3667" w:rsidRDefault="00045F32">
            <w:pPr>
              <w:jc w:val="right"/>
              <w:textAlignment w:val="bottom"/>
            </w:pPr>
            <w:r>
              <w:rPr>
                <w:rFonts w:ascii="Arial" w:eastAsia="宋体" w:hAnsi="Arial" w:cs="Arial"/>
                <w:color w:val="000000"/>
                <w:sz w:val="14"/>
                <w:szCs w:val="14"/>
              </w:rPr>
              <w:t>(5)</w:t>
            </w:r>
          </w:p>
        </w:tc>
        <w:tc>
          <w:tcPr>
            <w:tcW w:w="0" w:type="auto"/>
            <w:shd w:val="clear" w:color="auto" w:fill="FFFFFF"/>
            <w:tcMar>
              <w:top w:w="40" w:type="dxa"/>
              <w:left w:w="0" w:type="dxa"/>
              <w:bottom w:w="40" w:type="dxa"/>
              <w:right w:w="20" w:type="dxa"/>
            </w:tcMar>
            <w:vAlign w:val="bottom"/>
          </w:tcPr>
          <w:p w14:paraId="71D3F4DF" w14:textId="77777777" w:rsidR="006A3667" w:rsidRDefault="006A3667">
            <w:pPr>
              <w:jc w:val="right"/>
              <w:rPr>
                <w:rFonts w:ascii="宋体"/>
              </w:rPr>
            </w:pPr>
          </w:p>
        </w:tc>
        <w:tc>
          <w:tcPr>
            <w:tcW w:w="0" w:type="auto"/>
            <w:gridSpan w:val="3"/>
            <w:shd w:val="clear" w:color="auto" w:fill="auto"/>
            <w:vAlign w:val="bottom"/>
          </w:tcPr>
          <w:p w14:paraId="71D3F4E0" w14:textId="77777777" w:rsidR="006A3667" w:rsidRDefault="006A3667">
            <w:pPr>
              <w:rPr>
                <w:rFonts w:ascii="宋体"/>
                <w:vanish/>
              </w:rPr>
            </w:pPr>
          </w:p>
        </w:tc>
        <w:tc>
          <w:tcPr>
            <w:tcW w:w="0" w:type="auto"/>
            <w:gridSpan w:val="3"/>
            <w:shd w:val="clear" w:color="auto" w:fill="auto"/>
            <w:vAlign w:val="bottom"/>
          </w:tcPr>
          <w:p w14:paraId="71D3F4E1" w14:textId="77777777" w:rsidR="006A3667" w:rsidRDefault="006A3667">
            <w:pPr>
              <w:rPr>
                <w:rFonts w:ascii="宋体"/>
                <w:vanish/>
              </w:rPr>
            </w:pPr>
          </w:p>
        </w:tc>
      </w:tr>
      <w:tr w:rsidR="006A3667" w14:paraId="71D3F4F0" w14:textId="77777777">
        <w:tc>
          <w:tcPr>
            <w:tcW w:w="0" w:type="auto"/>
            <w:gridSpan w:val="3"/>
            <w:shd w:val="clear" w:color="auto" w:fill="CCEEFF"/>
            <w:tcMar>
              <w:top w:w="40" w:type="dxa"/>
              <w:left w:w="20" w:type="dxa"/>
              <w:bottom w:w="40" w:type="dxa"/>
              <w:right w:w="20" w:type="dxa"/>
            </w:tcMar>
          </w:tcPr>
          <w:p w14:paraId="71D3F4E3" w14:textId="77777777" w:rsidR="006A3667" w:rsidRDefault="00045F32">
            <w:pPr>
              <w:textAlignment w:val="top"/>
            </w:pPr>
            <w:r>
              <w:rPr>
                <w:rFonts w:ascii="Arial" w:eastAsia="宋体" w:hAnsi="Arial" w:cs="Arial"/>
                <w:color w:val="000000"/>
                <w:sz w:val="14"/>
                <w:szCs w:val="14"/>
              </w:rPr>
              <w:t>Amortization of other intangible assets</w:t>
            </w:r>
          </w:p>
        </w:tc>
        <w:tc>
          <w:tcPr>
            <w:tcW w:w="0" w:type="auto"/>
            <w:gridSpan w:val="2"/>
            <w:shd w:val="clear" w:color="auto" w:fill="CCEEFF"/>
            <w:tcMar>
              <w:top w:w="40" w:type="dxa"/>
              <w:left w:w="20" w:type="dxa"/>
              <w:bottom w:w="40" w:type="dxa"/>
              <w:right w:w="0" w:type="dxa"/>
            </w:tcMar>
            <w:vAlign w:val="bottom"/>
          </w:tcPr>
          <w:p w14:paraId="71D3F4E4" w14:textId="77777777" w:rsidR="006A3667" w:rsidRDefault="00045F32">
            <w:pPr>
              <w:jc w:val="right"/>
              <w:textAlignment w:val="bottom"/>
            </w:pPr>
            <w:r>
              <w:rPr>
                <w:rFonts w:ascii="Arial" w:eastAsia="宋体" w:hAnsi="Arial" w:cs="Arial"/>
                <w:b/>
                <w:bCs/>
                <w:color w:val="000000"/>
                <w:sz w:val="14"/>
                <w:szCs w:val="14"/>
              </w:rPr>
              <w:t>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4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4E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4E7" w14:textId="77777777" w:rsidR="006A3667" w:rsidRDefault="00045F32">
            <w:pPr>
              <w:jc w:val="right"/>
              <w:textAlignment w:val="bottom"/>
            </w:pPr>
            <w:r>
              <w:rPr>
                <w:rFonts w:ascii="Arial" w:eastAsia="宋体" w:hAnsi="Arial" w:cs="Arial"/>
                <w:color w:val="000000"/>
                <w:sz w:val="14"/>
                <w:szCs w:val="14"/>
              </w:rPr>
              <w:t>62 </w:t>
            </w:r>
          </w:p>
        </w:tc>
        <w:tc>
          <w:tcPr>
            <w:tcW w:w="0" w:type="auto"/>
            <w:shd w:val="clear" w:color="auto" w:fill="CCEEFF"/>
            <w:tcMar>
              <w:top w:w="40" w:type="dxa"/>
              <w:left w:w="0" w:type="dxa"/>
              <w:bottom w:w="40" w:type="dxa"/>
              <w:right w:w="20" w:type="dxa"/>
            </w:tcMar>
            <w:vAlign w:val="bottom"/>
          </w:tcPr>
          <w:p w14:paraId="71D3F4E8" w14:textId="77777777" w:rsidR="006A3667" w:rsidRDefault="006A3667">
            <w:pPr>
              <w:jc w:val="right"/>
              <w:rPr>
                <w:rFonts w:ascii="宋体"/>
              </w:rPr>
            </w:pPr>
          </w:p>
        </w:tc>
        <w:tc>
          <w:tcPr>
            <w:tcW w:w="0" w:type="auto"/>
            <w:shd w:val="clear" w:color="auto" w:fill="auto"/>
            <w:vAlign w:val="bottom"/>
          </w:tcPr>
          <w:p w14:paraId="71D3F4E9" w14:textId="77777777" w:rsidR="006A3667" w:rsidRDefault="006A3667">
            <w:pPr>
              <w:rPr>
                <w:rFonts w:ascii="宋体"/>
                <w:vanish/>
              </w:rPr>
            </w:pPr>
          </w:p>
        </w:tc>
        <w:tc>
          <w:tcPr>
            <w:tcW w:w="0" w:type="auto"/>
            <w:shd w:val="clear" w:color="auto" w:fill="auto"/>
            <w:vAlign w:val="bottom"/>
          </w:tcPr>
          <w:p w14:paraId="71D3F4EA"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4E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4EC" w14:textId="77777777" w:rsidR="006A3667" w:rsidRDefault="00045F32">
            <w:pPr>
              <w:jc w:val="right"/>
              <w:textAlignment w:val="bottom"/>
            </w:pPr>
            <w:r>
              <w:rPr>
                <w:rFonts w:ascii="Arial" w:eastAsia="宋体" w:hAnsi="Arial" w:cs="Arial"/>
                <w:color w:val="000000"/>
                <w:sz w:val="14"/>
                <w:szCs w:val="14"/>
              </w:rPr>
              <w:t>(6)</w:t>
            </w:r>
          </w:p>
        </w:tc>
        <w:tc>
          <w:tcPr>
            <w:tcW w:w="0" w:type="auto"/>
            <w:shd w:val="clear" w:color="auto" w:fill="CCEEFF"/>
            <w:tcMar>
              <w:top w:w="40" w:type="dxa"/>
              <w:left w:w="0" w:type="dxa"/>
              <w:bottom w:w="40" w:type="dxa"/>
              <w:right w:w="20" w:type="dxa"/>
            </w:tcMar>
            <w:vAlign w:val="bottom"/>
          </w:tcPr>
          <w:p w14:paraId="71D3F4ED" w14:textId="77777777" w:rsidR="006A3667" w:rsidRDefault="006A3667">
            <w:pPr>
              <w:jc w:val="right"/>
              <w:rPr>
                <w:rFonts w:ascii="宋体"/>
              </w:rPr>
            </w:pPr>
          </w:p>
        </w:tc>
        <w:tc>
          <w:tcPr>
            <w:tcW w:w="0" w:type="auto"/>
            <w:gridSpan w:val="3"/>
            <w:shd w:val="clear" w:color="auto" w:fill="auto"/>
            <w:vAlign w:val="bottom"/>
          </w:tcPr>
          <w:p w14:paraId="71D3F4EE" w14:textId="77777777" w:rsidR="006A3667" w:rsidRDefault="006A3667">
            <w:pPr>
              <w:rPr>
                <w:rFonts w:ascii="宋体"/>
                <w:vanish/>
              </w:rPr>
            </w:pPr>
          </w:p>
        </w:tc>
        <w:tc>
          <w:tcPr>
            <w:tcW w:w="0" w:type="auto"/>
            <w:gridSpan w:val="3"/>
            <w:shd w:val="clear" w:color="auto" w:fill="auto"/>
            <w:vAlign w:val="bottom"/>
          </w:tcPr>
          <w:p w14:paraId="71D3F4EF" w14:textId="77777777" w:rsidR="006A3667" w:rsidRDefault="006A3667">
            <w:pPr>
              <w:rPr>
                <w:rFonts w:ascii="宋体"/>
                <w:vanish/>
              </w:rPr>
            </w:pPr>
          </w:p>
        </w:tc>
      </w:tr>
      <w:tr w:rsidR="006A3667" w14:paraId="71D3F4FE" w14:textId="77777777">
        <w:tc>
          <w:tcPr>
            <w:tcW w:w="0" w:type="auto"/>
            <w:gridSpan w:val="3"/>
            <w:shd w:val="clear" w:color="auto" w:fill="FFFFFF"/>
            <w:tcMar>
              <w:top w:w="40" w:type="dxa"/>
              <w:left w:w="20" w:type="dxa"/>
              <w:bottom w:w="40" w:type="dxa"/>
              <w:right w:w="20" w:type="dxa"/>
            </w:tcMar>
            <w:vAlign w:val="bottom"/>
          </w:tcPr>
          <w:p w14:paraId="71D3F4F1" w14:textId="77777777" w:rsidR="006A3667" w:rsidRDefault="00045F32">
            <w:pPr>
              <w:textAlignment w:val="bottom"/>
            </w:pPr>
            <w:r>
              <w:rPr>
                <w:rFonts w:ascii="Arial" w:eastAsia="宋体" w:hAnsi="Arial" w:cs="Arial"/>
                <w:color w:val="000000"/>
                <w:sz w:val="14"/>
                <w:szCs w:val="14"/>
              </w:rPr>
              <w:t>Acquisition costs</w:t>
            </w:r>
          </w:p>
        </w:tc>
        <w:tc>
          <w:tcPr>
            <w:tcW w:w="0" w:type="auto"/>
            <w:gridSpan w:val="2"/>
            <w:shd w:val="clear" w:color="auto" w:fill="FFFFFF"/>
            <w:tcMar>
              <w:top w:w="40" w:type="dxa"/>
              <w:left w:w="20" w:type="dxa"/>
              <w:bottom w:w="40" w:type="dxa"/>
              <w:right w:w="0" w:type="dxa"/>
            </w:tcMar>
            <w:vAlign w:val="bottom"/>
          </w:tcPr>
          <w:p w14:paraId="71D3F4F2" w14:textId="77777777" w:rsidR="006A3667" w:rsidRDefault="00045F32">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4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4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4F5" w14:textId="77777777" w:rsidR="006A3667" w:rsidRDefault="00045F32">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71D3F4F6" w14:textId="77777777" w:rsidR="006A3667" w:rsidRDefault="006A3667">
            <w:pPr>
              <w:jc w:val="right"/>
              <w:rPr>
                <w:rFonts w:ascii="宋体"/>
              </w:rPr>
            </w:pPr>
          </w:p>
        </w:tc>
        <w:tc>
          <w:tcPr>
            <w:tcW w:w="0" w:type="auto"/>
            <w:shd w:val="clear" w:color="auto" w:fill="auto"/>
            <w:vAlign w:val="bottom"/>
          </w:tcPr>
          <w:p w14:paraId="71D3F4F7" w14:textId="77777777" w:rsidR="006A3667" w:rsidRDefault="006A3667">
            <w:pPr>
              <w:rPr>
                <w:rFonts w:ascii="宋体"/>
                <w:vanish/>
              </w:rPr>
            </w:pPr>
          </w:p>
        </w:tc>
        <w:tc>
          <w:tcPr>
            <w:tcW w:w="0" w:type="auto"/>
            <w:shd w:val="clear" w:color="auto" w:fill="auto"/>
            <w:vAlign w:val="bottom"/>
          </w:tcPr>
          <w:p w14:paraId="71D3F4F8"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4F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4FA" w14:textId="77777777" w:rsidR="006A3667" w:rsidRDefault="00045F32">
            <w:pPr>
              <w:jc w:val="right"/>
              <w:textAlignment w:val="bottom"/>
            </w:pPr>
            <w:r>
              <w:rPr>
                <w:rFonts w:ascii="Arial" w:eastAsia="宋体" w:hAnsi="Arial" w:cs="Arial"/>
                <w:color w:val="000000"/>
                <w:sz w:val="14"/>
                <w:szCs w:val="14"/>
              </w:rPr>
              <w:t>(28)</w:t>
            </w:r>
          </w:p>
        </w:tc>
        <w:tc>
          <w:tcPr>
            <w:tcW w:w="0" w:type="auto"/>
            <w:shd w:val="clear" w:color="auto" w:fill="FFFFFF"/>
            <w:tcMar>
              <w:top w:w="40" w:type="dxa"/>
              <w:left w:w="0" w:type="dxa"/>
              <w:bottom w:w="40" w:type="dxa"/>
              <w:right w:w="20" w:type="dxa"/>
            </w:tcMar>
            <w:vAlign w:val="bottom"/>
          </w:tcPr>
          <w:p w14:paraId="71D3F4FB" w14:textId="77777777" w:rsidR="006A3667" w:rsidRDefault="006A3667">
            <w:pPr>
              <w:jc w:val="right"/>
              <w:rPr>
                <w:rFonts w:ascii="宋体"/>
              </w:rPr>
            </w:pPr>
          </w:p>
        </w:tc>
        <w:tc>
          <w:tcPr>
            <w:tcW w:w="0" w:type="auto"/>
            <w:gridSpan w:val="3"/>
            <w:shd w:val="clear" w:color="auto" w:fill="auto"/>
            <w:vAlign w:val="bottom"/>
          </w:tcPr>
          <w:p w14:paraId="71D3F4FC" w14:textId="77777777" w:rsidR="006A3667" w:rsidRDefault="006A3667">
            <w:pPr>
              <w:rPr>
                <w:rFonts w:ascii="宋体"/>
                <w:vanish/>
              </w:rPr>
            </w:pPr>
          </w:p>
        </w:tc>
        <w:tc>
          <w:tcPr>
            <w:tcW w:w="0" w:type="auto"/>
            <w:gridSpan w:val="3"/>
            <w:shd w:val="clear" w:color="auto" w:fill="auto"/>
            <w:vAlign w:val="bottom"/>
          </w:tcPr>
          <w:p w14:paraId="71D3F4FD" w14:textId="77777777" w:rsidR="006A3667" w:rsidRDefault="006A3667">
            <w:pPr>
              <w:rPr>
                <w:rFonts w:ascii="宋体"/>
                <w:vanish/>
              </w:rPr>
            </w:pPr>
          </w:p>
        </w:tc>
      </w:tr>
      <w:tr w:rsidR="006A3667" w14:paraId="71D3F50C" w14:textId="77777777">
        <w:tc>
          <w:tcPr>
            <w:tcW w:w="0" w:type="auto"/>
            <w:gridSpan w:val="3"/>
            <w:shd w:val="clear" w:color="auto" w:fill="CCEEFF"/>
            <w:tcMar>
              <w:top w:w="40" w:type="dxa"/>
              <w:left w:w="20" w:type="dxa"/>
              <w:bottom w:w="40" w:type="dxa"/>
              <w:right w:w="20" w:type="dxa"/>
            </w:tcMar>
            <w:vAlign w:val="bottom"/>
          </w:tcPr>
          <w:p w14:paraId="71D3F4FF" w14:textId="77777777" w:rsidR="006A3667" w:rsidRDefault="00045F32">
            <w:pPr>
              <w:textAlignment w:val="bottom"/>
            </w:pPr>
            <w:r>
              <w:rPr>
                <w:rFonts w:ascii="Arial" w:eastAsia="宋体" w:hAnsi="Arial" w:cs="Arial"/>
                <w:color w:val="000000"/>
                <w:sz w:val="14"/>
                <w:szCs w:val="14"/>
              </w:rPr>
              <w:t>Restructuring charges, net</w:t>
            </w:r>
          </w:p>
        </w:tc>
        <w:tc>
          <w:tcPr>
            <w:tcW w:w="0" w:type="auto"/>
            <w:gridSpan w:val="2"/>
            <w:shd w:val="clear" w:color="auto" w:fill="CCEEFF"/>
            <w:tcMar>
              <w:top w:w="40" w:type="dxa"/>
              <w:left w:w="20" w:type="dxa"/>
              <w:bottom w:w="40" w:type="dxa"/>
              <w:right w:w="0" w:type="dxa"/>
            </w:tcMar>
            <w:vAlign w:val="bottom"/>
          </w:tcPr>
          <w:p w14:paraId="71D3F50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5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0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0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504" w14:textId="77777777" w:rsidR="006A3667" w:rsidRDefault="006A3667">
            <w:pPr>
              <w:jc w:val="right"/>
              <w:rPr>
                <w:rFonts w:ascii="宋体"/>
              </w:rPr>
            </w:pPr>
          </w:p>
        </w:tc>
        <w:tc>
          <w:tcPr>
            <w:tcW w:w="0" w:type="auto"/>
            <w:shd w:val="clear" w:color="auto" w:fill="auto"/>
            <w:vAlign w:val="bottom"/>
          </w:tcPr>
          <w:p w14:paraId="71D3F505" w14:textId="77777777" w:rsidR="006A3667" w:rsidRDefault="006A3667">
            <w:pPr>
              <w:rPr>
                <w:rFonts w:ascii="宋体"/>
                <w:vanish/>
              </w:rPr>
            </w:pPr>
          </w:p>
        </w:tc>
        <w:tc>
          <w:tcPr>
            <w:tcW w:w="0" w:type="auto"/>
            <w:shd w:val="clear" w:color="auto" w:fill="auto"/>
            <w:vAlign w:val="bottom"/>
          </w:tcPr>
          <w:p w14:paraId="71D3F506"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0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509" w14:textId="77777777" w:rsidR="006A3667" w:rsidRDefault="006A3667">
            <w:pPr>
              <w:jc w:val="right"/>
              <w:rPr>
                <w:rFonts w:ascii="宋体"/>
              </w:rPr>
            </w:pPr>
          </w:p>
        </w:tc>
        <w:tc>
          <w:tcPr>
            <w:tcW w:w="0" w:type="auto"/>
            <w:gridSpan w:val="3"/>
            <w:shd w:val="clear" w:color="auto" w:fill="auto"/>
            <w:vAlign w:val="bottom"/>
          </w:tcPr>
          <w:p w14:paraId="71D3F50A" w14:textId="77777777" w:rsidR="006A3667" w:rsidRDefault="006A3667">
            <w:pPr>
              <w:rPr>
                <w:rFonts w:ascii="宋体"/>
                <w:vanish/>
              </w:rPr>
            </w:pPr>
          </w:p>
        </w:tc>
        <w:tc>
          <w:tcPr>
            <w:tcW w:w="0" w:type="auto"/>
            <w:gridSpan w:val="3"/>
            <w:shd w:val="clear" w:color="auto" w:fill="auto"/>
            <w:vAlign w:val="bottom"/>
          </w:tcPr>
          <w:p w14:paraId="71D3F50B" w14:textId="77777777" w:rsidR="006A3667" w:rsidRDefault="006A3667">
            <w:pPr>
              <w:rPr>
                <w:rFonts w:ascii="宋体"/>
                <w:vanish/>
              </w:rPr>
            </w:pPr>
          </w:p>
        </w:tc>
      </w:tr>
      <w:tr w:rsidR="006A3667" w14:paraId="71D3F517" w14:textId="77777777">
        <w:tc>
          <w:tcPr>
            <w:tcW w:w="0" w:type="auto"/>
            <w:gridSpan w:val="3"/>
            <w:shd w:val="clear" w:color="auto" w:fill="FFFFFF"/>
            <w:tcMar>
              <w:top w:w="40" w:type="dxa"/>
              <w:left w:w="20" w:type="dxa"/>
              <w:bottom w:w="40" w:type="dxa"/>
              <w:right w:w="20" w:type="dxa"/>
            </w:tcMar>
            <w:vAlign w:val="bottom"/>
          </w:tcPr>
          <w:p w14:paraId="71D3F50D" w14:textId="77777777" w:rsidR="006A3667" w:rsidRDefault="00045F32">
            <w:pPr>
              <w:textAlignment w:val="bottom"/>
            </w:pPr>
            <w:r>
              <w:rPr>
                <w:rFonts w:ascii="Arial" w:eastAsia="宋体" w:hAnsi="Arial" w:cs="Arial"/>
                <w:color w:val="000000"/>
                <w:sz w:val="14"/>
                <w:szCs w:val="14"/>
              </w:rPr>
              <w:t>Other:</w:t>
            </w:r>
          </w:p>
        </w:tc>
        <w:tc>
          <w:tcPr>
            <w:tcW w:w="0" w:type="auto"/>
            <w:gridSpan w:val="3"/>
            <w:shd w:val="clear" w:color="auto" w:fill="FFFFFF"/>
            <w:tcMar>
              <w:top w:w="0" w:type="dxa"/>
              <w:left w:w="20" w:type="dxa"/>
              <w:bottom w:w="0" w:type="dxa"/>
              <w:right w:w="20" w:type="dxa"/>
            </w:tcMar>
            <w:vAlign w:val="bottom"/>
          </w:tcPr>
          <w:p w14:paraId="71D3F50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50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510" w14:textId="77777777" w:rsidR="006A3667" w:rsidRDefault="006A3667">
            <w:pPr>
              <w:rPr>
                <w:rFonts w:ascii="宋体"/>
              </w:rPr>
            </w:pPr>
          </w:p>
        </w:tc>
        <w:tc>
          <w:tcPr>
            <w:tcW w:w="0" w:type="auto"/>
            <w:shd w:val="clear" w:color="auto" w:fill="auto"/>
            <w:vAlign w:val="bottom"/>
          </w:tcPr>
          <w:p w14:paraId="71D3F511" w14:textId="77777777" w:rsidR="006A3667" w:rsidRDefault="006A3667">
            <w:pPr>
              <w:rPr>
                <w:rFonts w:ascii="宋体"/>
                <w:vanish/>
              </w:rPr>
            </w:pPr>
          </w:p>
        </w:tc>
        <w:tc>
          <w:tcPr>
            <w:tcW w:w="0" w:type="auto"/>
            <w:shd w:val="clear" w:color="auto" w:fill="auto"/>
            <w:vAlign w:val="bottom"/>
          </w:tcPr>
          <w:p w14:paraId="71D3F512"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51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514" w14:textId="77777777" w:rsidR="006A3667" w:rsidRDefault="006A3667">
            <w:pPr>
              <w:rPr>
                <w:rFonts w:ascii="宋体"/>
              </w:rPr>
            </w:pPr>
          </w:p>
        </w:tc>
        <w:tc>
          <w:tcPr>
            <w:tcW w:w="0" w:type="auto"/>
            <w:gridSpan w:val="3"/>
            <w:shd w:val="clear" w:color="auto" w:fill="auto"/>
            <w:vAlign w:val="bottom"/>
          </w:tcPr>
          <w:p w14:paraId="71D3F515" w14:textId="77777777" w:rsidR="006A3667" w:rsidRDefault="006A3667">
            <w:pPr>
              <w:rPr>
                <w:rFonts w:ascii="宋体"/>
                <w:vanish/>
              </w:rPr>
            </w:pPr>
          </w:p>
        </w:tc>
        <w:tc>
          <w:tcPr>
            <w:tcW w:w="0" w:type="auto"/>
            <w:gridSpan w:val="3"/>
            <w:shd w:val="clear" w:color="auto" w:fill="auto"/>
            <w:vAlign w:val="bottom"/>
          </w:tcPr>
          <w:p w14:paraId="71D3F516" w14:textId="77777777" w:rsidR="006A3667" w:rsidRDefault="006A3667">
            <w:pPr>
              <w:rPr>
                <w:rFonts w:ascii="宋体"/>
                <w:vanish/>
              </w:rPr>
            </w:pPr>
          </w:p>
        </w:tc>
      </w:tr>
      <w:tr w:rsidR="006A3667" w14:paraId="71D3F525" w14:textId="77777777">
        <w:tc>
          <w:tcPr>
            <w:tcW w:w="0" w:type="auto"/>
            <w:gridSpan w:val="3"/>
            <w:shd w:val="clear" w:color="auto" w:fill="CCEEFF"/>
            <w:tcMar>
              <w:top w:w="40" w:type="dxa"/>
              <w:left w:w="155" w:type="dxa"/>
              <w:bottom w:w="40" w:type="dxa"/>
              <w:right w:w="20" w:type="dxa"/>
            </w:tcMar>
            <w:vAlign w:val="bottom"/>
          </w:tcPr>
          <w:p w14:paraId="71D3F518" w14:textId="77777777" w:rsidR="006A3667" w:rsidRDefault="00045F32">
            <w:pPr>
              <w:textAlignment w:val="bottom"/>
            </w:pPr>
            <w:r>
              <w:rPr>
                <w:rFonts w:ascii="Arial" w:eastAsia="宋体" w:hAnsi="Arial" w:cs="Arial"/>
                <w:color w:val="000000"/>
                <w:sz w:val="14"/>
                <w:szCs w:val="14"/>
              </w:rPr>
              <w:t>Professional services</w:t>
            </w:r>
          </w:p>
        </w:tc>
        <w:tc>
          <w:tcPr>
            <w:tcW w:w="0" w:type="auto"/>
            <w:gridSpan w:val="2"/>
            <w:shd w:val="clear" w:color="auto" w:fill="CCEEFF"/>
            <w:tcMar>
              <w:top w:w="40" w:type="dxa"/>
              <w:left w:w="20" w:type="dxa"/>
              <w:bottom w:w="40" w:type="dxa"/>
              <w:right w:w="0" w:type="dxa"/>
            </w:tcMar>
            <w:vAlign w:val="bottom"/>
          </w:tcPr>
          <w:p w14:paraId="71D3F519" w14:textId="77777777" w:rsidR="006A3667" w:rsidRDefault="00045F32">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5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1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1C" w14:textId="77777777" w:rsidR="006A3667" w:rsidRDefault="00045F32">
            <w:pPr>
              <w:jc w:val="right"/>
              <w:textAlignment w:val="bottom"/>
            </w:pPr>
            <w:r>
              <w:rPr>
                <w:rFonts w:ascii="Arial" w:eastAsia="宋体" w:hAnsi="Arial" w:cs="Arial"/>
                <w:color w:val="000000"/>
                <w:sz w:val="14"/>
                <w:szCs w:val="14"/>
              </w:rPr>
              <w:t>91 </w:t>
            </w:r>
          </w:p>
        </w:tc>
        <w:tc>
          <w:tcPr>
            <w:tcW w:w="0" w:type="auto"/>
            <w:shd w:val="clear" w:color="auto" w:fill="CCEEFF"/>
            <w:tcMar>
              <w:top w:w="40" w:type="dxa"/>
              <w:left w:w="0" w:type="dxa"/>
              <w:bottom w:w="40" w:type="dxa"/>
              <w:right w:w="20" w:type="dxa"/>
            </w:tcMar>
            <w:vAlign w:val="bottom"/>
          </w:tcPr>
          <w:p w14:paraId="71D3F51D" w14:textId="77777777" w:rsidR="006A3667" w:rsidRDefault="006A3667">
            <w:pPr>
              <w:jc w:val="right"/>
              <w:rPr>
                <w:rFonts w:ascii="宋体"/>
              </w:rPr>
            </w:pPr>
          </w:p>
        </w:tc>
        <w:tc>
          <w:tcPr>
            <w:tcW w:w="0" w:type="auto"/>
            <w:shd w:val="clear" w:color="auto" w:fill="auto"/>
            <w:vAlign w:val="bottom"/>
          </w:tcPr>
          <w:p w14:paraId="71D3F51E" w14:textId="77777777" w:rsidR="006A3667" w:rsidRDefault="006A3667">
            <w:pPr>
              <w:rPr>
                <w:rFonts w:ascii="宋体"/>
                <w:vanish/>
              </w:rPr>
            </w:pPr>
          </w:p>
        </w:tc>
        <w:tc>
          <w:tcPr>
            <w:tcW w:w="0" w:type="auto"/>
            <w:shd w:val="clear" w:color="auto" w:fill="auto"/>
            <w:vAlign w:val="bottom"/>
          </w:tcPr>
          <w:p w14:paraId="71D3F51F"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2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21"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3F522" w14:textId="77777777" w:rsidR="006A3667" w:rsidRDefault="006A3667">
            <w:pPr>
              <w:jc w:val="right"/>
              <w:rPr>
                <w:rFonts w:ascii="宋体"/>
              </w:rPr>
            </w:pPr>
          </w:p>
        </w:tc>
        <w:tc>
          <w:tcPr>
            <w:tcW w:w="0" w:type="auto"/>
            <w:gridSpan w:val="3"/>
            <w:shd w:val="clear" w:color="auto" w:fill="auto"/>
            <w:vAlign w:val="bottom"/>
          </w:tcPr>
          <w:p w14:paraId="71D3F523" w14:textId="77777777" w:rsidR="006A3667" w:rsidRDefault="006A3667">
            <w:pPr>
              <w:rPr>
                <w:rFonts w:ascii="宋体"/>
                <w:vanish/>
              </w:rPr>
            </w:pPr>
          </w:p>
        </w:tc>
        <w:tc>
          <w:tcPr>
            <w:tcW w:w="0" w:type="auto"/>
            <w:gridSpan w:val="3"/>
            <w:shd w:val="clear" w:color="auto" w:fill="auto"/>
            <w:vAlign w:val="bottom"/>
          </w:tcPr>
          <w:p w14:paraId="71D3F524" w14:textId="77777777" w:rsidR="006A3667" w:rsidRDefault="006A3667">
            <w:pPr>
              <w:rPr>
                <w:rFonts w:ascii="宋体"/>
                <w:vanish/>
              </w:rPr>
            </w:pPr>
          </w:p>
        </w:tc>
      </w:tr>
      <w:tr w:rsidR="006A3667" w14:paraId="71D3F533" w14:textId="77777777">
        <w:tc>
          <w:tcPr>
            <w:tcW w:w="0" w:type="auto"/>
            <w:gridSpan w:val="3"/>
            <w:shd w:val="clear" w:color="auto" w:fill="FFFFFF"/>
            <w:tcMar>
              <w:top w:w="40" w:type="dxa"/>
              <w:left w:w="155" w:type="dxa"/>
              <w:bottom w:w="40" w:type="dxa"/>
              <w:right w:w="20" w:type="dxa"/>
            </w:tcMar>
            <w:vAlign w:val="bottom"/>
          </w:tcPr>
          <w:p w14:paraId="71D3F526"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3F527" w14:textId="77777777" w:rsidR="006A3667" w:rsidRDefault="00045F32">
            <w:pPr>
              <w:jc w:val="right"/>
              <w:textAlignment w:val="bottom"/>
            </w:pPr>
            <w:r>
              <w:rPr>
                <w:rFonts w:ascii="Arial" w:eastAsia="宋体" w:hAnsi="Arial" w:cs="Arial"/>
                <w:b/>
                <w:bCs/>
                <w:color w:val="000000"/>
                <w:sz w:val="14"/>
                <w:szCs w:val="14"/>
              </w:rPr>
              <w:t>182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52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52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2A" w14:textId="77777777" w:rsidR="006A3667" w:rsidRDefault="00045F32">
            <w:pPr>
              <w:jc w:val="right"/>
              <w:textAlignment w:val="bottom"/>
            </w:pPr>
            <w:r>
              <w:rPr>
                <w:rFonts w:ascii="Arial" w:eastAsia="宋体" w:hAnsi="Arial" w:cs="Arial"/>
                <w:color w:val="000000"/>
                <w:sz w:val="14"/>
                <w:szCs w:val="14"/>
              </w:rPr>
              <w:t>130 </w:t>
            </w:r>
          </w:p>
        </w:tc>
        <w:tc>
          <w:tcPr>
            <w:tcW w:w="0" w:type="auto"/>
            <w:shd w:val="clear" w:color="auto" w:fill="FFFFFF"/>
            <w:tcMar>
              <w:top w:w="40" w:type="dxa"/>
              <w:left w:w="0" w:type="dxa"/>
              <w:bottom w:w="40" w:type="dxa"/>
              <w:right w:w="20" w:type="dxa"/>
            </w:tcMar>
            <w:vAlign w:val="bottom"/>
          </w:tcPr>
          <w:p w14:paraId="71D3F52B" w14:textId="77777777" w:rsidR="006A3667" w:rsidRDefault="006A3667">
            <w:pPr>
              <w:jc w:val="right"/>
              <w:rPr>
                <w:rFonts w:ascii="宋体"/>
              </w:rPr>
            </w:pPr>
          </w:p>
        </w:tc>
        <w:tc>
          <w:tcPr>
            <w:tcW w:w="0" w:type="auto"/>
            <w:shd w:val="clear" w:color="auto" w:fill="auto"/>
            <w:vAlign w:val="bottom"/>
          </w:tcPr>
          <w:p w14:paraId="71D3F52C" w14:textId="77777777" w:rsidR="006A3667" w:rsidRDefault="006A3667">
            <w:pPr>
              <w:rPr>
                <w:rFonts w:ascii="宋体"/>
                <w:vanish/>
              </w:rPr>
            </w:pPr>
          </w:p>
        </w:tc>
        <w:tc>
          <w:tcPr>
            <w:tcW w:w="0" w:type="auto"/>
            <w:shd w:val="clear" w:color="auto" w:fill="auto"/>
            <w:vAlign w:val="bottom"/>
          </w:tcPr>
          <w:p w14:paraId="71D3F52D"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52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2F" w14:textId="77777777" w:rsidR="006A3667" w:rsidRDefault="00045F32">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71D3F530" w14:textId="77777777" w:rsidR="006A3667" w:rsidRDefault="006A3667">
            <w:pPr>
              <w:jc w:val="right"/>
              <w:rPr>
                <w:rFonts w:ascii="宋体"/>
              </w:rPr>
            </w:pPr>
          </w:p>
        </w:tc>
        <w:tc>
          <w:tcPr>
            <w:tcW w:w="0" w:type="auto"/>
            <w:gridSpan w:val="3"/>
            <w:shd w:val="clear" w:color="auto" w:fill="auto"/>
            <w:vAlign w:val="bottom"/>
          </w:tcPr>
          <w:p w14:paraId="71D3F531" w14:textId="77777777" w:rsidR="006A3667" w:rsidRDefault="006A3667">
            <w:pPr>
              <w:rPr>
                <w:rFonts w:ascii="宋体"/>
                <w:vanish/>
              </w:rPr>
            </w:pPr>
          </w:p>
        </w:tc>
        <w:tc>
          <w:tcPr>
            <w:tcW w:w="0" w:type="auto"/>
            <w:gridSpan w:val="3"/>
            <w:shd w:val="clear" w:color="auto" w:fill="auto"/>
            <w:vAlign w:val="bottom"/>
          </w:tcPr>
          <w:p w14:paraId="71D3F532" w14:textId="77777777" w:rsidR="006A3667" w:rsidRDefault="006A3667">
            <w:pPr>
              <w:rPr>
                <w:rFonts w:ascii="宋体"/>
                <w:vanish/>
              </w:rPr>
            </w:pPr>
          </w:p>
        </w:tc>
      </w:tr>
      <w:tr w:rsidR="006A3667" w14:paraId="71D3F541" w14:textId="77777777">
        <w:tc>
          <w:tcPr>
            <w:tcW w:w="0" w:type="auto"/>
            <w:gridSpan w:val="3"/>
            <w:shd w:val="clear" w:color="auto" w:fill="CCEEFF"/>
            <w:tcMar>
              <w:top w:w="40" w:type="dxa"/>
              <w:left w:w="20" w:type="dxa"/>
              <w:bottom w:w="40" w:type="dxa"/>
              <w:right w:w="20" w:type="dxa"/>
            </w:tcMar>
            <w:vAlign w:val="bottom"/>
          </w:tcPr>
          <w:p w14:paraId="71D3F534" w14:textId="77777777" w:rsidR="006A3667" w:rsidRDefault="00045F32">
            <w:pPr>
              <w:textAlignment w:val="bottom"/>
            </w:pPr>
            <w:r>
              <w:rPr>
                <w:rFonts w:ascii="Arial" w:eastAsia="宋体" w:hAnsi="Arial" w:cs="Arial"/>
                <w:color w:val="000000"/>
                <w:sz w:val="14"/>
                <w:szCs w:val="14"/>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535" w14:textId="77777777" w:rsidR="006A3667" w:rsidRDefault="00045F32">
            <w:pPr>
              <w:jc w:val="right"/>
              <w:textAlignment w:val="bottom"/>
            </w:pPr>
            <w:r>
              <w:rPr>
                <w:rFonts w:ascii="Arial" w:eastAsia="宋体" w:hAnsi="Arial" w:cs="Arial"/>
                <w:b/>
                <w:bCs/>
                <w:color w:val="000000"/>
                <w:sz w:val="14"/>
                <w:szCs w:val="14"/>
              </w:rPr>
              <w:t>274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53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3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538" w14:textId="77777777" w:rsidR="006A3667" w:rsidRDefault="00045F32">
            <w:pPr>
              <w:jc w:val="right"/>
              <w:textAlignment w:val="bottom"/>
            </w:pPr>
            <w:r>
              <w:rPr>
                <w:rFonts w:ascii="Arial" w:eastAsia="宋体" w:hAnsi="Arial" w:cs="Arial"/>
                <w:color w:val="000000"/>
                <w:sz w:val="14"/>
                <w:szCs w:val="14"/>
              </w:rPr>
              <w:t>221 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539" w14:textId="77777777" w:rsidR="006A3667" w:rsidRDefault="006A3667">
            <w:pPr>
              <w:jc w:val="right"/>
              <w:rPr>
                <w:rFonts w:ascii="宋体"/>
              </w:rPr>
            </w:pPr>
          </w:p>
        </w:tc>
        <w:tc>
          <w:tcPr>
            <w:tcW w:w="0" w:type="auto"/>
            <w:shd w:val="clear" w:color="auto" w:fill="auto"/>
            <w:vAlign w:val="bottom"/>
          </w:tcPr>
          <w:p w14:paraId="71D3F53A" w14:textId="77777777" w:rsidR="006A3667" w:rsidRDefault="006A3667">
            <w:pPr>
              <w:rPr>
                <w:rFonts w:ascii="宋体"/>
                <w:vanish/>
              </w:rPr>
            </w:pPr>
          </w:p>
        </w:tc>
        <w:tc>
          <w:tcPr>
            <w:tcW w:w="0" w:type="auto"/>
            <w:shd w:val="clear" w:color="auto" w:fill="auto"/>
            <w:vAlign w:val="bottom"/>
          </w:tcPr>
          <w:p w14:paraId="71D3F53B"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3D" w14:textId="77777777" w:rsidR="006A3667" w:rsidRDefault="00045F32">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71D3F53E" w14:textId="77777777" w:rsidR="006A3667" w:rsidRDefault="006A3667">
            <w:pPr>
              <w:jc w:val="right"/>
              <w:rPr>
                <w:rFonts w:ascii="宋体"/>
              </w:rPr>
            </w:pPr>
          </w:p>
        </w:tc>
        <w:tc>
          <w:tcPr>
            <w:tcW w:w="0" w:type="auto"/>
            <w:gridSpan w:val="3"/>
            <w:shd w:val="clear" w:color="auto" w:fill="auto"/>
            <w:vAlign w:val="bottom"/>
          </w:tcPr>
          <w:p w14:paraId="71D3F53F" w14:textId="77777777" w:rsidR="006A3667" w:rsidRDefault="006A3667">
            <w:pPr>
              <w:rPr>
                <w:rFonts w:ascii="宋体"/>
                <w:vanish/>
              </w:rPr>
            </w:pPr>
          </w:p>
        </w:tc>
        <w:tc>
          <w:tcPr>
            <w:tcW w:w="0" w:type="auto"/>
            <w:gridSpan w:val="3"/>
            <w:shd w:val="clear" w:color="auto" w:fill="auto"/>
            <w:vAlign w:val="bottom"/>
          </w:tcPr>
          <w:p w14:paraId="71D3F540" w14:textId="77777777" w:rsidR="006A3667" w:rsidRDefault="006A3667">
            <w:pPr>
              <w:rPr>
                <w:rFonts w:ascii="宋体"/>
                <w:vanish/>
              </w:rPr>
            </w:pPr>
          </w:p>
        </w:tc>
      </w:tr>
      <w:tr w:rsidR="006A3667" w14:paraId="71D3F551" w14:textId="77777777">
        <w:tc>
          <w:tcPr>
            <w:tcW w:w="0" w:type="auto"/>
            <w:gridSpan w:val="3"/>
            <w:shd w:val="clear" w:color="auto" w:fill="FFFFFF"/>
            <w:tcMar>
              <w:top w:w="40" w:type="dxa"/>
              <w:left w:w="20" w:type="dxa"/>
              <w:bottom w:w="40" w:type="dxa"/>
              <w:right w:w="20" w:type="dxa"/>
            </w:tcMar>
            <w:vAlign w:val="bottom"/>
          </w:tcPr>
          <w:p w14:paraId="71D3F542" w14:textId="77777777" w:rsidR="006A3667" w:rsidRDefault="00045F32">
            <w:pPr>
              <w:textAlignment w:val="bottom"/>
            </w:pPr>
            <w:r>
              <w:rPr>
                <w:rFonts w:ascii="Arial" w:eastAsia="宋体" w:hAnsi="Arial" w:cs="Arial"/>
                <w:color w:val="000000"/>
                <w:sz w:val="14"/>
                <w:szCs w:val="14"/>
              </w:rPr>
              <w:t>To</w:t>
            </w:r>
            <w:r>
              <w:rPr>
                <w:rFonts w:ascii="Arial" w:eastAsia="宋体" w:hAnsi="Arial" w:cs="Arial"/>
                <w:color w:val="000000"/>
                <w:sz w:val="14"/>
                <w:szCs w:val="14"/>
              </w:rPr>
              <w:t>tal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71D3F543"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544" w14:textId="77777777" w:rsidR="006A3667" w:rsidRDefault="00045F32">
            <w:pPr>
              <w:jc w:val="right"/>
              <w:textAlignment w:val="bottom"/>
            </w:pPr>
            <w:r>
              <w:rPr>
                <w:rFonts w:ascii="Arial" w:eastAsia="宋体" w:hAnsi="Arial" w:cs="Arial"/>
                <w:b/>
                <w:bCs/>
                <w:color w:val="000000"/>
                <w:sz w:val="14"/>
                <w:szCs w:val="14"/>
              </w:rPr>
              <w:t>2,110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5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546"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547"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548" w14:textId="77777777" w:rsidR="006A3667" w:rsidRDefault="00045F32">
            <w:pPr>
              <w:jc w:val="right"/>
              <w:textAlignment w:val="bottom"/>
            </w:pPr>
            <w:r>
              <w:rPr>
                <w:rFonts w:ascii="Arial" w:eastAsia="宋体" w:hAnsi="Arial" w:cs="Arial"/>
                <w:color w:val="000000"/>
                <w:sz w:val="14"/>
                <w:szCs w:val="14"/>
              </w:rPr>
              <w:t>2,116 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549" w14:textId="77777777" w:rsidR="006A3667" w:rsidRDefault="006A3667">
            <w:pPr>
              <w:jc w:val="right"/>
              <w:rPr>
                <w:rFonts w:ascii="宋体"/>
              </w:rPr>
            </w:pPr>
          </w:p>
        </w:tc>
        <w:tc>
          <w:tcPr>
            <w:tcW w:w="0" w:type="auto"/>
            <w:shd w:val="clear" w:color="auto" w:fill="auto"/>
            <w:vAlign w:val="bottom"/>
          </w:tcPr>
          <w:p w14:paraId="71D3F54A" w14:textId="77777777" w:rsidR="006A3667" w:rsidRDefault="006A3667">
            <w:pPr>
              <w:rPr>
                <w:rFonts w:ascii="宋体"/>
                <w:vanish/>
              </w:rPr>
            </w:pPr>
          </w:p>
        </w:tc>
        <w:tc>
          <w:tcPr>
            <w:tcW w:w="0" w:type="auto"/>
            <w:shd w:val="clear" w:color="auto" w:fill="auto"/>
            <w:vAlign w:val="bottom"/>
          </w:tcPr>
          <w:p w14:paraId="71D3F54B"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5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4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54E" w14:textId="77777777" w:rsidR="006A3667" w:rsidRDefault="006A3667">
            <w:pPr>
              <w:jc w:val="right"/>
              <w:rPr>
                <w:rFonts w:ascii="宋体"/>
              </w:rPr>
            </w:pPr>
          </w:p>
        </w:tc>
        <w:tc>
          <w:tcPr>
            <w:tcW w:w="0" w:type="auto"/>
            <w:gridSpan w:val="3"/>
            <w:shd w:val="clear" w:color="auto" w:fill="auto"/>
            <w:vAlign w:val="bottom"/>
          </w:tcPr>
          <w:p w14:paraId="71D3F54F" w14:textId="77777777" w:rsidR="006A3667" w:rsidRDefault="006A3667">
            <w:pPr>
              <w:rPr>
                <w:rFonts w:ascii="宋体"/>
                <w:vanish/>
              </w:rPr>
            </w:pPr>
          </w:p>
        </w:tc>
        <w:tc>
          <w:tcPr>
            <w:tcW w:w="0" w:type="auto"/>
            <w:gridSpan w:val="3"/>
            <w:shd w:val="clear" w:color="auto" w:fill="auto"/>
            <w:vAlign w:val="bottom"/>
          </w:tcPr>
          <w:p w14:paraId="71D3F550" w14:textId="77777777" w:rsidR="006A3667" w:rsidRDefault="006A3667">
            <w:pPr>
              <w:rPr>
                <w:rFonts w:ascii="宋体"/>
                <w:vanish/>
              </w:rPr>
            </w:pPr>
          </w:p>
        </w:tc>
      </w:tr>
      <w:tr w:rsidR="006A3667" w14:paraId="71D3F55F" w14:textId="77777777">
        <w:tc>
          <w:tcPr>
            <w:tcW w:w="0" w:type="auto"/>
            <w:gridSpan w:val="3"/>
            <w:shd w:val="clear" w:color="auto" w:fill="CCEEFF"/>
            <w:tcMar>
              <w:top w:w="40" w:type="dxa"/>
              <w:left w:w="20" w:type="dxa"/>
              <w:bottom w:w="40" w:type="dxa"/>
              <w:right w:w="20" w:type="dxa"/>
            </w:tcMar>
            <w:vAlign w:val="bottom"/>
          </w:tcPr>
          <w:p w14:paraId="71D3F552" w14:textId="77777777" w:rsidR="006A3667" w:rsidRDefault="00045F32">
            <w:pPr>
              <w:textAlignment w:val="bottom"/>
            </w:pPr>
            <w:r>
              <w:rPr>
                <w:rFonts w:ascii="Arial" w:eastAsia="宋体" w:hAnsi="Arial" w:cs="Arial"/>
                <w:color w:val="000000"/>
                <w:sz w:val="14"/>
                <w:szCs w:val="14"/>
              </w:rPr>
              <w:t>Number of employees at quarter-end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553" w14:textId="77777777" w:rsidR="006A3667" w:rsidRDefault="00045F32">
            <w:pPr>
              <w:jc w:val="right"/>
              <w:textAlignment w:val="bottom"/>
            </w:pPr>
            <w:r>
              <w:rPr>
                <w:rFonts w:ascii="Arial" w:eastAsia="宋体" w:hAnsi="Arial" w:cs="Arial"/>
                <w:b/>
                <w:bCs/>
                <w:color w:val="000000"/>
                <w:sz w:val="14"/>
                <w:szCs w:val="14"/>
              </w:rPr>
              <w:t>41,354</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5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55"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556" w14:textId="77777777" w:rsidR="006A3667" w:rsidRDefault="00045F32">
            <w:pPr>
              <w:jc w:val="right"/>
              <w:textAlignment w:val="bottom"/>
            </w:pPr>
            <w:r>
              <w:rPr>
                <w:rFonts w:ascii="Arial" w:eastAsia="宋体" w:hAnsi="Arial" w:cs="Arial"/>
                <w:color w:val="000000"/>
                <w:sz w:val="14"/>
                <w:szCs w:val="14"/>
              </w:rPr>
              <w:t>38,932 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557" w14:textId="77777777" w:rsidR="006A3667" w:rsidRDefault="006A3667">
            <w:pPr>
              <w:jc w:val="right"/>
              <w:rPr>
                <w:rFonts w:ascii="宋体"/>
              </w:rPr>
            </w:pPr>
          </w:p>
        </w:tc>
        <w:tc>
          <w:tcPr>
            <w:tcW w:w="0" w:type="auto"/>
            <w:shd w:val="clear" w:color="auto" w:fill="auto"/>
            <w:vAlign w:val="bottom"/>
          </w:tcPr>
          <w:p w14:paraId="71D3F558" w14:textId="77777777" w:rsidR="006A3667" w:rsidRDefault="006A3667">
            <w:pPr>
              <w:rPr>
                <w:rFonts w:ascii="宋体"/>
                <w:vanish/>
              </w:rPr>
            </w:pPr>
          </w:p>
        </w:tc>
        <w:tc>
          <w:tcPr>
            <w:tcW w:w="0" w:type="auto"/>
            <w:shd w:val="clear" w:color="auto" w:fill="auto"/>
            <w:vAlign w:val="bottom"/>
          </w:tcPr>
          <w:p w14:paraId="71D3F559"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5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5B" w14:textId="77777777" w:rsidR="006A3667" w:rsidRDefault="00045F32">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71D3F55C" w14:textId="77777777" w:rsidR="006A3667" w:rsidRDefault="006A3667">
            <w:pPr>
              <w:jc w:val="right"/>
              <w:rPr>
                <w:rFonts w:ascii="宋体"/>
              </w:rPr>
            </w:pPr>
          </w:p>
        </w:tc>
        <w:tc>
          <w:tcPr>
            <w:tcW w:w="0" w:type="auto"/>
            <w:gridSpan w:val="3"/>
            <w:shd w:val="clear" w:color="auto" w:fill="auto"/>
            <w:vAlign w:val="bottom"/>
          </w:tcPr>
          <w:p w14:paraId="71D3F55D" w14:textId="77777777" w:rsidR="006A3667" w:rsidRDefault="006A3667">
            <w:pPr>
              <w:rPr>
                <w:rFonts w:ascii="宋体"/>
                <w:vanish/>
              </w:rPr>
            </w:pPr>
          </w:p>
        </w:tc>
        <w:tc>
          <w:tcPr>
            <w:tcW w:w="0" w:type="auto"/>
            <w:gridSpan w:val="3"/>
            <w:shd w:val="clear" w:color="auto" w:fill="auto"/>
            <w:vAlign w:val="bottom"/>
          </w:tcPr>
          <w:p w14:paraId="71D3F55E" w14:textId="77777777" w:rsidR="006A3667" w:rsidRDefault="006A3667">
            <w:pPr>
              <w:rPr>
                <w:rFonts w:ascii="宋体"/>
                <w:vanish/>
              </w:rPr>
            </w:pPr>
          </w:p>
        </w:tc>
      </w:tr>
      <w:tr w:rsidR="006A3667" w14:paraId="71D3F56A" w14:textId="77777777">
        <w:trPr>
          <w:trHeight w:val="60"/>
        </w:trPr>
        <w:tc>
          <w:tcPr>
            <w:tcW w:w="0" w:type="auto"/>
            <w:gridSpan w:val="3"/>
            <w:shd w:val="clear" w:color="auto" w:fill="auto"/>
            <w:tcMar>
              <w:top w:w="0" w:type="dxa"/>
              <w:left w:w="20" w:type="dxa"/>
              <w:bottom w:w="0" w:type="dxa"/>
              <w:right w:w="20" w:type="dxa"/>
            </w:tcMar>
            <w:vAlign w:val="bottom"/>
          </w:tcPr>
          <w:p w14:paraId="71D3F56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56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56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563" w14:textId="77777777" w:rsidR="006A3667" w:rsidRDefault="006A3667">
            <w:pPr>
              <w:rPr>
                <w:rFonts w:ascii="宋体"/>
              </w:rPr>
            </w:pPr>
          </w:p>
        </w:tc>
        <w:tc>
          <w:tcPr>
            <w:tcW w:w="0" w:type="auto"/>
            <w:shd w:val="clear" w:color="auto" w:fill="auto"/>
            <w:vAlign w:val="bottom"/>
          </w:tcPr>
          <w:p w14:paraId="71D3F564" w14:textId="77777777" w:rsidR="006A3667" w:rsidRDefault="006A3667">
            <w:pPr>
              <w:rPr>
                <w:rFonts w:ascii="宋体"/>
                <w:vanish/>
              </w:rPr>
            </w:pPr>
          </w:p>
        </w:tc>
        <w:tc>
          <w:tcPr>
            <w:tcW w:w="0" w:type="auto"/>
            <w:shd w:val="clear" w:color="auto" w:fill="auto"/>
            <w:vAlign w:val="bottom"/>
          </w:tcPr>
          <w:p w14:paraId="71D3F565"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56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567" w14:textId="77777777" w:rsidR="006A3667" w:rsidRDefault="006A3667">
            <w:pPr>
              <w:rPr>
                <w:rFonts w:ascii="宋体"/>
              </w:rPr>
            </w:pPr>
          </w:p>
        </w:tc>
        <w:tc>
          <w:tcPr>
            <w:tcW w:w="0" w:type="auto"/>
            <w:gridSpan w:val="3"/>
            <w:shd w:val="clear" w:color="auto" w:fill="auto"/>
            <w:vAlign w:val="bottom"/>
          </w:tcPr>
          <w:p w14:paraId="71D3F568" w14:textId="77777777" w:rsidR="006A3667" w:rsidRDefault="006A3667">
            <w:pPr>
              <w:rPr>
                <w:rFonts w:ascii="宋体"/>
                <w:vanish/>
              </w:rPr>
            </w:pPr>
          </w:p>
        </w:tc>
        <w:tc>
          <w:tcPr>
            <w:tcW w:w="0" w:type="auto"/>
            <w:gridSpan w:val="3"/>
            <w:shd w:val="clear" w:color="auto" w:fill="auto"/>
            <w:vAlign w:val="bottom"/>
          </w:tcPr>
          <w:p w14:paraId="71D3F569" w14:textId="77777777" w:rsidR="006A3667" w:rsidRDefault="006A3667">
            <w:pPr>
              <w:rPr>
                <w:rFonts w:ascii="宋体"/>
                <w:vanish/>
              </w:rPr>
            </w:pPr>
          </w:p>
        </w:tc>
      </w:tr>
      <w:tr w:rsidR="006A3667" w14:paraId="71D3F573" w14:textId="77777777">
        <w:trPr>
          <w:trHeight w:val="340"/>
        </w:trPr>
        <w:tc>
          <w:tcPr>
            <w:tcW w:w="0" w:type="auto"/>
            <w:gridSpan w:val="3"/>
            <w:shd w:val="clear" w:color="auto" w:fill="auto"/>
            <w:tcMar>
              <w:top w:w="0" w:type="dxa"/>
              <w:left w:w="20" w:type="dxa"/>
              <w:bottom w:w="0" w:type="dxa"/>
              <w:right w:w="20" w:type="dxa"/>
            </w:tcMar>
            <w:vAlign w:val="bottom"/>
          </w:tcPr>
          <w:p w14:paraId="71D3F56B"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3F56C"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3F56D" w14:textId="77777777" w:rsidR="006A3667" w:rsidRDefault="006A3667">
            <w:pPr>
              <w:rPr>
                <w:rFonts w:ascii="宋体"/>
                <w:vanish/>
              </w:rPr>
            </w:pPr>
          </w:p>
        </w:tc>
        <w:tc>
          <w:tcPr>
            <w:tcW w:w="0" w:type="auto"/>
            <w:shd w:val="clear" w:color="auto" w:fill="auto"/>
            <w:vAlign w:val="bottom"/>
          </w:tcPr>
          <w:p w14:paraId="71D3F56E"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56F"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3F570" w14:textId="77777777" w:rsidR="006A3667" w:rsidRDefault="00045F32">
            <w:pPr>
              <w:jc w:val="center"/>
              <w:textAlignment w:val="bottom"/>
            </w:pPr>
            <w:r>
              <w:rPr>
                <w:rFonts w:ascii="Arial" w:eastAsia="宋体" w:hAnsi="Arial" w:cs="Arial"/>
                <w:b/>
                <w:bCs/>
                <w:color w:val="000000"/>
                <w:sz w:val="14"/>
                <w:szCs w:val="14"/>
              </w:rPr>
              <w:t>% Change</w:t>
            </w:r>
          </w:p>
        </w:tc>
        <w:tc>
          <w:tcPr>
            <w:tcW w:w="0" w:type="auto"/>
            <w:gridSpan w:val="3"/>
            <w:shd w:val="clear" w:color="auto" w:fill="auto"/>
            <w:vAlign w:val="bottom"/>
          </w:tcPr>
          <w:p w14:paraId="71D3F571" w14:textId="77777777" w:rsidR="006A3667" w:rsidRDefault="006A3667">
            <w:pPr>
              <w:rPr>
                <w:rFonts w:ascii="宋体"/>
                <w:vanish/>
              </w:rPr>
            </w:pPr>
          </w:p>
        </w:tc>
        <w:tc>
          <w:tcPr>
            <w:tcW w:w="0" w:type="auto"/>
            <w:gridSpan w:val="3"/>
            <w:shd w:val="clear" w:color="auto" w:fill="auto"/>
            <w:vAlign w:val="bottom"/>
          </w:tcPr>
          <w:p w14:paraId="71D3F572" w14:textId="77777777" w:rsidR="006A3667" w:rsidRDefault="006A3667">
            <w:pPr>
              <w:rPr>
                <w:rFonts w:ascii="宋体"/>
                <w:vanish/>
              </w:rPr>
            </w:pPr>
          </w:p>
        </w:tc>
      </w:tr>
      <w:tr w:rsidR="006A3667" w14:paraId="71D3F580" w14:textId="77777777">
        <w:trPr>
          <w:trHeight w:val="220"/>
        </w:trPr>
        <w:tc>
          <w:tcPr>
            <w:tcW w:w="0" w:type="auto"/>
            <w:gridSpan w:val="3"/>
            <w:shd w:val="clear" w:color="auto" w:fill="auto"/>
            <w:tcMar>
              <w:top w:w="40" w:type="dxa"/>
              <w:left w:w="20" w:type="dxa"/>
              <w:bottom w:w="40" w:type="dxa"/>
              <w:right w:w="20" w:type="dxa"/>
            </w:tcMar>
            <w:vAlign w:val="bottom"/>
          </w:tcPr>
          <w:p w14:paraId="71D3F574" w14:textId="77777777" w:rsidR="006A3667" w:rsidRDefault="00045F32">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575"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F57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577" w14:textId="77777777" w:rsidR="006A3667" w:rsidRDefault="00045F32">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71D3F578" w14:textId="77777777" w:rsidR="006A3667" w:rsidRDefault="006A3667">
            <w:pPr>
              <w:rPr>
                <w:rFonts w:ascii="宋体"/>
                <w:vanish/>
              </w:rPr>
            </w:pPr>
          </w:p>
        </w:tc>
        <w:tc>
          <w:tcPr>
            <w:tcW w:w="0" w:type="auto"/>
            <w:shd w:val="clear" w:color="auto" w:fill="auto"/>
            <w:vAlign w:val="bottom"/>
          </w:tcPr>
          <w:p w14:paraId="71D3F579"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57A"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3F57B" w14:textId="77777777" w:rsidR="006A3667" w:rsidRDefault="006A3667">
            <w:pPr>
              <w:jc w:val="center"/>
              <w:rPr>
                <w:rFonts w:ascii="宋体"/>
              </w:rPr>
            </w:pPr>
          </w:p>
        </w:tc>
        <w:tc>
          <w:tcPr>
            <w:tcW w:w="0" w:type="auto"/>
            <w:gridSpan w:val="3"/>
            <w:shd w:val="clear" w:color="auto" w:fill="auto"/>
            <w:vAlign w:val="bottom"/>
          </w:tcPr>
          <w:p w14:paraId="71D3F57C" w14:textId="77777777" w:rsidR="006A3667" w:rsidRDefault="006A3667">
            <w:pPr>
              <w:rPr>
                <w:rFonts w:ascii="宋体"/>
                <w:vanish/>
              </w:rPr>
            </w:pPr>
          </w:p>
        </w:tc>
        <w:tc>
          <w:tcPr>
            <w:tcW w:w="0" w:type="auto"/>
            <w:shd w:val="clear" w:color="auto" w:fill="auto"/>
            <w:vAlign w:val="bottom"/>
          </w:tcPr>
          <w:p w14:paraId="71D3F57D" w14:textId="77777777" w:rsidR="006A3667" w:rsidRDefault="006A3667">
            <w:pPr>
              <w:rPr>
                <w:rFonts w:ascii="宋体"/>
              </w:rPr>
            </w:pPr>
          </w:p>
        </w:tc>
        <w:tc>
          <w:tcPr>
            <w:tcW w:w="0" w:type="auto"/>
            <w:shd w:val="clear" w:color="auto" w:fill="auto"/>
            <w:vAlign w:val="bottom"/>
          </w:tcPr>
          <w:p w14:paraId="71D3F57E" w14:textId="77777777" w:rsidR="006A3667" w:rsidRDefault="006A3667">
            <w:pPr>
              <w:rPr>
                <w:rFonts w:ascii="宋体"/>
              </w:rPr>
            </w:pPr>
          </w:p>
        </w:tc>
        <w:tc>
          <w:tcPr>
            <w:tcW w:w="0" w:type="auto"/>
            <w:shd w:val="clear" w:color="auto" w:fill="auto"/>
            <w:vAlign w:val="bottom"/>
          </w:tcPr>
          <w:p w14:paraId="71D3F57F" w14:textId="77777777" w:rsidR="006A3667" w:rsidRDefault="006A3667">
            <w:pPr>
              <w:rPr>
                <w:rFonts w:ascii="宋体"/>
              </w:rPr>
            </w:pPr>
          </w:p>
        </w:tc>
      </w:tr>
      <w:tr w:rsidR="006A3667" w14:paraId="71D3F590" w14:textId="77777777">
        <w:tc>
          <w:tcPr>
            <w:tcW w:w="0" w:type="auto"/>
            <w:gridSpan w:val="3"/>
            <w:shd w:val="clear" w:color="auto" w:fill="CCEEFF"/>
            <w:tcMar>
              <w:top w:w="40" w:type="dxa"/>
              <w:left w:w="20" w:type="dxa"/>
              <w:bottom w:w="40" w:type="dxa"/>
              <w:right w:w="20" w:type="dxa"/>
            </w:tcMar>
            <w:vAlign w:val="bottom"/>
          </w:tcPr>
          <w:p w14:paraId="71D3F581" w14:textId="77777777" w:rsidR="006A3667" w:rsidRDefault="00045F32">
            <w:pPr>
              <w:textAlignment w:val="bottom"/>
            </w:pPr>
            <w:r>
              <w:rPr>
                <w:rFonts w:ascii="Arial" w:eastAsia="宋体" w:hAnsi="Arial" w:cs="Arial"/>
                <w:color w:val="000000"/>
                <w:sz w:val="14"/>
                <w:szCs w:val="14"/>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F582"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583" w14:textId="77777777" w:rsidR="006A3667" w:rsidRDefault="00045F32">
            <w:pPr>
              <w:jc w:val="right"/>
              <w:textAlignment w:val="bottom"/>
            </w:pPr>
            <w:r>
              <w:rPr>
                <w:rFonts w:ascii="Arial" w:eastAsia="宋体" w:hAnsi="Arial" w:cs="Arial"/>
                <w:b/>
                <w:bCs/>
                <w:color w:val="000000"/>
                <w:sz w:val="14"/>
                <w:szCs w:val="14"/>
              </w:rPr>
              <w:t>3,320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58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8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58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587" w14:textId="77777777" w:rsidR="006A3667" w:rsidRDefault="00045F32">
            <w:pPr>
              <w:jc w:val="right"/>
              <w:textAlignment w:val="bottom"/>
            </w:pPr>
            <w:r>
              <w:rPr>
                <w:rFonts w:ascii="Arial" w:eastAsia="宋体" w:hAnsi="Arial" w:cs="Arial"/>
                <w:color w:val="000000"/>
                <w:sz w:val="14"/>
                <w:szCs w:val="14"/>
              </w:rPr>
              <w:t>3,373 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588" w14:textId="77777777" w:rsidR="006A3667" w:rsidRDefault="006A3667">
            <w:pPr>
              <w:jc w:val="right"/>
              <w:rPr>
                <w:rFonts w:ascii="宋体"/>
              </w:rPr>
            </w:pPr>
          </w:p>
        </w:tc>
        <w:tc>
          <w:tcPr>
            <w:tcW w:w="0" w:type="auto"/>
            <w:shd w:val="clear" w:color="auto" w:fill="auto"/>
            <w:vAlign w:val="bottom"/>
          </w:tcPr>
          <w:p w14:paraId="71D3F589" w14:textId="77777777" w:rsidR="006A3667" w:rsidRDefault="006A3667">
            <w:pPr>
              <w:rPr>
                <w:rFonts w:ascii="宋体"/>
                <w:vanish/>
              </w:rPr>
            </w:pPr>
          </w:p>
        </w:tc>
        <w:tc>
          <w:tcPr>
            <w:tcW w:w="0" w:type="auto"/>
            <w:shd w:val="clear" w:color="auto" w:fill="auto"/>
            <w:vAlign w:val="bottom"/>
          </w:tcPr>
          <w:p w14:paraId="71D3F58A"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8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58C" w14:textId="77777777" w:rsidR="006A3667" w:rsidRDefault="00045F32">
            <w:pPr>
              <w:jc w:val="right"/>
              <w:textAlignment w:val="bottom"/>
            </w:pPr>
            <w:r>
              <w:rPr>
                <w:rFonts w:ascii="Arial" w:eastAsia="宋体" w:hAnsi="Arial" w:cs="Arial"/>
                <w:color w:val="000000"/>
                <w:sz w:val="14"/>
                <w:szCs w:val="14"/>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58D" w14:textId="77777777" w:rsidR="006A3667" w:rsidRDefault="00045F32">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71D3F58E" w14:textId="77777777" w:rsidR="006A3667" w:rsidRDefault="006A3667">
            <w:pPr>
              <w:rPr>
                <w:rFonts w:ascii="宋体"/>
                <w:vanish/>
              </w:rPr>
            </w:pPr>
          </w:p>
        </w:tc>
        <w:tc>
          <w:tcPr>
            <w:tcW w:w="0" w:type="auto"/>
            <w:gridSpan w:val="3"/>
            <w:shd w:val="clear" w:color="auto" w:fill="auto"/>
            <w:vAlign w:val="bottom"/>
          </w:tcPr>
          <w:p w14:paraId="71D3F58F" w14:textId="77777777" w:rsidR="006A3667" w:rsidRDefault="006A3667">
            <w:pPr>
              <w:rPr>
                <w:rFonts w:ascii="宋体"/>
                <w:vanish/>
              </w:rPr>
            </w:pPr>
          </w:p>
        </w:tc>
      </w:tr>
      <w:tr w:rsidR="006A3667" w14:paraId="71D3F59E" w14:textId="77777777">
        <w:tc>
          <w:tcPr>
            <w:tcW w:w="0" w:type="auto"/>
            <w:gridSpan w:val="3"/>
            <w:shd w:val="clear" w:color="auto" w:fill="FFFFFF"/>
            <w:tcMar>
              <w:top w:w="40" w:type="dxa"/>
              <w:left w:w="20" w:type="dxa"/>
              <w:bottom w:w="40" w:type="dxa"/>
              <w:right w:w="20" w:type="dxa"/>
            </w:tcMar>
            <w:vAlign w:val="bottom"/>
          </w:tcPr>
          <w:p w14:paraId="71D3F591" w14:textId="77777777" w:rsidR="006A3667" w:rsidRDefault="00045F32">
            <w:pPr>
              <w:textAlignment w:val="bottom"/>
            </w:pPr>
            <w:r>
              <w:rPr>
                <w:rFonts w:ascii="Arial" w:eastAsia="宋体" w:hAnsi="Arial" w:cs="Arial"/>
                <w:color w:val="000000"/>
                <w:sz w:val="14"/>
                <w:szCs w:val="14"/>
              </w:rPr>
              <w:t>Information systems and communications</w:t>
            </w:r>
          </w:p>
        </w:tc>
        <w:tc>
          <w:tcPr>
            <w:tcW w:w="0" w:type="auto"/>
            <w:gridSpan w:val="2"/>
            <w:shd w:val="clear" w:color="auto" w:fill="FFFFFF"/>
            <w:tcMar>
              <w:top w:w="40" w:type="dxa"/>
              <w:left w:w="20" w:type="dxa"/>
              <w:bottom w:w="40" w:type="dxa"/>
              <w:right w:w="0" w:type="dxa"/>
            </w:tcMar>
            <w:vAlign w:val="bottom"/>
          </w:tcPr>
          <w:p w14:paraId="71D3F592" w14:textId="77777777" w:rsidR="006A3667" w:rsidRDefault="00045F32">
            <w:pPr>
              <w:jc w:val="right"/>
              <w:textAlignment w:val="bottom"/>
            </w:pPr>
            <w:r>
              <w:rPr>
                <w:rFonts w:ascii="Arial" w:eastAsia="宋体" w:hAnsi="Arial" w:cs="Arial"/>
                <w:b/>
                <w:bCs/>
                <w:color w:val="000000"/>
                <w:sz w:val="14"/>
                <w:szCs w:val="14"/>
              </w:rPr>
              <w:t>1,214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5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59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95" w14:textId="77777777" w:rsidR="006A3667" w:rsidRDefault="00045F32">
            <w:pPr>
              <w:jc w:val="right"/>
              <w:textAlignment w:val="bottom"/>
            </w:pPr>
            <w:r>
              <w:rPr>
                <w:rFonts w:ascii="Arial" w:eastAsia="宋体" w:hAnsi="Arial" w:cs="Arial"/>
                <w:color w:val="000000"/>
                <w:sz w:val="14"/>
                <w:szCs w:val="14"/>
              </w:rPr>
              <w:t>1,225 </w:t>
            </w:r>
          </w:p>
        </w:tc>
        <w:tc>
          <w:tcPr>
            <w:tcW w:w="0" w:type="auto"/>
            <w:shd w:val="clear" w:color="auto" w:fill="FFFFFF"/>
            <w:tcMar>
              <w:top w:w="40" w:type="dxa"/>
              <w:left w:w="0" w:type="dxa"/>
              <w:bottom w:w="40" w:type="dxa"/>
              <w:right w:w="20" w:type="dxa"/>
            </w:tcMar>
            <w:vAlign w:val="bottom"/>
          </w:tcPr>
          <w:p w14:paraId="71D3F596" w14:textId="77777777" w:rsidR="006A3667" w:rsidRDefault="006A3667">
            <w:pPr>
              <w:jc w:val="right"/>
              <w:rPr>
                <w:rFonts w:ascii="宋体"/>
              </w:rPr>
            </w:pPr>
          </w:p>
        </w:tc>
        <w:tc>
          <w:tcPr>
            <w:tcW w:w="0" w:type="auto"/>
            <w:shd w:val="clear" w:color="auto" w:fill="auto"/>
            <w:vAlign w:val="bottom"/>
          </w:tcPr>
          <w:p w14:paraId="71D3F597" w14:textId="77777777" w:rsidR="006A3667" w:rsidRDefault="006A3667">
            <w:pPr>
              <w:rPr>
                <w:rFonts w:ascii="宋体"/>
                <w:vanish/>
              </w:rPr>
            </w:pPr>
          </w:p>
        </w:tc>
        <w:tc>
          <w:tcPr>
            <w:tcW w:w="0" w:type="auto"/>
            <w:shd w:val="clear" w:color="auto" w:fill="auto"/>
            <w:vAlign w:val="bottom"/>
          </w:tcPr>
          <w:p w14:paraId="71D3F598"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59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9A"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F59B" w14:textId="77777777" w:rsidR="006A3667" w:rsidRDefault="006A3667">
            <w:pPr>
              <w:jc w:val="right"/>
              <w:rPr>
                <w:rFonts w:ascii="宋体"/>
              </w:rPr>
            </w:pPr>
          </w:p>
        </w:tc>
        <w:tc>
          <w:tcPr>
            <w:tcW w:w="0" w:type="auto"/>
            <w:gridSpan w:val="3"/>
            <w:shd w:val="clear" w:color="auto" w:fill="auto"/>
            <w:vAlign w:val="bottom"/>
          </w:tcPr>
          <w:p w14:paraId="71D3F59C" w14:textId="77777777" w:rsidR="006A3667" w:rsidRDefault="006A3667">
            <w:pPr>
              <w:rPr>
                <w:rFonts w:ascii="宋体"/>
                <w:vanish/>
              </w:rPr>
            </w:pPr>
          </w:p>
        </w:tc>
        <w:tc>
          <w:tcPr>
            <w:tcW w:w="0" w:type="auto"/>
            <w:gridSpan w:val="3"/>
            <w:shd w:val="clear" w:color="auto" w:fill="auto"/>
            <w:vAlign w:val="bottom"/>
          </w:tcPr>
          <w:p w14:paraId="71D3F59D" w14:textId="77777777" w:rsidR="006A3667" w:rsidRDefault="006A3667">
            <w:pPr>
              <w:rPr>
                <w:rFonts w:ascii="宋体"/>
                <w:vanish/>
              </w:rPr>
            </w:pPr>
          </w:p>
        </w:tc>
      </w:tr>
      <w:tr w:rsidR="006A3667" w14:paraId="71D3F5AC" w14:textId="77777777">
        <w:tc>
          <w:tcPr>
            <w:tcW w:w="0" w:type="auto"/>
            <w:gridSpan w:val="3"/>
            <w:shd w:val="clear" w:color="auto" w:fill="CCEEFF"/>
            <w:tcMar>
              <w:top w:w="40" w:type="dxa"/>
              <w:left w:w="20" w:type="dxa"/>
              <w:bottom w:w="40" w:type="dxa"/>
              <w:right w:w="20" w:type="dxa"/>
            </w:tcMar>
            <w:vAlign w:val="bottom"/>
          </w:tcPr>
          <w:p w14:paraId="71D3F59F" w14:textId="77777777" w:rsidR="006A3667" w:rsidRDefault="00045F32">
            <w:pPr>
              <w:textAlignment w:val="bottom"/>
            </w:pPr>
            <w:r>
              <w:rPr>
                <w:rFonts w:ascii="Arial" w:eastAsia="宋体" w:hAnsi="Arial" w:cs="Arial"/>
                <w:color w:val="000000"/>
                <w:sz w:val="14"/>
                <w:szCs w:val="14"/>
              </w:rPr>
              <w:t>Transaction processing services</w:t>
            </w:r>
          </w:p>
        </w:tc>
        <w:tc>
          <w:tcPr>
            <w:tcW w:w="0" w:type="auto"/>
            <w:gridSpan w:val="2"/>
            <w:shd w:val="clear" w:color="auto" w:fill="CCEEFF"/>
            <w:tcMar>
              <w:top w:w="40" w:type="dxa"/>
              <w:left w:w="20" w:type="dxa"/>
              <w:bottom w:w="40" w:type="dxa"/>
              <w:right w:w="0" w:type="dxa"/>
            </w:tcMar>
            <w:vAlign w:val="bottom"/>
          </w:tcPr>
          <w:p w14:paraId="71D3F5A0" w14:textId="77777777" w:rsidR="006A3667" w:rsidRDefault="00045F32">
            <w:pPr>
              <w:jc w:val="right"/>
              <w:textAlignment w:val="bottom"/>
            </w:pPr>
            <w:r>
              <w:rPr>
                <w:rFonts w:ascii="Arial" w:eastAsia="宋体" w:hAnsi="Arial" w:cs="Arial"/>
                <w:b/>
                <w:bCs/>
                <w:color w:val="000000"/>
                <w:sz w:val="14"/>
                <w:szCs w:val="14"/>
              </w:rPr>
              <w:t>731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5A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A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A3" w14:textId="77777777" w:rsidR="006A3667" w:rsidRDefault="00045F32">
            <w:pPr>
              <w:jc w:val="right"/>
              <w:textAlignment w:val="bottom"/>
            </w:pPr>
            <w:r>
              <w:rPr>
                <w:rFonts w:ascii="Arial" w:eastAsia="宋体" w:hAnsi="Arial" w:cs="Arial"/>
                <w:color w:val="000000"/>
                <w:sz w:val="14"/>
                <w:szCs w:val="14"/>
              </w:rPr>
              <w:t>786 </w:t>
            </w:r>
          </w:p>
        </w:tc>
        <w:tc>
          <w:tcPr>
            <w:tcW w:w="0" w:type="auto"/>
            <w:shd w:val="clear" w:color="auto" w:fill="CCEEFF"/>
            <w:tcMar>
              <w:top w:w="40" w:type="dxa"/>
              <w:left w:w="0" w:type="dxa"/>
              <w:bottom w:w="40" w:type="dxa"/>
              <w:right w:w="20" w:type="dxa"/>
            </w:tcMar>
            <w:vAlign w:val="bottom"/>
          </w:tcPr>
          <w:p w14:paraId="71D3F5A4" w14:textId="77777777" w:rsidR="006A3667" w:rsidRDefault="006A3667">
            <w:pPr>
              <w:jc w:val="right"/>
              <w:rPr>
                <w:rFonts w:ascii="宋体"/>
              </w:rPr>
            </w:pPr>
          </w:p>
        </w:tc>
        <w:tc>
          <w:tcPr>
            <w:tcW w:w="0" w:type="auto"/>
            <w:shd w:val="clear" w:color="auto" w:fill="auto"/>
            <w:vAlign w:val="bottom"/>
          </w:tcPr>
          <w:p w14:paraId="71D3F5A5" w14:textId="77777777" w:rsidR="006A3667" w:rsidRDefault="006A3667">
            <w:pPr>
              <w:rPr>
                <w:rFonts w:ascii="宋体"/>
                <w:vanish/>
              </w:rPr>
            </w:pPr>
          </w:p>
        </w:tc>
        <w:tc>
          <w:tcPr>
            <w:tcW w:w="0" w:type="auto"/>
            <w:shd w:val="clear" w:color="auto" w:fill="auto"/>
            <w:vAlign w:val="bottom"/>
          </w:tcPr>
          <w:p w14:paraId="71D3F5A6"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A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A8" w14:textId="77777777" w:rsidR="006A3667" w:rsidRDefault="00045F32">
            <w:pPr>
              <w:jc w:val="right"/>
              <w:textAlignment w:val="bottom"/>
            </w:pPr>
            <w:r>
              <w:rPr>
                <w:rFonts w:ascii="Arial" w:eastAsia="宋体" w:hAnsi="Arial" w:cs="Arial"/>
                <w:color w:val="000000"/>
                <w:sz w:val="14"/>
                <w:szCs w:val="14"/>
              </w:rPr>
              <w:t>(7)</w:t>
            </w:r>
          </w:p>
        </w:tc>
        <w:tc>
          <w:tcPr>
            <w:tcW w:w="0" w:type="auto"/>
            <w:shd w:val="clear" w:color="auto" w:fill="CCEEFF"/>
            <w:tcMar>
              <w:top w:w="40" w:type="dxa"/>
              <w:left w:w="0" w:type="dxa"/>
              <w:bottom w:w="40" w:type="dxa"/>
              <w:right w:w="20" w:type="dxa"/>
            </w:tcMar>
            <w:vAlign w:val="bottom"/>
          </w:tcPr>
          <w:p w14:paraId="71D3F5A9" w14:textId="77777777" w:rsidR="006A3667" w:rsidRDefault="006A3667">
            <w:pPr>
              <w:jc w:val="right"/>
              <w:rPr>
                <w:rFonts w:ascii="宋体"/>
              </w:rPr>
            </w:pPr>
          </w:p>
        </w:tc>
        <w:tc>
          <w:tcPr>
            <w:tcW w:w="0" w:type="auto"/>
            <w:gridSpan w:val="3"/>
            <w:shd w:val="clear" w:color="auto" w:fill="auto"/>
            <w:vAlign w:val="bottom"/>
          </w:tcPr>
          <w:p w14:paraId="71D3F5AA" w14:textId="77777777" w:rsidR="006A3667" w:rsidRDefault="006A3667">
            <w:pPr>
              <w:rPr>
                <w:rFonts w:ascii="宋体"/>
                <w:vanish/>
              </w:rPr>
            </w:pPr>
          </w:p>
        </w:tc>
        <w:tc>
          <w:tcPr>
            <w:tcW w:w="0" w:type="auto"/>
            <w:gridSpan w:val="3"/>
            <w:shd w:val="clear" w:color="auto" w:fill="auto"/>
            <w:vAlign w:val="bottom"/>
          </w:tcPr>
          <w:p w14:paraId="71D3F5AB" w14:textId="77777777" w:rsidR="006A3667" w:rsidRDefault="006A3667">
            <w:pPr>
              <w:rPr>
                <w:rFonts w:ascii="宋体"/>
                <w:vanish/>
              </w:rPr>
            </w:pPr>
          </w:p>
        </w:tc>
      </w:tr>
      <w:tr w:rsidR="006A3667" w14:paraId="71D3F5BA" w14:textId="77777777">
        <w:tc>
          <w:tcPr>
            <w:tcW w:w="0" w:type="auto"/>
            <w:gridSpan w:val="3"/>
            <w:shd w:val="clear" w:color="auto" w:fill="FFFFFF"/>
            <w:tcMar>
              <w:top w:w="40" w:type="dxa"/>
              <w:left w:w="20" w:type="dxa"/>
              <w:bottom w:w="40" w:type="dxa"/>
              <w:right w:w="20" w:type="dxa"/>
            </w:tcMar>
            <w:vAlign w:val="bottom"/>
          </w:tcPr>
          <w:p w14:paraId="71D3F5AD" w14:textId="77777777" w:rsidR="006A3667" w:rsidRDefault="00045F32">
            <w:pPr>
              <w:textAlignment w:val="bottom"/>
            </w:pPr>
            <w:r>
              <w:rPr>
                <w:rFonts w:ascii="Arial" w:eastAsia="宋体" w:hAnsi="Arial" w:cs="Arial"/>
                <w:color w:val="000000"/>
                <w:sz w:val="14"/>
                <w:szCs w:val="14"/>
              </w:rPr>
              <w:t>Occupancy</w:t>
            </w:r>
          </w:p>
        </w:tc>
        <w:tc>
          <w:tcPr>
            <w:tcW w:w="0" w:type="auto"/>
            <w:gridSpan w:val="2"/>
            <w:shd w:val="clear" w:color="auto" w:fill="FFFFFF"/>
            <w:tcMar>
              <w:top w:w="40" w:type="dxa"/>
              <w:left w:w="20" w:type="dxa"/>
              <w:bottom w:w="40" w:type="dxa"/>
              <w:right w:w="0" w:type="dxa"/>
            </w:tcMar>
            <w:vAlign w:val="bottom"/>
          </w:tcPr>
          <w:p w14:paraId="71D3F5AE" w14:textId="77777777" w:rsidR="006A3667" w:rsidRDefault="00045F32">
            <w:pPr>
              <w:jc w:val="right"/>
              <w:textAlignment w:val="bottom"/>
            </w:pPr>
            <w:r>
              <w:rPr>
                <w:rFonts w:ascii="Arial" w:eastAsia="宋体" w:hAnsi="Arial" w:cs="Arial"/>
                <w:b/>
                <w:bCs/>
                <w:color w:val="000000"/>
                <w:sz w:val="14"/>
                <w:szCs w:val="14"/>
              </w:rPr>
              <w:t>288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5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5B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B1" w14:textId="77777777" w:rsidR="006A3667" w:rsidRDefault="00045F32">
            <w:pPr>
              <w:jc w:val="right"/>
              <w:textAlignment w:val="bottom"/>
            </w:pPr>
            <w:r>
              <w:rPr>
                <w:rFonts w:ascii="Arial" w:eastAsia="宋体" w:hAnsi="Arial" w:cs="Arial"/>
                <w:color w:val="000000"/>
                <w:sz w:val="14"/>
                <w:szCs w:val="14"/>
              </w:rPr>
              <w:t>311 </w:t>
            </w:r>
          </w:p>
        </w:tc>
        <w:tc>
          <w:tcPr>
            <w:tcW w:w="0" w:type="auto"/>
            <w:shd w:val="clear" w:color="auto" w:fill="FFFFFF"/>
            <w:tcMar>
              <w:top w:w="40" w:type="dxa"/>
              <w:left w:w="0" w:type="dxa"/>
              <w:bottom w:w="40" w:type="dxa"/>
              <w:right w:w="20" w:type="dxa"/>
            </w:tcMar>
            <w:vAlign w:val="bottom"/>
          </w:tcPr>
          <w:p w14:paraId="71D3F5B2" w14:textId="77777777" w:rsidR="006A3667" w:rsidRDefault="006A3667">
            <w:pPr>
              <w:jc w:val="right"/>
              <w:rPr>
                <w:rFonts w:ascii="宋体"/>
              </w:rPr>
            </w:pPr>
          </w:p>
        </w:tc>
        <w:tc>
          <w:tcPr>
            <w:tcW w:w="0" w:type="auto"/>
            <w:shd w:val="clear" w:color="auto" w:fill="auto"/>
            <w:vAlign w:val="bottom"/>
          </w:tcPr>
          <w:p w14:paraId="71D3F5B3" w14:textId="77777777" w:rsidR="006A3667" w:rsidRDefault="006A3667">
            <w:pPr>
              <w:rPr>
                <w:rFonts w:ascii="宋体"/>
                <w:vanish/>
              </w:rPr>
            </w:pPr>
          </w:p>
        </w:tc>
        <w:tc>
          <w:tcPr>
            <w:tcW w:w="0" w:type="auto"/>
            <w:shd w:val="clear" w:color="auto" w:fill="auto"/>
            <w:vAlign w:val="bottom"/>
          </w:tcPr>
          <w:p w14:paraId="71D3F5B4"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5B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B6" w14:textId="77777777" w:rsidR="006A3667" w:rsidRDefault="00045F32">
            <w:pPr>
              <w:jc w:val="right"/>
              <w:textAlignment w:val="bottom"/>
            </w:pPr>
            <w:r>
              <w:rPr>
                <w:rFonts w:ascii="Arial" w:eastAsia="宋体" w:hAnsi="Arial" w:cs="Arial"/>
                <w:color w:val="000000"/>
                <w:sz w:val="14"/>
                <w:szCs w:val="14"/>
              </w:rPr>
              <w:t>(7)</w:t>
            </w:r>
          </w:p>
        </w:tc>
        <w:tc>
          <w:tcPr>
            <w:tcW w:w="0" w:type="auto"/>
            <w:shd w:val="clear" w:color="auto" w:fill="FFFFFF"/>
            <w:tcMar>
              <w:top w:w="40" w:type="dxa"/>
              <w:left w:w="0" w:type="dxa"/>
              <w:bottom w:w="40" w:type="dxa"/>
              <w:right w:w="20" w:type="dxa"/>
            </w:tcMar>
            <w:vAlign w:val="bottom"/>
          </w:tcPr>
          <w:p w14:paraId="71D3F5B7" w14:textId="77777777" w:rsidR="006A3667" w:rsidRDefault="006A3667">
            <w:pPr>
              <w:jc w:val="right"/>
              <w:rPr>
                <w:rFonts w:ascii="宋体"/>
              </w:rPr>
            </w:pPr>
          </w:p>
        </w:tc>
        <w:tc>
          <w:tcPr>
            <w:tcW w:w="0" w:type="auto"/>
            <w:gridSpan w:val="3"/>
            <w:shd w:val="clear" w:color="auto" w:fill="auto"/>
            <w:vAlign w:val="bottom"/>
          </w:tcPr>
          <w:p w14:paraId="71D3F5B8" w14:textId="77777777" w:rsidR="006A3667" w:rsidRDefault="006A3667">
            <w:pPr>
              <w:rPr>
                <w:rFonts w:ascii="宋体"/>
                <w:vanish/>
              </w:rPr>
            </w:pPr>
          </w:p>
        </w:tc>
        <w:tc>
          <w:tcPr>
            <w:tcW w:w="0" w:type="auto"/>
            <w:gridSpan w:val="3"/>
            <w:shd w:val="clear" w:color="auto" w:fill="auto"/>
            <w:vAlign w:val="bottom"/>
          </w:tcPr>
          <w:p w14:paraId="71D3F5B9" w14:textId="77777777" w:rsidR="006A3667" w:rsidRDefault="006A3667">
            <w:pPr>
              <w:rPr>
                <w:rFonts w:ascii="宋体"/>
                <w:vanish/>
              </w:rPr>
            </w:pPr>
          </w:p>
        </w:tc>
      </w:tr>
      <w:tr w:rsidR="006A3667" w14:paraId="71D3F5C8" w14:textId="77777777">
        <w:tc>
          <w:tcPr>
            <w:tcW w:w="0" w:type="auto"/>
            <w:gridSpan w:val="3"/>
            <w:shd w:val="clear" w:color="auto" w:fill="CCEEFF"/>
            <w:tcMar>
              <w:top w:w="40" w:type="dxa"/>
              <w:left w:w="20" w:type="dxa"/>
              <w:bottom w:w="40" w:type="dxa"/>
              <w:right w:w="20" w:type="dxa"/>
            </w:tcMar>
          </w:tcPr>
          <w:p w14:paraId="71D3F5BB" w14:textId="77777777" w:rsidR="006A3667" w:rsidRDefault="00045F32">
            <w:pPr>
              <w:textAlignment w:val="top"/>
            </w:pPr>
            <w:r>
              <w:rPr>
                <w:rFonts w:ascii="Arial" w:eastAsia="宋体" w:hAnsi="Arial" w:cs="Arial"/>
                <w:color w:val="000000"/>
                <w:sz w:val="14"/>
                <w:szCs w:val="14"/>
              </w:rPr>
              <w:t>Amortization of other intangible assets</w:t>
            </w:r>
          </w:p>
        </w:tc>
        <w:tc>
          <w:tcPr>
            <w:tcW w:w="0" w:type="auto"/>
            <w:gridSpan w:val="2"/>
            <w:shd w:val="clear" w:color="auto" w:fill="CCEEFF"/>
            <w:tcMar>
              <w:top w:w="40" w:type="dxa"/>
              <w:left w:w="20" w:type="dxa"/>
              <w:bottom w:w="40" w:type="dxa"/>
              <w:right w:w="0" w:type="dxa"/>
            </w:tcMar>
            <w:vAlign w:val="bottom"/>
          </w:tcPr>
          <w:p w14:paraId="71D3F5BC" w14:textId="77777777" w:rsidR="006A3667" w:rsidRDefault="00045F32">
            <w:pPr>
              <w:jc w:val="right"/>
              <w:textAlignment w:val="bottom"/>
            </w:pPr>
            <w:r>
              <w:rPr>
                <w:rFonts w:ascii="Arial" w:eastAsia="宋体" w:hAnsi="Arial" w:cs="Arial"/>
                <w:b/>
                <w:bCs/>
                <w:color w:val="000000"/>
                <w:sz w:val="14"/>
                <w:szCs w:val="14"/>
              </w:rPr>
              <w:t>179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5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B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BF" w14:textId="77777777" w:rsidR="006A3667" w:rsidRDefault="00045F32">
            <w:pPr>
              <w:jc w:val="right"/>
              <w:textAlignment w:val="bottom"/>
            </w:pPr>
            <w:r>
              <w:rPr>
                <w:rFonts w:ascii="Arial" w:eastAsia="宋体" w:hAnsi="Arial" w:cs="Arial"/>
                <w:color w:val="000000"/>
                <w:sz w:val="14"/>
                <w:szCs w:val="14"/>
              </w:rPr>
              <w:t>183 </w:t>
            </w:r>
          </w:p>
        </w:tc>
        <w:tc>
          <w:tcPr>
            <w:tcW w:w="0" w:type="auto"/>
            <w:shd w:val="clear" w:color="auto" w:fill="CCEEFF"/>
            <w:tcMar>
              <w:top w:w="40" w:type="dxa"/>
              <w:left w:w="0" w:type="dxa"/>
              <w:bottom w:w="40" w:type="dxa"/>
              <w:right w:w="20" w:type="dxa"/>
            </w:tcMar>
            <w:vAlign w:val="bottom"/>
          </w:tcPr>
          <w:p w14:paraId="71D3F5C0" w14:textId="77777777" w:rsidR="006A3667" w:rsidRDefault="006A3667">
            <w:pPr>
              <w:jc w:val="right"/>
              <w:rPr>
                <w:rFonts w:ascii="宋体"/>
              </w:rPr>
            </w:pPr>
          </w:p>
        </w:tc>
        <w:tc>
          <w:tcPr>
            <w:tcW w:w="0" w:type="auto"/>
            <w:shd w:val="clear" w:color="auto" w:fill="auto"/>
            <w:vAlign w:val="bottom"/>
          </w:tcPr>
          <w:p w14:paraId="71D3F5C1" w14:textId="77777777" w:rsidR="006A3667" w:rsidRDefault="006A3667">
            <w:pPr>
              <w:rPr>
                <w:rFonts w:ascii="宋体"/>
                <w:vanish/>
              </w:rPr>
            </w:pPr>
          </w:p>
        </w:tc>
        <w:tc>
          <w:tcPr>
            <w:tcW w:w="0" w:type="auto"/>
            <w:shd w:val="clear" w:color="auto" w:fill="auto"/>
            <w:vAlign w:val="bottom"/>
          </w:tcPr>
          <w:p w14:paraId="71D3F5C2"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C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C4"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71D3F5C5" w14:textId="77777777" w:rsidR="006A3667" w:rsidRDefault="006A3667">
            <w:pPr>
              <w:jc w:val="right"/>
              <w:rPr>
                <w:rFonts w:ascii="宋体"/>
              </w:rPr>
            </w:pPr>
          </w:p>
        </w:tc>
        <w:tc>
          <w:tcPr>
            <w:tcW w:w="0" w:type="auto"/>
            <w:gridSpan w:val="3"/>
            <w:shd w:val="clear" w:color="auto" w:fill="auto"/>
            <w:vAlign w:val="bottom"/>
          </w:tcPr>
          <w:p w14:paraId="71D3F5C6" w14:textId="77777777" w:rsidR="006A3667" w:rsidRDefault="006A3667">
            <w:pPr>
              <w:rPr>
                <w:rFonts w:ascii="宋体"/>
                <w:vanish/>
              </w:rPr>
            </w:pPr>
          </w:p>
        </w:tc>
        <w:tc>
          <w:tcPr>
            <w:tcW w:w="0" w:type="auto"/>
            <w:gridSpan w:val="3"/>
            <w:shd w:val="clear" w:color="auto" w:fill="auto"/>
            <w:vAlign w:val="bottom"/>
          </w:tcPr>
          <w:p w14:paraId="71D3F5C7" w14:textId="77777777" w:rsidR="006A3667" w:rsidRDefault="006A3667">
            <w:pPr>
              <w:rPr>
                <w:rFonts w:ascii="宋体"/>
                <w:vanish/>
              </w:rPr>
            </w:pPr>
          </w:p>
        </w:tc>
      </w:tr>
      <w:tr w:rsidR="006A3667" w14:paraId="71D3F5D6" w14:textId="77777777">
        <w:tc>
          <w:tcPr>
            <w:tcW w:w="0" w:type="auto"/>
            <w:gridSpan w:val="3"/>
            <w:shd w:val="clear" w:color="auto" w:fill="FFFFFF"/>
            <w:tcMar>
              <w:top w:w="40" w:type="dxa"/>
              <w:left w:w="20" w:type="dxa"/>
              <w:bottom w:w="40" w:type="dxa"/>
              <w:right w:w="20" w:type="dxa"/>
            </w:tcMar>
            <w:vAlign w:val="bottom"/>
          </w:tcPr>
          <w:p w14:paraId="71D3F5C9" w14:textId="77777777" w:rsidR="006A3667" w:rsidRDefault="00045F32">
            <w:pPr>
              <w:textAlignment w:val="bottom"/>
            </w:pPr>
            <w:r>
              <w:rPr>
                <w:rFonts w:ascii="Arial" w:eastAsia="宋体" w:hAnsi="Arial" w:cs="Arial"/>
                <w:color w:val="000000"/>
                <w:sz w:val="14"/>
                <w:szCs w:val="14"/>
              </w:rPr>
              <w:t>Acquisition costs</w:t>
            </w:r>
          </w:p>
        </w:tc>
        <w:tc>
          <w:tcPr>
            <w:tcW w:w="0" w:type="auto"/>
            <w:gridSpan w:val="2"/>
            <w:shd w:val="clear" w:color="auto" w:fill="FFFFFF"/>
            <w:tcMar>
              <w:top w:w="40" w:type="dxa"/>
              <w:left w:w="20" w:type="dxa"/>
              <w:bottom w:w="40" w:type="dxa"/>
              <w:right w:w="0" w:type="dxa"/>
            </w:tcMar>
            <w:vAlign w:val="bottom"/>
          </w:tcPr>
          <w:p w14:paraId="71D3F5CA" w14:textId="77777777" w:rsidR="006A3667" w:rsidRDefault="00045F32">
            <w:pPr>
              <w:jc w:val="right"/>
              <w:textAlignment w:val="bottom"/>
            </w:pPr>
            <w:r>
              <w:rPr>
                <w:rFonts w:ascii="Arial" w:eastAsia="宋体" w:hAnsi="Arial" w:cs="Arial"/>
                <w:b/>
                <w:bCs/>
                <w:color w:val="000000"/>
                <w:sz w:val="14"/>
                <w:szCs w:val="14"/>
              </w:rPr>
              <w:t>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5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5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CD" w14:textId="77777777" w:rsidR="006A3667" w:rsidRDefault="00045F32">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71D3F5CE" w14:textId="77777777" w:rsidR="006A3667" w:rsidRDefault="006A3667">
            <w:pPr>
              <w:jc w:val="right"/>
              <w:rPr>
                <w:rFonts w:ascii="宋体"/>
              </w:rPr>
            </w:pPr>
          </w:p>
        </w:tc>
        <w:tc>
          <w:tcPr>
            <w:tcW w:w="0" w:type="auto"/>
            <w:shd w:val="clear" w:color="auto" w:fill="auto"/>
            <w:vAlign w:val="bottom"/>
          </w:tcPr>
          <w:p w14:paraId="71D3F5CF" w14:textId="77777777" w:rsidR="006A3667" w:rsidRDefault="006A3667">
            <w:pPr>
              <w:rPr>
                <w:rFonts w:ascii="宋体"/>
                <w:vanish/>
              </w:rPr>
            </w:pPr>
          </w:p>
        </w:tc>
        <w:tc>
          <w:tcPr>
            <w:tcW w:w="0" w:type="auto"/>
            <w:shd w:val="clear" w:color="auto" w:fill="auto"/>
            <w:vAlign w:val="bottom"/>
          </w:tcPr>
          <w:p w14:paraId="71D3F5D0"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5D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5D2" w14:textId="77777777" w:rsidR="006A3667" w:rsidRDefault="00045F32">
            <w:pPr>
              <w:jc w:val="right"/>
              <w:textAlignment w:val="bottom"/>
            </w:pPr>
            <w:r>
              <w:rPr>
                <w:rFonts w:ascii="Arial" w:eastAsia="宋体" w:hAnsi="Arial" w:cs="Arial"/>
                <w:color w:val="000000"/>
                <w:sz w:val="14"/>
                <w:szCs w:val="14"/>
              </w:rPr>
              <w:t>(15)</w:t>
            </w:r>
          </w:p>
        </w:tc>
        <w:tc>
          <w:tcPr>
            <w:tcW w:w="0" w:type="auto"/>
            <w:shd w:val="clear" w:color="auto" w:fill="FFFFFF"/>
            <w:tcMar>
              <w:top w:w="40" w:type="dxa"/>
              <w:left w:w="0" w:type="dxa"/>
              <w:bottom w:w="40" w:type="dxa"/>
              <w:right w:w="20" w:type="dxa"/>
            </w:tcMar>
            <w:vAlign w:val="bottom"/>
          </w:tcPr>
          <w:p w14:paraId="71D3F5D3" w14:textId="77777777" w:rsidR="006A3667" w:rsidRDefault="006A3667">
            <w:pPr>
              <w:jc w:val="right"/>
              <w:rPr>
                <w:rFonts w:ascii="宋体"/>
              </w:rPr>
            </w:pPr>
          </w:p>
        </w:tc>
        <w:tc>
          <w:tcPr>
            <w:tcW w:w="0" w:type="auto"/>
            <w:gridSpan w:val="3"/>
            <w:shd w:val="clear" w:color="auto" w:fill="auto"/>
            <w:vAlign w:val="bottom"/>
          </w:tcPr>
          <w:p w14:paraId="71D3F5D4" w14:textId="77777777" w:rsidR="006A3667" w:rsidRDefault="006A3667">
            <w:pPr>
              <w:rPr>
                <w:rFonts w:ascii="宋体"/>
                <w:vanish/>
              </w:rPr>
            </w:pPr>
          </w:p>
        </w:tc>
        <w:tc>
          <w:tcPr>
            <w:tcW w:w="0" w:type="auto"/>
            <w:gridSpan w:val="3"/>
            <w:shd w:val="clear" w:color="auto" w:fill="auto"/>
            <w:vAlign w:val="bottom"/>
          </w:tcPr>
          <w:p w14:paraId="71D3F5D5" w14:textId="77777777" w:rsidR="006A3667" w:rsidRDefault="006A3667">
            <w:pPr>
              <w:rPr>
                <w:rFonts w:ascii="宋体"/>
                <w:vanish/>
              </w:rPr>
            </w:pPr>
          </w:p>
        </w:tc>
      </w:tr>
      <w:tr w:rsidR="006A3667" w14:paraId="71D3F5E4" w14:textId="77777777">
        <w:tc>
          <w:tcPr>
            <w:tcW w:w="0" w:type="auto"/>
            <w:gridSpan w:val="3"/>
            <w:shd w:val="clear" w:color="auto" w:fill="CCEEFF"/>
            <w:tcMar>
              <w:top w:w="40" w:type="dxa"/>
              <w:left w:w="20" w:type="dxa"/>
              <w:bottom w:w="40" w:type="dxa"/>
              <w:right w:w="20" w:type="dxa"/>
            </w:tcMar>
            <w:vAlign w:val="bottom"/>
          </w:tcPr>
          <w:p w14:paraId="71D3F5D7" w14:textId="77777777" w:rsidR="006A3667" w:rsidRDefault="00045F32">
            <w:pPr>
              <w:textAlignment w:val="bottom"/>
            </w:pPr>
            <w:r>
              <w:rPr>
                <w:rFonts w:ascii="Arial" w:eastAsia="宋体" w:hAnsi="Arial" w:cs="Arial"/>
                <w:color w:val="000000"/>
                <w:sz w:val="14"/>
                <w:szCs w:val="14"/>
              </w:rPr>
              <w:t>Restructuring charges, net</w:t>
            </w:r>
          </w:p>
        </w:tc>
        <w:tc>
          <w:tcPr>
            <w:tcW w:w="0" w:type="auto"/>
            <w:gridSpan w:val="2"/>
            <w:shd w:val="clear" w:color="auto" w:fill="CCEEFF"/>
            <w:tcMar>
              <w:top w:w="40" w:type="dxa"/>
              <w:left w:w="20" w:type="dxa"/>
              <w:bottom w:w="40" w:type="dxa"/>
              <w:right w:w="0" w:type="dxa"/>
            </w:tcMar>
            <w:vAlign w:val="bottom"/>
          </w:tcPr>
          <w:p w14:paraId="71D3F5D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5D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D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DB"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3F5DC" w14:textId="77777777" w:rsidR="006A3667" w:rsidRDefault="006A3667">
            <w:pPr>
              <w:jc w:val="right"/>
              <w:rPr>
                <w:rFonts w:ascii="宋体"/>
              </w:rPr>
            </w:pPr>
          </w:p>
        </w:tc>
        <w:tc>
          <w:tcPr>
            <w:tcW w:w="0" w:type="auto"/>
            <w:shd w:val="clear" w:color="auto" w:fill="auto"/>
            <w:vAlign w:val="bottom"/>
          </w:tcPr>
          <w:p w14:paraId="71D3F5DD" w14:textId="77777777" w:rsidR="006A3667" w:rsidRDefault="006A3667">
            <w:pPr>
              <w:rPr>
                <w:rFonts w:ascii="宋体"/>
                <w:vanish/>
              </w:rPr>
            </w:pPr>
          </w:p>
        </w:tc>
        <w:tc>
          <w:tcPr>
            <w:tcW w:w="0" w:type="auto"/>
            <w:shd w:val="clear" w:color="auto" w:fill="auto"/>
            <w:vAlign w:val="bottom"/>
          </w:tcPr>
          <w:p w14:paraId="71D3F5DE"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D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E0" w14:textId="77777777" w:rsidR="006A3667" w:rsidRDefault="00045F32">
            <w:pPr>
              <w:jc w:val="right"/>
              <w:textAlignment w:val="bottom"/>
            </w:pPr>
            <w:r>
              <w:rPr>
                <w:rFonts w:ascii="Arial" w:eastAsia="宋体" w:hAnsi="Arial" w:cs="Arial"/>
                <w:color w:val="000000"/>
                <w:sz w:val="14"/>
                <w:szCs w:val="14"/>
              </w:rPr>
              <w:t>(100)</w:t>
            </w:r>
          </w:p>
        </w:tc>
        <w:tc>
          <w:tcPr>
            <w:tcW w:w="0" w:type="auto"/>
            <w:shd w:val="clear" w:color="auto" w:fill="CCEEFF"/>
            <w:tcMar>
              <w:top w:w="40" w:type="dxa"/>
              <w:left w:w="0" w:type="dxa"/>
              <w:bottom w:w="40" w:type="dxa"/>
              <w:right w:w="20" w:type="dxa"/>
            </w:tcMar>
            <w:vAlign w:val="bottom"/>
          </w:tcPr>
          <w:p w14:paraId="71D3F5E1" w14:textId="77777777" w:rsidR="006A3667" w:rsidRDefault="006A3667">
            <w:pPr>
              <w:jc w:val="right"/>
              <w:rPr>
                <w:rFonts w:ascii="宋体"/>
              </w:rPr>
            </w:pPr>
          </w:p>
        </w:tc>
        <w:tc>
          <w:tcPr>
            <w:tcW w:w="0" w:type="auto"/>
            <w:gridSpan w:val="3"/>
            <w:shd w:val="clear" w:color="auto" w:fill="auto"/>
            <w:vAlign w:val="bottom"/>
          </w:tcPr>
          <w:p w14:paraId="71D3F5E2" w14:textId="77777777" w:rsidR="006A3667" w:rsidRDefault="006A3667">
            <w:pPr>
              <w:rPr>
                <w:rFonts w:ascii="宋体"/>
                <w:vanish/>
              </w:rPr>
            </w:pPr>
          </w:p>
        </w:tc>
        <w:tc>
          <w:tcPr>
            <w:tcW w:w="0" w:type="auto"/>
            <w:gridSpan w:val="3"/>
            <w:shd w:val="clear" w:color="auto" w:fill="auto"/>
            <w:vAlign w:val="bottom"/>
          </w:tcPr>
          <w:p w14:paraId="71D3F5E3" w14:textId="77777777" w:rsidR="006A3667" w:rsidRDefault="006A3667">
            <w:pPr>
              <w:rPr>
                <w:rFonts w:ascii="宋体"/>
                <w:vanish/>
              </w:rPr>
            </w:pPr>
          </w:p>
        </w:tc>
      </w:tr>
      <w:tr w:rsidR="006A3667" w14:paraId="71D3F5EF" w14:textId="77777777">
        <w:tc>
          <w:tcPr>
            <w:tcW w:w="0" w:type="auto"/>
            <w:gridSpan w:val="3"/>
            <w:shd w:val="clear" w:color="auto" w:fill="FFFFFF"/>
            <w:tcMar>
              <w:top w:w="40" w:type="dxa"/>
              <w:left w:w="20" w:type="dxa"/>
              <w:bottom w:w="40" w:type="dxa"/>
              <w:right w:w="20" w:type="dxa"/>
            </w:tcMar>
            <w:vAlign w:val="bottom"/>
          </w:tcPr>
          <w:p w14:paraId="71D3F5E5" w14:textId="77777777" w:rsidR="006A3667" w:rsidRDefault="00045F32">
            <w:pPr>
              <w:textAlignment w:val="bottom"/>
            </w:pPr>
            <w:r>
              <w:rPr>
                <w:rFonts w:ascii="Arial" w:eastAsia="宋体" w:hAnsi="Arial" w:cs="Arial"/>
                <w:color w:val="000000"/>
                <w:sz w:val="14"/>
                <w:szCs w:val="14"/>
              </w:rPr>
              <w:t>Other:</w:t>
            </w:r>
          </w:p>
        </w:tc>
        <w:tc>
          <w:tcPr>
            <w:tcW w:w="0" w:type="auto"/>
            <w:gridSpan w:val="3"/>
            <w:shd w:val="clear" w:color="auto" w:fill="FFFFFF"/>
            <w:tcMar>
              <w:top w:w="0" w:type="dxa"/>
              <w:left w:w="20" w:type="dxa"/>
              <w:bottom w:w="0" w:type="dxa"/>
              <w:right w:w="20" w:type="dxa"/>
            </w:tcMar>
            <w:vAlign w:val="bottom"/>
          </w:tcPr>
          <w:p w14:paraId="71D3F5E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5E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5E8" w14:textId="77777777" w:rsidR="006A3667" w:rsidRDefault="006A3667">
            <w:pPr>
              <w:rPr>
                <w:rFonts w:ascii="宋体"/>
              </w:rPr>
            </w:pPr>
          </w:p>
        </w:tc>
        <w:tc>
          <w:tcPr>
            <w:tcW w:w="0" w:type="auto"/>
            <w:shd w:val="clear" w:color="auto" w:fill="auto"/>
            <w:vAlign w:val="bottom"/>
          </w:tcPr>
          <w:p w14:paraId="71D3F5E9" w14:textId="77777777" w:rsidR="006A3667" w:rsidRDefault="006A3667">
            <w:pPr>
              <w:rPr>
                <w:rFonts w:ascii="宋体"/>
                <w:vanish/>
              </w:rPr>
            </w:pPr>
          </w:p>
        </w:tc>
        <w:tc>
          <w:tcPr>
            <w:tcW w:w="0" w:type="auto"/>
            <w:shd w:val="clear" w:color="auto" w:fill="auto"/>
            <w:vAlign w:val="bottom"/>
          </w:tcPr>
          <w:p w14:paraId="71D3F5EA"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5E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5EC" w14:textId="77777777" w:rsidR="006A3667" w:rsidRDefault="006A3667">
            <w:pPr>
              <w:rPr>
                <w:rFonts w:ascii="宋体"/>
              </w:rPr>
            </w:pPr>
          </w:p>
        </w:tc>
        <w:tc>
          <w:tcPr>
            <w:tcW w:w="0" w:type="auto"/>
            <w:gridSpan w:val="3"/>
            <w:shd w:val="clear" w:color="auto" w:fill="auto"/>
            <w:vAlign w:val="bottom"/>
          </w:tcPr>
          <w:p w14:paraId="71D3F5ED" w14:textId="77777777" w:rsidR="006A3667" w:rsidRDefault="006A3667">
            <w:pPr>
              <w:rPr>
                <w:rFonts w:ascii="宋体"/>
                <w:vanish/>
              </w:rPr>
            </w:pPr>
          </w:p>
        </w:tc>
        <w:tc>
          <w:tcPr>
            <w:tcW w:w="0" w:type="auto"/>
            <w:gridSpan w:val="3"/>
            <w:shd w:val="clear" w:color="auto" w:fill="auto"/>
            <w:vAlign w:val="bottom"/>
          </w:tcPr>
          <w:p w14:paraId="71D3F5EE" w14:textId="77777777" w:rsidR="006A3667" w:rsidRDefault="006A3667">
            <w:pPr>
              <w:rPr>
                <w:rFonts w:ascii="宋体"/>
                <w:vanish/>
              </w:rPr>
            </w:pPr>
          </w:p>
        </w:tc>
      </w:tr>
      <w:tr w:rsidR="006A3667" w14:paraId="71D3F5FD" w14:textId="77777777">
        <w:tc>
          <w:tcPr>
            <w:tcW w:w="0" w:type="auto"/>
            <w:gridSpan w:val="3"/>
            <w:shd w:val="clear" w:color="auto" w:fill="CCEEFF"/>
            <w:tcMar>
              <w:top w:w="40" w:type="dxa"/>
              <w:left w:w="155" w:type="dxa"/>
              <w:bottom w:w="40" w:type="dxa"/>
              <w:right w:w="20" w:type="dxa"/>
            </w:tcMar>
            <w:vAlign w:val="bottom"/>
          </w:tcPr>
          <w:p w14:paraId="71D3F5F0" w14:textId="77777777" w:rsidR="006A3667" w:rsidRDefault="00045F32">
            <w:pPr>
              <w:textAlignment w:val="bottom"/>
            </w:pPr>
            <w:r>
              <w:rPr>
                <w:rFonts w:ascii="Arial" w:eastAsia="宋体" w:hAnsi="Arial" w:cs="Arial"/>
                <w:color w:val="000000"/>
                <w:sz w:val="14"/>
                <w:szCs w:val="14"/>
              </w:rPr>
              <w:t>Professional services</w:t>
            </w:r>
          </w:p>
        </w:tc>
        <w:tc>
          <w:tcPr>
            <w:tcW w:w="0" w:type="auto"/>
            <w:gridSpan w:val="2"/>
            <w:shd w:val="clear" w:color="auto" w:fill="CCEEFF"/>
            <w:tcMar>
              <w:top w:w="40" w:type="dxa"/>
              <w:left w:w="20" w:type="dxa"/>
              <w:bottom w:w="40" w:type="dxa"/>
              <w:right w:w="0" w:type="dxa"/>
            </w:tcMar>
            <w:vAlign w:val="bottom"/>
          </w:tcPr>
          <w:p w14:paraId="71D3F5F1" w14:textId="77777777" w:rsidR="006A3667" w:rsidRDefault="00045F32">
            <w:pPr>
              <w:jc w:val="right"/>
              <w:textAlignment w:val="bottom"/>
            </w:pPr>
            <w:r>
              <w:rPr>
                <w:rFonts w:ascii="Arial" w:eastAsia="宋体" w:hAnsi="Arial" w:cs="Arial"/>
                <w:b/>
                <w:bCs/>
                <w:color w:val="000000"/>
                <w:sz w:val="14"/>
                <w:szCs w:val="14"/>
              </w:rPr>
              <w:t>273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5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5F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F4" w14:textId="77777777" w:rsidR="006A3667" w:rsidRDefault="00045F32">
            <w:pPr>
              <w:jc w:val="right"/>
              <w:textAlignment w:val="bottom"/>
            </w:pPr>
            <w:r>
              <w:rPr>
                <w:rFonts w:ascii="Arial" w:eastAsia="宋体" w:hAnsi="Arial" w:cs="Arial"/>
                <w:color w:val="000000"/>
                <w:sz w:val="14"/>
                <w:szCs w:val="14"/>
              </w:rPr>
              <w:t>246 </w:t>
            </w:r>
          </w:p>
        </w:tc>
        <w:tc>
          <w:tcPr>
            <w:tcW w:w="0" w:type="auto"/>
            <w:shd w:val="clear" w:color="auto" w:fill="CCEEFF"/>
            <w:tcMar>
              <w:top w:w="40" w:type="dxa"/>
              <w:left w:w="0" w:type="dxa"/>
              <w:bottom w:w="40" w:type="dxa"/>
              <w:right w:w="20" w:type="dxa"/>
            </w:tcMar>
            <w:vAlign w:val="bottom"/>
          </w:tcPr>
          <w:p w14:paraId="71D3F5F5" w14:textId="77777777" w:rsidR="006A3667" w:rsidRDefault="006A3667">
            <w:pPr>
              <w:jc w:val="right"/>
              <w:rPr>
                <w:rFonts w:ascii="宋体"/>
              </w:rPr>
            </w:pPr>
          </w:p>
        </w:tc>
        <w:tc>
          <w:tcPr>
            <w:tcW w:w="0" w:type="auto"/>
            <w:shd w:val="clear" w:color="auto" w:fill="auto"/>
            <w:vAlign w:val="bottom"/>
          </w:tcPr>
          <w:p w14:paraId="71D3F5F6" w14:textId="77777777" w:rsidR="006A3667" w:rsidRDefault="006A3667">
            <w:pPr>
              <w:rPr>
                <w:rFonts w:ascii="宋体"/>
                <w:vanish/>
              </w:rPr>
            </w:pPr>
          </w:p>
        </w:tc>
        <w:tc>
          <w:tcPr>
            <w:tcW w:w="0" w:type="auto"/>
            <w:shd w:val="clear" w:color="auto" w:fill="auto"/>
            <w:vAlign w:val="bottom"/>
          </w:tcPr>
          <w:p w14:paraId="71D3F5F7"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5F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5F9" w14:textId="77777777" w:rsidR="006A3667" w:rsidRDefault="00045F32">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71D3F5FA" w14:textId="77777777" w:rsidR="006A3667" w:rsidRDefault="006A3667">
            <w:pPr>
              <w:jc w:val="right"/>
              <w:rPr>
                <w:rFonts w:ascii="宋体"/>
              </w:rPr>
            </w:pPr>
          </w:p>
        </w:tc>
        <w:tc>
          <w:tcPr>
            <w:tcW w:w="0" w:type="auto"/>
            <w:gridSpan w:val="3"/>
            <w:shd w:val="clear" w:color="auto" w:fill="auto"/>
            <w:vAlign w:val="bottom"/>
          </w:tcPr>
          <w:p w14:paraId="71D3F5FB" w14:textId="77777777" w:rsidR="006A3667" w:rsidRDefault="006A3667">
            <w:pPr>
              <w:rPr>
                <w:rFonts w:ascii="宋体"/>
                <w:vanish/>
              </w:rPr>
            </w:pPr>
          </w:p>
        </w:tc>
        <w:tc>
          <w:tcPr>
            <w:tcW w:w="0" w:type="auto"/>
            <w:gridSpan w:val="3"/>
            <w:shd w:val="clear" w:color="auto" w:fill="auto"/>
            <w:vAlign w:val="bottom"/>
          </w:tcPr>
          <w:p w14:paraId="71D3F5FC" w14:textId="77777777" w:rsidR="006A3667" w:rsidRDefault="006A3667">
            <w:pPr>
              <w:rPr>
                <w:rFonts w:ascii="宋体"/>
                <w:vanish/>
              </w:rPr>
            </w:pPr>
          </w:p>
        </w:tc>
      </w:tr>
      <w:tr w:rsidR="006A3667" w14:paraId="71D3F60B" w14:textId="77777777">
        <w:tc>
          <w:tcPr>
            <w:tcW w:w="0" w:type="auto"/>
            <w:gridSpan w:val="3"/>
            <w:shd w:val="clear" w:color="auto" w:fill="FFFFFF"/>
            <w:tcMar>
              <w:top w:w="40" w:type="dxa"/>
              <w:left w:w="155" w:type="dxa"/>
              <w:bottom w:w="40" w:type="dxa"/>
              <w:right w:w="20" w:type="dxa"/>
            </w:tcMar>
            <w:vAlign w:val="bottom"/>
          </w:tcPr>
          <w:p w14:paraId="71D3F5FE"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3F5FF" w14:textId="77777777" w:rsidR="006A3667" w:rsidRDefault="00045F32">
            <w:pPr>
              <w:jc w:val="right"/>
              <w:textAlignment w:val="bottom"/>
            </w:pPr>
            <w:r>
              <w:rPr>
                <w:rFonts w:ascii="Arial" w:eastAsia="宋体" w:hAnsi="Arial" w:cs="Arial"/>
                <w:b/>
                <w:bCs/>
                <w:color w:val="000000"/>
                <w:sz w:val="14"/>
                <w:szCs w:val="14"/>
              </w:rPr>
              <w:t>506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6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60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02" w14:textId="77777777" w:rsidR="006A3667" w:rsidRDefault="00045F32">
            <w:pPr>
              <w:jc w:val="right"/>
              <w:textAlignment w:val="bottom"/>
            </w:pPr>
            <w:r>
              <w:rPr>
                <w:rFonts w:ascii="Arial" w:eastAsia="宋体" w:hAnsi="Arial" w:cs="Arial"/>
                <w:color w:val="000000"/>
                <w:sz w:val="14"/>
                <w:szCs w:val="14"/>
              </w:rPr>
              <w:t>396 </w:t>
            </w:r>
          </w:p>
        </w:tc>
        <w:tc>
          <w:tcPr>
            <w:tcW w:w="0" w:type="auto"/>
            <w:shd w:val="clear" w:color="auto" w:fill="FFFFFF"/>
            <w:tcMar>
              <w:top w:w="40" w:type="dxa"/>
              <w:left w:w="0" w:type="dxa"/>
              <w:bottom w:w="40" w:type="dxa"/>
              <w:right w:w="20" w:type="dxa"/>
            </w:tcMar>
            <w:vAlign w:val="bottom"/>
          </w:tcPr>
          <w:p w14:paraId="71D3F603" w14:textId="77777777" w:rsidR="006A3667" w:rsidRDefault="006A3667">
            <w:pPr>
              <w:jc w:val="right"/>
              <w:rPr>
                <w:rFonts w:ascii="宋体"/>
              </w:rPr>
            </w:pPr>
          </w:p>
        </w:tc>
        <w:tc>
          <w:tcPr>
            <w:tcW w:w="0" w:type="auto"/>
            <w:shd w:val="clear" w:color="auto" w:fill="auto"/>
            <w:vAlign w:val="bottom"/>
          </w:tcPr>
          <w:p w14:paraId="71D3F604" w14:textId="77777777" w:rsidR="006A3667" w:rsidRDefault="006A3667">
            <w:pPr>
              <w:rPr>
                <w:rFonts w:ascii="宋体"/>
                <w:vanish/>
              </w:rPr>
            </w:pPr>
          </w:p>
        </w:tc>
        <w:tc>
          <w:tcPr>
            <w:tcW w:w="0" w:type="auto"/>
            <w:shd w:val="clear" w:color="auto" w:fill="auto"/>
            <w:vAlign w:val="bottom"/>
          </w:tcPr>
          <w:p w14:paraId="71D3F605"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60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07" w14:textId="77777777" w:rsidR="006A3667" w:rsidRDefault="00045F32">
            <w:pPr>
              <w:jc w:val="right"/>
              <w:textAlignment w:val="bottom"/>
            </w:pPr>
            <w:r>
              <w:rPr>
                <w:rFonts w:ascii="Arial" w:eastAsia="宋体" w:hAnsi="Arial" w:cs="Arial"/>
                <w:color w:val="000000"/>
                <w:sz w:val="14"/>
                <w:szCs w:val="14"/>
              </w:rPr>
              <w:t>28 </w:t>
            </w:r>
          </w:p>
        </w:tc>
        <w:tc>
          <w:tcPr>
            <w:tcW w:w="0" w:type="auto"/>
            <w:shd w:val="clear" w:color="auto" w:fill="FFFFFF"/>
            <w:tcMar>
              <w:top w:w="40" w:type="dxa"/>
              <w:left w:w="0" w:type="dxa"/>
              <w:bottom w:w="40" w:type="dxa"/>
              <w:right w:w="20" w:type="dxa"/>
            </w:tcMar>
            <w:vAlign w:val="bottom"/>
          </w:tcPr>
          <w:p w14:paraId="71D3F608" w14:textId="77777777" w:rsidR="006A3667" w:rsidRDefault="006A3667">
            <w:pPr>
              <w:jc w:val="right"/>
              <w:rPr>
                <w:rFonts w:ascii="宋体"/>
              </w:rPr>
            </w:pPr>
          </w:p>
        </w:tc>
        <w:tc>
          <w:tcPr>
            <w:tcW w:w="0" w:type="auto"/>
            <w:gridSpan w:val="3"/>
            <w:shd w:val="clear" w:color="auto" w:fill="auto"/>
            <w:vAlign w:val="bottom"/>
          </w:tcPr>
          <w:p w14:paraId="71D3F609" w14:textId="77777777" w:rsidR="006A3667" w:rsidRDefault="006A3667">
            <w:pPr>
              <w:rPr>
                <w:rFonts w:ascii="宋体"/>
                <w:vanish/>
              </w:rPr>
            </w:pPr>
          </w:p>
        </w:tc>
        <w:tc>
          <w:tcPr>
            <w:tcW w:w="0" w:type="auto"/>
            <w:gridSpan w:val="3"/>
            <w:shd w:val="clear" w:color="auto" w:fill="auto"/>
            <w:vAlign w:val="bottom"/>
          </w:tcPr>
          <w:p w14:paraId="71D3F60A" w14:textId="77777777" w:rsidR="006A3667" w:rsidRDefault="006A3667">
            <w:pPr>
              <w:rPr>
                <w:rFonts w:ascii="宋体"/>
                <w:vanish/>
              </w:rPr>
            </w:pPr>
          </w:p>
        </w:tc>
      </w:tr>
      <w:tr w:rsidR="006A3667" w14:paraId="71D3F619" w14:textId="77777777">
        <w:tc>
          <w:tcPr>
            <w:tcW w:w="0" w:type="auto"/>
            <w:gridSpan w:val="3"/>
            <w:shd w:val="clear" w:color="auto" w:fill="CCEEFF"/>
            <w:tcMar>
              <w:top w:w="40" w:type="dxa"/>
              <w:left w:w="20" w:type="dxa"/>
              <w:bottom w:w="40" w:type="dxa"/>
              <w:right w:w="20" w:type="dxa"/>
            </w:tcMar>
            <w:vAlign w:val="bottom"/>
          </w:tcPr>
          <w:p w14:paraId="71D3F60C" w14:textId="77777777" w:rsidR="006A3667" w:rsidRDefault="00045F32">
            <w:pPr>
              <w:textAlignment w:val="bottom"/>
            </w:pPr>
            <w:r>
              <w:rPr>
                <w:rFonts w:ascii="Arial" w:eastAsia="宋体" w:hAnsi="Arial" w:cs="Arial"/>
                <w:color w:val="000000"/>
                <w:sz w:val="14"/>
                <w:szCs w:val="14"/>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60D" w14:textId="77777777" w:rsidR="006A3667" w:rsidRDefault="00045F32">
            <w:pPr>
              <w:jc w:val="right"/>
              <w:textAlignment w:val="bottom"/>
            </w:pPr>
            <w:r>
              <w:rPr>
                <w:rFonts w:ascii="Arial" w:eastAsia="宋体" w:hAnsi="Arial" w:cs="Arial"/>
                <w:b/>
                <w:bCs/>
                <w:color w:val="000000"/>
                <w:sz w:val="14"/>
                <w:szCs w:val="14"/>
              </w:rPr>
              <w:t>779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60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60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610" w14:textId="77777777" w:rsidR="006A3667" w:rsidRDefault="00045F32">
            <w:pPr>
              <w:jc w:val="right"/>
              <w:textAlignment w:val="bottom"/>
            </w:pPr>
            <w:r>
              <w:rPr>
                <w:rFonts w:ascii="Arial" w:eastAsia="宋体" w:hAnsi="Arial" w:cs="Arial"/>
                <w:color w:val="000000"/>
                <w:sz w:val="14"/>
                <w:szCs w:val="14"/>
              </w:rPr>
              <w:t>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611" w14:textId="77777777" w:rsidR="006A3667" w:rsidRDefault="006A3667">
            <w:pPr>
              <w:jc w:val="right"/>
              <w:rPr>
                <w:rFonts w:ascii="宋体"/>
              </w:rPr>
            </w:pPr>
          </w:p>
        </w:tc>
        <w:tc>
          <w:tcPr>
            <w:tcW w:w="0" w:type="auto"/>
            <w:shd w:val="clear" w:color="auto" w:fill="auto"/>
            <w:vAlign w:val="bottom"/>
          </w:tcPr>
          <w:p w14:paraId="71D3F612" w14:textId="77777777" w:rsidR="006A3667" w:rsidRDefault="006A3667">
            <w:pPr>
              <w:rPr>
                <w:rFonts w:ascii="宋体"/>
                <w:vanish/>
              </w:rPr>
            </w:pPr>
          </w:p>
        </w:tc>
        <w:tc>
          <w:tcPr>
            <w:tcW w:w="0" w:type="auto"/>
            <w:shd w:val="clear" w:color="auto" w:fill="auto"/>
            <w:vAlign w:val="bottom"/>
          </w:tcPr>
          <w:p w14:paraId="71D3F613"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61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615" w14:textId="77777777" w:rsidR="006A3667" w:rsidRDefault="00045F32">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71D3F616" w14:textId="77777777" w:rsidR="006A3667" w:rsidRDefault="006A3667">
            <w:pPr>
              <w:jc w:val="right"/>
              <w:rPr>
                <w:rFonts w:ascii="宋体"/>
              </w:rPr>
            </w:pPr>
          </w:p>
        </w:tc>
        <w:tc>
          <w:tcPr>
            <w:tcW w:w="0" w:type="auto"/>
            <w:gridSpan w:val="3"/>
            <w:shd w:val="clear" w:color="auto" w:fill="auto"/>
            <w:vAlign w:val="bottom"/>
          </w:tcPr>
          <w:p w14:paraId="71D3F617" w14:textId="77777777" w:rsidR="006A3667" w:rsidRDefault="006A3667">
            <w:pPr>
              <w:rPr>
                <w:rFonts w:ascii="宋体"/>
                <w:vanish/>
              </w:rPr>
            </w:pPr>
          </w:p>
        </w:tc>
        <w:tc>
          <w:tcPr>
            <w:tcW w:w="0" w:type="auto"/>
            <w:gridSpan w:val="3"/>
            <w:shd w:val="clear" w:color="auto" w:fill="auto"/>
            <w:vAlign w:val="bottom"/>
          </w:tcPr>
          <w:p w14:paraId="71D3F618" w14:textId="77777777" w:rsidR="006A3667" w:rsidRDefault="006A3667">
            <w:pPr>
              <w:rPr>
                <w:rFonts w:ascii="宋体"/>
                <w:vanish/>
              </w:rPr>
            </w:pPr>
          </w:p>
        </w:tc>
      </w:tr>
      <w:tr w:rsidR="006A3667" w14:paraId="71D3F629" w14:textId="77777777">
        <w:tc>
          <w:tcPr>
            <w:tcW w:w="0" w:type="auto"/>
            <w:gridSpan w:val="3"/>
            <w:shd w:val="clear" w:color="auto" w:fill="FFFFFF"/>
            <w:tcMar>
              <w:top w:w="40" w:type="dxa"/>
              <w:left w:w="20" w:type="dxa"/>
              <w:bottom w:w="40" w:type="dxa"/>
              <w:right w:w="20" w:type="dxa"/>
            </w:tcMar>
            <w:vAlign w:val="bottom"/>
          </w:tcPr>
          <w:p w14:paraId="71D3F61A" w14:textId="77777777" w:rsidR="006A3667" w:rsidRDefault="00045F32">
            <w:pPr>
              <w:textAlignment w:val="bottom"/>
            </w:pPr>
            <w:r>
              <w:rPr>
                <w:rFonts w:ascii="Arial" w:eastAsia="宋体" w:hAnsi="Arial" w:cs="Arial"/>
                <w:color w:val="000000"/>
                <w:sz w:val="14"/>
                <w:szCs w:val="14"/>
              </w:rPr>
              <w:t>To</w:t>
            </w:r>
            <w:r>
              <w:rPr>
                <w:rFonts w:ascii="Arial" w:eastAsia="宋体" w:hAnsi="Arial" w:cs="Arial"/>
                <w:color w:val="000000"/>
                <w:sz w:val="14"/>
                <w:szCs w:val="14"/>
              </w:rPr>
              <w:t>tal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61B"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61C" w14:textId="77777777" w:rsidR="006A3667" w:rsidRDefault="00045F32">
            <w:pPr>
              <w:jc w:val="right"/>
              <w:textAlignment w:val="bottom"/>
            </w:pPr>
            <w:r>
              <w:rPr>
                <w:rFonts w:ascii="Arial" w:eastAsia="宋体" w:hAnsi="Arial" w:cs="Arial"/>
                <w:b/>
                <w:bCs/>
                <w:color w:val="000000"/>
                <w:sz w:val="14"/>
                <w:szCs w:val="14"/>
              </w:rPr>
              <w:t>6,545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6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61E"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61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620" w14:textId="77777777" w:rsidR="006A3667" w:rsidRDefault="00045F32">
            <w:pPr>
              <w:jc w:val="right"/>
              <w:textAlignment w:val="bottom"/>
            </w:pPr>
            <w:r>
              <w:rPr>
                <w:rFonts w:ascii="Arial" w:eastAsia="宋体" w:hAnsi="Arial" w:cs="Arial"/>
                <w:color w:val="000000"/>
                <w:sz w:val="14"/>
                <w:szCs w:val="14"/>
              </w:rPr>
              <w:t>6,559 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621" w14:textId="77777777" w:rsidR="006A3667" w:rsidRDefault="006A3667">
            <w:pPr>
              <w:jc w:val="right"/>
              <w:rPr>
                <w:rFonts w:ascii="宋体"/>
              </w:rPr>
            </w:pPr>
          </w:p>
        </w:tc>
        <w:tc>
          <w:tcPr>
            <w:tcW w:w="0" w:type="auto"/>
            <w:shd w:val="clear" w:color="auto" w:fill="auto"/>
            <w:vAlign w:val="bottom"/>
          </w:tcPr>
          <w:p w14:paraId="71D3F622" w14:textId="77777777" w:rsidR="006A3667" w:rsidRDefault="006A3667">
            <w:pPr>
              <w:rPr>
                <w:rFonts w:ascii="宋体"/>
                <w:vanish/>
              </w:rPr>
            </w:pPr>
          </w:p>
        </w:tc>
        <w:tc>
          <w:tcPr>
            <w:tcW w:w="0" w:type="auto"/>
            <w:shd w:val="clear" w:color="auto" w:fill="auto"/>
            <w:vAlign w:val="bottom"/>
          </w:tcPr>
          <w:p w14:paraId="71D3F623"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62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2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626" w14:textId="77777777" w:rsidR="006A3667" w:rsidRDefault="006A3667">
            <w:pPr>
              <w:jc w:val="right"/>
              <w:rPr>
                <w:rFonts w:ascii="宋体"/>
              </w:rPr>
            </w:pPr>
          </w:p>
        </w:tc>
        <w:tc>
          <w:tcPr>
            <w:tcW w:w="0" w:type="auto"/>
            <w:gridSpan w:val="3"/>
            <w:shd w:val="clear" w:color="auto" w:fill="auto"/>
            <w:vAlign w:val="bottom"/>
          </w:tcPr>
          <w:p w14:paraId="71D3F627" w14:textId="77777777" w:rsidR="006A3667" w:rsidRDefault="006A3667">
            <w:pPr>
              <w:rPr>
                <w:rFonts w:ascii="宋体"/>
                <w:vanish/>
              </w:rPr>
            </w:pPr>
          </w:p>
        </w:tc>
        <w:tc>
          <w:tcPr>
            <w:tcW w:w="0" w:type="auto"/>
            <w:gridSpan w:val="3"/>
            <w:shd w:val="clear" w:color="auto" w:fill="auto"/>
            <w:vAlign w:val="bottom"/>
          </w:tcPr>
          <w:p w14:paraId="71D3F628" w14:textId="77777777" w:rsidR="006A3667" w:rsidRDefault="006A3667">
            <w:pPr>
              <w:rPr>
                <w:rFonts w:ascii="宋体"/>
                <w:vanish/>
              </w:rPr>
            </w:pPr>
          </w:p>
        </w:tc>
      </w:tr>
      <w:tr w:rsidR="006A3667" w14:paraId="71D3F634" w14:textId="77777777">
        <w:trPr>
          <w:hidden/>
        </w:trPr>
        <w:tc>
          <w:tcPr>
            <w:tcW w:w="0" w:type="auto"/>
            <w:gridSpan w:val="3"/>
            <w:shd w:val="clear" w:color="auto" w:fill="auto"/>
            <w:vAlign w:val="bottom"/>
          </w:tcPr>
          <w:p w14:paraId="71D3F62A" w14:textId="77777777" w:rsidR="006A3667" w:rsidRDefault="006A3667">
            <w:pPr>
              <w:rPr>
                <w:rFonts w:ascii="宋体"/>
                <w:vanish/>
              </w:rPr>
            </w:pPr>
          </w:p>
        </w:tc>
        <w:tc>
          <w:tcPr>
            <w:tcW w:w="0" w:type="auto"/>
            <w:gridSpan w:val="3"/>
            <w:shd w:val="clear" w:color="auto" w:fill="auto"/>
            <w:vAlign w:val="bottom"/>
          </w:tcPr>
          <w:p w14:paraId="71D3F62B" w14:textId="77777777" w:rsidR="006A3667" w:rsidRDefault="006A3667">
            <w:pPr>
              <w:rPr>
                <w:rFonts w:ascii="宋体"/>
                <w:vanish/>
              </w:rPr>
            </w:pPr>
          </w:p>
        </w:tc>
        <w:tc>
          <w:tcPr>
            <w:tcW w:w="0" w:type="auto"/>
            <w:gridSpan w:val="3"/>
            <w:shd w:val="clear" w:color="auto" w:fill="auto"/>
            <w:vAlign w:val="bottom"/>
          </w:tcPr>
          <w:p w14:paraId="71D3F62C" w14:textId="77777777" w:rsidR="006A3667" w:rsidRDefault="006A3667">
            <w:pPr>
              <w:rPr>
                <w:rFonts w:ascii="宋体"/>
                <w:vanish/>
              </w:rPr>
            </w:pPr>
          </w:p>
        </w:tc>
        <w:tc>
          <w:tcPr>
            <w:tcW w:w="0" w:type="auto"/>
            <w:gridSpan w:val="3"/>
            <w:shd w:val="clear" w:color="auto" w:fill="auto"/>
            <w:vAlign w:val="bottom"/>
          </w:tcPr>
          <w:p w14:paraId="71D3F62D" w14:textId="77777777" w:rsidR="006A3667" w:rsidRDefault="006A3667">
            <w:pPr>
              <w:rPr>
                <w:rFonts w:ascii="宋体"/>
                <w:vanish/>
              </w:rPr>
            </w:pPr>
          </w:p>
        </w:tc>
        <w:tc>
          <w:tcPr>
            <w:tcW w:w="0" w:type="auto"/>
            <w:shd w:val="clear" w:color="auto" w:fill="auto"/>
            <w:vAlign w:val="bottom"/>
          </w:tcPr>
          <w:p w14:paraId="71D3F62E" w14:textId="77777777" w:rsidR="006A3667" w:rsidRDefault="006A3667">
            <w:pPr>
              <w:rPr>
                <w:rFonts w:ascii="宋体"/>
                <w:vanish/>
              </w:rPr>
            </w:pPr>
          </w:p>
        </w:tc>
        <w:tc>
          <w:tcPr>
            <w:tcW w:w="0" w:type="auto"/>
            <w:shd w:val="clear" w:color="auto" w:fill="auto"/>
            <w:vAlign w:val="bottom"/>
          </w:tcPr>
          <w:p w14:paraId="71D3F62F" w14:textId="77777777" w:rsidR="006A3667" w:rsidRDefault="006A3667">
            <w:pPr>
              <w:rPr>
                <w:rFonts w:ascii="宋体"/>
                <w:vanish/>
              </w:rPr>
            </w:pPr>
          </w:p>
        </w:tc>
        <w:tc>
          <w:tcPr>
            <w:tcW w:w="0" w:type="auto"/>
            <w:gridSpan w:val="3"/>
            <w:shd w:val="clear" w:color="auto" w:fill="auto"/>
            <w:vAlign w:val="bottom"/>
          </w:tcPr>
          <w:p w14:paraId="71D3F630" w14:textId="77777777" w:rsidR="006A3667" w:rsidRDefault="006A3667">
            <w:pPr>
              <w:rPr>
                <w:rFonts w:ascii="宋体"/>
                <w:vanish/>
              </w:rPr>
            </w:pPr>
          </w:p>
        </w:tc>
        <w:tc>
          <w:tcPr>
            <w:tcW w:w="0" w:type="auto"/>
            <w:gridSpan w:val="3"/>
            <w:shd w:val="clear" w:color="auto" w:fill="auto"/>
            <w:vAlign w:val="bottom"/>
          </w:tcPr>
          <w:p w14:paraId="71D3F631" w14:textId="77777777" w:rsidR="006A3667" w:rsidRDefault="006A3667">
            <w:pPr>
              <w:rPr>
                <w:rFonts w:ascii="宋体"/>
                <w:vanish/>
              </w:rPr>
            </w:pPr>
          </w:p>
        </w:tc>
        <w:tc>
          <w:tcPr>
            <w:tcW w:w="0" w:type="auto"/>
            <w:gridSpan w:val="3"/>
            <w:shd w:val="clear" w:color="auto" w:fill="auto"/>
            <w:vAlign w:val="bottom"/>
          </w:tcPr>
          <w:p w14:paraId="71D3F632" w14:textId="77777777" w:rsidR="006A3667" w:rsidRDefault="006A3667">
            <w:pPr>
              <w:rPr>
                <w:rFonts w:ascii="宋体"/>
                <w:vanish/>
              </w:rPr>
            </w:pPr>
          </w:p>
        </w:tc>
        <w:tc>
          <w:tcPr>
            <w:tcW w:w="0" w:type="auto"/>
            <w:gridSpan w:val="3"/>
            <w:shd w:val="clear" w:color="auto" w:fill="auto"/>
            <w:vAlign w:val="bottom"/>
          </w:tcPr>
          <w:p w14:paraId="71D3F633" w14:textId="77777777" w:rsidR="006A3667" w:rsidRDefault="006A3667">
            <w:pPr>
              <w:rPr>
                <w:rFonts w:ascii="宋体"/>
                <w:vanish/>
              </w:rPr>
            </w:pPr>
          </w:p>
        </w:tc>
      </w:tr>
    </w:tbl>
    <w:p w14:paraId="71D3F635" w14:textId="77777777" w:rsidR="006A3667" w:rsidRDefault="00045F32">
      <w:pPr>
        <w:spacing w:before="60"/>
        <w:ind w:firstLine="450"/>
        <w:jc w:val="both"/>
        <w:textAlignment w:val="top"/>
      </w:pPr>
      <w:r>
        <w:rPr>
          <w:rFonts w:ascii="Arial" w:eastAsia="宋体" w:hAnsi="Arial" w:cs="Arial"/>
          <w:color w:val="000000"/>
          <w:sz w:val="20"/>
          <w:szCs w:val="20"/>
        </w:rPr>
        <w:t xml:space="preserve">Compensation and employee benefits expenses decreased 1% in the three months ended September 30, 2022, compared to the same period in 2021, primarily driven by the impact of currency translation, partially offset by higher headcount and higher merit </w:t>
      </w:r>
    </w:p>
    <w:p w14:paraId="71D3F636" w14:textId="77777777" w:rsidR="006A3667" w:rsidRDefault="00045F32">
      <w:pPr>
        <w:ind w:firstLine="450"/>
        <w:jc w:val="right"/>
      </w:pPr>
      <w:r>
        <w:rPr>
          <w:rFonts w:ascii="Arial" w:eastAsia="宋体" w:hAnsi="Arial" w:cs="Arial"/>
          <w:color w:val="000000"/>
          <w:sz w:val="18"/>
          <w:szCs w:val="18"/>
        </w:rPr>
        <w:t>State</w:t>
      </w:r>
      <w:r>
        <w:rPr>
          <w:rFonts w:ascii="Arial" w:eastAsia="宋体" w:hAnsi="Arial" w:cs="Arial"/>
          <w:color w:val="000000"/>
          <w:sz w:val="18"/>
          <w:szCs w:val="18"/>
        </w:rPr>
        <w:t xml:space="preserve"> Street Corporation | 23</w:t>
      </w:r>
    </w:p>
    <w:p w14:paraId="71D3F637" w14:textId="77777777" w:rsidR="006A3667" w:rsidRDefault="006A3667">
      <w:pPr>
        <w:ind w:firstLine="450"/>
        <w:jc w:val="center"/>
      </w:pPr>
    </w:p>
    <w:p w14:paraId="71D3F638" w14:textId="77777777" w:rsidR="006A3667" w:rsidRDefault="00045F32">
      <w:r>
        <w:pict w14:anchorId="71D4AC2B">
          <v:rect id="_x0000_i1047" style="width:415.3pt;height:1.5pt" o:hralign="center" o:hrstd="t" o:hr="t" fillcolor="#a0a0a0" stroked="f"/>
        </w:pict>
      </w:r>
    </w:p>
    <w:p w14:paraId="71D3F639"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F63A" w14:textId="77777777" w:rsidR="006A3667" w:rsidRDefault="00045F32">
      <w:pPr>
        <w:ind w:firstLine="450"/>
        <w:jc w:val="center"/>
      </w:pPr>
      <w:r>
        <w:rPr>
          <w:rFonts w:ascii="Arial" w:eastAsia="宋体" w:hAnsi="Arial" w:cs="Arial"/>
          <w:b/>
          <w:bCs/>
          <w:color w:val="000000"/>
          <w:sz w:val="20"/>
          <w:szCs w:val="20"/>
        </w:rPr>
        <w:t>AND RESULTS OF OPERATIONS</w:t>
      </w:r>
    </w:p>
    <w:p w14:paraId="71D3F63B" w14:textId="77777777" w:rsidR="006A3667" w:rsidRDefault="00045F32">
      <w:pPr>
        <w:spacing w:before="60"/>
        <w:jc w:val="both"/>
        <w:textAlignment w:val="top"/>
      </w:pPr>
      <w:r>
        <w:rPr>
          <w:rFonts w:ascii="Arial" w:eastAsia="宋体" w:hAnsi="Arial" w:cs="Arial"/>
          <w:color w:val="000000"/>
          <w:sz w:val="20"/>
          <w:szCs w:val="20"/>
        </w:rPr>
        <w:t>increases. Compensation and employee benefits expenses decreased 2% in the nine months ended September 30, 2022, compared to the same period i</w:t>
      </w:r>
      <w:r>
        <w:rPr>
          <w:rFonts w:ascii="Arial" w:eastAsia="宋体" w:hAnsi="Arial" w:cs="Arial"/>
          <w:color w:val="000000"/>
          <w:sz w:val="20"/>
          <w:szCs w:val="20"/>
        </w:rPr>
        <w:t>n 2021, primarily due to lower incentive compensation and the impact of currency translation, partially offset by higher headcount, merit increases, contractor spend and seasonal expenses. Currency translation decreased compensation and employee benefits e</w:t>
      </w:r>
      <w:r>
        <w:rPr>
          <w:rFonts w:ascii="Arial" w:eastAsia="宋体" w:hAnsi="Arial" w:cs="Arial"/>
          <w:color w:val="000000"/>
          <w:sz w:val="20"/>
          <w:szCs w:val="20"/>
        </w:rPr>
        <w:t xml:space="preserve">xpenses by 4% and 3% in the three and nine months ended September 30, 2022, respectively, compared to the same periods in 2021. </w:t>
      </w:r>
    </w:p>
    <w:p w14:paraId="71D3F63C" w14:textId="77777777" w:rsidR="006A3667" w:rsidRDefault="00045F32">
      <w:pPr>
        <w:spacing w:before="60"/>
        <w:ind w:firstLine="450"/>
        <w:jc w:val="both"/>
        <w:textAlignment w:val="top"/>
      </w:pPr>
      <w:r>
        <w:rPr>
          <w:rFonts w:ascii="Arial" w:eastAsia="宋体" w:hAnsi="Arial" w:cs="Arial"/>
          <w:color w:val="000000"/>
          <w:sz w:val="20"/>
          <w:szCs w:val="20"/>
        </w:rPr>
        <w:t>Total headcount increased 6% as of September 30, 2022 compared to September 30, 2021, primarily driven by hiring in global hubs</w:t>
      </w:r>
      <w:r>
        <w:rPr>
          <w:rFonts w:ascii="Arial" w:eastAsia="宋体" w:hAnsi="Arial" w:cs="Arial"/>
          <w:color w:val="000000"/>
          <w:sz w:val="20"/>
          <w:szCs w:val="20"/>
        </w:rPr>
        <w:t xml:space="preserve"> and insourcing of strategic technology functions from vendors, partially offset by a reduction in high cost locations.</w:t>
      </w:r>
    </w:p>
    <w:p w14:paraId="71D3F63D" w14:textId="77777777" w:rsidR="006A3667" w:rsidRDefault="00045F32">
      <w:pPr>
        <w:spacing w:before="60"/>
        <w:ind w:firstLine="450"/>
        <w:jc w:val="both"/>
        <w:textAlignment w:val="top"/>
      </w:pPr>
      <w:r>
        <w:rPr>
          <w:rFonts w:ascii="Arial" w:eastAsia="宋体" w:hAnsi="Arial" w:cs="Arial"/>
          <w:color w:val="000000"/>
          <w:sz w:val="20"/>
          <w:szCs w:val="20"/>
        </w:rPr>
        <w:t>Information systems and communications expenses decreased 2% and 1% in the three and nine months ended September 30, 2022, respectively,</w:t>
      </w:r>
      <w:r>
        <w:rPr>
          <w:rFonts w:ascii="Arial" w:eastAsia="宋体" w:hAnsi="Arial" w:cs="Arial"/>
          <w:color w:val="000000"/>
          <w:sz w:val="20"/>
          <w:szCs w:val="20"/>
        </w:rPr>
        <w:t xml:space="preserve"> compared to the same periods in 2021, primarily due to productivity and vendor savings initiatives, partially offset by technology and infrastructure investments. </w:t>
      </w:r>
    </w:p>
    <w:p w14:paraId="71D3F63E" w14:textId="77777777" w:rsidR="006A3667" w:rsidRDefault="00045F32">
      <w:pPr>
        <w:spacing w:before="60"/>
        <w:ind w:firstLine="450"/>
        <w:jc w:val="both"/>
        <w:textAlignment w:val="top"/>
      </w:pPr>
      <w:r>
        <w:rPr>
          <w:rFonts w:ascii="Arial" w:eastAsia="宋体" w:hAnsi="Arial" w:cs="Arial"/>
          <w:color w:val="000000"/>
          <w:sz w:val="20"/>
          <w:szCs w:val="20"/>
        </w:rPr>
        <w:t xml:space="preserve">Transaction processing services expenses decreased 10% and 7% in the three and nine months </w:t>
      </w:r>
      <w:r>
        <w:rPr>
          <w:rFonts w:ascii="Arial" w:eastAsia="宋体" w:hAnsi="Arial" w:cs="Arial"/>
          <w:color w:val="000000"/>
          <w:sz w:val="20"/>
          <w:szCs w:val="20"/>
        </w:rPr>
        <w:t>ended September 30, 2022, respectively, compared to the same periods in 2021, primarily due to lower sub-custody costs and the impact of currency translation which reduced transaction processing services expenses by 2% and 3% in the three and nine months e</w:t>
      </w:r>
      <w:r>
        <w:rPr>
          <w:rFonts w:ascii="Arial" w:eastAsia="宋体" w:hAnsi="Arial" w:cs="Arial"/>
          <w:color w:val="000000"/>
          <w:sz w:val="20"/>
          <w:szCs w:val="20"/>
        </w:rPr>
        <w:t>nded September 30, 2022, respectively, compared to the same periods in 2021.</w:t>
      </w:r>
    </w:p>
    <w:p w14:paraId="71D3F63F" w14:textId="77777777" w:rsidR="006A3667" w:rsidRDefault="00045F32">
      <w:pPr>
        <w:spacing w:before="60"/>
        <w:ind w:firstLine="450"/>
        <w:jc w:val="both"/>
        <w:textAlignment w:val="top"/>
      </w:pPr>
      <w:r>
        <w:rPr>
          <w:rFonts w:ascii="Arial" w:eastAsia="宋体" w:hAnsi="Arial" w:cs="Arial"/>
          <w:color w:val="000000"/>
          <w:sz w:val="20"/>
          <w:szCs w:val="20"/>
        </w:rPr>
        <w:t>Occupancy expenses decreased 5% and 7% in the three and nine months ended September 30, 2022, respectively, compared to the same periods in 2021, primarily due to footprint optimization and the impact of currency translation which reduced occupancy expense</w:t>
      </w:r>
      <w:r>
        <w:rPr>
          <w:rFonts w:ascii="Arial" w:eastAsia="宋体" w:hAnsi="Arial" w:cs="Arial"/>
          <w:color w:val="000000"/>
          <w:sz w:val="20"/>
          <w:szCs w:val="20"/>
        </w:rPr>
        <w:t xml:space="preserve">s by 6% and 3% in the three and nine months ended September 30, 2022, respectively, compared to the same periods in 2021. </w:t>
      </w:r>
    </w:p>
    <w:p w14:paraId="71D3F640" w14:textId="77777777" w:rsidR="006A3667" w:rsidRDefault="00045F32">
      <w:pPr>
        <w:spacing w:before="60"/>
        <w:ind w:firstLine="450"/>
        <w:jc w:val="both"/>
        <w:textAlignment w:val="top"/>
      </w:pPr>
      <w:r>
        <w:rPr>
          <w:rFonts w:ascii="Arial" w:eastAsia="宋体" w:hAnsi="Arial" w:cs="Arial"/>
          <w:color w:val="000000"/>
          <w:sz w:val="20"/>
          <w:szCs w:val="20"/>
        </w:rPr>
        <w:t>Amortization of other intangible assets decreased 6% and 2% in the three and nine months ended September 30, 2022, respectively, comp</w:t>
      </w:r>
      <w:r>
        <w:rPr>
          <w:rFonts w:ascii="Arial" w:eastAsia="宋体" w:hAnsi="Arial" w:cs="Arial"/>
          <w:color w:val="000000"/>
          <w:sz w:val="20"/>
          <w:szCs w:val="20"/>
        </w:rPr>
        <w:t>ared to the same periods in 2021, reflecting the impact of currency translation which reduced amortization of other intangible assets by 4% and 3% in the three and nine months ended September 30, 2022, respectively, compared to the same periods in 2021.</w:t>
      </w:r>
    </w:p>
    <w:p w14:paraId="71D3F641" w14:textId="77777777" w:rsidR="006A3667" w:rsidRDefault="00045F32">
      <w:pPr>
        <w:spacing w:before="60"/>
        <w:ind w:firstLine="450"/>
        <w:jc w:val="both"/>
        <w:textAlignment w:val="top"/>
      </w:pPr>
      <w:r>
        <w:rPr>
          <w:rFonts w:ascii="Arial" w:eastAsia="宋体" w:hAnsi="Arial" w:cs="Arial"/>
          <w:color w:val="000000"/>
          <w:sz w:val="20"/>
          <w:szCs w:val="20"/>
        </w:rPr>
        <w:t>Ot</w:t>
      </w:r>
      <w:r>
        <w:rPr>
          <w:rFonts w:ascii="Arial" w:eastAsia="宋体" w:hAnsi="Arial" w:cs="Arial"/>
          <w:color w:val="000000"/>
          <w:sz w:val="20"/>
          <w:szCs w:val="20"/>
        </w:rPr>
        <w:t>her expenses increased 24% in the three months ended September 30, 2022, compared to the same period in 2021, primarily due to higher marketing expenses, travel costs and State Street Foundation funding. Other expenses increased 21% in the nine months ende</w:t>
      </w:r>
      <w:r>
        <w:rPr>
          <w:rFonts w:ascii="Arial" w:eastAsia="宋体" w:hAnsi="Arial" w:cs="Arial"/>
          <w:color w:val="000000"/>
          <w:sz w:val="20"/>
          <w:szCs w:val="20"/>
        </w:rPr>
        <w:t>d September 30, 2022, compared to the same period in 2021, primarily due to higher professional services, recoverable client-</w:t>
      </w:r>
    </w:p>
    <w:p w14:paraId="71D3F642" w14:textId="77777777" w:rsidR="006A3667" w:rsidRDefault="00045F32">
      <w:pPr>
        <w:spacing w:before="60"/>
        <w:jc w:val="both"/>
        <w:textAlignment w:val="top"/>
      </w:pPr>
      <w:r>
        <w:rPr>
          <w:rFonts w:ascii="Arial" w:eastAsia="宋体" w:hAnsi="Arial" w:cs="Arial"/>
          <w:color w:val="000000"/>
          <w:sz w:val="20"/>
          <w:szCs w:val="20"/>
        </w:rPr>
        <w:t>related expenses, marketing expenses, travel and securities processing costs.</w:t>
      </w:r>
    </w:p>
    <w:p w14:paraId="71D3F643" w14:textId="77777777" w:rsidR="006A3667" w:rsidRDefault="00045F32">
      <w:pPr>
        <w:spacing w:before="60"/>
        <w:jc w:val="both"/>
        <w:textAlignment w:val="top"/>
      </w:pPr>
      <w:r>
        <w:rPr>
          <w:rFonts w:ascii="Arial" w:eastAsia="宋体" w:hAnsi="Arial" w:cs="Arial"/>
          <w:b/>
          <w:bCs/>
          <w:i/>
          <w:iCs/>
          <w:color w:val="000000"/>
          <w:sz w:val="20"/>
          <w:szCs w:val="20"/>
        </w:rPr>
        <w:t>Acquisition Costs</w:t>
      </w:r>
    </w:p>
    <w:p w14:paraId="71D3F644" w14:textId="77777777" w:rsidR="006A3667" w:rsidRDefault="00045F32">
      <w:pPr>
        <w:spacing w:before="60"/>
        <w:ind w:firstLine="450"/>
        <w:jc w:val="both"/>
        <w:textAlignment w:val="top"/>
      </w:pPr>
      <w:r>
        <w:rPr>
          <w:rFonts w:ascii="Arial" w:eastAsia="宋体" w:hAnsi="Arial" w:cs="Arial"/>
          <w:color w:val="000000"/>
          <w:sz w:val="20"/>
          <w:szCs w:val="20"/>
        </w:rPr>
        <w:t>We recorded approximately $13 mill</w:t>
      </w:r>
      <w:r>
        <w:rPr>
          <w:rFonts w:ascii="Arial" w:eastAsia="宋体" w:hAnsi="Arial" w:cs="Arial"/>
          <w:color w:val="000000"/>
          <w:sz w:val="20"/>
          <w:szCs w:val="20"/>
        </w:rPr>
        <w:t>ion and $34 million of acquisition costs in the three and nine months ended September 30, 2022, respectively, compared to $7 million in each of the same periods in 2021 related to our proposed acquisition of the BBH Investor services business. We expect to</w:t>
      </w:r>
      <w:r>
        <w:rPr>
          <w:rFonts w:ascii="Arial" w:eastAsia="宋体" w:hAnsi="Arial" w:cs="Arial"/>
          <w:color w:val="000000"/>
          <w:sz w:val="20"/>
          <w:szCs w:val="20"/>
        </w:rPr>
        <w:t xml:space="preserve"> incur up to approximately $590 million of acquisition and integration costs related to the acquisition through the third year following its closing. We anticipate that, should we finalize and agree with BBH upon the presently contemplated proposed modific</w:t>
      </w:r>
      <w:r>
        <w:rPr>
          <w:rFonts w:ascii="Arial" w:eastAsia="宋体" w:hAnsi="Arial" w:cs="Arial"/>
          <w:color w:val="000000"/>
          <w:sz w:val="20"/>
          <w:szCs w:val="20"/>
        </w:rPr>
        <w:t xml:space="preserve">ations to the transaction, we would incur additional acquisition and integration costs in subsequent years. The acquisition is subject to regulatory reviews and other closing conditions. For additional information on the BBH acquisition, refer to "Line of </w:t>
      </w:r>
      <w:r>
        <w:rPr>
          <w:rFonts w:ascii="Arial" w:eastAsia="宋体" w:hAnsi="Arial" w:cs="Arial"/>
          <w:color w:val="000000"/>
          <w:sz w:val="20"/>
          <w:szCs w:val="20"/>
        </w:rPr>
        <w:t xml:space="preserve">Business Information" included in this Management's Discussion and Analysis. </w:t>
      </w:r>
    </w:p>
    <w:p w14:paraId="71D3F645" w14:textId="77777777" w:rsidR="006A3667" w:rsidRDefault="00045F32">
      <w:pPr>
        <w:spacing w:before="60"/>
        <w:ind w:firstLine="450"/>
        <w:jc w:val="both"/>
        <w:textAlignment w:val="top"/>
      </w:pPr>
      <w:r>
        <w:rPr>
          <w:rFonts w:ascii="Arial" w:eastAsia="宋体" w:hAnsi="Arial" w:cs="Arial"/>
          <w:color w:val="000000"/>
          <w:sz w:val="20"/>
          <w:szCs w:val="20"/>
        </w:rPr>
        <w:t>We recorded approximately $11 million and $33 million of acquisition costs in the three and nine months ended September 30, 2021, respectively, related to our 2018 acquisition of</w:t>
      </w:r>
      <w:r>
        <w:rPr>
          <w:rFonts w:ascii="Arial" w:eastAsia="宋体" w:hAnsi="Arial" w:cs="Arial"/>
          <w:color w:val="000000"/>
          <w:sz w:val="20"/>
          <w:szCs w:val="20"/>
        </w:rPr>
        <w:t xml:space="preserve"> CRD. Starting in 2022, we no longer distinguish certain CRD costs as acquisition costs.</w:t>
      </w:r>
    </w:p>
    <w:p w14:paraId="71D3F646" w14:textId="77777777" w:rsidR="006A3667" w:rsidRDefault="00045F32">
      <w:pPr>
        <w:spacing w:before="60"/>
        <w:jc w:val="both"/>
        <w:textAlignment w:val="top"/>
      </w:pPr>
      <w:r>
        <w:rPr>
          <w:rFonts w:ascii="Arial" w:eastAsia="宋体" w:hAnsi="Arial" w:cs="Arial"/>
          <w:b/>
          <w:bCs/>
          <w:i/>
          <w:iCs/>
          <w:color w:val="000000"/>
          <w:sz w:val="20"/>
          <w:szCs w:val="20"/>
        </w:rPr>
        <w:t>Restructuring and Repositioning Charges</w:t>
      </w:r>
    </w:p>
    <w:p w14:paraId="71D3F647" w14:textId="77777777" w:rsidR="006A3667" w:rsidRDefault="00045F32">
      <w:pPr>
        <w:spacing w:before="60"/>
        <w:ind w:firstLine="450"/>
        <w:jc w:val="both"/>
        <w:textAlignment w:val="top"/>
      </w:pPr>
      <w:r>
        <w:rPr>
          <w:rFonts w:ascii="Arial" w:eastAsia="宋体" w:hAnsi="Arial" w:cs="Arial"/>
          <w:color w:val="000000"/>
          <w:sz w:val="20"/>
          <w:szCs w:val="20"/>
        </w:rPr>
        <w:t>The following table presents aggregate activity for repositioning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659"/>
        <w:gridCol w:w="37"/>
        <w:gridCol w:w="99"/>
        <w:gridCol w:w="1151"/>
        <w:gridCol w:w="37"/>
        <w:gridCol w:w="36"/>
        <w:gridCol w:w="38"/>
        <w:gridCol w:w="36"/>
        <w:gridCol w:w="99"/>
        <w:gridCol w:w="1152"/>
        <w:gridCol w:w="37"/>
        <w:gridCol w:w="117"/>
        <w:gridCol w:w="117"/>
        <w:gridCol w:w="36"/>
        <w:gridCol w:w="36"/>
        <w:gridCol w:w="36"/>
        <w:gridCol w:w="36"/>
        <w:gridCol w:w="36"/>
        <w:gridCol w:w="36"/>
        <w:gridCol w:w="36"/>
        <w:gridCol w:w="36"/>
        <w:gridCol w:w="36"/>
        <w:gridCol w:w="36"/>
        <w:gridCol w:w="36"/>
        <w:gridCol w:w="36"/>
        <w:gridCol w:w="36"/>
        <w:gridCol w:w="38"/>
        <w:gridCol w:w="36"/>
        <w:gridCol w:w="98"/>
        <w:gridCol w:w="1008"/>
        <w:gridCol w:w="36"/>
      </w:tblGrid>
      <w:tr w:rsidR="006A3667" w14:paraId="71D3F660" w14:textId="77777777">
        <w:tc>
          <w:tcPr>
            <w:tcW w:w="50" w:type="pct"/>
            <w:shd w:val="clear" w:color="auto" w:fill="auto"/>
            <w:vAlign w:val="bottom"/>
          </w:tcPr>
          <w:p w14:paraId="71D3F648" w14:textId="77777777" w:rsidR="006A3667" w:rsidRDefault="006A3667">
            <w:pPr>
              <w:rPr>
                <w:rFonts w:ascii="宋体"/>
              </w:rPr>
            </w:pPr>
          </w:p>
        </w:tc>
        <w:tc>
          <w:tcPr>
            <w:tcW w:w="2413" w:type="pct"/>
            <w:shd w:val="clear" w:color="auto" w:fill="auto"/>
            <w:vAlign w:val="bottom"/>
          </w:tcPr>
          <w:p w14:paraId="71D3F649" w14:textId="77777777" w:rsidR="006A3667" w:rsidRDefault="006A3667">
            <w:pPr>
              <w:rPr>
                <w:rFonts w:ascii="宋体"/>
              </w:rPr>
            </w:pPr>
          </w:p>
        </w:tc>
        <w:tc>
          <w:tcPr>
            <w:tcW w:w="5" w:type="pct"/>
            <w:shd w:val="clear" w:color="auto" w:fill="auto"/>
            <w:vAlign w:val="bottom"/>
          </w:tcPr>
          <w:p w14:paraId="71D3F64A" w14:textId="77777777" w:rsidR="006A3667" w:rsidRDefault="006A3667">
            <w:pPr>
              <w:rPr>
                <w:rFonts w:ascii="宋体"/>
              </w:rPr>
            </w:pPr>
          </w:p>
        </w:tc>
        <w:tc>
          <w:tcPr>
            <w:tcW w:w="50" w:type="pct"/>
            <w:shd w:val="clear" w:color="auto" w:fill="auto"/>
            <w:vAlign w:val="bottom"/>
          </w:tcPr>
          <w:p w14:paraId="71D3F64B" w14:textId="77777777" w:rsidR="006A3667" w:rsidRDefault="006A3667">
            <w:pPr>
              <w:rPr>
                <w:rFonts w:ascii="宋体"/>
              </w:rPr>
            </w:pPr>
          </w:p>
        </w:tc>
        <w:tc>
          <w:tcPr>
            <w:tcW w:w="778" w:type="pct"/>
            <w:shd w:val="clear" w:color="auto" w:fill="auto"/>
            <w:vAlign w:val="bottom"/>
          </w:tcPr>
          <w:p w14:paraId="71D3F64C" w14:textId="77777777" w:rsidR="006A3667" w:rsidRDefault="006A3667">
            <w:pPr>
              <w:rPr>
                <w:rFonts w:ascii="宋体"/>
              </w:rPr>
            </w:pPr>
          </w:p>
        </w:tc>
        <w:tc>
          <w:tcPr>
            <w:tcW w:w="5" w:type="pct"/>
            <w:shd w:val="clear" w:color="auto" w:fill="auto"/>
            <w:vAlign w:val="bottom"/>
          </w:tcPr>
          <w:p w14:paraId="71D3F64D" w14:textId="77777777" w:rsidR="006A3667" w:rsidRDefault="006A3667">
            <w:pPr>
              <w:rPr>
                <w:rFonts w:ascii="宋体"/>
              </w:rPr>
            </w:pPr>
          </w:p>
        </w:tc>
        <w:tc>
          <w:tcPr>
            <w:tcW w:w="5" w:type="pct"/>
            <w:shd w:val="clear" w:color="auto" w:fill="auto"/>
            <w:vAlign w:val="bottom"/>
          </w:tcPr>
          <w:p w14:paraId="71D3F64E" w14:textId="77777777" w:rsidR="006A3667" w:rsidRDefault="006A3667">
            <w:pPr>
              <w:rPr>
                <w:rFonts w:ascii="宋体"/>
              </w:rPr>
            </w:pPr>
          </w:p>
        </w:tc>
        <w:tc>
          <w:tcPr>
            <w:tcW w:w="52" w:type="pct"/>
            <w:shd w:val="clear" w:color="auto" w:fill="auto"/>
            <w:vAlign w:val="bottom"/>
          </w:tcPr>
          <w:p w14:paraId="71D3F64F" w14:textId="77777777" w:rsidR="006A3667" w:rsidRDefault="006A3667">
            <w:pPr>
              <w:rPr>
                <w:rFonts w:ascii="宋体"/>
              </w:rPr>
            </w:pPr>
          </w:p>
        </w:tc>
        <w:tc>
          <w:tcPr>
            <w:tcW w:w="5" w:type="pct"/>
            <w:shd w:val="clear" w:color="auto" w:fill="auto"/>
            <w:vAlign w:val="bottom"/>
          </w:tcPr>
          <w:p w14:paraId="71D3F650" w14:textId="77777777" w:rsidR="006A3667" w:rsidRDefault="006A3667">
            <w:pPr>
              <w:rPr>
                <w:rFonts w:ascii="宋体"/>
              </w:rPr>
            </w:pPr>
          </w:p>
        </w:tc>
        <w:tc>
          <w:tcPr>
            <w:tcW w:w="50" w:type="pct"/>
            <w:shd w:val="clear" w:color="auto" w:fill="auto"/>
            <w:vAlign w:val="bottom"/>
          </w:tcPr>
          <w:p w14:paraId="71D3F651" w14:textId="77777777" w:rsidR="006A3667" w:rsidRDefault="006A3667">
            <w:pPr>
              <w:rPr>
                <w:rFonts w:ascii="宋体"/>
              </w:rPr>
            </w:pPr>
          </w:p>
        </w:tc>
        <w:tc>
          <w:tcPr>
            <w:tcW w:w="778" w:type="pct"/>
            <w:shd w:val="clear" w:color="auto" w:fill="auto"/>
            <w:vAlign w:val="bottom"/>
          </w:tcPr>
          <w:p w14:paraId="71D3F652" w14:textId="77777777" w:rsidR="006A3667" w:rsidRDefault="006A3667">
            <w:pPr>
              <w:rPr>
                <w:rFonts w:ascii="宋体"/>
              </w:rPr>
            </w:pPr>
          </w:p>
        </w:tc>
        <w:tc>
          <w:tcPr>
            <w:tcW w:w="5" w:type="pct"/>
            <w:shd w:val="clear" w:color="auto" w:fill="auto"/>
            <w:vAlign w:val="bottom"/>
          </w:tcPr>
          <w:p w14:paraId="71D3F653" w14:textId="77777777" w:rsidR="006A3667" w:rsidRDefault="006A3667">
            <w:pPr>
              <w:rPr>
                <w:rFonts w:ascii="宋体"/>
              </w:rPr>
            </w:pPr>
          </w:p>
        </w:tc>
        <w:tc>
          <w:tcPr>
            <w:tcW w:w="0" w:type="auto"/>
            <w:shd w:val="clear" w:color="auto" w:fill="auto"/>
            <w:vAlign w:val="bottom"/>
          </w:tcPr>
          <w:p w14:paraId="71D3F654" w14:textId="77777777" w:rsidR="006A3667" w:rsidRDefault="006A3667">
            <w:pPr>
              <w:rPr>
                <w:rFonts w:ascii="宋体"/>
                <w:vanish/>
              </w:rPr>
            </w:pPr>
          </w:p>
        </w:tc>
        <w:tc>
          <w:tcPr>
            <w:tcW w:w="0" w:type="auto"/>
            <w:shd w:val="clear" w:color="auto" w:fill="auto"/>
            <w:vAlign w:val="bottom"/>
          </w:tcPr>
          <w:p w14:paraId="71D3F655" w14:textId="77777777" w:rsidR="006A3667" w:rsidRDefault="006A3667">
            <w:pPr>
              <w:rPr>
                <w:rFonts w:ascii="宋体"/>
                <w:vanish/>
              </w:rPr>
            </w:pPr>
          </w:p>
        </w:tc>
        <w:tc>
          <w:tcPr>
            <w:tcW w:w="0" w:type="auto"/>
            <w:gridSpan w:val="3"/>
            <w:shd w:val="clear" w:color="auto" w:fill="auto"/>
            <w:vAlign w:val="bottom"/>
          </w:tcPr>
          <w:p w14:paraId="71D3F656" w14:textId="77777777" w:rsidR="006A3667" w:rsidRDefault="006A3667">
            <w:pPr>
              <w:rPr>
                <w:rFonts w:ascii="宋体"/>
                <w:vanish/>
              </w:rPr>
            </w:pPr>
          </w:p>
        </w:tc>
        <w:tc>
          <w:tcPr>
            <w:tcW w:w="0" w:type="auto"/>
            <w:gridSpan w:val="3"/>
            <w:shd w:val="clear" w:color="auto" w:fill="auto"/>
            <w:vAlign w:val="bottom"/>
          </w:tcPr>
          <w:p w14:paraId="71D3F657" w14:textId="77777777" w:rsidR="006A3667" w:rsidRDefault="006A3667">
            <w:pPr>
              <w:rPr>
                <w:rFonts w:ascii="宋体"/>
                <w:vanish/>
              </w:rPr>
            </w:pPr>
          </w:p>
        </w:tc>
        <w:tc>
          <w:tcPr>
            <w:tcW w:w="0" w:type="auto"/>
            <w:gridSpan w:val="3"/>
            <w:shd w:val="clear" w:color="auto" w:fill="auto"/>
            <w:vAlign w:val="bottom"/>
          </w:tcPr>
          <w:p w14:paraId="71D3F658" w14:textId="77777777" w:rsidR="006A3667" w:rsidRDefault="006A3667">
            <w:pPr>
              <w:rPr>
                <w:rFonts w:ascii="宋体"/>
                <w:vanish/>
              </w:rPr>
            </w:pPr>
          </w:p>
        </w:tc>
        <w:tc>
          <w:tcPr>
            <w:tcW w:w="0" w:type="auto"/>
            <w:gridSpan w:val="3"/>
            <w:shd w:val="clear" w:color="auto" w:fill="auto"/>
            <w:vAlign w:val="bottom"/>
          </w:tcPr>
          <w:p w14:paraId="71D3F659" w14:textId="77777777" w:rsidR="006A3667" w:rsidRDefault="006A3667">
            <w:pPr>
              <w:rPr>
                <w:rFonts w:ascii="宋体"/>
                <w:vanish/>
              </w:rPr>
            </w:pPr>
          </w:p>
        </w:tc>
        <w:tc>
          <w:tcPr>
            <w:tcW w:w="5" w:type="pct"/>
            <w:shd w:val="clear" w:color="auto" w:fill="auto"/>
            <w:vAlign w:val="bottom"/>
          </w:tcPr>
          <w:p w14:paraId="71D3F65A" w14:textId="77777777" w:rsidR="006A3667" w:rsidRDefault="006A3667">
            <w:pPr>
              <w:rPr>
                <w:rFonts w:ascii="宋体"/>
              </w:rPr>
            </w:pPr>
          </w:p>
        </w:tc>
        <w:tc>
          <w:tcPr>
            <w:tcW w:w="52" w:type="pct"/>
            <w:shd w:val="clear" w:color="auto" w:fill="auto"/>
            <w:vAlign w:val="bottom"/>
          </w:tcPr>
          <w:p w14:paraId="71D3F65B" w14:textId="77777777" w:rsidR="006A3667" w:rsidRDefault="006A3667">
            <w:pPr>
              <w:rPr>
                <w:rFonts w:ascii="宋体"/>
              </w:rPr>
            </w:pPr>
          </w:p>
        </w:tc>
        <w:tc>
          <w:tcPr>
            <w:tcW w:w="5" w:type="pct"/>
            <w:shd w:val="clear" w:color="auto" w:fill="auto"/>
            <w:vAlign w:val="bottom"/>
          </w:tcPr>
          <w:p w14:paraId="71D3F65C" w14:textId="77777777" w:rsidR="006A3667" w:rsidRDefault="006A3667">
            <w:pPr>
              <w:rPr>
                <w:rFonts w:ascii="宋体"/>
              </w:rPr>
            </w:pPr>
          </w:p>
        </w:tc>
        <w:tc>
          <w:tcPr>
            <w:tcW w:w="50" w:type="pct"/>
            <w:shd w:val="clear" w:color="auto" w:fill="auto"/>
            <w:vAlign w:val="bottom"/>
          </w:tcPr>
          <w:p w14:paraId="71D3F65D" w14:textId="77777777" w:rsidR="006A3667" w:rsidRDefault="006A3667">
            <w:pPr>
              <w:rPr>
                <w:rFonts w:ascii="宋体"/>
              </w:rPr>
            </w:pPr>
          </w:p>
        </w:tc>
        <w:tc>
          <w:tcPr>
            <w:tcW w:w="684" w:type="pct"/>
            <w:shd w:val="clear" w:color="auto" w:fill="auto"/>
            <w:vAlign w:val="bottom"/>
          </w:tcPr>
          <w:p w14:paraId="71D3F65E" w14:textId="77777777" w:rsidR="006A3667" w:rsidRDefault="006A3667">
            <w:pPr>
              <w:rPr>
                <w:rFonts w:ascii="宋体"/>
              </w:rPr>
            </w:pPr>
          </w:p>
        </w:tc>
        <w:tc>
          <w:tcPr>
            <w:tcW w:w="5" w:type="pct"/>
            <w:shd w:val="clear" w:color="auto" w:fill="auto"/>
            <w:vAlign w:val="bottom"/>
          </w:tcPr>
          <w:p w14:paraId="71D3F65F" w14:textId="77777777" w:rsidR="006A3667" w:rsidRDefault="006A3667">
            <w:pPr>
              <w:rPr>
                <w:rFonts w:ascii="宋体"/>
              </w:rPr>
            </w:pPr>
          </w:p>
        </w:tc>
      </w:tr>
      <w:tr w:rsidR="006A3667" w14:paraId="71D3F674" w14:textId="77777777">
        <w:tc>
          <w:tcPr>
            <w:tcW w:w="0" w:type="auto"/>
            <w:gridSpan w:val="14"/>
            <w:shd w:val="clear" w:color="auto" w:fill="auto"/>
            <w:tcMar>
              <w:top w:w="40" w:type="dxa"/>
              <w:left w:w="20" w:type="dxa"/>
              <w:bottom w:w="40" w:type="dxa"/>
              <w:right w:w="20" w:type="dxa"/>
            </w:tcMar>
            <w:vAlign w:val="bottom"/>
          </w:tcPr>
          <w:p w14:paraId="71D3F661" w14:textId="77777777" w:rsidR="006A3667" w:rsidRDefault="00045F32">
            <w:pPr>
              <w:jc w:val="both"/>
              <w:textAlignment w:val="bottom"/>
            </w:pPr>
            <w:r>
              <w:rPr>
                <w:rFonts w:ascii="Arial" w:eastAsia="宋体" w:hAnsi="Arial" w:cs="Arial"/>
                <w:b/>
                <w:bCs/>
                <w:color w:val="000000"/>
                <w:sz w:val="16"/>
                <w:szCs w:val="16"/>
              </w:rPr>
              <w:t>TABLE 16: RESTRUCTURING AND REPOSITIONING CHARGES</w:t>
            </w:r>
          </w:p>
        </w:tc>
        <w:tc>
          <w:tcPr>
            <w:tcW w:w="0" w:type="auto"/>
            <w:shd w:val="clear" w:color="auto" w:fill="auto"/>
            <w:vAlign w:val="bottom"/>
          </w:tcPr>
          <w:p w14:paraId="71D3F662" w14:textId="77777777" w:rsidR="006A3667" w:rsidRDefault="006A3667">
            <w:pPr>
              <w:rPr>
                <w:rFonts w:ascii="宋体"/>
              </w:rPr>
            </w:pPr>
          </w:p>
        </w:tc>
        <w:tc>
          <w:tcPr>
            <w:tcW w:w="0" w:type="auto"/>
            <w:shd w:val="clear" w:color="auto" w:fill="auto"/>
            <w:vAlign w:val="bottom"/>
          </w:tcPr>
          <w:p w14:paraId="71D3F663" w14:textId="77777777" w:rsidR="006A3667" w:rsidRDefault="006A3667">
            <w:pPr>
              <w:rPr>
                <w:rFonts w:ascii="宋体"/>
              </w:rPr>
            </w:pPr>
          </w:p>
        </w:tc>
        <w:tc>
          <w:tcPr>
            <w:tcW w:w="0" w:type="auto"/>
            <w:shd w:val="clear" w:color="auto" w:fill="auto"/>
            <w:vAlign w:val="bottom"/>
          </w:tcPr>
          <w:p w14:paraId="71D3F664" w14:textId="77777777" w:rsidR="006A3667" w:rsidRDefault="006A3667">
            <w:pPr>
              <w:rPr>
                <w:rFonts w:ascii="宋体"/>
              </w:rPr>
            </w:pPr>
          </w:p>
        </w:tc>
        <w:tc>
          <w:tcPr>
            <w:tcW w:w="0" w:type="auto"/>
            <w:shd w:val="clear" w:color="auto" w:fill="auto"/>
            <w:vAlign w:val="bottom"/>
          </w:tcPr>
          <w:p w14:paraId="71D3F665" w14:textId="77777777" w:rsidR="006A3667" w:rsidRDefault="006A3667">
            <w:pPr>
              <w:rPr>
                <w:rFonts w:ascii="宋体"/>
              </w:rPr>
            </w:pPr>
          </w:p>
        </w:tc>
        <w:tc>
          <w:tcPr>
            <w:tcW w:w="0" w:type="auto"/>
            <w:shd w:val="clear" w:color="auto" w:fill="auto"/>
            <w:vAlign w:val="bottom"/>
          </w:tcPr>
          <w:p w14:paraId="71D3F666" w14:textId="77777777" w:rsidR="006A3667" w:rsidRDefault="006A3667">
            <w:pPr>
              <w:rPr>
                <w:rFonts w:ascii="宋体"/>
              </w:rPr>
            </w:pPr>
          </w:p>
        </w:tc>
        <w:tc>
          <w:tcPr>
            <w:tcW w:w="0" w:type="auto"/>
            <w:shd w:val="clear" w:color="auto" w:fill="auto"/>
            <w:vAlign w:val="bottom"/>
          </w:tcPr>
          <w:p w14:paraId="71D3F667" w14:textId="77777777" w:rsidR="006A3667" w:rsidRDefault="006A3667">
            <w:pPr>
              <w:rPr>
                <w:rFonts w:ascii="宋体"/>
              </w:rPr>
            </w:pPr>
          </w:p>
        </w:tc>
        <w:tc>
          <w:tcPr>
            <w:tcW w:w="0" w:type="auto"/>
            <w:shd w:val="clear" w:color="auto" w:fill="auto"/>
            <w:vAlign w:val="bottom"/>
          </w:tcPr>
          <w:p w14:paraId="71D3F668" w14:textId="77777777" w:rsidR="006A3667" w:rsidRDefault="006A3667">
            <w:pPr>
              <w:rPr>
                <w:rFonts w:ascii="宋体"/>
              </w:rPr>
            </w:pPr>
          </w:p>
        </w:tc>
        <w:tc>
          <w:tcPr>
            <w:tcW w:w="0" w:type="auto"/>
            <w:shd w:val="clear" w:color="auto" w:fill="auto"/>
            <w:vAlign w:val="bottom"/>
          </w:tcPr>
          <w:p w14:paraId="71D3F669" w14:textId="77777777" w:rsidR="006A3667" w:rsidRDefault="006A3667">
            <w:pPr>
              <w:rPr>
                <w:rFonts w:ascii="宋体"/>
              </w:rPr>
            </w:pPr>
          </w:p>
        </w:tc>
        <w:tc>
          <w:tcPr>
            <w:tcW w:w="0" w:type="auto"/>
            <w:shd w:val="clear" w:color="auto" w:fill="auto"/>
            <w:vAlign w:val="bottom"/>
          </w:tcPr>
          <w:p w14:paraId="71D3F66A" w14:textId="77777777" w:rsidR="006A3667" w:rsidRDefault="006A3667">
            <w:pPr>
              <w:rPr>
                <w:rFonts w:ascii="宋体"/>
              </w:rPr>
            </w:pPr>
          </w:p>
        </w:tc>
        <w:tc>
          <w:tcPr>
            <w:tcW w:w="0" w:type="auto"/>
            <w:shd w:val="clear" w:color="auto" w:fill="auto"/>
            <w:vAlign w:val="bottom"/>
          </w:tcPr>
          <w:p w14:paraId="71D3F66B" w14:textId="77777777" w:rsidR="006A3667" w:rsidRDefault="006A3667">
            <w:pPr>
              <w:rPr>
                <w:rFonts w:ascii="宋体"/>
              </w:rPr>
            </w:pPr>
          </w:p>
        </w:tc>
        <w:tc>
          <w:tcPr>
            <w:tcW w:w="0" w:type="auto"/>
            <w:shd w:val="clear" w:color="auto" w:fill="auto"/>
            <w:vAlign w:val="bottom"/>
          </w:tcPr>
          <w:p w14:paraId="71D3F66C" w14:textId="77777777" w:rsidR="006A3667" w:rsidRDefault="006A3667">
            <w:pPr>
              <w:rPr>
                <w:rFonts w:ascii="宋体"/>
              </w:rPr>
            </w:pPr>
          </w:p>
        </w:tc>
        <w:tc>
          <w:tcPr>
            <w:tcW w:w="0" w:type="auto"/>
            <w:shd w:val="clear" w:color="auto" w:fill="auto"/>
            <w:vAlign w:val="bottom"/>
          </w:tcPr>
          <w:p w14:paraId="71D3F66D" w14:textId="77777777" w:rsidR="006A3667" w:rsidRDefault="006A3667">
            <w:pPr>
              <w:rPr>
                <w:rFonts w:ascii="宋体"/>
              </w:rPr>
            </w:pPr>
          </w:p>
        </w:tc>
        <w:tc>
          <w:tcPr>
            <w:tcW w:w="0" w:type="auto"/>
            <w:shd w:val="clear" w:color="auto" w:fill="auto"/>
            <w:vAlign w:val="bottom"/>
          </w:tcPr>
          <w:p w14:paraId="71D3F66E" w14:textId="77777777" w:rsidR="006A3667" w:rsidRDefault="006A3667">
            <w:pPr>
              <w:rPr>
                <w:rFonts w:ascii="宋体"/>
              </w:rPr>
            </w:pPr>
          </w:p>
        </w:tc>
        <w:tc>
          <w:tcPr>
            <w:tcW w:w="0" w:type="auto"/>
            <w:shd w:val="clear" w:color="auto" w:fill="auto"/>
            <w:vAlign w:val="bottom"/>
          </w:tcPr>
          <w:p w14:paraId="71D3F66F" w14:textId="77777777" w:rsidR="006A3667" w:rsidRDefault="006A3667">
            <w:pPr>
              <w:rPr>
                <w:rFonts w:ascii="宋体"/>
              </w:rPr>
            </w:pPr>
          </w:p>
        </w:tc>
        <w:tc>
          <w:tcPr>
            <w:tcW w:w="0" w:type="auto"/>
            <w:shd w:val="clear" w:color="auto" w:fill="auto"/>
            <w:vAlign w:val="bottom"/>
          </w:tcPr>
          <w:p w14:paraId="71D3F670" w14:textId="77777777" w:rsidR="006A3667" w:rsidRDefault="006A3667">
            <w:pPr>
              <w:rPr>
                <w:rFonts w:ascii="宋体"/>
              </w:rPr>
            </w:pPr>
          </w:p>
        </w:tc>
        <w:tc>
          <w:tcPr>
            <w:tcW w:w="0" w:type="auto"/>
            <w:shd w:val="clear" w:color="auto" w:fill="auto"/>
            <w:vAlign w:val="bottom"/>
          </w:tcPr>
          <w:p w14:paraId="71D3F671" w14:textId="77777777" w:rsidR="006A3667" w:rsidRDefault="006A3667">
            <w:pPr>
              <w:rPr>
                <w:rFonts w:ascii="宋体"/>
              </w:rPr>
            </w:pPr>
          </w:p>
        </w:tc>
        <w:tc>
          <w:tcPr>
            <w:tcW w:w="0" w:type="auto"/>
            <w:shd w:val="clear" w:color="auto" w:fill="auto"/>
            <w:vAlign w:val="bottom"/>
          </w:tcPr>
          <w:p w14:paraId="71D3F672" w14:textId="77777777" w:rsidR="006A3667" w:rsidRDefault="006A3667">
            <w:pPr>
              <w:rPr>
                <w:rFonts w:ascii="宋体"/>
              </w:rPr>
            </w:pPr>
          </w:p>
        </w:tc>
        <w:tc>
          <w:tcPr>
            <w:tcW w:w="0" w:type="auto"/>
            <w:shd w:val="clear" w:color="auto" w:fill="auto"/>
            <w:vAlign w:val="bottom"/>
          </w:tcPr>
          <w:p w14:paraId="71D3F673" w14:textId="77777777" w:rsidR="006A3667" w:rsidRDefault="006A3667">
            <w:pPr>
              <w:rPr>
                <w:rFonts w:ascii="宋体"/>
              </w:rPr>
            </w:pPr>
          </w:p>
        </w:tc>
      </w:tr>
      <w:tr w:rsidR="006A3667" w14:paraId="71D3F681" w14:textId="77777777">
        <w:tc>
          <w:tcPr>
            <w:tcW w:w="0" w:type="auto"/>
            <w:gridSpan w:val="3"/>
            <w:shd w:val="clear" w:color="auto" w:fill="auto"/>
            <w:tcMar>
              <w:top w:w="40" w:type="dxa"/>
              <w:left w:w="20" w:type="dxa"/>
              <w:bottom w:w="40" w:type="dxa"/>
              <w:right w:w="20" w:type="dxa"/>
            </w:tcMar>
            <w:vAlign w:val="bottom"/>
          </w:tcPr>
          <w:p w14:paraId="71D3F675"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3F676" w14:textId="77777777" w:rsidR="006A3667" w:rsidRDefault="00045F32">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71D3F67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F678" w14:textId="77777777" w:rsidR="006A3667" w:rsidRDefault="00045F32">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shd w:val="clear" w:color="auto" w:fill="auto"/>
            <w:vAlign w:val="bottom"/>
          </w:tcPr>
          <w:p w14:paraId="71D3F679" w14:textId="77777777" w:rsidR="006A3667" w:rsidRDefault="006A3667">
            <w:pPr>
              <w:rPr>
                <w:rFonts w:ascii="宋体"/>
                <w:vanish/>
              </w:rPr>
            </w:pPr>
          </w:p>
        </w:tc>
        <w:tc>
          <w:tcPr>
            <w:tcW w:w="0" w:type="auto"/>
            <w:shd w:val="clear" w:color="auto" w:fill="auto"/>
            <w:vAlign w:val="bottom"/>
          </w:tcPr>
          <w:p w14:paraId="71D3F67A" w14:textId="77777777" w:rsidR="006A3667" w:rsidRDefault="006A3667">
            <w:pPr>
              <w:rPr>
                <w:rFonts w:ascii="宋体"/>
                <w:vanish/>
              </w:rPr>
            </w:pPr>
          </w:p>
        </w:tc>
        <w:tc>
          <w:tcPr>
            <w:tcW w:w="0" w:type="auto"/>
            <w:gridSpan w:val="3"/>
            <w:shd w:val="clear" w:color="auto" w:fill="auto"/>
            <w:vAlign w:val="bottom"/>
          </w:tcPr>
          <w:p w14:paraId="71D3F67B" w14:textId="77777777" w:rsidR="006A3667" w:rsidRDefault="006A3667">
            <w:pPr>
              <w:rPr>
                <w:rFonts w:ascii="宋体"/>
                <w:vanish/>
              </w:rPr>
            </w:pPr>
          </w:p>
        </w:tc>
        <w:tc>
          <w:tcPr>
            <w:tcW w:w="0" w:type="auto"/>
            <w:gridSpan w:val="3"/>
            <w:shd w:val="clear" w:color="auto" w:fill="auto"/>
            <w:vAlign w:val="bottom"/>
          </w:tcPr>
          <w:p w14:paraId="71D3F67C" w14:textId="77777777" w:rsidR="006A3667" w:rsidRDefault="006A3667">
            <w:pPr>
              <w:rPr>
                <w:rFonts w:ascii="宋体"/>
                <w:vanish/>
              </w:rPr>
            </w:pPr>
          </w:p>
        </w:tc>
        <w:tc>
          <w:tcPr>
            <w:tcW w:w="0" w:type="auto"/>
            <w:gridSpan w:val="3"/>
            <w:shd w:val="clear" w:color="auto" w:fill="auto"/>
            <w:vAlign w:val="bottom"/>
          </w:tcPr>
          <w:p w14:paraId="71D3F67D" w14:textId="77777777" w:rsidR="006A3667" w:rsidRDefault="006A3667">
            <w:pPr>
              <w:rPr>
                <w:rFonts w:ascii="宋体"/>
                <w:vanish/>
              </w:rPr>
            </w:pPr>
          </w:p>
        </w:tc>
        <w:tc>
          <w:tcPr>
            <w:tcW w:w="0" w:type="auto"/>
            <w:gridSpan w:val="3"/>
            <w:shd w:val="clear" w:color="auto" w:fill="auto"/>
            <w:vAlign w:val="bottom"/>
          </w:tcPr>
          <w:p w14:paraId="71D3F67E"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67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3F680"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3F694" w14:textId="77777777">
        <w:tc>
          <w:tcPr>
            <w:tcW w:w="0" w:type="auto"/>
            <w:gridSpan w:val="3"/>
            <w:shd w:val="clear" w:color="auto" w:fill="CCEEFF"/>
            <w:tcMar>
              <w:top w:w="40" w:type="dxa"/>
              <w:left w:w="20" w:type="dxa"/>
              <w:bottom w:w="40" w:type="dxa"/>
              <w:right w:w="20" w:type="dxa"/>
            </w:tcMar>
            <w:vAlign w:val="bottom"/>
          </w:tcPr>
          <w:p w14:paraId="71D3F682" w14:textId="77777777" w:rsidR="006A3667" w:rsidRDefault="00045F32">
            <w:pPr>
              <w:textAlignment w:val="bottom"/>
            </w:pPr>
            <w:r>
              <w:rPr>
                <w:rFonts w:ascii="Arial" w:eastAsia="宋体" w:hAnsi="Arial" w:cs="Arial"/>
                <w:b/>
                <w:bCs/>
                <w:color w:val="000000"/>
                <w:sz w:val="14"/>
                <w:szCs w:val="14"/>
              </w:rPr>
              <w:t>Accrual Balance at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F68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684" w14:textId="77777777" w:rsidR="006A3667" w:rsidRDefault="00045F32">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68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68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687"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688"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689" w14:textId="77777777" w:rsidR="006A3667" w:rsidRDefault="006A3667">
            <w:pPr>
              <w:jc w:val="right"/>
              <w:rPr>
                <w:rFonts w:ascii="宋体"/>
              </w:rPr>
            </w:pPr>
          </w:p>
        </w:tc>
        <w:tc>
          <w:tcPr>
            <w:tcW w:w="0" w:type="auto"/>
            <w:shd w:val="clear" w:color="auto" w:fill="auto"/>
            <w:vAlign w:val="bottom"/>
          </w:tcPr>
          <w:p w14:paraId="71D3F68A" w14:textId="77777777" w:rsidR="006A3667" w:rsidRDefault="006A3667">
            <w:pPr>
              <w:rPr>
                <w:rFonts w:ascii="宋体"/>
                <w:vanish/>
              </w:rPr>
            </w:pPr>
          </w:p>
        </w:tc>
        <w:tc>
          <w:tcPr>
            <w:tcW w:w="0" w:type="auto"/>
            <w:shd w:val="clear" w:color="auto" w:fill="auto"/>
            <w:vAlign w:val="bottom"/>
          </w:tcPr>
          <w:p w14:paraId="71D3F68B" w14:textId="77777777" w:rsidR="006A3667" w:rsidRDefault="006A3667">
            <w:pPr>
              <w:rPr>
                <w:rFonts w:ascii="宋体"/>
                <w:vanish/>
              </w:rPr>
            </w:pPr>
          </w:p>
        </w:tc>
        <w:tc>
          <w:tcPr>
            <w:tcW w:w="0" w:type="auto"/>
            <w:gridSpan w:val="3"/>
            <w:shd w:val="clear" w:color="auto" w:fill="auto"/>
            <w:vAlign w:val="bottom"/>
          </w:tcPr>
          <w:p w14:paraId="71D3F68C" w14:textId="77777777" w:rsidR="006A3667" w:rsidRDefault="006A3667">
            <w:pPr>
              <w:rPr>
                <w:rFonts w:ascii="宋体"/>
                <w:vanish/>
              </w:rPr>
            </w:pPr>
          </w:p>
        </w:tc>
        <w:tc>
          <w:tcPr>
            <w:tcW w:w="0" w:type="auto"/>
            <w:gridSpan w:val="3"/>
            <w:shd w:val="clear" w:color="auto" w:fill="auto"/>
            <w:vAlign w:val="bottom"/>
          </w:tcPr>
          <w:p w14:paraId="71D3F68D" w14:textId="77777777" w:rsidR="006A3667" w:rsidRDefault="006A3667">
            <w:pPr>
              <w:rPr>
                <w:rFonts w:ascii="宋体"/>
                <w:vanish/>
              </w:rPr>
            </w:pPr>
          </w:p>
        </w:tc>
        <w:tc>
          <w:tcPr>
            <w:tcW w:w="0" w:type="auto"/>
            <w:gridSpan w:val="3"/>
            <w:shd w:val="clear" w:color="auto" w:fill="auto"/>
            <w:vAlign w:val="bottom"/>
          </w:tcPr>
          <w:p w14:paraId="71D3F68E" w14:textId="77777777" w:rsidR="006A3667" w:rsidRDefault="006A3667">
            <w:pPr>
              <w:rPr>
                <w:rFonts w:ascii="宋体"/>
                <w:vanish/>
              </w:rPr>
            </w:pPr>
          </w:p>
        </w:tc>
        <w:tc>
          <w:tcPr>
            <w:tcW w:w="0" w:type="auto"/>
            <w:gridSpan w:val="3"/>
            <w:shd w:val="clear" w:color="auto" w:fill="auto"/>
            <w:vAlign w:val="bottom"/>
          </w:tcPr>
          <w:p w14:paraId="71D3F68F"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69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69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692" w14:textId="77777777" w:rsidR="006A3667" w:rsidRDefault="00045F32">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693" w14:textId="77777777" w:rsidR="006A3667" w:rsidRDefault="006A3667">
            <w:pPr>
              <w:jc w:val="right"/>
              <w:rPr>
                <w:rFonts w:ascii="宋体"/>
              </w:rPr>
            </w:pPr>
          </w:p>
        </w:tc>
      </w:tr>
      <w:tr w:rsidR="006A3667" w14:paraId="71D3F6A4" w14:textId="77777777">
        <w:tc>
          <w:tcPr>
            <w:tcW w:w="0" w:type="auto"/>
            <w:gridSpan w:val="3"/>
            <w:shd w:val="clear" w:color="auto" w:fill="FFFFFF"/>
            <w:tcMar>
              <w:top w:w="40" w:type="dxa"/>
              <w:left w:w="20" w:type="dxa"/>
              <w:bottom w:w="40" w:type="dxa"/>
              <w:right w:w="20" w:type="dxa"/>
            </w:tcMar>
            <w:vAlign w:val="bottom"/>
          </w:tcPr>
          <w:p w14:paraId="71D3F695" w14:textId="77777777" w:rsidR="006A3667" w:rsidRDefault="00045F32">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71D3F696"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F69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69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9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69A" w14:textId="77777777" w:rsidR="006A3667" w:rsidRDefault="006A3667">
            <w:pPr>
              <w:jc w:val="right"/>
              <w:rPr>
                <w:rFonts w:ascii="宋体"/>
              </w:rPr>
            </w:pPr>
          </w:p>
        </w:tc>
        <w:tc>
          <w:tcPr>
            <w:tcW w:w="0" w:type="auto"/>
            <w:shd w:val="clear" w:color="auto" w:fill="auto"/>
            <w:vAlign w:val="bottom"/>
          </w:tcPr>
          <w:p w14:paraId="71D3F69B" w14:textId="77777777" w:rsidR="006A3667" w:rsidRDefault="006A3667">
            <w:pPr>
              <w:rPr>
                <w:rFonts w:ascii="宋体"/>
                <w:vanish/>
              </w:rPr>
            </w:pPr>
          </w:p>
        </w:tc>
        <w:tc>
          <w:tcPr>
            <w:tcW w:w="0" w:type="auto"/>
            <w:shd w:val="clear" w:color="auto" w:fill="auto"/>
            <w:vAlign w:val="bottom"/>
          </w:tcPr>
          <w:p w14:paraId="71D3F69C" w14:textId="77777777" w:rsidR="006A3667" w:rsidRDefault="006A3667">
            <w:pPr>
              <w:rPr>
                <w:rFonts w:ascii="宋体"/>
                <w:vanish/>
              </w:rPr>
            </w:pPr>
          </w:p>
        </w:tc>
        <w:tc>
          <w:tcPr>
            <w:tcW w:w="0" w:type="auto"/>
            <w:gridSpan w:val="3"/>
            <w:shd w:val="clear" w:color="auto" w:fill="auto"/>
            <w:vAlign w:val="bottom"/>
          </w:tcPr>
          <w:p w14:paraId="71D3F69D" w14:textId="77777777" w:rsidR="006A3667" w:rsidRDefault="006A3667">
            <w:pPr>
              <w:rPr>
                <w:rFonts w:ascii="宋体"/>
                <w:vanish/>
              </w:rPr>
            </w:pPr>
          </w:p>
        </w:tc>
        <w:tc>
          <w:tcPr>
            <w:tcW w:w="0" w:type="auto"/>
            <w:gridSpan w:val="3"/>
            <w:shd w:val="clear" w:color="auto" w:fill="auto"/>
            <w:vAlign w:val="bottom"/>
          </w:tcPr>
          <w:p w14:paraId="71D3F69E" w14:textId="77777777" w:rsidR="006A3667" w:rsidRDefault="006A3667">
            <w:pPr>
              <w:rPr>
                <w:rFonts w:ascii="宋体"/>
                <w:vanish/>
              </w:rPr>
            </w:pPr>
          </w:p>
        </w:tc>
        <w:tc>
          <w:tcPr>
            <w:tcW w:w="0" w:type="auto"/>
            <w:gridSpan w:val="3"/>
            <w:shd w:val="clear" w:color="auto" w:fill="auto"/>
            <w:vAlign w:val="bottom"/>
          </w:tcPr>
          <w:p w14:paraId="71D3F69F" w14:textId="77777777" w:rsidR="006A3667" w:rsidRDefault="006A3667">
            <w:pPr>
              <w:rPr>
                <w:rFonts w:ascii="宋体"/>
                <w:vanish/>
              </w:rPr>
            </w:pPr>
          </w:p>
        </w:tc>
        <w:tc>
          <w:tcPr>
            <w:tcW w:w="0" w:type="auto"/>
            <w:gridSpan w:val="3"/>
            <w:shd w:val="clear" w:color="auto" w:fill="auto"/>
            <w:vAlign w:val="bottom"/>
          </w:tcPr>
          <w:p w14:paraId="71D3F6A0"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6A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A2"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3F6A3" w14:textId="77777777" w:rsidR="006A3667" w:rsidRDefault="006A3667">
            <w:pPr>
              <w:jc w:val="right"/>
              <w:rPr>
                <w:rFonts w:ascii="宋体"/>
              </w:rPr>
            </w:pPr>
          </w:p>
        </w:tc>
      </w:tr>
      <w:tr w:rsidR="006A3667" w14:paraId="71D3F6B4" w14:textId="77777777">
        <w:tc>
          <w:tcPr>
            <w:tcW w:w="0" w:type="auto"/>
            <w:gridSpan w:val="3"/>
            <w:shd w:val="clear" w:color="auto" w:fill="CCEEFF"/>
            <w:tcMar>
              <w:top w:w="40" w:type="dxa"/>
              <w:left w:w="20" w:type="dxa"/>
              <w:bottom w:w="40" w:type="dxa"/>
              <w:right w:w="20" w:type="dxa"/>
            </w:tcMar>
            <w:vAlign w:val="bottom"/>
          </w:tcPr>
          <w:p w14:paraId="71D3F6A5" w14:textId="77777777" w:rsidR="006A3667" w:rsidRDefault="00045F32">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71D3F6A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6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6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6A9"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3F6AA" w14:textId="77777777" w:rsidR="006A3667" w:rsidRDefault="006A3667">
            <w:pPr>
              <w:jc w:val="right"/>
              <w:rPr>
                <w:rFonts w:ascii="宋体"/>
              </w:rPr>
            </w:pPr>
          </w:p>
        </w:tc>
        <w:tc>
          <w:tcPr>
            <w:tcW w:w="0" w:type="auto"/>
            <w:shd w:val="clear" w:color="auto" w:fill="auto"/>
            <w:vAlign w:val="bottom"/>
          </w:tcPr>
          <w:p w14:paraId="71D3F6AB" w14:textId="77777777" w:rsidR="006A3667" w:rsidRDefault="006A3667">
            <w:pPr>
              <w:rPr>
                <w:rFonts w:ascii="宋体"/>
                <w:vanish/>
              </w:rPr>
            </w:pPr>
          </w:p>
        </w:tc>
        <w:tc>
          <w:tcPr>
            <w:tcW w:w="0" w:type="auto"/>
            <w:shd w:val="clear" w:color="auto" w:fill="auto"/>
            <w:vAlign w:val="bottom"/>
          </w:tcPr>
          <w:p w14:paraId="71D3F6AC" w14:textId="77777777" w:rsidR="006A3667" w:rsidRDefault="006A3667">
            <w:pPr>
              <w:rPr>
                <w:rFonts w:ascii="宋体"/>
                <w:vanish/>
              </w:rPr>
            </w:pPr>
          </w:p>
        </w:tc>
        <w:tc>
          <w:tcPr>
            <w:tcW w:w="0" w:type="auto"/>
            <w:gridSpan w:val="3"/>
            <w:shd w:val="clear" w:color="auto" w:fill="auto"/>
            <w:vAlign w:val="bottom"/>
          </w:tcPr>
          <w:p w14:paraId="71D3F6AD" w14:textId="77777777" w:rsidR="006A3667" w:rsidRDefault="006A3667">
            <w:pPr>
              <w:rPr>
                <w:rFonts w:ascii="宋体"/>
                <w:vanish/>
              </w:rPr>
            </w:pPr>
          </w:p>
        </w:tc>
        <w:tc>
          <w:tcPr>
            <w:tcW w:w="0" w:type="auto"/>
            <w:gridSpan w:val="3"/>
            <w:shd w:val="clear" w:color="auto" w:fill="auto"/>
            <w:vAlign w:val="bottom"/>
          </w:tcPr>
          <w:p w14:paraId="71D3F6AE" w14:textId="77777777" w:rsidR="006A3667" w:rsidRDefault="006A3667">
            <w:pPr>
              <w:rPr>
                <w:rFonts w:ascii="宋体"/>
                <w:vanish/>
              </w:rPr>
            </w:pPr>
          </w:p>
        </w:tc>
        <w:tc>
          <w:tcPr>
            <w:tcW w:w="0" w:type="auto"/>
            <w:gridSpan w:val="3"/>
            <w:shd w:val="clear" w:color="auto" w:fill="auto"/>
            <w:vAlign w:val="bottom"/>
          </w:tcPr>
          <w:p w14:paraId="71D3F6AF" w14:textId="77777777" w:rsidR="006A3667" w:rsidRDefault="006A3667">
            <w:pPr>
              <w:rPr>
                <w:rFonts w:ascii="宋体"/>
                <w:vanish/>
              </w:rPr>
            </w:pPr>
          </w:p>
        </w:tc>
        <w:tc>
          <w:tcPr>
            <w:tcW w:w="0" w:type="auto"/>
            <w:gridSpan w:val="3"/>
            <w:shd w:val="clear" w:color="auto" w:fill="auto"/>
            <w:vAlign w:val="bottom"/>
          </w:tcPr>
          <w:p w14:paraId="71D3F6B0"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6B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6B2"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3F6B3" w14:textId="77777777" w:rsidR="006A3667" w:rsidRDefault="006A3667">
            <w:pPr>
              <w:jc w:val="right"/>
              <w:rPr>
                <w:rFonts w:ascii="宋体"/>
              </w:rPr>
            </w:pPr>
          </w:p>
        </w:tc>
      </w:tr>
      <w:tr w:rsidR="006A3667" w14:paraId="71D3F6C4" w14:textId="77777777">
        <w:tc>
          <w:tcPr>
            <w:tcW w:w="0" w:type="auto"/>
            <w:gridSpan w:val="3"/>
            <w:shd w:val="clear" w:color="auto" w:fill="FFFFFF"/>
            <w:tcMar>
              <w:top w:w="40" w:type="dxa"/>
              <w:left w:w="20" w:type="dxa"/>
              <w:bottom w:w="40" w:type="dxa"/>
              <w:right w:w="20" w:type="dxa"/>
            </w:tcMar>
            <w:vAlign w:val="bottom"/>
          </w:tcPr>
          <w:p w14:paraId="71D3F6B5"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71D3F6B6" w14:textId="77777777" w:rsidR="006A3667" w:rsidRDefault="00045F32">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71D3F6B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6B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B9"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71D3F6BA" w14:textId="77777777" w:rsidR="006A3667" w:rsidRDefault="006A3667">
            <w:pPr>
              <w:jc w:val="right"/>
              <w:rPr>
                <w:rFonts w:ascii="宋体"/>
              </w:rPr>
            </w:pPr>
          </w:p>
        </w:tc>
        <w:tc>
          <w:tcPr>
            <w:tcW w:w="0" w:type="auto"/>
            <w:shd w:val="clear" w:color="auto" w:fill="auto"/>
            <w:vAlign w:val="bottom"/>
          </w:tcPr>
          <w:p w14:paraId="71D3F6BB" w14:textId="77777777" w:rsidR="006A3667" w:rsidRDefault="006A3667">
            <w:pPr>
              <w:rPr>
                <w:rFonts w:ascii="宋体"/>
                <w:vanish/>
              </w:rPr>
            </w:pPr>
          </w:p>
        </w:tc>
        <w:tc>
          <w:tcPr>
            <w:tcW w:w="0" w:type="auto"/>
            <w:shd w:val="clear" w:color="auto" w:fill="auto"/>
            <w:vAlign w:val="bottom"/>
          </w:tcPr>
          <w:p w14:paraId="71D3F6BC" w14:textId="77777777" w:rsidR="006A3667" w:rsidRDefault="006A3667">
            <w:pPr>
              <w:rPr>
                <w:rFonts w:ascii="宋体"/>
                <w:vanish/>
              </w:rPr>
            </w:pPr>
          </w:p>
        </w:tc>
        <w:tc>
          <w:tcPr>
            <w:tcW w:w="0" w:type="auto"/>
            <w:gridSpan w:val="3"/>
            <w:shd w:val="clear" w:color="auto" w:fill="auto"/>
            <w:vAlign w:val="bottom"/>
          </w:tcPr>
          <w:p w14:paraId="71D3F6BD" w14:textId="77777777" w:rsidR="006A3667" w:rsidRDefault="006A3667">
            <w:pPr>
              <w:rPr>
                <w:rFonts w:ascii="宋体"/>
                <w:vanish/>
              </w:rPr>
            </w:pPr>
          </w:p>
        </w:tc>
        <w:tc>
          <w:tcPr>
            <w:tcW w:w="0" w:type="auto"/>
            <w:gridSpan w:val="3"/>
            <w:shd w:val="clear" w:color="auto" w:fill="auto"/>
            <w:vAlign w:val="bottom"/>
          </w:tcPr>
          <w:p w14:paraId="71D3F6BE" w14:textId="77777777" w:rsidR="006A3667" w:rsidRDefault="006A3667">
            <w:pPr>
              <w:rPr>
                <w:rFonts w:ascii="宋体"/>
                <w:vanish/>
              </w:rPr>
            </w:pPr>
          </w:p>
        </w:tc>
        <w:tc>
          <w:tcPr>
            <w:tcW w:w="0" w:type="auto"/>
            <w:gridSpan w:val="3"/>
            <w:shd w:val="clear" w:color="auto" w:fill="auto"/>
            <w:vAlign w:val="bottom"/>
          </w:tcPr>
          <w:p w14:paraId="71D3F6BF" w14:textId="77777777" w:rsidR="006A3667" w:rsidRDefault="006A3667">
            <w:pPr>
              <w:rPr>
                <w:rFonts w:ascii="宋体"/>
                <w:vanish/>
              </w:rPr>
            </w:pPr>
          </w:p>
        </w:tc>
        <w:tc>
          <w:tcPr>
            <w:tcW w:w="0" w:type="auto"/>
            <w:gridSpan w:val="3"/>
            <w:shd w:val="clear" w:color="auto" w:fill="auto"/>
            <w:vAlign w:val="bottom"/>
          </w:tcPr>
          <w:p w14:paraId="71D3F6C0"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6C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C2"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71D3F6C3" w14:textId="77777777" w:rsidR="006A3667" w:rsidRDefault="006A3667">
            <w:pPr>
              <w:jc w:val="right"/>
              <w:rPr>
                <w:rFonts w:ascii="宋体"/>
              </w:rPr>
            </w:pPr>
          </w:p>
        </w:tc>
      </w:tr>
      <w:tr w:rsidR="006A3667" w14:paraId="71D3F6D4" w14:textId="77777777">
        <w:tc>
          <w:tcPr>
            <w:tcW w:w="0" w:type="auto"/>
            <w:gridSpan w:val="3"/>
            <w:shd w:val="clear" w:color="auto" w:fill="CCEEFF"/>
            <w:tcMar>
              <w:top w:w="40" w:type="dxa"/>
              <w:left w:w="20" w:type="dxa"/>
              <w:bottom w:w="40" w:type="dxa"/>
              <w:right w:w="20" w:type="dxa"/>
            </w:tcMar>
            <w:vAlign w:val="bottom"/>
          </w:tcPr>
          <w:p w14:paraId="71D3F6C5" w14:textId="77777777" w:rsidR="006A3667" w:rsidRDefault="00045F32">
            <w:pPr>
              <w:textAlignment w:val="bottom"/>
            </w:pPr>
            <w:r>
              <w:rPr>
                <w:rFonts w:ascii="Arial" w:eastAsia="宋体" w:hAnsi="Arial" w:cs="Arial"/>
                <w:b/>
                <w:bCs/>
                <w:color w:val="000000"/>
                <w:sz w:val="14"/>
                <w:szCs w:val="14"/>
              </w:rPr>
              <w:t>Accrual Balance at March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6C6" w14:textId="77777777" w:rsidR="006A3667" w:rsidRDefault="00045F32">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6C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6C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6C9"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6CA" w14:textId="77777777" w:rsidR="006A3667" w:rsidRDefault="006A3667">
            <w:pPr>
              <w:jc w:val="right"/>
              <w:rPr>
                <w:rFonts w:ascii="宋体"/>
              </w:rPr>
            </w:pPr>
          </w:p>
        </w:tc>
        <w:tc>
          <w:tcPr>
            <w:tcW w:w="0" w:type="auto"/>
            <w:shd w:val="clear" w:color="auto" w:fill="auto"/>
            <w:vAlign w:val="bottom"/>
          </w:tcPr>
          <w:p w14:paraId="71D3F6CB" w14:textId="77777777" w:rsidR="006A3667" w:rsidRDefault="006A3667">
            <w:pPr>
              <w:rPr>
                <w:rFonts w:ascii="宋体"/>
                <w:vanish/>
              </w:rPr>
            </w:pPr>
          </w:p>
        </w:tc>
        <w:tc>
          <w:tcPr>
            <w:tcW w:w="0" w:type="auto"/>
            <w:shd w:val="clear" w:color="auto" w:fill="auto"/>
            <w:vAlign w:val="bottom"/>
          </w:tcPr>
          <w:p w14:paraId="71D3F6CC" w14:textId="77777777" w:rsidR="006A3667" w:rsidRDefault="006A3667">
            <w:pPr>
              <w:rPr>
                <w:rFonts w:ascii="宋体"/>
                <w:vanish/>
              </w:rPr>
            </w:pPr>
          </w:p>
        </w:tc>
        <w:tc>
          <w:tcPr>
            <w:tcW w:w="0" w:type="auto"/>
            <w:gridSpan w:val="3"/>
            <w:shd w:val="clear" w:color="auto" w:fill="auto"/>
            <w:vAlign w:val="bottom"/>
          </w:tcPr>
          <w:p w14:paraId="71D3F6CD" w14:textId="77777777" w:rsidR="006A3667" w:rsidRDefault="006A3667">
            <w:pPr>
              <w:rPr>
                <w:rFonts w:ascii="宋体"/>
                <w:vanish/>
              </w:rPr>
            </w:pPr>
          </w:p>
        </w:tc>
        <w:tc>
          <w:tcPr>
            <w:tcW w:w="0" w:type="auto"/>
            <w:gridSpan w:val="3"/>
            <w:shd w:val="clear" w:color="auto" w:fill="auto"/>
            <w:vAlign w:val="bottom"/>
          </w:tcPr>
          <w:p w14:paraId="71D3F6CE" w14:textId="77777777" w:rsidR="006A3667" w:rsidRDefault="006A3667">
            <w:pPr>
              <w:rPr>
                <w:rFonts w:ascii="宋体"/>
                <w:vanish/>
              </w:rPr>
            </w:pPr>
          </w:p>
        </w:tc>
        <w:tc>
          <w:tcPr>
            <w:tcW w:w="0" w:type="auto"/>
            <w:gridSpan w:val="3"/>
            <w:shd w:val="clear" w:color="auto" w:fill="auto"/>
            <w:vAlign w:val="bottom"/>
          </w:tcPr>
          <w:p w14:paraId="71D3F6CF" w14:textId="77777777" w:rsidR="006A3667" w:rsidRDefault="006A3667">
            <w:pPr>
              <w:rPr>
                <w:rFonts w:ascii="宋体"/>
                <w:vanish/>
              </w:rPr>
            </w:pPr>
          </w:p>
        </w:tc>
        <w:tc>
          <w:tcPr>
            <w:tcW w:w="0" w:type="auto"/>
            <w:gridSpan w:val="3"/>
            <w:shd w:val="clear" w:color="auto" w:fill="auto"/>
            <w:vAlign w:val="bottom"/>
          </w:tcPr>
          <w:p w14:paraId="71D3F6D0"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6D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6D2" w14:textId="77777777" w:rsidR="006A3667" w:rsidRDefault="00045F32">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6D3" w14:textId="77777777" w:rsidR="006A3667" w:rsidRDefault="006A3667">
            <w:pPr>
              <w:jc w:val="right"/>
              <w:rPr>
                <w:rFonts w:ascii="宋体"/>
              </w:rPr>
            </w:pPr>
          </w:p>
        </w:tc>
      </w:tr>
      <w:tr w:rsidR="006A3667" w14:paraId="71D3F6E1" w14:textId="77777777">
        <w:trPr>
          <w:hidden/>
        </w:trPr>
        <w:tc>
          <w:tcPr>
            <w:tcW w:w="0" w:type="auto"/>
            <w:gridSpan w:val="3"/>
            <w:shd w:val="clear" w:color="auto" w:fill="auto"/>
            <w:vAlign w:val="bottom"/>
          </w:tcPr>
          <w:p w14:paraId="71D3F6D5" w14:textId="77777777" w:rsidR="006A3667" w:rsidRDefault="006A3667">
            <w:pPr>
              <w:rPr>
                <w:rFonts w:ascii="宋体"/>
                <w:vanish/>
              </w:rPr>
            </w:pPr>
          </w:p>
        </w:tc>
        <w:tc>
          <w:tcPr>
            <w:tcW w:w="0" w:type="auto"/>
            <w:gridSpan w:val="3"/>
            <w:shd w:val="clear" w:color="auto" w:fill="auto"/>
            <w:vAlign w:val="bottom"/>
          </w:tcPr>
          <w:p w14:paraId="71D3F6D6" w14:textId="77777777" w:rsidR="006A3667" w:rsidRDefault="006A3667">
            <w:pPr>
              <w:rPr>
                <w:rFonts w:ascii="宋体"/>
                <w:vanish/>
              </w:rPr>
            </w:pPr>
          </w:p>
        </w:tc>
        <w:tc>
          <w:tcPr>
            <w:tcW w:w="0" w:type="auto"/>
            <w:gridSpan w:val="3"/>
            <w:shd w:val="clear" w:color="auto" w:fill="auto"/>
            <w:vAlign w:val="bottom"/>
          </w:tcPr>
          <w:p w14:paraId="71D3F6D7" w14:textId="77777777" w:rsidR="006A3667" w:rsidRDefault="006A3667">
            <w:pPr>
              <w:rPr>
                <w:rFonts w:ascii="宋体"/>
                <w:vanish/>
              </w:rPr>
            </w:pPr>
          </w:p>
        </w:tc>
        <w:tc>
          <w:tcPr>
            <w:tcW w:w="0" w:type="auto"/>
            <w:gridSpan w:val="3"/>
            <w:shd w:val="clear" w:color="auto" w:fill="auto"/>
            <w:vAlign w:val="bottom"/>
          </w:tcPr>
          <w:p w14:paraId="71D3F6D8" w14:textId="77777777" w:rsidR="006A3667" w:rsidRDefault="006A3667">
            <w:pPr>
              <w:rPr>
                <w:rFonts w:ascii="宋体"/>
                <w:vanish/>
              </w:rPr>
            </w:pPr>
          </w:p>
        </w:tc>
        <w:tc>
          <w:tcPr>
            <w:tcW w:w="0" w:type="auto"/>
            <w:shd w:val="clear" w:color="auto" w:fill="auto"/>
            <w:vAlign w:val="bottom"/>
          </w:tcPr>
          <w:p w14:paraId="71D3F6D9" w14:textId="77777777" w:rsidR="006A3667" w:rsidRDefault="006A3667">
            <w:pPr>
              <w:rPr>
                <w:rFonts w:ascii="宋体"/>
                <w:vanish/>
              </w:rPr>
            </w:pPr>
          </w:p>
        </w:tc>
        <w:tc>
          <w:tcPr>
            <w:tcW w:w="0" w:type="auto"/>
            <w:shd w:val="clear" w:color="auto" w:fill="auto"/>
            <w:vAlign w:val="bottom"/>
          </w:tcPr>
          <w:p w14:paraId="71D3F6DA" w14:textId="77777777" w:rsidR="006A3667" w:rsidRDefault="006A3667">
            <w:pPr>
              <w:rPr>
                <w:rFonts w:ascii="宋体"/>
                <w:vanish/>
              </w:rPr>
            </w:pPr>
          </w:p>
        </w:tc>
        <w:tc>
          <w:tcPr>
            <w:tcW w:w="0" w:type="auto"/>
            <w:gridSpan w:val="3"/>
            <w:shd w:val="clear" w:color="auto" w:fill="auto"/>
            <w:vAlign w:val="bottom"/>
          </w:tcPr>
          <w:p w14:paraId="71D3F6DB" w14:textId="77777777" w:rsidR="006A3667" w:rsidRDefault="006A3667">
            <w:pPr>
              <w:rPr>
                <w:rFonts w:ascii="宋体"/>
                <w:vanish/>
              </w:rPr>
            </w:pPr>
          </w:p>
        </w:tc>
        <w:tc>
          <w:tcPr>
            <w:tcW w:w="0" w:type="auto"/>
            <w:gridSpan w:val="3"/>
            <w:shd w:val="clear" w:color="auto" w:fill="auto"/>
            <w:vAlign w:val="bottom"/>
          </w:tcPr>
          <w:p w14:paraId="71D3F6DC" w14:textId="77777777" w:rsidR="006A3667" w:rsidRDefault="006A3667">
            <w:pPr>
              <w:rPr>
                <w:rFonts w:ascii="宋体"/>
                <w:vanish/>
              </w:rPr>
            </w:pPr>
          </w:p>
        </w:tc>
        <w:tc>
          <w:tcPr>
            <w:tcW w:w="0" w:type="auto"/>
            <w:gridSpan w:val="3"/>
            <w:shd w:val="clear" w:color="auto" w:fill="auto"/>
            <w:vAlign w:val="bottom"/>
          </w:tcPr>
          <w:p w14:paraId="71D3F6DD" w14:textId="77777777" w:rsidR="006A3667" w:rsidRDefault="006A3667">
            <w:pPr>
              <w:rPr>
                <w:rFonts w:ascii="宋体"/>
                <w:vanish/>
              </w:rPr>
            </w:pPr>
          </w:p>
        </w:tc>
        <w:tc>
          <w:tcPr>
            <w:tcW w:w="0" w:type="auto"/>
            <w:gridSpan w:val="3"/>
            <w:shd w:val="clear" w:color="auto" w:fill="auto"/>
            <w:vAlign w:val="bottom"/>
          </w:tcPr>
          <w:p w14:paraId="71D3F6DE" w14:textId="77777777" w:rsidR="006A3667" w:rsidRDefault="006A3667">
            <w:pPr>
              <w:rPr>
                <w:rFonts w:ascii="宋体"/>
                <w:vanish/>
              </w:rPr>
            </w:pPr>
          </w:p>
        </w:tc>
        <w:tc>
          <w:tcPr>
            <w:tcW w:w="0" w:type="auto"/>
            <w:gridSpan w:val="3"/>
            <w:shd w:val="clear" w:color="auto" w:fill="auto"/>
            <w:vAlign w:val="bottom"/>
          </w:tcPr>
          <w:p w14:paraId="71D3F6DF" w14:textId="77777777" w:rsidR="006A3667" w:rsidRDefault="006A3667">
            <w:pPr>
              <w:rPr>
                <w:rFonts w:ascii="宋体"/>
                <w:vanish/>
              </w:rPr>
            </w:pPr>
          </w:p>
        </w:tc>
        <w:tc>
          <w:tcPr>
            <w:tcW w:w="0" w:type="auto"/>
            <w:gridSpan w:val="3"/>
            <w:shd w:val="clear" w:color="auto" w:fill="auto"/>
            <w:vAlign w:val="bottom"/>
          </w:tcPr>
          <w:p w14:paraId="71D3F6E0" w14:textId="77777777" w:rsidR="006A3667" w:rsidRDefault="006A3667">
            <w:pPr>
              <w:rPr>
                <w:rFonts w:ascii="宋体"/>
                <w:vanish/>
              </w:rPr>
            </w:pPr>
          </w:p>
        </w:tc>
      </w:tr>
      <w:tr w:rsidR="006A3667" w14:paraId="71D3F6EE" w14:textId="77777777">
        <w:trPr>
          <w:hidden/>
        </w:trPr>
        <w:tc>
          <w:tcPr>
            <w:tcW w:w="0" w:type="auto"/>
            <w:gridSpan w:val="3"/>
            <w:shd w:val="clear" w:color="auto" w:fill="auto"/>
            <w:vAlign w:val="bottom"/>
          </w:tcPr>
          <w:p w14:paraId="71D3F6E2" w14:textId="77777777" w:rsidR="006A3667" w:rsidRDefault="006A3667">
            <w:pPr>
              <w:rPr>
                <w:rFonts w:ascii="宋体"/>
                <w:vanish/>
              </w:rPr>
            </w:pPr>
          </w:p>
        </w:tc>
        <w:tc>
          <w:tcPr>
            <w:tcW w:w="0" w:type="auto"/>
            <w:gridSpan w:val="3"/>
            <w:shd w:val="clear" w:color="auto" w:fill="auto"/>
            <w:vAlign w:val="bottom"/>
          </w:tcPr>
          <w:p w14:paraId="71D3F6E3" w14:textId="77777777" w:rsidR="006A3667" w:rsidRDefault="006A3667">
            <w:pPr>
              <w:rPr>
                <w:rFonts w:ascii="宋体"/>
                <w:vanish/>
              </w:rPr>
            </w:pPr>
          </w:p>
        </w:tc>
        <w:tc>
          <w:tcPr>
            <w:tcW w:w="0" w:type="auto"/>
            <w:gridSpan w:val="3"/>
            <w:shd w:val="clear" w:color="auto" w:fill="auto"/>
            <w:vAlign w:val="bottom"/>
          </w:tcPr>
          <w:p w14:paraId="71D3F6E4" w14:textId="77777777" w:rsidR="006A3667" w:rsidRDefault="006A3667">
            <w:pPr>
              <w:rPr>
                <w:rFonts w:ascii="宋体"/>
                <w:vanish/>
              </w:rPr>
            </w:pPr>
          </w:p>
        </w:tc>
        <w:tc>
          <w:tcPr>
            <w:tcW w:w="0" w:type="auto"/>
            <w:gridSpan w:val="3"/>
            <w:shd w:val="clear" w:color="auto" w:fill="auto"/>
            <w:vAlign w:val="bottom"/>
          </w:tcPr>
          <w:p w14:paraId="71D3F6E5" w14:textId="77777777" w:rsidR="006A3667" w:rsidRDefault="006A3667">
            <w:pPr>
              <w:rPr>
                <w:rFonts w:ascii="宋体"/>
                <w:vanish/>
              </w:rPr>
            </w:pPr>
          </w:p>
        </w:tc>
        <w:tc>
          <w:tcPr>
            <w:tcW w:w="0" w:type="auto"/>
            <w:shd w:val="clear" w:color="auto" w:fill="auto"/>
            <w:vAlign w:val="bottom"/>
          </w:tcPr>
          <w:p w14:paraId="71D3F6E6" w14:textId="77777777" w:rsidR="006A3667" w:rsidRDefault="006A3667">
            <w:pPr>
              <w:rPr>
                <w:rFonts w:ascii="宋体"/>
                <w:vanish/>
              </w:rPr>
            </w:pPr>
          </w:p>
        </w:tc>
        <w:tc>
          <w:tcPr>
            <w:tcW w:w="0" w:type="auto"/>
            <w:shd w:val="clear" w:color="auto" w:fill="auto"/>
            <w:vAlign w:val="bottom"/>
          </w:tcPr>
          <w:p w14:paraId="71D3F6E7" w14:textId="77777777" w:rsidR="006A3667" w:rsidRDefault="006A3667">
            <w:pPr>
              <w:rPr>
                <w:rFonts w:ascii="宋体"/>
                <w:vanish/>
              </w:rPr>
            </w:pPr>
          </w:p>
        </w:tc>
        <w:tc>
          <w:tcPr>
            <w:tcW w:w="0" w:type="auto"/>
            <w:gridSpan w:val="3"/>
            <w:shd w:val="clear" w:color="auto" w:fill="auto"/>
            <w:vAlign w:val="bottom"/>
          </w:tcPr>
          <w:p w14:paraId="71D3F6E8" w14:textId="77777777" w:rsidR="006A3667" w:rsidRDefault="006A3667">
            <w:pPr>
              <w:rPr>
                <w:rFonts w:ascii="宋体"/>
                <w:vanish/>
              </w:rPr>
            </w:pPr>
          </w:p>
        </w:tc>
        <w:tc>
          <w:tcPr>
            <w:tcW w:w="0" w:type="auto"/>
            <w:gridSpan w:val="3"/>
            <w:shd w:val="clear" w:color="auto" w:fill="auto"/>
            <w:vAlign w:val="bottom"/>
          </w:tcPr>
          <w:p w14:paraId="71D3F6E9" w14:textId="77777777" w:rsidR="006A3667" w:rsidRDefault="006A3667">
            <w:pPr>
              <w:rPr>
                <w:rFonts w:ascii="宋体"/>
                <w:vanish/>
              </w:rPr>
            </w:pPr>
          </w:p>
        </w:tc>
        <w:tc>
          <w:tcPr>
            <w:tcW w:w="0" w:type="auto"/>
            <w:gridSpan w:val="3"/>
            <w:shd w:val="clear" w:color="auto" w:fill="auto"/>
            <w:vAlign w:val="bottom"/>
          </w:tcPr>
          <w:p w14:paraId="71D3F6EA" w14:textId="77777777" w:rsidR="006A3667" w:rsidRDefault="006A3667">
            <w:pPr>
              <w:rPr>
                <w:rFonts w:ascii="宋体"/>
                <w:vanish/>
              </w:rPr>
            </w:pPr>
          </w:p>
        </w:tc>
        <w:tc>
          <w:tcPr>
            <w:tcW w:w="0" w:type="auto"/>
            <w:gridSpan w:val="3"/>
            <w:shd w:val="clear" w:color="auto" w:fill="auto"/>
            <w:vAlign w:val="bottom"/>
          </w:tcPr>
          <w:p w14:paraId="71D3F6EB" w14:textId="77777777" w:rsidR="006A3667" w:rsidRDefault="006A3667">
            <w:pPr>
              <w:rPr>
                <w:rFonts w:ascii="宋体"/>
                <w:vanish/>
              </w:rPr>
            </w:pPr>
          </w:p>
        </w:tc>
        <w:tc>
          <w:tcPr>
            <w:tcW w:w="0" w:type="auto"/>
            <w:gridSpan w:val="3"/>
            <w:shd w:val="clear" w:color="auto" w:fill="auto"/>
            <w:vAlign w:val="bottom"/>
          </w:tcPr>
          <w:p w14:paraId="71D3F6EC" w14:textId="77777777" w:rsidR="006A3667" w:rsidRDefault="006A3667">
            <w:pPr>
              <w:rPr>
                <w:rFonts w:ascii="宋体"/>
                <w:vanish/>
              </w:rPr>
            </w:pPr>
          </w:p>
        </w:tc>
        <w:tc>
          <w:tcPr>
            <w:tcW w:w="0" w:type="auto"/>
            <w:gridSpan w:val="3"/>
            <w:shd w:val="clear" w:color="auto" w:fill="auto"/>
            <w:vAlign w:val="bottom"/>
          </w:tcPr>
          <w:p w14:paraId="71D3F6ED" w14:textId="77777777" w:rsidR="006A3667" w:rsidRDefault="006A3667">
            <w:pPr>
              <w:rPr>
                <w:rFonts w:ascii="宋体"/>
                <w:vanish/>
              </w:rPr>
            </w:pPr>
          </w:p>
        </w:tc>
      </w:tr>
      <w:tr w:rsidR="006A3667" w14:paraId="71D3F6FE" w14:textId="77777777">
        <w:tc>
          <w:tcPr>
            <w:tcW w:w="0" w:type="auto"/>
            <w:gridSpan w:val="3"/>
            <w:shd w:val="clear" w:color="auto" w:fill="FFFFFF"/>
            <w:tcMar>
              <w:top w:w="40" w:type="dxa"/>
              <w:left w:w="20" w:type="dxa"/>
              <w:bottom w:w="40" w:type="dxa"/>
              <w:right w:w="20" w:type="dxa"/>
            </w:tcMar>
            <w:vAlign w:val="bottom"/>
          </w:tcPr>
          <w:p w14:paraId="71D3F6EF"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71D3F6F0" w14:textId="77777777" w:rsidR="006A3667" w:rsidRDefault="00045F32">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71D3F6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6F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F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6F4" w14:textId="77777777" w:rsidR="006A3667" w:rsidRDefault="006A3667">
            <w:pPr>
              <w:jc w:val="right"/>
              <w:rPr>
                <w:rFonts w:ascii="宋体"/>
              </w:rPr>
            </w:pPr>
          </w:p>
        </w:tc>
        <w:tc>
          <w:tcPr>
            <w:tcW w:w="0" w:type="auto"/>
            <w:shd w:val="clear" w:color="auto" w:fill="auto"/>
            <w:vAlign w:val="bottom"/>
          </w:tcPr>
          <w:p w14:paraId="71D3F6F5" w14:textId="77777777" w:rsidR="006A3667" w:rsidRDefault="006A3667">
            <w:pPr>
              <w:rPr>
                <w:rFonts w:ascii="宋体"/>
                <w:vanish/>
              </w:rPr>
            </w:pPr>
          </w:p>
        </w:tc>
        <w:tc>
          <w:tcPr>
            <w:tcW w:w="0" w:type="auto"/>
            <w:shd w:val="clear" w:color="auto" w:fill="auto"/>
            <w:vAlign w:val="bottom"/>
          </w:tcPr>
          <w:p w14:paraId="71D3F6F6" w14:textId="77777777" w:rsidR="006A3667" w:rsidRDefault="006A3667">
            <w:pPr>
              <w:rPr>
                <w:rFonts w:ascii="宋体"/>
                <w:vanish/>
              </w:rPr>
            </w:pPr>
          </w:p>
        </w:tc>
        <w:tc>
          <w:tcPr>
            <w:tcW w:w="0" w:type="auto"/>
            <w:gridSpan w:val="3"/>
            <w:shd w:val="clear" w:color="auto" w:fill="auto"/>
            <w:vAlign w:val="bottom"/>
          </w:tcPr>
          <w:p w14:paraId="71D3F6F7" w14:textId="77777777" w:rsidR="006A3667" w:rsidRDefault="006A3667">
            <w:pPr>
              <w:rPr>
                <w:rFonts w:ascii="宋体"/>
                <w:vanish/>
              </w:rPr>
            </w:pPr>
          </w:p>
        </w:tc>
        <w:tc>
          <w:tcPr>
            <w:tcW w:w="0" w:type="auto"/>
            <w:gridSpan w:val="3"/>
            <w:shd w:val="clear" w:color="auto" w:fill="auto"/>
            <w:vAlign w:val="bottom"/>
          </w:tcPr>
          <w:p w14:paraId="71D3F6F8" w14:textId="77777777" w:rsidR="006A3667" w:rsidRDefault="006A3667">
            <w:pPr>
              <w:rPr>
                <w:rFonts w:ascii="宋体"/>
                <w:vanish/>
              </w:rPr>
            </w:pPr>
          </w:p>
        </w:tc>
        <w:tc>
          <w:tcPr>
            <w:tcW w:w="0" w:type="auto"/>
            <w:gridSpan w:val="3"/>
            <w:shd w:val="clear" w:color="auto" w:fill="auto"/>
            <w:vAlign w:val="bottom"/>
          </w:tcPr>
          <w:p w14:paraId="71D3F6F9" w14:textId="77777777" w:rsidR="006A3667" w:rsidRDefault="006A3667">
            <w:pPr>
              <w:rPr>
                <w:rFonts w:ascii="宋体"/>
                <w:vanish/>
              </w:rPr>
            </w:pPr>
          </w:p>
        </w:tc>
        <w:tc>
          <w:tcPr>
            <w:tcW w:w="0" w:type="auto"/>
            <w:gridSpan w:val="3"/>
            <w:shd w:val="clear" w:color="auto" w:fill="auto"/>
            <w:vAlign w:val="bottom"/>
          </w:tcPr>
          <w:p w14:paraId="71D3F6FA"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6F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6FC" w14:textId="77777777" w:rsidR="006A3667" w:rsidRDefault="00045F32">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71D3F6FD" w14:textId="77777777" w:rsidR="006A3667" w:rsidRDefault="006A3667">
            <w:pPr>
              <w:jc w:val="right"/>
              <w:rPr>
                <w:rFonts w:ascii="宋体"/>
              </w:rPr>
            </w:pPr>
          </w:p>
        </w:tc>
      </w:tr>
      <w:tr w:rsidR="006A3667" w14:paraId="71D3F70E" w14:textId="77777777">
        <w:tc>
          <w:tcPr>
            <w:tcW w:w="0" w:type="auto"/>
            <w:gridSpan w:val="3"/>
            <w:shd w:val="clear" w:color="auto" w:fill="CCEEFF"/>
            <w:tcMar>
              <w:top w:w="40" w:type="dxa"/>
              <w:left w:w="20" w:type="dxa"/>
              <w:bottom w:w="40" w:type="dxa"/>
              <w:right w:w="20" w:type="dxa"/>
            </w:tcMar>
            <w:vAlign w:val="bottom"/>
          </w:tcPr>
          <w:p w14:paraId="71D3F6FF" w14:textId="77777777" w:rsidR="006A3667" w:rsidRDefault="00045F32">
            <w:pPr>
              <w:textAlignment w:val="bottom"/>
            </w:pPr>
            <w:r>
              <w:rPr>
                <w:rFonts w:ascii="Arial" w:eastAsia="宋体" w:hAnsi="Arial" w:cs="Arial"/>
                <w:b/>
                <w:bCs/>
                <w:color w:val="000000"/>
                <w:sz w:val="14"/>
                <w:szCs w:val="14"/>
              </w:rPr>
              <w:t>Accrual Balance at June 30,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700" w14:textId="77777777" w:rsidR="006A3667" w:rsidRDefault="00045F32">
            <w:pPr>
              <w:jc w:val="right"/>
              <w:textAlignment w:val="bottom"/>
            </w:pPr>
            <w:r>
              <w:rPr>
                <w:rFonts w:ascii="Arial" w:eastAsia="宋体" w:hAnsi="Arial" w:cs="Arial"/>
                <w:color w:val="000000"/>
                <w:sz w:val="14"/>
                <w:szCs w:val="14"/>
              </w:rPr>
              <w:t>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7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70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703"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704" w14:textId="77777777" w:rsidR="006A3667" w:rsidRDefault="006A3667">
            <w:pPr>
              <w:jc w:val="right"/>
              <w:rPr>
                <w:rFonts w:ascii="宋体"/>
              </w:rPr>
            </w:pPr>
          </w:p>
        </w:tc>
        <w:tc>
          <w:tcPr>
            <w:tcW w:w="0" w:type="auto"/>
            <w:shd w:val="clear" w:color="auto" w:fill="auto"/>
            <w:vAlign w:val="bottom"/>
          </w:tcPr>
          <w:p w14:paraId="71D3F705" w14:textId="77777777" w:rsidR="006A3667" w:rsidRDefault="006A3667">
            <w:pPr>
              <w:rPr>
                <w:rFonts w:ascii="宋体"/>
                <w:vanish/>
              </w:rPr>
            </w:pPr>
          </w:p>
        </w:tc>
        <w:tc>
          <w:tcPr>
            <w:tcW w:w="0" w:type="auto"/>
            <w:shd w:val="clear" w:color="auto" w:fill="auto"/>
            <w:vAlign w:val="bottom"/>
          </w:tcPr>
          <w:p w14:paraId="71D3F706" w14:textId="77777777" w:rsidR="006A3667" w:rsidRDefault="006A3667">
            <w:pPr>
              <w:rPr>
                <w:rFonts w:ascii="宋体"/>
                <w:vanish/>
              </w:rPr>
            </w:pPr>
          </w:p>
        </w:tc>
        <w:tc>
          <w:tcPr>
            <w:tcW w:w="0" w:type="auto"/>
            <w:gridSpan w:val="3"/>
            <w:shd w:val="clear" w:color="auto" w:fill="auto"/>
            <w:vAlign w:val="bottom"/>
          </w:tcPr>
          <w:p w14:paraId="71D3F707" w14:textId="77777777" w:rsidR="006A3667" w:rsidRDefault="006A3667">
            <w:pPr>
              <w:rPr>
                <w:rFonts w:ascii="宋体"/>
                <w:vanish/>
              </w:rPr>
            </w:pPr>
          </w:p>
        </w:tc>
        <w:tc>
          <w:tcPr>
            <w:tcW w:w="0" w:type="auto"/>
            <w:gridSpan w:val="3"/>
            <w:shd w:val="clear" w:color="auto" w:fill="auto"/>
            <w:vAlign w:val="bottom"/>
          </w:tcPr>
          <w:p w14:paraId="71D3F708" w14:textId="77777777" w:rsidR="006A3667" w:rsidRDefault="006A3667">
            <w:pPr>
              <w:rPr>
                <w:rFonts w:ascii="宋体"/>
                <w:vanish/>
              </w:rPr>
            </w:pPr>
          </w:p>
        </w:tc>
        <w:tc>
          <w:tcPr>
            <w:tcW w:w="0" w:type="auto"/>
            <w:gridSpan w:val="3"/>
            <w:shd w:val="clear" w:color="auto" w:fill="auto"/>
            <w:vAlign w:val="bottom"/>
          </w:tcPr>
          <w:p w14:paraId="71D3F709" w14:textId="77777777" w:rsidR="006A3667" w:rsidRDefault="006A3667">
            <w:pPr>
              <w:rPr>
                <w:rFonts w:ascii="宋体"/>
                <w:vanish/>
              </w:rPr>
            </w:pPr>
          </w:p>
        </w:tc>
        <w:tc>
          <w:tcPr>
            <w:tcW w:w="0" w:type="auto"/>
            <w:gridSpan w:val="3"/>
            <w:shd w:val="clear" w:color="auto" w:fill="auto"/>
            <w:vAlign w:val="bottom"/>
          </w:tcPr>
          <w:p w14:paraId="71D3F70A"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70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70C" w14:textId="77777777" w:rsidR="006A3667" w:rsidRDefault="00045F32">
            <w:pPr>
              <w:jc w:val="right"/>
              <w:textAlignment w:val="bottom"/>
            </w:pPr>
            <w:r>
              <w:rPr>
                <w:rFonts w:ascii="Arial" w:eastAsia="宋体" w:hAnsi="Arial" w:cs="Arial"/>
                <w:color w:val="000000"/>
                <w:sz w:val="14"/>
                <w:szCs w:val="14"/>
              </w:rPr>
              <w:t>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70D" w14:textId="77777777" w:rsidR="006A3667" w:rsidRDefault="006A3667">
            <w:pPr>
              <w:jc w:val="right"/>
              <w:rPr>
                <w:rFonts w:ascii="宋体"/>
              </w:rPr>
            </w:pPr>
          </w:p>
        </w:tc>
      </w:tr>
      <w:tr w:rsidR="006A3667" w14:paraId="71D3F71E" w14:textId="77777777">
        <w:tc>
          <w:tcPr>
            <w:tcW w:w="0" w:type="auto"/>
            <w:gridSpan w:val="3"/>
            <w:shd w:val="clear" w:color="auto" w:fill="FFFFFF"/>
            <w:tcMar>
              <w:top w:w="40" w:type="dxa"/>
              <w:left w:w="20" w:type="dxa"/>
              <w:bottom w:w="40" w:type="dxa"/>
              <w:right w:w="20" w:type="dxa"/>
            </w:tcMar>
            <w:vAlign w:val="bottom"/>
          </w:tcPr>
          <w:p w14:paraId="71D3F70F"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71D3F710" w14:textId="77777777" w:rsidR="006A3667" w:rsidRDefault="00045F32">
            <w:pPr>
              <w:jc w:val="right"/>
              <w:textAlignment w:val="bottom"/>
            </w:pPr>
            <w:r>
              <w:rPr>
                <w:rFonts w:ascii="Arial" w:eastAsia="宋体" w:hAnsi="Arial" w:cs="Arial"/>
                <w:color w:val="000000"/>
                <w:sz w:val="14"/>
                <w:szCs w:val="14"/>
              </w:rPr>
              <w:t>(23)</w:t>
            </w:r>
          </w:p>
        </w:tc>
        <w:tc>
          <w:tcPr>
            <w:tcW w:w="0" w:type="auto"/>
            <w:shd w:val="clear" w:color="auto" w:fill="FFFFFF"/>
            <w:tcMar>
              <w:top w:w="40" w:type="dxa"/>
              <w:left w:w="0" w:type="dxa"/>
              <w:bottom w:w="40" w:type="dxa"/>
              <w:right w:w="20" w:type="dxa"/>
            </w:tcMar>
            <w:vAlign w:val="bottom"/>
          </w:tcPr>
          <w:p w14:paraId="71D3F7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71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71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3F714" w14:textId="77777777" w:rsidR="006A3667" w:rsidRDefault="006A3667">
            <w:pPr>
              <w:jc w:val="right"/>
              <w:rPr>
                <w:rFonts w:ascii="宋体"/>
              </w:rPr>
            </w:pPr>
          </w:p>
        </w:tc>
        <w:tc>
          <w:tcPr>
            <w:tcW w:w="0" w:type="auto"/>
            <w:shd w:val="clear" w:color="auto" w:fill="auto"/>
            <w:vAlign w:val="bottom"/>
          </w:tcPr>
          <w:p w14:paraId="71D3F715" w14:textId="77777777" w:rsidR="006A3667" w:rsidRDefault="006A3667">
            <w:pPr>
              <w:rPr>
                <w:rFonts w:ascii="宋体"/>
                <w:vanish/>
              </w:rPr>
            </w:pPr>
          </w:p>
        </w:tc>
        <w:tc>
          <w:tcPr>
            <w:tcW w:w="0" w:type="auto"/>
            <w:shd w:val="clear" w:color="auto" w:fill="auto"/>
            <w:vAlign w:val="bottom"/>
          </w:tcPr>
          <w:p w14:paraId="71D3F716" w14:textId="77777777" w:rsidR="006A3667" w:rsidRDefault="006A3667">
            <w:pPr>
              <w:rPr>
                <w:rFonts w:ascii="宋体"/>
                <w:vanish/>
              </w:rPr>
            </w:pPr>
          </w:p>
        </w:tc>
        <w:tc>
          <w:tcPr>
            <w:tcW w:w="0" w:type="auto"/>
            <w:gridSpan w:val="3"/>
            <w:shd w:val="clear" w:color="auto" w:fill="auto"/>
            <w:vAlign w:val="bottom"/>
          </w:tcPr>
          <w:p w14:paraId="71D3F717" w14:textId="77777777" w:rsidR="006A3667" w:rsidRDefault="006A3667">
            <w:pPr>
              <w:rPr>
                <w:rFonts w:ascii="宋体"/>
                <w:vanish/>
              </w:rPr>
            </w:pPr>
          </w:p>
        </w:tc>
        <w:tc>
          <w:tcPr>
            <w:tcW w:w="0" w:type="auto"/>
            <w:gridSpan w:val="3"/>
            <w:shd w:val="clear" w:color="auto" w:fill="auto"/>
            <w:vAlign w:val="bottom"/>
          </w:tcPr>
          <w:p w14:paraId="71D3F718" w14:textId="77777777" w:rsidR="006A3667" w:rsidRDefault="006A3667">
            <w:pPr>
              <w:rPr>
                <w:rFonts w:ascii="宋体"/>
                <w:vanish/>
              </w:rPr>
            </w:pPr>
          </w:p>
        </w:tc>
        <w:tc>
          <w:tcPr>
            <w:tcW w:w="0" w:type="auto"/>
            <w:gridSpan w:val="3"/>
            <w:shd w:val="clear" w:color="auto" w:fill="auto"/>
            <w:vAlign w:val="bottom"/>
          </w:tcPr>
          <w:p w14:paraId="71D3F719" w14:textId="77777777" w:rsidR="006A3667" w:rsidRDefault="006A3667">
            <w:pPr>
              <w:rPr>
                <w:rFonts w:ascii="宋体"/>
                <w:vanish/>
              </w:rPr>
            </w:pPr>
          </w:p>
        </w:tc>
        <w:tc>
          <w:tcPr>
            <w:tcW w:w="0" w:type="auto"/>
            <w:gridSpan w:val="3"/>
            <w:shd w:val="clear" w:color="auto" w:fill="auto"/>
            <w:vAlign w:val="bottom"/>
          </w:tcPr>
          <w:p w14:paraId="71D3F71A"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71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71C" w14:textId="77777777" w:rsidR="006A3667" w:rsidRDefault="00045F32">
            <w:pPr>
              <w:jc w:val="right"/>
              <w:textAlignment w:val="bottom"/>
            </w:pPr>
            <w:r>
              <w:rPr>
                <w:rFonts w:ascii="Arial" w:eastAsia="宋体" w:hAnsi="Arial" w:cs="Arial"/>
                <w:color w:val="000000"/>
                <w:sz w:val="14"/>
                <w:szCs w:val="14"/>
              </w:rPr>
              <w:t>(23)</w:t>
            </w:r>
          </w:p>
        </w:tc>
        <w:tc>
          <w:tcPr>
            <w:tcW w:w="0" w:type="auto"/>
            <w:shd w:val="clear" w:color="auto" w:fill="FFFFFF"/>
            <w:tcMar>
              <w:top w:w="40" w:type="dxa"/>
              <w:left w:w="0" w:type="dxa"/>
              <w:bottom w:w="40" w:type="dxa"/>
              <w:right w:w="20" w:type="dxa"/>
            </w:tcMar>
            <w:vAlign w:val="bottom"/>
          </w:tcPr>
          <w:p w14:paraId="71D3F71D" w14:textId="77777777" w:rsidR="006A3667" w:rsidRDefault="006A3667">
            <w:pPr>
              <w:jc w:val="right"/>
              <w:rPr>
                <w:rFonts w:ascii="宋体"/>
              </w:rPr>
            </w:pPr>
          </w:p>
        </w:tc>
      </w:tr>
      <w:tr w:rsidR="006A3667" w14:paraId="71D3F731" w14:textId="77777777">
        <w:tc>
          <w:tcPr>
            <w:tcW w:w="0" w:type="auto"/>
            <w:gridSpan w:val="3"/>
            <w:shd w:val="clear" w:color="auto" w:fill="CCEEFF"/>
            <w:tcMar>
              <w:top w:w="40" w:type="dxa"/>
              <w:left w:w="20" w:type="dxa"/>
              <w:bottom w:w="40" w:type="dxa"/>
              <w:right w:w="20" w:type="dxa"/>
            </w:tcMar>
            <w:vAlign w:val="bottom"/>
          </w:tcPr>
          <w:p w14:paraId="71D3F71F" w14:textId="77777777" w:rsidR="006A3667" w:rsidRDefault="00045F32">
            <w:pPr>
              <w:textAlignment w:val="bottom"/>
            </w:pPr>
            <w:r>
              <w:rPr>
                <w:rFonts w:ascii="Arial" w:eastAsia="宋体" w:hAnsi="Arial" w:cs="Arial"/>
                <w:b/>
                <w:bCs/>
                <w:color w:val="000000"/>
                <w:sz w:val="14"/>
                <w:szCs w:val="14"/>
              </w:rPr>
              <w:t>Accrual Balance at September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3F72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721" w14:textId="77777777" w:rsidR="006A3667" w:rsidRDefault="00045F32">
            <w:pPr>
              <w:jc w:val="right"/>
              <w:textAlignment w:val="bottom"/>
            </w:pPr>
            <w:r>
              <w:rPr>
                <w:rFonts w:ascii="Arial" w:eastAsia="宋体" w:hAnsi="Arial" w:cs="Arial"/>
                <w:color w:val="000000"/>
                <w:sz w:val="14"/>
                <w:szCs w:val="14"/>
              </w:rPr>
              <w:t>123 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7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72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72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725"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726" w14:textId="77777777" w:rsidR="006A3667" w:rsidRDefault="006A3667">
            <w:pPr>
              <w:jc w:val="right"/>
              <w:rPr>
                <w:rFonts w:ascii="宋体"/>
              </w:rPr>
            </w:pPr>
          </w:p>
        </w:tc>
        <w:tc>
          <w:tcPr>
            <w:tcW w:w="0" w:type="auto"/>
            <w:shd w:val="clear" w:color="auto" w:fill="auto"/>
            <w:vAlign w:val="bottom"/>
          </w:tcPr>
          <w:p w14:paraId="71D3F727" w14:textId="77777777" w:rsidR="006A3667" w:rsidRDefault="006A3667">
            <w:pPr>
              <w:rPr>
                <w:rFonts w:ascii="宋体"/>
                <w:vanish/>
              </w:rPr>
            </w:pPr>
          </w:p>
        </w:tc>
        <w:tc>
          <w:tcPr>
            <w:tcW w:w="0" w:type="auto"/>
            <w:shd w:val="clear" w:color="auto" w:fill="auto"/>
            <w:vAlign w:val="bottom"/>
          </w:tcPr>
          <w:p w14:paraId="71D3F728" w14:textId="77777777" w:rsidR="006A3667" w:rsidRDefault="006A3667">
            <w:pPr>
              <w:rPr>
                <w:rFonts w:ascii="宋体"/>
                <w:vanish/>
              </w:rPr>
            </w:pPr>
          </w:p>
        </w:tc>
        <w:tc>
          <w:tcPr>
            <w:tcW w:w="0" w:type="auto"/>
            <w:gridSpan w:val="3"/>
            <w:shd w:val="clear" w:color="auto" w:fill="auto"/>
            <w:vAlign w:val="bottom"/>
          </w:tcPr>
          <w:p w14:paraId="71D3F729" w14:textId="77777777" w:rsidR="006A3667" w:rsidRDefault="006A3667">
            <w:pPr>
              <w:rPr>
                <w:rFonts w:ascii="宋体"/>
                <w:vanish/>
              </w:rPr>
            </w:pPr>
          </w:p>
        </w:tc>
        <w:tc>
          <w:tcPr>
            <w:tcW w:w="0" w:type="auto"/>
            <w:gridSpan w:val="3"/>
            <w:shd w:val="clear" w:color="auto" w:fill="auto"/>
            <w:vAlign w:val="bottom"/>
          </w:tcPr>
          <w:p w14:paraId="71D3F72A" w14:textId="77777777" w:rsidR="006A3667" w:rsidRDefault="006A3667">
            <w:pPr>
              <w:rPr>
                <w:rFonts w:ascii="宋体"/>
                <w:vanish/>
              </w:rPr>
            </w:pPr>
          </w:p>
        </w:tc>
        <w:tc>
          <w:tcPr>
            <w:tcW w:w="0" w:type="auto"/>
            <w:gridSpan w:val="3"/>
            <w:shd w:val="clear" w:color="auto" w:fill="auto"/>
            <w:vAlign w:val="bottom"/>
          </w:tcPr>
          <w:p w14:paraId="71D3F72B" w14:textId="77777777" w:rsidR="006A3667" w:rsidRDefault="006A3667">
            <w:pPr>
              <w:rPr>
                <w:rFonts w:ascii="宋体"/>
                <w:vanish/>
              </w:rPr>
            </w:pPr>
          </w:p>
        </w:tc>
        <w:tc>
          <w:tcPr>
            <w:tcW w:w="0" w:type="auto"/>
            <w:gridSpan w:val="3"/>
            <w:shd w:val="clear" w:color="auto" w:fill="auto"/>
            <w:vAlign w:val="bottom"/>
          </w:tcPr>
          <w:p w14:paraId="71D3F72C"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72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72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72F" w14:textId="77777777" w:rsidR="006A3667" w:rsidRDefault="00045F32">
            <w:pPr>
              <w:jc w:val="right"/>
              <w:textAlignment w:val="bottom"/>
            </w:pPr>
            <w:r>
              <w:rPr>
                <w:rFonts w:ascii="Arial" w:eastAsia="宋体" w:hAnsi="Arial" w:cs="Arial"/>
                <w:color w:val="000000"/>
                <w:sz w:val="14"/>
                <w:szCs w:val="14"/>
              </w:rPr>
              <w:t>129 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730" w14:textId="77777777" w:rsidR="006A3667" w:rsidRDefault="006A3667">
            <w:pPr>
              <w:jc w:val="right"/>
              <w:rPr>
                <w:rFonts w:ascii="宋体"/>
              </w:rPr>
            </w:pPr>
          </w:p>
        </w:tc>
      </w:tr>
      <w:tr w:rsidR="006A3667" w14:paraId="71D3F73E" w14:textId="77777777">
        <w:trPr>
          <w:trHeight w:val="160"/>
        </w:trPr>
        <w:tc>
          <w:tcPr>
            <w:tcW w:w="0" w:type="auto"/>
            <w:gridSpan w:val="3"/>
            <w:shd w:val="clear" w:color="auto" w:fill="FFFFFF"/>
            <w:tcMar>
              <w:top w:w="0" w:type="dxa"/>
              <w:left w:w="20" w:type="dxa"/>
              <w:bottom w:w="0" w:type="dxa"/>
              <w:right w:w="20" w:type="dxa"/>
            </w:tcMar>
            <w:vAlign w:val="bottom"/>
          </w:tcPr>
          <w:p w14:paraId="71D3F732"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73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3F73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735" w14:textId="77777777" w:rsidR="006A3667" w:rsidRDefault="006A3667">
            <w:pPr>
              <w:rPr>
                <w:rFonts w:ascii="宋体"/>
              </w:rPr>
            </w:pPr>
          </w:p>
        </w:tc>
        <w:tc>
          <w:tcPr>
            <w:tcW w:w="0" w:type="auto"/>
            <w:shd w:val="clear" w:color="auto" w:fill="auto"/>
            <w:vAlign w:val="bottom"/>
          </w:tcPr>
          <w:p w14:paraId="71D3F736" w14:textId="77777777" w:rsidR="006A3667" w:rsidRDefault="006A3667">
            <w:pPr>
              <w:rPr>
                <w:rFonts w:ascii="宋体"/>
                <w:vanish/>
              </w:rPr>
            </w:pPr>
          </w:p>
        </w:tc>
        <w:tc>
          <w:tcPr>
            <w:tcW w:w="0" w:type="auto"/>
            <w:shd w:val="clear" w:color="auto" w:fill="auto"/>
            <w:vAlign w:val="bottom"/>
          </w:tcPr>
          <w:p w14:paraId="71D3F737" w14:textId="77777777" w:rsidR="006A3667" w:rsidRDefault="006A3667">
            <w:pPr>
              <w:rPr>
                <w:rFonts w:ascii="宋体"/>
                <w:vanish/>
              </w:rPr>
            </w:pPr>
          </w:p>
        </w:tc>
        <w:tc>
          <w:tcPr>
            <w:tcW w:w="0" w:type="auto"/>
            <w:gridSpan w:val="3"/>
            <w:shd w:val="clear" w:color="auto" w:fill="auto"/>
            <w:vAlign w:val="bottom"/>
          </w:tcPr>
          <w:p w14:paraId="71D3F738" w14:textId="77777777" w:rsidR="006A3667" w:rsidRDefault="006A3667">
            <w:pPr>
              <w:rPr>
                <w:rFonts w:ascii="宋体"/>
                <w:vanish/>
              </w:rPr>
            </w:pPr>
          </w:p>
        </w:tc>
        <w:tc>
          <w:tcPr>
            <w:tcW w:w="0" w:type="auto"/>
            <w:gridSpan w:val="3"/>
            <w:shd w:val="clear" w:color="auto" w:fill="auto"/>
            <w:vAlign w:val="bottom"/>
          </w:tcPr>
          <w:p w14:paraId="71D3F739" w14:textId="77777777" w:rsidR="006A3667" w:rsidRDefault="006A3667">
            <w:pPr>
              <w:rPr>
                <w:rFonts w:ascii="宋体"/>
                <w:vanish/>
              </w:rPr>
            </w:pPr>
          </w:p>
        </w:tc>
        <w:tc>
          <w:tcPr>
            <w:tcW w:w="0" w:type="auto"/>
            <w:gridSpan w:val="3"/>
            <w:shd w:val="clear" w:color="auto" w:fill="auto"/>
            <w:vAlign w:val="bottom"/>
          </w:tcPr>
          <w:p w14:paraId="71D3F73A" w14:textId="77777777" w:rsidR="006A3667" w:rsidRDefault="006A3667">
            <w:pPr>
              <w:rPr>
                <w:rFonts w:ascii="宋体"/>
                <w:vanish/>
              </w:rPr>
            </w:pPr>
          </w:p>
        </w:tc>
        <w:tc>
          <w:tcPr>
            <w:tcW w:w="0" w:type="auto"/>
            <w:gridSpan w:val="3"/>
            <w:shd w:val="clear" w:color="auto" w:fill="auto"/>
            <w:vAlign w:val="bottom"/>
          </w:tcPr>
          <w:p w14:paraId="71D3F73B"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73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3F73D" w14:textId="77777777" w:rsidR="006A3667" w:rsidRDefault="006A3667">
            <w:pPr>
              <w:rPr>
                <w:rFonts w:ascii="宋体"/>
              </w:rPr>
            </w:pPr>
          </w:p>
        </w:tc>
      </w:tr>
      <w:tr w:rsidR="006A3667" w14:paraId="71D3F751" w14:textId="77777777">
        <w:tc>
          <w:tcPr>
            <w:tcW w:w="0" w:type="auto"/>
            <w:gridSpan w:val="3"/>
            <w:shd w:val="clear" w:color="auto" w:fill="auto"/>
            <w:tcMar>
              <w:top w:w="40" w:type="dxa"/>
              <w:left w:w="20" w:type="dxa"/>
              <w:bottom w:w="40" w:type="dxa"/>
              <w:right w:w="20" w:type="dxa"/>
            </w:tcMar>
            <w:vAlign w:val="bottom"/>
          </w:tcPr>
          <w:p w14:paraId="71D3F73F" w14:textId="77777777" w:rsidR="006A3667" w:rsidRDefault="00045F32">
            <w:pPr>
              <w:textAlignment w:val="bottom"/>
            </w:pPr>
            <w:r>
              <w:rPr>
                <w:rFonts w:ascii="Arial" w:eastAsia="宋体" w:hAnsi="Arial" w:cs="Arial"/>
                <w:b/>
                <w:bCs/>
                <w:color w:val="000000"/>
                <w:sz w:val="14"/>
                <w:szCs w:val="14"/>
              </w:rPr>
              <w:t>Accrual Balance at December 31, 2021</w:t>
            </w:r>
          </w:p>
        </w:tc>
        <w:tc>
          <w:tcPr>
            <w:tcW w:w="0" w:type="auto"/>
            <w:shd w:val="clear" w:color="auto" w:fill="auto"/>
            <w:tcMar>
              <w:top w:w="40" w:type="dxa"/>
              <w:left w:w="20" w:type="dxa"/>
              <w:bottom w:w="40" w:type="dxa"/>
              <w:right w:w="0" w:type="dxa"/>
            </w:tcMar>
            <w:vAlign w:val="bottom"/>
          </w:tcPr>
          <w:p w14:paraId="71D3F74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71D3F741" w14:textId="77777777" w:rsidR="006A3667" w:rsidRDefault="00045F32">
            <w:pPr>
              <w:jc w:val="right"/>
              <w:textAlignment w:val="bottom"/>
            </w:pPr>
            <w:r>
              <w:rPr>
                <w:rFonts w:ascii="Arial" w:eastAsia="宋体" w:hAnsi="Arial" w:cs="Arial"/>
                <w:color w:val="000000"/>
                <w:sz w:val="14"/>
                <w:szCs w:val="14"/>
              </w:rPr>
              <w:t>68 </w:t>
            </w:r>
          </w:p>
        </w:tc>
        <w:tc>
          <w:tcPr>
            <w:tcW w:w="0" w:type="auto"/>
            <w:shd w:val="clear" w:color="auto" w:fill="auto"/>
            <w:tcMar>
              <w:top w:w="40" w:type="dxa"/>
              <w:left w:w="0" w:type="dxa"/>
              <w:bottom w:w="40" w:type="dxa"/>
              <w:right w:w="20" w:type="dxa"/>
            </w:tcMar>
            <w:vAlign w:val="bottom"/>
          </w:tcPr>
          <w:p w14:paraId="71D3F742" w14:textId="77777777" w:rsidR="006A3667" w:rsidRDefault="006A3667">
            <w:pPr>
              <w:jc w:val="right"/>
              <w:rPr>
                <w:rFonts w:ascii="宋体"/>
              </w:rPr>
            </w:pPr>
          </w:p>
        </w:tc>
        <w:tc>
          <w:tcPr>
            <w:tcW w:w="0" w:type="auto"/>
            <w:gridSpan w:val="3"/>
            <w:shd w:val="clear" w:color="auto" w:fill="auto"/>
            <w:tcMar>
              <w:top w:w="0" w:type="dxa"/>
              <w:left w:w="20" w:type="dxa"/>
              <w:bottom w:w="0" w:type="dxa"/>
              <w:right w:w="20" w:type="dxa"/>
            </w:tcMar>
            <w:vAlign w:val="bottom"/>
          </w:tcPr>
          <w:p w14:paraId="71D3F743" w14:textId="77777777" w:rsidR="006A3667" w:rsidRDefault="006A3667">
            <w:pPr>
              <w:rPr>
                <w:rFonts w:ascii="宋体"/>
              </w:rPr>
            </w:pPr>
          </w:p>
        </w:tc>
        <w:tc>
          <w:tcPr>
            <w:tcW w:w="0" w:type="auto"/>
            <w:shd w:val="clear" w:color="auto" w:fill="auto"/>
            <w:tcMar>
              <w:top w:w="40" w:type="dxa"/>
              <w:left w:w="20" w:type="dxa"/>
              <w:bottom w:w="40" w:type="dxa"/>
              <w:right w:w="0" w:type="dxa"/>
            </w:tcMar>
            <w:vAlign w:val="bottom"/>
          </w:tcPr>
          <w:p w14:paraId="71D3F74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71D3F745" w14:textId="77777777" w:rsidR="006A3667" w:rsidRDefault="00045F32">
            <w:pPr>
              <w:jc w:val="right"/>
              <w:textAlignment w:val="bottom"/>
            </w:pPr>
            <w:r>
              <w:rPr>
                <w:rFonts w:ascii="Arial" w:eastAsia="宋体" w:hAnsi="Arial" w:cs="Arial"/>
                <w:color w:val="000000"/>
                <w:sz w:val="14"/>
                <w:szCs w:val="14"/>
              </w:rPr>
              <w:t>6 </w:t>
            </w:r>
          </w:p>
        </w:tc>
        <w:tc>
          <w:tcPr>
            <w:tcW w:w="0" w:type="auto"/>
            <w:shd w:val="clear" w:color="auto" w:fill="auto"/>
            <w:tcMar>
              <w:top w:w="40" w:type="dxa"/>
              <w:left w:w="0" w:type="dxa"/>
              <w:bottom w:w="40" w:type="dxa"/>
              <w:right w:w="20" w:type="dxa"/>
            </w:tcMar>
            <w:vAlign w:val="bottom"/>
          </w:tcPr>
          <w:p w14:paraId="71D3F746" w14:textId="77777777" w:rsidR="006A3667" w:rsidRDefault="006A3667">
            <w:pPr>
              <w:jc w:val="right"/>
              <w:rPr>
                <w:rFonts w:ascii="宋体"/>
              </w:rPr>
            </w:pPr>
          </w:p>
        </w:tc>
        <w:tc>
          <w:tcPr>
            <w:tcW w:w="0" w:type="auto"/>
            <w:shd w:val="clear" w:color="auto" w:fill="auto"/>
            <w:vAlign w:val="bottom"/>
          </w:tcPr>
          <w:p w14:paraId="71D3F747" w14:textId="77777777" w:rsidR="006A3667" w:rsidRDefault="006A3667">
            <w:pPr>
              <w:rPr>
                <w:rFonts w:ascii="宋体"/>
                <w:vanish/>
              </w:rPr>
            </w:pPr>
          </w:p>
        </w:tc>
        <w:tc>
          <w:tcPr>
            <w:tcW w:w="0" w:type="auto"/>
            <w:shd w:val="clear" w:color="auto" w:fill="auto"/>
            <w:vAlign w:val="bottom"/>
          </w:tcPr>
          <w:p w14:paraId="71D3F748" w14:textId="77777777" w:rsidR="006A3667" w:rsidRDefault="006A3667">
            <w:pPr>
              <w:rPr>
                <w:rFonts w:ascii="宋体"/>
                <w:vanish/>
              </w:rPr>
            </w:pPr>
          </w:p>
        </w:tc>
        <w:tc>
          <w:tcPr>
            <w:tcW w:w="0" w:type="auto"/>
            <w:gridSpan w:val="3"/>
            <w:shd w:val="clear" w:color="auto" w:fill="auto"/>
            <w:vAlign w:val="bottom"/>
          </w:tcPr>
          <w:p w14:paraId="71D3F749" w14:textId="77777777" w:rsidR="006A3667" w:rsidRDefault="006A3667">
            <w:pPr>
              <w:rPr>
                <w:rFonts w:ascii="宋体"/>
                <w:vanish/>
              </w:rPr>
            </w:pPr>
          </w:p>
        </w:tc>
        <w:tc>
          <w:tcPr>
            <w:tcW w:w="0" w:type="auto"/>
            <w:gridSpan w:val="3"/>
            <w:shd w:val="clear" w:color="auto" w:fill="auto"/>
            <w:vAlign w:val="bottom"/>
          </w:tcPr>
          <w:p w14:paraId="71D3F74A" w14:textId="77777777" w:rsidR="006A3667" w:rsidRDefault="006A3667">
            <w:pPr>
              <w:rPr>
                <w:rFonts w:ascii="宋体"/>
                <w:vanish/>
              </w:rPr>
            </w:pPr>
          </w:p>
        </w:tc>
        <w:tc>
          <w:tcPr>
            <w:tcW w:w="0" w:type="auto"/>
            <w:gridSpan w:val="3"/>
            <w:shd w:val="clear" w:color="auto" w:fill="auto"/>
            <w:vAlign w:val="bottom"/>
          </w:tcPr>
          <w:p w14:paraId="71D3F74B" w14:textId="77777777" w:rsidR="006A3667" w:rsidRDefault="006A3667">
            <w:pPr>
              <w:rPr>
                <w:rFonts w:ascii="宋体"/>
                <w:vanish/>
              </w:rPr>
            </w:pPr>
          </w:p>
        </w:tc>
        <w:tc>
          <w:tcPr>
            <w:tcW w:w="0" w:type="auto"/>
            <w:gridSpan w:val="3"/>
            <w:shd w:val="clear" w:color="auto" w:fill="auto"/>
            <w:vAlign w:val="bottom"/>
          </w:tcPr>
          <w:p w14:paraId="71D3F74C"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74D" w14:textId="77777777" w:rsidR="006A3667" w:rsidRDefault="006A3667">
            <w:pPr>
              <w:rPr>
                <w:rFonts w:ascii="宋体"/>
              </w:rPr>
            </w:pPr>
          </w:p>
        </w:tc>
        <w:tc>
          <w:tcPr>
            <w:tcW w:w="0" w:type="auto"/>
            <w:shd w:val="clear" w:color="auto" w:fill="auto"/>
            <w:tcMar>
              <w:top w:w="40" w:type="dxa"/>
              <w:left w:w="20" w:type="dxa"/>
              <w:bottom w:w="40" w:type="dxa"/>
              <w:right w:w="0" w:type="dxa"/>
            </w:tcMar>
            <w:vAlign w:val="bottom"/>
          </w:tcPr>
          <w:p w14:paraId="71D3F74E" w14:textId="77777777" w:rsidR="006A3667" w:rsidRDefault="00045F32">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71D3F74F" w14:textId="77777777" w:rsidR="006A3667" w:rsidRDefault="00045F32">
            <w:pPr>
              <w:jc w:val="right"/>
              <w:textAlignment w:val="bottom"/>
            </w:pPr>
            <w:r>
              <w:rPr>
                <w:rFonts w:ascii="Arial" w:eastAsia="宋体" w:hAnsi="Arial" w:cs="Arial"/>
                <w:color w:val="000000"/>
                <w:sz w:val="14"/>
                <w:szCs w:val="14"/>
              </w:rPr>
              <w:t>74 </w:t>
            </w:r>
          </w:p>
        </w:tc>
        <w:tc>
          <w:tcPr>
            <w:tcW w:w="0" w:type="auto"/>
            <w:shd w:val="clear" w:color="auto" w:fill="auto"/>
            <w:tcMar>
              <w:top w:w="40" w:type="dxa"/>
              <w:left w:w="0" w:type="dxa"/>
              <w:bottom w:w="40" w:type="dxa"/>
              <w:right w:w="20" w:type="dxa"/>
            </w:tcMar>
            <w:vAlign w:val="bottom"/>
          </w:tcPr>
          <w:p w14:paraId="71D3F750" w14:textId="77777777" w:rsidR="006A3667" w:rsidRDefault="006A3667">
            <w:pPr>
              <w:jc w:val="right"/>
              <w:rPr>
                <w:rFonts w:ascii="宋体"/>
              </w:rPr>
            </w:pPr>
          </w:p>
        </w:tc>
      </w:tr>
      <w:tr w:rsidR="006A3667" w14:paraId="71D3F75E" w14:textId="77777777">
        <w:trPr>
          <w:hidden/>
        </w:trPr>
        <w:tc>
          <w:tcPr>
            <w:tcW w:w="0" w:type="auto"/>
            <w:gridSpan w:val="3"/>
            <w:shd w:val="clear" w:color="auto" w:fill="auto"/>
            <w:vAlign w:val="bottom"/>
          </w:tcPr>
          <w:p w14:paraId="71D3F752" w14:textId="77777777" w:rsidR="006A3667" w:rsidRDefault="006A3667">
            <w:pPr>
              <w:rPr>
                <w:rFonts w:ascii="宋体"/>
                <w:vanish/>
              </w:rPr>
            </w:pPr>
          </w:p>
        </w:tc>
        <w:tc>
          <w:tcPr>
            <w:tcW w:w="0" w:type="auto"/>
            <w:gridSpan w:val="3"/>
            <w:shd w:val="clear" w:color="auto" w:fill="auto"/>
            <w:vAlign w:val="bottom"/>
          </w:tcPr>
          <w:p w14:paraId="71D3F753" w14:textId="77777777" w:rsidR="006A3667" w:rsidRDefault="006A3667">
            <w:pPr>
              <w:rPr>
                <w:rFonts w:ascii="宋体"/>
                <w:vanish/>
              </w:rPr>
            </w:pPr>
          </w:p>
        </w:tc>
        <w:tc>
          <w:tcPr>
            <w:tcW w:w="0" w:type="auto"/>
            <w:gridSpan w:val="3"/>
            <w:shd w:val="clear" w:color="auto" w:fill="auto"/>
            <w:vAlign w:val="bottom"/>
          </w:tcPr>
          <w:p w14:paraId="71D3F754" w14:textId="77777777" w:rsidR="006A3667" w:rsidRDefault="006A3667">
            <w:pPr>
              <w:rPr>
                <w:rFonts w:ascii="宋体"/>
                <w:vanish/>
              </w:rPr>
            </w:pPr>
          </w:p>
        </w:tc>
        <w:tc>
          <w:tcPr>
            <w:tcW w:w="0" w:type="auto"/>
            <w:gridSpan w:val="3"/>
            <w:shd w:val="clear" w:color="auto" w:fill="auto"/>
            <w:vAlign w:val="bottom"/>
          </w:tcPr>
          <w:p w14:paraId="71D3F755" w14:textId="77777777" w:rsidR="006A3667" w:rsidRDefault="006A3667">
            <w:pPr>
              <w:rPr>
                <w:rFonts w:ascii="宋体"/>
                <w:vanish/>
              </w:rPr>
            </w:pPr>
          </w:p>
        </w:tc>
        <w:tc>
          <w:tcPr>
            <w:tcW w:w="0" w:type="auto"/>
            <w:shd w:val="clear" w:color="auto" w:fill="auto"/>
            <w:vAlign w:val="bottom"/>
          </w:tcPr>
          <w:p w14:paraId="71D3F756" w14:textId="77777777" w:rsidR="006A3667" w:rsidRDefault="006A3667">
            <w:pPr>
              <w:rPr>
                <w:rFonts w:ascii="宋体"/>
                <w:vanish/>
              </w:rPr>
            </w:pPr>
          </w:p>
        </w:tc>
        <w:tc>
          <w:tcPr>
            <w:tcW w:w="0" w:type="auto"/>
            <w:shd w:val="clear" w:color="auto" w:fill="auto"/>
            <w:vAlign w:val="bottom"/>
          </w:tcPr>
          <w:p w14:paraId="71D3F757" w14:textId="77777777" w:rsidR="006A3667" w:rsidRDefault="006A3667">
            <w:pPr>
              <w:rPr>
                <w:rFonts w:ascii="宋体"/>
                <w:vanish/>
              </w:rPr>
            </w:pPr>
          </w:p>
        </w:tc>
        <w:tc>
          <w:tcPr>
            <w:tcW w:w="0" w:type="auto"/>
            <w:gridSpan w:val="3"/>
            <w:shd w:val="clear" w:color="auto" w:fill="auto"/>
            <w:vAlign w:val="bottom"/>
          </w:tcPr>
          <w:p w14:paraId="71D3F758" w14:textId="77777777" w:rsidR="006A3667" w:rsidRDefault="006A3667">
            <w:pPr>
              <w:rPr>
                <w:rFonts w:ascii="宋体"/>
                <w:vanish/>
              </w:rPr>
            </w:pPr>
          </w:p>
        </w:tc>
        <w:tc>
          <w:tcPr>
            <w:tcW w:w="0" w:type="auto"/>
            <w:gridSpan w:val="3"/>
            <w:shd w:val="clear" w:color="auto" w:fill="auto"/>
            <w:vAlign w:val="bottom"/>
          </w:tcPr>
          <w:p w14:paraId="71D3F759" w14:textId="77777777" w:rsidR="006A3667" w:rsidRDefault="006A3667">
            <w:pPr>
              <w:rPr>
                <w:rFonts w:ascii="宋体"/>
                <w:vanish/>
              </w:rPr>
            </w:pPr>
          </w:p>
        </w:tc>
        <w:tc>
          <w:tcPr>
            <w:tcW w:w="0" w:type="auto"/>
            <w:gridSpan w:val="3"/>
            <w:shd w:val="clear" w:color="auto" w:fill="auto"/>
            <w:vAlign w:val="bottom"/>
          </w:tcPr>
          <w:p w14:paraId="71D3F75A" w14:textId="77777777" w:rsidR="006A3667" w:rsidRDefault="006A3667">
            <w:pPr>
              <w:rPr>
                <w:rFonts w:ascii="宋体"/>
                <w:vanish/>
              </w:rPr>
            </w:pPr>
          </w:p>
        </w:tc>
        <w:tc>
          <w:tcPr>
            <w:tcW w:w="0" w:type="auto"/>
            <w:gridSpan w:val="3"/>
            <w:shd w:val="clear" w:color="auto" w:fill="auto"/>
            <w:vAlign w:val="bottom"/>
          </w:tcPr>
          <w:p w14:paraId="71D3F75B" w14:textId="77777777" w:rsidR="006A3667" w:rsidRDefault="006A3667">
            <w:pPr>
              <w:rPr>
                <w:rFonts w:ascii="宋体"/>
                <w:vanish/>
              </w:rPr>
            </w:pPr>
          </w:p>
        </w:tc>
        <w:tc>
          <w:tcPr>
            <w:tcW w:w="0" w:type="auto"/>
            <w:gridSpan w:val="3"/>
            <w:shd w:val="clear" w:color="auto" w:fill="auto"/>
            <w:vAlign w:val="bottom"/>
          </w:tcPr>
          <w:p w14:paraId="71D3F75C" w14:textId="77777777" w:rsidR="006A3667" w:rsidRDefault="006A3667">
            <w:pPr>
              <w:rPr>
                <w:rFonts w:ascii="宋体"/>
                <w:vanish/>
              </w:rPr>
            </w:pPr>
          </w:p>
        </w:tc>
        <w:tc>
          <w:tcPr>
            <w:tcW w:w="0" w:type="auto"/>
            <w:gridSpan w:val="3"/>
            <w:shd w:val="clear" w:color="auto" w:fill="auto"/>
            <w:vAlign w:val="bottom"/>
          </w:tcPr>
          <w:p w14:paraId="71D3F75D" w14:textId="77777777" w:rsidR="006A3667" w:rsidRDefault="006A3667">
            <w:pPr>
              <w:rPr>
                <w:rFonts w:ascii="宋体"/>
                <w:vanish/>
              </w:rPr>
            </w:pPr>
          </w:p>
        </w:tc>
      </w:tr>
      <w:tr w:rsidR="006A3667" w14:paraId="71D3F76B" w14:textId="77777777">
        <w:trPr>
          <w:hidden/>
        </w:trPr>
        <w:tc>
          <w:tcPr>
            <w:tcW w:w="0" w:type="auto"/>
            <w:gridSpan w:val="3"/>
            <w:shd w:val="clear" w:color="auto" w:fill="auto"/>
            <w:vAlign w:val="bottom"/>
          </w:tcPr>
          <w:p w14:paraId="71D3F75F" w14:textId="77777777" w:rsidR="006A3667" w:rsidRDefault="006A3667">
            <w:pPr>
              <w:rPr>
                <w:rFonts w:ascii="宋体"/>
                <w:vanish/>
              </w:rPr>
            </w:pPr>
          </w:p>
        </w:tc>
        <w:tc>
          <w:tcPr>
            <w:tcW w:w="0" w:type="auto"/>
            <w:gridSpan w:val="3"/>
            <w:shd w:val="clear" w:color="auto" w:fill="auto"/>
            <w:vAlign w:val="bottom"/>
          </w:tcPr>
          <w:p w14:paraId="71D3F760" w14:textId="77777777" w:rsidR="006A3667" w:rsidRDefault="006A3667">
            <w:pPr>
              <w:rPr>
                <w:rFonts w:ascii="宋体"/>
                <w:vanish/>
              </w:rPr>
            </w:pPr>
          </w:p>
        </w:tc>
        <w:tc>
          <w:tcPr>
            <w:tcW w:w="0" w:type="auto"/>
            <w:gridSpan w:val="3"/>
            <w:shd w:val="clear" w:color="auto" w:fill="auto"/>
            <w:vAlign w:val="bottom"/>
          </w:tcPr>
          <w:p w14:paraId="71D3F761" w14:textId="77777777" w:rsidR="006A3667" w:rsidRDefault="006A3667">
            <w:pPr>
              <w:rPr>
                <w:rFonts w:ascii="宋体"/>
                <w:vanish/>
              </w:rPr>
            </w:pPr>
          </w:p>
        </w:tc>
        <w:tc>
          <w:tcPr>
            <w:tcW w:w="0" w:type="auto"/>
            <w:gridSpan w:val="3"/>
            <w:shd w:val="clear" w:color="auto" w:fill="auto"/>
            <w:vAlign w:val="bottom"/>
          </w:tcPr>
          <w:p w14:paraId="71D3F762" w14:textId="77777777" w:rsidR="006A3667" w:rsidRDefault="006A3667">
            <w:pPr>
              <w:rPr>
                <w:rFonts w:ascii="宋体"/>
                <w:vanish/>
              </w:rPr>
            </w:pPr>
          </w:p>
        </w:tc>
        <w:tc>
          <w:tcPr>
            <w:tcW w:w="0" w:type="auto"/>
            <w:shd w:val="clear" w:color="auto" w:fill="auto"/>
            <w:vAlign w:val="bottom"/>
          </w:tcPr>
          <w:p w14:paraId="71D3F763" w14:textId="77777777" w:rsidR="006A3667" w:rsidRDefault="006A3667">
            <w:pPr>
              <w:rPr>
                <w:rFonts w:ascii="宋体"/>
                <w:vanish/>
              </w:rPr>
            </w:pPr>
          </w:p>
        </w:tc>
        <w:tc>
          <w:tcPr>
            <w:tcW w:w="0" w:type="auto"/>
            <w:shd w:val="clear" w:color="auto" w:fill="auto"/>
            <w:vAlign w:val="bottom"/>
          </w:tcPr>
          <w:p w14:paraId="71D3F764" w14:textId="77777777" w:rsidR="006A3667" w:rsidRDefault="006A3667">
            <w:pPr>
              <w:rPr>
                <w:rFonts w:ascii="宋体"/>
                <w:vanish/>
              </w:rPr>
            </w:pPr>
          </w:p>
        </w:tc>
        <w:tc>
          <w:tcPr>
            <w:tcW w:w="0" w:type="auto"/>
            <w:gridSpan w:val="3"/>
            <w:shd w:val="clear" w:color="auto" w:fill="auto"/>
            <w:vAlign w:val="bottom"/>
          </w:tcPr>
          <w:p w14:paraId="71D3F765" w14:textId="77777777" w:rsidR="006A3667" w:rsidRDefault="006A3667">
            <w:pPr>
              <w:rPr>
                <w:rFonts w:ascii="宋体"/>
                <w:vanish/>
              </w:rPr>
            </w:pPr>
          </w:p>
        </w:tc>
        <w:tc>
          <w:tcPr>
            <w:tcW w:w="0" w:type="auto"/>
            <w:gridSpan w:val="3"/>
            <w:shd w:val="clear" w:color="auto" w:fill="auto"/>
            <w:vAlign w:val="bottom"/>
          </w:tcPr>
          <w:p w14:paraId="71D3F766" w14:textId="77777777" w:rsidR="006A3667" w:rsidRDefault="006A3667">
            <w:pPr>
              <w:rPr>
                <w:rFonts w:ascii="宋体"/>
                <w:vanish/>
              </w:rPr>
            </w:pPr>
          </w:p>
        </w:tc>
        <w:tc>
          <w:tcPr>
            <w:tcW w:w="0" w:type="auto"/>
            <w:gridSpan w:val="3"/>
            <w:shd w:val="clear" w:color="auto" w:fill="auto"/>
            <w:vAlign w:val="bottom"/>
          </w:tcPr>
          <w:p w14:paraId="71D3F767" w14:textId="77777777" w:rsidR="006A3667" w:rsidRDefault="006A3667">
            <w:pPr>
              <w:rPr>
                <w:rFonts w:ascii="宋体"/>
                <w:vanish/>
              </w:rPr>
            </w:pPr>
          </w:p>
        </w:tc>
        <w:tc>
          <w:tcPr>
            <w:tcW w:w="0" w:type="auto"/>
            <w:gridSpan w:val="3"/>
            <w:shd w:val="clear" w:color="auto" w:fill="auto"/>
            <w:vAlign w:val="bottom"/>
          </w:tcPr>
          <w:p w14:paraId="71D3F768" w14:textId="77777777" w:rsidR="006A3667" w:rsidRDefault="006A3667">
            <w:pPr>
              <w:rPr>
                <w:rFonts w:ascii="宋体"/>
                <w:vanish/>
              </w:rPr>
            </w:pPr>
          </w:p>
        </w:tc>
        <w:tc>
          <w:tcPr>
            <w:tcW w:w="0" w:type="auto"/>
            <w:gridSpan w:val="3"/>
            <w:shd w:val="clear" w:color="auto" w:fill="auto"/>
            <w:vAlign w:val="bottom"/>
          </w:tcPr>
          <w:p w14:paraId="71D3F769" w14:textId="77777777" w:rsidR="006A3667" w:rsidRDefault="006A3667">
            <w:pPr>
              <w:rPr>
                <w:rFonts w:ascii="宋体"/>
                <w:vanish/>
              </w:rPr>
            </w:pPr>
          </w:p>
        </w:tc>
        <w:tc>
          <w:tcPr>
            <w:tcW w:w="0" w:type="auto"/>
            <w:gridSpan w:val="3"/>
            <w:shd w:val="clear" w:color="auto" w:fill="auto"/>
            <w:vAlign w:val="bottom"/>
          </w:tcPr>
          <w:p w14:paraId="71D3F76A" w14:textId="77777777" w:rsidR="006A3667" w:rsidRDefault="006A3667">
            <w:pPr>
              <w:rPr>
                <w:rFonts w:ascii="宋体"/>
                <w:vanish/>
              </w:rPr>
            </w:pPr>
          </w:p>
        </w:tc>
      </w:tr>
      <w:tr w:rsidR="006A3667" w14:paraId="71D3F77B" w14:textId="77777777">
        <w:tc>
          <w:tcPr>
            <w:tcW w:w="0" w:type="auto"/>
            <w:gridSpan w:val="3"/>
            <w:shd w:val="clear" w:color="auto" w:fill="CCEEFF"/>
            <w:tcMar>
              <w:top w:w="40" w:type="dxa"/>
              <w:left w:w="20" w:type="dxa"/>
              <w:bottom w:w="40" w:type="dxa"/>
              <w:right w:w="20" w:type="dxa"/>
            </w:tcMar>
            <w:vAlign w:val="bottom"/>
          </w:tcPr>
          <w:p w14:paraId="71D3F76C"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1D3F76D" w14:textId="77777777" w:rsidR="006A3667" w:rsidRDefault="00045F32">
            <w:pPr>
              <w:jc w:val="right"/>
              <w:textAlignment w:val="bottom"/>
            </w:pPr>
            <w:r>
              <w:rPr>
                <w:rFonts w:ascii="Arial" w:eastAsia="宋体" w:hAnsi="Arial" w:cs="Arial"/>
                <w:color w:val="000000"/>
                <w:sz w:val="14"/>
                <w:szCs w:val="14"/>
              </w:rPr>
              <w:t>(17)</w:t>
            </w:r>
          </w:p>
        </w:tc>
        <w:tc>
          <w:tcPr>
            <w:tcW w:w="0" w:type="auto"/>
            <w:shd w:val="clear" w:color="auto" w:fill="CCEEFF"/>
            <w:tcMar>
              <w:top w:w="40" w:type="dxa"/>
              <w:left w:w="0" w:type="dxa"/>
              <w:bottom w:w="40" w:type="dxa"/>
              <w:right w:w="20" w:type="dxa"/>
            </w:tcMar>
            <w:vAlign w:val="bottom"/>
          </w:tcPr>
          <w:p w14:paraId="71D3F7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76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770"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3F771" w14:textId="77777777" w:rsidR="006A3667" w:rsidRDefault="006A3667">
            <w:pPr>
              <w:jc w:val="right"/>
              <w:rPr>
                <w:rFonts w:ascii="宋体"/>
              </w:rPr>
            </w:pPr>
          </w:p>
        </w:tc>
        <w:tc>
          <w:tcPr>
            <w:tcW w:w="0" w:type="auto"/>
            <w:shd w:val="clear" w:color="auto" w:fill="auto"/>
            <w:vAlign w:val="bottom"/>
          </w:tcPr>
          <w:p w14:paraId="71D3F772" w14:textId="77777777" w:rsidR="006A3667" w:rsidRDefault="006A3667">
            <w:pPr>
              <w:rPr>
                <w:rFonts w:ascii="宋体"/>
                <w:vanish/>
              </w:rPr>
            </w:pPr>
          </w:p>
        </w:tc>
        <w:tc>
          <w:tcPr>
            <w:tcW w:w="0" w:type="auto"/>
            <w:shd w:val="clear" w:color="auto" w:fill="auto"/>
            <w:vAlign w:val="bottom"/>
          </w:tcPr>
          <w:p w14:paraId="71D3F773" w14:textId="77777777" w:rsidR="006A3667" w:rsidRDefault="006A3667">
            <w:pPr>
              <w:rPr>
                <w:rFonts w:ascii="宋体"/>
                <w:vanish/>
              </w:rPr>
            </w:pPr>
          </w:p>
        </w:tc>
        <w:tc>
          <w:tcPr>
            <w:tcW w:w="0" w:type="auto"/>
            <w:gridSpan w:val="3"/>
            <w:shd w:val="clear" w:color="auto" w:fill="auto"/>
            <w:vAlign w:val="bottom"/>
          </w:tcPr>
          <w:p w14:paraId="71D3F774" w14:textId="77777777" w:rsidR="006A3667" w:rsidRDefault="006A3667">
            <w:pPr>
              <w:rPr>
                <w:rFonts w:ascii="宋体"/>
                <w:vanish/>
              </w:rPr>
            </w:pPr>
          </w:p>
        </w:tc>
        <w:tc>
          <w:tcPr>
            <w:tcW w:w="0" w:type="auto"/>
            <w:gridSpan w:val="3"/>
            <w:shd w:val="clear" w:color="auto" w:fill="auto"/>
            <w:vAlign w:val="bottom"/>
          </w:tcPr>
          <w:p w14:paraId="71D3F775" w14:textId="77777777" w:rsidR="006A3667" w:rsidRDefault="006A3667">
            <w:pPr>
              <w:rPr>
                <w:rFonts w:ascii="宋体"/>
                <w:vanish/>
              </w:rPr>
            </w:pPr>
          </w:p>
        </w:tc>
        <w:tc>
          <w:tcPr>
            <w:tcW w:w="0" w:type="auto"/>
            <w:gridSpan w:val="3"/>
            <w:shd w:val="clear" w:color="auto" w:fill="auto"/>
            <w:vAlign w:val="bottom"/>
          </w:tcPr>
          <w:p w14:paraId="71D3F776" w14:textId="77777777" w:rsidR="006A3667" w:rsidRDefault="006A3667">
            <w:pPr>
              <w:rPr>
                <w:rFonts w:ascii="宋体"/>
                <w:vanish/>
              </w:rPr>
            </w:pPr>
          </w:p>
        </w:tc>
        <w:tc>
          <w:tcPr>
            <w:tcW w:w="0" w:type="auto"/>
            <w:gridSpan w:val="3"/>
            <w:shd w:val="clear" w:color="auto" w:fill="auto"/>
            <w:vAlign w:val="bottom"/>
          </w:tcPr>
          <w:p w14:paraId="71D3F777"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77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779" w14:textId="77777777" w:rsidR="006A3667" w:rsidRDefault="00045F32">
            <w:pPr>
              <w:jc w:val="right"/>
              <w:textAlignment w:val="bottom"/>
            </w:pPr>
            <w:r>
              <w:rPr>
                <w:rFonts w:ascii="Arial" w:eastAsia="宋体" w:hAnsi="Arial" w:cs="Arial"/>
                <w:color w:val="000000"/>
                <w:sz w:val="14"/>
                <w:szCs w:val="14"/>
              </w:rPr>
              <w:t>(18)</w:t>
            </w:r>
          </w:p>
        </w:tc>
        <w:tc>
          <w:tcPr>
            <w:tcW w:w="0" w:type="auto"/>
            <w:shd w:val="clear" w:color="auto" w:fill="CCEEFF"/>
            <w:tcMar>
              <w:top w:w="40" w:type="dxa"/>
              <w:left w:w="0" w:type="dxa"/>
              <w:bottom w:w="40" w:type="dxa"/>
              <w:right w:w="20" w:type="dxa"/>
            </w:tcMar>
            <w:vAlign w:val="bottom"/>
          </w:tcPr>
          <w:p w14:paraId="71D3F77A" w14:textId="77777777" w:rsidR="006A3667" w:rsidRDefault="006A3667">
            <w:pPr>
              <w:jc w:val="right"/>
              <w:rPr>
                <w:rFonts w:ascii="宋体"/>
              </w:rPr>
            </w:pPr>
          </w:p>
        </w:tc>
      </w:tr>
      <w:tr w:rsidR="006A3667" w14:paraId="71D3F78B" w14:textId="77777777">
        <w:tc>
          <w:tcPr>
            <w:tcW w:w="0" w:type="auto"/>
            <w:gridSpan w:val="3"/>
            <w:shd w:val="clear" w:color="auto" w:fill="FFFFFF"/>
            <w:tcMar>
              <w:top w:w="40" w:type="dxa"/>
              <w:left w:w="20" w:type="dxa"/>
              <w:bottom w:w="40" w:type="dxa"/>
              <w:right w:w="20" w:type="dxa"/>
            </w:tcMar>
            <w:vAlign w:val="bottom"/>
          </w:tcPr>
          <w:p w14:paraId="71D3F77C" w14:textId="77777777" w:rsidR="006A3667" w:rsidRDefault="00045F32">
            <w:pPr>
              <w:textAlignment w:val="bottom"/>
            </w:pPr>
            <w:r>
              <w:rPr>
                <w:rFonts w:ascii="Arial" w:eastAsia="宋体" w:hAnsi="Arial" w:cs="Arial"/>
                <w:b/>
                <w:bCs/>
                <w:color w:val="000000"/>
                <w:sz w:val="14"/>
                <w:szCs w:val="14"/>
              </w:rPr>
              <w:t>Accrual Balance at March 31, 2022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77D" w14:textId="77777777" w:rsidR="006A3667" w:rsidRDefault="00045F32">
            <w:pPr>
              <w:jc w:val="right"/>
              <w:textAlignment w:val="bottom"/>
            </w:pPr>
            <w:r>
              <w:rPr>
                <w:rFonts w:ascii="Arial" w:eastAsia="宋体" w:hAnsi="Arial" w:cs="Arial"/>
                <w:color w:val="000000"/>
                <w:sz w:val="14"/>
                <w:szCs w:val="14"/>
              </w:rPr>
              <w:t>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7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77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780" w14:textId="77777777" w:rsidR="006A3667" w:rsidRDefault="00045F32">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781" w14:textId="77777777" w:rsidR="006A3667" w:rsidRDefault="006A3667">
            <w:pPr>
              <w:jc w:val="right"/>
              <w:rPr>
                <w:rFonts w:ascii="宋体"/>
              </w:rPr>
            </w:pPr>
          </w:p>
        </w:tc>
        <w:tc>
          <w:tcPr>
            <w:tcW w:w="0" w:type="auto"/>
            <w:shd w:val="clear" w:color="auto" w:fill="auto"/>
            <w:vAlign w:val="bottom"/>
          </w:tcPr>
          <w:p w14:paraId="71D3F782" w14:textId="77777777" w:rsidR="006A3667" w:rsidRDefault="006A3667">
            <w:pPr>
              <w:rPr>
                <w:rFonts w:ascii="宋体"/>
                <w:vanish/>
              </w:rPr>
            </w:pPr>
          </w:p>
        </w:tc>
        <w:tc>
          <w:tcPr>
            <w:tcW w:w="0" w:type="auto"/>
            <w:shd w:val="clear" w:color="auto" w:fill="auto"/>
            <w:vAlign w:val="bottom"/>
          </w:tcPr>
          <w:p w14:paraId="71D3F783" w14:textId="77777777" w:rsidR="006A3667" w:rsidRDefault="006A3667">
            <w:pPr>
              <w:rPr>
                <w:rFonts w:ascii="宋体"/>
                <w:vanish/>
              </w:rPr>
            </w:pPr>
          </w:p>
        </w:tc>
        <w:tc>
          <w:tcPr>
            <w:tcW w:w="0" w:type="auto"/>
            <w:gridSpan w:val="3"/>
            <w:shd w:val="clear" w:color="auto" w:fill="auto"/>
            <w:vAlign w:val="bottom"/>
          </w:tcPr>
          <w:p w14:paraId="71D3F784" w14:textId="77777777" w:rsidR="006A3667" w:rsidRDefault="006A3667">
            <w:pPr>
              <w:rPr>
                <w:rFonts w:ascii="宋体"/>
                <w:vanish/>
              </w:rPr>
            </w:pPr>
          </w:p>
        </w:tc>
        <w:tc>
          <w:tcPr>
            <w:tcW w:w="0" w:type="auto"/>
            <w:gridSpan w:val="3"/>
            <w:shd w:val="clear" w:color="auto" w:fill="auto"/>
            <w:vAlign w:val="bottom"/>
          </w:tcPr>
          <w:p w14:paraId="71D3F785" w14:textId="77777777" w:rsidR="006A3667" w:rsidRDefault="006A3667">
            <w:pPr>
              <w:rPr>
                <w:rFonts w:ascii="宋体"/>
                <w:vanish/>
              </w:rPr>
            </w:pPr>
          </w:p>
        </w:tc>
        <w:tc>
          <w:tcPr>
            <w:tcW w:w="0" w:type="auto"/>
            <w:gridSpan w:val="3"/>
            <w:shd w:val="clear" w:color="auto" w:fill="auto"/>
            <w:vAlign w:val="bottom"/>
          </w:tcPr>
          <w:p w14:paraId="71D3F786" w14:textId="77777777" w:rsidR="006A3667" w:rsidRDefault="006A3667">
            <w:pPr>
              <w:rPr>
                <w:rFonts w:ascii="宋体"/>
                <w:vanish/>
              </w:rPr>
            </w:pPr>
          </w:p>
        </w:tc>
        <w:tc>
          <w:tcPr>
            <w:tcW w:w="0" w:type="auto"/>
            <w:gridSpan w:val="3"/>
            <w:shd w:val="clear" w:color="auto" w:fill="auto"/>
            <w:vAlign w:val="bottom"/>
          </w:tcPr>
          <w:p w14:paraId="71D3F787"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78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789" w14:textId="77777777" w:rsidR="006A3667" w:rsidRDefault="00045F32">
            <w:pPr>
              <w:jc w:val="right"/>
              <w:textAlignment w:val="bottom"/>
            </w:pPr>
            <w:r>
              <w:rPr>
                <w:rFonts w:ascii="Arial" w:eastAsia="宋体" w:hAnsi="Arial" w:cs="Arial"/>
                <w:color w:val="000000"/>
                <w:sz w:val="14"/>
                <w:szCs w:val="14"/>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78A" w14:textId="77777777" w:rsidR="006A3667" w:rsidRDefault="006A3667">
            <w:pPr>
              <w:jc w:val="right"/>
              <w:rPr>
                <w:rFonts w:ascii="宋体"/>
              </w:rPr>
            </w:pPr>
          </w:p>
        </w:tc>
      </w:tr>
      <w:tr w:rsidR="006A3667" w14:paraId="71D3F798" w14:textId="77777777">
        <w:trPr>
          <w:hidden/>
        </w:trPr>
        <w:tc>
          <w:tcPr>
            <w:tcW w:w="0" w:type="auto"/>
            <w:gridSpan w:val="3"/>
            <w:shd w:val="clear" w:color="auto" w:fill="auto"/>
            <w:vAlign w:val="bottom"/>
          </w:tcPr>
          <w:p w14:paraId="71D3F78C" w14:textId="77777777" w:rsidR="006A3667" w:rsidRDefault="006A3667">
            <w:pPr>
              <w:rPr>
                <w:rFonts w:ascii="宋体"/>
                <w:vanish/>
              </w:rPr>
            </w:pPr>
          </w:p>
        </w:tc>
        <w:tc>
          <w:tcPr>
            <w:tcW w:w="0" w:type="auto"/>
            <w:gridSpan w:val="3"/>
            <w:shd w:val="clear" w:color="auto" w:fill="auto"/>
            <w:vAlign w:val="bottom"/>
          </w:tcPr>
          <w:p w14:paraId="71D3F78D" w14:textId="77777777" w:rsidR="006A3667" w:rsidRDefault="006A3667">
            <w:pPr>
              <w:rPr>
                <w:rFonts w:ascii="宋体"/>
                <w:vanish/>
              </w:rPr>
            </w:pPr>
          </w:p>
        </w:tc>
        <w:tc>
          <w:tcPr>
            <w:tcW w:w="0" w:type="auto"/>
            <w:gridSpan w:val="3"/>
            <w:shd w:val="clear" w:color="auto" w:fill="auto"/>
            <w:vAlign w:val="bottom"/>
          </w:tcPr>
          <w:p w14:paraId="71D3F78E" w14:textId="77777777" w:rsidR="006A3667" w:rsidRDefault="006A3667">
            <w:pPr>
              <w:rPr>
                <w:rFonts w:ascii="宋体"/>
                <w:vanish/>
              </w:rPr>
            </w:pPr>
          </w:p>
        </w:tc>
        <w:tc>
          <w:tcPr>
            <w:tcW w:w="0" w:type="auto"/>
            <w:gridSpan w:val="3"/>
            <w:shd w:val="clear" w:color="auto" w:fill="auto"/>
            <w:vAlign w:val="bottom"/>
          </w:tcPr>
          <w:p w14:paraId="71D3F78F" w14:textId="77777777" w:rsidR="006A3667" w:rsidRDefault="006A3667">
            <w:pPr>
              <w:rPr>
                <w:rFonts w:ascii="宋体"/>
                <w:vanish/>
              </w:rPr>
            </w:pPr>
          </w:p>
        </w:tc>
        <w:tc>
          <w:tcPr>
            <w:tcW w:w="0" w:type="auto"/>
            <w:shd w:val="clear" w:color="auto" w:fill="auto"/>
            <w:vAlign w:val="bottom"/>
          </w:tcPr>
          <w:p w14:paraId="71D3F790" w14:textId="77777777" w:rsidR="006A3667" w:rsidRDefault="006A3667">
            <w:pPr>
              <w:rPr>
                <w:rFonts w:ascii="宋体"/>
                <w:vanish/>
              </w:rPr>
            </w:pPr>
          </w:p>
        </w:tc>
        <w:tc>
          <w:tcPr>
            <w:tcW w:w="0" w:type="auto"/>
            <w:shd w:val="clear" w:color="auto" w:fill="auto"/>
            <w:vAlign w:val="bottom"/>
          </w:tcPr>
          <w:p w14:paraId="71D3F791" w14:textId="77777777" w:rsidR="006A3667" w:rsidRDefault="006A3667">
            <w:pPr>
              <w:rPr>
                <w:rFonts w:ascii="宋体"/>
                <w:vanish/>
              </w:rPr>
            </w:pPr>
          </w:p>
        </w:tc>
        <w:tc>
          <w:tcPr>
            <w:tcW w:w="0" w:type="auto"/>
            <w:gridSpan w:val="3"/>
            <w:shd w:val="clear" w:color="auto" w:fill="auto"/>
            <w:vAlign w:val="bottom"/>
          </w:tcPr>
          <w:p w14:paraId="71D3F792" w14:textId="77777777" w:rsidR="006A3667" w:rsidRDefault="006A3667">
            <w:pPr>
              <w:rPr>
                <w:rFonts w:ascii="宋体"/>
                <w:vanish/>
              </w:rPr>
            </w:pPr>
          </w:p>
        </w:tc>
        <w:tc>
          <w:tcPr>
            <w:tcW w:w="0" w:type="auto"/>
            <w:gridSpan w:val="3"/>
            <w:shd w:val="clear" w:color="auto" w:fill="auto"/>
            <w:vAlign w:val="bottom"/>
          </w:tcPr>
          <w:p w14:paraId="71D3F793" w14:textId="77777777" w:rsidR="006A3667" w:rsidRDefault="006A3667">
            <w:pPr>
              <w:rPr>
                <w:rFonts w:ascii="宋体"/>
                <w:vanish/>
              </w:rPr>
            </w:pPr>
          </w:p>
        </w:tc>
        <w:tc>
          <w:tcPr>
            <w:tcW w:w="0" w:type="auto"/>
            <w:gridSpan w:val="3"/>
            <w:shd w:val="clear" w:color="auto" w:fill="auto"/>
            <w:vAlign w:val="bottom"/>
          </w:tcPr>
          <w:p w14:paraId="71D3F794" w14:textId="77777777" w:rsidR="006A3667" w:rsidRDefault="006A3667">
            <w:pPr>
              <w:rPr>
                <w:rFonts w:ascii="宋体"/>
                <w:vanish/>
              </w:rPr>
            </w:pPr>
          </w:p>
        </w:tc>
        <w:tc>
          <w:tcPr>
            <w:tcW w:w="0" w:type="auto"/>
            <w:gridSpan w:val="3"/>
            <w:shd w:val="clear" w:color="auto" w:fill="auto"/>
            <w:vAlign w:val="bottom"/>
          </w:tcPr>
          <w:p w14:paraId="71D3F795" w14:textId="77777777" w:rsidR="006A3667" w:rsidRDefault="006A3667">
            <w:pPr>
              <w:rPr>
                <w:rFonts w:ascii="宋体"/>
                <w:vanish/>
              </w:rPr>
            </w:pPr>
          </w:p>
        </w:tc>
        <w:tc>
          <w:tcPr>
            <w:tcW w:w="0" w:type="auto"/>
            <w:gridSpan w:val="3"/>
            <w:shd w:val="clear" w:color="auto" w:fill="auto"/>
            <w:vAlign w:val="bottom"/>
          </w:tcPr>
          <w:p w14:paraId="71D3F796" w14:textId="77777777" w:rsidR="006A3667" w:rsidRDefault="006A3667">
            <w:pPr>
              <w:rPr>
                <w:rFonts w:ascii="宋体"/>
                <w:vanish/>
              </w:rPr>
            </w:pPr>
          </w:p>
        </w:tc>
        <w:tc>
          <w:tcPr>
            <w:tcW w:w="0" w:type="auto"/>
            <w:gridSpan w:val="3"/>
            <w:shd w:val="clear" w:color="auto" w:fill="auto"/>
            <w:vAlign w:val="bottom"/>
          </w:tcPr>
          <w:p w14:paraId="71D3F797" w14:textId="77777777" w:rsidR="006A3667" w:rsidRDefault="006A3667">
            <w:pPr>
              <w:rPr>
                <w:rFonts w:ascii="宋体"/>
                <w:vanish/>
              </w:rPr>
            </w:pPr>
          </w:p>
        </w:tc>
      </w:tr>
      <w:tr w:rsidR="006A3667" w14:paraId="71D3F7A5" w14:textId="77777777">
        <w:trPr>
          <w:hidden/>
        </w:trPr>
        <w:tc>
          <w:tcPr>
            <w:tcW w:w="0" w:type="auto"/>
            <w:gridSpan w:val="3"/>
            <w:shd w:val="clear" w:color="auto" w:fill="auto"/>
            <w:vAlign w:val="bottom"/>
          </w:tcPr>
          <w:p w14:paraId="71D3F799" w14:textId="77777777" w:rsidR="006A3667" w:rsidRDefault="006A3667">
            <w:pPr>
              <w:rPr>
                <w:rFonts w:ascii="宋体"/>
                <w:vanish/>
              </w:rPr>
            </w:pPr>
          </w:p>
        </w:tc>
        <w:tc>
          <w:tcPr>
            <w:tcW w:w="0" w:type="auto"/>
            <w:gridSpan w:val="3"/>
            <w:shd w:val="clear" w:color="auto" w:fill="auto"/>
            <w:vAlign w:val="bottom"/>
          </w:tcPr>
          <w:p w14:paraId="71D3F79A" w14:textId="77777777" w:rsidR="006A3667" w:rsidRDefault="006A3667">
            <w:pPr>
              <w:rPr>
                <w:rFonts w:ascii="宋体"/>
                <w:vanish/>
              </w:rPr>
            </w:pPr>
          </w:p>
        </w:tc>
        <w:tc>
          <w:tcPr>
            <w:tcW w:w="0" w:type="auto"/>
            <w:gridSpan w:val="3"/>
            <w:shd w:val="clear" w:color="auto" w:fill="auto"/>
            <w:vAlign w:val="bottom"/>
          </w:tcPr>
          <w:p w14:paraId="71D3F79B" w14:textId="77777777" w:rsidR="006A3667" w:rsidRDefault="006A3667">
            <w:pPr>
              <w:rPr>
                <w:rFonts w:ascii="宋体"/>
                <w:vanish/>
              </w:rPr>
            </w:pPr>
          </w:p>
        </w:tc>
        <w:tc>
          <w:tcPr>
            <w:tcW w:w="0" w:type="auto"/>
            <w:gridSpan w:val="3"/>
            <w:shd w:val="clear" w:color="auto" w:fill="auto"/>
            <w:vAlign w:val="bottom"/>
          </w:tcPr>
          <w:p w14:paraId="71D3F79C" w14:textId="77777777" w:rsidR="006A3667" w:rsidRDefault="006A3667">
            <w:pPr>
              <w:rPr>
                <w:rFonts w:ascii="宋体"/>
                <w:vanish/>
              </w:rPr>
            </w:pPr>
          </w:p>
        </w:tc>
        <w:tc>
          <w:tcPr>
            <w:tcW w:w="0" w:type="auto"/>
            <w:shd w:val="clear" w:color="auto" w:fill="auto"/>
            <w:vAlign w:val="bottom"/>
          </w:tcPr>
          <w:p w14:paraId="71D3F79D" w14:textId="77777777" w:rsidR="006A3667" w:rsidRDefault="006A3667">
            <w:pPr>
              <w:rPr>
                <w:rFonts w:ascii="宋体"/>
                <w:vanish/>
              </w:rPr>
            </w:pPr>
          </w:p>
        </w:tc>
        <w:tc>
          <w:tcPr>
            <w:tcW w:w="0" w:type="auto"/>
            <w:shd w:val="clear" w:color="auto" w:fill="auto"/>
            <w:vAlign w:val="bottom"/>
          </w:tcPr>
          <w:p w14:paraId="71D3F79E" w14:textId="77777777" w:rsidR="006A3667" w:rsidRDefault="006A3667">
            <w:pPr>
              <w:rPr>
                <w:rFonts w:ascii="宋体"/>
                <w:vanish/>
              </w:rPr>
            </w:pPr>
          </w:p>
        </w:tc>
        <w:tc>
          <w:tcPr>
            <w:tcW w:w="0" w:type="auto"/>
            <w:gridSpan w:val="3"/>
            <w:shd w:val="clear" w:color="auto" w:fill="auto"/>
            <w:vAlign w:val="bottom"/>
          </w:tcPr>
          <w:p w14:paraId="71D3F79F" w14:textId="77777777" w:rsidR="006A3667" w:rsidRDefault="006A3667">
            <w:pPr>
              <w:rPr>
                <w:rFonts w:ascii="宋体"/>
                <w:vanish/>
              </w:rPr>
            </w:pPr>
          </w:p>
        </w:tc>
        <w:tc>
          <w:tcPr>
            <w:tcW w:w="0" w:type="auto"/>
            <w:gridSpan w:val="3"/>
            <w:shd w:val="clear" w:color="auto" w:fill="auto"/>
            <w:vAlign w:val="bottom"/>
          </w:tcPr>
          <w:p w14:paraId="71D3F7A0" w14:textId="77777777" w:rsidR="006A3667" w:rsidRDefault="006A3667">
            <w:pPr>
              <w:rPr>
                <w:rFonts w:ascii="宋体"/>
                <w:vanish/>
              </w:rPr>
            </w:pPr>
          </w:p>
        </w:tc>
        <w:tc>
          <w:tcPr>
            <w:tcW w:w="0" w:type="auto"/>
            <w:gridSpan w:val="3"/>
            <w:shd w:val="clear" w:color="auto" w:fill="auto"/>
            <w:vAlign w:val="bottom"/>
          </w:tcPr>
          <w:p w14:paraId="71D3F7A1" w14:textId="77777777" w:rsidR="006A3667" w:rsidRDefault="006A3667">
            <w:pPr>
              <w:rPr>
                <w:rFonts w:ascii="宋体"/>
                <w:vanish/>
              </w:rPr>
            </w:pPr>
          </w:p>
        </w:tc>
        <w:tc>
          <w:tcPr>
            <w:tcW w:w="0" w:type="auto"/>
            <w:gridSpan w:val="3"/>
            <w:shd w:val="clear" w:color="auto" w:fill="auto"/>
            <w:vAlign w:val="bottom"/>
          </w:tcPr>
          <w:p w14:paraId="71D3F7A2" w14:textId="77777777" w:rsidR="006A3667" w:rsidRDefault="006A3667">
            <w:pPr>
              <w:rPr>
                <w:rFonts w:ascii="宋体"/>
                <w:vanish/>
              </w:rPr>
            </w:pPr>
          </w:p>
        </w:tc>
        <w:tc>
          <w:tcPr>
            <w:tcW w:w="0" w:type="auto"/>
            <w:gridSpan w:val="3"/>
            <w:shd w:val="clear" w:color="auto" w:fill="auto"/>
            <w:vAlign w:val="bottom"/>
          </w:tcPr>
          <w:p w14:paraId="71D3F7A3" w14:textId="77777777" w:rsidR="006A3667" w:rsidRDefault="006A3667">
            <w:pPr>
              <w:rPr>
                <w:rFonts w:ascii="宋体"/>
                <w:vanish/>
              </w:rPr>
            </w:pPr>
          </w:p>
        </w:tc>
        <w:tc>
          <w:tcPr>
            <w:tcW w:w="0" w:type="auto"/>
            <w:gridSpan w:val="3"/>
            <w:shd w:val="clear" w:color="auto" w:fill="auto"/>
            <w:vAlign w:val="bottom"/>
          </w:tcPr>
          <w:p w14:paraId="71D3F7A4" w14:textId="77777777" w:rsidR="006A3667" w:rsidRDefault="006A3667">
            <w:pPr>
              <w:rPr>
                <w:rFonts w:ascii="宋体"/>
                <w:vanish/>
              </w:rPr>
            </w:pPr>
          </w:p>
        </w:tc>
      </w:tr>
      <w:tr w:rsidR="006A3667" w14:paraId="71D3F7B5" w14:textId="77777777">
        <w:tc>
          <w:tcPr>
            <w:tcW w:w="0" w:type="auto"/>
            <w:gridSpan w:val="3"/>
            <w:shd w:val="clear" w:color="auto" w:fill="CCEEFF"/>
            <w:tcMar>
              <w:top w:w="40" w:type="dxa"/>
              <w:left w:w="20" w:type="dxa"/>
              <w:bottom w:w="40" w:type="dxa"/>
              <w:right w:w="20" w:type="dxa"/>
            </w:tcMar>
            <w:vAlign w:val="bottom"/>
          </w:tcPr>
          <w:p w14:paraId="71D3F7A6"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1D3F7A7"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71D3F7A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7A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7A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7AB" w14:textId="77777777" w:rsidR="006A3667" w:rsidRDefault="006A3667">
            <w:pPr>
              <w:jc w:val="right"/>
              <w:rPr>
                <w:rFonts w:ascii="宋体"/>
              </w:rPr>
            </w:pPr>
          </w:p>
        </w:tc>
        <w:tc>
          <w:tcPr>
            <w:tcW w:w="0" w:type="auto"/>
            <w:shd w:val="clear" w:color="auto" w:fill="auto"/>
            <w:vAlign w:val="bottom"/>
          </w:tcPr>
          <w:p w14:paraId="71D3F7AC" w14:textId="77777777" w:rsidR="006A3667" w:rsidRDefault="006A3667">
            <w:pPr>
              <w:rPr>
                <w:rFonts w:ascii="宋体"/>
                <w:vanish/>
              </w:rPr>
            </w:pPr>
          </w:p>
        </w:tc>
        <w:tc>
          <w:tcPr>
            <w:tcW w:w="0" w:type="auto"/>
            <w:shd w:val="clear" w:color="auto" w:fill="auto"/>
            <w:vAlign w:val="bottom"/>
          </w:tcPr>
          <w:p w14:paraId="71D3F7AD" w14:textId="77777777" w:rsidR="006A3667" w:rsidRDefault="006A3667">
            <w:pPr>
              <w:rPr>
                <w:rFonts w:ascii="宋体"/>
                <w:vanish/>
              </w:rPr>
            </w:pPr>
          </w:p>
        </w:tc>
        <w:tc>
          <w:tcPr>
            <w:tcW w:w="0" w:type="auto"/>
            <w:gridSpan w:val="3"/>
            <w:shd w:val="clear" w:color="auto" w:fill="auto"/>
            <w:vAlign w:val="bottom"/>
          </w:tcPr>
          <w:p w14:paraId="71D3F7AE" w14:textId="77777777" w:rsidR="006A3667" w:rsidRDefault="006A3667">
            <w:pPr>
              <w:rPr>
                <w:rFonts w:ascii="宋体"/>
                <w:vanish/>
              </w:rPr>
            </w:pPr>
          </w:p>
        </w:tc>
        <w:tc>
          <w:tcPr>
            <w:tcW w:w="0" w:type="auto"/>
            <w:gridSpan w:val="3"/>
            <w:shd w:val="clear" w:color="auto" w:fill="auto"/>
            <w:vAlign w:val="bottom"/>
          </w:tcPr>
          <w:p w14:paraId="71D3F7AF" w14:textId="77777777" w:rsidR="006A3667" w:rsidRDefault="006A3667">
            <w:pPr>
              <w:rPr>
                <w:rFonts w:ascii="宋体"/>
                <w:vanish/>
              </w:rPr>
            </w:pPr>
          </w:p>
        </w:tc>
        <w:tc>
          <w:tcPr>
            <w:tcW w:w="0" w:type="auto"/>
            <w:gridSpan w:val="3"/>
            <w:shd w:val="clear" w:color="auto" w:fill="auto"/>
            <w:vAlign w:val="bottom"/>
          </w:tcPr>
          <w:p w14:paraId="71D3F7B0" w14:textId="77777777" w:rsidR="006A3667" w:rsidRDefault="006A3667">
            <w:pPr>
              <w:rPr>
                <w:rFonts w:ascii="宋体"/>
                <w:vanish/>
              </w:rPr>
            </w:pPr>
          </w:p>
        </w:tc>
        <w:tc>
          <w:tcPr>
            <w:tcW w:w="0" w:type="auto"/>
            <w:gridSpan w:val="3"/>
            <w:shd w:val="clear" w:color="auto" w:fill="auto"/>
            <w:vAlign w:val="bottom"/>
          </w:tcPr>
          <w:p w14:paraId="71D3F7B1"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7B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7B3"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71D3F7B4" w14:textId="77777777" w:rsidR="006A3667" w:rsidRDefault="006A3667">
            <w:pPr>
              <w:jc w:val="right"/>
              <w:rPr>
                <w:rFonts w:ascii="宋体"/>
              </w:rPr>
            </w:pPr>
          </w:p>
        </w:tc>
      </w:tr>
      <w:tr w:rsidR="006A3667" w14:paraId="71D3F7C5" w14:textId="77777777">
        <w:tc>
          <w:tcPr>
            <w:tcW w:w="0" w:type="auto"/>
            <w:gridSpan w:val="3"/>
            <w:shd w:val="clear" w:color="auto" w:fill="FFFFFF"/>
            <w:tcMar>
              <w:top w:w="40" w:type="dxa"/>
              <w:left w:w="20" w:type="dxa"/>
              <w:bottom w:w="40" w:type="dxa"/>
              <w:right w:w="20" w:type="dxa"/>
            </w:tcMar>
            <w:vAlign w:val="bottom"/>
          </w:tcPr>
          <w:p w14:paraId="71D3F7B6" w14:textId="77777777" w:rsidR="006A3667" w:rsidRDefault="00045F32">
            <w:pPr>
              <w:textAlignment w:val="bottom"/>
            </w:pPr>
            <w:r>
              <w:rPr>
                <w:rFonts w:ascii="Arial" w:eastAsia="宋体" w:hAnsi="Arial" w:cs="Arial"/>
                <w:b/>
                <w:bCs/>
                <w:color w:val="000000"/>
                <w:sz w:val="14"/>
                <w:szCs w:val="14"/>
              </w:rPr>
              <w:t>Accrual Balance at June 30, 2022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7B7" w14:textId="77777777" w:rsidR="006A3667" w:rsidRDefault="00045F32">
            <w:pPr>
              <w:jc w:val="right"/>
              <w:textAlignment w:val="bottom"/>
            </w:pPr>
            <w:r>
              <w:rPr>
                <w:rFonts w:ascii="Arial" w:eastAsia="宋体" w:hAnsi="Arial" w:cs="Arial"/>
                <w:color w:val="000000"/>
                <w:sz w:val="14"/>
                <w:szCs w:val="14"/>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7B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7B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7BA" w14:textId="77777777" w:rsidR="006A3667" w:rsidRDefault="00045F32">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7BB" w14:textId="77777777" w:rsidR="006A3667" w:rsidRDefault="006A3667">
            <w:pPr>
              <w:jc w:val="right"/>
              <w:rPr>
                <w:rFonts w:ascii="宋体"/>
              </w:rPr>
            </w:pPr>
          </w:p>
        </w:tc>
        <w:tc>
          <w:tcPr>
            <w:tcW w:w="0" w:type="auto"/>
            <w:shd w:val="clear" w:color="auto" w:fill="auto"/>
            <w:vAlign w:val="bottom"/>
          </w:tcPr>
          <w:p w14:paraId="71D3F7BC" w14:textId="77777777" w:rsidR="006A3667" w:rsidRDefault="006A3667">
            <w:pPr>
              <w:rPr>
                <w:rFonts w:ascii="宋体"/>
                <w:vanish/>
              </w:rPr>
            </w:pPr>
          </w:p>
        </w:tc>
        <w:tc>
          <w:tcPr>
            <w:tcW w:w="0" w:type="auto"/>
            <w:shd w:val="clear" w:color="auto" w:fill="auto"/>
            <w:vAlign w:val="bottom"/>
          </w:tcPr>
          <w:p w14:paraId="71D3F7BD" w14:textId="77777777" w:rsidR="006A3667" w:rsidRDefault="006A3667">
            <w:pPr>
              <w:rPr>
                <w:rFonts w:ascii="宋体"/>
                <w:vanish/>
              </w:rPr>
            </w:pPr>
          </w:p>
        </w:tc>
        <w:tc>
          <w:tcPr>
            <w:tcW w:w="0" w:type="auto"/>
            <w:gridSpan w:val="3"/>
            <w:shd w:val="clear" w:color="auto" w:fill="auto"/>
            <w:vAlign w:val="bottom"/>
          </w:tcPr>
          <w:p w14:paraId="71D3F7BE" w14:textId="77777777" w:rsidR="006A3667" w:rsidRDefault="006A3667">
            <w:pPr>
              <w:rPr>
                <w:rFonts w:ascii="宋体"/>
                <w:vanish/>
              </w:rPr>
            </w:pPr>
          </w:p>
        </w:tc>
        <w:tc>
          <w:tcPr>
            <w:tcW w:w="0" w:type="auto"/>
            <w:gridSpan w:val="3"/>
            <w:shd w:val="clear" w:color="auto" w:fill="auto"/>
            <w:vAlign w:val="bottom"/>
          </w:tcPr>
          <w:p w14:paraId="71D3F7BF" w14:textId="77777777" w:rsidR="006A3667" w:rsidRDefault="006A3667">
            <w:pPr>
              <w:rPr>
                <w:rFonts w:ascii="宋体"/>
                <w:vanish/>
              </w:rPr>
            </w:pPr>
          </w:p>
        </w:tc>
        <w:tc>
          <w:tcPr>
            <w:tcW w:w="0" w:type="auto"/>
            <w:gridSpan w:val="3"/>
            <w:shd w:val="clear" w:color="auto" w:fill="auto"/>
            <w:vAlign w:val="bottom"/>
          </w:tcPr>
          <w:p w14:paraId="71D3F7C0" w14:textId="77777777" w:rsidR="006A3667" w:rsidRDefault="006A3667">
            <w:pPr>
              <w:rPr>
                <w:rFonts w:ascii="宋体"/>
                <w:vanish/>
              </w:rPr>
            </w:pPr>
          </w:p>
        </w:tc>
        <w:tc>
          <w:tcPr>
            <w:tcW w:w="0" w:type="auto"/>
            <w:gridSpan w:val="3"/>
            <w:shd w:val="clear" w:color="auto" w:fill="auto"/>
            <w:vAlign w:val="bottom"/>
          </w:tcPr>
          <w:p w14:paraId="71D3F7C1"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7C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7C3" w14:textId="77777777" w:rsidR="006A3667" w:rsidRDefault="00045F32">
            <w:pPr>
              <w:jc w:val="right"/>
              <w:textAlignment w:val="bottom"/>
            </w:pPr>
            <w:r>
              <w:rPr>
                <w:rFonts w:ascii="Arial" w:eastAsia="宋体" w:hAnsi="Arial" w:cs="Arial"/>
                <w:color w:val="000000"/>
                <w:sz w:val="14"/>
                <w:szCs w:val="14"/>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7C4" w14:textId="77777777" w:rsidR="006A3667" w:rsidRDefault="006A3667">
            <w:pPr>
              <w:jc w:val="right"/>
              <w:rPr>
                <w:rFonts w:ascii="宋体"/>
              </w:rPr>
            </w:pPr>
          </w:p>
        </w:tc>
      </w:tr>
      <w:tr w:rsidR="006A3667" w14:paraId="71D3F7D5" w14:textId="77777777">
        <w:tc>
          <w:tcPr>
            <w:tcW w:w="0" w:type="auto"/>
            <w:gridSpan w:val="3"/>
            <w:shd w:val="clear" w:color="auto" w:fill="CCEEFF"/>
            <w:tcMar>
              <w:top w:w="40" w:type="dxa"/>
              <w:left w:w="20" w:type="dxa"/>
              <w:bottom w:w="40" w:type="dxa"/>
              <w:right w:w="20" w:type="dxa"/>
            </w:tcMar>
            <w:vAlign w:val="bottom"/>
          </w:tcPr>
          <w:p w14:paraId="71D3F7C6"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1D3F7C7" w14:textId="77777777" w:rsidR="006A3667" w:rsidRDefault="00045F32">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71D3F7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7C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7C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3F7CB" w14:textId="77777777" w:rsidR="006A3667" w:rsidRDefault="006A3667">
            <w:pPr>
              <w:jc w:val="right"/>
              <w:rPr>
                <w:rFonts w:ascii="宋体"/>
              </w:rPr>
            </w:pPr>
          </w:p>
        </w:tc>
        <w:tc>
          <w:tcPr>
            <w:tcW w:w="0" w:type="auto"/>
            <w:shd w:val="clear" w:color="auto" w:fill="auto"/>
            <w:vAlign w:val="bottom"/>
          </w:tcPr>
          <w:p w14:paraId="71D3F7CC" w14:textId="77777777" w:rsidR="006A3667" w:rsidRDefault="006A3667">
            <w:pPr>
              <w:rPr>
                <w:rFonts w:ascii="宋体"/>
                <w:vanish/>
              </w:rPr>
            </w:pPr>
          </w:p>
        </w:tc>
        <w:tc>
          <w:tcPr>
            <w:tcW w:w="0" w:type="auto"/>
            <w:shd w:val="clear" w:color="auto" w:fill="auto"/>
            <w:vAlign w:val="bottom"/>
          </w:tcPr>
          <w:p w14:paraId="71D3F7CD" w14:textId="77777777" w:rsidR="006A3667" w:rsidRDefault="006A3667">
            <w:pPr>
              <w:rPr>
                <w:rFonts w:ascii="宋体"/>
                <w:vanish/>
              </w:rPr>
            </w:pPr>
          </w:p>
        </w:tc>
        <w:tc>
          <w:tcPr>
            <w:tcW w:w="0" w:type="auto"/>
            <w:gridSpan w:val="3"/>
            <w:shd w:val="clear" w:color="auto" w:fill="auto"/>
            <w:vAlign w:val="bottom"/>
          </w:tcPr>
          <w:p w14:paraId="71D3F7CE" w14:textId="77777777" w:rsidR="006A3667" w:rsidRDefault="006A3667">
            <w:pPr>
              <w:rPr>
                <w:rFonts w:ascii="宋体"/>
                <w:vanish/>
              </w:rPr>
            </w:pPr>
          </w:p>
        </w:tc>
        <w:tc>
          <w:tcPr>
            <w:tcW w:w="0" w:type="auto"/>
            <w:gridSpan w:val="3"/>
            <w:shd w:val="clear" w:color="auto" w:fill="auto"/>
            <w:vAlign w:val="bottom"/>
          </w:tcPr>
          <w:p w14:paraId="71D3F7CF" w14:textId="77777777" w:rsidR="006A3667" w:rsidRDefault="006A3667">
            <w:pPr>
              <w:rPr>
                <w:rFonts w:ascii="宋体"/>
                <w:vanish/>
              </w:rPr>
            </w:pPr>
          </w:p>
        </w:tc>
        <w:tc>
          <w:tcPr>
            <w:tcW w:w="0" w:type="auto"/>
            <w:gridSpan w:val="3"/>
            <w:shd w:val="clear" w:color="auto" w:fill="auto"/>
            <w:vAlign w:val="bottom"/>
          </w:tcPr>
          <w:p w14:paraId="71D3F7D0" w14:textId="77777777" w:rsidR="006A3667" w:rsidRDefault="006A3667">
            <w:pPr>
              <w:rPr>
                <w:rFonts w:ascii="宋体"/>
                <w:vanish/>
              </w:rPr>
            </w:pPr>
          </w:p>
        </w:tc>
        <w:tc>
          <w:tcPr>
            <w:tcW w:w="0" w:type="auto"/>
            <w:gridSpan w:val="3"/>
            <w:shd w:val="clear" w:color="auto" w:fill="auto"/>
            <w:vAlign w:val="bottom"/>
          </w:tcPr>
          <w:p w14:paraId="71D3F7D1"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3F7D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7D3" w14:textId="77777777" w:rsidR="006A3667" w:rsidRDefault="00045F32">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71D3F7D4" w14:textId="77777777" w:rsidR="006A3667" w:rsidRDefault="006A3667">
            <w:pPr>
              <w:jc w:val="right"/>
              <w:rPr>
                <w:rFonts w:ascii="宋体"/>
              </w:rPr>
            </w:pPr>
          </w:p>
        </w:tc>
      </w:tr>
      <w:tr w:rsidR="006A3667" w14:paraId="71D3F7E8" w14:textId="77777777">
        <w:tc>
          <w:tcPr>
            <w:tcW w:w="0" w:type="auto"/>
            <w:gridSpan w:val="3"/>
            <w:shd w:val="clear" w:color="auto" w:fill="FFFFFF"/>
            <w:tcMar>
              <w:top w:w="40" w:type="dxa"/>
              <w:left w:w="20" w:type="dxa"/>
              <w:bottom w:w="40" w:type="dxa"/>
              <w:right w:w="20" w:type="dxa"/>
            </w:tcMar>
            <w:vAlign w:val="bottom"/>
          </w:tcPr>
          <w:p w14:paraId="71D3F7D6" w14:textId="77777777" w:rsidR="006A3667" w:rsidRDefault="00045F32">
            <w:pPr>
              <w:textAlignment w:val="bottom"/>
            </w:pPr>
            <w:r>
              <w:rPr>
                <w:rFonts w:ascii="Arial" w:eastAsia="宋体" w:hAnsi="Arial" w:cs="Arial"/>
                <w:b/>
                <w:bCs/>
                <w:color w:val="000000"/>
                <w:sz w:val="14"/>
                <w:szCs w:val="14"/>
              </w:rPr>
              <w:t>Accrual Balance at September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7D7"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7D8" w14:textId="77777777" w:rsidR="006A3667" w:rsidRDefault="00045F32">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7D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7DA"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7DB"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7DC"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7DD" w14:textId="77777777" w:rsidR="006A3667" w:rsidRDefault="006A3667">
            <w:pPr>
              <w:jc w:val="right"/>
              <w:rPr>
                <w:rFonts w:ascii="宋体"/>
              </w:rPr>
            </w:pPr>
          </w:p>
        </w:tc>
        <w:tc>
          <w:tcPr>
            <w:tcW w:w="0" w:type="auto"/>
            <w:shd w:val="clear" w:color="auto" w:fill="auto"/>
            <w:vAlign w:val="bottom"/>
          </w:tcPr>
          <w:p w14:paraId="71D3F7DE" w14:textId="77777777" w:rsidR="006A3667" w:rsidRDefault="006A3667">
            <w:pPr>
              <w:rPr>
                <w:rFonts w:ascii="宋体"/>
                <w:vanish/>
              </w:rPr>
            </w:pPr>
          </w:p>
        </w:tc>
        <w:tc>
          <w:tcPr>
            <w:tcW w:w="0" w:type="auto"/>
            <w:shd w:val="clear" w:color="auto" w:fill="auto"/>
            <w:vAlign w:val="bottom"/>
          </w:tcPr>
          <w:p w14:paraId="71D3F7DF" w14:textId="77777777" w:rsidR="006A3667" w:rsidRDefault="006A3667">
            <w:pPr>
              <w:rPr>
                <w:rFonts w:ascii="宋体"/>
                <w:vanish/>
              </w:rPr>
            </w:pPr>
          </w:p>
        </w:tc>
        <w:tc>
          <w:tcPr>
            <w:tcW w:w="0" w:type="auto"/>
            <w:gridSpan w:val="3"/>
            <w:shd w:val="clear" w:color="auto" w:fill="auto"/>
            <w:vAlign w:val="bottom"/>
          </w:tcPr>
          <w:p w14:paraId="71D3F7E0" w14:textId="77777777" w:rsidR="006A3667" w:rsidRDefault="006A3667">
            <w:pPr>
              <w:rPr>
                <w:rFonts w:ascii="宋体"/>
                <w:vanish/>
              </w:rPr>
            </w:pPr>
          </w:p>
        </w:tc>
        <w:tc>
          <w:tcPr>
            <w:tcW w:w="0" w:type="auto"/>
            <w:gridSpan w:val="3"/>
            <w:shd w:val="clear" w:color="auto" w:fill="auto"/>
            <w:vAlign w:val="bottom"/>
          </w:tcPr>
          <w:p w14:paraId="71D3F7E1" w14:textId="77777777" w:rsidR="006A3667" w:rsidRDefault="006A3667">
            <w:pPr>
              <w:rPr>
                <w:rFonts w:ascii="宋体"/>
                <w:vanish/>
              </w:rPr>
            </w:pPr>
          </w:p>
        </w:tc>
        <w:tc>
          <w:tcPr>
            <w:tcW w:w="0" w:type="auto"/>
            <w:gridSpan w:val="3"/>
            <w:shd w:val="clear" w:color="auto" w:fill="auto"/>
            <w:vAlign w:val="bottom"/>
          </w:tcPr>
          <w:p w14:paraId="71D3F7E2" w14:textId="77777777" w:rsidR="006A3667" w:rsidRDefault="006A3667">
            <w:pPr>
              <w:rPr>
                <w:rFonts w:ascii="宋体"/>
                <w:vanish/>
              </w:rPr>
            </w:pPr>
          </w:p>
        </w:tc>
        <w:tc>
          <w:tcPr>
            <w:tcW w:w="0" w:type="auto"/>
            <w:gridSpan w:val="3"/>
            <w:shd w:val="clear" w:color="auto" w:fill="auto"/>
            <w:vAlign w:val="bottom"/>
          </w:tcPr>
          <w:p w14:paraId="71D3F7E3"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3F7E4"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3F7E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3F7E6" w14:textId="77777777" w:rsidR="006A3667" w:rsidRDefault="00045F32">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3F7E7" w14:textId="77777777" w:rsidR="006A3667" w:rsidRDefault="006A3667">
            <w:pPr>
              <w:jc w:val="right"/>
              <w:rPr>
                <w:rFonts w:ascii="宋体"/>
              </w:rPr>
            </w:pPr>
          </w:p>
        </w:tc>
      </w:tr>
    </w:tbl>
    <w:p w14:paraId="71D3F7E9" w14:textId="77777777" w:rsidR="006A3667" w:rsidRDefault="00045F32">
      <w:pPr>
        <w:ind w:firstLine="450"/>
        <w:jc w:val="right"/>
      </w:pPr>
      <w:r>
        <w:rPr>
          <w:rFonts w:ascii="Arial" w:eastAsia="宋体" w:hAnsi="Arial" w:cs="Arial"/>
          <w:color w:val="000000"/>
          <w:sz w:val="18"/>
          <w:szCs w:val="18"/>
        </w:rPr>
        <w:t>State Street Corporation | 24</w:t>
      </w:r>
    </w:p>
    <w:p w14:paraId="71D3F7EA" w14:textId="77777777" w:rsidR="006A3667" w:rsidRDefault="006A3667">
      <w:pPr>
        <w:ind w:firstLine="450"/>
        <w:jc w:val="center"/>
      </w:pPr>
    </w:p>
    <w:p w14:paraId="71D3F7EB" w14:textId="77777777" w:rsidR="006A3667" w:rsidRDefault="00045F32">
      <w:r>
        <w:pict w14:anchorId="71D4AC2C">
          <v:rect id="_x0000_i1048" style="width:415.3pt;height:1.5pt" o:hralign="center" o:hrstd="t" o:hr="t" fillcolor="#a0a0a0" stroked="f"/>
        </w:pict>
      </w:r>
    </w:p>
    <w:p w14:paraId="71D3F7EC"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F7ED" w14:textId="77777777" w:rsidR="006A3667" w:rsidRDefault="00045F32">
      <w:pPr>
        <w:ind w:firstLine="450"/>
        <w:jc w:val="center"/>
      </w:pPr>
      <w:r>
        <w:rPr>
          <w:rFonts w:ascii="Arial" w:eastAsia="宋体" w:hAnsi="Arial" w:cs="Arial"/>
          <w:b/>
          <w:bCs/>
          <w:color w:val="000000"/>
          <w:sz w:val="20"/>
          <w:szCs w:val="20"/>
        </w:rPr>
        <w:t>AND RESULTS OF OPERATIONS</w:t>
      </w:r>
    </w:p>
    <w:p w14:paraId="71D3F7EE" w14:textId="77777777" w:rsidR="006A3667" w:rsidRDefault="00045F32">
      <w:pPr>
        <w:spacing w:before="90"/>
        <w:textAlignment w:val="top"/>
      </w:pPr>
      <w:r>
        <w:rPr>
          <w:rFonts w:ascii="Arial" w:eastAsia="宋体" w:hAnsi="Arial" w:cs="Arial"/>
          <w:b/>
          <w:bCs/>
          <w:color w:val="000000"/>
          <w:sz w:val="20"/>
          <w:szCs w:val="20"/>
        </w:rPr>
        <w:t>Income Tax Expense</w:t>
      </w:r>
    </w:p>
    <w:p w14:paraId="71D3F7EF" w14:textId="77777777" w:rsidR="006A3667" w:rsidRDefault="00045F32">
      <w:pPr>
        <w:spacing w:before="60"/>
        <w:ind w:firstLine="450"/>
        <w:jc w:val="both"/>
        <w:textAlignment w:val="top"/>
      </w:pPr>
      <w:r>
        <w:rPr>
          <w:rFonts w:ascii="Arial" w:eastAsia="宋体" w:hAnsi="Arial" w:cs="Arial"/>
          <w:color w:val="000000"/>
          <w:sz w:val="20"/>
          <w:szCs w:val="20"/>
        </w:rPr>
        <w:t>Income tax expense was $159 million and $397 million in the three and nine months ended September 30, 2022, respectively, compared to $162 million and $445 million in the same periods in 2021. Our effective tax rate was 18.7% and 16.3% in the three and nin</w:t>
      </w:r>
      <w:r>
        <w:rPr>
          <w:rFonts w:ascii="Arial" w:eastAsia="宋体" w:hAnsi="Arial" w:cs="Arial"/>
          <w:color w:val="000000"/>
          <w:sz w:val="20"/>
          <w:szCs w:val="20"/>
        </w:rPr>
        <w:t xml:space="preserve">e months ended September 30, 2022, respectively, compared to 18.5% and 18.2% in the same periods in 2021. The decrease in the nine month period was primarily due to higher benefits from the reassessment of a deferred tax asset valuation allowance. </w:t>
      </w:r>
    </w:p>
    <w:p w14:paraId="71D3F7F0" w14:textId="77777777" w:rsidR="006A3667" w:rsidRDefault="00045F32">
      <w:pPr>
        <w:spacing w:before="90"/>
        <w:jc w:val="both"/>
        <w:textAlignment w:val="top"/>
      </w:pPr>
      <w:r>
        <w:rPr>
          <w:rFonts w:ascii="Arial" w:eastAsia="宋体" w:hAnsi="Arial" w:cs="Arial"/>
          <w:b/>
          <w:bCs/>
          <w:color w:val="000000"/>
          <w:sz w:val="20"/>
          <w:szCs w:val="20"/>
        </w:rPr>
        <w:t>LINE OF</w:t>
      </w:r>
      <w:r>
        <w:rPr>
          <w:rFonts w:ascii="Arial" w:eastAsia="宋体" w:hAnsi="Arial" w:cs="Arial"/>
          <w:b/>
          <w:bCs/>
          <w:color w:val="000000"/>
          <w:sz w:val="20"/>
          <w:szCs w:val="20"/>
        </w:rPr>
        <w:t xml:space="preserve"> BUSINESS INFORMATION</w:t>
      </w:r>
    </w:p>
    <w:p w14:paraId="71D3F7F1" w14:textId="77777777" w:rsidR="006A3667" w:rsidRDefault="00045F32">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 The results of operations for these lines of business are not necessar</w:t>
      </w:r>
      <w:r>
        <w:rPr>
          <w:rFonts w:ascii="Arial" w:eastAsia="宋体" w:hAnsi="Arial" w:cs="Arial"/>
          <w:color w:val="000000"/>
          <w:sz w:val="20"/>
          <w:szCs w:val="20"/>
        </w:rPr>
        <w:t>ily comparable with those of other companies, including companies in the financial services industry.</w:t>
      </w:r>
    </w:p>
    <w:p w14:paraId="71D3F7F2" w14:textId="77777777" w:rsidR="006A3667" w:rsidRDefault="00045F32">
      <w:pPr>
        <w:spacing w:before="60"/>
        <w:ind w:firstLine="450"/>
        <w:jc w:val="both"/>
        <w:textAlignment w:val="top"/>
      </w:pPr>
      <w:r>
        <w:rPr>
          <w:rFonts w:ascii="Arial" w:eastAsia="宋体" w:hAnsi="Arial" w:cs="Arial"/>
          <w:color w:val="000000"/>
          <w:sz w:val="20"/>
          <w:szCs w:val="20"/>
        </w:rPr>
        <w:t>Our Investment Servicing line of business provides a range of services to our clients. Through State Street Investment Services, State Street Global Marke</w:t>
      </w:r>
      <w:r>
        <w:rPr>
          <w:rFonts w:ascii="Arial" w:eastAsia="宋体" w:hAnsi="Arial" w:cs="Arial"/>
          <w:color w:val="000000"/>
          <w:sz w:val="20"/>
          <w:szCs w:val="20"/>
        </w:rPr>
        <w:t>ts, State Street Digital, and State Street Alpha, we provide services for institutional clients, including mutual funds, collective investment funds and other investment pools, corporate and public retirement plans, insurance companies, investment managers</w:t>
      </w:r>
      <w:r>
        <w:rPr>
          <w:rFonts w:ascii="Arial" w:eastAsia="宋体" w:hAnsi="Arial" w:cs="Arial"/>
          <w:color w:val="000000"/>
          <w:sz w:val="20"/>
          <w:szCs w:val="20"/>
        </w:rPr>
        <w:t>, foundations and endowments worldwide. Our financial services and products allow our large institutional investor clients to execute financial transactions on a daily basis in markets across the globe. As most institutional investors cannot economically o</w:t>
      </w:r>
      <w:r>
        <w:rPr>
          <w:rFonts w:ascii="Arial" w:eastAsia="宋体" w:hAnsi="Arial" w:cs="Arial"/>
          <w:color w:val="000000"/>
          <w:sz w:val="20"/>
          <w:szCs w:val="20"/>
        </w:rPr>
        <w:t>r efficiently build their own technology and operational processes necessary to facilitate their global securities settlement needs, our primary role as a global trust and custody bank is to aid our clients to efficiently perform services associated with t</w:t>
      </w:r>
      <w:r>
        <w:rPr>
          <w:rFonts w:ascii="Arial" w:eastAsia="宋体" w:hAnsi="Arial" w:cs="Arial"/>
          <w:color w:val="000000"/>
          <w:sz w:val="20"/>
          <w:szCs w:val="20"/>
        </w:rPr>
        <w:t>he clearing, settlement and execution of securities transactions and related payments.</w:t>
      </w:r>
    </w:p>
    <w:p w14:paraId="71D3F7F3" w14:textId="77777777" w:rsidR="006A3667" w:rsidRDefault="00045F32">
      <w:pPr>
        <w:spacing w:before="60"/>
        <w:ind w:firstLine="450"/>
        <w:jc w:val="both"/>
        <w:textAlignment w:val="top"/>
      </w:pPr>
      <w:r>
        <w:rPr>
          <w:rFonts w:ascii="Arial" w:eastAsia="宋体" w:hAnsi="Arial" w:cs="Arial"/>
          <w:color w:val="000000"/>
          <w:sz w:val="20"/>
          <w:szCs w:val="20"/>
        </w:rPr>
        <w:t xml:space="preserve">Products under the Investment Servicing line of business include: back office products such as custody, accounting, regulatory reporting, investor services, performance </w:t>
      </w:r>
      <w:r>
        <w:rPr>
          <w:rFonts w:ascii="Arial" w:eastAsia="宋体" w:hAnsi="Arial" w:cs="Arial"/>
          <w:color w:val="000000"/>
          <w:sz w:val="20"/>
          <w:szCs w:val="20"/>
        </w:rPr>
        <w:t>and analytics; middle office products such as IBOR, transaction management, loans, cash, derivatives and collateral services, record keeping, client reporting and investment analytics; foreign exchange, brokerage and other trading services; securities fina</w:t>
      </w:r>
      <w:r>
        <w:rPr>
          <w:rFonts w:ascii="Arial" w:eastAsia="宋体" w:hAnsi="Arial" w:cs="Arial"/>
          <w:color w:val="000000"/>
          <w:sz w:val="20"/>
          <w:szCs w:val="20"/>
        </w:rPr>
        <w:t>nce and enhanced custody products; deposit and short-term investment facilities; loans and lease financing; investment manager and alternative investment manager operations outsourcing; performance, risk and compliance analytics; and financial data managem</w:t>
      </w:r>
      <w:r>
        <w:rPr>
          <w:rFonts w:ascii="Arial" w:eastAsia="宋体" w:hAnsi="Arial" w:cs="Arial"/>
          <w:color w:val="000000"/>
          <w:sz w:val="20"/>
          <w:szCs w:val="20"/>
        </w:rPr>
        <w:t>ent to support institutional investors.</w:t>
      </w:r>
    </w:p>
    <w:p w14:paraId="71D3F7F4" w14:textId="77777777" w:rsidR="006A3667" w:rsidRDefault="00045F32">
      <w:pPr>
        <w:spacing w:before="60"/>
        <w:ind w:firstLine="450"/>
        <w:jc w:val="both"/>
        <w:textAlignment w:val="top"/>
      </w:pPr>
      <w:r>
        <w:rPr>
          <w:rFonts w:ascii="Arial" w:eastAsia="宋体" w:hAnsi="Arial" w:cs="Arial"/>
          <w:color w:val="000000"/>
          <w:sz w:val="20"/>
          <w:szCs w:val="20"/>
        </w:rPr>
        <w:t>With the acquisition of CRD in 2018, we took the first step in building our front-to-back platform, State Street Alpha. The Charles River Investment Management Solution is a technology offering which is designed to a</w:t>
      </w:r>
      <w:r>
        <w:rPr>
          <w:rFonts w:ascii="Arial" w:eastAsia="宋体" w:hAnsi="Arial" w:cs="Arial"/>
          <w:color w:val="000000"/>
          <w:sz w:val="20"/>
          <w:szCs w:val="20"/>
        </w:rPr>
        <w:t>utomate and simplify the institutional investment process across asset classes, from portfolio management and risk analytics through trading and post-trade settlement, with integrated compliance and managed data throughout. Today our State Street Alpha pla</w:t>
      </w:r>
      <w:r>
        <w:rPr>
          <w:rFonts w:ascii="Arial" w:eastAsia="宋体" w:hAnsi="Arial" w:cs="Arial"/>
          <w:color w:val="000000"/>
          <w:sz w:val="20"/>
          <w:szCs w:val="20"/>
        </w:rPr>
        <w:t>tform combines portfolio management, trading and execution, analytics and compliance tools, and advanced data aggregation and integration with other industry platforms and providers. In 2021, we further expanded State Street Alpha's technology offering wit</w:t>
      </w:r>
      <w:r>
        <w:rPr>
          <w:rFonts w:ascii="Arial" w:eastAsia="宋体" w:hAnsi="Arial" w:cs="Arial"/>
          <w:color w:val="000000"/>
          <w:sz w:val="20"/>
          <w:szCs w:val="20"/>
        </w:rPr>
        <w:t>h the acquisition of Mercatus, Inc., enabling the launch of Alpha for Private Markets.</w:t>
      </w:r>
    </w:p>
    <w:p w14:paraId="71D3F7F5" w14:textId="77777777" w:rsidR="006A3667" w:rsidRDefault="00045F32">
      <w:pPr>
        <w:spacing w:before="60"/>
        <w:ind w:firstLine="450"/>
        <w:jc w:val="both"/>
        <w:textAlignment w:val="top"/>
      </w:pPr>
      <w:r>
        <w:rPr>
          <w:rFonts w:ascii="Arial" w:eastAsia="宋体" w:hAnsi="Arial" w:cs="Arial"/>
          <w:color w:val="000000"/>
          <w:sz w:val="20"/>
          <w:szCs w:val="20"/>
        </w:rPr>
        <w:t xml:space="preserve">In 2021, we established State Street Digital to focus on the development of digital assets and technologies, including crypto, central bank digital currency, blockchain </w:t>
      </w:r>
      <w:r>
        <w:rPr>
          <w:rFonts w:ascii="Arial" w:eastAsia="宋体" w:hAnsi="Arial" w:cs="Arial"/>
          <w:color w:val="000000"/>
          <w:sz w:val="20"/>
          <w:szCs w:val="20"/>
        </w:rPr>
        <w:t>and tokenization, including the evolution of a new integrated business and digital operating model designed to support our clients' digital investment cycle.</w:t>
      </w:r>
    </w:p>
    <w:p w14:paraId="71D3F7F6" w14:textId="77777777" w:rsidR="006A3667" w:rsidRDefault="00045F32">
      <w:pPr>
        <w:spacing w:before="60"/>
        <w:ind w:firstLine="450"/>
        <w:jc w:val="both"/>
        <w:textAlignment w:val="top"/>
      </w:pPr>
      <w:r>
        <w:rPr>
          <w:rFonts w:ascii="Arial" w:eastAsia="宋体" w:hAnsi="Arial" w:cs="Arial"/>
          <w:color w:val="000000"/>
          <w:sz w:val="20"/>
          <w:szCs w:val="20"/>
        </w:rPr>
        <w:t>Following consummation of our proposed acquisition of the BBH Investor Services business, the acqu</w:t>
      </w:r>
      <w:r>
        <w:rPr>
          <w:rFonts w:ascii="Arial" w:eastAsia="宋体" w:hAnsi="Arial" w:cs="Arial"/>
          <w:color w:val="000000"/>
          <w:sz w:val="20"/>
          <w:szCs w:val="20"/>
        </w:rPr>
        <w:t xml:space="preserve">ired business would be included within our Investment Servicing line of business. </w:t>
      </w:r>
    </w:p>
    <w:p w14:paraId="71D3F7F7" w14:textId="77777777" w:rsidR="006A3667" w:rsidRDefault="00045F32">
      <w:pPr>
        <w:spacing w:before="60"/>
        <w:ind w:firstLine="450"/>
        <w:jc w:val="both"/>
        <w:textAlignment w:val="top"/>
      </w:pPr>
      <w:r>
        <w:rPr>
          <w:rFonts w:ascii="Arial" w:eastAsia="宋体" w:hAnsi="Arial" w:cs="Arial"/>
          <w:color w:val="000000"/>
          <w:sz w:val="20"/>
          <w:szCs w:val="20"/>
        </w:rPr>
        <w:t>We have been engaged in ongoing dialogue with U.S. and international banking regulators regarding the prolonged regulatory review process for our proposed acquisition of Bro</w:t>
      </w:r>
      <w:r>
        <w:rPr>
          <w:rFonts w:ascii="Arial" w:eastAsia="宋体" w:hAnsi="Arial" w:cs="Arial"/>
          <w:color w:val="000000"/>
          <w:sz w:val="20"/>
          <w:szCs w:val="20"/>
        </w:rPr>
        <w:t>wn Brothers Harriman’s Investor Services business. The current regulatory environment for M&amp;A transactions involving G-SIBs is challenging. We have developed with BBH proposed modifications to the transaction, including changes to the operating model and l</w:t>
      </w:r>
      <w:r>
        <w:rPr>
          <w:rFonts w:ascii="Arial" w:eastAsia="宋体" w:hAnsi="Arial" w:cs="Arial"/>
          <w:color w:val="000000"/>
          <w:sz w:val="20"/>
          <w:szCs w:val="20"/>
        </w:rPr>
        <w:t>egal entity structure, a reduction to the purchase price and changes to regulatory approvals required to consummate the transaction. We anticipate that a modified transaction would be somewhat more complex and include a delay in timing and amount of deal s</w:t>
      </w:r>
      <w:r>
        <w:rPr>
          <w:rFonts w:ascii="Arial" w:eastAsia="宋体" w:hAnsi="Arial" w:cs="Arial"/>
          <w:color w:val="000000"/>
          <w:sz w:val="20"/>
          <w:szCs w:val="20"/>
        </w:rPr>
        <w:t>ynergies, resulting in a slower path to accretion. While discussions with regulators on the proposed modified transaction are ongoing, the likelihood of a successful outcome is increasingly uncertain. There can be no assurance that a mutually acceptable mo</w:t>
      </w:r>
      <w:r>
        <w:rPr>
          <w:rFonts w:ascii="Arial" w:eastAsia="宋体" w:hAnsi="Arial" w:cs="Arial"/>
          <w:color w:val="000000"/>
          <w:sz w:val="20"/>
          <w:szCs w:val="20"/>
        </w:rPr>
        <w:t>dified transaction will be agreed and entered into, or as to the timing or outcome of any regulatory approvals and other closing conditions for a modified transaction. The modifications to the transaction remain subject to review and approval by both BBH’s</w:t>
      </w:r>
      <w:r>
        <w:rPr>
          <w:rFonts w:ascii="Arial" w:eastAsia="宋体" w:hAnsi="Arial" w:cs="Arial"/>
          <w:color w:val="000000"/>
          <w:sz w:val="20"/>
          <w:szCs w:val="20"/>
        </w:rPr>
        <w:t xml:space="preserve"> partners and our Board of Directors. The Sale and Purchase Agreement allows each of State Street and BBH, the right to terminate the transaction upon written notice without a contractual penalty at any time. </w:t>
      </w:r>
    </w:p>
    <w:p w14:paraId="71D3F7F8" w14:textId="77777777" w:rsidR="006A3667" w:rsidRDefault="00045F32">
      <w:pPr>
        <w:ind w:firstLine="450"/>
        <w:jc w:val="right"/>
      </w:pPr>
      <w:r>
        <w:rPr>
          <w:rFonts w:ascii="Arial" w:eastAsia="宋体" w:hAnsi="Arial" w:cs="Arial"/>
          <w:color w:val="000000"/>
          <w:sz w:val="18"/>
          <w:szCs w:val="18"/>
        </w:rPr>
        <w:t>State Street Corporation | 25</w:t>
      </w:r>
    </w:p>
    <w:p w14:paraId="71D3F7F9" w14:textId="77777777" w:rsidR="006A3667" w:rsidRDefault="006A3667">
      <w:pPr>
        <w:ind w:firstLine="450"/>
        <w:jc w:val="center"/>
      </w:pPr>
    </w:p>
    <w:p w14:paraId="71D3F7FA" w14:textId="77777777" w:rsidR="006A3667" w:rsidRDefault="00045F32">
      <w:r>
        <w:pict w14:anchorId="71D4AC2D">
          <v:rect id="_x0000_i1049" style="width:415.3pt;height:1.5pt" o:hralign="center" o:hrstd="t" o:hr="t" fillcolor="#a0a0a0" stroked="f"/>
        </w:pict>
      </w:r>
    </w:p>
    <w:p w14:paraId="71D3F7FB" w14:textId="77777777" w:rsidR="006A3667" w:rsidRDefault="00045F32">
      <w:pPr>
        <w:ind w:firstLine="450"/>
        <w:jc w:val="center"/>
      </w:pPr>
      <w:r>
        <w:rPr>
          <w:rFonts w:ascii="Arial" w:eastAsia="宋体" w:hAnsi="Arial" w:cs="Arial"/>
          <w:b/>
          <w:bCs/>
          <w:color w:val="000000"/>
          <w:sz w:val="20"/>
          <w:szCs w:val="20"/>
        </w:rPr>
        <w:t xml:space="preserve">MANAGEMENT’S </w:t>
      </w:r>
      <w:r>
        <w:rPr>
          <w:rFonts w:ascii="Arial" w:eastAsia="宋体" w:hAnsi="Arial" w:cs="Arial"/>
          <w:b/>
          <w:bCs/>
          <w:color w:val="000000"/>
          <w:sz w:val="20"/>
          <w:szCs w:val="20"/>
        </w:rPr>
        <w:t>DISCUSSION AND ANALYSIS OF FINANCIAL CONDITION</w:t>
      </w:r>
    </w:p>
    <w:p w14:paraId="71D3F7FC" w14:textId="77777777" w:rsidR="006A3667" w:rsidRDefault="00045F32">
      <w:pPr>
        <w:ind w:firstLine="450"/>
        <w:jc w:val="center"/>
      </w:pPr>
      <w:r>
        <w:rPr>
          <w:rFonts w:ascii="Arial" w:eastAsia="宋体" w:hAnsi="Arial" w:cs="Arial"/>
          <w:b/>
          <w:bCs/>
          <w:color w:val="000000"/>
          <w:sz w:val="20"/>
          <w:szCs w:val="20"/>
        </w:rPr>
        <w:t>AND RESULTS OF OPERATIONS</w:t>
      </w:r>
    </w:p>
    <w:p w14:paraId="71D3F7FD" w14:textId="77777777" w:rsidR="006A3667" w:rsidRDefault="00045F32">
      <w:pPr>
        <w:spacing w:before="60"/>
        <w:ind w:firstLine="450"/>
        <w:jc w:val="both"/>
      </w:pPr>
      <w:r>
        <w:rPr>
          <w:rFonts w:ascii="Arial" w:eastAsia="宋体" w:hAnsi="Arial" w:cs="Arial"/>
          <w:color w:val="000000"/>
          <w:sz w:val="20"/>
          <w:szCs w:val="20"/>
        </w:rPr>
        <w:t>Investment Management, through State Street Global Advisors, provides a broad range of investment management strategies and products for our clients. Our investment management strateg</w:t>
      </w:r>
      <w:r>
        <w:rPr>
          <w:rFonts w:ascii="Arial" w:eastAsia="宋体" w:hAnsi="Arial" w:cs="Arial"/>
          <w:color w:val="000000"/>
          <w:sz w:val="20"/>
          <w:szCs w:val="20"/>
        </w:rPr>
        <w:t>ies and products span the risk/reward spectrum for equity, fixed income and cash assets, including core and enhanced indexing, multi-asset strategies, active quantitative and fundamental active capabilities and alternative investment strategies. Our AUM is</w:t>
      </w:r>
      <w:r>
        <w:rPr>
          <w:rFonts w:ascii="Arial" w:eastAsia="宋体" w:hAnsi="Arial" w:cs="Arial"/>
          <w:color w:val="000000"/>
          <w:sz w:val="20"/>
          <w:szCs w:val="20"/>
        </w:rPr>
        <w:t xml:space="preserve"> currently primarily weighted to indexed strategies. In addition, we provide a breadth of services and solutions, including ESG investing, defined benefit and defined contribution and Global Fiduciary Solutions (formerly Outsourced Chief Investment Officer</w:t>
      </w:r>
      <w:r>
        <w:rPr>
          <w:rFonts w:ascii="Arial" w:eastAsia="宋体" w:hAnsi="Arial" w:cs="Arial"/>
          <w:color w:val="000000"/>
          <w:sz w:val="20"/>
          <w:szCs w:val="20"/>
        </w:rPr>
        <w:t>). State 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 xml:space="preserve">ETF brand. While management fees are primarily determined by the values of AUM and the investment strategies employed, management fees reflect other factors as well, including </w:t>
      </w:r>
      <w:r>
        <w:rPr>
          <w:rFonts w:ascii="Arial" w:eastAsia="宋体" w:hAnsi="Arial" w:cs="Arial"/>
          <w:color w:val="000000"/>
          <w:sz w:val="20"/>
          <w:szCs w:val="20"/>
        </w:rPr>
        <w:t>the benchmarks specified in the respective management agreements related to performance fees.</w:t>
      </w:r>
    </w:p>
    <w:p w14:paraId="71D3F7FE" w14:textId="77777777" w:rsidR="006A3667" w:rsidRDefault="00045F32">
      <w:pPr>
        <w:spacing w:before="60"/>
        <w:ind w:firstLine="450"/>
        <w:jc w:val="both"/>
      </w:pPr>
      <w:r>
        <w:rPr>
          <w:rFonts w:ascii="Arial" w:eastAsia="宋体" w:hAnsi="Arial" w:cs="Arial"/>
          <w:color w:val="000000"/>
          <w:sz w:val="20"/>
          <w:szCs w:val="20"/>
        </w:rPr>
        <w:t xml:space="preserve">For information about our two lines of business, as well as the revenues, expenses and capital allocation methodologies associated with them, refer to Note 17 to </w:t>
      </w:r>
      <w:r>
        <w:rPr>
          <w:rFonts w:ascii="Arial" w:eastAsia="宋体" w:hAnsi="Arial" w:cs="Arial"/>
          <w:color w:val="000000"/>
          <w:sz w:val="20"/>
          <w:szCs w:val="20"/>
        </w:rPr>
        <w:t>the consolidated financial statements in this Form 10-Q.</w:t>
      </w:r>
    </w:p>
    <w:p w14:paraId="71D3F7FF" w14:textId="77777777" w:rsidR="006A3667" w:rsidRDefault="00045F32">
      <w:pPr>
        <w:spacing w:before="90"/>
      </w:pPr>
      <w:r>
        <w:rPr>
          <w:rFonts w:ascii="Arial" w:eastAsia="宋体" w:hAnsi="Arial" w:cs="Arial"/>
          <w:b/>
          <w:bCs/>
          <w:color w:val="000000"/>
          <w:sz w:val="20"/>
          <w:szCs w:val="20"/>
        </w:rPr>
        <w:t>Investment Servicing</w:t>
      </w:r>
    </w:p>
    <w:tbl>
      <w:tblPr>
        <w:tblW w:w="5000" w:type="pct"/>
        <w:tblCellMar>
          <w:top w:w="15" w:type="dxa"/>
          <w:left w:w="15" w:type="dxa"/>
          <w:bottom w:w="15" w:type="dxa"/>
          <w:right w:w="15" w:type="dxa"/>
        </w:tblCellMar>
        <w:tblLook w:val="04A0" w:firstRow="1" w:lastRow="0" w:firstColumn="1" w:lastColumn="0" w:noHBand="0" w:noVBand="1"/>
      </w:tblPr>
      <w:tblGrid>
        <w:gridCol w:w="38"/>
        <w:gridCol w:w="2888"/>
        <w:gridCol w:w="37"/>
        <w:gridCol w:w="108"/>
        <w:gridCol w:w="108"/>
        <w:gridCol w:w="108"/>
        <w:gridCol w:w="108"/>
        <w:gridCol w:w="108"/>
        <w:gridCol w:w="36"/>
        <w:gridCol w:w="104"/>
        <w:gridCol w:w="859"/>
        <w:gridCol w:w="154"/>
        <w:gridCol w:w="36"/>
        <w:gridCol w:w="36"/>
        <w:gridCol w:w="36"/>
        <w:gridCol w:w="104"/>
        <w:gridCol w:w="860"/>
        <w:gridCol w:w="154"/>
        <w:gridCol w:w="36"/>
        <w:gridCol w:w="36"/>
        <w:gridCol w:w="36"/>
        <w:gridCol w:w="591"/>
        <w:gridCol w:w="36"/>
        <w:gridCol w:w="37"/>
        <w:gridCol w:w="772"/>
        <w:gridCol w:w="154"/>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3F822" w14:textId="77777777">
        <w:tc>
          <w:tcPr>
            <w:tcW w:w="50" w:type="pct"/>
            <w:shd w:val="clear" w:color="auto" w:fill="auto"/>
            <w:vAlign w:val="bottom"/>
          </w:tcPr>
          <w:p w14:paraId="71D3F800" w14:textId="77777777" w:rsidR="006A3667" w:rsidRDefault="006A3667">
            <w:pPr>
              <w:rPr>
                <w:rFonts w:ascii="宋体"/>
              </w:rPr>
            </w:pPr>
          </w:p>
        </w:tc>
        <w:tc>
          <w:tcPr>
            <w:tcW w:w="2423" w:type="pct"/>
            <w:shd w:val="clear" w:color="auto" w:fill="auto"/>
            <w:vAlign w:val="bottom"/>
          </w:tcPr>
          <w:p w14:paraId="71D3F801" w14:textId="77777777" w:rsidR="006A3667" w:rsidRDefault="006A3667">
            <w:pPr>
              <w:rPr>
                <w:rFonts w:ascii="宋体"/>
              </w:rPr>
            </w:pPr>
          </w:p>
        </w:tc>
        <w:tc>
          <w:tcPr>
            <w:tcW w:w="5" w:type="pct"/>
            <w:shd w:val="clear" w:color="auto" w:fill="auto"/>
            <w:vAlign w:val="bottom"/>
          </w:tcPr>
          <w:p w14:paraId="71D3F802" w14:textId="77777777" w:rsidR="006A3667" w:rsidRDefault="006A3667">
            <w:pPr>
              <w:rPr>
                <w:rFonts w:ascii="宋体"/>
              </w:rPr>
            </w:pPr>
          </w:p>
        </w:tc>
        <w:tc>
          <w:tcPr>
            <w:tcW w:w="0" w:type="auto"/>
            <w:shd w:val="clear" w:color="auto" w:fill="auto"/>
            <w:vAlign w:val="bottom"/>
          </w:tcPr>
          <w:p w14:paraId="71D3F803" w14:textId="77777777" w:rsidR="006A3667" w:rsidRDefault="006A3667">
            <w:pPr>
              <w:rPr>
                <w:rFonts w:ascii="宋体"/>
                <w:vanish/>
              </w:rPr>
            </w:pPr>
          </w:p>
        </w:tc>
        <w:tc>
          <w:tcPr>
            <w:tcW w:w="0" w:type="auto"/>
            <w:shd w:val="clear" w:color="auto" w:fill="auto"/>
            <w:vAlign w:val="bottom"/>
          </w:tcPr>
          <w:p w14:paraId="71D3F804" w14:textId="77777777" w:rsidR="006A3667" w:rsidRDefault="006A3667">
            <w:pPr>
              <w:rPr>
                <w:rFonts w:ascii="宋体"/>
                <w:vanish/>
              </w:rPr>
            </w:pPr>
          </w:p>
        </w:tc>
        <w:tc>
          <w:tcPr>
            <w:tcW w:w="0" w:type="auto"/>
            <w:shd w:val="clear" w:color="auto" w:fill="auto"/>
            <w:vAlign w:val="bottom"/>
          </w:tcPr>
          <w:p w14:paraId="71D3F805" w14:textId="77777777" w:rsidR="006A3667" w:rsidRDefault="006A3667">
            <w:pPr>
              <w:rPr>
                <w:rFonts w:ascii="宋体"/>
                <w:vanish/>
              </w:rPr>
            </w:pPr>
          </w:p>
        </w:tc>
        <w:tc>
          <w:tcPr>
            <w:tcW w:w="0" w:type="auto"/>
            <w:shd w:val="clear" w:color="auto" w:fill="auto"/>
            <w:vAlign w:val="bottom"/>
          </w:tcPr>
          <w:p w14:paraId="71D3F806" w14:textId="77777777" w:rsidR="006A3667" w:rsidRDefault="006A3667">
            <w:pPr>
              <w:rPr>
                <w:rFonts w:ascii="宋体"/>
                <w:vanish/>
              </w:rPr>
            </w:pPr>
          </w:p>
        </w:tc>
        <w:tc>
          <w:tcPr>
            <w:tcW w:w="0" w:type="auto"/>
            <w:shd w:val="clear" w:color="auto" w:fill="auto"/>
            <w:vAlign w:val="bottom"/>
          </w:tcPr>
          <w:p w14:paraId="71D3F807" w14:textId="77777777" w:rsidR="006A3667" w:rsidRDefault="006A3667">
            <w:pPr>
              <w:rPr>
                <w:rFonts w:ascii="宋体"/>
                <w:vanish/>
              </w:rPr>
            </w:pPr>
          </w:p>
        </w:tc>
        <w:tc>
          <w:tcPr>
            <w:tcW w:w="0" w:type="auto"/>
            <w:shd w:val="clear" w:color="auto" w:fill="auto"/>
            <w:vAlign w:val="bottom"/>
          </w:tcPr>
          <w:p w14:paraId="71D3F808" w14:textId="77777777" w:rsidR="006A3667" w:rsidRDefault="006A3667">
            <w:pPr>
              <w:rPr>
                <w:rFonts w:ascii="宋体"/>
                <w:vanish/>
              </w:rPr>
            </w:pPr>
          </w:p>
        </w:tc>
        <w:tc>
          <w:tcPr>
            <w:tcW w:w="50" w:type="pct"/>
            <w:shd w:val="clear" w:color="auto" w:fill="auto"/>
            <w:vAlign w:val="bottom"/>
          </w:tcPr>
          <w:p w14:paraId="71D3F809" w14:textId="77777777" w:rsidR="006A3667" w:rsidRDefault="006A3667">
            <w:pPr>
              <w:rPr>
                <w:rFonts w:ascii="宋体"/>
              </w:rPr>
            </w:pPr>
          </w:p>
        </w:tc>
        <w:tc>
          <w:tcPr>
            <w:tcW w:w="763" w:type="pct"/>
            <w:shd w:val="clear" w:color="auto" w:fill="auto"/>
            <w:vAlign w:val="bottom"/>
          </w:tcPr>
          <w:p w14:paraId="71D3F80A" w14:textId="77777777" w:rsidR="006A3667" w:rsidRDefault="006A3667">
            <w:pPr>
              <w:rPr>
                <w:rFonts w:ascii="宋体"/>
              </w:rPr>
            </w:pPr>
          </w:p>
        </w:tc>
        <w:tc>
          <w:tcPr>
            <w:tcW w:w="5" w:type="pct"/>
            <w:shd w:val="clear" w:color="auto" w:fill="auto"/>
            <w:vAlign w:val="bottom"/>
          </w:tcPr>
          <w:p w14:paraId="71D3F80B" w14:textId="77777777" w:rsidR="006A3667" w:rsidRDefault="006A3667">
            <w:pPr>
              <w:rPr>
                <w:rFonts w:ascii="宋体"/>
              </w:rPr>
            </w:pPr>
          </w:p>
        </w:tc>
        <w:tc>
          <w:tcPr>
            <w:tcW w:w="5" w:type="pct"/>
            <w:shd w:val="clear" w:color="auto" w:fill="auto"/>
            <w:vAlign w:val="bottom"/>
          </w:tcPr>
          <w:p w14:paraId="71D3F80C" w14:textId="77777777" w:rsidR="006A3667" w:rsidRDefault="006A3667">
            <w:pPr>
              <w:rPr>
                <w:rFonts w:ascii="宋体"/>
              </w:rPr>
            </w:pPr>
          </w:p>
        </w:tc>
        <w:tc>
          <w:tcPr>
            <w:tcW w:w="19" w:type="pct"/>
            <w:shd w:val="clear" w:color="auto" w:fill="auto"/>
            <w:vAlign w:val="bottom"/>
          </w:tcPr>
          <w:p w14:paraId="71D3F80D" w14:textId="77777777" w:rsidR="006A3667" w:rsidRDefault="006A3667">
            <w:pPr>
              <w:rPr>
                <w:rFonts w:ascii="宋体"/>
              </w:rPr>
            </w:pPr>
          </w:p>
        </w:tc>
        <w:tc>
          <w:tcPr>
            <w:tcW w:w="5" w:type="pct"/>
            <w:shd w:val="clear" w:color="auto" w:fill="auto"/>
            <w:vAlign w:val="bottom"/>
          </w:tcPr>
          <w:p w14:paraId="71D3F80E" w14:textId="77777777" w:rsidR="006A3667" w:rsidRDefault="006A3667">
            <w:pPr>
              <w:rPr>
                <w:rFonts w:ascii="宋体"/>
              </w:rPr>
            </w:pPr>
          </w:p>
        </w:tc>
        <w:tc>
          <w:tcPr>
            <w:tcW w:w="50" w:type="pct"/>
            <w:shd w:val="clear" w:color="auto" w:fill="auto"/>
            <w:vAlign w:val="bottom"/>
          </w:tcPr>
          <w:p w14:paraId="71D3F80F" w14:textId="77777777" w:rsidR="006A3667" w:rsidRDefault="006A3667">
            <w:pPr>
              <w:rPr>
                <w:rFonts w:ascii="宋体"/>
              </w:rPr>
            </w:pPr>
          </w:p>
        </w:tc>
        <w:tc>
          <w:tcPr>
            <w:tcW w:w="763" w:type="pct"/>
            <w:shd w:val="clear" w:color="auto" w:fill="auto"/>
            <w:vAlign w:val="bottom"/>
          </w:tcPr>
          <w:p w14:paraId="71D3F810" w14:textId="77777777" w:rsidR="006A3667" w:rsidRDefault="006A3667">
            <w:pPr>
              <w:rPr>
                <w:rFonts w:ascii="宋体"/>
              </w:rPr>
            </w:pPr>
          </w:p>
        </w:tc>
        <w:tc>
          <w:tcPr>
            <w:tcW w:w="5" w:type="pct"/>
            <w:shd w:val="clear" w:color="auto" w:fill="auto"/>
            <w:vAlign w:val="bottom"/>
          </w:tcPr>
          <w:p w14:paraId="71D3F811" w14:textId="77777777" w:rsidR="006A3667" w:rsidRDefault="006A3667">
            <w:pPr>
              <w:rPr>
                <w:rFonts w:ascii="宋体"/>
              </w:rPr>
            </w:pPr>
          </w:p>
        </w:tc>
        <w:tc>
          <w:tcPr>
            <w:tcW w:w="5" w:type="pct"/>
            <w:shd w:val="clear" w:color="auto" w:fill="auto"/>
            <w:vAlign w:val="bottom"/>
          </w:tcPr>
          <w:p w14:paraId="71D3F812" w14:textId="77777777" w:rsidR="006A3667" w:rsidRDefault="006A3667">
            <w:pPr>
              <w:rPr>
                <w:rFonts w:ascii="宋体"/>
              </w:rPr>
            </w:pPr>
          </w:p>
        </w:tc>
        <w:tc>
          <w:tcPr>
            <w:tcW w:w="26" w:type="pct"/>
            <w:shd w:val="clear" w:color="auto" w:fill="auto"/>
            <w:vAlign w:val="bottom"/>
          </w:tcPr>
          <w:p w14:paraId="71D3F813" w14:textId="77777777" w:rsidR="006A3667" w:rsidRDefault="006A3667">
            <w:pPr>
              <w:rPr>
                <w:rFonts w:ascii="宋体"/>
              </w:rPr>
            </w:pPr>
          </w:p>
        </w:tc>
        <w:tc>
          <w:tcPr>
            <w:tcW w:w="5" w:type="pct"/>
            <w:shd w:val="clear" w:color="auto" w:fill="auto"/>
            <w:vAlign w:val="bottom"/>
          </w:tcPr>
          <w:p w14:paraId="71D3F814" w14:textId="77777777" w:rsidR="006A3667" w:rsidRDefault="006A3667">
            <w:pPr>
              <w:rPr>
                <w:rFonts w:ascii="宋体"/>
              </w:rPr>
            </w:pPr>
          </w:p>
        </w:tc>
        <w:tc>
          <w:tcPr>
            <w:tcW w:w="0" w:type="auto"/>
            <w:shd w:val="clear" w:color="auto" w:fill="auto"/>
            <w:vAlign w:val="bottom"/>
          </w:tcPr>
          <w:p w14:paraId="71D3F815" w14:textId="77777777" w:rsidR="006A3667" w:rsidRDefault="006A3667">
            <w:pPr>
              <w:rPr>
                <w:rFonts w:ascii="宋体"/>
                <w:vanish/>
              </w:rPr>
            </w:pPr>
          </w:p>
        </w:tc>
        <w:tc>
          <w:tcPr>
            <w:tcW w:w="0" w:type="auto"/>
            <w:shd w:val="clear" w:color="auto" w:fill="auto"/>
            <w:vAlign w:val="bottom"/>
          </w:tcPr>
          <w:p w14:paraId="71D3F816" w14:textId="77777777" w:rsidR="006A3667" w:rsidRDefault="006A3667">
            <w:pPr>
              <w:rPr>
                <w:rFonts w:ascii="宋体"/>
                <w:vanish/>
              </w:rPr>
            </w:pPr>
          </w:p>
        </w:tc>
        <w:tc>
          <w:tcPr>
            <w:tcW w:w="50" w:type="pct"/>
            <w:shd w:val="clear" w:color="auto" w:fill="auto"/>
            <w:vAlign w:val="bottom"/>
          </w:tcPr>
          <w:p w14:paraId="71D3F817" w14:textId="77777777" w:rsidR="006A3667" w:rsidRDefault="006A3667">
            <w:pPr>
              <w:rPr>
                <w:rFonts w:ascii="宋体"/>
              </w:rPr>
            </w:pPr>
          </w:p>
        </w:tc>
        <w:tc>
          <w:tcPr>
            <w:tcW w:w="763" w:type="pct"/>
            <w:shd w:val="clear" w:color="auto" w:fill="auto"/>
            <w:vAlign w:val="bottom"/>
          </w:tcPr>
          <w:p w14:paraId="71D3F818" w14:textId="77777777" w:rsidR="006A3667" w:rsidRDefault="006A3667">
            <w:pPr>
              <w:rPr>
                <w:rFonts w:ascii="宋体"/>
              </w:rPr>
            </w:pPr>
          </w:p>
        </w:tc>
        <w:tc>
          <w:tcPr>
            <w:tcW w:w="5" w:type="pct"/>
            <w:shd w:val="clear" w:color="auto" w:fill="auto"/>
            <w:vAlign w:val="bottom"/>
          </w:tcPr>
          <w:p w14:paraId="71D3F819" w14:textId="77777777" w:rsidR="006A3667" w:rsidRDefault="006A3667">
            <w:pPr>
              <w:rPr>
                <w:rFonts w:ascii="宋体"/>
              </w:rPr>
            </w:pPr>
          </w:p>
        </w:tc>
        <w:tc>
          <w:tcPr>
            <w:tcW w:w="0" w:type="auto"/>
            <w:gridSpan w:val="3"/>
            <w:shd w:val="clear" w:color="auto" w:fill="auto"/>
            <w:vAlign w:val="bottom"/>
          </w:tcPr>
          <w:p w14:paraId="71D3F81A" w14:textId="77777777" w:rsidR="006A3667" w:rsidRDefault="006A3667">
            <w:pPr>
              <w:rPr>
                <w:rFonts w:ascii="宋体"/>
                <w:vanish/>
              </w:rPr>
            </w:pPr>
          </w:p>
        </w:tc>
        <w:tc>
          <w:tcPr>
            <w:tcW w:w="0" w:type="auto"/>
            <w:gridSpan w:val="3"/>
            <w:shd w:val="clear" w:color="auto" w:fill="auto"/>
            <w:vAlign w:val="bottom"/>
          </w:tcPr>
          <w:p w14:paraId="71D3F81B" w14:textId="77777777" w:rsidR="006A3667" w:rsidRDefault="006A3667">
            <w:pPr>
              <w:rPr>
                <w:rFonts w:ascii="宋体"/>
                <w:vanish/>
              </w:rPr>
            </w:pPr>
          </w:p>
        </w:tc>
        <w:tc>
          <w:tcPr>
            <w:tcW w:w="0" w:type="auto"/>
            <w:gridSpan w:val="3"/>
            <w:shd w:val="clear" w:color="auto" w:fill="auto"/>
            <w:vAlign w:val="bottom"/>
          </w:tcPr>
          <w:p w14:paraId="71D3F81C" w14:textId="77777777" w:rsidR="006A3667" w:rsidRDefault="006A3667">
            <w:pPr>
              <w:rPr>
                <w:rFonts w:ascii="宋体"/>
                <w:vanish/>
              </w:rPr>
            </w:pPr>
          </w:p>
        </w:tc>
        <w:tc>
          <w:tcPr>
            <w:tcW w:w="0" w:type="auto"/>
            <w:gridSpan w:val="3"/>
            <w:shd w:val="clear" w:color="auto" w:fill="auto"/>
            <w:vAlign w:val="bottom"/>
          </w:tcPr>
          <w:p w14:paraId="71D3F81D" w14:textId="77777777" w:rsidR="006A3667" w:rsidRDefault="006A3667">
            <w:pPr>
              <w:rPr>
                <w:rFonts w:ascii="宋体"/>
                <w:vanish/>
              </w:rPr>
            </w:pPr>
          </w:p>
        </w:tc>
        <w:tc>
          <w:tcPr>
            <w:tcW w:w="0" w:type="auto"/>
            <w:gridSpan w:val="3"/>
            <w:shd w:val="clear" w:color="auto" w:fill="auto"/>
            <w:vAlign w:val="bottom"/>
          </w:tcPr>
          <w:p w14:paraId="71D3F81E" w14:textId="77777777" w:rsidR="006A3667" w:rsidRDefault="006A3667">
            <w:pPr>
              <w:rPr>
                <w:rFonts w:ascii="宋体"/>
                <w:vanish/>
              </w:rPr>
            </w:pPr>
          </w:p>
        </w:tc>
        <w:tc>
          <w:tcPr>
            <w:tcW w:w="0" w:type="auto"/>
            <w:gridSpan w:val="3"/>
            <w:shd w:val="clear" w:color="auto" w:fill="auto"/>
            <w:vAlign w:val="bottom"/>
          </w:tcPr>
          <w:p w14:paraId="71D3F81F" w14:textId="77777777" w:rsidR="006A3667" w:rsidRDefault="006A3667">
            <w:pPr>
              <w:rPr>
                <w:rFonts w:ascii="宋体"/>
                <w:vanish/>
              </w:rPr>
            </w:pPr>
          </w:p>
        </w:tc>
        <w:tc>
          <w:tcPr>
            <w:tcW w:w="0" w:type="auto"/>
            <w:gridSpan w:val="2"/>
            <w:shd w:val="clear" w:color="auto" w:fill="auto"/>
            <w:vAlign w:val="bottom"/>
          </w:tcPr>
          <w:p w14:paraId="71D3F820" w14:textId="77777777" w:rsidR="006A3667" w:rsidRDefault="006A3667">
            <w:pPr>
              <w:rPr>
                <w:rFonts w:ascii="宋体"/>
                <w:vanish/>
              </w:rPr>
            </w:pPr>
          </w:p>
        </w:tc>
        <w:tc>
          <w:tcPr>
            <w:tcW w:w="0" w:type="auto"/>
            <w:shd w:val="clear" w:color="auto" w:fill="auto"/>
            <w:vAlign w:val="bottom"/>
          </w:tcPr>
          <w:p w14:paraId="71D3F821" w14:textId="77777777" w:rsidR="006A3667" w:rsidRDefault="006A3667">
            <w:pPr>
              <w:rPr>
                <w:rFonts w:ascii="宋体"/>
                <w:vanish/>
              </w:rPr>
            </w:pPr>
          </w:p>
        </w:tc>
      </w:tr>
      <w:tr w:rsidR="006A3667" w14:paraId="71D3F841" w14:textId="77777777">
        <w:tc>
          <w:tcPr>
            <w:tcW w:w="0" w:type="auto"/>
            <w:gridSpan w:val="8"/>
            <w:shd w:val="clear" w:color="auto" w:fill="auto"/>
            <w:tcMar>
              <w:top w:w="40" w:type="dxa"/>
              <w:left w:w="20" w:type="dxa"/>
              <w:bottom w:w="40" w:type="dxa"/>
              <w:right w:w="20" w:type="dxa"/>
            </w:tcMar>
            <w:vAlign w:val="bottom"/>
          </w:tcPr>
          <w:p w14:paraId="71D3F823" w14:textId="77777777" w:rsidR="006A3667" w:rsidRDefault="00045F32">
            <w:pPr>
              <w:jc w:val="both"/>
              <w:textAlignment w:val="bottom"/>
            </w:pPr>
            <w:r>
              <w:rPr>
                <w:rFonts w:ascii="Arial" w:eastAsia="宋体" w:hAnsi="Arial" w:cs="Arial"/>
                <w:b/>
                <w:bCs/>
                <w:color w:val="000000"/>
                <w:sz w:val="16"/>
                <w:szCs w:val="16"/>
              </w:rPr>
              <w:t>TABLE 17: INVESTMENT SERVICING LINE OF BUSINESS RESULTS</w:t>
            </w:r>
          </w:p>
        </w:tc>
        <w:tc>
          <w:tcPr>
            <w:tcW w:w="0" w:type="auto"/>
            <w:shd w:val="clear" w:color="auto" w:fill="auto"/>
            <w:vAlign w:val="bottom"/>
          </w:tcPr>
          <w:p w14:paraId="71D3F824" w14:textId="77777777" w:rsidR="006A3667" w:rsidRDefault="006A3667">
            <w:pPr>
              <w:rPr>
                <w:rFonts w:ascii="宋体"/>
                <w:vanish/>
              </w:rPr>
            </w:pPr>
          </w:p>
        </w:tc>
        <w:tc>
          <w:tcPr>
            <w:tcW w:w="0" w:type="auto"/>
            <w:gridSpan w:val="3"/>
            <w:shd w:val="clear" w:color="auto" w:fill="auto"/>
            <w:vAlign w:val="bottom"/>
          </w:tcPr>
          <w:p w14:paraId="71D3F825" w14:textId="77777777" w:rsidR="006A3667" w:rsidRDefault="006A3667">
            <w:pPr>
              <w:rPr>
                <w:rFonts w:ascii="宋体"/>
                <w:vanish/>
              </w:rPr>
            </w:pPr>
          </w:p>
        </w:tc>
        <w:tc>
          <w:tcPr>
            <w:tcW w:w="0" w:type="auto"/>
            <w:gridSpan w:val="3"/>
            <w:shd w:val="clear" w:color="auto" w:fill="auto"/>
            <w:vAlign w:val="bottom"/>
          </w:tcPr>
          <w:p w14:paraId="71D3F826" w14:textId="77777777" w:rsidR="006A3667" w:rsidRDefault="006A3667">
            <w:pPr>
              <w:rPr>
                <w:rFonts w:ascii="宋体"/>
                <w:vanish/>
              </w:rPr>
            </w:pPr>
          </w:p>
        </w:tc>
        <w:tc>
          <w:tcPr>
            <w:tcW w:w="0" w:type="auto"/>
            <w:gridSpan w:val="3"/>
            <w:shd w:val="clear" w:color="auto" w:fill="auto"/>
            <w:vAlign w:val="bottom"/>
          </w:tcPr>
          <w:p w14:paraId="71D3F827" w14:textId="77777777" w:rsidR="006A3667" w:rsidRDefault="006A3667">
            <w:pPr>
              <w:rPr>
                <w:rFonts w:ascii="宋体"/>
                <w:vanish/>
              </w:rPr>
            </w:pPr>
          </w:p>
        </w:tc>
        <w:tc>
          <w:tcPr>
            <w:tcW w:w="0" w:type="auto"/>
            <w:gridSpan w:val="3"/>
            <w:shd w:val="clear" w:color="auto" w:fill="auto"/>
            <w:vAlign w:val="bottom"/>
          </w:tcPr>
          <w:p w14:paraId="71D3F828" w14:textId="77777777" w:rsidR="006A3667" w:rsidRDefault="006A3667">
            <w:pPr>
              <w:rPr>
                <w:rFonts w:ascii="宋体"/>
                <w:vanish/>
              </w:rPr>
            </w:pPr>
          </w:p>
        </w:tc>
        <w:tc>
          <w:tcPr>
            <w:tcW w:w="0" w:type="auto"/>
            <w:shd w:val="clear" w:color="auto" w:fill="auto"/>
            <w:vAlign w:val="bottom"/>
          </w:tcPr>
          <w:p w14:paraId="71D3F829" w14:textId="77777777" w:rsidR="006A3667" w:rsidRDefault="006A3667">
            <w:pPr>
              <w:rPr>
                <w:rFonts w:ascii="宋体"/>
                <w:vanish/>
              </w:rPr>
            </w:pPr>
          </w:p>
        </w:tc>
        <w:tc>
          <w:tcPr>
            <w:tcW w:w="0" w:type="auto"/>
            <w:shd w:val="clear" w:color="auto" w:fill="auto"/>
            <w:vAlign w:val="bottom"/>
          </w:tcPr>
          <w:p w14:paraId="71D3F82A" w14:textId="77777777" w:rsidR="006A3667" w:rsidRDefault="006A3667">
            <w:pPr>
              <w:rPr>
                <w:rFonts w:ascii="宋体"/>
                <w:vanish/>
              </w:rPr>
            </w:pPr>
          </w:p>
        </w:tc>
        <w:tc>
          <w:tcPr>
            <w:tcW w:w="0" w:type="auto"/>
            <w:gridSpan w:val="3"/>
            <w:shd w:val="clear" w:color="auto" w:fill="auto"/>
            <w:vAlign w:val="bottom"/>
          </w:tcPr>
          <w:p w14:paraId="71D3F82B" w14:textId="77777777" w:rsidR="006A3667" w:rsidRDefault="006A3667">
            <w:pPr>
              <w:rPr>
                <w:rFonts w:ascii="宋体"/>
                <w:vanish/>
              </w:rPr>
            </w:pPr>
          </w:p>
        </w:tc>
        <w:tc>
          <w:tcPr>
            <w:tcW w:w="0" w:type="auto"/>
            <w:shd w:val="clear" w:color="auto" w:fill="auto"/>
            <w:vAlign w:val="bottom"/>
          </w:tcPr>
          <w:p w14:paraId="71D3F82C" w14:textId="77777777" w:rsidR="006A3667" w:rsidRDefault="006A3667">
            <w:pPr>
              <w:rPr>
                <w:rFonts w:ascii="宋体"/>
              </w:rPr>
            </w:pPr>
          </w:p>
        </w:tc>
        <w:tc>
          <w:tcPr>
            <w:tcW w:w="0" w:type="auto"/>
            <w:shd w:val="clear" w:color="auto" w:fill="auto"/>
            <w:vAlign w:val="bottom"/>
          </w:tcPr>
          <w:p w14:paraId="71D3F82D" w14:textId="77777777" w:rsidR="006A3667" w:rsidRDefault="006A3667">
            <w:pPr>
              <w:rPr>
                <w:rFonts w:ascii="宋体"/>
              </w:rPr>
            </w:pPr>
          </w:p>
        </w:tc>
        <w:tc>
          <w:tcPr>
            <w:tcW w:w="0" w:type="auto"/>
            <w:shd w:val="clear" w:color="auto" w:fill="auto"/>
            <w:vAlign w:val="bottom"/>
          </w:tcPr>
          <w:p w14:paraId="71D3F82E" w14:textId="77777777" w:rsidR="006A3667" w:rsidRDefault="006A3667">
            <w:pPr>
              <w:rPr>
                <w:rFonts w:ascii="宋体"/>
              </w:rPr>
            </w:pPr>
          </w:p>
        </w:tc>
        <w:tc>
          <w:tcPr>
            <w:tcW w:w="0" w:type="auto"/>
            <w:shd w:val="clear" w:color="auto" w:fill="auto"/>
            <w:vAlign w:val="bottom"/>
          </w:tcPr>
          <w:p w14:paraId="71D3F82F" w14:textId="77777777" w:rsidR="006A3667" w:rsidRDefault="006A3667">
            <w:pPr>
              <w:rPr>
                <w:rFonts w:ascii="宋体"/>
              </w:rPr>
            </w:pPr>
          </w:p>
        </w:tc>
        <w:tc>
          <w:tcPr>
            <w:tcW w:w="0" w:type="auto"/>
            <w:shd w:val="clear" w:color="auto" w:fill="auto"/>
            <w:vAlign w:val="bottom"/>
          </w:tcPr>
          <w:p w14:paraId="71D3F830" w14:textId="77777777" w:rsidR="006A3667" w:rsidRDefault="006A3667">
            <w:pPr>
              <w:rPr>
                <w:rFonts w:ascii="宋体"/>
              </w:rPr>
            </w:pPr>
          </w:p>
        </w:tc>
        <w:tc>
          <w:tcPr>
            <w:tcW w:w="0" w:type="auto"/>
            <w:shd w:val="clear" w:color="auto" w:fill="auto"/>
            <w:vAlign w:val="bottom"/>
          </w:tcPr>
          <w:p w14:paraId="71D3F831" w14:textId="77777777" w:rsidR="006A3667" w:rsidRDefault="006A3667">
            <w:pPr>
              <w:rPr>
                <w:rFonts w:ascii="宋体"/>
              </w:rPr>
            </w:pPr>
          </w:p>
        </w:tc>
        <w:tc>
          <w:tcPr>
            <w:tcW w:w="0" w:type="auto"/>
            <w:shd w:val="clear" w:color="auto" w:fill="auto"/>
            <w:vAlign w:val="bottom"/>
          </w:tcPr>
          <w:p w14:paraId="71D3F832" w14:textId="77777777" w:rsidR="006A3667" w:rsidRDefault="006A3667">
            <w:pPr>
              <w:rPr>
                <w:rFonts w:ascii="宋体"/>
              </w:rPr>
            </w:pPr>
          </w:p>
        </w:tc>
        <w:tc>
          <w:tcPr>
            <w:tcW w:w="0" w:type="auto"/>
            <w:shd w:val="clear" w:color="auto" w:fill="auto"/>
            <w:vAlign w:val="bottom"/>
          </w:tcPr>
          <w:p w14:paraId="71D3F833" w14:textId="77777777" w:rsidR="006A3667" w:rsidRDefault="006A3667">
            <w:pPr>
              <w:rPr>
                <w:rFonts w:ascii="宋体"/>
              </w:rPr>
            </w:pPr>
          </w:p>
        </w:tc>
        <w:tc>
          <w:tcPr>
            <w:tcW w:w="0" w:type="auto"/>
            <w:shd w:val="clear" w:color="auto" w:fill="auto"/>
            <w:vAlign w:val="bottom"/>
          </w:tcPr>
          <w:p w14:paraId="71D3F834" w14:textId="77777777" w:rsidR="006A3667" w:rsidRDefault="006A3667">
            <w:pPr>
              <w:rPr>
                <w:rFonts w:ascii="宋体"/>
              </w:rPr>
            </w:pPr>
          </w:p>
        </w:tc>
        <w:tc>
          <w:tcPr>
            <w:tcW w:w="0" w:type="auto"/>
            <w:shd w:val="clear" w:color="auto" w:fill="auto"/>
            <w:vAlign w:val="bottom"/>
          </w:tcPr>
          <w:p w14:paraId="71D3F835" w14:textId="77777777" w:rsidR="006A3667" w:rsidRDefault="006A3667">
            <w:pPr>
              <w:rPr>
                <w:rFonts w:ascii="宋体"/>
              </w:rPr>
            </w:pPr>
          </w:p>
        </w:tc>
        <w:tc>
          <w:tcPr>
            <w:tcW w:w="0" w:type="auto"/>
            <w:shd w:val="clear" w:color="auto" w:fill="auto"/>
            <w:vAlign w:val="bottom"/>
          </w:tcPr>
          <w:p w14:paraId="71D3F836" w14:textId="77777777" w:rsidR="006A3667" w:rsidRDefault="006A3667">
            <w:pPr>
              <w:rPr>
                <w:rFonts w:ascii="宋体"/>
              </w:rPr>
            </w:pPr>
          </w:p>
        </w:tc>
        <w:tc>
          <w:tcPr>
            <w:tcW w:w="0" w:type="auto"/>
            <w:shd w:val="clear" w:color="auto" w:fill="auto"/>
            <w:vAlign w:val="bottom"/>
          </w:tcPr>
          <w:p w14:paraId="71D3F837" w14:textId="77777777" w:rsidR="006A3667" w:rsidRDefault="006A3667">
            <w:pPr>
              <w:rPr>
                <w:rFonts w:ascii="宋体"/>
              </w:rPr>
            </w:pPr>
          </w:p>
        </w:tc>
        <w:tc>
          <w:tcPr>
            <w:tcW w:w="0" w:type="auto"/>
            <w:shd w:val="clear" w:color="auto" w:fill="auto"/>
            <w:vAlign w:val="bottom"/>
          </w:tcPr>
          <w:p w14:paraId="71D3F838" w14:textId="77777777" w:rsidR="006A3667" w:rsidRDefault="006A3667">
            <w:pPr>
              <w:rPr>
                <w:rFonts w:ascii="宋体"/>
              </w:rPr>
            </w:pPr>
          </w:p>
        </w:tc>
        <w:tc>
          <w:tcPr>
            <w:tcW w:w="0" w:type="auto"/>
            <w:shd w:val="clear" w:color="auto" w:fill="auto"/>
            <w:vAlign w:val="bottom"/>
          </w:tcPr>
          <w:p w14:paraId="71D3F839" w14:textId="77777777" w:rsidR="006A3667" w:rsidRDefault="006A3667">
            <w:pPr>
              <w:rPr>
                <w:rFonts w:ascii="宋体"/>
              </w:rPr>
            </w:pPr>
          </w:p>
        </w:tc>
        <w:tc>
          <w:tcPr>
            <w:tcW w:w="0" w:type="auto"/>
            <w:shd w:val="clear" w:color="auto" w:fill="auto"/>
            <w:vAlign w:val="bottom"/>
          </w:tcPr>
          <w:p w14:paraId="71D3F83A" w14:textId="77777777" w:rsidR="006A3667" w:rsidRDefault="006A3667">
            <w:pPr>
              <w:rPr>
                <w:rFonts w:ascii="宋体"/>
              </w:rPr>
            </w:pPr>
          </w:p>
        </w:tc>
        <w:tc>
          <w:tcPr>
            <w:tcW w:w="0" w:type="auto"/>
            <w:shd w:val="clear" w:color="auto" w:fill="auto"/>
            <w:vAlign w:val="bottom"/>
          </w:tcPr>
          <w:p w14:paraId="71D3F83B" w14:textId="77777777" w:rsidR="006A3667" w:rsidRDefault="006A3667">
            <w:pPr>
              <w:rPr>
                <w:rFonts w:ascii="宋体"/>
              </w:rPr>
            </w:pPr>
          </w:p>
        </w:tc>
        <w:tc>
          <w:tcPr>
            <w:tcW w:w="0" w:type="auto"/>
            <w:shd w:val="clear" w:color="auto" w:fill="auto"/>
            <w:vAlign w:val="bottom"/>
          </w:tcPr>
          <w:p w14:paraId="71D3F83C" w14:textId="77777777" w:rsidR="006A3667" w:rsidRDefault="006A3667">
            <w:pPr>
              <w:rPr>
                <w:rFonts w:ascii="宋体"/>
              </w:rPr>
            </w:pPr>
          </w:p>
        </w:tc>
        <w:tc>
          <w:tcPr>
            <w:tcW w:w="0" w:type="auto"/>
            <w:shd w:val="clear" w:color="auto" w:fill="auto"/>
            <w:vAlign w:val="bottom"/>
          </w:tcPr>
          <w:p w14:paraId="71D3F83D" w14:textId="77777777" w:rsidR="006A3667" w:rsidRDefault="006A3667">
            <w:pPr>
              <w:rPr>
                <w:rFonts w:ascii="宋体"/>
              </w:rPr>
            </w:pPr>
          </w:p>
        </w:tc>
        <w:tc>
          <w:tcPr>
            <w:tcW w:w="0" w:type="auto"/>
            <w:shd w:val="clear" w:color="auto" w:fill="auto"/>
            <w:vAlign w:val="bottom"/>
          </w:tcPr>
          <w:p w14:paraId="71D3F83E" w14:textId="77777777" w:rsidR="006A3667" w:rsidRDefault="006A3667">
            <w:pPr>
              <w:rPr>
                <w:rFonts w:ascii="宋体"/>
              </w:rPr>
            </w:pPr>
          </w:p>
        </w:tc>
        <w:tc>
          <w:tcPr>
            <w:tcW w:w="0" w:type="auto"/>
            <w:shd w:val="clear" w:color="auto" w:fill="auto"/>
            <w:vAlign w:val="bottom"/>
          </w:tcPr>
          <w:p w14:paraId="71D3F83F" w14:textId="77777777" w:rsidR="006A3667" w:rsidRDefault="006A3667">
            <w:pPr>
              <w:rPr>
                <w:rFonts w:ascii="宋体"/>
              </w:rPr>
            </w:pPr>
          </w:p>
        </w:tc>
        <w:tc>
          <w:tcPr>
            <w:tcW w:w="0" w:type="auto"/>
            <w:shd w:val="clear" w:color="auto" w:fill="auto"/>
            <w:vAlign w:val="bottom"/>
          </w:tcPr>
          <w:p w14:paraId="71D3F840" w14:textId="77777777" w:rsidR="006A3667" w:rsidRDefault="006A3667">
            <w:pPr>
              <w:rPr>
                <w:rFonts w:ascii="宋体"/>
              </w:rPr>
            </w:pPr>
          </w:p>
        </w:tc>
      </w:tr>
      <w:tr w:rsidR="006A3667" w14:paraId="71D3F857"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71D3F842" w14:textId="77777777" w:rsidR="006A3667" w:rsidRDefault="00045F32">
            <w:pPr>
              <w:textAlignment w:val="bottom"/>
            </w:pPr>
            <w:r>
              <w:rPr>
                <w:rFonts w:ascii="Arial" w:eastAsia="宋体" w:hAnsi="Arial" w:cs="Arial"/>
                <w:b/>
                <w:bCs/>
                <w:color w:val="000000"/>
                <w:sz w:val="15"/>
                <w:szCs w:val="15"/>
              </w:rPr>
              <w:t>(Dollars in millions, except where otherwise noted)</w:t>
            </w:r>
          </w:p>
        </w:tc>
        <w:tc>
          <w:tcPr>
            <w:tcW w:w="0" w:type="auto"/>
            <w:shd w:val="clear" w:color="auto" w:fill="auto"/>
            <w:vAlign w:val="bottom"/>
          </w:tcPr>
          <w:p w14:paraId="71D3F843" w14:textId="77777777" w:rsidR="006A3667" w:rsidRDefault="006A3667">
            <w:pPr>
              <w:rPr>
                <w:rFonts w:ascii="宋体"/>
                <w:vanish/>
              </w:rPr>
            </w:pPr>
          </w:p>
        </w:tc>
        <w:tc>
          <w:tcPr>
            <w:tcW w:w="0" w:type="auto"/>
            <w:shd w:val="clear" w:color="auto" w:fill="auto"/>
            <w:vAlign w:val="bottom"/>
          </w:tcPr>
          <w:p w14:paraId="71D3F844" w14:textId="77777777" w:rsidR="006A3667" w:rsidRDefault="006A3667">
            <w:pPr>
              <w:rPr>
                <w:rFonts w:ascii="宋体"/>
                <w:vanish/>
              </w:rPr>
            </w:pPr>
          </w:p>
        </w:tc>
        <w:tc>
          <w:tcPr>
            <w:tcW w:w="0" w:type="auto"/>
            <w:shd w:val="clear" w:color="auto" w:fill="auto"/>
            <w:vAlign w:val="bottom"/>
          </w:tcPr>
          <w:p w14:paraId="71D3F845" w14:textId="77777777" w:rsidR="006A3667" w:rsidRDefault="006A3667">
            <w:pPr>
              <w:rPr>
                <w:rFonts w:ascii="宋体"/>
                <w:vanish/>
              </w:rPr>
            </w:pPr>
          </w:p>
        </w:tc>
        <w:tc>
          <w:tcPr>
            <w:tcW w:w="0" w:type="auto"/>
            <w:shd w:val="clear" w:color="auto" w:fill="auto"/>
            <w:vAlign w:val="bottom"/>
          </w:tcPr>
          <w:p w14:paraId="71D3F846" w14:textId="77777777" w:rsidR="006A3667" w:rsidRDefault="006A3667">
            <w:pPr>
              <w:rPr>
                <w:rFonts w:ascii="宋体"/>
                <w:vanish/>
              </w:rPr>
            </w:pPr>
          </w:p>
        </w:tc>
        <w:tc>
          <w:tcPr>
            <w:tcW w:w="0" w:type="auto"/>
            <w:gridSpan w:val="5"/>
            <w:shd w:val="clear" w:color="auto" w:fill="auto"/>
            <w:tcMar>
              <w:top w:w="40" w:type="dxa"/>
              <w:left w:w="20" w:type="dxa"/>
              <w:bottom w:w="40" w:type="dxa"/>
              <w:right w:w="20" w:type="dxa"/>
            </w:tcMar>
            <w:vAlign w:val="bottom"/>
          </w:tcPr>
          <w:p w14:paraId="71D3F847" w14:textId="77777777" w:rsidR="006A3667" w:rsidRDefault="00045F32">
            <w:pPr>
              <w:jc w:val="center"/>
              <w:textAlignment w:val="bottom"/>
            </w:pPr>
            <w:r>
              <w:rPr>
                <w:rFonts w:ascii="Arial" w:eastAsia="宋体" w:hAnsi="Arial" w:cs="Arial"/>
                <w:b/>
                <w:bCs/>
                <w:color w:val="000000"/>
                <w:sz w:val="15"/>
                <w:szCs w:val="15"/>
              </w:rPr>
              <w:t xml:space="preserve">Three Months Ended </w:t>
            </w:r>
            <w:r>
              <w:rPr>
                <w:rFonts w:ascii="Arial" w:eastAsia="宋体" w:hAnsi="Arial" w:cs="Arial"/>
                <w:b/>
                <w:bCs/>
                <w:color w:val="000000"/>
                <w:sz w:val="15"/>
                <w:szCs w:val="15"/>
              </w:rPr>
              <w:t>September 30,</w:t>
            </w:r>
          </w:p>
        </w:tc>
        <w:tc>
          <w:tcPr>
            <w:tcW w:w="0" w:type="auto"/>
            <w:gridSpan w:val="3"/>
            <w:shd w:val="clear" w:color="auto" w:fill="auto"/>
            <w:tcMar>
              <w:top w:w="0" w:type="dxa"/>
              <w:left w:w="20" w:type="dxa"/>
              <w:bottom w:w="0" w:type="dxa"/>
              <w:right w:w="20" w:type="dxa"/>
            </w:tcMar>
            <w:vAlign w:val="bottom"/>
          </w:tcPr>
          <w:p w14:paraId="71D3F848" w14:textId="77777777" w:rsidR="006A3667" w:rsidRDefault="006A3667">
            <w:pPr>
              <w:rPr>
                <w:rFonts w:ascii="宋体"/>
              </w:rPr>
            </w:pPr>
          </w:p>
        </w:tc>
        <w:tc>
          <w:tcPr>
            <w:tcW w:w="0" w:type="auto"/>
            <w:gridSpan w:val="3"/>
            <w:shd w:val="clear" w:color="auto" w:fill="auto"/>
            <w:vAlign w:val="bottom"/>
          </w:tcPr>
          <w:p w14:paraId="71D3F849" w14:textId="77777777" w:rsidR="006A3667" w:rsidRDefault="006A3667">
            <w:pPr>
              <w:rPr>
                <w:rFonts w:ascii="宋体"/>
                <w:vanish/>
              </w:rPr>
            </w:pPr>
          </w:p>
        </w:tc>
        <w:tc>
          <w:tcPr>
            <w:tcW w:w="0" w:type="auto"/>
            <w:gridSpan w:val="3"/>
            <w:shd w:val="clear" w:color="auto" w:fill="auto"/>
            <w:vAlign w:val="bottom"/>
          </w:tcPr>
          <w:p w14:paraId="71D3F84A" w14:textId="77777777" w:rsidR="006A3667" w:rsidRDefault="006A3667">
            <w:pPr>
              <w:rPr>
                <w:rFonts w:ascii="宋体"/>
                <w:vanish/>
              </w:rPr>
            </w:pPr>
          </w:p>
        </w:tc>
        <w:tc>
          <w:tcPr>
            <w:tcW w:w="0" w:type="auto"/>
            <w:vMerge w:val="restart"/>
            <w:shd w:val="clear" w:color="auto" w:fill="auto"/>
            <w:tcMar>
              <w:top w:w="40" w:type="dxa"/>
              <w:left w:w="20" w:type="dxa"/>
              <w:bottom w:w="40" w:type="dxa"/>
              <w:right w:w="20" w:type="dxa"/>
            </w:tcMar>
            <w:vAlign w:val="bottom"/>
          </w:tcPr>
          <w:p w14:paraId="71D3F84B" w14:textId="77777777" w:rsidR="006A3667" w:rsidRDefault="00045F32">
            <w:pPr>
              <w:jc w:val="center"/>
              <w:textAlignment w:val="bottom"/>
            </w:pPr>
            <w:r>
              <w:rPr>
                <w:rFonts w:ascii="Arial" w:eastAsia="宋体" w:hAnsi="Arial" w:cs="Arial"/>
                <w:b/>
                <w:bCs/>
                <w:color w:val="000000"/>
                <w:sz w:val="15"/>
                <w:szCs w:val="15"/>
              </w:rPr>
              <w:t xml:space="preserve">% Change </w:t>
            </w:r>
          </w:p>
        </w:tc>
        <w:tc>
          <w:tcPr>
            <w:tcW w:w="0" w:type="auto"/>
            <w:shd w:val="clear" w:color="auto" w:fill="auto"/>
            <w:vAlign w:val="bottom"/>
          </w:tcPr>
          <w:p w14:paraId="71D3F84C" w14:textId="77777777" w:rsidR="006A3667" w:rsidRDefault="006A3667">
            <w:pPr>
              <w:rPr>
                <w:rFonts w:ascii="宋体"/>
                <w:vanish/>
              </w:rPr>
            </w:pPr>
          </w:p>
        </w:tc>
        <w:tc>
          <w:tcPr>
            <w:tcW w:w="0" w:type="auto"/>
            <w:gridSpan w:val="3"/>
            <w:shd w:val="clear" w:color="auto" w:fill="auto"/>
            <w:vAlign w:val="bottom"/>
          </w:tcPr>
          <w:p w14:paraId="71D3F84D" w14:textId="77777777" w:rsidR="006A3667" w:rsidRDefault="006A3667">
            <w:pPr>
              <w:rPr>
                <w:rFonts w:ascii="宋体"/>
                <w:vanish/>
              </w:rPr>
            </w:pPr>
          </w:p>
        </w:tc>
        <w:tc>
          <w:tcPr>
            <w:tcW w:w="0" w:type="auto"/>
            <w:gridSpan w:val="3"/>
            <w:shd w:val="clear" w:color="auto" w:fill="auto"/>
            <w:vAlign w:val="bottom"/>
          </w:tcPr>
          <w:p w14:paraId="71D3F84E" w14:textId="77777777" w:rsidR="006A3667" w:rsidRDefault="006A3667">
            <w:pPr>
              <w:rPr>
                <w:rFonts w:ascii="宋体"/>
                <w:vanish/>
              </w:rPr>
            </w:pPr>
          </w:p>
        </w:tc>
        <w:tc>
          <w:tcPr>
            <w:tcW w:w="0" w:type="auto"/>
            <w:gridSpan w:val="3"/>
            <w:shd w:val="clear" w:color="auto" w:fill="auto"/>
            <w:vAlign w:val="bottom"/>
          </w:tcPr>
          <w:p w14:paraId="71D3F84F" w14:textId="77777777" w:rsidR="006A3667" w:rsidRDefault="006A3667">
            <w:pPr>
              <w:rPr>
                <w:rFonts w:ascii="宋体"/>
                <w:vanish/>
              </w:rPr>
            </w:pPr>
          </w:p>
        </w:tc>
        <w:tc>
          <w:tcPr>
            <w:tcW w:w="0" w:type="auto"/>
            <w:gridSpan w:val="3"/>
            <w:shd w:val="clear" w:color="auto" w:fill="auto"/>
            <w:vAlign w:val="bottom"/>
          </w:tcPr>
          <w:p w14:paraId="71D3F850" w14:textId="77777777" w:rsidR="006A3667" w:rsidRDefault="006A3667">
            <w:pPr>
              <w:rPr>
                <w:rFonts w:ascii="宋体"/>
                <w:vanish/>
              </w:rPr>
            </w:pPr>
          </w:p>
        </w:tc>
        <w:tc>
          <w:tcPr>
            <w:tcW w:w="0" w:type="auto"/>
            <w:gridSpan w:val="3"/>
            <w:shd w:val="clear" w:color="auto" w:fill="auto"/>
            <w:vAlign w:val="bottom"/>
          </w:tcPr>
          <w:p w14:paraId="71D3F851" w14:textId="77777777" w:rsidR="006A3667" w:rsidRDefault="006A3667">
            <w:pPr>
              <w:rPr>
                <w:rFonts w:ascii="宋体"/>
                <w:vanish/>
              </w:rPr>
            </w:pPr>
          </w:p>
        </w:tc>
        <w:tc>
          <w:tcPr>
            <w:tcW w:w="0" w:type="auto"/>
            <w:gridSpan w:val="3"/>
            <w:shd w:val="clear" w:color="auto" w:fill="auto"/>
            <w:vAlign w:val="bottom"/>
          </w:tcPr>
          <w:p w14:paraId="71D3F852" w14:textId="77777777" w:rsidR="006A3667" w:rsidRDefault="006A3667">
            <w:pPr>
              <w:rPr>
                <w:rFonts w:ascii="宋体"/>
                <w:vanish/>
              </w:rPr>
            </w:pPr>
          </w:p>
        </w:tc>
        <w:tc>
          <w:tcPr>
            <w:tcW w:w="0" w:type="auto"/>
            <w:gridSpan w:val="3"/>
            <w:shd w:val="clear" w:color="auto" w:fill="auto"/>
            <w:vAlign w:val="bottom"/>
          </w:tcPr>
          <w:p w14:paraId="71D3F853" w14:textId="77777777" w:rsidR="006A3667" w:rsidRDefault="006A3667">
            <w:pPr>
              <w:rPr>
                <w:rFonts w:ascii="宋体"/>
                <w:vanish/>
              </w:rPr>
            </w:pPr>
          </w:p>
        </w:tc>
        <w:tc>
          <w:tcPr>
            <w:tcW w:w="0" w:type="auto"/>
            <w:shd w:val="clear" w:color="auto" w:fill="auto"/>
            <w:vAlign w:val="bottom"/>
          </w:tcPr>
          <w:p w14:paraId="71D3F854" w14:textId="77777777" w:rsidR="006A3667" w:rsidRDefault="006A3667">
            <w:pPr>
              <w:rPr>
                <w:rFonts w:ascii="宋体"/>
              </w:rPr>
            </w:pPr>
          </w:p>
        </w:tc>
        <w:tc>
          <w:tcPr>
            <w:tcW w:w="0" w:type="auto"/>
            <w:shd w:val="clear" w:color="auto" w:fill="auto"/>
            <w:vAlign w:val="bottom"/>
          </w:tcPr>
          <w:p w14:paraId="71D3F855" w14:textId="77777777" w:rsidR="006A3667" w:rsidRDefault="006A3667">
            <w:pPr>
              <w:rPr>
                <w:rFonts w:ascii="宋体"/>
              </w:rPr>
            </w:pPr>
          </w:p>
        </w:tc>
        <w:tc>
          <w:tcPr>
            <w:tcW w:w="0" w:type="auto"/>
            <w:shd w:val="clear" w:color="auto" w:fill="auto"/>
            <w:vAlign w:val="bottom"/>
          </w:tcPr>
          <w:p w14:paraId="71D3F856" w14:textId="77777777" w:rsidR="006A3667" w:rsidRDefault="006A3667">
            <w:pPr>
              <w:rPr>
                <w:rFonts w:ascii="宋体"/>
              </w:rPr>
            </w:pPr>
          </w:p>
        </w:tc>
      </w:tr>
      <w:tr w:rsidR="006A3667" w14:paraId="71D3F871" w14:textId="77777777">
        <w:trPr>
          <w:trHeight w:val="240"/>
        </w:trPr>
        <w:tc>
          <w:tcPr>
            <w:tcW w:w="0" w:type="auto"/>
            <w:gridSpan w:val="3"/>
            <w:vMerge/>
            <w:shd w:val="clear" w:color="auto" w:fill="auto"/>
            <w:tcMar>
              <w:top w:w="40" w:type="dxa"/>
              <w:left w:w="20" w:type="dxa"/>
              <w:bottom w:w="40" w:type="dxa"/>
              <w:right w:w="20" w:type="dxa"/>
            </w:tcMar>
            <w:vAlign w:val="bottom"/>
          </w:tcPr>
          <w:p w14:paraId="71D3F858" w14:textId="77777777" w:rsidR="006A3667" w:rsidRDefault="006A3667">
            <w:pPr>
              <w:rPr>
                <w:rFonts w:ascii="宋体"/>
              </w:rPr>
            </w:pPr>
          </w:p>
        </w:tc>
        <w:tc>
          <w:tcPr>
            <w:tcW w:w="0" w:type="auto"/>
            <w:shd w:val="clear" w:color="auto" w:fill="auto"/>
            <w:vAlign w:val="bottom"/>
          </w:tcPr>
          <w:p w14:paraId="71D3F859" w14:textId="77777777" w:rsidR="006A3667" w:rsidRDefault="006A3667">
            <w:pPr>
              <w:rPr>
                <w:rFonts w:ascii="宋体"/>
                <w:vanish/>
              </w:rPr>
            </w:pPr>
          </w:p>
        </w:tc>
        <w:tc>
          <w:tcPr>
            <w:tcW w:w="0" w:type="auto"/>
            <w:shd w:val="clear" w:color="auto" w:fill="auto"/>
            <w:vAlign w:val="bottom"/>
          </w:tcPr>
          <w:p w14:paraId="71D3F85A" w14:textId="77777777" w:rsidR="006A3667" w:rsidRDefault="006A3667">
            <w:pPr>
              <w:rPr>
                <w:rFonts w:ascii="宋体"/>
                <w:vanish/>
              </w:rPr>
            </w:pPr>
          </w:p>
        </w:tc>
        <w:tc>
          <w:tcPr>
            <w:tcW w:w="0" w:type="auto"/>
            <w:shd w:val="clear" w:color="auto" w:fill="auto"/>
            <w:vAlign w:val="bottom"/>
          </w:tcPr>
          <w:p w14:paraId="71D3F85B" w14:textId="77777777" w:rsidR="006A3667" w:rsidRDefault="006A3667">
            <w:pPr>
              <w:rPr>
                <w:rFonts w:ascii="宋体"/>
                <w:vanish/>
              </w:rPr>
            </w:pPr>
          </w:p>
        </w:tc>
        <w:tc>
          <w:tcPr>
            <w:tcW w:w="0" w:type="auto"/>
            <w:shd w:val="clear" w:color="auto" w:fill="auto"/>
            <w:vAlign w:val="bottom"/>
          </w:tcPr>
          <w:p w14:paraId="71D3F85C" w14:textId="77777777" w:rsidR="006A3667" w:rsidRDefault="006A3667">
            <w:pPr>
              <w:rPr>
                <w:rFonts w:ascii="宋体"/>
                <w:vanish/>
              </w:rPr>
            </w:pPr>
          </w:p>
        </w:tc>
        <w:tc>
          <w:tcPr>
            <w:tcW w:w="0" w:type="auto"/>
            <w:shd w:val="clear" w:color="auto" w:fill="auto"/>
            <w:vAlign w:val="bottom"/>
          </w:tcPr>
          <w:p w14:paraId="71D3F85D" w14:textId="77777777" w:rsidR="006A3667" w:rsidRDefault="006A3667">
            <w:pPr>
              <w:rPr>
                <w:rFonts w:ascii="宋体"/>
                <w:vanish/>
              </w:rPr>
            </w:pPr>
          </w:p>
        </w:tc>
        <w:tc>
          <w:tcPr>
            <w:tcW w:w="0" w:type="auto"/>
            <w:shd w:val="clear" w:color="auto" w:fill="auto"/>
            <w:vAlign w:val="bottom"/>
          </w:tcPr>
          <w:p w14:paraId="71D3F85E"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85F"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F86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861" w14:textId="77777777" w:rsidR="006A3667" w:rsidRDefault="00045F32">
            <w:pPr>
              <w:jc w:val="center"/>
              <w:textAlignment w:val="bottom"/>
            </w:pPr>
            <w:r>
              <w:rPr>
                <w:rFonts w:ascii="Arial" w:eastAsia="宋体" w:hAnsi="Arial" w:cs="Arial"/>
                <w:b/>
                <w:bCs/>
                <w:color w:val="000000"/>
                <w:sz w:val="15"/>
                <w:szCs w:val="15"/>
              </w:rPr>
              <w:t>2021</w:t>
            </w:r>
          </w:p>
        </w:tc>
        <w:tc>
          <w:tcPr>
            <w:tcW w:w="0" w:type="auto"/>
            <w:gridSpan w:val="3"/>
            <w:shd w:val="clear" w:color="auto" w:fill="auto"/>
            <w:tcMar>
              <w:top w:w="0" w:type="dxa"/>
              <w:left w:w="20" w:type="dxa"/>
              <w:bottom w:w="0" w:type="dxa"/>
              <w:right w:w="20" w:type="dxa"/>
            </w:tcMar>
            <w:vAlign w:val="bottom"/>
          </w:tcPr>
          <w:p w14:paraId="71D3F862" w14:textId="77777777" w:rsidR="006A3667" w:rsidRDefault="006A3667">
            <w:pPr>
              <w:rPr>
                <w:rFonts w:ascii="宋体"/>
              </w:rPr>
            </w:pPr>
          </w:p>
        </w:tc>
        <w:tc>
          <w:tcPr>
            <w:tcW w:w="0" w:type="auto"/>
            <w:vMerge/>
            <w:shd w:val="clear" w:color="auto" w:fill="auto"/>
            <w:tcMar>
              <w:top w:w="40" w:type="dxa"/>
              <w:left w:w="20" w:type="dxa"/>
              <w:bottom w:w="40" w:type="dxa"/>
              <w:right w:w="20" w:type="dxa"/>
            </w:tcMar>
            <w:vAlign w:val="bottom"/>
          </w:tcPr>
          <w:p w14:paraId="71D3F863" w14:textId="77777777" w:rsidR="006A3667" w:rsidRDefault="006A3667">
            <w:pPr>
              <w:jc w:val="center"/>
              <w:rPr>
                <w:rFonts w:ascii="宋体"/>
              </w:rPr>
            </w:pPr>
          </w:p>
        </w:tc>
        <w:tc>
          <w:tcPr>
            <w:tcW w:w="0" w:type="auto"/>
            <w:shd w:val="clear" w:color="auto" w:fill="auto"/>
            <w:vAlign w:val="bottom"/>
          </w:tcPr>
          <w:p w14:paraId="71D3F864" w14:textId="77777777" w:rsidR="006A3667" w:rsidRDefault="006A3667">
            <w:pPr>
              <w:rPr>
                <w:rFonts w:ascii="宋体"/>
                <w:vanish/>
              </w:rPr>
            </w:pPr>
          </w:p>
        </w:tc>
        <w:tc>
          <w:tcPr>
            <w:tcW w:w="0" w:type="auto"/>
            <w:gridSpan w:val="3"/>
            <w:shd w:val="clear" w:color="auto" w:fill="auto"/>
            <w:vAlign w:val="bottom"/>
          </w:tcPr>
          <w:p w14:paraId="71D3F865" w14:textId="77777777" w:rsidR="006A3667" w:rsidRDefault="006A3667">
            <w:pPr>
              <w:rPr>
                <w:rFonts w:ascii="宋体"/>
                <w:vanish/>
              </w:rPr>
            </w:pPr>
          </w:p>
        </w:tc>
        <w:tc>
          <w:tcPr>
            <w:tcW w:w="0" w:type="auto"/>
            <w:gridSpan w:val="3"/>
            <w:shd w:val="clear" w:color="auto" w:fill="auto"/>
            <w:vAlign w:val="bottom"/>
          </w:tcPr>
          <w:p w14:paraId="71D3F866" w14:textId="77777777" w:rsidR="006A3667" w:rsidRDefault="006A3667">
            <w:pPr>
              <w:rPr>
                <w:rFonts w:ascii="宋体"/>
                <w:vanish/>
              </w:rPr>
            </w:pPr>
          </w:p>
        </w:tc>
        <w:tc>
          <w:tcPr>
            <w:tcW w:w="0" w:type="auto"/>
            <w:gridSpan w:val="3"/>
            <w:shd w:val="clear" w:color="auto" w:fill="auto"/>
            <w:vAlign w:val="bottom"/>
          </w:tcPr>
          <w:p w14:paraId="71D3F867" w14:textId="77777777" w:rsidR="006A3667" w:rsidRDefault="006A3667">
            <w:pPr>
              <w:rPr>
                <w:rFonts w:ascii="宋体"/>
                <w:vanish/>
              </w:rPr>
            </w:pPr>
          </w:p>
        </w:tc>
        <w:tc>
          <w:tcPr>
            <w:tcW w:w="0" w:type="auto"/>
            <w:gridSpan w:val="3"/>
            <w:shd w:val="clear" w:color="auto" w:fill="auto"/>
            <w:vAlign w:val="bottom"/>
          </w:tcPr>
          <w:p w14:paraId="71D3F868" w14:textId="77777777" w:rsidR="006A3667" w:rsidRDefault="006A3667">
            <w:pPr>
              <w:rPr>
                <w:rFonts w:ascii="宋体"/>
                <w:vanish/>
              </w:rPr>
            </w:pPr>
          </w:p>
        </w:tc>
        <w:tc>
          <w:tcPr>
            <w:tcW w:w="0" w:type="auto"/>
            <w:gridSpan w:val="3"/>
            <w:shd w:val="clear" w:color="auto" w:fill="auto"/>
            <w:vAlign w:val="bottom"/>
          </w:tcPr>
          <w:p w14:paraId="71D3F869" w14:textId="77777777" w:rsidR="006A3667" w:rsidRDefault="006A3667">
            <w:pPr>
              <w:rPr>
                <w:rFonts w:ascii="宋体"/>
                <w:vanish/>
              </w:rPr>
            </w:pPr>
          </w:p>
        </w:tc>
        <w:tc>
          <w:tcPr>
            <w:tcW w:w="0" w:type="auto"/>
            <w:gridSpan w:val="3"/>
            <w:shd w:val="clear" w:color="auto" w:fill="auto"/>
            <w:vAlign w:val="bottom"/>
          </w:tcPr>
          <w:p w14:paraId="71D3F86A" w14:textId="77777777" w:rsidR="006A3667" w:rsidRDefault="006A3667">
            <w:pPr>
              <w:rPr>
                <w:rFonts w:ascii="宋体"/>
                <w:vanish/>
              </w:rPr>
            </w:pPr>
          </w:p>
        </w:tc>
        <w:tc>
          <w:tcPr>
            <w:tcW w:w="0" w:type="auto"/>
            <w:shd w:val="clear" w:color="auto" w:fill="auto"/>
            <w:vAlign w:val="bottom"/>
          </w:tcPr>
          <w:p w14:paraId="71D3F86B" w14:textId="77777777" w:rsidR="006A3667" w:rsidRDefault="006A3667">
            <w:pPr>
              <w:rPr>
                <w:rFonts w:ascii="宋体"/>
              </w:rPr>
            </w:pPr>
          </w:p>
        </w:tc>
        <w:tc>
          <w:tcPr>
            <w:tcW w:w="0" w:type="auto"/>
            <w:shd w:val="clear" w:color="auto" w:fill="auto"/>
            <w:vAlign w:val="bottom"/>
          </w:tcPr>
          <w:p w14:paraId="71D3F86C" w14:textId="77777777" w:rsidR="006A3667" w:rsidRDefault="006A3667">
            <w:pPr>
              <w:rPr>
                <w:rFonts w:ascii="宋体"/>
              </w:rPr>
            </w:pPr>
          </w:p>
        </w:tc>
        <w:tc>
          <w:tcPr>
            <w:tcW w:w="0" w:type="auto"/>
            <w:shd w:val="clear" w:color="auto" w:fill="auto"/>
            <w:vAlign w:val="bottom"/>
          </w:tcPr>
          <w:p w14:paraId="71D3F86D" w14:textId="77777777" w:rsidR="006A3667" w:rsidRDefault="006A3667">
            <w:pPr>
              <w:rPr>
                <w:rFonts w:ascii="宋体"/>
              </w:rPr>
            </w:pPr>
          </w:p>
        </w:tc>
        <w:tc>
          <w:tcPr>
            <w:tcW w:w="0" w:type="auto"/>
            <w:shd w:val="clear" w:color="auto" w:fill="auto"/>
            <w:vAlign w:val="bottom"/>
          </w:tcPr>
          <w:p w14:paraId="71D3F86E" w14:textId="77777777" w:rsidR="006A3667" w:rsidRDefault="006A3667">
            <w:pPr>
              <w:rPr>
                <w:rFonts w:ascii="宋体"/>
              </w:rPr>
            </w:pPr>
          </w:p>
        </w:tc>
        <w:tc>
          <w:tcPr>
            <w:tcW w:w="0" w:type="auto"/>
            <w:shd w:val="clear" w:color="auto" w:fill="auto"/>
            <w:vAlign w:val="bottom"/>
          </w:tcPr>
          <w:p w14:paraId="71D3F86F" w14:textId="77777777" w:rsidR="006A3667" w:rsidRDefault="006A3667">
            <w:pPr>
              <w:rPr>
                <w:rFonts w:ascii="宋体"/>
              </w:rPr>
            </w:pPr>
          </w:p>
        </w:tc>
        <w:tc>
          <w:tcPr>
            <w:tcW w:w="0" w:type="auto"/>
            <w:shd w:val="clear" w:color="auto" w:fill="auto"/>
            <w:vAlign w:val="bottom"/>
          </w:tcPr>
          <w:p w14:paraId="71D3F870" w14:textId="77777777" w:rsidR="006A3667" w:rsidRDefault="006A3667">
            <w:pPr>
              <w:rPr>
                <w:rFonts w:ascii="宋体"/>
              </w:rPr>
            </w:pPr>
          </w:p>
        </w:tc>
      </w:tr>
      <w:tr w:rsidR="006A3667" w14:paraId="71D3F888" w14:textId="77777777">
        <w:trPr>
          <w:hidden/>
        </w:trPr>
        <w:tc>
          <w:tcPr>
            <w:tcW w:w="0" w:type="auto"/>
            <w:gridSpan w:val="3"/>
            <w:shd w:val="clear" w:color="auto" w:fill="auto"/>
            <w:vAlign w:val="bottom"/>
          </w:tcPr>
          <w:p w14:paraId="71D3F872" w14:textId="77777777" w:rsidR="006A3667" w:rsidRDefault="006A3667">
            <w:pPr>
              <w:rPr>
                <w:rFonts w:ascii="宋体"/>
                <w:vanish/>
              </w:rPr>
            </w:pPr>
          </w:p>
        </w:tc>
        <w:tc>
          <w:tcPr>
            <w:tcW w:w="0" w:type="auto"/>
            <w:shd w:val="clear" w:color="auto" w:fill="auto"/>
            <w:vAlign w:val="bottom"/>
          </w:tcPr>
          <w:p w14:paraId="71D3F873" w14:textId="77777777" w:rsidR="006A3667" w:rsidRDefault="006A3667">
            <w:pPr>
              <w:rPr>
                <w:rFonts w:ascii="宋体"/>
                <w:vanish/>
              </w:rPr>
            </w:pPr>
          </w:p>
        </w:tc>
        <w:tc>
          <w:tcPr>
            <w:tcW w:w="0" w:type="auto"/>
            <w:shd w:val="clear" w:color="auto" w:fill="auto"/>
            <w:vAlign w:val="bottom"/>
          </w:tcPr>
          <w:p w14:paraId="71D3F874" w14:textId="77777777" w:rsidR="006A3667" w:rsidRDefault="006A3667">
            <w:pPr>
              <w:rPr>
                <w:rFonts w:ascii="宋体"/>
                <w:vanish/>
              </w:rPr>
            </w:pPr>
          </w:p>
        </w:tc>
        <w:tc>
          <w:tcPr>
            <w:tcW w:w="0" w:type="auto"/>
            <w:shd w:val="clear" w:color="auto" w:fill="auto"/>
            <w:vAlign w:val="bottom"/>
          </w:tcPr>
          <w:p w14:paraId="71D3F875" w14:textId="77777777" w:rsidR="006A3667" w:rsidRDefault="006A3667">
            <w:pPr>
              <w:rPr>
                <w:rFonts w:ascii="宋体"/>
                <w:vanish/>
              </w:rPr>
            </w:pPr>
          </w:p>
        </w:tc>
        <w:tc>
          <w:tcPr>
            <w:tcW w:w="0" w:type="auto"/>
            <w:shd w:val="clear" w:color="auto" w:fill="auto"/>
            <w:vAlign w:val="bottom"/>
          </w:tcPr>
          <w:p w14:paraId="71D3F876" w14:textId="77777777" w:rsidR="006A3667" w:rsidRDefault="006A3667">
            <w:pPr>
              <w:rPr>
                <w:rFonts w:ascii="宋体"/>
                <w:vanish/>
              </w:rPr>
            </w:pPr>
          </w:p>
        </w:tc>
        <w:tc>
          <w:tcPr>
            <w:tcW w:w="0" w:type="auto"/>
            <w:shd w:val="clear" w:color="auto" w:fill="auto"/>
            <w:vAlign w:val="bottom"/>
          </w:tcPr>
          <w:p w14:paraId="71D3F877" w14:textId="77777777" w:rsidR="006A3667" w:rsidRDefault="006A3667">
            <w:pPr>
              <w:rPr>
                <w:rFonts w:ascii="宋体"/>
                <w:vanish/>
              </w:rPr>
            </w:pPr>
          </w:p>
        </w:tc>
        <w:tc>
          <w:tcPr>
            <w:tcW w:w="0" w:type="auto"/>
            <w:shd w:val="clear" w:color="auto" w:fill="auto"/>
            <w:vAlign w:val="bottom"/>
          </w:tcPr>
          <w:p w14:paraId="71D3F878" w14:textId="77777777" w:rsidR="006A3667" w:rsidRDefault="006A3667">
            <w:pPr>
              <w:rPr>
                <w:rFonts w:ascii="宋体"/>
                <w:vanish/>
              </w:rPr>
            </w:pPr>
          </w:p>
        </w:tc>
        <w:tc>
          <w:tcPr>
            <w:tcW w:w="0" w:type="auto"/>
            <w:gridSpan w:val="3"/>
            <w:shd w:val="clear" w:color="auto" w:fill="auto"/>
            <w:vAlign w:val="bottom"/>
          </w:tcPr>
          <w:p w14:paraId="71D3F879" w14:textId="77777777" w:rsidR="006A3667" w:rsidRDefault="006A3667">
            <w:pPr>
              <w:rPr>
                <w:rFonts w:ascii="宋体"/>
                <w:vanish/>
              </w:rPr>
            </w:pPr>
          </w:p>
        </w:tc>
        <w:tc>
          <w:tcPr>
            <w:tcW w:w="0" w:type="auto"/>
            <w:gridSpan w:val="3"/>
            <w:shd w:val="clear" w:color="auto" w:fill="auto"/>
            <w:vAlign w:val="bottom"/>
          </w:tcPr>
          <w:p w14:paraId="71D3F87A" w14:textId="77777777" w:rsidR="006A3667" w:rsidRDefault="006A3667">
            <w:pPr>
              <w:rPr>
                <w:rFonts w:ascii="宋体"/>
                <w:vanish/>
              </w:rPr>
            </w:pPr>
          </w:p>
        </w:tc>
        <w:tc>
          <w:tcPr>
            <w:tcW w:w="0" w:type="auto"/>
            <w:gridSpan w:val="3"/>
            <w:shd w:val="clear" w:color="auto" w:fill="auto"/>
            <w:vAlign w:val="bottom"/>
          </w:tcPr>
          <w:p w14:paraId="71D3F87B" w14:textId="77777777" w:rsidR="006A3667" w:rsidRDefault="006A3667">
            <w:pPr>
              <w:rPr>
                <w:rFonts w:ascii="宋体"/>
                <w:vanish/>
              </w:rPr>
            </w:pPr>
          </w:p>
        </w:tc>
        <w:tc>
          <w:tcPr>
            <w:tcW w:w="0" w:type="auto"/>
            <w:gridSpan w:val="3"/>
            <w:shd w:val="clear" w:color="auto" w:fill="auto"/>
            <w:vAlign w:val="bottom"/>
          </w:tcPr>
          <w:p w14:paraId="71D3F87C" w14:textId="77777777" w:rsidR="006A3667" w:rsidRDefault="006A3667">
            <w:pPr>
              <w:rPr>
                <w:rFonts w:ascii="宋体"/>
                <w:vanish/>
              </w:rPr>
            </w:pPr>
          </w:p>
        </w:tc>
        <w:tc>
          <w:tcPr>
            <w:tcW w:w="0" w:type="auto"/>
            <w:shd w:val="clear" w:color="auto" w:fill="auto"/>
            <w:vAlign w:val="bottom"/>
          </w:tcPr>
          <w:p w14:paraId="71D3F87D" w14:textId="77777777" w:rsidR="006A3667" w:rsidRDefault="006A3667">
            <w:pPr>
              <w:rPr>
                <w:rFonts w:ascii="宋体"/>
                <w:vanish/>
              </w:rPr>
            </w:pPr>
          </w:p>
        </w:tc>
        <w:tc>
          <w:tcPr>
            <w:tcW w:w="0" w:type="auto"/>
            <w:shd w:val="clear" w:color="auto" w:fill="auto"/>
            <w:vAlign w:val="bottom"/>
          </w:tcPr>
          <w:p w14:paraId="71D3F87E" w14:textId="77777777" w:rsidR="006A3667" w:rsidRDefault="006A3667">
            <w:pPr>
              <w:rPr>
                <w:rFonts w:ascii="宋体"/>
                <w:vanish/>
              </w:rPr>
            </w:pPr>
          </w:p>
        </w:tc>
        <w:tc>
          <w:tcPr>
            <w:tcW w:w="0" w:type="auto"/>
            <w:gridSpan w:val="3"/>
            <w:shd w:val="clear" w:color="auto" w:fill="auto"/>
            <w:vAlign w:val="bottom"/>
          </w:tcPr>
          <w:p w14:paraId="71D3F87F" w14:textId="77777777" w:rsidR="006A3667" w:rsidRDefault="006A3667">
            <w:pPr>
              <w:rPr>
                <w:rFonts w:ascii="宋体"/>
                <w:vanish/>
              </w:rPr>
            </w:pPr>
          </w:p>
        </w:tc>
        <w:tc>
          <w:tcPr>
            <w:tcW w:w="0" w:type="auto"/>
            <w:gridSpan w:val="3"/>
            <w:shd w:val="clear" w:color="auto" w:fill="auto"/>
            <w:vAlign w:val="bottom"/>
          </w:tcPr>
          <w:p w14:paraId="71D3F880" w14:textId="77777777" w:rsidR="006A3667" w:rsidRDefault="006A3667">
            <w:pPr>
              <w:rPr>
                <w:rFonts w:ascii="宋体"/>
                <w:vanish/>
              </w:rPr>
            </w:pPr>
          </w:p>
        </w:tc>
        <w:tc>
          <w:tcPr>
            <w:tcW w:w="0" w:type="auto"/>
            <w:gridSpan w:val="3"/>
            <w:shd w:val="clear" w:color="auto" w:fill="auto"/>
            <w:vAlign w:val="bottom"/>
          </w:tcPr>
          <w:p w14:paraId="71D3F881" w14:textId="77777777" w:rsidR="006A3667" w:rsidRDefault="006A3667">
            <w:pPr>
              <w:rPr>
                <w:rFonts w:ascii="宋体"/>
                <w:vanish/>
              </w:rPr>
            </w:pPr>
          </w:p>
        </w:tc>
        <w:tc>
          <w:tcPr>
            <w:tcW w:w="0" w:type="auto"/>
            <w:gridSpan w:val="3"/>
            <w:shd w:val="clear" w:color="auto" w:fill="auto"/>
            <w:vAlign w:val="bottom"/>
          </w:tcPr>
          <w:p w14:paraId="71D3F882" w14:textId="77777777" w:rsidR="006A3667" w:rsidRDefault="006A3667">
            <w:pPr>
              <w:rPr>
                <w:rFonts w:ascii="宋体"/>
                <w:vanish/>
              </w:rPr>
            </w:pPr>
          </w:p>
        </w:tc>
        <w:tc>
          <w:tcPr>
            <w:tcW w:w="0" w:type="auto"/>
            <w:gridSpan w:val="3"/>
            <w:shd w:val="clear" w:color="auto" w:fill="auto"/>
            <w:vAlign w:val="bottom"/>
          </w:tcPr>
          <w:p w14:paraId="71D3F883" w14:textId="77777777" w:rsidR="006A3667" w:rsidRDefault="006A3667">
            <w:pPr>
              <w:rPr>
                <w:rFonts w:ascii="宋体"/>
                <w:vanish/>
              </w:rPr>
            </w:pPr>
          </w:p>
        </w:tc>
        <w:tc>
          <w:tcPr>
            <w:tcW w:w="0" w:type="auto"/>
            <w:gridSpan w:val="3"/>
            <w:shd w:val="clear" w:color="auto" w:fill="auto"/>
            <w:vAlign w:val="bottom"/>
          </w:tcPr>
          <w:p w14:paraId="71D3F884" w14:textId="77777777" w:rsidR="006A3667" w:rsidRDefault="006A3667">
            <w:pPr>
              <w:rPr>
                <w:rFonts w:ascii="宋体"/>
                <w:vanish/>
              </w:rPr>
            </w:pPr>
          </w:p>
        </w:tc>
        <w:tc>
          <w:tcPr>
            <w:tcW w:w="0" w:type="auto"/>
            <w:gridSpan w:val="3"/>
            <w:shd w:val="clear" w:color="auto" w:fill="auto"/>
            <w:vAlign w:val="bottom"/>
          </w:tcPr>
          <w:p w14:paraId="71D3F885" w14:textId="77777777" w:rsidR="006A3667" w:rsidRDefault="006A3667">
            <w:pPr>
              <w:rPr>
                <w:rFonts w:ascii="宋体"/>
                <w:vanish/>
              </w:rPr>
            </w:pPr>
          </w:p>
        </w:tc>
        <w:tc>
          <w:tcPr>
            <w:tcW w:w="0" w:type="auto"/>
            <w:gridSpan w:val="2"/>
            <w:shd w:val="clear" w:color="auto" w:fill="auto"/>
            <w:vAlign w:val="bottom"/>
          </w:tcPr>
          <w:p w14:paraId="71D3F886" w14:textId="77777777" w:rsidR="006A3667" w:rsidRDefault="006A3667">
            <w:pPr>
              <w:rPr>
                <w:rFonts w:ascii="宋体"/>
                <w:vanish/>
              </w:rPr>
            </w:pPr>
          </w:p>
        </w:tc>
        <w:tc>
          <w:tcPr>
            <w:tcW w:w="0" w:type="auto"/>
            <w:shd w:val="clear" w:color="auto" w:fill="auto"/>
            <w:vAlign w:val="bottom"/>
          </w:tcPr>
          <w:p w14:paraId="71D3F887" w14:textId="77777777" w:rsidR="006A3667" w:rsidRDefault="006A3667">
            <w:pPr>
              <w:rPr>
                <w:rFonts w:ascii="宋体"/>
                <w:vanish/>
              </w:rPr>
            </w:pPr>
          </w:p>
        </w:tc>
      </w:tr>
      <w:tr w:rsidR="006A3667" w14:paraId="71D3F89F" w14:textId="77777777">
        <w:trPr>
          <w:hidden/>
        </w:trPr>
        <w:tc>
          <w:tcPr>
            <w:tcW w:w="0" w:type="auto"/>
            <w:gridSpan w:val="3"/>
            <w:shd w:val="clear" w:color="auto" w:fill="auto"/>
            <w:vAlign w:val="bottom"/>
          </w:tcPr>
          <w:p w14:paraId="71D3F889" w14:textId="77777777" w:rsidR="006A3667" w:rsidRDefault="006A3667">
            <w:pPr>
              <w:rPr>
                <w:rFonts w:ascii="宋体"/>
                <w:vanish/>
              </w:rPr>
            </w:pPr>
          </w:p>
        </w:tc>
        <w:tc>
          <w:tcPr>
            <w:tcW w:w="0" w:type="auto"/>
            <w:shd w:val="clear" w:color="auto" w:fill="auto"/>
            <w:vAlign w:val="bottom"/>
          </w:tcPr>
          <w:p w14:paraId="71D3F88A" w14:textId="77777777" w:rsidR="006A3667" w:rsidRDefault="006A3667">
            <w:pPr>
              <w:rPr>
                <w:rFonts w:ascii="宋体"/>
                <w:vanish/>
              </w:rPr>
            </w:pPr>
          </w:p>
        </w:tc>
        <w:tc>
          <w:tcPr>
            <w:tcW w:w="0" w:type="auto"/>
            <w:shd w:val="clear" w:color="auto" w:fill="auto"/>
            <w:vAlign w:val="bottom"/>
          </w:tcPr>
          <w:p w14:paraId="71D3F88B" w14:textId="77777777" w:rsidR="006A3667" w:rsidRDefault="006A3667">
            <w:pPr>
              <w:rPr>
                <w:rFonts w:ascii="宋体"/>
                <w:vanish/>
              </w:rPr>
            </w:pPr>
          </w:p>
        </w:tc>
        <w:tc>
          <w:tcPr>
            <w:tcW w:w="0" w:type="auto"/>
            <w:shd w:val="clear" w:color="auto" w:fill="auto"/>
            <w:vAlign w:val="bottom"/>
          </w:tcPr>
          <w:p w14:paraId="71D3F88C" w14:textId="77777777" w:rsidR="006A3667" w:rsidRDefault="006A3667">
            <w:pPr>
              <w:rPr>
                <w:rFonts w:ascii="宋体"/>
                <w:vanish/>
              </w:rPr>
            </w:pPr>
          </w:p>
        </w:tc>
        <w:tc>
          <w:tcPr>
            <w:tcW w:w="0" w:type="auto"/>
            <w:shd w:val="clear" w:color="auto" w:fill="auto"/>
            <w:vAlign w:val="bottom"/>
          </w:tcPr>
          <w:p w14:paraId="71D3F88D" w14:textId="77777777" w:rsidR="006A3667" w:rsidRDefault="006A3667">
            <w:pPr>
              <w:rPr>
                <w:rFonts w:ascii="宋体"/>
                <w:vanish/>
              </w:rPr>
            </w:pPr>
          </w:p>
        </w:tc>
        <w:tc>
          <w:tcPr>
            <w:tcW w:w="0" w:type="auto"/>
            <w:shd w:val="clear" w:color="auto" w:fill="auto"/>
            <w:vAlign w:val="bottom"/>
          </w:tcPr>
          <w:p w14:paraId="71D3F88E" w14:textId="77777777" w:rsidR="006A3667" w:rsidRDefault="006A3667">
            <w:pPr>
              <w:rPr>
                <w:rFonts w:ascii="宋体"/>
                <w:vanish/>
              </w:rPr>
            </w:pPr>
          </w:p>
        </w:tc>
        <w:tc>
          <w:tcPr>
            <w:tcW w:w="0" w:type="auto"/>
            <w:shd w:val="clear" w:color="auto" w:fill="auto"/>
            <w:vAlign w:val="bottom"/>
          </w:tcPr>
          <w:p w14:paraId="71D3F88F" w14:textId="77777777" w:rsidR="006A3667" w:rsidRDefault="006A3667">
            <w:pPr>
              <w:rPr>
                <w:rFonts w:ascii="宋体"/>
                <w:vanish/>
              </w:rPr>
            </w:pPr>
          </w:p>
        </w:tc>
        <w:tc>
          <w:tcPr>
            <w:tcW w:w="0" w:type="auto"/>
            <w:gridSpan w:val="3"/>
            <w:shd w:val="clear" w:color="auto" w:fill="auto"/>
            <w:vAlign w:val="bottom"/>
          </w:tcPr>
          <w:p w14:paraId="71D3F890" w14:textId="77777777" w:rsidR="006A3667" w:rsidRDefault="006A3667">
            <w:pPr>
              <w:rPr>
                <w:rFonts w:ascii="宋体"/>
                <w:vanish/>
              </w:rPr>
            </w:pPr>
          </w:p>
        </w:tc>
        <w:tc>
          <w:tcPr>
            <w:tcW w:w="0" w:type="auto"/>
            <w:gridSpan w:val="3"/>
            <w:shd w:val="clear" w:color="auto" w:fill="auto"/>
            <w:vAlign w:val="bottom"/>
          </w:tcPr>
          <w:p w14:paraId="71D3F891" w14:textId="77777777" w:rsidR="006A3667" w:rsidRDefault="006A3667">
            <w:pPr>
              <w:rPr>
                <w:rFonts w:ascii="宋体"/>
                <w:vanish/>
              </w:rPr>
            </w:pPr>
          </w:p>
        </w:tc>
        <w:tc>
          <w:tcPr>
            <w:tcW w:w="0" w:type="auto"/>
            <w:gridSpan w:val="3"/>
            <w:shd w:val="clear" w:color="auto" w:fill="auto"/>
            <w:vAlign w:val="bottom"/>
          </w:tcPr>
          <w:p w14:paraId="71D3F892" w14:textId="77777777" w:rsidR="006A3667" w:rsidRDefault="006A3667">
            <w:pPr>
              <w:rPr>
                <w:rFonts w:ascii="宋体"/>
                <w:vanish/>
              </w:rPr>
            </w:pPr>
          </w:p>
        </w:tc>
        <w:tc>
          <w:tcPr>
            <w:tcW w:w="0" w:type="auto"/>
            <w:gridSpan w:val="3"/>
            <w:shd w:val="clear" w:color="auto" w:fill="auto"/>
            <w:vAlign w:val="bottom"/>
          </w:tcPr>
          <w:p w14:paraId="71D3F893" w14:textId="77777777" w:rsidR="006A3667" w:rsidRDefault="006A3667">
            <w:pPr>
              <w:rPr>
                <w:rFonts w:ascii="宋体"/>
                <w:vanish/>
              </w:rPr>
            </w:pPr>
          </w:p>
        </w:tc>
        <w:tc>
          <w:tcPr>
            <w:tcW w:w="0" w:type="auto"/>
            <w:shd w:val="clear" w:color="auto" w:fill="auto"/>
            <w:vAlign w:val="bottom"/>
          </w:tcPr>
          <w:p w14:paraId="71D3F894" w14:textId="77777777" w:rsidR="006A3667" w:rsidRDefault="006A3667">
            <w:pPr>
              <w:rPr>
                <w:rFonts w:ascii="宋体"/>
                <w:vanish/>
              </w:rPr>
            </w:pPr>
          </w:p>
        </w:tc>
        <w:tc>
          <w:tcPr>
            <w:tcW w:w="0" w:type="auto"/>
            <w:shd w:val="clear" w:color="auto" w:fill="auto"/>
            <w:vAlign w:val="bottom"/>
          </w:tcPr>
          <w:p w14:paraId="71D3F895" w14:textId="77777777" w:rsidR="006A3667" w:rsidRDefault="006A3667">
            <w:pPr>
              <w:rPr>
                <w:rFonts w:ascii="宋体"/>
                <w:vanish/>
              </w:rPr>
            </w:pPr>
          </w:p>
        </w:tc>
        <w:tc>
          <w:tcPr>
            <w:tcW w:w="0" w:type="auto"/>
            <w:gridSpan w:val="3"/>
            <w:shd w:val="clear" w:color="auto" w:fill="auto"/>
            <w:vAlign w:val="bottom"/>
          </w:tcPr>
          <w:p w14:paraId="71D3F896" w14:textId="77777777" w:rsidR="006A3667" w:rsidRDefault="006A3667">
            <w:pPr>
              <w:rPr>
                <w:rFonts w:ascii="宋体"/>
                <w:vanish/>
              </w:rPr>
            </w:pPr>
          </w:p>
        </w:tc>
        <w:tc>
          <w:tcPr>
            <w:tcW w:w="0" w:type="auto"/>
            <w:gridSpan w:val="3"/>
            <w:shd w:val="clear" w:color="auto" w:fill="auto"/>
            <w:vAlign w:val="bottom"/>
          </w:tcPr>
          <w:p w14:paraId="71D3F897" w14:textId="77777777" w:rsidR="006A3667" w:rsidRDefault="006A3667">
            <w:pPr>
              <w:rPr>
                <w:rFonts w:ascii="宋体"/>
                <w:vanish/>
              </w:rPr>
            </w:pPr>
          </w:p>
        </w:tc>
        <w:tc>
          <w:tcPr>
            <w:tcW w:w="0" w:type="auto"/>
            <w:gridSpan w:val="3"/>
            <w:shd w:val="clear" w:color="auto" w:fill="auto"/>
            <w:vAlign w:val="bottom"/>
          </w:tcPr>
          <w:p w14:paraId="71D3F898" w14:textId="77777777" w:rsidR="006A3667" w:rsidRDefault="006A3667">
            <w:pPr>
              <w:rPr>
                <w:rFonts w:ascii="宋体"/>
                <w:vanish/>
              </w:rPr>
            </w:pPr>
          </w:p>
        </w:tc>
        <w:tc>
          <w:tcPr>
            <w:tcW w:w="0" w:type="auto"/>
            <w:gridSpan w:val="3"/>
            <w:shd w:val="clear" w:color="auto" w:fill="auto"/>
            <w:vAlign w:val="bottom"/>
          </w:tcPr>
          <w:p w14:paraId="71D3F899" w14:textId="77777777" w:rsidR="006A3667" w:rsidRDefault="006A3667">
            <w:pPr>
              <w:rPr>
                <w:rFonts w:ascii="宋体"/>
                <w:vanish/>
              </w:rPr>
            </w:pPr>
          </w:p>
        </w:tc>
        <w:tc>
          <w:tcPr>
            <w:tcW w:w="0" w:type="auto"/>
            <w:gridSpan w:val="3"/>
            <w:shd w:val="clear" w:color="auto" w:fill="auto"/>
            <w:vAlign w:val="bottom"/>
          </w:tcPr>
          <w:p w14:paraId="71D3F89A" w14:textId="77777777" w:rsidR="006A3667" w:rsidRDefault="006A3667">
            <w:pPr>
              <w:rPr>
                <w:rFonts w:ascii="宋体"/>
                <w:vanish/>
              </w:rPr>
            </w:pPr>
          </w:p>
        </w:tc>
        <w:tc>
          <w:tcPr>
            <w:tcW w:w="0" w:type="auto"/>
            <w:gridSpan w:val="3"/>
            <w:shd w:val="clear" w:color="auto" w:fill="auto"/>
            <w:vAlign w:val="bottom"/>
          </w:tcPr>
          <w:p w14:paraId="71D3F89B" w14:textId="77777777" w:rsidR="006A3667" w:rsidRDefault="006A3667">
            <w:pPr>
              <w:rPr>
                <w:rFonts w:ascii="宋体"/>
                <w:vanish/>
              </w:rPr>
            </w:pPr>
          </w:p>
        </w:tc>
        <w:tc>
          <w:tcPr>
            <w:tcW w:w="0" w:type="auto"/>
            <w:gridSpan w:val="3"/>
            <w:shd w:val="clear" w:color="auto" w:fill="auto"/>
            <w:vAlign w:val="bottom"/>
          </w:tcPr>
          <w:p w14:paraId="71D3F89C" w14:textId="77777777" w:rsidR="006A3667" w:rsidRDefault="006A3667">
            <w:pPr>
              <w:rPr>
                <w:rFonts w:ascii="宋体"/>
                <w:vanish/>
              </w:rPr>
            </w:pPr>
          </w:p>
        </w:tc>
        <w:tc>
          <w:tcPr>
            <w:tcW w:w="0" w:type="auto"/>
            <w:gridSpan w:val="2"/>
            <w:shd w:val="clear" w:color="auto" w:fill="auto"/>
            <w:vAlign w:val="bottom"/>
          </w:tcPr>
          <w:p w14:paraId="71D3F89D" w14:textId="77777777" w:rsidR="006A3667" w:rsidRDefault="006A3667">
            <w:pPr>
              <w:rPr>
                <w:rFonts w:ascii="宋体"/>
                <w:vanish/>
              </w:rPr>
            </w:pPr>
          </w:p>
        </w:tc>
        <w:tc>
          <w:tcPr>
            <w:tcW w:w="0" w:type="auto"/>
            <w:shd w:val="clear" w:color="auto" w:fill="auto"/>
            <w:vAlign w:val="bottom"/>
          </w:tcPr>
          <w:p w14:paraId="71D3F89E" w14:textId="77777777" w:rsidR="006A3667" w:rsidRDefault="006A3667">
            <w:pPr>
              <w:rPr>
                <w:rFonts w:ascii="宋体"/>
                <w:vanish/>
              </w:rPr>
            </w:pPr>
          </w:p>
        </w:tc>
      </w:tr>
      <w:tr w:rsidR="006A3667" w14:paraId="71D3F8BB" w14:textId="77777777">
        <w:tc>
          <w:tcPr>
            <w:tcW w:w="0" w:type="auto"/>
            <w:gridSpan w:val="3"/>
            <w:shd w:val="clear" w:color="auto" w:fill="CCEEFF"/>
            <w:tcMar>
              <w:top w:w="40" w:type="dxa"/>
              <w:left w:w="20" w:type="dxa"/>
              <w:bottom w:w="40" w:type="dxa"/>
              <w:right w:w="20" w:type="dxa"/>
            </w:tcMar>
            <w:vAlign w:val="bottom"/>
          </w:tcPr>
          <w:p w14:paraId="71D3F8A0" w14:textId="77777777" w:rsidR="006A3667" w:rsidRDefault="00045F32">
            <w:pPr>
              <w:textAlignment w:val="bottom"/>
            </w:pPr>
            <w:r>
              <w:rPr>
                <w:rFonts w:ascii="Arial" w:eastAsia="宋体" w:hAnsi="Arial" w:cs="Arial"/>
                <w:color w:val="000000"/>
                <w:sz w:val="15"/>
                <w:szCs w:val="15"/>
              </w:rPr>
              <w:t>Servicing fees</w:t>
            </w:r>
          </w:p>
        </w:tc>
        <w:tc>
          <w:tcPr>
            <w:tcW w:w="0" w:type="auto"/>
            <w:shd w:val="clear" w:color="auto" w:fill="auto"/>
            <w:vAlign w:val="bottom"/>
          </w:tcPr>
          <w:p w14:paraId="71D3F8A1" w14:textId="77777777" w:rsidR="006A3667" w:rsidRDefault="006A3667">
            <w:pPr>
              <w:rPr>
                <w:rFonts w:ascii="宋体"/>
                <w:vanish/>
              </w:rPr>
            </w:pPr>
          </w:p>
        </w:tc>
        <w:tc>
          <w:tcPr>
            <w:tcW w:w="0" w:type="auto"/>
            <w:shd w:val="clear" w:color="auto" w:fill="auto"/>
            <w:vAlign w:val="bottom"/>
          </w:tcPr>
          <w:p w14:paraId="71D3F8A2" w14:textId="77777777" w:rsidR="006A3667" w:rsidRDefault="006A3667">
            <w:pPr>
              <w:rPr>
                <w:rFonts w:ascii="宋体"/>
                <w:vanish/>
              </w:rPr>
            </w:pPr>
          </w:p>
        </w:tc>
        <w:tc>
          <w:tcPr>
            <w:tcW w:w="0" w:type="auto"/>
            <w:shd w:val="clear" w:color="auto" w:fill="auto"/>
            <w:vAlign w:val="bottom"/>
          </w:tcPr>
          <w:p w14:paraId="71D3F8A3" w14:textId="77777777" w:rsidR="006A3667" w:rsidRDefault="006A3667">
            <w:pPr>
              <w:rPr>
                <w:rFonts w:ascii="宋体"/>
                <w:vanish/>
              </w:rPr>
            </w:pPr>
          </w:p>
        </w:tc>
        <w:tc>
          <w:tcPr>
            <w:tcW w:w="0" w:type="auto"/>
            <w:shd w:val="clear" w:color="auto" w:fill="auto"/>
            <w:vAlign w:val="bottom"/>
          </w:tcPr>
          <w:p w14:paraId="71D3F8A4" w14:textId="77777777" w:rsidR="006A3667" w:rsidRDefault="006A3667">
            <w:pPr>
              <w:rPr>
                <w:rFonts w:ascii="宋体"/>
                <w:vanish/>
              </w:rPr>
            </w:pPr>
          </w:p>
        </w:tc>
        <w:tc>
          <w:tcPr>
            <w:tcW w:w="0" w:type="auto"/>
            <w:shd w:val="clear" w:color="auto" w:fill="auto"/>
            <w:vAlign w:val="bottom"/>
          </w:tcPr>
          <w:p w14:paraId="71D3F8A5" w14:textId="77777777" w:rsidR="006A3667" w:rsidRDefault="006A3667">
            <w:pPr>
              <w:rPr>
                <w:rFonts w:ascii="宋体"/>
                <w:vanish/>
              </w:rPr>
            </w:pPr>
          </w:p>
        </w:tc>
        <w:tc>
          <w:tcPr>
            <w:tcW w:w="0" w:type="auto"/>
            <w:shd w:val="clear" w:color="auto" w:fill="auto"/>
            <w:vAlign w:val="bottom"/>
          </w:tcPr>
          <w:p w14:paraId="71D3F8A6"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8A7"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8A8" w14:textId="77777777" w:rsidR="006A3667" w:rsidRDefault="00045F32">
            <w:pPr>
              <w:jc w:val="right"/>
              <w:textAlignment w:val="bottom"/>
            </w:pPr>
            <w:r>
              <w:rPr>
                <w:rFonts w:ascii="Arial" w:eastAsia="宋体" w:hAnsi="Arial" w:cs="Arial"/>
                <w:b/>
                <w:bCs/>
                <w:color w:val="000000"/>
                <w:sz w:val="15"/>
                <w:szCs w:val="15"/>
              </w:rPr>
              <w:t>1,219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8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8A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8AB"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8AC" w14:textId="77777777" w:rsidR="006A3667" w:rsidRDefault="00045F32">
            <w:pPr>
              <w:jc w:val="right"/>
              <w:textAlignment w:val="bottom"/>
            </w:pPr>
            <w:r>
              <w:rPr>
                <w:rFonts w:ascii="Arial" w:eastAsia="宋体" w:hAnsi="Arial" w:cs="Arial"/>
                <w:color w:val="000000"/>
                <w:sz w:val="15"/>
                <w:szCs w:val="15"/>
              </w:rPr>
              <w:t>1,391 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8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8AE" w14:textId="77777777" w:rsidR="006A3667" w:rsidRDefault="006A3667">
            <w:pPr>
              <w:rPr>
                <w:rFonts w:ascii="宋体"/>
              </w:rPr>
            </w:pPr>
          </w:p>
        </w:tc>
        <w:tc>
          <w:tcPr>
            <w:tcW w:w="0" w:type="auto"/>
            <w:shd w:val="clear" w:color="auto" w:fill="auto"/>
            <w:vAlign w:val="bottom"/>
          </w:tcPr>
          <w:p w14:paraId="71D3F8AF" w14:textId="77777777" w:rsidR="006A3667" w:rsidRDefault="006A3667">
            <w:pPr>
              <w:rPr>
                <w:rFonts w:ascii="宋体"/>
                <w:vanish/>
              </w:rPr>
            </w:pPr>
          </w:p>
        </w:tc>
        <w:tc>
          <w:tcPr>
            <w:tcW w:w="0" w:type="auto"/>
            <w:shd w:val="clear" w:color="auto" w:fill="auto"/>
            <w:vAlign w:val="bottom"/>
          </w:tcPr>
          <w:p w14:paraId="71D3F8B0"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8B1" w14:textId="77777777" w:rsidR="006A3667" w:rsidRDefault="00045F32">
            <w:pPr>
              <w:jc w:val="right"/>
              <w:textAlignment w:val="bottom"/>
            </w:pPr>
            <w:r>
              <w:rPr>
                <w:rFonts w:ascii="Arial" w:eastAsia="宋体" w:hAnsi="Arial" w:cs="Arial"/>
                <w:color w:val="000000"/>
                <w:sz w:val="15"/>
                <w:szCs w:val="15"/>
              </w:rPr>
              <w:t>(12)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8B2"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71D3F8B3" w14:textId="77777777" w:rsidR="006A3667" w:rsidRDefault="006A3667">
            <w:pPr>
              <w:rPr>
                <w:rFonts w:ascii="宋体"/>
                <w:vanish/>
              </w:rPr>
            </w:pPr>
          </w:p>
        </w:tc>
        <w:tc>
          <w:tcPr>
            <w:tcW w:w="0" w:type="auto"/>
            <w:gridSpan w:val="3"/>
            <w:shd w:val="clear" w:color="auto" w:fill="auto"/>
            <w:vAlign w:val="bottom"/>
          </w:tcPr>
          <w:p w14:paraId="71D3F8B4" w14:textId="77777777" w:rsidR="006A3667" w:rsidRDefault="006A3667">
            <w:pPr>
              <w:rPr>
                <w:rFonts w:ascii="宋体"/>
                <w:vanish/>
              </w:rPr>
            </w:pPr>
          </w:p>
        </w:tc>
        <w:tc>
          <w:tcPr>
            <w:tcW w:w="0" w:type="auto"/>
            <w:gridSpan w:val="3"/>
            <w:shd w:val="clear" w:color="auto" w:fill="auto"/>
            <w:vAlign w:val="bottom"/>
          </w:tcPr>
          <w:p w14:paraId="71D3F8B5" w14:textId="77777777" w:rsidR="006A3667" w:rsidRDefault="006A3667">
            <w:pPr>
              <w:rPr>
                <w:rFonts w:ascii="宋体"/>
                <w:vanish/>
              </w:rPr>
            </w:pPr>
          </w:p>
        </w:tc>
        <w:tc>
          <w:tcPr>
            <w:tcW w:w="0" w:type="auto"/>
            <w:gridSpan w:val="3"/>
            <w:shd w:val="clear" w:color="auto" w:fill="auto"/>
            <w:vAlign w:val="bottom"/>
          </w:tcPr>
          <w:p w14:paraId="71D3F8B6" w14:textId="77777777" w:rsidR="006A3667" w:rsidRDefault="006A3667">
            <w:pPr>
              <w:rPr>
                <w:rFonts w:ascii="宋体"/>
                <w:vanish/>
              </w:rPr>
            </w:pPr>
          </w:p>
        </w:tc>
        <w:tc>
          <w:tcPr>
            <w:tcW w:w="0" w:type="auto"/>
            <w:gridSpan w:val="3"/>
            <w:shd w:val="clear" w:color="auto" w:fill="auto"/>
            <w:vAlign w:val="bottom"/>
          </w:tcPr>
          <w:p w14:paraId="71D3F8B7" w14:textId="77777777" w:rsidR="006A3667" w:rsidRDefault="006A3667">
            <w:pPr>
              <w:rPr>
                <w:rFonts w:ascii="宋体"/>
                <w:vanish/>
              </w:rPr>
            </w:pPr>
          </w:p>
        </w:tc>
        <w:tc>
          <w:tcPr>
            <w:tcW w:w="0" w:type="auto"/>
            <w:gridSpan w:val="3"/>
            <w:shd w:val="clear" w:color="auto" w:fill="auto"/>
            <w:vAlign w:val="bottom"/>
          </w:tcPr>
          <w:p w14:paraId="71D3F8B8" w14:textId="77777777" w:rsidR="006A3667" w:rsidRDefault="006A3667">
            <w:pPr>
              <w:rPr>
                <w:rFonts w:ascii="宋体"/>
                <w:vanish/>
              </w:rPr>
            </w:pPr>
          </w:p>
        </w:tc>
        <w:tc>
          <w:tcPr>
            <w:tcW w:w="0" w:type="auto"/>
            <w:gridSpan w:val="2"/>
            <w:shd w:val="clear" w:color="auto" w:fill="auto"/>
            <w:vAlign w:val="bottom"/>
          </w:tcPr>
          <w:p w14:paraId="71D3F8B9" w14:textId="77777777" w:rsidR="006A3667" w:rsidRDefault="006A3667">
            <w:pPr>
              <w:rPr>
                <w:rFonts w:ascii="宋体"/>
                <w:vanish/>
              </w:rPr>
            </w:pPr>
          </w:p>
        </w:tc>
        <w:tc>
          <w:tcPr>
            <w:tcW w:w="0" w:type="auto"/>
            <w:shd w:val="clear" w:color="auto" w:fill="auto"/>
            <w:vAlign w:val="bottom"/>
          </w:tcPr>
          <w:p w14:paraId="71D3F8BA" w14:textId="77777777" w:rsidR="006A3667" w:rsidRDefault="006A3667">
            <w:pPr>
              <w:rPr>
                <w:rFonts w:ascii="宋体"/>
                <w:vanish/>
              </w:rPr>
            </w:pPr>
          </w:p>
        </w:tc>
      </w:tr>
      <w:tr w:rsidR="006A3667" w14:paraId="71D3F8D5" w14:textId="77777777">
        <w:tc>
          <w:tcPr>
            <w:tcW w:w="0" w:type="auto"/>
            <w:gridSpan w:val="3"/>
            <w:shd w:val="clear" w:color="auto" w:fill="FFFFFF"/>
            <w:tcMar>
              <w:top w:w="40" w:type="dxa"/>
              <w:left w:w="20" w:type="dxa"/>
              <w:bottom w:w="40" w:type="dxa"/>
              <w:right w:w="20" w:type="dxa"/>
            </w:tcMar>
            <w:vAlign w:val="bottom"/>
          </w:tcPr>
          <w:p w14:paraId="71D3F8BC" w14:textId="77777777" w:rsidR="006A3667" w:rsidRDefault="00045F32">
            <w:pPr>
              <w:textAlignment w:val="bottom"/>
            </w:pPr>
            <w:r>
              <w:rPr>
                <w:rFonts w:ascii="Arial" w:eastAsia="宋体" w:hAnsi="Arial" w:cs="Arial"/>
                <w:color w:val="000000"/>
                <w:sz w:val="15"/>
                <w:szCs w:val="15"/>
              </w:rPr>
              <w:t>Foreign exchange trading services</w:t>
            </w:r>
          </w:p>
        </w:tc>
        <w:tc>
          <w:tcPr>
            <w:tcW w:w="0" w:type="auto"/>
            <w:shd w:val="clear" w:color="auto" w:fill="auto"/>
            <w:vAlign w:val="bottom"/>
          </w:tcPr>
          <w:p w14:paraId="71D3F8BD" w14:textId="77777777" w:rsidR="006A3667" w:rsidRDefault="006A3667">
            <w:pPr>
              <w:rPr>
                <w:rFonts w:ascii="宋体"/>
                <w:vanish/>
              </w:rPr>
            </w:pPr>
          </w:p>
        </w:tc>
        <w:tc>
          <w:tcPr>
            <w:tcW w:w="0" w:type="auto"/>
            <w:shd w:val="clear" w:color="auto" w:fill="auto"/>
            <w:vAlign w:val="bottom"/>
          </w:tcPr>
          <w:p w14:paraId="71D3F8BE" w14:textId="77777777" w:rsidR="006A3667" w:rsidRDefault="006A3667">
            <w:pPr>
              <w:rPr>
                <w:rFonts w:ascii="宋体"/>
                <w:vanish/>
              </w:rPr>
            </w:pPr>
          </w:p>
        </w:tc>
        <w:tc>
          <w:tcPr>
            <w:tcW w:w="0" w:type="auto"/>
            <w:shd w:val="clear" w:color="auto" w:fill="auto"/>
            <w:vAlign w:val="bottom"/>
          </w:tcPr>
          <w:p w14:paraId="71D3F8BF" w14:textId="77777777" w:rsidR="006A3667" w:rsidRDefault="006A3667">
            <w:pPr>
              <w:rPr>
                <w:rFonts w:ascii="宋体"/>
                <w:vanish/>
              </w:rPr>
            </w:pPr>
          </w:p>
        </w:tc>
        <w:tc>
          <w:tcPr>
            <w:tcW w:w="0" w:type="auto"/>
            <w:shd w:val="clear" w:color="auto" w:fill="auto"/>
            <w:vAlign w:val="bottom"/>
          </w:tcPr>
          <w:p w14:paraId="71D3F8C0" w14:textId="77777777" w:rsidR="006A3667" w:rsidRDefault="006A3667">
            <w:pPr>
              <w:rPr>
                <w:rFonts w:ascii="宋体"/>
                <w:vanish/>
              </w:rPr>
            </w:pPr>
          </w:p>
        </w:tc>
        <w:tc>
          <w:tcPr>
            <w:tcW w:w="0" w:type="auto"/>
            <w:shd w:val="clear" w:color="auto" w:fill="auto"/>
            <w:vAlign w:val="bottom"/>
          </w:tcPr>
          <w:p w14:paraId="71D3F8C1" w14:textId="77777777" w:rsidR="006A3667" w:rsidRDefault="006A3667">
            <w:pPr>
              <w:rPr>
                <w:rFonts w:ascii="宋体"/>
                <w:vanish/>
              </w:rPr>
            </w:pPr>
          </w:p>
        </w:tc>
        <w:tc>
          <w:tcPr>
            <w:tcW w:w="0" w:type="auto"/>
            <w:shd w:val="clear" w:color="auto" w:fill="auto"/>
            <w:vAlign w:val="bottom"/>
          </w:tcPr>
          <w:p w14:paraId="71D3F8C2"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8C3" w14:textId="77777777" w:rsidR="006A3667" w:rsidRDefault="00045F32">
            <w:pPr>
              <w:jc w:val="right"/>
              <w:textAlignment w:val="bottom"/>
            </w:pPr>
            <w:r>
              <w:rPr>
                <w:rFonts w:ascii="Arial" w:eastAsia="宋体" w:hAnsi="Arial" w:cs="Arial"/>
                <w:b/>
                <w:bCs/>
                <w:color w:val="000000"/>
                <w:sz w:val="15"/>
                <w:szCs w:val="15"/>
              </w:rPr>
              <w:t>293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8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8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8C6" w14:textId="77777777" w:rsidR="006A3667" w:rsidRDefault="00045F32">
            <w:pPr>
              <w:jc w:val="right"/>
              <w:textAlignment w:val="bottom"/>
            </w:pPr>
            <w:r>
              <w:rPr>
                <w:rFonts w:ascii="Arial" w:eastAsia="宋体" w:hAnsi="Arial" w:cs="Arial"/>
                <w:color w:val="000000"/>
                <w:sz w:val="15"/>
                <w:szCs w:val="15"/>
              </w:rPr>
              <w:t>266 </w:t>
            </w:r>
          </w:p>
        </w:tc>
        <w:tc>
          <w:tcPr>
            <w:tcW w:w="0" w:type="auto"/>
            <w:shd w:val="clear" w:color="auto" w:fill="FFFFFF"/>
            <w:tcMar>
              <w:top w:w="40" w:type="dxa"/>
              <w:left w:w="0" w:type="dxa"/>
              <w:bottom w:w="40" w:type="dxa"/>
              <w:right w:w="20" w:type="dxa"/>
            </w:tcMar>
            <w:vAlign w:val="bottom"/>
          </w:tcPr>
          <w:p w14:paraId="71D3F8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8C8" w14:textId="77777777" w:rsidR="006A3667" w:rsidRDefault="006A3667">
            <w:pPr>
              <w:rPr>
                <w:rFonts w:ascii="宋体"/>
              </w:rPr>
            </w:pPr>
          </w:p>
        </w:tc>
        <w:tc>
          <w:tcPr>
            <w:tcW w:w="0" w:type="auto"/>
            <w:shd w:val="clear" w:color="auto" w:fill="auto"/>
            <w:vAlign w:val="bottom"/>
          </w:tcPr>
          <w:p w14:paraId="71D3F8C9" w14:textId="77777777" w:rsidR="006A3667" w:rsidRDefault="006A3667">
            <w:pPr>
              <w:rPr>
                <w:rFonts w:ascii="宋体"/>
                <w:vanish/>
              </w:rPr>
            </w:pPr>
          </w:p>
        </w:tc>
        <w:tc>
          <w:tcPr>
            <w:tcW w:w="0" w:type="auto"/>
            <w:shd w:val="clear" w:color="auto" w:fill="auto"/>
            <w:vAlign w:val="bottom"/>
          </w:tcPr>
          <w:p w14:paraId="71D3F8CA"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8CB" w14:textId="77777777" w:rsidR="006A3667" w:rsidRDefault="00045F32">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71D3F8CC" w14:textId="77777777" w:rsidR="006A3667" w:rsidRDefault="006A3667">
            <w:pPr>
              <w:jc w:val="right"/>
              <w:rPr>
                <w:rFonts w:ascii="宋体"/>
              </w:rPr>
            </w:pPr>
          </w:p>
        </w:tc>
        <w:tc>
          <w:tcPr>
            <w:tcW w:w="0" w:type="auto"/>
            <w:gridSpan w:val="3"/>
            <w:shd w:val="clear" w:color="auto" w:fill="auto"/>
            <w:vAlign w:val="bottom"/>
          </w:tcPr>
          <w:p w14:paraId="71D3F8CD" w14:textId="77777777" w:rsidR="006A3667" w:rsidRDefault="006A3667">
            <w:pPr>
              <w:rPr>
                <w:rFonts w:ascii="宋体"/>
                <w:vanish/>
              </w:rPr>
            </w:pPr>
          </w:p>
        </w:tc>
        <w:tc>
          <w:tcPr>
            <w:tcW w:w="0" w:type="auto"/>
            <w:gridSpan w:val="3"/>
            <w:shd w:val="clear" w:color="auto" w:fill="auto"/>
            <w:vAlign w:val="bottom"/>
          </w:tcPr>
          <w:p w14:paraId="71D3F8CE" w14:textId="77777777" w:rsidR="006A3667" w:rsidRDefault="006A3667">
            <w:pPr>
              <w:rPr>
                <w:rFonts w:ascii="宋体"/>
                <w:vanish/>
              </w:rPr>
            </w:pPr>
          </w:p>
        </w:tc>
        <w:tc>
          <w:tcPr>
            <w:tcW w:w="0" w:type="auto"/>
            <w:gridSpan w:val="3"/>
            <w:shd w:val="clear" w:color="auto" w:fill="auto"/>
            <w:vAlign w:val="bottom"/>
          </w:tcPr>
          <w:p w14:paraId="71D3F8CF" w14:textId="77777777" w:rsidR="006A3667" w:rsidRDefault="006A3667">
            <w:pPr>
              <w:rPr>
                <w:rFonts w:ascii="宋体"/>
                <w:vanish/>
              </w:rPr>
            </w:pPr>
          </w:p>
        </w:tc>
        <w:tc>
          <w:tcPr>
            <w:tcW w:w="0" w:type="auto"/>
            <w:gridSpan w:val="3"/>
            <w:shd w:val="clear" w:color="auto" w:fill="auto"/>
            <w:vAlign w:val="bottom"/>
          </w:tcPr>
          <w:p w14:paraId="71D3F8D0" w14:textId="77777777" w:rsidR="006A3667" w:rsidRDefault="006A3667">
            <w:pPr>
              <w:rPr>
                <w:rFonts w:ascii="宋体"/>
                <w:vanish/>
              </w:rPr>
            </w:pPr>
          </w:p>
        </w:tc>
        <w:tc>
          <w:tcPr>
            <w:tcW w:w="0" w:type="auto"/>
            <w:gridSpan w:val="3"/>
            <w:shd w:val="clear" w:color="auto" w:fill="auto"/>
            <w:vAlign w:val="bottom"/>
          </w:tcPr>
          <w:p w14:paraId="71D3F8D1" w14:textId="77777777" w:rsidR="006A3667" w:rsidRDefault="006A3667">
            <w:pPr>
              <w:rPr>
                <w:rFonts w:ascii="宋体"/>
                <w:vanish/>
              </w:rPr>
            </w:pPr>
          </w:p>
        </w:tc>
        <w:tc>
          <w:tcPr>
            <w:tcW w:w="0" w:type="auto"/>
            <w:gridSpan w:val="3"/>
            <w:shd w:val="clear" w:color="auto" w:fill="auto"/>
            <w:vAlign w:val="bottom"/>
          </w:tcPr>
          <w:p w14:paraId="71D3F8D2" w14:textId="77777777" w:rsidR="006A3667" w:rsidRDefault="006A3667">
            <w:pPr>
              <w:rPr>
                <w:rFonts w:ascii="宋体"/>
                <w:vanish/>
              </w:rPr>
            </w:pPr>
          </w:p>
        </w:tc>
        <w:tc>
          <w:tcPr>
            <w:tcW w:w="0" w:type="auto"/>
            <w:gridSpan w:val="2"/>
            <w:shd w:val="clear" w:color="auto" w:fill="auto"/>
            <w:vAlign w:val="bottom"/>
          </w:tcPr>
          <w:p w14:paraId="71D3F8D3" w14:textId="77777777" w:rsidR="006A3667" w:rsidRDefault="006A3667">
            <w:pPr>
              <w:rPr>
                <w:rFonts w:ascii="宋体"/>
                <w:vanish/>
              </w:rPr>
            </w:pPr>
          </w:p>
        </w:tc>
        <w:tc>
          <w:tcPr>
            <w:tcW w:w="0" w:type="auto"/>
            <w:shd w:val="clear" w:color="auto" w:fill="auto"/>
            <w:vAlign w:val="bottom"/>
          </w:tcPr>
          <w:p w14:paraId="71D3F8D4" w14:textId="77777777" w:rsidR="006A3667" w:rsidRDefault="006A3667">
            <w:pPr>
              <w:rPr>
                <w:rFonts w:ascii="宋体"/>
                <w:vanish/>
              </w:rPr>
            </w:pPr>
          </w:p>
        </w:tc>
      </w:tr>
      <w:tr w:rsidR="006A3667" w14:paraId="71D3F8EF" w14:textId="77777777">
        <w:tc>
          <w:tcPr>
            <w:tcW w:w="0" w:type="auto"/>
            <w:gridSpan w:val="3"/>
            <w:shd w:val="clear" w:color="auto" w:fill="CCEEFF"/>
            <w:tcMar>
              <w:top w:w="40" w:type="dxa"/>
              <w:left w:w="20" w:type="dxa"/>
              <w:bottom w:w="40" w:type="dxa"/>
              <w:right w:w="20" w:type="dxa"/>
            </w:tcMar>
            <w:vAlign w:val="bottom"/>
          </w:tcPr>
          <w:p w14:paraId="71D3F8D6" w14:textId="77777777" w:rsidR="006A3667" w:rsidRDefault="00045F32">
            <w:pPr>
              <w:textAlignment w:val="bottom"/>
            </w:pPr>
            <w:r>
              <w:rPr>
                <w:rFonts w:ascii="Arial" w:eastAsia="宋体" w:hAnsi="Arial" w:cs="Arial"/>
                <w:color w:val="000000"/>
                <w:sz w:val="15"/>
                <w:szCs w:val="15"/>
              </w:rPr>
              <w:t>Securities finance</w:t>
            </w:r>
          </w:p>
        </w:tc>
        <w:tc>
          <w:tcPr>
            <w:tcW w:w="0" w:type="auto"/>
            <w:shd w:val="clear" w:color="auto" w:fill="auto"/>
            <w:vAlign w:val="bottom"/>
          </w:tcPr>
          <w:p w14:paraId="71D3F8D7" w14:textId="77777777" w:rsidR="006A3667" w:rsidRDefault="006A3667">
            <w:pPr>
              <w:rPr>
                <w:rFonts w:ascii="宋体"/>
                <w:vanish/>
              </w:rPr>
            </w:pPr>
          </w:p>
        </w:tc>
        <w:tc>
          <w:tcPr>
            <w:tcW w:w="0" w:type="auto"/>
            <w:shd w:val="clear" w:color="auto" w:fill="auto"/>
            <w:vAlign w:val="bottom"/>
          </w:tcPr>
          <w:p w14:paraId="71D3F8D8" w14:textId="77777777" w:rsidR="006A3667" w:rsidRDefault="006A3667">
            <w:pPr>
              <w:rPr>
                <w:rFonts w:ascii="宋体"/>
                <w:vanish/>
              </w:rPr>
            </w:pPr>
          </w:p>
        </w:tc>
        <w:tc>
          <w:tcPr>
            <w:tcW w:w="0" w:type="auto"/>
            <w:shd w:val="clear" w:color="auto" w:fill="auto"/>
            <w:vAlign w:val="bottom"/>
          </w:tcPr>
          <w:p w14:paraId="71D3F8D9" w14:textId="77777777" w:rsidR="006A3667" w:rsidRDefault="006A3667">
            <w:pPr>
              <w:rPr>
                <w:rFonts w:ascii="宋体"/>
                <w:vanish/>
              </w:rPr>
            </w:pPr>
          </w:p>
        </w:tc>
        <w:tc>
          <w:tcPr>
            <w:tcW w:w="0" w:type="auto"/>
            <w:shd w:val="clear" w:color="auto" w:fill="auto"/>
            <w:vAlign w:val="bottom"/>
          </w:tcPr>
          <w:p w14:paraId="71D3F8DA" w14:textId="77777777" w:rsidR="006A3667" w:rsidRDefault="006A3667">
            <w:pPr>
              <w:rPr>
                <w:rFonts w:ascii="宋体"/>
                <w:vanish/>
              </w:rPr>
            </w:pPr>
          </w:p>
        </w:tc>
        <w:tc>
          <w:tcPr>
            <w:tcW w:w="0" w:type="auto"/>
            <w:shd w:val="clear" w:color="auto" w:fill="auto"/>
            <w:vAlign w:val="bottom"/>
          </w:tcPr>
          <w:p w14:paraId="71D3F8DB" w14:textId="77777777" w:rsidR="006A3667" w:rsidRDefault="006A3667">
            <w:pPr>
              <w:rPr>
                <w:rFonts w:ascii="宋体"/>
                <w:vanish/>
              </w:rPr>
            </w:pPr>
          </w:p>
        </w:tc>
        <w:tc>
          <w:tcPr>
            <w:tcW w:w="0" w:type="auto"/>
            <w:shd w:val="clear" w:color="auto" w:fill="auto"/>
            <w:vAlign w:val="bottom"/>
          </w:tcPr>
          <w:p w14:paraId="71D3F8DC"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8DD" w14:textId="77777777" w:rsidR="006A3667" w:rsidRDefault="00045F32">
            <w:pPr>
              <w:jc w:val="right"/>
              <w:textAlignment w:val="bottom"/>
            </w:pPr>
            <w:r>
              <w:rPr>
                <w:rFonts w:ascii="Arial" w:eastAsia="宋体" w:hAnsi="Arial" w:cs="Arial"/>
                <w:b/>
                <w:bCs/>
                <w:color w:val="000000"/>
                <w:sz w:val="15"/>
                <w:szCs w:val="15"/>
              </w:rPr>
              <w:t>105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8D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8D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8E0" w14:textId="77777777" w:rsidR="006A3667" w:rsidRDefault="00045F32">
            <w:pPr>
              <w:jc w:val="right"/>
              <w:textAlignment w:val="bottom"/>
            </w:pPr>
            <w:r>
              <w:rPr>
                <w:rFonts w:ascii="Arial" w:eastAsia="宋体" w:hAnsi="Arial" w:cs="Arial"/>
                <w:color w:val="000000"/>
                <w:sz w:val="15"/>
                <w:szCs w:val="15"/>
              </w:rPr>
              <w:t>103 </w:t>
            </w:r>
          </w:p>
        </w:tc>
        <w:tc>
          <w:tcPr>
            <w:tcW w:w="0" w:type="auto"/>
            <w:shd w:val="clear" w:color="auto" w:fill="CCEEFF"/>
            <w:tcMar>
              <w:top w:w="40" w:type="dxa"/>
              <w:left w:w="0" w:type="dxa"/>
              <w:bottom w:w="40" w:type="dxa"/>
              <w:right w:w="20" w:type="dxa"/>
            </w:tcMar>
            <w:vAlign w:val="bottom"/>
          </w:tcPr>
          <w:p w14:paraId="71D3F8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8E2" w14:textId="77777777" w:rsidR="006A3667" w:rsidRDefault="006A3667">
            <w:pPr>
              <w:rPr>
                <w:rFonts w:ascii="宋体"/>
              </w:rPr>
            </w:pPr>
          </w:p>
        </w:tc>
        <w:tc>
          <w:tcPr>
            <w:tcW w:w="0" w:type="auto"/>
            <w:shd w:val="clear" w:color="auto" w:fill="auto"/>
            <w:vAlign w:val="bottom"/>
          </w:tcPr>
          <w:p w14:paraId="71D3F8E3" w14:textId="77777777" w:rsidR="006A3667" w:rsidRDefault="006A3667">
            <w:pPr>
              <w:rPr>
                <w:rFonts w:ascii="宋体"/>
                <w:vanish/>
              </w:rPr>
            </w:pPr>
          </w:p>
        </w:tc>
        <w:tc>
          <w:tcPr>
            <w:tcW w:w="0" w:type="auto"/>
            <w:shd w:val="clear" w:color="auto" w:fill="auto"/>
            <w:vAlign w:val="bottom"/>
          </w:tcPr>
          <w:p w14:paraId="71D3F8E4"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8E5"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1D3F8E6" w14:textId="77777777" w:rsidR="006A3667" w:rsidRDefault="006A3667">
            <w:pPr>
              <w:jc w:val="right"/>
              <w:rPr>
                <w:rFonts w:ascii="宋体"/>
              </w:rPr>
            </w:pPr>
          </w:p>
        </w:tc>
        <w:tc>
          <w:tcPr>
            <w:tcW w:w="0" w:type="auto"/>
            <w:gridSpan w:val="3"/>
            <w:shd w:val="clear" w:color="auto" w:fill="auto"/>
            <w:vAlign w:val="bottom"/>
          </w:tcPr>
          <w:p w14:paraId="71D3F8E7" w14:textId="77777777" w:rsidR="006A3667" w:rsidRDefault="006A3667">
            <w:pPr>
              <w:rPr>
                <w:rFonts w:ascii="宋体"/>
                <w:vanish/>
              </w:rPr>
            </w:pPr>
          </w:p>
        </w:tc>
        <w:tc>
          <w:tcPr>
            <w:tcW w:w="0" w:type="auto"/>
            <w:gridSpan w:val="3"/>
            <w:shd w:val="clear" w:color="auto" w:fill="auto"/>
            <w:vAlign w:val="bottom"/>
          </w:tcPr>
          <w:p w14:paraId="71D3F8E8" w14:textId="77777777" w:rsidR="006A3667" w:rsidRDefault="006A3667">
            <w:pPr>
              <w:rPr>
                <w:rFonts w:ascii="宋体"/>
                <w:vanish/>
              </w:rPr>
            </w:pPr>
          </w:p>
        </w:tc>
        <w:tc>
          <w:tcPr>
            <w:tcW w:w="0" w:type="auto"/>
            <w:gridSpan w:val="3"/>
            <w:shd w:val="clear" w:color="auto" w:fill="auto"/>
            <w:vAlign w:val="bottom"/>
          </w:tcPr>
          <w:p w14:paraId="71D3F8E9" w14:textId="77777777" w:rsidR="006A3667" w:rsidRDefault="006A3667">
            <w:pPr>
              <w:rPr>
                <w:rFonts w:ascii="宋体"/>
                <w:vanish/>
              </w:rPr>
            </w:pPr>
          </w:p>
        </w:tc>
        <w:tc>
          <w:tcPr>
            <w:tcW w:w="0" w:type="auto"/>
            <w:gridSpan w:val="3"/>
            <w:shd w:val="clear" w:color="auto" w:fill="auto"/>
            <w:vAlign w:val="bottom"/>
          </w:tcPr>
          <w:p w14:paraId="71D3F8EA" w14:textId="77777777" w:rsidR="006A3667" w:rsidRDefault="006A3667">
            <w:pPr>
              <w:rPr>
                <w:rFonts w:ascii="宋体"/>
                <w:vanish/>
              </w:rPr>
            </w:pPr>
          </w:p>
        </w:tc>
        <w:tc>
          <w:tcPr>
            <w:tcW w:w="0" w:type="auto"/>
            <w:gridSpan w:val="3"/>
            <w:shd w:val="clear" w:color="auto" w:fill="auto"/>
            <w:vAlign w:val="bottom"/>
          </w:tcPr>
          <w:p w14:paraId="71D3F8EB" w14:textId="77777777" w:rsidR="006A3667" w:rsidRDefault="006A3667">
            <w:pPr>
              <w:rPr>
                <w:rFonts w:ascii="宋体"/>
                <w:vanish/>
              </w:rPr>
            </w:pPr>
          </w:p>
        </w:tc>
        <w:tc>
          <w:tcPr>
            <w:tcW w:w="0" w:type="auto"/>
            <w:gridSpan w:val="3"/>
            <w:shd w:val="clear" w:color="auto" w:fill="auto"/>
            <w:vAlign w:val="bottom"/>
          </w:tcPr>
          <w:p w14:paraId="71D3F8EC" w14:textId="77777777" w:rsidR="006A3667" w:rsidRDefault="006A3667">
            <w:pPr>
              <w:rPr>
                <w:rFonts w:ascii="宋体"/>
                <w:vanish/>
              </w:rPr>
            </w:pPr>
          </w:p>
        </w:tc>
        <w:tc>
          <w:tcPr>
            <w:tcW w:w="0" w:type="auto"/>
            <w:gridSpan w:val="2"/>
            <w:shd w:val="clear" w:color="auto" w:fill="auto"/>
            <w:vAlign w:val="bottom"/>
          </w:tcPr>
          <w:p w14:paraId="71D3F8ED" w14:textId="77777777" w:rsidR="006A3667" w:rsidRDefault="006A3667">
            <w:pPr>
              <w:rPr>
                <w:rFonts w:ascii="宋体"/>
                <w:vanish/>
              </w:rPr>
            </w:pPr>
          </w:p>
        </w:tc>
        <w:tc>
          <w:tcPr>
            <w:tcW w:w="0" w:type="auto"/>
            <w:shd w:val="clear" w:color="auto" w:fill="auto"/>
            <w:vAlign w:val="bottom"/>
          </w:tcPr>
          <w:p w14:paraId="71D3F8EE" w14:textId="77777777" w:rsidR="006A3667" w:rsidRDefault="006A3667">
            <w:pPr>
              <w:rPr>
                <w:rFonts w:ascii="宋体"/>
                <w:vanish/>
              </w:rPr>
            </w:pPr>
          </w:p>
        </w:tc>
      </w:tr>
      <w:tr w:rsidR="006A3667" w14:paraId="71D3F906" w14:textId="77777777">
        <w:trPr>
          <w:hidden/>
        </w:trPr>
        <w:tc>
          <w:tcPr>
            <w:tcW w:w="0" w:type="auto"/>
            <w:gridSpan w:val="3"/>
            <w:shd w:val="clear" w:color="auto" w:fill="auto"/>
            <w:vAlign w:val="bottom"/>
          </w:tcPr>
          <w:p w14:paraId="71D3F8F0" w14:textId="77777777" w:rsidR="006A3667" w:rsidRDefault="006A3667">
            <w:pPr>
              <w:rPr>
                <w:rFonts w:ascii="宋体"/>
                <w:vanish/>
              </w:rPr>
            </w:pPr>
          </w:p>
        </w:tc>
        <w:tc>
          <w:tcPr>
            <w:tcW w:w="0" w:type="auto"/>
            <w:shd w:val="clear" w:color="auto" w:fill="auto"/>
            <w:vAlign w:val="bottom"/>
          </w:tcPr>
          <w:p w14:paraId="71D3F8F1" w14:textId="77777777" w:rsidR="006A3667" w:rsidRDefault="006A3667">
            <w:pPr>
              <w:rPr>
                <w:rFonts w:ascii="宋体"/>
                <w:vanish/>
              </w:rPr>
            </w:pPr>
          </w:p>
        </w:tc>
        <w:tc>
          <w:tcPr>
            <w:tcW w:w="0" w:type="auto"/>
            <w:shd w:val="clear" w:color="auto" w:fill="auto"/>
            <w:vAlign w:val="bottom"/>
          </w:tcPr>
          <w:p w14:paraId="71D3F8F2" w14:textId="77777777" w:rsidR="006A3667" w:rsidRDefault="006A3667">
            <w:pPr>
              <w:rPr>
                <w:rFonts w:ascii="宋体"/>
                <w:vanish/>
              </w:rPr>
            </w:pPr>
          </w:p>
        </w:tc>
        <w:tc>
          <w:tcPr>
            <w:tcW w:w="0" w:type="auto"/>
            <w:shd w:val="clear" w:color="auto" w:fill="auto"/>
            <w:vAlign w:val="bottom"/>
          </w:tcPr>
          <w:p w14:paraId="71D3F8F3" w14:textId="77777777" w:rsidR="006A3667" w:rsidRDefault="006A3667">
            <w:pPr>
              <w:rPr>
                <w:rFonts w:ascii="宋体"/>
                <w:vanish/>
              </w:rPr>
            </w:pPr>
          </w:p>
        </w:tc>
        <w:tc>
          <w:tcPr>
            <w:tcW w:w="0" w:type="auto"/>
            <w:shd w:val="clear" w:color="auto" w:fill="auto"/>
            <w:vAlign w:val="bottom"/>
          </w:tcPr>
          <w:p w14:paraId="71D3F8F4" w14:textId="77777777" w:rsidR="006A3667" w:rsidRDefault="006A3667">
            <w:pPr>
              <w:rPr>
                <w:rFonts w:ascii="宋体"/>
                <w:vanish/>
              </w:rPr>
            </w:pPr>
          </w:p>
        </w:tc>
        <w:tc>
          <w:tcPr>
            <w:tcW w:w="0" w:type="auto"/>
            <w:shd w:val="clear" w:color="auto" w:fill="auto"/>
            <w:vAlign w:val="bottom"/>
          </w:tcPr>
          <w:p w14:paraId="71D3F8F5" w14:textId="77777777" w:rsidR="006A3667" w:rsidRDefault="006A3667">
            <w:pPr>
              <w:rPr>
                <w:rFonts w:ascii="宋体"/>
                <w:vanish/>
              </w:rPr>
            </w:pPr>
          </w:p>
        </w:tc>
        <w:tc>
          <w:tcPr>
            <w:tcW w:w="0" w:type="auto"/>
            <w:shd w:val="clear" w:color="auto" w:fill="auto"/>
            <w:vAlign w:val="bottom"/>
          </w:tcPr>
          <w:p w14:paraId="71D3F8F6" w14:textId="77777777" w:rsidR="006A3667" w:rsidRDefault="006A3667">
            <w:pPr>
              <w:rPr>
                <w:rFonts w:ascii="宋体"/>
                <w:vanish/>
              </w:rPr>
            </w:pPr>
          </w:p>
        </w:tc>
        <w:tc>
          <w:tcPr>
            <w:tcW w:w="0" w:type="auto"/>
            <w:gridSpan w:val="3"/>
            <w:shd w:val="clear" w:color="auto" w:fill="auto"/>
            <w:vAlign w:val="bottom"/>
          </w:tcPr>
          <w:p w14:paraId="71D3F8F7" w14:textId="77777777" w:rsidR="006A3667" w:rsidRDefault="006A3667">
            <w:pPr>
              <w:rPr>
                <w:rFonts w:ascii="宋体"/>
                <w:vanish/>
              </w:rPr>
            </w:pPr>
          </w:p>
        </w:tc>
        <w:tc>
          <w:tcPr>
            <w:tcW w:w="0" w:type="auto"/>
            <w:gridSpan w:val="3"/>
            <w:shd w:val="clear" w:color="auto" w:fill="auto"/>
            <w:vAlign w:val="bottom"/>
          </w:tcPr>
          <w:p w14:paraId="71D3F8F8" w14:textId="77777777" w:rsidR="006A3667" w:rsidRDefault="006A3667">
            <w:pPr>
              <w:rPr>
                <w:rFonts w:ascii="宋体"/>
                <w:vanish/>
              </w:rPr>
            </w:pPr>
          </w:p>
        </w:tc>
        <w:tc>
          <w:tcPr>
            <w:tcW w:w="0" w:type="auto"/>
            <w:gridSpan w:val="3"/>
            <w:shd w:val="clear" w:color="auto" w:fill="auto"/>
            <w:vAlign w:val="bottom"/>
          </w:tcPr>
          <w:p w14:paraId="71D3F8F9" w14:textId="77777777" w:rsidR="006A3667" w:rsidRDefault="006A3667">
            <w:pPr>
              <w:rPr>
                <w:rFonts w:ascii="宋体"/>
                <w:vanish/>
              </w:rPr>
            </w:pPr>
          </w:p>
        </w:tc>
        <w:tc>
          <w:tcPr>
            <w:tcW w:w="0" w:type="auto"/>
            <w:gridSpan w:val="3"/>
            <w:shd w:val="clear" w:color="auto" w:fill="auto"/>
            <w:vAlign w:val="bottom"/>
          </w:tcPr>
          <w:p w14:paraId="71D3F8FA" w14:textId="77777777" w:rsidR="006A3667" w:rsidRDefault="006A3667">
            <w:pPr>
              <w:rPr>
                <w:rFonts w:ascii="宋体"/>
                <w:vanish/>
              </w:rPr>
            </w:pPr>
          </w:p>
        </w:tc>
        <w:tc>
          <w:tcPr>
            <w:tcW w:w="0" w:type="auto"/>
            <w:shd w:val="clear" w:color="auto" w:fill="auto"/>
            <w:vAlign w:val="bottom"/>
          </w:tcPr>
          <w:p w14:paraId="71D3F8FB" w14:textId="77777777" w:rsidR="006A3667" w:rsidRDefault="006A3667">
            <w:pPr>
              <w:rPr>
                <w:rFonts w:ascii="宋体"/>
                <w:vanish/>
              </w:rPr>
            </w:pPr>
          </w:p>
        </w:tc>
        <w:tc>
          <w:tcPr>
            <w:tcW w:w="0" w:type="auto"/>
            <w:shd w:val="clear" w:color="auto" w:fill="auto"/>
            <w:vAlign w:val="bottom"/>
          </w:tcPr>
          <w:p w14:paraId="71D3F8FC" w14:textId="77777777" w:rsidR="006A3667" w:rsidRDefault="006A3667">
            <w:pPr>
              <w:rPr>
                <w:rFonts w:ascii="宋体"/>
                <w:vanish/>
              </w:rPr>
            </w:pPr>
          </w:p>
        </w:tc>
        <w:tc>
          <w:tcPr>
            <w:tcW w:w="0" w:type="auto"/>
            <w:gridSpan w:val="3"/>
            <w:shd w:val="clear" w:color="auto" w:fill="auto"/>
            <w:vAlign w:val="bottom"/>
          </w:tcPr>
          <w:p w14:paraId="71D3F8FD" w14:textId="77777777" w:rsidR="006A3667" w:rsidRDefault="006A3667">
            <w:pPr>
              <w:rPr>
                <w:rFonts w:ascii="宋体"/>
                <w:vanish/>
              </w:rPr>
            </w:pPr>
          </w:p>
        </w:tc>
        <w:tc>
          <w:tcPr>
            <w:tcW w:w="0" w:type="auto"/>
            <w:gridSpan w:val="3"/>
            <w:shd w:val="clear" w:color="auto" w:fill="auto"/>
            <w:vAlign w:val="bottom"/>
          </w:tcPr>
          <w:p w14:paraId="71D3F8FE" w14:textId="77777777" w:rsidR="006A3667" w:rsidRDefault="006A3667">
            <w:pPr>
              <w:rPr>
                <w:rFonts w:ascii="宋体"/>
                <w:vanish/>
              </w:rPr>
            </w:pPr>
          </w:p>
        </w:tc>
        <w:tc>
          <w:tcPr>
            <w:tcW w:w="0" w:type="auto"/>
            <w:gridSpan w:val="3"/>
            <w:shd w:val="clear" w:color="auto" w:fill="auto"/>
            <w:vAlign w:val="bottom"/>
          </w:tcPr>
          <w:p w14:paraId="71D3F8FF" w14:textId="77777777" w:rsidR="006A3667" w:rsidRDefault="006A3667">
            <w:pPr>
              <w:rPr>
                <w:rFonts w:ascii="宋体"/>
                <w:vanish/>
              </w:rPr>
            </w:pPr>
          </w:p>
        </w:tc>
        <w:tc>
          <w:tcPr>
            <w:tcW w:w="0" w:type="auto"/>
            <w:gridSpan w:val="3"/>
            <w:shd w:val="clear" w:color="auto" w:fill="auto"/>
            <w:vAlign w:val="bottom"/>
          </w:tcPr>
          <w:p w14:paraId="71D3F900" w14:textId="77777777" w:rsidR="006A3667" w:rsidRDefault="006A3667">
            <w:pPr>
              <w:rPr>
                <w:rFonts w:ascii="宋体"/>
                <w:vanish/>
              </w:rPr>
            </w:pPr>
          </w:p>
        </w:tc>
        <w:tc>
          <w:tcPr>
            <w:tcW w:w="0" w:type="auto"/>
            <w:gridSpan w:val="3"/>
            <w:shd w:val="clear" w:color="auto" w:fill="auto"/>
            <w:vAlign w:val="bottom"/>
          </w:tcPr>
          <w:p w14:paraId="71D3F901" w14:textId="77777777" w:rsidR="006A3667" w:rsidRDefault="006A3667">
            <w:pPr>
              <w:rPr>
                <w:rFonts w:ascii="宋体"/>
                <w:vanish/>
              </w:rPr>
            </w:pPr>
          </w:p>
        </w:tc>
        <w:tc>
          <w:tcPr>
            <w:tcW w:w="0" w:type="auto"/>
            <w:gridSpan w:val="3"/>
            <w:shd w:val="clear" w:color="auto" w:fill="auto"/>
            <w:vAlign w:val="bottom"/>
          </w:tcPr>
          <w:p w14:paraId="71D3F902" w14:textId="77777777" w:rsidR="006A3667" w:rsidRDefault="006A3667">
            <w:pPr>
              <w:rPr>
                <w:rFonts w:ascii="宋体"/>
                <w:vanish/>
              </w:rPr>
            </w:pPr>
          </w:p>
        </w:tc>
        <w:tc>
          <w:tcPr>
            <w:tcW w:w="0" w:type="auto"/>
            <w:gridSpan w:val="3"/>
            <w:shd w:val="clear" w:color="auto" w:fill="auto"/>
            <w:vAlign w:val="bottom"/>
          </w:tcPr>
          <w:p w14:paraId="71D3F903" w14:textId="77777777" w:rsidR="006A3667" w:rsidRDefault="006A3667">
            <w:pPr>
              <w:rPr>
                <w:rFonts w:ascii="宋体"/>
                <w:vanish/>
              </w:rPr>
            </w:pPr>
          </w:p>
        </w:tc>
        <w:tc>
          <w:tcPr>
            <w:tcW w:w="0" w:type="auto"/>
            <w:gridSpan w:val="2"/>
            <w:shd w:val="clear" w:color="auto" w:fill="auto"/>
            <w:vAlign w:val="bottom"/>
          </w:tcPr>
          <w:p w14:paraId="71D3F904" w14:textId="77777777" w:rsidR="006A3667" w:rsidRDefault="006A3667">
            <w:pPr>
              <w:rPr>
                <w:rFonts w:ascii="宋体"/>
                <w:vanish/>
              </w:rPr>
            </w:pPr>
          </w:p>
        </w:tc>
        <w:tc>
          <w:tcPr>
            <w:tcW w:w="0" w:type="auto"/>
            <w:shd w:val="clear" w:color="auto" w:fill="auto"/>
            <w:vAlign w:val="bottom"/>
          </w:tcPr>
          <w:p w14:paraId="71D3F905" w14:textId="77777777" w:rsidR="006A3667" w:rsidRDefault="006A3667">
            <w:pPr>
              <w:rPr>
                <w:rFonts w:ascii="宋体"/>
                <w:vanish/>
              </w:rPr>
            </w:pPr>
          </w:p>
        </w:tc>
      </w:tr>
      <w:tr w:rsidR="006A3667" w14:paraId="71D3F91D" w14:textId="77777777">
        <w:trPr>
          <w:hidden/>
        </w:trPr>
        <w:tc>
          <w:tcPr>
            <w:tcW w:w="0" w:type="auto"/>
            <w:gridSpan w:val="3"/>
            <w:shd w:val="clear" w:color="auto" w:fill="auto"/>
            <w:vAlign w:val="bottom"/>
          </w:tcPr>
          <w:p w14:paraId="71D3F907" w14:textId="77777777" w:rsidR="006A3667" w:rsidRDefault="006A3667">
            <w:pPr>
              <w:rPr>
                <w:rFonts w:ascii="宋体"/>
                <w:vanish/>
              </w:rPr>
            </w:pPr>
          </w:p>
        </w:tc>
        <w:tc>
          <w:tcPr>
            <w:tcW w:w="0" w:type="auto"/>
            <w:shd w:val="clear" w:color="auto" w:fill="auto"/>
            <w:vAlign w:val="bottom"/>
          </w:tcPr>
          <w:p w14:paraId="71D3F908" w14:textId="77777777" w:rsidR="006A3667" w:rsidRDefault="006A3667">
            <w:pPr>
              <w:rPr>
                <w:rFonts w:ascii="宋体"/>
                <w:vanish/>
              </w:rPr>
            </w:pPr>
          </w:p>
        </w:tc>
        <w:tc>
          <w:tcPr>
            <w:tcW w:w="0" w:type="auto"/>
            <w:shd w:val="clear" w:color="auto" w:fill="auto"/>
            <w:vAlign w:val="bottom"/>
          </w:tcPr>
          <w:p w14:paraId="71D3F909" w14:textId="77777777" w:rsidR="006A3667" w:rsidRDefault="006A3667">
            <w:pPr>
              <w:rPr>
                <w:rFonts w:ascii="宋体"/>
                <w:vanish/>
              </w:rPr>
            </w:pPr>
          </w:p>
        </w:tc>
        <w:tc>
          <w:tcPr>
            <w:tcW w:w="0" w:type="auto"/>
            <w:shd w:val="clear" w:color="auto" w:fill="auto"/>
            <w:vAlign w:val="bottom"/>
          </w:tcPr>
          <w:p w14:paraId="71D3F90A" w14:textId="77777777" w:rsidR="006A3667" w:rsidRDefault="006A3667">
            <w:pPr>
              <w:rPr>
                <w:rFonts w:ascii="宋体"/>
                <w:vanish/>
              </w:rPr>
            </w:pPr>
          </w:p>
        </w:tc>
        <w:tc>
          <w:tcPr>
            <w:tcW w:w="0" w:type="auto"/>
            <w:shd w:val="clear" w:color="auto" w:fill="auto"/>
            <w:vAlign w:val="bottom"/>
          </w:tcPr>
          <w:p w14:paraId="71D3F90B" w14:textId="77777777" w:rsidR="006A3667" w:rsidRDefault="006A3667">
            <w:pPr>
              <w:rPr>
                <w:rFonts w:ascii="宋体"/>
                <w:vanish/>
              </w:rPr>
            </w:pPr>
          </w:p>
        </w:tc>
        <w:tc>
          <w:tcPr>
            <w:tcW w:w="0" w:type="auto"/>
            <w:shd w:val="clear" w:color="auto" w:fill="auto"/>
            <w:vAlign w:val="bottom"/>
          </w:tcPr>
          <w:p w14:paraId="71D3F90C" w14:textId="77777777" w:rsidR="006A3667" w:rsidRDefault="006A3667">
            <w:pPr>
              <w:rPr>
                <w:rFonts w:ascii="宋体"/>
                <w:vanish/>
              </w:rPr>
            </w:pPr>
          </w:p>
        </w:tc>
        <w:tc>
          <w:tcPr>
            <w:tcW w:w="0" w:type="auto"/>
            <w:shd w:val="clear" w:color="auto" w:fill="auto"/>
            <w:vAlign w:val="bottom"/>
          </w:tcPr>
          <w:p w14:paraId="71D3F90D" w14:textId="77777777" w:rsidR="006A3667" w:rsidRDefault="006A3667">
            <w:pPr>
              <w:rPr>
                <w:rFonts w:ascii="宋体"/>
                <w:vanish/>
              </w:rPr>
            </w:pPr>
          </w:p>
        </w:tc>
        <w:tc>
          <w:tcPr>
            <w:tcW w:w="0" w:type="auto"/>
            <w:gridSpan w:val="3"/>
            <w:shd w:val="clear" w:color="auto" w:fill="auto"/>
            <w:vAlign w:val="bottom"/>
          </w:tcPr>
          <w:p w14:paraId="71D3F90E" w14:textId="77777777" w:rsidR="006A3667" w:rsidRDefault="006A3667">
            <w:pPr>
              <w:rPr>
                <w:rFonts w:ascii="宋体"/>
                <w:vanish/>
              </w:rPr>
            </w:pPr>
          </w:p>
        </w:tc>
        <w:tc>
          <w:tcPr>
            <w:tcW w:w="0" w:type="auto"/>
            <w:gridSpan w:val="3"/>
            <w:shd w:val="clear" w:color="auto" w:fill="auto"/>
            <w:vAlign w:val="bottom"/>
          </w:tcPr>
          <w:p w14:paraId="71D3F90F" w14:textId="77777777" w:rsidR="006A3667" w:rsidRDefault="006A3667">
            <w:pPr>
              <w:rPr>
                <w:rFonts w:ascii="宋体"/>
                <w:vanish/>
              </w:rPr>
            </w:pPr>
          </w:p>
        </w:tc>
        <w:tc>
          <w:tcPr>
            <w:tcW w:w="0" w:type="auto"/>
            <w:gridSpan w:val="3"/>
            <w:shd w:val="clear" w:color="auto" w:fill="auto"/>
            <w:vAlign w:val="bottom"/>
          </w:tcPr>
          <w:p w14:paraId="71D3F910" w14:textId="77777777" w:rsidR="006A3667" w:rsidRDefault="006A3667">
            <w:pPr>
              <w:rPr>
                <w:rFonts w:ascii="宋体"/>
                <w:vanish/>
              </w:rPr>
            </w:pPr>
          </w:p>
        </w:tc>
        <w:tc>
          <w:tcPr>
            <w:tcW w:w="0" w:type="auto"/>
            <w:gridSpan w:val="3"/>
            <w:shd w:val="clear" w:color="auto" w:fill="auto"/>
            <w:vAlign w:val="bottom"/>
          </w:tcPr>
          <w:p w14:paraId="71D3F911" w14:textId="77777777" w:rsidR="006A3667" w:rsidRDefault="006A3667">
            <w:pPr>
              <w:rPr>
                <w:rFonts w:ascii="宋体"/>
                <w:vanish/>
              </w:rPr>
            </w:pPr>
          </w:p>
        </w:tc>
        <w:tc>
          <w:tcPr>
            <w:tcW w:w="0" w:type="auto"/>
            <w:shd w:val="clear" w:color="auto" w:fill="auto"/>
            <w:vAlign w:val="bottom"/>
          </w:tcPr>
          <w:p w14:paraId="71D3F912" w14:textId="77777777" w:rsidR="006A3667" w:rsidRDefault="006A3667">
            <w:pPr>
              <w:rPr>
                <w:rFonts w:ascii="宋体"/>
                <w:vanish/>
              </w:rPr>
            </w:pPr>
          </w:p>
        </w:tc>
        <w:tc>
          <w:tcPr>
            <w:tcW w:w="0" w:type="auto"/>
            <w:shd w:val="clear" w:color="auto" w:fill="auto"/>
            <w:vAlign w:val="bottom"/>
          </w:tcPr>
          <w:p w14:paraId="71D3F913" w14:textId="77777777" w:rsidR="006A3667" w:rsidRDefault="006A3667">
            <w:pPr>
              <w:rPr>
                <w:rFonts w:ascii="宋体"/>
                <w:vanish/>
              </w:rPr>
            </w:pPr>
          </w:p>
        </w:tc>
        <w:tc>
          <w:tcPr>
            <w:tcW w:w="0" w:type="auto"/>
            <w:gridSpan w:val="3"/>
            <w:shd w:val="clear" w:color="auto" w:fill="auto"/>
            <w:vAlign w:val="bottom"/>
          </w:tcPr>
          <w:p w14:paraId="71D3F914" w14:textId="77777777" w:rsidR="006A3667" w:rsidRDefault="006A3667">
            <w:pPr>
              <w:rPr>
                <w:rFonts w:ascii="宋体"/>
                <w:vanish/>
              </w:rPr>
            </w:pPr>
          </w:p>
        </w:tc>
        <w:tc>
          <w:tcPr>
            <w:tcW w:w="0" w:type="auto"/>
            <w:gridSpan w:val="3"/>
            <w:shd w:val="clear" w:color="auto" w:fill="auto"/>
            <w:vAlign w:val="bottom"/>
          </w:tcPr>
          <w:p w14:paraId="71D3F915" w14:textId="77777777" w:rsidR="006A3667" w:rsidRDefault="006A3667">
            <w:pPr>
              <w:rPr>
                <w:rFonts w:ascii="宋体"/>
                <w:vanish/>
              </w:rPr>
            </w:pPr>
          </w:p>
        </w:tc>
        <w:tc>
          <w:tcPr>
            <w:tcW w:w="0" w:type="auto"/>
            <w:gridSpan w:val="3"/>
            <w:shd w:val="clear" w:color="auto" w:fill="auto"/>
            <w:vAlign w:val="bottom"/>
          </w:tcPr>
          <w:p w14:paraId="71D3F916" w14:textId="77777777" w:rsidR="006A3667" w:rsidRDefault="006A3667">
            <w:pPr>
              <w:rPr>
                <w:rFonts w:ascii="宋体"/>
                <w:vanish/>
              </w:rPr>
            </w:pPr>
          </w:p>
        </w:tc>
        <w:tc>
          <w:tcPr>
            <w:tcW w:w="0" w:type="auto"/>
            <w:gridSpan w:val="3"/>
            <w:shd w:val="clear" w:color="auto" w:fill="auto"/>
            <w:vAlign w:val="bottom"/>
          </w:tcPr>
          <w:p w14:paraId="71D3F917" w14:textId="77777777" w:rsidR="006A3667" w:rsidRDefault="006A3667">
            <w:pPr>
              <w:rPr>
                <w:rFonts w:ascii="宋体"/>
                <w:vanish/>
              </w:rPr>
            </w:pPr>
          </w:p>
        </w:tc>
        <w:tc>
          <w:tcPr>
            <w:tcW w:w="0" w:type="auto"/>
            <w:gridSpan w:val="3"/>
            <w:shd w:val="clear" w:color="auto" w:fill="auto"/>
            <w:vAlign w:val="bottom"/>
          </w:tcPr>
          <w:p w14:paraId="71D3F918" w14:textId="77777777" w:rsidR="006A3667" w:rsidRDefault="006A3667">
            <w:pPr>
              <w:rPr>
                <w:rFonts w:ascii="宋体"/>
                <w:vanish/>
              </w:rPr>
            </w:pPr>
          </w:p>
        </w:tc>
        <w:tc>
          <w:tcPr>
            <w:tcW w:w="0" w:type="auto"/>
            <w:gridSpan w:val="3"/>
            <w:shd w:val="clear" w:color="auto" w:fill="auto"/>
            <w:vAlign w:val="bottom"/>
          </w:tcPr>
          <w:p w14:paraId="71D3F919" w14:textId="77777777" w:rsidR="006A3667" w:rsidRDefault="006A3667">
            <w:pPr>
              <w:rPr>
                <w:rFonts w:ascii="宋体"/>
                <w:vanish/>
              </w:rPr>
            </w:pPr>
          </w:p>
        </w:tc>
        <w:tc>
          <w:tcPr>
            <w:tcW w:w="0" w:type="auto"/>
            <w:gridSpan w:val="3"/>
            <w:shd w:val="clear" w:color="auto" w:fill="auto"/>
            <w:vAlign w:val="bottom"/>
          </w:tcPr>
          <w:p w14:paraId="71D3F91A" w14:textId="77777777" w:rsidR="006A3667" w:rsidRDefault="006A3667">
            <w:pPr>
              <w:rPr>
                <w:rFonts w:ascii="宋体"/>
                <w:vanish/>
              </w:rPr>
            </w:pPr>
          </w:p>
        </w:tc>
        <w:tc>
          <w:tcPr>
            <w:tcW w:w="0" w:type="auto"/>
            <w:gridSpan w:val="2"/>
            <w:shd w:val="clear" w:color="auto" w:fill="auto"/>
            <w:vAlign w:val="bottom"/>
          </w:tcPr>
          <w:p w14:paraId="71D3F91B" w14:textId="77777777" w:rsidR="006A3667" w:rsidRDefault="006A3667">
            <w:pPr>
              <w:rPr>
                <w:rFonts w:ascii="宋体"/>
                <w:vanish/>
              </w:rPr>
            </w:pPr>
          </w:p>
        </w:tc>
        <w:tc>
          <w:tcPr>
            <w:tcW w:w="0" w:type="auto"/>
            <w:shd w:val="clear" w:color="auto" w:fill="auto"/>
            <w:vAlign w:val="bottom"/>
          </w:tcPr>
          <w:p w14:paraId="71D3F91C" w14:textId="77777777" w:rsidR="006A3667" w:rsidRDefault="006A3667">
            <w:pPr>
              <w:rPr>
                <w:rFonts w:ascii="宋体"/>
                <w:vanish/>
              </w:rPr>
            </w:pPr>
          </w:p>
        </w:tc>
      </w:tr>
      <w:tr w:rsidR="006A3667" w14:paraId="71D3F937" w14:textId="77777777">
        <w:tc>
          <w:tcPr>
            <w:tcW w:w="0" w:type="auto"/>
            <w:gridSpan w:val="3"/>
            <w:shd w:val="clear" w:color="auto" w:fill="FFFFFF"/>
            <w:tcMar>
              <w:top w:w="40" w:type="dxa"/>
              <w:left w:w="20" w:type="dxa"/>
              <w:bottom w:w="40" w:type="dxa"/>
              <w:right w:w="20" w:type="dxa"/>
            </w:tcMar>
            <w:vAlign w:val="bottom"/>
          </w:tcPr>
          <w:p w14:paraId="71D3F91E" w14:textId="77777777" w:rsidR="006A3667" w:rsidRDefault="00045F32">
            <w:pPr>
              <w:textAlignment w:val="bottom"/>
            </w:pPr>
            <w:r>
              <w:rPr>
                <w:rFonts w:ascii="Arial" w:eastAsia="宋体" w:hAnsi="Arial" w:cs="Arial"/>
                <w:color w:val="000000"/>
                <w:sz w:val="15"/>
                <w:szCs w:val="15"/>
              </w:rPr>
              <w:t>Software and processing fees</w:t>
            </w:r>
          </w:p>
        </w:tc>
        <w:tc>
          <w:tcPr>
            <w:tcW w:w="0" w:type="auto"/>
            <w:shd w:val="clear" w:color="auto" w:fill="auto"/>
            <w:vAlign w:val="bottom"/>
          </w:tcPr>
          <w:p w14:paraId="71D3F91F" w14:textId="77777777" w:rsidR="006A3667" w:rsidRDefault="006A3667">
            <w:pPr>
              <w:rPr>
                <w:rFonts w:ascii="宋体"/>
                <w:vanish/>
              </w:rPr>
            </w:pPr>
          </w:p>
        </w:tc>
        <w:tc>
          <w:tcPr>
            <w:tcW w:w="0" w:type="auto"/>
            <w:shd w:val="clear" w:color="auto" w:fill="auto"/>
            <w:vAlign w:val="bottom"/>
          </w:tcPr>
          <w:p w14:paraId="71D3F920" w14:textId="77777777" w:rsidR="006A3667" w:rsidRDefault="006A3667">
            <w:pPr>
              <w:rPr>
                <w:rFonts w:ascii="宋体"/>
                <w:vanish/>
              </w:rPr>
            </w:pPr>
          </w:p>
        </w:tc>
        <w:tc>
          <w:tcPr>
            <w:tcW w:w="0" w:type="auto"/>
            <w:shd w:val="clear" w:color="auto" w:fill="auto"/>
            <w:vAlign w:val="bottom"/>
          </w:tcPr>
          <w:p w14:paraId="71D3F921" w14:textId="77777777" w:rsidR="006A3667" w:rsidRDefault="006A3667">
            <w:pPr>
              <w:rPr>
                <w:rFonts w:ascii="宋体"/>
                <w:vanish/>
              </w:rPr>
            </w:pPr>
          </w:p>
        </w:tc>
        <w:tc>
          <w:tcPr>
            <w:tcW w:w="0" w:type="auto"/>
            <w:shd w:val="clear" w:color="auto" w:fill="auto"/>
            <w:vAlign w:val="bottom"/>
          </w:tcPr>
          <w:p w14:paraId="71D3F922" w14:textId="77777777" w:rsidR="006A3667" w:rsidRDefault="006A3667">
            <w:pPr>
              <w:rPr>
                <w:rFonts w:ascii="宋体"/>
                <w:vanish/>
              </w:rPr>
            </w:pPr>
          </w:p>
        </w:tc>
        <w:tc>
          <w:tcPr>
            <w:tcW w:w="0" w:type="auto"/>
            <w:shd w:val="clear" w:color="auto" w:fill="auto"/>
            <w:vAlign w:val="bottom"/>
          </w:tcPr>
          <w:p w14:paraId="71D3F923" w14:textId="77777777" w:rsidR="006A3667" w:rsidRDefault="006A3667">
            <w:pPr>
              <w:rPr>
                <w:rFonts w:ascii="宋体"/>
                <w:vanish/>
              </w:rPr>
            </w:pPr>
          </w:p>
        </w:tc>
        <w:tc>
          <w:tcPr>
            <w:tcW w:w="0" w:type="auto"/>
            <w:shd w:val="clear" w:color="auto" w:fill="auto"/>
            <w:vAlign w:val="bottom"/>
          </w:tcPr>
          <w:p w14:paraId="71D3F924"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925" w14:textId="77777777" w:rsidR="006A3667" w:rsidRDefault="00045F32">
            <w:pPr>
              <w:jc w:val="right"/>
              <w:textAlignment w:val="bottom"/>
            </w:pPr>
            <w:r>
              <w:rPr>
                <w:rFonts w:ascii="Arial" w:eastAsia="宋体" w:hAnsi="Arial" w:cs="Arial"/>
                <w:b/>
                <w:bCs/>
                <w:color w:val="000000"/>
                <w:sz w:val="15"/>
                <w:szCs w:val="15"/>
              </w:rPr>
              <w:t>184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9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2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928" w14:textId="77777777" w:rsidR="006A3667" w:rsidRDefault="00045F32">
            <w:pPr>
              <w:jc w:val="right"/>
              <w:textAlignment w:val="bottom"/>
            </w:pPr>
            <w:r>
              <w:rPr>
                <w:rFonts w:ascii="Arial" w:eastAsia="宋体" w:hAnsi="Arial" w:cs="Arial"/>
                <w:color w:val="000000"/>
                <w:sz w:val="15"/>
                <w:szCs w:val="15"/>
              </w:rPr>
              <w:t>180 </w:t>
            </w:r>
          </w:p>
        </w:tc>
        <w:tc>
          <w:tcPr>
            <w:tcW w:w="0" w:type="auto"/>
            <w:shd w:val="clear" w:color="auto" w:fill="FFFFFF"/>
            <w:tcMar>
              <w:top w:w="40" w:type="dxa"/>
              <w:left w:w="0" w:type="dxa"/>
              <w:bottom w:w="40" w:type="dxa"/>
              <w:right w:w="20" w:type="dxa"/>
            </w:tcMar>
            <w:vAlign w:val="bottom"/>
          </w:tcPr>
          <w:p w14:paraId="71D3F9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2A" w14:textId="77777777" w:rsidR="006A3667" w:rsidRDefault="006A3667">
            <w:pPr>
              <w:rPr>
                <w:rFonts w:ascii="宋体"/>
              </w:rPr>
            </w:pPr>
          </w:p>
        </w:tc>
        <w:tc>
          <w:tcPr>
            <w:tcW w:w="0" w:type="auto"/>
            <w:shd w:val="clear" w:color="auto" w:fill="auto"/>
            <w:vAlign w:val="bottom"/>
          </w:tcPr>
          <w:p w14:paraId="71D3F92B" w14:textId="77777777" w:rsidR="006A3667" w:rsidRDefault="006A3667">
            <w:pPr>
              <w:rPr>
                <w:rFonts w:ascii="宋体"/>
                <w:vanish/>
              </w:rPr>
            </w:pPr>
          </w:p>
        </w:tc>
        <w:tc>
          <w:tcPr>
            <w:tcW w:w="0" w:type="auto"/>
            <w:shd w:val="clear" w:color="auto" w:fill="auto"/>
            <w:vAlign w:val="bottom"/>
          </w:tcPr>
          <w:p w14:paraId="71D3F92C"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92D"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3F92E" w14:textId="77777777" w:rsidR="006A3667" w:rsidRDefault="006A3667">
            <w:pPr>
              <w:jc w:val="right"/>
              <w:rPr>
                <w:rFonts w:ascii="宋体"/>
              </w:rPr>
            </w:pPr>
          </w:p>
        </w:tc>
        <w:tc>
          <w:tcPr>
            <w:tcW w:w="0" w:type="auto"/>
            <w:gridSpan w:val="3"/>
            <w:shd w:val="clear" w:color="auto" w:fill="auto"/>
            <w:vAlign w:val="bottom"/>
          </w:tcPr>
          <w:p w14:paraId="71D3F92F" w14:textId="77777777" w:rsidR="006A3667" w:rsidRDefault="006A3667">
            <w:pPr>
              <w:rPr>
                <w:rFonts w:ascii="宋体"/>
                <w:vanish/>
              </w:rPr>
            </w:pPr>
          </w:p>
        </w:tc>
        <w:tc>
          <w:tcPr>
            <w:tcW w:w="0" w:type="auto"/>
            <w:gridSpan w:val="3"/>
            <w:shd w:val="clear" w:color="auto" w:fill="auto"/>
            <w:vAlign w:val="bottom"/>
          </w:tcPr>
          <w:p w14:paraId="71D3F930" w14:textId="77777777" w:rsidR="006A3667" w:rsidRDefault="006A3667">
            <w:pPr>
              <w:rPr>
                <w:rFonts w:ascii="宋体"/>
                <w:vanish/>
              </w:rPr>
            </w:pPr>
          </w:p>
        </w:tc>
        <w:tc>
          <w:tcPr>
            <w:tcW w:w="0" w:type="auto"/>
            <w:gridSpan w:val="3"/>
            <w:shd w:val="clear" w:color="auto" w:fill="auto"/>
            <w:vAlign w:val="bottom"/>
          </w:tcPr>
          <w:p w14:paraId="71D3F931" w14:textId="77777777" w:rsidR="006A3667" w:rsidRDefault="006A3667">
            <w:pPr>
              <w:rPr>
                <w:rFonts w:ascii="宋体"/>
                <w:vanish/>
              </w:rPr>
            </w:pPr>
          </w:p>
        </w:tc>
        <w:tc>
          <w:tcPr>
            <w:tcW w:w="0" w:type="auto"/>
            <w:gridSpan w:val="3"/>
            <w:shd w:val="clear" w:color="auto" w:fill="auto"/>
            <w:vAlign w:val="bottom"/>
          </w:tcPr>
          <w:p w14:paraId="71D3F932" w14:textId="77777777" w:rsidR="006A3667" w:rsidRDefault="006A3667">
            <w:pPr>
              <w:rPr>
                <w:rFonts w:ascii="宋体"/>
                <w:vanish/>
              </w:rPr>
            </w:pPr>
          </w:p>
        </w:tc>
        <w:tc>
          <w:tcPr>
            <w:tcW w:w="0" w:type="auto"/>
            <w:gridSpan w:val="3"/>
            <w:shd w:val="clear" w:color="auto" w:fill="auto"/>
            <w:vAlign w:val="bottom"/>
          </w:tcPr>
          <w:p w14:paraId="71D3F933" w14:textId="77777777" w:rsidR="006A3667" w:rsidRDefault="006A3667">
            <w:pPr>
              <w:rPr>
                <w:rFonts w:ascii="宋体"/>
                <w:vanish/>
              </w:rPr>
            </w:pPr>
          </w:p>
        </w:tc>
        <w:tc>
          <w:tcPr>
            <w:tcW w:w="0" w:type="auto"/>
            <w:gridSpan w:val="3"/>
            <w:shd w:val="clear" w:color="auto" w:fill="auto"/>
            <w:vAlign w:val="bottom"/>
          </w:tcPr>
          <w:p w14:paraId="71D3F934" w14:textId="77777777" w:rsidR="006A3667" w:rsidRDefault="006A3667">
            <w:pPr>
              <w:rPr>
                <w:rFonts w:ascii="宋体"/>
                <w:vanish/>
              </w:rPr>
            </w:pPr>
          </w:p>
        </w:tc>
        <w:tc>
          <w:tcPr>
            <w:tcW w:w="0" w:type="auto"/>
            <w:gridSpan w:val="2"/>
            <w:shd w:val="clear" w:color="auto" w:fill="auto"/>
            <w:vAlign w:val="bottom"/>
          </w:tcPr>
          <w:p w14:paraId="71D3F935" w14:textId="77777777" w:rsidR="006A3667" w:rsidRDefault="006A3667">
            <w:pPr>
              <w:rPr>
                <w:rFonts w:ascii="宋体"/>
                <w:vanish/>
              </w:rPr>
            </w:pPr>
          </w:p>
        </w:tc>
        <w:tc>
          <w:tcPr>
            <w:tcW w:w="0" w:type="auto"/>
            <w:shd w:val="clear" w:color="auto" w:fill="auto"/>
            <w:vAlign w:val="bottom"/>
          </w:tcPr>
          <w:p w14:paraId="71D3F936" w14:textId="77777777" w:rsidR="006A3667" w:rsidRDefault="006A3667">
            <w:pPr>
              <w:rPr>
                <w:rFonts w:ascii="宋体"/>
                <w:vanish/>
              </w:rPr>
            </w:pPr>
          </w:p>
        </w:tc>
      </w:tr>
      <w:tr w:rsidR="006A3667" w14:paraId="71D3F951" w14:textId="77777777">
        <w:tc>
          <w:tcPr>
            <w:tcW w:w="0" w:type="auto"/>
            <w:gridSpan w:val="3"/>
            <w:shd w:val="clear" w:color="auto" w:fill="CCEEFF"/>
            <w:tcMar>
              <w:top w:w="40" w:type="dxa"/>
              <w:left w:w="20" w:type="dxa"/>
              <w:bottom w:w="40" w:type="dxa"/>
              <w:right w:w="20" w:type="dxa"/>
            </w:tcMar>
            <w:vAlign w:val="bottom"/>
          </w:tcPr>
          <w:p w14:paraId="71D3F938" w14:textId="77777777" w:rsidR="006A3667" w:rsidRDefault="00045F32">
            <w:pPr>
              <w:textAlignment w:val="bottom"/>
            </w:pPr>
            <w:r>
              <w:rPr>
                <w:rFonts w:ascii="Arial" w:eastAsia="宋体" w:hAnsi="Arial" w:cs="Arial"/>
                <w:color w:val="000000"/>
                <w:sz w:val="15"/>
                <w:szCs w:val="15"/>
              </w:rPr>
              <w:t>Other fee revenue</w:t>
            </w:r>
          </w:p>
        </w:tc>
        <w:tc>
          <w:tcPr>
            <w:tcW w:w="0" w:type="auto"/>
            <w:shd w:val="clear" w:color="auto" w:fill="auto"/>
            <w:vAlign w:val="bottom"/>
          </w:tcPr>
          <w:p w14:paraId="71D3F939" w14:textId="77777777" w:rsidR="006A3667" w:rsidRDefault="006A3667">
            <w:pPr>
              <w:rPr>
                <w:rFonts w:ascii="宋体"/>
                <w:vanish/>
              </w:rPr>
            </w:pPr>
          </w:p>
        </w:tc>
        <w:tc>
          <w:tcPr>
            <w:tcW w:w="0" w:type="auto"/>
            <w:shd w:val="clear" w:color="auto" w:fill="auto"/>
            <w:vAlign w:val="bottom"/>
          </w:tcPr>
          <w:p w14:paraId="71D3F93A" w14:textId="77777777" w:rsidR="006A3667" w:rsidRDefault="006A3667">
            <w:pPr>
              <w:rPr>
                <w:rFonts w:ascii="宋体"/>
                <w:vanish/>
              </w:rPr>
            </w:pPr>
          </w:p>
        </w:tc>
        <w:tc>
          <w:tcPr>
            <w:tcW w:w="0" w:type="auto"/>
            <w:shd w:val="clear" w:color="auto" w:fill="auto"/>
            <w:vAlign w:val="bottom"/>
          </w:tcPr>
          <w:p w14:paraId="71D3F93B" w14:textId="77777777" w:rsidR="006A3667" w:rsidRDefault="006A3667">
            <w:pPr>
              <w:rPr>
                <w:rFonts w:ascii="宋体"/>
                <w:vanish/>
              </w:rPr>
            </w:pPr>
          </w:p>
        </w:tc>
        <w:tc>
          <w:tcPr>
            <w:tcW w:w="0" w:type="auto"/>
            <w:shd w:val="clear" w:color="auto" w:fill="auto"/>
            <w:vAlign w:val="bottom"/>
          </w:tcPr>
          <w:p w14:paraId="71D3F93C" w14:textId="77777777" w:rsidR="006A3667" w:rsidRDefault="006A3667">
            <w:pPr>
              <w:rPr>
                <w:rFonts w:ascii="宋体"/>
                <w:vanish/>
              </w:rPr>
            </w:pPr>
          </w:p>
        </w:tc>
        <w:tc>
          <w:tcPr>
            <w:tcW w:w="0" w:type="auto"/>
            <w:shd w:val="clear" w:color="auto" w:fill="auto"/>
            <w:vAlign w:val="bottom"/>
          </w:tcPr>
          <w:p w14:paraId="71D3F93D" w14:textId="77777777" w:rsidR="006A3667" w:rsidRDefault="006A3667">
            <w:pPr>
              <w:rPr>
                <w:rFonts w:ascii="宋体"/>
                <w:vanish/>
              </w:rPr>
            </w:pPr>
          </w:p>
        </w:tc>
        <w:tc>
          <w:tcPr>
            <w:tcW w:w="0" w:type="auto"/>
            <w:shd w:val="clear" w:color="auto" w:fill="auto"/>
            <w:vAlign w:val="bottom"/>
          </w:tcPr>
          <w:p w14:paraId="71D3F93E"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93F" w14:textId="77777777" w:rsidR="006A3667" w:rsidRDefault="00045F32">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9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94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942" w14:textId="77777777" w:rsidR="006A3667" w:rsidRDefault="00045F32">
            <w:pPr>
              <w:jc w:val="right"/>
              <w:textAlignment w:val="bottom"/>
            </w:pPr>
            <w:r>
              <w:rPr>
                <w:rFonts w:ascii="Arial" w:eastAsia="宋体" w:hAnsi="Arial" w:cs="Arial"/>
                <w:color w:val="000000"/>
                <w:sz w:val="15"/>
                <w:szCs w:val="15"/>
              </w:rPr>
              <w:t>28 </w:t>
            </w:r>
          </w:p>
        </w:tc>
        <w:tc>
          <w:tcPr>
            <w:tcW w:w="0" w:type="auto"/>
            <w:shd w:val="clear" w:color="auto" w:fill="CCEEFF"/>
            <w:tcMar>
              <w:top w:w="40" w:type="dxa"/>
              <w:left w:w="0" w:type="dxa"/>
              <w:bottom w:w="40" w:type="dxa"/>
              <w:right w:w="20" w:type="dxa"/>
            </w:tcMar>
            <w:vAlign w:val="bottom"/>
          </w:tcPr>
          <w:p w14:paraId="71D3F9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944" w14:textId="77777777" w:rsidR="006A3667" w:rsidRDefault="006A3667">
            <w:pPr>
              <w:rPr>
                <w:rFonts w:ascii="宋体"/>
              </w:rPr>
            </w:pPr>
          </w:p>
        </w:tc>
        <w:tc>
          <w:tcPr>
            <w:tcW w:w="0" w:type="auto"/>
            <w:shd w:val="clear" w:color="auto" w:fill="auto"/>
            <w:vAlign w:val="bottom"/>
          </w:tcPr>
          <w:p w14:paraId="71D3F945" w14:textId="77777777" w:rsidR="006A3667" w:rsidRDefault="006A3667">
            <w:pPr>
              <w:rPr>
                <w:rFonts w:ascii="宋体"/>
                <w:vanish/>
              </w:rPr>
            </w:pPr>
          </w:p>
        </w:tc>
        <w:tc>
          <w:tcPr>
            <w:tcW w:w="0" w:type="auto"/>
            <w:shd w:val="clear" w:color="auto" w:fill="auto"/>
            <w:vAlign w:val="bottom"/>
          </w:tcPr>
          <w:p w14:paraId="71D3F946"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947" w14:textId="77777777" w:rsidR="006A3667" w:rsidRDefault="00045F32">
            <w:pPr>
              <w:jc w:val="right"/>
              <w:textAlignment w:val="bottom"/>
            </w:pPr>
            <w:r>
              <w:rPr>
                <w:rFonts w:ascii="Arial" w:eastAsia="宋体" w:hAnsi="Arial" w:cs="Arial"/>
                <w:color w:val="000000"/>
                <w:sz w:val="15"/>
                <w:szCs w:val="15"/>
              </w:rPr>
              <w:t>(57)</w:t>
            </w:r>
          </w:p>
        </w:tc>
        <w:tc>
          <w:tcPr>
            <w:tcW w:w="0" w:type="auto"/>
            <w:shd w:val="clear" w:color="auto" w:fill="CCEEFF"/>
            <w:tcMar>
              <w:top w:w="40" w:type="dxa"/>
              <w:left w:w="0" w:type="dxa"/>
              <w:bottom w:w="40" w:type="dxa"/>
              <w:right w:w="20" w:type="dxa"/>
            </w:tcMar>
            <w:vAlign w:val="bottom"/>
          </w:tcPr>
          <w:p w14:paraId="71D3F948" w14:textId="77777777" w:rsidR="006A3667" w:rsidRDefault="006A3667">
            <w:pPr>
              <w:jc w:val="right"/>
              <w:rPr>
                <w:rFonts w:ascii="宋体"/>
              </w:rPr>
            </w:pPr>
          </w:p>
        </w:tc>
        <w:tc>
          <w:tcPr>
            <w:tcW w:w="0" w:type="auto"/>
            <w:gridSpan w:val="3"/>
            <w:shd w:val="clear" w:color="auto" w:fill="auto"/>
            <w:vAlign w:val="bottom"/>
          </w:tcPr>
          <w:p w14:paraId="71D3F949" w14:textId="77777777" w:rsidR="006A3667" w:rsidRDefault="006A3667">
            <w:pPr>
              <w:rPr>
                <w:rFonts w:ascii="宋体"/>
                <w:vanish/>
              </w:rPr>
            </w:pPr>
          </w:p>
        </w:tc>
        <w:tc>
          <w:tcPr>
            <w:tcW w:w="0" w:type="auto"/>
            <w:gridSpan w:val="3"/>
            <w:shd w:val="clear" w:color="auto" w:fill="auto"/>
            <w:vAlign w:val="bottom"/>
          </w:tcPr>
          <w:p w14:paraId="71D3F94A" w14:textId="77777777" w:rsidR="006A3667" w:rsidRDefault="006A3667">
            <w:pPr>
              <w:rPr>
                <w:rFonts w:ascii="宋体"/>
                <w:vanish/>
              </w:rPr>
            </w:pPr>
          </w:p>
        </w:tc>
        <w:tc>
          <w:tcPr>
            <w:tcW w:w="0" w:type="auto"/>
            <w:gridSpan w:val="3"/>
            <w:shd w:val="clear" w:color="auto" w:fill="auto"/>
            <w:vAlign w:val="bottom"/>
          </w:tcPr>
          <w:p w14:paraId="71D3F94B" w14:textId="77777777" w:rsidR="006A3667" w:rsidRDefault="006A3667">
            <w:pPr>
              <w:rPr>
                <w:rFonts w:ascii="宋体"/>
                <w:vanish/>
              </w:rPr>
            </w:pPr>
          </w:p>
        </w:tc>
        <w:tc>
          <w:tcPr>
            <w:tcW w:w="0" w:type="auto"/>
            <w:gridSpan w:val="3"/>
            <w:shd w:val="clear" w:color="auto" w:fill="auto"/>
            <w:vAlign w:val="bottom"/>
          </w:tcPr>
          <w:p w14:paraId="71D3F94C" w14:textId="77777777" w:rsidR="006A3667" w:rsidRDefault="006A3667">
            <w:pPr>
              <w:rPr>
                <w:rFonts w:ascii="宋体"/>
                <w:vanish/>
              </w:rPr>
            </w:pPr>
          </w:p>
        </w:tc>
        <w:tc>
          <w:tcPr>
            <w:tcW w:w="0" w:type="auto"/>
            <w:gridSpan w:val="3"/>
            <w:shd w:val="clear" w:color="auto" w:fill="auto"/>
            <w:vAlign w:val="bottom"/>
          </w:tcPr>
          <w:p w14:paraId="71D3F94D" w14:textId="77777777" w:rsidR="006A3667" w:rsidRDefault="006A3667">
            <w:pPr>
              <w:rPr>
                <w:rFonts w:ascii="宋体"/>
                <w:vanish/>
              </w:rPr>
            </w:pPr>
          </w:p>
        </w:tc>
        <w:tc>
          <w:tcPr>
            <w:tcW w:w="0" w:type="auto"/>
            <w:gridSpan w:val="3"/>
            <w:shd w:val="clear" w:color="auto" w:fill="auto"/>
            <w:vAlign w:val="bottom"/>
          </w:tcPr>
          <w:p w14:paraId="71D3F94E" w14:textId="77777777" w:rsidR="006A3667" w:rsidRDefault="006A3667">
            <w:pPr>
              <w:rPr>
                <w:rFonts w:ascii="宋体"/>
                <w:vanish/>
              </w:rPr>
            </w:pPr>
          </w:p>
        </w:tc>
        <w:tc>
          <w:tcPr>
            <w:tcW w:w="0" w:type="auto"/>
            <w:gridSpan w:val="2"/>
            <w:shd w:val="clear" w:color="auto" w:fill="auto"/>
            <w:vAlign w:val="bottom"/>
          </w:tcPr>
          <w:p w14:paraId="71D3F94F" w14:textId="77777777" w:rsidR="006A3667" w:rsidRDefault="006A3667">
            <w:pPr>
              <w:rPr>
                <w:rFonts w:ascii="宋体"/>
                <w:vanish/>
              </w:rPr>
            </w:pPr>
          </w:p>
        </w:tc>
        <w:tc>
          <w:tcPr>
            <w:tcW w:w="0" w:type="auto"/>
            <w:shd w:val="clear" w:color="auto" w:fill="auto"/>
            <w:vAlign w:val="bottom"/>
          </w:tcPr>
          <w:p w14:paraId="71D3F950" w14:textId="77777777" w:rsidR="006A3667" w:rsidRDefault="006A3667">
            <w:pPr>
              <w:rPr>
                <w:rFonts w:ascii="宋体"/>
                <w:vanish/>
              </w:rPr>
            </w:pPr>
          </w:p>
        </w:tc>
      </w:tr>
      <w:tr w:rsidR="006A3667" w14:paraId="71D3F96B" w14:textId="77777777">
        <w:tc>
          <w:tcPr>
            <w:tcW w:w="0" w:type="auto"/>
            <w:gridSpan w:val="3"/>
            <w:shd w:val="clear" w:color="auto" w:fill="FFFFFF"/>
            <w:tcMar>
              <w:top w:w="40" w:type="dxa"/>
              <w:left w:w="20" w:type="dxa"/>
              <w:bottom w:w="40" w:type="dxa"/>
              <w:right w:w="20" w:type="dxa"/>
            </w:tcMar>
            <w:vAlign w:val="bottom"/>
          </w:tcPr>
          <w:p w14:paraId="71D3F952" w14:textId="77777777" w:rsidR="006A3667" w:rsidRDefault="00045F32">
            <w:pPr>
              <w:textAlignment w:val="bottom"/>
            </w:pPr>
            <w:r>
              <w:rPr>
                <w:rFonts w:ascii="Arial" w:eastAsia="宋体" w:hAnsi="Arial" w:cs="Arial"/>
                <w:color w:val="000000"/>
                <w:sz w:val="15"/>
                <w:szCs w:val="15"/>
              </w:rPr>
              <w:t>Total fee revenue</w:t>
            </w:r>
          </w:p>
        </w:tc>
        <w:tc>
          <w:tcPr>
            <w:tcW w:w="0" w:type="auto"/>
            <w:shd w:val="clear" w:color="auto" w:fill="auto"/>
            <w:vAlign w:val="bottom"/>
          </w:tcPr>
          <w:p w14:paraId="71D3F953" w14:textId="77777777" w:rsidR="006A3667" w:rsidRDefault="006A3667">
            <w:pPr>
              <w:rPr>
                <w:rFonts w:ascii="宋体"/>
                <w:vanish/>
              </w:rPr>
            </w:pPr>
          </w:p>
        </w:tc>
        <w:tc>
          <w:tcPr>
            <w:tcW w:w="0" w:type="auto"/>
            <w:shd w:val="clear" w:color="auto" w:fill="auto"/>
            <w:vAlign w:val="bottom"/>
          </w:tcPr>
          <w:p w14:paraId="71D3F954" w14:textId="77777777" w:rsidR="006A3667" w:rsidRDefault="006A3667">
            <w:pPr>
              <w:rPr>
                <w:rFonts w:ascii="宋体"/>
                <w:vanish/>
              </w:rPr>
            </w:pPr>
          </w:p>
        </w:tc>
        <w:tc>
          <w:tcPr>
            <w:tcW w:w="0" w:type="auto"/>
            <w:shd w:val="clear" w:color="auto" w:fill="auto"/>
            <w:vAlign w:val="bottom"/>
          </w:tcPr>
          <w:p w14:paraId="71D3F955" w14:textId="77777777" w:rsidR="006A3667" w:rsidRDefault="006A3667">
            <w:pPr>
              <w:rPr>
                <w:rFonts w:ascii="宋体"/>
                <w:vanish/>
              </w:rPr>
            </w:pPr>
          </w:p>
        </w:tc>
        <w:tc>
          <w:tcPr>
            <w:tcW w:w="0" w:type="auto"/>
            <w:shd w:val="clear" w:color="auto" w:fill="auto"/>
            <w:vAlign w:val="bottom"/>
          </w:tcPr>
          <w:p w14:paraId="71D3F956" w14:textId="77777777" w:rsidR="006A3667" w:rsidRDefault="006A3667">
            <w:pPr>
              <w:rPr>
                <w:rFonts w:ascii="宋体"/>
                <w:vanish/>
              </w:rPr>
            </w:pPr>
          </w:p>
        </w:tc>
        <w:tc>
          <w:tcPr>
            <w:tcW w:w="0" w:type="auto"/>
            <w:shd w:val="clear" w:color="auto" w:fill="auto"/>
            <w:vAlign w:val="bottom"/>
          </w:tcPr>
          <w:p w14:paraId="71D3F957" w14:textId="77777777" w:rsidR="006A3667" w:rsidRDefault="006A3667">
            <w:pPr>
              <w:rPr>
                <w:rFonts w:ascii="宋体"/>
                <w:vanish/>
              </w:rPr>
            </w:pPr>
          </w:p>
        </w:tc>
        <w:tc>
          <w:tcPr>
            <w:tcW w:w="0" w:type="auto"/>
            <w:shd w:val="clear" w:color="auto" w:fill="auto"/>
            <w:vAlign w:val="bottom"/>
          </w:tcPr>
          <w:p w14:paraId="71D3F958"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959" w14:textId="77777777" w:rsidR="006A3667" w:rsidRDefault="00045F32">
            <w:pPr>
              <w:jc w:val="right"/>
              <w:textAlignment w:val="bottom"/>
            </w:pPr>
            <w:r>
              <w:rPr>
                <w:rFonts w:ascii="Arial" w:eastAsia="宋体" w:hAnsi="Arial" w:cs="Arial"/>
                <w:b/>
                <w:bCs/>
                <w:color w:val="000000"/>
                <w:sz w:val="15"/>
                <w:szCs w:val="15"/>
              </w:rPr>
              <w:t>1,813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95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5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95C" w14:textId="77777777" w:rsidR="006A3667" w:rsidRDefault="00045F32">
            <w:pPr>
              <w:jc w:val="right"/>
              <w:textAlignment w:val="bottom"/>
            </w:pPr>
            <w:r>
              <w:rPr>
                <w:rFonts w:ascii="Arial" w:eastAsia="宋体" w:hAnsi="Arial" w:cs="Arial"/>
                <w:color w:val="000000"/>
                <w:sz w:val="15"/>
                <w:szCs w:val="15"/>
              </w:rPr>
              <w:t>1,968 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95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5E" w14:textId="77777777" w:rsidR="006A3667" w:rsidRDefault="006A3667">
            <w:pPr>
              <w:rPr>
                <w:rFonts w:ascii="宋体"/>
              </w:rPr>
            </w:pPr>
          </w:p>
        </w:tc>
        <w:tc>
          <w:tcPr>
            <w:tcW w:w="0" w:type="auto"/>
            <w:shd w:val="clear" w:color="auto" w:fill="auto"/>
            <w:vAlign w:val="bottom"/>
          </w:tcPr>
          <w:p w14:paraId="71D3F95F" w14:textId="77777777" w:rsidR="006A3667" w:rsidRDefault="006A3667">
            <w:pPr>
              <w:rPr>
                <w:rFonts w:ascii="宋体"/>
                <w:vanish/>
              </w:rPr>
            </w:pPr>
          </w:p>
        </w:tc>
        <w:tc>
          <w:tcPr>
            <w:tcW w:w="0" w:type="auto"/>
            <w:shd w:val="clear" w:color="auto" w:fill="auto"/>
            <w:vAlign w:val="bottom"/>
          </w:tcPr>
          <w:p w14:paraId="71D3F960"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961" w14:textId="77777777" w:rsidR="006A3667" w:rsidRDefault="00045F32">
            <w:pPr>
              <w:jc w:val="right"/>
              <w:textAlignment w:val="bottom"/>
            </w:pPr>
            <w:r>
              <w:rPr>
                <w:rFonts w:ascii="Arial" w:eastAsia="宋体" w:hAnsi="Arial" w:cs="Arial"/>
                <w:color w:val="000000"/>
                <w:sz w:val="15"/>
                <w:szCs w:val="15"/>
              </w:rPr>
              <w:t>(8)</w:t>
            </w:r>
          </w:p>
        </w:tc>
        <w:tc>
          <w:tcPr>
            <w:tcW w:w="0" w:type="auto"/>
            <w:shd w:val="clear" w:color="auto" w:fill="FFFFFF"/>
            <w:tcMar>
              <w:top w:w="40" w:type="dxa"/>
              <w:left w:w="0" w:type="dxa"/>
              <w:bottom w:w="40" w:type="dxa"/>
              <w:right w:w="20" w:type="dxa"/>
            </w:tcMar>
            <w:vAlign w:val="bottom"/>
          </w:tcPr>
          <w:p w14:paraId="71D3F962" w14:textId="77777777" w:rsidR="006A3667" w:rsidRDefault="006A3667">
            <w:pPr>
              <w:jc w:val="right"/>
              <w:rPr>
                <w:rFonts w:ascii="宋体"/>
              </w:rPr>
            </w:pPr>
          </w:p>
        </w:tc>
        <w:tc>
          <w:tcPr>
            <w:tcW w:w="0" w:type="auto"/>
            <w:gridSpan w:val="3"/>
            <w:shd w:val="clear" w:color="auto" w:fill="auto"/>
            <w:vAlign w:val="bottom"/>
          </w:tcPr>
          <w:p w14:paraId="71D3F963" w14:textId="77777777" w:rsidR="006A3667" w:rsidRDefault="006A3667">
            <w:pPr>
              <w:rPr>
                <w:rFonts w:ascii="宋体"/>
                <w:vanish/>
              </w:rPr>
            </w:pPr>
          </w:p>
        </w:tc>
        <w:tc>
          <w:tcPr>
            <w:tcW w:w="0" w:type="auto"/>
            <w:gridSpan w:val="3"/>
            <w:shd w:val="clear" w:color="auto" w:fill="auto"/>
            <w:vAlign w:val="bottom"/>
          </w:tcPr>
          <w:p w14:paraId="71D3F964" w14:textId="77777777" w:rsidR="006A3667" w:rsidRDefault="006A3667">
            <w:pPr>
              <w:rPr>
                <w:rFonts w:ascii="宋体"/>
                <w:vanish/>
              </w:rPr>
            </w:pPr>
          </w:p>
        </w:tc>
        <w:tc>
          <w:tcPr>
            <w:tcW w:w="0" w:type="auto"/>
            <w:gridSpan w:val="3"/>
            <w:shd w:val="clear" w:color="auto" w:fill="auto"/>
            <w:vAlign w:val="bottom"/>
          </w:tcPr>
          <w:p w14:paraId="71D3F965" w14:textId="77777777" w:rsidR="006A3667" w:rsidRDefault="006A3667">
            <w:pPr>
              <w:rPr>
                <w:rFonts w:ascii="宋体"/>
                <w:vanish/>
              </w:rPr>
            </w:pPr>
          </w:p>
        </w:tc>
        <w:tc>
          <w:tcPr>
            <w:tcW w:w="0" w:type="auto"/>
            <w:gridSpan w:val="3"/>
            <w:shd w:val="clear" w:color="auto" w:fill="auto"/>
            <w:vAlign w:val="bottom"/>
          </w:tcPr>
          <w:p w14:paraId="71D3F966" w14:textId="77777777" w:rsidR="006A3667" w:rsidRDefault="006A3667">
            <w:pPr>
              <w:rPr>
                <w:rFonts w:ascii="宋体"/>
                <w:vanish/>
              </w:rPr>
            </w:pPr>
          </w:p>
        </w:tc>
        <w:tc>
          <w:tcPr>
            <w:tcW w:w="0" w:type="auto"/>
            <w:gridSpan w:val="3"/>
            <w:shd w:val="clear" w:color="auto" w:fill="auto"/>
            <w:vAlign w:val="bottom"/>
          </w:tcPr>
          <w:p w14:paraId="71D3F967" w14:textId="77777777" w:rsidR="006A3667" w:rsidRDefault="006A3667">
            <w:pPr>
              <w:rPr>
                <w:rFonts w:ascii="宋体"/>
                <w:vanish/>
              </w:rPr>
            </w:pPr>
          </w:p>
        </w:tc>
        <w:tc>
          <w:tcPr>
            <w:tcW w:w="0" w:type="auto"/>
            <w:gridSpan w:val="3"/>
            <w:shd w:val="clear" w:color="auto" w:fill="auto"/>
            <w:vAlign w:val="bottom"/>
          </w:tcPr>
          <w:p w14:paraId="71D3F968" w14:textId="77777777" w:rsidR="006A3667" w:rsidRDefault="006A3667">
            <w:pPr>
              <w:rPr>
                <w:rFonts w:ascii="宋体"/>
                <w:vanish/>
              </w:rPr>
            </w:pPr>
          </w:p>
        </w:tc>
        <w:tc>
          <w:tcPr>
            <w:tcW w:w="0" w:type="auto"/>
            <w:gridSpan w:val="2"/>
            <w:shd w:val="clear" w:color="auto" w:fill="auto"/>
            <w:vAlign w:val="bottom"/>
          </w:tcPr>
          <w:p w14:paraId="71D3F969" w14:textId="77777777" w:rsidR="006A3667" w:rsidRDefault="006A3667">
            <w:pPr>
              <w:rPr>
                <w:rFonts w:ascii="宋体"/>
                <w:vanish/>
              </w:rPr>
            </w:pPr>
          </w:p>
        </w:tc>
        <w:tc>
          <w:tcPr>
            <w:tcW w:w="0" w:type="auto"/>
            <w:shd w:val="clear" w:color="auto" w:fill="auto"/>
            <w:vAlign w:val="bottom"/>
          </w:tcPr>
          <w:p w14:paraId="71D3F96A" w14:textId="77777777" w:rsidR="006A3667" w:rsidRDefault="006A3667">
            <w:pPr>
              <w:rPr>
                <w:rFonts w:ascii="宋体"/>
                <w:vanish/>
              </w:rPr>
            </w:pPr>
          </w:p>
        </w:tc>
      </w:tr>
      <w:tr w:rsidR="006A3667" w14:paraId="71D3F985" w14:textId="77777777">
        <w:tc>
          <w:tcPr>
            <w:tcW w:w="0" w:type="auto"/>
            <w:gridSpan w:val="3"/>
            <w:shd w:val="clear" w:color="auto" w:fill="CCEEFF"/>
            <w:tcMar>
              <w:top w:w="40" w:type="dxa"/>
              <w:left w:w="20" w:type="dxa"/>
              <w:bottom w:w="40" w:type="dxa"/>
              <w:right w:w="20" w:type="dxa"/>
            </w:tcMar>
            <w:vAlign w:val="bottom"/>
          </w:tcPr>
          <w:p w14:paraId="71D3F96C" w14:textId="77777777" w:rsidR="006A3667" w:rsidRDefault="00045F32">
            <w:pPr>
              <w:textAlignment w:val="bottom"/>
            </w:pPr>
            <w:r>
              <w:rPr>
                <w:rFonts w:ascii="Arial" w:eastAsia="宋体" w:hAnsi="Arial" w:cs="Arial"/>
                <w:color w:val="000000"/>
                <w:sz w:val="15"/>
                <w:szCs w:val="15"/>
              </w:rPr>
              <w:t>Net interest income</w:t>
            </w:r>
          </w:p>
        </w:tc>
        <w:tc>
          <w:tcPr>
            <w:tcW w:w="0" w:type="auto"/>
            <w:shd w:val="clear" w:color="auto" w:fill="auto"/>
            <w:vAlign w:val="bottom"/>
          </w:tcPr>
          <w:p w14:paraId="71D3F96D" w14:textId="77777777" w:rsidR="006A3667" w:rsidRDefault="006A3667">
            <w:pPr>
              <w:rPr>
                <w:rFonts w:ascii="宋体"/>
                <w:vanish/>
              </w:rPr>
            </w:pPr>
          </w:p>
        </w:tc>
        <w:tc>
          <w:tcPr>
            <w:tcW w:w="0" w:type="auto"/>
            <w:shd w:val="clear" w:color="auto" w:fill="auto"/>
            <w:vAlign w:val="bottom"/>
          </w:tcPr>
          <w:p w14:paraId="71D3F96E" w14:textId="77777777" w:rsidR="006A3667" w:rsidRDefault="006A3667">
            <w:pPr>
              <w:rPr>
                <w:rFonts w:ascii="宋体"/>
                <w:vanish/>
              </w:rPr>
            </w:pPr>
          </w:p>
        </w:tc>
        <w:tc>
          <w:tcPr>
            <w:tcW w:w="0" w:type="auto"/>
            <w:shd w:val="clear" w:color="auto" w:fill="auto"/>
            <w:vAlign w:val="bottom"/>
          </w:tcPr>
          <w:p w14:paraId="71D3F96F" w14:textId="77777777" w:rsidR="006A3667" w:rsidRDefault="006A3667">
            <w:pPr>
              <w:rPr>
                <w:rFonts w:ascii="宋体"/>
                <w:vanish/>
              </w:rPr>
            </w:pPr>
          </w:p>
        </w:tc>
        <w:tc>
          <w:tcPr>
            <w:tcW w:w="0" w:type="auto"/>
            <w:shd w:val="clear" w:color="auto" w:fill="auto"/>
            <w:vAlign w:val="bottom"/>
          </w:tcPr>
          <w:p w14:paraId="71D3F970" w14:textId="77777777" w:rsidR="006A3667" w:rsidRDefault="006A3667">
            <w:pPr>
              <w:rPr>
                <w:rFonts w:ascii="宋体"/>
                <w:vanish/>
              </w:rPr>
            </w:pPr>
          </w:p>
        </w:tc>
        <w:tc>
          <w:tcPr>
            <w:tcW w:w="0" w:type="auto"/>
            <w:shd w:val="clear" w:color="auto" w:fill="auto"/>
            <w:vAlign w:val="bottom"/>
          </w:tcPr>
          <w:p w14:paraId="71D3F971" w14:textId="77777777" w:rsidR="006A3667" w:rsidRDefault="006A3667">
            <w:pPr>
              <w:rPr>
                <w:rFonts w:ascii="宋体"/>
                <w:vanish/>
              </w:rPr>
            </w:pPr>
          </w:p>
        </w:tc>
        <w:tc>
          <w:tcPr>
            <w:tcW w:w="0" w:type="auto"/>
            <w:shd w:val="clear" w:color="auto" w:fill="auto"/>
            <w:vAlign w:val="bottom"/>
          </w:tcPr>
          <w:p w14:paraId="71D3F972"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973" w14:textId="77777777" w:rsidR="006A3667" w:rsidRDefault="00045F32">
            <w:pPr>
              <w:jc w:val="right"/>
              <w:textAlignment w:val="bottom"/>
            </w:pPr>
            <w:r>
              <w:rPr>
                <w:rFonts w:ascii="Arial" w:eastAsia="宋体" w:hAnsi="Arial" w:cs="Arial"/>
                <w:b/>
                <w:bCs/>
                <w:color w:val="000000"/>
                <w:sz w:val="15"/>
                <w:szCs w:val="15"/>
              </w:rPr>
              <w:t>663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9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97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976" w14:textId="77777777" w:rsidR="006A3667" w:rsidRDefault="00045F32">
            <w:pPr>
              <w:jc w:val="right"/>
              <w:textAlignment w:val="bottom"/>
            </w:pPr>
            <w:r>
              <w:rPr>
                <w:rFonts w:ascii="Arial" w:eastAsia="宋体" w:hAnsi="Arial" w:cs="Arial"/>
                <w:color w:val="000000"/>
                <w:sz w:val="15"/>
                <w:szCs w:val="15"/>
              </w:rPr>
              <w:t>491 </w:t>
            </w:r>
          </w:p>
        </w:tc>
        <w:tc>
          <w:tcPr>
            <w:tcW w:w="0" w:type="auto"/>
            <w:shd w:val="clear" w:color="auto" w:fill="CCEEFF"/>
            <w:tcMar>
              <w:top w:w="40" w:type="dxa"/>
              <w:left w:w="0" w:type="dxa"/>
              <w:bottom w:w="40" w:type="dxa"/>
              <w:right w:w="20" w:type="dxa"/>
            </w:tcMar>
            <w:vAlign w:val="bottom"/>
          </w:tcPr>
          <w:p w14:paraId="71D3F9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978" w14:textId="77777777" w:rsidR="006A3667" w:rsidRDefault="006A3667">
            <w:pPr>
              <w:rPr>
                <w:rFonts w:ascii="宋体"/>
              </w:rPr>
            </w:pPr>
          </w:p>
        </w:tc>
        <w:tc>
          <w:tcPr>
            <w:tcW w:w="0" w:type="auto"/>
            <w:shd w:val="clear" w:color="auto" w:fill="auto"/>
            <w:vAlign w:val="bottom"/>
          </w:tcPr>
          <w:p w14:paraId="71D3F979" w14:textId="77777777" w:rsidR="006A3667" w:rsidRDefault="006A3667">
            <w:pPr>
              <w:rPr>
                <w:rFonts w:ascii="宋体"/>
                <w:vanish/>
              </w:rPr>
            </w:pPr>
          </w:p>
        </w:tc>
        <w:tc>
          <w:tcPr>
            <w:tcW w:w="0" w:type="auto"/>
            <w:shd w:val="clear" w:color="auto" w:fill="auto"/>
            <w:vAlign w:val="bottom"/>
          </w:tcPr>
          <w:p w14:paraId="71D3F97A"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97B" w14:textId="77777777" w:rsidR="006A3667" w:rsidRDefault="00045F32">
            <w:pPr>
              <w:jc w:val="right"/>
              <w:textAlignment w:val="bottom"/>
            </w:pPr>
            <w:r>
              <w:rPr>
                <w:rFonts w:ascii="Arial" w:eastAsia="宋体" w:hAnsi="Arial" w:cs="Arial"/>
                <w:color w:val="000000"/>
                <w:sz w:val="15"/>
                <w:szCs w:val="15"/>
              </w:rPr>
              <w:t>35 </w:t>
            </w:r>
          </w:p>
        </w:tc>
        <w:tc>
          <w:tcPr>
            <w:tcW w:w="0" w:type="auto"/>
            <w:shd w:val="clear" w:color="auto" w:fill="CCEEFF"/>
            <w:tcMar>
              <w:top w:w="40" w:type="dxa"/>
              <w:left w:w="0" w:type="dxa"/>
              <w:bottom w:w="40" w:type="dxa"/>
              <w:right w:w="20" w:type="dxa"/>
            </w:tcMar>
            <w:vAlign w:val="bottom"/>
          </w:tcPr>
          <w:p w14:paraId="71D3F97C" w14:textId="77777777" w:rsidR="006A3667" w:rsidRDefault="006A3667">
            <w:pPr>
              <w:jc w:val="right"/>
              <w:rPr>
                <w:rFonts w:ascii="宋体"/>
              </w:rPr>
            </w:pPr>
          </w:p>
        </w:tc>
        <w:tc>
          <w:tcPr>
            <w:tcW w:w="0" w:type="auto"/>
            <w:gridSpan w:val="3"/>
            <w:shd w:val="clear" w:color="auto" w:fill="auto"/>
            <w:vAlign w:val="bottom"/>
          </w:tcPr>
          <w:p w14:paraId="71D3F97D" w14:textId="77777777" w:rsidR="006A3667" w:rsidRDefault="006A3667">
            <w:pPr>
              <w:rPr>
                <w:rFonts w:ascii="宋体"/>
                <w:vanish/>
              </w:rPr>
            </w:pPr>
          </w:p>
        </w:tc>
        <w:tc>
          <w:tcPr>
            <w:tcW w:w="0" w:type="auto"/>
            <w:gridSpan w:val="3"/>
            <w:shd w:val="clear" w:color="auto" w:fill="auto"/>
            <w:vAlign w:val="bottom"/>
          </w:tcPr>
          <w:p w14:paraId="71D3F97E" w14:textId="77777777" w:rsidR="006A3667" w:rsidRDefault="006A3667">
            <w:pPr>
              <w:rPr>
                <w:rFonts w:ascii="宋体"/>
                <w:vanish/>
              </w:rPr>
            </w:pPr>
          </w:p>
        </w:tc>
        <w:tc>
          <w:tcPr>
            <w:tcW w:w="0" w:type="auto"/>
            <w:gridSpan w:val="3"/>
            <w:shd w:val="clear" w:color="auto" w:fill="auto"/>
            <w:vAlign w:val="bottom"/>
          </w:tcPr>
          <w:p w14:paraId="71D3F97F" w14:textId="77777777" w:rsidR="006A3667" w:rsidRDefault="006A3667">
            <w:pPr>
              <w:rPr>
                <w:rFonts w:ascii="宋体"/>
                <w:vanish/>
              </w:rPr>
            </w:pPr>
          </w:p>
        </w:tc>
        <w:tc>
          <w:tcPr>
            <w:tcW w:w="0" w:type="auto"/>
            <w:gridSpan w:val="3"/>
            <w:shd w:val="clear" w:color="auto" w:fill="auto"/>
            <w:vAlign w:val="bottom"/>
          </w:tcPr>
          <w:p w14:paraId="71D3F980" w14:textId="77777777" w:rsidR="006A3667" w:rsidRDefault="006A3667">
            <w:pPr>
              <w:rPr>
                <w:rFonts w:ascii="宋体"/>
                <w:vanish/>
              </w:rPr>
            </w:pPr>
          </w:p>
        </w:tc>
        <w:tc>
          <w:tcPr>
            <w:tcW w:w="0" w:type="auto"/>
            <w:gridSpan w:val="3"/>
            <w:shd w:val="clear" w:color="auto" w:fill="auto"/>
            <w:vAlign w:val="bottom"/>
          </w:tcPr>
          <w:p w14:paraId="71D3F981" w14:textId="77777777" w:rsidR="006A3667" w:rsidRDefault="006A3667">
            <w:pPr>
              <w:rPr>
                <w:rFonts w:ascii="宋体"/>
                <w:vanish/>
              </w:rPr>
            </w:pPr>
          </w:p>
        </w:tc>
        <w:tc>
          <w:tcPr>
            <w:tcW w:w="0" w:type="auto"/>
            <w:gridSpan w:val="3"/>
            <w:shd w:val="clear" w:color="auto" w:fill="auto"/>
            <w:vAlign w:val="bottom"/>
          </w:tcPr>
          <w:p w14:paraId="71D3F982" w14:textId="77777777" w:rsidR="006A3667" w:rsidRDefault="006A3667">
            <w:pPr>
              <w:rPr>
                <w:rFonts w:ascii="宋体"/>
                <w:vanish/>
              </w:rPr>
            </w:pPr>
          </w:p>
        </w:tc>
        <w:tc>
          <w:tcPr>
            <w:tcW w:w="0" w:type="auto"/>
            <w:gridSpan w:val="2"/>
            <w:shd w:val="clear" w:color="auto" w:fill="auto"/>
            <w:vAlign w:val="bottom"/>
          </w:tcPr>
          <w:p w14:paraId="71D3F983" w14:textId="77777777" w:rsidR="006A3667" w:rsidRDefault="006A3667">
            <w:pPr>
              <w:rPr>
                <w:rFonts w:ascii="宋体"/>
                <w:vanish/>
              </w:rPr>
            </w:pPr>
          </w:p>
        </w:tc>
        <w:tc>
          <w:tcPr>
            <w:tcW w:w="0" w:type="auto"/>
            <w:shd w:val="clear" w:color="auto" w:fill="auto"/>
            <w:vAlign w:val="bottom"/>
          </w:tcPr>
          <w:p w14:paraId="71D3F984" w14:textId="77777777" w:rsidR="006A3667" w:rsidRDefault="006A3667">
            <w:pPr>
              <w:rPr>
                <w:rFonts w:ascii="宋体"/>
                <w:vanish/>
              </w:rPr>
            </w:pPr>
          </w:p>
        </w:tc>
      </w:tr>
      <w:tr w:rsidR="006A3667" w14:paraId="71D3F99E" w14:textId="77777777">
        <w:tc>
          <w:tcPr>
            <w:tcW w:w="0" w:type="auto"/>
            <w:gridSpan w:val="3"/>
            <w:shd w:val="clear" w:color="auto" w:fill="FFFFFF"/>
            <w:tcMar>
              <w:top w:w="40" w:type="dxa"/>
              <w:left w:w="20" w:type="dxa"/>
              <w:bottom w:w="40" w:type="dxa"/>
              <w:right w:w="20" w:type="dxa"/>
            </w:tcMar>
            <w:vAlign w:val="bottom"/>
          </w:tcPr>
          <w:p w14:paraId="71D3F986" w14:textId="77777777" w:rsidR="006A3667" w:rsidRDefault="00045F32">
            <w:pPr>
              <w:textAlignment w:val="bottom"/>
            </w:pPr>
            <w:r>
              <w:rPr>
                <w:rFonts w:ascii="Arial" w:eastAsia="宋体" w:hAnsi="Arial" w:cs="Arial"/>
                <w:color w:val="000000"/>
                <w:sz w:val="15"/>
                <w:szCs w:val="15"/>
              </w:rPr>
              <w:t>Total other income</w:t>
            </w:r>
          </w:p>
        </w:tc>
        <w:tc>
          <w:tcPr>
            <w:tcW w:w="0" w:type="auto"/>
            <w:shd w:val="clear" w:color="auto" w:fill="auto"/>
            <w:vAlign w:val="bottom"/>
          </w:tcPr>
          <w:p w14:paraId="71D3F987" w14:textId="77777777" w:rsidR="006A3667" w:rsidRDefault="006A3667">
            <w:pPr>
              <w:rPr>
                <w:rFonts w:ascii="宋体"/>
                <w:vanish/>
              </w:rPr>
            </w:pPr>
          </w:p>
        </w:tc>
        <w:tc>
          <w:tcPr>
            <w:tcW w:w="0" w:type="auto"/>
            <w:shd w:val="clear" w:color="auto" w:fill="auto"/>
            <w:vAlign w:val="bottom"/>
          </w:tcPr>
          <w:p w14:paraId="71D3F988" w14:textId="77777777" w:rsidR="006A3667" w:rsidRDefault="006A3667">
            <w:pPr>
              <w:rPr>
                <w:rFonts w:ascii="宋体"/>
                <w:vanish/>
              </w:rPr>
            </w:pPr>
          </w:p>
        </w:tc>
        <w:tc>
          <w:tcPr>
            <w:tcW w:w="0" w:type="auto"/>
            <w:shd w:val="clear" w:color="auto" w:fill="auto"/>
            <w:vAlign w:val="bottom"/>
          </w:tcPr>
          <w:p w14:paraId="71D3F989" w14:textId="77777777" w:rsidR="006A3667" w:rsidRDefault="006A3667">
            <w:pPr>
              <w:rPr>
                <w:rFonts w:ascii="宋体"/>
                <w:vanish/>
              </w:rPr>
            </w:pPr>
          </w:p>
        </w:tc>
        <w:tc>
          <w:tcPr>
            <w:tcW w:w="0" w:type="auto"/>
            <w:shd w:val="clear" w:color="auto" w:fill="auto"/>
            <w:vAlign w:val="bottom"/>
          </w:tcPr>
          <w:p w14:paraId="71D3F98A" w14:textId="77777777" w:rsidR="006A3667" w:rsidRDefault="006A3667">
            <w:pPr>
              <w:rPr>
                <w:rFonts w:ascii="宋体"/>
                <w:vanish/>
              </w:rPr>
            </w:pPr>
          </w:p>
        </w:tc>
        <w:tc>
          <w:tcPr>
            <w:tcW w:w="0" w:type="auto"/>
            <w:shd w:val="clear" w:color="auto" w:fill="auto"/>
            <w:vAlign w:val="bottom"/>
          </w:tcPr>
          <w:p w14:paraId="71D3F98B" w14:textId="77777777" w:rsidR="006A3667" w:rsidRDefault="006A3667">
            <w:pPr>
              <w:rPr>
                <w:rFonts w:ascii="宋体"/>
                <w:vanish/>
              </w:rPr>
            </w:pPr>
          </w:p>
        </w:tc>
        <w:tc>
          <w:tcPr>
            <w:tcW w:w="0" w:type="auto"/>
            <w:shd w:val="clear" w:color="auto" w:fill="auto"/>
            <w:vAlign w:val="bottom"/>
          </w:tcPr>
          <w:p w14:paraId="71D3F98C"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98D"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98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8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990"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1D3F99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92" w14:textId="77777777" w:rsidR="006A3667" w:rsidRDefault="006A3667">
            <w:pPr>
              <w:rPr>
                <w:rFonts w:ascii="宋体"/>
              </w:rPr>
            </w:pPr>
          </w:p>
        </w:tc>
        <w:tc>
          <w:tcPr>
            <w:tcW w:w="0" w:type="auto"/>
            <w:shd w:val="clear" w:color="auto" w:fill="auto"/>
            <w:vAlign w:val="bottom"/>
          </w:tcPr>
          <w:p w14:paraId="71D3F993" w14:textId="77777777" w:rsidR="006A3667" w:rsidRDefault="006A3667">
            <w:pPr>
              <w:rPr>
                <w:rFonts w:ascii="宋体"/>
                <w:vanish/>
              </w:rPr>
            </w:pPr>
          </w:p>
        </w:tc>
        <w:tc>
          <w:tcPr>
            <w:tcW w:w="0" w:type="auto"/>
            <w:shd w:val="clear" w:color="auto" w:fill="auto"/>
            <w:vAlign w:val="bottom"/>
          </w:tcPr>
          <w:p w14:paraId="71D3F994" w14:textId="77777777" w:rsidR="006A3667" w:rsidRDefault="006A3667">
            <w:pPr>
              <w:rPr>
                <w:rFonts w:ascii="宋体"/>
                <w:vanish/>
              </w:rPr>
            </w:pPr>
          </w:p>
        </w:tc>
        <w:tc>
          <w:tcPr>
            <w:tcW w:w="0" w:type="auto"/>
            <w:gridSpan w:val="3"/>
            <w:shd w:val="clear" w:color="auto" w:fill="FFFFFF"/>
            <w:tcMar>
              <w:top w:w="40" w:type="dxa"/>
              <w:left w:w="20" w:type="dxa"/>
              <w:bottom w:w="40" w:type="dxa"/>
              <w:right w:w="140" w:type="dxa"/>
            </w:tcMar>
            <w:vAlign w:val="bottom"/>
          </w:tcPr>
          <w:p w14:paraId="71D3F995"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F996" w14:textId="77777777" w:rsidR="006A3667" w:rsidRDefault="006A3667">
            <w:pPr>
              <w:rPr>
                <w:rFonts w:ascii="宋体"/>
                <w:vanish/>
              </w:rPr>
            </w:pPr>
          </w:p>
        </w:tc>
        <w:tc>
          <w:tcPr>
            <w:tcW w:w="0" w:type="auto"/>
            <w:gridSpan w:val="3"/>
            <w:shd w:val="clear" w:color="auto" w:fill="auto"/>
            <w:vAlign w:val="bottom"/>
          </w:tcPr>
          <w:p w14:paraId="71D3F997" w14:textId="77777777" w:rsidR="006A3667" w:rsidRDefault="006A3667">
            <w:pPr>
              <w:rPr>
                <w:rFonts w:ascii="宋体"/>
                <w:vanish/>
              </w:rPr>
            </w:pPr>
          </w:p>
        </w:tc>
        <w:tc>
          <w:tcPr>
            <w:tcW w:w="0" w:type="auto"/>
            <w:gridSpan w:val="3"/>
            <w:shd w:val="clear" w:color="auto" w:fill="auto"/>
            <w:vAlign w:val="bottom"/>
          </w:tcPr>
          <w:p w14:paraId="71D3F998" w14:textId="77777777" w:rsidR="006A3667" w:rsidRDefault="006A3667">
            <w:pPr>
              <w:rPr>
                <w:rFonts w:ascii="宋体"/>
                <w:vanish/>
              </w:rPr>
            </w:pPr>
          </w:p>
        </w:tc>
        <w:tc>
          <w:tcPr>
            <w:tcW w:w="0" w:type="auto"/>
            <w:gridSpan w:val="3"/>
            <w:shd w:val="clear" w:color="auto" w:fill="auto"/>
            <w:vAlign w:val="bottom"/>
          </w:tcPr>
          <w:p w14:paraId="71D3F999" w14:textId="77777777" w:rsidR="006A3667" w:rsidRDefault="006A3667">
            <w:pPr>
              <w:rPr>
                <w:rFonts w:ascii="宋体"/>
                <w:vanish/>
              </w:rPr>
            </w:pPr>
          </w:p>
        </w:tc>
        <w:tc>
          <w:tcPr>
            <w:tcW w:w="0" w:type="auto"/>
            <w:gridSpan w:val="3"/>
            <w:shd w:val="clear" w:color="auto" w:fill="auto"/>
            <w:vAlign w:val="bottom"/>
          </w:tcPr>
          <w:p w14:paraId="71D3F99A" w14:textId="77777777" w:rsidR="006A3667" w:rsidRDefault="006A3667">
            <w:pPr>
              <w:rPr>
                <w:rFonts w:ascii="宋体"/>
                <w:vanish/>
              </w:rPr>
            </w:pPr>
          </w:p>
        </w:tc>
        <w:tc>
          <w:tcPr>
            <w:tcW w:w="0" w:type="auto"/>
            <w:gridSpan w:val="3"/>
            <w:shd w:val="clear" w:color="auto" w:fill="auto"/>
            <w:vAlign w:val="bottom"/>
          </w:tcPr>
          <w:p w14:paraId="71D3F99B" w14:textId="77777777" w:rsidR="006A3667" w:rsidRDefault="006A3667">
            <w:pPr>
              <w:rPr>
                <w:rFonts w:ascii="宋体"/>
                <w:vanish/>
              </w:rPr>
            </w:pPr>
          </w:p>
        </w:tc>
        <w:tc>
          <w:tcPr>
            <w:tcW w:w="0" w:type="auto"/>
            <w:gridSpan w:val="2"/>
            <w:shd w:val="clear" w:color="auto" w:fill="auto"/>
            <w:vAlign w:val="bottom"/>
          </w:tcPr>
          <w:p w14:paraId="71D3F99C" w14:textId="77777777" w:rsidR="006A3667" w:rsidRDefault="006A3667">
            <w:pPr>
              <w:rPr>
                <w:rFonts w:ascii="宋体"/>
                <w:vanish/>
              </w:rPr>
            </w:pPr>
          </w:p>
        </w:tc>
        <w:tc>
          <w:tcPr>
            <w:tcW w:w="0" w:type="auto"/>
            <w:shd w:val="clear" w:color="auto" w:fill="auto"/>
            <w:vAlign w:val="bottom"/>
          </w:tcPr>
          <w:p w14:paraId="71D3F99D" w14:textId="77777777" w:rsidR="006A3667" w:rsidRDefault="006A3667">
            <w:pPr>
              <w:rPr>
                <w:rFonts w:ascii="宋体"/>
                <w:vanish/>
              </w:rPr>
            </w:pPr>
          </w:p>
        </w:tc>
      </w:tr>
      <w:tr w:rsidR="006A3667" w14:paraId="71D3F9B8" w14:textId="77777777">
        <w:tc>
          <w:tcPr>
            <w:tcW w:w="0" w:type="auto"/>
            <w:gridSpan w:val="3"/>
            <w:shd w:val="clear" w:color="auto" w:fill="CCEEFF"/>
            <w:tcMar>
              <w:top w:w="40" w:type="dxa"/>
              <w:left w:w="20" w:type="dxa"/>
              <w:bottom w:w="40" w:type="dxa"/>
              <w:right w:w="20" w:type="dxa"/>
            </w:tcMar>
            <w:vAlign w:val="bottom"/>
          </w:tcPr>
          <w:p w14:paraId="71D3F99F" w14:textId="77777777" w:rsidR="006A3667" w:rsidRDefault="00045F32">
            <w:pPr>
              <w:textAlignment w:val="bottom"/>
            </w:pPr>
            <w:r>
              <w:rPr>
                <w:rFonts w:ascii="Arial" w:eastAsia="宋体" w:hAnsi="Arial" w:cs="Arial"/>
                <w:b/>
                <w:bCs/>
                <w:color w:val="000000"/>
                <w:sz w:val="15"/>
                <w:szCs w:val="15"/>
              </w:rPr>
              <w:t>Total revenue</w:t>
            </w:r>
          </w:p>
        </w:tc>
        <w:tc>
          <w:tcPr>
            <w:tcW w:w="0" w:type="auto"/>
            <w:shd w:val="clear" w:color="auto" w:fill="auto"/>
            <w:vAlign w:val="bottom"/>
          </w:tcPr>
          <w:p w14:paraId="71D3F9A0" w14:textId="77777777" w:rsidR="006A3667" w:rsidRDefault="006A3667">
            <w:pPr>
              <w:rPr>
                <w:rFonts w:ascii="宋体"/>
                <w:vanish/>
              </w:rPr>
            </w:pPr>
          </w:p>
        </w:tc>
        <w:tc>
          <w:tcPr>
            <w:tcW w:w="0" w:type="auto"/>
            <w:shd w:val="clear" w:color="auto" w:fill="auto"/>
            <w:vAlign w:val="bottom"/>
          </w:tcPr>
          <w:p w14:paraId="71D3F9A1" w14:textId="77777777" w:rsidR="006A3667" w:rsidRDefault="006A3667">
            <w:pPr>
              <w:rPr>
                <w:rFonts w:ascii="宋体"/>
                <w:vanish/>
              </w:rPr>
            </w:pPr>
          </w:p>
        </w:tc>
        <w:tc>
          <w:tcPr>
            <w:tcW w:w="0" w:type="auto"/>
            <w:shd w:val="clear" w:color="auto" w:fill="auto"/>
            <w:vAlign w:val="bottom"/>
          </w:tcPr>
          <w:p w14:paraId="71D3F9A2" w14:textId="77777777" w:rsidR="006A3667" w:rsidRDefault="006A3667">
            <w:pPr>
              <w:rPr>
                <w:rFonts w:ascii="宋体"/>
                <w:vanish/>
              </w:rPr>
            </w:pPr>
          </w:p>
        </w:tc>
        <w:tc>
          <w:tcPr>
            <w:tcW w:w="0" w:type="auto"/>
            <w:shd w:val="clear" w:color="auto" w:fill="auto"/>
            <w:vAlign w:val="bottom"/>
          </w:tcPr>
          <w:p w14:paraId="71D3F9A3" w14:textId="77777777" w:rsidR="006A3667" w:rsidRDefault="006A3667">
            <w:pPr>
              <w:rPr>
                <w:rFonts w:ascii="宋体"/>
                <w:vanish/>
              </w:rPr>
            </w:pPr>
          </w:p>
        </w:tc>
        <w:tc>
          <w:tcPr>
            <w:tcW w:w="0" w:type="auto"/>
            <w:shd w:val="clear" w:color="auto" w:fill="auto"/>
            <w:vAlign w:val="bottom"/>
          </w:tcPr>
          <w:p w14:paraId="71D3F9A4" w14:textId="77777777" w:rsidR="006A3667" w:rsidRDefault="006A3667">
            <w:pPr>
              <w:rPr>
                <w:rFonts w:ascii="宋体"/>
                <w:vanish/>
              </w:rPr>
            </w:pPr>
          </w:p>
        </w:tc>
        <w:tc>
          <w:tcPr>
            <w:tcW w:w="0" w:type="auto"/>
            <w:shd w:val="clear" w:color="auto" w:fill="auto"/>
            <w:vAlign w:val="bottom"/>
          </w:tcPr>
          <w:p w14:paraId="71D3F9A5"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9A6" w14:textId="77777777" w:rsidR="006A3667" w:rsidRDefault="00045F32">
            <w:pPr>
              <w:jc w:val="right"/>
              <w:textAlignment w:val="bottom"/>
            </w:pPr>
            <w:r>
              <w:rPr>
                <w:rFonts w:ascii="Arial" w:eastAsia="宋体" w:hAnsi="Arial" w:cs="Arial"/>
                <w:b/>
                <w:bCs/>
                <w:color w:val="000000"/>
                <w:sz w:val="15"/>
                <w:szCs w:val="15"/>
              </w:rPr>
              <w:t>2,476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9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9A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9A9" w14:textId="77777777" w:rsidR="006A3667" w:rsidRDefault="00045F32">
            <w:pPr>
              <w:jc w:val="right"/>
              <w:textAlignment w:val="bottom"/>
            </w:pPr>
            <w:r>
              <w:rPr>
                <w:rFonts w:ascii="Arial" w:eastAsia="宋体" w:hAnsi="Arial" w:cs="Arial"/>
                <w:color w:val="000000"/>
                <w:sz w:val="15"/>
                <w:szCs w:val="15"/>
              </w:rPr>
              <w:t>2,458 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9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9AB" w14:textId="77777777" w:rsidR="006A3667" w:rsidRDefault="006A3667">
            <w:pPr>
              <w:rPr>
                <w:rFonts w:ascii="宋体"/>
              </w:rPr>
            </w:pPr>
          </w:p>
        </w:tc>
        <w:tc>
          <w:tcPr>
            <w:tcW w:w="0" w:type="auto"/>
            <w:shd w:val="clear" w:color="auto" w:fill="auto"/>
            <w:vAlign w:val="bottom"/>
          </w:tcPr>
          <w:p w14:paraId="71D3F9AC" w14:textId="77777777" w:rsidR="006A3667" w:rsidRDefault="006A3667">
            <w:pPr>
              <w:rPr>
                <w:rFonts w:ascii="宋体"/>
                <w:vanish/>
              </w:rPr>
            </w:pPr>
          </w:p>
        </w:tc>
        <w:tc>
          <w:tcPr>
            <w:tcW w:w="0" w:type="auto"/>
            <w:shd w:val="clear" w:color="auto" w:fill="auto"/>
            <w:vAlign w:val="bottom"/>
          </w:tcPr>
          <w:p w14:paraId="71D3F9AD"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9AE" w14:textId="77777777" w:rsidR="006A3667" w:rsidRDefault="00045F32">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1D3F9AF" w14:textId="77777777" w:rsidR="006A3667" w:rsidRDefault="006A3667">
            <w:pPr>
              <w:jc w:val="right"/>
              <w:rPr>
                <w:rFonts w:ascii="宋体"/>
              </w:rPr>
            </w:pPr>
          </w:p>
        </w:tc>
        <w:tc>
          <w:tcPr>
            <w:tcW w:w="0" w:type="auto"/>
            <w:gridSpan w:val="3"/>
            <w:shd w:val="clear" w:color="auto" w:fill="auto"/>
            <w:vAlign w:val="bottom"/>
          </w:tcPr>
          <w:p w14:paraId="71D3F9B0" w14:textId="77777777" w:rsidR="006A3667" w:rsidRDefault="006A3667">
            <w:pPr>
              <w:rPr>
                <w:rFonts w:ascii="宋体"/>
                <w:vanish/>
              </w:rPr>
            </w:pPr>
          </w:p>
        </w:tc>
        <w:tc>
          <w:tcPr>
            <w:tcW w:w="0" w:type="auto"/>
            <w:gridSpan w:val="3"/>
            <w:shd w:val="clear" w:color="auto" w:fill="auto"/>
            <w:vAlign w:val="bottom"/>
          </w:tcPr>
          <w:p w14:paraId="71D3F9B1" w14:textId="77777777" w:rsidR="006A3667" w:rsidRDefault="006A3667">
            <w:pPr>
              <w:rPr>
                <w:rFonts w:ascii="宋体"/>
                <w:vanish/>
              </w:rPr>
            </w:pPr>
          </w:p>
        </w:tc>
        <w:tc>
          <w:tcPr>
            <w:tcW w:w="0" w:type="auto"/>
            <w:gridSpan w:val="3"/>
            <w:shd w:val="clear" w:color="auto" w:fill="auto"/>
            <w:vAlign w:val="bottom"/>
          </w:tcPr>
          <w:p w14:paraId="71D3F9B2" w14:textId="77777777" w:rsidR="006A3667" w:rsidRDefault="006A3667">
            <w:pPr>
              <w:rPr>
                <w:rFonts w:ascii="宋体"/>
                <w:vanish/>
              </w:rPr>
            </w:pPr>
          </w:p>
        </w:tc>
        <w:tc>
          <w:tcPr>
            <w:tcW w:w="0" w:type="auto"/>
            <w:gridSpan w:val="3"/>
            <w:shd w:val="clear" w:color="auto" w:fill="auto"/>
            <w:vAlign w:val="bottom"/>
          </w:tcPr>
          <w:p w14:paraId="71D3F9B3" w14:textId="77777777" w:rsidR="006A3667" w:rsidRDefault="006A3667">
            <w:pPr>
              <w:rPr>
                <w:rFonts w:ascii="宋体"/>
                <w:vanish/>
              </w:rPr>
            </w:pPr>
          </w:p>
        </w:tc>
        <w:tc>
          <w:tcPr>
            <w:tcW w:w="0" w:type="auto"/>
            <w:gridSpan w:val="3"/>
            <w:shd w:val="clear" w:color="auto" w:fill="auto"/>
            <w:vAlign w:val="bottom"/>
          </w:tcPr>
          <w:p w14:paraId="71D3F9B4" w14:textId="77777777" w:rsidR="006A3667" w:rsidRDefault="006A3667">
            <w:pPr>
              <w:rPr>
                <w:rFonts w:ascii="宋体"/>
                <w:vanish/>
              </w:rPr>
            </w:pPr>
          </w:p>
        </w:tc>
        <w:tc>
          <w:tcPr>
            <w:tcW w:w="0" w:type="auto"/>
            <w:gridSpan w:val="3"/>
            <w:shd w:val="clear" w:color="auto" w:fill="auto"/>
            <w:vAlign w:val="bottom"/>
          </w:tcPr>
          <w:p w14:paraId="71D3F9B5" w14:textId="77777777" w:rsidR="006A3667" w:rsidRDefault="006A3667">
            <w:pPr>
              <w:rPr>
                <w:rFonts w:ascii="宋体"/>
                <w:vanish/>
              </w:rPr>
            </w:pPr>
          </w:p>
        </w:tc>
        <w:tc>
          <w:tcPr>
            <w:tcW w:w="0" w:type="auto"/>
            <w:gridSpan w:val="2"/>
            <w:shd w:val="clear" w:color="auto" w:fill="auto"/>
            <w:vAlign w:val="bottom"/>
          </w:tcPr>
          <w:p w14:paraId="71D3F9B6" w14:textId="77777777" w:rsidR="006A3667" w:rsidRDefault="006A3667">
            <w:pPr>
              <w:rPr>
                <w:rFonts w:ascii="宋体"/>
                <w:vanish/>
              </w:rPr>
            </w:pPr>
          </w:p>
        </w:tc>
        <w:tc>
          <w:tcPr>
            <w:tcW w:w="0" w:type="auto"/>
            <w:shd w:val="clear" w:color="auto" w:fill="auto"/>
            <w:vAlign w:val="bottom"/>
          </w:tcPr>
          <w:p w14:paraId="71D3F9B7" w14:textId="77777777" w:rsidR="006A3667" w:rsidRDefault="006A3667">
            <w:pPr>
              <w:rPr>
                <w:rFonts w:ascii="宋体"/>
                <w:vanish/>
              </w:rPr>
            </w:pPr>
          </w:p>
        </w:tc>
      </w:tr>
      <w:tr w:rsidR="006A3667" w14:paraId="71D3F9D1" w14:textId="77777777">
        <w:tc>
          <w:tcPr>
            <w:tcW w:w="0" w:type="auto"/>
            <w:gridSpan w:val="3"/>
            <w:shd w:val="clear" w:color="auto" w:fill="FFFFFF"/>
            <w:tcMar>
              <w:top w:w="40" w:type="dxa"/>
              <w:left w:w="20" w:type="dxa"/>
              <w:bottom w:w="40" w:type="dxa"/>
              <w:right w:w="20" w:type="dxa"/>
            </w:tcMar>
            <w:vAlign w:val="bottom"/>
          </w:tcPr>
          <w:p w14:paraId="71D3F9B9" w14:textId="77777777" w:rsidR="006A3667" w:rsidRDefault="00045F32">
            <w:pPr>
              <w:textAlignment w:val="bottom"/>
            </w:pPr>
            <w:r>
              <w:rPr>
                <w:rFonts w:ascii="Arial" w:eastAsia="宋体" w:hAnsi="Arial" w:cs="Arial"/>
                <w:color w:val="000000"/>
                <w:sz w:val="15"/>
                <w:szCs w:val="15"/>
              </w:rPr>
              <w:t>Provision for credit losses</w:t>
            </w:r>
          </w:p>
        </w:tc>
        <w:tc>
          <w:tcPr>
            <w:tcW w:w="0" w:type="auto"/>
            <w:shd w:val="clear" w:color="auto" w:fill="auto"/>
            <w:vAlign w:val="bottom"/>
          </w:tcPr>
          <w:p w14:paraId="71D3F9BA" w14:textId="77777777" w:rsidR="006A3667" w:rsidRDefault="006A3667">
            <w:pPr>
              <w:rPr>
                <w:rFonts w:ascii="宋体"/>
                <w:vanish/>
              </w:rPr>
            </w:pPr>
          </w:p>
        </w:tc>
        <w:tc>
          <w:tcPr>
            <w:tcW w:w="0" w:type="auto"/>
            <w:shd w:val="clear" w:color="auto" w:fill="auto"/>
            <w:vAlign w:val="bottom"/>
          </w:tcPr>
          <w:p w14:paraId="71D3F9BB" w14:textId="77777777" w:rsidR="006A3667" w:rsidRDefault="006A3667">
            <w:pPr>
              <w:rPr>
                <w:rFonts w:ascii="宋体"/>
                <w:vanish/>
              </w:rPr>
            </w:pPr>
          </w:p>
        </w:tc>
        <w:tc>
          <w:tcPr>
            <w:tcW w:w="0" w:type="auto"/>
            <w:shd w:val="clear" w:color="auto" w:fill="auto"/>
            <w:vAlign w:val="bottom"/>
          </w:tcPr>
          <w:p w14:paraId="71D3F9BC" w14:textId="77777777" w:rsidR="006A3667" w:rsidRDefault="006A3667">
            <w:pPr>
              <w:rPr>
                <w:rFonts w:ascii="宋体"/>
                <w:vanish/>
              </w:rPr>
            </w:pPr>
          </w:p>
        </w:tc>
        <w:tc>
          <w:tcPr>
            <w:tcW w:w="0" w:type="auto"/>
            <w:shd w:val="clear" w:color="auto" w:fill="auto"/>
            <w:vAlign w:val="bottom"/>
          </w:tcPr>
          <w:p w14:paraId="71D3F9BD" w14:textId="77777777" w:rsidR="006A3667" w:rsidRDefault="006A3667">
            <w:pPr>
              <w:rPr>
                <w:rFonts w:ascii="宋体"/>
                <w:vanish/>
              </w:rPr>
            </w:pPr>
          </w:p>
        </w:tc>
        <w:tc>
          <w:tcPr>
            <w:tcW w:w="0" w:type="auto"/>
            <w:shd w:val="clear" w:color="auto" w:fill="auto"/>
            <w:vAlign w:val="bottom"/>
          </w:tcPr>
          <w:p w14:paraId="71D3F9BE" w14:textId="77777777" w:rsidR="006A3667" w:rsidRDefault="006A3667">
            <w:pPr>
              <w:rPr>
                <w:rFonts w:ascii="宋体"/>
                <w:vanish/>
              </w:rPr>
            </w:pPr>
          </w:p>
        </w:tc>
        <w:tc>
          <w:tcPr>
            <w:tcW w:w="0" w:type="auto"/>
            <w:shd w:val="clear" w:color="auto" w:fill="auto"/>
            <w:vAlign w:val="bottom"/>
          </w:tcPr>
          <w:p w14:paraId="71D3F9BF"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9C0"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9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9C3" w14:textId="77777777" w:rsidR="006A3667" w:rsidRDefault="00045F32">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71D3F9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C5" w14:textId="77777777" w:rsidR="006A3667" w:rsidRDefault="006A3667">
            <w:pPr>
              <w:rPr>
                <w:rFonts w:ascii="宋体"/>
              </w:rPr>
            </w:pPr>
          </w:p>
        </w:tc>
        <w:tc>
          <w:tcPr>
            <w:tcW w:w="0" w:type="auto"/>
            <w:shd w:val="clear" w:color="auto" w:fill="auto"/>
            <w:vAlign w:val="bottom"/>
          </w:tcPr>
          <w:p w14:paraId="71D3F9C6" w14:textId="77777777" w:rsidR="006A3667" w:rsidRDefault="006A3667">
            <w:pPr>
              <w:rPr>
                <w:rFonts w:ascii="宋体"/>
                <w:vanish/>
              </w:rPr>
            </w:pPr>
          </w:p>
        </w:tc>
        <w:tc>
          <w:tcPr>
            <w:tcW w:w="0" w:type="auto"/>
            <w:shd w:val="clear" w:color="auto" w:fill="auto"/>
            <w:vAlign w:val="bottom"/>
          </w:tcPr>
          <w:p w14:paraId="71D3F9C7" w14:textId="77777777" w:rsidR="006A3667" w:rsidRDefault="006A3667">
            <w:pPr>
              <w:rPr>
                <w:rFonts w:ascii="宋体"/>
                <w:vanish/>
              </w:rPr>
            </w:pPr>
          </w:p>
        </w:tc>
        <w:tc>
          <w:tcPr>
            <w:tcW w:w="0" w:type="auto"/>
            <w:gridSpan w:val="3"/>
            <w:shd w:val="clear" w:color="auto" w:fill="FFFFFF"/>
            <w:tcMar>
              <w:top w:w="40" w:type="dxa"/>
              <w:left w:w="20" w:type="dxa"/>
              <w:bottom w:w="40" w:type="dxa"/>
              <w:right w:w="140" w:type="dxa"/>
            </w:tcMar>
            <w:vAlign w:val="bottom"/>
          </w:tcPr>
          <w:p w14:paraId="71D3F9C8"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F9C9" w14:textId="77777777" w:rsidR="006A3667" w:rsidRDefault="006A3667">
            <w:pPr>
              <w:rPr>
                <w:rFonts w:ascii="宋体"/>
                <w:vanish/>
              </w:rPr>
            </w:pPr>
          </w:p>
        </w:tc>
        <w:tc>
          <w:tcPr>
            <w:tcW w:w="0" w:type="auto"/>
            <w:gridSpan w:val="3"/>
            <w:shd w:val="clear" w:color="auto" w:fill="auto"/>
            <w:vAlign w:val="bottom"/>
          </w:tcPr>
          <w:p w14:paraId="71D3F9CA" w14:textId="77777777" w:rsidR="006A3667" w:rsidRDefault="006A3667">
            <w:pPr>
              <w:rPr>
                <w:rFonts w:ascii="宋体"/>
                <w:vanish/>
              </w:rPr>
            </w:pPr>
          </w:p>
        </w:tc>
        <w:tc>
          <w:tcPr>
            <w:tcW w:w="0" w:type="auto"/>
            <w:gridSpan w:val="3"/>
            <w:shd w:val="clear" w:color="auto" w:fill="auto"/>
            <w:vAlign w:val="bottom"/>
          </w:tcPr>
          <w:p w14:paraId="71D3F9CB" w14:textId="77777777" w:rsidR="006A3667" w:rsidRDefault="006A3667">
            <w:pPr>
              <w:rPr>
                <w:rFonts w:ascii="宋体"/>
                <w:vanish/>
              </w:rPr>
            </w:pPr>
          </w:p>
        </w:tc>
        <w:tc>
          <w:tcPr>
            <w:tcW w:w="0" w:type="auto"/>
            <w:gridSpan w:val="3"/>
            <w:shd w:val="clear" w:color="auto" w:fill="auto"/>
            <w:vAlign w:val="bottom"/>
          </w:tcPr>
          <w:p w14:paraId="71D3F9CC" w14:textId="77777777" w:rsidR="006A3667" w:rsidRDefault="006A3667">
            <w:pPr>
              <w:rPr>
                <w:rFonts w:ascii="宋体"/>
                <w:vanish/>
              </w:rPr>
            </w:pPr>
          </w:p>
        </w:tc>
        <w:tc>
          <w:tcPr>
            <w:tcW w:w="0" w:type="auto"/>
            <w:gridSpan w:val="3"/>
            <w:shd w:val="clear" w:color="auto" w:fill="auto"/>
            <w:vAlign w:val="bottom"/>
          </w:tcPr>
          <w:p w14:paraId="71D3F9CD" w14:textId="77777777" w:rsidR="006A3667" w:rsidRDefault="006A3667">
            <w:pPr>
              <w:rPr>
                <w:rFonts w:ascii="宋体"/>
                <w:vanish/>
              </w:rPr>
            </w:pPr>
          </w:p>
        </w:tc>
        <w:tc>
          <w:tcPr>
            <w:tcW w:w="0" w:type="auto"/>
            <w:gridSpan w:val="3"/>
            <w:shd w:val="clear" w:color="auto" w:fill="auto"/>
            <w:vAlign w:val="bottom"/>
          </w:tcPr>
          <w:p w14:paraId="71D3F9CE" w14:textId="77777777" w:rsidR="006A3667" w:rsidRDefault="006A3667">
            <w:pPr>
              <w:rPr>
                <w:rFonts w:ascii="宋体"/>
                <w:vanish/>
              </w:rPr>
            </w:pPr>
          </w:p>
        </w:tc>
        <w:tc>
          <w:tcPr>
            <w:tcW w:w="0" w:type="auto"/>
            <w:gridSpan w:val="2"/>
            <w:shd w:val="clear" w:color="auto" w:fill="auto"/>
            <w:vAlign w:val="bottom"/>
          </w:tcPr>
          <w:p w14:paraId="71D3F9CF" w14:textId="77777777" w:rsidR="006A3667" w:rsidRDefault="006A3667">
            <w:pPr>
              <w:rPr>
                <w:rFonts w:ascii="宋体"/>
                <w:vanish/>
              </w:rPr>
            </w:pPr>
          </w:p>
        </w:tc>
        <w:tc>
          <w:tcPr>
            <w:tcW w:w="0" w:type="auto"/>
            <w:shd w:val="clear" w:color="auto" w:fill="auto"/>
            <w:vAlign w:val="bottom"/>
          </w:tcPr>
          <w:p w14:paraId="71D3F9D0" w14:textId="77777777" w:rsidR="006A3667" w:rsidRDefault="006A3667">
            <w:pPr>
              <w:rPr>
                <w:rFonts w:ascii="宋体"/>
                <w:vanish/>
              </w:rPr>
            </w:pPr>
          </w:p>
        </w:tc>
      </w:tr>
      <w:tr w:rsidR="006A3667" w14:paraId="71D3F9EB" w14:textId="77777777">
        <w:tc>
          <w:tcPr>
            <w:tcW w:w="0" w:type="auto"/>
            <w:gridSpan w:val="3"/>
            <w:shd w:val="clear" w:color="auto" w:fill="CCEEFF"/>
            <w:tcMar>
              <w:top w:w="40" w:type="dxa"/>
              <w:left w:w="20" w:type="dxa"/>
              <w:bottom w:w="40" w:type="dxa"/>
              <w:right w:w="20" w:type="dxa"/>
            </w:tcMar>
            <w:vAlign w:val="bottom"/>
          </w:tcPr>
          <w:p w14:paraId="71D3F9D2" w14:textId="77777777" w:rsidR="006A3667" w:rsidRDefault="00045F32">
            <w:pPr>
              <w:textAlignment w:val="bottom"/>
            </w:pPr>
            <w:r>
              <w:rPr>
                <w:rFonts w:ascii="Arial" w:eastAsia="宋体" w:hAnsi="Arial" w:cs="Arial"/>
                <w:b/>
                <w:bCs/>
                <w:color w:val="000000"/>
                <w:sz w:val="15"/>
                <w:szCs w:val="15"/>
              </w:rPr>
              <w:t>Total expenses</w:t>
            </w:r>
          </w:p>
        </w:tc>
        <w:tc>
          <w:tcPr>
            <w:tcW w:w="0" w:type="auto"/>
            <w:shd w:val="clear" w:color="auto" w:fill="auto"/>
            <w:vAlign w:val="bottom"/>
          </w:tcPr>
          <w:p w14:paraId="71D3F9D3" w14:textId="77777777" w:rsidR="006A3667" w:rsidRDefault="006A3667">
            <w:pPr>
              <w:rPr>
                <w:rFonts w:ascii="宋体"/>
                <w:vanish/>
              </w:rPr>
            </w:pPr>
          </w:p>
        </w:tc>
        <w:tc>
          <w:tcPr>
            <w:tcW w:w="0" w:type="auto"/>
            <w:shd w:val="clear" w:color="auto" w:fill="auto"/>
            <w:vAlign w:val="bottom"/>
          </w:tcPr>
          <w:p w14:paraId="71D3F9D4" w14:textId="77777777" w:rsidR="006A3667" w:rsidRDefault="006A3667">
            <w:pPr>
              <w:rPr>
                <w:rFonts w:ascii="宋体"/>
                <w:vanish/>
              </w:rPr>
            </w:pPr>
          </w:p>
        </w:tc>
        <w:tc>
          <w:tcPr>
            <w:tcW w:w="0" w:type="auto"/>
            <w:shd w:val="clear" w:color="auto" w:fill="auto"/>
            <w:vAlign w:val="bottom"/>
          </w:tcPr>
          <w:p w14:paraId="71D3F9D5" w14:textId="77777777" w:rsidR="006A3667" w:rsidRDefault="006A3667">
            <w:pPr>
              <w:rPr>
                <w:rFonts w:ascii="宋体"/>
                <w:vanish/>
              </w:rPr>
            </w:pPr>
          </w:p>
        </w:tc>
        <w:tc>
          <w:tcPr>
            <w:tcW w:w="0" w:type="auto"/>
            <w:shd w:val="clear" w:color="auto" w:fill="auto"/>
            <w:vAlign w:val="bottom"/>
          </w:tcPr>
          <w:p w14:paraId="71D3F9D6" w14:textId="77777777" w:rsidR="006A3667" w:rsidRDefault="006A3667">
            <w:pPr>
              <w:rPr>
                <w:rFonts w:ascii="宋体"/>
                <w:vanish/>
              </w:rPr>
            </w:pPr>
          </w:p>
        </w:tc>
        <w:tc>
          <w:tcPr>
            <w:tcW w:w="0" w:type="auto"/>
            <w:shd w:val="clear" w:color="auto" w:fill="auto"/>
            <w:vAlign w:val="bottom"/>
          </w:tcPr>
          <w:p w14:paraId="71D3F9D7" w14:textId="77777777" w:rsidR="006A3667" w:rsidRDefault="006A3667">
            <w:pPr>
              <w:rPr>
                <w:rFonts w:ascii="宋体"/>
                <w:vanish/>
              </w:rPr>
            </w:pPr>
          </w:p>
        </w:tc>
        <w:tc>
          <w:tcPr>
            <w:tcW w:w="0" w:type="auto"/>
            <w:shd w:val="clear" w:color="auto" w:fill="auto"/>
            <w:vAlign w:val="bottom"/>
          </w:tcPr>
          <w:p w14:paraId="71D3F9D8"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9D9" w14:textId="77777777" w:rsidR="006A3667" w:rsidRDefault="00045F32">
            <w:pPr>
              <w:jc w:val="right"/>
              <w:textAlignment w:val="bottom"/>
            </w:pPr>
            <w:r>
              <w:rPr>
                <w:rFonts w:ascii="Arial" w:eastAsia="宋体" w:hAnsi="Arial" w:cs="Arial"/>
                <w:b/>
                <w:bCs/>
                <w:color w:val="000000"/>
                <w:sz w:val="15"/>
                <w:szCs w:val="15"/>
              </w:rPr>
              <w:t>1,760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9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9D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9DC" w14:textId="77777777" w:rsidR="006A3667" w:rsidRDefault="00045F32">
            <w:pPr>
              <w:jc w:val="right"/>
              <w:textAlignment w:val="bottom"/>
            </w:pPr>
            <w:r>
              <w:rPr>
                <w:rFonts w:ascii="Arial" w:eastAsia="宋体" w:hAnsi="Arial" w:cs="Arial"/>
                <w:color w:val="000000"/>
                <w:sz w:val="15"/>
                <w:szCs w:val="15"/>
              </w:rPr>
              <w:t>1,755 </w:t>
            </w:r>
          </w:p>
        </w:tc>
        <w:tc>
          <w:tcPr>
            <w:tcW w:w="0" w:type="auto"/>
            <w:shd w:val="clear" w:color="auto" w:fill="CCEEFF"/>
            <w:tcMar>
              <w:top w:w="40" w:type="dxa"/>
              <w:left w:w="0" w:type="dxa"/>
              <w:bottom w:w="40" w:type="dxa"/>
              <w:right w:w="20" w:type="dxa"/>
            </w:tcMar>
            <w:vAlign w:val="bottom"/>
          </w:tcPr>
          <w:p w14:paraId="71D3F9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9DE" w14:textId="77777777" w:rsidR="006A3667" w:rsidRDefault="006A3667">
            <w:pPr>
              <w:rPr>
                <w:rFonts w:ascii="宋体"/>
              </w:rPr>
            </w:pPr>
          </w:p>
        </w:tc>
        <w:tc>
          <w:tcPr>
            <w:tcW w:w="0" w:type="auto"/>
            <w:shd w:val="clear" w:color="auto" w:fill="auto"/>
            <w:vAlign w:val="bottom"/>
          </w:tcPr>
          <w:p w14:paraId="71D3F9DF" w14:textId="77777777" w:rsidR="006A3667" w:rsidRDefault="006A3667">
            <w:pPr>
              <w:rPr>
                <w:rFonts w:ascii="宋体"/>
                <w:vanish/>
              </w:rPr>
            </w:pPr>
          </w:p>
        </w:tc>
        <w:tc>
          <w:tcPr>
            <w:tcW w:w="0" w:type="auto"/>
            <w:shd w:val="clear" w:color="auto" w:fill="auto"/>
            <w:vAlign w:val="bottom"/>
          </w:tcPr>
          <w:p w14:paraId="71D3F9E0"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9E1"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9E2" w14:textId="77777777" w:rsidR="006A3667" w:rsidRDefault="006A3667">
            <w:pPr>
              <w:jc w:val="right"/>
              <w:rPr>
                <w:rFonts w:ascii="宋体"/>
              </w:rPr>
            </w:pPr>
          </w:p>
        </w:tc>
        <w:tc>
          <w:tcPr>
            <w:tcW w:w="0" w:type="auto"/>
            <w:gridSpan w:val="3"/>
            <w:shd w:val="clear" w:color="auto" w:fill="auto"/>
            <w:vAlign w:val="bottom"/>
          </w:tcPr>
          <w:p w14:paraId="71D3F9E3" w14:textId="77777777" w:rsidR="006A3667" w:rsidRDefault="006A3667">
            <w:pPr>
              <w:rPr>
                <w:rFonts w:ascii="宋体"/>
                <w:vanish/>
              </w:rPr>
            </w:pPr>
          </w:p>
        </w:tc>
        <w:tc>
          <w:tcPr>
            <w:tcW w:w="0" w:type="auto"/>
            <w:gridSpan w:val="3"/>
            <w:shd w:val="clear" w:color="auto" w:fill="auto"/>
            <w:vAlign w:val="bottom"/>
          </w:tcPr>
          <w:p w14:paraId="71D3F9E4" w14:textId="77777777" w:rsidR="006A3667" w:rsidRDefault="006A3667">
            <w:pPr>
              <w:rPr>
                <w:rFonts w:ascii="宋体"/>
                <w:vanish/>
              </w:rPr>
            </w:pPr>
          </w:p>
        </w:tc>
        <w:tc>
          <w:tcPr>
            <w:tcW w:w="0" w:type="auto"/>
            <w:gridSpan w:val="3"/>
            <w:shd w:val="clear" w:color="auto" w:fill="auto"/>
            <w:vAlign w:val="bottom"/>
          </w:tcPr>
          <w:p w14:paraId="71D3F9E5" w14:textId="77777777" w:rsidR="006A3667" w:rsidRDefault="006A3667">
            <w:pPr>
              <w:rPr>
                <w:rFonts w:ascii="宋体"/>
                <w:vanish/>
              </w:rPr>
            </w:pPr>
          </w:p>
        </w:tc>
        <w:tc>
          <w:tcPr>
            <w:tcW w:w="0" w:type="auto"/>
            <w:gridSpan w:val="3"/>
            <w:shd w:val="clear" w:color="auto" w:fill="auto"/>
            <w:vAlign w:val="bottom"/>
          </w:tcPr>
          <w:p w14:paraId="71D3F9E6" w14:textId="77777777" w:rsidR="006A3667" w:rsidRDefault="006A3667">
            <w:pPr>
              <w:rPr>
                <w:rFonts w:ascii="宋体"/>
                <w:vanish/>
              </w:rPr>
            </w:pPr>
          </w:p>
        </w:tc>
        <w:tc>
          <w:tcPr>
            <w:tcW w:w="0" w:type="auto"/>
            <w:gridSpan w:val="3"/>
            <w:shd w:val="clear" w:color="auto" w:fill="auto"/>
            <w:vAlign w:val="bottom"/>
          </w:tcPr>
          <w:p w14:paraId="71D3F9E7" w14:textId="77777777" w:rsidR="006A3667" w:rsidRDefault="006A3667">
            <w:pPr>
              <w:rPr>
                <w:rFonts w:ascii="宋体"/>
                <w:vanish/>
              </w:rPr>
            </w:pPr>
          </w:p>
        </w:tc>
        <w:tc>
          <w:tcPr>
            <w:tcW w:w="0" w:type="auto"/>
            <w:gridSpan w:val="3"/>
            <w:shd w:val="clear" w:color="auto" w:fill="auto"/>
            <w:vAlign w:val="bottom"/>
          </w:tcPr>
          <w:p w14:paraId="71D3F9E8" w14:textId="77777777" w:rsidR="006A3667" w:rsidRDefault="006A3667">
            <w:pPr>
              <w:rPr>
                <w:rFonts w:ascii="宋体"/>
                <w:vanish/>
              </w:rPr>
            </w:pPr>
          </w:p>
        </w:tc>
        <w:tc>
          <w:tcPr>
            <w:tcW w:w="0" w:type="auto"/>
            <w:gridSpan w:val="2"/>
            <w:shd w:val="clear" w:color="auto" w:fill="auto"/>
            <w:vAlign w:val="bottom"/>
          </w:tcPr>
          <w:p w14:paraId="71D3F9E9" w14:textId="77777777" w:rsidR="006A3667" w:rsidRDefault="006A3667">
            <w:pPr>
              <w:rPr>
                <w:rFonts w:ascii="宋体"/>
                <w:vanish/>
              </w:rPr>
            </w:pPr>
          </w:p>
        </w:tc>
        <w:tc>
          <w:tcPr>
            <w:tcW w:w="0" w:type="auto"/>
            <w:shd w:val="clear" w:color="auto" w:fill="auto"/>
            <w:vAlign w:val="bottom"/>
          </w:tcPr>
          <w:p w14:paraId="71D3F9EA" w14:textId="77777777" w:rsidR="006A3667" w:rsidRDefault="006A3667">
            <w:pPr>
              <w:rPr>
                <w:rFonts w:ascii="宋体"/>
                <w:vanish/>
              </w:rPr>
            </w:pPr>
          </w:p>
        </w:tc>
      </w:tr>
      <w:tr w:rsidR="006A3667" w14:paraId="71D3FA07" w14:textId="77777777">
        <w:tc>
          <w:tcPr>
            <w:tcW w:w="0" w:type="auto"/>
            <w:gridSpan w:val="3"/>
            <w:shd w:val="clear" w:color="auto" w:fill="FFFFFF"/>
            <w:tcMar>
              <w:top w:w="40" w:type="dxa"/>
              <w:left w:w="20" w:type="dxa"/>
              <w:bottom w:w="40" w:type="dxa"/>
              <w:right w:w="20" w:type="dxa"/>
            </w:tcMar>
            <w:vAlign w:val="bottom"/>
          </w:tcPr>
          <w:p w14:paraId="71D3F9EC" w14:textId="77777777" w:rsidR="006A3667" w:rsidRDefault="00045F32">
            <w:pPr>
              <w:textAlignment w:val="bottom"/>
            </w:pPr>
            <w:r>
              <w:rPr>
                <w:rFonts w:ascii="Arial" w:eastAsia="宋体" w:hAnsi="Arial" w:cs="Arial"/>
                <w:b/>
                <w:bCs/>
                <w:color w:val="000000"/>
                <w:sz w:val="15"/>
                <w:szCs w:val="15"/>
              </w:rPr>
              <w:t>Income before income tax expense</w:t>
            </w:r>
          </w:p>
        </w:tc>
        <w:tc>
          <w:tcPr>
            <w:tcW w:w="0" w:type="auto"/>
            <w:shd w:val="clear" w:color="auto" w:fill="auto"/>
            <w:vAlign w:val="bottom"/>
          </w:tcPr>
          <w:p w14:paraId="71D3F9ED" w14:textId="77777777" w:rsidR="006A3667" w:rsidRDefault="006A3667">
            <w:pPr>
              <w:rPr>
                <w:rFonts w:ascii="宋体"/>
                <w:vanish/>
              </w:rPr>
            </w:pPr>
          </w:p>
        </w:tc>
        <w:tc>
          <w:tcPr>
            <w:tcW w:w="0" w:type="auto"/>
            <w:shd w:val="clear" w:color="auto" w:fill="auto"/>
            <w:vAlign w:val="bottom"/>
          </w:tcPr>
          <w:p w14:paraId="71D3F9EE" w14:textId="77777777" w:rsidR="006A3667" w:rsidRDefault="006A3667">
            <w:pPr>
              <w:rPr>
                <w:rFonts w:ascii="宋体"/>
                <w:vanish/>
              </w:rPr>
            </w:pPr>
          </w:p>
        </w:tc>
        <w:tc>
          <w:tcPr>
            <w:tcW w:w="0" w:type="auto"/>
            <w:shd w:val="clear" w:color="auto" w:fill="auto"/>
            <w:vAlign w:val="bottom"/>
          </w:tcPr>
          <w:p w14:paraId="71D3F9EF" w14:textId="77777777" w:rsidR="006A3667" w:rsidRDefault="006A3667">
            <w:pPr>
              <w:rPr>
                <w:rFonts w:ascii="宋体"/>
                <w:vanish/>
              </w:rPr>
            </w:pPr>
          </w:p>
        </w:tc>
        <w:tc>
          <w:tcPr>
            <w:tcW w:w="0" w:type="auto"/>
            <w:shd w:val="clear" w:color="auto" w:fill="auto"/>
            <w:vAlign w:val="bottom"/>
          </w:tcPr>
          <w:p w14:paraId="71D3F9F0" w14:textId="77777777" w:rsidR="006A3667" w:rsidRDefault="006A3667">
            <w:pPr>
              <w:rPr>
                <w:rFonts w:ascii="宋体"/>
                <w:vanish/>
              </w:rPr>
            </w:pPr>
          </w:p>
        </w:tc>
        <w:tc>
          <w:tcPr>
            <w:tcW w:w="0" w:type="auto"/>
            <w:shd w:val="clear" w:color="auto" w:fill="auto"/>
            <w:vAlign w:val="bottom"/>
          </w:tcPr>
          <w:p w14:paraId="71D3F9F1" w14:textId="77777777" w:rsidR="006A3667" w:rsidRDefault="006A3667">
            <w:pPr>
              <w:rPr>
                <w:rFonts w:ascii="宋体"/>
                <w:vanish/>
              </w:rPr>
            </w:pPr>
          </w:p>
        </w:tc>
        <w:tc>
          <w:tcPr>
            <w:tcW w:w="0" w:type="auto"/>
            <w:shd w:val="clear" w:color="auto" w:fill="auto"/>
            <w:vAlign w:val="bottom"/>
          </w:tcPr>
          <w:p w14:paraId="71D3F9F2"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9F3"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9F4" w14:textId="77777777" w:rsidR="006A3667" w:rsidRDefault="00045F32">
            <w:pPr>
              <w:jc w:val="right"/>
              <w:textAlignment w:val="bottom"/>
            </w:pPr>
            <w:r>
              <w:rPr>
                <w:rFonts w:ascii="Arial" w:eastAsia="宋体" w:hAnsi="Arial" w:cs="Arial"/>
                <w:b/>
                <w:bCs/>
                <w:color w:val="000000"/>
                <w:sz w:val="15"/>
                <w:szCs w:val="15"/>
              </w:rPr>
              <w:t>716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9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F6"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9F7"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9F8" w14:textId="77777777" w:rsidR="006A3667" w:rsidRDefault="00045F32">
            <w:pPr>
              <w:jc w:val="right"/>
              <w:textAlignment w:val="bottom"/>
            </w:pPr>
            <w:r>
              <w:rPr>
                <w:rFonts w:ascii="Arial" w:eastAsia="宋体" w:hAnsi="Arial" w:cs="Arial"/>
                <w:color w:val="000000"/>
                <w:sz w:val="15"/>
                <w:szCs w:val="15"/>
              </w:rPr>
              <w:t>705 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9F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9FA" w14:textId="77777777" w:rsidR="006A3667" w:rsidRDefault="006A3667">
            <w:pPr>
              <w:rPr>
                <w:rFonts w:ascii="宋体"/>
              </w:rPr>
            </w:pPr>
          </w:p>
        </w:tc>
        <w:tc>
          <w:tcPr>
            <w:tcW w:w="0" w:type="auto"/>
            <w:shd w:val="clear" w:color="auto" w:fill="auto"/>
            <w:vAlign w:val="bottom"/>
          </w:tcPr>
          <w:p w14:paraId="71D3F9FB" w14:textId="77777777" w:rsidR="006A3667" w:rsidRDefault="006A3667">
            <w:pPr>
              <w:rPr>
                <w:rFonts w:ascii="宋体"/>
                <w:vanish/>
              </w:rPr>
            </w:pPr>
          </w:p>
        </w:tc>
        <w:tc>
          <w:tcPr>
            <w:tcW w:w="0" w:type="auto"/>
            <w:shd w:val="clear" w:color="auto" w:fill="auto"/>
            <w:vAlign w:val="bottom"/>
          </w:tcPr>
          <w:p w14:paraId="71D3F9FC"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9FD"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3F9FE" w14:textId="77777777" w:rsidR="006A3667" w:rsidRDefault="006A3667">
            <w:pPr>
              <w:jc w:val="right"/>
              <w:rPr>
                <w:rFonts w:ascii="宋体"/>
              </w:rPr>
            </w:pPr>
          </w:p>
        </w:tc>
        <w:tc>
          <w:tcPr>
            <w:tcW w:w="0" w:type="auto"/>
            <w:gridSpan w:val="3"/>
            <w:shd w:val="clear" w:color="auto" w:fill="auto"/>
            <w:vAlign w:val="bottom"/>
          </w:tcPr>
          <w:p w14:paraId="71D3F9FF" w14:textId="77777777" w:rsidR="006A3667" w:rsidRDefault="006A3667">
            <w:pPr>
              <w:rPr>
                <w:rFonts w:ascii="宋体"/>
                <w:vanish/>
              </w:rPr>
            </w:pPr>
          </w:p>
        </w:tc>
        <w:tc>
          <w:tcPr>
            <w:tcW w:w="0" w:type="auto"/>
            <w:gridSpan w:val="3"/>
            <w:shd w:val="clear" w:color="auto" w:fill="auto"/>
            <w:vAlign w:val="bottom"/>
          </w:tcPr>
          <w:p w14:paraId="71D3FA00" w14:textId="77777777" w:rsidR="006A3667" w:rsidRDefault="006A3667">
            <w:pPr>
              <w:rPr>
                <w:rFonts w:ascii="宋体"/>
                <w:vanish/>
              </w:rPr>
            </w:pPr>
          </w:p>
        </w:tc>
        <w:tc>
          <w:tcPr>
            <w:tcW w:w="0" w:type="auto"/>
            <w:gridSpan w:val="3"/>
            <w:shd w:val="clear" w:color="auto" w:fill="auto"/>
            <w:vAlign w:val="bottom"/>
          </w:tcPr>
          <w:p w14:paraId="71D3FA01" w14:textId="77777777" w:rsidR="006A3667" w:rsidRDefault="006A3667">
            <w:pPr>
              <w:rPr>
                <w:rFonts w:ascii="宋体"/>
                <w:vanish/>
              </w:rPr>
            </w:pPr>
          </w:p>
        </w:tc>
        <w:tc>
          <w:tcPr>
            <w:tcW w:w="0" w:type="auto"/>
            <w:gridSpan w:val="3"/>
            <w:shd w:val="clear" w:color="auto" w:fill="auto"/>
            <w:vAlign w:val="bottom"/>
          </w:tcPr>
          <w:p w14:paraId="71D3FA02" w14:textId="77777777" w:rsidR="006A3667" w:rsidRDefault="006A3667">
            <w:pPr>
              <w:rPr>
                <w:rFonts w:ascii="宋体"/>
                <w:vanish/>
              </w:rPr>
            </w:pPr>
          </w:p>
        </w:tc>
        <w:tc>
          <w:tcPr>
            <w:tcW w:w="0" w:type="auto"/>
            <w:gridSpan w:val="3"/>
            <w:shd w:val="clear" w:color="auto" w:fill="auto"/>
            <w:vAlign w:val="bottom"/>
          </w:tcPr>
          <w:p w14:paraId="71D3FA03" w14:textId="77777777" w:rsidR="006A3667" w:rsidRDefault="006A3667">
            <w:pPr>
              <w:rPr>
                <w:rFonts w:ascii="宋体"/>
                <w:vanish/>
              </w:rPr>
            </w:pPr>
          </w:p>
        </w:tc>
        <w:tc>
          <w:tcPr>
            <w:tcW w:w="0" w:type="auto"/>
            <w:gridSpan w:val="3"/>
            <w:shd w:val="clear" w:color="auto" w:fill="auto"/>
            <w:vAlign w:val="bottom"/>
          </w:tcPr>
          <w:p w14:paraId="71D3FA04" w14:textId="77777777" w:rsidR="006A3667" w:rsidRDefault="006A3667">
            <w:pPr>
              <w:rPr>
                <w:rFonts w:ascii="宋体"/>
                <w:vanish/>
              </w:rPr>
            </w:pPr>
          </w:p>
        </w:tc>
        <w:tc>
          <w:tcPr>
            <w:tcW w:w="0" w:type="auto"/>
            <w:gridSpan w:val="2"/>
            <w:shd w:val="clear" w:color="auto" w:fill="auto"/>
            <w:vAlign w:val="bottom"/>
          </w:tcPr>
          <w:p w14:paraId="71D3FA05" w14:textId="77777777" w:rsidR="006A3667" w:rsidRDefault="006A3667">
            <w:pPr>
              <w:rPr>
                <w:rFonts w:ascii="宋体"/>
                <w:vanish/>
              </w:rPr>
            </w:pPr>
          </w:p>
        </w:tc>
        <w:tc>
          <w:tcPr>
            <w:tcW w:w="0" w:type="auto"/>
            <w:shd w:val="clear" w:color="auto" w:fill="auto"/>
            <w:vAlign w:val="bottom"/>
          </w:tcPr>
          <w:p w14:paraId="71D3FA06" w14:textId="77777777" w:rsidR="006A3667" w:rsidRDefault="006A3667">
            <w:pPr>
              <w:rPr>
                <w:rFonts w:ascii="宋体"/>
                <w:vanish/>
              </w:rPr>
            </w:pPr>
          </w:p>
        </w:tc>
      </w:tr>
      <w:tr w:rsidR="006A3667" w14:paraId="71D3FA20" w14:textId="77777777">
        <w:tc>
          <w:tcPr>
            <w:tcW w:w="0" w:type="auto"/>
            <w:gridSpan w:val="3"/>
            <w:shd w:val="clear" w:color="auto" w:fill="CCEEFF"/>
            <w:tcMar>
              <w:top w:w="40" w:type="dxa"/>
              <w:left w:w="20" w:type="dxa"/>
              <w:bottom w:w="40" w:type="dxa"/>
              <w:right w:w="20" w:type="dxa"/>
            </w:tcMar>
            <w:vAlign w:val="bottom"/>
          </w:tcPr>
          <w:p w14:paraId="71D3FA08" w14:textId="77777777" w:rsidR="006A3667" w:rsidRDefault="00045F32">
            <w:pPr>
              <w:textAlignment w:val="bottom"/>
            </w:pPr>
            <w:r>
              <w:rPr>
                <w:rFonts w:ascii="Arial" w:eastAsia="宋体" w:hAnsi="Arial" w:cs="Arial"/>
                <w:color w:val="000000"/>
                <w:sz w:val="15"/>
                <w:szCs w:val="15"/>
              </w:rPr>
              <w:t>Pre-tax margin</w:t>
            </w:r>
          </w:p>
        </w:tc>
        <w:tc>
          <w:tcPr>
            <w:tcW w:w="0" w:type="auto"/>
            <w:shd w:val="clear" w:color="auto" w:fill="auto"/>
            <w:vAlign w:val="bottom"/>
          </w:tcPr>
          <w:p w14:paraId="71D3FA09" w14:textId="77777777" w:rsidR="006A3667" w:rsidRDefault="006A3667">
            <w:pPr>
              <w:rPr>
                <w:rFonts w:ascii="宋体"/>
                <w:vanish/>
              </w:rPr>
            </w:pPr>
          </w:p>
        </w:tc>
        <w:tc>
          <w:tcPr>
            <w:tcW w:w="0" w:type="auto"/>
            <w:shd w:val="clear" w:color="auto" w:fill="auto"/>
            <w:vAlign w:val="bottom"/>
          </w:tcPr>
          <w:p w14:paraId="71D3FA0A" w14:textId="77777777" w:rsidR="006A3667" w:rsidRDefault="006A3667">
            <w:pPr>
              <w:rPr>
                <w:rFonts w:ascii="宋体"/>
                <w:vanish/>
              </w:rPr>
            </w:pPr>
          </w:p>
        </w:tc>
        <w:tc>
          <w:tcPr>
            <w:tcW w:w="0" w:type="auto"/>
            <w:shd w:val="clear" w:color="auto" w:fill="auto"/>
            <w:vAlign w:val="bottom"/>
          </w:tcPr>
          <w:p w14:paraId="71D3FA0B" w14:textId="77777777" w:rsidR="006A3667" w:rsidRDefault="006A3667">
            <w:pPr>
              <w:rPr>
                <w:rFonts w:ascii="宋体"/>
                <w:vanish/>
              </w:rPr>
            </w:pPr>
          </w:p>
        </w:tc>
        <w:tc>
          <w:tcPr>
            <w:tcW w:w="0" w:type="auto"/>
            <w:shd w:val="clear" w:color="auto" w:fill="auto"/>
            <w:vAlign w:val="bottom"/>
          </w:tcPr>
          <w:p w14:paraId="71D3FA0C" w14:textId="77777777" w:rsidR="006A3667" w:rsidRDefault="006A3667">
            <w:pPr>
              <w:rPr>
                <w:rFonts w:ascii="宋体"/>
                <w:vanish/>
              </w:rPr>
            </w:pPr>
          </w:p>
        </w:tc>
        <w:tc>
          <w:tcPr>
            <w:tcW w:w="0" w:type="auto"/>
            <w:shd w:val="clear" w:color="auto" w:fill="auto"/>
            <w:vAlign w:val="bottom"/>
          </w:tcPr>
          <w:p w14:paraId="71D3FA0D" w14:textId="77777777" w:rsidR="006A3667" w:rsidRDefault="006A3667">
            <w:pPr>
              <w:rPr>
                <w:rFonts w:ascii="宋体"/>
                <w:vanish/>
              </w:rPr>
            </w:pPr>
          </w:p>
        </w:tc>
        <w:tc>
          <w:tcPr>
            <w:tcW w:w="0" w:type="auto"/>
            <w:shd w:val="clear" w:color="auto" w:fill="auto"/>
            <w:vAlign w:val="bottom"/>
          </w:tcPr>
          <w:p w14:paraId="71D3FA0E" w14:textId="77777777" w:rsidR="006A3667" w:rsidRDefault="006A3667">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A0F" w14:textId="77777777" w:rsidR="006A3667" w:rsidRDefault="00045F32">
            <w:pPr>
              <w:jc w:val="right"/>
              <w:textAlignment w:val="bottom"/>
            </w:pPr>
            <w:r>
              <w:rPr>
                <w:rFonts w:ascii="Arial" w:eastAsia="宋体" w:hAnsi="Arial" w:cs="Arial"/>
                <w:b/>
                <w:bCs/>
                <w:color w:val="000000"/>
                <w:sz w:val="15"/>
                <w:szCs w:val="15"/>
              </w:rPr>
              <w:t>28.9</w:t>
            </w:r>
            <w:r>
              <w:rPr>
                <w:rFonts w:ascii="Arial" w:eastAsia="宋体" w:hAnsi="Arial" w:cs="Arial"/>
                <w:color w:val="000000"/>
                <w:sz w:val="15"/>
                <w:szCs w:val="15"/>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A10" w14:textId="77777777" w:rsidR="006A3667" w:rsidRDefault="00045F32">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3FA11"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A12" w14:textId="77777777" w:rsidR="006A3667" w:rsidRDefault="00045F32">
            <w:pPr>
              <w:jc w:val="right"/>
              <w:textAlignment w:val="bottom"/>
            </w:pPr>
            <w:r>
              <w:rPr>
                <w:rFonts w:ascii="Arial" w:eastAsia="宋体" w:hAnsi="Arial" w:cs="Arial"/>
                <w:color w:val="000000"/>
                <w:sz w:val="15"/>
                <w:szCs w:val="15"/>
              </w:rPr>
              <w:t>28.7 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A13"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3FA14" w14:textId="77777777" w:rsidR="006A3667" w:rsidRDefault="006A3667">
            <w:pPr>
              <w:rPr>
                <w:rFonts w:ascii="宋体"/>
              </w:rPr>
            </w:pPr>
          </w:p>
        </w:tc>
        <w:tc>
          <w:tcPr>
            <w:tcW w:w="0" w:type="auto"/>
            <w:shd w:val="clear" w:color="auto" w:fill="auto"/>
            <w:vAlign w:val="bottom"/>
          </w:tcPr>
          <w:p w14:paraId="71D3FA15" w14:textId="77777777" w:rsidR="006A3667" w:rsidRDefault="006A3667">
            <w:pPr>
              <w:rPr>
                <w:rFonts w:ascii="宋体"/>
                <w:vanish/>
              </w:rPr>
            </w:pPr>
          </w:p>
        </w:tc>
        <w:tc>
          <w:tcPr>
            <w:tcW w:w="0" w:type="auto"/>
            <w:shd w:val="clear" w:color="auto" w:fill="auto"/>
            <w:vAlign w:val="bottom"/>
          </w:tcPr>
          <w:p w14:paraId="71D3FA16" w14:textId="77777777" w:rsidR="006A3667" w:rsidRDefault="006A3667">
            <w:pPr>
              <w:rPr>
                <w:rFonts w:ascii="宋体"/>
                <w:vanish/>
              </w:rPr>
            </w:pPr>
          </w:p>
        </w:tc>
        <w:tc>
          <w:tcPr>
            <w:tcW w:w="0" w:type="auto"/>
            <w:gridSpan w:val="3"/>
            <w:shd w:val="clear" w:color="auto" w:fill="CCEEFF"/>
            <w:tcMar>
              <w:top w:w="40" w:type="dxa"/>
              <w:left w:w="20" w:type="dxa"/>
              <w:bottom w:w="40" w:type="dxa"/>
              <w:right w:w="20" w:type="dxa"/>
            </w:tcMar>
            <w:vAlign w:val="bottom"/>
          </w:tcPr>
          <w:p w14:paraId="71D3FA17" w14:textId="77777777" w:rsidR="006A3667" w:rsidRDefault="00045F32">
            <w:pPr>
              <w:jc w:val="right"/>
              <w:textAlignment w:val="bottom"/>
            </w:pPr>
            <w:r>
              <w:rPr>
                <w:rFonts w:ascii="Arial" w:eastAsia="宋体" w:hAnsi="Arial" w:cs="Arial"/>
                <w:color w:val="000000"/>
                <w:sz w:val="15"/>
                <w:szCs w:val="15"/>
              </w:rPr>
              <w:t>20 bps</w:t>
            </w:r>
          </w:p>
        </w:tc>
        <w:tc>
          <w:tcPr>
            <w:tcW w:w="0" w:type="auto"/>
            <w:gridSpan w:val="3"/>
            <w:shd w:val="clear" w:color="auto" w:fill="auto"/>
            <w:vAlign w:val="bottom"/>
          </w:tcPr>
          <w:p w14:paraId="71D3FA18" w14:textId="77777777" w:rsidR="006A3667" w:rsidRDefault="006A3667">
            <w:pPr>
              <w:rPr>
                <w:rFonts w:ascii="宋体"/>
                <w:vanish/>
              </w:rPr>
            </w:pPr>
          </w:p>
        </w:tc>
        <w:tc>
          <w:tcPr>
            <w:tcW w:w="0" w:type="auto"/>
            <w:gridSpan w:val="3"/>
            <w:shd w:val="clear" w:color="auto" w:fill="auto"/>
            <w:vAlign w:val="bottom"/>
          </w:tcPr>
          <w:p w14:paraId="71D3FA19" w14:textId="77777777" w:rsidR="006A3667" w:rsidRDefault="006A3667">
            <w:pPr>
              <w:rPr>
                <w:rFonts w:ascii="宋体"/>
                <w:vanish/>
              </w:rPr>
            </w:pPr>
          </w:p>
        </w:tc>
        <w:tc>
          <w:tcPr>
            <w:tcW w:w="0" w:type="auto"/>
            <w:gridSpan w:val="3"/>
            <w:shd w:val="clear" w:color="auto" w:fill="auto"/>
            <w:vAlign w:val="bottom"/>
          </w:tcPr>
          <w:p w14:paraId="71D3FA1A" w14:textId="77777777" w:rsidR="006A3667" w:rsidRDefault="006A3667">
            <w:pPr>
              <w:rPr>
                <w:rFonts w:ascii="宋体"/>
                <w:vanish/>
              </w:rPr>
            </w:pPr>
          </w:p>
        </w:tc>
        <w:tc>
          <w:tcPr>
            <w:tcW w:w="0" w:type="auto"/>
            <w:gridSpan w:val="3"/>
            <w:shd w:val="clear" w:color="auto" w:fill="auto"/>
            <w:vAlign w:val="bottom"/>
          </w:tcPr>
          <w:p w14:paraId="71D3FA1B" w14:textId="77777777" w:rsidR="006A3667" w:rsidRDefault="006A3667">
            <w:pPr>
              <w:rPr>
                <w:rFonts w:ascii="宋体"/>
                <w:vanish/>
              </w:rPr>
            </w:pPr>
          </w:p>
        </w:tc>
        <w:tc>
          <w:tcPr>
            <w:tcW w:w="0" w:type="auto"/>
            <w:gridSpan w:val="3"/>
            <w:shd w:val="clear" w:color="auto" w:fill="auto"/>
            <w:vAlign w:val="bottom"/>
          </w:tcPr>
          <w:p w14:paraId="71D3FA1C" w14:textId="77777777" w:rsidR="006A3667" w:rsidRDefault="006A3667">
            <w:pPr>
              <w:rPr>
                <w:rFonts w:ascii="宋体"/>
                <w:vanish/>
              </w:rPr>
            </w:pPr>
          </w:p>
        </w:tc>
        <w:tc>
          <w:tcPr>
            <w:tcW w:w="0" w:type="auto"/>
            <w:gridSpan w:val="3"/>
            <w:shd w:val="clear" w:color="auto" w:fill="auto"/>
            <w:vAlign w:val="bottom"/>
          </w:tcPr>
          <w:p w14:paraId="71D3FA1D" w14:textId="77777777" w:rsidR="006A3667" w:rsidRDefault="006A3667">
            <w:pPr>
              <w:rPr>
                <w:rFonts w:ascii="宋体"/>
                <w:vanish/>
              </w:rPr>
            </w:pPr>
          </w:p>
        </w:tc>
        <w:tc>
          <w:tcPr>
            <w:tcW w:w="0" w:type="auto"/>
            <w:gridSpan w:val="2"/>
            <w:shd w:val="clear" w:color="auto" w:fill="auto"/>
            <w:vAlign w:val="bottom"/>
          </w:tcPr>
          <w:p w14:paraId="71D3FA1E" w14:textId="77777777" w:rsidR="006A3667" w:rsidRDefault="006A3667">
            <w:pPr>
              <w:rPr>
                <w:rFonts w:ascii="宋体"/>
                <w:vanish/>
              </w:rPr>
            </w:pPr>
          </w:p>
        </w:tc>
        <w:tc>
          <w:tcPr>
            <w:tcW w:w="0" w:type="auto"/>
            <w:shd w:val="clear" w:color="auto" w:fill="auto"/>
            <w:vAlign w:val="bottom"/>
          </w:tcPr>
          <w:p w14:paraId="71D3FA1F" w14:textId="77777777" w:rsidR="006A3667" w:rsidRDefault="006A3667">
            <w:pPr>
              <w:rPr>
                <w:rFonts w:ascii="宋体"/>
                <w:vanish/>
              </w:rPr>
            </w:pPr>
          </w:p>
        </w:tc>
      </w:tr>
      <w:tr w:rsidR="006A3667" w14:paraId="71D3FA37" w14:textId="77777777">
        <w:trPr>
          <w:trHeight w:val="100"/>
        </w:trPr>
        <w:tc>
          <w:tcPr>
            <w:tcW w:w="0" w:type="auto"/>
            <w:gridSpan w:val="3"/>
            <w:shd w:val="clear" w:color="auto" w:fill="auto"/>
            <w:tcMar>
              <w:top w:w="0" w:type="dxa"/>
              <w:left w:w="20" w:type="dxa"/>
              <w:bottom w:w="0" w:type="dxa"/>
              <w:right w:w="20" w:type="dxa"/>
            </w:tcMar>
            <w:vAlign w:val="bottom"/>
          </w:tcPr>
          <w:p w14:paraId="71D3FA21" w14:textId="77777777" w:rsidR="006A3667" w:rsidRDefault="006A3667">
            <w:pPr>
              <w:rPr>
                <w:rFonts w:ascii="宋体"/>
              </w:rPr>
            </w:pPr>
          </w:p>
        </w:tc>
        <w:tc>
          <w:tcPr>
            <w:tcW w:w="0" w:type="auto"/>
            <w:shd w:val="clear" w:color="auto" w:fill="auto"/>
            <w:vAlign w:val="bottom"/>
          </w:tcPr>
          <w:p w14:paraId="71D3FA22" w14:textId="77777777" w:rsidR="006A3667" w:rsidRDefault="006A3667">
            <w:pPr>
              <w:rPr>
                <w:rFonts w:ascii="宋体"/>
                <w:vanish/>
              </w:rPr>
            </w:pPr>
          </w:p>
        </w:tc>
        <w:tc>
          <w:tcPr>
            <w:tcW w:w="0" w:type="auto"/>
            <w:shd w:val="clear" w:color="auto" w:fill="auto"/>
            <w:vAlign w:val="bottom"/>
          </w:tcPr>
          <w:p w14:paraId="71D3FA23" w14:textId="77777777" w:rsidR="006A3667" w:rsidRDefault="006A3667">
            <w:pPr>
              <w:rPr>
                <w:rFonts w:ascii="宋体"/>
                <w:vanish/>
              </w:rPr>
            </w:pPr>
          </w:p>
        </w:tc>
        <w:tc>
          <w:tcPr>
            <w:tcW w:w="0" w:type="auto"/>
            <w:shd w:val="clear" w:color="auto" w:fill="auto"/>
            <w:vAlign w:val="bottom"/>
          </w:tcPr>
          <w:p w14:paraId="71D3FA24" w14:textId="77777777" w:rsidR="006A3667" w:rsidRDefault="006A3667">
            <w:pPr>
              <w:rPr>
                <w:rFonts w:ascii="宋体"/>
                <w:vanish/>
              </w:rPr>
            </w:pPr>
          </w:p>
        </w:tc>
        <w:tc>
          <w:tcPr>
            <w:tcW w:w="0" w:type="auto"/>
            <w:shd w:val="clear" w:color="auto" w:fill="auto"/>
            <w:vAlign w:val="bottom"/>
          </w:tcPr>
          <w:p w14:paraId="71D3FA25" w14:textId="77777777" w:rsidR="006A3667" w:rsidRDefault="006A3667">
            <w:pPr>
              <w:rPr>
                <w:rFonts w:ascii="宋体"/>
                <w:vanish/>
              </w:rPr>
            </w:pPr>
          </w:p>
        </w:tc>
        <w:tc>
          <w:tcPr>
            <w:tcW w:w="0" w:type="auto"/>
            <w:shd w:val="clear" w:color="auto" w:fill="auto"/>
            <w:vAlign w:val="bottom"/>
          </w:tcPr>
          <w:p w14:paraId="71D3FA26" w14:textId="77777777" w:rsidR="006A3667" w:rsidRDefault="006A3667">
            <w:pPr>
              <w:rPr>
                <w:rFonts w:ascii="宋体"/>
                <w:vanish/>
              </w:rPr>
            </w:pPr>
          </w:p>
        </w:tc>
        <w:tc>
          <w:tcPr>
            <w:tcW w:w="0" w:type="auto"/>
            <w:shd w:val="clear" w:color="auto" w:fill="auto"/>
            <w:vAlign w:val="bottom"/>
          </w:tcPr>
          <w:p w14:paraId="71D3FA27"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A2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A2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A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A2B" w14:textId="77777777" w:rsidR="006A3667" w:rsidRDefault="006A3667">
            <w:pPr>
              <w:rPr>
                <w:rFonts w:ascii="宋体"/>
              </w:rPr>
            </w:pPr>
          </w:p>
        </w:tc>
        <w:tc>
          <w:tcPr>
            <w:tcW w:w="0" w:type="auto"/>
            <w:shd w:val="clear" w:color="auto" w:fill="auto"/>
            <w:vAlign w:val="bottom"/>
          </w:tcPr>
          <w:p w14:paraId="71D3FA2C" w14:textId="77777777" w:rsidR="006A3667" w:rsidRDefault="006A3667">
            <w:pPr>
              <w:rPr>
                <w:rFonts w:ascii="宋体"/>
                <w:vanish/>
              </w:rPr>
            </w:pPr>
          </w:p>
        </w:tc>
        <w:tc>
          <w:tcPr>
            <w:tcW w:w="0" w:type="auto"/>
            <w:shd w:val="clear" w:color="auto" w:fill="auto"/>
            <w:vAlign w:val="bottom"/>
          </w:tcPr>
          <w:p w14:paraId="71D3FA2D"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A2E" w14:textId="77777777" w:rsidR="006A3667" w:rsidRDefault="006A3667">
            <w:pPr>
              <w:rPr>
                <w:rFonts w:ascii="宋体"/>
              </w:rPr>
            </w:pPr>
          </w:p>
        </w:tc>
        <w:tc>
          <w:tcPr>
            <w:tcW w:w="0" w:type="auto"/>
            <w:gridSpan w:val="3"/>
            <w:shd w:val="clear" w:color="auto" w:fill="auto"/>
            <w:vAlign w:val="bottom"/>
          </w:tcPr>
          <w:p w14:paraId="71D3FA2F" w14:textId="77777777" w:rsidR="006A3667" w:rsidRDefault="006A3667">
            <w:pPr>
              <w:rPr>
                <w:rFonts w:ascii="宋体"/>
                <w:vanish/>
              </w:rPr>
            </w:pPr>
          </w:p>
        </w:tc>
        <w:tc>
          <w:tcPr>
            <w:tcW w:w="0" w:type="auto"/>
            <w:gridSpan w:val="3"/>
            <w:shd w:val="clear" w:color="auto" w:fill="auto"/>
            <w:vAlign w:val="bottom"/>
          </w:tcPr>
          <w:p w14:paraId="71D3FA30" w14:textId="77777777" w:rsidR="006A3667" w:rsidRDefault="006A3667">
            <w:pPr>
              <w:rPr>
                <w:rFonts w:ascii="宋体"/>
                <w:vanish/>
              </w:rPr>
            </w:pPr>
          </w:p>
        </w:tc>
        <w:tc>
          <w:tcPr>
            <w:tcW w:w="0" w:type="auto"/>
            <w:gridSpan w:val="3"/>
            <w:shd w:val="clear" w:color="auto" w:fill="auto"/>
            <w:vAlign w:val="bottom"/>
          </w:tcPr>
          <w:p w14:paraId="71D3FA31" w14:textId="77777777" w:rsidR="006A3667" w:rsidRDefault="006A3667">
            <w:pPr>
              <w:rPr>
                <w:rFonts w:ascii="宋体"/>
                <w:vanish/>
              </w:rPr>
            </w:pPr>
          </w:p>
        </w:tc>
        <w:tc>
          <w:tcPr>
            <w:tcW w:w="0" w:type="auto"/>
            <w:gridSpan w:val="3"/>
            <w:shd w:val="clear" w:color="auto" w:fill="auto"/>
            <w:vAlign w:val="bottom"/>
          </w:tcPr>
          <w:p w14:paraId="71D3FA32" w14:textId="77777777" w:rsidR="006A3667" w:rsidRDefault="006A3667">
            <w:pPr>
              <w:rPr>
                <w:rFonts w:ascii="宋体"/>
                <w:vanish/>
              </w:rPr>
            </w:pPr>
          </w:p>
        </w:tc>
        <w:tc>
          <w:tcPr>
            <w:tcW w:w="0" w:type="auto"/>
            <w:gridSpan w:val="3"/>
            <w:shd w:val="clear" w:color="auto" w:fill="auto"/>
            <w:vAlign w:val="bottom"/>
          </w:tcPr>
          <w:p w14:paraId="71D3FA33" w14:textId="77777777" w:rsidR="006A3667" w:rsidRDefault="006A3667">
            <w:pPr>
              <w:rPr>
                <w:rFonts w:ascii="宋体"/>
                <w:vanish/>
              </w:rPr>
            </w:pPr>
          </w:p>
        </w:tc>
        <w:tc>
          <w:tcPr>
            <w:tcW w:w="0" w:type="auto"/>
            <w:gridSpan w:val="3"/>
            <w:shd w:val="clear" w:color="auto" w:fill="auto"/>
            <w:vAlign w:val="bottom"/>
          </w:tcPr>
          <w:p w14:paraId="71D3FA34" w14:textId="77777777" w:rsidR="006A3667" w:rsidRDefault="006A3667">
            <w:pPr>
              <w:rPr>
                <w:rFonts w:ascii="宋体"/>
                <w:vanish/>
              </w:rPr>
            </w:pPr>
          </w:p>
        </w:tc>
        <w:tc>
          <w:tcPr>
            <w:tcW w:w="0" w:type="auto"/>
            <w:gridSpan w:val="2"/>
            <w:shd w:val="clear" w:color="auto" w:fill="auto"/>
            <w:vAlign w:val="bottom"/>
          </w:tcPr>
          <w:p w14:paraId="71D3FA35" w14:textId="77777777" w:rsidR="006A3667" w:rsidRDefault="006A3667">
            <w:pPr>
              <w:rPr>
                <w:rFonts w:ascii="宋体"/>
                <w:vanish/>
              </w:rPr>
            </w:pPr>
          </w:p>
        </w:tc>
        <w:tc>
          <w:tcPr>
            <w:tcW w:w="0" w:type="auto"/>
            <w:shd w:val="clear" w:color="auto" w:fill="auto"/>
            <w:vAlign w:val="bottom"/>
          </w:tcPr>
          <w:p w14:paraId="71D3FA36" w14:textId="77777777" w:rsidR="006A3667" w:rsidRDefault="006A3667">
            <w:pPr>
              <w:rPr>
                <w:rFonts w:ascii="宋体"/>
                <w:vanish/>
              </w:rPr>
            </w:pPr>
          </w:p>
        </w:tc>
      </w:tr>
      <w:tr w:rsidR="006A3667" w14:paraId="71D3FA4D"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71D3FA38" w14:textId="77777777" w:rsidR="006A3667" w:rsidRDefault="00045F32">
            <w:pPr>
              <w:textAlignment w:val="bottom"/>
            </w:pPr>
            <w:r>
              <w:rPr>
                <w:rFonts w:ascii="Arial" w:eastAsia="宋体" w:hAnsi="Arial" w:cs="Arial"/>
                <w:b/>
                <w:bCs/>
                <w:color w:val="000000"/>
                <w:sz w:val="15"/>
                <w:szCs w:val="15"/>
              </w:rPr>
              <w:t>(Dollars in millions, except where otherwise noted)</w:t>
            </w:r>
          </w:p>
        </w:tc>
        <w:tc>
          <w:tcPr>
            <w:tcW w:w="0" w:type="auto"/>
            <w:shd w:val="clear" w:color="auto" w:fill="auto"/>
            <w:vAlign w:val="bottom"/>
          </w:tcPr>
          <w:p w14:paraId="71D3FA39" w14:textId="77777777" w:rsidR="006A3667" w:rsidRDefault="006A3667">
            <w:pPr>
              <w:rPr>
                <w:rFonts w:ascii="宋体"/>
                <w:vanish/>
              </w:rPr>
            </w:pPr>
          </w:p>
        </w:tc>
        <w:tc>
          <w:tcPr>
            <w:tcW w:w="0" w:type="auto"/>
            <w:shd w:val="clear" w:color="auto" w:fill="auto"/>
            <w:vAlign w:val="bottom"/>
          </w:tcPr>
          <w:p w14:paraId="71D3FA3A" w14:textId="77777777" w:rsidR="006A3667" w:rsidRDefault="006A3667">
            <w:pPr>
              <w:rPr>
                <w:rFonts w:ascii="宋体"/>
                <w:vanish/>
              </w:rPr>
            </w:pPr>
          </w:p>
        </w:tc>
        <w:tc>
          <w:tcPr>
            <w:tcW w:w="0" w:type="auto"/>
            <w:shd w:val="clear" w:color="auto" w:fill="auto"/>
            <w:vAlign w:val="bottom"/>
          </w:tcPr>
          <w:p w14:paraId="71D3FA3B" w14:textId="77777777" w:rsidR="006A3667" w:rsidRDefault="006A3667">
            <w:pPr>
              <w:rPr>
                <w:rFonts w:ascii="宋体"/>
                <w:vanish/>
              </w:rPr>
            </w:pPr>
          </w:p>
        </w:tc>
        <w:tc>
          <w:tcPr>
            <w:tcW w:w="0" w:type="auto"/>
            <w:shd w:val="clear" w:color="auto" w:fill="auto"/>
            <w:vAlign w:val="bottom"/>
          </w:tcPr>
          <w:p w14:paraId="71D3FA3C" w14:textId="77777777" w:rsidR="006A3667" w:rsidRDefault="006A3667">
            <w:pPr>
              <w:rPr>
                <w:rFonts w:ascii="宋体"/>
                <w:vanish/>
              </w:rPr>
            </w:pPr>
          </w:p>
        </w:tc>
        <w:tc>
          <w:tcPr>
            <w:tcW w:w="0" w:type="auto"/>
            <w:gridSpan w:val="5"/>
            <w:shd w:val="clear" w:color="auto" w:fill="auto"/>
            <w:tcMar>
              <w:top w:w="40" w:type="dxa"/>
              <w:left w:w="20" w:type="dxa"/>
              <w:bottom w:w="40" w:type="dxa"/>
              <w:right w:w="20" w:type="dxa"/>
            </w:tcMar>
            <w:vAlign w:val="bottom"/>
          </w:tcPr>
          <w:p w14:paraId="71D3FA3D" w14:textId="77777777" w:rsidR="006A3667" w:rsidRDefault="00045F32">
            <w:pPr>
              <w:jc w:val="center"/>
              <w:textAlignment w:val="bottom"/>
            </w:pPr>
            <w:r>
              <w:rPr>
                <w:rFonts w:ascii="Arial" w:eastAsia="宋体" w:hAnsi="Arial" w:cs="Arial"/>
                <w:b/>
                <w:bCs/>
                <w:color w:val="000000"/>
                <w:sz w:val="15"/>
                <w:szCs w:val="15"/>
              </w:rPr>
              <w:t>Nine Months Ended September 30,</w:t>
            </w:r>
          </w:p>
        </w:tc>
        <w:tc>
          <w:tcPr>
            <w:tcW w:w="0" w:type="auto"/>
            <w:gridSpan w:val="3"/>
            <w:shd w:val="clear" w:color="auto" w:fill="auto"/>
            <w:tcMar>
              <w:top w:w="0" w:type="dxa"/>
              <w:left w:w="20" w:type="dxa"/>
              <w:bottom w:w="0" w:type="dxa"/>
              <w:right w:w="20" w:type="dxa"/>
            </w:tcMar>
            <w:vAlign w:val="bottom"/>
          </w:tcPr>
          <w:p w14:paraId="71D3FA3E" w14:textId="77777777" w:rsidR="006A3667" w:rsidRDefault="006A3667">
            <w:pPr>
              <w:rPr>
                <w:rFonts w:ascii="宋体"/>
              </w:rPr>
            </w:pPr>
          </w:p>
        </w:tc>
        <w:tc>
          <w:tcPr>
            <w:tcW w:w="0" w:type="auto"/>
            <w:gridSpan w:val="3"/>
            <w:shd w:val="clear" w:color="auto" w:fill="auto"/>
            <w:vAlign w:val="bottom"/>
          </w:tcPr>
          <w:p w14:paraId="71D3FA3F" w14:textId="77777777" w:rsidR="006A3667" w:rsidRDefault="006A3667">
            <w:pPr>
              <w:rPr>
                <w:rFonts w:ascii="宋体"/>
                <w:vanish/>
              </w:rPr>
            </w:pPr>
          </w:p>
        </w:tc>
        <w:tc>
          <w:tcPr>
            <w:tcW w:w="0" w:type="auto"/>
            <w:gridSpan w:val="3"/>
            <w:shd w:val="clear" w:color="auto" w:fill="auto"/>
            <w:vAlign w:val="bottom"/>
          </w:tcPr>
          <w:p w14:paraId="71D3FA40" w14:textId="77777777" w:rsidR="006A3667" w:rsidRDefault="006A3667">
            <w:pPr>
              <w:rPr>
                <w:rFonts w:ascii="宋体"/>
                <w:vanish/>
              </w:rPr>
            </w:pPr>
          </w:p>
        </w:tc>
        <w:tc>
          <w:tcPr>
            <w:tcW w:w="0" w:type="auto"/>
            <w:vMerge w:val="restart"/>
            <w:shd w:val="clear" w:color="auto" w:fill="auto"/>
            <w:tcMar>
              <w:top w:w="40" w:type="dxa"/>
              <w:left w:w="20" w:type="dxa"/>
              <w:bottom w:w="40" w:type="dxa"/>
              <w:right w:w="20" w:type="dxa"/>
            </w:tcMar>
            <w:vAlign w:val="bottom"/>
          </w:tcPr>
          <w:p w14:paraId="71D3FA41" w14:textId="77777777" w:rsidR="006A3667" w:rsidRDefault="00045F32">
            <w:pPr>
              <w:jc w:val="center"/>
              <w:textAlignment w:val="bottom"/>
            </w:pPr>
            <w:r>
              <w:rPr>
                <w:rFonts w:ascii="Arial" w:eastAsia="宋体" w:hAnsi="Arial" w:cs="Arial"/>
                <w:b/>
                <w:bCs/>
                <w:color w:val="000000"/>
                <w:sz w:val="15"/>
                <w:szCs w:val="15"/>
              </w:rPr>
              <w:t xml:space="preserve">% Change </w:t>
            </w:r>
          </w:p>
        </w:tc>
        <w:tc>
          <w:tcPr>
            <w:tcW w:w="0" w:type="auto"/>
            <w:shd w:val="clear" w:color="auto" w:fill="auto"/>
            <w:vAlign w:val="bottom"/>
          </w:tcPr>
          <w:p w14:paraId="71D3FA42" w14:textId="77777777" w:rsidR="006A3667" w:rsidRDefault="006A3667">
            <w:pPr>
              <w:rPr>
                <w:rFonts w:ascii="宋体"/>
                <w:vanish/>
              </w:rPr>
            </w:pPr>
          </w:p>
        </w:tc>
        <w:tc>
          <w:tcPr>
            <w:tcW w:w="0" w:type="auto"/>
            <w:gridSpan w:val="3"/>
            <w:shd w:val="clear" w:color="auto" w:fill="auto"/>
            <w:vAlign w:val="bottom"/>
          </w:tcPr>
          <w:p w14:paraId="71D3FA43" w14:textId="77777777" w:rsidR="006A3667" w:rsidRDefault="006A3667">
            <w:pPr>
              <w:rPr>
                <w:rFonts w:ascii="宋体"/>
                <w:vanish/>
              </w:rPr>
            </w:pPr>
          </w:p>
        </w:tc>
        <w:tc>
          <w:tcPr>
            <w:tcW w:w="0" w:type="auto"/>
            <w:gridSpan w:val="3"/>
            <w:shd w:val="clear" w:color="auto" w:fill="auto"/>
            <w:vAlign w:val="bottom"/>
          </w:tcPr>
          <w:p w14:paraId="71D3FA44" w14:textId="77777777" w:rsidR="006A3667" w:rsidRDefault="006A3667">
            <w:pPr>
              <w:rPr>
                <w:rFonts w:ascii="宋体"/>
                <w:vanish/>
              </w:rPr>
            </w:pPr>
          </w:p>
        </w:tc>
        <w:tc>
          <w:tcPr>
            <w:tcW w:w="0" w:type="auto"/>
            <w:gridSpan w:val="3"/>
            <w:shd w:val="clear" w:color="auto" w:fill="auto"/>
            <w:vAlign w:val="bottom"/>
          </w:tcPr>
          <w:p w14:paraId="71D3FA45" w14:textId="77777777" w:rsidR="006A3667" w:rsidRDefault="006A3667">
            <w:pPr>
              <w:rPr>
                <w:rFonts w:ascii="宋体"/>
                <w:vanish/>
              </w:rPr>
            </w:pPr>
          </w:p>
        </w:tc>
        <w:tc>
          <w:tcPr>
            <w:tcW w:w="0" w:type="auto"/>
            <w:gridSpan w:val="3"/>
            <w:shd w:val="clear" w:color="auto" w:fill="auto"/>
            <w:vAlign w:val="bottom"/>
          </w:tcPr>
          <w:p w14:paraId="71D3FA46" w14:textId="77777777" w:rsidR="006A3667" w:rsidRDefault="006A3667">
            <w:pPr>
              <w:rPr>
                <w:rFonts w:ascii="宋体"/>
                <w:vanish/>
              </w:rPr>
            </w:pPr>
          </w:p>
        </w:tc>
        <w:tc>
          <w:tcPr>
            <w:tcW w:w="0" w:type="auto"/>
            <w:gridSpan w:val="3"/>
            <w:shd w:val="clear" w:color="auto" w:fill="auto"/>
            <w:vAlign w:val="bottom"/>
          </w:tcPr>
          <w:p w14:paraId="71D3FA47" w14:textId="77777777" w:rsidR="006A3667" w:rsidRDefault="006A3667">
            <w:pPr>
              <w:rPr>
                <w:rFonts w:ascii="宋体"/>
                <w:vanish/>
              </w:rPr>
            </w:pPr>
          </w:p>
        </w:tc>
        <w:tc>
          <w:tcPr>
            <w:tcW w:w="0" w:type="auto"/>
            <w:gridSpan w:val="3"/>
            <w:shd w:val="clear" w:color="auto" w:fill="auto"/>
            <w:vAlign w:val="bottom"/>
          </w:tcPr>
          <w:p w14:paraId="71D3FA48" w14:textId="77777777" w:rsidR="006A3667" w:rsidRDefault="006A3667">
            <w:pPr>
              <w:rPr>
                <w:rFonts w:ascii="宋体"/>
                <w:vanish/>
              </w:rPr>
            </w:pPr>
          </w:p>
        </w:tc>
        <w:tc>
          <w:tcPr>
            <w:tcW w:w="0" w:type="auto"/>
            <w:gridSpan w:val="3"/>
            <w:shd w:val="clear" w:color="auto" w:fill="auto"/>
            <w:vAlign w:val="bottom"/>
          </w:tcPr>
          <w:p w14:paraId="71D3FA49" w14:textId="77777777" w:rsidR="006A3667" w:rsidRDefault="006A3667">
            <w:pPr>
              <w:rPr>
                <w:rFonts w:ascii="宋体"/>
                <w:vanish/>
              </w:rPr>
            </w:pPr>
          </w:p>
        </w:tc>
        <w:tc>
          <w:tcPr>
            <w:tcW w:w="0" w:type="auto"/>
            <w:shd w:val="clear" w:color="auto" w:fill="auto"/>
            <w:vAlign w:val="bottom"/>
          </w:tcPr>
          <w:p w14:paraId="71D3FA4A" w14:textId="77777777" w:rsidR="006A3667" w:rsidRDefault="006A3667">
            <w:pPr>
              <w:rPr>
                <w:rFonts w:ascii="宋体"/>
              </w:rPr>
            </w:pPr>
          </w:p>
        </w:tc>
        <w:tc>
          <w:tcPr>
            <w:tcW w:w="0" w:type="auto"/>
            <w:shd w:val="clear" w:color="auto" w:fill="auto"/>
            <w:vAlign w:val="bottom"/>
          </w:tcPr>
          <w:p w14:paraId="71D3FA4B" w14:textId="77777777" w:rsidR="006A3667" w:rsidRDefault="006A3667">
            <w:pPr>
              <w:rPr>
                <w:rFonts w:ascii="宋体"/>
              </w:rPr>
            </w:pPr>
          </w:p>
        </w:tc>
        <w:tc>
          <w:tcPr>
            <w:tcW w:w="0" w:type="auto"/>
            <w:shd w:val="clear" w:color="auto" w:fill="auto"/>
            <w:vAlign w:val="bottom"/>
          </w:tcPr>
          <w:p w14:paraId="71D3FA4C" w14:textId="77777777" w:rsidR="006A3667" w:rsidRDefault="006A3667">
            <w:pPr>
              <w:rPr>
                <w:rFonts w:ascii="宋体"/>
              </w:rPr>
            </w:pPr>
          </w:p>
        </w:tc>
      </w:tr>
      <w:tr w:rsidR="006A3667" w14:paraId="71D3FA67" w14:textId="77777777">
        <w:trPr>
          <w:trHeight w:val="240"/>
        </w:trPr>
        <w:tc>
          <w:tcPr>
            <w:tcW w:w="0" w:type="auto"/>
            <w:gridSpan w:val="3"/>
            <w:vMerge/>
            <w:shd w:val="clear" w:color="auto" w:fill="auto"/>
            <w:tcMar>
              <w:top w:w="40" w:type="dxa"/>
              <w:left w:w="20" w:type="dxa"/>
              <w:bottom w:w="40" w:type="dxa"/>
              <w:right w:w="20" w:type="dxa"/>
            </w:tcMar>
            <w:vAlign w:val="bottom"/>
          </w:tcPr>
          <w:p w14:paraId="71D3FA4E" w14:textId="77777777" w:rsidR="006A3667" w:rsidRDefault="006A3667">
            <w:pPr>
              <w:rPr>
                <w:rFonts w:ascii="宋体"/>
              </w:rPr>
            </w:pPr>
          </w:p>
        </w:tc>
        <w:tc>
          <w:tcPr>
            <w:tcW w:w="0" w:type="auto"/>
            <w:shd w:val="clear" w:color="auto" w:fill="auto"/>
            <w:vAlign w:val="bottom"/>
          </w:tcPr>
          <w:p w14:paraId="71D3FA4F" w14:textId="77777777" w:rsidR="006A3667" w:rsidRDefault="006A3667">
            <w:pPr>
              <w:rPr>
                <w:rFonts w:ascii="宋体"/>
                <w:vanish/>
              </w:rPr>
            </w:pPr>
          </w:p>
        </w:tc>
        <w:tc>
          <w:tcPr>
            <w:tcW w:w="0" w:type="auto"/>
            <w:shd w:val="clear" w:color="auto" w:fill="auto"/>
            <w:vAlign w:val="bottom"/>
          </w:tcPr>
          <w:p w14:paraId="71D3FA50" w14:textId="77777777" w:rsidR="006A3667" w:rsidRDefault="006A3667">
            <w:pPr>
              <w:rPr>
                <w:rFonts w:ascii="宋体"/>
                <w:vanish/>
              </w:rPr>
            </w:pPr>
          </w:p>
        </w:tc>
        <w:tc>
          <w:tcPr>
            <w:tcW w:w="0" w:type="auto"/>
            <w:shd w:val="clear" w:color="auto" w:fill="auto"/>
            <w:vAlign w:val="bottom"/>
          </w:tcPr>
          <w:p w14:paraId="71D3FA51" w14:textId="77777777" w:rsidR="006A3667" w:rsidRDefault="006A3667">
            <w:pPr>
              <w:rPr>
                <w:rFonts w:ascii="宋体"/>
                <w:vanish/>
              </w:rPr>
            </w:pPr>
          </w:p>
        </w:tc>
        <w:tc>
          <w:tcPr>
            <w:tcW w:w="0" w:type="auto"/>
            <w:shd w:val="clear" w:color="auto" w:fill="auto"/>
            <w:vAlign w:val="bottom"/>
          </w:tcPr>
          <w:p w14:paraId="71D3FA52" w14:textId="77777777" w:rsidR="006A3667" w:rsidRDefault="006A3667">
            <w:pPr>
              <w:rPr>
                <w:rFonts w:ascii="宋体"/>
                <w:vanish/>
              </w:rPr>
            </w:pPr>
          </w:p>
        </w:tc>
        <w:tc>
          <w:tcPr>
            <w:tcW w:w="0" w:type="auto"/>
            <w:shd w:val="clear" w:color="auto" w:fill="auto"/>
            <w:vAlign w:val="bottom"/>
          </w:tcPr>
          <w:p w14:paraId="71D3FA53" w14:textId="77777777" w:rsidR="006A3667" w:rsidRDefault="006A3667">
            <w:pPr>
              <w:rPr>
                <w:rFonts w:ascii="宋体"/>
                <w:vanish/>
              </w:rPr>
            </w:pPr>
          </w:p>
        </w:tc>
        <w:tc>
          <w:tcPr>
            <w:tcW w:w="0" w:type="auto"/>
            <w:shd w:val="clear" w:color="auto" w:fill="auto"/>
            <w:vAlign w:val="bottom"/>
          </w:tcPr>
          <w:p w14:paraId="71D3FA54"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A55"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FA5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A57" w14:textId="77777777" w:rsidR="006A3667" w:rsidRDefault="00045F32">
            <w:pPr>
              <w:jc w:val="center"/>
              <w:textAlignment w:val="bottom"/>
            </w:pPr>
            <w:r>
              <w:rPr>
                <w:rFonts w:ascii="Arial" w:eastAsia="宋体" w:hAnsi="Arial" w:cs="Arial"/>
                <w:b/>
                <w:bCs/>
                <w:color w:val="000000"/>
                <w:sz w:val="15"/>
                <w:szCs w:val="15"/>
              </w:rPr>
              <w:t>2021</w:t>
            </w:r>
          </w:p>
        </w:tc>
        <w:tc>
          <w:tcPr>
            <w:tcW w:w="0" w:type="auto"/>
            <w:gridSpan w:val="3"/>
            <w:shd w:val="clear" w:color="auto" w:fill="auto"/>
            <w:tcMar>
              <w:top w:w="0" w:type="dxa"/>
              <w:left w:w="20" w:type="dxa"/>
              <w:bottom w:w="0" w:type="dxa"/>
              <w:right w:w="20" w:type="dxa"/>
            </w:tcMar>
            <w:vAlign w:val="bottom"/>
          </w:tcPr>
          <w:p w14:paraId="71D3FA58" w14:textId="77777777" w:rsidR="006A3667" w:rsidRDefault="006A3667">
            <w:pPr>
              <w:rPr>
                <w:rFonts w:ascii="宋体"/>
              </w:rPr>
            </w:pPr>
          </w:p>
        </w:tc>
        <w:tc>
          <w:tcPr>
            <w:tcW w:w="0" w:type="auto"/>
            <w:vMerge/>
            <w:shd w:val="clear" w:color="auto" w:fill="auto"/>
            <w:tcMar>
              <w:top w:w="40" w:type="dxa"/>
              <w:left w:w="20" w:type="dxa"/>
              <w:bottom w:w="40" w:type="dxa"/>
              <w:right w:w="20" w:type="dxa"/>
            </w:tcMar>
            <w:vAlign w:val="bottom"/>
          </w:tcPr>
          <w:p w14:paraId="71D3FA59" w14:textId="77777777" w:rsidR="006A3667" w:rsidRDefault="006A3667">
            <w:pPr>
              <w:jc w:val="center"/>
              <w:rPr>
                <w:rFonts w:ascii="宋体"/>
              </w:rPr>
            </w:pPr>
          </w:p>
        </w:tc>
        <w:tc>
          <w:tcPr>
            <w:tcW w:w="0" w:type="auto"/>
            <w:shd w:val="clear" w:color="auto" w:fill="auto"/>
            <w:vAlign w:val="bottom"/>
          </w:tcPr>
          <w:p w14:paraId="71D3FA5A" w14:textId="77777777" w:rsidR="006A3667" w:rsidRDefault="006A3667">
            <w:pPr>
              <w:rPr>
                <w:rFonts w:ascii="宋体"/>
                <w:vanish/>
              </w:rPr>
            </w:pPr>
          </w:p>
        </w:tc>
        <w:tc>
          <w:tcPr>
            <w:tcW w:w="0" w:type="auto"/>
            <w:gridSpan w:val="3"/>
            <w:shd w:val="clear" w:color="auto" w:fill="auto"/>
            <w:vAlign w:val="bottom"/>
          </w:tcPr>
          <w:p w14:paraId="71D3FA5B" w14:textId="77777777" w:rsidR="006A3667" w:rsidRDefault="006A3667">
            <w:pPr>
              <w:rPr>
                <w:rFonts w:ascii="宋体"/>
                <w:vanish/>
              </w:rPr>
            </w:pPr>
          </w:p>
        </w:tc>
        <w:tc>
          <w:tcPr>
            <w:tcW w:w="0" w:type="auto"/>
            <w:gridSpan w:val="3"/>
            <w:shd w:val="clear" w:color="auto" w:fill="auto"/>
            <w:vAlign w:val="bottom"/>
          </w:tcPr>
          <w:p w14:paraId="71D3FA5C" w14:textId="77777777" w:rsidR="006A3667" w:rsidRDefault="006A3667">
            <w:pPr>
              <w:rPr>
                <w:rFonts w:ascii="宋体"/>
                <w:vanish/>
              </w:rPr>
            </w:pPr>
          </w:p>
        </w:tc>
        <w:tc>
          <w:tcPr>
            <w:tcW w:w="0" w:type="auto"/>
            <w:gridSpan w:val="3"/>
            <w:shd w:val="clear" w:color="auto" w:fill="auto"/>
            <w:vAlign w:val="bottom"/>
          </w:tcPr>
          <w:p w14:paraId="71D3FA5D" w14:textId="77777777" w:rsidR="006A3667" w:rsidRDefault="006A3667">
            <w:pPr>
              <w:rPr>
                <w:rFonts w:ascii="宋体"/>
                <w:vanish/>
              </w:rPr>
            </w:pPr>
          </w:p>
        </w:tc>
        <w:tc>
          <w:tcPr>
            <w:tcW w:w="0" w:type="auto"/>
            <w:gridSpan w:val="3"/>
            <w:shd w:val="clear" w:color="auto" w:fill="auto"/>
            <w:vAlign w:val="bottom"/>
          </w:tcPr>
          <w:p w14:paraId="71D3FA5E" w14:textId="77777777" w:rsidR="006A3667" w:rsidRDefault="006A3667">
            <w:pPr>
              <w:rPr>
                <w:rFonts w:ascii="宋体"/>
                <w:vanish/>
              </w:rPr>
            </w:pPr>
          </w:p>
        </w:tc>
        <w:tc>
          <w:tcPr>
            <w:tcW w:w="0" w:type="auto"/>
            <w:gridSpan w:val="3"/>
            <w:shd w:val="clear" w:color="auto" w:fill="auto"/>
            <w:vAlign w:val="bottom"/>
          </w:tcPr>
          <w:p w14:paraId="71D3FA5F" w14:textId="77777777" w:rsidR="006A3667" w:rsidRDefault="006A3667">
            <w:pPr>
              <w:rPr>
                <w:rFonts w:ascii="宋体"/>
                <w:vanish/>
              </w:rPr>
            </w:pPr>
          </w:p>
        </w:tc>
        <w:tc>
          <w:tcPr>
            <w:tcW w:w="0" w:type="auto"/>
            <w:gridSpan w:val="3"/>
            <w:shd w:val="clear" w:color="auto" w:fill="auto"/>
            <w:vAlign w:val="bottom"/>
          </w:tcPr>
          <w:p w14:paraId="71D3FA60" w14:textId="77777777" w:rsidR="006A3667" w:rsidRDefault="006A3667">
            <w:pPr>
              <w:rPr>
                <w:rFonts w:ascii="宋体"/>
                <w:vanish/>
              </w:rPr>
            </w:pPr>
          </w:p>
        </w:tc>
        <w:tc>
          <w:tcPr>
            <w:tcW w:w="0" w:type="auto"/>
            <w:shd w:val="clear" w:color="auto" w:fill="auto"/>
            <w:vAlign w:val="bottom"/>
          </w:tcPr>
          <w:p w14:paraId="71D3FA61" w14:textId="77777777" w:rsidR="006A3667" w:rsidRDefault="006A3667">
            <w:pPr>
              <w:rPr>
                <w:rFonts w:ascii="宋体"/>
              </w:rPr>
            </w:pPr>
          </w:p>
        </w:tc>
        <w:tc>
          <w:tcPr>
            <w:tcW w:w="0" w:type="auto"/>
            <w:shd w:val="clear" w:color="auto" w:fill="auto"/>
            <w:vAlign w:val="bottom"/>
          </w:tcPr>
          <w:p w14:paraId="71D3FA62" w14:textId="77777777" w:rsidR="006A3667" w:rsidRDefault="006A3667">
            <w:pPr>
              <w:rPr>
                <w:rFonts w:ascii="宋体"/>
              </w:rPr>
            </w:pPr>
          </w:p>
        </w:tc>
        <w:tc>
          <w:tcPr>
            <w:tcW w:w="0" w:type="auto"/>
            <w:shd w:val="clear" w:color="auto" w:fill="auto"/>
            <w:vAlign w:val="bottom"/>
          </w:tcPr>
          <w:p w14:paraId="71D3FA63" w14:textId="77777777" w:rsidR="006A3667" w:rsidRDefault="006A3667">
            <w:pPr>
              <w:rPr>
                <w:rFonts w:ascii="宋体"/>
              </w:rPr>
            </w:pPr>
          </w:p>
        </w:tc>
        <w:tc>
          <w:tcPr>
            <w:tcW w:w="0" w:type="auto"/>
            <w:shd w:val="clear" w:color="auto" w:fill="auto"/>
            <w:vAlign w:val="bottom"/>
          </w:tcPr>
          <w:p w14:paraId="71D3FA64" w14:textId="77777777" w:rsidR="006A3667" w:rsidRDefault="006A3667">
            <w:pPr>
              <w:rPr>
                <w:rFonts w:ascii="宋体"/>
              </w:rPr>
            </w:pPr>
          </w:p>
        </w:tc>
        <w:tc>
          <w:tcPr>
            <w:tcW w:w="0" w:type="auto"/>
            <w:shd w:val="clear" w:color="auto" w:fill="auto"/>
            <w:vAlign w:val="bottom"/>
          </w:tcPr>
          <w:p w14:paraId="71D3FA65" w14:textId="77777777" w:rsidR="006A3667" w:rsidRDefault="006A3667">
            <w:pPr>
              <w:rPr>
                <w:rFonts w:ascii="宋体"/>
              </w:rPr>
            </w:pPr>
          </w:p>
        </w:tc>
        <w:tc>
          <w:tcPr>
            <w:tcW w:w="0" w:type="auto"/>
            <w:shd w:val="clear" w:color="auto" w:fill="auto"/>
            <w:vAlign w:val="bottom"/>
          </w:tcPr>
          <w:p w14:paraId="71D3FA66" w14:textId="77777777" w:rsidR="006A3667" w:rsidRDefault="006A3667">
            <w:pPr>
              <w:rPr>
                <w:rFonts w:ascii="宋体"/>
              </w:rPr>
            </w:pPr>
          </w:p>
        </w:tc>
      </w:tr>
      <w:tr w:rsidR="006A3667" w14:paraId="71D3FA83" w14:textId="77777777">
        <w:tc>
          <w:tcPr>
            <w:tcW w:w="0" w:type="auto"/>
            <w:gridSpan w:val="3"/>
            <w:shd w:val="clear" w:color="auto" w:fill="CCEEFF"/>
            <w:tcMar>
              <w:top w:w="40" w:type="dxa"/>
              <w:left w:w="20" w:type="dxa"/>
              <w:bottom w:w="40" w:type="dxa"/>
              <w:right w:w="20" w:type="dxa"/>
            </w:tcMar>
            <w:vAlign w:val="bottom"/>
          </w:tcPr>
          <w:p w14:paraId="71D3FA68" w14:textId="77777777" w:rsidR="006A3667" w:rsidRDefault="00045F32">
            <w:pPr>
              <w:textAlignment w:val="bottom"/>
            </w:pPr>
            <w:r>
              <w:rPr>
                <w:rFonts w:ascii="Arial" w:eastAsia="宋体" w:hAnsi="Arial" w:cs="Arial"/>
                <w:color w:val="000000"/>
                <w:sz w:val="15"/>
                <w:szCs w:val="15"/>
              </w:rPr>
              <w:t>Servicing fees</w:t>
            </w:r>
          </w:p>
        </w:tc>
        <w:tc>
          <w:tcPr>
            <w:tcW w:w="0" w:type="auto"/>
            <w:shd w:val="clear" w:color="auto" w:fill="auto"/>
            <w:vAlign w:val="bottom"/>
          </w:tcPr>
          <w:p w14:paraId="71D3FA69" w14:textId="77777777" w:rsidR="006A3667" w:rsidRDefault="006A3667">
            <w:pPr>
              <w:rPr>
                <w:rFonts w:ascii="宋体"/>
                <w:vanish/>
              </w:rPr>
            </w:pPr>
          </w:p>
        </w:tc>
        <w:tc>
          <w:tcPr>
            <w:tcW w:w="0" w:type="auto"/>
            <w:shd w:val="clear" w:color="auto" w:fill="auto"/>
            <w:vAlign w:val="bottom"/>
          </w:tcPr>
          <w:p w14:paraId="71D3FA6A" w14:textId="77777777" w:rsidR="006A3667" w:rsidRDefault="006A3667">
            <w:pPr>
              <w:rPr>
                <w:rFonts w:ascii="宋体"/>
                <w:vanish/>
              </w:rPr>
            </w:pPr>
          </w:p>
        </w:tc>
        <w:tc>
          <w:tcPr>
            <w:tcW w:w="0" w:type="auto"/>
            <w:shd w:val="clear" w:color="auto" w:fill="auto"/>
            <w:vAlign w:val="bottom"/>
          </w:tcPr>
          <w:p w14:paraId="71D3FA6B" w14:textId="77777777" w:rsidR="006A3667" w:rsidRDefault="006A3667">
            <w:pPr>
              <w:rPr>
                <w:rFonts w:ascii="宋体"/>
                <w:vanish/>
              </w:rPr>
            </w:pPr>
          </w:p>
        </w:tc>
        <w:tc>
          <w:tcPr>
            <w:tcW w:w="0" w:type="auto"/>
            <w:shd w:val="clear" w:color="auto" w:fill="auto"/>
            <w:vAlign w:val="bottom"/>
          </w:tcPr>
          <w:p w14:paraId="71D3FA6C" w14:textId="77777777" w:rsidR="006A3667" w:rsidRDefault="006A3667">
            <w:pPr>
              <w:rPr>
                <w:rFonts w:ascii="宋体"/>
                <w:vanish/>
              </w:rPr>
            </w:pPr>
          </w:p>
        </w:tc>
        <w:tc>
          <w:tcPr>
            <w:tcW w:w="0" w:type="auto"/>
            <w:shd w:val="clear" w:color="auto" w:fill="auto"/>
            <w:vAlign w:val="bottom"/>
          </w:tcPr>
          <w:p w14:paraId="71D3FA6D" w14:textId="77777777" w:rsidR="006A3667" w:rsidRDefault="006A3667">
            <w:pPr>
              <w:rPr>
                <w:rFonts w:ascii="宋体"/>
                <w:vanish/>
              </w:rPr>
            </w:pPr>
          </w:p>
        </w:tc>
        <w:tc>
          <w:tcPr>
            <w:tcW w:w="0" w:type="auto"/>
            <w:shd w:val="clear" w:color="auto" w:fill="auto"/>
            <w:vAlign w:val="bottom"/>
          </w:tcPr>
          <w:p w14:paraId="71D3FA6E"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A6F"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A70" w14:textId="77777777" w:rsidR="006A3667" w:rsidRDefault="00045F32">
            <w:pPr>
              <w:jc w:val="right"/>
              <w:textAlignment w:val="bottom"/>
            </w:pPr>
            <w:r>
              <w:rPr>
                <w:rFonts w:ascii="Arial" w:eastAsia="宋体" w:hAnsi="Arial" w:cs="Arial"/>
                <w:b/>
                <w:bCs/>
                <w:color w:val="000000"/>
                <w:sz w:val="15"/>
                <w:szCs w:val="15"/>
              </w:rPr>
              <w:t>3,884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A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A7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A73"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A74" w14:textId="77777777" w:rsidR="006A3667" w:rsidRDefault="00045F32">
            <w:pPr>
              <w:jc w:val="right"/>
              <w:textAlignment w:val="bottom"/>
            </w:pPr>
            <w:r>
              <w:rPr>
                <w:rFonts w:ascii="Arial" w:eastAsia="宋体" w:hAnsi="Arial" w:cs="Arial"/>
                <w:color w:val="000000"/>
                <w:sz w:val="15"/>
                <w:szCs w:val="15"/>
              </w:rPr>
              <w:t>4,154 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A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A76" w14:textId="77777777" w:rsidR="006A3667" w:rsidRDefault="006A3667">
            <w:pPr>
              <w:rPr>
                <w:rFonts w:ascii="宋体"/>
              </w:rPr>
            </w:pPr>
          </w:p>
        </w:tc>
        <w:tc>
          <w:tcPr>
            <w:tcW w:w="0" w:type="auto"/>
            <w:shd w:val="clear" w:color="auto" w:fill="auto"/>
            <w:vAlign w:val="bottom"/>
          </w:tcPr>
          <w:p w14:paraId="71D3FA77" w14:textId="77777777" w:rsidR="006A3667" w:rsidRDefault="006A3667">
            <w:pPr>
              <w:rPr>
                <w:rFonts w:ascii="宋体"/>
                <w:vanish/>
              </w:rPr>
            </w:pPr>
          </w:p>
        </w:tc>
        <w:tc>
          <w:tcPr>
            <w:tcW w:w="0" w:type="auto"/>
            <w:shd w:val="clear" w:color="auto" w:fill="auto"/>
            <w:vAlign w:val="bottom"/>
          </w:tcPr>
          <w:p w14:paraId="71D3FA78"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A79" w14:textId="77777777" w:rsidR="006A3667" w:rsidRDefault="00045F32">
            <w:pPr>
              <w:jc w:val="right"/>
              <w:textAlignment w:val="bottom"/>
            </w:pPr>
            <w:r>
              <w:rPr>
                <w:rFonts w:ascii="Arial" w:eastAsia="宋体" w:hAnsi="Arial" w:cs="Arial"/>
                <w:color w:val="000000"/>
                <w:sz w:val="15"/>
                <w:szCs w:val="15"/>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A7A"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71D3FA7B" w14:textId="77777777" w:rsidR="006A3667" w:rsidRDefault="006A3667">
            <w:pPr>
              <w:rPr>
                <w:rFonts w:ascii="宋体"/>
                <w:vanish/>
              </w:rPr>
            </w:pPr>
          </w:p>
        </w:tc>
        <w:tc>
          <w:tcPr>
            <w:tcW w:w="0" w:type="auto"/>
            <w:gridSpan w:val="3"/>
            <w:shd w:val="clear" w:color="auto" w:fill="auto"/>
            <w:vAlign w:val="bottom"/>
          </w:tcPr>
          <w:p w14:paraId="71D3FA7C" w14:textId="77777777" w:rsidR="006A3667" w:rsidRDefault="006A3667">
            <w:pPr>
              <w:rPr>
                <w:rFonts w:ascii="宋体"/>
                <w:vanish/>
              </w:rPr>
            </w:pPr>
          </w:p>
        </w:tc>
        <w:tc>
          <w:tcPr>
            <w:tcW w:w="0" w:type="auto"/>
            <w:gridSpan w:val="3"/>
            <w:shd w:val="clear" w:color="auto" w:fill="auto"/>
            <w:vAlign w:val="bottom"/>
          </w:tcPr>
          <w:p w14:paraId="71D3FA7D" w14:textId="77777777" w:rsidR="006A3667" w:rsidRDefault="006A3667">
            <w:pPr>
              <w:rPr>
                <w:rFonts w:ascii="宋体"/>
                <w:vanish/>
              </w:rPr>
            </w:pPr>
          </w:p>
        </w:tc>
        <w:tc>
          <w:tcPr>
            <w:tcW w:w="0" w:type="auto"/>
            <w:gridSpan w:val="3"/>
            <w:shd w:val="clear" w:color="auto" w:fill="auto"/>
            <w:vAlign w:val="bottom"/>
          </w:tcPr>
          <w:p w14:paraId="71D3FA7E" w14:textId="77777777" w:rsidR="006A3667" w:rsidRDefault="006A3667">
            <w:pPr>
              <w:rPr>
                <w:rFonts w:ascii="宋体"/>
                <w:vanish/>
              </w:rPr>
            </w:pPr>
          </w:p>
        </w:tc>
        <w:tc>
          <w:tcPr>
            <w:tcW w:w="0" w:type="auto"/>
            <w:gridSpan w:val="3"/>
            <w:shd w:val="clear" w:color="auto" w:fill="auto"/>
            <w:vAlign w:val="bottom"/>
          </w:tcPr>
          <w:p w14:paraId="71D3FA7F" w14:textId="77777777" w:rsidR="006A3667" w:rsidRDefault="006A3667">
            <w:pPr>
              <w:rPr>
                <w:rFonts w:ascii="宋体"/>
                <w:vanish/>
              </w:rPr>
            </w:pPr>
          </w:p>
        </w:tc>
        <w:tc>
          <w:tcPr>
            <w:tcW w:w="0" w:type="auto"/>
            <w:gridSpan w:val="3"/>
            <w:shd w:val="clear" w:color="auto" w:fill="auto"/>
            <w:vAlign w:val="bottom"/>
          </w:tcPr>
          <w:p w14:paraId="71D3FA80" w14:textId="77777777" w:rsidR="006A3667" w:rsidRDefault="006A3667">
            <w:pPr>
              <w:rPr>
                <w:rFonts w:ascii="宋体"/>
                <w:vanish/>
              </w:rPr>
            </w:pPr>
          </w:p>
        </w:tc>
        <w:tc>
          <w:tcPr>
            <w:tcW w:w="0" w:type="auto"/>
            <w:gridSpan w:val="2"/>
            <w:shd w:val="clear" w:color="auto" w:fill="auto"/>
            <w:vAlign w:val="bottom"/>
          </w:tcPr>
          <w:p w14:paraId="71D3FA81" w14:textId="77777777" w:rsidR="006A3667" w:rsidRDefault="006A3667">
            <w:pPr>
              <w:rPr>
                <w:rFonts w:ascii="宋体"/>
                <w:vanish/>
              </w:rPr>
            </w:pPr>
          </w:p>
        </w:tc>
        <w:tc>
          <w:tcPr>
            <w:tcW w:w="0" w:type="auto"/>
            <w:shd w:val="clear" w:color="auto" w:fill="auto"/>
            <w:vAlign w:val="bottom"/>
          </w:tcPr>
          <w:p w14:paraId="71D3FA82" w14:textId="77777777" w:rsidR="006A3667" w:rsidRDefault="006A3667">
            <w:pPr>
              <w:rPr>
                <w:rFonts w:ascii="宋体"/>
                <w:vanish/>
              </w:rPr>
            </w:pPr>
          </w:p>
        </w:tc>
      </w:tr>
      <w:tr w:rsidR="006A3667" w14:paraId="71D3FA9D" w14:textId="77777777">
        <w:tc>
          <w:tcPr>
            <w:tcW w:w="0" w:type="auto"/>
            <w:gridSpan w:val="3"/>
            <w:shd w:val="clear" w:color="auto" w:fill="FFFFFF"/>
            <w:tcMar>
              <w:top w:w="40" w:type="dxa"/>
              <w:left w:w="20" w:type="dxa"/>
              <w:bottom w:w="40" w:type="dxa"/>
              <w:right w:w="20" w:type="dxa"/>
            </w:tcMar>
            <w:vAlign w:val="bottom"/>
          </w:tcPr>
          <w:p w14:paraId="71D3FA84" w14:textId="77777777" w:rsidR="006A3667" w:rsidRDefault="00045F32">
            <w:pPr>
              <w:textAlignment w:val="bottom"/>
            </w:pPr>
            <w:r>
              <w:rPr>
                <w:rFonts w:ascii="Arial" w:eastAsia="宋体" w:hAnsi="Arial" w:cs="Arial"/>
                <w:color w:val="000000"/>
                <w:sz w:val="15"/>
                <w:szCs w:val="15"/>
              </w:rPr>
              <w:t>Foreign exchange trading services</w:t>
            </w:r>
          </w:p>
        </w:tc>
        <w:tc>
          <w:tcPr>
            <w:tcW w:w="0" w:type="auto"/>
            <w:shd w:val="clear" w:color="auto" w:fill="auto"/>
            <w:vAlign w:val="bottom"/>
          </w:tcPr>
          <w:p w14:paraId="71D3FA85" w14:textId="77777777" w:rsidR="006A3667" w:rsidRDefault="006A3667">
            <w:pPr>
              <w:rPr>
                <w:rFonts w:ascii="宋体"/>
                <w:vanish/>
              </w:rPr>
            </w:pPr>
          </w:p>
        </w:tc>
        <w:tc>
          <w:tcPr>
            <w:tcW w:w="0" w:type="auto"/>
            <w:shd w:val="clear" w:color="auto" w:fill="auto"/>
            <w:vAlign w:val="bottom"/>
          </w:tcPr>
          <w:p w14:paraId="71D3FA86" w14:textId="77777777" w:rsidR="006A3667" w:rsidRDefault="006A3667">
            <w:pPr>
              <w:rPr>
                <w:rFonts w:ascii="宋体"/>
                <w:vanish/>
              </w:rPr>
            </w:pPr>
          </w:p>
        </w:tc>
        <w:tc>
          <w:tcPr>
            <w:tcW w:w="0" w:type="auto"/>
            <w:shd w:val="clear" w:color="auto" w:fill="auto"/>
            <w:vAlign w:val="bottom"/>
          </w:tcPr>
          <w:p w14:paraId="71D3FA87" w14:textId="77777777" w:rsidR="006A3667" w:rsidRDefault="006A3667">
            <w:pPr>
              <w:rPr>
                <w:rFonts w:ascii="宋体"/>
                <w:vanish/>
              </w:rPr>
            </w:pPr>
          </w:p>
        </w:tc>
        <w:tc>
          <w:tcPr>
            <w:tcW w:w="0" w:type="auto"/>
            <w:shd w:val="clear" w:color="auto" w:fill="auto"/>
            <w:vAlign w:val="bottom"/>
          </w:tcPr>
          <w:p w14:paraId="71D3FA88" w14:textId="77777777" w:rsidR="006A3667" w:rsidRDefault="006A3667">
            <w:pPr>
              <w:rPr>
                <w:rFonts w:ascii="宋体"/>
                <w:vanish/>
              </w:rPr>
            </w:pPr>
          </w:p>
        </w:tc>
        <w:tc>
          <w:tcPr>
            <w:tcW w:w="0" w:type="auto"/>
            <w:shd w:val="clear" w:color="auto" w:fill="auto"/>
            <w:vAlign w:val="bottom"/>
          </w:tcPr>
          <w:p w14:paraId="71D3FA89" w14:textId="77777777" w:rsidR="006A3667" w:rsidRDefault="006A3667">
            <w:pPr>
              <w:rPr>
                <w:rFonts w:ascii="宋体"/>
                <w:vanish/>
              </w:rPr>
            </w:pPr>
          </w:p>
        </w:tc>
        <w:tc>
          <w:tcPr>
            <w:tcW w:w="0" w:type="auto"/>
            <w:shd w:val="clear" w:color="auto" w:fill="auto"/>
            <w:vAlign w:val="bottom"/>
          </w:tcPr>
          <w:p w14:paraId="71D3FA8A"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A8B" w14:textId="77777777" w:rsidR="006A3667" w:rsidRDefault="00045F32">
            <w:pPr>
              <w:jc w:val="right"/>
              <w:textAlignment w:val="bottom"/>
            </w:pPr>
            <w:r>
              <w:rPr>
                <w:rFonts w:ascii="Arial" w:eastAsia="宋体" w:hAnsi="Arial" w:cs="Arial"/>
                <w:b/>
                <w:bCs/>
                <w:color w:val="000000"/>
                <w:sz w:val="15"/>
                <w:szCs w:val="15"/>
              </w:rPr>
              <w:t>948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A8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A8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A8E" w14:textId="77777777" w:rsidR="006A3667" w:rsidRDefault="00045F32">
            <w:pPr>
              <w:jc w:val="right"/>
              <w:textAlignment w:val="bottom"/>
            </w:pPr>
            <w:r>
              <w:rPr>
                <w:rFonts w:ascii="Arial" w:eastAsia="宋体" w:hAnsi="Arial" w:cs="Arial"/>
                <w:color w:val="000000"/>
                <w:sz w:val="15"/>
                <w:szCs w:val="15"/>
              </w:rPr>
              <w:t>869 </w:t>
            </w:r>
          </w:p>
        </w:tc>
        <w:tc>
          <w:tcPr>
            <w:tcW w:w="0" w:type="auto"/>
            <w:shd w:val="clear" w:color="auto" w:fill="FFFFFF"/>
            <w:tcMar>
              <w:top w:w="40" w:type="dxa"/>
              <w:left w:w="0" w:type="dxa"/>
              <w:bottom w:w="40" w:type="dxa"/>
              <w:right w:w="20" w:type="dxa"/>
            </w:tcMar>
            <w:vAlign w:val="bottom"/>
          </w:tcPr>
          <w:p w14:paraId="71D3FA8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A90" w14:textId="77777777" w:rsidR="006A3667" w:rsidRDefault="006A3667">
            <w:pPr>
              <w:rPr>
                <w:rFonts w:ascii="宋体"/>
              </w:rPr>
            </w:pPr>
          </w:p>
        </w:tc>
        <w:tc>
          <w:tcPr>
            <w:tcW w:w="0" w:type="auto"/>
            <w:shd w:val="clear" w:color="auto" w:fill="auto"/>
            <w:vAlign w:val="bottom"/>
          </w:tcPr>
          <w:p w14:paraId="71D3FA91" w14:textId="77777777" w:rsidR="006A3667" w:rsidRDefault="006A3667">
            <w:pPr>
              <w:rPr>
                <w:rFonts w:ascii="宋体"/>
                <w:vanish/>
              </w:rPr>
            </w:pPr>
          </w:p>
        </w:tc>
        <w:tc>
          <w:tcPr>
            <w:tcW w:w="0" w:type="auto"/>
            <w:shd w:val="clear" w:color="auto" w:fill="auto"/>
            <w:vAlign w:val="bottom"/>
          </w:tcPr>
          <w:p w14:paraId="71D3FA92"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A93" w14:textId="77777777" w:rsidR="006A3667" w:rsidRDefault="00045F32">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71D3FA94" w14:textId="77777777" w:rsidR="006A3667" w:rsidRDefault="006A3667">
            <w:pPr>
              <w:jc w:val="right"/>
              <w:rPr>
                <w:rFonts w:ascii="宋体"/>
              </w:rPr>
            </w:pPr>
          </w:p>
        </w:tc>
        <w:tc>
          <w:tcPr>
            <w:tcW w:w="0" w:type="auto"/>
            <w:gridSpan w:val="3"/>
            <w:shd w:val="clear" w:color="auto" w:fill="auto"/>
            <w:vAlign w:val="bottom"/>
          </w:tcPr>
          <w:p w14:paraId="71D3FA95" w14:textId="77777777" w:rsidR="006A3667" w:rsidRDefault="006A3667">
            <w:pPr>
              <w:rPr>
                <w:rFonts w:ascii="宋体"/>
                <w:vanish/>
              </w:rPr>
            </w:pPr>
          </w:p>
        </w:tc>
        <w:tc>
          <w:tcPr>
            <w:tcW w:w="0" w:type="auto"/>
            <w:gridSpan w:val="3"/>
            <w:shd w:val="clear" w:color="auto" w:fill="auto"/>
            <w:vAlign w:val="bottom"/>
          </w:tcPr>
          <w:p w14:paraId="71D3FA96" w14:textId="77777777" w:rsidR="006A3667" w:rsidRDefault="006A3667">
            <w:pPr>
              <w:rPr>
                <w:rFonts w:ascii="宋体"/>
                <w:vanish/>
              </w:rPr>
            </w:pPr>
          </w:p>
        </w:tc>
        <w:tc>
          <w:tcPr>
            <w:tcW w:w="0" w:type="auto"/>
            <w:gridSpan w:val="3"/>
            <w:shd w:val="clear" w:color="auto" w:fill="auto"/>
            <w:vAlign w:val="bottom"/>
          </w:tcPr>
          <w:p w14:paraId="71D3FA97" w14:textId="77777777" w:rsidR="006A3667" w:rsidRDefault="006A3667">
            <w:pPr>
              <w:rPr>
                <w:rFonts w:ascii="宋体"/>
                <w:vanish/>
              </w:rPr>
            </w:pPr>
          </w:p>
        </w:tc>
        <w:tc>
          <w:tcPr>
            <w:tcW w:w="0" w:type="auto"/>
            <w:gridSpan w:val="3"/>
            <w:shd w:val="clear" w:color="auto" w:fill="auto"/>
            <w:vAlign w:val="bottom"/>
          </w:tcPr>
          <w:p w14:paraId="71D3FA98" w14:textId="77777777" w:rsidR="006A3667" w:rsidRDefault="006A3667">
            <w:pPr>
              <w:rPr>
                <w:rFonts w:ascii="宋体"/>
                <w:vanish/>
              </w:rPr>
            </w:pPr>
          </w:p>
        </w:tc>
        <w:tc>
          <w:tcPr>
            <w:tcW w:w="0" w:type="auto"/>
            <w:gridSpan w:val="3"/>
            <w:shd w:val="clear" w:color="auto" w:fill="auto"/>
            <w:vAlign w:val="bottom"/>
          </w:tcPr>
          <w:p w14:paraId="71D3FA99" w14:textId="77777777" w:rsidR="006A3667" w:rsidRDefault="006A3667">
            <w:pPr>
              <w:rPr>
                <w:rFonts w:ascii="宋体"/>
                <w:vanish/>
              </w:rPr>
            </w:pPr>
          </w:p>
        </w:tc>
        <w:tc>
          <w:tcPr>
            <w:tcW w:w="0" w:type="auto"/>
            <w:gridSpan w:val="3"/>
            <w:shd w:val="clear" w:color="auto" w:fill="auto"/>
            <w:vAlign w:val="bottom"/>
          </w:tcPr>
          <w:p w14:paraId="71D3FA9A" w14:textId="77777777" w:rsidR="006A3667" w:rsidRDefault="006A3667">
            <w:pPr>
              <w:rPr>
                <w:rFonts w:ascii="宋体"/>
                <w:vanish/>
              </w:rPr>
            </w:pPr>
          </w:p>
        </w:tc>
        <w:tc>
          <w:tcPr>
            <w:tcW w:w="0" w:type="auto"/>
            <w:gridSpan w:val="2"/>
            <w:shd w:val="clear" w:color="auto" w:fill="auto"/>
            <w:vAlign w:val="bottom"/>
          </w:tcPr>
          <w:p w14:paraId="71D3FA9B" w14:textId="77777777" w:rsidR="006A3667" w:rsidRDefault="006A3667">
            <w:pPr>
              <w:rPr>
                <w:rFonts w:ascii="宋体"/>
                <w:vanish/>
              </w:rPr>
            </w:pPr>
          </w:p>
        </w:tc>
        <w:tc>
          <w:tcPr>
            <w:tcW w:w="0" w:type="auto"/>
            <w:shd w:val="clear" w:color="auto" w:fill="auto"/>
            <w:vAlign w:val="bottom"/>
          </w:tcPr>
          <w:p w14:paraId="71D3FA9C" w14:textId="77777777" w:rsidR="006A3667" w:rsidRDefault="006A3667">
            <w:pPr>
              <w:rPr>
                <w:rFonts w:ascii="宋体"/>
                <w:vanish/>
              </w:rPr>
            </w:pPr>
          </w:p>
        </w:tc>
      </w:tr>
      <w:tr w:rsidR="006A3667" w14:paraId="71D3FAB7" w14:textId="77777777">
        <w:tc>
          <w:tcPr>
            <w:tcW w:w="0" w:type="auto"/>
            <w:gridSpan w:val="3"/>
            <w:shd w:val="clear" w:color="auto" w:fill="CCEEFF"/>
            <w:tcMar>
              <w:top w:w="40" w:type="dxa"/>
              <w:left w:w="20" w:type="dxa"/>
              <w:bottom w:w="40" w:type="dxa"/>
              <w:right w:w="20" w:type="dxa"/>
            </w:tcMar>
            <w:vAlign w:val="bottom"/>
          </w:tcPr>
          <w:p w14:paraId="71D3FA9E" w14:textId="77777777" w:rsidR="006A3667" w:rsidRDefault="00045F32">
            <w:pPr>
              <w:textAlignment w:val="bottom"/>
            </w:pPr>
            <w:r>
              <w:rPr>
                <w:rFonts w:ascii="Arial" w:eastAsia="宋体" w:hAnsi="Arial" w:cs="Arial"/>
                <w:color w:val="000000"/>
                <w:sz w:val="15"/>
                <w:szCs w:val="15"/>
              </w:rPr>
              <w:t>Securities finance</w:t>
            </w:r>
          </w:p>
        </w:tc>
        <w:tc>
          <w:tcPr>
            <w:tcW w:w="0" w:type="auto"/>
            <w:shd w:val="clear" w:color="auto" w:fill="auto"/>
            <w:vAlign w:val="bottom"/>
          </w:tcPr>
          <w:p w14:paraId="71D3FA9F" w14:textId="77777777" w:rsidR="006A3667" w:rsidRDefault="006A3667">
            <w:pPr>
              <w:rPr>
                <w:rFonts w:ascii="宋体"/>
                <w:vanish/>
              </w:rPr>
            </w:pPr>
          </w:p>
        </w:tc>
        <w:tc>
          <w:tcPr>
            <w:tcW w:w="0" w:type="auto"/>
            <w:shd w:val="clear" w:color="auto" w:fill="auto"/>
            <w:vAlign w:val="bottom"/>
          </w:tcPr>
          <w:p w14:paraId="71D3FAA0" w14:textId="77777777" w:rsidR="006A3667" w:rsidRDefault="006A3667">
            <w:pPr>
              <w:rPr>
                <w:rFonts w:ascii="宋体"/>
                <w:vanish/>
              </w:rPr>
            </w:pPr>
          </w:p>
        </w:tc>
        <w:tc>
          <w:tcPr>
            <w:tcW w:w="0" w:type="auto"/>
            <w:shd w:val="clear" w:color="auto" w:fill="auto"/>
            <w:vAlign w:val="bottom"/>
          </w:tcPr>
          <w:p w14:paraId="71D3FAA1" w14:textId="77777777" w:rsidR="006A3667" w:rsidRDefault="006A3667">
            <w:pPr>
              <w:rPr>
                <w:rFonts w:ascii="宋体"/>
                <w:vanish/>
              </w:rPr>
            </w:pPr>
          </w:p>
        </w:tc>
        <w:tc>
          <w:tcPr>
            <w:tcW w:w="0" w:type="auto"/>
            <w:shd w:val="clear" w:color="auto" w:fill="auto"/>
            <w:vAlign w:val="bottom"/>
          </w:tcPr>
          <w:p w14:paraId="71D3FAA2" w14:textId="77777777" w:rsidR="006A3667" w:rsidRDefault="006A3667">
            <w:pPr>
              <w:rPr>
                <w:rFonts w:ascii="宋体"/>
                <w:vanish/>
              </w:rPr>
            </w:pPr>
          </w:p>
        </w:tc>
        <w:tc>
          <w:tcPr>
            <w:tcW w:w="0" w:type="auto"/>
            <w:shd w:val="clear" w:color="auto" w:fill="auto"/>
            <w:vAlign w:val="bottom"/>
          </w:tcPr>
          <w:p w14:paraId="71D3FAA3" w14:textId="77777777" w:rsidR="006A3667" w:rsidRDefault="006A3667">
            <w:pPr>
              <w:rPr>
                <w:rFonts w:ascii="宋体"/>
                <w:vanish/>
              </w:rPr>
            </w:pPr>
          </w:p>
        </w:tc>
        <w:tc>
          <w:tcPr>
            <w:tcW w:w="0" w:type="auto"/>
            <w:shd w:val="clear" w:color="auto" w:fill="auto"/>
            <w:vAlign w:val="bottom"/>
          </w:tcPr>
          <w:p w14:paraId="71D3FAA4"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AA5" w14:textId="77777777" w:rsidR="006A3667" w:rsidRDefault="00045F32">
            <w:pPr>
              <w:jc w:val="right"/>
              <w:textAlignment w:val="bottom"/>
            </w:pPr>
            <w:r>
              <w:rPr>
                <w:rFonts w:ascii="Arial" w:eastAsia="宋体" w:hAnsi="Arial" w:cs="Arial"/>
                <w:b/>
                <w:bCs/>
                <w:color w:val="000000"/>
                <w:sz w:val="15"/>
                <w:szCs w:val="15"/>
              </w:rPr>
              <w:t>300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A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AA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AA8" w14:textId="77777777" w:rsidR="006A3667" w:rsidRDefault="00045F32">
            <w:pPr>
              <w:jc w:val="right"/>
              <w:textAlignment w:val="bottom"/>
            </w:pPr>
            <w:r>
              <w:rPr>
                <w:rFonts w:ascii="Arial" w:eastAsia="宋体" w:hAnsi="Arial" w:cs="Arial"/>
                <w:color w:val="000000"/>
                <w:sz w:val="15"/>
                <w:szCs w:val="15"/>
              </w:rPr>
              <w:t>304 </w:t>
            </w:r>
          </w:p>
        </w:tc>
        <w:tc>
          <w:tcPr>
            <w:tcW w:w="0" w:type="auto"/>
            <w:shd w:val="clear" w:color="auto" w:fill="CCEEFF"/>
            <w:tcMar>
              <w:top w:w="40" w:type="dxa"/>
              <w:left w:w="0" w:type="dxa"/>
              <w:bottom w:w="40" w:type="dxa"/>
              <w:right w:w="20" w:type="dxa"/>
            </w:tcMar>
            <w:vAlign w:val="bottom"/>
          </w:tcPr>
          <w:p w14:paraId="71D3FA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AAA" w14:textId="77777777" w:rsidR="006A3667" w:rsidRDefault="006A3667">
            <w:pPr>
              <w:rPr>
                <w:rFonts w:ascii="宋体"/>
              </w:rPr>
            </w:pPr>
          </w:p>
        </w:tc>
        <w:tc>
          <w:tcPr>
            <w:tcW w:w="0" w:type="auto"/>
            <w:shd w:val="clear" w:color="auto" w:fill="auto"/>
            <w:vAlign w:val="bottom"/>
          </w:tcPr>
          <w:p w14:paraId="71D3FAAB" w14:textId="77777777" w:rsidR="006A3667" w:rsidRDefault="006A3667">
            <w:pPr>
              <w:rPr>
                <w:rFonts w:ascii="宋体"/>
                <w:vanish/>
              </w:rPr>
            </w:pPr>
          </w:p>
        </w:tc>
        <w:tc>
          <w:tcPr>
            <w:tcW w:w="0" w:type="auto"/>
            <w:shd w:val="clear" w:color="auto" w:fill="auto"/>
            <w:vAlign w:val="bottom"/>
          </w:tcPr>
          <w:p w14:paraId="71D3FAAC"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AAD"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1D3FAAE" w14:textId="77777777" w:rsidR="006A3667" w:rsidRDefault="006A3667">
            <w:pPr>
              <w:jc w:val="right"/>
              <w:rPr>
                <w:rFonts w:ascii="宋体"/>
              </w:rPr>
            </w:pPr>
          </w:p>
        </w:tc>
        <w:tc>
          <w:tcPr>
            <w:tcW w:w="0" w:type="auto"/>
            <w:gridSpan w:val="3"/>
            <w:shd w:val="clear" w:color="auto" w:fill="auto"/>
            <w:vAlign w:val="bottom"/>
          </w:tcPr>
          <w:p w14:paraId="71D3FAAF" w14:textId="77777777" w:rsidR="006A3667" w:rsidRDefault="006A3667">
            <w:pPr>
              <w:rPr>
                <w:rFonts w:ascii="宋体"/>
                <w:vanish/>
              </w:rPr>
            </w:pPr>
          </w:p>
        </w:tc>
        <w:tc>
          <w:tcPr>
            <w:tcW w:w="0" w:type="auto"/>
            <w:gridSpan w:val="3"/>
            <w:shd w:val="clear" w:color="auto" w:fill="auto"/>
            <w:vAlign w:val="bottom"/>
          </w:tcPr>
          <w:p w14:paraId="71D3FAB0" w14:textId="77777777" w:rsidR="006A3667" w:rsidRDefault="006A3667">
            <w:pPr>
              <w:rPr>
                <w:rFonts w:ascii="宋体"/>
                <w:vanish/>
              </w:rPr>
            </w:pPr>
          </w:p>
        </w:tc>
        <w:tc>
          <w:tcPr>
            <w:tcW w:w="0" w:type="auto"/>
            <w:gridSpan w:val="3"/>
            <w:shd w:val="clear" w:color="auto" w:fill="auto"/>
            <w:vAlign w:val="bottom"/>
          </w:tcPr>
          <w:p w14:paraId="71D3FAB1" w14:textId="77777777" w:rsidR="006A3667" w:rsidRDefault="006A3667">
            <w:pPr>
              <w:rPr>
                <w:rFonts w:ascii="宋体"/>
                <w:vanish/>
              </w:rPr>
            </w:pPr>
          </w:p>
        </w:tc>
        <w:tc>
          <w:tcPr>
            <w:tcW w:w="0" w:type="auto"/>
            <w:gridSpan w:val="3"/>
            <w:shd w:val="clear" w:color="auto" w:fill="auto"/>
            <w:vAlign w:val="bottom"/>
          </w:tcPr>
          <w:p w14:paraId="71D3FAB2" w14:textId="77777777" w:rsidR="006A3667" w:rsidRDefault="006A3667">
            <w:pPr>
              <w:rPr>
                <w:rFonts w:ascii="宋体"/>
                <w:vanish/>
              </w:rPr>
            </w:pPr>
          </w:p>
        </w:tc>
        <w:tc>
          <w:tcPr>
            <w:tcW w:w="0" w:type="auto"/>
            <w:gridSpan w:val="3"/>
            <w:shd w:val="clear" w:color="auto" w:fill="auto"/>
            <w:vAlign w:val="bottom"/>
          </w:tcPr>
          <w:p w14:paraId="71D3FAB3" w14:textId="77777777" w:rsidR="006A3667" w:rsidRDefault="006A3667">
            <w:pPr>
              <w:rPr>
                <w:rFonts w:ascii="宋体"/>
                <w:vanish/>
              </w:rPr>
            </w:pPr>
          </w:p>
        </w:tc>
        <w:tc>
          <w:tcPr>
            <w:tcW w:w="0" w:type="auto"/>
            <w:gridSpan w:val="3"/>
            <w:shd w:val="clear" w:color="auto" w:fill="auto"/>
            <w:vAlign w:val="bottom"/>
          </w:tcPr>
          <w:p w14:paraId="71D3FAB4" w14:textId="77777777" w:rsidR="006A3667" w:rsidRDefault="006A3667">
            <w:pPr>
              <w:rPr>
                <w:rFonts w:ascii="宋体"/>
                <w:vanish/>
              </w:rPr>
            </w:pPr>
          </w:p>
        </w:tc>
        <w:tc>
          <w:tcPr>
            <w:tcW w:w="0" w:type="auto"/>
            <w:gridSpan w:val="2"/>
            <w:shd w:val="clear" w:color="auto" w:fill="auto"/>
            <w:vAlign w:val="bottom"/>
          </w:tcPr>
          <w:p w14:paraId="71D3FAB5" w14:textId="77777777" w:rsidR="006A3667" w:rsidRDefault="006A3667">
            <w:pPr>
              <w:rPr>
                <w:rFonts w:ascii="宋体"/>
                <w:vanish/>
              </w:rPr>
            </w:pPr>
          </w:p>
        </w:tc>
        <w:tc>
          <w:tcPr>
            <w:tcW w:w="0" w:type="auto"/>
            <w:shd w:val="clear" w:color="auto" w:fill="auto"/>
            <w:vAlign w:val="bottom"/>
          </w:tcPr>
          <w:p w14:paraId="71D3FAB6" w14:textId="77777777" w:rsidR="006A3667" w:rsidRDefault="006A3667">
            <w:pPr>
              <w:rPr>
                <w:rFonts w:ascii="宋体"/>
                <w:vanish/>
              </w:rPr>
            </w:pPr>
          </w:p>
        </w:tc>
      </w:tr>
      <w:tr w:rsidR="006A3667" w14:paraId="71D3FAD1" w14:textId="77777777">
        <w:tc>
          <w:tcPr>
            <w:tcW w:w="0" w:type="auto"/>
            <w:gridSpan w:val="3"/>
            <w:shd w:val="clear" w:color="auto" w:fill="FFFFFF"/>
            <w:tcMar>
              <w:top w:w="40" w:type="dxa"/>
              <w:left w:w="20" w:type="dxa"/>
              <w:bottom w:w="40" w:type="dxa"/>
              <w:right w:w="20" w:type="dxa"/>
            </w:tcMar>
            <w:vAlign w:val="bottom"/>
          </w:tcPr>
          <w:p w14:paraId="71D3FAB8" w14:textId="77777777" w:rsidR="006A3667" w:rsidRDefault="00045F32">
            <w:pPr>
              <w:textAlignment w:val="bottom"/>
            </w:pPr>
            <w:r>
              <w:rPr>
                <w:rFonts w:ascii="Arial" w:eastAsia="宋体" w:hAnsi="Arial" w:cs="Arial"/>
                <w:color w:val="000000"/>
                <w:sz w:val="15"/>
                <w:szCs w:val="15"/>
              </w:rPr>
              <w:t>Software and processing fees</w:t>
            </w:r>
          </w:p>
        </w:tc>
        <w:tc>
          <w:tcPr>
            <w:tcW w:w="0" w:type="auto"/>
            <w:shd w:val="clear" w:color="auto" w:fill="auto"/>
            <w:vAlign w:val="bottom"/>
          </w:tcPr>
          <w:p w14:paraId="71D3FAB9" w14:textId="77777777" w:rsidR="006A3667" w:rsidRDefault="006A3667">
            <w:pPr>
              <w:rPr>
                <w:rFonts w:ascii="宋体"/>
                <w:vanish/>
              </w:rPr>
            </w:pPr>
          </w:p>
        </w:tc>
        <w:tc>
          <w:tcPr>
            <w:tcW w:w="0" w:type="auto"/>
            <w:shd w:val="clear" w:color="auto" w:fill="auto"/>
            <w:vAlign w:val="bottom"/>
          </w:tcPr>
          <w:p w14:paraId="71D3FABA" w14:textId="77777777" w:rsidR="006A3667" w:rsidRDefault="006A3667">
            <w:pPr>
              <w:rPr>
                <w:rFonts w:ascii="宋体"/>
                <w:vanish/>
              </w:rPr>
            </w:pPr>
          </w:p>
        </w:tc>
        <w:tc>
          <w:tcPr>
            <w:tcW w:w="0" w:type="auto"/>
            <w:shd w:val="clear" w:color="auto" w:fill="auto"/>
            <w:vAlign w:val="bottom"/>
          </w:tcPr>
          <w:p w14:paraId="71D3FABB" w14:textId="77777777" w:rsidR="006A3667" w:rsidRDefault="006A3667">
            <w:pPr>
              <w:rPr>
                <w:rFonts w:ascii="宋体"/>
                <w:vanish/>
              </w:rPr>
            </w:pPr>
          </w:p>
        </w:tc>
        <w:tc>
          <w:tcPr>
            <w:tcW w:w="0" w:type="auto"/>
            <w:shd w:val="clear" w:color="auto" w:fill="auto"/>
            <w:vAlign w:val="bottom"/>
          </w:tcPr>
          <w:p w14:paraId="71D3FABC" w14:textId="77777777" w:rsidR="006A3667" w:rsidRDefault="006A3667">
            <w:pPr>
              <w:rPr>
                <w:rFonts w:ascii="宋体"/>
                <w:vanish/>
              </w:rPr>
            </w:pPr>
          </w:p>
        </w:tc>
        <w:tc>
          <w:tcPr>
            <w:tcW w:w="0" w:type="auto"/>
            <w:shd w:val="clear" w:color="auto" w:fill="auto"/>
            <w:vAlign w:val="bottom"/>
          </w:tcPr>
          <w:p w14:paraId="71D3FABD" w14:textId="77777777" w:rsidR="006A3667" w:rsidRDefault="006A3667">
            <w:pPr>
              <w:rPr>
                <w:rFonts w:ascii="宋体"/>
                <w:vanish/>
              </w:rPr>
            </w:pPr>
          </w:p>
        </w:tc>
        <w:tc>
          <w:tcPr>
            <w:tcW w:w="0" w:type="auto"/>
            <w:shd w:val="clear" w:color="auto" w:fill="auto"/>
            <w:vAlign w:val="bottom"/>
          </w:tcPr>
          <w:p w14:paraId="71D3FABE"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ABF" w14:textId="77777777" w:rsidR="006A3667" w:rsidRDefault="00045F32">
            <w:pPr>
              <w:jc w:val="right"/>
              <w:textAlignment w:val="bottom"/>
            </w:pPr>
            <w:r>
              <w:rPr>
                <w:rFonts w:ascii="Arial" w:eastAsia="宋体" w:hAnsi="Arial" w:cs="Arial"/>
                <w:b/>
                <w:bCs/>
                <w:color w:val="000000"/>
                <w:sz w:val="15"/>
                <w:szCs w:val="15"/>
              </w:rPr>
              <w:t>573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AC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AC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AC2" w14:textId="77777777" w:rsidR="006A3667" w:rsidRDefault="00045F32">
            <w:pPr>
              <w:jc w:val="right"/>
              <w:textAlignment w:val="bottom"/>
            </w:pPr>
            <w:r>
              <w:rPr>
                <w:rFonts w:ascii="Arial" w:eastAsia="宋体" w:hAnsi="Arial" w:cs="Arial"/>
                <w:color w:val="000000"/>
                <w:sz w:val="15"/>
                <w:szCs w:val="15"/>
              </w:rPr>
              <w:t>551 </w:t>
            </w:r>
          </w:p>
        </w:tc>
        <w:tc>
          <w:tcPr>
            <w:tcW w:w="0" w:type="auto"/>
            <w:shd w:val="clear" w:color="auto" w:fill="FFFFFF"/>
            <w:tcMar>
              <w:top w:w="40" w:type="dxa"/>
              <w:left w:w="0" w:type="dxa"/>
              <w:bottom w:w="40" w:type="dxa"/>
              <w:right w:w="20" w:type="dxa"/>
            </w:tcMar>
            <w:vAlign w:val="bottom"/>
          </w:tcPr>
          <w:p w14:paraId="71D3FAC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AC4" w14:textId="77777777" w:rsidR="006A3667" w:rsidRDefault="006A3667">
            <w:pPr>
              <w:rPr>
                <w:rFonts w:ascii="宋体"/>
              </w:rPr>
            </w:pPr>
          </w:p>
        </w:tc>
        <w:tc>
          <w:tcPr>
            <w:tcW w:w="0" w:type="auto"/>
            <w:shd w:val="clear" w:color="auto" w:fill="auto"/>
            <w:vAlign w:val="bottom"/>
          </w:tcPr>
          <w:p w14:paraId="71D3FAC5" w14:textId="77777777" w:rsidR="006A3667" w:rsidRDefault="006A3667">
            <w:pPr>
              <w:rPr>
                <w:rFonts w:ascii="宋体"/>
                <w:vanish/>
              </w:rPr>
            </w:pPr>
          </w:p>
        </w:tc>
        <w:tc>
          <w:tcPr>
            <w:tcW w:w="0" w:type="auto"/>
            <w:shd w:val="clear" w:color="auto" w:fill="auto"/>
            <w:vAlign w:val="bottom"/>
          </w:tcPr>
          <w:p w14:paraId="71D3FAC6"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AC7" w14:textId="77777777" w:rsidR="006A3667" w:rsidRDefault="00045F32">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71D3FAC8" w14:textId="77777777" w:rsidR="006A3667" w:rsidRDefault="006A3667">
            <w:pPr>
              <w:jc w:val="right"/>
              <w:rPr>
                <w:rFonts w:ascii="宋体"/>
              </w:rPr>
            </w:pPr>
          </w:p>
        </w:tc>
        <w:tc>
          <w:tcPr>
            <w:tcW w:w="0" w:type="auto"/>
            <w:gridSpan w:val="3"/>
            <w:shd w:val="clear" w:color="auto" w:fill="auto"/>
            <w:vAlign w:val="bottom"/>
          </w:tcPr>
          <w:p w14:paraId="71D3FAC9" w14:textId="77777777" w:rsidR="006A3667" w:rsidRDefault="006A3667">
            <w:pPr>
              <w:rPr>
                <w:rFonts w:ascii="宋体"/>
                <w:vanish/>
              </w:rPr>
            </w:pPr>
          </w:p>
        </w:tc>
        <w:tc>
          <w:tcPr>
            <w:tcW w:w="0" w:type="auto"/>
            <w:gridSpan w:val="3"/>
            <w:shd w:val="clear" w:color="auto" w:fill="auto"/>
            <w:vAlign w:val="bottom"/>
          </w:tcPr>
          <w:p w14:paraId="71D3FACA" w14:textId="77777777" w:rsidR="006A3667" w:rsidRDefault="006A3667">
            <w:pPr>
              <w:rPr>
                <w:rFonts w:ascii="宋体"/>
                <w:vanish/>
              </w:rPr>
            </w:pPr>
          </w:p>
        </w:tc>
        <w:tc>
          <w:tcPr>
            <w:tcW w:w="0" w:type="auto"/>
            <w:gridSpan w:val="3"/>
            <w:shd w:val="clear" w:color="auto" w:fill="auto"/>
            <w:vAlign w:val="bottom"/>
          </w:tcPr>
          <w:p w14:paraId="71D3FACB" w14:textId="77777777" w:rsidR="006A3667" w:rsidRDefault="006A3667">
            <w:pPr>
              <w:rPr>
                <w:rFonts w:ascii="宋体"/>
                <w:vanish/>
              </w:rPr>
            </w:pPr>
          </w:p>
        </w:tc>
        <w:tc>
          <w:tcPr>
            <w:tcW w:w="0" w:type="auto"/>
            <w:gridSpan w:val="3"/>
            <w:shd w:val="clear" w:color="auto" w:fill="auto"/>
            <w:vAlign w:val="bottom"/>
          </w:tcPr>
          <w:p w14:paraId="71D3FACC" w14:textId="77777777" w:rsidR="006A3667" w:rsidRDefault="006A3667">
            <w:pPr>
              <w:rPr>
                <w:rFonts w:ascii="宋体"/>
                <w:vanish/>
              </w:rPr>
            </w:pPr>
          </w:p>
        </w:tc>
        <w:tc>
          <w:tcPr>
            <w:tcW w:w="0" w:type="auto"/>
            <w:gridSpan w:val="3"/>
            <w:shd w:val="clear" w:color="auto" w:fill="auto"/>
            <w:vAlign w:val="bottom"/>
          </w:tcPr>
          <w:p w14:paraId="71D3FACD" w14:textId="77777777" w:rsidR="006A3667" w:rsidRDefault="006A3667">
            <w:pPr>
              <w:rPr>
                <w:rFonts w:ascii="宋体"/>
                <w:vanish/>
              </w:rPr>
            </w:pPr>
          </w:p>
        </w:tc>
        <w:tc>
          <w:tcPr>
            <w:tcW w:w="0" w:type="auto"/>
            <w:gridSpan w:val="3"/>
            <w:shd w:val="clear" w:color="auto" w:fill="auto"/>
            <w:vAlign w:val="bottom"/>
          </w:tcPr>
          <w:p w14:paraId="71D3FACE" w14:textId="77777777" w:rsidR="006A3667" w:rsidRDefault="006A3667">
            <w:pPr>
              <w:rPr>
                <w:rFonts w:ascii="宋体"/>
                <w:vanish/>
              </w:rPr>
            </w:pPr>
          </w:p>
        </w:tc>
        <w:tc>
          <w:tcPr>
            <w:tcW w:w="0" w:type="auto"/>
            <w:gridSpan w:val="2"/>
            <w:shd w:val="clear" w:color="auto" w:fill="auto"/>
            <w:vAlign w:val="bottom"/>
          </w:tcPr>
          <w:p w14:paraId="71D3FACF" w14:textId="77777777" w:rsidR="006A3667" w:rsidRDefault="006A3667">
            <w:pPr>
              <w:rPr>
                <w:rFonts w:ascii="宋体"/>
                <w:vanish/>
              </w:rPr>
            </w:pPr>
          </w:p>
        </w:tc>
        <w:tc>
          <w:tcPr>
            <w:tcW w:w="0" w:type="auto"/>
            <w:shd w:val="clear" w:color="auto" w:fill="auto"/>
            <w:vAlign w:val="bottom"/>
          </w:tcPr>
          <w:p w14:paraId="71D3FAD0" w14:textId="77777777" w:rsidR="006A3667" w:rsidRDefault="006A3667">
            <w:pPr>
              <w:rPr>
                <w:rFonts w:ascii="宋体"/>
                <w:vanish/>
              </w:rPr>
            </w:pPr>
          </w:p>
        </w:tc>
      </w:tr>
      <w:tr w:rsidR="006A3667" w14:paraId="71D3FAEB" w14:textId="77777777">
        <w:tc>
          <w:tcPr>
            <w:tcW w:w="0" w:type="auto"/>
            <w:gridSpan w:val="3"/>
            <w:shd w:val="clear" w:color="auto" w:fill="CCEEFF"/>
            <w:tcMar>
              <w:top w:w="40" w:type="dxa"/>
              <w:left w:w="20" w:type="dxa"/>
              <w:bottom w:w="40" w:type="dxa"/>
              <w:right w:w="20" w:type="dxa"/>
            </w:tcMar>
            <w:vAlign w:val="bottom"/>
          </w:tcPr>
          <w:p w14:paraId="71D3FAD2" w14:textId="77777777" w:rsidR="006A3667" w:rsidRDefault="00045F32">
            <w:pPr>
              <w:textAlignment w:val="bottom"/>
            </w:pPr>
            <w:r>
              <w:rPr>
                <w:rFonts w:ascii="Arial" w:eastAsia="宋体" w:hAnsi="Arial" w:cs="Arial"/>
                <w:color w:val="000000"/>
                <w:sz w:val="15"/>
                <w:szCs w:val="15"/>
              </w:rPr>
              <w:t>Other fee revenue</w:t>
            </w:r>
          </w:p>
        </w:tc>
        <w:tc>
          <w:tcPr>
            <w:tcW w:w="0" w:type="auto"/>
            <w:shd w:val="clear" w:color="auto" w:fill="auto"/>
            <w:vAlign w:val="bottom"/>
          </w:tcPr>
          <w:p w14:paraId="71D3FAD3" w14:textId="77777777" w:rsidR="006A3667" w:rsidRDefault="006A3667">
            <w:pPr>
              <w:rPr>
                <w:rFonts w:ascii="宋体"/>
                <w:vanish/>
              </w:rPr>
            </w:pPr>
          </w:p>
        </w:tc>
        <w:tc>
          <w:tcPr>
            <w:tcW w:w="0" w:type="auto"/>
            <w:shd w:val="clear" w:color="auto" w:fill="auto"/>
            <w:vAlign w:val="bottom"/>
          </w:tcPr>
          <w:p w14:paraId="71D3FAD4" w14:textId="77777777" w:rsidR="006A3667" w:rsidRDefault="006A3667">
            <w:pPr>
              <w:rPr>
                <w:rFonts w:ascii="宋体"/>
                <w:vanish/>
              </w:rPr>
            </w:pPr>
          </w:p>
        </w:tc>
        <w:tc>
          <w:tcPr>
            <w:tcW w:w="0" w:type="auto"/>
            <w:shd w:val="clear" w:color="auto" w:fill="auto"/>
            <w:vAlign w:val="bottom"/>
          </w:tcPr>
          <w:p w14:paraId="71D3FAD5" w14:textId="77777777" w:rsidR="006A3667" w:rsidRDefault="006A3667">
            <w:pPr>
              <w:rPr>
                <w:rFonts w:ascii="宋体"/>
                <w:vanish/>
              </w:rPr>
            </w:pPr>
          </w:p>
        </w:tc>
        <w:tc>
          <w:tcPr>
            <w:tcW w:w="0" w:type="auto"/>
            <w:shd w:val="clear" w:color="auto" w:fill="auto"/>
            <w:vAlign w:val="bottom"/>
          </w:tcPr>
          <w:p w14:paraId="71D3FAD6" w14:textId="77777777" w:rsidR="006A3667" w:rsidRDefault="006A3667">
            <w:pPr>
              <w:rPr>
                <w:rFonts w:ascii="宋体"/>
                <w:vanish/>
              </w:rPr>
            </w:pPr>
          </w:p>
        </w:tc>
        <w:tc>
          <w:tcPr>
            <w:tcW w:w="0" w:type="auto"/>
            <w:shd w:val="clear" w:color="auto" w:fill="auto"/>
            <w:vAlign w:val="bottom"/>
          </w:tcPr>
          <w:p w14:paraId="71D3FAD7" w14:textId="77777777" w:rsidR="006A3667" w:rsidRDefault="006A3667">
            <w:pPr>
              <w:rPr>
                <w:rFonts w:ascii="宋体"/>
                <w:vanish/>
              </w:rPr>
            </w:pPr>
          </w:p>
        </w:tc>
        <w:tc>
          <w:tcPr>
            <w:tcW w:w="0" w:type="auto"/>
            <w:shd w:val="clear" w:color="auto" w:fill="auto"/>
            <w:vAlign w:val="bottom"/>
          </w:tcPr>
          <w:p w14:paraId="71D3FAD8"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AD9" w14:textId="77777777" w:rsidR="006A3667" w:rsidRDefault="00045F32">
            <w:pPr>
              <w:jc w:val="right"/>
              <w:textAlignment w:val="bottom"/>
            </w:pPr>
            <w:r>
              <w:rPr>
                <w:rFonts w:ascii="Arial" w:eastAsia="宋体" w:hAnsi="Arial" w:cs="Arial"/>
                <w:b/>
                <w:bCs/>
                <w:color w:val="000000"/>
                <w:sz w:val="15"/>
                <w:szCs w:val="15"/>
              </w:rPr>
              <w:t>46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A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AD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ADC" w14:textId="77777777" w:rsidR="006A3667" w:rsidRDefault="00045F32">
            <w:pPr>
              <w:jc w:val="right"/>
              <w:textAlignment w:val="bottom"/>
            </w:pPr>
            <w:r>
              <w:rPr>
                <w:rFonts w:ascii="Arial" w:eastAsia="宋体" w:hAnsi="Arial" w:cs="Arial"/>
                <w:color w:val="000000"/>
                <w:sz w:val="15"/>
                <w:szCs w:val="15"/>
              </w:rPr>
              <w:t>45 </w:t>
            </w:r>
          </w:p>
        </w:tc>
        <w:tc>
          <w:tcPr>
            <w:tcW w:w="0" w:type="auto"/>
            <w:shd w:val="clear" w:color="auto" w:fill="CCEEFF"/>
            <w:tcMar>
              <w:top w:w="40" w:type="dxa"/>
              <w:left w:w="0" w:type="dxa"/>
              <w:bottom w:w="40" w:type="dxa"/>
              <w:right w:w="20" w:type="dxa"/>
            </w:tcMar>
            <w:vAlign w:val="bottom"/>
          </w:tcPr>
          <w:p w14:paraId="71D3FA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ADE" w14:textId="77777777" w:rsidR="006A3667" w:rsidRDefault="006A3667">
            <w:pPr>
              <w:rPr>
                <w:rFonts w:ascii="宋体"/>
              </w:rPr>
            </w:pPr>
          </w:p>
        </w:tc>
        <w:tc>
          <w:tcPr>
            <w:tcW w:w="0" w:type="auto"/>
            <w:shd w:val="clear" w:color="auto" w:fill="auto"/>
            <w:vAlign w:val="bottom"/>
          </w:tcPr>
          <w:p w14:paraId="71D3FADF" w14:textId="77777777" w:rsidR="006A3667" w:rsidRDefault="006A3667">
            <w:pPr>
              <w:rPr>
                <w:rFonts w:ascii="宋体"/>
                <w:vanish/>
              </w:rPr>
            </w:pPr>
          </w:p>
        </w:tc>
        <w:tc>
          <w:tcPr>
            <w:tcW w:w="0" w:type="auto"/>
            <w:shd w:val="clear" w:color="auto" w:fill="auto"/>
            <w:vAlign w:val="bottom"/>
          </w:tcPr>
          <w:p w14:paraId="71D3FAE0"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AE1"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1D3FAE2" w14:textId="77777777" w:rsidR="006A3667" w:rsidRDefault="006A3667">
            <w:pPr>
              <w:jc w:val="right"/>
              <w:rPr>
                <w:rFonts w:ascii="宋体"/>
              </w:rPr>
            </w:pPr>
          </w:p>
        </w:tc>
        <w:tc>
          <w:tcPr>
            <w:tcW w:w="0" w:type="auto"/>
            <w:gridSpan w:val="3"/>
            <w:shd w:val="clear" w:color="auto" w:fill="auto"/>
            <w:vAlign w:val="bottom"/>
          </w:tcPr>
          <w:p w14:paraId="71D3FAE3" w14:textId="77777777" w:rsidR="006A3667" w:rsidRDefault="006A3667">
            <w:pPr>
              <w:rPr>
                <w:rFonts w:ascii="宋体"/>
                <w:vanish/>
              </w:rPr>
            </w:pPr>
          </w:p>
        </w:tc>
        <w:tc>
          <w:tcPr>
            <w:tcW w:w="0" w:type="auto"/>
            <w:gridSpan w:val="3"/>
            <w:shd w:val="clear" w:color="auto" w:fill="auto"/>
            <w:vAlign w:val="bottom"/>
          </w:tcPr>
          <w:p w14:paraId="71D3FAE4" w14:textId="77777777" w:rsidR="006A3667" w:rsidRDefault="006A3667">
            <w:pPr>
              <w:rPr>
                <w:rFonts w:ascii="宋体"/>
                <w:vanish/>
              </w:rPr>
            </w:pPr>
          </w:p>
        </w:tc>
        <w:tc>
          <w:tcPr>
            <w:tcW w:w="0" w:type="auto"/>
            <w:gridSpan w:val="3"/>
            <w:shd w:val="clear" w:color="auto" w:fill="auto"/>
            <w:vAlign w:val="bottom"/>
          </w:tcPr>
          <w:p w14:paraId="71D3FAE5" w14:textId="77777777" w:rsidR="006A3667" w:rsidRDefault="006A3667">
            <w:pPr>
              <w:rPr>
                <w:rFonts w:ascii="宋体"/>
                <w:vanish/>
              </w:rPr>
            </w:pPr>
          </w:p>
        </w:tc>
        <w:tc>
          <w:tcPr>
            <w:tcW w:w="0" w:type="auto"/>
            <w:gridSpan w:val="3"/>
            <w:shd w:val="clear" w:color="auto" w:fill="auto"/>
            <w:vAlign w:val="bottom"/>
          </w:tcPr>
          <w:p w14:paraId="71D3FAE6" w14:textId="77777777" w:rsidR="006A3667" w:rsidRDefault="006A3667">
            <w:pPr>
              <w:rPr>
                <w:rFonts w:ascii="宋体"/>
                <w:vanish/>
              </w:rPr>
            </w:pPr>
          </w:p>
        </w:tc>
        <w:tc>
          <w:tcPr>
            <w:tcW w:w="0" w:type="auto"/>
            <w:gridSpan w:val="3"/>
            <w:shd w:val="clear" w:color="auto" w:fill="auto"/>
            <w:vAlign w:val="bottom"/>
          </w:tcPr>
          <w:p w14:paraId="71D3FAE7" w14:textId="77777777" w:rsidR="006A3667" w:rsidRDefault="006A3667">
            <w:pPr>
              <w:rPr>
                <w:rFonts w:ascii="宋体"/>
                <w:vanish/>
              </w:rPr>
            </w:pPr>
          </w:p>
        </w:tc>
        <w:tc>
          <w:tcPr>
            <w:tcW w:w="0" w:type="auto"/>
            <w:gridSpan w:val="3"/>
            <w:shd w:val="clear" w:color="auto" w:fill="auto"/>
            <w:vAlign w:val="bottom"/>
          </w:tcPr>
          <w:p w14:paraId="71D3FAE8" w14:textId="77777777" w:rsidR="006A3667" w:rsidRDefault="006A3667">
            <w:pPr>
              <w:rPr>
                <w:rFonts w:ascii="宋体"/>
                <w:vanish/>
              </w:rPr>
            </w:pPr>
          </w:p>
        </w:tc>
        <w:tc>
          <w:tcPr>
            <w:tcW w:w="0" w:type="auto"/>
            <w:gridSpan w:val="2"/>
            <w:shd w:val="clear" w:color="auto" w:fill="auto"/>
            <w:vAlign w:val="bottom"/>
          </w:tcPr>
          <w:p w14:paraId="71D3FAE9" w14:textId="77777777" w:rsidR="006A3667" w:rsidRDefault="006A3667">
            <w:pPr>
              <w:rPr>
                <w:rFonts w:ascii="宋体"/>
                <w:vanish/>
              </w:rPr>
            </w:pPr>
          </w:p>
        </w:tc>
        <w:tc>
          <w:tcPr>
            <w:tcW w:w="0" w:type="auto"/>
            <w:shd w:val="clear" w:color="auto" w:fill="auto"/>
            <w:vAlign w:val="bottom"/>
          </w:tcPr>
          <w:p w14:paraId="71D3FAEA" w14:textId="77777777" w:rsidR="006A3667" w:rsidRDefault="006A3667">
            <w:pPr>
              <w:rPr>
                <w:rFonts w:ascii="宋体"/>
                <w:vanish/>
              </w:rPr>
            </w:pPr>
          </w:p>
        </w:tc>
      </w:tr>
      <w:tr w:rsidR="006A3667" w14:paraId="71D3FB05" w14:textId="77777777">
        <w:tc>
          <w:tcPr>
            <w:tcW w:w="0" w:type="auto"/>
            <w:gridSpan w:val="3"/>
            <w:shd w:val="clear" w:color="auto" w:fill="FFFFFF"/>
            <w:tcMar>
              <w:top w:w="40" w:type="dxa"/>
              <w:left w:w="20" w:type="dxa"/>
              <w:bottom w:w="40" w:type="dxa"/>
              <w:right w:w="20" w:type="dxa"/>
            </w:tcMar>
            <w:vAlign w:val="bottom"/>
          </w:tcPr>
          <w:p w14:paraId="71D3FAEC" w14:textId="77777777" w:rsidR="006A3667" w:rsidRDefault="00045F32">
            <w:pPr>
              <w:textAlignment w:val="bottom"/>
            </w:pPr>
            <w:r>
              <w:rPr>
                <w:rFonts w:ascii="Arial" w:eastAsia="宋体" w:hAnsi="Arial" w:cs="Arial"/>
                <w:color w:val="000000"/>
                <w:sz w:val="15"/>
                <w:szCs w:val="15"/>
              </w:rPr>
              <w:t>Total fee revenue</w:t>
            </w:r>
          </w:p>
        </w:tc>
        <w:tc>
          <w:tcPr>
            <w:tcW w:w="0" w:type="auto"/>
            <w:shd w:val="clear" w:color="auto" w:fill="auto"/>
            <w:vAlign w:val="bottom"/>
          </w:tcPr>
          <w:p w14:paraId="71D3FAED" w14:textId="77777777" w:rsidR="006A3667" w:rsidRDefault="006A3667">
            <w:pPr>
              <w:rPr>
                <w:rFonts w:ascii="宋体"/>
                <w:vanish/>
              </w:rPr>
            </w:pPr>
          </w:p>
        </w:tc>
        <w:tc>
          <w:tcPr>
            <w:tcW w:w="0" w:type="auto"/>
            <w:shd w:val="clear" w:color="auto" w:fill="auto"/>
            <w:vAlign w:val="bottom"/>
          </w:tcPr>
          <w:p w14:paraId="71D3FAEE" w14:textId="77777777" w:rsidR="006A3667" w:rsidRDefault="006A3667">
            <w:pPr>
              <w:rPr>
                <w:rFonts w:ascii="宋体"/>
                <w:vanish/>
              </w:rPr>
            </w:pPr>
          </w:p>
        </w:tc>
        <w:tc>
          <w:tcPr>
            <w:tcW w:w="0" w:type="auto"/>
            <w:shd w:val="clear" w:color="auto" w:fill="auto"/>
            <w:vAlign w:val="bottom"/>
          </w:tcPr>
          <w:p w14:paraId="71D3FAEF" w14:textId="77777777" w:rsidR="006A3667" w:rsidRDefault="006A3667">
            <w:pPr>
              <w:rPr>
                <w:rFonts w:ascii="宋体"/>
                <w:vanish/>
              </w:rPr>
            </w:pPr>
          </w:p>
        </w:tc>
        <w:tc>
          <w:tcPr>
            <w:tcW w:w="0" w:type="auto"/>
            <w:shd w:val="clear" w:color="auto" w:fill="auto"/>
            <w:vAlign w:val="bottom"/>
          </w:tcPr>
          <w:p w14:paraId="71D3FAF0" w14:textId="77777777" w:rsidR="006A3667" w:rsidRDefault="006A3667">
            <w:pPr>
              <w:rPr>
                <w:rFonts w:ascii="宋体"/>
                <w:vanish/>
              </w:rPr>
            </w:pPr>
          </w:p>
        </w:tc>
        <w:tc>
          <w:tcPr>
            <w:tcW w:w="0" w:type="auto"/>
            <w:shd w:val="clear" w:color="auto" w:fill="auto"/>
            <w:vAlign w:val="bottom"/>
          </w:tcPr>
          <w:p w14:paraId="71D3FAF1" w14:textId="77777777" w:rsidR="006A3667" w:rsidRDefault="006A3667">
            <w:pPr>
              <w:rPr>
                <w:rFonts w:ascii="宋体"/>
                <w:vanish/>
              </w:rPr>
            </w:pPr>
          </w:p>
        </w:tc>
        <w:tc>
          <w:tcPr>
            <w:tcW w:w="0" w:type="auto"/>
            <w:shd w:val="clear" w:color="auto" w:fill="auto"/>
            <w:vAlign w:val="bottom"/>
          </w:tcPr>
          <w:p w14:paraId="71D3FAF2"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AF3" w14:textId="77777777" w:rsidR="006A3667" w:rsidRDefault="00045F32">
            <w:pPr>
              <w:jc w:val="right"/>
              <w:textAlignment w:val="bottom"/>
            </w:pPr>
            <w:r>
              <w:rPr>
                <w:rFonts w:ascii="Arial" w:eastAsia="宋体" w:hAnsi="Arial" w:cs="Arial"/>
                <w:b/>
                <w:bCs/>
                <w:color w:val="000000"/>
                <w:sz w:val="15"/>
                <w:szCs w:val="15"/>
              </w:rPr>
              <w:t>5,751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A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AF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AF6" w14:textId="77777777" w:rsidR="006A3667" w:rsidRDefault="00045F32">
            <w:pPr>
              <w:jc w:val="right"/>
              <w:textAlignment w:val="bottom"/>
            </w:pPr>
            <w:r>
              <w:rPr>
                <w:rFonts w:ascii="Arial" w:eastAsia="宋体" w:hAnsi="Arial" w:cs="Arial"/>
                <w:color w:val="000000"/>
                <w:sz w:val="15"/>
                <w:szCs w:val="15"/>
              </w:rPr>
              <w:t>5,923 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A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AF8" w14:textId="77777777" w:rsidR="006A3667" w:rsidRDefault="006A3667">
            <w:pPr>
              <w:rPr>
                <w:rFonts w:ascii="宋体"/>
              </w:rPr>
            </w:pPr>
          </w:p>
        </w:tc>
        <w:tc>
          <w:tcPr>
            <w:tcW w:w="0" w:type="auto"/>
            <w:shd w:val="clear" w:color="auto" w:fill="auto"/>
            <w:vAlign w:val="bottom"/>
          </w:tcPr>
          <w:p w14:paraId="71D3FAF9" w14:textId="77777777" w:rsidR="006A3667" w:rsidRDefault="006A3667">
            <w:pPr>
              <w:rPr>
                <w:rFonts w:ascii="宋体"/>
                <w:vanish/>
              </w:rPr>
            </w:pPr>
          </w:p>
        </w:tc>
        <w:tc>
          <w:tcPr>
            <w:tcW w:w="0" w:type="auto"/>
            <w:shd w:val="clear" w:color="auto" w:fill="auto"/>
            <w:vAlign w:val="bottom"/>
          </w:tcPr>
          <w:p w14:paraId="71D3FAFA"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AFB" w14:textId="77777777" w:rsidR="006A3667" w:rsidRDefault="00045F32">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71D3FAFC" w14:textId="77777777" w:rsidR="006A3667" w:rsidRDefault="006A3667">
            <w:pPr>
              <w:jc w:val="right"/>
              <w:rPr>
                <w:rFonts w:ascii="宋体"/>
              </w:rPr>
            </w:pPr>
          </w:p>
        </w:tc>
        <w:tc>
          <w:tcPr>
            <w:tcW w:w="0" w:type="auto"/>
            <w:gridSpan w:val="3"/>
            <w:shd w:val="clear" w:color="auto" w:fill="auto"/>
            <w:vAlign w:val="bottom"/>
          </w:tcPr>
          <w:p w14:paraId="71D3FAFD" w14:textId="77777777" w:rsidR="006A3667" w:rsidRDefault="006A3667">
            <w:pPr>
              <w:rPr>
                <w:rFonts w:ascii="宋体"/>
                <w:vanish/>
              </w:rPr>
            </w:pPr>
          </w:p>
        </w:tc>
        <w:tc>
          <w:tcPr>
            <w:tcW w:w="0" w:type="auto"/>
            <w:gridSpan w:val="3"/>
            <w:shd w:val="clear" w:color="auto" w:fill="auto"/>
            <w:vAlign w:val="bottom"/>
          </w:tcPr>
          <w:p w14:paraId="71D3FAFE" w14:textId="77777777" w:rsidR="006A3667" w:rsidRDefault="006A3667">
            <w:pPr>
              <w:rPr>
                <w:rFonts w:ascii="宋体"/>
                <w:vanish/>
              </w:rPr>
            </w:pPr>
          </w:p>
        </w:tc>
        <w:tc>
          <w:tcPr>
            <w:tcW w:w="0" w:type="auto"/>
            <w:gridSpan w:val="3"/>
            <w:shd w:val="clear" w:color="auto" w:fill="auto"/>
            <w:vAlign w:val="bottom"/>
          </w:tcPr>
          <w:p w14:paraId="71D3FAFF" w14:textId="77777777" w:rsidR="006A3667" w:rsidRDefault="006A3667">
            <w:pPr>
              <w:rPr>
                <w:rFonts w:ascii="宋体"/>
                <w:vanish/>
              </w:rPr>
            </w:pPr>
          </w:p>
        </w:tc>
        <w:tc>
          <w:tcPr>
            <w:tcW w:w="0" w:type="auto"/>
            <w:gridSpan w:val="3"/>
            <w:shd w:val="clear" w:color="auto" w:fill="auto"/>
            <w:vAlign w:val="bottom"/>
          </w:tcPr>
          <w:p w14:paraId="71D3FB00" w14:textId="77777777" w:rsidR="006A3667" w:rsidRDefault="006A3667">
            <w:pPr>
              <w:rPr>
                <w:rFonts w:ascii="宋体"/>
                <w:vanish/>
              </w:rPr>
            </w:pPr>
          </w:p>
        </w:tc>
        <w:tc>
          <w:tcPr>
            <w:tcW w:w="0" w:type="auto"/>
            <w:gridSpan w:val="3"/>
            <w:shd w:val="clear" w:color="auto" w:fill="auto"/>
            <w:vAlign w:val="bottom"/>
          </w:tcPr>
          <w:p w14:paraId="71D3FB01" w14:textId="77777777" w:rsidR="006A3667" w:rsidRDefault="006A3667">
            <w:pPr>
              <w:rPr>
                <w:rFonts w:ascii="宋体"/>
                <w:vanish/>
              </w:rPr>
            </w:pPr>
          </w:p>
        </w:tc>
        <w:tc>
          <w:tcPr>
            <w:tcW w:w="0" w:type="auto"/>
            <w:gridSpan w:val="3"/>
            <w:shd w:val="clear" w:color="auto" w:fill="auto"/>
            <w:vAlign w:val="bottom"/>
          </w:tcPr>
          <w:p w14:paraId="71D3FB02" w14:textId="77777777" w:rsidR="006A3667" w:rsidRDefault="006A3667">
            <w:pPr>
              <w:rPr>
                <w:rFonts w:ascii="宋体"/>
                <w:vanish/>
              </w:rPr>
            </w:pPr>
          </w:p>
        </w:tc>
        <w:tc>
          <w:tcPr>
            <w:tcW w:w="0" w:type="auto"/>
            <w:gridSpan w:val="2"/>
            <w:shd w:val="clear" w:color="auto" w:fill="auto"/>
            <w:vAlign w:val="bottom"/>
          </w:tcPr>
          <w:p w14:paraId="71D3FB03" w14:textId="77777777" w:rsidR="006A3667" w:rsidRDefault="006A3667">
            <w:pPr>
              <w:rPr>
                <w:rFonts w:ascii="宋体"/>
                <w:vanish/>
              </w:rPr>
            </w:pPr>
          </w:p>
        </w:tc>
        <w:tc>
          <w:tcPr>
            <w:tcW w:w="0" w:type="auto"/>
            <w:shd w:val="clear" w:color="auto" w:fill="auto"/>
            <w:vAlign w:val="bottom"/>
          </w:tcPr>
          <w:p w14:paraId="71D3FB04" w14:textId="77777777" w:rsidR="006A3667" w:rsidRDefault="006A3667">
            <w:pPr>
              <w:rPr>
                <w:rFonts w:ascii="宋体"/>
                <w:vanish/>
              </w:rPr>
            </w:pPr>
          </w:p>
        </w:tc>
      </w:tr>
      <w:tr w:rsidR="006A3667" w14:paraId="71D3FB1F" w14:textId="77777777">
        <w:tc>
          <w:tcPr>
            <w:tcW w:w="0" w:type="auto"/>
            <w:gridSpan w:val="3"/>
            <w:shd w:val="clear" w:color="auto" w:fill="CCEEFF"/>
            <w:tcMar>
              <w:top w:w="40" w:type="dxa"/>
              <w:left w:w="20" w:type="dxa"/>
              <w:bottom w:w="40" w:type="dxa"/>
              <w:right w:w="20" w:type="dxa"/>
            </w:tcMar>
            <w:vAlign w:val="bottom"/>
          </w:tcPr>
          <w:p w14:paraId="71D3FB06" w14:textId="77777777" w:rsidR="006A3667" w:rsidRDefault="00045F32">
            <w:pPr>
              <w:textAlignment w:val="bottom"/>
            </w:pPr>
            <w:r>
              <w:rPr>
                <w:rFonts w:ascii="Arial" w:eastAsia="宋体" w:hAnsi="Arial" w:cs="Arial"/>
                <w:color w:val="000000"/>
                <w:sz w:val="15"/>
                <w:szCs w:val="15"/>
              </w:rPr>
              <w:t>Net interest income</w:t>
            </w:r>
          </w:p>
        </w:tc>
        <w:tc>
          <w:tcPr>
            <w:tcW w:w="0" w:type="auto"/>
            <w:shd w:val="clear" w:color="auto" w:fill="auto"/>
            <w:vAlign w:val="bottom"/>
          </w:tcPr>
          <w:p w14:paraId="71D3FB07" w14:textId="77777777" w:rsidR="006A3667" w:rsidRDefault="006A3667">
            <w:pPr>
              <w:rPr>
                <w:rFonts w:ascii="宋体"/>
                <w:vanish/>
              </w:rPr>
            </w:pPr>
          </w:p>
        </w:tc>
        <w:tc>
          <w:tcPr>
            <w:tcW w:w="0" w:type="auto"/>
            <w:shd w:val="clear" w:color="auto" w:fill="auto"/>
            <w:vAlign w:val="bottom"/>
          </w:tcPr>
          <w:p w14:paraId="71D3FB08" w14:textId="77777777" w:rsidR="006A3667" w:rsidRDefault="006A3667">
            <w:pPr>
              <w:rPr>
                <w:rFonts w:ascii="宋体"/>
                <w:vanish/>
              </w:rPr>
            </w:pPr>
          </w:p>
        </w:tc>
        <w:tc>
          <w:tcPr>
            <w:tcW w:w="0" w:type="auto"/>
            <w:shd w:val="clear" w:color="auto" w:fill="auto"/>
            <w:vAlign w:val="bottom"/>
          </w:tcPr>
          <w:p w14:paraId="71D3FB09" w14:textId="77777777" w:rsidR="006A3667" w:rsidRDefault="006A3667">
            <w:pPr>
              <w:rPr>
                <w:rFonts w:ascii="宋体"/>
                <w:vanish/>
              </w:rPr>
            </w:pPr>
          </w:p>
        </w:tc>
        <w:tc>
          <w:tcPr>
            <w:tcW w:w="0" w:type="auto"/>
            <w:shd w:val="clear" w:color="auto" w:fill="auto"/>
            <w:vAlign w:val="bottom"/>
          </w:tcPr>
          <w:p w14:paraId="71D3FB0A" w14:textId="77777777" w:rsidR="006A3667" w:rsidRDefault="006A3667">
            <w:pPr>
              <w:rPr>
                <w:rFonts w:ascii="宋体"/>
                <w:vanish/>
              </w:rPr>
            </w:pPr>
          </w:p>
        </w:tc>
        <w:tc>
          <w:tcPr>
            <w:tcW w:w="0" w:type="auto"/>
            <w:shd w:val="clear" w:color="auto" w:fill="auto"/>
            <w:vAlign w:val="bottom"/>
          </w:tcPr>
          <w:p w14:paraId="71D3FB0B" w14:textId="77777777" w:rsidR="006A3667" w:rsidRDefault="006A3667">
            <w:pPr>
              <w:rPr>
                <w:rFonts w:ascii="宋体"/>
                <w:vanish/>
              </w:rPr>
            </w:pPr>
          </w:p>
        </w:tc>
        <w:tc>
          <w:tcPr>
            <w:tcW w:w="0" w:type="auto"/>
            <w:shd w:val="clear" w:color="auto" w:fill="auto"/>
            <w:vAlign w:val="bottom"/>
          </w:tcPr>
          <w:p w14:paraId="71D3FB0C"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B0D" w14:textId="77777777" w:rsidR="006A3667" w:rsidRDefault="00045F32">
            <w:pPr>
              <w:jc w:val="right"/>
              <w:textAlignment w:val="bottom"/>
            </w:pPr>
            <w:r>
              <w:rPr>
                <w:rFonts w:ascii="Arial" w:eastAsia="宋体" w:hAnsi="Arial" w:cs="Arial"/>
                <w:b/>
                <w:bCs/>
                <w:color w:val="000000"/>
                <w:sz w:val="15"/>
                <w:szCs w:val="15"/>
              </w:rPr>
              <w:t>1,760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B0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B0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B10" w14:textId="77777777" w:rsidR="006A3667" w:rsidRDefault="00045F32">
            <w:pPr>
              <w:jc w:val="right"/>
              <w:textAlignment w:val="bottom"/>
            </w:pPr>
            <w:r>
              <w:rPr>
                <w:rFonts w:ascii="Arial" w:eastAsia="宋体" w:hAnsi="Arial" w:cs="Arial"/>
                <w:color w:val="000000"/>
                <w:sz w:val="15"/>
                <w:szCs w:val="15"/>
              </w:rPr>
              <w:t>1,432 </w:t>
            </w:r>
          </w:p>
        </w:tc>
        <w:tc>
          <w:tcPr>
            <w:tcW w:w="0" w:type="auto"/>
            <w:shd w:val="clear" w:color="auto" w:fill="CCEEFF"/>
            <w:tcMar>
              <w:top w:w="40" w:type="dxa"/>
              <w:left w:w="0" w:type="dxa"/>
              <w:bottom w:w="40" w:type="dxa"/>
              <w:right w:w="20" w:type="dxa"/>
            </w:tcMar>
            <w:vAlign w:val="bottom"/>
          </w:tcPr>
          <w:p w14:paraId="71D3FB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B12" w14:textId="77777777" w:rsidR="006A3667" w:rsidRDefault="006A3667">
            <w:pPr>
              <w:rPr>
                <w:rFonts w:ascii="宋体"/>
              </w:rPr>
            </w:pPr>
          </w:p>
        </w:tc>
        <w:tc>
          <w:tcPr>
            <w:tcW w:w="0" w:type="auto"/>
            <w:shd w:val="clear" w:color="auto" w:fill="auto"/>
            <w:vAlign w:val="bottom"/>
          </w:tcPr>
          <w:p w14:paraId="71D3FB13" w14:textId="77777777" w:rsidR="006A3667" w:rsidRDefault="006A3667">
            <w:pPr>
              <w:rPr>
                <w:rFonts w:ascii="宋体"/>
                <w:vanish/>
              </w:rPr>
            </w:pPr>
          </w:p>
        </w:tc>
        <w:tc>
          <w:tcPr>
            <w:tcW w:w="0" w:type="auto"/>
            <w:shd w:val="clear" w:color="auto" w:fill="auto"/>
            <w:vAlign w:val="bottom"/>
          </w:tcPr>
          <w:p w14:paraId="71D3FB14"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B15" w14:textId="77777777" w:rsidR="006A3667" w:rsidRDefault="00045F32">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71D3FB16" w14:textId="77777777" w:rsidR="006A3667" w:rsidRDefault="006A3667">
            <w:pPr>
              <w:jc w:val="right"/>
              <w:rPr>
                <w:rFonts w:ascii="宋体"/>
              </w:rPr>
            </w:pPr>
          </w:p>
        </w:tc>
        <w:tc>
          <w:tcPr>
            <w:tcW w:w="0" w:type="auto"/>
            <w:gridSpan w:val="3"/>
            <w:shd w:val="clear" w:color="auto" w:fill="auto"/>
            <w:vAlign w:val="bottom"/>
          </w:tcPr>
          <w:p w14:paraId="71D3FB17" w14:textId="77777777" w:rsidR="006A3667" w:rsidRDefault="006A3667">
            <w:pPr>
              <w:rPr>
                <w:rFonts w:ascii="宋体"/>
                <w:vanish/>
              </w:rPr>
            </w:pPr>
          </w:p>
        </w:tc>
        <w:tc>
          <w:tcPr>
            <w:tcW w:w="0" w:type="auto"/>
            <w:gridSpan w:val="3"/>
            <w:shd w:val="clear" w:color="auto" w:fill="auto"/>
            <w:vAlign w:val="bottom"/>
          </w:tcPr>
          <w:p w14:paraId="71D3FB18" w14:textId="77777777" w:rsidR="006A3667" w:rsidRDefault="006A3667">
            <w:pPr>
              <w:rPr>
                <w:rFonts w:ascii="宋体"/>
                <w:vanish/>
              </w:rPr>
            </w:pPr>
          </w:p>
        </w:tc>
        <w:tc>
          <w:tcPr>
            <w:tcW w:w="0" w:type="auto"/>
            <w:gridSpan w:val="3"/>
            <w:shd w:val="clear" w:color="auto" w:fill="auto"/>
            <w:vAlign w:val="bottom"/>
          </w:tcPr>
          <w:p w14:paraId="71D3FB19" w14:textId="77777777" w:rsidR="006A3667" w:rsidRDefault="006A3667">
            <w:pPr>
              <w:rPr>
                <w:rFonts w:ascii="宋体"/>
                <w:vanish/>
              </w:rPr>
            </w:pPr>
          </w:p>
        </w:tc>
        <w:tc>
          <w:tcPr>
            <w:tcW w:w="0" w:type="auto"/>
            <w:gridSpan w:val="3"/>
            <w:shd w:val="clear" w:color="auto" w:fill="auto"/>
            <w:vAlign w:val="bottom"/>
          </w:tcPr>
          <w:p w14:paraId="71D3FB1A" w14:textId="77777777" w:rsidR="006A3667" w:rsidRDefault="006A3667">
            <w:pPr>
              <w:rPr>
                <w:rFonts w:ascii="宋体"/>
                <w:vanish/>
              </w:rPr>
            </w:pPr>
          </w:p>
        </w:tc>
        <w:tc>
          <w:tcPr>
            <w:tcW w:w="0" w:type="auto"/>
            <w:gridSpan w:val="3"/>
            <w:shd w:val="clear" w:color="auto" w:fill="auto"/>
            <w:vAlign w:val="bottom"/>
          </w:tcPr>
          <w:p w14:paraId="71D3FB1B" w14:textId="77777777" w:rsidR="006A3667" w:rsidRDefault="006A3667">
            <w:pPr>
              <w:rPr>
                <w:rFonts w:ascii="宋体"/>
                <w:vanish/>
              </w:rPr>
            </w:pPr>
          </w:p>
        </w:tc>
        <w:tc>
          <w:tcPr>
            <w:tcW w:w="0" w:type="auto"/>
            <w:gridSpan w:val="3"/>
            <w:shd w:val="clear" w:color="auto" w:fill="auto"/>
            <w:vAlign w:val="bottom"/>
          </w:tcPr>
          <w:p w14:paraId="71D3FB1C" w14:textId="77777777" w:rsidR="006A3667" w:rsidRDefault="006A3667">
            <w:pPr>
              <w:rPr>
                <w:rFonts w:ascii="宋体"/>
                <w:vanish/>
              </w:rPr>
            </w:pPr>
          </w:p>
        </w:tc>
        <w:tc>
          <w:tcPr>
            <w:tcW w:w="0" w:type="auto"/>
            <w:gridSpan w:val="2"/>
            <w:shd w:val="clear" w:color="auto" w:fill="auto"/>
            <w:vAlign w:val="bottom"/>
          </w:tcPr>
          <w:p w14:paraId="71D3FB1D" w14:textId="77777777" w:rsidR="006A3667" w:rsidRDefault="006A3667">
            <w:pPr>
              <w:rPr>
                <w:rFonts w:ascii="宋体"/>
                <w:vanish/>
              </w:rPr>
            </w:pPr>
          </w:p>
        </w:tc>
        <w:tc>
          <w:tcPr>
            <w:tcW w:w="0" w:type="auto"/>
            <w:shd w:val="clear" w:color="auto" w:fill="auto"/>
            <w:vAlign w:val="bottom"/>
          </w:tcPr>
          <w:p w14:paraId="71D3FB1E" w14:textId="77777777" w:rsidR="006A3667" w:rsidRDefault="006A3667">
            <w:pPr>
              <w:rPr>
                <w:rFonts w:ascii="宋体"/>
                <w:vanish/>
              </w:rPr>
            </w:pPr>
          </w:p>
        </w:tc>
      </w:tr>
      <w:tr w:rsidR="006A3667" w14:paraId="71D3FB38" w14:textId="77777777">
        <w:tc>
          <w:tcPr>
            <w:tcW w:w="0" w:type="auto"/>
            <w:gridSpan w:val="3"/>
            <w:shd w:val="clear" w:color="auto" w:fill="FFFFFF"/>
            <w:tcMar>
              <w:top w:w="40" w:type="dxa"/>
              <w:left w:w="20" w:type="dxa"/>
              <w:bottom w:w="40" w:type="dxa"/>
              <w:right w:w="20" w:type="dxa"/>
            </w:tcMar>
            <w:vAlign w:val="bottom"/>
          </w:tcPr>
          <w:p w14:paraId="71D3FB20" w14:textId="77777777" w:rsidR="006A3667" w:rsidRDefault="00045F32">
            <w:pPr>
              <w:textAlignment w:val="bottom"/>
            </w:pPr>
            <w:r>
              <w:rPr>
                <w:rFonts w:ascii="Arial" w:eastAsia="宋体" w:hAnsi="Arial" w:cs="Arial"/>
                <w:color w:val="000000"/>
                <w:sz w:val="15"/>
                <w:szCs w:val="15"/>
              </w:rPr>
              <w:t>Total other income</w:t>
            </w:r>
          </w:p>
        </w:tc>
        <w:tc>
          <w:tcPr>
            <w:tcW w:w="0" w:type="auto"/>
            <w:shd w:val="clear" w:color="auto" w:fill="auto"/>
            <w:vAlign w:val="bottom"/>
          </w:tcPr>
          <w:p w14:paraId="71D3FB21" w14:textId="77777777" w:rsidR="006A3667" w:rsidRDefault="006A3667">
            <w:pPr>
              <w:rPr>
                <w:rFonts w:ascii="宋体"/>
                <w:vanish/>
              </w:rPr>
            </w:pPr>
          </w:p>
        </w:tc>
        <w:tc>
          <w:tcPr>
            <w:tcW w:w="0" w:type="auto"/>
            <w:shd w:val="clear" w:color="auto" w:fill="auto"/>
            <w:vAlign w:val="bottom"/>
          </w:tcPr>
          <w:p w14:paraId="71D3FB22" w14:textId="77777777" w:rsidR="006A3667" w:rsidRDefault="006A3667">
            <w:pPr>
              <w:rPr>
                <w:rFonts w:ascii="宋体"/>
                <w:vanish/>
              </w:rPr>
            </w:pPr>
          </w:p>
        </w:tc>
        <w:tc>
          <w:tcPr>
            <w:tcW w:w="0" w:type="auto"/>
            <w:shd w:val="clear" w:color="auto" w:fill="auto"/>
            <w:vAlign w:val="bottom"/>
          </w:tcPr>
          <w:p w14:paraId="71D3FB23" w14:textId="77777777" w:rsidR="006A3667" w:rsidRDefault="006A3667">
            <w:pPr>
              <w:rPr>
                <w:rFonts w:ascii="宋体"/>
                <w:vanish/>
              </w:rPr>
            </w:pPr>
          </w:p>
        </w:tc>
        <w:tc>
          <w:tcPr>
            <w:tcW w:w="0" w:type="auto"/>
            <w:shd w:val="clear" w:color="auto" w:fill="auto"/>
            <w:vAlign w:val="bottom"/>
          </w:tcPr>
          <w:p w14:paraId="71D3FB24" w14:textId="77777777" w:rsidR="006A3667" w:rsidRDefault="006A3667">
            <w:pPr>
              <w:rPr>
                <w:rFonts w:ascii="宋体"/>
                <w:vanish/>
              </w:rPr>
            </w:pPr>
          </w:p>
        </w:tc>
        <w:tc>
          <w:tcPr>
            <w:tcW w:w="0" w:type="auto"/>
            <w:shd w:val="clear" w:color="auto" w:fill="auto"/>
            <w:vAlign w:val="bottom"/>
          </w:tcPr>
          <w:p w14:paraId="71D3FB25" w14:textId="77777777" w:rsidR="006A3667" w:rsidRDefault="006A3667">
            <w:pPr>
              <w:rPr>
                <w:rFonts w:ascii="宋体"/>
                <w:vanish/>
              </w:rPr>
            </w:pPr>
          </w:p>
        </w:tc>
        <w:tc>
          <w:tcPr>
            <w:tcW w:w="0" w:type="auto"/>
            <w:shd w:val="clear" w:color="auto" w:fill="auto"/>
            <w:vAlign w:val="bottom"/>
          </w:tcPr>
          <w:p w14:paraId="71D3FB26"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B27" w14:textId="77777777" w:rsidR="006A3667" w:rsidRDefault="00045F32">
            <w:pPr>
              <w:jc w:val="right"/>
              <w:textAlignment w:val="bottom"/>
            </w:pPr>
            <w:r>
              <w:rPr>
                <w:rFonts w:ascii="Arial" w:eastAsia="宋体" w:hAnsi="Arial" w:cs="Arial"/>
                <w:b/>
                <w:bCs/>
                <w:color w:val="000000"/>
                <w:sz w:val="15"/>
                <w:szCs w:val="15"/>
              </w:rPr>
              <w:t>(2)</w:t>
            </w:r>
          </w:p>
        </w:tc>
        <w:tc>
          <w:tcPr>
            <w:tcW w:w="0" w:type="auto"/>
            <w:shd w:val="clear" w:color="auto" w:fill="FFFFFF"/>
            <w:tcMar>
              <w:top w:w="40" w:type="dxa"/>
              <w:left w:w="0" w:type="dxa"/>
              <w:bottom w:w="40" w:type="dxa"/>
              <w:right w:w="20" w:type="dxa"/>
            </w:tcMar>
            <w:vAlign w:val="bottom"/>
          </w:tcPr>
          <w:p w14:paraId="71D3FB2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B2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B2A"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71D3FB2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B2C" w14:textId="77777777" w:rsidR="006A3667" w:rsidRDefault="006A3667">
            <w:pPr>
              <w:rPr>
                <w:rFonts w:ascii="宋体"/>
              </w:rPr>
            </w:pPr>
          </w:p>
        </w:tc>
        <w:tc>
          <w:tcPr>
            <w:tcW w:w="0" w:type="auto"/>
            <w:shd w:val="clear" w:color="auto" w:fill="auto"/>
            <w:vAlign w:val="bottom"/>
          </w:tcPr>
          <w:p w14:paraId="71D3FB2D" w14:textId="77777777" w:rsidR="006A3667" w:rsidRDefault="006A3667">
            <w:pPr>
              <w:rPr>
                <w:rFonts w:ascii="宋体"/>
                <w:vanish/>
              </w:rPr>
            </w:pPr>
          </w:p>
        </w:tc>
        <w:tc>
          <w:tcPr>
            <w:tcW w:w="0" w:type="auto"/>
            <w:shd w:val="clear" w:color="auto" w:fill="auto"/>
            <w:vAlign w:val="bottom"/>
          </w:tcPr>
          <w:p w14:paraId="71D3FB2E" w14:textId="77777777" w:rsidR="006A3667" w:rsidRDefault="006A3667">
            <w:pPr>
              <w:rPr>
                <w:rFonts w:ascii="宋体"/>
                <w:vanish/>
              </w:rPr>
            </w:pPr>
          </w:p>
        </w:tc>
        <w:tc>
          <w:tcPr>
            <w:tcW w:w="0" w:type="auto"/>
            <w:gridSpan w:val="3"/>
            <w:shd w:val="clear" w:color="auto" w:fill="FFFFFF"/>
            <w:tcMar>
              <w:top w:w="40" w:type="dxa"/>
              <w:left w:w="20" w:type="dxa"/>
              <w:bottom w:w="40" w:type="dxa"/>
              <w:right w:w="140" w:type="dxa"/>
            </w:tcMar>
            <w:vAlign w:val="bottom"/>
          </w:tcPr>
          <w:p w14:paraId="71D3FB2F"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FB30" w14:textId="77777777" w:rsidR="006A3667" w:rsidRDefault="006A3667">
            <w:pPr>
              <w:rPr>
                <w:rFonts w:ascii="宋体"/>
                <w:vanish/>
              </w:rPr>
            </w:pPr>
          </w:p>
        </w:tc>
        <w:tc>
          <w:tcPr>
            <w:tcW w:w="0" w:type="auto"/>
            <w:gridSpan w:val="3"/>
            <w:shd w:val="clear" w:color="auto" w:fill="auto"/>
            <w:vAlign w:val="bottom"/>
          </w:tcPr>
          <w:p w14:paraId="71D3FB31" w14:textId="77777777" w:rsidR="006A3667" w:rsidRDefault="006A3667">
            <w:pPr>
              <w:rPr>
                <w:rFonts w:ascii="宋体"/>
                <w:vanish/>
              </w:rPr>
            </w:pPr>
          </w:p>
        </w:tc>
        <w:tc>
          <w:tcPr>
            <w:tcW w:w="0" w:type="auto"/>
            <w:gridSpan w:val="3"/>
            <w:shd w:val="clear" w:color="auto" w:fill="auto"/>
            <w:vAlign w:val="bottom"/>
          </w:tcPr>
          <w:p w14:paraId="71D3FB32" w14:textId="77777777" w:rsidR="006A3667" w:rsidRDefault="006A3667">
            <w:pPr>
              <w:rPr>
                <w:rFonts w:ascii="宋体"/>
                <w:vanish/>
              </w:rPr>
            </w:pPr>
          </w:p>
        </w:tc>
        <w:tc>
          <w:tcPr>
            <w:tcW w:w="0" w:type="auto"/>
            <w:gridSpan w:val="3"/>
            <w:shd w:val="clear" w:color="auto" w:fill="auto"/>
            <w:vAlign w:val="bottom"/>
          </w:tcPr>
          <w:p w14:paraId="71D3FB33" w14:textId="77777777" w:rsidR="006A3667" w:rsidRDefault="006A3667">
            <w:pPr>
              <w:rPr>
                <w:rFonts w:ascii="宋体"/>
                <w:vanish/>
              </w:rPr>
            </w:pPr>
          </w:p>
        </w:tc>
        <w:tc>
          <w:tcPr>
            <w:tcW w:w="0" w:type="auto"/>
            <w:gridSpan w:val="3"/>
            <w:shd w:val="clear" w:color="auto" w:fill="auto"/>
            <w:vAlign w:val="bottom"/>
          </w:tcPr>
          <w:p w14:paraId="71D3FB34" w14:textId="77777777" w:rsidR="006A3667" w:rsidRDefault="006A3667">
            <w:pPr>
              <w:rPr>
                <w:rFonts w:ascii="宋体"/>
                <w:vanish/>
              </w:rPr>
            </w:pPr>
          </w:p>
        </w:tc>
        <w:tc>
          <w:tcPr>
            <w:tcW w:w="0" w:type="auto"/>
            <w:gridSpan w:val="3"/>
            <w:shd w:val="clear" w:color="auto" w:fill="auto"/>
            <w:vAlign w:val="bottom"/>
          </w:tcPr>
          <w:p w14:paraId="71D3FB35" w14:textId="77777777" w:rsidR="006A3667" w:rsidRDefault="006A3667">
            <w:pPr>
              <w:rPr>
                <w:rFonts w:ascii="宋体"/>
                <w:vanish/>
              </w:rPr>
            </w:pPr>
          </w:p>
        </w:tc>
        <w:tc>
          <w:tcPr>
            <w:tcW w:w="0" w:type="auto"/>
            <w:gridSpan w:val="2"/>
            <w:shd w:val="clear" w:color="auto" w:fill="auto"/>
            <w:vAlign w:val="bottom"/>
          </w:tcPr>
          <w:p w14:paraId="71D3FB36" w14:textId="77777777" w:rsidR="006A3667" w:rsidRDefault="006A3667">
            <w:pPr>
              <w:rPr>
                <w:rFonts w:ascii="宋体"/>
                <w:vanish/>
              </w:rPr>
            </w:pPr>
          </w:p>
        </w:tc>
        <w:tc>
          <w:tcPr>
            <w:tcW w:w="0" w:type="auto"/>
            <w:shd w:val="clear" w:color="auto" w:fill="auto"/>
            <w:vAlign w:val="bottom"/>
          </w:tcPr>
          <w:p w14:paraId="71D3FB37" w14:textId="77777777" w:rsidR="006A3667" w:rsidRDefault="006A3667">
            <w:pPr>
              <w:rPr>
                <w:rFonts w:ascii="宋体"/>
                <w:vanish/>
              </w:rPr>
            </w:pPr>
          </w:p>
        </w:tc>
      </w:tr>
      <w:tr w:rsidR="006A3667" w14:paraId="71D3FB52" w14:textId="77777777">
        <w:tc>
          <w:tcPr>
            <w:tcW w:w="0" w:type="auto"/>
            <w:gridSpan w:val="3"/>
            <w:shd w:val="clear" w:color="auto" w:fill="CCEEFF"/>
            <w:tcMar>
              <w:top w:w="40" w:type="dxa"/>
              <w:left w:w="20" w:type="dxa"/>
              <w:bottom w:w="40" w:type="dxa"/>
              <w:right w:w="20" w:type="dxa"/>
            </w:tcMar>
            <w:vAlign w:val="bottom"/>
          </w:tcPr>
          <w:p w14:paraId="71D3FB39" w14:textId="77777777" w:rsidR="006A3667" w:rsidRDefault="00045F32">
            <w:pPr>
              <w:textAlignment w:val="bottom"/>
            </w:pPr>
            <w:r>
              <w:rPr>
                <w:rFonts w:ascii="Arial" w:eastAsia="宋体" w:hAnsi="Arial" w:cs="Arial"/>
                <w:b/>
                <w:bCs/>
                <w:color w:val="000000"/>
                <w:sz w:val="15"/>
                <w:szCs w:val="15"/>
              </w:rPr>
              <w:t>Total revenue</w:t>
            </w:r>
          </w:p>
        </w:tc>
        <w:tc>
          <w:tcPr>
            <w:tcW w:w="0" w:type="auto"/>
            <w:shd w:val="clear" w:color="auto" w:fill="auto"/>
            <w:vAlign w:val="bottom"/>
          </w:tcPr>
          <w:p w14:paraId="71D3FB3A" w14:textId="77777777" w:rsidR="006A3667" w:rsidRDefault="006A3667">
            <w:pPr>
              <w:rPr>
                <w:rFonts w:ascii="宋体"/>
                <w:vanish/>
              </w:rPr>
            </w:pPr>
          </w:p>
        </w:tc>
        <w:tc>
          <w:tcPr>
            <w:tcW w:w="0" w:type="auto"/>
            <w:shd w:val="clear" w:color="auto" w:fill="auto"/>
            <w:vAlign w:val="bottom"/>
          </w:tcPr>
          <w:p w14:paraId="71D3FB3B" w14:textId="77777777" w:rsidR="006A3667" w:rsidRDefault="006A3667">
            <w:pPr>
              <w:rPr>
                <w:rFonts w:ascii="宋体"/>
                <w:vanish/>
              </w:rPr>
            </w:pPr>
          </w:p>
        </w:tc>
        <w:tc>
          <w:tcPr>
            <w:tcW w:w="0" w:type="auto"/>
            <w:shd w:val="clear" w:color="auto" w:fill="auto"/>
            <w:vAlign w:val="bottom"/>
          </w:tcPr>
          <w:p w14:paraId="71D3FB3C" w14:textId="77777777" w:rsidR="006A3667" w:rsidRDefault="006A3667">
            <w:pPr>
              <w:rPr>
                <w:rFonts w:ascii="宋体"/>
                <w:vanish/>
              </w:rPr>
            </w:pPr>
          </w:p>
        </w:tc>
        <w:tc>
          <w:tcPr>
            <w:tcW w:w="0" w:type="auto"/>
            <w:shd w:val="clear" w:color="auto" w:fill="auto"/>
            <w:vAlign w:val="bottom"/>
          </w:tcPr>
          <w:p w14:paraId="71D3FB3D" w14:textId="77777777" w:rsidR="006A3667" w:rsidRDefault="006A3667">
            <w:pPr>
              <w:rPr>
                <w:rFonts w:ascii="宋体"/>
                <w:vanish/>
              </w:rPr>
            </w:pPr>
          </w:p>
        </w:tc>
        <w:tc>
          <w:tcPr>
            <w:tcW w:w="0" w:type="auto"/>
            <w:shd w:val="clear" w:color="auto" w:fill="auto"/>
            <w:vAlign w:val="bottom"/>
          </w:tcPr>
          <w:p w14:paraId="71D3FB3E" w14:textId="77777777" w:rsidR="006A3667" w:rsidRDefault="006A3667">
            <w:pPr>
              <w:rPr>
                <w:rFonts w:ascii="宋体"/>
                <w:vanish/>
              </w:rPr>
            </w:pPr>
          </w:p>
        </w:tc>
        <w:tc>
          <w:tcPr>
            <w:tcW w:w="0" w:type="auto"/>
            <w:shd w:val="clear" w:color="auto" w:fill="auto"/>
            <w:vAlign w:val="bottom"/>
          </w:tcPr>
          <w:p w14:paraId="71D3FB3F"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B40" w14:textId="77777777" w:rsidR="006A3667" w:rsidRDefault="00045F32">
            <w:pPr>
              <w:jc w:val="right"/>
              <w:textAlignment w:val="bottom"/>
            </w:pPr>
            <w:r>
              <w:rPr>
                <w:rFonts w:ascii="Arial" w:eastAsia="宋体" w:hAnsi="Arial" w:cs="Arial"/>
                <w:b/>
                <w:bCs/>
                <w:color w:val="000000"/>
                <w:sz w:val="15"/>
                <w:szCs w:val="15"/>
              </w:rPr>
              <w:t>7,509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B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B4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B43" w14:textId="77777777" w:rsidR="006A3667" w:rsidRDefault="00045F32">
            <w:pPr>
              <w:jc w:val="right"/>
              <w:textAlignment w:val="bottom"/>
            </w:pPr>
            <w:r>
              <w:rPr>
                <w:rFonts w:ascii="Arial" w:eastAsia="宋体" w:hAnsi="Arial" w:cs="Arial"/>
                <w:color w:val="000000"/>
                <w:sz w:val="15"/>
                <w:szCs w:val="15"/>
              </w:rPr>
              <w:t>7,354 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B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B45" w14:textId="77777777" w:rsidR="006A3667" w:rsidRDefault="006A3667">
            <w:pPr>
              <w:rPr>
                <w:rFonts w:ascii="宋体"/>
              </w:rPr>
            </w:pPr>
          </w:p>
        </w:tc>
        <w:tc>
          <w:tcPr>
            <w:tcW w:w="0" w:type="auto"/>
            <w:shd w:val="clear" w:color="auto" w:fill="auto"/>
            <w:vAlign w:val="bottom"/>
          </w:tcPr>
          <w:p w14:paraId="71D3FB46" w14:textId="77777777" w:rsidR="006A3667" w:rsidRDefault="006A3667">
            <w:pPr>
              <w:rPr>
                <w:rFonts w:ascii="宋体"/>
                <w:vanish/>
              </w:rPr>
            </w:pPr>
          </w:p>
        </w:tc>
        <w:tc>
          <w:tcPr>
            <w:tcW w:w="0" w:type="auto"/>
            <w:shd w:val="clear" w:color="auto" w:fill="auto"/>
            <w:vAlign w:val="bottom"/>
          </w:tcPr>
          <w:p w14:paraId="71D3FB47"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B48"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1D3FB49" w14:textId="77777777" w:rsidR="006A3667" w:rsidRDefault="006A3667">
            <w:pPr>
              <w:jc w:val="right"/>
              <w:rPr>
                <w:rFonts w:ascii="宋体"/>
              </w:rPr>
            </w:pPr>
          </w:p>
        </w:tc>
        <w:tc>
          <w:tcPr>
            <w:tcW w:w="0" w:type="auto"/>
            <w:gridSpan w:val="3"/>
            <w:shd w:val="clear" w:color="auto" w:fill="auto"/>
            <w:vAlign w:val="bottom"/>
          </w:tcPr>
          <w:p w14:paraId="71D3FB4A" w14:textId="77777777" w:rsidR="006A3667" w:rsidRDefault="006A3667">
            <w:pPr>
              <w:rPr>
                <w:rFonts w:ascii="宋体"/>
                <w:vanish/>
              </w:rPr>
            </w:pPr>
          </w:p>
        </w:tc>
        <w:tc>
          <w:tcPr>
            <w:tcW w:w="0" w:type="auto"/>
            <w:gridSpan w:val="3"/>
            <w:shd w:val="clear" w:color="auto" w:fill="auto"/>
            <w:vAlign w:val="bottom"/>
          </w:tcPr>
          <w:p w14:paraId="71D3FB4B" w14:textId="77777777" w:rsidR="006A3667" w:rsidRDefault="006A3667">
            <w:pPr>
              <w:rPr>
                <w:rFonts w:ascii="宋体"/>
                <w:vanish/>
              </w:rPr>
            </w:pPr>
          </w:p>
        </w:tc>
        <w:tc>
          <w:tcPr>
            <w:tcW w:w="0" w:type="auto"/>
            <w:gridSpan w:val="3"/>
            <w:shd w:val="clear" w:color="auto" w:fill="auto"/>
            <w:vAlign w:val="bottom"/>
          </w:tcPr>
          <w:p w14:paraId="71D3FB4C" w14:textId="77777777" w:rsidR="006A3667" w:rsidRDefault="006A3667">
            <w:pPr>
              <w:rPr>
                <w:rFonts w:ascii="宋体"/>
                <w:vanish/>
              </w:rPr>
            </w:pPr>
          </w:p>
        </w:tc>
        <w:tc>
          <w:tcPr>
            <w:tcW w:w="0" w:type="auto"/>
            <w:gridSpan w:val="3"/>
            <w:shd w:val="clear" w:color="auto" w:fill="auto"/>
            <w:vAlign w:val="bottom"/>
          </w:tcPr>
          <w:p w14:paraId="71D3FB4D" w14:textId="77777777" w:rsidR="006A3667" w:rsidRDefault="006A3667">
            <w:pPr>
              <w:rPr>
                <w:rFonts w:ascii="宋体"/>
                <w:vanish/>
              </w:rPr>
            </w:pPr>
          </w:p>
        </w:tc>
        <w:tc>
          <w:tcPr>
            <w:tcW w:w="0" w:type="auto"/>
            <w:gridSpan w:val="3"/>
            <w:shd w:val="clear" w:color="auto" w:fill="auto"/>
            <w:vAlign w:val="bottom"/>
          </w:tcPr>
          <w:p w14:paraId="71D3FB4E" w14:textId="77777777" w:rsidR="006A3667" w:rsidRDefault="006A3667">
            <w:pPr>
              <w:rPr>
                <w:rFonts w:ascii="宋体"/>
                <w:vanish/>
              </w:rPr>
            </w:pPr>
          </w:p>
        </w:tc>
        <w:tc>
          <w:tcPr>
            <w:tcW w:w="0" w:type="auto"/>
            <w:gridSpan w:val="3"/>
            <w:shd w:val="clear" w:color="auto" w:fill="auto"/>
            <w:vAlign w:val="bottom"/>
          </w:tcPr>
          <w:p w14:paraId="71D3FB4F" w14:textId="77777777" w:rsidR="006A3667" w:rsidRDefault="006A3667">
            <w:pPr>
              <w:rPr>
                <w:rFonts w:ascii="宋体"/>
                <w:vanish/>
              </w:rPr>
            </w:pPr>
          </w:p>
        </w:tc>
        <w:tc>
          <w:tcPr>
            <w:tcW w:w="0" w:type="auto"/>
            <w:gridSpan w:val="2"/>
            <w:shd w:val="clear" w:color="auto" w:fill="auto"/>
            <w:vAlign w:val="bottom"/>
          </w:tcPr>
          <w:p w14:paraId="71D3FB50" w14:textId="77777777" w:rsidR="006A3667" w:rsidRDefault="006A3667">
            <w:pPr>
              <w:rPr>
                <w:rFonts w:ascii="宋体"/>
                <w:vanish/>
              </w:rPr>
            </w:pPr>
          </w:p>
        </w:tc>
        <w:tc>
          <w:tcPr>
            <w:tcW w:w="0" w:type="auto"/>
            <w:shd w:val="clear" w:color="auto" w:fill="auto"/>
            <w:vAlign w:val="bottom"/>
          </w:tcPr>
          <w:p w14:paraId="71D3FB51" w14:textId="77777777" w:rsidR="006A3667" w:rsidRDefault="006A3667">
            <w:pPr>
              <w:rPr>
                <w:rFonts w:ascii="宋体"/>
                <w:vanish/>
              </w:rPr>
            </w:pPr>
          </w:p>
        </w:tc>
      </w:tr>
      <w:tr w:rsidR="006A3667" w14:paraId="71D3FB6B" w14:textId="77777777">
        <w:tc>
          <w:tcPr>
            <w:tcW w:w="0" w:type="auto"/>
            <w:gridSpan w:val="3"/>
            <w:shd w:val="clear" w:color="auto" w:fill="FFFFFF"/>
            <w:tcMar>
              <w:top w:w="40" w:type="dxa"/>
              <w:left w:w="20" w:type="dxa"/>
              <w:bottom w:w="40" w:type="dxa"/>
              <w:right w:w="20" w:type="dxa"/>
            </w:tcMar>
            <w:vAlign w:val="bottom"/>
          </w:tcPr>
          <w:p w14:paraId="71D3FB53" w14:textId="77777777" w:rsidR="006A3667" w:rsidRDefault="00045F32">
            <w:pPr>
              <w:textAlignment w:val="bottom"/>
            </w:pPr>
            <w:r>
              <w:rPr>
                <w:rFonts w:ascii="Arial" w:eastAsia="宋体" w:hAnsi="Arial" w:cs="Arial"/>
                <w:color w:val="000000"/>
                <w:sz w:val="15"/>
                <w:szCs w:val="15"/>
              </w:rPr>
              <w:t>Provision for credit losses</w:t>
            </w:r>
          </w:p>
        </w:tc>
        <w:tc>
          <w:tcPr>
            <w:tcW w:w="0" w:type="auto"/>
            <w:shd w:val="clear" w:color="auto" w:fill="auto"/>
            <w:vAlign w:val="bottom"/>
          </w:tcPr>
          <w:p w14:paraId="71D3FB54" w14:textId="77777777" w:rsidR="006A3667" w:rsidRDefault="006A3667">
            <w:pPr>
              <w:rPr>
                <w:rFonts w:ascii="宋体"/>
                <w:vanish/>
              </w:rPr>
            </w:pPr>
          </w:p>
        </w:tc>
        <w:tc>
          <w:tcPr>
            <w:tcW w:w="0" w:type="auto"/>
            <w:shd w:val="clear" w:color="auto" w:fill="auto"/>
            <w:vAlign w:val="bottom"/>
          </w:tcPr>
          <w:p w14:paraId="71D3FB55" w14:textId="77777777" w:rsidR="006A3667" w:rsidRDefault="006A3667">
            <w:pPr>
              <w:rPr>
                <w:rFonts w:ascii="宋体"/>
                <w:vanish/>
              </w:rPr>
            </w:pPr>
          </w:p>
        </w:tc>
        <w:tc>
          <w:tcPr>
            <w:tcW w:w="0" w:type="auto"/>
            <w:shd w:val="clear" w:color="auto" w:fill="auto"/>
            <w:vAlign w:val="bottom"/>
          </w:tcPr>
          <w:p w14:paraId="71D3FB56" w14:textId="77777777" w:rsidR="006A3667" w:rsidRDefault="006A3667">
            <w:pPr>
              <w:rPr>
                <w:rFonts w:ascii="宋体"/>
                <w:vanish/>
              </w:rPr>
            </w:pPr>
          </w:p>
        </w:tc>
        <w:tc>
          <w:tcPr>
            <w:tcW w:w="0" w:type="auto"/>
            <w:shd w:val="clear" w:color="auto" w:fill="auto"/>
            <w:vAlign w:val="bottom"/>
          </w:tcPr>
          <w:p w14:paraId="71D3FB57" w14:textId="77777777" w:rsidR="006A3667" w:rsidRDefault="006A3667">
            <w:pPr>
              <w:rPr>
                <w:rFonts w:ascii="宋体"/>
                <w:vanish/>
              </w:rPr>
            </w:pPr>
          </w:p>
        </w:tc>
        <w:tc>
          <w:tcPr>
            <w:tcW w:w="0" w:type="auto"/>
            <w:shd w:val="clear" w:color="auto" w:fill="auto"/>
            <w:vAlign w:val="bottom"/>
          </w:tcPr>
          <w:p w14:paraId="71D3FB58" w14:textId="77777777" w:rsidR="006A3667" w:rsidRDefault="006A3667">
            <w:pPr>
              <w:rPr>
                <w:rFonts w:ascii="宋体"/>
                <w:vanish/>
              </w:rPr>
            </w:pPr>
          </w:p>
        </w:tc>
        <w:tc>
          <w:tcPr>
            <w:tcW w:w="0" w:type="auto"/>
            <w:shd w:val="clear" w:color="auto" w:fill="auto"/>
            <w:vAlign w:val="bottom"/>
          </w:tcPr>
          <w:p w14:paraId="71D3FB5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B5A" w14:textId="77777777" w:rsidR="006A3667" w:rsidRDefault="00045F32">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B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B5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B5D" w14:textId="77777777" w:rsidR="006A3667" w:rsidRDefault="00045F32">
            <w:pPr>
              <w:jc w:val="right"/>
              <w:textAlignment w:val="bottom"/>
            </w:pPr>
            <w:r>
              <w:rPr>
                <w:rFonts w:ascii="Arial" w:eastAsia="宋体" w:hAnsi="Arial" w:cs="Arial"/>
                <w:color w:val="000000"/>
                <w:sz w:val="15"/>
                <w:szCs w:val="15"/>
              </w:rPr>
              <w:t>(26)</w:t>
            </w:r>
          </w:p>
        </w:tc>
        <w:tc>
          <w:tcPr>
            <w:tcW w:w="0" w:type="auto"/>
            <w:shd w:val="clear" w:color="auto" w:fill="FFFFFF"/>
            <w:tcMar>
              <w:top w:w="40" w:type="dxa"/>
              <w:left w:w="0" w:type="dxa"/>
              <w:bottom w:w="40" w:type="dxa"/>
              <w:right w:w="20" w:type="dxa"/>
            </w:tcMar>
            <w:vAlign w:val="bottom"/>
          </w:tcPr>
          <w:p w14:paraId="71D3FB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B5F" w14:textId="77777777" w:rsidR="006A3667" w:rsidRDefault="006A3667">
            <w:pPr>
              <w:rPr>
                <w:rFonts w:ascii="宋体"/>
              </w:rPr>
            </w:pPr>
          </w:p>
        </w:tc>
        <w:tc>
          <w:tcPr>
            <w:tcW w:w="0" w:type="auto"/>
            <w:shd w:val="clear" w:color="auto" w:fill="auto"/>
            <w:vAlign w:val="bottom"/>
          </w:tcPr>
          <w:p w14:paraId="71D3FB60" w14:textId="77777777" w:rsidR="006A3667" w:rsidRDefault="006A3667">
            <w:pPr>
              <w:rPr>
                <w:rFonts w:ascii="宋体"/>
                <w:vanish/>
              </w:rPr>
            </w:pPr>
          </w:p>
        </w:tc>
        <w:tc>
          <w:tcPr>
            <w:tcW w:w="0" w:type="auto"/>
            <w:shd w:val="clear" w:color="auto" w:fill="auto"/>
            <w:vAlign w:val="bottom"/>
          </w:tcPr>
          <w:p w14:paraId="71D3FB61" w14:textId="77777777" w:rsidR="006A3667" w:rsidRDefault="006A3667">
            <w:pPr>
              <w:rPr>
                <w:rFonts w:ascii="宋体"/>
                <w:vanish/>
              </w:rPr>
            </w:pPr>
          </w:p>
        </w:tc>
        <w:tc>
          <w:tcPr>
            <w:tcW w:w="0" w:type="auto"/>
            <w:gridSpan w:val="3"/>
            <w:shd w:val="clear" w:color="auto" w:fill="FFFFFF"/>
            <w:tcMar>
              <w:top w:w="40" w:type="dxa"/>
              <w:left w:w="20" w:type="dxa"/>
              <w:bottom w:w="40" w:type="dxa"/>
              <w:right w:w="140" w:type="dxa"/>
            </w:tcMar>
            <w:vAlign w:val="bottom"/>
          </w:tcPr>
          <w:p w14:paraId="71D3FB62"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FB63" w14:textId="77777777" w:rsidR="006A3667" w:rsidRDefault="006A3667">
            <w:pPr>
              <w:rPr>
                <w:rFonts w:ascii="宋体"/>
                <w:vanish/>
              </w:rPr>
            </w:pPr>
          </w:p>
        </w:tc>
        <w:tc>
          <w:tcPr>
            <w:tcW w:w="0" w:type="auto"/>
            <w:gridSpan w:val="3"/>
            <w:shd w:val="clear" w:color="auto" w:fill="auto"/>
            <w:vAlign w:val="bottom"/>
          </w:tcPr>
          <w:p w14:paraId="71D3FB64" w14:textId="77777777" w:rsidR="006A3667" w:rsidRDefault="006A3667">
            <w:pPr>
              <w:rPr>
                <w:rFonts w:ascii="宋体"/>
                <w:vanish/>
              </w:rPr>
            </w:pPr>
          </w:p>
        </w:tc>
        <w:tc>
          <w:tcPr>
            <w:tcW w:w="0" w:type="auto"/>
            <w:gridSpan w:val="3"/>
            <w:shd w:val="clear" w:color="auto" w:fill="auto"/>
            <w:vAlign w:val="bottom"/>
          </w:tcPr>
          <w:p w14:paraId="71D3FB65" w14:textId="77777777" w:rsidR="006A3667" w:rsidRDefault="006A3667">
            <w:pPr>
              <w:rPr>
                <w:rFonts w:ascii="宋体"/>
                <w:vanish/>
              </w:rPr>
            </w:pPr>
          </w:p>
        </w:tc>
        <w:tc>
          <w:tcPr>
            <w:tcW w:w="0" w:type="auto"/>
            <w:gridSpan w:val="3"/>
            <w:shd w:val="clear" w:color="auto" w:fill="auto"/>
            <w:vAlign w:val="bottom"/>
          </w:tcPr>
          <w:p w14:paraId="71D3FB66" w14:textId="77777777" w:rsidR="006A3667" w:rsidRDefault="006A3667">
            <w:pPr>
              <w:rPr>
                <w:rFonts w:ascii="宋体"/>
                <w:vanish/>
              </w:rPr>
            </w:pPr>
          </w:p>
        </w:tc>
        <w:tc>
          <w:tcPr>
            <w:tcW w:w="0" w:type="auto"/>
            <w:gridSpan w:val="3"/>
            <w:shd w:val="clear" w:color="auto" w:fill="auto"/>
            <w:vAlign w:val="bottom"/>
          </w:tcPr>
          <w:p w14:paraId="71D3FB67" w14:textId="77777777" w:rsidR="006A3667" w:rsidRDefault="006A3667">
            <w:pPr>
              <w:rPr>
                <w:rFonts w:ascii="宋体"/>
                <w:vanish/>
              </w:rPr>
            </w:pPr>
          </w:p>
        </w:tc>
        <w:tc>
          <w:tcPr>
            <w:tcW w:w="0" w:type="auto"/>
            <w:gridSpan w:val="3"/>
            <w:shd w:val="clear" w:color="auto" w:fill="auto"/>
            <w:vAlign w:val="bottom"/>
          </w:tcPr>
          <w:p w14:paraId="71D3FB68" w14:textId="77777777" w:rsidR="006A3667" w:rsidRDefault="006A3667">
            <w:pPr>
              <w:rPr>
                <w:rFonts w:ascii="宋体"/>
                <w:vanish/>
              </w:rPr>
            </w:pPr>
          </w:p>
        </w:tc>
        <w:tc>
          <w:tcPr>
            <w:tcW w:w="0" w:type="auto"/>
            <w:gridSpan w:val="2"/>
            <w:shd w:val="clear" w:color="auto" w:fill="auto"/>
            <w:vAlign w:val="bottom"/>
          </w:tcPr>
          <w:p w14:paraId="71D3FB69" w14:textId="77777777" w:rsidR="006A3667" w:rsidRDefault="006A3667">
            <w:pPr>
              <w:rPr>
                <w:rFonts w:ascii="宋体"/>
                <w:vanish/>
              </w:rPr>
            </w:pPr>
          </w:p>
        </w:tc>
        <w:tc>
          <w:tcPr>
            <w:tcW w:w="0" w:type="auto"/>
            <w:shd w:val="clear" w:color="auto" w:fill="auto"/>
            <w:vAlign w:val="bottom"/>
          </w:tcPr>
          <w:p w14:paraId="71D3FB6A" w14:textId="77777777" w:rsidR="006A3667" w:rsidRDefault="006A3667">
            <w:pPr>
              <w:rPr>
                <w:rFonts w:ascii="宋体"/>
                <w:vanish/>
              </w:rPr>
            </w:pPr>
          </w:p>
        </w:tc>
      </w:tr>
      <w:tr w:rsidR="006A3667" w14:paraId="71D3FB85" w14:textId="77777777">
        <w:tc>
          <w:tcPr>
            <w:tcW w:w="0" w:type="auto"/>
            <w:gridSpan w:val="3"/>
            <w:shd w:val="clear" w:color="auto" w:fill="CCEEFF"/>
            <w:tcMar>
              <w:top w:w="40" w:type="dxa"/>
              <w:left w:w="20" w:type="dxa"/>
              <w:bottom w:w="40" w:type="dxa"/>
              <w:right w:w="20" w:type="dxa"/>
            </w:tcMar>
            <w:vAlign w:val="bottom"/>
          </w:tcPr>
          <w:p w14:paraId="71D3FB6C" w14:textId="77777777" w:rsidR="006A3667" w:rsidRDefault="00045F32">
            <w:pPr>
              <w:textAlignment w:val="bottom"/>
            </w:pPr>
            <w:r>
              <w:rPr>
                <w:rFonts w:ascii="Arial" w:eastAsia="宋体" w:hAnsi="Arial" w:cs="Arial"/>
                <w:b/>
                <w:bCs/>
                <w:color w:val="000000"/>
                <w:sz w:val="15"/>
                <w:szCs w:val="15"/>
              </w:rPr>
              <w:t>Total expenses</w:t>
            </w:r>
          </w:p>
        </w:tc>
        <w:tc>
          <w:tcPr>
            <w:tcW w:w="0" w:type="auto"/>
            <w:shd w:val="clear" w:color="auto" w:fill="auto"/>
            <w:vAlign w:val="bottom"/>
          </w:tcPr>
          <w:p w14:paraId="71D3FB6D" w14:textId="77777777" w:rsidR="006A3667" w:rsidRDefault="006A3667">
            <w:pPr>
              <w:rPr>
                <w:rFonts w:ascii="宋体"/>
                <w:vanish/>
              </w:rPr>
            </w:pPr>
          </w:p>
        </w:tc>
        <w:tc>
          <w:tcPr>
            <w:tcW w:w="0" w:type="auto"/>
            <w:shd w:val="clear" w:color="auto" w:fill="auto"/>
            <w:vAlign w:val="bottom"/>
          </w:tcPr>
          <w:p w14:paraId="71D3FB6E" w14:textId="77777777" w:rsidR="006A3667" w:rsidRDefault="006A3667">
            <w:pPr>
              <w:rPr>
                <w:rFonts w:ascii="宋体"/>
                <w:vanish/>
              </w:rPr>
            </w:pPr>
          </w:p>
        </w:tc>
        <w:tc>
          <w:tcPr>
            <w:tcW w:w="0" w:type="auto"/>
            <w:shd w:val="clear" w:color="auto" w:fill="auto"/>
            <w:vAlign w:val="bottom"/>
          </w:tcPr>
          <w:p w14:paraId="71D3FB6F" w14:textId="77777777" w:rsidR="006A3667" w:rsidRDefault="006A3667">
            <w:pPr>
              <w:rPr>
                <w:rFonts w:ascii="宋体"/>
                <w:vanish/>
              </w:rPr>
            </w:pPr>
          </w:p>
        </w:tc>
        <w:tc>
          <w:tcPr>
            <w:tcW w:w="0" w:type="auto"/>
            <w:shd w:val="clear" w:color="auto" w:fill="auto"/>
            <w:vAlign w:val="bottom"/>
          </w:tcPr>
          <w:p w14:paraId="71D3FB70" w14:textId="77777777" w:rsidR="006A3667" w:rsidRDefault="006A3667">
            <w:pPr>
              <w:rPr>
                <w:rFonts w:ascii="宋体"/>
                <w:vanish/>
              </w:rPr>
            </w:pPr>
          </w:p>
        </w:tc>
        <w:tc>
          <w:tcPr>
            <w:tcW w:w="0" w:type="auto"/>
            <w:shd w:val="clear" w:color="auto" w:fill="auto"/>
            <w:vAlign w:val="bottom"/>
          </w:tcPr>
          <w:p w14:paraId="71D3FB71" w14:textId="77777777" w:rsidR="006A3667" w:rsidRDefault="006A3667">
            <w:pPr>
              <w:rPr>
                <w:rFonts w:ascii="宋体"/>
                <w:vanish/>
              </w:rPr>
            </w:pPr>
          </w:p>
        </w:tc>
        <w:tc>
          <w:tcPr>
            <w:tcW w:w="0" w:type="auto"/>
            <w:shd w:val="clear" w:color="auto" w:fill="auto"/>
            <w:vAlign w:val="bottom"/>
          </w:tcPr>
          <w:p w14:paraId="71D3FB72"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B73" w14:textId="77777777" w:rsidR="006A3667" w:rsidRDefault="00045F32">
            <w:pPr>
              <w:jc w:val="right"/>
              <w:textAlignment w:val="bottom"/>
            </w:pPr>
            <w:r>
              <w:rPr>
                <w:rFonts w:ascii="Arial" w:eastAsia="宋体" w:hAnsi="Arial" w:cs="Arial"/>
                <w:b/>
                <w:bCs/>
                <w:color w:val="000000"/>
                <w:sz w:val="15"/>
                <w:szCs w:val="15"/>
              </w:rPr>
              <w:t>5,452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B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B7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B76" w14:textId="77777777" w:rsidR="006A3667" w:rsidRDefault="00045F32">
            <w:pPr>
              <w:jc w:val="right"/>
              <w:textAlignment w:val="bottom"/>
            </w:pPr>
            <w:r>
              <w:rPr>
                <w:rFonts w:ascii="Arial" w:eastAsia="宋体" w:hAnsi="Arial" w:cs="Arial"/>
                <w:color w:val="000000"/>
                <w:sz w:val="15"/>
                <w:szCs w:val="15"/>
              </w:rPr>
              <w:t>5,389 </w:t>
            </w:r>
          </w:p>
        </w:tc>
        <w:tc>
          <w:tcPr>
            <w:tcW w:w="0" w:type="auto"/>
            <w:shd w:val="clear" w:color="auto" w:fill="CCEEFF"/>
            <w:tcMar>
              <w:top w:w="40" w:type="dxa"/>
              <w:left w:w="0" w:type="dxa"/>
              <w:bottom w:w="40" w:type="dxa"/>
              <w:right w:w="20" w:type="dxa"/>
            </w:tcMar>
            <w:vAlign w:val="bottom"/>
          </w:tcPr>
          <w:p w14:paraId="71D3FB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B78" w14:textId="77777777" w:rsidR="006A3667" w:rsidRDefault="006A3667">
            <w:pPr>
              <w:rPr>
                <w:rFonts w:ascii="宋体"/>
              </w:rPr>
            </w:pPr>
          </w:p>
        </w:tc>
        <w:tc>
          <w:tcPr>
            <w:tcW w:w="0" w:type="auto"/>
            <w:shd w:val="clear" w:color="auto" w:fill="auto"/>
            <w:vAlign w:val="bottom"/>
          </w:tcPr>
          <w:p w14:paraId="71D3FB79" w14:textId="77777777" w:rsidR="006A3667" w:rsidRDefault="006A3667">
            <w:pPr>
              <w:rPr>
                <w:rFonts w:ascii="宋体"/>
                <w:vanish/>
              </w:rPr>
            </w:pPr>
          </w:p>
        </w:tc>
        <w:tc>
          <w:tcPr>
            <w:tcW w:w="0" w:type="auto"/>
            <w:shd w:val="clear" w:color="auto" w:fill="auto"/>
            <w:vAlign w:val="bottom"/>
          </w:tcPr>
          <w:p w14:paraId="71D3FB7A"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B7B" w14:textId="77777777" w:rsidR="006A3667" w:rsidRDefault="00045F32">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1D3FB7C" w14:textId="77777777" w:rsidR="006A3667" w:rsidRDefault="006A3667">
            <w:pPr>
              <w:jc w:val="right"/>
              <w:rPr>
                <w:rFonts w:ascii="宋体"/>
              </w:rPr>
            </w:pPr>
          </w:p>
        </w:tc>
        <w:tc>
          <w:tcPr>
            <w:tcW w:w="0" w:type="auto"/>
            <w:gridSpan w:val="3"/>
            <w:shd w:val="clear" w:color="auto" w:fill="auto"/>
            <w:vAlign w:val="bottom"/>
          </w:tcPr>
          <w:p w14:paraId="71D3FB7D" w14:textId="77777777" w:rsidR="006A3667" w:rsidRDefault="006A3667">
            <w:pPr>
              <w:rPr>
                <w:rFonts w:ascii="宋体"/>
                <w:vanish/>
              </w:rPr>
            </w:pPr>
          </w:p>
        </w:tc>
        <w:tc>
          <w:tcPr>
            <w:tcW w:w="0" w:type="auto"/>
            <w:gridSpan w:val="3"/>
            <w:shd w:val="clear" w:color="auto" w:fill="auto"/>
            <w:vAlign w:val="bottom"/>
          </w:tcPr>
          <w:p w14:paraId="71D3FB7E" w14:textId="77777777" w:rsidR="006A3667" w:rsidRDefault="006A3667">
            <w:pPr>
              <w:rPr>
                <w:rFonts w:ascii="宋体"/>
                <w:vanish/>
              </w:rPr>
            </w:pPr>
          </w:p>
        </w:tc>
        <w:tc>
          <w:tcPr>
            <w:tcW w:w="0" w:type="auto"/>
            <w:gridSpan w:val="3"/>
            <w:shd w:val="clear" w:color="auto" w:fill="auto"/>
            <w:vAlign w:val="bottom"/>
          </w:tcPr>
          <w:p w14:paraId="71D3FB7F" w14:textId="77777777" w:rsidR="006A3667" w:rsidRDefault="006A3667">
            <w:pPr>
              <w:rPr>
                <w:rFonts w:ascii="宋体"/>
                <w:vanish/>
              </w:rPr>
            </w:pPr>
          </w:p>
        </w:tc>
        <w:tc>
          <w:tcPr>
            <w:tcW w:w="0" w:type="auto"/>
            <w:gridSpan w:val="3"/>
            <w:shd w:val="clear" w:color="auto" w:fill="auto"/>
            <w:vAlign w:val="bottom"/>
          </w:tcPr>
          <w:p w14:paraId="71D3FB80" w14:textId="77777777" w:rsidR="006A3667" w:rsidRDefault="006A3667">
            <w:pPr>
              <w:rPr>
                <w:rFonts w:ascii="宋体"/>
                <w:vanish/>
              </w:rPr>
            </w:pPr>
          </w:p>
        </w:tc>
        <w:tc>
          <w:tcPr>
            <w:tcW w:w="0" w:type="auto"/>
            <w:gridSpan w:val="3"/>
            <w:shd w:val="clear" w:color="auto" w:fill="auto"/>
            <w:vAlign w:val="bottom"/>
          </w:tcPr>
          <w:p w14:paraId="71D3FB81" w14:textId="77777777" w:rsidR="006A3667" w:rsidRDefault="006A3667">
            <w:pPr>
              <w:rPr>
                <w:rFonts w:ascii="宋体"/>
                <w:vanish/>
              </w:rPr>
            </w:pPr>
          </w:p>
        </w:tc>
        <w:tc>
          <w:tcPr>
            <w:tcW w:w="0" w:type="auto"/>
            <w:gridSpan w:val="3"/>
            <w:shd w:val="clear" w:color="auto" w:fill="auto"/>
            <w:vAlign w:val="bottom"/>
          </w:tcPr>
          <w:p w14:paraId="71D3FB82" w14:textId="77777777" w:rsidR="006A3667" w:rsidRDefault="006A3667">
            <w:pPr>
              <w:rPr>
                <w:rFonts w:ascii="宋体"/>
                <w:vanish/>
              </w:rPr>
            </w:pPr>
          </w:p>
        </w:tc>
        <w:tc>
          <w:tcPr>
            <w:tcW w:w="0" w:type="auto"/>
            <w:gridSpan w:val="2"/>
            <w:shd w:val="clear" w:color="auto" w:fill="auto"/>
            <w:vAlign w:val="bottom"/>
          </w:tcPr>
          <w:p w14:paraId="71D3FB83" w14:textId="77777777" w:rsidR="006A3667" w:rsidRDefault="006A3667">
            <w:pPr>
              <w:rPr>
                <w:rFonts w:ascii="宋体"/>
                <w:vanish/>
              </w:rPr>
            </w:pPr>
          </w:p>
        </w:tc>
        <w:tc>
          <w:tcPr>
            <w:tcW w:w="0" w:type="auto"/>
            <w:shd w:val="clear" w:color="auto" w:fill="auto"/>
            <w:vAlign w:val="bottom"/>
          </w:tcPr>
          <w:p w14:paraId="71D3FB84" w14:textId="77777777" w:rsidR="006A3667" w:rsidRDefault="006A3667">
            <w:pPr>
              <w:rPr>
                <w:rFonts w:ascii="宋体"/>
                <w:vanish/>
              </w:rPr>
            </w:pPr>
          </w:p>
        </w:tc>
      </w:tr>
      <w:tr w:rsidR="006A3667" w14:paraId="71D3FBA1" w14:textId="77777777">
        <w:tc>
          <w:tcPr>
            <w:tcW w:w="0" w:type="auto"/>
            <w:gridSpan w:val="3"/>
            <w:shd w:val="clear" w:color="auto" w:fill="FFFFFF"/>
            <w:tcMar>
              <w:top w:w="40" w:type="dxa"/>
              <w:left w:w="20" w:type="dxa"/>
              <w:bottom w:w="40" w:type="dxa"/>
              <w:right w:w="20" w:type="dxa"/>
            </w:tcMar>
            <w:vAlign w:val="bottom"/>
          </w:tcPr>
          <w:p w14:paraId="71D3FB86" w14:textId="77777777" w:rsidR="006A3667" w:rsidRDefault="00045F32">
            <w:pPr>
              <w:textAlignment w:val="bottom"/>
            </w:pPr>
            <w:r>
              <w:rPr>
                <w:rFonts w:ascii="Arial" w:eastAsia="宋体" w:hAnsi="Arial" w:cs="Arial"/>
                <w:b/>
                <w:bCs/>
                <w:color w:val="000000"/>
                <w:sz w:val="15"/>
                <w:szCs w:val="15"/>
              </w:rPr>
              <w:t>Income before income tax expense</w:t>
            </w:r>
          </w:p>
        </w:tc>
        <w:tc>
          <w:tcPr>
            <w:tcW w:w="0" w:type="auto"/>
            <w:shd w:val="clear" w:color="auto" w:fill="auto"/>
            <w:vAlign w:val="bottom"/>
          </w:tcPr>
          <w:p w14:paraId="71D3FB87" w14:textId="77777777" w:rsidR="006A3667" w:rsidRDefault="006A3667">
            <w:pPr>
              <w:rPr>
                <w:rFonts w:ascii="宋体"/>
                <w:vanish/>
              </w:rPr>
            </w:pPr>
          </w:p>
        </w:tc>
        <w:tc>
          <w:tcPr>
            <w:tcW w:w="0" w:type="auto"/>
            <w:shd w:val="clear" w:color="auto" w:fill="auto"/>
            <w:vAlign w:val="bottom"/>
          </w:tcPr>
          <w:p w14:paraId="71D3FB88" w14:textId="77777777" w:rsidR="006A3667" w:rsidRDefault="006A3667">
            <w:pPr>
              <w:rPr>
                <w:rFonts w:ascii="宋体"/>
                <w:vanish/>
              </w:rPr>
            </w:pPr>
          </w:p>
        </w:tc>
        <w:tc>
          <w:tcPr>
            <w:tcW w:w="0" w:type="auto"/>
            <w:shd w:val="clear" w:color="auto" w:fill="auto"/>
            <w:vAlign w:val="bottom"/>
          </w:tcPr>
          <w:p w14:paraId="71D3FB89" w14:textId="77777777" w:rsidR="006A3667" w:rsidRDefault="006A3667">
            <w:pPr>
              <w:rPr>
                <w:rFonts w:ascii="宋体"/>
                <w:vanish/>
              </w:rPr>
            </w:pPr>
          </w:p>
        </w:tc>
        <w:tc>
          <w:tcPr>
            <w:tcW w:w="0" w:type="auto"/>
            <w:shd w:val="clear" w:color="auto" w:fill="auto"/>
            <w:vAlign w:val="bottom"/>
          </w:tcPr>
          <w:p w14:paraId="71D3FB8A" w14:textId="77777777" w:rsidR="006A3667" w:rsidRDefault="006A3667">
            <w:pPr>
              <w:rPr>
                <w:rFonts w:ascii="宋体"/>
                <w:vanish/>
              </w:rPr>
            </w:pPr>
          </w:p>
        </w:tc>
        <w:tc>
          <w:tcPr>
            <w:tcW w:w="0" w:type="auto"/>
            <w:shd w:val="clear" w:color="auto" w:fill="auto"/>
            <w:vAlign w:val="bottom"/>
          </w:tcPr>
          <w:p w14:paraId="71D3FB8B" w14:textId="77777777" w:rsidR="006A3667" w:rsidRDefault="006A3667">
            <w:pPr>
              <w:rPr>
                <w:rFonts w:ascii="宋体"/>
                <w:vanish/>
              </w:rPr>
            </w:pPr>
          </w:p>
        </w:tc>
        <w:tc>
          <w:tcPr>
            <w:tcW w:w="0" w:type="auto"/>
            <w:shd w:val="clear" w:color="auto" w:fill="auto"/>
            <w:vAlign w:val="bottom"/>
          </w:tcPr>
          <w:p w14:paraId="71D3FB8C"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B8D"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B8E" w14:textId="77777777" w:rsidR="006A3667" w:rsidRDefault="00045F32">
            <w:pPr>
              <w:jc w:val="right"/>
              <w:textAlignment w:val="bottom"/>
            </w:pPr>
            <w:r>
              <w:rPr>
                <w:rFonts w:ascii="Arial" w:eastAsia="宋体" w:hAnsi="Arial" w:cs="Arial"/>
                <w:b/>
                <w:bCs/>
                <w:color w:val="000000"/>
                <w:sz w:val="15"/>
                <w:szCs w:val="15"/>
              </w:rPr>
              <w:t>2,047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B8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B9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B91"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B92" w14:textId="77777777" w:rsidR="006A3667" w:rsidRDefault="00045F32">
            <w:pPr>
              <w:jc w:val="right"/>
              <w:textAlignment w:val="bottom"/>
            </w:pPr>
            <w:r>
              <w:rPr>
                <w:rFonts w:ascii="Arial" w:eastAsia="宋体" w:hAnsi="Arial" w:cs="Arial"/>
                <w:color w:val="000000"/>
                <w:sz w:val="15"/>
                <w:szCs w:val="15"/>
              </w:rPr>
              <w:t>1,991 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B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B94" w14:textId="77777777" w:rsidR="006A3667" w:rsidRDefault="006A3667">
            <w:pPr>
              <w:rPr>
                <w:rFonts w:ascii="宋体"/>
              </w:rPr>
            </w:pPr>
          </w:p>
        </w:tc>
        <w:tc>
          <w:tcPr>
            <w:tcW w:w="0" w:type="auto"/>
            <w:shd w:val="clear" w:color="auto" w:fill="auto"/>
            <w:vAlign w:val="bottom"/>
          </w:tcPr>
          <w:p w14:paraId="71D3FB95" w14:textId="77777777" w:rsidR="006A3667" w:rsidRDefault="006A3667">
            <w:pPr>
              <w:rPr>
                <w:rFonts w:ascii="宋体"/>
                <w:vanish/>
              </w:rPr>
            </w:pPr>
          </w:p>
        </w:tc>
        <w:tc>
          <w:tcPr>
            <w:tcW w:w="0" w:type="auto"/>
            <w:shd w:val="clear" w:color="auto" w:fill="auto"/>
            <w:vAlign w:val="bottom"/>
          </w:tcPr>
          <w:p w14:paraId="71D3FB96"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B97" w14:textId="77777777" w:rsidR="006A3667" w:rsidRDefault="00045F32">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71D3FB98" w14:textId="77777777" w:rsidR="006A3667" w:rsidRDefault="006A3667">
            <w:pPr>
              <w:jc w:val="right"/>
              <w:rPr>
                <w:rFonts w:ascii="宋体"/>
              </w:rPr>
            </w:pPr>
          </w:p>
        </w:tc>
        <w:tc>
          <w:tcPr>
            <w:tcW w:w="0" w:type="auto"/>
            <w:gridSpan w:val="3"/>
            <w:shd w:val="clear" w:color="auto" w:fill="auto"/>
            <w:vAlign w:val="bottom"/>
          </w:tcPr>
          <w:p w14:paraId="71D3FB99" w14:textId="77777777" w:rsidR="006A3667" w:rsidRDefault="006A3667">
            <w:pPr>
              <w:rPr>
                <w:rFonts w:ascii="宋体"/>
                <w:vanish/>
              </w:rPr>
            </w:pPr>
          </w:p>
        </w:tc>
        <w:tc>
          <w:tcPr>
            <w:tcW w:w="0" w:type="auto"/>
            <w:gridSpan w:val="3"/>
            <w:shd w:val="clear" w:color="auto" w:fill="auto"/>
            <w:vAlign w:val="bottom"/>
          </w:tcPr>
          <w:p w14:paraId="71D3FB9A" w14:textId="77777777" w:rsidR="006A3667" w:rsidRDefault="006A3667">
            <w:pPr>
              <w:rPr>
                <w:rFonts w:ascii="宋体"/>
                <w:vanish/>
              </w:rPr>
            </w:pPr>
          </w:p>
        </w:tc>
        <w:tc>
          <w:tcPr>
            <w:tcW w:w="0" w:type="auto"/>
            <w:gridSpan w:val="3"/>
            <w:shd w:val="clear" w:color="auto" w:fill="auto"/>
            <w:vAlign w:val="bottom"/>
          </w:tcPr>
          <w:p w14:paraId="71D3FB9B" w14:textId="77777777" w:rsidR="006A3667" w:rsidRDefault="006A3667">
            <w:pPr>
              <w:rPr>
                <w:rFonts w:ascii="宋体"/>
                <w:vanish/>
              </w:rPr>
            </w:pPr>
          </w:p>
        </w:tc>
        <w:tc>
          <w:tcPr>
            <w:tcW w:w="0" w:type="auto"/>
            <w:gridSpan w:val="3"/>
            <w:shd w:val="clear" w:color="auto" w:fill="auto"/>
            <w:vAlign w:val="bottom"/>
          </w:tcPr>
          <w:p w14:paraId="71D3FB9C" w14:textId="77777777" w:rsidR="006A3667" w:rsidRDefault="006A3667">
            <w:pPr>
              <w:rPr>
                <w:rFonts w:ascii="宋体"/>
                <w:vanish/>
              </w:rPr>
            </w:pPr>
          </w:p>
        </w:tc>
        <w:tc>
          <w:tcPr>
            <w:tcW w:w="0" w:type="auto"/>
            <w:gridSpan w:val="3"/>
            <w:shd w:val="clear" w:color="auto" w:fill="auto"/>
            <w:vAlign w:val="bottom"/>
          </w:tcPr>
          <w:p w14:paraId="71D3FB9D" w14:textId="77777777" w:rsidR="006A3667" w:rsidRDefault="006A3667">
            <w:pPr>
              <w:rPr>
                <w:rFonts w:ascii="宋体"/>
                <w:vanish/>
              </w:rPr>
            </w:pPr>
          </w:p>
        </w:tc>
        <w:tc>
          <w:tcPr>
            <w:tcW w:w="0" w:type="auto"/>
            <w:gridSpan w:val="3"/>
            <w:shd w:val="clear" w:color="auto" w:fill="auto"/>
            <w:vAlign w:val="bottom"/>
          </w:tcPr>
          <w:p w14:paraId="71D3FB9E" w14:textId="77777777" w:rsidR="006A3667" w:rsidRDefault="006A3667">
            <w:pPr>
              <w:rPr>
                <w:rFonts w:ascii="宋体"/>
                <w:vanish/>
              </w:rPr>
            </w:pPr>
          </w:p>
        </w:tc>
        <w:tc>
          <w:tcPr>
            <w:tcW w:w="0" w:type="auto"/>
            <w:gridSpan w:val="2"/>
            <w:shd w:val="clear" w:color="auto" w:fill="auto"/>
            <w:vAlign w:val="bottom"/>
          </w:tcPr>
          <w:p w14:paraId="71D3FB9F" w14:textId="77777777" w:rsidR="006A3667" w:rsidRDefault="006A3667">
            <w:pPr>
              <w:rPr>
                <w:rFonts w:ascii="宋体"/>
                <w:vanish/>
              </w:rPr>
            </w:pPr>
          </w:p>
        </w:tc>
        <w:tc>
          <w:tcPr>
            <w:tcW w:w="0" w:type="auto"/>
            <w:shd w:val="clear" w:color="auto" w:fill="auto"/>
            <w:vAlign w:val="bottom"/>
          </w:tcPr>
          <w:p w14:paraId="71D3FBA0" w14:textId="77777777" w:rsidR="006A3667" w:rsidRDefault="006A3667">
            <w:pPr>
              <w:rPr>
                <w:rFonts w:ascii="宋体"/>
                <w:vanish/>
              </w:rPr>
            </w:pPr>
          </w:p>
        </w:tc>
      </w:tr>
      <w:tr w:rsidR="006A3667" w14:paraId="71D3FBBA" w14:textId="77777777">
        <w:tc>
          <w:tcPr>
            <w:tcW w:w="0" w:type="auto"/>
            <w:gridSpan w:val="3"/>
            <w:shd w:val="clear" w:color="auto" w:fill="CCEEFF"/>
            <w:tcMar>
              <w:top w:w="40" w:type="dxa"/>
              <w:left w:w="20" w:type="dxa"/>
              <w:bottom w:w="40" w:type="dxa"/>
              <w:right w:w="20" w:type="dxa"/>
            </w:tcMar>
            <w:vAlign w:val="bottom"/>
          </w:tcPr>
          <w:p w14:paraId="71D3FBA2" w14:textId="77777777" w:rsidR="006A3667" w:rsidRDefault="00045F32">
            <w:pPr>
              <w:textAlignment w:val="bottom"/>
            </w:pPr>
            <w:r>
              <w:rPr>
                <w:rFonts w:ascii="Arial" w:eastAsia="宋体" w:hAnsi="Arial" w:cs="Arial"/>
                <w:color w:val="000000"/>
                <w:sz w:val="15"/>
                <w:szCs w:val="15"/>
              </w:rPr>
              <w:t>Pre-tax margin</w:t>
            </w:r>
          </w:p>
        </w:tc>
        <w:tc>
          <w:tcPr>
            <w:tcW w:w="0" w:type="auto"/>
            <w:shd w:val="clear" w:color="auto" w:fill="auto"/>
            <w:vAlign w:val="bottom"/>
          </w:tcPr>
          <w:p w14:paraId="71D3FBA3" w14:textId="77777777" w:rsidR="006A3667" w:rsidRDefault="006A3667">
            <w:pPr>
              <w:rPr>
                <w:rFonts w:ascii="宋体"/>
                <w:vanish/>
              </w:rPr>
            </w:pPr>
          </w:p>
        </w:tc>
        <w:tc>
          <w:tcPr>
            <w:tcW w:w="0" w:type="auto"/>
            <w:shd w:val="clear" w:color="auto" w:fill="auto"/>
            <w:vAlign w:val="bottom"/>
          </w:tcPr>
          <w:p w14:paraId="71D3FBA4" w14:textId="77777777" w:rsidR="006A3667" w:rsidRDefault="006A3667">
            <w:pPr>
              <w:rPr>
                <w:rFonts w:ascii="宋体"/>
                <w:vanish/>
              </w:rPr>
            </w:pPr>
          </w:p>
        </w:tc>
        <w:tc>
          <w:tcPr>
            <w:tcW w:w="0" w:type="auto"/>
            <w:shd w:val="clear" w:color="auto" w:fill="auto"/>
            <w:vAlign w:val="bottom"/>
          </w:tcPr>
          <w:p w14:paraId="71D3FBA5" w14:textId="77777777" w:rsidR="006A3667" w:rsidRDefault="006A3667">
            <w:pPr>
              <w:rPr>
                <w:rFonts w:ascii="宋体"/>
                <w:vanish/>
              </w:rPr>
            </w:pPr>
          </w:p>
        </w:tc>
        <w:tc>
          <w:tcPr>
            <w:tcW w:w="0" w:type="auto"/>
            <w:shd w:val="clear" w:color="auto" w:fill="auto"/>
            <w:vAlign w:val="bottom"/>
          </w:tcPr>
          <w:p w14:paraId="71D3FBA6" w14:textId="77777777" w:rsidR="006A3667" w:rsidRDefault="006A3667">
            <w:pPr>
              <w:rPr>
                <w:rFonts w:ascii="宋体"/>
                <w:vanish/>
              </w:rPr>
            </w:pPr>
          </w:p>
        </w:tc>
        <w:tc>
          <w:tcPr>
            <w:tcW w:w="0" w:type="auto"/>
            <w:shd w:val="clear" w:color="auto" w:fill="auto"/>
            <w:vAlign w:val="bottom"/>
          </w:tcPr>
          <w:p w14:paraId="71D3FBA7" w14:textId="77777777" w:rsidR="006A3667" w:rsidRDefault="006A3667">
            <w:pPr>
              <w:rPr>
                <w:rFonts w:ascii="宋体"/>
                <w:vanish/>
              </w:rPr>
            </w:pPr>
          </w:p>
        </w:tc>
        <w:tc>
          <w:tcPr>
            <w:tcW w:w="0" w:type="auto"/>
            <w:shd w:val="clear" w:color="auto" w:fill="auto"/>
            <w:vAlign w:val="bottom"/>
          </w:tcPr>
          <w:p w14:paraId="71D3FBA8" w14:textId="77777777" w:rsidR="006A3667" w:rsidRDefault="006A3667">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BA9" w14:textId="77777777" w:rsidR="006A3667" w:rsidRDefault="00045F32">
            <w:pPr>
              <w:jc w:val="right"/>
              <w:textAlignment w:val="bottom"/>
            </w:pPr>
            <w:r>
              <w:rPr>
                <w:rFonts w:ascii="Arial" w:eastAsia="宋体" w:hAnsi="Arial" w:cs="Arial"/>
                <w:b/>
                <w:bCs/>
                <w:color w:val="000000"/>
                <w:sz w:val="15"/>
                <w:szCs w:val="15"/>
              </w:rPr>
              <w:t>27.3</w:t>
            </w:r>
            <w:r>
              <w:rPr>
                <w:rFonts w:ascii="Arial" w:eastAsia="宋体" w:hAnsi="Arial" w:cs="Arial"/>
                <w:color w:val="000000"/>
                <w:sz w:val="15"/>
                <w:szCs w:val="15"/>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BAA" w14:textId="77777777" w:rsidR="006A3667" w:rsidRDefault="00045F32">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3FBAB"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BAC" w14:textId="77777777" w:rsidR="006A3667" w:rsidRDefault="00045F32">
            <w:pPr>
              <w:jc w:val="right"/>
              <w:textAlignment w:val="bottom"/>
            </w:pPr>
            <w:r>
              <w:rPr>
                <w:rFonts w:ascii="Arial" w:eastAsia="宋体" w:hAnsi="Arial" w:cs="Arial"/>
                <w:color w:val="000000"/>
                <w:sz w:val="15"/>
                <w:szCs w:val="15"/>
              </w:rPr>
              <w:t>27.1 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BAD"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3FBAE" w14:textId="77777777" w:rsidR="006A3667" w:rsidRDefault="006A3667">
            <w:pPr>
              <w:rPr>
                <w:rFonts w:ascii="宋体"/>
              </w:rPr>
            </w:pPr>
          </w:p>
        </w:tc>
        <w:tc>
          <w:tcPr>
            <w:tcW w:w="0" w:type="auto"/>
            <w:shd w:val="clear" w:color="auto" w:fill="auto"/>
            <w:vAlign w:val="bottom"/>
          </w:tcPr>
          <w:p w14:paraId="71D3FBAF" w14:textId="77777777" w:rsidR="006A3667" w:rsidRDefault="006A3667">
            <w:pPr>
              <w:rPr>
                <w:rFonts w:ascii="宋体"/>
                <w:vanish/>
              </w:rPr>
            </w:pPr>
          </w:p>
        </w:tc>
        <w:tc>
          <w:tcPr>
            <w:tcW w:w="0" w:type="auto"/>
            <w:shd w:val="clear" w:color="auto" w:fill="auto"/>
            <w:vAlign w:val="bottom"/>
          </w:tcPr>
          <w:p w14:paraId="71D3FBB0" w14:textId="77777777" w:rsidR="006A3667" w:rsidRDefault="006A3667">
            <w:pPr>
              <w:rPr>
                <w:rFonts w:ascii="宋体"/>
                <w:vanish/>
              </w:rPr>
            </w:pPr>
          </w:p>
        </w:tc>
        <w:tc>
          <w:tcPr>
            <w:tcW w:w="0" w:type="auto"/>
            <w:gridSpan w:val="3"/>
            <w:shd w:val="clear" w:color="auto" w:fill="CCEEFF"/>
            <w:tcMar>
              <w:top w:w="40" w:type="dxa"/>
              <w:left w:w="20" w:type="dxa"/>
              <w:bottom w:w="40" w:type="dxa"/>
              <w:right w:w="20" w:type="dxa"/>
            </w:tcMar>
            <w:vAlign w:val="bottom"/>
          </w:tcPr>
          <w:p w14:paraId="71D3FBB1" w14:textId="77777777" w:rsidR="006A3667" w:rsidRDefault="00045F32">
            <w:pPr>
              <w:jc w:val="right"/>
              <w:textAlignment w:val="bottom"/>
            </w:pPr>
            <w:r>
              <w:rPr>
                <w:rFonts w:ascii="Arial" w:eastAsia="宋体" w:hAnsi="Arial" w:cs="Arial"/>
                <w:color w:val="000000"/>
                <w:sz w:val="15"/>
                <w:szCs w:val="15"/>
              </w:rPr>
              <w:t>20 bps</w:t>
            </w:r>
          </w:p>
        </w:tc>
        <w:tc>
          <w:tcPr>
            <w:tcW w:w="0" w:type="auto"/>
            <w:gridSpan w:val="3"/>
            <w:shd w:val="clear" w:color="auto" w:fill="auto"/>
            <w:vAlign w:val="bottom"/>
          </w:tcPr>
          <w:p w14:paraId="71D3FBB2" w14:textId="77777777" w:rsidR="006A3667" w:rsidRDefault="006A3667">
            <w:pPr>
              <w:rPr>
                <w:rFonts w:ascii="宋体"/>
                <w:vanish/>
              </w:rPr>
            </w:pPr>
          </w:p>
        </w:tc>
        <w:tc>
          <w:tcPr>
            <w:tcW w:w="0" w:type="auto"/>
            <w:gridSpan w:val="3"/>
            <w:shd w:val="clear" w:color="auto" w:fill="auto"/>
            <w:vAlign w:val="bottom"/>
          </w:tcPr>
          <w:p w14:paraId="71D3FBB3" w14:textId="77777777" w:rsidR="006A3667" w:rsidRDefault="006A3667">
            <w:pPr>
              <w:rPr>
                <w:rFonts w:ascii="宋体"/>
                <w:vanish/>
              </w:rPr>
            </w:pPr>
          </w:p>
        </w:tc>
        <w:tc>
          <w:tcPr>
            <w:tcW w:w="0" w:type="auto"/>
            <w:gridSpan w:val="3"/>
            <w:shd w:val="clear" w:color="auto" w:fill="auto"/>
            <w:vAlign w:val="bottom"/>
          </w:tcPr>
          <w:p w14:paraId="71D3FBB4" w14:textId="77777777" w:rsidR="006A3667" w:rsidRDefault="006A3667">
            <w:pPr>
              <w:rPr>
                <w:rFonts w:ascii="宋体"/>
                <w:vanish/>
              </w:rPr>
            </w:pPr>
          </w:p>
        </w:tc>
        <w:tc>
          <w:tcPr>
            <w:tcW w:w="0" w:type="auto"/>
            <w:gridSpan w:val="3"/>
            <w:shd w:val="clear" w:color="auto" w:fill="auto"/>
            <w:vAlign w:val="bottom"/>
          </w:tcPr>
          <w:p w14:paraId="71D3FBB5" w14:textId="77777777" w:rsidR="006A3667" w:rsidRDefault="006A3667">
            <w:pPr>
              <w:rPr>
                <w:rFonts w:ascii="宋体"/>
                <w:vanish/>
              </w:rPr>
            </w:pPr>
          </w:p>
        </w:tc>
        <w:tc>
          <w:tcPr>
            <w:tcW w:w="0" w:type="auto"/>
            <w:gridSpan w:val="3"/>
            <w:shd w:val="clear" w:color="auto" w:fill="auto"/>
            <w:vAlign w:val="bottom"/>
          </w:tcPr>
          <w:p w14:paraId="71D3FBB6" w14:textId="77777777" w:rsidR="006A3667" w:rsidRDefault="006A3667">
            <w:pPr>
              <w:rPr>
                <w:rFonts w:ascii="宋体"/>
                <w:vanish/>
              </w:rPr>
            </w:pPr>
          </w:p>
        </w:tc>
        <w:tc>
          <w:tcPr>
            <w:tcW w:w="0" w:type="auto"/>
            <w:gridSpan w:val="3"/>
            <w:shd w:val="clear" w:color="auto" w:fill="auto"/>
            <w:vAlign w:val="bottom"/>
          </w:tcPr>
          <w:p w14:paraId="71D3FBB7" w14:textId="77777777" w:rsidR="006A3667" w:rsidRDefault="006A3667">
            <w:pPr>
              <w:rPr>
                <w:rFonts w:ascii="宋体"/>
                <w:vanish/>
              </w:rPr>
            </w:pPr>
          </w:p>
        </w:tc>
        <w:tc>
          <w:tcPr>
            <w:tcW w:w="0" w:type="auto"/>
            <w:gridSpan w:val="2"/>
            <w:shd w:val="clear" w:color="auto" w:fill="auto"/>
            <w:vAlign w:val="bottom"/>
          </w:tcPr>
          <w:p w14:paraId="71D3FBB8" w14:textId="77777777" w:rsidR="006A3667" w:rsidRDefault="006A3667">
            <w:pPr>
              <w:rPr>
                <w:rFonts w:ascii="宋体"/>
                <w:vanish/>
              </w:rPr>
            </w:pPr>
          </w:p>
        </w:tc>
        <w:tc>
          <w:tcPr>
            <w:tcW w:w="0" w:type="auto"/>
            <w:shd w:val="clear" w:color="auto" w:fill="auto"/>
            <w:vAlign w:val="bottom"/>
          </w:tcPr>
          <w:p w14:paraId="71D3FBB9" w14:textId="77777777" w:rsidR="006A3667" w:rsidRDefault="006A3667">
            <w:pPr>
              <w:rPr>
                <w:rFonts w:ascii="宋体"/>
                <w:vanish/>
              </w:rPr>
            </w:pPr>
          </w:p>
        </w:tc>
      </w:tr>
    </w:tbl>
    <w:p w14:paraId="71D3FBBB" w14:textId="77777777" w:rsidR="006A3667" w:rsidRDefault="006A3667">
      <w:pPr>
        <w:rPr>
          <w:vanish/>
        </w:rPr>
      </w:pPr>
    </w:p>
    <w:tbl>
      <w:tblPr>
        <w:tblW w:w="1806" w:type="pct"/>
        <w:tblCellMar>
          <w:top w:w="15" w:type="dxa"/>
          <w:left w:w="15" w:type="dxa"/>
          <w:bottom w:w="15" w:type="dxa"/>
          <w:right w:w="15" w:type="dxa"/>
        </w:tblCellMar>
        <w:tblLook w:val="04A0" w:firstRow="1" w:lastRow="0" w:firstColumn="1" w:lastColumn="0" w:noHBand="0" w:noVBand="1"/>
      </w:tblPr>
      <w:tblGrid>
        <w:gridCol w:w="36"/>
        <w:gridCol w:w="2260"/>
        <w:gridCol w:w="36"/>
        <w:gridCol w:w="36"/>
        <w:gridCol w:w="36"/>
        <w:gridCol w:w="36"/>
        <w:gridCol w:w="36"/>
        <w:gridCol w:w="499"/>
        <w:gridCol w:w="36"/>
      </w:tblGrid>
      <w:tr w:rsidR="006A3667" w14:paraId="71D3FBC5" w14:textId="77777777">
        <w:tc>
          <w:tcPr>
            <w:tcW w:w="50" w:type="pct"/>
            <w:shd w:val="clear" w:color="auto" w:fill="auto"/>
            <w:vAlign w:val="bottom"/>
          </w:tcPr>
          <w:p w14:paraId="71D3FBBC" w14:textId="77777777" w:rsidR="006A3667" w:rsidRDefault="006A3667">
            <w:pPr>
              <w:rPr>
                <w:rFonts w:ascii="宋体"/>
              </w:rPr>
            </w:pPr>
          </w:p>
        </w:tc>
        <w:tc>
          <w:tcPr>
            <w:tcW w:w="3831" w:type="pct"/>
            <w:shd w:val="clear" w:color="auto" w:fill="auto"/>
            <w:vAlign w:val="bottom"/>
          </w:tcPr>
          <w:p w14:paraId="71D3FBBD" w14:textId="77777777" w:rsidR="006A3667" w:rsidRDefault="006A3667">
            <w:pPr>
              <w:rPr>
                <w:rFonts w:ascii="宋体"/>
              </w:rPr>
            </w:pPr>
          </w:p>
        </w:tc>
        <w:tc>
          <w:tcPr>
            <w:tcW w:w="5" w:type="pct"/>
            <w:shd w:val="clear" w:color="auto" w:fill="auto"/>
            <w:vAlign w:val="bottom"/>
          </w:tcPr>
          <w:p w14:paraId="71D3FBBE" w14:textId="77777777" w:rsidR="006A3667" w:rsidRDefault="006A3667">
            <w:pPr>
              <w:rPr>
                <w:rFonts w:ascii="宋体"/>
              </w:rPr>
            </w:pPr>
          </w:p>
        </w:tc>
        <w:tc>
          <w:tcPr>
            <w:tcW w:w="5" w:type="pct"/>
            <w:shd w:val="clear" w:color="auto" w:fill="auto"/>
            <w:vAlign w:val="bottom"/>
          </w:tcPr>
          <w:p w14:paraId="71D3FBBF" w14:textId="77777777" w:rsidR="006A3667" w:rsidRDefault="006A3667">
            <w:pPr>
              <w:rPr>
                <w:rFonts w:ascii="宋体"/>
              </w:rPr>
            </w:pPr>
          </w:p>
        </w:tc>
        <w:tc>
          <w:tcPr>
            <w:tcW w:w="70" w:type="pct"/>
            <w:shd w:val="clear" w:color="auto" w:fill="auto"/>
            <w:vAlign w:val="bottom"/>
          </w:tcPr>
          <w:p w14:paraId="71D3FBC0" w14:textId="77777777" w:rsidR="006A3667" w:rsidRDefault="006A3667">
            <w:pPr>
              <w:rPr>
                <w:rFonts w:ascii="宋体"/>
              </w:rPr>
            </w:pPr>
          </w:p>
        </w:tc>
        <w:tc>
          <w:tcPr>
            <w:tcW w:w="5" w:type="pct"/>
            <w:shd w:val="clear" w:color="auto" w:fill="auto"/>
            <w:vAlign w:val="bottom"/>
          </w:tcPr>
          <w:p w14:paraId="71D3FBC1" w14:textId="77777777" w:rsidR="006A3667" w:rsidRDefault="006A3667">
            <w:pPr>
              <w:rPr>
                <w:rFonts w:ascii="宋体"/>
              </w:rPr>
            </w:pPr>
          </w:p>
        </w:tc>
        <w:tc>
          <w:tcPr>
            <w:tcW w:w="50" w:type="pct"/>
            <w:shd w:val="clear" w:color="auto" w:fill="auto"/>
            <w:vAlign w:val="bottom"/>
          </w:tcPr>
          <w:p w14:paraId="71D3FBC2" w14:textId="77777777" w:rsidR="006A3667" w:rsidRDefault="006A3667">
            <w:pPr>
              <w:rPr>
                <w:rFonts w:ascii="宋体"/>
              </w:rPr>
            </w:pPr>
          </w:p>
        </w:tc>
        <w:tc>
          <w:tcPr>
            <w:tcW w:w="977" w:type="pct"/>
            <w:shd w:val="clear" w:color="auto" w:fill="auto"/>
            <w:vAlign w:val="bottom"/>
          </w:tcPr>
          <w:p w14:paraId="71D3FBC3" w14:textId="77777777" w:rsidR="006A3667" w:rsidRDefault="006A3667">
            <w:pPr>
              <w:rPr>
                <w:rFonts w:ascii="宋体"/>
              </w:rPr>
            </w:pPr>
          </w:p>
        </w:tc>
        <w:tc>
          <w:tcPr>
            <w:tcW w:w="5" w:type="pct"/>
            <w:shd w:val="clear" w:color="auto" w:fill="auto"/>
            <w:vAlign w:val="bottom"/>
          </w:tcPr>
          <w:p w14:paraId="71D3FBC4" w14:textId="77777777" w:rsidR="006A3667" w:rsidRDefault="006A3667">
            <w:pPr>
              <w:rPr>
                <w:rFonts w:ascii="宋体"/>
              </w:rPr>
            </w:pPr>
          </w:p>
        </w:tc>
      </w:tr>
      <w:tr w:rsidR="006A3667" w14:paraId="71D3FBC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FBC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BC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BC8" w14:textId="77777777" w:rsidR="006A3667" w:rsidRDefault="006A3667">
            <w:pPr>
              <w:rPr>
                <w:rFonts w:ascii="宋体"/>
              </w:rPr>
            </w:pPr>
          </w:p>
        </w:tc>
      </w:tr>
    </w:tbl>
    <w:p w14:paraId="71D3FBCA" w14:textId="77777777" w:rsidR="006A3667" w:rsidRDefault="00045F32">
      <w:pPr>
        <w:spacing w:before="60"/>
        <w:jc w:val="both"/>
      </w:pPr>
      <w:r>
        <w:rPr>
          <w:rFonts w:ascii="Arial" w:eastAsia="宋体" w:hAnsi="Arial" w:cs="Arial"/>
          <w:color w:val="000000"/>
          <w:sz w:val="9"/>
          <w:szCs w:val="9"/>
        </w:rPr>
        <w:t>nm</w:t>
      </w:r>
      <w:r>
        <w:rPr>
          <w:rFonts w:ascii="Arial" w:eastAsia="宋体" w:hAnsi="Arial" w:cs="Arial"/>
          <w:color w:val="000000"/>
          <w:sz w:val="14"/>
          <w:szCs w:val="14"/>
        </w:rPr>
        <w:t xml:space="preserve"> Not meaningful</w:t>
      </w:r>
    </w:p>
    <w:p w14:paraId="71D3FBCB" w14:textId="77777777" w:rsidR="006A3667" w:rsidRDefault="00045F32">
      <w:pPr>
        <w:spacing w:before="60"/>
        <w:jc w:val="both"/>
      </w:pPr>
      <w:r>
        <w:rPr>
          <w:rFonts w:ascii="Arial" w:eastAsia="宋体" w:hAnsi="Arial" w:cs="Arial"/>
          <w:b/>
          <w:bCs/>
          <w:i/>
          <w:iCs/>
          <w:color w:val="000000"/>
          <w:sz w:val="20"/>
          <w:szCs w:val="20"/>
        </w:rPr>
        <w:t>Servicing Fees</w:t>
      </w:r>
    </w:p>
    <w:p w14:paraId="71D3FBCC" w14:textId="77777777" w:rsidR="006A3667" w:rsidRDefault="00045F32">
      <w:pPr>
        <w:spacing w:before="60"/>
        <w:ind w:firstLine="450"/>
        <w:jc w:val="both"/>
      </w:pPr>
      <w:r>
        <w:rPr>
          <w:rFonts w:ascii="Arial" w:eastAsia="宋体" w:hAnsi="Arial" w:cs="Arial"/>
          <w:color w:val="000000"/>
          <w:sz w:val="20"/>
          <w:szCs w:val="20"/>
        </w:rPr>
        <w:t>Servicing fees, as presented in Table 17: Investment Servicing Line of Business Results, decreased 12% and 6% in the three and nine months ended September 30, 2022, respectively, compared to the same periods in 2021, primarily due to lower average market l</w:t>
      </w:r>
      <w:r>
        <w:rPr>
          <w:rFonts w:ascii="Arial" w:eastAsia="宋体" w:hAnsi="Arial" w:cs="Arial"/>
          <w:color w:val="000000"/>
          <w:sz w:val="20"/>
          <w:szCs w:val="20"/>
        </w:rPr>
        <w:t>evels, lower client activity and adjustments and normal pricing headwinds, partially offset by net new business. Currency translation decreased servicing fee revenue by 3% in both the three and nine months ended September 30, 2022, relative to the same per</w:t>
      </w:r>
      <w:r>
        <w:rPr>
          <w:rFonts w:ascii="Arial" w:eastAsia="宋体" w:hAnsi="Arial" w:cs="Arial"/>
          <w:color w:val="000000"/>
          <w:sz w:val="20"/>
          <w:szCs w:val="20"/>
        </w:rPr>
        <w:t xml:space="preserve">iods in 2021. </w:t>
      </w:r>
    </w:p>
    <w:p w14:paraId="71D3FBCD" w14:textId="77777777" w:rsidR="006A3667" w:rsidRDefault="00045F32">
      <w:pPr>
        <w:spacing w:before="60"/>
        <w:ind w:firstLine="450"/>
        <w:jc w:val="both"/>
      </w:pPr>
      <w:r>
        <w:rPr>
          <w:rFonts w:ascii="Arial" w:eastAsia="宋体" w:hAnsi="Arial" w:cs="Arial"/>
          <w:color w:val="000000"/>
          <w:sz w:val="20"/>
          <w:szCs w:val="20"/>
        </w:rPr>
        <w:t>For additional information about the impact of worldwide equity and fixed-income valuations, as well as other key drivers of our servicing fee revenue, refer to "Fee Revenue" in "Consolidated Results of Operations" included in this Managemen</w:t>
      </w:r>
      <w:r>
        <w:rPr>
          <w:rFonts w:ascii="Arial" w:eastAsia="宋体" w:hAnsi="Arial" w:cs="Arial"/>
          <w:color w:val="000000"/>
          <w:sz w:val="20"/>
          <w:szCs w:val="20"/>
        </w:rPr>
        <w:t>t's Discussion and Analysis.</w:t>
      </w:r>
    </w:p>
    <w:p w14:paraId="71D3FBCE" w14:textId="77777777" w:rsidR="006A3667" w:rsidRDefault="00045F32">
      <w:pPr>
        <w:ind w:firstLine="450"/>
        <w:jc w:val="right"/>
      </w:pPr>
      <w:r>
        <w:rPr>
          <w:rFonts w:ascii="Arial" w:eastAsia="宋体" w:hAnsi="Arial" w:cs="Arial"/>
          <w:color w:val="000000"/>
          <w:sz w:val="18"/>
          <w:szCs w:val="18"/>
        </w:rPr>
        <w:t>State Street Corporation | 26</w:t>
      </w:r>
    </w:p>
    <w:p w14:paraId="71D3FBCF" w14:textId="77777777" w:rsidR="006A3667" w:rsidRDefault="006A3667">
      <w:pPr>
        <w:ind w:firstLine="450"/>
        <w:jc w:val="center"/>
      </w:pPr>
    </w:p>
    <w:p w14:paraId="71D3FBD0" w14:textId="77777777" w:rsidR="006A3667" w:rsidRDefault="00045F32">
      <w:r>
        <w:pict w14:anchorId="71D4AC2E">
          <v:rect id="_x0000_i1050" style="width:415.3pt;height:1.5pt" o:hralign="center" o:hrstd="t" o:hr="t" fillcolor="#a0a0a0" stroked="f"/>
        </w:pict>
      </w:r>
    </w:p>
    <w:p w14:paraId="71D3FBD1"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FBD2" w14:textId="77777777" w:rsidR="006A3667" w:rsidRDefault="00045F32">
      <w:pPr>
        <w:ind w:firstLine="450"/>
        <w:jc w:val="center"/>
      </w:pPr>
      <w:r>
        <w:rPr>
          <w:rFonts w:ascii="Arial" w:eastAsia="宋体" w:hAnsi="Arial" w:cs="Arial"/>
          <w:b/>
          <w:bCs/>
          <w:color w:val="000000"/>
          <w:sz w:val="20"/>
          <w:szCs w:val="20"/>
        </w:rPr>
        <w:t>AND RESULTS OF OPERATIONS</w:t>
      </w:r>
    </w:p>
    <w:p w14:paraId="71D3FBD3" w14:textId="77777777" w:rsidR="006A3667" w:rsidRDefault="00045F32">
      <w:pPr>
        <w:spacing w:before="60"/>
        <w:jc w:val="both"/>
      </w:pPr>
      <w:r>
        <w:rPr>
          <w:rFonts w:ascii="Arial" w:eastAsia="宋体" w:hAnsi="Arial" w:cs="Arial"/>
          <w:b/>
          <w:bCs/>
          <w:i/>
          <w:iCs/>
          <w:color w:val="000000"/>
          <w:sz w:val="20"/>
          <w:szCs w:val="20"/>
        </w:rPr>
        <w:t>Expenses</w:t>
      </w:r>
    </w:p>
    <w:p w14:paraId="71D3FBD4" w14:textId="77777777" w:rsidR="006A3667" w:rsidRDefault="00045F32">
      <w:pPr>
        <w:spacing w:before="60"/>
        <w:ind w:firstLine="450"/>
        <w:jc w:val="both"/>
      </w:pPr>
      <w:r>
        <w:rPr>
          <w:rFonts w:ascii="Arial" w:eastAsia="宋体" w:hAnsi="Arial" w:cs="Arial"/>
          <w:color w:val="000000"/>
          <w:sz w:val="20"/>
          <w:szCs w:val="20"/>
        </w:rPr>
        <w:t>Total expenses for Investment Servicing were flat and increased 1% in the three and nine months end</w:t>
      </w:r>
      <w:r>
        <w:rPr>
          <w:rFonts w:ascii="Arial" w:eastAsia="宋体" w:hAnsi="Arial" w:cs="Arial"/>
          <w:color w:val="000000"/>
          <w:sz w:val="20"/>
          <w:szCs w:val="20"/>
        </w:rPr>
        <w:t>ed September 30, 2022, respectively, compared to the same periods in 2021, as expense growth from higher technology infrastructure investments, higher headcount and merit increases was offset or partially offset by productivity savings, on-going expense ma</w:t>
      </w:r>
      <w:r>
        <w:rPr>
          <w:rFonts w:ascii="Arial" w:eastAsia="宋体" w:hAnsi="Arial" w:cs="Arial"/>
          <w:color w:val="000000"/>
          <w:sz w:val="20"/>
          <w:szCs w:val="20"/>
        </w:rPr>
        <w:t>nagement initiatives and the benefit of currency translation which reduced expenses for Investment Servicing by 4% and 3% in the three and nine months ended September 30, 2022, respectively, relative to the same periods in 2021. Seasonal deferred incentive</w:t>
      </w:r>
      <w:r>
        <w:rPr>
          <w:rFonts w:ascii="Arial" w:eastAsia="宋体" w:hAnsi="Arial" w:cs="Arial"/>
          <w:color w:val="000000"/>
          <w:sz w:val="20"/>
          <w:szCs w:val="20"/>
        </w:rPr>
        <w:t xml:space="preserve"> compensation expense and payroll taxes were $143 million in the nine months ended September 30, 2022 compared to $124 million in the same period in 2021. Additional information about expenses is provided under "Expenses" in "Consolidated Results of Operat</w:t>
      </w:r>
      <w:r>
        <w:rPr>
          <w:rFonts w:ascii="Arial" w:eastAsia="宋体" w:hAnsi="Arial" w:cs="Arial"/>
          <w:color w:val="000000"/>
          <w:sz w:val="20"/>
          <w:szCs w:val="20"/>
        </w:rPr>
        <w:t>ions" included in this Management's Discussion and Analysis.</w:t>
      </w:r>
    </w:p>
    <w:p w14:paraId="71D3FBD5" w14:textId="77777777" w:rsidR="006A3667" w:rsidRDefault="00045F32">
      <w:pPr>
        <w:spacing w:before="90"/>
        <w:jc w:val="both"/>
      </w:pPr>
      <w:r>
        <w:rPr>
          <w:rFonts w:ascii="Arial" w:eastAsia="宋体" w:hAnsi="Arial" w:cs="Arial"/>
          <w:b/>
          <w:bCs/>
          <w:color w:val="000000"/>
          <w:sz w:val="20"/>
          <w:szCs w:val="20"/>
        </w:rPr>
        <w:t>Investment Management</w:t>
      </w:r>
    </w:p>
    <w:tbl>
      <w:tblPr>
        <w:tblW w:w="4993" w:type="pct"/>
        <w:tblCellMar>
          <w:top w:w="15" w:type="dxa"/>
          <w:left w:w="15" w:type="dxa"/>
          <w:bottom w:w="15" w:type="dxa"/>
          <w:right w:w="15" w:type="dxa"/>
        </w:tblCellMar>
        <w:tblLook w:val="04A0" w:firstRow="1" w:lastRow="0" w:firstColumn="1" w:lastColumn="0" w:noHBand="0" w:noVBand="1"/>
      </w:tblPr>
      <w:tblGrid>
        <w:gridCol w:w="38"/>
        <w:gridCol w:w="3085"/>
        <w:gridCol w:w="38"/>
        <w:gridCol w:w="122"/>
        <w:gridCol w:w="122"/>
        <w:gridCol w:w="122"/>
        <w:gridCol w:w="122"/>
        <w:gridCol w:w="122"/>
        <w:gridCol w:w="36"/>
        <w:gridCol w:w="104"/>
        <w:gridCol w:w="920"/>
        <w:gridCol w:w="154"/>
        <w:gridCol w:w="36"/>
        <w:gridCol w:w="36"/>
        <w:gridCol w:w="36"/>
        <w:gridCol w:w="104"/>
        <w:gridCol w:w="920"/>
        <w:gridCol w:w="154"/>
        <w:gridCol w:w="36"/>
        <w:gridCol w:w="36"/>
        <w:gridCol w:w="36"/>
        <w:gridCol w:w="197"/>
        <w:gridCol w:w="197"/>
        <w:gridCol w:w="197"/>
        <w:gridCol w:w="36"/>
        <w:gridCol w:w="36"/>
        <w:gridCol w:w="36"/>
        <w:gridCol w:w="38"/>
        <w:gridCol w:w="838"/>
        <w:gridCol w:w="154"/>
        <w:gridCol w:w="36"/>
        <w:gridCol w:w="36"/>
        <w:gridCol w:w="36"/>
        <w:gridCol w:w="36"/>
        <w:gridCol w:w="36"/>
        <w:gridCol w:w="36"/>
      </w:tblGrid>
      <w:tr w:rsidR="006A3667" w14:paraId="71D3FBF2" w14:textId="77777777">
        <w:tc>
          <w:tcPr>
            <w:tcW w:w="50" w:type="pct"/>
            <w:shd w:val="clear" w:color="auto" w:fill="auto"/>
            <w:vAlign w:val="bottom"/>
          </w:tcPr>
          <w:p w14:paraId="71D3FBD6" w14:textId="77777777" w:rsidR="006A3667" w:rsidRDefault="006A3667">
            <w:pPr>
              <w:rPr>
                <w:rFonts w:ascii="宋体"/>
              </w:rPr>
            </w:pPr>
          </w:p>
        </w:tc>
        <w:tc>
          <w:tcPr>
            <w:tcW w:w="2426" w:type="pct"/>
            <w:shd w:val="clear" w:color="auto" w:fill="auto"/>
            <w:vAlign w:val="bottom"/>
          </w:tcPr>
          <w:p w14:paraId="71D3FBD7" w14:textId="77777777" w:rsidR="006A3667" w:rsidRDefault="006A3667">
            <w:pPr>
              <w:rPr>
                <w:rFonts w:ascii="宋体"/>
              </w:rPr>
            </w:pPr>
          </w:p>
        </w:tc>
        <w:tc>
          <w:tcPr>
            <w:tcW w:w="5" w:type="pct"/>
            <w:shd w:val="clear" w:color="auto" w:fill="auto"/>
            <w:vAlign w:val="bottom"/>
          </w:tcPr>
          <w:p w14:paraId="71D3FBD8" w14:textId="77777777" w:rsidR="006A3667" w:rsidRDefault="006A3667">
            <w:pPr>
              <w:rPr>
                <w:rFonts w:ascii="宋体"/>
              </w:rPr>
            </w:pPr>
          </w:p>
        </w:tc>
        <w:tc>
          <w:tcPr>
            <w:tcW w:w="0" w:type="auto"/>
            <w:shd w:val="clear" w:color="auto" w:fill="auto"/>
            <w:vAlign w:val="bottom"/>
          </w:tcPr>
          <w:p w14:paraId="71D3FBD9" w14:textId="77777777" w:rsidR="006A3667" w:rsidRDefault="006A3667">
            <w:pPr>
              <w:rPr>
                <w:rFonts w:ascii="宋体"/>
                <w:vanish/>
              </w:rPr>
            </w:pPr>
          </w:p>
        </w:tc>
        <w:tc>
          <w:tcPr>
            <w:tcW w:w="0" w:type="auto"/>
            <w:shd w:val="clear" w:color="auto" w:fill="auto"/>
            <w:vAlign w:val="bottom"/>
          </w:tcPr>
          <w:p w14:paraId="71D3FBDA" w14:textId="77777777" w:rsidR="006A3667" w:rsidRDefault="006A3667">
            <w:pPr>
              <w:rPr>
                <w:rFonts w:ascii="宋体"/>
                <w:vanish/>
              </w:rPr>
            </w:pPr>
          </w:p>
        </w:tc>
        <w:tc>
          <w:tcPr>
            <w:tcW w:w="0" w:type="auto"/>
            <w:shd w:val="clear" w:color="auto" w:fill="auto"/>
            <w:vAlign w:val="bottom"/>
          </w:tcPr>
          <w:p w14:paraId="71D3FBDB" w14:textId="77777777" w:rsidR="006A3667" w:rsidRDefault="006A3667">
            <w:pPr>
              <w:rPr>
                <w:rFonts w:ascii="宋体"/>
                <w:vanish/>
              </w:rPr>
            </w:pPr>
          </w:p>
        </w:tc>
        <w:tc>
          <w:tcPr>
            <w:tcW w:w="0" w:type="auto"/>
            <w:shd w:val="clear" w:color="auto" w:fill="auto"/>
            <w:vAlign w:val="bottom"/>
          </w:tcPr>
          <w:p w14:paraId="71D3FBDC" w14:textId="77777777" w:rsidR="006A3667" w:rsidRDefault="006A3667">
            <w:pPr>
              <w:rPr>
                <w:rFonts w:ascii="宋体"/>
                <w:vanish/>
              </w:rPr>
            </w:pPr>
          </w:p>
        </w:tc>
        <w:tc>
          <w:tcPr>
            <w:tcW w:w="0" w:type="auto"/>
            <w:shd w:val="clear" w:color="auto" w:fill="auto"/>
            <w:vAlign w:val="bottom"/>
          </w:tcPr>
          <w:p w14:paraId="71D3FBDD" w14:textId="77777777" w:rsidR="006A3667" w:rsidRDefault="006A3667">
            <w:pPr>
              <w:rPr>
                <w:rFonts w:ascii="宋体"/>
                <w:vanish/>
              </w:rPr>
            </w:pPr>
          </w:p>
        </w:tc>
        <w:tc>
          <w:tcPr>
            <w:tcW w:w="0" w:type="auto"/>
            <w:shd w:val="clear" w:color="auto" w:fill="auto"/>
            <w:vAlign w:val="bottom"/>
          </w:tcPr>
          <w:p w14:paraId="71D3FBDE" w14:textId="77777777" w:rsidR="006A3667" w:rsidRDefault="006A3667">
            <w:pPr>
              <w:rPr>
                <w:rFonts w:ascii="宋体"/>
                <w:vanish/>
              </w:rPr>
            </w:pPr>
          </w:p>
        </w:tc>
        <w:tc>
          <w:tcPr>
            <w:tcW w:w="50" w:type="pct"/>
            <w:shd w:val="clear" w:color="auto" w:fill="auto"/>
            <w:vAlign w:val="bottom"/>
          </w:tcPr>
          <w:p w14:paraId="71D3FBDF" w14:textId="77777777" w:rsidR="006A3667" w:rsidRDefault="006A3667">
            <w:pPr>
              <w:rPr>
                <w:rFonts w:ascii="宋体"/>
              </w:rPr>
            </w:pPr>
          </w:p>
        </w:tc>
        <w:tc>
          <w:tcPr>
            <w:tcW w:w="764" w:type="pct"/>
            <w:shd w:val="clear" w:color="auto" w:fill="auto"/>
            <w:vAlign w:val="bottom"/>
          </w:tcPr>
          <w:p w14:paraId="71D3FBE0" w14:textId="77777777" w:rsidR="006A3667" w:rsidRDefault="006A3667">
            <w:pPr>
              <w:rPr>
                <w:rFonts w:ascii="宋体"/>
              </w:rPr>
            </w:pPr>
          </w:p>
        </w:tc>
        <w:tc>
          <w:tcPr>
            <w:tcW w:w="5" w:type="pct"/>
            <w:shd w:val="clear" w:color="auto" w:fill="auto"/>
            <w:vAlign w:val="bottom"/>
          </w:tcPr>
          <w:p w14:paraId="71D3FBE1" w14:textId="77777777" w:rsidR="006A3667" w:rsidRDefault="006A3667">
            <w:pPr>
              <w:rPr>
                <w:rFonts w:ascii="宋体"/>
              </w:rPr>
            </w:pPr>
          </w:p>
        </w:tc>
        <w:tc>
          <w:tcPr>
            <w:tcW w:w="5" w:type="pct"/>
            <w:shd w:val="clear" w:color="auto" w:fill="auto"/>
            <w:vAlign w:val="bottom"/>
          </w:tcPr>
          <w:p w14:paraId="71D3FBE2" w14:textId="77777777" w:rsidR="006A3667" w:rsidRDefault="006A3667">
            <w:pPr>
              <w:rPr>
                <w:rFonts w:ascii="宋体"/>
              </w:rPr>
            </w:pPr>
          </w:p>
        </w:tc>
        <w:tc>
          <w:tcPr>
            <w:tcW w:w="19" w:type="pct"/>
            <w:shd w:val="clear" w:color="auto" w:fill="auto"/>
            <w:vAlign w:val="bottom"/>
          </w:tcPr>
          <w:p w14:paraId="71D3FBE3" w14:textId="77777777" w:rsidR="006A3667" w:rsidRDefault="006A3667">
            <w:pPr>
              <w:rPr>
                <w:rFonts w:ascii="宋体"/>
              </w:rPr>
            </w:pPr>
          </w:p>
        </w:tc>
        <w:tc>
          <w:tcPr>
            <w:tcW w:w="5" w:type="pct"/>
            <w:shd w:val="clear" w:color="auto" w:fill="auto"/>
            <w:vAlign w:val="bottom"/>
          </w:tcPr>
          <w:p w14:paraId="71D3FBE4" w14:textId="77777777" w:rsidR="006A3667" w:rsidRDefault="006A3667">
            <w:pPr>
              <w:rPr>
                <w:rFonts w:ascii="宋体"/>
              </w:rPr>
            </w:pPr>
          </w:p>
        </w:tc>
        <w:tc>
          <w:tcPr>
            <w:tcW w:w="50" w:type="pct"/>
            <w:shd w:val="clear" w:color="auto" w:fill="auto"/>
            <w:vAlign w:val="bottom"/>
          </w:tcPr>
          <w:p w14:paraId="71D3FBE5" w14:textId="77777777" w:rsidR="006A3667" w:rsidRDefault="006A3667">
            <w:pPr>
              <w:rPr>
                <w:rFonts w:ascii="宋体"/>
              </w:rPr>
            </w:pPr>
          </w:p>
        </w:tc>
        <w:tc>
          <w:tcPr>
            <w:tcW w:w="764" w:type="pct"/>
            <w:shd w:val="clear" w:color="auto" w:fill="auto"/>
            <w:vAlign w:val="bottom"/>
          </w:tcPr>
          <w:p w14:paraId="71D3FBE6" w14:textId="77777777" w:rsidR="006A3667" w:rsidRDefault="006A3667">
            <w:pPr>
              <w:rPr>
                <w:rFonts w:ascii="宋体"/>
              </w:rPr>
            </w:pPr>
          </w:p>
        </w:tc>
        <w:tc>
          <w:tcPr>
            <w:tcW w:w="5" w:type="pct"/>
            <w:shd w:val="clear" w:color="auto" w:fill="auto"/>
            <w:vAlign w:val="bottom"/>
          </w:tcPr>
          <w:p w14:paraId="71D3FBE7" w14:textId="77777777" w:rsidR="006A3667" w:rsidRDefault="006A3667">
            <w:pPr>
              <w:rPr>
                <w:rFonts w:ascii="宋体"/>
              </w:rPr>
            </w:pPr>
          </w:p>
        </w:tc>
        <w:tc>
          <w:tcPr>
            <w:tcW w:w="5" w:type="pct"/>
            <w:shd w:val="clear" w:color="auto" w:fill="auto"/>
            <w:vAlign w:val="bottom"/>
          </w:tcPr>
          <w:p w14:paraId="71D3FBE8" w14:textId="77777777" w:rsidR="006A3667" w:rsidRDefault="006A3667">
            <w:pPr>
              <w:rPr>
                <w:rFonts w:ascii="宋体"/>
              </w:rPr>
            </w:pPr>
          </w:p>
        </w:tc>
        <w:tc>
          <w:tcPr>
            <w:tcW w:w="19" w:type="pct"/>
            <w:shd w:val="clear" w:color="auto" w:fill="auto"/>
            <w:vAlign w:val="bottom"/>
          </w:tcPr>
          <w:p w14:paraId="71D3FBE9" w14:textId="77777777" w:rsidR="006A3667" w:rsidRDefault="006A3667">
            <w:pPr>
              <w:rPr>
                <w:rFonts w:ascii="宋体"/>
              </w:rPr>
            </w:pPr>
          </w:p>
        </w:tc>
        <w:tc>
          <w:tcPr>
            <w:tcW w:w="5" w:type="pct"/>
            <w:shd w:val="clear" w:color="auto" w:fill="auto"/>
            <w:vAlign w:val="bottom"/>
          </w:tcPr>
          <w:p w14:paraId="71D3FBEA" w14:textId="77777777" w:rsidR="006A3667" w:rsidRDefault="006A3667">
            <w:pPr>
              <w:rPr>
                <w:rFonts w:ascii="宋体"/>
              </w:rPr>
            </w:pPr>
          </w:p>
        </w:tc>
        <w:tc>
          <w:tcPr>
            <w:tcW w:w="0" w:type="auto"/>
            <w:gridSpan w:val="3"/>
            <w:shd w:val="clear" w:color="auto" w:fill="auto"/>
            <w:vAlign w:val="bottom"/>
          </w:tcPr>
          <w:p w14:paraId="71D3FBEB" w14:textId="77777777" w:rsidR="006A3667" w:rsidRDefault="006A3667">
            <w:pPr>
              <w:rPr>
                <w:rFonts w:ascii="宋体"/>
                <w:vanish/>
              </w:rPr>
            </w:pPr>
          </w:p>
        </w:tc>
        <w:tc>
          <w:tcPr>
            <w:tcW w:w="0" w:type="auto"/>
            <w:gridSpan w:val="3"/>
            <w:shd w:val="clear" w:color="auto" w:fill="auto"/>
            <w:vAlign w:val="bottom"/>
          </w:tcPr>
          <w:p w14:paraId="71D3FBEC" w14:textId="77777777" w:rsidR="006A3667" w:rsidRDefault="006A3667">
            <w:pPr>
              <w:rPr>
                <w:rFonts w:ascii="宋体"/>
                <w:vanish/>
              </w:rPr>
            </w:pPr>
          </w:p>
        </w:tc>
        <w:tc>
          <w:tcPr>
            <w:tcW w:w="50" w:type="pct"/>
            <w:shd w:val="clear" w:color="auto" w:fill="auto"/>
            <w:vAlign w:val="bottom"/>
          </w:tcPr>
          <w:p w14:paraId="71D3FBED" w14:textId="77777777" w:rsidR="006A3667" w:rsidRDefault="006A3667">
            <w:pPr>
              <w:rPr>
                <w:rFonts w:ascii="宋体"/>
              </w:rPr>
            </w:pPr>
          </w:p>
        </w:tc>
        <w:tc>
          <w:tcPr>
            <w:tcW w:w="765" w:type="pct"/>
            <w:shd w:val="clear" w:color="auto" w:fill="auto"/>
            <w:vAlign w:val="bottom"/>
          </w:tcPr>
          <w:p w14:paraId="71D3FBEE" w14:textId="77777777" w:rsidR="006A3667" w:rsidRDefault="006A3667">
            <w:pPr>
              <w:rPr>
                <w:rFonts w:ascii="宋体"/>
              </w:rPr>
            </w:pPr>
          </w:p>
        </w:tc>
        <w:tc>
          <w:tcPr>
            <w:tcW w:w="5" w:type="pct"/>
            <w:shd w:val="clear" w:color="auto" w:fill="auto"/>
            <w:vAlign w:val="bottom"/>
          </w:tcPr>
          <w:p w14:paraId="71D3FBEF" w14:textId="77777777" w:rsidR="006A3667" w:rsidRDefault="006A3667">
            <w:pPr>
              <w:rPr>
                <w:rFonts w:ascii="宋体"/>
              </w:rPr>
            </w:pPr>
          </w:p>
        </w:tc>
        <w:tc>
          <w:tcPr>
            <w:tcW w:w="0" w:type="auto"/>
            <w:gridSpan w:val="3"/>
            <w:shd w:val="clear" w:color="auto" w:fill="auto"/>
            <w:vAlign w:val="bottom"/>
          </w:tcPr>
          <w:p w14:paraId="71D3FBF0" w14:textId="77777777" w:rsidR="006A3667" w:rsidRDefault="006A3667">
            <w:pPr>
              <w:rPr>
                <w:rFonts w:ascii="宋体"/>
                <w:vanish/>
              </w:rPr>
            </w:pPr>
          </w:p>
        </w:tc>
        <w:tc>
          <w:tcPr>
            <w:tcW w:w="0" w:type="auto"/>
            <w:gridSpan w:val="3"/>
            <w:shd w:val="clear" w:color="auto" w:fill="auto"/>
            <w:vAlign w:val="bottom"/>
          </w:tcPr>
          <w:p w14:paraId="71D3FBF1" w14:textId="77777777" w:rsidR="006A3667" w:rsidRDefault="006A3667">
            <w:pPr>
              <w:rPr>
                <w:rFonts w:ascii="宋体"/>
                <w:vanish/>
              </w:rPr>
            </w:pPr>
          </w:p>
        </w:tc>
      </w:tr>
      <w:tr w:rsidR="006A3667" w14:paraId="71D3FC0E" w14:textId="77777777">
        <w:tc>
          <w:tcPr>
            <w:tcW w:w="0" w:type="auto"/>
            <w:gridSpan w:val="8"/>
            <w:shd w:val="clear" w:color="auto" w:fill="auto"/>
            <w:tcMar>
              <w:top w:w="40" w:type="dxa"/>
              <w:left w:w="20" w:type="dxa"/>
              <w:bottom w:w="40" w:type="dxa"/>
              <w:right w:w="20" w:type="dxa"/>
            </w:tcMar>
            <w:vAlign w:val="bottom"/>
          </w:tcPr>
          <w:p w14:paraId="71D3FBF3" w14:textId="77777777" w:rsidR="006A3667" w:rsidRDefault="00045F32">
            <w:pPr>
              <w:textAlignment w:val="bottom"/>
            </w:pPr>
            <w:r>
              <w:rPr>
                <w:rFonts w:ascii="Arial" w:eastAsia="宋体" w:hAnsi="Arial" w:cs="Arial"/>
                <w:b/>
                <w:bCs/>
                <w:color w:val="000000"/>
                <w:sz w:val="16"/>
                <w:szCs w:val="16"/>
              </w:rPr>
              <w:t>TABLE 18: INVESTMENT MANAGEMENT LINE OF BUSINESS RESULTS</w:t>
            </w:r>
          </w:p>
        </w:tc>
        <w:tc>
          <w:tcPr>
            <w:tcW w:w="0" w:type="auto"/>
            <w:shd w:val="clear" w:color="auto" w:fill="auto"/>
            <w:vAlign w:val="bottom"/>
          </w:tcPr>
          <w:p w14:paraId="71D3FBF4" w14:textId="77777777" w:rsidR="006A3667" w:rsidRDefault="006A3667">
            <w:pPr>
              <w:rPr>
                <w:rFonts w:ascii="宋体"/>
                <w:vanish/>
              </w:rPr>
            </w:pPr>
          </w:p>
        </w:tc>
        <w:tc>
          <w:tcPr>
            <w:tcW w:w="0" w:type="auto"/>
            <w:gridSpan w:val="3"/>
            <w:shd w:val="clear" w:color="auto" w:fill="auto"/>
            <w:vAlign w:val="bottom"/>
          </w:tcPr>
          <w:p w14:paraId="71D3FBF5" w14:textId="77777777" w:rsidR="006A3667" w:rsidRDefault="006A3667">
            <w:pPr>
              <w:rPr>
                <w:rFonts w:ascii="宋体"/>
                <w:vanish/>
              </w:rPr>
            </w:pPr>
          </w:p>
        </w:tc>
        <w:tc>
          <w:tcPr>
            <w:tcW w:w="0" w:type="auto"/>
            <w:shd w:val="clear" w:color="auto" w:fill="auto"/>
            <w:vAlign w:val="bottom"/>
          </w:tcPr>
          <w:p w14:paraId="71D3FBF6" w14:textId="77777777" w:rsidR="006A3667" w:rsidRDefault="006A3667">
            <w:pPr>
              <w:rPr>
                <w:rFonts w:ascii="宋体"/>
              </w:rPr>
            </w:pPr>
          </w:p>
        </w:tc>
        <w:tc>
          <w:tcPr>
            <w:tcW w:w="0" w:type="auto"/>
            <w:shd w:val="clear" w:color="auto" w:fill="auto"/>
            <w:vAlign w:val="bottom"/>
          </w:tcPr>
          <w:p w14:paraId="71D3FBF7" w14:textId="77777777" w:rsidR="006A3667" w:rsidRDefault="006A3667">
            <w:pPr>
              <w:rPr>
                <w:rFonts w:ascii="宋体"/>
              </w:rPr>
            </w:pPr>
          </w:p>
        </w:tc>
        <w:tc>
          <w:tcPr>
            <w:tcW w:w="0" w:type="auto"/>
            <w:shd w:val="clear" w:color="auto" w:fill="auto"/>
            <w:vAlign w:val="bottom"/>
          </w:tcPr>
          <w:p w14:paraId="71D3FBF8" w14:textId="77777777" w:rsidR="006A3667" w:rsidRDefault="006A3667">
            <w:pPr>
              <w:rPr>
                <w:rFonts w:ascii="宋体"/>
              </w:rPr>
            </w:pPr>
          </w:p>
        </w:tc>
        <w:tc>
          <w:tcPr>
            <w:tcW w:w="0" w:type="auto"/>
            <w:shd w:val="clear" w:color="auto" w:fill="auto"/>
            <w:vAlign w:val="bottom"/>
          </w:tcPr>
          <w:p w14:paraId="71D3FBF9" w14:textId="77777777" w:rsidR="006A3667" w:rsidRDefault="006A3667">
            <w:pPr>
              <w:rPr>
                <w:rFonts w:ascii="宋体"/>
              </w:rPr>
            </w:pPr>
          </w:p>
        </w:tc>
        <w:tc>
          <w:tcPr>
            <w:tcW w:w="0" w:type="auto"/>
            <w:shd w:val="clear" w:color="auto" w:fill="auto"/>
            <w:vAlign w:val="bottom"/>
          </w:tcPr>
          <w:p w14:paraId="71D3FBFA" w14:textId="77777777" w:rsidR="006A3667" w:rsidRDefault="006A3667">
            <w:pPr>
              <w:rPr>
                <w:rFonts w:ascii="宋体"/>
              </w:rPr>
            </w:pPr>
          </w:p>
        </w:tc>
        <w:tc>
          <w:tcPr>
            <w:tcW w:w="0" w:type="auto"/>
            <w:shd w:val="clear" w:color="auto" w:fill="auto"/>
            <w:vAlign w:val="bottom"/>
          </w:tcPr>
          <w:p w14:paraId="71D3FBFB" w14:textId="77777777" w:rsidR="006A3667" w:rsidRDefault="006A3667">
            <w:pPr>
              <w:rPr>
                <w:rFonts w:ascii="宋体"/>
              </w:rPr>
            </w:pPr>
          </w:p>
        </w:tc>
        <w:tc>
          <w:tcPr>
            <w:tcW w:w="0" w:type="auto"/>
            <w:shd w:val="clear" w:color="auto" w:fill="auto"/>
            <w:vAlign w:val="bottom"/>
          </w:tcPr>
          <w:p w14:paraId="71D3FBFC" w14:textId="77777777" w:rsidR="006A3667" w:rsidRDefault="006A3667">
            <w:pPr>
              <w:rPr>
                <w:rFonts w:ascii="宋体"/>
              </w:rPr>
            </w:pPr>
          </w:p>
        </w:tc>
        <w:tc>
          <w:tcPr>
            <w:tcW w:w="0" w:type="auto"/>
            <w:shd w:val="clear" w:color="auto" w:fill="auto"/>
            <w:vAlign w:val="bottom"/>
          </w:tcPr>
          <w:p w14:paraId="71D3FBFD" w14:textId="77777777" w:rsidR="006A3667" w:rsidRDefault="006A3667">
            <w:pPr>
              <w:rPr>
                <w:rFonts w:ascii="宋体"/>
              </w:rPr>
            </w:pPr>
          </w:p>
        </w:tc>
        <w:tc>
          <w:tcPr>
            <w:tcW w:w="0" w:type="auto"/>
            <w:shd w:val="clear" w:color="auto" w:fill="auto"/>
            <w:vAlign w:val="bottom"/>
          </w:tcPr>
          <w:p w14:paraId="71D3FBFE" w14:textId="77777777" w:rsidR="006A3667" w:rsidRDefault="006A3667">
            <w:pPr>
              <w:rPr>
                <w:rFonts w:ascii="宋体"/>
              </w:rPr>
            </w:pPr>
          </w:p>
        </w:tc>
        <w:tc>
          <w:tcPr>
            <w:tcW w:w="0" w:type="auto"/>
            <w:shd w:val="clear" w:color="auto" w:fill="auto"/>
            <w:vAlign w:val="bottom"/>
          </w:tcPr>
          <w:p w14:paraId="71D3FBFF" w14:textId="77777777" w:rsidR="006A3667" w:rsidRDefault="006A3667">
            <w:pPr>
              <w:rPr>
                <w:rFonts w:ascii="宋体"/>
              </w:rPr>
            </w:pPr>
          </w:p>
        </w:tc>
        <w:tc>
          <w:tcPr>
            <w:tcW w:w="0" w:type="auto"/>
            <w:shd w:val="clear" w:color="auto" w:fill="auto"/>
            <w:vAlign w:val="bottom"/>
          </w:tcPr>
          <w:p w14:paraId="71D3FC00" w14:textId="77777777" w:rsidR="006A3667" w:rsidRDefault="006A3667">
            <w:pPr>
              <w:rPr>
                <w:rFonts w:ascii="宋体"/>
              </w:rPr>
            </w:pPr>
          </w:p>
        </w:tc>
        <w:tc>
          <w:tcPr>
            <w:tcW w:w="0" w:type="auto"/>
            <w:shd w:val="clear" w:color="auto" w:fill="auto"/>
            <w:vAlign w:val="bottom"/>
          </w:tcPr>
          <w:p w14:paraId="71D3FC01" w14:textId="77777777" w:rsidR="006A3667" w:rsidRDefault="006A3667">
            <w:pPr>
              <w:rPr>
                <w:rFonts w:ascii="宋体"/>
              </w:rPr>
            </w:pPr>
          </w:p>
        </w:tc>
        <w:tc>
          <w:tcPr>
            <w:tcW w:w="0" w:type="auto"/>
            <w:shd w:val="clear" w:color="auto" w:fill="auto"/>
            <w:vAlign w:val="bottom"/>
          </w:tcPr>
          <w:p w14:paraId="71D3FC02" w14:textId="77777777" w:rsidR="006A3667" w:rsidRDefault="006A3667">
            <w:pPr>
              <w:rPr>
                <w:rFonts w:ascii="宋体"/>
              </w:rPr>
            </w:pPr>
          </w:p>
        </w:tc>
        <w:tc>
          <w:tcPr>
            <w:tcW w:w="0" w:type="auto"/>
            <w:shd w:val="clear" w:color="auto" w:fill="auto"/>
            <w:vAlign w:val="bottom"/>
          </w:tcPr>
          <w:p w14:paraId="71D3FC03" w14:textId="77777777" w:rsidR="006A3667" w:rsidRDefault="006A3667">
            <w:pPr>
              <w:rPr>
                <w:rFonts w:ascii="宋体"/>
              </w:rPr>
            </w:pPr>
          </w:p>
        </w:tc>
        <w:tc>
          <w:tcPr>
            <w:tcW w:w="0" w:type="auto"/>
            <w:shd w:val="clear" w:color="auto" w:fill="auto"/>
            <w:vAlign w:val="bottom"/>
          </w:tcPr>
          <w:p w14:paraId="71D3FC04" w14:textId="77777777" w:rsidR="006A3667" w:rsidRDefault="006A3667">
            <w:pPr>
              <w:rPr>
                <w:rFonts w:ascii="宋体"/>
              </w:rPr>
            </w:pPr>
          </w:p>
        </w:tc>
        <w:tc>
          <w:tcPr>
            <w:tcW w:w="0" w:type="auto"/>
            <w:shd w:val="clear" w:color="auto" w:fill="auto"/>
            <w:vAlign w:val="bottom"/>
          </w:tcPr>
          <w:p w14:paraId="71D3FC05" w14:textId="77777777" w:rsidR="006A3667" w:rsidRDefault="006A3667">
            <w:pPr>
              <w:rPr>
                <w:rFonts w:ascii="宋体"/>
              </w:rPr>
            </w:pPr>
          </w:p>
        </w:tc>
        <w:tc>
          <w:tcPr>
            <w:tcW w:w="0" w:type="auto"/>
            <w:shd w:val="clear" w:color="auto" w:fill="auto"/>
            <w:vAlign w:val="bottom"/>
          </w:tcPr>
          <w:p w14:paraId="71D3FC06" w14:textId="77777777" w:rsidR="006A3667" w:rsidRDefault="006A3667">
            <w:pPr>
              <w:rPr>
                <w:rFonts w:ascii="宋体"/>
              </w:rPr>
            </w:pPr>
          </w:p>
        </w:tc>
        <w:tc>
          <w:tcPr>
            <w:tcW w:w="0" w:type="auto"/>
            <w:shd w:val="clear" w:color="auto" w:fill="auto"/>
            <w:vAlign w:val="bottom"/>
          </w:tcPr>
          <w:p w14:paraId="71D3FC07" w14:textId="77777777" w:rsidR="006A3667" w:rsidRDefault="006A3667">
            <w:pPr>
              <w:rPr>
                <w:rFonts w:ascii="宋体"/>
              </w:rPr>
            </w:pPr>
          </w:p>
        </w:tc>
        <w:tc>
          <w:tcPr>
            <w:tcW w:w="0" w:type="auto"/>
            <w:shd w:val="clear" w:color="auto" w:fill="auto"/>
            <w:vAlign w:val="bottom"/>
          </w:tcPr>
          <w:p w14:paraId="71D3FC08" w14:textId="77777777" w:rsidR="006A3667" w:rsidRDefault="006A3667">
            <w:pPr>
              <w:rPr>
                <w:rFonts w:ascii="宋体"/>
              </w:rPr>
            </w:pPr>
          </w:p>
        </w:tc>
        <w:tc>
          <w:tcPr>
            <w:tcW w:w="0" w:type="auto"/>
            <w:shd w:val="clear" w:color="auto" w:fill="auto"/>
            <w:vAlign w:val="bottom"/>
          </w:tcPr>
          <w:p w14:paraId="71D3FC09" w14:textId="77777777" w:rsidR="006A3667" w:rsidRDefault="006A3667">
            <w:pPr>
              <w:rPr>
                <w:rFonts w:ascii="宋体"/>
              </w:rPr>
            </w:pPr>
          </w:p>
        </w:tc>
        <w:tc>
          <w:tcPr>
            <w:tcW w:w="0" w:type="auto"/>
            <w:shd w:val="clear" w:color="auto" w:fill="auto"/>
            <w:vAlign w:val="bottom"/>
          </w:tcPr>
          <w:p w14:paraId="71D3FC0A" w14:textId="77777777" w:rsidR="006A3667" w:rsidRDefault="006A3667">
            <w:pPr>
              <w:rPr>
                <w:rFonts w:ascii="宋体"/>
              </w:rPr>
            </w:pPr>
          </w:p>
        </w:tc>
        <w:tc>
          <w:tcPr>
            <w:tcW w:w="0" w:type="auto"/>
            <w:shd w:val="clear" w:color="auto" w:fill="auto"/>
            <w:vAlign w:val="bottom"/>
          </w:tcPr>
          <w:p w14:paraId="71D3FC0B" w14:textId="77777777" w:rsidR="006A3667" w:rsidRDefault="006A3667">
            <w:pPr>
              <w:rPr>
                <w:rFonts w:ascii="宋体"/>
              </w:rPr>
            </w:pPr>
          </w:p>
        </w:tc>
        <w:tc>
          <w:tcPr>
            <w:tcW w:w="0" w:type="auto"/>
            <w:shd w:val="clear" w:color="auto" w:fill="auto"/>
            <w:vAlign w:val="bottom"/>
          </w:tcPr>
          <w:p w14:paraId="71D3FC0C" w14:textId="77777777" w:rsidR="006A3667" w:rsidRDefault="006A3667">
            <w:pPr>
              <w:rPr>
                <w:rFonts w:ascii="宋体"/>
              </w:rPr>
            </w:pPr>
          </w:p>
        </w:tc>
        <w:tc>
          <w:tcPr>
            <w:tcW w:w="0" w:type="auto"/>
            <w:shd w:val="clear" w:color="auto" w:fill="auto"/>
            <w:vAlign w:val="bottom"/>
          </w:tcPr>
          <w:p w14:paraId="71D3FC0D" w14:textId="77777777" w:rsidR="006A3667" w:rsidRDefault="006A3667">
            <w:pPr>
              <w:rPr>
                <w:rFonts w:ascii="宋体"/>
              </w:rPr>
            </w:pPr>
          </w:p>
        </w:tc>
      </w:tr>
      <w:tr w:rsidR="006A3667" w14:paraId="71D3FC21"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71D3FC0F" w14:textId="77777777" w:rsidR="006A3667" w:rsidRDefault="00045F32">
            <w:pPr>
              <w:textAlignment w:val="bottom"/>
            </w:pPr>
            <w:r>
              <w:rPr>
                <w:rFonts w:ascii="Arial" w:eastAsia="宋体" w:hAnsi="Arial" w:cs="Arial"/>
                <w:b/>
                <w:bCs/>
                <w:color w:val="000000"/>
                <w:sz w:val="15"/>
                <w:szCs w:val="15"/>
              </w:rPr>
              <w:t>(Dollars in millions, except where otherwise noted)</w:t>
            </w:r>
          </w:p>
        </w:tc>
        <w:tc>
          <w:tcPr>
            <w:tcW w:w="0" w:type="auto"/>
            <w:shd w:val="clear" w:color="auto" w:fill="auto"/>
            <w:vAlign w:val="bottom"/>
          </w:tcPr>
          <w:p w14:paraId="71D3FC10" w14:textId="77777777" w:rsidR="006A3667" w:rsidRDefault="006A3667">
            <w:pPr>
              <w:rPr>
                <w:rFonts w:ascii="宋体"/>
                <w:vanish/>
              </w:rPr>
            </w:pPr>
          </w:p>
        </w:tc>
        <w:tc>
          <w:tcPr>
            <w:tcW w:w="0" w:type="auto"/>
            <w:shd w:val="clear" w:color="auto" w:fill="auto"/>
            <w:vAlign w:val="bottom"/>
          </w:tcPr>
          <w:p w14:paraId="71D3FC11" w14:textId="77777777" w:rsidR="006A3667" w:rsidRDefault="006A3667">
            <w:pPr>
              <w:rPr>
                <w:rFonts w:ascii="宋体"/>
                <w:vanish/>
              </w:rPr>
            </w:pPr>
          </w:p>
        </w:tc>
        <w:tc>
          <w:tcPr>
            <w:tcW w:w="0" w:type="auto"/>
            <w:shd w:val="clear" w:color="auto" w:fill="auto"/>
            <w:vAlign w:val="bottom"/>
          </w:tcPr>
          <w:p w14:paraId="71D3FC12" w14:textId="77777777" w:rsidR="006A3667" w:rsidRDefault="006A3667">
            <w:pPr>
              <w:rPr>
                <w:rFonts w:ascii="宋体"/>
                <w:vanish/>
              </w:rPr>
            </w:pPr>
          </w:p>
        </w:tc>
        <w:tc>
          <w:tcPr>
            <w:tcW w:w="0" w:type="auto"/>
            <w:shd w:val="clear" w:color="auto" w:fill="auto"/>
            <w:vAlign w:val="bottom"/>
          </w:tcPr>
          <w:p w14:paraId="71D3FC13" w14:textId="77777777" w:rsidR="006A3667" w:rsidRDefault="006A3667">
            <w:pPr>
              <w:rPr>
                <w:rFonts w:ascii="宋体"/>
                <w:vanish/>
              </w:rPr>
            </w:pPr>
          </w:p>
        </w:tc>
        <w:tc>
          <w:tcPr>
            <w:tcW w:w="0" w:type="auto"/>
            <w:gridSpan w:val="5"/>
            <w:shd w:val="clear" w:color="auto" w:fill="auto"/>
            <w:tcMar>
              <w:top w:w="40" w:type="dxa"/>
              <w:left w:w="20" w:type="dxa"/>
              <w:bottom w:w="40" w:type="dxa"/>
              <w:right w:w="20" w:type="dxa"/>
            </w:tcMar>
            <w:vAlign w:val="bottom"/>
          </w:tcPr>
          <w:p w14:paraId="71D3FC14" w14:textId="77777777" w:rsidR="006A3667" w:rsidRDefault="00045F32">
            <w:pPr>
              <w:jc w:val="center"/>
              <w:textAlignment w:val="bottom"/>
            </w:pPr>
            <w:r>
              <w:rPr>
                <w:rFonts w:ascii="Arial" w:eastAsia="宋体" w:hAnsi="Arial" w:cs="Arial"/>
                <w:b/>
                <w:bCs/>
                <w:color w:val="000000"/>
                <w:sz w:val="15"/>
                <w:szCs w:val="15"/>
              </w:rPr>
              <w:t>Three Months Ended September 30,</w:t>
            </w:r>
          </w:p>
        </w:tc>
        <w:tc>
          <w:tcPr>
            <w:tcW w:w="0" w:type="auto"/>
            <w:gridSpan w:val="3"/>
            <w:shd w:val="clear" w:color="auto" w:fill="auto"/>
            <w:tcMar>
              <w:top w:w="0" w:type="dxa"/>
              <w:left w:w="20" w:type="dxa"/>
              <w:bottom w:w="0" w:type="dxa"/>
              <w:right w:w="20" w:type="dxa"/>
            </w:tcMar>
            <w:vAlign w:val="bottom"/>
          </w:tcPr>
          <w:p w14:paraId="71D3FC15" w14:textId="77777777" w:rsidR="006A3667" w:rsidRDefault="006A3667">
            <w:pPr>
              <w:rPr>
                <w:rFonts w:ascii="宋体"/>
              </w:rPr>
            </w:pPr>
          </w:p>
        </w:tc>
        <w:tc>
          <w:tcPr>
            <w:tcW w:w="0" w:type="auto"/>
            <w:gridSpan w:val="3"/>
            <w:shd w:val="clear" w:color="auto" w:fill="auto"/>
            <w:vAlign w:val="bottom"/>
          </w:tcPr>
          <w:p w14:paraId="71D3FC16" w14:textId="77777777" w:rsidR="006A3667" w:rsidRDefault="006A3667">
            <w:pPr>
              <w:rPr>
                <w:rFonts w:ascii="宋体"/>
                <w:vanish/>
              </w:rPr>
            </w:pPr>
          </w:p>
        </w:tc>
        <w:tc>
          <w:tcPr>
            <w:tcW w:w="0" w:type="auto"/>
            <w:gridSpan w:val="3"/>
            <w:shd w:val="clear" w:color="auto" w:fill="auto"/>
            <w:vAlign w:val="bottom"/>
          </w:tcPr>
          <w:p w14:paraId="71D3FC17" w14:textId="77777777" w:rsidR="006A3667" w:rsidRDefault="006A3667">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71D3FC18" w14:textId="77777777" w:rsidR="006A3667" w:rsidRDefault="00045F32">
            <w:pPr>
              <w:jc w:val="center"/>
              <w:textAlignment w:val="bottom"/>
            </w:pPr>
            <w:r>
              <w:rPr>
                <w:rFonts w:ascii="Arial" w:eastAsia="宋体" w:hAnsi="Arial" w:cs="Arial"/>
                <w:b/>
                <w:bCs/>
                <w:color w:val="000000"/>
                <w:sz w:val="15"/>
                <w:szCs w:val="15"/>
              </w:rPr>
              <w:t xml:space="preserve">% Change </w:t>
            </w:r>
          </w:p>
        </w:tc>
        <w:tc>
          <w:tcPr>
            <w:tcW w:w="0" w:type="auto"/>
            <w:gridSpan w:val="3"/>
            <w:shd w:val="clear" w:color="auto" w:fill="auto"/>
            <w:vAlign w:val="bottom"/>
          </w:tcPr>
          <w:p w14:paraId="71D3FC19" w14:textId="77777777" w:rsidR="006A3667" w:rsidRDefault="006A3667">
            <w:pPr>
              <w:rPr>
                <w:rFonts w:ascii="宋体"/>
                <w:vanish/>
              </w:rPr>
            </w:pPr>
          </w:p>
        </w:tc>
        <w:tc>
          <w:tcPr>
            <w:tcW w:w="0" w:type="auto"/>
            <w:gridSpan w:val="3"/>
            <w:shd w:val="clear" w:color="auto" w:fill="auto"/>
            <w:vAlign w:val="bottom"/>
          </w:tcPr>
          <w:p w14:paraId="71D3FC1A" w14:textId="77777777" w:rsidR="006A3667" w:rsidRDefault="006A3667">
            <w:pPr>
              <w:rPr>
                <w:rFonts w:ascii="宋体"/>
                <w:vanish/>
              </w:rPr>
            </w:pPr>
          </w:p>
        </w:tc>
        <w:tc>
          <w:tcPr>
            <w:tcW w:w="0" w:type="auto"/>
            <w:shd w:val="clear" w:color="auto" w:fill="auto"/>
            <w:vAlign w:val="bottom"/>
          </w:tcPr>
          <w:p w14:paraId="71D3FC1B" w14:textId="77777777" w:rsidR="006A3667" w:rsidRDefault="006A3667">
            <w:pPr>
              <w:rPr>
                <w:rFonts w:ascii="宋体"/>
              </w:rPr>
            </w:pPr>
          </w:p>
        </w:tc>
        <w:tc>
          <w:tcPr>
            <w:tcW w:w="0" w:type="auto"/>
            <w:shd w:val="clear" w:color="auto" w:fill="auto"/>
            <w:vAlign w:val="bottom"/>
          </w:tcPr>
          <w:p w14:paraId="71D3FC1C" w14:textId="77777777" w:rsidR="006A3667" w:rsidRDefault="006A3667">
            <w:pPr>
              <w:rPr>
                <w:rFonts w:ascii="宋体"/>
              </w:rPr>
            </w:pPr>
          </w:p>
        </w:tc>
        <w:tc>
          <w:tcPr>
            <w:tcW w:w="0" w:type="auto"/>
            <w:shd w:val="clear" w:color="auto" w:fill="auto"/>
            <w:vAlign w:val="bottom"/>
          </w:tcPr>
          <w:p w14:paraId="71D3FC1D" w14:textId="77777777" w:rsidR="006A3667" w:rsidRDefault="006A3667">
            <w:pPr>
              <w:rPr>
                <w:rFonts w:ascii="宋体"/>
              </w:rPr>
            </w:pPr>
          </w:p>
        </w:tc>
        <w:tc>
          <w:tcPr>
            <w:tcW w:w="0" w:type="auto"/>
            <w:shd w:val="clear" w:color="auto" w:fill="auto"/>
            <w:vAlign w:val="bottom"/>
          </w:tcPr>
          <w:p w14:paraId="71D3FC1E" w14:textId="77777777" w:rsidR="006A3667" w:rsidRDefault="006A3667">
            <w:pPr>
              <w:rPr>
                <w:rFonts w:ascii="宋体"/>
              </w:rPr>
            </w:pPr>
          </w:p>
        </w:tc>
        <w:tc>
          <w:tcPr>
            <w:tcW w:w="0" w:type="auto"/>
            <w:shd w:val="clear" w:color="auto" w:fill="auto"/>
            <w:vAlign w:val="bottom"/>
          </w:tcPr>
          <w:p w14:paraId="71D3FC1F" w14:textId="77777777" w:rsidR="006A3667" w:rsidRDefault="006A3667">
            <w:pPr>
              <w:rPr>
                <w:rFonts w:ascii="宋体"/>
              </w:rPr>
            </w:pPr>
          </w:p>
        </w:tc>
        <w:tc>
          <w:tcPr>
            <w:tcW w:w="0" w:type="auto"/>
            <w:shd w:val="clear" w:color="auto" w:fill="auto"/>
            <w:vAlign w:val="bottom"/>
          </w:tcPr>
          <w:p w14:paraId="71D3FC20" w14:textId="77777777" w:rsidR="006A3667" w:rsidRDefault="006A3667">
            <w:pPr>
              <w:rPr>
                <w:rFonts w:ascii="宋体"/>
              </w:rPr>
            </w:pPr>
          </w:p>
        </w:tc>
      </w:tr>
      <w:tr w:rsidR="006A3667" w14:paraId="71D3FC36" w14:textId="77777777">
        <w:trPr>
          <w:trHeight w:val="240"/>
        </w:trPr>
        <w:tc>
          <w:tcPr>
            <w:tcW w:w="0" w:type="auto"/>
            <w:gridSpan w:val="3"/>
            <w:vMerge/>
            <w:shd w:val="clear" w:color="auto" w:fill="auto"/>
            <w:tcMar>
              <w:top w:w="40" w:type="dxa"/>
              <w:left w:w="20" w:type="dxa"/>
              <w:bottom w:w="40" w:type="dxa"/>
              <w:right w:w="20" w:type="dxa"/>
            </w:tcMar>
            <w:vAlign w:val="bottom"/>
          </w:tcPr>
          <w:p w14:paraId="71D3FC22" w14:textId="77777777" w:rsidR="006A3667" w:rsidRDefault="006A3667">
            <w:pPr>
              <w:rPr>
                <w:rFonts w:ascii="宋体"/>
              </w:rPr>
            </w:pPr>
          </w:p>
        </w:tc>
        <w:tc>
          <w:tcPr>
            <w:tcW w:w="0" w:type="auto"/>
            <w:shd w:val="clear" w:color="auto" w:fill="auto"/>
            <w:vAlign w:val="bottom"/>
          </w:tcPr>
          <w:p w14:paraId="71D3FC23" w14:textId="77777777" w:rsidR="006A3667" w:rsidRDefault="006A3667">
            <w:pPr>
              <w:rPr>
                <w:rFonts w:ascii="宋体"/>
                <w:vanish/>
              </w:rPr>
            </w:pPr>
          </w:p>
        </w:tc>
        <w:tc>
          <w:tcPr>
            <w:tcW w:w="0" w:type="auto"/>
            <w:shd w:val="clear" w:color="auto" w:fill="auto"/>
            <w:vAlign w:val="bottom"/>
          </w:tcPr>
          <w:p w14:paraId="71D3FC24" w14:textId="77777777" w:rsidR="006A3667" w:rsidRDefault="006A3667">
            <w:pPr>
              <w:rPr>
                <w:rFonts w:ascii="宋体"/>
                <w:vanish/>
              </w:rPr>
            </w:pPr>
          </w:p>
        </w:tc>
        <w:tc>
          <w:tcPr>
            <w:tcW w:w="0" w:type="auto"/>
            <w:shd w:val="clear" w:color="auto" w:fill="auto"/>
            <w:vAlign w:val="bottom"/>
          </w:tcPr>
          <w:p w14:paraId="71D3FC25" w14:textId="77777777" w:rsidR="006A3667" w:rsidRDefault="006A3667">
            <w:pPr>
              <w:rPr>
                <w:rFonts w:ascii="宋体"/>
                <w:vanish/>
              </w:rPr>
            </w:pPr>
          </w:p>
        </w:tc>
        <w:tc>
          <w:tcPr>
            <w:tcW w:w="0" w:type="auto"/>
            <w:shd w:val="clear" w:color="auto" w:fill="auto"/>
            <w:vAlign w:val="bottom"/>
          </w:tcPr>
          <w:p w14:paraId="71D3FC26" w14:textId="77777777" w:rsidR="006A3667" w:rsidRDefault="006A3667">
            <w:pPr>
              <w:rPr>
                <w:rFonts w:ascii="宋体"/>
                <w:vanish/>
              </w:rPr>
            </w:pPr>
          </w:p>
        </w:tc>
        <w:tc>
          <w:tcPr>
            <w:tcW w:w="0" w:type="auto"/>
            <w:shd w:val="clear" w:color="auto" w:fill="auto"/>
            <w:vAlign w:val="bottom"/>
          </w:tcPr>
          <w:p w14:paraId="71D3FC27" w14:textId="77777777" w:rsidR="006A3667" w:rsidRDefault="006A3667">
            <w:pPr>
              <w:rPr>
                <w:rFonts w:ascii="宋体"/>
                <w:vanish/>
              </w:rPr>
            </w:pPr>
          </w:p>
        </w:tc>
        <w:tc>
          <w:tcPr>
            <w:tcW w:w="0" w:type="auto"/>
            <w:shd w:val="clear" w:color="auto" w:fill="auto"/>
            <w:vAlign w:val="bottom"/>
          </w:tcPr>
          <w:p w14:paraId="71D3FC28"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C29"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FC2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C2B" w14:textId="77777777" w:rsidR="006A3667" w:rsidRDefault="00045F32">
            <w:pPr>
              <w:jc w:val="center"/>
              <w:textAlignment w:val="bottom"/>
            </w:pPr>
            <w:r>
              <w:rPr>
                <w:rFonts w:ascii="Arial" w:eastAsia="宋体" w:hAnsi="Arial" w:cs="Arial"/>
                <w:b/>
                <w:bCs/>
                <w:color w:val="000000"/>
                <w:sz w:val="15"/>
                <w:szCs w:val="15"/>
              </w:rPr>
              <w:t>2021</w:t>
            </w:r>
          </w:p>
        </w:tc>
        <w:tc>
          <w:tcPr>
            <w:tcW w:w="0" w:type="auto"/>
            <w:gridSpan w:val="3"/>
            <w:shd w:val="clear" w:color="auto" w:fill="auto"/>
            <w:tcMar>
              <w:top w:w="0" w:type="dxa"/>
              <w:left w:w="20" w:type="dxa"/>
              <w:bottom w:w="0" w:type="dxa"/>
              <w:right w:w="20" w:type="dxa"/>
            </w:tcMar>
            <w:vAlign w:val="bottom"/>
          </w:tcPr>
          <w:p w14:paraId="71D3FC2C"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3FC2D" w14:textId="77777777" w:rsidR="006A3667" w:rsidRDefault="006A3667">
            <w:pPr>
              <w:jc w:val="center"/>
              <w:rPr>
                <w:rFonts w:ascii="宋体"/>
              </w:rPr>
            </w:pPr>
          </w:p>
        </w:tc>
        <w:tc>
          <w:tcPr>
            <w:tcW w:w="0" w:type="auto"/>
            <w:gridSpan w:val="3"/>
            <w:shd w:val="clear" w:color="auto" w:fill="auto"/>
            <w:vAlign w:val="bottom"/>
          </w:tcPr>
          <w:p w14:paraId="71D3FC2E" w14:textId="77777777" w:rsidR="006A3667" w:rsidRDefault="006A3667">
            <w:pPr>
              <w:rPr>
                <w:rFonts w:ascii="宋体"/>
                <w:vanish/>
              </w:rPr>
            </w:pPr>
          </w:p>
        </w:tc>
        <w:tc>
          <w:tcPr>
            <w:tcW w:w="0" w:type="auto"/>
            <w:gridSpan w:val="3"/>
            <w:shd w:val="clear" w:color="auto" w:fill="auto"/>
            <w:vAlign w:val="bottom"/>
          </w:tcPr>
          <w:p w14:paraId="71D3FC2F" w14:textId="77777777" w:rsidR="006A3667" w:rsidRDefault="006A3667">
            <w:pPr>
              <w:rPr>
                <w:rFonts w:ascii="宋体"/>
                <w:vanish/>
              </w:rPr>
            </w:pPr>
          </w:p>
        </w:tc>
        <w:tc>
          <w:tcPr>
            <w:tcW w:w="0" w:type="auto"/>
            <w:shd w:val="clear" w:color="auto" w:fill="auto"/>
            <w:vAlign w:val="bottom"/>
          </w:tcPr>
          <w:p w14:paraId="71D3FC30" w14:textId="77777777" w:rsidR="006A3667" w:rsidRDefault="006A3667">
            <w:pPr>
              <w:rPr>
                <w:rFonts w:ascii="宋体"/>
              </w:rPr>
            </w:pPr>
          </w:p>
        </w:tc>
        <w:tc>
          <w:tcPr>
            <w:tcW w:w="0" w:type="auto"/>
            <w:shd w:val="clear" w:color="auto" w:fill="auto"/>
            <w:vAlign w:val="bottom"/>
          </w:tcPr>
          <w:p w14:paraId="71D3FC31" w14:textId="77777777" w:rsidR="006A3667" w:rsidRDefault="006A3667">
            <w:pPr>
              <w:rPr>
                <w:rFonts w:ascii="宋体"/>
              </w:rPr>
            </w:pPr>
          </w:p>
        </w:tc>
        <w:tc>
          <w:tcPr>
            <w:tcW w:w="0" w:type="auto"/>
            <w:shd w:val="clear" w:color="auto" w:fill="auto"/>
            <w:vAlign w:val="bottom"/>
          </w:tcPr>
          <w:p w14:paraId="71D3FC32" w14:textId="77777777" w:rsidR="006A3667" w:rsidRDefault="006A3667">
            <w:pPr>
              <w:rPr>
                <w:rFonts w:ascii="宋体"/>
              </w:rPr>
            </w:pPr>
          </w:p>
        </w:tc>
        <w:tc>
          <w:tcPr>
            <w:tcW w:w="0" w:type="auto"/>
            <w:shd w:val="clear" w:color="auto" w:fill="auto"/>
            <w:vAlign w:val="bottom"/>
          </w:tcPr>
          <w:p w14:paraId="71D3FC33" w14:textId="77777777" w:rsidR="006A3667" w:rsidRDefault="006A3667">
            <w:pPr>
              <w:rPr>
                <w:rFonts w:ascii="宋体"/>
              </w:rPr>
            </w:pPr>
          </w:p>
        </w:tc>
        <w:tc>
          <w:tcPr>
            <w:tcW w:w="0" w:type="auto"/>
            <w:shd w:val="clear" w:color="auto" w:fill="auto"/>
            <w:vAlign w:val="bottom"/>
          </w:tcPr>
          <w:p w14:paraId="71D3FC34" w14:textId="77777777" w:rsidR="006A3667" w:rsidRDefault="006A3667">
            <w:pPr>
              <w:rPr>
                <w:rFonts w:ascii="宋体"/>
              </w:rPr>
            </w:pPr>
          </w:p>
        </w:tc>
        <w:tc>
          <w:tcPr>
            <w:tcW w:w="0" w:type="auto"/>
            <w:shd w:val="clear" w:color="auto" w:fill="auto"/>
            <w:vAlign w:val="bottom"/>
          </w:tcPr>
          <w:p w14:paraId="71D3FC35" w14:textId="77777777" w:rsidR="006A3667" w:rsidRDefault="006A3667">
            <w:pPr>
              <w:rPr>
                <w:rFonts w:ascii="宋体"/>
              </w:rPr>
            </w:pPr>
          </w:p>
        </w:tc>
      </w:tr>
      <w:tr w:rsidR="006A3667" w14:paraId="71D3FC4C" w14:textId="77777777">
        <w:tc>
          <w:tcPr>
            <w:tcW w:w="0" w:type="auto"/>
            <w:gridSpan w:val="3"/>
            <w:shd w:val="clear" w:color="auto" w:fill="CCEEFF"/>
            <w:tcMar>
              <w:top w:w="40" w:type="dxa"/>
              <w:left w:w="20" w:type="dxa"/>
              <w:bottom w:w="40" w:type="dxa"/>
              <w:right w:w="20" w:type="dxa"/>
            </w:tcMar>
            <w:vAlign w:val="bottom"/>
          </w:tcPr>
          <w:p w14:paraId="71D3FC37" w14:textId="77777777" w:rsidR="006A3667" w:rsidRDefault="00045F32">
            <w:pPr>
              <w:textAlignment w:val="bottom"/>
            </w:pPr>
            <w:r>
              <w:rPr>
                <w:rFonts w:ascii="Arial" w:eastAsia="宋体" w:hAnsi="Arial" w:cs="Arial"/>
                <w:color w:val="000000"/>
                <w:sz w:val="15"/>
                <w:szCs w:val="15"/>
              </w:rPr>
              <w:t>Management fees</w:t>
            </w:r>
            <w:r>
              <w:rPr>
                <w:rFonts w:ascii="Arial" w:eastAsia="宋体" w:hAnsi="Arial" w:cs="Arial"/>
                <w:color w:val="000000"/>
                <w:sz w:val="9"/>
                <w:szCs w:val="9"/>
              </w:rPr>
              <w:t>(1)</w:t>
            </w:r>
          </w:p>
        </w:tc>
        <w:tc>
          <w:tcPr>
            <w:tcW w:w="0" w:type="auto"/>
            <w:shd w:val="clear" w:color="auto" w:fill="auto"/>
            <w:vAlign w:val="bottom"/>
          </w:tcPr>
          <w:p w14:paraId="71D3FC38" w14:textId="77777777" w:rsidR="006A3667" w:rsidRDefault="006A3667">
            <w:pPr>
              <w:rPr>
                <w:rFonts w:ascii="宋体"/>
                <w:vanish/>
              </w:rPr>
            </w:pPr>
          </w:p>
        </w:tc>
        <w:tc>
          <w:tcPr>
            <w:tcW w:w="0" w:type="auto"/>
            <w:shd w:val="clear" w:color="auto" w:fill="auto"/>
            <w:vAlign w:val="bottom"/>
          </w:tcPr>
          <w:p w14:paraId="71D3FC39" w14:textId="77777777" w:rsidR="006A3667" w:rsidRDefault="006A3667">
            <w:pPr>
              <w:rPr>
                <w:rFonts w:ascii="宋体"/>
                <w:vanish/>
              </w:rPr>
            </w:pPr>
          </w:p>
        </w:tc>
        <w:tc>
          <w:tcPr>
            <w:tcW w:w="0" w:type="auto"/>
            <w:shd w:val="clear" w:color="auto" w:fill="auto"/>
            <w:vAlign w:val="bottom"/>
          </w:tcPr>
          <w:p w14:paraId="71D3FC3A" w14:textId="77777777" w:rsidR="006A3667" w:rsidRDefault="006A3667">
            <w:pPr>
              <w:rPr>
                <w:rFonts w:ascii="宋体"/>
                <w:vanish/>
              </w:rPr>
            </w:pPr>
          </w:p>
        </w:tc>
        <w:tc>
          <w:tcPr>
            <w:tcW w:w="0" w:type="auto"/>
            <w:shd w:val="clear" w:color="auto" w:fill="auto"/>
            <w:vAlign w:val="bottom"/>
          </w:tcPr>
          <w:p w14:paraId="71D3FC3B" w14:textId="77777777" w:rsidR="006A3667" w:rsidRDefault="006A3667">
            <w:pPr>
              <w:rPr>
                <w:rFonts w:ascii="宋体"/>
                <w:vanish/>
              </w:rPr>
            </w:pPr>
          </w:p>
        </w:tc>
        <w:tc>
          <w:tcPr>
            <w:tcW w:w="0" w:type="auto"/>
            <w:shd w:val="clear" w:color="auto" w:fill="auto"/>
            <w:vAlign w:val="bottom"/>
          </w:tcPr>
          <w:p w14:paraId="71D3FC3C" w14:textId="77777777" w:rsidR="006A3667" w:rsidRDefault="006A3667">
            <w:pPr>
              <w:rPr>
                <w:rFonts w:ascii="宋体"/>
                <w:vanish/>
              </w:rPr>
            </w:pPr>
          </w:p>
        </w:tc>
        <w:tc>
          <w:tcPr>
            <w:tcW w:w="0" w:type="auto"/>
            <w:shd w:val="clear" w:color="auto" w:fill="auto"/>
            <w:vAlign w:val="bottom"/>
          </w:tcPr>
          <w:p w14:paraId="71D3FC3D"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C3E"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C3F" w14:textId="77777777" w:rsidR="006A3667" w:rsidRDefault="00045F32">
            <w:pPr>
              <w:jc w:val="right"/>
              <w:textAlignment w:val="bottom"/>
            </w:pPr>
            <w:r>
              <w:rPr>
                <w:rFonts w:ascii="Arial" w:eastAsia="宋体" w:hAnsi="Arial" w:cs="Arial"/>
                <w:b/>
                <w:bCs/>
                <w:color w:val="000000"/>
                <w:sz w:val="15"/>
                <w:szCs w:val="15"/>
              </w:rPr>
              <w:t>472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C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4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C42"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C43" w14:textId="77777777" w:rsidR="006A3667" w:rsidRDefault="00045F32">
            <w:pPr>
              <w:jc w:val="right"/>
              <w:textAlignment w:val="bottom"/>
            </w:pPr>
            <w:r>
              <w:rPr>
                <w:rFonts w:ascii="Arial" w:eastAsia="宋体" w:hAnsi="Arial" w:cs="Arial"/>
                <w:color w:val="000000"/>
                <w:sz w:val="15"/>
                <w:szCs w:val="15"/>
              </w:rPr>
              <w:t>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C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45" w14:textId="77777777" w:rsidR="006A3667" w:rsidRDefault="006A3667">
            <w:pPr>
              <w:rPr>
                <w:rFonts w:ascii="宋体"/>
              </w:rPr>
            </w:pPr>
          </w:p>
        </w:tc>
        <w:tc>
          <w:tcPr>
            <w:tcW w:w="0" w:type="auto"/>
            <w:gridSpan w:val="3"/>
            <w:shd w:val="clear" w:color="auto" w:fill="auto"/>
            <w:vAlign w:val="bottom"/>
          </w:tcPr>
          <w:p w14:paraId="71D3FC46" w14:textId="77777777" w:rsidR="006A3667" w:rsidRDefault="006A3667">
            <w:pPr>
              <w:rPr>
                <w:rFonts w:ascii="宋体"/>
                <w:vanish/>
              </w:rPr>
            </w:pPr>
          </w:p>
        </w:tc>
        <w:tc>
          <w:tcPr>
            <w:tcW w:w="0" w:type="auto"/>
            <w:gridSpan w:val="3"/>
            <w:shd w:val="clear" w:color="auto" w:fill="auto"/>
            <w:vAlign w:val="bottom"/>
          </w:tcPr>
          <w:p w14:paraId="71D3FC47"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C48" w14:textId="77777777" w:rsidR="006A3667" w:rsidRDefault="00045F32">
            <w:pPr>
              <w:jc w:val="right"/>
              <w:textAlignment w:val="bottom"/>
            </w:pPr>
            <w:r>
              <w:rPr>
                <w:rFonts w:ascii="Arial" w:eastAsia="宋体" w:hAnsi="Arial" w:cs="Arial"/>
                <w:color w:val="000000"/>
                <w:sz w:val="15"/>
                <w:szCs w:val="15"/>
              </w:rPr>
              <w:t>(10)</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C49"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71D3FC4A" w14:textId="77777777" w:rsidR="006A3667" w:rsidRDefault="006A3667">
            <w:pPr>
              <w:rPr>
                <w:rFonts w:ascii="宋体"/>
                <w:vanish/>
              </w:rPr>
            </w:pPr>
          </w:p>
        </w:tc>
        <w:tc>
          <w:tcPr>
            <w:tcW w:w="0" w:type="auto"/>
            <w:gridSpan w:val="3"/>
            <w:shd w:val="clear" w:color="auto" w:fill="auto"/>
            <w:vAlign w:val="bottom"/>
          </w:tcPr>
          <w:p w14:paraId="71D3FC4B" w14:textId="77777777" w:rsidR="006A3667" w:rsidRDefault="006A3667">
            <w:pPr>
              <w:rPr>
                <w:rFonts w:ascii="宋体"/>
                <w:vanish/>
              </w:rPr>
            </w:pPr>
          </w:p>
        </w:tc>
      </w:tr>
      <w:tr w:rsidR="006A3667" w14:paraId="71D3FC60" w14:textId="77777777">
        <w:tc>
          <w:tcPr>
            <w:tcW w:w="0" w:type="auto"/>
            <w:gridSpan w:val="3"/>
            <w:shd w:val="clear" w:color="auto" w:fill="FFFFFF"/>
            <w:tcMar>
              <w:top w:w="40" w:type="dxa"/>
              <w:left w:w="20" w:type="dxa"/>
              <w:bottom w:w="40" w:type="dxa"/>
              <w:right w:w="20" w:type="dxa"/>
            </w:tcMar>
            <w:vAlign w:val="bottom"/>
          </w:tcPr>
          <w:p w14:paraId="71D3FC4D" w14:textId="77777777" w:rsidR="006A3667" w:rsidRDefault="00045F32">
            <w:pPr>
              <w:textAlignment w:val="bottom"/>
            </w:pPr>
            <w:r>
              <w:rPr>
                <w:rFonts w:ascii="Arial" w:eastAsia="宋体" w:hAnsi="Arial" w:cs="Arial"/>
                <w:color w:val="000000"/>
                <w:sz w:val="15"/>
                <w:szCs w:val="15"/>
              </w:rPr>
              <w:t>Foreign exchange trading services</w:t>
            </w:r>
            <w:r>
              <w:rPr>
                <w:rFonts w:ascii="Arial" w:eastAsia="宋体" w:hAnsi="Arial" w:cs="Arial"/>
                <w:color w:val="000000"/>
                <w:sz w:val="9"/>
                <w:szCs w:val="9"/>
              </w:rPr>
              <w:t>(2)</w:t>
            </w:r>
          </w:p>
        </w:tc>
        <w:tc>
          <w:tcPr>
            <w:tcW w:w="0" w:type="auto"/>
            <w:shd w:val="clear" w:color="auto" w:fill="auto"/>
            <w:vAlign w:val="bottom"/>
          </w:tcPr>
          <w:p w14:paraId="71D3FC4E" w14:textId="77777777" w:rsidR="006A3667" w:rsidRDefault="006A3667">
            <w:pPr>
              <w:rPr>
                <w:rFonts w:ascii="宋体"/>
                <w:vanish/>
              </w:rPr>
            </w:pPr>
          </w:p>
        </w:tc>
        <w:tc>
          <w:tcPr>
            <w:tcW w:w="0" w:type="auto"/>
            <w:shd w:val="clear" w:color="auto" w:fill="auto"/>
            <w:vAlign w:val="bottom"/>
          </w:tcPr>
          <w:p w14:paraId="71D3FC4F" w14:textId="77777777" w:rsidR="006A3667" w:rsidRDefault="006A3667">
            <w:pPr>
              <w:rPr>
                <w:rFonts w:ascii="宋体"/>
                <w:vanish/>
              </w:rPr>
            </w:pPr>
          </w:p>
        </w:tc>
        <w:tc>
          <w:tcPr>
            <w:tcW w:w="0" w:type="auto"/>
            <w:shd w:val="clear" w:color="auto" w:fill="auto"/>
            <w:vAlign w:val="bottom"/>
          </w:tcPr>
          <w:p w14:paraId="71D3FC50" w14:textId="77777777" w:rsidR="006A3667" w:rsidRDefault="006A3667">
            <w:pPr>
              <w:rPr>
                <w:rFonts w:ascii="宋体"/>
                <w:vanish/>
              </w:rPr>
            </w:pPr>
          </w:p>
        </w:tc>
        <w:tc>
          <w:tcPr>
            <w:tcW w:w="0" w:type="auto"/>
            <w:shd w:val="clear" w:color="auto" w:fill="auto"/>
            <w:vAlign w:val="bottom"/>
          </w:tcPr>
          <w:p w14:paraId="71D3FC51" w14:textId="77777777" w:rsidR="006A3667" w:rsidRDefault="006A3667">
            <w:pPr>
              <w:rPr>
                <w:rFonts w:ascii="宋体"/>
                <w:vanish/>
              </w:rPr>
            </w:pPr>
          </w:p>
        </w:tc>
        <w:tc>
          <w:tcPr>
            <w:tcW w:w="0" w:type="auto"/>
            <w:shd w:val="clear" w:color="auto" w:fill="auto"/>
            <w:vAlign w:val="bottom"/>
          </w:tcPr>
          <w:p w14:paraId="71D3FC52" w14:textId="77777777" w:rsidR="006A3667" w:rsidRDefault="006A3667">
            <w:pPr>
              <w:rPr>
                <w:rFonts w:ascii="宋体"/>
                <w:vanish/>
              </w:rPr>
            </w:pPr>
          </w:p>
        </w:tc>
        <w:tc>
          <w:tcPr>
            <w:tcW w:w="0" w:type="auto"/>
            <w:shd w:val="clear" w:color="auto" w:fill="auto"/>
            <w:vAlign w:val="bottom"/>
          </w:tcPr>
          <w:p w14:paraId="71D3FC53"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C54" w14:textId="77777777" w:rsidR="006A3667" w:rsidRDefault="00045F32">
            <w:pPr>
              <w:jc w:val="right"/>
              <w:textAlignment w:val="bottom"/>
            </w:pPr>
            <w:r>
              <w:rPr>
                <w:rFonts w:ascii="Arial" w:eastAsia="宋体" w:hAnsi="Arial" w:cs="Arial"/>
                <w:b/>
                <w:bCs/>
                <w:color w:val="000000"/>
                <w:sz w:val="15"/>
                <w:szCs w:val="15"/>
              </w:rPr>
              <w:t>26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C5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C5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C57" w14:textId="77777777" w:rsidR="006A3667" w:rsidRDefault="00045F32">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71D3FC5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C59" w14:textId="77777777" w:rsidR="006A3667" w:rsidRDefault="006A3667">
            <w:pPr>
              <w:rPr>
                <w:rFonts w:ascii="宋体"/>
              </w:rPr>
            </w:pPr>
          </w:p>
        </w:tc>
        <w:tc>
          <w:tcPr>
            <w:tcW w:w="0" w:type="auto"/>
            <w:gridSpan w:val="3"/>
            <w:shd w:val="clear" w:color="auto" w:fill="auto"/>
            <w:vAlign w:val="bottom"/>
          </w:tcPr>
          <w:p w14:paraId="71D3FC5A" w14:textId="77777777" w:rsidR="006A3667" w:rsidRDefault="006A3667">
            <w:pPr>
              <w:rPr>
                <w:rFonts w:ascii="宋体"/>
                <w:vanish/>
              </w:rPr>
            </w:pPr>
          </w:p>
        </w:tc>
        <w:tc>
          <w:tcPr>
            <w:tcW w:w="0" w:type="auto"/>
            <w:gridSpan w:val="3"/>
            <w:shd w:val="clear" w:color="auto" w:fill="auto"/>
            <w:vAlign w:val="bottom"/>
          </w:tcPr>
          <w:p w14:paraId="71D3FC5B"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C5C" w14:textId="77777777" w:rsidR="006A3667" w:rsidRDefault="00045F32">
            <w:pPr>
              <w:jc w:val="right"/>
              <w:textAlignment w:val="bottom"/>
            </w:pPr>
            <w:r>
              <w:rPr>
                <w:rFonts w:ascii="Arial" w:eastAsia="宋体" w:hAnsi="Arial" w:cs="Arial"/>
                <w:color w:val="000000"/>
                <w:sz w:val="15"/>
                <w:szCs w:val="15"/>
              </w:rPr>
              <w:t>100 </w:t>
            </w:r>
          </w:p>
        </w:tc>
        <w:tc>
          <w:tcPr>
            <w:tcW w:w="0" w:type="auto"/>
            <w:shd w:val="clear" w:color="auto" w:fill="FFFFFF"/>
            <w:tcMar>
              <w:top w:w="40" w:type="dxa"/>
              <w:left w:w="0" w:type="dxa"/>
              <w:bottom w:w="40" w:type="dxa"/>
              <w:right w:w="20" w:type="dxa"/>
            </w:tcMar>
            <w:vAlign w:val="bottom"/>
          </w:tcPr>
          <w:p w14:paraId="71D3FC5D" w14:textId="77777777" w:rsidR="006A3667" w:rsidRDefault="006A3667">
            <w:pPr>
              <w:jc w:val="right"/>
              <w:rPr>
                <w:rFonts w:ascii="宋体"/>
              </w:rPr>
            </w:pPr>
          </w:p>
        </w:tc>
        <w:tc>
          <w:tcPr>
            <w:tcW w:w="0" w:type="auto"/>
            <w:gridSpan w:val="3"/>
            <w:shd w:val="clear" w:color="auto" w:fill="auto"/>
            <w:vAlign w:val="bottom"/>
          </w:tcPr>
          <w:p w14:paraId="71D3FC5E" w14:textId="77777777" w:rsidR="006A3667" w:rsidRDefault="006A3667">
            <w:pPr>
              <w:rPr>
                <w:rFonts w:ascii="宋体"/>
                <w:vanish/>
              </w:rPr>
            </w:pPr>
          </w:p>
        </w:tc>
        <w:tc>
          <w:tcPr>
            <w:tcW w:w="0" w:type="auto"/>
            <w:gridSpan w:val="3"/>
            <w:shd w:val="clear" w:color="auto" w:fill="auto"/>
            <w:vAlign w:val="bottom"/>
          </w:tcPr>
          <w:p w14:paraId="71D3FC5F" w14:textId="77777777" w:rsidR="006A3667" w:rsidRDefault="006A3667">
            <w:pPr>
              <w:rPr>
                <w:rFonts w:ascii="宋体"/>
                <w:vanish/>
              </w:rPr>
            </w:pPr>
          </w:p>
        </w:tc>
      </w:tr>
      <w:tr w:rsidR="006A3667" w14:paraId="71D3FC74" w14:textId="77777777">
        <w:tc>
          <w:tcPr>
            <w:tcW w:w="0" w:type="auto"/>
            <w:gridSpan w:val="3"/>
            <w:shd w:val="clear" w:color="auto" w:fill="CCEEFF"/>
            <w:tcMar>
              <w:top w:w="40" w:type="dxa"/>
              <w:left w:w="20" w:type="dxa"/>
              <w:bottom w:w="40" w:type="dxa"/>
              <w:right w:w="20" w:type="dxa"/>
            </w:tcMar>
            <w:vAlign w:val="bottom"/>
          </w:tcPr>
          <w:p w14:paraId="71D3FC61" w14:textId="77777777" w:rsidR="006A3667" w:rsidRDefault="00045F32">
            <w:pPr>
              <w:textAlignment w:val="bottom"/>
            </w:pPr>
            <w:r>
              <w:rPr>
                <w:rFonts w:ascii="Arial" w:eastAsia="宋体" w:hAnsi="Arial" w:cs="Arial"/>
                <w:color w:val="000000"/>
                <w:sz w:val="15"/>
                <w:szCs w:val="15"/>
              </w:rPr>
              <w:t>Securities finance</w:t>
            </w:r>
          </w:p>
        </w:tc>
        <w:tc>
          <w:tcPr>
            <w:tcW w:w="0" w:type="auto"/>
            <w:shd w:val="clear" w:color="auto" w:fill="auto"/>
            <w:vAlign w:val="bottom"/>
          </w:tcPr>
          <w:p w14:paraId="71D3FC62" w14:textId="77777777" w:rsidR="006A3667" w:rsidRDefault="006A3667">
            <w:pPr>
              <w:rPr>
                <w:rFonts w:ascii="宋体"/>
                <w:vanish/>
              </w:rPr>
            </w:pPr>
          </w:p>
        </w:tc>
        <w:tc>
          <w:tcPr>
            <w:tcW w:w="0" w:type="auto"/>
            <w:shd w:val="clear" w:color="auto" w:fill="auto"/>
            <w:vAlign w:val="bottom"/>
          </w:tcPr>
          <w:p w14:paraId="71D3FC63" w14:textId="77777777" w:rsidR="006A3667" w:rsidRDefault="006A3667">
            <w:pPr>
              <w:rPr>
                <w:rFonts w:ascii="宋体"/>
                <w:vanish/>
              </w:rPr>
            </w:pPr>
          </w:p>
        </w:tc>
        <w:tc>
          <w:tcPr>
            <w:tcW w:w="0" w:type="auto"/>
            <w:shd w:val="clear" w:color="auto" w:fill="auto"/>
            <w:vAlign w:val="bottom"/>
          </w:tcPr>
          <w:p w14:paraId="71D3FC64" w14:textId="77777777" w:rsidR="006A3667" w:rsidRDefault="006A3667">
            <w:pPr>
              <w:rPr>
                <w:rFonts w:ascii="宋体"/>
                <w:vanish/>
              </w:rPr>
            </w:pPr>
          </w:p>
        </w:tc>
        <w:tc>
          <w:tcPr>
            <w:tcW w:w="0" w:type="auto"/>
            <w:shd w:val="clear" w:color="auto" w:fill="auto"/>
            <w:vAlign w:val="bottom"/>
          </w:tcPr>
          <w:p w14:paraId="71D3FC65" w14:textId="77777777" w:rsidR="006A3667" w:rsidRDefault="006A3667">
            <w:pPr>
              <w:rPr>
                <w:rFonts w:ascii="宋体"/>
                <w:vanish/>
              </w:rPr>
            </w:pPr>
          </w:p>
        </w:tc>
        <w:tc>
          <w:tcPr>
            <w:tcW w:w="0" w:type="auto"/>
            <w:shd w:val="clear" w:color="auto" w:fill="auto"/>
            <w:vAlign w:val="bottom"/>
          </w:tcPr>
          <w:p w14:paraId="71D3FC66" w14:textId="77777777" w:rsidR="006A3667" w:rsidRDefault="006A3667">
            <w:pPr>
              <w:rPr>
                <w:rFonts w:ascii="宋体"/>
                <w:vanish/>
              </w:rPr>
            </w:pPr>
          </w:p>
        </w:tc>
        <w:tc>
          <w:tcPr>
            <w:tcW w:w="0" w:type="auto"/>
            <w:shd w:val="clear" w:color="auto" w:fill="auto"/>
            <w:vAlign w:val="bottom"/>
          </w:tcPr>
          <w:p w14:paraId="71D3FC67"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C68" w14:textId="77777777" w:rsidR="006A3667" w:rsidRDefault="00045F32">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C6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6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C6B" w14:textId="77777777" w:rsidR="006A3667" w:rsidRDefault="00045F32">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71D3FC6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6D" w14:textId="77777777" w:rsidR="006A3667" w:rsidRDefault="006A3667">
            <w:pPr>
              <w:rPr>
                <w:rFonts w:ascii="宋体"/>
              </w:rPr>
            </w:pPr>
          </w:p>
        </w:tc>
        <w:tc>
          <w:tcPr>
            <w:tcW w:w="0" w:type="auto"/>
            <w:gridSpan w:val="3"/>
            <w:shd w:val="clear" w:color="auto" w:fill="auto"/>
            <w:vAlign w:val="bottom"/>
          </w:tcPr>
          <w:p w14:paraId="71D3FC6E" w14:textId="77777777" w:rsidR="006A3667" w:rsidRDefault="006A3667">
            <w:pPr>
              <w:rPr>
                <w:rFonts w:ascii="宋体"/>
                <w:vanish/>
              </w:rPr>
            </w:pPr>
          </w:p>
        </w:tc>
        <w:tc>
          <w:tcPr>
            <w:tcW w:w="0" w:type="auto"/>
            <w:gridSpan w:val="3"/>
            <w:shd w:val="clear" w:color="auto" w:fill="auto"/>
            <w:vAlign w:val="bottom"/>
          </w:tcPr>
          <w:p w14:paraId="71D3FC6F"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C70" w14:textId="77777777" w:rsidR="006A3667" w:rsidRDefault="00045F32">
            <w:pPr>
              <w:jc w:val="right"/>
              <w:textAlignment w:val="bottom"/>
            </w:pPr>
            <w:r>
              <w:rPr>
                <w:rFonts w:ascii="Arial" w:eastAsia="宋体" w:hAnsi="Arial" w:cs="Arial"/>
                <w:color w:val="000000"/>
                <w:sz w:val="15"/>
                <w:szCs w:val="15"/>
              </w:rPr>
              <w:t>67 </w:t>
            </w:r>
          </w:p>
        </w:tc>
        <w:tc>
          <w:tcPr>
            <w:tcW w:w="0" w:type="auto"/>
            <w:shd w:val="clear" w:color="auto" w:fill="CCEEFF"/>
            <w:tcMar>
              <w:top w:w="40" w:type="dxa"/>
              <w:left w:w="0" w:type="dxa"/>
              <w:bottom w:w="40" w:type="dxa"/>
              <w:right w:w="20" w:type="dxa"/>
            </w:tcMar>
            <w:vAlign w:val="bottom"/>
          </w:tcPr>
          <w:p w14:paraId="71D3FC71" w14:textId="77777777" w:rsidR="006A3667" w:rsidRDefault="006A3667">
            <w:pPr>
              <w:jc w:val="right"/>
              <w:rPr>
                <w:rFonts w:ascii="宋体"/>
              </w:rPr>
            </w:pPr>
          </w:p>
        </w:tc>
        <w:tc>
          <w:tcPr>
            <w:tcW w:w="0" w:type="auto"/>
            <w:gridSpan w:val="3"/>
            <w:shd w:val="clear" w:color="auto" w:fill="auto"/>
            <w:vAlign w:val="bottom"/>
          </w:tcPr>
          <w:p w14:paraId="71D3FC72" w14:textId="77777777" w:rsidR="006A3667" w:rsidRDefault="006A3667">
            <w:pPr>
              <w:rPr>
                <w:rFonts w:ascii="宋体"/>
                <w:vanish/>
              </w:rPr>
            </w:pPr>
          </w:p>
        </w:tc>
        <w:tc>
          <w:tcPr>
            <w:tcW w:w="0" w:type="auto"/>
            <w:gridSpan w:val="3"/>
            <w:shd w:val="clear" w:color="auto" w:fill="auto"/>
            <w:vAlign w:val="bottom"/>
          </w:tcPr>
          <w:p w14:paraId="71D3FC73" w14:textId="77777777" w:rsidR="006A3667" w:rsidRDefault="006A3667">
            <w:pPr>
              <w:rPr>
                <w:rFonts w:ascii="宋体"/>
                <w:vanish/>
              </w:rPr>
            </w:pPr>
          </w:p>
        </w:tc>
      </w:tr>
      <w:tr w:rsidR="006A3667" w14:paraId="71D3FC87" w14:textId="77777777">
        <w:tc>
          <w:tcPr>
            <w:tcW w:w="0" w:type="auto"/>
            <w:gridSpan w:val="3"/>
            <w:shd w:val="clear" w:color="auto" w:fill="FFFFFF"/>
            <w:tcMar>
              <w:top w:w="40" w:type="dxa"/>
              <w:left w:w="20" w:type="dxa"/>
              <w:bottom w:w="40" w:type="dxa"/>
              <w:right w:w="20" w:type="dxa"/>
            </w:tcMar>
            <w:vAlign w:val="bottom"/>
          </w:tcPr>
          <w:p w14:paraId="71D3FC75" w14:textId="77777777" w:rsidR="006A3667" w:rsidRDefault="00045F32">
            <w:pPr>
              <w:textAlignment w:val="bottom"/>
            </w:pPr>
            <w:r>
              <w:rPr>
                <w:rFonts w:ascii="Arial" w:eastAsia="宋体" w:hAnsi="Arial" w:cs="Arial"/>
                <w:color w:val="000000"/>
                <w:sz w:val="15"/>
                <w:szCs w:val="15"/>
              </w:rPr>
              <w:t>Software and processing fees</w:t>
            </w:r>
            <w:r>
              <w:rPr>
                <w:rFonts w:ascii="Arial" w:eastAsia="宋体" w:hAnsi="Arial" w:cs="Arial"/>
                <w:color w:val="000000"/>
                <w:sz w:val="9"/>
                <w:szCs w:val="9"/>
              </w:rPr>
              <w:t>(3)</w:t>
            </w:r>
          </w:p>
        </w:tc>
        <w:tc>
          <w:tcPr>
            <w:tcW w:w="0" w:type="auto"/>
            <w:shd w:val="clear" w:color="auto" w:fill="auto"/>
            <w:vAlign w:val="bottom"/>
          </w:tcPr>
          <w:p w14:paraId="71D3FC76" w14:textId="77777777" w:rsidR="006A3667" w:rsidRDefault="006A3667">
            <w:pPr>
              <w:rPr>
                <w:rFonts w:ascii="宋体"/>
                <w:vanish/>
              </w:rPr>
            </w:pPr>
          </w:p>
        </w:tc>
        <w:tc>
          <w:tcPr>
            <w:tcW w:w="0" w:type="auto"/>
            <w:shd w:val="clear" w:color="auto" w:fill="auto"/>
            <w:vAlign w:val="bottom"/>
          </w:tcPr>
          <w:p w14:paraId="71D3FC77" w14:textId="77777777" w:rsidR="006A3667" w:rsidRDefault="006A3667">
            <w:pPr>
              <w:rPr>
                <w:rFonts w:ascii="宋体"/>
                <w:vanish/>
              </w:rPr>
            </w:pPr>
          </w:p>
        </w:tc>
        <w:tc>
          <w:tcPr>
            <w:tcW w:w="0" w:type="auto"/>
            <w:shd w:val="clear" w:color="auto" w:fill="auto"/>
            <w:vAlign w:val="bottom"/>
          </w:tcPr>
          <w:p w14:paraId="71D3FC78" w14:textId="77777777" w:rsidR="006A3667" w:rsidRDefault="006A3667">
            <w:pPr>
              <w:rPr>
                <w:rFonts w:ascii="宋体"/>
                <w:vanish/>
              </w:rPr>
            </w:pPr>
          </w:p>
        </w:tc>
        <w:tc>
          <w:tcPr>
            <w:tcW w:w="0" w:type="auto"/>
            <w:shd w:val="clear" w:color="auto" w:fill="auto"/>
            <w:vAlign w:val="bottom"/>
          </w:tcPr>
          <w:p w14:paraId="71D3FC79" w14:textId="77777777" w:rsidR="006A3667" w:rsidRDefault="006A3667">
            <w:pPr>
              <w:rPr>
                <w:rFonts w:ascii="宋体"/>
                <w:vanish/>
              </w:rPr>
            </w:pPr>
          </w:p>
        </w:tc>
        <w:tc>
          <w:tcPr>
            <w:tcW w:w="0" w:type="auto"/>
            <w:shd w:val="clear" w:color="auto" w:fill="auto"/>
            <w:vAlign w:val="bottom"/>
          </w:tcPr>
          <w:p w14:paraId="71D3FC7A" w14:textId="77777777" w:rsidR="006A3667" w:rsidRDefault="006A3667">
            <w:pPr>
              <w:rPr>
                <w:rFonts w:ascii="宋体"/>
                <w:vanish/>
              </w:rPr>
            </w:pPr>
          </w:p>
        </w:tc>
        <w:tc>
          <w:tcPr>
            <w:tcW w:w="0" w:type="auto"/>
            <w:shd w:val="clear" w:color="auto" w:fill="auto"/>
            <w:vAlign w:val="bottom"/>
          </w:tcPr>
          <w:p w14:paraId="71D3FC7B"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C7C"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C7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C7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C7F"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C8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C81" w14:textId="77777777" w:rsidR="006A3667" w:rsidRDefault="006A3667">
            <w:pPr>
              <w:rPr>
                <w:rFonts w:ascii="宋体"/>
              </w:rPr>
            </w:pPr>
          </w:p>
        </w:tc>
        <w:tc>
          <w:tcPr>
            <w:tcW w:w="0" w:type="auto"/>
            <w:gridSpan w:val="3"/>
            <w:shd w:val="clear" w:color="auto" w:fill="auto"/>
            <w:vAlign w:val="bottom"/>
          </w:tcPr>
          <w:p w14:paraId="71D3FC82" w14:textId="77777777" w:rsidR="006A3667" w:rsidRDefault="006A3667">
            <w:pPr>
              <w:rPr>
                <w:rFonts w:ascii="宋体"/>
                <w:vanish/>
              </w:rPr>
            </w:pPr>
          </w:p>
        </w:tc>
        <w:tc>
          <w:tcPr>
            <w:tcW w:w="0" w:type="auto"/>
            <w:gridSpan w:val="3"/>
            <w:shd w:val="clear" w:color="auto" w:fill="auto"/>
            <w:vAlign w:val="bottom"/>
          </w:tcPr>
          <w:p w14:paraId="71D3FC83" w14:textId="77777777" w:rsidR="006A3667" w:rsidRDefault="006A3667">
            <w:pPr>
              <w:rPr>
                <w:rFonts w:ascii="宋体"/>
                <w:vanish/>
              </w:rPr>
            </w:pPr>
          </w:p>
        </w:tc>
        <w:tc>
          <w:tcPr>
            <w:tcW w:w="0" w:type="auto"/>
            <w:gridSpan w:val="3"/>
            <w:shd w:val="clear" w:color="auto" w:fill="FFFFFF"/>
            <w:tcMar>
              <w:top w:w="40" w:type="dxa"/>
              <w:left w:w="20" w:type="dxa"/>
              <w:bottom w:w="40" w:type="dxa"/>
              <w:right w:w="140" w:type="dxa"/>
            </w:tcMar>
            <w:vAlign w:val="bottom"/>
          </w:tcPr>
          <w:p w14:paraId="71D3FC84"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FC85" w14:textId="77777777" w:rsidR="006A3667" w:rsidRDefault="006A3667">
            <w:pPr>
              <w:rPr>
                <w:rFonts w:ascii="宋体"/>
                <w:vanish/>
              </w:rPr>
            </w:pPr>
          </w:p>
        </w:tc>
        <w:tc>
          <w:tcPr>
            <w:tcW w:w="0" w:type="auto"/>
            <w:gridSpan w:val="3"/>
            <w:shd w:val="clear" w:color="auto" w:fill="auto"/>
            <w:vAlign w:val="bottom"/>
          </w:tcPr>
          <w:p w14:paraId="71D3FC86" w14:textId="77777777" w:rsidR="006A3667" w:rsidRDefault="006A3667">
            <w:pPr>
              <w:rPr>
                <w:rFonts w:ascii="宋体"/>
                <w:vanish/>
              </w:rPr>
            </w:pPr>
          </w:p>
        </w:tc>
      </w:tr>
      <w:tr w:rsidR="006A3667" w14:paraId="71D3FC9A" w14:textId="77777777">
        <w:tc>
          <w:tcPr>
            <w:tcW w:w="0" w:type="auto"/>
            <w:gridSpan w:val="3"/>
            <w:shd w:val="clear" w:color="auto" w:fill="CCEEFF"/>
            <w:tcMar>
              <w:top w:w="40" w:type="dxa"/>
              <w:left w:w="20" w:type="dxa"/>
              <w:bottom w:w="40" w:type="dxa"/>
              <w:right w:w="20" w:type="dxa"/>
            </w:tcMar>
            <w:vAlign w:val="bottom"/>
          </w:tcPr>
          <w:p w14:paraId="71D3FC88" w14:textId="77777777" w:rsidR="006A3667" w:rsidRDefault="00045F32">
            <w:pPr>
              <w:textAlignment w:val="bottom"/>
            </w:pPr>
            <w:r>
              <w:rPr>
                <w:rFonts w:ascii="Arial" w:eastAsia="宋体" w:hAnsi="Arial" w:cs="Arial"/>
                <w:color w:val="000000"/>
                <w:sz w:val="15"/>
                <w:szCs w:val="15"/>
              </w:rPr>
              <w:t>Other fee revenue</w:t>
            </w:r>
            <w:r>
              <w:rPr>
                <w:rFonts w:ascii="Arial" w:eastAsia="宋体" w:hAnsi="Arial" w:cs="Arial"/>
                <w:color w:val="000000"/>
                <w:sz w:val="9"/>
                <w:szCs w:val="9"/>
              </w:rPr>
              <w:t>(1)</w:t>
            </w:r>
          </w:p>
        </w:tc>
        <w:tc>
          <w:tcPr>
            <w:tcW w:w="0" w:type="auto"/>
            <w:shd w:val="clear" w:color="auto" w:fill="auto"/>
            <w:vAlign w:val="bottom"/>
          </w:tcPr>
          <w:p w14:paraId="71D3FC89" w14:textId="77777777" w:rsidR="006A3667" w:rsidRDefault="006A3667">
            <w:pPr>
              <w:rPr>
                <w:rFonts w:ascii="宋体"/>
                <w:vanish/>
              </w:rPr>
            </w:pPr>
          </w:p>
        </w:tc>
        <w:tc>
          <w:tcPr>
            <w:tcW w:w="0" w:type="auto"/>
            <w:shd w:val="clear" w:color="auto" w:fill="auto"/>
            <w:vAlign w:val="bottom"/>
          </w:tcPr>
          <w:p w14:paraId="71D3FC8A" w14:textId="77777777" w:rsidR="006A3667" w:rsidRDefault="006A3667">
            <w:pPr>
              <w:rPr>
                <w:rFonts w:ascii="宋体"/>
                <w:vanish/>
              </w:rPr>
            </w:pPr>
          </w:p>
        </w:tc>
        <w:tc>
          <w:tcPr>
            <w:tcW w:w="0" w:type="auto"/>
            <w:shd w:val="clear" w:color="auto" w:fill="auto"/>
            <w:vAlign w:val="bottom"/>
          </w:tcPr>
          <w:p w14:paraId="71D3FC8B" w14:textId="77777777" w:rsidR="006A3667" w:rsidRDefault="006A3667">
            <w:pPr>
              <w:rPr>
                <w:rFonts w:ascii="宋体"/>
                <w:vanish/>
              </w:rPr>
            </w:pPr>
          </w:p>
        </w:tc>
        <w:tc>
          <w:tcPr>
            <w:tcW w:w="0" w:type="auto"/>
            <w:shd w:val="clear" w:color="auto" w:fill="auto"/>
            <w:vAlign w:val="bottom"/>
          </w:tcPr>
          <w:p w14:paraId="71D3FC8C" w14:textId="77777777" w:rsidR="006A3667" w:rsidRDefault="006A3667">
            <w:pPr>
              <w:rPr>
                <w:rFonts w:ascii="宋体"/>
                <w:vanish/>
              </w:rPr>
            </w:pPr>
          </w:p>
        </w:tc>
        <w:tc>
          <w:tcPr>
            <w:tcW w:w="0" w:type="auto"/>
            <w:shd w:val="clear" w:color="auto" w:fill="auto"/>
            <w:vAlign w:val="bottom"/>
          </w:tcPr>
          <w:p w14:paraId="71D3FC8D" w14:textId="77777777" w:rsidR="006A3667" w:rsidRDefault="006A3667">
            <w:pPr>
              <w:rPr>
                <w:rFonts w:ascii="宋体"/>
                <w:vanish/>
              </w:rPr>
            </w:pPr>
          </w:p>
        </w:tc>
        <w:tc>
          <w:tcPr>
            <w:tcW w:w="0" w:type="auto"/>
            <w:shd w:val="clear" w:color="auto" w:fill="auto"/>
            <w:vAlign w:val="bottom"/>
          </w:tcPr>
          <w:p w14:paraId="71D3FC8E"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C8F" w14:textId="77777777" w:rsidR="006A3667" w:rsidRDefault="00045F32">
            <w:pPr>
              <w:jc w:val="right"/>
              <w:textAlignment w:val="bottom"/>
            </w:pPr>
            <w:r>
              <w:rPr>
                <w:rFonts w:ascii="Arial" w:eastAsia="宋体" w:hAnsi="Arial" w:cs="Arial"/>
                <w:b/>
                <w:bCs/>
                <w:color w:val="000000"/>
                <w:sz w:val="15"/>
                <w:szCs w:val="15"/>
              </w:rPr>
              <w:t>(17)</w:t>
            </w:r>
          </w:p>
        </w:tc>
        <w:tc>
          <w:tcPr>
            <w:tcW w:w="0" w:type="auto"/>
            <w:shd w:val="clear" w:color="auto" w:fill="CCEEFF"/>
            <w:tcMar>
              <w:top w:w="40" w:type="dxa"/>
              <w:left w:w="0" w:type="dxa"/>
              <w:bottom w:w="40" w:type="dxa"/>
              <w:right w:w="20" w:type="dxa"/>
            </w:tcMar>
            <w:vAlign w:val="bottom"/>
          </w:tcPr>
          <w:p w14:paraId="71D3FC9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9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C92" w14:textId="77777777" w:rsidR="006A3667" w:rsidRDefault="00045F32">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71D3FC9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94" w14:textId="77777777" w:rsidR="006A3667" w:rsidRDefault="006A3667">
            <w:pPr>
              <w:rPr>
                <w:rFonts w:ascii="宋体"/>
              </w:rPr>
            </w:pPr>
          </w:p>
        </w:tc>
        <w:tc>
          <w:tcPr>
            <w:tcW w:w="0" w:type="auto"/>
            <w:gridSpan w:val="3"/>
            <w:shd w:val="clear" w:color="auto" w:fill="auto"/>
            <w:vAlign w:val="bottom"/>
          </w:tcPr>
          <w:p w14:paraId="71D3FC95" w14:textId="77777777" w:rsidR="006A3667" w:rsidRDefault="006A3667">
            <w:pPr>
              <w:rPr>
                <w:rFonts w:ascii="宋体"/>
                <w:vanish/>
              </w:rPr>
            </w:pPr>
          </w:p>
        </w:tc>
        <w:tc>
          <w:tcPr>
            <w:tcW w:w="0" w:type="auto"/>
            <w:gridSpan w:val="3"/>
            <w:shd w:val="clear" w:color="auto" w:fill="auto"/>
            <w:vAlign w:val="bottom"/>
          </w:tcPr>
          <w:p w14:paraId="71D3FC96" w14:textId="77777777" w:rsidR="006A3667" w:rsidRDefault="006A3667">
            <w:pPr>
              <w:rPr>
                <w:rFonts w:ascii="宋体"/>
                <w:vanish/>
              </w:rPr>
            </w:pPr>
          </w:p>
        </w:tc>
        <w:tc>
          <w:tcPr>
            <w:tcW w:w="0" w:type="auto"/>
            <w:gridSpan w:val="3"/>
            <w:shd w:val="clear" w:color="auto" w:fill="CCEEFF"/>
            <w:tcMar>
              <w:top w:w="40" w:type="dxa"/>
              <w:left w:w="20" w:type="dxa"/>
              <w:bottom w:w="40" w:type="dxa"/>
              <w:right w:w="140" w:type="dxa"/>
            </w:tcMar>
            <w:vAlign w:val="bottom"/>
          </w:tcPr>
          <w:p w14:paraId="71D3FC97"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FC98" w14:textId="77777777" w:rsidR="006A3667" w:rsidRDefault="006A3667">
            <w:pPr>
              <w:rPr>
                <w:rFonts w:ascii="宋体"/>
                <w:vanish/>
              </w:rPr>
            </w:pPr>
          </w:p>
        </w:tc>
        <w:tc>
          <w:tcPr>
            <w:tcW w:w="0" w:type="auto"/>
            <w:gridSpan w:val="3"/>
            <w:shd w:val="clear" w:color="auto" w:fill="auto"/>
            <w:vAlign w:val="bottom"/>
          </w:tcPr>
          <w:p w14:paraId="71D3FC99" w14:textId="77777777" w:rsidR="006A3667" w:rsidRDefault="006A3667">
            <w:pPr>
              <w:rPr>
                <w:rFonts w:ascii="宋体"/>
                <w:vanish/>
              </w:rPr>
            </w:pPr>
          </w:p>
        </w:tc>
      </w:tr>
      <w:tr w:rsidR="006A3667" w14:paraId="71D3FCAE" w14:textId="77777777">
        <w:tc>
          <w:tcPr>
            <w:tcW w:w="0" w:type="auto"/>
            <w:gridSpan w:val="3"/>
            <w:shd w:val="clear" w:color="auto" w:fill="FFFFFF"/>
            <w:tcMar>
              <w:top w:w="40" w:type="dxa"/>
              <w:left w:w="20" w:type="dxa"/>
              <w:bottom w:w="40" w:type="dxa"/>
              <w:right w:w="20" w:type="dxa"/>
            </w:tcMar>
            <w:vAlign w:val="bottom"/>
          </w:tcPr>
          <w:p w14:paraId="71D3FC9B" w14:textId="77777777" w:rsidR="006A3667" w:rsidRDefault="00045F32">
            <w:pPr>
              <w:textAlignment w:val="bottom"/>
            </w:pPr>
            <w:r>
              <w:rPr>
                <w:rFonts w:ascii="Arial" w:eastAsia="宋体" w:hAnsi="Arial" w:cs="Arial"/>
                <w:color w:val="000000"/>
                <w:sz w:val="15"/>
                <w:szCs w:val="15"/>
              </w:rPr>
              <w:t>Total fee revenue</w:t>
            </w:r>
          </w:p>
        </w:tc>
        <w:tc>
          <w:tcPr>
            <w:tcW w:w="0" w:type="auto"/>
            <w:shd w:val="clear" w:color="auto" w:fill="auto"/>
            <w:vAlign w:val="bottom"/>
          </w:tcPr>
          <w:p w14:paraId="71D3FC9C" w14:textId="77777777" w:rsidR="006A3667" w:rsidRDefault="006A3667">
            <w:pPr>
              <w:rPr>
                <w:rFonts w:ascii="宋体"/>
                <w:vanish/>
              </w:rPr>
            </w:pPr>
          </w:p>
        </w:tc>
        <w:tc>
          <w:tcPr>
            <w:tcW w:w="0" w:type="auto"/>
            <w:shd w:val="clear" w:color="auto" w:fill="auto"/>
            <w:vAlign w:val="bottom"/>
          </w:tcPr>
          <w:p w14:paraId="71D3FC9D" w14:textId="77777777" w:rsidR="006A3667" w:rsidRDefault="006A3667">
            <w:pPr>
              <w:rPr>
                <w:rFonts w:ascii="宋体"/>
                <w:vanish/>
              </w:rPr>
            </w:pPr>
          </w:p>
        </w:tc>
        <w:tc>
          <w:tcPr>
            <w:tcW w:w="0" w:type="auto"/>
            <w:shd w:val="clear" w:color="auto" w:fill="auto"/>
            <w:vAlign w:val="bottom"/>
          </w:tcPr>
          <w:p w14:paraId="71D3FC9E" w14:textId="77777777" w:rsidR="006A3667" w:rsidRDefault="006A3667">
            <w:pPr>
              <w:rPr>
                <w:rFonts w:ascii="宋体"/>
                <w:vanish/>
              </w:rPr>
            </w:pPr>
          </w:p>
        </w:tc>
        <w:tc>
          <w:tcPr>
            <w:tcW w:w="0" w:type="auto"/>
            <w:shd w:val="clear" w:color="auto" w:fill="auto"/>
            <w:vAlign w:val="bottom"/>
          </w:tcPr>
          <w:p w14:paraId="71D3FC9F" w14:textId="77777777" w:rsidR="006A3667" w:rsidRDefault="006A3667">
            <w:pPr>
              <w:rPr>
                <w:rFonts w:ascii="宋体"/>
                <w:vanish/>
              </w:rPr>
            </w:pPr>
          </w:p>
        </w:tc>
        <w:tc>
          <w:tcPr>
            <w:tcW w:w="0" w:type="auto"/>
            <w:shd w:val="clear" w:color="auto" w:fill="auto"/>
            <w:vAlign w:val="bottom"/>
          </w:tcPr>
          <w:p w14:paraId="71D3FCA0" w14:textId="77777777" w:rsidR="006A3667" w:rsidRDefault="006A3667">
            <w:pPr>
              <w:rPr>
                <w:rFonts w:ascii="宋体"/>
                <w:vanish/>
              </w:rPr>
            </w:pPr>
          </w:p>
        </w:tc>
        <w:tc>
          <w:tcPr>
            <w:tcW w:w="0" w:type="auto"/>
            <w:shd w:val="clear" w:color="auto" w:fill="auto"/>
            <w:vAlign w:val="bottom"/>
          </w:tcPr>
          <w:p w14:paraId="71D3FCA1"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CA2" w14:textId="77777777" w:rsidR="006A3667" w:rsidRDefault="00045F32">
            <w:pPr>
              <w:jc w:val="right"/>
              <w:textAlignment w:val="bottom"/>
            </w:pPr>
            <w:r>
              <w:rPr>
                <w:rFonts w:ascii="Arial" w:eastAsia="宋体" w:hAnsi="Arial" w:cs="Arial"/>
                <w:b/>
                <w:bCs/>
                <w:color w:val="000000"/>
                <w:sz w:val="15"/>
                <w:szCs w:val="15"/>
              </w:rPr>
              <w:t>486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C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CA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CA5" w14:textId="77777777" w:rsidR="006A3667" w:rsidRDefault="00045F32">
            <w:pPr>
              <w:jc w:val="right"/>
              <w:textAlignment w:val="bottom"/>
            </w:pPr>
            <w:r>
              <w:rPr>
                <w:rFonts w:ascii="Arial" w:eastAsia="宋体" w:hAnsi="Arial" w:cs="Arial"/>
                <w:color w:val="000000"/>
                <w:sz w:val="15"/>
                <w:szCs w:val="15"/>
              </w:rPr>
              <w:t>536 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CA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CA7" w14:textId="77777777" w:rsidR="006A3667" w:rsidRDefault="006A3667">
            <w:pPr>
              <w:rPr>
                <w:rFonts w:ascii="宋体"/>
              </w:rPr>
            </w:pPr>
          </w:p>
        </w:tc>
        <w:tc>
          <w:tcPr>
            <w:tcW w:w="0" w:type="auto"/>
            <w:gridSpan w:val="3"/>
            <w:shd w:val="clear" w:color="auto" w:fill="auto"/>
            <w:vAlign w:val="bottom"/>
          </w:tcPr>
          <w:p w14:paraId="71D3FCA8" w14:textId="77777777" w:rsidR="006A3667" w:rsidRDefault="006A3667">
            <w:pPr>
              <w:rPr>
                <w:rFonts w:ascii="宋体"/>
                <w:vanish/>
              </w:rPr>
            </w:pPr>
          </w:p>
        </w:tc>
        <w:tc>
          <w:tcPr>
            <w:tcW w:w="0" w:type="auto"/>
            <w:gridSpan w:val="3"/>
            <w:shd w:val="clear" w:color="auto" w:fill="auto"/>
            <w:vAlign w:val="bottom"/>
          </w:tcPr>
          <w:p w14:paraId="71D3FCA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CAA" w14:textId="77777777" w:rsidR="006A3667" w:rsidRDefault="00045F32">
            <w:pPr>
              <w:jc w:val="right"/>
              <w:textAlignment w:val="bottom"/>
            </w:pPr>
            <w:r>
              <w:rPr>
                <w:rFonts w:ascii="Arial" w:eastAsia="宋体" w:hAnsi="Arial" w:cs="Arial"/>
                <w:color w:val="000000"/>
                <w:sz w:val="15"/>
                <w:szCs w:val="15"/>
              </w:rPr>
              <w:t>(9)</w:t>
            </w:r>
          </w:p>
        </w:tc>
        <w:tc>
          <w:tcPr>
            <w:tcW w:w="0" w:type="auto"/>
            <w:shd w:val="clear" w:color="auto" w:fill="FFFFFF"/>
            <w:tcMar>
              <w:top w:w="40" w:type="dxa"/>
              <w:left w:w="0" w:type="dxa"/>
              <w:bottom w:w="40" w:type="dxa"/>
              <w:right w:w="20" w:type="dxa"/>
            </w:tcMar>
            <w:vAlign w:val="bottom"/>
          </w:tcPr>
          <w:p w14:paraId="71D3FCAB" w14:textId="77777777" w:rsidR="006A3667" w:rsidRDefault="006A3667">
            <w:pPr>
              <w:jc w:val="right"/>
              <w:rPr>
                <w:rFonts w:ascii="宋体"/>
              </w:rPr>
            </w:pPr>
          </w:p>
        </w:tc>
        <w:tc>
          <w:tcPr>
            <w:tcW w:w="0" w:type="auto"/>
            <w:gridSpan w:val="3"/>
            <w:shd w:val="clear" w:color="auto" w:fill="auto"/>
            <w:vAlign w:val="bottom"/>
          </w:tcPr>
          <w:p w14:paraId="71D3FCAC" w14:textId="77777777" w:rsidR="006A3667" w:rsidRDefault="006A3667">
            <w:pPr>
              <w:rPr>
                <w:rFonts w:ascii="宋体"/>
                <w:vanish/>
              </w:rPr>
            </w:pPr>
          </w:p>
        </w:tc>
        <w:tc>
          <w:tcPr>
            <w:tcW w:w="0" w:type="auto"/>
            <w:gridSpan w:val="3"/>
            <w:shd w:val="clear" w:color="auto" w:fill="auto"/>
            <w:vAlign w:val="bottom"/>
          </w:tcPr>
          <w:p w14:paraId="71D3FCAD" w14:textId="77777777" w:rsidR="006A3667" w:rsidRDefault="006A3667">
            <w:pPr>
              <w:rPr>
                <w:rFonts w:ascii="宋体"/>
                <w:vanish/>
              </w:rPr>
            </w:pPr>
          </w:p>
        </w:tc>
      </w:tr>
      <w:tr w:rsidR="006A3667" w14:paraId="71D3FCC2" w14:textId="77777777">
        <w:tc>
          <w:tcPr>
            <w:tcW w:w="0" w:type="auto"/>
            <w:gridSpan w:val="3"/>
            <w:shd w:val="clear" w:color="auto" w:fill="CCEEFF"/>
            <w:tcMar>
              <w:top w:w="40" w:type="dxa"/>
              <w:left w:w="20" w:type="dxa"/>
              <w:bottom w:w="40" w:type="dxa"/>
              <w:right w:w="20" w:type="dxa"/>
            </w:tcMar>
            <w:vAlign w:val="bottom"/>
          </w:tcPr>
          <w:p w14:paraId="71D3FCAF" w14:textId="77777777" w:rsidR="006A3667" w:rsidRDefault="00045F32">
            <w:pPr>
              <w:textAlignment w:val="bottom"/>
            </w:pPr>
            <w:r>
              <w:rPr>
                <w:rFonts w:ascii="Arial" w:eastAsia="宋体" w:hAnsi="Arial" w:cs="Arial"/>
                <w:color w:val="000000"/>
                <w:sz w:val="15"/>
                <w:szCs w:val="15"/>
              </w:rPr>
              <w:t>Net interest income</w:t>
            </w:r>
          </w:p>
        </w:tc>
        <w:tc>
          <w:tcPr>
            <w:tcW w:w="0" w:type="auto"/>
            <w:shd w:val="clear" w:color="auto" w:fill="auto"/>
            <w:vAlign w:val="bottom"/>
          </w:tcPr>
          <w:p w14:paraId="71D3FCB0" w14:textId="77777777" w:rsidR="006A3667" w:rsidRDefault="006A3667">
            <w:pPr>
              <w:rPr>
                <w:rFonts w:ascii="宋体"/>
                <w:vanish/>
              </w:rPr>
            </w:pPr>
          </w:p>
        </w:tc>
        <w:tc>
          <w:tcPr>
            <w:tcW w:w="0" w:type="auto"/>
            <w:shd w:val="clear" w:color="auto" w:fill="auto"/>
            <w:vAlign w:val="bottom"/>
          </w:tcPr>
          <w:p w14:paraId="71D3FCB1" w14:textId="77777777" w:rsidR="006A3667" w:rsidRDefault="006A3667">
            <w:pPr>
              <w:rPr>
                <w:rFonts w:ascii="宋体"/>
                <w:vanish/>
              </w:rPr>
            </w:pPr>
          </w:p>
        </w:tc>
        <w:tc>
          <w:tcPr>
            <w:tcW w:w="0" w:type="auto"/>
            <w:shd w:val="clear" w:color="auto" w:fill="auto"/>
            <w:vAlign w:val="bottom"/>
          </w:tcPr>
          <w:p w14:paraId="71D3FCB2" w14:textId="77777777" w:rsidR="006A3667" w:rsidRDefault="006A3667">
            <w:pPr>
              <w:rPr>
                <w:rFonts w:ascii="宋体"/>
                <w:vanish/>
              </w:rPr>
            </w:pPr>
          </w:p>
        </w:tc>
        <w:tc>
          <w:tcPr>
            <w:tcW w:w="0" w:type="auto"/>
            <w:shd w:val="clear" w:color="auto" w:fill="auto"/>
            <w:vAlign w:val="bottom"/>
          </w:tcPr>
          <w:p w14:paraId="71D3FCB3" w14:textId="77777777" w:rsidR="006A3667" w:rsidRDefault="006A3667">
            <w:pPr>
              <w:rPr>
                <w:rFonts w:ascii="宋体"/>
                <w:vanish/>
              </w:rPr>
            </w:pPr>
          </w:p>
        </w:tc>
        <w:tc>
          <w:tcPr>
            <w:tcW w:w="0" w:type="auto"/>
            <w:shd w:val="clear" w:color="auto" w:fill="auto"/>
            <w:vAlign w:val="bottom"/>
          </w:tcPr>
          <w:p w14:paraId="71D3FCB4" w14:textId="77777777" w:rsidR="006A3667" w:rsidRDefault="006A3667">
            <w:pPr>
              <w:rPr>
                <w:rFonts w:ascii="宋体"/>
                <w:vanish/>
              </w:rPr>
            </w:pPr>
          </w:p>
        </w:tc>
        <w:tc>
          <w:tcPr>
            <w:tcW w:w="0" w:type="auto"/>
            <w:shd w:val="clear" w:color="auto" w:fill="auto"/>
            <w:vAlign w:val="bottom"/>
          </w:tcPr>
          <w:p w14:paraId="71D3FCB5"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CB6" w14:textId="77777777" w:rsidR="006A3667" w:rsidRDefault="00045F32">
            <w:pPr>
              <w:jc w:val="right"/>
              <w:textAlignment w:val="bottom"/>
            </w:pPr>
            <w:r>
              <w:rPr>
                <w:rFonts w:ascii="Arial" w:eastAsia="宋体" w:hAnsi="Arial" w:cs="Arial"/>
                <w:b/>
                <w:bCs/>
                <w:color w:val="000000"/>
                <w:sz w:val="15"/>
                <w:szCs w:val="15"/>
              </w:rPr>
              <w:t>(3)</w:t>
            </w:r>
          </w:p>
        </w:tc>
        <w:tc>
          <w:tcPr>
            <w:tcW w:w="0" w:type="auto"/>
            <w:shd w:val="clear" w:color="auto" w:fill="CCEEFF"/>
            <w:tcMar>
              <w:top w:w="40" w:type="dxa"/>
              <w:left w:w="0" w:type="dxa"/>
              <w:bottom w:w="40" w:type="dxa"/>
              <w:right w:w="20" w:type="dxa"/>
            </w:tcMar>
            <w:vAlign w:val="bottom"/>
          </w:tcPr>
          <w:p w14:paraId="71D3FC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B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CB9" w14:textId="77777777" w:rsidR="006A3667" w:rsidRDefault="00045F32">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71D3FC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BB" w14:textId="77777777" w:rsidR="006A3667" w:rsidRDefault="006A3667">
            <w:pPr>
              <w:rPr>
                <w:rFonts w:ascii="宋体"/>
              </w:rPr>
            </w:pPr>
          </w:p>
        </w:tc>
        <w:tc>
          <w:tcPr>
            <w:tcW w:w="0" w:type="auto"/>
            <w:gridSpan w:val="3"/>
            <w:shd w:val="clear" w:color="auto" w:fill="auto"/>
            <w:vAlign w:val="bottom"/>
          </w:tcPr>
          <w:p w14:paraId="71D3FCBC" w14:textId="77777777" w:rsidR="006A3667" w:rsidRDefault="006A3667">
            <w:pPr>
              <w:rPr>
                <w:rFonts w:ascii="宋体"/>
                <w:vanish/>
              </w:rPr>
            </w:pPr>
          </w:p>
        </w:tc>
        <w:tc>
          <w:tcPr>
            <w:tcW w:w="0" w:type="auto"/>
            <w:gridSpan w:val="3"/>
            <w:shd w:val="clear" w:color="auto" w:fill="auto"/>
            <w:vAlign w:val="bottom"/>
          </w:tcPr>
          <w:p w14:paraId="71D3FCBD"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CBE" w14:textId="77777777" w:rsidR="006A3667" w:rsidRDefault="00045F32">
            <w:pPr>
              <w:jc w:val="right"/>
              <w:textAlignment w:val="bottom"/>
            </w:pPr>
            <w:r>
              <w:rPr>
                <w:rFonts w:ascii="Arial" w:eastAsia="宋体" w:hAnsi="Arial" w:cs="Arial"/>
                <w:color w:val="000000"/>
                <w:sz w:val="15"/>
                <w:szCs w:val="15"/>
              </w:rPr>
              <w:t>25 </w:t>
            </w:r>
          </w:p>
        </w:tc>
        <w:tc>
          <w:tcPr>
            <w:tcW w:w="0" w:type="auto"/>
            <w:shd w:val="clear" w:color="auto" w:fill="CCEEFF"/>
            <w:tcMar>
              <w:top w:w="40" w:type="dxa"/>
              <w:left w:w="0" w:type="dxa"/>
              <w:bottom w:w="40" w:type="dxa"/>
              <w:right w:w="20" w:type="dxa"/>
            </w:tcMar>
            <w:vAlign w:val="bottom"/>
          </w:tcPr>
          <w:p w14:paraId="71D3FCBF" w14:textId="77777777" w:rsidR="006A3667" w:rsidRDefault="006A3667">
            <w:pPr>
              <w:jc w:val="right"/>
              <w:rPr>
                <w:rFonts w:ascii="宋体"/>
              </w:rPr>
            </w:pPr>
          </w:p>
        </w:tc>
        <w:tc>
          <w:tcPr>
            <w:tcW w:w="0" w:type="auto"/>
            <w:gridSpan w:val="3"/>
            <w:shd w:val="clear" w:color="auto" w:fill="auto"/>
            <w:vAlign w:val="bottom"/>
          </w:tcPr>
          <w:p w14:paraId="71D3FCC0" w14:textId="77777777" w:rsidR="006A3667" w:rsidRDefault="006A3667">
            <w:pPr>
              <w:rPr>
                <w:rFonts w:ascii="宋体"/>
                <w:vanish/>
              </w:rPr>
            </w:pPr>
          </w:p>
        </w:tc>
        <w:tc>
          <w:tcPr>
            <w:tcW w:w="0" w:type="auto"/>
            <w:gridSpan w:val="3"/>
            <w:shd w:val="clear" w:color="auto" w:fill="auto"/>
            <w:vAlign w:val="bottom"/>
          </w:tcPr>
          <w:p w14:paraId="71D3FCC1" w14:textId="77777777" w:rsidR="006A3667" w:rsidRDefault="006A3667">
            <w:pPr>
              <w:rPr>
                <w:rFonts w:ascii="宋体"/>
                <w:vanish/>
              </w:rPr>
            </w:pPr>
          </w:p>
        </w:tc>
      </w:tr>
      <w:tr w:rsidR="006A3667" w14:paraId="71D3FCD6" w14:textId="77777777">
        <w:tc>
          <w:tcPr>
            <w:tcW w:w="0" w:type="auto"/>
            <w:gridSpan w:val="3"/>
            <w:shd w:val="clear" w:color="auto" w:fill="FFFFFF"/>
            <w:tcMar>
              <w:top w:w="40" w:type="dxa"/>
              <w:left w:w="20" w:type="dxa"/>
              <w:bottom w:w="40" w:type="dxa"/>
              <w:right w:w="20" w:type="dxa"/>
            </w:tcMar>
            <w:vAlign w:val="bottom"/>
          </w:tcPr>
          <w:p w14:paraId="71D3FCC3" w14:textId="77777777" w:rsidR="006A3667" w:rsidRDefault="00045F32">
            <w:pPr>
              <w:textAlignment w:val="bottom"/>
            </w:pPr>
            <w:r>
              <w:rPr>
                <w:rFonts w:ascii="Arial" w:eastAsia="宋体" w:hAnsi="Arial" w:cs="Arial"/>
                <w:b/>
                <w:bCs/>
                <w:color w:val="000000"/>
                <w:sz w:val="15"/>
                <w:szCs w:val="15"/>
              </w:rPr>
              <w:t>Total revenue</w:t>
            </w:r>
          </w:p>
        </w:tc>
        <w:tc>
          <w:tcPr>
            <w:tcW w:w="0" w:type="auto"/>
            <w:shd w:val="clear" w:color="auto" w:fill="auto"/>
            <w:vAlign w:val="bottom"/>
          </w:tcPr>
          <w:p w14:paraId="71D3FCC4" w14:textId="77777777" w:rsidR="006A3667" w:rsidRDefault="006A3667">
            <w:pPr>
              <w:rPr>
                <w:rFonts w:ascii="宋体"/>
                <w:vanish/>
              </w:rPr>
            </w:pPr>
          </w:p>
        </w:tc>
        <w:tc>
          <w:tcPr>
            <w:tcW w:w="0" w:type="auto"/>
            <w:shd w:val="clear" w:color="auto" w:fill="auto"/>
            <w:vAlign w:val="bottom"/>
          </w:tcPr>
          <w:p w14:paraId="71D3FCC5" w14:textId="77777777" w:rsidR="006A3667" w:rsidRDefault="006A3667">
            <w:pPr>
              <w:rPr>
                <w:rFonts w:ascii="宋体"/>
                <w:vanish/>
              </w:rPr>
            </w:pPr>
          </w:p>
        </w:tc>
        <w:tc>
          <w:tcPr>
            <w:tcW w:w="0" w:type="auto"/>
            <w:shd w:val="clear" w:color="auto" w:fill="auto"/>
            <w:vAlign w:val="bottom"/>
          </w:tcPr>
          <w:p w14:paraId="71D3FCC6" w14:textId="77777777" w:rsidR="006A3667" w:rsidRDefault="006A3667">
            <w:pPr>
              <w:rPr>
                <w:rFonts w:ascii="宋体"/>
                <w:vanish/>
              </w:rPr>
            </w:pPr>
          </w:p>
        </w:tc>
        <w:tc>
          <w:tcPr>
            <w:tcW w:w="0" w:type="auto"/>
            <w:shd w:val="clear" w:color="auto" w:fill="auto"/>
            <w:vAlign w:val="bottom"/>
          </w:tcPr>
          <w:p w14:paraId="71D3FCC7" w14:textId="77777777" w:rsidR="006A3667" w:rsidRDefault="006A3667">
            <w:pPr>
              <w:rPr>
                <w:rFonts w:ascii="宋体"/>
                <w:vanish/>
              </w:rPr>
            </w:pPr>
          </w:p>
        </w:tc>
        <w:tc>
          <w:tcPr>
            <w:tcW w:w="0" w:type="auto"/>
            <w:shd w:val="clear" w:color="auto" w:fill="auto"/>
            <w:vAlign w:val="bottom"/>
          </w:tcPr>
          <w:p w14:paraId="71D3FCC8" w14:textId="77777777" w:rsidR="006A3667" w:rsidRDefault="006A3667">
            <w:pPr>
              <w:rPr>
                <w:rFonts w:ascii="宋体"/>
                <w:vanish/>
              </w:rPr>
            </w:pPr>
          </w:p>
        </w:tc>
        <w:tc>
          <w:tcPr>
            <w:tcW w:w="0" w:type="auto"/>
            <w:shd w:val="clear" w:color="auto" w:fill="auto"/>
            <w:vAlign w:val="bottom"/>
          </w:tcPr>
          <w:p w14:paraId="71D3FCC9"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CCA" w14:textId="77777777" w:rsidR="006A3667" w:rsidRDefault="00045F32">
            <w:pPr>
              <w:jc w:val="right"/>
              <w:textAlignment w:val="bottom"/>
            </w:pPr>
            <w:r>
              <w:rPr>
                <w:rFonts w:ascii="Arial" w:eastAsia="宋体" w:hAnsi="Arial" w:cs="Arial"/>
                <w:b/>
                <w:bCs/>
                <w:color w:val="000000"/>
                <w:sz w:val="15"/>
                <w:szCs w:val="15"/>
              </w:rPr>
              <w:t>483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C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CC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CCD" w14:textId="77777777" w:rsidR="006A3667" w:rsidRDefault="00045F32">
            <w:pPr>
              <w:jc w:val="right"/>
              <w:textAlignment w:val="bottom"/>
            </w:pPr>
            <w:r>
              <w:rPr>
                <w:rFonts w:ascii="Arial" w:eastAsia="宋体" w:hAnsi="Arial" w:cs="Arial"/>
                <w:color w:val="000000"/>
                <w:sz w:val="15"/>
                <w:szCs w:val="15"/>
              </w:rPr>
              <w:t>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C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CCF" w14:textId="77777777" w:rsidR="006A3667" w:rsidRDefault="006A3667">
            <w:pPr>
              <w:rPr>
                <w:rFonts w:ascii="宋体"/>
              </w:rPr>
            </w:pPr>
          </w:p>
        </w:tc>
        <w:tc>
          <w:tcPr>
            <w:tcW w:w="0" w:type="auto"/>
            <w:gridSpan w:val="3"/>
            <w:shd w:val="clear" w:color="auto" w:fill="auto"/>
            <w:vAlign w:val="bottom"/>
          </w:tcPr>
          <w:p w14:paraId="71D3FCD0" w14:textId="77777777" w:rsidR="006A3667" w:rsidRDefault="006A3667">
            <w:pPr>
              <w:rPr>
                <w:rFonts w:ascii="宋体"/>
                <w:vanish/>
              </w:rPr>
            </w:pPr>
          </w:p>
        </w:tc>
        <w:tc>
          <w:tcPr>
            <w:tcW w:w="0" w:type="auto"/>
            <w:gridSpan w:val="3"/>
            <w:shd w:val="clear" w:color="auto" w:fill="auto"/>
            <w:vAlign w:val="bottom"/>
          </w:tcPr>
          <w:p w14:paraId="71D3FCD1"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CD2" w14:textId="77777777" w:rsidR="006A3667" w:rsidRDefault="00045F32">
            <w:pPr>
              <w:jc w:val="right"/>
              <w:textAlignment w:val="bottom"/>
            </w:pPr>
            <w:r>
              <w:rPr>
                <w:rFonts w:ascii="Arial" w:eastAsia="宋体" w:hAnsi="Arial" w:cs="Arial"/>
                <w:color w:val="000000"/>
                <w:sz w:val="15"/>
                <w:szCs w:val="15"/>
              </w:rPr>
              <w:t>(9)</w:t>
            </w:r>
          </w:p>
        </w:tc>
        <w:tc>
          <w:tcPr>
            <w:tcW w:w="0" w:type="auto"/>
            <w:shd w:val="clear" w:color="auto" w:fill="FFFFFF"/>
            <w:tcMar>
              <w:top w:w="40" w:type="dxa"/>
              <w:left w:w="0" w:type="dxa"/>
              <w:bottom w:w="40" w:type="dxa"/>
              <w:right w:w="20" w:type="dxa"/>
            </w:tcMar>
            <w:vAlign w:val="bottom"/>
          </w:tcPr>
          <w:p w14:paraId="71D3FCD3" w14:textId="77777777" w:rsidR="006A3667" w:rsidRDefault="006A3667">
            <w:pPr>
              <w:jc w:val="right"/>
              <w:rPr>
                <w:rFonts w:ascii="宋体"/>
              </w:rPr>
            </w:pPr>
          </w:p>
        </w:tc>
        <w:tc>
          <w:tcPr>
            <w:tcW w:w="0" w:type="auto"/>
            <w:gridSpan w:val="3"/>
            <w:shd w:val="clear" w:color="auto" w:fill="auto"/>
            <w:vAlign w:val="bottom"/>
          </w:tcPr>
          <w:p w14:paraId="71D3FCD4" w14:textId="77777777" w:rsidR="006A3667" w:rsidRDefault="006A3667">
            <w:pPr>
              <w:rPr>
                <w:rFonts w:ascii="宋体"/>
                <w:vanish/>
              </w:rPr>
            </w:pPr>
          </w:p>
        </w:tc>
        <w:tc>
          <w:tcPr>
            <w:tcW w:w="0" w:type="auto"/>
            <w:gridSpan w:val="3"/>
            <w:shd w:val="clear" w:color="auto" w:fill="auto"/>
            <w:vAlign w:val="bottom"/>
          </w:tcPr>
          <w:p w14:paraId="71D3FCD5" w14:textId="77777777" w:rsidR="006A3667" w:rsidRDefault="006A3667">
            <w:pPr>
              <w:rPr>
                <w:rFonts w:ascii="宋体"/>
                <w:vanish/>
              </w:rPr>
            </w:pPr>
          </w:p>
        </w:tc>
      </w:tr>
      <w:tr w:rsidR="006A3667" w14:paraId="71D3FCE7" w14:textId="77777777">
        <w:trPr>
          <w:hidden/>
        </w:trPr>
        <w:tc>
          <w:tcPr>
            <w:tcW w:w="0" w:type="auto"/>
            <w:gridSpan w:val="3"/>
            <w:shd w:val="clear" w:color="auto" w:fill="auto"/>
            <w:vAlign w:val="bottom"/>
          </w:tcPr>
          <w:p w14:paraId="71D3FCD7" w14:textId="77777777" w:rsidR="006A3667" w:rsidRDefault="006A3667">
            <w:pPr>
              <w:rPr>
                <w:rFonts w:ascii="宋体"/>
                <w:vanish/>
              </w:rPr>
            </w:pPr>
          </w:p>
        </w:tc>
        <w:tc>
          <w:tcPr>
            <w:tcW w:w="0" w:type="auto"/>
            <w:shd w:val="clear" w:color="auto" w:fill="auto"/>
            <w:vAlign w:val="bottom"/>
          </w:tcPr>
          <w:p w14:paraId="71D3FCD8" w14:textId="77777777" w:rsidR="006A3667" w:rsidRDefault="006A3667">
            <w:pPr>
              <w:rPr>
                <w:rFonts w:ascii="宋体"/>
                <w:vanish/>
              </w:rPr>
            </w:pPr>
          </w:p>
        </w:tc>
        <w:tc>
          <w:tcPr>
            <w:tcW w:w="0" w:type="auto"/>
            <w:shd w:val="clear" w:color="auto" w:fill="auto"/>
            <w:vAlign w:val="bottom"/>
          </w:tcPr>
          <w:p w14:paraId="71D3FCD9" w14:textId="77777777" w:rsidR="006A3667" w:rsidRDefault="006A3667">
            <w:pPr>
              <w:rPr>
                <w:rFonts w:ascii="宋体"/>
                <w:vanish/>
              </w:rPr>
            </w:pPr>
          </w:p>
        </w:tc>
        <w:tc>
          <w:tcPr>
            <w:tcW w:w="0" w:type="auto"/>
            <w:shd w:val="clear" w:color="auto" w:fill="auto"/>
            <w:vAlign w:val="bottom"/>
          </w:tcPr>
          <w:p w14:paraId="71D3FCDA" w14:textId="77777777" w:rsidR="006A3667" w:rsidRDefault="006A3667">
            <w:pPr>
              <w:rPr>
                <w:rFonts w:ascii="宋体"/>
                <w:vanish/>
              </w:rPr>
            </w:pPr>
          </w:p>
        </w:tc>
        <w:tc>
          <w:tcPr>
            <w:tcW w:w="0" w:type="auto"/>
            <w:shd w:val="clear" w:color="auto" w:fill="auto"/>
            <w:vAlign w:val="bottom"/>
          </w:tcPr>
          <w:p w14:paraId="71D3FCDB" w14:textId="77777777" w:rsidR="006A3667" w:rsidRDefault="006A3667">
            <w:pPr>
              <w:rPr>
                <w:rFonts w:ascii="宋体"/>
                <w:vanish/>
              </w:rPr>
            </w:pPr>
          </w:p>
        </w:tc>
        <w:tc>
          <w:tcPr>
            <w:tcW w:w="0" w:type="auto"/>
            <w:shd w:val="clear" w:color="auto" w:fill="auto"/>
            <w:vAlign w:val="bottom"/>
          </w:tcPr>
          <w:p w14:paraId="71D3FCDC" w14:textId="77777777" w:rsidR="006A3667" w:rsidRDefault="006A3667">
            <w:pPr>
              <w:rPr>
                <w:rFonts w:ascii="宋体"/>
                <w:vanish/>
              </w:rPr>
            </w:pPr>
          </w:p>
        </w:tc>
        <w:tc>
          <w:tcPr>
            <w:tcW w:w="0" w:type="auto"/>
            <w:shd w:val="clear" w:color="auto" w:fill="auto"/>
            <w:vAlign w:val="bottom"/>
          </w:tcPr>
          <w:p w14:paraId="71D3FCDD" w14:textId="77777777" w:rsidR="006A3667" w:rsidRDefault="006A3667">
            <w:pPr>
              <w:rPr>
                <w:rFonts w:ascii="宋体"/>
                <w:vanish/>
              </w:rPr>
            </w:pPr>
          </w:p>
        </w:tc>
        <w:tc>
          <w:tcPr>
            <w:tcW w:w="0" w:type="auto"/>
            <w:gridSpan w:val="3"/>
            <w:shd w:val="clear" w:color="auto" w:fill="auto"/>
            <w:vAlign w:val="bottom"/>
          </w:tcPr>
          <w:p w14:paraId="71D3FCDE" w14:textId="77777777" w:rsidR="006A3667" w:rsidRDefault="006A3667">
            <w:pPr>
              <w:rPr>
                <w:rFonts w:ascii="宋体"/>
                <w:vanish/>
              </w:rPr>
            </w:pPr>
          </w:p>
        </w:tc>
        <w:tc>
          <w:tcPr>
            <w:tcW w:w="0" w:type="auto"/>
            <w:gridSpan w:val="3"/>
            <w:shd w:val="clear" w:color="auto" w:fill="auto"/>
            <w:vAlign w:val="bottom"/>
          </w:tcPr>
          <w:p w14:paraId="71D3FCDF" w14:textId="77777777" w:rsidR="006A3667" w:rsidRDefault="006A3667">
            <w:pPr>
              <w:rPr>
                <w:rFonts w:ascii="宋体"/>
                <w:vanish/>
              </w:rPr>
            </w:pPr>
          </w:p>
        </w:tc>
        <w:tc>
          <w:tcPr>
            <w:tcW w:w="0" w:type="auto"/>
            <w:gridSpan w:val="3"/>
            <w:shd w:val="clear" w:color="auto" w:fill="auto"/>
            <w:vAlign w:val="bottom"/>
          </w:tcPr>
          <w:p w14:paraId="71D3FCE0" w14:textId="77777777" w:rsidR="006A3667" w:rsidRDefault="006A3667">
            <w:pPr>
              <w:rPr>
                <w:rFonts w:ascii="宋体"/>
                <w:vanish/>
              </w:rPr>
            </w:pPr>
          </w:p>
        </w:tc>
        <w:tc>
          <w:tcPr>
            <w:tcW w:w="0" w:type="auto"/>
            <w:gridSpan w:val="3"/>
            <w:shd w:val="clear" w:color="auto" w:fill="auto"/>
            <w:vAlign w:val="bottom"/>
          </w:tcPr>
          <w:p w14:paraId="71D3FCE1" w14:textId="77777777" w:rsidR="006A3667" w:rsidRDefault="006A3667">
            <w:pPr>
              <w:rPr>
                <w:rFonts w:ascii="宋体"/>
                <w:vanish/>
              </w:rPr>
            </w:pPr>
          </w:p>
        </w:tc>
        <w:tc>
          <w:tcPr>
            <w:tcW w:w="0" w:type="auto"/>
            <w:gridSpan w:val="3"/>
            <w:shd w:val="clear" w:color="auto" w:fill="auto"/>
            <w:vAlign w:val="bottom"/>
          </w:tcPr>
          <w:p w14:paraId="71D3FCE2" w14:textId="77777777" w:rsidR="006A3667" w:rsidRDefault="006A3667">
            <w:pPr>
              <w:rPr>
                <w:rFonts w:ascii="宋体"/>
                <w:vanish/>
              </w:rPr>
            </w:pPr>
          </w:p>
        </w:tc>
        <w:tc>
          <w:tcPr>
            <w:tcW w:w="0" w:type="auto"/>
            <w:gridSpan w:val="3"/>
            <w:shd w:val="clear" w:color="auto" w:fill="auto"/>
            <w:vAlign w:val="bottom"/>
          </w:tcPr>
          <w:p w14:paraId="71D3FCE3" w14:textId="77777777" w:rsidR="006A3667" w:rsidRDefault="006A3667">
            <w:pPr>
              <w:rPr>
                <w:rFonts w:ascii="宋体"/>
                <w:vanish/>
              </w:rPr>
            </w:pPr>
          </w:p>
        </w:tc>
        <w:tc>
          <w:tcPr>
            <w:tcW w:w="0" w:type="auto"/>
            <w:gridSpan w:val="3"/>
            <w:shd w:val="clear" w:color="auto" w:fill="auto"/>
            <w:vAlign w:val="bottom"/>
          </w:tcPr>
          <w:p w14:paraId="71D3FCE4" w14:textId="77777777" w:rsidR="006A3667" w:rsidRDefault="006A3667">
            <w:pPr>
              <w:rPr>
                <w:rFonts w:ascii="宋体"/>
                <w:vanish/>
              </w:rPr>
            </w:pPr>
          </w:p>
        </w:tc>
        <w:tc>
          <w:tcPr>
            <w:tcW w:w="0" w:type="auto"/>
            <w:gridSpan w:val="3"/>
            <w:shd w:val="clear" w:color="auto" w:fill="auto"/>
            <w:vAlign w:val="bottom"/>
          </w:tcPr>
          <w:p w14:paraId="71D3FCE5" w14:textId="77777777" w:rsidR="006A3667" w:rsidRDefault="006A3667">
            <w:pPr>
              <w:rPr>
                <w:rFonts w:ascii="宋体"/>
                <w:vanish/>
              </w:rPr>
            </w:pPr>
          </w:p>
        </w:tc>
        <w:tc>
          <w:tcPr>
            <w:tcW w:w="0" w:type="auto"/>
            <w:gridSpan w:val="3"/>
            <w:shd w:val="clear" w:color="auto" w:fill="auto"/>
            <w:vAlign w:val="bottom"/>
          </w:tcPr>
          <w:p w14:paraId="71D3FCE6" w14:textId="77777777" w:rsidR="006A3667" w:rsidRDefault="006A3667">
            <w:pPr>
              <w:rPr>
                <w:rFonts w:ascii="宋体"/>
                <w:vanish/>
              </w:rPr>
            </w:pPr>
          </w:p>
        </w:tc>
      </w:tr>
      <w:tr w:rsidR="006A3667" w14:paraId="71D3FCFB" w14:textId="77777777">
        <w:tc>
          <w:tcPr>
            <w:tcW w:w="0" w:type="auto"/>
            <w:gridSpan w:val="3"/>
            <w:shd w:val="clear" w:color="auto" w:fill="CCEEFF"/>
            <w:tcMar>
              <w:top w:w="40" w:type="dxa"/>
              <w:left w:w="20" w:type="dxa"/>
              <w:bottom w:w="40" w:type="dxa"/>
              <w:right w:w="20" w:type="dxa"/>
            </w:tcMar>
            <w:vAlign w:val="bottom"/>
          </w:tcPr>
          <w:p w14:paraId="71D3FCE8" w14:textId="77777777" w:rsidR="006A3667" w:rsidRDefault="00045F32">
            <w:pPr>
              <w:textAlignment w:val="bottom"/>
            </w:pPr>
            <w:r>
              <w:rPr>
                <w:rFonts w:ascii="Arial" w:eastAsia="宋体" w:hAnsi="Arial" w:cs="Arial"/>
                <w:b/>
                <w:bCs/>
                <w:color w:val="000000"/>
                <w:sz w:val="15"/>
                <w:szCs w:val="15"/>
              </w:rPr>
              <w:t>Total expenses</w:t>
            </w:r>
          </w:p>
        </w:tc>
        <w:tc>
          <w:tcPr>
            <w:tcW w:w="0" w:type="auto"/>
            <w:shd w:val="clear" w:color="auto" w:fill="auto"/>
            <w:vAlign w:val="bottom"/>
          </w:tcPr>
          <w:p w14:paraId="71D3FCE9" w14:textId="77777777" w:rsidR="006A3667" w:rsidRDefault="006A3667">
            <w:pPr>
              <w:rPr>
                <w:rFonts w:ascii="宋体"/>
                <w:vanish/>
              </w:rPr>
            </w:pPr>
          </w:p>
        </w:tc>
        <w:tc>
          <w:tcPr>
            <w:tcW w:w="0" w:type="auto"/>
            <w:shd w:val="clear" w:color="auto" w:fill="auto"/>
            <w:vAlign w:val="bottom"/>
          </w:tcPr>
          <w:p w14:paraId="71D3FCEA" w14:textId="77777777" w:rsidR="006A3667" w:rsidRDefault="006A3667">
            <w:pPr>
              <w:rPr>
                <w:rFonts w:ascii="宋体"/>
                <w:vanish/>
              </w:rPr>
            </w:pPr>
          </w:p>
        </w:tc>
        <w:tc>
          <w:tcPr>
            <w:tcW w:w="0" w:type="auto"/>
            <w:shd w:val="clear" w:color="auto" w:fill="auto"/>
            <w:vAlign w:val="bottom"/>
          </w:tcPr>
          <w:p w14:paraId="71D3FCEB" w14:textId="77777777" w:rsidR="006A3667" w:rsidRDefault="006A3667">
            <w:pPr>
              <w:rPr>
                <w:rFonts w:ascii="宋体"/>
                <w:vanish/>
              </w:rPr>
            </w:pPr>
          </w:p>
        </w:tc>
        <w:tc>
          <w:tcPr>
            <w:tcW w:w="0" w:type="auto"/>
            <w:shd w:val="clear" w:color="auto" w:fill="auto"/>
            <w:vAlign w:val="bottom"/>
          </w:tcPr>
          <w:p w14:paraId="71D3FCEC" w14:textId="77777777" w:rsidR="006A3667" w:rsidRDefault="006A3667">
            <w:pPr>
              <w:rPr>
                <w:rFonts w:ascii="宋体"/>
                <w:vanish/>
              </w:rPr>
            </w:pPr>
          </w:p>
        </w:tc>
        <w:tc>
          <w:tcPr>
            <w:tcW w:w="0" w:type="auto"/>
            <w:shd w:val="clear" w:color="auto" w:fill="auto"/>
            <w:vAlign w:val="bottom"/>
          </w:tcPr>
          <w:p w14:paraId="71D3FCED" w14:textId="77777777" w:rsidR="006A3667" w:rsidRDefault="006A3667">
            <w:pPr>
              <w:rPr>
                <w:rFonts w:ascii="宋体"/>
                <w:vanish/>
              </w:rPr>
            </w:pPr>
          </w:p>
        </w:tc>
        <w:tc>
          <w:tcPr>
            <w:tcW w:w="0" w:type="auto"/>
            <w:shd w:val="clear" w:color="auto" w:fill="auto"/>
            <w:vAlign w:val="bottom"/>
          </w:tcPr>
          <w:p w14:paraId="71D3FCEE"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CEF" w14:textId="77777777" w:rsidR="006A3667" w:rsidRDefault="00045F32">
            <w:pPr>
              <w:jc w:val="right"/>
              <w:textAlignment w:val="bottom"/>
            </w:pPr>
            <w:r>
              <w:rPr>
                <w:rFonts w:ascii="Arial" w:eastAsia="宋体" w:hAnsi="Arial" w:cs="Arial"/>
                <w:b/>
                <w:bCs/>
                <w:color w:val="000000"/>
                <w:sz w:val="15"/>
                <w:szCs w:val="15"/>
              </w:rPr>
              <w:t>335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CF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F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CF2" w14:textId="77777777" w:rsidR="006A3667" w:rsidRDefault="00045F32">
            <w:pPr>
              <w:jc w:val="right"/>
              <w:textAlignment w:val="bottom"/>
            </w:pPr>
            <w:r>
              <w:rPr>
                <w:rFonts w:ascii="Arial" w:eastAsia="宋体" w:hAnsi="Arial" w:cs="Arial"/>
                <w:color w:val="000000"/>
                <w:sz w:val="15"/>
                <w:szCs w:val="15"/>
              </w:rPr>
              <w:t>339 </w:t>
            </w:r>
          </w:p>
        </w:tc>
        <w:tc>
          <w:tcPr>
            <w:tcW w:w="0" w:type="auto"/>
            <w:shd w:val="clear" w:color="auto" w:fill="CCEEFF"/>
            <w:tcMar>
              <w:top w:w="40" w:type="dxa"/>
              <w:left w:w="0" w:type="dxa"/>
              <w:bottom w:w="40" w:type="dxa"/>
              <w:right w:w="20" w:type="dxa"/>
            </w:tcMar>
            <w:vAlign w:val="bottom"/>
          </w:tcPr>
          <w:p w14:paraId="71D3FCF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CF4" w14:textId="77777777" w:rsidR="006A3667" w:rsidRDefault="006A3667">
            <w:pPr>
              <w:rPr>
                <w:rFonts w:ascii="宋体"/>
              </w:rPr>
            </w:pPr>
          </w:p>
        </w:tc>
        <w:tc>
          <w:tcPr>
            <w:tcW w:w="0" w:type="auto"/>
            <w:gridSpan w:val="3"/>
            <w:shd w:val="clear" w:color="auto" w:fill="auto"/>
            <w:vAlign w:val="bottom"/>
          </w:tcPr>
          <w:p w14:paraId="71D3FCF5" w14:textId="77777777" w:rsidR="006A3667" w:rsidRDefault="006A3667">
            <w:pPr>
              <w:rPr>
                <w:rFonts w:ascii="宋体"/>
                <w:vanish/>
              </w:rPr>
            </w:pPr>
          </w:p>
        </w:tc>
        <w:tc>
          <w:tcPr>
            <w:tcW w:w="0" w:type="auto"/>
            <w:gridSpan w:val="3"/>
            <w:shd w:val="clear" w:color="auto" w:fill="auto"/>
            <w:vAlign w:val="bottom"/>
          </w:tcPr>
          <w:p w14:paraId="71D3FCF6"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CF7"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1D3FCF8" w14:textId="77777777" w:rsidR="006A3667" w:rsidRDefault="006A3667">
            <w:pPr>
              <w:jc w:val="right"/>
              <w:rPr>
                <w:rFonts w:ascii="宋体"/>
              </w:rPr>
            </w:pPr>
          </w:p>
        </w:tc>
        <w:tc>
          <w:tcPr>
            <w:tcW w:w="0" w:type="auto"/>
            <w:gridSpan w:val="3"/>
            <w:shd w:val="clear" w:color="auto" w:fill="auto"/>
            <w:vAlign w:val="bottom"/>
          </w:tcPr>
          <w:p w14:paraId="71D3FCF9" w14:textId="77777777" w:rsidR="006A3667" w:rsidRDefault="006A3667">
            <w:pPr>
              <w:rPr>
                <w:rFonts w:ascii="宋体"/>
                <w:vanish/>
              </w:rPr>
            </w:pPr>
          </w:p>
        </w:tc>
        <w:tc>
          <w:tcPr>
            <w:tcW w:w="0" w:type="auto"/>
            <w:gridSpan w:val="3"/>
            <w:shd w:val="clear" w:color="auto" w:fill="auto"/>
            <w:vAlign w:val="bottom"/>
          </w:tcPr>
          <w:p w14:paraId="71D3FCFA" w14:textId="77777777" w:rsidR="006A3667" w:rsidRDefault="006A3667">
            <w:pPr>
              <w:rPr>
                <w:rFonts w:ascii="宋体"/>
                <w:vanish/>
              </w:rPr>
            </w:pPr>
          </w:p>
        </w:tc>
      </w:tr>
      <w:tr w:rsidR="006A3667" w14:paraId="71D3FD11" w14:textId="77777777">
        <w:tc>
          <w:tcPr>
            <w:tcW w:w="0" w:type="auto"/>
            <w:gridSpan w:val="3"/>
            <w:shd w:val="clear" w:color="auto" w:fill="FFFFFF"/>
            <w:tcMar>
              <w:top w:w="40" w:type="dxa"/>
              <w:left w:w="20" w:type="dxa"/>
              <w:bottom w:w="40" w:type="dxa"/>
              <w:right w:w="20" w:type="dxa"/>
            </w:tcMar>
            <w:vAlign w:val="bottom"/>
          </w:tcPr>
          <w:p w14:paraId="71D3FCFC" w14:textId="77777777" w:rsidR="006A3667" w:rsidRDefault="00045F32">
            <w:pPr>
              <w:textAlignment w:val="bottom"/>
            </w:pPr>
            <w:r>
              <w:rPr>
                <w:rFonts w:ascii="Arial" w:eastAsia="宋体" w:hAnsi="Arial" w:cs="Arial"/>
                <w:b/>
                <w:bCs/>
                <w:color w:val="000000"/>
                <w:sz w:val="15"/>
                <w:szCs w:val="15"/>
              </w:rPr>
              <w:t>Income before income tax expense</w:t>
            </w:r>
          </w:p>
        </w:tc>
        <w:tc>
          <w:tcPr>
            <w:tcW w:w="0" w:type="auto"/>
            <w:shd w:val="clear" w:color="auto" w:fill="auto"/>
            <w:vAlign w:val="bottom"/>
          </w:tcPr>
          <w:p w14:paraId="71D3FCFD" w14:textId="77777777" w:rsidR="006A3667" w:rsidRDefault="006A3667">
            <w:pPr>
              <w:rPr>
                <w:rFonts w:ascii="宋体"/>
                <w:vanish/>
              </w:rPr>
            </w:pPr>
          </w:p>
        </w:tc>
        <w:tc>
          <w:tcPr>
            <w:tcW w:w="0" w:type="auto"/>
            <w:shd w:val="clear" w:color="auto" w:fill="auto"/>
            <w:vAlign w:val="bottom"/>
          </w:tcPr>
          <w:p w14:paraId="71D3FCFE" w14:textId="77777777" w:rsidR="006A3667" w:rsidRDefault="006A3667">
            <w:pPr>
              <w:rPr>
                <w:rFonts w:ascii="宋体"/>
                <w:vanish/>
              </w:rPr>
            </w:pPr>
          </w:p>
        </w:tc>
        <w:tc>
          <w:tcPr>
            <w:tcW w:w="0" w:type="auto"/>
            <w:shd w:val="clear" w:color="auto" w:fill="auto"/>
            <w:vAlign w:val="bottom"/>
          </w:tcPr>
          <w:p w14:paraId="71D3FCFF" w14:textId="77777777" w:rsidR="006A3667" w:rsidRDefault="006A3667">
            <w:pPr>
              <w:rPr>
                <w:rFonts w:ascii="宋体"/>
                <w:vanish/>
              </w:rPr>
            </w:pPr>
          </w:p>
        </w:tc>
        <w:tc>
          <w:tcPr>
            <w:tcW w:w="0" w:type="auto"/>
            <w:shd w:val="clear" w:color="auto" w:fill="auto"/>
            <w:vAlign w:val="bottom"/>
          </w:tcPr>
          <w:p w14:paraId="71D3FD00" w14:textId="77777777" w:rsidR="006A3667" w:rsidRDefault="006A3667">
            <w:pPr>
              <w:rPr>
                <w:rFonts w:ascii="宋体"/>
                <w:vanish/>
              </w:rPr>
            </w:pPr>
          </w:p>
        </w:tc>
        <w:tc>
          <w:tcPr>
            <w:tcW w:w="0" w:type="auto"/>
            <w:shd w:val="clear" w:color="auto" w:fill="auto"/>
            <w:vAlign w:val="bottom"/>
          </w:tcPr>
          <w:p w14:paraId="71D3FD01" w14:textId="77777777" w:rsidR="006A3667" w:rsidRDefault="006A3667">
            <w:pPr>
              <w:rPr>
                <w:rFonts w:ascii="宋体"/>
                <w:vanish/>
              </w:rPr>
            </w:pPr>
          </w:p>
        </w:tc>
        <w:tc>
          <w:tcPr>
            <w:tcW w:w="0" w:type="auto"/>
            <w:shd w:val="clear" w:color="auto" w:fill="auto"/>
            <w:vAlign w:val="bottom"/>
          </w:tcPr>
          <w:p w14:paraId="71D3FD02"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D03"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D04" w14:textId="77777777" w:rsidR="006A3667" w:rsidRDefault="00045F32">
            <w:pPr>
              <w:jc w:val="right"/>
              <w:textAlignment w:val="bottom"/>
            </w:pPr>
            <w:r>
              <w:rPr>
                <w:rFonts w:ascii="Arial" w:eastAsia="宋体" w:hAnsi="Arial" w:cs="Arial"/>
                <w:b/>
                <w:bCs/>
                <w:color w:val="000000"/>
                <w:sz w:val="15"/>
                <w:szCs w:val="15"/>
              </w:rPr>
              <w:t>148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D0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D06"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D07"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D08" w14:textId="77777777" w:rsidR="006A3667" w:rsidRDefault="00045F32">
            <w:pPr>
              <w:jc w:val="right"/>
              <w:textAlignment w:val="bottom"/>
            </w:pPr>
            <w:r>
              <w:rPr>
                <w:rFonts w:ascii="Arial" w:eastAsia="宋体" w:hAnsi="Arial" w:cs="Arial"/>
                <w:color w:val="000000"/>
                <w:sz w:val="15"/>
                <w:szCs w:val="15"/>
              </w:rPr>
              <w:t>193 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D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D0A" w14:textId="77777777" w:rsidR="006A3667" w:rsidRDefault="006A3667">
            <w:pPr>
              <w:rPr>
                <w:rFonts w:ascii="宋体"/>
              </w:rPr>
            </w:pPr>
          </w:p>
        </w:tc>
        <w:tc>
          <w:tcPr>
            <w:tcW w:w="0" w:type="auto"/>
            <w:gridSpan w:val="3"/>
            <w:shd w:val="clear" w:color="auto" w:fill="auto"/>
            <w:vAlign w:val="bottom"/>
          </w:tcPr>
          <w:p w14:paraId="71D3FD0B" w14:textId="77777777" w:rsidR="006A3667" w:rsidRDefault="006A3667">
            <w:pPr>
              <w:rPr>
                <w:rFonts w:ascii="宋体"/>
                <w:vanish/>
              </w:rPr>
            </w:pPr>
          </w:p>
        </w:tc>
        <w:tc>
          <w:tcPr>
            <w:tcW w:w="0" w:type="auto"/>
            <w:gridSpan w:val="3"/>
            <w:shd w:val="clear" w:color="auto" w:fill="auto"/>
            <w:vAlign w:val="bottom"/>
          </w:tcPr>
          <w:p w14:paraId="71D3FD0C"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D0D" w14:textId="77777777" w:rsidR="006A3667" w:rsidRDefault="00045F32">
            <w:pPr>
              <w:jc w:val="right"/>
              <w:textAlignment w:val="bottom"/>
            </w:pPr>
            <w:r>
              <w:rPr>
                <w:rFonts w:ascii="Arial" w:eastAsia="宋体" w:hAnsi="Arial" w:cs="Arial"/>
                <w:color w:val="000000"/>
                <w:sz w:val="15"/>
                <w:szCs w:val="15"/>
              </w:rPr>
              <w:t>(23)</w:t>
            </w:r>
          </w:p>
        </w:tc>
        <w:tc>
          <w:tcPr>
            <w:tcW w:w="0" w:type="auto"/>
            <w:shd w:val="clear" w:color="auto" w:fill="FFFFFF"/>
            <w:tcMar>
              <w:top w:w="40" w:type="dxa"/>
              <w:left w:w="0" w:type="dxa"/>
              <w:bottom w:w="40" w:type="dxa"/>
              <w:right w:w="20" w:type="dxa"/>
            </w:tcMar>
            <w:vAlign w:val="bottom"/>
          </w:tcPr>
          <w:p w14:paraId="71D3FD0E" w14:textId="77777777" w:rsidR="006A3667" w:rsidRDefault="006A3667">
            <w:pPr>
              <w:jc w:val="right"/>
              <w:rPr>
                <w:rFonts w:ascii="宋体"/>
              </w:rPr>
            </w:pPr>
          </w:p>
        </w:tc>
        <w:tc>
          <w:tcPr>
            <w:tcW w:w="0" w:type="auto"/>
            <w:gridSpan w:val="3"/>
            <w:shd w:val="clear" w:color="auto" w:fill="auto"/>
            <w:vAlign w:val="bottom"/>
          </w:tcPr>
          <w:p w14:paraId="71D3FD0F" w14:textId="77777777" w:rsidR="006A3667" w:rsidRDefault="006A3667">
            <w:pPr>
              <w:rPr>
                <w:rFonts w:ascii="宋体"/>
                <w:vanish/>
              </w:rPr>
            </w:pPr>
          </w:p>
        </w:tc>
        <w:tc>
          <w:tcPr>
            <w:tcW w:w="0" w:type="auto"/>
            <w:gridSpan w:val="3"/>
            <w:shd w:val="clear" w:color="auto" w:fill="auto"/>
            <w:vAlign w:val="bottom"/>
          </w:tcPr>
          <w:p w14:paraId="71D3FD10" w14:textId="77777777" w:rsidR="006A3667" w:rsidRDefault="006A3667">
            <w:pPr>
              <w:rPr>
                <w:rFonts w:ascii="宋体"/>
                <w:vanish/>
              </w:rPr>
            </w:pPr>
          </w:p>
        </w:tc>
      </w:tr>
      <w:tr w:rsidR="006A3667" w14:paraId="71D3FD24" w14:textId="77777777">
        <w:tc>
          <w:tcPr>
            <w:tcW w:w="0" w:type="auto"/>
            <w:gridSpan w:val="3"/>
            <w:shd w:val="clear" w:color="auto" w:fill="CCEEFF"/>
            <w:tcMar>
              <w:top w:w="40" w:type="dxa"/>
              <w:left w:w="20" w:type="dxa"/>
              <w:bottom w:w="40" w:type="dxa"/>
              <w:right w:w="20" w:type="dxa"/>
            </w:tcMar>
            <w:vAlign w:val="bottom"/>
          </w:tcPr>
          <w:p w14:paraId="71D3FD12" w14:textId="77777777" w:rsidR="006A3667" w:rsidRDefault="00045F32">
            <w:pPr>
              <w:textAlignment w:val="bottom"/>
            </w:pPr>
            <w:r>
              <w:rPr>
                <w:rFonts w:ascii="Arial" w:eastAsia="宋体" w:hAnsi="Arial" w:cs="Arial"/>
                <w:color w:val="000000"/>
                <w:sz w:val="15"/>
                <w:szCs w:val="15"/>
              </w:rPr>
              <w:t>Pre-tax margin</w:t>
            </w:r>
          </w:p>
        </w:tc>
        <w:tc>
          <w:tcPr>
            <w:tcW w:w="0" w:type="auto"/>
            <w:shd w:val="clear" w:color="auto" w:fill="auto"/>
            <w:vAlign w:val="bottom"/>
          </w:tcPr>
          <w:p w14:paraId="71D3FD13" w14:textId="77777777" w:rsidR="006A3667" w:rsidRDefault="006A3667">
            <w:pPr>
              <w:rPr>
                <w:rFonts w:ascii="宋体"/>
                <w:vanish/>
              </w:rPr>
            </w:pPr>
          </w:p>
        </w:tc>
        <w:tc>
          <w:tcPr>
            <w:tcW w:w="0" w:type="auto"/>
            <w:shd w:val="clear" w:color="auto" w:fill="auto"/>
            <w:vAlign w:val="bottom"/>
          </w:tcPr>
          <w:p w14:paraId="71D3FD14" w14:textId="77777777" w:rsidR="006A3667" w:rsidRDefault="006A3667">
            <w:pPr>
              <w:rPr>
                <w:rFonts w:ascii="宋体"/>
                <w:vanish/>
              </w:rPr>
            </w:pPr>
          </w:p>
        </w:tc>
        <w:tc>
          <w:tcPr>
            <w:tcW w:w="0" w:type="auto"/>
            <w:shd w:val="clear" w:color="auto" w:fill="auto"/>
            <w:vAlign w:val="bottom"/>
          </w:tcPr>
          <w:p w14:paraId="71D3FD15" w14:textId="77777777" w:rsidR="006A3667" w:rsidRDefault="006A3667">
            <w:pPr>
              <w:rPr>
                <w:rFonts w:ascii="宋体"/>
                <w:vanish/>
              </w:rPr>
            </w:pPr>
          </w:p>
        </w:tc>
        <w:tc>
          <w:tcPr>
            <w:tcW w:w="0" w:type="auto"/>
            <w:shd w:val="clear" w:color="auto" w:fill="auto"/>
            <w:vAlign w:val="bottom"/>
          </w:tcPr>
          <w:p w14:paraId="71D3FD16" w14:textId="77777777" w:rsidR="006A3667" w:rsidRDefault="006A3667">
            <w:pPr>
              <w:rPr>
                <w:rFonts w:ascii="宋体"/>
                <w:vanish/>
              </w:rPr>
            </w:pPr>
          </w:p>
        </w:tc>
        <w:tc>
          <w:tcPr>
            <w:tcW w:w="0" w:type="auto"/>
            <w:shd w:val="clear" w:color="auto" w:fill="auto"/>
            <w:vAlign w:val="bottom"/>
          </w:tcPr>
          <w:p w14:paraId="71D3FD17" w14:textId="77777777" w:rsidR="006A3667" w:rsidRDefault="006A3667">
            <w:pPr>
              <w:rPr>
                <w:rFonts w:ascii="宋体"/>
                <w:vanish/>
              </w:rPr>
            </w:pPr>
          </w:p>
        </w:tc>
        <w:tc>
          <w:tcPr>
            <w:tcW w:w="0" w:type="auto"/>
            <w:shd w:val="clear" w:color="auto" w:fill="auto"/>
            <w:vAlign w:val="bottom"/>
          </w:tcPr>
          <w:p w14:paraId="71D3FD18" w14:textId="77777777" w:rsidR="006A3667" w:rsidRDefault="006A3667">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D19" w14:textId="77777777" w:rsidR="006A3667" w:rsidRDefault="00045F32">
            <w:pPr>
              <w:jc w:val="right"/>
              <w:textAlignment w:val="bottom"/>
            </w:pPr>
            <w:r>
              <w:rPr>
                <w:rFonts w:ascii="Arial" w:eastAsia="宋体" w:hAnsi="Arial" w:cs="Arial"/>
                <w:b/>
                <w:bCs/>
                <w:color w:val="000000"/>
                <w:sz w:val="15"/>
                <w:szCs w:val="15"/>
              </w:rPr>
              <w:t>30.6</w:t>
            </w:r>
            <w:r>
              <w:rPr>
                <w:rFonts w:ascii="Arial" w:eastAsia="宋体" w:hAnsi="Arial" w:cs="Arial"/>
                <w:color w:val="000000"/>
                <w:sz w:val="15"/>
                <w:szCs w:val="15"/>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D1A" w14:textId="77777777" w:rsidR="006A3667" w:rsidRDefault="00045F32">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3FD1B"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D1C" w14:textId="77777777" w:rsidR="006A3667" w:rsidRDefault="00045F32">
            <w:pPr>
              <w:jc w:val="right"/>
              <w:textAlignment w:val="bottom"/>
            </w:pPr>
            <w:r>
              <w:rPr>
                <w:rFonts w:ascii="Arial" w:eastAsia="宋体" w:hAnsi="Arial" w:cs="Arial"/>
                <w:color w:val="000000"/>
                <w:sz w:val="15"/>
                <w:szCs w:val="15"/>
              </w:rPr>
              <w:t>36.3 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D1D"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3FD1E" w14:textId="77777777" w:rsidR="006A3667" w:rsidRDefault="006A3667">
            <w:pPr>
              <w:rPr>
                <w:rFonts w:ascii="宋体"/>
              </w:rPr>
            </w:pPr>
          </w:p>
        </w:tc>
        <w:tc>
          <w:tcPr>
            <w:tcW w:w="0" w:type="auto"/>
            <w:gridSpan w:val="3"/>
            <w:shd w:val="clear" w:color="auto" w:fill="auto"/>
            <w:vAlign w:val="bottom"/>
          </w:tcPr>
          <w:p w14:paraId="71D3FD1F" w14:textId="77777777" w:rsidR="006A3667" w:rsidRDefault="006A3667">
            <w:pPr>
              <w:rPr>
                <w:rFonts w:ascii="宋体"/>
                <w:vanish/>
              </w:rPr>
            </w:pPr>
          </w:p>
        </w:tc>
        <w:tc>
          <w:tcPr>
            <w:tcW w:w="0" w:type="auto"/>
            <w:gridSpan w:val="3"/>
            <w:shd w:val="clear" w:color="auto" w:fill="auto"/>
            <w:vAlign w:val="bottom"/>
          </w:tcPr>
          <w:p w14:paraId="71D3FD20" w14:textId="77777777" w:rsidR="006A3667" w:rsidRDefault="006A3667">
            <w:pPr>
              <w:rPr>
                <w:rFonts w:ascii="宋体"/>
                <w:vanish/>
              </w:rPr>
            </w:pPr>
          </w:p>
        </w:tc>
        <w:tc>
          <w:tcPr>
            <w:tcW w:w="0" w:type="auto"/>
            <w:gridSpan w:val="3"/>
            <w:shd w:val="clear" w:color="auto" w:fill="CCEEFF"/>
            <w:tcMar>
              <w:top w:w="40" w:type="dxa"/>
              <w:left w:w="20" w:type="dxa"/>
              <w:bottom w:w="40" w:type="dxa"/>
              <w:right w:w="20" w:type="dxa"/>
            </w:tcMar>
            <w:vAlign w:val="bottom"/>
          </w:tcPr>
          <w:p w14:paraId="71D3FD21" w14:textId="77777777" w:rsidR="006A3667" w:rsidRDefault="00045F32">
            <w:pPr>
              <w:jc w:val="right"/>
              <w:textAlignment w:val="bottom"/>
            </w:pPr>
            <w:r>
              <w:rPr>
                <w:rFonts w:ascii="Arial" w:eastAsia="宋体" w:hAnsi="Arial" w:cs="Arial"/>
                <w:color w:val="000000"/>
                <w:sz w:val="15"/>
                <w:szCs w:val="15"/>
              </w:rPr>
              <w:t>(570) bps</w:t>
            </w:r>
          </w:p>
        </w:tc>
        <w:tc>
          <w:tcPr>
            <w:tcW w:w="0" w:type="auto"/>
            <w:gridSpan w:val="3"/>
            <w:shd w:val="clear" w:color="auto" w:fill="auto"/>
            <w:vAlign w:val="bottom"/>
          </w:tcPr>
          <w:p w14:paraId="71D3FD22" w14:textId="77777777" w:rsidR="006A3667" w:rsidRDefault="006A3667">
            <w:pPr>
              <w:rPr>
                <w:rFonts w:ascii="宋体"/>
                <w:vanish/>
              </w:rPr>
            </w:pPr>
          </w:p>
        </w:tc>
        <w:tc>
          <w:tcPr>
            <w:tcW w:w="0" w:type="auto"/>
            <w:gridSpan w:val="3"/>
            <w:shd w:val="clear" w:color="auto" w:fill="auto"/>
            <w:vAlign w:val="bottom"/>
          </w:tcPr>
          <w:p w14:paraId="71D3FD23" w14:textId="77777777" w:rsidR="006A3667" w:rsidRDefault="006A3667">
            <w:pPr>
              <w:rPr>
                <w:rFonts w:ascii="宋体"/>
                <w:vanish/>
              </w:rPr>
            </w:pPr>
          </w:p>
        </w:tc>
      </w:tr>
      <w:tr w:rsidR="006A3667" w14:paraId="71D3FD35" w14:textId="77777777">
        <w:trPr>
          <w:hidden/>
        </w:trPr>
        <w:tc>
          <w:tcPr>
            <w:tcW w:w="0" w:type="auto"/>
            <w:gridSpan w:val="3"/>
            <w:shd w:val="clear" w:color="auto" w:fill="auto"/>
            <w:vAlign w:val="bottom"/>
          </w:tcPr>
          <w:p w14:paraId="71D3FD25" w14:textId="77777777" w:rsidR="006A3667" w:rsidRDefault="006A3667">
            <w:pPr>
              <w:rPr>
                <w:rFonts w:ascii="宋体"/>
                <w:vanish/>
              </w:rPr>
            </w:pPr>
          </w:p>
        </w:tc>
        <w:tc>
          <w:tcPr>
            <w:tcW w:w="0" w:type="auto"/>
            <w:shd w:val="clear" w:color="auto" w:fill="auto"/>
            <w:vAlign w:val="bottom"/>
          </w:tcPr>
          <w:p w14:paraId="71D3FD26" w14:textId="77777777" w:rsidR="006A3667" w:rsidRDefault="006A3667">
            <w:pPr>
              <w:rPr>
                <w:rFonts w:ascii="宋体"/>
                <w:vanish/>
              </w:rPr>
            </w:pPr>
          </w:p>
        </w:tc>
        <w:tc>
          <w:tcPr>
            <w:tcW w:w="0" w:type="auto"/>
            <w:shd w:val="clear" w:color="auto" w:fill="auto"/>
            <w:vAlign w:val="bottom"/>
          </w:tcPr>
          <w:p w14:paraId="71D3FD27" w14:textId="77777777" w:rsidR="006A3667" w:rsidRDefault="006A3667">
            <w:pPr>
              <w:rPr>
                <w:rFonts w:ascii="宋体"/>
                <w:vanish/>
              </w:rPr>
            </w:pPr>
          </w:p>
        </w:tc>
        <w:tc>
          <w:tcPr>
            <w:tcW w:w="0" w:type="auto"/>
            <w:shd w:val="clear" w:color="auto" w:fill="auto"/>
            <w:vAlign w:val="bottom"/>
          </w:tcPr>
          <w:p w14:paraId="71D3FD28" w14:textId="77777777" w:rsidR="006A3667" w:rsidRDefault="006A3667">
            <w:pPr>
              <w:rPr>
                <w:rFonts w:ascii="宋体"/>
                <w:vanish/>
              </w:rPr>
            </w:pPr>
          </w:p>
        </w:tc>
        <w:tc>
          <w:tcPr>
            <w:tcW w:w="0" w:type="auto"/>
            <w:shd w:val="clear" w:color="auto" w:fill="auto"/>
            <w:vAlign w:val="bottom"/>
          </w:tcPr>
          <w:p w14:paraId="71D3FD29" w14:textId="77777777" w:rsidR="006A3667" w:rsidRDefault="006A3667">
            <w:pPr>
              <w:rPr>
                <w:rFonts w:ascii="宋体"/>
                <w:vanish/>
              </w:rPr>
            </w:pPr>
          </w:p>
        </w:tc>
        <w:tc>
          <w:tcPr>
            <w:tcW w:w="0" w:type="auto"/>
            <w:shd w:val="clear" w:color="auto" w:fill="auto"/>
            <w:vAlign w:val="bottom"/>
          </w:tcPr>
          <w:p w14:paraId="71D3FD2A" w14:textId="77777777" w:rsidR="006A3667" w:rsidRDefault="006A3667">
            <w:pPr>
              <w:rPr>
                <w:rFonts w:ascii="宋体"/>
                <w:vanish/>
              </w:rPr>
            </w:pPr>
          </w:p>
        </w:tc>
        <w:tc>
          <w:tcPr>
            <w:tcW w:w="0" w:type="auto"/>
            <w:shd w:val="clear" w:color="auto" w:fill="auto"/>
            <w:vAlign w:val="bottom"/>
          </w:tcPr>
          <w:p w14:paraId="71D3FD2B" w14:textId="77777777" w:rsidR="006A3667" w:rsidRDefault="006A3667">
            <w:pPr>
              <w:rPr>
                <w:rFonts w:ascii="宋体"/>
                <w:vanish/>
              </w:rPr>
            </w:pPr>
          </w:p>
        </w:tc>
        <w:tc>
          <w:tcPr>
            <w:tcW w:w="0" w:type="auto"/>
            <w:gridSpan w:val="3"/>
            <w:shd w:val="clear" w:color="auto" w:fill="auto"/>
            <w:vAlign w:val="bottom"/>
          </w:tcPr>
          <w:p w14:paraId="71D3FD2C" w14:textId="77777777" w:rsidR="006A3667" w:rsidRDefault="006A3667">
            <w:pPr>
              <w:rPr>
                <w:rFonts w:ascii="宋体"/>
                <w:vanish/>
              </w:rPr>
            </w:pPr>
          </w:p>
        </w:tc>
        <w:tc>
          <w:tcPr>
            <w:tcW w:w="0" w:type="auto"/>
            <w:gridSpan w:val="3"/>
            <w:shd w:val="clear" w:color="auto" w:fill="auto"/>
            <w:vAlign w:val="bottom"/>
          </w:tcPr>
          <w:p w14:paraId="71D3FD2D" w14:textId="77777777" w:rsidR="006A3667" w:rsidRDefault="006A3667">
            <w:pPr>
              <w:rPr>
                <w:rFonts w:ascii="宋体"/>
                <w:vanish/>
              </w:rPr>
            </w:pPr>
          </w:p>
        </w:tc>
        <w:tc>
          <w:tcPr>
            <w:tcW w:w="0" w:type="auto"/>
            <w:gridSpan w:val="3"/>
            <w:shd w:val="clear" w:color="auto" w:fill="auto"/>
            <w:vAlign w:val="bottom"/>
          </w:tcPr>
          <w:p w14:paraId="71D3FD2E" w14:textId="77777777" w:rsidR="006A3667" w:rsidRDefault="006A3667">
            <w:pPr>
              <w:rPr>
                <w:rFonts w:ascii="宋体"/>
                <w:vanish/>
              </w:rPr>
            </w:pPr>
          </w:p>
        </w:tc>
        <w:tc>
          <w:tcPr>
            <w:tcW w:w="0" w:type="auto"/>
            <w:gridSpan w:val="3"/>
            <w:shd w:val="clear" w:color="auto" w:fill="auto"/>
            <w:vAlign w:val="bottom"/>
          </w:tcPr>
          <w:p w14:paraId="71D3FD2F" w14:textId="77777777" w:rsidR="006A3667" w:rsidRDefault="006A3667">
            <w:pPr>
              <w:rPr>
                <w:rFonts w:ascii="宋体"/>
                <w:vanish/>
              </w:rPr>
            </w:pPr>
          </w:p>
        </w:tc>
        <w:tc>
          <w:tcPr>
            <w:tcW w:w="0" w:type="auto"/>
            <w:gridSpan w:val="3"/>
            <w:shd w:val="clear" w:color="auto" w:fill="auto"/>
            <w:vAlign w:val="bottom"/>
          </w:tcPr>
          <w:p w14:paraId="71D3FD30" w14:textId="77777777" w:rsidR="006A3667" w:rsidRDefault="006A3667">
            <w:pPr>
              <w:rPr>
                <w:rFonts w:ascii="宋体"/>
                <w:vanish/>
              </w:rPr>
            </w:pPr>
          </w:p>
        </w:tc>
        <w:tc>
          <w:tcPr>
            <w:tcW w:w="0" w:type="auto"/>
            <w:gridSpan w:val="3"/>
            <w:shd w:val="clear" w:color="auto" w:fill="auto"/>
            <w:vAlign w:val="bottom"/>
          </w:tcPr>
          <w:p w14:paraId="71D3FD31" w14:textId="77777777" w:rsidR="006A3667" w:rsidRDefault="006A3667">
            <w:pPr>
              <w:rPr>
                <w:rFonts w:ascii="宋体"/>
                <w:vanish/>
              </w:rPr>
            </w:pPr>
          </w:p>
        </w:tc>
        <w:tc>
          <w:tcPr>
            <w:tcW w:w="0" w:type="auto"/>
            <w:gridSpan w:val="3"/>
            <w:shd w:val="clear" w:color="auto" w:fill="auto"/>
            <w:vAlign w:val="bottom"/>
          </w:tcPr>
          <w:p w14:paraId="71D3FD32" w14:textId="77777777" w:rsidR="006A3667" w:rsidRDefault="006A3667">
            <w:pPr>
              <w:rPr>
                <w:rFonts w:ascii="宋体"/>
                <w:vanish/>
              </w:rPr>
            </w:pPr>
          </w:p>
        </w:tc>
        <w:tc>
          <w:tcPr>
            <w:tcW w:w="0" w:type="auto"/>
            <w:gridSpan w:val="3"/>
            <w:shd w:val="clear" w:color="auto" w:fill="auto"/>
            <w:vAlign w:val="bottom"/>
          </w:tcPr>
          <w:p w14:paraId="71D3FD33" w14:textId="77777777" w:rsidR="006A3667" w:rsidRDefault="006A3667">
            <w:pPr>
              <w:rPr>
                <w:rFonts w:ascii="宋体"/>
                <w:vanish/>
              </w:rPr>
            </w:pPr>
          </w:p>
        </w:tc>
        <w:tc>
          <w:tcPr>
            <w:tcW w:w="0" w:type="auto"/>
            <w:gridSpan w:val="3"/>
            <w:shd w:val="clear" w:color="auto" w:fill="auto"/>
            <w:vAlign w:val="bottom"/>
          </w:tcPr>
          <w:p w14:paraId="71D3FD34" w14:textId="77777777" w:rsidR="006A3667" w:rsidRDefault="006A3667">
            <w:pPr>
              <w:rPr>
                <w:rFonts w:ascii="宋体"/>
                <w:vanish/>
              </w:rPr>
            </w:pPr>
          </w:p>
        </w:tc>
      </w:tr>
      <w:tr w:rsidR="006A3667" w14:paraId="71D3FD48" w14:textId="77777777">
        <w:trPr>
          <w:trHeight w:val="180"/>
        </w:trPr>
        <w:tc>
          <w:tcPr>
            <w:tcW w:w="0" w:type="auto"/>
            <w:gridSpan w:val="3"/>
            <w:shd w:val="clear" w:color="auto" w:fill="auto"/>
            <w:tcMar>
              <w:top w:w="0" w:type="dxa"/>
              <w:left w:w="20" w:type="dxa"/>
              <w:bottom w:w="0" w:type="dxa"/>
              <w:right w:w="20" w:type="dxa"/>
            </w:tcMar>
            <w:vAlign w:val="bottom"/>
          </w:tcPr>
          <w:p w14:paraId="71D3FD36" w14:textId="77777777" w:rsidR="006A3667" w:rsidRDefault="006A3667">
            <w:pPr>
              <w:rPr>
                <w:rFonts w:ascii="宋体"/>
              </w:rPr>
            </w:pPr>
          </w:p>
        </w:tc>
        <w:tc>
          <w:tcPr>
            <w:tcW w:w="0" w:type="auto"/>
            <w:shd w:val="clear" w:color="auto" w:fill="auto"/>
            <w:vAlign w:val="bottom"/>
          </w:tcPr>
          <w:p w14:paraId="71D3FD37" w14:textId="77777777" w:rsidR="006A3667" w:rsidRDefault="006A3667">
            <w:pPr>
              <w:rPr>
                <w:rFonts w:ascii="宋体"/>
                <w:vanish/>
              </w:rPr>
            </w:pPr>
          </w:p>
        </w:tc>
        <w:tc>
          <w:tcPr>
            <w:tcW w:w="0" w:type="auto"/>
            <w:shd w:val="clear" w:color="auto" w:fill="auto"/>
            <w:vAlign w:val="bottom"/>
          </w:tcPr>
          <w:p w14:paraId="71D3FD38" w14:textId="77777777" w:rsidR="006A3667" w:rsidRDefault="006A3667">
            <w:pPr>
              <w:rPr>
                <w:rFonts w:ascii="宋体"/>
                <w:vanish/>
              </w:rPr>
            </w:pPr>
          </w:p>
        </w:tc>
        <w:tc>
          <w:tcPr>
            <w:tcW w:w="0" w:type="auto"/>
            <w:shd w:val="clear" w:color="auto" w:fill="auto"/>
            <w:vAlign w:val="bottom"/>
          </w:tcPr>
          <w:p w14:paraId="71D3FD39" w14:textId="77777777" w:rsidR="006A3667" w:rsidRDefault="006A3667">
            <w:pPr>
              <w:rPr>
                <w:rFonts w:ascii="宋体"/>
                <w:vanish/>
              </w:rPr>
            </w:pPr>
          </w:p>
        </w:tc>
        <w:tc>
          <w:tcPr>
            <w:tcW w:w="0" w:type="auto"/>
            <w:shd w:val="clear" w:color="auto" w:fill="auto"/>
            <w:vAlign w:val="bottom"/>
          </w:tcPr>
          <w:p w14:paraId="71D3FD3A" w14:textId="77777777" w:rsidR="006A3667" w:rsidRDefault="006A3667">
            <w:pPr>
              <w:rPr>
                <w:rFonts w:ascii="宋体"/>
                <w:vanish/>
              </w:rPr>
            </w:pPr>
          </w:p>
        </w:tc>
        <w:tc>
          <w:tcPr>
            <w:tcW w:w="0" w:type="auto"/>
            <w:gridSpan w:val="5"/>
            <w:shd w:val="clear" w:color="auto" w:fill="auto"/>
            <w:tcMar>
              <w:top w:w="0" w:type="dxa"/>
              <w:left w:w="20" w:type="dxa"/>
              <w:bottom w:w="0" w:type="dxa"/>
              <w:right w:w="20" w:type="dxa"/>
            </w:tcMar>
            <w:vAlign w:val="bottom"/>
          </w:tcPr>
          <w:p w14:paraId="71D3FD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D3C" w14:textId="77777777" w:rsidR="006A3667" w:rsidRDefault="006A3667">
            <w:pPr>
              <w:rPr>
                <w:rFonts w:ascii="宋体"/>
              </w:rPr>
            </w:pPr>
          </w:p>
        </w:tc>
        <w:tc>
          <w:tcPr>
            <w:tcW w:w="0" w:type="auto"/>
            <w:gridSpan w:val="3"/>
            <w:shd w:val="clear" w:color="auto" w:fill="auto"/>
            <w:vAlign w:val="bottom"/>
          </w:tcPr>
          <w:p w14:paraId="71D3FD3D" w14:textId="77777777" w:rsidR="006A3667" w:rsidRDefault="006A3667">
            <w:pPr>
              <w:rPr>
                <w:rFonts w:ascii="宋体"/>
                <w:vanish/>
              </w:rPr>
            </w:pPr>
          </w:p>
        </w:tc>
        <w:tc>
          <w:tcPr>
            <w:tcW w:w="0" w:type="auto"/>
            <w:gridSpan w:val="3"/>
            <w:shd w:val="clear" w:color="auto" w:fill="auto"/>
            <w:vAlign w:val="bottom"/>
          </w:tcPr>
          <w:p w14:paraId="71D3FD3E"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D3F" w14:textId="77777777" w:rsidR="006A3667" w:rsidRDefault="006A3667">
            <w:pPr>
              <w:rPr>
                <w:rFonts w:ascii="宋体"/>
              </w:rPr>
            </w:pPr>
          </w:p>
        </w:tc>
        <w:tc>
          <w:tcPr>
            <w:tcW w:w="0" w:type="auto"/>
            <w:gridSpan w:val="3"/>
            <w:shd w:val="clear" w:color="auto" w:fill="auto"/>
            <w:vAlign w:val="bottom"/>
          </w:tcPr>
          <w:p w14:paraId="71D3FD40" w14:textId="77777777" w:rsidR="006A3667" w:rsidRDefault="006A3667">
            <w:pPr>
              <w:rPr>
                <w:rFonts w:ascii="宋体"/>
                <w:vanish/>
              </w:rPr>
            </w:pPr>
          </w:p>
        </w:tc>
        <w:tc>
          <w:tcPr>
            <w:tcW w:w="0" w:type="auto"/>
            <w:gridSpan w:val="3"/>
            <w:shd w:val="clear" w:color="auto" w:fill="auto"/>
            <w:vAlign w:val="bottom"/>
          </w:tcPr>
          <w:p w14:paraId="71D3FD41" w14:textId="77777777" w:rsidR="006A3667" w:rsidRDefault="006A3667">
            <w:pPr>
              <w:rPr>
                <w:rFonts w:ascii="宋体"/>
                <w:vanish/>
              </w:rPr>
            </w:pPr>
          </w:p>
        </w:tc>
        <w:tc>
          <w:tcPr>
            <w:tcW w:w="0" w:type="auto"/>
            <w:shd w:val="clear" w:color="auto" w:fill="auto"/>
            <w:vAlign w:val="bottom"/>
          </w:tcPr>
          <w:p w14:paraId="71D3FD42" w14:textId="77777777" w:rsidR="006A3667" w:rsidRDefault="006A3667">
            <w:pPr>
              <w:rPr>
                <w:rFonts w:ascii="宋体"/>
              </w:rPr>
            </w:pPr>
          </w:p>
        </w:tc>
        <w:tc>
          <w:tcPr>
            <w:tcW w:w="0" w:type="auto"/>
            <w:shd w:val="clear" w:color="auto" w:fill="auto"/>
            <w:vAlign w:val="bottom"/>
          </w:tcPr>
          <w:p w14:paraId="71D3FD43" w14:textId="77777777" w:rsidR="006A3667" w:rsidRDefault="006A3667">
            <w:pPr>
              <w:rPr>
                <w:rFonts w:ascii="宋体"/>
              </w:rPr>
            </w:pPr>
          </w:p>
        </w:tc>
        <w:tc>
          <w:tcPr>
            <w:tcW w:w="0" w:type="auto"/>
            <w:shd w:val="clear" w:color="auto" w:fill="auto"/>
            <w:vAlign w:val="bottom"/>
          </w:tcPr>
          <w:p w14:paraId="71D3FD44" w14:textId="77777777" w:rsidR="006A3667" w:rsidRDefault="006A3667">
            <w:pPr>
              <w:rPr>
                <w:rFonts w:ascii="宋体"/>
              </w:rPr>
            </w:pPr>
          </w:p>
        </w:tc>
        <w:tc>
          <w:tcPr>
            <w:tcW w:w="0" w:type="auto"/>
            <w:shd w:val="clear" w:color="auto" w:fill="auto"/>
            <w:vAlign w:val="bottom"/>
          </w:tcPr>
          <w:p w14:paraId="71D3FD45" w14:textId="77777777" w:rsidR="006A3667" w:rsidRDefault="006A3667">
            <w:pPr>
              <w:rPr>
                <w:rFonts w:ascii="宋体"/>
              </w:rPr>
            </w:pPr>
          </w:p>
        </w:tc>
        <w:tc>
          <w:tcPr>
            <w:tcW w:w="0" w:type="auto"/>
            <w:shd w:val="clear" w:color="auto" w:fill="auto"/>
            <w:vAlign w:val="bottom"/>
          </w:tcPr>
          <w:p w14:paraId="71D3FD46" w14:textId="77777777" w:rsidR="006A3667" w:rsidRDefault="006A3667">
            <w:pPr>
              <w:rPr>
                <w:rFonts w:ascii="宋体"/>
              </w:rPr>
            </w:pPr>
          </w:p>
        </w:tc>
        <w:tc>
          <w:tcPr>
            <w:tcW w:w="0" w:type="auto"/>
            <w:shd w:val="clear" w:color="auto" w:fill="auto"/>
            <w:vAlign w:val="bottom"/>
          </w:tcPr>
          <w:p w14:paraId="71D3FD47" w14:textId="77777777" w:rsidR="006A3667" w:rsidRDefault="006A3667">
            <w:pPr>
              <w:rPr>
                <w:rFonts w:ascii="宋体"/>
              </w:rPr>
            </w:pPr>
          </w:p>
        </w:tc>
      </w:tr>
      <w:tr w:rsidR="006A3667" w14:paraId="71D3FD59" w14:textId="77777777">
        <w:trPr>
          <w:trHeight w:val="60"/>
        </w:trPr>
        <w:tc>
          <w:tcPr>
            <w:tcW w:w="0" w:type="auto"/>
            <w:gridSpan w:val="3"/>
            <w:shd w:val="clear" w:color="auto" w:fill="auto"/>
            <w:tcMar>
              <w:top w:w="0" w:type="dxa"/>
              <w:left w:w="20" w:type="dxa"/>
              <w:bottom w:w="0" w:type="dxa"/>
              <w:right w:w="20" w:type="dxa"/>
            </w:tcMar>
            <w:vAlign w:val="bottom"/>
          </w:tcPr>
          <w:p w14:paraId="71D3FD49" w14:textId="77777777" w:rsidR="006A3667" w:rsidRDefault="006A3667">
            <w:pPr>
              <w:rPr>
                <w:rFonts w:ascii="宋体"/>
              </w:rPr>
            </w:pPr>
          </w:p>
        </w:tc>
        <w:tc>
          <w:tcPr>
            <w:tcW w:w="0" w:type="auto"/>
            <w:shd w:val="clear" w:color="auto" w:fill="auto"/>
            <w:vAlign w:val="bottom"/>
          </w:tcPr>
          <w:p w14:paraId="71D3FD4A" w14:textId="77777777" w:rsidR="006A3667" w:rsidRDefault="006A3667">
            <w:pPr>
              <w:rPr>
                <w:rFonts w:ascii="宋体"/>
                <w:vanish/>
              </w:rPr>
            </w:pPr>
          </w:p>
        </w:tc>
        <w:tc>
          <w:tcPr>
            <w:tcW w:w="0" w:type="auto"/>
            <w:shd w:val="clear" w:color="auto" w:fill="auto"/>
            <w:vAlign w:val="bottom"/>
          </w:tcPr>
          <w:p w14:paraId="71D3FD4B" w14:textId="77777777" w:rsidR="006A3667" w:rsidRDefault="006A3667">
            <w:pPr>
              <w:rPr>
                <w:rFonts w:ascii="宋体"/>
                <w:vanish/>
              </w:rPr>
            </w:pPr>
          </w:p>
        </w:tc>
        <w:tc>
          <w:tcPr>
            <w:tcW w:w="0" w:type="auto"/>
            <w:shd w:val="clear" w:color="auto" w:fill="auto"/>
            <w:vAlign w:val="bottom"/>
          </w:tcPr>
          <w:p w14:paraId="71D3FD4C" w14:textId="77777777" w:rsidR="006A3667" w:rsidRDefault="006A3667">
            <w:pPr>
              <w:rPr>
                <w:rFonts w:ascii="宋体"/>
                <w:vanish/>
              </w:rPr>
            </w:pPr>
          </w:p>
        </w:tc>
        <w:tc>
          <w:tcPr>
            <w:tcW w:w="0" w:type="auto"/>
            <w:shd w:val="clear" w:color="auto" w:fill="auto"/>
            <w:vAlign w:val="bottom"/>
          </w:tcPr>
          <w:p w14:paraId="71D3FD4D" w14:textId="77777777" w:rsidR="006A3667" w:rsidRDefault="006A3667">
            <w:pPr>
              <w:rPr>
                <w:rFonts w:ascii="宋体"/>
                <w:vanish/>
              </w:rPr>
            </w:pPr>
          </w:p>
        </w:tc>
        <w:tc>
          <w:tcPr>
            <w:tcW w:w="0" w:type="auto"/>
            <w:shd w:val="clear" w:color="auto" w:fill="auto"/>
            <w:vAlign w:val="bottom"/>
          </w:tcPr>
          <w:p w14:paraId="71D3FD4E" w14:textId="77777777" w:rsidR="006A3667" w:rsidRDefault="006A3667">
            <w:pPr>
              <w:rPr>
                <w:rFonts w:ascii="宋体"/>
                <w:vanish/>
              </w:rPr>
            </w:pPr>
          </w:p>
        </w:tc>
        <w:tc>
          <w:tcPr>
            <w:tcW w:w="0" w:type="auto"/>
            <w:shd w:val="clear" w:color="auto" w:fill="auto"/>
            <w:vAlign w:val="bottom"/>
          </w:tcPr>
          <w:p w14:paraId="71D3FD4F"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D5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D5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D5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D53" w14:textId="77777777" w:rsidR="006A3667" w:rsidRDefault="006A3667">
            <w:pPr>
              <w:rPr>
                <w:rFonts w:ascii="宋体"/>
              </w:rPr>
            </w:pPr>
          </w:p>
        </w:tc>
        <w:tc>
          <w:tcPr>
            <w:tcW w:w="0" w:type="auto"/>
            <w:gridSpan w:val="3"/>
            <w:shd w:val="clear" w:color="auto" w:fill="auto"/>
            <w:vAlign w:val="bottom"/>
          </w:tcPr>
          <w:p w14:paraId="71D3FD54" w14:textId="77777777" w:rsidR="006A3667" w:rsidRDefault="006A3667">
            <w:pPr>
              <w:rPr>
                <w:rFonts w:ascii="宋体"/>
                <w:vanish/>
              </w:rPr>
            </w:pPr>
          </w:p>
        </w:tc>
        <w:tc>
          <w:tcPr>
            <w:tcW w:w="0" w:type="auto"/>
            <w:gridSpan w:val="3"/>
            <w:shd w:val="clear" w:color="auto" w:fill="auto"/>
            <w:vAlign w:val="bottom"/>
          </w:tcPr>
          <w:p w14:paraId="71D3FD55"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3FD56" w14:textId="77777777" w:rsidR="006A3667" w:rsidRDefault="006A3667">
            <w:pPr>
              <w:rPr>
                <w:rFonts w:ascii="宋体"/>
              </w:rPr>
            </w:pPr>
          </w:p>
        </w:tc>
        <w:tc>
          <w:tcPr>
            <w:tcW w:w="0" w:type="auto"/>
            <w:gridSpan w:val="3"/>
            <w:shd w:val="clear" w:color="auto" w:fill="auto"/>
            <w:vAlign w:val="bottom"/>
          </w:tcPr>
          <w:p w14:paraId="71D3FD57" w14:textId="77777777" w:rsidR="006A3667" w:rsidRDefault="006A3667">
            <w:pPr>
              <w:rPr>
                <w:rFonts w:ascii="宋体"/>
                <w:vanish/>
              </w:rPr>
            </w:pPr>
          </w:p>
        </w:tc>
        <w:tc>
          <w:tcPr>
            <w:tcW w:w="0" w:type="auto"/>
            <w:gridSpan w:val="3"/>
            <w:shd w:val="clear" w:color="auto" w:fill="auto"/>
            <w:vAlign w:val="bottom"/>
          </w:tcPr>
          <w:p w14:paraId="71D3FD58" w14:textId="77777777" w:rsidR="006A3667" w:rsidRDefault="006A3667">
            <w:pPr>
              <w:rPr>
                <w:rFonts w:ascii="宋体"/>
                <w:vanish/>
              </w:rPr>
            </w:pPr>
          </w:p>
        </w:tc>
      </w:tr>
      <w:tr w:rsidR="006A3667" w14:paraId="71D3FD6C" w14:textId="77777777">
        <w:trPr>
          <w:trHeight w:val="240"/>
        </w:trPr>
        <w:tc>
          <w:tcPr>
            <w:tcW w:w="0" w:type="auto"/>
            <w:gridSpan w:val="3"/>
            <w:vMerge w:val="restart"/>
            <w:shd w:val="clear" w:color="auto" w:fill="auto"/>
            <w:tcMar>
              <w:top w:w="40" w:type="dxa"/>
              <w:left w:w="20" w:type="dxa"/>
              <w:bottom w:w="40" w:type="dxa"/>
              <w:right w:w="20" w:type="dxa"/>
            </w:tcMar>
            <w:vAlign w:val="bottom"/>
          </w:tcPr>
          <w:p w14:paraId="71D3FD5A" w14:textId="77777777" w:rsidR="006A3667" w:rsidRDefault="00045F32">
            <w:pPr>
              <w:textAlignment w:val="bottom"/>
            </w:pPr>
            <w:r>
              <w:rPr>
                <w:rFonts w:ascii="Arial" w:eastAsia="宋体" w:hAnsi="Arial" w:cs="Arial"/>
                <w:b/>
                <w:bCs/>
                <w:color w:val="000000"/>
                <w:sz w:val="15"/>
                <w:szCs w:val="15"/>
              </w:rPr>
              <w:t>(Dollars in millions, except where otherwise noted)</w:t>
            </w:r>
          </w:p>
        </w:tc>
        <w:tc>
          <w:tcPr>
            <w:tcW w:w="0" w:type="auto"/>
            <w:shd w:val="clear" w:color="auto" w:fill="auto"/>
            <w:vAlign w:val="bottom"/>
          </w:tcPr>
          <w:p w14:paraId="71D3FD5B" w14:textId="77777777" w:rsidR="006A3667" w:rsidRDefault="006A3667">
            <w:pPr>
              <w:rPr>
                <w:rFonts w:ascii="宋体"/>
                <w:vanish/>
              </w:rPr>
            </w:pPr>
          </w:p>
        </w:tc>
        <w:tc>
          <w:tcPr>
            <w:tcW w:w="0" w:type="auto"/>
            <w:shd w:val="clear" w:color="auto" w:fill="auto"/>
            <w:vAlign w:val="bottom"/>
          </w:tcPr>
          <w:p w14:paraId="71D3FD5C" w14:textId="77777777" w:rsidR="006A3667" w:rsidRDefault="006A3667">
            <w:pPr>
              <w:rPr>
                <w:rFonts w:ascii="宋体"/>
                <w:vanish/>
              </w:rPr>
            </w:pPr>
          </w:p>
        </w:tc>
        <w:tc>
          <w:tcPr>
            <w:tcW w:w="0" w:type="auto"/>
            <w:shd w:val="clear" w:color="auto" w:fill="auto"/>
            <w:vAlign w:val="bottom"/>
          </w:tcPr>
          <w:p w14:paraId="71D3FD5D" w14:textId="77777777" w:rsidR="006A3667" w:rsidRDefault="006A3667">
            <w:pPr>
              <w:rPr>
                <w:rFonts w:ascii="宋体"/>
                <w:vanish/>
              </w:rPr>
            </w:pPr>
          </w:p>
        </w:tc>
        <w:tc>
          <w:tcPr>
            <w:tcW w:w="0" w:type="auto"/>
            <w:shd w:val="clear" w:color="auto" w:fill="auto"/>
            <w:vAlign w:val="bottom"/>
          </w:tcPr>
          <w:p w14:paraId="71D3FD5E" w14:textId="77777777" w:rsidR="006A3667" w:rsidRDefault="006A3667">
            <w:pPr>
              <w:rPr>
                <w:rFonts w:ascii="宋体"/>
                <w:vanish/>
              </w:rPr>
            </w:pPr>
          </w:p>
        </w:tc>
        <w:tc>
          <w:tcPr>
            <w:tcW w:w="0" w:type="auto"/>
            <w:gridSpan w:val="5"/>
            <w:shd w:val="clear" w:color="auto" w:fill="auto"/>
            <w:tcMar>
              <w:top w:w="40" w:type="dxa"/>
              <w:left w:w="20" w:type="dxa"/>
              <w:bottom w:w="40" w:type="dxa"/>
              <w:right w:w="20" w:type="dxa"/>
            </w:tcMar>
            <w:vAlign w:val="bottom"/>
          </w:tcPr>
          <w:p w14:paraId="71D3FD5F" w14:textId="77777777" w:rsidR="006A3667" w:rsidRDefault="00045F32">
            <w:pPr>
              <w:jc w:val="center"/>
              <w:textAlignment w:val="bottom"/>
            </w:pPr>
            <w:r>
              <w:rPr>
                <w:rFonts w:ascii="Arial" w:eastAsia="宋体" w:hAnsi="Arial" w:cs="Arial"/>
                <w:b/>
                <w:bCs/>
                <w:color w:val="000000"/>
                <w:sz w:val="15"/>
                <w:szCs w:val="15"/>
              </w:rPr>
              <w:t>Nine Months Ended September 30,</w:t>
            </w:r>
          </w:p>
        </w:tc>
        <w:tc>
          <w:tcPr>
            <w:tcW w:w="0" w:type="auto"/>
            <w:gridSpan w:val="3"/>
            <w:shd w:val="clear" w:color="auto" w:fill="auto"/>
            <w:tcMar>
              <w:top w:w="0" w:type="dxa"/>
              <w:left w:w="20" w:type="dxa"/>
              <w:bottom w:w="0" w:type="dxa"/>
              <w:right w:w="20" w:type="dxa"/>
            </w:tcMar>
            <w:vAlign w:val="bottom"/>
          </w:tcPr>
          <w:p w14:paraId="71D3FD60" w14:textId="77777777" w:rsidR="006A3667" w:rsidRDefault="006A3667">
            <w:pPr>
              <w:rPr>
                <w:rFonts w:ascii="宋体"/>
              </w:rPr>
            </w:pPr>
          </w:p>
        </w:tc>
        <w:tc>
          <w:tcPr>
            <w:tcW w:w="0" w:type="auto"/>
            <w:gridSpan w:val="3"/>
            <w:shd w:val="clear" w:color="auto" w:fill="auto"/>
            <w:vAlign w:val="bottom"/>
          </w:tcPr>
          <w:p w14:paraId="71D3FD61" w14:textId="77777777" w:rsidR="006A3667" w:rsidRDefault="006A3667">
            <w:pPr>
              <w:rPr>
                <w:rFonts w:ascii="宋体"/>
                <w:vanish/>
              </w:rPr>
            </w:pPr>
          </w:p>
        </w:tc>
        <w:tc>
          <w:tcPr>
            <w:tcW w:w="0" w:type="auto"/>
            <w:gridSpan w:val="3"/>
            <w:shd w:val="clear" w:color="auto" w:fill="auto"/>
            <w:vAlign w:val="bottom"/>
          </w:tcPr>
          <w:p w14:paraId="71D3FD62" w14:textId="77777777" w:rsidR="006A3667" w:rsidRDefault="006A3667">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71D3FD63" w14:textId="77777777" w:rsidR="006A3667" w:rsidRDefault="00045F32">
            <w:pPr>
              <w:jc w:val="center"/>
              <w:textAlignment w:val="bottom"/>
            </w:pPr>
            <w:r>
              <w:rPr>
                <w:rFonts w:ascii="Arial" w:eastAsia="宋体" w:hAnsi="Arial" w:cs="Arial"/>
                <w:b/>
                <w:bCs/>
                <w:color w:val="000000"/>
                <w:sz w:val="15"/>
                <w:szCs w:val="15"/>
              </w:rPr>
              <w:t>% Change</w:t>
            </w:r>
          </w:p>
        </w:tc>
        <w:tc>
          <w:tcPr>
            <w:tcW w:w="0" w:type="auto"/>
            <w:gridSpan w:val="3"/>
            <w:shd w:val="clear" w:color="auto" w:fill="auto"/>
            <w:vAlign w:val="bottom"/>
          </w:tcPr>
          <w:p w14:paraId="71D3FD64" w14:textId="77777777" w:rsidR="006A3667" w:rsidRDefault="006A3667">
            <w:pPr>
              <w:rPr>
                <w:rFonts w:ascii="宋体"/>
                <w:vanish/>
              </w:rPr>
            </w:pPr>
          </w:p>
        </w:tc>
        <w:tc>
          <w:tcPr>
            <w:tcW w:w="0" w:type="auto"/>
            <w:gridSpan w:val="3"/>
            <w:shd w:val="clear" w:color="auto" w:fill="auto"/>
            <w:vAlign w:val="bottom"/>
          </w:tcPr>
          <w:p w14:paraId="71D3FD65" w14:textId="77777777" w:rsidR="006A3667" w:rsidRDefault="006A3667">
            <w:pPr>
              <w:rPr>
                <w:rFonts w:ascii="宋体"/>
                <w:vanish/>
              </w:rPr>
            </w:pPr>
          </w:p>
        </w:tc>
        <w:tc>
          <w:tcPr>
            <w:tcW w:w="0" w:type="auto"/>
            <w:shd w:val="clear" w:color="auto" w:fill="auto"/>
            <w:vAlign w:val="bottom"/>
          </w:tcPr>
          <w:p w14:paraId="71D3FD66" w14:textId="77777777" w:rsidR="006A3667" w:rsidRDefault="006A3667">
            <w:pPr>
              <w:rPr>
                <w:rFonts w:ascii="宋体"/>
              </w:rPr>
            </w:pPr>
          </w:p>
        </w:tc>
        <w:tc>
          <w:tcPr>
            <w:tcW w:w="0" w:type="auto"/>
            <w:shd w:val="clear" w:color="auto" w:fill="auto"/>
            <w:vAlign w:val="bottom"/>
          </w:tcPr>
          <w:p w14:paraId="71D3FD67" w14:textId="77777777" w:rsidR="006A3667" w:rsidRDefault="006A3667">
            <w:pPr>
              <w:rPr>
                <w:rFonts w:ascii="宋体"/>
              </w:rPr>
            </w:pPr>
          </w:p>
        </w:tc>
        <w:tc>
          <w:tcPr>
            <w:tcW w:w="0" w:type="auto"/>
            <w:shd w:val="clear" w:color="auto" w:fill="auto"/>
            <w:vAlign w:val="bottom"/>
          </w:tcPr>
          <w:p w14:paraId="71D3FD68" w14:textId="77777777" w:rsidR="006A3667" w:rsidRDefault="006A3667">
            <w:pPr>
              <w:rPr>
                <w:rFonts w:ascii="宋体"/>
              </w:rPr>
            </w:pPr>
          </w:p>
        </w:tc>
        <w:tc>
          <w:tcPr>
            <w:tcW w:w="0" w:type="auto"/>
            <w:shd w:val="clear" w:color="auto" w:fill="auto"/>
            <w:vAlign w:val="bottom"/>
          </w:tcPr>
          <w:p w14:paraId="71D3FD69" w14:textId="77777777" w:rsidR="006A3667" w:rsidRDefault="006A3667">
            <w:pPr>
              <w:rPr>
                <w:rFonts w:ascii="宋体"/>
              </w:rPr>
            </w:pPr>
          </w:p>
        </w:tc>
        <w:tc>
          <w:tcPr>
            <w:tcW w:w="0" w:type="auto"/>
            <w:shd w:val="clear" w:color="auto" w:fill="auto"/>
            <w:vAlign w:val="bottom"/>
          </w:tcPr>
          <w:p w14:paraId="71D3FD6A" w14:textId="77777777" w:rsidR="006A3667" w:rsidRDefault="006A3667">
            <w:pPr>
              <w:rPr>
                <w:rFonts w:ascii="宋体"/>
              </w:rPr>
            </w:pPr>
          </w:p>
        </w:tc>
        <w:tc>
          <w:tcPr>
            <w:tcW w:w="0" w:type="auto"/>
            <w:shd w:val="clear" w:color="auto" w:fill="auto"/>
            <w:vAlign w:val="bottom"/>
          </w:tcPr>
          <w:p w14:paraId="71D3FD6B" w14:textId="77777777" w:rsidR="006A3667" w:rsidRDefault="006A3667">
            <w:pPr>
              <w:rPr>
                <w:rFonts w:ascii="宋体"/>
              </w:rPr>
            </w:pPr>
          </w:p>
        </w:tc>
      </w:tr>
      <w:tr w:rsidR="006A3667" w14:paraId="71D3FD81" w14:textId="77777777">
        <w:trPr>
          <w:trHeight w:val="240"/>
        </w:trPr>
        <w:tc>
          <w:tcPr>
            <w:tcW w:w="0" w:type="auto"/>
            <w:gridSpan w:val="3"/>
            <w:vMerge/>
            <w:shd w:val="clear" w:color="auto" w:fill="auto"/>
            <w:tcMar>
              <w:top w:w="40" w:type="dxa"/>
              <w:left w:w="20" w:type="dxa"/>
              <w:bottom w:w="40" w:type="dxa"/>
              <w:right w:w="20" w:type="dxa"/>
            </w:tcMar>
            <w:vAlign w:val="bottom"/>
          </w:tcPr>
          <w:p w14:paraId="71D3FD6D" w14:textId="77777777" w:rsidR="006A3667" w:rsidRDefault="006A3667">
            <w:pPr>
              <w:rPr>
                <w:rFonts w:ascii="宋体"/>
              </w:rPr>
            </w:pPr>
          </w:p>
        </w:tc>
        <w:tc>
          <w:tcPr>
            <w:tcW w:w="0" w:type="auto"/>
            <w:shd w:val="clear" w:color="auto" w:fill="auto"/>
            <w:vAlign w:val="bottom"/>
          </w:tcPr>
          <w:p w14:paraId="71D3FD6E" w14:textId="77777777" w:rsidR="006A3667" w:rsidRDefault="006A3667">
            <w:pPr>
              <w:rPr>
                <w:rFonts w:ascii="宋体"/>
                <w:vanish/>
              </w:rPr>
            </w:pPr>
          </w:p>
        </w:tc>
        <w:tc>
          <w:tcPr>
            <w:tcW w:w="0" w:type="auto"/>
            <w:shd w:val="clear" w:color="auto" w:fill="auto"/>
            <w:vAlign w:val="bottom"/>
          </w:tcPr>
          <w:p w14:paraId="71D3FD6F" w14:textId="77777777" w:rsidR="006A3667" w:rsidRDefault="006A3667">
            <w:pPr>
              <w:rPr>
                <w:rFonts w:ascii="宋体"/>
                <w:vanish/>
              </w:rPr>
            </w:pPr>
          </w:p>
        </w:tc>
        <w:tc>
          <w:tcPr>
            <w:tcW w:w="0" w:type="auto"/>
            <w:shd w:val="clear" w:color="auto" w:fill="auto"/>
            <w:vAlign w:val="bottom"/>
          </w:tcPr>
          <w:p w14:paraId="71D3FD70" w14:textId="77777777" w:rsidR="006A3667" w:rsidRDefault="006A3667">
            <w:pPr>
              <w:rPr>
                <w:rFonts w:ascii="宋体"/>
                <w:vanish/>
              </w:rPr>
            </w:pPr>
          </w:p>
        </w:tc>
        <w:tc>
          <w:tcPr>
            <w:tcW w:w="0" w:type="auto"/>
            <w:shd w:val="clear" w:color="auto" w:fill="auto"/>
            <w:vAlign w:val="bottom"/>
          </w:tcPr>
          <w:p w14:paraId="71D3FD71" w14:textId="77777777" w:rsidR="006A3667" w:rsidRDefault="006A3667">
            <w:pPr>
              <w:rPr>
                <w:rFonts w:ascii="宋体"/>
                <w:vanish/>
              </w:rPr>
            </w:pPr>
          </w:p>
        </w:tc>
        <w:tc>
          <w:tcPr>
            <w:tcW w:w="0" w:type="auto"/>
            <w:shd w:val="clear" w:color="auto" w:fill="auto"/>
            <w:vAlign w:val="bottom"/>
          </w:tcPr>
          <w:p w14:paraId="71D3FD72" w14:textId="77777777" w:rsidR="006A3667" w:rsidRDefault="006A3667">
            <w:pPr>
              <w:rPr>
                <w:rFonts w:ascii="宋体"/>
                <w:vanish/>
              </w:rPr>
            </w:pPr>
          </w:p>
        </w:tc>
        <w:tc>
          <w:tcPr>
            <w:tcW w:w="0" w:type="auto"/>
            <w:shd w:val="clear" w:color="auto" w:fill="auto"/>
            <w:vAlign w:val="bottom"/>
          </w:tcPr>
          <w:p w14:paraId="71D3FD73"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D74"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3FD7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3FD76" w14:textId="77777777" w:rsidR="006A3667" w:rsidRDefault="00045F32">
            <w:pPr>
              <w:jc w:val="center"/>
              <w:textAlignment w:val="bottom"/>
            </w:pPr>
            <w:r>
              <w:rPr>
                <w:rFonts w:ascii="Arial" w:eastAsia="宋体" w:hAnsi="Arial" w:cs="Arial"/>
                <w:b/>
                <w:bCs/>
                <w:color w:val="000000"/>
                <w:sz w:val="15"/>
                <w:szCs w:val="15"/>
              </w:rPr>
              <w:t>2021</w:t>
            </w:r>
          </w:p>
        </w:tc>
        <w:tc>
          <w:tcPr>
            <w:tcW w:w="0" w:type="auto"/>
            <w:gridSpan w:val="3"/>
            <w:shd w:val="clear" w:color="auto" w:fill="auto"/>
            <w:tcMar>
              <w:top w:w="0" w:type="dxa"/>
              <w:left w:w="20" w:type="dxa"/>
              <w:bottom w:w="0" w:type="dxa"/>
              <w:right w:w="20" w:type="dxa"/>
            </w:tcMar>
            <w:vAlign w:val="bottom"/>
          </w:tcPr>
          <w:p w14:paraId="71D3FD77"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3FD78" w14:textId="77777777" w:rsidR="006A3667" w:rsidRDefault="006A3667">
            <w:pPr>
              <w:jc w:val="center"/>
              <w:rPr>
                <w:rFonts w:ascii="宋体"/>
              </w:rPr>
            </w:pPr>
          </w:p>
        </w:tc>
        <w:tc>
          <w:tcPr>
            <w:tcW w:w="0" w:type="auto"/>
            <w:gridSpan w:val="3"/>
            <w:shd w:val="clear" w:color="auto" w:fill="auto"/>
            <w:vAlign w:val="bottom"/>
          </w:tcPr>
          <w:p w14:paraId="71D3FD79" w14:textId="77777777" w:rsidR="006A3667" w:rsidRDefault="006A3667">
            <w:pPr>
              <w:rPr>
                <w:rFonts w:ascii="宋体"/>
                <w:vanish/>
              </w:rPr>
            </w:pPr>
          </w:p>
        </w:tc>
        <w:tc>
          <w:tcPr>
            <w:tcW w:w="0" w:type="auto"/>
            <w:gridSpan w:val="3"/>
            <w:shd w:val="clear" w:color="auto" w:fill="auto"/>
            <w:vAlign w:val="bottom"/>
          </w:tcPr>
          <w:p w14:paraId="71D3FD7A" w14:textId="77777777" w:rsidR="006A3667" w:rsidRDefault="006A3667">
            <w:pPr>
              <w:rPr>
                <w:rFonts w:ascii="宋体"/>
                <w:vanish/>
              </w:rPr>
            </w:pPr>
          </w:p>
        </w:tc>
        <w:tc>
          <w:tcPr>
            <w:tcW w:w="0" w:type="auto"/>
            <w:shd w:val="clear" w:color="auto" w:fill="auto"/>
            <w:vAlign w:val="bottom"/>
          </w:tcPr>
          <w:p w14:paraId="71D3FD7B" w14:textId="77777777" w:rsidR="006A3667" w:rsidRDefault="006A3667">
            <w:pPr>
              <w:rPr>
                <w:rFonts w:ascii="宋体"/>
              </w:rPr>
            </w:pPr>
          </w:p>
        </w:tc>
        <w:tc>
          <w:tcPr>
            <w:tcW w:w="0" w:type="auto"/>
            <w:shd w:val="clear" w:color="auto" w:fill="auto"/>
            <w:vAlign w:val="bottom"/>
          </w:tcPr>
          <w:p w14:paraId="71D3FD7C" w14:textId="77777777" w:rsidR="006A3667" w:rsidRDefault="006A3667">
            <w:pPr>
              <w:rPr>
                <w:rFonts w:ascii="宋体"/>
              </w:rPr>
            </w:pPr>
          </w:p>
        </w:tc>
        <w:tc>
          <w:tcPr>
            <w:tcW w:w="0" w:type="auto"/>
            <w:shd w:val="clear" w:color="auto" w:fill="auto"/>
            <w:vAlign w:val="bottom"/>
          </w:tcPr>
          <w:p w14:paraId="71D3FD7D" w14:textId="77777777" w:rsidR="006A3667" w:rsidRDefault="006A3667">
            <w:pPr>
              <w:rPr>
                <w:rFonts w:ascii="宋体"/>
              </w:rPr>
            </w:pPr>
          </w:p>
        </w:tc>
        <w:tc>
          <w:tcPr>
            <w:tcW w:w="0" w:type="auto"/>
            <w:shd w:val="clear" w:color="auto" w:fill="auto"/>
            <w:vAlign w:val="bottom"/>
          </w:tcPr>
          <w:p w14:paraId="71D3FD7E" w14:textId="77777777" w:rsidR="006A3667" w:rsidRDefault="006A3667">
            <w:pPr>
              <w:rPr>
                <w:rFonts w:ascii="宋体"/>
              </w:rPr>
            </w:pPr>
          </w:p>
        </w:tc>
        <w:tc>
          <w:tcPr>
            <w:tcW w:w="0" w:type="auto"/>
            <w:shd w:val="clear" w:color="auto" w:fill="auto"/>
            <w:vAlign w:val="bottom"/>
          </w:tcPr>
          <w:p w14:paraId="71D3FD7F" w14:textId="77777777" w:rsidR="006A3667" w:rsidRDefault="006A3667">
            <w:pPr>
              <w:rPr>
                <w:rFonts w:ascii="宋体"/>
              </w:rPr>
            </w:pPr>
          </w:p>
        </w:tc>
        <w:tc>
          <w:tcPr>
            <w:tcW w:w="0" w:type="auto"/>
            <w:shd w:val="clear" w:color="auto" w:fill="auto"/>
            <w:vAlign w:val="bottom"/>
          </w:tcPr>
          <w:p w14:paraId="71D3FD80" w14:textId="77777777" w:rsidR="006A3667" w:rsidRDefault="006A3667">
            <w:pPr>
              <w:rPr>
                <w:rFonts w:ascii="宋体"/>
              </w:rPr>
            </w:pPr>
          </w:p>
        </w:tc>
      </w:tr>
      <w:tr w:rsidR="006A3667" w14:paraId="71D3FD97" w14:textId="77777777">
        <w:tc>
          <w:tcPr>
            <w:tcW w:w="0" w:type="auto"/>
            <w:gridSpan w:val="3"/>
            <w:shd w:val="clear" w:color="auto" w:fill="CCEEFF"/>
            <w:tcMar>
              <w:top w:w="40" w:type="dxa"/>
              <w:left w:w="20" w:type="dxa"/>
              <w:bottom w:w="40" w:type="dxa"/>
              <w:right w:w="20" w:type="dxa"/>
            </w:tcMar>
            <w:vAlign w:val="bottom"/>
          </w:tcPr>
          <w:p w14:paraId="71D3FD82" w14:textId="77777777" w:rsidR="006A3667" w:rsidRDefault="00045F32">
            <w:pPr>
              <w:textAlignment w:val="bottom"/>
            </w:pPr>
            <w:r>
              <w:rPr>
                <w:rFonts w:ascii="Arial" w:eastAsia="宋体" w:hAnsi="Arial" w:cs="Arial"/>
                <w:color w:val="000000"/>
                <w:sz w:val="15"/>
                <w:szCs w:val="15"/>
              </w:rPr>
              <w:t>Management fees</w:t>
            </w:r>
            <w:r>
              <w:rPr>
                <w:rFonts w:ascii="Arial" w:eastAsia="宋体" w:hAnsi="Arial" w:cs="Arial"/>
                <w:color w:val="000000"/>
                <w:sz w:val="9"/>
                <w:szCs w:val="9"/>
              </w:rPr>
              <w:t>(1)</w:t>
            </w:r>
          </w:p>
        </w:tc>
        <w:tc>
          <w:tcPr>
            <w:tcW w:w="0" w:type="auto"/>
            <w:shd w:val="clear" w:color="auto" w:fill="auto"/>
            <w:vAlign w:val="bottom"/>
          </w:tcPr>
          <w:p w14:paraId="71D3FD83" w14:textId="77777777" w:rsidR="006A3667" w:rsidRDefault="006A3667">
            <w:pPr>
              <w:rPr>
                <w:rFonts w:ascii="宋体"/>
                <w:vanish/>
              </w:rPr>
            </w:pPr>
          </w:p>
        </w:tc>
        <w:tc>
          <w:tcPr>
            <w:tcW w:w="0" w:type="auto"/>
            <w:shd w:val="clear" w:color="auto" w:fill="auto"/>
            <w:vAlign w:val="bottom"/>
          </w:tcPr>
          <w:p w14:paraId="71D3FD84" w14:textId="77777777" w:rsidR="006A3667" w:rsidRDefault="006A3667">
            <w:pPr>
              <w:rPr>
                <w:rFonts w:ascii="宋体"/>
                <w:vanish/>
              </w:rPr>
            </w:pPr>
          </w:p>
        </w:tc>
        <w:tc>
          <w:tcPr>
            <w:tcW w:w="0" w:type="auto"/>
            <w:shd w:val="clear" w:color="auto" w:fill="auto"/>
            <w:vAlign w:val="bottom"/>
          </w:tcPr>
          <w:p w14:paraId="71D3FD85" w14:textId="77777777" w:rsidR="006A3667" w:rsidRDefault="006A3667">
            <w:pPr>
              <w:rPr>
                <w:rFonts w:ascii="宋体"/>
                <w:vanish/>
              </w:rPr>
            </w:pPr>
          </w:p>
        </w:tc>
        <w:tc>
          <w:tcPr>
            <w:tcW w:w="0" w:type="auto"/>
            <w:shd w:val="clear" w:color="auto" w:fill="auto"/>
            <w:vAlign w:val="bottom"/>
          </w:tcPr>
          <w:p w14:paraId="71D3FD86" w14:textId="77777777" w:rsidR="006A3667" w:rsidRDefault="006A3667">
            <w:pPr>
              <w:rPr>
                <w:rFonts w:ascii="宋体"/>
                <w:vanish/>
              </w:rPr>
            </w:pPr>
          </w:p>
        </w:tc>
        <w:tc>
          <w:tcPr>
            <w:tcW w:w="0" w:type="auto"/>
            <w:shd w:val="clear" w:color="auto" w:fill="auto"/>
            <w:vAlign w:val="bottom"/>
          </w:tcPr>
          <w:p w14:paraId="71D3FD87" w14:textId="77777777" w:rsidR="006A3667" w:rsidRDefault="006A3667">
            <w:pPr>
              <w:rPr>
                <w:rFonts w:ascii="宋体"/>
                <w:vanish/>
              </w:rPr>
            </w:pPr>
          </w:p>
        </w:tc>
        <w:tc>
          <w:tcPr>
            <w:tcW w:w="0" w:type="auto"/>
            <w:shd w:val="clear" w:color="auto" w:fill="auto"/>
            <w:vAlign w:val="bottom"/>
          </w:tcPr>
          <w:p w14:paraId="71D3FD88"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D89"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D8A" w14:textId="77777777" w:rsidR="006A3667" w:rsidRDefault="00045F32">
            <w:pPr>
              <w:jc w:val="right"/>
              <w:textAlignment w:val="bottom"/>
            </w:pPr>
            <w:r>
              <w:rPr>
                <w:rFonts w:ascii="Arial" w:eastAsia="宋体" w:hAnsi="Arial" w:cs="Arial"/>
                <w:b/>
                <w:bCs/>
                <w:color w:val="000000"/>
                <w:sz w:val="15"/>
                <w:szCs w:val="15"/>
              </w:rPr>
              <w:t>1,482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D8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D8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3FD8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3FD8E" w14:textId="77777777" w:rsidR="006A3667" w:rsidRDefault="00045F32">
            <w:pPr>
              <w:jc w:val="right"/>
              <w:textAlignment w:val="bottom"/>
            </w:pPr>
            <w:r>
              <w:rPr>
                <w:rFonts w:ascii="Arial" w:eastAsia="宋体" w:hAnsi="Arial" w:cs="Arial"/>
                <w:color w:val="000000"/>
                <w:sz w:val="15"/>
                <w:szCs w:val="15"/>
              </w:rPr>
              <w:t>1,523 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D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D90" w14:textId="77777777" w:rsidR="006A3667" w:rsidRDefault="006A3667">
            <w:pPr>
              <w:rPr>
                <w:rFonts w:ascii="宋体"/>
              </w:rPr>
            </w:pPr>
          </w:p>
        </w:tc>
        <w:tc>
          <w:tcPr>
            <w:tcW w:w="0" w:type="auto"/>
            <w:gridSpan w:val="3"/>
            <w:shd w:val="clear" w:color="auto" w:fill="auto"/>
            <w:vAlign w:val="bottom"/>
          </w:tcPr>
          <w:p w14:paraId="71D3FD91" w14:textId="77777777" w:rsidR="006A3667" w:rsidRDefault="006A3667">
            <w:pPr>
              <w:rPr>
                <w:rFonts w:ascii="宋体"/>
                <w:vanish/>
              </w:rPr>
            </w:pPr>
          </w:p>
        </w:tc>
        <w:tc>
          <w:tcPr>
            <w:tcW w:w="0" w:type="auto"/>
            <w:gridSpan w:val="3"/>
            <w:shd w:val="clear" w:color="auto" w:fill="auto"/>
            <w:vAlign w:val="bottom"/>
          </w:tcPr>
          <w:p w14:paraId="71D3FD92"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3FD93" w14:textId="77777777" w:rsidR="006A3667" w:rsidRDefault="00045F32">
            <w:pPr>
              <w:jc w:val="right"/>
              <w:textAlignment w:val="bottom"/>
            </w:pPr>
            <w:r>
              <w:rPr>
                <w:rFonts w:ascii="Arial" w:eastAsia="宋体" w:hAnsi="Arial" w:cs="Arial"/>
                <w:color w:val="000000"/>
                <w:sz w:val="15"/>
                <w:szCs w:val="15"/>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3FD94"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71D3FD95" w14:textId="77777777" w:rsidR="006A3667" w:rsidRDefault="006A3667">
            <w:pPr>
              <w:rPr>
                <w:rFonts w:ascii="宋体"/>
                <w:vanish/>
              </w:rPr>
            </w:pPr>
          </w:p>
        </w:tc>
        <w:tc>
          <w:tcPr>
            <w:tcW w:w="0" w:type="auto"/>
            <w:gridSpan w:val="3"/>
            <w:shd w:val="clear" w:color="auto" w:fill="auto"/>
            <w:vAlign w:val="bottom"/>
          </w:tcPr>
          <w:p w14:paraId="71D3FD96" w14:textId="77777777" w:rsidR="006A3667" w:rsidRDefault="006A3667">
            <w:pPr>
              <w:rPr>
                <w:rFonts w:ascii="宋体"/>
                <w:vanish/>
              </w:rPr>
            </w:pPr>
          </w:p>
        </w:tc>
      </w:tr>
      <w:tr w:rsidR="006A3667" w14:paraId="71D3FDAB" w14:textId="77777777">
        <w:tc>
          <w:tcPr>
            <w:tcW w:w="0" w:type="auto"/>
            <w:gridSpan w:val="3"/>
            <w:shd w:val="clear" w:color="auto" w:fill="FFFFFF"/>
            <w:tcMar>
              <w:top w:w="40" w:type="dxa"/>
              <w:left w:w="20" w:type="dxa"/>
              <w:bottom w:w="40" w:type="dxa"/>
              <w:right w:w="20" w:type="dxa"/>
            </w:tcMar>
            <w:vAlign w:val="bottom"/>
          </w:tcPr>
          <w:p w14:paraId="71D3FD98" w14:textId="77777777" w:rsidR="006A3667" w:rsidRDefault="00045F32">
            <w:pPr>
              <w:textAlignment w:val="bottom"/>
            </w:pPr>
            <w:r>
              <w:rPr>
                <w:rFonts w:ascii="Arial" w:eastAsia="宋体" w:hAnsi="Arial" w:cs="Arial"/>
                <w:color w:val="000000"/>
                <w:sz w:val="15"/>
                <w:szCs w:val="15"/>
              </w:rPr>
              <w:t>Foreign exchange trading services</w:t>
            </w:r>
            <w:r>
              <w:rPr>
                <w:rFonts w:ascii="Arial" w:eastAsia="宋体" w:hAnsi="Arial" w:cs="Arial"/>
                <w:color w:val="000000"/>
                <w:sz w:val="9"/>
                <w:szCs w:val="9"/>
              </w:rPr>
              <w:t>(2)</w:t>
            </w:r>
          </w:p>
        </w:tc>
        <w:tc>
          <w:tcPr>
            <w:tcW w:w="0" w:type="auto"/>
            <w:shd w:val="clear" w:color="auto" w:fill="auto"/>
            <w:vAlign w:val="bottom"/>
          </w:tcPr>
          <w:p w14:paraId="71D3FD99" w14:textId="77777777" w:rsidR="006A3667" w:rsidRDefault="006A3667">
            <w:pPr>
              <w:rPr>
                <w:rFonts w:ascii="宋体"/>
                <w:vanish/>
              </w:rPr>
            </w:pPr>
          </w:p>
        </w:tc>
        <w:tc>
          <w:tcPr>
            <w:tcW w:w="0" w:type="auto"/>
            <w:shd w:val="clear" w:color="auto" w:fill="auto"/>
            <w:vAlign w:val="bottom"/>
          </w:tcPr>
          <w:p w14:paraId="71D3FD9A" w14:textId="77777777" w:rsidR="006A3667" w:rsidRDefault="006A3667">
            <w:pPr>
              <w:rPr>
                <w:rFonts w:ascii="宋体"/>
                <w:vanish/>
              </w:rPr>
            </w:pPr>
          </w:p>
        </w:tc>
        <w:tc>
          <w:tcPr>
            <w:tcW w:w="0" w:type="auto"/>
            <w:shd w:val="clear" w:color="auto" w:fill="auto"/>
            <w:vAlign w:val="bottom"/>
          </w:tcPr>
          <w:p w14:paraId="71D3FD9B" w14:textId="77777777" w:rsidR="006A3667" w:rsidRDefault="006A3667">
            <w:pPr>
              <w:rPr>
                <w:rFonts w:ascii="宋体"/>
                <w:vanish/>
              </w:rPr>
            </w:pPr>
          </w:p>
        </w:tc>
        <w:tc>
          <w:tcPr>
            <w:tcW w:w="0" w:type="auto"/>
            <w:shd w:val="clear" w:color="auto" w:fill="auto"/>
            <w:vAlign w:val="bottom"/>
          </w:tcPr>
          <w:p w14:paraId="71D3FD9C" w14:textId="77777777" w:rsidR="006A3667" w:rsidRDefault="006A3667">
            <w:pPr>
              <w:rPr>
                <w:rFonts w:ascii="宋体"/>
                <w:vanish/>
              </w:rPr>
            </w:pPr>
          </w:p>
        </w:tc>
        <w:tc>
          <w:tcPr>
            <w:tcW w:w="0" w:type="auto"/>
            <w:shd w:val="clear" w:color="auto" w:fill="auto"/>
            <w:vAlign w:val="bottom"/>
          </w:tcPr>
          <w:p w14:paraId="71D3FD9D" w14:textId="77777777" w:rsidR="006A3667" w:rsidRDefault="006A3667">
            <w:pPr>
              <w:rPr>
                <w:rFonts w:ascii="宋体"/>
                <w:vanish/>
              </w:rPr>
            </w:pPr>
          </w:p>
        </w:tc>
        <w:tc>
          <w:tcPr>
            <w:tcW w:w="0" w:type="auto"/>
            <w:shd w:val="clear" w:color="auto" w:fill="auto"/>
            <w:vAlign w:val="bottom"/>
          </w:tcPr>
          <w:p w14:paraId="71D3FD9E"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D9F" w14:textId="77777777" w:rsidR="006A3667" w:rsidRDefault="00045F32">
            <w:pPr>
              <w:jc w:val="right"/>
              <w:textAlignment w:val="bottom"/>
            </w:pPr>
            <w:r>
              <w:rPr>
                <w:rFonts w:ascii="Arial" w:eastAsia="宋体" w:hAnsi="Arial" w:cs="Arial"/>
                <w:b/>
                <w:bCs/>
                <w:color w:val="000000"/>
                <w:sz w:val="15"/>
                <w:szCs w:val="15"/>
              </w:rPr>
              <w:t>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DA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DA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DA2" w14:textId="77777777" w:rsidR="006A3667" w:rsidRDefault="00045F32">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71D3FD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DA4" w14:textId="77777777" w:rsidR="006A3667" w:rsidRDefault="006A3667">
            <w:pPr>
              <w:rPr>
                <w:rFonts w:ascii="宋体"/>
              </w:rPr>
            </w:pPr>
          </w:p>
        </w:tc>
        <w:tc>
          <w:tcPr>
            <w:tcW w:w="0" w:type="auto"/>
            <w:gridSpan w:val="3"/>
            <w:shd w:val="clear" w:color="auto" w:fill="auto"/>
            <w:vAlign w:val="bottom"/>
          </w:tcPr>
          <w:p w14:paraId="71D3FDA5" w14:textId="77777777" w:rsidR="006A3667" w:rsidRDefault="006A3667">
            <w:pPr>
              <w:rPr>
                <w:rFonts w:ascii="宋体"/>
                <w:vanish/>
              </w:rPr>
            </w:pPr>
          </w:p>
        </w:tc>
        <w:tc>
          <w:tcPr>
            <w:tcW w:w="0" w:type="auto"/>
            <w:gridSpan w:val="3"/>
            <w:shd w:val="clear" w:color="auto" w:fill="auto"/>
            <w:vAlign w:val="bottom"/>
          </w:tcPr>
          <w:p w14:paraId="71D3FDA6"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DA7" w14:textId="77777777" w:rsidR="006A3667" w:rsidRDefault="00045F32">
            <w:pPr>
              <w:jc w:val="right"/>
              <w:textAlignment w:val="bottom"/>
            </w:pPr>
            <w:r>
              <w:rPr>
                <w:rFonts w:ascii="Arial" w:eastAsia="宋体" w:hAnsi="Arial" w:cs="Arial"/>
                <w:color w:val="000000"/>
                <w:sz w:val="15"/>
                <w:szCs w:val="15"/>
              </w:rPr>
              <w:t>45 </w:t>
            </w:r>
          </w:p>
        </w:tc>
        <w:tc>
          <w:tcPr>
            <w:tcW w:w="0" w:type="auto"/>
            <w:shd w:val="clear" w:color="auto" w:fill="FFFFFF"/>
            <w:tcMar>
              <w:top w:w="40" w:type="dxa"/>
              <w:left w:w="0" w:type="dxa"/>
              <w:bottom w:w="40" w:type="dxa"/>
              <w:right w:w="20" w:type="dxa"/>
            </w:tcMar>
            <w:vAlign w:val="bottom"/>
          </w:tcPr>
          <w:p w14:paraId="71D3FDA8" w14:textId="77777777" w:rsidR="006A3667" w:rsidRDefault="006A3667">
            <w:pPr>
              <w:jc w:val="right"/>
              <w:rPr>
                <w:rFonts w:ascii="宋体"/>
              </w:rPr>
            </w:pPr>
          </w:p>
        </w:tc>
        <w:tc>
          <w:tcPr>
            <w:tcW w:w="0" w:type="auto"/>
            <w:gridSpan w:val="3"/>
            <w:shd w:val="clear" w:color="auto" w:fill="auto"/>
            <w:vAlign w:val="bottom"/>
          </w:tcPr>
          <w:p w14:paraId="71D3FDA9" w14:textId="77777777" w:rsidR="006A3667" w:rsidRDefault="006A3667">
            <w:pPr>
              <w:rPr>
                <w:rFonts w:ascii="宋体"/>
                <w:vanish/>
              </w:rPr>
            </w:pPr>
          </w:p>
        </w:tc>
        <w:tc>
          <w:tcPr>
            <w:tcW w:w="0" w:type="auto"/>
            <w:gridSpan w:val="3"/>
            <w:shd w:val="clear" w:color="auto" w:fill="auto"/>
            <w:vAlign w:val="bottom"/>
          </w:tcPr>
          <w:p w14:paraId="71D3FDAA" w14:textId="77777777" w:rsidR="006A3667" w:rsidRDefault="006A3667">
            <w:pPr>
              <w:rPr>
                <w:rFonts w:ascii="宋体"/>
                <w:vanish/>
              </w:rPr>
            </w:pPr>
          </w:p>
        </w:tc>
      </w:tr>
      <w:tr w:rsidR="006A3667" w14:paraId="71D3FDBF" w14:textId="77777777">
        <w:tc>
          <w:tcPr>
            <w:tcW w:w="0" w:type="auto"/>
            <w:gridSpan w:val="3"/>
            <w:shd w:val="clear" w:color="auto" w:fill="CCEEFF"/>
            <w:tcMar>
              <w:top w:w="40" w:type="dxa"/>
              <w:left w:w="20" w:type="dxa"/>
              <w:bottom w:w="40" w:type="dxa"/>
              <w:right w:w="20" w:type="dxa"/>
            </w:tcMar>
            <w:vAlign w:val="bottom"/>
          </w:tcPr>
          <w:p w14:paraId="71D3FDAC" w14:textId="77777777" w:rsidR="006A3667" w:rsidRDefault="00045F32">
            <w:pPr>
              <w:textAlignment w:val="bottom"/>
            </w:pPr>
            <w:r>
              <w:rPr>
                <w:rFonts w:ascii="Arial" w:eastAsia="宋体" w:hAnsi="Arial" w:cs="Arial"/>
                <w:color w:val="000000"/>
                <w:sz w:val="15"/>
                <w:szCs w:val="15"/>
              </w:rPr>
              <w:t>Securities finance</w:t>
            </w:r>
          </w:p>
        </w:tc>
        <w:tc>
          <w:tcPr>
            <w:tcW w:w="0" w:type="auto"/>
            <w:shd w:val="clear" w:color="auto" w:fill="auto"/>
            <w:vAlign w:val="bottom"/>
          </w:tcPr>
          <w:p w14:paraId="71D3FDAD" w14:textId="77777777" w:rsidR="006A3667" w:rsidRDefault="006A3667">
            <w:pPr>
              <w:rPr>
                <w:rFonts w:ascii="宋体"/>
                <w:vanish/>
              </w:rPr>
            </w:pPr>
          </w:p>
        </w:tc>
        <w:tc>
          <w:tcPr>
            <w:tcW w:w="0" w:type="auto"/>
            <w:shd w:val="clear" w:color="auto" w:fill="auto"/>
            <w:vAlign w:val="bottom"/>
          </w:tcPr>
          <w:p w14:paraId="71D3FDAE" w14:textId="77777777" w:rsidR="006A3667" w:rsidRDefault="006A3667">
            <w:pPr>
              <w:rPr>
                <w:rFonts w:ascii="宋体"/>
                <w:vanish/>
              </w:rPr>
            </w:pPr>
          </w:p>
        </w:tc>
        <w:tc>
          <w:tcPr>
            <w:tcW w:w="0" w:type="auto"/>
            <w:shd w:val="clear" w:color="auto" w:fill="auto"/>
            <w:vAlign w:val="bottom"/>
          </w:tcPr>
          <w:p w14:paraId="71D3FDAF" w14:textId="77777777" w:rsidR="006A3667" w:rsidRDefault="006A3667">
            <w:pPr>
              <w:rPr>
                <w:rFonts w:ascii="宋体"/>
                <w:vanish/>
              </w:rPr>
            </w:pPr>
          </w:p>
        </w:tc>
        <w:tc>
          <w:tcPr>
            <w:tcW w:w="0" w:type="auto"/>
            <w:shd w:val="clear" w:color="auto" w:fill="auto"/>
            <w:vAlign w:val="bottom"/>
          </w:tcPr>
          <w:p w14:paraId="71D3FDB0" w14:textId="77777777" w:rsidR="006A3667" w:rsidRDefault="006A3667">
            <w:pPr>
              <w:rPr>
                <w:rFonts w:ascii="宋体"/>
                <w:vanish/>
              </w:rPr>
            </w:pPr>
          </w:p>
        </w:tc>
        <w:tc>
          <w:tcPr>
            <w:tcW w:w="0" w:type="auto"/>
            <w:shd w:val="clear" w:color="auto" w:fill="auto"/>
            <w:vAlign w:val="bottom"/>
          </w:tcPr>
          <w:p w14:paraId="71D3FDB1" w14:textId="77777777" w:rsidR="006A3667" w:rsidRDefault="006A3667">
            <w:pPr>
              <w:rPr>
                <w:rFonts w:ascii="宋体"/>
                <w:vanish/>
              </w:rPr>
            </w:pPr>
          </w:p>
        </w:tc>
        <w:tc>
          <w:tcPr>
            <w:tcW w:w="0" w:type="auto"/>
            <w:shd w:val="clear" w:color="auto" w:fill="auto"/>
            <w:vAlign w:val="bottom"/>
          </w:tcPr>
          <w:p w14:paraId="71D3FDB2"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DB3" w14:textId="77777777" w:rsidR="006A3667" w:rsidRDefault="00045F32">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DB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DB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DB6" w14:textId="77777777" w:rsidR="006A3667" w:rsidRDefault="00045F32">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71D3FD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DB8" w14:textId="77777777" w:rsidR="006A3667" w:rsidRDefault="006A3667">
            <w:pPr>
              <w:rPr>
                <w:rFonts w:ascii="宋体"/>
              </w:rPr>
            </w:pPr>
          </w:p>
        </w:tc>
        <w:tc>
          <w:tcPr>
            <w:tcW w:w="0" w:type="auto"/>
            <w:gridSpan w:val="3"/>
            <w:shd w:val="clear" w:color="auto" w:fill="auto"/>
            <w:vAlign w:val="bottom"/>
          </w:tcPr>
          <w:p w14:paraId="71D3FDB9" w14:textId="77777777" w:rsidR="006A3667" w:rsidRDefault="006A3667">
            <w:pPr>
              <w:rPr>
                <w:rFonts w:ascii="宋体"/>
                <w:vanish/>
              </w:rPr>
            </w:pPr>
          </w:p>
        </w:tc>
        <w:tc>
          <w:tcPr>
            <w:tcW w:w="0" w:type="auto"/>
            <w:gridSpan w:val="3"/>
            <w:shd w:val="clear" w:color="auto" w:fill="auto"/>
            <w:vAlign w:val="bottom"/>
          </w:tcPr>
          <w:p w14:paraId="71D3FDBA"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DBB" w14:textId="77777777" w:rsidR="006A3667" w:rsidRDefault="00045F32">
            <w:pPr>
              <w:jc w:val="right"/>
              <w:textAlignment w:val="bottom"/>
            </w:pPr>
            <w:r>
              <w:rPr>
                <w:rFonts w:ascii="Arial" w:eastAsia="宋体" w:hAnsi="Arial" w:cs="Arial"/>
                <w:color w:val="000000"/>
                <w:sz w:val="15"/>
                <w:szCs w:val="15"/>
              </w:rPr>
              <w:t>30 </w:t>
            </w:r>
          </w:p>
        </w:tc>
        <w:tc>
          <w:tcPr>
            <w:tcW w:w="0" w:type="auto"/>
            <w:shd w:val="clear" w:color="auto" w:fill="CCEEFF"/>
            <w:tcMar>
              <w:top w:w="40" w:type="dxa"/>
              <w:left w:w="0" w:type="dxa"/>
              <w:bottom w:w="40" w:type="dxa"/>
              <w:right w:w="20" w:type="dxa"/>
            </w:tcMar>
            <w:vAlign w:val="bottom"/>
          </w:tcPr>
          <w:p w14:paraId="71D3FDBC" w14:textId="77777777" w:rsidR="006A3667" w:rsidRDefault="006A3667">
            <w:pPr>
              <w:jc w:val="right"/>
              <w:rPr>
                <w:rFonts w:ascii="宋体"/>
              </w:rPr>
            </w:pPr>
          </w:p>
        </w:tc>
        <w:tc>
          <w:tcPr>
            <w:tcW w:w="0" w:type="auto"/>
            <w:gridSpan w:val="3"/>
            <w:shd w:val="clear" w:color="auto" w:fill="auto"/>
            <w:vAlign w:val="bottom"/>
          </w:tcPr>
          <w:p w14:paraId="71D3FDBD" w14:textId="77777777" w:rsidR="006A3667" w:rsidRDefault="006A3667">
            <w:pPr>
              <w:rPr>
                <w:rFonts w:ascii="宋体"/>
                <w:vanish/>
              </w:rPr>
            </w:pPr>
          </w:p>
        </w:tc>
        <w:tc>
          <w:tcPr>
            <w:tcW w:w="0" w:type="auto"/>
            <w:gridSpan w:val="3"/>
            <w:shd w:val="clear" w:color="auto" w:fill="auto"/>
            <w:vAlign w:val="bottom"/>
          </w:tcPr>
          <w:p w14:paraId="71D3FDBE" w14:textId="77777777" w:rsidR="006A3667" w:rsidRDefault="006A3667">
            <w:pPr>
              <w:rPr>
                <w:rFonts w:ascii="宋体"/>
                <w:vanish/>
              </w:rPr>
            </w:pPr>
          </w:p>
        </w:tc>
      </w:tr>
      <w:tr w:rsidR="006A3667" w14:paraId="71D3FDD2" w14:textId="77777777">
        <w:tc>
          <w:tcPr>
            <w:tcW w:w="0" w:type="auto"/>
            <w:gridSpan w:val="3"/>
            <w:shd w:val="clear" w:color="auto" w:fill="FFFFFF"/>
            <w:tcMar>
              <w:top w:w="40" w:type="dxa"/>
              <w:left w:w="20" w:type="dxa"/>
              <w:bottom w:w="40" w:type="dxa"/>
              <w:right w:w="20" w:type="dxa"/>
            </w:tcMar>
            <w:vAlign w:val="bottom"/>
          </w:tcPr>
          <w:p w14:paraId="71D3FDC0" w14:textId="77777777" w:rsidR="006A3667" w:rsidRDefault="00045F32">
            <w:pPr>
              <w:textAlignment w:val="bottom"/>
            </w:pPr>
            <w:r>
              <w:rPr>
                <w:rFonts w:ascii="Arial" w:eastAsia="宋体" w:hAnsi="Arial" w:cs="Arial"/>
                <w:color w:val="000000"/>
                <w:sz w:val="15"/>
                <w:szCs w:val="15"/>
              </w:rPr>
              <w:t>Software and processing fees</w:t>
            </w:r>
            <w:r>
              <w:rPr>
                <w:rFonts w:ascii="Arial" w:eastAsia="宋体" w:hAnsi="Arial" w:cs="Arial"/>
                <w:color w:val="000000"/>
                <w:sz w:val="9"/>
                <w:szCs w:val="9"/>
              </w:rPr>
              <w:t>(3)</w:t>
            </w:r>
          </w:p>
        </w:tc>
        <w:tc>
          <w:tcPr>
            <w:tcW w:w="0" w:type="auto"/>
            <w:shd w:val="clear" w:color="auto" w:fill="auto"/>
            <w:vAlign w:val="bottom"/>
          </w:tcPr>
          <w:p w14:paraId="71D3FDC1" w14:textId="77777777" w:rsidR="006A3667" w:rsidRDefault="006A3667">
            <w:pPr>
              <w:rPr>
                <w:rFonts w:ascii="宋体"/>
                <w:vanish/>
              </w:rPr>
            </w:pPr>
          </w:p>
        </w:tc>
        <w:tc>
          <w:tcPr>
            <w:tcW w:w="0" w:type="auto"/>
            <w:shd w:val="clear" w:color="auto" w:fill="auto"/>
            <w:vAlign w:val="bottom"/>
          </w:tcPr>
          <w:p w14:paraId="71D3FDC2" w14:textId="77777777" w:rsidR="006A3667" w:rsidRDefault="006A3667">
            <w:pPr>
              <w:rPr>
                <w:rFonts w:ascii="宋体"/>
                <w:vanish/>
              </w:rPr>
            </w:pPr>
          </w:p>
        </w:tc>
        <w:tc>
          <w:tcPr>
            <w:tcW w:w="0" w:type="auto"/>
            <w:shd w:val="clear" w:color="auto" w:fill="auto"/>
            <w:vAlign w:val="bottom"/>
          </w:tcPr>
          <w:p w14:paraId="71D3FDC3" w14:textId="77777777" w:rsidR="006A3667" w:rsidRDefault="006A3667">
            <w:pPr>
              <w:rPr>
                <w:rFonts w:ascii="宋体"/>
                <w:vanish/>
              </w:rPr>
            </w:pPr>
          </w:p>
        </w:tc>
        <w:tc>
          <w:tcPr>
            <w:tcW w:w="0" w:type="auto"/>
            <w:shd w:val="clear" w:color="auto" w:fill="auto"/>
            <w:vAlign w:val="bottom"/>
          </w:tcPr>
          <w:p w14:paraId="71D3FDC4" w14:textId="77777777" w:rsidR="006A3667" w:rsidRDefault="006A3667">
            <w:pPr>
              <w:rPr>
                <w:rFonts w:ascii="宋体"/>
                <w:vanish/>
              </w:rPr>
            </w:pPr>
          </w:p>
        </w:tc>
        <w:tc>
          <w:tcPr>
            <w:tcW w:w="0" w:type="auto"/>
            <w:shd w:val="clear" w:color="auto" w:fill="auto"/>
            <w:vAlign w:val="bottom"/>
          </w:tcPr>
          <w:p w14:paraId="71D3FDC5" w14:textId="77777777" w:rsidR="006A3667" w:rsidRDefault="006A3667">
            <w:pPr>
              <w:rPr>
                <w:rFonts w:ascii="宋体"/>
                <w:vanish/>
              </w:rPr>
            </w:pPr>
          </w:p>
        </w:tc>
        <w:tc>
          <w:tcPr>
            <w:tcW w:w="0" w:type="auto"/>
            <w:shd w:val="clear" w:color="auto" w:fill="auto"/>
            <w:vAlign w:val="bottom"/>
          </w:tcPr>
          <w:p w14:paraId="71D3FDC6"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DC7"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DC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DC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3FDCA"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3FD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DCC" w14:textId="77777777" w:rsidR="006A3667" w:rsidRDefault="006A3667">
            <w:pPr>
              <w:rPr>
                <w:rFonts w:ascii="宋体"/>
              </w:rPr>
            </w:pPr>
          </w:p>
        </w:tc>
        <w:tc>
          <w:tcPr>
            <w:tcW w:w="0" w:type="auto"/>
            <w:gridSpan w:val="3"/>
            <w:shd w:val="clear" w:color="auto" w:fill="auto"/>
            <w:vAlign w:val="bottom"/>
          </w:tcPr>
          <w:p w14:paraId="71D3FDCD" w14:textId="77777777" w:rsidR="006A3667" w:rsidRDefault="006A3667">
            <w:pPr>
              <w:rPr>
                <w:rFonts w:ascii="宋体"/>
                <w:vanish/>
              </w:rPr>
            </w:pPr>
          </w:p>
        </w:tc>
        <w:tc>
          <w:tcPr>
            <w:tcW w:w="0" w:type="auto"/>
            <w:gridSpan w:val="3"/>
            <w:shd w:val="clear" w:color="auto" w:fill="auto"/>
            <w:vAlign w:val="bottom"/>
          </w:tcPr>
          <w:p w14:paraId="71D3FDCE" w14:textId="77777777" w:rsidR="006A3667" w:rsidRDefault="006A3667">
            <w:pPr>
              <w:rPr>
                <w:rFonts w:ascii="宋体"/>
                <w:vanish/>
              </w:rPr>
            </w:pPr>
          </w:p>
        </w:tc>
        <w:tc>
          <w:tcPr>
            <w:tcW w:w="0" w:type="auto"/>
            <w:gridSpan w:val="3"/>
            <w:shd w:val="clear" w:color="auto" w:fill="FFFFFF"/>
            <w:tcMar>
              <w:top w:w="40" w:type="dxa"/>
              <w:left w:w="20" w:type="dxa"/>
              <w:bottom w:w="40" w:type="dxa"/>
              <w:right w:w="140" w:type="dxa"/>
            </w:tcMar>
            <w:vAlign w:val="bottom"/>
          </w:tcPr>
          <w:p w14:paraId="71D3FDCF"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FDD0" w14:textId="77777777" w:rsidR="006A3667" w:rsidRDefault="006A3667">
            <w:pPr>
              <w:rPr>
                <w:rFonts w:ascii="宋体"/>
                <w:vanish/>
              </w:rPr>
            </w:pPr>
          </w:p>
        </w:tc>
        <w:tc>
          <w:tcPr>
            <w:tcW w:w="0" w:type="auto"/>
            <w:gridSpan w:val="3"/>
            <w:shd w:val="clear" w:color="auto" w:fill="auto"/>
            <w:vAlign w:val="bottom"/>
          </w:tcPr>
          <w:p w14:paraId="71D3FDD1" w14:textId="77777777" w:rsidR="006A3667" w:rsidRDefault="006A3667">
            <w:pPr>
              <w:rPr>
                <w:rFonts w:ascii="宋体"/>
                <w:vanish/>
              </w:rPr>
            </w:pPr>
          </w:p>
        </w:tc>
      </w:tr>
      <w:tr w:rsidR="006A3667" w14:paraId="71D3FDE5" w14:textId="77777777">
        <w:tc>
          <w:tcPr>
            <w:tcW w:w="0" w:type="auto"/>
            <w:gridSpan w:val="3"/>
            <w:shd w:val="clear" w:color="auto" w:fill="CCEEFF"/>
            <w:tcMar>
              <w:top w:w="40" w:type="dxa"/>
              <w:left w:w="20" w:type="dxa"/>
              <w:bottom w:w="40" w:type="dxa"/>
              <w:right w:w="20" w:type="dxa"/>
            </w:tcMar>
            <w:vAlign w:val="bottom"/>
          </w:tcPr>
          <w:p w14:paraId="71D3FDD3" w14:textId="77777777" w:rsidR="006A3667" w:rsidRDefault="00045F32">
            <w:pPr>
              <w:textAlignment w:val="bottom"/>
            </w:pPr>
            <w:r>
              <w:rPr>
                <w:rFonts w:ascii="Arial" w:eastAsia="宋体" w:hAnsi="Arial" w:cs="Arial"/>
                <w:color w:val="000000"/>
                <w:sz w:val="15"/>
                <w:szCs w:val="15"/>
              </w:rPr>
              <w:t>Other fee revenue</w:t>
            </w:r>
            <w:r>
              <w:rPr>
                <w:rFonts w:ascii="Arial" w:eastAsia="宋体" w:hAnsi="Arial" w:cs="Arial"/>
                <w:color w:val="000000"/>
                <w:sz w:val="9"/>
                <w:szCs w:val="9"/>
              </w:rPr>
              <w:t>(1)</w:t>
            </w:r>
          </w:p>
        </w:tc>
        <w:tc>
          <w:tcPr>
            <w:tcW w:w="0" w:type="auto"/>
            <w:shd w:val="clear" w:color="auto" w:fill="auto"/>
            <w:vAlign w:val="bottom"/>
          </w:tcPr>
          <w:p w14:paraId="71D3FDD4" w14:textId="77777777" w:rsidR="006A3667" w:rsidRDefault="006A3667">
            <w:pPr>
              <w:rPr>
                <w:rFonts w:ascii="宋体"/>
                <w:vanish/>
              </w:rPr>
            </w:pPr>
          </w:p>
        </w:tc>
        <w:tc>
          <w:tcPr>
            <w:tcW w:w="0" w:type="auto"/>
            <w:shd w:val="clear" w:color="auto" w:fill="auto"/>
            <w:vAlign w:val="bottom"/>
          </w:tcPr>
          <w:p w14:paraId="71D3FDD5" w14:textId="77777777" w:rsidR="006A3667" w:rsidRDefault="006A3667">
            <w:pPr>
              <w:rPr>
                <w:rFonts w:ascii="宋体"/>
                <w:vanish/>
              </w:rPr>
            </w:pPr>
          </w:p>
        </w:tc>
        <w:tc>
          <w:tcPr>
            <w:tcW w:w="0" w:type="auto"/>
            <w:shd w:val="clear" w:color="auto" w:fill="auto"/>
            <w:vAlign w:val="bottom"/>
          </w:tcPr>
          <w:p w14:paraId="71D3FDD6" w14:textId="77777777" w:rsidR="006A3667" w:rsidRDefault="006A3667">
            <w:pPr>
              <w:rPr>
                <w:rFonts w:ascii="宋体"/>
                <w:vanish/>
              </w:rPr>
            </w:pPr>
          </w:p>
        </w:tc>
        <w:tc>
          <w:tcPr>
            <w:tcW w:w="0" w:type="auto"/>
            <w:shd w:val="clear" w:color="auto" w:fill="auto"/>
            <w:vAlign w:val="bottom"/>
          </w:tcPr>
          <w:p w14:paraId="71D3FDD7" w14:textId="77777777" w:rsidR="006A3667" w:rsidRDefault="006A3667">
            <w:pPr>
              <w:rPr>
                <w:rFonts w:ascii="宋体"/>
                <w:vanish/>
              </w:rPr>
            </w:pPr>
          </w:p>
        </w:tc>
        <w:tc>
          <w:tcPr>
            <w:tcW w:w="0" w:type="auto"/>
            <w:shd w:val="clear" w:color="auto" w:fill="auto"/>
            <w:vAlign w:val="bottom"/>
          </w:tcPr>
          <w:p w14:paraId="71D3FDD8" w14:textId="77777777" w:rsidR="006A3667" w:rsidRDefault="006A3667">
            <w:pPr>
              <w:rPr>
                <w:rFonts w:ascii="宋体"/>
                <w:vanish/>
              </w:rPr>
            </w:pPr>
          </w:p>
        </w:tc>
        <w:tc>
          <w:tcPr>
            <w:tcW w:w="0" w:type="auto"/>
            <w:shd w:val="clear" w:color="auto" w:fill="auto"/>
            <w:vAlign w:val="bottom"/>
          </w:tcPr>
          <w:p w14:paraId="71D3FDD9"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DDA" w14:textId="77777777" w:rsidR="006A3667" w:rsidRDefault="00045F32">
            <w:pPr>
              <w:jc w:val="right"/>
              <w:textAlignment w:val="bottom"/>
            </w:pPr>
            <w:r>
              <w:rPr>
                <w:rFonts w:ascii="Arial" w:eastAsia="宋体" w:hAnsi="Arial" w:cs="Arial"/>
                <w:b/>
                <w:bCs/>
                <w:color w:val="000000"/>
                <w:sz w:val="15"/>
                <w:szCs w:val="15"/>
              </w:rPr>
              <w:t>(65)</w:t>
            </w:r>
          </w:p>
        </w:tc>
        <w:tc>
          <w:tcPr>
            <w:tcW w:w="0" w:type="auto"/>
            <w:shd w:val="clear" w:color="auto" w:fill="CCEEFF"/>
            <w:tcMar>
              <w:top w:w="40" w:type="dxa"/>
              <w:left w:w="0" w:type="dxa"/>
              <w:bottom w:w="40" w:type="dxa"/>
              <w:right w:w="20" w:type="dxa"/>
            </w:tcMar>
            <w:vAlign w:val="bottom"/>
          </w:tcPr>
          <w:p w14:paraId="71D3FD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DD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DDD" w14:textId="77777777" w:rsidR="006A3667" w:rsidRDefault="00045F32">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71D3FDD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DDF" w14:textId="77777777" w:rsidR="006A3667" w:rsidRDefault="006A3667">
            <w:pPr>
              <w:rPr>
                <w:rFonts w:ascii="宋体"/>
              </w:rPr>
            </w:pPr>
          </w:p>
        </w:tc>
        <w:tc>
          <w:tcPr>
            <w:tcW w:w="0" w:type="auto"/>
            <w:gridSpan w:val="3"/>
            <w:shd w:val="clear" w:color="auto" w:fill="auto"/>
            <w:vAlign w:val="bottom"/>
          </w:tcPr>
          <w:p w14:paraId="71D3FDE0" w14:textId="77777777" w:rsidR="006A3667" w:rsidRDefault="006A3667">
            <w:pPr>
              <w:rPr>
                <w:rFonts w:ascii="宋体"/>
                <w:vanish/>
              </w:rPr>
            </w:pPr>
          </w:p>
        </w:tc>
        <w:tc>
          <w:tcPr>
            <w:tcW w:w="0" w:type="auto"/>
            <w:gridSpan w:val="3"/>
            <w:shd w:val="clear" w:color="auto" w:fill="auto"/>
            <w:vAlign w:val="bottom"/>
          </w:tcPr>
          <w:p w14:paraId="71D3FDE1" w14:textId="77777777" w:rsidR="006A3667" w:rsidRDefault="006A3667">
            <w:pPr>
              <w:rPr>
                <w:rFonts w:ascii="宋体"/>
                <w:vanish/>
              </w:rPr>
            </w:pPr>
          </w:p>
        </w:tc>
        <w:tc>
          <w:tcPr>
            <w:tcW w:w="0" w:type="auto"/>
            <w:gridSpan w:val="3"/>
            <w:shd w:val="clear" w:color="auto" w:fill="CCEEFF"/>
            <w:tcMar>
              <w:top w:w="40" w:type="dxa"/>
              <w:left w:w="20" w:type="dxa"/>
              <w:bottom w:w="40" w:type="dxa"/>
              <w:right w:w="140" w:type="dxa"/>
            </w:tcMar>
            <w:vAlign w:val="bottom"/>
          </w:tcPr>
          <w:p w14:paraId="71D3FDE2" w14:textId="77777777" w:rsidR="006A3667" w:rsidRDefault="00045F32">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71D3FDE3" w14:textId="77777777" w:rsidR="006A3667" w:rsidRDefault="006A3667">
            <w:pPr>
              <w:rPr>
                <w:rFonts w:ascii="宋体"/>
                <w:vanish/>
              </w:rPr>
            </w:pPr>
          </w:p>
        </w:tc>
        <w:tc>
          <w:tcPr>
            <w:tcW w:w="0" w:type="auto"/>
            <w:gridSpan w:val="3"/>
            <w:shd w:val="clear" w:color="auto" w:fill="auto"/>
            <w:vAlign w:val="bottom"/>
          </w:tcPr>
          <w:p w14:paraId="71D3FDE4" w14:textId="77777777" w:rsidR="006A3667" w:rsidRDefault="006A3667">
            <w:pPr>
              <w:rPr>
                <w:rFonts w:ascii="宋体"/>
                <w:vanish/>
              </w:rPr>
            </w:pPr>
          </w:p>
        </w:tc>
      </w:tr>
      <w:tr w:rsidR="006A3667" w14:paraId="71D3FDF9" w14:textId="77777777">
        <w:tc>
          <w:tcPr>
            <w:tcW w:w="0" w:type="auto"/>
            <w:gridSpan w:val="3"/>
            <w:shd w:val="clear" w:color="auto" w:fill="FFFFFF"/>
            <w:tcMar>
              <w:top w:w="40" w:type="dxa"/>
              <w:left w:w="20" w:type="dxa"/>
              <w:bottom w:w="40" w:type="dxa"/>
              <w:right w:w="20" w:type="dxa"/>
            </w:tcMar>
            <w:vAlign w:val="bottom"/>
          </w:tcPr>
          <w:p w14:paraId="71D3FDE6" w14:textId="77777777" w:rsidR="006A3667" w:rsidRDefault="00045F32">
            <w:pPr>
              <w:textAlignment w:val="bottom"/>
            </w:pPr>
            <w:r>
              <w:rPr>
                <w:rFonts w:ascii="Arial" w:eastAsia="宋体" w:hAnsi="Arial" w:cs="Arial"/>
                <w:color w:val="000000"/>
                <w:sz w:val="15"/>
                <w:szCs w:val="15"/>
              </w:rPr>
              <w:t>Total fee revenue</w:t>
            </w:r>
          </w:p>
        </w:tc>
        <w:tc>
          <w:tcPr>
            <w:tcW w:w="0" w:type="auto"/>
            <w:shd w:val="clear" w:color="auto" w:fill="auto"/>
            <w:vAlign w:val="bottom"/>
          </w:tcPr>
          <w:p w14:paraId="71D3FDE7" w14:textId="77777777" w:rsidR="006A3667" w:rsidRDefault="006A3667">
            <w:pPr>
              <w:rPr>
                <w:rFonts w:ascii="宋体"/>
                <w:vanish/>
              </w:rPr>
            </w:pPr>
          </w:p>
        </w:tc>
        <w:tc>
          <w:tcPr>
            <w:tcW w:w="0" w:type="auto"/>
            <w:shd w:val="clear" w:color="auto" w:fill="auto"/>
            <w:vAlign w:val="bottom"/>
          </w:tcPr>
          <w:p w14:paraId="71D3FDE8" w14:textId="77777777" w:rsidR="006A3667" w:rsidRDefault="006A3667">
            <w:pPr>
              <w:rPr>
                <w:rFonts w:ascii="宋体"/>
                <w:vanish/>
              </w:rPr>
            </w:pPr>
          </w:p>
        </w:tc>
        <w:tc>
          <w:tcPr>
            <w:tcW w:w="0" w:type="auto"/>
            <w:shd w:val="clear" w:color="auto" w:fill="auto"/>
            <w:vAlign w:val="bottom"/>
          </w:tcPr>
          <w:p w14:paraId="71D3FDE9" w14:textId="77777777" w:rsidR="006A3667" w:rsidRDefault="006A3667">
            <w:pPr>
              <w:rPr>
                <w:rFonts w:ascii="宋体"/>
                <w:vanish/>
              </w:rPr>
            </w:pPr>
          </w:p>
        </w:tc>
        <w:tc>
          <w:tcPr>
            <w:tcW w:w="0" w:type="auto"/>
            <w:shd w:val="clear" w:color="auto" w:fill="auto"/>
            <w:vAlign w:val="bottom"/>
          </w:tcPr>
          <w:p w14:paraId="71D3FDEA" w14:textId="77777777" w:rsidR="006A3667" w:rsidRDefault="006A3667">
            <w:pPr>
              <w:rPr>
                <w:rFonts w:ascii="宋体"/>
                <w:vanish/>
              </w:rPr>
            </w:pPr>
          </w:p>
        </w:tc>
        <w:tc>
          <w:tcPr>
            <w:tcW w:w="0" w:type="auto"/>
            <w:shd w:val="clear" w:color="auto" w:fill="auto"/>
            <w:vAlign w:val="bottom"/>
          </w:tcPr>
          <w:p w14:paraId="71D3FDEB" w14:textId="77777777" w:rsidR="006A3667" w:rsidRDefault="006A3667">
            <w:pPr>
              <w:rPr>
                <w:rFonts w:ascii="宋体"/>
                <w:vanish/>
              </w:rPr>
            </w:pPr>
          </w:p>
        </w:tc>
        <w:tc>
          <w:tcPr>
            <w:tcW w:w="0" w:type="auto"/>
            <w:shd w:val="clear" w:color="auto" w:fill="auto"/>
            <w:vAlign w:val="bottom"/>
          </w:tcPr>
          <w:p w14:paraId="71D3FDEC"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DED" w14:textId="77777777" w:rsidR="006A3667" w:rsidRDefault="00045F32">
            <w:pPr>
              <w:jc w:val="right"/>
              <w:textAlignment w:val="bottom"/>
            </w:pPr>
            <w:r>
              <w:rPr>
                <w:rFonts w:ascii="Arial" w:eastAsia="宋体" w:hAnsi="Arial" w:cs="Arial"/>
                <w:b/>
                <w:bCs/>
                <w:color w:val="000000"/>
                <w:sz w:val="15"/>
                <w:szCs w:val="15"/>
              </w:rPr>
              <w:t>1,491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D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DE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DF0" w14:textId="77777777" w:rsidR="006A3667" w:rsidRDefault="00045F32">
            <w:pPr>
              <w:jc w:val="right"/>
              <w:textAlignment w:val="bottom"/>
            </w:pPr>
            <w:r>
              <w:rPr>
                <w:rFonts w:ascii="Arial" w:eastAsia="宋体" w:hAnsi="Arial" w:cs="Arial"/>
                <w:color w:val="000000"/>
                <w:sz w:val="15"/>
                <w:szCs w:val="15"/>
              </w:rPr>
              <w:t>1,578 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D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DF2" w14:textId="77777777" w:rsidR="006A3667" w:rsidRDefault="006A3667">
            <w:pPr>
              <w:rPr>
                <w:rFonts w:ascii="宋体"/>
              </w:rPr>
            </w:pPr>
          </w:p>
        </w:tc>
        <w:tc>
          <w:tcPr>
            <w:tcW w:w="0" w:type="auto"/>
            <w:gridSpan w:val="3"/>
            <w:shd w:val="clear" w:color="auto" w:fill="auto"/>
            <w:vAlign w:val="bottom"/>
          </w:tcPr>
          <w:p w14:paraId="71D3FDF3" w14:textId="77777777" w:rsidR="006A3667" w:rsidRDefault="006A3667">
            <w:pPr>
              <w:rPr>
                <w:rFonts w:ascii="宋体"/>
                <w:vanish/>
              </w:rPr>
            </w:pPr>
          </w:p>
        </w:tc>
        <w:tc>
          <w:tcPr>
            <w:tcW w:w="0" w:type="auto"/>
            <w:gridSpan w:val="3"/>
            <w:shd w:val="clear" w:color="auto" w:fill="auto"/>
            <w:vAlign w:val="bottom"/>
          </w:tcPr>
          <w:p w14:paraId="71D3FDF4"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DF5" w14:textId="77777777" w:rsidR="006A3667" w:rsidRDefault="00045F32">
            <w:pPr>
              <w:jc w:val="right"/>
              <w:textAlignment w:val="bottom"/>
            </w:pPr>
            <w:r>
              <w:rPr>
                <w:rFonts w:ascii="Arial" w:eastAsia="宋体" w:hAnsi="Arial" w:cs="Arial"/>
                <w:color w:val="000000"/>
                <w:sz w:val="15"/>
                <w:szCs w:val="15"/>
              </w:rPr>
              <w:t>(6)</w:t>
            </w:r>
          </w:p>
        </w:tc>
        <w:tc>
          <w:tcPr>
            <w:tcW w:w="0" w:type="auto"/>
            <w:shd w:val="clear" w:color="auto" w:fill="FFFFFF"/>
            <w:tcMar>
              <w:top w:w="40" w:type="dxa"/>
              <w:left w:w="0" w:type="dxa"/>
              <w:bottom w:w="40" w:type="dxa"/>
              <w:right w:w="20" w:type="dxa"/>
            </w:tcMar>
            <w:vAlign w:val="bottom"/>
          </w:tcPr>
          <w:p w14:paraId="71D3FDF6" w14:textId="77777777" w:rsidR="006A3667" w:rsidRDefault="006A3667">
            <w:pPr>
              <w:jc w:val="right"/>
              <w:rPr>
                <w:rFonts w:ascii="宋体"/>
              </w:rPr>
            </w:pPr>
          </w:p>
        </w:tc>
        <w:tc>
          <w:tcPr>
            <w:tcW w:w="0" w:type="auto"/>
            <w:gridSpan w:val="3"/>
            <w:shd w:val="clear" w:color="auto" w:fill="auto"/>
            <w:vAlign w:val="bottom"/>
          </w:tcPr>
          <w:p w14:paraId="71D3FDF7" w14:textId="77777777" w:rsidR="006A3667" w:rsidRDefault="006A3667">
            <w:pPr>
              <w:rPr>
                <w:rFonts w:ascii="宋体"/>
                <w:vanish/>
              </w:rPr>
            </w:pPr>
          </w:p>
        </w:tc>
        <w:tc>
          <w:tcPr>
            <w:tcW w:w="0" w:type="auto"/>
            <w:gridSpan w:val="3"/>
            <w:shd w:val="clear" w:color="auto" w:fill="auto"/>
            <w:vAlign w:val="bottom"/>
          </w:tcPr>
          <w:p w14:paraId="71D3FDF8" w14:textId="77777777" w:rsidR="006A3667" w:rsidRDefault="006A3667">
            <w:pPr>
              <w:rPr>
                <w:rFonts w:ascii="宋体"/>
                <w:vanish/>
              </w:rPr>
            </w:pPr>
          </w:p>
        </w:tc>
      </w:tr>
      <w:tr w:rsidR="006A3667" w14:paraId="71D3FE0D" w14:textId="77777777">
        <w:tc>
          <w:tcPr>
            <w:tcW w:w="0" w:type="auto"/>
            <w:gridSpan w:val="3"/>
            <w:shd w:val="clear" w:color="auto" w:fill="CCEEFF"/>
            <w:tcMar>
              <w:top w:w="40" w:type="dxa"/>
              <w:left w:w="20" w:type="dxa"/>
              <w:bottom w:w="40" w:type="dxa"/>
              <w:right w:w="20" w:type="dxa"/>
            </w:tcMar>
            <w:vAlign w:val="bottom"/>
          </w:tcPr>
          <w:p w14:paraId="71D3FDFA" w14:textId="77777777" w:rsidR="006A3667" w:rsidRDefault="00045F32">
            <w:pPr>
              <w:textAlignment w:val="bottom"/>
            </w:pPr>
            <w:r>
              <w:rPr>
                <w:rFonts w:ascii="Arial" w:eastAsia="宋体" w:hAnsi="Arial" w:cs="Arial"/>
                <w:color w:val="000000"/>
                <w:sz w:val="15"/>
                <w:szCs w:val="15"/>
              </w:rPr>
              <w:t>Net interest income</w:t>
            </w:r>
          </w:p>
        </w:tc>
        <w:tc>
          <w:tcPr>
            <w:tcW w:w="0" w:type="auto"/>
            <w:shd w:val="clear" w:color="auto" w:fill="auto"/>
            <w:vAlign w:val="bottom"/>
          </w:tcPr>
          <w:p w14:paraId="71D3FDFB" w14:textId="77777777" w:rsidR="006A3667" w:rsidRDefault="006A3667">
            <w:pPr>
              <w:rPr>
                <w:rFonts w:ascii="宋体"/>
                <w:vanish/>
              </w:rPr>
            </w:pPr>
          </w:p>
        </w:tc>
        <w:tc>
          <w:tcPr>
            <w:tcW w:w="0" w:type="auto"/>
            <w:shd w:val="clear" w:color="auto" w:fill="auto"/>
            <w:vAlign w:val="bottom"/>
          </w:tcPr>
          <w:p w14:paraId="71D3FDFC" w14:textId="77777777" w:rsidR="006A3667" w:rsidRDefault="006A3667">
            <w:pPr>
              <w:rPr>
                <w:rFonts w:ascii="宋体"/>
                <w:vanish/>
              </w:rPr>
            </w:pPr>
          </w:p>
        </w:tc>
        <w:tc>
          <w:tcPr>
            <w:tcW w:w="0" w:type="auto"/>
            <w:shd w:val="clear" w:color="auto" w:fill="auto"/>
            <w:vAlign w:val="bottom"/>
          </w:tcPr>
          <w:p w14:paraId="71D3FDFD" w14:textId="77777777" w:rsidR="006A3667" w:rsidRDefault="006A3667">
            <w:pPr>
              <w:rPr>
                <w:rFonts w:ascii="宋体"/>
                <w:vanish/>
              </w:rPr>
            </w:pPr>
          </w:p>
        </w:tc>
        <w:tc>
          <w:tcPr>
            <w:tcW w:w="0" w:type="auto"/>
            <w:shd w:val="clear" w:color="auto" w:fill="auto"/>
            <w:vAlign w:val="bottom"/>
          </w:tcPr>
          <w:p w14:paraId="71D3FDFE" w14:textId="77777777" w:rsidR="006A3667" w:rsidRDefault="006A3667">
            <w:pPr>
              <w:rPr>
                <w:rFonts w:ascii="宋体"/>
                <w:vanish/>
              </w:rPr>
            </w:pPr>
          </w:p>
        </w:tc>
        <w:tc>
          <w:tcPr>
            <w:tcW w:w="0" w:type="auto"/>
            <w:shd w:val="clear" w:color="auto" w:fill="auto"/>
            <w:vAlign w:val="bottom"/>
          </w:tcPr>
          <w:p w14:paraId="71D3FDFF" w14:textId="77777777" w:rsidR="006A3667" w:rsidRDefault="006A3667">
            <w:pPr>
              <w:rPr>
                <w:rFonts w:ascii="宋体"/>
                <w:vanish/>
              </w:rPr>
            </w:pPr>
          </w:p>
        </w:tc>
        <w:tc>
          <w:tcPr>
            <w:tcW w:w="0" w:type="auto"/>
            <w:shd w:val="clear" w:color="auto" w:fill="auto"/>
            <w:vAlign w:val="bottom"/>
          </w:tcPr>
          <w:p w14:paraId="71D3FE00"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E01" w14:textId="77777777" w:rsidR="006A3667" w:rsidRDefault="00045F32">
            <w:pPr>
              <w:jc w:val="right"/>
              <w:textAlignment w:val="bottom"/>
            </w:pPr>
            <w:r>
              <w:rPr>
                <w:rFonts w:ascii="Arial" w:eastAsia="宋体" w:hAnsi="Arial" w:cs="Arial"/>
                <w:b/>
                <w:bCs/>
                <w:color w:val="000000"/>
                <w:sz w:val="15"/>
                <w:szCs w:val="15"/>
              </w:rPr>
              <w:t>(7)</w:t>
            </w:r>
          </w:p>
        </w:tc>
        <w:tc>
          <w:tcPr>
            <w:tcW w:w="0" w:type="auto"/>
            <w:shd w:val="clear" w:color="auto" w:fill="CCEEFF"/>
            <w:tcMar>
              <w:top w:w="40" w:type="dxa"/>
              <w:left w:w="0" w:type="dxa"/>
              <w:bottom w:w="40" w:type="dxa"/>
              <w:right w:w="20" w:type="dxa"/>
            </w:tcMar>
            <w:vAlign w:val="bottom"/>
          </w:tcPr>
          <w:p w14:paraId="71D3FE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E0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E04" w14:textId="77777777" w:rsidR="006A3667" w:rsidRDefault="00045F32">
            <w:pPr>
              <w:jc w:val="right"/>
              <w:textAlignment w:val="bottom"/>
            </w:pPr>
            <w:r>
              <w:rPr>
                <w:rFonts w:ascii="Arial" w:eastAsia="宋体" w:hAnsi="Arial" w:cs="Arial"/>
                <w:color w:val="000000"/>
                <w:sz w:val="15"/>
                <w:szCs w:val="15"/>
              </w:rPr>
              <w:t>(11)</w:t>
            </w:r>
          </w:p>
        </w:tc>
        <w:tc>
          <w:tcPr>
            <w:tcW w:w="0" w:type="auto"/>
            <w:shd w:val="clear" w:color="auto" w:fill="CCEEFF"/>
            <w:tcMar>
              <w:top w:w="40" w:type="dxa"/>
              <w:left w:w="0" w:type="dxa"/>
              <w:bottom w:w="40" w:type="dxa"/>
              <w:right w:w="20" w:type="dxa"/>
            </w:tcMar>
            <w:vAlign w:val="bottom"/>
          </w:tcPr>
          <w:p w14:paraId="71D3FE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E06" w14:textId="77777777" w:rsidR="006A3667" w:rsidRDefault="006A3667">
            <w:pPr>
              <w:rPr>
                <w:rFonts w:ascii="宋体"/>
              </w:rPr>
            </w:pPr>
          </w:p>
        </w:tc>
        <w:tc>
          <w:tcPr>
            <w:tcW w:w="0" w:type="auto"/>
            <w:gridSpan w:val="3"/>
            <w:shd w:val="clear" w:color="auto" w:fill="auto"/>
            <w:vAlign w:val="bottom"/>
          </w:tcPr>
          <w:p w14:paraId="71D3FE07" w14:textId="77777777" w:rsidR="006A3667" w:rsidRDefault="006A3667">
            <w:pPr>
              <w:rPr>
                <w:rFonts w:ascii="宋体"/>
                <w:vanish/>
              </w:rPr>
            </w:pPr>
          </w:p>
        </w:tc>
        <w:tc>
          <w:tcPr>
            <w:tcW w:w="0" w:type="auto"/>
            <w:gridSpan w:val="3"/>
            <w:shd w:val="clear" w:color="auto" w:fill="auto"/>
            <w:vAlign w:val="bottom"/>
          </w:tcPr>
          <w:p w14:paraId="71D3FE08"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E09" w14:textId="77777777" w:rsidR="006A3667" w:rsidRDefault="00045F32">
            <w:pPr>
              <w:jc w:val="right"/>
              <w:textAlignment w:val="bottom"/>
            </w:pPr>
            <w:r>
              <w:rPr>
                <w:rFonts w:ascii="Arial" w:eastAsia="宋体" w:hAnsi="Arial" w:cs="Arial"/>
                <w:color w:val="000000"/>
                <w:sz w:val="15"/>
                <w:szCs w:val="15"/>
              </w:rPr>
              <w:t>(36)</w:t>
            </w:r>
          </w:p>
        </w:tc>
        <w:tc>
          <w:tcPr>
            <w:tcW w:w="0" w:type="auto"/>
            <w:shd w:val="clear" w:color="auto" w:fill="CCEEFF"/>
            <w:tcMar>
              <w:top w:w="40" w:type="dxa"/>
              <w:left w:w="0" w:type="dxa"/>
              <w:bottom w:w="40" w:type="dxa"/>
              <w:right w:w="20" w:type="dxa"/>
            </w:tcMar>
            <w:vAlign w:val="bottom"/>
          </w:tcPr>
          <w:p w14:paraId="71D3FE0A" w14:textId="77777777" w:rsidR="006A3667" w:rsidRDefault="006A3667">
            <w:pPr>
              <w:jc w:val="right"/>
              <w:rPr>
                <w:rFonts w:ascii="宋体"/>
              </w:rPr>
            </w:pPr>
          </w:p>
        </w:tc>
        <w:tc>
          <w:tcPr>
            <w:tcW w:w="0" w:type="auto"/>
            <w:gridSpan w:val="3"/>
            <w:shd w:val="clear" w:color="auto" w:fill="auto"/>
            <w:vAlign w:val="bottom"/>
          </w:tcPr>
          <w:p w14:paraId="71D3FE0B" w14:textId="77777777" w:rsidR="006A3667" w:rsidRDefault="006A3667">
            <w:pPr>
              <w:rPr>
                <w:rFonts w:ascii="宋体"/>
                <w:vanish/>
              </w:rPr>
            </w:pPr>
          </w:p>
        </w:tc>
        <w:tc>
          <w:tcPr>
            <w:tcW w:w="0" w:type="auto"/>
            <w:gridSpan w:val="3"/>
            <w:shd w:val="clear" w:color="auto" w:fill="auto"/>
            <w:vAlign w:val="bottom"/>
          </w:tcPr>
          <w:p w14:paraId="71D3FE0C" w14:textId="77777777" w:rsidR="006A3667" w:rsidRDefault="006A3667">
            <w:pPr>
              <w:rPr>
                <w:rFonts w:ascii="宋体"/>
                <w:vanish/>
              </w:rPr>
            </w:pPr>
          </w:p>
        </w:tc>
      </w:tr>
      <w:tr w:rsidR="006A3667" w14:paraId="71D3FE21" w14:textId="77777777">
        <w:tc>
          <w:tcPr>
            <w:tcW w:w="0" w:type="auto"/>
            <w:gridSpan w:val="3"/>
            <w:shd w:val="clear" w:color="auto" w:fill="FFFFFF"/>
            <w:tcMar>
              <w:top w:w="40" w:type="dxa"/>
              <w:left w:w="20" w:type="dxa"/>
              <w:bottom w:w="40" w:type="dxa"/>
              <w:right w:w="20" w:type="dxa"/>
            </w:tcMar>
            <w:vAlign w:val="bottom"/>
          </w:tcPr>
          <w:p w14:paraId="71D3FE0E" w14:textId="77777777" w:rsidR="006A3667" w:rsidRDefault="00045F32">
            <w:pPr>
              <w:textAlignment w:val="bottom"/>
            </w:pPr>
            <w:r>
              <w:rPr>
                <w:rFonts w:ascii="Arial" w:eastAsia="宋体" w:hAnsi="Arial" w:cs="Arial"/>
                <w:b/>
                <w:bCs/>
                <w:color w:val="000000"/>
                <w:sz w:val="15"/>
                <w:szCs w:val="15"/>
              </w:rPr>
              <w:t>Total revenue</w:t>
            </w:r>
          </w:p>
        </w:tc>
        <w:tc>
          <w:tcPr>
            <w:tcW w:w="0" w:type="auto"/>
            <w:shd w:val="clear" w:color="auto" w:fill="auto"/>
            <w:vAlign w:val="bottom"/>
          </w:tcPr>
          <w:p w14:paraId="71D3FE0F" w14:textId="77777777" w:rsidR="006A3667" w:rsidRDefault="006A3667">
            <w:pPr>
              <w:rPr>
                <w:rFonts w:ascii="宋体"/>
                <w:vanish/>
              </w:rPr>
            </w:pPr>
          </w:p>
        </w:tc>
        <w:tc>
          <w:tcPr>
            <w:tcW w:w="0" w:type="auto"/>
            <w:shd w:val="clear" w:color="auto" w:fill="auto"/>
            <w:vAlign w:val="bottom"/>
          </w:tcPr>
          <w:p w14:paraId="71D3FE10" w14:textId="77777777" w:rsidR="006A3667" w:rsidRDefault="006A3667">
            <w:pPr>
              <w:rPr>
                <w:rFonts w:ascii="宋体"/>
                <w:vanish/>
              </w:rPr>
            </w:pPr>
          </w:p>
        </w:tc>
        <w:tc>
          <w:tcPr>
            <w:tcW w:w="0" w:type="auto"/>
            <w:shd w:val="clear" w:color="auto" w:fill="auto"/>
            <w:vAlign w:val="bottom"/>
          </w:tcPr>
          <w:p w14:paraId="71D3FE11" w14:textId="77777777" w:rsidR="006A3667" w:rsidRDefault="006A3667">
            <w:pPr>
              <w:rPr>
                <w:rFonts w:ascii="宋体"/>
                <w:vanish/>
              </w:rPr>
            </w:pPr>
          </w:p>
        </w:tc>
        <w:tc>
          <w:tcPr>
            <w:tcW w:w="0" w:type="auto"/>
            <w:shd w:val="clear" w:color="auto" w:fill="auto"/>
            <w:vAlign w:val="bottom"/>
          </w:tcPr>
          <w:p w14:paraId="71D3FE12" w14:textId="77777777" w:rsidR="006A3667" w:rsidRDefault="006A3667">
            <w:pPr>
              <w:rPr>
                <w:rFonts w:ascii="宋体"/>
                <w:vanish/>
              </w:rPr>
            </w:pPr>
          </w:p>
        </w:tc>
        <w:tc>
          <w:tcPr>
            <w:tcW w:w="0" w:type="auto"/>
            <w:shd w:val="clear" w:color="auto" w:fill="auto"/>
            <w:vAlign w:val="bottom"/>
          </w:tcPr>
          <w:p w14:paraId="71D3FE13" w14:textId="77777777" w:rsidR="006A3667" w:rsidRDefault="006A3667">
            <w:pPr>
              <w:rPr>
                <w:rFonts w:ascii="宋体"/>
                <w:vanish/>
              </w:rPr>
            </w:pPr>
          </w:p>
        </w:tc>
        <w:tc>
          <w:tcPr>
            <w:tcW w:w="0" w:type="auto"/>
            <w:shd w:val="clear" w:color="auto" w:fill="auto"/>
            <w:vAlign w:val="bottom"/>
          </w:tcPr>
          <w:p w14:paraId="71D3FE14"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E15" w14:textId="77777777" w:rsidR="006A3667" w:rsidRDefault="00045F32">
            <w:pPr>
              <w:jc w:val="right"/>
              <w:textAlignment w:val="bottom"/>
            </w:pPr>
            <w:r>
              <w:rPr>
                <w:rFonts w:ascii="Arial" w:eastAsia="宋体" w:hAnsi="Arial" w:cs="Arial"/>
                <w:b/>
                <w:bCs/>
                <w:color w:val="000000"/>
                <w:sz w:val="15"/>
                <w:szCs w:val="15"/>
              </w:rPr>
              <w:t>1,484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E1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E1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3FE18" w14:textId="77777777" w:rsidR="006A3667" w:rsidRDefault="00045F32">
            <w:pPr>
              <w:jc w:val="right"/>
              <w:textAlignment w:val="bottom"/>
            </w:pPr>
            <w:r>
              <w:rPr>
                <w:rFonts w:ascii="Arial" w:eastAsia="宋体" w:hAnsi="Arial" w:cs="Arial"/>
                <w:color w:val="000000"/>
                <w:sz w:val="15"/>
                <w:szCs w:val="15"/>
              </w:rPr>
              <w:t>1,567 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E1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E1A" w14:textId="77777777" w:rsidR="006A3667" w:rsidRDefault="006A3667">
            <w:pPr>
              <w:rPr>
                <w:rFonts w:ascii="宋体"/>
              </w:rPr>
            </w:pPr>
          </w:p>
        </w:tc>
        <w:tc>
          <w:tcPr>
            <w:tcW w:w="0" w:type="auto"/>
            <w:gridSpan w:val="3"/>
            <w:shd w:val="clear" w:color="auto" w:fill="auto"/>
            <w:vAlign w:val="bottom"/>
          </w:tcPr>
          <w:p w14:paraId="71D3FE1B" w14:textId="77777777" w:rsidR="006A3667" w:rsidRDefault="006A3667">
            <w:pPr>
              <w:rPr>
                <w:rFonts w:ascii="宋体"/>
                <w:vanish/>
              </w:rPr>
            </w:pPr>
          </w:p>
        </w:tc>
        <w:tc>
          <w:tcPr>
            <w:tcW w:w="0" w:type="auto"/>
            <w:gridSpan w:val="3"/>
            <w:shd w:val="clear" w:color="auto" w:fill="auto"/>
            <w:vAlign w:val="bottom"/>
          </w:tcPr>
          <w:p w14:paraId="71D3FE1C"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E1D" w14:textId="77777777" w:rsidR="006A3667" w:rsidRDefault="00045F32">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1D3FE1E" w14:textId="77777777" w:rsidR="006A3667" w:rsidRDefault="006A3667">
            <w:pPr>
              <w:jc w:val="right"/>
              <w:rPr>
                <w:rFonts w:ascii="宋体"/>
              </w:rPr>
            </w:pPr>
          </w:p>
        </w:tc>
        <w:tc>
          <w:tcPr>
            <w:tcW w:w="0" w:type="auto"/>
            <w:gridSpan w:val="3"/>
            <w:shd w:val="clear" w:color="auto" w:fill="auto"/>
            <w:vAlign w:val="bottom"/>
          </w:tcPr>
          <w:p w14:paraId="71D3FE1F" w14:textId="77777777" w:rsidR="006A3667" w:rsidRDefault="006A3667">
            <w:pPr>
              <w:rPr>
                <w:rFonts w:ascii="宋体"/>
                <w:vanish/>
              </w:rPr>
            </w:pPr>
          </w:p>
        </w:tc>
        <w:tc>
          <w:tcPr>
            <w:tcW w:w="0" w:type="auto"/>
            <w:gridSpan w:val="3"/>
            <w:shd w:val="clear" w:color="auto" w:fill="auto"/>
            <w:vAlign w:val="bottom"/>
          </w:tcPr>
          <w:p w14:paraId="71D3FE20" w14:textId="77777777" w:rsidR="006A3667" w:rsidRDefault="006A3667">
            <w:pPr>
              <w:rPr>
                <w:rFonts w:ascii="宋体"/>
                <w:vanish/>
              </w:rPr>
            </w:pPr>
          </w:p>
        </w:tc>
      </w:tr>
      <w:tr w:rsidR="006A3667" w14:paraId="71D3FE32" w14:textId="77777777">
        <w:trPr>
          <w:hidden/>
        </w:trPr>
        <w:tc>
          <w:tcPr>
            <w:tcW w:w="0" w:type="auto"/>
            <w:gridSpan w:val="3"/>
            <w:shd w:val="clear" w:color="auto" w:fill="auto"/>
            <w:vAlign w:val="bottom"/>
          </w:tcPr>
          <w:p w14:paraId="71D3FE22" w14:textId="77777777" w:rsidR="006A3667" w:rsidRDefault="006A3667">
            <w:pPr>
              <w:rPr>
                <w:rFonts w:ascii="宋体"/>
                <w:vanish/>
              </w:rPr>
            </w:pPr>
          </w:p>
        </w:tc>
        <w:tc>
          <w:tcPr>
            <w:tcW w:w="0" w:type="auto"/>
            <w:shd w:val="clear" w:color="auto" w:fill="auto"/>
            <w:vAlign w:val="bottom"/>
          </w:tcPr>
          <w:p w14:paraId="71D3FE23" w14:textId="77777777" w:rsidR="006A3667" w:rsidRDefault="006A3667">
            <w:pPr>
              <w:rPr>
                <w:rFonts w:ascii="宋体"/>
                <w:vanish/>
              </w:rPr>
            </w:pPr>
          </w:p>
        </w:tc>
        <w:tc>
          <w:tcPr>
            <w:tcW w:w="0" w:type="auto"/>
            <w:shd w:val="clear" w:color="auto" w:fill="auto"/>
            <w:vAlign w:val="bottom"/>
          </w:tcPr>
          <w:p w14:paraId="71D3FE24" w14:textId="77777777" w:rsidR="006A3667" w:rsidRDefault="006A3667">
            <w:pPr>
              <w:rPr>
                <w:rFonts w:ascii="宋体"/>
                <w:vanish/>
              </w:rPr>
            </w:pPr>
          </w:p>
        </w:tc>
        <w:tc>
          <w:tcPr>
            <w:tcW w:w="0" w:type="auto"/>
            <w:shd w:val="clear" w:color="auto" w:fill="auto"/>
            <w:vAlign w:val="bottom"/>
          </w:tcPr>
          <w:p w14:paraId="71D3FE25" w14:textId="77777777" w:rsidR="006A3667" w:rsidRDefault="006A3667">
            <w:pPr>
              <w:rPr>
                <w:rFonts w:ascii="宋体"/>
                <w:vanish/>
              </w:rPr>
            </w:pPr>
          </w:p>
        </w:tc>
        <w:tc>
          <w:tcPr>
            <w:tcW w:w="0" w:type="auto"/>
            <w:shd w:val="clear" w:color="auto" w:fill="auto"/>
            <w:vAlign w:val="bottom"/>
          </w:tcPr>
          <w:p w14:paraId="71D3FE26" w14:textId="77777777" w:rsidR="006A3667" w:rsidRDefault="006A3667">
            <w:pPr>
              <w:rPr>
                <w:rFonts w:ascii="宋体"/>
                <w:vanish/>
              </w:rPr>
            </w:pPr>
          </w:p>
        </w:tc>
        <w:tc>
          <w:tcPr>
            <w:tcW w:w="0" w:type="auto"/>
            <w:shd w:val="clear" w:color="auto" w:fill="auto"/>
            <w:vAlign w:val="bottom"/>
          </w:tcPr>
          <w:p w14:paraId="71D3FE27" w14:textId="77777777" w:rsidR="006A3667" w:rsidRDefault="006A3667">
            <w:pPr>
              <w:rPr>
                <w:rFonts w:ascii="宋体"/>
                <w:vanish/>
              </w:rPr>
            </w:pPr>
          </w:p>
        </w:tc>
        <w:tc>
          <w:tcPr>
            <w:tcW w:w="0" w:type="auto"/>
            <w:shd w:val="clear" w:color="auto" w:fill="auto"/>
            <w:vAlign w:val="bottom"/>
          </w:tcPr>
          <w:p w14:paraId="71D3FE28" w14:textId="77777777" w:rsidR="006A3667" w:rsidRDefault="006A3667">
            <w:pPr>
              <w:rPr>
                <w:rFonts w:ascii="宋体"/>
                <w:vanish/>
              </w:rPr>
            </w:pPr>
          </w:p>
        </w:tc>
        <w:tc>
          <w:tcPr>
            <w:tcW w:w="0" w:type="auto"/>
            <w:gridSpan w:val="3"/>
            <w:shd w:val="clear" w:color="auto" w:fill="auto"/>
            <w:vAlign w:val="bottom"/>
          </w:tcPr>
          <w:p w14:paraId="71D3FE29" w14:textId="77777777" w:rsidR="006A3667" w:rsidRDefault="006A3667">
            <w:pPr>
              <w:rPr>
                <w:rFonts w:ascii="宋体"/>
                <w:vanish/>
              </w:rPr>
            </w:pPr>
          </w:p>
        </w:tc>
        <w:tc>
          <w:tcPr>
            <w:tcW w:w="0" w:type="auto"/>
            <w:gridSpan w:val="3"/>
            <w:shd w:val="clear" w:color="auto" w:fill="auto"/>
            <w:vAlign w:val="bottom"/>
          </w:tcPr>
          <w:p w14:paraId="71D3FE2A" w14:textId="77777777" w:rsidR="006A3667" w:rsidRDefault="006A3667">
            <w:pPr>
              <w:rPr>
                <w:rFonts w:ascii="宋体"/>
                <w:vanish/>
              </w:rPr>
            </w:pPr>
          </w:p>
        </w:tc>
        <w:tc>
          <w:tcPr>
            <w:tcW w:w="0" w:type="auto"/>
            <w:gridSpan w:val="3"/>
            <w:shd w:val="clear" w:color="auto" w:fill="auto"/>
            <w:vAlign w:val="bottom"/>
          </w:tcPr>
          <w:p w14:paraId="71D3FE2B" w14:textId="77777777" w:rsidR="006A3667" w:rsidRDefault="006A3667">
            <w:pPr>
              <w:rPr>
                <w:rFonts w:ascii="宋体"/>
                <w:vanish/>
              </w:rPr>
            </w:pPr>
          </w:p>
        </w:tc>
        <w:tc>
          <w:tcPr>
            <w:tcW w:w="0" w:type="auto"/>
            <w:gridSpan w:val="3"/>
            <w:shd w:val="clear" w:color="auto" w:fill="auto"/>
            <w:vAlign w:val="bottom"/>
          </w:tcPr>
          <w:p w14:paraId="71D3FE2C" w14:textId="77777777" w:rsidR="006A3667" w:rsidRDefault="006A3667">
            <w:pPr>
              <w:rPr>
                <w:rFonts w:ascii="宋体"/>
                <w:vanish/>
              </w:rPr>
            </w:pPr>
          </w:p>
        </w:tc>
        <w:tc>
          <w:tcPr>
            <w:tcW w:w="0" w:type="auto"/>
            <w:gridSpan w:val="3"/>
            <w:shd w:val="clear" w:color="auto" w:fill="auto"/>
            <w:vAlign w:val="bottom"/>
          </w:tcPr>
          <w:p w14:paraId="71D3FE2D" w14:textId="77777777" w:rsidR="006A3667" w:rsidRDefault="006A3667">
            <w:pPr>
              <w:rPr>
                <w:rFonts w:ascii="宋体"/>
                <w:vanish/>
              </w:rPr>
            </w:pPr>
          </w:p>
        </w:tc>
        <w:tc>
          <w:tcPr>
            <w:tcW w:w="0" w:type="auto"/>
            <w:gridSpan w:val="3"/>
            <w:shd w:val="clear" w:color="auto" w:fill="auto"/>
            <w:vAlign w:val="bottom"/>
          </w:tcPr>
          <w:p w14:paraId="71D3FE2E" w14:textId="77777777" w:rsidR="006A3667" w:rsidRDefault="006A3667">
            <w:pPr>
              <w:rPr>
                <w:rFonts w:ascii="宋体"/>
                <w:vanish/>
              </w:rPr>
            </w:pPr>
          </w:p>
        </w:tc>
        <w:tc>
          <w:tcPr>
            <w:tcW w:w="0" w:type="auto"/>
            <w:gridSpan w:val="3"/>
            <w:shd w:val="clear" w:color="auto" w:fill="auto"/>
            <w:vAlign w:val="bottom"/>
          </w:tcPr>
          <w:p w14:paraId="71D3FE2F" w14:textId="77777777" w:rsidR="006A3667" w:rsidRDefault="006A3667">
            <w:pPr>
              <w:rPr>
                <w:rFonts w:ascii="宋体"/>
                <w:vanish/>
              </w:rPr>
            </w:pPr>
          </w:p>
        </w:tc>
        <w:tc>
          <w:tcPr>
            <w:tcW w:w="0" w:type="auto"/>
            <w:gridSpan w:val="3"/>
            <w:shd w:val="clear" w:color="auto" w:fill="auto"/>
            <w:vAlign w:val="bottom"/>
          </w:tcPr>
          <w:p w14:paraId="71D3FE30" w14:textId="77777777" w:rsidR="006A3667" w:rsidRDefault="006A3667">
            <w:pPr>
              <w:rPr>
                <w:rFonts w:ascii="宋体"/>
                <w:vanish/>
              </w:rPr>
            </w:pPr>
          </w:p>
        </w:tc>
        <w:tc>
          <w:tcPr>
            <w:tcW w:w="0" w:type="auto"/>
            <w:gridSpan w:val="3"/>
            <w:shd w:val="clear" w:color="auto" w:fill="auto"/>
            <w:vAlign w:val="bottom"/>
          </w:tcPr>
          <w:p w14:paraId="71D3FE31" w14:textId="77777777" w:rsidR="006A3667" w:rsidRDefault="006A3667">
            <w:pPr>
              <w:rPr>
                <w:rFonts w:ascii="宋体"/>
                <w:vanish/>
              </w:rPr>
            </w:pPr>
          </w:p>
        </w:tc>
      </w:tr>
      <w:tr w:rsidR="006A3667" w14:paraId="71D3FE46" w14:textId="77777777">
        <w:tc>
          <w:tcPr>
            <w:tcW w:w="0" w:type="auto"/>
            <w:gridSpan w:val="3"/>
            <w:shd w:val="clear" w:color="auto" w:fill="CCEEFF"/>
            <w:tcMar>
              <w:top w:w="40" w:type="dxa"/>
              <w:left w:w="20" w:type="dxa"/>
              <w:bottom w:w="40" w:type="dxa"/>
              <w:right w:w="20" w:type="dxa"/>
            </w:tcMar>
            <w:vAlign w:val="bottom"/>
          </w:tcPr>
          <w:p w14:paraId="71D3FE33" w14:textId="77777777" w:rsidR="006A3667" w:rsidRDefault="00045F32">
            <w:pPr>
              <w:textAlignment w:val="bottom"/>
            </w:pPr>
            <w:r>
              <w:rPr>
                <w:rFonts w:ascii="Arial" w:eastAsia="宋体" w:hAnsi="Arial" w:cs="Arial"/>
                <w:b/>
                <w:bCs/>
                <w:color w:val="000000"/>
                <w:sz w:val="15"/>
                <w:szCs w:val="15"/>
              </w:rPr>
              <w:t>Total expenses</w:t>
            </w:r>
          </w:p>
        </w:tc>
        <w:tc>
          <w:tcPr>
            <w:tcW w:w="0" w:type="auto"/>
            <w:shd w:val="clear" w:color="auto" w:fill="auto"/>
            <w:vAlign w:val="bottom"/>
          </w:tcPr>
          <w:p w14:paraId="71D3FE34" w14:textId="77777777" w:rsidR="006A3667" w:rsidRDefault="006A3667">
            <w:pPr>
              <w:rPr>
                <w:rFonts w:ascii="宋体"/>
                <w:vanish/>
              </w:rPr>
            </w:pPr>
          </w:p>
        </w:tc>
        <w:tc>
          <w:tcPr>
            <w:tcW w:w="0" w:type="auto"/>
            <w:shd w:val="clear" w:color="auto" w:fill="auto"/>
            <w:vAlign w:val="bottom"/>
          </w:tcPr>
          <w:p w14:paraId="71D3FE35" w14:textId="77777777" w:rsidR="006A3667" w:rsidRDefault="006A3667">
            <w:pPr>
              <w:rPr>
                <w:rFonts w:ascii="宋体"/>
                <w:vanish/>
              </w:rPr>
            </w:pPr>
          </w:p>
        </w:tc>
        <w:tc>
          <w:tcPr>
            <w:tcW w:w="0" w:type="auto"/>
            <w:shd w:val="clear" w:color="auto" w:fill="auto"/>
            <w:vAlign w:val="bottom"/>
          </w:tcPr>
          <w:p w14:paraId="71D3FE36" w14:textId="77777777" w:rsidR="006A3667" w:rsidRDefault="006A3667">
            <w:pPr>
              <w:rPr>
                <w:rFonts w:ascii="宋体"/>
                <w:vanish/>
              </w:rPr>
            </w:pPr>
          </w:p>
        </w:tc>
        <w:tc>
          <w:tcPr>
            <w:tcW w:w="0" w:type="auto"/>
            <w:shd w:val="clear" w:color="auto" w:fill="auto"/>
            <w:vAlign w:val="bottom"/>
          </w:tcPr>
          <w:p w14:paraId="71D3FE37" w14:textId="77777777" w:rsidR="006A3667" w:rsidRDefault="006A3667">
            <w:pPr>
              <w:rPr>
                <w:rFonts w:ascii="宋体"/>
                <w:vanish/>
              </w:rPr>
            </w:pPr>
          </w:p>
        </w:tc>
        <w:tc>
          <w:tcPr>
            <w:tcW w:w="0" w:type="auto"/>
            <w:shd w:val="clear" w:color="auto" w:fill="auto"/>
            <w:vAlign w:val="bottom"/>
          </w:tcPr>
          <w:p w14:paraId="71D3FE38" w14:textId="77777777" w:rsidR="006A3667" w:rsidRDefault="006A3667">
            <w:pPr>
              <w:rPr>
                <w:rFonts w:ascii="宋体"/>
                <w:vanish/>
              </w:rPr>
            </w:pPr>
          </w:p>
        </w:tc>
        <w:tc>
          <w:tcPr>
            <w:tcW w:w="0" w:type="auto"/>
            <w:shd w:val="clear" w:color="auto" w:fill="auto"/>
            <w:vAlign w:val="bottom"/>
          </w:tcPr>
          <w:p w14:paraId="71D3FE39"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E3A" w14:textId="77777777" w:rsidR="006A3667" w:rsidRDefault="00045F32">
            <w:pPr>
              <w:jc w:val="right"/>
              <w:textAlignment w:val="bottom"/>
            </w:pPr>
            <w:r>
              <w:rPr>
                <w:rFonts w:ascii="Arial" w:eastAsia="宋体" w:hAnsi="Arial" w:cs="Arial"/>
                <w:b/>
                <w:bCs/>
                <w:color w:val="000000"/>
                <w:sz w:val="15"/>
                <w:szCs w:val="15"/>
              </w:rPr>
              <w:t>1,051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3FE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E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3FE3D" w14:textId="77777777" w:rsidR="006A3667" w:rsidRDefault="00045F32">
            <w:pPr>
              <w:jc w:val="right"/>
              <w:textAlignment w:val="bottom"/>
            </w:pPr>
            <w:r>
              <w:rPr>
                <w:rFonts w:ascii="Arial" w:eastAsia="宋体" w:hAnsi="Arial" w:cs="Arial"/>
                <w:color w:val="000000"/>
                <w:sz w:val="15"/>
                <w:szCs w:val="15"/>
              </w:rPr>
              <w:t>1,082 </w:t>
            </w:r>
          </w:p>
        </w:tc>
        <w:tc>
          <w:tcPr>
            <w:tcW w:w="0" w:type="auto"/>
            <w:shd w:val="clear" w:color="auto" w:fill="CCEEFF"/>
            <w:tcMar>
              <w:top w:w="40" w:type="dxa"/>
              <w:left w:w="0" w:type="dxa"/>
              <w:bottom w:w="40" w:type="dxa"/>
              <w:right w:w="20" w:type="dxa"/>
            </w:tcMar>
            <w:vAlign w:val="bottom"/>
          </w:tcPr>
          <w:p w14:paraId="71D3FE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3FE3F" w14:textId="77777777" w:rsidR="006A3667" w:rsidRDefault="006A3667">
            <w:pPr>
              <w:rPr>
                <w:rFonts w:ascii="宋体"/>
              </w:rPr>
            </w:pPr>
          </w:p>
        </w:tc>
        <w:tc>
          <w:tcPr>
            <w:tcW w:w="0" w:type="auto"/>
            <w:gridSpan w:val="3"/>
            <w:shd w:val="clear" w:color="auto" w:fill="auto"/>
            <w:vAlign w:val="bottom"/>
          </w:tcPr>
          <w:p w14:paraId="71D3FE40" w14:textId="77777777" w:rsidR="006A3667" w:rsidRDefault="006A3667">
            <w:pPr>
              <w:rPr>
                <w:rFonts w:ascii="宋体"/>
                <w:vanish/>
              </w:rPr>
            </w:pPr>
          </w:p>
        </w:tc>
        <w:tc>
          <w:tcPr>
            <w:tcW w:w="0" w:type="auto"/>
            <w:gridSpan w:val="3"/>
            <w:shd w:val="clear" w:color="auto" w:fill="auto"/>
            <w:vAlign w:val="bottom"/>
          </w:tcPr>
          <w:p w14:paraId="71D3FE41"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3FE42" w14:textId="77777777" w:rsidR="006A3667" w:rsidRDefault="00045F32">
            <w:pPr>
              <w:jc w:val="right"/>
              <w:textAlignment w:val="bottom"/>
            </w:pPr>
            <w:r>
              <w:rPr>
                <w:rFonts w:ascii="Arial" w:eastAsia="宋体" w:hAnsi="Arial" w:cs="Arial"/>
                <w:color w:val="000000"/>
                <w:sz w:val="15"/>
                <w:szCs w:val="15"/>
              </w:rPr>
              <w:t>(3)</w:t>
            </w:r>
          </w:p>
        </w:tc>
        <w:tc>
          <w:tcPr>
            <w:tcW w:w="0" w:type="auto"/>
            <w:shd w:val="clear" w:color="auto" w:fill="CCEEFF"/>
            <w:tcMar>
              <w:top w:w="40" w:type="dxa"/>
              <w:left w:w="0" w:type="dxa"/>
              <w:bottom w:w="40" w:type="dxa"/>
              <w:right w:w="20" w:type="dxa"/>
            </w:tcMar>
            <w:vAlign w:val="bottom"/>
          </w:tcPr>
          <w:p w14:paraId="71D3FE43" w14:textId="77777777" w:rsidR="006A3667" w:rsidRDefault="006A3667">
            <w:pPr>
              <w:jc w:val="right"/>
              <w:rPr>
                <w:rFonts w:ascii="宋体"/>
              </w:rPr>
            </w:pPr>
          </w:p>
        </w:tc>
        <w:tc>
          <w:tcPr>
            <w:tcW w:w="0" w:type="auto"/>
            <w:gridSpan w:val="3"/>
            <w:shd w:val="clear" w:color="auto" w:fill="auto"/>
            <w:vAlign w:val="bottom"/>
          </w:tcPr>
          <w:p w14:paraId="71D3FE44" w14:textId="77777777" w:rsidR="006A3667" w:rsidRDefault="006A3667">
            <w:pPr>
              <w:rPr>
                <w:rFonts w:ascii="宋体"/>
                <w:vanish/>
              </w:rPr>
            </w:pPr>
          </w:p>
        </w:tc>
        <w:tc>
          <w:tcPr>
            <w:tcW w:w="0" w:type="auto"/>
            <w:gridSpan w:val="3"/>
            <w:shd w:val="clear" w:color="auto" w:fill="auto"/>
            <w:vAlign w:val="bottom"/>
          </w:tcPr>
          <w:p w14:paraId="71D3FE45" w14:textId="77777777" w:rsidR="006A3667" w:rsidRDefault="006A3667">
            <w:pPr>
              <w:rPr>
                <w:rFonts w:ascii="宋体"/>
                <w:vanish/>
              </w:rPr>
            </w:pPr>
          </w:p>
        </w:tc>
      </w:tr>
      <w:tr w:rsidR="006A3667" w14:paraId="71D3FE5C" w14:textId="77777777">
        <w:tc>
          <w:tcPr>
            <w:tcW w:w="0" w:type="auto"/>
            <w:gridSpan w:val="3"/>
            <w:shd w:val="clear" w:color="auto" w:fill="FFFFFF"/>
            <w:tcMar>
              <w:top w:w="40" w:type="dxa"/>
              <w:left w:w="20" w:type="dxa"/>
              <w:bottom w:w="40" w:type="dxa"/>
              <w:right w:w="20" w:type="dxa"/>
            </w:tcMar>
            <w:vAlign w:val="bottom"/>
          </w:tcPr>
          <w:p w14:paraId="71D3FE47" w14:textId="77777777" w:rsidR="006A3667" w:rsidRDefault="00045F32">
            <w:pPr>
              <w:textAlignment w:val="bottom"/>
            </w:pPr>
            <w:r>
              <w:rPr>
                <w:rFonts w:ascii="Arial" w:eastAsia="宋体" w:hAnsi="Arial" w:cs="Arial"/>
                <w:b/>
                <w:bCs/>
                <w:color w:val="000000"/>
                <w:sz w:val="15"/>
                <w:szCs w:val="15"/>
              </w:rPr>
              <w:t>Income before income tax expense</w:t>
            </w:r>
          </w:p>
        </w:tc>
        <w:tc>
          <w:tcPr>
            <w:tcW w:w="0" w:type="auto"/>
            <w:shd w:val="clear" w:color="auto" w:fill="auto"/>
            <w:vAlign w:val="bottom"/>
          </w:tcPr>
          <w:p w14:paraId="71D3FE48" w14:textId="77777777" w:rsidR="006A3667" w:rsidRDefault="006A3667">
            <w:pPr>
              <w:rPr>
                <w:rFonts w:ascii="宋体"/>
                <w:vanish/>
              </w:rPr>
            </w:pPr>
          </w:p>
        </w:tc>
        <w:tc>
          <w:tcPr>
            <w:tcW w:w="0" w:type="auto"/>
            <w:shd w:val="clear" w:color="auto" w:fill="auto"/>
            <w:vAlign w:val="bottom"/>
          </w:tcPr>
          <w:p w14:paraId="71D3FE49" w14:textId="77777777" w:rsidR="006A3667" w:rsidRDefault="006A3667">
            <w:pPr>
              <w:rPr>
                <w:rFonts w:ascii="宋体"/>
                <w:vanish/>
              </w:rPr>
            </w:pPr>
          </w:p>
        </w:tc>
        <w:tc>
          <w:tcPr>
            <w:tcW w:w="0" w:type="auto"/>
            <w:shd w:val="clear" w:color="auto" w:fill="auto"/>
            <w:vAlign w:val="bottom"/>
          </w:tcPr>
          <w:p w14:paraId="71D3FE4A" w14:textId="77777777" w:rsidR="006A3667" w:rsidRDefault="006A3667">
            <w:pPr>
              <w:rPr>
                <w:rFonts w:ascii="宋体"/>
                <w:vanish/>
              </w:rPr>
            </w:pPr>
          </w:p>
        </w:tc>
        <w:tc>
          <w:tcPr>
            <w:tcW w:w="0" w:type="auto"/>
            <w:shd w:val="clear" w:color="auto" w:fill="auto"/>
            <w:vAlign w:val="bottom"/>
          </w:tcPr>
          <w:p w14:paraId="71D3FE4B" w14:textId="77777777" w:rsidR="006A3667" w:rsidRDefault="006A3667">
            <w:pPr>
              <w:rPr>
                <w:rFonts w:ascii="宋体"/>
                <w:vanish/>
              </w:rPr>
            </w:pPr>
          </w:p>
        </w:tc>
        <w:tc>
          <w:tcPr>
            <w:tcW w:w="0" w:type="auto"/>
            <w:shd w:val="clear" w:color="auto" w:fill="auto"/>
            <w:vAlign w:val="bottom"/>
          </w:tcPr>
          <w:p w14:paraId="71D3FE4C" w14:textId="77777777" w:rsidR="006A3667" w:rsidRDefault="006A3667">
            <w:pPr>
              <w:rPr>
                <w:rFonts w:ascii="宋体"/>
                <w:vanish/>
              </w:rPr>
            </w:pPr>
          </w:p>
        </w:tc>
        <w:tc>
          <w:tcPr>
            <w:tcW w:w="0" w:type="auto"/>
            <w:shd w:val="clear" w:color="auto" w:fill="auto"/>
            <w:vAlign w:val="bottom"/>
          </w:tcPr>
          <w:p w14:paraId="71D3FE4D"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E4E"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E4F" w14:textId="77777777" w:rsidR="006A3667" w:rsidRDefault="00045F32">
            <w:pPr>
              <w:jc w:val="right"/>
              <w:textAlignment w:val="bottom"/>
            </w:pPr>
            <w:r>
              <w:rPr>
                <w:rFonts w:ascii="Arial" w:eastAsia="宋体" w:hAnsi="Arial" w:cs="Arial"/>
                <w:b/>
                <w:bCs/>
                <w:color w:val="000000"/>
                <w:sz w:val="15"/>
                <w:szCs w:val="15"/>
              </w:rPr>
              <w:t>433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E5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E51"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3FE52"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3FE53" w14:textId="77777777" w:rsidR="006A3667" w:rsidRDefault="00045F32">
            <w:pPr>
              <w:jc w:val="right"/>
              <w:textAlignment w:val="bottom"/>
            </w:pPr>
            <w:r>
              <w:rPr>
                <w:rFonts w:ascii="Arial" w:eastAsia="宋体" w:hAnsi="Arial" w:cs="Arial"/>
                <w:color w:val="000000"/>
                <w:sz w:val="15"/>
                <w:szCs w:val="15"/>
              </w:rPr>
              <w:t>485 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3FE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3FE55" w14:textId="77777777" w:rsidR="006A3667" w:rsidRDefault="006A3667">
            <w:pPr>
              <w:rPr>
                <w:rFonts w:ascii="宋体"/>
              </w:rPr>
            </w:pPr>
          </w:p>
        </w:tc>
        <w:tc>
          <w:tcPr>
            <w:tcW w:w="0" w:type="auto"/>
            <w:gridSpan w:val="3"/>
            <w:shd w:val="clear" w:color="auto" w:fill="auto"/>
            <w:vAlign w:val="bottom"/>
          </w:tcPr>
          <w:p w14:paraId="71D3FE56" w14:textId="77777777" w:rsidR="006A3667" w:rsidRDefault="006A3667">
            <w:pPr>
              <w:rPr>
                <w:rFonts w:ascii="宋体"/>
                <w:vanish/>
              </w:rPr>
            </w:pPr>
          </w:p>
        </w:tc>
        <w:tc>
          <w:tcPr>
            <w:tcW w:w="0" w:type="auto"/>
            <w:gridSpan w:val="3"/>
            <w:shd w:val="clear" w:color="auto" w:fill="auto"/>
            <w:vAlign w:val="bottom"/>
          </w:tcPr>
          <w:p w14:paraId="71D3FE57"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3FE58" w14:textId="77777777" w:rsidR="006A3667" w:rsidRDefault="00045F32">
            <w:pPr>
              <w:jc w:val="right"/>
              <w:textAlignment w:val="bottom"/>
            </w:pPr>
            <w:r>
              <w:rPr>
                <w:rFonts w:ascii="Arial" w:eastAsia="宋体" w:hAnsi="Arial" w:cs="Arial"/>
                <w:color w:val="000000"/>
                <w:sz w:val="15"/>
                <w:szCs w:val="15"/>
              </w:rPr>
              <w:t>(11)</w:t>
            </w:r>
          </w:p>
        </w:tc>
        <w:tc>
          <w:tcPr>
            <w:tcW w:w="0" w:type="auto"/>
            <w:shd w:val="clear" w:color="auto" w:fill="FFFFFF"/>
            <w:tcMar>
              <w:top w:w="40" w:type="dxa"/>
              <w:left w:w="0" w:type="dxa"/>
              <w:bottom w:w="40" w:type="dxa"/>
              <w:right w:w="20" w:type="dxa"/>
            </w:tcMar>
            <w:vAlign w:val="bottom"/>
          </w:tcPr>
          <w:p w14:paraId="71D3FE59" w14:textId="77777777" w:rsidR="006A3667" w:rsidRDefault="006A3667">
            <w:pPr>
              <w:jc w:val="right"/>
              <w:rPr>
                <w:rFonts w:ascii="宋体"/>
              </w:rPr>
            </w:pPr>
          </w:p>
        </w:tc>
        <w:tc>
          <w:tcPr>
            <w:tcW w:w="0" w:type="auto"/>
            <w:gridSpan w:val="3"/>
            <w:shd w:val="clear" w:color="auto" w:fill="auto"/>
            <w:vAlign w:val="bottom"/>
          </w:tcPr>
          <w:p w14:paraId="71D3FE5A" w14:textId="77777777" w:rsidR="006A3667" w:rsidRDefault="006A3667">
            <w:pPr>
              <w:rPr>
                <w:rFonts w:ascii="宋体"/>
                <w:vanish/>
              </w:rPr>
            </w:pPr>
          </w:p>
        </w:tc>
        <w:tc>
          <w:tcPr>
            <w:tcW w:w="0" w:type="auto"/>
            <w:gridSpan w:val="3"/>
            <w:shd w:val="clear" w:color="auto" w:fill="auto"/>
            <w:vAlign w:val="bottom"/>
          </w:tcPr>
          <w:p w14:paraId="71D3FE5B" w14:textId="77777777" w:rsidR="006A3667" w:rsidRDefault="006A3667">
            <w:pPr>
              <w:rPr>
                <w:rFonts w:ascii="宋体"/>
                <w:vanish/>
              </w:rPr>
            </w:pPr>
          </w:p>
        </w:tc>
      </w:tr>
      <w:tr w:rsidR="006A3667" w14:paraId="71D3FE6F" w14:textId="77777777">
        <w:tc>
          <w:tcPr>
            <w:tcW w:w="0" w:type="auto"/>
            <w:gridSpan w:val="3"/>
            <w:shd w:val="clear" w:color="auto" w:fill="CCEEFF"/>
            <w:tcMar>
              <w:top w:w="40" w:type="dxa"/>
              <w:left w:w="20" w:type="dxa"/>
              <w:bottom w:w="40" w:type="dxa"/>
              <w:right w:w="20" w:type="dxa"/>
            </w:tcMar>
            <w:vAlign w:val="bottom"/>
          </w:tcPr>
          <w:p w14:paraId="71D3FE5D" w14:textId="77777777" w:rsidR="006A3667" w:rsidRDefault="00045F32">
            <w:pPr>
              <w:textAlignment w:val="bottom"/>
            </w:pPr>
            <w:r>
              <w:rPr>
                <w:rFonts w:ascii="Arial" w:eastAsia="宋体" w:hAnsi="Arial" w:cs="Arial"/>
                <w:color w:val="000000"/>
                <w:sz w:val="15"/>
                <w:szCs w:val="15"/>
              </w:rPr>
              <w:t>Pre-tax margin</w:t>
            </w:r>
          </w:p>
        </w:tc>
        <w:tc>
          <w:tcPr>
            <w:tcW w:w="0" w:type="auto"/>
            <w:shd w:val="clear" w:color="auto" w:fill="auto"/>
            <w:vAlign w:val="bottom"/>
          </w:tcPr>
          <w:p w14:paraId="71D3FE5E" w14:textId="77777777" w:rsidR="006A3667" w:rsidRDefault="006A3667">
            <w:pPr>
              <w:rPr>
                <w:rFonts w:ascii="宋体"/>
                <w:vanish/>
              </w:rPr>
            </w:pPr>
          </w:p>
        </w:tc>
        <w:tc>
          <w:tcPr>
            <w:tcW w:w="0" w:type="auto"/>
            <w:shd w:val="clear" w:color="auto" w:fill="auto"/>
            <w:vAlign w:val="bottom"/>
          </w:tcPr>
          <w:p w14:paraId="71D3FE5F" w14:textId="77777777" w:rsidR="006A3667" w:rsidRDefault="006A3667">
            <w:pPr>
              <w:rPr>
                <w:rFonts w:ascii="宋体"/>
                <w:vanish/>
              </w:rPr>
            </w:pPr>
          </w:p>
        </w:tc>
        <w:tc>
          <w:tcPr>
            <w:tcW w:w="0" w:type="auto"/>
            <w:shd w:val="clear" w:color="auto" w:fill="auto"/>
            <w:vAlign w:val="bottom"/>
          </w:tcPr>
          <w:p w14:paraId="71D3FE60" w14:textId="77777777" w:rsidR="006A3667" w:rsidRDefault="006A3667">
            <w:pPr>
              <w:rPr>
                <w:rFonts w:ascii="宋体"/>
                <w:vanish/>
              </w:rPr>
            </w:pPr>
          </w:p>
        </w:tc>
        <w:tc>
          <w:tcPr>
            <w:tcW w:w="0" w:type="auto"/>
            <w:shd w:val="clear" w:color="auto" w:fill="auto"/>
            <w:vAlign w:val="bottom"/>
          </w:tcPr>
          <w:p w14:paraId="71D3FE61" w14:textId="77777777" w:rsidR="006A3667" w:rsidRDefault="006A3667">
            <w:pPr>
              <w:rPr>
                <w:rFonts w:ascii="宋体"/>
                <w:vanish/>
              </w:rPr>
            </w:pPr>
          </w:p>
        </w:tc>
        <w:tc>
          <w:tcPr>
            <w:tcW w:w="0" w:type="auto"/>
            <w:shd w:val="clear" w:color="auto" w:fill="auto"/>
            <w:vAlign w:val="bottom"/>
          </w:tcPr>
          <w:p w14:paraId="71D3FE62" w14:textId="77777777" w:rsidR="006A3667" w:rsidRDefault="006A3667">
            <w:pPr>
              <w:rPr>
                <w:rFonts w:ascii="宋体"/>
                <w:vanish/>
              </w:rPr>
            </w:pPr>
          </w:p>
        </w:tc>
        <w:tc>
          <w:tcPr>
            <w:tcW w:w="0" w:type="auto"/>
            <w:shd w:val="clear" w:color="auto" w:fill="auto"/>
            <w:vAlign w:val="bottom"/>
          </w:tcPr>
          <w:p w14:paraId="71D3FE63" w14:textId="77777777" w:rsidR="006A3667" w:rsidRDefault="006A3667">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E64" w14:textId="77777777" w:rsidR="006A3667" w:rsidRDefault="00045F32">
            <w:pPr>
              <w:jc w:val="right"/>
              <w:textAlignment w:val="bottom"/>
            </w:pPr>
            <w:r>
              <w:rPr>
                <w:rFonts w:ascii="Arial" w:eastAsia="宋体" w:hAnsi="Arial" w:cs="Arial"/>
                <w:b/>
                <w:bCs/>
                <w:color w:val="000000"/>
                <w:sz w:val="15"/>
                <w:szCs w:val="15"/>
              </w:rPr>
              <w:t>29.2</w:t>
            </w:r>
            <w:r>
              <w:rPr>
                <w:rFonts w:ascii="Arial" w:eastAsia="宋体" w:hAnsi="Arial" w:cs="Arial"/>
                <w:color w:val="000000"/>
                <w:sz w:val="15"/>
                <w:szCs w:val="15"/>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E65" w14:textId="77777777" w:rsidR="006A3667" w:rsidRDefault="00045F32">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3FE66" w14:textId="77777777" w:rsidR="006A3667" w:rsidRDefault="006A3667">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71D3FE67" w14:textId="77777777" w:rsidR="006A3667" w:rsidRDefault="00045F32">
            <w:pPr>
              <w:jc w:val="right"/>
              <w:textAlignment w:val="bottom"/>
            </w:pPr>
            <w:r>
              <w:rPr>
                <w:rFonts w:ascii="Arial" w:eastAsia="宋体" w:hAnsi="Arial" w:cs="Arial"/>
                <w:color w:val="000000"/>
                <w:sz w:val="15"/>
                <w:szCs w:val="15"/>
              </w:rPr>
              <w:t>31.0 </w:t>
            </w:r>
          </w:p>
        </w:tc>
        <w:tc>
          <w:tcPr>
            <w:tcW w:w="0" w:type="auto"/>
            <w:tcBorders>
              <w:top w:val="double" w:sz="6" w:space="0" w:color="000000"/>
            </w:tcBorders>
            <w:shd w:val="clear" w:color="auto" w:fill="CCEEFF"/>
            <w:tcMar>
              <w:top w:w="40" w:type="dxa"/>
              <w:left w:w="0" w:type="dxa"/>
              <w:bottom w:w="40" w:type="dxa"/>
              <w:right w:w="20" w:type="dxa"/>
            </w:tcMar>
            <w:vAlign w:val="bottom"/>
          </w:tcPr>
          <w:p w14:paraId="71D3FE68" w14:textId="77777777" w:rsidR="006A3667" w:rsidRDefault="00045F32">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3FE69" w14:textId="77777777" w:rsidR="006A3667" w:rsidRDefault="006A3667">
            <w:pPr>
              <w:rPr>
                <w:rFonts w:ascii="宋体"/>
              </w:rPr>
            </w:pPr>
          </w:p>
        </w:tc>
        <w:tc>
          <w:tcPr>
            <w:tcW w:w="0" w:type="auto"/>
            <w:gridSpan w:val="3"/>
            <w:shd w:val="clear" w:color="auto" w:fill="auto"/>
            <w:vAlign w:val="bottom"/>
          </w:tcPr>
          <w:p w14:paraId="71D3FE6A" w14:textId="77777777" w:rsidR="006A3667" w:rsidRDefault="006A3667">
            <w:pPr>
              <w:rPr>
                <w:rFonts w:ascii="宋体"/>
                <w:vanish/>
              </w:rPr>
            </w:pPr>
          </w:p>
        </w:tc>
        <w:tc>
          <w:tcPr>
            <w:tcW w:w="0" w:type="auto"/>
            <w:gridSpan w:val="3"/>
            <w:shd w:val="clear" w:color="auto" w:fill="auto"/>
            <w:vAlign w:val="bottom"/>
          </w:tcPr>
          <w:p w14:paraId="71D3FE6B" w14:textId="77777777" w:rsidR="006A3667" w:rsidRDefault="006A3667">
            <w:pPr>
              <w:rPr>
                <w:rFonts w:ascii="宋体"/>
                <w:vanish/>
              </w:rPr>
            </w:pPr>
          </w:p>
        </w:tc>
        <w:tc>
          <w:tcPr>
            <w:tcW w:w="0" w:type="auto"/>
            <w:gridSpan w:val="3"/>
            <w:shd w:val="clear" w:color="auto" w:fill="CCEEFF"/>
            <w:tcMar>
              <w:top w:w="40" w:type="dxa"/>
              <w:left w:w="20" w:type="dxa"/>
              <w:bottom w:w="40" w:type="dxa"/>
              <w:right w:w="20" w:type="dxa"/>
            </w:tcMar>
            <w:vAlign w:val="bottom"/>
          </w:tcPr>
          <w:p w14:paraId="71D3FE6C" w14:textId="77777777" w:rsidR="006A3667" w:rsidRDefault="00045F32">
            <w:pPr>
              <w:jc w:val="right"/>
              <w:textAlignment w:val="bottom"/>
            </w:pPr>
            <w:r>
              <w:rPr>
                <w:rFonts w:ascii="Arial" w:eastAsia="宋体" w:hAnsi="Arial" w:cs="Arial"/>
                <w:color w:val="000000"/>
                <w:sz w:val="15"/>
                <w:szCs w:val="15"/>
              </w:rPr>
              <w:t>(180) bps</w:t>
            </w:r>
          </w:p>
        </w:tc>
        <w:tc>
          <w:tcPr>
            <w:tcW w:w="0" w:type="auto"/>
            <w:gridSpan w:val="3"/>
            <w:shd w:val="clear" w:color="auto" w:fill="auto"/>
            <w:vAlign w:val="bottom"/>
          </w:tcPr>
          <w:p w14:paraId="71D3FE6D" w14:textId="77777777" w:rsidR="006A3667" w:rsidRDefault="006A3667">
            <w:pPr>
              <w:rPr>
                <w:rFonts w:ascii="宋体"/>
                <w:vanish/>
              </w:rPr>
            </w:pPr>
          </w:p>
        </w:tc>
        <w:tc>
          <w:tcPr>
            <w:tcW w:w="0" w:type="auto"/>
            <w:gridSpan w:val="3"/>
            <w:shd w:val="clear" w:color="auto" w:fill="auto"/>
            <w:vAlign w:val="bottom"/>
          </w:tcPr>
          <w:p w14:paraId="71D3FE6E" w14:textId="77777777" w:rsidR="006A3667" w:rsidRDefault="006A3667">
            <w:pPr>
              <w:rPr>
                <w:rFonts w:ascii="宋体"/>
                <w:vanish/>
              </w:rPr>
            </w:pPr>
          </w:p>
        </w:tc>
      </w:tr>
    </w:tbl>
    <w:p w14:paraId="71D3FE70" w14:textId="77777777" w:rsidR="006A3667" w:rsidRDefault="006A3667">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68"/>
        <w:gridCol w:w="36"/>
        <w:gridCol w:w="36"/>
        <w:gridCol w:w="1464"/>
        <w:gridCol w:w="36"/>
      </w:tblGrid>
      <w:tr w:rsidR="006A3667" w14:paraId="71D3FE77" w14:textId="77777777">
        <w:tc>
          <w:tcPr>
            <w:tcW w:w="50" w:type="pct"/>
            <w:shd w:val="clear" w:color="auto" w:fill="auto"/>
            <w:vAlign w:val="bottom"/>
          </w:tcPr>
          <w:p w14:paraId="71D3FE71" w14:textId="77777777" w:rsidR="006A3667" w:rsidRDefault="006A3667">
            <w:pPr>
              <w:rPr>
                <w:rFonts w:ascii="宋体"/>
              </w:rPr>
            </w:pPr>
          </w:p>
        </w:tc>
        <w:tc>
          <w:tcPr>
            <w:tcW w:w="2963" w:type="pct"/>
            <w:shd w:val="clear" w:color="auto" w:fill="auto"/>
            <w:vAlign w:val="bottom"/>
          </w:tcPr>
          <w:p w14:paraId="71D3FE72" w14:textId="77777777" w:rsidR="006A3667" w:rsidRDefault="006A3667">
            <w:pPr>
              <w:rPr>
                <w:rFonts w:ascii="宋体"/>
              </w:rPr>
            </w:pPr>
          </w:p>
        </w:tc>
        <w:tc>
          <w:tcPr>
            <w:tcW w:w="5" w:type="pct"/>
            <w:shd w:val="clear" w:color="auto" w:fill="auto"/>
            <w:vAlign w:val="bottom"/>
          </w:tcPr>
          <w:p w14:paraId="71D3FE73" w14:textId="77777777" w:rsidR="006A3667" w:rsidRDefault="006A3667">
            <w:pPr>
              <w:rPr>
                <w:rFonts w:ascii="宋体"/>
              </w:rPr>
            </w:pPr>
          </w:p>
        </w:tc>
        <w:tc>
          <w:tcPr>
            <w:tcW w:w="50" w:type="pct"/>
            <w:shd w:val="clear" w:color="auto" w:fill="auto"/>
            <w:vAlign w:val="bottom"/>
          </w:tcPr>
          <w:p w14:paraId="71D3FE74" w14:textId="77777777" w:rsidR="006A3667" w:rsidRDefault="006A3667">
            <w:pPr>
              <w:rPr>
                <w:rFonts w:ascii="宋体"/>
              </w:rPr>
            </w:pPr>
          </w:p>
        </w:tc>
        <w:tc>
          <w:tcPr>
            <w:tcW w:w="1926" w:type="pct"/>
            <w:shd w:val="clear" w:color="auto" w:fill="auto"/>
            <w:vAlign w:val="bottom"/>
          </w:tcPr>
          <w:p w14:paraId="71D3FE75" w14:textId="77777777" w:rsidR="006A3667" w:rsidRDefault="006A3667">
            <w:pPr>
              <w:rPr>
                <w:rFonts w:ascii="宋体"/>
              </w:rPr>
            </w:pPr>
          </w:p>
        </w:tc>
        <w:tc>
          <w:tcPr>
            <w:tcW w:w="5" w:type="pct"/>
            <w:shd w:val="clear" w:color="auto" w:fill="auto"/>
            <w:vAlign w:val="bottom"/>
          </w:tcPr>
          <w:p w14:paraId="71D3FE76" w14:textId="77777777" w:rsidR="006A3667" w:rsidRDefault="006A3667">
            <w:pPr>
              <w:rPr>
                <w:rFonts w:ascii="宋体"/>
              </w:rPr>
            </w:pPr>
          </w:p>
        </w:tc>
      </w:tr>
      <w:tr w:rsidR="006A3667" w14:paraId="71D3FE7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3FE7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3FE79" w14:textId="77777777" w:rsidR="006A3667" w:rsidRDefault="006A3667">
            <w:pPr>
              <w:rPr>
                <w:rFonts w:ascii="宋体"/>
              </w:rPr>
            </w:pPr>
          </w:p>
        </w:tc>
      </w:tr>
    </w:tbl>
    <w:p w14:paraId="71D3FE7B" w14:textId="77777777" w:rsidR="006A3667" w:rsidRDefault="00045F32">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Includes revenues from SPDR® Gold Shares and SPDR® Gold MiniSharesSM Trust AUM where we are not the investment manager but act as the marketing agent.</w:t>
      </w:r>
    </w:p>
    <w:p w14:paraId="71D3FE7C" w14:textId="77777777" w:rsidR="006A3667" w:rsidRDefault="00045F32">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Includes revenue for reimbursements received for certain ETFs associated with State Street Global Advisors where we act as the distribution and marketing agent.</w:t>
      </w:r>
    </w:p>
    <w:p w14:paraId="71D3FE7D" w14:textId="77777777" w:rsidR="006A3667" w:rsidRDefault="00045F32">
      <w:pPr>
        <w:spacing w:before="60"/>
        <w:jc w:val="both"/>
      </w:pPr>
      <w:r>
        <w:rPr>
          <w:rFonts w:ascii="Arial" w:eastAsia="宋体" w:hAnsi="Arial" w:cs="Arial"/>
          <w:color w:val="000000"/>
          <w:sz w:val="9"/>
          <w:szCs w:val="9"/>
        </w:rPr>
        <w:t>(3)</w:t>
      </w:r>
      <w:r>
        <w:rPr>
          <w:rFonts w:ascii="Arial" w:eastAsia="宋体" w:hAnsi="Arial" w:cs="Arial"/>
          <w:color w:val="000000"/>
          <w:sz w:val="14"/>
          <w:szCs w:val="14"/>
        </w:rPr>
        <w:t xml:space="preserve"> Includes other revenue items that are primarily driven by equity market movements.</w:t>
      </w:r>
    </w:p>
    <w:p w14:paraId="71D3FE7E" w14:textId="77777777" w:rsidR="006A3667" w:rsidRDefault="00045F32">
      <w:pPr>
        <w:spacing w:before="60"/>
        <w:jc w:val="both"/>
      </w:pPr>
      <w:r>
        <w:rPr>
          <w:rFonts w:ascii="Arial" w:eastAsia="宋体" w:hAnsi="Arial" w:cs="Arial"/>
          <w:color w:val="000000"/>
          <w:sz w:val="9"/>
          <w:szCs w:val="9"/>
        </w:rPr>
        <w:t>nm</w:t>
      </w:r>
      <w:r>
        <w:rPr>
          <w:rFonts w:ascii="Arial" w:eastAsia="宋体" w:hAnsi="Arial" w:cs="Arial"/>
          <w:color w:val="000000"/>
          <w:sz w:val="14"/>
          <w:szCs w:val="14"/>
        </w:rPr>
        <w:t xml:space="preserve"> Not meaningful</w:t>
      </w:r>
    </w:p>
    <w:p w14:paraId="71D3FE7F" w14:textId="77777777" w:rsidR="006A3667" w:rsidRDefault="00045F32">
      <w:pPr>
        <w:spacing w:before="60"/>
        <w:ind w:firstLine="450"/>
        <w:jc w:val="both"/>
      </w:pPr>
      <w:r>
        <w:rPr>
          <w:rFonts w:ascii="Arial" w:eastAsia="宋体" w:hAnsi="Arial" w:cs="Arial"/>
          <w:color w:val="000000"/>
          <w:sz w:val="20"/>
          <w:szCs w:val="20"/>
        </w:rPr>
        <w:t xml:space="preserve">Investment Management total revenue decreased 9% and 5% in the three and nine months ended September 30, 2022, respectively, compared to the same periods in 2021. </w:t>
      </w:r>
    </w:p>
    <w:p w14:paraId="71D3FE80" w14:textId="77777777" w:rsidR="006A3667" w:rsidRDefault="00045F32">
      <w:pPr>
        <w:spacing w:before="60"/>
        <w:jc w:val="both"/>
      </w:pPr>
      <w:r>
        <w:rPr>
          <w:rFonts w:ascii="Arial" w:eastAsia="宋体" w:hAnsi="Arial" w:cs="Arial"/>
          <w:b/>
          <w:bCs/>
          <w:i/>
          <w:iCs/>
          <w:color w:val="000000"/>
          <w:sz w:val="20"/>
          <w:szCs w:val="20"/>
        </w:rPr>
        <w:t>Management Fees</w:t>
      </w:r>
    </w:p>
    <w:p w14:paraId="71D3FE81" w14:textId="77777777" w:rsidR="006A3667" w:rsidRDefault="00045F32">
      <w:pPr>
        <w:spacing w:before="60"/>
        <w:ind w:firstLine="450"/>
        <w:jc w:val="both"/>
      </w:pPr>
      <w:r>
        <w:rPr>
          <w:rFonts w:ascii="Arial" w:eastAsia="宋体" w:hAnsi="Arial" w:cs="Arial"/>
          <w:color w:val="000000"/>
          <w:sz w:val="20"/>
          <w:szCs w:val="20"/>
        </w:rPr>
        <w:t>Management fees decreased 10% and 3% in the three and nine m</w:t>
      </w:r>
      <w:r>
        <w:rPr>
          <w:rFonts w:ascii="Arial" w:eastAsia="宋体" w:hAnsi="Arial" w:cs="Arial"/>
          <w:color w:val="000000"/>
          <w:sz w:val="20"/>
          <w:szCs w:val="20"/>
        </w:rPr>
        <w:t>onths ended September 30, 2022, respectively, compared to the same periods in 2021, primarily due to lower average equity and fixed income market levels, a previously reported client-specific pricing adjustment and institutional net outflows, partially off</w:t>
      </w:r>
      <w:r>
        <w:rPr>
          <w:rFonts w:ascii="Arial" w:eastAsia="宋体" w:hAnsi="Arial" w:cs="Arial"/>
          <w:color w:val="000000"/>
          <w:sz w:val="20"/>
          <w:szCs w:val="20"/>
        </w:rPr>
        <w:t>set by the absence of the impact of money market fee waivers and net inflows from cash and ETFs. Currency translation decreased management fees by 3% and 2% in the three and nine months ended September 30, 2022, respectively, relative to the same periods i</w:t>
      </w:r>
      <w:r>
        <w:rPr>
          <w:rFonts w:ascii="Arial" w:eastAsia="宋体" w:hAnsi="Arial" w:cs="Arial"/>
          <w:color w:val="000000"/>
          <w:sz w:val="20"/>
          <w:szCs w:val="20"/>
        </w:rPr>
        <w:t xml:space="preserve">n 2021. </w:t>
      </w:r>
    </w:p>
    <w:p w14:paraId="71D3FE82" w14:textId="77777777" w:rsidR="006A3667" w:rsidRDefault="00045F32">
      <w:pPr>
        <w:ind w:firstLine="450"/>
        <w:jc w:val="right"/>
      </w:pPr>
      <w:r>
        <w:rPr>
          <w:rFonts w:ascii="Arial" w:eastAsia="宋体" w:hAnsi="Arial" w:cs="Arial"/>
          <w:color w:val="000000"/>
          <w:sz w:val="18"/>
          <w:szCs w:val="18"/>
        </w:rPr>
        <w:t>State Street Corporation | 27</w:t>
      </w:r>
    </w:p>
    <w:p w14:paraId="71D3FE83" w14:textId="77777777" w:rsidR="006A3667" w:rsidRDefault="006A3667">
      <w:pPr>
        <w:ind w:firstLine="450"/>
        <w:jc w:val="center"/>
      </w:pPr>
    </w:p>
    <w:p w14:paraId="71D3FE84" w14:textId="77777777" w:rsidR="006A3667" w:rsidRDefault="00045F32">
      <w:r>
        <w:pict w14:anchorId="71D4AC2F">
          <v:rect id="_x0000_i1051" style="width:415.3pt;height:1.5pt" o:hralign="center" o:hrstd="t" o:hr="t" fillcolor="#a0a0a0" stroked="f"/>
        </w:pict>
      </w:r>
    </w:p>
    <w:p w14:paraId="71D3FE85"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3FE86" w14:textId="77777777" w:rsidR="006A3667" w:rsidRDefault="00045F32">
      <w:pPr>
        <w:ind w:firstLine="450"/>
        <w:jc w:val="center"/>
      </w:pPr>
      <w:r>
        <w:rPr>
          <w:rFonts w:ascii="Arial" w:eastAsia="宋体" w:hAnsi="Arial" w:cs="Arial"/>
          <w:b/>
          <w:bCs/>
          <w:color w:val="000000"/>
          <w:sz w:val="20"/>
          <w:szCs w:val="20"/>
        </w:rPr>
        <w:t>AND RESULTS OF OPERATIONS</w:t>
      </w:r>
    </w:p>
    <w:p w14:paraId="71D3FE87" w14:textId="77777777" w:rsidR="006A3667" w:rsidRDefault="00045F32">
      <w:pPr>
        <w:spacing w:before="60"/>
        <w:ind w:firstLine="450"/>
        <w:jc w:val="both"/>
        <w:textAlignment w:val="top"/>
      </w:pPr>
      <w:r>
        <w:rPr>
          <w:rFonts w:ascii="Arial" w:eastAsia="宋体" w:hAnsi="Arial" w:cs="Arial"/>
          <w:color w:val="000000"/>
          <w:sz w:val="20"/>
          <w:szCs w:val="20"/>
        </w:rPr>
        <w:t>For additional information about the impact of worldwide equity and fixed-income valuations, as well as other key drivers of our</w:t>
      </w:r>
      <w:r>
        <w:rPr>
          <w:rFonts w:ascii="Arial" w:eastAsia="宋体" w:hAnsi="Arial" w:cs="Arial"/>
          <w:color w:val="000000"/>
          <w:sz w:val="20"/>
          <w:szCs w:val="20"/>
        </w:rPr>
        <w:t xml:space="preserve"> management fees revenue, refer to "Fee Revenue" in "Consolidated Results of Operations" included in this Management's Discussion and Analysis.</w:t>
      </w:r>
    </w:p>
    <w:p w14:paraId="71D3FE88" w14:textId="77777777" w:rsidR="006A3667" w:rsidRDefault="00045F32">
      <w:pPr>
        <w:spacing w:before="60"/>
        <w:jc w:val="both"/>
        <w:textAlignment w:val="top"/>
      </w:pPr>
      <w:r>
        <w:rPr>
          <w:rFonts w:ascii="Arial" w:eastAsia="宋体" w:hAnsi="Arial" w:cs="Arial"/>
          <w:b/>
          <w:bCs/>
          <w:i/>
          <w:iCs/>
          <w:color w:val="000000"/>
          <w:sz w:val="20"/>
          <w:szCs w:val="20"/>
        </w:rPr>
        <w:t xml:space="preserve">Expenses </w:t>
      </w:r>
    </w:p>
    <w:p w14:paraId="71D3FE89" w14:textId="77777777" w:rsidR="006A3667" w:rsidRDefault="00045F32">
      <w:pPr>
        <w:spacing w:before="60"/>
        <w:ind w:firstLine="450"/>
        <w:jc w:val="both"/>
        <w:textAlignment w:val="top"/>
      </w:pPr>
      <w:r>
        <w:rPr>
          <w:rFonts w:ascii="Arial" w:eastAsia="宋体" w:hAnsi="Arial" w:cs="Arial"/>
          <w:color w:val="000000"/>
          <w:sz w:val="20"/>
          <w:szCs w:val="20"/>
        </w:rPr>
        <w:t>Total expenses for Investment Management decreased 1% and 3% in the three and nine months ended Septem</w:t>
      </w:r>
      <w:r>
        <w:rPr>
          <w:rFonts w:ascii="Arial" w:eastAsia="宋体" w:hAnsi="Arial" w:cs="Arial"/>
          <w:color w:val="000000"/>
          <w:sz w:val="20"/>
          <w:szCs w:val="20"/>
        </w:rPr>
        <w:t>ber 30, 2022, respectively, compared to the same periods in 2021, as savings from on-going expense management initiatives was partially offset by merit increases. Currency translation reduced expenses for Investment Management by 3% and 2% in the three and</w:t>
      </w:r>
      <w:r>
        <w:rPr>
          <w:rFonts w:ascii="Arial" w:eastAsia="宋体" w:hAnsi="Arial" w:cs="Arial"/>
          <w:color w:val="000000"/>
          <w:sz w:val="20"/>
          <w:szCs w:val="20"/>
        </w:rPr>
        <w:t xml:space="preserve"> nine months ended September 30, 2022, respectively, relative to the same periods in 2021. Seasonal deferred incentive compensation expense and payroll taxes were $65 million in the nine months ended September 30, 2022, compared to $52 million in the same </w:t>
      </w:r>
      <w:r>
        <w:rPr>
          <w:rFonts w:ascii="Arial" w:eastAsia="宋体" w:hAnsi="Arial" w:cs="Arial"/>
          <w:color w:val="000000"/>
          <w:sz w:val="20"/>
          <w:szCs w:val="20"/>
        </w:rPr>
        <w:t>period in 2021.</w:t>
      </w:r>
    </w:p>
    <w:p w14:paraId="71D3FE8A" w14:textId="77777777" w:rsidR="006A3667" w:rsidRDefault="00045F32">
      <w:pPr>
        <w:spacing w:before="60"/>
        <w:ind w:firstLine="450"/>
        <w:jc w:val="both"/>
        <w:textAlignment w:val="top"/>
      </w:pPr>
      <w:r>
        <w:rPr>
          <w:rFonts w:ascii="Arial" w:eastAsia="宋体" w:hAnsi="Arial" w:cs="Arial"/>
          <w:color w:val="000000"/>
          <w:sz w:val="20"/>
          <w:szCs w:val="20"/>
        </w:rPr>
        <w:t>Additional information about expenses is provided under "Expenses" in "Consolidated Results of Operations" included in this Management's Discussion and Analysis.</w:t>
      </w:r>
    </w:p>
    <w:p w14:paraId="71D3FE8B" w14:textId="77777777" w:rsidR="006A3667" w:rsidRDefault="00045F32">
      <w:pPr>
        <w:spacing w:before="90"/>
        <w:textAlignment w:val="top"/>
      </w:pPr>
      <w:r>
        <w:rPr>
          <w:rFonts w:ascii="Arial" w:eastAsia="宋体" w:hAnsi="Arial" w:cs="Arial"/>
          <w:b/>
          <w:bCs/>
          <w:color w:val="000000"/>
          <w:sz w:val="20"/>
          <w:szCs w:val="20"/>
        </w:rPr>
        <w:t>FINANCIAL CONDITION</w:t>
      </w:r>
    </w:p>
    <w:p w14:paraId="71D3FE8C" w14:textId="77777777" w:rsidR="006A3667" w:rsidRDefault="00045F32">
      <w:pPr>
        <w:spacing w:before="60"/>
        <w:ind w:firstLine="450"/>
        <w:jc w:val="both"/>
        <w:textAlignment w:val="top"/>
      </w:pPr>
      <w:r>
        <w:rPr>
          <w:rFonts w:ascii="Arial" w:eastAsia="宋体" w:hAnsi="Arial" w:cs="Arial"/>
          <w:color w:val="000000"/>
          <w:sz w:val="20"/>
          <w:szCs w:val="20"/>
        </w:rPr>
        <w:t>The structure of our consolidated statement of condition i</w:t>
      </w:r>
      <w:r>
        <w:rPr>
          <w:rFonts w:ascii="Arial" w:eastAsia="宋体" w:hAnsi="Arial" w:cs="Arial"/>
          <w:color w:val="000000"/>
          <w:sz w:val="20"/>
          <w:szCs w:val="20"/>
        </w:rPr>
        <w:t>s primarily driven by the liabilities generated by our Investment Servicing and Investment Management lines of business. Our clients' needs and our operating objectives determine balance sheet volume, mix and currency denomination. As our clients execute t</w:t>
      </w:r>
      <w:r>
        <w:rPr>
          <w:rFonts w:ascii="Arial" w:eastAsia="宋体" w:hAnsi="Arial" w:cs="Arial"/>
          <w:color w:val="000000"/>
          <w:sz w:val="20"/>
          <w:szCs w:val="20"/>
        </w:rPr>
        <w:t xml:space="preserve">heir worldwide cash management and investment activities, they utilize deposits and short-term investments that constitute the majority of our liabilities. These liabilities are generally in the form of interest-bearing transaction account deposits, which </w:t>
      </w:r>
      <w:r>
        <w:rPr>
          <w:rFonts w:ascii="Arial" w:eastAsia="宋体" w:hAnsi="Arial" w:cs="Arial"/>
          <w:color w:val="000000"/>
          <w:sz w:val="20"/>
          <w:szCs w:val="20"/>
        </w:rPr>
        <w:t>are denominated in a variety of currencies; non-interest-bearing demand deposits; and repurchase agreements, which generally serve as short-term investment alternatives for our clients.</w:t>
      </w:r>
    </w:p>
    <w:p w14:paraId="71D3FE8D" w14:textId="77777777" w:rsidR="006A3667" w:rsidRDefault="00045F32">
      <w:pPr>
        <w:spacing w:before="60"/>
        <w:ind w:firstLine="450"/>
        <w:jc w:val="both"/>
        <w:textAlignment w:val="top"/>
      </w:pPr>
      <w:r>
        <w:rPr>
          <w:rFonts w:ascii="Arial" w:eastAsia="宋体" w:hAnsi="Arial" w:cs="Arial"/>
          <w:color w:val="000000"/>
          <w:sz w:val="20"/>
          <w:szCs w:val="20"/>
        </w:rPr>
        <w:t>Deposits and other liabilities resulting from client initiated transac</w:t>
      </w:r>
      <w:r>
        <w:rPr>
          <w:rFonts w:ascii="Arial" w:eastAsia="宋体" w:hAnsi="Arial" w:cs="Arial"/>
          <w:color w:val="000000"/>
          <w:sz w:val="20"/>
          <w:szCs w:val="20"/>
        </w:rPr>
        <w:t>tions are invested in assets that generally have contractual maturities significantly longer than our liabilities; however, we evaluate the operational nature of our deposits and seek to maintain appropriate short-term liquidity of those liabilities that a</w:t>
      </w:r>
      <w:r>
        <w:rPr>
          <w:rFonts w:ascii="Arial" w:eastAsia="宋体" w:hAnsi="Arial" w:cs="Arial"/>
          <w:color w:val="000000"/>
          <w:sz w:val="20"/>
          <w:szCs w:val="20"/>
        </w:rPr>
        <w:t>re not operational in nature and maintain longer-termed assets for our operational deposits. Our assets consist primarily of securities held in our AFS or HTM portfolios and short-duration financial instruments, such as interest-bearing deposits with banks</w:t>
      </w:r>
      <w:r>
        <w:rPr>
          <w:rFonts w:ascii="Arial" w:eastAsia="宋体" w:hAnsi="Arial" w:cs="Arial"/>
          <w:color w:val="000000"/>
          <w:sz w:val="20"/>
          <w:szCs w:val="20"/>
        </w:rPr>
        <w:t xml:space="preserve"> and securities purchased under resale agreements. The actual mix of assets is determined by the characteristics of the client </w:t>
      </w:r>
    </w:p>
    <w:p w14:paraId="71D3FE8E" w14:textId="77777777" w:rsidR="006A3667" w:rsidRDefault="00045F32">
      <w:pPr>
        <w:spacing w:before="60"/>
        <w:jc w:val="both"/>
        <w:textAlignment w:val="top"/>
      </w:pPr>
      <w:r>
        <w:rPr>
          <w:rFonts w:ascii="Arial" w:eastAsia="宋体" w:hAnsi="Arial" w:cs="Arial"/>
          <w:color w:val="000000"/>
          <w:sz w:val="20"/>
          <w:szCs w:val="20"/>
        </w:rPr>
        <w:t>liabilities and our desire to maintain a well-diversified portfolio of high-quality assets.</w:t>
      </w:r>
    </w:p>
    <w:p w14:paraId="71D3FE8F" w14:textId="77777777" w:rsidR="006A3667" w:rsidRDefault="00045F32">
      <w:pPr>
        <w:spacing w:before="60"/>
        <w:ind w:firstLine="450"/>
        <w:jc w:val="both"/>
        <w:textAlignment w:val="top"/>
      </w:pPr>
      <w:r>
        <w:rPr>
          <w:rFonts w:ascii="Arial" w:eastAsia="宋体" w:hAnsi="Arial" w:cs="Arial"/>
          <w:color w:val="000000"/>
          <w:sz w:val="20"/>
          <w:szCs w:val="20"/>
        </w:rPr>
        <w:t xml:space="preserve">The following information on our financial condition is based on our average balance sheet, which we believe is the better measure of our balance sheet trends as period-end balances can be impacted by the timing of client activities including deposits and </w:t>
      </w:r>
      <w:r>
        <w:rPr>
          <w:rFonts w:ascii="Arial" w:eastAsia="宋体" w:hAnsi="Arial" w:cs="Arial"/>
          <w:color w:val="000000"/>
          <w:sz w:val="20"/>
          <w:szCs w:val="20"/>
        </w:rPr>
        <w:t xml:space="preserve">withdrawals. </w:t>
      </w:r>
    </w:p>
    <w:tbl>
      <w:tblPr>
        <w:tblW w:w="5000" w:type="pct"/>
        <w:tblCellMar>
          <w:top w:w="15" w:type="dxa"/>
          <w:left w:w="15" w:type="dxa"/>
          <w:bottom w:w="15" w:type="dxa"/>
          <w:right w:w="15" w:type="dxa"/>
        </w:tblCellMar>
        <w:tblLook w:val="04A0" w:firstRow="1" w:lastRow="0" w:firstColumn="1" w:lastColumn="0" w:noHBand="0" w:noVBand="1"/>
      </w:tblPr>
      <w:tblGrid>
        <w:gridCol w:w="45"/>
        <w:gridCol w:w="5042"/>
        <w:gridCol w:w="38"/>
        <w:gridCol w:w="98"/>
        <w:gridCol w:w="1267"/>
        <w:gridCol w:w="36"/>
        <w:gridCol w:w="36"/>
        <w:gridCol w:w="48"/>
        <w:gridCol w:w="36"/>
        <w:gridCol w:w="98"/>
        <w:gridCol w:w="1268"/>
        <w:gridCol w:w="36"/>
        <w:gridCol w:w="36"/>
        <w:gridCol w:w="36"/>
        <w:gridCol w:w="36"/>
        <w:gridCol w:w="36"/>
        <w:gridCol w:w="36"/>
        <w:gridCol w:w="36"/>
        <w:gridCol w:w="36"/>
        <w:gridCol w:w="36"/>
      </w:tblGrid>
      <w:tr w:rsidR="006A3667" w14:paraId="71D3FEA0" w14:textId="77777777">
        <w:tc>
          <w:tcPr>
            <w:tcW w:w="50" w:type="pct"/>
            <w:shd w:val="clear" w:color="auto" w:fill="auto"/>
            <w:vAlign w:val="bottom"/>
          </w:tcPr>
          <w:p w14:paraId="71D3FE90" w14:textId="77777777" w:rsidR="006A3667" w:rsidRDefault="006A3667">
            <w:pPr>
              <w:rPr>
                <w:rFonts w:ascii="宋体"/>
              </w:rPr>
            </w:pPr>
          </w:p>
        </w:tc>
        <w:tc>
          <w:tcPr>
            <w:tcW w:w="3152" w:type="pct"/>
            <w:shd w:val="clear" w:color="auto" w:fill="auto"/>
            <w:vAlign w:val="bottom"/>
          </w:tcPr>
          <w:p w14:paraId="71D3FE91" w14:textId="77777777" w:rsidR="006A3667" w:rsidRDefault="006A3667">
            <w:pPr>
              <w:rPr>
                <w:rFonts w:ascii="宋体"/>
              </w:rPr>
            </w:pPr>
          </w:p>
        </w:tc>
        <w:tc>
          <w:tcPr>
            <w:tcW w:w="5" w:type="pct"/>
            <w:shd w:val="clear" w:color="auto" w:fill="auto"/>
            <w:vAlign w:val="bottom"/>
          </w:tcPr>
          <w:p w14:paraId="71D3FE92" w14:textId="77777777" w:rsidR="006A3667" w:rsidRDefault="006A3667">
            <w:pPr>
              <w:rPr>
                <w:rFonts w:ascii="宋体"/>
              </w:rPr>
            </w:pPr>
          </w:p>
        </w:tc>
        <w:tc>
          <w:tcPr>
            <w:tcW w:w="50" w:type="pct"/>
            <w:shd w:val="clear" w:color="auto" w:fill="auto"/>
            <w:vAlign w:val="bottom"/>
          </w:tcPr>
          <w:p w14:paraId="71D3FE93" w14:textId="77777777" w:rsidR="006A3667" w:rsidRDefault="006A3667">
            <w:pPr>
              <w:rPr>
                <w:rFonts w:ascii="宋体"/>
              </w:rPr>
            </w:pPr>
          </w:p>
        </w:tc>
        <w:tc>
          <w:tcPr>
            <w:tcW w:w="809" w:type="pct"/>
            <w:shd w:val="clear" w:color="auto" w:fill="auto"/>
            <w:vAlign w:val="bottom"/>
          </w:tcPr>
          <w:p w14:paraId="71D3FE94" w14:textId="77777777" w:rsidR="006A3667" w:rsidRDefault="006A3667">
            <w:pPr>
              <w:rPr>
                <w:rFonts w:ascii="宋体"/>
              </w:rPr>
            </w:pPr>
          </w:p>
        </w:tc>
        <w:tc>
          <w:tcPr>
            <w:tcW w:w="5" w:type="pct"/>
            <w:shd w:val="clear" w:color="auto" w:fill="auto"/>
            <w:vAlign w:val="bottom"/>
          </w:tcPr>
          <w:p w14:paraId="71D3FE95" w14:textId="77777777" w:rsidR="006A3667" w:rsidRDefault="006A3667">
            <w:pPr>
              <w:rPr>
                <w:rFonts w:ascii="宋体"/>
              </w:rPr>
            </w:pPr>
          </w:p>
        </w:tc>
        <w:tc>
          <w:tcPr>
            <w:tcW w:w="5" w:type="pct"/>
            <w:shd w:val="clear" w:color="auto" w:fill="auto"/>
            <w:vAlign w:val="bottom"/>
          </w:tcPr>
          <w:p w14:paraId="71D3FE96" w14:textId="77777777" w:rsidR="006A3667" w:rsidRDefault="006A3667">
            <w:pPr>
              <w:rPr>
                <w:rFonts w:ascii="宋体"/>
              </w:rPr>
            </w:pPr>
          </w:p>
        </w:tc>
        <w:tc>
          <w:tcPr>
            <w:tcW w:w="52" w:type="pct"/>
            <w:shd w:val="clear" w:color="auto" w:fill="auto"/>
            <w:vAlign w:val="bottom"/>
          </w:tcPr>
          <w:p w14:paraId="71D3FE97" w14:textId="77777777" w:rsidR="006A3667" w:rsidRDefault="006A3667">
            <w:pPr>
              <w:rPr>
                <w:rFonts w:ascii="宋体"/>
              </w:rPr>
            </w:pPr>
          </w:p>
        </w:tc>
        <w:tc>
          <w:tcPr>
            <w:tcW w:w="5" w:type="pct"/>
            <w:shd w:val="clear" w:color="auto" w:fill="auto"/>
            <w:vAlign w:val="bottom"/>
          </w:tcPr>
          <w:p w14:paraId="71D3FE98" w14:textId="77777777" w:rsidR="006A3667" w:rsidRDefault="006A3667">
            <w:pPr>
              <w:rPr>
                <w:rFonts w:ascii="宋体"/>
              </w:rPr>
            </w:pPr>
          </w:p>
        </w:tc>
        <w:tc>
          <w:tcPr>
            <w:tcW w:w="50" w:type="pct"/>
            <w:shd w:val="clear" w:color="auto" w:fill="auto"/>
            <w:vAlign w:val="bottom"/>
          </w:tcPr>
          <w:p w14:paraId="71D3FE99" w14:textId="77777777" w:rsidR="006A3667" w:rsidRDefault="006A3667">
            <w:pPr>
              <w:rPr>
                <w:rFonts w:ascii="宋体"/>
              </w:rPr>
            </w:pPr>
          </w:p>
        </w:tc>
        <w:tc>
          <w:tcPr>
            <w:tcW w:w="809" w:type="pct"/>
            <w:shd w:val="clear" w:color="auto" w:fill="auto"/>
            <w:vAlign w:val="bottom"/>
          </w:tcPr>
          <w:p w14:paraId="71D3FE9A" w14:textId="77777777" w:rsidR="006A3667" w:rsidRDefault="006A3667">
            <w:pPr>
              <w:rPr>
                <w:rFonts w:ascii="宋体"/>
              </w:rPr>
            </w:pPr>
          </w:p>
        </w:tc>
        <w:tc>
          <w:tcPr>
            <w:tcW w:w="5" w:type="pct"/>
            <w:shd w:val="clear" w:color="auto" w:fill="auto"/>
            <w:vAlign w:val="bottom"/>
          </w:tcPr>
          <w:p w14:paraId="71D3FE9B" w14:textId="77777777" w:rsidR="006A3667" w:rsidRDefault="006A3667">
            <w:pPr>
              <w:rPr>
                <w:rFonts w:ascii="宋体"/>
              </w:rPr>
            </w:pPr>
          </w:p>
        </w:tc>
        <w:tc>
          <w:tcPr>
            <w:tcW w:w="0" w:type="auto"/>
            <w:shd w:val="clear" w:color="auto" w:fill="auto"/>
            <w:vAlign w:val="bottom"/>
          </w:tcPr>
          <w:p w14:paraId="71D3FE9C" w14:textId="77777777" w:rsidR="006A3667" w:rsidRDefault="006A3667">
            <w:pPr>
              <w:rPr>
                <w:rFonts w:ascii="宋体"/>
                <w:vanish/>
              </w:rPr>
            </w:pPr>
          </w:p>
        </w:tc>
        <w:tc>
          <w:tcPr>
            <w:tcW w:w="0" w:type="auto"/>
            <w:shd w:val="clear" w:color="auto" w:fill="auto"/>
            <w:vAlign w:val="bottom"/>
          </w:tcPr>
          <w:p w14:paraId="71D3FE9D" w14:textId="77777777" w:rsidR="006A3667" w:rsidRDefault="006A3667">
            <w:pPr>
              <w:rPr>
                <w:rFonts w:ascii="宋体"/>
                <w:vanish/>
              </w:rPr>
            </w:pPr>
          </w:p>
        </w:tc>
        <w:tc>
          <w:tcPr>
            <w:tcW w:w="0" w:type="auto"/>
            <w:gridSpan w:val="3"/>
            <w:shd w:val="clear" w:color="auto" w:fill="auto"/>
            <w:vAlign w:val="bottom"/>
          </w:tcPr>
          <w:p w14:paraId="71D3FE9E" w14:textId="77777777" w:rsidR="006A3667" w:rsidRDefault="006A3667">
            <w:pPr>
              <w:rPr>
                <w:rFonts w:ascii="宋体"/>
                <w:vanish/>
              </w:rPr>
            </w:pPr>
          </w:p>
        </w:tc>
        <w:tc>
          <w:tcPr>
            <w:tcW w:w="0" w:type="auto"/>
            <w:gridSpan w:val="3"/>
            <w:shd w:val="clear" w:color="auto" w:fill="auto"/>
            <w:vAlign w:val="bottom"/>
          </w:tcPr>
          <w:p w14:paraId="71D3FE9F" w14:textId="77777777" w:rsidR="006A3667" w:rsidRDefault="006A3667">
            <w:pPr>
              <w:rPr>
                <w:rFonts w:ascii="宋体"/>
                <w:vanish/>
              </w:rPr>
            </w:pPr>
          </w:p>
        </w:tc>
      </w:tr>
      <w:tr w:rsidR="006A3667" w14:paraId="71D3FEAD" w14:textId="77777777">
        <w:trPr>
          <w:hidden/>
        </w:trPr>
        <w:tc>
          <w:tcPr>
            <w:tcW w:w="0" w:type="auto"/>
            <w:gridSpan w:val="3"/>
            <w:shd w:val="clear" w:color="auto" w:fill="auto"/>
            <w:vAlign w:val="bottom"/>
          </w:tcPr>
          <w:p w14:paraId="71D3FEA1" w14:textId="77777777" w:rsidR="006A3667" w:rsidRDefault="006A3667">
            <w:pPr>
              <w:rPr>
                <w:rFonts w:ascii="宋体"/>
                <w:vanish/>
              </w:rPr>
            </w:pPr>
          </w:p>
        </w:tc>
        <w:tc>
          <w:tcPr>
            <w:tcW w:w="0" w:type="auto"/>
            <w:gridSpan w:val="3"/>
            <w:shd w:val="clear" w:color="auto" w:fill="auto"/>
            <w:vAlign w:val="bottom"/>
          </w:tcPr>
          <w:p w14:paraId="71D3FEA2" w14:textId="77777777" w:rsidR="006A3667" w:rsidRDefault="006A3667">
            <w:pPr>
              <w:rPr>
                <w:rFonts w:ascii="宋体"/>
                <w:vanish/>
              </w:rPr>
            </w:pPr>
          </w:p>
        </w:tc>
        <w:tc>
          <w:tcPr>
            <w:tcW w:w="0" w:type="auto"/>
            <w:gridSpan w:val="3"/>
            <w:shd w:val="clear" w:color="auto" w:fill="auto"/>
            <w:vAlign w:val="bottom"/>
          </w:tcPr>
          <w:p w14:paraId="71D3FEA3" w14:textId="77777777" w:rsidR="006A3667" w:rsidRDefault="006A3667">
            <w:pPr>
              <w:rPr>
                <w:rFonts w:ascii="宋体"/>
                <w:vanish/>
              </w:rPr>
            </w:pPr>
          </w:p>
        </w:tc>
        <w:tc>
          <w:tcPr>
            <w:tcW w:w="0" w:type="auto"/>
            <w:gridSpan w:val="3"/>
            <w:shd w:val="clear" w:color="auto" w:fill="auto"/>
            <w:vAlign w:val="bottom"/>
          </w:tcPr>
          <w:p w14:paraId="71D3FEA4" w14:textId="77777777" w:rsidR="006A3667" w:rsidRDefault="006A3667">
            <w:pPr>
              <w:rPr>
                <w:rFonts w:ascii="宋体"/>
                <w:vanish/>
              </w:rPr>
            </w:pPr>
          </w:p>
        </w:tc>
        <w:tc>
          <w:tcPr>
            <w:tcW w:w="0" w:type="auto"/>
            <w:shd w:val="clear" w:color="auto" w:fill="auto"/>
            <w:vAlign w:val="bottom"/>
          </w:tcPr>
          <w:p w14:paraId="71D3FEA5" w14:textId="77777777" w:rsidR="006A3667" w:rsidRDefault="006A3667">
            <w:pPr>
              <w:rPr>
                <w:rFonts w:ascii="宋体"/>
                <w:vanish/>
              </w:rPr>
            </w:pPr>
          </w:p>
        </w:tc>
        <w:tc>
          <w:tcPr>
            <w:tcW w:w="0" w:type="auto"/>
            <w:shd w:val="clear" w:color="auto" w:fill="auto"/>
            <w:vAlign w:val="bottom"/>
          </w:tcPr>
          <w:p w14:paraId="71D3FEA6" w14:textId="77777777" w:rsidR="006A3667" w:rsidRDefault="006A3667">
            <w:pPr>
              <w:rPr>
                <w:rFonts w:ascii="宋体"/>
                <w:vanish/>
              </w:rPr>
            </w:pPr>
          </w:p>
        </w:tc>
        <w:tc>
          <w:tcPr>
            <w:tcW w:w="0" w:type="auto"/>
            <w:shd w:val="clear" w:color="auto" w:fill="auto"/>
            <w:vAlign w:val="bottom"/>
          </w:tcPr>
          <w:p w14:paraId="71D3FEA7" w14:textId="77777777" w:rsidR="006A3667" w:rsidRDefault="006A3667">
            <w:pPr>
              <w:rPr>
                <w:rFonts w:ascii="宋体"/>
              </w:rPr>
            </w:pPr>
          </w:p>
        </w:tc>
        <w:tc>
          <w:tcPr>
            <w:tcW w:w="0" w:type="auto"/>
            <w:shd w:val="clear" w:color="auto" w:fill="auto"/>
            <w:vAlign w:val="bottom"/>
          </w:tcPr>
          <w:p w14:paraId="71D3FEA8" w14:textId="77777777" w:rsidR="006A3667" w:rsidRDefault="006A3667">
            <w:pPr>
              <w:rPr>
                <w:rFonts w:ascii="宋体"/>
              </w:rPr>
            </w:pPr>
          </w:p>
        </w:tc>
        <w:tc>
          <w:tcPr>
            <w:tcW w:w="0" w:type="auto"/>
            <w:shd w:val="clear" w:color="auto" w:fill="auto"/>
            <w:vAlign w:val="bottom"/>
          </w:tcPr>
          <w:p w14:paraId="71D3FEA9" w14:textId="77777777" w:rsidR="006A3667" w:rsidRDefault="006A3667">
            <w:pPr>
              <w:rPr>
                <w:rFonts w:ascii="宋体"/>
              </w:rPr>
            </w:pPr>
          </w:p>
        </w:tc>
        <w:tc>
          <w:tcPr>
            <w:tcW w:w="0" w:type="auto"/>
            <w:shd w:val="clear" w:color="auto" w:fill="auto"/>
            <w:vAlign w:val="bottom"/>
          </w:tcPr>
          <w:p w14:paraId="71D3FEAA" w14:textId="77777777" w:rsidR="006A3667" w:rsidRDefault="006A3667">
            <w:pPr>
              <w:rPr>
                <w:rFonts w:ascii="宋体"/>
              </w:rPr>
            </w:pPr>
          </w:p>
        </w:tc>
        <w:tc>
          <w:tcPr>
            <w:tcW w:w="0" w:type="auto"/>
            <w:shd w:val="clear" w:color="auto" w:fill="auto"/>
            <w:vAlign w:val="bottom"/>
          </w:tcPr>
          <w:p w14:paraId="71D3FEAB" w14:textId="77777777" w:rsidR="006A3667" w:rsidRDefault="006A3667">
            <w:pPr>
              <w:rPr>
                <w:rFonts w:ascii="宋体"/>
              </w:rPr>
            </w:pPr>
          </w:p>
        </w:tc>
        <w:tc>
          <w:tcPr>
            <w:tcW w:w="0" w:type="auto"/>
            <w:shd w:val="clear" w:color="auto" w:fill="auto"/>
            <w:vAlign w:val="bottom"/>
          </w:tcPr>
          <w:p w14:paraId="71D3FEAC" w14:textId="77777777" w:rsidR="006A3667" w:rsidRDefault="006A3667">
            <w:pPr>
              <w:rPr>
                <w:rFonts w:ascii="宋体"/>
              </w:rPr>
            </w:pPr>
          </w:p>
        </w:tc>
      </w:tr>
      <w:tr w:rsidR="006A3667" w14:paraId="71D3FEB6" w14:textId="77777777">
        <w:trPr>
          <w:hidden/>
        </w:trPr>
        <w:tc>
          <w:tcPr>
            <w:tcW w:w="0" w:type="auto"/>
            <w:gridSpan w:val="3"/>
            <w:shd w:val="clear" w:color="auto" w:fill="auto"/>
            <w:vAlign w:val="bottom"/>
          </w:tcPr>
          <w:p w14:paraId="71D3FEAE" w14:textId="77777777" w:rsidR="006A3667" w:rsidRDefault="006A3667">
            <w:pPr>
              <w:rPr>
                <w:rFonts w:ascii="宋体"/>
                <w:vanish/>
              </w:rPr>
            </w:pPr>
          </w:p>
        </w:tc>
        <w:tc>
          <w:tcPr>
            <w:tcW w:w="0" w:type="auto"/>
            <w:gridSpan w:val="3"/>
            <w:shd w:val="clear" w:color="auto" w:fill="auto"/>
            <w:vAlign w:val="bottom"/>
          </w:tcPr>
          <w:p w14:paraId="71D3FEAF" w14:textId="77777777" w:rsidR="006A3667" w:rsidRDefault="006A3667">
            <w:pPr>
              <w:rPr>
                <w:rFonts w:ascii="宋体"/>
                <w:vanish/>
              </w:rPr>
            </w:pPr>
          </w:p>
        </w:tc>
        <w:tc>
          <w:tcPr>
            <w:tcW w:w="0" w:type="auto"/>
            <w:gridSpan w:val="3"/>
            <w:shd w:val="clear" w:color="auto" w:fill="auto"/>
            <w:vAlign w:val="bottom"/>
          </w:tcPr>
          <w:p w14:paraId="71D3FEB0" w14:textId="77777777" w:rsidR="006A3667" w:rsidRDefault="006A3667">
            <w:pPr>
              <w:rPr>
                <w:rFonts w:ascii="宋体"/>
                <w:vanish/>
              </w:rPr>
            </w:pPr>
          </w:p>
        </w:tc>
        <w:tc>
          <w:tcPr>
            <w:tcW w:w="0" w:type="auto"/>
            <w:gridSpan w:val="3"/>
            <w:shd w:val="clear" w:color="auto" w:fill="auto"/>
            <w:vAlign w:val="bottom"/>
          </w:tcPr>
          <w:p w14:paraId="71D3FEB1" w14:textId="77777777" w:rsidR="006A3667" w:rsidRDefault="006A3667">
            <w:pPr>
              <w:rPr>
                <w:rFonts w:ascii="宋体"/>
                <w:vanish/>
              </w:rPr>
            </w:pPr>
          </w:p>
        </w:tc>
        <w:tc>
          <w:tcPr>
            <w:tcW w:w="0" w:type="auto"/>
            <w:shd w:val="clear" w:color="auto" w:fill="auto"/>
            <w:vAlign w:val="bottom"/>
          </w:tcPr>
          <w:p w14:paraId="71D3FEB2" w14:textId="77777777" w:rsidR="006A3667" w:rsidRDefault="006A3667">
            <w:pPr>
              <w:rPr>
                <w:rFonts w:ascii="宋体"/>
                <w:vanish/>
              </w:rPr>
            </w:pPr>
          </w:p>
        </w:tc>
        <w:tc>
          <w:tcPr>
            <w:tcW w:w="0" w:type="auto"/>
            <w:shd w:val="clear" w:color="auto" w:fill="auto"/>
            <w:vAlign w:val="bottom"/>
          </w:tcPr>
          <w:p w14:paraId="71D3FEB3" w14:textId="77777777" w:rsidR="006A3667" w:rsidRDefault="006A3667">
            <w:pPr>
              <w:rPr>
                <w:rFonts w:ascii="宋体"/>
                <w:vanish/>
              </w:rPr>
            </w:pPr>
          </w:p>
        </w:tc>
        <w:tc>
          <w:tcPr>
            <w:tcW w:w="0" w:type="auto"/>
            <w:gridSpan w:val="3"/>
            <w:shd w:val="clear" w:color="auto" w:fill="auto"/>
            <w:vAlign w:val="bottom"/>
          </w:tcPr>
          <w:p w14:paraId="71D3FEB4" w14:textId="77777777" w:rsidR="006A3667" w:rsidRDefault="006A3667">
            <w:pPr>
              <w:rPr>
                <w:rFonts w:ascii="宋体"/>
                <w:vanish/>
              </w:rPr>
            </w:pPr>
          </w:p>
        </w:tc>
        <w:tc>
          <w:tcPr>
            <w:tcW w:w="0" w:type="auto"/>
            <w:gridSpan w:val="3"/>
            <w:shd w:val="clear" w:color="auto" w:fill="auto"/>
            <w:vAlign w:val="bottom"/>
          </w:tcPr>
          <w:p w14:paraId="71D3FEB5" w14:textId="77777777" w:rsidR="006A3667" w:rsidRDefault="006A3667">
            <w:pPr>
              <w:rPr>
                <w:rFonts w:ascii="宋体"/>
                <w:vanish/>
              </w:rPr>
            </w:pPr>
          </w:p>
        </w:tc>
      </w:tr>
      <w:tr w:rsidR="006A3667" w14:paraId="71D3FEBF" w14:textId="77777777">
        <w:trPr>
          <w:hidden/>
        </w:trPr>
        <w:tc>
          <w:tcPr>
            <w:tcW w:w="0" w:type="auto"/>
            <w:gridSpan w:val="3"/>
            <w:shd w:val="clear" w:color="auto" w:fill="auto"/>
            <w:vAlign w:val="bottom"/>
          </w:tcPr>
          <w:p w14:paraId="71D3FEB7" w14:textId="77777777" w:rsidR="006A3667" w:rsidRDefault="006A3667">
            <w:pPr>
              <w:rPr>
                <w:rFonts w:ascii="宋体"/>
                <w:vanish/>
              </w:rPr>
            </w:pPr>
          </w:p>
        </w:tc>
        <w:tc>
          <w:tcPr>
            <w:tcW w:w="0" w:type="auto"/>
            <w:gridSpan w:val="3"/>
            <w:shd w:val="clear" w:color="auto" w:fill="auto"/>
            <w:vAlign w:val="bottom"/>
          </w:tcPr>
          <w:p w14:paraId="71D3FEB8" w14:textId="77777777" w:rsidR="006A3667" w:rsidRDefault="006A3667">
            <w:pPr>
              <w:rPr>
                <w:rFonts w:ascii="宋体"/>
                <w:vanish/>
              </w:rPr>
            </w:pPr>
          </w:p>
        </w:tc>
        <w:tc>
          <w:tcPr>
            <w:tcW w:w="0" w:type="auto"/>
            <w:gridSpan w:val="3"/>
            <w:shd w:val="clear" w:color="auto" w:fill="auto"/>
            <w:vAlign w:val="bottom"/>
          </w:tcPr>
          <w:p w14:paraId="71D3FEB9" w14:textId="77777777" w:rsidR="006A3667" w:rsidRDefault="006A3667">
            <w:pPr>
              <w:rPr>
                <w:rFonts w:ascii="宋体"/>
                <w:vanish/>
              </w:rPr>
            </w:pPr>
          </w:p>
        </w:tc>
        <w:tc>
          <w:tcPr>
            <w:tcW w:w="0" w:type="auto"/>
            <w:gridSpan w:val="3"/>
            <w:shd w:val="clear" w:color="auto" w:fill="auto"/>
            <w:vAlign w:val="bottom"/>
          </w:tcPr>
          <w:p w14:paraId="71D3FEBA" w14:textId="77777777" w:rsidR="006A3667" w:rsidRDefault="006A3667">
            <w:pPr>
              <w:rPr>
                <w:rFonts w:ascii="宋体"/>
                <w:vanish/>
              </w:rPr>
            </w:pPr>
          </w:p>
        </w:tc>
        <w:tc>
          <w:tcPr>
            <w:tcW w:w="0" w:type="auto"/>
            <w:shd w:val="clear" w:color="auto" w:fill="auto"/>
            <w:vAlign w:val="bottom"/>
          </w:tcPr>
          <w:p w14:paraId="71D3FEBB" w14:textId="77777777" w:rsidR="006A3667" w:rsidRDefault="006A3667">
            <w:pPr>
              <w:rPr>
                <w:rFonts w:ascii="宋体"/>
                <w:vanish/>
              </w:rPr>
            </w:pPr>
          </w:p>
        </w:tc>
        <w:tc>
          <w:tcPr>
            <w:tcW w:w="0" w:type="auto"/>
            <w:shd w:val="clear" w:color="auto" w:fill="auto"/>
            <w:vAlign w:val="bottom"/>
          </w:tcPr>
          <w:p w14:paraId="71D3FEBC" w14:textId="77777777" w:rsidR="006A3667" w:rsidRDefault="006A3667">
            <w:pPr>
              <w:rPr>
                <w:rFonts w:ascii="宋体"/>
                <w:vanish/>
              </w:rPr>
            </w:pPr>
          </w:p>
        </w:tc>
        <w:tc>
          <w:tcPr>
            <w:tcW w:w="0" w:type="auto"/>
            <w:gridSpan w:val="3"/>
            <w:shd w:val="clear" w:color="auto" w:fill="auto"/>
            <w:vAlign w:val="bottom"/>
          </w:tcPr>
          <w:p w14:paraId="71D3FEBD" w14:textId="77777777" w:rsidR="006A3667" w:rsidRDefault="006A3667">
            <w:pPr>
              <w:rPr>
                <w:rFonts w:ascii="宋体"/>
                <w:vanish/>
              </w:rPr>
            </w:pPr>
          </w:p>
        </w:tc>
        <w:tc>
          <w:tcPr>
            <w:tcW w:w="0" w:type="auto"/>
            <w:gridSpan w:val="3"/>
            <w:shd w:val="clear" w:color="auto" w:fill="auto"/>
            <w:vAlign w:val="bottom"/>
          </w:tcPr>
          <w:p w14:paraId="71D3FEBE" w14:textId="77777777" w:rsidR="006A3667" w:rsidRDefault="006A3667">
            <w:pPr>
              <w:rPr>
                <w:rFonts w:ascii="宋体"/>
                <w:vanish/>
              </w:rPr>
            </w:pPr>
          </w:p>
        </w:tc>
      </w:tr>
      <w:tr w:rsidR="006A3667" w14:paraId="71D3FEC8" w14:textId="77777777">
        <w:trPr>
          <w:hidden/>
        </w:trPr>
        <w:tc>
          <w:tcPr>
            <w:tcW w:w="0" w:type="auto"/>
            <w:gridSpan w:val="3"/>
            <w:shd w:val="clear" w:color="auto" w:fill="auto"/>
            <w:vAlign w:val="bottom"/>
          </w:tcPr>
          <w:p w14:paraId="71D3FEC0" w14:textId="77777777" w:rsidR="006A3667" w:rsidRDefault="006A3667">
            <w:pPr>
              <w:rPr>
                <w:rFonts w:ascii="宋体"/>
                <w:vanish/>
              </w:rPr>
            </w:pPr>
          </w:p>
        </w:tc>
        <w:tc>
          <w:tcPr>
            <w:tcW w:w="0" w:type="auto"/>
            <w:gridSpan w:val="3"/>
            <w:shd w:val="clear" w:color="auto" w:fill="auto"/>
            <w:vAlign w:val="bottom"/>
          </w:tcPr>
          <w:p w14:paraId="71D3FEC1" w14:textId="77777777" w:rsidR="006A3667" w:rsidRDefault="006A3667">
            <w:pPr>
              <w:rPr>
                <w:rFonts w:ascii="宋体"/>
                <w:vanish/>
              </w:rPr>
            </w:pPr>
          </w:p>
        </w:tc>
        <w:tc>
          <w:tcPr>
            <w:tcW w:w="0" w:type="auto"/>
            <w:gridSpan w:val="3"/>
            <w:shd w:val="clear" w:color="auto" w:fill="auto"/>
            <w:vAlign w:val="bottom"/>
          </w:tcPr>
          <w:p w14:paraId="71D3FEC2" w14:textId="77777777" w:rsidR="006A3667" w:rsidRDefault="006A3667">
            <w:pPr>
              <w:rPr>
                <w:rFonts w:ascii="宋体"/>
                <w:vanish/>
              </w:rPr>
            </w:pPr>
          </w:p>
        </w:tc>
        <w:tc>
          <w:tcPr>
            <w:tcW w:w="0" w:type="auto"/>
            <w:gridSpan w:val="3"/>
            <w:shd w:val="clear" w:color="auto" w:fill="auto"/>
            <w:vAlign w:val="bottom"/>
          </w:tcPr>
          <w:p w14:paraId="71D3FEC3" w14:textId="77777777" w:rsidR="006A3667" w:rsidRDefault="006A3667">
            <w:pPr>
              <w:rPr>
                <w:rFonts w:ascii="宋体"/>
                <w:vanish/>
              </w:rPr>
            </w:pPr>
          </w:p>
        </w:tc>
        <w:tc>
          <w:tcPr>
            <w:tcW w:w="0" w:type="auto"/>
            <w:shd w:val="clear" w:color="auto" w:fill="auto"/>
            <w:vAlign w:val="bottom"/>
          </w:tcPr>
          <w:p w14:paraId="71D3FEC4" w14:textId="77777777" w:rsidR="006A3667" w:rsidRDefault="006A3667">
            <w:pPr>
              <w:rPr>
                <w:rFonts w:ascii="宋体"/>
                <w:vanish/>
              </w:rPr>
            </w:pPr>
          </w:p>
        </w:tc>
        <w:tc>
          <w:tcPr>
            <w:tcW w:w="0" w:type="auto"/>
            <w:shd w:val="clear" w:color="auto" w:fill="auto"/>
            <w:vAlign w:val="bottom"/>
          </w:tcPr>
          <w:p w14:paraId="71D3FEC5" w14:textId="77777777" w:rsidR="006A3667" w:rsidRDefault="006A3667">
            <w:pPr>
              <w:rPr>
                <w:rFonts w:ascii="宋体"/>
                <w:vanish/>
              </w:rPr>
            </w:pPr>
          </w:p>
        </w:tc>
        <w:tc>
          <w:tcPr>
            <w:tcW w:w="0" w:type="auto"/>
            <w:gridSpan w:val="3"/>
            <w:shd w:val="clear" w:color="auto" w:fill="auto"/>
            <w:vAlign w:val="bottom"/>
          </w:tcPr>
          <w:p w14:paraId="71D3FEC6" w14:textId="77777777" w:rsidR="006A3667" w:rsidRDefault="006A3667">
            <w:pPr>
              <w:rPr>
                <w:rFonts w:ascii="宋体"/>
                <w:vanish/>
              </w:rPr>
            </w:pPr>
          </w:p>
        </w:tc>
        <w:tc>
          <w:tcPr>
            <w:tcW w:w="0" w:type="auto"/>
            <w:gridSpan w:val="3"/>
            <w:shd w:val="clear" w:color="auto" w:fill="auto"/>
            <w:vAlign w:val="bottom"/>
          </w:tcPr>
          <w:p w14:paraId="71D3FEC7" w14:textId="77777777" w:rsidR="006A3667" w:rsidRDefault="006A3667">
            <w:pPr>
              <w:rPr>
                <w:rFonts w:ascii="宋体"/>
                <w:vanish/>
              </w:rPr>
            </w:pPr>
          </w:p>
        </w:tc>
      </w:tr>
      <w:tr w:rsidR="006A3667" w14:paraId="71D3FED1" w14:textId="77777777">
        <w:trPr>
          <w:hidden/>
        </w:trPr>
        <w:tc>
          <w:tcPr>
            <w:tcW w:w="0" w:type="auto"/>
            <w:gridSpan w:val="3"/>
            <w:shd w:val="clear" w:color="auto" w:fill="auto"/>
            <w:vAlign w:val="bottom"/>
          </w:tcPr>
          <w:p w14:paraId="71D3FEC9" w14:textId="77777777" w:rsidR="006A3667" w:rsidRDefault="006A3667">
            <w:pPr>
              <w:rPr>
                <w:rFonts w:ascii="宋体"/>
                <w:vanish/>
              </w:rPr>
            </w:pPr>
          </w:p>
        </w:tc>
        <w:tc>
          <w:tcPr>
            <w:tcW w:w="0" w:type="auto"/>
            <w:gridSpan w:val="3"/>
            <w:shd w:val="clear" w:color="auto" w:fill="auto"/>
            <w:vAlign w:val="bottom"/>
          </w:tcPr>
          <w:p w14:paraId="71D3FECA" w14:textId="77777777" w:rsidR="006A3667" w:rsidRDefault="006A3667">
            <w:pPr>
              <w:rPr>
                <w:rFonts w:ascii="宋体"/>
                <w:vanish/>
              </w:rPr>
            </w:pPr>
          </w:p>
        </w:tc>
        <w:tc>
          <w:tcPr>
            <w:tcW w:w="0" w:type="auto"/>
            <w:gridSpan w:val="3"/>
            <w:shd w:val="clear" w:color="auto" w:fill="auto"/>
            <w:vAlign w:val="bottom"/>
          </w:tcPr>
          <w:p w14:paraId="71D3FECB" w14:textId="77777777" w:rsidR="006A3667" w:rsidRDefault="006A3667">
            <w:pPr>
              <w:rPr>
                <w:rFonts w:ascii="宋体"/>
                <w:vanish/>
              </w:rPr>
            </w:pPr>
          </w:p>
        </w:tc>
        <w:tc>
          <w:tcPr>
            <w:tcW w:w="0" w:type="auto"/>
            <w:gridSpan w:val="3"/>
            <w:shd w:val="clear" w:color="auto" w:fill="auto"/>
            <w:vAlign w:val="bottom"/>
          </w:tcPr>
          <w:p w14:paraId="71D3FECC" w14:textId="77777777" w:rsidR="006A3667" w:rsidRDefault="006A3667">
            <w:pPr>
              <w:rPr>
                <w:rFonts w:ascii="宋体"/>
                <w:vanish/>
              </w:rPr>
            </w:pPr>
          </w:p>
        </w:tc>
        <w:tc>
          <w:tcPr>
            <w:tcW w:w="0" w:type="auto"/>
            <w:shd w:val="clear" w:color="auto" w:fill="auto"/>
            <w:vAlign w:val="bottom"/>
          </w:tcPr>
          <w:p w14:paraId="71D3FECD" w14:textId="77777777" w:rsidR="006A3667" w:rsidRDefault="006A3667">
            <w:pPr>
              <w:rPr>
                <w:rFonts w:ascii="宋体"/>
                <w:vanish/>
              </w:rPr>
            </w:pPr>
          </w:p>
        </w:tc>
        <w:tc>
          <w:tcPr>
            <w:tcW w:w="0" w:type="auto"/>
            <w:shd w:val="clear" w:color="auto" w:fill="auto"/>
            <w:vAlign w:val="bottom"/>
          </w:tcPr>
          <w:p w14:paraId="71D3FECE" w14:textId="77777777" w:rsidR="006A3667" w:rsidRDefault="006A3667">
            <w:pPr>
              <w:rPr>
                <w:rFonts w:ascii="宋体"/>
                <w:vanish/>
              </w:rPr>
            </w:pPr>
          </w:p>
        </w:tc>
        <w:tc>
          <w:tcPr>
            <w:tcW w:w="0" w:type="auto"/>
            <w:gridSpan w:val="3"/>
            <w:shd w:val="clear" w:color="auto" w:fill="auto"/>
            <w:vAlign w:val="bottom"/>
          </w:tcPr>
          <w:p w14:paraId="71D3FECF" w14:textId="77777777" w:rsidR="006A3667" w:rsidRDefault="006A3667">
            <w:pPr>
              <w:rPr>
                <w:rFonts w:ascii="宋体"/>
                <w:vanish/>
              </w:rPr>
            </w:pPr>
          </w:p>
        </w:tc>
        <w:tc>
          <w:tcPr>
            <w:tcW w:w="0" w:type="auto"/>
            <w:gridSpan w:val="3"/>
            <w:shd w:val="clear" w:color="auto" w:fill="auto"/>
            <w:vAlign w:val="bottom"/>
          </w:tcPr>
          <w:p w14:paraId="71D3FED0" w14:textId="77777777" w:rsidR="006A3667" w:rsidRDefault="006A3667">
            <w:pPr>
              <w:rPr>
                <w:rFonts w:ascii="宋体"/>
                <w:vanish/>
              </w:rPr>
            </w:pPr>
          </w:p>
        </w:tc>
      </w:tr>
      <w:tr w:rsidR="006A3667" w14:paraId="71D3FEDA" w14:textId="77777777">
        <w:trPr>
          <w:hidden/>
        </w:trPr>
        <w:tc>
          <w:tcPr>
            <w:tcW w:w="0" w:type="auto"/>
            <w:gridSpan w:val="3"/>
            <w:shd w:val="clear" w:color="auto" w:fill="auto"/>
            <w:vAlign w:val="bottom"/>
          </w:tcPr>
          <w:p w14:paraId="71D3FED2" w14:textId="77777777" w:rsidR="006A3667" w:rsidRDefault="006A3667">
            <w:pPr>
              <w:rPr>
                <w:rFonts w:ascii="宋体"/>
                <w:vanish/>
              </w:rPr>
            </w:pPr>
          </w:p>
        </w:tc>
        <w:tc>
          <w:tcPr>
            <w:tcW w:w="0" w:type="auto"/>
            <w:gridSpan w:val="3"/>
            <w:shd w:val="clear" w:color="auto" w:fill="auto"/>
            <w:vAlign w:val="bottom"/>
          </w:tcPr>
          <w:p w14:paraId="71D3FED3" w14:textId="77777777" w:rsidR="006A3667" w:rsidRDefault="006A3667">
            <w:pPr>
              <w:rPr>
                <w:rFonts w:ascii="宋体"/>
                <w:vanish/>
              </w:rPr>
            </w:pPr>
          </w:p>
        </w:tc>
        <w:tc>
          <w:tcPr>
            <w:tcW w:w="0" w:type="auto"/>
            <w:gridSpan w:val="3"/>
            <w:shd w:val="clear" w:color="auto" w:fill="auto"/>
            <w:vAlign w:val="bottom"/>
          </w:tcPr>
          <w:p w14:paraId="71D3FED4" w14:textId="77777777" w:rsidR="006A3667" w:rsidRDefault="006A3667">
            <w:pPr>
              <w:rPr>
                <w:rFonts w:ascii="宋体"/>
                <w:vanish/>
              </w:rPr>
            </w:pPr>
          </w:p>
        </w:tc>
        <w:tc>
          <w:tcPr>
            <w:tcW w:w="0" w:type="auto"/>
            <w:gridSpan w:val="3"/>
            <w:shd w:val="clear" w:color="auto" w:fill="auto"/>
            <w:vAlign w:val="bottom"/>
          </w:tcPr>
          <w:p w14:paraId="71D3FED5" w14:textId="77777777" w:rsidR="006A3667" w:rsidRDefault="006A3667">
            <w:pPr>
              <w:rPr>
                <w:rFonts w:ascii="宋体"/>
                <w:vanish/>
              </w:rPr>
            </w:pPr>
          </w:p>
        </w:tc>
        <w:tc>
          <w:tcPr>
            <w:tcW w:w="0" w:type="auto"/>
            <w:shd w:val="clear" w:color="auto" w:fill="auto"/>
            <w:vAlign w:val="bottom"/>
          </w:tcPr>
          <w:p w14:paraId="71D3FED6" w14:textId="77777777" w:rsidR="006A3667" w:rsidRDefault="006A3667">
            <w:pPr>
              <w:rPr>
                <w:rFonts w:ascii="宋体"/>
                <w:vanish/>
              </w:rPr>
            </w:pPr>
          </w:p>
        </w:tc>
        <w:tc>
          <w:tcPr>
            <w:tcW w:w="0" w:type="auto"/>
            <w:shd w:val="clear" w:color="auto" w:fill="auto"/>
            <w:vAlign w:val="bottom"/>
          </w:tcPr>
          <w:p w14:paraId="71D3FED7" w14:textId="77777777" w:rsidR="006A3667" w:rsidRDefault="006A3667">
            <w:pPr>
              <w:rPr>
                <w:rFonts w:ascii="宋体"/>
                <w:vanish/>
              </w:rPr>
            </w:pPr>
          </w:p>
        </w:tc>
        <w:tc>
          <w:tcPr>
            <w:tcW w:w="0" w:type="auto"/>
            <w:gridSpan w:val="3"/>
            <w:shd w:val="clear" w:color="auto" w:fill="auto"/>
            <w:vAlign w:val="bottom"/>
          </w:tcPr>
          <w:p w14:paraId="71D3FED8" w14:textId="77777777" w:rsidR="006A3667" w:rsidRDefault="006A3667">
            <w:pPr>
              <w:rPr>
                <w:rFonts w:ascii="宋体"/>
                <w:vanish/>
              </w:rPr>
            </w:pPr>
          </w:p>
        </w:tc>
        <w:tc>
          <w:tcPr>
            <w:tcW w:w="0" w:type="auto"/>
            <w:gridSpan w:val="3"/>
            <w:shd w:val="clear" w:color="auto" w:fill="auto"/>
            <w:vAlign w:val="bottom"/>
          </w:tcPr>
          <w:p w14:paraId="71D3FED9" w14:textId="77777777" w:rsidR="006A3667" w:rsidRDefault="006A3667">
            <w:pPr>
              <w:rPr>
                <w:rFonts w:ascii="宋体"/>
                <w:vanish/>
              </w:rPr>
            </w:pPr>
          </w:p>
        </w:tc>
      </w:tr>
      <w:tr w:rsidR="006A3667" w14:paraId="71D3FEE3" w14:textId="77777777">
        <w:trPr>
          <w:hidden/>
        </w:trPr>
        <w:tc>
          <w:tcPr>
            <w:tcW w:w="0" w:type="auto"/>
            <w:gridSpan w:val="3"/>
            <w:shd w:val="clear" w:color="auto" w:fill="auto"/>
            <w:vAlign w:val="bottom"/>
          </w:tcPr>
          <w:p w14:paraId="71D3FEDB" w14:textId="77777777" w:rsidR="006A3667" w:rsidRDefault="006A3667">
            <w:pPr>
              <w:rPr>
                <w:rFonts w:ascii="宋体"/>
                <w:vanish/>
              </w:rPr>
            </w:pPr>
          </w:p>
        </w:tc>
        <w:tc>
          <w:tcPr>
            <w:tcW w:w="0" w:type="auto"/>
            <w:gridSpan w:val="3"/>
            <w:shd w:val="clear" w:color="auto" w:fill="auto"/>
            <w:vAlign w:val="bottom"/>
          </w:tcPr>
          <w:p w14:paraId="71D3FEDC" w14:textId="77777777" w:rsidR="006A3667" w:rsidRDefault="006A3667">
            <w:pPr>
              <w:rPr>
                <w:rFonts w:ascii="宋体"/>
                <w:vanish/>
              </w:rPr>
            </w:pPr>
          </w:p>
        </w:tc>
        <w:tc>
          <w:tcPr>
            <w:tcW w:w="0" w:type="auto"/>
            <w:gridSpan w:val="3"/>
            <w:shd w:val="clear" w:color="auto" w:fill="auto"/>
            <w:vAlign w:val="bottom"/>
          </w:tcPr>
          <w:p w14:paraId="71D3FEDD" w14:textId="77777777" w:rsidR="006A3667" w:rsidRDefault="006A3667">
            <w:pPr>
              <w:rPr>
                <w:rFonts w:ascii="宋体"/>
                <w:vanish/>
              </w:rPr>
            </w:pPr>
          </w:p>
        </w:tc>
        <w:tc>
          <w:tcPr>
            <w:tcW w:w="0" w:type="auto"/>
            <w:gridSpan w:val="3"/>
            <w:shd w:val="clear" w:color="auto" w:fill="auto"/>
            <w:vAlign w:val="bottom"/>
          </w:tcPr>
          <w:p w14:paraId="71D3FEDE" w14:textId="77777777" w:rsidR="006A3667" w:rsidRDefault="006A3667">
            <w:pPr>
              <w:rPr>
                <w:rFonts w:ascii="宋体"/>
                <w:vanish/>
              </w:rPr>
            </w:pPr>
          </w:p>
        </w:tc>
        <w:tc>
          <w:tcPr>
            <w:tcW w:w="0" w:type="auto"/>
            <w:shd w:val="clear" w:color="auto" w:fill="auto"/>
            <w:vAlign w:val="bottom"/>
          </w:tcPr>
          <w:p w14:paraId="71D3FEDF" w14:textId="77777777" w:rsidR="006A3667" w:rsidRDefault="006A3667">
            <w:pPr>
              <w:rPr>
                <w:rFonts w:ascii="宋体"/>
                <w:vanish/>
              </w:rPr>
            </w:pPr>
          </w:p>
        </w:tc>
        <w:tc>
          <w:tcPr>
            <w:tcW w:w="0" w:type="auto"/>
            <w:shd w:val="clear" w:color="auto" w:fill="auto"/>
            <w:vAlign w:val="bottom"/>
          </w:tcPr>
          <w:p w14:paraId="71D3FEE0" w14:textId="77777777" w:rsidR="006A3667" w:rsidRDefault="006A3667">
            <w:pPr>
              <w:rPr>
                <w:rFonts w:ascii="宋体"/>
                <w:vanish/>
              </w:rPr>
            </w:pPr>
          </w:p>
        </w:tc>
        <w:tc>
          <w:tcPr>
            <w:tcW w:w="0" w:type="auto"/>
            <w:gridSpan w:val="3"/>
            <w:shd w:val="clear" w:color="auto" w:fill="auto"/>
            <w:vAlign w:val="bottom"/>
          </w:tcPr>
          <w:p w14:paraId="71D3FEE1" w14:textId="77777777" w:rsidR="006A3667" w:rsidRDefault="006A3667">
            <w:pPr>
              <w:rPr>
                <w:rFonts w:ascii="宋体"/>
                <w:vanish/>
              </w:rPr>
            </w:pPr>
          </w:p>
        </w:tc>
        <w:tc>
          <w:tcPr>
            <w:tcW w:w="0" w:type="auto"/>
            <w:gridSpan w:val="3"/>
            <w:shd w:val="clear" w:color="auto" w:fill="auto"/>
            <w:vAlign w:val="bottom"/>
          </w:tcPr>
          <w:p w14:paraId="71D3FEE2" w14:textId="77777777" w:rsidR="006A3667" w:rsidRDefault="006A3667">
            <w:pPr>
              <w:rPr>
                <w:rFonts w:ascii="宋体"/>
                <w:vanish/>
              </w:rPr>
            </w:pPr>
          </w:p>
        </w:tc>
      </w:tr>
      <w:tr w:rsidR="006A3667" w14:paraId="71D3FEEC" w14:textId="77777777">
        <w:trPr>
          <w:hidden/>
        </w:trPr>
        <w:tc>
          <w:tcPr>
            <w:tcW w:w="0" w:type="auto"/>
            <w:gridSpan w:val="3"/>
            <w:shd w:val="clear" w:color="auto" w:fill="auto"/>
            <w:vAlign w:val="bottom"/>
          </w:tcPr>
          <w:p w14:paraId="71D3FEE4" w14:textId="77777777" w:rsidR="006A3667" w:rsidRDefault="006A3667">
            <w:pPr>
              <w:rPr>
                <w:rFonts w:ascii="宋体"/>
                <w:vanish/>
              </w:rPr>
            </w:pPr>
          </w:p>
        </w:tc>
        <w:tc>
          <w:tcPr>
            <w:tcW w:w="0" w:type="auto"/>
            <w:gridSpan w:val="3"/>
            <w:shd w:val="clear" w:color="auto" w:fill="auto"/>
            <w:vAlign w:val="bottom"/>
          </w:tcPr>
          <w:p w14:paraId="71D3FEE5" w14:textId="77777777" w:rsidR="006A3667" w:rsidRDefault="006A3667">
            <w:pPr>
              <w:rPr>
                <w:rFonts w:ascii="宋体"/>
                <w:vanish/>
              </w:rPr>
            </w:pPr>
          </w:p>
        </w:tc>
        <w:tc>
          <w:tcPr>
            <w:tcW w:w="0" w:type="auto"/>
            <w:gridSpan w:val="3"/>
            <w:shd w:val="clear" w:color="auto" w:fill="auto"/>
            <w:vAlign w:val="bottom"/>
          </w:tcPr>
          <w:p w14:paraId="71D3FEE6" w14:textId="77777777" w:rsidR="006A3667" w:rsidRDefault="006A3667">
            <w:pPr>
              <w:rPr>
                <w:rFonts w:ascii="宋体"/>
                <w:vanish/>
              </w:rPr>
            </w:pPr>
          </w:p>
        </w:tc>
        <w:tc>
          <w:tcPr>
            <w:tcW w:w="0" w:type="auto"/>
            <w:gridSpan w:val="3"/>
            <w:shd w:val="clear" w:color="auto" w:fill="auto"/>
            <w:vAlign w:val="bottom"/>
          </w:tcPr>
          <w:p w14:paraId="71D3FEE7" w14:textId="77777777" w:rsidR="006A3667" w:rsidRDefault="006A3667">
            <w:pPr>
              <w:rPr>
                <w:rFonts w:ascii="宋体"/>
                <w:vanish/>
              </w:rPr>
            </w:pPr>
          </w:p>
        </w:tc>
        <w:tc>
          <w:tcPr>
            <w:tcW w:w="0" w:type="auto"/>
            <w:shd w:val="clear" w:color="auto" w:fill="auto"/>
            <w:vAlign w:val="bottom"/>
          </w:tcPr>
          <w:p w14:paraId="71D3FEE8" w14:textId="77777777" w:rsidR="006A3667" w:rsidRDefault="006A3667">
            <w:pPr>
              <w:rPr>
                <w:rFonts w:ascii="宋体"/>
                <w:vanish/>
              </w:rPr>
            </w:pPr>
          </w:p>
        </w:tc>
        <w:tc>
          <w:tcPr>
            <w:tcW w:w="0" w:type="auto"/>
            <w:shd w:val="clear" w:color="auto" w:fill="auto"/>
            <w:vAlign w:val="bottom"/>
          </w:tcPr>
          <w:p w14:paraId="71D3FEE9" w14:textId="77777777" w:rsidR="006A3667" w:rsidRDefault="006A3667">
            <w:pPr>
              <w:rPr>
                <w:rFonts w:ascii="宋体"/>
                <w:vanish/>
              </w:rPr>
            </w:pPr>
          </w:p>
        </w:tc>
        <w:tc>
          <w:tcPr>
            <w:tcW w:w="0" w:type="auto"/>
            <w:gridSpan w:val="3"/>
            <w:shd w:val="clear" w:color="auto" w:fill="auto"/>
            <w:vAlign w:val="bottom"/>
          </w:tcPr>
          <w:p w14:paraId="71D3FEEA" w14:textId="77777777" w:rsidR="006A3667" w:rsidRDefault="006A3667">
            <w:pPr>
              <w:rPr>
                <w:rFonts w:ascii="宋体"/>
                <w:vanish/>
              </w:rPr>
            </w:pPr>
          </w:p>
        </w:tc>
        <w:tc>
          <w:tcPr>
            <w:tcW w:w="0" w:type="auto"/>
            <w:gridSpan w:val="3"/>
            <w:shd w:val="clear" w:color="auto" w:fill="auto"/>
            <w:vAlign w:val="bottom"/>
          </w:tcPr>
          <w:p w14:paraId="71D3FEEB" w14:textId="77777777" w:rsidR="006A3667" w:rsidRDefault="006A3667">
            <w:pPr>
              <w:rPr>
                <w:rFonts w:ascii="宋体"/>
                <w:vanish/>
              </w:rPr>
            </w:pPr>
          </w:p>
        </w:tc>
      </w:tr>
      <w:tr w:rsidR="006A3667" w14:paraId="71D3FEF5" w14:textId="77777777">
        <w:trPr>
          <w:hidden/>
        </w:trPr>
        <w:tc>
          <w:tcPr>
            <w:tcW w:w="0" w:type="auto"/>
            <w:gridSpan w:val="3"/>
            <w:shd w:val="clear" w:color="auto" w:fill="auto"/>
            <w:vAlign w:val="bottom"/>
          </w:tcPr>
          <w:p w14:paraId="71D3FEED" w14:textId="77777777" w:rsidR="006A3667" w:rsidRDefault="006A3667">
            <w:pPr>
              <w:rPr>
                <w:rFonts w:ascii="宋体"/>
                <w:vanish/>
              </w:rPr>
            </w:pPr>
          </w:p>
        </w:tc>
        <w:tc>
          <w:tcPr>
            <w:tcW w:w="0" w:type="auto"/>
            <w:gridSpan w:val="3"/>
            <w:shd w:val="clear" w:color="auto" w:fill="auto"/>
            <w:vAlign w:val="bottom"/>
          </w:tcPr>
          <w:p w14:paraId="71D3FEEE" w14:textId="77777777" w:rsidR="006A3667" w:rsidRDefault="006A3667">
            <w:pPr>
              <w:rPr>
                <w:rFonts w:ascii="宋体"/>
                <w:vanish/>
              </w:rPr>
            </w:pPr>
          </w:p>
        </w:tc>
        <w:tc>
          <w:tcPr>
            <w:tcW w:w="0" w:type="auto"/>
            <w:gridSpan w:val="3"/>
            <w:shd w:val="clear" w:color="auto" w:fill="auto"/>
            <w:vAlign w:val="bottom"/>
          </w:tcPr>
          <w:p w14:paraId="71D3FEEF" w14:textId="77777777" w:rsidR="006A3667" w:rsidRDefault="006A3667">
            <w:pPr>
              <w:rPr>
                <w:rFonts w:ascii="宋体"/>
                <w:vanish/>
              </w:rPr>
            </w:pPr>
          </w:p>
        </w:tc>
        <w:tc>
          <w:tcPr>
            <w:tcW w:w="0" w:type="auto"/>
            <w:gridSpan w:val="3"/>
            <w:shd w:val="clear" w:color="auto" w:fill="auto"/>
            <w:vAlign w:val="bottom"/>
          </w:tcPr>
          <w:p w14:paraId="71D3FEF0" w14:textId="77777777" w:rsidR="006A3667" w:rsidRDefault="006A3667">
            <w:pPr>
              <w:rPr>
                <w:rFonts w:ascii="宋体"/>
                <w:vanish/>
              </w:rPr>
            </w:pPr>
          </w:p>
        </w:tc>
        <w:tc>
          <w:tcPr>
            <w:tcW w:w="0" w:type="auto"/>
            <w:shd w:val="clear" w:color="auto" w:fill="auto"/>
            <w:vAlign w:val="bottom"/>
          </w:tcPr>
          <w:p w14:paraId="71D3FEF1" w14:textId="77777777" w:rsidR="006A3667" w:rsidRDefault="006A3667">
            <w:pPr>
              <w:rPr>
                <w:rFonts w:ascii="宋体"/>
                <w:vanish/>
              </w:rPr>
            </w:pPr>
          </w:p>
        </w:tc>
        <w:tc>
          <w:tcPr>
            <w:tcW w:w="0" w:type="auto"/>
            <w:shd w:val="clear" w:color="auto" w:fill="auto"/>
            <w:vAlign w:val="bottom"/>
          </w:tcPr>
          <w:p w14:paraId="71D3FEF2" w14:textId="77777777" w:rsidR="006A3667" w:rsidRDefault="006A3667">
            <w:pPr>
              <w:rPr>
                <w:rFonts w:ascii="宋体"/>
                <w:vanish/>
              </w:rPr>
            </w:pPr>
          </w:p>
        </w:tc>
        <w:tc>
          <w:tcPr>
            <w:tcW w:w="0" w:type="auto"/>
            <w:gridSpan w:val="3"/>
            <w:shd w:val="clear" w:color="auto" w:fill="auto"/>
            <w:vAlign w:val="bottom"/>
          </w:tcPr>
          <w:p w14:paraId="71D3FEF3" w14:textId="77777777" w:rsidR="006A3667" w:rsidRDefault="006A3667">
            <w:pPr>
              <w:rPr>
                <w:rFonts w:ascii="宋体"/>
                <w:vanish/>
              </w:rPr>
            </w:pPr>
          </w:p>
        </w:tc>
        <w:tc>
          <w:tcPr>
            <w:tcW w:w="0" w:type="auto"/>
            <w:gridSpan w:val="3"/>
            <w:shd w:val="clear" w:color="auto" w:fill="auto"/>
            <w:vAlign w:val="bottom"/>
          </w:tcPr>
          <w:p w14:paraId="71D3FEF4" w14:textId="77777777" w:rsidR="006A3667" w:rsidRDefault="006A3667">
            <w:pPr>
              <w:rPr>
                <w:rFonts w:ascii="宋体"/>
                <w:vanish/>
              </w:rPr>
            </w:pPr>
          </w:p>
        </w:tc>
      </w:tr>
      <w:tr w:rsidR="006A3667" w14:paraId="71D3FEFE" w14:textId="77777777">
        <w:trPr>
          <w:hidden/>
        </w:trPr>
        <w:tc>
          <w:tcPr>
            <w:tcW w:w="0" w:type="auto"/>
            <w:gridSpan w:val="3"/>
            <w:shd w:val="clear" w:color="auto" w:fill="auto"/>
            <w:vAlign w:val="bottom"/>
          </w:tcPr>
          <w:p w14:paraId="71D3FEF6" w14:textId="77777777" w:rsidR="006A3667" w:rsidRDefault="006A3667">
            <w:pPr>
              <w:rPr>
                <w:rFonts w:ascii="宋体"/>
                <w:vanish/>
              </w:rPr>
            </w:pPr>
          </w:p>
        </w:tc>
        <w:tc>
          <w:tcPr>
            <w:tcW w:w="0" w:type="auto"/>
            <w:gridSpan w:val="3"/>
            <w:shd w:val="clear" w:color="auto" w:fill="auto"/>
            <w:vAlign w:val="bottom"/>
          </w:tcPr>
          <w:p w14:paraId="71D3FEF7" w14:textId="77777777" w:rsidR="006A3667" w:rsidRDefault="006A3667">
            <w:pPr>
              <w:rPr>
                <w:rFonts w:ascii="宋体"/>
                <w:vanish/>
              </w:rPr>
            </w:pPr>
          </w:p>
        </w:tc>
        <w:tc>
          <w:tcPr>
            <w:tcW w:w="0" w:type="auto"/>
            <w:gridSpan w:val="3"/>
            <w:shd w:val="clear" w:color="auto" w:fill="auto"/>
            <w:vAlign w:val="bottom"/>
          </w:tcPr>
          <w:p w14:paraId="71D3FEF8" w14:textId="77777777" w:rsidR="006A3667" w:rsidRDefault="006A3667">
            <w:pPr>
              <w:rPr>
                <w:rFonts w:ascii="宋体"/>
                <w:vanish/>
              </w:rPr>
            </w:pPr>
          </w:p>
        </w:tc>
        <w:tc>
          <w:tcPr>
            <w:tcW w:w="0" w:type="auto"/>
            <w:gridSpan w:val="3"/>
            <w:shd w:val="clear" w:color="auto" w:fill="auto"/>
            <w:vAlign w:val="bottom"/>
          </w:tcPr>
          <w:p w14:paraId="71D3FEF9" w14:textId="77777777" w:rsidR="006A3667" w:rsidRDefault="006A3667">
            <w:pPr>
              <w:rPr>
                <w:rFonts w:ascii="宋体"/>
                <w:vanish/>
              </w:rPr>
            </w:pPr>
          </w:p>
        </w:tc>
        <w:tc>
          <w:tcPr>
            <w:tcW w:w="0" w:type="auto"/>
            <w:shd w:val="clear" w:color="auto" w:fill="auto"/>
            <w:vAlign w:val="bottom"/>
          </w:tcPr>
          <w:p w14:paraId="71D3FEFA" w14:textId="77777777" w:rsidR="006A3667" w:rsidRDefault="006A3667">
            <w:pPr>
              <w:rPr>
                <w:rFonts w:ascii="宋体"/>
                <w:vanish/>
              </w:rPr>
            </w:pPr>
          </w:p>
        </w:tc>
        <w:tc>
          <w:tcPr>
            <w:tcW w:w="0" w:type="auto"/>
            <w:shd w:val="clear" w:color="auto" w:fill="auto"/>
            <w:vAlign w:val="bottom"/>
          </w:tcPr>
          <w:p w14:paraId="71D3FEFB" w14:textId="77777777" w:rsidR="006A3667" w:rsidRDefault="006A3667">
            <w:pPr>
              <w:rPr>
                <w:rFonts w:ascii="宋体"/>
                <w:vanish/>
              </w:rPr>
            </w:pPr>
          </w:p>
        </w:tc>
        <w:tc>
          <w:tcPr>
            <w:tcW w:w="0" w:type="auto"/>
            <w:gridSpan w:val="3"/>
            <w:shd w:val="clear" w:color="auto" w:fill="auto"/>
            <w:vAlign w:val="bottom"/>
          </w:tcPr>
          <w:p w14:paraId="71D3FEFC" w14:textId="77777777" w:rsidR="006A3667" w:rsidRDefault="006A3667">
            <w:pPr>
              <w:rPr>
                <w:rFonts w:ascii="宋体"/>
                <w:vanish/>
              </w:rPr>
            </w:pPr>
          </w:p>
        </w:tc>
        <w:tc>
          <w:tcPr>
            <w:tcW w:w="0" w:type="auto"/>
            <w:gridSpan w:val="3"/>
            <w:shd w:val="clear" w:color="auto" w:fill="auto"/>
            <w:vAlign w:val="bottom"/>
          </w:tcPr>
          <w:p w14:paraId="71D3FEFD" w14:textId="77777777" w:rsidR="006A3667" w:rsidRDefault="006A3667">
            <w:pPr>
              <w:rPr>
                <w:rFonts w:ascii="宋体"/>
                <w:vanish/>
              </w:rPr>
            </w:pPr>
          </w:p>
        </w:tc>
      </w:tr>
      <w:tr w:rsidR="006A3667" w14:paraId="71D3FF07" w14:textId="77777777">
        <w:trPr>
          <w:hidden/>
        </w:trPr>
        <w:tc>
          <w:tcPr>
            <w:tcW w:w="0" w:type="auto"/>
            <w:gridSpan w:val="3"/>
            <w:shd w:val="clear" w:color="auto" w:fill="auto"/>
            <w:vAlign w:val="bottom"/>
          </w:tcPr>
          <w:p w14:paraId="71D3FEFF" w14:textId="77777777" w:rsidR="006A3667" w:rsidRDefault="006A3667">
            <w:pPr>
              <w:rPr>
                <w:rFonts w:ascii="宋体"/>
                <w:vanish/>
              </w:rPr>
            </w:pPr>
          </w:p>
        </w:tc>
        <w:tc>
          <w:tcPr>
            <w:tcW w:w="0" w:type="auto"/>
            <w:gridSpan w:val="3"/>
            <w:shd w:val="clear" w:color="auto" w:fill="auto"/>
            <w:vAlign w:val="bottom"/>
          </w:tcPr>
          <w:p w14:paraId="71D3FF00" w14:textId="77777777" w:rsidR="006A3667" w:rsidRDefault="006A3667">
            <w:pPr>
              <w:rPr>
                <w:rFonts w:ascii="宋体"/>
                <w:vanish/>
              </w:rPr>
            </w:pPr>
          </w:p>
        </w:tc>
        <w:tc>
          <w:tcPr>
            <w:tcW w:w="0" w:type="auto"/>
            <w:gridSpan w:val="3"/>
            <w:shd w:val="clear" w:color="auto" w:fill="auto"/>
            <w:vAlign w:val="bottom"/>
          </w:tcPr>
          <w:p w14:paraId="71D3FF01" w14:textId="77777777" w:rsidR="006A3667" w:rsidRDefault="006A3667">
            <w:pPr>
              <w:rPr>
                <w:rFonts w:ascii="宋体"/>
                <w:vanish/>
              </w:rPr>
            </w:pPr>
          </w:p>
        </w:tc>
        <w:tc>
          <w:tcPr>
            <w:tcW w:w="0" w:type="auto"/>
            <w:gridSpan w:val="3"/>
            <w:shd w:val="clear" w:color="auto" w:fill="auto"/>
            <w:vAlign w:val="bottom"/>
          </w:tcPr>
          <w:p w14:paraId="71D3FF02" w14:textId="77777777" w:rsidR="006A3667" w:rsidRDefault="006A3667">
            <w:pPr>
              <w:rPr>
                <w:rFonts w:ascii="宋体"/>
                <w:vanish/>
              </w:rPr>
            </w:pPr>
          </w:p>
        </w:tc>
        <w:tc>
          <w:tcPr>
            <w:tcW w:w="0" w:type="auto"/>
            <w:shd w:val="clear" w:color="auto" w:fill="auto"/>
            <w:vAlign w:val="bottom"/>
          </w:tcPr>
          <w:p w14:paraId="71D3FF03" w14:textId="77777777" w:rsidR="006A3667" w:rsidRDefault="006A3667">
            <w:pPr>
              <w:rPr>
                <w:rFonts w:ascii="宋体"/>
                <w:vanish/>
              </w:rPr>
            </w:pPr>
          </w:p>
        </w:tc>
        <w:tc>
          <w:tcPr>
            <w:tcW w:w="0" w:type="auto"/>
            <w:shd w:val="clear" w:color="auto" w:fill="auto"/>
            <w:vAlign w:val="bottom"/>
          </w:tcPr>
          <w:p w14:paraId="71D3FF04" w14:textId="77777777" w:rsidR="006A3667" w:rsidRDefault="006A3667">
            <w:pPr>
              <w:rPr>
                <w:rFonts w:ascii="宋体"/>
                <w:vanish/>
              </w:rPr>
            </w:pPr>
          </w:p>
        </w:tc>
        <w:tc>
          <w:tcPr>
            <w:tcW w:w="0" w:type="auto"/>
            <w:gridSpan w:val="3"/>
            <w:shd w:val="clear" w:color="auto" w:fill="auto"/>
            <w:vAlign w:val="bottom"/>
          </w:tcPr>
          <w:p w14:paraId="71D3FF05" w14:textId="77777777" w:rsidR="006A3667" w:rsidRDefault="006A3667">
            <w:pPr>
              <w:rPr>
                <w:rFonts w:ascii="宋体"/>
                <w:vanish/>
              </w:rPr>
            </w:pPr>
          </w:p>
        </w:tc>
        <w:tc>
          <w:tcPr>
            <w:tcW w:w="0" w:type="auto"/>
            <w:gridSpan w:val="3"/>
            <w:shd w:val="clear" w:color="auto" w:fill="auto"/>
            <w:vAlign w:val="bottom"/>
          </w:tcPr>
          <w:p w14:paraId="71D3FF06" w14:textId="77777777" w:rsidR="006A3667" w:rsidRDefault="006A3667">
            <w:pPr>
              <w:rPr>
                <w:rFonts w:ascii="宋体"/>
                <w:vanish/>
              </w:rPr>
            </w:pPr>
          </w:p>
        </w:tc>
      </w:tr>
      <w:tr w:rsidR="006A3667" w14:paraId="71D3FF10" w14:textId="77777777">
        <w:trPr>
          <w:hidden/>
        </w:trPr>
        <w:tc>
          <w:tcPr>
            <w:tcW w:w="0" w:type="auto"/>
            <w:gridSpan w:val="3"/>
            <w:shd w:val="clear" w:color="auto" w:fill="auto"/>
            <w:vAlign w:val="bottom"/>
          </w:tcPr>
          <w:p w14:paraId="71D3FF08" w14:textId="77777777" w:rsidR="006A3667" w:rsidRDefault="006A3667">
            <w:pPr>
              <w:rPr>
                <w:rFonts w:ascii="宋体"/>
                <w:vanish/>
              </w:rPr>
            </w:pPr>
          </w:p>
        </w:tc>
        <w:tc>
          <w:tcPr>
            <w:tcW w:w="0" w:type="auto"/>
            <w:gridSpan w:val="3"/>
            <w:shd w:val="clear" w:color="auto" w:fill="auto"/>
            <w:vAlign w:val="bottom"/>
          </w:tcPr>
          <w:p w14:paraId="71D3FF09" w14:textId="77777777" w:rsidR="006A3667" w:rsidRDefault="006A3667">
            <w:pPr>
              <w:rPr>
                <w:rFonts w:ascii="宋体"/>
                <w:vanish/>
              </w:rPr>
            </w:pPr>
          </w:p>
        </w:tc>
        <w:tc>
          <w:tcPr>
            <w:tcW w:w="0" w:type="auto"/>
            <w:gridSpan w:val="3"/>
            <w:shd w:val="clear" w:color="auto" w:fill="auto"/>
            <w:vAlign w:val="bottom"/>
          </w:tcPr>
          <w:p w14:paraId="71D3FF0A" w14:textId="77777777" w:rsidR="006A3667" w:rsidRDefault="006A3667">
            <w:pPr>
              <w:rPr>
                <w:rFonts w:ascii="宋体"/>
                <w:vanish/>
              </w:rPr>
            </w:pPr>
          </w:p>
        </w:tc>
        <w:tc>
          <w:tcPr>
            <w:tcW w:w="0" w:type="auto"/>
            <w:gridSpan w:val="3"/>
            <w:shd w:val="clear" w:color="auto" w:fill="auto"/>
            <w:vAlign w:val="bottom"/>
          </w:tcPr>
          <w:p w14:paraId="71D3FF0B" w14:textId="77777777" w:rsidR="006A3667" w:rsidRDefault="006A3667">
            <w:pPr>
              <w:rPr>
                <w:rFonts w:ascii="宋体"/>
                <w:vanish/>
              </w:rPr>
            </w:pPr>
          </w:p>
        </w:tc>
        <w:tc>
          <w:tcPr>
            <w:tcW w:w="0" w:type="auto"/>
            <w:shd w:val="clear" w:color="auto" w:fill="auto"/>
            <w:vAlign w:val="bottom"/>
          </w:tcPr>
          <w:p w14:paraId="71D3FF0C" w14:textId="77777777" w:rsidR="006A3667" w:rsidRDefault="006A3667">
            <w:pPr>
              <w:rPr>
                <w:rFonts w:ascii="宋体"/>
                <w:vanish/>
              </w:rPr>
            </w:pPr>
          </w:p>
        </w:tc>
        <w:tc>
          <w:tcPr>
            <w:tcW w:w="0" w:type="auto"/>
            <w:shd w:val="clear" w:color="auto" w:fill="auto"/>
            <w:vAlign w:val="bottom"/>
          </w:tcPr>
          <w:p w14:paraId="71D3FF0D" w14:textId="77777777" w:rsidR="006A3667" w:rsidRDefault="006A3667">
            <w:pPr>
              <w:rPr>
                <w:rFonts w:ascii="宋体"/>
                <w:vanish/>
              </w:rPr>
            </w:pPr>
          </w:p>
        </w:tc>
        <w:tc>
          <w:tcPr>
            <w:tcW w:w="0" w:type="auto"/>
            <w:gridSpan w:val="3"/>
            <w:shd w:val="clear" w:color="auto" w:fill="auto"/>
            <w:vAlign w:val="bottom"/>
          </w:tcPr>
          <w:p w14:paraId="71D3FF0E" w14:textId="77777777" w:rsidR="006A3667" w:rsidRDefault="006A3667">
            <w:pPr>
              <w:rPr>
                <w:rFonts w:ascii="宋体"/>
                <w:vanish/>
              </w:rPr>
            </w:pPr>
          </w:p>
        </w:tc>
        <w:tc>
          <w:tcPr>
            <w:tcW w:w="0" w:type="auto"/>
            <w:gridSpan w:val="3"/>
            <w:shd w:val="clear" w:color="auto" w:fill="auto"/>
            <w:vAlign w:val="bottom"/>
          </w:tcPr>
          <w:p w14:paraId="71D3FF0F" w14:textId="77777777" w:rsidR="006A3667" w:rsidRDefault="006A3667">
            <w:pPr>
              <w:rPr>
                <w:rFonts w:ascii="宋体"/>
                <w:vanish/>
              </w:rPr>
            </w:pPr>
          </w:p>
        </w:tc>
      </w:tr>
      <w:tr w:rsidR="006A3667" w14:paraId="71D3FF19" w14:textId="77777777">
        <w:trPr>
          <w:hidden/>
        </w:trPr>
        <w:tc>
          <w:tcPr>
            <w:tcW w:w="0" w:type="auto"/>
            <w:gridSpan w:val="3"/>
            <w:shd w:val="clear" w:color="auto" w:fill="auto"/>
            <w:vAlign w:val="bottom"/>
          </w:tcPr>
          <w:p w14:paraId="71D3FF11" w14:textId="77777777" w:rsidR="006A3667" w:rsidRDefault="006A3667">
            <w:pPr>
              <w:rPr>
                <w:rFonts w:ascii="宋体"/>
                <w:vanish/>
              </w:rPr>
            </w:pPr>
          </w:p>
        </w:tc>
        <w:tc>
          <w:tcPr>
            <w:tcW w:w="0" w:type="auto"/>
            <w:gridSpan w:val="3"/>
            <w:shd w:val="clear" w:color="auto" w:fill="auto"/>
            <w:vAlign w:val="bottom"/>
          </w:tcPr>
          <w:p w14:paraId="71D3FF12" w14:textId="77777777" w:rsidR="006A3667" w:rsidRDefault="006A3667">
            <w:pPr>
              <w:rPr>
                <w:rFonts w:ascii="宋体"/>
                <w:vanish/>
              </w:rPr>
            </w:pPr>
          </w:p>
        </w:tc>
        <w:tc>
          <w:tcPr>
            <w:tcW w:w="0" w:type="auto"/>
            <w:gridSpan w:val="3"/>
            <w:shd w:val="clear" w:color="auto" w:fill="auto"/>
            <w:vAlign w:val="bottom"/>
          </w:tcPr>
          <w:p w14:paraId="71D3FF13" w14:textId="77777777" w:rsidR="006A3667" w:rsidRDefault="006A3667">
            <w:pPr>
              <w:rPr>
                <w:rFonts w:ascii="宋体"/>
                <w:vanish/>
              </w:rPr>
            </w:pPr>
          </w:p>
        </w:tc>
        <w:tc>
          <w:tcPr>
            <w:tcW w:w="0" w:type="auto"/>
            <w:gridSpan w:val="3"/>
            <w:shd w:val="clear" w:color="auto" w:fill="auto"/>
            <w:vAlign w:val="bottom"/>
          </w:tcPr>
          <w:p w14:paraId="71D3FF14" w14:textId="77777777" w:rsidR="006A3667" w:rsidRDefault="006A3667">
            <w:pPr>
              <w:rPr>
                <w:rFonts w:ascii="宋体"/>
                <w:vanish/>
              </w:rPr>
            </w:pPr>
          </w:p>
        </w:tc>
        <w:tc>
          <w:tcPr>
            <w:tcW w:w="0" w:type="auto"/>
            <w:shd w:val="clear" w:color="auto" w:fill="auto"/>
            <w:vAlign w:val="bottom"/>
          </w:tcPr>
          <w:p w14:paraId="71D3FF15" w14:textId="77777777" w:rsidR="006A3667" w:rsidRDefault="006A3667">
            <w:pPr>
              <w:rPr>
                <w:rFonts w:ascii="宋体"/>
                <w:vanish/>
              </w:rPr>
            </w:pPr>
          </w:p>
        </w:tc>
        <w:tc>
          <w:tcPr>
            <w:tcW w:w="0" w:type="auto"/>
            <w:shd w:val="clear" w:color="auto" w:fill="auto"/>
            <w:vAlign w:val="bottom"/>
          </w:tcPr>
          <w:p w14:paraId="71D3FF16" w14:textId="77777777" w:rsidR="006A3667" w:rsidRDefault="006A3667">
            <w:pPr>
              <w:rPr>
                <w:rFonts w:ascii="宋体"/>
                <w:vanish/>
              </w:rPr>
            </w:pPr>
          </w:p>
        </w:tc>
        <w:tc>
          <w:tcPr>
            <w:tcW w:w="0" w:type="auto"/>
            <w:gridSpan w:val="3"/>
            <w:shd w:val="clear" w:color="auto" w:fill="auto"/>
            <w:vAlign w:val="bottom"/>
          </w:tcPr>
          <w:p w14:paraId="71D3FF17" w14:textId="77777777" w:rsidR="006A3667" w:rsidRDefault="006A3667">
            <w:pPr>
              <w:rPr>
                <w:rFonts w:ascii="宋体"/>
                <w:vanish/>
              </w:rPr>
            </w:pPr>
          </w:p>
        </w:tc>
        <w:tc>
          <w:tcPr>
            <w:tcW w:w="0" w:type="auto"/>
            <w:gridSpan w:val="3"/>
            <w:shd w:val="clear" w:color="auto" w:fill="auto"/>
            <w:vAlign w:val="bottom"/>
          </w:tcPr>
          <w:p w14:paraId="71D3FF18" w14:textId="77777777" w:rsidR="006A3667" w:rsidRDefault="006A3667">
            <w:pPr>
              <w:rPr>
                <w:rFonts w:ascii="宋体"/>
                <w:vanish/>
              </w:rPr>
            </w:pPr>
          </w:p>
        </w:tc>
      </w:tr>
      <w:tr w:rsidR="006A3667" w14:paraId="71D3FF22" w14:textId="77777777">
        <w:trPr>
          <w:hidden/>
        </w:trPr>
        <w:tc>
          <w:tcPr>
            <w:tcW w:w="0" w:type="auto"/>
            <w:gridSpan w:val="3"/>
            <w:shd w:val="clear" w:color="auto" w:fill="auto"/>
            <w:vAlign w:val="bottom"/>
          </w:tcPr>
          <w:p w14:paraId="71D3FF1A" w14:textId="77777777" w:rsidR="006A3667" w:rsidRDefault="006A3667">
            <w:pPr>
              <w:rPr>
                <w:rFonts w:ascii="宋体"/>
                <w:vanish/>
              </w:rPr>
            </w:pPr>
          </w:p>
        </w:tc>
        <w:tc>
          <w:tcPr>
            <w:tcW w:w="0" w:type="auto"/>
            <w:gridSpan w:val="3"/>
            <w:shd w:val="clear" w:color="auto" w:fill="auto"/>
            <w:vAlign w:val="bottom"/>
          </w:tcPr>
          <w:p w14:paraId="71D3FF1B" w14:textId="77777777" w:rsidR="006A3667" w:rsidRDefault="006A3667">
            <w:pPr>
              <w:rPr>
                <w:rFonts w:ascii="宋体"/>
                <w:vanish/>
              </w:rPr>
            </w:pPr>
          </w:p>
        </w:tc>
        <w:tc>
          <w:tcPr>
            <w:tcW w:w="0" w:type="auto"/>
            <w:gridSpan w:val="3"/>
            <w:shd w:val="clear" w:color="auto" w:fill="auto"/>
            <w:vAlign w:val="bottom"/>
          </w:tcPr>
          <w:p w14:paraId="71D3FF1C" w14:textId="77777777" w:rsidR="006A3667" w:rsidRDefault="006A3667">
            <w:pPr>
              <w:rPr>
                <w:rFonts w:ascii="宋体"/>
                <w:vanish/>
              </w:rPr>
            </w:pPr>
          </w:p>
        </w:tc>
        <w:tc>
          <w:tcPr>
            <w:tcW w:w="0" w:type="auto"/>
            <w:gridSpan w:val="3"/>
            <w:shd w:val="clear" w:color="auto" w:fill="auto"/>
            <w:vAlign w:val="bottom"/>
          </w:tcPr>
          <w:p w14:paraId="71D3FF1D" w14:textId="77777777" w:rsidR="006A3667" w:rsidRDefault="006A3667">
            <w:pPr>
              <w:rPr>
                <w:rFonts w:ascii="宋体"/>
                <w:vanish/>
              </w:rPr>
            </w:pPr>
          </w:p>
        </w:tc>
        <w:tc>
          <w:tcPr>
            <w:tcW w:w="0" w:type="auto"/>
            <w:shd w:val="clear" w:color="auto" w:fill="auto"/>
            <w:vAlign w:val="bottom"/>
          </w:tcPr>
          <w:p w14:paraId="71D3FF1E" w14:textId="77777777" w:rsidR="006A3667" w:rsidRDefault="006A3667">
            <w:pPr>
              <w:rPr>
                <w:rFonts w:ascii="宋体"/>
                <w:vanish/>
              </w:rPr>
            </w:pPr>
          </w:p>
        </w:tc>
        <w:tc>
          <w:tcPr>
            <w:tcW w:w="0" w:type="auto"/>
            <w:shd w:val="clear" w:color="auto" w:fill="auto"/>
            <w:vAlign w:val="bottom"/>
          </w:tcPr>
          <w:p w14:paraId="71D3FF1F" w14:textId="77777777" w:rsidR="006A3667" w:rsidRDefault="006A3667">
            <w:pPr>
              <w:rPr>
                <w:rFonts w:ascii="宋体"/>
                <w:vanish/>
              </w:rPr>
            </w:pPr>
          </w:p>
        </w:tc>
        <w:tc>
          <w:tcPr>
            <w:tcW w:w="0" w:type="auto"/>
            <w:gridSpan w:val="3"/>
            <w:shd w:val="clear" w:color="auto" w:fill="auto"/>
            <w:vAlign w:val="bottom"/>
          </w:tcPr>
          <w:p w14:paraId="71D3FF20" w14:textId="77777777" w:rsidR="006A3667" w:rsidRDefault="006A3667">
            <w:pPr>
              <w:rPr>
                <w:rFonts w:ascii="宋体"/>
                <w:vanish/>
              </w:rPr>
            </w:pPr>
          </w:p>
        </w:tc>
        <w:tc>
          <w:tcPr>
            <w:tcW w:w="0" w:type="auto"/>
            <w:gridSpan w:val="3"/>
            <w:shd w:val="clear" w:color="auto" w:fill="auto"/>
            <w:vAlign w:val="bottom"/>
          </w:tcPr>
          <w:p w14:paraId="71D3FF21" w14:textId="77777777" w:rsidR="006A3667" w:rsidRDefault="006A3667">
            <w:pPr>
              <w:rPr>
                <w:rFonts w:ascii="宋体"/>
                <w:vanish/>
              </w:rPr>
            </w:pPr>
          </w:p>
        </w:tc>
      </w:tr>
      <w:tr w:rsidR="006A3667" w14:paraId="71D3FF2B" w14:textId="77777777">
        <w:trPr>
          <w:hidden/>
        </w:trPr>
        <w:tc>
          <w:tcPr>
            <w:tcW w:w="0" w:type="auto"/>
            <w:gridSpan w:val="3"/>
            <w:shd w:val="clear" w:color="auto" w:fill="auto"/>
            <w:vAlign w:val="bottom"/>
          </w:tcPr>
          <w:p w14:paraId="71D3FF23" w14:textId="77777777" w:rsidR="006A3667" w:rsidRDefault="006A3667">
            <w:pPr>
              <w:rPr>
                <w:rFonts w:ascii="宋体"/>
                <w:vanish/>
              </w:rPr>
            </w:pPr>
          </w:p>
        </w:tc>
        <w:tc>
          <w:tcPr>
            <w:tcW w:w="0" w:type="auto"/>
            <w:gridSpan w:val="3"/>
            <w:shd w:val="clear" w:color="auto" w:fill="auto"/>
            <w:vAlign w:val="bottom"/>
          </w:tcPr>
          <w:p w14:paraId="71D3FF24" w14:textId="77777777" w:rsidR="006A3667" w:rsidRDefault="006A3667">
            <w:pPr>
              <w:rPr>
                <w:rFonts w:ascii="宋体"/>
                <w:vanish/>
              </w:rPr>
            </w:pPr>
          </w:p>
        </w:tc>
        <w:tc>
          <w:tcPr>
            <w:tcW w:w="0" w:type="auto"/>
            <w:gridSpan w:val="3"/>
            <w:shd w:val="clear" w:color="auto" w:fill="auto"/>
            <w:vAlign w:val="bottom"/>
          </w:tcPr>
          <w:p w14:paraId="71D3FF25" w14:textId="77777777" w:rsidR="006A3667" w:rsidRDefault="006A3667">
            <w:pPr>
              <w:rPr>
                <w:rFonts w:ascii="宋体"/>
                <w:vanish/>
              </w:rPr>
            </w:pPr>
          </w:p>
        </w:tc>
        <w:tc>
          <w:tcPr>
            <w:tcW w:w="0" w:type="auto"/>
            <w:gridSpan w:val="3"/>
            <w:shd w:val="clear" w:color="auto" w:fill="auto"/>
            <w:vAlign w:val="bottom"/>
          </w:tcPr>
          <w:p w14:paraId="71D3FF26" w14:textId="77777777" w:rsidR="006A3667" w:rsidRDefault="006A3667">
            <w:pPr>
              <w:rPr>
                <w:rFonts w:ascii="宋体"/>
                <w:vanish/>
              </w:rPr>
            </w:pPr>
          </w:p>
        </w:tc>
        <w:tc>
          <w:tcPr>
            <w:tcW w:w="0" w:type="auto"/>
            <w:shd w:val="clear" w:color="auto" w:fill="auto"/>
            <w:vAlign w:val="bottom"/>
          </w:tcPr>
          <w:p w14:paraId="71D3FF27" w14:textId="77777777" w:rsidR="006A3667" w:rsidRDefault="006A3667">
            <w:pPr>
              <w:rPr>
                <w:rFonts w:ascii="宋体"/>
                <w:vanish/>
              </w:rPr>
            </w:pPr>
          </w:p>
        </w:tc>
        <w:tc>
          <w:tcPr>
            <w:tcW w:w="0" w:type="auto"/>
            <w:shd w:val="clear" w:color="auto" w:fill="auto"/>
            <w:vAlign w:val="bottom"/>
          </w:tcPr>
          <w:p w14:paraId="71D3FF28" w14:textId="77777777" w:rsidR="006A3667" w:rsidRDefault="006A3667">
            <w:pPr>
              <w:rPr>
                <w:rFonts w:ascii="宋体"/>
                <w:vanish/>
              </w:rPr>
            </w:pPr>
          </w:p>
        </w:tc>
        <w:tc>
          <w:tcPr>
            <w:tcW w:w="0" w:type="auto"/>
            <w:gridSpan w:val="3"/>
            <w:shd w:val="clear" w:color="auto" w:fill="auto"/>
            <w:vAlign w:val="bottom"/>
          </w:tcPr>
          <w:p w14:paraId="71D3FF29" w14:textId="77777777" w:rsidR="006A3667" w:rsidRDefault="006A3667">
            <w:pPr>
              <w:rPr>
                <w:rFonts w:ascii="宋体"/>
                <w:vanish/>
              </w:rPr>
            </w:pPr>
          </w:p>
        </w:tc>
        <w:tc>
          <w:tcPr>
            <w:tcW w:w="0" w:type="auto"/>
            <w:gridSpan w:val="3"/>
            <w:shd w:val="clear" w:color="auto" w:fill="auto"/>
            <w:vAlign w:val="bottom"/>
          </w:tcPr>
          <w:p w14:paraId="71D3FF2A" w14:textId="77777777" w:rsidR="006A3667" w:rsidRDefault="006A3667">
            <w:pPr>
              <w:rPr>
                <w:rFonts w:ascii="宋体"/>
                <w:vanish/>
              </w:rPr>
            </w:pPr>
          </w:p>
        </w:tc>
      </w:tr>
      <w:tr w:rsidR="006A3667" w14:paraId="71D3FF34" w14:textId="77777777">
        <w:trPr>
          <w:hidden/>
        </w:trPr>
        <w:tc>
          <w:tcPr>
            <w:tcW w:w="0" w:type="auto"/>
            <w:gridSpan w:val="3"/>
            <w:shd w:val="clear" w:color="auto" w:fill="auto"/>
            <w:vAlign w:val="bottom"/>
          </w:tcPr>
          <w:p w14:paraId="71D3FF2C" w14:textId="77777777" w:rsidR="006A3667" w:rsidRDefault="006A3667">
            <w:pPr>
              <w:rPr>
                <w:rFonts w:ascii="宋体"/>
                <w:vanish/>
              </w:rPr>
            </w:pPr>
          </w:p>
        </w:tc>
        <w:tc>
          <w:tcPr>
            <w:tcW w:w="0" w:type="auto"/>
            <w:gridSpan w:val="3"/>
            <w:shd w:val="clear" w:color="auto" w:fill="auto"/>
            <w:vAlign w:val="bottom"/>
          </w:tcPr>
          <w:p w14:paraId="71D3FF2D" w14:textId="77777777" w:rsidR="006A3667" w:rsidRDefault="006A3667">
            <w:pPr>
              <w:rPr>
                <w:rFonts w:ascii="宋体"/>
                <w:vanish/>
              </w:rPr>
            </w:pPr>
          </w:p>
        </w:tc>
        <w:tc>
          <w:tcPr>
            <w:tcW w:w="0" w:type="auto"/>
            <w:gridSpan w:val="3"/>
            <w:shd w:val="clear" w:color="auto" w:fill="auto"/>
            <w:vAlign w:val="bottom"/>
          </w:tcPr>
          <w:p w14:paraId="71D3FF2E" w14:textId="77777777" w:rsidR="006A3667" w:rsidRDefault="006A3667">
            <w:pPr>
              <w:rPr>
                <w:rFonts w:ascii="宋体"/>
                <w:vanish/>
              </w:rPr>
            </w:pPr>
          </w:p>
        </w:tc>
        <w:tc>
          <w:tcPr>
            <w:tcW w:w="0" w:type="auto"/>
            <w:gridSpan w:val="3"/>
            <w:shd w:val="clear" w:color="auto" w:fill="auto"/>
            <w:vAlign w:val="bottom"/>
          </w:tcPr>
          <w:p w14:paraId="71D3FF2F" w14:textId="77777777" w:rsidR="006A3667" w:rsidRDefault="006A3667">
            <w:pPr>
              <w:rPr>
                <w:rFonts w:ascii="宋体"/>
                <w:vanish/>
              </w:rPr>
            </w:pPr>
          </w:p>
        </w:tc>
        <w:tc>
          <w:tcPr>
            <w:tcW w:w="0" w:type="auto"/>
            <w:shd w:val="clear" w:color="auto" w:fill="auto"/>
            <w:vAlign w:val="bottom"/>
          </w:tcPr>
          <w:p w14:paraId="71D3FF30" w14:textId="77777777" w:rsidR="006A3667" w:rsidRDefault="006A3667">
            <w:pPr>
              <w:rPr>
                <w:rFonts w:ascii="宋体"/>
                <w:vanish/>
              </w:rPr>
            </w:pPr>
          </w:p>
        </w:tc>
        <w:tc>
          <w:tcPr>
            <w:tcW w:w="0" w:type="auto"/>
            <w:shd w:val="clear" w:color="auto" w:fill="auto"/>
            <w:vAlign w:val="bottom"/>
          </w:tcPr>
          <w:p w14:paraId="71D3FF31" w14:textId="77777777" w:rsidR="006A3667" w:rsidRDefault="006A3667">
            <w:pPr>
              <w:rPr>
                <w:rFonts w:ascii="宋体"/>
                <w:vanish/>
              </w:rPr>
            </w:pPr>
          </w:p>
        </w:tc>
        <w:tc>
          <w:tcPr>
            <w:tcW w:w="0" w:type="auto"/>
            <w:gridSpan w:val="3"/>
            <w:shd w:val="clear" w:color="auto" w:fill="auto"/>
            <w:vAlign w:val="bottom"/>
          </w:tcPr>
          <w:p w14:paraId="71D3FF32" w14:textId="77777777" w:rsidR="006A3667" w:rsidRDefault="006A3667">
            <w:pPr>
              <w:rPr>
                <w:rFonts w:ascii="宋体"/>
                <w:vanish/>
              </w:rPr>
            </w:pPr>
          </w:p>
        </w:tc>
        <w:tc>
          <w:tcPr>
            <w:tcW w:w="0" w:type="auto"/>
            <w:gridSpan w:val="3"/>
            <w:shd w:val="clear" w:color="auto" w:fill="auto"/>
            <w:vAlign w:val="bottom"/>
          </w:tcPr>
          <w:p w14:paraId="71D3FF33" w14:textId="77777777" w:rsidR="006A3667" w:rsidRDefault="006A3667">
            <w:pPr>
              <w:rPr>
                <w:rFonts w:ascii="宋体"/>
                <w:vanish/>
              </w:rPr>
            </w:pPr>
          </w:p>
        </w:tc>
      </w:tr>
      <w:tr w:rsidR="006A3667" w14:paraId="71D3FF3D" w14:textId="77777777">
        <w:trPr>
          <w:hidden/>
        </w:trPr>
        <w:tc>
          <w:tcPr>
            <w:tcW w:w="0" w:type="auto"/>
            <w:gridSpan w:val="3"/>
            <w:shd w:val="clear" w:color="auto" w:fill="auto"/>
            <w:vAlign w:val="bottom"/>
          </w:tcPr>
          <w:p w14:paraId="71D3FF35" w14:textId="77777777" w:rsidR="006A3667" w:rsidRDefault="006A3667">
            <w:pPr>
              <w:rPr>
                <w:rFonts w:ascii="宋体"/>
                <w:vanish/>
              </w:rPr>
            </w:pPr>
          </w:p>
        </w:tc>
        <w:tc>
          <w:tcPr>
            <w:tcW w:w="0" w:type="auto"/>
            <w:gridSpan w:val="3"/>
            <w:shd w:val="clear" w:color="auto" w:fill="auto"/>
            <w:vAlign w:val="bottom"/>
          </w:tcPr>
          <w:p w14:paraId="71D3FF36" w14:textId="77777777" w:rsidR="006A3667" w:rsidRDefault="006A3667">
            <w:pPr>
              <w:rPr>
                <w:rFonts w:ascii="宋体"/>
                <w:vanish/>
              </w:rPr>
            </w:pPr>
          </w:p>
        </w:tc>
        <w:tc>
          <w:tcPr>
            <w:tcW w:w="0" w:type="auto"/>
            <w:gridSpan w:val="3"/>
            <w:shd w:val="clear" w:color="auto" w:fill="auto"/>
            <w:vAlign w:val="bottom"/>
          </w:tcPr>
          <w:p w14:paraId="71D3FF37" w14:textId="77777777" w:rsidR="006A3667" w:rsidRDefault="006A3667">
            <w:pPr>
              <w:rPr>
                <w:rFonts w:ascii="宋体"/>
                <w:vanish/>
              </w:rPr>
            </w:pPr>
          </w:p>
        </w:tc>
        <w:tc>
          <w:tcPr>
            <w:tcW w:w="0" w:type="auto"/>
            <w:gridSpan w:val="3"/>
            <w:shd w:val="clear" w:color="auto" w:fill="auto"/>
            <w:vAlign w:val="bottom"/>
          </w:tcPr>
          <w:p w14:paraId="71D3FF38" w14:textId="77777777" w:rsidR="006A3667" w:rsidRDefault="006A3667">
            <w:pPr>
              <w:rPr>
                <w:rFonts w:ascii="宋体"/>
                <w:vanish/>
              </w:rPr>
            </w:pPr>
          </w:p>
        </w:tc>
        <w:tc>
          <w:tcPr>
            <w:tcW w:w="0" w:type="auto"/>
            <w:shd w:val="clear" w:color="auto" w:fill="auto"/>
            <w:vAlign w:val="bottom"/>
          </w:tcPr>
          <w:p w14:paraId="71D3FF39" w14:textId="77777777" w:rsidR="006A3667" w:rsidRDefault="006A3667">
            <w:pPr>
              <w:rPr>
                <w:rFonts w:ascii="宋体"/>
                <w:vanish/>
              </w:rPr>
            </w:pPr>
          </w:p>
        </w:tc>
        <w:tc>
          <w:tcPr>
            <w:tcW w:w="0" w:type="auto"/>
            <w:shd w:val="clear" w:color="auto" w:fill="auto"/>
            <w:vAlign w:val="bottom"/>
          </w:tcPr>
          <w:p w14:paraId="71D3FF3A" w14:textId="77777777" w:rsidR="006A3667" w:rsidRDefault="006A3667">
            <w:pPr>
              <w:rPr>
                <w:rFonts w:ascii="宋体"/>
                <w:vanish/>
              </w:rPr>
            </w:pPr>
          </w:p>
        </w:tc>
        <w:tc>
          <w:tcPr>
            <w:tcW w:w="0" w:type="auto"/>
            <w:gridSpan w:val="3"/>
            <w:shd w:val="clear" w:color="auto" w:fill="auto"/>
            <w:vAlign w:val="bottom"/>
          </w:tcPr>
          <w:p w14:paraId="71D3FF3B" w14:textId="77777777" w:rsidR="006A3667" w:rsidRDefault="006A3667">
            <w:pPr>
              <w:rPr>
                <w:rFonts w:ascii="宋体"/>
                <w:vanish/>
              </w:rPr>
            </w:pPr>
          </w:p>
        </w:tc>
        <w:tc>
          <w:tcPr>
            <w:tcW w:w="0" w:type="auto"/>
            <w:gridSpan w:val="3"/>
            <w:shd w:val="clear" w:color="auto" w:fill="auto"/>
            <w:vAlign w:val="bottom"/>
          </w:tcPr>
          <w:p w14:paraId="71D3FF3C" w14:textId="77777777" w:rsidR="006A3667" w:rsidRDefault="006A3667">
            <w:pPr>
              <w:rPr>
                <w:rFonts w:ascii="宋体"/>
                <w:vanish/>
              </w:rPr>
            </w:pPr>
          </w:p>
        </w:tc>
      </w:tr>
      <w:tr w:rsidR="006A3667" w14:paraId="71D3FF46" w14:textId="77777777">
        <w:trPr>
          <w:hidden/>
        </w:trPr>
        <w:tc>
          <w:tcPr>
            <w:tcW w:w="0" w:type="auto"/>
            <w:gridSpan w:val="3"/>
            <w:shd w:val="clear" w:color="auto" w:fill="auto"/>
            <w:vAlign w:val="bottom"/>
          </w:tcPr>
          <w:p w14:paraId="71D3FF3E" w14:textId="77777777" w:rsidR="006A3667" w:rsidRDefault="006A3667">
            <w:pPr>
              <w:rPr>
                <w:rFonts w:ascii="宋体"/>
                <w:vanish/>
              </w:rPr>
            </w:pPr>
          </w:p>
        </w:tc>
        <w:tc>
          <w:tcPr>
            <w:tcW w:w="0" w:type="auto"/>
            <w:gridSpan w:val="3"/>
            <w:shd w:val="clear" w:color="auto" w:fill="auto"/>
            <w:vAlign w:val="bottom"/>
          </w:tcPr>
          <w:p w14:paraId="71D3FF3F" w14:textId="77777777" w:rsidR="006A3667" w:rsidRDefault="006A3667">
            <w:pPr>
              <w:rPr>
                <w:rFonts w:ascii="宋体"/>
                <w:vanish/>
              </w:rPr>
            </w:pPr>
          </w:p>
        </w:tc>
        <w:tc>
          <w:tcPr>
            <w:tcW w:w="0" w:type="auto"/>
            <w:gridSpan w:val="3"/>
            <w:shd w:val="clear" w:color="auto" w:fill="auto"/>
            <w:vAlign w:val="bottom"/>
          </w:tcPr>
          <w:p w14:paraId="71D3FF40" w14:textId="77777777" w:rsidR="006A3667" w:rsidRDefault="006A3667">
            <w:pPr>
              <w:rPr>
                <w:rFonts w:ascii="宋体"/>
                <w:vanish/>
              </w:rPr>
            </w:pPr>
          </w:p>
        </w:tc>
        <w:tc>
          <w:tcPr>
            <w:tcW w:w="0" w:type="auto"/>
            <w:gridSpan w:val="3"/>
            <w:shd w:val="clear" w:color="auto" w:fill="auto"/>
            <w:vAlign w:val="bottom"/>
          </w:tcPr>
          <w:p w14:paraId="71D3FF41" w14:textId="77777777" w:rsidR="006A3667" w:rsidRDefault="006A3667">
            <w:pPr>
              <w:rPr>
                <w:rFonts w:ascii="宋体"/>
                <w:vanish/>
              </w:rPr>
            </w:pPr>
          </w:p>
        </w:tc>
        <w:tc>
          <w:tcPr>
            <w:tcW w:w="0" w:type="auto"/>
            <w:shd w:val="clear" w:color="auto" w:fill="auto"/>
            <w:vAlign w:val="bottom"/>
          </w:tcPr>
          <w:p w14:paraId="71D3FF42" w14:textId="77777777" w:rsidR="006A3667" w:rsidRDefault="006A3667">
            <w:pPr>
              <w:rPr>
                <w:rFonts w:ascii="宋体"/>
                <w:vanish/>
              </w:rPr>
            </w:pPr>
          </w:p>
        </w:tc>
        <w:tc>
          <w:tcPr>
            <w:tcW w:w="0" w:type="auto"/>
            <w:shd w:val="clear" w:color="auto" w:fill="auto"/>
            <w:vAlign w:val="bottom"/>
          </w:tcPr>
          <w:p w14:paraId="71D3FF43" w14:textId="77777777" w:rsidR="006A3667" w:rsidRDefault="006A3667">
            <w:pPr>
              <w:rPr>
                <w:rFonts w:ascii="宋体"/>
                <w:vanish/>
              </w:rPr>
            </w:pPr>
          </w:p>
        </w:tc>
        <w:tc>
          <w:tcPr>
            <w:tcW w:w="0" w:type="auto"/>
            <w:gridSpan w:val="3"/>
            <w:shd w:val="clear" w:color="auto" w:fill="auto"/>
            <w:vAlign w:val="bottom"/>
          </w:tcPr>
          <w:p w14:paraId="71D3FF44" w14:textId="77777777" w:rsidR="006A3667" w:rsidRDefault="006A3667">
            <w:pPr>
              <w:rPr>
                <w:rFonts w:ascii="宋体"/>
                <w:vanish/>
              </w:rPr>
            </w:pPr>
          </w:p>
        </w:tc>
        <w:tc>
          <w:tcPr>
            <w:tcW w:w="0" w:type="auto"/>
            <w:gridSpan w:val="3"/>
            <w:shd w:val="clear" w:color="auto" w:fill="auto"/>
            <w:vAlign w:val="bottom"/>
          </w:tcPr>
          <w:p w14:paraId="71D3FF45" w14:textId="77777777" w:rsidR="006A3667" w:rsidRDefault="006A3667">
            <w:pPr>
              <w:rPr>
                <w:rFonts w:ascii="宋体"/>
                <w:vanish/>
              </w:rPr>
            </w:pPr>
          </w:p>
        </w:tc>
      </w:tr>
      <w:tr w:rsidR="006A3667" w14:paraId="71D3FF4F" w14:textId="77777777">
        <w:trPr>
          <w:hidden/>
        </w:trPr>
        <w:tc>
          <w:tcPr>
            <w:tcW w:w="0" w:type="auto"/>
            <w:gridSpan w:val="3"/>
            <w:shd w:val="clear" w:color="auto" w:fill="auto"/>
            <w:vAlign w:val="bottom"/>
          </w:tcPr>
          <w:p w14:paraId="71D3FF47" w14:textId="77777777" w:rsidR="006A3667" w:rsidRDefault="006A3667">
            <w:pPr>
              <w:rPr>
                <w:rFonts w:ascii="宋体"/>
                <w:vanish/>
              </w:rPr>
            </w:pPr>
          </w:p>
        </w:tc>
        <w:tc>
          <w:tcPr>
            <w:tcW w:w="0" w:type="auto"/>
            <w:gridSpan w:val="3"/>
            <w:shd w:val="clear" w:color="auto" w:fill="auto"/>
            <w:vAlign w:val="bottom"/>
          </w:tcPr>
          <w:p w14:paraId="71D3FF48" w14:textId="77777777" w:rsidR="006A3667" w:rsidRDefault="006A3667">
            <w:pPr>
              <w:rPr>
                <w:rFonts w:ascii="宋体"/>
                <w:vanish/>
              </w:rPr>
            </w:pPr>
          </w:p>
        </w:tc>
        <w:tc>
          <w:tcPr>
            <w:tcW w:w="0" w:type="auto"/>
            <w:gridSpan w:val="3"/>
            <w:shd w:val="clear" w:color="auto" w:fill="auto"/>
            <w:vAlign w:val="bottom"/>
          </w:tcPr>
          <w:p w14:paraId="71D3FF49" w14:textId="77777777" w:rsidR="006A3667" w:rsidRDefault="006A3667">
            <w:pPr>
              <w:rPr>
                <w:rFonts w:ascii="宋体"/>
                <w:vanish/>
              </w:rPr>
            </w:pPr>
          </w:p>
        </w:tc>
        <w:tc>
          <w:tcPr>
            <w:tcW w:w="0" w:type="auto"/>
            <w:gridSpan w:val="3"/>
            <w:shd w:val="clear" w:color="auto" w:fill="auto"/>
            <w:vAlign w:val="bottom"/>
          </w:tcPr>
          <w:p w14:paraId="71D3FF4A" w14:textId="77777777" w:rsidR="006A3667" w:rsidRDefault="006A3667">
            <w:pPr>
              <w:rPr>
                <w:rFonts w:ascii="宋体"/>
                <w:vanish/>
              </w:rPr>
            </w:pPr>
          </w:p>
        </w:tc>
        <w:tc>
          <w:tcPr>
            <w:tcW w:w="0" w:type="auto"/>
            <w:shd w:val="clear" w:color="auto" w:fill="auto"/>
            <w:vAlign w:val="bottom"/>
          </w:tcPr>
          <w:p w14:paraId="71D3FF4B" w14:textId="77777777" w:rsidR="006A3667" w:rsidRDefault="006A3667">
            <w:pPr>
              <w:rPr>
                <w:rFonts w:ascii="宋体"/>
                <w:vanish/>
              </w:rPr>
            </w:pPr>
          </w:p>
        </w:tc>
        <w:tc>
          <w:tcPr>
            <w:tcW w:w="0" w:type="auto"/>
            <w:shd w:val="clear" w:color="auto" w:fill="auto"/>
            <w:vAlign w:val="bottom"/>
          </w:tcPr>
          <w:p w14:paraId="71D3FF4C" w14:textId="77777777" w:rsidR="006A3667" w:rsidRDefault="006A3667">
            <w:pPr>
              <w:rPr>
                <w:rFonts w:ascii="宋体"/>
                <w:vanish/>
              </w:rPr>
            </w:pPr>
          </w:p>
        </w:tc>
        <w:tc>
          <w:tcPr>
            <w:tcW w:w="0" w:type="auto"/>
            <w:gridSpan w:val="3"/>
            <w:shd w:val="clear" w:color="auto" w:fill="auto"/>
            <w:vAlign w:val="bottom"/>
          </w:tcPr>
          <w:p w14:paraId="71D3FF4D" w14:textId="77777777" w:rsidR="006A3667" w:rsidRDefault="006A3667">
            <w:pPr>
              <w:rPr>
                <w:rFonts w:ascii="宋体"/>
                <w:vanish/>
              </w:rPr>
            </w:pPr>
          </w:p>
        </w:tc>
        <w:tc>
          <w:tcPr>
            <w:tcW w:w="0" w:type="auto"/>
            <w:gridSpan w:val="3"/>
            <w:shd w:val="clear" w:color="auto" w:fill="auto"/>
            <w:vAlign w:val="bottom"/>
          </w:tcPr>
          <w:p w14:paraId="71D3FF4E" w14:textId="77777777" w:rsidR="006A3667" w:rsidRDefault="006A3667">
            <w:pPr>
              <w:rPr>
                <w:rFonts w:ascii="宋体"/>
                <w:vanish/>
              </w:rPr>
            </w:pPr>
          </w:p>
        </w:tc>
      </w:tr>
      <w:tr w:rsidR="006A3667" w14:paraId="71D3FF58" w14:textId="77777777">
        <w:trPr>
          <w:hidden/>
        </w:trPr>
        <w:tc>
          <w:tcPr>
            <w:tcW w:w="0" w:type="auto"/>
            <w:gridSpan w:val="3"/>
            <w:shd w:val="clear" w:color="auto" w:fill="auto"/>
            <w:vAlign w:val="bottom"/>
          </w:tcPr>
          <w:p w14:paraId="71D3FF50" w14:textId="77777777" w:rsidR="006A3667" w:rsidRDefault="006A3667">
            <w:pPr>
              <w:rPr>
                <w:rFonts w:ascii="宋体"/>
                <w:vanish/>
              </w:rPr>
            </w:pPr>
          </w:p>
        </w:tc>
        <w:tc>
          <w:tcPr>
            <w:tcW w:w="0" w:type="auto"/>
            <w:gridSpan w:val="3"/>
            <w:shd w:val="clear" w:color="auto" w:fill="auto"/>
            <w:vAlign w:val="bottom"/>
          </w:tcPr>
          <w:p w14:paraId="71D3FF51" w14:textId="77777777" w:rsidR="006A3667" w:rsidRDefault="006A3667">
            <w:pPr>
              <w:rPr>
                <w:rFonts w:ascii="宋体"/>
                <w:vanish/>
              </w:rPr>
            </w:pPr>
          </w:p>
        </w:tc>
        <w:tc>
          <w:tcPr>
            <w:tcW w:w="0" w:type="auto"/>
            <w:gridSpan w:val="3"/>
            <w:shd w:val="clear" w:color="auto" w:fill="auto"/>
            <w:vAlign w:val="bottom"/>
          </w:tcPr>
          <w:p w14:paraId="71D3FF52" w14:textId="77777777" w:rsidR="006A3667" w:rsidRDefault="006A3667">
            <w:pPr>
              <w:rPr>
                <w:rFonts w:ascii="宋体"/>
                <w:vanish/>
              </w:rPr>
            </w:pPr>
          </w:p>
        </w:tc>
        <w:tc>
          <w:tcPr>
            <w:tcW w:w="0" w:type="auto"/>
            <w:gridSpan w:val="3"/>
            <w:shd w:val="clear" w:color="auto" w:fill="auto"/>
            <w:vAlign w:val="bottom"/>
          </w:tcPr>
          <w:p w14:paraId="71D3FF53" w14:textId="77777777" w:rsidR="006A3667" w:rsidRDefault="006A3667">
            <w:pPr>
              <w:rPr>
                <w:rFonts w:ascii="宋体"/>
                <w:vanish/>
              </w:rPr>
            </w:pPr>
          </w:p>
        </w:tc>
        <w:tc>
          <w:tcPr>
            <w:tcW w:w="0" w:type="auto"/>
            <w:shd w:val="clear" w:color="auto" w:fill="auto"/>
            <w:vAlign w:val="bottom"/>
          </w:tcPr>
          <w:p w14:paraId="71D3FF54" w14:textId="77777777" w:rsidR="006A3667" w:rsidRDefault="006A3667">
            <w:pPr>
              <w:rPr>
                <w:rFonts w:ascii="宋体"/>
                <w:vanish/>
              </w:rPr>
            </w:pPr>
          </w:p>
        </w:tc>
        <w:tc>
          <w:tcPr>
            <w:tcW w:w="0" w:type="auto"/>
            <w:shd w:val="clear" w:color="auto" w:fill="auto"/>
            <w:vAlign w:val="bottom"/>
          </w:tcPr>
          <w:p w14:paraId="71D3FF55" w14:textId="77777777" w:rsidR="006A3667" w:rsidRDefault="006A3667">
            <w:pPr>
              <w:rPr>
                <w:rFonts w:ascii="宋体"/>
                <w:vanish/>
              </w:rPr>
            </w:pPr>
          </w:p>
        </w:tc>
        <w:tc>
          <w:tcPr>
            <w:tcW w:w="0" w:type="auto"/>
            <w:gridSpan w:val="3"/>
            <w:shd w:val="clear" w:color="auto" w:fill="auto"/>
            <w:vAlign w:val="bottom"/>
          </w:tcPr>
          <w:p w14:paraId="71D3FF56" w14:textId="77777777" w:rsidR="006A3667" w:rsidRDefault="006A3667">
            <w:pPr>
              <w:rPr>
                <w:rFonts w:ascii="宋体"/>
                <w:vanish/>
              </w:rPr>
            </w:pPr>
          </w:p>
        </w:tc>
        <w:tc>
          <w:tcPr>
            <w:tcW w:w="0" w:type="auto"/>
            <w:gridSpan w:val="3"/>
            <w:shd w:val="clear" w:color="auto" w:fill="auto"/>
            <w:vAlign w:val="bottom"/>
          </w:tcPr>
          <w:p w14:paraId="71D3FF57" w14:textId="77777777" w:rsidR="006A3667" w:rsidRDefault="006A3667">
            <w:pPr>
              <w:rPr>
                <w:rFonts w:ascii="宋体"/>
                <w:vanish/>
              </w:rPr>
            </w:pPr>
          </w:p>
        </w:tc>
      </w:tr>
      <w:tr w:rsidR="006A3667" w14:paraId="71D3FF61" w14:textId="77777777">
        <w:trPr>
          <w:hidden/>
        </w:trPr>
        <w:tc>
          <w:tcPr>
            <w:tcW w:w="0" w:type="auto"/>
            <w:gridSpan w:val="3"/>
            <w:shd w:val="clear" w:color="auto" w:fill="auto"/>
            <w:vAlign w:val="bottom"/>
          </w:tcPr>
          <w:p w14:paraId="71D3FF59" w14:textId="77777777" w:rsidR="006A3667" w:rsidRDefault="006A3667">
            <w:pPr>
              <w:rPr>
                <w:rFonts w:ascii="宋体"/>
                <w:vanish/>
              </w:rPr>
            </w:pPr>
          </w:p>
        </w:tc>
        <w:tc>
          <w:tcPr>
            <w:tcW w:w="0" w:type="auto"/>
            <w:gridSpan w:val="3"/>
            <w:shd w:val="clear" w:color="auto" w:fill="auto"/>
            <w:vAlign w:val="bottom"/>
          </w:tcPr>
          <w:p w14:paraId="71D3FF5A" w14:textId="77777777" w:rsidR="006A3667" w:rsidRDefault="006A3667">
            <w:pPr>
              <w:rPr>
                <w:rFonts w:ascii="宋体"/>
                <w:vanish/>
              </w:rPr>
            </w:pPr>
          </w:p>
        </w:tc>
        <w:tc>
          <w:tcPr>
            <w:tcW w:w="0" w:type="auto"/>
            <w:gridSpan w:val="3"/>
            <w:shd w:val="clear" w:color="auto" w:fill="auto"/>
            <w:vAlign w:val="bottom"/>
          </w:tcPr>
          <w:p w14:paraId="71D3FF5B" w14:textId="77777777" w:rsidR="006A3667" w:rsidRDefault="006A3667">
            <w:pPr>
              <w:rPr>
                <w:rFonts w:ascii="宋体"/>
                <w:vanish/>
              </w:rPr>
            </w:pPr>
          </w:p>
        </w:tc>
        <w:tc>
          <w:tcPr>
            <w:tcW w:w="0" w:type="auto"/>
            <w:gridSpan w:val="3"/>
            <w:shd w:val="clear" w:color="auto" w:fill="auto"/>
            <w:vAlign w:val="bottom"/>
          </w:tcPr>
          <w:p w14:paraId="71D3FF5C" w14:textId="77777777" w:rsidR="006A3667" w:rsidRDefault="006A3667">
            <w:pPr>
              <w:rPr>
                <w:rFonts w:ascii="宋体"/>
                <w:vanish/>
              </w:rPr>
            </w:pPr>
          </w:p>
        </w:tc>
        <w:tc>
          <w:tcPr>
            <w:tcW w:w="0" w:type="auto"/>
            <w:shd w:val="clear" w:color="auto" w:fill="auto"/>
            <w:vAlign w:val="bottom"/>
          </w:tcPr>
          <w:p w14:paraId="71D3FF5D" w14:textId="77777777" w:rsidR="006A3667" w:rsidRDefault="006A3667">
            <w:pPr>
              <w:rPr>
                <w:rFonts w:ascii="宋体"/>
                <w:vanish/>
              </w:rPr>
            </w:pPr>
          </w:p>
        </w:tc>
        <w:tc>
          <w:tcPr>
            <w:tcW w:w="0" w:type="auto"/>
            <w:shd w:val="clear" w:color="auto" w:fill="auto"/>
            <w:vAlign w:val="bottom"/>
          </w:tcPr>
          <w:p w14:paraId="71D3FF5E" w14:textId="77777777" w:rsidR="006A3667" w:rsidRDefault="006A3667">
            <w:pPr>
              <w:rPr>
                <w:rFonts w:ascii="宋体"/>
                <w:vanish/>
              </w:rPr>
            </w:pPr>
          </w:p>
        </w:tc>
        <w:tc>
          <w:tcPr>
            <w:tcW w:w="0" w:type="auto"/>
            <w:gridSpan w:val="3"/>
            <w:shd w:val="clear" w:color="auto" w:fill="auto"/>
            <w:vAlign w:val="bottom"/>
          </w:tcPr>
          <w:p w14:paraId="71D3FF5F" w14:textId="77777777" w:rsidR="006A3667" w:rsidRDefault="006A3667">
            <w:pPr>
              <w:rPr>
                <w:rFonts w:ascii="宋体"/>
                <w:vanish/>
              </w:rPr>
            </w:pPr>
          </w:p>
        </w:tc>
        <w:tc>
          <w:tcPr>
            <w:tcW w:w="0" w:type="auto"/>
            <w:gridSpan w:val="3"/>
            <w:shd w:val="clear" w:color="auto" w:fill="auto"/>
            <w:vAlign w:val="bottom"/>
          </w:tcPr>
          <w:p w14:paraId="71D3FF60" w14:textId="77777777" w:rsidR="006A3667" w:rsidRDefault="006A3667">
            <w:pPr>
              <w:rPr>
                <w:rFonts w:ascii="宋体"/>
                <w:vanish/>
              </w:rPr>
            </w:pPr>
          </w:p>
        </w:tc>
      </w:tr>
      <w:tr w:rsidR="006A3667" w14:paraId="71D3FF6A" w14:textId="77777777">
        <w:trPr>
          <w:hidden/>
        </w:trPr>
        <w:tc>
          <w:tcPr>
            <w:tcW w:w="0" w:type="auto"/>
            <w:gridSpan w:val="3"/>
            <w:shd w:val="clear" w:color="auto" w:fill="auto"/>
            <w:vAlign w:val="bottom"/>
          </w:tcPr>
          <w:p w14:paraId="71D3FF62" w14:textId="77777777" w:rsidR="006A3667" w:rsidRDefault="006A3667">
            <w:pPr>
              <w:rPr>
                <w:rFonts w:ascii="宋体"/>
                <w:vanish/>
              </w:rPr>
            </w:pPr>
          </w:p>
        </w:tc>
        <w:tc>
          <w:tcPr>
            <w:tcW w:w="0" w:type="auto"/>
            <w:gridSpan w:val="3"/>
            <w:shd w:val="clear" w:color="auto" w:fill="auto"/>
            <w:vAlign w:val="bottom"/>
          </w:tcPr>
          <w:p w14:paraId="71D3FF63" w14:textId="77777777" w:rsidR="006A3667" w:rsidRDefault="006A3667">
            <w:pPr>
              <w:rPr>
                <w:rFonts w:ascii="宋体"/>
                <w:vanish/>
              </w:rPr>
            </w:pPr>
          </w:p>
        </w:tc>
        <w:tc>
          <w:tcPr>
            <w:tcW w:w="0" w:type="auto"/>
            <w:gridSpan w:val="3"/>
            <w:shd w:val="clear" w:color="auto" w:fill="auto"/>
            <w:vAlign w:val="bottom"/>
          </w:tcPr>
          <w:p w14:paraId="71D3FF64" w14:textId="77777777" w:rsidR="006A3667" w:rsidRDefault="006A3667">
            <w:pPr>
              <w:rPr>
                <w:rFonts w:ascii="宋体"/>
                <w:vanish/>
              </w:rPr>
            </w:pPr>
          </w:p>
        </w:tc>
        <w:tc>
          <w:tcPr>
            <w:tcW w:w="0" w:type="auto"/>
            <w:gridSpan w:val="3"/>
            <w:shd w:val="clear" w:color="auto" w:fill="auto"/>
            <w:vAlign w:val="bottom"/>
          </w:tcPr>
          <w:p w14:paraId="71D3FF65" w14:textId="77777777" w:rsidR="006A3667" w:rsidRDefault="006A3667">
            <w:pPr>
              <w:rPr>
                <w:rFonts w:ascii="宋体"/>
                <w:vanish/>
              </w:rPr>
            </w:pPr>
          </w:p>
        </w:tc>
        <w:tc>
          <w:tcPr>
            <w:tcW w:w="0" w:type="auto"/>
            <w:shd w:val="clear" w:color="auto" w:fill="auto"/>
            <w:vAlign w:val="bottom"/>
          </w:tcPr>
          <w:p w14:paraId="71D3FF66" w14:textId="77777777" w:rsidR="006A3667" w:rsidRDefault="006A3667">
            <w:pPr>
              <w:rPr>
                <w:rFonts w:ascii="宋体"/>
                <w:vanish/>
              </w:rPr>
            </w:pPr>
          </w:p>
        </w:tc>
        <w:tc>
          <w:tcPr>
            <w:tcW w:w="0" w:type="auto"/>
            <w:shd w:val="clear" w:color="auto" w:fill="auto"/>
            <w:vAlign w:val="bottom"/>
          </w:tcPr>
          <w:p w14:paraId="71D3FF67" w14:textId="77777777" w:rsidR="006A3667" w:rsidRDefault="006A3667">
            <w:pPr>
              <w:rPr>
                <w:rFonts w:ascii="宋体"/>
                <w:vanish/>
              </w:rPr>
            </w:pPr>
          </w:p>
        </w:tc>
        <w:tc>
          <w:tcPr>
            <w:tcW w:w="0" w:type="auto"/>
            <w:gridSpan w:val="3"/>
            <w:shd w:val="clear" w:color="auto" w:fill="auto"/>
            <w:vAlign w:val="bottom"/>
          </w:tcPr>
          <w:p w14:paraId="71D3FF68" w14:textId="77777777" w:rsidR="006A3667" w:rsidRDefault="006A3667">
            <w:pPr>
              <w:rPr>
                <w:rFonts w:ascii="宋体"/>
                <w:vanish/>
              </w:rPr>
            </w:pPr>
          </w:p>
        </w:tc>
        <w:tc>
          <w:tcPr>
            <w:tcW w:w="0" w:type="auto"/>
            <w:gridSpan w:val="3"/>
            <w:shd w:val="clear" w:color="auto" w:fill="auto"/>
            <w:vAlign w:val="bottom"/>
          </w:tcPr>
          <w:p w14:paraId="71D3FF69" w14:textId="77777777" w:rsidR="006A3667" w:rsidRDefault="006A3667">
            <w:pPr>
              <w:rPr>
                <w:rFonts w:ascii="宋体"/>
                <w:vanish/>
              </w:rPr>
            </w:pPr>
          </w:p>
        </w:tc>
      </w:tr>
      <w:tr w:rsidR="006A3667" w14:paraId="71D3FF75" w14:textId="77777777">
        <w:trPr>
          <w:hidden/>
        </w:trPr>
        <w:tc>
          <w:tcPr>
            <w:tcW w:w="0" w:type="auto"/>
            <w:gridSpan w:val="3"/>
            <w:shd w:val="clear" w:color="auto" w:fill="auto"/>
            <w:vAlign w:val="bottom"/>
          </w:tcPr>
          <w:p w14:paraId="71D3FF6B" w14:textId="77777777" w:rsidR="006A3667" w:rsidRDefault="006A3667">
            <w:pPr>
              <w:rPr>
                <w:rFonts w:ascii="宋体"/>
                <w:vanish/>
              </w:rPr>
            </w:pPr>
          </w:p>
        </w:tc>
        <w:tc>
          <w:tcPr>
            <w:tcW w:w="0" w:type="auto"/>
            <w:gridSpan w:val="3"/>
            <w:shd w:val="clear" w:color="auto" w:fill="auto"/>
            <w:vAlign w:val="bottom"/>
          </w:tcPr>
          <w:p w14:paraId="71D3FF6C" w14:textId="77777777" w:rsidR="006A3667" w:rsidRDefault="006A3667">
            <w:pPr>
              <w:rPr>
                <w:rFonts w:ascii="宋体"/>
                <w:vanish/>
              </w:rPr>
            </w:pPr>
          </w:p>
        </w:tc>
        <w:tc>
          <w:tcPr>
            <w:tcW w:w="0" w:type="auto"/>
            <w:gridSpan w:val="3"/>
            <w:shd w:val="clear" w:color="auto" w:fill="auto"/>
            <w:vAlign w:val="bottom"/>
          </w:tcPr>
          <w:p w14:paraId="71D3FF6D" w14:textId="77777777" w:rsidR="006A3667" w:rsidRDefault="006A3667">
            <w:pPr>
              <w:rPr>
                <w:rFonts w:ascii="宋体"/>
                <w:vanish/>
              </w:rPr>
            </w:pPr>
          </w:p>
        </w:tc>
        <w:tc>
          <w:tcPr>
            <w:tcW w:w="0" w:type="auto"/>
            <w:gridSpan w:val="3"/>
            <w:shd w:val="clear" w:color="auto" w:fill="auto"/>
            <w:vAlign w:val="bottom"/>
          </w:tcPr>
          <w:p w14:paraId="71D3FF6E" w14:textId="77777777" w:rsidR="006A3667" w:rsidRDefault="006A3667">
            <w:pPr>
              <w:rPr>
                <w:rFonts w:ascii="宋体"/>
                <w:vanish/>
              </w:rPr>
            </w:pPr>
          </w:p>
        </w:tc>
        <w:tc>
          <w:tcPr>
            <w:tcW w:w="0" w:type="auto"/>
            <w:shd w:val="clear" w:color="auto" w:fill="auto"/>
            <w:vAlign w:val="bottom"/>
          </w:tcPr>
          <w:p w14:paraId="71D3FF6F" w14:textId="77777777" w:rsidR="006A3667" w:rsidRDefault="006A3667">
            <w:pPr>
              <w:rPr>
                <w:rFonts w:ascii="宋体"/>
                <w:vanish/>
              </w:rPr>
            </w:pPr>
          </w:p>
        </w:tc>
        <w:tc>
          <w:tcPr>
            <w:tcW w:w="0" w:type="auto"/>
            <w:shd w:val="clear" w:color="auto" w:fill="auto"/>
            <w:vAlign w:val="bottom"/>
          </w:tcPr>
          <w:p w14:paraId="71D3FF70" w14:textId="77777777" w:rsidR="006A3667" w:rsidRDefault="006A3667">
            <w:pPr>
              <w:rPr>
                <w:rFonts w:ascii="宋体"/>
                <w:vanish/>
              </w:rPr>
            </w:pPr>
          </w:p>
        </w:tc>
        <w:tc>
          <w:tcPr>
            <w:tcW w:w="0" w:type="auto"/>
            <w:gridSpan w:val="3"/>
            <w:shd w:val="clear" w:color="auto" w:fill="auto"/>
            <w:vAlign w:val="bottom"/>
          </w:tcPr>
          <w:p w14:paraId="71D3FF71" w14:textId="77777777" w:rsidR="006A3667" w:rsidRDefault="006A3667">
            <w:pPr>
              <w:rPr>
                <w:rFonts w:ascii="宋体"/>
                <w:vanish/>
              </w:rPr>
            </w:pPr>
          </w:p>
        </w:tc>
        <w:tc>
          <w:tcPr>
            <w:tcW w:w="0" w:type="auto"/>
            <w:shd w:val="clear" w:color="auto" w:fill="auto"/>
            <w:vAlign w:val="bottom"/>
          </w:tcPr>
          <w:p w14:paraId="71D3FF72" w14:textId="77777777" w:rsidR="006A3667" w:rsidRDefault="006A3667">
            <w:pPr>
              <w:rPr>
                <w:rFonts w:ascii="宋体"/>
              </w:rPr>
            </w:pPr>
          </w:p>
        </w:tc>
        <w:tc>
          <w:tcPr>
            <w:tcW w:w="0" w:type="auto"/>
            <w:shd w:val="clear" w:color="auto" w:fill="auto"/>
            <w:vAlign w:val="bottom"/>
          </w:tcPr>
          <w:p w14:paraId="71D3FF73" w14:textId="77777777" w:rsidR="006A3667" w:rsidRDefault="006A3667">
            <w:pPr>
              <w:rPr>
                <w:rFonts w:ascii="宋体"/>
              </w:rPr>
            </w:pPr>
          </w:p>
        </w:tc>
        <w:tc>
          <w:tcPr>
            <w:tcW w:w="0" w:type="auto"/>
            <w:shd w:val="clear" w:color="auto" w:fill="auto"/>
            <w:vAlign w:val="bottom"/>
          </w:tcPr>
          <w:p w14:paraId="71D3FF74" w14:textId="77777777" w:rsidR="006A3667" w:rsidRDefault="006A3667">
            <w:pPr>
              <w:rPr>
                <w:rFonts w:ascii="宋体"/>
              </w:rPr>
            </w:pPr>
          </w:p>
        </w:tc>
      </w:tr>
      <w:tr w:rsidR="006A3667" w14:paraId="71D3FF7E" w14:textId="77777777">
        <w:trPr>
          <w:hidden/>
        </w:trPr>
        <w:tc>
          <w:tcPr>
            <w:tcW w:w="0" w:type="auto"/>
            <w:gridSpan w:val="3"/>
            <w:shd w:val="clear" w:color="auto" w:fill="auto"/>
            <w:vAlign w:val="bottom"/>
          </w:tcPr>
          <w:p w14:paraId="71D3FF76" w14:textId="77777777" w:rsidR="006A3667" w:rsidRDefault="006A3667">
            <w:pPr>
              <w:rPr>
                <w:rFonts w:ascii="宋体"/>
                <w:vanish/>
              </w:rPr>
            </w:pPr>
          </w:p>
        </w:tc>
        <w:tc>
          <w:tcPr>
            <w:tcW w:w="0" w:type="auto"/>
            <w:gridSpan w:val="3"/>
            <w:shd w:val="clear" w:color="auto" w:fill="auto"/>
            <w:vAlign w:val="bottom"/>
          </w:tcPr>
          <w:p w14:paraId="71D3FF77" w14:textId="77777777" w:rsidR="006A3667" w:rsidRDefault="006A3667">
            <w:pPr>
              <w:rPr>
                <w:rFonts w:ascii="宋体"/>
                <w:vanish/>
              </w:rPr>
            </w:pPr>
          </w:p>
        </w:tc>
        <w:tc>
          <w:tcPr>
            <w:tcW w:w="0" w:type="auto"/>
            <w:gridSpan w:val="3"/>
            <w:shd w:val="clear" w:color="auto" w:fill="auto"/>
            <w:vAlign w:val="bottom"/>
          </w:tcPr>
          <w:p w14:paraId="71D3FF78" w14:textId="77777777" w:rsidR="006A3667" w:rsidRDefault="006A3667">
            <w:pPr>
              <w:rPr>
                <w:rFonts w:ascii="宋体"/>
                <w:vanish/>
              </w:rPr>
            </w:pPr>
          </w:p>
        </w:tc>
        <w:tc>
          <w:tcPr>
            <w:tcW w:w="0" w:type="auto"/>
            <w:gridSpan w:val="3"/>
            <w:shd w:val="clear" w:color="auto" w:fill="auto"/>
            <w:vAlign w:val="bottom"/>
          </w:tcPr>
          <w:p w14:paraId="71D3FF79" w14:textId="77777777" w:rsidR="006A3667" w:rsidRDefault="006A3667">
            <w:pPr>
              <w:rPr>
                <w:rFonts w:ascii="宋体"/>
                <w:vanish/>
              </w:rPr>
            </w:pPr>
          </w:p>
        </w:tc>
        <w:tc>
          <w:tcPr>
            <w:tcW w:w="0" w:type="auto"/>
            <w:shd w:val="clear" w:color="auto" w:fill="auto"/>
            <w:vAlign w:val="bottom"/>
          </w:tcPr>
          <w:p w14:paraId="71D3FF7A" w14:textId="77777777" w:rsidR="006A3667" w:rsidRDefault="006A3667">
            <w:pPr>
              <w:rPr>
                <w:rFonts w:ascii="宋体"/>
                <w:vanish/>
              </w:rPr>
            </w:pPr>
          </w:p>
        </w:tc>
        <w:tc>
          <w:tcPr>
            <w:tcW w:w="0" w:type="auto"/>
            <w:shd w:val="clear" w:color="auto" w:fill="auto"/>
            <w:vAlign w:val="bottom"/>
          </w:tcPr>
          <w:p w14:paraId="71D3FF7B" w14:textId="77777777" w:rsidR="006A3667" w:rsidRDefault="006A3667">
            <w:pPr>
              <w:rPr>
                <w:rFonts w:ascii="宋体"/>
                <w:vanish/>
              </w:rPr>
            </w:pPr>
          </w:p>
        </w:tc>
        <w:tc>
          <w:tcPr>
            <w:tcW w:w="0" w:type="auto"/>
            <w:gridSpan w:val="3"/>
            <w:shd w:val="clear" w:color="auto" w:fill="auto"/>
            <w:vAlign w:val="bottom"/>
          </w:tcPr>
          <w:p w14:paraId="71D3FF7C" w14:textId="77777777" w:rsidR="006A3667" w:rsidRDefault="006A3667">
            <w:pPr>
              <w:rPr>
                <w:rFonts w:ascii="宋体"/>
                <w:vanish/>
              </w:rPr>
            </w:pPr>
          </w:p>
        </w:tc>
        <w:tc>
          <w:tcPr>
            <w:tcW w:w="0" w:type="auto"/>
            <w:gridSpan w:val="3"/>
            <w:shd w:val="clear" w:color="auto" w:fill="auto"/>
            <w:vAlign w:val="bottom"/>
          </w:tcPr>
          <w:p w14:paraId="71D3FF7D" w14:textId="77777777" w:rsidR="006A3667" w:rsidRDefault="006A3667">
            <w:pPr>
              <w:rPr>
                <w:rFonts w:ascii="宋体"/>
                <w:vanish/>
              </w:rPr>
            </w:pPr>
          </w:p>
        </w:tc>
      </w:tr>
      <w:tr w:rsidR="006A3667" w14:paraId="71D3FF87" w14:textId="77777777">
        <w:trPr>
          <w:hidden/>
        </w:trPr>
        <w:tc>
          <w:tcPr>
            <w:tcW w:w="0" w:type="auto"/>
            <w:gridSpan w:val="3"/>
            <w:shd w:val="clear" w:color="auto" w:fill="auto"/>
            <w:vAlign w:val="bottom"/>
          </w:tcPr>
          <w:p w14:paraId="71D3FF7F" w14:textId="77777777" w:rsidR="006A3667" w:rsidRDefault="006A3667">
            <w:pPr>
              <w:rPr>
                <w:rFonts w:ascii="宋体"/>
                <w:vanish/>
              </w:rPr>
            </w:pPr>
          </w:p>
        </w:tc>
        <w:tc>
          <w:tcPr>
            <w:tcW w:w="0" w:type="auto"/>
            <w:gridSpan w:val="3"/>
            <w:shd w:val="clear" w:color="auto" w:fill="auto"/>
            <w:vAlign w:val="bottom"/>
          </w:tcPr>
          <w:p w14:paraId="71D3FF80" w14:textId="77777777" w:rsidR="006A3667" w:rsidRDefault="006A3667">
            <w:pPr>
              <w:rPr>
                <w:rFonts w:ascii="宋体"/>
                <w:vanish/>
              </w:rPr>
            </w:pPr>
          </w:p>
        </w:tc>
        <w:tc>
          <w:tcPr>
            <w:tcW w:w="0" w:type="auto"/>
            <w:gridSpan w:val="3"/>
            <w:shd w:val="clear" w:color="auto" w:fill="auto"/>
            <w:vAlign w:val="bottom"/>
          </w:tcPr>
          <w:p w14:paraId="71D3FF81" w14:textId="77777777" w:rsidR="006A3667" w:rsidRDefault="006A3667">
            <w:pPr>
              <w:rPr>
                <w:rFonts w:ascii="宋体"/>
                <w:vanish/>
              </w:rPr>
            </w:pPr>
          </w:p>
        </w:tc>
        <w:tc>
          <w:tcPr>
            <w:tcW w:w="0" w:type="auto"/>
            <w:gridSpan w:val="3"/>
            <w:shd w:val="clear" w:color="auto" w:fill="auto"/>
            <w:vAlign w:val="bottom"/>
          </w:tcPr>
          <w:p w14:paraId="71D3FF82" w14:textId="77777777" w:rsidR="006A3667" w:rsidRDefault="006A3667">
            <w:pPr>
              <w:rPr>
                <w:rFonts w:ascii="宋体"/>
                <w:vanish/>
              </w:rPr>
            </w:pPr>
          </w:p>
        </w:tc>
        <w:tc>
          <w:tcPr>
            <w:tcW w:w="0" w:type="auto"/>
            <w:shd w:val="clear" w:color="auto" w:fill="auto"/>
            <w:vAlign w:val="bottom"/>
          </w:tcPr>
          <w:p w14:paraId="71D3FF83" w14:textId="77777777" w:rsidR="006A3667" w:rsidRDefault="006A3667">
            <w:pPr>
              <w:rPr>
                <w:rFonts w:ascii="宋体"/>
                <w:vanish/>
              </w:rPr>
            </w:pPr>
          </w:p>
        </w:tc>
        <w:tc>
          <w:tcPr>
            <w:tcW w:w="0" w:type="auto"/>
            <w:shd w:val="clear" w:color="auto" w:fill="auto"/>
            <w:vAlign w:val="bottom"/>
          </w:tcPr>
          <w:p w14:paraId="71D3FF84" w14:textId="77777777" w:rsidR="006A3667" w:rsidRDefault="006A3667">
            <w:pPr>
              <w:rPr>
                <w:rFonts w:ascii="宋体"/>
                <w:vanish/>
              </w:rPr>
            </w:pPr>
          </w:p>
        </w:tc>
        <w:tc>
          <w:tcPr>
            <w:tcW w:w="0" w:type="auto"/>
            <w:gridSpan w:val="3"/>
            <w:shd w:val="clear" w:color="auto" w:fill="auto"/>
            <w:vAlign w:val="bottom"/>
          </w:tcPr>
          <w:p w14:paraId="71D3FF85" w14:textId="77777777" w:rsidR="006A3667" w:rsidRDefault="006A3667">
            <w:pPr>
              <w:rPr>
                <w:rFonts w:ascii="宋体"/>
                <w:vanish/>
              </w:rPr>
            </w:pPr>
          </w:p>
        </w:tc>
        <w:tc>
          <w:tcPr>
            <w:tcW w:w="0" w:type="auto"/>
            <w:gridSpan w:val="3"/>
            <w:shd w:val="clear" w:color="auto" w:fill="auto"/>
            <w:vAlign w:val="bottom"/>
          </w:tcPr>
          <w:p w14:paraId="71D3FF86" w14:textId="77777777" w:rsidR="006A3667" w:rsidRDefault="006A3667">
            <w:pPr>
              <w:rPr>
                <w:rFonts w:ascii="宋体"/>
                <w:vanish/>
              </w:rPr>
            </w:pPr>
          </w:p>
        </w:tc>
      </w:tr>
      <w:tr w:rsidR="006A3667" w14:paraId="71D3FF90" w14:textId="77777777">
        <w:trPr>
          <w:hidden/>
        </w:trPr>
        <w:tc>
          <w:tcPr>
            <w:tcW w:w="0" w:type="auto"/>
            <w:gridSpan w:val="3"/>
            <w:shd w:val="clear" w:color="auto" w:fill="auto"/>
            <w:vAlign w:val="bottom"/>
          </w:tcPr>
          <w:p w14:paraId="71D3FF88" w14:textId="77777777" w:rsidR="006A3667" w:rsidRDefault="006A3667">
            <w:pPr>
              <w:rPr>
                <w:rFonts w:ascii="宋体"/>
                <w:vanish/>
              </w:rPr>
            </w:pPr>
          </w:p>
        </w:tc>
        <w:tc>
          <w:tcPr>
            <w:tcW w:w="0" w:type="auto"/>
            <w:gridSpan w:val="3"/>
            <w:shd w:val="clear" w:color="auto" w:fill="auto"/>
            <w:vAlign w:val="bottom"/>
          </w:tcPr>
          <w:p w14:paraId="71D3FF89" w14:textId="77777777" w:rsidR="006A3667" w:rsidRDefault="006A3667">
            <w:pPr>
              <w:rPr>
                <w:rFonts w:ascii="宋体"/>
                <w:vanish/>
              </w:rPr>
            </w:pPr>
          </w:p>
        </w:tc>
        <w:tc>
          <w:tcPr>
            <w:tcW w:w="0" w:type="auto"/>
            <w:gridSpan w:val="3"/>
            <w:shd w:val="clear" w:color="auto" w:fill="auto"/>
            <w:vAlign w:val="bottom"/>
          </w:tcPr>
          <w:p w14:paraId="71D3FF8A" w14:textId="77777777" w:rsidR="006A3667" w:rsidRDefault="006A3667">
            <w:pPr>
              <w:rPr>
                <w:rFonts w:ascii="宋体"/>
                <w:vanish/>
              </w:rPr>
            </w:pPr>
          </w:p>
        </w:tc>
        <w:tc>
          <w:tcPr>
            <w:tcW w:w="0" w:type="auto"/>
            <w:gridSpan w:val="3"/>
            <w:shd w:val="clear" w:color="auto" w:fill="auto"/>
            <w:vAlign w:val="bottom"/>
          </w:tcPr>
          <w:p w14:paraId="71D3FF8B" w14:textId="77777777" w:rsidR="006A3667" w:rsidRDefault="006A3667">
            <w:pPr>
              <w:rPr>
                <w:rFonts w:ascii="宋体"/>
                <w:vanish/>
              </w:rPr>
            </w:pPr>
          </w:p>
        </w:tc>
        <w:tc>
          <w:tcPr>
            <w:tcW w:w="0" w:type="auto"/>
            <w:shd w:val="clear" w:color="auto" w:fill="auto"/>
            <w:vAlign w:val="bottom"/>
          </w:tcPr>
          <w:p w14:paraId="71D3FF8C" w14:textId="77777777" w:rsidR="006A3667" w:rsidRDefault="006A3667">
            <w:pPr>
              <w:rPr>
                <w:rFonts w:ascii="宋体"/>
                <w:vanish/>
              </w:rPr>
            </w:pPr>
          </w:p>
        </w:tc>
        <w:tc>
          <w:tcPr>
            <w:tcW w:w="0" w:type="auto"/>
            <w:shd w:val="clear" w:color="auto" w:fill="auto"/>
            <w:vAlign w:val="bottom"/>
          </w:tcPr>
          <w:p w14:paraId="71D3FF8D" w14:textId="77777777" w:rsidR="006A3667" w:rsidRDefault="006A3667">
            <w:pPr>
              <w:rPr>
                <w:rFonts w:ascii="宋体"/>
                <w:vanish/>
              </w:rPr>
            </w:pPr>
          </w:p>
        </w:tc>
        <w:tc>
          <w:tcPr>
            <w:tcW w:w="0" w:type="auto"/>
            <w:gridSpan w:val="3"/>
            <w:shd w:val="clear" w:color="auto" w:fill="auto"/>
            <w:vAlign w:val="bottom"/>
          </w:tcPr>
          <w:p w14:paraId="71D3FF8E" w14:textId="77777777" w:rsidR="006A3667" w:rsidRDefault="006A3667">
            <w:pPr>
              <w:rPr>
                <w:rFonts w:ascii="宋体"/>
                <w:vanish/>
              </w:rPr>
            </w:pPr>
          </w:p>
        </w:tc>
        <w:tc>
          <w:tcPr>
            <w:tcW w:w="0" w:type="auto"/>
            <w:gridSpan w:val="3"/>
            <w:shd w:val="clear" w:color="auto" w:fill="auto"/>
            <w:vAlign w:val="bottom"/>
          </w:tcPr>
          <w:p w14:paraId="71D3FF8F" w14:textId="77777777" w:rsidR="006A3667" w:rsidRDefault="006A3667">
            <w:pPr>
              <w:rPr>
                <w:rFonts w:ascii="宋体"/>
                <w:vanish/>
              </w:rPr>
            </w:pPr>
          </w:p>
        </w:tc>
      </w:tr>
      <w:tr w:rsidR="006A3667" w14:paraId="71D3FF99" w14:textId="77777777">
        <w:trPr>
          <w:hidden/>
        </w:trPr>
        <w:tc>
          <w:tcPr>
            <w:tcW w:w="0" w:type="auto"/>
            <w:gridSpan w:val="3"/>
            <w:shd w:val="clear" w:color="auto" w:fill="auto"/>
            <w:vAlign w:val="bottom"/>
          </w:tcPr>
          <w:p w14:paraId="71D3FF91" w14:textId="77777777" w:rsidR="006A3667" w:rsidRDefault="006A3667">
            <w:pPr>
              <w:rPr>
                <w:rFonts w:ascii="宋体"/>
                <w:vanish/>
              </w:rPr>
            </w:pPr>
          </w:p>
        </w:tc>
        <w:tc>
          <w:tcPr>
            <w:tcW w:w="0" w:type="auto"/>
            <w:gridSpan w:val="3"/>
            <w:shd w:val="clear" w:color="auto" w:fill="auto"/>
            <w:vAlign w:val="bottom"/>
          </w:tcPr>
          <w:p w14:paraId="71D3FF92" w14:textId="77777777" w:rsidR="006A3667" w:rsidRDefault="006A3667">
            <w:pPr>
              <w:rPr>
                <w:rFonts w:ascii="宋体"/>
                <w:vanish/>
              </w:rPr>
            </w:pPr>
          </w:p>
        </w:tc>
        <w:tc>
          <w:tcPr>
            <w:tcW w:w="0" w:type="auto"/>
            <w:gridSpan w:val="3"/>
            <w:shd w:val="clear" w:color="auto" w:fill="auto"/>
            <w:vAlign w:val="bottom"/>
          </w:tcPr>
          <w:p w14:paraId="71D3FF93" w14:textId="77777777" w:rsidR="006A3667" w:rsidRDefault="006A3667">
            <w:pPr>
              <w:rPr>
                <w:rFonts w:ascii="宋体"/>
                <w:vanish/>
              </w:rPr>
            </w:pPr>
          </w:p>
        </w:tc>
        <w:tc>
          <w:tcPr>
            <w:tcW w:w="0" w:type="auto"/>
            <w:gridSpan w:val="3"/>
            <w:shd w:val="clear" w:color="auto" w:fill="auto"/>
            <w:vAlign w:val="bottom"/>
          </w:tcPr>
          <w:p w14:paraId="71D3FF94" w14:textId="77777777" w:rsidR="006A3667" w:rsidRDefault="006A3667">
            <w:pPr>
              <w:rPr>
                <w:rFonts w:ascii="宋体"/>
                <w:vanish/>
              </w:rPr>
            </w:pPr>
          </w:p>
        </w:tc>
        <w:tc>
          <w:tcPr>
            <w:tcW w:w="0" w:type="auto"/>
            <w:shd w:val="clear" w:color="auto" w:fill="auto"/>
            <w:vAlign w:val="bottom"/>
          </w:tcPr>
          <w:p w14:paraId="71D3FF95" w14:textId="77777777" w:rsidR="006A3667" w:rsidRDefault="006A3667">
            <w:pPr>
              <w:rPr>
                <w:rFonts w:ascii="宋体"/>
                <w:vanish/>
              </w:rPr>
            </w:pPr>
          </w:p>
        </w:tc>
        <w:tc>
          <w:tcPr>
            <w:tcW w:w="0" w:type="auto"/>
            <w:shd w:val="clear" w:color="auto" w:fill="auto"/>
            <w:vAlign w:val="bottom"/>
          </w:tcPr>
          <w:p w14:paraId="71D3FF96" w14:textId="77777777" w:rsidR="006A3667" w:rsidRDefault="006A3667">
            <w:pPr>
              <w:rPr>
                <w:rFonts w:ascii="宋体"/>
                <w:vanish/>
              </w:rPr>
            </w:pPr>
          </w:p>
        </w:tc>
        <w:tc>
          <w:tcPr>
            <w:tcW w:w="0" w:type="auto"/>
            <w:gridSpan w:val="3"/>
            <w:shd w:val="clear" w:color="auto" w:fill="auto"/>
            <w:vAlign w:val="bottom"/>
          </w:tcPr>
          <w:p w14:paraId="71D3FF97" w14:textId="77777777" w:rsidR="006A3667" w:rsidRDefault="006A3667">
            <w:pPr>
              <w:rPr>
                <w:rFonts w:ascii="宋体"/>
                <w:vanish/>
              </w:rPr>
            </w:pPr>
          </w:p>
        </w:tc>
        <w:tc>
          <w:tcPr>
            <w:tcW w:w="0" w:type="auto"/>
            <w:gridSpan w:val="3"/>
            <w:shd w:val="clear" w:color="auto" w:fill="auto"/>
            <w:vAlign w:val="bottom"/>
          </w:tcPr>
          <w:p w14:paraId="71D3FF98" w14:textId="77777777" w:rsidR="006A3667" w:rsidRDefault="006A3667">
            <w:pPr>
              <w:rPr>
                <w:rFonts w:ascii="宋体"/>
                <w:vanish/>
              </w:rPr>
            </w:pPr>
          </w:p>
        </w:tc>
      </w:tr>
      <w:tr w:rsidR="006A3667" w14:paraId="71D3FFA2" w14:textId="77777777">
        <w:trPr>
          <w:hidden/>
        </w:trPr>
        <w:tc>
          <w:tcPr>
            <w:tcW w:w="0" w:type="auto"/>
            <w:gridSpan w:val="3"/>
            <w:shd w:val="clear" w:color="auto" w:fill="auto"/>
            <w:vAlign w:val="bottom"/>
          </w:tcPr>
          <w:p w14:paraId="71D3FF9A" w14:textId="77777777" w:rsidR="006A3667" w:rsidRDefault="006A3667">
            <w:pPr>
              <w:rPr>
                <w:rFonts w:ascii="宋体"/>
                <w:vanish/>
              </w:rPr>
            </w:pPr>
          </w:p>
        </w:tc>
        <w:tc>
          <w:tcPr>
            <w:tcW w:w="0" w:type="auto"/>
            <w:gridSpan w:val="3"/>
            <w:shd w:val="clear" w:color="auto" w:fill="auto"/>
            <w:vAlign w:val="bottom"/>
          </w:tcPr>
          <w:p w14:paraId="71D3FF9B" w14:textId="77777777" w:rsidR="006A3667" w:rsidRDefault="006A3667">
            <w:pPr>
              <w:rPr>
                <w:rFonts w:ascii="宋体"/>
                <w:vanish/>
              </w:rPr>
            </w:pPr>
          </w:p>
        </w:tc>
        <w:tc>
          <w:tcPr>
            <w:tcW w:w="0" w:type="auto"/>
            <w:gridSpan w:val="3"/>
            <w:shd w:val="clear" w:color="auto" w:fill="auto"/>
            <w:vAlign w:val="bottom"/>
          </w:tcPr>
          <w:p w14:paraId="71D3FF9C" w14:textId="77777777" w:rsidR="006A3667" w:rsidRDefault="006A3667">
            <w:pPr>
              <w:rPr>
                <w:rFonts w:ascii="宋体"/>
                <w:vanish/>
              </w:rPr>
            </w:pPr>
          </w:p>
        </w:tc>
        <w:tc>
          <w:tcPr>
            <w:tcW w:w="0" w:type="auto"/>
            <w:gridSpan w:val="3"/>
            <w:shd w:val="clear" w:color="auto" w:fill="auto"/>
            <w:vAlign w:val="bottom"/>
          </w:tcPr>
          <w:p w14:paraId="71D3FF9D" w14:textId="77777777" w:rsidR="006A3667" w:rsidRDefault="006A3667">
            <w:pPr>
              <w:rPr>
                <w:rFonts w:ascii="宋体"/>
                <w:vanish/>
              </w:rPr>
            </w:pPr>
          </w:p>
        </w:tc>
        <w:tc>
          <w:tcPr>
            <w:tcW w:w="0" w:type="auto"/>
            <w:shd w:val="clear" w:color="auto" w:fill="auto"/>
            <w:vAlign w:val="bottom"/>
          </w:tcPr>
          <w:p w14:paraId="71D3FF9E" w14:textId="77777777" w:rsidR="006A3667" w:rsidRDefault="006A3667">
            <w:pPr>
              <w:rPr>
                <w:rFonts w:ascii="宋体"/>
                <w:vanish/>
              </w:rPr>
            </w:pPr>
          </w:p>
        </w:tc>
        <w:tc>
          <w:tcPr>
            <w:tcW w:w="0" w:type="auto"/>
            <w:shd w:val="clear" w:color="auto" w:fill="auto"/>
            <w:vAlign w:val="bottom"/>
          </w:tcPr>
          <w:p w14:paraId="71D3FF9F" w14:textId="77777777" w:rsidR="006A3667" w:rsidRDefault="006A3667">
            <w:pPr>
              <w:rPr>
                <w:rFonts w:ascii="宋体"/>
                <w:vanish/>
              </w:rPr>
            </w:pPr>
          </w:p>
        </w:tc>
        <w:tc>
          <w:tcPr>
            <w:tcW w:w="0" w:type="auto"/>
            <w:gridSpan w:val="3"/>
            <w:shd w:val="clear" w:color="auto" w:fill="auto"/>
            <w:vAlign w:val="bottom"/>
          </w:tcPr>
          <w:p w14:paraId="71D3FFA0" w14:textId="77777777" w:rsidR="006A3667" w:rsidRDefault="006A3667">
            <w:pPr>
              <w:rPr>
                <w:rFonts w:ascii="宋体"/>
                <w:vanish/>
              </w:rPr>
            </w:pPr>
          </w:p>
        </w:tc>
        <w:tc>
          <w:tcPr>
            <w:tcW w:w="0" w:type="auto"/>
            <w:gridSpan w:val="3"/>
            <w:shd w:val="clear" w:color="auto" w:fill="auto"/>
            <w:vAlign w:val="bottom"/>
          </w:tcPr>
          <w:p w14:paraId="71D3FFA1" w14:textId="77777777" w:rsidR="006A3667" w:rsidRDefault="006A3667">
            <w:pPr>
              <w:rPr>
                <w:rFonts w:ascii="宋体"/>
                <w:vanish/>
              </w:rPr>
            </w:pPr>
          </w:p>
        </w:tc>
      </w:tr>
      <w:tr w:rsidR="006A3667" w14:paraId="71D3FFAB" w14:textId="77777777">
        <w:trPr>
          <w:hidden/>
        </w:trPr>
        <w:tc>
          <w:tcPr>
            <w:tcW w:w="0" w:type="auto"/>
            <w:gridSpan w:val="3"/>
            <w:shd w:val="clear" w:color="auto" w:fill="auto"/>
            <w:vAlign w:val="bottom"/>
          </w:tcPr>
          <w:p w14:paraId="71D3FFA3" w14:textId="77777777" w:rsidR="006A3667" w:rsidRDefault="006A3667">
            <w:pPr>
              <w:rPr>
                <w:rFonts w:ascii="宋体"/>
                <w:vanish/>
              </w:rPr>
            </w:pPr>
          </w:p>
        </w:tc>
        <w:tc>
          <w:tcPr>
            <w:tcW w:w="0" w:type="auto"/>
            <w:gridSpan w:val="3"/>
            <w:shd w:val="clear" w:color="auto" w:fill="auto"/>
            <w:vAlign w:val="bottom"/>
          </w:tcPr>
          <w:p w14:paraId="71D3FFA4" w14:textId="77777777" w:rsidR="006A3667" w:rsidRDefault="006A3667">
            <w:pPr>
              <w:rPr>
                <w:rFonts w:ascii="宋体"/>
                <w:vanish/>
              </w:rPr>
            </w:pPr>
          </w:p>
        </w:tc>
        <w:tc>
          <w:tcPr>
            <w:tcW w:w="0" w:type="auto"/>
            <w:gridSpan w:val="3"/>
            <w:shd w:val="clear" w:color="auto" w:fill="auto"/>
            <w:vAlign w:val="bottom"/>
          </w:tcPr>
          <w:p w14:paraId="71D3FFA5" w14:textId="77777777" w:rsidR="006A3667" w:rsidRDefault="006A3667">
            <w:pPr>
              <w:rPr>
                <w:rFonts w:ascii="宋体"/>
                <w:vanish/>
              </w:rPr>
            </w:pPr>
          </w:p>
        </w:tc>
        <w:tc>
          <w:tcPr>
            <w:tcW w:w="0" w:type="auto"/>
            <w:gridSpan w:val="3"/>
            <w:shd w:val="clear" w:color="auto" w:fill="auto"/>
            <w:vAlign w:val="bottom"/>
          </w:tcPr>
          <w:p w14:paraId="71D3FFA6" w14:textId="77777777" w:rsidR="006A3667" w:rsidRDefault="006A3667">
            <w:pPr>
              <w:rPr>
                <w:rFonts w:ascii="宋体"/>
                <w:vanish/>
              </w:rPr>
            </w:pPr>
          </w:p>
        </w:tc>
        <w:tc>
          <w:tcPr>
            <w:tcW w:w="0" w:type="auto"/>
            <w:shd w:val="clear" w:color="auto" w:fill="auto"/>
            <w:vAlign w:val="bottom"/>
          </w:tcPr>
          <w:p w14:paraId="71D3FFA7" w14:textId="77777777" w:rsidR="006A3667" w:rsidRDefault="006A3667">
            <w:pPr>
              <w:rPr>
                <w:rFonts w:ascii="宋体"/>
                <w:vanish/>
              </w:rPr>
            </w:pPr>
          </w:p>
        </w:tc>
        <w:tc>
          <w:tcPr>
            <w:tcW w:w="0" w:type="auto"/>
            <w:shd w:val="clear" w:color="auto" w:fill="auto"/>
            <w:vAlign w:val="bottom"/>
          </w:tcPr>
          <w:p w14:paraId="71D3FFA8" w14:textId="77777777" w:rsidR="006A3667" w:rsidRDefault="006A3667">
            <w:pPr>
              <w:rPr>
                <w:rFonts w:ascii="宋体"/>
                <w:vanish/>
              </w:rPr>
            </w:pPr>
          </w:p>
        </w:tc>
        <w:tc>
          <w:tcPr>
            <w:tcW w:w="0" w:type="auto"/>
            <w:gridSpan w:val="3"/>
            <w:shd w:val="clear" w:color="auto" w:fill="auto"/>
            <w:vAlign w:val="bottom"/>
          </w:tcPr>
          <w:p w14:paraId="71D3FFA9" w14:textId="77777777" w:rsidR="006A3667" w:rsidRDefault="006A3667">
            <w:pPr>
              <w:rPr>
                <w:rFonts w:ascii="宋体"/>
                <w:vanish/>
              </w:rPr>
            </w:pPr>
          </w:p>
        </w:tc>
        <w:tc>
          <w:tcPr>
            <w:tcW w:w="0" w:type="auto"/>
            <w:gridSpan w:val="3"/>
            <w:shd w:val="clear" w:color="auto" w:fill="auto"/>
            <w:vAlign w:val="bottom"/>
          </w:tcPr>
          <w:p w14:paraId="71D3FFAA" w14:textId="77777777" w:rsidR="006A3667" w:rsidRDefault="006A3667">
            <w:pPr>
              <w:rPr>
                <w:rFonts w:ascii="宋体"/>
                <w:vanish/>
              </w:rPr>
            </w:pPr>
          </w:p>
        </w:tc>
      </w:tr>
      <w:tr w:rsidR="006A3667" w14:paraId="71D3FFB4" w14:textId="77777777">
        <w:trPr>
          <w:hidden/>
        </w:trPr>
        <w:tc>
          <w:tcPr>
            <w:tcW w:w="0" w:type="auto"/>
            <w:gridSpan w:val="3"/>
            <w:shd w:val="clear" w:color="auto" w:fill="auto"/>
            <w:vAlign w:val="bottom"/>
          </w:tcPr>
          <w:p w14:paraId="71D3FFAC" w14:textId="77777777" w:rsidR="006A3667" w:rsidRDefault="006A3667">
            <w:pPr>
              <w:rPr>
                <w:rFonts w:ascii="宋体"/>
                <w:vanish/>
              </w:rPr>
            </w:pPr>
          </w:p>
        </w:tc>
        <w:tc>
          <w:tcPr>
            <w:tcW w:w="0" w:type="auto"/>
            <w:gridSpan w:val="3"/>
            <w:shd w:val="clear" w:color="auto" w:fill="auto"/>
            <w:vAlign w:val="bottom"/>
          </w:tcPr>
          <w:p w14:paraId="71D3FFAD" w14:textId="77777777" w:rsidR="006A3667" w:rsidRDefault="006A3667">
            <w:pPr>
              <w:rPr>
                <w:rFonts w:ascii="宋体"/>
                <w:vanish/>
              </w:rPr>
            </w:pPr>
          </w:p>
        </w:tc>
        <w:tc>
          <w:tcPr>
            <w:tcW w:w="0" w:type="auto"/>
            <w:gridSpan w:val="3"/>
            <w:shd w:val="clear" w:color="auto" w:fill="auto"/>
            <w:vAlign w:val="bottom"/>
          </w:tcPr>
          <w:p w14:paraId="71D3FFAE" w14:textId="77777777" w:rsidR="006A3667" w:rsidRDefault="006A3667">
            <w:pPr>
              <w:rPr>
                <w:rFonts w:ascii="宋体"/>
                <w:vanish/>
              </w:rPr>
            </w:pPr>
          </w:p>
        </w:tc>
        <w:tc>
          <w:tcPr>
            <w:tcW w:w="0" w:type="auto"/>
            <w:gridSpan w:val="3"/>
            <w:shd w:val="clear" w:color="auto" w:fill="auto"/>
            <w:vAlign w:val="bottom"/>
          </w:tcPr>
          <w:p w14:paraId="71D3FFAF" w14:textId="77777777" w:rsidR="006A3667" w:rsidRDefault="006A3667">
            <w:pPr>
              <w:rPr>
                <w:rFonts w:ascii="宋体"/>
                <w:vanish/>
              </w:rPr>
            </w:pPr>
          </w:p>
        </w:tc>
        <w:tc>
          <w:tcPr>
            <w:tcW w:w="0" w:type="auto"/>
            <w:shd w:val="clear" w:color="auto" w:fill="auto"/>
            <w:vAlign w:val="bottom"/>
          </w:tcPr>
          <w:p w14:paraId="71D3FFB0" w14:textId="77777777" w:rsidR="006A3667" w:rsidRDefault="006A3667">
            <w:pPr>
              <w:rPr>
                <w:rFonts w:ascii="宋体"/>
                <w:vanish/>
              </w:rPr>
            </w:pPr>
          </w:p>
        </w:tc>
        <w:tc>
          <w:tcPr>
            <w:tcW w:w="0" w:type="auto"/>
            <w:shd w:val="clear" w:color="auto" w:fill="auto"/>
            <w:vAlign w:val="bottom"/>
          </w:tcPr>
          <w:p w14:paraId="71D3FFB1" w14:textId="77777777" w:rsidR="006A3667" w:rsidRDefault="006A3667">
            <w:pPr>
              <w:rPr>
                <w:rFonts w:ascii="宋体"/>
                <w:vanish/>
              </w:rPr>
            </w:pPr>
          </w:p>
        </w:tc>
        <w:tc>
          <w:tcPr>
            <w:tcW w:w="0" w:type="auto"/>
            <w:gridSpan w:val="3"/>
            <w:shd w:val="clear" w:color="auto" w:fill="auto"/>
            <w:vAlign w:val="bottom"/>
          </w:tcPr>
          <w:p w14:paraId="71D3FFB2" w14:textId="77777777" w:rsidR="006A3667" w:rsidRDefault="006A3667">
            <w:pPr>
              <w:rPr>
                <w:rFonts w:ascii="宋体"/>
                <w:vanish/>
              </w:rPr>
            </w:pPr>
          </w:p>
        </w:tc>
        <w:tc>
          <w:tcPr>
            <w:tcW w:w="0" w:type="auto"/>
            <w:gridSpan w:val="3"/>
            <w:shd w:val="clear" w:color="auto" w:fill="auto"/>
            <w:vAlign w:val="bottom"/>
          </w:tcPr>
          <w:p w14:paraId="71D3FFB3" w14:textId="77777777" w:rsidR="006A3667" w:rsidRDefault="006A3667">
            <w:pPr>
              <w:rPr>
                <w:rFonts w:ascii="宋体"/>
                <w:vanish/>
              </w:rPr>
            </w:pPr>
          </w:p>
        </w:tc>
      </w:tr>
      <w:tr w:rsidR="006A3667" w14:paraId="71D3FFBD" w14:textId="77777777">
        <w:trPr>
          <w:hidden/>
        </w:trPr>
        <w:tc>
          <w:tcPr>
            <w:tcW w:w="0" w:type="auto"/>
            <w:gridSpan w:val="3"/>
            <w:shd w:val="clear" w:color="auto" w:fill="auto"/>
            <w:vAlign w:val="bottom"/>
          </w:tcPr>
          <w:p w14:paraId="71D3FFB5" w14:textId="77777777" w:rsidR="006A3667" w:rsidRDefault="006A3667">
            <w:pPr>
              <w:rPr>
                <w:rFonts w:ascii="宋体"/>
                <w:vanish/>
              </w:rPr>
            </w:pPr>
          </w:p>
        </w:tc>
        <w:tc>
          <w:tcPr>
            <w:tcW w:w="0" w:type="auto"/>
            <w:gridSpan w:val="3"/>
            <w:shd w:val="clear" w:color="auto" w:fill="auto"/>
            <w:vAlign w:val="bottom"/>
          </w:tcPr>
          <w:p w14:paraId="71D3FFB6" w14:textId="77777777" w:rsidR="006A3667" w:rsidRDefault="006A3667">
            <w:pPr>
              <w:rPr>
                <w:rFonts w:ascii="宋体"/>
                <w:vanish/>
              </w:rPr>
            </w:pPr>
          </w:p>
        </w:tc>
        <w:tc>
          <w:tcPr>
            <w:tcW w:w="0" w:type="auto"/>
            <w:gridSpan w:val="3"/>
            <w:shd w:val="clear" w:color="auto" w:fill="auto"/>
            <w:vAlign w:val="bottom"/>
          </w:tcPr>
          <w:p w14:paraId="71D3FFB7" w14:textId="77777777" w:rsidR="006A3667" w:rsidRDefault="006A3667">
            <w:pPr>
              <w:rPr>
                <w:rFonts w:ascii="宋体"/>
                <w:vanish/>
              </w:rPr>
            </w:pPr>
          </w:p>
        </w:tc>
        <w:tc>
          <w:tcPr>
            <w:tcW w:w="0" w:type="auto"/>
            <w:gridSpan w:val="3"/>
            <w:shd w:val="clear" w:color="auto" w:fill="auto"/>
            <w:vAlign w:val="bottom"/>
          </w:tcPr>
          <w:p w14:paraId="71D3FFB8" w14:textId="77777777" w:rsidR="006A3667" w:rsidRDefault="006A3667">
            <w:pPr>
              <w:rPr>
                <w:rFonts w:ascii="宋体"/>
                <w:vanish/>
              </w:rPr>
            </w:pPr>
          </w:p>
        </w:tc>
        <w:tc>
          <w:tcPr>
            <w:tcW w:w="0" w:type="auto"/>
            <w:shd w:val="clear" w:color="auto" w:fill="auto"/>
            <w:vAlign w:val="bottom"/>
          </w:tcPr>
          <w:p w14:paraId="71D3FFB9" w14:textId="77777777" w:rsidR="006A3667" w:rsidRDefault="006A3667">
            <w:pPr>
              <w:rPr>
                <w:rFonts w:ascii="宋体"/>
                <w:vanish/>
              </w:rPr>
            </w:pPr>
          </w:p>
        </w:tc>
        <w:tc>
          <w:tcPr>
            <w:tcW w:w="0" w:type="auto"/>
            <w:shd w:val="clear" w:color="auto" w:fill="auto"/>
            <w:vAlign w:val="bottom"/>
          </w:tcPr>
          <w:p w14:paraId="71D3FFBA" w14:textId="77777777" w:rsidR="006A3667" w:rsidRDefault="006A3667">
            <w:pPr>
              <w:rPr>
                <w:rFonts w:ascii="宋体"/>
                <w:vanish/>
              </w:rPr>
            </w:pPr>
          </w:p>
        </w:tc>
        <w:tc>
          <w:tcPr>
            <w:tcW w:w="0" w:type="auto"/>
            <w:gridSpan w:val="3"/>
            <w:shd w:val="clear" w:color="auto" w:fill="auto"/>
            <w:vAlign w:val="bottom"/>
          </w:tcPr>
          <w:p w14:paraId="71D3FFBB" w14:textId="77777777" w:rsidR="006A3667" w:rsidRDefault="006A3667">
            <w:pPr>
              <w:rPr>
                <w:rFonts w:ascii="宋体"/>
                <w:vanish/>
              </w:rPr>
            </w:pPr>
          </w:p>
        </w:tc>
        <w:tc>
          <w:tcPr>
            <w:tcW w:w="0" w:type="auto"/>
            <w:gridSpan w:val="3"/>
            <w:shd w:val="clear" w:color="auto" w:fill="auto"/>
            <w:vAlign w:val="bottom"/>
          </w:tcPr>
          <w:p w14:paraId="71D3FFBC" w14:textId="77777777" w:rsidR="006A3667" w:rsidRDefault="006A3667">
            <w:pPr>
              <w:rPr>
                <w:rFonts w:ascii="宋体"/>
                <w:vanish/>
              </w:rPr>
            </w:pPr>
          </w:p>
        </w:tc>
      </w:tr>
      <w:tr w:rsidR="006A3667" w14:paraId="71D3FFC6" w14:textId="77777777">
        <w:trPr>
          <w:hidden/>
        </w:trPr>
        <w:tc>
          <w:tcPr>
            <w:tcW w:w="0" w:type="auto"/>
            <w:gridSpan w:val="3"/>
            <w:shd w:val="clear" w:color="auto" w:fill="auto"/>
            <w:vAlign w:val="bottom"/>
          </w:tcPr>
          <w:p w14:paraId="71D3FFBE" w14:textId="77777777" w:rsidR="006A3667" w:rsidRDefault="006A3667">
            <w:pPr>
              <w:rPr>
                <w:rFonts w:ascii="宋体"/>
                <w:vanish/>
              </w:rPr>
            </w:pPr>
          </w:p>
        </w:tc>
        <w:tc>
          <w:tcPr>
            <w:tcW w:w="0" w:type="auto"/>
            <w:gridSpan w:val="3"/>
            <w:shd w:val="clear" w:color="auto" w:fill="auto"/>
            <w:vAlign w:val="bottom"/>
          </w:tcPr>
          <w:p w14:paraId="71D3FFBF" w14:textId="77777777" w:rsidR="006A3667" w:rsidRDefault="006A3667">
            <w:pPr>
              <w:rPr>
                <w:rFonts w:ascii="宋体"/>
                <w:vanish/>
              </w:rPr>
            </w:pPr>
          </w:p>
        </w:tc>
        <w:tc>
          <w:tcPr>
            <w:tcW w:w="0" w:type="auto"/>
            <w:gridSpan w:val="3"/>
            <w:shd w:val="clear" w:color="auto" w:fill="auto"/>
            <w:vAlign w:val="bottom"/>
          </w:tcPr>
          <w:p w14:paraId="71D3FFC0" w14:textId="77777777" w:rsidR="006A3667" w:rsidRDefault="006A3667">
            <w:pPr>
              <w:rPr>
                <w:rFonts w:ascii="宋体"/>
                <w:vanish/>
              </w:rPr>
            </w:pPr>
          </w:p>
        </w:tc>
        <w:tc>
          <w:tcPr>
            <w:tcW w:w="0" w:type="auto"/>
            <w:gridSpan w:val="3"/>
            <w:shd w:val="clear" w:color="auto" w:fill="auto"/>
            <w:vAlign w:val="bottom"/>
          </w:tcPr>
          <w:p w14:paraId="71D3FFC1" w14:textId="77777777" w:rsidR="006A3667" w:rsidRDefault="006A3667">
            <w:pPr>
              <w:rPr>
                <w:rFonts w:ascii="宋体"/>
                <w:vanish/>
              </w:rPr>
            </w:pPr>
          </w:p>
        </w:tc>
        <w:tc>
          <w:tcPr>
            <w:tcW w:w="0" w:type="auto"/>
            <w:shd w:val="clear" w:color="auto" w:fill="auto"/>
            <w:vAlign w:val="bottom"/>
          </w:tcPr>
          <w:p w14:paraId="71D3FFC2" w14:textId="77777777" w:rsidR="006A3667" w:rsidRDefault="006A3667">
            <w:pPr>
              <w:rPr>
                <w:rFonts w:ascii="宋体"/>
                <w:vanish/>
              </w:rPr>
            </w:pPr>
          </w:p>
        </w:tc>
        <w:tc>
          <w:tcPr>
            <w:tcW w:w="0" w:type="auto"/>
            <w:shd w:val="clear" w:color="auto" w:fill="auto"/>
            <w:vAlign w:val="bottom"/>
          </w:tcPr>
          <w:p w14:paraId="71D3FFC3" w14:textId="77777777" w:rsidR="006A3667" w:rsidRDefault="006A3667">
            <w:pPr>
              <w:rPr>
                <w:rFonts w:ascii="宋体"/>
                <w:vanish/>
              </w:rPr>
            </w:pPr>
          </w:p>
        </w:tc>
        <w:tc>
          <w:tcPr>
            <w:tcW w:w="0" w:type="auto"/>
            <w:gridSpan w:val="3"/>
            <w:shd w:val="clear" w:color="auto" w:fill="auto"/>
            <w:vAlign w:val="bottom"/>
          </w:tcPr>
          <w:p w14:paraId="71D3FFC4" w14:textId="77777777" w:rsidR="006A3667" w:rsidRDefault="006A3667">
            <w:pPr>
              <w:rPr>
                <w:rFonts w:ascii="宋体"/>
                <w:vanish/>
              </w:rPr>
            </w:pPr>
          </w:p>
        </w:tc>
        <w:tc>
          <w:tcPr>
            <w:tcW w:w="0" w:type="auto"/>
            <w:gridSpan w:val="3"/>
            <w:shd w:val="clear" w:color="auto" w:fill="auto"/>
            <w:vAlign w:val="bottom"/>
          </w:tcPr>
          <w:p w14:paraId="71D3FFC5" w14:textId="77777777" w:rsidR="006A3667" w:rsidRDefault="006A3667">
            <w:pPr>
              <w:rPr>
                <w:rFonts w:ascii="宋体"/>
                <w:vanish/>
              </w:rPr>
            </w:pPr>
          </w:p>
        </w:tc>
      </w:tr>
      <w:tr w:rsidR="006A3667" w14:paraId="71D3FFCF" w14:textId="77777777">
        <w:trPr>
          <w:hidden/>
        </w:trPr>
        <w:tc>
          <w:tcPr>
            <w:tcW w:w="0" w:type="auto"/>
            <w:gridSpan w:val="3"/>
            <w:shd w:val="clear" w:color="auto" w:fill="auto"/>
            <w:vAlign w:val="bottom"/>
          </w:tcPr>
          <w:p w14:paraId="71D3FFC7" w14:textId="77777777" w:rsidR="006A3667" w:rsidRDefault="006A3667">
            <w:pPr>
              <w:rPr>
                <w:rFonts w:ascii="宋体"/>
                <w:vanish/>
              </w:rPr>
            </w:pPr>
          </w:p>
        </w:tc>
        <w:tc>
          <w:tcPr>
            <w:tcW w:w="0" w:type="auto"/>
            <w:gridSpan w:val="3"/>
            <w:shd w:val="clear" w:color="auto" w:fill="auto"/>
            <w:vAlign w:val="bottom"/>
          </w:tcPr>
          <w:p w14:paraId="71D3FFC8" w14:textId="77777777" w:rsidR="006A3667" w:rsidRDefault="006A3667">
            <w:pPr>
              <w:rPr>
                <w:rFonts w:ascii="宋体"/>
                <w:vanish/>
              </w:rPr>
            </w:pPr>
          </w:p>
        </w:tc>
        <w:tc>
          <w:tcPr>
            <w:tcW w:w="0" w:type="auto"/>
            <w:gridSpan w:val="3"/>
            <w:shd w:val="clear" w:color="auto" w:fill="auto"/>
            <w:vAlign w:val="bottom"/>
          </w:tcPr>
          <w:p w14:paraId="71D3FFC9" w14:textId="77777777" w:rsidR="006A3667" w:rsidRDefault="006A3667">
            <w:pPr>
              <w:rPr>
                <w:rFonts w:ascii="宋体"/>
                <w:vanish/>
              </w:rPr>
            </w:pPr>
          </w:p>
        </w:tc>
        <w:tc>
          <w:tcPr>
            <w:tcW w:w="0" w:type="auto"/>
            <w:gridSpan w:val="3"/>
            <w:shd w:val="clear" w:color="auto" w:fill="auto"/>
            <w:vAlign w:val="bottom"/>
          </w:tcPr>
          <w:p w14:paraId="71D3FFCA" w14:textId="77777777" w:rsidR="006A3667" w:rsidRDefault="006A3667">
            <w:pPr>
              <w:rPr>
                <w:rFonts w:ascii="宋体"/>
                <w:vanish/>
              </w:rPr>
            </w:pPr>
          </w:p>
        </w:tc>
        <w:tc>
          <w:tcPr>
            <w:tcW w:w="0" w:type="auto"/>
            <w:shd w:val="clear" w:color="auto" w:fill="auto"/>
            <w:vAlign w:val="bottom"/>
          </w:tcPr>
          <w:p w14:paraId="71D3FFCB" w14:textId="77777777" w:rsidR="006A3667" w:rsidRDefault="006A3667">
            <w:pPr>
              <w:rPr>
                <w:rFonts w:ascii="宋体"/>
                <w:vanish/>
              </w:rPr>
            </w:pPr>
          </w:p>
        </w:tc>
        <w:tc>
          <w:tcPr>
            <w:tcW w:w="0" w:type="auto"/>
            <w:shd w:val="clear" w:color="auto" w:fill="auto"/>
            <w:vAlign w:val="bottom"/>
          </w:tcPr>
          <w:p w14:paraId="71D3FFCC" w14:textId="77777777" w:rsidR="006A3667" w:rsidRDefault="006A3667">
            <w:pPr>
              <w:rPr>
                <w:rFonts w:ascii="宋体"/>
                <w:vanish/>
              </w:rPr>
            </w:pPr>
          </w:p>
        </w:tc>
        <w:tc>
          <w:tcPr>
            <w:tcW w:w="0" w:type="auto"/>
            <w:gridSpan w:val="3"/>
            <w:shd w:val="clear" w:color="auto" w:fill="auto"/>
            <w:vAlign w:val="bottom"/>
          </w:tcPr>
          <w:p w14:paraId="71D3FFCD" w14:textId="77777777" w:rsidR="006A3667" w:rsidRDefault="006A3667">
            <w:pPr>
              <w:rPr>
                <w:rFonts w:ascii="宋体"/>
                <w:vanish/>
              </w:rPr>
            </w:pPr>
          </w:p>
        </w:tc>
        <w:tc>
          <w:tcPr>
            <w:tcW w:w="0" w:type="auto"/>
            <w:gridSpan w:val="3"/>
            <w:shd w:val="clear" w:color="auto" w:fill="auto"/>
            <w:vAlign w:val="bottom"/>
          </w:tcPr>
          <w:p w14:paraId="71D3FFCE" w14:textId="77777777" w:rsidR="006A3667" w:rsidRDefault="006A3667">
            <w:pPr>
              <w:rPr>
                <w:rFonts w:ascii="宋体"/>
                <w:vanish/>
              </w:rPr>
            </w:pPr>
          </w:p>
        </w:tc>
      </w:tr>
      <w:tr w:rsidR="006A3667" w14:paraId="71D3FFD8" w14:textId="77777777">
        <w:trPr>
          <w:hidden/>
        </w:trPr>
        <w:tc>
          <w:tcPr>
            <w:tcW w:w="0" w:type="auto"/>
            <w:gridSpan w:val="3"/>
            <w:shd w:val="clear" w:color="auto" w:fill="auto"/>
            <w:vAlign w:val="bottom"/>
          </w:tcPr>
          <w:p w14:paraId="71D3FFD0" w14:textId="77777777" w:rsidR="006A3667" w:rsidRDefault="006A3667">
            <w:pPr>
              <w:rPr>
                <w:rFonts w:ascii="宋体"/>
                <w:vanish/>
              </w:rPr>
            </w:pPr>
          </w:p>
        </w:tc>
        <w:tc>
          <w:tcPr>
            <w:tcW w:w="0" w:type="auto"/>
            <w:gridSpan w:val="3"/>
            <w:shd w:val="clear" w:color="auto" w:fill="auto"/>
            <w:vAlign w:val="bottom"/>
          </w:tcPr>
          <w:p w14:paraId="71D3FFD1" w14:textId="77777777" w:rsidR="006A3667" w:rsidRDefault="006A3667">
            <w:pPr>
              <w:rPr>
                <w:rFonts w:ascii="宋体"/>
                <w:vanish/>
              </w:rPr>
            </w:pPr>
          </w:p>
        </w:tc>
        <w:tc>
          <w:tcPr>
            <w:tcW w:w="0" w:type="auto"/>
            <w:gridSpan w:val="3"/>
            <w:shd w:val="clear" w:color="auto" w:fill="auto"/>
            <w:vAlign w:val="bottom"/>
          </w:tcPr>
          <w:p w14:paraId="71D3FFD2" w14:textId="77777777" w:rsidR="006A3667" w:rsidRDefault="006A3667">
            <w:pPr>
              <w:rPr>
                <w:rFonts w:ascii="宋体"/>
                <w:vanish/>
              </w:rPr>
            </w:pPr>
          </w:p>
        </w:tc>
        <w:tc>
          <w:tcPr>
            <w:tcW w:w="0" w:type="auto"/>
            <w:gridSpan w:val="3"/>
            <w:shd w:val="clear" w:color="auto" w:fill="auto"/>
            <w:vAlign w:val="bottom"/>
          </w:tcPr>
          <w:p w14:paraId="71D3FFD3" w14:textId="77777777" w:rsidR="006A3667" w:rsidRDefault="006A3667">
            <w:pPr>
              <w:rPr>
                <w:rFonts w:ascii="宋体"/>
                <w:vanish/>
              </w:rPr>
            </w:pPr>
          </w:p>
        </w:tc>
        <w:tc>
          <w:tcPr>
            <w:tcW w:w="0" w:type="auto"/>
            <w:shd w:val="clear" w:color="auto" w:fill="auto"/>
            <w:vAlign w:val="bottom"/>
          </w:tcPr>
          <w:p w14:paraId="71D3FFD4" w14:textId="77777777" w:rsidR="006A3667" w:rsidRDefault="006A3667">
            <w:pPr>
              <w:rPr>
                <w:rFonts w:ascii="宋体"/>
                <w:vanish/>
              </w:rPr>
            </w:pPr>
          </w:p>
        </w:tc>
        <w:tc>
          <w:tcPr>
            <w:tcW w:w="0" w:type="auto"/>
            <w:shd w:val="clear" w:color="auto" w:fill="auto"/>
            <w:vAlign w:val="bottom"/>
          </w:tcPr>
          <w:p w14:paraId="71D3FFD5" w14:textId="77777777" w:rsidR="006A3667" w:rsidRDefault="006A3667">
            <w:pPr>
              <w:rPr>
                <w:rFonts w:ascii="宋体"/>
                <w:vanish/>
              </w:rPr>
            </w:pPr>
          </w:p>
        </w:tc>
        <w:tc>
          <w:tcPr>
            <w:tcW w:w="0" w:type="auto"/>
            <w:gridSpan w:val="3"/>
            <w:shd w:val="clear" w:color="auto" w:fill="auto"/>
            <w:vAlign w:val="bottom"/>
          </w:tcPr>
          <w:p w14:paraId="71D3FFD6" w14:textId="77777777" w:rsidR="006A3667" w:rsidRDefault="006A3667">
            <w:pPr>
              <w:rPr>
                <w:rFonts w:ascii="宋体"/>
                <w:vanish/>
              </w:rPr>
            </w:pPr>
          </w:p>
        </w:tc>
        <w:tc>
          <w:tcPr>
            <w:tcW w:w="0" w:type="auto"/>
            <w:gridSpan w:val="3"/>
            <w:shd w:val="clear" w:color="auto" w:fill="auto"/>
            <w:vAlign w:val="bottom"/>
          </w:tcPr>
          <w:p w14:paraId="71D3FFD7" w14:textId="77777777" w:rsidR="006A3667" w:rsidRDefault="006A3667">
            <w:pPr>
              <w:rPr>
                <w:rFonts w:ascii="宋体"/>
                <w:vanish/>
              </w:rPr>
            </w:pPr>
          </w:p>
        </w:tc>
      </w:tr>
      <w:tr w:rsidR="006A3667" w14:paraId="71D3FFE1" w14:textId="77777777">
        <w:trPr>
          <w:hidden/>
        </w:trPr>
        <w:tc>
          <w:tcPr>
            <w:tcW w:w="0" w:type="auto"/>
            <w:gridSpan w:val="3"/>
            <w:shd w:val="clear" w:color="auto" w:fill="auto"/>
            <w:vAlign w:val="bottom"/>
          </w:tcPr>
          <w:p w14:paraId="71D3FFD9" w14:textId="77777777" w:rsidR="006A3667" w:rsidRDefault="006A3667">
            <w:pPr>
              <w:rPr>
                <w:rFonts w:ascii="宋体"/>
                <w:vanish/>
              </w:rPr>
            </w:pPr>
          </w:p>
        </w:tc>
        <w:tc>
          <w:tcPr>
            <w:tcW w:w="0" w:type="auto"/>
            <w:gridSpan w:val="3"/>
            <w:shd w:val="clear" w:color="auto" w:fill="auto"/>
            <w:vAlign w:val="bottom"/>
          </w:tcPr>
          <w:p w14:paraId="71D3FFDA" w14:textId="77777777" w:rsidR="006A3667" w:rsidRDefault="006A3667">
            <w:pPr>
              <w:rPr>
                <w:rFonts w:ascii="宋体"/>
                <w:vanish/>
              </w:rPr>
            </w:pPr>
          </w:p>
        </w:tc>
        <w:tc>
          <w:tcPr>
            <w:tcW w:w="0" w:type="auto"/>
            <w:gridSpan w:val="3"/>
            <w:shd w:val="clear" w:color="auto" w:fill="auto"/>
            <w:vAlign w:val="bottom"/>
          </w:tcPr>
          <w:p w14:paraId="71D3FFDB" w14:textId="77777777" w:rsidR="006A3667" w:rsidRDefault="006A3667">
            <w:pPr>
              <w:rPr>
                <w:rFonts w:ascii="宋体"/>
                <w:vanish/>
              </w:rPr>
            </w:pPr>
          </w:p>
        </w:tc>
        <w:tc>
          <w:tcPr>
            <w:tcW w:w="0" w:type="auto"/>
            <w:gridSpan w:val="3"/>
            <w:shd w:val="clear" w:color="auto" w:fill="auto"/>
            <w:vAlign w:val="bottom"/>
          </w:tcPr>
          <w:p w14:paraId="71D3FFDC" w14:textId="77777777" w:rsidR="006A3667" w:rsidRDefault="006A3667">
            <w:pPr>
              <w:rPr>
                <w:rFonts w:ascii="宋体"/>
                <w:vanish/>
              </w:rPr>
            </w:pPr>
          </w:p>
        </w:tc>
        <w:tc>
          <w:tcPr>
            <w:tcW w:w="0" w:type="auto"/>
            <w:shd w:val="clear" w:color="auto" w:fill="auto"/>
            <w:vAlign w:val="bottom"/>
          </w:tcPr>
          <w:p w14:paraId="71D3FFDD" w14:textId="77777777" w:rsidR="006A3667" w:rsidRDefault="006A3667">
            <w:pPr>
              <w:rPr>
                <w:rFonts w:ascii="宋体"/>
                <w:vanish/>
              </w:rPr>
            </w:pPr>
          </w:p>
        </w:tc>
        <w:tc>
          <w:tcPr>
            <w:tcW w:w="0" w:type="auto"/>
            <w:shd w:val="clear" w:color="auto" w:fill="auto"/>
            <w:vAlign w:val="bottom"/>
          </w:tcPr>
          <w:p w14:paraId="71D3FFDE" w14:textId="77777777" w:rsidR="006A3667" w:rsidRDefault="006A3667">
            <w:pPr>
              <w:rPr>
                <w:rFonts w:ascii="宋体"/>
                <w:vanish/>
              </w:rPr>
            </w:pPr>
          </w:p>
        </w:tc>
        <w:tc>
          <w:tcPr>
            <w:tcW w:w="0" w:type="auto"/>
            <w:gridSpan w:val="3"/>
            <w:shd w:val="clear" w:color="auto" w:fill="auto"/>
            <w:vAlign w:val="bottom"/>
          </w:tcPr>
          <w:p w14:paraId="71D3FFDF" w14:textId="77777777" w:rsidR="006A3667" w:rsidRDefault="006A3667">
            <w:pPr>
              <w:rPr>
                <w:rFonts w:ascii="宋体"/>
                <w:vanish/>
              </w:rPr>
            </w:pPr>
          </w:p>
        </w:tc>
        <w:tc>
          <w:tcPr>
            <w:tcW w:w="0" w:type="auto"/>
            <w:gridSpan w:val="3"/>
            <w:shd w:val="clear" w:color="auto" w:fill="auto"/>
            <w:vAlign w:val="bottom"/>
          </w:tcPr>
          <w:p w14:paraId="71D3FFE0" w14:textId="77777777" w:rsidR="006A3667" w:rsidRDefault="006A3667">
            <w:pPr>
              <w:rPr>
                <w:rFonts w:ascii="宋体"/>
                <w:vanish/>
              </w:rPr>
            </w:pPr>
          </w:p>
        </w:tc>
      </w:tr>
      <w:tr w:rsidR="006A3667" w14:paraId="71D3FFEA" w14:textId="77777777">
        <w:trPr>
          <w:hidden/>
        </w:trPr>
        <w:tc>
          <w:tcPr>
            <w:tcW w:w="0" w:type="auto"/>
            <w:gridSpan w:val="3"/>
            <w:shd w:val="clear" w:color="auto" w:fill="auto"/>
            <w:vAlign w:val="bottom"/>
          </w:tcPr>
          <w:p w14:paraId="71D3FFE2" w14:textId="77777777" w:rsidR="006A3667" w:rsidRDefault="006A3667">
            <w:pPr>
              <w:rPr>
                <w:rFonts w:ascii="宋体"/>
                <w:vanish/>
              </w:rPr>
            </w:pPr>
          </w:p>
        </w:tc>
        <w:tc>
          <w:tcPr>
            <w:tcW w:w="0" w:type="auto"/>
            <w:gridSpan w:val="3"/>
            <w:shd w:val="clear" w:color="auto" w:fill="auto"/>
            <w:vAlign w:val="bottom"/>
          </w:tcPr>
          <w:p w14:paraId="71D3FFE3" w14:textId="77777777" w:rsidR="006A3667" w:rsidRDefault="006A3667">
            <w:pPr>
              <w:rPr>
                <w:rFonts w:ascii="宋体"/>
                <w:vanish/>
              </w:rPr>
            </w:pPr>
          </w:p>
        </w:tc>
        <w:tc>
          <w:tcPr>
            <w:tcW w:w="0" w:type="auto"/>
            <w:gridSpan w:val="3"/>
            <w:shd w:val="clear" w:color="auto" w:fill="auto"/>
            <w:vAlign w:val="bottom"/>
          </w:tcPr>
          <w:p w14:paraId="71D3FFE4" w14:textId="77777777" w:rsidR="006A3667" w:rsidRDefault="006A3667">
            <w:pPr>
              <w:rPr>
                <w:rFonts w:ascii="宋体"/>
                <w:vanish/>
              </w:rPr>
            </w:pPr>
          </w:p>
        </w:tc>
        <w:tc>
          <w:tcPr>
            <w:tcW w:w="0" w:type="auto"/>
            <w:gridSpan w:val="3"/>
            <w:shd w:val="clear" w:color="auto" w:fill="auto"/>
            <w:vAlign w:val="bottom"/>
          </w:tcPr>
          <w:p w14:paraId="71D3FFE5" w14:textId="77777777" w:rsidR="006A3667" w:rsidRDefault="006A3667">
            <w:pPr>
              <w:rPr>
                <w:rFonts w:ascii="宋体"/>
                <w:vanish/>
              </w:rPr>
            </w:pPr>
          </w:p>
        </w:tc>
        <w:tc>
          <w:tcPr>
            <w:tcW w:w="0" w:type="auto"/>
            <w:shd w:val="clear" w:color="auto" w:fill="auto"/>
            <w:vAlign w:val="bottom"/>
          </w:tcPr>
          <w:p w14:paraId="71D3FFE6" w14:textId="77777777" w:rsidR="006A3667" w:rsidRDefault="006A3667">
            <w:pPr>
              <w:rPr>
                <w:rFonts w:ascii="宋体"/>
                <w:vanish/>
              </w:rPr>
            </w:pPr>
          </w:p>
        </w:tc>
        <w:tc>
          <w:tcPr>
            <w:tcW w:w="0" w:type="auto"/>
            <w:shd w:val="clear" w:color="auto" w:fill="auto"/>
            <w:vAlign w:val="bottom"/>
          </w:tcPr>
          <w:p w14:paraId="71D3FFE7" w14:textId="77777777" w:rsidR="006A3667" w:rsidRDefault="006A3667">
            <w:pPr>
              <w:rPr>
                <w:rFonts w:ascii="宋体"/>
                <w:vanish/>
              </w:rPr>
            </w:pPr>
          </w:p>
        </w:tc>
        <w:tc>
          <w:tcPr>
            <w:tcW w:w="0" w:type="auto"/>
            <w:gridSpan w:val="3"/>
            <w:shd w:val="clear" w:color="auto" w:fill="auto"/>
            <w:vAlign w:val="bottom"/>
          </w:tcPr>
          <w:p w14:paraId="71D3FFE8" w14:textId="77777777" w:rsidR="006A3667" w:rsidRDefault="006A3667">
            <w:pPr>
              <w:rPr>
                <w:rFonts w:ascii="宋体"/>
                <w:vanish/>
              </w:rPr>
            </w:pPr>
          </w:p>
        </w:tc>
        <w:tc>
          <w:tcPr>
            <w:tcW w:w="0" w:type="auto"/>
            <w:gridSpan w:val="3"/>
            <w:shd w:val="clear" w:color="auto" w:fill="auto"/>
            <w:vAlign w:val="bottom"/>
          </w:tcPr>
          <w:p w14:paraId="71D3FFE9" w14:textId="77777777" w:rsidR="006A3667" w:rsidRDefault="006A3667">
            <w:pPr>
              <w:rPr>
                <w:rFonts w:ascii="宋体"/>
                <w:vanish/>
              </w:rPr>
            </w:pPr>
          </w:p>
        </w:tc>
      </w:tr>
      <w:tr w:rsidR="006A3667" w14:paraId="71D3FFF3" w14:textId="77777777">
        <w:trPr>
          <w:hidden/>
        </w:trPr>
        <w:tc>
          <w:tcPr>
            <w:tcW w:w="0" w:type="auto"/>
            <w:gridSpan w:val="3"/>
            <w:shd w:val="clear" w:color="auto" w:fill="auto"/>
            <w:vAlign w:val="bottom"/>
          </w:tcPr>
          <w:p w14:paraId="71D3FFEB" w14:textId="77777777" w:rsidR="006A3667" w:rsidRDefault="006A3667">
            <w:pPr>
              <w:rPr>
                <w:rFonts w:ascii="宋体"/>
                <w:vanish/>
              </w:rPr>
            </w:pPr>
          </w:p>
        </w:tc>
        <w:tc>
          <w:tcPr>
            <w:tcW w:w="0" w:type="auto"/>
            <w:gridSpan w:val="3"/>
            <w:shd w:val="clear" w:color="auto" w:fill="auto"/>
            <w:vAlign w:val="bottom"/>
          </w:tcPr>
          <w:p w14:paraId="71D3FFEC" w14:textId="77777777" w:rsidR="006A3667" w:rsidRDefault="006A3667">
            <w:pPr>
              <w:rPr>
                <w:rFonts w:ascii="宋体"/>
                <w:vanish/>
              </w:rPr>
            </w:pPr>
          </w:p>
        </w:tc>
        <w:tc>
          <w:tcPr>
            <w:tcW w:w="0" w:type="auto"/>
            <w:gridSpan w:val="3"/>
            <w:shd w:val="clear" w:color="auto" w:fill="auto"/>
            <w:vAlign w:val="bottom"/>
          </w:tcPr>
          <w:p w14:paraId="71D3FFED" w14:textId="77777777" w:rsidR="006A3667" w:rsidRDefault="006A3667">
            <w:pPr>
              <w:rPr>
                <w:rFonts w:ascii="宋体"/>
                <w:vanish/>
              </w:rPr>
            </w:pPr>
          </w:p>
        </w:tc>
        <w:tc>
          <w:tcPr>
            <w:tcW w:w="0" w:type="auto"/>
            <w:gridSpan w:val="3"/>
            <w:shd w:val="clear" w:color="auto" w:fill="auto"/>
            <w:vAlign w:val="bottom"/>
          </w:tcPr>
          <w:p w14:paraId="71D3FFEE" w14:textId="77777777" w:rsidR="006A3667" w:rsidRDefault="006A3667">
            <w:pPr>
              <w:rPr>
                <w:rFonts w:ascii="宋体"/>
                <w:vanish/>
              </w:rPr>
            </w:pPr>
          </w:p>
        </w:tc>
        <w:tc>
          <w:tcPr>
            <w:tcW w:w="0" w:type="auto"/>
            <w:shd w:val="clear" w:color="auto" w:fill="auto"/>
            <w:vAlign w:val="bottom"/>
          </w:tcPr>
          <w:p w14:paraId="71D3FFEF" w14:textId="77777777" w:rsidR="006A3667" w:rsidRDefault="006A3667">
            <w:pPr>
              <w:rPr>
                <w:rFonts w:ascii="宋体"/>
                <w:vanish/>
              </w:rPr>
            </w:pPr>
          </w:p>
        </w:tc>
        <w:tc>
          <w:tcPr>
            <w:tcW w:w="0" w:type="auto"/>
            <w:shd w:val="clear" w:color="auto" w:fill="auto"/>
            <w:vAlign w:val="bottom"/>
          </w:tcPr>
          <w:p w14:paraId="71D3FFF0" w14:textId="77777777" w:rsidR="006A3667" w:rsidRDefault="006A3667">
            <w:pPr>
              <w:rPr>
                <w:rFonts w:ascii="宋体"/>
                <w:vanish/>
              </w:rPr>
            </w:pPr>
          </w:p>
        </w:tc>
        <w:tc>
          <w:tcPr>
            <w:tcW w:w="0" w:type="auto"/>
            <w:gridSpan w:val="3"/>
            <w:shd w:val="clear" w:color="auto" w:fill="auto"/>
            <w:vAlign w:val="bottom"/>
          </w:tcPr>
          <w:p w14:paraId="71D3FFF1" w14:textId="77777777" w:rsidR="006A3667" w:rsidRDefault="006A3667">
            <w:pPr>
              <w:rPr>
                <w:rFonts w:ascii="宋体"/>
                <w:vanish/>
              </w:rPr>
            </w:pPr>
          </w:p>
        </w:tc>
        <w:tc>
          <w:tcPr>
            <w:tcW w:w="0" w:type="auto"/>
            <w:gridSpan w:val="3"/>
            <w:shd w:val="clear" w:color="auto" w:fill="auto"/>
            <w:vAlign w:val="bottom"/>
          </w:tcPr>
          <w:p w14:paraId="71D3FFF2" w14:textId="77777777" w:rsidR="006A3667" w:rsidRDefault="006A3667">
            <w:pPr>
              <w:rPr>
                <w:rFonts w:ascii="宋体"/>
                <w:vanish/>
              </w:rPr>
            </w:pPr>
          </w:p>
        </w:tc>
      </w:tr>
      <w:tr w:rsidR="006A3667" w14:paraId="71D3FFFC" w14:textId="77777777">
        <w:trPr>
          <w:hidden/>
        </w:trPr>
        <w:tc>
          <w:tcPr>
            <w:tcW w:w="0" w:type="auto"/>
            <w:gridSpan w:val="3"/>
            <w:shd w:val="clear" w:color="auto" w:fill="auto"/>
            <w:vAlign w:val="bottom"/>
          </w:tcPr>
          <w:p w14:paraId="71D3FFF4" w14:textId="77777777" w:rsidR="006A3667" w:rsidRDefault="006A3667">
            <w:pPr>
              <w:rPr>
                <w:rFonts w:ascii="宋体"/>
                <w:vanish/>
              </w:rPr>
            </w:pPr>
          </w:p>
        </w:tc>
        <w:tc>
          <w:tcPr>
            <w:tcW w:w="0" w:type="auto"/>
            <w:gridSpan w:val="3"/>
            <w:shd w:val="clear" w:color="auto" w:fill="auto"/>
            <w:vAlign w:val="bottom"/>
          </w:tcPr>
          <w:p w14:paraId="71D3FFF5" w14:textId="77777777" w:rsidR="006A3667" w:rsidRDefault="006A3667">
            <w:pPr>
              <w:rPr>
                <w:rFonts w:ascii="宋体"/>
                <w:vanish/>
              </w:rPr>
            </w:pPr>
          </w:p>
        </w:tc>
        <w:tc>
          <w:tcPr>
            <w:tcW w:w="0" w:type="auto"/>
            <w:gridSpan w:val="3"/>
            <w:shd w:val="clear" w:color="auto" w:fill="auto"/>
            <w:vAlign w:val="bottom"/>
          </w:tcPr>
          <w:p w14:paraId="71D3FFF6" w14:textId="77777777" w:rsidR="006A3667" w:rsidRDefault="006A3667">
            <w:pPr>
              <w:rPr>
                <w:rFonts w:ascii="宋体"/>
                <w:vanish/>
              </w:rPr>
            </w:pPr>
          </w:p>
        </w:tc>
        <w:tc>
          <w:tcPr>
            <w:tcW w:w="0" w:type="auto"/>
            <w:gridSpan w:val="3"/>
            <w:shd w:val="clear" w:color="auto" w:fill="auto"/>
            <w:vAlign w:val="bottom"/>
          </w:tcPr>
          <w:p w14:paraId="71D3FFF7" w14:textId="77777777" w:rsidR="006A3667" w:rsidRDefault="006A3667">
            <w:pPr>
              <w:rPr>
                <w:rFonts w:ascii="宋体"/>
                <w:vanish/>
              </w:rPr>
            </w:pPr>
          </w:p>
        </w:tc>
        <w:tc>
          <w:tcPr>
            <w:tcW w:w="0" w:type="auto"/>
            <w:shd w:val="clear" w:color="auto" w:fill="auto"/>
            <w:vAlign w:val="bottom"/>
          </w:tcPr>
          <w:p w14:paraId="71D3FFF8" w14:textId="77777777" w:rsidR="006A3667" w:rsidRDefault="006A3667">
            <w:pPr>
              <w:rPr>
                <w:rFonts w:ascii="宋体"/>
                <w:vanish/>
              </w:rPr>
            </w:pPr>
          </w:p>
        </w:tc>
        <w:tc>
          <w:tcPr>
            <w:tcW w:w="0" w:type="auto"/>
            <w:shd w:val="clear" w:color="auto" w:fill="auto"/>
            <w:vAlign w:val="bottom"/>
          </w:tcPr>
          <w:p w14:paraId="71D3FFF9" w14:textId="77777777" w:rsidR="006A3667" w:rsidRDefault="006A3667">
            <w:pPr>
              <w:rPr>
                <w:rFonts w:ascii="宋体"/>
                <w:vanish/>
              </w:rPr>
            </w:pPr>
          </w:p>
        </w:tc>
        <w:tc>
          <w:tcPr>
            <w:tcW w:w="0" w:type="auto"/>
            <w:gridSpan w:val="3"/>
            <w:shd w:val="clear" w:color="auto" w:fill="auto"/>
            <w:vAlign w:val="bottom"/>
          </w:tcPr>
          <w:p w14:paraId="71D3FFFA" w14:textId="77777777" w:rsidR="006A3667" w:rsidRDefault="006A3667">
            <w:pPr>
              <w:rPr>
                <w:rFonts w:ascii="宋体"/>
                <w:vanish/>
              </w:rPr>
            </w:pPr>
          </w:p>
        </w:tc>
        <w:tc>
          <w:tcPr>
            <w:tcW w:w="0" w:type="auto"/>
            <w:gridSpan w:val="3"/>
            <w:shd w:val="clear" w:color="auto" w:fill="auto"/>
            <w:vAlign w:val="bottom"/>
          </w:tcPr>
          <w:p w14:paraId="71D3FFFB" w14:textId="77777777" w:rsidR="006A3667" w:rsidRDefault="006A3667">
            <w:pPr>
              <w:rPr>
                <w:rFonts w:ascii="宋体"/>
                <w:vanish/>
              </w:rPr>
            </w:pPr>
          </w:p>
        </w:tc>
      </w:tr>
      <w:tr w:rsidR="006A3667" w14:paraId="71D40002" w14:textId="77777777">
        <w:tc>
          <w:tcPr>
            <w:tcW w:w="0" w:type="auto"/>
            <w:gridSpan w:val="12"/>
            <w:shd w:val="clear" w:color="auto" w:fill="auto"/>
            <w:tcMar>
              <w:top w:w="40" w:type="dxa"/>
              <w:left w:w="20" w:type="dxa"/>
              <w:bottom w:w="40" w:type="dxa"/>
              <w:right w:w="20" w:type="dxa"/>
            </w:tcMar>
            <w:vAlign w:val="bottom"/>
          </w:tcPr>
          <w:p w14:paraId="71D3FFFD" w14:textId="77777777" w:rsidR="006A3667" w:rsidRDefault="00045F32">
            <w:pPr>
              <w:spacing w:before="60"/>
              <w:jc w:val="both"/>
              <w:textAlignment w:val="bottom"/>
            </w:pPr>
            <w:r>
              <w:rPr>
                <w:rFonts w:ascii="Arial" w:eastAsia="宋体" w:hAnsi="Arial" w:cs="Arial"/>
                <w:b/>
                <w:bCs/>
                <w:color w:val="000000"/>
                <w:sz w:val="16"/>
                <w:szCs w:val="16"/>
              </w:rPr>
              <w:t>TABLE 19: AVERAGE STATEMENT OF CONDITION</w:t>
            </w:r>
            <w:r>
              <w:rPr>
                <w:rFonts w:ascii="Arial" w:eastAsia="宋体" w:hAnsi="Arial" w:cs="Arial"/>
                <w:b/>
                <w:bCs/>
                <w:color w:val="000000"/>
                <w:sz w:val="10"/>
                <w:szCs w:val="10"/>
              </w:rPr>
              <w:t>(1)</w:t>
            </w:r>
          </w:p>
        </w:tc>
        <w:tc>
          <w:tcPr>
            <w:tcW w:w="0" w:type="auto"/>
            <w:shd w:val="clear" w:color="auto" w:fill="auto"/>
            <w:vAlign w:val="bottom"/>
          </w:tcPr>
          <w:p w14:paraId="71D3FFFE" w14:textId="77777777" w:rsidR="006A3667" w:rsidRDefault="006A3667">
            <w:pPr>
              <w:rPr>
                <w:rFonts w:ascii="宋体"/>
                <w:vanish/>
              </w:rPr>
            </w:pPr>
          </w:p>
        </w:tc>
        <w:tc>
          <w:tcPr>
            <w:tcW w:w="0" w:type="auto"/>
            <w:shd w:val="clear" w:color="auto" w:fill="auto"/>
            <w:vAlign w:val="bottom"/>
          </w:tcPr>
          <w:p w14:paraId="71D3FFFF" w14:textId="77777777" w:rsidR="006A3667" w:rsidRDefault="006A3667">
            <w:pPr>
              <w:rPr>
                <w:rFonts w:ascii="宋体"/>
                <w:vanish/>
              </w:rPr>
            </w:pPr>
          </w:p>
        </w:tc>
        <w:tc>
          <w:tcPr>
            <w:tcW w:w="0" w:type="auto"/>
            <w:gridSpan w:val="3"/>
            <w:shd w:val="clear" w:color="auto" w:fill="auto"/>
            <w:vAlign w:val="bottom"/>
          </w:tcPr>
          <w:p w14:paraId="71D40000" w14:textId="77777777" w:rsidR="006A3667" w:rsidRDefault="006A3667">
            <w:pPr>
              <w:rPr>
                <w:rFonts w:ascii="宋体"/>
                <w:vanish/>
              </w:rPr>
            </w:pPr>
          </w:p>
        </w:tc>
        <w:tc>
          <w:tcPr>
            <w:tcW w:w="0" w:type="auto"/>
            <w:gridSpan w:val="3"/>
            <w:shd w:val="clear" w:color="auto" w:fill="auto"/>
            <w:vAlign w:val="bottom"/>
          </w:tcPr>
          <w:p w14:paraId="71D40001" w14:textId="77777777" w:rsidR="006A3667" w:rsidRDefault="006A3667">
            <w:pPr>
              <w:rPr>
                <w:rFonts w:ascii="宋体"/>
                <w:vanish/>
              </w:rPr>
            </w:pPr>
          </w:p>
        </w:tc>
      </w:tr>
      <w:tr w:rsidR="006A3667" w14:paraId="71D4000D" w14:textId="77777777">
        <w:tc>
          <w:tcPr>
            <w:tcW w:w="0" w:type="auto"/>
            <w:gridSpan w:val="3"/>
            <w:shd w:val="clear" w:color="auto" w:fill="auto"/>
            <w:tcMar>
              <w:top w:w="0" w:type="dxa"/>
              <w:left w:w="20" w:type="dxa"/>
              <w:bottom w:w="0" w:type="dxa"/>
              <w:right w:w="20" w:type="dxa"/>
            </w:tcMar>
            <w:vAlign w:val="bottom"/>
          </w:tcPr>
          <w:p w14:paraId="71D40003"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0004"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40005" w14:textId="77777777" w:rsidR="006A3667" w:rsidRDefault="006A3667">
            <w:pPr>
              <w:rPr>
                <w:rFonts w:ascii="宋体"/>
                <w:vanish/>
              </w:rPr>
            </w:pPr>
          </w:p>
        </w:tc>
        <w:tc>
          <w:tcPr>
            <w:tcW w:w="0" w:type="auto"/>
            <w:shd w:val="clear" w:color="auto" w:fill="auto"/>
            <w:vAlign w:val="bottom"/>
          </w:tcPr>
          <w:p w14:paraId="71D40006" w14:textId="77777777" w:rsidR="006A3667" w:rsidRDefault="006A3667">
            <w:pPr>
              <w:rPr>
                <w:rFonts w:ascii="宋体"/>
                <w:vanish/>
              </w:rPr>
            </w:pPr>
          </w:p>
        </w:tc>
        <w:tc>
          <w:tcPr>
            <w:tcW w:w="0" w:type="auto"/>
            <w:shd w:val="clear" w:color="auto" w:fill="auto"/>
            <w:vAlign w:val="bottom"/>
          </w:tcPr>
          <w:p w14:paraId="71D40007" w14:textId="77777777" w:rsidR="006A3667" w:rsidRDefault="006A3667">
            <w:pPr>
              <w:rPr>
                <w:rFonts w:ascii="宋体"/>
              </w:rPr>
            </w:pPr>
          </w:p>
        </w:tc>
        <w:tc>
          <w:tcPr>
            <w:tcW w:w="0" w:type="auto"/>
            <w:shd w:val="clear" w:color="auto" w:fill="auto"/>
            <w:vAlign w:val="bottom"/>
          </w:tcPr>
          <w:p w14:paraId="71D40008" w14:textId="77777777" w:rsidR="006A3667" w:rsidRDefault="006A3667">
            <w:pPr>
              <w:rPr>
                <w:rFonts w:ascii="宋体"/>
              </w:rPr>
            </w:pPr>
          </w:p>
        </w:tc>
        <w:tc>
          <w:tcPr>
            <w:tcW w:w="0" w:type="auto"/>
            <w:shd w:val="clear" w:color="auto" w:fill="auto"/>
            <w:vAlign w:val="bottom"/>
          </w:tcPr>
          <w:p w14:paraId="71D40009" w14:textId="77777777" w:rsidR="006A3667" w:rsidRDefault="006A3667">
            <w:pPr>
              <w:rPr>
                <w:rFonts w:ascii="宋体"/>
              </w:rPr>
            </w:pPr>
          </w:p>
        </w:tc>
        <w:tc>
          <w:tcPr>
            <w:tcW w:w="0" w:type="auto"/>
            <w:shd w:val="clear" w:color="auto" w:fill="auto"/>
            <w:vAlign w:val="bottom"/>
          </w:tcPr>
          <w:p w14:paraId="71D4000A" w14:textId="77777777" w:rsidR="006A3667" w:rsidRDefault="006A3667">
            <w:pPr>
              <w:rPr>
                <w:rFonts w:ascii="宋体"/>
              </w:rPr>
            </w:pPr>
          </w:p>
        </w:tc>
        <w:tc>
          <w:tcPr>
            <w:tcW w:w="0" w:type="auto"/>
            <w:shd w:val="clear" w:color="auto" w:fill="auto"/>
            <w:vAlign w:val="bottom"/>
          </w:tcPr>
          <w:p w14:paraId="71D4000B" w14:textId="77777777" w:rsidR="006A3667" w:rsidRDefault="006A3667">
            <w:pPr>
              <w:rPr>
                <w:rFonts w:ascii="宋体"/>
              </w:rPr>
            </w:pPr>
          </w:p>
        </w:tc>
        <w:tc>
          <w:tcPr>
            <w:tcW w:w="0" w:type="auto"/>
            <w:shd w:val="clear" w:color="auto" w:fill="auto"/>
            <w:vAlign w:val="bottom"/>
          </w:tcPr>
          <w:p w14:paraId="71D4000C" w14:textId="77777777" w:rsidR="006A3667" w:rsidRDefault="006A3667">
            <w:pPr>
              <w:rPr>
                <w:rFonts w:ascii="宋体"/>
              </w:rPr>
            </w:pPr>
          </w:p>
        </w:tc>
      </w:tr>
      <w:tr w:rsidR="006A3667" w14:paraId="71D40016" w14:textId="77777777">
        <w:tc>
          <w:tcPr>
            <w:tcW w:w="0" w:type="auto"/>
            <w:gridSpan w:val="3"/>
            <w:shd w:val="clear" w:color="auto" w:fill="auto"/>
            <w:tcMar>
              <w:top w:w="40" w:type="dxa"/>
              <w:left w:w="20" w:type="dxa"/>
              <w:bottom w:w="40" w:type="dxa"/>
              <w:right w:w="20" w:type="dxa"/>
            </w:tcMar>
            <w:vAlign w:val="bottom"/>
          </w:tcPr>
          <w:p w14:paraId="71D4000E"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00F"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01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011" w14:textId="77777777" w:rsidR="006A3667" w:rsidRDefault="00045F32">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71D40012" w14:textId="77777777" w:rsidR="006A3667" w:rsidRDefault="006A3667">
            <w:pPr>
              <w:rPr>
                <w:rFonts w:ascii="宋体"/>
                <w:vanish/>
              </w:rPr>
            </w:pPr>
          </w:p>
        </w:tc>
        <w:tc>
          <w:tcPr>
            <w:tcW w:w="0" w:type="auto"/>
            <w:shd w:val="clear" w:color="auto" w:fill="auto"/>
            <w:vAlign w:val="bottom"/>
          </w:tcPr>
          <w:p w14:paraId="71D40013" w14:textId="77777777" w:rsidR="006A3667" w:rsidRDefault="006A3667">
            <w:pPr>
              <w:rPr>
                <w:rFonts w:ascii="宋体"/>
                <w:vanish/>
              </w:rPr>
            </w:pPr>
          </w:p>
        </w:tc>
        <w:tc>
          <w:tcPr>
            <w:tcW w:w="0" w:type="auto"/>
            <w:gridSpan w:val="3"/>
            <w:shd w:val="clear" w:color="auto" w:fill="auto"/>
            <w:vAlign w:val="bottom"/>
          </w:tcPr>
          <w:p w14:paraId="71D40014" w14:textId="77777777" w:rsidR="006A3667" w:rsidRDefault="006A3667">
            <w:pPr>
              <w:rPr>
                <w:rFonts w:ascii="宋体"/>
                <w:vanish/>
              </w:rPr>
            </w:pPr>
          </w:p>
        </w:tc>
        <w:tc>
          <w:tcPr>
            <w:tcW w:w="0" w:type="auto"/>
            <w:gridSpan w:val="3"/>
            <w:shd w:val="clear" w:color="auto" w:fill="auto"/>
            <w:vAlign w:val="bottom"/>
          </w:tcPr>
          <w:p w14:paraId="71D40015" w14:textId="77777777" w:rsidR="006A3667" w:rsidRDefault="006A3667">
            <w:pPr>
              <w:rPr>
                <w:rFonts w:ascii="宋体"/>
                <w:vanish/>
              </w:rPr>
            </w:pPr>
          </w:p>
        </w:tc>
      </w:tr>
      <w:tr w:rsidR="006A3667" w14:paraId="71D4001F" w14:textId="77777777">
        <w:tc>
          <w:tcPr>
            <w:tcW w:w="0" w:type="auto"/>
            <w:gridSpan w:val="3"/>
            <w:shd w:val="clear" w:color="auto" w:fill="auto"/>
            <w:tcMar>
              <w:top w:w="40" w:type="dxa"/>
              <w:left w:w="20" w:type="dxa"/>
              <w:bottom w:w="40" w:type="dxa"/>
              <w:right w:w="20" w:type="dxa"/>
            </w:tcMar>
            <w:vAlign w:val="bottom"/>
          </w:tcPr>
          <w:p w14:paraId="71D40017" w14:textId="77777777" w:rsidR="006A3667" w:rsidRDefault="00045F32">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01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01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01A" w14:textId="77777777" w:rsidR="006A3667" w:rsidRDefault="006A3667">
            <w:pPr>
              <w:rPr>
                <w:rFonts w:ascii="宋体"/>
              </w:rPr>
            </w:pPr>
          </w:p>
        </w:tc>
        <w:tc>
          <w:tcPr>
            <w:tcW w:w="0" w:type="auto"/>
            <w:shd w:val="clear" w:color="auto" w:fill="auto"/>
            <w:vAlign w:val="bottom"/>
          </w:tcPr>
          <w:p w14:paraId="71D4001B" w14:textId="77777777" w:rsidR="006A3667" w:rsidRDefault="006A3667">
            <w:pPr>
              <w:rPr>
                <w:rFonts w:ascii="宋体"/>
                <w:vanish/>
              </w:rPr>
            </w:pPr>
          </w:p>
        </w:tc>
        <w:tc>
          <w:tcPr>
            <w:tcW w:w="0" w:type="auto"/>
            <w:shd w:val="clear" w:color="auto" w:fill="auto"/>
            <w:vAlign w:val="bottom"/>
          </w:tcPr>
          <w:p w14:paraId="71D4001C" w14:textId="77777777" w:rsidR="006A3667" w:rsidRDefault="006A3667">
            <w:pPr>
              <w:rPr>
                <w:rFonts w:ascii="宋体"/>
                <w:vanish/>
              </w:rPr>
            </w:pPr>
          </w:p>
        </w:tc>
        <w:tc>
          <w:tcPr>
            <w:tcW w:w="0" w:type="auto"/>
            <w:gridSpan w:val="3"/>
            <w:shd w:val="clear" w:color="auto" w:fill="auto"/>
            <w:vAlign w:val="bottom"/>
          </w:tcPr>
          <w:p w14:paraId="71D4001D" w14:textId="77777777" w:rsidR="006A3667" w:rsidRDefault="006A3667">
            <w:pPr>
              <w:rPr>
                <w:rFonts w:ascii="宋体"/>
                <w:vanish/>
              </w:rPr>
            </w:pPr>
          </w:p>
        </w:tc>
        <w:tc>
          <w:tcPr>
            <w:tcW w:w="0" w:type="auto"/>
            <w:gridSpan w:val="3"/>
            <w:shd w:val="clear" w:color="auto" w:fill="auto"/>
            <w:vAlign w:val="bottom"/>
          </w:tcPr>
          <w:p w14:paraId="71D4001E" w14:textId="77777777" w:rsidR="006A3667" w:rsidRDefault="006A3667">
            <w:pPr>
              <w:rPr>
                <w:rFonts w:ascii="宋体"/>
                <w:vanish/>
              </w:rPr>
            </w:pPr>
          </w:p>
        </w:tc>
      </w:tr>
      <w:tr w:rsidR="006A3667" w14:paraId="71D4002C" w14:textId="77777777">
        <w:tc>
          <w:tcPr>
            <w:tcW w:w="0" w:type="auto"/>
            <w:gridSpan w:val="3"/>
            <w:shd w:val="clear" w:color="auto" w:fill="CCEEFF"/>
            <w:tcMar>
              <w:top w:w="40" w:type="dxa"/>
              <w:left w:w="20" w:type="dxa"/>
              <w:bottom w:w="40" w:type="dxa"/>
              <w:right w:w="20" w:type="dxa"/>
            </w:tcMar>
            <w:vAlign w:val="bottom"/>
          </w:tcPr>
          <w:p w14:paraId="71D40020" w14:textId="77777777" w:rsidR="006A3667" w:rsidRDefault="00045F32">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71D40021"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022" w14:textId="77777777" w:rsidR="006A3667" w:rsidRDefault="00045F32">
            <w:pPr>
              <w:jc w:val="right"/>
              <w:textAlignment w:val="bottom"/>
            </w:pPr>
            <w:r>
              <w:rPr>
                <w:rFonts w:ascii="Arial" w:eastAsia="宋体" w:hAnsi="Arial" w:cs="Arial"/>
                <w:b/>
                <w:bCs/>
                <w:color w:val="000000"/>
                <w:sz w:val="14"/>
                <w:szCs w:val="14"/>
              </w:rPr>
              <w:t>74,034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0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02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025"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0026" w14:textId="77777777" w:rsidR="006A3667" w:rsidRDefault="00045F32">
            <w:pPr>
              <w:jc w:val="right"/>
              <w:textAlignment w:val="bottom"/>
            </w:pPr>
            <w:r>
              <w:rPr>
                <w:rFonts w:ascii="Arial" w:eastAsia="宋体" w:hAnsi="Arial" w:cs="Arial"/>
                <w:color w:val="000000"/>
                <w:sz w:val="14"/>
                <w:szCs w:val="14"/>
              </w:rPr>
              <w:t>91,291 </w:t>
            </w:r>
          </w:p>
        </w:tc>
        <w:tc>
          <w:tcPr>
            <w:tcW w:w="0" w:type="auto"/>
            <w:shd w:val="clear" w:color="auto" w:fill="CCEEFF"/>
            <w:tcMar>
              <w:top w:w="40" w:type="dxa"/>
              <w:left w:w="0" w:type="dxa"/>
              <w:bottom w:w="40" w:type="dxa"/>
              <w:right w:w="20" w:type="dxa"/>
            </w:tcMar>
            <w:vAlign w:val="bottom"/>
          </w:tcPr>
          <w:p w14:paraId="71D40027" w14:textId="77777777" w:rsidR="006A3667" w:rsidRDefault="006A3667">
            <w:pPr>
              <w:jc w:val="right"/>
              <w:rPr>
                <w:rFonts w:ascii="宋体"/>
              </w:rPr>
            </w:pPr>
          </w:p>
        </w:tc>
        <w:tc>
          <w:tcPr>
            <w:tcW w:w="0" w:type="auto"/>
            <w:shd w:val="clear" w:color="auto" w:fill="auto"/>
            <w:vAlign w:val="bottom"/>
          </w:tcPr>
          <w:p w14:paraId="71D40028" w14:textId="77777777" w:rsidR="006A3667" w:rsidRDefault="006A3667">
            <w:pPr>
              <w:rPr>
                <w:rFonts w:ascii="宋体"/>
                <w:vanish/>
              </w:rPr>
            </w:pPr>
          </w:p>
        </w:tc>
        <w:tc>
          <w:tcPr>
            <w:tcW w:w="0" w:type="auto"/>
            <w:shd w:val="clear" w:color="auto" w:fill="auto"/>
            <w:vAlign w:val="bottom"/>
          </w:tcPr>
          <w:p w14:paraId="71D40029" w14:textId="77777777" w:rsidR="006A3667" w:rsidRDefault="006A3667">
            <w:pPr>
              <w:rPr>
                <w:rFonts w:ascii="宋体"/>
                <w:vanish/>
              </w:rPr>
            </w:pPr>
          </w:p>
        </w:tc>
        <w:tc>
          <w:tcPr>
            <w:tcW w:w="0" w:type="auto"/>
            <w:gridSpan w:val="3"/>
            <w:shd w:val="clear" w:color="auto" w:fill="auto"/>
            <w:vAlign w:val="bottom"/>
          </w:tcPr>
          <w:p w14:paraId="71D4002A" w14:textId="77777777" w:rsidR="006A3667" w:rsidRDefault="006A3667">
            <w:pPr>
              <w:rPr>
                <w:rFonts w:ascii="宋体"/>
                <w:vanish/>
              </w:rPr>
            </w:pPr>
          </w:p>
        </w:tc>
        <w:tc>
          <w:tcPr>
            <w:tcW w:w="0" w:type="auto"/>
            <w:gridSpan w:val="3"/>
            <w:shd w:val="clear" w:color="auto" w:fill="auto"/>
            <w:vAlign w:val="bottom"/>
          </w:tcPr>
          <w:p w14:paraId="71D4002B" w14:textId="77777777" w:rsidR="006A3667" w:rsidRDefault="006A3667">
            <w:pPr>
              <w:rPr>
                <w:rFonts w:ascii="宋体"/>
                <w:vanish/>
              </w:rPr>
            </w:pPr>
          </w:p>
        </w:tc>
      </w:tr>
      <w:tr w:rsidR="006A3667" w14:paraId="71D40037" w14:textId="77777777">
        <w:tc>
          <w:tcPr>
            <w:tcW w:w="0" w:type="auto"/>
            <w:gridSpan w:val="3"/>
            <w:shd w:val="clear" w:color="auto" w:fill="FFFFFF"/>
            <w:tcMar>
              <w:top w:w="40" w:type="dxa"/>
              <w:left w:w="20" w:type="dxa"/>
              <w:bottom w:w="40" w:type="dxa"/>
              <w:right w:w="20" w:type="dxa"/>
            </w:tcMar>
            <w:vAlign w:val="bottom"/>
          </w:tcPr>
          <w:p w14:paraId="71D4002D" w14:textId="77777777" w:rsidR="006A3667" w:rsidRDefault="00045F32">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71D4002E" w14:textId="77777777" w:rsidR="006A3667" w:rsidRDefault="00045F32">
            <w:pPr>
              <w:jc w:val="right"/>
              <w:textAlignment w:val="bottom"/>
            </w:pPr>
            <w:r>
              <w:rPr>
                <w:rFonts w:ascii="Arial" w:eastAsia="宋体" w:hAnsi="Arial" w:cs="Arial"/>
                <w:b/>
                <w:bCs/>
                <w:color w:val="000000"/>
                <w:sz w:val="14"/>
                <w:szCs w:val="14"/>
              </w:rPr>
              <w:t>2,208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0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03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031" w14:textId="77777777" w:rsidR="006A3667" w:rsidRDefault="00045F32">
            <w:pPr>
              <w:jc w:val="right"/>
              <w:textAlignment w:val="bottom"/>
            </w:pPr>
            <w:r>
              <w:rPr>
                <w:rFonts w:ascii="Arial" w:eastAsia="宋体" w:hAnsi="Arial" w:cs="Arial"/>
                <w:color w:val="000000"/>
                <w:sz w:val="14"/>
                <w:szCs w:val="14"/>
              </w:rPr>
              <w:t>4,194 </w:t>
            </w:r>
          </w:p>
        </w:tc>
        <w:tc>
          <w:tcPr>
            <w:tcW w:w="0" w:type="auto"/>
            <w:shd w:val="clear" w:color="auto" w:fill="FFFFFF"/>
            <w:tcMar>
              <w:top w:w="40" w:type="dxa"/>
              <w:left w:w="0" w:type="dxa"/>
              <w:bottom w:w="40" w:type="dxa"/>
              <w:right w:w="20" w:type="dxa"/>
            </w:tcMar>
            <w:vAlign w:val="bottom"/>
          </w:tcPr>
          <w:p w14:paraId="71D40032" w14:textId="77777777" w:rsidR="006A3667" w:rsidRDefault="006A3667">
            <w:pPr>
              <w:jc w:val="right"/>
              <w:rPr>
                <w:rFonts w:ascii="宋体"/>
              </w:rPr>
            </w:pPr>
          </w:p>
        </w:tc>
        <w:tc>
          <w:tcPr>
            <w:tcW w:w="0" w:type="auto"/>
            <w:shd w:val="clear" w:color="auto" w:fill="auto"/>
            <w:vAlign w:val="bottom"/>
          </w:tcPr>
          <w:p w14:paraId="71D40033" w14:textId="77777777" w:rsidR="006A3667" w:rsidRDefault="006A3667">
            <w:pPr>
              <w:rPr>
                <w:rFonts w:ascii="宋体"/>
                <w:vanish/>
              </w:rPr>
            </w:pPr>
          </w:p>
        </w:tc>
        <w:tc>
          <w:tcPr>
            <w:tcW w:w="0" w:type="auto"/>
            <w:shd w:val="clear" w:color="auto" w:fill="auto"/>
            <w:vAlign w:val="bottom"/>
          </w:tcPr>
          <w:p w14:paraId="71D40034" w14:textId="77777777" w:rsidR="006A3667" w:rsidRDefault="006A3667">
            <w:pPr>
              <w:rPr>
                <w:rFonts w:ascii="宋体"/>
                <w:vanish/>
              </w:rPr>
            </w:pPr>
          </w:p>
        </w:tc>
        <w:tc>
          <w:tcPr>
            <w:tcW w:w="0" w:type="auto"/>
            <w:gridSpan w:val="3"/>
            <w:shd w:val="clear" w:color="auto" w:fill="auto"/>
            <w:vAlign w:val="bottom"/>
          </w:tcPr>
          <w:p w14:paraId="71D40035" w14:textId="77777777" w:rsidR="006A3667" w:rsidRDefault="006A3667">
            <w:pPr>
              <w:rPr>
                <w:rFonts w:ascii="宋体"/>
                <w:vanish/>
              </w:rPr>
            </w:pPr>
          </w:p>
        </w:tc>
        <w:tc>
          <w:tcPr>
            <w:tcW w:w="0" w:type="auto"/>
            <w:gridSpan w:val="3"/>
            <w:shd w:val="clear" w:color="auto" w:fill="auto"/>
            <w:vAlign w:val="bottom"/>
          </w:tcPr>
          <w:p w14:paraId="71D40036" w14:textId="77777777" w:rsidR="006A3667" w:rsidRDefault="006A3667">
            <w:pPr>
              <w:rPr>
                <w:rFonts w:ascii="宋体"/>
                <w:vanish/>
              </w:rPr>
            </w:pPr>
          </w:p>
        </w:tc>
      </w:tr>
      <w:tr w:rsidR="006A3667" w14:paraId="71D40042" w14:textId="77777777">
        <w:tc>
          <w:tcPr>
            <w:tcW w:w="0" w:type="auto"/>
            <w:gridSpan w:val="3"/>
            <w:shd w:val="clear" w:color="auto" w:fill="CCEEFF"/>
            <w:tcMar>
              <w:top w:w="40" w:type="dxa"/>
              <w:left w:w="20" w:type="dxa"/>
              <w:bottom w:w="40" w:type="dxa"/>
              <w:right w:w="20" w:type="dxa"/>
            </w:tcMar>
            <w:vAlign w:val="bottom"/>
          </w:tcPr>
          <w:p w14:paraId="71D40038" w14:textId="77777777" w:rsidR="006A3667" w:rsidRDefault="00045F32">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71D40039" w14:textId="77777777" w:rsidR="006A3667" w:rsidRDefault="00045F32">
            <w:pPr>
              <w:jc w:val="right"/>
              <w:textAlignment w:val="bottom"/>
            </w:pPr>
            <w:r>
              <w:rPr>
                <w:rFonts w:ascii="Arial" w:eastAsia="宋体" w:hAnsi="Arial" w:cs="Arial"/>
                <w:b/>
                <w:bCs/>
                <w:color w:val="000000"/>
                <w:sz w:val="14"/>
                <w:szCs w:val="14"/>
              </w:rPr>
              <w:t>736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0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03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03C" w14:textId="77777777" w:rsidR="006A3667" w:rsidRDefault="00045F32">
            <w:pPr>
              <w:jc w:val="right"/>
              <w:textAlignment w:val="bottom"/>
            </w:pPr>
            <w:r>
              <w:rPr>
                <w:rFonts w:ascii="Arial" w:eastAsia="宋体" w:hAnsi="Arial" w:cs="Arial"/>
                <w:color w:val="000000"/>
                <w:sz w:val="14"/>
                <w:szCs w:val="14"/>
              </w:rPr>
              <w:t>754 </w:t>
            </w:r>
          </w:p>
        </w:tc>
        <w:tc>
          <w:tcPr>
            <w:tcW w:w="0" w:type="auto"/>
            <w:shd w:val="clear" w:color="auto" w:fill="CCEEFF"/>
            <w:tcMar>
              <w:top w:w="40" w:type="dxa"/>
              <w:left w:w="0" w:type="dxa"/>
              <w:bottom w:w="40" w:type="dxa"/>
              <w:right w:w="20" w:type="dxa"/>
            </w:tcMar>
            <w:vAlign w:val="bottom"/>
          </w:tcPr>
          <w:p w14:paraId="71D4003D" w14:textId="77777777" w:rsidR="006A3667" w:rsidRDefault="006A3667">
            <w:pPr>
              <w:jc w:val="right"/>
              <w:rPr>
                <w:rFonts w:ascii="宋体"/>
              </w:rPr>
            </w:pPr>
          </w:p>
        </w:tc>
        <w:tc>
          <w:tcPr>
            <w:tcW w:w="0" w:type="auto"/>
            <w:shd w:val="clear" w:color="auto" w:fill="auto"/>
            <w:vAlign w:val="bottom"/>
          </w:tcPr>
          <w:p w14:paraId="71D4003E" w14:textId="77777777" w:rsidR="006A3667" w:rsidRDefault="006A3667">
            <w:pPr>
              <w:rPr>
                <w:rFonts w:ascii="宋体"/>
                <w:vanish/>
              </w:rPr>
            </w:pPr>
          </w:p>
        </w:tc>
        <w:tc>
          <w:tcPr>
            <w:tcW w:w="0" w:type="auto"/>
            <w:shd w:val="clear" w:color="auto" w:fill="auto"/>
            <w:vAlign w:val="bottom"/>
          </w:tcPr>
          <w:p w14:paraId="71D4003F" w14:textId="77777777" w:rsidR="006A3667" w:rsidRDefault="006A3667">
            <w:pPr>
              <w:rPr>
                <w:rFonts w:ascii="宋体"/>
                <w:vanish/>
              </w:rPr>
            </w:pPr>
          </w:p>
        </w:tc>
        <w:tc>
          <w:tcPr>
            <w:tcW w:w="0" w:type="auto"/>
            <w:gridSpan w:val="3"/>
            <w:shd w:val="clear" w:color="auto" w:fill="auto"/>
            <w:vAlign w:val="bottom"/>
          </w:tcPr>
          <w:p w14:paraId="71D40040" w14:textId="77777777" w:rsidR="006A3667" w:rsidRDefault="006A3667">
            <w:pPr>
              <w:rPr>
                <w:rFonts w:ascii="宋体"/>
                <w:vanish/>
              </w:rPr>
            </w:pPr>
          </w:p>
        </w:tc>
        <w:tc>
          <w:tcPr>
            <w:tcW w:w="0" w:type="auto"/>
            <w:gridSpan w:val="3"/>
            <w:shd w:val="clear" w:color="auto" w:fill="auto"/>
            <w:vAlign w:val="bottom"/>
          </w:tcPr>
          <w:p w14:paraId="71D40041" w14:textId="77777777" w:rsidR="006A3667" w:rsidRDefault="006A3667">
            <w:pPr>
              <w:rPr>
                <w:rFonts w:ascii="宋体"/>
                <w:vanish/>
              </w:rPr>
            </w:pPr>
          </w:p>
        </w:tc>
      </w:tr>
      <w:tr w:rsidR="006A3667" w14:paraId="71D4004B" w14:textId="77777777">
        <w:tc>
          <w:tcPr>
            <w:tcW w:w="0" w:type="auto"/>
            <w:gridSpan w:val="3"/>
            <w:shd w:val="clear" w:color="auto" w:fill="FFFFFF"/>
            <w:tcMar>
              <w:top w:w="40" w:type="dxa"/>
              <w:left w:w="20" w:type="dxa"/>
              <w:bottom w:w="40" w:type="dxa"/>
              <w:right w:w="20" w:type="dxa"/>
            </w:tcMar>
            <w:vAlign w:val="bottom"/>
          </w:tcPr>
          <w:p w14:paraId="71D40043" w14:textId="77777777" w:rsidR="006A3667" w:rsidRDefault="00045F32">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71D4004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04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046" w14:textId="77777777" w:rsidR="006A3667" w:rsidRDefault="006A3667">
            <w:pPr>
              <w:rPr>
                <w:rFonts w:ascii="宋体"/>
              </w:rPr>
            </w:pPr>
          </w:p>
        </w:tc>
        <w:tc>
          <w:tcPr>
            <w:tcW w:w="0" w:type="auto"/>
            <w:shd w:val="clear" w:color="auto" w:fill="auto"/>
            <w:vAlign w:val="bottom"/>
          </w:tcPr>
          <w:p w14:paraId="71D40047" w14:textId="77777777" w:rsidR="006A3667" w:rsidRDefault="006A3667">
            <w:pPr>
              <w:rPr>
                <w:rFonts w:ascii="宋体"/>
                <w:vanish/>
              </w:rPr>
            </w:pPr>
          </w:p>
        </w:tc>
        <w:tc>
          <w:tcPr>
            <w:tcW w:w="0" w:type="auto"/>
            <w:shd w:val="clear" w:color="auto" w:fill="auto"/>
            <w:vAlign w:val="bottom"/>
          </w:tcPr>
          <w:p w14:paraId="71D40048" w14:textId="77777777" w:rsidR="006A3667" w:rsidRDefault="006A3667">
            <w:pPr>
              <w:rPr>
                <w:rFonts w:ascii="宋体"/>
                <w:vanish/>
              </w:rPr>
            </w:pPr>
          </w:p>
        </w:tc>
        <w:tc>
          <w:tcPr>
            <w:tcW w:w="0" w:type="auto"/>
            <w:gridSpan w:val="3"/>
            <w:shd w:val="clear" w:color="auto" w:fill="auto"/>
            <w:vAlign w:val="bottom"/>
          </w:tcPr>
          <w:p w14:paraId="71D40049" w14:textId="77777777" w:rsidR="006A3667" w:rsidRDefault="006A3667">
            <w:pPr>
              <w:rPr>
                <w:rFonts w:ascii="宋体"/>
                <w:vanish/>
              </w:rPr>
            </w:pPr>
          </w:p>
        </w:tc>
        <w:tc>
          <w:tcPr>
            <w:tcW w:w="0" w:type="auto"/>
            <w:gridSpan w:val="3"/>
            <w:shd w:val="clear" w:color="auto" w:fill="auto"/>
            <w:vAlign w:val="bottom"/>
          </w:tcPr>
          <w:p w14:paraId="71D4004A" w14:textId="77777777" w:rsidR="006A3667" w:rsidRDefault="006A3667">
            <w:pPr>
              <w:rPr>
                <w:rFonts w:ascii="宋体"/>
                <w:vanish/>
              </w:rPr>
            </w:pPr>
          </w:p>
        </w:tc>
      </w:tr>
      <w:tr w:rsidR="006A3667" w14:paraId="71D40054" w14:textId="77777777">
        <w:trPr>
          <w:hidden/>
        </w:trPr>
        <w:tc>
          <w:tcPr>
            <w:tcW w:w="0" w:type="auto"/>
            <w:gridSpan w:val="3"/>
            <w:shd w:val="clear" w:color="auto" w:fill="auto"/>
            <w:vAlign w:val="bottom"/>
          </w:tcPr>
          <w:p w14:paraId="71D4004C" w14:textId="77777777" w:rsidR="006A3667" w:rsidRDefault="006A3667">
            <w:pPr>
              <w:rPr>
                <w:rFonts w:ascii="宋体"/>
                <w:vanish/>
              </w:rPr>
            </w:pPr>
          </w:p>
        </w:tc>
        <w:tc>
          <w:tcPr>
            <w:tcW w:w="0" w:type="auto"/>
            <w:gridSpan w:val="3"/>
            <w:shd w:val="clear" w:color="auto" w:fill="auto"/>
            <w:vAlign w:val="bottom"/>
          </w:tcPr>
          <w:p w14:paraId="71D4004D" w14:textId="77777777" w:rsidR="006A3667" w:rsidRDefault="006A3667">
            <w:pPr>
              <w:rPr>
                <w:rFonts w:ascii="宋体"/>
                <w:vanish/>
              </w:rPr>
            </w:pPr>
          </w:p>
        </w:tc>
        <w:tc>
          <w:tcPr>
            <w:tcW w:w="0" w:type="auto"/>
            <w:gridSpan w:val="3"/>
            <w:shd w:val="clear" w:color="auto" w:fill="auto"/>
            <w:vAlign w:val="bottom"/>
          </w:tcPr>
          <w:p w14:paraId="71D4004E" w14:textId="77777777" w:rsidR="006A3667" w:rsidRDefault="006A3667">
            <w:pPr>
              <w:rPr>
                <w:rFonts w:ascii="宋体"/>
                <w:vanish/>
              </w:rPr>
            </w:pPr>
          </w:p>
        </w:tc>
        <w:tc>
          <w:tcPr>
            <w:tcW w:w="0" w:type="auto"/>
            <w:gridSpan w:val="3"/>
            <w:shd w:val="clear" w:color="auto" w:fill="auto"/>
            <w:vAlign w:val="bottom"/>
          </w:tcPr>
          <w:p w14:paraId="71D4004F" w14:textId="77777777" w:rsidR="006A3667" w:rsidRDefault="006A3667">
            <w:pPr>
              <w:rPr>
                <w:rFonts w:ascii="宋体"/>
                <w:vanish/>
              </w:rPr>
            </w:pPr>
          </w:p>
        </w:tc>
        <w:tc>
          <w:tcPr>
            <w:tcW w:w="0" w:type="auto"/>
            <w:shd w:val="clear" w:color="auto" w:fill="auto"/>
            <w:vAlign w:val="bottom"/>
          </w:tcPr>
          <w:p w14:paraId="71D40050" w14:textId="77777777" w:rsidR="006A3667" w:rsidRDefault="006A3667">
            <w:pPr>
              <w:rPr>
                <w:rFonts w:ascii="宋体"/>
                <w:vanish/>
              </w:rPr>
            </w:pPr>
          </w:p>
        </w:tc>
        <w:tc>
          <w:tcPr>
            <w:tcW w:w="0" w:type="auto"/>
            <w:shd w:val="clear" w:color="auto" w:fill="auto"/>
            <w:vAlign w:val="bottom"/>
          </w:tcPr>
          <w:p w14:paraId="71D40051" w14:textId="77777777" w:rsidR="006A3667" w:rsidRDefault="006A3667">
            <w:pPr>
              <w:rPr>
                <w:rFonts w:ascii="宋体"/>
                <w:vanish/>
              </w:rPr>
            </w:pPr>
          </w:p>
        </w:tc>
        <w:tc>
          <w:tcPr>
            <w:tcW w:w="0" w:type="auto"/>
            <w:gridSpan w:val="3"/>
            <w:shd w:val="clear" w:color="auto" w:fill="auto"/>
            <w:vAlign w:val="bottom"/>
          </w:tcPr>
          <w:p w14:paraId="71D40052" w14:textId="77777777" w:rsidR="006A3667" w:rsidRDefault="006A3667">
            <w:pPr>
              <w:rPr>
                <w:rFonts w:ascii="宋体"/>
                <w:vanish/>
              </w:rPr>
            </w:pPr>
          </w:p>
        </w:tc>
        <w:tc>
          <w:tcPr>
            <w:tcW w:w="0" w:type="auto"/>
            <w:gridSpan w:val="3"/>
            <w:shd w:val="clear" w:color="auto" w:fill="auto"/>
            <w:vAlign w:val="bottom"/>
          </w:tcPr>
          <w:p w14:paraId="71D40053" w14:textId="77777777" w:rsidR="006A3667" w:rsidRDefault="006A3667">
            <w:pPr>
              <w:rPr>
                <w:rFonts w:ascii="宋体"/>
                <w:vanish/>
              </w:rPr>
            </w:pPr>
          </w:p>
        </w:tc>
      </w:tr>
      <w:tr w:rsidR="006A3667" w14:paraId="71D4005D" w14:textId="77777777">
        <w:trPr>
          <w:hidden/>
        </w:trPr>
        <w:tc>
          <w:tcPr>
            <w:tcW w:w="0" w:type="auto"/>
            <w:gridSpan w:val="3"/>
            <w:shd w:val="clear" w:color="auto" w:fill="auto"/>
            <w:vAlign w:val="bottom"/>
          </w:tcPr>
          <w:p w14:paraId="71D40055" w14:textId="77777777" w:rsidR="006A3667" w:rsidRDefault="006A3667">
            <w:pPr>
              <w:rPr>
                <w:rFonts w:ascii="宋体"/>
                <w:vanish/>
              </w:rPr>
            </w:pPr>
          </w:p>
        </w:tc>
        <w:tc>
          <w:tcPr>
            <w:tcW w:w="0" w:type="auto"/>
            <w:gridSpan w:val="3"/>
            <w:shd w:val="clear" w:color="auto" w:fill="auto"/>
            <w:vAlign w:val="bottom"/>
          </w:tcPr>
          <w:p w14:paraId="71D40056" w14:textId="77777777" w:rsidR="006A3667" w:rsidRDefault="006A3667">
            <w:pPr>
              <w:rPr>
                <w:rFonts w:ascii="宋体"/>
                <w:vanish/>
              </w:rPr>
            </w:pPr>
          </w:p>
        </w:tc>
        <w:tc>
          <w:tcPr>
            <w:tcW w:w="0" w:type="auto"/>
            <w:gridSpan w:val="3"/>
            <w:shd w:val="clear" w:color="auto" w:fill="auto"/>
            <w:vAlign w:val="bottom"/>
          </w:tcPr>
          <w:p w14:paraId="71D40057" w14:textId="77777777" w:rsidR="006A3667" w:rsidRDefault="006A3667">
            <w:pPr>
              <w:rPr>
                <w:rFonts w:ascii="宋体"/>
                <w:vanish/>
              </w:rPr>
            </w:pPr>
          </w:p>
        </w:tc>
        <w:tc>
          <w:tcPr>
            <w:tcW w:w="0" w:type="auto"/>
            <w:gridSpan w:val="3"/>
            <w:shd w:val="clear" w:color="auto" w:fill="auto"/>
            <w:vAlign w:val="bottom"/>
          </w:tcPr>
          <w:p w14:paraId="71D40058" w14:textId="77777777" w:rsidR="006A3667" w:rsidRDefault="006A3667">
            <w:pPr>
              <w:rPr>
                <w:rFonts w:ascii="宋体"/>
                <w:vanish/>
              </w:rPr>
            </w:pPr>
          </w:p>
        </w:tc>
        <w:tc>
          <w:tcPr>
            <w:tcW w:w="0" w:type="auto"/>
            <w:shd w:val="clear" w:color="auto" w:fill="auto"/>
            <w:vAlign w:val="bottom"/>
          </w:tcPr>
          <w:p w14:paraId="71D40059" w14:textId="77777777" w:rsidR="006A3667" w:rsidRDefault="006A3667">
            <w:pPr>
              <w:rPr>
                <w:rFonts w:ascii="宋体"/>
                <w:vanish/>
              </w:rPr>
            </w:pPr>
          </w:p>
        </w:tc>
        <w:tc>
          <w:tcPr>
            <w:tcW w:w="0" w:type="auto"/>
            <w:shd w:val="clear" w:color="auto" w:fill="auto"/>
            <w:vAlign w:val="bottom"/>
          </w:tcPr>
          <w:p w14:paraId="71D4005A" w14:textId="77777777" w:rsidR="006A3667" w:rsidRDefault="006A3667">
            <w:pPr>
              <w:rPr>
                <w:rFonts w:ascii="宋体"/>
                <w:vanish/>
              </w:rPr>
            </w:pPr>
          </w:p>
        </w:tc>
        <w:tc>
          <w:tcPr>
            <w:tcW w:w="0" w:type="auto"/>
            <w:gridSpan w:val="3"/>
            <w:shd w:val="clear" w:color="auto" w:fill="auto"/>
            <w:vAlign w:val="bottom"/>
          </w:tcPr>
          <w:p w14:paraId="71D4005B" w14:textId="77777777" w:rsidR="006A3667" w:rsidRDefault="006A3667">
            <w:pPr>
              <w:rPr>
                <w:rFonts w:ascii="宋体"/>
                <w:vanish/>
              </w:rPr>
            </w:pPr>
          </w:p>
        </w:tc>
        <w:tc>
          <w:tcPr>
            <w:tcW w:w="0" w:type="auto"/>
            <w:gridSpan w:val="3"/>
            <w:shd w:val="clear" w:color="auto" w:fill="auto"/>
            <w:vAlign w:val="bottom"/>
          </w:tcPr>
          <w:p w14:paraId="71D4005C" w14:textId="77777777" w:rsidR="006A3667" w:rsidRDefault="006A3667">
            <w:pPr>
              <w:rPr>
                <w:rFonts w:ascii="宋体"/>
                <w:vanish/>
              </w:rPr>
            </w:pPr>
          </w:p>
        </w:tc>
      </w:tr>
      <w:tr w:rsidR="006A3667" w14:paraId="71D40066" w14:textId="77777777">
        <w:trPr>
          <w:hidden/>
        </w:trPr>
        <w:tc>
          <w:tcPr>
            <w:tcW w:w="0" w:type="auto"/>
            <w:gridSpan w:val="3"/>
            <w:shd w:val="clear" w:color="auto" w:fill="auto"/>
            <w:vAlign w:val="bottom"/>
          </w:tcPr>
          <w:p w14:paraId="71D4005E" w14:textId="77777777" w:rsidR="006A3667" w:rsidRDefault="006A3667">
            <w:pPr>
              <w:rPr>
                <w:rFonts w:ascii="宋体"/>
                <w:vanish/>
              </w:rPr>
            </w:pPr>
          </w:p>
        </w:tc>
        <w:tc>
          <w:tcPr>
            <w:tcW w:w="0" w:type="auto"/>
            <w:gridSpan w:val="3"/>
            <w:shd w:val="clear" w:color="auto" w:fill="auto"/>
            <w:vAlign w:val="bottom"/>
          </w:tcPr>
          <w:p w14:paraId="71D4005F" w14:textId="77777777" w:rsidR="006A3667" w:rsidRDefault="006A3667">
            <w:pPr>
              <w:rPr>
                <w:rFonts w:ascii="宋体"/>
                <w:vanish/>
              </w:rPr>
            </w:pPr>
          </w:p>
        </w:tc>
        <w:tc>
          <w:tcPr>
            <w:tcW w:w="0" w:type="auto"/>
            <w:gridSpan w:val="3"/>
            <w:shd w:val="clear" w:color="auto" w:fill="auto"/>
            <w:vAlign w:val="bottom"/>
          </w:tcPr>
          <w:p w14:paraId="71D40060" w14:textId="77777777" w:rsidR="006A3667" w:rsidRDefault="006A3667">
            <w:pPr>
              <w:rPr>
                <w:rFonts w:ascii="宋体"/>
                <w:vanish/>
              </w:rPr>
            </w:pPr>
          </w:p>
        </w:tc>
        <w:tc>
          <w:tcPr>
            <w:tcW w:w="0" w:type="auto"/>
            <w:gridSpan w:val="3"/>
            <w:shd w:val="clear" w:color="auto" w:fill="auto"/>
            <w:vAlign w:val="bottom"/>
          </w:tcPr>
          <w:p w14:paraId="71D40061" w14:textId="77777777" w:rsidR="006A3667" w:rsidRDefault="006A3667">
            <w:pPr>
              <w:rPr>
                <w:rFonts w:ascii="宋体"/>
                <w:vanish/>
              </w:rPr>
            </w:pPr>
          </w:p>
        </w:tc>
        <w:tc>
          <w:tcPr>
            <w:tcW w:w="0" w:type="auto"/>
            <w:shd w:val="clear" w:color="auto" w:fill="auto"/>
            <w:vAlign w:val="bottom"/>
          </w:tcPr>
          <w:p w14:paraId="71D40062" w14:textId="77777777" w:rsidR="006A3667" w:rsidRDefault="006A3667">
            <w:pPr>
              <w:rPr>
                <w:rFonts w:ascii="宋体"/>
                <w:vanish/>
              </w:rPr>
            </w:pPr>
          </w:p>
        </w:tc>
        <w:tc>
          <w:tcPr>
            <w:tcW w:w="0" w:type="auto"/>
            <w:shd w:val="clear" w:color="auto" w:fill="auto"/>
            <w:vAlign w:val="bottom"/>
          </w:tcPr>
          <w:p w14:paraId="71D40063" w14:textId="77777777" w:rsidR="006A3667" w:rsidRDefault="006A3667">
            <w:pPr>
              <w:rPr>
                <w:rFonts w:ascii="宋体"/>
                <w:vanish/>
              </w:rPr>
            </w:pPr>
          </w:p>
        </w:tc>
        <w:tc>
          <w:tcPr>
            <w:tcW w:w="0" w:type="auto"/>
            <w:gridSpan w:val="3"/>
            <w:shd w:val="clear" w:color="auto" w:fill="auto"/>
            <w:vAlign w:val="bottom"/>
          </w:tcPr>
          <w:p w14:paraId="71D40064" w14:textId="77777777" w:rsidR="006A3667" w:rsidRDefault="006A3667">
            <w:pPr>
              <w:rPr>
                <w:rFonts w:ascii="宋体"/>
                <w:vanish/>
              </w:rPr>
            </w:pPr>
          </w:p>
        </w:tc>
        <w:tc>
          <w:tcPr>
            <w:tcW w:w="0" w:type="auto"/>
            <w:gridSpan w:val="3"/>
            <w:shd w:val="clear" w:color="auto" w:fill="auto"/>
            <w:vAlign w:val="bottom"/>
          </w:tcPr>
          <w:p w14:paraId="71D40065" w14:textId="77777777" w:rsidR="006A3667" w:rsidRDefault="006A3667">
            <w:pPr>
              <w:rPr>
                <w:rFonts w:ascii="宋体"/>
                <w:vanish/>
              </w:rPr>
            </w:pPr>
          </w:p>
        </w:tc>
      </w:tr>
      <w:tr w:rsidR="006A3667" w14:paraId="71D4006F" w14:textId="77777777">
        <w:trPr>
          <w:hidden/>
        </w:trPr>
        <w:tc>
          <w:tcPr>
            <w:tcW w:w="0" w:type="auto"/>
            <w:gridSpan w:val="3"/>
            <w:shd w:val="clear" w:color="auto" w:fill="auto"/>
            <w:vAlign w:val="bottom"/>
          </w:tcPr>
          <w:p w14:paraId="71D40067" w14:textId="77777777" w:rsidR="006A3667" w:rsidRDefault="006A3667">
            <w:pPr>
              <w:rPr>
                <w:rFonts w:ascii="宋体"/>
                <w:vanish/>
              </w:rPr>
            </w:pPr>
          </w:p>
        </w:tc>
        <w:tc>
          <w:tcPr>
            <w:tcW w:w="0" w:type="auto"/>
            <w:gridSpan w:val="3"/>
            <w:shd w:val="clear" w:color="auto" w:fill="auto"/>
            <w:vAlign w:val="bottom"/>
          </w:tcPr>
          <w:p w14:paraId="71D40068" w14:textId="77777777" w:rsidR="006A3667" w:rsidRDefault="006A3667">
            <w:pPr>
              <w:rPr>
                <w:rFonts w:ascii="宋体"/>
                <w:vanish/>
              </w:rPr>
            </w:pPr>
          </w:p>
        </w:tc>
        <w:tc>
          <w:tcPr>
            <w:tcW w:w="0" w:type="auto"/>
            <w:gridSpan w:val="3"/>
            <w:shd w:val="clear" w:color="auto" w:fill="auto"/>
            <w:vAlign w:val="bottom"/>
          </w:tcPr>
          <w:p w14:paraId="71D40069" w14:textId="77777777" w:rsidR="006A3667" w:rsidRDefault="006A3667">
            <w:pPr>
              <w:rPr>
                <w:rFonts w:ascii="宋体"/>
                <w:vanish/>
              </w:rPr>
            </w:pPr>
          </w:p>
        </w:tc>
        <w:tc>
          <w:tcPr>
            <w:tcW w:w="0" w:type="auto"/>
            <w:gridSpan w:val="3"/>
            <w:shd w:val="clear" w:color="auto" w:fill="auto"/>
            <w:vAlign w:val="bottom"/>
          </w:tcPr>
          <w:p w14:paraId="71D4006A" w14:textId="77777777" w:rsidR="006A3667" w:rsidRDefault="006A3667">
            <w:pPr>
              <w:rPr>
                <w:rFonts w:ascii="宋体"/>
                <w:vanish/>
              </w:rPr>
            </w:pPr>
          </w:p>
        </w:tc>
        <w:tc>
          <w:tcPr>
            <w:tcW w:w="0" w:type="auto"/>
            <w:shd w:val="clear" w:color="auto" w:fill="auto"/>
            <w:vAlign w:val="bottom"/>
          </w:tcPr>
          <w:p w14:paraId="71D4006B" w14:textId="77777777" w:rsidR="006A3667" w:rsidRDefault="006A3667">
            <w:pPr>
              <w:rPr>
                <w:rFonts w:ascii="宋体"/>
                <w:vanish/>
              </w:rPr>
            </w:pPr>
          </w:p>
        </w:tc>
        <w:tc>
          <w:tcPr>
            <w:tcW w:w="0" w:type="auto"/>
            <w:shd w:val="clear" w:color="auto" w:fill="auto"/>
            <w:vAlign w:val="bottom"/>
          </w:tcPr>
          <w:p w14:paraId="71D4006C" w14:textId="77777777" w:rsidR="006A3667" w:rsidRDefault="006A3667">
            <w:pPr>
              <w:rPr>
                <w:rFonts w:ascii="宋体"/>
                <w:vanish/>
              </w:rPr>
            </w:pPr>
          </w:p>
        </w:tc>
        <w:tc>
          <w:tcPr>
            <w:tcW w:w="0" w:type="auto"/>
            <w:gridSpan w:val="3"/>
            <w:shd w:val="clear" w:color="auto" w:fill="auto"/>
            <w:vAlign w:val="bottom"/>
          </w:tcPr>
          <w:p w14:paraId="71D4006D" w14:textId="77777777" w:rsidR="006A3667" w:rsidRDefault="006A3667">
            <w:pPr>
              <w:rPr>
                <w:rFonts w:ascii="宋体"/>
                <w:vanish/>
              </w:rPr>
            </w:pPr>
          </w:p>
        </w:tc>
        <w:tc>
          <w:tcPr>
            <w:tcW w:w="0" w:type="auto"/>
            <w:gridSpan w:val="3"/>
            <w:shd w:val="clear" w:color="auto" w:fill="auto"/>
            <w:vAlign w:val="bottom"/>
          </w:tcPr>
          <w:p w14:paraId="71D4006E" w14:textId="77777777" w:rsidR="006A3667" w:rsidRDefault="006A3667">
            <w:pPr>
              <w:rPr>
                <w:rFonts w:ascii="宋体"/>
                <w:vanish/>
              </w:rPr>
            </w:pPr>
          </w:p>
        </w:tc>
      </w:tr>
      <w:tr w:rsidR="006A3667" w14:paraId="71D40078" w14:textId="77777777">
        <w:trPr>
          <w:hidden/>
        </w:trPr>
        <w:tc>
          <w:tcPr>
            <w:tcW w:w="0" w:type="auto"/>
            <w:gridSpan w:val="3"/>
            <w:shd w:val="clear" w:color="auto" w:fill="auto"/>
            <w:vAlign w:val="bottom"/>
          </w:tcPr>
          <w:p w14:paraId="71D40070" w14:textId="77777777" w:rsidR="006A3667" w:rsidRDefault="006A3667">
            <w:pPr>
              <w:rPr>
                <w:rFonts w:ascii="宋体"/>
                <w:vanish/>
              </w:rPr>
            </w:pPr>
          </w:p>
        </w:tc>
        <w:tc>
          <w:tcPr>
            <w:tcW w:w="0" w:type="auto"/>
            <w:gridSpan w:val="3"/>
            <w:shd w:val="clear" w:color="auto" w:fill="auto"/>
            <w:vAlign w:val="bottom"/>
          </w:tcPr>
          <w:p w14:paraId="71D40071" w14:textId="77777777" w:rsidR="006A3667" w:rsidRDefault="006A3667">
            <w:pPr>
              <w:rPr>
                <w:rFonts w:ascii="宋体"/>
                <w:vanish/>
              </w:rPr>
            </w:pPr>
          </w:p>
        </w:tc>
        <w:tc>
          <w:tcPr>
            <w:tcW w:w="0" w:type="auto"/>
            <w:gridSpan w:val="3"/>
            <w:shd w:val="clear" w:color="auto" w:fill="auto"/>
            <w:vAlign w:val="bottom"/>
          </w:tcPr>
          <w:p w14:paraId="71D40072" w14:textId="77777777" w:rsidR="006A3667" w:rsidRDefault="006A3667">
            <w:pPr>
              <w:rPr>
                <w:rFonts w:ascii="宋体"/>
                <w:vanish/>
              </w:rPr>
            </w:pPr>
          </w:p>
        </w:tc>
        <w:tc>
          <w:tcPr>
            <w:tcW w:w="0" w:type="auto"/>
            <w:gridSpan w:val="3"/>
            <w:shd w:val="clear" w:color="auto" w:fill="auto"/>
            <w:vAlign w:val="bottom"/>
          </w:tcPr>
          <w:p w14:paraId="71D40073" w14:textId="77777777" w:rsidR="006A3667" w:rsidRDefault="006A3667">
            <w:pPr>
              <w:rPr>
                <w:rFonts w:ascii="宋体"/>
                <w:vanish/>
              </w:rPr>
            </w:pPr>
          </w:p>
        </w:tc>
        <w:tc>
          <w:tcPr>
            <w:tcW w:w="0" w:type="auto"/>
            <w:shd w:val="clear" w:color="auto" w:fill="auto"/>
            <w:vAlign w:val="bottom"/>
          </w:tcPr>
          <w:p w14:paraId="71D40074" w14:textId="77777777" w:rsidR="006A3667" w:rsidRDefault="006A3667">
            <w:pPr>
              <w:rPr>
                <w:rFonts w:ascii="宋体"/>
                <w:vanish/>
              </w:rPr>
            </w:pPr>
          </w:p>
        </w:tc>
        <w:tc>
          <w:tcPr>
            <w:tcW w:w="0" w:type="auto"/>
            <w:shd w:val="clear" w:color="auto" w:fill="auto"/>
            <w:vAlign w:val="bottom"/>
          </w:tcPr>
          <w:p w14:paraId="71D40075" w14:textId="77777777" w:rsidR="006A3667" w:rsidRDefault="006A3667">
            <w:pPr>
              <w:rPr>
                <w:rFonts w:ascii="宋体"/>
                <w:vanish/>
              </w:rPr>
            </w:pPr>
          </w:p>
        </w:tc>
        <w:tc>
          <w:tcPr>
            <w:tcW w:w="0" w:type="auto"/>
            <w:gridSpan w:val="3"/>
            <w:shd w:val="clear" w:color="auto" w:fill="auto"/>
            <w:vAlign w:val="bottom"/>
          </w:tcPr>
          <w:p w14:paraId="71D40076" w14:textId="77777777" w:rsidR="006A3667" w:rsidRDefault="006A3667">
            <w:pPr>
              <w:rPr>
                <w:rFonts w:ascii="宋体"/>
                <w:vanish/>
              </w:rPr>
            </w:pPr>
          </w:p>
        </w:tc>
        <w:tc>
          <w:tcPr>
            <w:tcW w:w="0" w:type="auto"/>
            <w:gridSpan w:val="3"/>
            <w:shd w:val="clear" w:color="auto" w:fill="auto"/>
            <w:vAlign w:val="bottom"/>
          </w:tcPr>
          <w:p w14:paraId="71D40077" w14:textId="77777777" w:rsidR="006A3667" w:rsidRDefault="006A3667">
            <w:pPr>
              <w:rPr>
                <w:rFonts w:ascii="宋体"/>
                <w:vanish/>
              </w:rPr>
            </w:pPr>
          </w:p>
        </w:tc>
      </w:tr>
      <w:tr w:rsidR="006A3667" w14:paraId="71D40081" w14:textId="77777777">
        <w:trPr>
          <w:hidden/>
        </w:trPr>
        <w:tc>
          <w:tcPr>
            <w:tcW w:w="0" w:type="auto"/>
            <w:gridSpan w:val="3"/>
            <w:shd w:val="clear" w:color="auto" w:fill="auto"/>
            <w:vAlign w:val="bottom"/>
          </w:tcPr>
          <w:p w14:paraId="71D40079" w14:textId="77777777" w:rsidR="006A3667" w:rsidRDefault="006A3667">
            <w:pPr>
              <w:rPr>
                <w:rFonts w:ascii="宋体"/>
                <w:vanish/>
              </w:rPr>
            </w:pPr>
          </w:p>
        </w:tc>
        <w:tc>
          <w:tcPr>
            <w:tcW w:w="0" w:type="auto"/>
            <w:gridSpan w:val="3"/>
            <w:shd w:val="clear" w:color="auto" w:fill="auto"/>
            <w:vAlign w:val="bottom"/>
          </w:tcPr>
          <w:p w14:paraId="71D4007A" w14:textId="77777777" w:rsidR="006A3667" w:rsidRDefault="006A3667">
            <w:pPr>
              <w:rPr>
                <w:rFonts w:ascii="宋体"/>
                <w:vanish/>
              </w:rPr>
            </w:pPr>
          </w:p>
        </w:tc>
        <w:tc>
          <w:tcPr>
            <w:tcW w:w="0" w:type="auto"/>
            <w:gridSpan w:val="3"/>
            <w:shd w:val="clear" w:color="auto" w:fill="auto"/>
            <w:vAlign w:val="bottom"/>
          </w:tcPr>
          <w:p w14:paraId="71D4007B" w14:textId="77777777" w:rsidR="006A3667" w:rsidRDefault="006A3667">
            <w:pPr>
              <w:rPr>
                <w:rFonts w:ascii="宋体"/>
                <w:vanish/>
              </w:rPr>
            </w:pPr>
          </w:p>
        </w:tc>
        <w:tc>
          <w:tcPr>
            <w:tcW w:w="0" w:type="auto"/>
            <w:gridSpan w:val="3"/>
            <w:shd w:val="clear" w:color="auto" w:fill="auto"/>
            <w:vAlign w:val="bottom"/>
          </w:tcPr>
          <w:p w14:paraId="71D4007C" w14:textId="77777777" w:rsidR="006A3667" w:rsidRDefault="006A3667">
            <w:pPr>
              <w:rPr>
                <w:rFonts w:ascii="宋体"/>
                <w:vanish/>
              </w:rPr>
            </w:pPr>
          </w:p>
        </w:tc>
        <w:tc>
          <w:tcPr>
            <w:tcW w:w="0" w:type="auto"/>
            <w:shd w:val="clear" w:color="auto" w:fill="auto"/>
            <w:vAlign w:val="bottom"/>
          </w:tcPr>
          <w:p w14:paraId="71D4007D" w14:textId="77777777" w:rsidR="006A3667" w:rsidRDefault="006A3667">
            <w:pPr>
              <w:rPr>
                <w:rFonts w:ascii="宋体"/>
                <w:vanish/>
              </w:rPr>
            </w:pPr>
          </w:p>
        </w:tc>
        <w:tc>
          <w:tcPr>
            <w:tcW w:w="0" w:type="auto"/>
            <w:shd w:val="clear" w:color="auto" w:fill="auto"/>
            <w:vAlign w:val="bottom"/>
          </w:tcPr>
          <w:p w14:paraId="71D4007E" w14:textId="77777777" w:rsidR="006A3667" w:rsidRDefault="006A3667">
            <w:pPr>
              <w:rPr>
                <w:rFonts w:ascii="宋体"/>
                <w:vanish/>
              </w:rPr>
            </w:pPr>
          </w:p>
        </w:tc>
        <w:tc>
          <w:tcPr>
            <w:tcW w:w="0" w:type="auto"/>
            <w:gridSpan w:val="3"/>
            <w:shd w:val="clear" w:color="auto" w:fill="auto"/>
            <w:vAlign w:val="bottom"/>
          </w:tcPr>
          <w:p w14:paraId="71D4007F" w14:textId="77777777" w:rsidR="006A3667" w:rsidRDefault="006A3667">
            <w:pPr>
              <w:rPr>
                <w:rFonts w:ascii="宋体"/>
                <w:vanish/>
              </w:rPr>
            </w:pPr>
          </w:p>
        </w:tc>
        <w:tc>
          <w:tcPr>
            <w:tcW w:w="0" w:type="auto"/>
            <w:gridSpan w:val="3"/>
            <w:shd w:val="clear" w:color="auto" w:fill="auto"/>
            <w:vAlign w:val="bottom"/>
          </w:tcPr>
          <w:p w14:paraId="71D40080" w14:textId="77777777" w:rsidR="006A3667" w:rsidRDefault="006A3667">
            <w:pPr>
              <w:rPr>
                <w:rFonts w:ascii="宋体"/>
                <w:vanish/>
              </w:rPr>
            </w:pPr>
          </w:p>
        </w:tc>
      </w:tr>
      <w:tr w:rsidR="006A3667" w14:paraId="71D4008A" w14:textId="77777777">
        <w:trPr>
          <w:hidden/>
        </w:trPr>
        <w:tc>
          <w:tcPr>
            <w:tcW w:w="0" w:type="auto"/>
            <w:gridSpan w:val="3"/>
            <w:shd w:val="clear" w:color="auto" w:fill="auto"/>
            <w:vAlign w:val="bottom"/>
          </w:tcPr>
          <w:p w14:paraId="71D40082" w14:textId="77777777" w:rsidR="006A3667" w:rsidRDefault="006A3667">
            <w:pPr>
              <w:rPr>
                <w:rFonts w:ascii="宋体"/>
                <w:vanish/>
              </w:rPr>
            </w:pPr>
          </w:p>
        </w:tc>
        <w:tc>
          <w:tcPr>
            <w:tcW w:w="0" w:type="auto"/>
            <w:gridSpan w:val="3"/>
            <w:shd w:val="clear" w:color="auto" w:fill="auto"/>
            <w:vAlign w:val="bottom"/>
          </w:tcPr>
          <w:p w14:paraId="71D40083" w14:textId="77777777" w:rsidR="006A3667" w:rsidRDefault="006A3667">
            <w:pPr>
              <w:rPr>
                <w:rFonts w:ascii="宋体"/>
                <w:vanish/>
              </w:rPr>
            </w:pPr>
          </w:p>
        </w:tc>
        <w:tc>
          <w:tcPr>
            <w:tcW w:w="0" w:type="auto"/>
            <w:gridSpan w:val="3"/>
            <w:shd w:val="clear" w:color="auto" w:fill="auto"/>
            <w:vAlign w:val="bottom"/>
          </w:tcPr>
          <w:p w14:paraId="71D40084" w14:textId="77777777" w:rsidR="006A3667" w:rsidRDefault="006A3667">
            <w:pPr>
              <w:rPr>
                <w:rFonts w:ascii="宋体"/>
                <w:vanish/>
              </w:rPr>
            </w:pPr>
          </w:p>
        </w:tc>
        <w:tc>
          <w:tcPr>
            <w:tcW w:w="0" w:type="auto"/>
            <w:gridSpan w:val="3"/>
            <w:shd w:val="clear" w:color="auto" w:fill="auto"/>
            <w:vAlign w:val="bottom"/>
          </w:tcPr>
          <w:p w14:paraId="71D40085" w14:textId="77777777" w:rsidR="006A3667" w:rsidRDefault="006A3667">
            <w:pPr>
              <w:rPr>
                <w:rFonts w:ascii="宋体"/>
                <w:vanish/>
              </w:rPr>
            </w:pPr>
          </w:p>
        </w:tc>
        <w:tc>
          <w:tcPr>
            <w:tcW w:w="0" w:type="auto"/>
            <w:shd w:val="clear" w:color="auto" w:fill="auto"/>
            <w:vAlign w:val="bottom"/>
          </w:tcPr>
          <w:p w14:paraId="71D40086" w14:textId="77777777" w:rsidR="006A3667" w:rsidRDefault="006A3667">
            <w:pPr>
              <w:rPr>
                <w:rFonts w:ascii="宋体"/>
                <w:vanish/>
              </w:rPr>
            </w:pPr>
          </w:p>
        </w:tc>
        <w:tc>
          <w:tcPr>
            <w:tcW w:w="0" w:type="auto"/>
            <w:shd w:val="clear" w:color="auto" w:fill="auto"/>
            <w:vAlign w:val="bottom"/>
          </w:tcPr>
          <w:p w14:paraId="71D40087" w14:textId="77777777" w:rsidR="006A3667" w:rsidRDefault="006A3667">
            <w:pPr>
              <w:rPr>
                <w:rFonts w:ascii="宋体"/>
                <w:vanish/>
              </w:rPr>
            </w:pPr>
          </w:p>
        </w:tc>
        <w:tc>
          <w:tcPr>
            <w:tcW w:w="0" w:type="auto"/>
            <w:gridSpan w:val="3"/>
            <w:shd w:val="clear" w:color="auto" w:fill="auto"/>
            <w:vAlign w:val="bottom"/>
          </w:tcPr>
          <w:p w14:paraId="71D40088" w14:textId="77777777" w:rsidR="006A3667" w:rsidRDefault="006A3667">
            <w:pPr>
              <w:rPr>
                <w:rFonts w:ascii="宋体"/>
                <w:vanish/>
              </w:rPr>
            </w:pPr>
          </w:p>
        </w:tc>
        <w:tc>
          <w:tcPr>
            <w:tcW w:w="0" w:type="auto"/>
            <w:gridSpan w:val="3"/>
            <w:shd w:val="clear" w:color="auto" w:fill="auto"/>
            <w:vAlign w:val="bottom"/>
          </w:tcPr>
          <w:p w14:paraId="71D40089" w14:textId="77777777" w:rsidR="006A3667" w:rsidRDefault="006A3667">
            <w:pPr>
              <w:rPr>
                <w:rFonts w:ascii="宋体"/>
                <w:vanish/>
              </w:rPr>
            </w:pPr>
          </w:p>
        </w:tc>
      </w:tr>
      <w:tr w:rsidR="006A3667" w14:paraId="71D40095" w14:textId="77777777">
        <w:tc>
          <w:tcPr>
            <w:tcW w:w="0" w:type="auto"/>
            <w:gridSpan w:val="3"/>
            <w:shd w:val="clear" w:color="auto" w:fill="CCEEFF"/>
            <w:tcMar>
              <w:top w:w="40" w:type="dxa"/>
              <w:left w:w="140" w:type="dxa"/>
              <w:bottom w:w="40" w:type="dxa"/>
              <w:right w:w="20" w:type="dxa"/>
            </w:tcMar>
            <w:vAlign w:val="bottom"/>
          </w:tcPr>
          <w:p w14:paraId="71D4008B" w14:textId="77777777" w:rsidR="006A3667" w:rsidRDefault="00045F32">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71D4008C" w14:textId="77777777" w:rsidR="006A3667" w:rsidRDefault="00045F32">
            <w:pPr>
              <w:jc w:val="right"/>
              <w:textAlignment w:val="bottom"/>
            </w:pPr>
            <w:r>
              <w:rPr>
                <w:rFonts w:ascii="Arial" w:eastAsia="宋体" w:hAnsi="Arial" w:cs="Arial"/>
                <w:b/>
                <w:bCs/>
                <w:color w:val="000000"/>
                <w:sz w:val="14"/>
                <w:szCs w:val="14"/>
              </w:rPr>
              <w:t>57,868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08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08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08F" w14:textId="77777777" w:rsidR="006A3667" w:rsidRDefault="00045F32">
            <w:pPr>
              <w:jc w:val="right"/>
              <w:textAlignment w:val="bottom"/>
            </w:pPr>
            <w:r>
              <w:rPr>
                <w:rFonts w:ascii="Arial" w:eastAsia="宋体" w:hAnsi="Arial" w:cs="Arial"/>
                <w:color w:val="000000"/>
                <w:sz w:val="14"/>
                <w:szCs w:val="14"/>
              </w:rPr>
              <w:t>65,051 </w:t>
            </w:r>
          </w:p>
        </w:tc>
        <w:tc>
          <w:tcPr>
            <w:tcW w:w="0" w:type="auto"/>
            <w:shd w:val="clear" w:color="auto" w:fill="CCEEFF"/>
            <w:tcMar>
              <w:top w:w="40" w:type="dxa"/>
              <w:left w:w="0" w:type="dxa"/>
              <w:bottom w:w="40" w:type="dxa"/>
              <w:right w:w="20" w:type="dxa"/>
            </w:tcMar>
            <w:vAlign w:val="bottom"/>
          </w:tcPr>
          <w:p w14:paraId="71D40090" w14:textId="77777777" w:rsidR="006A3667" w:rsidRDefault="006A3667">
            <w:pPr>
              <w:jc w:val="right"/>
              <w:rPr>
                <w:rFonts w:ascii="宋体"/>
              </w:rPr>
            </w:pPr>
          </w:p>
        </w:tc>
        <w:tc>
          <w:tcPr>
            <w:tcW w:w="0" w:type="auto"/>
            <w:shd w:val="clear" w:color="auto" w:fill="auto"/>
            <w:vAlign w:val="bottom"/>
          </w:tcPr>
          <w:p w14:paraId="71D40091" w14:textId="77777777" w:rsidR="006A3667" w:rsidRDefault="006A3667">
            <w:pPr>
              <w:rPr>
                <w:rFonts w:ascii="宋体"/>
                <w:vanish/>
              </w:rPr>
            </w:pPr>
          </w:p>
        </w:tc>
        <w:tc>
          <w:tcPr>
            <w:tcW w:w="0" w:type="auto"/>
            <w:shd w:val="clear" w:color="auto" w:fill="auto"/>
            <w:vAlign w:val="bottom"/>
          </w:tcPr>
          <w:p w14:paraId="71D40092" w14:textId="77777777" w:rsidR="006A3667" w:rsidRDefault="006A3667">
            <w:pPr>
              <w:rPr>
                <w:rFonts w:ascii="宋体"/>
                <w:vanish/>
              </w:rPr>
            </w:pPr>
          </w:p>
        </w:tc>
        <w:tc>
          <w:tcPr>
            <w:tcW w:w="0" w:type="auto"/>
            <w:gridSpan w:val="3"/>
            <w:shd w:val="clear" w:color="auto" w:fill="auto"/>
            <w:vAlign w:val="bottom"/>
          </w:tcPr>
          <w:p w14:paraId="71D40093" w14:textId="77777777" w:rsidR="006A3667" w:rsidRDefault="006A3667">
            <w:pPr>
              <w:rPr>
                <w:rFonts w:ascii="宋体"/>
                <w:vanish/>
              </w:rPr>
            </w:pPr>
          </w:p>
        </w:tc>
        <w:tc>
          <w:tcPr>
            <w:tcW w:w="0" w:type="auto"/>
            <w:gridSpan w:val="3"/>
            <w:shd w:val="clear" w:color="auto" w:fill="auto"/>
            <w:vAlign w:val="bottom"/>
          </w:tcPr>
          <w:p w14:paraId="71D40094" w14:textId="77777777" w:rsidR="006A3667" w:rsidRDefault="006A3667">
            <w:pPr>
              <w:rPr>
                <w:rFonts w:ascii="宋体"/>
                <w:vanish/>
              </w:rPr>
            </w:pPr>
          </w:p>
        </w:tc>
      </w:tr>
      <w:tr w:rsidR="006A3667" w14:paraId="71D400A0" w14:textId="77777777">
        <w:tc>
          <w:tcPr>
            <w:tcW w:w="0" w:type="auto"/>
            <w:gridSpan w:val="3"/>
            <w:shd w:val="clear" w:color="auto" w:fill="FFFFFF"/>
            <w:tcMar>
              <w:top w:w="40" w:type="dxa"/>
              <w:left w:w="140" w:type="dxa"/>
              <w:bottom w:w="40" w:type="dxa"/>
              <w:right w:w="20" w:type="dxa"/>
            </w:tcMar>
            <w:vAlign w:val="bottom"/>
          </w:tcPr>
          <w:p w14:paraId="71D40096" w14:textId="77777777" w:rsidR="006A3667" w:rsidRDefault="00045F32">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71D40097" w14:textId="77777777" w:rsidR="006A3667" w:rsidRDefault="00045F32">
            <w:pPr>
              <w:jc w:val="right"/>
              <w:textAlignment w:val="bottom"/>
            </w:pPr>
            <w:r>
              <w:rPr>
                <w:rFonts w:ascii="Arial" w:eastAsia="宋体" w:hAnsi="Arial" w:cs="Arial"/>
                <w:b/>
                <w:bCs/>
                <w:color w:val="000000"/>
                <w:sz w:val="14"/>
                <w:szCs w:val="14"/>
              </w:rPr>
              <w:t>56,124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0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09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09A" w14:textId="77777777" w:rsidR="006A3667" w:rsidRDefault="00045F32">
            <w:pPr>
              <w:jc w:val="right"/>
              <w:textAlignment w:val="bottom"/>
            </w:pPr>
            <w:r>
              <w:rPr>
                <w:rFonts w:ascii="Arial" w:eastAsia="宋体" w:hAnsi="Arial" w:cs="Arial"/>
                <w:color w:val="000000"/>
                <w:sz w:val="14"/>
                <w:szCs w:val="14"/>
              </w:rPr>
              <w:t>45,526 </w:t>
            </w:r>
          </w:p>
        </w:tc>
        <w:tc>
          <w:tcPr>
            <w:tcW w:w="0" w:type="auto"/>
            <w:shd w:val="clear" w:color="auto" w:fill="FFFFFF"/>
            <w:tcMar>
              <w:top w:w="40" w:type="dxa"/>
              <w:left w:w="0" w:type="dxa"/>
              <w:bottom w:w="40" w:type="dxa"/>
              <w:right w:w="20" w:type="dxa"/>
            </w:tcMar>
            <w:vAlign w:val="bottom"/>
          </w:tcPr>
          <w:p w14:paraId="71D4009B" w14:textId="77777777" w:rsidR="006A3667" w:rsidRDefault="006A3667">
            <w:pPr>
              <w:jc w:val="right"/>
              <w:rPr>
                <w:rFonts w:ascii="宋体"/>
              </w:rPr>
            </w:pPr>
          </w:p>
        </w:tc>
        <w:tc>
          <w:tcPr>
            <w:tcW w:w="0" w:type="auto"/>
            <w:shd w:val="clear" w:color="auto" w:fill="auto"/>
            <w:vAlign w:val="bottom"/>
          </w:tcPr>
          <w:p w14:paraId="71D4009C" w14:textId="77777777" w:rsidR="006A3667" w:rsidRDefault="006A3667">
            <w:pPr>
              <w:rPr>
                <w:rFonts w:ascii="宋体"/>
                <w:vanish/>
              </w:rPr>
            </w:pPr>
          </w:p>
        </w:tc>
        <w:tc>
          <w:tcPr>
            <w:tcW w:w="0" w:type="auto"/>
            <w:shd w:val="clear" w:color="auto" w:fill="auto"/>
            <w:vAlign w:val="bottom"/>
          </w:tcPr>
          <w:p w14:paraId="71D4009D" w14:textId="77777777" w:rsidR="006A3667" w:rsidRDefault="006A3667">
            <w:pPr>
              <w:rPr>
                <w:rFonts w:ascii="宋体"/>
                <w:vanish/>
              </w:rPr>
            </w:pPr>
          </w:p>
        </w:tc>
        <w:tc>
          <w:tcPr>
            <w:tcW w:w="0" w:type="auto"/>
            <w:gridSpan w:val="3"/>
            <w:shd w:val="clear" w:color="auto" w:fill="auto"/>
            <w:vAlign w:val="bottom"/>
          </w:tcPr>
          <w:p w14:paraId="71D4009E" w14:textId="77777777" w:rsidR="006A3667" w:rsidRDefault="006A3667">
            <w:pPr>
              <w:rPr>
                <w:rFonts w:ascii="宋体"/>
                <w:vanish/>
              </w:rPr>
            </w:pPr>
          </w:p>
        </w:tc>
        <w:tc>
          <w:tcPr>
            <w:tcW w:w="0" w:type="auto"/>
            <w:gridSpan w:val="3"/>
            <w:shd w:val="clear" w:color="auto" w:fill="auto"/>
            <w:vAlign w:val="bottom"/>
          </w:tcPr>
          <w:p w14:paraId="71D4009F" w14:textId="77777777" w:rsidR="006A3667" w:rsidRDefault="006A3667">
            <w:pPr>
              <w:rPr>
                <w:rFonts w:ascii="宋体"/>
                <w:vanish/>
              </w:rPr>
            </w:pPr>
          </w:p>
        </w:tc>
      </w:tr>
      <w:tr w:rsidR="006A3667" w14:paraId="71D400AB" w14:textId="77777777">
        <w:tc>
          <w:tcPr>
            <w:tcW w:w="0" w:type="auto"/>
            <w:gridSpan w:val="3"/>
            <w:shd w:val="clear" w:color="auto" w:fill="CCEEFF"/>
            <w:tcMar>
              <w:top w:w="40" w:type="dxa"/>
              <w:left w:w="140" w:type="dxa"/>
              <w:bottom w:w="40" w:type="dxa"/>
              <w:right w:w="20" w:type="dxa"/>
            </w:tcMar>
            <w:vAlign w:val="bottom"/>
          </w:tcPr>
          <w:p w14:paraId="71D400A1" w14:textId="77777777" w:rsidR="006A3667" w:rsidRDefault="00045F32">
            <w:pPr>
              <w:textAlignment w:val="bottom"/>
            </w:pPr>
            <w:r>
              <w:rPr>
                <w:rFonts w:ascii="Arial" w:eastAsia="宋体" w:hAnsi="Arial" w:cs="Arial"/>
                <w:color w:val="000000"/>
                <w:sz w:val="14"/>
                <w:szCs w:val="14"/>
              </w:rPr>
              <w:t>Investment securities 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71D400A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0A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0A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0A5" w14:textId="77777777" w:rsidR="006A3667" w:rsidRDefault="00045F32">
            <w:pPr>
              <w:jc w:val="right"/>
              <w:textAlignment w:val="bottom"/>
            </w:pPr>
            <w:r>
              <w:rPr>
                <w:rFonts w:ascii="Arial" w:eastAsia="宋体" w:hAnsi="Arial" w:cs="Arial"/>
                <w:color w:val="000000"/>
                <w:sz w:val="14"/>
                <w:szCs w:val="14"/>
              </w:rPr>
              <w:t>420 </w:t>
            </w:r>
          </w:p>
        </w:tc>
        <w:tc>
          <w:tcPr>
            <w:tcW w:w="0" w:type="auto"/>
            <w:shd w:val="clear" w:color="auto" w:fill="CCEEFF"/>
            <w:tcMar>
              <w:top w:w="40" w:type="dxa"/>
              <w:left w:w="0" w:type="dxa"/>
              <w:bottom w:w="40" w:type="dxa"/>
              <w:right w:w="20" w:type="dxa"/>
            </w:tcMar>
            <w:vAlign w:val="bottom"/>
          </w:tcPr>
          <w:p w14:paraId="71D400A6" w14:textId="77777777" w:rsidR="006A3667" w:rsidRDefault="006A3667">
            <w:pPr>
              <w:jc w:val="right"/>
              <w:rPr>
                <w:rFonts w:ascii="宋体"/>
              </w:rPr>
            </w:pPr>
          </w:p>
        </w:tc>
        <w:tc>
          <w:tcPr>
            <w:tcW w:w="0" w:type="auto"/>
            <w:shd w:val="clear" w:color="auto" w:fill="auto"/>
            <w:vAlign w:val="bottom"/>
          </w:tcPr>
          <w:p w14:paraId="71D400A7" w14:textId="77777777" w:rsidR="006A3667" w:rsidRDefault="006A3667">
            <w:pPr>
              <w:rPr>
                <w:rFonts w:ascii="宋体"/>
                <w:vanish/>
              </w:rPr>
            </w:pPr>
          </w:p>
        </w:tc>
        <w:tc>
          <w:tcPr>
            <w:tcW w:w="0" w:type="auto"/>
            <w:shd w:val="clear" w:color="auto" w:fill="auto"/>
            <w:vAlign w:val="bottom"/>
          </w:tcPr>
          <w:p w14:paraId="71D400A8" w14:textId="77777777" w:rsidR="006A3667" w:rsidRDefault="006A3667">
            <w:pPr>
              <w:rPr>
                <w:rFonts w:ascii="宋体"/>
                <w:vanish/>
              </w:rPr>
            </w:pPr>
          </w:p>
        </w:tc>
        <w:tc>
          <w:tcPr>
            <w:tcW w:w="0" w:type="auto"/>
            <w:gridSpan w:val="3"/>
            <w:shd w:val="clear" w:color="auto" w:fill="auto"/>
            <w:vAlign w:val="bottom"/>
          </w:tcPr>
          <w:p w14:paraId="71D400A9" w14:textId="77777777" w:rsidR="006A3667" w:rsidRDefault="006A3667">
            <w:pPr>
              <w:rPr>
                <w:rFonts w:ascii="宋体"/>
                <w:vanish/>
              </w:rPr>
            </w:pPr>
          </w:p>
        </w:tc>
        <w:tc>
          <w:tcPr>
            <w:tcW w:w="0" w:type="auto"/>
            <w:gridSpan w:val="3"/>
            <w:shd w:val="clear" w:color="auto" w:fill="auto"/>
            <w:vAlign w:val="bottom"/>
          </w:tcPr>
          <w:p w14:paraId="71D400AA" w14:textId="77777777" w:rsidR="006A3667" w:rsidRDefault="006A3667">
            <w:pPr>
              <w:rPr>
                <w:rFonts w:ascii="宋体"/>
                <w:vanish/>
              </w:rPr>
            </w:pPr>
          </w:p>
        </w:tc>
      </w:tr>
      <w:tr w:rsidR="006A3667" w14:paraId="71D400B6" w14:textId="77777777">
        <w:tc>
          <w:tcPr>
            <w:tcW w:w="0" w:type="auto"/>
            <w:gridSpan w:val="3"/>
            <w:shd w:val="clear" w:color="auto" w:fill="FFFFFF"/>
            <w:tcMar>
              <w:top w:w="40" w:type="dxa"/>
              <w:left w:w="20" w:type="dxa"/>
              <w:bottom w:w="40" w:type="dxa"/>
              <w:right w:w="20" w:type="dxa"/>
            </w:tcMar>
            <w:vAlign w:val="bottom"/>
          </w:tcPr>
          <w:p w14:paraId="71D400AC" w14:textId="77777777" w:rsidR="006A3667" w:rsidRDefault="00045F32">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0AD" w14:textId="77777777" w:rsidR="006A3667" w:rsidRDefault="00045F32">
            <w:pPr>
              <w:jc w:val="right"/>
              <w:textAlignment w:val="bottom"/>
            </w:pPr>
            <w:r>
              <w:rPr>
                <w:rFonts w:ascii="Arial" w:eastAsia="宋体" w:hAnsi="Arial" w:cs="Arial"/>
                <w:b/>
                <w:bCs/>
                <w:color w:val="000000"/>
                <w:sz w:val="14"/>
                <w:szCs w:val="14"/>
              </w:rPr>
              <w:t>113,992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0A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0A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0B0" w14:textId="77777777" w:rsidR="006A3667" w:rsidRDefault="00045F32">
            <w:pPr>
              <w:jc w:val="right"/>
              <w:textAlignment w:val="bottom"/>
            </w:pPr>
            <w:r>
              <w:rPr>
                <w:rFonts w:ascii="Arial" w:eastAsia="宋体" w:hAnsi="Arial" w:cs="Arial"/>
                <w:color w:val="000000"/>
                <w:sz w:val="14"/>
                <w:szCs w:val="14"/>
              </w:rPr>
              <w:t>110,997 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0B1" w14:textId="77777777" w:rsidR="006A3667" w:rsidRDefault="006A3667">
            <w:pPr>
              <w:jc w:val="right"/>
              <w:rPr>
                <w:rFonts w:ascii="宋体"/>
              </w:rPr>
            </w:pPr>
          </w:p>
        </w:tc>
        <w:tc>
          <w:tcPr>
            <w:tcW w:w="0" w:type="auto"/>
            <w:shd w:val="clear" w:color="auto" w:fill="auto"/>
            <w:vAlign w:val="bottom"/>
          </w:tcPr>
          <w:p w14:paraId="71D400B2" w14:textId="77777777" w:rsidR="006A3667" w:rsidRDefault="006A3667">
            <w:pPr>
              <w:rPr>
                <w:rFonts w:ascii="宋体"/>
                <w:vanish/>
              </w:rPr>
            </w:pPr>
          </w:p>
        </w:tc>
        <w:tc>
          <w:tcPr>
            <w:tcW w:w="0" w:type="auto"/>
            <w:shd w:val="clear" w:color="auto" w:fill="auto"/>
            <w:vAlign w:val="bottom"/>
          </w:tcPr>
          <w:p w14:paraId="71D400B3" w14:textId="77777777" w:rsidR="006A3667" w:rsidRDefault="006A3667">
            <w:pPr>
              <w:rPr>
                <w:rFonts w:ascii="宋体"/>
                <w:vanish/>
              </w:rPr>
            </w:pPr>
          </w:p>
        </w:tc>
        <w:tc>
          <w:tcPr>
            <w:tcW w:w="0" w:type="auto"/>
            <w:gridSpan w:val="3"/>
            <w:shd w:val="clear" w:color="auto" w:fill="auto"/>
            <w:vAlign w:val="bottom"/>
          </w:tcPr>
          <w:p w14:paraId="71D400B4" w14:textId="77777777" w:rsidR="006A3667" w:rsidRDefault="006A3667">
            <w:pPr>
              <w:rPr>
                <w:rFonts w:ascii="宋体"/>
                <w:vanish/>
              </w:rPr>
            </w:pPr>
          </w:p>
        </w:tc>
        <w:tc>
          <w:tcPr>
            <w:tcW w:w="0" w:type="auto"/>
            <w:gridSpan w:val="3"/>
            <w:shd w:val="clear" w:color="auto" w:fill="auto"/>
            <w:vAlign w:val="bottom"/>
          </w:tcPr>
          <w:p w14:paraId="71D400B5" w14:textId="77777777" w:rsidR="006A3667" w:rsidRDefault="006A3667">
            <w:pPr>
              <w:rPr>
                <w:rFonts w:ascii="宋体"/>
                <w:vanish/>
              </w:rPr>
            </w:pPr>
          </w:p>
        </w:tc>
      </w:tr>
      <w:tr w:rsidR="006A3667" w14:paraId="71D400C1" w14:textId="77777777">
        <w:tc>
          <w:tcPr>
            <w:tcW w:w="0" w:type="auto"/>
            <w:gridSpan w:val="3"/>
            <w:shd w:val="clear" w:color="auto" w:fill="CCEEFF"/>
            <w:tcMar>
              <w:top w:w="40" w:type="dxa"/>
              <w:left w:w="20" w:type="dxa"/>
              <w:bottom w:w="40" w:type="dxa"/>
              <w:right w:w="20" w:type="dxa"/>
            </w:tcMar>
            <w:vAlign w:val="bottom"/>
          </w:tcPr>
          <w:p w14:paraId="71D400B7" w14:textId="77777777" w:rsidR="006A3667" w:rsidRDefault="00045F32">
            <w:pPr>
              <w:textAlignment w:val="bottom"/>
            </w:pPr>
            <w:r>
              <w:rPr>
                <w:rFonts w:ascii="Arial" w:eastAsia="宋体" w:hAnsi="Arial" w:cs="Arial"/>
                <w:color w:val="000000"/>
                <w:sz w:val="14"/>
                <w:szCs w:val="14"/>
              </w:rPr>
              <w:t xml:space="preserve">Loans </w:t>
            </w:r>
          </w:p>
        </w:tc>
        <w:tc>
          <w:tcPr>
            <w:tcW w:w="0" w:type="auto"/>
            <w:gridSpan w:val="2"/>
            <w:shd w:val="clear" w:color="auto" w:fill="CCEEFF"/>
            <w:tcMar>
              <w:top w:w="40" w:type="dxa"/>
              <w:left w:w="20" w:type="dxa"/>
              <w:bottom w:w="40" w:type="dxa"/>
              <w:right w:w="0" w:type="dxa"/>
            </w:tcMar>
            <w:vAlign w:val="bottom"/>
          </w:tcPr>
          <w:p w14:paraId="71D400B8" w14:textId="77777777" w:rsidR="006A3667" w:rsidRDefault="00045F32">
            <w:pPr>
              <w:jc w:val="right"/>
              <w:textAlignment w:val="bottom"/>
            </w:pPr>
            <w:r>
              <w:rPr>
                <w:rFonts w:ascii="Arial" w:eastAsia="宋体" w:hAnsi="Arial" w:cs="Arial"/>
                <w:b/>
                <w:bCs/>
                <w:color w:val="000000"/>
                <w:sz w:val="14"/>
                <w:szCs w:val="14"/>
              </w:rPr>
              <w:t>35,103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0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0B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0BB" w14:textId="77777777" w:rsidR="006A3667" w:rsidRDefault="00045F32">
            <w:pPr>
              <w:jc w:val="right"/>
              <w:textAlignment w:val="bottom"/>
            </w:pPr>
            <w:r>
              <w:rPr>
                <w:rFonts w:ascii="Arial" w:eastAsia="宋体" w:hAnsi="Arial" w:cs="Arial"/>
                <w:color w:val="000000"/>
                <w:sz w:val="14"/>
                <w:szCs w:val="14"/>
              </w:rPr>
              <w:t>29,858 </w:t>
            </w:r>
          </w:p>
        </w:tc>
        <w:tc>
          <w:tcPr>
            <w:tcW w:w="0" w:type="auto"/>
            <w:shd w:val="clear" w:color="auto" w:fill="CCEEFF"/>
            <w:tcMar>
              <w:top w:w="40" w:type="dxa"/>
              <w:left w:w="0" w:type="dxa"/>
              <w:bottom w:w="40" w:type="dxa"/>
              <w:right w:w="20" w:type="dxa"/>
            </w:tcMar>
            <w:vAlign w:val="bottom"/>
          </w:tcPr>
          <w:p w14:paraId="71D400BC" w14:textId="77777777" w:rsidR="006A3667" w:rsidRDefault="006A3667">
            <w:pPr>
              <w:jc w:val="right"/>
              <w:rPr>
                <w:rFonts w:ascii="宋体"/>
              </w:rPr>
            </w:pPr>
          </w:p>
        </w:tc>
        <w:tc>
          <w:tcPr>
            <w:tcW w:w="0" w:type="auto"/>
            <w:shd w:val="clear" w:color="auto" w:fill="auto"/>
            <w:vAlign w:val="bottom"/>
          </w:tcPr>
          <w:p w14:paraId="71D400BD" w14:textId="77777777" w:rsidR="006A3667" w:rsidRDefault="006A3667">
            <w:pPr>
              <w:rPr>
                <w:rFonts w:ascii="宋体"/>
                <w:vanish/>
              </w:rPr>
            </w:pPr>
          </w:p>
        </w:tc>
        <w:tc>
          <w:tcPr>
            <w:tcW w:w="0" w:type="auto"/>
            <w:shd w:val="clear" w:color="auto" w:fill="auto"/>
            <w:vAlign w:val="bottom"/>
          </w:tcPr>
          <w:p w14:paraId="71D400BE" w14:textId="77777777" w:rsidR="006A3667" w:rsidRDefault="006A3667">
            <w:pPr>
              <w:rPr>
                <w:rFonts w:ascii="宋体"/>
                <w:vanish/>
              </w:rPr>
            </w:pPr>
          </w:p>
        </w:tc>
        <w:tc>
          <w:tcPr>
            <w:tcW w:w="0" w:type="auto"/>
            <w:gridSpan w:val="3"/>
            <w:shd w:val="clear" w:color="auto" w:fill="auto"/>
            <w:vAlign w:val="bottom"/>
          </w:tcPr>
          <w:p w14:paraId="71D400BF" w14:textId="77777777" w:rsidR="006A3667" w:rsidRDefault="006A3667">
            <w:pPr>
              <w:rPr>
                <w:rFonts w:ascii="宋体"/>
                <w:vanish/>
              </w:rPr>
            </w:pPr>
          </w:p>
        </w:tc>
        <w:tc>
          <w:tcPr>
            <w:tcW w:w="0" w:type="auto"/>
            <w:gridSpan w:val="3"/>
            <w:shd w:val="clear" w:color="auto" w:fill="auto"/>
            <w:vAlign w:val="bottom"/>
          </w:tcPr>
          <w:p w14:paraId="71D400C0" w14:textId="77777777" w:rsidR="006A3667" w:rsidRDefault="006A3667">
            <w:pPr>
              <w:rPr>
                <w:rFonts w:ascii="宋体"/>
                <w:vanish/>
              </w:rPr>
            </w:pPr>
          </w:p>
        </w:tc>
      </w:tr>
      <w:tr w:rsidR="006A3667" w14:paraId="71D400CC" w14:textId="77777777">
        <w:tc>
          <w:tcPr>
            <w:tcW w:w="0" w:type="auto"/>
            <w:gridSpan w:val="3"/>
            <w:shd w:val="clear" w:color="auto" w:fill="FFFFFF"/>
            <w:tcMar>
              <w:top w:w="40" w:type="dxa"/>
              <w:left w:w="20" w:type="dxa"/>
              <w:bottom w:w="40" w:type="dxa"/>
              <w:right w:w="20" w:type="dxa"/>
            </w:tcMar>
            <w:vAlign w:val="bottom"/>
          </w:tcPr>
          <w:p w14:paraId="71D400C2" w14:textId="77777777" w:rsidR="006A3667" w:rsidRDefault="00045F32">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71D400C3" w14:textId="77777777" w:rsidR="006A3667" w:rsidRDefault="00045F32">
            <w:pPr>
              <w:jc w:val="right"/>
              <w:textAlignment w:val="bottom"/>
            </w:pPr>
            <w:r>
              <w:rPr>
                <w:rFonts w:ascii="Arial" w:eastAsia="宋体" w:hAnsi="Arial" w:cs="Arial"/>
                <w:b/>
                <w:bCs/>
                <w:color w:val="000000"/>
                <w:sz w:val="14"/>
                <w:szCs w:val="14"/>
              </w:rPr>
              <w:t>22,271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0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0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0C6" w14:textId="77777777" w:rsidR="006A3667" w:rsidRDefault="00045F32">
            <w:pPr>
              <w:jc w:val="right"/>
              <w:textAlignment w:val="bottom"/>
            </w:pPr>
            <w:r>
              <w:rPr>
                <w:rFonts w:ascii="Arial" w:eastAsia="宋体" w:hAnsi="Arial" w:cs="Arial"/>
                <w:color w:val="000000"/>
                <w:sz w:val="14"/>
                <w:szCs w:val="14"/>
              </w:rPr>
              <w:t>21,322 </w:t>
            </w:r>
          </w:p>
        </w:tc>
        <w:tc>
          <w:tcPr>
            <w:tcW w:w="0" w:type="auto"/>
            <w:shd w:val="clear" w:color="auto" w:fill="FFFFFF"/>
            <w:tcMar>
              <w:top w:w="40" w:type="dxa"/>
              <w:left w:w="0" w:type="dxa"/>
              <w:bottom w:w="40" w:type="dxa"/>
              <w:right w:w="20" w:type="dxa"/>
            </w:tcMar>
            <w:vAlign w:val="bottom"/>
          </w:tcPr>
          <w:p w14:paraId="71D400C7" w14:textId="77777777" w:rsidR="006A3667" w:rsidRDefault="006A3667">
            <w:pPr>
              <w:jc w:val="right"/>
              <w:rPr>
                <w:rFonts w:ascii="宋体"/>
              </w:rPr>
            </w:pPr>
          </w:p>
        </w:tc>
        <w:tc>
          <w:tcPr>
            <w:tcW w:w="0" w:type="auto"/>
            <w:shd w:val="clear" w:color="auto" w:fill="auto"/>
            <w:vAlign w:val="bottom"/>
          </w:tcPr>
          <w:p w14:paraId="71D400C8" w14:textId="77777777" w:rsidR="006A3667" w:rsidRDefault="006A3667">
            <w:pPr>
              <w:rPr>
                <w:rFonts w:ascii="宋体"/>
                <w:vanish/>
              </w:rPr>
            </w:pPr>
          </w:p>
        </w:tc>
        <w:tc>
          <w:tcPr>
            <w:tcW w:w="0" w:type="auto"/>
            <w:shd w:val="clear" w:color="auto" w:fill="auto"/>
            <w:vAlign w:val="bottom"/>
          </w:tcPr>
          <w:p w14:paraId="71D400C9" w14:textId="77777777" w:rsidR="006A3667" w:rsidRDefault="006A3667">
            <w:pPr>
              <w:rPr>
                <w:rFonts w:ascii="宋体"/>
                <w:vanish/>
              </w:rPr>
            </w:pPr>
          </w:p>
        </w:tc>
        <w:tc>
          <w:tcPr>
            <w:tcW w:w="0" w:type="auto"/>
            <w:gridSpan w:val="3"/>
            <w:shd w:val="clear" w:color="auto" w:fill="auto"/>
            <w:vAlign w:val="bottom"/>
          </w:tcPr>
          <w:p w14:paraId="71D400CA" w14:textId="77777777" w:rsidR="006A3667" w:rsidRDefault="006A3667">
            <w:pPr>
              <w:rPr>
                <w:rFonts w:ascii="宋体"/>
                <w:vanish/>
              </w:rPr>
            </w:pPr>
          </w:p>
        </w:tc>
        <w:tc>
          <w:tcPr>
            <w:tcW w:w="0" w:type="auto"/>
            <w:gridSpan w:val="3"/>
            <w:shd w:val="clear" w:color="auto" w:fill="auto"/>
            <w:vAlign w:val="bottom"/>
          </w:tcPr>
          <w:p w14:paraId="71D400CB" w14:textId="77777777" w:rsidR="006A3667" w:rsidRDefault="006A3667">
            <w:pPr>
              <w:rPr>
                <w:rFonts w:ascii="宋体"/>
                <w:vanish/>
              </w:rPr>
            </w:pPr>
          </w:p>
        </w:tc>
      </w:tr>
      <w:tr w:rsidR="006A3667" w14:paraId="71D400D7" w14:textId="77777777">
        <w:tc>
          <w:tcPr>
            <w:tcW w:w="0" w:type="auto"/>
            <w:gridSpan w:val="3"/>
            <w:shd w:val="clear" w:color="auto" w:fill="CCEEFF"/>
            <w:tcMar>
              <w:top w:w="40" w:type="dxa"/>
              <w:left w:w="245" w:type="dxa"/>
              <w:bottom w:w="40" w:type="dxa"/>
              <w:right w:w="20" w:type="dxa"/>
            </w:tcMar>
            <w:vAlign w:val="bottom"/>
          </w:tcPr>
          <w:p w14:paraId="71D400CD" w14:textId="77777777" w:rsidR="006A3667" w:rsidRDefault="00045F32">
            <w:pPr>
              <w:textAlignment w:val="bottom"/>
            </w:pPr>
            <w:r>
              <w:rPr>
                <w:rFonts w:ascii="Arial" w:eastAsia="宋体" w:hAnsi="Arial" w:cs="Arial"/>
                <w:color w:val="000000"/>
                <w:sz w:val="14"/>
                <w:szCs w:val="14"/>
              </w:rPr>
              <w:t>Average total interest-earning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0CE" w14:textId="77777777" w:rsidR="006A3667" w:rsidRDefault="00045F32">
            <w:pPr>
              <w:jc w:val="right"/>
              <w:textAlignment w:val="bottom"/>
            </w:pPr>
            <w:r>
              <w:rPr>
                <w:rFonts w:ascii="Arial" w:eastAsia="宋体" w:hAnsi="Arial" w:cs="Arial"/>
                <w:b/>
                <w:bCs/>
                <w:color w:val="000000"/>
                <w:sz w:val="14"/>
                <w:szCs w:val="14"/>
              </w:rPr>
              <w:t>248,344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0C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0D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0D1" w14:textId="77777777" w:rsidR="006A3667" w:rsidRDefault="00045F32">
            <w:pPr>
              <w:jc w:val="right"/>
              <w:textAlignment w:val="bottom"/>
            </w:pPr>
            <w:r>
              <w:rPr>
                <w:rFonts w:ascii="Arial" w:eastAsia="宋体" w:hAnsi="Arial" w:cs="Arial"/>
                <w:color w:val="000000"/>
                <w:sz w:val="14"/>
                <w:szCs w:val="14"/>
              </w:rPr>
              <w:t>258,416 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0D2" w14:textId="77777777" w:rsidR="006A3667" w:rsidRDefault="006A3667">
            <w:pPr>
              <w:jc w:val="right"/>
              <w:rPr>
                <w:rFonts w:ascii="宋体"/>
              </w:rPr>
            </w:pPr>
          </w:p>
        </w:tc>
        <w:tc>
          <w:tcPr>
            <w:tcW w:w="0" w:type="auto"/>
            <w:shd w:val="clear" w:color="auto" w:fill="auto"/>
            <w:vAlign w:val="bottom"/>
          </w:tcPr>
          <w:p w14:paraId="71D400D3" w14:textId="77777777" w:rsidR="006A3667" w:rsidRDefault="006A3667">
            <w:pPr>
              <w:rPr>
                <w:rFonts w:ascii="宋体"/>
                <w:vanish/>
              </w:rPr>
            </w:pPr>
          </w:p>
        </w:tc>
        <w:tc>
          <w:tcPr>
            <w:tcW w:w="0" w:type="auto"/>
            <w:shd w:val="clear" w:color="auto" w:fill="auto"/>
            <w:vAlign w:val="bottom"/>
          </w:tcPr>
          <w:p w14:paraId="71D400D4" w14:textId="77777777" w:rsidR="006A3667" w:rsidRDefault="006A3667">
            <w:pPr>
              <w:rPr>
                <w:rFonts w:ascii="宋体"/>
                <w:vanish/>
              </w:rPr>
            </w:pPr>
          </w:p>
        </w:tc>
        <w:tc>
          <w:tcPr>
            <w:tcW w:w="0" w:type="auto"/>
            <w:gridSpan w:val="3"/>
            <w:shd w:val="clear" w:color="auto" w:fill="auto"/>
            <w:vAlign w:val="bottom"/>
          </w:tcPr>
          <w:p w14:paraId="71D400D5" w14:textId="77777777" w:rsidR="006A3667" w:rsidRDefault="006A3667">
            <w:pPr>
              <w:rPr>
                <w:rFonts w:ascii="宋体"/>
                <w:vanish/>
              </w:rPr>
            </w:pPr>
          </w:p>
        </w:tc>
        <w:tc>
          <w:tcPr>
            <w:tcW w:w="0" w:type="auto"/>
            <w:gridSpan w:val="3"/>
            <w:shd w:val="clear" w:color="auto" w:fill="auto"/>
            <w:vAlign w:val="bottom"/>
          </w:tcPr>
          <w:p w14:paraId="71D400D6" w14:textId="77777777" w:rsidR="006A3667" w:rsidRDefault="006A3667">
            <w:pPr>
              <w:rPr>
                <w:rFonts w:ascii="宋体"/>
                <w:vanish/>
              </w:rPr>
            </w:pPr>
          </w:p>
        </w:tc>
      </w:tr>
      <w:tr w:rsidR="006A3667" w14:paraId="71D400E2" w14:textId="77777777">
        <w:tc>
          <w:tcPr>
            <w:tcW w:w="0" w:type="auto"/>
            <w:gridSpan w:val="3"/>
            <w:shd w:val="clear" w:color="auto" w:fill="FFFFFF"/>
            <w:tcMar>
              <w:top w:w="40" w:type="dxa"/>
              <w:left w:w="20" w:type="dxa"/>
              <w:bottom w:w="40" w:type="dxa"/>
              <w:right w:w="20" w:type="dxa"/>
            </w:tcMar>
            <w:vAlign w:val="bottom"/>
          </w:tcPr>
          <w:p w14:paraId="71D400D8" w14:textId="77777777" w:rsidR="006A3667" w:rsidRDefault="00045F32">
            <w:pPr>
              <w:textAlignment w:val="bottom"/>
            </w:pPr>
            <w:r>
              <w:rPr>
                <w:rFonts w:ascii="Arial" w:eastAsia="宋体" w:hAnsi="Arial" w:cs="Arial"/>
                <w:color w:val="000000"/>
                <w:sz w:val="14"/>
                <w:szCs w:val="14"/>
              </w:rPr>
              <w:t>Cash and due from banks</w:t>
            </w:r>
          </w:p>
        </w:tc>
        <w:tc>
          <w:tcPr>
            <w:tcW w:w="0" w:type="auto"/>
            <w:gridSpan w:val="2"/>
            <w:shd w:val="clear" w:color="auto" w:fill="FFFFFF"/>
            <w:tcMar>
              <w:top w:w="40" w:type="dxa"/>
              <w:left w:w="20" w:type="dxa"/>
              <w:bottom w:w="40" w:type="dxa"/>
              <w:right w:w="0" w:type="dxa"/>
            </w:tcMar>
            <w:vAlign w:val="bottom"/>
          </w:tcPr>
          <w:p w14:paraId="71D400D9" w14:textId="77777777" w:rsidR="006A3667" w:rsidRDefault="00045F32">
            <w:pPr>
              <w:jc w:val="right"/>
              <w:textAlignment w:val="bottom"/>
            </w:pPr>
            <w:r>
              <w:rPr>
                <w:rFonts w:ascii="Arial" w:eastAsia="宋体" w:hAnsi="Arial" w:cs="Arial"/>
                <w:b/>
                <w:bCs/>
                <w:color w:val="000000"/>
                <w:sz w:val="14"/>
                <w:szCs w:val="14"/>
              </w:rPr>
              <w:t>3,767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0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0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0DC" w14:textId="77777777" w:rsidR="006A3667" w:rsidRDefault="00045F32">
            <w:pPr>
              <w:jc w:val="right"/>
              <w:textAlignment w:val="bottom"/>
            </w:pPr>
            <w:r>
              <w:rPr>
                <w:rFonts w:ascii="Arial" w:eastAsia="宋体" w:hAnsi="Arial" w:cs="Arial"/>
                <w:color w:val="000000"/>
                <w:sz w:val="14"/>
                <w:szCs w:val="14"/>
              </w:rPr>
              <w:t>5,077 </w:t>
            </w:r>
          </w:p>
        </w:tc>
        <w:tc>
          <w:tcPr>
            <w:tcW w:w="0" w:type="auto"/>
            <w:shd w:val="clear" w:color="auto" w:fill="FFFFFF"/>
            <w:tcMar>
              <w:top w:w="40" w:type="dxa"/>
              <w:left w:w="0" w:type="dxa"/>
              <w:bottom w:w="40" w:type="dxa"/>
              <w:right w:w="20" w:type="dxa"/>
            </w:tcMar>
            <w:vAlign w:val="bottom"/>
          </w:tcPr>
          <w:p w14:paraId="71D400DD" w14:textId="77777777" w:rsidR="006A3667" w:rsidRDefault="006A3667">
            <w:pPr>
              <w:jc w:val="right"/>
              <w:rPr>
                <w:rFonts w:ascii="宋体"/>
              </w:rPr>
            </w:pPr>
          </w:p>
        </w:tc>
        <w:tc>
          <w:tcPr>
            <w:tcW w:w="0" w:type="auto"/>
            <w:shd w:val="clear" w:color="auto" w:fill="auto"/>
            <w:vAlign w:val="bottom"/>
          </w:tcPr>
          <w:p w14:paraId="71D400DE" w14:textId="77777777" w:rsidR="006A3667" w:rsidRDefault="006A3667">
            <w:pPr>
              <w:rPr>
                <w:rFonts w:ascii="宋体"/>
                <w:vanish/>
              </w:rPr>
            </w:pPr>
          </w:p>
        </w:tc>
        <w:tc>
          <w:tcPr>
            <w:tcW w:w="0" w:type="auto"/>
            <w:shd w:val="clear" w:color="auto" w:fill="auto"/>
            <w:vAlign w:val="bottom"/>
          </w:tcPr>
          <w:p w14:paraId="71D400DF" w14:textId="77777777" w:rsidR="006A3667" w:rsidRDefault="006A3667">
            <w:pPr>
              <w:rPr>
                <w:rFonts w:ascii="宋体"/>
                <w:vanish/>
              </w:rPr>
            </w:pPr>
          </w:p>
        </w:tc>
        <w:tc>
          <w:tcPr>
            <w:tcW w:w="0" w:type="auto"/>
            <w:gridSpan w:val="3"/>
            <w:shd w:val="clear" w:color="auto" w:fill="auto"/>
            <w:vAlign w:val="bottom"/>
          </w:tcPr>
          <w:p w14:paraId="71D400E0" w14:textId="77777777" w:rsidR="006A3667" w:rsidRDefault="006A3667">
            <w:pPr>
              <w:rPr>
                <w:rFonts w:ascii="宋体"/>
                <w:vanish/>
              </w:rPr>
            </w:pPr>
          </w:p>
        </w:tc>
        <w:tc>
          <w:tcPr>
            <w:tcW w:w="0" w:type="auto"/>
            <w:gridSpan w:val="3"/>
            <w:shd w:val="clear" w:color="auto" w:fill="auto"/>
            <w:vAlign w:val="bottom"/>
          </w:tcPr>
          <w:p w14:paraId="71D400E1" w14:textId="77777777" w:rsidR="006A3667" w:rsidRDefault="006A3667">
            <w:pPr>
              <w:rPr>
                <w:rFonts w:ascii="宋体"/>
                <w:vanish/>
              </w:rPr>
            </w:pPr>
          </w:p>
        </w:tc>
      </w:tr>
      <w:tr w:rsidR="006A3667" w14:paraId="71D400ED" w14:textId="77777777">
        <w:tc>
          <w:tcPr>
            <w:tcW w:w="0" w:type="auto"/>
            <w:gridSpan w:val="3"/>
            <w:shd w:val="clear" w:color="auto" w:fill="CCEEFF"/>
            <w:tcMar>
              <w:top w:w="40" w:type="dxa"/>
              <w:left w:w="20" w:type="dxa"/>
              <w:bottom w:w="40" w:type="dxa"/>
              <w:right w:w="20" w:type="dxa"/>
            </w:tcMar>
            <w:vAlign w:val="bottom"/>
          </w:tcPr>
          <w:p w14:paraId="71D400E3" w14:textId="77777777" w:rsidR="006A3667" w:rsidRDefault="00045F32">
            <w:pPr>
              <w:textAlignment w:val="bottom"/>
            </w:pPr>
            <w:r>
              <w:rPr>
                <w:rFonts w:ascii="Arial" w:eastAsia="宋体" w:hAnsi="Arial" w:cs="Arial"/>
                <w:color w:val="000000"/>
                <w:sz w:val="14"/>
                <w:szCs w:val="14"/>
              </w:rPr>
              <w:t>Other non-interest-earning assets</w:t>
            </w:r>
          </w:p>
        </w:tc>
        <w:tc>
          <w:tcPr>
            <w:tcW w:w="0" w:type="auto"/>
            <w:gridSpan w:val="2"/>
            <w:shd w:val="clear" w:color="auto" w:fill="CCEEFF"/>
            <w:tcMar>
              <w:top w:w="40" w:type="dxa"/>
              <w:left w:w="20" w:type="dxa"/>
              <w:bottom w:w="40" w:type="dxa"/>
              <w:right w:w="0" w:type="dxa"/>
            </w:tcMar>
            <w:vAlign w:val="bottom"/>
          </w:tcPr>
          <w:p w14:paraId="71D400E4" w14:textId="77777777" w:rsidR="006A3667" w:rsidRDefault="00045F32">
            <w:pPr>
              <w:jc w:val="right"/>
              <w:textAlignment w:val="bottom"/>
            </w:pPr>
            <w:r>
              <w:rPr>
                <w:rFonts w:ascii="Arial" w:eastAsia="宋体" w:hAnsi="Arial" w:cs="Arial"/>
                <w:b/>
                <w:bCs/>
                <w:color w:val="000000"/>
                <w:sz w:val="14"/>
                <w:szCs w:val="14"/>
              </w:rPr>
              <w:t>35,021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0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0E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0E7" w14:textId="77777777" w:rsidR="006A3667" w:rsidRDefault="00045F32">
            <w:pPr>
              <w:jc w:val="right"/>
              <w:textAlignment w:val="bottom"/>
            </w:pPr>
            <w:r>
              <w:rPr>
                <w:rFonts w:ascii="Arial" w:eastAsia="宋体" w:hAnsi="Arial" w:cs="Arial"/>
                <w:color w:val="000000"/>
                <w:sz w:val="14"/>
                <w:szCs w:val="14"/>
              </w:rPr>
              <w:t>35,150 </w:t>
            </w:r>
          </w:p>
        </w:tc>
        <w:tc>
          <w:tcPr>
            <w:tcW w:w="0" w:type="auto"/>
            <w:shd w:val="clear" w:color="auto" w:fill="CCEEFF"/>
            <w:tcMar>
              <w:top w:w="40" w:type="dxa"/>
              <w:left w:w="0" w:type="dxa"/>
              <w:bottom w:w="40" w:type="dxa"/>
              <w:right w:w="20" w:type="dxa"/>
            </w:tcMar>
            <w:vAlign w:val="bottom"/>
          </w:tcPr>
          <w:p w14:paraId="71D400E8" w14:textId="77777777" w:rsidR="006A3667" w:rsidRDefault="006A3667">
            <w:pPr>
              <w:jc w:val="right"/>
              <w:rPr>
                <w:rFonts w:ascii="宋体"/>
              </w:rPr>
            </w:pPr>
          </w:p>
        </w:tc>
        <w:tc>
          <w:tcPr>
            <w:tcW w:w="0" w:type="auto"/>
            <w:shd w:val="clear" w:color="auto" w:fill="auto"/>
            <w:vAlign w:val="bottom"/>
          </w:tcPr>
          <w:p w14:paraId="71D400E9" w14:textId="77777777" w:rsidR="006A3667" w:rsidRDefault="006A3667">
            <w:pPr>
              <w:rPr>
                <w:rFonts w:ascii="宋体"/>
                <w:vanish/>
              </w:rPr>
            </w:pPr>
          </w:p>
        </w:tc>
        <w:tc>
          <w:tcPr>
            <w:tcW w:w="0" w:type="auto"/>
            <w:shd w:val="clear" w:color="auto" w:fill="auto"/>
            <w:vAlign w:val="bottom"/>
          </w:tcPr>
          <w:p w14:paraId="71D400EA" w14:textId="77777777" w:rsidR="006A3667" w:rsidRDefault="006A3667">
            <w:pPr>
              <w:rPr>
                <w:rFonts w:ascii="宋体"/>
                <w:vanish/>
              </w:rPr>
            </w:pPr>
          </w:p>
        </w:tc>
        <w:tc>
          <w:tcPr>
            <w:tcW w:w="0" w:type="auto"/>
            <w:gridSpan w:val="3"/>
            <w:shd w:val="clear" w:color="auto" w:fill="auto"/>
            <w:vAlign w:val="bottom"/>
          </w:tcPr>
          <w:p w14:paraId="71D400EB" w14:textId="77777777" w:rsidR="006A3667" w:rsidRDefault="006A3667">
            <w:pPr>
              <w:rPr>
                <w:rFonts w:ascii="宋体"/>
                <w:vanish/>
              </w:rPr>
            </w:pPr>
          </w:p>
        </w:tc>
        <w:tc>
          <w:tcPr>
            <w:tcW w:w="0" w:type="auto"/>
            <w:gridSpan w:val="3"/>
            <w:shd w:val="clear" w:color="auto" w:fill="auto"/>
            <w:vAlign w:val="bottom"/>
          </w:tcPr>
          <w:p w14:paraId="71D400EC" w14:textId="77777777" w:rsidR="006A3667" w:rsidRDefault="006A3667">
            <w:pPr>
              <w:rPr>
                <w:rFonts w:ascii="宋体"/>
                <w:vanish/>
              </w:rPr>
            </w:pPr>
          </w:p>
        </w:tc>
      </w:tr>
      <w:tr w:rsidR="006A3667" w14:paraId="71D400FA" w14:textId="77777777">
        <w:tc>
          <w:tcPr>
            <w:tcW w:w="0" w:type="auto"/>
            <w:gridSpan w:val="3"/>
            <w:shd w:val="clear" w:color="auto" w:fill="FFFFFF"/>
            <w:tcMar>
              <w:top w:w="40" w:type="dxa"/>
              <w:left w:w="245" w:type="dxa"/>
              <w:bottom w:w="40" w:type="dxa"/>
              <w:right w:w="20" w:type="dxa"/>
            </w:tcMar>
            <w:vAlign w:val="bottom"/>
          </w:tcPr>
          <w:p w14:paraId="71D400EE" w14:textId="77777777" w:rsidR="006A3667" w:rsidRDefault="00045F32">
            <w:pPr>
              <w:textAlignment w:val="bottom"/>
            </w:pPr>
            <w:r>
              <w:rPr>
                <w:rFonts w:ascii="Arial" w:eastAsia="宋体" w:hAnsi="Arial" w:cs="Arial"/>
                <w:b/>
                <w:bCs/>
                <w:color w:val="000000"/>
                <w:sz w:val="14"/>
                <w:szCs w:val="14"/>
              </w:rPr>
              <w:t>Average 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00E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0F0" w14:textId="77777777" w:rsidR="006A3667" w:rsidRDefault="00045F32">
            <w:pPr>
              <w:jc w:val="right"/>
              <w:textAlignment w:val="bottom"/>
            </w:pPr>
            <w:r>
              <w:rPr>
                <w:rFonts w:ascii="Arial" w:eastAsia="宋体" w:hAnsi="Arial" w:cs="Arial"/>
                <w:b/>
                <w:bCs/>
                <w:color w:val="000000"/>
                <w:sz w:val="14"/>
                <w:szCs w:val="14"/>
              </w:rPr>
              <w:t>287,132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0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0F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0F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0F4" w14:textId="77777777" w:rsidR="006A3667" w:rsidRDefault="00045F32">
            <w:pPr>
              <w:jc w:val="right"/>
              <w:textAlignment w:val="bottom"/>
            </w:pPr>
            <w:r>
              <w:rPr>
                <w:rFonts w:ascii="Arial" w:eastAsia="宋体" w:hAnsi="Arial" w:cs="Arial"/>
                <w:color w:val="000000"/>
                <w:sz w:val="14"/>
                <w:szCs w:val="14"/>
              </w:rPr>
              <w:t>298,643 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0F5" w14:textId="77777777" w:rsidR="006A3667" w:rsidRDefault="006A3667">
            <w:pPr>
              <w:jc w:val="right"/>
              <w:rPr>
                <w:rFonts w:ascii="宋体"/>
              </w:rPr>
            </w:pPr>
          </w:p>
        </w:tc>
        <w:tc>
          <w:tcPr>
            <w:tcW w:w="0" w:type="auto"/>
            <w:shd w:val="clear" w:color="auto" w:fill="auto"/>
            <w:vAlign w:val="bottom"/>
          </w:tcPr>
          <w:p w14:paraId="71D400F6" w14:textId="77777777" w:rsidR="006A3667" w:rsidRDefault="006A3667">
            <w:pPr>
              <w:rPr>
                <w:rFonts w:ascii="宋体"/>
                <w:vanish/>
              </w:rPr>
            </w:pPr>
          </w:p>
        </w:tc>
        <w:tc>
          <w:tcPr>
            <w:tcW w:w="0" w:type="auto"/>
            <w:shd w:val="clear" w:color="auto" w:fill="auto"/>
            <w:vAlign w:val="bottom"/>
          </w:tcPr>
          <w:p w14:paraId="71D400F7" w14:textId="77777777" w:rsidR="006A3667" w:rsidRDefault="006A3667">
            <w:pPr>
              <w:rPr>
                <w:rFonts w:ascii="宋体"/>
                <w:vanish/>
              </w:rPr>
            </w:pPr>
          </w:p>
        </w:tc>
        <w:tc>
          <w:tcPr>
            <w:tcW w:w="0" w:type="auto"/>
            <w:gridSpan w:val="3"/>
            <w:shd w:val="clear" w:color="auto" w:fill="auto"/>
            <w:vAlign w:val="bottom"/>
          </w:tcPr>
          <w:p w14:paraId="71D400F8" w14:textId="77777777" w:rsidR="006A3667" w:rsidRDefault="006A3667">
            <w:pPr>
              <w:rPr>
                <w:rFonts w:ascii="宋体"/>
                <w:vanish/>
              </w:rPr>
            </w:pPr>
          </w:p>
        </w:tc>
        <w:tc>
          <w:tcPr>
            <w:tcW w:w="0" w:type="auto"/>
            <w:gridSpan w:val="3"/>
            <w:shd w:val="clear" w:color="auto" w:fill="auto"/>
            <w:vAlign w:val="bottom"/>
          </w:tcPr>
          <w:p w14:paraId="71D400F9" w14:textId="77777777" w:rsidR="006A3667" w:rsidRDefault="006A3667">
            <w:pPr>
              <w:rPr>
                <w:rFonts w:ascii="宋体"/>
                <w:vanish/>
              </w:rPr>
            </w:pPr>
          </w:p>
        </w:tc>
      </w:tr>
      <w:tr w:rsidR="006A3667" w14:paraId="71D40103" w14:textId="77777777">
        <w:tc>
          <w:tcPr>
            <w:tcW w:w="0" w:type="auto"/>
            <w:gridSpan w:val="3"/>
            <w:shd w:val="clear" w:color="auto" w:fill="CCEEFF"/>
            <w:tcMar>
              <w:top w:w="40" w:type="dxa"/>
              <w:left w:w="20" w:type="dxa"/>
              <w:bottom w:w="40" w:type="dxa"/>
              <w:right w:w="20" w:type="dxa"/>
            </w:tcMar>
            <w:vAlign w:val="bottom"/>
          </w:tcPr>
          <w:p w14:paraId="71D400FB" w14:textId="77777777" w:rsidR="006A3667" w:rsidRDefault="00045F32">
            <w:pPr>
              <w:textAlignment w:val="bottom"/>
            </w:pPr>
            <w:r>
              <w:rPr>
                <w:rFonts w:ascii="Arial" w:eastAsia="宋体" w:hAnsi="Arial" w:cs="Arial"/>
                <w:b/>
                <w:bCs/>
                <w:color w:val="000000"/>
                <w:sz w:val="14"/>
                <w:szCs w:val="14"/>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00F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00FD"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00FE" w14:textId="77777777" w:rsidR="006A3667" w:rsidRDefault="006A3667">
            <w:pPr>
              <w:rPr>
                <w:rFonts w:ascii="宋体"/>
              </w:rPr>
            </w:pPr>
          </w:p>
        </w:tc>
        <w:tc>
          <w:tcPr>
            <w:tcW w:w="0" w:type="auto"/>
            <w:shd w:val="clear" w:color="auto" w:fill="auto"/>
            <w:vAlign w:val="bottom"/>
          </w:tcPr>
          <w:p w14:paraId="71D400FF" w14:textId="77777777" w:rsidR="006A3667" w:rsidRDefault="006A3667">
            <w:pPr>
              <w:rPr>
                <w:rFonts w:ascii="宋体"/>
                <w:vanish/>
              </w:rPr>
            </w:pPr>
          </w:p>
        </w:tc>
        <w:tc>
          <w:tcPr>
            <w:tcW w:w="0" w:type="auto"/>
            <w:shd w:val="clear" w:color="auto" w:fill="auto"/>
            <w:vAlign w:val="bottom"/>
          </w:tcPr>
          <w:p w14:paraId="71D40100" w14:textId="77777777" w:rsidR="006A3667" w:rsidRDefault="006A3667">
            <w:pPr>
              <w:rPr>
                <w:rFonts w:ascii="宋体"/>
                <w:vanish/>
              </w:rPr>
            </w:pPr>
          </w:p>
        </w:tc>
        <w:tc>
          <w:tcPr>
            <w:tcW w:w="0" w:type="auto"/>
            <w:gridSpan w:val="3"/>
            <w:shd w:val="clear" w:color="auto" w:fill="auto"/>
            <w:vAlign w:val="bottom"/>
          </w:tcPr>
          <w:p w14:paraId="71D40101" w14:textId="77777777" w:rsidR="006A3667" w:rsidRDefault="006A3667">
            <w:pPr>
              <w:rPr>
                <w:rFonts w:ascii="宋体"/>
                <w:vanish/>
              </w:rPr>
            </w:pPr>
          </w:p>
        </w:tc>
        <w:tc>
          <w:tcPr>
            <w:tcW w:w="0" w:type="auto"/>
            <w:gridSpan w:val="3"/>
            <w:shd w:val="clear" w:color="auto" w:fill="auto"/>
            <w:vAlign w:val="bottom"/>
          </w:tcPr>
          <w:p w14:paraId="71D40102" w14:textId="77777777" w:rsidR="006A3667" w:rsidRDefault="006A3667">
            <w:pPr>
              <w:rPr>
                <w:rFonts w:ascii="宋体"/>
                <w:vanish/>
              </w:rPr>
            </w:pPr>
          </w:p>
        </w:tc>
      </w:tr>
      <w:tr w:rsidR="006A3667" w14:paraId="71D4010C" w14:textId="77777777">
        <w:tc>
          <w:tcPr>
            <w:tcW w:w="0" w:type="auto"/>
            <w:gridSpan w:val="3"/>
            <w:shd w:val="clear" w:color="auto" w:fill="auto"/>
            <w:tcMar>
              <w:top w:w="40" w:type="dxa"/>
              <w:left w:w="20" w:type="dxa"/>
              <w:bottom w:w="40" w:type="dxa"/>
              <w:right w:w="20" w:type="dxa"/>
            </w:tcMar>
            <w:vAlign w:val="bottom"/>
          </w:tcPr>
          <w:p w14:paraId="71D40104" w14:textId="77777777" w:rsidR="006A3667" w:rsidRDefault="00045F32">
            <w:pPr>
              <w:textAlignment w:val="bottom"/>
            </w:pPr>
            <w:r>
              <w:rPr>
                <w:rFonts w:ascii="Arial" w:eastAsia="宋体" w:hAnsi="Arial" w:cs="Arial"/>
                <w:color w:val="000000"/>
                <w:sz w:val="14"/>
                <w:szCs w:val="14"/>
              </w:rPr>
              <w:t>Interest-bearing deposits:</w:t>
            </w:r>
          </w:p>
        </w:tc>
        <w:tc>
          <w:tcPr>
            <w:tcW w:w="0" w:type="auto"/>
            <w:gridSpan w:val="3"/>
            <w:shd w:val="clear" w:color="auto" w:fill="FFFFFF"/>
            <w:tcMar>
              <w:top w:w="0" w:type="dxa"/>
              <w:left w:w="20" w:type="dxa"/>
              <w:bottom w:w="0" w:type="dxa"/>
              <w:right w:w="20" w:type="dxa"/>
            </w:tcMar>
            <w:vAlign w:val="bottom"/>
          </w:tcPr>
          <w:p w14:paraId="71D4010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10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107" w14:textId="77777777" w:rsidR="006A3667" w:rsidRDefault="006A3667">
            <w:pPr>
              <w:rPr>
                <w:rFonts w:ascii="宋体"/>
              </w:rPr>
            </w:pPr>
          </w:p>
        </w:tc>
        <w:tc>
          <w:tcPr>
            <w:tcW w:w="0" w:type="auto"/>
            <w:shd w:val="clear" w:color="auto" w:fill="auto"/>
            <w:vAlign w:val="bottom"/>
          </w:tcPr>
          <w:p w14:paraId="71D40108" w14:textId="77777777" w:rsidR="006A3667" w:rsidRDefault="006A3667">
            <w:pPr>
              <w:rPr>
                <w:rFonts w:ascii="宋体"/>
                <w:vanish/>
              </w:rPr>
            </w:pPr>
          </w:p>
        </w:tc>
        <w:tc>
          <w:tcPr>
            <w:tcW w:w="0" w:type="auto"/>
            <w:shd w:val="clear" w:color="auto" w:fill="auto"/>
            <w:vAlign w:val="bottom"/>
          </w:tcPr>
          <w:p w14:paraId="71D40109" w14:textId="77777777" w:rsidR="006A3667" w:rsidRDefault="006A3667">
            <w:pPr>
              <w:rPr>
                <w:rFonts w:ascii="宋体"/>
                <w:vanish/>
              </w:rPr>
            </w:pPr>
          </w:p>
        </w:tc>
        <w:tc>
          <w:tcPr>
            <w:tcW w:w="0" w:type="auto"/>
            <w:gridSpan w:val="3"/>
            <w:shd w:val="clear" w:color="auto" w:fill="auto"/>
            <w:vAlign w:val="bottom"/>
          </w:tcPr>
          <w:p w14:paraId="71D4010A" w14:textId="77777777" w:rsidR="006A3667" w:rsidRDefault="006A3667">
            <w:pPr>
              <w:rPr>
                <w:rFonts w:ascii="宋体"/>
                <w:vanish/>
              </w:rPr>
            </w:pPr>
          </w:p>
        </w:tc>
        <w:tc>
          <w:tcPr>
            <w:tcW w:w="0" w:type="auto"/>
            <w:gridSpan w:val="3"/>
            <w:shd w:val="clear" w:color="auto" w:fill="auto"/>
            <w:vAlign w:val="bottom"/>
          </w:tcPr>
          <w:p w14:paraId="71D4010B" w14:textId="77777777" w:rsidR="006A3667" w:rsidRDefault="006A3667">
            <w:pPr>
              <w:rPr>
                <w:rFonts w:ascii="宋体"/>
                <w:vanish/>
              </w:rPr>
            </w:pPr>
          </w:p>
        </w:tc>
      </w:tr>
      <w:tr w:rsidR="006A3667" w14:paraId="71D40119" w14:textId="77777777">
        <w:tc>
          <w:tcPr>
            <w:tcW w:w="0" w:type="auto"/>
            <w:gridSpan w:val="3"/>
            <w:shd w:val="clear" w:color="auto" w:fill="CCEEFF"/>
            <w:tcMar>
              <w:top w:w="40" w:type="dxa"/>
              <w:left w:w="245" w:type="dxa"/>
              <w:bottom w:w="40" w:type="dxa"/>
              <w:right w:w="20" w:type="dxa"/>
            </w:tcMar>
            <w:vAlign w:val="bottom"/>
          </w:tcPr>
          <w:p w14:paraId="71D4010D" w14:textId="77777777" w:rsidR="006A3667" w:rsidRDefault="00045F32">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71D4010E"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10F" w14:textId="77777777" w:rsidR="006A3667" w:rsidRDefault="00045F32">
            <w:pPr>
              <w:jc w:val="right"/>
              <w:textAlignment w:val="bottom"/>
            </w:pPr>
            <w:r>
              <w:rPr>
                <w:rFonts w:ascii="Arial" w:eastAsia="宋体" w:hAnsi="Arial" w:cs="Arial"/>
                <w:b/>
                <w:bCs/>
                <w:color w:val="000000"/>
                <w:sz w:val="14"/>
                <w:szCs w:val="14"/>
              </w:rPr>
              <w:t>97,307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1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11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112"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0113" w14:textId="77777777" w:rsidR="006A3667" w:rsidRDefault="00045F32">
            <w:pPr>
              <w:jc w:val="right"/>
              <w:textAlignment w:val="bottom"/>
            </w:pPr>
            <w:r>
              <w:rPr>
                <w:rFonts w:ascii="Arial" w:eastAsia="宋体" w:hAnsi="Arial" w:cs="Arial"/>
                <w:color w:val="000000"/>
                <w:sz w:val="14"/>
                <w:szCs w:val="14"/>
              </w:rPr>
              <w:t>105,286 </w:t>
            </w:r>
          </w:p>
        </w:tc>
        <w:tc>
          <w:tcPr>
            <w:tcW w:w="0" w:type="auto"/>
            <w:shd w:val="clear" w:color="auto" w:fill="CCEEFF"/>
            <w:tcMar>
              <w:top w:w="40" w:type="dxa"/>
              <w:left w:w="0" w:type="dxa"/>
              <w:bottom w:w="40" w:type="dxa"/>
              <w:right w:w="20" w:type="dxa"/>
            </w:tcMar>
            <w:vAlign w:val="bottom"/>
          </w:tcPr>
          <w:p w14:paraId="71D40114" w14:textId="77777777" w:rsidR="006A3667" w:rsidRDefault="006A3667">
            <w:pPr>
              <w:jc w:val="right"/>
              <w:rPr>
                <w:rFonts w:ascii="宋体"/>
              </w:rPr>
            </w:pPr>
          </w:p>
        </w:tc>
        <w:tc>
          <w:tcPr>
            <w:tcW w:w="0" w:type="auto"/>
            <w:shd w:val="clear" w:color="auto" w:fill="auto"/>
            <w:vAlign w:val="bottom"/>
          </w:tcPr>
          <w:p w14:paraId="71D40115" w14:textId="77777777" w:rsidR="006A3667" w:rsidRDefault="006A3667">
            <w:pPr>
              <w:rPr>
                <w:rFonts w:ascii="宋体"/>
                <w:vanish/>
              </w:rPr>
            </w:pPr>
          </w:p>
        </w:tc>
        <w:tc>
          <w:tcPr>
            <w:tcW w:w="0" w:type="auto"/>
            <w:shd w:val="clear" w:color="auto" w:fill="auto"/>
            <w:vAlign w:val="bottom"/>
          </w:tcPr>
          <w:p w14:paraId="71D40116" w14:textId="77777777" w:rsidR="006A3667" w:rsidRDefault="006A3667">
            <w:pPr>
              <w:rPr>
                <w:rFonts w:ascii="宋体"/>
                <w:vanish/>
              </w:rPr>
            </w:pPr>
          </w:p>
        </w:tc>
        <w:tc>
          <w:tcPr>
            <w:tcW w:w="0" w:type="auto"/>
            <w:gridSpan w:val="3"/>
            <w:shd w:val="clear" w:color="auto" w:fill="auto"/>
            <w:vAlign w:val="bottom"/>
          </w:tcPr>
          <w:p w14:paraId="71D40117" w14:textId="77777777" w:rsidR="006A3667" w:rsidRDefault="006A3667">
            <w:pPr>
              <w:rPr>
                <w:rFonts w:ascii="宋体"/>
                <w:vanish/>
              </w:rPr>
            </w:pPr>
          </w:p>
        </w:tc>
        <w:tc>
          <w:tcPr>
            <w:tcW w:w="0" w:type="auto"/>
            <w:gridSpan w:val="3"/>
            <w:shd w:val="clear" w:color="auto" w:fill="auto"/>
            <w:vAlign w:val="bottom"/>
          </w:tcPr>
          <w:p w14:paraId="71D40118" w14:textId="77777777" w:rsidR="006A3667" w:rsidRDefault="006A3667">
            <w:pPr>
              <w:rPr>
                <w:rFonts w:ascii="宋体"/>
                <w:vanish/>
              </w:rPr>
            </w:pPr>
          </w:p>
        </w:tc>
      </w:tr>
      <w:tr w:rsidR="006A3667" w14:paraId="71D40124" w14:textId="77777777">
        <w:tc>
          <w:tcPr>
            <w:tcW w:w="0" w:type="auto"/>
            <w:gridSpan w:val="3"/>
            <w:shd w:val="clear" w:color="auto" w:fill="FFFFFF"/>
            <w:tcMar>
              <w:top w:w="40" w:type="dxa"/>
              <w:left w:w="245" w:type="dxa"/>
              <w:bottom w:w="40" w:type="dxa"/>
              <w:right w:w="20" w:type="dxa"/>
            </w:tcMar>
            <w:vAlign w:val="bottom"/>
          </w:tcPr>
          <w:p w14:paraId="71D4011A" w14:textId="77777777" w:rsidR="006A3667" w:rsidRDefault="00045F32">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71D4011B" w14:textId="77777777" w:rsidR="006A3667" w:rsidRDefault="00045F32">
            <w:pPr>
              <w:jc w:val="right"/>
              <w:textAlignment w:val="bottom"/>
            </w:pPr>
            <w:r>
              <w:rPr>
                <w:rFonts w:ascii="Arial" w:eastAsia="宋体" w:hAnsi="Arial" w:cs="Arial"/>
                <w:b/>
                <w:bCs/>
                <w:color w:val="000000"/>
                <w:sz w:val="14"/>
                <w:szCs w:val="14"/>
              </w:rPr>
              <w:t>78,563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11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11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11E" w14:textId="77777777" w:rsidR="006A3667" w:rsidRDefault="00045F32">
            <w:pPr>
              <w:jc w:val="right"/>
              <w:textAlignment w:val="bottom"/>
            </w:pPr>
            <w:r>
              <w:rPr>
                <w:rFonts w:ascii="Arial" w:eastAsia="宋体" w:hAnsi="Arial" w:cs="Arial"/>
                <w:color w:val="000000"/>
                <w:sz w:val="14"/>
                <w:szCs w:val="14"/>
              </w:rPr>
              <w:t>81,318 </w:t>
            </w:r>
          </w:p>
        </w:tc>
        <w:tc>
          <w:tcPr>
            <w:tcW w:w="0" w:type="auto"/>
            <w:shd w:val="clear" w:color="auto" w:fill="FFFFFF"/>
            <w:tcMar>
              <w:top w:w="40" w:type="dxa"/>
              <w:left w:w="0" w:type="dxa"/>
              <w:bottom w:w="40" w:type="dxa"/>
              <w:right w:w="20" w:type="dxa"/>
            </w:tcMar>
            <w:vAlign w:val="bottom"/>
          </w:tcPr>
          <w:p w14:paraId="71D4011F" w14:textId="77777777" w:rsidR="006A3667" w:rsidRDefault="006A3667">
            <w:pPr>
              <w:jc w:val="right"/>
              <w:rPr>
                <w:rFonts w:ascii="宋体"/>
              </w:rPr>
            </w:pPr>
          </w:p>
        </w:tc>
        <w:tc>
          <w:tcPr>
            <w:tcW w:w="0" w:type="auto"/>
            <w:shd w:val="clear" w:color="auto" w:fill="auto"/>
            <w:vAlign w:val="bottom"/>
          </w:tcPr>
          <w:p w14:paraId="71D40120" w14:textId="77777777" w:rsidR="006A3667" w:rsidRDefault="006A3667">
            <w:pPr>
              <w:rPr>
                <w:rFonts w:ascii="宋体"/>
                <w:vanish/>
              </w:rPr>
            </w:pPr>
          </w:p>
        </w:tc>
        <w:tc>
          <w:tcPr>
            <w:tcW w:w="0" w:type="auto"/>
            <w:shd w:val="clear" w:color="auto" w:fill="auto"/>
            <w:vAlign w:val="bottom"/>
          </w:tcPr>
          <w:p w14:paraId="71D40121" w14:textId="77777777" w:rsidR="006A3667" w:rsidRDefault="006A3667">
            <w:pPr>
              <w:rPr>
                <w:rFonts w:ascii="宋体"/>
                <w:vanish/>
              </w:rPr>
            </w:pPr>
          </w:p>
        </w:tc>
        <w:tc>
          <w:tcPr>
            <w:tcW w:w="0" w:type="auto"/>
            <w:gridSpan w:val="3"/>
            <w:shd w:val="clear" w:color="auto" w:fill="auto"/>
            <w:vAlign w:val="bottom"/>
          </w:tcPr>
          <w:p w14:paraId="71D40122" w14:textId="77777777" w:rsidR="006A3667" w:rsidRDefault="006A3667">
            <w:pPr>
              <w:rPr>
                <w:rFonts w:ascii="宋体"/>
                <w:vanish/>
              </w:rPr>
            </w:pPr>
          </w:p>
        </w:tc>
        <w:tc>
          <w:tcPr>
            <w:tcW w:w="0" w:type="auto"/>
            <w:gridSpan w:val="3"/>
            <w:shd w:val="clear" w:color="auto" w:fill="auto"/>
            <w:vAlign w:val="bottom"/>
          </w:tcPr>
          <w:p w14:paraId="71D40123" w14:textId="77777777" w:rsidR="006A3667" w:rsidRDefault="006A3667">
            <w:pPr>
              <w:rPr>
                <w:rFonts w:ascii="宋体"/>
                <w:vanish/>
              </w:rPr>
            </w:pPr>
          </w:p>
        </w:tc>
      </w:tr>
      <w:tr w:rsidR="006A3667" w14:paraId="71D4012F" w14:textId="77777777">
        <w:tc>
          <w:tcPr>
            <w:tcW w:w="0" w:type="auto"/>
            <w:gridSpan w:val="3"/>
            <w:shd w:val="clear" w:color="auto" w:fill="CCEEFF"/>
            <w:tcMar>
              <w:top w:w="40" w:type="dxa"/>
              <w:left w:w="20" w:type="dxa"/>
              <w:bottom w:w="40" w:type="dxa"/>
              <w:right w:w="20" w:type="dxa"/>
            </w:tcMar>
            <w:vAlign w:val="bottom"/>
          </w:tcPr>
          <w:p w14:paraId="71D40125" w14:textId="77777777" w:rsidR="006A3667" w:rsidRDefault="00045F32">
            <w:pP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126" w14:textId="77777777" w:rsidR="006A3667" w:rsidRDefault="00045F32">
            <w:pPr>
              <w:jc w:val="right"/>
              <w:textAlignment w:val="bottom"/>
            </w:pPr>
            <w:r>
              <w:rPr>
                <w:rFonts w:ascii="Arial" w:eastAsia="宋体" w:hAnsi="Arial" w:cs="Arial"/>
                <w:b/>
                <w:bCs/>
                <w:color w:val="000000"/>
                <w:sz w:val="14"/>
                <w:szCs w:val="14"/>
              </w:rPr>
              <w:t>175,870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12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12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129" w14:textId="77777777" w:rsidR="006A3667" w:rsidRDefault="00045F32">
            <w:pPr>
              <w:jc w:val="right"/>
              <w:textAlignment w:val="bottom"/>
            </w:pPr>
            <w:r>
              <w:rPr>
                <w:rFonts w:ascii="Arial" w:eastAsia="宋体" w:hAnsi="Arial" w:cs="Arial"/>
                <w:color w:val="000000"/>
                <w:sz w:val="14"/>
                <w:szCs w:val="14"/>
              </w:rPr>
              <w:t>186,604 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12A" w14:textId="77777777" w:rsidR="006A3667" w:rsidRDefault="006A3667">
            <w:pPr>
              <w:jc w:val="right"/>
              <w:rPr>
                <w:rFonts w:ascii="宋体"/>
              </w:rPr>
            </w:pPr>
          </w:p>
        </w:tc>
        <w:tc>
          <w:tcPr>
            <w:tcW w:w="0" w:type="auto"/>
            <w:shd w:val="clear" w:color="auto" w:fill="auto"/>
            <w:vAlign w:val="bottom"/>
          </w:tcPr>
          <w:p w14:paraId="71D4012B" w14:textId="77777777" w:rsidR="006A3667" w:rsidRDefault="006A3667">
            <w:pPr>
              <w:rPr>
                <w:rFonts w:ascii="宋体"/>
                <w:vanish/>
              </w:rPr>
            </w:pPr>
          </w:p>
        </w:tc>
        <w:tc>
          <w:tcPr>
            <w:tcW w:w="0" w:type="auto"/>
            <w:shd w:val="clear" w:color="auto" w:fill="auto"/>
            <w:vAlign w:val="bottom"/>
          </w:tcPr>
          <w:p w14:paraId="71D4012C" w14:textId="77777777" w:rsidR="006A3667" w:rsidRDefault="006A3667">
            <w:pPr>
              <w:rPr>
                <w:rFonts w:ascii="宋体"/>
                <w:vanish/>
              </w:rPr>
            </w:pPr>
          </w:p>
        </w:tc>
        <w:tc>
          <w:tcPr>
            <w:tcW w:w="0" w:type="auto"/>
            <w:gridSpan w:val="3"/>
            <w:shd w:val="clear" w:color="auto" w:fill="auto"/>
            <w:vAlign w:val="bottom"/>
          </w:tcPr>
          <w:p w14:paraId="71D4012D" w14:textId="77777777" w:rsidR="006A3667" w:rsidRDefault="006A3667">
            <w:pPr>
              <w:rPr>
                <w:rFonts w:ascii="宋体"/>
                <w:vanish/>
              </w:rPr>
            </w:pPr>
          </w:p>
        </w:tc>
        <w:tc>
          <w:tcPr>
            <w:tcW w:w="0" w:type="auto"/>
            <w:gridSpan w:val="3"/>
            <w:shd w:val="clear" w:color="auto" w:fill="auto"/>
            <w:vAlign w:val="bottom"/>
          </w:tcPr>
          <w:p w14:paraId="71D4012E" w14:textId="77777777" w:rsidR="006A3667" w:rsidRDefault="006A3667">
            <w:pPr>
              <w:rPr>
                <w:rFonts w:ascii="宋体"/>
                <w:vanish/>
              </w:rPr>
            </w:pPr>
          </w:p>
        </w:tc>
      </w:tr>
      <w:tr w:rsidR="006A3667" w14:paraId="71D4013A" w14:textId="77777777">
        <w:tc>
          <w:tcPr>
            <w:tcW w:w="0" w:type="auto"/>
            <w:gridSpan w:val="3"/>
            <w:shd w:val="clear" w:color="auto" w:fill="FFFFFF"/>
            <w:tcMar>
              <w:top w:w="40" w:type="dxa"/>
              <w:left w:w="20" w:type="dxa"/>
              <w:bottom w:w="40" w:type="dxa"/>
              <w:right w:w="20" w:type="dxa"/>
            </w:tcMar>
            <w:vAlign w:val="bottom"/>
          </w:tcPr>
          <w:p w14:paraId="71D40130" w14:textId="77777777" w:rsidR="006A3667" w:rsidRDefault="00045F32">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71D40131" w14:textId="77777777" w:rsidR="006A3667" w:rsidRDefault="00045F32">
            <w:pPr>
              <w:jc w:val="right"/>
              <w:textAlignment w:val="bottom"/>
            </w:pPr>
            <w:r>
              <w:rPr>
                <w:rFonts w:ascii="Arial" w:eastAsia="宋体" w:hAnsi="Arial" w:cs="Arial"/>
                <w:b/>
                <w:bCs/>
                <w:color w:val="000000"/>
                <w:sz w:val="14"/>
                <w:szCs w:val="14"/>
              </w:rPr>
              <w:t>3,532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13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13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134" w14:textId="77777777" w:rsidR="006A3667" w:rsidRDefault="00045F32">
            <w:pPr>
              <w:jc w:val="right"/>
              <w:textAlignment w:val="bottom"/>
            </w:pPr>
            <w:r>
              <w:rPr>
                <w:rFonts w:ascii="Arial" w:eastAsia="宋体" w:hAnsi="Arial" w:cs="Arial"/>
                <w:color w:val="000000"/>
                <w:sz w:val="14"/>
                <w:szCs w:val="14"/>
              </w:rPr>
              <w:t>606 </w:t>
            </w:r>
          </w:p>
        </w:tc>
        <w:tc>
          <w:tcPr>
            <w:tcW w:w="0" w:type="auto"/>
            <w:shd w:val="clear" w:color="auto" w:fill="FFFFFF"/>
            <w:tcMar>
              <w:top w:w="40" w:type="dxa"/>
              <w:left w:w="0" w:type="dxa"/>
              <w:bottom w:w="40" w:type="dxa"/>
              <w:right w:w="20" w:type="dxa"/>
            </w:tcMar>
            <w:vAlign w:val="bottom"/>
          </w:tcPr>
          <w:p w14:paraId="71D40135" w14:textId="77777777" w:rsidR="006A3667" w:rsidRDefault="006A3667">
            <w:pPr>
              <w:jc w:val="right"/>
              <w:rPr>
                <w:rFonts w:ascii="宋体"/>
              </w:rPr>
            </w:pPr>
          </w:p>
        </w:tc>
        <w:tc>
          <w:tcPr>
            <w:tcW w:w="0" w:type="auto"/>
            <w:shd w:val="clear" w:color="auto" w:fill="auto"/>
            <w:vAlign w:val="bottom"/>
          </w:tcPr>
          <w:p w14:paraId="71D40136" w14:textId="77777777" w:rsidR="006A3667" w:rsidRDefault="006A3667">
            <w:pPr>
              <w:rPr>
                <w:rFonts w:ascii="宋体"/>
                <w:vanish/>
              </w:rPr>
            </w:pPr>
          </w:p>
        </w:tc>
        <w:tc>
          <w:tcPr>
            <w:tcW w:w="0" w:type="auto"/>
            <w:shd w:val="clear" w:color="auto" w:fill="auto"/>
            <w:vAlign w:val="bottom"/>
          </w:tcPr>
          <w:p w14:paraId="71D40137" w14:textId="77777777" w:rsidR="006A3667" w:rsidRDefault="006A3667">
            <w:pPr>
              <w:rPr>
                <w:rFonts w:ascii="宋体"/>
                <w:vanish/>
              </w:rPr>
            </w:pPr>
          </w:p>
        </w:tc>
        <w:tc>
          <w:tcPr>
            <w:tcW w:w="0" w:type="auto"/>
            <w:gridSpan w:val="3"/>
            <w:shd w:val="clear" w:color="auto" w:fill="auto"/>
            <w:vAlign w:val="bottom"/>
          </w:tcPr>
          <w:p w14:paraId="71D40138" w14:textId="77777777" w:rsidR="006A3667" w:rsidRDefault="006A3667">
            <w:pPr>
              <w:rPr>
                <w:rFonts w:ascii="宋体"/>
                <w:vanish/>
              </w:rPr>
            </w:pPr>
          </w:p>
        </w:tc>
        <w:tc>
          <w:tcPr>
            <w:tcW w:w="0" w:type="auto"/>
            <w:gridSpan w:val="3"/>
            <w:shd w:val="clear" w:color="auto" w:fill="auto"/>
            <w:vAlign w:val="bottom"/>
          </w:tcPr>
          <w:p w14:paraId="71D40139" w14:textId="77777777" w:rsidR="006A3667" w:rsidRDefault="006A3667">
            <w:pPr>
              <w:rPr>
                <w:rFonts w:ascii="宋体"/>
                <w:vanish/>
              </w:rPr>
            </w:pPr>
          </w:p>
        </w:tc>
      </w:tr>
      <w:tr w:rsidR="006A3667" w14:paraId="71D40145" w14:textId="77777777">
        <w:tc>
          <w:tcPr>
            <w:tcW w:w="0" w:type="auto"/>
            <w:gridSpan w:val="3"/>
            <w:shd w:val="clear" w:color="auto" w:fill="CCEEFF"/>
            <w:tcMar>
              <w:top w:w="40" w:type="dxa"/>
              <w:left w:w="20" w:type="dxa"/>
              <w:bottom w:w="40" w:type="dxa"/>
              <w:right w:w="20" w:type="dxa"/>
            </w:tcMar>
            <w:vAlign w:val="bottom"/>
          </w:tcPr>
          <w:p w14:paraId="71D4013B" w14:textId="77777777" w:rsidR="006A3667" w:rsidRDefault="00045F32">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71D4013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1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1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13F" w14:textId="77777777" w:rsidR="006A3667" w:rsidRDefault="00045F32">
            <w:pPr>
              <w:jc w:val="right"/>
              <w:textAlignment w:val="bottom"/>
            </w:pPr>
            <w:r>
              <w:rPr>
                <w:rFonts w:ascii="Arial" w:eastAsia="宋体" w:hAnsi="Arial" w:cs="Arial"/>
                <w:color w:val="000000"/>
                <w:sz w:val="14"/>
                <w:szCs w:val="14"/>
              </w:rPr>
              <w:t>421 </w:t>
            </w:r>
          </w:p>
        </w:tc>
        <w:tc>
          <w:tcPr>
            <w:tcW w:w="0" w:type="auto"/>
            <w:shd w:val="clear" w:color="auto" w:fill="CCEEFF"/>
            <w:tcMar>
              <w:top w:w="40" w:type="dxa"/>
              <w:left w:w="0" w:type="dxa"/>
              <w:bottom w:w="40" w:type="dxa"/>
              <w:right w:w="20" w:type="dxa"/>
            </w:tcMar>
            <w:vAlign w:val="bottom"/>
          </w:tcPr>
          <w:p w14:paraId="71D40140" w14:textId="77777777" w:rsidR="006A3667" w:rsidRDefault="006A3667">
            <w:pPr>
              <w:jc w:val="right"/>
              <w:rPr>
                <w:rFonts w:ascii="宋体"/>
              </w:rPr>
            </w:pPr>
          </w:p>
        </w:tc>
        <w:tc>
          <w:tcPr>
            <w:tcW w:w="0" w:type="auto"/>
            <w:shd w:val="clear" w:color="auto" w:fill="auto"/>
            <w:vAlign w:val="bottom"/>
          </w:tcPr>
          <w:p w14:paraId="71D40141" w14:textId="77777777" w:rsidR="006A3667" w:rsidRDefault="006A3667">
            <w:pPr>
              <w:rPr>
                <w:rFonts w:ascii="宋体"/>
                <w:vanish/>
              </w:rPr>
            </w:pPr>
          </w:p>
        </w:tc>
        <w:tc>
          <w:tcPr>
            <w:tcW w:w="0" w:type="auto"/>
            <w:shd w:val="clear" w:color="auto" w:fill="auto"/>
            <w:vAlign w:val="bottom"/>
          </w:tcPr>
          <w:p w14:paraId="71D40142" w14:textId="77777777" w:rsidR="006A3667" w:rsidRDefault="006A3667">
            <w:pPr>
              <w:rPr>
                <w:rFonts w:ascii="宋体"/>
                <w:vanish/>
              </w:rPr>
            </w:pPr>
          </w:p>
        </w:tc>
        <w:tc>
          <w:tcPr>
            <w:tcW w:w="0" w:type="auto"/>
            <w:gridSpan w:val="3"/>
            <w:shd w:val="clear" w:color="auto" w:fill="auto"/>
            <w:vAlign w:val="bottom"/>
          </w:tcPr>
          <w:p w14:paraId="71D40143" w14:textId="77777777" w:rsidR="006A3667" w:rsidRDefault="006A3667">
            <w:pPr>
              <w:rPr>
                <w:rFonts w:ascii="宋体"/>
                <w:vanish/>
              </w:rPr>
            </w:pPr>
          </w:p>
        </w:tc>
        <w:tc>
          <w:tcPr>
            <w:tcW w:w="0" w:type="auto"/>
            <w:gridSpan w:val="3"/>
            <w:shd w:val="clear" w:color="auto" w:fill="auto"/>
            <w:vAlign w:val="bottom"/>
          </w:tcPr>
          <w:p w14:paraId="71D40144" w14:textId="77777777" w:rsidR="006A3667" w:rsidRDefault="006A3667">
            <w:pPr>
              <w:rPr>
                <w:rFonts w:ascii="宋体"/>
                <w:vanish/>
              </w:rPr>
            </w:pPr>
          </w:p>
        </w:tc>
      </w:tr>
      <w:tr w:rsidR="006A3667" w14:paraId="71D40150" w14:textId="77777777">
        <w:tc>
          <w:tcPr>
            <w:tcW w:w="0" w:type="auto"/>
            <w:gridSpan w:val="3"/>
            <w:shd w:val="clear" w:color="auto" w:fill="FFFFFF"/>
            <w:tcMar>
              <w:top w:w="40" w:type="dxa"/>
              <w:left w:w="20" w:type="dxa"/>
              <w:bottom w:w="40" w:type="dxa"/>
              <w:right w:w="20" w:type="dxa"/>
            </w:tcMar>
            <w:vAlign w:val="bottom"/>
          </w:tcPr>
          <w:p w14:paraId="71D40146" w14:textId="77777777" w:rsidR="006A3667" w:rsidRDefault="00045F32">
            <w:pPr>
              <w:textAlignment w:val="bottom"/>
            </w:pPr>
            <w:r>
              <w:rPr>
                <w:rFonts w:ascii="Arial" w:eastAsia="宋体" w:hAnsi="Arial" w:cs="Arial"/>
                <w:color w:val="000000"/>
                <w:sz w:val="14"/>
                <w:szCs w:val="14"/>
              </w:rPr>
              <w:t>Other short-term borrowings</w:t>
            </w:r>
          </w:p>
        </w:tc>
        <w:tc>
          <w:tcPr>
            <w:tcW w:w="0" w:type="auto"/>
            <w:gridSpan w:val="2"/>
            <w:shd w:val="clear" w:color="auto" w:fill="FFFFFF"/>
            <w:tcMar>
              <w:top w:w="40" w:type="dxa"/>
              <w:left w:w="20" w:type="dxa"/>
              <w:bottom w:w="40" w:type="dxa"/>
              <w:right w:w="0" w:type="dxa"/>
            </w:tcMar>
            <w:vAlign w:val="bottom"/>
          </w:tcPr>
          <w:p w14:paraId="71D40147" w14:textId="77777777" w:rsidR="006A3667" w:rsidRDefault="00045F32">
            <w:pPr>
              <w:jc w:val="right"/>
              <w:textAlignment w:val="bottom"/>
            </w:pPr>
            <w:r>
              <w:rPr>
                <w:rFonts w:ascii="Arial" w:eastAsia="宋体" w:hAnsi="Arial" w:cs="Arial"/>
                <w:b/>
                <w:bCs/>
                <w:color w:val="000000"/>
                <w:sz w:val="14"/>
                <w:szCs w:val="14"/>
              </w:rPr>
              <w:t>660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1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1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14A" w14:textId="77777777" w:rsidR="006A3667" w:rsidRDefault="00045F32">
            <w:pPr>
              <w:jc w:val="right"/>
              <w:textAlignment w:val="bottom"/>
            </w:pPr>
            <w:r>
              <w:rPr>
                <w:rFonts w:ascii="Arial" w:eastAsia="宋体" w:hAnsi="Arial" w:cs="Arial"/>
                <w:color w:val="000000"/>
                <w:sz w:val="14"/>
                <w:szCs w:val="14"/>
              </w:rPr>
              <w:t>832 </w:t>
            </w:r>
          </w:p>
        </w:tc>
        <w:tc>
          <w:tcPr>
            <w:tcW w:w="0" w:type="auto"/>
            <w:shd w:val="clear" w:color="auto" w:fill="FFFFFF"/>
            <w:tcMar>
              <w:top w:w="40" w:type="dxa"/>
              <w:left w:w="0" w:type="dxa"/>
              <w:bottom w:w="40" w:type="dxa"/>
              <w:right w:w="20" w:type="dxa"/>
            </w:tcMar>
            <w:vAlign w:val="bottom"/>
          </w:tcPr>
          <w:p w14:paraId="71D4014B" w14:textId="77777777" w:rsidR="006A3667" w:rsidRDefault="006A3667">
            <w:pPr>
              <w:jc w:val="right"/>
              <w:rPr>
                <w:rFonts w:ascii="宋体"/>
              </w:rPr>
            </w:pPr>
          </w:p>
        </w:tc>
        <w:tc>
          <w:tcPr>
            <w:tcW w:w="0" w:type="auto"/>
            <w:shd w:val="clear" w:color="auto" w:fill="auto"/>
            <w:vAlign w:val="bottom"/>
          </w:tcPr>
          <w:p w14:paraId="71D4014C" w14:textId="77777777" w:rsidR="006A3667" w:rsidRDefault="006A3667">
            <w:pPr>
              <w:rPr>
                <w:rFonts w:ascii="宋体"/>
                <w:vanish/>
              </w:rPr>
            </w:pPr>
          </w:p>
        </w:tc>
        <w:tc>
          <w:tcPr>
            <w:tcW w:w="0" w:type="auto"/>
            <w:shd w:val="clear" w:color="auto" w:fill="auto"/>
            <w:vAlign w:val="bottom"/>
          </w:tcPr>
          <w:p w14:paraId="71D4014D" w14:textId="77777777" w:rsidR="006A3667" w:rsidRDefault="006A3667">
            <w:pPr>
              <w:rPr>
                <w:rFonts w:ascii="宋体"/>
                <w:vanish/>
              </w:rPr>
            </w:pPr>
          </w:p>
        </w:tc>
        <w:tc>
          <w:tcPr>
            <w:tcW w:w="0" w:type="auto"/>
            <w:gridSpan w:val="3"/>
            <w:shd w:val="clear" w:color="auto" w:fill="auto"/>
            <w:vAlign w:val="bottom"/>
          </w:tcPr>
          <w:p w14:paraId="71D4014E" w14:textId="77777777" w:rsidR="006A3667" w:rsidRDefault="006A3667">
            <w:pPr>
              <w:rPr>
                <w:rFonts w:ascii="宋体"/>
                <w:vanish/>
              </w:rPr>
            </w:pPr>
          </w:p>
        </w:tc>
        <w:tc>
          <w:tcPr>
            <w:tcW w:w="0" w:type="auto"/>
            <w:gridSpan w:val="3"/>
            <w:shd w:val="clear" w:color="auto" w:fill="auto"/>
            <w:vAlign w:val="bottom"/>
          </w:tcPr>
          <w:p w14:paraId="71D4014F" w14:textId="77777777" w:rsidR="006A3667" w:rsidRDefault="006A3667">
            <w:pPr>
              <w:rPr>
                <w:rFonts w:ascii="宋体"/>
                <w:vanish/>
              </w:rPr>
            </w:pPr>
          </w:p>
        </w:tc>
      </w:tr>
      <w:tr w:rsidR="006A3667" w14:paraId="71D4015B" w14:textId="77777777">
        <w:tc>
          <w:tcPr>
            <w:tcW w:w="0" w:type="auto"/>
            <w:gridSpan w:val="3"/>
            <w:shd w:val="clear" w:color="auto" w:fill="CCEEFF"/>
            <w:tcMar>
              <w:top w:w="40" w:type="dxa"/>
              <w:left w:w="20" w:type="dxa"/>
              <w:bottom w:w="40" w:type="dxa"/>
              <w:right w:w="20" w:type="dxa"/>
            </w:tcMar>
            <w:vAlign w:val="bottom"/>
          </w:tcPr>
          <w:p w14:paraId="71D40151" w14:textId="77777777" w:rsidR="006A3667" w:rsidRDefault="00045F32">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71D40152" w14:textId="77777777" w:rsidR="006A3667" w:rsidRDefault="00045F32">
            <w:pPr>
              <w:jc w:val="right"/>
              <w:textAlignment w:val="bottom"/>
            </w:pPr>
            <w:r>
              <w:rPr>
                <w:rFonts w:ascii="Arial" w:eastAsia="宋体" w:hAnsi="Arial" w:cs="Arial"/>
                <w:b/>
                <w:bCs/>
                <w:color w:val="000000"/>
                <w:sz w:val="14"/>
                <w:szCs w:val="14"/>
              </w:rPr>
              <w:t>13,974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15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15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155" w14:textId="77777777" w:rsidR="006A3667" w:rsidRDefault="00045F32">
            <w:pPr>
              <w:jc w:val="right"/>
              <w:textAlignment w:val="bottom"/>
            </w:pPr>
            <w:r>
              <w:rPr>
                <w:rFonts w:ascii="Arial" w:eastAsia="宋体" w:hAnsi="Arial" w:cs="Arial"/>
                <w:color w:val="000000"/>
                <w:sz w:val="14"/>
                <w:szCs w:val="14"/>
              </w:rPr>
              <w:t>13,431 </w:t>
            </w:r>
          </w:p>
        </w:tc>
        <w:tc>
          <w:tcPr>
            <w:tcW w:w="0" w:type="auto"/>
            <w:shd w:val="clear" w:color="auto" w:fill="CCEEFF"/>
            <w:tcMar>
              <w:top w:w="40" w:type="dxa"/>
              <w:left w:w="0" w:type="dxa"/>
              <w:bottom w:w="40" w:type="dxa"/>
              <w:right w:w="20" w:type="dxa"/>
            </w:tcMar>
            <w:vAlign w:val="bottom"/>
          </w:tcPr>
          <w:p w14:paraId="71D40156" w14:textId="77777777" w:rsidR="006A3667" w:rsidRDefault="006A3667">
            <w:pPr>
              <w:jc w:val="right"/>
              <w:rPr>
                <w:rFonts w:ascii="宋体"/>
              </w:rPr>
            </w:pPr>
          </w:p>
        </w:tc>
        <w:tc>
          <w:tcPr>
            <w:tcW w:w="0" w:type="auto"/>
            <w:shd w:val="clear" w:color="auto" w:fill="auto"/>
            <w:vAlign w:val="bottom"/>
          </w:tcPr>
          <w:p w14:paraId="71D40157" w14:textId="77777777" w:rsidR="006A3667" w:rsidRDefault="006A3667">
            <w:pPr>
              <w:rPr>
                <w:rFonts w:ascii="宋体"/>
                <w:vanish/>
              </w:rPr>
            </w:pPr>
          </w:p>
        </w:tc>
        <w:tc>
          <w:tcPr>
            <w:tcW w:w="0" w:type="auto"/>
            <w:shd w:val="clear" w:color="auto" w:fill="auto"/>
            <w:vAlign w:val="bottom"/>
          </w:tcPr>
          <w:p w14:paraId="71D40158" w14:textId="77777777" w:rsidR="006A3667" w:rsidRDefault="006A3667">
            <w:pPr>
              <w:rPr>
                <w:rFonts w:ascii="宋体"/>
                <w:vanish/>
              </w:rPr>
            </w:pPr>
          </w:p>
        </w:tc>
        <w:tc>
          <w:tcPr>
            <w:tcW w:w="0" w:type="auto"/>
            <w:gridSpan w:val="3"/>
            <w:shd w:val="clear" w:color="auto" w:fill="auto"/>
            <w:vAlign w:val="bottom"/>
          </w:tcPr>
          <w:p w14:paraId="71D40159" w14:textId="77777777" w:rsidR="006A3667" w:rsidRDefault="006A3667">
            <w:pPr>
              <w:rPr>
                <w:rFonts w:ascii="宋体"/>
                <w:vanish/>
              </w:rPr>
            </w:pPr>
          </w:p>
        </w:tc>
        <w:tc>
          <w:tcPr>
            <w:tcW w:w="0" w:type="auto"/>
            <w:gridSpan w:val="3"/>
            <w:shd w:val="clear" w:color="auto" w:fill="auto"/>
            <w:vAlign w:val="bottom"/>
          </w:tcPr>
          <w:p w14:paraId="71D4015A" w14:textId="77777777" w:rsidR="006A3667" w:rsidRDefault="006A3667">
            <w:pPr>
              <w:rPr>
                <w:rFonts w:ascii="宋体"/>
                <w:vanish/>
              </w:rPr>
            </w:pPr>
          </w:p>
        </w:tc>
      </w:tr>
      <w:tr w:rsidR="006A3667" w14:paraId="71D40166" w14:textId="77777777">
        <w:tc>
          <w:tcPr>
            <w:tcW w:w="0" w:type="auto"/>
            <w:gridSpan w:val="3"/>
            <w:shd w:val="clear" w:color="auto" w:fill="FFFFFF"/>
            <w:tcMar>
              <w:top w:w="40" w:type="dxa"/>
              <w:left w:w="20" w:type="dxa"/>
              <w:bottom w:w="40" w:type="dxa"/>
              <w:right w:w="20" w:type="dxa"/>
            </w:tcMar>
            <w:vAlign w:val="bottom"/>
          </w:tcPr>
          <w:p w14:paraId="71D4015C" w14:textId="77777777" w:rsidR="006A3667" w:rsidRDefault="00045F32">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71D4015D" w14:textId="77777777" w:rsidR="006A3667" w:rsidRDefault="00045F32">
            <w:pPr>
              <w:jc w:val="right"/>
              <w:textAlignment w:val="bottom"/>
            </w:pPr>
            <w:r>
              <w:rPr>
                <w:rFonts w:ascii="Arial" w:eastAsia="宋体" w:hAnsi="Arial" w:cs="Arial"/>
                <w:b/>
                <w:bCs/>
                <w:color w:val="000000"/>
                <w:sz w:val="14"/>
                <w:szCs w:val="14"/>
              </w:rPr>
              <w:t>2,643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1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1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160" w14:textId="77777777" w:rsidR="006A3667" w:rsidRDefault="00045F32">
            <w:pPr>
              <w:jc w:val="right"/>
              <w:textAlignment w:val="bottom"/>
            </w:pPr>
            <w:r>
              <w:rPr>
                <w:rFonts w:ascii="Arial" w:eastAsia="宋体" w:hAnsi="Arial" w:cs="Arial"/>
                <w:color w:val="000000"/>
                <w:sz w:val="14"/>
                <w:szCs w:val="14"/>
              </w:rPr>
              <w:t>5,332 </w:t>
            </w:r>
          </w:p>
        </w:tc>
        <w:tc>
          <w:tcPr>
            <w:tcW w:w="0" w:type="auto"/>
            <w:shd w:val="clear" w:color="auto" w:fill="FFFFFF"/>
            <w:tcMar>
              <w:top w:w="40" w:type="dxa"/>
              <w:left w:w="0" w:type="dxa"/>
              <w:bottom w:w="40" w:type="dxa"/>
              <w:right w:w="20" w:type="dxa"/>
            </w:tcMar>
            <w:vAlign w:val="bottom"/>
          </w:tcPr>
          <w:p w14:paraId="71D40161" w14:textId="77777777" w:rsidR="006A3667" w:rsidRDefault="006A3667">
            <w:pPr>
              <w:jc w:val="right"/>
              <w:rPr>
                <w:rFonts w:ascii="宋体"/>
              </w:rPr>
            </w:pPr>
          </w:p>
        </w:tc>
        <w:tc>
          <w:tcPr>
            <w:tcW w:w="0" w:type="auto"/>
            <w:shd w:val="clear" w:color="auto" w:fill="auto"/>
            <w:vAlign w:val="bottom"/>
          </w:tcPr>
          <w:p w14:paraId="71D40162" w14:textId="77777777" w:rsidR="006A3667" w:rsidRDefault="006A3667">
            <w:pPr>
              <w:rPr>
                <w:rFonts w:ascii="宋体"/>
                <w:vanish/>
              </w:rPr>
            </w:pPr>
          </w:p>
        </w:tc>
        <w:tc>
          <w:tcPr>
            <w:tcW w:w="0" w:type="auto"/>
            <w:shd w:val="clear" w:color="auto" w:fill="auto"/>
            <w:vAlign w:val="bottom"/>
          </w:tcPr>
          <w:p w14:paraId="71D40163" w14:textId="77777777" w:rsidR="006A3667" w:rsidRDefault="006A3667">
            <w:pPr>
              <w:rPr>
                <w:rFonts w:ascii="宋体"/>
                <w:vanish/>
              </w:rPr>
            </w:pPr>
          </w:p>
        </w:tc>
        <w:tc>
          <w:tcPr>
            <w:tcW w:w="0" w:type="auto"/>
            <w:gridSpan w:val="3"/>
            <w:shd w:val="clear" w:color="auto" w:fill="auto"/>
            <w:vAlign w:val="bottom"/>
          </w:tcPr>
          <w:p w14:paraId="71D40164" w14:textId="77777777" w:rsidR="006A3667" w:rsidRDefault="006A3667">
            <w:pPr>
              <w:rPr>
                <w:rFonts w:ascii="宋体"/>
                <w:vanish/>
              </w:rPr>
            </w:pPr>
          </w:p>
        </w:tc>
        <w:tc>
          <w:tcPr>
            <w:tcW w:w="0" w:type="auto"/>
            <w:gridSpan w:val="3"/>
            <w:shd w:val="clear" w:color="auto" w:fill="auto"/>
            <w:vAlign w:val="bottom"/>
          </w:tcPr>
          <w:p w14:paraId="71D40165" w14:textId="77777777" w:rsidR="006A3667" w:rsidRDefault="006A3667">
            <w:pPr>
              <w:rPr>
                <w:rFonts w:ascii="宋体"/>
                <w:vanish/>
              </w:rPr>
            </w:pPr>
          </w:p>
        </w:tc>
      </w:tr>
      <w:tr w:rsidR="006A3667" w14:paraId="71D40171" w14:textId="77777777">
        <w:tc>
          <w:tcPr>
            <w:tcW w:w="0" w:type="auto"/>
            <w:gridSpan w:val="3"/>
            <w:shd w:val="clear" w:color="auto" w:fill="CCEEFF"/>
            <w:tcMar>
              <w:top w:w="40" w:type="dxa"/>
              <w:left w:w="245" w:type="dxa"/>
              <w:bottom w:w="40" w:type="dxa"/>
              <w:right w:w="20" w:type="dxa"/>
            </w:tcMar>
            <w:vAlign w:val="bottom"/>
          </w:tcPr>
          <w:p w14:paraId="71D40167" w14:textId="77777777" w:rsidR="006A3667" w:rsidRDefault="00045F32">
            <w:pPr>
              <w:textAlignment w:val="bottom"/>
            </w:pPr>
            <w:r>
              <w:rPr>
                <w:rFonts w:ascii="Arial" w:eastAsia="宋体" w:hAnsi="Arial" w:cs="Arial"/>
                <w:color w:val="000000"/>
                <w:sz w:val="14"/>
                <w:szCs w:val="14"/>
              </w:rPr>
              <w:t>Average total 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168" w14:textId="77777777" w:rsidR="006A3667" w:rsidRDefault="00045F32">
            <w:pPr>
              <w:jc w:val="right"/>
              <w:textAlignment w:val="bottom"/>
            </w:pPr>
            <w:r>
              <w:rPr>
                <w:rFonts w:ascii="Arial" w:eastAsia="宋体" w:hAnsi="Arial" w:cs="Arial"/>
                <w:b/>
                <w:bCs/>
                <w:color w:val="000000"/>
                <w:sz w:val="14"/>
                <w:szCs w:val="14"/>
              </w:rPr>
              <w:t>196,679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16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16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16B" w14:textId="77777777" w:rsidR="006A3667" w:rsidRDefault="00045F32">
            <w:pPr>
              <w:jc w:val="right"/>
              <w:textAlignment w:val="bottom"/>
            </w:pPr>
            <w:r>
              <w:rPr>
                <w:rFonts w:ascii="Arial" w:eastAsia="宋体" w:hAnsi="Arial" w:cs="Arial"/>
                <w:color w:val="000000"/>
                <w:sz w:val="14"/>
                <w:szCs w:val="14"/>
              </w:rPr>
              <w:t>207,226 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16C" w14:textId="77777777" w:rsidR="006A3667" w:rsidRDefault="006A3667">
            <w:pPr>
              <w:jc w:val="right"/>
              <w:rPr>
                <w:rFonts w:ascii="宋体"/>
              </w:rPr>
            </w:pPr>
          </w:p>
        </w:tc>
        <w:tc>
          <w:tcPr>
            <w:tcW w:w="0" w:type="auto"/>
            <w:shd w:val="clear" w:color="auto" w:fill="auto"/>
            <w:vAlign w:val="bottom"/>
          </w:tcPr>
          <w:p w14:paraId="71D4016D" w14:textId="77777777" w:rsidR="006A3667" w:rsidRDefault="006A3667">
            <w:pPr>
              <w:rPr>
                <w:rFonts w:ascii="宋体"/>
                <w:vanish/>
              </w:rPr>
            </w:pPr>
          </w:p>
        </w:tc>
        <w:tc>
          <w:tcPr>
            <w:tcW w:w="0" w:type="auto"/>
            <w:shd w:val="clear" w:color="auto" w:fill="auto"/>
            <w:vAlign w:val="bottom"/>
          </w:tcPr>
          <w:p w14:paraId="71D4016E" w14:textId="77777777" w:rsidR="006A3667" w:rsidRDefault="006A3667">
            <w:pPr>
              <w:rPr>
                <w:rFonts w:ascii="宋体"/>
                <w:vanish/>
              </w:rPr>
            </w:pPr>
          </w:p>
        </w:tc>
        <w:tc>
          <w:tcPr>
            <w:tcW w:w="0" w:type="auto"/>
            <w:gridSpan w:val="3"/>
            <w:shd w:val="clear" w:color="auto" w:fill="auto"/>
            <w:vAlign w:val="bottom"/>
          </w:tcPr>
          <w:p w14:paraId="71D4016F" w14:textId="77777777" w:rsidR="006A3667" w:rsidRDefault="006A3667">
            <w:pPr>
              <w:rPr>
                <w:rFonts w:ascii="宋体"/>
                <w:vanish/>
              </w:rPr>
            </w:pPr>
          </w:p>
        </w:tc>
        <w:tc>
          <w:tcPr>
            <w:tcW w:w="0" w:type="auto"/>
            <w:gridSpan w:val="3"/>
            <w:shd w:val="clear" w:color="auto" w:fill="auto"/>
            <w:vAlign w:val="bottom"/>
          </w:tcPr>
          <w:p w14:paraId="71D40170" w14:textId="77777777" w:rsidR="006A3667" w:rsidRDefault="006A3667">
            <w:pPr>
              <w:rPr>
                <w:rFonts w:ascii="宋体"/>
                <w:vanish/>
              </w:rPr>
            </w:pPr>
          </w:p>
        </w:tc>
      </w:tr>
      <w:tr w:rsidR="006A3667" w14:paraId="71D4017C" w14:textId="77777777">
        <w:tc>
          <w:tcPr>
            <w:tcW w:w="0" w:type="auto"/>
            <w:gridSpan w:val="3"/>
            <w:shd w:val="clear" w:color="auto" w:fill="FFFFFF"/>
            <w:tcMar>
              <w:top w:w="40" w:type="dxa"/>
              <w:left w:w="20" w:type="dxa"/>
              <w:bottom w:w="40" w:type="dxa"/>
              <w:right w:w="20" w:type="dxa"/>
            </w:tcMar>
            <w:vAlign w:val="bottom"/>
          </w:tcPr>
          <w:p w14:paraId="71D40172" w14:textId="77777777" w:rsidR="006A3667" w:rsidRDefault="00045F32">
            <w:pP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(2)(3)</w:t>
            </w:r>
          </w:p>
        </w:tc>
        <w:tc>
          <w:tcPr>
            <w:tcW w:w="0" w:type="auto"/>
            <w:gridSpan w:val="2"/>
            <w:shd w:val="clear" w:color="auto" w:fill="FFFFFF"/>
            <w:tcMar>
              <w:top w:w="40" w:type="dxa"/>
              <w:left w:w="20" w:type="dxa"/>
              <w:bottom w:w="40" w:type="dxa"/>
              <w:right w:w="0" w:type="dxa"/>
            </w:tcMar>
            <w:vAlign w:val="bottom"/>
          </w:tcPr>
          <w:p w14:paraId="71D40173" w14:textId="77777777" w:rsidR="006A3667" w:rsidRDefault="00045F32">
            <w:pPr>
              <w:jc w:val="right"/>
              <w:textAlignment w:val="bottom"/>
            </w:pPr>
            <w:r>
              <w:rPr>
                <w:rFonts w:ascii="Arial" w:eastAsia="宋体" w:hAnsi="Arial" w:cs="Arial"/>
                <w:b/>
                <w:bCs/>
                <w:color w:val="000000"/>
                <w:sz w:val="14"/>
                <w:szCs w:val="14"/>
              </w:rPr>
              <w:t>49,052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1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17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176" w14:textId="77777777" w:rsidR="006A3667" w:rsidRDefault="00045F32">
            <w:pPr>
              <w:jc w:val="right"/>
              <w:textAlignment w:val="bottom"/>
            </w:pPr>
            <w:r>
              <w:rPr>
                <w:rFonts w:ascii="Arial" w:eastAsia="宋体" w:hAnsi="Arial" w:cs="Arial"/>
                <w:color w:val="000000"/>
                <w:sz w:val="14"/>
                <w:szCs w:val="14"/>
              </w:rPr>
              <w:t>47,358 </w:t>
            </w:r>
          </w:p>
        </w:tc>
        <w:tc>
          <w:tcPr>
            <w:tcW w:w="0" w:type="auto"/>
            <w:shd w:val="clear" w:color="auto" w:fill="FFFFFF"/>
            <w:tcMar>
              <w:top w:w="40" w:type="dxa"/>
              <w:left w:w="0" w:type="dxa"/>
              <w:bottom w:w="40" w:type="dxa"/>
              <w:right w:w="20" w:type="dxa"/>
            </w:tcMar>
            <w:vAlign w:val="bottom"/>
          </w:tcPr>
          <w:p w14:paraId="71D40177" w14:textId="77777777" w:rsidR="006A3667" w:rsidRDefault="006A3667">
            <w:pPr>
              <w:jc w:val="right"/>
              <w:rPr>
                <w:rFonts w:ascii="宋体"/>
              </w:rPr>
            </w:pPr>
          </w:p>
        </w:tc>
        <w:tc>
          <w:tcPr>
            <w:tcW w:w="0" w:type="auto"/>
            <w:shd w:val="clear" w:color="auto" w:fill="auto"/>
            <w:vAlign w:val="bottom"/>
          </w:tcPr>
          <w:p w14:paraId="71D40178" w14:textId="77777777" w:rsidR="006A3667" w:rsidRDefault="006A3667">
            <w:pPr>
              <w:rPr>
                <w:rFonts w:ascii="宋体"/>
                <w:vanish/>
              </w:rPr>
            </w:pPr>
          </w:p>
        </w:tc>
        <w:tc>
          <w:tcPr>
            <w:tcW w:w="0" w:type="auto"/>
            <w:shd w:val="clear" w:color="auto" w:fill="auto"/>
            <w:vAlign w:val="bottom"/>
          </w:tcPr>
          <w:p w14:paraId="71D40179" w14:textId="77777777" w:rsidR="006A3667" w:rsidRDefault="006A3667">
            <w:pPr>
              <w:rPr>
                <w:rFonts w:ascii="宋体"/>
                <w:vanish/>
              </w:rPr>
            </w:pPr>
          </w:p>
        </w:tc>
        <w:tc>
          <w:tcPr>
            <w:tcW w:w="0" w:type="auto"/>
            <w:gridSpan w:val="3"/>
            <w:shd w:val="clear" w:color="auto" w:fill="auto"/>
            <w:vAlign w:val="bottom"/>
          </w:tcPr>
          <w:p w14:paraId="71D4017A" w14:textId="77777777" w:rsidR="006A3667" w:rsidRDefault="006A3667">
            <w:pPr>
              <w:rPr>
                <w:rFonts w:ascii="宋体"/>
                <w:vanish/>
              </w:rPr>
            </w:pPr>
          </w:p>
        </w:tc>
        <w:tc>
          <w:tcPr>
            <w:tcW w:w="0" w:type="auto"/>
            <w:gridSpan w:val="3"/>
            <w:shd w:val="clear" w:color="auto" w:fill="auto"/>
            <w:vAlign w:val="bottom"/>
          </w:tcPr>
          <w:p w14:paraId="71D4017B" w14:textId="77777777" w:rsidR="006A3667" w:rsidRDefault="006A3667">
            <w:pPr>
              <w:rPr>
                <w:rFonts w:ascii="宋体"/>
                <w:vanish/>
              </w:rPr>
            </w:pPr>
          </w:p>
        </w:tc>
      </w:tr>
      <w:tr w:rsidR="006A3667" w14:paraId="71D40187" w14:textId="77777777">
        <w:tc>
          <w:tcPr>
            <w:tcW w:w="0" w:type="auto"/>
            <w:gridSpan w:val="3"/>
            <w:shd w:val="clear" w:color="auto" w:fill="CCEEFF"/>
            <w:tcMar>
              <w:top w:w="40" w:type="dxa"/>
              <w:left w:w="20" w:type="dxa"/>
              <w:bottom w:w="40" w:type="dxa"/>
              <w:right w:w="20" w:type="dxa"/>
            </w:tcMar>
            <w:vAlign w:val="bottom"/>
          </w:tcPr>
          <w:p w14:paraId="71D4017D" w14:textId="77777777" w:rsidR="006A3667" w:rsidRDefault="00045F32">
            <w:pPr>
              <w:textAlignment w:val="bottom"/>
            </w:pPr>
            <w:r>
              <w:rPr>
                <w:rFonts w:ascii="Arial" w:eastAsia="宋体" w:hAnsi="Arial" w:cs="Arial"/>
                <w:color w:val="000000"/>
                <w:sz w:val="14"/>
                <w:szCs w:val="14"/>
              </w:rPr>
              <w:t xml:space="preserve">Other </w:t>
            </w:r>
            <w:r>
              <w:rPr>
                <w:rFonts w:ascii="Arial" w:eastAsia="宋体" w:hAnsi="Arial" w:cs="Arial"/>
                <w:color w:val="000000"/>
                <w:sz w:val="14"/>
                <w:szCs w:val="14"/>
              </w:rPr>
              <w:t>non-interest-bearing liabilities</w:t>
            </w:r>
          </w:p>
        </w:tc>
        <w:tc>
          <w:tcPr>
            <w:tcW w:w="0" w:type="auto"/>
            <w:gridSpan w:val="2"/>
            <w:shd w:val="clear" w:color="auto" w:fill="CCEEFF"/>
            <w:tcMar>
              <w:top w:w="40" w:type="dxa"/>
              <w:left w:w="20" w:type="dxa"/>
              <w:bottom w:w="40" w:type="dxa"/>
              <w:right w:w="0" w:type="dxa"/>
            </w:tcMar>
            <w:vAlign w:val="bottom"/>
          </w:tcPr>
          <w:p w14:paraId="71D4017E" w14:textId="77777777" w:rsidR="006A3667" w:rsidRDefault="00045F32">
            <w:pPr>
              <w:jc w:val="right"/>
              <w:textAlignment w:val="bottom"/>
            </w:pPr>
            <w:r>
              <w:rPr>
                <w:rFonts w:ascii="Arial" w:eastAsia="宋体" w:hAnsi="Arial" w:cs="Arial"/>
                <w:b/>
                <w:bCs/>
                <w:color w:val="000000"/>
                <w:sz w:val="14"/>
                <w:szCs w:val="14"/>
              </w:rPr>
              <w:t>15,370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17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18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181" w14:textId="77777777" w:rsidR="006A3667" w:rsidRDefault="00045F32">
            <w:pPr>
              <w:jc w:val="right"/>
              <w:textAlignment w:val="bottom"/>
            </w:pPr>
            <w:r>
              <w:rPr>
                <w:rFonts w:ascii="Arial" w:eastAsia="宋体" w:hAnsi="Arial" w:cs="Arial"/>
                <w:color w:val="000000"/>
                <w:sz w:val="14"/>
                <w:szCs w:val="14"/>
              </w:rPr>
              <w:t>18,407 </w:t>
            </w:r>
          </w:p>
        </w:tc>
        <w:tc>
          <w:tcPr>
            <w:tcW w:w="0" w:type="auto"/>
            <w:shd w:val="clear" w:color="auto" w:fill="CCEEFF"/>
            <w:tcMar>
              <w:top w:w="40" w:type="dxa"/>
              <w:left w:w="0" w:type="dxa"/>
              <w:bottom w:w="40" w:type="dxa"/>
              <w:right w:w="20" w:type="dxa"/>
            </w:tcMar>
            <w:vAlign w:val="bottom"/>
          </w:tcPr>
          <w:p w14:paraId="71D40182" w14:textId="77777777" w:rsidR="006A3667" w:rsidRDefault="006A3667">
            <w:pPr>
              <w:jc w:val="right"/>
              <w:rPr>
                <w:rFonts w:ascii="宋体"/>
              </w:rPr>
            </w:pPr>
          </w:p>
        </w:tc>
        <w:tc>
          <w:tcPr>
            <w:tcW w:w="0" w:type="auto"/>
            <w:shd w:val="clear" w:color="auto" w:fill="auto"/>
            <w:vAlign w:val="bottom"/>
          </w:tcPr>
          <w:p w14:paraId="71D40183" w14:textId="77777777" w:rsidR="006A3667" w:rsidRDefault="006A3667">
            <w:pPr>
              <w:rPr>
                <w:rFonts w:ascii="宋体"/>
                <w:vanish/>
              </w:rPr>
            </w:pPr>
          </w:p>
        </w:tc>
        <w:tc>
          <w:tcPr>
            <w:tcW w:w="0" w:type="auto"/>
            <w:shd w:val="clear" w:color="auto" w:fill="auto"/>
            <w:vAlign w:val="bottom"/>
          </w:tcPr>
          <w:p w14:paraId="71D40184" w14:textId="77777777" w:rsidR="006A3667" w:rsidRDefault="006A3667">
            <w:pPr>
              <w:rPr>
                <w:rFonts w:ascii="宋体"/>
                <w:vanish/>
              </w:rPr>
            </w:pPr>
          </w:p>
        </w:tc>
        <w:tc>
          <w:tcPr>
            <w:tcW w:w="0" w:type="auto"/>
            <w:gridSpan w:val="3"/>
            <w:shd w:val="clear" w:color="auto" w:fill="auto"/>
            <w:vAlign w:val="bottom"/>
          </w:tcPr>
          <w:p w14:paraId="71D40185" w14:textId="77777777" w:rsidR="006A3667" w:rsidRDefault="006A3667">
            <w:pPr>
              <w:rPr>
                <w:rFonts w:ascii="宋体"/>
                <w:vanish/>
              </w:rPr>
            </w:pPr>
          </w:p>
        </w:tc>
        <w:tc>
          <w:tcPr>
            <w:tcW w:w="0" w:type="auto"/>
            <w:gridSpan w:val="3"/>
            <w:shd w:val="clear" w:color="auto" w:fill="auto"/>
            <w:vAlign w:val="bottom"/>
          </w:tcPr>
          <w:p w14:paraId="71D40186" w14:textId="77777777" w:rsidR="006A3667" w:rsidRDefault="006A3667">
            <w:pPr>
              <w:rPr>
                <w:rFonts w:ascii="宋体"/>
                <w:vanish/>
              </w:rPr>
            </w:pPr>
          </w:p>
        </w:tc>
      </w:tr>
      <w:tr w:rsidR="006A3667" w14:paraId="71D40192" w14:textId="77777777">
        <w:tc>
          <w:tcPr>
            <w:tcW w:w="0" w:type="auto"/>
            <w:gridSpan w:val="3"/>
            <w:shd w:val="clear" w:color="auto" w:fill="FFFFFF"/>
            <w:tcMar>
              <w:top w:w="40" w:type="dxa"/>
              <w:left w:w="20" w:type="dxa"/>
              <w:bottom w:w="40" w:type="dxa"/>
              <w:right w:w="20" w:type="dxa"/>
            </w:tcMar>
            <w:vAlign w:val="bottom"/>
          </w:tcPr>
          <w:p w14:paraId="71D40188" w14:textId="77777777" w:rsidR="006A3667" w:rsidRDefault="00045F32">
            <w:pPr>
              <w:textAlignment w:val="bottom"/>
            </w:pPr>
            <w:r>
              <w:rPr>
                <w:rFonts w:ascii="Arial" w:eastAsia="宋体" w:hAnsi="Arial" w:cs="Arial"/>
                <w:color w:val="000000"/>
                <w:sz w:val="14"/>
                <w:szCs w:val="14"/>
              </w:rPr>
              <w:t>Preferred shareholders’ equity</w:t>
            </w:r>
          </w:p>
        </w:tc>
        <w:tc>
          <w:tcPr>
            <w:tcW w:w="0" w:type="auto"/>
            <w:gridSpan w:val="2"/>
            <w:shd w:val="clear" w:color="auto" w:fill="FFFFFF"/>
            <w:tcMar>
              <w:top w:w="40" w:type="dxa"/>
              <w:left w:w="20" w:type="dxa"/>
              <w:bottom w:w="40" w:type="dxa"/>
              <w:right w:w="0" w:type="dxa"/>
            </w:tcMar>
            <w:vAlign w:val="bottom"/>
          </w:tcPr>
          <w:p w14:paraId="71D40189" w14:textId="77777777" w:rsidR="006A3667" w:rsidRDefault="00045F32">
            <w:pPr>
              <w:jc w:val="right"/>
              <w:textAlignment w:val="bottom"/>
            </w:pPr>
            <w:r>
              <w:rPr>
                <w:rFonts w:ascii="Arial" w:eastAsia="宋体" w:hAnsi="Arial" w:cs="Arial"/>
                <w:b/>
                <w:bCs/>
                <w:color w:val="000000"/>
                <w:sz w:val="14"/>
                <w:szCs w:val="14"/>
              </w:rPr>
              <w:t>1,976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18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18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18C" w14:textId="77777777" w:rsidR="006A3667" w:rsidRDefault="00045F32">
            <w:pPr>
              <w:jc w:val="right"/>
              <w:textAlignment w:val="bottom"/>
            </w:pPr>
            <w:r>
              <w:rPr>
                <w:rFonts w:ascii="Arial" w:eastAsia="宋体" w:hAnsi="Arial" w:cs="Arial"/>
                <w:color w:val="000000"/>
                <w:sz w:val="14"/>
                <w:szCs w:val="14"/>
              </w:rPr>
              <w:t>2,110 </w:t>
            </w:r>
          </w:p>
        </w:tc>
        <w:tc>
          <w:tcPr>
            <w:tcW w:w="0" w:type="auto"/>
            <w:shd w:val="clear" w:color="auto" w:fill="FFFFFF"/>
            <w:tcMar>
              <w:top w:w="40" w:type="dxa"/>
              <w:left w:w="0" w:type="dxa"/>
              <w:bottom w:w="40" w:type="dxa"/>
              <w:right w:w="20" w:type="dxa"/>
            </w:tcMar>
            <w:vAlign w:val="bottom"/>
          </w:tcPr>
          <w:p w14:paraId="71D4018D" w14:textId="77777777" w:rsidR="006A3667" w:rsidRDefault="006A3667">
            <w:pPr>
              <w:jc w:val="right"/>
              <w:rPr>
                <w:rFonts w:ascii="宋体"/>
              </w:rPr>
            </w:pPr>
          </w:p>
        </w:tc>
        <w:tc>
          <w:tcPr>
            <w:tcW w:w="0" w:type="auto"/>
            <w:shd w:val="clear" w:color="auto" w:fill="auto"/>
            <w:vAlign w:val="bottom"/>
          </w:tcPr>
          <w:p w14:paraId="71D4018E" w14:textId="77777777" w:rsidR="006A3667" w:rsidRDefault="006A3667">
            <w:pPr>
              <w:rPr>
                <w:rFonts w:ascii="宋体"/>
                <w:vanish/>
              </w:rPr>
            </w:pPr>
          </w:p>
        </w:tc>
        <w:tc>
          <w:tcPr>
            <w:tcW w:w="0" w:type="auto"/>
            <w:shd w:val="clear" w:color="auto" w:fill="auto"/>
            <w:vAlign w:val="bottom"/>
          </w:tcPr>
          <w:p w14:paraId="71D4018F" w14:textId="77777777" w:rsidR="006A3667" w:rsidRDefault="006A3667">
            <w:pPr>
              <w:rPr>
                <w:rFonts w:ascii="宋体"/>
                <w:vanish/>
              </w:rPr>
            </w:pPr>
          </w:p>
        </w:tc>
        <w:tc>
          <w:tcPr>
            <w:tcW w:w="0" w:type="auto"/>
            <w:gridSpan w:val="3"/>
            <w:shd w:val="clear" w:color="auto" w:fill="auto"/>
            <w:vAlign w:val="bottom"/>
          </w:tcPr>
          <w:p w14:paraId="71D40190" w14:textId="77777777" w:rsidR="006A3667" w:rsidRDefault="006A3667">
            <w:pPr>
              <w:rPr>
                <w:rFonts w:ascii="宋体"/>
                <w:vanish/>
              </w:rPr>
            </w:pPr>
          </w:p>
        </w:tc>
        <w:tc>
          <w:tcPr>
            <w:tcW w:w="0" w:type="auto"/>
            <w:gridSpan w:val="3"/>
            <w:shd w:val="clear" w:color="auto" w:fill="auto"/>
            <w:vAlign w:val="bottom"/>
          </w:tcPr>
          <w:p w14:paraId="71D40191" w14:textId="77777777" w:rsidR="006A3667" w:rsidRDefault="006A3667">
            <w:pPr>
              <w:rPr>
                <w:rFonts w:ascii="宋体"/>
                <w:vanish/>
              </w:rPr>
            </w:pPr>
          </w:p>
        </w:tc>
      </w:tr>
      <w:tr w:rsidR="006A3667" w14:paraId="71D4019D" w14:textId="77777777">
        <w:tc>
          <w:tcPr>
            <w:tcW w:w="0" w:type="auto"/>
            <w:gridSpan w:val="3"/>
            <w:shd w:val="clear" w:color="auto" w:fill="CCEEFF"/>
            <w:tcMar>
              <w:top w:w="40" w:type="dxa"/>
              <w:left w:w="20" w:type="dxa"/>
              <w:bottom w:w="40" w:type="dxa"/>
              <w:right w:w="20" w:type="dxa"/>
            </w:tcMar>
            <w:vAlign w:val="bottom"/>
          </w:tcPr>
          <w:p w14:paraId="71D40193" w14:textId="77777777" w:rsidR="006A3667" w:rsidRDefault="00045F32">
            <w:pPr>
              <w:textAlignment w:val="bottom"/>
            </w:pPr>
            <w:r>
              <w:rPr>
                <w:rFonts w:ascii="Arial" w:eastAsia="宋体" w:hAnsi="Arial" w:cs="Arial"/>
                <w:color w:val="000000"/>
                <w:sz w:val="14"/>
                <w:szCs w:val="14"/>
              </w:rPr>
              <w:t>Common shareholders’ equity</w:t>
            </w:r>
          </w:p>
        </w:tc>
        <w:tc>
          <w:tcPr>
            <w:tcW w:w="0" w:type="auto"/>
            <w:gridSpan w:val="2"/>
            <w:shd w:val="clear" w:color="auto" w:fill="CCEEFF"/>
            <w:tcMar>
              <w:top w:w="40" w:type="dxa"/>
              <w:left w:w="20" w:type="dxa"/>
              <w:bottom w:w="40" w:type="dxa"/>
              <w:right w:w="0" w:type="dxa"/>
            </w:tcMar>
            <w:vAlign w:val="bottom"/>
          </w:tcPr>
          <w:p w14:paraId="71D40194" w14:textId="77777777" w:rsidR="006A3667" w:rsidRDefault="00045F32">
            <w:pPr>
              <w:jc w:val="right"/>
              <w:textAlignment w:val="bottom"/>
            </w:pPr>
            <w:r>
              <w:rPr>
                <w:rFonts w:ascii="Arial" w:eastAsia="宋体" w:hAnsi="Arial" w:cs="Arial"/>
                <w:b/>
                <w:bCs/>
                <w:color w:val="000000"/>
                <w:sz w:val="14"/>
                <w:szCs w:val="14"/>
              </w:rPr>
              <w:t>24,055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19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19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197" w14:textId="77777777" w:rsidR="006A3667" w:rsidRDefault="00045F32">
            <w:pPr>
              <w:jc w:val="right"/>
              <w:textAlignment w:val="bottom"/>
            </w:pPr>
            <w:r>
              <w:rPr>
                <w:rFonts w:ascii="Arial" w:eastAsia="宋体" w:hAnsi="Arial" w:cs="Arial"/>
                <w:color w:val="000000"/>
                <w:sz w:val="14"/>
                <w:szCs w:val="14"/>
              </w:rPr>
              <w:t>23,542 </w:t>
            </w:r>
          </w:p>
        </w:tc>
        <w:tc>
          <w:tcPr>
            <w:tcW w:w="0" w:type="auto"/>
            <w:shd w:val="clear" w:color="auto" w:fill="CCEEFF"/>
            <w:tcMar>
              <w:top w:w="40" w:type="dxa"/>
              <w:left w:w="0" w:type="dxa"/>
              <w:bottom w:w="40" w:type="dxa"/>
              <w:right w:w="20" w:type="dxa"/>
            </w:tcMar>
            <w:vAlign w:val="bottom"/>
          </w:tcPr>
          <w:p w14:paraId="71D40198" w14:textId="77777777" w:rsidR="006A3667" w:rsidRDefault="006A3667">
            <w:pPr>
              <w:jc w:val="right"/>
              <w:rPr>
                <w:rFonts w:ascii="宋体"/>
              </w:rPr>
            </w:pPr>
          </w:p>
        </w:tc>
        <w:tc>
          <w:tcPr>
            <w:tcW w:w="0" w:type="auto"/>
            <w:shd w:val="clear" w:color="auto" w:fill="auto"/>
            <w:vAlign w:val="bottom"/>
          </w:tcPr>
          <w:p w14:paraId="71D40199" w14:textId="77777777" w:rsidR="006A3667" w:rsidRDefault="006A3667">
            <w:pPr>
              <w:rPr>
                <w:rFonts w:ascii="宋体"/>
                <w:vanish/>
              </w:rPr>
            </w:pPr>
          </w:p>
        </w:tc>
        <w:tc>
          <w:tcPr>
            <w:tcW w:w="0" w:type="auto"/>
            <w:shd w:val="clear" w:color="auto" w:fill="auto"/>
            <w:vAlign w:val="bottom"/>
          </w:tcPr>
          <w:p w14:paraId="71D4019A" w14:textId="77777777" w:rsidR="006A3667" w:rsidRDefault="006A3667">
            <w:pPr>
              <w:rPr>
                <w:rFonts w:ascii="宋体"/>
                <w:vanish/>
              </w:rPr>
            </w:pPr>
          </w:p>
        </w:tc>
        <w:tc>
          <w:tcPr>
            <w:tcW w:w="0" w:type="auto"/>
            <w:gridSpan w:val="3"/>
            <w:shd w:val="clear" w:color="auto" w:fill="auto"/>
            <w:vAlign w:val="bottom"/>
          </w:tcPr>
          <w:p w14:paraId="71D4019B" w14:textId="77777777" w:rsidR="006A3667" w:rsidRDefault="006A3667">
            <w:pPr>
              <w:rPr>
                <w:rFonts w:ascii="宋体"/>
                <w:vanish/>
              </w:rPr>
            </w:pPr>
          </w:p>
        </w:tc>
        <w:tc>
          <w:tcPr>
            <w:tcW w:w="0" w:type="auto"/>
            <w:gridSpan w:val="3"/>
            <w:shd w:val="clear" w:color="auto" w:fill="auto"/>
            <w:vAlign w:val="bottom"/>
          </w:tcPr>
          <w:p w14:paraId="71D4019C" w14:textId="77777777" w:rsidR="006A3667" w:rsidRDefault="006A3667">
            <w:pPr>
              <w:rPr>
                <w:rFonts w:ascii="宋体"/>
                <w:vanish/>
              </w:rPr>
            </w:pPr>
          </w:p>
        </w:tc>
      </w:tr>
      <w:tr w:rsidR="006A3667" w14:paraId="71D401AA" w14:textId="77777777">
        <w:tc>
          <w:tcPr>
            <w:tcW w:w="0" w:type="auto"/>
            <w:gridSpan w:val="3"/>
            <w:shd w:val="clear" w:color="auto" w:fill="FFFFFF"/>
            <w:tcMar>
              <w:top w:w="40" w:type="dxa"/>
              <w:left w:w="245" w:type="dxa"/>
              <w:bottom w:w="40" w:type="dxa"/>
              <w:right w:w="20" w:type="dxa"/>
            </w:tcMar>
            <w:vAlign w:val="bottom"/>
          </w:tcPr>
          <w:p w14:paraId="71D4019E" w14:textId="77777777" w:rsidR="006A3667" w:rsidRDefault="00045F32">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19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1A0" w14:textId="77777777" w:rsidR="006A3667" w:rsidRDefault="00045F32">
            <w:pPr>
              <w:jc w:val="right"/>
              <w:textAlignment w:val="bottom"/>
            </w:pPr>
            <w:r>
              <w:rPr>
                <w:rFonts w:ascii="Arial" w:eastAsia="宋体" w:hAnsi="Arial" w:cs="Arial"/>
                <w:b/>
                <w:bCs/>
                <w:color w:val="000000"/>
                <w:sz w:val="14"/>
                <w:szCs w:val="14"/>
              </w:rPr>
              <w:t>287,132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1A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1A2"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1A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1A4" w14:textId="77777777" w:rsidR="006A3667" w:rsidRDefault="00045F32">
            <w:pPr>
              <w:jc w:val="right"/>
              <w:textAlignment w:val="bottom"/>
            </w:pPr>
            <w:r>
              <w:rPr>
                <w:rFonts w:ascii="Arial" w:eastAsia="宋体" w:hAnsi="Arial" w:cs="Arial"/>
                <w:color w:val="000000"/>
                <w:sz w:val="14"/>
                <w:szCs w:val="14"/>
              </w:rPr>
              <w:t>298,643 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1A5" w14:textId="77777777" w:rsidR="006A3667" w:rsidRDefault="006A3667">
            <w:pPr>
              <w:jc w:val="right"/>
              <w:rPr>
                <w:rFonts w:ascii="宋体"/>
              </w:rPr>
            </w:pPr>
          </w:p>
        </w:tc>
        <w:tc>
          <w:tcPr>
            <w:tcW w:w="0" w:type="auto"/>
            <w:shd w:val="clear" w:color="auto" w:fill="auto"/>
            <w:vAlign w:val="bottom"/>
          </w:tcPr>
          <w:p w14:paraId="71D401A6" w14:textId="77777777" w:rsidR="006A3667" w:rsidRDefault="006A3667">
            <w:pPr>
              <w:rPr>
                <w:rFonts w:ascii="宋体"/>
                <w:vanish/>
              </w:rPr>
            </w:pPr>
          </w:p>
        </w:tc>
        <w:tc>
          <w:tcPr>
            <w:tcW w:w="0" w:type="auto"/>
            <w:shd w:val="clear" w:color="auto" w:fill="auto"/>
            <w:vAlign w:val="bottom"/>
          </w:tcPr>
          <w:p w14:paraId="71D401A7" w14:textId="77777777" w:rsidR="006A3667" w:rsidRDefault="006A3667">
            <w:pPr>
              <w:rPr>
                <w:rFonts w:ascii="宋体"/>
                <w:vanish/>
              </w:rPr>
            </w:pPr>
          </w:p>
        </w:tc>
        <w:tc>
          <w:tcPr>
            <w:tcW w:w="0" w:type="auto"/>
            <w:gridSpan w:val="3"/>
            <w:shd w:val="clear" w:color="auto" w:fill="auto"/>
            <w:vAlign w:val="bottom"/>
          </w:tcPr>
          <w:p w14:paraId="71D401A8" w14:textId="77777777" w:rsidR="006A3667" w:rsidRDefault="006A3667">
            <w:pPr>
              <w:rPr>
                <w:rFonts w:ascii="宋体"/>
                <w:vanish/>
              </w:rPr>
            </w:pPr>
          </w:p>
        </w:tc>
        <w:tc>
          <w:tcPr>
            <w:tcW w:w="0" w:type="auto"/>
            <w:gridSpan w:val="3"/>
            <w:shd w:val="clear" w:color="auto" w:fill="auto"/>
            <w:vAlign w:val="bottom"/>
          </w:tcPr>
          <w:p w14:paraId="71D401A9" w14:textId="77777777" w:rsidR="006A3667" w:rsidRDefault="006A3667">
            <w:pPr>
              <w:rPr>
                <w:rFonts w:ascii="宋体"/>
                <w:vanish/>
              </w:rPr>
            </w:pPr>
          </w:p>
        </w:tc>
      </w:tr>
    </w:tbl>
    <w:p w14:paraId="71D401AB" w14:textId="77777777" w:rsidR="006A3667" w:rsidRDefault="006A3667">
      <w:pPr>
        <w:rPr>
          <w:vanish/>
        </w:rPr>
      </w:pPr>
    </w:p>
    <w:tbl>
      <w:tblPr>
        <w:tblW w:w="4528" w:type="pct"/>
        <w:tblCellMar>
          <w:top w:w="15" w:type="dxa"/>
          <w:left w:w="15" w:type="dxa"/>
          <w:bottom w:w="15" w:type="dxa"/>
          <w:right w:w="15" w:type="dxa"/>
        </w:tblCellMar>
        <w:tblLook w:val="04A0" w:firstRow="1" w:lastRow="0" w:firstColumn="1" w:lastColumn="0" w:noHBand="0" w:noVBand="1"/>
      </w:tblPr>
      <w:tblGrid>
        <w:gridCol w:w="61"/>
        <w:gridCol w:w="3966"/>
        <w:gridCol w:w="36"/>
        <w:gridCol w:w="61"/>
        <w:gridCol w:w="3389"/>
        <w:gridCol w:w="36"/>
      </w:tblGrid>
      <w:tr w:rsidR="006A3667" w14:paraId="71D401B2" w14:textId="77777777">
        <w:tc>
          <w:tcPr>
            <w:tcW w:w="50" w:type="pct"/>
            <w:shd w:val="clear" w:color="auto" w:fill="auto"/>
            <w:vAlign w:val="bottom"/>
          </w:tcPr>
          <w:p w14:paraId="71D401AC" w14:textId="77777777" w:rsidR="006A3667" w:rsidRDefault="006A3667">
            <w:pPr>
              <w:rPr>
                <w:rFonts w:ascii="宋体"/>
              </w:rPr>
            </w:pPr>
          </w:p>
        </w:tc>
        <w:tc>
          <w:tcPr>
            <w:tcW w:w="2635" w:type="pct"/>
            <w:shd w:val="clear" w:color="auto" w:fill="auto"/>
            <w:vAlign w:val="bottom"/>
          </w:tcPr>
          <w:p w14:paraId="71D401AD" w14:textId="77777777" w:rsidR="006A3667" w:rsidRDefault="006A3667">
            <w:pPr>
              <w:rPr>
                <w:rFonts w:ascii="宋体"/>
              </w:rPr>
            </w:pPr>
          </w:p>
        </w:tc>
        <w:tc>
          <w:tcPr>
            <w:tcW w:w="5" w:type="pct"/>
            <w:shd w:val="clear" w:color="auto" w:fill="auto"/>
            <w:vAlign w:val="bottom"/>
          </w:tcPr>
          <w:p w14:paraId="71D401AE" w14:textId="77777777" w:rsidR="006A3667" w:rsidRDefault="006A3667">
            <w:pPr>
              <w:rPr>
                <w:rFonts w:ascii="宋体"/>
              </w:rPr>
            </w:pPr>
          </w:p>
        </w:tc>
        <w:tc>
          <w:tcPr>
            <w:tcW w:w="50" w:type="pct"/>
            <w:shd w:val="clear" w:color="auto" w:fill="auto"/>
            <w:vAlign w:val="bottom"/>
          </w:tcPr>
          <w:p w14:paraId="71D401AF" w14:textId="77777777" w:rsidR="006A3667" w:rsidRDefault="006A3667">
            <w:pPr>
              <w:rPr>
                <w:rFonts w:ascii="宋体"/>
              </w:rPr>
            </w:pPr>
          </w:p>
        </w:tc>
        <w:tc>
          <w:tcPr>
            <w:tcW w:w="2254" w:type="pct"/>
            <w:shd w:val="clear" w:color="auto" w:fill="auto"/>
            <w:vAlign w:val="bottom"/>
          </w:tcPr>
          <w:p w14:paraId="71D401B0" w14:textId="77777777" w:rsidR="006A3667" w:rsidRDefault="006A3667">
            <w:pPr>
              <w:rPr>
                <w:rFonts w:ascii="宋体"/>
              </w:rPr>
            </w:pPr>
          </w:p>
        </w:tc>
        <w:tc>
          <w:tcPr>
            <w:tcW w:w="5" w:type="pct"/>
            <w:shd w:val="clear" w:color="auto" w:fill="auto"/>
            <w:vAlign w:val="bottom"/>
          </w:tcPr>
          <w:p w14:paraId="71D401B1" w14:textId="77777777" w:rsidR="006A3667" w:rsidRDefault="006A3667">
            <w:pPr>
              <w:rPr>
                <w:rFonts w:ascii="宋体"/>
              </w:rPr>
            </w:pPr>
          </w:p>
        </w:tc>
      </w:tr>
      <w:tr w:rsidR="006A3667" w14:paraId="71D401B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1B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1B4" w14:textId="77777777" w:rsidR="006A3667" w:rsidRDefault="006A3667">
            <w:pPr>
              <w:rPr>
                <w:rFonts w:ascii="宋体"/>
              </w:rPr>
            </w:pPr>
          </w:p>
        </w:tc>
      </w:tr>
    </w:tbl>
    <w:p w14:paraId="71D401B6" w14:textId="77777777" w:rsidR="006A3667" w:rsidRDefault="00045F32">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Additional information about our average statement of condition, primarily our interest-earning assets and interest-bearing liabilities, is provided in "Net Interest Income" included in this Management's Discussion and Analysis.</w:t>
      </w:r>
    </w:p>
    <w:p w14:paraId="71D401B7" w14:textId="77777777" w:rsidR="006A3667" w:rsidRDefault="00045F32">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Total deposits a</w:t>
      </w:r>
      <w:r>
        <w:rPr>
          <w:rFonts w:ascii="Arial" w:eastAsia="宋体" w:hAnsi="Arial" w:cs="Arial"/>
          <w:color w:val="000000"/>
          <w:sz w:val="14"/>
          <w:szCs w:val="14"/>
        </w:rPr>
        <w:t xml:space="preserve">veraged </w:t>
      </w:r>
      <w:r>
        <w:rPr>
          <w:rFonts w:ascii="Arial" w:eastAsia="宋体" w:hAnsi="Arial" w:cs="Arial"/>
          <w:color w:val="000000"/>
          <w:sz w:val="14"/>
          <w:szCs w:val="14"/>
          <w:shd w:val="clear" w:color="auto" w:fill="FFFFFF"/>
        </w:rPr>
        <w:t>$224.92 billion</w:t>
      </w:r>
      <w:r>
        <w:rPr>
          <w:rFonts w:ascii="Arial" w:eastAsia="宋体" w:hAnsi="Arial" w:cs="Arial"/>
          <w:color w:val="000000"/>
          <w:sz w:val="14"/>
          <w:szCs w:val="14"/>
        </w:rPr>
        <w:t xml:space="preserve"> in the nine months ended September 30, 2022 compared to $233.96 billion in the same period in 2021.</w:t>
      </w:r>
    </w:p>
    <w:p w14:paraId="71D401B8" w14:textId="77777777" w:rsidR="006A3667" w:rsidRDefault="00045F32">
      <w:pPr>
        <w:spacing w:before="6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Average non-interest bearing deposits are primarily composed of deposit balances denominated in U.S. dollars.</w:t>
      </w:r>
    </w:p>
    <w:p w14:paraId="71D401B9" w14:textId="77777777" w:rsidR="006A3667" w:rsidRDefault="00045F32">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28</w:t>
      </w:r>
    </w:p>
    <w:p w14:paraId="71D401BA" w14:textId="77777777" w:rsidR="006A3667" w:rsidRDefault="006A3667">
      <w:pPr>
        <w:ind w:firstLine="450"/>
        <w:jc w:val="center"/>
      </w:pPr>
    </w:p>
    <w:p w14:paraId="71D401BB" w14:textId="77777777" w:rsidR="006A3667" w:rsidRDefault="00045F32">
      <w:r>
        <w:pict w14:anchorId="71D4AC30">
          <v:rect id="_x0000_i1052" style="width:415.3pt;height:1.5pt" o:hralign="center" o:hrstd="t" o:hr="t" fillcolor="#a0a0a0" stroked="f"/>
        </w:pict>
      </w:r>
    </w:p>
    <w:p w14:paraId="71D401BC"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1BD" w14:textId="77777777" w:rsidR="006A3667" w:rsidRDefault="00045F32">
      <w:pPr>
        <w:ind w:firstLine="450"/>
        <w:jc w:val="center"/>
      </w:pPr>
      <w:r>
        <w:rPr>
          <w:rFonts w:ascii="Arial" w:eastAsia="宋体" w:hAnsi="Arial" w:cs="Arial"/>
          <w:b/>
          <w:bCs/>
          <w:color w:val="000000"/>
          <w:sz w:val="20"/>
          <w:szCs w:val="20"/>
        </w:rPr>
        <w:t>AND RESULTS OF OPERATIONS</w:t>
      </w:r>
    </w:p>
    <w:p w14:paraId="71D401BE" w14:textId="77777777" w:rsidR="006A3667" w:rsidRDefault="00045F32">
      <w:pPr>
        <w:spacing w:before="90"/>
        <w:textAlignment w:val="top"/>
      </w:pPr>
      <w:r>
        <w:rPr>
          <w:rFonts w:ascii="Arial" w:eastAsia="宋体" w:hAnsi="Arial" w:cs="Arial"/>
          <w:b/>
          <w:bCs/>
          <w:color w:val="000000"/>
          <w:sz w:val="20"/>
          <w:szCs w:val="20"/>
        </w:rPr>
        <w:t>Investment Securities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4291"/>
        <w:gridCol w:w="36"/>
        <w:gridCol w:w="99"/>
        <w:gridCol w:w="1520"/>
        <w:gridCol w:w="37"/>
        <w:gridCol w:w="36"/>
        <w:gridCol w:w="45"/>
        <w:gridCol w:w="36"/>
        <w:gridCol w:w="99"/>
        <w:gridCol w:w="1520"/>
        <w:gridCol w:w="37"/>
        <w:gridCol w:w="36"/>
        <w:gridCol w:w="36"/>
        <w:gridCol w:w="36"/>
        <w:gridCol w:w="36"/>
        <w:gridCol w:w="36"/>
        <w:gridCol w:w="36"/>
        <w:gridCol w:w="36"/>
        <w:gridCol w:w="36"/>
        <w:gridCol w:w="36"/>
        <w:gridCol w:w="36"/>
        <w:gridCol w:w="36"/>
        <w:gridCol w:w="36"/>
        <w:gridCol w:w="36"/>
        <w:gridCol w:w="36"/>
        <w:gridCol w:w="36"/>
      </w:tblGrid>
      <w:tr w:rsidR="006A3667" w14:paraId="71D401D0" w14:textId="77777777">
        <w:tc>
          <w:tcPr>
            <w:tcW w:w="50" w:type="pct"/>
            <w:shd w:val="clear" w:color="auto" w:fill="auto"/>
            <w:vAlign w:val="bottom"/>
          </w:tcPr>
          <w:p w14:paraId="71D401BF" w14:textId="77777777" w:rsidR="006A3667" w:rsidRDefault="006A3667">
            <w:pPr>
              <w:rPr>
                <w:rFonts w:ascii="宋体"/>
              </w:rPr>
            </w:pPr>
          </w:p>
        </w:tc>
        <w:tc>
          <w:tcPr>
            <w:tcW w:w="2775" w:type="pct"/>
            <w:shd w:val="clear" w:color="auto" w:fill="auto"/>
            <w:vAlign w:val="bottom"/>
          </w:tcPr>
          <w:p w14:paraId="71D401C0" w14:textId="77777777" w:rsidR="006A3667" w:rsidRDefault="006A3667">
            <w:pPr>
              <w:rPr>
                <w:rFonts w:ascii="宋体"/>
              </w:rPr>
            </w:pPr>
          </w:p>
        </w:tc>
        <w:tc>
          <w:tcPr>
            <w:tcW w:w="5" w:type="pct"/>
            <w:shd w:val="clear" w:color="auto" w:fill="auto"/>
            <w:vAlign w:val="bottom"/>
          </w:tcPr>
          <w:p w14:paraId="71D401C1" w14:textId="77777777" w:rsidR="006A3667" w:rsidRDefault="006A3667">
            <w:pPr>
              <w:rPr>
                <w:rFonts w:ascii="宋体"/>
              </w:rPr>
            </w:pPr>
          </w:p>
        </w:tc>
        <w:tc>
          <w:tcPr>
            <w:tcW w:w="50" w:type="pct"/>
            <w:shd w:val="clear" w:color="auto" w:fill="auto"/>
            <w:vAlign w:val="bottom"/>
          </w:tcPr>
          <w:p w14:paraId="71D401C2" w14:textId="77777777" w:rsidR="006A3667" w:rsidRDefault="006A3667">
            <w:pPr>
              <w:rPr>
                <w:rFonts w:ascii="宋体"/>
              </w:rPr>
            </w:pPr>
          </w:p>
        </w:tc>
        <w:tc>
          <w:tcPr>
            <w:tcW w:w="998" w:type="pct"/>
            <w:shd w:val="clear" w:color="auto" w:fill="auto"/>
            <w:vAlign w:val="bottom"/>
          </w:tcPr>
          <w:p w14:paraId="71D401C3" w14:textId="77777777" w:rsidR="006A3667" w:rsidRDefault="006A3667">
            <w:pPr>
              <w:rPr>
                <w:rFonts w:ascii="宋体"/>
              </w:rPr>
            </w:pPr>
          </w:p>
        </w:tc>
        <w:tc>
          <w:tcPr>
            <w:tcW w:w="5" w:type="pct"/>
            <w:shd w:val="clear" w:color="auto" w:fill="auto"/>
            <w:vAlign w:val="bottom"/>
          </w:tcPr>
          <w:p w14:paraId="71D401C4" w14:textId="77777777" w:rsidR="006A3667" w:rsidRDefault="006A3667">
            <w:pPr>
              <w:rPr>
                <w:rFonts w:ascii="宋体"/>
              </w:rPr>
            </w:pPr>
          </w:p>
        </w:tc>
        <w:tc>
          <w:tcPr>
            <w:tcW w:w="5" w:type="pct"/>
            <w:shd w:val="clear" w:color="auto" w:fill="auto"/>
            <w:vAlign w:val="bottom"/>
          </w:tcPr>
          <w:p w14:paraId="71D401C5" w14:textId="77777777" w:rsidR="006A3667" w:rsidRDefault="006A3667">
            <w:pPr>
              <w:rPr>
                <w:rFonts w:ascii="宋体"/>
              </w:rPr>
            </w:pPr>
          </w:p>
        </w:tc>
        <w:tc>
          <w:tcPr>
            <w:tcW w:w="52" w:type="pct"/>
            <w:shd w:val="clear" w:color="auto" w:fill="auto"/>
            <w:vAlign w:val="bottom"/>
          </w:tcPr>
          <w:p w14:paraId="71D401C6" w14:textId="77777777" w:rsidR="006A3667" w:rsidRDefault="006A3667">
            <w:pPr>
              <w:rPr>
                <w:rFonts w:ascii="宋体"/>
              </w:rPr>
            </w:pPr>
          </w:p>
        </w:tc>
        <w:tc>
          <w:tcPr>
            <w:tcW w:w="5" w:type="pct"/>
            <w:shd w:val="clear" w:color="auto" w:fill="auto"/>
            <w:vAlign w:val="bottom"/>
          </w:tcPr>
          <w:p w14:paraId="71D401C7" w14:textId="77777777" w:rsidR="006A3667" w:rsidRDefault="006A3667">
            <w:pPr>
              <w:rPr>
                <w:rFonts w:ascii="宋体"/>
              </w:rPr>
            </w:pPr>
          </w:p>
        </w:tc>
        <w:tc>
          <w:tcPr>
            <w:tcW w:w="50" w:type="pct"/>
            <w:shd w:val="clear" w:color="auto" w:fill="auto"/>
            <w:vAlign w:val="bottom"/>
          </w:tcPr>
          <w:p w14:paraId="71D401C8" w14:textId="77777777" w:rsidR="006A3667" w:rsidRDefault="006A3667">
            <w:pPr>
              <w:rPr>
                <w:rFonts w:ascii="宋体"/>
              </w:rPr>
            </w:pPr>
          </w:p>
        </w:tc>
        <w:tc>
          <w:tcPr>
            <w:tcW w:w="998" w:type="pct"/>
            <w:shd w:val="clear" w:color="auto" w:fill="auto"/>
            <w:vAlign w:val="bottom"/>
          </w:tcPr>
          <w:p w14:paraId="71D401C9" w14:textId="77777777" w:rsidR="006A3667" w:rsidRDefault="006A3667">
            <w:pPr>
              <w:rPr>
                <w:rFonts w:ascii="宋体"/>
              </w:rPr>
            </w:pPr>
          </w:p>
        </w:tc>
        <w:tc>
          <w:tcPr>
            <w:tcW w:w="5" w:type="pct"/>
            <w:shd w:val="clear" w:color="auto" w:fill="auto"/>
            <w:vAlign w:val="bottom"/>
          </w:tcPr>
          <w:p w14:paraId="71D401CA" w14:textId="77777777" w:rsidR="006A3667" w:rsidRDefault="006A3667">
            <w:pPr>
              <w:rPr>
                <w:rFonts w:ascii="宋体"/>
              </w:rPr>
            </w:pPr>
          </w:p>
        </w:tc>
        <w:tc>
          <w:tcPr>
            <w:tcW w:w="0" w:type="auto"/>
            <w:gridSpan w:val="3"/>
            <w:shd w:val="clear" w:color="auto" w:fill="auto"/>
            <w:vAlign w:val="bottom"/>
          </w:tcPr>
          <w:p w14:paraId="71D401CB" w14:textId="77777777" w:rsidR="006A3667" w:rsidRDefault="006A3667">
            <w:pPr>
              <w:rPr>
                <w:rFonts w:ascii="宋体"/>
                <w:vanish/>
              </w:rPr>
            </w:pPr>
          </w:p>
        </w:tc>
        <w:tc>
          <w:tcPr>
            <w:tcW w:w="0" w:type="auto"/>
            <w:gridSpan w:val="3"/>
            <w:shd w:val="clear" w:color="auto" w:fill="auto"/>
            <w:vAlign w:val="bottom"/>
          </w:tcPr>
          <w:p w14:paraId="71D401CC" w14:textId="77777777" w:rsidR="006A3667" w:rsidRDefault="006A3667">
            <w:pPr>
              <w:rPr>
                <w:rFonts w:ascii="宋体"/>
                <w:vanish/>
              </w:rPr>
            </w:pPr>
          </w:p>
        </w:tc>
        <w:tc>
          <w:tcPr>
            <w:tcW w:w="0" w:type="auto"/>
            <w:gridSpan w:val="3"/>
            <w:shd w:val="clear" w:color="auto" w:fill="auto"/>
            <w:vAlign w:val="bottom"/>
          </w:tcPr>
          <w:p w14:paraId="71D401CD" w14:textId="77777777" w:rsidR="006A3667" w:rsidRDefault="006A3667">
            <w:pPr>
              <w:rPr>
                <w:rFonts w:ascii="宋体"/>
                <w:vanish/>
              </w:rPr>
            </w:pPr>
          </w:p>
        </w:tc>
        <w:tc>
          <w:tcPr>
            <w:tcW w:w="0" w:type="auto"/>
            <w:gridSpan w:val="3"/>
            <w:shd w:val="clear" w:color="auto" w:fill="auto"/>
            <w:vAlign w:val="bottom"/>
          </w:tcPr>
          <w:p w14:paraId="71D401CE" w14:textId="77777777" w:rsidR="006A3667" w:rsidRDefault="006A3667">
            <w:pPr>
              <w:rPr>
                <w:rFonts w:ascii="宋体"/>
                <w:vanish/>
              </w:rPr>
            </w:pPr>
          </w:p>
        </w:tc>
        <w:tc>
          <w:tcPr>
            <w:tcW w:w="0" w:type="auto"/>
            <w:gridSpan w:val="3"/>
            <w:shd w:val="clear" w:color="auto" w:fill="auto"/>
            <w:vAlign w:val="bottom"/>
          </w:tcPr>
          <w:p w14:paraId="71D401CF" w14:textId="77777777" w:rsidR="006A3667" w:rsidRDefault="006A3667">
            <w:pPr>
              <w:rPr>
                <w:rFonts w:ascii="宋体"/>
                <w:vanish/>
              </w:rPr>
            </w:pPr>
          </w:p>
        </w:tc>
      </w:tr>
      <w:tr w:rsidR="006A3667" w14:paraId="71D401DF" w14:textId="77777777">
        <w:tc>
          <w:tcPr>
            <w:tcW w:w="0" w:type="auto"/>
            <w:gridSpan w:val="12"/>
            <w:shd w:val="clear" w:color="auto" w:fill="auto"/>
            <w:tcMar>
              <w:top w:w="40" w:type="dxa"/>
              <w:left w:w="20" w:type="dxa"/>
              <w:bottom w:w="40" w:type="dxa"/>
              <w:right w:w="20" w:type="dxa"/>
            </w:tcMar>
            <w:vAlign w:val="bottom"/>
          </w:tcPr>
          <w:p w14:paraId="71D401D1" w14:textId="77777777" w:rsidR="006A3667" w:rsidRDefault="00045F32">
            <w:pPr>
              <w:jc w:val="both"/>
              <w:textAlignment w:val="bottom"/>
            </w:pPr>
            <w:r>
              <w:rPr>
                <w:rFonts w:ascii="Arial" w:eastAsia="宋体" w:hAnsi="Arial" w:cs="Arial"/>
                <w:b/>
                <w:bCs/>
                <w:color w:val="000000"/>
                <w:sz w:val="16"/>
                <w:szCs w:val="16"/>
              </w:rPr>
              <w:t>TABLE 20: CARRYING VALUES OF INVESTMENT SECURITIES</w:t>
            </w:r>
          </w:p>
        </w:tc>
        <w:tc>
          <w:tcPr>
            <w:tcW w:w="0" w:type="auto"/>
            <w:gridSpan w:val="3"/>
            <w:shd w:val="clear" w:color="auto" w:fill="auto"/>
            <w:vAlign w:val="bottom"/>
          </w:tcPr>
          <w:p w14:paraId="71D401D2" w14:textId="77777777" w:rsidR="006A3667" w:rsidRDefault="006A3667">
            <w:pPr>
              <w:rPr>
                <w:rFonts w:ascii="宋体"/>
                <w:vanish/>
              </w:rPr>
            </w:pPr>
          </w:p>
        </w:tc>
        <w:tc>
          <w:tcPr>
            <w:tcW w:w="0" w:type="auto"/>
            <w:shd w:val="clear" w:color="auto" w:fill="auto"/>
            <w:vAlign w:val="bottom"/>
          </w:tcPr>
          <w:p w14:paraId="71D401D3" w14:textId="77777777" w:rsidR="006A3667" w:rsidRDefault="006A3667">
            <w:pPr>
              <w:rPr>
                <w:rFonts w:ascii="宋体"/>
              </w:rPr>
            </w:pPr>
          </w:p>
        </w:tc>
        <w:tc>
          <w:tcPr>
            <w:tcW w:w="0" w:type="auto"/>
            <w:shd w:val="clear" w:color="auto" w:fill="auto"/>
            <w:vAlign w:val="bottom"/>
          </w:tcPr>
          <w:p w14:paraId="71D401D4" w14:textId="77777777" w:rsidR="006A3667" w:rsidRDefault="006A3667">
            <w:pPr>
              <w:rPr>
                <w:rFonts w:ascii="宋体"/>
              </w:rPr>
            </w:pPr>
          </w:p>
        </w:tc>
        <w:tc>
          <w:tcPr>
            <w:tcW w:w="0" w:type="auto"/>
            <w:shd w:val="clear" w:color="auto" w:fill="auto"/>
            <w:vAlign w:val="bottom"/>
          </w:tcPr>
          <w:p w14:paraId="71D401D5" w14:textId="77777777" w:rsidR="006A3667" w:rsidRDefault="006A3667">
            <w:pPr>
              <w:rPr>
                <w:rFonts w:ascii="宋体"/>
              </w:rPr>
            </w:pPr>
          </w:p>
        </w:tc>
        <w:tc>
          <w:tcPr>
            <w:tcW w:w="0" w:type="auto"/>
            <w:shd w:val="clear" w:color="auto" w:fill="auto"/>
            <w:vAlign w:val="bottom"/>
          </w:tcPr>
          <w:p w14:paraId="71D401D6" w14:textId="77777777" w:rsidR="006A3667" w:rsidRDefault="006A3667">
            <w:pPr>
              <w:rPr>
                <w:rFonts w:ascii="宋体"/>
              </w:rPr>
            </w:pPr>
          </w:p>
        </w:tc>
        <w:tc>
          <w:tcPr>
            <w:tcW w:w="0" w:type="auto"/>
            <w:shd w:val="clear" w:color="auto" w:fill="auto"/>
            <w:vAlign w:val="bottom"/>
          </w:tcPr>
          <w:p w14:paraId="71D401D7" w14:textId="77777777" w:rsidR="006A3667" w:rsidRDefault="006A3667">
            <w:pPr>
              <w:rPr>
                <w:rFonts w:ascii="宋体"/>
              </w:rPr>
            </w:pPr>
          </w:p>
        </w:tc>
        <w:tc>
          <w:tcPr>
            <w:tcW w:w="0" w:type="auto"/>
            <w:shd w:val="clear" w:color="auto" w:fill="auto"/>
            <w:vAlign w:val="bottom"/>
          </w:tcPr>
          <w:p w14:paraId="71D401D8" w14:textId="77777777" w:rsidR="006A3667" w:rsidRDefault="006A3667">
            <w:pPr>
              <w:rPr>
                <w:rFonts w:ascii="宋体"/>
              </w:rPr>
            </w:pPr>
          </w:p>
        </w:tc>
        <w:tc>
          <w:tcPr>
            <w:tcW w:w="0" w:type="auto"/>
            <w:shd w:val="clear" w:color="auto" w:fill="auto"/>
            <w:vAlign w:val="bottom"/>
          </w:tcPr>
          <w:p w14:paraId="71D401D9" w14:textId="77777777" w:rsidR="006A3667" w:rsidRDefault="006A3667">
            <w:pPr>
              <w:rPr>
                <w:rFonts w:ascii="宋体"/>
              </w:rPr>
            </w:pPr>
          </w:p>
        </w:tc>
        <w:tc>
          <w:tcPr>
            <w:tcW w:w="0" w:type="auto"/>
            <w:shd w:val="clear" w:color="auto" w:fill="auto"/>
            <w:vAlign w:val="bottom"/>
          </w:tcPr>
          <w:p w14:paraId="71D401DA" w14:textId="77777777" w:rsidR="006A3667" w:rsidRDefault="006A3667">
            <w:pPr>
              <w:rPr>
                <w:rFonts w:ascii="宋体"/>
              </w:rPr>
            </w:pPr>
          </w:p>
        </w:tc>
        <w:tc>
          <w:tcPr>
            <w:tcW w:w="0" w:type="auto"/>
            <w:shd w:val="clear" w:color="auto" w:fill="auto"/>
            <w:vAlign w:val="bottom"/>
          </w:tcPr>
          <w:p w14:paraId="71D401DB" w14:textId="77777777" w:rsidR="006A3667" w:rsidRDefault="006A3667">
            <w:pPr>
              <w:rPr>
                <w:rFonts w:ascii="宋体"/>
              </w:rPr>
            </w:pPr>
          </w:p>
        </w:tc>
        <w:tc>
          <w:tcPr>
            <w:tcW w:w="0" w:type="auto"/>
            <w:shd w:val="clear" w:color="auto" w:fill="auto"/>
            <w:vAlign w:val="bottom"/>
          </w:tcPr>
          <w:p w14:paraId="71D401DC" w14:textId="77777777" w:rsidR="006A3667" w:rsidRDefault="006A3667">
            <w:pPr>
              <w:rPr>
                <w:rFonts w:ascii="宋体"/>
              </w:rPr>
            </w:pPr>
          </w:p>
        </w:tc>
        <w:tc>
          <w:tcPr>
            <w:tcW w:w="0" w:type="auto"/>
            <w:shd w:val="clear" w:color="auto" w:fill="auto"/>
            <w:vAlign w:val="bottom"/>
          </w:tcPr>
          <w:p w14:paraId="71D401DD" w14:textId="77777777" w:rsidR="006A3667" w:rsidRDefault="006A3667">
            <w:pPr>
              <w:rPr>
                <w:rFonts w:ascii="宋体"/>
              </w:rPr>
            </w:pPr>
          </w:p>
        </w:tc>
        <w:tc>
          <w:tcPr>
            <w:tcW w:w="0" w:type="auto"/>
            <w:shd w:val="clear" w:color="auto" w:fill="auto"/>
            <w:vAlign w:val="bottom"/>
          </w:tcPr>
          <w:p w14:paraId="71D401DE" w14:textId="77777777" w:rsidR="006A3667" w:rsidRDefault="006A3667">
            <w:pPr>
              <w:rPr>
                <w:rFonts w:ascii="宋体"/>
              </w:rPr>
            </w:pPr>
          </w:p>
        </w:tc>
      </w:tr>
      <w:tr w:rsidR="006A3667" w14:paraId="71D401F5" w14:textId="77777777">
        <w:trPr>
          <w:hidden/>
        </w:trPr>
        <w:tc>
          <w:tcPr>
            <w:tcW w:w="0" w:type="auto"/>
            <w:gridSpan w:val="3"/>
            <w:shd w:val="clear" w:color="auto" w:fill="auto"/>
            <w:vAlign w:val="bottom"/>
          </w:tcPr>
          <w:p w14:paraId="71D401E0" w14:textId="77777777" w:rsidR="006A3667" w:rsidRDefault="006A3667">
            <w:pPr>
              <w:rPr>
                <w:rFonts w:ascii="宋体"/>
                <w:vanish/>
              </w:rPr>
            </w:pPr>
          </w:p>
        </w:tc>
        <w:tc>
          <w:tcPr>
            <w:tcW w:w="0" w:type="auto"/>
            <w:gridSpan w:val="3"/>
            <w:shd w:val="clear" w:color="auto" w:fill="auto"/>
            <w:vAlign w:val="bottom"/>
          </w:tcPr>
          <w:p w14:paraId="71D401E1" w14:textId="77777777" w:rsidR="006A3667" w:rsidRDefault="006A3667">
            <w:pPr>
              <w:rPr>
                <w:rFonts w:ascii="宋体"/>
                <w:vanish/>
              </w:rPr>
            </w:pPr>
          </w:p>
        </w:tc>
        <w:tc>
          <w:tcPr>
            <w:tcW w:w="0" w:type="auto"/>
            <w:gridSpan w:val="3"/>
            <w:shd w:val="clear" w:color="auto" w:fill="auto"/>
            <w:vAlign w:val="bottom"/>
          </w:tcPr>
          <w:p w14:paraId="71D401E2" w14:textId="77777777" w:rsidR="006A3667" w:rsidRDefault="006A3667">
            <w:pPr>
              <w:rPr>
                <w:rFonts w:ascii="宋体"/>
                <w:vanish/>
              </w:rPr>
            </w:pPr>
          </w:p>
        </w:tc>
        <w:tc>
          <w:tcPr>
            <w:tcW w:w="0" w:type="auto"/>
            <w:shd w:val="clear" w:color="auto" w:fill="auto"/>
            <w:vAlign w:val="bottom"/>
          </w:tcPr>
          <w:p w14:paraId="71D401E3" w14:textId="77777777" w:rsidR="006A3667" w:rsidRDefault="006A3667">
            <w:pPr>
              <w:rPr>
                <w:rFonts w:ascii="宋体"/>
              </w:rPr>
            </w:pPr>
          </w:p>
        </w:tc>
        <w:tc>
          <w:tcPr>
            <w:tcW w:w="0" w:type="auto"/>
            <w:shd w:val="clear" w:color="auto" w:fill="auto"/>
            <w:vAlign w:val="bottom"/>
          </w:tcPr>
          <w:p w14:paraId="71D401E4" w14:textId="77777777" w:rsidR="006A3667" w:rsidRDefault="006A3667">
            <w:pPr>
              <w:rPr>
                <w:rFonts w:ascii="宋体"/>
              </w:rPr>
            </w:pPr>
          </w:p>
        </w:tc>
        <w:tc>
          <w:tcPr>
            <w:tcW w:w="0" w:type="auto"/>
            <w:shd w:val="clear" w:color="auto" w:fill="auto"/>
            <w:vAlign w:val="bottom"/>
          </w:tcPr>
          <w:p w14:paraId="71D401E5" w14:textId="77777777" w:rsidR="006A3667" w:rsidRDefault="006A3667">
            <w:pPr>
              <w:rPr>
                <w:rFonts w:ascii="宋体"/>
              </w:rPr>
            </w:pPr>
          </w:p>
        </w:tc>
        <w:tc>
          <w:tcPr>
            <w:tcW w:w="0" w:type="auto"/>
            <w:shd w:val="clear" w:color="auto" w:fill="auto"/>
            <w:vAlign w:val="bottom"/>
          </w:tcPr>
          <w:p w14:paraId="71D401E6" w14:textId="77777777" w:rsidR="006A3667" w:rsidRDefault="006A3667">
            <w:pPr>
              <w:rPr>
                <w:rFonts w:ascii="宋体"/>
              </w:rPr>
            </w:pPr>
          </w:p>
        </w:tc>
        <w:tc>
          <w:tcPr>
            <w:tcW w:w="0" w:type="auto"/>
            <w:shd w:val="clear" w:color="auto" w:fill="auto"/>
            <w:vAlign w:val="bottom"/>
          </w:tcPr>
          <w:p w14:paraId="71D401E7" w14:textId="77777777" w:rsidR="006A3667" w:rsidRDefault="006A3667">
            <w:pPr>
              <w:rPr>
                <w:rFonts w:ascii="宋体"/>
              </w:rPr>
            </w:pPr>
          </w:p>
        </w:tc>
        <w:tc>
          <w:tcPr>
            <w:tcW w:w="0" w:type="auto"/>
            <w:shd w:val="clear" w:color="auto" w:fill="auto"/>
            <w:vAlign w:val="bottom"/>
          </w:tcPr>
          <w:p w14:paraId="71D401E8" w14:textId="77777777" w:rsidR="006A3667" w:rsidRDefault="006A3667">
            <w:pPr>
              <w:rPr>
                <w:rFonts w:ascii="宋体"/>
              </w:rPr>
            </w:pPr>
          </w:p>
        </w:tc>
        <w:tc>
          <w:tcPr>
            <w:tcW w:w="0" w:type="auto"/>
            <w:shd w:val="clear" w:color="auto" w:fill="auto"/>
            <w:vAlign w:val="bottom"/>
          </w:tcPr>
          <w:p w14:paraId="71D401E9" w14:textId="77777777" w:rsidR="006A3667" w:rsidRDefault="006A3667">
            <w:pPr>
              <w:rPr>
                <w:rFonts w:ascii="宋体"/>
              </w:rPr>
            </w:pPr>
          </w:p>
        </w:tc>
        <w:tc>
          <w:tcPr>
            <w:tcW w:w="0" w:type="auto"/>
            <w:shd w:val="clear" w:color="auto" w:fill="auto"/>
            <w:vAlign w:val="bottom"/>
          </w:tcPr>
          <w:p w14:paraId="71D401EA" w14:textId="77777777" w:rsidR="006A3667" w:rsidRDefault="006A3667">
            <w:pPr>
              <w:rPr>
                <w:rFonts w:ascii="宋体"/>
              </w:rPr>
            </w:pPr>
          </w:p>
        </w:tc>
        <w:tc>
          <w:tcPr>
            <w:tcW w:w="0" w:type="auto"/>
            <w:shd w:val="clear" w:color="auto" w:fill="auto"/>
            <w:vAlign w:val="bottom"/>
          </w:tcPr>
          <w:p w14:paraId="71D401EB" w14:textId="77777777" w:rsidR="006A3667" w:rsidRDefault="006A3667">
            <w:pPr>
              <w:rPr>
                <w:rFonts w:ascii="宋体"/>
              </w:rPr>
            </w:pPr>
          </w:p>
        </w:tc>
        <w:tc>
          <w:tcPr>
            <w:tcW w:w="0" w:type="auto"/>
            <w:shd w:val="clear" w:color="auto" w:fill="auto"/>
            <w:vAlign w:val="bottom"/>
          </w:tcPr>
          <w:p w14:paraId="71D401EC" w14:textId="77777777" w:rsidR="006A3667" w:rsidRDefault="006A3667">
            <w:pPr>
              <w:rPr>
                <w:rFonts w:ascii="宋体"/>
              </w:rPr>
            </w:pPr>
          </w:p>
        </w:tc>
        <w:tc>
          <w:tcPr>
            <w:tcW w:w="0" w:type="auto"/>
            <w:shd w:val="clear" w:color="auto" w:fill="auto"/>
            <w:vAlign w:val="bottom"/>
          </w:tcPr>
          <w:p w14:paraId="71D401ED" w14:textId="77777777" w:rsidR="006A3667" w:rsidRDefault="006A3667">
            <w:pPr>
              <w:rPr>
                <w:rFonts w:ascii="宋体"/>
              </w:rPr>
            </w:pPr>
          </w:p>
        </w:tc>
        <w:tc>
          <w:tcPr>
            <w:tcW w:w="0" w:type="auto"/>
            <w:shd w:val="clear" w:color="auto" w:fill="auto"/>
            <w:vAlign w:val="bottom"/>
          </w:tcPr>
          <w:p w14:paraId="71D401EE" w14:textId="77777777" w:rsidR="006A3667" w:rsidRDefault="006A3667">
            <w:pPr>
              <w:rPr>
                <w:rFonts w:ascii="宋体"/>
              </w:rPr>
            </w:pPr>
          </w:p>
        </w:tc>
        <w:tc>
          <w:tcPr>
            <w:tcW w:w="0" w:type="auto"/>
            <w:shd w:val="clear" w:color="auto" w:fill="auto"/>
            <w:vAlign w:val="bottom"/>
          </w:tcPr>
          <w:p w14:paraId="71D401EF" w14:textId="77777777" w:rsidR="006A3667" w:rsidRDefault="006A3667">
            <w:pPr>
              <w:rPr>
                <w:rFonts w:ascii="宋体"/>
              </w:rPr>
            </w:pPr>
          </w:p>
        </w:tc>
        <w:tc>
          <w:tcPr>
            <w:tcW w:w="0" w:type="auto"/>
            <w:shd w:val="clear" w:color="auto" w:fill="auto"/>
            <w:vAlign w:val="bottom"/>
          </w:tcPr>
          <w:p w14:paraId="71D401F0" w14:textId="77777777" w:rsidR="006A3667" w:rsidRDefault="006A3667">
            <w:pPr>
              <w:rPr>
                <w:rFonts w:ascii="宋体"/>
              </w:rPr>
            </w:pPr>
          </w:p>
        </w:tc>
        <w:tc>
          <w:tcPr>
            <w:tcW w:w="0" w:type="auto"/>
            <w:shd w:val="clear" w:color="auto" w:fill="auto"/>
            <w:vAlign w:val="bottom"/>
          </w:tcPr>
          <w:p w14:paraId="71D401F1" w14:textId="77777777" w:rsidR="006A3667" w:rsidRDefault="006A3667">
            <w:pPr>
              <w:rPr>
                <w:rFonts w:ascii="宋体"/>
              </w:rPr>
            </w:pPr>
          </w:p>
        </w:tc>
        <w:tc>
          <w:tcPr>
            <w:tcW w:w="0" w:type="auto"/>
            <w:shd w:val="clear" w:color="auto" w:fill="auto"/>
            <w:vAlign w:val="bottom"/>
          </w:tcPr>
          <w:p w14:paraId="71D401F2" w14:textId="77777777" w:rsidR="006A3667" w:rsidRDefault="006A3667">
            <w:pPr>
              <w:rPr>
                <w:rFonts w:ascii="宋体"/>
              </w:rPr>
            </w:pPr>
          </w:p>
        </w:tc>
        <w:tc>
          <w:tcPr>
            <w:tcW w:w="0" w:type="auto"/>
            <w:shd w:val="clear" w:color="auto" w:fill="auto"/>
            <w:vAlign w:val="bottom"/>
          </w:tcPr>
          <w:p w14:paraId="71D401F3" w14:textId="77777777" w:rsidR="006A3667" w:rsidRDefault="006A3667">
            <w:pPr>
              <w:rPr>
                <w:rFonts w:ascii="宋体"/>
              </w:rPr>
            </w:pPr>
          </w:p>
        </w:tc>
        <w:tc>
          <w:tcPr>
            <w:tcW w:w="0" w:type="auto"/>
            <w:shd w:val="clear" w:color="auto" w:fill="auto"/>
            <w:vAlign w:val="bottom"/>
          </w:tcPr>
          <w:p w14:paraId="71D401F4" w14:textId="77777777" w:rsidR="006A3667" w:rsidRDefault="006A3667">
            <w:pPr>
              <w:rPr>
                <w:rFonts w:ascii="宋体"/>
              </w:rPr>
            </w:pPr>
          </w:p>
        </w:tc>
      </w:tr>
      <w:tr w:rsidR="006A3667" w14:paraId="71D40207" w14:textId="77777777">
        <w:trPr>
          <w:hidden/>
        </w:trPr>
        <w:tc>
          <w:tcPr>
            <w:tcW w:w="0" w:type="auto"/>
            <w:gridSpan w:val="3"/>
            <w:shd w:val="clear" w:color="auto" w:fill="auto"/>
            <w:vAlign w:val="bottom"/>
          </w:tcPr>
          <w:p w14:paraId="71D401F6" w14:textId="77777777" w:rsidR="006A3667" w:rsidRDefault="006A3667">
            <w:pPr>
              <w:rPr>
                <w:rFonts w:ascii="宋体"/>
                <w:vanish/>
              </w:rPr>
            </w:pPr>
          </w:p>
        </w:tc>
        <w:tc>
          <w:tcPr>
            <w:tcW w:w="0" w:type="auto"/>
            <w:gridSpan w:val="3"/>
            <w:shd w:val="clear" w:color="auto" w:fill="auto"/>
            <w:vAlign w:val="bottom"/>
          </w:tcPr>
          <w:p w14:paraId="71D401F7" w14:textId="77777777" w:rsidR="006A3667" w:rsidRDefault="006A3667">
            <w:pPr>
              <w:rPr>
                <w:rFonts w:ascii="宋体"/>
                <w:vanish/>
              </w:rPr>
            </w:pPr>
          </w:p>
        </w:tc>
        <w:tc>
          <w:tcPr>
            <w:tcW w:w="0" w:type="auto"/>
            <w:gridSpan w:val="3"/>
            <w:shd w:val="clear" w:color="auto" w:fill="auto"/>
            <w:vAlign w:val="bottom"/>
          </w:tcPr>
          <w:p w14:paraId="71D401F8" w14:textId="77777777" w:rsidR="006A3667" w:rsidRDefault="006A3667">
            <w:pPr>
              <w:rPr>
                <w:rFonts w:ascii="宋体"/>
                <w:vanish/>
              </w:rPr>
            </w:pPr>
          </w:p>
        </w:tc>
        <w:tc>
          <w:tcPr>
            <w:tcW w:w="0" w:type="auto"/>
            <w:gridSpan w:val="3"/>
            <w:shd w:val="clear" w:color="auto" w:fill="auto"/>
            <w:vAlign w:val="bottom"/>
          </w:tcPr>
          <w:p w14:paraId="71D401F9" w14:textId="77777777" w:rsidR="006A3667" w:rsidRDefault="006A3667">
            <w:pPr>
              <w:rPr>
                <w:rFonts w:ascii="宋体"/>
                <w:vanish/>
              </w:rPr>
            </w:pPr>
          </w:p>
        </w:tc>
        <w:tc>
          <w:tcPr>
            <w:tcW w:w="0" w:type="auto"/>
            <w:gridSpan w:val="3"/>
            <w:shd w:val="clear" w:color="auto" w:fill="auto"/>
            <w:vAlign w:val="bottom"/>
          </w:tcPr>
          <w:p w14:paraId="71D401FA" w14:textId="77777777" w:rsidR="006A3667" w:rsidRDefault="006A3667">
            <w:pPr>
              <w:rPr>
                <w:rFonts w:ascii="宋体"/>
                <w:vanish/>
              </w:rPr>
            </w:pPr>
          </w:p>
        </w:tc>
        <w:tc>
          <w:tcPr>
            <w:tcW w:w="0" w:type="auto"/>
            <w:shd w:val="clear" w:color="auto" w:fill="auto"/>
            <w:vAlign w:val="bottom"/>
          </w:tcPr>
          <w:p w14:paraId="71D401FB" w14:textId="77777777" w:rsidR="006A3667" w:rsidRDefault="006A3667">
            <w:pPr>
              <w:rPr>
                <w:rFonts w:ascii="宋体"/>
              </w:rPr>
            </w:pPr>
          </w:p>
        </w:tc>
        <w:tc>
          <w:tcPr>
            <w:tcW w:w="0" w:type="auto"/>
            <w:shd w:val="clear" w:color="auto" w:fill="auto"/>
            <w:vAlign w:val="bottom"/>
          </w:tcPr>
          <w:p w14:paraId="71D401FC" w14:textId="77777777" w:rsidR="006A3667" w:rsidRDefault="006A3667">
            <w:pPr>
              <w:rPr>
                <w:rFonts w:ascii="宋体"/>
              </w:rPr>
            </w:pPr>
          </w:p>
        </w:tc>
        <w:tc>
          <w:tcPr>
            <w:tcW w:w="0" w:type="auto"/>
            <w:shd w:val="clear" w:color="auto" w:fill="auto"/>
            <w:vAlign w:val="bottom"/>
          </w:tcPr>
          <w:p w14:paraId="71D401FD" w14:textId="77777777" w:rsidR="006A3667" w:rsidRDefault="006A3667">
            <w:pPr>
              <w:rPr>
                <w:rFonts w:ascii="宋体"/>
              </w:rPr>
            </w:pPr>
          </w:p>
        </w:tc>
        <w:tc>
          <w:tcPr>
            <w:tcW w:w="0" w:type="auto"/>
            <w:shd w:val="clear" w:color="auto" w:fill="auto"/>
            <w:vAlign w:val="bottom"/>
          </w:tcPr>
          <w:p w14:paraId="71D401FE" w14:textId="77777777" w:rsidR="006A3667" w:rsidRDefault="006A3667">
            <w:pPr>
              <w:rPr>
                <w:rFonts w:ascii="宋体"/>
              </w:rPr>
            </w:pPr>
          </w:p>
        </w:tc>
        <w:tc>
          <w:tcPr>
            <w:tcW w:w="0" w:type="auto"/>
            <w:shd w:val="clear" w:color="auto" w:fill="auto"/>
            <w:vAlign w:val="bottom"/>
          </w:tcPr>
          <w:p w14:paraId="71D401FF" w14:textId="77777777" w:rsidR="006A3667" w:rsidRDefault="006A3667">
            <w:pPr>
              <w:rPr>
                <w:rFonts w:ascii="宋体"/>
              </w:rPr>
            </w:pPr>
          </w:p>
        </w:tc>
        <w:tc>
          <w:tcPr>
            <w:tcW w:w="0" w:type="auto"/>
            <w:shd w:val="clear" w:color="auto" w:fill="auto"/>
            <w:vAlign w:val="bottom"/>
          </w:tcPr>
          <w:p w14:paraId="71D40200" w14:textId="77777777" w:rsidR="006A3667" w:rsidRDefault="006A3667">
            <w:pPr>
              <w:rPr>
                <w:rFonts w:ascii="宋体"/>
              </w:rPr>
            </w:pPr>
          </w:p>
        </w:tc>
        <w:tc>
          <w:tcPr>
            <w:tcW w:w="0" w:type="auto"/>
            <w:shd w:val="clear" w:color="auto" w:fill="auto"/>
            <w:vAlign w:val="bottom"/>
          </w:tcPr>
          <w:p w14:paraId="71D40201" w14:textId="77777777" w:rsidR="006A3667" w:rsidRDefault="006A3667">
            <w:pPr>
              <w:rPr>
                <w:rFonts w:ascii="宋体"/>
              </w:rPr>
            </w:pPr>
          </w:p>
        </w:tc>
        <w:tc>
          <w:tcPr>
            <w:tcW w:w="0" w:type="auto"/>
            <w:shd w:val="clear" w:color="auto" w:fill="auto"/>
            <w:vAlign w:val="bottom"/>
          </w:tcPr>
          <w:p w14:paraId="71D40202" w14:textId="77777777" w:rsidR="006A3667" w:rsidRDefault="006A3667">
            <w:pPr>
              <w:rPr>
                <w:rFonts w:ascii="宋体"/>
              </w:rPr>
            </w:pPr>
          </w:p>
        </w:tc>
        <w:tc>
          <w:tcPr>
            <w:tcW w:w="0" w:type="auto"/>
            <w:shd w:val="clear" w:color="auto" w:fill="auto"/>
            <w:vAlign w:val="bottom"/>
          </w:tcPr>
          <w:p w14:paraId="71D40203" w14:textId="77777777" w:rsidR="006A3667" w:rsidRDefault="006A3667">
            <w:pPr>
              <w:rPr>
                <w:rFonts w:ascii="宋体"/>
              </w:rPr>
            </w:pPr>
          </w:p>
        </w:tc>
        <w:tc>
          <w:tcPr>
            <w:tcW w:w="0" w:type="auto"/>
            <w:shd w:val="clear" w:color="auto" w:fill="auto"/>
            <w:vAlign w:val="bottom"/>
          </w:tcPr>
          <w:p w14:paraId="71D40204" w14:textId="77777777" w:rsidR="006A3667" w:rsidRDefault="006A3667">
            <w:pPr>
              <w:rPr>
                <w:rFonts w:ascii="宋体"/>
              </w:rPr>
            </w:pPr>
          </w:p>
        </w:tc>
        <w:tc>
          <w:tcPr>
            <w:tcW w:w="0" w:type="auto"/>
            <w:shd w:val="clear" w:color="auto" w:fill="auto"/>
            <w:vAlign w:val="bottom"/>
          </w:tcPr>
          <w:p w14:paraId="71D40205" w14:textId="77777777" w:rsidR="006A3667" w:rsidRDefault="006A3667">
            <w:pPr>
              <w:rPr>
                <w:rFonts w:ascii="宋体"/>
              </w:rPr>
            </w:pPr>
          </w:p>
        </w:tc>
        <w:tc>
          <w:tcPr>
            <w:tcW w:w="0" w:type="auto"/>
            <w:shd w:val="clear" w:color="auto" w:fill="auto"/>
            <w:vAlign w:val="bottom"/>
          </w:tcPr>
          <w:p w14:paraId="71D40206" w14:textId="77777777" w:rsidR="006A3667" w:rsidRDefault="006A3667">
            <w:pPr>
              <w:rPr>
                <w:rFonts w:ascii="宋体"/>
              </w:rPr>
            </w:pPr>
          </w:p>
        </w:tc>
      </w:tr>
      <w:tr w:rsidR="006A3667" w14:paraId="71D40211" w14:textId="77777777">
        <w:tc>
          <w:tcPr>
            <w:tcW w:w="0" w:type="auto"/>
            <w:gridSpan w:val="3"/>
            <w:shd w:val="clear" w:color="auto" w:fill="auto"/>
            <w:tcMar>
              <w:top w:w="40" w:type="dxa"/>
              <w:left w:w="20" w:type="dxa"/>
              <w:bottom w:w="40" w:type="dxa"/>
              <w:right w:w="20" w:type="dxa"/>
            </w:tcMar>
            <w:vAlign w:val="bottom"/>
          </w:tcPr>
          <w:p w14:paraId="71D40208"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0209"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020A"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20B" w14:textId="77777777" w:rsidR="006A3667" w:rsidRDefault="00045F32">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vAlign w:val="bottom"/>
          </w:tcPr>
          <w:p w14:paraId="71D4020C" w14:textId="77777777" w:rsidR="006A3667" w:rsidRDefault="006A3667">
            <w:pPr>
              <w:rPr>
                <w:rFonts w:ascii="宋体"/>
                <w:vanish/>
              </w:rPr>
            </w:pPr>
          </w:p>
        </w:tc>
        <w:tc>
          <w:tcPr>
            <w:tcW w:w="0" w:type="auto"/>
            <w:gridSpan w:val="3"/>
            <w:shd w:val="clear" w:color="auto" w:fill="auto"/>
            <w:vAlign w:val="bottom"/>
          </w:tcPr>
          <w:p w14:paraId="71D4020D" w14:textId="77777777" w:rsidR="006A3667" w:rsidRDefault="006A3667">
            <w:pPr>
              <w:rPr>
                <w:rFonts w:ascii="宋体"/>
                <w:vanish/>
              </w:rPr>
            </w:pPr>
          </w:p>
        </w:tc>
        <w:tc>
          <w:tcPr>
            <w:tcW w:w="0" w:type="auto"/>
            <w:gridSpan w:val="3"/>
            <w:shd w:val="clear" w:color="auto" w:fill="auto"/>
            <w:vAlign w:val="bottom"/>
          </w:tcPr>
          <w:p w14:paraId="71D4020E" w14:textId="77777777" w:rsidR="006A3667" w:rsidRDefault="006A3667">
            <w:pPr>
              <w:rPr>
                <w:rFonts w:ascii="宋体"/>
                <w:vanish/>
              </w:rPr>
            </w:pPr>
          </w:p>
        </w:tc>
        <w:tc>
          <w:tcPr>
            <w:tcW w:w="0" w:type="auto"/>
            <w:gridSpan w:val="3"/>
            <w:shd w:val="clear" w:color="auto" w:fill="auto"/>
            <w:vAlign w:val="bottom"/>
          </w:tcPr>
          <w:p w14:paraId="71D4020F" w14:textId="77777777" w:rsidR="006A3667" w:rsidRDefault="006A3667">
            <w:pPr>
              <w:rPr>
                <w:rFonts w:ascii="宋体"/>
                <w:vanish/>
              </w:rPr>
            </w:pPr>
          </w:p>
        </w:tc>
        <w:tc>
          <w:tcPr>
            <w:tcW w:w="0" w:type="auto"/>
            <w:gridSpan w:val="3"/>
            <w:shd w:val="clear" w:color="auto" w:fill="auto"/>
            <w:vAlign w:val="bottom"/>
          </w:tcPr>
          <w:p w14:paraId="71D40210" w14:textId="77777777" w:rsidR="006A3667" w:rsidRDefault="006A3667">
            <w:pPr>
              <w:rPr>
                <w:rFonts w:ascii="宋体"/>
                <w:vanish/>
              </w:rPr>
            </w:pPr>
          </w:p>
        </w:tc>
      </w:tr>
      <w:tr w:rsidR="006A3667" w14:paraId="71D4021B" w14:textId="77777777">
        <w:tc>
          <w:tcPr>
            <w:tcW w:w="0" w:type="auto"/>
            <w:gridSpan w:val="3"/>
            <w:shd w:val="clear" w:color="auto" w:fill="auto"/>
            <w:tcMar>
              <w:top w:w="40" w:type="dxa"/>
              <w:left w:w="20" w:type="dxa"/>
              <w:bottom w:w="40" w:type="dxa"/>
              <w:right w:w="20" w:type="dxa"/>
            </w:tcMar>
            <w:vAlign w:val="bottom"/>
          </w:tcPr>
          <w:p w14:paraId="71D40212" w14:textId="77777777" w:rsidR="006A3667" w:rsidRDefault="00045F32">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21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21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215" w14:textId="77777777" w:rsidR="006A3667" w:rsidRDefault="006A3667">
            <w:pPr>
              <w:rPr>
                <w:rFonts w:ascii="宋体"/>
              </w:rPr>
            </w:pPr>
          </w:p>
        </w:tc>
        <w:tc>
          <w:tcPr>
            <w:tcW w:w="0" w:type="auto"/>
            <w:gridSpan w:val="3"/>
            <w:shd w:val="clear" w:color="auto" w:fill="auto"/>
            <w:vAlign w:val="bottom"/>
          </w:tcPr>
          <w:p w14:paraId="71D40216" w14:textId="77777777" w:rsidR="006A3667" w:rsidRDefault="006A3667">
            <w:pPr>
              <w:rPr>
                <w:rFonts w:ascii="宋体"/>
                <w:vanish/>
              </w:rPr>
            </w:pPr>
          </w:p>
        </w:tc>
        <w:tc>
          <w:tcPr>
            <w:tcW w:w="0" w:type="auto"/>
            <w:gridSpan w:val="3"/>
            <w:shd w:val="clear" w:color="auto" w:fill="auto"/>
            <w:vAlign w:val="bottom"/>
          </w:tcPr>
          <w:p w14:paraId="71D40217" w14:textId="77777777" w:rsidR="006A3667" w:rsidRDefault="006A3667">
            <w:pPr>
              <w:rPr>
                <w:rFonts w:ascii="宋体"/>
                <w:vanish/>
              </w:rPr>
            </w:pPr>
          </w:p>
        </w:tc>
        <w:tc>
          <w:tcPr>
            <w:tcW w:w="0" w:type="auto"/>
            <w:gridSpan w:val="3"/>
            <w:shd w:val="clear" w:color="auto" w:fill="auto"/>
            <w:vAlign w:val="bottom"/>
          </w:tcPr>
          <w:p w14:paraId="71D40218" w14:textId="77777777" w:rsidR="006A3667" w:rsidRDefault="006A3667">
            <w:pPr>
              <w:rPr>
                <w:rFonts w:ascii="宋体"/>
                <w:vanish/>
              </w:rPr>
            </w:pPr>
          </w:p>
        </w:tc>
        <w:tc>
          <w:tcPr>
            <w:tcW w:w="0" w:type="auto"/>
            <w:gridSpan w:val="3"/>
            <w:shd w:val="clear" w:color="auto" w:fill="auto"/>
            <w:vAlign w:val="bottom"/>
          </w:tcPr>
          <w:p w14:paraId="71D40219" w14:textId="77777777" w:rsidR="006A3667" w:rsidRDefault="006A3667">
            <w:pPr>
              <w:rPr>
                <w:rFonts w:ascii="宋体"/>
                <w:vanish/>
              </w:rPr>
            </w:pPr>
          </w:p>
        </w:tc>
        <w:tc>
          <w:tcPr>
            <w:tcW w:w="0" w:type="auto"/>
            <w:gridSpan w:val="3"/>
            <w:shd w:val="clear" w:color="auto" w:fill="auto"/>
            <w:vAlign w:val="bottom"/>
          </w:tcPr>
          <w:p w14:paraId="71D4021A" w14:textId="77777777" w:rsidR="006A3667" w:rsidRDefault="006A3667">
            <w:pPr>
              <w:rPr>
                <w:rFonts w:ascii="宋体"/>
                <w:vanish/>
              </w:rPr>
            </w:pPr>
          </w:p>
        </w:tc>
      </w:tr>
      <w:tr w:rsidR="006A3667" w14:paraId="71D40225" w14:textId="77777777">
        <w:tc>
          <w:tcPr>
            <w:tcW w:w="0" w:type="auto"/>
            <w:gridSpan w:val="3"/>
            <w:shd w:val="clear" w:color="auto" w:fill="FFFFFF"/>
            <w:tcMar>
              <w:top w:w="40" w:type="dxa"/>
              <w:left w:w="20" w:type="dxa"/>
              <w:bottom w:w="40" w:type="dxa"/>
              <w:right w:w="20" w:type="dxa"/>
            </w:tcMar>
            <w:vAlign w:val="bottom"/>
          </w:tcPr>
          <w:p w14:paraId="71D4021C" w14:textId="77777777" w:rsidR="006A3667" w:rsidRDefault="00045F32">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71D4021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21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21F" w14:textId="77777777" w:rsidR="006A3667" w:rsidRDefault="006A3667">
            <w:pPr>
              <w:rPr>
                <w:rFonts w:ascii="宋体"/>
              </w:rPr>
            </w:pPr>
          </w:p>
        </w:tc>
        <w:tc>
          <w:tcPr>
            <w:tcW w:w="0" w:type="auto"/>
            <w:gridSpan w:val="3"/>
            <w:shd w:val="clear" w:color="auto" w:fill="auto"/>
            <w:vAlign w:val="bottom"/>
          </w:tcPr>
          <w:p w14:paraId="71D40220" w14:textId="77777777" w:rsidR="006A3667" w:rsidRDefault="006A3667">
            <w:pPr>
              <w:rPr>
                <w:rFonts w:ascii="宋体"/>
                <w:vanish/>
              </w:rPr>
            </w:pPr>
          </w:p>
        </w:tc>
        <w:tc>
          <w:tcPr>
            <w:tcW w:w="0" w:type="auto"/>
            <w:gridSpan w:val="3"/>
            <w:shd w:val="clear" w:color="auto" w:fill="auto"/>
            <w:vAlign w:val="bottom"/>
          </w:tcPr>
          <w:p w14:paraId="71D40221" w14:textId="77777777" w:rsidR="006A3667" w:rsidRDefault="006A3667">
            <w:pPr>
              <w:rPr>
                <w:rFonts w:ascii="宋体"/>
                <w:vanish/>
              </w:rPr>
            </w:pPr>
          </w:p>
        </w:tc>
        <w:tc>
          <w:tcPr>
            <w:tcW w:w="0" w:type="auto"/>
            <w:gridSpan w:val="3"/>
            <w:shd w:val="clear" w:color="auto" w:fill="auto"/>
            <w:vAlign w:val="bottom"/>
          </w:tcPr>
          <w:p w14:paraId="71D40222" w14:textId="77777777" w:rsidR="006A3667" w:rsidRDefault="006A3667">
            <w:pPr>
              <w:rPr>
                <w:rFonts w:ascii="宋体"/>
                <w:vanish/>
              </w:rPr>
            </w:pPr>
          </w:p>
        </w:tc>
        <w:tc>
          <w:tcPr>
            <w:tcW w:w="0" w:type="auto"/>
            <w:gridSpan w:val="3"/>
            <w:shd w:val="clear" w:color="auto" w:fill="auto"/>
            <w:vAlign w:val="bottom"/>
          </w:tcPr>
          <w:p w14:paraId="71D40223" w14:textId="77777777" w:rsidR="006A3667" w:rsidRDefault="006A3667">
            <w:pPr>
              <w:rPr>
                <w:rFonts w:ascii="宋体"/>
                <w:vanish/>
              </w:rPr>
            </w:pPr>
          </w:p>
        </w:tc>
        <w:tc>
          <w:tcPr>
            <w:tcW w:w="0" w:type="auto"/>
            <w:gridSpan w:val="3"/>
            <w:shd w:val="clear" w:color="auto" w:fill="auto"/>
            <w:vAlign w:val="bottom"/>
          </w:tcPr>
          <w:p w14:paraId="71D40224" w14:textId="77777777" w:rsidR="006A3667" w:rsidRDefault="006A3667">
            <w:pPr>
              <w:rPr>
                <w:rFonts w:ascii="宋体"/>
                <w:vanish/>
              </w:rPr>
            </w:pPr>
          </w:p>
        </w:tc>
      </w:tr>
      <w:tr w:rsidR="006A3667" w14:paraId="71D40233" w14:textId="77777777">
        <w:tc>
          <w:tcPr>
            <w:tcW w:w="0" w:type="auto"/>
            <w:gridSpan w:val="3"/>
            <w:shd w:val="clear" w:color="auto" w:fill="CCEEFF"/>
            <w:tcMar>
              <w:top w:w="40" w:type="dxa"/>
              <w:left w:w="140" w:type="dxa"/>
              <w:bottom w:w="40" w:type="dxa"/>
              <w:right w:w="20" w:type="dxa"/>
            </w:tcMar>
            <w:vAlign w:val="bottom"/>
          </w:tcPr>
          <w:p w14:paraId="71D40226" w14:textId="77777777" w:rsidR="006A3667" w:rsidRDefault="00045F32">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71D40227"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228" w14:textId="77777777" w:rsidR="006A3667" w:rsidRDefault="00045F32">
            <w:pPr>
              <w:jc w:val="right"/>
              <w:textAlignment w:val="bottom"/>
            </w:pPr>
            <w:r>
              <w:rPr>
                <w:rFonts w:ascii="Arial" w:eastAsia="宋体" w:hAnsi="Arial" w:cs="Arial"/>
                <w:b/>
                <w:bCs/>
                <w:color w:val="000000"/>
                <w:sz w:val="14"/>
                <w:szCs w:val="14"/>
              </w:rPr>
              <w:t>7,856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2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22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22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022C" w14:textId="77777777" w:rsidR="006A3667" w:rsidRDefault="00045F32">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71D4022D" w14:textId="77777777" w:rsidR="006A3667" w:rsidRDefault="006A3667">
            <w:pPr>
              <w:jc w:val="right"/>
              <w:rPr>
                <w:rFonts w:ascii="宋体"/>
              </w:rPr>
            </w:pPr>
          </w:p>
        </w:tc>
        <w:tc>
          <w:tcPr>
            <w:tcW w:w="0" w:type="auto"/>
            <w:gridSpan w:val="3"/>
            <w:shd w:val="clear" w:color="auto" w:fill="auto"/>
            <w:vAlign w:val="bottom"/>
          </w:tcPr>
          <w:p w14:paraId="71D4022E" w14:textId="77777777" w:rsidR="006A3667" w:rsidRDefault="006A3667">
            <w:pPr>
              <w:rPr>
                <w:rFonts w:ascii="宋体"/>
                <w:vanish/>
              </w:rPr>
            </w:pPr>
          </w:p>
        </w:tc>
        <w:tc>
          <w:tcPr>
            <w:tcW w:w="0" w:type="auto"/>
            <w:gridSpan w:val="3"/>
            <w:shd w:val="clear" w:color="auto" w:fill="auto"/>
            <w:vAlign w:val="bottom"/>
          </w:tcPr>
          <w:p w14:paraId="71D4022F" w14:textId="77777777" w:rsidR="006A3667" w:rsidRDefault="006A3667">
            <w:pPr>
              <w:rPr>
                <w:rFonts w:ascii="宋体"/>
                <w:vanish/>
              </w:rPr>
            </w:pPr>
          </w:p>
        </w:tc>
        <w:tc>
          <w:tcPr>
            <w:tcW w:w="0" w:type="auto"/>
            <w:gridSpan w:val="3"/>
            <w:shd w:val="clear" w:color="auto" w:fill="auto"/>
            <w:vAlign w:val="bottom"/>
          </w:tcPr>
          <w:p w14:paraId="71D40230" w14:textId="77777777" w:rsidR="006A3667" w:rsidRDefault="006A3667">
            <w:pPr>
              <w:rPr>
                <w:rFonts w:ascii="宋体"/>
                <w:vanish/>
              </w:rPr>
            </w:pPr>
          </w:p>
        </w:tc>
        <w:tc>
          <w:tcPr>
            <w:tcW w:w="0" w:type="auto"/>
            <w:gridSpan w:val="3"/>
            <w:shd w:val="clear" w:color="auto" w:fill="auto"/>
            <w:vAlign w:val="bottom"/>
          </w:tcPr>
          <w:p w14:paraId="71D40231" w14:textId="77777777" w:rsidR="006A3667" w:rsidRDefault="006A3667">
            <w:pPr>
              <w:rPr>
                <w:rFonts w:ascii="宋体"/>
                <w:vanish/>
              </w:rPr>
            </w:pPr>
          </w:p>
        </w:tc>
        <w:tc>
          <w:tcPr>
            <w:tcW w:w="0" w:type="auto"/>
            <w:gridSpan w:val="3"/>
            <w:shd w:val="clear" w:color="auto" w:fill="auto"/>
            <w:vAlign w:val="bottom"/>
          </w:tcPr>
          <w:p w14:paraId="71D40232" w14:textId="77777777" w:rsidR="006A3667" w:rsidRDefault="006A3667">
            <w:pPr>
              <w:rPr>
                <w:rFonts w:ascii="宋体"/>
                <w:vanish/>
              </w:rPr>
            </w:pPr>
          </w:p>
        </w:tc>
      </w:tr>
      <w:tr w:rsidR="006A3667" w14:paraId="71D4023F" w14:textId="77777777">
        <w:tc>
          <w:tcPr>
            <w:tcW w:w="0" w:type="auto"/>
            <w:gridSpan w:val="3"/>
            <w:shd w:val="clear" w:color="auto" w:fill="FFFFFF"/>
            <w:tcMar>
              <w:top w:w="40" w:type="dxa"/>
              <w:left w:w="140" w:type="dxa"/>
              <w:bottom w:w="40" w:type="dxa"/>
              <w:right w:w="20" w:type="dxa"/>
            </w:tcMar>
            <w:vAlign w:val="bottom"/>
          </w:tcPr>
          <w:p w14:paraId="71D40234" w14:textId="77777777" w:rsidR="006A3667" w:rsidRDefault="00045F32">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71D40235" w14:textId="77777777" w:rsidR="006A3667" w:rsidRDefault="00045F32">
            <w:pPr>
              <w:jc w:val="right"/>
              <w:textAlignment w:val="bottom"/>
            </w:pPr>
            <w:r>
              <w:rPr>
                <w:rFonts w:ascii="Arial" w:eastAsia="宋体" w:hAnsi="Arial" w:cs="Arial"/>
                <w:b/>
                <w:bCs/>
                <w:color w:val="000000"/>
                <w:sz w:val="14"/>
                <w:szCs w:val="14"/>
              </w:rPr>
              <w:t>9,403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2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23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238" w14:textId="77777777" w:rsidR="006A3667" w:rsidRDefault="00045F32">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71D40239" w14:textId="77777777" w:rsidR="006A3667" w:rsidRDefault="006A3667">
            <w:pPr>
              <w:jc w:val="right"/>
              <w:rPr>
                <w:rFonts w:ascii="宋体"/>
              </w:rPr>
            </w:pPr>
          </w:p>
        </w:tc>
        <w:tc>
          <w:tcPr>
            <w:tcW w:w="0" w:type="auto"/>
            <w:gridSpan w:val="3"/>
            <w:shd w:val="clear" w:color="auto" w:fill="auto"/>
            <w:vAlign w:val="bottom"/>
          </w:tcPr>
          <w:p w14:paraId="71D4023A" w14:textId="77777777" w:rsidR="006A3667" w:rsidRDefault="006A3667">
            <w:pPr>
              <w:rPr>
                <w:rFonts w:ascii="宋体"/>
                <w:vanish/>
              </w:rPr>
            </w:pPr>
          </w:p>
        </w:tc>
        <w:tc>
          <w:tcPr>
            <w:tcW w:w="0" w:type="auto"/>
            <w:gridSpan w:val="3"/>
            <w:shd w:val="clear" w:color="auto" w:fill="auto"/>
            <w:vAlign w:val="bottom"/>
          </w:tcPr>
          <w:p w14:paraId="71D4023B" w14:textId="77777777" w:rsidR="006A3667" w:rsidRDefault="006A3667">
            <w:pPr>
              <w:rPr>
                <w:rFonts w:ascii="宋体"/>
                <w:vanish/>
              </w:rPr>
            </w:pPr>
          </w:p>
        </w:tc>
        <w:tc>
          <w:tcPr>
            <w:tcW w:w="0" w:type="auto"/>
            <w:gridSpan w:val="3"/>
            <w:shd w:val="clear" w:color="auto" w:fill="auto"/>
            <w:vAlign w:val="bottom"/>
          </w:tcPr>
          <w:p w14:paraId="71D4023C" w14:textId="77777777" w:rsidR="006A3667" w:rsidRDefault="006A3667">
            <w:pPr>
              <w:rPr>
                <w:rFonts w:ascii="宋体"/>
                <w:vanish/>
              </w:rPr>
            </w:pPr>
          </w:p>
        </w:tc>
        <w:tc>
          <w:tcPr>
            <w:tcW w:w="0" w:type="auto"/>
            <w:gridSpan w:val="3"/>
            <w:shd w:val="clear" w:color="auto" w:fill="auto"/>
            <w:vAlign w:val="bottom"/>
          </w:tcPr>
          <w:p w14:paraId="71D4023D" w14:textId="77777777" w:rsidR="006A3667" w:rsidRDefault="006A3667">
            <w:pPr>
              <w:rPr>
                <w:rFonts w:ascii="宋体"/>
                <w:vanish/>
              </w:rPr>
            </w:pPr>
          </w:p>
        </w:tc>
        <w:tc>
          <w:tcPr>
            <w:tcW w:w="0" w:type="auto"/>
            <w:gridSpan w:val="3"/>
            <w:shd w:val="clear" w:color="auto" w:fill="auto"/>
            <w:vAlign w:val="bottom"/>
          </w:tcPr>
          <w:p w14:paraId="71D4023E" w14:textId="77777777" w:rsidR="006A3667" w:rsidRDefault="006A3667">
            <w:pPr>
              <w:rPr>
                <w:rFonts w:ascii="宋体"/>
                <w:vanish/>
              </w:rPr>
            </w:pPr>
          </w:p>
        </w:tc>
      </w:tr>
      <w:tr w:rsidR="006A3667" w14:paraId="71D4024B" w14:textId="77777777">
        <w:tc>
          <w:tcPr>
            <w:tcW w:w="0" w:type="auto"/>
            <w:gridSpan w:val="3"/>
            <w:shd w:val="clear" w:color="auto" w:fill="CCEEFF"/>
            <w:tcMar>
              <w:top w:w="40" w:type="dxa"/>
              <w:left w:w="20" w:type="dxa"/>
              <w:bottom w:w="40" w:type="dxa"/>
              <w:right w:w="20" w:type="dxa"/>
            </w:tcMar>
            <w:vAlign w:val="bottom"/>
          </w:tcPr>
          <w:p w14:paraId="71D40240" w14:textId="77777777" w:rsidR="006A3667" w:rsidRDefault="00045F32">
            <w:pPr>
              <w:textAlignment w:val="bottom"/>
            </w:pPr>
            <w:r>
              <w:rPr>
                <w:rFonts w:ascii="Arial" w:eastAsia="宋体" w:hAnsi="Arial" w:cs="Arial"/>
                <w:color w:val="000000"/>
                <w:sz w:val="14"/>
                <w:szCs w:val="14"/>
              </w:rPr>
              <w:t xml:space="preserve">Total U.S. </w:t>
            </w:r>
            <w:r>
              <w:rPr>
                <w:rFonts w:ascii="Arial" w:eastAsia="宋体" w:hAnsi="Arial" w:cs="Arial"/>
                <w:color w:val="000000"/>
                <w:sz w:val="14"/>
                <w:szCs w:val="14"/>
              </w:rPr>
              <w:t>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241" w14:textId="77777777" w:rsidR="006A3667" w:rsidRDefault="00045F32">
            <w:pPr>
              <w:jc w:val="right"/>
              <w:textAlignment w:val="bottom"/>
            </w:pPr>
            <w:r>
              <w:rPr>
                <w:rFonts w:ascii="Arial" w:eastAsia="宋体" w:hAnsi="Arial" w:cs="Arial"/>
                <w:b/>
                <w:bCs/>
                <w:color w:val="000000"/>
                <w:sz w:val="14"/>
                <w:szCs w:val="14"/>
              </w:rPr>
              <w:t>17,259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2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24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244" w14:textId="77777777" w:rsidR="006A3667" w:rsidRDefault="00045F32">
            <w:pPr>
              <w:jc w:val="right"/>
              <w:textAlignment w:val="bottom"/>
            </w:pPr>
            <w:r>
              <w:rPr>
                <w:rFonts w:ascii="Arial" w:eastAsia="宋体" w:hAnsi="Arial" w:cs="Arial"/>
                <w:color w:val="000000"/>
                <w:sz w:val="14"/>
                <w:szCs w:val="14"/>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245" w14:textId="77777777" w:rsidR="006A3667" w:rsidRDefault="006A3667">
            <w:pPr>
              <w:jc w:val="right"/>
              <w:rPr>
                <w:rFonts w:ascii="宋体"/>
              </w:rPr>
            </w:pPr>
          </w:p>
        </w:tc>
        <w:tc>
          <w:tcPr>
            <w:tcW w:w="0" w:type="auto"/>
            <w:gridSpan w:val="3"/>
            <w:shd w:val="clear" w:color="auto" w:fill="auto"/>
            <w:vAlign w:val="bottom"/>
          </w:tcPr>
          <w:p w14:paraId="71D40246" w14:textId="77777777" w:rsidR="006A3667" w:rsidRDefault="006A3667">
            <w:pPr>
              <w:rPr>
                <w:rFonts w:ascii="宋体"/>
                <w:vanish/>
              </w:rPr>
            </w:pPr>
          </w:p>
        </w:tc>
        <w:tc>
          <w:tcPr>
            <w:tcW w:w="0" w:type="auto"/>
            <w:gridSpan w:val="3"/>
            <w:shd w:val="clear" w:color="auto" w:fill="auto"/>
            <w:vAlign w:val="bottom"/>
          </w:tcPr>
          <w:p w14:paraId="71D40247" w14:textId="77777777" w:rsidR="006A3667" w:rsidRDefault="006A3667">
            <w:pPr>
              <w:rPr>
                <w:rFonts w:ascii="宋体"/>
                <w:vanish/>
              </w:rPr>
            </w:pPr>
          </w:p>
        </w:tc>
        <w:tc>
          <w:tcPr>
            <w:tcW w:w="0" w:type="auto"/>
            <w:gridSpan w:val="3"/>
            <w:shd w:val="clear" w:color="auto" w:fill="auto"/>
            <w:vAlign w:val="bottom"/>
          </w:tcPr>
          <w:p w14:paraId="71D40248" w14:textId="77777777" w:rsidR="006A3667" w:rsidRDefault="006A3667">
            <w:pPr>
              <w:rPr>
                <w:rFonts w:ascii="宋体"/>
                <w:vanish/>
              </w:rPr>
            </w:pPr>
          </w:p>
        </w:tc>
        <w:tc>
          <w:tcPr>
            <w:tcW w:w="0" w:type="auto"/>
            <w:gridSpan w:val="3"/>
            <w:shd w:val="clear" w:color="auto" w:fill="auto"/>
            <w:vAlign w:val="bottom"/>
          </w:tcPr>
          <w:p w14:paraId="71D40249" w14:textId="77777777" w:rsidR="006A3667" w:rsidRDefault="006A3667">
            <w:pPr>
              <w:rPr>
                <w:rFonts w:ascii="宋体"/>
                <w:vanish/>
              </w:rPr>
            </w:pPr>
          </w:p>
        </w:tc>
        <w:tc>
          <w:tcPr>
            <w:tcW w:w="0" w:type="auto"/>
            <w:gridSpan w:val="3"/>
            <w:shd w:val="clear" w:color="auto" w:fill="auto"/>
            <w:vAlign w:val="bottom"/>
          </w:tcPr>
          <w:p w14:paraId="71D4024A" w14:textId="77777777" w:rsidR="006A3667" w:rsidRDefault="006A3667">
            <w:pPr>
              <w:rPr>
                <w:rFonts w:ascii="宋体"/>
                <w:vanish/>
              </w:rPr>
            </w:pPr>
          </w:p>
        </w:tc>
      </w:tr>
      <w:tr w:rsidR="006A3667" w14:paraId="71D40255" w14:textId="77777777">
        <w:tc>
          <w:tcPr>
            <w:tcW w:w="0" w:type="auto"/>
            <w:gridSpan w:val="3"/>
            <w:shd w:val="clear" w:color="auto" w:fill="FFFFFF"/>
            <w:tcMar>
              <w:top w:w="40" w:type="dxa"/>
              <w:left w:w="20" w:type="dxa"/>
              <w:bottom w:w="40" w:type="dxa"/>
              <w:right w:w="20" w:type="dxa"/>
            </w:tcMar>
            <w:vAlign w:val="bottom"/>
          </w:tcPr>
          <w:p w14:paraId="71D4024C" w14:textId="77777777" w:rsidR="006A3667" w:rsidRDefault="00045F32">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71D4024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24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24F" w14:textId="77777777" w:rsidR="006A3667" w:rsidRDefault="006A3667">
            <w:pPr>
              <w:rPr>
                <w:rFonts w:ascii="宋体"/>
              </w:rPr>
            </w:pPr>
          </w:p>
        </w:tc>
        <w:tc>
          <w:tcPr>
            <w:tcW w:w="0" w:type="auto"/>
            <w:gridSpan w:val="3"/>
            <w:shd w:val="clear" w:color="auto" w:fill="auto"/>
            <w:vAlign w:val="bottom"/>
          </w:tcPr>
          <w:p w14:paraId="71D40250" w14:textId="77777777" w:rsidR="006A3667" w:rsidRDefault="006A3667">
            <w:pPr>
              <w:rPr>
                <w:rFonts w:ascii="宋体"/>
                <w:vanish/>
              </w:rPr>
            </w:pPr>
          </w:p>
        </w:tc>
        <w:tc>
          <w:tcPr>
            <w:tcW w:w="0" w:type="auto"/>
            <w:gridSpan w:val="3"/>
            <w:shd w:val="clear" w:color="auto" w:fill="auto"/>
            <w:vAlign w:val="bottom"/>
          </w:tcPr>
          <w:p w14:paraId="71D40251" w14:textId="77777777" w:rsidR="006A3667" w:rsidRDefault="006A3667">
            <w:pPr>
              <w:rPr>
                <w:rFonts w:ascii="宋体"/>
                <w:vanish/>
              </w:rPr>
            </w:pPr>
          </w:p>
        </w:tc>
        <w:tc>
          <w:tcPr>
            <w:tcW w:w="0" w:type="auto"/>
            <w:gridSpan w:val="3"/>
            <w:shd w:val="clear" w:color="auto" w:fill="auto"/>
            <w:vAlign w:val="bottom"/>
          </w:tcPr>
          <w:p w14:paraId="71D40252" w14:textId="77777777" w:rsidR="006A3667" w:rsidRDefault="006A3667">
            <w:pPr>
              <w:rPr>
                <w:rFonts w:ascii="宋体"/>
                <w:vanish/>
              </w:rPr>
            </w:pPr>
          </w:p>
        </w:tc>
        <w:tc>
          <w:tcPr>
            <w:tcW w:w="0" w:type="auto"/>
            <w:gridSpan w:val="3"/>
            <w:shd w:val="clear" w:color="auto" w:fill="auto"/>
            <w:vAlign w:val="bottom"/>
          </w:tcPr>
          <w:p w14:paraId="71D40253" w14:textId="77777777" w:rsidR="006A3667" w:rsidRDefault="006A3667">
            <w:pPr>
              <w:rPr>
                <w:rFonts w:ascii="宋体"/>
                <w:vanish/>
              </w:rPr>
            </w:pPr>
          </w:p>
        </w:tc>
        <w:tc>
          <w:tcPr>
            <w:tcW w:w="0" w:type="auto"/>
            <w:gridSpan w:val="3"/>
            <w:shd w:val="clear" w:color="auto" w:fill="auto"/>
            <w:vAlign w:val="bottom"/>
          </w:tcPr>
          <w:p w14:paraId="71D40254" w14:textId="77777777" w:rsidR="006A3667" w:rsidRDefault="006A3667">
            <w:pPr>
              <w:rPr>
                <w:rFonts w:ascii="宋体"/>
                <w:vanish/>
              </w:rPr>
            </w:pPr>
          </w:p>
        </w:tc>
      </w:tr>
      <w:tr w:rsidR="006A3667" w14:paraId="71D40261" w14:textId="77777777">
        <w:tc>
          <w:tcPr>
            <w:tcW w:w="0" w:type="auto"/>
            <w:gridSpan w:val="3"/>
            <w:shd w:val="clear" w:color="auto" w:fill="CCEEFF"/>
            <w:tcMar>
              <w:top w:w="40" w:type="dxa"/>
              <w:left w:w="140" w:type="dxa"/>
              <w:bottom w:w="40" w:type="dxa"/>
              <w:right w:w="20" w:type="dxa"/>
            </w:tcMar>
            <w:vAlign w:val="bottom"/>
          </w:tcPr>
          <w:p w14:paraId="71D40256" w14:textId="77777777" w:rsidR="006A3667" w:rsidRDefault="00045F32">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71D40257" w14:textId="77777777" w:rsidR="006A3667" w:rsidRDefault="00045F32">
            <w:pPr>
              <w:jc w:val="right"/>
              <w:textAlignment w:val="bottom"/>
            </w:pPr>
            <w:r>
              <w:rPr>
                <w:rFonts w:ascii="Arial" w:eastAsia="宋体" w:hAnsi="Arial" w:cs="Arial"/>
                <w:b/>
                <w:bCs/>
                <w:color w:val="000000"/>
                <w:sz w:val="14"/>
                <w:szCs w:val="14"/>
              </w:rPr>
              <w:t>1,662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2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25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25A" w14:textId="77777777" w:rsidR="006A3667" w:rsidRDefault="00045F32">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71D4025B" w14:textId="77777777" w:rsidR="006A3667" w:rsidRDefault="006A3667">
            <w:pPr>
              <w:jc w:val="right"/>
              <w:rPr>
                <w:rFonts w:ascii="宋体"/>
              </w:rPr>
            </w:pPr>
          </w:p>
        </w:tc>
        <w:tc>
          <w:tcPr>
            <w:tcW w:w="0" w:type="auto"/>
            <w:gridSpan w:val="3"/>
            <w:shd w:val="clear" w:color="auto" w:fill="auto"/>
            <w:vAlign w:val="bottom"/>
          </w:tcPr>
          <w:p w14:paraId="71D4025C" w14:textId="77777777" w:rsidR="006A3667" w:rsidRDefault="006A3667">
            <w:pPr>
              <w:rPr>
                <w:rFonts w:ascii="宋体"/>
                <w:vanish/>
              </w:rPr>
            </w:pPr>
          </w:p>
        </w:tc>
        <w:tc>
          <w:tcPr>
            <w:tcW w:w="0" w:type="auto"/>
            <w:gridSpan w:val="3"/>
            <w:shd w:val="clear" w:color="auto" w:fill="auto"/>
            <w:vAlign w:val="bottom"/>
          </w:tcPr>
          <w:p w14:paraId="71D4025D" w14:textId="77777777" w:rsidR="006A3667" w:rsidRDefault="006A3667">
            <w:pPr>
              <w:rPr>
                <w:rFonts w:ascii="宋体"/>
                <w:vanish/>
              </w:rPr>
            </w:pPr>
          </w:p>
        </w:tc>
        <w:tc>
          <w:tcPr>
            <w:tcW w:w="0" w:type="auto"/>
            <w:gridSpan w:val="3"/>
            <w:shd w:val="clear" w:color="auto" w:fill="auto"/>
            <w:vAlign w:val="bottom"/>
          </w:tcPr>
          <w:p w14:paraId="71D4025E" w14:textId="77777777" w:rsidR="006A3667" w:rsidRDefault="006A3667">
            <w:pPr>
              <w:rPr>
                <w:rFonts w:ascii="宋体"/>
                <w:vanish/>
              </w:rPr>
            </w:pPr>
          </w:p>
        </w:tc>
        <w:tc>
          <w:tcPr>
            <w:tcW w:w="0" w:type="auto"/>
            <w:gridSpan w:val="3"/>
            <w:shd w:val="clear" w:color="auto" w:fill="auto"/>
            <w:vAlign w:val="bottom"/>
          </w:tcPr>
          <w:p w14:paraId="71D4025F" w14:textId="77777777" w:rsidR="006A3667" w:rsidRDefault="006A3667">
            <w:pPr>
              <w:rPr>
                <w:rFonts w:ascii="宋体"/>
                <w:vanish/>
              </w:rPr>
            </w:pPr>
          </w:p>
        </w:tc>
        <w:tc>
          <w:tcPr>
            <w:tcW w:w="0" w:type="auto"/>
            <w:gridSpan w:val="3"/>
            <w:shd w:val="clear" w:color="auto" w:fill="auto"/>
            <w:vAlign w:val="bottom"/>
          </w:tcPr>
          <w:p w14:paraId="71D40260" w14:textId="77777777" w:rsidR="006A3667" w:rsidRDefault="006A3667">
            <w:pPr>
              <w:rPr>
                <w:rFonts w:ascii="宋体"/>
                <w:vanish/>
              </w:rPr>
            </w:pPr>
          </w:p>
        </w:tc>
      </w:tr>
      <w:tr w:rsidR="006A3667" w14:paraId="71D4026D" w14:textId="77777777">
        <w:tc>
          <w:tcPr>
            <w:tcW w:w="0" w:type="auto"/>
            <w:gridSpan w:val="3"/>
            <w:shd w:val="clear" w:color="auto" w:fill="FFFFFF"/>
            <w:tcMar>
              <w:top w:w="40" w:type="dxa"/>
              <w:left w:w="140" w:type="dxa"/>
              <w:bottom w:w="40" w:type="dxa"/>
              <w:right w:w="20" w:type="dxa"/>
            </w:tcMar>
            <w:vAlign w:val="bottom"/>
          </w:tcPr>
          <w:p w14:paraId="71D40262"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71D40263" w14:textId="77777777" w:rsidR="006A3667" w:rsidRDefault="00045F32">
            <w:pPr>
              <w:jc w:val="right"/>
              <w:textAlignment w:val="bottom"/>
            </w:pPr>
            <w:r>
              <w:rPr>
                <w:rFonts w:ascii="Arial" w:eastAsia="宋体" w:hAnsi="Arial" w:cs="Arial"/>
                <w:b/>
                <w:bCs/>
                <w:color w:val="000000"/>
                <w:sz w:val="14"/>
                <w:szCs w:val="14"/>
              </w:rPr>
              <w:t>1,640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26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26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266" w14:textId="77777777" w:rsidR="006A3667" w:rsidRDefault="00045F32">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71D40267" w14:textId="77777777" w:rsidR="006A3667" w:rsidRDefault="006A3667">
            <w:pPr>
              <w:jc w:val="right"/>
              <w:rPr>
                <w:rFonts w:ascii="宋体"/>
              </w:rPr>
            </w:pPr>
          </w:p>
        </w:tc>
        <w:tc>
          <w:tcPr>
            <w:tcW w:w="0" w:type="auto"/>
            <w:gridSpan w:val="3"/>
            <w:shd w:val="clear" w:color="auto" w:fill="auto"/>
            <w:vAlign w:val="bottom"/>
          </w:tcPr>
          <w:p w14:paraId="71D40268" w14:textId="77777777" w:rsidR="006A3667" w:rsidRDefault="006A3667">
            <w:pPr>
              <w:rPr>
                <w:rFonts w:ascii="宋体"/>
                <w:vanish/>
              </w:rPr>
            </w:pPr>
          </w:p>
        </w:tc>
        <w:tc>
          <w:tcPr>
            <w:tcW w:w="0" w:type="auto"/>
            <w:gridSpan w:val="3"/>
            <w:shd w:val="clear" w:color="auto" w:fill="auto"/>
            <w:vAlign w:val="bottom"/>
          </w:tcPr>
          <w:p w14:paraId="71D40269" w14:textId="77777777" w:rsidR="006A3667" w:rsidRDefault="006A3667">
            <w:pPr>
              <w:rPr>
                <w:rFonts w:ascii="宋体"/>
                <w:vanish/>
              </w:rPr>
            </w:pPr>
          </w:p>
        </w:tc>
        <w:tc>
          <w:tcPr>
            <w:tcW w:w="0" w:type="auto"/>
            <w:gridSpan w:val="3"/>
            <w:shd w:val="clear" w:color="auto" w:fill="auto"/>
            <w:vAlign w:val="bottom"/>
          </w:tcPr>
          <w:p w14:paraId="71D4026A" w14:textId="77777777" w:rsidR="006A3667" w:rsidRDefault="006A3667">
            <w:pPr>
              <w:rPr>
                <w:rFonts w:ascii="宋体"/>
                <w:vanish/>
              </w:rPr>
            </w:pPr>
          </w:p>
        </w:tc>
        <w:tc>
          <w:tcPr>
            <w:tcW w:w="0" w:type="auto"/>
            <w:gridSpan w:val="3"/>
            <w:shd w:val="clear" w:color="auto" w:fill="auto"/>
            <w:vAlign w:val="bottom"/>
          </w:tcPr>
          <w:p w14:paraId="71D4026B" w14:textId="77777777" w:rsidR="006A3667" w:rsidRDefault="006A3667">
            <w:pPr>
              <w:rPr>
                <w:rFonts w:ascii="宋体"/>
                <w:vanish/>
              </w:rPr>
            </w:pPr>
          </w:p>
        </w:tc>
        <w:tc>
          <w:tcPr>
            <w:tcW w:w="0" w:type="auto"/>
            <w:gridSpan w:val="3"/>
            <w:shd w:val="clear" w:color="auto" w:fill="auto"/>
            <w:vAlign w:val="bottom"/>
          </w:tcPr>
          <w:p w14:paraId="71D4026C" w14:textId="77777777" w:rsidR="006A3667" w:rsidRDefault="006A3667">
            <w:pPr>
              <w:rPr>
                <w:rFonts w:ascii="宋体"/>
                <w:vanish/>
              </w:rPr>
            </w:pPr>
          </w:p>
        </w:tc>
      </w:tr>
      <w:tr w:rsidR="006A3667" w14:paraId="71D40279" w14:textId="77777777">
        <w:tc>
          <w:tcPr>
            <w:tcW w:w="0" w:type="auto"/>
            <w:gridSpan w:val="3"/>
            <w:shd w:val="clear" w:color="auto" w:fill="CCEEFF"/>
            <w:tcMar>
              <w:top w:w="40" w:type="dxa"/>
              <w:left w:w="140" w:type="dxa"/>
              <w:bottom w:w="40" w:type="dxa"/>
              <w:right w:w="20" w:type="dxa"/>
            </w:tcMar>
            <w:vAlign w:val="bottom"/>
          </w:tcPr>
          <w:p w14:paraId="71D4026E" w14:textId="77777777" w:rsidR="006A3667" w:rsidRDefault="00045F32">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026F" w14:textId="77777777" w:rsidR="006A3667" w:rsidRDefault="00045F32">
            <w:pPr>
              <w:jc w:val="right"/>
              <w:textAlignment w:val="bottom"/>
            </w:pPr>
            <w:r>
              <w:rPr>
                <w:rFonts w:ascii="Arial" w:eastAsia="宋体" w:hAnsi="Arial" w:cs="Arial"/>
                <w:b/>
                <w:bCs/>
                <w:color w:val="000000"/>
                <w:sz w:val="14"/>
                <w:szCs w:val="14"/>
              </w:rPr>
              <w:t>13,674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2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27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272" w14:textId="77777777" w:rsidR="006A3667" w:rsidRDefault="00045F32">
            <w:pPr>
              <w:jc w:val="right"/>
              <w:textAlignment w:val="bottom"/>
            </w:pPr>
            <w:r>
              <w:rPr>
                <w:rFonts w:ascii="Arial" w:eastAsia="宋体" w:hAnsi="Arial" w:cs="Arial"/>
                <w:color w:val="000000"/>
                <w:sz w:val="14"/>
                <w:szCs w:val="14"/>
              </w:rPr>
              <w:t>23,547 </w:t>
            </w:r>
          </w:p>
        </w:tc>
        <w:tc>
          <w:tcPr>
            <w:tcW w:w="0" w:type="auto"/>
            <w:shd w:val="clear" w:color="auto" w:fill="CCEEFF"/>
            <w:tcMar>
              <w:top w:w="40" w:type="dxa"/>
              <w:left w:w="0" w:type="dxa"/>
              <w:bottom w:w="40" w:type="dxa"/>
              <w:right w:w="20" w:type="dxa"/>
            </w:tcMar>
            <w:vAlign w:val="bottom"/>
          </w:tcPr>
          <w:p w14:paraId="71D40273" w14:textId="77777777" w:rsidR="006A3667" w:rsidRDefault="006A3667">
            <w:pPr>
              <w:jc w:val="right"/>
              <w:rPr>
                <w:rFonts w:ascii="宋体"/>
              </w:rPr>
            </w:pPr>
          </w:p>
        </w:tc>
        <w:tc>
          <w:tcPr>
            <w:tcW w:w="0" w:type="auto"/>
            <w:gridSpan w:val="3"/>
            <w:shd w:val="clear" w:color="auto" w:fill="auto"/>
            <w:vAlign w:val="bottom"/>
          </w:tcPr>
          <w:p w14:paraId="71D40274" w14:textId="77777777" w:rsidR="006A3667" w:rsidRDefault="006A3667">
            <w:pPr>
              <w:rPr>
                <w:rFonts w:ascii="宋体"/>
                <w:vanish/>
              </w:rPr>
            </w:pPr>
          </w:p>
        </w:tc>
        <w:tc>
          <w:tcPr>
            <w:tcW w:w="0" w:type="auto"/>
            <w:gridSpan w:val="3"/>
            <w:shd w:val="clear" w:color="auto" w:fill="auto"/>
            <w:vAlign w:val="bottom"/>
          </w:tcPr>
          <w:p w14:paraId="71D40275" w14:textId="77777777" w:rsidR="006A3667" w:rsidRDefault="006A3667">
            <w:pPr>
              <w:rPr>
                <w:rFonts w:ascii="宋体"/>
                <w:vanish/>
              </w:rPr>
            </w:pPr>
          </w:p>
        </w:tc>
        <w:tc>
          <w:tcPr>
            <w:tcW w:w="0" w:type="auto"/>
            <w:gridSpan w:val="3"/>
            <w:shd w:val="clear" w:color="auto" w:fill="auto"/>
            <w:vAlign w:val="bottom"/>
          </w:tcPr>
          <w:p w14:paraId="71D40276" w14:textId="77777777" w:rsidR="006A3667" w:rsidRDefault="006A3667">
            <w:pPr>
              <w:rPr>
                <w:rFonts w:ascii="宋体"/>
                <w:vanish/>
              </w:rPr>
            </w:pPr>
          </w:p>
        </w:tc>
        <w:tc>
          <w:tcPr>
            <w:tcW w:w="0" w:type="auto"/>
            <w:gridSpan w:val="3"/>
            <w:shd w:val="clear" w:color="auto" w:fill="auto"/>
            <w:vAlign w:val="bottom"/>
          </w:tcPr>
          <w:p w14:paraId="71D40277" w14:textId="77777777" w:rsidR="006A3667" w:rsidRDefault="006A3667">
            <w:pPr>
              <w:rPr>
                <w:rFonts w:ascii="宋体"/>
                <w:vanish/>
              </w:rPr>
            </w:pPr>
          </w:p>
        </w:tc>
        <w:tc>
          <w:tcPr>
            <w:tcW w:w="0" w:type="auto"/>
            <w:gridSpan w:val="3"/>
            <w:shd w:val="clear" w:color="auto" w:fill="auto"/>
            <w:vAlign w:val="bottom"/>
          </w:tcPr>
          <w:p w14:paraId="71D40278" w14:textId="77777777" w:rsidR="006A3667" w:rsidRDefault="006A3667">
            <w:pPr>
              <w:rPr>
                <w:rFonts w:ascii="宋体"/>
                <w:vanish/>
              </w:rPr>
            </w:pPr>
          </w:p>
        </w:tc>
      </w:tr>
      <w:tr w:rsidR="006A3667" w14:paraId="71D40285" w14:textId="77777777">
        <w:tc>
          <w:tcPr>
            <w:tcW w:w="0" w:type="auto"/>
            <w:gridSpan w:val="3"/>
            <w:shd w:val="clear" w:color="auto" w:fill="FFFFFF"/>
            <w:tcMar>
              <w:top w:w="40" w:type="dxa"/>
              <w:left w:w="20" w:type="dxa"/>
              <w:bottom w:w="40" w:type="dxa"/>
              <w:right w:w="20" w:type="dxa"/>
            </w:tcMar>
            <w:vAlign w:val="bottom"/>
          </w:tcPr>
          <w:p w14:paraId="71D4027A" w14:textId="77777777" w:rsidR="006A3667" w:rsidRDefault="00045F32">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4027B" w14:textId="77777777" w:rsidR="006A3667" w:rsidRDefault="00045F32">
            <w:pPr>
              <w:jc w:val="right"/>
              <w:textAlignment w:val="bottom"/>
            </w:pPr>
            <w:r>
              <w:rPr>
                <w:rFonts w:ascii="Arial" w:eastAsia="宋体" w:hAnsi="Arial" w:cs="Arial"/>
                <w:b/>
                <w:bCs/>
                <w:color w:val="000000"/>
                <w:sz w:val="14"/>
                <w:szCs w:val="14"/>
              </w:rPr>
              <w:t>2,084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27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27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27E" w14:textId="77777777" w:rsidR="006A3667" w:rsidRDefault="00045F32">
            <w:pPr>
              <w:jc w:val="right"/>
              <w:textAlignment w:val="bottom"/>
            </w:pPr>
            <w:r>
              <w:rPr>
                <w:rFonts w:ascii="Arial" w:eastAsia="宋体" w:hAnsi="Arial" w:cs="Arial"/>
                <w:color w:val="000000"/>
                <w:sz w:val="14"/>
                <w:szCs w:val="14"/>
              </w:rPr>
              <w:t>3,098 </w:t>
            </w:r>
          </w:p>
        </w:tc>
        <w:tc>
          <w:tcPr>
            <w:tcW w:w="0" w:type="auto"/>
            <w:shd w:val="clear" w:color="auto" w:fill="FFFFFF"/>
            <w:tcMar>
              <w:top w:w="40" w:type="dxa"/>
              <w:left w:w="0" w:type="dxa"/>
              <w:bottom w:w="40" w:type="dxa"/>
              <w:right w:w="20" w:type="dxa"/>
            </w:tcMar>
            <w:vAlign w:val="bottom"/>
          </w:tcPr>
          <w:p w14:paraId="71D4027F" w14:textId="77777777" w:rsidR="006A3667" w:rsidRDefault="006A3667">
            <w:pPr>
              <w:jc w:val="right"/>
              <w:rPr>
                <w:rFonts w:ascii="宋体"/>
              </w:rPr>
            </w:pPr>
          </w:p>
        </w:tc>
        <w:tc>
          <w:tcPr>
            <w:tcW w:w="0" w:type="auto"/>
            <w:gridSpan w:val="3"/>
            <w:shd w:val="clear" w:color="auto" w:fill="auto"/>
            <w:vAlign w:val="bottom"/>
          </w:tcPr>
          <w:p w14:paraId="71D40280" w14:textId="77777777" w:rsidR="006A3667" w:rsidRDefault="006A3667">
            <w:pPr>
              <w:rPr>
                <w:rFonts w:ascii="宋体"/>
                <w:vanish/>
              </w:rPr>
            </w:pPr>
          </w:p>
        </w:tc>
        <w:tc>
          <w:tcPr>
            <w:tcW w:w="0" w:type="auto"/>
            <w:gridSpan w:val="3"/>
            <w:shd w:val="clear" w:color="auto" w:fill="auto"/>
            <w:vAlign w:val="bottom"/>
          </w:tcPr>
          <w:p w14:paraId="71D40281" w14:textId="77777777" w:rsidR="006A3667" w:rsidRDefault="006A3667">
            <w:pPr>
              <w:rPr>
                <w:rFonts w:ascii="宋体"/>
                <w:vanish/>
              </w:rPr>
            </w:pPr>
          </w:p>
        </w:tc>
        <w:tc>
          <w:tcPr>
            <w:tcW w:w="0" w:type="auto"/>
            <w:gridSpan w:val="3"/>
            <w:shd w:val="clear" w:color="auto" w:fill="auto"/>
            <w:vAlign w:val="bottom"/>
          </w:tcPr>
          <w:p w14:paraId="71D40282" w14:textId="77777777" w:rsidR="006A3667" w:rsidRDefault="006A3667">
            <w:pPr>
              <w:rPr>
                <w:rFonts w:ascii="宋体"/>
                <w:vanish/>
              </w:rPr>
            </w:pPr>
          </w:p>
        </w:tc>
        <w:tc>
          <w:tcPr>
            <w:tcW w:w="0" w:type="auto"/>
            <w:gridSpan w:val="3"/>
            <w:shd w:val="clear" w:color="auto" w:fill="auto"/>
            <w:vAlign w:val="bottom"/>
          </w:tcPr>
          <w:p w14:paraId="71D40283" w14:textId="77777777" w:rsidR="006A3667" w:rsidRDefault="006A3667">
            <w:pPr>
              <w:rPr>
                <w:rFonts w:ascii="宋体"/>
                <w:vanish/>
              </w:rPr>
            </w:pPr>
          </w:p>
        </w:tc>
        <w:tc>
          <w:tcPr>
            <w:tcW w:w="0" w:type="auto"/>
            <w:gridSpan w:val="3"/>
            <w:shd w:val="clear" w:color="auto" w:fill="auto"/>
            <w:vAlign w:val="bottom"/>
          </w:tcPr>
          <w:p w14:paraId="71D40284" w14:textId="77777777" w:rsidR="006A3667" w:rsidRDefault="006A3667">
            <w:pPr>
              <w:rPr>
                <w:rFonts w:ascii="宋体"/>
                <w:vanish/>
              </w:rPr>
            </w:pPr>
          </w:p>
        </w:tc>
      </w:tr>
      <w:tr w:rsidR="006A3667" w14:paraId="71D40291" w14:textId="77777777">
        <w:tc>
          <w:tcPr>
            <w:tcW w:w="0" w:type="auto"/>
            <w:gridSpan w:val="3"/>
            <w:shd w:val="clear" w:color="auto" w:fill="CCEEFF"/>
            <w:tcMar>
              <w:top w:w="40" w:type="dxa"/>
              <w:left w:w="20" w:type="dxa"/>
              <w:bottom w:w="40" w:type="dxa"/>
              <w:right w:w="20" w:type="dxa"/>
            </w:tcMar>
            <w:vAlign w:val="bottom"/>
          </w:tcPr>
          <w:p w14:paraId="71D40286" w14:textId="77777777" w:rsidR="006A3667" w:rsidRDefault="00045F32">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287" w14:textId="77777777" w:rsidR="006A3667" w:rsidRDefault="00045F32">
            <w:pPr>
              <w:jc w:val="right"/>
              <w:textAlignment w:val="bottom"/>
            </w:pPr>
            <w:r>
              <w:rPr>
                <w:rFonts w:ascii="Arial" w:eastAsia="宋体" w:hAnsi="Arial" w:cs="Arial"/>
                <w:b/>
                <w:bCs/>
                <w:color w:val="000000"/>
                <w:sz w:val="14"/>
                <w:szCs w:val="14"/>
              </w:rPr>
              <w:t>19,060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2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28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28A" w14:textId="77777777" w:rsidR="006A3667" w:rsidRDefault="00045F32">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28B" w14:textId="77777777" w:rsidR="006A3667" w:rsidRDefault="006A3667">
            <w:pPr>
              <w:jc w:val="right"/>
              <w:rPr>
                <w:rFonts w:ascii="宋体"/>
              </w:rPr>
            </w:pPr>
          </w:p>
        </w:tc>
        <w:tc>
          <w:tcPr>
            <w:tcW w:w="0" w:type="auto"/>
            <w:gridSpan w:val="3"/>
            <w:shd w:val="clear" w:color="auto" w:fill="auto"/>
            <w:vAlign w:val="bottom"/>
          </w:tcPr>
          <w:p w14:paraId="71D4028C" w14:textId="77777777" w:rsidR="006A3667" w:rsidRDefault="006A3667">
            <w:pPr>
              <w:rPr>
                <w:rFonts w:ascii="宋体"/>
                <w:vanish/>
              </w:rPr>
            </w:pPr>
          </w:p>
        </w:tc>
        <w:tc>
          <w:tcPr>
            <w:tcW w:w="0" w:type="auto"/>
            <w:gridSpan w:val="3"/>
            <w:shd w:val="clear" w:color="auto" w:fill="auto"/>
            <w:vAlign w:val="bottom"/>
          </w:tcPr>
          <w:p w14:paraId="71D4028D" w14:textId="77777777" w:rsidR="006A3667" w:rsidRDefault="006A3667">
            <w:pPr>
              <w:rPr>
                <w:rFonts w:ascii="宋体"/>
                <w:vanish/>
              </w:rPr>
            </w:pPr>
          </w:p>
        </w:tc>
        <w:tc>
          <w:tcPr>
            <w:tcW w:w="0" w:type="auto"/>
            <w:gridSpan w:val="3"/>
            <w:shd w:val="clear" w:color="auto" w:fill="auto"/>
            <w:vAlign w:val="bottom"/>
          </w:tcPr>
          <w:p w14:paraId="71D4028E" w14:textId="77777777" w:rsidR="006A3667" w:rsidRDefault="006A3667">
            <w:pPr>
              <w:rPr>
                <w:rFonts w:ascii="宋体"/>
                <w:vanish/>
              </w:rPr>
            </w:pPr>
          </w:p>
        </w:tc>
        <w:tc>
          <w:tcPr>
            <w:tcW w:w="0" w:type="auto"/>
            <w:gridSpan w:val="3"/>
            <w:shd w:val="clear" w:color="auto" w:fill="auto"/>
            <w:vAlign w:val="bottom"/>
          </w:tcPr>
          <w:p w14:paraId="71D4028F" w14:textId="77777777" w:rsidR="006A3667" w:rsidRDefault="006A3667">
            <w:pPr>
              <w:rPr>
                <w:rFonts w:ascii="宋体"/>
                <w:vanish/>
              </w:rPr>
            </w:pPr>
          </w:p>
        </w:tc>
        <w:tc>
          <w:tcPr>
            <w:tcW w:w="0" w:type="auto"/>
            <w:gridSpan w:val="3"/>
            <w:shd w:val="clear" w:color="auto" w:fill="auto"/>
            <w:vAlign w:val="bottom"/>
          </w:tcPr>
          <w:p w14:paraId="71D40290" w14:textId="77777777" w:rsidR="006A3667" w:rsidRDefault="006A3667">
            <w:pPr>
              <w:rPr>
                <w:rFonts w:ascii="宋体"/>
                <w:vanish/>
              </w:rPr>
            </w:pPr>
          </w:p>
        </w:tc>
      </w:tr>
      <w:tr w:rsidR="006A3667" w14:paraId="71D4029B" w14:textId="77777777">
        <w:tc>
          <w:tcPr>
            <w:tcW w:w="0" w:type="auto"/>
            <w:gridSpan w:val="3"/>
            <w:shd w:val="clear" w:color="auto" w:fill="FFFFFF"/>
            <w:tcMar>
              <w:top w:w="40" w:type="dxa"/>
              <w:left w:w="20" w:type="dxa"/>
              <w:bottom w:w="40" w:type="dxa"/>
              <w:right w:w="20" w:type="dxa"/>
            </w:tcMar>
            <w:vAlign w:val="bottom"/>
          </w:tcPr>
          <w:p w14:paraId="71D40292"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029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294"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0295" w14:textId="77777777" w:rsidR="006A3667" w:rsidRDefault="006A3667">
            <w:pPr>
              <w:rPr>
                <w:rFonts w:ascii="宋体"/>
              </w:rPr>
            </w:pPr>
          </w:p>
        </w:tc>
        <w:tc>
          <w:tcPr>
            <w:tcW w:w="0" w:type="auto"/>
            <w:gridSpan w:val="3"/>
            <w:shd w:val="clear" w:color="auto" w:fill="auto"/>
            <w:vAlign w:val="bottom"/>
          </w:tcPr>
          <w:p w14:paraId="71D40296" w14:textId="77777777" w:rsidR="006A3667" w:rsidRDefault="006A3667">
            <w:pPr>
              <w:rPr>
                <w:rFonts w:ascii="宋体"/>
                <w:vanish/>
              </w:rPr>
            </w:pPr>
          </w:p>
        </w:tc>
        <w:tc>
          <w:tcPr>
            <w:tcW w:w="0" w:type="auto"/>
            <w:gridSpan w:val="3"/>
            <w:shd w:val="clear" w:color="auto" w:fill="auto"/>
            <w:vAlign w:val="bottom"/>
          </w:tcPr>
          <w:p w14:paraId="71D40297" w14:textId="77777777" w:rsidR="006A3667" w:rsidRDefault="006A3667">
            <w:pPr>
              <w:rPr>
                <w:rFonts w:ascii="宋体"/>
                <w:vanish/>
              </w:rPr>
            </w:pPr>
          </w:p>
        </w:tc>
        <w:tc>
          <w:tcPr>
            <w:tcW w:w="0" w:type="auto"/>
            <w:gridSpan w:val="3"/>
            <w:shd w:val="clear" w:color="auto" w:fill="auto"/>
            <w:vAlign w:val="bottom"/>
          </w:tcPr>
          <w:p w14:paraId="71D40298" w14:textId="77777777" w:rsidR="006A3667" w:rsidRDefault="006A3667">
            <w:pPr>
              <w:rPr>
                <w:rFonts w:ascii="宋体"/>
                <w:vanish/>
              </w:rPr>
            </w:pPr>
          </w:p>
        </w:tc>
        <w:tc>
          <w:tcPr>
            <w:tcW w:w="0" w:type="auto"/>
            <w:gridSpan w:val="3"/>
            <w:shd w:val="clear" w:color="auto" w:fill="auto"/>
            <w:vAlign w:val="bottom"/>
          </w:tcPr>
          <w:p w14:paraId="71D40299" w14:textId="77777777" w:rsidR="006A3667" w:rsidRDefault="006A3667">
            <w:pPr>
              <w:rPr>
                <w:rFonts w:ascii="宋体"/>
                <w:vanish/>
              </w:rPr>
            </w:pPr>
          </w:p>
        </w:tc>
        <w:tc>
          <w:tcPr>
            <w:tcW w:w="0" w:type="auto"/>
            <w:gridSpan w:val="3"/>
            <w:shd w:val="clear" w:color="auto" w:fill="auto"/>
            <w:vAlign w:val="bottom"/>
          </w:tcPr>
          <w:p w14:paraId="71D4029A" w14:textId="77777777" w:rsidR="006A3667" w:rsidRDefault="006A3667">
            <w:pPr>
              <w:rPr>
                <w:rFonts w:ascii="宋体"/>
                <w:vanish/>
              </w:rPr>
            </w:pPr>
          </w:p>
        </w:tc>
      </w:tr>
      <w:tr w:rsidR="006A3667" w14:paraId="71D402A7" w14:textId="77777777">
        <w:tc>
          <w:tcPr>
            <w:tcW w:w="0" w:type="auto"/>
            <w:gridSpan w:val="3"/>
            <w:shd w:val="clear" w:color="auto" w:fill="CCEEFF"/>
            <w:tcMar>
              <w:top w:w="40" w:type="dxa"/>
              <w:left w:w="20" w:type="dxa"/>
              <w:bottom w:w="40" w:type="dxa"/>
              <w:right w:w="20" w:type="dxa"/>
            </w:tcMar>
            <w:vAlign w:val="bottom"/>
          </w:tcPr>
          <w:p w14:paraId="71D4029C" w14:textId="77777777" w:rsidR="006A3667" w:rsidRDefault="00045F32">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71D4029D" w14:textId="77777777" w:rsidR="006A3667" w:rsidRDefault="00045F32">
            <w:pPr>
              <w:jc w:val="right"/>
              <w:textAlignment w:val="bottom"/>
            </w:pPr>
            <w:r>
              <w:rPr>
                <w:rFonts w:ascii="Arial" w:eastAsia="宋体" w:hAnsi="Arial" w:cs="Arial"/>
                <w:b/>
                <w:bCs/>
                <w:color w:val="000000"/>
                <w:sz w:val="14"/>
                <w:szCs w:val="14"/>
              </w:rPr>
              <w:t>133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2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29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2A0" w14:textId="77777777" w:rsidR="006A3667" w:rsidRDefault="00045F32">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71D402A1" w14:textId="77777777" w:rsidR="006A3667" w:rsidRDefault="006A3667">
            <w:pPr>
              <w:jc w:val="right"/>
              <w:rPr>
                <w:rFonts w:ascii="宋体"/>
              </w:rPr>
            </w:pPr>
          </w:p>
        </w:tc>
        <w:tc>
          <w:tcPr>
            <w:tcW w:w="0" w:type="auto"/>
            <w:gridSpan w:val="3"/>
            <w:shd w:val="clear" w:color="auto" w:fill="auto"/>
            <w:vAlign w:val="bottom"/>
          </w:tcPr>
          <w:p w14:paraId="71D402A2" w14:textId="77777777" w:rsidR="006A3667" w:rsidRDefault="006A3667">
            <w:pPr>
              <w:rPr>
                <w:rFonts w:ascii="宋体"/>
                <w:vanish/>
              </w:rPr>
            </w:pPr>
          </w:p>
        </w:tc>
        <w:tc>
          <w:tcPr>
            <w:tcW w:w="0" w:type="auto"/>
            <w:gridSpan w:val="3"/>
            <w:shd w:val="clear" w:color="auto" w:fill="auto"/>
            <w:vAlign w:val="bottom"/>
          </w:tcPr>
          <w:p w14:paraId="71D402A3" w14:textId="77777777" w:rsidR="006A3667" w:rsidRDefault="006A3667">
            <w:pPr>
              <w:rPr>
                <w:rFonts w:ascii="宋体"/>
                <w:vanish/>
              </w:rPr>
            </w:pPr>
          </w:p>
        </w:tc>
        <w:tc>
          <w:tcPr>
            <w:tcW w:w="0" w:type="auto"/>
            <w:gridSpan w:val="3"/>
            <w:shd w:val="clear" w:color="auto" w:fill="auto"/>
            <w:vAlign w:val="bottom"/>
          </w:tcPr>
          <w:p w14:paraId="71D402A4" w14:textId="77777777" w:rsidR="006A3667" w:rsidRDefault="006A3667">
            <w:pPr>
              <w:rPr>
                <w:rFonts w:ascii="宋体"/>
                <w:vanish/>
              </w:rPr>
            </w:pPr>
          </w:p>
        </w:tc>
        <w:tc>
          <w:tcPr>
            <w:tcW w:w="0" w:type="auto"/>
            <w:gridSpan w:val="3"/>
            <w:shd w:val="clear" w:color="auto" w:fill="auto"/>
            <w:vAlign w:val="bottom"/>
          </w:tcPr>
          <w:p w14:paraId="71D402A5" w14:textId="77777777" w:rsidR="006A3667" w:rsidRDefault="006A3667">
            <w:pPr>
              <w:rPr>
                <w:rFonts w:ascii="宋体"/>
                <w:vanish/>
              </w:rPr>
            </w:pPr>
          </w:p>
        </w:tc>
        <w:tc>
          <w:tcPr>
            <w:tcW w:w="0" w:type="auto"/>
            <w:gridSpan w:val="3"/>
            <w:shd w:val="clear" w:color="auto" w:fill="auto"/>
            <w:vAlign w:val="bottom"/>
          </w:tcPr>
          <w:p w14:paraId="71D402A6" w14:textId="77777777" w:rsidR="006A3667" w:rsidRDefault="006A3667">
            <w:pPr>
              <w:rPr>
                <w:rFonts w:ascii="宋体"/>
                <w:vanish/>
              </w:rPr>
            </w:pPr>
          </w:p>
        </w:tc>
      </w:tr>
      <w:tr w:rsidR="006A3667" w14:paraId="71D402B1" w14:textId="77777777">
        <w:trPr>
          <w:hidden/>
        </w:trPr>
        <w:tc>
          <w:tcPr>
            <w:tcW w:w="0" w:type="auto"/>
            <w:gridSpan w:val="3"/>
            <w:shd w:val="clear" w:color="auto" w:fill="auto"/>
            <w:vAlign w:val="bottom"/>
          </w:tcPr>
          <w:p w14:paraId="71D402A8" w14:textId="77777777" w:rsidR="006A3667" w:rsidRDefault="006A3667">
            <w:pPr>
              <w:rPr>
                <w:rFonts w:ascii="宋体"/>
                <w:vanish/>
              </w:rPr>
            </w:pPr>
          </w:p>
        </w:tc>
        <w:tc>
          <w:tcPr>
            <w:tcW w:w="0" w:type="auto"/>
            <w:gridSpan w:val="3"/>
            <w:shd w:val="clear" w:color="auto" w:fill="auto"/>
            <w:vAlign w:val="bottom"/>
          </w:tcPr>
          <w:p w14:paraId="71D402A9" w14:textId="77777777" w:rsidR="006A3667" w:rsidRDefault="006A3667">
            <w:pPr>
              <w:rPr>
                <w:rFonts w:ascii="宋体"/>
                <w:vanish/>
              </w:rPr>
            </w:pPr>
          </w:p>
        </w:tc>
        <w:tc>
          <w:tcPr>
            <w:tcW w:w="0" w:type="auto"/>
            <w:gridSpan w:val="3"/>
            <w:shd w:val="clear" w:color="auto" w:fill="auto"/>
            <w:vAlign w:val="bottom"/>
          </w:tcPr>
          <w:p w14:paraId="71D402AA" w14:textId="77777777" w:rsidR="006A3667" w:rsidRDefault="006A3667">
            <w:pPr>
              <w:rPr>
                <w:rFonts w:ascii="宋体"/>
                <w:vanish/>
              </w:rPr>
            </w:pPr>
          </w:p>
        </w:tc>
        <w:tc>
          <w:tcPr>
            <w:tcW w:w="0" w:type="auto"/>
            <w:gridSpan w:val="3"/>
            <w:shd w:val="clear" w:color="auto" w:fill="auto"/>
            <w:vAlign w:val="bottom"/>
          </w:tcPr>
          <w:p w14:paraId="71D402AB" w14:textId="77777777" w:rsidR="006A3667" w:rsidRDefault="006A3667">
            <w:pPr>
              <w:rPr>
                <w:rFonts w:ascii="宋体"/>
                <w:vanish/>
              </w:rPr>
            </w:pPr>
          </w:p>
        </w:tc>
        <w:tc>
          <w:tcPr>
            <w:tcW w:w="0" w:type="auto"/>
            <w:gridSpan w:val="3"/>
            <w:shd w:val="clear" w:color="auto" w:fill="auto"/>
            <w:vAlign w:val="bottom"/>
          </w:tcPr>
          <w:p w14:paraId="71D402AC" w14:textId="77777777" w:rsidR="006A3667" w:rsidRDefault="006A3667">
            <w:pPr>
              <w:rPr>
                <w:rFonts w:ascii="宋体"/>
                <w:vanish/>
              </w:rPr>
            </w:pPr>
          </w:p>
        </w:tc>
        <w:tc>
          <w:tcPr>
            <w:tcW w:w="0" w:type="auto"/>
            <w:gridSpan w:val="3"/>
            <w:shd w:val="clear" w:color="auto" w:fill="auto"/>
            <w:vAlign w:val="bottom"/>
          </w:tcPr>
          <w:p w14:paraId="71D402AD" w14:textId="77777777" w:rsidR="006A3667" w:rsidRDefault="006A3667">
            <w:pPr>
              <w:rPr>
                <w:rFonts w:ascii="宋体"/>
                <w:vanish/>
              </w:rPr>
            </w:pPr>
          </w:p>
        </w:tc>
        <w:tc>
          <w:tcPr>
            <w:tcW w:w="0" w:type="auto"/>
            <w:gridSpan w:val="3"/>
            <w:shd w:val="clear" w:color="auto" w:fill="auto"/>
            <w:vAlign w:val="bottom"/>
          </w:tcPr>
          <w:p w14:paraId="71D402AE" w14:textId="77777777" w:rsidR="006A3667" w:rsidRDefault="006A3667">
            <w:pPr>
              <w:rPr>
                <w:rFonts w:ascii="宋体"/>
                <w:vanish/>
              </w:rPr>
            </w:pPr>
          </w:p>
        </w:tc>
        <w:tc>
          <w:tcPr>
            <w:tcW w:w="0" w:type="auto"/>
            <w:gridSpan w:val="3"/>
            <w:shd w:val="clear" w:color="auto" w:fill="auto"/>
            <w:vAlign w:val="bottom"/>
          </w:tcPr>
          <w:p w14:paraId="71D402AF" w14:textId="77777777" w:rsidR="006A3667" w:rsidRDefault="006A3667">
            <w:pPr>
              <w:rPr>
                <w:rFonts w:ascii="宋体"/>
                <w:vanish/>
              </w:rPr>
            </w:pPr>
          </w:p>
        </w:tc>
        <w:tc>
          <w:tcPr>
            <w:tcW w:w="0" w:type="auto"/>
            <w:gridSpan w:val="3"/>
            <w:shd w:val="clear" w:color="auto" w:fill="auto"/>
            <w:vAlign w:val="bottom"/>
          </w:tcPr>
          <w:p w14:paraId="71D402B0" w14:textId="77777777" w:rsidR="006A3667" w:rsidRDefault="006A3667">
            <w:pPr>
              <w:rPr>
                <w:rFonts w:ascii="宋体"/>
                <w:vanish/>
              </w:rPr>
            </w:pPr>
          </w:p>
        </w:tc>
      </w:tr>
      <w:tr w:rsidR="006A3667" w14:paraId="71D402BB" w14:textId="77777777">
        <w:trPr>
          <w:hidden/>
        </w:trPr>
        <w:tc>
          <w:tcPr>
            <w:tcW w:w="0" w:type="auto"/>
            <w:gridSpan w:val="3"/>
            <w:shd w:val="clear" w:color="auto" w:fill="auto"/>
            <w:vAlign w:val="bottom"/>
          </w:tcPr>
          <w:p w14:paraId="71D402B2" w14:textId="77777777" w:rsidR="006A3667" w:rsidRDefault="006A3667">
            <w:pPr>
              <w:rPr>
                <w:rFonts w:ascii="宋体"/>
                <w:vanish/>
              </w:rPr>
            </w:pPr>
          </w:p>
        </w:tc>
        <w:tc>
          <w:tcPr>
            <w:tcW w:w="0" w:type="auto"/>
            <w:gridSpan w:val="3"/>
            <w:shd w:val="clear" w:color="auto" w:fill="auto"/>
            <w:vAlign w:val="bottom"/>
          </w:tcPr>
          <w:p w14:paraId="71D402B3" w14:textId="77777777" w:rsidR="006A3667" w:rsidRDefault="006A3667">
            <w:pPr>
              <w:rPr>
                <w:rFonts w:ascii="宋体"/>
                <w:vanish/>
              </w:rPr>
            </w:pPr>
          </w:p>
        </w:tc>
        <w:tc>
          <w:tcPr>
            <w:tcW w:w="0" w:type="auto"/>
            <w:gridSpan w:val="3"/>
            <w:shd w:val="clear" w:color="auto" w:fill="auto"/>
            <w:vAlign w:val="bottom"/>
          </w:tcPr>
          <w:p w14:paraId="71D402B4" w14:textId="77777777" w:rsidR="006A3667" w:rsidRDefault="006A3667">
            <w:pPr>
              <w:rPr>
                <w:rFonts w:ascii="宋体"/>
                <w:vanish/>
              </w:rPr>
            </w:pPr>
          </w:p>
        </w:tc>
        <w:tc>
          <w:tcPr>
            <w:tcW w:w="0" w:type="auto"/>
            <w:gridSpan w:val="3"/>
            <w:shd w:val="clear" w:color="auto" w:fill="auto"/>
            <w:vAlign w:val="bottom"/>
          </w:tcPr>
          <w:p w14:paraId="71D402B5" w14:textId="77777777" w:rsidR="006A3667" w:rsidRDefault="006A3667">
            <w:pPr>
              <w:rPr>
                <w:rFonts w:ascii="宋体"/>
                <w:vanish/>
              </w:rPr>
            </w:pPr>
          </w:p>
        </w:tc>
        <w:tc>
          <w:tcPr>
            <w:tcW w:w="0" w:type="auto"/>
            <w:gridSpan w:val="3"/>
            <w:shd w:val="clear" w:color="auto" w:fill="auto"/>
            <w:vAlign w:val="bottom"/>
          </w:tcPr>
          <w:p w14:paraId="71D402B6" w14:textId="77777777" w:rsidR="006A3667" w:rsidRDefault="006A3667">
            <w:pPr>
              <w:rPr>
                <w:rFonts w:ascii="宋体"/>
                <w:vanish/>
              </w:rPr>
            </w:pPr>
          </w:p>
        </w:tc>
        <w:tc>
          <w:tcPr>
            <w:tcW w:w="0" w:type="auto"/>
            <w:gridSpan w:val="3"/>
            <w:shd w:val="clear" w:color="auto" w:fill="auto"/>
            <w:vAlign w:val="bottom"/>
          </w:tcPr>
          <w:p w14:paraId="71D402B7" w14:textId="77777777" w:rsidR="006A3667" w:rsidRDefault="006A3667">
            <w:pPr>
              <w:rPr>
                <w:rFonts w:ascii="宋体"/>
                <w:vanish/>
              </w:rPr>
            </w:pPr>
          </w:p>
        </w:tc>
        <w:tc>
          <w:tcPr>
            <w:tcW w:w="0" w:type="auto"/>
            <w:gridSpan w:val="3"/>
            <w:shd w:val="clear" w:color="auto" w:fill="auto"/>
            <w:vAlign w:val="bottom"/>
          </w:tcPr>
          <w:p w14:paraId="71D402B8" w14:textId="77777777" w:rsidR="006A3667" w:rsidRDefault="006A3667">
            <w:pPr>
              <w:rPr>
                <w:rFonts w:ascii="宋体"/>
                <w:vanish/>
              </w:rPr>
            </w:pPr>
          </w:p>
        </w:tc>
        <w:tc>
          <w:tcPr>
            <w:tcW w:w="0" w:type="auto"/>
            <w:gridSpan w:val="3"/>
            <w:shd w:val="clear" w:color="auto" w:fill="auto"/>
            <w:vAlign w:val="bottom"/>
          </w:tcPr>
          <w:p w14:paraId="71D402B9" w14:textId="77777777" w:rsidR="006A3667" w:rsidRDefault="006A3667">
            <w:pPr>
              <w:rPr>
                <w:rFonts w:ascii="宋体"/>
                <w:vanish/>
              </w:rPr>
            </w:pPr>
          </w:p>
        </w:tc>
        <w:tc>
          <w:tcPr>
            <w:tcW w:w="0" w:type="auto"/>
            <w:gridSpan w:val="3"/>
            <w:shd w:val="clear" w:color="auto" w:fill="auto"/>
            <w:vAlign w:val="bottom"/>
          </w:tcPr>
          <w:p w14:paraId="71D402BA" w14:textId="77777777" w:rsidR="006A3667" w:rsidRDefault="006A3667">
            <w:pPr>
              <w:rPr>
                <w:rFonts w:ascii="宋体"/>
                <w:vanish/>
              </w:rPr>
            </w:pPr>
          </w:p>
        </w:tc>
      </w:tr>
      <w:tr w:rsidR="006A3667" w14:paraId="71D402C7" w14:textId="77777777">
        <w:tc>
          <w:tcPr>
            <w:tcW w:w="0" w:type="auto"/>
            <w:gridSpan w:val="3"/>
            <w:shd w:val="clear" w:color="auto" w:fill="FFFFFF"/>
            <w:tcMar>
              <w:top w:w="40" w:type="dxa"/>
              <w:left w:w="20" w:type="dxa"/>
              <w:bottom w:w="40" w:type="dxa"/>
              <w:right w:w="20" w:type="dxa"/>
            </w:tcMar>
            <w:vAlign w:val="bottom"/>
          </w:tcPr>
          <w:p w14:paraId="71D402BC" w14:textId="77777777" w:rsidR="006A3667" w:rsidRDefault="00045F32">
            <w:pPr>
              <w:textAlignment w:val="bottom"/>
            </w:pPr>
            <w:r>
              <w:rPr>
                <w:rFonts w:ascii="Arial" w:eastAsia="宋体" w:hAnsi="Arial" w:cs="Arial"/>
                <w:color w:val="000000"/>
                <w:sz w:val="14"/>
                <w:szCs w:val="14"/>
              </w:rPr>
              <w:t>Collateralized loan obligations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1D402BD" w14:textId="77777777" w:rsidR="006A3667" w:rsidRDefault="00045F32">
            <w:pPr>
              <w:jc w:val="right"/>
              <w:textAlignment w:val="bottom"/>
            </w:pPr>
            <w:r>
              <w:rPr>
                <w:rFonts w:ascii="Arial" w:eastAsia="宋体" w:hAnsi="Arial" w:cs="Arial"/>
                <w:b/>
                <w:bCs/>
                <w:color w:val="000000"/>
                <w:sz w:val="14"/>
                <w:szCs w:val="14"/>
              </w:rPr>
              <w:t>2,317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2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2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2C0" w14:textId="77777777" w:rsidR="006A3667" w:rsidRDefault="00045F32">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71D402C1" w14:textId="77777777" w:rsidR="006A3667" w:rsidRDefault="006A3667">
            <w:pPr>
              <w:jc w:val="right"/>
              <w:rPr>
                <w:rFonts w:ascii="宋体"/>
              </w:rPr>
            </w:pPr>
          </w:p>
        </w:tc>
        <w:tc>
          <w:tcPr>
            <w:tcW w:w="0" w:type="auto"/>
            <w:gridSpan w:val="3"/>
            <w:shd w:val="clear" w:color="auto" w:fill="auto"/>
            <w:vAlign w:val="bottom"/>
          </w:tcPr>
          <w:p w14:paraId="71D402C2" w14:textId="77777777" w:rsidR="006A3667" w:rsidRDefault="006A3667">
            <w:pPr>
              <w:rPr>
                <w:rFonts w:ascii="宋体"/>
                <w:vanish/>
              </w:rPr>
            </w:pPr>
          </w:p>
        </w:tc>
        <w:tc>
          <w:tcPr>
            <w:tcW w:w="0" w:type="auto"/>
            <w:gridSpan w:val="3"/>
            <w:shd w:val="clear" w:color="auto" w:fill="auto"/>
            <w:vAlign w:val="bottom"/>
          </w:tcPr>
          <w:p w14:paraId="71D402C3" w14:textId="77777777" w:rsidR="006A3667" w:rsidRDefault="006A3667">
            <w:pPr>
              <w:rPr>
                <w:rFonts w:ascii="宋体"/>
                <w:vanish/>
              </w:rPr>
            </w:pPr>
          </w:p>
        </w:tc>
        <w:tc>
          <w:tcPr>
            <w:tcW w:w="0" w:type="auto"/>
            <w:gridSpan w:val="3"/>
            <w:shd w:val="clear" w:color="auto" w:fill="auto"/>
            <w:vAlign w:val="bottom"/>
          </w:tcPr>
          <w:p w14:paraId="71D402C4" w14:textId="77777777" w:rsidR="006A3667" w:rsidRDefault="006A3667">
            <w:pPr>
              <w:rPr>
                <w:rFonts w:ascii="宋体"/>
                <w:vanish/>
              </w:rPr>
            </w:pPr>
          </w:p>
        </w:tc>
        <w:tc>
          <w:tcPr>
            <w:tcW w:w="0" w:type="auto"/>
            <w:gridSpan w:val="3"/>
            <w:shd w:val="clear" w:color="auto" w:fill="auto"/>
            <w:vAlign w:val="bottom"/>
          </w:tcPr>
          <w:p w14:paraId="71D402C5" w14:textId="77777777" w:rsidR="006A3667" w:rsidRDefault="006A3667">
            <w:pPr>
              <w:rPr>
                <w:rFonts w:ascii="宋体"/>
                <w:vanish/>
              </w:rPr>
            </w:pPr>
          </w:p>
        </w:tc>
        <w:tc>
          <w:tcPr>
            <w:tcW w:w="0" w:type="auto"/>
            <w:gridSpan w:val="3"/>
            <w:shd w:val="clear" w:color="auto" w:fill="auto"/>
            <w:vAlign w:val="bottom"/>
          </w:tcPr>
          <w:p w14:paraId="71D402C6" w14:textId="77777777" w:rsidR="006A3667" w:rsidRDefault="006A3667">
            <w:pPr>
              <w:rPr>
                <w:rFonts w:ascii="宋体"/>
                <w:vanish/>
              </w:rPr>
            </w:pPr>
          </w:p>
        </w:tc>
      </w:tr>
      <w:tr w:rsidR="006A3667" w14:paraId="71D402D3" w14:textId="77777777">
        <w:tc>
          <w:tcPr>
            <w:tcW w:w="0" w:type="auto"/>
            <w:gridSpan w:val="3"/>
            <w:shd w:val="clear" w:color="auto" w:fill="CCEEFF"/>
            <w:tcMar>
              <w:top w:w="40" w:type="dxa"/>
              <w:left w:w="20" w:type="dxa"/>
              <w:bottom w:w="40" w:type="dxa"/>
              <w:right w:w="20" w:type="dxa"/>
            </w:tcMar>
            <w:vAlign w:val="bottom"/>
          </w:tcPr>
          <w:p w14:paraId="71D402C8" w14:textId="77777777" w:rsidR="006A3667" w:rsidRDefault="00045F32">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1D402C9" w14:textId="77777777" w:rsidR="006A3667" w:rsidRDefault="00045F32">
            <w:pPr>
              <w:jc w:val="right"/>
              <w:textAlignment w:val="bottom"/>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2C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2C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2CC" w14:textId="77777777" w:rsidR="006A3667" w:rsidRDefault="00045F32">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71D402CD" w14:textId="77777777" w:rsidR="006A3667" w:rsidRDefault="006A3667">
            <w:pPr>
              <w:jc w:val="right"/>
              <w:rPr>
                <w:rFonts w:ascii="宋体"/>
              </w:rPr>
            </w:pPr>
          </w:p>
        </w:tc>
        <w:tc>
          <w:tcPr>
            <w:tcW w:w="0" w:type="auto"/>
            <w:gridSpan w:val="3"/>
            <w:shd w:val="clear" w:color="auto" w:fill="auto"/>
            <w:vAlign w:val="bottom"/>
          </w:tcPr>
          <w:p w14:paraId="71D402CE" w14:textId="77777777" w:rsidR="006A3667" w:rsidRDefault="006A3667">
            <w:pPr>
              <w:rPr>
                <w:rFonts w:ascii="宋体"/>
                <w:vanish/>
              </w:rPr>
            </w:pPr>
          </w:p>
        </w:tc>
        <w:tc>
          <w:tcPr>
            <w:tcW w:w="0" w:type="auto"/>
            <w:gridSpan w:val="3"/>
            <w:shd w:val="clear" w:color="auto" w:fill="auto"/>
            <w:vAlign w:val="bottom"/>
          </w:tcPr>
          <w:p w14:paraId="71D402CF" w14:textId="77777777" w:rsidR="006A3667" w:rsidRDefault="006A3667">
            <w:pPr>
              <w:rPr>
                <w:rFonts w:ascii="宋体"/>
                <w:vanish/>
              </w:rPr>
            </w:pPr>
          </w:p>
        </w:tc>
        <w:tc>
          <w:tcPr>
            <w:tcW w:w="0" w:type="auto"/>
            <w:gridSpan w:val="3"/>
            <w:shd w:val="clear" w:color="auto" w:fill="auto"/>
            <w:vAlign w:val="bottom"/>
          </w:tcPr>
          <w:p w14:paraId="71D402D0" w14:textId="77777777" w:rsidR="006A3667" w:rsidRDefault="006A3667">
            <w:pPr>
              <w:rPr>
                <w:rFonts w:ascii="宋体"/>
                <w:vanish/>
              </w:rPr>
            </w:pPr>
          </w:p>
        </w:tc>
        <w:tc>
          <w:tcPr>
            <w:tcW w:w="0" w:type="auto"/>
            <w:gridSpan w:val="3"/>
            <w:shd w:val="clear" w:color="auto" w:fill="auto"/>
            <w:vAlign w:val="bottom"/>
          </w:tcPr>
          <w:p w14:paraId="71D402D1" w14:textId="77777777" w:rsidR="006A3667" w:rsidRDefault="006A3667">
            <w:pPr>
              <w:rPr>
                <w:rFonts w:ascii="宋体"/>
                <w:vanish/>
              </w:rPr>
            </w:pPr>
          </w:p>
        </w:tc>
        <w:tc>
          <w:tcPr>
            <w:tcW w:w="0" w:type="auto"/>
            <w:gridSpan w:val="3"/>
            <w:shd w:val="clear" w:color="auto" w:fill="auto"/>
            <w:vAlign w:val="bottom"/>
          </w:tcPr>
          <w:p w14:paraId="71D402D2" w14:textId="77777777" w:rsidR="006A3667" w:rsidRDefault="006A3667">
            <w:pPr>
              <w:rPr>
                <w:rFonts w:ascii="宋体"/>
                <w:vanish/>
              </w:rPr>
            </w:pPr>
          </w:p>
        </w:tc>
      </w:tr>
      <w:tr w:rsidR="006A3667" w14:paraId="71D402DF" w14:textId="77777777">
        <w:tc>
          <w:tcPr>
            <w:tcW w:w="0" w:type="auto"/>
            <w:gridSpan w:val="3"/>
            <w:shd w:val="clear" w:color="auto" w:fill="FFFFFF"/>
            <w:tcMar>
              <w:top w:w="40" w:type="dxa"/>
              <w:left w:w="140" w:type="dxa"/>
              <w:bottom w:w="40" w:type="dxa"/>
              <w:right w:w="20" w:type="dxa"/>
            </w:tcMar>
            <w:vAlign w:val="bottom"/>
          </w:tcPr>
          <w:p w14:paraId="71D402D4"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02D5" w14:textId="77777777" w:rsidR="006A3667" w:rsidRDefault="00045F32">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2D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2D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2D8" w14:textId="77777777" w:rsidR="006A3667" w:rsidRDefault="00045F32">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71D402D9" w14:textId="77777777" w:rsidR="006A3667" w:rsidRDefault="006A3667">
            <w:pPr>
              <w:jc w:val="right"/>
              <w:rPr>
                <w:rFonts w:ascii="宋体"/>
              </w:rPr>
            </w:pPr>
          </w:p>
        </w:tc>
        <w:tc>
          <w:tcPr>
            <w:tcW w:w="0" w:type="auto"/>
            <w:gridSpan w:val="3"/>
            <w:shd w:val="clear" w:color="auto" w:fill="auto"/>
            <w:vAlign w:val="bottom"/>
          </w:tcPr>
          <w:p w14:paraId="71D402DA" w14:textId="77777777" w:rsidR="006A3667" w:rsidRDefault="006A3667">
            <w:pPr>
              <w:rPr>
                <w:rFonts w:ascii="宋体"/>
                <w:vanish/>
              </w:rPr>
            </w:pPr>
          </w:p>
        </w:tc>
        <w:tc>
          <w:tcPr>
            <w:tcW w:w="0" w:type="auto"/>
            <w:gridSpan w:val="3"/>
            <w:shd w:val="clear" w:color="auto" w:fill="auto"/>
            <w:vAlign w:val="bottom"/>
          </w:tcPr>
          <w:p w14:paraId="71D402DB" w14:textId="77777777" w:rsidR="006A3667" w:rsidRDefault="006A3667">
            <w:pPr>
              <w:rPr>
                <w:rFonts w:ascii="宋体"/>
                <w:vanish/>
              </w:rPr>
            </w:pPr>
          </w:p>
        </w:tc>
        <w:tc>
          <w:tcPr>
            <w:tcW w:w="0" w:type="auto"/>
            <w:gridSpan w:val="3"/>
            <w:shd w:val="clear" w:color="auto" w:fill="auto"/>
            <w:vAlign w:val="bottom"/>
          </w:tcPr>
          <w:p w14:paraId="71D402DC" w14:textId="77777777" w:rsidR="006A3667" w:rsidRDefault="006A3667">
            <w:pPr>
              <w:rPr>
                <w:rFonts w:ascii="宋体"/>
                <w:vanish/>
              </w:rPr>
            </w:pPr>
          </w:p>
        </w:tc>
        <w:tc>
          <w:tcPr>
            <w:tcW w:w="0" w:type="auto"/>
            <w:gridSpan w:val="3"/>
            <w:shd w:val="clear" w:color="auto" w:fill="auto"/>
            <w:vAlign w:val="bottom"/>
          </w:tcPr>
          <w:p w14:paraId="71D402DD" w14:textId="77777777" w:rsidR="006A3667" w:rsidRDefault="006A3667">
            <w:pPr>
              <w:rPr>
                <w:rFonts w:ascii="宋体"/>
                <w:vanish/>
              </w:rPr>
            </w:pPr>
          </w:p>
        </w:tc>
        <w:tc>
          <w:tcPr>
            <w:tcW w:w="0" w:type="auto"/>
            <w:gridSpan w:val="3"/>
            <w:shd w:val="clear" w:color="auto" w:fill="auto"/>
            <w:vAlign w:val="bottom"/>
          </w:tcPr>
          <w:p w14:paraId="71D402DE" w14:textId="77777777" w:rsidR="006A3667" w:rsidRDefault="006A3667">
            <w:pPr>
              <w:rPr>
                <w:rFonts w:ascii="宋体"/>
                <w:vanish/>
              </w:rPr>
            </w:pPr>
          </w:p>
        </w:tc>
      </w:tr>
      <w:tr w:rsidR="006A3667" w14:paraId="71D402EB" w14:textId="77777777">
        <w:tc>
          <w:tcPr>
            <w:tcW w:w="0" w:type="auto"/>
            <w:gridSpan w:val="3"/>
            <w:shd w:val="clear" w:color="auto" w:fill="CCEEFF"/>
            <w:tcMar>
              <w:top w:w="40" w:type="dxa"/>
              <w:left w:w="20" w:type="dxa"/>
              <w:bottom w:w="40" w:type="dxa"/>
              <w:right w:w="20" w:type="dxa"/>
            </w:tcMar>
            <w:vAlign w:val="bottom"/>
          </w:tcPr>
          <w:p w14:paraId="71D402E0" w14:textId="77777777" w:rsidR="006A3667" w:rsidRDefault="00045F32">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2E1" w14:textId="77777777" w:rsidR="006A3667" w:rsidRDefault="00045F32">
            <w:pPr>
              <w:jc w:val="right"/>
              <w:textAlignment w:val="bottom"/>
            </w:pPr>
            <w:r>
              <w:rPr>
                <w:rFonts w:ascii="Arial" w:eastAsia="宋体" w:hAnsi="Arial" w:cs="Arial"/>
                <w:b/>
                <w:bCs/>
                <w:color w:val="000000"/>
                <w:sz w:val="14"/>
                <w:szCs w:val="14"/>
              </w:rPr>
              <w:t>2,753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2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2E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2E4" w14:textId="77777777" w:rsidR="006A3667" w:rsidRDefault="00045F32">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2E5" w14:textId="77777777" w:rsidR="006A3667" w:rsidRDefault="006A3667">
            <w:pPr>
              <w:jc w:val="right"/>
              <w:rPr>
                <w:rFonts w:ascii="宋体"/>
              </w:rPr>
            </w:pPr>
          </w:p>
        </w:tc>
        <w:tc>
          <w:tcPr>
            <w:tcW w:w="0" w:type="auto"/>
            <w:gridSpan w:val="3"/>
            <w:shd w:val="clear" w:color="auto" w:fill="auto"/>
            <w:vAlign w:val="bottom"/>
          </w:tcPr>
          <w:p w14:paraId="71D402E6" w14:textId="77777777" w:rsidR="006A3667" w:rsidRDefault="006A3667">
            <w:pPr>
              <w:rPr>
                <w:rFonts w:ascii="宋体"/>
                <w:vanish/>
              </w:rPr>
            </w:pPr>
          </w:p>
        </w:tc>
        <w:tc>
          <w:tcPr>
            <w:tcW w:w="0" w:type="auto"/>
            <w:gridSpan w:val="3"/>
            <w:shd w:val="clear" w:color="auto" w:fill="auto"/>
            <w:vAlign w:val="bottom"/>
          </w:tcPr>
          <w:p w14:paraId="71D402E7" w14:textId="77777777" w:rsidR="006A3667" w:rsidRDefault="006A3667">
            <w:pPr>
              <w:rPr>
                <w:rFonts w:ascii="宋体"/>
                <w:vanish/>
              </w:rPr>
            </w:pPr>
          </w:p>
        </w:tc>
        <w:tc>
          <w:tcPr>
            <w:tcW w:w="0" w:type="auto"/>
            <w:gridSpan w:val="3"/>
            <w:shd w:val="clear" w:color="auto" w:fill="auto"/>
            <w:vAlign w:val="bottom"/>
          </w:tcPr>
          <w:p w14:paraId="71D402E8" w14:textId="77777777" w:rsidR="006A3667" w:rsidRDefault="006A3667">
            <w:pPr>
              <w:rPr>
                <w:rFonts w:ascii="宋体"/>
                <w:vanish/>
              </w:rPr>
            </w:pPr>
          </w:p>
        </w:tc>
        <w:tc>
          <w:tcPr>
            <w:tcW w:w="0" w:type="auto"/>
            <w:gridSpan w:val="3"/>
            <w:shd w:val="clear" w:color="auto" w:fill="auto"/>
            <w:vAlign w:val="bottom"/>
          </w:tcPr>
          <w:p w14:paraId="71D402E9" w14:textId="77777777" w:rsidR="006A3667" w:rsidRDefault="006A3667">
            <w:pPr>
              <w:rPr>
                <w:rFonts w:ascii="宋体"/>
                <w:vanish/>
              </w:rPr>
            </w:pPr>
          </w:p>
        </w:tc>
        <w:tc>
          <w:tcPr>
            <w:tcW w:w="0" w:type="auto"/>
            <w:gridSpan w:val="3"/>
            <w:shd w:val="clear" w:color="auto" w:fill="auto"/>
            <w:vAlign w:val="bottom"/>
          </w:tcPr>
          <w:p w14:paraId="71D402EA" w14:textId="77777777" w:rsidR="006A3667" w:rsidRDefault="006A3667">
            <w:pPr>
              <w:rPr>
                <w:rFonts w:ascii="宋体"/>
                <w:vanish/>
              </w:rPr>
            </w:pPr>
          </w:p>
        </w:tc>
      </w:tr>
      <w:tr w:rsidR="006A3667" w14:paraId="71D402F7" w14:textId="77777777">
        <w:tc>
          <w:tcPr>
            <w:tcW w:w="0" w:type="auto"/>
            <w:gridSpan w:val="3"/>
            <w:shd w:val="clear" w:color="auto" w:fill="FFFFFF"/>
            <w:tcMar>
              <w:top w:w="40" w:type="dxa"/>
              <w:left w:w="20" w:type="dxa"/>
              <w:bottom w:w="40" w:type="dxa"/>
              <w:right w:w="20" w:type="dxa"/>
            </w:tcMar>
            <w:vAlign w:val="bottom"/>
          </w:tcPr>
          <w:p w14:paraId="71D402EC" w14:textId="77777777" w:rsidR="006A3667" w:rsidRDefault="00045F32">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2ED" w14:textId="77777777" w:rsidR="006A3667" w:rsidRDefault="00045F32">
            <w:pPr>
              <w:jc w:val="right"/>
              <w:textAlignment w:val="bottom"/>
            </w:pPr>
            <w:r>
              <w:rPr>
                <w:rFonts w:ascii="Arial" w:eastAsia="宋体" w:hAnsi="Arial" w:cs="Arial"/>
                <w:b/>
                <w:bCs/>
                <w:color w:val="000000"/>
                <w:sz w:val="14"/>
                <w:szCs w:val="14"/>
              </w:rPr>
              <w:t>924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2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2E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2F0" w14:textId="77777777" w:rsidR="006A3667" w:rsidRDefault="00045F32">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2F1" w14:textId="77777777" w:rsidR="006A3667" w:rsidRDefault="006A3667">
            <w:pPr>
              <w:jc w:val="right"/>
              <w:rPr>
                <w:rFonts w:ascii="宋体"/>
              </w:rPr>
            </w:pPr>
          </w:p>
        </w:tc>
        <w:tc>
          <w:tcPr>
            <w:tcW w:w="0" w:type="auto"/>
            <w:gridSpan w:val="3"/>
            <w:shd w:val="clear" w:color="auto" w:fill="auto"/>
            <w:vAlign w:val="bottom"/>
          </w:tcPr>
          <w:p w14:paraId="71D402F2" w14:textId="77777777" w:rsidR="006A3667" w:rsidRDefault="006A3667">
            <w:pPr>
              <w:rPr>
                <w:rFonts w:ascii="宋体"/>
                <w:vanish/>
              </w:rPr>
            </w:pPr>
          </w:p>
        </w:tc>
        <w:tc>
          <w:tcPr>
            <w:tcW w:w="0" w:type="auto"/>
            <w:gridSpan w:val="3"/>
            <w:shd w:val="clear" w:color="auto" w:fill="auto"/>
            <w:vAlign w:val="bottom"/>
          </w:tcPr>
          <w:p w14:paraId="71D402F3" w14:textId="77777777" w:rsidR="006A3667" w:rsidRDefault="006A3667">
            <w:pPr>
              <w:rPr>
                <w:rFonts w:ascii="宋体"/>
                <w:vanish/>
              </w:rPr>
            </w:pPr>
          </w:p>
        </w:tc>
        <w:tc>
          <w:tcPr>
            <w:tcW w:w="0" w:type="auto"/>
            <w:gridSpan w:val="3"/>
            <w:shd w:val="clear" w:color="auto" w:fill="auto"/>
            <w:vAlign w:val="bottom"/>
          </w:tcPr>
          <w:p w14:paraId="71D402F4" w14:textId="77777777" w:rsidR="006A3667" w:rsidRDefault="006A3667">
            <w:pPr>
              <w:rPr>
                <w:rFonts w:ascii="宋体"/>
                <w:vanish/>
              </w:rPr>
            </w:pPr>
          </w:p>
        </w:tc>
        <w:tc>
          <w:tcPr>
            <w:tcW w:w="0" w:type="auto"/>
            <w:gridSpan w:val="3"/>
            <w:shd w:val="clear" w:color="auto" w:fill="auto"/>
            <w:vAlign w:val="bottom"/>
          </w:tcPr>
          <w:p w14:paraId="71D402F5" w14:textId="77777777" w:rsidR="006A3667" w:rsidRDefault="006A3667">
            <w:pPr>
              <w:rPr>
                <w:rFonts w:ascii="宋体"/>
                <w:vanish/>
              </w:rPr>
            </w:pPr>
          </w:p>
        </w:tc>
        <w:tc>
          <w:tcPr>
            <w:tcW w:w="0" w:type="auto"/>
            <w:gridSpan w:val="3"/>
            <w:shd w:val="clear" w:color="auto" w:fill="auto"/>
            <w:vAlign w:val="bottom"/>
          </w:tcPr>
          <w:p w14:paraId="71D402F6" w14:textId="77777777" w:rsidR="006A3667" w:rsidRDefault="006A3667">
            <w:pPr>
              <w:rPr>
                <w:rFonts w:ascii="宋体"/>
                <w:vanish/>
              </w:rPr>
            </w:pPr>
          </w:p>
        </w:tc>
      </w:tr>
      <w:tr w:rsidR="006A3667" w14:paraId="71D40301" w14:textId="77777777">
        <w:trPr>
          <w:hidden/>
        </w:trPr>
        <w:tc>
          <w:tcPr>
            <w:tcW w:w="0" w:type="auto"/>
            <w:gridSpan w:val="3"/>
            <w:shd w:val="clear" w:color="auto" w:fill="auto"/>
            <w:vAlign w:val="bottom"/>
          </w:tcPr>
          <w:p w14:paraId="71D402F8" w14:textId="77777777" w:rsidR="006A3667" w:rsidRDefault="006A3667">
            <w:pPr>
              <w:rPr>
                <w:rFonts w:ascii="宋体"/>
                <w:vanish/>
              </w:rPr>
            </w:pPr>
          </w:p>
        </w:tc>
        <w:tc>
          <w:tcPr>
            <w:tcW w:w="0" w:type="auto"/>
            <w:gridSpan w:val="3"/>
            <w:shd w:val="clear" w:color="auto" w:fill="auto"/>
            <w:vAlign w:val="bottom"/>
          </w:tcPr>
          <w:p w14:paraId="71D402F9" w14:textId="77777777" w:rsidR="006A3667" w:rsidRDefault="006A3667">
            <w:pPr>
              <w:rPr>
                <w:rFonts w:ascii="宋体"/>
                <w:vanish/>
              </w:rPr>
            </w:pPr>
          </w:p>
        </w:tc>
        <w:tc>
          <w:tcPr>
            <w:tcW w:w="0" w:type="auto"/>
            <w:gridSpan w:val="3"/>
            <w:shd w:val="clear" w:color="auto" w:fill="auto"/>
            <w:vAlign w:val="bottom"/>
          </w:tcPr>
          <w:p w14:paraId="71D402FA" w14:textId="77777777" w:rsidR="006A3667" w:rsidRDefault="006A3667">
            <w:pPr>
              <w:rPr>
                <w:rFonts w:ascii="宋体"/>
                <w:vanish/>
              </w:rPr>
            </w:pPr>
          </w:p>
        </w:tc>
        <w:tc>
          <w:tcPr>
            <w:tcW w:w="0" w:type="auto"/>
            <w:gridSpan w:val="3"/>
            <w:shd w:val="clear" w:color="auto" w:fill="auto"/>
            <w:vAlign w:val="bottom"/>
          </w:tcPr>
          <w:p w14:paraId="71D402FB" w14:textId="77777777" w:rsidR="006A3667" w:rsidRDefault="006A3667">
            <w:pPr>
              <w:rPr>
                <w:rFonts w:ascii="宋体"/>
                <w:vanish/>
              </w:rPr>
            </w:pPr>
          </w:p>
        </w:tc>
        <w:tc>
          <w:tcPr>
            <w:tcW w:w="0" w:type="auto"/>
            <w:gridSpan w:val="3"/>
            <w:shd w:val="clear" w:color="auto" w:fill="auto"/>
            <w:vAlign w:val="bottom"/>
          </w:tcPr>
          <w:p w14:paraId="71D402FC" w14:textId="77777777" w:rsidR="006A3667" w:rsidRDefault="006A3667">
            <w:pPr>
              <w:rPr>
                <w:rFonts w:ascii="宋体"/>
                <w:vanish/>
              </w:rPr>
            </w:pPr>
          </w:p>
        </w:tc>
        <w:tc>
          <w:tcPr>
            <w:tcW w:w="0" w:type="auto"/>
            <w:gridSpan w:val="3"/>
            <w:shd w:val="clear" w:color="auto" w:fill="auto"/>
            <w:vAlign w:val="bottom"/>
          </w:tcPr>
          <w:p w14:paraId="71D402FD" w14:textId="77777777" w:rsidR="006A3667" w:rsidRDefault="006A3667">
            <w:pPr>
              <w:rPr>
                <w:rFonts w:ascii="宋体"/>
                <w:vanish/>
              </w:rPr>
            </w:pPr>
          </w:p>
        </w:tc>
        <w:tc>
          <w:tcPr>
            <w:tcW w:w="0" w:type="auto"/>
            <w:gridSpan w:val="3"/>
            <w:shd w:val="clear" w:color="auto" w:fill="auto"/>
            <w:vAlign w:val="bottom"/>
          </w:tcPr>
          <w:p w14:paraId="71D402FE" w14:textId="77777777" w:rsidR="006A3667" w:rsidRDefault="006A3667">
            <w:pPr>
              <w:rPr>
                <w:rFonts w:ascii="宋体"/>
                <w:vanish/>
              </w:rPr>
            </w:pPr>
          </w:p>
        </w:tc>
        <w:tc>
          <w:tcPr>
            <w:tcW w:w="0" w:type="auto"/>
            <w:gridSpan w:val="3"/>
            <w:shd w:val="clear" w:color="auto" w:fill="auto"/>
            <w:vAlign w:val="bottom"/>
          </w:tcPr>
          <w:p w14:paraId="71D402FF" w14:textId="77777777" w:rsidR="006A3667" w:rsidRDefault="006A3667">
            <w:pPr>
              <w:rPr>
                <w:rFonts w:ascii="宋体"/>
                <w:vanish/>
              </w:rPr>
            </w:pPr>
          </w:p>
        </w:tc>
        <w:tc>
          <w:tcPr>
            <w:tcW w:w="0" w:type="auto"/>
            <w:gridSpan w:val="3"/>
            <w:shd w:val="clear" w:color="auto" w:fill="auto"/>
            <w:vAlign w:val="bottom"/>
          </w:tcPr>
          <w:p w14:paraId="71D40300" w14:textId="77777777" w:rsidR="006A3667" w:rsidRDefault="006A3667">
            <w:pPr>
              <w:rPr>
                <w:rFonts w:ascii="宋体"/>
                <w:vanish/>
              </w:rPr>
            </w:pPr>
          </w:p>
        </w:tc>
      </w:tr>
      <w:tr w:rsidR="006A3667" w14:paraId="71D4030D" w14:textId="77777777">
        <w:tc>
          <w:tcPr>
            <w:tcW w:w="0" w:type="auto"/>
            <w:gridSpan w:val="3"/>
            <w:shd w:val="clear" w:color="auto" w:fill="CCEEFF"/>
            <w:tcMar>
              <w:top w:w="40" w:type="dxa"/>
              <w:left w:w="20" w:type="dxa"/>
              <w:bottom w:w="40" w:type="dxa"/>
              <w:right w:w="20" w:type="dxa"/>
            </w:tcMar>
            <w:vAlign w:val="bottom"/>
          </w:tcPr>
          <w:p w14:paraId="71D40302" w14:textId="77777777" w:rsidR="006A3667" w:rsidRDefault="00045F32">
            <w:pPr>
              <w:textAlignment w:val="bottom"/>
            </w:pPr>
            <w:r>
              <w:rPr>
                <w:rFonts w:ascii="Arial" w:eastAsia="宋体" w:hAnsi="Arial" w:cs="Arial"/>
                <w:color w:val="000000"/>
                <w:sz w:val="14"/>
                <w:szCs w:val="14"/>
              </w:rPr>
              <w:t>Other U.S. debt securities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71D40303" w14:textId="77777777" w:rsidR="006A3667" w:rsidRDefault="00045F32">
            <w:pPr>
              <w:jc w:val="right"/>
              <w:textAlignment w:val="bottom"/>
            </w:pPr>
            <w:r>
              <w:rPr>
                <w:rFonts w:ascii="Arial" w:eastAsia="宋体" w:hAnsi="Arial" w:cs="Arial"/>
                <w:b/>
                <w:bCs/>
                <w:color w:val="000000"/>
                <w:sz w:val="14"/>
                <w:szCs w:val="14"/>
              </w:rPr>
              <w:t>990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3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30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306" w14:textId="77777777" w:rsidR="006A3667" w:rsidRDefault="00045F32">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71D40307" w14:textId="77777777" w:rsidR="006A3667" w:rsidRDefault="006A3667">
            <w:pPr>
              <w:jc w:val="right"/>
              <w:rPr>
                <w:rFonts w:ascii="宋体"/>
              </w:rPr>
            </w:pPr>
          </w:p>
        </w:tc>
        <w:tc>
          <w:tcPr>
            <w:tcW w:w="0" w:type="auto"/>
            <w:gridSpan w:val="3"/>
            <w:shd w:val="clear" w:color="auto" w:fill="auto"/>
            <w:vAlign w:val="bottom"/>
          </w:tcPr>
          <w:p w14:paraId="71D40308" w14:textId="77777777" w:rsidR="006A3667" w:rsidRDefault="006A3667">
            <w:pPr>
              <w:rPr>
                <w:rFonts w:ascii="宋体"/>
                <w:vanish/>
              </w:rPr>
            </w:pPr>
          </w:p>
        </w:tc>
        <w:tc>
          <w:tcPr>
            <w:tcW w:w="0" w:type="auto"/>
            <w:gridSpan w:val="3"/>
            <w:shd w:val="clear" w:color="auto" w:fill="auto"/>
            <w:vAlign w:val="bottom"/>
          </w:tcPr>
          <w:p w14:paraId="71D40309" w14:textId="77777777" w:rsidR="006A3667" w:rsidRDefault="006A3667">
            <w:pPr>
              <w:rPr>
                <w:rFonts w:ascii="宋体"/>
                <w:vanish/>
              </w:rPr>
            </w:pPr>
          </w:p>
        </w:tc>
        <w:tc>
          <w:tcPr>
            <w:tcW w:w="0" w:type="auto"/>
            <w:gridSpan w:val="3"/>
            <w:shd w:val="clear" w:color="auto" w:fill="auto"/>
            <w:vAlign w:val="bottom"/>
          </w:tcPr>
          <w:p w14:paraId="71D4030A" w14:textId="77777777" w:rsidR="006A3667" w:rsidRDefault="006A3667">
            <w:pPr>
              <w:rPr>
                <w:rFonts w:ascii="宋体"/>
                <w:vanish/>
              </w:rPr>
            </w:pPr>
          </w:p>
        </w:tc>
        <w:tc>
          <w:tcPr>
            <w:tcW w:w="0" w:type="auto"/>
            <w:gridSpan w:val="3"/>
            <w:shd w:val="clear" w:color="auto" w:fill="auto"/>
            <w:vAlign w:val="bottom"/>
          </w:tcPr>
          <w:p w14:paraId="71D4030B" w14:textId="77777777" w:rsidR="006A3667" w:rsidRDefault="006A3667">
            <w:pPr>
              <w:rPr>
                <w:rFonts w:ascii="宋体"/>
                <w:vanish/>
              </w:rPr>
            </w:pPr>
          </w:p>
        </w:tc>
        <w:tc>
          <w:tcPr>
            <w:tcW w:w="0" w:type="auto"/>
            <w:gridSpan w:val="3"/>
            <w:shd w:val="clear" w:color="auto" w:fill="auto"/>
            <w:vAlign w:val="bottom"/>
          </w:tcPr>
          <w:p w14:paraId="71D4030C" w14:textId="77777777" w:rsidR="006A3667" w:rsidRDefault="006A3667">
            <w:pPr>
              <w:rPr>
                <w:rFonts w:ascii="宋体"/>
                <w:vanish/>
              </w:rPr>
            </w:pPr>
          </w:p>
        </w:tc>
      </w:tr>
      <w:tr w:rsidR="006A3667" w14:paraId="71D40317" w14:textId="77777777">
        <w:trPr>
          <w:hidden/>
        </w:trPr>
        <w:tc>
          <w:tcPr>
            <w:tcW w:w="0" w:type="auto"/>
            <w:gridSpan w:val="3"/>
            <w:shd w:val="clear" w:color="auto" w:fill="auto"/>
            <w:vAlign w:val="bottom"/>
          </w:tcPr>
          <w:p w14:paraId="71D4030E" w14:textId="77777777" w:rsidR="006A3667" w:rsidRDefault="006A3667">
            <w:pPr>
              <w:rPr>
                <w:rFonts w:ascii="宋体"/>
                <w:vanish/>
              </w:rPr>
            </w:pPr>
          </w:p>
        </w:tc>
        <w:tc>
          <w:tcPr>
            <w:tcW w:w="0" w:type="auto"/>
            <w:gridSpan w:val="3"/>
            <w:shd w:val="clear" w:color="auto" w:fill="auto"/>
            <w:vAlign w:val="bottom"/>
          </w:tcPr>
          <w:p w14:paraId="71D4030F" w14:textId="77777777" w:rsidR="006A3667" w:rsidRDefault="006A3667">
            <w:pPr>
              <w:rPr>
                <w:rFonts w:ascii="宋体"/>
                <w:vanish/>
              </w:rPr>
            </w:pPr>
          </w:p>
        </w:tc>
        <w:tc>
          <w:tcPr>
            <w:tcW w:w="0" w:type="auto"/>
            <w:gridSpan w:val="3"/>
            <w:shd w:val="clear" w:color="auto" w:fill="auto"/>
            <w:vAlign w:val="bottom"/>
          </w:tcPr>
          <w:p w14:paraId="71D40310" w14:textId="77777777" w:rsidR="006A3667" w:rsidRDefault="006A3667">
            <w:pPr>
              <w:rPr>
                <w:rFonts w:ascii="宋体"/>
                <w:vanish/>
              </w:rPr>
            </w:pPr>
          </w:p>
        </w:tc>
        <w:tc>
          <w:tcPr>
            <w:tcW w:w="0" w:type="auto"/>
            <w:gridSpan w:val="3"/>
            <w:shd w:val="clear" w:color="auto" w:fill="auto"/>
            <w:vAlign w:val="bottom"/>
          </w:tcPr>
          <w:p w14:paraId="71D40311" w14:textId="77777777" w:rsidR="006A3667" w:rsidRDefault="006A3667">
            <w:pPr>
              <w:rPr>
                <w:rFonts w:ascii="宋体"/>
                <w:vanish/>
              </w:rPr>
            </w:pPr>
          </w:p>
        </w:tc>
        <w:tc>
          <w:tcPr>
            <w:tcW w:w="0" w:type="auto"/>
            <w:gridSpan w:val="3"/>
            <w:shd w:val="clear" w:color="auto" w:fill="auto"/>
            <w:vAlign w:val="bottom"/>
          </w:tcPr>
          <w:p w14:paraId="71D40312" w14:textId="77777777" w:rsidR="006A3667" w:rsidRDefault="006A3667">
            <w:pPr>
              <w:rPr>
                <w:rFonts w:ascii="宋体"/>
                <w:vanish/>
              </w:rPr>
            </w:pPr>
          </w:p>
        </w:tc>
        <w:tc>
          <w:tcPr>
            <w:tcW w:w="0" w:type="auto"/>
            <w:gridSpan w:val="3"/>
            <w:shd w:val="clear" w:color="auto" w:fill="auto"/>
            <w:vAlign w:val="bottom"/>
          </w:tcPr>
          <w:p w14:paraId="71D40313" w14:textId="77777777" w:rsidR="006A3667" w:rsidRDefault="006A3667">
            <w:pPr>
              <w:rPr>
                <w:rFonts w:ascii="宋体"/>
                <w:vanish/>
              </w:rPr>
            </w:pPr>
          </w:p>
        </w:tc>
        <w:tc>
          <w:tcPr>
            <w:tcW w:w="0" w:type="auto"/>
            <w:gridSpan w:val="3"/>
            <w:shd w:val="clear" w:color="auto" w:fill="auto"/>
            <w:vAlign w:val="bottom"/>
          </w:tcPr>
          <w:p w14:paraId="71D40314" w14:textId="77777777" w:rsidR="006A3667" w:rsidRDefault="006A3667">
            <w:pPr>
              <w:rPr>
                <w:rFonts w:ascii="宋体"/>
                <w:vanish/>
              </w:rPr>
            </w:pPr>
          </w:p>
        </w:tc>
        <w:tc>
          <w:tcPr>
            <w:tcW w:w="0" w:type="auto"/>
            <w:gridSpan w:val="3"/>
            <w:shd w:val="clear" w:color="auto" w:fill="auto"/>
            <w:vAlign w:val="bottom"/>
          </w:tcPr>
          <w:p w14:paraId="71D40315" w14:textId="77777777" w:rsidR="006A3667" w:rsidRDefault="006A3667">
            <w:pPr>
              <w:rPr>
                <w:rFonts w:ascii="宋体"/>
                <w:vanish/>
              </w:rPr>
            </w:pPr>
          </w:p>
        </w:tc>
        <w:tc>
          <w:tcPr>
            <w:tcW w:w="0" w:type="auto"/>
            <w:gridSpan w:val="3"/>
            <w:shd w:val="clear" w:color="auto" w:fill="auto"/>
            <w:vAlign w:val="bottom"/>
          </w:tcPr>
          <w:p w14:paraId="71D40316" w14:textId="77777777" w:rsidR="006A3667" w:rsidRDefault="006A3667">
            <w:pPr>
              <w:rPr>
                <w:rFonts w:ascii="宋体"/>
                <w:vanish/>
              </w:rPr>
            </w:pPr>
          </w:p>
        </w:tc>
      </w:tr>
      <w:tr w:rsidR="006A3667" w14:paraId="71D40321" w14:textId="77777777">
        <w:trPr>
          <w:hidden/>
        </w:trPr>
        <w:tc>
          <w:tcPr>
            <w:tcW w:w="0" w:type="auto"/>
            <w:gridSpan w:val="3"/>
            <w:shd w:val="clear" w:color="auto" w:fill="auto"/>
            <w:vAlign w:val="bottom"/>
          </w:tcPr>
          <w:p w14:paraId="71D40318" w14:textId="77777777" w:rsidR="006A3667" w:rsidRDefault="006A3667">
            <w:pPr>
              <w:rPr>
                <w:rFonts w:ascii="宋体"/>
                <w:vanish/>
              </w:rPr>
            </w:pPr>
          </w:p>
        </w:tc>
        <w:tc>
          <w:tcPr>
            <w:tcW w:w="0" w:type="auto"/>
            <w:gridSpan w:val="3"/>
            <w:shd w:val="clear" w:color="auto" w:fill="auto"/>
            <w:vAlign w:val="bottom"/>
          </w:tcPr>
          <w:p w14:paraId="71D40319" w14:textId="77777777" w:rsidR="006A3667" w:rsidRDefault="006A3667">
            <w:pPr>
              <w:rPr>
                <w:rFonts w:ascii="宋体"/>
                <w:vanish/>
              </w:rPr>
            </w:pPr>
          </w:p>
        </w:tc>
        <w:tc>
          <w:tcPr>
            <w:tcW w:w="0" w:type="auto"/>
            <w:gridSpan w:val="3"/>
            <w:shd w:val="clear" w:color="auto" w:fill="auto"/>
            <w:vAlign w:val="bottom"/>
          </w:tcPr>
          <w:p w14:paraId="71D4031A" w14:textId="77777777" w:rsidR="006A3667" w:rsidRDefault="006A3667">
            <w:pPr>
              <w:rPr>
                <w:rFonts w:ascii="宋体"/>
                <w:vanish/>
              </w:rPr>
            </w:pPr>
          </w:p>
        </w:tc>
        <w:tc>
          <w:tcPr>
            <w:tcW w:w="0" w:type="auto"/>
            <w:gridSpan w:val="3"/>
            <w:shd w:val="clear" w:color="auto" w:fill="auto"/>
            <w:vAlign w:val="bottom"/>
          </w:tcPr>
          <w:p w14:paraId="71D4031B" w14:textId="77777777" w:rsidR="006A3667" w:rsidRDefault="006A3667">
            <w:pPr>
              <w:rPr>
                <w:rFonts w:ascii="宋体"/>
                <w:vanish/>
              </w:rPr>
            </w:pPr>
          </w:p>
        </w:tc>
        <w:tc>
          <w:tcPr>
            <w:tcW w:w="0" w:type="auto"/>
            <w:gridSpan w:val="3"/>
            <w:shd w:val="clear" w:color="auto" w:fill="auto"/>
            <w:vAlign w:val="bottom"/>
          </w:tcPr>
          <w:p w14:paraId="71D4031C" w14:textId="77777777" w:rsidR="006A3667" w:rsidRDefault="006A3667">
            <w:pPr>
              <w:rPr>
                <w:rFonts w:ascii="宋体"/>
                <w:vanish/>
              </w:rPr>
            </w:pPr>
          </w:p>
        </w:tc>
        <w:tc>
          <w:tcPr>
            <w:tcW w:w="0" w:type="auto"/>
            <w:gridSpan w:val="3"/>
            <w:shd w:val="clear" w:color="auto" w:fill="auto"/>
            <w:vAlign w:val="bottom"/>
          </w:tcPr>
          <w:p w14:paraId="71D4031D" w14:textId="77777777" w:rsidR="006A3667" w:rsidRDefault="006A3667">
            <w:pPr>
              <w:rPr>
                <w:rFonts w:ascii="宋体"/>
                <w:vanish/>
              </w:rPr>
            </w:pPr>
          </w:p>
        </w:tc>
        <w:tc>
          <w:tcPr>
            <w:tcW w:w="0" w:type="auto"/>
            <w:gridSpan w:val="3"/>
            <w:shd w:val="clear" w:color="auto" w:fill="auto"/>
            <w:vAlign w:val="bottom"/>
          </w:tcPr>
          <w:p w14:paraId="71D4031E" w14:textId="77777777" w:rsidR="006A3667" w:rsidRDefault="006A3667">
            <w:pPr>
              <w:rPr>
                <w:rFonts w:ascii="宋体"/>
                <w:vanish/>
              </w:rPr>
            </w:pPr>
          </w:p>
        </w:tc>
        <w:tc>
          <w:tcPr>
            <w:tcW w:w="0" w:type="auto"/>
            <w:gridSpan w:val="3"/>
            <w:shd w:val="clear" w:color="auto" w:fill="auto"/>
            <w:vAlign w:val="bottom"/>
          </w:tcPr>
          <w:p w14:paraId="71D4031F" w14:textId="77777777" w:rsidR="006A3667" w:rsidRDefault="006A3667">
            <w:pPr>
              <w:rPr>
                <w:rFonts w:ascii="宋体"/>
                <w:vanish/>
              </w:rPr>
            </w:pPr>
          </w:p>
        </w:tc>
        <w:tc>
          <w:tcPr>
            <w:tcW w:w="0" w:type="auto"/>
            <w:gridSpan w:val="3"/>
            <w:shd w:val="clear" w:color="auto" w:fill="auto"/>
            <w:vAlign w:val="bottom"/>
          </w:tcPr>
          <w:p w14:paraId="71D40320" w14:textId="77777777" w:rsidR="006A3667" w:rsidRDefault="006A3667">
            <w:pPr>
              <w:rPr>
                <w:rFonts w:ascii="宋体"/>
                <w:vanish/>
              </w:rPr>
            </w:pPr>
          </w:p>
        </w:tc>
      </w:tr>
      <w:tr w:rsidR="006A3667" w14:paraId="71D4032B" w14:textId="77777777">
        <w:trPr>
          <w:hidden/>
        </w:trPr>
        <w:tc>
          <w:tcPr>
            <w:tcW w:w="0" w:type="auto"/>
            <w:gridSpan w:val="3"/>
            <w:shd w:val="clear" w:color="auto" w:fill="auto"/>
            <w:vAlign w:val="bottom"/>
          </w:tcPr>
          <w:p w14:paraId="71D40322" w14:textId="77777777" w:rsidR="006A3667" w:rsidRDefault="006A3667">
            <w:pPr>
              <w:rPr>
                <w:rFonts w:ascii="宋体"/>
                <w:vanish/>
              </w:rPr>
            </w:pPr>
          </w:p>
        </w:tc>
        <w:tc>
          <w:tcPr>
            <w:tcW w:w="0" w:type="auto"/>
            <w:gridSpan w:val="3"/>
            <w:shd w:val="clear" w:color="auto" w:fill="auto"/>
            <w:vAlign w:val="bottom"/>
          </w:tcPr>
          <w:p w14:paraId="71D40323" w14:textId="77777777" w:rsidR="006A3667" w:rsidRDefault="006A3667">
            <w:pPr>
              <w:rPr>
                <w:rFonts w:ascii="宋体"/>
                <w:vanish/>
              </w:rPr>
            </w:pPr>
          </w:p>
        </w:tc>
        <w:tc>
          <w:tcPr>
            <w:tcW w:w="0" w:type="auto"/>
            <w:gridSpan w:val="3"/>
            <w:shd w:val="clear" w:color="auto" w:fill="auto"/>
            <w:vAlign w:val="bottom"/>
          </w:tcPr>
          <w:p w14:paraId="71D40324" w14:textId="77777777" w:rsidR="006A3667" w:rsidRDefault="006A3667">
            <w:pPr>
              <w:rPr>
                <w:rFonts w:ascii="宋体"/>
                <w:vanish/>
              </w:rPr>
            </w:pPr>
          </w:p>
        </w:tc>
        <w:tc>
          <w:tcPr>
            <w:tcW w:w="0" w:type="auto"/>
            <w:gridSpan w:val="3"/>
            <w:shd w:val="clear" w:color="auto" w:fill="auto"/>
            <w:vAlign w:val="bottom"/>
          </w:tcPr>
          <w:p w14:paraId="71D40325" w14:textId="77777777" w:rsidR="006A3667" w:rsidRDefault="006A3667">
            <w:pPr>
              <w:rPr>
                <w:rFonts w:ascii="宋体"/>
                <w:vanish/>
              </w:rPr>
            </w:pPr>
          </w:p>
        </w:tc>
        <w:tc>
          <w:tcPr>
            <w:tcW w:w="0" w:type="auto"/>
            <w:gridSpan w:val="3"/>
            <w:shd w:val="clear" w:color="auto" w:fill="auto"/>
            <w:vAlign w:val="bottom"/>
          </w:tcPr>
          <w:p w14:paraId="71D40326" w14:textId="77777777" w:rsidR="006A3667" w:rsidRDefault="006A3667">
            <w:pPr>
              <w:rPr>
                <w:rFonts w:ascii="宋体"/>
                <w:vanish/>
              </w:rPr>
            </w:pPr>
          </w:p>
        </w:tc>
        <w:tc>
          <w:tcPr>
            <w:tcW w:w="0" w:type="auto"/>
            <w:gridSpan w:val="3"/>
            <w:shd w:val="clear" w:color="auto" w:fill="auto"/>
            <w:vAlign w:val="bottom"/>
          </w:tcPr>
          <w:p w14:paraId="71D40327" w14:textId="77777777" w:rsidR="006A3667" w:rsidRDefault="006A3667">
            <w:pPr>
              <w:rPr>
                <w:rFonts w:ascii="宋体"/>
                <w:vanish/>
              </w:rPr>
            </w:pPr>
          </w:p>
        </w:tc>
        <w:tc>
          <w:tcPr>
            <w:tcW w:w="0" w:type="auto"/>
            <w:gridSpan w:val="3"/>
            <w:shd w:val="clear" w:color="auto" w:fill="auto"/>
            <w:vAlign w:val="bottom"/>
          </w:tcPr>
          <w:p w14:paraId="71D40328" w14:textId="77777777" w:rsidR="006A3667" w:rsidRDefault="006A3667">
            <w:pPr>
              <w:rPr>
                <w:rFonts w:ascii="宋体"/>
                <w:vanish/>
              </w:rPr>
            </w:pPr>
          </w:p>
        </w:tc>
        <w:tc>
          <w:tcPr>
            <w:tcW w:w="0" w:type="auto"/>
            <w:gridSpan w:val="3"/>
            <w:shd w:val="clear" w:color="auto" w:fill="auto"/>
            <w:vAlign w:val="bottom"/>
          </w:tcPr>
          <w:p w14:paraId="71D40329" w14:textId="77777777" w:rsidR="006A3667" w:rsidRDefault="006A3667">
            <w:pPr>
              <w:rPr>
                <w:rFonts w:ascii="宋体"/>
                <w:vanish/>
              </w:rPr>
            </w:pPr>
          </w:p>
        </w:tc>
        <w:tc>
          <w:tcPr>
            <w:tcW w:w="0" w:type="auto"/>
            <w:gridSpan w:val="3"/>
            <w:shd w:val="clear" w:color="auto" w:fill="auto"/>
            <w:vAlign w:val="bottom"/>
          </w:tcPr>
          <w:p w14:paraId="71D4032A" w14:textId="77777777" w:rsidR="006A3667" w:rsidRDefault="006A3667">
            <w:pPr>
              <w:rPr>
                <w:rFonts w:ascii="宋体"/>
                <w:vanish/>
              </w:rPr>
            </w:pPr>
          </w:p>
        </w:tc>
      </w:tr>
      <w:tr w:rsidR="006A3667" w14:paraId="71D40335" w14:textId="77777777">
        <w:trPr>
          <w:hidden/>
        </w:trPr>
        <w:tc>
          <w:tcPr>
            <w:tcW w:w="0" w:type="auto"/>
            <w:gridSpan w:val="3"/>
            <w:shd w:val="clear" w:color="auto" w:fill="auto"/>
            <w:vAlign w:val="bottom"/>
          </w:tcPr>
          <w:p w14:paraId="71D4032C" w14:textId="77777777" w:rsidR="006A3667" w:rsidRDefault="006A3667">
            <w:pPr>
              <w:rPr>
                <w:rFonts w:ascii="宋体"/>
                <w:vanish/>
              </w:rPr>
            </w:pPr>
          </w:p>
        </w:tc>
        <w:tc>
          <w:tcPr>
            <w:tcW w:w="0" w:type="auto"/>
            <w:gridSpan w:val="3"/>
            <w:shd w:val="clear" w:color="auto" w:fill="auto"/>
            <w:vAlign w:val="bottom"/>
          </w:tcPr>
          <w:p w14:paraId="71D4032D" w14:textId="77777777" w:rsidR="006A3667" w:rsidRDefault="006A3667">
            <w:pPr>
              <w:rPr>
                <w:rFonts w:ascii="宋体"/>
                <w:vanish/>
              </w:rPr>
            </w:pPr>
          </w:p>
        </w:tc>
        <w:tc>
          <w:tcPr>
            <w:tcW w:w="0" w:type="auto"/>
            <w:gridSpan w:val="3"/>
            <w:shd w:val="clear" w:color="auto" w:fill="auto"/>
            <w:vAlign w:val="bottom"/>
          </w:tcPr>
          <w:p w14:paraId="71D4032E" w14:textId="77777777" w:rsidR="006A3667" w:rsidRDefault="006A3667">
            <w:pPr>
              <w:rPr>
                <w:rFonts w:ascii="宋体"/>
                <w:vanish/>
              </w:rPr>
            </w:pPr>
          </w:p>
        </w:tc>
        <w:tc>
          <w:tcPr>
            <w:tcW w:w="0" w:type="auto"/>
            <w:gridSpan w:val="3"/>
            <w:shd w:val="clear" w:color="auto" w:fill="auto"/>
            <w:vAlign w:val="bottom"/>
          </w:tcPr>
          <w:p w14:paraId="71D4032F" w14:textId="77777777" w:rsidR="006A3667" w:rsidRDefault="006A3667">
            <w:pPr>
              <w:rPr>
                <w:rFonts w:ascii="宋体"/>
                <w:vanish/>
              </w:rPr>
            </w:pPr>
          </w:p>
        </w:tc>
        <w:tc>
          <w:tcPr>
            <w:tcW w:w="0" w:type="auto"/>
            <w:gridSpan w:val="3"/>
            <w:shd w:val="clear" w:color="auto" w:fill="auto"/>
            <w:vAlign w:val="bottom"/>
          </w:tcPr>
          <w:p w14:paraId="71D40330" w14:textId="77777777" w:rsidR="006A3667" w:rsidRDefault="006A3667">
            <w:pPr>
              <w:rPr>
                <w:rFonts w:ascii="宋体"/>
                <w:vanish/>
              </w:rPr>
            </w:pPr>
          </w:p>
        </w:tc>
        <w:tc>
          <w:tcPr>
            <w:tcW w:w="0" w:type="auto"/>
            <w:gridSpan w:val="3"/>
            <w:shd w:val="clear" w:color="auto" w:fill="auto"/>
            <w:vAlign w:val="bottom"/>
          </w:tcPr>
          <w:p w14:paraId="71D40331" w14:textId="77777777" w:rsidR="006A3667" w:rsidRDefault="006A3667">
            <w:pPr>
              <w:rPr>
                <w:rFonts w:ascii="宋体"/>
                <w:vanish/>
              </w:rPr>
            </w:pPr>
          </w:p>
        </w:tc>
        <w:tc>
          <w:tcPr>
            <w:tcW w:w="0" w:type="auto"/>
            <w:gridSpan w:val="3"/>
            <w:shd w:val="clear" w:color="auto" w:fill="auto"/>
            <w:vAlign w:val="bottom"/>
          </w:tcPr>
          <w:p w14:paraId="71D40332" w14:textId="77777777" w:rsidR="006A3667" w:rsidRDefault="006A3667">
            <w:pPr>
              <w:rPr>
                <w:rFonts w:ascii="宋体"/>
                <w:vanish/>
              </w:rPr>
            </w:pPr>
          </w:p>
        </w:tc>
        <w:tc>
          <w:tcPr>
            <w:tcW w:w="0" w:type="auto"/>
            <w:gridSpan w:val="3"/>
            <w:shd w:val="clear" w:color="auto" w:fill="auto"/>
            <w:vAlign w:val="bottom"/>
          </w:tcPr>
          <w:p w14:paraId="71D40333" w14:textId="77777777" w:rsidR="006A3667" w:rsidRDefault="006A3667">
            <w:pPr>
              <w:rPr>
                <w:rFonts w:ascii="宋体"/>
                <w:vanish/>
              </w:rPr>
            </w:pPr>
          </w:p>
        </w:tc>
        <w:tc>
          <w:tcPr>
            <w:tcW w:w="0" w:type="auto"/>
            <w:gridSpan w:val="3"/>
            <w:shd w:val="clear" w:color="auto" w:fill="auto"/>
            <w:vAlign w:val="bottom"/>
          </w:tcPr>
          <w:p w14:paraId="71D40334" w14:textId="77777777" w:rsidR="006A3667" w:rsidRDefault="006A3667">
            <w:pPr>
              <w:rPr>
                <w:rFonts w:ascii="宋体"/>
                <w:vanish/>
              </w:rPr>
            </w:pPr>
          </w:p>
        </w:tc>
      </w:tr>
      <w:tr w:rsidR="006A3667" w14:paraId="71D40343" w14:textId="77777777">
        <w:tc>
          <w:tcPr>
            <w:tcW w:w="0" w:type="auto"/>
            <w:gridSpan w:val="3"/>
            <w:shd w:val="clear" w:color="auto" w:fill="FFFFFF"/>
            <w:tcMar>
              <w:top w:w="40" w:type="dxa"/>
              <w:left w:w="20" w:type="dxa"/>
              <w:bottom w:w="40" w:type="dxa"/>
              <w:right w:w="20" w:type="dxa"/>
            </w:tcMar>
            <w:vAlign w:val="bottom"/>
          </w:tcPr>
          <w:p w14:paraId="71D40336" w14:textId="77777777" w:rsidR="006A3667" w:rsidRDefault="00045F32">
            <w:pPr>
              <w:textAlignment w:val="bottom"/>
            </w:pPr>
            <w:r>
              <w:rPr>
                <w:rFonts w:ascii="Arial" w:eastAsia="宋体" w:hAnsi="Arial" w:cs="Arial"/>
                <w:color w:val="000000"/>
                <w:sz w:val="14"/>
                <w:szCs w:val="14"/>
              </w:rPr>
              <w:t>Total available-for-sale securities</w:t>
            </w:r>
            <w:r>
              <w:rPr>
                <w:rFonts w:ascii="Arial" w:eastAsia="宋体" w:hAnsi="Arial" w:cs="Arial"/>
                <w:color w:val="000000"/>
                <w:sz w:val="9"/>
                <w:szCs w:val="9"/>
              </w:rPr>
              <w:t>(6)(7)</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0337"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338" w14:textId="77777777" w:rsidR="006A3667" w:rsidRDefault="00045F32">
            <w:pPr>
              <w:jc w:val="right"/>
              <w:textAlignment w:val="bottom"/>
            </w:pPr>
            <w:r>
              <w:rPr>
                <w:rFonts w:ascii="Arial" w:eastAsia="宋体" w:hAnsi="Arial" w:cs="Arial"/>
                <w:b/>
                <w:bCs/>
                <w:color w:val="000000"/>
                <w:sz w:val="14"/>
                <w:szCs w:val="14"/>
              </w:rPr>
              <w:t>40,986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3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33A"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33B"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33C" w14:textId="77777777" w:rsidR="006A3667" w:rsidRDefault="00045F32">
            <w:pPr>
              <w:jc w:val="right"/>
              <w:textAlignment w:val="bottom"/>
            </w:pPr>
            <w:r>
              <w:rPr>
                <w:rFonts w:ascii="Arial" w:eastAsia="宋体" w:hAnsi="Arial" w:cs="Arial"/>
                <w:color w:val="000000"/>
                <w:sz w:val="14"/>
                <w:szCs w:val="14"/>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33D" w14:textId="77777777" w:rsidR="006A3667" w:rsidRDefault="006A3667">
            <w:pPr>
              <w:jc w:val="right"/>
              <w:rPr>
                <w:rFonts w:ascii="宋体"/>
              </w:rPr>
            </w:pPr>
          </w:p>
        </w:tc>
        <w:tc>
          <w:tcPr>
            <w:tcW w:w="0" w:type="auto"/>
            <w:gridSpan w:val="3"/>
            <w:shd w:val="clear" w:color="auto" w:fill="auto"/>
            <w:vAlign w:val="bottom"/>
          </w:tcPr>
          <w:p w14:paraId="71D4033E" w14:textId="77777777" w:rsidR="006A3667" w:rsidRDefault="006A3667">
            <w:pPr>
              <w:rPr>
                <w:rFonts w:ascii="宋体"/>
                <w:vanish/>
              </w:rPr>
            </w:pPr>
          </w:p>
        </w:tc>
        <w:tc>
          <w:tcPr>
            <w:tcW w:w="0" w:type="auto"/>
            <w:gridSpan w:val="3"/>
            <w:shd w:val="clear" w:color="auto" w:fill="auto"/>
            <w:vAlign w:val="bottom"/>
          </w:tcPr>
          <w:p w14:paraId="71D4033F" w14:textId="77777777" w:rsidR="006A3667" w:rsidRDefault="006A3667">
            <w:pPr>
              <w:rPr>
                <w:rFonts w:ascii="宋体"/>
                <w:vanish/>
              </w:rPr>
            </w:pPr>
          </w:p>
        </w:tc>
        <w:tc>
          <w:tcPr>
            <w:tcW w:w="0" w:type="auto"/>
            <w:gridSpan w:val="3"/>
            <w:shd w:val="clear" w:color="auto" w:fill="auto"/>
            <w:vAlign w:val="bottom"/>
          </w:tcPr>
          <w:p w14:paraId="71D40340" w14:textId="77777777" w:rsidR="006A3667" w:rsidRDefault="006A3667">
            <w:pPr>
              <w:rPr>
                <w:rFonts w:ascii="宋体"/>
                <w:vanish/>
              </w:rPr>
            </w:pPr>
          </w:p>
        </w:tc>
        <w:tc>
          <w:tcPr>
            <w:tcW w:w="0" w:type="auto"/>
            <w:gridSpan w:val="3"/>
            <w:shd w:val="clear" w:color="auto" w:fill="auto"/>
            <w:vAlign w:val="bottom"/>
          </w:tcPr>
          <w:p w14:paraId="71D40341" w14:textId="77777777" w:rsidR="006A3667" w:rsidRDefault="006A3667">
            <w:pPr>
              <w:rPr>
                <w:rFonts w:ascii="宋体"/>
                <w:vanish/>
              </w:rPr>
            </w:pPr>
          </w:p>
        </w:tc>
        <w:tc>
          <w:tcPr>
            <w:tcW w:w="0" w:type="auto"/>
            <w:gridSpan w:val="3"/>
            <w:shd w:val="clear" w:color="auto" w:fill="auto"/>
            <w:vAlign w:val="bottom"/>
          </w:tcPr>
          <w:p w14:paraId="71D40342" w14:textId="77777777" w:rsidR="006A3667" w:rsidRDefault="006A3667">
            <w:pPr>
              <w:rPr>
                <w:rFonts w:ascii="宋体"/>
                <w:vanish/>
              </w:rPr>
            </w:pPr>
          </w:p>
        </w:tc>
      </w:tr>
      <w:tr w:rsidR="006A3667" w14:paraId="71D4034D" w14:textId="77777777">
        <w:tc>
          <w:tcPr>
            <w:tcW w:w="0" w:type="auto"/>
            <w:gridSpan w:val="3"/>
            <w:shd w:val="clear" w:color="auto" w:fill="CCEEFF"/>
            <w:tcMar>
              <w:top w:w="40" w:type="dxa"/>
              <w:left w:w="20" w:type="dxa"/>
              <w:bottom w:w="40" w:type="dxa"/>
              <w:right w:w="20" w:type="dxa"/>
            </w:tcMar>
            <w:vAlign w:val="bottom"/>
          </w:tcPr>
          <w:p w14:paraId="71D40344" w14:textId="77777777" w:rsidR="006A3667" w:rsidRDefault="00045F32">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034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0346"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0347" w14:textId="77777777" w:rsidR="006A3667" w:rsidRDefault="006A3667">
            <w:pPr>
              <w:rPr>
                <w:rFonts w:ascii="宋体"/>
              </w:rPr>
            </w:pPr>
          </w:p>
        </w:tc>
        <w:tc>
          <w:tcPr>
            <w:tcW w:w="0" w:type="auto"/>
            <w:gridSpan w:val="3"/>
            <w:shd w:val="clear" w:color="auto" w:fill="auto"/>
            <w:vAlign w:val="bottom"/>
          </w:tcPr>
          <w:p w14:paraId="71D40348" w14:textId="77777777" w:rsidR="006A3667" w:rsidRDefault="006A3667">
            <w:pPr>
              <w:rPr>
                <w:rFonts w:ascii="宋体"/>
                <w:vanish/>
              </w:rPr>
            </w:pPr>
          </w:p>
        </w:tc>
        <w:tc>
          <w:tcPr>
            <w:tcW w:w="0" w:type="auto"/>
            <w:gridSpan w:val="3"/>
            <w:shd w:val="clear" w:color="auto" w:fill="auto"/>
            <w:vAlign w:val="bottom"/>
          </w:tcPr>
          <w:p w14:paraId="71D40349" w14:textId="77777777" w:rsidR="006A3667" w:rsidRDefault="006A3667">
            <w:pPr>
              <w:rPr>
                <w:rFonts w:ascii="宋体"/>
                <w:vanish/>
              </w:rPr>
            </w:pPr>
          </w:p>
        </w:tc>
        <w:tc>
          <w:tcPr>
            <w:tcW w:w="0" w:type="auto"/>
            <w:gridSpan w:val="3"/>
            <w:shd w:val="clear" w:color="auto" w:fill="auto"/>
            <w:vAlign w:val="bottom"/>
          </w:tcPr>
          <w:p w14:paraId="71D4034A" w14:textId="77777777" w:rsidR="006A3667" w:rsidRDefault="006A3667">
            <w:pPr>
              <w:rPr>
                <w:rFonts w:ascii="宋体"/>
                <w:vanish/>
              </w:rPr>
            </w:pPr>
          </w:p>
        </w:tc>
        <w:tc>
          <w:tcPr>
            <w:tcW w:w="0" w:type="auto"/>
            <w:gridSpan w:val="3"/>
            <w:shd w:val="clear" w:color="auto" w:fill="auto"/>
            <w:vAlign w:val="bottom"/>
          </w:tcPr>
          <w:p w14:paraId="71D4034B" w14:textId="77777777" w:rsidR="006A3667" w:rsidRDefault="006A3667">
            <w:pPr>
              <w:rPr>
                <w:rFonts w:ascii="宋体"/>
                <w:vanish/>
              </w:rPr>
            </w:pPr>
          </w:p>
        </w:tc>
        <w:tc>
          <w:tcPr>
            <w:tcW w:w="0" w:type="auto"/>
            <w:gridSpan w:val="3"/>
            <w:shd w:val="clear" w:color="auto" w:fill="auto"/>
            <w:vAlign w:val="bottom"/>
          </w:tcPr>
          <w:p w14:paraId="71D4034C" w14:textId="77777777" w:rsidR="006A3667" w:rsidRDefault="006A3667">
            <w:pPr>
              <w:rPr>
                <w:rFonts w:ascii="宋体"/>
                <w:vanish/>
              </w:rPr>
            </w:pPr>
          </w:p>
        </w:tc>
      </w:tr>
      <w:tr w:rsidR="006A3667" w14:paraId="71D40357" w14:textId="77777777">
        <w:tc>
          <w:tcPr>
            <w:tcW w:w="0" w:type="auto"/>
            <w:gridSpan w:val="3"/>
            <w:shd w:val="clear" w:color="auto" w:fill="FFFFFF"/>
            <w:tcMar>
              <w:top w:w="40" w:type="dxa"/>
              <w:left w:w="20" w:type="dxa"/>
              <w:bottom w:w="40" w:type="dxa"/>
              <w:right w:w="20" w:type="dxa"/>
            </w:tcMar>
            <w:vAlign w:val="bottom"/>
          </w:tcPr>
          <w:p w14:paraId="71D4034E" w14:textId="77777777" w:rsidR="006A3667" w:rsidRDefault="00045F32">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71D4034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35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351" w14:textId="77777777" w:rsidR="006A3667" w:rsidRDefault="006A3667">
            <w:pPr>
              <w:rPr>
                <w:rFonts w:ascii="宋体"/>
              </w:rPr>
            </w:pPr>
          </w:p>
        </w:tc>
        <w:tc>
          <w:tcPr>
            <w:tcW w:w="0" w:type="auto"/>
            <w:gridSpan w:val="3"/>
            <w:shd w:val="clear" w:color="auto" w:fill="auto"/>
            <w:vAlign w:val="bottom"/>
          </w:tcPr>
          <w:p w14:paraId="71D40352" w14:textId="77777777" w:rsidR="006A3667" w:rsidRDefault="006A3667">
            <w:pPr>
              <w:rPr>
                <w:rFonts w:ascii="宋体"/>
                <w:vanish/>
              </w:rPr>
            </w:pPr>
          </w:p>
        </w:tc>
        <w:tc>
          <w:tcPr>
            <w:tcW w:w="0" w:type="auto"/>
            <w:gridSpan w:val="3"/>
            <w:shd w:val="clear" w:color="auto" w:fill="auto"/>
            <w:vAlign w:val="bottom"/>
          </w:tcPr>
          <w:p w14:paraId="71D40353" w14:textId="77777777" w:rsidR="006A3667" w:rsidRDefault="006A3667">
            <w:pPr>
              <w:rPr>
                <w:rFonts w:ascii="宋体"/>
                <w:vanish/>
              </w:rPr>
            </w:pPr>
          </w:p>
        </w:tc>
        <w:tc>
          <w:tcPr>
            <w:tcW w:w="0" w:type="auto"/>
            <w:gridSpan w:val="3"/>
            <w:shd w:val="clear" w:color="auto" w:fill="auto"/>
            <w:vAlign w:val="bottom"/>
          </w:tcPr>
          <w:p w14:paraId="71D40354" w14:textId="77777777" w:rsidR="006A3667" w:rsidRDefault="006A3667">
            <w:pPr>
              <w:rPr>
                <w:rFonts w:ascii="宋体"/>
                <w:vanish/>
              </w:rPr>
            </w:pPr>
          </w:p>
        </w:tc>
        <w:tc>
          <w:tcPr>
            <w:tcW w:w="0" w:type="auto"/>
            <w:gridSpan w:val="3"/>
            <w:shd w:val="clear" w:color="auto" w:fill="auto"/>
            <w:vAlign w:val="bottom"/>
          </w:tcPr>
          <w:p w14:paraId="71D40355" w14:textId="77777777" w:rsidR="006A3667" w:rsidRDefault="006A3667">
            <w:pPr>
              <w:rPr>
                <w:rFonts w:ascii="宋体"/>
                <w:vanish/>
              </w:rPr>
            </w:pPr>
          </w:p>
        </w:tc>
        <w:tc>
          <w:tcPr>
            <w:tcW w:w="0" w:type="auto"/>
            <w:gridSpan w:val="3"/>
            <w:shd w:val="clear" w:color="auto" w:fill="auto"/>
            <w:vAlign w:val="bottom"/>
          </w:tcPr>
          <w:p w14:paraId="71D40356" w14:textId="77777777" w:rsidR="006A3667" w:rsidRDefault="006A3667">
            <w:pPr>
              <w:rPr>
                <w:rFonts w:ascii="宋体"/>
                <w:vanish/>
              </w:rPr>
            </w:pPr>
          </w:p>
        </w:tc>
      </w:tr>
      <w:tr w:rsidR="006A3667" w14:paraId="71D40365" w14:textId="77777777">
        <w:tc>
          <w:tcPr>
            <w:tcW w:w="0" w:type="auto"/>
            <w:gridSpan w:val="3"/>
            <w:shd w:val="clear" w:color="auto" w:fill="CCEEFF"/>
            <w:tcMar>
              <w:top w:w="40" w:type="dxa"/>
              <w:left w:w="140" w:type="dxa"/>
              <w:bottom w:w="40" w:type="dxa"/>
              <w:right w:w="20" w:type="dxa"/>
            </w:tcMar>
            <w:vAlign w:val="bottom"/>
          </w:tcPr>
          <w:p w14:paraId="71D40358" w14:textId="77777777" w:rsidR="006A3667" w:rsidRDefault="00045F32">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71D40359"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35A" w14:textId="77777777" w:rsidR="006A3667" w:rsidRDefault="00045F32">
            <w:pPr>
              <w:jc w:val="right"/>
              <w:textAlignment w:val="bottom"/>
            </w:pPr>
            <w:r>
              <w:rPr>
                <w:rFonts w:ascii="Arial" w:eastAsia="宋体" w:hAnsi="Arial" w:cs="Arial"/>
                <w:b/>
                <w:bCs/>
                <w:color w:val="000000"/>
                <w:sz w:val="14"/>
                <w:szCs w:val="14"/>
              </w:rPr>
              <w:t>11,637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3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35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35D"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035E" w14:textId="77777777" w:rsidR="006A3667" w:rsidRDefault="00045F32">
            <w:pPr>
              <w:jc w:val="right"/>
              <w:textAlignment w:val="bottom"/>
            </w:pPr>
            <w:r>
              <w:rPr>
                <w:rFonts w:ascii="Arial" w:eastAsia="宋体" w:hAnsi="Arial" w:cs="Arial"/>
                <w:color w:val="000000"/>
                <w:sz w:val="14"/>
                <w:szCs w:val="14"/>
              </w:rPr>
              <w:t>2,170 </w:t>
            </w:r>
          </w:p>
        </w:tc>
        <w:tc>
          <w:tcPr>
            <w:tcW w:w="0" w:type="auto"/>
            <w:shd w:val="clear" w:color="auto" w:fill="CCEEFF"/>
            <w:tcMar>
              <w:top w:w="40" w:type="dxa"/>
              <w:left w:w="0" w:type="dxa"/>
              <w:bottom w:w="40" w:type="dxa"/>
              <w:right w:w="20" w:type="dxa"/>
            </w:tcMar>
            <w:vAlign w:val="bottom"/>
          </w:tcPr>
          <w:p w14:paraId="71D4035F" w14:textId="77777777" w:rsidR="006A3667" w:rsidRDefault="006A3667">
            <w:pPr>
              <w:jc w:val="right"/>
              <w:rPr>
                <w:rFonts w:ascii="宋体"/>
              </w:rPr>
            </w:pPr>
          </w:p>
        </w:tc>
        <w:tc>
          <w:tcPr>
            <w:tcW w:w="0" w:type="auto"/>
            <w:gridSpan w:val="3"/>
            <w:shd w:val="clear" w:color="auto" w:fill="auto"/>
            <w:vAlign w:val="bottom"/>
          </w:tcPr>
          <w:p w14:paraId="71D40360" w14:textId="77777777" w:rsidR="006A3667" w:rsidRDefault="006A3667">
            <w:pPr>
              <w:rPr>
                <w:rFonts w:ascii="宋体"/>
                <w:vanish/>
              </w:rPr>
            </w:pPr>
          </w:p>
        </w:tc>
        <w:tc>
          <w:tcPr>
            <w:tcW w:w="0" w:type="auto"/>
            <w:gridSpan w:val="3"/>
            <w:shd w:val="clear" w:color="auto" w:fill="auto"/>
            <w:vAlign w:val="bottom"/>
          </w:tcPr>
          <w:p w14:paraId="71D40361" w14:textId="77777777" w:rsidR="006A3667" w:rsidRDefault="006A3667">
            <w:pPr>
              <w:rPr>
                <w:rFonts w:ascii="宋体"/>
                <w:vanish/>
              </w:rPr>
            </w:pPr>
          </w:p>
        </w:tc>
        <w:tc>
          <w:tcPr>
            <w:tcW w:w="0" w:type="auto"/>
            <w:gridSpan w:val="3"/>
            <w:shd w:val="clear" w:color="auto" w:fill="auto"/>
            <w:vAlign w:val="bottom"/>
          </w:tcPr>
          <w:p w14:paraId="71D40362" w14:textId="77777777" w:rsidR="006A3667" w:rsidRDefault="006A3667">
            <w:pPr>
              <w:rPr>
                <w:rFonts w:ascii="宋体"/>
                <w:vanish/>
              </w:rPr>
            </w:pPr>
          </w:p>
        </w:tc>
        <w:tc>
          <w:tcPr>
            <w:tcW w:w="0" w:type="auto"/>
            <w:gridSpan w:val="3"/>
            <w:shd w:val="clear" w:color="auto" w:fill="auto"/>
            <w:vAlign w:val="bottom"/>
          </w:tcPr>
          <w:p w14:paraId="71D40363" w14:textId="77777777" w:rsidR="006A3667" w:rsidRDefault="006A3667">
            <w:pPr>
              <w:rPr>
                <w:rFonts w:ascii="宋体"/>
                <w:vanish/>
              </w:rPr>
            </w:pPr>
          </w:p>
        </w:tc>
        <w:tc>
          <w:tcPr>
            <w:tcW w:w="0" w:type="auto"/>
            <w:gridSpan w:val="3"/>
            <w:shd w:val="clear" w:color="auto" w:fill="auto"/>
            <w:vAlign w:val="bottom"/>
          </w:tcPr>
          <w:p w14:paraId="71D40364" w14:textId="77777777" w:rsidR="006A3667" w:rsidRDefault="006A3667">
            <w:pPr>
              <w:rPr>
                <w:rFonts w:ascii="宋体"/>
                <w:vanish/>
              </w:rPr>
            </w:pPr>
          </w:p>
        </w:tc>
      </w:tr>
      <w:tr w:rsidR="006A3667" w14:paraId="71D40371" w14:textId="77777777">
        <w:tc>
          <w:tcPr>
            <w:tcW w:w="0" w:type="auto"/>
            <w:gridSpan w:val="3"/>
            <w:shd w:val="clear" w:color="auto" w:fill="FFFFFF"/>
            <w:tcMar>
              <w:top w:w="40" w:type="dxa"/>
              <w:left w:w="140" w:type="dxa"/>
              <w:bottom w:w="40" w:type="dxa"/>
              <w:right w:w="20" w:type="dxa"/>
            </w:tcMar>
            <w:vAlign w:val="bottom"/>
          </w:tcPr>
          <w:p w14:paraId="71D40366" w14:textId="77777777" w:rsidR="006A3667" w:rsidRDefault="00045F32">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71D40367" w14:textId="77777777" w:rsidR="006A3667" w:rsidRDefault="00045F32">
            <w:pPr>
              <w:jc w:val="right"/>
              <w:textAlignment w:val="bottom"/>
            </w:pPr>
            <w:r>
              <w:rPr>
                <w:rFonts w:ascii="Arial" w:eastAsia="宋体" w:hAnsi="Arial" w:cs="Arial"/>
                <w:b/>
                <w:bCs/>
                <w:color w:val="000000"/>
                <w:sz w:val="14"/>
                <w:szCs w:val="14"/>
              </w:rPr>
              <w:t>42,967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36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36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36A" w14:textId="77777777" w:rsidR="006A3667" w:rsidRDefault="00045F32">
            <w:pPr>
              <w:jc w:val="right"/>
              <w:textAlignment w:val="bottom"/>
            </w:pPr>
            <w:r>
              <w:rPr>
                <w:rFonts w:ascii="Arial" w:eastAsia="宋体" w:hAnsi="Arial" w:cs="Arial"/>
                <w:color w:val="000000"/>
                <w:sz w:val="14"/>
                <w:szCs w:val="14"/>
              </w:rPr>
              <w:t>33,481 </w:t>
            </w:r>
          </w:p>
        </w:tc>
        <w:tc>
          <w:tcPr>
            <w:tcW w:w="0" w:type="auto"/>
            <w:shd w:val="clear" w:color="auto" w:fill="FFFFFF"/>
            <w:tcMar>
              <w:top w:w="40" w:type="dxa"/>
              <w:left w:w="0" w:type="dxa"/>
              <w:bottom w:w="40" w:type="dxa"/>
              <w:right w:w="20" w:type="dxa"/>
            </w:tcMar>
            <w:vAlign w:val="bottom"/>
          </w:tcPr>
          <w:p w14:paraId="71D4036B" w14:textId="77777777" w:rsidR="006A3667" w:rsidRDefault="006A3667">
            <w:pPr>
              <w:jc w:val="right"/>
              <w:rPr>
                <w:rFonts w:ascii="宋体"/>
              </w:rPr>
            </w:pPr>
          </w:p>
        </w:tc>
        <w:tc>
          <w:tcPr>
            <w:tcW w:w="0" w:type="auto"/>
            <w:gridSpan w:val="3"/>
            <w:shd w:val="clear" w:color="auto" w:fill="auto"/>
            <w:vAlign w:val="bottom"/>
          </w:tcPr>
          <w:p w14:paraId="71D4036C" w14:textId="77777777" w:rsidR="006A3667" w:rsidRDefault="006A3667">
            <w:pPr>
              <w:rPr>
                <w:rFonts w:ascii="宋体"/>
                <w:vanish/>
              </w:rPr>
            </w:pPr>
          </w:p>
        </w:tc>
        <w:tc>
          <w:tcPr>
            <w:tcW w:w="0" w:type="auto"/>
            <w:gridSpan w:val="3"/>
            <w:shd w:val="clear" w:color="auto" w:fill="auto"/>
            <w:vAlign w:val="bottom"/>
          </w:tcPr>
          <w:p w14:paraId="71D4036D" w14:textId="77777777" w:rsidR="006A3667" w:rsidRDefault="006A3667">
            <w:pPr>
              <w:rPr>
                <w:rFonts w:ascii="宋体"/>
                <w:vanish/>
              </w:rPr>
            </w:pPr>
          </w:p>
        </w:tc>
        <w:tc>
          <w:tcPr>
            <w:tcW w:w="0" w:type="auto"/>
            <w:gridSpan w:val="3"/>
            <w:shd w:val="clear" w:color="auto" w:fill="auto"/>
            <w:vAlign w:val="bottom"/>
          </w:tcPr>
          <w:p w14:paraId="71D4036E" w14:textId="77777777" w:rsidR="006A3667" w:rsidRDefault="006A3667">
            <w:pPr>
              <w:rPr>
                <w:rFonts w:ascii="宋体"/>
                <w:vanish/>
              </w:rPr>
            </w:pPr>
          </w:p>
        </w:tc>
        <w:tc>
          <w:tcPr>
            <w:tcW w:w="0" w:type="auto"/>
            <w:gridSpan w:val="3"/>
            <w:shd w:val="clear" w:color="auto" w:fill="auto"/>
            <w:vAlign w:val="bottom"/>
          </w:tcPr>
          <w:p w14:paraId="71D4036F" w14:textId="77777777" w:rsidR="006A3667" w:rsidRDefault="006A3667">
            <w:pPr>
              <w:rPr>
                <w:rFonts w:ascii="宋体"/>
                <w:vanish/>
              </w:rPr>
            </w:pPr>
          </w:p>
        </w:tc>
        <w:tc>
          <w:tcPr>
            <w:tcW w:w="0" w:type="auto"/>
            <w:gridSpan w:val="3"/>
            <w:shd w:val="clear" w:color="auto" w:fill="auto"/>
            <w:vAlign w:val="bottom"/>
          </w:tcPr>
          <w:p w14:paraId="71D40370" w14:textId="77777777" w:rsidR="006A3667" w:rsidRDefault="006A3667">
            <w:pPr>
              <w:rPr>
                <w:rFonts w:ascii="宋体"/>
                <w:vanish/>
              </w:rPr>
            </w:pPr>
          </w:p>
        </w:tc>
      </w:tr>
      <w:tr w:rsidR="006A3667" w14:paraId="71D4037D" w14:textId="77777777">
        <w:tc>
          <w:tcPr>
            <w:tcW w:w="0" w:type="auto"/>
            <w:gridSpan w:val="3"/>
            <w:shd w:val="clear" w:color="auto" w:fill="CCEEFF"/>
            <w:tcMar>
              <w:top w:w="40" w:type="dxa"/>
              <w:left w:w="20" w:type="dxa"/>
              <w:bottom w:w="40" w:type="dxa"/>
              <w:right w:w="20" w:type="dxa"/>
            </w:tcMar>
            <w:vAlign w:val="bottom"/>
          </w:tcPr>
          <w:p w14:paraId="71D40372" w14:textId="77777777" w:rsidR="006A3667" w:rsidRDefault="00045F32">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373" w14:textId="77777777" w:rsidR="006A3667" w:rsidRDefault="00045F32">
            <w:pPr>
              <w:jc w:val="right"/>
              <w:textAlignment w:val="bottom"/>
            </w:pPr>
            <w:r>
              <w:rPr>
                <w:rFonts w:ascii="Arial" w:eastAsia="宋体" w:hAnsi="Arial" w:cs="Arial"/>
                <w:b/>
                <w:bCs/>
                <w:color w:val="000000"/>
                <w:sz w:val="14"/>
                <w:szCs w:val="14"/>
              </w:rPr>
              <w:t>54,604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3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37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376" w14:textId="77777777" w:rsidR="006A3667" w:rsidRDefault="00045F32">
            <w:pPr>
              <w:jc w:val="right"/>
              <w:textAlignment w:val="bottom"/>
            </w:pPr>
            <w:r>
              <w:rPr>
                <w:rFonts w:ascii="Arial" w:eastAsia="宋体" w:hAnsi="Arial" w:cs="Arial"/>
                <w:color w:val="000000"/>
                <w:sz w:val="14"/>
                <w:szCs w:val="14"/>
              </w:rPr>
              <w:t>35,651 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377" w14:textId="77777777" w:rsidR="006A3667" w:rsidRDefault="006A3667">
            <w:pPr>
              <w:jc w:val="right"/>
              <w:rPr>
                <w:rFonts w:ascii="宋体"/>
              </w:rPr>
            </w:pPr>
          </w:p>
        </w:tc>
        <w:tc>
          <w:tcPr>
            <w:tcW w:w="0" w:type="auto"/>
            <w:gridSpan w:val="3"/>
            <w:shd w:val="clear" w:color="auto" w:fill="auto"/>
            <w:vAlign w:val="bottom"/>
          </w:tcPr>
          <w:p w14:paraId="71D40378" w14:textId="77777777" w:rsidR="006A3667" w:rsidRDefault="006A3667">
            <w:pPr>
              <w:rPr>
                <w:rFonts w:ascii="宋体"/>
                <w:vanish/>
              </w:rPr>
            </w:pPr>
          </w:p>
        </w:tc>
        <w:tc>
          <w:tcPr>
            <w:tcW w:w="0" w:type="auto"/>
            <w:gridSpan w:val="3"/>
            <w:shd w:val="clear" w:color="auto" w:fill="auto"/>
            <w:vAlign w:val="bottom"/>
          </w:tcPr>
          <w:p w14:paraId="71D40379" w14:textId="77777777" w:rsidR="006A3667" w:rsidRDefault="006A3667">
            <w:pPr>
              <w:rPr>
                <w:rFonts w:ascii="宋体"/>
                <w:vanish/>
              </w:rPr>
            </w:pPr>
          </w:p>
        </w:tc>
        <w:tc>
          <w:tcPr>
            <w:tcW w:w="0" w:type="auto"/>
            <w:gridSpan w:val="3"/>
            <w:shd w:val="clear" w:color="auto" w:fill="auto"/>
            <w:vAlign w:val="bottom"/>
          </w:tcPr>
          <w:p w14:paraId="71D4037A" w14:textId="77777777" w:rsidR="006A3667" w:rsidRDefault="006A3667">
            <w:pPr>
              <w:rPr>
                <w:rFonts w:ascii="宋体"/>
                <w:vanish/>
              </w:rPr>
            </w:pPr>
          </w:p>
        </w:tc>
        <w:tc>
          <w:tcPr>
            <w:tcW w:w="0" w:type="auto"/>
            <w:gridSpan w:val="3"/>
            <w:shd w:val="clear" w:color="auto" w:fill="auto"/>
            <w:vAlign w:val="bottom"/>
          </w:tcPr>
          <w:p w14:paraId="71D4037B" w14:textId="77777777" w:rsidR="006A3667" w:rsidRDefault="006A3667">
            <w:pPr>
              <w:rPr>
                <w:rFonts w:ascii="宋体"/>
                <w:vanish/>
              </w:rPr>
            </w:pPr>
          </w:p>
        </w:tc>
        <w:tc>
          <w:tcPr>
            <w:tcW w:w="0" w:type="auto"/>
            <w:gridSpan w:val="3"/>
            <w:shd w:val="clear" w:color="auto" w:fill="auto"/>
            <w:vAlign w:val="bottom"/>
          </w:tcPr>
          <w:p w14:paraId="71D4037C" w14:textId="77777777" w:rsidR="006A3667" w:rsidRDefault="006A3667">
            <w:pPr>
              <w:rPr>
                <w:rFonts w:ascii="宋体"/>
                <w:vanish/>
              </w:rPr>
            </w:pPr>
          </w:p>
        </w:tc>
      </w:tr>
      <w:tr w:rsidR="006A3667" w14:paraId="71D40387" w14:textId="77777777">
        <w:tc>
          <w:tcPr>
            <w:tcW w:w="0" w:type="auto"/>
            <w:gridSpan w:val="3"/>
            <w:shd w:val="clear" w:color="auto" w:fill="FFFFFF"/>
            <w:tcMar>
              <w:top w:w="40" w:type="dxa"/>
              <w:left w:w="20" w:type="dxa"/>
              <w:bottom w:w="40" w:type="dxa"/>
              <w:right w:w="20" w:type="dxa"/>
            </w:tcMar>
            <w:vAlign w:val="bottom"/>
          </w:tcPr>
          <w:p w14:paraId="71D4037E" w14:textId="77777777" w:rsidR="006A3667" w:rsidRDefault="00045F32">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71D4037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38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381" w14:textId="77777777" w:rsidR="006A3667" w:rsidRDefault="006A3667">
            <w:pPr>
              <w:rPr>
                <w:rFonts w:ascii="宋体"/>
              </w:rPr>
            </w:pPr>
          </w:p>
        </w:tc>
        <w:tc>
          <w:tcPr>
            <w:tcW w:w="0" w:type="auto"/>
            <w:gridSpan w:val="3"/>
            <w:shd w:val="clear" w:color="auto" w:fill="auto"/>
            <w:vAlign w:val="bottom"/>
          </w:tcPr>
          <w:p w14:paraId="71D40382" w14:textId="77777777" w:rsidR="006A3667" w:rsidRDefault="006A3667">
            <w:pPr>
              <w:rPr>
                <w:rFonts w:ascii="宋体"/>
                <w:vanish/>
              </w:rPr>
            </w:pPr>
          </w:p>
        </w:tc>
        <w:tc>
          <w:tcPr>
            <w:tcW w:w="0" w:type="auto"/>
            <w:gridSpan w:val="3"/>
            <w:shd w:val="clear" w:color="auto" w:fill="auto"/>
            <w:vAlign w:val="bottom"/>
          </w:tcPr>
          <w:p w14:paraId="71D40383" w14:textId="77777777" w:rsidR="006A3667" w:rsidRDefault="006A3667">
            <w:pPr>
              <w:rPr>
                <w:rFonts w:ascii="宋体"/>
                <w:vanish/>
              </w:rPr>
            </w:pPr>
          </w:p>
        </w:tc>
        <w:tc>
          <w:tcPr>
            <w:tcW w:w="0" w:type="auto"/>
            <w:gridSpan w:val="3"/>
            <w:shd w:val="clear" w:color="auto" w:fill="auto"/>
            <w:vAlign w:val="bottom"/>
          </w:tcPr>
          <w:p w14:paraId="71D40384" w14:textId="77777777" w:rsidR="006A3667" w:rsidRDefault="006A3667">
            <w:pPr>
              <w:rPr>
                <w:rFonts w:ascii="宋体"/>
                <w:vanish/>
              </w:rPr>
            </w:pPr>
          </w:p>
        </w:tc>
        <w:tc>
          <w:tcPr>
            <w:tcW w:w="0" w:type="auto"/>
            <w:gridSpan w:val="3"/>
            <w:shd w:val="clear" w:color="auto" w:fill="auto"/>
            <w:vAlign w:val="bottom"/>
          </w:tcPr>
          <w:p w14:paraId="71D40385" w14:textId="77777777" w:rsidR="006A3667" w:rsidRDefault="006A3667">
            <w:pPr>
              <w:rPr>
                <w:rFonts w:ascii="宋体"/>
                <w:vanish/>
              </w:rPr>
            </w:pPr>
          </w:p>
        </w:tc>
        <w:tc>
          <w:tcPr>
            <w:tcW w:w="0" w:type="auto"/>
            <w:gridSpan w:val="3"/>
            <w:shd w:val="clear" w:color="auto" w:fill="auto"/>
            <w:vAlign w:val="bottom"/>
          </w:tcPr>
          <w:p w14:paraId="71D40386" w14:textId="77777777" w:rsidR="006A3667" w:rsidRDefault="006A3667">
            <w:pPr>
              <w:rPr>
                <w:rFonts w:ascii="宋体"/>
                <w:vanish/>
              </w:rPr>
            </w:pPr>
          </w:p>
        </w:tc>
      </w:tr>
      <w:tr w:rsidR="006A3667" w14:paraId="71D40391" w14:textId="77777777">
        <w:trPr>
          <w:hidden/>
        </w:trPr>
        <w:tc>
          <w:tcPr>
            <w:tcW w:w="0" w:type="auto"/>
            <w:gridSpan w:val="3"/>
            <w:shd w:val="clear" w:color="auto" w:fill="auto"/>
            <w:vAlign w:val="bottom"/>
          </w:tcPr>
          <w:p w14:paraId="71D40388" w14:textId="77777777" w:rsidR="006A3667" w:rsidRDefault="006A3667">
            <w:pPr>
              <w:rPr>
                <w:rFonts w:ascii="宋体"/>
                <w:vanish/>
              </w:rPr>
            </w:pPr>
          </w:p>
        </w:tc>
        <w:tc>
          <w:tcPr>
            <w:tcW w:w="0" w:type="auto"/>
            <w:gridSpan w:val="3"/>
            <w:shd w:val="clear" w:color="auto" w:fill="auto"/>
            <w:vAlign w:val="bottom"/>
          </w:tcPr>
          <w:p w14:paraId="71D40389" w14:textId="77777777" w:rsidR="006A3667" w:rsidRDefault="006A3667">
            <w:pPr>
              <w:rPr>
                <w:rFonts w:ascii="宋体"/>
                <w:vanish/>
              </w:rPr>
            </w:pPr>
          </w:p>
        </w:tc>
        <w:tc>
          <w:tcPr>
            <w:tcW w:w="0" w:type="auto"/>
            <w:gridSpan w:val="3"/>
            <w:shd w:val="clear" w:color="auto" w:fill="auto"/>
            <w:vAlign w:val="bottom"/>
          </w:tcPr>
          <w:p w14:paraId="71D4038A" w14:textId="77777777" w:rsidR="006A3667" w:rsidRDefault="006A3667">
            <w:pPr>
              <w:rPr>
                <w:rFonts w:ascii="宋体"/>
                <w:vanish/>
              </w:rPr>
            </w:pPr>
          </w:p>
        </w:tc>
        <w:tc>
          <w:tcPr>
            <w:tcW w:w="0" w:type="auto"/>
            <w:gridSpan w:val="3"/>
            <w:shd w:val="clear" w:color="auto" w:fill="auto"/>
            <w:vAlign w:val="bottom"/>
          </w:tcPr>
          <w:p w14:paraId="71D4038B" w14:textId="77777777" w:rsidR="006A3667" w:rsidRDefault="006A3667">
            <w:pPr>
              <w:rPr>
                <w:rFonts w:ascii="宋体"/>
                <w:vanish/>
              </w:rPr>
            </w:pPr>
          </w:p>
        </w:tc>
        <w:tc>
          <w:tcPr>
            <w:tcW w:w="0" w:type="auto"/>
            <w:gridSpan w:val="3"/>
            <w:shd w:val="clear" w:color="auto" w:fill="auto"/>
            <w:vAlign w:val="bottom"/>
          </w:tcPr>
          <w:p w14:paraId="71D4038C" w14:textId="77777777" w:rsidR="006A3667" w:rsidRDefault="006A3667">
            <w:pPr>
              <w:rPr>
                <w:rFonts w:ascii="宋体"/>
                <w:vanish/>
              </w:rPr>
            </w:pPr>
          </w:p>
        </w:tc>
        <w:tc>
          <w:tcPr>
            <w:tcW w:w="0" w:type="auto"/>
            <w:gridSpan w:val="3"/>
            <w:shd w:val="clear" w:color="auto" w:fill="auto"/>
            <w:vAlign w:val="bottom"/>
          </w:tcPr>
          <w:p w14:paraId="71D4038D" w14:textId="77777777" w:rsidR="006A3667" w:rsidRDefault="006A3667">
            <w:pPr>
              <w:rPr>
                <w:rFonts w:ascii="宋体"/>
                <w:vanish/>
              </w:rPr>
            </w:pPr>
          </w:p>
        </w:tc>
        <w:tc>
          <w:tcPr>
            <w:tcW w:w="0" w:type="auto"/>
            <w:gridSpan w:val="3"/>
            <w:shd w:val="clear" w:color="auto" w:fill="auto"/>
            <w:vAlign w:val="bottom"/>
          </w:tcPr>
          <w:p w14:paraId="71D4038E" w14:textId="77777777" w:rsidR="006A3667" w:rsidRDefault="006A3667">
            <w:pPr>
              <w:rPr>
                <w:rFonts w:ascii="宋体"/>
                <w:vanish/>
              </w:rPr>
            </w:pPr>
          </w:p>
        </w:tc>
        <w:tc>
          <w:tcPr>
            <w:tcW w:w="0" w:type="auto"/>
            <w:gridSpan w:val="3"/>
            <w:shd w:val="clear" w:color="auto" w:fill="auto"/>
            <w:vAlign w:val="bottom"/>
          </w:tcPr>
          <w:p w14:paraId="71D4038F" w14:textId="77777777" w:rsidR="006A3667" w:rsidRDefault="006A3667">
            <w:pPr>
              <w:rPr>
                <w:rFonts w:ascii="宋体"/>
                <w:vanish/>
              </w:rPr>
            </w:pPr>
          </w:p>
        </w:tc>
        <w:tc>
          <w:tcPr>
            <w:tcW w:w="0" w:type="auto"/>
            <w:gridSpan w:val="3"/>
            <w:shd w:val="clear" w:color="auto" w:fill="auto"/>
            <w:vAlign w:val="bottom"/>
          </w:tcPr>
          <w:p w14:paraId="71D40390" w14:textId="77777777" w:rsidR="006A3667" w:rsidRDefault="006A3667">
            <w:pPr>
              <w:rPr>
                <w:rFonts w:ascii="宋体"/>
                <w:vanish/>
              </w:rPr>
            </w:pPr>
          </w:p>
        </w:tc>
      </w:tr>
      <w:tr w:rsidR="006A3667" w14:paraId="71D4039B" w14:textId="77777777">
        <w:trPr>
          <w:hidden/>
        </w:trPr>
        <w:tc>
          <w:tcPr>
            <w:tcW w:w="0" w:type="auto"/>
            <w:gridSpan w:val="3"/>
            <w:shd w:val="clear" w:color="auto" w:fill="auto"/>
            <w:vAlign w:val="bottom"/>
          </w:tcPr>
          <w:p w14:paraId="71D40392" w14:textId="77777777" w:rsidR="006A3667" w:rsidRDefault="006A3667">
            <w:pPr>
              <w:rPr>
                <w:rFonts w:ascii="宋体"/>
                <w:vanish/>
              </w:rPr>
            </w:pPr>
          </w:p>
        </w:tc>
        <w:tc>
          <w:tcPr>
            <w:tcW w:w="0" w:type="auto"/>
            <w:gridSpan w:val="3"/>
            <w:shd w:val="clear" w:color="auto" w:fill="auto"/>
            <w:vAlign w:val="bottom"/>
          </w:tcPr>
          <w:p w14:paraId="71D40393" w14:textId="77777777" w:rsidR="006A3667" w:rsidRDefault="006A3667">
            <w:pPr>
              <w:rPr>
                <w:rFonts w:ascii="宋体"/>
                <w:vanish/>
              </w:rPr>
            </w:pPr>
          </w:p>
        </w:tc>
        <w:tc>
          <w:tcPr>
            <w:tcW w:w="0" w:type="auto"/>
            <w:gridSpan w:val="3"/>
            <w:shd w:val="clear" w:color="auto" w:fill="auto"/>
            <w:vAlign w:val="bottom"/>
          </w:tcPr>
          <w:p w14:paraId="71D40394" w14:textId="77777777" w:rsidR="006A3667" w:rsidRDefault="006A3667">
            <w:pPr>
              <w:rPr>
                <w:rFonts w:ascii="宋体"/>
                <w:vanish/>
              </w:rPr>
            </w:pPr>
          </w:p>
        </w:tc>
        <w:tc>
          <w:tcPr>
            <w:tcW w:w="0" w:type="auto"/>
            <w:gridSpan w:val="3"/>
            <w:shd w:val="clear" w:color="auto" w:fill="auto"/>
            <w:vAlign w:val="bottom"/>
          </w:tcPr>
          <w:p w14:paraId="71D40395" w14:textId="77777777" w:rsidR="006A3667" w:rsidRDefault="006A3667">
            <w:pPr>
              <w:rPr>
                <w:rFonts w:ascii="宋体"/>
                <w:vanish/>
              </w:rPr>
            </w:pPr>
          </w:p>
        </w:tc>
        <w:tc>
          <w:tcPr>
            <w:tcW w:w="0" w:type="auto"/>
            <w:gridSpan w:val="3"/>
            <w:shd w:val="clear" w:color="auto" w:fill="auto"/>
            <w:vAlign w:val="bottom"/>
          </w:tcPr>
          <w:p w14:paraId="71D40396" w14:textId="77777777" w:rsidR="006A3667" w:rsidRDefault="006A3667">
            <w:pPr>
              <w:rPr>
                <w:rFonts w:ascii="宋体"/>
                <w:vanish/>
              </w:rPr>
            </w:pPr>
          </w:p>
        </w:tc>
        <w:tc>
          <w:tcPr>
            <w:tcW w:w="0" w:type="auto"/>
            <w:gridSpan w:val="3"/>
            <w:shd w:val="clear" w:color="auto" w:fill="auto"/>
            <w:vAlign w:val="bottom"/>
          </w:tcPr>
          <w:p w14:paraId="71D40397" w14:textId="77777777" w:rsidR="006A3667" w:rsidRDefault="006A3667">
            <w:pPr>
              <w:rPr>
                <w:rFonts w:ascii="宋体"/>
                <w:vanish/>
              </w:rPr>
            </w:pPr>
          </w:p>
        </w:tc>
        <w:tc>
          <w:tcPr>
            <w:tcW w:w="0" w:type="auto"/>
            <w:gridSpan w:val="3"/>
            <w:shd w:val="clear" w:color="auto" w:fill="auto"/>
            <w:vAlign w:val="bottom"/>
          </w:tcPr>
          <w:p w14:paraId="71D40398" w14:textId="77777777" w:rsidR="006A3667" w:rsidRDefault="006A3667">
            <w:pPr>
              <w:rPr>
                <w:rFonts w:ascii="宋体"/>
                <w:vanish/>
              </w:rPr>
            </w:pPr>
          </w:p>
        </w:tc>
        <w:tc>
          <w:tcPr>
            <w:tcW w:w="0" w:type="auto"/>
            <w:gridSpan w:val="3"/>
            <w:shd w:val="clear" w:color="auto" w:fill="auto"/>
            <w:vAlign w:val="bottom"/>
          </w:tcPr>
          <w:p w14:paraId="71D40399" w14:textId="77777777" w:rsidR="006A3667" w:rsidRDefault="006A3667">
            <w:pPr>
              <w:rPr>
                <w:rFonts w:ascii="宋体"/>
                <w:vanish/>
              </w:rPr>
            </w:pPr>
          </w:p>
        </w:tc>
        <w:tc>
          <w:tcPr>
            <w:tcW w:w="0" w:type="auto"/>
            <w:gridSpan w:val="3"/>
            <w:shd w:val="clear" w:color="auto" w:fill="auto"/>
            <w:vAlign w:val="bottom"/>
          </w:tcPr>
          <w:p w14:paraId="71D4039A" w14:textId="77777777" w:rsidR="006A3667" w:rsidRDefault="006A3667">
            <w:pPr>
              <w:rPr>
                <w:rFonts w:ascii="宋体"/>
                <w:vanish/>
              </w:rPr>
            </w:pPr>
          </w:p>
        </w:tc>
      </w:tr>
      <w:tr w:rsidR="006A3667" w14:paraId="71D403A7" w14:textId="77777777">
        <w:tc>
          <w:tcPr>
            <w:tcW w:w="0" w:type="auto"/>
            <w:gridSpan w:val="3"/>
            <w:shd w:val="clear" w:color="auto" w:fill="CCEEFF"/>
            <w:tcMar>
              <w:top w:w="40" w:type="dxa"/>
              <w:left w:w="140" w:type="dxa"/>
              <w:bottom w:w="40" w:type="dxa"/>
              <w:right w:w="20" w:type="dxa"/>
            </w:tcMar>
            <w:vAlign w:val="bottom"/>
          </w:tcPr>
          <w:p w14:paraId="71D4039C" w14:textId="77777777" w:rsidR="006A3667" w:rsidRDefault="00045F32">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039D" w14:textId="77777777" w:rsidR="006A3667" w:rsidRDefault="00045F32">
            <w:pPr>
              <w:jc w:val="right"/>
              <w:textAlignment w:val="bottom"/>
            </w:pPr>
            <w:r>
              <w:rPr>
                <w:rFonts w:ascii="Arial" w:eastAsia="宋体" w:hAnsi="Arial" w:cs="Arial"/>
                <w:b/>
                <w:bCs/>
                <w:color w:val="000000"/>
                <w:sz w:val="14"/>
                <w:szCs w:val="14"/>
              </w:rPr>
              <w:t>6,141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3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39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3A0" w14:textId="77777777" w:rsidR="006A3667" w:rsidRDefault="00045F32">
            <w:pPr>
              <w:jc w:val="right"/>
              <w:textAlignment w:val="bottom"/>
            </w:pPr>
            <w:r>
              <w:rPr>
                <w:rFonts w:ascii="Arial" w:eastAsia="宋体" w:hAnsi="Arial" w:cs="Arial"/>
                <w:color w:val="000000"/>
                <w:sz w:val="14"/>
                <w:szCs w:val="14"/>
              </w:rPr>
              <w:t>1,564 </w:t>
            </w:r>
          </w:p>
        </w:tc>
        <w:tc>
          <w:tcPr>
            <w:tcW w:w="0" w:type="auto"/>
            <w:shd w:val="clear" w:color="auto" w:fill="CCEEFF"/>
            <w:tcMar>
              <w:top w:w="40" w:type="dxa"/>
              <w:left w:w="0" w:type="dxa"/>
              <w:bottom w:w="40" w:type="dxa"/>
              <w:right w:w="20" w:type="dxa"/>
            </w:tcMar>
            <w:vAlign w:val="bottom"/>
          </w:tcPr>
          <w:p w14:paraId="71D403A1" w14:textId="77777777" w:rsidR="006A3667" w:rsidRDefault="006A3667">
            <w:pPr>
              <w:jc w:val="right"/>
              <w:rPr>
                <w:rFonts w:ascii="宋体"/>
              </w:rPr>
            </w:pPr>
          </w:p>
        </w:tc>
        <w:tc>
          <w:tcPr>
            <w:tcW w:w="0" w:type="auto"/>
            <w:gridSpan w:val="3"/>
            <w:shd w:val="clear" w:color="auto" w:fill="auto"/>
            <w:vAlign w:val="bottom"/>
          </w:tcPr>
          <w:p w14:paraId="71D403A2" w14:textId="77777777" w:rsidR="006A3667" w:rsidRDefault="006A3667">
            <w:pPr>
              <w:rPr>
                <w:rFonts w:ascii="宋体"/>
                <w:vanish/>
              </w:rPr>
            </w:pPr>
          </w:p>
        </w:tc>
        <w:tc>
          <w:tcPr>
            <w:tcW w:w="0" w:type="auto"/>
            <w:gridSpan w:val="3"/>
            <w:shd w:val="clear" w:color="auto" w:fill="auto"/>
            <w:vAlign w:val="bottom"/>
          </w:tcPr>
          <w:p w14:paraId="71D403A3" w14:textId="77777777" w:rsidR="006A3667" w:rsidRDefault="006A3667">
            <w:pPr>
              <w:rPr>
                <w:rFonts w:ascii="宋体"/>
                <w:vanish/>
              </w:rPr>
            </w:pPr>
          </w:p>
        </w:tc>
        <w:tc>
          <w:tcPr>
            <w:tcW w:w="0" w:type="auto"/>
            <w:gridSpan w:val="3"/>
            <w:shd w:val="clear" w:color="auto" w:fill="auto"/>
            <w:vAlign w:val="bottom"/>
          </w:tcPr>
          <w:p w14:paraId="71D403A4" w14:textId="77777777" w:rsidR="006A3667" w:rsidRDefault="006A3667">
            <w:pPr>
              <w:rPr>
                <w:rFonts w:ascii="宋体"/>
                <w:vanish/>
              </w:rPr>
            </w:pPr>
          </w:p>
        </w:tc>
        <w:tc>
          <w:tcPr>
            <w:tcW w:w="0" w:type="auto"/>
            <w:gridSpan w:val="3"/>
            <w:shd w:val="clear" w:color="auto" w:fill="auto"/>
            <w:vAlign w:val="bottom"/>
          </w:tcPr>
          <w:p w14:paraId="71D403A5" w14:textId="77777777" w:rsidR="006A3667" w:rsidRDefault="006A3667">
            <w:pPr>
              <w:rPr>
                <w:rFonts w:ascii="宋体"/>
                <w:vanish/>
              </w:rPr>
            </w:pPr>
          </w:p>
        </w:tc>
        <w:tc>
          <w:tcPr>
            <w:tcW w:w="0" w:type="auto"/>
            <w:gridSpan w:val="3"/>
            <w:shd w:val="clear" w:color="auto" w:fill="auto"/>
            <w:vAlign w:val="bottom"/>
          </w:tcPr>
          <w:p w14:paraId="71D403A6" w14:textId="77777777" w:rsidR="006A3667" w:rsidRDefault="006A3667">
            <w:pPr>
              <w:rPr>
                <w:rFonts w:ascii="宋体"/>
                <w:vanish/>
              </w:rPr>
            </w:pPr>
          </w:p>
        </w:tc>
      </w:tr>
      <w:tr w:rsidR="006A3667" w14:paraId="71D403B1" w14:textId="77777777">
        <w:trPr>
          <w:hidden/>
        </w:trPr>
        <w:tc>
          <w:tcPr>
            <w:tcW w:w="0" w:type="auto"/>
            <w:gridSpan w:val="3"/>
            <w:shd w:val="clear" w:color="auto" w:fill="auto"/>
            <w:vAlign w:val="bottom"/>
          </w:tcPr>
          <w:p w14:paraId="71D403A8" w14:textId="77777777" w:rsidR="006A3667" w:rsidRDefault="006A3667">
            <w:pPr>
              <w:rPr>
                <w:rFonts w:ascii="宋体"/>
                <w:vanish/>
              </w:rPr>
            </w:pPr>
          </w:p>
        </w:tc>
        <w:tc>
          <w:tcPr>
            <w:tcW w:w="0" w:type="auto"/>
            <w:gridSpan w:val="3"/>
            <w:shd w:val="clear" w:color="auto" w:fill="auto"/>
            <w:vAlign w:val="bottom"/>
          </w:tcPr>
          <w:p w14:paraId="71D403A9" w14:textId="77777777" w:rsidR="006A3667" w:rsidRDefault="006A3667">
            <w:pPr>
              <w:rPr>
                <w:rFonts w:ascii="宋体"/>
                <w:vanish/>
              </w:rPr>
            </w:pPr>
          </w:p>
        </w:tc>
        <w:tc>
          <w:tcPr>
            <w:tcW w:w="0" w:type="auto"/>
            <w:gridSpan w:val="3"/>
            <w:shd w:val="clear" w:color="auto" w:fill="auto"/>
            <w:vAlign w:val="bottom"/>
          </w:tcPr>
          <w:p w14:paraId="71D403AA" w14:textId="77777777" w:rsidR="006A3667" w:rsidRDefault="006A3667">
            <w:pPr>
              <w:rPr>
                <w:rFonts w:ascii="宋体"/>
                <w:vanish/>
              </w:rPr>
            </w:pPr>
          </w:p>
        </w:tc>
        <w:tc>
          <w:tcPr>
            <w:tcW w:w="0" w:type="auto"/>
            <w:gridSpan w:val="3"/>
            <w:shd w:val="clear" w:color="auto" w:fill="auto"/>
            <w:vAlign w:val="bottom"/>
          </w:tcPr>
          <w:p w14:paraId="71D403AB" w14:textId="77777777" w:rsidR="006A3667" w:rsidRDefault="006A3667">
            <w:pPr>
              <w:rPr>
                <w:rFonts w:ascii="宋体"/>
                <w:vanish/>
              </w:rPr>
            </w:pPr>
          </w:p>
        </w:tc>
        <w:tc>
          <w:tcPr>
            <w:tcW w:w="0" w:type="auto"/>
            <w:gridSpan w:val="3"/>
            <w:shd w:val="clear" w:color="auto" w:fill="auto"/>
            <w:vAlign w:val="bottom"/>
          </w:tcPr>
          <w:p w14:paraId="71D403AC" w14:textId="77777777" w:rsidR="006A3667" w:rsidRDefault="006A3667">
            <w:pPr>
              <w:rPr>
                <w:rFonts w:ascii="宋体"/>
                <w:vanish/>
              </w:rPr>
            </w:pPr>
          </w:p>
        </w:tc>
        <w:tc>
          <w:tcPr>
            <w:tcW w:w="0" w:type="auto"/>
            <w:gridSpan w:val="3"/>
            <w:shd w:val="clear" w:color="auto" w:fill="auto"/>
            <w:vAlign w:val="bottom"/>
          </w:tcPr>
          <w:p w14:paraId="71D403AD" w14:textId="77777777" w:rsidR="006A3667" w:rsidRDefault="006A3667">
            <w:pPr>
              <w:rPr>
                <w:rFonts w:ascii="宋体"/>
                <w:vanish/>
              </w:rPr>
            </w:pPr>
          </w:p>
        </w:tc>
        <w:tc>
          <w:tcPr>
            <w:tcW w:w="0" w:type="auto"/>
            <w:gridSpan w:val="3"/>
            <w:shd w:val="clear" w:color="auto" w:fill="auto"/>
            <w:vAlign w:val="bottom"/>
          </w:tcPr>
          <w:p w14:paraId="71D403AE" w14:textId="77777777" w:rsidR="006A3667" w:rsidRDefault="006A3667">
            <w:pPr>
              <w:rPr>
                <w:rFonts w:ascii="宋体"/>
                <w:vanish/>
              </w:rPr>
            </w:pPr>
          </w:p>
        </w:tc>
        <w:tc>
          <w:tcPr>
            <w:tcW w:w="0" w:type="auto"/>
            <w:gridSpan w:val="3"/>
            <w:shd w:val="clear" w:color="auto" w:fill="auto"/>
            <w:vAlign w:val="bottom"/>
          </w:tcPr>
          <w:p w14:paraId="71D403AF" w14:textId="77777777" w:rsidR="006A3667" w:rsidRDefault="006A3667">
            <w:pPr>
              <w:rPr>
                <w:rFonts w:ascii="宋体"/>
                <w:vanish/>
              </w:rPr>
            </w:pPr>
          </w:p>
        </w:tc>
        <w:tc>
          <w:tcPr>
            <w:tcW w:w="0" w:type="auto"/>
            <w:gridSpan w:val="3"/>
            <w:shd w:val="clear" w:color="auto" w:fill="auto"/>
            <w:vAlign w:val="bottom"/>
          </w:tcPr>
          <w:p w14:paraId="71D403B0" w14:textId="77777777" w:rsidR="006A3667" w:rsidRDefault="006A3667">
            <w:pPr>
              <w:rPr>
                <w:rFonts w:ascii="宋体"/>
                <w:vanish/>
              </w:rPr>
            </w:pPr>
          </w:p>
        </w:tc>
      </w:tr>
      <w:tr w:rsidR="006A3667" w14:paraId="71D403BD" w14:textId="77777777">
        <w:tc>
          <w:tcPr>
            <w:tcW w:w="0" w:type="auto"/>
            <w:gridSpan w:val="3"/>
            <w:shd w:val="clear" w:color="auto" w:fill="FFFFFF"/>
            <w:tcMar>
              <w:top w:w="40" w:type="dxa"/>
              <w:left w:w="140" w:type="dxa"/>
              <w:bottom w:w="40" w:type="dxa"/>
              <w:right w:w="20" w:type="dxa"/>
            </w:tcMar>
            <w:vAlign w:val="bottom"/>
          </w:tcPr>
          <w:p w14:paraId="71D403B2" w14:textId="77777777" w:rsidR="006A3667" w:rsidRDefault="00045F32">
            <w:pPr>
              <w:textAlignment w:val="bottom"/>
            </w:pPr>
            <w:r>
              <w:rPr>
                <w:rFonts w:ascii="Arial" w:eastAsia="宋体" w:hAnsi="Arial" w:cs="Arial"/>
                <w:color w:val="000000"/>
                <w:sz w:val="14"/>
                <w:szCs w:val="14"/>
              </w:rPr>
              <w:t xml:space="preserve">Total non-U.S. debt </w:t>
            </w:r>
            <w:r>
              <w:rPr>
                <w:rFonts w:ascii="Arial" w:eastAsia="宋体" w:hAnsi="Arial" w:cs="Arial"/>
                <w:color w:val="000000"/>
                <w:sz w:val="14"/>
                <w:szCs w:val="14"/>
              </w:rPr>
              <w:t>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3B3" w14:textId="77777777" w:rsidR="006A3667" w:rsidRDefault="00045F32">
            <w:pPr>
              <w:jc w:val="right"/>
              <w:textAlignment w:val="bottom"/>
            </w:pPr>
            <w:r>
              <w:rPr>
                <w:rFonts w:ascii="Arial" w:eastAsia="宋体" w:hAnsi="Arial" w:cs="Arial"/>
                <w:b/>
                <w:bCs/>
                <w:color w:val="000000"/>
                <w:sz w:val="14"/>
                <w:szCs w:val="14"/>
              </w:rPr>
              <w:t>6,141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3B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3B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3B6" w14:textId="77777777" w:rsidR="006A3667" w:rsidRDefault="00045F32">
            <w:pPr>
              <w:jc w:val="right"/>
              <w:textAlignment w:val="bottom"/>
            </w:pPr>
            <w:r>
              <w:rPr>
                <w:rFonts w:ascii="Arial" w:eastAsia="宋体" w:hAnsi="Arial" w:cs="Arial"/>
                <w:color w:val="000000"/>
                <w:sz w:val="14"/>
                <w:szCs w:val="14"/>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3B7" w14:textId="77777777" w:rsidR="006A3667" w:rsidRDefault="006A3667">
            <w:pPr>
              <w:jc w:val="right"/>
              <w:rPr>
                <w:rFonts w:ascii="宋体"/>
              </w:rPr>
            </w:pPr>
          </w:p>
        </w:tc>
        <w:tc>
          <w:tcPr>
            <w:tcW w:w="0" w:type="auto"/>
            <w:gridSpan w:val="3"/>
            <w:shd w:val="clear" w:color="auto" w:fill="auto"/>
            <w:vAlign w:val="bottom"/>
          </w:tcPr>
          <w:p w14:paraId="71D403B8" w14:textId="77777777" w:rsidR="006A3667" w:rsidRDefault="006A3667">
            <w:pPr>
              <w:rPr>
                <w:rFonts w:ascii="宋体"/>
                <w:vanish/>
              </w:rPr>
            </w:pPr>
          </w:p>
        </w:tc>
        <w:tc>
          <w:tcPr>
            <w:tcW w:w="0" w:type="auto"/>
            <w:gridSpan w:val="3"/>
            <w:shd w:val="clear" w:color="auto" w:fill="auto"/>
            <w:vAlign w:val="bottom"/>
          </w:tcPr>
          <w:p w14:paraId="71D403B9" w14:textId="77777777" w:rsidR="006A3667" w:rsidRDefault="006A3667">
            <w:pPr>
              <w:rPr>
                <w:rFonts w:ascii="宋体"/>
                <w:vanish/>
              </w:rPr>
            </w:pPr>
          </w:p>
        </w:tc>
        <w:tc>
          <w:tcPr>
            <w:tcW w:w="0" w:type="auto"/>
            <w:gridSpan w:val="3"/>
            <w:shd w:val="clear" w:color="auto" w:fill="auto"/>
            <w:vAlign w:val="bottom"/>
          </w:tcPr>
          <w:p w14:paraId="71D403BA" w14:textId="77777777" w:rsidR="006A3667" w:rsidRDefault="006A3667">
            <w:pPr>
              <w:rPr>
                <w:rFonts w:ascii="宋体"/>
                <w:vanish/>
              </w:rPr>
            </w:pPr>
          </w:p>
        </w:tc>
        <w:tc>
          <w:tcPr>
            <w:tcW w:w="0" w:type="auto"/>
            <w:gridSpan w:val="3"/>
            <w:shd w:val="clear" w:color="auto" w:fill="auto"/>
            <w:vAlign w:val="bottom"/>
          </w:tcPr>
          <w:p w14:paraId="71D403BB" w14:textId="77777777" w:rsidR="006A3667" w:rsidRDefault="006A3667">
            <w:pPr>
              <w:rPr>
                <w:rFonts w:ascii="宋体"/>
                <w:vanish/>
              </w:rPr>
            </w:pPr>
          </w:p>
        </w:tc>
        <w:tc>
          <w:tcPr>
            <w:tcW w:w="0" w:type="auto"/>
            <w:gridSpan w:val="3"/>
            <w:shd w:val="clear" w:color="auto" w:fill="auto"/>
            <w:vAlign w:val="bottom"/>
          </w:tcPr>
          <w:p w14:paraId="71D403BC" w14:textId="77777777" w:rsidR="006A3667" w:rsidRDefault="006A3667">
            <w:pPr>
              <w:rPr>
                <w:rFonts w:ascii="宋体"/>
                <w:vanish/>
              </w:rPr>
            </w:pPr>
          </w:p>
        </w:tc>
      </w:tr>
      <w:tr w:rsidR="006A3667" w14:paraId="71D403C7" w14:textId="77777777">
        <w:tc>
          <w:tcPr>
            <w:tcW w:w="0" w:type="auto"/>
            <w:gridSpan w:val="3"/>
            <w:shd w:val="clear" w:color="auto" w:fill="CCEEFF"/>
            <w:tcMar>
              <w:top w:w="40" w:type="dxa"/>
              <w:left w:w="20" w:type="dxa"/>
              <w:bottom w:w="40" w:type="dxa"/>
              <w:right w:w="20" w:type="dxa"/>
            </w:tcMar>
            <w:vAlign w:val="bottom"/>
          </w:tcPr>
          <w:p w14:paraId="71D403BE"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03B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03C0"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03C1" w14:textId="77777777" w:rsidR="006A3667" w:rsidRDefault="006A3667">
            <w:pPr>
              <w:rPr>
                <w:rFonts w:ascii="宋体"/>
              </w:rPr>
            </w:pPr>
          </w:p>
        </w:tc>
        <w:tc>
          <w:tcPr>
            <w:tcW w:w="0" w:type="auto"/>
            <w:gridSpan w:val="3"/>
            <w:shd w:val="clear" w:color="auto" w:fill="auto"/>
            <w:vAlign w:val="bottom"/>
          </w:tcPr>
          <w:p w14:paraId="71D403C2" w14:textId="77777777" w:rsidR="006A3667" w:rsidRDefault="006A3667">
            <w:pPr>
              <w:rPr>
                <w:rFonts w:ascii="宋体"/>
                <w:vanish/>
              </w:rPr>
            </w:pPr>
          </w:p>
        </w:tc>
        <w:tc>
          <w:tcPr>
            <w:tcW w:w="0" w:type="auto"/>
            <w:gridSpan w:val="3"/>
            <w:shd w:val="clear" w:color="auto" w:fill="auto"/>
            <w:vAlign w:val="bottom"/>
          </w:tcPr>
          <w:p w14:paraId="71D403C3" w14:textId="77777777" w:rsidR="006A3667" w:rsidRDefault="006A3667">
            <w:pPr>
              <w:rPr>
                <w:rFonts w:ascii="宋体"/>
                <w:vanish/>
              </w:rPr>
            </w:pPr>
          </w:p>
        </w:tc>
        <w:tc>
          <w:tcPr>
            <w:tcW w:w="0" w:type="auto"/>
            <w:gridSpan w:val="3"/>
            <w:shd w:val="clear" w:color="auto" w:fill="auto"/>
            <w:vAlign w:val="bottom"/>
          </w:tcPr>
          <w:p w14:paraId="71D403C4" w14:textId="77777777" w:rsidR="006A3667" w:rsidRDefault="006A3667">
            <w:pPr>
              <w:rPr>
                <w:rFonts w:ascii="宋体"/>
                <w:vanish/>
              </w:rPr>
            </w:pPr>
          </w:p>
        </w:tc>
        <w:tc>
          <w:tcPr>
            <w:tcW w:w="0" w:type="auto"/>
            <w:gridSpan w:val="3"/>
            <w:shd w:val="clear" w:color="auto" w:fill="auto"/>
            <w:vAlign w:val="bottom"/>
          </w:tcPr>
          <w:p w14:paraId="71D403C5" w14:textId="77777777" w:rsidR="006A3667" w:rsidRDefault="006A3667">
            <w:pPr>
              <w:rPr>
                <w:rFonts w:ascii="宋体"/>
                <w:vanish/>
              </w:rPr>
            </w:pPr>
          </w:p>
        </w:tc>
        <w:tc>
          <w:tcPr>
            <w:tcW w:w="0" w:type="auto"/>
            <w:gridSpan w:val="3"/>
            <w:shd w:val="clear" w:color="auto" w:fill="auto"/>
            <w:vAlign w:val="bottom"/>
          </w:tcPr>
          <w:p w14:paraId="71D403C6" w14:textId="77777777" w:rsidR="006A3667" w:rsidRDefault="006A3667">
            <w:pPr>
              <w:rPr>
                <w:rFonts w:ascii="宋体"/>
                <w:vanish/>
              </w:rPr>
            </w:pPr>
          </w:p>
        </w:tc>
      </w:tr>
      <w:tr w:rsidR="006A3667" w14:paraId="71D403D3" w14:textId="77777777">
        <w:tc>
          <w:tcPr>
            <w:tcW w:w="0" w:type="auto"/>
            <w:gridSpan w:val="3"/>
            <w:shd w:val="clear" w:color="auto" w:fill="FFFFFF"/>
            <w:tcMar>
              <w:top w:w="40" w:type="dxa"/>
              <w:left w:w="20" w:type="dxa"/>
              <w:bottom w:w="40" w:type="dxa"/>
              <w:right w:w="20" w:type="dxa"/>
            </w:tcMar>
            <w:vAlign w:val="bottom"/>
          </w:tcPr>
          <w:p w14:paraId="71D403C8" w14:textId="77777777" w:rsidR="006A3667" w:rsidRDefault="00045F32">
            <w:pPr>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1D403C9" w14:textId="77777777" w:rsidR="006A3667" w:rsidRDefault="00045F32">
            <w:pPr>
              <w:jc w:val="right"/>
              <w:textAlignment w:val="bottom"/>
            </w:pPr>
            <w:r>
              <w:rPr>
                <w:rFonts w:ascii="Arial" w:eastAsia="宋体" w:hAnsi="Arial" w:cs="Arial"/>
                <w:b/>
                <w:bCs/>
                <w:color w:val="000000"/>
                <w:sz w:val="14"/>
                <w:szCs w:val="14"/>
              </w:rPr>
              <w:t>4,238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3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3C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3CC" w14:textId="77777777" w:rsidR="006A3667" w:rsidRDefault="00045F32">
            <w:pPr>
              <w:jc w:val="right"/>
              <w:textAlignment w:val="bottom"/>
            </w:pPr>
            <w:r>
              <w:rPr>
                <w:rFonts w:ascii="Arial" w:eastAsia="宋体" w:hAnsi="Arial" w:cs="Arial"/>
                <w:color w:val="000000"/>
                <w:sz w:val="14"/>
                <w:szCs w:val="14"/>
              </w:rPr>
              <w:t>4,908 </w:t>
            </w:r>
          </w:p>
        </w:tc>
        <w:tc>
          <w:tcPr>
            <w:tcW w:w="0" w:type="auto"/>
            <w:shd w:val="clear" w:color="auto" w:fill="FFFFFF"/>
            <w:tcMar>
              <w:top w:w="40" w:type="dxa"/>
              <w:left w:w="0" w:type="dxa"/>
              <w:bottom w:w="40" w:type="dxa"/>
              <w:right w:w="20" w:type="dxa"/>
            </w:tcMar>
            <w:vAlign w:val="bottom"/>
          </w:tcPr>
          <w:p w14:paraId="71D403CD" w14:textId="77777777" w:rsidR="006A3667" w:rsidRDefault="006A3667">
            <w:pPr>
              <w:jc w:val="right"/>
              <w:rPr>
                <w:rFonts w:ascii="宋体"/>
              </w:rPr>
            </w:pPr>
          </w:p>
        </w:tc>
        <w:tc>
          <w:tcPr>
            <w:tcW w:w="0" w:type="auto"/>
            <w:gridSpan w:val="3"/>
            <w:shd w:val="clear" w:color="auto" w:fill="auto"/>
            <w:vAlign w:val="bottom"/>
          </w:tcPr>
          <w:p w14:paraId="71D403CE" w14:textId="77777777" w:rsidR="006A3667" w:rsidRDefault="006A3667">
            <w:pPr>
              <w:rPr>
                <w:rFonts w:ascii="宋体"/>
                <w:vanish/>
              </w:rPr>
            </w:pPr>
          </w:p>
        </w:tc>
        <w:tc>
          <w:tcPr>
            <w:tcW w:w="0" w:type="auto"/>
            <w:gridSpan w:val="3"/>
            <w:shd w:val="clear" w:color="auto" w:fill="auto"/>
            <w:vAlign w:val="bottom"/>
          </w:tcPr>
          <w:p w14:paraId="71D403CF" w14:textId="77777777" w:rsidR="006A3667" w:rsidRDefault="006A3667">
            <w:pPr>
              <w:rPr>
                <w:rFonts w:ascii="宋体"/>
                <w:vanish/>
              </w:rPr>
            </w:pPr>
          </w:p>
        </w:tc>
        <w:tc>
          <w:tcPr>
            <w:tcW w:w="0" w:type="auto"/>
            <w:gridSpan w:val="3"/>
            <w:shd w:val="clear" w:color="auto" w:fill="auto"/>
            <w:vAlign w:val="bottom"/>
          </w:tcPr>
          <w:p w14:paraId="71D403D0" w14:textId="77777777" w:rsidR="006A3667" w:rsidRDefault="006A3667">
            <w:pPr>
              <w:rPr>
                <w:rFonts w:ascii="宋体"/>
                <w:vanish/>
              </w:rPr>
            </w:pPr>
          </w:p>
        </w:tc>
        <w:tc>
          <w:tcPr>
            <w:tcW w:w="0" w:type="auto"/>
            <w:gridSpan w:val="3"/>
            <w:shd w:val="clear" w:color="auto" w:fill="auto"/>
            <w:vAlign w:val="bottom"/>
          </w:tcPr>
          <w:p w14:paraId="71D403D1" w14:textId="77777777" w:rsidR="006A3667" w:rsidRDefault="006A3667">
            <w:pPr>
              <w:rPr>
                <w:rFonts w:ascii="宋体"/>
                <w:vanish/>
              </w:rPr>
            </w:pPr>
          </w:p>
        </w:tc>
        <w:tc>
          <w:tcPr>
            <w:tcW w:w="0" w:type="auto"/>
            <w:gridSpan w:val="3"/>
            <w:shd w:val="clear" w:color="auto" w:fill="auto"/>
            <w:vAlign w:val="bottom"/>
          </w:tcPr>
          <w:p w14:paraId="71D403D2" w14:textId="77777777" w:rsidR="006A3667" w:rsidRDefault="006A3667">
            <w:pPr>
              <w:rPr>
                <w:rFonts w:ascii="宋体"/>
                <w:vanish/>
              </w:rPr>
            </w:pPr>
          </w:p>
        </w:tc>
      </w:tr>
      <w:tr w:rsidR="006A3667" w14:paraId="71D403DD" w14:textId="77777777">
        <w:trPr>
          <w:hidden/>
        </w:trPr>
        <w:tc>
          <w:tcPr>
            <w:tcW w:w="0" w:type="auto"/>
            <w:gridSpan w:val="3"/>
            <w:shd w:val="clear" w:color="auto" w:fill="auto"/>
            <w:vAlign w:val="bottom"/>
          </w:tcPr>
          <w:p w14:paraId="71D403D4" w14:textId="77777777" w:rsidR="006A3667" w:rsidRDefault="006A3667">
            <w:pPr>
              <w:rPr>
                <w:rFonts w:ascii="宋体"/>
                <w:vanish/>
              </w:rPr>
            </w:pPr>
          </w:p>
        </w:tc>
        <w:tc>
          <w:tcPr>
            <w:tcW w:w="0" w:type="auto"/>
            <w:gridSpan w:val="3"/>
            <w:shd w:val="clear" w:color="auto" w:fill="auto"/>
            <w:vAlign w:val="bottom"/>
          </w:tcPr>
          <w:p w14:paraId="71D403D5" w14:textId="77777777" w:rsidR="006A3667" w:rsidRDefault="006A3667">
            <w:pPr>
              <w:rPr>
                <w:rFonts w:ascii="宋体"/>
                <w:vanish/>
              </w:rPr>
            </w:pPr>
          </w:p>
        </w:tc>
        <w:tc>
          <w:tcPr>
            <w:tcW w:w="0" w:type="auto"/>
            <w:gridSpan w:val="3"/>
            <w:shd w:val="clear" w:color="auto" w:fill="auto"/>
            <w:vAlign w:val="bottom"/>
          </w:tcPr>
          <w:p w14:paraId="71D403D6" w14:textId="77777777" w:rsidR="006A3667" w:rsidRDefault="006A3667">
            <w:pPr>
              <w:rPr>
                <w:rFonts w:ascii="宋体"/>
                <w:vanish/>
              </w:rPr>
            </w:pPr>
          </w:p>
        </w:tc>
        <w:tc>
          <w:tcPr>
            <w:tcW w:w="0" w:type="auto"/>
            <w:gridSpan w:val="3"/>
            <w:shd w:val="clear" w:color="auto" w:fill="auto"/>
            <w:vAlign w:val="bottom"/>
          </w:tcPr>
          <w:p w14:paraId="71D403D7" w14:textId="77777777" w:rsidR="006A3667" w:rsidRDefault="006A3667">
            <w:pPr>
              <w:rPr>
                <w:rFonts w:ascii="宋体"/>
                <w:vanish/>
              </w:rPr>
            </w:pPr>
          </w:p>
        </w:tc>
        <w:tc>
          <w:tcPr>
            <w:tcW w:w="0" w:type="auto"/>
            <w:gridSpan w:val="3"/>
            <w:shd w:val="clear" w:color="auto" w:fill="auto"/>
            <w:vAlign w:val="bottom"/>
          </w:tcPr>
          <w:p w14:paraId="71D403D8" w14:textId="77777777" w:rsidR="006A3667" w:rsidRDefault="006A3667">
            <w:pPr>
              <w:rPr>
                <w:rFonts w:ascii="宋体"/>
                <w:vanish/>
              </w:rPr>
            </w:pPr>
          </w:p>
        </w:tc>
        <w:tc>
          <w:tcPr>
            <w:tcW w:w="0" w:type="auto"/>
            <w:gridSpan w:val="3"/>
            <w:shd w:val="clear" w:color="auto" w:fill="auto"/>
            <w:vAlign w:val="bottom"/>
          </w:tcPr>
          <w:p w14:paraId="71D403D9" w14:textId="77777777" w:rsidR="006A3667" w:rsidRDefault="006A3667">
            <w:pPr>
              <w:rPr>
                <w:rFonts w:ascii="宋体"/>
                <w:vanish/>
              </w:rPr>
            </w:pPr>
          </w:p>
        </w:tc>
        <w:tc>
          <w:tcPr>
            <w:tcW w:w="0" w:type="auto"/>
            <w:gridSpan w:val="3"/>
            <w:shd w:val="clear" w:color="auto" w:fill="auto"/>
            <w:vAlign w:val="bottom"/>
          </w:tcPr>
          <w:p w14:paraId="71D403DA" w14:textId="77777777" w:rsidR="006A3667" w:rsidRDefault="006A3667">
            <w:pPr>
              <w:rPr>
                <w:rFonts w:ascii="宋体"/>
                <w:vanish/>
              </w:rPr>
            </w:pPr>
          </w:p>
        </w:tc>
        <w:tc>
          <w:tcPr>
            <w:tcW w:w="0" w:type="auto"/>
            <w:gridSpan w:val="3"/>
            <w:shd w:val="clear" w:color="auto" w:fill="auto"/>
            <w:vAlign w:val="bottom"/>
          </w:tcPr>
          <w:p w14:paraId="71D403DB" w14:textId="77777777" w:rsidR="006A3667" w:rsidRDefault="006A3667">
            <w:pPr>
              <w:rPr>
                <w:rFonts w:ascii="宋体"/>
                <w:vanish/>
              </w:rPr>
            </w:pPr>
          </w:p>
        </w:tc>
        <w:tc>
          <w:tcPr>
            <w:tcW w:w="0" w:type="auto"/>
            <w:gridSpan w:val="3"/>
            <w:shd w:val="clear" w:color="auto" w:fill="auto"/>
            <w:vAlign w:val="bottom"/>
          </w:tcPr>
          <w:p w14:paraId="71D403DC" w14:textId="77777777" w:rsidR="006A3667" w:rsidRDefault="006A3667">
            <w:pPr>
              <w:rPr>
                <w:rFonts w:ascii="宋体"/>
                <w:vanish/>
              </w:rPr>
            </w:pPr>
          </w:p>
        </w:tc>
      </w:tr>
      <w:tr w:rsidR="006A3667" w14:paraId="71D403E7" w14:textId="77777777">
        <w:trPr>
          <w:hidden/>
        </w:trPr>
        <w:tc>
          <w:tcPr>
            <w:tcW w:w="0" w:type="auto"/>
            <w:gridSpan w:val="3"/>
            <w:shd w:val="clear" w:color="auto" w:fill="auto"/>
            <w:vAlign w:val="bottom"/>
          </w:tcPr>
          <w:p w14:paraId="71D403DE" w14:textId="77777777" w:rsidR="006A3667" w:rsidRDefault="006A3667">
            <w:pPr>
              <w:rPr>
                <w:rFonts w:ascii="宋体"/>
                <w:vanish/>
              </w:rPr>
            </w:pPr>
          </w:p>
        </w:tc>
        <w:tc>
          <w:tcPr>
            <w:tcW w:w="0" w:type="auto"/>
            <w:gridSpan w:val="3"/>
            <w:shd w:val="clear" w:color="auto" w:fill="auto"/>
            <w:vAlign w:val="bottom"/>
          </w:tcPr>
          <w:p w14:paraId="71D403DF" w14:textId="77777777" w:rsidR="006A3667" w:rsidRDefault="006A3667">
            <w:pPr>
              <w:rPr>
                <w:rFonts w:ascii="宋体"/>
                <w:vanish/>
              </w:rPr>
            </w:pPr>
          </w:p>
        </w:tc>
        <w:tc>
          <w:tcPr>
            <w:tcW w:w="0" w:type="auto"/>
            <w:gridSpan w:val="3"/>
            <w:shd w:val="clear" w:color="auto" w:fill="auto"/>
            <w:vAlign w:val="bottom"/>
          </w:tcPr>
          <w:p w14:paraId="71D403E0" w14:textId="77777777" w:rsidR="006A3667" w:rsidRDefault="006A3667">
            <w:pPr>
              <w:rPr>
                <w:rFonts w:ascii="宋体"/>
                <w:vanish/>
              </w:rPr>
            </w:pPr>
          </w:p>
        </w:tc>
        <w:tc>
          <w:tcPr>
            <w:tcW w:w="0" w:type="auto"/>
            <w:gridSpan w:val="3"/>
            <w:shd w:val="clear" w:color="auto" w:fill="auto"/>
            <w:vAlign w:val="bottom"/>
          </w:tcPr>
          <w:p w14:paraId="71D403E1" w14:textId="77777777" w:rsidR="006A3667" w:rsidRDefault="006A3667">
            <w:pPr>
              <w:rPr>
                <w:rFonts w:ascii="宋体"/>
                <w:vanish/>
              </w:rPr>
            </w:pPr>
          </w:p>
        </w:tc>
        <w:tc>
          <w:tcPr>
            <w:tcW w:w="0" w:type="auto"/>
            <w:gridSpan w:val="3"/>
            <w:shd w:val="clear" w:color="auto" w:fill="auto"/>
            <w:vAlign w:val="bottom"/>
          </w:tcPr>
          <w:p w14:paraId="71D403E2" w14:textId="77777777" w:rsidR="006A3667" w:rsidRDefault="006A3667">
            <w:pPr>
              <w:rPr>
                <w:rFonts w:ascii="宋体"/>
                <w:vanish/>
              </w:rPr>
            </w:pPr>
          </w:p>
        </w:tc>
        <w:tc>
          <w:tcPr>
            <w:tcW w:w="0" w:type="auto"/>
            <w:gridSpan w:val="3"/>
            <w:shd w:val="clear" w:color="auto" w:fill="auto"/>
            <w:vAlign w:val="bottom"/>
          </w:tcPr>
          <w:p w14:paraId="71D403E3" w14:textId="77777777" w:rsidR="006A3667" w:rsidRDefault="006A3667">
            <w:pPr>
              <w:rPr>
                <w:rFonts w:ascii="宋体"/>
                <w:vanish/>
              </w:rPr>
            </w:pPr>
          </w:p>
        </w:tc>
        <w:tc>
          <w:tcPr>
            <w:tcW w:w="0" w:type="auto"/>
            <w:gridSpan w:val="3"/>
            <w:shd w:val="clear" w:color="auto" w:fill="auto"/>
            <w:vAlign w:val="bottom"/>
          </w:tcPr>
          <w:p w14:paraId="71D403E4" w14:textId="77777777" w:rsidR="006A3667" w:rsidRDefault="006A3667">
            <w:pPr>
              <w:rPr>
                <w:rFonts w:ascii="宋体"/>
                <w:vanish/>
              </w:rPr>
            </w:pPr>
          </w:p>
        </w:tc>
        <w:tc>
          <w:tcPr>
            <w:tcW w:w="0" w:type="auto"/>
            <w:gridSpan w:val="3"/>
            <w:shd w:val="clear" w:color="auto" w:fill="auto"/>
            <w:vAlign w:val="bottom"/>
          </w:tcPr>
          <w:p w14:paraId="71D403E5" w14:textId="77777777" w:rsidR="006A3667" w:rsidRDefault="006A3667">
            <w:pPr>
              <w:rPr>
                <w:rFonts w:ascii="宋体"/>
                <w:vanish/>
              </w:rPr>
            </w:pPr>
          </w:p>
        </w:tc>
        <w:tc>
          <w:tcPr>
            <w:tcW w:w="0" w:type="auto"/>
            <w:gridSpan w:val="3"/>
            <w:shd w:val="clear" w:color="auto" w:fill="auto"/>
            <w:vAlign w:val="bottom"/>
          </w:tcPr>
          <w:p w14:paraId="71D403E6" w14:textId="77777777" w:rsidR="006A3667" w:rsidRDefault="006A3667">
            <w:pPr>
              <w:rPr>
                <w:rFonts w:ascii="宋体"/>
                <w:vanish/>
              </w:rPr>
            </w:pPr>
          </w:p>
        </w:tc>
      </w:tr>
      <w:tr w:rsidR="006A3667" w14:paraId="71D403F1" w14:textId="77777777">
        <w:trPr>
          <w:hidden/>
        </w:trPr>
        <w:tc>
          <w:tcPr>
            <w:tcW w:w="0" w:type="auto"/>
            <w:gridSpan w:val="3"/>
            <w:shd w:val="clear" w:color="auto" w:fill="auto"/>
            <w:vAlign w:val="bottom"/>
          </w:tcPr>
          <w:p w14:paraId="71D403E8" w14:textId="77777777" w:rsidR="006A3667" w:rsidRDefault="006A3667">
            <w:pPr>
              <w:rPr>
                <w:rFonts w:ascii="宋体"/>
                <w:vanish/>
              </w:rPr>
            </w:pPr>
          </w:p>
        </w:tc>
        <w:tc>
          <w:tcPr>
            <w:tcW w:w="0" w:type="auto"/>
            <w:gridSpan w:val="3"/>
            <w:shd w:val="clear" w:color="auto" w:fill="auto"/>
            <w:vAlign w:val="bottom"/>
          </w:tcPr>
          <w:p w14:paraId="71D403E9" w14:textId="77777777" w:rsidR="006A3667" w:rsidRDefault="006A3667">
            <w:pPr>
              <w:rPr>
                <w:rFonts w:ascii="宋体"/>
                <w:vanish/>
              </w:rPr>
            </w:pPr>
          </w:p>
        </w:tc>
        <w:tc>
          <w:tcPr>
            <w:tcW w:w="0" w:type="auto"/>
            <w:gridSpan w:val="3"/>
            <w:shd w:val="clear" w:color="auto" w:fill="auto"/>
            <w:vAlign w:val="bottom"/>
          </w:tcPr>
          <w:p w14:paraId="71D403EA" w14:textId="77777777" w:rsidR="006A3667" w:rsidRDefault="006A3667">
            <w:pPr>
              <w:rPr>
                <w:rFonts w:ascii="宋体"/>
                <w:vanish/>
              </w:rPr>
            </w:pPr>
          </w:p>
        </w:tc>
        <w:tc>
          <w:tcPr>
            <w:tcW w:w="0" w:type="auto"/>
            <w:gridSpan w:val="3"/>
            <w:shd w:val="clear" w:color="auto" w:fill="auto"/>
            <w:vAlign w:val="bottom"/>
          </w:tcPr>
          <w:p w14:paraId="71D403EB" w14:textId="77777777" w:rsidR="006A3667" w:rsidRDefault="006A3667">
            <w:pPr>
              <w:rPr>
                <w:rFonts w:ascii="宋体"/>
                <w:vanish/>
              </w:rPr>
            </w:pPr>
          </w:p>
        </w:tc>
        <w:tc>
          <w:tcPr>
            <w:tcW w:w="0" w:type="auto"/>
            <w:gridSpan w:val="3"/>
            <w:shd w:val="clear" w:color="auto" w:fill="auto"/>
            <w:vAlign w:val="bottom"/>
          </w:tcPr>
          <w:p w14:paraId="71D403EC" w14:textId="77777777" w:rsidR="006A3667" w:rsidRDefault="006A3667">
            <w:pPr>
              <w:rPr>
                <w:rFonts w:ascii="宋体"/>
                <w:vanish/>
              </w:rPr>
            </w:pPr>
          </w:p>
        </w:tc>
        <w:tc>
          <w:tcPr>
            <w:tcW w:w="0" w:type="auto"/>
            <w:gridSpan w:val="3"/>
            <w:shd w:val="clear" w:color="auto" w:fill="auto"/>
            <w:vAlign w:val="bottom"/>
          </w:tcPr>
          <w:p w14:paraId="71D403ED" w14:textId="77777777" w:rsidR="006A3667" w:rsidRDefault="006A3667">
            <w:pPr>
              <w:rPr>
                <w:rFonts w:ascii="宋体"/>
                <w:vanish/>
              </w:rPr>
            </w:pPr>
          </w:p>
        </w:tc>
        <w:tc>
          <w:tcPr>
            <w:tcW w:w="0" w:type="auto"/>
            <w:gridSpan w:val="3"/>
            <w:shd w:val="clear" w:color="auto" w:fill="auto"/>
            <w:vAlign w:val="bottom"/>
          </w:tcPr>
          <w:p w14:paraId="71D403EE" w14:textId="77777777" w:rsidR="006A3667" w:rsidRDefault="006A3667">
            <w:pPr>
              <w:rPr>
                <w:rFonts w:ascii="宋体"/>
                <w:vanish/>
              </w:rPr>
            </w:pPr>
          </w:p>
        </w:tc>
        <w:tc>
          <w:tcPr>
            <w:tcW w:w="0" w:type="auto"/>
            <w:gridSpan w:val="3"/>
            <w:shd w:val="clear" w:color="auto" w:fill="auto"/>
            <w:vAlign w:val="bottom"/>
          </w:tcPr>
          <w:p w14:paraId="71D403EF" w14:textId="77777777" w:rsidR="006A3667" w:rsidRDefault="006A3667">
            <w:pPr>
              <w:rPr>
                <w:rFonts w:ascii="宋体"/>
                <w:vanish/>
              </w:rPr>
            </w:pPr>
          </w:p>
        </w:tc>
        <w:tc>
          <w:tcPr>
            <w:tcW w:w="0" w:type="auto"/>
            <w:gridSpan w:val="3"/>
            <w:shd w:val="clear" w:color="auto" w:fill="auto"/>
            <w:vAlign w:val="bottom"/>
          </w:tcPr>
          <w:p w14:paraId="71D403F0" w14:textId="77777777" w:rsidR="006A3667" w:rsidRDefault="006A3667">
            <w:pPr>
              <w:rPr>
                <w:rFonts w:ascii="宋体"/>
                <w:vanish/>
              </w:rPr>
            </w:pPr>
          </w:p>
        </w:tc>
      </w:tr>
      <w:tr w:rsidR="006A3667" w14:paraId="71D403FD" w14:textId="77777777">
        <w:tc>
          <w:tcPr>
            <w:tcW w:w="0" w:type="auto"/>
            <w:gridSpan w:val="3"/>
            <w:shd w:val="clear" w:color="auto" w:fill="CCEEFF"/>
            <w:tcMar>
              <w:top w:w="40" w:type="dxa"/>
              <w:left w:w="20" w:type="dxa"/>
              <w:bottom w:w="40" w:type="dxa"/>
              <w:right w:w="20" w:type="dxa"/>
            </w:tcMar>
            <w:vAlign w:val="bottom"/>
          </w:tcPr>
          <w:p w14:paraId="71D403F2" w14:textId="77777777" w:rsidR="006A3667" w:rsidRDefault="00045F32">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(8)</w:t>
            </w:r>
          </w:p>
        </w:tc>
        <w:tc>
          <w:tcPr>
            <w:tcW w:w="0" w:type="auto"/>
            <w:gridSpan w:val="2"/>
            <w:shd w:val="clear" w:color="auto" w:fill="CCEEFF"/>
            <w:tcMar>
              <w:top w:w="40" w:type="dxa"/>
              <w:left w:w="20" w:type="dxa"/>
              <w:bottom w:w="40" w:type="dxa"/>
              <w:right w:w="0" w:type="dxa"/>
            </w:tcMar>
            <w:vAlign w:val="bottom"/>
          </w:tcPr>
          <w:p w14:paraId="71D403F3" w14:textId="77777777" w:rsidR="006A3667" w:rsidRDefault="00045F32">
            <w:pPr>
              <w:jc w:val="right"/>
              <w:textAlignment w:val="bottom"/>
            </w:pPr>
            <w:r>
              <w:rPr>
                <w:rFonts w:ascii="Arial" w:eastAsia="宋体" w:hAnsi="Arial" w:cs="Arial"/>
                <w:b/>
                <w:bCs/>
                <w:color w:val="000000"/>
                <w:sz w:val="14"/>
                <w:szCs w:val="14"/>
              </w:rPr>
              <w:t>249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3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3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3F6" w14:textId="77777777" w:rsidR="006A3667" w:rsidRDefault="00045F32">
            <w:pPr>
              <w:jc w:val="right"/>
              <w:textAlignment w:val="bottom"/>
            </w:pPr>
            <w:r>
              <w:rPr>
                <w:rFonts w:ascii="Arial" w:eastAsia="宋体" w:hAnsi="Arial" w:cs="Arial"/>
                <w:color w:val="000000"/>
                <w:sz w:val="14"/>
                <w:szCs w:val="14"/>
              </w:rPr>
              <w:t>307 </w:t>
            </w:r>
          </w:p>
        </w:tc>
        <w:tc>
          <w:tcPr>
            <w:tcW w:w="0" w:type="auto"/>
            <w:shd w:val="clear" w:color="auto" w:fill="CCEEFF"/>
            <w:tcMar>
              <w:top w:w="40" w:type="dxa"/>
              <w:left w:w="0" w:type="dxa"/>
              <w:bottom w:w="40" w:type="dxa"/>
              <w:right w:w="20" w:type="dxa"/>
            </w:tcMar>
            <w:vAlign w:val="bottom"/>
          </w:tcPr>
          <w:p w14:paraId="71D403F7" w14:textId="77777777" w:rsidR="006A3667" w:rsidRDefault="006A3667">
            <w:pPr>
              <w:jc w:val="right"/>
              <w:rPr>
                <w:rFonts w:ascii="宋体"/>
              </w:rPr>
            </w:pPr>
          </w:p>
        </w:tc>
        <w:tc>
          <w:tcPr>
            <w:tcW w:w="0" w:type="auto"/>
            <w:gridSpan w:val="3"/>
            <w:shd w:val="clear" w:color="auto" w:fill="auto"/>
            <w:vAlign w:val="bottom"/>
          </w:tcPr>
          <w:p w14:paraId="71D403F8" w14:textId="77777777" w:rsidR="006A3667" w:rsidRDefault="006A3667">
            <w:pPr>
              <w:rPr>
                <w:rFonts w:ascii="宋体"/>
                <w:vanish/>
              </w:rPr>
            </w:pPr>
          </w:p>
        </w:tc>
        <w:tc>
          <w:tcPr>
            <w:tcW w:w="0" w:type="auto"/>
            <w:gridSpan w:val="3"/>
            <w:shd w:val="clear" w:color="auto" w:fill="auto"/>
            <w:vAlign w:val="bottom"/>
          </w:tcPr>
          <w:p w14:paraId="71D403F9" w14:textId="77777777" w:rsidR="006A3667" w:rsidRDefault="006A3667">
            <w:pPr>
              <w:rPr>
                <w:rFonts w:ascii="宋体"/>
                <w:vanish/>
              </w:rPr>
            </w:pPr>
          </w:p>
        </w:tc>
        <w:tc>
          <w:tcPr>
            <w:tcW w:w="0" w:type="auto"/>
            <w:gridSpan w:val="3"/>
            <w:shd w:val="clear" w:color="auto" w:fill="auto"/>
            <w:vAlign w:val="bottom"/>
          </w:tcPr>
          <w:p w14:paraId="71D403FA" w14:textId="77777777" w:rsidR="006A3667" w:rsidRDefault="006A3667">
            <w:pPr>
              <w:rPr>
                <w:rFonts w:ascii="宋体"/>
                <w:vanish/>
              </w:rPr>
            </w:pPr>
          </w:p>
        </w:tc>
        <w:tc>
          <w:tcPr>
            <w:tcW w:w="0" w:type="auto"/>
            <w:gridSpan w:val="3"/>
            <w:shd w:val="clear" w:color="auto" w:fill="auto"/>
            <w:vAlign w:val="bottom"/>
          </w:tcPr>
          <w:p w14:paraId="71D403FB" w14:textId="77777777" w:rsidR="006A3667" w:rsidRDefault="006A3667">
            <w:pPr>
              <w:rPr>
                <w:rFonts w:ascii="宋体"/>
                <w:vanish/>
              </w:rPr>
            </w:pPr>
          </w:p>
        </w:tc>
        <w:tc>
          <w:tcPr>
            <w:tcW w:w="0" w:type="auto"/>
            <w:gridSpan w:val="3"/>
            <w:shd w:val="clear" w:color="auto" w:fill="auto"/>
            <w:vAlign w:val="bottom"/>
          </w:tcPr>
          <w:p w14:paraId="71D403FC" w14:textId="77777777" w:rsidR="006A3667" w:rsidRDefault="006A3667">
            <w:pPr>
              <w:rPr>
                <w:rFonts w:ascii="宋体"/>
                <w:vanish/>
              </w:rPr>
            </w:pPr>
          </w:p>
        </w:tc>
      </w:tr>
      <w:tr w:rsidR="006A3667" w14:paraId="71D40409" w14:textId="77777777">
        <w:tc>
          <w:tcPr>
            <w:tcW w:w="0" w:type="auto"/>
            <w:gridSpan w:val="3"/>
            <w:shd w:val="clear" w:color="auto" w:fill="FFFFFF"/>
            <w:tcMar>
              <w:top w:w="40" w:type="dxa"/>
              <w:left w:w="20" w:type="dxa"/>
              <w:bottom w:w="40" w:type="dxa"/>
              <w:right w:w="20" w:type="dxa"/>
            </w:tcMar>
            <w:vAlign w:val="bottom"/>
          </w:tcPr>
          <w:p w14:paraId="71D403FE" w14:textId="77777777" w:rsidR="006A3667" w:rsidRDefault="00045F32">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3FF" w14:textId="77777777" w:rsidR="006A3667" w:rsidRDefault="00045F32">
            <w:pPr>
              <w:jc w:val="right"/>
              <w:textAlignment w:val="bottom"/>
            </w:pPr>
            <w:r>
              <w:rPr>
                <w:rFonts w:ascii="Arial" w:eastAsia="宋体" w:hAnsi="Arial" w:cs="Arial"/>
                <w:b/>
                <w:bCs/>
                <w:color w:val="000000"/>
                <w:sz w:val="14"/>
                <w:szCs w:val="14"/>
              </w:rPr>
              <w:t>4,487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4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40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402" w14:textId="77777777" w:rsidR="006A3667" w:rsidRDefault="00045F32">
            <w:pPr>
              <w:jc w:val="right"/>
              <w:textAlignment w:val="bottom"/>
            </w:pPr>
            <w:r>
              <w:rPr>
                <w:rFonts w:ascii="Arial" w:eastAsia="宋体" w:hAnsi="Arial" w:cs="Arial"/>
                <w:color w:val="000000"/>
                <w:sz w:val="14"/>
                <w:szCs w:val="14"/>
              </w:rPr>
              <w:t>5,215 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403" w14:textId="77777777" w:rsidR="006A3667" w:rsidRDefault="006A3667">
            <w:pPr>
              <w:jc w:val="right"/>
              <w:rPr>
                <w:rFonts w:ascii="宋体"/>
              </w:rPr>
            </w:pPr>
          </w:p>
        </w:tc>
        <w:tc>
          <w:tcPr>
            <w:tcW w:w="0" w:type="auto"/>
            <w:gridSpan w:val="3"/>
            <w:shd w:val="clear" w:color="auto" w:fill="auto"/>
            <w:vAlign w:val="bottom"/>
          </w:tcPr>
          <w:p w14:paraId="71D40404" w14:textId="77777777" w:rsidR="006A3667" w:rsidRDefault="006A3667">
            <w:pPr>
              <w:rPr>
                <w:rFonts w:ascii="宋体"/>
                <w:vanish/>
              </w:rPr>
            </w:pPr>
          </w:p>
        </w:tc>
        <w:tc>
          <w:tcPr>
            <w:tcW w:w="0" w:type="auto"/>
            <w:gridSpan w:val="3"/>
            <w:shd w:val="clear" w:color="auto" w:fill="auto"/>
            <w:vAlign w:val="bottom"/>
          </w:tcPr>
          <w:p w14:paraId="71D40405" w14:textId="77777777" w:rsidR="006A3667" w:rsidRDefault="006A3667">
            <w:pPr>
              <w:rPr>
                <w:rFonts w:ascii="宋体"/>
                <w:vanish/>
              </w:rPr>
            </w:pPr>
          </w:p>
        </w:tc>
        <w:tc>
          <w:tcPr>
            <w:tcW w:w="0" w:type="auto"/>
            <w:gridSpan w:val="3"/>
            <w:shd w:val="clear" w:color="auto" w:fill="auto"/>
            <w:vAlign w:val="bottom"/>
          </w:tcPr>
          <w:p w14:paraId="71D40406" w14:textId="77777777" w:rsidR="006A3667" w:rsidRDefault="006A3667">
            <w:pPr>
              <w:rPr>
                <w:rFonts w:ascii="宋体"/>
                <w:vanish/>
              </w:rPr>
            </w:pPr>
          </w:p>
        </w:tc>
        <w:tc>
          <w:tcPr>
            <w:tcW w:w="0" w:type="auto"/>
            <w:gridSpan w:val="3"/>
            <w:shd w:val="clear" w:color="auto" w:fill="auto"/>
            <w:vAlign w:val="bottom"/>
          </w:tcPr>
          <w:p w14:paraId="71D40407" w14:textId="77777777" w:rsidR="006A3667" w:rsidRDefault="006A3667">
            <w:pPr>
              <w:rPr>
                <w:rFonts w:ascii="宋体"/>
                <w:vanish/>
              </w:rPr>
            </w:pPr>
          </w:p>
        </w:tc>
        <w:tc>
          <w:tcPr>
            <w:tcW w:w="0" w:type="auto"/>
            <w:gridSpan w:val="3"/>
            <w:shd w:val="clear" w:color="auto" w:fill="auto"/>
            <w:vAlign w:val="bottom"/>
          </w:tcPr>
          <w:p w14:paraId="71D40408" w14:textId="77777777" w:rsidR="006A3667" w:rsidRDefault="006A3667">
            <w:pPr>
              <w:rPr>
                <w:rFonts w:ascii="宋体"/>
                <w:vanish/>
              </w:rPr>
            </w:pPr>
          </w:p>
        </w:tc>
      </w:tr>
      <w:tr w:rsidR="006A3667" w14:paraId="71D40413" w14:textId="77777777">
        <w:trPr>
          <w:hidden/>
        </w:trPr>
        <w:tc>
          <w:tcPr>
            <w:tcW w:w="0" w:type="auto"/>
            <w:gridSpan w:val="3"/>
            <w:shd w:val="clear" w:color="auto" w:fill="auto"/>
            <w:vAlign w:val="bottom"/>
          </w:tcPr>
          <w:p w14:paraId="71D4040A" w14:textId="77777777" w:rsidR="006A3667" w:rsidRDefault="006A3667">
            <w:pPr>
              <w:rPr>
                <w:rFonts w:ascii="宋体"/>
                <w:vanish/>
              </w:rPr>
            </w:pPr>
          </w:p>
        </w:tc>
        <w:tc>
          <w:tcPr>
            <w:tcW w:w="0" w:type="auto"/>
            <w:gridSpan w:val="3"/>
            <w:shd w:val="clear" w:color="auto" w:fill="auto"/>
            <w:vAlign w:val="bottom"/>
          </w:tcPr>
          <w:p w14:paraId="71D4040B" w14:textId="77777777" w:rsidR="006A3667" w:rsidRDefault="006A3667">
            <w:pPr>
              <w:rPr>
                <w:rFonts w:ascii="宋体"/>
                <w:vanish/>
              </w:rPr>
            </w:pPr>
          </w:p>
        </w:tc>
        <w:tc>
          <w:tcPr>
            <w:tcW w:w="0" w:type="auto"/>
            <w:gridSpan w:val="3"/>
            <w:shd w:val="clear" w:color="auto" w:fill="auto"/>
            <w:vAlign w:val="bottom"/>
          </w:tcPr>
          <w:p w14:paraId="71D4040C" w14:textId="77777777" w:rsidR="006A3667" w:rsidRDefault="006A3667">
            <w:pPr>
              <w:rPr>
                <w:rFonts w:ascii="宋体"/>
                <w:vanish/>
              </w:rPr>
            </w:pPr>
          </w:p>
        </w:tc>
        <w:tc>
          <w:tcPr>
            <w:tcW w:w="0" w:type="auto"/>
            <w:gridSpan w:val="3"/>
            <w:shd w:val="clear" w:color="auto" w:fill="auto"/>
            <w:vAlign w:val="bottom"/>
          </w:tcPr>
          <w:p w14:paraId="71D4040D" w14:textId="77777777" w:rsidR="006A3667" w:rsidRDefault="006A3667">
            <w:pPr>
              <w:rPr>
                <w:rFonts w:ascii="宋体"/>
                <w:vanish/>
              </w:rPr>
            </w:pPr>
          </w:p>
        </w:tc>
        <w:tc>
          <w:tcPr>
            <w:tcW w:w="0" w:type="auto"/>
            <w:gridSpan w:val="3"/>
            <w:shd w:val="clear" w:color="auto" w:fill="auto"/>
            <w:vAlign w:val="bottom"/>
          </w:tcPr>
          <w:p w14:paraId="71D4040E" w14:textId="77777777" w:rsidR="006A3667" w:rsidRDefault="006A3667">
            <w:pPr>
              <w:rPr>
                <w:rFonts w:ascii="宋体"/>
                <w:vanish/>
              </w:rPr>
            </w:pPr>
          </w:p>
        </w:tc>
        <w:tc>
          <w:tcPr>
            <w:tcW w:w="0" w:type="auto"/>
            <w:gridSpan w:val="3"/>
            <w:shd w:val="clear" w:color="auto" w:fill="auto"/>
            <w:vAlign w:val="bottom"/>
          </w:tcPr>
          <w:p w14:paraId="71D4040F" w14:textId="77777777" w:rsidR="006A3667" w:rsidRDefault="006A3667">
            <w:pPr>
              <w:rPr>
                <w:rFonts w:ascii="宋体"/>
                <w:vanish/>
              </w:rPr>
            </w:pPr>
          </w:p>
        </w:tc>
        <w:tc>
          <w:tcPr>
            <w:tcW w:w="0" w:type="auto"/>
            <w:gridSpan w:val="3"/>
            <w:shd w:val="clear" w:color="auto" w:fill="auto"/>
            <w:vAlign w:val="bottom"/>
          </w:tcPr>
          <w:p w14:paraId="71D40410" w14:textId="77777777" w:rsidR="006A3667" w:rsidRDefault="006A3667">
            <w:pPr>
              <w:rPr>
                <w:rFonts w:ascii="宋体"/>
                <w:vanish/>
              </w:rPr>
            </w:pPr>
          </w:p>
        </w:tc>
        <w:tc>
          <w:tcPr>
            <w:tcW w:w="0" w:type="auto"/>
            <w:gridSpan w:val="3"/>
            <w:shd w:val="clear" w:color="auto" w:fill="auto"/>
            <w:vAlign w:val="bottom"/>
          </w:tcPr>
          <w:p w14:paraId="71D40411" w14:textId="77777777" w:rsidR="006A3667" w:rsidRDefault="006A3667">
            <w:pPr>
              <w:rPr>
                <w:rFonts w:ascii="宋体"/>
                <w:vanish/>
              </w:rPr>
            </w:pPr>
          </w:p>
        </w:tc>
        <w:tc>
          <w:tcPr>
            <w:tcW w:w="0" w:type="auto"/>
            <w:gridSpan w:val="3"/>
            <w:shd w:val="clear" w:color="auto" w:fill="auto"/>
            <w:vAlign w:val="bottom"/>
          </w:tcPr>
          <w:p w14:paraId="71D40412" w14:textId="77777777" w:rsidR="006A3667" w:rsidRDefault="006A3667">
            <w:pPr>
              <w:rPr>
                <w:rFonts w:ascii="宋体"/>
                <w:vanish/>
              </w:rPr>
            </w:pPr>
          </w:p>
        </w:tc>
      </w:tr>
      <w:tr w:rsidR="006A3667" w14:paraId="71D4041D" w14:textId="77777777">
        <w:trPr>
          <w:hidden/>
        </w:trPr>
        <w:tc>
          <w:tcPr>
            <w:tcW w:w="0" w:type="auto"/>
            <w:gridSpan w:val="3"/>
            <w:shd w:val="clear" w:color="auto" w:fill="auto"/>
            <w:vAlign w:val="bottom"/>
          </w:tcPr>
          <w:p w14:paraId="71D40414" w14:textId="77777777" w:rsidR="006A3667" w:rsidRDefault="006A3667">
            <w:pPr>
              <w:rPr>
                <w:rFonts w:ascii="宋体"/>
                <w:vanish/>
              </w:rPr>
            </w:pPr>
          </w:p>
        </w:tc>
        <w:tc>
          <w:tcPr>
            <w:tcW w:w="0" w:type="auto"/>
            <w:gridSpan w:val="3"/>
            <w:shd w:val="clear" w:color="auto" w:fill="auto"/>
            <w:vAlign w:val="bottom"/>
          </w:tcPr>
          <w:p w14:paraId="71D40415" w14:textId="77777777" w:rsidR="006A3667" w:rsidRDefault="006A3667">
            <w:pPr>
              <w:rPr>
                <w:rFonts w:ascii="宋体"/>
                <w:vanish/>
              </w:rPr>
            </w:pPr>
          </w:p>
        </w:tc>
        <w:tc>
          <w:tcPr>
            <w:tcW w:w="0" w:type="auto"/>
            <w:gridSpan w:val="3"/>
            <w:shd w:val="clear" w:color="auto" w:fill="auto"/>
            <w:vAlign w:val="bottom"/>
          </w:tcPr>
          <w:p w14:paraId="71D40416" w14:textId="77777777" w:rsidR="006A3667" w:rsidRDefault="006A3667">
            <w:pPr>
              <w:rPr>
                <w:rFonts w:ascii="宋体"/>
                <w:vanish/>
              </w:rPr>
            </w:pPr>
          </w:p>
        </w:tc>
        <w:tc>
          <w:tcPr>
            <w:tcW w:w="0" w:type="auto"/>
            <w:gridSpan w:val="3"/>
            <w:shd w:val="clear" w:color="auto" w:fill="auto"/>
            <w:vAlign w:val="bottom"/>
          </w:tcPr>
          <w:p w14:paraId="71D40417" w14:textId="77777777" w:rsidR="006A3667" w:rsidRDefault="006A3667">
            <w:pPr>
              <w:rPr>
                <w:rFonts w:ascii="宋体"/>
                <w:vanish/>
              </w:rPr>
            </w:pPr>
          </w:p>
        </w:tc>
        <w:tc>
          <w:tcPr>
            <w:tcW w:w="0" w:type="auto"/>
            <w:gridSpan w:val="3"/>
            <w:shd w:val="clear" w:color="auto" w:fill="auto"/>
            <w:vAlign w:val="bottom"/>
          </w:tcPr>
          <w:p w14:paraId="71D40418" w14:textId="77777777" w:rsidR="006A3667" w:rsidRDefault="006A3667">
            <w:pPr>
              <w:rPr>
                <w:rFonts w:ascii="宋体"/>
                <w:vanish/>
              </w:rPr>
            </w:pPr>
          </w:p>
        </w:tc>
        <w:tc>
          <w:tcPr>
            <w:tcW w:w="0" w:type="auto"/>
            <w:gridSpan w:val="3"/>
            <w:shd w:val="clear" w:color="auto" w:fill="auto"/>
            <w:vAlign w:val="bottom"/>
          </w:tcPr>
          <w:p w14:paraId="71D40419" w14:textId="77777777" w:rsidR="006A3667" w:rsidRDefault="006A3667">
            <w:pPr>
              <w:rPr>
                <w:rFonts w:ascii="宋体"/>
                <w:vanish/>
              </w:rPr>
            </w:pPr>
          </w:p>
        </w:tc>
        <w:tc>
          <w:tcPr>
            <w:tcW w:w="0" w:type="auto"/>
            <w:gridSpan w:val="3"/>
            <w:shd w:val="clear" w:color="auto" w:fill="auto"/>
            <w:vAlign w:val="bottom"/>
          </w:tcPr>
          <w:p w14:paraId="71D4041A" w14:textId="77777777" w:rsidR="006A3667" w:rsidRDefault="006A3667">
            <w:pPr>
              <w:rPr>
                <w:rFonts w:ascii="宋体"/>
                <w:vanish/>
              </w:rPr>
            </w:pPr>
          </w:p>
        </w:tc>
        <w:tc>
          <w:tcPr>
            <w:tcW w:w="0" w:type="auto"/>
            <w:gridSpan w:val="3"/>
            <w:shd w:val="clear" w:color="auto" w:fill="auto"/>
            <w:vAlign w:val="bottom"/>
          </w:tcPr>
          <w:p w14:paraId="71D4041B" w14:textId="77777777" w:rsidR="006A3667" w:rsidRDefault="006A3667">
            <w:pPr>
              <w:rPr>
                <w:rFonts w:ascii="宋体"/>
                <w:vanish/>
              </w:rPr>
            </w:pPr>
          </w:p>
        </w:tc>
        <w:tc>
          <w:tcPr>
            <w:tcW w:w="0" w:type="auto"/>
            <w:gridSpan w:val="3"/>
            <w:shd w:val="clear" w:color="auto" w:fill="auto"/>
            <w:vAlign w:val="bottom"/>
          </w:tcPr>
          <w:p w14:paraId="71D4041C" w14:textId="77777777" w:rsidR="006A3667" w:rsidRDefault="006A3667">
            <w:pPr>
              <w:rPr>
                <w:rFonts w:ascii="宋体"/>
                <w:vanish/>
              </w:rPr>
            </w:pPr>
          </w:p>
        </w:tc>
      </w:tr>
      <w:tr w:rsidR="006A3667" w14:paraId="71D40427" w14:textId="77777777">
        <w:trPr>
          <w:hidden/>
        </w:trPr>
        <w:tc>
          <w:tcPr>
            <w:tcW w:w="0" w:type="auto"/>
            <w:gridSpan w:val="3"/>
            <w:shd w:val="clear" w:color="auto" w:fill="auto"/>
            <w:vAlign w:val="bottom"/>
          </w:tcPr>
          <w:p w14:paraId="71D4041E" w14:textId="77777777" w:rsidR="006A3667" w:rsidRDefault="006A3667">
            <w:pPr>
              <w:rPr>
                <w:rFonts w:ascii="宋体"/>
                <w:vanish/>
              </w:rPr>
            </w:pPr>
          </w:p>
        </w:tc>
        <w:tc>
          <w:tcPr>
            <w:tcW w:w="0" w:type="auto"/>
            <w:gridSpan w:val="3"/>
            <w:shd w:val="clear" w:color="auto" w:fill="auto"/>
            <w:vAlign w:val="bottom"/>
          </w:tcPr>
          <w:p w14:paraId="71D4041F" w14:textId="77777777" w:rsidR="006A3667" w:rsidRDefault="006A3667">
            <w:pPr>
              <w:rPr>
                <w:rFonts w:ascii="宋体"/>
                <w:vanish/>
              </w:rPr>
            </w:pPr>
          </w:p>
        </w:tc>
        <w:tc>
          <w:tcPr>
            <w:tcW w:w="0" w:type="auto"/>
            <w:gridSpan w:val="3"/>
            <w:shd w:val="clear" w:color="auto" w:fill="auto"/>
            <w:vAlign w:val="bottom"/>
          </w:tcPr>
          <w:p w14:paraId="71D40420" w14:textId="77777777" w:rsidR="006A3667" w:rsidRDefault="006A3667">
            <w:pPr>
              <w:rPr>
                <w:rFonts w:ascii="宋体"/>
                <w:vanish/>
              </w:rPr>
            </w:pPr>
          </w:p>
        </w:tc>
        <w:tc>
          <w:tcPr>
            <w:tcW w:w="0" w:type="auto"/>
            <w:gridSpan w:val="3"/>
            <w:shd w:val="clear" w:color="auto" w:fill="auto"/>
            <w:vAlign w:val="bottom"/>
          </w:tcPr>
          <w:p w14:paraId="71D40421" w14:textId="77777777" w:rsidR="006A3667" w:rsidRDefault="006A3667">
            <w:pPr>
              <w:rPr>
                <w:rFonts w:ascii="宋体"/>
                <w:vanish/>
              </w:rPr>
            </w:pPr>
          </w:p>
        </w:tc>
        <w:tc>
          <w:tcPr>
            <w:tcW w:w="0" w:type="auto"/>
            <w:gridSpan w:val="3"/>
            <w:shd w:val="clear" w:color="auto" w:fill="auto"/>
            <w:vAlign w:val="bottom"/>
          </w:tcPr>
          <w:p w14:paraId="71D40422" w14:textId="77777777" w:rsidR="006A3667" w:rsidRDefault="006A3667">
            <w:pPr>
              <w:rPr>
                <w:rFonts w:ascii="宋体"/>
                <w:vanish/>
              </w:rPr>
            </w:pPr>
          </w:p>
        </w:tc>
        <w:tc>
          <w:tcPr>
            <w:tcW w:w="0" w:type="auto"/>
            <w:gridSpan w:val="3"/>
            <w:shd w:val="clear" w:color="auto" w:fill="auto"/>
            <w:vAlign w:val="bottom"/>
          </w:tcPr>
          <w:p w14:paraId="71D40423" w14:textId="77777777" w:rsidR="006A3667" w:rsidRDefault="006A3667">
            <w:pPr>
              <w:rPr>
                <w:rFonts w:ascii="宋体"/>
                <w:vanish/>
              </w:rPr>
            </w:pPr>
          </w:p>
        </w:tc>
        <w:tc>
          <w:tcPr>
            <w:tcW w:w="0" w:type="auto"/>
            <w:gridSpan w:val="3"/>
            <w:shd w:val="clear" w:color="auto" w:fill="auto"/>
            <w:vAlign w:val="bottom"/>
          </w:tcPr>
          <w:p w14:paraId="71D40424" w14:textId="77777777" w:rsidR="006A3667" w:rsidRDefault="006A3667">
            <w:pPr>
              <w:rPr>
                <w:rFonts w:ascii="宋体"/>
                <w:vanish/>
              </w:rPr>
            </w:pPr>
          </w:p>
        </w:tc>
        <w:tc>
          <w:tcPr>
            <w:tcW w:w="0" w:type="auto"/>
            <w:gridSpan w:val="3"/>
            <w:shd w:val="clear" w:color="auto" w:fill="auto"/>
            <w:vAlign w:val="bottom"/>
          </w:tcPr>
          <w:p w14:paraId="71D40425" w14:textId="77777777" w:rsidR="006A3667" w:rsidRDefault="006A3667">
            <w:pPr>
              <w:rPr>
                <w:rFonts w:ascii="宋体"/>
                <w:vanish/>
              </w:rPr>
            </w:pPr>
          </w:p>
        </w:tc>
        <w:tc>
          <w:tcPr>
            <w:tcW w:w="0" w:type="auto"/>
            <w:gridSpan w:val="3"/>
            <w:shd w:val="clear" w:color="auto" w:fill="auto"/>
            <w:vAlign w:val="bottom"/>
          </w:tcPr>
          <w:p w14:paraId="71D40426" w14:textId="77777777" w:rsidR="006A3667" w:rsidRDefault="006A3667">
            <w:pPr>
              <w:rPr>
                <w:rFonts w:ascii="宋体"/>
                <w:vanish/>
              </w:rPr>
            </w:pPr>
          </w:p>
        </w:tc>
      </w:tr>
      <w:tr w:rsidR="006A3667" w14:paraId="71D40431" w14:textId="77777777">
        <w:trPr>
          <w:hidden/>
        </w:trPr>
        <w:tc>
          <w:tcPr>
            <w:tcW w:w="0" w:type="auto"/>
            <w:gridSpan w:val="3"/>
            <w:shd w:val="clear" w:color="auto" w:fill="auto"/>
            <w:vAlign w:val="bottom"/>
          </w:tcPr>
          <w:p w14:paraId="71D40428" w14:textId="77777777" w:rsidR="006A3667" w:rsidRDefault="006A3667">
            <w:pPr>
              <w:rPr>
                <w:rFonts w:ascii="宋体"/>
                <w:vanish/>
              </w:rPr>
            </w:pPr>
          </w:p>
        </w:tc>
        <w:tc>
          <w:tcPr>
            <w:tcW w:w="0" w:type="auto"/>
            <w:gridSpan w:val="3"/>
            <w:shd w:val="clear" w:color="auto" w:fill="auto"/>
            <w:vAlign w:val="bottom"/>
          </w:tcPr>
          <w:p w14:paraId="71D40429" w14:textId="77777777" w:rsidR="006A3667" w:rsidRDefault="006A3667">
            <w:pPr>
              <w:rPr>
                <w:rFonts w:ascii="宋体"/>
                <w:vanish/>
              </w:rPr>
            </w:pPr>
          </w:p>
        </w:tc>
        <w:tc>
          <w:tcPr>
            <w:tcW w:w="0" w:type="auto"/>
            <w:gridSpan w:val="3"/>
            <w:shd w:val="clear" w:color="auto" w:fill="auto"/>
            <w:vAlign w:val="bottom"/>
          </w:tcPr>
          <w:p w14:paraId="71D4042A" w14:textId="77777777" w:rsidR="006A3667" w:rsidRDefault="006A3667">
            <w:pPr>
              <w:rPr>
                <w:rFonts w:ascii="宋体"/>
                <w:vanish/>
              </w:rPr>
            </w:pPr>
          </w:p>
        </w:tc>
        <w:tc>
          <w:tcPr>
            <w:tcW w:w="0" w:type="auto"/>
            <w:gridSpan w:val="3"/>
            <w:shd w:val="clear" w:color="auto" w:fill="auto"/>
            <w:vAlign w:val="bottom"/>
          </w:tcPr>
          <w:p w14:paraId="71D4042B" w14:textId="77777777" w:rsidR="006A3667" w:rsidRDefault="006A3667">
            <w:pPr>
              <w:rPr>
                <w:rFonts w:ascii="宋体"/>
                <w:vanish/>
              </w:rPr>
            </w:pPr>
          </w:p>
        </w:tc>
        <w:tc>
          <w:tcPr>
            <w:tcW w:w="0" w:type="auto"/>
            <w:gridSpan w:val="3"/>
            <w:shd w:val="clear" w:color="auto" w:fill="auto"/>
            <w:vAlign w:val="bottom"/>
          </w:tcPr>
          <w:p w14:paraId="71D4042C" w14:textId="77777777" w:rsidR="006A3667" w:rsidRDefault="006A3667">
            <w:pPr>
              <w:rPr>
                <w:rFonts w:ascii="宋体"/>
                <w:vanish/>
              </w:rPr>
            </w:pPr>
          </w:p>
        </w:tc>
        <w:tc>
          <w:tcPr>
            <w:tcW w:w="0" w:type="auto"/>
            <w:gridSpan w:val="3"/>
            <w:shd w:val="clear" w:color="auto" w:fill="auto"/>
            <w:vAlign w:val="bottom"/>
          </w:tcPr>
          <w:p w14:paraId="71D4042D" w14:textId="77777777" w:rsidR="006A3667" w:rsidRDefault="006A3667">
            <w:pPr>
              <w:rPr>
                <w:rFonts w:ascii="宋体"/>
                <w:vanish/>
              </w:rPr>
            </w:pPr>
          </w:p>
        </w:tc>
        <w:tc>
          <w:tcPr>
            <w:tcW w:w="0" w:type="auto"/>
            <w:gridSpan w:val="3"/>
            <w:shd w:val="clear" w:color="auto" w:fill="auto"/>
            <w:vAlign w:val="bottom"/>
          </w:tcPr>
          <w:p w14:paraId="71D4042E" w14:textId="77777777" w:rsidR="006A3667" w:rsidRDefault="006A3667">
            <w:pPr>
              <w:rPr>
                <w:rFonts w:ascii="宋体"/>
                <w:vanish/>
              </w:rPr>
            </w:pPr>
          </w:p>
        </w:tc>
        <w:tc>
          <w:tcPr>
            <w:tcW w:w="0" w:type="auto"/>
            <w:gridSpan w:val="3"/>
            <w:shd w:val="clear" w:color="auto" w:fill="auto"/>
            <w:vAlign w:val="bottom"/>
          </w:tcPr>
          <w:p w14:paraId="71D4042F" w14:textId="77777777" w:rsidR="006A3667" w:rsidRDefault="006A3667">
            <w:pPr>
              <w:rPr>
                <w:rFonts w:ascii="宋体"/>
                <w:vanish/>
              </w:rPr>
            </w:pPr>
          </w:p>
        </w:tc>
        <w:tc>
          <w:tcPr>
            <w:tcW w:w="0" w:type="auto"/>
            <w:gridSpan w:val="3"/>
            <w:shd w:val="clear" w:color="auto" w:fill="auto"/>
            <w:vAlign w:val="bottom"/>
          </w:tcPr>
          <w:p w14:paraId="71D40430" w14:textId="77777777" w:rsidR="006A3667" w:rsidRDefault="006A3667">
            <w:pPr>
              <w:rPr>
                <w:rFonts w:ascii="宋体"/>
                <w:vanish/>
              </w:rPr>
            </w:pPr>
          </w:p>
        </w:tc>
      </w:tr>
      <w:tr w:rsidR="006A3667" w14:paraId="71D4043B" w14:textId="77777777">
        <w:trPr>
          <w:hidden/>
        </w:trPr>
        <w:tc>
          <w:tcPr>
            <w:tcW w:w="0" w:type="auto"/>
            <w:gridSpan w:val="3"/>
            <w:shd w:val="clear" w:color="auto" w:fill="auto"/>
            <w:vAlign w:val="bottom"/>
          </w:tcPr>
          <w:p w14:paraId="71D40432" w14:textId="77777777" w:rsidR="006A3667" w:rsidRDefault="006A3667">
            <w:pPr>
              <w:rPr>
                <w:rFonts w:ascii="宋体"/>
                <w:vanish/>
              </w:rPr>
            </w:pPr>
          </w:p>
        </w:tc>
        <w:tc>
          <w:tcPr>
            <w:tcW w:w="0" w:type="auto"/>
            <w:gridSpan w:val="3"/>
            <w:shd w:val="clear" w:color="auto" w:fill="auto"/>
            <w:vAlign w:val="bottom"/>
          </w:tcPr>
          <w:p w14:paraId="71D40433" w14:textId="77777777" w:rsidR="006A3667" w:rsidRDefault="006A3667">
            <w:pPr>
              <w:rPr>
                <w:rFonts w:ascii="宋体"/>
                <w:vanish/>
              </w:rPr>
            </w:pPr>
          </w:p>
        </w:tc>
        <w:tc>
          <w:tcPr>
            <w:tcW w:w="0" w:type="auto"/>
            <w:gridSpan w:val="3"/>
            <w:shd w:val="clear" w:color="auto" w:fill="auto"/>
            <w:vAlign w:val="bottom"/>
          </w:tcPr>
          <w:p w14:paraId="71D40434" w14:textId="77777777" w:rsidR="006A3667" w:rsidRDefault="006A3667">
            <w:pPr>
              <w:rPr>
                <w:rFonts w:ascii="宋体"/>
                <w:vanish/>
              </w:rPr>
            </w:pPr>
          </w:p>
        </w:tc>
        <w:tc>
          <w:tcPr>
            <w:tcW w:w="0" w:type="auto"/>
            <w:gridSpan w:val="3"/>
            <w:shd w:val="clear" w:color="auto" w:fill="auto"/>
            <w:vAlign w:val="bottom"/>
          </w:tcPr>
          <w:p w14:paraId="71D40435" w14:textId="77777777" w:rsidR="006A3667" w:rsidRDefault="006A3667">
            <w:pPr>
              <w:rPr>
                <w:rFonts w:ascii="宋体"/>
                <w:vanish/>
              </w:rPr>
            </w:pPr>
          </w:p>
        </w:tc>
        <w:tc>
          <w:tcPr>
            <w:tcW w:w="0" w:type="auto"/>
            <w:gridSpan w:val="3"/>
            <w:shd w:val="clear" w:color="auto" w:fill="auto"/>
            <w:vAlign w:val="bottom"/>
          </w:tcPr>
          <w:p w14:paraId="71D40436" w14:textId="77777777" w:rsidR="006A3667" w:rsidRDefault="006A3667">
            <w:pPr>
              <w:rPr>
                <w:rFonts w:ascii="宋体"/>
                <w:vanish/>
              </w:rPr>
            </w:pPr>
          </w:p>
        </w:tc>
        <w:tc>
          <w:tcPr>
            <w:tcW w:w="0" w:type="auto"/>
            <w:gridSpan w:val="3"/>
            <w:shd w:val="clear" w:color="auto" w:fill="auto"/>
            <w:vAlign w:val="bottom"/>
          </w:tcPr>
          <w:p w14:paraId="71D40437" w14:textId="77777777" w:rsidR="006A3667" w:rsidRDefault="006A3667">
            <w:pPr>
              <w:rPr>
                <w:rFonts w:ascii="宋体"/>
                <w:vanish/>
              </w:rPr>
            </w:pPr>
          </w:p>
        </w:tc>
        <w:tc>
          <w:tcPr>
            <w:tcW w:w="0" w:type="auto"/>
            <w:gridSpan w:val="3"/>
            <w:shd w:val="clear" w:color="auto" w:fill="auto"/>
            <w:vAlign w:val="bottom"/>
          </w:tcPr>
          <w:p w14:paraId="71D40438" w14:textId="77777777" w:rsidR="006A3667" w:rsidRDefault="006A3667">
            <w:pPr>
              <w:rPr>
                <w:rFonts w:ascii="宋体"/>
                <w:vanish/>
              </w:rPr>
            </w:pPr>
          </w:p>
        </w:tc>
        <w:tc>
          <w:tcPr>
            <w:tcW w:w="0" w:type="auto"/>
            <w:gridSpan w:val="3"/>
            <w:shd w:val="clear" w:color="auto" w:fill="auto"/>
            <w:vAlign w:val="bottom"/>
          </w:tcPr>
          <w:p w14:paraId="71D40439" w14:textId="77777777" w:rsidR="006A3667" w:rsidRDefault="006A3667">
            <w:pPr>
              <w:rPr>
                <w:rFonts w:ascii="宋体"/>
                <w:vanish/>
              </w:rPr>
            </w:pPr>
          </w:p>
        </w:tc>
        <w:tc>
          <w:tcPr>
            <w:tcW w:w="0" w:type="auto"/>
            <w:gridSpan w:val="3"/>
            <w:shd w:val="clear" w:color="auto" w:fill="auto"/>
            <w:vAlign w:val="bottom"/>
          </w:tcPr>
          <w:p w14:paraId="71D4043A" w14:textId="77777777" w:rsidR="006A3667" w:rsidRDefault="006A3667">
            <w:pPr>
              <w:rPr>
                <w:rFonts w:ascii="宋体"/>
                <w:vanish/>
              </w:rPr>
            </w:pPr>
          </w:p>
        </w:tc>
      </w:tr>
      <w:tr w:rsidR="006A3667" w14:paraId="71D40445" w14:textId="77777777">
        <w:trPr>
          <w:hidden/>
        </w:trPr>
        <w:tc>
          <w:tcPr>
            <w:tcW w:w="0" w:type="auto"/>
            <w:gridSpan w:val="3"/>
            <w:shd w:val="clear" w:color="auto" w:fill="auto"/>
            <w:vAlign w:val="bottom"/>
          </w:tcPr>
          <w:p w14:paraId="71D4043C" w14:textId="77777777" w:rsidR="006A3667" w:rsidRDefault="006A3667">
            <w:pPr>
              <w:rPr>
                <w:rFonts w:ascii="宋体"/>
                <w:vanish/>
              </w:rPr>
            </w:pPr>
          </w:p>
        </w:tc>
        <w:tc>
          <w:tcPr>
            <w:tcW w:w="0" w:type="auto"/>
            <w:gridSpan w:val="3"/>
            <w:shd w:val="clear" w:color="auto" w:fill="auto"/>
            <w:vAlign w:val="bottom"/>
          </w:tcPr>
          <w:p w14:paraId="71D4043D" w14:textId="77777777" w:rsidR="006A3667" w:rsidRDefault="006A3667">
            <w:pPr>
              <w:rPr>
                <w:rFonts w:ascii="宋体"/>
                <w:vanish/>
              </w:rPr>
            </w:pPr>
          </w:p>
        </w:tc>
        <w:tc>
          <w:tcPr>
            <w:tcW w:w="0" w:type="auto"/>
            <w:gridSpan w:val="3"/>
            <w:shd w:val="clear" w:color="auto" w:fill="auto"/>
            <w:vAlign w:val="bottom"/>
          </w:tcPr>
          <w:p w14:paraId="71D4043E" w14:textId="77777777" w:rsidR="006A3667" w:rsidRDefault="006A3667">
            <w:pPr>
              <w:rPr>
                <w:rFonts w:ascii="宋体"/>
                <w:vanish/>
              </w:rPr>
            </w:pPr>
          </w:p>
        </w:tc>
        <w:tc>
          <w:tcPr>
            <w:tcW w:w="0" w:type="auto"/>
            <w:gridSpan w:val="3"/>
            <w:shd w:val="clear" w:color="auto" w:fill="auto"/>
            <w:vAlign w:val="bottom"/>
          </w:tcPr>
          <w:p w14:paraId="71D4043F" w14:textId="77777777" w:rsidR="006A3667" w:rsidRDefault="006A3667">
            <w:pPr>
              <w:rPr>
                <w:rFonts w:ascii="宋体"/>
                <w:vanish/>
              </w:rPr>
            </w:pPr>
          </w:p>
        </w:tc>
        <w:tc>
          <w:tcPr>
            <w:tcW w:w="0" w:type="auto"/>
            <w:gridSpan w:val="3"/>
            <w:shd w:val="clear" w:color="auto" w:fill="auto"/>
            <w:vAlign w:val="bottom"/>
          </w:tcPr>
          <w:p w14:paraId="71D40440" w14:textId="77777777" w:rsidR="006A3667" w:rsidRDefault="006A3667">
            <w:pPr>
              <w:rPr>
                <w:rFonts w:ascii="宋体"/>
                <w:vanish/>
              </w:rPr>
            </w:pPr>
          </w:p>
        </w:tc>
        <w:tc>
          <w:tcPr>
            <w:tcW w:w="0" w:type="auto"/>
            <w:gridSpan w:val="3"/>
            <w:shd w:val="clear" w:color="auto" w:fill="auto"/>
            <w:vAlign w:val="bottom"/>
          </w:tcPr>
          <w:p w14:paraId="71D40441" w14:textId="77777777" w:rsidR="006A3667" w:rsidRDefault="006A3667">
            <w:pPr>
              <w:rPr>
                <w:rFonts w:ascii="宋体"/>
                <w:vanish/>
              </w:rPr>
            </w:pPr>
          </w:p>
        </w:tc>
        <w:tc>
          <w:tcPr>
            <w:tcW w:w="0" w:type="auto"/>
            <w:gridSpan w:val="3"/>
            <w:shd w:val="clear" w:color="auto" w:fill="auto"/>
            <w:vAlign w:val="bottom"/>
          </w:tcPr>
          <w:p w14:paraId="71D40442" w14:textId="77777777" w:rsidR="006A3667" w:rsidRDefault="006A3667">
            <w:pPr>
              <w:rPr>
                <w:rFonts w:ascii="宋体"/>
                <w:vanish/>
              </w:rPr>
            </w:pPr>
          </w:p>
        </w:tc>
        <w:tc>
          <w:tcPr>
            <w:tcW w:w="0" w:type="auto"/>
            <w:gridSpan w:val="3"/>
            <w:shd w:val="clear" w:color="auto" w:fill="auto"/>
            <w:vAlign w:val="bottom"/>
          </w:tcPr>
          <w:p w14:paraId="71D40443" w14:textId="77777777" w:rsidR="006A3667" w:rsidRDefault="006A3667">
            <w:pPr>
              <w:rPr>
                <w:rFonts w:ascii="宋体"/>
                <w:vanish/>
              </w:rPr>
            </w:pPr>
          </w:p>
        </w:tc>
        <w:tc>
          <w:tcPr>
            <w:tcW w:w="0" w:type="auto"/>
            <w:gridSpan w:val="3"/>
            <w:shd w:val="clear" w:color="auto" w:fill="auto"/>
            <w:vAlign w:val="bottom"/>
          </w:tcPr>
          <w:p w14:paraId="71D40444" w14:textId="77777777" w:rsidR="006A3667" w:rsidRDefault="006A3667">
            <w:pPr>
              <w:rPr>
                <w:rFonts w:ascii="宋体"/>
                <w:vanish/>
              </w:rPr>
            </w:pPr>
          </w:p>
        </w:tc>
      </w:tr>
      <w:tr w:rsidR="006A3667" w14:paraId="71D4044F" w14:textId="77777777">
        <w:trPr>
          <w:hidden/>
        </w:trPr>
        <w:tc>
          <w:tcPr>
            <w:tcW w:w="0" w:type="auto"/>
            <w:gridSpan w:val="3"/>
            <w:shd w:val="clear" w:color="auto" w:fill="auto"/>
            <w:vAlign w:val="bottom"/>
          </w:tcPr>
          <w:p w14:paraId="71D40446" w14:textId="77777777" w:rsidR="006A3667" w:rsidRDefault="006A3667">
            <w:pPr>
              <w:rPr>
                <w:rFonts w:ascii="宋体"/>
                <w:vanish/>
              </w:rPr>
            </w:pPr>
          </w:p>
        </w:tc>
        <w:tc>
          <w:tcPr>
            <w:tcW w:w="0" w:type="auto"/>
            <w:gridSpan w:val="3"/>
            <w:shd w:val="clear" w:color="auto" w:fill="auto"/>
            <w:vAlign w:val="bottom"/>
          </w:tcPr>
          <w:p w14:paraId="71D40447" w14:textId="77777777" w:rsidR="006A3667" w:rsidRDefault="006A3667">
            <w:pPr>
              <w:rPr>
                <w:rFonts w:ascii="宋体"/>
                <w:vanish/>
              </w:rPr>
            </w:pPr>
          </w:p>
        </w:tc>
        <w:tc>
          <w:tcPr>
            <w:tcW w:w="0" w:type="auto"/>
            <w:gridSpan w:val="3"/>
            <w:shd w:val="clear" w:color="auto" w:fill="auto"/>
            <w:vAlign w:val="bottom"/>
          </w:tcPr>
          <w:p w14:paraId="71D40448" w14:textId="77777777" w:rsidR="006A3667" w:rsidRDefault="006A3667">
            <w:pPr>
              <w:rPr>
                <w:rFonts w:ascii="宋体"/>
                <w:vanish/>
              </w:rPr>
            </w:pPr>
          </w:p>
        </w:tc>
        <w:tc>
          <w:tcPr>
            <w:tcW w:w="0" w:type="auto"/>
            <w:gridSpan w:val="3"/>
            <w:shd w:val="clear" w:color="auto" w:fill="auto"/>
            <w:vAlign w:val="bottom"/>
          </w:tcPr>
          <w:p w14:paraId="71D40449" w14:textId="77777777" w:rsidR="006A3667" w:rsidRDefault="006A3667">
            <w:pPr>
              <w:rPr>
                <w:rFonts w:ascii="宋体"/>
                <w:vanish/>
              </w:rPr>
            </w:pPr>
          </w:p>
        </w:tc>
        <w:tc>
          <w:tcPr>
            <w:tcW w:w="0" w:type="auto"/>
            <w:gridSpan w:val="3"/>
            <w:shd w:val="clear" w:color="auto" w:fill="auto"/>
            <w:vAlign w:val="bottom"/>
          </w:tcPr>
          <w:p w14:paraId="71D4044A" w14:textId="77777777" w:rsidR="006A3667" w:rsidRDefault="006A3667">
            <w:pPr>
              <w:rPr>
                <w:rFonts w:ascii="宋体"/>
                <w:vanish/>
              </w:rPr>
            </w:pPr>
          </w:p>
        </w:tc>
        <w:tc>
          <w:tcPr>
            <w:tcW w:w="0" w:type="auto"/>
            <w:gridSpan w:val="3"/>
            <w:shd w:val="clear" w:color="auto" w:fill="auto"/>
            <w:vAlign w:val="bottom"/>
          </w:tcPr>
          <w:p w14:paraId="71D4044B" w14:textId="77777777" w:rsidR="006A3667" w:rsidRDefault="006A3667">
            <w:pPr>
              <w:rPr>
                <w:rFonts w:ascii="宋体"/>
                <w:vanish/>
              </w:rPr>
            </w:pPr>
          </w:p>
        </w:tc>
        <w:tc>
          <w:tcPr>
            <w:tcW w:w="0" w:type="auto"/>
            <w:gridSpan w:val="3"/>
            <w:shd w:val="clear" w:color="auto" w:fill="auto"/>
            <w:vAlign w:val="bottom"/>
          </w:tcPr>
          <w:p w14:paraId="71D4044C" w14:textId="77777777" w:rsidR="006A3667" w:rsidRDefault="006A3667">
            <w:pPr>
              <w:rPr>
                <w:rFonts w:ascii="宋体"/>
                <w:vanish/>
              </w:rPr>
            </w:pPr>
          </w:p>
        </w:tc>
        <w:tc>
          <w:tcPr>
            <w:tcW w:w="0" w:type="auto"/>
            <w:gridSpan w:val="3"/>
            <w:shd w:val="clear" w:color="auto" w:fill="auto"/>
            <w:vAlign w:val="bottom"/>
          </w:tcPr>
          <w:p w14:paraId="71D4044D" w14:textId="77777777" w:rsidR="006A3667" w:rsidRDefault="006A3667">
            <w:pPr>
              <w:rPr>
                <w:rFonts w:ascii="宋体"/>
                <w:vanish/>
              </w:rPr>
            </w:pPr>
          </w:p>
        </w:tc>
        <w:tc>
          <w:tcPr>
            <w:tcW w:w="0" w:type="auto"/>
            <w:gridSpan w:val="3"/>
            <w:shd w:val="clear" w:color="auto" w:fill="auto"/>
            <w:vAlign w:val="bottom"/>
          </w:tcPr>
          <w:p w14:paraId="71D4044E" w14:textId="77777777" w:rsidR="006A3667" w:rsidRDefault="006A3667">
            <w:pPr>
              <w:rPr>
                <w:rFonts w:ascii="宋体"/>
                <w:vanish/>
              </w:rPr>
            </w:pPr>
          </w:p>
        </w:tc>
      </w:tr>
      <w:tr w:rsidR="006A3667" w14:paraId="71D40459" w14:textId="77777777">
        <w:trPr>
          <w:hidden/>
        </w:trPr>
        <w:tc>
          <w:tcPr>
            <w:tcW w:w="0" w:type="auto"/>
            <w:gridSpan w:val="3"/>
            <w:shd w:val="clear" w:color="auto" w:fill="auto"/>
            <w:vAlign w:val="bottom"/>
          </w:tcPr>
          <w:p w14:paraId="71D40450" w14:textId="77777777" w:rsidR="006A3667" w:rsidRDefault="006A3667">
            <w:pPr>
              <w:rPr>
                <w:rFonts w:ascii="宋体"/>
                <w:vanish/>
              </w:rPr>
            </w:pPr>
          </w:p>
        </w:tc>
        <w:tc>
          <w:tcPr>
            <w:tcW w:w="0" w:type="auto"/>
            <w:gridSpan w:val="3"/>
            <w:shd w:val="clear" w:color="auto" w:fill="auto"/>
            <w:vAlign w:val="bottom"/>
          </w:tcPr>
          <w:p w14:paraId="71D40451" w14:textId="77777777" w:rsidR="006A3667" w:rsidRDefault="006A3667">
            <w:pPr>
              <w:rPr>
                <w:rFonts w:ascii="宋体"/>
                <w:vanish/>
              </w:rPr>
            </w:pPr>
          </w:p>
        </w:tc>
        <w:tc>
          <w:tcPr>
            <w:tcW w:w="0" w:type="auto"/>
            <w:gridSpan w:val="3"/>
            <w:shd w:val="clear" w:color="auto" w:fill="auto"/>
            <w:vAlign w:val="bottom"/>
          </w:tcPr>
          <w:p w14:paraId="71D40452" w14:textId="77777777" w:rsidR="006A3667" w:rsidRDefault="006A3667">
            <w:pPr>
              <w:rPr>
                <w:rFonts w:ascii="宋体"/>
                <w:vanish/>
              </w:rPr>
            </w:pPr>
          </w:p>
        </w:tc>
        <w:tc>
          <w:tcPr>
            <w:tcW w:w="0" w:type="auto"/>
            <w:gridSpan w:val="3"/>
            <w:shd w:val="clear" w:color="auto" w:fill="auto"/>
            <w:vAlign w:val="bottom"/>
          </w:tcPr>
          <w:p w14:paraId="71D40453" w14:textId="77777777" w:rsidR="006A3667" w:rsidRDefault="006A3667">
            <w:pPr>
              <w:rPr>
                <w:rFonts w:ascii="宋体"/>
                <w:vanish/>
              </w:rPr>
            </w:pPr>
          </w:p>
        </w:tc>
        <w:tc>
          <w:tcPr>
            <w:tcW w:w="0" w:type="auto"/>
            <w:gridSpan w:val="3"/>
            <w:shd w:val="clear" w:color="auto" w:fill="auto"/>
            <w:vAlign w:val="bottom"/>
          </w:tcPr>
          <w:p w14:paraId="71D40454" w14:textId="77777777" w:rsidR="006A3667" w:rsidRDefault="006A3667">
            <w:pPr>
              <w:rPr>
                <w:rFonts w:ascii="宋体"/>
                <w:vanish/>
              </w:rPr>
            </w:pPr>
          </w:p>
        </w:tc>
        <w:tc>
          <w:tcPr>
            <w:tcW w:w="0" w:type="auto"/>
            <w:gridSpan w:val="3"/>
            <w:shd w:val="clear" w:color="auto" w:fill="auto"/>
            <w:vAlign w:val="bottom"/>
          </w:tcPr>
          <w:p w14:paraId="71D40455" w14:textId="77777777" w:rsidR="006A3667" w:rsidRDefault="006A3667">
            <w:pPr>
              <w:rPr>
                <w:rFonts w:ascii="宋体"/>
                <w:vanish/>
              </w:rPr>
            </w:pPr>
          </w:p>
        </w:tc>
        <w:tc>
          <w:tcPr>
            <w:tcW w:w="0" w:type="auto"/>
            <w:gridSpan w:val="3"/>
            <w:shd w:val="clear" w:color="auto" w:fill="auto"/>
            <w:vAlign w:val="bottom"/>
          </w:tcPr>
          <w:p w14:paraId="71D40456" w14:textId="77777777" w:rsidR="006A3667" w:rsidRDefault="006A3667">
            <w:pPr>
              <w:rPr>
                <w:rFonts w:ascii="宋体"/>
                <w:vanish/>
              </w:rPr>
            </w:pPr>
          </w:p>
        </w:tc>
        <w:tc>
          <w:tcPr>
            <w:tcW w:w="0" w:type="auto"/>
            <w:gridSpan w:val="3"/>
            <w:shd w:val="clear" w:color="auto" w:fill="auto"/>
            <w:vAlign w:val="bottom"/>
          </w:tcPr>
          <w:p w14:paraId="71D40457" w14:textId="77777777" w:rsidR="006A3667" w:rsidRDefault="006A3667">
            <w:pPr>
              <w:rPr>
                <w:rFonts w:ascii="宋体"/>
                <w:vanish/>
              </w:rPr>
            </w:pPr>
          </w:p>
        </w:tc>
        <w:tc>
          <w:tcPr>
            <w:tcW w:w="0" w:type="auto"/>
            <w:gridSpan w:val="3"/>
            <w:shd w:val="clear" w:color="auto" w:fill="auto"/>
            <w:vAlign w:val="bottom"/>
          </w:tcPr>
          <w:p w14:paraId="71D40458" w14:textId="77777777" w:rsidR="006A3667" w:rsidRDefault="006A3667">
            <w:pPr>
              <w:rPr>
                <w:rFonts w:ascii="宋体"/>
                <w:vanish/>
              </w:rPr>
            </w:pPr>
          </w:p>
        </w:tc>
      </w:tr>
      <w:tr w:rsidR="006A3667" w14:paraId="71D40463" w14:textId="77777777">
        <w:trPr>
          <w:hidden/>
        </w:trPr>
        <w:tc>
          <w:tcPr>
            <w:tcW w:w="0" w:type="auto"/>
            <w:gridSpan w:val="3"/>
            <w:shd w:val="clear" w:color="auto" w:fill="auto"/>
            <w:vAlign w:val="bottom"/>
          </w:tcPr>
          <w:p w14:paraId="71D4045A" w14:textId="77777777" w:rsidR="006A3667" w:rsidRDefault="006A3667">
            <w:pPr>
              <w:rPr>
                <w:rFonts w:ascii="宋体"/>
                <w:vanish/>
              </w:rPr>
            </w:pPr>
          </w:p>
        </w:tc>
        <w:tc>
          <w:tcPr>
            <w:tcW w:w="0" w:type="auto"/>
            <w:gridSpan w:val="3"/>
            <w:shd w:val="clear" w:color="auto" w:fill="auto"/>
            <w:vAlign w:val="bottom"/>
          </w:tcPr>
          <w:p w14:paraId="71D4045B" w14:textId="77777777" w:rsidR="006A3667" w:rsidRDefault="006A3667">
            <w:pPr>
              <w:rPr>
                <w:rFonts w:ascii="宋体"/>
                <w:vanish/>
              </w:rPr>
            </w:pPr>
          </w:p>
        </w:tc>
        <w:tc>
          <w:tcPr>
            <w:tcW w:w="0" w:type="auto"/>
            <w:gridSpan w:val="3"/>
            <w:shd w:val="clear" w:color="auto" w:fill="auto"/>
            <w:vAlign w:val="bottom"/>
          </w:tcPr>
          <w:p w14:paraId="71D4045C" w14:textId="77777777" w:rsidR="006A3667" w:rsidRDefault="006A3667">
            <w:pPr>
              <w:rPr>
                <w:rFonts w:ascii="宋体"/>
                <w:vanish/>
              </w:rPr>
            </w:pPr>
          </w:p>
        </w:tc>
        <w:tc>
          <w:tcPr>
            <w:tcW w:w="0" w:type="auto"/>
            <w:gridSpan w:val="3"/>
            <w:shd w:val="clear" w:color="auto" w:fill="auto"/>
            <w:vAlign w:val="bottom"/>
          </w:tcPr>
          <w:p w14:paraId="71D4045D" w14:textId="77777777" w:rsidR="006A3667" w:rsidRDefault="006A3667">
            <w:pPr>
              <w:rPr>
                <w:rFonts w:ascii="宋体"/>
                <w:vanish/>
              </w:rPr>
            </w:pPr>
          </w:p>
        </w:tc>
        <w:tc>
          <w:tcPr>
            <w:tcW w:w="0" w:type="auto"/>
            <w:gridSpan w:val="3"/>
            <w:shd w:val="clear" w:color="auto" w:fill="auto"/>
            <w:vAlign w:val="bottom"/>
          </w:tcPr>
          <w:p w14:paraId="71D4045E" w14:textId="77777777" w:rsidR="006A3667" w:rsidRDefault="006A3667">
            <w:pPr>
              <w:rPr>
                <w:rFonts w:ascii="宋体"/>
                <w:vanish/>
              </w:rPr>
            </w:pPr>
          </w:p>
        </w:tc>
        <w:tc>
          <w:tcPr>
            <w:tcW w:w="0" w:type="auto"/>
            <w:gridSpan w:val="3"/>
            <w:shd w:val="clear" w:color="auto" w:fill="auto"/>
            <w:vAlign w:val="bottom"/>
          </w:tcPr>
          <w:p w14:paraId="71D4045F" w14:textId="77777777" w:rsidR="006A3667" w:rsidRDefault="006A3667">
            <w:pPr>
              <w:rPr>
                <w:rFonts w:ascii="宋体"/>
                <w:vanish/>
              </w:rPr>
            </w:pPr>
          </w:p>
        </w:tc>
        <w:tc>
          <w:tcPr>
            <w:tcW w:w="0" w:type="auto"/>
            <w:gridSpan w:val="3"/>
            <w:shd w:val="clear" w:color="auto" w:fill="auto"/>
            <w:vAlign w:val="bottom"/>
          </w:tcPr>
          <w:p w14:paraId="71D40460" w14:textId="77777777" w:rsidR="006A3667" w:rsidRDefault="006A3667">
            <w:pPr>
              <w:rPr>
                <w:rFonts w:ascii="宋体"/>
                <w:vanish/>
              </w:rPr>
            </w:pPr>
          </w:p>
        </w:tc>
        <w:tc>
          <w:tcPr>
            <w:tcW w:w="0" w:type="auto"/>
            <w:gridSpan w:val="3"/>
            <w:shd w:val="clear" w:color="auto" w:fill="auto"/>
            <w:vAlign w:val="bottom"/>
          </w:tcPr>
          <w:p w14:paraId="71D40461" w14:textId="77777777" w:rsidR="006A3667" w:rsidRDefault="006A3667">
            <w:pPr>
              <w:rPr>
                <w:rFonts w:ascii="宋体"/>
                <w:vanish/>
              </w:rPr>
            </w:pPr>
          </w:p>
        </w:tc>
        <w:tc>
          <w:tcPr>
            <w:tcW w:w="0" w:type="auto"/>
            <w:gridSpan w:val="3"/>
            <w:shd w:val="clear" w:color="auto" w:fill="auto"/>
            <w:vAlign w:val="bottom"/>
          </w:tcPr>
          <w:p w14:paraId="71D40462" w14:textId="77777777" w:rsidR="006A3667" w:rsidRDefault="006A3667">
            <w:pPr>
              <w:rPr>
                <w:rFonts w:ascii="宋体"/>
                <w:vanish/>
              </w:rPr>
            </w:pPr>
          </w:p>
        </w:tc>
      </w:tr>
      <w:tr w:rsidR="006A3667" w14:paraId="71D4046D" w14:textId="77777777">
        <w:trPr>
          <w:hidden/>
        </w:trPr>
        <w:tc>
          <w:tcPr>
            <w:tcW w:w="0" w:type="auto"/>
            <w:gridSpan w:val="3"/>
            <w:shd w:val="clear" w:color="auto" w:fill="auto"/>
            <w:vAlign w:val="bottom"/>
          </w:tcPr>
          <w:p w14:paraId="71D40464" w14:textId="77777777" w:rsidR="006A3667" w:rsidRDefault="006A3667">
            <w:pPr>
              <w:rPr>
                <w:rFonts w:ascii="宋体"/>
                <w:vanish/>
              </w:rPr>
            </w:pPr>
          </w:p>
        </w:tc>
        <w:tc>
          <w:tcPr>
            <w:tcW w:w="0" w:type="auto"/>
            <w:gridSpan w:val="3"/>
            <w:shd w:val="clear" w:color="auto" w:fill="auto"/>
            <w:vAlign w:val="bottom"/>
          </w:tcPr>
          <w:p w14:paraId="71D40465" w14:textId="77777777" w:rsidR="006A3667" w:rsidRDefault="006A3667">
            <w:pPr>
              <w:rPr>
                <w:rFonts w:ascii="宋体"/>
                <w:vanish/>
              </w:rPr>
            </w:pPr>
          </w:p>
        </w:tc>
        <w:tc>
          <w:tcPr>
            <w:tcW w:w="0" w:type="auto"/>
            <w:gridSpan w:val="3"/>
            <w:shd w:val="clear" w:color="auto" w:fill="auto"/>
            <w:vAlign w:val="bottom"/>
          </w:tcPr>
          <w:p w14:paraId="71D40466" w14:textId="77777777" w:rsidR="006A3667" w:rsidRDefault="006A3667">
            <w:pPr>
              <w:rPr>
                <w:rFonts w:ascii="宋体"/>
                <w:vanish/>
              </w:rPr>
            </w:pPr>
          </w:p>
        </w:tc>
        <w:tc>
          <w:tcPr>
            <w:tcW w:w="0" w:type="auto"/>
            <w:gridSpan w:val="3"/>
            <w:shd w:val="clear" w:color="auto" w:fill="auto"/>
            <w:vAlign w:val="bottom"/>
          </w:tcPr>
          <w:p w14:paraId="71D40467" w14:textId="77777777" w:rsidR="006A3667" w:rsidRDefault="006A3667">
            <w:pPr>
              <w:rPr>
                <w:rFonts w:ascii="宋体"/>
                <w:vanish/>
              </w:rPr>
            </w:pPr>
          </w:p>
        </w:tc>
        <w:tc>
          <w:tcPr>
            <w:tcW w:w="0" w:type="auto"/>
            <w:gridSpan w:val="3"/>
            <w:shd w:val="clear" w:color="auto" w:fill="auto"/>
            <w:vAlign w:val="bottom"/>
          </w:tcPr>
          <w:p w14:paraId="71D40468" w14:textId="77777777" w:rsidR="006A3667" w:rsidRDefault="006A3667">
            <w:pPr>
              <w:rPr>
                <w:rFonts w:ascii="宋体"/>
                <w:vanish/>
              </w:rPr>
            </w:pPr>
          </w:p>
        </w:tc>
        <w:tc>
          <w:tcPr>
            <w:tcW w:w="0" w:type="auto"/>
            <w:gridSpan w:val="3"/>
            <w:shd w:val="clear" w:color="auto" w:fill="auto"/>
            <w:vAlign w:val="bottom"/>
          </w:tcPr>
          <w:p w14:paraId="71D40469" w14:textId="77777777" w:rsidR="006A3667" w:rsidRDefault="006A3667">
            <w:pPr>
              <w:rPr>
                <w:rFonts w:ascii="宋体"/>
                <w:vanish/>
              </w:rPr>
            </w:pPr>
          </w:p>
        </w:tc>
        <w:tc>
          <w:tcPr>
            <w:tcW w:w="0" w:type="auto"/>
            <w:gridSpan w:val="3"/>
            <w:shd w:val="clear" w:color="auto" w:fill="auto"/>
            <w:vAlign w:val="bottom"/>
          </w:tcPr>
          <w:p w14:paraId="71D4046A" w14:textId="77777777" w:rsidR="006A3667" w:rsidRDefault="006A3667">
            <w:pPr>
              <w:rPr>
                <w:rFonts w:ascii="宋体"/>
                <w:vanish/>
              </w:rPr>
            </w:pPr>
          </w:p>
        </w:tc>
        <w:tc>
          <w:tcPr>
            <w:tcW w:w="0" w:type="auto"/>
            <w:gridSpan w:val="3"/>
            <w:shd w:val="clear" w:color="auto" w:fill="auto"/>
            <w:vAlign w:val="bottom"/>
          </w:tcPr>
          <w:p w14:paraId="71D4046B" w14:textId="77777777" w:rsidR="006A3667" w:rsidRDefault="006A3667">
            <w:pPr>
              <w:rPr>
                <w:rFonts w:ascii="宋体"/>
                <w:vanish/>
              </w:rPr>
            </w:pPr>
          </w:p>
        </w:tc>
        <w:tc>
          <w:tcPr>
            <w:tcW w:w="0" w:type="auto"/>
            <w:gridSpan w:val="3"/>
            <w:shd w:val="clear" w:color="auto" w:fill="auto"/>
            <w:vAlign w:val="bottom"/>
          </w:tcPr>
          <w:p w14:paraId="71D4046C" w14:textId="77777777" w:rsidR="006A3667" w:rsidRDefault="006A3667">
            <w:pPr>
              <w:rPr>
                <w:rFonts w:ascii="宋体"/>
                <w:vanish/>
              </w:rPr>
            </w:pPr>
          </w:p>
        </w:tc>
      </w:tr>
      <w:tr w:rsidR="006A3667" w14:paraId="71D4047B" w14:textId="77777777">
        <w:tc>
          <w:tcPr>
            <w:tcW w:w="0" w:type="auto"/>
            <w:gridSpan w:val="3"/>
            <w:shd w:val="clear" w:color="auto" w:fill="CCEEFF"/>
            <w:tcMar>
              <w:top w:w="40" w:type="dxa"/>
              <w:left w:w="20" w:type="dxa"/>
              <w:bottom w:w="40" w:type="dxa"/>
              <w:right w:w="20" w:type="dxa"/>
            </w:tcMar>
            <w:vAlign w:val="bottom"/>
          </w:tcPr>
          <w:p w14:paraId="71D4046E" w14:textId="77777777" w:rsidR="006A3667" w:rsidRDefault="00045F32">
            <w:pPr>
              <w:textAlignment w:val="bottom"/>
            </w:pPr>
            <w:r>
              <w:rPr>
                <w:rFonts w:ascii="Arial" w:eastAsia="宋体" w:hAnsi="Arial" w:cs="Arial"/>
                <w:color w:val="000000"/>
                <w:sz w:val="14"/>
                <w:szCs w:val="14"/>
              </w:rPr>
              <w:t>Total held-to-maturity securities</w:t>
            </w:r>
            <w:r>
              <w:rPr>
                <w:rFonts w:ascii="Arial" w:eastAsia="宋体" w:hAnsi="Arial" w:cs="Arial"/>
                <w:color w:val="000000"/>
                <w:sz w:val="9"/>
                <w:szCs w:val="9"/>
              </w:rPr>
              <w:t>(6)(7)</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046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0470" w14:textId="77777777" w:rsidR="006A3667" w:rsidRDefault="00045F32">
            <w:pPr>
              <w:jc w:val="right"/>
              <w:textAlignment w:val="bottom"/>
            </w:pPr>
            <w:r>
              <w:rPr>
                <w:rFonts w:ascii="Arial" w:eastAsia="宋体" w:hAnsi="Arial" w:cs="Arial"/>
                <w:b/>
                <w:bCs/>
                <w:color w:val="000000"/>
                <w:sz w:val="14"/>
                <w:szCs w:val="14"/>
              </w:rPr>
              <w:t>65,232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04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472"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047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0474" w14:textId="77777777" w:rsidR="006A3667" w:rsidRDefault="00045F32">
            <w:pPr>
              <w:jc w:val="right"/>
              <w:textAlignment w:val="bottom"/>
            </w:pPr>
            <w:r>
              <w:rPr>
                <w:rFonts w:ascii="Arial" w:eastAsia="宋体" w:hAnsi="Arial" w:cs="Arial"/>
                <w:color w:val="000000"/>
                <w:sz w:val="14"/>
                <w:szCs w:val="14"/>
              </w:rPr>
              <w:t>42,430 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0475" w14:textId="77777777" w:rsidR="006A3667" w:rsidRDefault="006A3667">
            <w:pPr>
              <w:jc w:val="right"/>
              <w:rPr>
                <w:rFonts w:ascii="宋体"/>
              </w:rPr>
            </w:pPr>
          </w:p>
        </w:tc>
        <w:tc>
          <w:tcPr>
            <w:tcW w:w="0" w:type="auto"/>
            <w:gridSpan w:val="3"/>
            <w:shd w:val="clear" w:color="auto" w:fill="auto"/>
            <w:vAlign w:val="bottom"/>
          </w:tcPr>
          <w:p w14:paraId="71D40476" w14:textId="77777777" w:rsidR="006A3667" w:rsidRDefault="006A3667">
            <w:pPr>
              <w:rPr>
                <w:rFonts w:ascii="宋体"/>
                <w:vanish/>
              </w:rPr>
            </w:pPr>
          </w:p>
        </w:tc>
        <w:tc>
          <w:tcPr>
            <w:tcW w:w="0" w:type="auto"/>
            <w:gridSpan w:val="3"/>
            <w:shd w:val="clear" w:color="auto" w:fill="auto"/>
            <w:vAlign w:val="bottom"/>
          </w:tcPr>
          <w:p w14:paraId="71D40477" w14:textId="77777777" w:rsidR="006A3667" w:rsidRDefault="006A3667">
            <w:pPr>
              <w:rPr>
                <w:rFonts w:ascii="宋体"/>
                <w:vanish/>
              </w:rPr>
            </w:pPr>
          </w:p>
        </w:tc>
        <w:tc>
          <w:tcPr>
            <w:tcW w:w="0" w:type="auto"/>
            <w:gridSpan w:val="3"/>
            <w:shd w:val="clear" w:color="auto" w:fill="auto"/>
            <w:vAlign w:val="bottom"/>
          </w:tcPr>
          <w:p w14:paraId="71D40478" w14:textId="77777777" w:rsidR="006A3667" w:rsidRDefault="006A3667">
            <w:pPr>
              <w:rPr>
                <w:rFonts w:ascii="宋体"/>
                <w:vanish/>
              </w:rPr>
            </w:pPr>
          </w:p>
        </w:tc>
        <w:tc>
          <w:tcPr>
            <w:tcW w:w="0" w:type="auto"/>
            <w:gridSpan w:val="3"/>
            <w:shd w:val="clear" w:color="auto" w:fill="auto"/>
            <w:vAlign w:val="bottom"/>
          </w:tcPr>
          <w:p w14:paraId="71D40479" w14:textId="77777777" w:rsidR="006A3667" w:rsidRDefault="006A3667">
            <w:pPr>
              <w:rPr>
                <w:rFonts w:ascii="宋体"/>
                <w:vanish/>
              </w:rPr>
            </w:pPr>
          </w:p>
        </w:tc>
        <w:tc>
          <w:tcPr>
            <w:tcW w:w="0" w:type="auto"/>
            <w:gridSpan w:val="3"/>
            <w:shd w:val="clear" w:color="auto" w:fill="auto"/>
            <w:vAlign w:val="bottom"/>
          </w:tcPr>
          <w:p w14:paraId="71D4047A" w14:textId="77777777" w:rsidR="006A3667" w:rsidRDefault="006A3667">
            <w:pPr>
              <w:rPr>
                <w:rFonts w:ascii="宋体"/>
                <w:vanish/>
              </w:rPr>
            </w:pPr>
          </w:p>
        </w:tc>
      </w:tr>
    </w:tbl>
    <w:p w14:paraId="71D4047C"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6A3667" w14:paraId="71D40488" w14:textId="77777777">
        <w:tc>
          <w:tcPr>
            <w:tcW w:w="50" w:type="pct"/>
            <w:shd w:val="clear" w:color="auto" w:fill="auto"/>
            <w:vAlign w:val="bottom"/>
          </w:tcPr>
          <w:p w14:paraId="71D4047D" w14:textId="77777777" w:rsidR="006A3667" w:rsidRDefault="006A3667">
            <w:pPr>
              <w:rPr>
                <w:rFonts w:ascii="宋体"/>
              </w:rPr>
            </w:pPr>
          </w:p>
        </w:tc>
        <w:tc>
          <w:tcPr>
            <w:tcW w:w="2374" w:type="pct"/>
            <w:shd w:val="clear" w:color="auto" w:fill="auto"/>
            <w:vAlign w:val="bottom"/>
          </w:tcPr>
          <w:p w14:paraId="71D4047E" w14:textId="77777777" w:rsidR="006A3667" w:rsidRDefault="006A3667">
            <w:pPr>
              <w:rPr>
                <w:rFonts w:ascii="宋体"/>
              </w:rPr>
            </w:pPr>
          </w:p>
        </w:tc>
        <w:tc>
          <w:tcPr>
            <w:tcW w:w="5" w:type="pct"/>
            <w:shd w:val="clear" w:color="auto" w:fill="auto"/>
            <w:vAlign w:val="bottom"/>
          </w:tcPr>
          <w:p w14:paraId="71D4047F" w14:textId="77777777" w:rsidR="006A3667" w:rsidRDefault="006A3667">
            <w:pPr>
              <w:rPr>
                <w:rFonts w:ascii="宋体"/>
              </w:rPr>
            </w:pPr>
          </w:p>
        </w:tc>
        <w:tc>
          <w:tcPr>
            <w:tcW w:w="50" w:type="pct"/>
            <w:shd w:val="clear" w:color="auto" w:fill="auto"/>
            <w:vAlign w:val="bottom"/>
          </w:tcPr>
          <w:p w14:paraId="71D40480" w14:textId="77777777" w:rsidR="006A3667" w:rsidRDefault="006A3667">
            <w:pPr>
              <w:rPr>
                <w:rFonts w:ascii="宋体"/>
              </w:rPr>
            </w:pPr>
          </w:p>
        </w:tc>
        <w:tc>
          <w:tcPr>
            <w:tcW w:w="1057" w:type="pct"/>
            <w:shd w:val="clear" w:color="auto" w:fill="auto"/>
            <w:vAlign w:val="bottom"/>
          </w:tcPr>
          <w:p w14:paraId="71D40481" w14:textId="77777777" w:rsidR="006A3667" w:rsidRDefault="006A3667">
            <w:pPr>
              <w:rPr>
                <w:rFonts w:ascii="宋体"/>
              </w:rPr>
            </w:pPr>
          </w:p>
        </w:tc>
        <w:tc>
          <w:tcPr>
            <w:tcW w:w="5" w:type="pct"/>
            <w:shd w:val="clear" w:color="auto" w:fill="auto"/>
            <w:vAlign w:val="bottom"/>
          </w:tcPr>
          <w:p w14:paraId="71D40482" w14:textId="77777777" w:rsidR="006A3667" w:rsidRDefault="006A3667">
            <w:pPr>
              <w:rPr>
                <w:rFonts w:ascii="宋体"/>
              </w:rPr>
            </w:pPr>
          </w:p>
        </w:tc>
        <w:tc>
          <w:tcPr>
            <w:tcW w:w="50" w:type="pct"/>
            <w:shd w:val="clear" w:color="auto" w:fill="auto"/>
            <w:vAlign w:val="bottom"/>
          </w:tcPr>
          <w:p w14:paraId="71D40483" w14:textId="77777777" w:rsidR="006A3667" w:rsidRDefault="006A3667">
            <w:pPr>
              <w:rPr>
                <w:rFonts w:ascii="宋体"/>
              </w:rPr>
            </w:pPr>
          </w:p>
        </w:tc>
        <w:tc>
          <w:tcPr>
            <w:tcW w:w="1402" w:type="pct"/>
            <w:shd w:val="clear" w:color="auto" w:fill="auto"/>
            <w:vAlign w:val="bottom"/>
          </w:tcPr>
          <w:p w14:paraId="71D40484" w14:textId="77777777" w:rsidR="006A3667" w:rsidRDefault="006A3667">
            <w:pPr>
              <w:rPr>
                <w:rFonts w:ascii="宋体"/>
              </w:rPr>
            </w:pPr>
          </w:p>
        </w:tc>
        <w:tc>
          <w:tcPr>
            <w:tcW w:w="5" w:type="pct"/>
            <w:shd w:val="clear" w:color="auto" w:fill="auto"/>
            <w:vAlign w:val="bottom"/>
          </w:tcPr>
          <w:p w14:paraId="71D40485" w14:textId="77777777" w:rsidR="006A3667" w:rsidRDefault="006A3667">
            <w:pPr>
              <w:rPr>
                <w:rFonts w:ascii="宋体"/>
              </w:rPr>
            </w:pPr>
          </w:p>
        </w:tc>
        <w:tc>
          <w:tcPr>
            <w:tcW w:w="0" w:type="auto"/>
            <w:shd w:val="clear" w:color="auto" w:fill="auto"/>
            <w:vAlign w:val="bottom"/>
          </w:tcPr>
          <w:p w14:paraId="71D40486" w14:textId="77777777" w:rsidR="006A3667" w:rsidRDefault="006A3667">
            <w:pPr>
              <w:rPr>
                <w:rFonts w:ascii="宋体"/>
                <w:vanish/>
              </w:rPr>
            </w:pPr>
          </w:p>
        </w:tc>
        <w:tc>
          <w:tcPr>
            <w:tcW w:w="0" w:type="auto"/>
            <w:shd w:val="clear" w:color="auto" w:fill="auto"/>
            <w:vAlign w:val="bottom"/>
          </w:tcPr>
          <w:p w14:paraId="71D40487" w14:textId="77777777" w:rsidR="006A3667" w:rsidRDefault="006A3667">
            <w:pPr>
              <w:rPr>
                <w:rFonts w:ascii="宋体"/>
                <w:vanish/>
              </w:rPr>
            </w:pPr>
          </w:p>
        </w:tc>
      </w:tr>
      <w:tr w:rsidR="006A3667" w14:paraId="71D4048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48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48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48B" w14:textId="77777777" w:rsidR="006A3667" w:rsidRDefault="006A3667">
            <w:pPr>
              <w:rPr>
                <w:rFonts w:ascii="宋体"/>
              </w:rPr>
            </w:pPr>
          </w:p>
        </w:tc>
        <w:tc>
          <w:tcPr>
            <w:tcW w:w="0" w:type="auto"/>
            <w:shd w:val="clear" w:color="auto" w:fill="auto"/>
            <w:vAlign w:val="bottom"/>
          </w:tcPr>
          <w:p w14:paraId="71D4048C" w14:textId="77777777" w:rsidR="006A3667" w:rsidRDefault="006A3667">
            <w:pPr>
              <w:rPr>
                <w:rFonts w:ascii="宋体"/>
                <w:vanish/>
              </w:rPr>
            </w:pPr>
          </w:p>
        </w:tc>
        <w:tc>
          <w:tcPr>
            <w:tcW w:w="0" w:type="auto"/>
            <w:shd w:val="clear" w:color="auto" w:fill="auto"/>
            <w:vAlign w:val="bottom"/>
          </w:tcPr>
          <w:p w14:paraId="71D4048D" w14:textId="77777777" w:rsidR="006A3667" w:rsidRDefault="006A3667">
            <w:pPr>
              <w:rPr>
                <w:rFonts w:ascii="宋体"/>
                <w:vanish/>
              </w:rPr>
            </w:pPr>
          </w:p>
        </w:tc>
      </w:tr>
    </w:tbl>
    <w:p w14:paraId="71D4048F" w14:textId="77777777" w:rsidR="006A3667" w:rsidRDefault="00045F32">
      <w:pPr>
        <w:spacing w:before="2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As of September 30, 2022 and December 31, 2021, the carrying value includes non-U.S. corporate bonds of $1.11 billion and $1.53 billion, respectively. </w:t>
      </w:r>
    </w:p>
    <w:p w14:paraId="71D40490" w14:textId="77777777" w:rsidR="006A3667" w:rsidRDefault="00045F32">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Primarily comprised of securities guaranteed by the federal government with respect to at least 97%</w:t>
      </w:r>
      <w:r>
        <w:rPr>
          <w:rFonts w:ascii="Arial" w:eastAsia="宋体" w:hAnsi="Arial" w:cs="Arial"/>
          <w:color w:val="000000"/>
          <w:sz w:val="13"/>
          <w:szCs w:val="13"/>
        </w:rPr>
        <w:t xml:space="preserve"> of defaulted principal and accrued interest on the underlying loans.</w:t>
      </w:r>
    </w:p>
    <w:p w14:paraId="71D40491" w14:textId="77777777" w:rsidR="006A3667" w:rsidRDefault="00045F32">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Excludes collateralized loan obligations in loan form. Refer to Note 4 for additional information.</w:t>
      </w:r>
    </w:p>
    <w:p w14:paraId="71D40492" w14:textId="77777777" w:rsidR="006A3667" w:rsidRDefault="00045F32">
      <w:pPr>
        <w:spacing w:before="60"/>
        <w:jc w:val="both"/>
        <w:textAlignment w:val="top"/>
      </w:pPr>
      <w:r>
        <w:rPr>
          <w:rFonts w:ascii="Arial" w:eastAsia="宋体" w:hAnsi="Arial" w:cs="Arial"/>
          <w:color w:val="000000"/>
          <w:sz w:val="8"/>
          <w:szCs w:val="8"/>
        </w:rPr>
        <w:t xml:space="preserve">(4) </w:t>
      </w:r>
      <w:r>
        <w:rPr>
          <w:rFonts w:ascii="Arial" w:eastAsia="宋体" w:hAnsi="Arial" w:cs="Arial"/>
          <w:color w:val="000000"/>
          <w:sz w:val="13"/>
          <w:szCs w:val="13"/>
        </w:rPr>
        <w:t>Consists entirely of non-agency CMBS as of both September 30, 2022 and December</w:t>
      </w:r>
      <w:r>
        <w:rPr>
          <w:rFonts w:ascii="Arial" w:eastAsia="宋体" w:hAnsi="Arial" w:cs="Arial"/>
          <w:color w:val="000000"/>
          <w:sz w:val="13"/>
          <w:szCs w:val="13"/>
        </w:rPr>
        <w:t> 31, 2021.</w:t>
      </w:r>
    </w:p>
    <w:p w14:paraId="71D40493" w14:textId="77777777" w:rsidR="006A3667" w:rsidRDefault="00045F32">
      <w:pPr>
        <w:spacing w:before="20"/>
        <w:jc w:val="both"/>
        <w:textAlignment w:val="top"/>
      </w:pPr>
      <w:r>
        <w:rPr>
          <w:rFonts w:ascii="Arial" w:eastAsia="宋体" w:hAnsi="Arial" w:cs="Arial"/>
          <w:color w:val="000000"/>
          <w:sz w:val="8"/>
          <w:szCs w:val="8"/>
        </w:rPr>
        <w:t>(5)</w:t>
      </w:r>
      <w:r>
        <w:rPr>
          <w:rFonts w:ascii="Arial" w:eastAsia="宋体" w:hAnsi="Arial" w:cs="Arial"/>
          <w:color w:val="000000"/>
          <w:sz w:val="13"/>
          <w:szCs w:val="13"/>
        </w:rPr>
        <w:t xml:space="preserve"> As of September 30, 2022 and December 31, 2021, the carrying value of U.S. corporate bonds was $0.99 billion and $2.44 billion, respectively. </w:t>
      </w:r>
    </w:p>
    <w:p w14:paraId="71D40494" w14:textId="77777777" w:rsidR="006A3667" w:rsidRDefault="00045F32">
      <w:pPr>
        <w:spacing w:before="90"/>
        <w:jc w:val="both"/>
        <w:textAlignment w:val="top"/>
      </w:pPr>
      <w:r>
        <w:rPr>
          <w:rFonts w:ascii="Arial" w:eastAsia="宋体" w:hAnsi="Arial" w:cs="Arial"/>
          <w:color w:val="000000"/>
          <w:sz w:val="8"/>
          <w:szCs w:val="8"/>
        </w:rPr>
        <w:t xml:space="preserve">(6) </w:t>
      </w:r>
      <w:r>
        <w:rPr>
          <w:rFonts w:ascii="Arial" w:eastAsia="宋体" w:hAnsi="Arial" w:cs="Arial"/>
          <w:color w:val="000000"/>
          <w:sz w:val="13"/>
          <w:szCs w:val="13"/>
        </w:rPr>
        <w:t>An immaterial amount of accrued interest related to HTM and AFS investment securities was excl</w:t>
      </w:r>
      <w:r>
        <w:rPr>
          <w:rFonts w:ascii="Arial" w:eastAsia="宋体" w:hAnsi="Arial" w:cs="Arial"/>
          <w:color w:val="000000"/>
          <w:sz w:val="13"/>
          <w:szCs w:val="13"/>
        </w:rPr>
        <w:t>uded from the amortized cost basis for the period ended September 30, 2022.</w:t>
      </w:r>
    </w:p>
    <w:p w14:paraId="71D40495" w14:textId="77777777" w:rsidR="006A3667" w:rsidRDefault="00045F32">
      <w:pPr>
        <w:spacing w:before="60"/>
        <w:jc w:val="both"/>
        <w:textAlignment w:val="top"/>
      </w:pPr>
      <w:r>
        <w:rPr>
          <w:rFonts w:ascii="Arial" w:eastAsia="宋体" w:hAnsi="Arial" w:cs="Arial"/>
          <w:color w:val="000000"/>
          <w:sz w:val="8"/>
          <w:szCs w:val="8"/>
        </w:rPr>
        <w:t>(7)</w:t>
      </w:r>
      <w:r>
        <w:rPr>
          <w:rFonts w:ascii="Arial" w:eastAsia="宋体" w:hAnsi="Arial" w:cs="Arial"/>
          <w:color w:val="000000"/>
          <w:sz w:val="13"/>
          <w:szCs w:val="13"/>
        </w:rPr>
        <w:t xml:space="preserve"> Approximately $21.23 billion was transferred from AFS to HTM securities in the second quarter of 2022.</w:t>
      </w:r>
    </w:p>
    <w:p w14:paraId="71D40496" w14:textId="77777777" w:rsidR="006A3667" w:rsidRDefault="00045F32">
      <w:pPr>
        <w:spacing w:before="60"/>
        <w:jc w:val="both"/>
        <w:textAlignment w:val="top"/>
      </w:pPr>
      <w:r>
        <w:rPr>
          <w:rFonts w:ascii="Arial" w:eastAsia="宋体" w:hAnsi="Arial" w:cs="Arial"/>
          <w:color w:val="000000"/>
          <w:sz w:val="8"/>
          <w:szCs w:val="8"/>
        </w:rPr>
        <w:t>(8)</w:t>
      </w:r>
      <w:r>
        <w:rPr>
          <w:rFonts w:ascii="Arial" w:eastAsia="宋体" w:hAnsi="Arial" w:cs="Arial"/>
          <w:color w:val="000000"/>
          <w:sz w:val="13"/>
          <w:szCs w:val="13"/>
        </w:rPr>
        <w:t xml:space="preserve"> As of September 30, 2022 and December 31, 2021, the total amortized c</w:t>
      </w:r>
      <w:r>
        <w:rPr>
          <w:rFonts w:ascii="Arial" w:eastAsia="宋体" w:hAnsi="Arial" w:cs="Arial"/>
          <w:color w:val="000000"/>
          <w:sz w:val="13"/>
          <w:szCs w:val="13"/>
        </w:rPr>
        <w:t xml:space="preserve">ost included $239 million and $292 million, respectively, of non-agency CMBS and $10 million and $14 million of non-agency RMBS, respectively. </w:t>
      </w:r>
    </w:p>
    <w:p w14:paraId="71D40497" w14:textId="77777777" w:rsidR="006A3667" w:rsidRDefault="006A3667">
      <w:pPr>
        <w:spacing w:before="60"/>
        <w:jc w:val="both"/>
        <w:textAlignment w:val="top"/>
      </w:pPr>
    </w:p>
    <w:p w14:paraId="71D40498" w14:textId="77777777" w:rsidR="006A3667" w:rsidRDefault="006A3667">
      <w:pPr>
        <w:spacing w:before="60"/>
        <w:jc w:val="both"/>
        <w:textAlignment w:val="top"/>
      </w:pPr>
    </w:p>
    <w:p w14:paraId="71D40499" w14:textId="77777777" w:rsidR="006A3667" w:rsidRDefault="00045F32">
      <w:pPr>
        <w:spacing w:before="60"/>
        <w:ind w:firstLine="450"/>
        <w:jc w:val="both"/>
        <w:textAlignment w:val="top"/>
      </w:pPr>
      <w:r>
        <w:rPr>
          <w:rFonts w:ascii="Arial" w:eastAsia="宋体" w:hAnsi="Arial" w:cs="Arial"/>
          <w:color w:val="000000"/>
          <w:sz w:val="20"/>
          <w:szCs w:val="20"/>
        </w:rPr>
        <w:t>Additional information about our investment securities portfolio is provided in Note 3 to the consolidated fin</w:t>
      </w:r>
      <w:r>
        <w:rPr>
          <w:rFonts w:ascii="Arial" w:eastAsia="宋体" w:hAnsi="Arial" w:cs="Arial"/>
          <w:color w:val="000000"/>
          <w:sz w:val="20"/>
          <w:szCs w:val="20"/>
        </w:rPr>
        <w:t>ancial statements in this Form 10-Q.</w:t>
      </w:r>
    </w:p>
    <w:p w14:paraId="71D4049A" w14:textId="77777777" w:rsidR="006A3667" w:rsidRDefault="00045F32">
      <w:pPr>
        <w:spacing w:before="60"/>
        <w:ind w:firstLine="450"/>
        <w:jc w:val="both"/>
        <w:textAlignment w:val="top"/>
      </w:pPr>
      <w:r>
        <w:rPr>
          <w:rFonts w:ascii="Arial" w:eastAsia="宋体" w:hAnsi="Arial" w:cs="Arial"/>
          <w:color w:val="000000"/>
          <w:sz w:val="20"/>
          <w:szCs w:val="20"/>
        </w:rPr>
        <w:t>We manage our investment securities portfolio to align with the interest rate and duration characteristics of our client liabilities and in the context of the overall structure of our consolidated statement of condition</w:t>
      </w:r>
      <w:r>
        <w:rPr>
          <w:rFonts w:ascii="Arial" w:eastAsia="宋体" w:hAnsi="Arial" w:cs="Arial"/>
          <w:color w:val="000000"/>
          <w:sz w:val="20"/>
          <w:szCs w:val="20"/>
        </w:rPr>
        <w:t>, in consideration of the global interest rate environment. We consider a well-diversified, high-credit quality investment securities portfolio to be an important element in the management of our consolidated statement of condition.</w:t>
      </w:r>
    </w:p>
    <w:p w14:paraId="71D4049B" w14:textId="77777777" w:rsidR="006A3667" w:rsidRDefault="00045F32">
      <w:pPr>
        <w:spacing w:before="60"/>
        <w:ind w:firstLine="450"/>
        <w:jc w:val="both"/>
        <w:textAlignment w:val="top"/>
      </w:pPr>
      <w:r>
        <w:rPr>
          <w:rFonts w:ascii="Arial" w:eastAsia="宋体" w:hAnsi="Arial" w:cs="Arial"/>
          <w:color w:val="000000"/>
          <w:sz w:val="20"/>
          <w:szCs w:val="20"/>
        </w:rPr>
        <w:t>During 2022, we complet</w:t>
      </w:r>
      <w:r>
        <w:rPr>
          <w:rFonts w:ascii="Arial" w:eastAsia="宋体" w:hAnsi="Arial" w:cs="Arial"/>
          <w:color w:val="000000"/>
          <w:sz w:val="20"/>
          <w:szCs w:val="20"/>
        </w:rPr>
        <w:t>ed a number of actions to mitigate additional AOCI risk in the current environment including a $21.23 billion transfer of securities from AFS to HTM. While these measures may serve to mitigate additional AOCI risk, we continue to be exposed to risks associ</w:t>
      </w:r>
      <w:r>
        <w:rPr>
          <w:rFonts w:ascii="Arial" w:eastAsia="宋体" w:hAnsi="Arial" w:cs="Arial"/>
          <w:color w:val="000000"/>
          <w:sz w:val="20"/>
          <w:szCs w:val="20"/>
        </w:rPr>
        <w:t>ated with sudden or significant AOCI deterioration, particularly in an environment of continuing significant, and potentially, historic interest rate increases. There can be no assurance that we will not experience further, potentially material AOCI deteri</w:t>
      </w:r>
      <w:r>
        <w:rPr>
          <w:rFonts w:ascii="Arial" w:eastAsia="宋体" w:hAnsi="Arial" w:cs="Arial"/>
          <w:color w:val="000000"/>
          <w:sz w:val="20"/>
          <w:szCs w:val="20"/>
        </w:rPr>
        <w:t xml:space="preserve">oration. </w:t>
      </w:r>
    </w:p>
    <w:p w14:paraId="71D4049C" w14:textId="77777777" w:rsidR="006A3667" w:rsidRDefault="00045F32">
      <w:pPr>
        <w:spacing w:before="60"/>
        <w:ind w:firstLine="450"/>
        <w:jc w:val="both"/>
        <w:textAlignment w:val="top"/>
      </w:pPr>
      <w:r>
        <w:rPr>
          <w:rFonts w:ascii="Arial" w:eastAsia="宋体" w:hAnsi="Arial" w:cs="Arial"/>
          <w:color w:val="000000"/>
          <w:sz w:val="20"/>
          <w:szCs w:val="20"/>
        </w:rPr>
        <w:t xml:space="preserve">Average duration of our investment securities portfolio was 2.7 years and 2.9 years as of September 30, 2022 and December 31, 2021, respectively. </w:t>
      </w:r>
    </w:p>
    <w:p w14:paraId="71D4049D" w14:textId="77777777" w:rsidR="006A3667" w:rsidRDefault="00045F32">
      <w:pPr>
        <w:spacing w:before="60"/>
        <w:ind w:firstLine="450"/>
        <w:jc w:val="both"/>
        <w:textAlignment w:val="top"/>
      </w:pPr>
      <w:r>
        <w:rPr>
          <w:rFonts w:ascii="Arial" w:eastAsia="宋体" w:hAnsi="Arial" w:cs="Arial"/>
          <w:color w:val="000000"/>
          <w:sz w:val="20"/>
          <w:szCs w:val="20"/>
        </w:rPr>
        <w:t xml:space="preserve">Approximately 96% and 92% of the carrying value of the portfolio was rated “AAA” or “AA” as of September 30, </w:t>
      </w:r>
      <w:r>
        <w:rPr>
          <w:rFonts w:ascii="Arial" w:eastAsia="宋体" w:hAnsi="Arial" w:cs="Arial"/>
          <w:color w:val="000000"/>
          <w:sz w:val="20"/>
          <w:szCs w:val="20"/>
        </w:rPr>
        <w:t>2022 and December 31,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2655"/>
        <w:gridCol w:w="38"/>
        <w:gridCol w:w="38"/>
        <w:gridCol w:w="2551"/>
        <w:gridCol w:w="146"/>
        <w:gridCol w:w="36"/>
        <w:gridCol w:w="62"/>
        <w:gridCol w:w="36"/>
        <w:gridCol w:w="37"/>
        <w:gridCol w:w="2553"/>
        <w:gridCol w:w="146"/>
      </w:tblGrid>
      <w:tr w:rsidR="006A3667" w14:paraId="71D404AA" w14:textId="77777777">
        <w:tc>
          <w:tcPr>
            <w:tcW w:w="50" w:type="pct"/>
            <w:shd w:val="clear" w:color="auto" w:fill="auto"/>
            <w:vAlign w:val="bottom"/>
          </w:tcPr>
          <w:p w14:paraId="71D4049E" w14:textId="77777777" w:rsidR="006A3667" w:rsidRDefault="006A3667">
            <w:pPr>
              <w:rPr>
                <w:rFonts w:ascii="宋体"/>
              </w:rPr>
            </w:pPr>
          </w:p>
        </w:tc>
        <w:tc>
          <w:tcPr>
            <w:tcW w:w="1627" w:type="pct"/>
            <w:shd w:val="clear" w:color="auto" w:fill="auto"/>
            <w:vAlign w:val="bottom"/>
          </w:tcPr>
          <w:p w14:paraId="71D4049F" w14:textId="77777777" w:rsidR="006A3667" w:rsidRDefault="006A3667">
            <w:pPr>
              <w:rPr>
                <w:rFonts w:ascii="宋体"/>
              </w:rPr>
            </w:pPr>
          </w:p>
        </w:tc>
        <w:tc>
          <w:tcPr>
            <w:tcW w:w="5" w:type="pct"/>
            <w:shd w:val="clear" w:color="auto" w:fill="auto"/>
            <w:vAlign w:val="bottom"/>
          </w:tcPr>
          <w:p w14:paraId="71D404A0" w14:textId="77777777" w:rsidR="006A3667" w:rsidRDefault="006A3667">
            <w:pPr>
              <w:rPr>
                <w:rFonts w:ascii="宋体"/>
              </w:rPr>
            </w:pPr>
          </w:p>
        </w:tc>
        <w:tc>
          <w:tcPr>
            <w:tcW w:w="50" w:type="pct"/>
            <w:shd w:val="clear" w:color="auto" w:fill="auto"/>
            <w:vAlign w:val="bottom"/>
          </w:tcPr>
          <w:p w14:paraId="71D404A1" w14:textId="77777777" w:rsidR="006A3667" w:rsidRDefault="006A3667">
            <w:pPr>
              <w:rPr>
                <w:rFonts w:ascii="宋体"/>
              </w:rPr>
            </w:pPr>
          </w:p>
        </w:tc>
        <w:tc>
          <w:tcPr>
            <w:tcW w:w="1564" w:type="pct"/>
            <w:shd w:val="clear" w:color="auto" w:fill="auto"/>
            <w:vAlign w:val="bottom"/>
          </w:tcPr>
          <w:p w14:paraId="71D404A2" w14:textId="77777777" w:rsidR="006A3667" w:rsidRDefault="006A3667">
            <w:pPr>
              <w:rPr>
                <w:rFonts w:ascii="宋体"/>
              </w:rPr>
            </w:pPr>
          </w:p>
        </w:tc>
        <w:tc>
          <w:tcPr>
            <w:tcW w:w="5" w:type="pct"/>
            <w:shd w:val="clear" w:color="auto" w:fill="auto"/>
            <w:vAlign w:val="bottom"/>
          </w:tcPr>
          <w:p w14:paraId="71D404A3" w14:textId="77777777" w:rsidR="006A3667" w:rsidRDefault="006A3667">
            <w:pPr>
              <w:rPr>
                <w:rFonts w:ascii="宋体"/>
              </w:rPr>
            </w:pPr>
          </w:p>
        </w:tc>
        <w:tc>
          <w:tcPr>
            <w:tcW w:w="5" w:type="pct"/>
            <w:shd w:val="clear" w:color="auto" w:fill="auto"/>
            <w:vAlign w:val="bottom"/>
          </w:tcPr>
          <w:p w14:paraId="71D404A4" w14:textId="77777777" w:rsidR="006A3667" w:rsidRDefault="006A3667">
            <w:pPr>
              <w:rPr>
                <w:rFonts w:ascii="宋体"/>
              </w:rPr>
            </w:pPr>
          </w:p>
        </w:tc>
        <w:tc>
          <w:tcPr>
            <w:tcW w:w="68" w:type="pct"/>
            <w:shd w:val="clear" w:color="auto" w:fill="auto"/>
            <w:vAlign w:val="bottom"/>
          </w:tcPr>
          <w:p w14:paraId="71D404A5" w14:textId="77777777" w:rsidR="006A3667" w:rsidRDefault="006A3667">
            <w:pPr>
              <w:rPr>
                <w:rFonts w:ascii="宋体"/>
              </w:rPr>
            </w:pPr>
          </w:p>
        </w:tc>
        <w:tc>
          <w:tcPr>
            <w:tcW w:w="5" w:type="pct"/>
            <w:shd w:val="clear" w:color="auto" w:fill="auto"/>
            <w:vAlign w:val="bottom"/>
          </w:tcPr>
          <w:p w14:paraId="71D404A6" w14:textId="77777777" w:rsidR="006A3667" w:rsidRDefault="006A3667">
            <w:pPr>
              <w:rPr>
                <w:rFonts w:ascii="宋体"/>
              </w:rPr>
            </w:pPr>
          </w:p>
        </w:tc>
        <w:tc>
          <w:tcPr>
            <w:tcW w:w="50" w:type="pct"/>
            <w:shd w:val="clear" w:color="auto" w:fill="auto"/>
            <w:vAlign w:val="bottom"/>
          </w:tcPr>
          <w:p w14:paraId="71D404A7" w14:textId="77777777" w:rsidR="006A3667" w:rsidRDefault="006A3667">
            <w:pPr>
              <w:rPr>
                <w:rFonts w:ascii="宋体"/>
              </w:rPr>
            </w:pPr>
          </w:p>
        </w:tc>
        <w:tc>
          <w:tcPr>
            <w:tcW w:w="1564" w:type="pct"/>
            <w:shd w:val="clear" w:color="auto" w:fill="auto"/>
            <w:vAlign w:val="bottom"/>
          </w:tcPr>
          <w:p w14:paraId="71D404A8" w14:textId="77777777" w:rsidR="006A3667" w:rsidRDefault="006A3667">
            <w:pPr>
              <w:rPr>
                <w:rFonts w:ascii="宋体"/>
              </w:rPr>
            </w:pPr>
          </w:p>
        </w:tc>
        <w:tc>
          <w:tcPr>
            <w:tcW w:w="5" w:type="pct"/>
            <w:shd w:val="clear" w:color="auto" w:fill="auto"/>
            <w:vAlign w:val="bottom"/>
          </w:tcPr>
          <w:p w14:paraId="71D404A9" w14:textId="77777777" w:rsidR="006A3667" w:rsidRDefault="006A3667">
            <w:pPr>
              <w:rPr>
                <w:rFonts w:ascii="宋体"/>
              </w:rPr>
            </w:pPr>
          </w:p>
        </w:tc>
      </w:tr>
      <w:tr w:rsidR="006A3667" w14:paraId="71D404AC" w14:textId="77777777">
        <w:tc>
          <w:tcPr>
            <w:tcW w:w="0" w:type="auto"/>
            <w:gridSpan w:val="12"/>
            <w:shd w:val="clear" w:color="auto" w:fill="auto"/>
            <w:tcMar>
              <w:top w:w="40" w:type="dxa"/>
              <w:left w:w="20" w:type="dxa"/>
              <w:bottom w:w="40" w:type="dxa"/>
              <w:right w:w="20" w:type="dxa"/>
            </w:tcMar>
            <w:vAlign w:val="bottom"/>
          </w:tcPr>
          <w:p w14:paraId="71D404AB" w14:textId="77777777" w:rsidR="006A3667" w:rsidRDefault="00045F32">
            <w:pPr>
              <w:textAlignment w:val="bottom"/>
            </w:pPr>
            <w:r>
              <w:rPr>
                <w:rFonts w:ascii="Arial" w:eastAsia="宋体" w:hAnsi="Arial" w:cs="Arial"/>
                <w:b/>
                <w:bCs/>
                <w:color w:val="000000"/>
                <w:sz w:val="16"/>
                <w:szCs w:val="16"/>
              </w:rPr>
              <w:t>TABLE 21: INVESTMENT PORTFOLIO BY EXTERNAL CREDIT RATING</w:t>
            </w:r>
          </w:p>
        </w:tc>
      </w:tr>
      <w:tr w:rsidR="006A3667" w14:paraId="71D404B1" w14:textId="77777777">
        <w:tc>
          <w:tcPr>
            <w:tcW w:w="0" w:type="auto"/>
            <w:gridSpan w:val="3"/>
            <w:shd w:val="clear" w:color="auto" w:fill="auto"/>
            <w:tcMar>
              <w:top w:w="0" w:type="dxa"/>
              <w:left w:w="20" w:type="dxa"/>
              <w:bottom w:w="0" w:type="dxa"/>
              <w:right w:w="20" w:type="dxa"/>
            </w:tcMar>
            <w:vAlign w:val="bottom"/>
          </w:tcPr>
          <w:p w14:paraId="71D404A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4AE"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04A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4B0"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04B8" w14:textId="77777777">
        <w:tc>
          <w:tcPr>
            <w:tcW w:w="0" w:type="auto"/>
            <w:gridSpan w:val="3"/>
            <w:shd w:val="clear" w:color="auto" w:fill="CCEEFF"/>
            <w:tcMar>
              <w:top w:w="40" w:type="dxa"/>
              <w:left w:w="20" w:type="dxa"/>
              <w:bottom w:w="40" w:type="dxa"/>
              <w:right w:w="20" w:type="dxa"/>
            </w:tcMar>
            <w:vAlign w:val="bottom"/>
          </w:tcPr>
          <w:p w14:paraId="71D404B2" w14:textId="77777777" w:rsidR="006A3667" w:rsidRDefault="00045F32">
            <w:pPr>
              <w:textAlignment w:val="bottom"/>
            </w:pPr>
            <w:r>
              <w:rPr>
                <w:rFonts w:ascii="Arial" w:eastAsia="宋体" w:hAnsi="Arial" w:cs="Arial"/>
                <w:color w:val="000000"/>
                <w:sz w:val="14"/>
                <w:szCs w:val="14"/>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4B3" w14:textId="77777777" w:rsidR="006A3667" w:rsidRDefault="00045F32">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4B4"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404B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4B6" w14:textId="77777777" w:rsidR="006A3667" w:rsidRDefault="00045F32">
            <w:pPr>
              <w:jc w:val="right"/>
              <w:textAlignment w:val="bottom"/>
            </w:pPr>
            <w:r>
              <w:rPr>
                <w:rFonts w:ascii="Arial" w:eastAsia="宋体" w:hAnsi="Arial" w:cs="Arial"/>
                <w:color w:val="000000"/>
                <w:sz w:val="14"/>
                <w:szCs w:val="14"/>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4B7" w14:textId="77777777" w:rsidR="006A3667" w:rsidRDefault="00045F32">
            <w:pPr>
              <w:jc w:val="right"/>
              <w:textAlignment w:val="bottom"/>
            </w:pPr>
            <w:r>
              <w:rPr>
                <w:rFonts w:ascii="Arial" w:eastAsia="宋体" w:hAnsi="Arial" w:cs="Arial"/>
                <w:color w:val="000000"/>
                <w:sz w:val="14"/>
                <w:szCs w:val="14"/>
              </w:rPr>
              <w:t>%</w:t>
            </w:r>
          </w:p>
        </w:tc>
      </w:tr>
      <w:tr w:rsidR="006A3667" w14:paraId="71D404BF" w14:textId="77777777">
        <w:tc>
          <w:tcPr>
            <w:tcW w:w="0" w:type="auto"/>
            <w:gridSpan w:val="3"/>
            <w:shd w:val="clear" w:color="auto" w:fill="FFFFFF"/>
            <w:tcMar>
              <w:top w:w="40" w:type="dxa"/>
              <w:left w:w="20" w:type="dxa"/>
              <w:bottom w:w="40" w:type="dxa"/>
              <w:right w:w="20" w:type="dxa"/>
            </w:tcMar>
            <w:vAlign w:val="bottom"/>
          </w:tcPr>
          <w:p w14:paraId="71D404B9" w14:textId="77777777" w:rsidR="006A3667" w:rsidRDefault="00045F32">
            <w:pPr>
              <w:textAlignment w:val="bottom"/>
            </w:pPr>
            <w:r>
              <w:rPr>
                <w:rFonts w:ascii="Arial" w:eastAsia="宋体" w:hAnsi="Arial" w:cs="Arial"/>
                <w:color w:val="000000"/>
                <w:sz w:val="14"/>
                <w:szCs w:val="14"/>
              </w:rPr>
              <w:t>AA</w:t>
            </w:r>
          </w:p>
        </w:tc>
        <w:tc>
          <w:tcPr>
            <w:tcW w:w="0" w:type="auto"/>
            <w:gridSpan w:val="2"/>
            <w:shd w:val="clear" w:color="auto" w:fill="FFFFFF"/>
            <w:tcMar>
              <w:top w:w="40" w:type="dxa"/>
              <w:left w:w="20" w:type="dxa"/>
              <w:bottom w:w="40" w:type="dxa"/>
              <w:right w:w="0" w:type="dxa"/>
            </w:tcMar>
            <w:vAlign w:val="bottom"/>
          </w:tcPr>
          <w:p w14:paraId="71D404BA" w14:textId="77777777" w:rsidR="006A3667" w:rsidRDefault="00045F32">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4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4B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4BD"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71D404BE" w14:textId="77777777" w:rsidR="006A3667" w:rsidRDefault="006A3667">
            <w:pPr>
              <w:jc w:val="right"/>
              <w:rPr>
                <w:rFonts w:ascii="宋体"/>
              </w:rPr>
            </w:pPr>
          </w:p>
        </w:tc>
      </w:tr>
      <w:tr w:rsidR="006A3667" w14:paraId="71D404C6" w14:textId="77777777">
        <w:tc>
          <w:tcPr>
            <w:tcW w:w="0" w:type="auto"/>
            <w:gridSpan w:val="3"/>
            <w:shd w:val="clear" w:color="auto" w:fill="CCEEFF"/>
            <w:tcMar>
              <w:top w:w="40" w:type="dxa"/>
              <w:left w:w="20" w:type="dxa"/>
              <w:bottom w:w="40" w:type="dxa"/>
              <w:right w:w="20" w:type="dxa"/>
            </w:tcMar>
            <w:vAlign w:val="bottom"/>
          </w:tcPr>
          <w:p w14:paraId="71D404C0" w14:textId="77777777" w:rsidR="006A3667" w:rsidRDefault="00045F32">
            <w:pPr>
              <w:textAlignment w:val="bottom"/>
            </w:pPr>
            <w:r>
              <w:rPr>
                <w:rFonts w:ascii="Arial" w:eastAsia="宋体" w:hAnsi="Arial" w:cs="Arial"/>
                <w:color w:val="000000"/>
                <w:sz w:val="14"/>
                <w:szCs w:val="14"/>
              </w:rPr>
              <w:t>A</w:t>
            </w:r>
          </w:p>
        </w:tc>
        <w:tc>
          <w:tcPr>
            <w:tcW w:w="0" w:type="auto"/>
            <w:gridSpan w:val="2"/>
            <w:shd w:val="clear" w:color="auto" w:fill="CCEEFF"/>
            <w:tcMar>
              <w:top w:w="40" w:type="dxa"/>
              <w:left w:w="20" w:type="dxa"/>
              <w:bottom w:w="40" w:type="dxa"/>
              <w:right w:w="0" w:type="dxa"/>
            </w:tcMar>
            <w:vAlign w:val="bottom"/>
          </w:tcPr>
          <w:p w14:paraId="71D404C1"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4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4C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4C4" w14:textId="77777777" w:rsidR="006A3667" w:rsidRDefault="00045F32">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71D404C5" w14:textId="77777777" w:rsidR="006A3667" w:rsidRDefault="006A3667">
            <w:pPr>
              <w:jc w:val="right"/>
              <w:rPr>
                <w:rFonts w:ascii="宋体"/>
              </w:rPr>
            </w:pPr>
          </w:p>
        </w:tc>
      </w:tr>
      <w:tr w:rsidR="006A3667" w14:paraId="71D404CD" w14:textId="77777777">
        <w:tc>
          <w:tcPr>
            <w:tcW w:w="0" w:type="auto"/>
            <w:gridSpan w:val="3"/>
            <w:shd w:val="clear" w:color="auto" w:fill="FFFFFF"/>
            <w:tcMar>
              <w:top w:w="40" w:type="dxa"/>
              <w:left w:w="20" w:type="dxa"/>
              <w:bottom w:w="40" w:type="dxa"/>
              <w:right w:w="20" w:type="dxa"/>
            </w:tcMar>
            <w:vAlign w:val="bottom"/>
          </w:tcPr>
          <w:p w14:paraId="71D404C7" w14:textId="77777777" w:rsidR="006A3667" w:rsidRDefault="00045F32">
            <w:pPr>
              <w:textAlignment w:val="bottom"/>
            </w:pPr>
            <w:r>
              <w:rPr>
                <w:rFonts w:ascii="Arial" w:eastAsia="宋体" w:hAnsi="Arial" w:cs="Arial"/>
                <w:color w:val="000000"/>
                <w:sz w:val="14"/>
                <w:szCs w:val="14"/>
              </w:rPr>
              <w:t>BBB</w:t>
            </w:r>
          </w:p>
        </w:tc>
        <w:tc>
          <w:tcPr>
            <w:tcW w:w="0" w:type="auto"/>
            <w:gridSpan w:val="2"/>
            <w:shd w:val="clear" w:color="auto" w:fill="FFFFFF"/>
            <w:tcMar>
              <w:top w:w="40" w:type="dxa"/>
              <w:left w:w="20" w:type="dxa"/>
              <w:bottom w:w="40" w:type="dxa"/>
              <w:right w:w="0" w:type="dxa"/>
            </w:tcMar>
            <w:vAlign w:val="bottom"/>
          </w:tcPr>
          <w:p w14:paraId="71D404C8"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4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4C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4CB" w14:textId="77777777" w:rsidR="006A3667" w:rsidRDefault="00045F32">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71D404CC" w14:textId="77777777" w:rsidR="006A3667" w:rsidRDefault="006A3667">
            <w:pPr>
              <w:jc w:val="right"/>
              <w:rPr>
                <w:rFonts w:ascii="宋体"/>
              </w:rPr>
            </w:pPr>
          </w:p>
        </w:tc>
      </w:tr>
      <w:tr w:rsidR="006A3667" w14:paraId="71D404D2" w14:textId="77777777">
        <w:trPr>
          <w:hidden/>
        </w:trPr>
        <w:tc>
          <w:tcPr>
            <w:tcW w:w="0" w:type="auto"/>
            <w:gridSpan w:val="3"/>
            <w:shd w:val="clear" w:color="auto" w:fill="auto"/>
            <w:vAlign w:val="bottom"/>
          </w:tcPr>
          <w:p w14:paraId="71D404CE" w14:textId="77777777" w:rsidR="006A3667" w:rsidRDefault="006A3667">
            <w:pPr>
              <w:rPr>
                <w:rFonts w:ascii="宋体"/>
                <w:vanish/>
              </w:rPr>
            </w:pPr>
          </w:p>
        </w:tc>
        <w:tc>
          <w:tcPr>
            <w:tcW w:w="0" w:type="auto"/>
            <w:gridSpan w:val="3"/>
            <w:shd w:val="clear" w:color="auto" w:fill="auto"/>
            <w:vAlign w:val="bottom"/>
          </w:tcPr>
          <w:p w14:paraId="71D404CF" w14:textId="77777777" w:rsidR="006A3667" w:rsidRDefault="006A3667">
            <w:pPr>
              <w:rPr>
                <w:rFonts w:ascii="宋体"/>
                <w:vanish/>
              </w:rPr>
            </w:pPr>
          </w:p>
        </w:tc>
        <w:tc>
          <w:tcPr>
            <w:tcW w:w="0" w:type="auto"/>
            <w:gridSpan w:val="3"/>
            <w:shd w:val="clear" w:color="auto" w:fill="auto"/>
            <w:vAlign w:val="bottom"/>
          </w:tcPr>
          <w:p w14:paraId="71D404D0" w14:textId="77777777" w:rsidR="006A3667" w:rsidRDefault="006A3667">
            <w:pPr>
              <w:rPr>
                <w:rFonts w:ascii="宋体"/>
                <w:vanish/>
              </w:rPr>
            </w:pPr>
          </w:p>
        </w:tc>
        <w:tc>
          <w:tcPr>
            <w:tcW w:w="0" w:type="auto"/>
            <w:gridSpan w:val="3"/>
            <w:shd w:val="clear" w:color="auto" w:fill="auto"/>
            <w:vAlign w:val="bottom"/>
          </w:tcPr>
          <w:p w14:paraId="71D404D1" w14:textId="77777777" w:rsidR="006A3667" w:rsidRDefault="006A3667">
            <w:pPr>
              <w:rPr>
                <w:rFonts w:ascii="宋体"/>
                <w:vanish/>
              </w:rPr>
            </w:pPr>
          </w:p>
        </w:tc>
      </w:tr>
      <w:tr w:rsidR="006A3667" w14:paraId="71D404D9" w14:textId="77777777">
        <w:tc>
          <w:tcPr>
            <w:tcW w:w="0" w:type="auto"/>
            <w:gridSpan w:val="3"/>
            <w:shd w:val="clear" w:color="auto" w:fill="CCEEFF"/>
            <w:tcMar>
              <w:top w:w="0" w:type="dxa"/>
              <w:left w:w="20" w:type="dxa"/>
              <w:bottom w:w="0" w:type="dxa"/>
              <w:right w:w="20" w:type="dxa"/>
            </w:tcMar>
            <w:vAlign w:val="bottom"/>
          </w:tcPr>
          <w:p w14:paraId="71D404D3" w14:textId="77777777" w:rsidR="006A3667" w:rsidRDefault="006A366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04D4" w14:textId="77777777" w:rsidR="006A3667" w:rsidRDefault="00045F32">
            <w:pPr>
              <w:jc w:val="right"/>
              <w:textAlignment w:val="bottom"/>
            </w:pPr>
            <w:r>
              <w:rPr>
                <w:rFonts w:ascii="Arial" w:eastAsia="宋体" w:hAnsi="Arial" w:cs="Arial"/>
                <w:b/>
                <w:bCs/>
                <w:color w:val="000000"/>
                <w:sz w:val="14"/>
                <w:szCs w:val="14"/>
              </w:rPr>
              <w:t>100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04D5"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404D6" w14:textId="77777777" w:rsidR="006A3667" w:rsidRDefault="006A3667">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04D7" w14:textId="77777777" w:rsidR="006A3667" w:rsidRDefault="00045F32">
            <w:pPr>
              <w:jc w:val="right"/>
              <w:textAlignment w:val="bottom"/>
            </w:pPr>
            <w:r>
              <w:rPr>
                <w:rFonts w:ascii="Arial" w:eastAsia="宋体" w:hAnsi="Arial" w:cs="Arial"/>
                <w:color w:val="000000"/>
                <w:sz w:val="14"/>
                <w:szCs w:val="14"/>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04D8" w14:textId="77777777" w:rsidR="006A3667" w:rsidRDefault="00045F32">
            <w:pPr>
              <w:jc w:val="right"/>
              <w:textAlignment w:val="bottom"/>
            </w:pPr>
            <w:r>
              <w:rPr>
                <w:rFonts w:ascii="Arial" w:eastAsia="宋体" w:hAnsi="Arial" w:cs="Arial"/>
                <w:color w:val="000000"/>
                <w:sz w:val="14"/>
                <w:szCs w:val="14"/>
              </w:rPr>
              <w:t>%</w:t>
            </w:r>
          </w:p>
        </w:tc>
      </w:tr>
    </w:tbl>
    <w:p w14:paraId="71D404DA" w14:textId="77777777" w:rsidR="006A3667" w:rsidRDefault="006A3667">
      <w:pPr>
        <w:rPr>
          <w:vanish/>
        </w:rPr>
      </w:pPr>
    </w:p>
    <w:tbl>
      <w:tblPr>
        <w:tblW w:w="4214" w:type="pct"/>
        <w:tblCellMar>
          <w:top w:w="15" w:type="dxa"/>
          <w:left w:w="15" w:type="dxa"/>
          <w:bottom w:w="15" w:type="dxa"/>
          <w:right w:w="15" w:type="dxa"/>
        </w:tblCellMar>
        <w:tblLook w:val="04A0" w:firstRow="1" w:lastRow="0" w:firstColumn="1" w:lastColumn="0" w:noHBand="0" w:noVBand="1"/>
      </w:tblPr>
      <w:tblGrid>
        <w:gridCol w:w="55"/>
        <w:gridCol w:w="3931"/>
        <w:gridCol w:w="36"/>
        <w:gridCol w:w="55"/>
        <w:gridCol w:w="218"/>
        <w:gridCol w:w="36"/>
        <w:gridCol w:w="56"/>
        <w:gridCol w:w="2531"/>
        <w:gridCol w:w="36"/>
        <w:gridCol w:w="36"/>
        <w:gridCol w:w="36"/>
      </w:tblGrid>
      <w:tr w:rsidR="006A3667" w14:paraId="71D404E6" w14:textId="77777777">
        <w:tc>
          <w:tcPr>
            <w:tcW w:w="50" w:type="pct"/>
            <w:shd w:val="clear" w:color="auto" w:fill="auto"/>
            <w:vAlign w:val="bottom"/>
          </w:tcPr>
          <w:p w14:paraId="71D404DB" w14:textId="77777777" w:rsidR="006A3667" w:rsidRDefault="006A3667">
            <w:pPr>
              <w:rPr>
                <w:rFonts w:ascii="宋体"/>
              </w:rPr>
            </w:pPr>
          </w:p>
        </w:tc>
        <w:tc>
          <w:tcPr>
            <w:tcW w:w="2836" w:type="pct"/>
            <w:shd w:val="clear" w:color="auto" w:fill="auto"/>
            <w:vAlign w:val="bottom"/>
          </w:tcPr>
          <w:p w14:paraId="71D404DC" w14:textId="77777777" w:rsidR="006A3667" w:rsidRDefault="006A3667">
            <w:pPr>
              <w:rPr>
                <w:rFonts w:ascii="宋体"/>
              </w:rPr>
            </w:pPr>
          </w:p>
        </w:tc>
        <w:tc>
          <w:tcPr>
            <w:tcW w:w="5" w:type="pct"/>
            <w:shd w:val="clear" w:color="auto" w:fill="auto"/>
            <w:vAlign w:val="bottom"/>
          </w:tcPr>
          <w:p w14:paraId="71D404DD" w14:textId="77777777" w:rsidR="006A3667" w:rsidRDefault="006A3667">
            <w:pPr>
              <w:rPr>
                <w:rFonts w:ascii="宋体"/>
              </w:rPr>
            </w:pPr>
          </w:p>
        </w:tc>
        <w:tc>
          <w:tcPr>
            <w:tcW w:w="50" w:type="pct"/>
            <w:shd w:val="clear" w:color="auto" w:fill="auto"/>
            <w:vAlign w:val="bottom"/>
          </w:tcPr>
          <w:p w14:paraId="71D404DE" w14:textId="77777777" w:rsidR="006A3667" w:rsidRDefault="006A3667">
            <w:pPr>
              <w:rPr>
                <w:rFonts w:ascii="宋体"/>
              </w:rPr>
            </w:pPr>
          </w:p>
        </w:tc>
        <w:tc>
          <w:tcPr>
            <w:tcW w:w="168" w:type="pct"/>
            <w:shd w:val="clear" w:color="auto" w:fill="auto"/>
            <w:vAlign w:val="bottom"/>
          </w:tcPr>
          <w:p w14:paraId="71D404DF" w14:textId="77777777" w:rsidR="006A3667" w:rsidRDefault="006A3667">
            <w:pPr>
              <w:rPr>
                <w:rFonts w:ascii="宋体"/>
              </w:rPr>
            </w:pPr>
          </w:p>
        </w:tc>
        <w:tc>
          <w:tcPr>
            <w:tcW w:w="5" w:type="pct"/>
            <w:shd w:val="clear" w:color="auto" w:fill="auto"/>
            <w:vAlign w:val="bottom"/>
          </w:tcPr>
          <w:p w14:paraId="71D404E0" w14:textId="77777777" w:rsidR="006A3667" w:rsidRDefault="006A3667">
            <w:pPr>
              <w:rPr>
                <w:rFonts w:ascii="宋体"/>
              </w:rPr>
            </w:pPr>
          </w:p>
        </w:tc>
        <w:tc>
          <w:tcPr>
            <w:tcW w:w="50" w:type="pct"/>
            <w:shd w:val="clear" w:color="auto" w:fill="auto"/>
            <w:vAlign w:val="bottom"/>
          </w:tcPr>
          <w:p w14:paraId="71D404E1" w14:textId="77777777" w:rsidR="006A3667" w:rsidRDefault="006A3667">
            <w:pPr>
              <w:rPr>
                <w:rFonts w:ascii="宋体"/>
              </w:rPr>
            </w:pPr>
          </w:p>
        </w:tc>
        <w:tc>
          <w:tcPr>
            <w:tcW w:w="1829" w:type="pct"/>
            <w:shd w:val="clear" w:color="auto" w:fill="auto"/>
            <w:vAlign w:val="bottom"/>
          </w:tcPr>
          <w:p w14:paraId="71D404E2" w14:textId="77777777" w:rsidR="006A3667" w:rsidRDefault="006A3667">
            <w:pPr>
              <w:rPr>
                <w:rFonts w:ascii="宋体"/>
              </w:rPr>
            </w:pPr>
          </w:p>
        </w:tc>
        <w:tc>
          <w:tcPr>
            <w:tcW w:w="5" w:type="pct"/>
            <w:shd w:val="clear" w:color="auto" w:fill="auto"/>
            <w:vAlign w:val="bottom"/>
          </w:tcPr>
          <w:p w14:paraId="71D404E3" w14:textId="77777777" w:rsidR="006A3667" w:rsidRDefault="006A3667">
            <w:pPr>
              <w:rPr>
                <w:rFonts w:ascii="宋体"/>
              </w:rPr>
            </w:pPr>
          </w:p>
        </w:tc>
        <w:tc>
          <w:tcPr>
            <w:tcW w:w="0" w:type="auto"/>
            <w:shd w:val="clear" w:color="auto" w:fill="auto"/>
            <w:vAlign w:val="bottom"/>
          </w:tcPr>
          <w:p w14:paraId="71D404E4" w14:textId="77777777" w:rsidR="006A3667" w:rsidRDefault="006A3667">
            <w:pPr>
              <w:rPr>
                <w:rFonts w:ascii="宋体"/>
                <w:vanish/>
              </w:rPr>
            </w:pPr>
          </w:p>
        </w:tc>
        <w:tc>
          <w:tcPr>
            <w:tcW w:w="0" w:type="auto"/>
            <w:shd w:val="clear" w:color="auto" w:fill="auto"/>
            <w:vAlign w:val="bottom"/>
          </w:tcPr>
          <w:p w14:paraId="71D404E5" w14:textId="77777777" w:rsidR="006A3667" w:rsidRDefault="006A3667">
            <w:pPr>
              <w:rPr>
                <w:rFonts w:ascii="宋体"/>
                <w:vanish/>
              </w:rPr>
            </w:pPr>
          </w:p>
        </w:tc>
      </w:tr>
      <w:tr w:rsidR="006A3667" w14:paraId="71D404E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4E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4E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4E9" w14:textId="77777777" w:rsidR="006A3667" w:rsidRDefault="006A3667">
            <w:pPr>
              <w:rPr>
                <w:rFonts w:ascii="宋体"/>
              </w:rPr>
            </w:pPr>
          </w:p>
        </w:tc>
        <w:tc>
          <w:tcPr>
            <w:tcW w:w="0" w:type="auto"/>
            <w:shd w:val="clear" w:color="auto" w:fill="auto"/>
            <w:vAlign w:val="bottom"/>
          </w:tcPr>
          <w:p w14:paraId="71D404EA" w14:textId="77777777" w:rsidR="006A3667" w:rsidRDefault="006A3667">
            <w:pPr>
              <w:rPr>
                <w:rFonts w:ascii="宋体"/>
                <w:vanish/>
              </w:rPr>
            </w:pPr>
          </w:p>
        </w:tc>
        <w:tc>
          <w:tcPr>
            <w:tcW w:w="0" w:type="auto"/>
            <w:shd w:val="clear" w:color="auto" w:fill="auto"/>
            <w:vAlign w:val="bottom"/>
          </w:tcPr>
          <w:p w14:paraId="71D404EB" w14:textId="77777777" w:rsidR="006A3667" w:rsidRDefault="006A3667">
            <w:pPr>
              <w:rPr>
                <w:rFonts w:ascii="宋体"/>
                <w:vanish/>
              </w:rPr>
            </w:pPr>
          </w:p>
        </w:tc>
      </w:tr>
    </w:tbl>
    <w:p w14:paraId="71D404ED" w14:textId="77777777" w:rsidR="006A3667" w:rsidRDefault="00045F32">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Includes U.S. Treasury and federal agency securities that are split-rated, “AAA” by Moody’s Investors Service and “AA+” by Standard &amp; Poor’s and also includes Agency MBS securities which are not explicitly rated but which have an explicit or </w:t>
      </w:r>
      <w:r>
        <w:rPr>
          <w:rFonts w:ascii="Arial" w:eastAsia="宋体" w:hAnsi="Arial" w:cs="Arial"/>
          <w:color w:val="000000"/>
          <w:sz w:val="13"/>
          <w:szCs w:val="13"/>
        </w:rPr>
        <w:t>assumed guarantee from the U.S. government.</w:t>
      </w:r>
    </w:p>
    <w:p w14:paraId="71D404EE" w14:textId="77777777" w:rsidR="006A3667" w:rsidRDefault="00045F32">
      <w:pPr>
        <w:spacing w:before="60"/>
        <w:ind w:firstLine="450"/>
        <w:jc w:val="both"/>
        <w:textAlignment w:val="top"/>
      </w:pPr>
      <w:r>
        <w:rPr>
          <w:rFonts w:ascii="Arial" w:eastAsia="宋体" w:hAnsi="Arial" w:cs="Arial"/>
          <w:color w:val="000000"/>
          <w:sz w:val="20"/>
          <w:szCs w:val="20"/>
        </w:rPr>
        <w:t>As of September 30, 2022 and December 31, 2021, the investment portfolio was diversified with respect to asset class composition. The following table presents the composition of these asset classes.</w:t>
      </w:r>
    </w:p>
    <w:p w14:paraId="71D404EF" w14:textId="77777777" w:rsidR="006A3667" w:rsidRDefault="00045F32">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29</w:t>
      </w:r>
    </w:p>
    <w:p w14:paraId="71D404F0" w14:textId="77777777" w:rsidR="006A3667" w:rsidRDefault="006A3667">
      <w:pPr>
        <w:ind w:firstLine="450"/>
        <w:jc w:val="center"/>
      </w:pPr>
    </w:p>
    <w:p w14:paraId="71D404F1" w14:textId="77777777" w:rsidR="006A3667" w:rsidRDefault="00045F32">
      <w:r>
        <w:pict w14:anchorId="71D4AC31">
          <v:rect id="_x0000_i1053" style="width:415.3pt;height:1.5pt" o:hralign="center" o:hrstd="t" o:hr="t" fillcolor="#a0a0a0" stroked="f"/>
        </w:pict>
      </w:r>
    </w:p>
    <w:p w14:paraId="71D404F2"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4F3" w14:textId="77777777" w:rsidR="006A3667" w:rsidRDefault="00045F32">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04"/>
        <w:gridCol w:w="38"/>
        <w:gridCol w:w="38"/>
        <w:gridCol w:w="2027"/>
        <w:gridCol w:w="146"/>
        <w:gridCol w:w="36"/>
        <w:gridCol w:w="62"/>
        <w:gridCol w:w="36"/>
        <w:gridCol w:w="37"/>
        <w:gridCol w:w="2028"/>
        <w:gridCol w:w="146"/>
      </w:tblGrid>
      <w:tr w:rsidR="006A3667" w14:paraId="71D40500" w14:textId="77777777">
        <w:tc>
          <w:tcPr>
            <w:tcW w:w="50" w:type="pct"/>
            <w:shd w:val="clear" w:color="auto" w:fill="auto"/>
            <w:vAlign w:val="bottom"/>
          </w:tcPr>
          <w:p w14:paraId="71D404F4" w14:textId="77777777" w:rsidR="006A3667" w:rsidRDefault="006A3667">
            <w:pPr>
              <w:rPr>
                <w:rFonts w:ascii="宋体"/>
              </w:rPr>
            </w:pPr>
          </w:p>
        </w:tc>
        <w:tc>
          <w:tcPr>
            <w:tcW w:w="2256" w:type="pct"/>
            <w:shd w:val="clear" w:color="auto" w:fill="auto"/>
            <w:vAlign w:val="bottom"/>
          </w:tcPr>
          <w:p w14:paraId="71D404F5" w14:textId="77777777" w:rsidR="006A3667" w:rsidRDefault="006A3667">
            <w:pPr>
              <w:rPr>
                <w:rFonts w:ascii="宋体"/>
              </w:rPr>
            </w:pPr>
          </w:p>
        </w:tc>
        <w:tc>
          <w:tcPr>
            <w:tcW w:w="5" w:type="pct"/>
            <w:shd w:val="clear" w:color="auto" w:fill="auto"/>
            <w:vAlign w:val="bottom"/>
          </w:tcPr>
          <w:p w14:paraId="71D404F6" w14:textId="77777777" w:rsidR="006A3667" w:rsidRDefault="006A3667">
            <w:pPr>
              <w:rPr>
                <w:rFonts w:ascii="宋体"/>
              </w:rPr>
            </w:pPr>
          </w:p>
        </w:tc>
        <w:tc>
          <w:tcPr>
            <w:tcW w:w="50" w:type="pct"/>
            <w:shd w:val="clear" w:color="auto" w:fill="auto"/>
            <w:vAlign w:val="bottom"/>
          </w:tcPr>
          <w:p w14:paraId="71D404F7" w14:textId="77777777" w:rsidR="006A3667" w:rsidRDefault="006A3667">
            <w:pPr>
              <w:rPr>
                <w:rFonts w:ascii="宋体"/>
              </w:rPr>
            </w:pPr>
          </w:p>
        </w:tc>
        <w:tc>
          <w:tcPr>
            <w:tcW w:w="1250" w:type="pct"/>
            <w:shd w:val="clear" w:color="auto" w:fill="auto"/>
            <w:vAlign w:val="bottom"/>
          </w:tcPr>
          <w:p w14:paraId="71D404F8" w14:textId="77777777" w:rsidR="006A3667" w:rsidRDefault="006A3667">
            <w:pPr>
              <w:rPr>
                <w:rFonts w:ascii="宋体"/>
              </w:rPr>
            </w:pPr>
          </w:p>
        </w:tc>
        <w:tc>
          <w:tcPr>
            <w:tcW w:w="5" w:type="pct"/>
            <w:shd w:val="clear" w:color="auto" w:fill="auto"/>
            <w:vAlign w:val="bottom"/>
          </w:tcPr>
          <w:p w14:paraId="71D404F9" w14:textId="77777777" w:rsidR="006A3667" w:rsidRDefault="006A3667">
            <w:pPr>
              <w:rPr>
                <w:rFonts w:ascii="宋体"/>
              </w:rPr>
            </w:pPr>
          </w:p>
        </w:tc>
        <w:tc>
          <w:tcPr>
            <w:tcW w:w="5" w:type="pct"/>
            <w:shd w:val="clear" w:color="auto" w:fill="auto"/>
            <w:vAlign w:val="bottom"/>
          </w:tcPr>
          <w:p w14:paraId="71D404FA" w14:textId="77777777" w:rsidR="006A3667" w:rsidRDefault="006A3667">
            <w:pPr>
              <w:rPr>
                <w:rFonts w:ascii="宋体"/>
              </w:rPr>
            </w:pPr>
          </w:p>
        </w:tc>
        <w:tc>
          <w:tcPr>
            <w:tcW w:w="68" w:type="pct"/>
            <w:shd w:val="clear" w:color="auto" w:fill="auto"/>
            <w:vAlign w:val="bottom"/>
          </w:tcPr>
          <w:p w14:paraId="71D404FB" w14:textId="77777777" w:rsidR="006A3667" w:rsidRDefault="006A3667">
            <w:pPr>
              <w:rPr>
                <w:rFonts w:ascii="宋体"/>
              </w:rPr>
            </w:pPr>
          </w:p>
        </w:tc>
        <w:tc>
          <w:tcPr>
            <w:tcW w:w="5" w:type="pct"/>
            <w:shd w:val="clear" w:color="auto" w:fill="auto"/>
            <w:vAlign w:val="bottom"/>
          </w:tcPr>
          <w:p w14:paraId="71D404FC" w14:textId="77777777" w:rsidR="006A3667" w:rsidRDefault="006A3667">
            <w:pPr>
              <w:rPr>
                <w:rFonts w:ascii="宋体"/>
              </w:rPr>
            </w:pPr>
          </w:p>
        </w:tc>
        <w:tc>
          <w:tcPr>
            <w:tcW w:w="50" w:type="pct"/>
            <w:shd w:val="clear" w:color="auto" w:fill="auto"/>
            <w:vAlign w:val="bottom"/>
          </w:tcPr>
          <w:p w14:paraId="71D404FD" w14:textId="77777777" w:rsidR="006A3667" w:rsidRDefault="006A3667">
            <w:pPr>
              <w:rPr>
                <w:rFonts w:ascii="宋体"/>
              </w:rPr>
            </w:pPr>
          </w:p>
        </w:tc>
        <w:tc>
          <w:tcPr>
            <w:tcW w:w="1250" w:type="pct"/>
            <w:shd w:val="clear" w:color="auto" w:fill="auto"/>
            <w:vAlign w:val="bottom"/>
          </w:tcPr>
          <w:p w14:paraId="71D404FE" w14:textId="77777777" w:rsidR="006A3667" w:rsidRDefault="006A3667">
            <w:pPr>
              <w:rPr>
                <w:rFonts w:ascii="宋体"/>
              </w:rPr>
            </w:pPr>
          </w:p>
        </w:tc>
        <w:tc>
          <w:tcPr>
            <w:tcW w:w="5" w:type="pct"/>
            <w:shd w:val="clear" w:color="auto" w:fill="auto"/>
            <w:vAlign w:val="bottom"/>
          </w:tcPr>
          <w:p w14:paraId="71D404FF" w14:textId="77777777" w:rsidR="006A3667" w:rsidRDefault="006A3667">
            <w:pPr>
              <w:rPr>
                <w:rFonts w:ascii="宋体"/>
              </w:rPr>
            </w:pPr>
          </w:p>
        </w:tc>
      </w:tr>
      <w:tr w:rsidR="006A3667" w14:paraId="71D40502" w14:textId="77777777">
        <w:tc>
          <w:tcPr>
            <w:tcW w:w="0" w:type="auto"/>
            <w:gridSpan w:val="12"/>
            <w:shd w:val="clear" w:color="auto" w:fill="auto"/>
            <w:tcMar>
              <w:top w:w="40" w:type="dxa"/>
              <w:left w:w="20" w:type="dxa"/>
              <w:bottom w:w="40" w:type="dxa"/>
              <w:right w:w="20" w:type="dxa"/>
            </w:tcMar>
            <w:vAlign w:val="bottom"/>
          </w:tcPr>
          <w:p w14:paraId="71D40501" w14:textId="77777777" w:rsidR="006A3667" w:rsidRDefault="00045F32">
            <w:pPr>
              <w:textAlignment w:val="bottom"/>
            </w:pPr>
            <w:r>
              <w:rPr>
                <w:rFonts w:ascii="Arial" w:eastAsia="宋体" w:hAnsi="Arial" w:cs="Arial"/>
                <w:b/>
                <w:bCs/>
                <w:color w:val="000000"/>
                <w:sz w:val="16"/>
                <w:szCs w:val="16"/>
              </w:rPr>
              <w:t>TABLE 22: INVESTMENT PORTFOLIO BY ASSET CLASS</w:t>
            </w:r>
          </w:p>
        </w:tc>
      </w:tr>
      <w:tr w:rsidR="006A3667" w14:paraId="71D40507" w14:textId="77777777">
        <w:tc>
          <w:tcPr>
            <w:tcW w:w="0" w:type="auto"/>
            <w:gridSpan w:val="3"/>
            <w:shd w:val="clear" w:color="auto" w:fill="auto"/>
            <w:tcMar>
              <w:top w:w="0" w:type="dxa"/>
              <w:left w:w="20" w:type="dxa"/>
              <w:bottom w:w="0" w:type="dxa"/>
              <w:right w:w="20" w:type="dxa"/>
            </w:tcMar>
            <w:vAlign w:val="bottom"/>
          </w:tcPr>
          <w:p w14:paraId="71D4050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504"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050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506"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050E" w14:textId="77777777">
        <w:tc>
          <w:tcPr>
            <w:tcW w:w="0" w:type="auto"/>
            <w:gridSpan w:val="3"/>
            <w:shd w:val="clear" w:color="auto" w:fill="CCEEFF"/>
            <w:tcMar>
              <w:top w:w="40" w:type="dxa"/>
              <w:left w:w="20" w:type="dxa"/>
              <w:bottom w:w="40" w:type="dxa"/>
              <w:right w:w="20" w:type="dxa"/>
            </w:tcMar>
            <w:vAlign w:val="center"/>
          </w:tcPr>
          <w:p w14:paraId="71D40508" w14:textId="77777777" w:rsidR="006A3667" w:rsidRDefault="00045F32">
            <w:pPr>
              <w:textAlignment w:val="center"/>
            </w:pPr>
            <w:r>
              <w:rPr>
                <w:rFonts w:ascii="Arial" w:eastAsia="宋体" w:hAnsi="Arial" w:cs="Arial"/>
                <w:color w:val="000000"/>
                <w:sz w:val="14"/>
                <w:szCs w:val="14"/>
              </w:rPr>
              <w:t xml:space="preserve">U.S. Agency </w:t>
            </w:r>
            <w:r>
              <w:rPr>
                <w:rFonts w:ascii="Arial" w:eastAsia="宋体" w:hAnsi="Arial" w:cs="Arial"/>
                <w:color w:val="000000"/>
                <w:sz w:val="14"/>
                <w:szCs w:val="14"/>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40509" w14:textId="77777777" w:rsidR="006A3667" w:rsidRDefault="00045F32">
            <w:pPr>
              <w:jc w:val="right"/>
              <w:textAlignment w:val="center"/>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050A" w14:textId="77777777" w:rsidR="006A3667" w:rsidRDefault="00045F32">
            <w:pPr>
              <w:jc w:val="right"/>
              <w:textAlignment w:val="center"/>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4050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4050C" w14:textId="77777777" w:rsidR="006A3667" w:rsidRDefault="00045F32">
            <w:pPr>
              <w:jc w:val="right"/>
              <w:textAlignment w:val="center"/>
            </w:pPr>
            <w:r>
              <w:rPr>
                <w:rFonts w:ascii="Arial" w:eastAsia="宋体" w:hAnsi="Arial" w:cs="Arial"/>
                <w:color w:val="000000"/>
                <w:sz w:val="14"/>
                <w:szCs w:val="14"/>
              </w:rPr>
              <w:t>33 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050D" w14:textId="77777777" w:rsidR="006A3667" w:rsidRDefault="00045F32">
            <w:pPr>
              <w:jc w:val="right"/>
              <w:textAlignment w:val="center"/>
            </w:pPr>
            <w:r>
              <w:rPr>
                <w:rFonts w:ascii="Arial" w:eastAsia="宋体" w:hAnsi="Arial" w:cs="Arial"/>
                <w:color w:val="000000"/>
                <w:sz w:val="14"/>
                <w:szCs w:val="14"/>
              </w:rPr>
              <w:t>%</w:t>
            </w:r>
          </w:p>
        </w:tc>
      </w:tr>
      <w:tr w:rsidR="006A3667" w14:paraId="71D40515" w14:textId="77777777">
        <w:tc>
          <w:tcPr>
            <w:tcW w:w="0" w:type="auto"/>
            <w:gridSpan w:val="3"/>
            <w:shd w:val="clear" w:color="auto" w:fill="FFFFFF"/>
            <w:tcMar>
              <w:top w:w="40" w:type="dxa"/>
              <w:left w:w="20" w:type="dxa"/>
              <w:bottom w:w="40" w:type="dxa"/>
              <w:right w:w="20" w:type="dxa"/>
            </w:tcMar>
            <w:vAlign w:val="center"/>
          </w:tcPr>
          <w:p w14:paraId="71D4050F" w14:textId="77777777" w:rsidR="006A3667" w:rsidRDefault="00045F32">
            <w:pPr>
              <w:textAlignment w:val="center"/>
            </w:pPr>
            <w:r>
              <w:rPr>
                <w:rFonts w:ascii="Arial" w:eastAsia="宋体" w:hAnsi="Arial" w:cs="Arial"/>
                <w:color w:val="000000"/>
                <w:sz w:val="14"/>
                <w:szCs w:val="14"/>
              </w:rPr>
              <w:t>Foreign sovereign</w:t>
            </w:r>
          </w:p>
        </w:tc>
        <w:tc>
          <w:tcPr>
            <w:tcW w:w="0" w:type="auto"/>
            <w:gridSpan w:val="2"/>
            <w:shd w:val="clear" w:color="auto" w:fill="FFFFFF"/>
            <w:tcMar>
              <w:top w:w="40" w:type="dxa"/>
              <w:left w:w="20" w:type="dxa"/>
              <w:bottom w:w="40" w:type="dxa"/>
              <w:right w:w="0" w:type="dxa"/>
            </w:tcMar>
            <w:vAlign w:val="center"/>
          </w:tcPr>
          <w:p w14:paraId="71D40510" w14:textId="77777777" w:rsidR="006A3667" w:rsidRDefault="00045F32">
            <w:pPr>
              <w:jc w:val="right"/>
              <w:textAlignment w:val="center"/>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1D405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1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0513" w14:textId="77777777" w:rsidR="006A3667" w:rsidRDefault="00045F32">
            <w:pPr>
              <w:jc w:val="right"/>
              <w:textAlignment w:val="center"/>
            </w:pPr>
            <w:r>
              <w:rPr>
                <w:rFonts w:ascii="Arial" w:eastAsia="宋体" w:hAnsi="Arial" w:cs="Arial"/>
                <w:color w:val="000000"/>
                <w:sz w:val="14"/>
                <w:szCs w:val="14"/>
              </w:rPr>
              <w:t>21 </w:t>
            </w:r>
          </w:p>
        </w:tc>
        <w:tc>
          <w:tcPr>
            <w:tcW w:w="0" w:type="auto"/>
            <w:shd w:val="clear" w:color="auto" w:fill="FFFFFF"/>
            <w:tcMar>
              <w:top w:w="40" w:type="dxa"/>
              <w:left w:w="0" w:type="dxa"/>
              <w:bottom w:w="40" w:type="dxa"/>
              <w:right w:w="20" w:type="dxa"/>
            </w:tcMar>
            <w:vAlign w:val="center"/>
          </w:tcPr>
          <w:p w14:paraId="71D40514" w14:textId="77777777" w:rsidR="006A3667" w:rsidRDefault="006A3667">
            <w:pPr>
              <w:jc w:val="right"/>
              <w:rPr>
                <w:rFonts w:ascii="宋体"/>
              </w:rPr>
            </w:pPr>
          </w:p>
        </w:tc>
      </w:tr>
      <w:tr w:rsidR="006A3667" w14:paraId="71D4051C" w14:textId="77777777">
        <w:tc>
          <w:tcPr>
            <w:tcW w:w="0" w:type="auto"/>
            <w:gridSpan w:val="3"/>
            <w:shd w:val="clear" w:color="auto" w:fill="CCEEFF"/>
            <w:tcMar>
              <w:top w:w="40" w:type="dxa"/>
              <w:left w:w="20" w:type="dxa"/>
              <w:bottom w:w="40" w:type="dxa"/>
              <w:right w:w="20" w:type="dxa"/>
            </w:tcMar>
            <w:vAlign w:val="center"/>
          </w:tcPr>
          <w:p w14:paraId="71D40516" w14:textId="77777777" w:rsidR="006A3667" w:rsidRDefault="00045F32">
            <w:pPr>
              <w:textAlignment w:val="center"/>
            </w:pPr>
            <w:r>
              <w:rPr>
                <w:rFonts w:ascii="Arial" w:eastAsia="宋体" w:hAnsi="Arial" w:cs="Arial"/>
                <w:color w:val="000000"/>
                <w:sz w:val="14"/>
                <w:szCs w:val="14"/>
              </w:rPr>
              <w:t>U.S. Treasuries</w:t>
            </w:r>
          </w:p>
        </w:tc>
        <w:tc>
          <w:tcPr>
            <w:tcW w:w="0" w:type="auto"/>
            <w:gridSpan w:val="2"/>
            <w:shd w:val="clear" w:color="auto" w:fill="CCEEFF"/>
            <w:tcMar>
              <w:top w:w="40" w:type="dxa"/>
              <w:left w:w="20" w:type="dxa"/>
              <w:bottom w:w="40" w:type="dxa"/>
              <w:right w:w="0" w:type="dxa"/>
            </w:tcMar>
            <w:vAlign w:val="center"/>
          </w:tcPr>
          <w:p w14:paraId="71D40517" w14:textId="77777777" w:rsidR="006A3667" w:rsidRDefault="00045F32">
            <w:pPr>
              <w:jc w:val="right"/>
              <w:textAlignment w:val="center"/>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1D405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1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051A" w14:textId="77777777" w:rsidR="006A3667" w:rsidRDefault="00045F32">
            <w:pPr>
              <w:jc w:val="right"/>
              <w:textAlignment w:val="center"/>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center"/>
          </w:tcPr>
          <w:p w14:paraId="71D4051B" w14:textId="77777777" w:rsidR="006A3667" w:rsidRDefault="006A3667">
            <w:pPr>
              <w:jc w:val="right"/>
              <w:rPr>
                <w:rFonts w:ascii="宋体"/>
              </w:rPr>
            </w:pPr>
          </w:p>
        </w:tc>
      </w:tr>
      <w:tr w:rsidR="006A3667" w14:paraId="71D40523" w14:textId="77777777">
        <w:tc>
          <w:tcPr>
            <w:tcW w:w="0" w:type="auto"/>
            <w:gridSpan w:val="3"/>
            <w:shd w:val="clear" w:color="auto" w:fill="FFFFFF"/>
            <w:tcMar>
              <w:top w:w="40" w:type="dxa"/>
              <w:left w:w="20" w:type="dxa"/>
              <w:bottom w:w="40" w:type="dxa"/>
              <w:right w:w="20" w:type="dxa"/>
            </w:tcMar>
            <w:vAlign w:val="center"/>
          </w:tcPr>
          <w:p w14:paraId="71D4051D" w14:textId="77777777" w:rsidR="006A3667" w:rsidRDefault="00045F32">
            <w:pPr>
              <w:textAlignment w:val="center"/>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center"/>
          </w:tcPr>
          <w:p w14:paraId="71D4051E" w14:textId="77777777" w:rsidR="006A3667" w:rsidRDefault="00045F32">
            <w:pPr>
              <w:jc w:val="right"/>
              <w:textAlignment w:val="center"/>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center"/>
          </w:tcPr>
          <w:p w14:paraId="71D4051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2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0521" w14:textId="77777777" w:rsidR="006A3667" w:rsidRDefault="00045F32">
            <w:pPr>
              <w:jc w:val="right"/>
              <w:textAlignment w:val="center"/>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center"/>
          </w:tcPr>
          <w:p w14:paraId="71D40522" w14:textId="77777777" w:rsidR="006A3667" w:rsidRDefault="006A3667">
            <w:pPr>
              <w:jc w:val="right"/>
              <w:rPr>
                <w:rFonts w:ascii="宋体"/>
              </w:rPr>
            </w:pPr>
          </w:p>
        </w:tc>
      </w:tr>
      <w:tr w:rsidR="006A3667" w14:paraId="71D4052A" w14:textId="77777777">
        <w:tc>
          <w:tcPr>
            <w:tcW w:w="0" w:type="auto"/>
            <w:gridSpan w:val="3"/>
            <w:shd w:val="clear" w:color="auto" w:fill="CCEEFF"/>
            <w:tcMar>
              <w:top w:w="40" w:type="dxa"/>
              <w:left w:w="20" w:type="dxa"/>
              <w:bottom w:w="40" w:type="dxa"/>
              <w:right w:w="20" w:type="dxa"/>
            </w:tcMar>
            <w:vAlign w:val="center"/>
          </w:tcPr>
          <w:p w14:paraId="71D40524" w14:textId="77777777" w:rsidR="006A3667" w:rsidRDefault="00045F32">
            <w:pPr>
              <w:textAlignment w:val="center"/>
            </w:pPr>
            <w:r>
              <w:rPr>
                <w:rFonts w:ascii="Arial" w:eastAsia="宋体" w:hAnsi="Arial" w:cs="Arial"/>
                <w:color w:val="000000"/>
                <w:sz w:val="14"/>
                <w:szCs w:val="14"/>
              </w:rPr>
              <w:t>Other credit</w:t>
            </w:r>
          </w:p>
        </w:tc>
        <w:tc>
          <w:tcPr>
            <w:tcW w:w="0" w:type="auto"/>
            <w:gridSpan w:val="2"/>
            <w:shd w:val="clear" w:color="auto" w:fill="CCEEFF"/>
            <w:tcMar>
              <w:top w:w="40" w:type="dxa"/>
              <w:left w:w="20" w:type="dxa"/>
              <w:bottom w:w="40" w:type="dxa"/>
              <w:right w:w="0" w:type="dxa"/>
            </w:tcMar>
            <w:vAlign w:val="center"/>
          </w:tcPr>
          <w:p w14:paraId="71D40525" w14:textId="77777777" w:rsidR="006A3667" w:rsidRDefault="00045F32">
            <w:pPr>
              <w:jc w:val="right"/>
              <w:textAlignment w:val="center"/>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center"/>
          </w:tcPr>
          <w:p w14:paraId="71D405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0528" w14:textId="77777777" w:rsidR="006A3667" w:rsidRDefault="00045F32">
            <w:pPr>
              <w:jc w:val="right"/>
              <w:textAlignment w:val="center"/>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center"/>
          </w:tcPr>
          <w:p w14:paraId="71D40529" w14:textId="77777777" w:rsidR="006A3667" w:rsidRDefault="006A3667">
            <w:pPr>
              <w:jc w:val="right"/>
              <w:rPr>
                <w:rFonts w:ascii="宋体"/>
              </w:rPr>
            </w:pPr>
          </w:p>
        </w:tc>
      </w:tr>
      <w:tr w:rsidR="006A3667" w14:paraId="71D40531" w14:textId="77777777">
        <w:tc>
          <w:tcPr>
            <w:tcW w:w="0" w:type="auto"/>
            <w:gridSpan w:val="3"/>
            <w:shd w:val="clear" w:color="auto" w:fill="FFFFFF"/>
            <w:tcMar>
              <w:top w:w="0" w:type="dxa"/>
              <w:left w:w="20" w:type="dxa"/>
              <w:bottom w:w="0" w:type="dxa"/>
              <w:right w:w="20" w:type="dxa"/>
            </w:tcMar>
            <w:vAlign w:val="bottom"/>
          </w:tcPr>
          <w:p w14:paraId="71D4052B" w14:textId="77777777" w:rsidR="006A3667" w:rsidRDefault="006A3667">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52C" w14:textId="77777777" w:rsidR="006A3667" w:rsidRDefault="00045F32">
            <w:pPr>
              <w:jc w:val="right"/>
              <w:textAlignment w:val="bottom"/>
            </w:pPr>
            <w:r>
              <w:rPr>
                <w:rFonts w:ascii="Arial" w:eastAsia="宋体" w:hAnsi="Arial" w:cs="Arial"/>
                <w:b/>
                <w:bCs/>
                <w:color w:val="000000"/>
                <w:sz w:val="14"/>
                <w:szCs w:val="14"/>
              </w:rPr>
              <w:t>100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52D"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052E" w14:textId="77777777" w:rsidR="006A3667" w:rsidRDefault="006A3667">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52F" w14:textId="77777777" w:rsidR="006A3667" w:rsidRDefault="00045F32">
            <w:pPr>
              <w:jc w:val="right"/>
              <w:textAlignment w:val="bottom"/>
            </w:pPr>
            <w:r>
              <w:rPr>
                <w:rFonts w:ascii="Arial" w:eastAsia="宋体" w:hAnsi="Arial" w:cs="Arial"/>
                <w:color w:val="000000"/>
                <w:sz w:val="14"/>
                <w:szCs w:val="14"/>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530" w14:textId="77777777" w:rsidR="006A3667" w:rsidRDefault="00045F32">
            <w:pPr>
              <w:jc w:val="right"/>
              <w:textAlignment w:val="bottom"/>
            </w:pPr>
            <w:r>
              <w:rPr>
                <w:rFonts w:ascii="Arial" w:eastAsia="宋体" w:hAnsi="Arial" w:cs="Arial"/>
                <w:color w:val="000000"/>
                <w:sz w:val="14"/>
                <w:szCs w:val="14"/>
              </w:rPr>
              <w:t>%</w:t>
            </w:r>
          </w:p>
        </w:tc>
      </w:tr>
    </w:tbl>
    <w:p w14:paraId="71D40532" w14:textId="77777777" w:rsidR="006A3667" w:rsidRDefault="00045F32">
      <w:pPr>
        <w:spacing w:before="60"/>
        <w:jc w:val="both"/>
        <w:textAlignment w:val="top"/>
      </w:pPr>
      <w:r>
        <w:rPr>
          <w:rFonts w:ascii="Arial" w:eastAsia="宋体" w:hAnsi="Arial" w:cs="Arial"/>
          <w:b/>
          <w:bCs/>
          <w:i/>
          <w:iCs/>
          <w:color w:val="000000"/>
          <w:sz w:val="20"/>
          <w:szCs w:val="20"/>
        </w:rPr>
        <w:t xml:space="preserve">Non-U.S. Debt Securities </w:t>
      </w:r>
    </w:p>
    <w:p w14:paraId="71D40533" w14:textId="77777777" w:rsidR="006A3667" w:rsidRDefault="00045F32">
      <w:pPr>
        <w:spacing w:before="60"/>
        <w:ind w:firstLine="450"/>
        <w:jc w:val="both"/>
        <w:textAlignment w:val="top"/>
      </w:pPr>
      <w:r>
        <w:rPr>
          <w:rFonts w:ascii="Arial" w:eastAsia="宋体" w:hAnsi="Arial" w:cs="Arial"/>
          <w:color w:val="000000"/>
          <w:sz w:val="20"/>
          <w:szCs w:val="20"/>
        </w:rPr>
        <w:t xml:space="preserve">Approximately 24% and 28% of the aggregate carrying value of our investment </w:t>
      </w:r>
      <w:r>
        <w:rPr>
          <w:rFonts w:ascii="Arial" w:eastAsia="宋体" w:hAnsi="Arial" w:cs="Arial"/>
          <w:color w:val="000000"/>
          <w:sz w:val="20"/>
          <w:szCs w:val="20"/>
        </w:rPr>
        <w:t>securities portfolio was non-U.S. debt securities as of September 30, 2022 and December 31, 2021, respectively.</w:t>
      </w:r>
    </w:p>
    <w:tbl>
      <w:tblPr>
        <w:tblW w:w="4984" w:type="pct"/>
        <w:tblCellMar>
          <w:top w:w="15" w:type="dxa"/>
          <w:left w:w="15" w:type="dxa"/>
          <w:bottom w:w="15" w:type="dxa"/>
          <w:right w:w="15" w:type="dxa"/>
        </w:tblCellMar>
        <w:tblLook w:val="04A0" w:firstRow="1" w:lastRow="0" w:firstColumn="1" w:lastColumn="0" w:noHBand="0" w:noVBand="1"/>
      </w:tblPr>
      <w:tblGrid>
        <w:gridCol w:w="48"/>
        <w:gridCol w:w="3046"/>
        <w:gridCol w:w="36"/>
        <w:gridCol w:w="99"/>
        <w:gridCol w:w="2391"/>
        <w:gridCol w:w="37"/>
        <w:gridCol w:w="36"/>
        <w:gridCol w:w="78"/>
        <w:gridCol w:w="36"/>
        <w:gridCol w:w="99"/>
        <w:gridCol w:w="2366"/>
        <w:gridCol w:w="37"/>
      </w:tblGrid>
      <w:tr w:rsidR="006A3667" w14:paraId="71D40540" w14:textId="77777777">
        <w:tc>
          <w:tcPr>
            <w:tcW w:w="50" w:type="pct"/>
            <w:shd w:val="clear" w:color="auto" w:fill="auto"/>
            <w:vAlign w:val="bottom"/>
          </w:tcPr>
          <w:p w14:paraId="71D40534" w14:textId="77777777" w:rsidR="006A3667" w:rsidRDefault="006A3667">
            <w:pPr>
              <w:rPr>
                <w:rFonts w:ascii="宋体"/>
              </w:rPr>
            </w:pPr>
          </w:p>
        </w:tc>
        <w:tc>
          <w:tcPr>
            <w:tcW w:w="1853" w:type="pct"/>
            <w:shd w:val="clear" w:color="auto" w:fill="auto"/>
            <w:vAlign w:val="bottom"/>
          </w:tcPr>
          <w:p w14:paraId="71D40535" w14:textId="77777777" w:rsidR="006A3667" w:rsidRDefault="006A3667">
            <w:pPr>
              <w:rPr>
                <w:rFonts w:ascii="宋体"/>
              </w:rPr>
            </w:pPr>
          </w:p>
        </w:tc>
        <w:tc>
          <w:tcPr>
            <w:tcW w:w="5" w:type="pct"/>
            <w:shd w:val="clear" w:color="auto" w:fill="auto"/>
            <w:vAlign w:val="bottom"/>
          </w:tcPr>
          <w:p w14:paraId="71D40536" w14:textId="77777777" w:rsidR="006A3667" w:rsidRDefault="006A3667">
            <w:pPr>
              <w:rPr>
                <w:rFonts w:ascii="宋体"/>
              </w:rPr>
            </w:pPr>
          </w:p>
        </w:tc>
        <w:tc>
          <w:tcPr>
            <w:tcW w:w="50" w:type="pct"/>
            <w:shd w:val="clear" w:color="auto" w:fill="auto"/>
            <w:vAlign w:val="bottom"/>
          </w:tcPr>
          <w:p w14:paraId="71D40537" w14:textId="77777777" w:rsidR="006A3667" w:rsidRDefault="006A3667">
            <w:pPr>
              <w:rPr>
                <w:rFonts w:ascii="宋体"/>
              </w:rPr>
            </w:pPr>
          </w:p>
        </w:tc>
        <w:tc>
          <w:tcPr>
            <w:tcW w:w="1459" w:type="pct"/>
            <w:shd w:val="clear" w:color="auto" w:fill="auto"/>
            <w:vAlign w:val="bottom"/>
          </w:tcPr>
          <w:p w14:paraId="71D40538" w14:textId="77777777" w:rsidR="006A3667" w:rsidRDefault="006A3667">
            <w:pPr>
              <w:rPr>
                <w:rFonts w:ascii="宋体"/>
              </w:rPr>
            </w:pPr>
          </w:p>
        </w:tc>
        <w:tc>
          <w:tcPr>
            <w:tcW w:w="5" w:type="pct"/>
            <w:shd w:val="clear" w:color="auto" w:fill="auto"/>
            <w:vAlign w:val="bottom"/>
          </w:tcPr>
          <w:p w14:paraId="71D40539" w14:textId="77777777" w:rsidR="006A3667" w:rsidRDefault="006A3667">
            <w:pPr>
              <w:rPr>
                <w:rFonts w:ascii="宋体"/>
              </w:rPr>
            </w:pPr>
          </w:p>
        </w:tc>
        <w:tc>
          <w:tcPr>
            <w:tcW w:w="5" w:type="pct"/>
            <w:shd w:val="clear" w:color="auto" w:fill="auto"/>
            <w:vAlign w:val="bottom"/>
          </w:tcPr>
          <w:p w14:paraId="71D4053A" w14:textId="77777777" w:rsidR="006A3667" w:rsidRDefault="006A3667">
            <w:pPr>
              <w:rPr>
                <w:rFonts w:ascii="宋体"/>
              </w:rPr>
            </w:pPr>
          </w:p>
        </w:tc>
        <w:tc>
          <w:tcPr>
            <w:tcW w:w="68" w:type="pct"/>
            <w:shd w:val="clear" w:color="auto" w:fill="auto"/>
            <w:vAlign w:val="bottom"/>
          </w:tcPr>
          <w:p w14:paraId="71D4053B" w14:textId="77777777" w:rsidR="006A3667" w:rsidRDefault="006A3667">
            <w:pPr>
              <w:rPr>
                <w:rFonts w:ascii="宋体"/>
              </w:rPr>
            </w:pPr>
          </w:p>
        </w:tc>
        <w:tc>
          <w:tcPr>
            <w:tcW w:w="5" w:type="pct"/>
            <w:shd w:val="clear" w:color="auto" w:fill="auto"/>
            <w:vAlign w:val="bottom"/>
          </w:tcPr>
          <w:p w14:paraId="71D4053C" w14:textId="77777777" w:rsidR="006A3667" w:rsidRDefault="006A3667">
            <w:pPr>
              <w:rPr>
                <w:rFonts w:ascii="宋体"/>
              </w:rPr>
            </w:pPr>
          </w:p>
        </w:tc>
        <w:tc>
          <w:tcPr>
            <w:tcW w:w="50" w:type="pct"/>
            <w:shd w:val="clear" w:color="auto" w:fill="auto"/>
            <w:vAlign w:val="bottom"/>
          </w:tcPr>
          <w:p w14:paraId="71D4053D" w14:textId="77777777" w:rsidR="006A3667" w:rsidRDefault="006A3667">
            <w:pPr>
              <w:rPr>
                <w:rFonts w:ascii="宋体"/>
              </w:rPr>
            </w:pPr>
          </w:p>
        </w:tc>
        <w:tc>
          <w:tcPr>
            <w:tcW w:w="1443" w:type="pct"/>
            <w:shd w:val="clear" w:color="auto" w:fill="auto"/>
            <w:vAlign w:val="bottom"/>
          </w:tcPr>
          <w:p w14:paraId="71D4053E" w14:textId="77777777" w:rsidR="006A3667" w:rsidRDefault="006A3667">
            <w:pPr>
              <w:rPr>
                <w:rFonts w:ascii="宋体"/>
              </w:rPr>
            </w:pPr>
          </w:p>
        </w:tc>
        <w:tc>
          <w:tcPr>
            <w:tcW w:w="5" w:type="pct"/>
            <w:shd w:val="clear" w:color="auto" w:fill="auto"/>
            <w:vAlign w:val="bottom"/>
          </w:tcPr>
          <w:p w14:paraId="71D4053F" w14:textId="77777777" w:rsidR="006A3667" w:rsidRDefault="006A3667">
            <w:pPr>
              <w:rPr>
                <w:rFonts w:ascii="宋体"/>
              </w:rPr>
            </w:pPr>
          </w:p>
        </w:tc>
      </w:tr>
      <w:tr w:rsidR="006A3667" w14:paraId="71D40542" w14:textId="77777777">
        <w:tc>
          <w:tcPr>
            <w:tcW w:w="0" w:type="auto"/>
            <w:gridSpan w:val="12"/>
            <w:shd w:val="clear" w:color="auto" w:fill="auto"/>
            <w:tcMar>
              <w:top w:w="40" w:type="dxa"/>
              <w:left w:w="20" w:type="dxa"/>
              <w:bottom w:w="40" w:type="dxa"/>
              <w:right w:w="20" w:type="dxa"/>
            </w:tcMar>
            <w:vAlign w:val="bottom"/>
          </w:tcPr>
          <w:p w14:paraId="71D40541" w14:textId="77777777" w:rsidR="006A3667" w:rsidRDefault="00045F32">
            <w:pPr>
              <w:textAlignment w:val="bottom"/>
            </w:pPr>
            <w:r>
              <w:rPr>
                <w:rFonts w:ascii="Arial" w:eastAsia="宋体" w:hAnsi="Arial" w:cs="Arial"/>
                <w:b/>
                <w:bCs/>
                <w:color w:val="000000"/>
                <w:sz w:val="16"/>
                <w:szCs w:val="16"/>
              </w:rPr>
              <w:t>TABLE 23: NON-U.S. DEBT SECURITIES</w:t>
            </w:r>
            <w:r>
              <w:rPr>
                <w:rFonts w:ascii="Arial" w:eastAsia="宋体" w:hAnsi="Arial" w:cs="Arial"/>
                <w:b/>
                <w:bCs/>
                <w:color w:val="000000"/>
                <w:sz w:val="10"/>
                <w:szCs w:val="10"/>
              </w:rPr>
              <w:t>(1)</w:t>
            </w:r>
          </w:p>
        </w:tc>
      </w:tr>
      <w:tr w:rsidR="006A3667" w14:paraId="71D40547" w14:textId="77777777">
        <w:tc>
          <w:tcPr>
            <w:tcW w:w="0" w:type="auto"/>
            <w:gridSpan w:val="3"/>
            <w:shd w:val="clear" w:color="auto" w:fill="auto"/>
            <w:tcMar>
              <w:top w:w="40" w:type="dxa"/>
              <w:left w:w="20" w:type="dxa"/>
              <w:bottom w:w="40" w:type="dxa"/>
              <w:right w:w="20" w:type="dxa"/>
            </w:tcMar>
            <w:vAlign w:val="bottom"/>
          </w:tcPr>
          <w:p w14:paraId="71D40543"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0544"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054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546"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054C" w14:textId="77777777">
        <w:tc>
          <w:tcPr>
            <w:tcW w:w="0" w:type="auto"/>
            <w:gridSpan w:val="3"/>
            <w:shd w:val="clear" w:color="auto" w:fill="auto"/>
            <w:tcMar>
              <w:top w:w="40" w:type="dxa"/>
              <w:left w:w="20" w:type="dxa"/>
              <w:bottom w:w="40" w:type="dxa"/>
              <w:right w:w="20" w:type="dxa"/>
            </w:tcMar>
            <w:vAlign w:val="bottom"/>
          </w:tcPr>
          <w:p w14:paraId="71D40548" w14:textId="77777777" w:rsidR="006A3667" w:rsidRDefault="00045F32">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54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54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54B" w14:textId="77777777" w:rsidR="006A3667" w:rsidRDefault="006A3667">
            <w:pPr>
              <w:rPr>
                <w:rFonts w:ascii="宋体"/>
              </w:rPr>
            </w:pPr>
          </w:p>
        </w:tc>
      </w:tr>
      <w:tr w:rsidR="006A3667" w14:paraId="71D40555" w14:textId="77777777">
        <w:tc>
          <w:tcPr>
            <w:tcW w:w="0" w:type="auto"/>
            <w:gridSpan w:val="3"/>
            <w:shd w:val="clear" w:color="auto" w:fill="CCEEFF"/>
            <w:tcMar>
              <w:top w:w="40" w:type="dxa"/>
              <w:left w:w="20" w:type="dxa"/>
              <w:bottom w:w="40" w:type="dxa"/>
              <w:right w:w="20" w:type="dxa"/>
            </w:tcMar>
            <w:vAlign w:val="bottom"/>
          </w:tcPr>
          <w:p w14:paraId="71D4054D" w14:textId="77777777" w:rsidR="006A3667" w:rsidRDefault="00045F32">
            <w:pPr>
              <w:textAlignment w:val="bottom"/>
            </w:pPr>
            <w:r>
              <w:rPr>
                <w:rFonts w:ascii="Arial" w:eastAsia="宋体" w:hAnsi="Arial" w:cs="Arial"/>
                <w:color w:val="000000"/>
                <w:sz w:val="14"/>
                <w:szCs w:val="14"/>
              </w:rPr>
              <w:t>Canada</w:t>
            </w:r>
          </w:p>
        </w:tc>
        <w:tc>
          <w:tcPr>
            <w:tcW w:w="0" w:type="auto"/>
            <w:shd w:val="clear" w:color="auto" w:fill="CCEEFF"/>
            <w:tcMar>
              <w:top w:w="40" w:type="dxa"/>
              <w:left w:w="20" w:type="dxa"/>
              <w:bottom w:w="40" w:type="dxa"/>
              <w:right w:w="0" w:type="dxa"/>
            </w:tcMar>
            <w:vAlign w:val="bottom"/>
          </w:tcPr>
          <w:p w14:paraId="71D4054E"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54F" w14:textId="77777777" w:rsidR="006A3667" w:rsidRDefault="00045F32">
            <w:pPr>
              <w:jc w:val="right"/>
              <w:textAlignment w:val="bottom"/>
            </w:pPr>
            <w:r>
              <w:rPr>
                <w:rFonts w:ascii="Arial" w:eastAsia="宋体" w:hAnsi="Arial" w:cs="Arial"/>
                <w:b/>
                <w:bCs/>
                <w:color w:val="000000"/>
                <w:sz w:val="14"/>
                <w:szCs w:val="14"/>
              </w:rPr>
              <w:t>3,614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5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552"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0553" w14:textId="77777777" w:rsidR="006A3667" w:rsidRDefault="00045F32">
            <w:pPr>
              <w:jc w:val="right"/>
              <w:textAlignment w:val="bottom"/>
            </w:pPr>
            <w:r>
              <w:rPr>
                <w:rFonts w:ascii="Arial" w:eastAsia="宋体" w:hAnsi="Arial" w:cs="Arial"/>
                <w:color w:val="000000"/>
                <w:sz w:val="14"/>
                <w:szCs w:val="14"/>
              </w:rPr>
              <w:t>4,502 </w:t>
            </w:r>
          </w:p>
        </w:tc>
        <w:tc>
          <w:tcPr>
            <w:tcW w:w="0" w:type="auto"/>
            <w:shd w:val="clear" w:color="auto" w:fill="CCEEFF"/>
            <w:tcMar>
              <w:top w:w="40" w:type="dxa"/>
              <w:left w:w="0" w:type="dxa"/>
              <w:bottom w:w="40" w:type="dxa"/>
              <w:right w:w="20" w:type="dxa"/>
            </w:tcMar>
            <w:vAlign w:val="bottom"/>
          </w:tcPr>
          <w:p w14:paraId="71D40554" w14:textId="77777777" w:rsidR="006A3667" w:rsidRDefault="006A3667">
            <w:pPr>
              <w:jc w:val="right"/>
              <w:rPr>
                <w:rFonts w:ascii="宋体"/>
              </w:rPr>
            </w:pPr>
          </w:p>
        </w:tc>
      </w:tr>
      <w:tr w:rsidR="006A3667" w14:paraId="71D4055C" w14:textId="77777777">
        <w:tc>
          <w:tcPr>
            <w:tcW w:w="0" w:type="auto"/>
            <w:gridSpan w:val="3"/>
            <w:shd w:val="clear" w:color="auto" w:fill="FFFFFF"/>
            <w:tcMar>
              <w:top w:w="40" w:type="dxa"/>
              <w:left w:w="20" w:type="dxa"/>
              <w:bottom w:w="40" w:type="dxa"/>
              <w:right w:w="20" w:type="dxa"/>
            </w:tcMar>
            <w:vAlign w:val="bottom"/>
          </w:tcPr>
          <w:p w14:paraId="71D40556" w14:textId="77777777" w:rsidR="006A3667" w:rsidRDefault="00045F32">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71D40557" w14:textId="77777777" w:rsidR="006A3667" w:rsidRDefault="00045F32">
            <w:pPr>
              <w:jc w:val="right"/>
              <w:textAlignment w:val="bottom"/>
            </w:pPr>
            <w:r>
              <w:rPr>
                <w:rFonts w:ascii="Arial" w:eastAsia="宋体" w:hAnsi="Arial" w:cs="Arial"/>
                <w:b/>
                <w:bCs/>
                <w:color w:val="000000"/>
                <w:sz w:val="14"/>
                <w:szCs w:val="14"/>
              </w:rPr>
              <w:t>2,247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5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5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5A" w14:textId="77777777" w:rsidR="006A3667" w:rsidRDefault="00045F32">
            <w:pPr>
              <w:jc w:val="right"/>
              <w:textAlignment w:val="bottom"/>
            </w:pPr>
            <w:r>
              <w:rPr>
                <w:rFonts w:ascii="Arial" w:eastAsia="宋体" w:hAnsi="Arial" w:cs="Arial"/>
                <w:color w:val="000000"/>
                <w:sz w:val="14"/>
                <w:szCs w:val="14"/>
              </w:rPr>
              <w:t>3,019 </w:t>
            </w:r>
          </w:p>
        </w:tc>
        <w:tc>
          <w:tcPr>
            <w:tcW w:w="0" w:type="auto"/>
            <w:shd w:val="clear" w:color="auto" w:fill="FFFFFF"/>
            <w:tcMar>
              <w:top w:w="40" w:type="dxa"/>
              <w:left w:w="0" w:type="dxa"/>
              <w:bottom w:w="40" w:type="dxa"/>
              <w:right w:w="20" w:type="dxa"/>
            </w:tcMar>
            <w:vAlign w:val="bottom"/>
          </w:tcPr>
          <w:p w14:paraId="71D4055B" w14:textId="77777777" w:rsidR="006A3667" w:rsidRDefault="006A3667">
            <w:pPr>
              <w:jc w:val="right"/>
              <w:rPr>
                <w:rFonts w:ascii="宋体"/>
              </w:rPr>
            </w:pPr>
          </w:p>
        </w:tc>
      </w:tr>
      <w:tr w:rsidR="006A3667" w14:paraId="71D40563" w14:textId="77777777">
        <w:tc>
          <w:tcPr>
            <w:tcW w:w="0" w:type="auto"/>
            <w:gridSpan w:val="3"/>
            <w:shd w:val="clear" w:color="auto" w:fill="CCEEFF"/>
            <w:tcMar>
              <w:top w:w="40" w:type="dxa"/>
              <w:left w:w="20" w:type="dxa"/>
              <w:bottom w:w="40" w:type="dxa"/>
              <w:right w:w="20" w:type="dxa"/>
            </w:tcMar>
            <w:vAlign w:val="bottom"/>
          </w:tcPr>
          <w:p w14:paraId="71D4055D" w14:textId="77777777" w:rsidR="006A3667" w:rsidRDefault="00045F32">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71D4055E" w14:textId="77777777" w:rsidR="006A3667" w:rsidRDefault="00045F32">
            <w:pPr>
              <w:jc w:val="right"/>
              <w:textAlignment w:val="bottom"/>
            </w:pPr>
            <w:r>
              <w:rPr>
                <w:rFonts w:ascii="Arial" w:eastAsia="宋体" w:hAnsi="Arial" w:cs="Arial"/>
                <w:b/>
                <w:bCs/>
                <w:color w:val="000000"/>
                <w:sz w:val="14"/>
                <w:szCs w:val="14"/>
              </w:rPr>
              <w:t>1,426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6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61" w14:textId="77777777" w:rsidR="006A3667" w:rsidRDefault="00045F32">
            <w:pPr>
              <w:jc w:val="right"/>
              <w:textAlignment w:val="bottom"/>
            </w:pPr>
            <w:r>
              <w:rPr>
                <w:rFonts w:ascii="Arial" w:eastAsia="宋体" w:hAnsi="Arial" w:cs="Arial"/>
                <w:color w:val="000000"/>
                <w:sz w:val="14"/>
                <w:szCs w:val="14"/>
              </w:rPr>
              <w:t>1,961 </w:t>
            </w:r>
          </w:p>
        </w:tc>
        <w:tc>
          <w:tcPr>
            <w:tcW w:w="0" w:type="auto"/>
            <w:shd w:val="clear" w:color="auto" w:fill="CCEEFF"/>
            <w:tcMar>
              <w:top w:w="40" w:type="dxa"/>
              <w:left w:w="0" w:type="dxa"/>
              <w:bottom w:w="40" w:type="dxa"/>
              <w:right w:w="20" w:type="dxa"/>
            </w:tcMar>
            <w:vAlign w:val="bottom"/>
          </w:tcPr>
          <w:p w14:paraId="71D40562" w14:textId="77777777" w:rsidR="006A3667" w:rsidRDefault="006A3667">
            <w:pPr>
              <w:jc w:val="right"/>
              <w:rPr>
                <w:rFonts w:ascii="宋体"/>
              </w:rPr>
            </w:pPr>
          </w:p>
        </w:tc>
      </w:tr>
      <w:tr w:rsidR="006A3667" w14:paraId="71D4056A" w14:textId="77777777">
        <w:tc>
          <w:tcPr>
            <w:tcW w:w="0" w:type="auto"/>
            <w:gridSpan w:val="3"/>
            <w:shd w:val="clear" w:color="auto" w:fill="FFFFFF"/>
            <w:tcMar>
              <w:top w:w="40" w:type="dxa"/>
              <w:left w:w="20" w:type="dxa"/>
              <w:bottom w:w="40" w:type="dxa"/>
              <w:right w:w="20" w:type="dxa"/>
            </w:tcMar>
            <w:vAlign w:val="bottom"/>
          </w:tcPr>
          <w:p w14:paraId="71D40564" w14:textId="77777777" w:rsidR="006A3667" w:rsidRDefault="00045F32">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71D40565" w14:textId="77777777" w:rsidR="006A3667" w:rsidRDefault="00045F32">
            <w:pPr>
              <w:jc w:val="right"/>
              <w:textAlignment w:val="bottom"/>
            </w:pPr>
            <w:r>
              <w:rPr>
                <w:rFonts w:ascii="Arial" w:eastAsia="宋体" w:hAnsi="Arial" w:cs="Arial"/>
                <w:b/>
                <w:bCs/>
                <w:color w:val="000000"/>
                <w:sz w:val="14"/>
                <w:szCs w:val="14"/>
              </w:rPr>
              <w:t>1,149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6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6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68" w14:textId="77777777" w:rsidR="006A3667" w:rsidRDefault="00045F32">
            <w:pPr>
              <w:jc w:val="right"/>
              <w:textAlignment w:val="bottom"/>
            </w:pPr>
            <w:r>
              <w:rPr>
                <w:rFonts w:ascii="Arial" w:eastAsia="宋体" w:hAnsi="Arial" w:cs="Arial"/>
                <w:color w:val="000000"/>
                <w:sz w:val="14"/>
                <w:szCs w:val="14"/>
              </w:rPr>
              <w:t>2,130 </w:t>
            </w:r>
          </w:p>
        </w:tc>
        <w:tc>
          <w:tcPr>
            <w:tcW w:w="0" w:type="auto"/>
            <w:shd w:val="clear" w:color="auto" w:fill="FFFFFF"/>
            <w:tcMar>
              <w:top w:w="40" w:type="dxa"/>
              <w:left w:w="0" w:type="dxa"/>
              <w:bottom w:w="40" w:type="dxa"/>
              <w:right w:w="20" w:type="dxa"/>
            </w:tcMar>
            <w:vAlign w:val="bottom"/>
          </w:tcPr>
          <w:p w14:paraId="71D40569" w14:textId="77777777" w:rsidR="006A3667" w:rsidRDefault="006A3667">
            <w:pPr>
              <w:jc w:val="right"/>
              <w:rPr>
                <w:rFonts w:ascii="宋体"/>
              </w:rPr>
            </w:pPr>
          </w:p>
        </w:tc>
      </w:tr>
      <w:tr w:rsidR="006A3667" w14:paraId="71D40571" w14:textId="77777777">
        <w:tc>
          <w:tcPr>
            <w:tcW w:w="0" w:type="auto"/>
            <w:gridSpan w:val="3"/>
            <w:shd w:val="clear" w:color="auto" w:fill="CCEEFF"/>
            <w:tcMar>
              <w:top w:w="40" w:type="dxa"/>
              <w:left w:w="20" w:type="dxa"/>
              <w:bottom w:w="40" w:type="dxa"/>
              <w:right w:w="20" w:type="dxa"/>
            </w:tcMar>
            <w:vAlign w:val="bottom"/>
          </w:tcPr>
          <w:p w14:paraId="71D4056B" w14:textId="77777777" w:rsidR="006A3667" w:rsidRDefault="00045F32">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71D4056C" w14:textId="77777777" w:rsidR="006A3667" w:rsidRDefault="00045F32">
            <w:pPr>
              <w:jc w:val="right"/>
              <w:textAlignment w:val="bottom"/>
            </w:pPr>
            <w:r>
              <w:rPr>
                <w:rFonts w:ascii="Arial" w:eastAsia="宋体" w:hAnsi="Arial" w:cs="Arial"/>
                <w:b/>
                <w:bCs/>
                <w:color w:val="000000"/>
                <w:sz w:val="14"/>
                <w:szCs w:val="14"/>
              </w:rPr>
              <w:t>982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6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6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6F" w14:textId="77777777" w:rsidR="006A3667" w:rsidRDefault="00045F32">
            <w:pPr>
              <w:jc w:val="right"/>
              <w:textAlignment w:val="bottom"/>
            </w:pPr>
            <w:r>
              <w:rPr>
                <w:rFonts w:ascii="Arial" w:eastAsia="宋体" w:hAnsi="Arial" w:cs="Arial"/>
                <w:color w:val="000000"/>
                <w:sz w:val="14"/>
                <w:szCs w:val="14"/>
              </w:rPr>
              <w:t>2,180 </w:t>
            </w:r>
          </w:p>
        </w:tc>
        <w:tc>
          <w:tcPr>
            <w:tcW w:w="0" w:type="auto"/>
            <w:shd w:val="clear" w:color="auto" w:fill="CCEEFF"/>
            <w:tcMar>
              <w:top w:w="40" w:type="dxa"/>
              <w:left w:w="0" w:type="dxa"/>
              <w:bottom w:w="40" w:type="dxa"/>
              <w:right w:w="20" w:type="dxa"/>
            </w:tcMar>
            <w:vAlign w:val="bottom"/>
          </w:tcPr>
          <w:p w14:paraId="71D40570" w14:textId="77777777" w:rsidR="006A3667" w:rsidRDefault="006A3667">
            <w:pPr>
              <w:jc w:val="right"/>
              <w:rPr>
                <w:rFonts w:ascii="宋体"/>
              </w:rPr>
            </w:pPr>
          </w:p>
        </w:tc>
      </w:tr>
      <w:tr w:rsidR="006A3667" w14:paraId="71D40578" w14:textId="77777777">
        <w:tc>
          <w:tcPr>
            <w:tcW w:w="0" w:type="auto"/>
            <w:gridSpan w:val="3"/>
            <w:shd w:val="clear" w:color="auto" w:fill="FFFFFF"/>
            <w:tcMar>
              <w:top w:w="40" w:type="dxa"/>
              <w:left w:w="20" w:type="dxa"/>
              <w:bottom w:w="40" w:type="dxa"/>
              <w:right w:w="20" w:type="dxa"/>
            </w:tcMar>
            <w:vAlign w:val="bottom"/>
          </w:tcPr>
          <w:p w14:paraId="71D40572" w14:textId="77777777" w:rsidR="006A3667" w:rsidRDefault="00045F32">
            <w:pPr>
              <w:textAlignment w:val="bottom"/>
            </w:pPr>
            <w:r>
              <w:rPr>
                <w:rFonts w:ascii="Arial" w:eastAsia="宋体" w:hAnsi="Arial" w:cs="Arial"/>
                <w:color w:val="000000"/>
                <w:sz w:val="14"/>
                <w:szCs w:val="14"/>
              </w:rPr>
              <w:t>Hong Kong</w:t>
            </w:r>
          </w:p>
        </w:tc>
        <w:tc>
          <w:tcPr>
            <w:tcW w:w="0" w:type="auto"/>
            <w:gridSpan w:val="2"/>
            <w:shd w:val="clear" w:color="auto" w:fill="FFFFFF"/>
            <w:tcMar>
              <w:top w:w="40" w:type="dxa"/>
              <w:left w:w="20" w:type="dxa"/>
              <w:bottom w:w="40" w:type="dxa"/>
              <w:right w:w="0" w:type="dxa"/>
            </w:tcMar>
            <w:vAlign w:val="bottom"/>
          </w:tcPr>
          <w:p w14:paraId="71D40573" w14:textId="77777777" w:rsidR="006A3667" w:rsidRDefault="00045F32">
            <w:pPr>
              <w:jc w:val="right"/>
              <w:textAlignment w:val="bottom"/>
            </w:pPr>
            <w:r>
              <w:rPr>
                <w:rFonts w:ascii="Arial" w:eastAsia="宋体" w:hAnsi="Arial" w:cs="Arial"/>
                <w:b/>
                <w:bCs/>
                <w:color w:val="000000"/>
                <w:sz w:val="14"/>
                <w:szCs w:val="14"/>
              </w:rPr>
              <w:t>931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7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7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77" w14:textId="77777777" w:rsidR="006A3667" w:rsidRDefault="006A3667">
            <w:pPr>
              <w:jc w:val="right"/>
              <w:rPr>
                <w:rFonts w:ascii="宋体"/>
              </w:rPr>
            </w:pPr>
          </w:p>
        </w:tc>
      </w:tr>
      <w:tr w:rsidR="006A3667" w14:paraId="71D4057F" w14:textId="77777777">
        <w:tc>
          <w:tcPr>
            <w:tcW w:w="0" w:type="auto"/>
            <w:gridSpan w:val="3"/>
            <w:shd w:val="clear" w:color="auto" w:fill="CCEEFF"/>
            <w:tcMar>
              <w:top w:w="40" w:type="dxa"/>
              <w:left w:w="20" w:type="dxa"/>
              <w:bottom w:w="40" w:type="dxa"/>
              <w:right w:w="20" w:type="dxa"/>
            </w:tcMar>
            <w:vAlign w:val="bottom"/>
          </w:tcPr>
          <w:p w14:paraId="71D40579" w14:textId="77777777" w:rsidR="006A3667" w:rsidRDefault="00045F32">
            <w:pPr>
              <w:textAlignment w:val="bottom"/>
            </w:pPr>
            <w:r>
              <w:rPr>
                <w:rFonts w:ascii="Arial" w:eastAsia="宋体" w:hAnsi="Arial" w:cs="Arial"/>
                <w:color w:val="000000"/>
                <w:sz w:val="14"/>
                <w:szCs w:val="14"/>
              </w:rPr>
              <w:t>Austria</w:t>
            </w:r>
          </w:p>
        </w:tc>
        <w:tc>
          <w:tcPr>
            <w:tcW w:w="0" w:type="auto"/>
            <w:gridSpan w:val="2"/>
            <w:shd w:val="clear" w:color="auto" w:fill="CCEEFF"/>
            <w:tcMar>
              <w:top w:w="40" w:type="dxa"/>
              <w:left w:w="20" w:type="dxa"/>
              <w:bottom w:w="40" w:type="dxa"/>
              <w:right w:w="0" w:type="dxa"/>
            </w:tcMar>
            <w:vAlign w:val="bottom"/>
          </w:tcPr>
          <w:p w14:paraId="71D4057A" w14:textId="77777777" w:rsidR="006A3667" w:rsidRDefault="00045F32">
            <w:pPr>
              <w:jc w:val="right"/>
              <w:textAlignment w:val="bottom"/>
            </w:pPr>
            <w:r>
              <w:rPr>
                <w:rFonts w:ascii="Arial" w:eastAsia="宋体" w:hAnsi="Arial" w:cs="Arial"/>
                <w:b/>
                <w:bCs/>
                <w:color w:val="000000"/>
                <w:sz w:val="14"/>
                <w:szCs w:val="14"/>
              </w:rPr>
              <w:t>788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7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7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7D" w14:textId="77777777" w:rsidR="006A3667" w:rsidRDefault="00045F32">
            <w:pPr>
              <w:jc w:val="right"/>
              <w:textAlignment w:val="bottom"/>
            </w:pPr>
            <w:r>
              <w:rPr>
                <w:rFonts w:ascii="Arial" w:eastAsia="宋体" w:hAnsi="Arial" w:cs="Arial"/>
                <w:color w:val="000000"/>
                <w:sz w:val="14"/>
                <w:szCs w:val="14"/>
              </w:rPr>
              <w:t>1,478 </w:t>
            </w:r>
          </w:p>
        </w:tc>
        <w:tc>
          <w:tcPr>
            <w:tcW w:w="0" w:type="auto"/>
            <w:shd w:val="clear" w:color="auto" w:fill="CCEEFF"/>
            <w:tcMar>
              <w:top w:w="40" w:type="dxa"/>
              <w:left w:w="0" w:type="dxa"/>
              <w:bottom w:w="40" w:type="dxa"/>
              <w:right w:w="20" w:type="dxa"/>
            </w:tcMar>
            <w:vAlign w:val="bottom"/>
          </w:tcPr>
          <w:p w14:paraId="71D4057E" w14:textId="77777777" w:rsidR="006A3667" w:rsidRDefault="006A3667">
            <w:pPr>
              <w:jc w:val="right"/>
              <w:rPr>
                <w:rFonts w:ascii="宋体"/>
              </w:rPr>
            </w:pPr>
          </w:p>
        </w:tc>
      </w:tr>
      <w:tr w:rsidR="006A3667" w14:paraId="71D40586" w14:textId="77777777">
        <w:tc>
          <w:tcPr>
            <w:tcW w:w="0" w:type="auto"/>
            <w:gridSpan w:val="3"/>
            <w:shd w:val="clear" w:color="auto" w:fill="FFFFFF"/>
            <w:tcMar>
              <w:top w:w="40" w:type="dxa"/>
              <w:left w:w="20" w:type="dxa"/>
              <w:bottom w:w="40" w:type="dxa"/>
              <w:right w:w="20" w:type="dxa"/>
            </w:tcMar>
            <w:vAlign w:val="bottom"/>
          </w:tcPr>
          <w:p w14:paraId="71D40580" w14:textId="77777777" w:rsidR="006A3667" w:rsidRDefault="00045F32">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71D40581" w14:textId="77777777" w:rsidR="006A3667" w:rsidRDefault="00045F32">
            <w:pPr>
              <w:jc w:val="right"/>
              <w:textAlignment w:val="bottom"/>
            </w:pPr>
            <w:r>
              <w:rPr>
                <w:rFonts w:ascii="Arial" w:eastAsia="宋体" w:hAnsi="Arial" w:cs="Arial"/>
                <w:b/>
                <w:bCs/>
                <w:color w:val="000000"/>
                <w:sz w:val="14"/>
                <w:szCs w:val="14"/>
              </w:rPr>
              <w:t>705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8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8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84" w14:textId="77777777" w:rsidR="006A3667" w:rsidRDefault="00045F32">
            <w:pPr>
              <w:jc w:val="right"/>
              <w:textAlignment w:val="bottom"/>
            </w:pPr>
            <w:r>
              <w:rPr>
                <w:rFonts w:ascii="Arial" w:eastAsia="宋体" w:hAnsi="Arial" w:cs="Arial"/>
                <w:color w:val="000000"/>
                <w:sz w:val="14"/>
                <w:szCs w:val="14"/>
              </w:rPr>
              <w:t>1,332 </w:t>
            </w:r>
          </w:p>
        </w:tc>
        <w:tc>
          <w:tcPr>
            <w:tcW w:w="0" w:type="auto"/>
            <w:shd w:val="clear" w:color="auto" w:fill="FFFFFF"/>
            <w:tcMar>
              <w:top w:w="40" w:type="dxa"/>
              <w:left w:w="0" w:type="dxa"/>
              <w:bottom w:w="40" w:type="dxa"/>
              <w:right w:w="20" w:type="dxa"/>
            </w:tcMar>
            <w:vAlign w:val="bottom"/>
          </w:tcPr>
          <w:p w14:paraId="71D40585" w14:textId="77777777" w:rsidR="006A3667" w:rsidRDefault="006A3667">
            <w:pPr>
              <w:jc w:val="right"/>
              <w:rPr>
                <w:rFonts w:ascii="宋体"/>
              </w:rPr>
            </w:pPr>
          </w:p>
        </w:tc>
      </w:tr>
      <w:tr w:rsidR="006A3667" w14:paraId="71D4058D" w14:textId="77777777">
        <w:tc>
          <w:tcPr>
            <w:tcW w:w="0" w:type="auto"/>
            <w:gridSpan w:val="3"/>
            <w:shd w:val="clear" w:color="auto" w:fill="CCEEFF"/>
            <w:tcMar>
              <w:top w:w="40" w:type="dxa"/>
              <w:left w:w="20" w:type="dxa"/>
              <w:bottom w:w="40" w:type="dxa"/>
              <w:right w:w="20" w:type="dxa"/>
            </w:tcMar>
            <w:vAlign w:val="bottom"/>
          </w:tcPr>
          <w:p w14:paraId="71D40587" w14:textId="77777777" w:rsidR="006A3667" w:rsidRDefault="00045F32">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71D40588" w14:textId="77777777" w:rsidR="006A3667" w:rsidRDefault="00045F32">
            <w:pPr>
              <w:jc w:val="right"/>
              <w:textAlignment w:val="bottom"/>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8B" w14:textId="77777777" w:rsidR="006A3667" w:rsidRDefault="00045F32">
            <w:pPr>
              <w:jc w:val="right"/>
              <w:textAlignment w:val="bottom"/>
            </w:pPr>
            <w:r>
              <w:rPr>
                <w:rFonts w:ascii="Arial" w:eastAsia="宋体" w:hAnsi="Arial" w:cs="Arial"/>
                <w:color w:val="000000"/>
                <w:sz w:val="14"/>
                <w:szCs w:val="14"/>
              </w:rPr>
              <w:t>1,109 </w:t>
            </w:r>
          </w:p>
        </w:tc>
        <w:tc>
          <w:tcPr>
            <w:tcW w:w="0" w:type="auto"/>
            <w:shd w:val="clear" w:color="auto" w:fill="CCEEFF"/>
            <w:tcMar>
              <w:top w:w="40" w:type="dxa"/>
              <w:left w:w="0" w:type="dxa"/>
              <w:bottom w:w="40" w:type="dxa"/>
              <w:right w:w="20" w:type="dxa"/>
            </w:tcMar>
            <w:vAlign w:val="bottom"/>
          </w:tcPr>
          <w:p w14:paraId="71D4058C" w14:textId="77777777" w:rsidR="006A3667" w:rsidRDefault="006A3667">
            <w:pPr>
              <w:jc w:val="right"/>
              <w:rPr>
                <w:rFonts w:ascii="宋体"/>
              </w:rPr>
            </w:pPr>
          </w:p>
        </w:tc>
      </w:tr>
      <w:tr w:rsidR="006A3667" w14:paraId="71D40594" w14:textId="77777777">
        <w:tc>
          <w:tcPr>
            <w:tcW w:w="0" w:type="auto"/>
            <w:gridSpan w:val="3"/>
            <w:shd w:val="clear" w:color="auto" w:fill="FFFFFF"/>
            <w:tcMar>
              <w:top w:w="40" w:type="dxa"/>
              <w:left w:w="20" w:type="dxa"/>
              <w:bottom w:w="40" w:type="dxa"/>
              <w:right w:w="20" w:type="dxa"/>
            </w:tcMar>
            <w:vAlign w:val="bottom"/>
          </w:tcPr>
          <w:p w14:paraId="71D4058E" w14:textId="77777777" w:rsidR="006A3667" w:rsidRDefault="00045F32">
            <w:pPr>
              <w:textAlignment w:val="bottom"/>
            </w:pPr>
            <w:r>
              <w:rPr>
                <w:rFonts w:ascii="Arial" w:eastAsia="宋体" w:hAnsi="Arial" w:cs="Arial"/>
                <w:color w:val="000000"/>
                <w:sz w:val="14"/>
                <w:szCs w:val="14"/>
              </w:rPr>
              <w:t>Italy</w:t>
            </w:r>
          </w:p>
        </w:tc>
        <w:tc>
          <w:tcPr>
            <w:tcW w:w="0" w:type="auto"/>
            <w:gridSpan w:val="2"/>
            <w:shd w:val="clear" w:color="auto" w:fill="FFFFFF"/>
            <w:tcMar>
              <w:top w:w="40" w:type="dxa"/>
              <w:left w:w="20" w:type="dxa"/>
              <w:bottom w:w="40" w:type="dxa"/>
              <w:right w:w="0" w:type="dxa"/>
            </w:tcMar>
            <w:vAlign w:val="bottom"/>
          </w:tcPr>
          <w:p w14:paraId="71D4058F" w14:textId="77777777" w:rsidR="006A3667" w:rsidRDefault="00045F32">
            <w:pPr>
              <w:jc w:val="right"/>
              <w:textAlignment w:val="bottom"/>
            </w:pPr>
            <w:r>
              <w:rPr>
                <w:rFonts w:ascii="Arial" w:eastAsia="宋体" w:hAnsi="Arial" w:cs="Arial"/>
                <w:b/>
                <w:bCs/>
                <w:color w:val="000000"/>
                <w:sz w:val="14"/>
                <w:szCs w:val="14"/>
              </w:rPr>
              <w:t>290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9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9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92" w14:textId="77777777" w:rsidR="006A3667" w:rsidRDefault="00045F32">
            <w:pPr>
              <w:jc w:val="right"/>
              <w:textAlignment w:val="bottom"/>
            </w:pPr>
            <w:r>
              <w:rPr>
                <w:rFonts w:ascii="Arial" w:eastAsia="宋体" w:hAnsi="Arial" w:cs="Arial"/>
                <w:color w:val="000000"/>
                <w:sz w:val="14"/>
                <w:szCs w:val="14"/>
              </w:rPr>
              <w:t>803 </w:t>
            </w:r>
          </w:p>
        </w:tc>
        <w:tc>
          <w:tcPr>
            <w:tcW w:w="0" w:type="auto"/>
            <w:shd w:val="clear" w:color="auto" w:fill="FFFFFF"/>
            <w:tcMar>
              <w:top w:w="40" w:type="dxa"/>
              <w:left w:w="0" w:type="dxa"/>
              <w:bottom w:w="40" w:type="dxa"/>
              <w:right w:w="20" w:type="dxa"/>
            </w:tcMar>
            <w:vAlign w:val="bottom"/>
          </w:tcPr>
          <w:p w14:paraId="71D40593" w14:textId="77777777" w:rsidR="006A3667" w:rsidRDefault="006A3667">
            <w:pPr>
              <w:jc w:val="right"/>
              <w:rPr>
                <w:rFonts w:ascii="宋体"/>
              </w:rPr>
            </w:pPr>
          </w:p>
        </w:tc>
      </w:tr>
      <w:tr w:rsidR="006A3667" w14:paraId="71D4059B" w14:textId="77777777">
        <w:tc>
          <w:tcPr>
            <w:tcW w:w="0" w:type="auto"/>
            <w:gridSpan w:val="3"/>
            <w:shd w:val="clear" w:color="auto" w:fill="CCEEFF"/>
            <w:tcMar>
              <w:top w:w="40" w:type="dxa"/>
              <w:left w:w="20" w:type="dxa"/>
              <w:bottom w:w="40" w:type="dxa"/>
              <w:right w:w="20" w:type="dxa"/>
            </w:tcMar>
            <w:vAlign w:val="bottom"/>
          </w:tcPr>
          <w:p w14:paraId="71D40595" w14:textId="77777777" w:rsidR="006A3667" w:rsidRDefault="00045F32">
            <w:pPr>
              <w:textAlignment w:val="bottom"/>
            </w:pPr>
            <w:r>
              <w:rPr>
                <w:rFonts w:ascii="Arial" w:eastAsia="宋体" w:hAnsi="Arial" w:cs="Arial"/>
                <w:color w:val="000000"/>
                <w:sz w:val="14"/>
                <w:szCs w:val="14"/>
              </w:rPr>
              <w:t>Spain</w:t>
            </w:r>
          </w:p>
        </w:tc>
        <w:tc>
          <w:tcPr>
            <w:tcW w:w="0" w:type="auto"/>
            <w:gridSpan w:val="2"/>
            <w:shd w:val="clear" w:color="auto" w:fill="CCEEFF"/>
            <w:tcMar>
              <w:top w:w="40" w:type="dxa"/>
              <w:left w:w="20" w:type="dxa"/>
              <w:bottom w:w="40" w:type="dxa"/>
              <w:right w:w="0" w:type="dxa"/>
            </w:tcMar>
            <w:vAlign w:val="bottom"/>
          </w:tcPr>
          <w:p w14:paraId="71D40596" w14:textId="77777777" w:rsidR="006A3667" w:rsidRDefault="00045F32">
            <w:pPr>
              <w:jc w:val="right"/>
              <w:textAlignment w:val="bottom"/>
            </w:pPr>
            <w:r>
              <w:rPr>
                <w:rFonts w:ascii="Arial" w:eastAsia="宋体" w:hAnsi="Arial" w:cs="Arial"/>
                <w:b/>
                <w:bCs/>
                <w:color w:val="000000"/>
                <w:sz w:val="14"/>
                <w:szCs w:val="14"/>
              </w:rPr>
              <w:t>177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9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9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99" w14:textId="77777777" w:rsidR="006A3667" w:rsidRDefault="00045F32">
            <w:pPr>
              <w:jc w:val="right"/>
              <w:textAlignment w:val="bottom"/>
            </w:pPr>
            <w:r>
              <w:rPr>
                <w:rFonts w:ascii="Arial" w:eastAsia="宋体" w:hAnsi="Arial" w:cs="Arial"/>
                <w:color w:val="000000"/>
                <w:sz w:val="14"/>
                <w:szCs w:val="14"/>
              </w:rPr>
              <w:t>1,227 </w:t>
            </w:r>
          </w:p>
        </w:tc>
        <w:tc>
          <w:tcPr>
            <w:tcW w:w="0" w:type="auto"/>
            <w:shd w:val="clear" w:color="auto" w:fill="CCEEFF"/>
            <w:tcMar>
              <w:top w:w="40" w:type="dxa"/>
              <w:left w:w="0" w:type="dxa"/>
              <w:bottom w:w="40" w:type="dxa"/>
              <w:right w:w="20" w:type="dxa"/>
            </w:tcMar>
            <w:vAlign w:val="bottom"/>
          </w:tcPr>
          <w:p w14:paraId="71D4059A" w14:textId="77777777" w:rsidR="006A3667" w:rsidRDefault="006A3667">
            <w:pPr>
              <w:jc w:val="right"/>
              <w:rPr>
                <w:rFonts w:ascii="宋体"/>
              </w:rPr>
            </w:pPr>
          </w:p>
        </w:tc>
      </w:tr>
      <w:tr w:rsidR="006A3667" w14:paraId="71D405A2" w14:textId="77777777">
        <w:tc>
          <w:tcPr>
            <w:tcW w:w="0" w:type="auto"/>
            <w:gridSpan w:val="3"/>
            <w:shd w:val="clear" w:color="auto" w:fill="FFFFFF"/>
            <w:tcMar>
              <w:top w:w="40" w:type="dxa"/>
              <w:left w:w="20" w:type="dxa"/>
              <w:bottom w:w="40" w:type="dxa"/>
              <w:right w:w="20" w:type="dxa"/>
            </w:tcMar>
            <w:vAlign w:val="bottom"/>
          </w:tcPr>
          <w:p w14:paraId="71D4059C" w14:textId="77777777" w:rsidR="006A3667" w:rsidRDefault="00045F32">
            <w:pPr>
              <w:textAlignment w:val="bottom"/>
            </w:pPr>
            <w:r>
              <w:rPr>
                <w:rFonts w:ascii="Arial" w:eastAsia="宋体" w:hAnsi="Arial" w:cs="Arial"/>
                <w:color w:val="000000"/>
                <w:sz w:val="14"/>
                <w:szCs w:val="14"/>
              </w:rPr>
              <w:t>Finland</w:t>
            </w:r>
          </w:p>
        </w:tc>
        <w:tc>
          <w:tcPr>
            <w:tcW w:w="0" w:type="auto"/>
            <w:gridSpan w:val="2"/>
            <w:shd w:val="clear" w:color="auto" w:fill="FFFFFF"/>
            <w:tcMar>
              <w:top w:w="40" w:type="dxa"/>
              <w:left w:w="20" w:type="dxa"/>
              <w:bottom w:w="40" w:type="dxa"/>
              <w:right w:w="0" w:type="dxa"/>
            </w:tcMar>
            <w:vAlign w:val="bottom"/>
          </w:tcPr>
          <w:p w14:paraId="71D4059D" w14:textId="77777777" w:rsidR="006A3667" w:rsidRDefault="00045F32">
            <w:pPr>
              <w:jc w:val="right"/>
              <w:textAlignment w:val="bottom"/>
            </w:pPr>
            <w:r>
              <w:rPr>
                <w:rFonts w:ascii="Arial" w:eastAsia="宋体" w:hAnsi="Arial" w:cs="Arial"/>
                <w:b/>
                <w:bCs/>
                <w:color w:val="000000"/>
                <w:sz w:val="14"/>
                <w:szCs w:val="14"/>
              </w:rPr>
              <w:t>173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9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9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A0" w14:textId="77777777" w:rsidR="006A3667" w:rsidRDefault="00045F32">
            <w:pPr>
              <w:jc w:val="right"/>
              <w:textAlignment w:val="bottom"/>
            </w:pPr>
            <w:r>
              <w:rPr>
                <w:rFonts w:ascii="Arial" w:eastAsia="宋体" w:hAnsi="Arial" w:cs="Arial"/>
                <w:color w:val="000000"/>
                <w:sz w:val="14"/>
                <w:szCs w:val="14"/>
              </w:rPr>
              <w:t>837 </w:t>
            </w:r>
          </w:p>
        </w:tc>
        <w:tc>
          <w:tcPr>
            <w:tcW w:w="0" w:type="auto"/>
            <w:shd w:val="clear" w:color="auto" w:fill="FFFFFF"/>
            <w:tcMar>
              <w:top w:w="40" w:type="dxa"/>
              <w:left w:w="0" w:type="dxa"/>
              <w:bottom w:w="40" w:type="dxa"/>
              <w:right w:w="20" w:type="dxa"/>
            </w:tcMar>
            <w:vAlign w:val="bottom"/>
          </w:tcPr>
          <w:p w14:paraId="71D405A1" w14:textId="77777777" w:rsidR="006A3667" w:rsidRDefault="006A3667">
            <w:pPr>
              <w:jc w:val="right"/>
              <w:rPr>
                <w:rFonts w:ascii="宋体"/>
              </w:rPr>
            </w:pPr>
          </w:p>
        </w:tc>
      </w:tr>
      <w:tr w:rsidR="006A3667" w14:paraId="71D405A9" w14:textId="77777777">
        <w:tc>
          <w:tcPr>
            <w:tcW w:w="0" w:type="auto"/>
            <w:gridSpan w:val="3"/>
            <w:shd w:val="clear" w:color="auto" w:fill="CCEEFF"/>
            <w:tcMar>
              <w:top w:w="40" w:type="dxa"/>
              <w:left w:w="20" w:type="dxa"/>
              <w:bottom w:w="40" w:type="dxa"/>
              <w:right w:w="20" w:type="dxa"/>
            </w:tcMar>
            <w:vAlign w:val="bottom"/>
          </w:tcPr>
          <w:p w14:paraId="71D405A3" w14:textId="77777777" w:rsidR="006A3667" w:rsidRDefault="00045F32">
            <w:pPr>
              <w:textAlignment w:val="bottom"/>
            </w:pPr>
            <w:r>
              <w:rPr>
                <w:rFonts w:ascii="Arial" w:eastAsia="宋体" w:hAnsi="Arial" w:cs="Arial"/>
                <w:color w:val="000000"/>
                <w:sz w:val="14"/>
                <w:szCs w:val="14"/>
              </w:rPr>
              <w:t>Brazil</w:t>
            </w:r>
          </w:p>
        </w:tc>
        <w:tc>
          <w:tcPr>
            <w:tcW w:w="0" w:type="auto"/>
            <w:gridSpan w:val="2"/>
            <w:shd w:val="clear" w:color="auto" w:fill="CCEEFF"/>
            <w:tcMar>
              <w:top w:w="40" w:type="dxa"/>
              <w:left w:w="20" w:type="dxa"/>
              <w:bottom w:w="40" w:type="dxa"/>
              <w:right w:w="0" w:type="dxa"/>
            </w:tcMar>
            <w:vAlign w:val="bottom"/>
          </w:tcPr>
          <w:p w14:paraId="71D405A4" w14:textId="77777777" w:rsidR="006A3667" w:rsidRDefault="00045F32">
            <w:pPr>
              <w:jc w:val="right"/>
              <w:textAlignment w:val="bottom"/>
            </w:pPr>
            <w:r>
              <w:rPr>
                <w:rFonts w:ascii="Arial" w:eastAsia="宋体" w:hAnsi="Arial" w:cs="Arial"/>
                <w:b/>
                <w:bCs/>
                <w:color w:val="000000"/>
                <w:sz w:val="14"/>
                <w:szCs w:val="14"/>
              </w:rPr>
              <w:t>170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A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A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A8" w14:textId="77777777" w:rsidR="006A3667" w:rsidRDefault="006A3667">
            <w:pPr>
              <w:jc w:val="right"/>
              <w:rPr>
                <w:rFonts w:ascii="宋体"/>
              </w:rPr>
            </w:pPr>
          </w:p>
        </w:tc>
      </w:tr>
      <w:tr w:rsidR="006A3667" w14:paraId="71D405B0" w14:textId="77777777">
        <w:tc>
          <w:tcPr>
            <w:tcW w:w="0" w:type="auto"/>
            <w:gridSpan w:val="3"/>
            <w:shd w:val="clear" w:color="auto" w:fill="FFFFFF"/>
            <w:tcMar>
              <w:top w:w="40" w:type="dxa"/>
              <w:left w:w="20" w:type="dxa"/>
              <w:bottom w:w="40" w:type="dxa"/>
              <w:right w:w="20" w:type="dxa"/>
            </w:tcMar>
            <w:vAlign w:val="bottom"/>
          </w:tcPr>
          <w:p w14:paraId="71D405AA" w14:textId="77777777" w:rsidR="006A3667" w:rsidRDefault="00045F32">
            <w:pPr>
              <w:textAlignment w:val="bottom"/>
            </w:pPr>
            <w:r>
              <w:rPr>
                <w:rFonts w:ascii="Arial" w:eastAsia="宋体" w:hAnsi="Arial" w:cs="Arial"/>
                <w:color w:val="000000"/>
                <w:sz w:val="14"/>
                <w:szCs w:val="14"/>
              </w:rPr>
              <w:t>Republic of Korea</w:t>
            </w:r>
          </w:p>
        </w:tc>
        <w:tc>
          <w:tcPr>
            <w:tcW w:w="0" w:type="auto"/>
            <w:gridSpan w:val="2"/>
            <w:shd w:val="clear" w:color="auto" w:fill="FFFFFF"/>
            <w:tcMar>
              <w:top w:w="40" w:type="dxa"/>
              <w:left w:w="20" w:type="dxa"/>
              <w:bottom w:w="40" w:type="dxa"/>
              <w:right w:w="0" w:type="dxa"/>
            </w:tcMar>
            <w:vAlign w:val="bottom"/>
          </w:tcPr>
          <w:p w14:paraId="71D405AB" w14:textId="77777777" w:rsidR="006A3667" w:rsidRDefault="00045F32">
            <w:pPr>
              <w:jc w:val="right"/>
              <w:textAlignment w:val="bottom"/>
            </w:pPr>
            <w:r>
              <w:rPr>
                <w:rFonts w:ascii="Arial" w:eastAsia="宋体" w:hAnsi="Arial" w:cs="Arial"/>
                <w:b/>
                <w:bCs/>
                <w:color w:val="000000"/>
                <w:sz w:val="14"/>
                <w:szCs w:val="14"/>
              </w:rPr>
              <w:t>139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A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AE" w14:textId="77777777" w:rsidR="006A3667" w:rsidRDefault="00045F32">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71D405AF" w14:textId="77777777" w:rsidR="006A3667" w:rsidRDefault="006A3667">
            <w:pPr>
              <w:jc w:val="right"/>
              <w:rPr>
                <w:rFonts w:ascii="宋体"/>
              </w:rPr>
            </w:pPr>
          </w:p>
        </w:tc>
      </w:tr>
      <w:tr w:rsidR="006A3667" w14:paraId="71D405B7" w14:textId="77777777">
        <w:tc>
          <w:tcPr>
            <w:tcW w:w="0" w:type="auto"/>
            <w:gridSpan w:val="3"/>
            <w:shd w:val="clear" w:color="auto" w:fill="CCEEFF"/>
            <w:tcMar>
              <w:top w:w="40" w:type="dxa"/>
              <w:left w:w="20" w:type="dxa"/>
              <w:bottom w:w="40" w:type="dxa"/>
              <w:right w:w="20" w:type="dxa"/>
            </w:tcMar>
            <w:vAlign w:val="bottom"/>
          </w:tcPr>
          <w:p w14:paraId="71D405B1" w14:textId="77777777" w:rsidR="006A3667" w:rsidRDefault="00045F32">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05B2" w14:textId="77777777" w:rsidR="006A3667" w:rsidRDefault="00045F32">
            <w:pPr>
              <w:jc w:val="right"/>
              <w:textAlignment w:val="bottom"/>
            </w:pPr>
            <w:r>
              <w:rPr>
                <w:rFonts w:ascii="Arial" w:eastAsia="宋体" w:hAnsi="Arial" w:cs="Arial"/>
                <w:b/>
                <w:bCs/>
                <w:color w:val="000000"/>
                <w:sz w:val="14"/>
                <w:szCs w:val="14"/>
              </w:rPr>
              <w:t>5,771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B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B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B5" w14:textId="77777777" w:rsidR="006A3667" w:rsidRDefault="00045F32">
            <w:pPr>
              <w:jc w:val="right"/>
              <w:textAlignment w:val="bottom"/>
            </w:pPr>
            <w:r>
              <w:rPr>
                <w:rFonts w:ascii="Arial" w:eastAsia="宋体" w:hAnsi="Arial" w:cs="Arial"/>
                <w:color w:val="000000"/>
                <w:sz w:val="14"/>
                <w:szCs w:val="14"/>
              </w:rPr>
              <w:t>9,948 </w:t>
            </w:r>
          </w:p>
        </w:tc>
        <w:tc>
          <w:tcPr>
            <w:tcW w:w="0" w:type="auto"/>
            <w:shd w:val="clear" w:color="auto" w:fill="CCEEFF"/>
            <w:tcMar>
              <w:top w:w="40" w:type="dxa"/>
              <w:left w:w="0" w:type="dxa"/>
              <w:bottom w:w="40" w:type="dxa"/>
              <w:right w:w="20" w:type="dxa"/>
            </w:tcMar>
            <w:vAlign w:val="bottom"/>
          </w:tcPr>
          <w:p w14:paraId="71D405B6" w14:textId="77777777" w:rsidR="006A3667" w:rsidRDefault="006A3667">
            <w:pPr>
              <w:jc w:val="right"/>
              <w:rPr>
                <w:rFonts w:ascii="宋体"/>
              </w:rPr>
            </w:pPr>
          </w:p>
        </w:tc>
      </w:tr>
      <w:tr w:rsidR="006A3667" w14:paraId="71D405C0" w14:textId="77777777">
        <w:tc>
          <w:tcPr>
            <w:tcW w:w="0" w:type="auto"/>
            <w:gridSpan w:val="3"/>
            <w:shd w:val="clear" w:color="auto" w:fill="FFFFFF"/>
            <w:tcMar>
              <w:top w:w="40" w:type="dxa"/>
              <w:left w:w="20" w:type="dxa"/>
              <w:bottom w:w="40" w:type="dxa"/>
              <w:right w:w="20" w:type="dxa"/>
            </w:tcMar>
            <w:vAlign w:val="bottom"/>
          </w:tcPr>
          <w:p w14:paraId="71D405B8"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05B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5BA" w14:textId="77777777" w:rsidR="006A3667" w:rsidRDefault="00045F32">
            <w:pPr>
              <w:jc w:val="right"/>
              <w:textAlignment w:val="bottom"/>
            </w:pPr>
            <w:r>
              <w:rPr>
                <w:rFonts w:ascii="Arial" w:eastAsia="宋体" w:hAnsi="Arial" w:cs="Arial"/>
                <w:b/>
                <w:bCs/>
                <w:color w:val="000000"/>
                <w:sz w:val="14"/>
                <w:szCs w:val="14"/>
              </w:rPr>
              <w:t>19,060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5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B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5B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5BE" w14:textId="77777777" w:rsidR="006A3667" w:rsidRDefault="00045F32">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5BF" w14:textId="77777777" w:rsidR="006A3667" w:rsidRDefault="006A3667">
            <w:pPr>
              <w:jc w:val="right"/>
              <w:rPr>
                <w:rFonts w:ascii="宋体"/>
              </w:rPr>
            </w:pPr>
          </w:p>
        </w:tc>
      </w:tr>
      <w:tr w:rsidR="006A3667" w14:paraId="71D405C5" w14:textId="77777777">
        <w:tc>
          <w:tcPr>
            <w:tcW w:w="0" w:type="auto"/>
            <w:gridSpan w:val="3"/>
            <w:shd w:val="clear" w:color="auto" w:fill="CCEEFF"/>
            <w:tcMar>
              <w:top w:w="40" w:type="dxa"/>
              <w:left w:w="20" w:type="dxa"/>
              <w:bottom w:w="40" w:type="dxa"/>
              <w:right w:w="20" w:type="dxa"/>
            </w:tcMar>
            <w:vAlign w:val="bottom"/>
          </w:tcPr>
          <w:p w14:paraId="71D405C1" w14:textId="77777777" w:rsidR="006A3667" w:rsidRDefault="00045F32">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05C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05C3"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05C4" w14:textId="77777777" w:rsidR="006A3667" w:rsidRDefault="006A3667">
            <w:pPr>
              <w:rPr>
                <w:rFonts w:ascii="宋体"/>
              </w:rPr>
            </w:pPr>
          </w:p>
        </w:tc>
      </w:tr>
      <w:tr w:rsidR="006A3667" w14:paraId="71D405CE" w14:textId="77777777">
        <w:tc>
          <w:tcPr>
            <w:tcW w:w="0" w:type="auto"/>
            <w:gridSpan w:val="3"/>
            <w:shd w:val="clear" w:color="auto" w:fill="FFFFFF"/>
            <w:tcMar>
              <w:top w:w="40" w:type="dxa"/>
              <w:left w:w="20" w:type="dxa"/>
              <w:bottom w:w="40" w:type="dxa"/>
              <w:right w:w="20" w:type="dxa"/>
            </w:tcMar>
            <w:vAlign w:val="bottom"/>
          </w:tcPr>
          <w:p w14:paraId="71D405C6" w14:textId="77777777" w:rsidR="006A3667" w:rsidRDefault="00045F32">
            <w:pPr>
              <w:textAlignment w:val="bottom"/>
            </w:pPr>
            <w:r>
              <w:rPr>
                <w:rFonts w:ascii="Arial" w:eastAsia="宋体" w:hAnsi="Arial" w:cs="Arial"/>
                <w:color w:val="000000"/>
                <w:sz w:val="14"/>
                <w:szCs w:val="14"/>
              </w:rPr>
              <w:t>Spain</w:t>
            </w:r>
          </w:p>
        </w:tc>
        <w:tc>
          <w:tcPr>
            <w:tcW w:w="0" w:type="auto"/>
            <w:shd w:val="clear" w:color="auto" w:fill="FFFFFF"/>
            <w:tcMar>
              <w:top w:w="40" w:type="dxa"/>
              <w:left w:w="20" w:type="dxa"/>
              <w:bottom w:w="40" w:type="dxa"/>
              <w:right w:w="0" w:type="dxa"/>
            </w:tcMar>
            <w:vAlign w:val="bottom"/>
          </w:tcPr>
          <w:p w14:paraId="71D405C7"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71D405C8" w14:textId="77777777" w:rsidR="006A3667" w:rsidRDefault="00045F32">
            <w:pPr>
              <w:jc w:val="right"/>
              <w:textAlignment w:val="bottom"/>
            </w:pPr>
            <w:r>
              <w:rPr>
                <w:rFonts w:ascii="Arial" w:eastAsia="宋体" w:hAnsi="Arial" w:cs="Arial"/>
                <w:b/>
                <w:bCs/>
                <w:color w:val="000000"/>
                <w:sz w:val="14"/>
                <w:szCs w:val="14"/>
              </w:rPr>
              <w:t>745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CA"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05C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05C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CD" w14:textId="77777777" w:rsidR="006A3667" w:rsidRDefault="006A3667">
            <w:pPr>
              <w:jc w:val="right"/>
              <w:rPr>
                <w:rFonts w:ascii="宋体"/>
              </w:rPr>
            </w:pPr>
          </w:p>
        </w:tc>
      </w:tr>
      <w:tr w:rsidR="006A3667" w14:paraId="71D405D5" w14:textId="77777777">
        <w:tc>
          <w:tcPr>
            <w:tcW w:w="0" w:type="auto"/>
            <w:gridSpan w:val="3"/>
            <w:shd w:val="clear" w:color="auto" w:fill="CCEEFF"/>
            <w:tcMar>
              <w:top w:w="40" w:type="dxa"/>
              <w:left w:w="20" w:type="dxa"/>
              <w:bottom w:w="40" w:type="dxa"/>
              <w:right w:w="20" w:type="dxa"/>
            </w:tcMar>
            <w:vAlign w:val="bottom"/>
          </w:tcPr>
          <w:p w14:paraId="71D405CF" w14:textId="77777777" w:rsidR="006A3667" w:rsidRDefault="00045F32">
            <w:pPr>
              <w:textAlignment w:val="bottom"/>
            </w:pPr>
            <w:r>
              <w:rPr>
                <w:rFonts w:ascii="Arial" w:eastAsia="宋体" w:hAnsi="Arial" w:cs="Arial"/>
                <w:color w:val="000000"/>
                <w:sz w:val="14"/>
                <w:szCs w:val="14"/>
              </w:rPr>
              <w:t>Belgium</w:t>
            </w:r>
          </w:p>
        </w:tc>
        <w:tc>
          <w:tcPr>
            <w:tcW w:w="0" w:type="auto"/>
            <w:gridSpan w:val="2"/>
            <w:shd w:val="clear" w:color="auto" w:fill="CCEEFF"/>
            <w:tcMar>
              <w:top w:w="40" w:type="dxa"/>
              <w:left w:w="20" w:type="dxa"/>
              <w:bottom w:w="40" w:type="dxa"/>
              <w:right w:w="0" w:type="dxa"/>
            </w:tcMar>
            <w:vAlign w:val="bottom"/>
          </w:tcPr>
          <w:p w14:paraId="71D405D0" w14:textId="77777777" w:rsidR="006A3667" w:rsidRDefault="00045F32">
            <w:pPr>
              <w:jc w:val="right"/>
              <w:textAlignment w:val="bottom"/>
            </w:pPr>
            <w:r>
              <w:rPr>
                <w:rFonts w:ascii="Arial" w:eastAsia="宋体" w:hAnsi="Arial" w:cs="Arial"/>
                <w:b/>
                <w:bCs/>
                <w:color w:val="000000"/>
                <w:sz w:val="14"/>
                <w:szCs w:val="14"/>
              </w:rPr>
              <w:t>647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D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D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D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D4" w14:textId="77777777" w:rsidR="006A3667" w:rsidRDefault="006A3667">
            <w:pPr>
              <w:jc w:val="right"/>
              <w:rPr>
                <w:rFonts w:ascii="宋体"/>
              </w:rPr>
            </w:pPr>
          </w:p>
        </w:tc>
      </w:tr>
      <w:tr w:rsidR="006A3667" w14:paraId="71D405DC" w14:textId="77777777">
        <w:tc>
          <w:tcPr>
            <w:tcW w:w="0" w:type="auto"/>
            <w:gridSpan w:val="3"/>
            <w:shd w:val="clear" w:color="auto" w:fill="FFFFFF"/>
            <w:tcMar>
              <w:top w:w="40" w:type="dxa"/>
              <w:left w:w="20" w:type="dxa"/>
              <w:bottom w:w="40" w:type="dxa"/>
              <w:right w:w="20" w:type="dxa"/>
            </w:tcMar>
            <w:vAlign w:val="bottom"/>
          </w:tcPr>
          <w:p w14:paraId="71D405D6" w14:textId="77777777" w:rsidR="006A3667" w:rsidRDefault="00045F32">
            <w:pPr>
              <w:textAlignment w:val="bottom"/>
            </w:pPr>
            <w:r>
              <w:rPr>
                <w:rFonts w:ascii="Arial" w:eastAsia="宋体" w:hAnsi="Arial" w:cs="Arial"/>
                <w:color w:val="000000"/>
                <w:sz w:val="14"/>
                <w:szCs w:val="14"/>
              </w:rPr>
              <w:t>France</w:t>
            </w:r>
          </w:p>
        </w:tc>
        <w:tc>
          <w:tcPr>
            <w:tcW w:w="0" w:type="auto"/>
            <w:gridSpan w:val="2"/>
            <w:shd w:val="clear" w:color="auto" w:fill="FFFFFF"/>
            <w:tcMar>
              <w:top w:w="40" w:type="dxa"/>
              <w:left w:w="20" w:type="dxa"/>
              <w:bottom w:w="40" w:type="dxa"/>
              <w:right w:w="0" w:type="dxa"/>
            </w:tcMar>
            <w:vAlign w:val="bottom"/>
          </w:tcPr>
          <w:p w14:paraId="71D405D7" w14:textId="77777777" w:rsidR="006A3667" w:rsidRDefault="00045F32">
            <w:pPr>
              <w:jc w:val="right"/>
              <w:textAlignment w:val="bottom"/>
            </w:pPr>
            <w:r>
              <w:rPr>
                <w:rFonts w:ascii="Arial" w:eastAsia="宋体" w:hAnsi="Arial" w:cs="Arial"/>
                <w:b/>
                <w:bCs/>
                <w:color w:val="000000"/>
                <w:sz w:val="14"/>
                <w:szCs w:val="14"/>
              </w:rPr>
              <w:t>563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D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D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D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DB" w14:textId="77777777" w:rsidR="006A3667" w:rsidRDefault="006A3667">
            <w:pPr>
              <w:jc w:val="right"/>
              <w:rPr>
                <w:rFonts w:ascii="宋体"/>
              </w:rPr>
            </w:pPr>
          </w:p>
        </w:tc>
      </w:tr>
      <w:tr w:rsidR="006A3667" w14:paraId="71D405E3" w14:textId="77777777">
        <w:tc>
          <w:tcPr>
            <w:tcW w:w="0" w:type="auto"/>
            <w:gridSpan w:val="3"/>
            <w:shd w:val="clear" w:color="auto" w:fill="CCEEFF"/>
            <w:tcMar>
              <w:top w:w="40" w:type="dxa"/>
              <w:left w:w="20" w:type="dxa"/>
              <w:bottom w:w="40" w:type="dxa"/>
              <w:right w:w="20" w:type="dxa"/>
            </w:tcMar>
            <w:vAlign w:val="bottom"/>
          </w:tcPr>
          <w:p w14:paraId="71D405DD" w14:textId="77777777" w:rsidR="006A3667" w:rsidRDefault="00045F32">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71D405DE" w14:textId="77777777" w:rsidR="006A3667" w:rsidRDefault="00045F32">
            <w:pPr>
              <w:jc w:val="right"/>
              <w:textAlignment w:val="bottom"/>
            </w:pPr>
            <w:r>
              <w:rPr>
                <w:rFonts w:ascii="Arial" w:eastAsia="宋体" w:hAnsi="Arial" w:cs="Arial"/>
                <w:b/>
                <w:bCs/>
                <w:color w:val="000000"/>
                <w:sz w:val="14"/>
                <w:szCs w:val="14"/>
              </w:rPr>
              <w:t>410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E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E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E2" w14:textId="77777777" w:rsidR="006A3667" w:rsidRDefault="006A3667">
            <w:pPr>
              <w:jc w:val="right"/>
              <w:rPr>
                <w:rFonts w:ascii="宋体"/>
              </w:rPr>
            </w:pPr>
          </w:p>
        </w:tc>
      </w:tr>
      <w:tr w:rsidR="006A3667" w14:paraId="71D405EA" w14:textId="77777777">
        <w:tc>
          <w:tcPr>
            <w:tcW w:w="0" w:type="auto"/>
            <w:gridSpan w:val="3"/>
            <w:shd w:val="clear" w:color="auto" w:fill="FFFFFF"/>
            <w:tcMar>
              <w:top w:w="40" w:type="dxa"/>
              <w:left w:w="20" w:type="dxa"/>
              <w:bottom w:w="40" w:type="dxa"/>
              <w:right w:w="20" w:type="dxa"/>
            </w:tcMar>
            <w:vAlign w:val="bottom"/>
          </w:tcPr>
          <w:p w14:paraId="71D405E4" w14:textId="77777777" w:rsidR="006A3667" w:rsidRDefault="00045F32">
            <w:pPr>
              <w:textAlignment w:val="bottom"/>
            </w:pPr>
            <w:r>
              <w:rPr>
                <w:rFonts w:ascii="Arial" w:eastAsia="宋体" w:hAnsi="Arial" w:cs="Arial"/>
                <w:color w:val="000000"/>
                <w:sz w:val="14"/>
                <w:szCs w:val="14"/>
              </w:rPr>
              <w:t>Austria</w:t>
            </w:r>
          </w:p>
        </w:tc>
        <w:tc>
          <w:tcPr>
            <w:tcW w:w="0" w:type="auto"/>
            <w:gridSpan w:val="2"/>
            <w:shd w:val="clear" w:color="auto" w:fill="FFFFFF"/>
            <w:tcMar>
              <w:top w:w="40" w:type="dxa"/>
              <w:left w:w="20" w:type="dxa"/>
              <w:bottom w:w="40" w:type="dxa"/>
              <w:right w:w="0" w:type="dxa"/>
            </w:tcMar>
            <w:vAlign w:val="bottom"/>
          </w:tcPr>
          <w:p w14:paraId="71D405E5" w14:textId="77777777" w:rsidR="006A3667" w:rsidRDefault="00045F32">
            <w:pPr>
              <w:jc w:val="right"/>
              <w:textAlignment w:val="bottom"/>
            </w:pPr>
            <w:r>
              <w:rPr>
                <w:rFonts w:ascii="Arial" w:eastAsia="宋体" w:hAnsi="Arial" w:cs="Arial"/>
                <w:b/>
                <w:bCs/>
                <w:color w:val="000000"/>
                <w:sz w:val="14"/>
                <w:szCs w:val="14"/>
              </w:rPr>
              <w:t>292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E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E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E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E9" w14:textId="77777777" w:rsidR="006A3667" w:rsidRDefault="006A3667">
            <w:pPr>
              <w:jc w:val="right"/>
              <w:rPr>
                <w:rFonts w:ascii="宋体"/>
              </w:rPr>
            </w:pPr>
          </w:p>
        </w:tc>
      </w:tr>
      <w:tr w:rsidR="006A3667" w14:paraId="71D405F1" w14:textId="77777777">
        <w:tc>
          <w:tcPr>
            <w:tcW w:w="0" w:type="auto"/>
            <w:gridSpan w:val="3"/>
            <w:shd w:val="clear" w:color="auto" w:fill="CCEEFF"/>
            <w:tcMar>
              <w:top w:w="40" w:type="dxa"/>
              <w:left w:w="20" w:type="dxa"/>
              <w:bottom w:w="40" w:type="dxa"/>
              <w:right w:w="20" w:type="dxa"/>
            </w:tcMar>
            <w:vAlign w:val="bottom"/>
          </w:tcPr>
          <w:p w14:paraId="71D405EB" w14:textId="77777777" w:rsidR="006A3667" w:rsidRDefault="00045F32">
            <w:pPr>
              <w:textAlignment w:val="bottom"/>
            </w:pPr>
            <w:r>
              <w:rPr>
                <w:rFonts w:ascii="Arial" w:eastAsia="宋体" w:hAnsi="Arial" w:cs="Arial"/>
                <w:color w:val="000000"/>
                <w:sz w:val="14"/>
                <w:szCs w:val="14"/>
              </w:rPr>
              <w:t>Singapore</w:t>
            </w:r>
          </w:p>
        </w:tc>
        <w:tc>
          <w:tcPr>
            <w:tcW w:w="0" w:type="auto"/>
            <w:gridSpan w:val="2"/>
            <w:shd w:val="clear" w:color="auto" w:fill="CCEEFF"/>
            <w:tcMar>
              <w:top w:w="40" w:type="dxa"/>
              <w:left w:w="20" w:type="dxa"/>
              <w:bottom w:w="40" w:type="dxa"/>
              <w:right w:w="0" w:type="dxa"/>
            </w:tcMar>
            <w:vAlign w:val="bottom"/>
          </w:tcPr>
          <w:p w14:paraId="71D405EC" w14:textId="77777777" w:rsidR="006A3667" w:rsidRDefault="00045F32">
            <w:pPr>
              <w:jc w:val="right"/>
              <w:textAlignment w:val="bottom"/>
            </w:pPr>
            <w:r>
              <w:rPr>
                <w:rFonts w:ascii="Arial" w:eastAsia="宋体" w:hAnsi="Arial" w:cs="Arial"/>
                <w:b/>
                <w:bCs/>
                <w:color w:val="000000"/>
                <w:sz w:val="14"/>
                <w:szCs w:val="14"/>
              </w:rPr>
              <w:t>273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E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E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EF" w14:textId="77777777" w:rsidR="006A3667" w:rsidRDefault="00045F32">
            <w:pPr>
              <w:jc w:val="right"/>
              <w:textAlignment w:val="bottom"/>
            </w:pPr>
            <w:r>
              <w:rPr>
                <w:rFonts w:ascii="Arial" w:eastAsia="宋体" w:hAnsi="Arial" w:cs="Arial"/>
                <w:color w:val="000000"/>
                <w:sz w:val="14"/>
                <w:szCs w:val="14"/>
              </w:rPr>
              <w:t>222 </w:t>
            </w:r>
          </w:p>
        </w:tc>
        <w:tc>
          <w:tcPr>
            <w:tcW w:w="0" w:type="auto"/>
            <w:shd w:val="clear" w:color="auto" w:fill="CCEEFF"/>
            <w:tcMar>
              <w:top w:w="40" w:type="dxa"/>
              <w:left w:w="0" w:type="dxa"/>
              <w:bottom w:w="40" w:type="dxa"/>
              <w:right w:w="20" w:type="dxa"/>
            </w:tcMar>
            <w:vAlign w:val="bottom"/>
          </w:tcPr>
          <w:p w14:paraId="71D405F0" w14:textId="77777777" w:rsidR="006A3667" w:rsidRDefault="006A3667">
            <w:pPr>
              <w:jc w:val="right"/>
              <w:rPr>
                <w:rFonts w:ascii="宋体"/>
              </w:rPr>
            </w:pPr>
          </w:p>
        </w:tc>
      </w:tr>
      <w:tr w:rsidR="006A3667" w14:paraId="71D405F8" w14:textId="77777777">
        <w:tc>
          <w:tcPr>
            <w:tcW w:w="0" w:type="auto"/>
            <w:gridSpan w:val="3"/>
            <w:shd w:val="clear" w:color="auto" w:fill="FFFFFF"/>
            <w:tcMar>
              <w:top w:w="40" w:type="dxa"/>
              <w:left w:w="20" w:type="dxa"/>
              <w:bottom w:w="40" w:type="dxa"/>
              <w:right w:w="20" w:type="dxa"/>
            </w:tcMar>
            <w:vAlign w:val="bottom"/>
          </w:tcPr>
          <w:p w14:paraId="71D405F2" w14:textId="77777777" w:rsidR="006A3667" w:rsidRDefault="00045F32">
            <w:pPr>
              <w:textAlignment w:val="bottom"/>
            </w:pPr>
            <w:r>
              <w:rPr>
                <w:rFonts w:ascii="Arial" w:eastAsia="宋体" w:hAnsi="Arial" w:cs="Arial"/>
                <w:color w:val="000000"/>
                <w:sz w:val="14"/>
                <w:szCs w:val="14"/>
              </w:rPr>
              <w:t>Finland</w:t>
            </w:r>
          </w:p>
        </w:tc>
        <w:tc>
          <w:tcPr>
            <w:tcW w:w="0" w:type="auto"/>
            <w:gridSpan w:val="2"/>
            <w:shd w:val="clear" w:color="auto" w:fill="FFFFFF"/>
            <w:tcMar>
              <w:top w:w="40" w:type="dxa"/>
              <w:left w:w="20" w:type="dxa"/>
              <w:bottom w:w="40" w:type="dxa"/>
              <w:right w:w="0" w:type="dxa"/>
            </w:tcMar>
            <w:vAlign w:val="bottom"/>
          </w:tcPr>
          <w:p w14:paraId="71D405F3" w14:textId="77777777" w:rsidR="006A3667" w:rsidRDefault="00045F32">
            <w:pPr>
              <w:jc w:val="right"/>
              <w:textAlignment w:val="bottom"/>
            </w:pPr>
            <w:r>
              <w:rPr>
                <w:rFonts w:ascii="Arial" w:eastAsia="宋体" w:hAnsi="Arial" w:cs="Arial"/>
                <w:b/>
                <w:bCs/>
                <w:color w:val="000000"/>
                <w:sz w:val="14"/>
                <w:szCs w:val="14"/>
              </w:rPr>
              <w:t>195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5F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5F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5F7" w14:textId="77777777" w:rsidR="006A3667" w:rsidRDefault="006A3667">
            <w:pPr>
              <w:jc w:val="right"/>
              <w:rPr>
                <w:rFonts w:ascii="宋体"/>
              </w:rPr>
            </w:pPr>
          </w:p>
        </w:tc>
      </w:tr>
      <w:tr w:rsidR="006A3667" w14:paraId="71D405FF" w14:textId="77777777">
        <w:tc>
          <w:tcPr>
            <w:tcW w:w="0" w:type="auto"/>
            <w:gridSpan w:val="3"/>
            <w:shd w:val="clear" w:color="auto" w:fill="CCEEFF"/>
            <w:tcMar>
              <w:top w:w="40" w:type="dxa"/>
              <w:left w:w="20" w:type="dxa"/>
              <w:bottom w:w="40" w:type="dxa"/>
              <w:right w:w="20" w:type="dxa"/>
            </w:tcMar>
            <w:vAlign w:val="bottom"/>
          </w:tcPr>
          <w:p w14:paraId="71D405F9" w14:textId="77777777" w:rsidR="006A3667" w:rsidRDefault="00045F32">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71D405FA" w14:textId="77777777" w:rsidR="006A3667" w:rsidRDefault="00045F32">
            <w:pPr>
              <w:jc w:val="right"/>
              <w:textAlignment w:val="bottom"/>
            </w:pPr>
            <w:r>
              <w:rPr>
                <w:rFonts w:ascii="Arial" w:eastAsia="宋体" w:hAnsi="Arial" w:cs="Arial"/>
                <w:b/>
                <w:bCs/>
                <w:color w:val="000000"/>
                <w:sz w:val="14"/>
                <w:szCs w:val="14"/>
              </w:rPr>
              <w:t>158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5F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5F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5FE" w14:textId="77777777" w:rsidR="006A3667" w:rsidRDefault="006A3667">
            <w:pPr>
              <w:jc w:val="right"/>
              <w:rPr>
                <w:rFonts w:ascii="宋体"/>
              </w:rPr>
            </w:pPr>
          </w:p>
        </w:tc>
      </w:tr>
      <w:tr w:rsidR="006A3667" w14:paraId="71D40606" w14:textId="77777777">
        <w:tc>
          <w:tcPr>
            <w:tcW w:w="0" w:type="auto"/>
            <w:gridSpan w:val="3"/>
            <w:shd w:val="clear" w:color="auto" w:fill="FFFFFF"/>
            <w:tcMar>
              <w:top w:w="40" w:type="dxa"/>
              <w:left w:w="20" w:type="dxa"/>
              <w:bottom w:w="40" w:type="dxa"/>
              <w:right w:w="20" w:type="dxa"/>
            </w:tcMar>
            <w:vAlign w:val="bottom"/>
          </w:tcPr>
          <w:p w14:paraId="71D40600" w14:textId="77777777" w:rsidR="006A3667" w:rsidRDefault="00045F32">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71D40601" w14:textId="77777777" w:rsidR="006A3667" w:rsidRDefault="00045F32">
            <w:pPr>
              <w:jc w:val="right"/>
              <w:textAlignment w:val="bottom"/>
            </w:pPr>
            <w:r>
              <w:rPr>
                <w:rFonts w:ascii="Arial" w:eastAsia="宋体" w:hAnsi="Arial" w:cs="Arial"/>
                <w:b/>
                <w:bCs/>
                <w:color w:val="000000"/>
                <w:sz w:val="14"/>
                <w:szCs w:val="14"/>
              </w:rPr>
              <w:t>113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60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0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0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605" w14:textId="77777777" w:rsidR="006A3667" w:rsidRDefault="006A3667">
            <w:pPr>
              <w:jc w:val="right"/>
              <w:rPr>
                <w:rFonts w:ascii="宋体"/>
              </w:rPr>
            </w:pPr>
          </w:p>
        </w:tc>
      </w:tr>
      <w:tr w:rsidR="006A3667" w14:paraId="71D4060D" w14:textId="77777777">
        <w:tc>
          <w:tcPr>
            <w:tcW w:w="0" w:type="auto"/>
            <w:gridSpan w:val="3"/>
            <w:shd w:val="clear" w:color="auto" w:fill="CCEEFF"/>
            <w:tcMar>
              <w:top w:w="40" w:type="dxa"/>
              <w:left w:w="20" w:type="dxa"/>
              <w:bottom w:w="40" w:type="dxa"/>
              <w:right w:w="20" w:type="dxa"/>
            </w:tcMar>
            <w:vAlign w:val="bottom"/>
          </w:tcPr>
          <w:p w14:paraId="71D40607" w14:textId="77777777" w:rsidR="006A3667" w:rsidRDefault="00045F32">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0608" w14:textId="77777777" w:rsidR="006A3667" w:rsidRDefault="00045F32">
            <w:pPr>
              <w:jc w:val="right"/>
              <w:textAlignment w:val="bottom"/>
            </w:pPr>
            <w:r>
              <w:rPr>
                <w:rFonts w:ascii="Arial" w:eastAsia="宋体" w:hAnsi="Arial" w:cs="Arial"/>
                <w:b/>
                <w:bCs/>
                <w:color w:val="000000"/>
                <w:sz w:val="14"/>
                <w:szCs w:val="14"/>
              </w:rPr>
              <w:t>2,745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6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0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0B" w14:textId="77777777" w:rsidR="006A3667" w:rsidRDefault="00045F32">
            <w:pPr>
              <w:jc w:val="right"/>
              <w:textAlignment w:val="bottom"/>
            </w:pPr>
            <w:r>
              <w:rPr>
                <w:rFonts w:ascii="Arial" w:eastAsia="宋体" w:hAnsi="Arial" w:cs="Arial"/>
                <w:color w:val="000000"/>
                <w:sz w:val="14"/>
                <w:szCs w:val="14"/>
              </w:rPr>
              <w:t>1,342 </w:t>
            </w:r>
          </w:p>
        </w:tc>
        <w:tc>
          <w:tcPr>
            <w:tcW w:w="0" w:type="auto"/>
            <w:shd w:val="clear" w:color="auto" w:fill="CCEEFF"/>
            <w:tcMar>
              <w:top w:w="40" w:type="dxa"/>
              <w:left w:w="0" w:type="dxa"/>
              <w:bottom w:w="40" w:type="dxa"/>
              <w:right w:w="20" w:type="dxa"/>
            </w:tcMar>
            <w:vAlign w:val="bottom"/>
          </w:tcPr>
          <w:p w14:paraId="71D4060C" w14:textId="77777777" w:rsidR="006A3667" w:rsidRDefault="006A3667">
            <w:pPr>
              <w:jc w:val="right"/>
              <w:rPr>
                <w:rFonts w:ascii="宋体"/>
              </w:rPr>
            </w:pPr>
          </w:p>
        </w:tc>
      </w:tr>
      <w:tr w:rsidR="006A3667" w14:paraId="71D40616" w14:textId="77777777">
        <w:tc>
          <w:tcPr>
            <w:tcW w:w="0" w:type="auto"/>
            <w:gridSpan w:val="3"/>
            <w:shd w:val="clear" w:color="auto" w:fill="FFFFFF"/>
            <w:tcMar>
              <w:top w:w="40" w:type="dxa"/>
              <w:left w:w="20" w:type="dxa"/>
              <w:bottom w:w="40" w:type="dxa"/>
              <w:right w:w="20" w:type="dxa"/>
            </w:tcMar>
            <w:vAlign w:val="bottom"/>
          </w:tcPr>
          <w:p w14:paraId="71D4060E"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060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610" w14:textId="77777777" w:rsidR="006A3667" w:rsidRDefault="00045F32">
            <w:pPr>
              <w:jc w:val="right"/>
              <w:textAlignment w:val="bottom"/>
            </w:pPr>
            <w:r>
              <w:rPr>
                <w:rFonts w:ascii="Arial" w:eastAsia="宋体" w:hAnsi="Arial" w:cs="Arial"/>
                <w:b/>
                <w:bCs/>
                <w:color w:val="000000"/>
                <w:sz w:val="14"/>
                <w:szCs w:val="14"/>
              </w:rPr>
              <w:t>6,141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6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1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61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614" w14:textId="77777777" w:rsidR="006A3667" w:rsidRDefault="00045F32">
            <w:pPr>
              <w:jc w:val="right"/>
              <w:textAlignment w:val="bottom"/>
            </w:pPr>
            <w:r>
              <w:rPr>
                <w:rFonts w:ascii="Arial" w:eastAsia="宋体" w:hAnsi="Arial" w:cs="Arial"/>
                <w:color w:val="000000"/>
                <w:sz w:val="14"/>
                <w:szCs w:val="14"/>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615" w14:textId="77777777" w:rsidR="006A3667" w:rsidRDefault="006A3667">
            <w:pPr>
              <w:jc w:val="right"/>
              <w:rPr>
                <w:rFonts w:ascii="宋体"/>
              </w:rPr>
            </w:pPr>
          </w:p>
        </w:tc>
      </w:tr>
      <w:tr w:rsidR="006A3667" w14:paraId="71D4061B" w14:textId="77777777">
        <w:trPr>
          <w:trHeight w:val="10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61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61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19"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61A" w14:textId="77777777" w:rsidR="006A3667" w:rsidRDefault="006A3667">
            <w:pPr>
              <w:rPr>
                <w:rFonts w:ascii="宋体"/>
              </w:rPr>
            </w:pPr>
          </w:p>
        </w:tc>
      </w:tr>
    </w:tbl>
    <w:p w14:paraId="71D4061C" w14:textId="77777777" w:rsidR="006A3667" w:rsidRDefault="00045F32">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Geography is determined primarily based on the domicile of collateral or </w:t>
      </w:r>
      <w:r>
        <w:rPr>
          <w:rFonts w:ascii="Arial" w:eastAsia="宋体" w:hAnsi="Arial" w:cs="Arial"/>
          <w:color w:val="000000"/>
          <w:sz w:val="13"/>
          <w:szCs w:val="13"/>
        </w:rPr>
        <w:t>issuer.</w:t>
      </w:r>
    </w:p>
    <w:p w14:paraId="71D4061D" w14:textId="77777777" w:rsidR="006A3667" w:rsidRDefault="00045F32">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As of September 30, 2022, other non-U.S. investments include $5.43 billion of supranational bonds in AFS securities and $2.75 billion of supranational bonds in HTM securities.</w:t>
      </w:r>
    </w:p>
    <w:p w14:paraId="71D4061E" w14:textId="77777777" w:rsidR="006A3667" w:rsidRDefault="00045F32">
      <w:pPr>
        <w:spacing w:before="60"/>
        <w:ind w:firstLine="450"/>
        <w:jc w:val="both"/>
        <w:textAlignment w:val="top"/>
      </w:pPr>
      <w:r>
        <w:rPr>
          <w:rFonts w:ascii="Arial" w:eastAsia="宋体" w:hAnsi="Arial" w:cs="Arial"/>
          <w:color w:val="000000"/>
          <w:sz w:val="20"/>
          <w:szCs w:val="20"/>
        </w:rPr>
        <w:t>Approximately 86% and 81% of the aggregate carrying value of these non-U.S. deb</w:t>
      </w:r>
      <w:r>
        <w:rPr>
          <w:rFonts w:ascii="Arial" w:eastAsia="宋体" w:hAnsi="Arial" w:cs="Arial"/>
          <w:color w:val="000000"/>
          <w:sz w:val="20"/>
          <w:szCs w:val="20"/>
        </w:rPr>
        <w:t>t securities was rated “AAA” or “AA” as of September 30, 2022 and December 31, 2021, respectively. The majority of these securities comprised senior positions within the security structures; these positions have a level of protection provided through subor</w:t>
      </w:r>
      <w:r>
        <w:rPr>
          <w:rFonts w:ascii="Arial" w:eastAsia="宋体" w:hAnsi="Arial" w:cs="Arial"/>
          <w:color w:val="000000"/>
          <w:sz w:val="20"/>
          <w:szCs w:val="20"/>
        </w:rPr>
        <w:t>dination and other forms of credit protection. As of September 30, 2022 and December 31, 2021, approximately 26% and 24%, respectively, of the aggregate carrying value of these non-U.S. debt securities was floating-rate.</w:t>
      </w:r>
    </w:p>
    <w:p w14:paraId="71D4061F" w14:textId="77777777" w:rsidR="006A3667" w:rsidRDefault="00045F32">
      <w:pPr>
        <w:spacing w:before="60"/>
        <w:ind w:firstLine="450"/>
        <w:jc w:val="both"/>
        <w:textAlignment w:val="top"/>
      </w:pPr>
      <w:r>
        <w:rPr>
          <w:rFonts w:ascii="Arial" w:eastAsia="宋体" w:hAnsi="Arial" w:cs="Arial"/>
          <w:color w:val="000000"/>
          <w:sz w:val="20"/>
          <w:szCs w:val="20"/>
        </w:rPr>
        <w:t>As of September 30, 2022, our non-U</w:t>
      </w:r>
      <w:r>
        <w:rPr>
          <w:rFonts w:ascii="Arial" w:eastAsia="宋体" w:hAnsi="Arial" w:cs="Arial"/>
          <w:color w:val="000000"/>
          <w:sz w:val="20"/>
          <w:szCs w:val="20"/>
        </w:rPr>
        <w:t xml:space="preserve">.S. debt securities had an average market-to-book ratio of </w:t>
      </w:r>
    </w:p>
    <w:p w14:paraId="71D40620" w14:textId="77777777" w:rsidR="006A3667" w:rsidRDefault="00045F32">
      <w:pPr>
        <w:spacing w:before="60"/>
        <w:jc w:val="both"/>
        <w:textAlignment w:val="top"/>
      </w:pPr>
      <w:r>
        <w:rPr>
          <w:rFonts w:ascii="Arial" w:eastAsia="宋体" w:hAnsi="Arial" w:cs="Arial"/>
          <w:color w:val="000000"/>
          <w:sz w:val="20"/>
          <w:szCs w:val="20"/>
        </w:rPr>
        <w:t>96.3%, and an aggregate pre-tax net unrealized loss of $963 million, composed of gross unrealized gains of $2 million and gross unrealized losses of $965 million. These unrealized amounts included</w:t>
      </w:r>
      <w:r>
        <w:rPr>
          <w:rFonts w:ascii="Arial" w:eastAsia="宋体" w:hAnsi="Arial" w:cs="Arial"/>
          <w:color w:val="000000"/>
          <w:sz w:val="20"/>
          <w:szCs w:val="20"/>
        </w:rPr>
        <w:t>:</w:t>
      </w:r>
    </w:p>
    <w:p w14:paraId="71D40621" w14:textId="77777777" w:rsidR="006A3667" w:rsidRDefault="00045F32">
      <w:pPr>
        <w:spacing w:before="60"/>
        <w:ind w:hanging="360"/>
        <w:jc w:val="both"/>
        <w:textAlignment w:val="top"/>
      </w:pPr>
      <w:r>
        <w:rPr>
          <w:rFonts w:ascii="Arial" w:eastAsia="宋体" w:hAnsi="Arial" w:cs="Arial"/>
          <w:color w:val="000000"/>
          <w:sz w:val="20"/>
          <w:szCs w:val="20"/>
        </w:rPr>
        <w:t>•a pre-tax net unrealized loss of $695 million, composed of gross unrealized gains of $2 million and gross unrealized losses of $697 million, associated with non-U.S. AFS debt securities; and</w:t>
      </w:r>
    </w:p>
    <w:p w14:paraId="71D40622" w14:textId="77777777" w:rsidR="006A3667" w:rsidRDefault="00045F32">
      <w:pPr>
        <w:spacing w:before="60"/>
        <w:ind w:hanging="360"/>
        <w:jc w:val="both"/>
        <w:textAlignment w:val="top"/>
      </w:pPr>
      <w:r>
        <w:rPr>
          <w:rFonts w:ascii="Arial" w:eastAsia="宋体" w:hAnsi="Arial" w:cs="Arial"/>
          <w:color w:val="000000"/>
          <w:sz w:val="20"/>
          <w:szCs w:val="20"/>
        </w:rPr>
        <w:t>•a pre-tax net unrealized loss of $268 million, all composed o</w:t>
      </w:r>
      <w:r>
        <w:rPr>
          <w:rFonts w:ascii="Arial" w:eastAsia="宋体" w:hAnsi="Arial" w:cs="Arial"/>
          <w:color w:val="000000"/>
          <w:sz w:val="20"/>
          <w:szCs w:val="20"/>
        </w:rPr>
        <w:t>f gross unrealized losses, associated with non-U.S. HTM debt securities.</w:t>
      </w:r>
    </w:p>
    <w:p w14:paraId="71D40623" w14:textId="77777777" w:rsidR="006A3667" w:rsidRDefault="00045F32">
      <w:pPr>
        <w:spacing w:before="60"/>
        <w:ind w:firstLine="450"/>
        <w:jc w:val="both"/>
        <w:textAlignment w:val="top"/>
      </w:pPr>
      <w:r>
        <w:rPr>
          <w:rFonts w:ascii="Arial" w:eastAsia="宋体" w:hAnsi="Arial" w:cs="Arial"/>
          <w:color w:val="000000"/>
          <w:sz w:val="20"/>
          <w:szCs w:val="20"/>
        </w:rPr>
        <w:t>As of September 30, 2022, the underlying collateral for non-U.S. MBS and ABS primarily included Australian, U.K., Netherlands and Italian mortgages. The securities listed under “Canad</w:t>
      </w:r>
      <w:r>
        <w:rPr>
          <w:rFonts w:ascii="Arial" w:eastAsia="宋体" w:hAnsi="Arial" w:cs="Arial"/>
          <w:color w:val="000000"/>
          <w:sz w:val="20"/>
          <w:szCs w:val="20"/>
        </w:rPr>
        <w:t>a” were composed of Canadian government securities and provincial bonds, corporate debt and non-U.S. agency securities. The securities listed under “France” were composed of sovereign bonds, corporate debt, covered bonds, ABS and Non-U.S. agency securities</w:t>
      </w:r>
      <w:r>
        <w:rPr>
          <w:rFonts w:ascii="Arial" w:eastAsia="宋体" w:hAnsi="Arial" w:cs="Arial"/>
          <w:color w:val="000000"/>
          <w:sz w:val="20"/>
          <w:szCs w:val="20"/>
        </w:rPr>
        <w:t>. The securities listed under “Japan” were substantially composed of Japanese government securities.</w:t>
      </w:r>
    </w:p>
    <w:p w14:paraId="71D40624" w14:textId="77777777" w:rsidR="006A3667" w:rsidRDefault="00045F32">
      <w:pPr>
        <w:spacing w:before="60"/>
        <w:jc w:val="both"/>
        <w:textAlignment w:val="top"/>
      </w:pPr>
      <w:r>
        <w:rPr>
          <w:rFonts w:ascii="Arial" w:eastAsia="宋体" w:hAnsi="Arial" w:cs="Arial"/>
          <w:b/>
          <w:bCs/>
          <w:i/>
          <w:iCs/>
          <w:color w:val="000000"/>
          <w:sz w:val="20"/>
          <w:szCs w:val="20"/>
        </w:rPr>
        <w:t>Municipal Obligations</w:t>
      </w:r>
    </w:p>
    <w:p w14:paraId="71D40625" w14:textId="77777777" w:rsidR="006A3667" w:rsidRDefault="00045F32">
      <w:pPr>
        <w:spacing w:before="60"/>
        <w:ind w:firstLine="450"/>
        <w:jc w:val="both"/>
        <w:textAlignment w:val="top"/>
      </w:pPr>
      <w:r>
        <w:rPr>
          <w:rFonts w:ascii="Arial" w:eastAsia="宋体" w:hAnsi="Arial" w:cs="Arial"/>
          <w:color w:val="000000"/>
          <w:sz w:val="20"/>
          <w:szCs w:val="20"/>
        </w:rPr>
        <w:t>We carried approximately $0.92 billion of municipal securities classified as state and political subdivisions in our investment secur</w:t>
      </w:r>
      <w:r>
        <w:rPr>
          <w:rFonts w:ascii="Arial" w:eastAsia="宋体" w:hAnsi="Arial" w:cs="Arial"/>
          <w:color w:val="000000"/>
          <w:sz w:val="20"/>
          <w:szCs w:val="20"/>
        </w:rPr>
        <w:t>ities portfolio as of September 30, 2022, as shown in Table 20: Carrying Values of Investment Securities, all of which were classified as AFS. As of September 30, 2022, we also provided approximately $7.69 billion of credit and liquidity facilities to muni</w:t>
      </w:r>
      <w:r>
        <w:rPr>
          <w:rFonts w:ascii="Arial" w:eastAsia="宋体" w:hAnsi="Arial" w:cs="Arial"/>
          <w:color w:val="000000"/>
          <w:sz w:val="20"/>
          <w:szCs w:val="20"/>
        </w:rPr>
        <w:t>cipal issuers.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0"/>
        <w:gridCol w:w="38"/>
        <w:gridCol w:w="94"/>
        <w:gridCol w:w="1360"/>
        <w:gridCol w:w="37"/>
        <w:gridCol w:w="36"/>
        <w:gridCol w:w="43"/>
        <w:gridCol w:w="36"/>
        <w:gridCol w:w="94"/>
        <w:gridCol w:w="1360"/>
        <w:gridCol w:w="37"/>
        <w:gridCol w:w="36"/>
        <w:gridCol w:w="43"/>
        <w:gridCol w:w="36"/>
        <w:gridCol w:w="93"/>
        <w:gridCol w:w="1018"/>
        <w:gridCol w:w="36"/>
        <w:gridCol w:w="36"/>
        <w:gridCol w:w="43"/>
        <w:gridCol w:w="36"/>
        <w:gridCol w:w="73"/>
        <w:gridCol w:w="1326"/>
        <w:gridCol w:w="136"/>
      </w:tblGrid>
      <w:tr w:rsidR="006A3667" w14:paraId="71D4063E" w14:textId="77777777">
        <w:tc>
          <w:tcPr>
            <w:tcW w:w="50" w:type="pct"/>
            <w:shd w:val="clear" w:color="auto" w:fill="auto"/>
            <w:vAlign w:val="bottom"/>
          </w:tcPr>
          <w:p w14:paraId="71D40626" w14:textId="77777777" w:rsidR="006A3667" w:rsidRDefault="006A3667">
            <w:pPr>
              <w:rPr>
                <w:rFonts w:ascii="宋体"/>
              </w:rPr>
            </w:pPr>
          </w:p>
        </w:tc>
        <w:tc>
          <w:tcPr>
            <w:tcW w:w="1375" w:type="pct"/>
            <w:shd w:val="clear" w:color="auto" w:fill="auto"/>
            <w:vAlign w:val="bottom"/>
          </w:tcPr>
          <w:p w14:paraId="71D40627" w14:textId="77777777" w:rsidR="006A3667" w:rsidRDefault="006A3667">
            <w:pPr>
              <w:rPr>
                <w:rFonts w:ascii="宋体"/>
              </w:rPr>
            </w:pPr>
          </w:p>
        </w:tc>
        <w:tc>
          <w:tcPr>
            <w:tcW w:w="5" w:type="pct"/>
            <w:shd w:val="clear" w:color="auto" w:fill="auto"/>
            <w:vAlign w:val="bottom"/>
          </w:tcPr>
          <w:p w14:paraId="71D40628" w14:textId="77777777" w:rsidR="006A3667" w:rsidRDefault="006A3667">
            <w:pPr>
              <w:rPr>
                <w:rFonts w:ascii="宋体"/>
              </w:rPr>
            </w:pPr>
          </w:p>
        </w:tc>
        <w:tc>
          <w:tcPr>
            <w:tcW w:w="50" w:type="pct"/>
            <w:shd w:val="clear" w:color="auto" w:fill="auto"/>
            <w:vAlign w:val="bottom"/>
          </w:tcPr>
          <w:p w14:paraId="71D40629" w14:textId="77777777" w:rsidR="006A3667" w:rsidRDefault="006A3667">
            <w:pPr>
              <w:rPr>
                <w:rFonts w:ascii="宋体"/>
              </w:rPr>
            </w:pPr>
          </w:p>
        </w:tc>
        <w:tc>
          <w:tcPr>
            <w:tcW w:w="841" w:type="pct"/>
            <w:shd w:val="clear" w:color="auto" w:fill="auto"/>
            <w:vAlign w:val="bottom"/>
          </w:tcPr>
          <w:p w14:paraId="71D4062A" w14:textId="77777777" w:rsidR="006A3667" w:rsidRDefault="006A3667">
            <w:pPr>
              <w:rPr>
                <w:rFonts w:ascii="宋体"/>
              </w:rPr>
            </w:pPr>
          </w:p>
        </w:tc>
        <w:tc>
          <w:tcPr>
            <w:tcW w:w="5" w:type="pct"/>
            <w:shd w:val="clear" w:color="auto" w:fill="auto"/>
            <w:vAlign w:val="bottom"/>
          </w:tcPr>
          <w:p w14:paraId="71D4062B" w14:textId="77777777" w:rsidR="006A3667" w:rsidRDefault="006A3667">
            <w:pPr>
              <w:rPr>
                <w:rFonts w:ascii="宋体"/>
              </w:rPr>
            </w:pPr>
          </w:p>
        </w:tc>
        <w:tc>
          <w:tcPr>
            <w:tcW w:w="5" w:type="pct"/>
            <w:shd w:val="clear" w:color="auto" w:fill="auto"/>
            <w:vAlign w:val="bottom"/>
          </w:tcPr>
          <w:p w14:paraId="71D4062C" w14:textId="77777777" w:rsidR="006A3667" w:rsidRDefault="006A3667">
            <w:pPr>
              <w:rPr>
                <w:rFonts w:ascii="宋体"/>
              </w:rPr>
            </w:pPr>
          </w:p>
        </w:tc>
        <w:tc>
          <w:tcPr>
            <w:tcW w:w="52" w:type="pct"/>
            <w:shd w:val="clear" w:color="auto" w:fill="auto"/>
            <w:vAlign w:val="bottom"/>
          </w:tcPr>
          <w:p w14:paraId="71D4062D" w14:textId="77777777" w:rsidR="006A3667" w:rsidRDefault="006A3667">
            <w:pPr>
              <w:rPr>
                <w:rFonts w:ascii="宋体"/>
              </w:rPr>
            </w:pPr>
          </w:p>
        </w:tc>
        <w:tc>
          <w:tcPr>
            <w:tcW w:w="5" w:type="pct"/>
            <w:shd w:val="clear" w:color="auto" w:fill="auto"/>
            <w:vAlign w:val="bottom"/>
          </w:tcPr>
          <w:p w14:paraId="71D4062E" w14:textId="77777777" w:rsidR="006A3667" w:rsidRDefault="006A3667">
            <w:pPr>
              <w:rPr>
                <w:rFonts w:ascii="宋体"/>
              </w:rPr>
            </w:pPr>
          </w:p>
        </w:tc>
        <w:tc>
          <w:tcPr>
            <w:tcW w:w="50" w:type="pct"/>
            <w:shd w:val="clear" w:color="auto" w:fill="auto"/>
            <w:vAlign w:val="bottom"/>
          </w:tcPr>
          <w:p w14:paraId="71D4062F" w14:textId="77777777" w:rsidR="006A3667" w:rsidRDefault="006A3667">
            <w:pPr>
              <w:rPr>
                <w:rFonts w:ascii="宋体"/>
              </w:rPr>
            </w:pPr>
          </w:p>
        </w:tc>
        <w:tc>
          <w:tcPr>
            <w:tcW w:w="841" w:type="pct"/>
            <w:shd w:val="clear" w:color="auto" w:fill="auto"/>
            <w:vAlign w:val="bottom"/>
          </w:tcPr>
          <w:p w14:paraId="71D40630" w14:textId="77777777" w:rsidR="006A3667" w:rsidRDefault="006A3667">
            <w:pPr>
              <w:rPr>
                <w:rFonts w:ascii="宋体"/>
              </w:rPr>
            </w:pPr>
          </w:p>
        </w:tc>
        <w:tc>
          <w:tcPr>
            <w:tcW w:w="5" w:type="pct"/>
            <w:shd w:val="clear" w:color="auto" w:fill="auto"/>
            <w:vAlign w:val="bottom"/>
          </w:tcPr>
          <w:p w14:paraId="71D40631" w14:textId="77777777" w:rsidR="006A3667" w:rsidRDefault="006A3667">
            <w:pPr>
              <w:rPr>
                <w:rFonts w:ascii="宋体"/>
              </w:rPr>
            </w:pPr>
          </w:p>
        </w:tc>
        <w:tc>
          <w:tcPr>
            <w:tcW w:w="5" w:type="pct"/>
            <w:shd w:val="clear" w:color="auto" w:fill="auto"/>
            <w:vAlign w:val="bottom"/>
          </w:tcPr>
          <w:p w14:paraId="71D40632" w14:textId="77777777" w:rsidR="006A3667" w:rsidRDefault="006A3667">
            <w:pPr>
              <w:rPr>
                <w:rFonts w:ascii="宋体"/>
              </w:rPr>
            </w:pPr>
          </w:p>
        </w:tc>
        <w:tc>
          <w:tcPr>
            <w:tcW w:w="52" w:type="pct"/>
            <w:shd w:val="clear" w:color="auto" w:fill="auto"/>
            <w:vAlign w:val="bottom"/>
          </w:tcPr>
          <w:p w14:paraId="71D40633" w14:textId="77777777" w:rsidR="006A3667" w:rsidRDefault="006A3667">
            <w:pPr>
              <w:rPr>
                <w:rFonts w:ascii="宋体"/>
              </w:rPr>
            </w:pPr>
          </w:p>
        </w:tc>
        <w:tc>
          <w:tcPr>
            <w:tcW w:w="5" w:type="pct"/>
            <w:shd w:val="clear" w:color="auto" w:fill="auto"/>
            <w:vAlign w:val="bottom"/>
          </w:tcPr>
          <w:p w14:paraId="71D40634" w14:textId="77777777" w:rsidR="006A3667" w:rsidRDefault="006A3667">
            <w:pPr>
              <w:rPr>
                <w:rFonts w:ascii="宋体"/>
              </w:rPr>
            </w:pPr>
          </w:p>
        </w:tc>
        <w:tc>
          <w:tcPr>
            <w:tcW w:w="50" w:type="pct"/>
            <w:shd w:val="clear" w:color="auto" w:fill="auto"/>
            <w:vAlign w:val="bottom"/>
          </w:tcPr>
          <w:p w14:paraId="71D40635" w14:textId="77777777" w:rsidR="006A3667" w:rsidRDefault="006A3667">
            <w:pPr>
              <w:rPr>
                <w:rFonts w:ascii="宋体"/>
              </w:rPr>
            </w:pPr>
          </w:p>
        </w:tc>
        <w:tc>
          <w:tcPr>
            <w:tcW w:w="636" w:type="pct"/>
            <w:shd w:val="clear" w:color="auto" w:fill="auto"/>
            <w:vAlign w:val="bottom"/>
          </w:tcPr>
          <w:p w14:paraId="71D40636" w14:textId="77777777" w:rsidR="006A3667" w:rsidRDefault="006A3667">
            <w:pPr>
              <w:rPr>
                <w:rFonts w:ascii="宋体"/>
              </w:rPr>
            </w:pPr>
          </w:p>
        </w:tc>
        <w:tc>
          <w:tcPr>
            <w:tcW w:w="5" w:type="pct"/>
            <w:shd w:val="clear" w:color="auto" w:fill="auto"/>
            <w:vAlign w:val="bottom"/>
          </w:tcPr>
          <w:p w14:paraId="71D40637" w14:textId="77777777" w:rsidR="006A3667" w:rsidRDefault="006A3667">
            <w:pPr>
              <w:rPr>
                <w:rFonts w:ascii="宋体"/>
              </w:rPr>
            </w:pPr>
          </w:p>
        </w:tc>
        <w:tc>
          <w:tcPr>
            <w:tcW w:w="5" w:type="pct"/>
            <w:shd w:val="clear" w:color="auto" w:fill="auto"/>
            <w:vAlign w:val="bottom"/>
          </w:tcPr>
          <w:p w14:paraId="71D40638" w14:textId="77777777" w:rsidR="006A3667" w:rsidRDefault="006A3667">
            <w:pPr>
              <w:rPr>
                <w:rFonts w:ascii="宋体"/>
              </w:rPr>
            </w:pPr>
          </w:p>
        </w:tc>
        <w:tc>
          <w:tcPr>
            <w:tcW w:w="52" w:type="pct"/>
            <w:shd w:val="clear" w:color="auto" w:fill="auto"/>
            <w:vAlign w:val="bottom"/>
          </w:tcPr>
          <w:p w14:paraId="71D40639" w14:textId="77777777" w:rsidR="006A3667" w:rsidRDefault="006A3667">
            <w:pPr>
              <w:rPr>
                <w:rFonts w:ascii="宋体"/>
              </w:rPr>
            </w:pPr>
          </w:p>
        </w:tc>
        <w:tc>
          <w:tcPr>
            <w:tcW w:w="5" w:type="pct"/>
            <w:shd w:val="clear" w:color="auto" w:fill="auto"/>
            <w:vAlign w:val="bottom"/>
          </w:tcPr>
          <w:p w14:paraId="71D4063A" w14:textId="77777777" w:rsidR="006A3667" w:rsidRDefault="006A3667">
            <w:pPr>
              <w:rPr>
                <w:rFonts w:ascii="宋体"/>
              </w:rPr>
            </w:pPr>
          </w:p>
        </w:tc>
        <w:tc>
          <w:tcPr>
            <w:tcW w:w="50" w:type="pct"/>
            <w:shd w:val="clear" w:color="auto" w:fill="auto"/>
            <w:vAlign w:val="bottom"/>
          </w:tcPr>
          <w:p w14:paraId="71D4063B" w14:textId="77777777" w:rsidR="006A3667" w:rsidRDefault="006A3667">
            <w:pPr>
              <w:rPr>
                <w:rFonts w:ascii="宋体"/>
              </w:rPr>
            </w:pPr>
          </w:p>
        </w:tc>
        <w:tc>
          <w:tcPr>
            <w:tcW w:w="841" w:type="pct"/>
            <w:shd w:val="clear" w:color="auto" w:fill="auto"/>
            <w:vAlign w:val="bottom"/>
          </w:tcPr>
          <w:p w14:paraId="71D4063C" w14:textId="77777777" w:rsidR="006A3667" w:rsidRDefault="006A3667">
            <w:pPr>
              <w:rPr>
                <w:rFonts w:ascii="宋体"/>
              </w:rPr>
            </w:pPr>
          </w:p>
        </w:tc>
        <w:tc>
          <w:tcPr>
            <w:tcW w:w="5" w:type="pct"/>
            <w:shd w:val="clear" w:color="auto" w:fill="auto"/>
            <w:vAlign w:val="bottom"/>
          </w:tcPr>
          <w:p w14:paraId="71D4063D" w14:textId="77777777" w:rsidR="006A3667" w:rsidRDefault="006A3667">
            <w:pPr>
              <w:rPr>
                <w:rFonts w:ascii="宋体"/>
              </w:rPr>
            </w:pPr>
          </w:p>
        </w:tc>
      </w:tr>
      <w:tr w:rsidR="006A3667" w14:paraId="71D40640" w14:textId="77777777">
        <w:tc>
          <w:tcPr>
            <w:tcW w:w="0" w:type="auto"/>
            <w:gridSpan w:val="24"/>
            <w:shd w:val="clear" w:color="auto" w:fill="auto"/>
            <w:tcMar>
              <w:top w:w="40" w:type="dxa"/>
              <w:left w:w="20" w:type="dxa"/>
              <w:bottom w:w="40" w:type="dxa"/>
              <w:right w:w="20" w:type="dxa"/>
            </w:tcMar>
            <w:vAlign w:val="bottom"/>
          </w:tcPr>
          <w:p w14:paraId="71D4063F" w14:textId="77777777" w:rsidR="006A3667" w:rsidRDefault="00045F32">
            <w:pPr>
              <w:textAlignment w:val="bottom"/>
            </w:pPr>
            <w:r>
              <w:rPr>
                <w:rFonts w:ascii="Arial" w:eastAsia="宋体" w:hAnsi="Arial" w:cs="Arial"/>
                <w:b/>
                <w:bCs/>
                <w:color w:val="000000"/>
                <w:sz w:val="16"/>
                <w:szCs w:val="16"/>
              </w:rPr>
              <w:t>TABLE 24: STATE AND MUNICIPAL OBLIGORS</w:t>
            </w:r>
            <w:r>
              <w:rPr>
                <w:rFonts w:ascii="Arial" w:eastAsia="宋体" w:hAnsi="Arial" w:cs="Arial"/>
                <w:b/>
                <w:bCs/>
                <w:color w:val="000000"/>
                <w:sz w:val="10"/>
                <w:szCs w:val="10"/>
              </w:rPr>
              <w:t>(1)</w:t>
            </w:r>
          </w:p>
        </w:tc>
      </w:tr>
      <w:tr w:rsidR="006A3667" w14:paraId="71D4064B" w14:textId="77777777">
        <w:tc>
          <w:tcPr>
            <w:tcW w:w="0" w:type="auto"/>
            <w:gridSpan w:val="3"/>
            <w:shd w:val="clear" w:color="auto" w:fill="auto"/>
            <w:tcMar>
              <w:top w:w="40" w:type="dxa"/>
              <w:left w:w="20" w:type="dxa"/>
              <w:bottom w:w="40" w:type="dxa"/>
              <w:right w:w="20" w:type="dxa"/>
            </w:tcMar>
            <w:vAlign w:val="bottom"/>
          </w:tcPr>
          <w:p w14:paraId="71D40641" w14:textId="77777777" w:rsidR="006A3667" w:rsidRDefault="00045F32">
            <w:pPr>
              <w:textAlignment w:val="bottom"/>
            </w:pPr>
            <w:r>
              <w:rPr>
                <w:rFonts w:ascii="Arial" w:eastAsia="宋体" w:hAnsi="Arial" w:cs="Arial"/>
                <w:b/>
                <w:bCs/>
                <w:color w:val="000000"/>
                <w:sz w:val="13"/>
                <w:szCs w:val="13"/>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1D40642" w14:textId="77777777" w:rsidR="006A3667" w:rsidRDefault="00045F32">
            <w:pPr>
              <w:jc w:val="center"/>
              <w:textAlignment w:val="bottom"/>
            </w:pPr>
            <w:r>
              <w:rPr>
                <w:rFonts w:ascii="Arial" w:eastAsia="宋体" w:hAnsi="Arial" w:cs="Arial"/>
                <w:b/>
                <w:bCs/>
                <w:color w:val="000000"/>
                <w:sz w:val="13"/>
                <w:szCs w:val="13"/>
              </w:rPr>
              <w:t>Total Municipal</w:t>
            </w:r>
            <w:r>
              <w:rPr>
                <w:rFonts w:ascii="Arial" w:eastAsia="宋体" w:hAnsi="Arial" w:cs="Arial"/>
                <w:b/>
                <w:bCs/>
                <w:color w:val="000000"/>
                <w:sz w:val="13"/>
                <w:szCs w:val="13"/>
              </w:rPr>
              <w:br/>
              <w:t>Securities</w:t>
            </w:r>
          </w:p>
        </w:tc>
        <w:tc>
          <w:tcPr>
            <w:tcW w:w="0" w:type="auto"/>
            <w:gridSpan w:val="3"/>
            <w:shd w:val="clear" w:color="auto" w:fill="auto"/>
            <w:tcMar>
              <w:top w:w="0" w:type="dxa"/>
              <w:left w:w="20" w:type="dxa"/>
              <w:bottom w:w="0" w:type="dxa"/>
              <w:right w:w="20" w:type="dxa"/>
            </w:tcMar>
            <w:vAlign w:val="bottom"/>
          </w:tcPr>
          <w:p w14:paraId="71D4064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644" w14:textId="77777777" w:rsidR="006A3667" w:rsidRDefault="00045F32">
            <w:pPr>
              <w:jc w:val="center"/>
              <w:textAlignment w:val="bottom"/>
            </w:pPr>
            <w:r>
              <w:rPr>
                <w:rFonts w:ascii="Arial" w:eastAsia="宋体" w:hAnsi="Arial" w:cs="Arial"/>
                <w:b/>
                <w:bCs/>
                <w:color w:val="000000"/>
                <w:sz w:val="13"/>
                <w:szCs w:val="13"/>
              </w:rPr>
              <w:t xml:space="preserve">Credit and </w:t>
            </w:r>
          </w:p>
          <w:p w14:paraId="71D40645" w14:textId="77777777" w:rsidR="006A3667" w:rsidRDefault="00045F32">
            <w:pPr>
              <w:jc w:val="center"/>
              <w:textAlignment w:val="bottom"/>
            </w:pPr>
            <w:r>
              <w:rPr>
                <w:rFonts w:ascii="Arial" w:eastAsia="宋体" w:hAnsi="Arial" w:cs="Arial"/>
                <w:b/>
                <w:bCs/>
                <w:color w:val="000000"/>
                <w:sz w:val="13"/>
                <w:szCs w:val="13"/>
              </w:rPr>
              <w:t>Liquidity </w:t>
            </w:r>
          </w:p>
          <w:p w14:paraId="71D40646" w14:textId="77777777" w:rsidR="006A3667" w:rsidRDefault="00045F32">
            <w:pPr>
              <w:jc w:val="center"/>
              <w:textAlignment w:val="bottom"/>
            </w:pPr>
            <w:r>
              <w:rPr>
                <w:rFonts w:ascii="Arial" w:eastAsia="宋体" w:hAnsi="Arial" w:cs="Arial"/>
                <w:b/>
                <w:bCs/>
                <w:color w:val="000000"/>
                <w:sz w:val="13"/>
                <w:szCs w:val="13"/>
              </w:rPr>
              <w:t>Facilities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vAlign w:val="bottom"/>
          </w:tcPr>
          <w:p w14:paraId="71D4064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648" w14:textId="77777777" w:rsidR="006A3667" w:rsidRDefault="00045F32">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71D4064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64A" w14:textId="77777777" w:rsidR="006A3667" w:rsidRDefault="00045F32">
            <w:pPr>
              <w:jc w:val="center"/>
              <w:textAlignment w:val="bottom"/>
            </w:pPr>
            <w:r>
              <w:rPr>
                <w:rFonts w:ascii="Arial" w:eastAsia="宋体" w:hAnsi="Arial" w:cs="Arial"/>
                <w:b/>
                <w:bCs/>
                <w:color w:val="000000"/>
                <w:sz w:val="13"/>
                <w:szCs w:val="13"/>
              </w:rPr>
              <w:t>% of Total Municipal</w:t>
            </w:r>
            <w:r>
              <w:rPr>
                <w:rFonts w:ascii="Arial" w:eastAsia="宋体" w:hAnsi="Arial" w:cs="Arial"/>
                <w:b/>
                <w:bCs/>
                <w:color w:val="000000"/>
                <w:sz w:val="13"/>
                <w:szCs w:val="13"/>
              </w:rPr>
              <w:br/>
              <w:t>Exposure</w:t>
            </w:r>
          </w:p>
        </w:tc>
      </w:tr>
      <w:tr w:rsidR="006A3667" w14:paraId="71D40653" w14:textId="77777777">
        <w:tc>
          <w:tcPr>
            <w:tcW w:w="0" w:type="auto"/>
            <w:gridSpan w:val="6"/>
            <w:shd w:val="clear" w:color="auto" w:fill="auto"/>
            <w:tcMar>
              <w:top w:w="40" w:type="dxa"/>
              <w:left w:w="20" w:type="dxa"/>
              <w:bottom w:w="40" w:type="dxa"/>
              <w:right w:w="20" w:type="dxa"/>
            </w:tcMar>
            <w:vAlign w:val="bottom"/>
          </w:tcPr>
          <w:p w14:paraId="71D4064C" w14:textId="77777777" w:rsidR="006A3667" w:rsidRDefault="00045F32">
            <w:pPr>
              <w:textAlignment w:val="bottom"/>
            </w:pPr>
            <w:r>
              <w:rPr>
                <w:rFonts w:ascii="Arial" w:eastAsia="宋体" w:hAnsi="Arial" w:cs="Arial"/>
                <w:b/>
                <w:bCs/>
                <w:color w:val="000000"/>
                <w:sz w:val="13"/>
                <w:szCs w:val="13"/>
              </w:rPr>
              <w:t>September 30, 2022</w:t>
            </w:r>
          </w:p>
        </w:tc>
        <w:tc>
          <w:tcPr>
            <w:tcW w:w="0" w:type="auto"/>
            <w:gridSpan w:val="3"/>
            <w:shd w:val="clear" w:color="auto" w:fill="auto"/>
            <w:tcMar>
              <w:top w:w="0" w:type="dxa"/>
              <w:left w:w="20" w:type="dxa"/>
              <w:bottom w:w="0" w:type="dxa"/>
              <w:right w:w="20" w:type="dxa"/>
            </w:tcMar>
            <w:vAlign w:val="bottom"/>
          </w:tcPr>
          <w:p w14:paraId="71D4064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64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4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65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5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652" w14:textId="77777777" w:rsidR="006A3667" w:rsidRDefault="006A3667">
            <w:pPr>
              <w:rPr>
                <w:rFonts w:ascii="宋体"/>
              </w:rPr>
            </w:pPr>
          </w:p>
        </w:tc>
      </w:tr>
      <w:tr w:rsidR="006A3667" w14:paraId="71D4065B" w14:textId="77777777">
        <w:tc>
          <w:tcPr>
            <w:tcW w:w="0" w:type="auto"/>
            <w:gridSpan w:val="6"/>
            <w:shd w:val="clear" w:color="auto" w:fill="auto"/>
            <w:tcMar>
              <w:top w:w="40" w:type="dxa"/>
              <w:left w:w="20" w:type="dxa"/>
              <w:bottom w:w="40" w:type="dxa"/>
              <w:right w:w="20" w:type="dxa"/>
            </w:tcMar>
            <w:vAlign w:val="bottom"/>
          </w:tcPr>
          <w:p w14:paraId="71D40654" w14:textId="77777777" w:rsidR="006A3667" w:rsidRDefault="00045F32">
            <w:pPr>
              <w:textAlignment w:val="bottom"/>
            </w:pPr>
            <w:r>
              <w:rPr>
                <w:rFonts w:ascii="Arial" w:eastAsia="宋体" w:hAnsi="Arial" w:cs="Arial"/>
                <w:b/>
                <w:bCs/>
                <w:color w:val="000000"/>
                <w:sz w:val="13"/>
                <w:szCs w:val="13"/>
              </w:rPr>
              <w:t xml:space="preserve">State of </w:t>
            </w:r>
            <w:r>
              <w:rPr>
                <w:rFonts w:ascii="Arial" w:eastAsia="宋体" w:hAnsi="Arial" w:cs="Arial"/>
                <w:b/>
                <w:bCs/>
                <w:color w:val="000000"/>
                <w:sz w:val="13"/>
                <w:szCs w:val="13"/>
              </w:rPr>
              <w:t>Issuer:</w:t>
            </w:r>
          </w:p>
        </w:tc>
        <w:tc>
          <w:tcPr>
            <w:tcW w:w="0" w:type="auto"/>
            <w:gridSpan w:val="3"/>
            <w:shd w:val="clear" w:color="auto" w:fill="auto"/>
            <w:tcMar>
              <w:top w:w="0" w:type="dxa"/>
              <w:left w:w="20" w:type="dxa"/>
              <w:bottom w:w="0" w:type="dxa"/>
              <w:right w:w="20" w:type="dxa"/>
            </w:tcMar>
            <w:vAlign w:val="bottom"/>
          </w:tcPr>
          <w:p w14:paraId="71D4065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5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5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5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5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5A" w14:textId="77777777" w:rsidR="006A3667" w:rsidRDefault="006A3667">
            <w:pPr>
              <w:rPr>
                <w:rFonts w:ascii="宋体"/>
              </w:rPr>
            </w:pPr>
          </w:p>
        </w:tc>
      </w:tr>
      <w:tr w:rsidR="006A3667" w14:paraId="71D4066B" w14:textId="77777777">
        <w:tc>
          <w:tcPr>
            <w:tcW w:w="0" w:type="auto"/>
            <w:gridSpan w:val="3"/>
            <w:shd w:val="clear" w:color="auto" w:fill="CCEEFF"/>
            <w:tcMar>
              <w:top w:w="40" w:type="dxa"/>
              <w:left w:w="20" w:type="dxa"/>
              <w:bottom w:w="40" w:type="dxa"/>
              <w:right w:w="20" w:type="dxa"/>
            </w:tcMar>
            <w:vAlign w:val="bottom"/>
          </w:tcPr>
          <w:p w14:paraId="71D4065C" w14:textId="77777777" w:rsidR="006A3667" w:rsidRDefault="00045F32">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71D4065D"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65E" w14:textId="77777777" w:rsidR="006A3667" w:rsidRDefault="00045F32">
            <w:pPr>
              <w:jc w:val="right"/>
              <w:textAlignment w:val="bottom"/>
            </w:pPr>
            <w:r>
              <w:rPr>
                <w:rFonts w:ascii="Arial" w:eastAsia="宋体" w:hAnsi="Arial" w:cs="Arial"/>
                <w:b/>
                <w:bCs/>
                <w:color w:val="000000"/>
                <w:sz w:val="13"/>
                <w:szCs w:val="13"/>
              </w:rPr>
              <w:t>178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6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661"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662" w14:textId="77777777" w:rsidR="006A3667" w:rsidRDefault="00045F32">
            <w:pPr>
              <w:jc w:val="right"/>
              <w:textAlignment w:val="bottom"/>
            </w:pPr>
            <w:r>
              <w:rPr>
                <w:rFonts w:ascii="Arial" w:eastAsia="宋体" w:hAnsi="Arial" w:cs="Arial"/>
                <w:b/>
                <w:bCs/>
                <w:color w:val="000000"/>
                <w:sz w:val="13"/>
                <w:szCs w:val="13"/>
              </w:rPr>
              <w:t>2,326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6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665"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666" w14:textId="77777777" w:rsidR="006A3667" w:rsidRDefault="00045F32">
            <w:pPr>
              <w:jc w:val="right"/>
              <w:textAlignment w:val="bottom"/>
            </w:pPr>
            <w:r>
              <w:rPr>
                <w:rFonts w:ascii="Arial" w:eastAsia="宋体" w:hAnsi="Arial" w:cs="Arial"/>
                <w:b/>
                <w:bCs/>
                <w:color w:val="000000"/>
                <w:sz w:val="13"/>
                <w:szCs w:val="13"/>
              </w:rPr>
              <w:t>2,504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6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69" w14:textId="77777777" w:rsidR="006A3667" w:rsidRDefault="00045F32">
            <w:pPr>
              <w:jc w:val="right"/>
              <w:textAlignment w:val="bottom"/>
            </w:pPr>
            <w:r>
              <w:rPr>
                <w:rFonts w:ascii="Arial" w:eastAsia="宋体" w:hAnsi="Arial" w:cs="Arial"/>
                <w:b/>
                <w:bCs/>
                <w:color w:val="000000"/>
                <w:sz w:val="13"/>
                <w:szCs w:val="13"/>
              </w:rPr>
              <w:t>29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6A" w14:textId="77777777" w:rsidR="006A3667" w:rsidRDefault="00045F32">
            <w:pPr>
              <w:jc w:val="right"/>
              <w:textAlignment w:val="bottom"/>
            </w:pPr>
            <w:r>
              <w:rPr>
                <w:rFonts w:ascii="Arial" w:eastAsia="宋体" w:hAnsi="Arial" w:cs="Arial"/>
                <w:b/>
                <w:bCs/>
                <w:color w:val="000000"/>
                <w:sz w:val="13"/>
                <w:szCs w:val="13"/>
              </w:rPr>
              <w:t>%</w:t>
            </w:r>
          </w:p>
        </w:tc>
      </w:tr>
      <w:tr w:rsidR="006A3667" w14:paraId="71D40678" w14:textId="77777777">
        <w:tc>
          <w:tcPr>
            <w:tcW w:w="0" w:type="auto"/>
            <w:gridSpan w:val="3"/>
            <w:shd w:val="clear" w:color="auto" w:fill="FFFFFF"/>
            <w:tcMar>
              <w:top w:w="40" w:type="dxa"/>
              <w:left w:w="20" w:type="dxa"/>
              <w:bottom w:w="40" w:type="dxa"/>
              <w:right w:w="20" w:type="dxa"/>
            </w:tcMar>
            <w:vAlign w:val="bottom"/>
          </w:tcPr>
          <w:p w14:paraId="71D4066C" w14:textId="77777777" w:rsidR="006A3667" w:rsidRDefault="00045F32">
            <w:pPr>
              <w:textAlignment w:val="bottom"/>
            </w:pPr>
            <w:r>
              <w:rPr>
                <w:rFonts w:ascii="Arial" w:eastAsia="宋体" w:hAnsi="Arial" w:cs="Arial"/>
                <w:color w:val="000000"/>
                <w:sz w:val="13"/>
                <w:szCs w:val="13"/>
              </w:rPr>
              <w:t>New York</w:t>
            </w:r>
          </w:p>
        </w:tc>
        <w:tc>
          <w:tcPr>
            <w:tcW w:w="0" w:type="auto"/>
            <w:gridSpan w:val="2"/>
            <w:shd w:val="clear" w:color="auto" w:fill="FFFFFF"/>
            <w:tcMar>
              <w:top w:w="40" w:type="dxa"/>
              <w:left w:w="20" w:type="dxa"/>
              <w:bottom w:w="40" w:type="dxa"/>
              <w:right w:w="0" w:type="dxa"/>
            </w:tcMar>
            <w:vAlign w:val="bottom"/>
          </w:tcPr>
          <w:p w14:paraId="71D4066D" w14:textId="77777777" w:rsidR="006A3667" w:rsidRDefault="00045F32">
            <w:pPr>
              <w:jc w:val="right"/>
              <w:textAlignment w:val="bottom"/>
            </w:pPr>
            <w:r>
              <w:rPr>
                <w:rFonts w:ascii="Arial" w:eastAsia="宋体" w:hAnsi="Arial" w:cs="Arial"/>
                <w:b/>
                <w:bCs/>
                <w:color w:val="000000"/>
                <w:sz w:val="13"/>
                <w:szCs w:val="13"/>
              </w:rPr>
              <w:t>172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66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6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70" w14:textId="77777777" w:rsidR="006A3667" w:rsidRDefault="00045F32">
            <w:pPr>
              <w:jc w:val="right"/>
              <w:textAlignment w:val="bottom"/>
            </w:pPr>
            <w:r>
              <w:rPr>
                <w:rFonts w:ascii="Arial" w:eastAsia="宋体" w:hAnsi="Arial" w:cs="Arial"/>
                <w:b/>
                <w:bCs/>
                <w:color w:val="000000"/>
                <w:sz w:val="13"/>
                <w:szCs w:val="13"/>
              </w:rPr>
              <w:t>1,607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67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7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73" w14:textId="77777777" w:rsidR="006A3667" w:rsidRDefault="00045F32">
            <w:pPr>
              <w:jc w:val="right"/>
              <w:textAlignment w:val="bottom"/>
            </w:pPr>
            <w:r>
              <w:rPr>
                <w:rFonts w:ascii="Arial" w:eastAsia="宋体" w:hAnsi="Arial" w:cs="Arial"/>
                <w:b/>
                <w:bCs/>
                <w:color w:val="000000"/>
                <w:sz w:val="13"/>
                <w:szCs w:val="13"/>
              </w:rPr>
              <w:t>1,779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6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7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76" w14:textId="77777777" w:rsidR="006A3667" w:rsidRDefault="00045F32">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677" w14:textId="77777777" w:rsidR="006A3667" w:rsidRDefault="006A3667">
            <w:pPr>
              <w:jc w:val="right"/>
              <w:rPr>
                <w:rFonts w:ascii="宋体"/>
              </w:rPr>
            </w:pPr>
          </w:p>
        </w:tc>
      </w:tr>
      <w:tr w:rsidR="006A3667" w14:paraId="71D40685" w14:textId="77777777">
        <w:tc>
          <w:tcPr>
            <w:tcW w:w="0" w:type="auto"/>
            <w:gridSpan w:val="3"/>
            <w:shd w:val="clear" w:color="auto" w:fill="CCEEFF"/>
            <w:tcMar>
              <w:top w:w="40" w:type="dxa"/>
              <w:left w:w="20" w:type="dxa"/>
              <w:bottom w:w="40" w:type="dxa"/>
              <w:right w:w="20" w:type="dxa"/>
            </w:tcMar>
            <w:vAlign w:val="bottom"/>
          </w:tcPr>
          <w:p w14:paraId="71D40679" w14:textId="77777777" w:rsidR="006A3667" w:rsidRDefault="00045F32">
            <w:pPr>
              <w:textAlignment w:val="bottom"/>
            </w:pPr>
            <w:r>
              <w:rPr>
                <w:rFonts w:ascii="Arial" w:eastAsia="宋体" w:hAnsi="Arial" w:cs="Arial"/>
                <w:color w:val="000000"/>
                <w:sz w:val="13"/>
                <w:szCs w:val="13"/>
              </w:rPr>
              <w:t>California</w:t>
            </w:r>
          </w:p>
        </w:tc>
        <w:tc>
          <w:tcPr>
            <w:tcW w:w="0" w:type="auto"/>
            <w:gridSpan w:val="2"/>
            <w:shd w:val="clear" w:color="auto" w:fill="CCEEFF"/>
            <w:tcMar>
              <w:top w:w="40" w:type="dxa"/>
              <w:left w:w="20" w:type="dxa"/>
              <w:bottom w:w="40" w:type="dxa"/>
              <w:right w:w="0" w:type="dxa"/>
            </w:tcMar>
            <w:vAlign w:val="bottom"/>
          </w:tcPr>
          <w:p w14:paraId="71D4067A" w14:textId="77777777" w:rsidR="006A3667" w:rsidRDefault="00045F32">
            <w:pPr>
              <w:jc w:val="right"/>
              <w:textAlignment w:val="bottom"/>
            </w:pPr>
            <w:r>
              <w:rPr>
                <w:rFonts w:ascii="Arial" w:eastAsia="宋体" w:hAnsi="Arial" w:cs="Arial"/>
                <w:b/>
                <w:bCs/>
                <w:color w:val="000000"/>
                <w:sz w:val="13"/>
                <w:szCs w:val="13"/>
              </w:rPr>
              <w:t>84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7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7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7D" w14:textId="77777777" w:rsidR="006A3667" w:rsidRDefault="00045F32">
            <w:pPr>
              <w:jc w:val="right"/>
              <w:textAlignment w:val="bottom"/>
            </w:pPr>
            <w:r>
              <w:rPr>
                <w:rFonts w:ascii="Arial" w:eastAsia="宋体" w:hAnsi="Arial" w:cs="Arial"/>
                <w:b/>
                <w:bCs/>
                <w:color w:val="000000"/>
                <w:sz w:val="13"/>
                <w:szCs w:val="13"/>
              </w:rPr>
              <w:t>1,297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7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80" w14:textId="77777777" w:rsidR="006A3667" w:rsidRDefault="00045F32">
            <w:pPr>
              <w:jc w:val="right"/>
              <w:textAlignment w:val="bottom"/>
            </w:pPr>
            <w:r>
              <w:rPr>
                <w:rFonts w:ascii="Arial" w:eastAsia="宋体" w:hAnsi="Arial" w:cs="Arial"/>
                <w:b/>
                <w:bCs/>
                <w:color w:val="000000"/>
                <w:sz w:val="13"/>
                <w:szCs w:val="13"/>
              </w:rPr>
              <w:t>1,381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8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83" w14:textId="77777777" w:rsidR="006A3667" w:rsidRDefault="00045F32">
            <w:pPr>
              <w:jc w:val="right"/>
              <w:textAlignment w:val="bottom"/>
            </w:pPr>
            <w:r>
              <w:rPr>
                <w:rFonts w:ascii="Arial" w:eastAsia="宋体" w:hAnsi="Arial" w:cs="Arial"/>
                <w:b/>
                <w:bCs/>
                <w:color w:val="000000"/>
                <w:sz w:val="13"/>
                <w:szCs w:val="13"/>
              </w:rPr>
              <w:t>16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84" w14:textId="77777777" w:rsidR="006A3667" w:rsidRDefault="006A3667">
            <w:pPr>
              <w:jc w:val="right"/>
              <w:rPr>
                <w:rFonts w:ascii="宋体"/>
              </w:rPr>
            </w:pPr>
          </w:p>
        </w:tc>
      </w:tr>
      <w:tr w:rsidR="006A3667" w14:paraId="71D40692" w14:textId="77777777">
        <w:tc>
          <w:tcPr>
            <w:tcW w:w="0" w:type="auto"/>
            <w:gridSpan w:val="3"/>
            <w:shd w:val="clear" w:color="auto" w:fill="FFFFFF"/>
            <w:tcMar>
              <w:top w:w="40" w:type="dxa"/>
              <w:left w:w="20" w:type="dxa"/>
              <w:bottom w:w="40" w:type="dxa"/>
              <w:right w:w="20" w:type="dxa"/>
            </w:tcMar>
            <w:vAlign w:val="bottom"/>
          </w:tcPr>
          <w:p w14:paraId="71D40686" w14:textId="77777777" w:rsidR="006A3667" w:rsidRDefault="00045F32">
            <w:pPr>
              <w:textAlignment w:val="bottom"/>
            </w:pPr>
            <w:r>
              <w:rPr>
                <w:rFonts w:ascii="Arial" w:eastAsia="宋体" w:hAnsi="Arial" w:cs="Arial"/>
                <w:color w:val="000000"/>
                <w:sz w:val="13"/>
                <w:szCs w:val="13"/>
              </w:rPr>
              <w:t>Tennessee</w:t>
            </w:r>
          </w:p>
        </w:tc>
        <w:tc>
          <w:tcPr>
            <w:tcW w:w="0" w:type="auto"/>
            <w:gridSpan w:val="2"/>
            <w:shd w:val="clear" w:color="auto" w:fill="FFFFFF"/>
            <w:tcMar>
              <w:top w:w="40" w:type="dxa"/>
              <w:left w:w="20" w:type="dxa"/>
              <w:bottom w:w="40" w:type="dxa"/>
              <w:right w:w="0" w:type="dxa"/>
            </w:tcMar>
            <w:vAlign w:val="bottom"/>
          </w:tcPr>
          <w:p w14:paraId="71D4068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68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8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8A" w14:textId="77777777" w:rsidR="006A3667" w:rsidRDefault="00045F32">
            <w:pPr>
              <w:jc w:val="right"/>
              <w:textAlignment w:val="bottom"/>
            </w:pPr>
            <w:r>
              <w:rPr>
                <w:rFonts w:ascii="Arial" w:eastAsia="宋体" w:hAnsi="Arial" w:cs="Arial"/>
                <w:b/>
                <w:bCs/>
                <w:color w:val="000000"/>
                <w:sz w:val="13"/>
                <w:szCs w:val="13"/>
              </w:rPr>
              <w:t>482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68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8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8D" w14:textId="77777777" w:rsidR="006A3667" w:rsidRDefault="00045F32">
            <w:pPr>
              <w:jc w:val="right"/>
              <w:textAlignment w:val="bottom"/>
            </w:pPr>
            <w:r>
              <w:rPr>
                <w:rFonts w:ascii="Arial" w:eastAsia="宋体" w:hAnsi="Arial" w:cs="Arial"/>
                <w:b/>
                <w:bCs/>
                <w:color w:val="000000"/>
                <w:sz w:val="13"/>
                <w:szCs w:val="13"/>
              </w:rPr>
              <w:t>482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68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8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90" w14:textId="77777777" w:rsidR="006A3667" w:rsidRDefault="00045F32">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691" w14:textId="77777777" w:rsidR="006A3667" w:rsidRDefault="006A3667">
            <w:pPr>
              <w:jc w:val="right"/>
              <w:rPr>
                <w:rFonts w:ascii="宋体"/>
              </w:rPr>
            </w:pPr>
          </w:p>
        </w:tc>
      </w:tr>
      <w:tr w:rsidR="006A3667" w14:paraId="71D4069F" w14:textId="77777777">
        <w:tc>
          <w:tcPr>
            <w:tcW w:w="0" w:type="auto"/>
            <w:gridSpan w:val="3"/>
            <w:shd w:val="clear" w:color="auto" w:fill="CCEEFF"/>
            <w:tcMar>
              <w:top w:w="40" w:type="dxa"/>
              <w:left w:w="20" w:type="dxa"/>
              <w:bottom w:w="40" w:type="dxa"/>
              <w:right w:w="20" w:type="dxa"/>
            </w:tcMar>
            <w:vAlign w:val="bottom"/>
          </w:tcPr>
          <w:p w14:paraId="71D40693" w14:textId="77777777" w:rsidR="006A3667" w:rsidRDefault="00045F32">
            <w:pPr>
              <w:textAlignment w:val="bottom"/>
            </w:pPr>
            <w:r>
              <w:rPr>
                <w:rFonts w:ascii="Arial" w:eastAsia="宋体" w:hAnsi="Arial" w:cs="Arial"/>
                <w:color w:val="000000"/>
                <w:sz w:val="13"/>
                <w:szCs w:val="13"/>
              </w:rPr>
              <w:t>Massachusetts</w:t>
            </w:r>
          </w:p>
        </w:tc>
        <w:tc>
          <w:tcPr>
            <w:tcW w:w="0" w:type="auto"/>
            <w:gridSpan w:val="2"/>
            <w:shd w:val="clear" w:color="auto" w:fill="CCEEFF"/>
            <w:tcMar>
              <w:top w:w="40" w:type="dxa"/>
              <w:left w:w="20" w:type="dxa"/>
              <w:bottom w:w="40" w:type="dxa"/>
              <w:right w:w="0" w:type="dxa"/>
            </w:tcMar>
            <w:vAlign w:val="bottom"/>
          </w:tcPr>
          <w:p w14:paraId="71D40694" w14:textId="77777777" w:rsidR="006A3667" w:rsidRDefault="00045F32">
            <w:pPr>
              <w:jc w:val="right"/>
              <w:textAlignment w:val="bottom"/>
            </w:pPr>
            <w:r>
              <w:rPr>
                <w:rFonts w:ascii="Arial" w:eastAsia="宋体" w:hAnsi="Arial" w:cs="Arial"/>
                <w:b/>
                <w:bCs/>
                <w:color w:val="000000"/>
                <w:sz w:val="13"/>
                <w:szCs w:val="13"/>
              </w:rPr>
              <w:t>178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9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9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97" w14:textId="77777777" w:rsidR="006A3667" w:rsidRDefault="00045F32">
            <w:pPr>
              <w:jc w:val="right"/>
              <w:textAlignment w:val="bottom"/>
            </w:pPr>
            <w:r>
              <w:rPr>
                <w:rFonts w:ascii="Arial" w:eastAsia="宋体" w:hAnsi="Arial" w:cs="Arial"/>
                <w:b/>
                <w:bCs/>
                <w:color w:val="000000"/>
                <w:sz w:val="13"/>
                <w:szCs w:val="13"/>
              </w:rPr>
              <w:t>252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9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9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9A" w14:textId="77777777" w:rsidR="006A3667" w:rsidRDefault="00045F32">
            <w:pPr>
              <w:jc w:val="right"/>
              <w:textAlignment w:val="bottom"/>
            </w:pPr>
            <w:r>
              <w:rPr>
                <w:rFonts w:ascii="Arial" w:eastAsia="宋体" w:hAnsi="Arial" w:cs="Arial"/>
                <w:b/>
                <w:bCs/>
                <w:color w:val="000000"/>
                <w:sz w:val="13"/>
                <w:szCs w:val="13"/>
              </w:rPr>
              <w:t>430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9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9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9D" w14:textId="77777777" w:rsidR="006A3667" w:rsidRDefault="00045F32">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69E" w14:textId="77777777" w:rsidR="006A3667" w:rsidRDefault="006A3667">
            <w:pPr>
              <w:jc w:val="right"/>
              <w:rPr>
                <w:rFonts w:ascii="宋体"/>
              </w:rPr>
            </w:pPr>
          </w:p>
        </w:tc>
      </w:tr>
      <w:tr w:rsidR="006A3667" w14:paraId="71D406A8" w14:textId="77777777">
        <w:trPr>
          <w:hidden/>
        </w:trPr>
        <w:tc>
          <w:tcPr>
            <w:tcW w:w="0" w:type="auto"/>
            <w:gridSpan w:val="3"/>
            <w:shd w:val="clear" w:color="auto" w:fill="auto"/>
            <w:vAlign w:val="bottom"/>
          </w:tcPr>
          <w:p w14:paraId="71D406A0" w14:textId="77777777" w:rsidR="006A3667" w:rsidRDefault="006A3667">
            <w:pPr>
              <w:rPr>
                <w:rFonts w:ascii="宋体"/>
                <w:vanish/>
              </w:rPr>
            </w:pPr>
          </w:p>
        </w:tc>
        <w:tc>
          <w:tcPr>
            <w:tcW w:w="0" w:type="auto"/>
            <w:gridSpan w:val="3"/>
            <w:shd w:val="clear" w:color="auto" w:fill="auto"/>
            <w:vAlign w:val="bottom"/>
          </w:tcPr>
          <w:p w14:paraId="71D406A1" w14:textId="77777777" w:rsidR="006A3667" w:rsidRDefault="006A3667">
            <w:pPr>
              <w:rPr>
                <w:rFonts w:ascii="宋体"/>
                <w:vanish/>
              </w:rPr>
            </w:pPr>
          </w:p>
        </w:tc>
        <w:tc>
          <w:tcPr>
            <w:tcW w:w="0" w:type="auto"/>
            <w:gridSpan w:val="3"/>
            <w:shd w:val="clear" w:color="auto" w:fill="auto"/>
            <w:vAlign w:val="bottom"/>
          </w:tcPr>
          <w:p w14:paraId="71D406A2" w14:textId="77777777" w:rsidR="006A3667" w:rsidRDefault="006A3667">
            <w:pPr>
              <w:rPr>
                <w:rFonts w:ascii="宋体"/>
                <w:vanish/>
              </w:rPr>
            </w:pPr>
          </w:p>
        </w:tc>
        <w:tc>
          <w:tcPr>
            <w:tcW w:w="0" w:type="auto"/>
            <w:gridSpan w:val="3"/>
            <w:shd w:val="clear" w:color="auto" w:fill="auto"/>
            <w:vAlign w:val="bottom"/>
          </w:tcPr>
          <w:p w14:paraId="71D406A3" w14:textId="77777777" w:rsidR="006A3667" w:rsidRDefault="006A3667">
            <w:pPr>
              <w:rPr>
                <w:rFonts w:ascii="宋体"/>
                <w:vanish/>
              </w:rPr>
            </w:pPr>
          </w:p>
        </w:tc>
        <w:tc>
          <w:tcPr>
            <w:tcW w:w="0" w:type="auto"/>
            <w:gridSpan w:val="3"/>
            <w:shd w:val="clear" w:color="auto" w:fill="auto"/>
            <w:vAlign w:val="bottom"/>
          </w:tcPr>
          <w:p w14:paraId="71D406A4" w14:textId="77777777" w:rsidR="006A3667" w:rsidRDefault="006A3667">
            <w:pPr>
              <w:rPr>
                <w:rFonts w:ascii="宋体"/>
                <w:vanish/>
              </w:rPr>
            </w:pPr>
          </w:p>
        </w:tc>
        <w:tc>
          <w:tcPr>
            <w:tcW w:w="0" w:type="auto"/>
            <w:gridSpan w:val="3"/>
            <w:shd w:val="clear" w:color="auto" w:fill="auto"/>
            <w:vAlign w:val="bottom"/>
          </w:tcPr>
          <w:p w14:paraId="71D406A5" w14:textId="77777777" w:rsidR="006A3667" w:rsidRDefault="006A3667">
            <w:pPr>
              <w:rPr>
                <w:rFonts w:ascii="宋体"/>
                <w:vanish/>
              </w:rPr>
            </w:pPr>
          </w:p>
        </w:tc>
        <w:tc>
          <w:tcPr>
            <w:tcW w:w="0" w:type="auto"/>
            <w:gridSpan w:val="3"/>
            <w:shd w:val="clear" w:color="auto" w:fill="auto"/>
            <w:vAlign w:val="bottom"/>
          </w:tcPr>
          <w:p w14:paraId="71D406A6" w14:textId="77777777" w:rsidR="006A3667" w:rsidRDefault="006A3667">
            <w:pPr>
              <w:rPr>
                <w:rFonts w:ascii="宋体"/>
                <w:vanish/>
              </w:rPr>
            </w:pPr>
          </w:p>
        </w:tc>
        <w:tc>
          <w:tcPr>
            <w:tcW w:w="0" w:type="auto"/>
            <w:gridSpan w:val="3"/>
            <w:shd w:val="clear" w:color="auto" w:fill="auto"/>
            <w:vAlign w:val="bottom"/>
          </w:tcPr>
          <w:p w14:paraId="71D406A7" w14:textId="77777777" w:rsidR="006A3667" w:rsidRDefault="006A3667">
            <w:pPr>
              <w:rPr>
                <w:rFonts w:ascii="宋体"/>
                <w:vanish/>
              </w:rPr>
            </w:pPr>
          </w:p>
        </w:tc>
      </w:tr>
      <w:tr w:rsidR="006A3667" w14:paraId="71D406B7" w14:textId="77777777">
        <w:tc>
          <w:tcPr>
            <w:tcW w:w="0" w:type="auto"/>
            <w:gridSpan w:val="3"/>
            <w:shd w:val="clear" w:color="auto" w:fill="FFFFFF"/>
            <w:tcMar>
              <w:top w:w="40" w:type="dxa"/>
              <w:left w:w="20" w:type="dxa"/>
              <w:bottom w:w="40" w:type="dxa"/>
              <w:right w:w="20" w:type="dxa"/>
            </w:tcMar>
            <w:vAlign w:val="bottom"/>
          </w:tcPr>
          <w:p w14:paraId="71D406A9" w14:textId="77777777" w:rsidR="006A3667" w:rsidRDefault="00045F32">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06AA"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6AB" w14:textId="77777777" w:rsidR="006A3667" w:rsidRDefault="00045F32">
            <w:pPr>
              <w:jc w:val="right"/>
              <w:textAlignment w:val="bottom"/>
            </w:pPr>
            <w:r>
              <w:rPr>
                <w:rFonts w:ascii="Arial" w:eastAsia="宋体" w:hAnsi="Arial" w:cs="Arial"/>
                <w:b/>
                <w:bCs/>
                <w:color w:val="000000"/>
                <w:sz w:val="13"/>
                <w:szCs w:val="13"/>
              </w:rPr>
              <w:t>612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6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AD"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6AE"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6AF" w14:textId="77777777" w:rsidR="006A3667" w:rsidRDefault="00045F32">
            <w:pPr>
              <w:jc w:val="right"/>
              <w:textAlignment w:val="bottom"/>
            </w:pPr>
            <w:r>
              <w:rPr>
                <w:rFonts w:ascii="Arial" w:eastAsia="宋体" w:hAnsi="Arial" w:cs="Arial"/>
                <w:b/>
                <w:bCs/>
                <w:color w:val="000000"/>
                <w:sz w:val="13"/>
                <w:szCs w:val="13"/>
              </w:rPr>
              <w:t>5,964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6B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B1"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6B2"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6B3" w14:textId="77777777" w:rsidR="006A3667" w:rsidRDefault="00045F32">
            <w:pPr>
              <w:jc w:val="right"/>
              <w:textAlignment w:val="bottom"/>
            </w:pPr>
            <w:r>
              <w:rPr>
                <w:rFonts w:ascii="Arial" w:eastAsia="宋体" w:hAnsi="Arial" w:cs="Arial"/>
                <w:b/>
                <w:bCs/>
                <w:color w:val="000000"/>
                <w:sz w:val="13"/>
                <w:szCs w:val="13"/>
              </w:rPr>
              <w:t>6,576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6B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B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6B6" w14:textId="77777777" w:rsidR="006A3667" w:rsidRDefault="006A3667">
            <w:pPr>
              <w:rPr>
                <w:rFonts w:ascii="宋体"/>
              </w:rPr>
            </w:pPr>
          </w:p>
        </w:tc>
      </w:tr>
      <w:tr w:rsidR="006A3667" w14:paraId="71D406C0" w14:textId="77777777">
        <w:trPr>
          <w:trHeight w:val="60"/>
        </w:trPr>
        <w:tc>
          <w:tcPr>
            <w:tcW w:w="0" w:type="auto"/>
            <w:gridSpan w:val="3"/>
            <w:shd w:val="clear" w:color="auto" w:fill="auto"/>
            <w:tcMar>
              <w:top w:w="0" w:type="dxa"/>
              <w:left w:w="20" w:type="dxa"/>
              <w:bottom w:w="0" w:type="dxa"/>
              <w:right w:w="20" w:type="dxa"/>
            </w:tcMar>
            <w:vAlign w:val="bottom"/>
          </w:tcPr>
          <w:p w14:paraId="71D406B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6B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BA"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6B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BC"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6B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B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BF" w14:textId="77777777" w:rsidR="006A3667" w:rsidRDefault="006A3667">
            <w:pPr>
              <w:rPr>
                <w:rFonts w:ascii="宋体"/>
              </w:rPr>
            </w:pPr>
          </w:p>
        </w:tc>
      </w:tr>
      <w:tr w:rsidR="006A3667" w14:paraId="71D406C8" w14:textId="77777777">
        <w:tc>
          <w:tcPr>
            <w:tcW w:w="0" w:type="auto"/>
            <w:gridSpan w:val="6"/>
            <w:shd w:val="clear" w:color="auto" w:fill="auto"/>
            <w:tcMar>
              <w:top w:w="40" w:type="dxa"/>
              <w:left w:w="20" w:type="dxa"/>
              <w:bottom w:w="40" w:type="dxa"/>
              <w:right w:w="20" w:type="dxa"/>
            </w:tcMar>
            <w:vAlign w:val="bottom"/>
          </w:tcPr>
          <w:p w14:paraId="71D406C1" w14:textId="77777777" w:rsidR="006A3667" w:rsidRDefault="00045F32">
            <w:pPr>
              <w:textAlignment w:val="bottom"/>
            </w:pPr>
            <w:r>
              <w:rPr>
                <w:rFonts w:ascii="Arial" w:eastAsia="宋体" w:hAnsi="Arial" w:cs="Arial"/>
                <w:b/>
                <w:bCs/>
                <w:color w:val="000000"/>
                <w:sz w:val="13"/>
                <w:szCs w:val="13"/>
              </w:rPr>
              <w:t>December 31, 2021</w:t>
            </w:r>
          </w:p>
        </w:tc>
        <w:tc>
          <w:tcPr>
            <w:tcW w:w="0" w:type="auto"/>
            <w:gridSpan w:val="3"/>
            <w:shd w:val="clear" w:color="auto" w:fill="auto"/>
            <w:tcMar>
              <w:top w:w="0" w:type="dxa"/>
              <w:left w:w="20" w:type="dxa"/>
              <w:bottom w:w="0" w:type="dxa"/>
              <w:right w:w="20" w:type="dxa"/>
            </w:tcMar>
            <w:vAlign w:val="bottom"/>
          </w:tcPr>
          <w:p w14:paraId="71D406C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C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C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C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C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6C7" w14:textId="77777777" w:rsidR="006A3667" w:rsidRDefault="006A3667">
            <w:pPr>
              <w:rPr>
                <w:rFonts w:ascii="宋体"/>
              </w:rPr>
            </w:pPr>
          </w:p>
        </w:tc>
      </w:tr>
      <w:tr w:rsidR="006A3667" w14:paraId="71D406D1" w14:textId="77777777">
        <w:tc>
          <w:tcPr>
            <w:tcW w:w="0" w:type="auto"/>
            <w:gridSpan w:val="3"/>
            <w:shd w:val="clear" w:color="auto" w:fill="FFFFFF"/>
            <w:tcMar>
              <w:top w:w="40" w:type="dxa"/>
              <w:left w:w="20" w:type="dxa"/>
              <w:bottom w:w="40" w:type="dxa"/>
              <w:right w:w="20" w:type="dxa"/>
            </w:tcMar>
            <w:vAlign w:val="bottom"/>
          </w:tcPr>
          <w:p w14:paraId="71D406C9" w14:textId="77777777" w:rsidR="006A3667" w:rsidRDefault="00045F32">
            <w:pPr>
              <w:jc w:val="both"/>
              <w:textAlignment w:val="bottom"/>
            </w:pPr>
            <w:r>
              <w:rPr>
                <w:rFonts w:ascii="Arial" w:eastAsia="宋体" w:hAnsi="Arial" w:cs="Arial"/>
                <w:b/>
                <w:bCs/>
                <w:color w:val="000000"/>
                <w:sz w:val="13"/>
                <w:szCs w:val="13"/>
              </w:rPr>
              <w:t>State of Issuer:</w:t>
            </w:r>
          </w:p>
        </w:tc>
        <w:tc>
          <w:tcPr>
            <w:tcW w:w="0" w:type="auto"/>
            <w:gridSpan w:val="3"/>
            <w:shd w:val="clear" w:color="auto" w:fill="FFFFFF"/>
            <w:tcMar>
              <w:top w:w="0" w:type="dxa"/>
              <w:left w:w="20" w:type="dxa"/>
              <w:bottom w:w="0" w:type="dxa"/>
              <w:right w:w="20" w:type="dxa"/>
            </w:tcMar>
            <w:vAlign w:val="bottom"/>
          </w:tcPr>
          <w:p w14:paraId="71D406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6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6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6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6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6C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6D0" w14:textId="77777777" w:rsidR="006A3667" w:rsidRDefault="006A3667">
            <w:pPr>
              <w:rPr>
                <w:rFonts w:ascii="宋体"/>
              </w:rPr>
            </w:pPr>
          </w:p>
        </w:tc>
      </w:tr>
      <w:tr w:rsidR="006A3667" w14:paraId="71D406E1" w14:textId="77777777">
        <w:tc>
          <w:tcPr>
            <w:tcW w:w="0" w:type="auto"/>
            <w:gridSpan w:val="3"/>
            <w:shd w:val="clear" w:color="auto" w:fill="CCEEFF"/>
            <w:tcMar>
              <w:top w:w="40" w:type="dxa"/>
              <w:left w:w="20" w:type="dxa"/>
              <w:bottom w:w="40" w:type="dxa"/>
              <w:right w:w="20" w:type="dxa"/>
            </w:tcMar>
            <w:vAlign w:val="bottom"/>
          </w:tcPr>
          <w:p w14:paraId="71D406D2" w14:textId="77777777" w:rsidR="006A3667" w:rsidRDefault="00045F32">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71D406D3"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6D4" w14:textId="77777777" w:rsidR="006A3667" w:rsidRDefault="00045F32">
            <w:pPr>
              <w:jc w:val="right"/>
              <w:textAlignment w:val="bottom"/>
            </w:pPr>
            <w:r>
              <w:rPr>
                <w:rFonts w:ascii="Arial" w:eastAsia="宋体" w:hAnsi="Arial" w:cs="Arial"/>
                <w:color w:val="000000"/>
                <w:sz w:val="13"/>
                <w:szCs w:val="13"/>
              </w:rPr>
              <w:t>221 </w:t>
            </w:r>
          </w:p>
        </w:tc>
        <w:tc>
          <w:tcPr>
            <w:tcW w:w="0" w:type="auto"/>
            <w:shd w:val="clear" w:color="auto" w:fill="CCEEFF"/>
            <w:tcMar>
              <w:top w:w="40" w:type="dxa"/>
              <w:left w:w="0" w:type="dxa"/>
              <w:bottom w:w="40" w:type="dxa"/>
              <w:right w:w="20" w:type="dxa"/>
            </w:tcMar>
            <w:vAlign w:val="bottom"/>
          </w:tcPr>
          <w:p w14:paraId="71D406D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D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6D7"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6D8" w14:textId="77777777" w:rsidR="006A3667" w:rsidRDefault="00045F32">
            <w:pPr>
              <w:jc w:val="right"/>
              <w:textAlignment w:val="bottom"/>
            </w:pPr>
            <w:r>
              <w:rPr>
                <w:rFonts w:ascii="Arial" w:eastAsia="宋体" w:hAnsi="Arial" w:cs="Arial"/>
                <w:color w:val="000000"/>
                <w:sz w:val="13"/>
                <w:szCs w:val="13"/>
              </w:rPr>
              <w:t>2,357 </w:t>
            </w:r>
          </w:p>
        </w:tc>
        <w:tc>
          <w:tcPr>
            <w:tcW w:w="0" w:type="auto"/>
            <w:shd w:val="clear" w:color="auto" w:fill="CCEEFF"/>
            <w:tcMar>
              <w:top w:w="40" w:type="dxa"/>
              <w:left w:w="0" w:type="dxa"/>
              <w:bottom w:w="40" w:type="dxa"/>
              <w:right w:w="20" w:type="dxa"/>
            </w:tcMar>
            <w:vAlign w:val="bottom"/>
          </w:tcPr>
          <w:p w14:paraId="71D406D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D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6DB"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6DC" w14:textId="77777777" w:rsidR="006A3667" w:rsidRDefault="00045F32">
            <w:pPr>
              <w:jc w:val="right"/>
              <w:textAlignment w:val="bottom"/>
            </w:pPr>
            <w:r>
              <w:rPr>
                <w:rFonts w:ascii="Arial" w:eastAsia="宋体" w:hAnsi="Arial" w:cs="Arial"/>
                <w:color w:val="000000"/>
                <w:sz w:val="13"/>
                <w:szCs w:val="13"/>
              </w:rPr>
              <w:t>2,578 </w:t>
            </w:r>
          </w:p>
        </w:tc>
        <w:tc>
          <w:tcPr>
            <w:tcW w:w="0" w:type="auto"/>
            <w:shd w:val="clear" w:color="auto" w:fill="CCEEFF"/>
            <w:tcMar>
              <w:top w:w="40" w:type="dxa"/>
              <w:left w:w="0" w:type="dxa"/>
              <w:bottom w:w="40" w:type="dxa"/>
              <w:right w:w="20" w:type="dxa"/>
            </w:tcMar>
            <w:vAlign w:val="bottom"/>
          </w:tcPr>
          <w:p w14:paraId="71D406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D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DF" w14:textId="77777777" w:rsidR="006A3667" w:rsidRDefault="00045F32">
            <w:pPr>
              <w:jc w:val="right"/>
              <w:textAlignment w:val="bottom"/>
            </w:pPr>
            <w:r>
              <w:rPr>
                <w:rFonts w:ascii="Arial" w:eastAsia="宋体" w:hAnsi="Arial" w:cs="Arial"/>
                <w:color w:val="000000"/>
                <w:sz w:val="13"/>
                <w:szCs w:val="13"/>
              </w:rPr>
              <w:t>25 </w:t>
            </w:r>
          </w:p>
        </w:tc>
        <w:tc>
          <w:tcPr>
            <w:tcW w:w="0" w:type="auto"/>
            <w:shd w:val="clear" w:color="auto" w:fill="CCEEFF"/>
            <w:tcMar>
              <w:top w:w="40" w:type="dxa"/>
              <w:left w:w="0" w:type="dxa"/>
              <w:bottom w:w="40" w:type="dxa"/>
              <w:right w:w="20" w:type="dxa"/>
            </w:tcMar>
            <w:vAlign w:val="bottom"/>
          </w:tcPr>
          <w:p w14:paraId="71D406E0" w14:textId="77777777" w:rsidR="006A3667" w:rsidRDefault="00045F32">
            <w:pPr>
              <w:jc w:val="right"/>
              <w:textAlignment w:val="bottom"/>
            </w:pPr>
            <w:r>
              <w:rPr>
                <w:rFonts w:ascii="Arial" w:eastAsia="宋体" w:hAnsi="Arial" w:cs="Arial"/>
                <w:color w:val="000000"/>
                <w:sz w:val="13"/>
                <w:szCs w:val="13"/>
              </w:rPr>
              <w:t>%</w:t>
            </w:r>
          </w:p>
        </w:tc>
      </w:tr>
      <w:tr w:rsidR="006A3667" w14:paraId="71D406EE" w14:textId="77777777">
        <w:tc>
          <w:tcPr>
            <w:tcW w:w="0" w:type="auto"/>
            <w:gridSpan w:val="3"/>
            <w:shd w:val="clear" w:color="auto" w:fill="FFFFFF"/>
            <w:tcMar>
              <w:top w:w="40" w:type="dxa"/>
              <w:left w:w="20" w:type="dxa"/>
              <w:bottom w:w="40" w:type="dxa"/>
              <w:right w:w="20" w:type="dxa"/>
            </w:tcMar>
            <w:vAlign w:val="bottom"/>
          </w:tcPr>
          <w:p w14:paraId="71D406E2" w14:textId="77777777" w:rsidR="006A3667" w:rsidRDefault="00045F32">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71D406E3" w14:textId="77777777" w:rsidR="006A3667" w:rsidRDefault="00045F32">
            <w:pPr>
              <w:jc w:val="right"/>
              <w:textAlignment w:val="bottom"/>
            </w:pPr>
            <w:r>
              <w:rPr>
                <w:rFonts w:ascii="Arial" w:eastAsia="宋体" w:hAnsi="Arial" w:cs="Arial"/>
                <w:color w:val="000000"/>
                <w:sz w:val="13"/>
                <w:szCs w:val="13"/>
              </w:rPr>
              <w:t>108 </w:t>
            </w:r>
          </w:p>
        </w:tc>
        <w:tc>
          <w:tcPr>
            <w:tcW w:w="0" w:type="auto"/>
            <w:shd w:val="clear" w:color="auto" w:fill="FFFFFF"/>
            <w:tcMar>
              <w:top w:w="40" w:type="dxa"/>
              <w:left w:w="0" w:type="dxa"/>
              <w:bottom w:w="40" w:type="dxa"/>
              <w:right w:w="20" w:type="dxa"/>
            </w:tcMar>
            <w:vAlign w:val="bottom"/>
          </w:tcPr>
          <w:p w14:paraId="71D406E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E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E6" w14:textId="77777777" w:rsidR="006A3667" w:rsidRDefault="00045F32">
            <w:pPr>
              <w:jc w:val="right"/>
              <w:textAlignment w:val="bottom"/>
            </w:pPr>
            <w:r>
              <w:rPr>
                <w:rFonts w:ascii="Arial" w:eastAsia="宋体" w:hAnsi="Arial" w:cs="Arial"/>
                <w:color w:val="000000"/>
                <w:sz w:val="13"/>
                <w:szCs w:val="13"/>
              </w:rPr>
              <w:t>2,005 </w:t>
            </w:r>
          </w:p>
        </w:tc>
        <w:tc>
          <w:tcPr>
            <w:tcW w:w="0" w:type="auto"/>
            <w:shd w:val="clear" w:color="auto" w:fill="FFFFFF"/>
            <w:tcMar>
              <w:top w:w="40" w:type="dxa"/>
              <w:left w:w="0" w:type="dxa"/>
              <w:bottom w:w="40" w:type="dxa"/>
              <w:right w:w="20" w:type="dxa"/>
            </w:tcMar>
            <w:vAlign w:val="bottom"/>
          </w:tcPr>
          <w:p w14:paraId="71D406E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E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E9" w14:textId="77777777" w:rsidR="006A3667" w:rsidRDefault="00045F32">
            <w:pPr>
              <w:jc w:val="right"/>
              <w:textAlignment w:val="bottom"/>
            </w:pPr>
            <w:r>
              <w:rPr>
                <w:rFonts w:ascii="Arial" w:eastAsia="宋体" w:hAnsi="Arial" w:cs="Arial"/>
                <w:color w:val="000000"/>
                <w:sz w:val="13"/>
                <w:szCs w:val="13"/>
              </w:rPr>
              <w:t>2,113 </w:t>
            </w:r>
          </w:p>
        </w:tc>
        <w:tc>
          <w:tcPr>
            <w:tcW w:w="0" w:type="auto"/>
            <w:shd w:val="clear" w:color="auto" w:fill="FFFFFF"/>
            <w:tcMar>
              <w:top w:w="40" w:type="dxa"/>
              <w:left w:w="0" w:type="dxa"/>
              <w:bottom w:w="40" w:type="dxa"/>
              <w:right w:w="20" w:type="dxa"/>
            </w:tcMar>
            <w:vAlign w:val="bottom"/>
          </w:tcPr>
          <w:p w14:paraId="71D406E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E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6EC" w14:textId="77777777" w:rsidR="006A3667" w:rsidRDefault="00045F32">
            <w:pPr>
              <w:jc w:val="right"/>
              <w:textAlignment w:val="bottom"/>
            </w:pPr>
            <w:r>
              <w:rPr>
                <w:rFonts w:ascii="Arial" w:eastAsia="宋体" w:hAnsi="Arial" w:cs="Arial"/>
                <w:color w:val="000000"/>
                <w:sz w:val="13"/>
                <w:szCs w:val="13"/>
              </w:rPr>
              <w:t>21 </w:t>
            </w:r>
          </w:p>
        </w:tc>
        <w:tc>
          <w:tcPr>
            <w:tcW w:w="0" w:type="auto"/>
            <w:shd w:val="clear" w:color="auto" w:fill="FFFFFF"/>
            <w:tcMar>
              <w:top w:w="40" w:type="dxa"/>
              <w:left w:w="0" w:type="dxa"/>
              <w:bottom w:w="40" w:type="dxa"/>
              <w:right w:w="20" w:type="dxa"/>
            </w:tcMar>
            <w:vAlign w:val="bottom"/>
          </w:tcPr>
          <w:p w14:paraId="71D406ED" w14:textId="77777777" w:rsidR="006A3667" w:rsidRDefault="006A3667">
            <w:pPr>
              <w:jc w:val="right"/>
              <w:rPr>
                <w:rFonts w:ascii="宋体"/>
              </w:rPr>
            </w:pPr>
          </w:p>
        </w:tc>
      </w:tr>
      <w:tr w:rsidR="006A3667" w14:paraId="71D406FB" w14:textId="77777777">
        <w:tc>
          <w:tcPr>
            <w:tcW w:w="0" w:type="auto"/>
            <w:gridSpan w:val="3"/>
            <w:shd w:val="clear" w:color="auto" w:fill="CCEEFF"/>
            <w:tcMar>
              <w:top w:w="40" w:type="dxa"/>
              <w:left w:w="20" w:type="dxa"/>
              <w:bottom w:w="40" w:type="dxa"/>
              <w:right w:w="20" w:type="dxa"/>
            </w:tcMar>
            <w:vAlign w:val="bottom"/>
          </w:tcPr>
          <w:p w14:paraId="71D406EF" w14:textId="77777777" w:rsidR="006A3667" w:rsidRDefault="00045F32">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71D406F0" w14:textId="77777777" w:rsidR="006A3667" w:rsidRDefault="00045F32">
            <w:pPr>
              <w:jc w:val="right"/>
              <w:textAlignment w:val="bottom"/>
            </w:pPr>
            <w:r>
              <w:rPr>
                <w:rFonts w:ascii="Arial" w:eastAsia="宋体" w:hAnsi="Arial" w:cs="Arial"/>
                <w:color w:val="000000"/>
                <w:sz w:val="13"/>
                <w:szCs w:val="13"/>
              </w:rPr>
              <w:t>271 </w:t>
            </w:r>
          </w:p>
        </w:tc>
        <w:tc>
          <w:tcPr>
            <w:tcW w:w="0" w:type="auto"/>
            <w:shd w:val="clear" w:color="auto" w:fill="CCEEFF"/>
            <w:tcMar>
              <w:top w:w="40" w:type="dxa"/>
              <w:left w:w="0" w:type="dxa"/>
              <w:bottom w:w="40" w:type="dxa"/>
              <w:right w:w="20" w:type="dxa"/>
            </w:tcMar>
            <w:vAlign w:val="bottom"/>
          </w:tcPr>
          <w:p w14:paraId="71D406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F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F3" w14:textId="77777777" w:rsidR="006A3667" w:rsidRDefault="00045F32">
            <w:pPr>
              <w:jc w:val="right"/>
              <w:textAlignment w:val="bottom"/>
            </w:pPr>
            <w:r>
              <w:rPr>
                <w:rFonts w:ascii="Arial" w:eastAsia="宋体" w:hAnsi="Arial" w:cs="Arial"/>
                <w:color w:val="000000"/>
                <w:sz w:val="13"/>
                <w:szCs w:val="13"/>
              </w:rPr>
              <w:t>1,112 </w:t>
            </w:r>
          </w:p>
        </w:tc>
        <w:tc>
          <w:tcPr>
            <w:tcW w:w="0" w:type="auto"/>
            <w:shd w:val="clear" w:color="auto" w:fill="CCEEFF"/>
            <w:tcMar>
              <w:top w:w="40" w:type="dxa"/>
              <w:left w:w="0" w:type="dxa"/>
              <w:bottom w:w="40" w:type="dxa"/>
              <w:right w:w="20" w:type="dxa"/>
            </w:tcMar>
            <w:vAlign w:val="bottom"/>
          </w:tcPr>
          <w:p w14:paraId="71D406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F6" w14:textId="77777777" w:rsidR="006A3667" w:rsidRDefault="00045F32">
            <w:pPr>
              <w:jc w:val="right"/>
              <w:textAlignment w:val="bottom"/>
            </w:pPr>
            <w:r>
              <w:rPr>
                <w:rFonts w:ascii="Arial" w:eastAsia="宋体" w:hAnsi="Arial" w:cs="Arial"/>
                <w:color w:val="000000"/>
                <w:sz w:val="13"/>
                <w:szCs w:val="13"/>
              </w:rPr>
              <w:t>1,383 </w:t>
            </w:r>
          </w:p>
        </w:tc>
        <w:tc>
          <w:tcPr>
            <w:tcW w:w="0" w:type="auto"/>
            <w:shd w:val="clear" w:color="auto" w:fill="CCEEFF"/>
            <w:tcMar>
              <w:top w:w="40" w:type="dxa"/>
              <w:left w:w="0" w:type="dxa"/>
              <w:bottom w:w="40" w:type="dxa"/>
              <w:right w:w="20" w:type="dxa"/>
            </w:tcMar>
            <w:vAlign w:val="bottom"/>
          </w:tcPr>
          <w:p w14:paraId="71D406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6F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6F9" w14:textId="77777777" w:rsidR="006A3667" w:rsidRDefault="00045F32">
            <w:pPr>
              <w:jc w:val="right"/>
              <w:textAlignment w:val="bottom"/>
            </w:pPr>
            <w:r>
              <w:rPr>
                <w:rFonts w:ascii="Arial" w:eastAsia="宋体" w:hAnsi="Arial" w:cs="Arial"/>
                <w:color w:val="000000"/>
                <w:sz w:val="13"/>
                <w:szCs w:val="13"/>
              </w:rPr>
              <w:t>14 </w:t>
            </w:r>
          </w:p>
        </w:tc>
        <w:tc>
          <w:tcPr>
            <w:tcW w:w="0" w:type="auto"/>
            <w:shd w:val="clear" w:color="auto" w:fill="CCEEFF"/>
            <w:tcMar>
              <w:top w:w="40" w:type="dxa"/>
              <w:left w:w="0" w:type="dxa"/>
              <w:bottom w:w="40" w:type="dxa"/>
              <w:right w:w="20" w:type="dxa"/>
            </w:tcMar>
            <w:vAlign w:val="bottom"/>
          </w:tcPr>
          <w:p w14:paraId="71D406FA" w14:textId="77777777" w:rsidR="006A3667" w:rsidRDefault="006A3667">
            <w:pPr>
              <w:jc w:val="right"/>
              <w:rPr>
                <w:rFonts w:ascii="宋体"/>
              </w:rPr>
            </w:pPr>
          </w:p>
        </w:tc>
      </w:tr>
      <w:tr w:rsidR="006A3667" w14:paraId="71D40708" w14:textId="77777777">
        <w:tc>
          <w:tcPr>
            <w:tcW w:w="0" w:type="auto"/>
            <w:gridSpan w:val="3"/>
            <w:shd w:val="clear" w:color="auto" w:fill="FFFFFF"/>
            <w:tcMar>
              <w:top w:w="40" w:type="dxa"/>
              <w:left w:w="20" w:type="dxa"/>
              <w:bottom w:w="40" w:type="dxa"/>
              <w:right w:w="20" w:type="dxa"/>
            </w:tcMar>
            <w:vAlign w:val="bottom"/>
          </w:tcPr>
          <w:p w14:paraId="71D406FC" w14:textId="77777777" w:rsidR="006A3667" w:rsidRDefault="00045F32">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71D406FD" w14:textId="77777777" w:rsidR="006A3667" w:rsidRDefault="00045F32">
            <w:pPr>
              <w:jc w:val="right"/>
              <w:textAlignment w:val="bottom"/>
            </w:pPr>
            <w:r>
              <w:rPr>
                <w:rFonts w:ascii="Arial" w:eastAsia="宋体" w:hAnsi="Arial" w:cs="Arial"/>
                <w:color w:val="000000"/>
                <w:sz w:val="13"/>
                <w:szCs w:val="13"/>
              </w:rPr>
              <w:t>245 </w:t>
            </w:r>
          </w:p>
        </w:tc>
        <w:tc>
          <w:tcPr>
            <w:tcW w:w="0" w:type="auto"/>
            <w:shd w:val="clear" w:color="auto" w:fill="FFFFFF"/>
            <w:tcMar>
              <w:top w:w="40" w:type="dxa"/>
              <w:left w:w="0" w:type="dxa"/>
              <w:bottom w:w="40" w:type="dxa"/>
              <w:right w:w="20" w:type="dxa"/>
            </w:tcMar>
            <w:vAlign w:val="bottom"/>
          </w:tcPr>
          <w:p w14:paraId="71D406F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6F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700" w14:textId="77777777" w:rsidR="006A3667" w:rsidRDefault="00045F32">
            <w:pPr>
              <w:jc w:val="right"/>
              <w:textAlignment w:val="bottom"/>
            </w:pPr>
            <w:r>
              <w:rPr>
                <w:rFonts w:ascii="Arial" w:eastAsia="宋体" w:hAnsi="Arial" w:cs="Arial"/>
                <w:color w:val="000000"/>
                <w:sz w:val="13"/>
                <w:szCs w:val="13"/>
              </w:rPr>
              <w:t>696 </w:t>
            </w:r>
          </w:p>
        </w:tc>
        <w:tc>
          <w:tcPr>
            <w:tcW w:w="0" w:type="auto"/>
            <w:shd w:val="clear" w:color="auto" w:fill="FFFFFF"/>
            <w:tcMar>
              <w:top w:w="40" w:type="dxa"/>
              <w:left w:w="0" w:type="dxa"/>
              <w:bottom w:w="40" w:type="dxa"/>
              <w:right w:w="20" w:type="dxa"/>
            </w:tcMar>
            <w:vAlign w:val="bottom"/>
          </w:tcPr>
          <w:p w14:paraId="71D4070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70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703" w14:textId="77777777" w:rsidR="006A3667" w:rsidRDefault="00045F32">
            <w:pPr>
              <w:jc w:val="right"/>
              <w:textAlignment w:val="bottom"/>
            </w:pPr>
            <w:r>
              <w:rPr>
                <w:rFonts w:ascii="Arial" w:eastAsia="宋体" w:hAnsi="Arial" w:cs="Arial"/>
                <w:color w:val="000000"/>
                <w:sz w:val="13"/>
                <w:szCs w:val="13"/>
              </w:rPr>
              <w:t>941 </w:t>
            </w:r>
          </w:p>
        </w:tc>
        <w:tc>
          <w:tcPr>
            <w:tcW w:w="0" w:type="auto"/>
            <w:shd w:val="clear" w:color="auto" w:fill="FFFFFF"/>
            <w:tcMar>
              <w:top w:w="40" w:type="dxa"/>
              <w:left w:w="0" w:type="dxa"/>
              <w:bottom w:w="40" w:type="dxa"/>
              <w:right w:w="20" w:type="dxa"/>
            </w:tcMar>
            <w:vAlign w:val="bottom"/>
          </w:tcPr>
          <w:p w14:paraId="71D407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7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706" w14:textId="77777777" w:rsidR="006A3667" w:rsidRDefault="00045F32">
            <w:pPr>
              <w:jc w:val="right"/>
              <w:textAlignment w:val="bottom"/>
            </w:pPr>
            <w:r>
              <w:rPr>
                <w:rFonts w:ascii="Arial" w:eastAsia="宋体" w:hAnsi="Arial" w:cs="Arial"/>
                <w:color w:val="000000"/>
                <w:sz w:val="13"/>
                <w:szCs w:val="13"/>
              </w:rPr>
              <w:t>9 </w:t>
            </w:r>
          </w:p>
        </w:tc>
        <w:tc>
          <w:tcPr>
            <w:tcW w:w="0" w:type="auto"/>
            <w:shd w:val="clear" w:color="auto" w:fill="FFFFFF"/>
            <w:tcMar>
              <w:top w:w="40" w:type="dxa"/>
              <w:left w:w="0" w:type="dxa"/>
              <w:bottom w:w="40" w:type="dxa"/>
              <w:right w:w="20" w:type="dxa"/>
            </w:tcMar>
            <w:vAlign w:val="bottom"/>
          </w:tcPr>
          <w:p w14:paraId="71D40707" w14:textId="77777777" w:rsidR="006A3667" w:rsidRDefault="006A3667">
            <w:pPr>
              <w:jc w:val="right"/>
              <w:rPr>
                <w:rFonts w:ascii="宋体"/>
              </w:rPr>
            </w:pPr>
          </w:p>
        </w:tc>
      </w:tr>
      <w:tr w:rsidR="006A3667" w14:paraId="71D40715" w14:textId="77777777">
        <w:tc>
          <w:tcPr>
            <w:tcW w:w="0" w:type="auto"/>
            <w:gridSpan w:val="3"/>
            <w:shd w:val="clear" w:color="auto" w:fill="CCEEFF"/>
            <w:tcMar>
              <w:top w:w="40" w:type="dxa"/>
              <w:left w:w="20" w:type="dxa"/>
              <w:bottom w:w="40" w:type="dxa"/>
              <w:right w:w="20" w:type="dxa"/>
            </w:tcMar>
            <w:vAlign w:val="bottom"/>
          </w:tcPr>
          <w:p w14:paraId="71D40709" w14:textId="77777777" w:rsidR="006A3667" w:rsidRDefault="00045F32">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71D4070A"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7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70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70D" w14:textId="77777777" w:rsidR="006A3667" w:rsidRDefault="00045F32">
            <w:pPr>
              <w:jc w:val="right"/>
              <w:textAlignment w:val="bottom"/>
            </w:pPr>
            <w:r>
              <w:rPr>
                <w:rFonts w:ascii="Arial" w:eastAsia="宋体" w:hAnsi="Arial" w:cs="Arial"/>
                <w:color w:val="000000"/>
                <w:sz w:val="13"/>
                <w:szCs w:val="13"/>
              </w:rPr>
              <w:t>491 </w:t>
            </w:r>
          </w:p>
        </w:tc>
        <w:tc>
          <w:tcPr>
            <w:tcW w:w="0" w:type="auto"/>
            <w:shd w:val="clear" w:color="auto" w:fill="CCEEFF"/>
            <w:tcMar>
              <w:top w:w="40" w:type="dxa"/>
              <w:left w:w="0" w:type="dxa"/>
              <w:bottom w:w="40" w:type="dxa"/>
              <w:right w:w="20" w:type="dxa"/>
            </w:tcMar>
            <w:vAlign w:val="bottom"/>
          </w:tcPr>
          <w:p w14:paraId="71D4070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70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710" w14:textId="77777777" w:rsidR="006A3667" w:rsidRDefault="00045F32">
            <w:pPr>
              <w:jc w:val="right"/>
              <w:textAlignment w:val="bottom"/>
            </w:pPr>
            <w:r>
              <w:rPr>
                <w:rFonts w:ascii="Arial" w:eastAsia="宋体" w:hAnsi="Arial" w:cs="Arial"/>
                <w:color w:val="000000"/>
                <w:sz w:val="13"/>
                <w:szCs w:val="13"/>
              </w:rPr>
              <w:t>491 </w:t>
            </w:r>
          </w:p>
        </w:tc>
        <w:tc>
          <w:tcPr>
            <w:tcW w:w="0" w:type="auto"/>
            <w:shd w:val="clear" w:color="auto" w:fill="CCEEFF"/>
            <w:tcMar>
              <w:top w:w="40" w:type="dxa"/>
              <w:left w:w="0" w:type="dxa"/>
              <w:bottom w:w="40" w:type="dxa"/>
              <w:right w:w="20" w:type="dxa"/>
            </w:tcMar>
            <w:vAlign w:val="bottom"/>
          </w:tcPr>
          <w:p w14:paraId="71D407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71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713" w14:textId="77777777" w:rsidR="006A3667" w:rsidRDefault="00045F32">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71D40714" w14:textId="77777777" w:rsidR="006A3667" w:rsidRDefault="006A3667">
            <w:pPr>
              <w:jc w:val="right"/>
              <w:rPr>
                <w:rFonts w:ascii="宋体"/>
              </w:rPr>
            </w:pPr>
          </w:p>
        </w:tc>
      </w:tr>
      <w:tr w:rsidR="006A3667" w14:paraId="71D4071E" w14:textId="77777777">
        <w:trPr>
          <w:hidden/>
        </w:trPr>
        <w:tc>
          <w:tcPr>
            <w:tcW w:w="0" w:type="auto"/>
            <w:gridSpan w:val="3"/>
            <w:shd w:val="clear" w:color="auto" w:fill="auto"/>
            <w:vAlign w:val="bottom"/>
          </w:tcPr>
          <w:p w14:paraId="71D40716" w14:textId="77777777" w:rsidR="006A3667" w:rsidRDefault="006A3667">
            <w:pPr>
              <w:rPr>
                <w:rFonts w:ascii="宋体"/>
                <w:vanish/>
              </w:rPr>
            </w:pPr>
          </w:p>
        </w:tc>
        <w:tc>
          <w:tcPr>
            <w:tcW w:w="0" w:type="auto"/>
            <w:gridSpan w:val="3"/>
            <w:shd w:val="clear" w:color="auto" w:fill="auto"/>
            <w:vAlign w:val="bottom"/>
          </w:tcPr>
          <w:p w14:paraId="71D40717" w14:textId="77777777" w:rsidR="006A3667" w:rsidRDefault="006A3667">
            <w:pPr>
              <w:rPr>
                <w:rFonts w:ascii="宋体"/>
                <w:vanish/>
              </w:rPr>
            </w:pPr>
          </w:p>
        </w:tc>
        <w:tc>
          <w:tcPr>
            <w:tcW w:w="0" w:type="auto"/>
            <w:gridSpan w:val="3"/>
            <w:shd w:val="clear" w:color="auto" w:fill="auto"/>
            <w:vAlign w:val="bottom"/>
          </w:tcPr>
          <w:p w14:paraId="71D40718" w14:textId="77777777" w:rsidR="006A3667" w:rsidRDefault="006A3667">
            <w:pPr>
              <w:rPr>
                <w:rFonts w:ascii="宋体"/>
                <w:vanish/>
              </w:rPr>
            </w:pPr>
          </w:p>
        </w:tc>
        <w:tc>
          <w:tcPr>
            <w:tcW w:w="0" w:type="auto"/>
            <w:gridSpan w:val="3"/>
            <w:shd w:val="clear" w:color="auto" w:fill="auto"/>
            <w:vAlign w:val="bottom"/>
          </w:tcPr>
          <w:p w14:paraId="71D40719" w14:textId="77777777" w:rsidR="006A3667" w:rsidRDefault="006A3667">
            <w:pPr>
              <w:rPr>
                <w:rFonts w:ascii="宋体"/>
                <w:vanish/>
              </w:rPr>
            </w:pPr>
          </w:p>
        </w:tc>
        <w:tc>
          <w:tcPr>
            <w:tcW w:w="0" w:type="auto"/>
            <w:gridSpan w:val="3"/>
            <w:shd w:val="clear" w:color="auto" w:fill="auto"/>
            <w:vAlign w:val="bottom"/>
          </w:tcPr>
          <w:p w14:paraId="71D4071A" w14:textId="77777777" w:rsidR="006A3667" w:rsidRDefault="006A3667">
            <w:pPr>
              <w:rPr>
                <w:rFonts w:ascii="宋体"/>
                <w:vanish/>
              </w:rPr>
            </w:pPr>
          </w:p>
        </w:tc>
        <w:tc>
          <w:tcPr>
            <w:tcW w:w="0" w:type="auto"/>
            <w:gridSpan w:val="3"/>
            <w:shd w:val="clear" w:color="auto" w:fill="auto"/>
            <w:vAlign w:val="bottom"/>
          </w:tcPr>
          <w:p w14:paraId="71D4071B" w14:textId="77777777" w:rsidR="006A3667" w:rsidRDefault="006A3667">
            <w:pPr>
              <w:rPr>
                <w:rFonts w:ascii="宋体"/>
                <w:vanish/>
              </w:rPr>
            </w:pPr>
          </w:p>
        </w:tc>
        <w:tc>
          <w:tcPr>
            <w:tcW w:w="0" w:type="auto"/>
            <w:gridSpan w:val="3"/>
            <w:shd w:val="clear" w:color="auto" w:fill="auto"/>
            <w:vAlign w:val="bottom"/>
          </w:tcPr>
          <w:p w14:paraId="71D4071C" w14:textId="77777777" w:rsidR="006A3667" w:rsidRDefault="006A3667">
            <w:pPr>
              <w:rPr>
                <w:rFonts w:ascii="宋体"/>
                <w:vanish/>
              </w:rPr>
            </w:pPr>
          </w:p>
        </w:tc>
        <w:tc>
          <w:tcPr>
            <w:tcW w:w="0" w:type="auto"/>
            <w:gridSpan w:val="3"/>
            <w:shd w:val="clear" w:color="auto" w:fill="auto"/>
            <w:vAlign w:val="bottom"/>
          </w:tcPr>
          <w:p w14:paraId="71D4071D" w14:textId="77777777" w:rsidR="006A3667" w:rsidRDefault="006A3667">
            <w:pPr>
              <w:rPr>
                <w:rFonts w:ascii="宋体"/>
                <w:vanish/>
              </w:rPr>
            </w:pPr>
          </w:p>
        </w:tc>
      </w:tr>
      <w:tr w:rsidR="006A3667" w14:paraId="71D4072D" w14:textId="77777777">
        <w:tc>
          <w:tcPr>
            <w:tcW w:w="0" w:type="auto"/>
            <w:gridSpan w:val="3"/>
            <w:shd w:val="clear" w:color="auto" w:fill="FFFFFF"/>
            <w:tcMar>
              <w:top w:w="40" w:type="dxa"/>
              <w:left w:w="20" w:type="dxa"/>
              <w:bottom w:w="40" w:type="dxa"/>
              <w:right w:w="20" w:type="dxa"/>
            </w:tcMar>
            <w:vAlign w:val="bottom"/>
          </w:tcPr>
          <w:p w14:paraId="71D4071F" w14:textId="77777777" w:rsidR="006A3667" w:rsidRDefault="00045F32">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720"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721" w14:textId="77777777" w:rsidR="006A3667" w:rsidRDefault="00045F32">
            <w:pPr>
              <w:jc w:val="right"/>
              <w:textAlignment w:val="bottom"/>
            </w:pPr>
            <w:r>
              <w:rPr>
                <w:rFonts w:ascii="Arial" w:eastAsia="宋体" w:hAnsi="Arial" w:cs="Arial"/>
                <w:color w:val="000000"/>
                <w:sz w:val="13"/>
                <w:szCs w:val="13"/>
              </w:rPr>
              <w:t>845 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72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723"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724"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725" w14:textId="77777777" w:rsidR="006A3667" w:rsidRDefault="00045F32">
            <w:pPr>
              <w:jc w:val="right"/>
              <w:textAlignment w:val="bottom"/>
            </w:pPr>
            <w:r>
              <w:rPr>
                <w:rFonts w:ascii="Arial" w:eastAsia="宋体" w:hAnsi="Arial" w:cs="Arial"/>
                <w:color w:val="000000"/>
                <w:sz w:val="13"/>
                <w:szCs w:val="13"/>
              </w:rPr>
              <w:t>6,661 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726" w14:textId="77777777" w:rsidR="006A3667" w:rsidRDefault="006A3667">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0727"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728"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729" w14:textId="77777777" w:rsidR="006A3667" w:rsidRDefault="00045F32">
            <w:pPr>
              <w:jc w:val="right"/>
              <w:textAlignment w:val="bottom"/>
            </w:pPr>
            <w:r>
              <w:rPr>
                <w:rFonts w:ascii="Arial" w:eastAsia="宋体" w:hAnsi="Arial" w:cs="Arial"/>
                <w:color w:val="000000"/>
                <w:sz w:val="13"/>
                <w:szCs w:val="13"/>
              </w:rPr>
              <w:t>7,506 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72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72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72C" w14:textId="77777777" w:rsidR="006A3667" w:rsidRDefault="006A3667">
            <w:pPr>
              <w:rPr>
                <w:rFonts w:ascii="宋体"/>
              </w:rPr>
            </w:pPr>
          </w:p>
        </w:tc>
      </w:tr>
    </w:tbl>
    <w:p w14:paraId="71D4072E" w14:textId="77777777" w:rsidR="006A3667" w:rsidRDefault="006A3667">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6A3667" w14:paraId="71D4073B" w14:textId="77777777">
        <w:tc>
          <w:tcPr>
            <w:tcW w:w="20" w:type="dxa"/>
            <w:shd w:val="clear" w:color="auto" w:fill="auto"/>
            <w:vAlign w:val="bottom"/>
          </w:tcPr>
          <w:p w14:paraId="71D4072F" w14:textId="77777777" w:rsidR="006A3667" w:rsidRDefault="006A3667">
            <w:pPr>
              <w:rPr>
                <w:rFonts w:ascii="宋体"/>
              </w:rPr>
            </w:pPr>
          </w:p>
        </w:tc>
        <w:tc>
          <w:tcPr>
            <w:tcW w:w="2285" w:type="dxa"/>
            <w:shd w:val="clear" w:color="auto" w:fill="auto"/>
            <w:vAlign w:val="bottom"/>
          </w:tcPr>
          <w:p w14:paraId="71D40730" w14:textId="77777777" w:rsidR="006A3667" w:rsidRDefault="006A3667">
            <w:pPr>
              <w:rPr>
                <w:rFonts w:ascii="宋体"/>
              </w:rPr>
            </w:pPr>
          </w:p>
        </w:tc>
        <w:tc>
          <w:tcPr>
            <w:tcW w:w="20" w:type="dxa"/>
            <w:shd w:val="clear" w:color="auto" w:fill="auto"/>
            <w:vAlign w:val="bottom"/>
          </w:tcPr>
          <w:p w14:paraId="71D40731" w14:textId="77777777" w:rsidR="006A3667" w:rsidRDefault="006A3667">
            <w:pPr>
              <w:rPr>
                <w:rFonts w:ascii="宋体"/>
              </w:rPr>
            </w:pPr>
          </w:p>
        </w:tc>
        <w:tc>
          <w:tcPr>
            <w:tcW w:w="20" w:type="dxa"/>
            <w:shd w:val="clear" w:color="auto" w:fill="auto"/>
            <w:vAlign w:val="bottom"/>
          </w:tcPr>
          <w:p w14:paraId="71D40732" w14:textId="77777777" w:rsidR="006A3667" w:rsidRDefault="006A3667">
            <w:pPr>
              <w:rPr>
                <w:rFonts w:ascii="宋体"/>
              </w:rPr>
            </w:pPr>
          </w:p>
        </w:tc>
        <w:tc>
          <w:tcPr>
            <w:tcW w:w="35" w:type="dxa"/>
            <w:shd w:val="clear" w:color="auto" w:fill="auto"/>
            <w:vAlign w:val="bottom"/>
          </w:tcPr>
          <w:p w14:paraId="71D40733" w14:textId="77777777" w:rsidR="006A3667" w:rsidRDefault="006A3667">
            <w:pPr>
              <w:rPr>
                <w:rFonts w:ascii="宋体"/>
              </w:rPr>
            </w:pPr>
          </w:p>
        </w:tc>
        <w:tc>
          <w:tcPr>
            <w:tcW w:w="20" w:type="dxa"/>
            <w:shd w:val="clear" w:color="auto" w:fill="auto"/>
            <w:vAlign w:val="bottom"/>
          </w:tcPr>
          <w:p w14:paraId="71D40734" w14:textId="77777777" w:rsidR="006A3667" w:rsidRDefault="006A3667">
            <w:pPr>
              <w:rPr>
                <w:rFonts w:ascii="宋体"/>
              </w:rPr>
            </w:pPr>
          </w:p>
        </w:tc>
        <w:tc>
          <w:tcPr>
            <w:tcW w:w="20" w:type="dxa"/>
            <w:shd w:val="clear" w:color="auto" w:fill="auto"/>
            <w:vAlign w:val="bottom"/>
          </w:tcPr>
          <w:p w14:paraId="71D40735" w14:textId="77777777" w:rsidR="006A3667" w:rsidRDefault="006A3667">
            <w:pPr>
              <w:rPr>
                <w:rFonts w:ascii="宋体"/>
              </w:rPr>
            </w:pPr>
          </w:p>
        </w:tc>
        <w:tc>
          <w:tcPr>
            <w:tcW w:w="455" w:type="dxa"/>
            <w:shd w:val="clear" w:color="auto" w:fill="auto"/>
            <w:vAlign w:val="bottom"/>
          </w:tcPr>
          <w:p w14:paraId="71D40736" w14:textId="77777777" w:rsidR="006A3667" w:rsidRDefault="006A3667">
            <w:pPr>
              <w:rPr>
                <w:rFonts w:ascii="宋体"/>
              </w:rPr>
            </w:pPr>
          </w:p>
        </w:tc>
        <w:tc>
          <w:tcPr>
            <w:tcW w:w="20" w:type="dxa"/>
            <w:shd w:val="clear" w:color="auto" w:fill="auto"/>
            <w:vAlign w:val="bottom"/>
          </w:tcPr>
          <w:p w14:paraId="71D40737" w14:textId="77777777" w:rsidR="006A3667" w:rsidRDefault="006A3667">
            <w:pPr>
              <w:rPr>
                <w:rFonts w:ascii="宋体"/>
              </w:rPr>
            </w:pPr>
          </w:p>
        </w:tc>
        <w:tc>
          <w:tcPr>
            <w:tcW w:w="20" w:type="dxa"/>
            <w:shd w:val="clear" w:color="auto" w:fill="auto"/>
            <w:vAlign w:val="bottom"/>
          </w:tcPr>
          <w:p w14:paraId="71D40738" w14:textId="77777777" w:rsidR="006A3667" w:rsidRDefault="006A3667">
            <w:pPr>
              <w:rPr>
                <w:rFonts w:ascii="宋体"/>
              </w:rPr>
            </w:pPr>
          </w:p>
        </w:tc>
        <w:tc>
          <w:tcPr>
            <w:tcW w:w="1835" w:type="dxa"/>
            <w:shd w:val="clear" w:color="auto" w:fill="auto"/>
            <w:vAlign w:val="bottom"/>
          </w:tcPr>
          <w:p w14:paraId="71D40739" w14:textId="77777777" w:rsidR="006A3667" w:rsidRDefault="006A3667">
            <w:pPr>
              <w:rPr>
                <w:rFonts w:ascii="宋体"/>
              </w:rPr>
            </w:pPr>
          </w:p>
        </w:tc>
        <w:tc>
          <w:tcPr>
            <w:tcW w:w="20" w:type="dxa"/>
            <w:shd w:val="clear" w:color="auto" w:fill="auto"/>
            <w:vAlign w:val="bottom"/>
          </w:tcPr>
          <w:p w14:paraId="71D4073A" w14:textId="77777777" w:rsidR="006A3667" w:rsidRDefault="006A3667">
            <w:pPr>
              <w:rPr>
                <w:rFonts w:ascii="宋体"/>
              </w:rPr>
            </w:pPr>
          </w:p>
        </w:tc>
      </w:tr>
      <w:tr w:rsidR="006A3667" w14:paraId="71D4074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73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73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73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73F" w14:textId="77777777" w:rsidR="006A3667" w:rsidRDefault="006A3667">
            <w:pPr>
              <w:rPr>
                <w:rFonts w:ascii="宋体"/>
              </w:rPr>
            </w:pPr>
          </w:p>
        </w:tc>
      </w:tr>
    </w:tbl>
    <w:p w14:paraId="71D40741" w14:textId="77777777" w:rsidR="006A3667" w:rsidRDefault="00045F32">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Represented 5% or more of our aggregate municipal credit exposure of approximately $8.61 billion and $10.22 billion across our businesses as of </w:t>
      </w:r>
      <w:r>
        <w:rPr>
          <w:rFonts w:ascii="Arial" w:eastAsia="宋体" w:hAnsi="Arial" w:cs="Arial"/>
          <w:color w:val="000000"/>
          <w:sz w:val="12"/>
          <w:szCs w:val="12"/>
        </w:rPr>
        <w:t>September 30, 2022 and December 31, 2021, respectively.</w:t>
      </w:r>
    </w:p>
    <w:p w14:paraId="71D40742" w14:textId="77777777" w:rsidR="006A3667" w:rsidRDefault="00045F32">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Includes municipal loans which are also presented within Table 25: U.S. and Non-U.S. Loans.</w:t>
      </w:r>
    </w:p>
    <w:p w14:paraId="71D40743" w14:textId="77777777" w:rsidR="006A3667" w:rsidRDefault="00045F32">
      <w:pPr>
        <w:ind w:firstLine="450"/>
        <w:jc w:val="right"/>
      </w:pPr>
      <w:r>
        <w:rPr>
          <w:rFonts w:ascii="Arial" w:eastAsia="宋体" w:hAnsi="Arial" w:cs="Arial"/>
          <w:color w:val="000000"/>
          <w:sz w:val="18"/>
          <w:szCs w:val="18"/>
        </w:rPr>
        <w:t>State Street Corporation | 30</w:t>
      </w:r>
    </w:p>
    <w:p w14:paraId="71D40744" w14:textId="77777777" w:rsidR="006A3667" w:rsidRDefault="006A3667">
      <w:pPr>
        <w:ind w:firstLine="450"/>
        <w:jc w:val="center"/>
      </w:pPr>
    </w:p>
    <w:p w14:paraId="71D40745" w14:textId="77777777" w:rsidR="006A3667" w:rsidRDefault="00045F32">
      <w:r>
        <w:pict w14:anchorId="71D4AC32">
          <v:rect id="_x0000_i1054" style="width:415.3pt;height:1.5pt" o:hralign="center" o:hrstd="t" o:hr="t" fillcolor="#a0a0a0" stroked="f"/>
        </w:pict>
      </w:r>
    </w:p>
    <w:p w14:paraId="71D40746"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747" w14:textId="77777777" w:rsidR="006A3667" w:rsidRDefault="00045F32">
      <w:pPr>
        <w:ind w:firstLine="450"/>
        <w:jc w:val="center"/>
      </w:pPr>
      <w:r>
        <w:rPr>
          <w:rFonts w:ascii="Arial" w:eastAsia="宋体" w:hAnsi="Arial" w:cs="Arial"/>
          <w:b/>
          <w:bCs/>
          <w:color w:val="000000"/>
          <w:sz w:val="20"/>
          <w:szCs w:val="20"/>
        </w:rPr>
        <w:t>AND RESULTS</w:t>
      </w:r>
      <w:r>
        <w:rPr>
          <w:rFonts w:ascii="Arial" w:eastAsia="宋体" w:hAnsi="Arial" w:cs="Arial"/>
          <w:b/>
          <w:bCs/>
          <w:color w:val="000000"/>
          <w:sz w:val="20"/>
          <w:szCs w:val="20"/>
        </w:rPr>
        <w:t xml:space="preserve"> OF OPERATIONS</w:t>
      </w:r>
    </w:p>
    <w:p w14:paraId="71D40748" w14:textId="77777777" w:rsidR="006A3667" w:rsidRDefault="00045F32">
      <w:pPr>
        <w:spacing w:before="60"/>
        <w:ind w:firstLine="450"/>
        <w:jc w:val="both"/>
        <w:textAlignment w:val="top"/>
      </w:pPr>
      <w:r>
        <w:rPr>
          <w:rFonts w:ascii="Arial" w:eastAsia="宋体" w:hAnsi="Arial" w:cs="Arial"/>
          <w:color w:val="000000"/>
          <w:sz w:val="20"/>
          <w:szCs w:val="20"/>
        </w:rPr>
        <w:t>Our aggregate municipal securities exposure presented in Table 24: State and Municipal Obligors, was concentrated primarily with highly-rated counterparties, with approximately 89% of the obligors rated “AAA” or “AA” as of September 30, 2022</w:t>
      </w:r>
      <w:r>
        <w:rPr>
          <w:rFonts w:ascii="Arial" w:eastAsia="宋体" w:hAnsi="Arial" w:cs="Arial"/>
          <w:color w:val="000000"/>
          <w:sz w:val="20"/>
          <w:szCs w:val="20"/>
        </w:rPr>
        <w:t>. As of that date, approximately 30% and 69% of our aggregate municipal securities exposure was associated with general obligation and revenue bonds, respectively. The portfolios are also diversified geographically, with the states that represent our large</w:t>
      </w:r>
      <w:r>
        <w:rPr>
          <w:rFonts w:ascii="Arial" w:eastAsia="宋体" w:hAnsi="Arial" w:cs="Arial"/>
          <w:color w:val="000000"/>
          <w:sz w:val="20"/>
          <w:szCs w:val="20"/>
        </w:rPr>
        <w:t>st exposures widely dispersed across the U.S.</w:t>
      </w:r>
    </w:p>
    <w:p w14:paraId="71D40749" w14:textId="77777777" w:rsidR="006A3667" w:rsidRDefault="00045F32">
      <w:pPr>
        <w:spacing w:before="60"/>
        <w:ind w:firstLine="450"/>
        <w:jc w:val="both"/>
        <w:textAlignment w:val="top"/>
      </w:pPr>
      <w:r>
        <w:rPr>
          <w:rFonts w:ascii="Arial" w:eastAsia="宋体" w:hAnsi="Arial" w:cs="Arial"/>
          <w:color w:val="000000"/>
          <w:sz w:val="20"/>
          <w:szCs w:val="20"/>
        </w:rPr>
        <w:t>Additional information with respect to our assessment of impairment of our municipal securities is provided in Note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10-Q.</w:t>
      </w:r>
    </w:p>
    <w:p w14:paraId="71D4074A" w14:textId="77777777" w:rsidR="006A3667" w:rsidRDefault="00045F32">
      <w:pPr>
        <w:spacing w:before="90"/>
        <w:textAlignment w:val="top"/>
      </w:pPr>
      <w:r>
        <w:rPr>
          <w:rFonts w:ascii="Arial" w:eastAsia="宋体" w:hAnsi="Arial" w:cs="Arial"/>
          <w:b/>
          <w:bCs/>
          <w:color w:val="000000"/>
          <w:sz w:val="20"/>
          <w:szCs w:val="20"/>
        </w:rPr>
        <w:t xml:space="preserve">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2610"/>
        <w:gridCol w:w="38"/>
        <w:gridCol w:w="99"/>
        <w:gridCol w:w="2319"/>
        <w:gridCol w:w="37"/>
        <w:gridCol w:w="36"/>
        <w:gridCol w:w="67"/>
        <w:gridCol w:w="36"/>
        <w:gridCol w:w="99"/>
        <w:gridCol w:w="2271"/>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4075D" w14:textId="77777777">
        <w:tc>
          <w:tcPr>
            <w:tcW w:w="50" w:type="pct"/>
            <w:shd w:val="clear" w:color="auto" w:fill="auto"/>
            <w:vAlign w:val="bottom"/>
          </w:tcPr>
          <w:p w14:paraId="71D4074B" w14:textId="77777777" w:rsidR="006A3667" w:rsidRDefault="006A3667">
            <w:pPr>
              <w:rPr>
                <w:rFonts w:ascii="宋体"/>
              </w:rPr>
            </w:pPr>
          </w:p>
        </w:tc>
        <w:tc>
          <w:tcPr>
            <w:tcW w:w="1721" w:type="pct"/>
            <w:shd w:val="clear" w:color="auto" w:fill="auto"/>
            <w:vAlign w:val="bottom"/>
          </w:tcPr>
          <w:p w14:paraId="71D4074C" w14:textId="77777777" w:rsidR="006A3667" w:rsidRDefault="006A3667">
            <w:pPr>
              <w:rPr>
                <w:rFonts w:ascii="宋体"/>
              </w:rPr>
            </w:pPr>
          </w:p>
        </w:tc>
        <w:tc>
          <w:tcPr>
            <w:tcW w:w="5" w:type="pct"/>
            <w:shd w:val="clear" w:color="auto" w:fill="auto"/>
            <w:vAlign w:val="bottom"/>
          </w:tcPr>
          <w:p w14:paraId="71D4074D" w14:textId="77777777" w:rsidR="006A3667" w:rsidRDefault="006A3667">
            <w:pPr>
              <w:rPr>
                <w:rFonts w:ascii="宋体"/>
              </w:rPr>
            </w:pPr>
          </w:p>
        </w:tc>
        <w:tc>
          <w:tcPr>
            <w:tcW w:w="50" w:type="pct"/>
            <w:shd w:val="clear" w:color="auto" w:fill="auto"/>
            <w:vAlign w:val="bottom"/>
          </w:tcPr>
          <w:p w14:paraId="71D4074E" w14:textId="77777777" w:rsidR="006A3667" w:rsidRDefault="006A3667">
            <w:pPr>
              <w:rPr>
                <w:rFonts w:ascii="宋体"/>
              </w:rPr>
            </w:pPr>
          </w:p>
        </w:tc>
        <w:tc>
          <w:tcPr>
            <w:tcW w:w="1533" w:type="pct"/>
            <w:shd w:val="clear" w:color="auto" w:fill="auto"/>
            <w:vAlign w:val="bottom"/>
          </w:tcPr>
          <w:p w14:paraId="71D4074F" w14:textId="77777777" w:rsidR="006A3667" w:rsidRDefault="006A3667">
            <w:pPr>
              <w:rPr>
                <w:rFonts w:ascii="宋体"/>
              </w:rPr>
            </w:pPr>
          </w:p>
        </w:tc>
        <w:tc>
          <w:tcPr>
            <w:tcW w:w="5" w:type="pct"/>
            <w:shd w:val="clear" w:color="auto" w:fill="auto"/>
            <w:vAlign w:val="bottom"/>
          </w:tcPr>
          <w:p w14:paraId="71D40750" w14:textId="77777777" w:rsidR="006A3667" w:rsidRDefault="006A3667">
            <w:pPr>
              <w:rPr>
                <w:rFonts w:ascii="宋体"/>
              </w:rPr>
            </w:pPr>
          </w:p>
        </w:tc>
        <w:tc>
          <w:tcPr>
            <w:tcW w:w="5" w:type="pct"/>
            <w:shd w:val="clear" w:color="auto" w:fill="auto"/>
            <w:vAlign w:val="bottom"/>
          </w:tcPr>
          <w:p w14:paraId="71D40751" w14:textId="77777777" w:rsidR="006A3667" w:rsidRDefault="006A3667">
            <w:pPr>
              <w:rPr>
                <w:rFonts w:ascii="宋体"/>
              </w:rPr>
            </w:pPr>
          </w:p>
        </w:tc>
        <w:tc>
          <w:tcPr>
            <w:tcW w:w="68" w:type="pct"/>
            <w:shd w:val="clear" w:color="auto" w:fill="auto"/>
            <w:vAlign w:val="bottom"/>
          </w:tcPr>
          <w:p w14:paraId="71D40752" w14:textId="77777777" w:rsidR="006A3667" w:rsidRDefault="006A3667">
            <w:pPr>
              <w:rPr>
                <w:rFonts w:ascii="宋体"/>
              </w:rPr>
            </w:pPr>
          </w:p>
        </w:tc>
        <w:tc>
          <w:tcPr>
            <w:tcW w:w="5" w:type="pct"/>
            <w:shd w:val="clear" w:color="auto" w:fill="auto"/>
            <w:vAlign w:val="bottom"/>
          </w:tcPr>
          <w:p w14:paraId="71D40753" w14:textId="77777777" w:rsidR="006A3667" w:rsidRDefault="006A3667">
            <w:pPr>
              <w:rPr>
                <w:rFonts w:ascii="宋体"/>
              </w:rPr>
            </w:pPr>
          </w:p>
        </w:tc>
        <w:tc>
          <w:tcPr>
            <w:tcW w:w="50" w:type="pct"/>
            <w:shd w:val="clear" w:color="auto" w:fill="auto"/>
            <w:vAlign w:val="bottom"/>
          </w:tcPr>
          <w:p w14:paraId="71D40754" w14:textId="77777777" w:rsidR="006A3667" w:rsidRDefault="006A3667">
            <w:pPr>
              <w:rPr>
                <w:rFonts w:ascii="宋体"/>
              </w:rPr>
            </w:pPr>
          </w:p>
        </w:tc>
        <w:tc>
          <w:tcPr>
            <w:tcW w:w="1501" w:type="pct"/>
            <w:shd w:val="clear" w:color="auto" w:fill="auto"/>
            <w:vAlign w:val="bottom"/>
          </w:tcPr>
          <w:p w14:paraId="71D40755" w14:textId="77777777" w:rsidR="006A3667" w:rsidRDefault="006A3667">
            <w:pPr>
              <w:rPr>
                <w:rFonts w:ascii="宋体"/>
              </w:rPr>
            </w:pPr>
          </w:p>
        </w:tc>
        <w:tc>
          <w:tcPr>
            <w:tcW w:w="5" w:type="pct"/>
            <w:shd w:val="clear" w:color="auto" w:fill="auto"/>
            <w:vAlign w:val="bottom"/>
          </w:tcPr>
          <w:p w14:paraId="71D40756" w14:textId="77777777" w:rsidR="006A3667" w:rsidRDefault="006A3667">
            <w:pPr>
              <w:rPr>
                <w:rFonts w:ascii="宋体"/>
              </w:rPr>
            </w:pPr>
          </w:p>
        </w:tc>
        <w:tc>
          <w:tcPr>
            <w:tcW w:w="0" w:type="auto"/>
            <w:gridSpan w:val="3"/>
            <w:shd w:val="clear" w:color="auto" w:fill="auto"/>
            <w:vAlign w:val="bottom"/>
          </w:tcPr>
          <w:p w14:paraId="71D40757" w14:textId="77777777" w:rsidR="006A3667" w:rsidRDefault="006A3667">
            <w:pPr>
              <w:rPr>
                <w:rFonts w:ascii="宋体"/>
                <w:vanish/>
              </w:rPr>
            </w:pPr>
          </w:p>
        </w:tc>
        <w:tc>
          <w:tcPr>
            <w:tcW w:w="0" w:type="auto"/>
            <w:gridSpan w:val="3"/>
            <w:shd w:val="clear" w:color="auto" w:fill="auto"/>
            <w:vAlign w:val="bottom"/>
          </w:tcPr>
          <w:p w14:paraId="71D40758" w14:textId="77777777" w:rsidR="006A3667" w:rsidRDefault="006A3667">
            <w:pPr>
              <w:rPr>
                <w:rFonts w:ascii="宋体"/>
                <w:vanish/>
              </w:rPr>
            </w:pPr>
          </w:p>
        </w:tc>
        <w:tc>
          <w:tcPr>
            <w:tcW w:w="0" w:type="auto"/>
            <w:gridSpan w:val="3"/>
            <w:shd w:val="clear" w:color="auto" w:fill="auto"/>
            <w:vAlign w:val="bottom"/>
          </w:tcPr>
          <w:p w14:paraId="71D40759" w14:textId="77777777" w:rsidR="006A3667" w:rsidRDefault="006A3667">
            <w:pPr>
              <w:rPr>
                <w:rFonts w:ascii="宋体"/>
                <w:vanish/>
              </w:rPr>
            </w:pPr>
          </w:p>
        </w:tc>
        <w:tc>
          <w:tcPr>
            <w:tcW w:w="0" w:type="auto"/>
            <w:gridSpan w:val="3"/>
            <w:shd w:val="clear" w:color="auto" w:fill="auto"/>
            <w:vAlign w:val="bottom"/>
          </w:tcPr>
          <w:p w14:paraId="71D4075A" w14:textId="77777777" w:rsidR="006A3667" w:rsidRDefault="006A3667">
            <w:pPr>
              <w:rPr>
                <w:rFonts w:ascii="宋体"/>
                <w:vanish/>
              </w:rPr>
            </w:pPr>
          </w:p>
        </w:tc>
        <w:tc>
          <w:tcPr>
            <w:tcW w:w="0" w:type="auto"/>
            <w:gridSpan w:val="3"/>
            <w:shd w:val="clear" w:color="auto" w:fill="auto"/>
            <w:vAlign w:val="bottom"/>
          </w:tcPr>
          <w:p w14:paraId="71D4075B" w14:textId="77777777" w:rsidR="006A3667" w:rsidRDefault="006A3667">
            <w:pPr>
              <w:rPr>
                <w:rFonts w:ascii="宋体"/>
                <w:vanish/>
              </w:rPr>
            </w:pPr>
          </w:p>
        </w:tc>
        <w:tc>
          <w:tcPr>
            <w:tcW w:w="0" w:type="auto"/>
            <w:gridSpan w:val="3"/>
            <w:shd w:val="clear" w:color="auto" w:fill="auto"/>
            <w:vAlign w:val="bottom"/>
          </w:tcPr>
          <w:p w14:paraId="71D4075C" w14:textId="77777777" w:rsidR="006A3667" w:rsidRDefault="006A3667">
            <w:pPr>
              <w:rPr>
                <w:rFonts w:ascii="宋体"/>
                <w:vanish/>
              </w:rPr>
            </w:pPr>
          </w:p>
        </w:tc>
      </w:tr>
      <w:tr w:rsidR="006A3667" w14:paraId="71D40771" w14:textId="77777777">
        <w:tc>
          <w:tcPr>
            <w:tcW w:w="0" w:type="auto"/>
            <w:gridSpan w:val="12"/>
            <w:shd w:val="clear" w:color="auto" w:fill="auto"/>
            <w:tcMar>
              <w:top w:w="40" w:type="dxa"/>
              <w:left w:w="20" w:type="dxa"/>
              <w:bottom w:w="40" w:type="dxa"/>
              <w:right w:w="20" w:type="dxa"/>
            </w:tcMar>
            <w:vAlign w:val="bottom"/>
          </w:tcPr>
          <w:p w14:paraId="71D4075E" w14:textId="77777777" w:rsidR="006A3667" w:rsidRDefault="00045F32">
            <w:pPr>
              <w:textAlignment w:val="bottom"/>
            </w:pPr>
            <w:r>
              <w:rPr>
                <w:rFonts w:ascii="Arial" w:eastAsia="宋体" w:hAnsi="Arial" w:cs="Arial"/>
                <w:b/>
                <w:bCs/>
                <w:color w:val="000000"/>
                <w:sz w:val="16"/>
                <w:szCs w:val="16"/>
              </w:rPr>
              <w:t>TABLE 25: U.S. AND NON- U.S. LOANS</w:t>
            </w:r>
          </w:p>
        </w:tc>
        <w:tc>
          <w:tcPr>
            <w:tcW w:w="0" w:type="auto"/>
            <w:shd w:val="clear" w:color="auto" w:fill="auto"/>
            <w:vAlign w:val="bottom"/>
          </w:tcPr>
          <w:p w14:paraId="71D4075F" w14:textId="77777777" w:rsidR="006A3667" w:rsidRDefault="006A3667">
            <w:pPr>
              <w:rPr>
                <w:rFonts w:ascii="宋体"/>
              </w:rPr>
            </w:pPr>
          </w:p>
        </w:tc>
        <w:tc>
          <w:tcPr>
            <w:tcW w:w="0" w:type="auto"/>
            <w:shd w:val="clear" w:color="auto" w:fill="auto"/>
            <w:vAlign w:val="bottom"/>
          </w:tcPr>
          <w:p w14:paraId="71D40760" w14:textId="77777777" w:rsidR="006A3667" w:rsidRDefault="006A3667">
            <w:pPr>
              <w:rPr>
                <w:rFonts w:ascii="宋体"/>
              </w:rPr>
            </w:pPr>
          </w:p>
        </w:tc>
        <w:tc>
          <w:tcPr>
            <w:tcW w:w="0" w:type="auto"/>
            <w:shd w:val="clear" w:color="auto" w:fill="auto"/>
            <w:vAlign w:val="bottom"/>
          </w:tcPr>
          <w:p w14:paraId="71D40761" w14:textId="77777777" w:rsidR="006A3667" w:rsidRDefault="006A3667">
            <w:pPr>
              <w:rPr>
                <w:rFonts w:ascii="宋体"/>
              </w:rPr>
            </w:pPr>
          </w:p>
        </w:tc>
        <w:tc>
          <w:tcPr>
            <w:tcW w:w="0" w:type="auto"/>
            <w:shd w:val="clear" w:color="auto" w:fill="auto"/>
            <w:vAlign w:val="bottom"/>
          </w:tcPr>
          <w:p w14:paraId="71D40762" w14:textId="77777777" w:rsidR="006A3667" w:rsidRDefault="006A3667">
            <w:pPr>
              <w:rPr>
                <w:rFonts w:ascii="宋体"/>
              </w:rPr>
            </w:pPr>
          </w:p>
        </w:tc>
        <w:tc>
          <w:tcPr>
            <w:tcW w:w="0" w:type="auto"/>
            <w:shd w:val="clear" w:color="auto" w:fill="auto"/>
            <w:vAlign w:val="bottom"/>
          </w:tcPr>
          <w:p w14:paraId="71D40763" w14:textId="77777777" w:rsidR="006A3667" w:rsidRDefault="006A3667">
            <w:pPr>
              <w:rPr>
                <w:rFonts w:ascii="宋体"/>
              </w:rPr>
            </w:pPr>
          </w:p>
        </w:tc>
        <w:tc>
          <w:tcPr>
            <w:tcW w:w="0" w:type="auto"/>
            <w:shd w:val="clear" w:color="auto" w:fill="auto"/>
            <w:vAlign w:val="bottom"/>
          </w:tcPr>
          <w:p w14:paraId="71D40764" w14:textId="77777777" w:rsidR="006A3667" w:rsidRDefault="006A3667">
            <w:pPr>
              <w:rPr>
                <w:rFonts w:ascii="宋体"/>
              </w:rPr>
            </w:pPr>
          </w:p>
        </w:tc>
        <w:tc>
          <w:tcPr>
            <w:tcW w:w="0" w:type="auto"/>
            <w:shd w:val="clear" w:color="auto" w:fill="auto"/>
            <w:vAlign w:val="bottom"/>
          </w:tcPr>
          <w:p w14:paraId="71D40765" w14:textId="77777777" w:rsidR="006A3667" w:rsidRDefault="006A3667">
            <w:pPr>
              <w:rPr>
                <w:rFonts w:ascii="宋体"/>
              </w:rPr>
            </w:pPr>
          </w:p>
        </w:tc>
        <w:tc>
          <w:tcPr>
            <w:tcW w:w="0" w:type="auto"/>
            <w:shd w:val="clear" w:color="auto" w:fill="auto"/>
            <w:vAlign w:val="bottom"/>
          </w:tcPr>
          <w:p w14:paraId="71D40766" w14:textId="77777777" w:rsidR="006A3667" w:rsidRDefault="006A3667">
            <w:pPr>
              <w:rPr>
                <w:rFonts w:ascii="宋体"/>
              </w:rPr>
            </w:pPr>
          </w:p>
        </w:tc>
        <w:tc>
          <w:tcPr>
            <w:tcW w:w="0" w:type="auto"/>
            <w:shd w:val="clear" w:color="auto" w:fill="auto"/>
            <w:vAlign w:val="bottom"/>
          </w:tcPr>
          <w:p w14:paraId="71D40767" w14:textId="77777777" w:rsidR="006A3667" w:rsidRDefault="006A3667">
            <w:pPr>
              <w:rPr>
                <w:rFonts w:ascii="宋体"/>
              </w:rPr>
            </w:pPr>
          </w:p>
        </w:tc>
        <w:tc>
          <w:tcPr>
            <w:tcW w:w="0" w:type="auto"/>
            <w:shd w:val="clear" w:color="auto" w:fill="auto"/>
            <w:vAlign w:val="bottom"/>
          </w:tcPr>
          <w:p w14:paraId="71D40768" w14:textId="77777777" w:rsidR="006A3667" w:rsidRDefault="006A3667">
            <w:pPr>
              <w:rPr>
                <w:rFonts w:ascii="宋体"/>
              </w:rPr>
            </w:pPr>
          </w:p>
        </w:tc>
        <w:tc>
          <w:tcPr>
            <w:tcW w:w="0" w:type="auto"/>
            <w:shd w:val="clear" w:color="auto" w:fill="auto"/>
            <w:vAlign w:val="bottom"/>
          </w:tcPr>
          <w:p w14:paraId="71D40769" w14:textId="77777777" w:rsidR="006A3667" w:rsidRDefault="006A3667">
            <w:pPr>
              <w:rPr>
                <w:rFonts w:ascii="宋体"/>
              </w:rPr>
            </w:pPr>
          </w:p>
        </w:tc>
        <w:tc>
          <w:tcPr>
            <w:tcW w:w="0" w:type="auto"/>
            <w:shd w:val="clear" w:color="auto" w:fill="auto"/>
            <w:vAlign w:val="bottom"/>
          </w:tcPr>
          <w:p w14:paraId="71D4076A" w14:textId="77777777" w:rsidR="006A3667" w:rsidRDefault="006A3667">
            <w:pPr>
              <w:rPr>
                <w:rFonts w:ascii="宋体"/>
              </w:rPr>
            </w:pPr>
          </w:p>
        </w:tc>
        <w:tc>
          <w:tcPr>
            <w:tcW w:w="0" w:type="auto"/>
            <w:shd w:val="clear" w:color="auto" w:fill="auto"/>
            <w:vAlign w:val="bottom"/>
          </w:tcPr>
          <w:p w14:paraId="71D4076B" w14:textId="77777777" w:rsidR="006A3667" w:rsidRDefault="006A3667">
            <w:pPr>
              <w:rPr>
                <w:rFonts w:ascii="宋体"/>
              </w:rPr>
            </w:pPr>
          </w:p>
        </w:tc>
        <w:tc>
          <w:tcPr>
            <w:tcW w:w="0" w:type="auto"/>
            <w:shd w:val="clear" w:color="auto" w:fill="auto"/>
            <w:vAlign w:val="bottom"/>
          </w:tcPr>
          <w:p w14:paraId="71D4076C" w14:textId="77777777" w:rsidR="006A3667" w:rsidRDefault="006A3667">
            <w:pPr>
              <w:rPr>
                <w:rFonts w:ascii="宋体"/>
              </w:rPr>
            </w:pPr>
          </w:p>
        </w:tc>
        <w:tc>
          <w:tcPr>
            <w:tcW w:w="0" w:type="auto"/>
            <w:shd w:val="clear" w:color="auto" w:fill="auto"/>
            <w:vAlign w:val="bottom"/>
          </w:tcPr>
          <w:p w14:paraId="71D4076D" w14:textId="77777777" w:rsidR="006A3667" w:rsidRDefault="006A3667">
            <w:pPr>
              <w:rPr>
                <w:rFonts w:ascii="宋体"/>
              </w:rPr>
            </w:pPr>
          </w:p>
        </w:tc>
        <w:tc>
          <w:tcPr>
            <w:tcW w:w="0" w:type="auto"/>
            <w:shd w:val="clear" w:color="auto" w:fill="auto"/>
            <w:vAlign w:val="bottom"/>
          </w:tcPr>
          <w:p w14:paraId="71D4076E" w14:textId="77777777" w:rsidR="006A3667" w:rsidRDefault="006A3667">
            <w:pPr>
              <w:rPr>
                <w:rFonts w:ascii="宋体"/>
              </w:rPr>
            </w:pPr>
          </w:p>
        </w:tc>
        <w:tc>
          <w:tcPr>
            <w:tcW w:w="0" w:type="auto"/>
            <w:shd w:val="clear" w:color="auto" w:fill="auto"/>
            <w:vAlign w:val="bottom"/>
          </w:tcPr>
          <w:p w14:paraId="71D4076F" w14:textId="77777777" w:rsidR="006A3667" w:rsidRDefault="006A3667">
            <w:pPr>
              <w:rPr>
                <w:rFonts w:ascii="宋体"/>
              </w:rPr>
            </w:pPr>
          </w:p>
        </w:tc>
        <w:tc>
          <w:tcPr>
            <w:tcW w:w="0" w:type="auto"/>
            <w:shd w:val="clear" w:color="auto" w:fill="auto"/>
            <w:vAlign w:val="bottom"/>
          </w:tcPr>
          <w:p w14:paraId="71D40770" w14:textId="77777777" w:rsidR="006A3667" w:rsidRDefault="006A3667">
            <w:pPr>
              <w:rPr>
                <w:rFonts w:ascii="宋体"/>
              </w:rPr>
            </w:pPr>
          </w:p>
        </w:tc>
      </w:tr>
      <w:tr w:rsidR="006A3667" w14:paraId="71D4077C" w14:textId="77777777">
        <w:tc>
          <w:tcPr>
            <w:tcW w:w="0" w:type="auto"/>
            <w:gridSpan w:val="3"/>
            <w:shd w:val="clear" w:color="auto" w:fill="auto"/>
            <w:tcMar>
              <w:top w:w="40" w:type="dxa"/>
              <w:left w:w="20" w:type="dxa"/>
              <w:bottom w:w="40" w:type="dxa"/>
              <w:right w:w="20" w:type="dxa"/>
            </w:tcMar>
            <w:vAlign w:val="bottom"/>
          </w:tcPr>
          <w:p w14:paraId="71D40772"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0773" w14:textId="77777777" w:rsidR="006A3667" w:rsidRDefault="00045F32">
            <w:pPr>
              <w:jc w:val="center"/>
              <w:textAlignment w:val="bottom"/>
            </w:pPr>
            <w:r>
              <w:rPr>
                <w:rFonts w:ascii="Arial" w:eastAsia="宋体" w:hAnsi="Arial" w:cs="Arial"/>
                <w:b/>
                <w:bCs/>
                <w:color w:val="000000"/>
                <w:sz w:val="15"/>
                <w:szCs w:val="15"/>
              </w:rPr>
              <w:t>September 30, 2022</w:t>
            </w:r>
          </w:p>
        </w:tc>
        <w:tc>
          <w:tcPr>
            <w:tcW w:w="0" w:type="auto"/>
            <w:gridSpan w:val="3"/>
            <w:shd w:val="clear" w:color="auto" w:fill="auto"/>
            <w:tcMar>
              <w:top w:w="0" w:type="dxa"/>
              <w:left w:w="20" w:type="dxa"/>
              <w:bottom w:w="0" w:type="dxa"/>
              <w:right w:w="20" w:type="dxa"/>
            </w:tcMar>
            <w:vAlign w:val="bottom"/>
          </w:tcPr>
          <w:p w14:paraId="71D4077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775" w14:textId="77777777" w:rsidR="006A3667" w:rsidRDefault="00045F32">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vAlign w:val="bottom"/>
          </w:tcPr>
          <w:p w14:paraId="71D40776" w14:textId="77777777" w:rsidR="006A3667" w:rsidRDefault="006A3667">
            <w:pPr>
              <w:rPr>
                <w:rFonts w:ascii="宋体"/>
                <w:vanish/>
              </w:rPr>
            </w:pPr>
          </w:p>
        </w:tc>
        <w:tc>
          <w:tcPr>
            <w:tcW w:w="0" w:type="auto"/>
            <w:gridSpan w:val="3"/>
            <w:shd w:val="clear" w:color="auto" w:fill="auto"/>
            <w:vAlign w:val="bottom"/>
          </w:tcPr>
          <w:p w14:paraId="71D40777" w14:textId="77777777" w:rsidR="006A3667" w:rsidRDefault="006A3667">
            <w:pPr>
              <w:rPr>
                <w:rFonts w:ascii="宋体"/>
                <w:vanish/>
              </w:rPr>
            </w:pPr>
          </w:p>
        </w:tc>
        <w:tc>
          <w:tcPr>
            <w:tcW w:w="0" w:type="auto"/>
            <w:gridSpan w:val="3"/>
            <w:shd w:val="clear" w:color="auto" w:fill="auto"/>
            <w:vAlign w:val="bottom"/>
          </w:tcPr>
          <w:p w14:paraId="71D40778" w14:textId="77777777" w:rsidR="006A3667" w:rsidRDefault="006A3667">
            <w:pPr>
              <w:rPr>
                <w:rFonts w:ascii="宋体"/>
                <w:vanish/>
              </w:rPr>
            </w:pPr>
          </w:p>
        </w:tc>
        <w:tc>
          <w:tcPr>
            <w:tcW w:w="0" w:type="auto"/>
            <w:gridSpan w:val="3"/>
            <w:shd w:val="clear" w:color="auto" w:fill="auto"/>
            <w:vAlign w:val="bottom"/>
          </w:tcPr>
          <w:p w14:paraId="71D40779" w14:textId="77777777" w:rsidR="006A3667" w:rsidRDefault="006A3667">
            <w:pPr>
              <w:rPr>
                <w:rFonts w:ascii="宋体"/>
                <w:vanish/>
              </w:rPr>
            </w:pPr>
          </w:p>
        </w:tc>
        <w:tc>
          <w:tcPr>
            <w:tcW w:w="0" w:type="auto"/>
            <w:gridSpan w:val="3"/>
            <w:shd w:val="clear" w:color="auto" w:fill="auto"/>
            <w:vAlign w:val="bottom"/>
          </w:tcPr>
          <w:p w14:paraId="71D4077A" w14:textId="77777777" w:rsidR="006A3667" w:rsidRDefault="006A3667">
            <w:pPr>
              <w:rPr>
                <w:rFonts w:ascii="宋体"/>
                <w:vanish/>
              </w:rPr>
            </w:pPr>
          </w:p>
        </w:tc>
        <w:tc>
          <w:tcPr>
            <w:tcW w:w="0" w:type="auto"/>
            <w:gridSpan w:val="3"/>
            <w:shd w:val="clear" w:color="auto" w:fill="auto"/>
            <w:vAlign w:val="bottom"/>
          </w:tcPr>
          <w:p w14:paraId="71D4077B" w14:textId="77777777" w:rsidR="006A3667" w:rsidRDefault="006A3667">
            <w:pPr>
              <w:rPr>
                <w:rFonts w:ascii="宋体"/>
                <w:vanish/>
              </w:rPr>
            </w:pPr>
          </w:p>
        </w:tc>
      </w:tr>
      <w:tr w:rsidR="006A3667" w14:paraId="71D40787" w14:textId="77777777">
        <w:tc>
          <w:tcPr>
            <w:tcW w:w="0" w:type="auto"/>
            <w:gridSpan w:val="3"/>
            <w:shd w:val="clear" w:color="auto" w:fill="auto"/>
            <w:tcMar>
              <w:top w:w="40" w:type="dxa"/>
              <w:left w:w="20" w:type="dxa"/>
              <w:bottom w:w="40" w:type="dxa"/>
              <w:right w:w="20" w:type="dxa"/>
            </w:tcMar>
            <w:vAlign w:val="bottom"/>
          </w:tcPr>
          <w:p w14:paraId="71D4077D" w14:textId="77777777" w:rsidR="006A3667" w:rsidRDefault="00045F32">
            <w:pP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77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77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780" w14:textId="77777777" w:rsidR="006A3667" w:rsidRDefault="006A3667">
            <w:pPr>
              <w:rPr>
                <w:rFonts w:ascii="宋体"/>
              </w:rPr>
            </w:pPr>
          </w:p>
        </w:tc>
        <w:tc>
          <w:tcPr>
            <w:tcW w:w="0" w:type="auto"/>
            <w:gridSpan w:val="3"/>
            <w:shd w:val="clear" w:color="auto" w:fill="auto"/>
            <w:vAlign w:val="bottom"/>
          </w:tcPr>
          <w:p w14:paraId="71D40781" w14:textId="77777777" w:rsidR="006A3667" w:rsidRDefault="006A3667">
            <w:pPr>
              <w:rPr>
                <w:rFonts w:ascii="宋体"/>
                <w:vanish/>
              </w:rPr>
            </w:pPr>
          </w:p>
        </w:tc>
        <w:tc>
          <w:tcPr>
            <w:tcW w:w="0" w:type="auto"/>
            <w:gridSpan w:val="3"/>
            <w:shd w:val="clear" w:color="auto" w:fill="auto"/>
            <w:vAlign w:val="bottom"/>
          </w:tcPr>
          <w:p w14:paraId="71D40782" w14:textId="77777777" w:rsidR="006A3667" w:rsidRDefault="006A3667">
            <w:pPr>
              <w:rPr>
                <w:rFonts w:ascii="宋体"/>
                <w:vanish/>
              </w:rPr>
            </w:pPr>
          </w:p>
        </w:tc>
        <w:tc>
          <w:tcPr>
            <w:tcW w:w="0" w:type="auto"/>
            <w:gridSpan w:val="3"/>
            <w:shd w:val="clear" w:color="auto" w:fill="auto"/>
            <w:vAlign w:val="bottom"/>
          </w:tcPr>
          <w:p w14:paraId="71D40783" w14:textId="77777777" w:rsidR="006A3667" w:rsidRDefault="006A3667">
            <w:pPr>
              <w:rPr>
                <w:rFonts w:ascii="宋体"/>
                <w:vanish/>
              </w:rPr>
            </w:pPr>
          </w:p>
        </w:tc>
        <w:tc>
          <w:tcPr>
            <w:tcW w:w="0" w:type="auto"/>
            <w:gridSpan w:val="3"/>
            <w:shd w:val="clear" w:color="auto" w:fill="auto"/>
            <w:vAlign w:val="bottom"/>
          </w:tcPr>
          <w:p w14:paraId="71D40784" w14:textId="77777777" w:rsidR="006A3667" w:rsidRDefault="006A3667">
            <w:pPr>
              <w:rPr>
                <w:rFonts w:ascii="宋体"/>
                <w:vanish/>
              </w:rPr>
            </w:pPr>
          </w:p>
        </w:tc>
        <w:tc>
          <w:tcPr>
            <w:tcW w:w="0" w:type="auto"/>
            <w:gridSpan w:val="3"/>
            <w:shd w:val="clear" w:color="auto" w:fill="auto"/>
            <w:vAlign w:val="bottom"/>
          </w:tcPr>
          <w:p w14:paraId="71D40785" w14:textId="77777777" w:rsidR="006A3667" w:rsidRDefault="006A3667">
            <w:pPr>
              <w:rPr>
                <w:rFonts w:ascii="宋体"/>
                <w:vanish/>
              </w:rPr>
            </w:pPr>
          </w:p>
        </w:tc>
        <w:tc>
          <w:tcPr>
            <w:tcW w:w="0" w:type="auto"/>
            <w:gridSpan w:val="3"/>
            <w:shd w:val="clear" w:color="auto" w:fill="auto"/>
            <w:vAlign w:val="bottom"/>
          </w:tcPr>
          <w:p w14:paraId="71D40786" w14:textId="77777777" w:rsidR="006A3667" w:rsidRDefault="006A3667">
            <w:pPr>
              <w:rPr>
                <w:rFonts w:ascii="宋体"/>
                <w:vanish/>
              </w:rPr>
            </w:pPr>
          </w:p>
        </w:tc>
      </w:tr>
      <w:tr w:rsidR="006A3667" w14:paraId="71D40792" w14:textId="77777777">
        <w:tc>
          <w:tcPr>
            <w:tcW w:w="0" w:type="auto"/>
            <w:gridSpan w:val="3"/>
            <w:shd w:val="clear" w:color="auto" w:fill="auto"/>
            <w:tcMar>
              <w:top w:w="40" w:type="dxa"/>
              <w:left w:w="20" w:type="dxa"/>
              <w:bottom w:w="40" w:type="dxa"/>
              <w:right w:w="20" w:type="dxa"/>
            </w:tcMar>
            <w:vAlign w:val="bottom"/>
          </w:tcPr>
          <w:p w14:paraId="71D40788" w14:textId="77777777" w:rsidR="006A3667" w:rsidRDefault="00045F32">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71D4078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78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78B" w14:textId="77777777" w:rsidR="006A3667" w:rsidRDefault="006A3667">
            <w:pPr>
              <w:rPr>
                <w:rFonts w:ascii="宋体"/>
              </w:rPr>
            </w:pPr>
          </w:p>
        </w:tc>
        <w:tc>
          <w:tcPr>
            <w:tcW w:w="0" w:type="auto"/>
            <w:gridSpan w:val="3"/>
            <w:shd w:val="clear" w:color="auto" w:fill="auto"/>
            <w:vAlign w:val="bottom"/>
          </w:tcPr>
          <w:p w14:paraId="71D4078C" w14:textId="77777777" w:rsidR="006A3667" w:rsidRDefault="006A3667">
            <w:pPr>
              <w:rPr>
                <w:rFonts w:ascii="宋体"/>
                <w:vanish/>
              </w:rPr>
            </w:pPr>
          </w:p>
        </w:tc>
        <w:tc>
          <w:tcPr>
            <w:tcW w:w="0" w:type="auto"/>
            <w:gridSpan w:val="3"/>
            <w:shd w:val="clear" w:color="auto" w:fill="auto"/>
            <w:vAlign w:val="bottom"/>
          </w:tcPr>
          <w:p w14:paraId="71D4078D" w14:textId="77777777" w:rsidR="006A3667" w:rsidRDefault="006A3667">
            <w:pPr>
              <w:rPr>
                <w:rFonts w:ascii="宋体"/>
                <w:vanish/>
              </w:rPr>
            </w:pPr>
          </w:p>
        </w:tc>
        <w:tc>
          <w:tcPr>
            <w:tcW w:w="0" w:type="auto"/>
            <w:gridSpan w:val="3"/>
            <w:shd w:val="clear" w:color="auto" w:fill="auto"/>
            <w:vAlign w:val="bottom"/>
          </w:tcPr>
          <w:p w14:paraId="71D4078E" w14:textId="77777777" w:rsidR="006A3667" w:rsidRDefault="006A3667">
            <w:pPr>
              <w:rPr>
                <w:rFonts w:ascii="宋体"/>
                <w:vanish/>
              </w:rPr>
            </w:pPr>
          </w:p>
        </w:tc>
        <w:tc>
          <w:tcPr>
            <w:tcW w:w="0" w:type="auto"/>
            <w:gridSpan w:val="3"/>
            <w:shd w:val="clear" w:color="auto" w:fill="auto"/>
            <w:vAlign w:val="bottom"/>
          </w:tcPr>
          <w:p w14:paraId="71D4078F" w14:textId="77777777" w:rsidR="006A3667" w:rsidRDefault="006A3667">
            <w:pPr>
              <w:rPr>
                <w:rFonts w:ascii="宋体"/>
                <w:vanish/>
              </w:rPr>
            </w:pPr>
          </w:p>
        </w:tc>
        <w:tc>
          <w:tcPr>
            <w:tcW w:w="0" w:type="auto"/>
            <w:gridSpan w:val="3"/>
            <w:shd w:val="clear" w:color="auto" w:fill="auto"/>
            <w:vAlign w:val="bottom"/>
          </w:tcPr>
          <w:p w14:paraId="71D40790" w14:textId="77777777" w:rsidR="006A3667" w:rsidRDefault="006A3667">
            <w:pPr>
              <w:rPr>
                <w:rFonts w:ascii="宋体"/>
                <w:vanish/>
              </w:rPr>
            </w:pPr>
          </w:p>
        </w:tc>
        <w:tc>
          <w:tcPr>
            <w:tcW w:w="0" w:type="auto"/>
            <w:gridSpan w:val="3"/>
            <w:shd w:val="clear" w:color="auto" w:fill="auto"/>
            <w:vAlign w:val="bottom"/>
          </w:tcPr>
          <w:p w14:paraId="71D40791" w14:textId="77777777" w:rsidR="006A3667" w:rsidRDefault="006A3667">
            <w:pPr>
              <w:rPr>
                <w:rFonts w:ascii="宋体"/>
                <w:vanish/>
              </w:rPr>
            </w:pPr>
          </w:p>
        </w:tc>
      </w:tr>
      <w:tr w:rsidR="006A3667" w14:paraId="71D407A1" w14:textId="77777777">
        <w:tc>
          <w:tcPr>
            <w:tcW w:w="0" w:type="auto"/>
            <w:gridSpan w:val="3"/>
            <w:shd w:val="clear" w:color="auto" w:fill="CCEEFF"/>
            <w:tcMar>
              <w:top w:w="40" w:type="dxa"/>
              <w:left w:w="20" w:type="dxa"/>
              <w:bottom w:w="40" w:type="dxa"/>
              <w:right w:w="20" w:type="dxa"/>
            </w:tcMar>
            <w:vAlign w:val="bottom"/>
          </w:tcPr>
          <w:p w14:paraId="71D40793" w14:textId="77777777" w:rsidR="006A3667" w:rsidRDefault="00045F32">
            <w:pP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71D40794"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795" w14:textId="77777777" w:rsidR="006A3667" w:rsidRDefault="00045F32">
            <w:pPr>
              <w:jc w:val="right"/>
              <w:textAlignment w:val="bottom"/>
            </w:pPr>
            <w:r>
              <w:rPr>
                <w:rFonts w:ascii="Arial" w:eastAsia="宋体" w:hAnsi="Arial" w:cs="Arial"/>
                <w:b/>
                <w:bCs/>
                <w:color w:val="000000"/>
                <w:sz w:val="14"/>
                <w:szCs w:val="14"/>
              </w:rPr>
              <w:t>12,094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7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79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79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0799" w14:textId="77777777" w:rsidR="006A3667" w:rsidRDefault="00045F32">
            <w:pPr>
              <w:jc w:val="right"/>
              <w:textAlignment w:val="bottom"/>
            </w:pPr>
            <w:r>
              <w:rPr>
                <w:rFonts w:ascii="Arial" w:eastAsia="宋体" w:hAnsi="Arial" w:cs="Arial"/>
                <w:color w:val="000000"/>
                <w:sz w:val="14"/>
                <w:szCs w:val="14"/>
              </w:rPr>
              <w:t>12,396 </w:t>
            </w:r>
          </w:p>
        </w:tc>
        <w:tc>
          <w:tcPr>
            <w:tcW w:w="0" w:type="auto"/>
            <w:shd w:val="clear" w:color="auto" w:fill="CCEEFF"/>
            <w:tcMar>
              <w:top w:w="40" w:type="dxa"/>
              <w:left w:w="0" w:type="dxa"/>
              <w:bottom w:w="40" w:type="dxa"/>
              <w:right w:w="20" w:type="dxa"/>
            </w:tcMar>
            <w:vAlign w:val="bottom"/>
          </w:tcPr>
          <w:p w14:paraId="71D4079A" w14:textId="77777777" w:rsidR="006A3667" w:rsidRDefault="006A3667">
            <w:pPr>
              <w:jc w:val="right"/>
              <w:rPr>
                <w:rFonts w:ascii="宋体"/>
              </w:rPr>
            </w:pPr>
          </w:p>
        </w:tc>
        <w:tc>
          <w:tcPr>
            <w:tcW w:w="0" w:type="auto"/>
            <w:gridSpan w:val="3"/>
            <w:shd w:val="clear" w:color="auto" w:fill="auto"/>
            <w:vAlign w:val="bottom"/>
          </w:tcPr>
          <w:p w14:paraId="71D4079B" w14:textId="77777777" w:rsidR="006A3667" w:rsidRDefault="006A3667">
            <w:pPr>
              <w:rPr>
                <w:rFonts w:ascii="宋体"/>
                <w:vanish/>
              </w:rPr>
            </w:pPr>
          </w:p>
        </w:tc>
        <w:tc>
          <w:tcPr>
            <w:tcW w:w="0" w:type="auto"/>
            <w:gridSpan w:val="3"/>
            <w:shd w:val="clear" w:color="auto" w:fill="auto"/>
            <w:vAlign w:val="bottom"/>
          </w:tcPr>
          <w:p w14:paraId="71D4079C" w14:textId="77777777" w:rsidR="006A3667" w:rsidRDefault="006A3667">
            <w:pPr>
              <w:rPr>
                <w:rFonts w:ascii="宋体"/>
                <w:vanish/>
              </w:rPr>
            </w:pPr>
          </w:p>
        </w:tc>
        <w:tc>
          <w:tcPr>
            <w:tcW w:w="0" w:type="auto"/>
            <w:gridSpan w:val="3"/>
            <w:shd w:val="clear" w:color="auto" w:fill="auto"/>
            <w:vAlign w:val="bottom"/>
          </w:tcPr>
          <w:p w14:paraId="71D4079D" w14:textId="77777777" w:rsidR="006A3667" w:rsidRDefault="006A3667">
            <w:pPr>
              <w:rPr>
                <w:rFonts w:ascii="宋体"/>
                <w:vanish/>
              </w:rPr>
            </w:pPr>
          </w:p>
        </w:tc>
        <w:tc>
          <w:tcPr>
            <w:tcW w:w="0" w:type="auto"/>
            <w:gridSpan w:val="3"/>
            <w:shd w:val="clear" w:color="auto" w:fill="auto"/>
            <w:vAlign w:val="bottom"/>
          </w:tcPr>
          <w:p w14:paraId="71D4079E" w14:textId="77777777" w:rsidR="006A3667" w:rsidRDefault="006A3667">
            <w:pPr>
              <w:rPr>
                <w:rFonts w:ascii="宋体"/>
                <w:vanish/>
              </w:rPr>
            </w:pPr>
          </w:p>
        </w:tc>
        <w:tc>
          <w:tcPr>
            <w:tcW w:w="0" w:type="auto"/>
            <w:gridSpan w:val="3"/>
            <w:shd w:val="clear" w:color="auto" w:fill="auto"/>
            <w:vAlign w:val="bottom"/>
          </w:tcPr>
          <w:p w14:paraId="71D4079F" w14:textId="77777777" w:rsidR="006A3667" w:rsidRDefault="006A3667">
            <w:pPr>
              <w:rPr>
                <w:rFonts w:ascii="宋体"/>
                <w:vanish/>
              </w:rPr>
            </w:pPr>
          </w:p>
        </w:tc>
        <w:tc>
          <w:tcPr>
            <w:tcW w:w="0" w:type="auto"/>
            <w:gridSpan w:val="3"/>
            <w:shd w:val="clear" w:color="auto" w:fill="auto"/>
            <w:vAlign w:val="bottom"/>
          </w:tcPr>
          <w:p w14:paraId="71D407A0" w14:textId="77777777" w:rsidR="006A3667" w:rsidRDefault="006A3667">
            <w:pPr>
              <w:rPr>
                <w:rFonts w:ascii="宋体"/>
                <w:vanish/>
              </w:rPr>
            </w:pPr>
          </w:p>
        </w:tc>
      </w:tr>
      <w:tr w:rsidR="006A3667" w14:paraId="71D407AE" w14:textId="77777777">
        <w:tc>
          <w:tcPr>
            <w:tcW w:w="0" w:type="auto"/>
            <w:gridSpan w:val="3"/>
            <w:shd w:val="clear" w:color="auto" w:fill="FFFFFF"/>
            <w:tcMar>
              <w:top w:w="40" w:type="dxa"/>
              <w:left w:w="245" w:type="dxa"/>
              <w:bottom w:w="40" w:type="dxa"/>
              <w:right w:w="20" w:type="dxa"/>
            </w:tcMar>
            <w:vAlign w:val="bottom"/>
          </w:tcPr>
          <w:p w14:paraId="71D407A2" w14:textId="77777777" w:rsidR="006A3667" w:rsidRDefault="00045F32">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71D407A3" w14:textId="77777777" w:rsidR="006A3667" w:rsidRDefault="00045F32">
            <w:pPr>
              <w:jc w:val="right"/>
              <w:textAlignment w:val="bottom"/>
            </w:pPr>
            <w:r>
              <w:rPr>
                <w:rFonts w:ascii="Arial" w:eastAsia="宋体" w:hAnsi="Arial" w:cs="Arial"/>
                <w:b/>
                <w:bCs/>
                <w:color w:val="000000"/>
                <w:sz w:val="14"/>
                <w:szCs w:val="14"/>
              </w:rPr>
              <w:t>2,346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7A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7A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7A6" w14:textId="77777777" w:rsidR="006A3667" w:rsidRDefault="00045F32">
            <w:pPr>
              <w:jc w:val="right"/>
              <w:textAlignment w:val="bottom"/>
            </w:pPr>
            <w:r>
              <w:rPr>
                <w:rFonts w:ascii="Arial" w:eastAsia="宋体" w:hAnsi="Arial" w:cs="Arial"/>
                <w:color w:val="000000"/>
                <w:sz w:val="14"/>
                <w:szCs w:val="14"/>
              </w:rPr>
              <w:t>3,106 </w:t>
            </w:r>
          </w:p>
        </w:tc>
        <w:tc>
          <w:tcPr>
            <w:tcW w:w="0" w:type="auto"/>
            <w:shd w:val="clear" w:color="auto" w:fill="FFFFFF"/>
            <w:tcMar>
              <w:top w:w="40" w:type="dxa"/>
              <w:left w:w="0" w:type="dxa"/>
              <w:bottom w:w="40" w:type="dxa"/>
              <w:right w:w="20" w:type="dxa"/>
            </w:tcMar>
            <w:vAlign w:val="bottom"/>
          </w:tcPr>
          <w:p w14:paraId="71D407A7" w14:textId="77777777" w:rsidR="006A3667" w:rsidRDefault="006A3667">
            <w:pPr>
              <w:jc w:val="right"/>
              <w:rPr>
                <w:rFonts w:ascii="宋体"/>
              </w:rPr>
            </w:pPr>
          </w:p>
        </w:tc>
        <w:tc>
          <w:tcPr>
            <w:tcW w:w="0" w:type="auto"/>
            <w:gridSpan w:val="3"/>
            <w:shd w:val="clear" w:color="auto" w:fill="auto"/>
            <w:vAlign w:val="bottom"/>
          </w:tcPr>
          <w:p w14:paraId="71D407A8" w14:textId="77777777" w:rsidR="006A3667" w:rsidRDefault="006A3667">
            <w:pPr>
              <w:rPr>
                <w:rFonts w:ascii="宋体"/>
                <w:vanish/>
              </w:rPr>
            </w:pPr>
          </w:p>
        </w:tc>
        <w:tc>
          <w:tcPr>
            <w:tcW w:w="0" w:type="auto"/>
            <w:gridSpan w:val="3"/>
            <w:shd w:val="clear" w:color="auto" w:fill="auto"/>
            <w:vAlign w:val="bottom"/>
          </w:tcPr>
          <w:p w14:paraId="71D407A9" w14:textId="77777777" w:rsidR="006A3667" w:rsidRDefault="006A3667">
            <w:pPr>
              <w:rPr>
                <w:rFonts w:ascii="宋体"/>
                <w:vanish/>
              </w:rPr>
            </w:pPr>
          </w:p>
        </w:tc>
        <w:tc>
          <w:tcPr>
            <w:tcW w:w="0" w:type="auto"/>
            <w:gridSpan w:val="3"/>
            <w:shd w:val="clear" w:color="auto" w:fill="auto"/>
            <w:vAlign w:val="bottom"/>
          </w:tcPr>
          <w:p w14:paraId="71D407AA" w14:textId="77777777" w:rsidR="006A3667" w:rsidRDefault="006A3667">
            <w:pPr>
              <w:rPr>
                <w:rFonts w:ascii="宋体"/>
                <w:vanish/>
              </w:rPr>
            </w:pPr>
          </w:p>
        </w:tc>
        <w:tc>
          <w:tcPr>
            <w:tcW w:w="0" w:type="auto"/>
            <w:gridSpan w:val="3"/>
            <w:shd w:val="clear" w:color="auto" w:fill="auto"/>
            <w:vAlign w:val="bottom"/>
          </w:tcPr>
          <w:p w14:paraId="71D407AB" w14:textId="77777777" w:rsidR="006A3667" w:rsidRDefault="006A3667">
            <w:pPr>
              <w:rPr>
                <w:rFonts w:ascii="宋体"/>
                <w:vanish/>
              </w:rPr>
            </w:pPr>
          </w:p>
        </w:tc>
        <w:tc>
          <w:tcPr>
            <w:tcW w:w="0" w:type="auto"/>
            <w:gridSpan w:val="3"/>
            <w:shd w:val="clear" w:color="auto" w:fill="auto"/>
            <w:vAlign w:val="bottom"/>
          </w:tcPr>
          <w:p w14:paraId="71D407AC" w14:textId="77777777" w:rsidR="006A3667" w:rsidRDefault="006A3667">
            <w:pPr>
              <w:rPr>
                <w:rFonts w:ascii="宋体"/>
                <w:vanish/>
              </w:rPr>
            </w:pPr>
          </w:p>
        </w:tc>
        <w:tc>
          <w:tcPr>
            <w:tcW w:w="0" w:type="auto"/>
            <w:gridSpan w:val="3"/>
            <w:shd w:val="clear" w:color="auto" w:fill="auto"/>
            <w:vAlign w:val="bottom"/>
          </w:tcPr>
          <w:p w14:paraId="71D407AD" w14:textId="77777777" w:rsidR="006A3667" w:rsidRDefault="006A3667">
            <w:pPr>
              <w:rPr>
                <w:rFonts w:ascii="宋体"/>
                <w:vanish/>
              </w:rPr>
            </w:pPr>
          </w:p>
        </w:tc>
      </w:tr>
      <w:tr w:rsidR="006A3667" w14:paraId="71D407B9" w14:textId="77777777">
        <w:trPr>
          <w:hidden/>
        </w:trPr>
        <w:tc>
          <w:tcPr>
            <w:tcW w:w="0" w:type="auto"/>
            <w:gridSpan w:val="3"/>
            <w:shd w:val="clear" w:color="auto" w:fill="auto"/>
            <w:vAlign w:val="bottom"/>
          </w:tcPr>
          <w:p w14:paraId="71D407AF" w14:textId="77777777" w:rsidR="006A3667" w:rsidRDefault="006A3667">
            <w:pPr>
              <w:rPr>
                <w:rFonts w:ascii="宋体"/>
                <w:vanish/>
              </w:rPr>
            </w:pPr>
          </w:p>
        </w:tc>
        <w:tc>
          <w:tcPr>
            <w:tcW w:w="0" w:type="auto"/>
            <w:gridSpan w:val="3"/>
            <w:shd w:val="clear" w:color="auto" w:fill="auto"/>
            <w:vAlign w:val="bottom"/>
          </w:tcPr>
          <w:p w14:paraId="71D407B0" w14:textId="77777777" w:rsidR="006A3667" w:rsidRDefault="006A3667">
            <w:pPr>
              <w:rPr>
                <w:rFonts w:ascii="宋体"/>
                <w:vanish/>
              </w:rPr>
            </w:pPr>
          </w:p>
        </w:tc>
        <w:tc>
          <w:tcPr>
            <w:tcW w:w="0" w:type="auto"/>
            <w:gridSpan w:val="3"/>
            <w:shd w:val="clear" w:color="auto" w:fill="auto"/>
            <w:vAlign w:val="bottom"/>
          </w:tcPr>
          <w:p w14:paraId="71D407B1" w14:textId="77777777" w:rsidR="006A3667" w:rsidRDefault="006A3667">
            <w:pPr>
              <w:rPr>
                <w:rFonts w:ascii="宋体"/>
                <w:vanish/>
              </w:rPr>
            </w:pPr>
          </w:p>
        </w:tc>
        <w:tc>
          <w:tcPr>
            <w:tcW w:w="0" w:type="auto"/>
            <w:gridSpan w:val="3"/>
            <w:shd w:val="clear" w:color="auto" w:fill="auto"/>
            <w:vAlign w:val="bottom"/>
          </w:tcPr>
          <w:p w14:paraId="71D407B2" w14:textId="77777777" w:rsidR="006A3667" w:rsidRDefault="006A3667">
            <w:pPr>
              <w:rPr>
                <w:rFonts w:ascii="宋体"/>
                <w:vanish/>
              </w:rPr>
            </w:pPr>
          </w:p>
        </w:tc>
        <w:tc>
          <w:tcPr>
            <w:tcW w:w="0" w:type="auto"/>
            <w:gridSpan w:val="3"/>
            <w:shd w:val="clear" w:color="auto" w:fill="auto"/>
            <w:vAlign w:val="bottom"/>
          </w:tcPr>
          <w:p w14:paraId="71D407B3" w14:textId="77777777" w:rsidR="006A3667" w:rsidRDefault="006A3667">
            <w:pPr>
              <w:rPr>
                <w:rFonts w:ascii="宋体"/>
                <w:vanish/>
              </w:rPr>
            </w:pPr>
          </w:p>
        </w:tc>
        <w:tc>
          <w:tcPr>
            <w:tcW w:w="0" w:type="auto"/>
            <w:gridSpan w:val="3"/>
            <w:shd w:val="clear" w:color="auto" w:fill="auto"/>
            <w:vAlign w:val="bottom"/>
          </w:tcPr>
          <w:p w14:paraId="71D407B4" w14:textId="77777777" w:rsidR="006A3667" w:rsidRDefault="006A3667">
            <w:pPr>
              <w:rPr>
                <w:rFonts w:ascii="宋体"/>
                <w:vanish/>
              </w:rPr>
            </w:pPr>
          </w:p>
        </w:tc>
        <w:tc>
          <w:tcPr>
            <w:tcW w:w="0" w:type="auto"/>
            <w:gridSpan w:val="3"/>
            <w:shd w:val="clear" w:color="auto" w:fill="auto"/>
            <w:vAlign w:val="bottom"/>
          </w:tcPr>
          <w:p w14:paraId="71D407B5" w14:textId="77777777" w:rsidR="006A3667" w:rsidRDefault="006A3667">
            <w:pPr>
              <w:rPr>
                <w:rFonts w:ascii="宋体"/>
                <w:vanish/>
              </w:rPr>
            </w:pPr>
          </w:p>
        </w:tc>
        <w:tc>
          <w:tcPr>
            <w:tcW w:w="0" w:type="auto"/>
            <w:gridSpan w:val="3"/>
            <w:shd w:val="clear" w:color="auto" w:fill="auto"/>
            <w:vAlign w:val="bottom"/>
          </w:tcPr>
          <w:p w14:paraId="71D407B6" w14:textId="77777777" w:rsidR="006A3667" w:rsidRDefault="006A3667">
            <w:pPr>
              <w:rPr>
                <w:rFonts w:ascii="宋体"/>
                <w:vanish/>
              </w:rPr>
            </w:pPr>
          </w:p>
        </w:tc>
        <w:tc>
          <w:tcPr>
            <w:tcW w:w="0" w:type="auto"/>
            <w:gridSpan w:val="3"/>
            <w:shd w:val="clear" w:color="auto" w:fill="auto"/>
            <w:vAlign w:val="bottom"/>
          </w:tcPr>
          <w:p w14:paraId="71D407B7" w14:textId="77777777" w:rsidR="006A3667" w:rsidRDefault="006A3667">
            <w:pPr>
              <w:rPr>
                <w:rFonts w:ascii="宋体"/>
                <w:vanish/>
              </w:rPr>
            </w:pPr>
          </w:p>
        </w:tc>
        <w:tc>
          <w:tcPr>
            <w:tcW w:w="0" w:type="auto"/>
            <w:gridSpan w:val="3"/>
            <w:shd w:val="clear" w:color="auto" w:fill="auto"/>
            <w:vAlign w:val="bottom"/>
          </w:tcPr>
          <w:p w14:paraId="71D407B8" w14:textId="77777777" w:rsidR="006A3667" w:rsidRDefault="006A3667">
            <w:pPr>
              <w:rPr>
                <w:rFonts w:ascii="宋体"/>
                <w:vanish/>
              </w:rPr>
            </w:pPr>
          </w:p>
        </w:tc>
      </w:tr>
      <w:tr w:rsidR="006A3667" w14:paraId="71D407C6" w14:textId="77777777">
        <w:tc>
          <w:tcPr>
            <w:tcW w:w="0" w:type="auto"/>
            <w:gridSpan w:val="3"/>
            <w:shd w:val="clear" w:color="auto" w:fill="CCEEFF"/>
            <w:tcMar>
              <w:top w:w="40" w:type="dxa"/>
              <w:left w:w="245" w:type="dxa"/>
              <w:bottom w:w="40" w:type="dxa"/>
              <w:right w:w="20" w:type="dxa"/>
            </w:tcMar>
            <w:vAlign w:val="bottom"/>
          </w:tcPr>
          <w:p w14:paraId="71D407BA" w14:textId="77777777" w:rsidR="006A3667" w:rsidRDefault="00045F32">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71D407BB" w14:textId="77777777" w:rsidR="006A3667" w:rsidRDefault="00045F32">
            <w:pPr>
              <w:jc w:val="right"/>
              <w:textAlignment w:val="bottom"/>
            </w:pPr>
            <w:r>
              <w:rPr>
                <w:rFonts w:ascii="Arial" w:eastAsia="宋体" w:hAnsi="Arial" w:cs="Arial"/>
                <w:b/>
                <w:bCs/>
                <w:color w:val="000000"/>
                <w:sz w:val="14"/>
                <w:szCs w:val="14"/>
              </w:rPr>
              <w:t>2,787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7B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7B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7BE" w14:textId="77777777" w:rsidR="006A3667" w:rsidRDefault="00045F32">
            <w:pPr>
              <w:jc w:val="right"/>
              <w:textAlignment w:val="bottom"/>
            </w:pPr>
            <w:r>
              <w:rPr>
                <w:rFonts w:ascii="Arial" w:eastAsia="宋体" w:hAnsi="Arial" w:cs="Arial"/>
                <w:color w:val="000000"/>
                <w:sz w:val="14"/>
                <w:szCs w:val="14"/>
              </w:rPr>
              <w:t>1,796 </w:t>
            </w:r>
          </w:p>
        </w:tc>
        <w:tc>
          <w:tcPr>
            <w:tcW w:w="0" w:type="auto"/>
            <w:shd w:val="clear" w:color="auto" w:fill="CCEEFF"/>
            <w:tcMar>
              <w:top w:w="40" w:type="dxa"/>
              <w:left w:w="0" w:type="dxa"/>
              <w:bottom w:w="40" w:type="dxa"/>
              <w:right w:w="20" w:type="dxa"/>
            </w:tcMar>
            <w:vAlign w:val="bottom"/>
          </w:tcPr>
          <w:p w14:paraId="71D407BF" w14:textId="77777777" w:rsidR="006A3667" w:rsidRDefault="006A3667">
            <w:pPr>
              <w:jc w:val="right"/>
              <w:rPr>
                <w:rFonts w:ascii="宋体"/>
              </w:rPr>
            </w:pPr>
          </w:p>
        </w:tc>
        <w:tc>
          <w:tcPr>
            <w:tcW w:w="0" w:type="auto"/>
            <w:gridSpan w:val="3"/>
            <w:shd w:val="clear" w:color="auto" w:fill="auto"/>
            <w:vAlign w:val="bottom"/>
          </w:tcPr>
          <w:p w14:paraId="71D407C0" w14:textId="77777777" w:rsidR="006A3667" w:rsidRDefault="006A3667">
            <w:pPr>
              <w:rPr>
                <w:rFonts w:ascii="宋体"/>
                <w:vanish/>
              </w:rPr>
            </w:pPr>
          </w:p>
        </w:tc>
        <w:tc>
          <w:tcPr>
            <w:tcW w:w="0" w:type="auto"/>
            <w:gridSpan w:val="3"/>
            <w:shd w:val="clear" w:color="auto" w:fill="auto"/>
            <w:vAlign w:val="bottom"/>
          </w:tcPr>
          <w:p w14:paraId="71D407C1" w14:textId="77777777" w:rsidR="006A3667" w:rsidRDefault="006A3667">
            <w:pPr>
              <w:rPr>
                <w:rFonts w:ascii="宋体"/>
                <w:vanish/>
              </w:rPr>
            </w:pPr>
          </w:p>
        </w:tc>
        <w:tc>
          <w:tcPr>
            <w:tcW w:w="0" w:type="auto"/>
            <w:gridSpan w:val="3"/>
            <w:shd w:val="clear" w:color="auto" w:fill="auto"/>
            <w:vAlign w:val="bottom"/>
          </w:tcPr>
          <w:p w14:paraId="71D407C2" w14:textId="77777777" w:rsidR="006A3667" w:rsidRDefault="006A3667">
            <w:pPr>
              <w:rPr>
                <w:rFonts w:ascii="宋体"/>
                <w:vanish/>
              </w:rPr>
            </w:pPr>
          </w:p>
        </w:tc>
        <w:tc>
          <w:tcPr>
            <w:tcW w:w="0" w:type="auto"/>
            <w:gridSpan w:val="3"/>
            <w:shd w:val="clear" w:color="auto" w:fill="auto"/>
            <w:vAlign w:val="bottom"/>
          </w:tcPr>
          <w:p w14:paraId="71D407C3" w14:textId="77777777" w:rsidR="006A3667" w:rsidRDefault="006A3667">
            <w:pPr>
              <w:rPr>
                <w:rFonts w:ascii="宋体"/>
                <w:vanish/>
              </w:rPr>
            </w:pPr>
          </w:p>
        </w:tc>
        <w:tc>
          <w:tcPr>
            <w:tcW w:w="0" w:type="auto"/>
            <w:gridSpan w:val="3"/>
            <w:shd w:val="clear" w:color="auto" w:fill="auto"/>
            <w:vAlign w:val="bottom"/>
          </w:tcPr>
          <w:p w14:paraId="71D407C4" w14:textId="77777777" w:rsidR="006A3667" w:rsidRDefault="006A3667">
            <w:pPr>
              <w:rPr>
                <w:rFonts w:ascii="宋体"/>
                <w:vanish/>
              </w:rPr>
            </w:pPr>
          </w:p>
        </w:tc>
        <w:tc>
          <w:tcPr>
            <w:tcW w:w="0" w:type="auto"/>
            <w:gridSpan w:val="3"/>
            <w:shd w:val="clear" w:color="auto" w:fill="auto"/>
            <w:vAlign w:val="bottom"/>
          </w:tcPr>
          <w:p w14:paraId="71D407C5" w14:textId="77777777" w:rsidR="006A3667" w:rsidRDefault="006A3667">
            <w:pPr>
              <w:rPr>
                <w:rFonts w:ascii="宋体"/>
                <w:vanish/>
              </w:rPr>
            </w:pPr>
          </w:p>
        </w:tc>
      </w:tr>
      <w:tr w:rsidR="006A3667" w14:paraId="71D407D3" w14:textId="77777777">
        <w:tc>
          <w:tcPr>
            <w:tcW w:w="0" w:type="auto"/>
            <w:gridSpan w:val="3"/>
            <w:shd w:val="clear" w:color="auto" w:fill="FFFFFF"/>
            <w:tcMar>
              <w:top w:w="40" w:type="dxa"/>
              <w:left w:w="20" w:type="dxa"/>
              <w:bottom w:w="40" w:type="dxa"/>
              <w:right w:w="20" w:type="dxa"/>
            </w:tcMar>
            <w:vAlign w:val="bottom"/>
          </w:tcPr>
          <w:p w14:paraId="71D407C7" w14:textId="77777777" w:rsidR="006A3667" w:rsidRDefault="00045F32">
            <w:pP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1D407C8" w14:textId="77777777" w:rsidR="006A3667" w:rsidRDefault="00045F32">
            <w:pPr>
              <w:jc w:val="right"/>
              <w:textAlignment w:val="bottom"/>
            </w:pPr>
            <w:r>
              <w:rPr>
                <w:rFonts w:ascii="Arial" w:eastAsia="宋体" w:hAnsi="Arial" w:cs="Arial"/>
                <w:b/>
                <w:bCs/>
                <w:color w:val="000000"/>
                <w:sz w:val="14"/>
                <w:szCs w:val="14"/>
              </w:rPr>
              <w:t>2,133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7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7C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7CB" w14:textId="77777777" w:rsidR="006A3667" w:rsidRDefault="00045F32">
            <w:pPr>
              <w:jc w:val="right"/>
              <w:textAlignment w:val="bottom"/>
            </w:pPr>
            <w:r>
              <w:rPr>
                <w:rFonts w:ascii="Arial" w:eastAsia="宋体" w:hAnsi="Arial" w:cs="Arial"/>
                <w:color w:val="000000"/>
                <w:sz w:val="14"/>
                <w:szCs w:val="14"/>
              </w:rPr>
              <w:t>2,262 </w:t>
            </w:r>
          </w:p>
        </w:tc>
        <w:tc>
          <w:tcPr>
            <w:tcW w:w="0" w:type="auto"/>
            <w:shd w:val="clear" w:color="auto" w:fill="FFFFFF"/>
            <w:tcMar>
              <w:top w:w="40" w:type="dxa"/>
              <w:left w:w="0" w:type="dxa"/>
              <w:bottom w:w="40" w:type="dxa"/>
              <w:right w:w="20" w:type="dxa"/>
            </w:tcMar>
            <w:vAlign w:val="bottom"/>
          </w:tcPr>
          <w:p w14:paraId="71D407CC" w14:textId="77777777" w:rsidR="006A3667" w:rsidRDefault="006A3667">
            <w:pPr>
              <w:jc w:val="right"/>
              <w:rPr>
                <w:rFonts w:ascii="宋体"/>
              </w:rPr>
            </w:pPr>
          </w:p>
        </w:tc>
        <w:tc>
          <w:tcPr>
            <w:tcW w:w="0" w:type="auto"/>
            <w:gridSpan w:val="3"/>
            <w:shd w:val="clear" w:color="auto" w:fill="auto"/>
            <w:vAlign w:val="bottom"/>
          </w:tcPr>
          <w:p w14:paraId="71D407CD" w14:textId="77777777" w:rsidR="006A3667" w:rsidRDefault="006A3667">
            <w:pPr>
              <w:rPr>
                <w:rFonts w:ascii="宋体"/>
                <w:vanish/>
              </w:rPr>
            </w:pPr>
          </w:p>
        </w:tc>
        <w:tc>
          <w:tcPr>
            <w:tcW w:w="0" w:type="auto"/>
            <w:gridSpan w:val="3"/>
            <w:shd w:val="clear" w:color="auto" w:fill="auto"/>
            <w:vAlign w:val="bottom"/>
          </w:tcPr>
          <w:p w14:paraId="71D407CE" w14:textId="77777777" w:rsidR="006A3667" w:rsidRDefault="006A3667">
            <w:pPr>
              <w:rPr>
                <w:rFonts w:ascii="宋体"/>
                <w:vanish/>
              </w:rPr>
            </w:pPr>
          </w:p>
        </w:tc>
        <w:tc>
          <w:tcPr>
            <w:tcW w:w="0" w:type="auto"/>
            <w:gridSpan w:val="3"/>
            <w:shd w:val="clear" w:color="auto" w:fill="auto"/>
            <w:vAlign w:val="bottom"/>
          </w:tcPr>
          <w:p w14:paraId="71D407CF" w14:textId="77777777" w:rsidR="006A3667" w:rsidRDefault="006A3667">
            <w:pPr>
              <w:rPr>
                <w:rFonts w:ascii="宋体"/>
                <w:vanish/>
              </w:rPr>
            </w:pPr>
          </w:p>
        </w:tc>
        <w:tc>
          <w:tcPr>
            <w:tcW w:w="0" w:type="auto"/>
            <w:gridSpan w:val="3"/>
            <w:shd w:val="clear" w:color="auto" w:fill="auto"/>
            <w:vAlign w:val="bottom"/>
          </w:tcPr>
          <w:p w14:paraId="71D407D0" w14:textId="77777777" w:rsidR="006A3667" w:rsidRDefault="006A3667">
            <w:pPr>
              <w:rPr>
                <w:rFonts w:ascii="宋体"/>
                <w:vanish/>
              </w:rPr>
            </w:pPr>
          </w:p>
        </w:tc>
        <w:tc>
          <w:tcPr>
            <w:tcW w:w="0" w:type="auto"/>
            <w:gridSpan w:val="3"/>
            <w:shd w:val="clear" w:color="auto" w:fill="auto"/>
            <w:vAlign w:val="bottom"/>
          </w:tcPr>
          <w:p w14:paraId="71D407D1" w14:textId="77777777" w:rsidR="006A3667" w:rsidRDefault="006A3667">
            <w:pPr>
              <w:rPr>
                <w:rFonts w:ascii="宋体"/>
                <w:vanish/>
              </w:rPr>
            </w:pPr>
          </w:p>
        </w:tc>
        <w:tc>
          <w:tcPr>
            <w:tcW w:w="0" w:type="auto"/>
            <w:gridSpan w:val="3"/>
            <w:shd w:val="clear" w:color="auto" w:fill="auto"/>
            <w:vAlign w:val="bottom"/>
          </w:tcPr>
          <w:p w14:paraId="71D407D2" w14:textId="77777777" w:rsidR="006A3667" w:rsidRDefault="006A3667">
            <w:pPr>
              <w:rPr>
                <w:rFonts w:ascii="宋体"/>
                <w:vanish/>
              </w:rPr>
            </w:pPr>
          </w:p>
        </w:tc>
      </w:tr>
      <w:tr w:rsidR="006A3667" w14:paraId="71D407E0" w14:textId="77777777">
        <w:tc>
          <w:tcPr>
            <w:tcW w:w="0" w:type="auto"/>
            <w:gridSpan w:val="3"/>
            <w:shd w:val="clear" w:color="auto" w:fill="CCEEFF"/>
            <w:tcMar>
              <w:top w:w="40" w:type="dxa"/>
              <w:left w:w="155" w:type="dxa"/>
              <w:bottom w:w="40" w:type="dxa"/>
              <w:right w:w="20" w:type="dxa"/>
            </w:tcMar>
            <w:vAlign w:val="bottom"/>
          </w:tcPr>
          <w:p w14:paraId="71D407D4" w14:textId="77777777" w:rsidR="006A3667" w:rsidRDefault="00045F32">
            <w:pP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71D407D5" w14:textId="77777777" w:rsidR="006A3667" w:rsidRDefault="00045F32">
            <w:pPr>
              <w:jc w:val="right"/>
              <w:textAlignment w:val="bottom"/>
            </w:pPr>
            <w:r>
              <w:rPr>
                <w:rFonts w:ascii="Arial" w:eastAsia="宋体" w:hAnsi="Arial" w:cs="Arial"/>
                <w:b/>
                <w:bCs/>
                <w:color w:val="000000"/>
                <w:sz w:val="14"/>
                <w:szCs w:val="14"/>
              </w:rPr>
              <w:t>2,921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7D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7D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7D8" w14:textId="77777777" w:rsidR="006A3667" w:rsidRDefault="00045F32">
            <w:pPr>
              <w:jc w:val="right"/>
              <w:textAlignment w:val="bottom"/>
            </w:pPr>
            <w:r>
              <w:rPr>
                <w:rFonts w:ascii="Arial" w:eastAsia="宋体" w:hAnsi="Arial" w:cs="Arial"/>
                <w:color w:val="000000"/>
                <w:sz w:val="14"/>
                <w:szCs w:val="14"/>
              </w:rPr>
              <w:t>2,554 </w:t>
            </w:r>
          </w:p>
        </w:tc>
        <w:tc>
          <w:tcPr>
            <w:tcW w:w="0" w:type="auto"/>
            <w:shd w:val="clear" w:color="auto" w:fill="CCEEFF"/>
            <w:tcMar>
              <w:top w:w="40" w:type="dxa"/>
              <w:left w:w="0" w:type="dxa"/>
              <w:bottom w:w="40" w:type="dxa"/>
              <w:right w:w="20" w:type="dxa"/>
            </w:tcMar>
            <w:vAlign w:val="bottom"/>
          </w:tcPr>
          <w:p w14:paraId="71D407D9" w14:textId="77777777" w:rsidR="006A3667" w:rsidRDefault="006A3667">
            <w:pPr>
              <w:jc w:val="right"/>
              <w:rPr>
                <w:rFonts w:ascii="宋体"/>
              </w:rPr>
            </w:pPr>
          </w:p>
        </w:tc>
        <w:tc>
          <w:tcPr>
            <w:tcW w:w="0" w:type="auto"/>
            <w:gridSpan w:val="3"/>
            <w:shd w:val="clear" w:color="auto" w:fill="auto"/>
            <w:vAlign w:val="bottom"/>
          </w:tcPr>
          <w:p w14:paraId="71D407DA" w14:textId="77777777" w:rsidR="006A3667" w:rsidRDefault="006A3667">
            <w:pPr>
              <w:rPr>
                <w:rFonts w:ascii="宋体"/>
                <w:vanish/>
              </w:rPr>
            </w:pPr>
          </w:p>
        </w:tc>
        <w:tc>
          <w:tcPr>
            <w:tcW w:w="0" w:type="auto"/>
            <w:gridSpan w:val="3"/>
            <w:shd w:val="clear" w:color="auto" w:fill="auto"/>
            <w:vAlign w:val="bottom"/>
          </w:tcPr>
          <w:p w14:paraId="71D407DB" w14:textId="77777777" w:rsidR="006A3667" w:rsidRDefault="006A3667">
            <w:pPr>
              <w:rPr>
                <w:rFonts w:ascii="宋体"/>
                <w:vanish/>
              </w:rPr>
            </w:pPr>
          </w:p>
        </w:tc>
        <w:tc>
          <w:tcPr>
            <w:tcW w:w="0" w:type="auto"/>
            <w:gridSpan w:val="3"/>
            <w:shd w:val="clear" w:color="auto" w:fill="auto"/>
            <w:vAlign w:val="bottom"/>
          </w:tcPr>
          <w:p w14:paraId="71D407DC" w14:textId="77777777" w:rsidR="006A3667" w:rsidRDefault="006A3667">
            <w:pPr>
              <w:rPr>
                <w:rFonts w:ascii="宋体"/>
                <w:vanish/>
              </w:rPr>
            </w:pPr>
          </w:p>
        </w:tc>
        <w:tc>
          <w:tcPr>
            <w:tcW w:w="0" w:type="auto"/>
            <w:gridSpan w:val="3"/>
            <w:shd w:val="clear" w:color="auto" w:fill="auto"/>
            <w:vAlign w:val="bottom"/>
          </w:tcPr>
          <w:p w14:paraId="71D407DD" w14:textId="77777777" w:rsidR="006A3667" w:rsidRDefault="006A3667">
            <w:pPr>
              <w:rPr>
                <w:rFonts w:ascii="宋体"/>
                <w:vanish/>
              </w:rPr>
            </w:pPr>
          </w:p>
        </w:tc>
        <w:tc>
          <w:tcPr>
            <w:tcW w:w="0" w:type="auto"/>
            <w:gridSpan w:val="3"/>
            <w:shd w:val="clear" w:color="auto" w:fill="auto"/>
            <w:vAlign w:val="bottom"/>
          </w:tcPr>
          <w:p w14:paraId="71D407DE" w14:textId="77777777" w:rsidR="006A3667" w:rsidRDefault="006A3667">
            <w:pPr>
              <w:rPr>
                <w:rFonts w:ascii="宋体"/>
                <w:vanish/>
              </w:rPr>
            </w:pPr>
          </w:p>
        </w:tc>
        <w:tc>
          <w:tcPr>
            <w:tcW w:w="0" w:type="auto"/>
            <w:gridSpan w:val="3"/>
            <w:shd w:val="clear" w:color="auto" w:fill="auto"/>
            <w:vAlign w:val="bottom"/>
          </w:tcPr>
          <w:p w14:paraId="71D407DF" w14:textId="77777777" w:rsidR="006A3667" w:rsidRDefault="006A3667">
            <w:pPr>
              <w:rPr>
                <w:rFonts w:ascii="宋体"/>
                <w:vanish/>
              </w:rPr>
            </w:pPr>
          </w:p>
        </w:tc>
      </w:tr>
      <w:tr w:rsidR="006A3667" w14:paraId="71D407EB" w14:textId="77777777">
        <w:trPr>
          <w:hidden/>
        </w:trPr>
        <w:tc>
          <w:tcPr>
            <w:tcW w:w="0" w:type="auto"/>
            <w:gridSpan w:val="3"/>
            <w:shd w:val="clear" w:color="auto" w:fill="auto"/>
            <w:vAlign w:val="bottom"/>
          </w:tcPr>
          <w:p w14:paraId="71D407E1" w14:textId="77777777" w:rsidR="006A3667" w:rsidRDefault="006A3667">
            <w:pPr>
              <w:rPr>
                <w:rFonts w:ascii="宋体"/>
                <w:vanish/>
              </w:rPr>
            </w:pPr>
          </w:p>
        </w:tc>
        <w:tc>
          <w:tcPr>
            <w:tcW w:w="0" w:type="auto"/>
            <w:gridSpan w:val="3"/>
            <w:shd w:val="clear" w:color="auto" w:fill="auto"/>
            <w:vAlign w:val="bottom"/>
          </w:tcPr>
          <w:p w14:paraId="71D407E2" w14:textId="77777777" w:rsidR="006A3667" w:rsidRDefault="006A3667">
            <w:pPr>
              <w:rPr>
                <w:rFonts w:ascii="宋体"/>
                <w:vanish/>
              </w:rPr>
            </w:pPr>
          </w:p>
        </w:tc>
        <w:tc>
          <w:tcPr>
            <w:tcW w:w="0" w:type="auto"/>
            <w:gridSpan w:val="3"/>
            <w:shd w:val="clear" w:color="auto" w:fill="auto"/>
            <w:vAlign w:val="bottom"/>
          </w:tcPr>
          <w:p w14:paraId="71D407E3" w14:textId="77777777" w:rsidR="006A3667" w:rsidRDefault="006A3667">
            <w:pPr>
              <w:rPr>
                <w:rFonts w:ascii="宋体"/>
                <w:vanish/>
              </w:rPr>
            </w:pPr>
          </w:p>
        </w:tc>
        <w:tc>
          <w:tcPr>
            <w:tcW w:w="0" w:type="auto"/>
            <w:gridSpan w:val="3"/>
            <w:shd w:val="clear" w:color="auto" w:fill="auto"/>
            <w:vAlign w:val="bottom"/>
          </w:tcPr>
          <w:p w14:paraId="71D407E4" w14:textId="77777777" w:rsidR="006A3667" w:rsidRDefault="006A3667">
            <w:pPr>
              <w:rPr>
                <w:rFonts w:ascii="宋体"/>
                <w:vanish/>
              </w:rPr>
            </w:pPr>
          </w:p>
        </w:tc>
        <w:tc>
          <w:tcPr>
            <w:tcW w:w="0" w:type="auto"/>
            <w:gridSpan w:val="3"/>
            <w:shd w:val="clear" w:color="auto" w:fill="auto"/>
            <w:vAlign w:val="bottom"/>
          </w:tcPr>
          <w:p w14:paraId="71D407E5" w14:textId="77777777" w:rsidR="006A3667" w:rsidRDefault="006A3667">
            <w:pPr>
              <w:rPr>
                <w:rFonts w:ascii="宋体"/>
                <w:vanish/>
              </w:rPr>
            </w:pPr>
          </w:p>
        </w:tc>
        <w:tc>
          <w:tcPr>
            <w:tcW w:w="0" w:type="auto"/>
            <w:gridSpan w:val="3"/>
            <w:shd w:val="clear" w:color="auto" w:fill="auto"/>
            <w:vAlign w:val="bottom"/>
          </w:tcPr>
          <w:p w14:paraId="71D407E6" w14:textId="77777777" w:rsidR="006A3667" w:rsidRDefault="006A3667">
            <w:pPr>
              <w:rPr>
                <w:rFonts w:ascii="宋体"/>
                <w:vanish/>
              </w:rPr>
            </w:pPr>
          </w:p>
        </w:tc>
        <w:tc>
          <w:tcPr>
            <w:tcW w:w="0" w:type="auto"/>
            <w:gridSpan w:val="3"/>
            <w:shd w:val="clear" w:color="auto" w:fill="auto"/>
            <w:vAlign w:val="bottom"/>
          </w:tcPr>
          <w:p w14:paraId="71D407E7" w14:textId="77777777" w:rsidR="006A3667" w:rsidRDefault="006A3667">
            <w:pPr>
              <w:rPr>
                <w:rFonts w:ascii="宋体"/>
                <w:vanish/>
              </w:rPr>
            </w:pPr>
          </w:p>
        </w:tc>
        <w:tc>
          <w:tcPr>
            <w:tcW w:w="0" w:type="auto"/>
            <w:gridSpan w:val="3"/>
            <w:shd w:val="clear" w:color="auto" w:fill="auto"/>
            <w:vAlign w:val="bottom"/>
          </w:tcPr>
          <w:p w14:paraId="71D407E8" w14:textId="77777777" w:rsidR="006A3667" w:rsidRDefault="006A3667">
            <w:pPr>
              <w:rPr>
                <w:rFonts w:ascii="宋体"/>
                <w:vanish/>
              </w:rPr>
            </w:pPr>
          </w:p>
        </w:tc>
        <w:tc>
          <w:tcPr>
            <w:tcW w:w="0" w:type="auto"/>
            <w:gridSpan w:val="3"/>
            <w:shd w:val="clear" w:color="auto" w:fill="auto"/>
            <w:vAlign w:val="bottom"/>
          </w:tcPr>
          <w:p w14:paraId="71D407E9" w14:textId="77777777" w:rsidR="006A3667" w:rsidRDefault="006A3667">
            <w:pPr>
              <w:rPr>
                <w:rFonts w:ascii="宋体"/>
                <w:vanish/>
              </w:rPr>
            </w:pPr>
          </w:p>
        </w:tc>
        <w:tc>
          <w:tcPr>
            <w:tcW w:w="0" w:type="auto"/>
            <w:gridSpan w:val="3"/>
            <w:shd w:val="clear" w:color="auto" w:fill="auto"/>
            <w:vAlign w:val="bottom"/>
          </w:tcPr>
          <w:p w14:paraId="71D407EA" w14:textId="77777777" w:rsidR="006A3667" w:rsidRDefault="006A3667">
            <w:pPr>
              <w:rPr>
                <w:rFonts w:ascii="宋体"/>
                <w:vanish/>
              </w:rPr>
            </w:pPr>
          </w:p>
        </w:tc>
      </w:tr>
      <w:tr w:rsidR="006A3667" w14:paraId="71D407F8" w14:textId="77777777">
        <w:tc>
          <w:tcPr>
            <w:tcW w:w="0" w:type="auto"/>
            <w:gridSpan w:val="3"/>
            <w:shd w:val="clear" w:color="auto" w:fill="FFFFFF"/>
            <w:tcMar>
              <w:top w:w="40" w:type="dxa"/>
              <w:left w:w="245" w:type="dxa"/>
              <w:bottom w:w="40" w:type="dxa"/>
              <w:right w:w="20" w:type="dxa"/>
            </w:tcMar>
            <w:vAlign w:val="bottom"/>
          </w:tcPr>
          <w:p w14:paraId="71D407EC" w14:textId="77777777" w:rsidR="006A3667" w:rsidRDefault="00045F32">
            <w:pP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7ED" w14:textId="77777777" w:rsidR="006A3667" w:rsidRDefault="00045F32">
            <w:pPr>
              <w:jc w:val="right"/>
              <w:textAlignment w:val="bottom"/>
            </w:pPr>
            <w:r>
              <w:rPr>
                <w:rFonts w:ascii="Arial" w:eastAsia="宋体" w:hAnsi="Arial" w:cs="Arial"/>
                <w:b/>
                <w:bCs/>
                <w:color w:val="000000"/>
                <w:sz w:val="14"/>
                <w:szCs w:val="14"/>
              </w:rPr>
              <w:t>22,281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7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7E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7F0" w14:textId="77777777" w:rsidR="006A3667" w:rsidRDefault="00045F32">
            <w:pPr>
              <w:jc w:val="right"/>
              <w:textAlignment w:val="bottom"/>
            </w:pPr>
            <w:r>
              <w:rPr>
                <w:rFonts w:ascii="Arial" w:eastAsia="宋体" w:hAnsi="Arial" w:cs="Arial"/>
                <w:color w:val="000000"/>
                <w:sz w:val="14"/>
                <w:szCs w:val="14"/>
              </w:rPr>
              <w:t>22,114 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7F1" w14:textId="77777777" w:rsidR="006A3667" w:rsidRDefault="006A3667">
            <w:pPr>
              <w:jc w:val="right"/>
              <w:rPr>
                <w:rFonts w:ascii="宋体"/>
              </w:rPr>
            </w:pPr>
          </w:p>
        </w:tc>
        <w:tc>
          <w:tcPr>
            <w:tcW w:w="0" w:type="auto"/>
            <w:gridSpan w:val="3"/>
            <w:shd w:val="clear" w:color="auto" w:fill="auto"/>
            <w:vAlign w:val="bottom"/>
          </w:tcPr>
          <w:p w14:paraId="71D407F2" w14:textId="77777777" w:rsidR="006A3667" w:rsidRDefault="006A3667">
            <w:pPr>
              <w:rPr>
                <w:rFonts w:ascii="宋体"/>
                <w:vanish/>
              </w:rPr>
            </w:pPr>
          </w:p>
        </w:tc>
        <w:tc>
          <w:tcPr>
            <w:tcW w:w="0" w:type="auto"/>
            <w:gridSpan w:val="3"/>
            <w:shd w:val="clear" w:color="auto" w:fill="auto"/>
            <w:vAlign w:val="bottom"/>
          </w:tcPr>
          <w:p w14:paraId="71D407F3" w14:textId="77777777" w:rsidR="006A3667" w:rsidRDefault="006A3667">
            <w:pPr>
              <w:rPr>
                <w:rFonts w:ascii="宋体"/>
                <w:vanish/>
              </w:rPr>
            </w:pPr>
          </w:p>
        </w:tc>
        <w:tc>
          <w:tcPr>
            <w:tcW w:w="0" w:type="auto"/>
            <w:gridSpan w:val="3"/>
            <w:shd w:val="clear" w:color="auto" w:fill="auto"/>
            <w:vAlign w:val="bottom"/>
          </w:tcPr>
          <w:p w14:paraId="71D407F4" w14:textId="77777777" w:rsidR="006A3667" w:rsidRDefault="006A3667">
            <w:pPr>
              <w:rPr>
                <w:rFonts w:ascii="宋体"/>
                <w:vanish/>
              </w:rPr>
            </w:pPr>
          </w:p>
        </w:tc>
        <w:tc>
          <w:tcPr>
            <w:tcW w:w="0" w:type="auto"/>
            <w:gridSpan w:val="3"/>
            <w:shd w:val="clear" w:color="auto" w:fill="auto"/>
            <w:vAlign w:val="bottom"/>
          </w:tcPr>
          <w:p w14:paraId="71D407F5" w14:textId="77777777" w:rsidR="006A3667" w:rsidRDefault="006A3667">
            <w:pPr>
              <w:rPr>
                <w:rFonts w:ascii="宋体"/>
                <w:vanish/>
              </w:rPr>
            </w:pPr>
          </w:p>
        </w:tc>
        <w:tc>
          <w:tcPr>
            <w:tcW w:w="0" w:type="auto"/>
            <w:gridSpan w:val="3"/>
            <w:shd w:val="clear" w:color="auto" w:fill="auto"/>
            <w:vAlign w:val="bottom"/>
          </w:tcPr>
          <w:p w14:paraId="71D407F6" w14:textId="77777777" w:rsidR="006A3667" w:rsidRDefault="006A3667">
            <w:pPr>
              <w:rPr>
                <w:rFonts w:ascii="宋体"/>
                <w:vanish/>
              </w:rPr>
            </w:pPr>
          </w:p>
        </w:tc>
        <w:tc>
          <w:tcPr>
            <w:tcW w:w="0" w:type="auto"/>
            <w:gridSpan w:val="3"/>
            <w:shd w:val="clear" w:color="auto" w:fill="auto"/>
            <w:vAlign w:val="bottom"/>
          </w:tcPr>
          <w:p w14:paraId="71D407F7" w14:textId="77777777" w:rsidR="006A3667" w:rsidRDefault="006A3667">
            <w:pPr>
              <w:rPr>
                <w:rFonts w:ascii="宋体"/>
                <w:vanish/>
              </w:rPr>
            </w:pPr>
          </w:p>
        </w:tc>
      </w:tr>
      <w:tr w:rsidR="006A3667" w14:paraId="71D40803" w14:textId="77777777">
        <w:tc>
          <w:tcPr>
            <w:tcW w:w="0" w:type="auto"/>
            <w:gridSpan w:val="3"/>
            <w:shd w:val="clear" w:color="auto" w:fill="CCEEFF"/>
            <w:tcMar>
              <w:top w:w="40" w:type="dxa"/>
              <w:left w:w="20" w:type="dxa"/>
              <w:bottom w:w="40" w:type="dxa"/>
              <w:right w:w="20" w:type="dxa"/>
            </w:tcMar>
            <w:vAlign w:val="bottom"/>
          </w:tcPr>
          <w:p w14:paraId="71D407F9" w14:textId="77777777" w:rsidR="006A3667" w:rsidRDefault="00045F32">
            <w:pP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07F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07FB"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07FC" w14:textId="77777777" w:rsidR="006A3667" w:rsidRDefault="006A3667">
            <w:pPr>
              <w:rPr>
                <w:rFonts w:ascii="宋体"/>
              </w:rPr>
            </w:pPr>
          </w:p>
        </w:tc>
        <w:tc>
          <w:tcPr>
            <w:tcW w:w="0" w:type="auto"/>
            <w:gridSpan w:val="3"/>
            <w:shd w:val="clear" w:color="auto" w:fill="auto"/>
            <w:vAlign w:val="bottom"/>
          </w:tcPr>
          <w:p w14:paraId="71D407FD" w14:textId="77777777" w:rsidR="006A3667" w:rsidRDefault="006A3667">
            <w:pPr>
              <w:rPr>
                <w:rFonts w:ascii="宋体"/>
                <w:vanish/>
              </w:rPr>
            </w:pPr>
          </w:p>
        </w:tc>
        <w:tc>
          <w:tcPr>
            <w:tcW w:w="0" w:type="auto"/>
            <w:gridSpan w:val="3"/>
            <w:shd w:val="clear" w:color="auto" w:fill="auto"/>
            <w:vAlign w:val="bottom"/>
          </w:tcPr>
          <w:p w14:paraId="71D407FE" w14:textId="77777777" w:rsidR="006A3667" w:rsidRDefault="006A3667">
            <w:pPr>
              <w:rPr>
                <w:rFonts w:ascii="宋体"/>
                <w:vanish/>
              </w:rPr>
            </w:pPr>
          </w:p>
        </w:tc>
        <w:tc>
          <w:tcPr>
            <w:tcW w:w="0" w:type="auto"/>
            <w:gridSpan w:val="3"/>
            <w:shd w:val="clear" w:color="auto" w:fill="auto"/>
            <w:vAlign w:val="bottom"/>
          </w:tcPr>
          <w:p w14:paraId="71D407FF" w14:textId="77777777" w:rsidR="006A3667" w:rsidRDefault="006A3667">
            <w:pPr>
              <w:rPr>
                <w:rFonts w:ascii="宋体"/>
                <w:vanish/>
              </w:rPr>
            </w:pPr>
          </w:p>
        </w:tc>
        <w:tc>
          <w:tcPr>
            <w:tcW w:w="0" w:type="auto"/>
            <w:gridSpan w:val="3"/>
            <w:shd w:val="clear" w:color="auto" w:fill="auto"/>
            <w:vAlign w:val="bottom"/>
          </w:tcPr>
          <w:p w14:paraId="71D40800" w14:textId="77777777" w:rsidR="006A3667" w:rsidRDefault="006A3667">
            <w:pPr>
              <w:rPr>
                <w:rFonts w:ascii="宋体"/>
                <w:vanish/>
              </w:rPr>
            </w:pPr>
          </w:p>
        </w:tc>
        <w:tc>
          <w:tcPr>
            <w:tcW w:w="0" w:type="auto"/>
            <w:gridSpan w:val="3"/>
            <w:shd w:val="clear" w:color="auto" w:fill="auto"/>
            <w:vAlign w:val="bottom"/>
          </w:tcPr>
          <w:p w14:paraId="71D40801" w14:textId="77777777" w:rsidR="006A3667" w:rsidRDefault="006A3667">
            <w:pPr>
              <w:rPr>
                <w:rFonts w:ascii="宋体"/>
                <w:vanish/>
              </w:rPr>
            </w:pPr>
          </w:p>
        </w:tc>
        <w:tc>
          <w:tcPr>
            <w:tcW w:w="0" w:type="auto"/>
            <w:gridSpan w:val="3"/>
            <w:shd w:val="clear" w:color="auto" w:fill="auto"/>
            <w:vAlign w:val="bottom"/>
          </w:tcPr>
          <w:p w14:paraId="71D40802" w14:textId="77777777" w:rsidR="006A3667" w:rsidRDefault="006A3667">
            <w:pPr>
              <w:rPr>
                <w:rFonts w:ascii="宋体"/>
                <w:vanish/>
              </w:rPr>
            </w:pPr>
          </w:p>
        </w:tc>
      </w:tr>
      <w:tr w:rsidR="006A3667" w14:paraId="71D4080E" w14:textId="77777777">
        <w:tc>
          <w:tcPr>
            <w:tcW w:w="0" w:type="auto"/>
            <w:gridSpan w:val="3"/>
            <w:shd w:val="clear" w:color="auto" w:fill="FFFFFF"/>
            <w:tcMar>
              <w:top w:w="40" w:type="dxa"/>
              <w:left w:w="155" w:type="dxa"/>
              <w:bottom w:w="40" w:type="dxa"/>
              <w:right w:w="20" w:type="dxa"/>
            </w:tcMar>
            <w:vAlign w:val="bottom"/>
          </w:tcPr>
          <w:p w14:paraId="71D40804" w14:textId="77777777" w:rsidR="006A3667" w:rsidRDefault="00045F32">
            <w:pPr>
              <w:textAlignment w:val="bottom"/>
            </w:pPr>
            <w:r>
              <w:rPr>
                <w:rFonts w:ascii="Arial" w:eastAsia="宋体" w:hAnsi="Arial" w:cs="Arial"/>
                <w:color w:val="000000"/>
                <w:sz w:val="14"/>
                <w:szCs w:val="14"/>
              </w:rPr>
              <w:t>Commercial and financial:</w:t>
            </w:r>
          </w:p>
        </w:tc>
        <w:tc>
          <w:tcPr>
            <w:tcW w:w="0" w:type="auto"/>
            <w:gridSpan w:val="3"/>
            <w:shd w:val="clear" w:color="auto" w:fill="FFFFFF"/>
            <w:tcMar>
              <w:top w:w="0" w:type="dxa"/>
              <w:left w:w="20" w:type="dxa"/>
              <w:bottom w:w="0" w:type="dxa"/>
              <w:right w:w="20" w:type="dxa"/>
            </w:tcMar>
            <w:vAlign w:val="bottom"/>
          </w:tcPr>
          <w:p w14:paraId="71D4080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80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807" w14:textId="77777777" w:rsidR="006A3667" w:rsidRDefault="006A3667">
            <w:pPr>
              <w:rPr>
                <w:rFonts w:ascii="宋体"/>
              </w:rPr>
            </w:pPr>
          </w:p>
        </w:tc>
        <w:tc>
          <w:tcPr>
            <w:tcW w:w="0" w:type="auto"/>
            <w:gridSpan w:val="3"/>
            <w:shd w:val="clear" w:color="auto" w:fill="auto"/>
            <w:vAlign w:val="bottom"/>
          </w:tcPr>
          <w:p w14:paraId="71D40808" w14:textId="77777777" w:rsidR="006A3667" w:rsidRDefault="006A3667">
            <w:pPr>
              <w:rPr>
                <w:rFonts w:ascii="宋体"/>
                <w:vanish/>
              </w:rPr>
            </w:pPr>
          </w:p>
        </w:tc>
        <w:tc>
          <w:tcPr>
            <w:tcW w:w="0" w:type="auto"/>
            <w:gridSpan w:val="3"/>
            <w:shd w:val="clear" w:color="auto" w:fill="auto"/>
            <w:vAlign w:val="bottom"/>
          </w:tcPr>
          <w:p w14:paraId="71D40809" w14:textId="77777777" w:rsidR="006A3667" w:rsidRDefault="006A3667">
            <w:pPr>
              <w:rPr>
                <w:rFonts w:ascii="宋体"/>
                <w:vanish/>
              </w:rPr>
            </w:pPr>
          </w:p>
        </w:tc>
        <w:tc>
          <w:tcPr>
            <w:tcW w:w="0" w:type="auto"/>
            <w:gridSpan w:val="3"/>
            <w:shd w:val="clear" w:color="auto" w:fill="auto"/>
            <w:vAlign w:val="bottom"/>
          </w:tcPr>
          <w:p w14:paraId="71D4080A" w14:textId="77777777" w:rsidR="006A3667" w:rsidRDefault="006A3667">
            <w:pPr>
              <w:rPr>
                <w:rFonts w:ascii="宋体"/>
                <w:vanish/>
              </w:rPr>
            </w:pPr>
          </w:p>
        </w:tc>
        <w:tc>
          <w:tcPr>
            <w:tcW w:w="0" w:type="auto"/>
            <w:gridSpan w:val="3"/>
            <w:shd w:val="clear" w:color="auto" w:fill="auto"/>
            <w:vAlign w:val="bottom"/>
          </w:tcPr>
          <w:p w14:paraId="71D4080B" w14:textId="77777777" w:rsidR="006A3667" w:rsidRDefault="006A3667">
            <w:pPr>
              <w:rPr>
                <w:rFonts w:ascii="宋体"/>
                <w:vanish/>
              </w:rPr>
            </w:pPr>
          </w:p>
        </w:tc>
        <w:tc>
          <w:tcPr>
            <w:tcW w:w="0" w:type="auto"/>
            <w:gridSpan w:val="3"/>
            <w:shd w:val="clear" w:color="auto" w:fill="auto"/>
            <w:vAlign w:val="bottom"/>
          </w:tcPr>
          <w:p w14:paraId="71D4080C" w14:textId="77777777" w:rsidR="006A3667" w:rsidRDefault="006A3667">
            <w:pPr>
              <w:rPr>
                <w:rFonts w:ascii="宋体"/>
                <w:vanish/>
              </w:rPr>
            </w:pPr>
          </w:p>
        </w:tc>
        <w:tc>
          <w:tcPr>
            <w:tcW w:w="0" w:type="auto"/>
            <w:gridSpan w:val="3"/>
            <w:shd w:val="clear" w:color="auto" w:fill="auto"/>
            <w:vAlign w:val="bottom"/>
          </w:tcPr>
          <w:p w14:paraId="71D4080D" w14:textId="77777777" w:rsidR="006A3667" w:rsidRDefault="006A3667">
            <w:pPr>
              <w:rPr>
                <w:rFonts w:ascii="宋体"/>
                <w:vanish/>
              </w:rPr>
            </w:pPr>
          </w:p>
        </w:tc>
      </w:tr>
      <w:tr w:rsidR="006A3667" w14:paraId="71D4081B" w14:textId="77777777">
        <w:tc>
          <w:tcPr>
            <w:tcW w:w="0" w:type="auto"/>
            <w:gridSpan w:val="3"/>
            <w:shd w:val="clear" w:color="auto" w:fill="CCEEFF"/>
            <w:tcMar>
              <w:top w:w="40" w:type="dxa"/>
              <w:left w:w="20" w:type="dxa"/>
              <w:bottom w:w="40" w:type="dxa"/>
              <w:right w:w="20" w:type="dxa"/>
            </w:tcMar>
            <w:vAlign w:val="bottom"/>
          </w:tcPr>
          <w:p w14:paraId="71D4080F" w14:textId="77777777" w:rsidR="006A3667" w:rsidRDefault="00045F32">
            <w:pPr>
              <w:textAlignment w:val="bottom"/>
            </w:pPr>
            <w:r>
              <w:rPr>
                <w:rFonts w:ascii="Arial" w:eastAsia="宋体" w:hAnsi="Arial" w:cs="Arial"/>
                <w:color w:val="000000"/>
                <w:sz w:val="14"/>
                <w:szCs w:val="14"/>
              </w:rPr>
              <w:t xml:space="preserve">Fund </w:t>
            </w:r>
            <w:r>
              <w:rPr>
                <w:rFonts w:ascii="Arial" w:eastAsia="宋体" w:hAnsi="Arial" w:cs="Arial"/>
                <w:color w:val="000000"/>
                <w:sz w:val="14"/>
                <w:szCs w:val="14"/>
              </w:rPr>
              <w:t>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0810" w14:textId="77777777" w:rsidR="006A3667" w:rsidRDefault="00045F32">
            <w:pPr>
              <w:jc w:val="right"/>
              <w:textAlignment w:val="bottom"/>
            </w:pPr>
            <w:r>
              <w:rPr>
                <w:rFonts w:ascii="Arial" w:eastAsia="宋体" w:hAnsi="Arial" w:cs="Arial"/>
                <w:b/>
                <w:bCs/>
                <w:color w:val="000000"/>
                <w:sz w:val="14"/>
                <w:szCs w:val="14"/>
              </w:rPr>
              <w:t>8,454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8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81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813" w14:textId="77777777" w:rsidR="006A3667" w:rsidRDefault="00045F32">
            <w:pPr>
              <w:jc w:val="right"/>
              <w:textAlignment w:val="bottom"/>
            </w:pPr>
            <w:r>
              <w:rPr>
                <w:rFonts w:ascii="Arial" w:eastAsia="宋体" w:hAnsi="Arial" w:cs="Arial"/>
                <w:color w:val="000000"/>
                <w:sz w:val="14"/>
                <w:szCs w:val="14"/>
              </w:rPr>
              <w:t>7,778 </w:t>
            </w:r>
          </w:p>
        </w:tc>
        <w:tc>
          <w:tcPr>
            <w:tcW w:w="0" w:type="auto"/>
            <w:shd w:val="clear" w:color="auto" w:fill="CCEEFF"/>
            <w:tcMar>
              <w:top w:w="40" w:type="dxa"/>
              <w:left w:w="0" w:type="dxa"/>
              <w:bottom w:w="40" w:type="dxa"/>
              <w:right w:w="20" w:type="dxa"/>
            </w:tcMar>
            <w:vAlign w:val="bottom"/>
          </w:tcPr>
          <w:p w14:paraId="71D40814" w14:textId="77777777" w:rsidR="006A3667" w:rsidRDefault="006A3667">
            <w:pPr>
              <w:jc w:val="right"/>
              <w:rPr>
                <w:rFonts w:ascii="宋体"/>
              </w:rPr>
            </w:pPr>
          </w:p>
        </w:tc>
        <w:tc>
          <w:tcPr>
            <w:tcW w:w="0" w:type="auto"/>
            <w:gridSpan w:val="3"/>
            <w:shd w:val="clear" w:color="auto" w:fill="auto"/>
            <w:vAlign w:val="bottom"/>
          </w:tcPr>
          <w:p w14:paraId="71D40815" w14:textId="77777777" w:rsidR="006A3667" w:rsidRDefault="006A3667">
            <w:pPr>
              <w:rPr>
                <w:rFonts w:ascii="宋体"/>
                <w:vanish/>
              </w:rPr>
            </w:pPr>
          </w:p>
        </w:tc>
        <w:tc>
          <w:tcPr>
            <w:tcW w:w="0" w:type="auto"/>
            <w:gridSpan w:val="3"/>
            <w:shd w:val="clear" w:color="auto" w:fill="auto"/>
            <w:vAlign w:val="bottom"/>
          </w:tcPr>
          <w:p w14:paraId="71D40816" w14:textId="77777777" w:rsidR="006A3667" w:rsidRDefault="006A3667">
            <w:pPr>
              <w:rPr>
                <w:rFonts w:ascii="宋体"/>
                <w:vanish/>
              </w:rPr>
            </w:pPr>
          </w:p>
        </w:tc>
        <w:tc>
          <w:tcPr>
            <w:tcW w:w="0" w:type="auto"/>
            <w:gridSpan w:val="3"/>
            <w:shd w:val="clear" w:color="auto" w:fill="auto"/>
            <w:vAlign w:val="bottom"/>
          </w:tcPr>
          <w:p w14:paraId="71D40817" w14:textId="77777777" w:rsidR="006A3667" w:rsidRDefault="006A3667">
            <w:pPr>
              <w:rPr>
                <w:rFonts w:ascii="宋体"/>
                <w:vanish/>
              </w:rPr>
            </w:pPr>
          </w:p>
        </w:tc>
        <w:tc>
          <w:tcPr>
            <w:tcW w:w="0" w:type="auto"/>
            <w:gridSpan w:val="3"/>
            <w:shd w:val="clear" w:color="auto" w:fill="auto"/>
            <w:vAlign w:val="bottom"/>
          </w:tcPr>
          <w:p w14:paraId="71D40818" w14:textId="77777777" w:rsidR="006A3667" w:rsidRDefault="006A3667">
            <w:pPr>
              <w:rPr>
                <w:rFonts w:ascii="宋体"/>
                <w:vanish/>
              </w:rPr>
            </w:pPr>
          </w:p>
        </w:tc>
        <w:tc>
          <w:tcPr>
            <w:tcW w:w="0" w:type="auto"/>
            <w:gridSpan w:val="3"/>
            <w:shd w:val="clear" w:color="auto" w:fill="auto"/>
            <w:vAlign w:val="bottom"/>
          </w:tcPr>
          <w:p w14:paraId="71D40819" w14:textId="77777777" w:rsidR="006A3667" w:rsidRDefault="006A3667">
            <w:pPr>
              <w:rPr>
                <w:rFonts w:ascii="宋体"/>
                <w:vanish/>
              </w:rPr>
            </w:pPr>
          </w:p>
        </w:tc>
        <w:tc>
          <w:tcPr>
            <w:tcW w:w="0" w:type="auto"/>
            <w:gridSpan w:val="3"/>
            <w:shd w:val="clear" w:color="auto" w:fill="auto"/>
            <w:vAlign w:val="bottom"/>
          </w:tcPr>
          <w:p w14:paraId="71D4081A" w14:textId="77777777" w:rsidR="006A3667" w:rsidRDefault="006A3667">
            <w:pPr>
              <w:rPr>
                <w:rFonts w:ascii="宋体"/>
                <w:vanish/>
              </w:rPr>
            </w:pPr>
          </w:p>
        </w:tc>
      </w:tr>
      <w:tr w:rsidR="006A3667" w14:paraId="71D40828" w14:textId="77777777">
        <w:tc>
          <w:tcPr>
            <w:tcW w:w="0" w:type="auto"/>
            <w:gridSpan w:val="3"/>
            <w:shd w:val="clear" w:color="auto" w:fill="FFFFFF"/>
            <w:tcMar>
              <w:top w:w="40" w:type="dxa"/>
              <w:left w:w="245" w:type="dxa"/>
              <w:bottom w:w="40" w:type="dxa"/>
              <w:right w:w="20" w:type="dxa"/>
            </w:tcMar>
            <w:vAlign w:val="bottom"/>
          </w:tcPr>
          <w:p w14:paraId="71D4081C" w14:textId="77777777" w:rsidR="006A3667" w:rsidRDefault="00045F32">
            <w:pP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71D4081D" w14:textId="77777777" w:rsidR="006A3667" w:rsidRDefault="00045F32">
            <w:pPr>
              <w:jc w:val="right"/>
              <w:textAlignment w:val="bottom"/>
            </w:pPr>
            <w:r>
              <w:rPr>
                <w:rFonts w:ascii="Arial" w:eastAsia="宋体" w:hAnsi="Arial" w:cs="Arial"/>
                <w:b/>
                <w:bCs/>
                <w:color w:val="000000"/>
                <w:sz w:val="14"/>
                <w:szCs w:val="14"/>
              </w:rPr>
              <w:t>1,006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81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81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820" w14:textId="77777777" w:rsidR="006A3667" w:rsidRDefault="00045F32">
            <w:pPr>
              <w:jc w:val="right"/>
              <w:textAlignment w:val="bottom"/>
            </w:pPr>
            <w:r>
              <w:rPr>
                <w:rFonts w:ascii="Arial" w:eastAsia="宋体" w:hAnsi="Arial" w:cs="Arial"/>
                <w:color w:val="000000"/>
                <w:sz w:val="14"/>
                <w:szCs w:val="14"/>
              </w:rPr>
              <w:t>1,328 </w:t>
            </w:r>
          </w:p>
        </w:tc>
        <w:tc>
          <w:tcPr>
            <w:tcW w:w="0" w:type="auto"/>
            <w:shd w:val="clear" w:color="auto" w:fill="FFFFFF"/>
            <w:tcMar>
              <w:top w:w="40" w:type="dxa"/>
              <w:left w:w="0" w:type="dxa"/>
              <w:bottom w:w="40" w:type="dxa"/>
              <w:right w:w="20" w:type="dxa"/>
            </w:tcMar>
            <w:vAlign w:val="bottom"/>
          </w:tcPr>
          <w:p w14:paraId="71D40821" w14:textId="77777777" w:rsidR="006A3667" w:rsidRDefault="006A3667">
            <w:pPr>
              <w:jc w:val="right"/>
              <w:rPr>
                <w:rFonts w:ascii="宋体"/>
              </w:rPr>
            </w:pPr>
          </w:p>
        </w:tc>
        <w:tc>
          <w:tcPr>
            <w:tcW w:w="0" w:type="auto"/>
            <w:gridSpan w:val="3"/>
            <w:shd w:val="clear" w:color="auto" w:fill="auto"/>
            <w:vAlign w:val="bottom"/>
          </w:tcPr>
          <w:p w14:paraId="71D40822" w14:textId="77777777" w:rsidR="006A3667" w:rsidRDefault="006A3667">
            <w:pPr>
              <w:rPr>
                <w:rFonts w:ascii="宋体"/>
                <w:vanish/>
              </w:rPr>
            </w:pPr>
          </w:p>
        </w:tc>
        <w:tc>
          <w:tcPr>
            <w:tcW w:w="0" w:type="auto"/>
            <w:gridSpan w:val="3"/>
            <w:shd w:val="clear" w:color="auto" w:fill="auto"/>
            <w:vAlign w:val="bottom"/>
          </w:tcPr>
          <w:p w14:paraId="71D40823" w14:textId="77777777" w:rsidR="006A3667" w:rsidRDefault="006A3667">
            <w:pPr>
              <w:rPr>
                <w:rFonts w:ascii="宋体"/>
                <w:vanish/>
              </w:rPr>
            </w:pPr>
          </w:p>
        </w:tc>
        <w:tc>
          <w:tcPr>
            <w:tcW w:w="0" w:type="auto"/>
            <w:gridSpan w:val="3"/>
            <w:shd w:val="clear" w:color="auto" w:fill="auto"/>
            <w:vAlign w:val="bottom"/>
          </w:tcPr>
          <w:p w14:paraId="71D40824" w14:textId="77777777" w:rsidR="006A3667" w:rsidRDefault="006A3667">
            <w:pPr>
              <w:rPr>
                <w:rFonts w:ascii="宋体"/>
                <w:vanish/>
              </w:rPr>
            </w:pPr>
          </w:p>
        </w:tc>
        <w:tc>
          <w:tcPr>
            <w:tcW w:w="0" w:type="auto"/>
            <w:gridSpan w:val="3"/>
            <w:shd w:val="clear" w:color="auto" w:fill="auto"/>
            <w:vAlign w:val="bottom"/>
          </w:tcPr>
          <w:p w14:paraId="71D40825" w14:textId="77777777" w:rsidR="006A3667" w:rsidRDefault="006A3667">
            <w:pPr>
              <w:rPr>
                <w:rFonts w:ascii="宋体"/>
                <w:vanish/>
              </w:rPr>
            </w:pPr>
          </w:p>
        </w:tc>
        <w:tc>
          <w:tcPr>
            <w:tcW w:w="0" w:type="auto"/>
            <w:gridSpan w:val="3"/>
            <w:shd w:val="clear" w:color="auto" w:fill="auto"/>
            <w:vAlign w:val="bottom"/>
          </w:tcPr>
          <w:p w14:paraId="71D40826" w14:textId="77777777" w:rsidR="006A3667" w:rsidRDefault="006A3667">
            <w:pPr>
              <w:rPr>
                <w:rFonts w:ascii="宋体"/>
                <w:vanish/>
              </w:rPr>
            </w:pPr>
          </w:p>
        </w:tc>
        <w:tc>
          <w:tcPr>
            <w:tcW w:w="0" w:type="auto"/>
            <w:gridSpan w:val="3"/>
            <w:shd w:val="clear" w:color="auto" w:fill="auto"/>
            <w:vAlign w:val="bottom"/>
          </w:tcPr>
          <w:p w14:paraId="71D40827" w14:textId="77777777" w:rsidR="006A3667" w:rsidRDefault="006A3667">
            <w:pPr>
              <w:rPr>
                <w:rFonts w:ascii="宋体"/>
                <w:vanish/>
              </w:rPr>
            </w:pPr>
          </w:p>
        </w:tc>
      </w:tr>
      <w:tr w:rsidR="006A3667" w14:paraId="71D40833" w14:textId="77777777">
        <w:trPr>
          <w:hidden/>
        </w:trPr>
        <w:tc>
          <w:tcPr>
            <w:tcW w:w="0" w:type="auto"/>
            <w:gridSpan w:val="3"/>
            <w:shd w:val="clear" w:color="auto" w:fill="auto"/>
            <w:vAlign w:val="bottom"/>
          </w:tcPr>
          <w:p w14:paraId="71D40829" w14:textId="77777777" w:rsidR="006A3667" w:rsidRDefault="006A3667">
            <w:pPr>
              <w:rPr>
                <w:rFonts w:ascii="宋体"/>
                <w:vanish/>
              </w:rPr>
            </w:pPr>
          </w:p>
        </w:tc>
        <w:tc>
          <w:tcPr>
            <w:tcW w:w="0" w:type="auto"/>
            <w:gridSpan w:val="3"/>
            <w:shd w:val="clear" w:color="auto" w:fill="auto"/>
            <w:vAlign w:val="bottom"/>
          </w:tcPr>
          <w:p w14:paraId="71D4082A" w14:textId="77777777" w:rsidR="006A3667" w:rsidRDefault="006A3667">
            <w:pPr>
              <w:rPr>
                <w:rFonts w:ascii="宋体"/>
                <w:vanish/>
              </w:rPr>
            </w:pPr>
          </w:p>
        </w:tc>
        <w:tc>
          <w:tcPr>
            <w:tcW w:w="0" w:type="auto"/>
            <w:gridSpan w:val="3"/>
            <w:shd w:val="clear" w:color="auto" w:fill="auto"/>
            <w:vAlign w:val="bottom"/>
          </w:tcPr>
          <w:p w14:paraId="71D4082B" w14:textId="77777777" w:rsidR="006A3667" w:rsidRDefault="006A3667">
            <w:pPr>
              <w:rPr>
                <w:rFonts w:ascii="宋体"/>
                <w:vanish/>
              </w:rPr>
            </w:pPr>
          </w:p>
        </w:tc>
        <w:tc>
          <w:tcPr>
            <w:tcW w:w="0" w:type="auto"/>
            <w:gridSpan w:val="3"/>
            <w:shd w:val="clear" w:color="auto" w:fill="auto"/>
            <w:vAlign w:val="bottom"/>
          </w:tcPr>
          <w:p w14:paraId="71D4082C" w14:textId="77777777" w:rsidR="006A3667" w:rsidRDefault="006A3667">
            <w:pPr>
              <w:rPr>
                <w:rFonts w:ascii="宋体"/>
                <w:vanish/>
              </w:rPr>
            </w:pPr>
          </w:p>
        </w:tc>
        <w:tc>
          <w:tcPr>
            <w:tcW w:w="0" w:type="auto"/>
            <w:gridSpan w:val="3"/>
            <w:shd w:val="clear" w:color="auto" w:fill="auto"/>
            <w:vAlign w:val="bottom"/>
          </w:tcPr>
          <w:p w14:paraId="71D4082D" w14:textId="77777777" w:rsidR="006A3667" w:rsidRDefault="006A3667">
            <w:pPr>
              <w:rPr>
                <w:rFonts w:ascii="宋体"/>
                <w:vanish/>
              </w:rPr>
            </w:pPr>
          </w:p>
        </w:tc>
        <w:tc>
          <w:tcPr>
            <w:tcW w:w="0" w:type="auto"/>
            <w:gridSpan w:val="3"/>
            <w:shd w:val="clear" w:color="auto" w:fill="auto"/>
            <w:vAlign w:val="bottom"/>
          </w:tcPr>
          <w:p w14:paraId="71D4082E" w14:textId="77777777" w:rsidR="006A3667" w:rsidRDefault="006A3667">
            <w:pPr>
              <w:rPr>
                <w:rFonts w:ascii="宋体"/>
                <w:vanish/>
              </w:rPr>
            </w:pPr>
          </w:p>
        </w:tc>
        <w:tc>
          <w:tcPr>
            <w:tcW w:w="0" w:type="auto"/>
            <w:gridSpan w:val="3"/>
            <w:shd w:val="clear" w:color="auto" w:fill="auto"/>
            <w:vAlign w:val="bottom"/>
          </w:tcPr>
          <w:p w14:paraId="71D4082F" w14:textId="77777777" w:rsidR="006A3667" w:rsidRDefault="006A3667">
            <w:pPr>
              <w:rPr>
                <w:rFonts w:ascii="宋体"/>
                <w:vanish/>
              </w:rPr>
            </w:pPr>
          </w:p>
        </w:tc>
        <w:tc>
          <w:tcPr>
            <w:tcW w:w="0" w:type="auto"/>
            <w:gridSpan w:val="3"/>
            <w:shd w:val="clear" w:color="auto" w:fill="auto"/>
            <w:vAlign w:val="bottom"/>
          </w:tcPr>
          <w:p w14:paraId="71D40830" w14:textId="77777777" w:rsidR="006A3667" w:rsidRDefault="006A3667">
            <w:pPr>
              <w:rPr>
                <w:rFonts w:ascii="宋体"/>
                <w:vanish/>
              </w:rPr>
            </w:pPr>
          </w:p>
        </w:tc>
        <w:tc>
          <w:tcPr>
            <w:tcW w:w="0" w:type="auto"/>
            <w:gridSpan w:val="3"/>
            <w:shd w:val="clear" w:color="auto" w:fill="auto"/>
            <w:vAlign w:val="bottom"/>
          </w:tcPr>
          <w:p w14:paraId="71D40831" w14:textId="77777777" w:rsidR="006A3667" w:rsidRDefault="006A3667">
            <w:pPr>
              <w:rPr>
                <w:rFonts w:ascii="宋体"/>
                <w:vanish/>
              </w:rPr>
            </w:pPr>
          </w:p>
        </w:tc>
        <w:tc>
          <w:tcPr>
            <w:tcW w:w="0" w:type="auto"/>
            <w:gridSpan w:val="3"/>
            <w:shd w:val="clear" w:color="auto" w:fill="auto"/>
            <w:vAlign w:val="bottom"/>
          </w:tcPr>
          <w:p w14:paraId="71D40832" w14:textId="77777777" w:rsidR="006A3667" w:rsidRDefault="006A3667">
            <w:pPr>
              <w:rPr>
                <w:rFonts w:ascii="宋体"/>
                <w:vanish/>
              </w:rPr>
            </w:pPr>
          </w:p>
        </w:tc>
      </w:tr>
      <w:tr w:rsidR="006A3667" w14:paraId="71D40840" w14:textId="77777777">
        <w:tc>
          <w:tcPr>
            <w:tcW w:w="0" w:type="auto"/>
            <w:gridSpan w:val="3"/>
            <w:shd w:val="clear" w:color="auto" w:fill="CCEEFF"/>
            <w:tcMar>
              <w:top w:w="40" w:type="dxa"/>
              <w:left w:w="245" w:type="dxa"/>
              <w:bottom w:w="40" w:type="dxa"/>
              <w:right w:w="20" w:type="dxa"/>
            </w:tcMar>
            <w:vAlign w:val="bottom"/>
          </w:tcPr>
          <w:p w14:paraId="71D40834" w14:textId="77777777" w:rsidR="006A3667" w:rsidRDefault="00045F32">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71D40835" w14:textId="77777777" w:rsidR="006A3667" w:rsidRDefault="00045F32">
            <w:pPr>
              <w:jc w:val="right"/>
              <w:textAlignment w:val="bottom"/>
            </w:pPr>
            <w:r>
              <w:rPr>
                <w:rFonts w:ascii="Arial" w:eastAsia="宋体" w:hAnsi="Arial" w:cs="Arial"/>
                <w:b/>
                <w:bCs/>
                <w:color w:val="000000"/>
                <w:sz w:val="14"/>
                <w:szCs w:val="14"/>
              </w:rPr>
              <w:t>4,372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83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83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838" w14:textId="77777777" w:rsidR="006A3667" w:rsidRDefault="00045F32">
            <w:pPr>
              <w:jc w:val="right"/>
              <w:textAlignment w:val="bottom"/>
            </w:pPr>
            <w:r>
              <w:rPr>
                <w:rFonts w:ascii="Arial" w:eastAsia="宋体" w:hAnsi="Arial" w:cs="Arial"/>
                <w:color w:val="000000"/>
                <w:sz w:val="14"/>
                <w:szCs w:val="14"/>
              </w:rPr>
              <w:t>1,312 </w:t>
            </w:r>
          </w:p>
        </w:tc>
        <w:tc>
          <w:tcPr>
            <w:tcW w:w="0" w:type="auto"/>
            <w:shd w:val="clear" w:color="auto" w:fill="CCEEFF"/>
            <w:tcMar>
              <w:top w:w="40" w:type="dxa"/>
              <w:left w:w="0" w:type="dxa"/>
              <w:bottom w:w="40" w:type="dxa"/>
              <w:right w:w="20" w:type="dxa"/>
            </w:tcMar>
            <w:vAlign w:val="bottom"/>
          </w:tcPr>
          <w:p w14:paraId="71D40839" w14:textId="77777777" w:rsidR="006A3667" w:rsidRDefault="006A3667">
            <w:pPr>
              <w:jc w:val="right"/>
              <w:rPr>
                <w:rFonts w:ascii="宋体"/>
              </w:rPr>
            </w:pPr>
          </w:p>
        </w:tc>
        <w:tc>
          <w:tcPr>
            <w:tcW w:w="0" w:type="auto"/>
            <w:gridSpan w:val="3"/>
            <w:shd w:val="clear" w:color="auto" w:fill="auto"/>
            <w:vAlign w:val="bottom"/>
          </w:tcPr>
          <w:p w14:paraId="71D4083A" w14:textId="77777777" w:rsidR="006A3667" w:rsidRDefault="006A3667">
            <w:pPr>
              <w:rPr>
                <w:rFonts w:ascii="宋体"/>
                <w:vanish/>
              </w:rPr>
            </w:pPr>
          </w:p>
        </w:tc>
        <w:tc>
          <w:tcPr>
            <w:tcW w:w="0" w:type="auto"/>
            <w:gridSpan w:val="3"/>
            <w:shd w:val="clear" w:color="auto" w:fill="auto"/>
            <w:vAlign w:val="bottom"/>
          </w:tcPr>
          <w:p w14:paraId="71D4083B" w14:textId="77777777" w:rsidR="006A3667" w:rsidRDefault="006A3667">
            <w:pPr>
              <w:rPr>
                <w:rFonts w:ascii="宋体"/>
                <w:vanish/>
              </w:rPr>
            </w:pPr>
          </w:p>
        </w:tc>
        <w:tc>
          <w:tcPr>
            <w:tcW w:w="0" w:type="auto"/>
            <w:gridSpan w:val="3"/>
            <w:shd w:val="clear" w:color="auto" w:fill="auto"/>
            <w:vAlign w:val="bottom"/>
          </w:tcPr>
          <w:p w14:paraId="71D4083C" w14:textId="77777777" w:rsidR="006A3667" w:rsidRDefault="006A3667">
            <w:pPr>
              <w:rPr>
                <w:rFonts w:ascii="宋体"/>
                <w:vanish/>
              </w:rPr>
            </w:pPr>
          </w:p>
        </w:tc>
        <w:tc>
          <w:tcPr>
            <w:tcW w:w="0" w:type="auto"/>
            <w:gridSpan w:val="3"/>
            <w:shd w:val="clear" w:color="auto" w:fill="auto"/>
            <w:vAlign w:val="bottom"/>
          </w:tcPr>
          <w:p w14:paraId="71D4083D" w14:textId="77777777" w:rsidR="006A3667" w:rsidRDefault="006A3667">
            <w:pPr>
              <w:rPr>
                <w:rFonts w:ascii="宋体"/>
                <w:vanish/>
              </w:rPr>
            </w:pPr>
          </w:p>
        </w:tc>
        <w:tc>
          <w:tcPr>
            <w:tcW w:w="0" w:type="auto"/>
            <w:gridSpan w:val="3"/>
            <w:shd w:val="clear" w:color="auto" w:fill="auto"/>
            <w:vAlign w:val="bottom"/>
          </w:tcPr>
          <w:p w14:paraId="71D4083E" w14:textId="77777777" w:rsidR="006A3667" w:rsidRDefault="006A3667">
            <w:pPr>
              <w:rPr>
                <w:rFonts w:ascii="宋体"/>
                <w:vanish/>
              </w:rPr>
            </w:pPr>
          </w:p>
        </w:tc>
        <w:tc>
          <w:tcPr>
            <w:tcW w:w="0" w:type="auto"/>
            <w:gridSpan w:val="3"/>
            <w:shd w:val="clear" w:color="auto" w:fill="auto"/>
            <w:vAlign w:val="bottom"/>
          </w:tcPr>
          <w:p w14:paraId="71D4083F" w14:textId="77777777" w:rsidR="006A3667" w:rsidRDefault="006A3667">
            <w:pPr>
              <w:rPr>
                <w:rFonts w:ascii="宋体"/>
                <w:vanish/>
              </w:rPr>
            </w:pPr>
          </w:p>
        </w:tc>
      </w:tr>
      <w:tr w:rsidR="006A3667" w14:paraId="71D4084B" w14:textId="77777777">
        <w:trPr>
          <w:hidden/>
        </w:trPr>
        <w:tc>
          <w:tcPr>
            <w:tcW w:w="0" w:type="auto"/>
            <w:gridSpan w:val="3"/>
            <w:shd w:val="clear" w:color="auto" w:fill="auto"/>
            <w:vAlign w:val="bottom"/>
          </w:tcPr>
          <w:p w14:paraId="71D40841" w14:textId="77777777" w:rsidR="006A3667" w:rsidRDefault="006A3667">
            <w:pPr>
              <w:rPr>
                <w:rFonts w:ascii="宋体"/>
                <w:vanish/>
              </w:rPr>
            </w:pPr>
          </w:p>
        </w:tc>
        <w:tc>
          <w:tcPr>
            <w:tcW w:w="0" w:type="auto"/>
            <w:gridSpan w:val="3"/>
            <w:shd w:val="clear" w:color="auto" w:fill="auto"/>
            <w:vAlign w:val="bottom"/>
          </w:tcPr>
          <w:p w14:paraId="71D40842" w14:textId="77777777" w:rsidR="006A3667" w:rsidRDefault="006A3667">
            <w:pPr>
              <w:rPr>
                <w:rFonts w:ascii="宋体"/>
                <w:vanish/>
              </w:rPr>
            </w:pPr>
          </w:p>
        </w:tc>
        <w:tc>
          <w:tcPr>
            <w:tcW w:w="0" w:type="auto"/>
            <w:gridSpan w:val="3"/>
            <w:shd w:val="clear" w:color="auto" w:fill="auto"/>
            <w:vAlign w:val="bottom"/>
          </w:tcPr>
          <w:p w14:paraId="71D40843" w14:textId="77777777" w:rsidR="006A3667" w:rsidRDefault="006A3667">
            <w:pPr>
              <w:rPr>
                <w:rFonts w:ascii="宋体"/>
                <w:vanish/>
              </w:rPr>
            </w:pPr>
          </w:p>
        </w:tc>
        <w:tc>
          <w:tcPr>
            <w:tcW w:w="0" w:type="auto"/>
            <w:gridSpan w:val="3"/>
            <w:shd w:val="clear" w:color="auto" w:fill="auto"/>
            <w:vAlign w:val="bottom"/>
          </w:tcPr>
          <w:p w14:paraId="71D40844" w14:textId="77777777" w:rsidR="006A3667" w:rsidRDefault="006A3667">
            <w:pPr>
              <w:rPr>
                <w:rFonts w:ascii="宋体"/>
                <w:vanish/>
              </w:rPr>
            </w:pPr>
          </w:p>
        </w:tc>
        <w:tc>
          <w:tcPr>
            <w:tcW w:w="0" w:type="auto"/>
            <w:gridSpan w:val="3"/>
            <w:shd w:val="clear" w:color="auto" w:fill="auto"/>
            <w:vAlign w:val="bottom"/>
          </w:tcPr>
          <w:p w14:paraId="71D40845" w14:textId="77777777" w:rsidR="006A3667" w:rsidRDefault="006A3667">
            <w:pPr>
              <w:rPr>
                <w:rFonts w:ascii="宋体"/>
                <w:vanish/>
              </w:rPr>
            </w:pPr>
          </w:p>
        </w:tc>
        <w:tc>
          <w:tcPr>
            <w:tcW w:w="0" w:type="auto"/>
            <w:gridSpan w:val="3"/>
            <w:shd w:val="clear" w:color="auto" w:fill="auto"/>
            <w:vAlign w:val="bottom"/>
          </w:tcPr>
          <w:p w14:paraId="71D40846" w14:textId="77777777" w:rsidR="006A3667" w:rsidRDefault="006A3667">
            <w:pPr>
              <w:rPr>
                <w:rFonts w:ascii="宋体"/>
                <w:vanish/>
              </w:rPr>
            </w:pPr>
          </w:p>
        </w:tc>
        <w:tc>
          <w:tcPr>
            <w:tcW w:w="0" w:type="auto"/>
            <w:gridSpan w:val="3"/>
            <w:shd w:val="clear" w:color="auto" w:fill="auto"/>
            <w:vAlign w:val="bottom"/>
          </w:tcPr>
          <w:p w14:paraId="71D40847" w14:textId="77777777" w:rsidR="006A3667" w:rsidRDefault="006A3667">
            <w:pPr>
              <w:rPr>
                <w:rFonts w:ascii="宋体"/>
                <w:vanish/>
              </w:rPr>
            </w:pPr>
          </w:p>
        </w:tc>
        <w:tc>
          <w:tcPr>
            <w:tcW w:w="0" w:type="auto"/>
            <w:gridSpan w:val="3"/>
            <w:shd w:val="clear" w:color="auto" w:fill="auto"/>
            <w:vAlign w:val="bottom"/>
          </w:tcPr>
          <w:p w14:paraId="71D40848" w14:textId="77777777" w:rsidR="006A3667" w:rsidRDefault="006A3667">
            <w:pPr>
              <w:rPr>
                <w:rFonts w:ascii="宋体"/>
                <w:vanish/>
              </w:rPr>
            </w:pPr>
          </w:p>
        </w:tc>
        <w:tc>
          <w:tcPr>
            <w:tcW w:w="0" w:type="auto"/>
            <w:gridSpan w:val="3"/>
            <w:shd w:val="clear" w:color="auto" w:fill="auto"/>
            <w:vAlign w:val="bottom"/>
          </w:tcPr>
          <w:p w14:paraId="71D40849" w14:textId="77777777" w:rsidR="006A3667" w:rsidRDefault="006A3667">
            <w:pPr>
              <w:rPr>
                <w:rFonts w:ascii="宋体"/>
                <w:vanish/>
              </w:rPr>
            </w:pPr>
          </w:p>
        </w:tc>
        <w:tc>
          <w:tcPr>
            <w:tcW w:w="0" w:type="auto"/>
            <w:gridSpan w:val="3"/>
            <w:shd w:val="clear" w:color="auto" w:fill="auto"/>
            <w:vAlign w:val="bottom"/>
          </w:tcPr>
          <w:p w14:paraId="71D4084A" w14:textId="77777777" w:rsidR="006A3667" w:rsidRDefault="006A3667">
            <w:pPr>
              <w:rPr>
                <w:rFonts w:ascii="宋体"/>
                <w:vanish/>
              </w:rPr>
            </w:pPr>
          </w:p>
        </w:tc>
      </w:tr>
      <w:tr w:rsidR="006A3667" w14:paraId="71D40858" w14:textId="77777777">
        <w:tc>
          <w:tcPr>
            <w:tcW w:w="0" w:type="auto"/>
            <w:gridSpan w:val="3"/>
            <w:shd w:val="clear" w:color="auto" w:fill="FFFFFF"/>
            <w:tcMar>
              <w:top w:w="40" w:type="dxa"/>
              <w:left w:w="245" w:type="dxa"/>
              <w:bottom w:w="40" w:type="dxa"/>
              <w:right w:w="20" w:type="dxa"/>
            </w:tcMar>
            <w:vAlign w:val="bottom"/>
          </w:tcPr>
          <w:p w14:paraId="71D4084C" w14:textId="77777777" w:rsidR="006A3667" w:rsidRDefault="00045F32">
            <w:pP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84D" w14:textId="77777777" w:rsidR="006A3667" w:rsidRDefault="00045F32">
            <w:pPr>
              <w:jc w:val="right"/>
              <w:textAlignment w:val="bottom"/>
            </w:pPr>
            <w:r>
              <w:rPr>
                <w:rFonts w:ascii="Arial" w:eastAsia="宋体" w:hAnsi="Arial" w:cs="Arial"/>
                <w:b/>
                <w:bCs/>
                <w:color w:val="000000"/>
                <w:sz w:val="14"/>
                <w:szCs w:val="14"/>
              </w:rPr>
              <w:t>13,832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8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84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850" w14:textId="77777777" w:rsidR="006A3667" w:rsidRDefault="00045F32">
            <w:pPr>
              <w:jc w:val="right"/>
              <w:textAlignment w:val="bottom"/>
            </w:pPr>
            <w:r>
              <w:rPr>
                <w:rFonts w:ascii="Arial" w:eastAsia="宋体" w:hAnsi="Arial" w:cs="Arial"/>
                <w:color w:val="000000"/>
                <w:sz w:val="14"/>
                <w:szCs w:val="14"/>
              </w:rPr>
              <w:t>10,418 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851" w14:textId="77777777" w:rsidR="006A3667" w:rsidRDefault="006A3667">
            <w:pPr>
              <w:jc w:val="right"/>
              <w:rPr>
                <w:rFonts w:ascii="宋体"/>
              </w:rPr>
            </w:pPr>
          </w:p>
        </w:tc>
        <w:tc>
          <w:tcPr>
            <w:tcW w:w="0" w:type="auto"/>
            <w:gridSpan w:val="3"/>
            <w:shd w:val="clear" w:color="auto" w:fill="auto"/>
            <w:vAlign w:val="bottom"/>
          </w:tcPr>
          <w:p w14:paraId="71D40852" w14:textId="77777777" w:rsidR="006A3667" w:rsidRDefault="006A3667">
            <w:pPr>
              <w:rPr>
                <w:rFonts w:ascii="宋体"/>
                <w:vanish/>
              </w:rPr>
            </w:pPr>
          </w:p>
        </w:tc>
        <w:tc>
          <w:tcPr>
            <w:tcW w:w="0" w:type="auto"/>
            <w:gridSpan w:val="3"/>
            <w:shd w:val="clear" w:color="auto" w:fill="auto"/>
            <w:vAlign w:val="bottom"/>
          </w:tcPr>
          <w:p w14:paraId="71D40853" w14:textId="77777777" w:rsidR="006A3667" w:rsidRDefault="006A3667">
            <w:pPr>
              <w:rPr>
                <w:rFonts w:ascii="宋体"/>
                <w:vanish/>
              </w:rPr>
            </w:pPr>
          </w:p>
        </w:tc>
        <w:tc>
          <w:tcPr>
            <w:tcW w:w="0" w:type="auto"/>
            <w:gridSpan w:val="3"/>
            <w:shd w:val="clear" w:color="auto" w:fill="auto"/>
            <w:vAlign w:val="bottom"/>
          </w:tcPr>
          <w:p w14:paraId="71D40854" w14:textId="77777777" w:rsidR="006A3667" w:rsidRDefault="006A3667">
            <w:pPr>
              <w:rPr>
                <w:rFonts w:ascii="宋体"/>
                <w:vanish/>
              </w:rPr>
            </w:pPr>
          </w:p>
        </w:tc>
        <w:tc>
          <w:tcPr>
            <w:tcW w:w="0" w:type="auto"/>
            <w:gridSpan w:val="3"/>
            <w:shd w:val="clear" w:color="auto" w:fill="auto"/>
            <w:vAlign w:val="bottom"/>
          </w:tcPr>
          <w:p w14:paraId="71D40855" w14:textId="77777777" w:rsidR="006A3667" w:rsidRDefault="006A3667">
            <w:pPr>
              <w:rPr>
                <w:rFonts w:ascii="宋体"/>
                <w:vanish/>
              </w:rPr>
            </w:pPr>
          </w:p>
        </w:tc>
        <w:tc>
          <w:tcPr>
            <w:tcW w:w="0" w:type="auto"/>
            <w:gridSpan w:val="3"/>
            <w:shd w:val="clear" w:color="auto" w:fill="auto"/>
            <w:vAlign w:val="bottom"/>
          </w:tcPr>
          <w:p w14:paraId="71D40856" w14:textId="77777777" w:rsidR="006A3667" w:rsidRDefault="006A3667">
            <w:pPr>
              <w:rPr>
                <w:rFonts w:ascii="宋体"/>
                <w:vanish/>
              </w:rPr>
            </w:pPr>
          </w:p>
        </w:tc>
        <w:tc>
          <w:tcPr>
            <w:tcW w:w="0" w:type="auto"/>
            <w:gridSpan w:val="3"/>
            <w:shd w:val="clear" w:color="auto" w:fill="auto"/>
            <w:vAlign w:val="bottom"/>
          </w:tcPr>
          <w:p w14:paraId="71D40857" w14:textId="77777777" w:rsidR="006A3667" w:rsidRDefault="006A3667">
            <w:pPr>
              <w:rPr>
                <w:rFonts w:ascii="宋体"/>
                <w:vanish/>
              </w:rPr>
            </w:pPr>
          </w:p>
        </w:tc>
      </w:tr>
      <w:tr w:rsidR="006A3667" w14:paraId="71D40865" w14:textId="77777777">
        <w:tc>
          <w:tcPr>
            <w:tcW w:w="0" w:type="auto"/>
            <w:gridSpan w:val="3"/>
            <w:shd w:val="clear" w:color="auto" w:fill="CCEEFF"/>
            <w:tcMar>
              <w:top w:w="40" w:type="dxa"/>
              <w:left w:w="20" w:type="dxa"/>
              <w:bottom w:w="40" w:type="dxa"/>
              <w:right w:w="20" w:type="dxa"/>
            </w:tcMar>
            <w:vAlign w:val="bottom"/>
          </w:tcPr>
          <w:p w14:paraId="71D40859" w14:textId="77777777" w:rsidR="006A3667" w:rsidRDefault="00045F32">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(2)(4)</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85A" w14:textId="77777777" w:rsidR="006A3667" w:rsidRDefault="00045F32">
            <w:pPr>
              <w:jc w:val="right"/>
              <w:textAlignment w:val="bottom"/>
            </w:pPr>
            <w:r>
              <w:rPr>
                <w:rFonts w:ascii="Arial" w:eastAsia="宋体" w:hAnsi="Arial" w:cs="Arial"/>
                <w:b/>
                <w:bCs/>
                <w:color w:val="000000"/>
                <w:sz w:val="14"/>
                <w:szCs w:val="14"/>
              </w:rPr>
              <w:t>36,113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8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85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85D" w14:textId="77777777" w:rsidR="006A3667" w:rsidRDefault="00045F32">
            <w:pPr>
              <w:jc w:val="right"/>
              <w:textAlignment w:val="bottom"/>
            </w:pPr>
            <w:r>
              <w:rPr>
                <w:rFonts w:ascii="Arial" w:eastAsia="宋体" w:hAnsi="Arial" w:cs="Arial"/>
                <w:color w:val="000000"/>
                <w:sz w:val="14"/>
                <w:szCs w:val="14"/>
              </w:rPr>
              <w:t>32,532 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85E" w14:textId="77777777" w:rsidR="006A3667" w:rsidRDefault="006A3667">
            <w:pPr>
              <w:jc w:val="right"/>
              <w:rPr>
                <w:rFonts w:ascii="宋体"/>
              </w:rPr>
            </w:pPr>
          </w:p>
        </w:tc>
        <w:tc>
          <w:tcPr>
            <w:tcW w:w="0" w:type="auto"/>
            <w:gridSpan w:val="3"/>
            <w:shd w:val="clear" w:color="auto" w:fill="auto"/>
            <w:vAlign w:val="bottom"/>
          </w:tcPr>
          <w:p w14:paraId="71D4085F" w14:textId="77777777" w:rsidR="006A3667" w:rsidRDefault="006A3667">
            <w:pPr>
              <w:rPr>
                <w:rFonts w:ascii="宋体"/>
                <w:vanish/>
              </w:rPr>
            </w:pPr>
          </w:p>
        </w:tc>
        <w:tc>
          <w:tcPr>
            <w:tcW w:w="0" w:type="auto"/>
            <w:gridSpan w:val="3"/>
            <w:shd w:val="clear" w:color="auto" w:fill="auto"/>
            <w:vAlign w:val="bottom"/>
          </w:tcPr>
          <w:p w14:paraId="71D40860" w14:textId="77777777" w:rsidR="006A3667" w:rsidRDefault="006A3667">
            <w:pPr>
              <w:rPr>
                <w:rFonts w:ascii="宋体"/>
                <w:vanish/>
              </w:rPr>
            </w:pPr>
          </w:p>
        </w:tc>
        <w:tc>
          <w:tcPr>
            <w:tcW w:w="0" w:type="auto"/>
            <w:gridSpan w:val="3"/>
            <w:shd w:val="clear" w:color="auto" w:fill="auto"/>
            <w:vAlign w:val="bottom"/>
          </w:tcPr>
          <w:p w14:paraId="71D40861" w14:textId="77777777" w:rsidR="006A3667" w:rsidRDefault="006A3667">
            <w:pPr>
              <w:rPr>
                <w:rFonts w:ascii="宋体"/>
                <w:vanish/>
              </w:rPr>
            </w:pPr>
          </w:p>
        </w:tc>
        <w:tc>
          <w:tcPr>
            <w:tcW w:w="0" w:type="auto"/>
            <w:gridSpan w:val="3"/>
            <w:shd w:val="clear" w:color="auto" w:fill="auto"/>
            <w:vAlign w:val="bottom"/>
          </w:tcPr>
          <w:p w14:paraId="71D40862" w14:textId="77777777" w:rsidR="006A3667" w:rsidRDefault="006A3667">
            <w:pPr>
              <w:rPr>
                <w:rFonts w:ascii="宋体"/>
                <w:vanish/>
              </w:rPr>
            </w:pPr>
          </w:p>
        </w:tc>
        <w:tc>
          <w:tcPr>
            <w:tcW w:w="0" w:type="auto"/>
            <w:gridSpan w:val="3"/>
            <w:shd w:val="clear" w:color="auto" w:fill="auto"/>
            <w:vAlign w:val="bottom"/>
          </w:tcPr>
          <w:p w14:paraId="71D40863" w14:textId="77777777" w:rsidR="006A3667" w:rsidRDefault="006A3667">
            <w:pPr>
              <w:rPr>
                <w:rFonts w:ascii="宋体"/>
                <w:vanish/>
              </w:rPr>
            </w:pPr>
          </w:p>
        </w:tc>
        <w:tc>
          <w:tcPr>
            <w:tcW w:w="0" w:type="auto"/>
            <w:gridSpan w:val="3"/>
            <w:shd w:val="clear" w:color="auto" w:fill="auto"/>
            <w:vAlign w:val="bottom"/>
          </w:tcPr>
          <w:p w14:paraId="71D40864" w14:textId="77777777" w:rsidR="006A3667" w:rsidRDefault="006A3667">
            <w:pPr>
              <w:rPr>
                <w:rFonts w:ascii="宋体"/>
                <w:vanish/>
              </w:rPr>
            </w:pPr>
          </w:p>
        </w:tc>
      </w:tr>
      <w:tr w:rsidR="006A3667" w14:paraId="71D40872" w14:textId="77777777">
        <w:tc>
          <w:tcPr>
            <w:tcW w:w="0" w:type="auto"/>
            <w:gridSpan w:val="3"/>
            <w:shd w:val="clear" w:color="auto" w:fill="FFFFFF"/>
            <w:tcMar>
              <w:top w:w="40" w:type="dxa"/>
              <w:left w:w="20" w:type="dxa"/>
              <w:bottom w:w="40" w:type="dxa"/>
              <w:right w:w="20" w:type="dxa"/>
            </w:tcMar>
            <w:vAlign w:val="bottom"/>
          </w:tcPr>
          <w:p w14:paraId="71D40866" w14:textId="77777777" w:rsidR="006A3667" w:rsidRDefault="00045F32">
            <w:pPr>
              <w:textAlignment w:val="bottom"/>
            </w:pPr>
            <w:r>
              <w:rPr>
                <w:rFonts w:ascii="Arial" w:eastAsia="宋体" w:hAnsi="Arial" w:cs="Arial"/>
                <w:color w:val="000000"/>
                <w:sz w:val="14"/>
                <w:szCs w:val="14"/>
              </w:rPr>
              <w:t>Allowance for loan losses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867" w14:textId="77777777" w:rsidR="006A3667" w:rsidRDefault="00045F32">
            <w:pPr>
              <w:jc w:val="right"/>
              <w:textAlignment w:val="bottom"/>
            </w:pPr>
            <w:r>
              <w:rPr>
                <w:rFonts w:ascii="Arial" w:eastAsia="宋体" w:hAnsi="Arial" w:cs="Arial"/>
                <w:b/>
                <w:bCs/>
                <w:color w:val="000000"/>
                <w:sz w:val="14"/>
                <w:szCs w:val="14"/>
              </w:rPr>
              <w:t>(97)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86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86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086A" w14:textId="77777777" w:rsidR="006A3667" w:rsidRDefault="00045F32">
            <w:pPr>
              <w:jc w:val="right"/>
              <w:textAlignment w:val="bottom"/>
            </w:pPr>
            <w:r>
              <w:rPr>
                <w:rFonts w:ascii="Arial" w:eastAsia="宋体" w:hAnsi="Arial" w:cs="Arial"/>
                <w:color w:val="000000"/>
                <w:sz w:val="14"/>
                <w:szCs w:val="14"/>
              </w:rPr>
              <w:t>(87)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86B" w14:textId="77777777" w:rsidR="006A3667" w:rsidRDefault="006A3667">
            <w:pPr>
              <w:jc w:val="right"/>
              <w:rPr>
                <w:rFonts w:ascii="宋体"/>
              </w:rPr>
            </w:pPr>
          </w:p>
        </w:tc>
        <w:tc>
          <w:tcPr>
            <w:tcW w:w="0" w:type="auto"/>
            <w:gridSpan w:val="3"/>
            <w:shd w:val="clear" w:color="auto" w:fill="auto"/>
            <w:vAlign w:val="bottom"/>
          </w:tcPr>
          <w:p w14:paraId="71D4086C" w14:textId="77777777" w:rsidR="006A3667" w:rsidRDefault="006A3667">
            <w:pPr>
              <w:rPr>
                <w:rFonts w:ascii="宋体"/>
                <w:vanish/>
              </w:rPr>
            </w:pPr>
          </w:p>
        </w:tc>
        <w:tc>
          <w:tcPr>
            <w:tcW w:w="0" w:type="auto"/>
            <w:gridSpan w:val="3"/>
            <w:shd w:val="clear" w:color="auto" w:fill="auto"/>
            <w:vAlign w:val="bottom"/>
          </w:tcPr>
          <w:p w14:paraId="71D4086D" w14:textId="77777777" w:rsidR="006A3667" w:rsidRDefault="006A3667">
            <w:pPr>
              <w:rPr>
                <w:rFonts w:ascii="宋体"/>
                <w:vanish/>
              </w:rPr>
            </w:pPr>
          </w:p>
        </w:tc>
        <w:tc>
          <w:tcPr>
            <w:tcW w:w="0" w:type="auto"/>
            <w:gridSpan w:val="3"/>
            <w:shd w:val="clear" w:color="auto" w:fill="auto"/>
            <w:vAlign w:val="bottom"/>
          </w:tcPr>
          <w:p w14:paraId="71D4086E" w14:textId="77777777" w:rsidR="006A3667" w:rsidRDefault="006A3667">
            <w:pPr>
              <w:rPr>
                <w:rFonts w:ascii="宋体"/>
                <w:vanish/>
              </w:rPr>
            </w:pPr>
          </w:p>
        </w:tc>
        <w:tc>
          <w:tcPr>
            <w:tcW w:w="0" w:type="auto"/>
            <w:gridSpan w:val="3"/>
            <w:shd w:val="clear" w:color="auto" w:fill="auto"/>
            <w:vAlign w:val="bottom"/>
          </w:tcPr>
          <w:p w14:paraId="71D4086F" w14:textId="77777777" w:rsidR="006A3667" w:rsidRDefault="006A3667">
            <w:pPr>
              <w:rPr>
                <w:rFonts w:ascii="宋体"/>
                <w:vanish/>
              </w:rPr>
            </w:pPr>
          </w:p>
        </w:tc>
        <w:tc>
          <w:tcPr>
            <w:tcW w:w="0" w:type="auto"/>
            <w:gridSpan w:val="3"/>
            <w:shd w:val="clear" w:color="auto" w:fill="auto"/>
            <w:vAlign w:val="bottom"/>
          </w:tcPr>
          <w:p w14:paraId="71D40870" w14:textId="77777777" w:rsidR="006A3667" w:rsidRDefault="006A3667">
            <w:pPr>
              <w:rPr>
                <w:rFonts w:ascii="宋体"/>
                <w:vanish/>
              </w:rPr>
            </w:pPr>
          </w:p>
        </w:tc>
        <w:tc>
          <w:tcPr>
            <w:tcW w:w="0" w:type="auto"/>
            <w:gridSpan w:val="3"/>
            <w:shd w:val="clear" w:color="auto" w:fill="auto"/>
            <w:vAlign w:val="bottom"/>
          </w:tcPr>
          <w:p w14:paraId="71D40871" w14:textId="77777777" w:rsidR="006A3667" w:rsidRDefault="006A3667">
            <w:pPr>
              <w:rPr>
                <w:rFonts w:ascii="宋体"/>
                <w:vanish/>
              </w:rPr>
            </w:pPr>
          </w:p>
        </w:tc>
      </w:tr>
      <w:tr w:rsidR="006A3667" w14:paraId="71D40881" w14:textId="77777777">
        <w:tc>
          <w:tcPr>
            <w:tcW w:w="0" w:type="auto"/>
            <w:gridSpan w:val="3"/>
            <w:shd w:val="clear" w:color="auto" w:fill="CCEEFF"/>
            <w:tcMar>
              <w:top w:w="40" w:type="dxa"/>
              <w:left w:w="20" w:type="dxa"/>
              <w:bottom w:w="40" w:type="dxa"/>
              <w:right w:w="20" w:type="dxa"/>
            </w:tcMar>
            <w:vAlign w:val="bottom"/>
          </w:tcPr>
          <w:p w14:paraId="71D40873" w14:textId="77777777" w:rsidR="006A3667" w:rsidRDefault="00045F32">
            <w:pPr>
              <w:textAlignment w:val="bottom"/>
            </w:pPr>
            <w:r>
              <w:rPr>
                <w:rFonts w:ascii="Arial" w:eastAsia="宋体" w:hAnsi="Arial" w:cs="Arial"/>
                <w:color w:val="000000"/>
                <w:sz w:val="14"/>
                <w:szCs w:val="14"/>
              </w:rPr>
              <w:t>Loans, net of allowance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087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0875" w14:textId="77777777" w:rsidR="006A3667" w:rsidRDefault="00045F32">
            <w:pPr>
              <w:jc w:val="right"/>
              <w:textAlignment w:val="bottom"/>
            </w:pPr>
            <w:r>
              <w:rPr>
                <w:rFonts w:ascii="Arial" w:eastAsia="宋体" w:hAnsi="Arial" w:cs="Arial"/>
                <w:b/>
                <w:bCs/>
                <w:color w:val="000000"/>
                <w:sz w:val="14"/>
                <w:szCs w:val="14"/>
              </w:rPr>
              <w:t>36,016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08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87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087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0879" w14:textId="77777777" w:rsidR="006A3667" w:rsidRDefault="00045F32">
            <w:pPr>
              <w:jc w:val="right"/>
              <w:textAlignment w:val="bottom"/>
            </w:pPr>
            <w:r>
              <w:rPr>
                <w:rFonts w:ascii="Arial" w:eastAsia="宋体" w:hAnsi="Arial" w:cs="Arial"/>
                <w:color w:val="000000"/>
                <w:sz w:val="14"/>
                <w:szCs w:val="14"/>
              </w:rPr>
              <w:t>32,445 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087A" w14:textId="77777777" w:rsidR="006A3667" w:rsidRDefault="006A3667">
            <w:pPr>
              <w:jc w:val="right"/>
              <w:rPr>
                <w:rFonts w:ascii="宋体"/>
              </w:rPr>
            </w:pPr>
          </w:p>
        </w:tc>
        <w:tc>
          <w:tcPr>
            <w:tcW w:w="0" w:type="auto"/>
            <w:gridSpan w:val="3"/>
            <w:shd w:val="clear" w:color="auto" w:fill="auto"/>
            <w:vAlign w:val="bottom"/>
          </w:tcPr>
          <w:p w14:paraId="71D4087B" w14:textId="77777777" w:rsidR="006A3667" w:rsidRDefault="006A3667">
            <w:pPr>
              <w:rPr>
                <w:rFonts w:ascii="宋体"/>
                <w:vanish/>
              </w:rPr>
            </w:pPr>
          </w:p>
        </w:tc>
        <w:tc>
          <w:tcPr>
            <w:tcW w:w="0" w:type="auto"/>
            <w:gridSpan w:val="3"/>
            <w:shd w:val="clear" w:color="auto" w:fill="auto"/>
            <w:vAlign w:val="bottom"/>
          </w:tcPr>
          <w:p w14:paraId="71D4087C" w14:textId="77777777" w:rsidR="006A3667" w:rsidRDefault="006A3667">
            <w:pPr>
              <w:rPr>
                <w:rFonts w:ascii="宋体"/>
                <w:vanish/>
              </w:rPr>
            </w:pPr>
          </w:p>
        </w:tc>
        <w:tc>
          <w:tcPr>
            <w:tcW w:w="0" w:type="auto"/>
            <w:gridSpan w:val="3"/>
            <w:shd w:val="clear" w:color="auto" w:fill="auto"/>
            <w:vAlign w:val="bottom"/>
          </w:tcPr>
          <w:p w14:paraId="71D4087D" w14:textId="77777777" w:rsidR="006A3667" w:rsidRDefault="006A3667">
            <w:pPr>
              <w:rPr>
                <w:rFonts w:ascii="宋体"/>
                <w:vanish/>
              </w:rPr>
            </w:pPr>
          </w:p>
        </w:tc>
        <w:tc>
          <w:tcPr>
            <w:tcW w:w="0" w:type="auto"/>
            <w:gridSpan w:val="3"/>
            <w:shd w:val="clear" w:color="auto" w:fill="auto"/>
            <w:vAlign w:val="bottom"/>
          </w:tcPr>
          <w:p w14:paraId="71D4087E" w14:textId="77777777" w:rsidR="006A3667" w:rsidRDefault="006A3667">
            <w:pPr>
              <w:rPr>
                <w:rFonts w:ascii="宋体"/>
                <w:vanish/>
              </w:rPr>
            </w:pPr>
          </w:p>
        </w:tc>
        <w:tc>
          <w:tcPr>
            <w:tcW w:w="0" w:type="auto"/>
            <w:gridSpan w:val="3"/>
            <w:shd w:val="clear" w:color="auto" w:fill="auto"/>
            <w:vAlign w:val="bottom"/>
          </w:tcPr>
          <w:p w14:paraId="71D4087F" w14:textId="77777777" w:rsidR="006A3667" w:rsidRDefault="006A3667">
            <w:pPr>
              <w:rPr>
                <w:rFonts w:ascii="宋体"/>
                <w:vanish/>
              </w:rPr>
            </w:pPr>
          </w:p>
        </w:tc>
        <w:tc>
          <w:tcPr>
            <w:tcW w:w="0" w:type="auto"/>
            <w:gridSpan w:val="3"/>
            <w:shd w:val="clear" w:color="auto" w:fill="auto"/>
            <w:vAlign w:val="bottom"/>
          </w:tcPr>
          <w:p w14:paraId="71D40880" w14:textId="77777777" w:rsidR="006A3667" w:rsidRDefault="006A3667">
            <w:pPr>
              <w:rPr>
                <w:rFonts w:ascii="宋体"/>
                <w:vanish/>
              </w:rPr>
            </w:pPr>
          </w:p>
        </w:tc>
      </w:tr>
    </w:tbl>
    <w:p w14:paraId="71D40882"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6"/>
        <w:gridCol w:w="36"/>
        <w:gridCol w:w="69"/>
        <w:gridCol w:w="233"/>
        <w:gridCol w:w="36"/>
        <w:gridCol w:w="69"/>
        <w:gridCol w:w="1121"/>
        <w:gridCol w:w="36"/>
        <w:gridCol w:w="70"/>
        <w:gridCol w:w="2615"/>
        <w:gridCol w:w="36"/>
      </w:tblGrid>
      <w:tr w:rsidR="006A3667" w14:paraId="71D4088F" w14:textId="77777777">
        <w:tc>
          <w:tcPr>
            <w:tcW w:w="50" w:type="pct"/>
            <w:shd w:val="clear" w:color="auto" w:fill="auto"/>
            <w:vAlign w:val="bottom"/>
          </w:tcPr>
          <w:p w14:paraId="71D40883" w14:textId="77777777" w:rsidR="006A3667" w:rsidRDefault="006A3667">
            <w:pPr>
              <w:rPr>
                <w:rFonts w:ascii="宋体"/>
              </w:rPr>
            </w:pPr>
          </w:p>
        </w:tc>
        <w:tc>
          <w:tcPr>
            <w:tcW w:w="2374" w:type="pct"/>
            <w:shd w:val="clear" w:color="auto" w:fill="auto"/>
            <w:vAlign w:val="bottom"/>
          </w:tcPr>
          <w:p w14:paraId="71D40884" w14:textId="77777777" w:rsidR="006A3667" w:rsidRDefault="006A3667">
            <w:pPr>
              <w:rPr>
                <w:rFonts w:ascii="宋体"/>
              </w:rPr>
            </w:pPr>
          </w:p>
        </w:tc>
        <w:tc>
          <w:tcPr>
            <w:tcW w:w="5" w:type="pct"/>
            <w:shd w:val="clear" w:color="auto" w:fill="auto"/>
            <w:vAlign w:val="bottom"/>
          </w:tcPr>
          <w:p w14:paraId="71D40885" w14:textId="77777777" w:rsidR="006A3667" w:rsidRDefault="006A3667">
            <w:pPr>
              <w:rPr>
                <w:rFonts w:ascii="宋体"/>
              </w:rPr>
            </w:pPr>
          </w:p>
        </w:tc>
        <w:tc>
          <w:tcPr>
            <w:tcW w:w="50" w:type="pct"/>
            <w:shd w:val="clear" w:color="auto" w:fill="auto"/>
            <w:vAlign w:val="bottom"/>
          </w:tcPr>
          <w:p w14:paraId="71D40886" w14:textId="77777777" w:rsidR="006A3667" w:rsidRDefault="006A3667">
            <w:pPr>
              <w:rPr>
                <w:rFonts w:ascii="宋体"/>
              </w:rPr>
            </w:pPr>
          </w:p>
        </w:tc>
        <w:tc>
          <w:tcPr>
            <w:tcW w:w="148" w:type="pct"/>
            <w:shd w:val="clear" w:color="auto" w:fill="auto"/>
            <w:vAlign w:val="bottom"/>
          </w:tcPr>
          <w:p w14:paraId="71D40887" w14:textId="77777777" w:rsidR="006A3667" w:rsidRDefault="006A3667">
            <w:pPr>
              <w:rPr>
                <w:rFonts w:ascii="宋体"/>
              </w:rPr>
            </w:pPr>
          </w:p>
        </w:tc>
        <w:tc>
          <w:tcPr>
            <w:tcW w:w="5" w:type="pct"/>
            <w:shd w:val="clear" w:color="auto" w:fill="auto"/>
            <w:vAlign w:val="bottom"/>
          </w:tcPr>
          <w:p w14:paraId="71D40888" w14:textId="77777777" w:rsidR="006A3667" w:rsidRDefault="006A3667">
            <w:pPr>
              <w:rPr>
                <w:rFonts w:ascii="宋体"/>
              </w:rPr>
            </w:pPr>
          </w:p>
        </w:tc>
        <w:tc>
          <w:tcPr>
            <w:tcW w:w="50" w:type="pct"/>
            <w:shd w:val="clear" w:color="auto" w:fill="auto"/>
            <w:vAlign w:val="bottom"/>
          </w:tcPr>
          <w:p w14:paraId="71D40889" w14:textId="77777777" w:rsidR="006A3667" w:rsidRDefault="006A3667">
            <w:pPr>
              <w:rPr>
                <w:rFonts w:ascii="宋体"/>
              </w:rPr>
            </w:pPr>
          </w:p>
        </w:tc>
        <w:tc>
          <w:tcPr>
            <w:tcW w:w="681" w:type="pct"/>
            <w:shd w:val="clear" w:color="auto" w:fill="auto"/>
            <w:vAlign w:val="bottom"/>
          </w:tcPr>
          <w:p w14:paraId="71D4088A" w14:textId="77777777" w:rsidR="006A3667" w:rsidRDefault="006A3667">
            <w:pPr>
              <w:rPr>
                <w:rFonts w:ascii="宋体"/>
              </w:rPr>
            </w:pPr>
          </w:p>
        </w:tc>
        <w:tc>
          <w:tcPr>
            <w:tcW w:w="5" w:type="pct"/>
            <w:shd w:val="clear" w:color="auto" w:fill="auto"/>
            <w:vAlign w:val="bottom"/>
          </w:tcPr>
          <w:p w14:paraId="71D4088B" w14:textId="77777777" w:rsidR="006A3667" w:rsidRDefault="006A3667">
            <w:pPr>
              <w:rPr>
                <w:rFonts w:ascii="宋体"/>
              </w:rPr>
            </w:pPr>
          </w:p>
        </w:tc>
        <w:tc>
          <w:tcPr>
            <w:tcW w:w="50" w:type="pct"/>
            <w:shd w:val="clear" w:color="auto" w:fill="auto"/>
            <w:vAlign w:val="bottom"/>
          </w:tcPr>
          <w:p w14:paraId="71D4088C" w14:textId="77777777" w:rsidR="006A3667" w:rsidRDefault="006A3667">
            <w:pPr>
              <w:rPr>
                <w:rFonts w:ascii="宋体"/>
              </w:rPr>
            </w:pPr>
          </w:p>
        </w:tc>
        <w:tc>
          <w:tcPr>
            <w:tcW w:w="1575" w:type="pct"/>
            <w:shd w:val="clear" w:color="auto" w:fill="auto"/>
            <w:vAlign w:val="bottom"/>
          </w:tcPr>
          <w:p w14:paraId="71D4088D" w14:textId="77777777" w:rsidR="006A3667" w:rsidRDefault="006A3667">
            <w:pPr>
              <w:rPr>
                <w:rFonts w:ascii="宋体"/>
              </w:rPr>
            </w:pPr>
          </w:p>
        </w:tc>
        <w:tc>
          <w:tcPr>
            <w:tcW w:w="5" w:type="pct"/>
            <w:shd w:val="clear" w:color="auto" w:fill="auto"/>
            <w:vAlign w:val="bottom"/>
          </w:tcPr>
          <w:p w14:paraId="71D4088E" w14:textId="77777777" w:rsidR="006A3667" w:rsidRDefault="006A3667">
            <w:pPr>
              <w:rPr>
                <w:rFonts w:ascii="宋体"/>
              </w:rPr>
            </w:pPr>
          </w:p>
        </w:tc>
      </w:tr>
      <w:tr w:rsidR="006A3667" w14:paraId="71D4089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89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89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89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893" w14:textId="77777777" w:rsidR="006A3667" w:rsidRDefault="006A3667">
            <w:pPr>
              <w:rPr>
                <w:rFonts w:ascii="宋体"/>
              </w:rPr>
            </w:pPr>
          </w:p>
        </w:tc>
      </w:tr>
    </w:tbl>
    <w:p w14:paraId="71D40895" w14:textId="77777777" w:rsidR="006A3667" w:rsidRDefault="00045F32">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Domestic and foreign categorization is based on the borrower’s country of domicile.</w:t>
      </w:r>
    </w:p>
    <w:p w14:paraId="71D40896" w14:textId="77777777" w:rsidR="006A3667" w:rsidRDefault="00045F32">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Fund finance loans include primarily $7.69 billion private equity capital call finance loans, $6.57 billion loans to real money funds, </w:t>
      </w:r>
      <w:r>
        <w:rPr>
          <w:rFonts w:ascii="Arial" w:eastAsia="宋体" w:hAnsi="Arial" w:cs="Arial"/>
          <w:color w:val="000000"/>
          <w:sz w:val="13"/>
          <w:szCs w:val="13"/>
        </w:rPr>
        <w:t>$4.25 billion collateralized loan obligations in loan form and $1.10 billion loans to business development companies as of September 30, 2022, compared to $9.15 billion private equity capital call finance loans, $6.40 billion loans to real money funds, $2.</w:t>
      </w:r>
      <w:r>
        <w:rPr>
          <w:rFonts w:ascii="Arial" w:eastAsia="宋体" w:hAnsi="Arial" w:cs="Arial"/>
          <w:color w:val="000000"/>
          <w:sz w:val="13"/>
          <w:szCs w:val="13"/>
        </w:rPr>
        <w:t>91 billion collateralized loan obligations in loan form and $1.39 billion loans to business development companies as of December 31, 2021.</w:t>
      </w:r>
    </w:p>
    <w:p w14:paraId="71D40897" w14:textId="77777777" w:rsidR="006A3667" w:rsidRDefault="00045F32">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Includes $1.73 billion securities finance loans, $389 million loans to municipalities and $19 million other loans</w:t>
      </w:r>
      <w:r>
        <w:rPr>
          <w:rFonts w:ascii="Arial" w:eastAsia="宋体" w:hAnsi="Arial" w:cs="Arial"/>
          <w:color w:val="000000"/>
          <w:sz w:val="13"/>
          <w:szCs w:val="13"/>
        </w:rPr>
        <w:t xml:space="preserve"> as of September 30, 2022 and $1.78 billion securities finance loans, $455 million loans to municipalities and $23 million other loans as of December 31, 2021.</w:t>
      </w:r>
    </w:p>
    <w:p w14:paraId="71D40898" w14:textId="77777777" w:rsidR="006A3667" w:rsidRDefault="00045F32">
      <w:pPr>
        <w:spacing w:before="6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As of September 30, 2022, excluding overdrafts, floating rate loans totaled $26.05 billion a</w:t>
      </w:r>
      <w:r>
        <w:rPr>
          <w:rFonts w:ascii="Arial" w:eastAsia="宋体" w:hAnsi="Arial" w:cs="Arial"/>
          <w:color w:val="000000"/>
          <w:sz w:val="13"/>
          <w:szCs w:val="13"/>
        </w:rPr>
        <w:t>nd fixed rate loans totaled $2.90 billion. We have entered into interest rate swap agreements to hedge the forecasted cash flows associated with LIBOR indexed floating-rate loans. Refer to Note 10 to the consolidated financial statements included under Ite</w:t>
      </w:r>
      <w:r>
        <w:rPr>
          <w:rFonts w:ascii="Arial" w:eastAsia="宋体" w:hAnsi="Arial" w:cs="Arial"/>
          <w:color w:val="000000"/>
          <w:sz w:val="13"/>
          <w:szCs w:val="13"/>
        </w:rPr>
        <w:t xml:space="preserve">m 8, Financial Statements and Supplementary Data, in our 2021 Form 10-K for additional details. </w:t>
      </w:r>
    </w:p>
    <w:p w14:paraId="71D40899" w14:textId="77777777" w:rsidR="006A3667" w:rsidRDefault="00045F32">
      <w:pPr>
        <w:spacing w:before="60"/>
        <w:ind w:firstLine="450"/>
        <w:jc w:val="both"/>
        <w:textAlignment w:val="top"/>
      </w:pPr>
      <w:r>
        <w:rPr>
          <w:rFonts w:ascii="Arial" w:eastAsia="宋体" w:hAnsi="Arial" w:cs="Arial"/>
          <w:color w:val="000000"/>
          <w:sz w:val="20"/>
          <w:szCs w:val="20"/>
        </w:rPr>
        <w:t xml:space="preserve">The increase in foreign loans as of September 30, 2022 compared to December 31, 2021 was primarily driven by higher levels of client overdrafts. </w:t>
      </w:r>
    </w:p>
    <w:p w14:paraId="71D4089A" w14:textId="77777777" w:rsidR="006A3667" w:rsidRDefault="00045F32">
      <w:pPr>
        <w:spacing w:before="60"/>
        <w:ind w:firstLine="450"/>
        <w:jc w:val="both"/>
        <w:textAlignment w:val="top"/>
      </w:pPr>
      <w:r>
        <w:rPr>
          <w:rFonts w:ascii="Arial" w:eastAsia="宋体" w:hAnsi="Arial" w:cs="Arial"/>
          <w:color w:val="000000"/>
          <w:sz w:val="20"/>
          <w:szCs w:val="20"/>
        </w:rPr>
        <w:t>As of Septemb</w:t>
      </w:r>
      <w:r>
        <w:rPr>
          <w:rFonts w:ascii="Arial" w:eastAsia="宋体" w:hAnsi="Arial" w:cs="Arial"/>
          <w:color w:val="000000"/>
          <w:sz w:val="20"/>
          <w:szCs w:val="20"/>
        </w:rPr>
        <w:t xml:space="preserve">er 30, 2022 and December 31, 2021, our leveraged loans totaled approximately $3.35 billion and $4.43 billion, respectively. We sold </w:t>
      </w:r>
    </w:p>
    <w:p w14:paraId="71D4089B" w14:textId="77777777" w:rsidR="006A3667" w:rsidRDefault="00045F32">
      <w:pPr>
        <w:spacing w:before="60"/>
        <w:jc w:val="both"/>
        <w:textAlignment w:val="top"/>
      </w:pPr>
      <w:r>
        <w:rPr>
          <w:rFonts w:ascii="Arial" w:eastAsia="宋体" w:hAnsi="Arial" w:cs="Arial"/>
          <w:color w:val="000000"/>
          <w:sz w:val="20"/>
          <w:szCs w:val="20"/>
          <w:shd w:val="clear" w:color="auto" w:fill="FFFFFF"/>
        </w:rPr>
        <w:t>$21 million</w:t>
      </w:r>
      <w:r>
        <w:rPr>
          <w:rFonts w:ascii="Arial" w:eastAsia="宋体" w:hAnsi="Arial" w:cs="Arial"/>
          <w:color w:val="000000"/>
          <w:sz w:val="20"/>
          <w:szCs w:val="20"/>
        </w:rPr>
        <w:t xml:space="preserve"> of leveraged loans in the third quarter of 2022.</w:t>
      </w:r>
    </w:p>
    <w:p w14:paraId="71D4089C" w14:textId="77777777" w:rsidR="006A3667" w:rsidRDefault="00045F32">
      <w:pPr>
        <w:spacing w:before="60"/>
        <w:ind w:firstLine="450"/>
        <w:jc w:val="both"/>
        <w:textAlignment w:val="top"/>
      </w:pPr>
      <w:r>
        <w:rPr>
          <w:rFonts w:ascii="Arial" w:eastAsia="宋体" w:hAnsi="Arial" w:cs="Arial"/>
          <w:color w:val="000000"/>
          <w:sz w:val="20"/>
          <w:szCs w:val="20"/>
        </w:rPr>
        <w:t xml:space="preserve">In addition, we had binding unfunded commitments as of </w:t>
      </w:r>
      <w:r>
        <w:rPr>
          <w:rFonts w:ascii="Arial" w:eastAsia="宋体" w:hAnsi="Arial" w:cs="Arial"/>
          <w:color w:val="000000"/>
          <w:sz w:val="20"/>
          <w:szCs w:val="20"/>
        </w:rPr>
        <w:t>September 30, 2022 and December 31, 2021 of $187 million and $124 million, respectively, to participate in syndications of leveraged loans. Additional information about these unfunded commitments is provided in Note 9 to the consolidated financial statemen</w:t>
      </w:r>
      <w:r>
        <w:rPr>
          <w:rFonts w:ascii="Arial" w:eastAsia="宋体" w:hAnsi="Arial" w:cs="Arial"/>
          <w:color w:val="000000"/>
          <w:sz w:val="20"/>
          <w:szCs w:val="20"/>
        </w:rPr>
        <w:t>ts in this Form 10-Q.</w:t>
      </w:r>
    </w:p>
    <w:p w14:paraId="71D4089D" w14:textId="77777777" w:rsidR="006A3667" w:rsidRDefault="00045F32">
      <w:pPr>
        <w:spacing w:before="60"/>
        <w:ind w:firstLine="450"/>
        <w:jc w:val="both"/>
        <w:textAlignment w:val="top"/>
      </w:pPr>
      <w:r>
        <w:rPr>
          <w:rFonts w:ascii="Arial" w:eastAsia="宋体" w:hAnsi="Arial" w:cs="Arial"/>
          <w:color w:val="000000"/>
          <w:sz w:val="20"/>
          <w:szCs w:val="20"/>
        </w:rPr>
        <w:t>These leveraged loans, which are primarily rated “speculative” under our internal risk-rating framework (refer to Note 4 to the consolidated financial statements in this Form 10-Q), are externally rated “BBB,” “BB” or “B,” with approx</w:t>
      </w:r>
      <w:r>
        <w:rPr>
          <w:rFonts w:ascii="Arial" w:eastAsia="宋体" w:hAnsi="Arial" w:cs="Arial"/>
          <w:color w:val="000000"/>
          <w:sz w:val="20"/>
          <w:szCs w:val="20"/>
        </w:rPr>
        <w:t>imately 97% and 94% of the loans rated “BB” or “B” as of September 30, 2022 and December 31, 2021, respectively. Our investment strategy involves generally limiting our investment to larger, more liquid credits underwritten by major global financial instit</w:t>
      </w:r>
      <w:r>
        <w:rPr>
          <w:rFonts w:ascii="Arial" w:eastAsia="宋体" w:hAnsi="Arial" w:cs="Arial"/>
          <w:color w:val="000000"/>
          <w:sz w:val="20"/>
          <w:szCs w:val="20"/>
        </w:rPr>
        <w:t>utions, applying our internal credit analysis process to each potential investment and diversifying our exposure by counterparty and industry segment. However, these loans have significant exposure to credit losses relative to higher-rated loans in our por</w:t>
      </w:r>
      <w:r>
        <w:rPr>
          <w:rFonts w:ascii="Arial" w:eastAsia="宋体" w:hAnsi="Arial" w:cs="Arial"/>
          <w:color w:val="000000"/>
          <w:sz w:val="20"/>
          <w:szCs w:val="20"/>
        </w:rPr>
        <w:t xml:space="preserve">tfolio. </w:t>
      </w:r>
    </w:p>
    <w:p w14:paraId="71D4089E" w14:textId="77777777" w:rsidR="006A3667" w:rsidRDefault="00045F32">
      <w:pPr>
        <w:spacing w:before="60"/>
        <w:ind w:firstLine="450"/>
        <w:jc w:val="both"/>
        <w:textAlignment w:val="top"/>
      </w:pPr>
      <w:r>
        <w:rPr>
          <w:rFonts w:ascii="Arial" w:eastAsia="宋体" w:hAnsi="Arial" w:cs="Arial"/>
          <w:color w:val="000000"/>
          <w:sz w:val="20"/>
          <w:szCs w:val="20"/>
        </w:rPr>
        <w:t>Additional information about all of our loan segments, as well as underlying classes, is provided in Note 4 to the consolidated financial statements in this Form 10-Q.</w:t>
      </w:r>
    </w:p>
    <w:p w14:paraId="71D4089F" w14:textId="77777777" w:rsidR="006A3667" w:rsidRDefault="00045F32">
      <w:pPr>
        <w:spacing w:before="60"/>
        <w:ind w:firstLine="450"/>
        <w:jc w:val="both"/>
        <w:textAlignment w:val="top"/>
      </w:pPr>
      <w:r>
        <w:rPr>
          <w:rFonts w:ascii="Arial" w:eastAsia="宋体" w:hAnsi="Arial" w:cs="Arial"/>
          <w:color w:val="000000"/>
          <w:sz w:val="20"/>
          <w:szCs w:val="20"/>
        </w:rPr>
        <w:t>No loans were modified in troubled debt restructurings as of both September 30,</w:t>
      </w:r>
      <w:r>
        <w:rPr>
          <w:rFonts w:ascii="Arial" w:eastAsia="宋体" w:hAnsi="Arial" w:cs="Arial"/>
          <w:color w:val="000000"/>
          <w:sz w:val="20"/>
          <w:szCs w:val="20"/>
        </w:rPr>
        <w:t xml:space="preserve"> 2022 and December 31, 2021.</w:t>
      </w:r>
    </w:p>
    <w:p w14:paraId="71D408A0" w14:textId="77777777" w:rsidR="006A3667" w:rsidRDefault="00045F32">
      <w:pPr>
        <w:spacing w:before="60"/>
        <w:textAlignment w:val="top"/>
      </w:pPr>
      <w:r>
        <w:rPr>
          <w:rFonts w:ascii="Arial" w:eastAsia="宋体" w:hAnsi="Arial" w:cs="Arial"/>
          <w:b/>
          <w:bCs/>
          <w:i/>
          <w:iCs/>
          <w:color w:val="000000"/>
          <w:sz w:val="20"/>
          <w:szCs w:val="20"/>
        </w:rPr>
        <w:t>Allowance for credit losses</w:t>
      </w:r>
    </w:p>
    <w:tbl>
      <w:tblPr>
        <w:tblW w:w="5000" w:type="pct"/>
        <w:tblCellMar>
          <w:top w:w="15" w:type="dxa"/>
          <w:left w:w="15" w:type="dxa"/>
          <w:bottom w:w="15" w:type="dxa"/>
          <w:right w:w="15" w:type="dxa"/>
        </w:tblCellMar>
        <w:tblLook w:val="04A0" w:firstRow="1" w:lastRow="0" w:firstColumn="1" w:lastColumn="0" w:noHBand="0" w:noVBand="1"/>
      </w:tblPr>
      <w:tblGrid>
        <w:gridCol w:w="41"/>
        <w:gridCol w:w="3557"/>
        <w:gridCol w:w="41"/>
        <w:gridCol w:w="99"/>
        <w:gridCol w:w="1803"/>
        <w:gridCol w:w="37"/>
        <w:gridCol w:w="36"/>
        <w:gridCol w:w="65"/>
        <w:gridCol w:w="36"/>
        <w:gridCol w:w="98"/>
        <w:gridCol w:w="180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408B4" w14:textId="77777777">
        <w:tc>
          <w:tcPr>
            <w:tcW w:w="50" w:type="pct"/>
            <w:shd w:val="clear" w:color="auto" w:fill="auto"/>
            <w:vAlign w:val="bottom"/>
          </w:tcPr>
          <w:p w14:paraId="71D408A1" w14:textId="77777777" w:rsidR="006A3667" w:rsidRDefault="006A3667">
            <w:pPr>
              <w:rPr>
                <w:rFonts w:ascii="宋体"/>
              </w:rPr>
            </w:pPr>
          </w:p>
        </w:tc>
        <w:tc>
          <w:tcPr>
            <w:tcW w:w="2350" w:type="pct"/>
            <w:shd w:val="clear" w:color="auto" w:fill="auto"/>
            <w:vAlign w:val="bottom"/>
          </w:tcPr>
          <w:p w14:paraId="71D408A2" w14:textId="77777777" w:rsidR="006A3667" w:rsidRDefault="006A3667">
            <w:pPr>
              <w:rPr>
                <w:rFonts w:ascii="宋体"/>
              </w:rPr>
            </w:pPr>
          </w:p>
        </w:tc>
        <w:tc>
          <w:tcPr>
            <w:tcW w:w="5" w:type="pct"/>
            <w:shd w:val="clear" w:color="auto" w:fill="auto"/>
            <w:vAlign w:val="bottom"/>
          </w:tcPr>
          <w:p w14:paraId="71D408A3" w14:textId="77777777" w:rsidR="006A3667" w:rsidRDefault="006A3667">
            <w:pPr>
              <w:rPr>
                <w:rFonts w:ascii="宋体"/>
              </w:rPr>
            </w:pPr>
          </w:p>
        </w:tc>
        <w:tc>
          <w:tcPr>
            <w:tcW w:w="50" w:type="pct"/>
            <w:shd w:val="clear" w:color="auto" w:fill="auto"/>
            <w:vAlign w:val="bottom"/>
          </w:tcPr>
          <w:p w14:paraId="71D408A4" w14:textId="77777777" w:rsidR="006A3667" w:rsidRDefault="006A3667">
            <w:pPr>
              <w:rPr>
                <w:rFonts w:ascii="宋体"/>
              </w:rPr>
            </w:pPr>
          </w:p>
        </w:tc>
        <w:tc>
          <w:tcPr>
            <w:tcW w:w="1202" w:type="pct"/>
            <w:shd w:val="clear" w:color="auto" w:fill="auto"/>
            <w:vAlign w:val="bottom"/>
          </w:tcPr>
          <w:p w14:paraId="71D408A5" w14:textId="77777777" w:rsidR="006A3667" w:rsidRDefault="006A3667">
            <w:pPr>
              <w:rPr>
                <w:rFonts w:ascii="宋体"/>
              </w:rPr>
            </w:pPr>
          </w:p>
        </w:tc>
        <w:tc>
          <w:tcPr>
            <w:tcW w:w="5" w:type="pct"/>
            <w:shd w:val="clear" w:color="auto" w:fill="auto"/>
            <w:vAlign w:val="bottom"/>
          </w:tcPr>
          <w:p w14:paraId="71D408A6" w14:textId="77777777" w:rsidR="006A3667" w:rsidRDefault="006A3667">
            <w:pPr>
              <w:rPr>
                <w:rFonts w:ascii="宋体"/>
              </w:rPr>
            </w:pPr>
          </w:p>
        </w:tc>
        <w:tc>
          <w:tcPr>
            <w:tcW w:w="5" w:type="pct"/>
            <w:shd w:val="clear" w:color="auto" w:fill="auto"/>
            <w:vAlign w:val="bottom"/>
          </w:tcPr>
          <w:p w14:paraId="71D408A7" w14:textId="77777777" w:rsidR="006A3667" w:rsidRDefault="006A3667">
            <w:pPr>
              <w:rPr>
                <w:rFonts w:ascii="宋体"/>
              </w:rPr>
            </w:pPr>
          </w:p>
        </w:tc>
        <w:tc>
          <w:tcPr>
            <w:tcW w:w="68" w:type="pct"/>
            <w:shd w:val="clear" w:color="auto" w:fill="auto"/>
            <w:vAlign w:val="bottom"/>
          </w:tcPr>
          <w:p w14:paraId="71D408A8" w14:textId="77777777" w:rsidR="006A3667" w:rsidRDefault="006A3667">
            <w:pPr>
              <w:rPr>
                <w:rFonts w:ascii="宋体"/>
              </w:rPr>
            </w:pPr>
          </w:p>
        </w:tc>
        <w:tc>
          <w:tcPr>
            <w:tcW w:w="5" w:type="pct"/>
            <w:shd w:val="clear" w:color="auto" w:fill="auto"/>
            <w:vAlign w:val="bottom"/>
          </w:tcPr>
          <w:p w14:paraId="71D408A9" w14:textId="77777777" w:rsidR="006A3667" w:rsidRDefault="006A3667">
            <w:pPr>
              <w:rPr>
                <w:rFonts w:ascii="宋体"/>
              </w:rPr>
            </w:pPr>
          </w:p>
        </w:tc>
        <w:tc>
          <w:tcPr>
            <w:tcW w:w="50" w:type="pct"/>
            <w:shd w:val="clear" w:color="auto" w:fill="auto"/>
            <w:vAlign w:val="bottom"/>
          </w:tcPr>
          <w:p w14:paraId="71D408AA" w14:textId="77777777" w:rsidR="006A3667" w:rsidRDefault="006A3667">
            <w:pPr>
              <w:rPr>
                <w:rFonts w:ascii="宋体"/>
              </w:rPr>
            </w:pPr>
          </w:p>
        </w:tc>
        <w:tc>
          <w:tcPr>
            <w:tcW w:w="1202" w:type="pct"/>
            <w:shd w:val="clear" w:color="auto" w:fill="auto"/>
            <w:vAlign w:val="bottom"/>
          </w:tcPr>
          <w:p w14:paraId="71D408AB" w14:textId="77777777" w:rsidR="006A3667" w:rsidRDefault="006A3667">
            <w:pPr>
              <w:rPr>
                <w:rFonts w:ascii="宋体"/>
              </w:rPr>
            </w:pPr>
          </w:p>
        </w:tc>
        <w:tc>
          <w:tcPr>
            <w:tcW w:w="5" w:type="pct"/>
            <w:shd w:val="clear" w:color="auto" w:fill="auto"/>
            <w:vAlign w:val="bottom"/>
          </w:tcPr>
          <w:p w14:paraId="71D408AC" w14:textId="77777777" w:rsidR="006A3667" w:rsidRDefault="006A3667">
            <w:pPr>
              <w:rPr>
                <w:rFonts w:ascii="宋体"/>
              </w:rPr>
            </w:pPr>
          </w:p>
        </w:tc>
        <w:tc>
          <w:tcPr>
            <w:tcW w:w="0" w:type="auto"/>
            <w:shd w:val="clear" w:color="auto" w:fill="auto"/>
            <w:vAlign w:val="bottom"/>
          </w:tcPr>
          <w:p w14:paraId="71D408AD" w14:textId="77777777" w:rsidR="006A3667" w:rsidRDefault="006A3667">
            <w:pPr>
              <w:rPr>
                <w:rFonts w:ascii="宋体"/>
                <w:vanish/>
              </w:rPr>
            </w:pPr>
          </w:p>
        </w:tc>
        <w:tc>
          <w:tcPr>
            <w:tcW w:w="0" w:type="auto"/>
            <w:gridSpan w:val="3"/>
            <w:shd w:val="clear" w:color="auto" w:fill="auto"/>
            <w:vAlign w:val="bottom"/>
          </w:tcPr>
          <w:p w14:paraId="71D408AE" w14:textId="77777777" w:rsidR="006A3667" w:rsidRDefault="006A3667">
            <w:pPr>
              <w:rPr>
                <w:rFonts w:ascii="宋体"/>
                <w:vanish/>
              </w:rPr>
            </w:pPr>
          </w:p>
        </w:tc>
        <w:tc>
          <w:tcPr>
            <w:tcW w:w="0" w:type="auto"/>
            <w:gridSpan w:val="3"/>
            <w:shd w:val="clear" w:color="auto" w:fill="auto"/>
            <w:vAlign w:val="bottom"/>
          </w:tcPr>
          <w:p w14:paraId="71D408AF" w14:textId="77777777" w:rsidR="006A3667" w:rsidRDefault="006A3667">
            <w:pPr>
              <w:rPr>
                <w:rFonts w:ascii="宋体"/>
                <w:vanish/>
              </w:rPr>
            </w:pPr>
          </w:p>
        </w:tc>
        <w:tc>
          <w:tcPr>
            <w:tcW w:w="0" w:type="auto"/>
            <w:gridSpan w:val="3"/>
            <w:shd w:val="clear" w:color="auto" w:fill="auto"/>
            <w:vAlign w:val="bottom"/>
          </w:tcPr>
          <w:p w14:paraId="71D408B0" w14:textId="77777777" w:rsidR="006A3667" w:rsidRDefault="006A3667">
            <w:pPr>
              <w:rPr>
                <w:rFonts w:ascii="宋体"/>
                <w:vanish/>
              </w:rPr>
            </w:pPr>
          </w:p>
        </w:tc>
        <w:tc>
          <w:tcPr>
            <w:tcW w:w="0" w:type="auto"/>
            <w:gridSpan w:val="3"/>
            <w:shd w:val="clear" w:color="auto" w:fill="auto"/>
            <w:vAlign w:val="bottom"/>
          </w:tcPr>
          <w:p w14:paraId="71D408B1" w14:textId="77777777" w:rsidR="006A3667" w:rsidRDefault="006A3667">
            <w:pPr>
              <w:rPr>
                <w:rFonts w:ascii="宋体"/>
                <w:vanish/>
              </w:rPr>
            </w:pPr>
          </w:p>
        </w:tc>
        <w:tc>
          <w:tcPr>
            <w:tcW w:w="0" w:type="auto"/>
            <w:gridSpan w:val="3"/>
            <w:shd w:val="clear" w:color="auto" w:fill="auto"/>
            <w:vAlign w:val="bottom"/>
          </w:tcPr>
          <w:p w14:paraId="71D408B2" w14:textId="77777777" w:rsidR="006A3667" w:rsidRDefault="006A3667">
            <w:pPr>
              <w:rPr>
                <w:rFonts w:ascii="宋体"/>
                <w:vanish/>
              </w:rPr>
            </w:pPr>
          </w:p>
        </w:tc>
        <w:tc>
          <w:tcPr>
            <w:tcW w:w="0" w:type="auto"/>
            <w:gridSpan w:val="3"/>
            <w:shd w:val="clear" w:color="auto" w:fill="auto"/>
            <w:vAlign w:val="bottom"/>
          </w:tcPr>
          <w:p w14:paraId="71D408B3" w14:textId="77777777" w:rsidR="006A3667" w:rsidRDefault="006A3667">
            <w:pPr>
              <w:rPr>
                <w:rFonts w:ascii="宋体"/>
                <w:vanish/>
              </w:rPr>
            </w:pPr>
          </w:p>
        </w:tc>
      </w:tr>
      <w:tr w:rsidR="006A3667" w14:paraId="71D408C9" w14:textId="77777777">
        <w:tc>
          <w:tcPr>
            <w:tcW w:w="0" w:type="auto"/>
            <w:gridSpan w:val="12"/>
            <w:shd w:val="clear" w:color="auto" w:fill="auto"/>
            <w:tcMar>
              <w:top w:w="40" w:type="dxa"/>
              <w:left w:w="20" w:type="dxa"/>
              <w:bottom w:w="40" w:type="dxa"/>
              <w:right w:w="20" w:type="dxa"/>
            </w:tcMar>
            <w:vAlign w:val="bottom"/>
          </w:tcPr>
          <w:p w14:paraId="71D408B5" w14:textId="77777777" w:rsidR="006A3667" w:rsidRDefault="00045F32">
            <w:pPr>
              <w:textAlignment w:val="bottom"/>
            </w:pPr>
            <w:r>
              <w:rPr>
                <w:rFonts w:ascii="Arial" w:eastAsia="宋体" w:hAnsi="Arial" w:cs="Arial"/>
                <w:b/>
                <w:bCs/>
                <w:color w:val="000000"/>
                <w:sz w:val="16"/>
                <w:szCs w:val="16"/>
              </w:rPr>
              <w:t>TABLE 26: ALLOWANCE FOR CREDIT LOSSES</w:t>
            </w:r>
          </w:p>
        </w:tc>
        <w:tc>
          <w:tcPr>
            <w:tcW w:w="0" w:type="auto"/>
            <w:shd w:val="clear" w:color="auto" w:fill="auto"/>
            <w:vAlign w:val="bottom"/>
          </w:tcPr>
          <w:p w14:paraId="71D408B6" w14:textId="77777777" w:rsidR="006A3667" w:rsidRDefault="006A3667">
            <w:pPr>
              <w:rPr>
                <w:rFonts w:ascii="宋体"/>
                <w:vanish/>
              </w:rPr>
            </w:pPr>
          </w:p>
        </w:tc>
        <w:tc>
          <w:tcPr>
            <w:tcW w:w="0" w:type="auto"/>
            <w:shd w:val="clear" w:color="auto" w:fill="auto"/>
            <w:vAlign w:val="bottom"/>
          </w:tcPr>
          <w:p w14:paraId="71D408B7" w14:textId="77777777" w:rsidR="006A3667" w:rsidRDefault="006A3667">
            <w:pPr>
              <w:rPr>
                <w:rFonts w:ascii="宋体"/>
              </w:rPr>
            </w:pPr>
          </w:p>
        </w:tc>
        <w:tc>
          <w:tcPr>
            <w:tcW w:w="0" w:type="auto"/>
            <w:shd w:val="clear" w:color="auto" w:fill="auto"/>
            <w:vAlign w:val="bottom"/>
          </w:tcPr>
          <w:p w14:paraId="71D408B8" w14:textId="77777777" w:rsidR="006A3667" w:rsidRDefault="006A3667">
            <w:pPr>
              <w:rPr>
                <w:rFonts w:ascii="宋体"/>
              </w:rPr>
            </w:pPr>
          </w:p>
        </w:tc>
        <w:tc>
          <w:tcPr>
            <w:tcW w:w="0" w:type="auto"/>
            <w:shd w:val="clear" w:color="auto" w:fill="auto"/>
            <w:vAlign w:val="bottom"/>
          </w:tcPr>
          <w:p w14:paraId="71D408B9" w14:textId="77777777" w:rsidR="006A3667" w:rsidRDefault="006A3667">
            <w:pPr>
              <w:rPr>
                <w:rFonts w:ascii="宋体"/>
              </w:rPr>
            </w:pPr>
          </w:p>
        </w:tc>
        <w:tc>
          <w:tcPr>
            <w:tcW w:w="0" w:type="auto"/>
            <w:shd w:val="clear" w:color="auto" w:fill="auto"/>
            <w:vAlign w:val="bottom"/>
          </w:tcPr>
          <w:p w14:paraId="71D408BA" w14:textId="77777777" w:rsidR="006A3667" w:rsidRDefault="006A3667">
            <w:pPr>
              <w:rPr>
                <w:rFonts w:ascii="宋体"/>
              </w:rPr>
            </w:pPr>
          </w:p>
        </w:tc>
        <w:tc>
          <w:tcPr>
            <w:tcW w:w="0" w:type="auto"/>
            <w:shd w:val="clear" w:color="auto" w:fill="auto"/>
            <w:vAlign w:val="bottom"/>
          </w:tcPr>
          <w:p w14:paraId="71D408BB" w14:textId="77777777" w:rsidR="006A3667" w:rsidRDefault="006A3667">
            <w:pPr>
              <w:rPr>
                <w:rFonts w:ascii="宋体"/>
              </w:rPr>
            </w:pPr>
          </w:p>
        </w:tc>
        <w:tc>
          <w:tcPr>
            <w:tcW w:w="0" w:type="auto"/>
            <w:shd w:val="clear" w:color="auto" w:fill="auto"/>
            <w:vAlign w:val="bottom"/>
          </w:tcPr>
          <w:p w14:paraId="71D408BC" w14:textId="77777777" w:rsidR="006A3667" w:rsidRDefault="006A3667">
            <w:pPr>
              <w:rPr>
                <w:rFonts w:ascii="宋体"/>
              </w:rPr>
            </w:pPr>
          </w:p>
        </w:tc>
        <w:tc>
          <w:tcPr>
            <w:tcW w:w="0" w:type="auto"/>
            <w:shd w:val="clear" w:color="auto" w:fill="auto"/>
            <w:vAlign w:val="bottom"/>
          </w:tcPr>
          <w:p w14:paraId="71D408BD" w14:textId="77777777" w:rsidR="006A3667" w:rsidRDefault="006A3667">
            <w:pPr>
              <w:rPr>
                <w:rFonts w:ascii="宋体"/>
              </w:rPr>
            </w:pPr>
          </w:p>
        </w:tc>
        <w:tc>
          <w:tcPr>
            <w:tcW w:w="0" w:type="auto"/>
            <w:shd w:val="clear" w:color="auto" w:fill="auto"/>
            <w:vAlign w:val="bottom"/>
          </w:tcPr>
          <w:p w14:paraId="71D408BE" w14:textId="77777777" w:rsidR="006A3667" w:rsidRDefault="006A3667">
            <w:pPr>
              <w:rPr>
                <w:rFonts w:ascii="宋体"/>
              </w:rPr>
            </w:pPr>
          </w:p>
        </w:tc>
        <w:tc>
          <w:tcPr>
            <w:tcW w:w="0" w:type="auto"/>
            <w:shd w:val="clear" w:color="auto" w:fill="auto"/>
            <w:vAlign w:val="bottom"/>
          </w:tcPr>
          <w:p w14:paraId="71D408BF" w14:textId="77777777" w:rsidR="006A3667" w:rsidRDefault="006A3667">
            <w:pPr>
              <w:rPr>
                <w:rFonts w:ascii="宋体"/>
              </w:rPr>
            </w:pPr>
          </w:p>
        </w:tc>
        <w:tc>
          <w:tcPr>
            <w:tcW w:w="0" w:type="auto"/>
            <w:shd w:val="clear" w:color="auto" w:fill="auto"/>
            <w:vAlign w:val="bottom"/>
          </w:tcPr>
          <w:p w14:paraId="71D408C0" w14:textId="77777777" w:rsidR="006A3667" w:rsidRDefault="006A3667">
            <w:pPr>
              <w:rPr>
                <w:rFonts w:ascii="宋体"/>
              </w:rPr>
            </w:pPr>
          </w:p>
        </w:tc>
        <w:tc>
          <w:tcPr>
            <w:tcW w:w="0" w:type="auto"/>
            <w:shd w:val="clear" w:color="auto" w:fill="auto"/>
            <w:vAlign w:val="bottom"/>
          </w:tcPr>
          <w:p w14:paraId="71D408C1" w14:textId="77777777" w:rsidR="006A3667" w:rsidRDefault="006A3667">
            <w:pPr>
              <w:rPr>
                <w:rFonts w:ascii="宋体"/>
              </w:rPr>
            </w:pPr>
          </w:p>
        </w:tc>
        <w:tc>
          <w:tcPr>
            <w:tcW w:w="0" w:type="auto"/>
            <w:shd w:val="clear" w:color="auto" w:fill="auto"/>
            <w:vAlign w:val="bottom"/>
          </w:tcPr>
          <w:p w14:paraId="71D408C2" w14:textId="77777777" w:rsidR="006A3667" w:rsidRDefault="006A3667">
            <w:pPr>
              <w:rPr>
                <w:rFonts w:ascii="宋体"/>
              </w:rPr>
            </w:pPr>
          </w:p>
        </w:tc>
        <w:tc>
          <w:tcPr>
            <w:tcW w:w="0" w:type="auto"/>
            <w:shd w:val="clear" w:color="auto" w:fill="auto"/>
            <w:vAlign w:val="bottom"/>
          </w:tcPr>
          <w:p w14:paraId="71D408C3" w14:textId="77777777" w:rsidR="006A3667" w:rsidRDefault="006A3667">
            <w:pPr>
              <w:rPr>
                <w:rFonts w:ascii="宋体"/>
              </w:rPr>
            </w:pPr>
          </w:p>
        </w:tc>
        <w:tc>
          <w:tcPr>
            <w:tcW w:w="0" w:type="auto"/>
            <w:shd w:val="clear" w:color="auto" w:fill="auto"/>
            <w:vAlign w:val="bottom"/>
          </w:tcPr>
          <w:p w14:paraId="71D408C4" w14:textId="77777777" w:rsidR="006A3667" w:rsidRDefault="006A3667">
            <w:pPr>
              <w:rPr>
                <w:rFonts w:ascii="宋体"/>
              </w:rPr>
            </w:pPr>
          </w:p>
        </w:tc>
        <w:tc>
          <w:tcPr>
            <w:tcW w:w="0" w:type="auto"/>
            <w:shd w:val="clear" w:color="auto" w:fill="auto"/>
            <w:vAlign w:val="bottom"/>
          </w:tcPr>
          <w:p w14:paraId="71D408C5" w14:textId="77777777" w:rsidR="006A3667" w:rsidRDefault="006A3667">
            <w:pPr>
              <w:rPr>
                <w:rFonts w:ascii="宋体"/>
              </w:rPr>
            </w:pPr>
          </w:p>
        </w:tc>
        <w:tc>
          <w:tcPr>
            <w:tcW w:w="0" w:type="auto"/>
            <w:shd w:val="clear" w:color="auto" w:fill="auto"/>
            <w:vAlign w:val="bottom"/>
          </w:tcPr>
          <w:p w14:paraId="71D408C6" w14:textId="77777777" w:rsidR="006A3667" w:rsidRDefault="006A3667">
            <w:pPr>
              <w:rPr>
                <w:rFonts w:ascii="宋体"/>
              </w:rPr>
            </w:pPr>
          </w:p>
        </w:tc>
        <w:tc>
          <w:tcPr>
            <w:tcW w:w="0" w:type="auto"/>
            <w:shd w:val="clear" w:color="auto" w:fill="auto"/>
            <w:vAlign w:val="bottom"/>
          </w:tcPr>
          <w:p w14:paraId="71D408C7" w14:textId="77777777" w:rsidR="006A3667" w:rsidRDefault="006A3667">
            <w:pPr>
              <w:rPr>
                <w:rFonts w:ascii="宋体"/>
              </w:rPr>
            </w:pPr>
          </w:p>
        </w:tc>
        <w:tc>
          <w:tcPr>
            <w:tcW w:w="0" w:type="auto"/>
            <w:shd w:val="clear" w:color="auto" w:fill="auto"/>
            <w:vAlign w:val="bottom"/>
          </w:tcPr>
          <w:p w14:paraId="71D408C8" w14:textId="77777777" w:rsidR="006A3667" w:rsidRDefault="006A3667">
            <w:pPr>
              <w:rPr>
                <w:rFonts w:ascii="宋体"/>
              </w:rPr>
            </w:pPr>
          </w:p>
        </w:tc>
      </w:tr>
      <w:tr w:rsidR="006A3667" w14:paraId="71D408DF" w14:textId="77777777">
        <w:tc>
          <w:tcPr>
            <w:tcW w:w="0" w:type="auto"/>
            <w:gridSpan w:val="3"/>
            <w:shd w:val="clear" w:color="auto" w:fill="auto"/>
            <w:tcMar>
              <w:top w:w="0" w:type="dxa"/>
              <w:left w:w="20" w:type="dxa"/>
              <w:bottom w:w="0" w:type="dxa"/>
              <w:right w:w="20" w:type="dxa"/>
            </w:tcMar>
            <w:vAlign w:val="bottom"/>
          </w:tcPr>
          <w:p w14:paraId="71D408CA"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08CB"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408CC" w14:textId="77777777" w:rsidR="006A3667" w:rsidRDefault="006A3667">
            <w:pPr>
              <w:rPr>
                <w:rFonts w:ascii="宋体"/>
                <w:vanish/>
              </w:rPr>
            </w:pPr>
          </w:p>
        </w:tc>
        <w:tc>
          <w:tcPr>
            <w:tcW w:w="0" w:type="auto"/>
            <w:shd w:val="clear" w:color="auto" w:fill="auto"/>
            <w:vAlign w:val="bottom"/>
          </w:tcPr>
          <w:p w14:paraId="71D408CD" w14:textId="77777777" w:rsidR="006A3667" w:rsidRDefault="006A3667">
            <w:pPr>
              <w:rPr>
                <w:rFonts w:ascii="宋体"/>
              </w:rPr>
            </w:pPr>
          </w:p>
        </w:tc>
        <w:tc>
          <w:tcPr>
            <w:tcW w:w="0" w:type="auto"/>
            <w:shd w:val="clear" w:color="auto" w:fill="auto"/>
            <w:vAlign w:val="bottom"/>
          </w:tcPr>
          <w:p w14:paraId="71D408CE" w14:textId="77777777" w:rsidR="006A3667" w:rsidRDefault="006A3667">
            <w:pPr>
              <w:rPr>
                <w:rFonts w:ascii="宋体"/>
              </w:rPr>
            </w:pPr>
          </w:p>
        </w:tc>
        <w:tc>
          <w:tcPr>
            <w:tcW w:w="0" w:type="auto"/>
            <w:shd w:val="clear" w:color="auto" w:fill="auto"/>
            <w:vAlign w:val="bottom"/>
          </w:tcPr>
          <w:p w14:paraId="71D408CF" w14:textId="77777777" w:rsidR="006A3667" w:rsidRDefault="006A3667">
            <w:pPr>
              <w:rPr>
                <w:rFonts w:ascii="宋体"/>
              </w:rPr>
            </w:pPr>
          </w:p>
        </w:tc>
        <w:tc>
          <w:tcPr>
            <w:tcW w:w="0" w:type="auto"/>
            <w:shd w:val="clear" w:color="auto" w:fill="auto"/>
            <w:vAlign w:val="bottom"/>
          </w:tcPr>
          <w:p w14:paraId="71D408D0" w14:textId="77777777" w:rsidR="006A3667" w:rsidRDefault="006A3667">
            <w:pPr>
              <w:rPr>
                <w:rFonts w:ascii="宋体"/>
              </w:rPr>
            </w:pPr>
          </w:p>
        </w:tc>
        <w:tc>
          <w:tcPr>
            <w:tcW w:w="0" w:type="auto"/>
            <w:shd w:val="clear" w:color="auto" w:fill="auto"/>
            <w:vAlign w:val="bottom"/>
          </w:tcPr>
          <w:p w14:paraId="71D408D1" w14:textId="77777777" w:rsidR="006A3667" w:rsidRDefault="006A3667">
            <w:pPr>
              <w:rPr>
                <w:rFonts w:ascii="宋体"/>
              </w:rPr>
            </w:pPr>
          </w:p>
        </w:tc>
        <w:tc>
          <w:tcPr>
            <w:tcW w:w="0" w:type="auto"/>
            <w:shd w:val="clear" w:color="auto" w:fill="auto"/>
            <w:vAlign w:val="bottom"/>
          </w:tcPr>
          <w:p w14:paraId="71D408D2" w14:textId="77777777" w:rsidR="006A3667" w:rsidRDefault="006A3667">
            <w:pPr>
              <w:rPr>
                <w:rFonts w:ascii="宋体"/>
              </w:rPr>
            </w:pPr>
          </w:p>
        </w:tc>
        <w:tc>
          <w:tcPr>
            <w:tcW w:w="0" w:type="auto"/>
            <w:shd w:val="clear" w:color="auto" w:fill="auto"/>
            <w:vAlign w:val="bottom"/>
          </w:tcPr>
          <w:p w14:paraId="71D408D3" w14:textId="77777777" w:rsidR="006A3667" w:rsidRDefault="006A3667">
            <w:pPr>
              <w:rPr>
                <w:rFonts w:ascii="宋体"/>
              </w:rPr>
            </w:pPr>
          </w:p>
        </w:tc>
        <w:tc>
          <w:tcPr>
            <w:tcW w:w="0" w:type="auto"/>
            <w:shd w:val="clear" w:color="auto" w:fill="auto"/>
            <w:vAlign w:val="bottom"/>
          </w:tcPr>
          <w:p w14:paraId="71D408D4" w14:textId="77777777" w:rsidR="006A3667" w:rsidRDefault="006A3667">
            <w:pPr>
              <w:rPr>
                <w:rFonts w:ascii="宋体"/>
              </w:rPr>
            </w:pPr>
          </w:p>
        </w:tc>
        <w:tc>
          <w:tcPr>
            <w:tcW w:w="0" w:type="auto"/>
            <w:shd w:val="clear" w:color="auto" w:fill="auto"/>
            <w:vAlign w:val="bottom"/>
          </w:tcPr>
          <w:p w14:paraId="71D408D5" w14:textId="77777777" w:rsidR="006A3667" w:rsidRDefault="006A3667">
            <w:pPr>
              <w:rPr>
                <w:rFonts w:ascii="宋体"/>
              </w:rPr>
            </w:pPr>
          </w:p>
        </w:tc>
        <w:tc>
          <w:tcPr>
            <w:tcW w:w="0" w:type="auto"/>
            <w:shd w:val="clear" w:color="auto" w:fill="auto"/>
            <w:vAlign w:val="bottom"/>
          </w:tcPr>
          <w:p w14:paraId="71D408D6" w14:textId="77777777" w:rsidR="006A3667" w:rsidRDefault="006A3667">
            <w:pPr>
              <w:rPr>
                <w:rFonts w:ascii="宋体"/>
              </w:rPr>
            </w:pPr>
          </w:p>
        </w:tc>
        <w:tc>
          <w:tcPr>
            <w:tcW w:w="0" w:type="auto"/>
            <w:shd w:val="clear" w:color="auto" w:fill="auto"/>
            <w:vAlign w:val="bottom"/>
          </w:tcPr>
          <w:p w14:paraId="71D408D7" w14:textId="77777777" w:rsidR="006A3667" w:rsidRDefault="006A3667">
            <w:pPr>
              <w:rPr>
                <w:rFonts w:ascii="宋体"/>
              </w:rPr>
            </w:pPr>
          </w:p>
        </w:tc>
        <w:tc>
          <w:tcPr>
            <w:tcW w:w="0" w:type="auto"/>
            <w:shd w:val="clear" w:color="auto" w:fill="auto"/>
            <w:vAlign w:val="bottom"/>
          </w:tcPr>
          <w:p w14:paraId="71D408D8" w14:textId="77777777" w:rsidR="006A3667" w:rsidRDefault="006A3667">
            <w:pPr>
              <w:rPr>
                <w:rFonts w:ascii="宋体"/>
              </w:rPr>
            </w:pPr>
          </w:p>
        </w:tc>
        <w:tc>
          <w:tcPr>
            <w:tcW w:w="0" w:type="auto"/>
            <w:shd w:val="clear" w:color="auto" w:fill="auto"/>
            <w:vAlign w:val="bottom"/>
          </w:tcPr>
          <w:p w14:paraId="71D408D9" w14:textId="77777777" w:rsidR="006A3667" w:rsidRDefault="006A3667">
            <w:pPr>
              <w:rPr>
                <w:rFonts w:ascii="宋体"/>
              </w:rPr>
            </w:pPr>
          </w:p>
        </w:tc>
        <w:tc>
          <w:tcPr>
            <w:tcW w:w="0" w:type="auto"/>
            <w:shd w:val="clear" w:color="auto" w:fill="auto"/>
            <w:vAlign w:val="bottom"/>
          </w:tcPr>
          <w:p w14:paraId="71D408DA" w14:textId="77777777" w:rsidR="006A3667" w:rsidRDefault="006A3667">
            <w:pPr>
              <w:rPr>
                <w:rFonts w:ascii="宋体"/>
              </w:rPr>
            </w:pPr>
          </w:p>
        </w:tc>
        <w:tc>
          <w:tcPr>
            <w:tcW w:w="0" w:type="auto"/>
            <w:shd w:val="clear" w:color="auto" w:fill="auto"/>
            <w:vAlign w:val="bottom"/>
          </w:tcPr>
          <w:p w14:paraId="71D408DB" w14:textId="77777777" w:rsidR="006A3667" w:rsidRDefault="006A3667">
            <w:pPr>
              <w:rPr>
                <w:rFonts w:ascii="宋体"/>
              </w:rPr>
            </w:pPr>
          </w:p>
        </w:tc>
        <w:tc>
          <w:tcPr>
            <w:tcW w:w="0" w:type="auto"/>
            <w:shd w:val="clear" w:color="auto" w:fill="auto"/>
            <w:vAlign w:val="bottom"/>
          </w:tcPr>
          <w:p w14:paraId="71D408DC" w14:textId="77777777" w:rsidR="006A3667" w:rsidRDefault="006A3667">
            <w:pPr>
              <w:rPr>
                <w:rFonts w:ascii="宋体"/>
              </w:rPr>
            </w:pPr>
          </w:p>
        </w:tc>
        <w:tc>
          <w:tcPr>
            <w:tcW w:w="0" w:type="auto"/>
            <w:shd w:val="clear" w:color="auto" w:fill="auto"/>
            <w:vAlign w:val="bottom"/>
          </w:tcPr>
          <w:p w14:paraId="71D408DD" w14:textId="77777777" w:rsidR="006A3667" w:rsidRDefault="006A3667">
            <w:pPr>
              <w:rPr>
                <w:rFonts w:ascii="宋体"/>
              </w:rPr>
            </w:pPr>
          </w:p>
        </w:tc>
        <w:tc>
          <w:tcPr>
            <w:tcW w:w="0" w:type="auto"/>
            <w:shd w:val="clear" w:color="auto" w:fill="auto"/>
            <w:vAlign w:val="bottom"/>
          </w:tcPr>
          <w:p w14:paraId="71D408DE" w14:textId="77777777" w:rsidR="006A3667" w:rsidRDefault="006A3667">
            <w:pPr>
              <w:rPr>
                <w:rFonts w:ascii="宋体"/>
              </w:rPr>
            </w:pPr>
          </w:p>
        </w:tc>
      </w:tr>
      <w:tr w:rsidR="006A3667" w14:paraId="71D408EB" w14:textId="77777777">
        <w:tc>
          <w:tcPr>
            <w:tcW w:w="0" w:type="auto"/>
            <w:gridSpan w:val="3"/>
            <w:shd w:val="clear" w:color="auto" w:fill="auto"/>
            <w:tcMar>
              <w:top w:w="40" w:type="dxa"/>
              <w:left w:w="20" w:type="dxa"/>
              <w:bottom w:w="40" w:type="dxa"/>
              <w:right w:w="20" w:type="dxa"/>
            </w:tcMar>
            <w:vAlign w:val="bottom"/>
          </w:tcPr>
          <w:p w14:paraId="71D408E0"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8E1"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8E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8E3" w14:textId="77777777" w:rsidR="006A3667" w:rsidRDefault="00045F32">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71D408E4" w14:textId="77777777" w:rsidR="006A3667" w:rsidRDefault="006A3667">
            <w:pPr>
              <w:rPr>
                <w:rFonts w:ascii="宋体"/>
                <w:vanish/>
              </w:rPr>
            </w:pPr>
          </w:p>
        </w:tc>
        <w:tc>
          <w:tcPr>
            <w:tcW w:w="0" w:type="auto"/>
            <w:gridSpan w:val="3"/>
            <w:shd w:val="clear" w:color="auto" w:fill="auto"/>
            <w:vAlign w:val="bottom"/>
          </w:tcPr>
          <w:p w14:paraId="71D408E5" w14:textId="77777777" w:rsidR="006A3667" w:rsidRDefault="006A3667">
            <w:pPr>
              <w:rPr>
                <w:rFonts w:ascii="宋体"/>
                <w:vanish/>
              </w:rPr>
            </w:pPr>
          </w:p>
        </w:tc>
        <w:tc>
          <w:tcPr>
            <w:tcW w:w="0" w:type="auto"/>
            <w:gridSpan w:val="3"/>
            <w:shd w:val="clear" w:color="auto" w:fill="auto"/>
            <w:vAlign w:val="bottom"/>
          </w:tcPr>
          <w:p w14:paraId="71D408E6" w14:textId="77777777" w:rsidR="006A3667" w:rsidRDefault="006A3667">
            <w:pPr>
              <w:rPr>
                <w:rFonts w:ascii="宋体"/>
                <w:vanish/>
              </w:rPr>
            </w:pPr>
          </w:p>
        </w:tc>
        <w:tc>
          <w:tcPr>
            <w:tcW w:w="0" w:type="auto"/>
            <w:gridSpan w:val="3"/>
            <w:shd w:val="clear" w:color="auto" w:fill="auto"/>
            <w:vAlign w:val="bottom"/>
          </w:tcPr>
          <w:p w14:paraId="71D408E7" w14:textId="77777777" w:rsidR="006A3667" w:rsidRDefault="006A3667">
            <w:pPr>
              <w:rPr>
                <w:rFonts w:ascii="宋体"/>
                <w:vanish/>
              </w:rPr>
            </w:pPr>
          </w:p>
        </w:tc>
        <w:tc>
          <w:tcPr>
            <w:tcW w:w="0" w:type="auto"/>
            <w:gridSpan w:val="3"/>
            <w:shd w:val="clear" w:color="auto" w:fill="auto"/>
            <w:vAlign w:val="bottom"/>
          </w:tcPr>
          <w:p w14:paraId="71D408E8" w14:textId="77777777" w:rsidR="006A3667" w:rsidRDefault="006A3667">
            <w:pPr>
              <w:rPr>
                <w:rFonts w:ascii="宋体"/>
                <w:vanish/>
              </w:rPr>
            </w:pPr>
          </w:p>
        </w:tc>
        <w:tc>
          <w:tcPr>
            <w:tcW w:w="0" w:type="auto"/>
            <w:gridSpan w:val="3"/>
            <w:shd w:val="clear" w:color="auto" w:fill="auto"/>
            <w:vAlign w:val="bottom"/>
          </w:tcPr>
          <w:p w14:paraId="71D408E9" w14:textId="77777777" w:rsidR="006A3667" w:rsidRDefault="006A3667">
            <w:pPr>
              <w:rPr>
                <w:rFonts w:ascii="宋体"/>
                <w:vanish/>
              </w:rPr>
            </w:pPr>
          </w:p>
        </w:tc>
        <w:tc>
          <w:tcPr>
            <w:tcW w:w="0" w:type="auto"/>
            <w:gridSpan w:val="3"/>
            <w:shd w:val="clear" w:color="auto" w:fill="auto"/>
            <w:vAlign w:val="bottom"/>
          </w:tcPr>
          <w:p w14:paraId="71D408EA" w14:textId="77777777" w:rsidR="006A3667" w:rsidRDefault="006A3667">
            <w:pPr>
              <w:rPr>
                <w:rFonts w:ascii="宋体"/>
                <w:vanish/>
              </w:rPr>
            </w:pPr>
          </w:p>
        </w:tc>
      </w:tr>
      <w:tr w:rsidR="006A3667" w14:paraId="71D408F7" w14:textId="77777777">
        <w:tc>
          <w:tcPr>
            <w:tcW w:w="0" w:type="auto"/>
            <w:gridSpan w:val="3"/>
            <w:shd w:val="clear" w:color="auto" w:fill="FFFFFF"/>
            <w:tcMar>
              <w:top w:w="40" w:type="dxa"/>
              <w:left w:w="20" w:type="dxa"/>
              <w:bottom w:w="40" w:type="dxa"/>
              <w:right w:w="20" w:type="dxa"/>
            </w:tcMar>
            <w:vAlign w:val="bottom"/>
          </w:tcPr>
          <w:p w14:paraId="71D408EC" w14:textId="77777777" w:rsidR="006A3667" w:rsidRDefault="00045F32">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08E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08EE"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08EF" w14:textId="77777777" w:rsidR="006A3667" w:rsidRDefault="006A3667">
            <w:pPr>
              <w:rPr>
                <w:rFonts w:ascii="宋体"/>
              </w:rPr>
            </w:pPr>
          </w:p>
        </w:tc>
        <w:tc>
          <w:tcPr>
            <w:tcW w:w="0" w:type="auto"/>
            <w:shd w:val="clear" w:color="auto" w:fill="auto"/>
            <w:vAlign w:val="bottom"/>
          </w:tcPr>
          <w:p w14:paraId="71D408F0" w14:textId="77777777" w:rsidR="006A3667" w:rsidRDefault="006A3667">
            <w:pPr>
              <w:rPr>
                <w:rFonts w:ascii="宋体"/>
                <w:vanish/>
              </w:rPr>
            </w:pPr>
          </w:p>
        </w:tc>
        <w:tc>
          <w:tcPr>
            <w:tcW w:w="0" w:type="auto"/>
            <w:gridSpan w:val="3"/>
            <w:shd w:val="clear" w:color="auto" w:fill="auto"/>
            <w:vAlign w:val="bottom"/>
          </w:tcPr>
          <w:p w14:paraId="71D408F1" w14:textId="77777777" w:rsidR="006A3667" w:rsidRDefault="006A3667">
            <w:pPr>
              <w:rPr>
                <w:rFonts w:ascii="宋体"/>
                <w:vanish/>
              </w:rPr>
            </w:pPr>
          </w:p>
        </w:tc>
        <w:tc>
          <w:tcPr>
            <w:tcW w:w="0" w:type="auto"/>
            <w:gridSpan w:val="3"/>
            <w:shd w:val="clear" w:color="auto" w:fill="auto"/>
            <w:vAlign w:val="bottom"/>
          </w:tcPr>
          <w:p w14:paraId="71D408F2" w14:textId="77777777" w:rsidR="006A3667" w:rsidRDefault="006A3667">
            <w:pPr>
              <w:rPr>
                <w:rFonts w:ascii="宋体"/>
                <w:vanish/>
              </w:rPr>
            </w:pPr>
          </w:p>
        </w:tc>
        <w:tc>
          <w:tcPr>
            <w:tcW w:w="0" w:type="auto"/>
            <w:gridSpan w:val="3"/>
            <w:shd w:val="clear" w:color="auto" w:fill="auto"/>
            <w:vAlign w:val="bottom"/>
          </w:tcPr>
          <w:p w14:paraId="71D408F3" w14:textId="77777777" w:rsidR="006A3667" w:rsidRDefault="006A3667">
            <w:pPr>
              <w:rPr>
                <w:rFonts w:ascii="宋体"/>
                <w:vanish/>
              </w:rPr>
            </w:pPr>
          </w:p>
        </w:tc>
        <w:tc>
          <w:tcPr>
            <w:tcW w:w="0" w:type="auto"/>
            <w:gridSpan w:val="3"/>
            <w:shd w:val="clear" w:color="auto" w:fill="auto"/>
            <w:vAlign w:val="bottom"/>
          </w:tcPr>
          <w:p w14:paraId="71D408F4" w14:textId="77777777" w:rsidR="006A3667" w:rsidRDefault="006A3667">
            <w:pPr>
              <w:rPr>
                <w:rFonts w:ascii="宋体"/>
                <w:vanish/>
              </w:rPr>
            </w:pPr>
          </w:p>
        </w:tc>
        <w:tc>
          <w:tcPr>
            <w:tcW w:w="0" w:type="auto"/>
            <w:gridSpan w:val="3"/>
            <w:shd w:val="clear" w:color="auto" w:fill="auto"/>
            <w:vAlign w:val="bottom"/>
          </w:tcPr>
          <w:p w14:paraId="71D408F5" w14:textId="77777777" w:rsidR="006A3667" w:rsidRDefault="006A3667">
            <w:pPr>
              <w:rPr>
                <w:rFonts w:ascii="宋体"/>
                <w:vanish/>
              </w:rPr>
            </w:pPr>
          </w:p>
        </w:tc>
        <w:tc>
          <w:tcPr>
            <w:tcW w:w="0" w:type="auto"/>
            <w:gridSpan w:val="3"/>
            <w:shd w:val="clear" w:color="auto" w:fill="auto"/>
            <w:vAlign w:val="bottom"/>
          </w:tcPr>
          <w:p w14:paraId="71D408F6" w14:textId="77777777" w:rsidR="006A3667" w:rsidRDefault="006A3667">
            <w:pPr>
              <w:rPr>
                <w:rFonts w:ascii="宋体"/>
                <w:vanish/>
              </w:rPr>
            </w:pPr>
          </w:p>
        </w:tc>
      </w:tr>
      <w:tr w:rsidR="006A3667" w14:paraId="71D40907" w14:textId="77777777">
        <w:tc>
          <w:tcPr>
            <w:tcW w:w="0" w:type="auto"/>
            <w:gridSpan w:val="3"/>
            <w:shd w:val="clear" w:color="auto" w:fill="CCEEFF"/>
            <w:tcMar>
              <w:top w:w="40" w:type="dxa"/>
              <w:left w:w="20" w:type="dxa"/>
              <w:bottom w:w="40" w:type="dxa"/>
              <w:right w:w="20" w:type="dxa"/>
            </w:tcMar>
            <w:vAlign w:val="bottom"/>
          </w:tcPr>
          <w:p w14:paraId="71D408F8" w14:textId="77777777" w:rsidR="006A3667" w:rsidRDefault="00045F32">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1D408F9"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8FA" w14:textId="77777777" w:rsidR="006A3667" w:rsidRDefault="00045F32">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8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8F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8FD"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08FE" w14:textId="77777777" w:rsidR="006A3667" w:rsidRDefault="00045F32">
            <w:pPr>
              <w:jc w:val="right"/>
              <w:textAlignment w:val="bottom"/>
            </w:pPr>
            <w:r>
              <w:rPr>
                <w:rFonts w:ascii="Arial" w:eastAsia="宋体" w:hAnsi="Arial" w:cs="Arial"/>
                <w:color w:val="000000"/>
                <w:sz w:val="14"/>
                <w:szCs w:val="14"/>
              </w:rPr>
              <w:t>148 </w:t>
            </w:r>
          </w:p>
        </w:tc>
        <w:tc>
          <w:tcPr>
            <w:tcW w:w="0" w:type="auto"/>
            <w:shd w:val="clear" w:color="auto" w:fill="CCEEFF"/>
            <w:tcMar>
              <w:top w:w="40" w:type="dxa"/>
              <w:left w:w="0" w:type="dxa"/>
              <w:bottom w:w="40" w:type="dxa"/>
              <w:right w:w="20" w:type="dxa"/>
            </w:tcMar>
            <w:vAlign w:val="bottom"/>
          </w:tcPr>
          <w:p w14:paraId="71D408FF" w14:textId="77777777" w:rsidR="006A3667" w:rsidRDefault="006A3667">
            <w:pPr>
              <w:jc w:val="right"/>
              <w:rPr>
                <w:rFonts w:ascii="宋体"/>
              </w:rPr>
            </w:pPr>
          </w:p>
        </w:tc>
        <w:tc>
          <w:tcPr>
            <w:tcW w:w="0" w:type="auto"/>
            <w:shd w:val="clear" w:color="auto" w:fill="auto"/>
            <w:vAlign w:val="bottom"/>
          </w:tcPr>
          <w:p w14:paraId="71D40900" w14:textId="77777777" w:rsidR="006A3667" w:rsidRDefault="006A3667">
            <w:pPr>
              <w:rPr>
                <w:rFonts w:ascii="宋体"/>
                <w:vanish/>
              </w:rPr>
            </w:pPr>
          </w:p>
        </w:tc>
        <w:tc>
          <w:tcPr>
            <w:tcW w:w="0" w:type="auto"/>
            <w:gridSpan w:val="3"/>
            <w:shd w:val="clear" w:color="auto" w:fill="auto"/>
            <w:vAlign w:val="bottom"/>
          </w:tcPr>
          <w:p w14:paraId="71D40901" w14:textId="77777777" w:rsidR="006A3667" w:rsidRDefault="006A3667">
            <w:pPr>
              <w:rPr>
                <w:rFonts w:ascii="宋体"/>
                <w:vanish/>
              </w:rPr>
            </w:pPr>
          </w:p>
        </w:tc>
        <w:tc>
          <w:tcPr>
            <w:tcW w:w="0" w:type="auto"/>
            <w:gridSpan w:val="3"/>
            <w:shd w:val="clear" w:color="auto" w:fill="auto"/>
            <w:vAlign w:val="bottom"/>
          </w:tcPr>
          <w:p w14:paraId="71D40902" w14:textId="77777777" w:rsidR="006A3667" w:rsidRDefault="006A3667">
            <w:pPr>
              <w:rPr>
                <w:rFonts w:ascii="宋体"/>
                <w:vanish/>
              </w:rPr>
            </w:pPr>
          </w:p>
        </w:tc>
        <w:tc>
          <w:tcPr>
            <w:tcW w:w="0" w:type="auto"/>
            <w:gridSpan w:val="3"/>
            <w:shd w:val="clear" w:color="auto" w:fill="auto"/>
            <w:vAlign w:val="bottom"/>
          </w:tcPr>
          <w:p w14:paraId="71D40903" w14:textId="77777777" w:rsidR="006A3667" w:rsidRDefault="006A3667">
            <w:pPr>
              <w:rPr>
                <w:rFonts w:ascii="宋体"/>
                <w:vanish/>
              </w:rPr>
            </w:pPr>
          </w:p>
        </w:tc>
        <w:tc>
          <w:tcPr>
            <w:tcW w:w="0" w:type="auto"/>
            <w:gridSpan w:val="3"/>
            <w:shd w:val="clear" w:color="auto" w:fill="auto"/>
            <w:vAlign w:val="bottom"/>
          </w:tcPr>
          <w:p w14:paraId="71D40904" w14:textId="77777777" w:rsidR="006A3667" w:rsidRDefault="006A3667">
            <w:pPr>
              <w:rPr>
                <w:rFonts w:ascii="宋体"/>
                <w:vanish/>
              </w:rPr>
            </w:pPr>
          </w:p>
        </w:tc>
        <w:tc>
          <w:tcPr>
            <w:tcW w:w="0" w:type="auto"/>
            <w:gridSpan w:val="3"/>
            <w:shd w:val="clear" w:color="auto" w:fill="auto"/>
            <w:vAlign w:val="bottom"/>
          </w:tcPr>
          <w:p w14:paraId="71D40905" w14:textId="77777777" w:rsidR="006A3667" w:rsidRDefault="006A3667">
            <w:pPr>
              <w:rPr>
                <w:rFonts w:ascii="宋体"/>
                <w:vanish/>
              </w:rPr>
            </w:pPr>
          </w:p>
        </w:tc>
        <w:tc>
          <w:tcPr>
            <w:tcW w:w="0" w:type="auto"/>
            <w:gridSpan w:val="3"/>
            <w:shd w:val="clear" w:color="auto" w:fill="auto"/>
            <w:vAlign w:val="bottom"/>
          </w:tcPr>
          <w:p w14:paraId="71D40906" w14:textId="77777777" w:rsidR="006A3667" w:rsidRDefault="006A3667">
            <w:pPr>
              <w:rPr>
                <w:rFonts w:ascii="宋体"/>
                <w:vanish/>
              </w:rPr>
            </w:pPr>
          </w:p>
        </w:tc>
      </w:tr>
      <w:tr w:rsidR="006A3667" w14:paraId="71D40915" w14:textId="77777777">
        <w:tc>
          <w:tcPr>
            <w:tcW w:w="0" w:type="auto"/>
            <w:gridSpan w:val="3"/>
            <w:shd w:val="clear" w:color="auto" w:fill="FFFFFF"/>
            <w:tcMar>
              <w:top w:w="40" w:type="dxa"/>
              <w:left w:w="20" w:type="dxa"/>
              <w:bottom w:w="40" w:type="dxa"/>
              <w:right w:w="20" w:type="dxa"/>
            </w:tcMar>
            <w:vAlign w:val="bottom"/>
          </w:tcPr>
          <w:p w14:paraId="71D40908" w14:textId="77777777" w:rsidR="006A3667" w:rsidRDefault="00045F32">
            <w:pPr>
              <w:textAlignment w:val="bottom"/>
            </w:pPr>
            <w:r>
              <w:rPr>
                <w:rFonts w:ascii="Arial" w:eastAsia="宋体" w:hAnsi="Arial" w:cs="Arial"/>
                <w:color w:val="000000"/>
                <w:sz w:val="14"/>
                <w:szCs w:val="14"/>
              </w:rPr>
              <w:t>Provision for credit losses (funded commitments)</w:t>
            </w:r>
          </w:p>
        </w:tc>
        <w:tc>
          <w:tcPr>
            <w:tcW w:w="0" w:type="auto"/>
            <w:gridSpan w:val="2"/>
            <w:shd w:val="clear" w:color="auto" w:fill="FFFFFF"/>
            <w:tcMar>
              <w:top w:w="40" w:type="dxa"/>
              <w:left w:w="20" w:type="dxa"/>
              <w:bottom w:w="40" w:type="dxa"/>
              <w:right w:w="0" w:type="dxa"/>
            </w:tcMar>
            <w:vAlign w:val="bottom"/>
          </w:tcPr>
          <w:p w14:paraId="71D40909" w14:textId="77777777" w:rsidR="006A3667" w:rsidRDefault="00045F32">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90C" w14:textId="77777777" w:rsidR="006A3667" w:rsidRDefault="00045F32">
            <w:pPr>
              <w:jc w:val="right"/>
              <w:textAlignment w:val="bottom"/>
            </w:pPr>
            <w:r>
              <w:rPr>
                <w:rFonts w:ascii="Arial" w:eastAsia="宋体" w:hAnsi="Arial" w:cs="Arial"/>
                <w:color w:val="000000"/>
                <w:sz w:val="14"/>
                <w:szCs w:val="14"/>
              </w:rPr>
              <w:t>(22)</w:t>
            </w:r>
          </w:p>
        </w:tc>
        <w:tc>
          <w:tcPr>
            <w:tcW w:w="0" w:type="auto"/>
            <w:shd w:val="clear" w:color="auto" w:fill="FFFFFF"/>
            <w:tcMar>
              <w:top w:w="40" w:type="dxa"/>
              <w:left w:w="0" w:type="dxa"/>
              <w:bottom w:w="40" w:type="dxa"/>
              <w:right w:w="20" w:type="dxa"/>
            </w:tcMar>
            <w:vAlign w:val="bottom"/>
          </w:tcPr>
          <w:p w14:paraId="71D4090D" w14:textId="77777777" w:rsidR="006A3667" w:rsidRDefault="006A3667">
            <w:pPr>
              <w:jc w:val="right"/>
              <w:rPr>
                <w:rFonts w:ascii="宋体"/>
              </w:rPr>
            </w:pPr>
          </w:p>
        </w:tc>
        <w:tc>
          <w:tcPr>
            <w:tcW w:w="0" w:type="auto"/>
            <w:shd w:val="clear" w:color="auto" w:fill="auto"/>
            <w:vAlign w:val="bottom"/>
          </w:tcPr>
          <w:p w14:paraId="71D4090E" w14:textId="77777777" w:rsidR="006A3667" w:rsidRDefault="006A3667">
            <w:pPr>
              <w:rPr>
                <w:rFonts w:ascii="宋体"/>
                <w:vanish/>
              </w:rPr>
            </w:pPr>
          </w:p>
        </w:tc>
        <w:tc>
          <w:tcPr>
            <w:tcW w:w="0" w:type="auto"/>
            <w:gridSpan w:val="3"/>
            <w:shd w:val="clear" w:color="auto" w:fill="auto"/>
            <w:vAlign w:val="bottom"/>
          </w:tcPr>
          <w:p w14:paraId="71D4090F" w14:textId="77777777" w:rsidR="006A3667" w:rsidRDefault="006A3667">
            <w:pPr>
              <w:rPr>
                <w:rFonts w:ascii="宋体"/>
                <w:vanish/>
              </w:rPr>
            </w:pPr>
          </w:p>
        </w:tc>
        <w:tc>
          <w:tcPr>
            <w:tcW w:w="0" w:type="auto"/>
            <w:gridSpan w:val="3"/>
            <w:shd w:val="clear" w:color="auto" w:fill="auto"/>
            <w:vAlign w:val="bottom"/>
          </w:tcPr>
          <w:p w14:paraId="71D40910" w14:textId="77777777" w:rsidR="006A3667" w:rsidRDefault="006A3667">
            <w:pPr>
              <w:rPr>
                <w:rFonts w:ascii="宋体"/>
                <w:vanish/>
              </w:rPr>
            </w:pPr>
          </w:p>
        </w:tc>
        <w:tc>
          <w:tcPr>
            <w:tcW w:w="0" w:type="auto"/>
            <w:gridSpan w:val="3"/>
            <w:shd w:val="clear" w:color="auto" w:fill="auto"/>
            <w:vAlign w:val="bottom"/>
          </w:tcPr>
          <w:p w14:paraId="71D40911" w14:textId="77777777" w:rsidR="006A3667" w:rsidRDefault="006A3667">
            <w:pPr>
              <w:rPr>
                <w:rFonts w:ascii="宋体"/>
                <w:vanish/>
              </w:rPr>
            </w:pPr>
          </w:p>
        </w:tc>
        <w:tc>
          <w:tcPr>
            <w:tcW w:w="0" w:type="auto"/>
            <w:gridSpan w:val="3"/>
            <w:shd w:val="clear" w:color="auto" w:fill="auto"/>
            <w:vAlign w:val="bottom"/>
          </w:tcPr>
          <w:p w14:paraId="71D40912" w14:textId="77777777" w:rsidR="006A3667" w:rsidRDefault="006A3667">
            <w:pPr>
              <w:rPr>
                <w:rFonts w:ascii="宋体"/>
                <w:vanish/>
              </w:rPr>
            </w:pPr>
          </w:p>
        </w:tc>
        <w:tc>
          <w:tcPr>
            <w:tcW w:w="0" w:type="auto"/>
            <w:gridSpan w:val="3"/>
            <w:shd w:val="clear" w:color="auto" w:fill="auto"/>
            <w:vAlign w:val="bottom"/>
          </w:tcPr>
          <w:p w14:paraId="71D40913" w14:textId="77777777" w:rsidR="006A3667" w:rsidRDefault="006A3667">
            <w:pPr>
              <w:rPr>
                <w:rFonts w:ascii="宋体"/>
                <w:vanish/>
              </w:rPr>
            </w:pPr>
          </w:p>
        </w:tc>
        <w:tc>
          <w:tcPr>
            <w:tcW w:w="0" w:type="auto"/>
            <w:gridSpan w:val="3"/>
            <w:shd w:val="clear" w:color="auto" w:fill="auto"/>
            <w:vAlign w:val="bottom"/>
          </w:tcPr>
          <w:p w14:paraId="71D40914" w14:textId="77777777" w:rsidR="006A3667" w:rsidRDefault="006A3667">
            <w:pPr>
              <w:rPr>
                <w:rFonts w:ascii="宋体"/>
                <w:vanish/>
              </w:rPr>
            </w:pPr>
          </w:p>
        </w:tc>
      </w:tr>
      <w:tr w:rsidR="006A3667" w14:paraId="71D40923" w14:textId="77777777">
        <w:tc>
          <w:tcPr>
            <w:tcW w:w="0" w:type="auto"/>
            <w:gridSpan w:val="3"/>
            <w:shd w:val="clear" w:color="auto" w:fill="CCEEFF"/>
            <w:tcMar>
              <w:top w:w="40" w:type="dxa"/>
              <w:left w:w="20" w:type="dxa"/>
              <w:bottom w:w="40" w:type="dxa"/>
              <w:right w:w="20" w:type="dxa"/>
            </w:tcMar>
            <w:vAlign w:val="bottom"/>
          </w:tcPr>
          <w:p w14:paraId="71D40916" w14:textId="77777777" w:rsidR="006A3667" w:rsidRDefault="00045F32">
            <w:pPr>
              <w:textAlignment w:val="bottom"/>
            </w:pPr>
            <w:r>
              <w:rPr>
                <w:rFonts w:ascii="Arial" w:eastAsia="宋体" w:hAnsi="Arial" w:cs="Arial"/>
                <w:color w:val="000000"/>
                <w:sz w:val="14"/>
                <w:szCs w:val="14"/>
              </w:rPr>
              <w:t>Provisions for credit losses (unfunded commitments)</w:t>
            </w:r>
          </w:p>
        </w:tc>
        <w:tc>
          <w:tcPr>
            <w:tcW w:w="0" w:type="auto"/>
            <w:gridSpan w:val="2"/>
            <w:shd w:val="clear" w:color="auto" w:fill="CCEEFF"/>
            <w:tcMar>
              <w:top w:w="40" w:type="dxa"/>
              <w:left w:w="20" w:type="dxa"/>
              <w:bottom w:w="40" w:type="dxa"/>
              <w:right w:w="0" w:type="dxa"/>
            </w:tcMar>
            <w:vAlign w:val="bottom"/>
          </w:tcPr>
          <w:p w14:paraId="71D40917" w14:textId="77777777" w:rsidR="006A3667" w:rsidRDefault="00045F32">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71D409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1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91A"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71D4091B" w14:textId="77777777" w:rsidR="006A3667" w:rsidRDefault="006A3667">
            <w:pPr>
              <w:jc w:val="right"/>
              <w:rPr>
                <w:rFonts w:ascii="宋体"/>
              </w:rPr>
            </w:pPr>
          </w:p>
        </w:tc>
        <w:tc>
          <w:tcPr>
            <w:tcW w:w="0" w:type="auto"/>
            <w:shd w:val="clear" w:color="auto" w:fill="auto"/>
            <w:vAlign w:val="bottom"/>
          </w:tcPr>
          <w:p w14:paraId="71D4091C" w14:textId="77777777" w:rsidR="006A3667" w:rsidRDefault="006A3667">
            <w:pPr>
              <w:rPr>
                <w:rFonts w:ascii="宋体"/>
                <w:vanish/>
              </w:rPr>
            </w:pPr>
          </w:p>
        </w:tc>
        <w:tc>
          <w:tcPr>
            <w:tcW w:w="0" w:type="auto"/>
            <w:gridSpan w:val="3"/>
            <w:shd w:val="clear" w:color="auto" w:fill="auto"/>
            <w:vAlign w:val="bottom"/>
          </w:tcPr>
          <w:p w14:paraId="71D4091D" w14:textId="77777777" w:rsidR="006A3667" w:rsidRDefault="006A3667">
            <w:pPr>
              <w:rPr>
                <w:rFonts w:ascii="宋体"/>
                <w:vanish/>
              </w:rPr>
            </w:pPr>
          </w:p>
        </w:tc>
        <w:tc>
          <w:tcPr>
            <w:tcW w:w="0" w:type="auto"/>
            <w:gridSpan w:val="3"/>
            <w:shd w:val="clear" w:color="auto" w:fill="auto"/>
            <w:vAlign w:val="bottom"/>
          </w:tcPr>
          <w:p w14:paraId="71D4091E" w14:textId="77777777" w:rsidR="006A3667" w:rsidRDefault="006A3667">
            <w:pPr>
              <w:rPr>
                <w:rFonts w:ascii="宋体"/>
                <w:vanish/>
              </w:rPr>
            </w:pPr>
          </w:p>
        </w:tc>
        <w:tc>
          <w:tcPr>
            <w:tcW w:w="0" w:type="auto"/>
            <w:gridSpan w:val="3"/>
            <w:shd w:val="clear" w:color="auto" w:fill="auto"/>
            <w:vAlign w:val="bottom"/>
          </w:tcPr>
          <w:p w14:paraId="71D4091F" w14:textId="77777777" w:rsidR="006A3667" w:rsidRDefault="006A3667">
            <w:pPr>
              <w:rPr>
                <w:rFonts w:ascii="宋体"/>
                <w:vanish/>
              </w:rPr>
            </w:pPr>
          </w:p>
        </w:tc>
        <w:tc>
          <w:tcPr>
            <w:tcW w:w="0" w:type="auto"/>
            <w:gridSpan w:val="3"/>
            <w:shd w:val="clear" w:color="auto" w:fill="auto"/>
            <w:vAlign w:val="bottom"/>
          </w:tcPr>
          <w:p w14:paraId="71D40920" w14:textId="77777777" w:rsidR="006A3667" w:rsidRDefault="006A3667">
            <w:pPr>
              <w:rPr>
                <w:rFonts w:ascii="宋体"/>
                <w:vanish/>
              </w:rPr>
            </w:pPr>
          </w:p>
        </w:tc>
        <w:tc>
          <w:tcPr>
            <w:tcW w:w="0" w:type="auto"/>
            <w:gridSpan w:val="3"/>
            <w:shd w:val="clear" w:color="auto" w:fill="auto"/>
            <w:vAlign w:val="bottom"/>
          </w:tcPr>
          <w:p w14:paraId="71D40921" w14:textId="77777777" w:rsidR="006A3667" w:rsidRDefault="006A3667">
            <w:pPr>
              <w:rPr>
                <w:rFonts w:ascii="宋体"/>
                <w:vanish/>
              </w:rPr>
            </w:pPr>
          </w:p>
        </w:tc>
        <w:tc>
          <w:tcPr>
            <w:tcW w:w="0" w:type="auto"/>
            <w:gridSpan w:val="3"/>
            <w:shd w:val="clear" w:color="auto" w:fill="auto"/>
            <w:vAlign w:val="bottom"/>
          </w:tcPr>
          <w:p w14:paraId="71D40922" w14:textId="77777777" w:rsidR="006A3667" w:rsidRDefault="006A3667">
            <w:pPr>
              <w:rPr>
                <w:rFonts w:ascii="宋体"/>
                <w:vanish/>
              </w:rPr>
            </w:pPr>
          </w:p>
        </w:tc>
      </w:tr>
      <w:tr w:rsidR="006A3667" w14:paraId="71D40931" w14:textId="77777777">
        <w:tc>
          <w:tcPr>
            <w:tcW w:w="0" w:type="auto"/>
            <w:gridSpan w:val="3"/>
            <w:shd w:val="clear" w:color="auto" w:fill="FFFFFF"/>
            <w:tcMar>
              <w:top w:w="40" w:type="dxa"/>
              <w:left w:w="20" w:type="dxa"/>
              <w:bottom w:w="40" w:type="dxa"/>
              <w:right w:w="20" w:type="dxa"/>
            </w:tcMar>
            <w:vAlign w:val="bottom"/>
          </w:tcPr>
          <w:p w14:paraId="71D40924" w14:textId="77777777" w:rsidR="006A3667" w:rsidRDefault="00045F32">
            <w:pPr>
              <w:textAlignment w:val="bottom"/>
            </w:pPr>
            <w:r>
              <w:rPr>
                <w:rFonts w:ascii="Arial" w:eastAsia="宋体" w:hAnsi="Arial" w:cs="Arial"/>
                <w:color w:val="000000"/>
                <w:sz w:val="14"/>
                <w:szCs w:val="14"/>
              </w:rPr>
              <w:t xml:space="preserve">Provisions for credit losses (held-to-maturity securities and </w:t>
            </w:r>
            <w:r>
              <w:rPr>
                <w:rFonts w:ascii="Arial" w:eastAsia="宋体" w:hAnsi="Arial" w:cs="Arial"/>
                <w:color w:val="000000"/>
                <w:sz w:val="14"/>
                <w:szCs w:val="14"/>
              </w:rPr>
              <w:t>all other)</w:t>
            </w:r>
          </w:p>
        </w:tc>
        <w:tc>
          <w:tcPr>
            <w:tcW w:w="0" w:type="auto"/>
            <w:gridSpan w:val="2"/>
            <w:shd w:val="clear" w:color="auto" w:fill="FFFFFF"/>
            <w:tcMar>
              <w:top w:w="40" w:type="dxa"/>
              <w:left w:w="20" w:type="dxa"/>
              <w:bottom w:w="40" w:type="dxa"/>
              <w:right w:w="0" w:type="dxa"/>
            </w:tcMar>
            <w:vAlign w:val="bottom"/>
          </w:tcPr>
          <w:p w14:paraId="71D4092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2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928"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71D40929" w14:textId="77777777" w:rsidR="006A3667" w:rsidRDefault="006A3667">
            <w:pPr>
              <w:jc w:val="right"/>
              <w:rPr>
                <w:rFonts w:ascii="宋体"/>
              </w:rPr>
            </w:pPr>
          </w:p>
        </w:tc>
        <w:tc>
          <w:tcPr>
            <w:tcW w:w="0" w:type="auto"/>
            <w:shd w:val="clear" w:color="auto" w:fill="auto"/>
            <w:vAlign w:val="bottom"/>
          </w:tcPr>
          <w:p w14:paraId="71D4092A" w14:textId="77777777" w:rsidR="006A3667" w:rsidRDefault="006A3667">
            <w:pPr>
              <w:rPr>
                <w:rFonts w:ascii="宋体"/>
                <w:vanish/>
              </w:rPr>
            </w:pPr>
          </w:p>
        </w:tc>
        <w:tc>
          <w:tcPr>
            <w:tcW w:w="0" w:type="auto"/>
            <w:gridSpan w:val="3"/>
            <w:shd w:val="clear" w:color="auto" w:fill="auto"/>
            <w:vAlign w:val="bottom"/>
          </w:tcPr>
          <w:p w14:paraId="71D4092B" w14:textId="77777777" w:rsidR="006A3667" w:rsidRDefault="006A3667">
            <w:pPr>
              <w:rPr>
                <w:rFonts w:ascii="宋体"/>
                <w:vanish/>
              </w:rPr>
            </w:pPr>
          </w:p>
        </w:tc>
        <w:tc>
          <w:tcPr>
            <w:tcW w:w="0" w:type="auto"/>
            <w:gridSpan w:val="3"/>
            <w:shd w:val="clear" w:color="auto" w:fill="auto"/>
            <w:vAlign w:val="bottom"/>
          </w:tcPr>
          <w:p w14:paraId="71D4092C" w14:textId="77777777" w:rsidR="006A3667" w:rsidRDefault="006A3667">
            <w:pPr>
              <w:rPr>
                <w:rFonts w:ascii="宋体"/>
                <w:vanish/>
              </w:rPr>
            </w:pPr>
          </w:p>
        </w:tc>
        <w:tc>
          <w:tcPr>
            <w:tcW w:w="0" w:type="auto"/>
            <w:gridSpan w:val="3"/>
            <w:shd w:val="clear" w:color="auto" w:fill="auto"/>
            <w:vAlign w:val="bottom"/>
          </w:tcPr>
          <w:p w14:paraId="71D4092D" w14:textId="77777777" w:rsidR="006A3667" w:rsidRDefault="006A3667">
            <w:pPr>
              <w:rPr>
                <w:rFonts w:ascii="宋体"/>
                <w:vanish/>
              </w:rPr>
            </w:pPr>
          </w:p>
        </w:tc>
        <w:tc>
          <w:tcPr>
            <w:tcW w:w="0" w:type="auto"/>
            <w:gridSpan w:val="3"/>
            <w:shd w:val="clear" w:color="auto" w:fill="auto"/>
            <w:vAlign w:val="bottom"/>
          </w:tcPr>
          <w:p w14:paraId="71D4092E" w14:textId="77777777" w:rsidR="006A3667" w:rsidRDefault="006A3667">
            <w:pPr>
              <w:rPr>
                <w:rFonts w:ascii="宋体"/>
                <w:vanish/>
              </w:rPr>
            </w:pPr>
          </w:p>
        </w:tc>
        <w:tc>
          <w:tcPr>
            <w:tcW w:w="0" w:type="auto"/>
            <w:gridSpan w:val="3"/>
            <w:shd w:val="clear" w:color="auto" w:fill="auto"/>
            <w:vAlign w:val="bottom"/>
          </w:tcPr>
          <w:p w14:paraId="71D4092F" w14:textId="77777777" w:rsidR="006A3667" w:rsidRDefault="006A3667">
            <w:pPr>
              <w:rPr>
                <w:rFonts w:ascii="宋体"/>
                <w:vanish/>
              </w:rPr>
            </w:pPr>
          </w:p>
        </w:tc>
        <w:tc>
          <w:tcPr>
            <w:tcW w:w="0" w:type="auto"/>
            <w:gridSpan w:val="3"/>
            <w:shd w:val="clear" w:color="auto" w:fill="auto"/>
            <w:vAlign w:val="bottom"/>
          </w:tcPr>
          <w:p w14:paraId="71D40930" w14:textId="77777777" w:rsidR="006A3667" w:rsidRDefault="006A3667">
            <w:pPr>
              <w:rPr>
                <w:rFonts w:ascii="宋体"/>
                <w:vanish/>
              </w:rPr>
            </w:pPr>
          </w:p>
        </w:tc>
      </w:tr>
      <w:tr w:rsidR="006A3667" w14:paraId="71D4093F" w14:textId="77777777">
        <w:tc>
          <w:tcPr>
            <w:tcW w:w="0" w:type="auto"/>
            <w:gridSpan w:val="3"/>
            <w:shd w:val="clear" w:color="auto" w:fill="CCEEFF"/>
            <w:tcMar>
              <w:top w:w="40" w:type="dxa"/>
              <w:left w:w="20" w:type="dxa"/>
              <w:bottom w:w="40" w:type="dxa"/>
              <w:right w:w="20" w:type="dxa"/>
            </w:tcMar>
            <w:vAlign w:val="bottom"/>
          </w:tcPr>
          <w:p w14:paraId="71D40932" w14:textId="77777777" w:rsidR="006A3667" w:rsidRDefault="00045F32">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1D40933" w14:textId="77777777" w:rsidR="006A3667" w:rsidRDefault="00045F32">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71D409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3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936"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71D40937" w14:textId="77777777" w:rsidR="006A3667" w:rsidRDefault="006A3667">
            <w:pPr>
              <w:jc w:val="right"/>
              <w:rPr>
                <w:rFonts w:ascii="宋体"/>
              </w:rPr>
            </w:pPr>
          </w:p>
        </w:tc>
        <w:tc>
          <w:tcPr>
            <w:tcW w:w="0" w:type="auto"/>
            <w:shd w:val="clear" w:color="auto" w:fill="auto"/>
            <w:vAlign w:val="bottom"/>
          </w:tcPr>
          <w:p w14:paraId="71D40938" w14:textId="77777777" w:rsidR="006A3667" w:rsidRDefault="006A3667">
            <w:pPr>
              <w:rPr>
                <w:rFonts w:ascii="宋体"/>
                <w:vanish/>
              </w:rPr>
            </w:pPr>
          </w:p>
        </w:tc>
        <w:tc>
          <w:tcPr>
            <w:tcW w:w="0" w:type="auto"/>
            <w:gridSpan w:val="3"/>
            <w:shd w:val="clear" w:color="auto" w:fill="auto"/>
            <w:vAlign w:val="bottom"/>
          </w:tcPr>
          <w:p w14:paraId="71D40939" w14:textId="77777777" w:rsidR="006A3667" w:rsidRDefault="006A3667">
            <w:pPr>
              <w:rPr>
                <w:rFonts w:ascii="宋体"/>
                <w:vanish/>
              </w:rPr>
            </w:pPr>
          </w:p>
        </w:tc>
        <w:tc>
          <w:tcPr>
            <w:tcW w:w="0" w:type="auto"/>
            <w:gridSpan w:val="3"/>
            <w:shd w:val="clear" w:color="auto" w:fill="auto"/>
            <w:vAlign w:val="bottom"/>
          </w:tcPr>
          <w:p w14:paraId="71D4093A" w14:textId="77777777" w:rsidR="006A3667" w:rsidRDefault="006A3667">
            <w:pPr>
              <w:rPr>
                <w:rFonts w:ascii="宋体"/>
                <w:vanish/>
              </w:rPr>
            </w:pPr>
          </w:p>
        </w:tc>
        <w:tc>
          <w:tcPr>
            <w:tcW w:w="0" w:type="auto"/>
            <w:gridSpan w:val="3"/>
            <w:shd w:val="clear" w:color="auto" w:fill="auto"/>
            <w:vAlign w:val="bottom"/>
          </w:tcPr>
          <w:p w14:paraId="71D4093B" w14:textId="77777777" w:rsidR="006A3667" w:rsidRDefault="006A3667">
            <w:pPr>
              <w:rPr>
                <w:rFonts w:ascii="宋体"/>
                <w:vanish/>
              </w:rPr>
            </w:pPr>
          </w:p>
        </w:tc>
        <w:tc>
          <w:tcPr>
            <w:tcW w:w="0" w:type="auto"/>
            <w:gridSpan w:val="3"/>
            <w:shd w:val="clear" w:color="auto" w:fill="auto"/>
            <w:vAlign w:val="bottom"/>
          </w:tcPr>
          <w:p w14:paraId="71D4093C" w14:textId="77777777" w:rsidR="006A3667" w:rsidRDefault="006A3667">
            <w:pPr>
              <w:rPr>
                <w:rFonts w:ascii="宋体"/>
                <w:vanish/>
              </w:rPr>
            </w:pPr>
          </w:p>
        </w:tc>
        <w:tc>
          <w:tcPr>
            <w:tcW w:w="0" w:type="auto"/>
            <w:gridSpan w:val="3"/>
            <w:shd w:val="clear" w:color="auto" w:fill="auto"/>
            <w:vAlign w:val="bottom"/>
          </w:tcPr>
          <w:p w14:paraId="71D4093D" w14:textId="77777777" w:rsidR="006A3667" w:rsidRDefault="006A3667">
            <w:pPr>
              <w:rPr>
                <w:rFonts w:ascii="宋体"/>
                <w:vanish/>
              </w:rPr>
            </w:pPr>
          </w:p>
        </w:tc>
        <w:tc>
          <w:tcPr>
            <w:tcW w:w="0" w:type="auto"/>
            <w:gridSpan w:val="3"/>
            <w:shd w:val="clear" w:color="auto" w:fill="auto"/>
            <w:vAlign w:val="bottom"/>
          </w:tcPr>
          <w:p w14:paraId="71D4093E" w14:textId="77777777" w:rsidR="006A3667" w:rsidRDefault="006A3667">
            <w:pPr>
              <w:rPr>
                <w:rFonts w:ascii="宋体"/>
                <w:vanish/>
              </w:rPr>
            </w:pPr>
          </w:p>
        </w:tc>
      </w:tr>
      <w:tr w:rsidR="006A3667" w14:paraId="71D4094B" w14:textId="77777777">
        <w:trPr>
          <w:hidden/>
        </w:trPr>
        <w:tc>
          <w:tcPr>
            <w:tcW w:w="0" w:type="auto"/>
            <w:gridSpan w:val="3"/>
            <w:shd w:val="clear" w:color="auto" w:fill="auto"/>
            <w:vAlign w:val="bottom"/>
          </w:tcPr>
          <w:p w14:paraId="71D40940" w14:textId="77777777" w:rsidR="006A3667" w:rsidRDefault="006A3667">
            <w:pPr>
              <w:rPr>
                <w:rFonts w:ascii="宋体"/>
                <w:vanish/>
              </w:rPr>
            </w:pPr>
          </w:p>
        </w:tc>
        <w:tc>
          <w:tcPr>
            <w:tcW w:w="0" w:type="auto"/>
            <w:gridSpan w:val="3"/>
            <w:shd w:val="clear" w:color="auto" w:fill="auto"/>
            <w:vAlign w:val="bottom"/>
          </w:tcPr>
          <w:p w14:paraId="71D40941" w14:textId="77777777" w:rsidR="006A3667" w:rsidRDefault="006A3667">
            <w:pPr>
              <w:rPr>
                <w:rFonts w:ascii="宋体"/>
                <w:vanish/>
              </w:rPr>
            </w:pPr>
          </w:p>
        </w:tc>
        <w:tc>
          <w:tcPr>
            <w:tcW w:w="0" w:type="auto"/>
            <w:gridSpan w:val="3"/>
            <w:shd w:val="clear" w:color="auto" w:fill="auto"/>
            <w:vAlign w:val="bottom"/>
          </w:tcPr>
          <w:p w14:paraId="71D40942" w14:textId="77777777" w:rsidR="006A3667" w:rsidRDefault="006A3667">
            <w:pPr>
              <w:rPr>
                <w:rFonts w:ascii="宋体"/>
                <w:vanish/>
              </w:rPr>
            </w:pPr>
          </w:p>
        </w:tc>
        <w:tc>
          <w:tcPr>
            <w:tcW w:w="0" w:type="auto"/>
            <w:gridSpan w:val="3"/>
            <w:shd w:val="clear" w:color="auto" w:fill="auto"/>
            <w:vAlign w:val="bottom"/>
          </w:tcPr>
          <w:p w14:paraId="71D40943" w14:textId="77777777" w:rsidR="006A3667" w:rsidRDefault="006A3667">
            <w:pPr>
              <w:rPr>
                <w:rFonts w:ascii="宋体"/>
                <w:vanish/>
              </w:rPr>
            </w:pPr>
          </w:p>
        </w:tc>
        <w:tc>
          <w:tcPr>
            <w:tcW w:w="0" w:type="auto"/>
            <w:shd w:val="clear" w:color="auto" w:fill="auto"/>
            <w:vAlign w:val="bottom"/>
          </w:tcPr>
          <w:p w14:paraId="71D40944" w14:textId="77777777" w:rsidR="006A3667" w:rsidRDefault="006A3667">
            <w:pPr>
              <w:rPr>
                <w:rFonts w:ascii="宋体"/>
                <w:vanish/>
              </w:rPr>
            </w:pPr>
          </w:p>
        </w:tc>
        <w:tc>
          <w:tcPr>
            <w:tcW w:w="0" w:type="auto"/>
            <w:gridSpan w:val="3"/>
            <w:shd w:val="clear" w:color="auto" w:fill="auto"/>
            <w:vAlign w:val="bottom"/>
          </w:tcPr>
          <w:p w14:paraId="71D40945" w14:textId="77777777" w:rsidR="006A3667" w:rsidRDefault="006A3667">
            <w:pPr>
              <w:rPr>
                <w:rFonts w:ascii="宋体"/>
                <w:vanish/>
              </w:rPr>
            </w:pPr>
          </w:p>
        </w:tc>
        <w:tc>
          <w:tcPr>
            <w:tcW w:w="0" w:type="auto"/>
            <w:gridSpan w:val="3"/>
            <w:shd w:val="clear" w:color="auto" w:fill="auto"/>
            <w:vAlign w:val="bottom"/>
          </w:tcPr>
          <w:p w14:paraId="71D40946" w14:textId="77777777" w:rsidR="006A3667" w:rsidRDefault="006A3667">
            <w:pPr>
              <w:rPr>
                <w:rFonts w:ascii="宋体"/>
                <w:vanish/>
              </w:rPr>
            </w:pPr>
          </w:p>
        </w:tc>
        <w:tc>
          <w:tcPr>
            <w:tcW w:w="0" w:type="auto"/>
            <w:gridSpan w:val="3"/>
            <w:shd w:val="clear" w:color="auto" w:fill="auto"/>
            <w:vAlign w:val="bottom"/>
          </w:tcPr>
          <w:p w14:paraId="71D40947" w14:textId="77777777" w:rsidR="006A3667" w:rsidRDefault="006A3667">
            <w:pPr>
              <w:rPr>
                <w:rFonts w:ascii="宋体"/>
                <w:vanish/>
              </w:rPr>
            </w:pPr>
          </w:p>
        </w:tc>
        <w:tc>
          <w:tcPr>
            <w:tcW w:w="0" w:type="auto"/>
            <w:gridSpan w:val="3"/>
            <w:shd w:val="clear" w:color="auto" w:fill="auto"/>
            <w:vAlign w:val="bottom"/>
          </w:tcPr>
          <w:p w14:paraId="71D40948" w14:textId="77777777" w:rsidR="006A3667" w:rsidRDefault="006A3667">
            <w:pPr>
              <w:rPr>
                <w:rFonts w:ascii="宋体"/>
                <w:vanish/>
              </w:rPr>
            </w:pPr>
          </w:p>
        </w:tc>
        <w:tc>
          <w:tcPr>
            <w:tcW w:w="0" w:type="auto"/>
            <w:gridSpan w:val="3"/>
            <w:shd w:val="clear" w:color="auto" w:fill="auto"/>
            <w:vAlign w:val="bottom"/>
          </w:tcPr>
          <w:p w14:paraId="71D40949" w14:textId="77777777" w:rsidR="006A3667" w:rsidRDefault="006A3667">
            <w:pPr>
              <w:rPr>
                <w:rFonts w:ascii="宋体"/>
                <w:vanish/>
              </w:rPr>
            </w:pPr>
          </w:p>
        </w:tc>
        <w:tc>
          <w:tcPr>
            <w:tcW w:w="0" w:type="auto"/>
            <w:gridSpan w:val="3"/>
            <w:shd w:val="clear" w:color="auto" w:fill="auto"/>
            <w:vAlign w:val="bottom"/>
          </w:tcPr>
          <w:p w14:paraId="71D4094A" w14:textId="77777777" w:rsidR="006A3667" w:rsidRDefault="006A3667">
            <w:pPr>
              <w:rPr>
                <w:rFonts w:ascii="宋体"/>
                <w:vanish/>
              </w:rPr>
            </w:pPr>
          </w:p>
        </w:tc>
      </w:tr>
      <w:tr w:rsidR="006A3667" w14:paraId="71D40959" w14:textId="77777777">
        <w:tc>
          <w:tcPr>
            <w:tcW w:w="0" w:type="auto"/>
            <w:gridSpan w:val="3"/>
            <w:shd w:val="clear" w:color="auto" w:fill="FFFFFF"/>
            <w:tcMar>
              <w:top w:w="40" w:type="dxa"/>
              <w:left w:w="20" w:type="dxa"/>
              <w:bottom w:w="40" w:type="dxa"/>
              <w:right w:w="20" w:type="dxa"/>
            </w:tcMar>
            <w:vAlign w:val="bottom"/>
          </w:tcPr>
          <w:p w14:paraId="71D4094C" w14:textId="77777777" w:rsidR="006A3667" w:rsidRDefault="00045F32">
            <w:pP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1D4094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950"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71D40951" w14:textId="77777777" w:rsidR="006A3667" w:rsidRDefault="006A3667">
            <w:pPr>
              <w:jc w:val="right"/>
              <w:rPr>
                <w:rFonts w:ascii="宋体"/>
              </w:rPr>
            </w:pPr>
          </w:p>
        </w:tc>
        <w:tc>
          <w:tcPr>
            <w:tcW w:w="0" w:type="auto"/>
            <w:shd w:val="clear" w:color="auto" w:fill="auto"/>
            <w:vAlign w:val="bottom"/>
          </w:tcPr>
          <w:p w14:paraId="71D40952" w14:textId="77777777" w:rsidR="006A3667" w:rsidRDefault="006A3667">
            <w:pPr>
              <w:rPr>
                <w:rFonts w:ascii="宋体"/>
                <w:vanish/>
              </w:rPr>
            </w:pPr>
          </w:p>
        </w:tc>
        <w:tc>
          <w:tcPr>
            <w:tcW w:w="0" w:type="auto"/>
            <w:gridSpan w:val="3"/>
            <w:shd w:val="clear" w:color="auto" w:fill="auto"/>
            <w:vAlign w:val="bottom"/>
          </w:tcPr>
          <w:p w14:paraId="71D40953" w14:textId="77777777" w:rsidR="006A3667" w:rsidRDefault="006A3667">
            <w:pPr>
              <w:rPr>
                <w:rFonts w:ascii="宋体"/>
                <w:vanish/>
              </w:rPr>
            </w:pPr>
          </w:p>
        </w:tc>
        <w:tc>
          <w:tcPr>
            <w:tcW w:w="0" w:type="auto"/>
            <w:gridSpan w:val="3"/>
            <w:shd w:val="clear" w:color="auto" w:fill="auto"/>
            <w:vAlign w:val="bottom"/>
          </w:tcPr>
          <w:p w14:paraId="71D40954" w14:textId="77777777" w:rsidR="006A3667" w:rsidRDefault="006A3667">
            <w:pPr>
              <w:rPr>
                <w:rFonts w:ascii="宋体"/>
                <w:vanish/>
              </w:rPr>
            </w:pPr>
          </w:p>
        </w:tc>
        <w:tc>
          <w:tcPr>
            <w:tcW w:w="0" w:type="auto"/>
            <w:gridSpan w:val="3"/>
            <w:shd w:val="clear" w:color="auto" w:fill="auto"/>
            <w:vAlign w:val="bottom"/>
          </w:tcPr>
          <w:p w14:paraId="71D40955" w14:textId="77777777" w:rsidR="006A3667" w:rsidRDefault="006A3667">
            <w:pPr>
              <w:rPr>
                <w:rFonts w:ascii="宋体"/>
                <w:vanish/>
              </w:rPr>
            </w:pPr>
          </w:p>
        </w:tc>
        <w:tc>
          <w:tcPr>
            <w:tcW w:w="0" w:type="auto"/>
            <w:gridSpan w:val="3"/>
            <w:shd w:val="clear" w:color="auto" w:fill="auto"/>
            <w:vAlign w:val="bottom"/>
          </w:tcPr>
          <w:p w14:paraId="71D40956" w14:textId="77777777" w:rsidR="006A3667" w:rsidRDefault="006A3667">
            <w:pPr>
              <w:rPr>
                <w:rFonts w:ascii="宋体"/>
                <w:vanish/>
              </w:rPr>
            </w:pPr>
          </w:p>
        </w:tc>
        <w:tc>
          <w:tcPr>
            <w:tcW w:w="0" w:type="auto"/>
            <w:gridSpan w:val="3"/>
            <w:shd w:val="clear" w:color="auto" w:fill="auto"/>
            <w:vAlign w:val="bottom"/>
          </w:tcPr>
          <w:p w14:paraId="71D40957" w14:textId="77777777" w:rsidR="006A3667" w:rsidRDefault="006A3667">
            <w:pPr>
              <w:rPr>
                <w:rFonts w:ascii="宋体"/>
                <w:vanish/>
              </w:rPr>
            </w:pPr>
          </w:p>
        </w:tc>
        <w:tc>
          <w:tcPr>
            <w:tcW w:w="0" w:type="auto"/>
            <w:gridSpan w:val="3"/>
            <w:shd w:val="clear" w:color="auto" w:fill="auto"/>
            <w:vAlign w:val="bottom"/>
          </w:tcPr>
          <w:p w14:paraId="71D40958" w14:textId="77777777" w:rsidR="006A3667" w:rsidRDefault="006A3667">
            <w:pPr>
              <w:rPr>
                <w:rFonts w:ascii="宋体"/>
                <w:vanish/>
              </w:rPr>
            </w:pPr>
          </w:p>
        </w:tc>
      </w:tr>
      <w:tr w:rsidR="006A3667" w14:paraId="71D40969" w14:textId="77777777">
        <w:tc>
          <w:tcPr>
            <w:tcW w:w="0" w:type="auto"/>
            <w:gridSpan w:val="3"/>
            <w:shd w:val="clear" w:color="auto" w:fill="CCEEFF"/>
            <w:tcMar>
              <w:top w:w="40" w:type="dxa"/>
              <w:left w:w="20" w:type="dxa"/>
              <w:bottom w:w="40" w:type="dxa"/>
              <w:right w:w="20" w:type="dxa"/>
            </w:tcMar>
            <w:vAlign w:val="bottom"/>
          </w:tcPr>
          <w:p w14:paraId="71D4095A" w14:textId="77777777" w:rsidR="006A3667" w:rsidRDefault="00045F32">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095B"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095C" w14:textId="77777777" w:rsidR="006A3667" w:rsidRDefault="00045F32">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09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5E"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095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0960" w14:textId="77777777" w:rsidR="006A3667" w:rsidRDefault="00045F32">
            <w:pPr>
              <w:jc w:val="right"/>
              <w:textAlignment w:val="bottom"/>
            </w:pPr>
            <w:r>
              <w:rPr>
                <w:rFonts w:ascii="Arial" w:eastAsia="宋体" w:hAnsi="Arial" w:cs="Arial"/>
                <w:color w:val="000000"/>
                <w:sz w:val="14"/>
                <w:szCs w:val="14"/>
              </w:rPr>
              <w:t>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0961" w14:textId="77777777" w:rsidR="006A3667" w:rsidRDefault="006A3667">
            <w:pPr>
              <w:jc w:val="right"/>
              <w:rPr>
                <w:rFonts w:ascii="宋体"/>
              </w:rPr>
            </w:pPr>
          </w:p>
        </w:tc>
        <w:tc>
          <w:tcPr>
            <w:tcW w:w="0" w:type="auto"/>
            <w:shd w:val="clear" w:color="auto" w:fill="auto"/>
            <w:vAlign w:val="bottom"/>
          </w:tcPr>
          <w:p w14:paraId="71D40962" w14:textId="77777777" w:rsidR="006A3667" w:rsidRDefault="006A3667">
            <w:pPr>
              <w:rPr>
                <w:rFonts w:ascii="宋体"/>
                <w:vanish/>
              </w:rPr>
            </w:pPr>
          </w:p>
        </w:tc>
        <w:tc>
          <w:tcPr>
            <w:tcW w:w="0" w:type="auto"/>
            <w:gridSpan w:val="3"/>
            <w:shd w:val="clear" w:color="auto" w:fill="auto"/>
            <w:vAlign w:val="bottom"/>
          </w:tcPr>
          <w:p w14:paraId="71D40963" w14:textId="77777777" w:rsidR="006A3667" w:rsidRDefault="006A3667">
            <w:pPr>
              <w:rPr>
                <w:rFonts w:ascii="宋体"/>
                <w:vanish/>
              </w:rPr>
            </w:pPr>
          </w:p>
        </w:tc>
        <w:tc>
          <w:tcPr>
            <w:tcW w:w="0" w:type="auto"/>
            <w:gridSpan w:val="3"/>
            <w:shd w:val="clear" w:color="auto" w:fill="auto"/>
            <w:vAlign w:val="bottom"/>
          </w:tcPr>
          <w:p w14:paraId="71D40964" w14:textId="77777777" w:rsidR="006A3667" w:rsidRDefault="006A3667">
            <w:pPr>
              <w:rPr>
                <w:rFonts w:ascii="宋体"/>
                <w:vanish/>
              </w:rPr>
            </w:pPr>
          </w:p>
        </w:tc>
        <w:tc>
          <w:tcPr>
            <w:tcW w:w="0" w:type="auto"/>
            <w:gridSpan w:val="3"/>
            <w:shd w:val="clear" w:color="auto" w:fill="auto"/>
            <w:vAlign w:val="bottom"/>
          </w:tcPr>
          <w:p w14:paraId="71D40965" w14:textId="77777777" w:rsidR="006A3667" w:rsidRDefault="006A3667">
            <w:pPr>
              <w:rPr>
                <w:rFonts w:ascii="宋体"/>
                <w:vanish/>
              </w:rPr>
            </w:pPr>
          </w:p>
        </w:tc>
        <w:tc>
          <w:tcPr>
            <w:tcW w:w="0" w:type="auto"/>
            <w:gridSpan w:val="3"/>
            <w:shd w:val="clear" w:color="auto" w:fill="auto"/>
            <w:vAlign w:val="bottom"/>
          </w:tcPr>
          <w:p w14:paraId="71D40966" w14:textId="77777777" w:rsidR="006A3667" w:rsidRDefault="006A3667">
            <w:pPr>
              <w:rPr>
                <w:rFonts w:ascii="宋体"/>
                <w:vanish/>
              </w:rPr>
            </w:pPr>
          </w:p>
        </w:tc>
        <w:tc>
          <w:tcPr>
            <w:tcW w:w="0" w:type="auto"/>
            <w:gridSpan w:val="3"/>
            <w:shd w:val="clear" w:color="auto" w:fill="auto"/>
            <w:vAlign w:val="bottom"/>
          </w:tcPr>
          <w:p w14:paraId="71D40967" w14:textId="77777777" w:rsidR="006A3667" w:rsidRDefault="006A3667">
            <w:pPr>
              <w:rPr>
                <w:rFonts w:ascii="宋体"/>
                <w:vanish/>
              </w:rPr>
            </w:pPr>
          </w:p>
        </w:tc>
        <w:tc>
          <w:tcPr>
            <w:tcW w:w="0" w:type="auto"/>
            <w:gridSpan w:val="3"/>
            <w:shd w:val="clear" w:color="auto" w:fill="auto"/>
            <w:vAlign w:val="bottom"/>
          </w:tcPr>
          <w:p w14:paraId="71D40968" w14:textId="77777777" w:rsidR="006A3667" w:rsidRDefault="006A3667">
            <w:pPr>
              <w:rPr>
                <w:rFonts w:ascii="宋体"/>
                <w:vanish/>
              </w:rPr>
            </w:pPr>
          </w:p>
        </w:tc>
      </w:tr>
    </w:tbl>
    <w:p w14:paraId="71D4096A" w14:textId="77777777" w:rsidR="006A3667" w:rsidRDefault="006A3667">
      <w:pPr>
        <w:rPr>
          <w:vanish/>
        </w:rPr>
      </w:pPr>
    </w:p>
    <w:tbl>
      <w:tblPr>
        <w:tblW w:w="4135" w:type="pct"/>
        <w:tblCellMar>
          <w:top w:w="15" w:type="dxa"/>
          <w:left w:w="15" w:type="dxa"/>
          <w:bottom w:w="15" w:type="dxa"/>
          <w:right w:w="15" w:type="dxa"/>
        </w:tblCellMar>
        <w:tblLook w:val="04A0" w:firstRow="1" w:lastRow="0" w:firstColumn="1" w:lastColumn="0" w:noHBand="0" w:noVBand="1"/>
      </w:tblPr>
      <w:tblGrid>
        <w:gridCol w:w="53"/>
        <w:gridCol w:w="3931"/>
        <w:gridCol w:w="36"/>
        <w:gridCol w:w="53"/>
        <w:gridCol w:w="1648"/>
        <w:gridCol w:w="36"/>
        <w:gridCol w:w="54"/>
        <w:gridCol w:w="975"/>
        <w:gridCol w:w="36"/>
        <w:gridCol w:w="36"/>
        <w:gridCol w:w="36"/>
      </w:tblGrid>
      <w:tr w:rsidR="006A3667" w14:paraId="71D40976" w14:textId="77777777">
        <w:tc>
          <w:tcPr>
            <w:tcW w:w="50" w:type="pct"/>
            <w:shd w:val="clear" w:color="auto" w:fill="auto"/>
            <w:vAlign w:val="bottom"/>
          </w:tcPr>
          <w:p w14:paraId="71D4096B" w14:textId="77777777" w:rsidR="006A3667" w:rsidRDefault="006A3667">
            <w:pPr>
              <w:rPr>
                <w:rFonts w:ascii="宋体"/>
              </w:rPr>
            </w:pPr>
          </w:p>
        </w:tc>
        <w:tc>
          <w:tcPr>
            <w:tcW w:w="2891" w:type="pct"/>
            <w:shd w:val="clear" w:color="auto" w:fill="auto"/>
            <w:vAlign w:val="bottom"/>
          </w:tcPr>
          <w:p w14:paraId="71D4096C" w14:textId="77777777" w:rsidR="006A3667" w:rsidRDefault="006A3667">
            <w:pPr>
              <w:rPr>
                <w:rFonts w:ascii="宋体"/>
              </w:rPr>
            </w:pPr>
          </w:p>
        </w:tc>
        <w:tc>
          <w:tcPr>
            <w:tcW w:w="5" w:type="pct"/>
            <w:shd w:val="clear" w:color="auto" w:fill="auto"/>
            <w:vAlign w:val="bottom"/>
          </w:tcPr>
          <w:p w14:paraId="71D4096D" w14:textId="77777777" w:rsidR="006A3667" w:rsidRDefault="006A3667">
            <w:pPr>
              <w:rPr>
                <w:rFonts w:ascii="宋体"/>
              </w:rPr>
            </w:pPr>
          </w:p>
        </w:tc>
        <w:tc>
          <w:tcPr>
            <w:tcW w:w="50" w:type="pct"/>
            <w:shd w:val="clear" w:color="auto" w:fill="auto"/>
            <w:vAlign w:val="bottom"/>
          </w:tcPr>
          <w:p w14:paraId="71D4096E" w14:textId="77777777" w:rsidR="006A3667" w:rsidRDefault="006A3667">
            <w:pPr>
              <w:rPr>
                <w:rFonts w:ascii="宋体"/>
              </w:rPr>
            </w:pPr>
          </w:p>
        </w:tc>
        <w:tc>
          <w:tcPr>
            <w:tcW w:w="1218" w:type="pct"/>
            <w:shd w:val="clear" w:color="auto" w:fill="auto"/>
            <w:vAlign w:val="bottom"/>
          </w:tcPr>
          <w:p w14:paraId="71D4096F" w14:textId="77777777" w:rsidR="006A3667" w:rsidRDefault="006A3667">
            <w:pPr>
              <w:rPr>
                <w:rFonts w:ascii="宋体"/>
              </w:rPr>
            </w:pPr>
          </w:p>
        </w:tc>
        <w:tc>
          <w:tcPr>
            <w:tcW w:w="5" w:type="pct"/>
            <w:shd w:val="clear" w:color="auto" w:fill="auto"/>
            <w:vAlign w:val="bottom"/>
          </w:tcPr>
          <w:p w14:paraId="71D40970" w14:textId="77777777" w:rsidR="006A3667" w:rsidRDefault="006A3667">
            <w:pPr>
              <w:rPr>
                <w:rFonts w:ascii="宋体"/>
              </w:rPr>
            </w:pPr>
          </w:p>
        </w:tc>
        <w:tc>
          <w:tcPr>
            <w:tcW w:w="50" w:type="pct"/>
            <w:shd w:val="clear" w:color="auto" w:fill="auto"/>
            <w:vAlign w:val="bottom"/>
          </w:tcPr>
          <w:p w14:paraId="71D40971" w14:textId="77777777" w:rsidR="006A3667" w:rsidRDefault="006A3667">
            <w:pPr>
              <w:rPr>
                <w:rFonts w:ascii="宋体"/>
              </w:rPr>
            </w:pPr>
          </w:p>
        </w:tc>
        <w:tc>
          <w:tcPr>
            <w:tcW w:w="724" w:type="pct"/>
            <w:shd w:val="clear" w:color="auto" w:fill="auto"/>
            <w:vAlign w:val="bottom"/>
          </w:tcPr>
          <w:p w14:paraId="71D40972" w14:textId="77777777" w:rsidR="006A3667" w:rsidRDefault="006A3667">
            <w:pPr>
              <w:rPr>
                <w:rFonts w:ascii="宋体"/>
              </w:rPr>
            </w:pPr>
          </w:p>
        </w:tc>
        <w:tc>
          <w:tcPr>
            <w:tcW w:w="5" w:type="pct"/>
            <w:shd w:val="clear" w:color="auto" w:fill="auto"/>
            <w:vAlign w:val="bottom"/>
          </w:tcPr>
          <w:p w14:paraId="71D40973" w14:textId="77777777" w:rsidR="006A3667" w:rsidRDefault="006A3667">
            <w:pPr>
              <w:rPr>
                <w:rFonts w:ascii="宋体"/>
              </w:rPr>
            </w:pPr>
          </w:p>
        </w:tc>
        <w:tc>
          <w:tcPr>
            <w:tcW w:w="0" w:type="auto"/>
            <w:shd w:val="clear" w:color="auto" w:fill="auto"/>
            <w:vAlign w:val="bottom"/>
          </w:tcPr>
          <w:p w14:paraId="71D40974" w14:textId="77777777" w:rsidR="006A3667" w:rsidRDefault="006A3667">
            <w:pPr>
              <w:rPr>
                <w:rFonts w:ascii="宋体"/>
                <w:vanish/>
              </w:rPr>
            </w:pPr>
          </w:p>
        </w:tc>
        <w:tc>
          <w:tcPr>
            <w:tcW w:w="0" w:type="auto"/>
            <w:shd w:val="clear" w:color="auto" w:fill="auto"/>
            <w:vAlign w:val="bottom"/>
          </w:tcPr>
          <w:p w14:paraId="71D40975" w14:textId="77777777" w:rsidR="006A3667" w:rsidRDefault="006A3667">
            <w:pPr>
              <w:rPr>
                <w:rFonts w:ascii="宋体"/>
                <w:vanish/>
              </w:rPr>
            </w:pPr>
          </w:p>
        </w:tc>
      </w:tr>
      <w:tr w:rsidR="006A3667" w14:paraId="71D4097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97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97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979" w14:textId="77777777" w:rsidR="006A3667" w:rsidRDefault="006A3667">
            <w:pPr>
              <w:rPr>
                <w:rFonts w:ascii="宋体"/>
              </w:rPr>
            </w:pPr>
          </w:p>
        </w:tc>
        <w:tc>
          <w:tcPr>
            <w:tcW w:w="0" w:type="auto"/>
            <w:shd w:val="clear" w:color="auto" w:fill="auto"/>
            <w:vAlign w:val="bottom"/>
          </w:tcPr>
          <w:p w14:paraId="71D4097A" w14:textId="77777777" w:rsidR="006A3667" w:rsidRDefault="006A3667">
            <w:pPr>
              <w:rPr>
                <w:rFonts w:ascii="宋体"/>
                <w:vanish/>
              </w:rPr>
            </w:pPr>
          </w:p>
        </w:tc>
        <w:tc>
          <w:tcPr>
            <w:tcW w:w="0" w:type="auto"/>
            <w:shd w:val="clear" w:color="auto" w:fill="auto"/>
            <w:vAlign w:val="bottom"/>
          </w:tcPr>
          <w:p w14:paraId="71D4097B" w14:textId="77777777" w:rsidR="006A3667" w:rsidRDefault="006A3667">
            <w:pPr>
              <w:rPr>
                <w:rFonts w:ascii="宋体"/>
                <w:vanish/>
              </w:rPr>
            </w:pPr>
          </w:p>
        </w:tc>
      </w:tr>
    </w:tbl>
    <w:p w14:paraId="71D4097D" w14:textId="77777777" w:rsidR="006A3667" w:rsidRDefault="00045F32">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charge-offs are related to commercial and financial loans. </w:t>
      </w:r>
    </w:p>
    <w:p w14:paraId="71D4097E" w14:textId="77777777" w:rsidR="006A3667" w:rsidRDefault="00045F32">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Consists primarily of foreign currency translation.</w:t>
      </w:r>
    </w:p>
    <w:p w14:paraId="71D4097F" w14:textId="77777777" w:rsidR="006A3667" w:rsidRDefault="00045F32">
      <w:pPr>
        <w:spacing w:before="60"/>
        <w:ind w:firstLine="450"/>
        <w:jc w:val="both"/>
        <w:textAlignment w:val="top"/>
      </w:pPr>
      <w:r>
        <w:rPr>
          <w:rFonts w:ascii="Arial" w:eastAsia="宋体" w:hAnsi="Arial" w:cs="Arial"/>
          <w:color w:val="000000"/>
          <w:sz w:val="20"/>
          <w:szCs w:val="20"/>
        </w:rPr>
        <w:t xml:space="preserve">We recorded no provision for credit losses and $10 million provision for credit losses in the three and nine </w:t>
      </w:r>
      <w:r>
        <w:rPr>
          <w:rFonts w:ascii="Arial" w:eastAsia="宋体" w:hAnsi="Arial" w:cs="Arial"/>
          <w:color w:val="000000"/>
          <w:sz w:val="20"/>
          <w:szCs w:val="20"/>
        </w:rPr>
        <w:t>months ended September 30, 2022, respectively, as a downward shift in management's economic outlook was offset by a reduction in loan portfolio risk, compared to a $2 million and $26 million reserve release in the same periods in 2021, respectively.</w:t>
      </w:r>
    </w:p>
    <w:p w14:paraId="71D40980" w14:textId="77777777" w:rsidR="006A3667" w:rsidRDefault="00045F32">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31</w:t>
      </w:r>
    </w:p>
    <w:p w14:paraId="71D40981" w14:textId="77777777" w:rsidR="006A3667" w:rsidRDefault="006A3667">
      <w:pPr>
        <w:ind w:firstLine="450"/>
        <w:jc w:val="center"/>
      </w:pPr>
    </w:p>
    <w:p w14:paraId="71D40982" w14:textId="77777777" w:rsidR="006A3667" w:rsidRDefault="00045F32">
      <w:r>
        <w:pict w14:anchorId="71D4AC33">
          <v:rect id="_x0000_i1055" style="width:415.3pt;height:1.5pt" o:hralign="center" o:hrstd="t" o:hr="t" fillcolor="#a0a0a0" stroked="f"/>
        </w:pict>
      </w:r>
    </w:p>
    <w:p w14:paraId="71D40983"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984" w14:textId="77777777" w:rsidR="006A3667" w:rsidRDefault="00045F32">
      <w:pPr>
        <w:ind w:firstLine="450"/>
        <w:jc w:val="center"/>
      </w:pPr>
      <w:r>
        <w:rPr>
          <w:rFonts w:ascii="Arial" w:eastAsia="宋体" w:hAnsi="Arial" w:cs="Arial"/>
          <w:b/>
          <w:bCs/>
          <w:color w:val="000000"/>
          <w:sz w:val="20"/>
          <w:szCs w:val="20"/>
        </w:rPr>
        <w:t>AND RESULTS OF OPERATIONS</w:t>
      </w:r>
    </w:p>
    <w:p w14:paraId="71D40985" w14:textId="77777777" w:rsidR="006A3667" w:rsidRDefault="00045F32">
      <w:pPr>
        <w:spacing w:before="60"/>
        <w:ind w:firstLine="450"/>
        <w:jc w:val="both"/>
        <w:textAlignment w:val="top"/>
      </w:pPr>
      <w:r>
        <w:rPr>
          <w:rFonts w:ascii="Arial" w:eastAsia="宋体" w:hAnsi="Arial" w:cs="Arial"/>
          <w:color w:val="000000"/>
          <w:sz w:val="20"/>
          <w:szCs w:val="20"/>
        </w:rPr>
        <w:t>As of September 30, 2022, approximately $75 million of our allowance for credit losses was related to leveraged loans included in the commercia</w:t>
      </w:r>
      <w:r>
        <w:rPr>
          <w:rFonts w:ascii="Arial" w:eastAsia="宋体" w:hAnsi="Arial" w:cs="Arial"/>
          <w:color w:val="000000"/>
          <w:sz w:val="20"/>
          <w:szCs w:val="20"/>
        </w:rPr>
        <w:t>l and financial segment compared to $68 million as of September 30, 2021. As our view on current and future economic scenarios changes, our allowance for credit losses related to these loans may be impacted through a change to the provisions for credit los</w:t>
      </w:r>
      <w:r>
        <w:rPr>
          <w:rFonts w:ascii="Arial" w:eastAsia="宋体" w:hAnsi="Arial" w:cs="Arial"/>
          <w:color w:val="000000"/>
          <w:sz w:val="20"/>
          <w:szCs w:val="20"/>
        </w:rPr>
        <w:t>ses, reflecting credit migration within our loan portfolio, as well as changes in management's economic outlook as of year-end. The remaining $39 million and $49 million as of September 30, 2022 and 2021, respectively, was related to other loans, commercia</w:t>
      </w:r>
      <w:r>
        <w:rPr>
          <w:rFonts w:ascii="Arial" w:eastAsia="宋体" w:hAnsi="Arial" w:cs="Arial"/>
          <w:color w:val="000000"/>
          <w:sz w:val="20"/>
          <w:szCs w:val="20"/>
        </w:rPr>
        <w:t xml:space="preserve">l real estate loans, off-balance sheet commitments and other financial assets held at amortized cost, including investment securities. </w:t>
      </w:r>
    </w:p>
    <w:p w14:paraId="71D40986" w14:textId="77777777" w:rsidR="006A3667" w:rsidRDefault="00045F32">
      <w:pPr>
        <w:spacing w:before="60"/>
        <w:ind w:firstLine="450"/>
        <w:jc w:val="both"/>
        <w:textAlignment w:val="top"/>
      </w:pPr>
      <w:r>
        <w:rPr>
          <w:rFonts w:ascii="Arial" w:eastAsia="宋体" w:hAnsi="Arial" w:cs="Arial"/>
          <w:color w:val="000000"/>
          <w:sz w:val="20"/>
          <w:szCs w:val="20"/>
        </w:rPr>
        <w:t xml:space="preserve">An allowance for credit losses is recognized on HTM securities upon acquisition of the security, and on AFS </w:t>
      </w:r>
      <w:r>
        <w:rPr>
          <w:rFonts w:ascii="Arial" w:eastAsia="宋体" w:hAnsi="Arial" w:cs="Arial"/>
          <w:color w:val="000000"/>
          <w:sz w:val="20"/>
          <w:szCs w:val="20"/>
        </w:rPr>
        <w:t>securities when the fair value and expected future cash flows of the investment securities are less than their amortized cost basis. Our assessment of impairment involves an evaluation of economic and security-specific factors. Such factors are based on es</w:t>
      </w:r>
      <w:r>
        <w:rPr>
          <w:rFonts w:ascii="Arial" w:eastAsia="宋体" w:hAnsi="Arial" w:cs="Arial"/>
          <w:color w:val="000000"/>
          <w:sz w:val="20"/>
          <w:szCs w:val="20"/>
        </w:rPr>
        <w:t>timates, derived by management, which contemplate current market conditions and security-specific performance. To the extent that market conditions are worse than management's expectations or due to idiosyncratic bond performance, the credit-related compon</w:t>
      </w:r>
      <w:r>
        <w:rPr>
          <w:rFonts w:ascii="Arial" w:eastAsia="宋体" w:hAnsi="Arial" w:cs="Arial"/>
          <w:color w:val="000000"/>
          <w:sz w:val="20"/>
          <w:szCs w:val="20"/>
        </w:rPr>
        <w:t>ent of impairment, in particular, could increase and would be recorded in the provision for credit losses. Additional information with respect to the allowance for credit losses, net impairment losses and gross unrealized losses related to investment secur</w:t>
      </w:r>
      <w:r>
        <w:rPr>
          <w:rFonts w:ascii="Arial" w:eastAsia="宋体" w:hAnsi="Arial" w:cs="Arial"/>
          <w:color w:val="000000"/>
          <w:sz w:val="20"/>
          <w:szCs w:val="20"/>
        </w:rPr>
        <w:t>ities, is provided in Note 3 to the consolidated financial statements in this Form 10-Q.</w:t>
      </w:r>
    </w:p>
    <w:p w14:paraId="71D40987" w14:textId="77777777" w:rsidR="006A3667" w:rsidRDefault="00045F32">
      <w:pPr>
        <w:spacing w:before="90"/>
        <w:textAlignment w:val="top"/>
      </w:pPr>
      <w:r>
        <w:rPr>
          <w:rFonts w:ascii="Arial" w:eastAsia="宋体" w:hAnsi="Arial" w:cs="Arial"/>
          <w:b/>
          <w:bCs/>
          <w:color w:val="000000"/>
          <w:sz w:val="20"/>
          <w:szCs w:val="20"/>
        </w:rPr>
        <w:t>Cross-Border Outstandings</w:t>
      </w:r>
    </w:p>
    <w:p w14:paraId="71D40988" w14:textId="77777777" w:rsidR="006A3667" w:rsidRDefault="00045F32">
      <w:pPr>
        <w:spacing w:before="60"/>
        <w:ind w:firstLine="450"/>
        <w:jc w:val="both"/>
        <w:textAlignment w:val="top"/>
      </w:pPr>
      <w:r>
        <w:rPr>
          <w:rFonts w:ascii="Arial" w:eastAsia="宋体" w:hAnsi="Arial" w:cs="Arial"/>
          <w:color w:val="000000"/>
          <w:sz w:val="20"/>
          <w:szCs w:val="20"/>
        </w:rPr>
        <w:t>Cross-border outstandings are amounts payable to us by non-U.S. counterparties which are denominated in U.S. dollars or other non-local curre</w:t>
      </w:r>
      <w:r>
        <w:rPr>
          <w:rFonts w:ascii="Arial" w:eastAsia="宋体" w:hAnsi="Arial" w:cs="Arial"/>
          <w:color w:val="000000"/>
          <w:sz w:val="20"/>
          <w:szCs w:val="20"/>
        </w:rPr>
        <w:t>ncy, as well as non-U.S. local currency claims not funded by local currency liabilities. Our cross-border outstandings consist primarily of deposits with banks; loans and lease financing, including short-duration advances; investment securities; amounts re</w:t>
      </w:r>
      <w:r>
        <w:rPr>
          <w:rFonts w:ascii="Arial" w:eastAsia="宋体" w:hAnsi="Arial" w:cs="Arial"/>
          <w:color w:val="000000"/>
          <w:sz w:val="20"/>
          <w:szCs w:val="20"/>
        </w:rPr>
        <w:t xml:space="preserve">lated to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 outstandings carry the risk that, as a result of political or economic conditions in a country, borrowers may be unable to meet their contractual rep</w:t>
      </w:r>
      <w:r>
        <w:rPr>
          <w:rFonts w:ascii="Arial" w:eastAsia="宋体" w:hAnsi="Arial" w:cs="Arial"/>
          <w:color w:val="000000"/>
          <w:sz w:val="20"/>
          <w:szCs w:val="20"/>
        </w:rPr>
        <w:t>ayment obligations of principal and/or interest when due because of the unavailability of, or restrictions on, FX needed by borrowers to repay their obligations.</w:t>
      </w:r>
    </w:p>
    <w:p w14:paraId="71D40989" w14:textId="77777777" w:rsidR="006A3667" w:rsidRDefault="00045F32">
      <w:pPr>
        <w:spacing w:before="60"/>
        <w:ind w:firstLine="450"/>
        <w:jc w:val="both"/>
        <w:textAlignment w:val="top"/>
      </w:pPr>
      <w:r>
        <w:rPr>
          <w:rFonts w:ascii="Arial" w:eastAsia="宋体" w:hAnsi="Arial" w:cs="Arial"/>
          <w:color w:val="000000"/>
          <w:sz w:val="20"/>
          <w:szCs w:val="20"/>
        </w:rPr>
        <w:t xml:space="preserve">As market and economic conditions change, the major independent credit rating agencies may downgrade U.S. and non-U.S. financial institutions </w:t>
      </w:r>
    </w:p>
    <w:p w14:paraId="71D4098A" w14:textId="77777777" w:rsidR="006A3667" w:rsidRDefault="00045F32">
      <w:pPr>
        <w:spacing w:before="60"/>
        <w:jc w:val="both"/>
        <w:textAlignment w:val="top"/>
      </w:pPr>
      <w:r>
        <w:rPr>
          <w:rFonts w:ascii="Arial" w:eastAsia="宋体" w:hAnsi="Arial" w:cs="Arial"/>
          <w:color w:val="000000"/>
          <w:sz w:val="20"/>
          <w:szCs w:val="20"/>
        </w:rPr>
        <w:t>and sovereign issuers which have been, and may in the future be, significant counterparties to us, or whose finan</w:t>
      </w:r>
      <w:r>
        <w:rPr>
          <w:rFonts w:ascii="Arial" w:eastAsia="宋体" w:hAnsi="Arial" w:cs="Arial"/>
          <w:color w:val="000000"/>
          <w:sz w:val="20"/>
          <w:szCs w:val="20"/>
        </w:rPr>
        <w:t>cial instruments serve as collateral on which we rely for credit risk mitigation purposes, and may do so again in the future. As a result, we may be exposed to increased counterparty risk, leading to negative ratings volatility.</w:t>
      </w:r>
    </w:p>
    <w:p w14:paraId="71D4098B" w14:textId="77777777" w:rsidR="006A3667" w:rsidRDefault="00045F32">
      <w:pPr>
        <w:spacing w:before="60"/>
        <w:ind w:firstLine="450"/>
        <w:jc w:val="both"/>
        <w:textAlignment w:val="top"/>
      </w:pPr>
      <w:r>
        <w:rPr>
          <w:rFonts w:ascii="Arial" w:eastAsia="宋体" w:hAnsi="Arial" w:cs="Arial"/>
          <w:color w:val="000000"/>
          <w:sz w:val="20"/>
          <w:szCs w:val="20"/>
        </w:rPr>
        <w:t>The cross-border outstandin</w:t>
      </w:r>
      <w:r>
        <w:rPr>
          <w:rFonts w:ascii="Arial" w:eastAsia="宋体" w:hAnsi="Arial" w:cs="Arial"/>
          <w:color w:val="000000"/>
          <w:sz w:val="20"/>
          <w:szCs w:val="20"/>
        </w:rPr>
        <w:t xml:space="preserve">gs presented in Table 27: Cross-border outstandings, represented approximately </w:t>
      </w:r>
      <w:r>
        <w:rPr>
          <w:rFonts w:ascii="Arial" w:eastAsia="宋体" w:hAnsi="Arial" w:cs="Arial"/>
          <w:color w:val="000000"/>
          <w:sz w:val="20"/>
          <w:szCs w:val="20"/>
          <w:shd w:val="clear" w:color="auto" w:fill="FFFFFF"/>
        </w:rPr>
        <w:t>34%</w:t>
      </w:r>
      <w:r>
        <w:rPr>
          <w:rFonts w:ascii="Arial" w:eastAsia="宋体" w:hAnsi="Arial" w:cs="Arial"/>
          <w:color w:val="000000"/>
          <w:sz w:val="20"/>
          <w:szCs w:val="20"/>
        </w:rPr>
        <w:t xml:space="preserve"> and 27% of our consolidated total assets as of September 30, 2022 and December 31,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4"/>
        <w:gridCol w:w="2360"/>
        <w:gridCol w:w="38"/>
        <w:gridCol w:w="99"/>
        <w:gridCol w:w="1758"/>
        <w:gridCol w:w="37"/>
        <w:gridCol w:w="36"/>
        <w:gridCol w:w="48"/>
        <w:gridCol w:w="36"/>
        <w:gridCol w:w="99"/>
        <w:gridCol w:w="1837"/>
        <w:gridCol w:w="36"/>
        <w:gridCol w:w="36"/>
        <w:gridCol w:w="48"/>
        <w:gridCol w:w="36"/>
        <w:gridCol w:w="99"/>
        <w:gridCol w:w="1653"/>
        <w:gridCol w:w="36"/>
      </w:tblGrid>
      <w:tr w:rsidR="006A3667" w14:paraId="71D4099E" w14:textId="77777777">
        <w:tc>
          <w:tcPr>
            <w:tcW w:w="50" w:type="pct"/>
            <w:shd w:val="clear" w:color="auto" w:fill="auto"/>
            <w:vAlign w:val="bottom"/>
          </w:tcPr>
          <w:p w14:paraId="71D4098C" w14:textId="77777777" w:rsidR="006A3667" w:rsidRDefault="006A3667">
            <w:pPr>
              <w:rPr>
                <w:rFonts w:ascii="宋体"/>
              </w:rPr>
            </w:pPr>
          </w:p>
        </w:tc>
        <w:tc>
          <w:tcPr>
            <w:tcW w:w="1438" w:type="pct"/>
            <w:shd w:val="clear" w:color="auto" w:fill="auto"/>
            <w:vAlign w:val="bottom"/>
          </w:tcPr>
          <w:p w14:paraId="71D4098D" w14:textId="77777777" w:rsidR="006A3667" w:rsidRDefault="006A3667">
            <w:pPr>
              <w:rPr>
                <w:rFonts w:ascii="宋体"/>
              </w:rPr>
            </w:pPr>
          </w:p>
        </w:tc>
        <w:tc>
          <w:tcPr>
            <w:tcW w:w="5" w:type="pct"/>
            <w:shd w:val="clear" w:color="auto" w:fill="auto"/>
            <w:vAlign w:val="bottom"/>
          </w:tcPr>
          <w:p w14:paraId="71D4098E" w14:textId="77777777" w:rsidR="006A3667" w:rsidRDefault="006A3667">
            <w:pPr>
              <w:rPr>
                <w:rFonts w:ascii="宋体"/>
              </w:rPr>
            </w:pPr>
          </w:p>
        </w:tc>
        <w:tc>
          <w:tcPr>
            <w:tcW w:w="50" w:type="pct"/>
            <w:shd w:val="clear" w:color="auto" w:fill="auto"/>
            <w:vAlign w:val="bottom"/>
          </w:tcPr>
          <w:p w14:paraId="71D4098F" w14:textId="77777777" w:rsidR="006A3667" w:rsidRDefault="006A3667">
            <w:pPr>
              <w:rPr>
                <w:rFonts w:ascii="宋体"/>
              </w:rPr>
            </w:pPr>
          </w:p>
        </w:tc>
        <w:tc>
          <w:tcPr>
            <w:tcW w:w="1077" w:type="pct"/>
            <w:shd w:val="clear" w:color="auto" w:fill="auto"/>
            <w:vAlign w:val="bottom"/>
          </w:tcPr>
          <w:p w14:paraId="71D40990" w14:textId="77777777" w:rsidR="006A3667" w:rsidRDefault="006A3667">
            <w:pPr>
              <w:rPr>
                <w:rFonts w:ascii="宋体"/>
              </w:rPr>
            </w:pPr>
          </w:p>
        </w:tc>
        <w:tc>
          <w:tcPr>
            <w:tcW w:w="5" w:type="pct"/>
            <w:shd w:val="clear" w:color="auto" w:fill="auto"/>
            <w:vAlign w:val="bottom"/>
          </w:tcPr>
          <w:p w14:paraId="71D40991" w14:textId="77777777" w:rsidR="006A3667" w:rsidRDefault="006A3667">
            <w:pPr>
              <w:rPr>
                <w:rFonts w:ascii="宋体"/>
              </w:rPr>
            </w:pPr>
          </w:p>
        </w:tc>
        <w:tc>
          <w:tcPr>
            <w:tcW w:w="5" w:type="pct"/>
            <w:shd w:val="clear" w:color="auto" w:fill="auto"/>
            <w:vAlign w:val="bottom"/>
          </w:tcPr>
          <w:p w14:paraId="71D40992" w14:textId="77777777" w:rsidR="006A3667" w:rsidRDefault="006A3667">
            <w:pPr>
              <w:rPr>
                <w:rFonts w:ascii="宋体"/>
              </w:rPr>
            </w:pPr>
          </w:p>
        </w:tc>
        <w:tc>
          <w:tcPr>
            <w:tcW w:w="52" w:type="pct"/>
            <w:shd w:val="clear" w:color="auto" w:fill="auto"/>
            <w:vAlign w:val="bottom"/>
          </w:tcPr>
          <w:p w14:paraId="71D40993" w14:textId="77777777" w:rsidR="006A3667" w:rsidRDefault="006A3667">
            <w:pPr>
              <w:rPr>
                <w:rFonts w:ascii="宋体"/>
              </w:rPr>
            </w:pPr>
          </w:p>
        </w:tc>
        <w:tc>
          <w:tcPr>
            <w:tcW w:w="5" w:type="pct"/>
            <w:shd w:val="clear" w:color="auto" w:fill="auto"/>
            <w:vAlign w:val="bottom"/>
          </w:tcPr>
          <w:p w14:paraId="71D40994" w14:textId="77777777" w:rsidR="006A3667" w:rsidRDefault="006A3667">
            <w:pPr>
              <w:rPr>
                <w:rFonts w:ascii="宋体"/>
              </w:rPr>
            </w:pPr>
          </w:p>
        </w:tc>
        <w:tc>
          <w:tcPr>
            <w:tcW w:w="50" w:type="pct"/>
            <w:shd w:val="clear" w:color="auto" w:fill="auto"/>
            <w:vAlign w:val="bottom"/>
          </w:tcPr>
          <w:p w14:paraId="71D40995" w14:textId="77777777" w:rsidR="006A3667" w:rsidRDefault="006A3667">
            <w:pPr>
              <w:rPr>
                <w:rFonts w:ascii="宋体"/>
              </w:rPr>
            </w:pPr>
          </w:p>
        </w:tc>
        <w:tc>
          <w:tcPr>
            <w:tcW w:w="1124" w:type="pct"/>
            <w:shd w:val="clear" w:color="auto" w:fill="auto"/>
            <w:vAlign w:val="bottom"/>
          </w:tcPr>
          <w:p w14:paraId="71D40996" w14:textId="77777777" w:rsidR="006A3667" w:rsidRDefault="006A3667">
            <w:pPr>
              <w:rPr>
                <w:rFonts w:ascii="宋体"/>
              </w:rPr>
            </w:pPr>
          </w:p>
        </w:tc>
        <w:tc>
          <w:tcPr>
            <w:tcW w:w="5" w:type="pct"/>
            <w:shd w:val="clear" w:color="auto" w:fill="auto"/>
            <w:vAlign w:val="bottom"/>
          </w:tcPr>
          <w:p w14:paraId="71D40997" w14:textId="77777777" w:rsidR="006A3667" w:rsidRDefault="006A3667">
            <w:pPr>
              <w:rPr>
                <w:rFonts w:ascii="宋体"/>
              </w:rPr>
            </w:pPr>
          </w:p>
        </w:tc>
        <w:tc>
          <w:tcPr>
            <w:tcW w:w="5" w:type="pct"/>
            <w:shd w:val="clear" w:color="auto" w:fill="auto"/>
            <w:vAlign w:val="bottom"/>
          </w:tcPr>
          <w:p w14:paraId="71D40998" w14:textId="77777777" w:rsidR="006A3667" w:rsidRDefault="006A3667">
            <w:pPr>
              <w:rPr>
                <w:rFonts w:ascii="宋体"/>
              </w:rPr>
            </w:pPr>
          </w:p>
        </w:tc>
        <w:tc>
          <w:tcPr>
            <w:tcW w:w="52" w:type="pct"/>
            <w:shd w:val="clear" w:color="auto" w:fill="auto"/>
            <w:vAlign w:val="bottom"/>
          </w:tcPr>
          <w:p w14:paraId="71D40999" w14:textId="77777777" w:rsidR="006A3667" w:rsidRDefault="006A3667">
            <w:pPr>
              <w:rPr>
                <w:rFonts w:ascii="宋体"/>
              </w:rPr>
            </w:pPr>
          </w:p>
        </w:tc>
        <w:tc>
          <w:tcPr>
            <w:tcW w:w="5" w:type="pct"/>
            <w:shd w:val="clear" w:color="auto" w:fill="auto"/>
            <w:vAlign w:val="bottom"/>
          </w:tcPr>
          <w:p w14:paraId="71D4099A" w14:textId="77777777" w:rsidR="006A3667" w:rsidRDefault="006A3667">
            <w:pPr>
              <w:rPr>
                <w:rFonts w:ascii="宋体"/>
              </w:rPr>
            </w:pPr>
          </w:p>
        </w:tc>
        <w:tc>
          <w:tcPr>
            <w:tcW w:w="50" w:type="pct"/>
            <w:shd w:val="clear" w:color="auto" w:fill="auto"/>
            <w:vAlign w:val="bottom"/>
          </w:tcPr>
          <w:p w14:paraId="71D4099B" w14:textId="77777777" w:rsidR="006A3667" w:rsidRDefault="006A3667">
            <w:pPr>
              <w:rPr>
                <w:rFonts w:ascii="宋体"/>
              </w:rPr>
            </w:pPr>
          </w:p>
        </w:tc>
        <w:tc>
          <w:tcPr>
            <w:tcW w:w="1014" w:type="pct"/>
            <w:shd w:val="clear" w:color="auto" w:fill="auto"/>
            <w:vAlign w:val="bottom"/>
          </w:tcPr>
          <w:p w14:paraId="71D4099C" w14:textId="77777777" w:rsidR="006A3667" w:rsidRDefault="006A3667">
            <w:pPr>
              <w:rPr>
                <w:rFonts w:ascii="宋体"/>
              </w:rPr>
            </w:pPr>
          </w:p>
        </w:tc>
        <w:tc>
          <w:tcPr>
            <w:tcW w:w="5" w:type="pct"/>
            <w:shd w:val="clear" w:color="auto" w:fill="auto"/>
            <w:vAlign w:val="bottom"/>
          </w:tcPr>
          <w:p w14:paraId="71D4099D" w14:textId="77777777" w:rsidR="006A3667" w:rsidRDefault="006A3667">
            <w:pPr>
              <w:rPr>
                <w:rFonts w:ascii="宋体"/>
              </w:rPr>
            </w:pPr>
          </w:p>
        </w:tc>
      </w:tr>
      <w:tr w:rsidR="006A3667" w14:paraId="71D409A0" w14:textId="77777777">
        <w:tc>
          <w:tcPr>
            <w:tcW w:w="0" w:type="auto"/>
            <w:gridSpan w:val="18"/>
            <w:shd w:val="clear" w:color="auto" w:fill="auto"/>
            <w:tcMar>
              <w:top w:w="40" w:type="dxa"/>
              <w:left w:w="20" w:type="dxa"/>
              <w:bottom w:w="40" w:type="dxa"/>
              <w:right w:w="20" w:type="dxa"/>
            </w:tcMar>
            <w:vAlign w:val="bottom"/>
          </w:tcPr>
          <w:p w14:paraId="71D4099F" w14:textId="77777777" w:rsidR="006A3667" w:rsidRDefault="00045F32">
            <w:pPr>
              <w:textAlignment w:val="bottom"/>
            </w:pPr>
            <w:r>
              <w:rPr>
                <w:rFonts w:ascii="Arial" w:eastAsia="宋体" w:hAnsi="Arial" w:cs="Arial"/>
                <w:b/>
                <w:bCs/>
                <w:color w:val="000000"/>
                <w:sz w:val="16"/>
                <w:szCs w:val="16"/>
              </w:rPr>
              <w:t>TABLE 27: CROSS-BORDER OUTSTANDINGS</w:t>
            </w:r>
            <w:r>
              <w:rPr>
                <w:rFonts w:ascii="Arial" w:eastAsia="宋体" w:hAnsi="Arial" w:cs="Arial"/>
                <w:b/>
                <w:bCs/>
                <w:color w:val="000000"/>
                <w:sz w:val="10"/>
                <w:szCs w:val="10"/>
              </w:rPr>
              <w:t>(1)</w:t>
            </w:r>
          </w:p>
        </w:tc>
      </w:tr>
      <w:tr w:rsidR="006A3667" w14:paraId="71D409A7" w14:textId="77777777">
        <w:tc>
          <w:tcPr>
            <w:tcW w:w="0" w:type="auto"/>
            <w:gridSpan w:val="3"/>
            <w:shd w:val="clear" w:color="auto" w:fill="auto"/>
            <w:tcMar>
              <w:top w:w="40" w:type="dxa"/>
              <w:left w:w="20" w:type="dxa"/>
              <w:bottom w:w="40" w:type="dxa"/>
              <w:right w:w="20" w:type="dxa"/>
            </w:tcMar>
            <w:vAlign w:val="bottom"/>
          </w:tcPr>
          <w:p w14:paraId="71D409A1" w14:textId="77777777" w:rsidR="006A3667" w:rsidRDefault="00045F32">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shd w:val="clear" w:color="auto" w:fill="auto"/>
            <w:tcMar>
              <w:top w:w="40" w:type="dxa"/>
              <w:left w:w="20" w:type="dxa"/>
              <w:bottom w:w="40" w:type="dxa"/>
              <w:right w:w="20" w:type="dxa"/>
            </w:tcMar>
            <w:vAlign w:val="bottom"/>
          </w:tcPr>
          <w:p w14:paraId="71D409A2" w14:textId="77777777" w:rsidR="006A3667" w:rsidRDefault="00045F32">
            <w:pP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71D409A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9A4" w14:textId="77777777" w:rsidR="006A3667" w:rsidRDefault="00045F32">
            <w:pPr>
              <w:jc w:val="center"/>
              <w:textAlignment w:val="bottom"/>
            </w:pPr>
            <w:r>
              <w:rPr>
                <w:rFonts w:ascii="Arial" w:eastAsia="宋体" w:hAnsi="Arial" w:cs="Arial"/>
                <w:b/>
                <w:bCs/>
                <w:color w:val="000000"/>
                <w:sz w:val="14"/>
                <w:szCs w:val="14"/>
              </w:rPr>
              <w:t>Derivatives and Securities on Loan</w:t>
            </w:r>
          </w:p>
        </w:tc>
        <w:tc>
          <w:tcPr>
            <w:tcW w:w="0" w:type="auto"/>
            <w:gridSpan w:val="3"/>
            <w:shd w:val="clear" w:color="auto" w:fill="auto"/>
            <w:tcMar>
              <w:top w:w="0" w:type="dxa"/>
              <w:left w:w="20" w:type="dxa"/>
              <w:bottom w:w="0" w:type="dxa"/>
              <w:right w:w="20" w:type="dxa"/>
            </w:tcMar>
            <w:vAlign w:val="bottom"/>
          </w:tcPr>
          <w:p w14:paraId="71D409A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09A6" w14:textId="77777777" w:rsidR="006A3667" w:rsidRDefault="00045F32">
            <w:pPr>
              <w:jc w:val="center"/>
              <w:textAlignment w:val="bottom"/>
            </w:pPr>
            <w:r>
              <w:rPr>
                <w:rFonts w:ascii="Arial" w:eastAsia="宋体" w:hAnsi="Arial" w:cs="Arial"/>
                <w:b/>
                <w:bCs/>
                <w:color w:val="000000"/>
                <w:sz w:val="14"/>
                <w:szCs w:val="14"/>
              </w:rPr>
              <w:t>Total Cross-Border Outstandings</w:t>
            </w:r>
          </w:p>
        </w:tc>
      </w:tr>
      <w:tr w:rsidR="006A3667" w14:paraId="71D409AE" w14:textId="77777777">
        <w:tc>
          <w:tcPr>
            <w:tcW w:w="0" w:type="auto"/>
            <w:gridSpan w:val="3"/>
            <w:shd w:val="clear" w:color="auto" w:fill="auto"/>
            <w:tcMar>
              <w:top w:w="40" w:type="dxa"/>
              <w:left w:w="20" w:type="dxa"/>
              <w:bottom w:w="40" w:type="dxa"/>
              <w:right w:w="20" w:type="dxa"/>
            </w:tcMar>
            <w:vAlign w:val="bottom"/>
          </w:tcPr>
          <w:p w14:paraId="71D409A8" w14:textId="77777777" w:rsidR="006A3667" w:rsidRDefault="00045F32">
            <w:pPr>
              <w:textAlignment w:val="bottom"/>
            </w:pPr>
            <w:r>
              <w:rPr>
                <w:rFonts w:ascii="Arial" w:eastAsia="宋体" w:hAnsi="Arial" w:cs="Arial"/>
                <w:b/>
                <w:bCs/>
                <w:color w:val="000000"/>
                <w:sz w:val="14"/>
                <w:szCs w:val="14"/>
              </w:rPr>
              <w:t>September 30,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9A9" w14:textId="77777777" w:rsidR="006A3667" w:rsidRDefault="00045F32">
            <w:pPr>
              <w:jc w:val="right"/>
              <w:textAlignment w:val="bottom"/>
            </w:pPr>
            <w:r>
              <w:rPr>
                <w:rFonts w:ascii="Arial" w:eastAsia="宋体" w:hAnsi="Arial" w:cs="Arial"/>
                <w:b/>
                <w:bCs/>
                <w:color w:val="000000"/>
                <w:sz w:val="14"/>
                <w:szCs w:val="14"/>
              </w:rPr>
              <w:t> </w:t>
            </w:r>
          </w:p>
        </w:tc>
        <w:tc>
          <w:tcPr>
            <w:tcW w:w="0" w:type="auto"/>
            <w:gridSpan w:val="3"/>
            <w:shd w:val="clear" w:color="auto" w:fill="auto"/>
            <w:tcMar>
              <w:top w:w="0" w:type="dxa"/>
              <w:left w:w="20" w:type="dxa"/>
              <w:bottom w:w="0" w:type="dxa"/>
              <w:right w:w="20" w:type="dxa"/>
            </w:tcMar>
            <w:vAlign w:val="bottom"/>
          </w:tcPr>
          <w:p w14:paraId="71D409A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9A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9A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9AD" w14:textId="77777777" w:rsidR="006A3667" w:rsidRDefault="00045F32">
            <w:pPr>
              <w:textAlignment w:val="bottom"/>
            </w:pPr>
            <w:r>
              <w:rPr>
                <w:rFonts w:ascii="Arial" w:eastAsia="宋体" w:hAnsi="Arial" w:cs="Arial"/>
                <w:color w:val="000000"/>
                <w:sz w:val="14"/>
                <w:szCs w:val="14"/>
              </w:rPr>
              <w:t> </w:t>
            </w:r>
          </w:p>
        </w:tc>
      </w:tr>
      <w:tr w:rsidR="006A3667" w14:paraId="71D409BB" w14:textId="77777777">
        <w:tc>
          <w:tcPr>
            <w:tcW w:w="0" w:type="auto"/>
            <w:gridSpan w:val="3"/>
            <w:shd w:val="clear" w:color="auto" w:fill="CCEEFF"/>
            <w:tcMar>
              <w:top w:w="40" w:type="dxa"/>
              <w:left w:w="20" w:type="dxa"/>
              <w:bottom w:w="40" w:type="dxa"/>
              <w:right w:w="20" w:type="dxa"/>
            </w:tcMar>
            <w:vAlign w:val="bottom"/>
          </w:tcPr>
          <w:p w14:paraId="71D409AF" w14:textId="77777777" w:rsidR="006A3667" w:rsidRDefault="00045F32">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71D409B0"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9B1" w14:textId="77777777" w:rsidR="006A3667" w:rsidRDefault="00045F32">
            <w:pPr>
              <w:jc w:val="right"/>
              <w:textAlignment w:val="bottom"/>
            </w:pPr>
            <w:r>
              <w:rPr>
                <w:rFonts w:ascii="Arial" w:eastAsia="宋体" w:hAnsi="Arial" w:cs="Arial"/>
                <w:b/>
                <w:bCs/>
                <w:color w:val="000000"/>
                <w:sz w:val="14"/>
                <w:szCs w:val="14"/>
              </w:rPr>
              <w:t>31,041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B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9B4"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9B5" w14:textId="77777777" w:rsidR="006A3667" w:rsidRDefault="00045F32">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B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9B8"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09B9" w14:textId="77777777" w:rsidR="006A3667" w:rsidRDefault="00045F32">
            <w:pPr>
              <w:jc w:val="right"/>
              <w:textAlignment w:val="bottom"/>
            </w:pPr>
            <w:r>
              <w:rPr>
                <w:rFonts w:ascii="Arial" w:eastAsia="宋体" w:hAnsi="Arial" w:cs="Arial"/>
                <w:b/>
                <w:bCs/>
                <w:color w:val="000000"/>
                <w:sz w:val="14"/>
                <w:szCs w:val="14"/>
              </w:rPr>
              <w:t>31,519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BA" w14:textId="77777777" w:rsidR="006A3667" w:rsidRDefault="006A3667">
            <w:pPr>
              <w:jc w:val="right"/>
              <w:rPr>
                <w:rFonts w:ascii="宋体"/>
              </w:rPr>
            </w:pPr>
          </w:p>
        </w:tc>
      </w:tr>
      <w:tr w:rsidR="006A3667" w14:paraId="71D409C5" w14:textId="77777777">
        <w:tc>
          <w:tcPr>
            <w:tcW w:w="0" w:type="auto"/>
            <w:gridSpan w:val="3"/>
            <w:shd w:val="clear" w:color="auto" w:fill="FFFFFF"/>
            <w:tcMar>
              <w:top w:w="40" w:type="dxa"/>
              <w:left w:w="20" w:type="dxa"/>
              <w:bottom w:w="40" w:type="dxa"/>
              <w:right w:w="20" w:type="dxa"/>
            </w:tcMar>
            <w:vAlign w:val="bottom"/>
          </w:tcPr>
          <w:p w14:paraId="71D409BC" w14:textId="77777777" w:rsidR="006A3667" w:rsidRDefault="00045F32">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71D409BD" w14:textId="77777777" w:rsidR="006A3667" w:rsidRDefault="00045F32">
            <w:pPr>
              <w:jc w:val="right"/>
              <w:textAlignment w:val="bottom"/>
            </w:pPr>
            <w:r>
              <w:rPr>
                <w:rFonts w:ascii="Arial" w:eastAsia="宋体" w:hAnsi="Arial" w:cs="Arial"/>
                <w:b/>
                <w:bCs/>
                <w:color w:val="000000"/>
                <w:sz w:val="14"/>
                <w:szCs w:val="14"/>
              </w:rPr>
              <w:t>13,119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9C0" w14:textId="77777777" w:rsidR="006A3667" w:rsidRDefault="00045F32">
            <w:pPr>
              <w:jc w:val="right"/>
              <w:textAlignment w:val="bottom"/>
            </w:pPr>
            <w:r>
              <w:rPr>
                <w:rFonts w:ascii="Arial" w:eastAsia="宋体" w:hAnsi="Arial" w:cs="Arial"/>
                <w:b/>
                <w:bCs/>
                <w:color w:val="000000"/>
                <w:sz w:val="14"/>
                <w:szCs w:val="14"/>
              </w:rPr>
              <w:t>8,660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9C3" w14:textId="77777777" w:rsidR="006A3667" w:rsidRDefault="00045F32">
            <w:pPr>
              <w:jc w:val="right"/>
              <w:textAlignment w:val="bottom"/>
            </w:pPr>
            <w:r>
              <w:rPr>
                <w:rFonts w:ascii="Arial" w:eastAsia="宋体" w:hAnsi="Arial" w:cs="Arial"/>
                <w:b/>
                <w:bCs/>
                <w:color w:val="000000"/>
                <w:sz w:val="14"/>
                <w:szCs w:val="14"/>
              </w:rPr>
              <w:t>21,779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C4" w14:textId="77777777" w:rsidR="006A3667" w:rsidRDefault="006A3667">
            <w:pPr>
              <w:jc w:val="right"/>
              <w:rPr>
                <w:rFonts w:ascii="宋体"/>
              </w:rPr>
            </w:pPr>
          </w:p>
        </w:tc>
      </w:tr>
      <w:tr w:rsidR="006A3667" w14:paraId="71D409CC" w14:textId="77777777">
        <w:trPr>
          <w:hidden/>
        </w:trPr>
        <w:tc>
          <w:tcPr>
            <w:tcW w:w="0" w:type="auto"/>
            <w:gridSpan w:val="3"/>
            <w:shd w:val="clear" w:color="auto" w:fill="auto"/>
            <w:vAlign w:val="bottom"/>
          </w:tcPr>
          <w:p w14:paraId="71D409C6" w14:textId="77777777" w:rsidR="006A3667" w:rsidRDefault="006A3667">
            <w:pPr>
              <w:rPr>
                <w:rFonts w:ascii="宋体"/>
                <w:vanish/>
              </w:rPr>
            </w:pPr>
          </w:p>
        </w:tc>
        <w:tc>
          <w:tcPr>
            <w:tcW w:w="0" w:type="auto"/>
            <w:gridSpan w:val="3"/>
            <w:shd w:val="clear" w:color="auto" w:fill="auto"/>
            <w:vAlign w:val="bottom"/>
          </w:tcPr>
          <w:p w14:paraId="71D409C7" w14:textId="77777777" w:rsidR="006A3667" w:rsidRDefault="006A3667">
            <w:pPr>
              <w:rPr>
                <w:rFonts w:ascii="宋体"/>
                <w:vanish/>
              </w:rPr>
            </w:pPr>
          </w:p>
        </w:tc>
        <w:tc>
          <w:tcPr>
            <w:tcW w:w="0" w:type="auto"/>
            <w:gridSpan w:val="3"/>
            <w:shd w:val="clear" w:color="auto" w:fill="auto"/>
            <w:vAlign w:val="bottom"/>
          </w:tcPr>
          <w:p w14:paraId="71D409C8" w14:textId="77777777" w:rsidR="006A3667" w:rsidRDefault="006A3667">
            <w:pPr>
              <w:rPr>
                <w:rFonts w:ascii="宋体"/>
                <w:vanish/>
              </w:rPr>
            </w:pPr>
          </w:p>
        </w:tc>
        <w:tc>
          <w:tcPr>
            <w:tcW w:w="0" w:type="auto"/>
            <w:gridSpan w:val="3"/>
            <w:shd w:val="clear" w:color="auto" w:fill="auto"/>
            <w:vAlign w:val="bottom"/>
          </w:tcPr>
          <w:p w14:paraId="71D409C9" w14:textId="77777777" w:rsidR="006A3667" w:rsidRDefault="006A3667">
            <w:pPr>
              <w:rPr>
                <w:rFonts w:ascii="宋体"/>
                <w:vanish/>
              </w:rPr>
            </w:pPr>
          </w:p>
        </w:tc>
        <w:tc>
          <w:tcPr>
            <w:tcW w:w="0" w:type="auto"/>
            <w:gridSpan w:val="3"/>
            <w:shd w:val="clear" w:color="auto" w:fill="auto"/>
            <w:vAlign w:val="bottom"/>
          </w:tcPr>
          <w:p w14:paraId="71D409CA" w14:textId="77777777" w:rsidR="006A3667" w:rsidRDefault="006A3667">
            <w:pPr>
              <w:rPr>
                <w:rFonts w:ascii="宋体"/>
                <w:vanish/>
              </w:rPr>
            </w:pPr>
          </w:p>
        </w:tc>
        <w:tc>
          <w:tcPr>
            <w:tcW w:w="0" w:type="auto"/>
            <w:gridSpan w:val="3"/>
            <w:shd w:val="clear" w:color="auto" w:fill="auto"/>
            <w:vAlign w:val="bottom"/>
          </w:tcPr>
          <w:p w14:paraId="71D409CB" w14:textId="77777777" w:rsidR="006A3667" w:rsidRDefault="006A3667">
            <w:pPr>
              <w:rPr>
                <w:rFonts w:ascii="宋体"/>
                <w:vanish/>
              </w:rPr>
            </w:pPr>
          </w:p>
        </w:tc>
      </w:tr>
      <w:tr w:rsidR="006A3667" w14:paraId="71D409D3" w14:textId="77777777">
        <w:trPr>
          <w:hidden/>
        </w:trPr>
        <w:tc>
          <w:tcPr>
            <w:tcW w:w="0" w:type="auto"/>
            <w:gridSpan w:val="3"/>
            <w:shd w:val="clear" w:color="auto" w:fill="auto"/>
            <w:vAlign w:val="bottom"/>
          </w:tcPr>
          <w:p w14:paraId="71D409CD" w14:textId="77777777" w:rsidR="006A3667" w:rsidRDefault="006A3667">
            <w:pPr>
              <w:rPr>
                <w:rFonts w:ascii="宋体"/>
                <w:vanish/>
              </w:rPr>
            </w:pPr>
          </w:p>
        </w:tc>
        <w:tc>
          <w:tcPr>
            <w:tcW w:w="0" w:type="auto"/>
            <w:gridSpan w:val="3"/>
            <w:shd w:val="clear" w:color="auto" w:fill="auto"/>
            <w:vAlign w:val="bottom"/>
          </w:tcPr>
          <w:p w14:paraId="71D409CE" w14:textId="77777777" w:rsidR="006A3667" w:rsidRDefault="006A3667">
            <w:pPr>
              <w:rPr>
                <w:rFonts w:ascii="宋体"/>
                <w:vanish/>
              </w:rPr>
            </w:pPr>
          </w:p>
        </w:tc>
        <w:tc>
          <w:tcPr>
            <w:tcW w:w="0" w:type="auto"/>
            <w:gridSpan w:val="3"/>
            <w:shd w:val="clear" w:color="auto" w:fill="auto"/>
            <w:vAlign w:val="bottom"/>
          </w:tcPr>
          <w:p w14:paraId="71D409CF" w14:textId="77777777" w:rsidR="006A3667" w:rsidRDefault="006A3667">
            <w:pPr>
              <w:rPr>
                <w:rFonts w:ascii="宋体"/>
                <w:vanish/>
              </w:rPr>
            </w:pPr>
          </w:p>
        </w:tc>
        <w:tc>
          <w:tcPr>
            <w:tcW w:w="0" w:type="auto"/>
            <w:gridSpan w:val="3"/>
            <w:shd w:val="clear" w:color="auto" w:fill="auto"/>
            <w:vAlign w:val="bottom"/>
          </w:tcPr>
          <w:p w14:paraId="71D409D0" w14:textId="77777777" w:rsidR="006A3667" w:rsidRDefault="006A3667">
            <w:pPr>
              <w:rPr>
                <w:rFonts w:ascii="宋体"/>
                <w:vanish/>
              </w:rPr>
            </w:pPr>
          </w:p>
        </w:tc>
        <w:tc>
          <w:tcPr>
            <w:tcW w:w="0" w:type="auto"/>
            <w:gridSpan w:val="3"/>
            <w:shd w:val="clear" w:color="auto" w:fill="auto"/>
            <w:vAlign w:val="bottom"/>
          </w:tcPr>
          <w:p w14:paraId="71D409D1" w14:textId="77777777" w:rsidR="006A3667" w:rsidRDefault="006A3667">
            <w:pPr>
              <w:rPr>
                <w:rFonts w:ascii="宋体"/>
                <w:vanish/>
              </w:rPr>
            </w:pPr>
          </w:p>
        </w:tc>
        <w:tc>
          <w:tcPr>
            <w:tcW w:w="0" w:type="auto"/>
            <w:gridSpan w:val="3"/>
            <w:shd w:val="clear" w:color="auto" w:fill="auto"/>
            <w:vAlign w:val="bottom"/>
          </w:tcPr>
          <w:p w14:paraId="71D409D2" w14:textId="77777777" w:rsidR="006A3667" w:rsidRDefault="006A3667">
            <w:pPr>
              <w:rPr>
                <w:rFonts w:ascii="宋体"/>
                <w:vanish/>
              </w:rPr>
            </w:pPr>
          </w:p>
        </w:tc>
      </w:tr>
      <w:tr w:rsidR="006A3667" w14:paraId="71D409DA" w14:textId="77777777">
        <w:trPr>
          <w:hidden/>
        </w:trPr>
        <w:tc>
          <w:tcPr>
            <w:tcW w:w="0" w:type="auto"/>
            <w:gridSpan w:val="3"/>
            <w:shd w:val="clear" w:color="auto" w:fill="auto"/>
            <w:vAlign w:val="bottom"/>
          </w:tcPr>
          <w:p w14:paraId="71D409D4" w14:textId="77777777" w:rsidR="006A3667" w:rsidRDefault="006A3667">
            <w:pPr>
              <w:rPr>
                <w:rFonts w:ascii="宋体"/>
                <w:vanish/>
              </w:rPr>
            </w:pPr>
          </w:p>
        </w:tc>
        <w:tc>
          <w:tcPr>
            <w:tcW w:w="0" w:type="auto"/>
            <w:gridSpan w:val="3"/>
            <w:shd w:val="clear" w:color="auto" w:fill="auto"/>
            <w:vAlign w:val="bottom"/>
          </w:tcPr>
          <w:p w14:paraId="71D409D5" w14:textId="77777777" w:rsidR="006A3667" w:rsidRDefault="006A3667">
            <w:pPr>
              <w:rPr>
                <w:rFonts w:ascii="宋体"/>
                <w:vanish/>
              </w:rPr>
            </w:pPr>
          </w:p>
        </w:tc>
        <w:tc>
          <w:tcPr>
            <w:tcW w:w="0" w:type="auto"/>
            <w:gridSpan w:val="3"/>
            <w:shd w:val="clear" w:color="auto" w:fill="auto"/>
            <w:vAlign w:val="bottom"/>
          </w:tcPr>
          <w:p w14:paraId="71D409D6" w14:textId="77777777" w:rsidR="006A3667" w:rsidRDefault="006A3667">
            <w:pPr>
              <w:rPr>
                <w:rFonts w:ascii="宋体"/>
                <w:vanish/>
              </w:rPr>
            </w:pPr>
          </w:p>
        </w:tc>
        <w:tc>
          <w:tcPr>
            <w:tcW w:w="0" w:type="auto"/>
            <w:gridSpan w:val="3"/>
            <w:shd w:val="clear" w:color="auto" w:fill="auto"/>
            <w:vAlign w:val="bottom"/>
          </w:tcPr>
          <w:p w14:paraId="71D409D7" w14:textId="77777777" w:rsidR="006A3667" w:rsidRDefault="006A3667">
            <w:pPr>
              <w:rPr>
                <w:rFonts w:ascii="宋体"/>
                <w:vanish/>
              </w:rPr>
            </w:pPr>
          </w:p>
        </w:tc>
        <w:tc>
          <w:tcPr>
            <w:tcW w:w="0" w:type="auto"/>
            <w:gridSpan w:val="3"/>
            <w:shd w:val="clear" w:color="auto" w:fill="auto"/>
            <w:vAlign w:val="bottom"/>
          </w:tcPr>
          <w:p w14:paraId="71D409D8" w14:textId="77777777" w:rsidR="006A3667" w:rsidRDefault="006A3667">
            <w:pPr>
              <w:rPr>
                <w:rFonts w:ascii="宋体"/>
                <w:vanish/>
              </w:rPr>
            </w:pPr>
          </w:p>
        </w:tc>
        <w:tc>
          <w:tcPr>
            <w:tcW w:w="0" w:type="auto"/>
            <w:gridSpan w:val="3"/>
            <w:shd w:val="clear" w:color="auto" w:fill="auto"/>
            <w:vAlign w:val="bottom"/>
          </w:tcPr>
          <w:p w14:paraId="71D409D9" w14:textId="77777777" w:rsidR="006A3667" w:rsidRDefault="006A3667">
            <w:pPr>
              <w:rPr>
                <w:rFonts w:ascii="宋体"/>
                <w:vanish/>
              </w:rPr>
            </w:pPr>
          </w:p>
        </w:tc>
      </w:tr>
      <w:tr w:rsidR="006A3667" w14:paraId="71D409E4" w14:textId="77777777">
        <w:tc>
          <w:tcPr>
            <w:tcW w:w="0" w:type="auto"/>
            <w:gridSpan w:val="3"/>
            <w:shd w:val="clear" w:color="auto" w:fill="CCEEFF"/>
            <w:tcMar>
              <w:top w:w="40" w:type="dxa"/>
              <w:left w:w="20" w:type="dxa"/>
              <w:bottom w:w="40" w:type="dxa"/>
              <w:right w:w="20" w:type="dxa"/>
            </w:tcMar>
            <w:vAlign w:val="bottom"/>
          </w:tcPr>
          <w:p w14:paraId="71D409DB" w14:textId="77777777" w:rsidR="006A3667" w:rsidRDefault="00045F32">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71D409DC" w14:textId="77777777" w:rsidR="006A3667" w:rsidRDefault="00045F32">
            <w:pPr>
              <w:jc w:val="right"/>
              <w:textAlignment w:val="bottom"/>
            </w:pPr>
            <w:r>
              <w:rPr>
                <w:rFonts w:ascii="Arial" w:eastAsia="宋体" w:hAnsi="Arial" w:cs="Arial"/>
                <w:b/>
                <w:bCs/>
                <w:color w:val="000000"/>
                <w:sz w:val="14"/>
                <w:szCs w:val="14"/>
              </w:rPr>
              <w:t>10,739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D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9DF" w14:textId="77777777" w:rsidR="006A3667" w:rsidRDefault="00045F32">
            <w:pPr>
              <w:jc w:val="right"/>
              <w:textAlignment w:val="bottom"/>
            </w:pPr>
            <w:r>
              <w:rPr>
                <w:rFonts w:ascii="Arial" w:eastAsia="宋体" w:hAnsi="Arial" w:cs="Arial"/>
                <w:b/>
                <w:bCs/>
                <w:color w:val="000000"/>
                <w:sz w:val="14"/>
                <w:szCs w:val="14"/>
              </w:rPr>
              <w:t>2,896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E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9E2" w14:textId="77777777" w:rsidR="006A3667" w:rsidRDefault="00045F32">
            <w:pPr>
              <w:jc w:val="right"/>
              <w:textAlignment w:val="bottom"/>
            </w:pPr>
            <w:r>
              <w:rPr>
                <w:rFonts w:ascii="Arial" w:eastAsia="宋体" w:hAnsi="Arial" w:cs="Arial"/>
                <w:b/>
                <w:bCs/>
                <w:color w:val="000000"/>
                <w:sz w:val="14"/>
                <w:szCs w:val="14"/>
              </w:rPr>
              <w:t>13,635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E3" w14:textId="77777777" w:rsidR="006A3667" w:rsidRDefault="006A3667">
            <w:pPr>
              <w:jc w:val="right"/>
              <w:rPr>
                <w:rFonts w:ascii="宋体"/>
              </w:rPr>
            </w:pPr>
          </w:p>
        </w:tc>
      </w:tr>
      <w:tr w:rsidR="006A3667" w14:paraId="71D409EE" w14:textId="77777777">
        <w:tc>
          <w:tcPr>
            <w:tcW w:w="0" w:type="auto"/>
            <w:gridSpan w:val="3"/>
            <w:shd w:val="clear" w:color="auto" w:fill="FFFFFF"/>
            <w:tcMar>
              <w:top w:w="40" w:type="dxa"/>
              <w:left w:w="20" w:type="dxa"/>
              <w:bottom w:w="40" w:type="dxa"/>
              <w:right w:w="20" w:type="dxa"/>
            </w:tcMar>
            <w:vAlign w:val="bottom"/>
          </w:tcPr>
          <w:p w14:paraId="71D409E5" w14:textId="77777777" w:rsidR="006A3667" w:rsidRDefault="00045F32">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71D409E6" w14:textId="77777777" w:rsidR="006A3667" w:rsidRDefault="00045F32">
            <w:pPr>
              <w:jc w:val="right"/>
              <w:textAlignment w:val="bottom"/>
            </w:pPr>
            <w:r>
              <w:rPr>
                <w:rFonts w:ascii="Arial" w:eastAsia="宋体" w:hAnsi="Arial" w:cs="Arial"/>
                <w:b/>
                <w:bCs/>
                <w:color w:val="000000"/>
                <w:sz w:val="14"/>
                <w:szCs w:val="14"/>
              </w:rPr>
              <w:t>12,342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E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E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9E9" w14:textId="77777777" w:rsidR="006A3667" w:rsidRDefault="00045F32">
            <w:pPr>
              <w:jc w:val="right"/>
              <w:textAlignment w:val="bottom"/>
            </w:pPr>
            <w:r>
              <w:rPr>
                <w:rFonts w:ascii="Arial" w:eastAsia="宋体" w:hAnsi="Arial" w:cs="Arial"/>
                <w:b/>
                <w:bCs/>
                <w:color w:val="000000"/>
                <w:sz w:val="14"/>
                <w:szCs w:val="14"/>
              </w:rPr>
              <w:t>728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E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E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9EC" w14:textId="77777777" w:rsidR="006A3667" w:rsidRDefault="00045F32">
            <w:pPr>
              <w:jc w:val="right"/>
              <w:textAlignment w:val="bottom"/>
            </w:pPr>
            <w:r>
              <w:rPr>
                <w:rFonts w:ascii="Arial" w:eastAsia="宋体" w:hAnsi="Arial" w:cs="Arial"/>
                <w:b/>
                <w:bCs/>
                <w:color w:val="000000"/>
                <w:sz w:val="14"/>
                <w:szCs w:val="14"/>
              </w:rPr>
              <w:t>13,070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ED" w14:textId="77777777" w:rsidR="006A3667" w:rsidRDefault="006A3667">
            <w:pPr>
              <w:jc w:val="right"/>
              <w:rPr>
                <w:rFonts w:ascii="宋体"/>
              </w:rPr>
            </w:pPr>
          </w:p>
        </w:tc>
      </w:tr>
      <w:tr w:rsidR="006A3667" w14:paraId="71D409F8" w14:textId="77777777">
        <w:tc>
          <w:tcPr>
            <w:tcW w:w="0" w:type="auto"/>
            <w:gridSpan w:val="3"/>
            <w:shd w:val="clear" w:color="auto" w:fill="CCEEFF"/>
            <w:tcMar>
              <w:top w:w="40" w:type="dxa"/>
              <w:left w:w="20" w:type="dxa"/>
              <w:bottom w:w="40" w:type="dxa"/>
              <w:right w:w="20" w:type="dxa"/>
            </w:tcMar>
            <w:vAlign w:val="bottom"/>
          </w:tcPr>
          <w:p w14:paraId="71D409EF" w14:textId="77777777" w:rsidR="006A3667" w:rsidRDefault="00045F32">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71D409F0" w14:textId="77777777" w:rsidR="006A3667" w:rsidRDefault="00045F32">
            <w:pPr>
              <w:jc w:val="right"/>
              <w:textAlignment w:val="bottom"/>
            </w:pPr>
            <w:r>
              <w:rPr>
                <w:rFonts w:ascii="Arial" w:eastAsia="宋体" w:hAnsi="Arial" w:cs="Arial"/>
                <w:b/>
                <w:bCs/>
                <w:color w:val="000000"/>
                <w:sz w:val="14"/>
                <w:szCs w:val="14"/>
              </w:rPr>
              <w:t>6,849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F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9F3" w14:textId="77777777" w:rsidR="006A3667" w:rsidRDefault="00045F32">
            <w:pPr>
              <w:jc w:val="right"/>
              <w:textAlignment w:val="bottom"/>
            </w:pPr>
            <w:r>
              <w:rPr>
                <w:rFonts w:ascii="Arial" w:eastAsia="宋体" w:hAnsi="Arial" w:cs="Arial"/>
                <w:b/>
                <w:bCs/>
                <w:color w:val="000000"/>
                <w:sz w:val="14"/>
                <w:szCs w:val="14"/>
              </w:rPr>
              <w:t>3,372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9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9F6" w14:textId="77777777" w:rsidR="006A3667" w:rsidRDefault="00045F32">
            <w:pPr>
              <w:jc w:val="right"/>
              <w:textAlignment w:val="bottom"/>
            </w:pPr>
            <w:r>
              <w:rPr>
                <w:rFonts w:ascii="Arial" w:eastAsia="宋体" w:hAnsi="Arial" w:cs="Arial"/>
                <w:b/>
                <w:bCs/>
                <w:color w:val="000000"/>
                <w:sz w:val="14"/>
                <w:szCs w:val="14"/>
              </w:rPr>
              <w:t>10,221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9F7" w14:textId="77777777" w:rsidR="006A3667" w:rsidRDefault="006A3667">
            <w:pPr>
              <w:jc w:val="right"/>
              <w:rPr>
                <w:rFonts w:ascii="宋体"/>
              </w:rPr>
            </w:pPr>
          </w:p>
        </w:tc>
      </w:tr>
      <w:tr w:rsidR="006A3667" w14:paraId="71D40A02" w14:textId="77777777">
        <w:tc>
          <w:tcPr>
            <w:tcW w:w="0" w:type="auto"/>
            <w:gridSpan w:val="3"/>
            <w:shd w:val="clear" w:color="auto" w:fill="FFFFFF"/>
            <w:tcMar>
              <w:top w:w="40" w:type="dxa"/>
              <w:left w:w="20" w:type="dxa"/>
              <w:bottom w:w="40" w:type="dxa"/>
              <w:right w:w="20" w:type="dxa"/>
            </w:tcMar>
            <w:vAlign w:val="bottom"/>
          </w:tcPr>
          <w:p w14:paraId="71D409F9" w14:textId="77777777" w:rsidR="006A3667" w:rsidRDefault="00045F32">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71D409FA" w14:textId="77777777" w:rsidR="006A3667" w:rsidRDefault="00045F32">
            <w:pPr>
              <w:jc w:val="right"/>
              <w:textAlignment w:val="bottom"/>
            </w:pPr>
            <w:r>
              <w:rPr>
                <w:rFonts w:ascii="Arial" w:eastAsia="宋体" w:hAnsi="Arial" w:cs="Arial"/>
                <w:b/>
                <w:bCs/>
                <w:color w:val="000000"/>
                <w:sz w:val="14"/>
                <w:szCs w:val="14"/>
              </w:rPr>
              <w:t>4,552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F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F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9FD" w14:textId="77777777" w:rsidR="006A3667" w:rsidRDefault="00045F32">
            <w:pPr>
              <w:jc w:val="right"/>
              <w:textAlignment w:val="bottom"/>
            </w:pPr>
            <w:r>
              <w:rPr>
                <w:rFonts w:ascii="Arial" w:eastAsia="宋体" w:hAnsi="Arial" w:cs="Arial"/>
                <w:b/>
                <w:bCs/>
                <w:color w:val="000000"/>
                <w:sz w:val="14"/>
                <w:szCs w:val="14"/>
              </w:rPr>
              <w:t>1,616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9F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9F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00" w14:textId="77777777" w:rsidR="006A3667" w:rsidRDefault="00045F32">
            <w:pPr>
              <w:jc w:val="right"/>
              <w:textAlignment w:val="bottom"/>
            </w:pPr>
            <w:r>
              <w:rPr>
                <w:rFonts w:ascii="Arial" w:eastAsia="宋体" w:hAnsi="Arial" w:cs="Arial"/>
                <w:b/>
                <w:bCs/>
                <w:color w:val="000000"/>
                <w:sz w:val="14"/>
                <w:szCs w:val="14"/>
              </w:rPr>
              <w:t>6,168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A01" w14:textId="77777777" w:rsidR="006A3667" w:rsidRDefault="006A3667">
            <w:pPr>
              <w:jc w:val="right"/>
              <w:rPr>
                <w:rFonts w:ascii="宋体"/>
              </w:rPr>
            </w:pPr>
          </w:p>
        </w:tc>
      </w:tr>
      <w:tr w:rsidR="006A3667" w14:paraId="71D40A0C" w14:textId="77777777">
        <w:tc>
          <w:tcPr>
            <w:tcW w:w="0" w:type="auto"/>
            <w:gridSpan w:val="3"/>
            <w:shd w:val="clear" w:color="auto" w:fill="CCEEFF"/>
            <w:tcMar>
              <w:top w:w="40" w:type="dxa"/>
              <w:left w:w="20" w:type="dxa"/>
              <w:bottom w:w="40" w:type="dxa"/>
              <w:right w:w="20" w:type="dxa"/>
            </w:tcMar>
            <w:vAlign w:val="bottom"/>
          </w:tcPr>
          <w:p w14:paraId="71D40A03" w14:textId="77777777" w:rsidR="006A3667" w:rsidRDefault="00045F32">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71D40A04" w14:textId="77777777" w:rsidR="006A3667" w:rsidRDefault="00045F32">
            <w:pPr>
              <w:jc w:val="right"/>
              <w:textAlignment w:val="bottom"/>
            </w:pPr>
            <w:r>
              <w:rPr>
                <w:rFonts w:ascii="Arial" w:eastAsia="宋体" w:hAnsi="Arial" w:cs="Arial"/>
                <w:b/>
                <w:bCs/>
                <w:color w:val="000000"/>
                <w:sz w:val="14"/>
                <w:szCs w:val="14"/>
              </w:rPr>
              <w:t>2,919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A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A0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A07" w14:textId="77777777" w:rsidR="006A3667" w:rsidRDefault="00045F32">
            <w:pPr>
              <w:jc w:val="right"/>
              <w:textAlignment w:val="bottom"/>
            </w:pPr>
            <w:r>
              <w:rPr>
                <w:rFonts w:ascii="Arial" w:eastAsia="宋体" w:hAnsi="Arial" w:cs="Arial"/>
                <w:b/>
                <w:bCs/>
                <w:color w:val="000000"/>
                <w:sz w:val="14"/>
                <w:szCs w:val="14"/>
              </w:rPr>
              <w:t>841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A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A0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A0A" w14:textId="77777777" w:rsidR="006A3667" w:rsidRDefault="00045F32">
            <w:pPr>
              <w:jc w:val="right"/>
              <w:textAlignment w:val="bottom"/>
            </w:pPr>
            <w:r>
              <w:rPr>
                <w:rFonts w:ascii="Arial" w:eastAsia="宋体" w:hAnsi="Arial" w:cs="Arial"/>
                <w:b/>
                <w:bCs/>
                <w:color w:val="000000"/>
                <w:sz w:val="14"/>
                <w:szCs w:val="14"/>
              </w:rPr>
              <w:t>3,760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0A0B" w14:textId="77777777" w:rsidR="006A3667" w:rsidRDefault="006A3667">
            <w:pPr>
              <w:jc w:val="right"/>
              <w:rPr>
                <w:rFonts w:ascii="宋体"/>
              </w:rPr>
            </w:pPr>
          </w:p>
        </w:tc>
      </w:tr>
      <w:tr w:rsidR="006A3667" w14:paraId="71D40A16" w14:textId="77777777">
        <w:tc>
          <w:tcPr>
            <w:tcW w:w="0" w:type="auto"/>
            <w:gridSpan w:val="3"/>
            <w:shd w:val="clear" w:color="auto" w:fill="FFFFFF"/>
            <w:tcMar>
              <w:top w:w="40" w:type="dxa"/>
              <w:left w:w="20" w:type="dxa"/>
              <w:bottom w:w="40" w:type="dxa"/>
              <w:right w:w="20" w:type="dxa"/>
            </w:tcMar>
            <w:vAlign w:val="bottom"/>
          </w:tcPr>
          <w:p w14:paraId="71D40A0D" w14:textId="77777777" w:rsidR="006A3667" w:rsidRDefault="00045F32">
            <w:pPr>
              <w:textAlignment w:val="bottom"/>
            </w:pPr>
            <w:r>
              <w:rPr>
                <w:rFonts w:ascii="Arial" w:eastAsia="宋体" w:hAnsi="Arial" w:cs="Arial"/>
                <w:color w:val="000000"/>
                <w:sz w:val="14"/>
                <w:szCs w:val="14"/>
              </w:rPr>
              <w:t>France</w:t>
            </w:r>
          </w:p>
        </w:tc>
        <w:tc>
          <w:tcPr>
            <w:tcW w:w="0" w:type="auto"/>
            <w:gridSpan w:val="2"/>
            <w:shd w:val="clear" w:color="auto" w:fill="FFFFFF"/>
            <w:tcMar>
              <w:top w:w="40" w:type="dxa"/>
              <w:left w:w="20" w:type="dxa"/>
              <w:bottom w:w="40" w:type="dxa"/>
              <w:right w:w="0" w:type="dxa"/>
            </w:tcMar>
            <w:vAlign w:val="bottom"/>
          </w:tcPr>
          <w:p w14:paraId="71D40A0E" w14:textId="77777777" w:rsidR="006A3667" w:rsidRDefault="00045F32">
            <w:pPr>
              <w:jc w:val="right"/>
              <w:textAlignment w:val="bottom"/>
            </w:pPr>
            <w:r>
              <w:rPr>
                <w:rFonts w:ascii="Arial" w:eastAsia="宋体" w:hAnsi="Arial" w:cs="Arial"/>
                <w:b/>
                <w:bCs/>
                <w:color w:val="000000"/>
                <w:sz w:val="14"/>
                <w:szCs w:val="14"/>
              </w:rPr>
              <w:t>1,924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A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11" w14:textId="77777777" w:rsidR="006A3667" w:rsidRDefault="00045F32">
            <w:pPr>
              <w:jc w:val="right"/>
              <w:textAlignment w:val="bottom"/>
            </w:pPr>
            <w:r>
              <w:rPr>
                <w:rFonts w:ascii="Arial" w:eastAsia="宋体" w:hAnsi="Arial" w:cs="Arial"/>
                <w:b/>
                <w:bCs/>
                <w:color w:val="000000"/>
                <w:sz w:val="14"/>
                <w:szCs w:val="14"/>
              </w:rPr>
              <w:t>1,757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A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14" w14:textId="77777777" w:rsidR="006A3667" w:rsidRDefault="00045F32">
            <w:pPr>
              <w:jc w:val="right"/>
              <w:textAlignment w:val="bottom"/>
            </w:pPr>
            <w:r>
              <w:rPr>
                <w:rFonts w:ascii="Arial" w:eastAsia="宋体" w:hAnsi="Arial" w:cs="Arial"/>
                <w:b/>
                <w:bCs/>
                <w:color w:val="000000"/>
                <w:sz w:val="14"/>
                <w:szCs w:val="14"/>
              </w:rPr>
              <w:t>3,681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A15" w14:textId="77777777" w:rsidR="006A3667" w:rsidRDefault="006A3667">
            <w:pPr>
              <w:jc w:val="right"/>
              <w:rPr>
                <w:rFonts w:ascii="宋体"/>
              </w:rPr>
            </w:pPr>
          </w:p>
        </w:tc>
      </w:tr>
      <w:tr w:rsidR="006A3667" w14:paraId="71D40A1D" w14:textId="77777777">
        <w:tc>
          <w:tcPr>
            <w:tcW w:w="0" w:type="auto"/>
            <w:gridSpan w:val="3"/>
            <w:shd w:val="clear" w:color="auto" w:fill="CCEEFF"/>
            <w:tcMar>
              <w:top w:w="40" w:type="dxa"/>
              <w:left w:w="20" w:type="dxa"/>
              <w:bottom w:w="40" w:type="dxa"/>
              <w:right w:w="20" w:type="dxa"/>
            </w:tcMar>
            <w:vAlign w:val="bottom"/>
          </w:tcPr>
          <w:p w14:paraId="71D40A17" w14:textId="77777777" w:rsidR="006A3667" w:rsidRDefault="00045F32">
            <w:pPr>
              <w:textAlignment w:val="bottom"/>
            </w:pPr>
            <w:r>
              <w:rPr>
                <w:rFonts w:ascii="Arial" w:eastAsia="宋体" w:hAnsi="Arial" w:cs="Arial"/>
                <w:b/>
                <w:bCs/>
                <w:color w:val="000000"/>
                <w:sz w:val="14"/>
                <w:szCs w:val="14"/>
              </w:rPr>
              <w:t>December 31, 2021</w:t>
            </w:r>
          </w:p>
        </w:tc>
        <w:tc>
          <w:tcPr>
            <w:tcW w:w="0" w:type="auto"/>
            <w:gridSpan w:val="3"/>
            <w:shd w:val="clear" w:color="auto" w:fill="CCEEFF"/>
            <w:tcMar>
              <w:top w:w="0" w:type="dxa"/>
              <w:left w:w="20" w:type="dxa"/>
              <w:bottom w:w="0" w:type="dxa"/>
              <w:right w:w="20" w:type="dxa"/>
            </w:tcMar>
            <w:vAlign w:val="bottom"/>
          </w:tcPr>
          <w:p w14:paraId="71D40A1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0A1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0A1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0A1B"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0A1C" w14:textId="77777777" w:rsidR="006A3667" w:rsidRDefault="00045F32">
            <w:pPr>
              <w:jc w:val="right"/>
              <w:textAlignment w:val="bottom"/>
            </w:pPr>
            <w:r>
              <w:rPr>
                <w:rFonts w:ascii="Arial" w:eastAsia="宋体" w:hAnsi="Arial" w:cs="Arial"/>
                <w:color w:val="000000"/>
                <w:sz w:val="14"/>
                <w:szCs w:val="14"/>
              </w:rPr>
              <w:t> </w:t>
            </w:r>
          </w:p>
        </w:tc>
      </w:tr>
      <w:tr w:rsidR="006A3667" w14:paraId="71D40A2A" w14:textId="77777777">
        <w:tc>
          <w:tcPr>
            <w:tcW w:w="0" w:type="auto"/>
            <w:gridSpan w:val="3"/>
            <w:shd w:val="clear" w:color="auto" w:fill="FFFFFF"/>
            <w:tcMar>
              <w:top w:w="40" w:type="dxa"/>
              <w:left w:w="20" w:type="dxa"/>
              <w:bottom w:w="40" w:type="dxa"/>
              <w:right w:w="20" w:type="dxa"/>
            </w:tcMar>
            <w:vAlign w:val="bottom"/>
          </w:tcPr>
          <w:p w14:paraId="71D40A1E" w14:textId="77777777" w:rsidR="006A3667" w:rsidRDefault="00045F32">
            <w:pPr>
              <w:textAlignment w:val="bottom"/>
            </w:pPr>
            <w:r>
              <w:rPr>
                <w:rFonts w:ascii="Arial" w:eastAsia="宋体" w:hAnsi="Arial" w:cs="Arial"/>
                <w:color w:val="000000"/>
                <w:sz w:val="14"/>
                <w:szCs w:val="14"/>
              </w:rPr>
              <w:t>Germany</w:t>
            </w:r>
          </w:p>
        </w:tc>
        <w:tc>
          <w:tcPr>
            <w:tcW w:w="0" w:type="auto"/>
            <w:shd w:val="clear" w:color="auto" w:fill="FFFFFF"/>
            <w:tcMar>
              <w:top w:w="40" w:type="dxa"/>
              <w:left w:w="20" w:type="dxa"/>
              <w:bottom w:w="40" w:type="dxa"/>
              <w:right w:w="0" w:type="dxa"/>
            </w:tcMar>
            <w:vAlign w:val="bottom"/>
          </w:tcPr>
          <w:p w14:paraId="71D40A1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0A20" w14:textId="77777777" w:rsidR="006A3667" w:rsidRDefault="00045F32">
            <w:pPr>
              <w:jc w:val="right"/>
              <w:textAlignment w:val="bottom"/>
            </w:pPr>
            <w:r>
              <w:rPr>
                <w:rFonts w:ascii="Arial" w:eastAsia="宋体" w:hAnsi="Arial" w:cs="Arial"/>
                <w:color w:val="000000"/>
                <w:sz w:val="14"/>
                <w:szCs w:val="14"/>
              </w:rPr>
              <w:t>30,263 </w:t>
            </w:r>
          </w:p>
        </w:tc>
        <w:tc>
          <w:tcPr>
            <w:tcW w:w="0" w:type="auto"/>
            <w:shd w:val="clear" w:color="auto" w:fill="FFFFFF"/>
            <w:tcMar>
              <w:top w:w="40" w:type="dxa"/>
              <w:left w:w="0" w:type="dxa"/>
              <w:bottom w:w="40" w:type="dxa"/>
              <w:right w:w="20" w:type="dxa"/>
            </w:tcMar>
            <w:vAlign w:val="bottom"/>
          </w:tcPr>
          <w:p w14:paraId="71D40A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22"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0A2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0A24" w14:textId="77777777" w:rsidR="006A3667" w:rsidRDefault="00045F32">
            <w:pPr>
              <w:jc w:val="right"/>
              <w:textAlignment w:val="bottom"/>
            </w:pPr>
            <w:r>
              <w:rPr>
                <w:rFonts w:ascii="Arial" w:eastAsia="宋体" w:hAnsi="Arial" w:cs="Arial"/>
                <w:color w:val="000000"/>
                <w:sz w:val="14"/>
                <w:szCs w:val="14"/>
              </w:rPr>
              <w:t>202 </w:t>
            </w:r>
          </w:p>
        </w:tc>
        <w:tc>
          <w:tcPr>
            <w:tcW w:w="0" w:type="auto"/>
            <w:shd w:val="clear" w:color="auto" w:fill="FFFFFF"/>
            <w:tcMar>
              <w:top w:w="40" w:type="dxa"/>
              <w:left w:w="0" w:type="dxa"/>
              <w:bottom w:w="40" w:type="dxa"/>
              <w:right w:w="20" w:type="dxa"/>
            </w:tcMar>
            <w:vAlign w:val="bottom"/>
          </w:tcPr>
          <w:p w14:paraId="71D40A2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26"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0A2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0A28" w14:textId="77777777" w:rsidR="006A3667" w:rsidRDefault="00045F32">
            <w:pPr>
              <w:jc w:val="right"/>
              <w:textAlignment w:val="bottom"/>
            </w:pPr>
            <w:r>
              <w:rPr>
                <w:rFonts w:ascii="Arial" w:eastAsia="宋体" w:hAnsi="Arial" w:cs="Arial"/>
                <w:color w:val="000000"/>
                <w:sz w:val="14"/>
                <w:szCs w:val="14"/>
              </w:rPr>
              <w:t>30,465 </w:t>
            </w:r>
          </w:p>
        </w:tc>
        <w:tc>
          <w:tcPr>
            <w:tcW w:w="0" w:type="auto"/>
            <w:shd w:val="clear" w:color="auto" w:fill="FFFFFF"/>
            <w:tcMar>
              <w:top w:w="40" w:type="dxa"/>
              <w:left w:w="0" w:type="dxa"/>
              <w:bottom w:w="40" w:type="dxa"/>
              <w:right w:w="20" w:type="dxa"/>
            </w:tcMar>
            <w:vAlign w:val="bottom"/>
          </w:tcPr>
          <w:p w14:paraId="71D40A29" w14:textId="77777777" w:rsidR="006A3667" w:rsidRDefault="006A3667">
            <w:pPr>
              <w:jc w:val="right"/>
              <w:rPr>
                <w:rFonts w:ascii="宋体"/>
              </w:rPr>
            </w:pPr>
          </w:p>
        </w:tc>
      </w:tr>
      <w:tr w:rsidR="006A3667" w14:paraId="71D40A34" w14:textId="77777777">
        <w:tc>
          <w:tcPr>
            <w:tcW w:w="0" w:type="auto"/>
            <w:gridSpan w:val="3"/>
            <w:shd w:val="clear" w:color="auto" w:fill="CCEEFF"/>
            <w:tcMar>
              <w:top w:w="40" w:type="dxa"/>
              <w:left w:w="20" w:type="dxa"/>
              <w:bottom w:w="40" w:type="dxa"/>
              <w:right w:w="20" w:type="dxa"/>
            </w:tcMar>
            <w:vAlign w:val="bottom"/>
          </w:tcPr>
          <w:p w14:paraId="71D40A2B" w14:textId="77777777" w:rsidR="006A3667" w:rsidRDefault="00045F32">
            <w:pPr>
              <w:textAlignment w:val="bottom"/>
            </w:pPr>
            <w:r>
              <w:rPr>
                <w:rFonts w:ascii="Arial" w:eastAsia="宋体" w:hAnsi="Arial" w:cs="Arial"/>
                <w:color w:val="000000"/>
                <w:sz w:val="14"/>
                <w:szCs w:val="14"/>
              </w:rPr>
              <w:t>United Kingdom</w:t>
            </w:r>
          </w:p>
        </w:tc>
        <w:tc>
          <w:tcPr>
            <w:tcW w:w="0" w:type="auto"/>
            <w:gridSpan w:val="2"/>
            <w:shd w:val="clear" w:color="auto" w:fill="CCEEFF"/>
            <w:tcMar>
              <w:top w:w="40" w:type="dxa"/>
              <w:left w:w="20" w:type="dxa"/>
              <w:bottom w:w="40" w:type="dxa"/>
              <w:right w:w="0" w:type="dxa"/>
            </w:tcMar>
            <w:vAlign w:val="bottom"/>
          </w:tcPr>
          <w:p w14:paraId="71D40A2C" w14:textId="77777777" w:rsidR="006A3667" w:rsidRDefault="00045F32">
            <w:pPr>
              <w:jc w:val="right"/>
              <w:textAlignment w:val="bottom"/>
            </w:pPr>
            <w:r>
              <w:rPr>
                <w:rFonts w:ascii="Arial" w:eastAsia="宋体" w:hAnsi="Arial" w:cs="Arial"/>
                <w:color w:val="000000"/>
                <w:sz w:val="14"/>
                <w:szCs w:val="14"/>
              </w:rPr>
              <w:t>13,075 </w:t>
            </w:r>
          </w:p>
        </w:tc>
        <w:tc>
          <w:tcPr>
            <w:tcW w:w="0" w:type="auto"/>
            <w:shd w:val="clear" w:color="auto" w:fill="CCEEFF"/>
            <w:tcMar>
              <w:top w:w="40" w:type="dxa"/>
              <w:left w:w="0" w:type="dxa"/>
              <w:bottom w:w="40" w:type="dxa"/>
              <w:right w:w="20" w:type="dxa"/>
            </w:tcMar>
            <w:vAlign w:val="bottom"/>
          </w:tcPr>
          <w:p w14:paraId="71D40A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A2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A2F" w14:textId="77777777" w:rsidR="006A3667" w:rsidRDefault="00045F32">
            <w:pPr>
              <w:jc w:val="right"/>
              <w:textAlignment w:val="bottom"/>
            </w:pPr>
            <w:r>
              <w:rPr>
                <w:rFonts w:ascii="Arial" w:eastAsia="宋体" w:hAnsi="Arial" w:cs="Arial"/>
                <w:color w:val="000000"/>
                <w:sz w:val="14"/>
                <w:szCs w:val="14"/>
              </w:rPr>
              <w:t>1,287 </w:t>
            </w:r>
          </w:p>
        </w:tc>
        <w:tc>
          <w:tcPr>
            <w:tcW w:w="0" w:type="auto"/>
            <w:shd w:val="clear" w:color="auto" w:fill="CCEEFF"/>
            <w:tcMar>
              <w:top w:w="40" w:type="dxa"/>
              <w:left w:w="0" w:type="dxa"/>
              <w:bottom w:w="40" w:type="dxa"/>
              <w:right w:w="20" w:type="dxa"/>
            </w:tcMar>
            <w:vAlign w:val="bottom"/>
          </w:tcPr>
          <w:p w14:paraId="71D40A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A3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A32" w14:textId="77777777" w:rsidR="006A3667" w:rsidRDefault="00045F32">
            <w:pPr>
              <w:jc w:val="right"/>
              <w:textAlignment w:val="bottom"/>
            </w:pPr>
            <w:r>
              <w:rPr>
                <w:rFonts w:ascii="Arial" w:eastAsia="宋体" w:hAnsi="Arial" w:cs="Arial"/>
                <w:color w:val="000000"/>
                <w:sz w:val="14"/>
                <w:szCs w:val="14"/>
              </w:rPr>
              <w:t>14,362 </w:t>
            </w:r>
          </w:p>
        </w:tc>
        <w:tc>
          <w:tcPr>
            <w:tcW w:w="0" w:type="auto"/>
            <w:shd w:val="clear" w:color="auto" w:fill="CCEEFF"/>
            <w:tcMar>
              <w:top w:w="40" w:type="dxa"/>
              <w:left w:w="0" w:type="dxa"/>
              <w:bottom w:w="40" w:type="dxa"/>
              <w:right w:w="20" w:type="dxa"/>
            </w:tcMar>
            <w:vAlign w:val="bottom"/>
          </w:tcPr>
          <w:p w14:paraId="71D40A33" w14:textId="77777777" w:rsidR="006A3667" w:rsidRDefault="006A3667">
            <w:pPr>
              <w:jc w:val="right"/>
              <w:rPr>
                <w:rFonts w:ascii="宋体"/>
              </w:rPr>
            </w:pPr>
          </w:p>
        </w:tc>
      </w:tr>
      <w:tr w:rsidR="006A3667" w14:paraId="71D40A3E" w14:textId="77777777">
        <w:tc>
          <w:tcPr>
            <w:tcW w:w="0" w:type="auto"/>
            <w:gridSpan w:val="3"/>
            <w:shd w:val="clear" w:color="auto" w:fill="FFFFFF"/>
            <w:tcMar>
              <w:top w:w="40" w:type="dxa"/>
              <w:left w:w="20" w:type="dxa"/>
              <w:bottom w:w="40" w:type="dxa"/>
              <w:right w:w="20" w:type="dxa"/>
            </w:tcMar>
            <w:vAlign w:val="bottom"/>
          </w:tcPr>
          <w:p w14:paraId="71D40A35" w14:textId="77777777" w:rsidR="006A3667" w:rsidRDefault="00045F32">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71D40A36" w14:textId="77777777" w:rsidR="006A3667" w:rsidRDefault="00045F32">
            <w:pPr>
              <w:jc w:val="right"/>
              <w:textAlignment w:val="bottom"/>
            </w:pPr>
            <w:r>
              <w:rPr>
                <w:rFonts w:ascii="Arial" w:eastAsia="宋体" w:hAnsi="Arial" w:cs="Arial"/>
                <w:color w:val="000000"/>
                <w:sz w:val="14"/>
                <w:szCs w:val="14"/>
              </w:rPr>
              <w:t>10,713 </w:t>
            </w:r>
          </w:p>
        </w:tc>
        <w:tc>
          <w:tcPr>
            <w:tcW w:w="0" w:type="auto"/>
            <w:shd w:val="clear" w:color="auto" w:fill="FFFFFF"/>
            <w:tcMar>
              <w:top w:w="40" w:type="dxa"/>
              <w:left w:w="0" w:type="dxa"/>
              <w:bottom w:w="40" w:type="dxa"/>
              <w:right w:w="20" w:type="dxa"/>
            </w:tcMar>
            <w:vAlign w:val="bottom"/>
          </w:tcPr>
          <w:p w14:paraId="71D40A3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3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39" w14:textId="77777777" w:rsidR="006A3667" w:rsidRDefault="00045F32">
            <w:pPr>
              <w:jc w:val="right"/>
              <w:textAlignment w:val="bottom"/>
            </w:pPr>
            <w:r>
              <w:rPr>
                <w:rFonts w:ascii="Arial" w:eastAsia="宋体" w:hAnsi="Arial" w:cs="Arial"/>
                <w:color w:val="000000"/>
                <w:sz w:val="14"/>
                <w:szCs w:val="14"/>
              </w:rPr>
              <w:t>878 </w:t>
            </w:r>
          </w:p>
        </w:tc>
        <w:tc>
          <w:tcPr>
            <w:tcW w:w="0" w:type="auto"/>
            <w:shd w:val="clear" w:color="auto" w:fill="FFFFFF"/>
            <w:tcMar>
              <w:top w:w="40" w:type="dxa"/>
              <w:left w:w="0" w:type="dxa"/>
              <w:bottom w:w="40" w:type="dxa"/>
              <w:right w:w="20" w:type="dxa"/>
            </w:tcMar>
            <w:vAlign w:val="bottom"/>
          </w:tcPr>
          <w:p w14:paraId="71D40A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3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3C" w14:textId="77777777" w:rsidR="006A3667" w:rsidRDefault="00045F32">
            <w:pPr>
              <w:jc w:val="right"/>
              <w:textAlignment w:val="bottom"/>
            </w:pPr>
            <w:r>
              <w:rPr>
                <w:rFonts w:ascii="Arial" w:eastAsia="宋体" w:hAnsi="Arial" w:cs="Arial"/>
                <w:color w:val="000000"/>
                <w:sz w:val="14"/>
                <w:szCs w:val="14"/>
              </w:rPr>
              <w:t>11,591 </w:t>
            </w:r>
          </w:p>
        </w:tc>
        <w:tc>
          <w:tcPr>
            <w:tcW w:w="0" w:type="auto"/>
            <w:shd w:val="clear" w:color="auto" w:fill="FFFFFF"/>
            <w:tcMar>
              <w:top w:w="40" w:type="dxa"/>
              <w:left w:w="0" w:type="dxa"/>
              <w:bottom w:w="40" w:type="dxa"/>
              <w:right w:w="20" w:type="dxa"/>
            </w:tcMar>
            <w:vAlign w:val="bottom"/>
          </w:tcPr>
          <w:p w14:paraId="71D40A3D" w14:textId="77777777" w:rsidR="006A3667" w:rsidRDefault="006A3667">
            <w:pPr>
              <w:jc w:val="right"/>
              <w:rPr>
                <w:rFonts w:ascii="宋体"/>
              </w:rPr>
            </w:pPr>
          </w:p>
        </w:tc>
      </w:tr>
      <w:tr w:rsidR="006A3667" w14:paraId="71D40A48" w14:textId="77777777">
        <w:tc>
          <w:tcPr>
            <w:tcW w:w="0" w:type="auto"/>
            <w:gridSpan w:val="3"/>
            <w:shd w:val="clear" w:color="auto" w:fill="CCEEFF"/>
            <w:tcMar>
              <w:top w:w="40" w:type="dxa"/>
              <w:left w:w="20" w:type="dxa"/>
              <w:bottom w:w="40" w:type="dxa"/>
              <w:right w:w="20" w:type="dxa"/>
            </w:tcMar>
            <w:vAlign w:val="bottom"/>
          </w:tcPr>
          <w:p w14:paraId="71D40A3F" w14:textId="77777777" w:rsidR="006A3667" w:rsidRDefault="00045F32">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71D40A40" w14:textId="77777777" w:rsidR="006A3667" w:rsidRDefault="00045F32">
            <w:pPr>
              <w:jc w:val="right"/>
              <w:textAlignment w:val="bottom"/>
            </w:pPr>
            <w:r>
              <w:rPr>
                <w:rFonts w:ascii="Arial" w:eastAsia="宋体" w:hAnsi="Arial" w:cs="Arial"/>
                <w:color w:val="000000"/>
                <w:sz w:val="14"/>
                <w:szCs w:val="14"/>
              </w:rPr>
              <w:t>8,201 </w:t>
            </w:r>
          </w:p>
        </w:tc>
        <w:tc>
          <w:tcPr>
            <w:tcW w:w="0" w:type="auto"/>
            <w:shd w:val="clear" w:color="auto" w:fill="CCEEFF"/>
            <w:tcMar>
              <w:top w:w="40" w:type="dxa"/>
              <w:left w:w="0" w:type="dxa"/>
              <w:bottom w:w="40" w:type="dxa"/>
              <w:right w:w="20" w:type="dxa"/>
            </w:tcMar>
            <w:vAlign w:val="bottom"/>
          </w:tcPr>
          <w:p w14:paraId="71D40A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A4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A43" w14:textId="77777777" w:rsidR="006A3667" w:rsidRDefault="00045F32">
            <w:pPr>
              <w:jc w:val="right"/>
              <w:textAlignment w:val="bottom"/>
            </w:pPr>
            <w:r>
              <w:rPr>
                <w:rFonts w:ascii="Arial" w:eastAsia="宋体" w:hAnsi="Arial" w:cs="Arial"/>
                <w:color w:val="000000"/>
                <w:sz w:val="14"/>
                <w:szCs w:val="14"/>
              </w:rPr>
              <w:t>999 </w:t>
            </w:r>
          </w:p>
        </w:tc>
        <w:tc>
          <w:tcPr>
            <w:tcW w:w="0" w:type="auto"/>
            <w:shd w:val="clear" w:color="auto" w:fill="CCEEFF"/>
            <w:tcMar>
              <w:top w:w="40" w:type="dxa"/>
              <w:left w:w="0" w:type="dxa"/>
              <w:bottom w:w="40" w:type="dxa"/>
              <w:right w:w="20" w:type="dxa"/>
            </w:tcMar>
            <w:vAlign w:val="bottom"/>
          </w:tcPr>
          <w:p w14:paraId="71D40A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A4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A46" w14:textId="77777777" w:rsidR="006A3667" w:rsidRDefault="00045F32">
            <w:pPr>
              <w:jc w:val="right"/>
              <w:textAlignment w:val="bottom"/>
            </w:pPr>
            <w:r>
              <w:rPr>
                <w:rFonts w:ascii="Arial" w:eastAsia="宋体" w:hAnsi="Arial" w:cs="Arial"/>
                <w:color w:val="000000"/>
                <w:sz w:val="14"/>
                <w:szCs w:val="14"/>
              </w:rPr>
              <w:t>9,200 </w:t>
            </w:r>
          </w:p>
        </w:tc>
        <w:tc>
          <w:tcPr>
            <w:tcW w:w="0" w:type="auto"/>
            <w:shd w:val="clear" w:color="auto" w:fill="CCEEFF"/>
            <w:tcMar>
              <w:top w:w="40" w:type="dxa"/>
              <w:left w:w="0" w:type="dxa"/>
              <w:bottom w:w="40" w:type="dxa"/>
              <w:right w:w="20" w:type="dxa"/>
            </w:tcMar>
            <w:vAlign w:val="bottom"/>
          </w:tcPr>
          <w:p w14:paraId="71D40A47" w14:textId="77777777" w:rsidR="006A3667" w:rsidRDefault="006A3667">
            <w:pPr>
              <w:jc w:val="right"/>
              <w:rPr>
                <w:rFonts w:ascii="宋体"/>
              </w:rPr>
            </w:pPr>
          </w:p>
        </w:tc>
      </w:tr>
      <w:tr w:rsidR="006A3667" w14:paraId="71D40A52" w14:textId="77777777">
        <w:tc>
          <w:tcPr>
            <w:tcW w:w="0" w:type="auto"/>
            <w:gridSpan w:val="3"/>
            <w:shd w:val="clear" w:color="auto" w:fill="FFFFFF"/>
            <w:tcMar>
              <w:top w:w="40" w:type="dxa"/>
              <w:left w:w="20" w:type="dxa"/>
              <w:bottom w:w="40" w:type="dxa"/>
              <w:right w:w="20" w:type="dxa"/>
            </w:tcMar>
            <w:vAlign w:val="bottom"/>
          </w:tcPr>
          <w:p w14:paraId="71D40A49" w14:textId="77777777" w:rsidR="006A3667" w:rsidRDefault="00045F32">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71D40A4A" w14:textId="77777777" w:rsidR="006A3667" w:rsidRDefault="00045F32">
            <w:pPr>
              <w:jc w:val="right"/>
              <w:textAlignment w:val="bottom"/>
            </w:pPr>
            <w:r>
              <w:rPr>
                <w:rFonts w:ascii="Arial" w:eastAsia="宋体" w:hAnsi="Arial" w:cs="Arial"/>
                <w:color w:val="000000"/>
                <w:sz w:val="14"/>
                <w:szCs w:val="14"/>
              </w:rPr>
              <w:t>6,862 </w:t>
            </w:r>
          </w:p>
        </w:tc>
        <w:tc>
          <w:tcPr>
            <w:tcW w:w="0" w:type="auto"/>
            <w:shd w:val="clear" w:color="auto" w:fill="FFFFFF"/>
            <w:tcMar>
              <w:top w:w="40" w:type="dxa"/>
              <w:left w:w="0" w:type="dxa"/>
              <w:bottom w:w="40" w:type="dxa"/>
              <w:right w:w="20" w:type="dxa"/>
            </w:tcMar>
            <w:vAlign w:val="bottom"/>
          </w:tcPr>
          <w:p w14:paraId="71D40A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4D" w14:textId="77777777" w:rsidR="006A3667" w:rsidRDefault="00045F32">
            <w:pPr>
              <w:jc w:val="right"/>
              <w:textAlignment w:val="bottom"/>
            </w:pPr>
            <w:r>
              <w:rPr>
                <w:rFonts w:ascii="Arial" w:eastAsia="宋体" w:hAnsi="Arial" w:cs="Arial"/>
                <w:color w:val="000000"/>
                <w:sz w:val="14"/>
                <w:szCs w:val="14"/>
              </w:rPr>
              <w:t>534 </w:t>
            </w:r>
          </w:p>
        </w:tc>
        <w:tc>
          <w:tcPr>
            <w:tcW w:w="0" w:type="auto"/>
            <w:shd w:val="clear" w:color="auto" w:fill="FFFFFF"/>
            <w:tcMar>
              <w:top w:w="40" w:type="dxa"/>
              <w:left w:w="0" w:type="dxa"/>
              <w:bottom w:w="40" w:type="dxa"/>
              <w:right w:w="20" w:type="dxa"/>
            </w:tcMar>
            <w:vAlign w:val="bottom"/>
          </w:tcPr>
          <w:p w14:paraId="71D40A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50" w14:textId="77777777" w:rsidR="006A3667" w:rsidRDefault="00045F32">
            <w:pPr>
              <w:jc w:val="right"/>
              <w:textAlignment w:val="bottom"/>
            </w:pPr>
            <w:r>
              <w:rPr>
                <w:rFonts w:ascii="Arial" w:eastAsia="宋体" w:hAnsi="Arial" w:cs="Arial"/>
                <w:color w:val="000000"/>
                <w:sz w:val="14"/>
                <w:szCs w:val="14"/>
              </w:rPr>
              <w:t>7,396 </w:t>
            </w:r>
          </w:p>
        </w:tc>
        <w:tc>
          <w:tcPr>
            <w:tcW w:w="0" w:type="auto"/>
            <w:shd w:val="clear" w:color="auto" w:fill="FFFFFF"/>
            <w:tcMar>
              <w:top w:w="40" w:type="dxa"/>
              <w:left w:w="0" w:type="dxa"/>
              <w:bottom w:w="40" w:type="dxa"/>
              <w:right w:w="20" w:type="dxa"/>
            </w:tcMar>
            <w:vAlign w:val="bottom"/>
          </w:tcPr>
          <w:p w14:paraId="71D40A51" w14:textId="77777777" w:rsidR="006A3667" w:rsidRDefault="006A3667">
            <w:pPr>
              <w:jc w:val="right"/>
              <w:rPr>
                <w:rFonts w:ascii="宋体"/>
              </w:rPr>
            </w:pPr>
          </w:p>
        </w:tc>
      </w:tr>
      <w:tr w:rsidR="006A3667" w14:paraId="71D40A5C" w14:textId="77777777">
        <w:tc>
          <w:tcPr>
            <w:tcW w:w="0" w:type="auto"/>
            <w:gridSpan w:val="3"/>
            <w:shd w:val="clear" w:color="auto" w:fill="CCEEFF"/>
            <w:tcMar>
              <w:top w:w="40" w:type="dxa"/>
              <w:left w:w="20" w:type="dxa"/>
              <w:bottom w:w="40" w:type="dxa"/>
              <w:right w:w="20" w:type="dxa"/>
            </w:tcMar>
            <w:vAlign w:val="bottom"/>
          </w:tcPr>
          <w:p w14:paraId="71D40A53" w14:textId="77777777" w:rsidR="006A3667" w:rsidRDefault="00045F32">
            <w:pPr>
              <w:textAlignment w:val="bottom"/>
            </w:pPr>
            <w:r>
              <w:rPr>
                <w:rFonts w:ascii="Arial" w:eastAsia="宋体" w:hAnsi="Arial" w:cs="Arial"/>
                <w:color w:val="000000"/>
                <w:sz w:val="14"/>
                <w:szCs w:val="14"/>
              </w:rPr>
              <w:t>Luxembourg</w:t>
            </w:r>
          </w:p>
        </w:tc>
        <w:tc>
          <w:tcPr>
            <w:tcW w:w="0" w:type="auto"/>
            <w:gridSpan w:val="2"/>
            <w:shd w:val="clear" w:color="auto" w:fill="CCEEFF"/>
            <w:tcMar>
              <w:top w:w="40" w:type="dxa"/>
              <w:left w:w="20" w:type="dxa"/>
              <w:bottom w:w="40" w:type="dxa"/>
              <w:right w:w="0" w:type="dxa"/>
            </w:tcMar>
            <w:vAlign w:val="bottom"/>
          </w:tcPr>
          <w:p w14:paraId="71D40A54" w14:textId="77777777" w:rsidR="006A3667" w:rsidRDefault="00045F32">
            <w:pPr>
              <w:jc w:val="right"/>
              <w:textAlignment w:val="bottom"/>
            </w:pPr>
            <w:r>
              <w:rPr>
                <w:rFonts w:ascii="Arial" w:eastAsia="宋体" w:hAnsi="Arial" w:cs="Arial"/>
                <w:color w:val="000000"/>
                <w:sz w:val="14"/>
                <w:szCs w:val="14"/>
              </w:rPr>
              <w:t>6,300 </w:t>
            </w:r>
          </w:p>
        </w:tc>
        <w:tc>
          <w:tcPr>
            <w:tcW w:w="0" w:type="auto"/>
            <w:shd w:val="clear" w:color="auto" w:fill="CCEEFF"/>
            <w:tcMar>
              <w:top w:w="40" w:type="dxa"/>
              <w:left w:w="0" w:type="dxa"/>
              <w:bottom w:w="40" w:type="dxa"/>
              <w:right w:w="20" w:type="dxa"/>
            </w:tcMar>
            <w:vAlign w:val="bottom"/>
          </w:tcPr>
          <w:p w14:paraId="71D40A5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A5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A57" w14:textId="77777777" w:rsidR="006A3667" w:rsidRDefault="00045F32">
            <w:pPr>
              <w:jc w:val="right"/>
              <w:textAlignment w:val="bottom"/>
            </w:pPr>
            <w:r>
              <w:rPr>
                <w:rFonts w:ascii="Arial" w:eastAsia="宋体" w:hAnsi="Arial" w:cs="Arial"/>
                <w:color w:val="000000"/>
                <w:sz w:val="14"/>
                <w:szCs w:val="14"/>
              </w:rPr>
              <w:t>601 </w:t>
            </w:r>
          </w:p>
        </w:tc>
        <w:tc>
          <w:tcPr>
            <w:tcW w:w="0" w:type="auto"/>
            <w:shd w:val="clear" w:color="auto" w:fill="CCEEFF"/>
            <w:tcMar>
              <w:top w:w="40" w:type="dxa"/>
              <w:left w:w="0" w:type="dxa"/>
              <w:bottom w:w="40" w:type="dxa"/>
              <w:right w:w="20" w:type="dxa"/>
            </w:tcMar>
            <w:vAlign w:val="bottom"/>
          </w:tcPr>
          <w:p w14:paraId="71D40A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A5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A5A" w14:textId="77777777" w:rsidR="006A3667" w:rsidRDefault="00045F32">
            <w:pPr>
              <w:jc w:val="right"/>
              <w:textAlignment w:val="bottom"/>
            </w:pPr>
            <w:r>
              <w:rPr>
                <w:rFonts w:ascii="Arial" w:eastAsia="宋体" w:hAnsi="Arial" w:cs="Arial"/>
                <w:color w:val="000000"/>
                <w:sz w:val="14"/>
                <w:szCs w:val="14"/>
              </w:rPr>
              <w:t>6,901 </w:t>
            </w:r>
          </w:p>
        </w:tc>
        <w:tc>
          <w:tcPr>
            <w:tcW w:w="0" w:type="auto"/>
            <w:shd w:val="clear" w:color="auto" w:fill="CCEEFF"/>
            <w:tcMar>
              <w:top w:w="40" w:type="dxa"/>
              <w:left w:w="0" w:type="dxa"/>
              <w:bottom w:w="40" w:type="dxa"/>
              <w:right w:w="20" w:type="dxa"/>
            </w:tcMar>
            <w:vAlign w:val="bottom"/>
          </w:tcPr>
          <w:p w14:paraId="71D40A5B" w14:textId="77777777" w:rsidR="006A3667" w:rsidRDefault="006A3667">
            <w:pPr>
              <w:jc w:val="right"/>
              <w:rPr>
                <w:rFonts w:ascii="宋体"/>
              </w:rPr>
            </w:pPr>
          </w:p>
        </w:tc>
      </w:tr>
      <w:tr w:rsidR="006A3667" w14:paraId="71D40A66" w14:textId="77777777">
        <w:tc>
          <w:tcPr>
            <w:tcW w:w="0" w:type="auto"/>
            <w:gridSpan w:val="3"/>
            <w:shd w:val="clear" w:color="auto" w:fill="FFFFFF"/>
            <w:tcMar>
              <w:top w:w="40" w:type="dxa"/>
              <w:left w:w="20" w:type="dxa"/>
              <w:bottom w:w="40" w:type="dxa"/>
              <w:right w:w="20" w:type="dxa"/>
            </w:tcMar>
            <w:vAlign w:val="bottom"/>
          </w:tcPr>
          <w:p w14:paraId="71D40A5D" w14:textId="77777777" w:rsidR="006A3667" w:rsidRDefault="00045F32">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71D40A5E" w14:textId="77777777" w:rsidR="006A3667" w:rsidRDefault="00045F32">
            <w:pPr>
              <w:jc w:val="right"/>
              <w:textAlignment w:val="bottom"/>
            </w:pPr>
            <w:r>
              <w:rPr>
                <w:rFonts w:ascii="Arial" w:eastAsia="宋体" w:hAnsi="Arial" w:cs="Arial"/>
                <w:color w:val="000000"/>
                <w:sz w:val="14"/>
                <w:szCs w:val="14"/>
              </w:rPr>
              <w:t>2,822 </w:t>
            </w:r>
          </w:p>
        </w:tc>
        <w:tc>
          <w:tcPr>
            <w:tcW w:w="0" w:type="auto"/>
            <w:shd w:val="clear" w:color="auto" w:fill="FFFFFF"/>
            <w:tcMar>
              <w:top w:w="40" w:type="dxa"/>
              <w:left w:w="0" w:type="dxa"/>
              <w:bottom w:w="40" w:type="dxa"/>
              <w:right w:w="20" w:type="dxa"/>
            </w:tcMar>
            <w:vAlign w:val="bottom"/>
          </w:tcPr>
          <w:p w14:paraId="71D40A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61" w14:textId="77777777" w:rsidR="006A3667" w:rsidRDefault="00045F32">
            <w:pPr>
              <w:jc w:val="right"/>
              <w:textAlignment w:val="bottom"/>
            </w:pPr>
            <w:r>
              <w:rPr>
                <w:rFonts w:ascii="Arial" w:eastAsia="宋体" w:hAnsi="Arial" w:cs="Arial"/>
                <w:color w:val="000000"/>
                <w:sz w:val="14"/>
                <w:szCs w:val="14"/>
              </w:rPr>
              <w:t>852 </w:t>
            </w:r>
          </w:p>
        </w:tc>
        <w:tc>
          <w:tcPr>
            <w:tcW w:w="0" w:type="auto"/>
            <w:shd w:val="clear" w:color="auto" w:fill="FFFFFF"/>
            <w:tcMar>
              <w:top w:w="40" w:type="dxa"/>
              <w:left w:w="0" w:type="dxa"/>
              <w:bottom w:w="40" w:type="dxa"/>
              <w:right w:w="20" w:type="dxa"/>
            </w:tcMar>
            <w:vAlign w:val="bottom"/>
          </w:tcPr>
          <w:p w14:paraId="71D40A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A6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A64" w14:textId="77777777" w:rsidR="006A3667" w:rsidRDefault="00045F32">
            <w:pPr>
              <w:jc w:val="right"/>
              <w:textAlignment w:val="bottom"/>
            </w:pPr>
            <w:r>
              <w:rPr>
                <w:rFonts w:ascii="Arial" w:eastAsia="宋体" w:hAnsi="Arial" w:cs="Arial"/>
                <w:color w:val="000000"/>
                <w:sz w:val="14"/>
                <w:szCs w:val="14"/>
              </w:rPr>
              <w:t>3,674 </w:t>
            </w:r>
          </w:p>
        </w:tc>
        <w:tc>
          <w:tcPr>
            <w:tcW w:w="0" w:type="auto"/>
            <w:shd w:val="clear" w:color="auto" w:fill="FFFFFF"/>
            <w:tcMar>
              <w:top w:w="40" w:type="dxa"/>
              <w:left w:w="0" w:type="dxa"/>
              <w:bottom w:w="40" w:type="dxa"/>
              <w:right w:w="20" w:type="dxa"/>
            </w:tcMar>
            <w:vAlign w:val="bottom"/>
          </w:tcPr>
          <w:p w14:paraId="71D40A65" w14:textId="77777777" w:rsidR="006A3667" w:rsidRDefault="006A3667">
            <w:pPr>
              <w:jc w:val="right"/>
              <w:rPr>
                <w:rFonts w:ascii="宋体"/>
              </w:rPr>
            </w:pPr>
          </w:p>
        </w:tc>
      </w:tr>
      <w:tr w:rsidR="006A3667" w14:paraId="71D40A6D" w14:textId="77777777">
        <w:trPr>
          <w:hidden/>
        </w:trPr>
        <w:tc>
          <w:tcPr>
            <w:tcW w:w="0" w:type="auto"/>
            <w:gridSpan w:val="3"/>
            <w:shd w:val="clear" w:color="auto" w:fill="auto"/>
            <w:vAlign w:val="bottom"/>
          </w:tcPr>
          <w:p w14:paraId="71D40A67" w14:textId="77777777" w:rsidR="006A3667" w:rsidRDefault="006A3667">
            <w:pPr>
              <w:rPr>
                <w:rFonts w:ascii="宋体"/>
                <w:vanish/>
              </w:rPr>
            </w:pPr>
          </w:p>
        </w:tc>
        <w:tc>
          <w:tcPr>
            <w:tcW w:w="0" w:type="auto"/>
            <w:gridSpan w:val="3"/>
            <w:shd w:val="clear" w:color="auto" w:fill="auto"/>
            <w:vAlign w:val="bottom"/>
          </w:tcPr>
          <w:p w14:paraId="71D40A68" w14:textId="77777777" w:rsidR="006A3667" w:rsidRDefault="006A3667">
            <w:pPr>
              <w:rPr>
                <w:rFonts w:ascii="宋体"/>
                <w:vanish/>
              </w:rPr>
            </w:pPr>
          </w:p>
        </w:tc>
        <w:tc>
          <w:tcPr>
            <w:tcW w:w="0" w:type="auto"/>
            <w:gridSpan w:val="3"/>
            <w:shd w:val="clear" w:color="auto" w:fill="auto"/>
            <w:vAlign w:val="bottom"/>
          </w:tcPr>
          <w:p w14:paraId="71D40A69" w14:textId="77777777" w:rsidR="006A3667" w:rsidRDefault="006A3667">
            <w:pPr>
              <w:rPr>
                <w:rFonts w:ascii="宋体"/>
                <w:vanish/>
              </w:rPr>
            </w:pPr>
          </w:p>
        </w:tc>
        <w:tc>
          <w:tcPr>
            <w:tcW w:w="0" w:type="auto"/>
            <w:gridSpan w:val="3"/>
            <w:shd w:val="clear" w:color="auto" w:fill="auto"/>
            <w:vAlign w:val="bottom"/>
          </w:tcPr>
          <w:p w14:paraId="71D40A6A" w14:textId="77777777" w:rsidR="006A3667" w:rsidRDefault="006A3667">
            <w:pPr>
              <w:rPr>
                <w:rFonts w:ascii="宋体"/>
                <w:vanish/>
              </w:rPr>
            </w:pPr>
          </w:p>
        </w:tc>
        <w:tc>
          <w:tcPr>
            <w:tcW w:w="0" w:type="auto"/>
            <w:gridSpan w:val="3"/>
            <w:shd w:val="clear" w:color="auto" w:fill="auto"/>
            <w:vAlign w:val="bottom"/>
          </w:tcPr>
          <w:p w14:paraId="71D40A6B" w14:textId="77777777" w:rsidR="006A3667" w:rsidRDefault="006A3667">
            <w:pPr>
              <w:rPr>
                <w:rFonts w:ascii="宋体"/>
                <w:vanish/>
              </w:rPr>
            </w:pPr>
          </w:p>
        </w:tc>
        <w:tc>
          <w:tcPr>
            <w:tcW w:w="0" w:type="auto"/>
            <w:gridSpan w:val="3"/>
            <w:shd w:val="clear" w:color="auto" w:fill="auto"/>
            <w:vAlign w:val="bottom"/>
          </w:tcPr>
          <w:p w14:paraId="71D40A6C" w14:textId="77777777" w:rsidR="006A3667" w:rsidRDefault="006A3667">
            <w:pPr>
              <w:rPr>
                <w:rFonts w:ascii="宋体"/>
                <w:vanish/>
              </w:rPr>
            </w:pPr>
          </w:p>
        </w:tc>
      </w:tr>
      <w:tr w:rsidR="006A3667" w14:paraId="71D40A74" w14:textId="77777777">
        <w:trPr>
          <w:hidden/>
        </w:trPr>
        <w:tc>
          <w:tcPr>
            <w:tcW w:w="0" w:type="auto"/>
            <w:gridSpan w:val="3"/>
            <w:shd w:val="clear" w:color="auto" w:fill="auto"/>
            <w:vAlign w:val="bottom"/>
          </w:tcPr>
          <w:p w14:paraId="71D40A6E" w14:textId="77777777" w:rsidR="006A3667" w:rsidRDefault="006A3667">
            <w:pPr>
              <w:rPr>
                <w:rFonts w:ascii="宋体"/>
                <w:vanish/>
              </w:rPr>
            </w:pPr>
          </w:p>
        </w:tc>
        <w:tc>
          <w:tcPr>
            <w:tcW w:w="0" w:type="auto"/>
            <w:gridSpan w:val="3"/>
            <w:shd w:val="clear" w:color="auto" w:fill="auto"/>
            <w:vAlign w:val="bottom"/>
          </w:tcPr>
          <w:p w14:paraId="71D40A6F" w14:textId="77777777" w:rsidR="006A3667" w:rsidRDefault="006A3667">
            <w:pPr>
              <w:rPr>
                <w:rFonts w:ascii="宋体"/>
                <w:vanish/>
              </w:rPr>
            </w:pPr>
          </w:p>
        </w:tc>
        <w:tc>
          <w:tcPr>
            <w:tcW w:w="0" w:type="auto"/>
            <w:gridSpan w:val="3"/>
            <w:shd w:val="clear" w:color="auto" w:fill="auto"/>
            <w:vAlign w:val="bottom"/>
          </w:tcPr>
          <w:p w14:paraId="71D40A70" w14:textId="77777777" w:rsidR="006A3667" w:rsidRDefault="006A3667">
            <w:pPr>
              <w:rPr>
                <w:rFonts w:ascii="宋体"/>
                <w:vanish/>
              </w:rPr>
            </w:pPr>
          </w:p>
        </w:tc>
        <w:tc>
          <w:tcPr>
            <w:tcW w:w="0" w:type="auto"/>
            <w:gridSpan w:val="3"/>
            <w:shd w:val="clear" w:color="auto" w:fill="auto"/>
            <w:vAlign w:val="bottom"/>
          </w:tcPr>
          <w:p w14:paraId="71D40A71" w14:textId="77777777" w:rsidR="006A3667" w:rsidRDefault="006A3667">
            <w:pPr>
              <w:rPr>
                <w:rFonts w:ascii="宋体"/>
                <w:vanish/>
              </w:rPr>
            </w:pPr>
          </w:p>
        </w:tc>
        <w:tc>
          <w:tcPr>
            <w:tcW w:w="0" w:type="auto"/>
            <w:gridSpan w:val="3"/>
            <w:shd w:val="clear" w:color="auto" w:fill="auto"/>
            <w:vAlign w:val="bottom"/>
          </w:tcPr>
          <w:p w14:paraId="71D40A72" w14:textId="77777777" w:rsidR="006A3667" w:rsidRDefault="006A3667">
            <w:pPr>
              <w:rPr>
                <w:rFonts w:ascii="宋体"/>
                <w:vanish/>
              </w:rPr>
            </w:pPr>
          </w:p>
        </w:tc>
        <w:tc>
          <w:tcPr>
            <w:tcW w:w="0" w:type="auto"/>
            <w:gridSpan w:val="3"/>
            <w:shd w:val="clear" w:color="auto" w:fill="auto"/>
            <w:vAlign w:val="bottom"/>
          </w:tcPr>
          <w:p w14:paraId="71D40A73" w14:textId="77777777" w:rsidR="006A3667" w:rsidRDefault="006A3667">
            <w:pPr>
              <w:rPr>
                <w:rFonts w:ascii="宋体"/>
                <w:vanish/>
              </w:rPr>
            </w:pPr>
          </w:p>
        </w:tc>
      </w:tr>
      <w:tr w:rsidR="006A3667" w14:paraId="71D40A7B" w14:textId="77777777">
        <w:trPr>
          <w:hidden/>
        </w:trPr>
        <w:tc>
          <w:tcPr>
            <w:tcW w:w="0" w:type="auto"/>
            <w:gridSpan w:val="3"/>
            <w:shd w:val="clear" w:color="auto" w:fill="auto"/>
            <w:vAlign w:val="bottom"/>
          </w:tcPr>
          <w:p w14:paraId="71D40A75" w14:textId="77777777" w:rsidR="006A3667" w:rsidRDefault="006A3667">
            <w:pPr>
              <w:rPr>
                <w:rFonts w:ascii="宋体"/>
                <w:vanish/>
              </w:rPr>
            </w:pPr>
          </w:p>
        </w:tc>
        <w:tc>
          <w:tcPr>
            <w:tcW w:w="0" w:type="auto"/>
            <w:gridSpan w:val="3"/>
            <w:shd w:val="clear" w:color="auto" w:fill="auto"/>
            <w:vAlign w:val="bottom"/>
          </w:tcPr>
          <w:p w14:paraId="71D40A76" w14:textId="77777777" w:rsidR="006A3667" w:rsidRDefault="006A3667">
            <w:pPr>
              <w:rPr>
                <w:rFonts w:ascii="宋体"/>
                <w:vanish/>
              </w:rPr>
            </w:pPr>
          </w:p>
        </w:tc>
        <w:tc>
          <w:tcPr>
            <w:tcW w:w="0" w:type="auto"/>
            <w:gridSpan w:val="3"/>
            <w:shd w:val="clear" w:color="auto" w:fill="auto"/>
            <w:vAlign w:val="bottom"/>
          </w:tcPr>
          <w:p w14:paraId="71D40A77" w14:textId="77777777" w:rsidR="006A3667" w:rsidRDefault="006A3667">
            <w:pPr>
              <w:rPr>
                <w:rFonts w:ascii="宋体"/>
                <w:vanish/>
              </w:rPr>
            </w:pPr>
          </w:p>
        </w:tc>
        <w:tc>
          <w:tcPr>
            <w:tcW w:w="0" w:type="auto"/>
            <w:gridSpan w:val="3"/>
            <w:shd w:val="clear" w:color="auto" w:fill="auto"/>
            <w:vAlign w:val="bottom"/>
          </w:tcPr>
          <w:p w14:paraId="71D40A78" w14:textId="77777777" w:rsidR="006A3667" w:rsidRDefault="006A3667">
            <w:pPr>
              <w:rPr>
                <w:rFonts w:ascii="宋体"/>
                <w:vanish/>
              </w:rPr>
            </w:pPr>
          </w:p>
        </w:tc>
        <w:tc>
          <w:tcPr>
            <w:tcW w:w="0" w:type="auto"/>
            <w:gridSpan w:val="3"/>
            <w:shd w:val="clear" w:color="auto" w:fill="auto"/>
            <w:vAlign w:val="bottom"/>
          </w:tcPr>
          <w:p w14:paraId="71D40A79" w14:textId="77777777" w:rsidR="006A3667" w:rsidRDefault="006A3667">
            <w:pPr>
              <w:rPr>
                <w:rFonts w:ascii="宋体"/>
                <w:vanish/>
              </w:rPr>
            </w:pPr>
          </w:p>
        </w:tc>
        <w:tc>
          <w:tcPr>
            <w:tcW w:w="0" w:type="auto"/>
            <w:gridSpan w:val="3"/>
            <w:shd w:val="clear" w:color="auto" w:fill="auto"/>
            <w:vAlign w:val="bottom"/>
          </w:tcPr>
          <w:p w14:paraId="71D40A7A" w14:textId="77777777" w:rsidR="006A3667" w:rsidRDefault="006A3667">
            <w:pPr>
              <w:rPr>
                <w:rFonts w:ascii="宋体"/>
                <w:vanish/>
              </w:rPr>
            </w:pPr>
          </w:p>
        </w:tc>
      </w:tr>
      <w:tr w:rsidR="006A3667" w14:paraId="71D40A82" w14:textId="77777777">
        <w:trPr>
          <w:hidden/>
        </w:trPr>
        <w:tc>
          <w:tcPr>
            <w:tcW w:w="0" w:type="auto"/>
            <w:gridSpan w:val="3"/>
            <w:shd w:val="clear" w:color="auto" w:fill="auto"/>
            <w:vAlign w:val="bottom"/>
          </w:tcPr>
          <w:p w14:paraId="71D40A7C" w14:textId="77777777" w:rsidR="006A3667" w:rsidRDefault="006A3667">
            <w:pPr>
              <w:rPr>
                <w:rFonts w:ascii="宋体"/>
                <w:vanish/>
              </w:rPr>
            </w:pPr>
          </w:p>
        </w:tc>
        <w:tc>
          <w:tcPr>
            <w:tcW w:w="0" w:type="auto"/>
            <w:gridSpan w:val="3"/>
            <w:shd w:val="clear" w:color="auto" w:fill="auto"/>
            <w:vAlign w:val="bottom"/>
          </w:tcPr>
          <w:p w14:paraId="71D40A7D" w14:textId="77777777" w:rsidR="006A3667" w:rsidRDefault="006A3667">
            <w:pPr>
              <w:rPr>
                <w:rFonts w:ascii="宋体"/>
                <w:vanish/>
              </w:rPr>
            </w:pPr>
          </w:p>
        </w:tc>
        <w:tc>
          <w:tcPr>
            <w:tcW w:w="0" w:type="auto"/>
            <w:gridSpan w:val="3"/>
            <w:shd w:val="clear" w:color="auto" w:fill="auto"/>
            <w:vAlign w:val="bottom"/>
          </w:tcPr>
          <w:p w14:paraId="71D40A7E" w14:textId="77777777" w:rsidR="006A3667" w:rsidRDefault="006A3667">
            <w:pPr>
              <w:rPr>
                <w:rFonts w:ascii="宋体"/>
                <w:vanish/>
              </w:rPr>
            </w:pPr>
          </w:p>
        </w:tc>
        <w:tc>
          <w:tcPr>
            <w:tcW w:w="0" w:type="auto"/>
            <w:gridSpan w:val="3"/>
            <w:shd w:val="clear" w:color="auto" w:fill="auto"/>
            <w:vAlign w:val="bottom"/>
          </w:tcPr>
          <w:p w14:paraId="71D40A7F" w14:textId="77777777" w:rsidR="006A3667" w:rsidRDefault="006A3667">
            <w:pPr>
              <w:rPr>
                <w:rFonts w:ascii="宋体"/>
                <w:vanish/>
              </w:rPr>
            </w:pPr>
          </w:p>
        </w:tc>
        <w:tc>
          <w:tcPr>
            <w:tcW w:w="0" w:type="auto"/>
            <w:gridSpan w:val="3"/>
            <w:shd w:val="clear" w:color="auto" w:fill="auto"/>
            <w:vAlign w:val="bottom"/>
          </w:tcPr>
          <w:p w14:paraId="71D40A80" w14:textId="77777777" w:rsidR="006A3667" w:rsidRDefault="006A3667">
            <w:pPr>
              <w:rPr>
                <w:rFonts w:ascii="宋体"/>
                <w:vanish/>
              </w:rPr>
            </w:pPr>
          </w:p>
        </w:tc>
        <w:tc>
          <w:tcPr>
            <w:tcW w:w="0" w:type="auto"/>
            <w:gridSpan w:val="3"/>
            <w:shd w:val="clear" w:color="auto" w:fill="auto"/>
            <w:vAlign w:val="bottom"/>
          </w:tcPr>
          <w:p w14:paraId="71D40A81" w14:textId="77777777" w:rsidR="006A3667" w:rsidRDefault="006A3667">
            <w:pPr>
              <w:rPr>
                <w:rFonts w:ascii="宋体"/>
                <w:vanish/>
              </w:rPr>
            </w:pPr>
          </w:p>
        </w:tc>
      </w:tr>
      <w:tr w:rsidR="006A3667" w14:paraId="71D40A89" w14:textId="77777777">
        <w:trPr>
          <w:hidden/>
        </w:trPr>
        <w:tc>
          <w:tcPr>
            <w:tcW w:w="0" w:type="auto"/>
            <w:gridSpan w:val="3"/>
            <w:shd w:val="clear" w:color="auto" w:fill="auto"/>
            <w:vAlign w:val="bottom"/>
          </w:tcPr>
          <w:p w14:paraId="71D40A83" w14:textId="77777777" w:rsidR="006A3667" w:rsidRDefault="006A3667">
            <w:pPr>
              <w:rPr>
                <w:rFonts w:ascii="宋体"/>
                <w:vanish/>
              </w:rPr>
            </w:pPr>
          </w:p>
        </w:tc>
        <w:tc>
          <w:tcPr>
            <w:tcW w:w="0" w:type="auto"/>
            <w:gridSpan w:val="3"/>
            <w:shd w:val="clear" w:color="auto" w:fill="auto"/>
            <w:vAlign w:val="bottom"/>
          </w:tcPr>
          <w:p w14:paraId="71D40A84" w14:textId="77777777" w:rsidR="006A3667" w:rsidRDefault="006A3667">
            <w:pPr>
              <w:rPr>
                <w:rFonts w:ascii="宋体"/>
                <w:vanish/>
              </w:rPr>
            </w:pPr>
          </w:p>
        </w:tc>
        <w:tc>
          <w:tcPr>
            <w:tcW w:w="0" w:type="auto"/>
            <w:gridSpan w:val="3"/>
            <w:shd w:val="clear" w:color="auto" w:fill="auto"/>
            <w:vAlign w:val="bottom"/>
          </w:tcPr>
          <w:p w14:paraId="71D40A85" w14:textId="77777777" w:rsidR="006A3667" w:rsidRDefault="006A3667">
            <w:pPr>
              <w:rPr>
                <w:rFonts w:ascii="宋体"/>
                <w:vanish/>
              </w:rPr>
            </w:pPr>
          </w:p>
        </w:tc>
        <w:tc>
          <w:tcPr>
            <w:tcW w:w="0" w:type="auto"/>
            <w:gridSpan w:val="3"/>
            <w:shd w:val="clear" w:color="auto" w:fill="auto"/>
            <w:vAlign w:val="bottom"/>
          </w:tcPr>
          <w:p w14:paraId="71D40A86" w14:textId="77777777" w:rsidR="006A3667" w:rsidRDefault="006A3667">
            <w:pPr>
              <w:rPr>
                <w:rFonts w:ascii="宋体"/>
                <w:vanish/>
              </w:rPr>
            </w:pPr>
          </w:p>
        </w:tc>
        <w:tc>
          <w:tcPr>
            <w:tcW w:w="0" w:type="auto"/>
            <w:gridSpan w:val="3"/>
            <w:shd w:val="clear" w:color="auto" w:fill="auto"/>
            <w:vAlign w:val="bottom"/>
          </w:tcPr>
          <w:p w14:paraId="71D40A87" w14:textId="77777777" w:rsidR="006A3667" w:rsidRDefault="006A3667">
            <w:pPr>
              <w:rPr>
                <w:rFonts w:ascii="宋体"/>
                <w:vanish/>
              </w:rPr>
            </w:pPr>
          </w:p>
        </w:tc>
        <w:tc>
          <w:tcPr>
            <w:tcW w:w="0" w:type="auto"/>
            <w:gridSpan w:val="3"/>
            <w:shd w:val="clear" w:color="auto" w:fill="auto"/>
            <w:vAlign w:val="bottom"/>
          </w:tcPr>
          <w:p w14:paraId="71D40A88" w14:textId="77777777" w:rsidR="006A3667" w:rsidRDefault="006A3667">
            <w:pPr>
              <w:rPr>
                <w:rFonts w:ascii="宋体"/>
                <w:vanish/>
              </w:rPr>
            </w:pPr>
          </w:p>
        </w:tc>
      </w:tr>
      <w:tr w:rsidR="006A3667" w14:paraId="71D40A90" w14:textId="77777777">
        <w:trPr>
          <w:hidden/>
        </w:trPr>
        <w:tc>
          <w:tcPr>
            <w:tcW w:w="0" w:type="auto"/>
            <w:gridSpan w:val="3"/>
            <w:shd w:val="clear" w:color="auto" w:fill="auto"/>
            <w:vAlign w:val="bottom"/>
          </w:tcPr>
          <w:p w14:paraId="71D40A8A" w14:textId="77777777" w:rsidR="006A3667" w:rsidRDefault="006A3667">
            <w:pPr>
              <w:rPr>
                <w:rFonts w:ascii="宋体"/>
                <w:vanish/>
              </w:rPr>
            </w:pPr>
          </w:p>
        </w:tc>
        <w:tc>
          <w:tcPr>
            <w:tcW w:w="0" w:type="auto"/>
            <w:gridSpan w:val="3"/>
            <w:shd w:val="clear" w:color="auto" w:fill="auto"/>
            <w:vAlign w:val="bottom"/>
          </w:tcPr>
          <w:p w14:paraId="71D40A8B" w14:textId="77777777" w:rsidR="006A3667" w:rsidRDefault="006A3667">
            <w:pPr>
              <w:rPr>
                <w:rFonts w:ascii="宋体"/>
                <w:vanish/>
              </w:rPr>
            </w:pPr>
          </w:p>
        </w:tc>
        <w:tc>
          <w:tcPr>
            <w:tcW w:w="0" w:type="auto"/>
            <w:gridSpan w:val="3"/>
            <w:shd w:val="clear" w:color="auto" w:fill="auto"/>
            <w:vAlign w:val="bottom"/>
          </w:tcPr>
          <w:p w14:paraId="71D40A8C" w14:textId="77777777" w:rsidR="006A3667" w:rsidRDefault="006A3667">
            <w:pPr>
              <w:rPr>
                <w:rFonts w:ascii="宋体"/>
                <w:vanish/>
              </w:rPr>
            </w:pPr>
          </w:p>
        </w:tc>
        <w:tc>
          <w:tcPr>
            <w:tcW w:w="0" w:type="auto"/>
            <w:gridSpan w:val="3"/>
            <w:shd w:val="clear" w:color="auto" w:fill="auto"/>
            <w:vAlign w:val="bottom"/>
          </w:tcPr>
          <w:p w14:paraId="71D40A8D" w14:textId="77777777" w:rsidR="006A3667" w:rsidRDefault="006A3667">
            <w:pPr>
              <w:rPr>
                <w:rFonts w:ascii="宋体"/>
                <w:vanish/>
              </w:rPr>
            </w:pPr>
          </w:p>
        </w:tc>
        <w:tc>
          <w:tcPr>
            <w:tcW w:w="0" w:type="auto"/>
            <w:gridSpan w:val="3"/>
            <w:shd w:val="clear" w:color="auto" w:fill="auto"/>
            <w:vAlign w:val="bottom"/>
          </w:tcPr>
          <w:p w14:paraId="71D40A8E" w14:textId="77777777" w:rsidR="006A3667" w:rsidRDefault="006A3667">
            <w:pPr>
              <w:rPr>
                <w:rFonts w:ascii="宋体"/>
                <w:vanish/>
              </w:rPr>
            </w:pPr>
          </w:p>
        </w:tc>
        <w:tc>
          <w:tcPr>
            <w:tcW w:w="0" w:type="auto"/>
            <w:gridSpan w:val="3"/>
            <w:shd w:val="clear" w:color="auto" w:fill="auto"/>
            <w:vAlign w:val="bottom"/>
          </w:tcPr>
          <w:p w14:paraId="71D40A8F" w14:textId="77777777" w:rsidR="006A3667" w:rsidRDefault="006A3667">
            <w:pPr>
              <w:rPr>
                <w:rFonts w:ascii="宋体"/>
                <w:vanish/>
              </w:rPr>
            </w:pPr>
          </w:p>
        </w:tc>
      </w:tr>
      <w:tr w:rsidR="006A3667" w14:paraId="71D40A97" w14:textId="77777777">
        <w:trPr>
          <w:hidden/>
        </w:trPr>
        <w:tc>
          <w:tcPr>
            <w:tcW w:w="0" w:type="auto"/>
            <w:gridSpan w:val="3"/>
            <w:shd w:val="clear" w:color="auto" w:fill="auto"/>
            <w:vAlign w:val="bottom"/>
          </w:tcPr>
          <w:p w14:paraId="71D40A91" w14:textId="77777777" w:rsidR="006A3667" w:rsidRDefault="006A3667">
            <w:pPr>
              <w:rPr>
                <w:rFonts w:ascii="宋体"/>
                <w:vanish/>
              </w:rPr>
            </w:pPr>
          </w:p>
        </w:tc>
        <w:tc>
          <w:tcPr>
            <w:tcW w:w="0" w:type="auto"/>
            <w:gridSpan w:val="3"/>
            <w:shd w:val="clear" w:color="auto" w:fill="auto"/>
            <w:vAlign w:val="bottom"/>
          </w:tcPr>
          <w:p w14:paraId="71D40A92" w14:textId="77777777" w:rsidR="006A3667" w:rsidRDefault="006A3667">
            <w:pPr>
              <w:rPr>
                <w:rFonts w:ascii="宋体"/>
                <w:vanish/>
              </w:rPr>
            </w:pPr>
          </w:p>
        </w:tc>
        <w:tc>
          <w:tcPr>
            <w:tcW w:w="0" w:type="auto"/>
            <w:gridSpan w:val="3"/>
            <w:shd w:val="clear" w:color="auto" w:fill="auto"/>
            <w:vAlign w:val="bottom"/>
          </w:tcPr>
          <w:p w14:paraId="71D40A93" w14:textId="77777777" w:rsidR="006A3667" w:rsidRDefault="006A3667">
            <w:pPr>
              <w:rPr>
                <w:rFonts w:ascii="宋体"/>
                <w:vanish/>
              </w:rPr>
            </w:pPr>
          </w:p>
        </w:tc>
        <w:tc>
          <w:tcPr>
            <w:tcW w:w="0" w:type="auto"/>
            <w:gridSpan w:val="3"/>
            <w:shd w:val="clear" w:color="auto" w:fill="auto"/>
            <w:vAlign w:val="bottom"/>
          </w:tcPr>
          <w:p w14:paraId="71D40A94" w14:textId="77777777" w:rsidR="006A3667" w:rsidRDefault="006A3667">
            <w:pPr>
              <w:rPr>
                <w:rFonts w:ascii="宋体"/>
                <w:vanish/>
              </w:rPr>
            </w:pPr>
          </w:p>
        </w:tc>
        <w:tc>
          <w:tcPr>
            <w:tcW w:w="0" w:type="auto"/>
            <w:gridSpan w:val="3"/>
            <w:shd w:val="clear" w:color="auto" w:fill="auto"/>
            <w:vAlign w:val="bottom"/>
          </w:tcPr>
          <w:p w14:paraId="71D40A95" w14:textId="77777777" w:rsidR="006A3667" w:rsidRDefault="006A3667">
            <w:pPr>
              <w:rPr>
                <w:rFonts w:ascii="宋体"/>
                <w:vanish/>
              </w:rPr>
            </w:pPr>
          </w:p>
        </w:tc>
        <w:tc>
          <w:tcPr>
            <w:tcW w:w="0" w:type="auto"/>
            <w:gridSpan w:val="3"/>
            <w:shd w:val="clear" w:color="auto" w:fill="auto"/>
            <w:vAlign w:val="bottom"/>
          </w:tcPr>
          <w:p w14:paraId="71D40A96" w14:textId="77777777" w:rsidR="006A3667" w:rsidRDefault="006A3667">
            <w:pPr>
              <w:rPr>
                <w:rFonts w:ascii="宋体"/>
                <w:vanish/>
              </w:rPr>
            </w:pPr>
          </w:p>
        </w:tc>
      </w:tr>
      <w:tr w:rsidR="006A3667" w14:paraId="71D40A9E" w14:textId="77777777">
        <w:trPr>
          <w:hidden/>
        </w:trPr>
        <w:tc>
          <w:tcPr>
            <w:tcW w:w="0" w:type="auto"/>
            <w:gridSpan w:val="3"/>
            <w:shd w:val="clear" w:color="auto" w:fill="auto"/>
            <w:vAlign w:val="bottom"/>
          </w:tcPr>
          <w:p w14:paraId="71D40A98" w14:textId="77777777" w:rsidR="006A3667" w:rsidRDefault="006A3667">
            <w:pPr>
              <w:rPr>
                <w:rFonts w:ascii="宋体"/>
                <w:vanish/>
              </w:rPr>
            </w:pPr>
          </w:p>
        </w:tc>
        <w:tc>
          <w:tcPr>
            <w:tcW w:w="0" w:type="auto"/>
            <w:gridSpan w:val="3"/>
            <w:shd w:val="clear" w:color="auto" w:fill="auto"/>
            <w:vAlign w:val="bottom"/>
          </w:tcPr>
          <w:p w14:paraId="71D40A99" w14:textId="77777777" w:rsidR="006A3667" w:rsidRDefault="006A3667">
            <w:pPr>
              <w:rPr>
                <w:rFonts w:ascii="宋体"/>
                <w:vanish/>
              </w:rPr>
            </w:pPr>
          </w:p>
        </w:tc>
        <w:tc>
          <w:tcPr>
            <w:tcW w:w="0" w:type="auto"/>
            <w:gridSpan w:val="3"/>
            <w:shd w:val="clear" w:color="auto" w:fill="auto"/>
            <w:vAlign w:val="bottom"/>
          </w:tcPr>
          <w:p w14:paraId="71D40A9A" w14:textId="77777777" w:rsidR="006A3667" w:rsidRDefault="006A3667">
            <w:pPr>
              <w:rPr>
                <w:rFonts w:ascii="宋体"/>
                <w:vanish/>
              </w:rPr>
            </w:pPr>
          </w:p>
        </w:tc>
        <w:tc>
          <w:tcPr>
            <w:tcW w:w="0" w:type="auto"/>
            <w:gridSpan w:val="3"/>
            <w:shd w:val="clear" w:color="auto" w:fill="auto"/>
            <w:vAlign w:val="bottom"/>
          </w:tcPr>
          <w:p w14:paraId="71D40A9B" w14:textId="77777777" w:rsidR="006A3667" w:rsidRDefault="006A3667">
            <w:pPr>
              <w:rPr>
                <w:rFonts w:ascii="宋体"/>
                <w:vanish/>
              </w:rPr>
            </w:pPr>
          </w:p>
        </w:tc>
        <w:tc>
          <w:tcPr>
            <w:tcW w:w="0" w:type="auto"/>
            <w:gridSpan w:val="3"/>
            <w:shd w:val="clear" w:color="auto" w:fill="auto"/>
            <w:vAlign w:val="bottom"/>
          </w:tcPr>
          <w:p w14:paraId="71D40A9C" w14:textId="77777777" w:rsidR="006A3667" w:rsidRDefault="006A3667">
            <w:pPr>
              <w:rPr>
                <w:rFonts w:ascii="宋体"/>
                <w:vanish/>
              </w:rPr>
            </w:pPr>
          </w:p>
        </w:tc>
        <w:tc>
          <w:tcPr>
            <w:tcW w:w="0" w:type="auto"/>
            <w:gridSpan w:val="3"/>
            <w:shd w:val="clear" w:color="auto" w:fill="auto"/>
            <w:vAlign w:val="bottom"/>
          </w:tcPr>
          <w:p w14:paraId="71D40A9D" w14:textId="77777777" w:rsidR="006A3667" w:rsidRDefault="006A3667">
            <w:pPr>
              <w:rPr>
                <w:rFonts w:ascii="宋体"/>
                <w:vanish/>
              </w:rPr>
            </w:pPr>
          </w:p>
        </w:tc>
      </w:tr>
      <w:tr w:rsidR="006A3667" w14:paraId="71D40AA5" w14:textId="77777777">
        <w:trPr>
          <w:hidden/>
        </w:trPr>
        <w:tc>
          <w:tcPr>
            <w:tcW w:w="0" w:type="auto"/>
            <w:gridSpan w:val="3"/>
            <w:shd w:val="clear" w:color="auto" w:fill="auto"/>
            <w:vAlign w:val="bottom"/>
          </w:tcPr>
          <w:p w14:paraId="71D40A9F" w14:textId="77777777" w:rsidR="006A3667" w:rsidRDefault="006A3667">
            <w:pPr>
              <w:rPr>
                <w:rFonts w:ascii="宋体"/>
                <w:vanish/>
              </w:rPr>
            </w:pPr>
          </w:p>
        </w:tc>
        <w:tc>
          <w:tcPr>
            <w:tcW w:w="0" w:type="auto"/>
            <w:gridSpan w:val="3"/>
            <w:shd w:val="clear" w:color="auto" w:fill="auto"/>
            <w:vAlign w:val="bottom"/>
          </w:tcPr>
          <w:p w14:paraId="71D40AA0" w14:textId="77777777" w:rsidR="006A3667" w:rsidRDefault="006A3667">
            <w:pPr>
              <w:rPr>
                <w:rFonts w:ascii="宋体"/>
                <w:vanish/>
              </w:rPr>
            </w:pPr>
          </w:p>
        </w:tc>
        <w:tc>
          <w:tcPr>
            <w:tcW w:w="0" w:type="auto"/>
            <w:gridSpan w:val="3"/>
            <w:shd w:val="clear" w:color="auto" w:fill="auto"/>
            <w:vAlign w:val="bottom"/>
          </w:tcPr>
          <w:p w14:paraId="71D40AA1" w14:textId="77777777" w:rsidR="006A3667" w:rsidRDefault="006A3667">
            <w:pPr>
              <w:rPr>
                <w:rFonts w:ascii="宋体"/>
                <w:vanish/>
              </w:rPr>
            </w:pPr>
          </w:p>
        </w:tc>
        <w:tc>
          <w:tcPr>
            <w:tcW w:w="0" w:type="auto"/>
            <w:gridSpan w:val="3"/>
            <w:shd w:val="clear" w:color="auto" w:fill="auto"/>
            <w:vAlign w:val="bottom"/>
          </w:tcPr>
          <w:p w14:paraId="71D40AA2" w14:textId="77777777" w:rsidR="006A3667" w:rsidRDefault="006A3667">
            <w:pPr>
              <w:rPr>
                <w:rFonts w:ascii="宋体"/>
                <w:vanish/>
              </w:rPr>
            </w:pPr>
          </w:p>
        </w:tc>
        <w:tc>
          <w:tcPr>
            <w:tcW w:w="0" w:type="auto"/>
            <w:gridSpan w:val="3"/>
            <w:shd w:val="clear" w:color="auto" w:fill="auto"/>
            <w:vAlign w:val="bottom"/>
          </w:tcPr>
          <w:p w14:paraId="71D40AA3" w14:textId="77777777" w:rsidR="006A3667" w:rsidRDefault="006A3667">
            <w:pPr>
              <w:rPr>
                <w:rFonts w:ascii="宋体"/>
                <w:vanish/>
              </w:rPr>
            </w:pPr>
          </w:p>
        </w:tc>
        <w:tc>
          <w:tcPr>
            <w:tcW w:w="0" w:type="auto"/>
            <w:gridSpan w:val="3"/>
            <w:shd w:val="clear" w:color="auto" w:fill="auto"/>
            <w:vAlign w:val="bottom"/>
          </w:tcPr>
          <w:p w14:paraId="71D40AA4" w14:textId="77777777" w:rsidR="006A3667" w:rsidRDefault="006A3667">
            <w:pPr>
              <w:rPr>
                <w:rFonts w:ascii="宋体"/>
                <w:vanish/>
              </w:rPr>
            </w:pPr>
          </w:p>
        </w:tc>
      </w:tr>
      <w:tr w:rsidR="006A3667" w14:paraId="71D40AAC" w14:textId="77777777">
        <w:trPr>
          <w:hidden/>
        </w:trPr>
        <w:tc>
          <w:tcPr>
            <w:tcW w:w="0" w:type="auto"/>
            <w:gridSpan w:val="3"/>
            <w:shd w:val="clear" w:color="auto" w:fill="auto"/>
            <w:vAlign w:val="bottom"/>
          </w:tcPr>
          <w:p w14:paraId="71D40AA6" w14:textId="77777777" w:rsidR="006A3667" w:rsidRDefault="006A3667">
            <w:pPr>
              <w:rPr>
                <w:rFonts w:ascii="宋体"/>
                <w:vanish/>
              </w:rPr>
            </w:pPr>
          </w:p>
        </w:tc>
        <w:tc>
          <w:tcPr>
            <w:tcW w:w="0" w:type="auto"/>
            <w:gridSpan w:val="3"/>
            <w:shd w:val="clear" w:color="auto" w:fill="auto"/>
            <w:vAlign w:val="bottom"/>
          </w:tcPr>
          <w:p w14:paraId="71D40AA7" w14:textId="77777777" w:rsidR="006A3667" w:rsidRDefault="006A3667">
            <w:pPr>
              <w:rPr>
                <w:rFonts w:ascii="宋体"/>
                <w:vanish/>
              </w:rPr>
            </w:pPr>
          </w:p>
        </w:tc>
        <w:tc>
          <w:tcPr>
            <w:tcW w:w="0" w:type="auto"/>
            <w:gridSpan w:val="3"/>
            <w:shd w:val="clear" w:color="auto" w:fill="auto"/>
            <w:vAlign w:val="bottom"/>
          </w:tcPr>
          <w:p w14:paraId="71D40AA8" w14:textId="77777777" w:rsidR="006A3667" w:rsidRDefault="006A3667">
            <w:pPr>
              <w:rPr>
                <w:rFonts w:ascii="宋体"/>
                <w:vanish/>
              </w:rPr>
            </w:pPr>
          </w:p>
        </w:tc>
        <w:tc>
          <w:tcPr>
            <w:tcW w:w="0" w:type="auto"/>
            <w:gridSpan w:val="3"/>
            <w:shd w:val="clear" w:color="auto" w:fill="auto"/>
            <w:vAlign w:val="bottom"/>
          </w:tcPr>
          <w:p w14:paraId="71D40AA9" w14:textId="77777777" w:rsidR="006A3667" w:rsidRDefault="006A3667">
            <w:pPr>
              <w:rPr>
                <w:rFonts w:ascii="宋体"/>
                <w:vanish/>
              </w:rPr>
            </w:pPr>
          </w:p>
        </w:tc>
        <w:tc>
          <w:tcPr>
            <w:tcW w:w="0" w:type="auto"/>
            <w:gridSpan w:val="3"/>
            <w:shd w:val="clear" w:color="auto" w:fill="auto"/>
            <w:vAlign w:val="bottom"/>
          </w:tcPr>
          <w:p w14:paraId="71D40AAA" w14:textId="77777777" w:rsidR="006A3667" w:rsidRDefault="006A3667">
            <w:pPr>
              <w:rPr>
                <w:rFonts w:ascii="宋体"/>
                <w:vanish/>
              </w:rPr>
            </w:pPr>
          </w:p>
        </w:tc>
        <w:tc>
          <w:tcPr>
            <w:tcW w:w="0" w:type="auto"/>
            <w:gridSpan w:val="3"/>
            <w:shd w:val="clear" w:color="auto" w:fill="auto"/>
            <w:vAlign w:val="bottom"/>
          </w:tcPr>
          <w:p w14:paraId="71D40AAB" w14:textId="77777777" w:rsidR="006A3667" w:rsidRDefault="006A3667">
            <w:pPr>
              <w:rPr>
                <w:rFonts w:ascii="宋体"/>
                <w:vanish/>
              </w:rPr>
            </w:pPr>
          </w:p>
        </w:tc>
      </w:tr>
      <w:tr w:rsidR="006A3667" w14:paraId="71D40AB3" w14:textId="77777777">
        <w:trPr>
          <w:hidden/>
        </w:trPr>
        <w:tc>
          <w:tcPr>
            <w:tcW w:w="0" w:type="auto"/>
            <w:gridSpan w:val="3"/>
            <w:shd w:val="clear" w:color="auto" w:fill="auto"/>
            <w:vAlign w:val="bottom"/>
          </w:tcPr>
          <w:p w14:paraId="71D40AAD" w14:textId="77777777" w:rsidR="006A3667" w:rsidRDefault="006A3667">
            <w:pPr>
              <w:rPr>
                <w:rFonts w:ascii="宋体"/>
                <w:vanish/>
              </w:rPr>
            </w:pPr>
          </w:p>
        </w:tc>
        <w:tc>
          <w:tcPr>
            <w:tcW w:w="0" w:type="auto"/>
            <w:gridSpan w:val="3"/>
            <w:shd w:val="clear" w:color="auto" w:fill="auto"/>
            <w:vAlign w:val="bottom"/>
          </w:tcPr>
          <w:p w14:paraId="71D40AAE" w14:textId="77777777" w:rsidR="006A3667" w:rsidRDefault="006A3667">
            <w:pPr>
              <w:rPr>
                <w:rFonts w:ascii="宋体"/>
                <w:vanish/>
              </w:rPr>
            </w:pPr>
          </w:p>
        </w:tc>
        <w:tc>
          <w:tcPr>
            <w:tcW w:w="0" w:type="auto"/>
            <w:gridSpan w:val="3"/>
            <w:shd w:val="clear" w:color="auto" w:fill="auto"/>
            <w:vAlign w:val="bottom"/>
          </w:tcPr>
          <w:p w14:paraId="71D40AAF" w14:textId="77777777" w:rsidR="006A3667" w:rsidRDefault="006A3667">
            <w:pPr>
              <w:rPr>
                <w:rFonts w:ascii="宋体"/>
                <w:vanish/>
              </w:rPr>
            </w:pPr>
          </w:p>
        </w:tc>
        <w:tc>
          <w:tcPr>
            <w:tcW w:w="0" w:type="auto"/>
            <w:gridSpan w:val="3"/>
            <w:shd w:val="clear" w:color="auto" w:fill="auto"/>
            <w:vAlign w:val="bottom"/>
          </w:tcPr>
          <w:p w14:paraId="71D40AB0" w14:textId="77777777" w:rsidR="006A3667" w:rsidRDefault="006A3667">
            <w:pPr>
              <w:rPr>
                <w:rFonts w:ascii="宋体"/>
                <w:vanish/>
              </w:rPr>
            </w:pPr>
          </w:p>
        </w:tc>
        <w:tc>
          <w:tcPr>
            <w:tcW w:w="0" w:type="auto"/>
            <w:gridSpan w:val="3"/>
            <w:shd w:val="clear" w:color="auto" w:fill="auto"/>
            <w:vAlign w:val="bottom"/>
          </w:tcPr>
          <w:p w14:paraId="71D40AB1" w14:textId="77777777" w:rsidR="006A3667" w:rsidRDefault="006A3667">
            <w:pPr>
              <w:rPr>
                <w:rFonts w:ascii="宋体"/>
                <w:vanish/>
              </w:rPr>
            </w:pPr>
          </w:p>
        </w:tc>
        <w:tc>
          <w:tcPr>
            <w:tcW w:w="0" w:type="auto"/>
            <w:gridSpan w:val="3"/>
            <w:shd w:val="clear" w:color="auto" w:fill="auto"/>
            <w:vAlign w:val="bottom"/>
          </w:tcPr>
          <w:p w14:paraId="71D40AB2" w14:textId="77777777" w:rsidR="006A3667" w:rsidRDefault="006A3667">
            <w:pPr>
              <w:rPr>
                <w:rFonts w:ascii="宋体"/>
                <w:vanish/>
              </w:rPr>
            </w:pPr>
          </w:p>
        </w:tc>
      </w:tr>
    </w:tbl>
    <w:p w14:paraId="71D40AB4"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6A3667" w14:paraId="71D40AC0" w14:textId="77777777">
        <w:tc>
          <w:tcPr>
            <w:tcW w:w="50" w:type="pct"/>
            <w:shd w:val="clear" w:color="auto" w:fill="auto"/>
            <w:vAlign w:val="bottom"/>
          </w:tcPr>
          <w:p w14:paraId="71D40AB5" w14:textId="77777777" w:rsidR="006A3667" w:rsidRDefault="006A3667">
            <w:pPr>
              <w:rPr>
                <w:rFonts w:ascii="宋体"/>
              </w:rPr>
            </w:pPr>
          </w:p>
        </w:tc>
        <w:tc>
          <w:tcPr>
            <w:tcW w:w="2374" w:type="pct"/>
            <w:shd w:val="clear" w:color="auto" w:fill="auto"/>
            <w:vAlign w:val="bottom"/>
          </w:tcPr>
          <w:p w14:paraId="71D40AB6" w14:textId="77777777" w:rsidR="006A3667" w:rsidRDefault="006A3667">
            <w:pPr>
              <w:rPr>
                <w:rFonts w:ascii="宋体"/>
              </w:rPr>
            </w:pPr>
          </w:p>
        </w:tc>
        <w:tc>
          <w:tcPr>
            <w:tcW w:w="5" w:type="pct"/>
            <w:shd w:val="clear" w:color="auto" w:fill="auto"/>
            <w:vAlign w:val="bottom"/>
          </w:tcPr>
          <w:p w14:paraId="71D40AB7" w14:textId="77777777" w:rsidR="006A3667" w:rsidRDefault="006A3667">
            <w:pPr>
              <w:rPr>
                <w:rFonts w:ascii="宋体"/>
              </w:rPr>
            </w:pPr>
          </w:p>
        </w:tc>
        <w:tc>
          <w:tcPr>
            <w:tcW w:w="50" w:type="pct"/>
            <w:shd w:val="clear" w:color="auto" w:fill="auto"/>
            <w:vAlign w:val="bottom"/>
          </w:tcPr>
          <w:p w14:paraId="71D40AB8" w14:textId="77777777" w:rsidR="006A3667" w:rsidRDefault="006A3667">
            <w:pPr>
              <w:rPr>
                <w:rFonts w:ascii="宋体"/>
              </w:rPr>
            </w:pPr>
          </w:p>
        </w:tc>
        <w:tc>
          <w:tcPr>
            <w:tcW w:w="1010" w:type="pct"/>
            <w:shd w:val="clear" w:color="auto" w:fill="auto"/>
            <w:vAlign w:val="bottom"/>
          </w:tcPr>
          <w:p w14:paraId="71D40AB9" w14:textId="77777777" w:rsidR="006A3667" w:rsidRDefault="006A3667">
            <w:pPr>
              <w:rPr>
                <w:rFonts w:ascii="宋体"/>
              </w:rPr>
            </w:pPr>
          </w:p>
        </w:tc>
        <w:tc>
          <w:tcPr>
            <w:tcW w:w="5" w:type="pct"/>
            <w:shd w:val="clear" w:color="auto" w:fill="auto"/>
            <w:vAlign w:val="bottom"/>
          </w:tcPr>
          <w:p w14:paraId="71D40ABA" w14:textId="77777777" w:rsidR="006A3667" w:rsidRDefault="006A3667">
            <w:pPr>
              <w:rPr>
                <w:rFonts w:ascii="宋体"/>
              </w:rPr>
            </w:pPr>
          </w:p>
        </w:tc>
        <w:tc>
          <w:tcPr>
            <w:tcW w:w="50" w:type="pct"/>
            <w:shd w:val="clear" w:color="auto" w:fill="auto"/>
            <w:vAlign w:val="bottom"/>
          </w:tcPr>
          <w:p w14:paraId="71D40ABB" w14:textId="77777777" w:rsidR="006A3667" w:rsidRDefault="006A3667">
            <w:pPr>
              <w:rPr>
                <w:rFonts w:ascii="宋体"/>
              </w:rPr>
            </w:pPr>
          </w:p>
        </w:tc>
        <w:tc>
          <w:tcPr>
            <w:tcW w:w="1449" w:type="pct"/>
            <w:shd w:val="clear" w:color="auto" w:fill="auto"/>
            <w:vAlign w:val="bottom"/>
          </w:tcPr>
          <w:p w14:paraId="71D40ABC" w14:textId="77777777" w:rsidR="006A3667" w:rsidRDefault="006A3667">
            <w:pPr>
              <w:rPr>
                <w:rFonts w:ascii="宋体"/>
              </w:rPr>
            </w:pPr>
          </w:p>
        </w:tc>
        <w:tc>
          <w:tcPr>
            <w:tcW w:w="5" w:type="pct"/>
            <w:shd w:val="clear" w:color="auto" w:fill="auto"/>
            <w:vAlign w:val="bottom"/>
          </w:tcPr>
          <w:p w14:paraId="71D40ABD" w14:textId="77777777" w:rsidR="006A3667" w:rsidRDefault="006A3667">
            <w:pPr>
              <w:rPr>
                <w:rFonts w:ascii="宋体"/>
              </w:rPr>
            </w:pPr>
          </w:p>
        </w:tc>
        <w:tc>
          <w:tcPr>
            <w:tcW w:w="0" w:type="auto"/>
            <w:shd w:val="clear" w:color="auto" w:fill="auto"/>
            <w:vAlign w:val="bottom"/>
          </w:tcPr>
          <w:p w14:paraId="71D40ABE" w14:textId="77777777" w:rsidR="006A3667" w:rsidRDefault="006A3667">
            <w:pPr>
              <w:rPr>
                <w:rFonts w:ascii="宋体"/>
                <w:vanish/>
              </w:rPr>
            </w:pPr>
          </w:p>
        </w:tc>
        <w:tc>
          <w:tcPr>
            <w:tcW w:w="0" w:type="auto"/>
            <w:shd w:val="clear" w:color="auto" w:fill="auto"/>
            <w:vAlign w:val="bottom"/>
          </w:tcPr>
          <w:p w14:paraId="71D40ABF" w14:textId="77777777" w:rsidR="006A3667" w:rsidRDefault="006A3667">
            <w:pPr>
              <w:rPr>
                <w:rFonts w:ascii="宋体"/>
                <w:vanish/>
              </w:rPr>
            </w:pPr>
          </w:p>
        </w:tc>
      </w:tr>
      <w:tr w:rsidR="006A3667" w14:paraId="71D40AC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AC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AC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AC3" w14:textId="77777777" w:rsidR="006A3667" w:rsidRDefault="006A3667">
            <w:pPr>
              <w:rPr>
                <w:rFonts w:ascii="宋体"/>
              </w:rPr>
            </w:pPr>
          </w:p>
        </w:tc>
        <w:tc>
          <w:tcPr>
            <w:tcW w:w="0" w:type="auto"/>
            <w:shd w:val="clear" w:color="auto" w:fill="auto"/>
            <w:vAlign w:val="bottom"/>
          </w:tcPr>
          <w:p w14:paraId="71D40AC4" w14:textId="77777777" w:rsidR="006A3667" w:rsidRDefault="006A3667">
            <w:pPr>
              <w:rPr>
                <w:rFonts w:ascii="宋体"/>
                <w:vanish/>
              </w:rPr>
            </w:pPr>
          </w:p>
        </w:tc>
        <w:tc>
          <w:tcPr>
            <w:tcW w:w="0" w:type="auto"/>
            <w:shd w:val="clear" w:color="auto" w:fill="auto"/>
            <w:vAlign w:val="bottom"/>
          </w:tcPr>
          <w:p w14:paraId="71D40AC5" w14:textId="77777777" w:rsidR="006A3667" w:rsidRDefault="006A3667">
            <w:pPr>
              <w:rPr>
                <w:rFonts w:ascii="宋体"/>
                <w:vanish/>
              </w:rPr>
            </w:pPr>
          </w:p>
        </w:tc>
      </w:tr>
    </w:tbl>
    <w:p w14:paraId="71D40AC7" w14:textId="77777777" w:rsidR="006A3667" w:rsidRDefault="00045F32">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Cross-border outstandings included countries in which we do business, and which amounted to at least</w:t>
      </w:r>
      <w:r>
        <w:rPr>
          <w:rFonts w:ascii="Arial" w:eastAsia="宋体" w:hAnsi="Arial" w:cs="Arial"/>
          <w:color w:val="000000"/>
          <w:sz w:val="13"/>
          <w:szCs w:val="13"/>
          <w:shd w:val="clear" w:color="auto" w:fill="FFFFFF"/>
        </w:rPr>
        <w:t xml:space="preserve"> 1% </w:t>
      </w:r>
      <w:r>
        <w:rPr>
          <w:rFonts w:ascii="Arial" w:eastAsia="宋体" w:hAnsi="Arial" w:cs="Arial"/>
          <w:color w:val="000000"/>
          <w:sz w:val="13"/>
          <w:szCs w:val="13"/>
        </w:rPr>
        <w:t>of our consolidated total assets as of the dates indicated.</w:t>
      </w:r>
    </w:p>
    <w:p w14:paraId="71D40AC8" w14:textId="77777777" w:rsidR="006A3667" w:rsidRDefault="00045F32">
      <w:pPr>
        <w:spacing w:before="60"/>
        <w:ind w:firstLine="450"/>
        <w:jc w:val="both"/>
        <w:textAlignment w:val="top"/>
      </w:pPr>
      <w:r>
        <w:rPr>
          <w:rFonts w:ascii="Arial" w:eastAsia="宋体" w:hAnsi="Arial" w:cs="Arial"/>
          <w:color w:val="000000"/>
          <w:sz w:val="20"/>
          <w:szCs w:val="20"/>
        </w:rPr>
        <w:t xml:space="preserve">As of September 30, 2022, there were </w:t>
      </w:r>
      <w:r>
        <w:rPr>
          <w:rFonts w:ascii="Arial" w:eastAsia="宋体" w:hAnsi="Arial" w:cs="Arial"/>
          <w:color w:val="000000"/>
          <w:sz w:val="20"/>
          <w:szCs w:val="20"/>
          <w:shd w:val="clear" w:color="auto" w:fill="FFFFFF"/>
        </w:rPr>
        <w:t>no</w:t>
      </w:r>
      <w:r>
        <w:rPr>
          <w:rFonts w:ascii="Arial" w:eastAsia="宋体" w:hAnsi="Arial" w:cs="Arial"/>
          <w:color w:val="000000"/>
          <w:sz w:val="20"/>
          <w:szCs w:val="20"/>
        </w:rPr>
        <w:t xml:space="preserve"> countries whose aggregate cross-border outstandings amounted to between 0.75% and 1% of our consolidated assets. As of December 31, 2021, aggregate cross-border outstandings in France amounted to between 0.75% and 1%</w:t>
      </w:r>
      <w:r>
        <w:rPr>
          <w:rFonts w:ascii="Arial" w:eastAsia="宋体" w:hAnsi="Arial" w:cs="Arial"/>
          <w:color w:val="000000"/>
          <w:sz w:val="20"/>
          <w:szCs w:val="20"/>
        </w:rPr>
        <w:t xml:space="preserve"> of our consolidated total assets, at approximately </w:t>
      </w:r>
      <w:r>
        <w:rPr>
          <w:rFonts w:ascii="Arial" w:eastAsia="宋体" w:hAnsi="Arial" w:cs="Arial"/>
          <w:color w:val="000000"/>
          <w:sz w:val="20"/>
          <w:szCs w:val="20"/>
          <w:shd w:val="clear" w:color="auto" w:fill="FFFFFF"/>
        </w:rPr>
        <w:t>$2.83 billion.</w:t>
      </w:r>
    </w:p>
    <w:p w14:paraId="71D40AC9" w14:textId="77777777" w:rsidR="006A3667" w:rsidRDefault="00045F32">
      <w:pPr>
        <w:spacing w:before="90"/>
        <w:textAlignment w:val="top"/>
      </w:pPr>
      <w:r>
        <w:rPr>
          <w:rFonts w:ascii="Arial" w:eastAsia="宋体" w:hAnsi="Arial" w:cs="Arial"/>
          <w:b/>
          <w:bCs/>
          <w:color w:val="000000"/>
          <w:sz w:val="20"/>
          <w:szCs w:val="20"/>
        </w:rPr>
        <w:t>Risk Management</w:t>
      </w:r>
    </w:p>
    <w:p w14:paraId="71D40ACA" w14:textId="77777777" w:rsidR="006A3667" w:rsidRDefault="00045F32">
      <w:pPr>
        <w:spacing w:before="60"/>
        <w:ind w:firstLine="450"/>
        <w:jc w:val="both"/>
        <w:textAlignment w:val="top"/>
      </w:pPr>
      <w:r>
        <w:rPr>
          <w:rFonts w:ascii="Arial" w:eastAsia="宋体" w:hAnsi="Arial" w:cs="Arial"/>
          <w:color w:val="000000"/>
          <w:sz w:val="20"/>
          <w:szCs w:val="20"/>
        </w:rPr>
        <w:t>In the normal course of our global business activities, we are exposed to a variety of risks, some inherent in the financial services industry, others more specific to our b</w:t>
      </w:r>
      <w:r>
        <w:rPr>
          <w:rFonts w:ascii="Arial" w:eastAsia="宋体" w:hAnsi="Arial" w:cs="Arial"/>
          <w:color w:val="000000"/>
          <w:sz w:val="20"/>
          <w:szCs w:val="20"/>
        </w:rPr>
        <w:t>usiness activities. Our risk management framework focuses on material risks, which include the following:</w:t>
      </w:r>
    </w:p>
    <w:p w14:paraId="71D40ACB" w14:textId="77777777" w:rsidR="006A3667" w:rsidRDefault="00045F32">
      <w:pPr>
        <w:spacing w:before="60"/>
        <w:ind w:hanging="360"/>
        <w:jc w:val="both"/>
        <w:textAlignment w:val="top"/>
      </w:pPr>
      <w:r>
        <w:rPr>
          <w:rFonts w:ascii="Arial" w:eastAsia="宋体" w:hAnsi="Arial" w:cs="Arial"/>
          <w:color w:val="000000"/>
          <w:sz w:val="20"/>
          <w:szCs w:val="20"/>
        </w:rPr>
        <w:t>•credit and counterparty risk;</w:t>
      </w:r>
    </w:p>
    <w:p w14:paraId="71D40ACC" w14:textId="77777777" w:rsidR="006A3667" w:rsidRDefault="00045F32">
      <w:pPr>
        <w:spacing w:before="60"/>
        <w:ind w:hanging="360"/>
        <w:jc w:val="both"/>
        <w:textAlignment w:val="top"/>
      </w:pPr>
      <w:r>
        <w:rPr>
          <w:rFonts w:ascii="Arial" w:eastAsia="宋体" w:hAnsi="Arial" w:cs="Arial"/>
          <w:color w:val="000000"/>
          <w:sz w:val="20"/>
          <w:szCs w:val="20"/>
        </w:rPr>
        <w:t xml:space="preserve">•liquidity risk, funding and management; </w:t>
      </w:r>
    </w:p>
    <w:p w14:paraId="71D40ACD" w14:textId="77777777" w:rsidR="006A3667" w:rsidRDefault="00045F32">
      <w:pPr>
        <w:spacing w:before="60"/>
        <w:ind w:hanging="360"/>
        <w:jc w:val="both"/>
        <w:textAlignment w:val="top"/>
      </w:pPr>
      <w:r>
        <w:rPr>
          <w:rFonts w:ascii="Arial" w:eastAsia="宋体" w:hAnsi="Arial" w:cs="Arial"/>
          <w:color w:val="000000"/>
          <w:sz w:val="20"/>
          <w:szCs w:val="20"/>
        </w:rPr>
        <w:t>•operational risk;</w:t>
      </w:r>
    </w:p>
    <w:p w14:paraId="71D40ACE" w14:textId="77777777" w:rsidR="006A3667" w:rsidRDefault="00045F32">
      <w:pPr>
        <w:spacing w:before="60"/>
        <w:ind w:hanging="360"/>
        <w:jc w:val="both"/>
        <w:textAlignment w:val="top"/>
      </w:pPr>
      <w:r>
        <w:rPr>
          <w:rFonts w:ascii="Arial" w:eastAsia="宋体" w:hAnsi="Arial" w:cs="Arial"/>
          <w:color w:val="000000"/>
          <w:sz w:val="20"/>
          <w:szCs w:val="20"/>
        </w:rPr>
        <w:t>•information technology risk;</w:t>
      </w:r>
    </w:p>
    <w:p w14:paraId="71D40ACF" w14:textId="77777777" w:rsidR="006A3667" w:rsidRDefault="00045F32">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32</w:t>
      </w:r>
    </w:p>
    <w:p w14:paraId="71D40AD0" w14:textId="77777777" w:rsidR="006A3667" w:rsidRDefault="006A3667">
      <w:pPr>
        <w:ind w:firstLine="450"/>
        <w:jc w:val="center"/>
      </w:pPr>
    </w:p>
    <w:p w14:paraId="71D40AD1" w14:textId="77777777" w:rsidR="006A3667" w:rsidRDefault="00045F32">
      <w:r>
        <w:pict w14:anchorId="71D4AC34">
          <v:rect id="_x0000_i1056" style="width:415.3pt;height:1.5pt" o:hralign="center" o:hrstd="t" o:hr="t" fillcolor="#a0a0a0" stroked="f"/>
        </w:pict>
      </w:r>
    </w:p>
    <w:p w14:paraId="71D40AD2"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AD3" w14:textId="77777777" w:rsidR="006A3667" w:rsidRDefault="00045F32">
      <w:pPr>
        <w:ind w:firstLine="450"/>
        <w:jc w:val="center"/>
      </w:pPr>
      <w:r>
        <w:rPr>
          <w:rFonts w:ascii="Arial" w:eastAsia="宋体" w:hAnsi="Arial" w:cs="Arial"/>
          <w:b/>
          <w:bCs/>
          <w:color w:val="000000"/>
          <w:sz w:val="20"/>
          <w:szCs w:val="20"/>
        </w:rPr>
        <w:t>AND RESULTS OF OPERATIONS</w:t>
      </w:r>
    </w:p>
    <w:p w14:paraId="71D40AD4" w14:textId="77777777" w:rsidR="006A3667" w:rsidRDefault="00045F32">
      <w:pPr>
        <w:spacing w:before="60"/>
        <w:ind w:hanging="360"/>
        <w:jc w:val="both"/>
        <w:textAlignment w:val="top"/>
      </w:pPr>
      <w:r>
        <w:rPr>
          <w:rFonts w:ascii="Arial" w:eastAsia="宋体" w:hAnsi="Arial" w:cs="Arial"/>
          <w:color w:val="000000"/>
          <w:sz w:val="20"/>
          <w:szCs w:val="20"/>
        </w:rPr>
        <w:t>•market risk associated with our trading activities;</w:t>
      </w:r>
    </w:p>
    <w:p w14:paraId="71D40AD5" w14:textId="77777777" w:rsidR="006A3667" w:rsidRDefault="00045F32">
      <w:pPr>
        <w:spacing w:before="60"/>
        <w:ind w:hanging="360"/>
        <w:jc w:val="both"/>
        <w:textAlignment w:val="top"/>
      </w:pPr>
      <w:r>
        <w:rPr>
          <w:rFonts w:ascii="Arial" w:eastAsia="宋体" w:hAnsi="Arial" w:cs="Arial"/>
          <w:color w:val="000000"/>
          <w:sz w:val="20"/>
          <w:szCs w:val="20"/>
        </w:rPr>
        <w:t xml:space="preserve">•market risk associated with our non-trading activities, which we refer to as asset-and-liability management, and which consists primarily of interest rate risk; </w:t>
      </w:r>
    </w:p>
    <w:p w14:paraId="71D40AD6" w14:textId="77777777" w:rsidR="006A3667" w:rsidRDefault="00045F32">
      <w:pPr>
        <w:spacing w:before="60"/>
        <w:ind w:hanging="360"/>
        <w:jc w:val="both"/>
        <w:textAlignment w:val="top"/>
      </w:pPr>
      <w:r>
        <w:rPr>
          <w:rFonts w:ascii="Arial" w:eastAsia="宋体" w:hAnsi="Arial" w:cs="Arial"/>
          <w:color w:val="000000"/>
          <w:sz w:val="20"/>
          <w:szCs w:val="20"/>
        </w:rPr>
        <w:t xml:space="preserve">•model risk; </w:t>
      </w:r>
    </w:p>
    <w:p w14:paraId="71D40AD7" w14:textId="77777777" w:rsidR="006A3667" w:rsidRDefault="00045F32">
      <w:pPr>
        <w:spacing w:before="60"/>
        <w:ind w:hanging="360"/>
        <w:jc w:val="both"/>
        <w:textAlignment w:val="top"/>
      </w:pPr>
      <w:r>
        <w:rPr>
          <w:rFonts w:ascii="Arial" w:eastAsia="宋体" w:hAnsi="Arial" w:cs="Arial"/>
          <w:color w:val="000000"/>
          <w:sz w:val="20"/>
          <w:szCs w:val="20"/>
        </w:rPr>
        <w:t>•strategic risk; and</w:t>
      </w:r>
    </w:p>
    <w:p w14:paraId="71D40AD8" w14:textId="77777777" w:rsidR="006A3667" w:rsidRDefault="00045F32">
      <w:pPr>
        <w:spacing w:before="60"/>
        <w:ind w:hanging="360"/>
        <w:jc w:val="both"/>
        <w:textAlignment w:val="top"/>
      </w:pPr>
      <w:r>
        <w:rPr>
          <w:rFonts w:ascii="Arial" w:eastAsia="宋体" w:hAnsi="Arial" w:cs="Arial"/>
          <w:color w:val="000000"/>
          <w:sz w:val="20"/>
          <w:szCs w:val="20"/>
        </w:rPr>
        <w:t xml:space="preserve">•reputational, fiduciary and business conduct risk. </w:t>
      </w:r>
    </w:p>
    <w:p w14:paraId="71D40AD9" w14:textId="77777777" w:rsidR="006A3667" w:rsidRDefault="00045F32">
      <w:pPr>
        <w:spacing w:before="60"/>
        <w:ind w:firstLine="450"/>
        <w:jc w:val="both"/>
        <w:textAlignment w:val="top"/>
      </w:pPr>
      <w:r>
        <w:rPr>
          <w:rFonts w:ascii="Arial" w:eastAsia="宋体" w:hAnsi="Arial" w:cs="Arial"/>
          <w:color w:val="000000"/>
          <w:sz w:val="20"/>
          <w:szCs w:val="20"/>
        </w:rPr>
        <w:t xml:space="preserve">Many </w:t>
      </w:r>
      <w:r>
        <w:rPr>
          <w:rFonts w:ascii="Arial" w:eastAsia="宋体" w:hAnsi="Arial" w:cs="Arial"/>
          <w:color w:val="000000"/>
          <w:sz w:val="20"/>
          <w:szCs w:val="20"/>
        </w:rPr>
        <w:t>of these risks, as well as certain factors underlying each of these risks that could affect our businesses and our consolidated financial statements, are discussed in detail on pages 23 to 51 included under Item 1A, Risk Factors, in our 2021 Form 10-K.</w:t>
      </w:r>
    </w:p>
    <w:p w14:paraId="71D40ADA" w14:textId="77777777" w:rsidR="006A3667" w:rsidRDefault="00045F32">
      <w:pPr>
        <w:spacing w:before="60"/>
        <w:ind w:firstLine="450"/>
        <w:jc w:val="both"/>
        <w:textAlignment w:val="top"/>
      </w:pPr>
      <w:r>
        <w:rPr>
          <w:rFonts w:ascii="Arial" w:eastAsia="宋体" w:hAnsi="Arial" w:cs="Arial"/>
          <w:color w:val="000000"/>
          <w:sz w:val="20"/>
          <w:szCs w:val="20"/>
        </w:rPr>
        <w:t>For</w:t>
      </w:r>
      <w:r>
        <w:rPr>
          <w:rFonts w:ascii="Arial" w:eastAsia="宋体" w:hAnsi="Arial" w:cs="Arial"/>
          <w:color w:val="000000"/>
          <w:sz w:val="20"/>
          <w:szCs w:val="20"/>
        </w:rPr>
        <w:t xml:space="preserve"> additional information about our risk management, including our risk appetite framework and risk governance committee structure, refer to pages 83 to 88 included under Item 7, Management's Discussion and Analysis of Financial Condition and Results of Oper</w:t>
      </w:r>
      <w:r>
        <w:rPr>
          <w:rFonts w:ascii="Arial" w:eastAsia="宋体" w:hAnsi="Arial" w:cs="Arial"/>
          <w:color w:val="000000"/>
          <w:sz w:val="20"/>
          <w:szCs w:val="20"/>
        </w:rPr>
        <w:t>ations, Risk Management, in our 2021 Form 10-K.</w:t>
      </w:r>
    </w:p>
    <w:p w14:paraId="71D40ADB" w14:textId="77777777" w:rsidR="006A3667" w:rsidRDefault="00045F32">
      <w:pPr>
        <w:spacing w:before="90"/>
        <w:textAlignment w:val="top"/>
      </w:pPr>
      <w:r>
        <w:rPr>
          <w:rFonts w:ascii="Arial" w:eastAsia="宋体" w:hAnsi="Arial" w:cs="Arial"/>
          <w:b/>
          <w:bCs/>
          <w:color w:val="000000"/>
          <w:sz w:val="20"/>
          <w:szCs w:val="20"/>
        </w:rPr>
        <w:t>Credit Risk Management</w:t>
      </w:r>
    </w:p>
    <w:p w14:paraId="71D40ADC" w14:textId="77777777" w:rsidR="006A3667" w:rsidRDefault="00045F32">
      <w:pPr>
        <w:spacing w:before="60"/>
        <w:ind w:firstLine="450"/>
        <w:jc w:val="both"/>
        <w:textAlignment w:val="top"/>
      </w:pPr>
      <w:r>
        <w:rPr>
          <w:rFonts w:ascii="Arial" w:eastAsia="宋体" w:hAnsi="Arial" w:cs="Arial"/>
          <w:color w:val="000000"/>
          <w:sz w:val="20"/>
          <w:szCs w:val="20"/>
        </w:rPr>
        <w:t>We define credit risk as the risk of financial loss if a counterparty, borrower or obligor, collectively referred to as a counterparty, is either unable or unwilling to repay borrowings</w:t>
      </w:r>
      <w:r>
        <w:rPr>
          <w:rFonts w:ascii="Arial" w:eastAsia="宋体" w:hAnsi="Arial" w:cs="Arial"/>
          <w:color w:val="000000"/>
          <w:sz w:val="20"/>
          <w:szCs w:val="20"/>
        </w:rPr>
        <w:t xml:space="preserve"> or settle a transaction in accordance with underlying contractual terms. We assume credit risk in our traditional non-trading lending activities, such as overdrafts, loans and contingent commitments, in our investment securities portfolio, where recourse </w:t>
      </w:r>
      <w:r>
        <w:rPr>
          <w:rFonts w:ascii="Arial" w:eastAsia="宋体" w:hAnsi="Arial" w:cs="Arial"/>
          <w:color w:val="000000"/>
          <w:sz w:val="20"/>
          <w:szCs w:val="20"/>
        </w:rPr>
        <w:t xml:space="preserve">to a counterparty exists, and in our direct and indirect trading activities, such as securities purchased under a resale agreement, principal securities lending and FX and indemnified agency securities lending. We also assume credit risk in our day-to-day </w:t>
      </w:r>
      <w:r>
        <w:rPr>
          <w:rFonts w:ascii="Arial" w:eastAsia="宋体" w:hAnsi="Arial" w:cs="Arial"/>
          <w:color w:val="000000"/>
          <w:sz w:val="20"/>
          <w:szCs w:val="20"/>
        </w:rPr>
        <w:t>treasury and securities and other settlement operations, in the form of deposit placements and other cash balances, with central banks or private sector institutions and fees receivables.</w:t>
      </w:r>
    </w:p>
    <w:p w14:paraId="71D40ADD" w14:textId="77777777" w:rsidR="006A3667" w:rsidRDefault="00045F32">
      <w:pPr>
        <w:spacing w:before="60"/>
        <w:textAlignment w:val="top"/>
      </w:pPr>
      <w:r>
        <w:rPr>
          <w:rFonts w:ascii="Arial" w:eastAsia="宋体" w:hAnsi="Arial" w:cs="Arial"/>
          <w:b/>
          <w:bCs/>
          <w:i/>
          <w:iCs/>
          <w:color w:val="000000"/>
          <w:sz w:val="20"/>
          <w:szCs w:val="20"/>
        </w:rPr>
        <w:t>Allowance for Credit Losses</w:t>
      </w:r>
    </w:p>
    <w:p w14:paraId="71D40ADE" w14:textId="77777777" w:rsidR="006A3667" w:rsidRDefault="00045F32">
      <w:pPr>
        <w:spacing w:before="60"/>
        <w:ind w:firstLine="450"/>
        <w:jc w:val="both"/>
        <w:textAlignment w:val="top"/>
      </w:pPr>
      <w:r>
        <w:rPr>
          <w:rFonts w:ascii="Arial" w:eastAsia="宋体" w:hAnsi="Arial" w:cs="Arial"/>
          <w:color w:val="000000"/>
          <w:sz w:val="20"/>
          <w:szCs w:val="20"/>
        </w:rPr>
        <w:t>We maintain an allowance for credit loss</w:t>
      </w:r>
      <w:r>
        <w:rPr>
          <w:rFonts w:ascii="Arial" w:eastAsia="宋体" w:hAnsi="Arial" w:cs="Arial"/>
          <w:color w:val="000000"/>
          <w:sz w:val="20"/>
          <w:szCs w:val="20"/>
        </w:rPr>
        <w:t>es to support certain on-balance sheet credit exposures, including financial assets held at amortized cost. We also maintain an allowance for unfunded commitments and letters of credit to support our off-balance sheet credit exposure. The two components to</w:t>
      </w:r>
      <w:r>
        <w:rPr>
          <w:rFonts w:ascii="Arial" w:eastAsia="宋体" w:hAnsi="Arial" w:cs="Arial"/>
          <w:color w:val="000000"/>
          <w:sz w:val="20"/>
          <w:szCs w:val="20"/>
        </w:rPr>
        <w:t>gether represent the allowance for credit losses. Review and evaluation of the adequacy of the allowance for credit losses is ongoing throughout the year, but occurs at least quarterly, and is based, among other factors, on our evaluation of the level of r</w:t>
      </w:r>
      <w:r>
        <w:rPr>
          <w:rFonts w:ascii="Arial" w:eastAsia="宋体" w:hAnsi="Arial" w:cs="Arial"/>
          <w:color w:val="000000"/>
          <w:sz w:val="20"/>
          <w:szCs w:val="20"/>
        </w:rPr>
        <w:t xml:space="preserve">isk in the portfolio and the estimated effects of our </w:t>
      </w:r>
    </w:p>
    <w:p w14:paraId="71D40ADF" w14:textId="77777777" w:rsidR="006A3667" w:rsidRDefault="00045F32">
      <w:pPr>
        <w:spacing w:before="60"/>
        <w:jc w:val="both"/>
        <w:textAlignment w:val="top"/>
      </w:pPr>
      <w:r>
        <w:rPr>
          <w:rFonts w:ascii="Arial" w:eastAsia="宋体" w:hAnsi="Arial" w:cs="Arial"/>
          <w:color w:val="000000"/>
          <w:sz w:val="20"/>
          <w:szCs w:val="20"/>
        </w:rPr>
        <w:t>forecasts on our counterparties. We utilize multiple economic scenarios, consisting of a baseline, upside and downside scenarios, to develop management's forecast of future expected losses.</w:t>
      </w:r>
    </w:p>
    <w:p w14:paraId="71D40AE0" w14:textId="77777777" w:rsidR="006A3667" w:rsidRDefault="00045F32">
      <w:pPr>
        <w:spacing w:before="60"/>
        <w:ind w:firstLine="450"/>
        <w:jc w:val="both"/>
        <w:textAlignment w:val="top"/>
      </w:pPr>
      <w:r>
        <w:rPr>
          <w:rFonts w:ascii="Arial" w:eastAsia="宋体" w:hAnsi="Arial" w:cs="Arial"/>
          <w:color w:val="000000"/>
          <w:sz w:val="20"/>
          <w:szCs w:val="20"/>
        </w:rPr>
        <w:t>In the thir</w:t>
      </w:r>
      <w:r>
        <w:rPr>
          <w:rFonts w:ascii="Arial" w:eastAsia="宋体" w:hAnsi="Arial" w:cs="Arial"/>
          <w:color w:val="000000"/>
          <w:sz w:val="20"/>
          <w:szCs w:val="20"/>
        </w:rPr>
        <w:t>d quarter of 2022, our allowance estimate reflected a downward shift in management's economic outlook, which was offset by a reduction in loan portfolio risk. Allowance estimates remain subject to continued model and economic uncertainty and management may</w:t>
      </w:r>
      <w:r>
        <w:rPr>
          <w:rFonts w:ascii="Arial" w:eastAsia="宋体" w:hAnsi="Arial" w:cs="Arial"/>
          <w:color w:val="000000"/>
          <w:sz w:val="20"/>
          <w:szCs w:val="20"/>
        </w:rPr>
        <w:t xml:space="preserve"> use qualitative adjustments. If future data and forecasts deviate relative to the forecasts utilized to determine our allowance for credit losses as of September 30, 2022, or if credit risk migration is higher or lower than forecasted for reasons independ</w:t>
      </w:r>
      <w:r>
        <w:rPr>
          <w:rFonts w:ascii="Arial" w:eastAsia="宋体" w:hAnsi="Arial" w:cs="Arial"/>
          <w:color w:val="000000"/>
          <w:sz w:val="20"/>
          <w:szCs w:val="20"/>
        </w:rPr>
        <w:t>ent of the economic forecast, our allowance for credit losses will also change.</w:t>
      </w:r>
    </w:p>
    <w:p w14:paraId="71D40AE1" w14:textId="77777777" w:rsidR="006A3667" w:rsidRDefault="00045F32">
      <w:pPr>
        <w:spacing w:before="60"/>
        <w:ind w:firstLine="450"/>
        <w:jc w:val="both"/>
        <w:textAlignment w:val="top"/>
      </w:pPr>
      <w:r>
        <w:rPr>
          <w:rFonts w:ascii="Arial" w:eastAsia="宋体" w:hAnsi="Arial" w:cs="Arial"/>
          <w:color w:val="000000"/>
          <w:sz w:val="20"/>
          <w:szCs w:val="20"/>
        </w:rPr>
        <w:t>Additional information about the allowance for credit losses is provided in Notes 3 and 4 to the consolidated financial statements in this Form 10-Q.</w:t>
      </w:r>
    </w:p>
    <w:p w14:paraId="71D40AE2" w14:textId="77777777" w:rsidR="006A3667" w:rsidRDefault="00045F32">
      <w:pPr>
        <w:spacing w:before="60"/>
        <w:ind w:firstLine="450"/>
        <w:jc w:val="both"/>
        <w:textAlignment w:val="top"/>
      </w:pPr>
      <w:r>
        <w:rPr>
          <w:rFonts w:ascii="Arial" w:eastAsia="宋体" w:hAnsi="Arial" w:cs="Arial"/>
          <w:color w:val="000000"/>
          <w:sz w:val="20"/>
          <w:szCs w:val="20"/>
        </w:rPr>
        <w:t>For additional information</w:t>
      </w:r>
      <w:r>
        <w:rPr>
          <w:rFonts w:ascii="Arial" w:eastAsia="宋体" w:hAnsi="Arial" w:cs="Arial"/>
          <w:color w:val="000000"/>
          <w:sz w:val="20"/>
          <w:szCs w:val="20"/>
        </w:rPr>
        <w:t xml:space="preserve"> about our credit risk management framework, including our core policies and principles, structure and organization, credit ratings, risk parameter estimates, credit risk mitigation, credit limits, reporting, monitoring and controls, refer to pages 88 to 9</w:t>
      </w:r>
      <w:r>
        <w:rPr>
          <w:rFonts w:ascii="Arial" w:eastAsia="宋体" w:hAnsi="Arial" w:cs="Arial"/>
          <w:color w:val="000000"/>
          <w:sz w:val="20"/>
          <w:szCs w:val="20"/>
        </w:rPr>
        <w:t>3 included under Item 7, Management's Discussion and Analysis of Financial Condition and Results of Operations, Credit Risk Management, in our 2021 Form 10-K.</w:t>
      </w:r>
    </w:p>
    <w:p w14:paraId="71D40AE3" w14:textId="77777777" w:rsidR="006A3667" w:rsidRDefault="00045F32">
      <w:pPr>
        <w:spacing w:before="90"/>
        <w:textAlignment w:val="top"/>
      </w:pPr>
      <w:r>
        <w:rPr>
          <w:rFonts w:ascii="Arial" w:eastAsia="宋体" w:hAnsi="Arial" w:cs="Arial"/>
          <w:b/>
          <w:bCs/>
          <w:color w:val="000000"/>
          <w:sz w:val="20"/>
          <w:szCs w:val="20"/>
        </w:rPr>
        <w:t>Liquidity Risk Management</w:t>
      </w:r>
    </w:p>
    <w:p w14:paraId="71D40AE4" w14:textId="77777777" w:rsidR="006A3667" w:rsidRDefault="00045F32">
      <w:pPr>
        <w:spacing w:before="60"/>
        <w:ind w:firstLine="450"/>
        <w:jc w:val="both"/>
        <w:textAlignment w:val="top"/>
      </w:pPr>
      <w:r>
        <w:rPr>
          <w:rFonts w:ascii="Arial" w:eastAsia="宋体" w:hAnsi="Arial" w:cs="Arial"/>
          <w:color w:val="000000"/>
          <w:sz w:val="20"/>
          <w:szCs w:val="20"/>
        </w:rPr>
        <w:t>Our liquidity framework contemplates areas of potential risk based on o</w:t>
      </w:r>
      <w:r>
        <w:rPr>
          <w:rFonts w:ascii="Arial" w:eastAsia="宋体" w:hAnsi="Arial" w:cs="Arial"/>
          <w:color w:val="000000"/>
          <w:sz w:val="20"/>
          <w:szCs w:val="20"/>
        </w:rPr>
        <w:t>ur activities, size and other appropriate risk-related factors. In managing liquidity risk we employ limits, maintain established metrics and early warning indicators and perform routine stress testing to identify potential liquidity needs. This process in</w:t>
      </w:r>
      <w:r>
        <w:rPr>
          <w:rFonts w:ascii="Arial" w:eastAsia="宋体" w:hAnsi="Arial" w:cs="Arial"/>
          <w:color w:val="000000"/>
          <w:sz w:val="20"/>
          <w:szCs w:val="20"/>
        </w:rPr>
        <w:t>volves the evaluation of a combination of internal and external scenarios which assist us in measuring our liquidity position and in identifying potential increases in cash needs or decreases in available sources of cash, as well as the potential impairmen</w:t>
      </w:r>
      <w:r>
        <w:rPr>
          <w:rFonts w:ascii="Arial" w:eastAsia="宋体" w:hAnsi="Arial" w:cs="Arial"/>
          <w:color w:val="000000"/>
          <w:sz w:val="20"/>
          <w:szCs w:val="20"/>
        </w:rPr>
        <w:t>t of our ability to access the global capital markets.</w:t>
      </w:r>
    </w:p>
    <w:p w14:paraId="71D40AE5" w14:textId="77777777" w:rsidR="006A3667" w:rsidRDefault="00045F32">
      <w:pPr>
        <w:spacing w:before="60"/>
        <w:ind w:firstLine="450"/>
        <w:jc w:val="both"/>
        <w:textAlignment w:val="top"/>
      </w:pPr>
      <w:r>
        <w:rPr>
          <w:rFonts w:ascii="Arial" w:eastAsia="宋体" w:hAnsi="Arial" w:cs="Arial"/>
          <w:color w:val="000000"/>
          <w:sz w:val="20"/>
          <w:szCs w:val="20"/>
        </w:rPr>
        <w:t>We manage our liquidity on a global, consolidated basis. We also manage liquidity on a stand-alone basis at our Parent Company, as well as at certain branches and subsidiaries of State Street Bank. Sta</w:t>
      </w:r>
      <w:r>
        <w:rPr>
          <w:rFonts w:ascii="Arial" w:eastAsia="宋体" w:hAnsi="Arial" w:cs="Arial"/>
          <w:color w:val="000000"/>
          <w:sz w:val="20"/>
          <w:szCs w:val="20"/>
        </w:rPr>
        <w:t>te Street Bank generally has access to markets and funding sources limited to banks, such as the federal funds market and the Federal Reserve's discount window. The Parent Company is managed to a more conservative liquidity profile, reflecting narrower mar</w:t>
      </w:r>
      <w:r>
        <w:rPr>
          <w:rFonts w:ascii="Arial" w:eastAsia="宋体" w:hAnsi="Arial" w:cs="Arial"/>
          <w:color w:val="000000"/>
          <w:sz w:val="20"/>
          <w:szCs w:val="20"/>
        </w:rPr>
        <w:t xml:space="preserve">ket access. Additionally, the Parent Company typically holds, or has direct access to, primarily through SSIF, a direct subsidiary of the Parent Company, and the support agreement, as discussed in the "Uses of Liquidity" section of this </w:t>
      </w:r>
    </w:p>
    <w:p w14:paraId="71D40AE6" w14:textId="77777777" w:rsidR="006A3667" w:rsidRDefault="00045F32">
      <w:pPr>
        <w:ind w:firstLine="450"/>
        <w:jc w:val="right"/>
      </w:pPr>
      <w:r>
        <w:rPr>
          <w:rFonts w:ascii="Arial" w:eastAsia="宋体" w:hAnsi="Arial" w:cs="Arial"/>
          <w:color w:val="000000"/>
          <w:sz w:val="18"/>
          <w:szCs w:val="18"/>
        </w:rPr>
        <w:t>State Street Corpo</w:t>
      </w:r>
      <w:r>
        <w:rPr>
          <w:rFonts w:ascii="Arial" w:eastAsia="宋体" w:hAnsi="Arial" w:cs="Arial"/>
          <w:color w:val="000000"/>
          <w:sz w:val="18"/>
          <w:szCs w:val="18"/>
        </w:rPr>
        <w:t>ration | 33</w:t>
      </w:r>
    </w:p>
    <w:p w14:paraId="71D40AE7" w14:textId="77777777" w:rsidR="006A3667" w:rsidRDefault="006A3667">
      <w:pPr>
        <w:ind w:firstLine="450"/>
        <w:jc w:val="center"/>
      </w:pPr>
    </w:p>
    <w:p w14:paraId="71D40AE8" w14:textId="77777777" w:rsidR="006A3667" w:rsidRDefault="00045F32">
      <w:r>
        <w:pict w14:anchorId="71D4AC35">
          <v:rect id="_x0000_i1057" style="width:415.3pt;height:1.5pt" o:hralign="center" o:hrstd="t" o:hr="t" fillcolor="#a0a0a0" stroked="f"/>
        </w:pict>
      </w:r>
    </w:p>
    <w:p w14:paraId="71D40AE9"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AEA" w14:textId="77777777" w:rsidR="006A3667" w:rsidRDefault="00045F32">
      <w:pPr>
        <w:ind w:firstLine="450"/>
        <w:jc w:val="center"/>
      </w:pPr>
      <w:r>
        <w:rPr>
          <w:rFonts w:ascii="Arial" w:eastAsia="宋体" w:hAnsi="Arial" w:cs="Arial"/>
          <w:b/>
          <w:bCs/>
          <w:color w:val="000000"/>
          <w:sz w:val="20"/>
          <w:szCs w:val="20"/>
        </w:rPr>
        <w:t>AND RESULTS OF OPERATIONS</w:t>
      </w:r>
    </w:p>
    <w:p w14:paraId="71D40AEB" w14:textId="77777777" w:rsidR="006A3667" w:rsidRDefault="00045F32">
      <w:pPr>
        <w:spacing w:before="60"/>
        <w:jc w:val="both"/>
        <w:textAlignment w:val="top"/>
      </w:pPr>
      <w:r>
        <w:rPr>
          <w:rFonts w:ascii="Arial" w:eastAsia="宋体" w:hAnsi="Arial" w:cs="Arial"/>
          <w:color w:val="000000"/>
          <w:sz w:val="20"/>
          <w:szCs w:val="20"/>
        </w:rPr>
        <w:t xml:space="preserve">Management's Discussion and Analysis, enough cash to meet its current debt maturities and cash needs, as well as those projected over the next </w:t>
      </w:r>
      <w:r>
        <w:rPr>
          <w:rFonts w:ascii="Arial" w:eastAsia="宋体" w:hAnsi="Arial" w:cs="Arial"/>
          <w:color w:val="000000"/>
          <w:sz w:val="20"/>
          <w:szCs w:val="20"/>
        </w:rPr>
        <w:t xml:space="preserve">one-year period. Reference our SPOE Strategy as discussed in the "Uses of Liquidity" section of this Management's Discussion and Analysis. Absent financial distress at the Parent Company, the liquid assets available at SSIF continue to be available to the </w:t>
      </w:r>
      <w:r>
        <w:rPr>
          <w:rFonts w:ascii="Arial" w:eastAsia="宋体" w:hAnsi="Arial" w:cs="Arial"/>
          <w:color w:val="000000"/>
          <w:sz w:val="20"/>
          <w:szCs w:val="20"/>
        </w:rPr>
        <w:t>Parent Company. As of September 30, 2022, our Parent Company and State Street Bank had approximately $1.01 billion of senior notes or subordinated debentures outstanding that will mature in the next twelve months.</w:t>
      </w:r>
    </w:p>
    <w:p w14:paraId="71D40AEC" w14:textId="77777777" w:rsidR="006A3667" w:rsidRDefault="00045F32">
      <w:pPr>
        <w:spacing w:before="60"/>
        <w:ind w:firstLine="450"/>
        <w:jc w:val="both"/>
        <w:textAlignment w:val="top"/>
      </w:pPr>
      <w:r>
        <w:rPr>
          <w:rFonts w:ascii="Arial" w:eastAsia="宋体" w:hAnsi="Arial" w:cs="Arial"/>
          <w:color w:val="000000"/>
          <w:sz w:val="20"/>
          <w:szCs w:val="20"/>
        </w:rPr>
        <w:t>As a systemically important financial inst</w:t>
      </w:r>
      <w:r>
        <w:rPr>
          <w:rFonts w:ascii="Arial" w:eastAsia="宋体" w:hAnsi="Arial" w:cs="Arial"/>
          <w:color w:val="000000"/>
          <w:sz w:val="20"/>
          <w:szCs w:val="20"/>
        </w:rPr>
        <w:t>itution, our liquidity risk management activities are subject to heightened and evolving regulatory requirements, including interpretations of those requirements, under specific U.S. and international regulations and also resulting from published and unpub</w:t>
      </w:r>
      <w:r>
        <w:rPr>
          <w:rFonts w:ascii="Arial" w:eastAsia="宋体" w:hAnsi="Arial" w:cs="Arial"/>
          <w:color w:val="000000"/>
          <w:sz w:val="20"/>
          <w:szCs w:val="20"/>
        </w:rPr>
        <w:t>lished guidance, supervisory activities, such as stress tests, resolution planning, examinations and other regulatory interactions. Satisfaction of these requirements could, in some cases, result in changes in the composition of our investment portfolio, r</w:t>
      </w:r>
      <w:r>
        <w:rPr>
          <w:rFonts w:ascii="Arial" w:eastAsia="宋体" w:hAnsi="Arial" w:cs="Arial"/>
          <w:color w:val="000000"/>
          <w:sz w:val="20"/>
          <w:szCs w:val="20"/>
        </w:rPr>
        <w:t>educed NII or NIM, a reduction in the level of certain business activities or modifications to the way in which we deliver our products and services. If we fail to meet regulatory requirements to the satisfaction of our regulators, we could receive negativ</w:t>
      </w:r>
      <w:r>
        <w:rPr>
          <w:rFonts w:ascii="Arial" w:eastAsia="宋体" w:hAnsi="Arial" w:cs="Arial"/>
          <w:color w:val="000000"/>
          <w:sz w:val="20"/>
          <w:szCs w:val="20"/>
        </w:rPr>
        <w:t>e regulatory stress test results, incur a resolution plan deficiency or determination of a non-credible resolution plan or otherwise receive an adverse regulatory finding. Our efforts to satisfy, or our failure to satisfy, these regulatory requirements cou</w:t>
      </w:r>
      <w:r>
        <w:rPr>
          <w:rFonts w:ascii="Arial" w:eastAsia="宋体" w:hAnsi="Arial" w:cs="Arial"/>
          <w:color w:val="000000"/>
          <w:sz w:val="20"/>
          <w:szCs w:val="20"/>
        </w:rPr>
        <w:t>ld materially adversely affect our business, financial condition or results of operations.</w:t>
      </w:r>
    </w:p>
    <w:p w14:paraId="71D40AED" w14:textId="77777777" w:rsidR="006A3667" w:rsidRDefault="00045F32">
      <w:pPr>
        <w:spacing w:before="60"/>
        <w:ind w:firstLine="450"/>
        <w:jc w:val="both"/>
        <w:textAlignment w:val="top"/>
      </w:pPr>
      <w:r>
        <w:rPr>
          <w:rFonts w:ascii="Arial" w:eastAsia="宋体" w:hAnsi="Arial" w:cs="Arial"/>
          <w:color w:val="000000"/>
          <w:sz w:val="20"/>
          <w:szCs w:val="20"/>
        </w:rPr>
        <w:t xml:space="preserve">For additional information on our liquidity risk management, as well as liquidity metrics, refer to pages 93 to 98 included under Item 7, Management's </w:t>
      </w:r>
      <w:r>
        <w:rPr>
          <w:rFonts w:ascii="Arial" w:eastAsia="宋体" w:hAnsi="Arial" w:cs="Arial"/>
          <w:color w:val="000000"/>
          <w:sz w:val="20"/>
          <w:szCs w:val="20"/>
        </w:rPr>
        <w:t xml:space="preserve">Discussion and Analysis of Financial Condition and Results of Operations, Liquidity Risk Management, in our 2021 Form 10-K. For additional information on our liquidity ratios, including LCR and the net stable funding ratio, refer to page 14 included under </w:t>
      </w:r>
      <w:r>
        <w:rPr>
          <w:rFonts w:ascii="Arial" w:eastAsia="宋体" w:hAnsi="Arial" w:cs="Arial"/>
          <w:color w:val="000000"/>
          <w:sz w:val="20"/>
          <w:szCs w:val="20"/>
        </w:rPr>
        <w:t>Item 1, Business, in our 2021 Form 10-K.</w:t>
      </w:r>
    </w:p>
    <w:p w14:paraId="71D40AEE" w14:textId="77777777" w:rsidR="006A3667" w:rsidRDefault="00045F32">
      <w:pPr>
        <w:spacing w:before="60"/>
        <w:jc w:val="both"/>
        <w:textAlignment w:val="top"/>
      </w:pPr>
      <w:r>
        <w:rPr>
          <w:rFonts w:ascii="Arial" w:eastAsia="宋体" w:hAnsi="Arial" w:cs="Arial"/>
          <w:b/>
          <w:bCs/>
          <w:i/>
          <w:iCs/>
          <w:color w:val="000000"/>
          <w:sz w:val="20"/>
          <w:szCs w:val="20"/>
        </w:rPr>
        <w:t>Asset Liquidity</w:t>
      </w:r>
    </w:p>
    <w:p w14:paraId="71D40AEF" w14:textId="77777777" w:rsidR="006A3667" w:rsidRDefault="00045F32">
      <w:pPr>
        <w:spacing w:before="60"/>
        <w:ind w:firstLine="450"/>
        <w:jc w:val="both"/>
        <w:textAlignment w:val="top"/>
      </w:pPr>
      <w:r>
        <w:rPr>
          <w:rFonts w:ascii="Arial" w:eastAsia="宋体" w:hAnsi="Arial" w:cs="Arial"/>
          <w:color w:val="000000"/>
          <w:sz w:val="20"/>
          <w:szCs w:val="20"/>
        </w:rPr>
        <w:t xml:space="preserve">Central to the management of our liquidity is asset liquidity, which consists primarily of HQLA. HQLA is the amount of liquid assets that qualify for inclusion in the LCR. As a banking organization, </w:t>
      </w:r>
      <w:r>
        <w:rPr>
          <w:rFonts w:ascii="Arial" w:eastAsia="宋体" w:hAnsi="Arial" w:cs="Arial"/>
          <w:color w:val="000000"/>
          <w:sz w:val="20"/>
          <w:szCs w:val="20"/>
        </w:rPr>
        <w:t>we are subject to a minimum LCR under the LCR rule approved by U.S. banking regulators. The LCR is intended to promote the short-term resilience of internationally active banking organizations, like us, to improve the banking industry's ability to absorb s</w:t>
      </w:r>
      <w:r>
        <w:rPr>
          <w:rFonts w:ascii="Arial" w:eastAsia="宋体" w:hAnsi="Arial" w:cs="Arial"/>
          <w:color w:val="000000"/>
          <w:sz w:val="20"/>
          <w:szCs w:val="20"/>
        </w:rPr>
        <w:t xml:space="preserve">hocks arising from market stress over a 30 calendar day period and improve the measurement and </w:t>
      </w:r>
    </w:p>
    <w:p w14:paraId="71D40AF0" w14:textId="77777777" w:rsidR="006A3667" w:rsidRDefault="00045F32">
      <w:pPr>
        <w:spacing w:before="60"/>
        <w:jc w:val="both"/>
        <w:textAlignment w:val="top"/>
      </w:pPr>
      <w:r>
        <w:rPr>
          <w:rFonts w:ascii="Arial" w:eastAsia="宋体" w:hAnsi="Arial" w:cs="Arial"/>
          <w:color w:val="000000"/>
          <w:sz w:val="20"/>
          <w:szCs w:val="20"/>
        </w:rPr>
        <w:t>management of liquidity risk. The LCR measures an institution’s HQLA against its net cash outflows. HQLA primarily consists of unencumbered cash and certain hig</w:t>
      </w:r>
      <w:r>
        <w:rPr>
          <w:rFonts w:ascii="Arial" w:eastAsia="宋体" w:hAnsi="Arial" w:cs="Arial"/>
          <w:color w:val="000000"/>
          <w:sz w:val="20"/>
          <w:szCs w:val="20"/>
        </w:rPr>
        <w:t xml:space="preserve">h quality liquid securities that qualify for inclusion under the LCR rule. We report LCR to the Federal Reserve daily. For the quarters ended September 30, 2022 and December 31, 2021, daily average LCR for the Parent Company was </w:t>
      </w:r>
      <w:r>
        <w:rPr>
          <w:rFonts w:ascii="Arial" w:eastAsia="宋体" w:hAnsi="Arial" w:cs="Arial"/>
          <w:color w:val="000000"/>
          <w:sz w:val="20"/>
          <w:szCs w:val="20"/>
          <w:shd w:val="clear" w:color="auto" w:fill="FFFFFF"/>
        </w:rPr>
        <w:t>106%</w:t>
      </w:r>
      <w:r>
        <w:rPr>
          <w:rFonts w:ascii="Arial" w:eastAsia="宋体" w:hAnsi="Arial" w:cs="Arial"/>
          <w:color w:val="000000"/>
          <w:sz w:val="20"/>
          <w:szCs w:val="20"/>
        </w:rPr>
        <w:t xml:space="preserve"> and 105%, respectively</w:t>
      </w:r>
      <w:r>
        <w:rPr>
          <w:rFonts w:ascii="Arial" w:eastAsia="宋体" w:hAnsi="Arial" w:cs="Arial"/>
          <w:color w:val="000000"/>
          <w:sz w:val="20"/>
          <w:szCs w:val="20"/>
        </w:rPr>
        <w:t xml:space="preserve">. The impact of higher deposits on the Parent Company's LCR is offset by a cap, known as the transferability restriction, on the HQLA from State Street Bank and Trust that can be recognized at the Parent Company as defined in the U.S. LCR Final Rule as it </w:t>
      </w:r>
      <w:r>
        <w:rPr>
          <w:rFonts w:ascii="Arial" w:eastAsia="宋体" w:hAnsi="Arial" w:cs="Arial"/>
          <w:color w:val="000000"/>
          <w:sz w:val="20"/>
          <w:szCs w:val="20"/>
        </w:rPr>
        <w:t xml:space="preserve">prohibits the upstreaming of liquidity under stress. The average HQLA, post-prescribed haircuts for the Parent Company under the LCR final rule definition was </w:t>
      </w:r>
      <w:r>
        <w:rPr>
          <w:rFonts w:ascii="Arial" w:eastAsia="宋体" w:hAnsi="Arial" w:cs="Arial"/>
          <w:color w:val="000000"/>
          <w:sz w:val="20"/>
          <w:szCs w:val="20"/>
          <w:shd w:val="clear" w:color="auto" w:fill="FFFFFF"/>
        </w:rPr>
        <w:t>$130.55 billion</w:t>
      </w:r>
      <w:r>
        <w:rPr>
          <w:rFonts w:ascii="Arial" w:eastAsia="宋体" w:hAnsi="Arial" w:cs="Arial"/>
          <w:color w:val="000000"/>
          <w:sz w:val="20"/>
          <w:szCs w:val="20"/>
        </w:rPr>
        <w:t xml:space="preserve"> for the quarter ended September 30, 2022 compared to $159.36 billion for the quar</w:t>
      </w:r>
      <w:r>
        <w:rPr>
          <w:rFonts w:ascii="Arial" w:eastAsia="宋体" w:hAnsi="Arial" w:cs="Arial"/>
          <w:color w:val="000000"/>
          <w:sz w:val="20"/>
          <w:szCs w:val="20"/>
        </w:rPr>
        <w:t xml:space="preserve">ter ended December 31, 2021, primarily due to a decrease in client deposits relative to the prior period. For the quarter ended September 30, 2022, LCR for State Street Bank and Trust was approximately </w:t>
      </w:r>
      <w:r>
        <w:rPr>
          <w:rFonts w:ascii="Arial" w:eastAsia="宋体" w:hAnsi="Arial" w:cs="Arial"/>
          <w:color w:val="000000"/>
          <w:sz w:val="20"/>
          <w:szCs w:val="20"/>
          <w:shd w:val="clear" w:color="auto" w:fill="FFFFFF"/>
        </w:rPr>
        <w:t>116%</w:t>
      </w:r>
      <w:r>
        <w:rPr>
          <w:rFonts w:ascii="Arial" w:eastAsia="宋体" w:hAnsi="Arial" w:cs="Arial"/>
          <w:color w:val="000000"/>
          <w:sz w:val="20"/>
          <w:szCs w:val="20"/>
        </w:rPr>
        <w:t>. State Street Bank and Trust's LCR is higher than</w:t>
      </w:r>
      <w:r>
        <w:rPr>
          <w:rFonts w:ascii="Arial" w:eastAsia="宋体" w:hAnsi="Arial" w:cs="Arial"/>
          <w:color w:val="000000"/>
          <w:sz w:val="20"/>
          <w:szCs w:val="20"/>
        </w:rPr>
        <w:t xml:space="preserve"> the Parent Company's LCR, primarily due to application of the transferability restriction in the LCR Final Rule to the calculation of the Parent Company's LCR. This restriction limits the HQLA used in the calculation of the Parent Company's LCR to the amo</w:t>
      </w:r>
      <w:r>
        <w:rPr>
          <w:rFonts w:ascii="Arial" w:eastAsia="宋体" w:hAnsi="Arial" w:cs="Arial"/>
          <w:color w:val="000000"/>
          <w:sz w:val="20"/>
          <w:szCs w:val="20"/>
        </w:rPr>
        <w:t>unt of net cash outflows of its principal banking subsidiary (State Street Bank and Trust). This transferability restriction does not apply in the calculation of State Street Bank and Trust's LCR, and therefore State Street Bank and Trust's LCR reflects th</w:t>
      </w:r>
      <w:r>
        <w:rPr>
          <w:rFonts w:ascii="Arial" w:eastAsia="宋体" w:hAnsi="Arial" w:cs="Arial"/>
          <w:color w:val="000000"/>
          <w:sz w:val="20"/>
          <w:szCs w:val="20"/>
        </w:rPr>
        <w:t>e benefit of all of its HQLA holdings.</w:t>
      </w:r>
    </w:p>
    <w:p w14:paraId="71D40AF1" w14:textId="77777777" w:rsidR="006A3667" w:rsidRDefault="00045F32">
      <w:pPr>
        <w:spacing w:before="60"/>
        <w:ind w:firstLine="450"/>
        <w:jc w:val="both"/>
        <w:textAlignment w:val="top"/>
      </w:pPr>
      <w:r>
        <w:rPr>
          <w:rFonts w:ascii="Arial" w:eastAsia="宋体" w:hAnsi="Arial" w:cs="Arial"/>
          <w:color w:val="000000"/>
          <w:sz w:val="20"/>
          <w:szCs w:val="20"/>
        </w:rPr>
        <w:t xml:space="preserve">We maintained average cash balances in excess of regulatory requirements governing deposits with the Federal Reserve of approximately </w:t>
      </w:r>
      <w:r>
        <w:rPr>
          <w:rFonts w:ascii="Arial" w:eastAsia="宋体" w:hAnsi="Arial" w:cs="Arial"/>
          <w:color w:val="000000"/>
          <w:sz w:val="20"/>
          <w:szCs w:val="20"/>
          <w:shd w:val="clear" w:color="auto" w:fill="FFFFFF"/>
        </w:rPr>
        <w:t>$65.13 billion at the Federal Reserve, the ECB and other non-U.S. central banks</w:t>
      </w:r>
      <w:r>
        <w:rPr>
          <w:rFonts w:ascii="Arial" w:eastAsia="宋体" w:hAnsi="Arial" w:cs="Arial"/>
          <w:color w:val="000000"/>
          <w:sz w:val="20"/>
          <w:szCs w:val="20"/>
        </w:rPr>
        <w:t xml:space="preserve"> for</w:t>
      </w:r>
      <w:r>
        <w:rPr>
          <w:rFonts w:ascii="Arial" w:eastAsia="宋体" w:hAnsi="Arial" w:cs="Arial"/>
          <w:color w:val="000000"/>
          <w:sz w:val="20"/>
          <w:szCs w:val="20"/>
        </w:rPr>
        <w:t xml:space="preserve"> the quarter ended September 30, 2022, and $83.48 billion for the quarter ended December 31, 2021. The lower levels of average cash balances with central banks reflect lower levels of client deposits. </w:t>
      </w:r>
    </w:p>
    <w:p w14:paraId="71D40AF2" w14:textId="77777777" w:rsidR="006A3667" w:rsidRDefault="00045F32">
      <w:pPr>
        <w:spacing w:before="60"/>
        <w:ind w:firstLine="450"/>
        <w:jc w:val="both"/>
        <w:textAlignment w:val="top"/>
      </w:pPr>
      <w:r>
        <w:rPr>
          <w:rFonts w:ascii="Arial" w:eastAsia="宋体" w:hAnsi="Arial" w:cs="Arial"/>
          <w:color w:val="000000"/>
          <w:sz w:val="20"/>
          <w:szCs w:val="20"/>
        </w:rPr>
        <w:t>Liquid securities carried in our asset liquidity inclu</w:t>
      </w:r>
      <w:r>
        <w:rPr>
          <w:rFonts w:ascii="Arial" w:eastAsia="宋体" w:hAnsi="Arial" w:cs="Arial"/>
          <w:color w:val="000000"/>
          <w:sz w:val="20"/>
          <w:szCs w:val="20"/>
        </w:rPr>
        <w:t>de securities pledged without corresponding advances from the Federal Reserve Bank of Boston (FRBB), the FHLB, and other non-U.S. central banks. State Street Bank is a member of the FHLB. This membership allows for advances of liquidity in varying terms ag</w:t>
      </w:r>
      <w:r>
        <w:rPr>
          <w:rFonts w:ascii="Arial" w:eastAsia="宋体" w:hAnsi="Arial" w:cs="Arial"/>
          <w:color w:val="000000"/>
          <w:sz w:val="20"/>
          <w:szCs w:val="20"/>
        </w:rPr>
        <w:t>ainst high-quality collateral, which helps facilitate asset-and-liability management. As of both September 30, 2022 and December 31, 2021, we ha</w:t>
      </w:r>
      <w:r>
        <w:rPr>
          <w:rFonts w:ascii="Arial" w:eastAsia="宋体" w:hAnsi="Arial" w:cs="Arial"/>
          <w:color w:val="000000"/>
          <w:sz w:val="20"/>
          <w:szCs w:val="20"/>
          <w:shd w:val="clear" w:color="auto" w:fill="FFFFFF"/>
        </w:rPr>
        <w:t>d no outstanding borrowings from the FHLB.</w:t>
      </w:r>
    </w:p>
    <w:p w14:paraId="71D40AF3" w14:textId="77777777" w:rsidR="006A3667" w:rsidRDefault="00045F32">
      <w:pPr>
        <w:spacing w:before="60"/>
        <w:ind w:firstLine="450"/>
        <w:jc w:val="both"/>
        <w:textAlignment w:val="top"/>
      </w:pPr>
      <w:r>
        <w:rPr>
          <w:rFonts w:ascii="Arial" w:eastAsia="宋体" w:hAnsi="Arial" w:cs="Arial"/>
          <w:color w:val="000000"/>
          <w:sz w:val="20"/>
          <w:szCs w:val="20"/>
          <w:shd w:val="clear" w:color="auto" w:fill="FFFFFF"/>
        </w:rPr>
        <w:t>Access to primary, intra-day and contingent liquidity provided by the</w:t>
      </w:r>
      <w:r>
        <w:rPr>
          <w:rFonts w:ascii="Arial" w:eastAsia="宋体" w:hAnsi="Arial" w:cs="Arial"/>
          <w:color w:val="000000"/>
          <w:sz w:val="20"/>
          <w:szCs w:val="20"/>
          <w:shd w:val="clear" w:color="auto" w:fill="FFFFFF"/>
        </w:rPr>
        <w:t xml:space="preserve">se utilities is an important source of contingent liquidity with utilization subject to </w:t>
      </w:r>
    </w:p>
    <w:p w14:paraId="71D40AF4" w14:textId="77777777" w:rsidR="006A3667" w:rsidRDefault="00045F32">
      <w:pPr>
        <w:ind w:firstLine="450"/>
        <w:jc w:val="right"/>
      </w:pPr>
      <w:r>
        <w:rPr>
          <w:rFonts w:ascii="Arial" w:eastAsia="宋体" w:hAnsi="Arial" w:cs="Arial"/>
          <w:color w:val="000000"/>
          <w:sz w:val="18"/>
          <w:szCs w:val="18"/>
        </w:rPr>
        <w:t>State Street Corporation | 34</w:t>
      </w:r>
    </w:p>
    <w:p w14:paraId="71D40AF5" w14:textId="77777777" w:rsidR="006A3667" w:rsidRDefault="006A3667">
      <w:pPr>
        <w:ind w:firstLine="450"/>
        <w:jc w:val="center"/>
      </w:pPr>
    </w:p>
    <w:p w14:paraId="71D40AF6" w14:textId="77777777" w:rsidR="006A3667" w:rsidRDefault="00045F32">
      <w:r>
        <w:pict w14:anchorId="71D4AC36">
          <v:rect id="_x0000_i1058" style="width:415.3pt;height:1.5pt" o:hralign="center" o:hrstd="t" o:hr="t" fillcolor="#a0a0a0" stroked="f"/>
        </w:pict>
      </w:r>
    </w:p>
    <w:p w14:paraId="71D40AF7"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AF8" w14:textId="77777777" w:rsidR="006A3667" w:rsidRDefault="00045F32">
      <w:pPr>
        <w:ind w:firstLine="450"/>
        <w:jc w:val="center"/>
      </w:pPr>
      <w:r>
        <w:rPr>
          <w:rFonts w:ascii="Arial" w:eastAsia="宋体" w:hAnsi="Arial" w:cs="Arial"/>
          <w:b/>
          <w:bCs/>
          <w:color w:val="000000"/>
          <w:sz w:val="20"/>
          <w:szCs w:val="20"/>
        </w:rPr>
        <w:t>AND RESULTS OF OPERATIONS</w:t>
      </w:r>
    </w:p>
    <w:p w14:paraId="71D40AF9" w14:textId="77777777" w:rsidR="006A3667" w:rsidRDefault="00045F32">
      <w:pPr>
        <w:spacing w:before="60"/>
        <w:jc w:val="both"/>
        <w:textAlignment w:val="top"/>
      </w:pPr>
      <w:r>
        <w:rPr>
          <w:rFonts w:ascii="Arial" w:eastAsia="宋体" w:hAnsi="Arial" w:cs="Arial"/>
          <w:color w:val="000000"/>
          <w:sz w:val="20"/>
          <w:szCs w:val="20"/>
          <w:shd w:val="clear" w:color="auto" w:fill="FFFFFF"/>
        </w:rPr>
        <w:t xml:space="preserve">underlying conditions. As of both September 30, </w:t>
      </w:r>
      <w:r>
        <w:rPr>
          <w:rFonts w:ascii="Arial" w:eastAsia="宋体" w:hAnsi="Arial" w:cs="Arial"/>
          <w:color w:val="000000"/>
          <w:sz w:val="20"/>
          <w:szCs w:val="20"/>
          <w:shd w:val="clear" w:color="auto" w:fill="FFFFFF"/>
        </w:rPr>
        <w:t>2022 and December 31, 2021, we had no outstanding primary credit borrowings from the FR</w:t>
      </w:r>
      <w:r>
        <w:rPr>
          <w:rFonts w:ascii="Arial" w:eastAsia="宋体" w:hAnsi="Arial" w:cs="Arial"/>
          <w:color w:val="000000"/>
          <w:sz w:val="20"/>
          <w:szCs w:val="20"/>
        </w:rPr>
        <w:t>BB discount window or any other central bank facility.</w:t>
      </w:r>
    </w:p>
    <w:p w14:paraId="71D40AFA" w14:textId="77777777" w:rsidR="006A3667" w:rsidRDefault="00045F32">
      <w:pPr>
        <w:spacing w:before="60"/>
        <w:ind w:firstLine="450"/>
        <w:jc w:val="both"/>
        <w:textAlignment w:val="top"/>
      </w:pPr>
      <w:r>
        <w:rPr>
          <w:rFonts w:ascii="Arial" w:eastAsia="宋体" w:hAnsi="Arial" w:cs="Arial"/>
          <w:color w:val="000000"/>
          <w:sz w:val="20"/>
          <w:szCs w:val="20"/>
        </w:rPr>
        <w:t>In addition to the securities included in our asset liquidity, we have significant amounts of other unencumbered i</w:t>
      </w:r>
      <w:r>
        <w:rPr>
          <w:rFonts w:ascii="Arial" w:eastAsia="宋体" w:hAnsi="Arial" w:cs="Arial"/>
          <w:color w:val="000000"/>
          <w:sz w:val="20"/>
          <w:szCs w:val="20"/>
        </w:rPr>
        <w:t>nvestment securities. These securities are available sources of liquidity, although not as rapidly deployed as those included in our asset liquidity.</w:t>
      </w:r>
    </w:p>
    <w:p w14:paraId="71D40AFB" w14:textId="77777777" w:rsidR="006A3667" w:rsidRDefault="00045F32">
      <w:pPr>
        <w:spacing w:before="60"/>
        <w:ind w:firstLine="450"/>
        <w:jc w:val="both"/>
        <w:textAlignment w:val="top"/>
      </w:pPr>
      <w:r>
        <w:rPr>
          <w:rFonts w:ascii="Arial" w:eastAsia="宋体" w:hAnsi="Arial" w:cs="Arial"/>
          <w:color w:val="000000"/>
          <w:sz w:val="20"/>
          <w:szCs w:val="20"/>
        </w:rPr>
        <w:t xml:space="preserve">The average fair value of total unencumbered securities was </w:t>
      </w:r>
      <w:r>
        <w:rPr>
          <w:rFonts w:ascii="Arial" w:eastAsia="宋体" w:hAnsi="Arial" w:cs="Arial"/>
          <w:color w:val="000000"/>
          <w:sz w:val="20"/>
          <w:szCs w:val="20"/>
          <w:shd w:val="clear" w:color="auto" w:fill="FFFFFF"/>
        </w:rPr>
        <w:t>$85.16 billion</w:t>
      </w:r>
      <w:r>
        <w:rPr>
          <w:rFonts w:ascii="Arial" w:eastAsia="宋体" w:hAnsi="Arial" w:cs="Arial"/>
          <w:color w:val="000000"/>
          <w:sz w:val="20"/>
          <w:szCs w:val="20"/>
        </w:rPr>
        <w:t xml:space="preserve"> for the quarter ended September</w:t>
      </w:r>
      <w:r>
        <w:rPr>
          <w:rFonts w:ascii="Arial" w:eastAsia="宋体" w:hAnsi="Arial" w:cs="Arial"/>
          <w:color w:val="000000"/>
          <w:sz w:val="20"/>
          <w:szCs w:val="20"/>
        </w:rPr>
        <w:t> 30, 2022, compared to $99.47 billion for the quarter ended December 31, 2021.</w:t>
      </w:r>
    </w:p>
    <w:p w14:paraId="71D40AFC" w14:textId="77777777" w:rsidR="006A3667" w:rsidRDefault="00045F32">
      <w:pPr>
        <w:spacing w:before="60"/>
        <w:jc w:val="both"/>
        <w:textAlignment w:val="top"/>
      </w:pPr>
      <w:r>
        <w:rPr>
          <w:rFonts w:ascii="Arial" w:eastAsia="宋体" w:hAnsi="Arial" w:cs="Arial"/>
          <w:b/>
          <w:bCs/>
          <w:i/>
          <w:iCs/>
          <w:color w:val="000000"/>
          <w:sz w:val="20"/>
          <w:szCs w:val="20"/>
        </w:rPr>
        <w:t>Uses of Liquidity</w:t>
      </w:r>
    </w:p>
    <w:p w14:paraId="71D40AFD" w14:textId="77777777" w:rsidR="006A3667" w:rsidRDefault="00045F32">
      <w:pPr>
        <w:spacing w:before="60"/>
        <w:ind w:firstLine="450"/>
        <w:jc w:val="both"/>
        <w:textAlignment w:val="top"/>
      </w:pPr>
      <w:r>
        <w:rPr>
          <w:rFonts w:ascii="Arial" w:eastAsia="宋体" w:hAnsi="Arial" w:cs="Arial"/>
          <w:color w:val="000000"/>
          <w:sz w:val="20"/>
          <w:szCs w:val="20"/>
        </w:rPr>
        <w:t>Significant uses of our liquidity could result from the following: withdrawals of client deposits; drawdowns by our custody clients of lines of credit; advance</w:t>
      </w:r>
      <w:r>
        <w:rPr>
          <w:rFonts w:ascii="Arial" w:eastAsia="宋体" w:hAnsi="Arial" w:cs="Arial"/>
          <w:color w:val="000000"/>
          <w:sz w:val="20"/>
          <w:szCs w:val="20"/>
        </w:rPr>
        <w:t>s to clients to settle securities transactions; increases in our investment and loan portfolios; or other permitted purposes. Such circumstances would generally arise under stress conditions including deterioration in credit ratings. A recurring use of our</w:t>
      </w:r>
      <w:r>
        <w:rPr>
          <w:rFonts w:ascii="Arial" w:eastAsia="宋体" w:hAnsi="Arial" w:cs="Arial"/>
          <w:color w:val="000000"/>
          <w:sz w:val="20"/>
          <w:szCs w:val="20"/>
        </w:rPr>
        <w:t xml:space="preserve"> liquidity involves our deployment of HQLA from our investment portfolio to post collateral to financial institutions serving as sources of securities under our enhanced custody program.</w:t>
      </w:r>
    </w:p>
    <w:p w14:paraId="71D40AFE" w14:textId="77777777" w:rsidR="006A3667" w:rsidRDefault="00045F32">
      <w:pPr>
        <w:spacing w:before="60"/>
        <w:ind w:firstLine="450"/>
        <w:jc w:val="both"/>
        <w:textAlignment w:val="top"/>
      </w:pPr>
      <w:r>
        <w:rPr>
          <w:rFonts w:ascii="Arial" w:eastAsia="宋体" w:hAnsi="Arial" w:cs="Arial"/>
          <w:color w:val="000000"/>
          <w:sz w:val="20"/>
          <w:szCs w:val="20"/>
        </w:rPr>
        <w:t>We had unfunded commitments to extend credit with gross contractual a</w:t>
      </w:r>
      <w:r>
        <w:rPr>
          <w:rFonts w:ascii="Arial" w:eastAsia="宋体" w:hAnsi="Arial" w:cs="Arial"/>
          <w:color w:val="000000"/>
          <w:sz w:val="20"/>
          <w:szCs w:val="20"/>
        </w:rPr>
        <w:t>mounts totaling $31.53 billion and $33.03 billion and standby letters of credit totaling $2.16 billion and $3.24 billion as of September 30, 2022 and December 31, 2021, respectively. These amounts do not reflect the value of any collateral. As of September</w:t>
      </w:r>
      <w:r>
        <w:rPr>
          <w:rFonts w:ascii="Arial" w:eastAsia="宋体" w:hAnsi="Arial" w:cs="Arial"/>
          <w:color w:val="000000"/>
          <w:sz w:val="20"/>
          <w:szCs w:val="20"/>
        </w:rPr>
        <w:t> 30, 2022, approximately 76% of our unfunded commitments to extend credit and 26% of our standby letters of credit expire within one year. Since many of our commitments are expected to expire or renew without being drawn upon, the gross contractual amounts</w:t>
      </w:r>
      <w:r>
        <w:rPr>
          <w:rFonts w:ascii="Arial" w:eastAsia="宋体" w:hAnsi="Arial" w:cs="Arial"/>
          <w:color w:val="000000"/>
          <w:sz w:val="20"/>
          <w:szCs w:val="20"/>
        </w:rPr>
        <w:t xml:space="preserve"> do not necessarily represent our future cash requirements.</w:t>
      </w:r>
    </w:p>
    <w:p w14:paraId="71D40AFF" w14:textId="77777777" w:rsidR="006A3667" w:rsidRDefault="00045F32">
      <w:pPr>
        <w:spacing w:before="60"/>
        <w:jc w:val="both"/>
        <w:textAlignment w:val="top"/>
      </w:pPr>
      <w:r>
        <w:rPr>
          <w:rFonts w:ascii="Arial" w:eastAsia="宋体" w:hAnsi="Arial" w:cs="Arial"/>
          <w:i/>
          <w:iCs/>
          <w:color w:val="000000"/>
          <w:sz w:val="20"/>
          <w:szCs w:val="20"/>
        </w:rPr>
        <w:t>Resolution Planning</w:t>
      </w:r>
    </w:p>
    <w:p w14:paraId="71D40B00" w14:textId="77777777" w:rsidR="006A3667" w:rsidRDefault="00045F32">
      <w:pPr>
        <w:spacing w:before="60"/>
        <w:ind w:firstLine="450"/>
        <w:jc w:val="both"/>
        <w:textAlignment w:val="top"/>
      </w:pPr>
      <w:r>
        <w:rPr>
          <w:rFonts w:ascii="Arial" w:eastAsia="宋体" w:hAnsi="Arial" w:cs="Arial"/>
          <w:color w:val="000000"/>
          <w:sz w:val="20"/>
          <w:szCs w:val="20"/>
        </w:rPr>
        <w:t xml:space="preserve">Under Section 165(d) of the Dodd-Frank Act, we are required to submit a resolution plan on a biennial basis jointly to the Federal Reserve and the FDIC (the </w:t>
      </w:r>
      <w:r>
        <w:rPr>
          <w:rFonts w:ascii="Arial" w:eastAsia="宋体" w:hAnsi="Arial" w:cs="Arial"/>
          <w:color w:val="000000"/>
          <w:sz w:val="20"/>
          <w:szCs w:val="20"/>
        </w:rPr>
        <w:t>Agencies). The purpose of our resolution plan is to describe our preferred resolution strategy and to demonstrate that we have the resources and capabilities to execute on that strategy in the event of major financial distress. Through resolution planning,</w:t>
      </w:r>
      <w:r>
        <w:rPr>
          <w:rFonts w:ascii="Arial" w:eastAsia="宋体" w:hAnsi="Arial" w:cs="Arial"/>
          <w:color w:val="000000"/>
          <w:sz w:val="20"/>
          <w:szCs w:val="20"/>
        </w:rPr>
        <w:t xml:space="preserve"> we seek to maintain our role as a key infrastructure provider within the financial system, while minimizing risk to the financial system.</w:t>
      </w:r>
    </w:p>
    <w:p w14:paraId="71D40B01" w14:textId="77777777" w:rsidR="006A3667" w:rsidRDefault="00045F32">
      <w:pPr>
        <w:spacing w:before="60"/>
        <w:ind w:firstLine="450"/>
        <w:jc w:val="both"/>
        <w:textAlignment w:val="top"/>
      </w:pPr>
      <w:r>
        <w:rPr>
          <w:rFonts w:ascii="Arial" w:eastAsia="宋体" w:hAnsi="Arial" w:cs="Arial"/>
          <w:color w:val="000000"/>
          <w:sz w:val="20"/>
          <w:szCs w:val="20"/>
        </w:rPr>
        <w:t xml:space="preserve">The final rule published in the Federal Register on November 1, 2019 requires a full resolution plan </w:t>
      </w:r>
    </w:p>
    <w:p w14:paraId="71D40B02" w14:textId="77777777" w:rsidR="006A3667" w:rsidRDefault="00045F32">
      <w:pPr>
        <w:spacing w:before="60"/>
        <w:jc w:val="both"/>
        <w:textAlignment w:val="top"/>
      </w:pPr>
      <w:r>
        <w:rPr>
          <w:rFonts w:ascii="Arial" w:eastAsia="宋体" w:hAnsi="Arial" w:cs="Arial"/>
          <w:color w:val="000000"/>
          <w:sz w:val="20"/>
          <w:szCs w:val="20"/>
        </w:rPr>
        <w:t xml:space="preserve">and a targeted </w:t>
      </w:r>
      <w:r>
        <w:rPr>
          <w:rFonts w:ascii="Arial" w:eastAsia="宋体" w:hAnsi="Arial" w:cs="Arial"/>
          <w:color w:val="000000"/>
          <w:sz w:val="20"/>
          <w:szCs w:val="20"/>
        </w:rPr>
        <w:t>resolution plan on an alternating basis in the relevant submission years. We submitted our updated 2021 targeted 165(d) resolution plan by July 1, 2021. The targeted resolution plan included the core elements of resolution planning and some specific firm l</w:t>
      </w:r>
      <w:r>
        <w:rPr>
          <w:rFonts w:ascii="Arial" w:eastAsia="宋体" w:hAnsi="Arial" w:cs="Arial"/>
          <w:color w:val="000000"/>
          <w:sz w:val="20"/>
          <w:szCs w:val="20"/>
        </w:rPr>
        <w:t xml:space="preserve">evel information about the impact of the COVID-19 pandemic on resolution planning. In addition, actions taken to remediate the 2019 shortcoming related to the implementation of governance mechanisms were included in the plan. </w:t>
      </w:r>
    </w:p>
    <w:p w14:paraId="71D40B03" w14:textId="77777777" w:rsidR="006A3667" w:rsidRDefault="00045F32">
      <w:pPr>
        <w:spacing w:before="60"/>
        <w:ind w:firstLine="450"/>
        <w:jc w:val="both"/>
        <w:textAlignment w:val="top"/>
      </w:pPr>
      <w:r>
        <w:rPr>
          <w:rFonts w:ascii="Arial" w:eastAsia="宋体" w:hAnsi="Arial" w:cs="Arial"/>
          <w:color w:val="000000"/>
          <w:sz w:val="20"/>
          <w:szCs w:val="20"/>
        </w:rPr>
        <w:t>In the event of material fina</w:t>
      </w:r>
      <w:r>
        <w:rPr>
          <w:rFonts w:ascii="Arial" w:eastAsia="宋体" w:hAnsi="Arial" w:cs="Arial"/>
          <w:color w:val="000000"/>
          <w:sz w:val="20"/>
          <w:szCs w:val="20"/>
        </w:rPr>
        <w:t>ncial distress, our preferred resolution strategy is the SPOE Strategy. The SPOE Strategy provides that prior to the bankruptcy of the Parent Company and pursuant to a support agreement among the Parent Company, SSIF (a direct subsidiary of the Parent Comp</w:t>
      </w:r>
      <w:r>
        <w:rPr>
          <w:rFonts w:ascii="Arial" w:eastAsia="宋体" w:hAnsi="Arial" w:cs="Arial"/>
          <w:color w:val="000000"/>
          <w:sz w:val="20"/>
          <w:szCs w:val="20"/>
        </w:rPr>
        <w:t xml:space="preserve">any), our Beneficiary Entities (as defined below) and certain of our other entities, SSIF is obligated, up to its available resources, to recapitalize and/or provide liquidity to State Street Bank and the other entities benefiting from such capital and/or </w:t>
      </w:r>
      <w:r>
        <w:rPr>
          <w:rFonts w:ascii="Arial" w:eastAsia="宋体" w:hAnsi="Arial" w:cs="Arial"/>
          <w:color w:val="000000"/>
          <w:sz w:val="20"/>
          <w:szCs w:val="20"/>
        </w:rPr>
        <w:t>liquidity support (collectively with State Street Bank, “Beneficiary Entities”), in amounts designed to prevent the Beneficiary Entities from themselves entering into resolution proceedings. Following the recapitalization of, or provision of liquidity to t</w:t>
      </w:r>
      <w:r>
        <w:rPr>
          <w:rFonts w:ascii="Arial" w:eastAsia="宋体" w:hAnsi="Arial" w:cs="Arial"/>
          <w:color w:val="000000"/>
          <w:sz w:val="20"/>
          <w:szCs w:val="20"/>
        </w:rPr>
        <w:t>he Beneficiary Entities, the Parent Company would enter into a bankruptcy proceeding under the U.S. Bankruptcy Code. The Beneficiary Entities and our other subsidiaries would be transferred to a newly organized holding company held by a reorganization trus</w:t>
      </w:r>
      <w:r>
        <w:rPr>
          <w:rFonts w:ascii="Arial" w:eastAsia="宋体" w:hAnsi="Arial" w:cs="Arial"/>
          <w:color w:val="000000"/>
          <w:sz w:val="20"/>
          <w:szCs w:val="20"/>
        </w:rPr>
        <w:t xml:space="preserve">t for the benefit of the Parent Company’s claimants. </w:t>
      </w:r>
    </w:p>
    <w:p w14:paraId="71D40B04" w14:textId="77777777" w:rsidR="006A3667" w:rsidRDefault="00045F32">
      <w:pPr>
        <w:spacing w:before="60"/>
        <w:ind w:firstLine="450"/>
        <w:jc w:val="both"/>
        <w:textAlignment w:val="top"/>
      </w:pPr>
      <w:r>
        <w:rPr>
          <w:rFonts w:ascii="Arial" w:eastAsia="宋体" w:hAnsi="Arial" w:cs="Arial"/>
          <w:color w:val="000000"/>
          <w:sz w:val="20"/>
          <w:szCs w:val="20"/>
        </w:rPr>
        <w:t>Under the support agreement, the Parent Company has pre-funded SSIF by contributing certain of its assets (primarily its liquid assets, cash deposits, investments in intercompany debt, investments in ma</w:t>
      </w:r>
      <w:r>
        <w:rPr>
          <w:rFonts w:ascii="Arial" w:eastAsia="宋体" w:hAnsi="Arial" w:cs="Arial"/>
          <w:color w:val="000000"/>
          <w:sz w:val="20"/>
          <w:szCs w:val="20"/>
        </w:rPr>
        <w:t>rketable securities and other cash and non-cash equivalent investments) to SSIF at the time it entered into the support agreement and will continue to contribute such assets, to the extent available, on an on-going basis. In consideration for these contrib</w:t>
      </w:r>
      <w:r>
        <w:rPr>
          <w:rFonts w:ascii="Arial" w:eastAsia="宋体" w:hAnsi="Arial" w:cs="Arial"/>
          <w:color w:val="000000"/>
          <w:sz w:val="20"/>
          <w:szCs w:val="20"/>
        </w:rPr>
        <w:t>utions, SSIF has agreed in the support agreement to provide capital and liquidity support to the Parent Company and all of the Beneficiary Entities in accordance with the Parent Company’s capital and liquidity policies. Under the support agreement, the Par</w:t>
      </w:r>
      <w:r>
        <w:rPr>
          <w:rFonts w:ascii="Arial" w:eastAsia="宋体" w:hAnsi="Arial" w:cs="Arial"/>
          <w:color w:val="000000"/>
          <w:sz w:val="20"/>
          <w:szCs w:val="20"/>
        </w:rPr>
        <w:t>ent Company is only permitted to retain cash needed to meet its upcoming obligations and to fund expected expenses during a potential bankruptcy proceeding. SSIF has provided the Parent Company with a committed credit line and issued (and may issue) one or</w:t>
      </w:r>
      <w:r>
        <w:rPr>
          <w:rFonts w:ascii="Arial" w:eastAsia="宋体" w:hAnsi="Arial" w:cs="Arial"/>
          <w:color w:val="000000"/>
          <w:sz w:val="20"/>
          <w:szCs w:val="20"/>
        </w:rPr>
        <w:t xml:space="preserve"> more promissory notes to the Parent Company (the Parent Company Funding Notes) that together are intended to allow the Parent Company to continue to meet its obligations throughout the period prior to the occurrence of a "Recapitalization Event", which is</w:t>
      </w:r>
      <w:r>
        <w:rPr>
          <w:rFonts w:ascii="Arial" w:eastAsia="宋体" w:hAnsi="Arial" w:cs="Arial"/>
          <w:color w:val="000000"/>
          <w:sz w:val="20"/>
          <w:szCs w:val="20"/>
        </w:rPr>
        <w:t xml:space="preserve"> defined under the </w:t>
      </w:r>
    </w:p>
    <w:p w14:paraId="71D40B05" w14:textId="77777777" w:rsidR="006A3667" w:rsidRDefault="00045F32">
      <w:pPr>
        <w:ind w:firstLine="450"/>
        <w:jc w:val="right"/>
      </w:pPr>
      <w:r>
        <w:rPr>
          <w:rFonts w:ascii="Arial" w:eastAsia="宋体" w:hAnsi="Arial" w:cs="Arial"/>
          <w:color w:val="000000"/>
          <w:sz w:val="18"/>
          <w:szCs w:val="18"/>
        </w:rPr>
        <w:t>State Street Corporation | 35</w:t>
      </w:r>
    </w:p>
    <w:p w14:paraId="71D40B06" w14:textId="77777777" w:rsidR="006A3667" w:rsidRDefault="006A3667">
      <w:pPr>
        <w:ind w:firstLine="450"/>
        <w:jc w:val="center"/>
      </w:pPr>
    </w:p>
    <w:p w14:paraId="71D40B07" w14:textId="77777777" w:rsidR="006A3667" w:rsidRDefault="00045F32">
      <w:r>
        <w:pict w14:anchorId="71D4AC37">
          <v:rect id="_x0000_i1059" style="width:415.3pt;height:1.5pt" o:hralign="center" o:hrstd="t" o:hr="t" fillcolor="#a0a0a0" stroked="f"/>
        </w:pict>
      </w:r>
    </w:p>
    <w:p w14:paraId="71D40B08"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B09" w14:textId="77777777" w:rsidR="006A3667" w:rsidRDefault="00045F32">
      <w:pPr>
        <w:ind w:firstLine="450"/>
        <w:jc w:val="center"/>
      </w:pPr>
      <w:r>
        <w:rPr>
          <w:rFonts w:ascii="Arial" w:eastAsia="宋体" w:hAnsi="Arial" w:cs="Arial"/>
          <w:b/>
          <w:bCs/>
          <w:color w:val="000000"/>
          <w:sz w:val="20"/>
          <w:szCs w:val="20"/>
        </w:rPr>
        <w:t>AND RESULTS OF OPERATIONS</w:t>
      </w:r>
    </w:p>
    <w:p w14:paraId="71D40B0A" w14:textId="77777777" w:rsidR="006A3667" w:rsidRDefault="00045F32">
      <w:pPr>
        <w:spacing w:before="60"/>
        <w:jc w:val="both"/>
        <w:textAlignment w:val="top"/>
      </w:pPr>
      <w:r>
        <w:rPr>
          <w:rFonts w:ascii="Arial" w:eastAsia="宋体" w:hAnsi="Arial" w:cs="Arial"/>
          <w:color w:val="000000"/>
          <w:sz w:val="20"/>
          <w:szCs w:val="20"/>
        </w:rPr>
        <w:t>support agreement as the earlier occurrence of: (1) one or more capital and liquidity thresholds being breached or (2</w:t>
      </w:r>
      <w:r>
        <w:rPr>
          <w:rFonts w:ascii="Arial" w:eastAsia="宋体" w:hAnsi="Arial" w:cs="Arial"/>
          <w:color w:val="000000"/>
          <w:sz w:val="20"/>
          <w:szCs w:val="20"/>
        </w:rPr>
        <w:t>) the authorization by the Parent Company's Board of Directors for the Parent Company to commence bankruptcy proceedings. The support agreement does not obligate SSIF to maintain any specific level of resources and SSIF may not have sufficient resources to</w:t>
      </w:r>
      <w:r>
        <w:rPr>
          <w:rFonts w:ascii="Arial" w:eastAsia="宋体" w:hAnsi="Arial" w:cs="Arial"/>
          <w:color w:val="000000"/>
          <w:sz w:val="20"/>
          <w:szCs w:val="20"/>
        </w:rPr>
        <w:t xml:space="preserve"> implement the SPOE Strategy.</w:t>
      </w:r>
    </w:p>
    <w:p w14:paraId="71D40B0B" w14:textId="77777777" w:rsidR="006A3667" w:rsidRDefault="00045F32">
      <w:pPr>
        <w:spacing w:before="60"/>
        <w:ind w:firstLine="450"/>
        <w:jc w:val="both"/>
        <w:textAlignment w:val="top"/>
      </w:pPr>
      <w:r>
        <w:rPr>
          <w:rFonts w:ascii="Arial" w:eastAsia="宋体" w:hAnsi="Arial" w:cs="Arial"/>
          <w:color w:val="000000"/>
          <w:sz w:val="20"/>
          <w:szCs w:val="20"/>
        </w:rPr>
        <w:t>In the event a Recapitalization Event occurs, the obligations outstanding under the Parent Company Funding Notes would automatically convert into or be exchanged for capital contributed to SSIF. The obligations of the Parent C</w:t>
      </w:r>
      <w:r>
        <w:rPr>
          <w:rFonts w:ascii="Arial" w:eastAsia="宋体" w:hAnsi="Arial" w:cs="Arial"/>
          <w:color w:val="000000"/>
          <w:sz w:val="20"/>
          <w:szCs w:val="20"/>
        </w:rPr>
        <w:t>ompany and SSIF under the support agreement are secured through a security agreement that grants a lien on the assets that the Parent Company and SSIF would use to fulfill their obligations under the support agreement to the Beneficiary Entities. SSIF is a</w:t>
      </w:r>
      <w:r>
        <w:rPr>
          <w:rFonts w:ascii="Arial" w:eastAsia="宋体" w:hAnsi="Arial" w:cs="Arial"/>
          <w:color w:val="000000"/>
          <w:sz w:val="20"/>
          <w:szCs w:val="20"/>
        </w:rPr>
        <w:t xml:space="preserve"> distinct legal entity separate from the Parent Company and the Parent Company’s other affiliates. </w:t>
      </w:r>
    </w:p>
    <w:p w14:paraId="71D40B0C" w14:textId="77777777" w:rsidR="006A3667" w:rsidRDefault="00045F32">
      <w:pPr>
        <w:spacing w:before="60"/>
        <w:ind w:firstLine="450"/>
        <w:jc w:val="both"/>
        <w:textAlignment w:val="top"/>
      </w:pPr>
      <w:r>
        <w:rPr>
          <w:rFonts w:ascii="Arial" w:eastAsia="宋体" w:hAnsi="Arial" w:cs="Arial"/>
          <w:color w:val="000000"/>
          <w:sz w:val="20"/>
          <w:szCs w:val="20"/>
        </w:rPr>
        <w:t>In accordance with our policies, we are required to monitor, on an ongoing basis, the capital and liquidity needs of State Street Bank and our other Benefic</w:t>
      </w:r>
      <w:r>
        <w:rPr>
          <w:rFonts w:ascii="Arial" w:eastAsia="宋体" w:hAnsi="Arial" w:cs="Arial"/>
          <w:color w:val="000000"/>
          <w:sz w:val="20"/>
          <w:szCs w:val="20"/>
        </w:rPr>
        <w:t xml:space="preserve">iary Entities. To support this process, we have established a trigger framework that identifies key actions that would need to be taken or decisions that would need to be made if certain events tied to our financial condition occur. The trigger thresholds </w:t>
      </w:r>
      <w:r>
        <w:rPr>
          <w:rFonts w:ascii="Arial" w:eastAsia="宋体" w:hAnsi="Arial" w:cs="Arial"/>
          <w:color w:val="000000"/>
          <w:sz w:val="20"/>
          <w:szCs w:val="20"/>
        </w:rPr>
        <w:t>are set at levels intended to provide for the availability of sufficient capital and liquidity to enable an orderly resolution without extraordinary government support that results in us emerging from resolution as a stabilized institution with market conf</w:t>
      </w:r>
      <w:r>
        <w:rPr>
          <w:rFonts w:ascii="Arial" w:eastAsia="宋体" w:hAnsi="Arial" w:cs="Arial"/>
          <w:color w:val="000000"/>
          <w:sz w:val="20"/>
          <w:szCs w:val="20"/>
        </w:rPr>
        <w:t xml:space="preserve">idence restored. </w:t>
      </w:r>
    </w:p>
    <w:p w14:paraId="71D40B0D" w14:textId="77777777" w:rsidR="006A3667" w:rsidRDefault="00045F32">
      <w:pPr>
        <w:spacing w:before="60"/>
        <w:ind w:firstLine="450"/>
        <w:jc w:val="both"/>
        <w:textAlignment w:val="top"/>
      </w:pPr>
      <w:r>
        <w:rPr>
          <w:rFonts w:ascii="Arial" w:eastAsia="宋体" w:hAnsi="Arial" w:cs="Arial"/>
          <w:color w:val="000000"/>
          <w:sz w:val="20"/>
          <w:szCs w:val="20"/>
        </w:rPr>
        <w:t>Upon the occurrence of a Recapitalization Event: (1) SSIF would not be authorized to provide any further liquidity to the Parent Company; (2) the Parent Company would be required to contribute to SSIF any remaining assets it is required t</w:t>
      </w:r>
      <w:r>
        <w:rPr>
          <w:rFonts w:ascii="Arial" w:eastAsia="宋体" w:hAnsi="Arial" w:cs="Arial"/>
          <w:color w:val="000000"/>
          <w:sz w:val="20"/>
          <w:szCs w:val="20"/>
        </w:rPr>
        <w:t>o contribute to SSIF under the support agreement, (which specifically exclude amounts designated to fund expected expenses during a potential bankruptcy proceeding); (3) SSIF would be required to provide capital and liquidity support to the Beneficiary Ent</w:t>
      </w:r>
      <w:r>
        <w:rPr>
          <w:rFonts w:ascii="Arial" w:eastAsia="宋体" w:hAnsi="Arial" w:cs="Arial"/>
          <w:color w:val="000000"/>
          <w:sz w:val="20"/>
          <w:szCs w:val="20"/>
        </w:rPr>
        <w:t>ities to support such entities’ continued operation to the extent of its available resources and consistent with the support agreement; and (4) the Parent Company would be expected to commence Chapter 11 proceedings under the U.S. Bankruptcy Code. No perso</w:t>
      </w:r>
      <w:r>
        <w:rPr>
          <w:rFonts w:ascii="Arial" w:eastAsia="宋体" w:hAnsi="Arial" w:cs="Arial"/>
          <w:color w:val="000000"/>
          <w:sz w:val="20"/>
          <w:szCs w:val="20"/>
        </w:rPr>
        <w:t xml:space="preserve">n or entity, other than a party to the support agreement, should rely on any of our affiliates being or remaining a Beneficiary Entity or receiving capital or liquidity support pursuant to the support agreement, including in evaluating any of our entities </w:t>
      </w:r>
      <w:r>
        <w:rPr>
          <w:rFonts w:ascii="Arial" w:eastAsia="宋体" w:hAnsi="Arial" w:cs="Arial"/>
          <w:color w:val="000000"/>
          <w:sz w:val="20"/>
          <w:szCs w:val="20"/>
        </w:rPr>
        <w:t xml:space="preserve">from a creditor's perspective or determining whether to enter into a contractual relationship with any of our entities. </w:t>
      </w:r>
    </w:p>
    <w:p w14:paraId="71D40B0E" w14:textId="77777777" w:rsidR="006A3667" w:rsidRDefault="00045F32">
      <w:pPr>
        <w:spacing w:before="60"/>
        <w:ind w:firstLine="450"/>
        <w:jc w:val="both"/>
        <w:textAlignment w:val="top"/>
      </w:pPr>
      <w:r>
        <w:rPr>
          <w:rFonts w:ascii="Arial" w:eastAsia="宋体" w:hAnsi="Arial" w:cs="Arial"/>
          <w:color w:val="000000"/>
          <w:sz w:val="20"/>
          <w:szCs w:val="20"/>
        </w:rPr>
        <w:t>State Street Bank is also required to submit periodically to the FDIC a plan for resolution in the event of its failure, referred to as</w:t>
      </w:r>
      <w:r>
        <w:rPr>
          <w:rFonts w:ascii="Arial" w:eastAsia="宋体" w:hAnsi="Arial" w:cs="Arial"/>
          <w:color w:val="000000"/>
          <w:sz w:val="20"/>
          <w:szCs w:val="20"/>
        </w:rPr>
        <w:t xml:space="preserve"> an IDI plan. We submitted our last IDI plan before July 1, 2018. In November 2018, the FDIC had announced that until the FDIC completed revisions to its IDI plan requirements, no IDI plans would be required to be filed. On June 25, 2021, the FDIC issued a</w:t>
      </w:r>
      <w:r>
        <w:rPr>
          <w:rFonts w:ascii="Arial" w:eastAsia="宋体" w:hAnsi="Arial" w:cs="Arial"/>
          <w:color w:val="000000"/>
          <w:sz w:val="20"/>
          <w:szCs w:val="20"/>
        </w:rPr>
        <w:t xml:space="preserve"> policy statement on resolution plans for IDIs that allows for content streamlining and adjusts the frequency of submissions to a three-year cycle. </w:t>
      </w:r>
    </w:p>
    <w:p w14:paraId="71D40B0F" w14:textId="77777777" w:rsidR="006A3667" w:rsidRDefault="00045F32">
      <w:pPr>
        <w:spacing w:before="60"/>
        <w:ind w:firstLine="450"/>
        <w:jc w:val="both"/>
        <w:textAlignment w:val="top"/>
      </w:pPr>
      <w:r>
        <w:rPr>
          <w:rFonts w:ascii="Arial" w:eastAsia="宋体" w:hAnsi="Arial" w:cs="Arial"/>
          <w:color w:val="000000"/>
          <w:sz w:val="20"/>
          <w:szCs w:val="20"/>
        </w:rPr>
        <w:t>Additionally, we are required to submit a recovery plan to the Federal Reserve. This plan includes detailed</w:t>
      </w:r>
      <w:r>
        <w:rPr>
          <w:rFonts w:ascii="Arial" w:eastAsia="宋体" w:hAnsi="Arial" w:cs="Arial"/>
          <w:color w:val="000000"/>
          <w:sz w:val="20"/>
          <w:szCs w:val="20"/>
        </w:rPr>
        <w:t xml:space="preserve"> governance triggers and contingency actions that can be implemented in a timely manner in the event of extreme financial distress. We also have recovery planning requirements in certain international jurisdictions where we operate.</w:t>
      </w:r>
    </w:p>
    <w:p w14:paraId="71D40B10" w14:textId="77777777" w:rsidR="006A3667" w:rsidRDefault="00045F32">
      <w:pPr>
        <w:spacing w:before="60"/>
        <w:textAlignment w:val="top"/>
      </w:pPr>
      <w:r>
        <w:rPr>
          <w:rFonts w:ascii="Arial" w:eastAsia="宋体" w:hAnsi="Arial" w:cs="Arial"/>
          <w:b/>
          <w:bCs/>
          <w:i/>
          <w:iCs/>
          <w:color w:val="000000"/>
          <w:sz w:val="20"/>
          <w:szCs w:val="20"/>
        </w:rPr>
        <w:t>Funding</w:t>
      </w:r>
    </w:p>
    <w:p w14:paraId="71D40B11" w14:textId="77777777" w:rsidR="006A3667" w:rsidRDefault="00045F32">
      <w:pPr>
        <w:spacing w:before="60"/>
        <w:textAlignment w:val="top"/>
      </w:pPr>
      <w:r>
        <w:rPr>
          <w:rFonts w:ascii="Arial" w:eastAsia="宋体" w:hAnsi="Arial" w:cs="Arial"/>
          <w:i/>
          <w:iCs/>
          <w:color w:val="000000"/>
          <w:sz w:val="20"/>
          <w:szCs w:val="20"/>
        </w:rPr>
        <w:t>Deposits</w:t>
      </w:r>
    </w:p>
    <w:p w14:paraId="71D40B12" w14:textId="77777777" w:rsidR="006A3667" w:rsidRDefault="00045F32">
      <w:pPr>
        <w:spacing w:before="60"/>
        <w:ind w:firstLine="450"/>
        <w:jc w:val="both"/>
        <w:textAlignment w:val="top"/>
      </w:pPr>
      <w:r>
        <w:rPr>
          <w:rFonts w:ascii="Arial" w:eastAsia="宋体" w:hAnsi="Arial" w:cs="Arial"/>
          <w:color w:val="000000"/>
          <w:sz w:val="20"/>
          <w:szCs w:val="20"/>
        </w:rPr>
        <w:t>We pro</w:t>
      </w:r>
      <w:r>
        <w:rPr>
          <w:rFonts w:ascii="Arial" w:eastAsia="宋体" w:hAnsi="Arial" w:cs="Arial"/>
          <w:color w:val="000000"/>
          <w:sz w:val="20"/>
          <w:szCs w:val="20"/>
        </w:rPr>
        <w:t>vide products and services including custody, accounting, administration, daily pricing, FX services, cash management, financial asset management, securities finance and investment advisory services. As a provider of these products and services, we generat</w:t>
      </w:r>
      <w:r>
        <w:rPr>
          <w:rFonts w:ascii="Arial" w:eastAsia="宋体" w:hAnsi="Arial" w:cs="Arial"/>
          <w:color w:val="000000"/>
          <w:sz w:val="20"/>
          <w:szCs w:val="20"/>
        </w:rPr>
        <w:t>e client deposits, which have generally provided a stable, low-cost source of funds. As a global custodian, clients place deposits with our entities in various currencies. As of both September 30, 2022 and December 31, 2021, approximately 65% of our averag</w:t>
      </w:r>
      <w:r>
        <w:rPr>
          <w:rFonts w:ascii="Arial" w:eastAsia="宋体" w:hAnsi="Arial" w:cs="Arial"/>
          <w:color w:val="000000"/>
          <w:sz w:val="20"/>
          <w:szCs w:val="20"/>
        </w:rPr>
        <w:t>e total deposit balances were denominated in U.S. dollars, 15% in EUR, 10% in GBP and 10% in all other currencies.</w:t>
      </w:r>
    </w:p>
    <w:p w14:paraId="71D40B13" w14:textId="77777777" w:rsidR="006A3667" w:rsidRDefault="00045F32">
      <w:pPr>
        <w:spacing w:before="60"/>
        <w:textAlignment w:val="top"/>
      </w:pPr>
      <w:r>
        <w:rPr>
          <w:rFonts w:ascii="Arial" w:eastAsia="宋体" w:hAnsi="Arial" w:cs="Arial"/>
          <w:i/>
          <w:iCs/>
          <w:color w:val="000000"/>
          <w:sz w:val="20"/>
          <w:szCs w:val="20"/>
        </w:rPr>
        <w:t>Short-Term Funding</w:t>
      </w:r>
    </w:p>
    <w:p w14:paraId="71D40B14" w14:textId="77777777" w:rsidR="006A3667" w:rsidRDefault="00045F32">
      <w:pPr>
        <w:spacing w:before="60"/>
        <w:ind w:firstLine="450"/>
        <w:jc w:val="both"/>
        <w:textAlignment w:val="top"/>
      </w:pPr>
      <w:r>
        <w:rPr>
          <w:rFonts w:ascii="Arial" w:eastAsia="宋体" w:hAnsi="Arial" w:cs="Arial"/>
          <w:color w:val="000000"/>
          <w:sz w:val="20"/>
          <w:szCs w:val="20"/>
        </w:rPr>
        <w:t>Our on-balance sheet liquid assets are also an integral component of our liquidity management strategy. These assets provi</w:t>
      </w:r>
      <w:r>
        <w:rPr>
          <w:rFonts w:ascii="Arial" w:eastAsia="宋体" w:hAnsi="Arial" w:cs="Arial"/>
          <w:color w:val="000000"/>
          <w:sz w:val="20"/>
          <w:szCs w:val="20"/>
        </w:rPr>
        <w:t>de liquidity through maturities of the assets, but more importantly, they provide us with the ability to raise funds by pledging the securities as collateral for borrowings or through outright sales. In addition, our access to the global capital markets gi</w:t>
      </w:r>
      <w:r>
        <w:rPr>
          <w:rFonts w:ascii="Arial" w:eastAsia="宋体" w:hAnsi="Arial" w:cs="Arial"/>
          <w:color w:val="000000"/>
          <w:sz w:val="20"/>
          <w:szCs w:val="20"/>
        </w:rPr>
        <w:t>ves us the ability to source incremental funding from wholesale investors. As discussed earlier under “Asset Liquidity,” State Street Bank's membership in the FHLB allows for advances of liquidity with varying terms against high-quality collateral.</w:t>
      </w:r>
    </w:p>
    <w:p w14:paraId="71D40B15" w14:textId="77777777" w:rsidR="006A3667" w:rsidRDefault="00045F32">
      <w:pPr>
        <w:spacing w:before="60"/>
        <w:ind w:firstLine="450"/>
        <w:jc w:val="both"/>
        <w:textAlignment w:val="top"/>
      </w:pPr>
      <w:r>
        <w:rPr>
          <w:rFonts w:ascii="Arial" w:eastAsia="宋体" w:hAnsi="Arial" w:cs="Arial"/>
          <w:color w:val="000000"/>
          <w:sz w:val="20"/>
          <w:szCs w:val="20"/>
        </w:rPr>
        <w:t>Short-t</w:t>
      </w:r>
      <w:r>
        <w:rPr>
          <w:rFonts w:ascii="Arial" w:eastAsia="宋体" w:hAnsi="Arial" w:cs="Arial"/>
          <w:color w:val="000000"/>
          <w:sz w:val="20"/>
          <w:szCs w:val="20"/>
        </w:rPr>
        <w:t>erm secured funding also comes in the form of securities lent or sold under agreements to repurchase. These transactions are short-term in nature, generally overnight and are collateralized by high-quality investment securities. These balances were $4.25 b</w:t>
      </w:r>
      <w:r>
        <w:rPr>
          <w:rFonts w:ascii="Arial" w:eastAsia="宋体" w:hAnsi="Arial" w:cs="Arial"/>
          <w:color w:val="000000"/>
          <w:sz w:val="20"/>
          <w:szCs w:val="20"/>
        </w:rPr>
        <w:t>illion and $1.58 billion as of September 30, 2022 and December 31, 2021, respectively.</w:t>
      </w:r>
    </w:p>
    <w:p w14:paraId="71D40B16" w14:textId="77777777" w:rsidR="006A3667" w:rsidRDefault="00045F32">
      <w:pPr>
        <w:ind w:firstLine="450"/>
        <w:jc w:val="right"/>
      </w:pPr>
      <w:r>
        <w:rPr>
          <w:rFonts w:ascii="Arial" w:eastAsia="宋体" w:hAnsi="Arial" w:cs="Arial"/>
          <w:color w:val="000000"/>
          <w:sz w:val="18"/>
          <w:szCs w:val="18"/>
        </w:rPr>
        <w:t>State Street Corporation | 36</w:t>
      </w:r>
    </w:p>
    <w:p w14:paraId="71D40B17" w14:textId="77777777" w:rsidR="006A3667" w:rsidRDefault="006A3667">
      <w:pPr>
        <w:ind w:firstLine="450"/>
        <w:jc w:val="center"/>
      </w:pPr>
    </w:p>
    <w:p w14:paraId="71D40B18" w14:textId="77777777" w:rsidR="006A3667" w:rsidRDefault="00045F32">
      <w:r>
        <w:pict w14:anchorId="71D4AC38">
          <v:rect id="_x0000_i1060" style="width:415.3pt;height:1.5pt" o:hralign="center" o:hrstd="t" o:hr="t" fillcolor="#a0a0a0" stroked="f"/>
        </w:pict>
      </w:r>
    </w:p>
    <w:p w14:paraId="71D40B19"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B1A" w14:textId="77777777" w:rsidR="006A3667" w:rsidRDefault="00045F32">
      <w:pPr>
        <w:ind w:firstLine="450"/>
        <w:jc w:val="center"/>
      </w:pPr>
      <w:r>
        <w:rPr>
          <w:rFonts w:ascii="Arial" w:eastAsia="宋体" w:hAnsi="Arial" w:cs="Arial"/>
          <w:b/>
          <w:bCs/>
          <w:color w:val="000000"/>
          <w:sz w:val="20"/>
          <w:szCs w:val="20"/>
        </w:rPr>
        <w:t>AND RESULTS OF OPERATIONS</w:t>
      </w:r>
    </w:p>
    <w:p w14:paraId="71D40B1B" w14:textId="77777777" w:rsidR="006A3667" w:rsidRDefault="00045F32">
      <w:pPr>
        <w:spacing w:before="60"/>
        <w:ind w:firstLine="450"/>
        <w:jc w:val="both"/>
        <w:textAlignment w:val="top"/>
      </w:pPr>
      <w:r>
        <w:rPr>
          <w:rFonts w:ascii="Arial" w:eastAsia="宋体" w:hAnsi="Arial" w:cs="Arial"/>
          <w:color w:val="000000"/>
          <w:sz w:val="20"/>
          <w:szCs w:val="20"/>
        </w:rPr>
        <w:t xml:space="preserve">State Street Bank currently maintains a line of credit with a financial institution of CAD </w:t>
      </w:r>
      <w:r>
        <w:rPr>
          <w:rFonts w:ascii="Arial" w:eastAsia="宋体" w:hAnsi="Arial" w:cs="Arial"/>
          <w:color w:val="000000"/>
          <w:sz w:val="20"/>
          <w:szCs w:val="20"/>
          <w:shd w:val="clear" w:color="auto" w:fill="FFFFFF"/>
        </w:rPr>
        <w:t>$1.40 billion</w:t>
      </w:r>
      <w:r>
        <w:rPr>
          <w:rFonts w:ascii="Arial" w:eastAsia="宋体" w:hAnsi="Arial" w:cs="Arial"/>
          <w:color w:val="000000"/>
          <w:sz w:val="20"/>
          <w:szCs w:val="20"/>
        </w:rPr>
        <w:t xml:space="preserve">, or approximately </w:t>
      </w:r>
      <w:r>
        <w:rPr>
          <w:rFonts w:ascii="Arial" w:eastAsia="宋体" w:hAnsi="Arial" w:cs="Arial"/>
          <w:color w:val="000000"/>
          <w:sz w:val="20"/>
          <w:szCs w:val="20"/>
          <w:shd w:val="clear" w:color="auto" w:fill="FFFFFF"/>
        </w:rPr>
        <w:t>$1.02 billion</w:t>
      </w:r>
      <w:r>
        <w:rPr>
          <w:rFonts w:ascii="Arial" w:eastAsia="宋体" w:hAnsi="Arial" w:cs="Arial"/>
          <w:color w:val="000000"/>
          <w:sz w:val="20"/>
          <w:szCs w:val="20"/>
        </w:rPr>
        <w:t>, as of September 30, 2022, to support its Canadian securities processing operations. The line of credit has</w:t>
      </w:r>
      <w:r>
        <w:rPr>
          <w:rFonts w:ascii="Arial" w:eastAsia="宋体" w:hAnsi="Arial" w:cs="Arial"/>
          <w:color w:val="000000"/>
          <w:sz w:val="20"/>
          <w:szCs w:val="20"/>
          <w:shd w:val="clear" w:color="auto" w:fill="FFFFFF"/>
        </w:rPr>
        <w:t xml:space="preserve"> no s</w:t>
      </w:r>
      <w:r>
        <w:rPr>
          <w:rFonts w:ascii="Arial" w:eastAsia="宋体" w:hAnsi="Arial" w:cs="Arial"/>
          <w:color w:val="000000"/>
          <w:sz w:val="20"/>
          <w:szCs w:val="20"/>
        </w:rPr>
        <w:t xml:space="preserve">tated termination date and is cancelable by either party with prior notice. As of both September 30, 2022 and December 31, 2021, there was </w:t>
      </w:r>
      <w:r>
        <w:rPr>
          <w:rFonts w:ascii="Arial" w:eastAsia="宋体" w:hAnsi="Arial" w:cs="Arial"/>
          <w:color w:val="000000"/>
          <w:sz w:val="20"/>
          <w:szCs w:val="20"/>
          <w:shd w:val="clear" w:color="auto" w:fill="FFFFFF"/>
        </w:rPr>
        <w:t>no</w:t>
      </w:r>
      <w:r>
        <w:rPr>
          <w:rFonts w:ascii="Arial" w:eastAsia="宋体" w:hAnsi="Arial" w:cs="Arial"/>
          <w:color w:val="000000"/>
          <w:sz w:val="20"/>
          <w:szCs w:val="20"/>
        </w:rPr>
        <w:t xml:space="preserve"> balance outstanding on this line of credit.</w:t>
      </w:r>
    </w:p>
    <w:p w14:paraId="71D40B1C" w14:textId="77777777" w:rsidR="006A3667" w:rsidRDefault="00045F32">
      <w:pPr>
        <w:spacing w:before="60"/>
        <w:textAlignment w:val="top"/>
      </w:pPr>
      <w:r>
        <w:rPr>
          <w:rFonts w:ascii="Arial" w:eastAsia="宋体" w:hAnsi="Arial" w:cs="Arial"/>
          <w:i/>
          <w:iCs/>
          <w:color w:val="000000"/>
          <w:sz w:val="20"/>
          <w:szCs w:val="20"/>
        </w:rPr>
        <w:t>Long-Term Funding</w:t>
      </w:r>
    </w:p>
    <w:p w14:paraId="71D40B1D" w14:textId="77777777" w:rsidR="006A3667" w:rsidRDefault="00045F32">
      <w:pPr>
        <w:spacing w:before="60"/>
        <w:ind w:firstLine="450"/>
        <w:jc w:val="both"/>
        <w:textAlignment w:val="top"/>
      </w:pPr>
      <w:r>
        <w:rPr>
          <w:rFonts w:ascii="Arial" w:eastAsia="宋体" w:hAnsi="Arial" w:cs="Arial"/>
          <w:color w:val="000000"/>
          <w:sz w:val="20"/>
          <w:szCs w:val="20"/>
          <w:shd w:val="clear" w:color="auto" w:fill="FFFFFF"/>
        </w:rPr>
        <w:t>We have the ability to issue debt and equity securit</w:t>
      </w:r>
      <w:r>
        <w:rPr>
          <w:rFonts w:ascii="Arial" w:eastAsia="宋体" w:hAnsi="Arial" w:cs="Arial"/>
          <w:color w:val="000000"/>
          <w:sz w:val="20"/>
          <w:szCs w:val="20"/>
          <w:shd w:val="clear" w:color="auto" w:fill="FFFFFF"/>
        </w:rPr>
        <w:t>ies under our current universal shelf registration statement to meet current commitments and business needs. In addition, State Street Bank also has current authorization from the Board to issue unsecured senior debt. The total amount remaining for issuanc</w:t>
      </w:r>
      <w:r>
        <w:rPr>
          <w:rFonts w:ascii="Arial" w:eastAsia="宋体" w:hAnsi="Arial" w:cs="Arial"/>
          <w:color w:val="000000"/>
          <w:sz w:val="20"/>
          <w:szCs w:val="20"/>
          <w:shd w:val="clear" w:color="auto" w:fill="FFFFFF"/>
        </w:rPr>
        <w:t>e pursuant to this authority</w:t>
      </w:r>
      <w:r>
        <w:rPr>
          <w:rFonts w:ascii="Arial" w:eastAsia="宋体" w:hAnsi="Arial" w:cs="Arial"/>
          <w:color w:val="000000"/>
          <w:sz w:val="20"/>
          <w:szCs w:val="20"/>
        </w:rPr>
        <w:t xml:space="preserve"> is $2.15 billion as</w:t>
      </w:r>
      <w:r>
        <w:rPr>
          <w:rFonts w:ascii="Arial" w:eastAsia="宋体" w:hAnsi="Arial" w:cs="Arial"/>
          <w:color w:val="000000"/>
          <w:sz w:val="20"/>
          <w:szCs w:val="20"/>
          <w:shd w:val="clear" w:color="auto" w:fill="FFFFFF"/>
        </w:rPr>
        <w:t xml:space="preserve"> of September 30, 2022.</w:t>
      </w:r>
    </w:p>
    <w:p w14:paraId="71D40B1E" w14:textId="77777777" w:rsidR="006A3667" w:rsidRDefault="00045F32">
      <w:pPr>
        <w:spacing w:before="60"/>
        <w:ind w:firstLine="450"/>
        <w:jc w:val="both"/>
        <w:textAlignment w:val="top"/>
      </w:pPr>
      <w:r>
        <w:rPr>
          <w:rFonts w:ascii="Arial" w:eastAsia="宋体" w:hAnsi="Arial" w:cs="Arial"/>
          <w:color w:val="000000"/>
          <w:sz w:val="20"/>
          <w:szCs w:val="20"/>
          <w:shd w:val="clear" w:color="auto" w:fill="FFFFFF"/>
        </w:rPr>
        <w:t>On February 7, 2022, we issued $300 million aggregate principal amount of 1.746% fixed-to-floating rate senior notes due 2026, $650 million aggregate principal amount of 2.203% fixed-t</w:t>
      </w:r>
      <w:r>
        <w:rPr>
          <w:rFonts w:ascii="Arial" w:eastAsia="宋体" w:hAnsi="Arial" w:cs="Arial"/>
          <w:color w:val="000000"/>
          <w:sz w:val="20"/>
          <w:szCs w:val="20"/>
          <w:shd w:val="clear" w:color="auto" w:fill="FFFFFF"/>
        </w:rPr>
        <w:t>o-floating rate senior notes due 2028 and $550 million aggregate principal amount of 2.623% fixed-to-floating rate senior notes due 2033.</w:t>
      </w:r>
    </w:p>
    <w:p w14:paraId="71D40B1F" w14:textId="77777777" w:rsidR="006A3667" w:rsidRDefault="00045F32">
      <w:pPr>
        <w:spacing w:before="60"/>
        <w:ind w:firstLine="450"/>
        <w:jc w:val="both"/>
        <w:textAlignment w:val="top"/>
      </w:pPr>
      <w:r>
        <w:rPr>
          <w:rFonts w:ascii="Arial" w:eastAsia="宋体" w:hAnsi="Arial" w:cs="Arial"/>
          <w:color w:val="000000"/>
          <w:sz w:val="20"/>
          <w:szCs w:val="20"/>
          <w:shd w:val="clear" w:color="auto" w:fill="FFFFFF"/>
        </w:rPr>
        <w:t>On March 30, 2022, we redeemed $750 million aggregate principal amount of 2.825% fixed-to-floating rate senior notes d</w:t>
      </w:r>
      <w:r>
        <w:rPr>
          <w:rFonts w:ascii="Arial" w:eastAsia="宋体" w:hAnsi="Arial" w:cs="Arial"/>
          <w:color w:val="000000"/>
          <w:sz w:val="20"/>
          <w:szCs w:val="20"/>
          <w:shd w:val="clear" w:color="auto" w:fill="FFFFFF"/>
        </w:rPr>
        <w:t>ue 2023.</w:t>
      </w:r>
    </w:p>
    <w:p w14:paraId="71D40B20" w14:textId="77777777" w:rsidR="006A3667" w:rsidRDefault="00045F32">
      <w:pPr>
        <w:spacing w:before="60"/>
        <w:ind w:firstLine="450"/>
        <w:jc w:val="both"/>
        <w:textAlignment w:val="top"/>
      </w:pPr>
      <w:r>
        <w:rPr>
          <w:rFonts w:ascii="Arial" w:eastAsia="宋体" w:hAnsi="Arial" w:cs="Arial"/>
          <w:color w:val="000000"/>
          <w:sz w:val="20"/>
          <w:szCs w:val="20"/>
          <w:shd w:val="clear" w:color="auto" w:fill="FFFFFF"/>
        </w:rPr>
        <w:t>On May 13, 2022, we issued $500 million aggregate principal amount of 4.421% fixed-to-floating rate senior notes due 2033.</w:t>
      </w:r>
    </w:p>
    <w:p w14:paraId="71D40B21" w14:textId="77777777" w:rsidR="006A3667" w:rsidRDefault="00045F32">
      <w:pPr>
        <w:spacing w:before="60"/>
        <w:ind w:firstLine="450"/>
        <w:jc w:val="both"/>
        <w:textAlignment w:val="top"/>
      </w:pPr>
      <w:r>
        <w:rPr>
          <w:rFonts w:ascii="Arial" w:eastAsia="宋体" w:hAnsi="Arial" w:cs="Arial"/>
          <w:color w:val="000000"/>
          <w:sz w:val="20"/>
          <w:szCs w:val="20"/>
          <w:shd w:val="clear" w:color="auto" w:fill="FFFFFF"/>
        </w:rPr>
        <w:t>On May 15, 2022, we redeemed $750 million aggregate principal amount of 2.653% fixed-to-floating rate senior notes due 2023.</w:t>
      </w:r>
    </w:p>
    <w:p w14:paraId="71D40B22" w14:textId="77777777" w:rsidR="006A3667" w:rsidRDefault="00045F32">
      <w:pPr>
        <w:spacing w:before="60" w:after="120"/>
        <w:ind w:firstLine="450"/>
        <w:jc w:val="both"/>
        <w:textAlignment w:val="top"/>
      </w:pPr>
      <w:r>
        <w:rPr>
          <w:rFonts w:ascii="Arial" w:eastAsia="宋体" w:hAnsi="Arial" w:cs="Arial"/>
          <w:color w:val="000000"/>
          <w:sz w:val="20"/>
          <w:szCs w:val="20"/>
          <w:shd w:val="clear" w:color="auto" w:fill="FFFFFF"/>
        </w:rPr>
        <w:t>On August 4, 2022, we issued $750 million aggregate principal amount of 4.164% fixed-to-floating rate senior notes due 2033.</w:t>
      </w:r>
    </w:p>
    <w:p w14:paraId="71D40B23" w14:textId="77777777" w:rsidR="006A3667" w:rsidRDefault="00045F32">
      <w:pPr>
        <w:spacing w:before="60"/>
        <w:jc w:val="both"/>
        <w:textAlignment w:val="top"/>
      </w:pPr>
      <w:r>
        <w:rPr>
          <w:rFonts w:ascii="Arial" w:eastAsia="宋体" w:hAnsi="Arial" w:cs="Arial"/>
          <w:b/>
          <w:bCs/>
          <w:i/>
          <w:iCs/>
          <w:color w:val="000000"/>
          <w:sz w:val="20"/>
          <w:szCs w:val="20"/>
        </w:rPr>
        <w:t>Agency Credit Ratings</w:t>
      </w:r>
    </w:p>
    <w:p w14:paraId="71D40B24" w14:textId="77777777" w:rsidR="006A3667" w:rsidRDefault="00045F32">
      <w:pPr>
        <w:spacing w:before="60"/>
        <w:ind w:firstLine="450"/>
        <w:jc w:val="both"/>
        <w:textAlignment w:val="top"/>
      </w:pPr>
      <w:r>
        <w:rPr>
          <w:rFonts w:ascii="Arial" w:eastAsia="宋体" w:hAnsi="Arial" w:cs="Arial"/>
          <w:color w:val="000000"/>
          <w:sz w:val="20"/>
          <w:szCs w:val="20"/>
        </w:rPr>
        <w:t>Our ability to maintain consistent access to liquidity is fostered by the maintenance of high investment gra</w:t>
      </w:r>
      <w:r>
        <w:rPr>
          <w:rFonts w:ascii="Arial" w:eastAsia="宋体" w:hAnsi="Arial" w:cs="Arial"/>
          <w:color w:val="000000"/>
          <w:sz w:val="20"/>
          <w:szCs w:val="20"/>
        </w:rPr>
        <w:t>de ratings as measured by the major independent credit rating agencies. Factors essential to maintaining high credit ratings include:</w:t>
      </w:r>
    </w:p>
    <w:p w14:paraId="71D40B25" w14:textId="77777777" w:rsidR="006A3667" w:rsidRDefault="00045F32">
      <w:pPr>
        <w:spacing w:before="60"/>
        <w:ind w:hanging="360"/>
        <w:jc w:val="both"/>
        <w:textAlignment w:val="top"/>
      </w:pPr>
      <w:r>
        <w:rPr>
          <w:rFonts w:ascii="Arial" w:eastAsia="宋体" w:hAnsi="Arial" w:cs="Arial"/>
          <w:color w:val="000000"/>
          <w:sz w:val="20"/>
          <w:szCs w:val="20"/>
        </w:rPr>
        <w:t>•diverse and stable core earnings;</w:t>
      </w:r>
    </w:p>
    <w:p w14:paraId="71D40B26" w14:textId="77777777" w:rsidR="006A3667" w:rsidRDefault="00045F32">
      <w:pPr>
        <w:spacing w:before="60"/>
        <w:ind w:hanging="360"/>
        <w:jc w:val="both"/>
        <w:textAlignment w:val="top"/>
      </w:pPr>
      <w:r>
        <w:rPr>
          <w:rFonts w:ascii="Arial" w:eastAsia="宋体" w:hAnsi="Arial" w:cs="Arial"/>
          <w:color w:val="000000"/>
          <w:sz w:val="20"/>
          <w:szCs w:val="20"/>
        </w:rPr>
        <w:t>•relative market position;</w:t>
      </w:r>
    </w:p>
    <w:p w14:paraId="71D40B27" w14:textId="77777777" w:rsidR="006A3667" w:rsidRDefault="00045F32">
      <w:pPr>
        <w:spacing w:before="60"/>
        <w:ind w:hanging="360"/>
        <w:jc w:val="both"/>
        <w:textAlignment w:val="top"/>
      </w:pPr>
      <w:r>
        <w:rPr>
          <w:rFonts w:ascii="Arial" w:eastAsia="宋体" w:hAnsi="Arial" w:cs="Arial"/>
          <w:color w:val="000000"/>
          <w:sz w:val="20"/>
          <w:szCs w:val="20"/>
        </w:rPr>
        <w:t>•strong risk management;</w:t>
      </w:r>
    </w:p>
    <w:p w14:paraId="71D40B28" w14:textId="77777777" w:rsidR="006A3667" w:rsidRDefault="00045F32">
      <w:pPr>
        <w:spacing w:before="60"/>
        <w:ind w:hanging="360"/>
        <w:jc w:val="both"/>
        <w:textAlignment w:val="top"/>
      </w:pPr>
      <w:r>
        <w:rPr>
          <w:rFonts w:ascii="Arial" w:eastAsia="宋体" w:hAnsi="Arial" w:cs="Arial"/>
          <w:color w:val="000000"/>
          <w:sz w:val="20"/>
          <w:szCs w:val="20"/>
        </w:rPr>
        <w:t>•strong capital ratios;</w:t>
      </w:r>
    </w:p>
    <w:p w14:paraId="71D40B29" w14:textId="77777777" w:rsidR="006A3667" w:rsidRDefault="00045F32">
      <w:pPr>
        <w:spacing w:before="60"/>
        <w:ind w:hanging="360"/>
        <w:jc w:val="both"/>
        <w:textAlignment w:val="top"/>
      </w:pPr>
      <w:r>
        <w:rPr>
          <w:rFonts w:ascii="Arial" w:eastAsia="宋体" w:hAnsi="Arial" w:cs="Arial"/>
          <w:color w:val="000000"/>
          <w:sz w:val="20"/>
          <w:szCs w:val="20"/>
        </w:rPr>
        <w:t>•diverse li</w:t>
      </w:r>
      <w:r>
        <w:rPr>
          <w:rFonts w:ascii="Arial" w:eastAsia="宋体" w:hAnsi="Arial" w:cs="Arial"/>
          <w:color w:val="000000"/>
          <w:sz w:val="20"/>
          <w:szCs w:val="20"/>
        </w:rPr>
        <w:t>quidity sources, including the global capital markets and client deposits;</w:t>
      </w:r>
    </w:p>
    <w:p w14:paraId="71D40B2A" w14:textId="77777777" w:rsidR="006A3667" w:rsidRDefault="00045F32">
      <w:pPr>
        <w:spacing w:before="60"/>
        <w:ind w:hanging="360"/>
        <w:jc w:val="both"/>
        <w:textAlignment w:val="top"/>
      </w:pPr>
      <w:r>
        <w:rPr>
          <w:rFonts w:ascii="Arial" w:eastAsia="宋体" w:hAnsi="Arial" w:cs="Arial"/>
          <w:color w:val="000000"/>
          <w:sz w:val="20"/>
          <w:szCs w:val="20"/>
        </w:rPr>
        <w:t>•strong liquidity monitoring procedures; and</w:t>
      </w:r>
    </w:p>
    <w:p w14:paraId="71D40B2B" w14:textId="77777777" w:rsidR="006A3667" w:rsidRDefault="00045F32">
      <w:pPr>
        <w:spacing w:before="60"/>
        <w:ind w:hanging="360"/>
        <w:jc w:val="both"/>
        <w:textAlignment w:val="top"/>
      </w:pPr>
      <w:r>
        <w:rPr>
          <w:rFonts w:ascii="Arial" w:eastAsia="宋体" w:hAnsi="Arial" w:cs="Arial"/>
          <w:color w:val="000000"/>
          <w:sz w:val="20"/>
          <w:szCs w:val="20"/>
        </w:rPr>
        <w:t>•preparedness for current or future regulatory developments.</w:t>
      </w:r>
    </w:p>
    <w:p w14:paraId="71D40B2C" w14:textId="77777777" w:rsidR="006A3667" w:rsidRDefault="00045F32">
      <w:pPr>
        <w:spacing w:before="60"/>
        <w:ind w:firstLine="450"/>
        <w:textAlignment w:val="top"/>
      </w:pPr>
      <w:r>
        <w:rPr>
          <w:rFonts w:ascii="Arial" w:eastAsia="宋体" w:hAnsi="Arial" w:cs="Arial"/>
          <w:color w:val="000000"/>
          <w:sz w:val="20"/>
          <w:szCs w:val="20"/>
        </w:rPr>
        <w:t>High ratings limit borrowing costs and enhance our liquidity by:</w:t>
      </w:r>
    </w:p>
    <w:p w14:paraId="71D40B2D" w14:textId="77777777" w:rsidR="006A3667" w:rsidRDefault="00045F32">
      <w:pPr>
        <w:spacing w:before="60"/>
        <w:ind w:hanging="360"/>
        <w:jc w:val="both"/>
        <w:textAlignment w:val="top"/>
      </w:pPr>
      <w:r>
        <w:rPr>
          <w:rFonts w:ascii="Arial" w:eastAsia="宋体" w:hAnsi="Arial" w:cs="Arial"/>
          <w:color w:val="000000"/>
          <w:sz w:val="20"/>
          <w:szCs w:val="20"/>
        </w:rPr>
        <w:t>•providing assurance for unsecured funding and depositors;</w:t>
      </w:r>
    </w:p>
    <w:p w14:paraId="71D40B2E" w14:textId="77777777" w:rsidR="006A3667" w:rsidRDefault="00045F32">
      <w:pPr>
        <w:spacing w:before="60"/>
        <w:ind w:hanging="360"/>
        <w:jc w:val="both"/>
        <w:textAlignment w:val="top"/>
      </w:pPr>
      <w:r>
        <w:rPr>
          <w:rFonts w:ascii="Arial" w:eastAsia="宋体" w:hAnsi="Arial" w:cs="Arial"/>
          <w:color w:val="000000"/>
          <w:sz w:val="20"/>
          <w:szCs w:val="20"/>
        </w:rPr>
        <w:t>•increasing the potential market for our debt and improving our ability to offer products;</w:t>
      </w:r>
    </w:p>
    <w:p w14:paraId="71D40B2F" w14:textId="77777777" w:rsidR="006A3667" w:rsidRDefault="00045F32">
      <w:pPr>
        <w:spacing w:before="60"/>
        <w:ind w:hanging="360"/>
        <w:jc w:val="both"/>
        <w:textAlignment w:val="top"/>
      </w:pPr>
      <w:r>
        <w:rPr>
          <w:rFonts w:ascii="Arial" w:eastAsia="宋体" w:hAnsi="Arial" w:cs="Arial"/>
          <w:color w:val="000000"/>
          <w:sz w:val="20"/>
          <w:szCs w:val="20"/>
        </w:rPr>
        <w:t xml:space="preserve">•serving markets; and </w:t>
      </w:r>
    </w:p>
    <w:p w14:paraId="71D40B30" w14:textId="77777777" w:rsidR="006A3667" w:rsidRDefault="00045F32">
      <w:pPr>
        <w:spacing w:before="60"/>
        <w:ind w:hanging="360"/>
        <w:jc w:val="both"/>
        <w:textAlignment w:val="top"/>
      </w:pPr>
      <w:r>
        <w:rPr>
          <w:rFonts w:ascii="Arial" w:eastAsia="宋体" w:hAnsi="Arial" w:cs="Arial"/>
          <w:color w:val="000000"/>
          <w:sz w:val="20"/>
          <w:szCs w:val="20"/>
        </w:rPr>
        <w:t>•engaging in transactions in which clients value high credit ratings.</w:t>
      </w:r>
    </w:p>
    <w:p w14:paraId="71D40B31" w14:textId="77777777" w:rsidR="006A3667" w:rsidRDefault="00045F32">
      <w:pPr>
        <w:spacing w:before="60"/>
        <w:ind w:firstLine="450"/>
        <w:jc w:val="both"/>
        <w:textAlignment w:val="top"/>
      </w:pPr>
      <w:r>
        <w:rPr>
          <w:rFonts w:ascii="Arial" w:eastAsia="宋体" w:hAnsi="Arial" w:cs="Arial"/>
          <w:color w:val="000000"/>
          <w:sz w:val="20"/>
          <w:szCs w:val="20"/>
        </w:rPr>
        <w:t>A downgrade o</w:t>
      </w:r>
      <w:r>
        <w:rPr>
          <w:rFonts w:ascii="Arial" w:eastAsia="宋体" w:hAnsi="Arial" w:cs="Arial"/>
          <w:color w:val="000000"/>
          <w:sz w:val="20"/>
          <w:szCs w:val="20"/>
        </w:rPr>
        <w:t>r reduction of our credit ratings could have a material adverse effect on our liquidity by restricting our ability to access the capital markets, which could increase the related cost of funds. In turn, this could cause the sudden and large-scale withdrawa</w:t>
      </w:r>
      <w:r>
        <w:rPr>
          <w:rFonts w:ascii="Arial" w:eastAsia="宋体" w:hAnsi="Arial" w:cs="Arial"/>
          <w:color w:val="000000"/>
          <w:sz w:val="20"/>
          <w:szCs w:val="20"/>
        </w:rPr>
        <w:t>l of unsecured deposits by our clients, which could lead to drawdowns of unfunded commitments to extend credit or trigger requirements under securities purchase commitments; or require additional collateral or force terminations of certain trading derivati</w:t>
      </w:r>
      <w:r>
        <w:rPr>
          <w:rFonts w:ascii="Arial" w:eastAsia="宋体" w:hAnsi="Arial" w:cs="Arial"/>
          <w:color w:val="000000"/>
          <w:sz w:val="20"/>
          <w:szCs w:val="20"/>
        </w:rPr>
        <w:t>ve contracts.</w:t>
      </w:r>
    </w:p>
    <w:p w14:paraId="71D40B32" w14:textId="77777777" w:rsidR="006A3667" w:rsidRDefault="00045F32">
      <w:pPr>
        <w:spacing w:before="60"/>
        <w:ind w:firstLine="450"/>
        <w:jc w:val="both"/>
        <w:textAlignment w:val="top"/>
      </w:pPr>
      <w:r>
        <w:rPr>
          <w:rFonts w:ascii="Arial" w:eastAsia="宋体" w:hAnsi="Arial" w:cs="Arial"/>
          <w:color w:val="000000"/>
          <w:sz w:val="20"/>
          <w:szCs w:val="20"/>
        </w:rPr>
        <w:t>A majority of our derivative contracts have been entered into under bilateral agreements with counterparties who may require us to post collateral or terminate the transactions based on changes in our credit ratings. We assess the impact of t</w:t>
      </w:r>
      <w:r>
        <w:rPr>
          <w:rFonts w:ascii="Arial" w:eastAsia="宋体" w:hAnsi="Arial" w:cs="Arial"/>
          <w:color w:val="000000"/>
          <w:sz w:val="20"/>
          <w:szCs w:val="20"/>
        </w:rPr>
        <w:t>hese arrangements by determining the collateral that would be required assuming a downgrade by all rating agencies. The additional collateral or termination payments related to our net derivative liabilities under these arrangements that could have been ca</w:t>
      </w:r>
      <w:r>
        <w:rPr>
          <w:rFonts w:ascii="Arial" w:eastAsia="宋体" w:hAnsi="Arial" w:cs="Arial"/>
          <w:color w:val="000000"/>
          <w:sz w:val="20"/>
          <w:szCs w:val="20"/>
        </w:rPr>
        <w:t>lled by counterparties in the event of a downgrade in our credit ratings below levels specified in the agreements is provided in Note 7 to the consolidated financial statements in this Form 10-Q. Other funding sources, such as secured financing transaction</w:t>
      </w:r>
      <w:r>
        <w:rPr>
          <w:rFonts w:ascii="Arial" w:eastAsia="宋体" w:hAnsi="Arial" w:cs="Arial"/>
          <w:color w:val="000000"/>
          <w:sz w:val="20"/>
          <w:szCs w:val="20"/>
        </w:rPr>
        <w:t>s and other margin requirements, for which there are no explicit triggers, could also be adversely affected.</w:t>
      </w:r>
    </w:p>
    <w:p w14:paraId="71D40B33" w14:textId="77777777" w:rsidR="006A3667" w:rsidRDefault="00045F32">
      <w:pPr>
        <w:spacing w:before="90"/>
        <w:textAlignment w:val="top"/>
      </w:pPr>
      <w:r>
        <w:rPr>
          <w:rFonts w:ascii="Arial" w:eastAsia="宋体" w:hAnsi="Arial" w:cs="Arial"/>
          <w:b/>
          <w:bCs/>
          <w:color w:val="000000"/>
          <w:sz w:val="20"/>
          <w:szCs w:val="20"/>
        </w:rPr>
        <w:t>Operational Risk Management</w:t>
      </w:r>
    </w:p>
    <w:p w14:paraId="71D40B34" w14:textId="77777777" w:rsidR="006A3667" w:rsidRDefault="00045F32">
      <w:pPr>
        <w:spacing w:before="60"/>
        <w:ind w:firstLine="450"/>
        <w:jc w:val="both"/>
        <w:textAlignment w:val="top"/>
      </w:pPr>
      <w:r>
        <w:rPr>
          <w:rFonts w:ascii="Arial" w:eastAsia="宋体" w:hAnsi="Arial" w:cs="Arial"/>
          <w:color w:val="000000"/>
          <w:sz w:val="20"/>
          <w:szCs w:val="20"/>
        </w:rPr>
        <w:t xml:space="preserve">Operational risk is the risk of loss resulting from inadequate or failed internal processes, people and systems or from external events. </w:t>
      </w:r>
    </w:p>
    <w:p w14:paraId="71D40B35" w14:textId="77777777" w:rsidR="006A3667" w:rsidRDefault="00045F32">
      <w:pPr>
        <w:spacing w:before="60"/>
        <w:ind w:firstLine="450"/>
        <w:jc w:val="both"/>
        <w:textAlignment w:val="top"/>
      </w:pPr>
      <w:r>
        <w:rPr>
          <w:rFonts w:ascii="Arial" w:eastAsia="宋体" w:hAnsi="Arial" w:cs="Arial"/>
          <w:color w:val="000000"/>
          <w:sz w:val="20"/>
          <w:szCs w:val="20"/>
        </w:rPr>
        <w:t>Tight labor markets, challenging conditions in the global equity and fixed income markets, and heightened geopolitical</w:t>
      </w:r>
      <w:r>
        <w:rPr>
          <w:rFonts w:ascii="Arial" w:eastAsia="宋体" w:hAnsi="Arial" w:cs="Arial"/>
          <w:color w:val="000000"/>
          <w:sz w:val="20"/>
          <w:szCs w:val="20"/>
        </w:rPr>
        <w:t xml:space="preserve"> tensions, including the ongoing war in Ukraine, are resulting in stress on the operating environment and have increased, and may continue to increase, operational risk. The war in Ukraine may also heighten information technology risk exposures, including </w:t>
      </w:r>
      <w:r>
        <w:rPr>
          <w:rFonts w:ascii="Arial" w:eastAsia="宋体" w:hAnsi="Arial" w:cs="Arial"/>
          <w:color w:val="000000"/>
          <w:sz w:val="20"/>
          <w:szCs w:val="20"/>
        </w:rPr>
        <w:t xml:space="preserve">cyber-threats. See also “Information Technology Risk Management” below. </w:t>
      </w:r>
    </w:p>
    <w:p w14:paraId="71D40B36" w14:textId="77777777" w:rsidR="006A3667" w:rsidRDefault="00045F32">
      <w:pPr>
        <w:spacing w:before="60"/>
        <w:ind w:firstLine="450"/>
        <w:jc w:val="both"/>
        <w:textAlignment w:val="top"/>
      </w:pPr>
      <w:r>
        <w:rPr>
          <w:rFonts w:ascii="Arial" w:eastAsia="宋体" w:hAnsi="Arial" w:cs="Arial"/>
          <w:color w:val="000000"/>
          <w:sz w:val="20"/>
          <w:szCs w:val="20"/>
        </w:rPr>
        <w:t>For additional information about our operational risk framework, refer to pages 99 to 102 included under Item 7, Management's Discussion and Analysis of Financial Condition and Result</w:t>
      </w:r>
      <w:r>
        <w:rPr>
          <w:rFonts w:ascii="Arial" w:eastAsia="宋体" w:hAnsi="Arial" w:cs="Arial"/>
          <w:color w:val="000000"/>
          <w:sz w:val="20"/>
          <w:szCs w:val="20"/>
        </w:rPr>
        <w:t xml:space="preserve">s of Operations, </w:t>
      </w:r>
    </w:p>
    <w:p w14:paraId="71D40B37" w14:textId="77777777" w:rsidR="006A3667" w:rsidRDefault="00045F32">
      <w:pPr>
        <w:ind w:firstLine="450"/>
        <w:jc w:val="right"/>
      </w:pPr>
      <w:r>
        <w:rPr>
          <w:rFonts w:ascii="Arial" w:eastAsia="宋体" w:hAnsi="Arial" w:cs="Arial"/>
          <w:color w:val="000000"/>
          <w:sz w:val="18"/>
          <w:szCs w:val="18"/>
        </w:rPr>
        <w:t>State Street Corporation | 37</w:t>
      </w:r>
    </w:p>
    <w:p w14:paraId="71D40B38" w14:textId="77777777" w:rsidR="006A3667" w:rsidRDefault="006A3667">
      <w:pPr>
        <w:ind w:firstLine="450"/>
        <w:jc w:val="center"/>
      </w:pPr>
    </w:p>
    <w:p w14:paraId="71D40B39" w14:textId="77777777" w:rsidR="006A3667" w:rsidRDefault="00045F32">
      <w:r>
        <w:pict w14:anchorId="71D4AC39">
          <v:rect id="_x0000_i1061" style="width:415.3pt;height:1.5pt" o:hralign="center" o:hrstd="t" o:hr="t" fillcolor="#a0a0a0" stroked="f"/>
        </w:pict>
      </w:r>
    </w:p>
    <w:p w14:paraId="71D40B3A"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B3B" w14:textId="77777777" w:rsidR="006A3667" w:rsidRDefault="00045F32">
      <w:pPr>
        <w:ind w:firstLine="450"/>
        <w:jc w:val="center"/>
      </w:pPr>
      <w:r>
        <w:rPr>
          <w:rFonts w:ascii="Arial" w:eastAsia="宋体" w:hAnsi="Arial" w:cs="Arial"/>
          <w:b/>
          <w:bCs/>
          <w:color w:val="000000"/>
          <w:sz w:val="20"/>
          <w:szCs w:val="20"/>
        </w:rPr>
        <w:t>AND RESULTS OF OPERATIONS</w:t>
      </w:r>
    </w:p>
    <w:p w14:paraId="71D40B3C" w14:textId="77777777" w:rsidR="006A3667" w:rsidRDefault="00045F32">
      <w:pPr>
        <w:spacing w:before="60"/>
        <w:jc w:val="both"/>
        <w:textAlignment w:val="top"/>
      </w:pPr>
      <w:r>
        <w:rPr>
          <w:rFonts w:ascii="Arial" w:eastAsia="宋体" w:hAnsi="Arial" w:cs="Arial"/>
          <w:color w:val="000000"/>
          <w:sz w:val="20"/>
          <w:szCs w:val="20"/>
        </w:rPr>
        <w:t>"Operational Risk Management", in our 2021 Form 10-K.</w:t>
      </w:r>
    </w:p>
    <w:p w14:paraId="71D40B3D" w14:textId="77777777" w:rsidR="006A3667" w:rsidRDefault="00045F32">
      <w:pPr>
        <w:spacing w:before="90"/>
        <w:textAlignment w:val="top"/>
      </w:pPr>
      <w:r>
        <w:rPr>
          <w:rFonts w:ascii="Arial" w:eastAsia="宋体" w:hAnsi="Arial" w:cs="Arial"/>
          <w:b/>
          <w:bCs/>
          <w:color w:val="000000"/>
          <w:sz w:val="20"/>
          <w:szCs w:val="20"/>
        </w:rPr>
        <w:t>Information Technology Risk Management</w:t>
      </w:r>
    </w:p>
    <w:p w14:paraId="71D40B3E" w14:textId="77777777" w:rsidR="006A3667" w:rsidRDefault="00045F32">
      <w:pPr>
        <w:spacing w:before="60"/>
        <w:ind w:firstLine="450"/>
        <w:jc w:val="both"/>
        <w:textAlignment w:val="top"/>
      </w:pPr>
      <w:r>
        <w:rPr>
          <w:rFonts w:ascii="Arial" w:eastAsia="宋体" w:hAnsi="Arial" w:cs="Arial"/>
          <w:color w:val="000000"/>
          <w:sz w:val="20"/>
          <w:szCs w:val="20"/>
        </w:rPr>
        <w:t>We define information tech</w:t>
      </w:r>
      <w:r>
        <w:rPr>
          <w:rFonts w:ascii="Arial" w:eastAsia="宋体" w:hAnsi="Arial" w:cs="Arial"/>
          <w:color w:val="000000"/>
          <w:sz w:val="20"/>
          <w:szCs w:val="20"/>
        </w:rPr>
        <w:t>nology risk as the risk associated with the use, ownership, operation, involvement, influence and adoption of information technology. Information technology risk includes risks triggered by technology non-compliance with regulatory obligations, information</w:t>
      </w:r>
      <w:r>
        <w:rPr>
          <w:rFonts w:ascii="Arial" w:eastAsia="宋体" w:hAnsi="Arial" w:cs="Arial"/>
          <w:color w:val="000000"/>
          <w:sz w:val="20"/>
          <w:szCs w:val="20"/>
        </w:rPr>
        <w:t xml:space="preserve"> security and privacy incidents, business disruption, technology internal control and process gaps, technology operational events and adoption of new business technologies.</w:t>
      </w:r>
    </w:p>
    <w:p w14:paraId="71D40B3F" w14:textId="77777777" w:rsidR="006A3667" w:rsidRDefault="00045F32">
      <w:pPr>
        <w:spacing w:before="60"/>
        <w:ind w:firstLine="450"/>
        <w:jc w:val="both"/>
        <w:textAlignment w:val="top"/>
      </w:pPr>
      <w:r>
        <w:rPr>
          <w:rFonts w:ascii="Arial" w:eastAsia="宋体" w:hAnsi="Arial" w:cs="Arial"/>
          <w:color w:val="000000"/>
          <w:sz w:val="20"/>
          <w:szCs w:val="20"/>
        </w:rPr>
        <w:t>For additional information about our information technology risk framework and asso</w:t>
      </w:r>
      <w:r>
        <w:rPr>
          <w:rFonts w:ascii="Arial" w:eastAsia="宋体" w:hAnsi="Arial" w:cs="Arial"/>
          <w:color w:val="000000"/>
          <w:sz w:val="20"/>
          <w:szCs w:val="20"/>
        </w:rPr>
        <w:t>ciated risks, refer to pages 102 to 103 included under Item 7, Management's Discussion and Analysis of Financial Condition and Results of Operations, "Information Technology Risk Management" in our 2021 Form 10-K, and pages 46 to 47 included under Item 1A,</w:t>
      </w:r>
      <w:r>
        <w:rPr>
          <w:rFonts w:ascii="Arial" w:eastAsia="宋体" w:hAnsi="Arial" w:cs="Arial"/>
          <w:color w:val="000000"/>
          <w:sz w:val="20"/>
          <w:szCs w:val="20"/>
        </w:rPr>
        <w:t xml:space="preserve"> Risk Factors, in our 2021 Form 10-K - "Any failures of or damage to, attack on or unauthorized access to our information technology systems or facilities or disruptions to our continuous operations, including the systems, facilities or operations of third</w:t>
      </w:r>
      <w:r>
        <w:rPr>
          <w:rFonts w:ascii="Arial" w:eastAsia="宋体" w:hAnsi="Arial" w:cs="Arial"/>
          <w:color w:val="000000"/>
          <w:sz w:val="20"/>
          <w:szCs w:val="20"/>
        </w:rPr>
        <w:t xml:space="preserve"> parties with which we do business, such as resulting from cyber-attacks, could result in significant costs, reputational damage and limits on our ability to conduct our business activities".</w:t>
      </w:r>
    </w:p>
    <w:p w14:paraId="71D40B40" w14:textId="77777777" w:rsidR="006A3667" w:rsidRDefault="00045F32">
      <w:pPr>
        <w:spacing w:before="90"/>
        <w:jc w:val="both"/>
        <w:textAlignment w:val="top"/>
      </w:pPr>
      <w:r>
        <w:rPr>
          <w:rFonts w:ascii="Arial" w:eastAsia="宋体" w:hAnsi="Arial" w:cs="Arial"/>
          <w:b/>
          <w:bCs/>
          <w:color w:val="000000"/>
          <w:sz w:val="20"/>
          <w:szCs w:val="20"/>
        </w:rPr>
        <w:t>Market Risk Management</w:t>
      </w:r>
    </w:p>
    <w:p w14:paraId="71D40B41" w14:textId="77777777" w:rsidR="006A3667" w:rsidRDefault="00045F32">
      <w:pPr>
        <w:spacing w:before="60"/>
        <w:ind w:firstLine="450"/>
        <w:jc w:val="both"/>
        <w:textAlignment w:val="top"/>
      </w:pPr>
      <w:r>
        <w:rPr>
          <w:rFonts w:ascii="Arial" w:eastAsia="宋体" w:hAnsi="Arial" w:cs="Arial"/>
          <w:color w:val="000000"/>
          <w:sz w:val="20"/>
          <w:szCs w:val="20"/>
        </w:rPr>
        <w:t>Market risk is defined by U.S. banking regulators as the risk of loss that could result from broad market movements, such as changes in the general level of interest rates, credit spreads, foreign exchange rates or commodity prices. We are exposed to marke</w:t>
      </w:r>
      <w:r>
        <w:rPr>
          <w:rFonts w:ascii="Arial" w:eastAsia="宋体" w:hAnsi="Arial" w:cs="Arial"/>
          <w:color w:val="000000"/>
          <w:sz w:val="20"/>
          <w:szCs w:val="20"/>
        </w:rPr>
        <w:t xml:space="preserve">t risk in both our trading and certain of our non-trading, or asset-and-liability management, activities. </w:t>
      </w:r>
    </w:p>
    <w:p w14:paraId="71D40B42" w14:textId="77777777" w:rsidR="006A3667" w:rsidRDefault="00045F32">
      <w:pPr>
        <w:spacing w:before="60"/>
        <w:ind w:firstLine="450"/>
        <w:jc w:val="both"/>
        <w:textAlignment w:val="top"/>
      </w:pPr>
      <w:r>
        <w:rPr>
          <w:rFonts w:ascii="Arial" w:eastAsia="宋体" w:hAnsi="Arial" w:cs="Arial"/>
          <w:color w:val="000000"/>
          <w:sz w:val="20"/>
          <w:szCs w:val="20"/>
        </w:rPr>
        <w:t>Information about the market risk associated with our trading activities is provided below under “Trading Activities.” Information about the market r</w:t>
      </w:r>
      <w:r>
        <w:rPr>
          <w:rFonts w:ascii="Arial" w:eastAsia="宋体" w:hAnsi="Arial" w:cs="Arial"/>
          <w:color w:val="000000"/>
          <w:sz w:val="20"/>
          <w:szCs w:val="20"/>
        </w:rPr>
        <w:t>isk associated with our non-trading activities, which consists primarily of interest rate risk, is provided below under “Asset-and-Liability Management Activities.”</w:t>
      </w:r>
    </w:p>
    <w:p w14:paraId="71D40B43" w14:textId="77777777" w:rsidR="006A3667" w:rsidRDefault="00045F32">
      <w:pPr>
        <w:spacing w:before="60"/>
        <w:jc w:val="both"/>
        <w:textAlignment w:val="top"/>
      </w:pPr>
      <w:r>
        <w:rPr>
          <w:rFonts w:ascii="Arial" w:eastAsia="宋体" w:hAnsi="Arial" w:cs="Arial"/>
          <w:b/>
          <w:bCs/>
          <w:i/>
          <w:iCs/>
          <w:color w:val="000000"/>
          <w:sz w:val="20"/>
          <w:szCs w:val="20"/>
        </w:rPr>
        <w:t>Trading Activities</w:t>
      </w:r>
    </w:p>
    <w:p w14:paraId="71D40B44" w14:textId="77777777" w:rsidR="006A3667" w:rsidRDefault="00045F32">
      <w:pPr>
        <w:spacing w:before="60"/>
        <w:ind w:firstLine="450"/>
        <w:jc w:val="both"/>
        <w:textAlignment w:val="top"/>
      </w:pPr>
      <w:r>
        <w:rPr>
          <w:rFonts w:ascii="Arial" w:eastAsia="宋体" w:hAnsi="Arial" w:cs="Arial"/>
          <w:color w:val="000000"/>
          <w:sz w:val="20"/>
          <w:szCs w:val="20"/>
        </w:rPr>
        <w:t>In the conduct of our trading activities, we assume market risk, the lev</w:t>
      </w:r>
      <w:r>
        <w:rPr>
          <w:rFonts w:ascii="Arial" w:eastAsia="宋体" w:hAnsi="Arial" w:cs="Arial"/>
          <w:color w:val="000000"/>
          <w:sz w:val="20"/>
          <w:szCs w:val="20"/>
        </w:rPr>
        <w:t xml:space="preserve">el of which is a function of our overall risk appetite, business objectives and liquidity needs, our clients' requirements and market volatility and our execution against those factors. </w:t>
      </w:r>
    </w:p>
    <w:p w14:paraId="71D40B45" w14:textId="77777777" w:rsidR="006A3667" w:rsidRDefault="00045F32">
      <w:pPr>
        <w:spacing w:before="60"/>
        <w:ind w:firstLine="450"/>
        <w:jc w:val="both"/>
        <w:textAlignment w:val="top"/>
      </w:pPr>
      <w:r>
        <w:rPr>
          <w:rFonts w:ascii="Arial" w:eastAsia="宋体" w:hAnsi="Arial" w:cs="Arial"/>
          <w:color w:val="000000"/>
          <w:sz w:val="20"/>
          <w:szCs w:val="20"/>
        </w:rPr>
        <w:t xml:space="preserve">For additional information about the market risk associated with our </w:t>
      </w:r>
      <w:r>
        <w:rPr>
          <w:rFonts w:ascii="Arial" w:eastAsia="宋体" w:hAnsi="Arial" w:cs="Arial"/>
          <w:color w:val="000000"/>
          <w:sz w:val="20"/>
          <w:szCs w:val="20"/>
        </w:rPr>
        <w:t xml:space="preserve">trading activities, refer to pages 103 to 105 included under Item 7, Management's Discussion and Analysis of Financial Condition and </w:t>
      </w:r>
    </w:p>
    <w:p w14:paraId="71D40B46" w14:textId="77777777" w:rsidR="006A3667" w:rsidRDefault="00045F32">
      <w:pPr>
        <w:spacing w:before="60"/>
        <w:jc w:val="both"/>
        <w:textAlignment w:val="top"/>
      </w:pPr>
      <w:r>
        <w:rPr>
          <w:rFonts w:ascii="Arial" w:eastAsia="宋体" w:hAnsi="Arial" w:cs="Arial"/>
          <w:color w:val="000000"/>
          <w:sz w:val="20"/>
          <w:szCs w:val="20"/>
        </w:rPr>
        <w:t>Results of Operations, "Market Risk Management" in our 2021 Form 10-K.</w:t>
      </w:r>
    </w:p>
    <w:p w14:paraId="71D40B47" w14:textId="77777777" w:rsidR="006A3667" w:rsidRDefault="00045F32">
      <w:pPr>
        <w:spacing w:before="60"/>
        <w:ind w:firstLine="450"/>
        <w:jc w:val="both"/>
        <w:textAlignment w:val="top"/>
      </w:pPr>
      <w:r>
        <w:rPr>
          <w:rFonts w:ascii="Arial" w:eastAsia="宋体" w:hAnsi="Arial" w:cs="Arial"/>
          <w:color w:val="000000"/>
          <w:sz w:val="20"/>
          <w:szCs w:val="20"/>
        </w:rPr>
        <w:t>As part of our trading activities, we assume positi</w:t>
      </w:r>
      <w:r>
        <w:rPr>
          <w:rFonts w:ascii="Arial" w:eastAsia="宋体" w:hAnsi="Arial" w:cs="Arial"/>
          <w:color w:val="000000"/>
          <w:sz w:val="20"/>
          <w:szCs w:val="20"/>
        </w:rPr>
        <w:t>ons in the foreign exchange and interest rate markets by buying and selling cash instruments and entering into derivative instruments, including foreign exchange forward contracts, foreign exchange and interest rate options and interest rate swaps, interes</w:t>
      </w:r>
      <w:r>
        <w:rPr>
          <w:rFonts w:ascii="Arial" w:eastAsia="宋体" w:hAnsi="Arial" w:cs="Arial"/>
          <w:color w:val="000000"/>
          <w:sz w:val="20"/>
          <w:szCs w:val="20"/>
        </w:rPr>
        <w:t xml:space="preserve">t rate forward contracts and interest rate futures. As of September 30, 2022, the notional amount of these derivative contracts was $2.09 trillion, of which $2.06 trillion was composed of foreign exchange forward, swap and spot contracts. We seek to match </w:t>
      </w:r>
      <w:r>
        <w:rPr>
          <w:rFonts w:ascii="Arial" w:eastAsia="宋体" w:hAnsi="Arial" w:cs="Arial"/>
          <w:color w:val="000000"/>
          <w:sz w:val="20"/>
          <w:szCs w:val="20"/>
        </w:rPr>
        <w:t xml:space="preserve">positions closely with the objective of mitigating related currency and interest rate risk. All foreign exchange contracts are valued daily at current market rates. </w:t>
      </w:r>
    </w:p>
    <w:p w14:paraId="71D40B48" w14:textId="77777777" w:rsidR="006A3667" w:rsidRDefault="00045F32">
      <w:pPr>
        <w:spacing w:before="60"/>
        <w:jc w:val="both"/>
        <w:textAlignment w:val="top"/>
      </w:pPr>
      <w:r>
        <w:rPr>
          <w:rFonts w:ascii="Arial" w:eastAsia="宋体" w:hAnsi="Arial" w:cs="Arial"/>
          <w:b/>
          <w:bCs/>
          <w:i/>
          <w:iCs/>
          <w:color w:val="000000"/>
          <w:sz w:val="20"/>
          <w:szCs w:val="20"/>
        </w:rPr>
        <w:t>Value-at-Risk and Stressed VaR</w:t>
      </w:r>
    </w:p>
    <w:p w14:paraId="71D40B49" w14:textId="77777777" w:rsidR="006A3667" w:rsidRDefault="00045F32">
      <w:pPr>
        <w:spacing w:before="60"/>
        <w:ind w:firstLine="450"/>
        <w:jc w:val="both"/>
        <w:textAlignment w:val="top"/>
      </w:pPr>
      <w:r>
        <w:rPr>
          <w:rFonts w:ascii="Arial" w:eastAsia="宋体" w:hAnsi="Arial" w:cs="Arial"/>
          <w:color w:val="000000"/>
          <w:sz w:val="20"/>
          <w:szCs w:val="20"/>
        </w:rPr>
        <w:t>We use a variety of risk measurement tools and methodologie</w:t>
      </w:r>
      <w:r>
        <w:rPr>
          <w:rFonts w:ascii="Arial" w:eastAsia="宋体" w:hAnsi="Arial" w:cs="Arial"/>
          <w:color w:val="000000"/>
          <w:sz w:val="20"/>
          <w:szCs w:val="20"/>
        </w:rPr>
        <w:t>s, including VaR, which is an estimate of potential loss for a given period within a stated statistical confidence interval. We use a risk measurement methodology to measure trading-related VaR daily. We have adopted standards for measuring trading-related</w:t>
      </w:r>
      <w:r>
        <w:rPr>
          <w:rFonts w:ascii="Arial" w:eastAsia="宋体" w:hAnsi="Arial" w:cs="Arial"/>
          <w:color w:val="000000"/>
          <w:sz w:val="20"/>
          <w:szCs w:val="20"/>
        </w:rPr>
        <w:t xml:space="preserve"> VaR, and we maintain regulatory capital for market risk associated with our trading activities in conformity with currently applicable bank regulatory market risk requirements. Our regulatory VaR-based measure is calculated based on historical volatilitie</w:t>
      </w:r>
      <w:r>
        <w:rPr>
          <w:rFonts w:ascii="Arial" w:eastAsia="宋体" w:hAnsi="Arial" w:cs="Arial"/>
          <w:color w:val="000000"/>
          <w:sz w:val="20"/>
          <w:szCs w:val="20"/>
        </w:rPr>
        <w:t>s of market risk factors during a two-year observation period calibrated to a one-tail, 99% confidence interval and a ten-business-day holding period.</w:t>
      </w:r>
    </w:p>
    <w:p w14:paraId="71D40B4A" w14:textId="77777777" w:rsidR="006A3667" w:rsidRDefault="00045F32">
      <w:pPr>
        <w:spacing w:before="60"/>
        <w:ind w:firstLine="450"/>
        <w:jc w:val="both"/>
        <w:textAlignment w:val="top"/>
      </w:pPr>
      <w:r>
        <w:rPr>
          <w:rFonts w:ascii="Arial" w:eastAsia="宋体" w:hAnsi="Arial" w:cs="Arial"/>
          <w:color w:val="000000"/>
          <w:sz w:val="20"/>
          <w:szCs w:val="20"/>
        </w:rPr>
        <w:t>We calculate a stressed VaR-based measure using the same model we use to calculate VaR, but with model in</w:t>
      </w:r>
      <w:r>
        <w:rPr>
          <w:rFonts w:ascii="Arial" w:eastAsia="宋体" w:hAnsi="Arial" w:cs="Arial"/>
          <w:color w:val="000000"/>
          <w:sz w:val="20"/>
          <w:szCs w:val="20"/>
        </w:rPr>
        <w:t xml:space="preserve">puts calibrated to historical data from a range of continuous twelve-month periods that reflect significant financial stress. The stressed VaR model is designed to identify the second-worst outcome occurring in the worst continuous one-year rolling period </w:t>
      </w:r>
      <w:r>
        <w:rPr>
          <w:rFonts w:ascii="Arial" w:eastAsia="宋体" w:hAnsi="Arial" w:cs="Arial"/>
          <w:color w:val="000000"/>
          <w:sz w:val="20"/>
          <w:szCs w:val="20"/>
        </w:rPr>
        <w:t>since July 2007. This stressed VaR meets the regulatory requirement as the rolling ten-day period with an outcome that is worse than 99% of other outcomes during that twelve-month period of financial stress. For each portfolio, the stress period is determi</w:t>
      </w:r>
      <w:r>
        <w:rPr>
          <w:rFonts w:ascii="Arial" w:eastAsia="宋体" w:hAnsi="Arial" w:cs="Arial"/>
          <w:color w:val="000000"/>
          <w:sz w:val="20"/>
          <w:szCs w:val="20"/>
        </w:rPr>
        <w:t>ned algorithmically by seeking the one-year time horizon that produces the largest ten-business-day VaR from within the available historical data. This historical data set includes the financial crisis of 2008, the highly volatile period surrounding the Eu</w:t>
      </w:r>
      <w:r>
        <w:rPr>
          <w:rFonts w:ascii="Arial" w:eastAsia="宋体" w:hAnsi="Arial" w:cs="Arial"/>
          <w:color w:val="000000"/>
          <w:sz w:val="20"/>
          <w:szCs w:val="20"/>
        </w:rPr>
        <w:t>rozone sovereign debt crisis and the Standard &amp; Poor's downgrade of U.S. Treasury debt in August 2011, and the market volatility triggered by the COVID-19 pandemic in March 2020. As the historical data set used to determine the stress period expands over t</w:t>
      </w:r>
      <w:r>
        <w:rPr>
          <w:rFonts w:ascii="Arial" w:eastAsia="宋体" w:hAnsi="Arial" w:cs="Arial"/>
          <w:color w:val="000000"/>
          <w:sz w:val="20"/>
          <w:szCs w:val="20"/>
        </w:rPr>
        <w:t xml:space="preserve">ime, future market stress events will be incorporated. </w:t>
      </w:r>
    </w:p>
    <w:p w14:paraId="71D40B4B" w14:textId="77777777" w:rsidR="006A3667" w:rsidRDefault="00045F32">
      <w:pPr>
        <w:ind w:firstLine="450"/>
        <w:jc w:val="right"/>
      </w:pPr>
      <w:r>
        <w:rPr>
          <w:rFonts w:ascii="Arial" w:eastAsia="宋体" w:hAnsi="Arial" w:cs="Arial"/>
          <w:color w:val="000000"/>
          <w:sz w:val="18"/>
          <w:szCs w:val="18"/>
        </w:rPr>
        <w:t>State Street Corporation | 38</w:t>
      </w:r>
    </w:p>
    <w:p w14:paraId="71D40B4C" w14:textId="77777777" w:rsidR="006A3667" w:rsidRDefault="006A3667">
      <w:pPr>
        <w:ind w:firstLine="450"/>
        <w:jc w:val="center"/>
      </w:pPr>
    </w:p>
    <w:p w14:paraId="71D40B4D" w14:textId="77777777" w:rsidR="006A3667" w:rsidRDefault="00045F32">
      <w:r>
        <w:pict w14:anchorId="71D4AC3A">
          <v:rect id="_x0000_i1062" style="width:415.3pt;height:1.5pt" o:hralign="center" o:hrstd="t" o:hr="t" fillcolor="#a0a0a0" stroked="f"/>
        </w:pict>
      </w:r>
    </w:p>
    <w:p w14:paraId="71D40B4E"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B4F" w14:textId="77777777" w:rsidR="006A3667" w:rsidRDefault="00045F32">
      <w:pPr>
        <w:ind w:firstLine="450"/>
        <w:jc w:val="center"/>
      </w:pPr>
      <w:r>
        <w:rPr>
          <w:rFonts w:ascii="Arial" w:eastAsia="宋体" w:hAnsi="Arial" w:cs="Arial"/>
          <w:b/>
          <w:bCs/>
          <w:color w:val="000000"/>
          <w:sz w:val="20"/>
          <w:szCs w:val="20"/>
        </w:rPr>
        <w:t>AND RESULTS OF OPERATIONS</w:t>
      </w:r>
    </w:p>
    <w:p w14:paraId="71D40B50" w14:textId="77777777" w:rsidR="006A3667" w:rsidRDefault="00045F32">
      <w:pPr>
        <w:spacing w:before="60"/>
        <w:ind w:firstLine="450"/>
        <w:jc w:val="both"/>
      </w:pPr>
      <w:r>
        <w:rPr>
          <w:rFonts w:ascii="Arial" w:eastAsia="宋体" w:hAnsi="Arial" w:cs="Arial"/>
          <w:color w:val="000000"/>
          <w:sz w:val="20"/>
          <w:szCs w:val="20"/>
        </w:rPr>
        <w:t>For additional information about our VaR measurement tools and methodologies, ref</w:t>
      </w:r>
      <w:r>
        <w:rPr>
          <w:rFonts w:ascii="Arial" w:eastAsia="宋体" w:hAnsi="Arial" w:cs="Arial"/>
          <w:color w:val="000000"/>
          <w:sz w:val="20"/>
          <w:szCs w:val="20"/>
        </w:rPr>
        <w:t>er to pages 105 to 110 included under Item 7, Management's Discussion and Analysis of Financial Condition and Results of Operations, "Value-at-Risk and Stressed VaR" in our 2021 Form 10-K.</w:t>
      </w:r>
    </w:p>
    <w:p w14:paraId="71D40B51" w14:textId="77777777" w:rsidR="006A3667" w:rsidRDefault="00045F32">
      <w:pPr>
        <w:spacing w:before="60"/>
        <w:jc w:val="both"/>
      </w:pPr>
      <w:r>
        <w:rPr>
          <w:rFonts w:ascii="Arial" w:eastAsia="宋体" w:hAnsi="Arial" w:cs="Arial"/>
          <w:i/>
          <w:iCs/>
          <w:color w:val="000000"/>
          <w:sz w:val="20"/>
          <w:szCs w:val="20"/>
        </w:rPr>
        <w:t>Stress Testing</w:t>
      </w:r>
    </w:p>
    <w:p w14:paraId="71D40B52" w14:textId="77777777" w:rsidR="006A3667" w:rsidRDefault="00045F32">
      <w:pPr>
        <w:spacing w:before="60"/>
        <w:ind w:firstLine="450"/>
        <w:jc w:val="both"/>
      </w:pPr>
      <w:r>
        <w:rPr>
          <w:rFonts w:ascii="Arial" w:eastAsia="宋体" w:hAnsi="Arial" w:cs="Arial"/>
          <w:color w:val="000000"/>
          <w:sz w:val="20"/>
          <w:szCs w:val="20"/>
        </w:rPr>
        <w:t xml:space="preserve">We have a corporate-wide stress testing program in place that incorporates an array of techniques to measure the potential loss we could suffer in a hypothetical scenario of adverse economic and financial conditions. We also monitor concentrations of risk </w:t>
      </w:r>
      <w:r>
        <w:rPr>
          <w:rFonts w:ascii="Arial" w:eastAsia="宋体" w:hAnsi="Arial" w:cs="Arial"/>
          <w:color w:val="000000"/>
          <w:sz w:val="20"/>
          <w:szCs w:val="20"/>
        </w:rPr>
        <w:t>such as concentration by branch, risk component, and currency pairs. We conduct stress testing on a daily basis based on selected historical stress events that are relevant to our positions in order to estimate the potential impact to our current portfolio</w:t>
      </w:r>
      <w:r>
        <w:rPr>
          <w:rFonts w:ascii="Arial" w:eastAsia="宋体" w:hAnsi="Arial" w:cs="Arial"/>
          <w:color w:val="000000"/>
          <w:sz w:val="20"/>
          <w:szCs w:val="20"/>
        </w:rPr>
        <w:t xml:space="preserve"> should similar market conditions recur, and we also perform stress testing as part of the Federal Reserve's CCAR process. Stress testing is conducted, analyzed and reported at the corporate, trading desk, division and risk-factor level (for example, excha</w:t>
      </w:r>
      <w:r>
        <w:rPr>
          <w:rFonts w:ascii="Arial" w:eastAsia="宋体" w:hAnsi="Arial" w:cs="Arial"/>
          <w:color w:val="000000"/>
          <w:sz w:val="20"/>
          <w:szCs w:val="20"/>
        </w:rPr>
        <w:t xml:space="preserve">nge risk, interest rate risk and volatility risk). </w:t>
      </w:r>
    </w:p>
    <w:p w14:paraId="71D40B53" w14:textId="77777777" w:rsidR="006A3667" w:rsidRDefault="00045F32">
      <w:pPr>
        <w:spacing w:before="60"/>
        <w:ind w:firstLine="450"/>
        <w:jc w:val="both"/>
      </w:pPr>
      <w:r>
        <w:rPr>
          <w:rFonts w:ascii="Arial" w:eastAsia="宋体" w:hAnsi="Arial" w:cs="Arial"/>
          <w:color w:val="000000"/>
          <w:sz w:val="20"/>
          <w:szCs w:val="20"/>
        </w:rPr>
        <w:t>Stress testing results and limits are actively monitored on a daily basis by Enterprise Risk Management (ERM) and reported to the Credit and Market Risk Committee (CMRC). Limit breaches are addressed by E</w:t>
      </w:r>
      <w:r>
        <w:rPr>
          <w:rFonts w:ascii="Arial" w:eastAsia="宋体" w:hAnsi="Arial" w:cs="Arial"/>
          <w:color w:val="000000"/>
          <w:sz w:val="20"/>
          <w:szCs w:val="20"/>
        </w:rPr>
        <w:t>RM risk managers in conjunction with the business units, escalated as appropriate, and reviewed by the CMRC if material. In addition, we have established several action triggers that prompt review by management and the implementation of a remediation plan.</w:t>
      </w:r>
    </w:p>
    <w:p w14:paraId="71D40B54" w14:textId="77777777" w:rsidR="006A3667" w:rsidRDefault="00045F32">
      <w:pPr>
        <w:spacing w:before="60"/>
        <w:jc w:val="both"/>
      </w:pPr>
      <w:r>
        <w:rPr>
          <w:rFonts w:ascii="Arial" w:eastAsia="宋体" w:hAnsi="Arial" w:cs="Arial"/>
          <w:b/>
          <w:bCs/>
          <w:i/>
          <w:iCs/>
          <w:color w:val="000000"/>
          <w:sz w:val="20"/>
          <w:szCs w:val="20"/>
        </w:rPr>
        <w:t>Validation and Back-Testing</w:t>
      </w:r>
    </w:p>
    <w:p w14:paraId="71D40B55" w14:textId="77777777" w:rsidR="006A3667" w:rsidRDefault="00045F32">
      <w:pPr>
        <w:spacing w:before="60"/>
        <w:ind w:firstLine="450"/>
        <w:jc w:val="both"/>
      </w:pPr>
      <w:r>
        <w:rPr>
          <w:rFonts w:ascii="Arial" w:eastAsia="宋体" w:hAnsi="Arial" w:cs="Arial"/>
          <w:color w:val="000000"/>
          <w:sz w:val="20"/>
          <w:szCs w:val="20"/>
        </w:rPr>
        <w:t>We perform frequent back-testing to assess the accuracy of our VaR-based model in estimating loss at the stated confidence level. This back-testing involves the comparison of estimated VaR model outputs to daily, actual profit-and-loss (P&amp;L) outcomes obser</w:t>
      </w:r>
      <w:r>
        <w:rPr>
          <w:rFonts w:ascii="Arial" w:eastAsia="宋体" w:hAnsi="Arial" w:cs="Arial"/>
          <w:color w:val="000000"/>
          <w:sz w:val="20"/>
          <w:szCs w:val="20"/>
        </w:rPr>
        <w:t xml:space="preserve">ved from daily market movements. We back-test our VaR model using “clean” P&amp;L, which excludes non-trading revenue such as fees, commissions and NII, as well as estimated revenue from intra-day trading. </w:t>
      </w:r>
    </w:p>
    <w:p w14:paraId="71D40B56" w14:textId="77777777" w:rsidR="006A3667" w:rsidRDefault="00045F32">
      <w:pPr>
        <w:spacing w:before="60"/>
        <w:ind w:firstLine="450"/>
        <w:jc w:val="both"/>
      </w:pPr>
      <w:r>
        <w:rPr>
          <w:rFonts w:ascii="Arial" w:eastAsia="宋体" w:hAnsi="Arial" w:cs="Arial"/>
          <w:color w:val="000000"/>
          <w:sz w:val="20"/>
          <w:szCs w:val="20"/>
        </w:rPr>
        <w:t>Our VaR definition of trading losses excludes items t</w:t>
      </w:r>
      <w:r>
        <w:rPr>
          <w:rFonts w:ascii="Arial" w:eastAsia="宋体" w:hAnsi="Arial" w:cs="Arial"/>
          <w:color w:val="000000"/>
          <w:sz w:val="20"/>
          <w:szCs w:val="20"/>
        </w:rPr>
        <w:t>hat are not specific to the price movement of the trading assets and liabilities themselves, such as fees, commissions, changes to reserves and gains or losses from intra-day activity.</w:t>
      </w:r>
    </w:p>
    <w:p w14:paraId="71D40B57" w14:textId="77777777" w:rsidR="006A3667" w:rsidRDefault="00045F32">
      <w:pPr>
        <w:spacing w:before="60"/>
        <w:ind w:firstLine="450"/>
        <w:jc w:val="both"/>
      </w:pPr>
      <w:r>
        <w:rPr>
          <w:rFonts w:ascii="Arial" w:eastAsia="宋体" w:hAnsi="Arial" w:cs="Arial"/>
          <w:color w:val="000000"/>
          <w:sz w:val="20"/>
          <w:szCs w:val="20"/>
        </w:rPr>
        <w:t>We had one back-testing exception in the quarter ended September 30, 20</w:t>
      </w:r>
      <w:r>
        <w:rPr>
          <w:rFonts w:ascii="Arial" w:eastAsia="宋体" w:hAnsi="Arial" w:cs="Arial"/>
          <w:color w:val="000000"/>
          <w:sz w:val="20"/>
          <w:szCs w:val="20"/>
        </w:rPr>
        <w:t>22, which was driven by market volatility in GBP towards the end of September. We had no back-testing exceptions in the quarters ended June 30, 2022 and September 30, 2021. At a 99% confidence interval, the statistical expectation for a VaR model is to wit</w:t>
      </w:r>
      <w:r>
        <w:rPr>
          <w:rFonts w:ascii="Arial" w:eastAsia="宋体" w:hAnsi="Arial" w:cs="Arial"/>
          <w:color w:val="000000"/>
          <w:sz w:val="20"/>
          <w:szCs w:val="20"/>
        </w:rPr>
        <w:t xml:space="preserve">ness one exception every hundred trading days (or two to three exceptions per year). </w:t>
      </w:r>
    </w:p>
    <w:p w14:paraId="71D40B58" w14:textId="77777777" w:rsidR="006A3667" w:rsidRDefault="00045F32">
      <w:pPr>
        <w:spacing w:before="60"/>
        <w:ind w:firstLine="450"/>
        <w:jc w:val="both"/>
      </w:pPr>
      <w:r>
        <w:rPr>
          <w:rFonts w:ascii="Arial" w:eastAsia="宋体" w:hAnsi="Arial" w:cs="Arial"/>
          <w:color w:val="000000"/>
          <w:sz w:val="20"/>
          <w:szCs w:val="20"/>
        </w:rPr>
        <w:t>The following tables present VaR and stressed VaR associated with our trading activities for covered positions held during the quarters ended September 30, 2022, June 30,</w:t>
      </w:r>
      <w:r>
        <w:rPr>
          <w:rFonts w:ascii="Arial" w:eastAsia="宋体" w:hAnsi="Arial" w:cs="Arial"/>
          <w:color w:val="000000"/>
          <w:sz w:val="20"/>
          <w:szCs w:val="20"/>
        </w:rPr>
        <w:t xml:space="preserve"> 2022 and September 30, 2021, respectively, as measured by our VaR methodology. Diversification effect in the tables below represents the difference between total VaR and the sum of the VaRs for each trading activity. This effect arises because the risks p</w:t>
      </w:r>
      <w:r>
        <w:rPr>
          <w:rFonts w:ascii="Arial" w:eastAsia="宋体" w:hAnsi="Arial" w:cs="Arial"/>
          <w:color w:val="000000"/>
          <w:sz w:val="20"/>
          <w:szCs w:val="20"/>
        </w:rPr>
        <w:t>resent in our trading activities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55"/>
        <w:gridCol w:w="1467"/>
        <w:gridCol w:w="37"/>
        <w:gridCol w:w="93"/>
        <w:gridCol w:w="434"/>
        <w:gridCol w:w="36"/>
        <w:gridCol w:w="36"/>
        <w:gridCol w:w="36"/>
        <w:gridCol w:w="36"/>
        <w:gridCol w:w="93"/>
        <w:gridCol w:w="434"/>
        <w:gridCol w:w="36"/>
        <w:gridCol w:w="36"/>
        <w:gridCol w:w="36"/>
        <w:gridCol w:w="36"/>
        <w:gridCol w:w="93"/>
        <w:gridCol w:w="434"/>
        <w:gridCol w:w="36"/>
        <w:gridCol w:w="36"/>
        <w:gridCol w:w="36"/>
        <w:gridCol w:w="36"/>
        <w:gridCol w:w="36"/>
        <w:gridCol w:w="240"/>
        <w:gridCol w:w="93"/>
        <w:gridCol w:w="434"/>
        <w:gridCol w:w="36"/>
        <w:gridCol w:w="36"/>
        <w:gridCol w:w="36"/>
        <w:gridCol w:w="36"/>
        <w:gridCol w:w="93"/>
        <w:gridCol w:w="434"/>
        <w:gridCol w:w="36"/>
        <w:gridCol w:w="36"/>
        <w:gridCol w:w="36"/>
        <w:gridCol w:w="36"/>
        <w:gridCol w:w="93"/>
        <w:gridCol w:w="434"/>
        <w:gridCol w:w="36"/>
        <w:gridCol w:w="36"/>
        <w:gridCol w:w="36"/>
        <w:gridCol w:w="36"/>
        <w:gridCol w:w="43"/>
        <w:gridCol w:w="241"/>
        <w:gridCol w:w="93"/>
        <w:gridCol w:w="434"/>
        <w:gridCol w:w="36"/>
        <w:gridCol w:w="36"/>
        <w:gridCol w:w="36"/>
        <w:gridCol w:w="36"/>
        <w:gridCol w:w="124"/>
        <w:gridCol w:w="575"/>
        <w:gridCol w:w="37"/>
        <w:gridCol w:w="36"/>
        <w:gridCol w:w="36"/>
        <w:gridCol w:w="712"/>
      </w:tblGrid>
      <w:tr w:rsidR="006A3667" w14:paraId="71D40B90" w14:textId="77777777">
        <w:tc>
          <w:tcPr>
            <w:tcW w:w="50" w:type="pct"/>
            <w:shd w:val="clear" w:color="auto" w:fill="auto"/>
            <w:vAlign w:val="bottom"/>
          </w:tcPr>
          <w:p w14:paraId="71D40B59" w14:textId="77777777" w:rsidR="006A3667" w:rsidRDefault="006A3667">
            <w:pPr>
              <w:rPr>
                <w:rFonts w:ascii="宋体"/>
              </w:rPr>
            </w:pPr>
          </w:p>
        </w:tc>
        <w:tc>
          <w:tcPr>
            <w:tcW w:w="719" w:type="pct"/>
            <w:shd w:val="clear" w:color="auto" w:fill="auto"/>
            <w:vAlign w:val="bottom"/>
          </w:tcPr>
          <w:p w14:paraId="71D40B5A" w14:textId="77777777" w:rsidR="006A3667" w:rsidRDefault="006A3667">
            <w:pPr>
              <w:rPr>
                <w:rFonts w:ascii="宋体"/>
              </w:rPr>
            </w:pPr>
          </w:p>
        </w:tc>
        <w:tc>
          <w:tcPr>
            <w:tcW w:w="5" w:type="pct"/>
            <w:shd w:val="clear" w:color="auto" w:fill="auto"/>
            <w:vAlign w:val="bottom"/>
          </w:tcPr>
          <w:p w14:paraId="71D40B5B" w14:textId="77777777" w:rsidR="006A3667" w:rsidRDefault="006A3667">
            <w:pPr>
              <w:rPr>
                <w:rFonts w:ascii="宋体"/>
              </w:rPr>
            </w:pPr>
          </w:p>
        </w:tc>
        <w:tc>
          <w:tcPr>
            <w:tcW w:w="50" w:type="pct"/>
            <w:shd w:val="clear" w:color="auto" w:fill="auto"/>
            <w:vAlign w:val="bottom"/>
          </w:tcPr>
          <w:p w14:paraId="71D40B5C" w14:textId="77777777" w:rsidR="006A3667" w:rsidRDefault="006A3667">
            <w:pPr>
              <w:rPr>
                <w:rFonts w:ascii="宋体"/>
              </w:rPr>
            </w:pPr>
          </w:p>
        </w:tc>
        <w:tc>
          <w:tcPr>
            <w:tcW w:w="215" w:type="pct"/>
            <w:shd w:val="clear" w:color="auto" w:fill="auto"/>
            <w:vAlign w:val="bottom"/>
          </w:tcPr>
          <w:p w14:paraId="71D40B5D" w14:textId="77777777" w:rsidR="006A3667" w:rsidRDefault="006A3667">
            <w:pPr>
              <w:rPr>
                <w:rFonts w:ascii="宋体"/>
              </w:rPr>
            </w:pPr>
          </w:p>
        </w:tc>
        <w:tc>
          <w:tcPr>
            <w:tcW w:w="5" w:type="pct"/>
            <w:shd w:val="clear" w:color="auto" w:fill="auto"/>
            <w:vAlign w:val="bottom"/>
          </w:tcPr>
          <w:p w14:paraId="71D40B5E" w14:textId="77777777" w:rsidR="006A3667" w:rsidRDefault="006A3667">
            <w:pPr>
              <w:rPr>
                <w:rFonts w:ascii="宋体"/>
              </w:rPr>
            </w:pPr>
          </w:p>
        </w:tc>
        <w:tc>
          <w:tcPr>
            <w:tcW w:w="5" w:type="pct"/>
            <w:shd w:val="clear" w:color="auto" w:fill="auto"/>
            <w:vAlign w:val="bottom"/>
          </w:tcPr>
          <w:p w14:paraId="71D40B5F" w14:textId="77777777" w:rsidR="006A3667" w:rsidRDefault="006A3667">
            <w:pPr>
              <w:rPr>
                <w:rFonts w:ascii="宋体"/>
              </w:rPr>
            </w:pPr>
          </w:p>
        </w:tc>
        <w:tc>
          <w:tcPr>
            <w:tcW w:w="19" w:type="pct"/>
            <w:shd w:val="clear" w:color="auto" w:fill="auto"/>
            <w:vAlign w:val="bottom"/>
          </w:tcPr>
          <w:p w14:paraId="71D40B60" w14:textId="77777777" w:rsidR="006A3667" w:rsidRDefault="006A3667">
            <w:pPr>
              <w:rPr>
                <w:rFonts w:ascii="宋体"/>
              </w:rPr>
            </w:pPr>
          </w:p>
        </w:tc>
        <w:tc>
          <w:tcPr>
            <w:tcW w:w="5" w:type="pct"/>
            <w:shd w:val="clear" w:color="auto" w:fill="auto"/>
            <w:vAlign w:val="bottom"/>
          </w:tcPr>
          <w:p w14:paraId="71D40B61" w14:textId="77777777" w:rsidR="006A3667" w:rsidRDefault="006A3667">
            <w:pPr>
              <w:rPr>
                <w:rFonts w:ascii="宋体"/>
              </w:rPr>
            </w:pPr>
          </w:p>
        </w:tc>
        <w:tc>
          <w:tcPr>
            <w:tcW w:w="50" w:type="pct"/>
            <w:shd w:val="clear" w:color="auto" w:fill="auto"/>
            <w:vAlign w:val="bottom"/>
          </w:tcPr>
          <w:p w14:paraId="71D40B62" w14:textId="77777777" w:rsidR="006A3667" w:rsidRDefault="006A3667">
            <w:pPr>
              <w:rPr>
                <w:rFonts w:ascii="宋体"/>
              </w:rPr>
            </w:pPr>
          </w:p>
        </w:tc>
        <w:tc>
          <w:tcPr>
            <w:tcW w:w="259" w:type="pct"/>
            <w:shd w:val="clear" w:color="auto" w:fill="auto"/>
            <w:vAlign w:val="bottom"/>
          </w:tcPr>
          <w:p w14:paraId="71D40B63" w14:textId="77777777" w:rsidR="006A3667" w:rsidRDefault="006A3667">
            <w:pPr>
              <w:rPr>
                <w:rFonts w:ascii="宋体"/>
              </w:rPr>
            </w:pPr>
          </w:p>
        </w:tc>
        <w:tc>
          <w:tcPr>
            <w:tcW w:w="5" w:type="pct"/>
            <w:shd w:val="clear" w:color="auto" w:fill="auto"/>
            <w:vAlign w:val="bottom"/>
          </w:tcPr>
          <w:p w14:paraId="71D40B64" w14:textId="77777777" w:rsidR="006A3667" w:rsidRDefault="006A3667">
            <w:pPr>
              <w:rPr>
                <w:rFonts w:ascii="宋体"/>
              </w:rPr>
            </w:pPr>
          </w:p>
        </w:tc>
        <w:tc>
          <w:tcPr>
            <w:tcW w:w="5" w:type="pct"/>
            <w:shd w:val="clear" w:color="auto" w:fill="auto"/>
            <w:vAlign w:val="bottom"/>
          </w:tcPr>
          <w:p w14:paraId="71D40B65" w14:textId="77777777" w:rsidR="006A3667" w:rsidRDefault="006A3667">
            <w:pPr>
              <w:rPr>
                <w:rFonts w:ascii="宋体"/>
              </w:rPr>
            </w:pPr>
          </w:p>
        </w:tc>
        <w:tc>
          <w:tcPr>
            <w:tcW w:w="19" w:type="pct"/>
            <w:shd w:val="clear" w:color="auto" w:fill="auto"/>
            <w:vAlign w:val="bottom"/>
          </w:tcPr>
          <w:p w14:paraId="71D40B66" w14:textId="77777777" w:rsidR="006A3667" w:rsidRDefault="006A3667">
            <w:pPr>
              <w:rPr>
                <w:rFonts w:ascii="宋体"/>
              </w:rPr>
            </w:pPr>
          </w:p>
        </w:tc>
        <w:tc>
          <w:tcPr>
            <w:tcW w:w="5" w:type="pct"/>
            <w:shd w:val="clear" w:color="auto" w:fill="auto"/>
            <w:vAlign w:val="bottom"/>
          </w:tcPr>
          <w:p w14:paraId="71D40B67" w14:textId="77777777" w:rsidR="006A3667" w:rsidRDefault="006A3667">
            <w:pPr>
              <w:rPr>
                <w:rFonts w:ascii="宋体"/>
              </w:rPr>
            </w:pPr>
          </w:p>
        </w:tc>
        <w:tc>
          <w:tcPr>
            <w:tcW w:w="50" w:type="pct"/>
            <w:shd w:val="clear" w:color="auto" w:fill="auto"/>
            <w:vAlign w:val="bottom"/>
          </w:tcPr>
          <w:p w14:paraId="71D40B68" w14:textId="77777777" w:rsidR="006A3667" w:rsidRDefault="006A3667">
            <w:pPr>
              <w:rPr>
                <w:rFonts w:ascii="宋体"/>
              </w:rPr>
            </w:pPr>
          </w:p>
        </w:tc>
        <w:tc>
          <w:tcPr>
            <w:tcW w:w="215" w:type="pct"/>
            <w:shd w:val="clear" w:color="auto" w:fill="auto"/>
            <w:vAlign w:val="bottom"/>
          </w:tcPr>
          <w:p w14:paraId="71D40B69" w14:textId="77777777" w:rsidR="006A3667" w:rsidRDefault="006A3667">
            <w:pPr>
              <w:rPr>
                <w:rFonts w:ascii="宋体"/>
              </w:rPr>
            </w:pPr>
          </w:p>
        </w:tc>
        <w:tc>
          <w:tcPr>
            <w:tcW w:w="5" w:type="pct"/>
            <w:shd w:val="clear" w:color="auto" w:fill="auto"/>
            <w:vAlign w:val="bottom"/>
          </w:tcPr>
          <w:p w14:paraId="71D40B6A" w14:textId="77777777" w:rsidR="006A3667" w:rsidRDefault="006A3667">
            <w:pPr>
              <w:rPr>
                <w:rFonts w:ascii="宋体"/>
              </w:rPr>
            </w:pPr>
          </w:p>
        </w:tc>
        <w:tc>
          <w:tcPr>
            <w:tcW w:w="5" w:type="pct"/>
            <w:shd w:val="clear" w:color="auto" w:fill="auto"/>
            <w:vAlign w:val="bottom"/>
          </w:tcPr>
          <w:p w14:paraId="71D40B6B" w14:textId="77777777" w:rsidR="006A3667" w:rsidRDefault="006A3667">
            <w:pPr>
              <w:rPr>
                <w:rFonts w:ascii="宋体"/>
              </w:rPr>
            </w:pPr>
          </w:p>
        </w:tc>
        <w:tc>
          <w:tcPr>
            <w:tcW w:w="19" w:type="pct"/>
            <w:shd w:val="clear" w:color="auto" w:fill="auto"/>
            <w:vAlign w:val="bottom"/>
          </w:tcPr>
          <w:p w14:paraId="71D40B6C" w14:textId="77777777" w:rsidR="006A3667" w:rsidRDefault="006A3667">
            <w:pPr>
              <w:rPr>
                <w:rFonts w:ascii="宋体"/>
              </w:rPr>
            </w:pPr>
          </w:p>
        </w:tc>
        <w:tc>
          <w:tcPr>
            <w:tcW w:w="5" w:type="pct"/>
            <w:shd w:val="clear" w:color="auto" w:fill="auto"/>
            <w:vAlign w:val="bottom"/>
          </w:tcPr>
          <w:p w14:paraId="71D40B6D" w14:textId="77777777" w:rsidR="006A3667" w:rsidRDefault="006A3667">
            <w:pPr>
              <w:rPr>
                <w:rFonts w:ascii="宋体"/>
              </w:rPr>
            </w:pPr>
          </w:p>
        </w:tc>
        <w:tc>
          <w:tcPr>
            <w:tcW w:w="0" w:type="auto"/>
            <w:shd w:val="clear" w:color="auto" w:fill="auto"/>
            <w:vAlign w:val="bottom"/>
          </w:tcPr>
          <w:p w14:paraId="71D40B6E" w14:textId="77777777" w:rsidR="006A3667" w:rsidRDefault="006A3667">
            <w:pPr>
              <w:rPr>
                <w:rFonts w:ascii="宋体"/>
                <w:vanish/>
              </w:rPr>
            </w:pPr>
          </w:p>
        </w:tc>
        <w:tc>
          <w:tcPr>
            <w:tcW w:w="0" w:type="auto"/>
            <w:shd w:val="clear" w:color="auto" w:fill="auto"/>
            <w:vAlign w:val="bottom"/>
          </w:tcPr>
          <w:p w14:paraId="71D40B6F" w14:textId="77777777" w:rsidR="006A3667" w:rsidRDefault="006A3667">
            <w:pPr>
              <w:rPr>
                <w:rFonts w:ascii="宋体"/>
                <w:vanish/>
              </w:rPr>
            </w:pPr>
          </w:p>
        </w:tc>
        <w:tc>
          <w:tcPr>
            <w:tcW w:w="50" w:type="pct"/>
            <w:shd w:val="clear" w:color="auto" w:fill="auto"/>
            <w:vAlign w:val="bottom"/>
          </w:tcPr>
          <w:p w14:paraId="71D40B70" w14:textId="77777777" w:rsidR="006A3667" w:rsidRDefault="006A3667">
            <w:pPr>
              <w:rPr>
                <w:rFonts w:ascii="宋体"/>
              </w:rPr>
            </w:pPr>
          </w:p>
        </w:tc>
        <w:tc>
          <w:tcPr>
            <w:tcW w:w="230" w:type="pct"/>
            <w:shd w:val="clear" w:color="auto" w:fill="auto"/>
            <w:vAlign w:val="bottom"/>
          </w:tcPr>
          <w:p w14:paraId="71D40B71" w14:textId="77777777" w:rsidR="006A3667" w:rsidRDefault="006A3667">
            <w:pPr>
              <w:rPr>
                <w:rFonts w:ascii="宋体"/>
              </w:rPr>
            </w:pPr>
          </w:p>
        </w:tc>
        <w:tc>
          <w:tcPr>
            <w:tcW w:w="5" w:type="pct"/>
            <w:shd w:val="clear" w:color="auto" w:fill="auto"/>
            <w:vAlign w:val="bottom"/>
          </w:tcPr>
          <w:p w14:paraId="71D40B72" w14:textId="77777777" w:rsidR="006A3667" w:rsidRDefault="006A3667">
            <w:pPr>
              <w:rPr>
                <w:rFonts w:ascii="宋体"/>
              </w:rPr>
            </w:pPr>
          </w:p>
        </w:tc>
        <w:tc>
          <w:tcPr>
            <w:tcW w:w="5" w:type="pct"/>
            <w:shd w:val="clear" w:color="auto" w:fill="auto"/>
            <w:vAlign w:val="bottom"/>
          </w:tcPr>
          <w:p w14:paraId="71D40B73" w14:textId="77777777" w:rsidR="006A3667" w:rsidRDefault="006A3667">
            <w:pPr>
              <w:rPr>
                <w:rFonts w:ascii="宋体"/>
              </w:rPr>
            </w:pPr>
          </w:p>
        </w:tc>
        <w:tc>
          <w:tcPr>
            <w:tcW w:w="19" w:type="pct"/>
            <w:shd w:val="clear" w:color="auto" w:fill="auto"/>
            <w:vAlign w:val="bottom"/>
          </w:tcPr>
          <w:p w14:paraId="71D40B74" w14:textId="77777777" w:rsidR="006A3667" w:rsidRDefault="006A3667">
            <w:pPr>
              <w:rPr>
                <w:rFonts w:ascii="宋体"/>
              </w:rPr>
            </w:pPr>
          </w:p>
        </w:tc>
        <w:tc>
          <w:tcPr>
            <w:tcW w:w="5" w:type="pct"/>
            <w:shd w:val="clear" w:color="auto" w:fill="auto"/>
            <w:vAlign w:val="bottom"/>
          </w:tcPr>
          <w:p w14:paraId="71D40B75" w14:textId="77777777" w:rsidR="006A3667" w:rsidRDefault="006A3667">
            <w:pPr>
              <w:rPr>
                <w:rFonts w:ascii="宋体"/>
              </w:rPr>
            </w:pPr>
          </w:p>
        </w:tc>
        <w:tc>
          <w:tcPr>
            <w:tcW w:w="50" w:type="pct"/>
            <w:shd w:val="clear" w:color="auto" w:fill="auto"/>
            <w:vAlign w:val="bottom"/>
          </w:tcPr>
          <w:p w14:paraId="71D40B76" w14:textId="77777777" w:rsidR="006A3667" w:rsidRDefault="006A3667">
            <w:pPr>
              <w:rPr>
                <w:rFonts w:ascii="宋体"/>
              </w:rPr>
            </w:pPr>
          </w:p>
        </w:tc>
        <w:tc>
          <w:tcPr>
            <w:tcW w:w="230" w:type="pct"/>
            <w:shd w:val="clear" w:color="auto" w:fill="auto"/>
            <w:vAlign w:val="bottom"/>
          </w:tcPr>
          <w:p w14:paraId="71D40B77" w14:textId="77777777" w:rsidR="006A3667" w:rsidRDefault="006A3667">
            <w:pPr>
              <w:rPr>
                <w:rFonts w:ascii="宋体"/>
              </w:rPr>
            </w:pPr>
          </w:p>
        </w:tc>
        <w:tc>
          <w:tcPr>
            <w:tcW w:w="5" w:type="pct"/>
            <w:shd w:val="clear" w:color="auto" w:fill="auto"/>
            <w:vAlign w:val="bottom"/>
          </w:tcPr>
          <w:p w14:paraId="71D40B78" w14:textId="77777777" w:rsidR="006A3667" w:rsidRDefault="006A3667">
            <w:pPr>
              <w:rPr>
                <w:rFonts w:ascii="宋体"/>
              </w:rPr>
            </w:pPr>
          </w:p>
        </w:tc>
        <w:tc>
          <w:tcPr>
            <w:tcW w:w="5" w:type="pct"/>
            <w:shd w:val="clear" w:color="auto" w:fill="auto"/>
            <w:vAlign w:val="bottom"/>
          </w:tcPr>
          <w:p w14:paraId="71D40B79" w14:textId="77777777" w:rsidR="006A3667" w:rsidRDefault="006A3667">
            <w:pPr>
              <w:rPr>
                <w:rFonts w:ascii="宋体"/>
              </w:rPr>
            </w:pPr>
          </w:p>
        </w:tc>
        <w:tc>
          <w:tcPr>
            <w:tcW w:w="19" w:type="pct"/>
            <w:shd w:val="clear" w:color="auto" w:fill="auto"/>
            <w:vAlign w:val="bottom"/>
          </w:tcPr>
          <w:p w14:paraId="71D40B7A" w14:textId="77777777" w:rsidR="006A3667" w:rsidRDefault="006A3667">
            <w:pPr>
              <w:rPr>
                <w:rFonts w:ascii="宋体"/>
              </w:rPr>
            </w:pPr>
          </w:p>
        </w:tc>
        <w:tc>
          <w:tcPr>
            <w:tcW w:w="5" w:type="pct"/>
            <w:shd w:val="clear" w:color="auto" w:fill="auto"/>
            <w:vAlign w:val="bottom"/>
          </w:tcPr>
          <w:p w14:paraId="71D40B7B" w14:textId="77777777" w:rsidR="006A3667" w:rsidRDefault="006A3667">
            <w:pPr>
              <w:rPr>
                <w:rFonts w:ascii="宋体"/>
              </w:rPr>
            </w:pPr>
          </w:p>
        </w:tc>
        <w:tc>
          <w:tcPr>
            <w:tcW w:w="50" w:type="pct"/>
            <w:shd w:val="clear" w:color="auto" w:fill="auto"/>
            <w:vAlign w:val="bottom"/>
          </w:tcPr>
          <w:p w14:paraId="71D40B7C" w14:textId="77777777" w:rsidR="006A3667" w:rsidRDefault="006A3667">
            <w:pPr>
              <w:rPr>
                <w:rFonts w:ascii="宋体"/>
              </w:rPr>
            </w:pPr>
          </w:p>
        </w:tc>
        <w:tc>
          <w:tcPr>
            <w:tcW w:w="230" w:type="pct"/>
            <w:shd w:val="clear" w:color="auto" w:fill="auto"/>
            <w:vAlign w:val="bottom"/>
          </w:tcPr>
          <w:p w14:paraId="71D40B7D" w14:textId="77777777" w:rsidR="006A3667" w:rsidRDefault="006A3667">
            <w:pPr>
              <w:rPr>
                <w:rFonts w:ascii="宋体"/>
              </w:rPr>
            </w:pPr>
          </w:p>
        </w:tc>
        <w:tc>
          <w:tcPr>
            <w:tcW w:w="5" w:type="pct"/>
            <w:shd w:val="clear" w:color="auto" w:fill="auto"/>
            <w:vAlign w:val="bottom"/>
          </w:tcPr>
          <w:p w14:paraId="71D40B7E" w14:textId="77777777" w:rsidR="006A3667" w:rsidRDefault="006A3667">
            <w:pPr>
              <w:rPr>
                <w:rFonts w:ascii="宋体"/>
              </w:rPr>
            </w:pPr>
          </w:p>
        </w:tc>
        <w:tc>
          <w:tcPr>
            <w:tcW w:w="5" w:type="pct"/>
            <w:shd w:val="clear" w:color="auto" w:fill="auto"/>
            <w:vAlign w:val="bottom"/>
          </w:tcPr>
          <w:p w14:paraId="71D40B7F" w14:textId="77777777" w:rsidR="006A3667" w:rsidRDefault="006A3667">
            <w:pPr>
              <w:rPr>
                <w:rFonts w:ascii="宋体"/>
              </w:rPr>
            </w:pPr>
          </w:p>
        </w:tc>
        <w:tc>
          <w:tcPr>
            <w:tcW w:w="19" w:type="pct"/>
            <w:shd w:val="clear" w:color="auto" w:fill="auto"/>
            <w:vAlign w:val="bottom"/>
          </w:tcPr>
          <w:p w14:paraId="71D40B80" w14:textId="77777777" w:rsidR="006A3667" w:rsidRDefault="006A3667">
            <w:pPr>
              <w:rPr>
                <w:rFonts w:ascii="宋体"/>
              </w:rPr>
            </w:pPr>
          </w:p>
        </w:tc>
        <w:tc>
          <w:tcPr>
            <w:tcW w:w="5" w:type="pct"/>
            <w:shd w:val="clear" w:color="auto" w:fill="auto"/>
            <w:vAlign w:val="bottom"/>
          </w:tcPr>
          <w:p w14:paraId="71D40B81" w14:textId="77777777" w:rsidR="006A3667" w:rsidRDefault="006A3667">
            <w:pPr>
              <w:rPr>
                <w:rFonts w:ascii="宋体"/>
              </w:rPr>
            </w:pPr>
          </w:p>
        </w:tc>
        <w:tc>
          <w:tcPr>
            <w:tcW w:w="0" w:type="auto"/>
            <w:shd w:val="clear" w:color="auto" w:fill="auto"/>
            <w:vAlign w:val="bottom"/>
          </w:tcPr>
          <w:p w14:paraId="71D40B82" w14:textId="77777777" w:rsidR="006A3667" w:rsidRDefault="006A3667">
            <w:pPr>
              <w:rPr>
                <w:rFonts w:ascii="宋体"/>
                <w:vanish/>
              </w:rPr>
            </w:pPr>
          </w:p>
        </w:tc>
        <w:tc>
          <w:tcPr>
            <w:tcW w:w="0" w:type="auto"/>
            <w:shd w:val="clear" w:color="auto" w:fill="auto"/>
            <w:vAlign w:val="bottom"/>
          </w:tcPr>
          <w:p w14:paraId="71D40B83" w14:textId="77777777" w:rsidR="006A3667" w:rsidRDefault="006A3667">
            <w:pPr>
              <w:rPr>
                <w:rFonts w:ascii="宋体"/>
                <w:vanish/>
              </w:rPr>
            </w:pPr>
          </w:p>
        </w:tc>
        <w:tc>
          <w:tcPr>
            <w:tcW w:w="50" w:type="pct"/>
            <w:shd w:val="clear" w:color="auto" w:fill="auto"/>
            <w:vAlign w:val="bottom"/>
          </w:tcPr>
          <w:p w14:paraId="71D40B84" w14:textId="77777777" w:rsidR="006A3667" w:rsidRDefault="006A3667">
            <w:pPr>
              <w:rPr>
                <w:rFonts w:ascii="宋体"/>
              </w:rPr>
            </w:pPr>
          </w:p>
        </w:tc>
        <w:tc>
          <w:tcPr>
            <w:tcW w:w="230" w:type="pct"/>
            <w:shd w:val="clear" w:color="auto" w:fill="auto"/>
            <w:vAlign w:val="bottom"/>
          </w:tcPr>
          <w:p w14:paraId="71D40B85" w14:textId="77777777" w:rsidR="006A3667" w:rsidRDefault="006A3667">
            <w:pPr>
              <w:rPr>
                <w:rFonts w:ascii="宋体"/>
              </w:rPr>
            </w:pPr>
          </w:p>
        </w:tc>
        <w:tc>
          <w:tcPr>
            <w:tcW w:w="5" w:type="pct"/>
            <w:shd w:val="clear" w:color="auto" w:fill="auto"/>
            <w:vAlign w:val="bottom"/>
          </w:tcPr>
          <w:p w14:paraId="71D40B86" w14:textId="77777777" w:rsidR="006A3667" w:rsidRDefault="006A3667">
            <w:pPr>
              <w:rPr>
                <w:rFonts w:ascii="宋体"/>
              </w:rPr>
            </w:pPr>
          </w:p>
        </w:tc>
        <w:tc>
          <w:tcPr>
            <w:tcW w:w="5" w:type="pct"/>
            <w:shd w:val="clear" w:color="auto" w:fill="auto"/>
            <w:vAlign w:val="bottom"/>
          </w:tcPr>
          <w:p w14:paraId="71D40B87" w14:textId="77777777" w:rsidR="006A3667" w:rsidRDefault="006A3667">
            <w:pPr>
              <w:rPr>
                <w:rFonts w:ascii="宋体"/>
              </w:rPr>
            </w:pPr>
          </w:p>
        </w:tc>
        <w:tc>
          <w:tcPr>
            <w:tcW w:w="19" w:type="pct"/>
            <w:shd w:val="clear" w:color="auto" w:fill="auto"/>
            <w:vAlign w:val="bottom"/>
          </w:tcPr>
          <w:p w14:paraId="71D40B88" w14:textId="77777777" w:rsidR="006A3667" w:rsidRDefault="006A3667">
            <w:pPr>
              <w:rPr>
                <w:rFonts w:ascii="宋体"/>
              </w:rPr>
            </w:pPr>
          </w:p>
        </w:tc>
        <w:tc>
          <w:tcPr>
            <w:tcW w:w="5" w:type="pct"/>
            <w:shd w:val="clear" w:color="auto" w:fill="auto"/>
            <w:vAlign w:val="bottom"/>
          </w:tcPr>
          <w:p w14:paraId="71D40B89" w14:textId="77777777" w:rsidR="006A3667" w:rsidRDefault="006A3667">
            <w:pPr>
              <w:rPr>
                <w:rFonts w:ascii="宋体"/>
              </w:rPr>
            </w:pPr>
          </w:p>
        </w:tc>
        <w:tc>
          <w:tcPr>
            <w:tcW w:w="50" w:type="pct"/>
            <w:shd w:val="clear" w:color="auto" w:fill="auto"/>
            <w:vAlign w:val="bottom"/>
          </w:tcPr>
          <w:p w14:paraId="71D40B8A" w14:textId="77777777" w:rsidR="006A3667" w:rsidRDefault="006A3667">
            <w:pPr>
              <w:rPr>
                <w:rFonts w:ascii="宋体"/>
              </w:rPr>
            </w:pPr>
          </w:p>
        </w:tc>
        <w:tc>
          <w:tcPr>
            <w:tcW w:w="230" w:type="pct"/>
            <w:shd w:val="clear" w:color="auto" w:fill="auto"/>
            <w:vAlign w:val="bottom"/>
          </w:tcPr>
          <w:p w14:paraId="71D40B8B" w14:textId="77777777" w:rsidR="006A3667" w:rsidRDefault="006A3667">
            <w:pPr>
              <w:rPr>
                <w:rFonts w:ascii="宋体"/>
              </w:rPr>
            </w:pPr>
          </w:p>
        </w:tc>
        <w:tc>
          <w:tcPr>
            <w:tcW w:w="5" w:type="pct"/>
            <w:shd w:val="clear" w:color="auto" w:fill="auto"/>
            <w:vAlign w:val="bottom"/>
          </w:tcPr>
          <w:p w14:paraId="71D40B8C" w14:textId="77777777" w:rsidR="006A3667" w:rsidRDefault="006A3667">
            <w:pPr>
              <w:rPr>
                <w:rFonts w:ascii="宋体"/>
              </w:rPr>
            </w:pPr>
          </w:p>
        </w:tc>
        <w:tc>
          <w:tcPr>
            <w:tcW w:w="5" w:type="pct"/>
            <w:shd w:val="clear" w:color="auto" w:fill="auto"/>
            <w:vAlign w:val="bottom"/>
          </w:tcPr>
          <w:p w14:paraId="71D40B8D" w14:textId="77777777" w:rsidR="006A3667" w:rsidRDefault="006A3667">
            <w:pPr>
              <w:rPr>
                <w:rFonts w:ascii="宋体"/>
              </w:rPr>
            </w:pPr>
          </w:p>
        </w:tc>
        <w:tc>
          <w:tcPr>
            <w:tcW w:w="19" w:type="pct"/>
            <w:shd w:val="clear" w:color="auto" w:fill="auto"/>
            <w:vAlign w:val="bottom"/>
          </w:tcPr>
          <w:p w14:paraId="71D40B8E" w14:textId="77777777" w:rsidR="006A3667" w:rsidRDefault="006A3667">
            <w:pPr>
              <w:rPr>
                <w:rFonts w:ascii="宋体"/>
              </w:rPr>
            </w:pPr>
          </w:p>
        </w:tc>
        <w:tc>
          <w:tcPr>
            <w:tcW w:w="5" w:type="pct"/>
            <w:shd w:val="clear" w:color="auto" w:fill="auto"/>
            <w:vAlign w:val="bottom"/>
          </w:tcPr>
          <w:p w14:paraId="71D40B8F" w14:textId="77777777" w:rsidR="006A3667" w:rsidRDefault="006A3667">
            <w:pPr>
              <w:rPr>
                <w:rFonts w:ascii="宋体"/>
              </w:rPr>
            </w:pPr>
          </w:p>
        </w:tc>
      </w:tr>
      <w:tr w:rsidR="006A3667" w14:paraId="71D40B92" w14:textId="77777777">
        <w:tc>
          <w:tcPr>
            <w:tcW w:w="0" w:type="auto"/>
            <w:gridSpan w:val="55"/>
            <w:shd w:val="clear" w:color="auto" w:fill="auto"/>
            <w:tcMar>
              <w:top w:w="40" w:type="dxa"/>
              <w:left w:w="20" w:type="dxa"/>
              <w:bottom w:w="40" w:type="dxa"/>
              <w:right w:w="20" w:type="dxa"/>
            </w:tcMar>
            <w:vAlign w:val="bottom"/>
          </w:tcPr>
          <w:p w14:paraId="71D40B91" w14:textId="77777777" w:rsidR="006A3667" w:rsidRDefault="00045F32">
            <w:pPr>
              <w:textAlignment w:val="bottom"/>
            </w:pPr>
            <w:r>
              <w:rPr>
                <w:rFonts w:ascii="Arial" w:eastAsia="宋体" w:hAnsi="Arial" w:cs="Arial"/>
                <w:b/>
                <w:bCs/>
                <w:color w:val="000000"/>
                <w:sz w:val="16"/>
                <w:szCs w:val="16"/>
              </w:rPr>
              <w:t>TABLE 28: TEN-DAY VALUE-AT-RISK ASSOCIATED WITH TRADING ACTIVITIES FOR COVERED POSITIONS</w:t>
            </w:r>
          </w:p>
        </w:tc>
      </w:tr>
      <w:tr w:rsidR="006A3667" w14:paraId="71D40B9A" w14:textId="77777777">
        <w:trPr>
          <w:trHeight w:val="220"/>
        </w:trPr>
        <w:tc>
          <w:tcPr>
            <w:tcW w:w="0" w:type="auto"/>
            <w:gridSpan w:val="3"/>
            <w:shd w:val="clear" w:color="auto" w:fill="auto"/>
            <w:tcMar>
              <w:top w:w="0" w:type="dxa"/>
              <w:left w:w="20" w:type="dxa"/>
              <w:bottom w:w="0" w:type="dxa"/>
              <w:right w:w="20" w:type="dxa"/>
            </w:tcMar>
            <w:vAlign w:val="bottom"/>
          </w:tcPr>
          <w:p w14:paraId="71D40B93" w14:textId="77777777" w:rsidR="006A3667" w:rsidRDefault="006A3667">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71D40B94" w14:textId="77777777" w:rsidR="006A3667" w:rsidRDefault="00045F32">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Mar>
              <w:top w:w="0" w:type="dxa"/>
              <w:left w:w="20" w:type="dxa"/>
              <w:bottom w:w="0" w:type="dxa"/>
              <w:right w:w="20" w:type="dxa"/>
            </w:tcMar>
            <w:vAlign w:val="bottom"/>
          </w:tcPr>
          <w:p w14:paraId="71D40B95"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0B96" w14:textId="77777777" w:rsidR="006A3667" w:rsidRDefault="00045F32">
            <w:pPr>
              <w:jc w:val="center"/>
              <w:textAlignment w:val="bottom"/>
            </w:pPr>
            <w:r>
              <w:rPr>
                <w:rFonts w:ascii="Arial" w:eastAsia="宋体" w:hAnsi="Arial" w:cs="Arial"/>
                <w:b/>
                <w:bCs/>
                <w:color w:val="000000"/>
                <w:sz w:val="13"/>
                <w:szCs w:val="13"/>
              </w:rPr>
              <w:t>As of September 30, 2022</w:t>
            </w:r>
          </w:p>
        </w:tc>
        <w:tc>
          <w:tcPr>
            <w:tcW w:w="0" w:type="auto"/>
            <w:gridSpan w:val="2"/>
            <w:vMerge w:val="restart"/>
            <w:shd w:val="clear" w:color="auto" w:fill="auto"/>
            <w:tcMar>
              <w:top w:w="0" w:type="dxa"/>
              <w:left w:w="20" w:type="dxa"/>
              <w:bottom w:w="0" w:type="dxa"/>
              <w:right w:w="20" w:type="dxa"/>
            </w:tcMar>
            <w:vAlign w:val="bottom"/>
          </w:tcPr>
          <w:p w14:paraId="71D40B97" w14:textId="77777777" w:rsidR="006A3667" w:rsidRDefault="006A3667">
            <w:pPr>
              <w:rPr>
                <w:rFonts w:ascii="宋体"/>
              </w:rPr>
            </w:pPr>
          </w:p>
        </w:tc>
        <w:tc>
          <w:tcPr>
            <w:tcW w:w="0" w:type="auto"/>
            <w:vMerge w:val="restart"/>
            <w:shd w:val="clear" w:color="auto" w:fill="auto"/>
            <w:tcMar>
              <w:top w:w="40" w:type="dxa"/>
              <w:left w:w="20" w:type="dxa"/>
              <w:bottom w:w="40" w:type="dxa"/>
              <w:right w:w="20" w:type="dxa"/>
            </w:tcMar>
            <w:vAlign w:val="bottom"/>
          </w:tcPr>
          <w:p w14:paraId="71D40B98" w14:textId="77777777" w:rsidR="006A3667" w:rsidRDefault="00045F32">
            <w:pPr>
              <w:jc w:val="center"/>
              <w:textAlignment w:val="bottom"/>
            </w:pPr>
            <w:r>
              <w:rPr>
                <w:rFonts w:ascii="Arial" w:eastAsia="宋体" w:hAnsi="Arial" w:cs="Arial"/>
                <w:b/>
                <w:bCs/>
                <w:color w:val="000000"/>
                <w:sz w:val="13"/>
                <w:szCs w:val="13"/>
              </w:rPr>
              <w:t>As of June 30, 2022</w:t>
            </w:r>
          </w:p>
          <w:p w14:paraId="71D40B99" w14:textId="77777777" w:rsidR="006A3667" w:rsidRDefault="00045F32">
            <w:pPr>
              <w:jc w:val="center"/>
              <w:textAlignment w:val="bottom"/>
            </w:pPr>
            <w:r>
              <w:rPr>
                <w:rFonts w:ascii="Arial" w:eastAsia="宋体" w:hAnsi="Arial" w:cs="Arial"/>
                <w:b/>
                <w:bCs/>
                <w:color w:val="000000"/>
                <w:sz w:val="13"/>
                <w:szCs w:val="13"/>
              </w:rPr>
              <w:t>As of September 30, 2021</w:t>
            </w:r>
          </w:p>
        </w:tc>
      </w:tr>
      <w:tr w:rsidR="006A3667" w14:paraId="71D40BA6" w14:textId="77777777">
        <w:trPr>
          <w:trHeight w:val="220"/>
        </w:trPr>
        <w:tc>
          <w:tcPr>
            <w:tcW w:w="0" w:type="auto"/>
            <w:gridSpan w:val="3"/>
            <w:shd w:val="clear" w:color="auto" w:fill="auto"/>
            <w:tcMar>
              <w:top w:w="0" w:type="dxa"/>
              <w:left w:w="20" w:type="dxa"/>
              <w:bottom w:w="0" w:type="dxa"/>
              <w:right w:w="20" w:type="dxa"/>
            </w:tcMar>
            <w:vAlign w:val="bottom"/>
          </w:tcPr>
          <w:p w14:paraId="71D40B9B"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0B9C" w14:textId="77777777" w:rsidR="006A3667" w:rsidRDefault="00045F32">
            <w:pPr>
              <w:jc w:val="center"/>
              <w:textAlignment w:val="bottom"/>
            </w:pPr>
            <w:r>
              <w:rPr>
                <w:rFonts w:ascii="Arial" w:eastAsia="宋体" w:hAnsi="Arial" w:cs="Arial"/>
                <w:b/>
                <w:bCs/>
                <w:color w:val="000000"/>
                <w:sz w:val="13"/>
                <w:szCs w:val="13"/>
              </w:rPr>
              <w:t>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B9D" w14:textId="77777777" w:rsidR="006A3667" w:rsidRDefault="006A3667">
            <w:pPr>
              <w:rPr>
                <w:rFonts w:ascii="宋体"/>
              </w:rPr>
            </w:pPr>
          </w:p>
        </w:tc>
        <w:tc>
          <w:tcPr>
            <w:tcW w:w="0" w:type="auto"/>
            <w:shd w:val="clear" w:color="auto" w:fill="auto"/>
            <w:vAlign w:val="bottom"/>
          </w:tcPr>
          <w:p w14:paraId="71D40B9E" w14:textId="77777777" w:rsidR="006A3667" w:rsidRDefault="006A3667">
            <w:pPr>
              <w:rPr>
                <w:rFonts w:ascii="宋体"/>
                <w:vanish/>
              </w:rPr>
            </w:pPr>
          </w:p>
        </w:tc>
        <w:tc>
          <w:tcPr>
            <w:tcW w:w="0" w:type="auto"/>
            <w:shd w:val="clear" w:color="auto" w:fill="auto"/>
            <w:vAlign w:val="bottom"/>
          </w:tcPr>
          <w:p w14:paraId="71D40B9F" w14:textId="77777777" w:rsidR="006A3667" w:rsidRDefault="006A3667">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0BA0" w14:textId="77777777" w:rsidR="006A3667" w:rsidRDefault="00045F32">
            <w:pPr>
              <w:jc w:val="center"/>
              <w:textAlignment w:val="bottom"/>
            </w:pPr>
            <w:r>
              <w:rPr>
                <w:rFonts w:ascii="Arial" w:eastAsia="宋体" w:hAnsi="Arial" w:cs="Arial"/>
                <w:b/>
                <w:bCs/>
                <w:color w:val="000000"/>
                <w:sz w:val="13"/>
                <w:szCs w:val="13"/>
              </w:rPr>
              <w:t>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BA1" w14:textId="77777777" w:rsidR="006A3667" w:rsidRDefault="006A3667">
            <w:pPr>
              <w:rPr>
                <w:rFonts w:ascii="宋体"/>
              </w:rPr>
            </w:pPr>
          </w:p>
        </w:tc>
        <w:tc>
          <w:tcPr>
            <w:tcW w:w="0" w:type="auto"/>
            <w:shd w:val="clear" w:color="auto" w:fill="auto"/>
            <w:vAlign w:val="bottom"/>
          </w:tcPr>
          <w:p w14:paraId="71D40BA2" w14:textId="77777777" w:rsidR="006A3667" w:rsidRDefault="006A3667">
            <w:pPr>
              <w:rPr>
                <w:rFonts w:ascii="宋体"/>
                <w:vanish/>
              </w:rPr>
            </w:pPr>
          </w:p>
        </w:tc>
        <w:tc>
          <w:tcPr>
            <w:tcW w:w="0" w:type="auto"/>
            <w:shd w:val="clear" w:color="auto" w:fill="auto"/>
            <w:vAlign w:val="bottom"/>
          </w:tcPr>
          <w:p w14:paraId="71D40BA3" w14:textId="77777777" w:rsidR="006A3667" w:rsidRDefault="006A3667">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71D40BA4" w14:textId="77777777" w:rsidR="006A3667" w:rsidRDefault="00045F32">
            <w:pPr>
              <w:jc w:val="center"/>
              <w:textAlignment w:val="bottom"/>
            </w:pPr>
            <w:r>
              <w:rPr>
                <w:rFonts w:ascii="Arial" w:eastAsia="宋体" w:hAnsi="Arial" w:cs="Arial"/>
                <w:b/>
                <w:bCs/>
                <w:color w:val="000000"/>
                <w:sz w:val="13"/>
                <w:szCs w:val="13"/>
              </w:rPr>
              <w:t> September 30, 2021</w:t>
            </w:r>
          </w:p>
        </w:tc>
        <w:tc>
          <w:tcPr>
            <w:tcW w:w="0" w:type="auto"/>
            <w:shd w:val="clear" w:color="auto" w:fill="auto"/>
            <w:tcMar>
              <w:top w:w="0" w:type="dxa"/>
              <w:left w:w="20" w:type="dxa"/>
              <w:bottom w:w="0" w:type="dxa"/>
              <w:right w:w="20" w:type="dxa"/>
            </w:tcMar>
            <w:vAlign w:val="bottom"/>
          </w:tcPr>
          <w:p w14:paraId="71D40BA5" w14:textId="77777777" w:rsidR="006A3667" w:rsidRDefault="006A3667">
            <w:pPr>
              <w:rPr>
                <w:rFonts w:ascii="宋体"/>
              </w:rPr>
            </w:pPr>
          </w:p>
        </w:tc>
      </w:tr>
      <w:tr w:rsidR="006A3667" w14:paraId="71D40BC0" w14:textId="77777777">
        <w:tc>
          <w:tcPr>
            <w:tcW w:w="0" w:type="auto"/>
            <w:gridSpan w:val="3"/>
            <w:shd w:val="clear" w:color="auto" w:fill="auto"/>
            <w:tcMar>
              <w:top w:w="40" w:type="dxa"/>
              <w:left w:w="20" w:type="dxa"/>
              <w:bottom w:w="40" w:type="dxa"/>
              <w:right w:w="20" w:type="dxa"/>
            </w:tcMar>
            <w:vAlign w:val="bottom"/>
          </w:tcPr>
          <w:p w14:paraId="71D40BA7" w14:textId="77777777" w:rsidR="006A3667" w:rsidRDefault="00045F32">
            <w:pPr>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BA8" w14:textId="77777777" w:rsidR="006A3667" w:rsidRDefault="00045F32">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BA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BAA" w14:textId="77777777" w:rsidR="006A3667" w:rsidRDefault="00045F32">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BA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BAC" w14:textId="77777777" w:rsidR="006A3667" w:rsidRDefault="00045F32">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71D40BAD" w14:textId="77777777" w:rsidR="006A3667" w:rsidRDefault="006A3667">
            <w:pPr>
              <w:rPr>
                <w:rFonts w:ascii="宋体"/>
              </w:rPr>
            </w:pPr>
          </w:p>
        </w:tc>
        <w:tc>
          <w:tcPr>
            <w:tcW w:w="0" w:type="auto"/>
            <w:shd w:val="clear" w:color="auto" w:fill="auto"/>
            <w:vAlign w:val="bottom"/>
          </w:tcPr>
          <w:p w14:paraId="71D40BAE" w14:textId="77777777" w:rsidR="006A3667" w:rsidRDefault="006A3667">
            <w:pPr>
              <w:rPr>
                <w:rFonts w:ascii="宋体"/>
                <w:vanish/>
              </w:rPr>
            </w:pPr>
          </w:p>
        </w:tc>
        <w:tc>
          <w:tcPr>
            <w:tcW w:w="0" w:type="auto"/>
            <w:shd w:val="clear" w:color="auto" w:fill="auto"/>
            <w:vAlign w:val="bottom"/>
          </w:tcPr>
          <w:p w14:paraId="71D40BAF"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BB0" w14:textId="77777777" w:rsidR="006A3667" w:rsidRDefault="00045F32">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BB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BB2" w14:textId="77777777" w:rsidR="006A3667" w:rsidRDefault="00045F32">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BB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BB4" w14:textId="77777777" w:rsidR="006A3667" w:rsidRDefault="00045F32">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71D40BB5" w14:textId="77777777" w:rsidR="006A3667" w:rsidRDefault="006A3667">
            <w:pPr>
              <w:rPr>
                <w:rFonts w:ascii="宋体"/>
              </w:rPr>
            </w:pPr>
          </w:p>
        </w:tc>
        <w:tc>
          <w:tcPr>
            <w:tcW w:w="0" w:type="auto"/>
            <w:shd w:val="clear" w:color="auto" w:fill="auto"/>
            <w:vAlign w:val="bottom"/>
          </w:tcPr>
          <w:p w14:paraId="71D40BB6" w14:textId="77777777" w:rsidR="006A3667" w:rsidRDefault="006A3667">
            <w:pPr>
              <w:rPr>
                <w:rFonts w:ascii="宋体"/>
                <w:vanish/>
              </w:rPr>
            </w:pPr>
          </w:p>
        </w:tc>
        <w:tc>
          <w:tcPr>
            <w:tcW w:w="0" w:type="auto"/>
            <w:shd w:val="clear" w:color="auto" w:fill="auto"/>
            <w:vAlign w:val="bottom"/>
          </w:tcPr>
          <w:p w14:paraId="71D40BB7"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BB8" w14:textId="77777777" w:rsidR="006A3667" w:rsidRDefault="00045F32">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BB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BBA" w14:textId="77777777" w:rsidR="006A3667" w:rsidRDefault="00045F32">
            <w:pPr>
              <w:spacing w:after="20"/>
              <w:jc w:val="center"/>
              <w:textAlignment w:val="bottom"/>
            </w:pPr>
            <w:r>
              <w:rPr>
                <w:rFonts w:ascii="Arial" w:eastAsia="宋体" w:hAnsi="Arial" w:cs="Arial"/>
                <w:b/>
                <w:bCs/>
                <w:color w:val="000000"/>
                <w:sz w:val="13"/>
                <w:szCs w:val="13"/>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0BBB" w14:textId="77777777" w:rsidR="006A3667" w:rsidRDefault="006A3667">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1D40BBC" w14:textId="77777777" w:rsidR="006A3667" w:rsidRDefault="00045F32">
            <w:pPr>
              <w:spacing w:after="20"/>
              <w:jc w:val="center"/>
              <w:textAlignment w:val="bottom"/>
            </w:pPr>
            <w:r>
              <w:rPr>
                <w:rFonts w:ascii="Arial" w:eastAsia="宋体" w:hAnsi="Arial" w:cs="Arial"/>
                <w:b/>
                <w:bCs/>
                <w:color w:val="000000"/>
                <w:sz w:val="13"/>
                <w:szCs w:val="13"/>
              </w:rPr>
              <w:t>Min.</w:t>
            </w:r>
          </w:p>
          <w:p w14:paraId="71D40BBD" w14:textId="77777777" w:rsidR="006A3667" w:rsidRDefault="00045F32">
            <w:pPr>
              <w:spacing w:after="20"/>
              <w:jc w:val="center"/>
              <w:textAlignment w:val="bottom"/>
            </w:pPr>
            <w:r>
              <w:rPr>
                <w:rFonts w:ascii="Arial" w:eastAsia="宋体" w:hAnsi="Arial" w:cs="Arial"/>
                <w:b/>
                <w:bCs/>
                <w:color w:val="000000"/>
                <w:sz w:val="13"/>
                <w:szCs w:val="13"/>
              </w:rPr>
              <w:t>VaR</w:t>
            </w:r>
          </w:p>
          <w:p w14:paraId="71D40BBE" w14:textId="77777777" w:rsidR="006A3667" w:rsidRDefault="00045F32">
            <w:pPr>
              <w:spacing w:after="20"/>
              <w:jc w:val="center"/>
              <w:textAlignment w:val="bottom"/>
            </w:pPr>
            <w:r>
              <w:rPr>
                <w:rFonts w:ascii="Arial" w:eastAsia="宋体" w:hAnsi="Arial" w:cs="Arial"/>
                <w:b/>
                <w:bCs/>
                <w:color w:val="000000"/>
                <w:sz w:val="13"/>
                <w:szCs w:val="13"/>
              </w:rPr>
              <w:t>VaR</w:t>
            </w:r>
          </w:p>
          <w:p w14:paraId="71D40BBF" w14:textId="77777777" w:rsidR="006A3667" w:rsidRDefault="00045F32">
            <w:pPr>
              <w:spacing w:after="20"/>
              <w:jc w:val="center"/>
              <w:textAlignment w:val="bottom"/>
            </w:pPr>
            <w:r>
              <w:rPr>
                <w:rFonts w:ascii="Arial" w:eastAsia="宋体" w:hAnsi="Arial" w:cs="Arial"/>
                <w:b/>
                <w:bCs/>
                <w:color w:val="000000"/>
                <w:sz w:val="13"/>
                <w:szCs w:val="13"/>
              </w:rPr>
              <w:t>VaR</w:t>
            </w:r>
          </w:p>
        </w:tc>
      </w:tr>
      <w:tr w:rsidR="00045F32" w14:paraId="71D40BF0" w14:textId="77777777">
        <w:tc>
          <w:tcPr>
            <w:tcW w:w="0" w:type="auto"/>
            <w:gridSpan w:val="3"/>
            <w:shd w:val="clear" w:color="auto" w:fill="CCEEFF"/>
            <w:tcMar>
              <w:top w:w="40" w:type="dxa"/>
              <w:left w:w="20" w:type="dxa"/>
              <w:bottom w:w="40" w:type="dxa"/>
              <w:right w:w="20" w:type="dxa"/>
            </w:tcMar>
            <w:vAlign w:val="bottom"/>
          </w:tcPr>
          <w:p w14:paraId="71D40BC1" w14:textId="77777777" w:rsidR="006A3667" w:rsidRDefault="00045F32">
            <w:pPr>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0BC2"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BC3" w14:textId="77777777" w:rsidR="006A3667" w:rsidRDefault="00045F32">
            <w:pPr>
              <w:jc w:val="right"/>
              <w:textAlignment w:val="bottom"/>
            </w:pPr>
            <w:r>
              <w:rPr>
                <w:rFonts w:ascii="Arial" w:eastAsia="宋体" w:hAnsi="Arial" w:cs="Arial"/>
                <w:b/>
                <w:bCs/>
                <w:color w:val="000000"/>
                <w:sz w:val="13"/>
                <w:szCs w:val="13"/>
              </w:rPr>
              <w:t>6,851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BC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BC5" w14:textId="77777777" w:rsidR="006A3667" w:rsidRDefault="006A3667">
            <w:pPr>
              <w:spacing w:after="20"/>
              <w:jc w:val="right"/>
            </w:pPr>
          </w:p>
          <w:p w14:paraId="71D40BC6" w14:textId="77777777" w:rsidR="006A3667" w:rsidRDefault="006A3667">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BC7"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BC8" w14:textId="77777777" w:rsidR="006A3667" w:rsidRDefault="00045F32">
            <w:pPr>
              <w:jc w:val="right"/>
              <w:textAlignment w:val="bottom"/>
            </w:pPr>
            <w:r>
              <w:rPr>
                <w:rFonts w:ascii="Arial" w:eastAsia="宋体" w:hAnsi="Arial" w:cs="Arial"/>
                <w:b/>
                <w:bCs/>
                <w:color w:val="000000"/>
                <w:sz w:val="13"/>
                <w:szCs w:val="13"/>
              </w:rPr>
              <w:t>14,063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BC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BCA" w14:textId="77777777" w:rsidR="006A3667" w:rsidRDefault="006A3667">
            <w:pPr>
              <w:spacing w:after="20"/>
              <w:jc w:val="right"/>
            </w:pPr>
          </w:p>
          <w:p w14:paraId="71D40BCB" w14:textId="77777777" w:rsidR="006A3667" w:rsidRDefault="006A3667">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BCC"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BCD" w14:textId="77777777" w:rsidR="006A3667" w:rsidRDefault="00045F32">
            <w:pPr>
              <w:jc w:val="right"/>
              <w:textAlignment w:val="bottom"/>
            </w:pPr>
            <w:r>
              <w:rPr>
                <w:rFonts w:ascii="Arial" w:eastAsia="宋体" w:hAnsi="Arial" w:cs="Arial"/>
                <w:b/>
                <w:bCs/>
                <w:color w:val="000000"/>
                <w:sz w:val="13"/>
                <w:szCs w:val="13"/>
              </w:rPr>
              <w:t>2,631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B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BCF" w14:textId="77777777" w:rsidR="006A3667" w:rsidRDefault="006A3667">
            <w:pPr>
              <w:rPr>
                <w:rFonts w:ascii="宋体"/>
              </w:rPr>
            </w:pPr>
          </w:p>
        </w:tc>
        <w:tc>
          <w:tcPr>
            <w:tcW w:w="0" w:type="auto"/>
            <w:shd w:val="clear" w:color="auto" w:fill="auto"/>
            <w:vAlign w:val="bottom"/>
          </w:tcPr>
          <w:p w14:paraId="71D40BD0" w14:textId="77777777" w:rsidR="006A3667" w:rsidRDefault="006A3667">
            <w:pPr>
              <w:rPr>
                <w:rFonts w:ascii="宋体"/>
                <w:vanish/>
              </w:rPr>
            </w:pPr>
          </w:p>
        </w:tc>
        <w:tc>
          <w:tcPr>
            <w:tcW w:w="0" w:type="auto"/>
            <w:shd w:val="clear" w:color="auto" w:fill="auto"/>
            <w:vAlign w:val="bottom"/>
          </w:tcPr>
          <w:p w14:paraId="71D40BD1"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BD2"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BD3" w14:textId="77777777" w:rsidR="006A3667" w:rsidRDefault="00045F32">
            <w:pPr>
              <w:jc w:val="right"/>
              <w:textAlignment w:val="bottom"/>
            </w:pPr>
            <w:r>
              <w:rPr>
                <w:rFonts w:ascii="Arial" w:eastAsia="宋体" w:hAnsi="Arial" w:cs="Arial"/>
                <w:color w:val="000000"/>
                <w:sz w:val="13"/>
                <w:szCs w:val="13"/>
              </w:rPr>
              <w:t>8,248 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B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BD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BD6"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BD7" w14:textId="77777777" w:rsidR="006A3667" w:rsidRDefault="00045F32">
            <w:pPr>
              <w:jc w:val="right"/>
              <w:textAlignment w:val="bottom"/>
            </w:pPr>
            <w:r>
              <w:rPr>
                <w:rFonts w:ascii="Arial" w:eastAsia="宋体" w:hAnsi="Arial" w:cs="Arial"/>
                <w:color w:val="000000"/>
                <w:sz w:val="13"/>
                <w:szCs w:val="13"/>
              </w:rPr>
              <w:t>16,319 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B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BD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BDA"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BDB" w14:textId="77777777" w:rsidR="006A3667" w:rsidRDefault="00045F32">
            <w:pPr>
              <w:jc w:val="right"/>
              <w:textAlignment w:val="bottom"/>
            </w:pPr>
            <w:r>
              <w:rPr>
                <w:rFonts w:ascii="Arial" w:eastAsia="宋体" w:hAnsi="Arial" w:cs="Arial"/>
                <w:color w:val="000000"/>
                <w:sz w:val="13"/>
                <w:szCs w:val="13"/>
              </w:rPr>
              <w:t>3,830 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B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BDD" w14:textId="77777777" w:rsidR="006A3667" w:rsidRDefault="006A3667">
            <w:pPr>
              <w:rPr>
                <w:rFonts w:ascii="宋体"/>
              </w:rPr>
            </w:pPr>
          </w:p>
        </w:tc>
        <w:tc>
          <w:tcPr>
            <w:tcW w:w="0" w:type="auto"/>
            <w:shd w:val="clear" w:color="auto" w:fill="auto"/>
            <w:vAlign w:val="bottom"/>
          </w:tcPr>
          <w:p w14:paraId="71D40BDE" w14:textId="77777777" w:rsidR="006A3667" w:rsidRDefault="006A3667">
            <w:pPr>
              <w:rPr>
                <w:rFonts w:ascii="宋体"/>
                <w:vanish/>
              </w:rPr>
            </w:pPr>
          </w:p>
        </w:tc>
        <w:tc>
          <w:tcPr>
            <w:tcW w:w="0" w:type="auto"/>
            <w:shd w:val="clear" w:color="auto" w:fill="auto"/>
            <w:vAlign w:val="bottom"/>
          </w:tcPr>
          <w:p w14:paraId="71D40BDF"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BE0"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BE1" w14:textId="77777777" w:rsidR="006A3667" w:rsidRDefault="00045F32">
            <w:pPr>
              <w:jc w:val="right"/>
              <w:textAlignment w:val="bottom"/>
            </w:pPr>
            <w:r>
              <w:rPr>
                <w:rFonts w:ascii="Arial" w:eastAsia="宋体" w:hAnsi="Arial" w:cs="Arial"/>
                <w:color w:val="000000"/>
                <w:sz w:val="13"/>
                <w:szCs w:val="13"/>
              </w:rPr>
              <w:t>17,071 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B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BE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BE4"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BE5" w14:textId="77777777" w:rsidR="006A3667" w:rsidRDefault="00045F32">
            <w:pPr>
              <w:jc w:val="right"/>
              <w:textAlignment w:val="bottom"/>
            </w:pPr>
            <w:r>
              <w:rPr>
                <w:rFonts w:ascii="Arial" w:eastAsia="宋体" w:hAnsi="Arial" w:cs="Arial"/>
                <w:color w:val="000000"/>
                <w:sz w:val="13"/>
                <w:szCs w:val="13"/>
              </w:rPr>
              <w:t>30,485 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BE6"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0BE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BE8" w14:textId="77777777" w:rsidR="006A3667" w:rsidRDefault="00045F32">
            <w:pPr>
              <w:textAlignment w:val="bottom"/>
            </w:pPr>
            <w:r>
              <w:rPr>
                <w:rFonts w:ascii="Arial" w:eastAsia="宋体" w:hAnsi="Arial" w:cs="Arial"/>
                <w:color w:val="000000"/>
                <w:sz w:val="13"/>
                <w:szCs w:val="13"/>
              </w:rPr>
              <w:t>$</w:t>
            </w:r>
          </w:p>
          <w:p w14:paraId="71D40BE9" w14:textId="77777777" w:rsidR="006A3667" w:rsidRDefault="00045F32">
            <w:pPr>
              <w:jc w:val="right"/>
              <w:textAlignment w:val="bottom"/>
            </w:pPr>
            <w:r>
              <w:rPr>
                <w:rFonts w:ascii="Arial" w:eastAsia="宋体" w:hAnsi="Arial" w:cs="Arial"/>
                <w:color w:val="000000"/>
                <w:sz w:val="13"/>
                <w:szCs w:val="13"/>
              </w:rPr>
              <w:t>11,417 </w:t>
            </w:r>
          </w:p>
          <w:p w14:paraId="71D40BEA" w14:textId="77777777" w:rsidR="006A3667" w:rsidRDefault="00045F32">
            <w:pPr>
              <w:textAlignment w:val="bottom"/>
            </w:pPr>
            <w:r>
              <w:rPr>
                <w:rFonts w:ascii="Arial" w:eastAsia="宋体" w:hAnsi="Arial" w:cs="Arial"/>
                <w:b/>
                <w:bCs/>
                <w:color w:val="000000"/>
                <w:sz w:val="13"/>
                <w:szCs w:val="13"/>
              </w:rPr>
              <w:t>$</w:t>
            </w:r>
          </w:p>
          <w:p w14:paraId="71D40BEB" w14:textId="77777777" w:rsidR="006A3667" w:rsidRDefault="00045F32">
            <w:pPr>
              <w:jc w:val="right"/>
              <w:textAlignment w:val="bottom"/>
            </w:pPr>
            <w:r>
              <w:rPr>
                <w:rFonts w:ascii="Arial" w:eastAsia="宋体" w:hAnsi="Arial" w:cs="Arial"/>
                <w:b/>
                <w:bCs/>
                <w:color w:val="000000"/>
                <w:sz w:val="13"/>
                <w:szCs w:val="13"/>
              </w:rPr>
              <w:t>7,407</w:t>
            </w:r>
            <w:r>
              <w:rPr>
                <w:rFonts w:ascii="Arial" w:eastAsia="宋体" w:hAnsi="Arial" w:cs="Arial"/>
                <w:color w:val="000000"/>
                <w:sz w:val="13"/>
                <w:szCs w:val="13"/>
              </w:rPr>
              <w:t> </w:t>
            </w:r>
          </w:p>
          <w:p w14:paraId="71D40BEC" w14:textId="77777777" w:rsidR="006A3667" w:rsidRDefault="00045F32">
            <w:pPr>
              <w:textAlignment w:val="bottom"/>
            </w:pPr>
            <w:r>
              <w:rPr>
                <w:rFonts w:ascii="Arial" w:eastAsia="宋体" w:hAnsi="Arial" w:cs="Arial"/>
                <w:color w:val="000000"/>
                <w:sz w:val="13"/>
                <w:szCs w:val="13"/>
              </w:rPr>
              <w:t>$</w:t>
            </w:r>
          </w:p>
          <w:p w14:paraId="71D40BED" w14:textId="77777777" w:rsidR="006A3667" w:rsidRDefault="00045F32">
            <w:pPr>
              <w:jc w:val="right"/>
              <w:textAlignment w:val="bottom"/>
            </w:pPr>
            <w:r>
              <w:rPr>
                <w:rFonts w:ascii="Arial" w:eastAsia="宋体" w:hAnsi="Arial" w:cs="Arial"/>
                <w:color w:val="000000"/>
                <w:sz w:val="13"/>
                <w:szCs w:val="13"/>
              </w:rPr>
              <w:t>9,152 </w:t>
            </w:r>
          </w:p>
          <w:p w14:paraId="71D40BEE" w14:textId="77777777" w:rsidR="006A3667" w:rsidRDefault="00045F32">
            <w:pPr>
              <w:textAlignment w:val="bottom"/>
            </w:pPr>
            <w:r>
              <w:rPr>
                <w:rFonts w:ascii="Arial" w:eastAsia="宋体" w:hAnsi="Arial" w:cs="Arial"/>
                <w:color w:val="000000"/>
                <w:sz w:val="13"/>
                <w:szCs w:val="13"/>
              </w:rPr>
              <w:t>$</w:t>
            </w:r>
          </w:p>
          <w:p w14:paraId="71D40BEF" w14:textId="77777777" w:rsidR="006A3667" w:rsidRDefault="00045F32">
            <w:pPr>
              <w:jc w:val="right"/>
              <w:textAlignment w:val="bottom"/>
            </w:pPr>
            <w:r>
              <w:rPr>
                <w:rFonts w:ascii="Arial" w:eastAsia="宋体" w:hAnsi="Arial" w:cs="Arial"/>
                <w:color w:val="000000"/>
                <w:sz w:val="13"/>
                <w:szCs w:val="13"/>
              </w:rPr>
              <w:t>15,314 </w:t>
            </w:r>
          </w:p>
        </w:tc>
      </w:tr>
      <w:tr w:rsidR="006A3667" w14:paraId="71D40C14" w14:textId="77777777">
        <w:tc>
          <w:tcPr>
            <w:tcW w:w="0" w:type="auto"/>
            <w:gridSpan w:val="3"/>
            <w:shd w:val="clear" w:color="auto" w:fill="FFFFFF"/>
            <w:tcMar>
              <w:top w:w="40" w:type="dxa"/>
              <w:left w:w="20" w:type="dxa"/>
              <w:bottom w:w="40" w:type="dxa"/>
              <w:right w:w="20" w:type="dxa"/>
            </w:tcMar>
            <w:vAlign w:val="bottom"/>
          </w:tcPr>
          <w:p w14:paraId="71D40BF1" w14:textId="77777777" w:rsidR="006A3667" w:rsidRDefault="00045F32">
            <w:pPr>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71D40BF2" w14:textId="77777777" w:rsidR="006A3667" w:rsidRDefault="00045F32">
            <w:pPr>
              <w:jc w:val="right"/>
              <w:textAlignment w:val="bottom"/>
            </w:pPr>
            <w:r>
              <w:rPr>
                <w:rFonts w:ascii="Arial" w:eastAsia="宋体" w:hAnsi="Arial" w:cs="Arial"/>
                <w:b/>
                <w:bCs/>
                <w:color w:val="000000"/>
                <w:sz w:val="13"/>
                <w:szCs w:val="13"/>
              </w:rPr>
              <w:t>4,537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B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BF4" w14:textId="77777777" w:rsidR="006A3667" w:rsidRDefault="006A3667">
            <w:pPr>
              <w:spacing w:after="20"/>
              <w:jc w:val="right"/>
            </w:pPr>
          </w:p>
          <w:p w14:paraId="71D40BF5" w14:textId="77777777" w:rsidR="006A3667" w:rsidRDefault="006A3667">
            <w:pPr>
              <w:spacing w:after="20"/>
              <w:jc w:val="right"/>
            </w:pPr>
          </w:p>
        </w:tc>
        <w:tc>
          <w:tcPr>
            <w:tcW w:w="0" w:type="auto"/>
            <w:gridSpan w:val="2"/>
            <w:shd w:val="clear" w:color="auto" w:fill="FFFFFF"/>
            <w:tcMar>
              <w:top w:w="40" w:type="dxa"/>
              <w:left w:w="20" w:type="dxa"/>
              <w:bottom w:w="40" w:type="dxa"/>
              <w:right w:w="0" w:type="dxa"/>
            </w:tcMar>
            <w:vAlign w:val="bottom"/>
          </w:tcPr>
          <w:p w14:paraId="71D40BF6" w14:textId="77777777" w:rsidR="006A3667" w:rsidRDefault="00045F32">
            <w:pPr>
              <w:jc w:val="right"/>
              <w:textAlignment w:val="bottom"/>
            </w:pPr>
            <w:r>
              <w:rPr>
                <w:rFonts w:ascii="Arial" w:eastAsia="宋体" w:hAnsi="Arial" w:cs="Arial"/>
                <w:b/>
                <w:bCs/>
                <w:color w:val="000000"/>
                <w:sz w:val="13"/>
                <w:szCs w:val="13"/>
              </w:rPr>
              <w:t>7,255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B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BF8" w14:textId="77777777" w:rsidR="006A3667" w:rsidRDefault="006A3667">
            <w:pPr>
              <w:spacing w:after="20"/>
              <w:jc w:val="right"/>
            </w:pPr>
          </w:p>
          <w:p w14:paraId="71D40BF9" w14:textId="77777777" w:rsidR="006A3667" w:rsidRDefault="006A3667">
            <w:pPr>
              <w:spacing w:after="20"/>
              <w:jc w:val="right"/>
            </w:pPr>
          </w:p>
        </w:tc>
        <w:tc>
          <w:tcPr>
            <w:tcW w:w="0" w:type="auto"/>
            <w:gridSpan w:val="2"/>
            <w:shd w:val="clear" w:color="auto" w:fill="FFFFFF"/>
            <w:tcMar>
              <w:top w:w="40" w:type="dxa"/>
              <w:left w:w="20" w:type="dxa"/>
              <w:bottom w:w="40" w:type="dxa"/>
              <w:right w:w="0" w:type="dxa"/>
            </w:tcMar>
            <w:vAlign w:val="bottom"/>
          </w:tcPr>
          <w:p w14:paraId="71D40BFA" w14:textId="77777777" w:rsidR="006A3667" w:rsidRDefault="00045F32">
            <w:pPr>
              <w:jc w:val="right"/>
              <w:textAlignment w:val="bottom"/>
            </w:pPr>
            <w:r>
              <w:rPr>
                <w:rFonts w:ascii="Arial" w:eastAsia="宋体" w:hAnsi="Arial" w:cs="Arial"/>
                <w:b/>
                <w:bCs/>
                <w:color w:val="000000"/>
                <w:sz w:val="13"/>
                <w:szCs w:val="13"/>
              </w:rPr>
              <w:t>2,373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BF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BFC" w14:textId="77777777" w:rsidR="006A3667" w:rsidRDefault="006A3667">
            <w:pPr>
              <w:rPr>
                <w:rFonts w:ascii="宋体"/>
              </w:rPr>
            </w:pPr>
          </w:p>
        </w:tc>
        <w:tc>
          <w:tcPr>
            <w:tcW w:w="0" w:type="auto"/>
            <w:shd w:val="clear" w:color="auto" w:fill="auto"/>
            <w:vAlign w:val="bottom"/>
          </w:tcPr>
          <w:p w14:paraId="71D40BFD" w14:textId="77777777" w:rsidR="006A3667" w:rsidRDefault="006A3667">
            <w:pPr>
              <w:rPr>
                <w:rFonts w:ascii="宋体"/>
                <w:vanish/>
              </w:rPr>
            </w:pPr>
          </w:p>
        </w:tc>
        <w:tc>
          <w:tcPr>
            <w:tcW w:w="0" w:type="auto"/>
            <w:shd w:val="clear" w:color="auto" w:fill="auto"/>
            <w:vAlign w:val="bottom"/>
          </w:tcPr>
          <w:p w14:paraId="71D40BFE"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0BFF" w14:textId="77777777" w:rsidR="006A3667" w:rsidRDefault="00045F32">
            <w:pPr>
              <w:jc w:val="right"/>
              <w:textAlignment w:val="bottom"/>
            </w:pPr>
            <w:r>
              <w:rPr>
                <w:rFonts w:ascii="Arial" w:eastAsia="宋体" w:hAnsi="Arial" w:cs="Arial"/>
                <w:color w:val="000000"/>
                <w:sz w:val="13"/>
                <w:szCs w:val="13"/>
              </w:rPr>
              <w:t>971 </w:t>
            </w:r>
          </w:p>
        </w:tc>
        <w:tc>
          <w:tcPr>
            <w:tcW w:w="0" w:type="auto"/>
            <w:shd w:val="clear" w:color="auto" w:fill="FFFFFF"/>
            <w:tcMar>
              <w:top w:w="40" w:type="dxa"/>
              <w:left w:w="0" w:type="dxa"/>
              <w:bottom w:w="40" w:type="dxa"/>
              <w:right w:w="20" w:type="dxa"/>
            </w:tcMar>
            <w:vAlign w:val="bottom"/>
          </w:tcPr>
          <w:p w14:paraId="71D40C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0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C02" w14:textId="77777777" w:rsidR="006A3667" w:rsidRDefault="00045F32">
            <w:pPr>
              <w:jc w:val="right"/>
              <w:textAlignment w:val="bottom"/>
            </w:pPr>
            <w:r>
              <w:rPr>
                <w:rFonts w:ascii="Arial" w:eastAsia="宋体" w:hAnsi="Arial" w:cs="Arial"/>
                <w:color w:val="000000"/>
                <w:sz w:val="13"/>
                <w:szCs w:val="13"/>
              </w:rPr>
              <w:t>1,522 </w:t>
            </w:r>
          </w:p>
        </w:tc>
        <w:tc>
          <w:tcPr>
            <w:tcW w:w="0" w:type="auto"/>
            <w:shd w:val="clear" w:color="auto" w:fill="FFFFFF"/>
            <w:tcMar>
              <w:top w:w="40" w:type="dxa"/>
              <w:left w:w="0" w:type="dxa"/>
              <w:bottom w:w="40" w:type="dxa"/>
              <w:right w:w="20" w:type="dxa"/>
            </w:tcMar>
            <w:vAlign w:val="bottom"/>
          </w:tcPr>
          <w:p w14:paraId="71D40C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0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C05" w14:textId="77777777" w:rsidR="006A3667" w:rsidRDefault="00045F32">
            <w:pPr>
              <w:jc w:val="right"/>
              <w:textAlignment w:val="bottom"/>
            </w:pPr>
            <w:r>
              <w:rPr>
                <w:rFonts w:ascii="Arial" w:eastAsia="宋体" w:hAnsi="Arial" w:cs="Arial"/>
                <w:color w:val="000000"/>
                <w:sz w:val="13"/>
                <w:szCs w:val="13"/>
              </w:rPr>
              <w:t>788 </w:t>
            </w:r>
          </w:p>
        </w:tc>
        <w:tc>
          <w:tcPr>
            <w:tcW w:w="0" w:type="auto"/>
            <w:shd w:val="clear" w:color="auto" w:fill="FFFFFF"/>
            <w:tcMar>
              <w:top w:w="40" w:type="dxa"/>
              <w:left w:w="0" w:type="dxa"/>
              <w:bottom w:w="40" w:type="dxa"/>
              <w:right w:w="20" w:type="dxa"/>
            </w:tcMar>
            <w:vAlign w:val="bottom"/>
          </w:tcPr>
          <w:p w14:paraId="71D40C0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07" w14:textId="77777777" w:rsidR="006A3667" w:rsidRDefault="006A3667">
            <w:pPr>
              <w:rPr>
                <w:rFonts w:ascii="宋体"/>
              </w:rPr>
            </w:pPr>
          </w:p>
        </w:tc>
        <w:tc>
          <w:tcPr>
            <w:tcW w:w="0" w:type="auto"/>
            <w:shd w:val="clear" w:color="auto" w:fill="auto"/>
            <w:vAlign w:val="bottom"/>
          </w:tcPr>
          <w:p w14:paraId="71D40C08" w14:textId="77777777" w:rsidR="006A3667" w:rsidRDefault="006A3667">
            <w:pPr>
              <w:rPr>
                <w:rFonts w:ascii="宋体"/>
                <w:vanish/>
              </w:rPr>
            </w:pPr>
          </w:p>
        </w:tc>
        <w:tc>
          <w:tcPr>
            <w:tcW w:w="0" w:type="auto"/>
            <w:shd w:val="clear" w:color="auto" w:fill="auto"/>
            <w:vAlign w:val="bottom"/>
          </w:tcPr>
          <w:p w14:paraId="71D40C0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0C0A" w14:textId="77777777" w:rsidR="006A3667" w:rsidRDefault="00045F32">
            <w:pPr>
              <w:jc w:val="right"/>
              <w:textAlignment w:val="bottom"/>
            </w:pPr>
            <w:r>
              <w:rPr>
                <w:rFonts w:ascii="Arial" w:eastAsia="宋体" w:hAnsi="Arial" w:cs="Arial"/>
                <w:color w:val="000000"/>
                <w:sz w:val="13"/>
                <w:szCs w:val="13"/>
              </w:rPr>
              <w:t>1,357 </w:t>
            </w:r>
          </w:p>
        </w:tc>
        <w:tc>
          <w:tcPr>
            <w:tcW w:w="0" w:type="auto"/>
            <w:shd w:val="clear" w:color="auto" w:fill="FFFFFF"/>
            <w:tcMar>
              <w:top w:w="40" w:type="dxa"/>
              <w:left w:w="0" w:type="dxa"/>
              <w:bottom w:w="40" w:type="dxa"/>
              <w:right w:w="20" w:type="dxa"/>
            </w:tcMar>
            <w:vAlign w:val="bottom"/>
          </w:tcPr>
          <w:p w14:paraId="71D40C0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0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C0D" w14:textId="77777777" w:rsidR="006A3667" w:rsidRDefault="00045F32">
            <w:pPr>
              <w:jc w:val="right"/>
              <w:textAlignment w:val="bottom"/>
            </w:pPr>
            <w:r>
              <w:rPr>
                <w:rFonts w:ascii="Arial" w:eastAsia="宋体" w:hAnsi="Arial" w:cs="Arial"/>
                <w:color w:val="000000"/>
                <w:sz w:val="13"/>
                <w:szCs w:val="13"/>
              </w:rPr>
              <w:t>5,468 </w:t>
            </w:r>
          </w:p>
        </w:tc>
        <w:tc>
          <w:tcPr>
            <w:tcW w:w="0" w:type="auto"/>
            <w:shd w:val="clear" w:color="auto" w:fill="FFFFFF"/>
            <w:tcMar>
              <w:top w:w="40" w:type="dxa"/>
              <w:left w:w="0" w:type="dxa"/>
              <w:bottom w:w="40" w:type="dxa"/>
              <w:right w:w="20" w:type="dxa"/>
            </w:tcMar>
            <w:vAlign w:val="bottom"/>
          </w:tcPr>
          <w:p w14:paraId="71D40C0E"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0C0F"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0C10" w14:textId="77777777" w:rsidR="006A3667" w:rsidRDefault="00045F32">
            <w:pPr>
              <w:jc w:val="right"/>
              <w:textAlignment w:val="bottom"/>
            </w:pPr>
            <w:r>
              <w:rPr>
                <w:rFonts w:ascii="Arial" w:eastAsia="宋体" w:hAnsi="Arial" w:cs="Arial"/>
                <w:color w:val="000000"/>
                <w:sz w:val="13"/>
                <w:szCs w:val="13"/>
              </w:rPr>
              <w:t>220 </w:t>
            </w:r>
          </w:p>
          <w:p w14:paraId="71D40C11" w14:textId="77777777" w:rsidR="006A3667" w:rsidRDefault="00045F32">
            <w:pPr>
              <w:jc w:val="right"/>
              <w:textAlignment w:val="bottom"/>
            </w:pPr>
            <w:r>
              <w:rPr>
                <w:rFonts w:ascii="Arial" w:eastAsia="宋体" w:hAnsi="Arial" w:cs="Arial"/>
                <w:b/>
                <w:bCs/>
                <w:color w:val="000000"/>
                <w:sz w:val="13"/>
                <w:szCs w:val="13"/>
              </w:rPr>
              <w:t>4,619</w:t>
            </w:r>
            <w:r>
              <w:rPr>
                <w:rFonts w:ascii="Arial" w:eastAsia="宋体" w:hAnsi="Arial" w:cs="Arial"/>
                <w:color w:val="000000"/>
                <w:sz w:val="13"/>
                <w:szCs w:val="13"/>
              </w:rPr>
              <w:t> </w:t>
            </w:r>
          </w:p>
          <w:p w14:paraId="71D40C12" w14:textId="77777777" w:rsidR="006A3667" w:rsidRDefault="00045F32">
            <w:pPr>
              <w:jc w:val="right"/>
              <w:textAlignment w:val="bottom"/>
            </w:pPr>
            <w:r>
              <w:rPr>
                <w:rFonts w:ascii="Arial" w:eastAsia="宋体" w:hAnsi="Arial" w:cs="Arial"/>
                <w:color w:val="000000"/>
                <w:sz w:val="13"/>
                <w:szCs w:val="13"/>
              </w:rPr>
              <w:t>1,522 </w:t>
            </w:r>
          </w:p>
          <w:p w14:paraId="71D40C13" w14:textId="77777777" w:rsidR="006A3667" w:rsidRDefault="00045F32">
            <w:pPr>
              <w:jc w:val="right"/>
              <w:textAlignment w:val="bottom"/>
            </w:pPr>
            <w:r>
              <w:rPr>
                <w:rFonts w:ascii="Arial" w:eastAsia="宋体" w:hAnsi="Arial" w:cs="Arial"/>
                <w:color w:val="000000"/>
                <w:sz w:val="13"/>
                <w:szCs w:val="13"/>
              </w:rPr>
              <w:t>1,131 </w:t>
            </w:r>
          </w:p>
        </w:tc>
      </w:tr>
      <w:tr w:rsidR="006A3667" w14:paraId="71D40C3A" w14:textId="77777777">
        <w:tc>
          <w:tcPr>
            <w:tcW w:w="0" w:type="auto"/>
            <w:gridSpan w:val="3"/>
            <w:shd w:val="clear" w:color="auto" w:fill="CCEEFF"/>
            <w:tcMar>
              <w:top w:w="40" w:type="dxa"/>
              <w:left w:w="20" w:type="dxa"/>
              <w:bottom w:w="40" w:type="dxa"/>
              <w:right w:w="20" w:type="dxa"/>
            </w:tcMar>
            <w:vAlign w:val="bottom"/>
          </w:tcPr>
          <w:p w14:paraId="71D40C15" w14:textId="77777777" w:rsidR="006A3667" w:rsidRDefault="00045F32">
            <w:pPr>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71D40C16" w14:textId="77777777" w:rsidR="006A3667" w:rsidRDefault="00045F32">
            <w:pPr>
              <w:jc w:val="right"/>
              <w:textAlignment w:val="bottom"/>
            </w:pPr>
            <w:r>
              <w:rPr>
                <w:rFonts w:ascii="Arial" w:eastAsia="宋体" w:hAnsi="Arial" w:cs="Arial"/>
                <w:b/>
                <w:bCs/>
                <w:color w:val="000000"/>
                <w:sz w:val="13"/>
                <w:szCs w:val="13"/>
              </w:rPr>
              <w:t>(4,029)</w:t>
            </w:r>
          </w:p>
        </w:tc>
        <w:tc>
          <w:tcPr>
            <w:tcW w:w="0" w:type="auto"/>
            <w:shd w:val="clear" w:color="auto" w:fill="CCEEFF"/>
            <w:tcMar>
              <w:top w:w="40" w:type="dxa"/>
              <w:left w:w="0" w:type="dxa"/>
              <w:bottom w:w="40" w:type="dxa"/>
              <w:right w:w="20" w:type="dxa"/>
            </w:tcMar>
            <w:vAlign w:val="bottom"/>
          </w:tcPr>
          <w:p w14:paraId="71D40C1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18" w14:textId="77777777" w:rsidR="006A3667" w:rsidRDefault="006A3667">
            <w:pPr>
              <w:spacing w:after="20"/>
              <w:jc w:val="right"/>
            </w:pPr>
          </w:p>
          <w:p w14:paraId="71D40C19" w14:textId="77777777" w:rsidR="006A3667" w:rsidRDefault="006A3667">
            <w:pPr>
              <w:spacing w:after="20"/>
              <w:jc w:val="right"/>
            </w:pPr>
          </w:p>
        </w:tc>
        <w:tc>
          <w:tcPr>
            <w:tcW w:w="0" w:type="auto"/>
            <w:gridSpan w:val="2"/>
            <w:shd w:val="clear" w:color="auto" w:fill="CCEEFF"/>
            <w:tcMar>
              <w:top w:w="40" w:type="dxa"/>
              <w:left w:w="20" w:type="dxa"/>
              <w:bottom w:w="40" w:type="dxa"/>
              <w:right w:w="0" w:type="dxa"/>
            </w:tcMar>
            <w:vAlign w:val="bottom"/>
          </w:tcPr>
          <w:p w14:paraId="71D40C1A" w14:textId="77777777" w:rsidR="006A3667" w:rsidRDefault="00045F32">
            <w:pPr>
              <w:jc w:val="right"/>
              <w:textAlignment w:val="bottom"/>
            </w:pPr>
            <w:r>
              <w:rPr>
                <w:rFonts w:ascii="Arial" w:eastAsia="宋体" w:hAnsi="Arial" w:cs="Arial"/>
                <w:b/>
                <w:bCs/>
                <w:color w:val="000000"/>
                <w:sz w:val="13"/>
                <w:szCs w:val="13"/>
              </w:rPr>
              <w:t>(8,043)</w:t>
            </w:r>
          </w:p>
        </w:tc>
        <w:tc>
          <w:tcPr>
            <w:tcW w:w="0" w:type="auto"/>
            <w:shd w:val="clear" w:color="auto" w:fill="CCEEFF"/>
            <w:tcMar>
              <w:top w:w="40" w:type="dxa"/>
              <w:left w:w="0" w:type="dxa"/>
              <w:bottom w:w="40" w:type="dxa"/>
              <w:right w:w="20" w:type="dxa"/>
            </w:tcMar>
            <w:vAlign w:val="bottom"/>
          </w:tcPr>
          <w:p w14:paraId="71D40C1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1C" w14:textId="77777777" w:rsidR="006A3667" w:rsidRDefault="006A3667">
            <w:pPr>
              <w:spacing w:after="20"/>
              <w:jc w:val="right"/>
            </w:pPr>
          </w:p>
          <w:p w14:paraId="71D40C1D" w14:textId="77777777" w:rsidR="006A3667" w:rsidRDefault="006A3667">
            <w:pPr>
              <w:spacing w:after="20"/>
              <w:jc w:val="right"/>
            </w:pPr>
          </w:p>
        </w:tc>
        <w:tc>
          <w:tcPr>
            <w:tcW w:w="0" w:type="auto"/>
            <w:gridSpan w:val="2"/>
            <w:shd w:val="clear" w:color="auto" w:fill="CCEEFF"/>
            <w:tcMar>
              <w:top w:w="40" w:type="dxa"/>
              <w:left w:w="20" w:type="dxa"/>
              <w:bottom w:w="40" w:type="dxa"/>
              <w:right w:w="0" w:type="dxa"/>
            </w:tcMar>
            <w:vAlign w:val="bottom"/>
          </w:tcPr>
          <w:p w14:paraId="71D40C1E" w14:textId="77777777" w:rsidR="006A3667" w:rsidRDefault="00045F32">
            <w:pPr>
              <w:jc w:val="right"/>
              <w:textAlignment w:val="bottom"/>
            </w:pPr>
            <w:r>
              <w:rPr>
                <w:rFonts w:ascii="Arial" w:eastAsia="宋体" w:hAnsi="Arial" w:cs="Arial"/>
                <w:b/>
                <w:bCs/>
                <w:color w:val="000000"/>
                <w:sz w:val="13"/>
                <w:szCs w:val="13"/>
              </w:rPr>
              <w:t>(1,241)</w:t>
            </w:r>
          </w:p>
        </w:tc>
        <w:tc>
          <w:tcPr>
            <w:tcW w:w="0" w:type="auto"/>
            <w:shd w:val="clear" w:color="auto" w:fill="CCEEFF"/>
            <w:tcMar>
              <w:top w:w="40" w:type="dxa"/>
              <w:left w:w="0" w:type="dxa"/>
              <w:bottom w:w="40" w:type="dxa"/>
              <w:right w:w="20" w:type="dxa"/>
            </w:tcMar>
            <w:vAlign w:val="bottom"/>
          </w:tcPr>
          <w:p w14:paraId="71D40C1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20" w14:textId="77777777" w:rsidR="006A3667" w:rsidRDefault="006A3667">
            <w:pPr>
              <w:rPr>
                <w:rFonts w:ascii="宋体"/>
              </w:rPr>
            </w:pPr>
          </w:p>
        </w:tc>
        <w:tc>
          <w:tcPr>
            <w:tcW w:w="0" w:type="auto"/>
            <w:shd w:val="clear" w:color="auto" w:fill="auto"/>
            <w:vAlign w:val="bottom"/>
          </w:tcPr>
          <w:p w14:paraId="71D40C21" w14:textId="77777777" w:rsidR="006A3667" w:rsidRDefault="006A3667">
            <w:pPr>
              <w:rPr>
                <w:rFonts w:ascii="宋体"/>
                <w:vanish/>
              </w:rPr>
            </w:pPr>
          </w:p>
        </w:tc>
        <w:tc>
          <w:tcPr>
            <w:tcW w:w="0" w:type="auto"/>
            <w:shd w:val="clear" w:color="auto" w:fill="auto"/>
            <w:vAlign w:val="bottom"/>
          </w:tcPr>
          <w:p w14:paraId="71D40C22"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0C23" w14:textId="77777777" w:rsidR="006A3667" w:rsidRDefault="00045F32">
            <w:pPr>
              <w:jc w:val="right"/>
              <w:textAlignment w:val="bottom"/>
            </w:pPr>
            <w:r>
              <w:rPr>
                <w:rFonts w:ascii="Arial" w:eastAsia="宋体" w:hAnsi="Arial" w:cs="Arial"/>
                <w:color w:val="000000"/>
                <w:sz w:val="13"/>
                <w:szCs w:val="13"/>
              </w:rPr>
              <w:t>(1,055)</w:t>
            </w:r>
          </w:p>
        </w:tc>
        <w:tc>
          <w:tcPr>
            <w:tcW w:w="0" w:type="auto"/>
            <w:shd w:val="clear" w:color="auto" w:fill="CCEEFF"/>
            <w:tcMar>
              <w:top w:w="40" w:type="dxa"/>
              <w:left w:w="0" w:type="dxa"/>
              <w:bottom w:w="40" w:type="dxa"/>
              <w:right w:w="20" w:type="dxa"/>
            </w:tcMar>
            <w:vAlign w:val="bottom"/>
          </w:tcPr>
          <w:p w14:paraId="71D40C2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25" w14:textId="77777777" w:rsidR="006A3667" w:rsidRDefault="006A3667">
            <w:pPr>
              <w:spacing w:after="20"/>
              <w:jc w:val="right"/>
            </w:pPr>
          </w:p>
          <w:p w14:paraId="71D40C26" w14:textId="77777777" w:rsidR="006A3667" w:rsidRDefault="006A3667">
            <w:pPr>
              <w:spacing w:after="20"/>
              <w:jc w:val="right"/>
            </w:pPr>
          </w:p>
        </w:tc>
        <w:tc>
          <w:tcPr>
            <w:tcW w:w="0" w:type="auto"/>
            <w:gridSpan w:val="2"/>
            <w:shd w:val="clear" w:color="auto" w:fill="CCEEFF"/>
            <w:tcMar>
              <w:top w:w="40" w:type="dxa"/>
              <w:left w:w="20" w:type="dxa"/>
              <w:bottom w:w="40" w:type="dxa"/>
              <w:right w:w="0" w:type="dxa"/>
            </w:tcMar>
            <w:vAlign w:val="bottom"/>
          </w:tcPr>
          <w:p w14:paraId="71D40C27" w14:textId="77777777" w:rsidR="006A3667" w:rsidRDefault="00045F32">
            <w:pPr>
              <w:jc w:val="right"/>
              <w:textAlignment w:val="bottom"/>
            </w:pPr>
            <w:r>
              <w:rPr>
                <w:rFonts w:ascii="Arial" w:eastAsia="宋体" w:hAnsi="Arial" w:cs="Arial"/>
                <w:color w:val="000000"/>
                <w:sz w:val="13"/>
                <w:szCs w:val="13"/>
              </w:rPr>
              <w:t>(1,602)</w:t>
            </w:r>
          </w:p>
        </w:tc>
        <w:tc>
          <w:tcPr>
            <w:tcW w:w="0" w:type="auto"/>
            <w:shd w:val="clear" w:color="auto" w:fill="CCEEFF"/>
            <w:tcMar>
              <w:top w:w="40" w:type="dxa"/>
              <w:left w:w="0" w:type="dxa"/>
              <w:bottom w:w="40" w:type="dxa"/>
              <w:right w:w="20" w:type="dxa"/>
            </w:tcMar>
            <w:vAlign w:val="bottom"/>
          </w:tcPr>
          <w:p w14:paraId="71D40C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29" w14:textId="77777777" w:rsidR="006A3667" w:rsidRDefault="006A3667">
            <w:pPr>
              <w:spacing w:after="20"/>
              <w:jc w:val="right"/>
            </w:pPr>
          </w:p>
          <w:p w14:paraId="71D40C2A" w14:textId="77777777" w:rsidR="006A3667" w:rsidRDefault="006A3667">
            <w:pPr>
              <w:spacing w:after="20"/>
              <w:jc w:val="right"/>
            </w:pPr>
          </w:p>
        </w:tc>
        <w:tc>
          <w:tcPr>
            <w:tcW w:w="0" w:type="auto"/>
            <w:gridSpan w:val="2"/>
            <w:shd w:val="clear" w:color="auto" w:fill="CCEEFF"/>
            <w:tcMar>
              <w:top w:w="40" w:type="dxa"/>
              <w:left w:w="20" w:type="dxa"/>
              <w:bottom w:w="40" w:type="dxa"/>
              <w:right w:w="0" w:type="dxa"/>
            </w:tcMar>
            <w:vAlign w:val="bottom"/>
          </w:tcPr>
          <w:p w14:paraId="71D40C2B" w14:textId="77777777" w:rsidR="006A3667" w:rsidRDefault="00045F32">
            <w:pPr>
              <w:jc w:val="right"/>
              <w:textAlignment w:val="bottom"/>
            </w:pPr>
            <w:r>
              <w:rPr>
                <w:rFonts w:ascii="Arial" w:eastAsia="宋体" w:hAnsi="Arial" w:cs="Arial"/>
                <w:color w:val="000000"/>
                <w:sz w:val="13"/>
                <w:szCs w:val="13"/>
              </w:rPr>
              <w:t>(925)</w:t>
            </w:r>
          </w:p>
        </w:tc>
        <w:tc>
          <w:tcPr>
            <w:tcW w:w="0" w:type="auto"/>
            <w:shd w:val="clear" w:color="auto" w:fill="CCEEFF"/>
            <w:tcMar>
              <w:top w:w="40" w:type="dxa"/>
              <w:left w:w="0" w:type="dxa"/>
              <w:bottom w:w="40" w:type="dxa"/>
              <w:right w:w="20" w:type="dxa"/>
            </w:tcMar>
            <w:vAlign w:val="bottom"/>
          </w:tcPr>
          <w:p w14:paraId="71D40C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2D" w14:textId="77777777" w:rsidR="006A3667" w:rsidRDefault="006A3667">
            <w:pPr>
              <w:rPr>
                <w:rFonts w:ascii="宋体"/>
              </w:rPr>
            </w:pPr>
          </w:p>
        </w:tc>
        <w:tc>
          <w:tcPr>
            <w:tcW w:w="0" w:type="auto"/>
            <w:shd w:val="clear" w:color="auto" w:fill="auto"/>
            <w:vAlign w:val="bottom"/>
          </w:tcPr>
          <w:p w14:paraId="71D40C2E" w14:textId="77777777" w:rsidR="006A3667" w:rsidRDefault="006A3667">
            <w:pPr>
              <w:rPr>
                <w:rFonts w:ascii="宋体"/>
                <w:vanish/>
              </w:rPr>
            </w:pPr>
          </w:p>
        </w:tc>
        <w:tc>
          <w:tcPr>
            <w:tcW w:w="0" w:type="auto"/>
            <w:shd w:val="clear" w:color="auto" w:fill="auto"/>
            <w:vAlign w:val="bottom"/>
          </w:tcPr>
          <w:p w14:paraId="71D40C2F"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0C30" w14:textId="77777777" w:rsidR="006A3667" w:rsidRDefault="00045F32">
            <w:pPr>
              <w:jc w:val="right"/>
              <w:textAlignment w:val="bottom"/>
            </w:pPr>
            <w:r>
              <w:rPr>
                <w:rFonts w:ascii="Arial" w:eastAsia="宋体" w:hAnsi="Arial" w:cs="Arial"/>
                <w:color w:val="000000"/>
                <w:sz w:val="13"/>
                <w:szCs w:val="13"/>
              </w:rPr>
              <w:t>(925)</w:t>
            </w:r>
          </w:p>
        </w:tc>
        <w:tc>
          <w:tcPr>
            <w:tcW w:w="0" w:type="auto"/>
            <w:shd w:val="clear" w:color="auto" w:fill="CCEEFF"/>
            <w:tcMar>
              <w:top w:w="40" w:type="dxa"/>
              <w:left w:w="0" w:type="dxa"/>
              <w:bottom w:w="40" w:type="dxa"/>
              <w:right w:w="20" w:type="dxa"/>
            </w:tcMar>
            <w:vAlign w:val="bottom"/>
          </w:tcPr>
          <w:p w14:paraId="71D40C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3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C33" w14:textId="77777777" w:rsidR="006A3667" w:rsidRDefault="00045F32">
            <w:pPr>
              <w:jc w:val="right"/>
              <w:textAlignment w:val="bottom"/>
            </w:pPr>
            <w:r>
              <w:rPr>
                <w:rFonts w:ascii="Arial" w:eastAsia="宋体" w:hAnsi="Arial" w:cs="Arial"/>
                <w:color w:val="000000"/>
                <w:sz w:val="13"/>
                <w:szCs w:val="13"/>
              </w:rPr>
              <w:t>(5,444)</w:t>
            </w:r>
          </w:p>
        </w:tc>
        <w:tc>
          <w:tcPr>
            <w:tcW w:w="0" w:type="auto"/>
            <w:shd w:val="clear" w:color="auto" w:fill="CCEEFF"/>
            <w:tcMar>
              <w:top w:w="40" w:type="dxa"/>
              <w:left w:w="0" w:type="dxa"/>
              <w:bottom w:w="40" w:type="dxa"/>
              <w:right w:w="20" w:type="dxa"/>
            </w:tcMar>
            <w:vAlign w:val="bottom"/>
          </w:tcPr>
          <w:p w14:paraId="71D40C34"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0C3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C36" w14:textId="77777777" w:rsidR="006A3667" w:rsidRDefault="00045F32">
            <w:pPr>
              <w:jc w:val="right"/>
              <w:textAlignment w:val="bottom"/>
            </w:pPr>
            <w:r>
              <w:rPr>
                <w:rFonts w:ascii="Arial" w:eastAsia="宋体" w:hAnsi="Arial" w:cs="Arial"/>
                <w:color w:val="000000"/>
                <w:sz w:val="13"/>
                <w:szCs w:val="13"/>
              </w:rPr>
              <w:t>(185)</w:t>
            </w:r>
          </w:p>
          <w:p w14:paraId="71D40C37" w14:textId="77777777" w:rsidR="006A3667" w:rsidRDefault="00045F32">
            <w:pPr>
              <w:jc w:val="right"/>
              <w:textAlignment w:val="bottom"/>
            </w:pPr>
            <w:r>
              <w:rPr>
                <w:rFonts w:ascii="Arial" w:eastAsia="宋体" w:hAnsi="Arial" w:cs="Arial"/>
                <w:b/>
                <w:bCs/>
                <w:color w:val="000000"/>
                <w:sz w:val="13"/>
                <w:szCs w:val="13"/>
              </w:rPr>
              <w:t>(4,480)</w:t>
            </w:r>
          </w:p>
          <w:p w14:paraId="71D40C38" w14:textId="77777777" w:rsidR="006A3667" w:rsidRDefault="00045F32">
            <w:pPr>
              <w:jc w:val="right"/>
              <w:textAlignment w:val="bottom"/>
            </w:pPr>
            <w:r>
              <w:rPr>
                <w:rFonts w:ascii="Arial" w:eastAsia="宋体" w:hAnsi="Arial" w:cs="Arial"/>
                <w:color w:val="000000"/>
                <w:sz w:val="13"/>
                <w:szCs w:val="13"/>
              </w:rPr>
              <w:t>(2,366)</w:t>
            </w:r>
          </w:p>
          <w:p w14:paraId="71D40C39" w14:textId="77777777" w:rsidR="006A3667" w:rsidRDefault="00045F32">
            <w:pPr>
              <w:jc w:val="right"/>
              <w:textAlignment w:val="bottom"/>
            </w:pPr>
            <w:r>
              <w:rPr>
                <w:rFonts w:ascii="Arial" w:eastAsia="宋体" w:hAnsi="Arial" w:cs="Arial"/>
                <w:color w:val="000000"/>
                <w:sz w:val="13"/>
                <w:szCs w:val="13"/>
              </w:rPr>
              <w:t>(1,285)</w:t>
            </w:r>
          </w:p>
        </w:tc>
      </w:tr>
      <w:tr w:rsidR="00045F32" w14:paraId="71D40C6B" w14:textId="77777777">
        <w:tc>
          <w:tcPr>
            <w:tcW w:w="0" w:type="auto"/>
            <w:gridSpan w:val="3"/>
            <w:shd w:val="clear" w:color="auto" w:fill="FFFFFF"/>
            <w:tcMar>
              <w:top w:w="40" w:type="dxa"/>
              <w:left w:w="20" w:type="dxa"/>
              <w:bottom w:w="40" w:type="dxa"/>
              <w:right w:w="20" w:type="dxa"/>
            </w:tcMar>
            <w:vAlign w:val="bottom"/>
          </w:tcPr>
          <w:p w14:paraId="71D40C3B" w14:textId="77777777" w:rsidR="006A3667" w:rsidRDefault="00045F32">
            <w:pPr>
              <w:textAlignment w:val="bottom"/>
            </w:pPr>
            <w:r>
              <w:rPr>
                <w:rFonts w:ascii="Arial" w:eastAsia="宋体" w:hAnsi="Arial" w:cs="Arial"/>
                <w:color w:val="000000"/>
                <w:sz w:val="13"/>
                <w:szCs w:val="13"/>
              </w:rPr>
              <w:t>Total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0C3C"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C3D" w14:textId="77777777" w:rsidR="006A3667" w:rsidRDefault="00045F32">
            <w:pPr>
              <w:jc w:val="right"/>
              <w:textAlignment w:val="bottom"/>
            </w:pPr>
            <w:r>
              <w:rPr>
                <w:rFonts w:ascii="Arial" w:eastAsia="宋体" w:hAnsi="Arial" w:cs="Arial"/>
                <w:b/>
                <w:bCs/>
                <w:color w:val="000000"/>
                <w:sz w:val="13"/>
                <w:szCs w:val="13"/>
              </w:rPr>
              <w:t>7,359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C3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3F" w14:textId="77777777" w:rsidR="006A3667" w:rsidRDefault="006A3667">
            <w:pPr>
              <w:spacing w:after="20"/>
              <w:jc w:val="right"/>
            </w:pPr>
          </w:p>
          <w:p w14:paraId="71D40C40" w14:textId="77777777" w:rsidR="006A3667" w:rsidRDefault="006A3667">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C41"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C42" w14:textId="77777777" w:rsidR="006A3667" w:rsidRDefault="00045F32">
            <w:pPr>
              <w:jc w:val="right"/>
              <w:textAlignment w:val="bottom"/>
            </w:pPr>
            <w:r>
              <w:rPr>
                <w:rFonts w:ascii="Arial" w:eastAsia="宋体" w:hAnsi="Arial" w:cs="Arial"/>
                <w:b/>
                <w:bCs/>
                <w:color w:val="000000"/>
                <w:sz w:val="13"/>
                <w:szCs w:val="13"/>
              </w:rPr>
              <w:t>13,275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C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44" w14:textId="77777777" w:rsidR="006A3667" w:rsidRDefault="006A3667">
            <w:pPr>
              <w:spacing w:after="20"/>
              <w:jc w:val="right"/>
            </w:pPr>
          </w:p>
          <w:p w14:paraId="71D40C45" w14:textId="77777777" w:rsidR="006A3667" w:rsidRDefault="006A3667">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C46"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C47" w14:textId="77777777" w:rsidR="006A3667" w:rsidRDefault="00045F32">
            <w:pPr>
              <w:jc w:val="right"/>
              <w:textAlignment w:val="bottom"/>
            </w:pPr>
            <w:r>
              <w:rPr>
                <w:rFonts w:ascii="Arial" w:eastAsia="宋体" w:hAnsi="Arial" w:cs="Arial"/>
                <w:b/>
                <w:bCs/>
                <w:color w:val="000000"/>
                <w:sz w:val="13"/>
                <w:szCs w:val="13"/>
              </w:rPr>
              <w:t>3,763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C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49" w14:textId="77777777" w:rsidR="006A3667" w:rsidRDefault="006A3667">
            <w:pPr>
              <w:rPr>
                <w:rFonts w:ascii="宋体"/>
              </w:rPr>
            </w:pPr>
          </w:p>
        </w:tc>
        <w:tc>
          <w:tcPr>
            <w:tcW w:w="0" w:type="auto"/>
            <w:shd w:val="clear" w:color="auto" w:fill="auto"/>
            <w:vAlign w:val="bottom"/>
          </w:tcPr>
          <w:p w14:paraId="71D40C4A" w14:textId="77777777" w:rsidR="006A3667" w:rsidRDefault="006A3667">
            <w:pPr>
              <w:rPr>
                <w:rFonts w:ascii="宋体"/>
                <w:vanish/>
              </w:rPr>
            </w:pPr>
          </w:p>
        </w:tc>
        <w:tc>
          <w:tcPr>
            <w:tcW w:w="0" w:type="auto"/>
            <w:shd w:val="clear" w:color="auto" w:fill="auto"/>
            <w:vAlign w:val="bottom"/>
          </w:tcPr>
          <w:p w14:paraId="71D40C4B"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C4C"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C4D" w14:textId="77777777" w:rsidR="006A3667" w:rsidRDefault="00045F32">
            <w:pPr>
              <w:jc w:val="right"/>
              <w:textAlignment w:val="bottom"/>
            </w:pPr>
            <w:r>
              <w:rPr>
                <w:rFonts w:ascii="Arial" w:eastAsia="宋体" w:hAnsi="Arial" w:cs="Arial"/>
                <w:color w:val="000000"/>
                <w:sz w:val="13"/>
                <w:szCs w:val="13"/>
              </w:rPr>
              <w:t>8,164 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C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4F" w14:textId="77777777" w:rsidR="006A3667" w:rsidRDefault="006A3667">
            <w:pPr>
              <w:spacing w:after="20"/>
              <w:jc w:val="right"/>
            </w:pPr>
          </w:p>
          <w:p w14:paraId="71D40C50" w14:textId="77777777" w:rsidR="006A3667" w:rsidRDefault="006A3667">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C51"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C52" w14:textId="77777777" w:rsidR="006A3667" w:rsidRDefault="00045F32">
            <w:pPr>
              <w:jc w:val="right"/>
              <w:textAlignment w:val="bottom"/>
            </w:pPr>
            <w:r>
              <w:rPr>
                <w:rFonts w:ascii="Arial" w:eastAsia="宋体" w:hAnsi="Arial" w:cs="Arial"/>
                <w:color w:val="000000"/>
                <w:sz w:val="13"/>
                <w:szCs w:val="13"/>
              </w:rPr>
              <w:t>16,239 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C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5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C55"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C56" w14:textId="77777777" w:rsidR="006A3667" w:rsidRDefault="00045F32">
            <w:pPr>
              <w:jc w:val="right"/>
              <w:textAlignment w:val="bottom"/>
            </w:pPr>
            <w:r>
              <w:rPr>
                <w:rFonts w:ascii="Arial" w:eastAsia="宋体" w:hAnsi="Arial" w:cs="Arial"/>
                <w:color w:val="000000"/>
                <w:sz w:val="13"/>
                <w:szCs w:val="13"/>
              </w:rPr>
              <w:t>3,693 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C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58" w14:textId="77777777" w:rsidR="006A3667" w:rsidRDefault="006A3667">
            <w:pPr>
              <w:rPr>
                <w:rFonts w:ascii="宋体"/>
              </w:rPr>
            </w:pPr>
          </w:p>
        </w:tc>
        <w:tc>
          <w:tcPr>
            <w:tcW w:w="0" w:type="auto"/>
            <w:shd w:val="clear" w:color="auto" w:fill="auto"/>
            <w:vAlign w:val="bottom"/>
          </w:tcPr>
          <w:p w14:paraId="71D40C59" w14:textId="77777777" w:rsidR="006A3667" w:rsidRDefault="006A3667">
            <w:pPr>
              <w:rPr>
                <w:rFonts w:ascii="宋体"/>
                <w:vanish/>
              </w:rPr>
            </w:pPr>
          </w:p>
        </w:tc>
        <w:tc>
          <w:tcPr>
            <w:tcW w:w="0" w:type="auto"/>
            <w:shd w:val="clear" w:color="auto" w:fill="auto"/>
            <w:vAlign w:val="bottom"/>
          </w:tcPr>
          <w:p w14:paraId="71D40C5A"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C5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C5C" w14:textId="77777777" w:rsidR="006A3667" w:rsidRDefault="00045F32">
            <w:pPr>
              <w:jc w:val="right"/>
              <w:textAlignment w:val="bottom"/>
            </w:pPr>
            <w:r>
              <w:rPr>
                <w:rFonts w:ascii="Arial" w:eastAsia="宋体" w:hAnsi="Arial" w:cs="Arial"/>
                <w:color w:val="000000"/>
                <w:sz w:val="13"/>
                <w:szCs w:val="13"/>
              </w:rPr>
              <w:t>17,503 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C5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5E"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C5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C60" w14:textId="77777777" w:rsidR="006A3667" w:rsidRDefault="00045F32">
            <w:pPr>
              <w:jc w:val="right"/>
              <w:textAlignment w:val="bottom"/>
            </w:pPr>
            <w:r>
              <w:rPr>
                <w:rFonts w:ascii="Arial" w:eastAsia="宋体" w:hAnsi="Arial" w:cs="Arial"/>
                <w:color w:val="000000"/>
                <w:sz w:val="13"/>
                <w:szCs w:val="13"/>
              </w:rPr>
              <w:t>30,509 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C61"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0C6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C63" w14:textId="77777777" w:rsidR="006A3667" w:rsidRDefault="00045F32">
            <w:pPr>
              <w:textAlignment w:val="bottom"/>
            </w:pPr>
            <w:r>
              <w:rPr>
                <w:rFonts w:ascii="Arial" w:eastAsia="宋体" w:hAnsi="Arial" w:cs="Arial"/>
                <w:color w:val="000000"/>
                <w:sz w:val="13"/>
                <w:szCs w:val="13"/>
              </w:rPr>
              <w:t>$</w:t>
            </w:r>
          </w:p>
          <w:p w14:paraId="71D40C64" w14:textId="77777777" w:rsidR="006A3667" w:rsidRDefault="00045F32">
            <w:pPr>
              <w:jc w:val="right"/>
              <w:textAlignment w:val="bottom"/>
            </w:pPr>
            <w:r>
              <w:rPr>
                <w:rFonts w:ascii="Arial" w:eastAsia="宋体" w:hAnsi="Arial" w:cs="Arial"/>
                <w:color w:val="000000"/>
                <w:sz w:val="13"/>
                <w:szCs w:val="13"/>
              </w:rPr>
              <w:t>11,452 </w:t>
            </w:r>
          </w:p>
          <w:p w14:paraId="71D40C65" w14:textId="77777777" w:rsidR="006A3667" w:rsidRDefault="00045F32">
            <w:pPr>
              <w:textAlignment w:val="bottom"/>
            </w:pPr>
            <w:r>
              <w:rPr>
                <w:rFonts w:ascii="Arial" w:eastAsia="宋体" w:hAnsi="Arial" w:cs="Arial"/>
                <w:b/>
                <w:bCs/>
                <w:color w:val="000000"/>
                <w:sz w:val="13"/>
                <w:szCs w:val="13"/>
              </w:rPr>
              <w:t>$</w:t>
            </w:r>
          </w:p>
          <w:p w14:paraId="71D40C66" w14:textId="77777777" w:rsidR="006A3667" w:rsidRDefault="00045F32">
            <w:pPr>
              <w:jc w:val="right"/>
              <w:textAlignment w:val="bottom"/>
            </w:pPr>
            <w:r>
              <w:rPr>
                <w:rFonts w:ascii="Arial" w:eastAsia="宋体" w:hAnsi="Arial" w:cs="Arial"/>
                <w:b/>
                <w:bCs/>
                <w:color w:val="000000"/>
                <w:sz w:val="13"/>
                <w:szCs w:val="13"/>
              </w:rPr>
              <w:t>7,546</w:t>
            </w:r>
            <w:r>
              <w:rPr>
                <w:rFonts w:ascii="Arial" w:eastAsia="宋体" w:hAnsi="Arial" w:cs="Arial"/>
                <w:color w:val="000000"/>
                <w:sz w:val="13"/>
                <w:szCs w:val="13"/>
              </w:rPr>
              <w:t> </w:t>
            </w:r>
          </w:p>
          <w:p w14:paraId="71D40C67" w14:textId="77777777" w:rsidR="006A3667" w:rsidRDefault="00045F32">
            <w:pPr>
              <w:textAlignment w:val="bottom"/>
            </w:pPr>
            <w:r>
              <w:rPr>
                <w:rFonts w:ascii="Arial" w:eastAsia="宋体" w:hAnsi="Arial" w:cs="Arial"/>
                <w:color w:val="000000"/>
                <w:sz w:val="13"/>
                <w:szCs w:val="13"/>
              </w:rPr>
              <w:t>$</w:t>
            </w:r>
          </w:p>
          <w:p w14:paraId="71D40C68" w14:textId="77777777" w:rsidR="006A3667" w:rsidRDefault="00045F32">
            <w:pPr>
              <w:jc w:val="right"/>
              <w:textAlignment w:val="bottom"/>
            </w:pPr>
            <w:r>
              <w:rPr>
                <w:rFonts w:ascii="Arial" w:eastAsia="宋体" w:hAnsi="Arial" w:cs="Arial"/>
                <w:color w:val="000000"/>
                <w:sz w:val="13"/>
                <w:szCs w:val="13"/>
              </w:rPr>
              <w:t>8,308 </w:t>
            </w:r>
          </w:p>
          <w:p w14:paraId="71D40C69" w14:textId="77777777" w:rsidR="006A3667" w:rsidRDefault="00045F32">
            <w:pPr>
              <w:textAlignment w:val="bottom"/>
            </w:pPr>
            <w:r>
              <w:rPr>
                <w:rFonts w:ascii="Arial" w:eastAsia="宋体" w:hAnsi="Arial" w:cs="Arial"/>
                <w:color w:val="000000"/>
                <w:sz w:val="13"/>
                <w:szCs w:val="13"/>
              </w:rPr>
              <w:t>$</w:t>
            </w:r>
          </w:p>
          <w:p w14:paraId="71D40C6A" w14:textId="77777777" w:rsidR="006A3667" w:rsidRDefault="00045F32">
            <w:pPr>
              <w:jc w:val="right"/>
              <w:textAlignment w:val="bottom"/>
            </w:pPr>
            <w:r>
              <w:rPr>
                <w:rFonts w:ascii="Arial" w:eastAsia="宋体" w:hAnsi="Arial" w:cs="Arial"/>
                <w:color w:val="000000"/>
                <w:sz w:val="13"/>
                <w:szCs w:val="13"/>
              </w:rPr>
              <w:t>15,160 </w:t>
            </w:r>
          </w:p>
        </w:tc>
      </w:tr>
      <w:tr w:rsidR="006A3667" w14:paraId="71D40C82" w14:textId="77777777">
        <w:trPr>
          <w:trHeight w:val="100"/>
        </w:trPr>
        <w:tc>
          <w:tcPr>
            <w:tcW w:w="0" w:type="auto"/>
            <w:gridSpan w:val="3"/>
            <w:shd w:val="clear" w:color="auto" w:fill="auto"/>
            <w:tcMar>
              <w:top w:w="0" w:type="dxa"/>
              <w:left w:w="20" w:type="dxa"/>
              <w:bottom w:w="0" w:type="dxa"/>
              <w:right w:w="20" w:type="dxa"/>
            </w:tcMar>
            <w:vAlign w:val="bottom"/>
          </w:tcPr>
          <w:p w14:paraId="71D40C6C"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C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C6E"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C6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C70"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C7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C72" w14:textId="77777777" w:rsidR="006A3667" w:rsidRDefault="006A3667">
            <w:pPr>
              <w:rPr>
                <w:rFonts w:ascii="宋体"/>
              </w:rPr>
            </w:pPr>
          </w:p>
        </w:tc>
        <w:tc>
          <w:tcPr>
            <w:tcW w:w="0" w:type="auto"/>
            <w:shd w:val="clear" w:color="auto" w:fill="auto"/>
            <w:vAlign w:val="bottom"/>
          </w:tcPr>
          <w:p w14:paraId="71D40C73" w14:textId="77777777" w:rsidR="006A3667" w:rsidRDefault="006A3667">
            <w:pPr>
              <w:rPr>
                <w:rFonts w:ascii="宋体"/>
                <w:vanish/>
              </w:rPr>
            </w:pPr>
          </w:p>
        </w:tc>
        <w:tc>
          <w:tcPr>
            <w:tcW w:w="0" w:type="auto"/>
            <w:shd w:val="clear" w:color="auto" w:fill="auto"/>
            <w:vAlign w:val="bottom"/>
          </w:tcPr>
          <w:p w14:paraId="71D40C74" w14:textId="77777777" w:rsidR="006A3667" w:rsidRDefault="006A3667">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C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C76"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C7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C7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C7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C7A" w14:textId="77777777" w:rsidR="006A3667" w:rsidRDefault="006A3667">
            <w:pPr>
              <w:rPr>
                <w:rFonts w:ascii="宋体"/>
              </w:rPr>
            </w:pPr>
          </w:p>
        </w:tc>
        <w:tc>
          <w:tcPr>
            <w:tcW w:w="0" w:type="auto"/>
            <w:shd w:val="clear" w:color="auto" w:fill="auto"/>
            <w:vAlign w:val="bottom"/>
          </w:tcPr>
          <w:p w14:paraId="71D40C7B" w14:textId="77777777" w:rsidR="006A3667" w:rsidRDefault="006A3667">
            <w:pPr>
              <w:rPr>
                <w:rFonts w:ascii="宋体"/>
                <w:vanish/>
              </w:rPr>
            </w:pPr>
          </w:p>
        </w:tc>
        <w:tc>
          <w:tcPr>
            <w:tcW w:w="0" w:type="auto"/>
            <w:shd w:val="clear" w:color="auto" w:fill="auto"/>
            <w:vAlign w:val="bottom"/>
          </w:tcPr>
          <w:p w14:paraId="71D40C7C" w14:textId="77777777" w:rsidR="006A3667" w:rsidRDefault="006A3667">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C7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C7E"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C7F"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0C80" w14:textId="77777777" w:rsidR="006A3667" w:rsidRDefault="006A3667">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71D40C81" w14:textId="77777777" w:rsidR="006A3667" w:rsidRDefault="006A3667">
            <w:pPr>
              <w:rPr>
                <w:rFonts w:ascii="宋体"/>
              </w:rPr>
            </w:pPr>
          </w:p>
        </w:tc>
      </w:tr>
      <w:tr w:rsidR="006A3667" w14:paraId="71D40C84" w14:textId="77777777">
        <w:tc>
          <w:tcPr>
            <w:tcW w:w="0" w:type="auto"/>
            <w:gridSpan w:val="55"/>
            <w:shd w:val="clear" w:color="auto" w:fill="auto"/>
            <w:tcMar>
              <w:top w:w="40" w:type="dxa"/>
              <w:left w:w="20" w:type="dxa"/>
              <w:bottom w:w="40" w:type="dxa"/>
              <w:right w:w="20" w:type="dxa"/>
            </w:tcMar>
            <w:vAlign w:val="bottom"/>
          </w:tcPr>
          <w:p w14:paraId="71D40C83" w14:textId="77777777" w:rsidR="006A3667" w:rsidRDefault="00045F32">
            <w:pPr>
              <w:textAlignment w:val="bottom"/>
            </w:pPr>
            <w:r>
              <w:rPr>
                <w:rFonts w:ascii="Arial" w:eastAsia="宋体" w:hAnsi="Arial" w:cs="Arial"/>
                <w:b/>
                <w:bCs/>
                <w:color w:val="000000"/>
                <w:sz w:val="16"/>
                <w:szCs w:val="16"/>
              </w:rPr>
              <w:t>TABLE 29: TEN-DAY STRESSED VALUE-AT-RISK ASSOCIATED WITH TRADING ACTIVITIES FOR COVERED POSITIONS</w:t>
            </w:r>
          </w:p>
        </w:tc>
      </w:tr>
      <w:tr w:rsidR="006A3667" w14:paraId="71D40C8C" w14:textId="77777777">
        <w:trPr>
          <w:trHeight w:val="220"/>
        </w:trPr>
        <w:tc>
          <w:tcPr>
            <w:tcW w:w="0" w:type="auto"/>
            <w:gridSpan w:val="3"/>
            <w:shd w:val="clear" w:color="auto" w:fill="auto"/>
            <w:tcMar>
              <w:top w:w="0" w:type="dxa"/>
              <w:left w:w="20" w:type="dxa"/>
              <w:bottom w:w="0" w:type="dxa"/>
              <w:right w:w="20" w:type="dxa"/>
            </w:tcMar>
            <w:vAlign w:val="bottom"/>
          </w:tcPr>
          <w:p w14:paraId="71D40C85" w14:textId="77777777" w:rsidR="006A3667" w:rsidRDefault="006A3667">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71D40C86" w14:textId="77777777" w:rsidR="006A3667" w:rsidRDefault="00045F32">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Mar>
              <w:top w:w="0" w:type="dxa"/>
              <w:left w:w="20" w:type="dxa"/>
              <w:bottom w:w="0" w:type="dxa"/>
              <w:right w:w="20" w:type="dxa"/>
            </w:tcMar>
            <w:vAlign w:val="bottom"/>
          </w:tcPr>
          <w:p w14:paraId="71D40C87"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0C88" w14:textId="77777777" w:rsidR="006A3667" w:rsidRDefault="00045F32">
            <w:pPr>
              <w:jc w:val="center"/>
              <w:textAlignment w:val="bottom"/>
            </w:pPr>
            <w:r>
              <w:rPr>
                <w:rFonts w:ascii="Arial" w:eastAsia="宋体" w:hAnsi="Arial" w:cs="Arial"/>
                <w:b/>
                <w:bCs/>
                <w:color w:val="000000"/>
                <w:sz w:val="13"/>
                <w:szCs w:val="13"/>
              </w:rPr>
              <w:t>As of September 30, 2022</w:t>
            </w:r>
          </w:p>
        </w:tc>
        <w:tc>
          <w:tcPr>
            <w:tcW w:w="0" w:type="auto"/>
            <w:gridSpan w:val="2"/>
            <w:vMerge w:val="restart"/>
            <w:shd w:val="clear" w:color="auto" w:fill="auto"/>
            <w:tcMar>
              <w:top w:w="0" w:type="dxa"/>
              <w:left w:w="20" w:type="dxa"/>
              <w:bottom w:w="0" w:type="dxa"/>
              <w:right w:w="20" w:type="dxa"/>
            </w:tcMar>
            <w:vAlign w:val="bottom"/>
          </w:tcPr>
          <w:p w14:paraId="71D40C89" w14:textId="77777777" w:rsidR="006A3667" w:rsidRDefault="006A3667">
            <w:pPr>
              <w:rPr>
                <w:rFonts w:ascii="宋体"/>
              </w:rPr>
            </w:pPr>
          </w:p>
        </w:tc>
        <w:tc>
          <w:tcPr>
            <w:tcW w:w="0" w:type="auto"/>
            <w:vMerge w:val="restart"/>
            <w:shd w:val="clear" w:color="auto" w:fill="auto"/>
            <w:tcMar>
              <w:top w:w="40" w:type="dxa"/>
              <w:left w:w="20" w:type="dxa"/>
              <w:bottom w:w="40" w:type="dxa"/>
              <w:right w:w="20" w:type="dxa"/>
            </w:tcMar>
            <w:vAlign w:val="bottom"/>
          </w:tcPr>
          <w:p w14:paraId="71D40C8A" w14:textId="77777777" w:rsidR="006A3667" w:rsidRDefault="00045F32">
            <w:pPr>
              <w:jc w:val="center"/>
              <w:textAlignment w:val="bottom"/>
            </w:pPr>
            <w:r>
              <w:rPr>
                <w:rFonts w:ascii="Arial" w:eastAsia="宋体" w:hAnsi="Arial" w:cs="Arial"/>
                <w:b/>
                <w:bCs/>
                <w:color w:val="000000"/>
                <w:sz w:val="13"/>
                <w:szCs w:val="13"/>
              </w:rPr>
              <w:t>As of June 30, 2022</w:t>
            </w:r>
          </w:p>
          <w:p w14:paraId="71D40C8B" w14:textId="77777777" w:rsidR="006A3667" w:rsidRDefault="00045F32">
            <w:pPr>
              <w:jc w:val="center"/>
              <w:textAlignment w:val="bottom"/>
            </w:pPr>
            <w:r>
              <w:rPr>
                <w:rFonts w:ascii="Arial" w:eastAsia="宋体" w:hAnsi="Arial" w:cs="Arial"/>
                <w:b/>
                <w:bCs/>
                <w:color w:val="000000"/>
                <w:sz w:val="13"/>
                <w:szCs w:val="13"/>
              </w:rPr>
              <w:t>As of September 30, 2021</w:t>
            </w:r>
          </w:p>
        </w:tc>
      </w:tr>
      <w:tr w:rsidR="006A3667" w14:paraId="71D40C98" w14:textId="77777777">
        <w:trPr>
          <w:trHeight w:val="220"/>
        </w:trPr>
        <w:tc>
          <w:tcPr>
            <w:tcW w:w="0" w:type="auto"/>
            <w:gridSpan w:val="3"/>
            <w:shd w:val="clear" w:color="auto" w:fill="auto"/>
            <w:tcMar>
              <w:top w:w="0" w:type="dxa"/>
              <w:left w:w="20" w:type="dxa"/>
              <w:bottom w:w="0" w:type="dxa"/>
              <w:right w:w="20" w:type="dxa"/>
            </w:tcMar>
            <w:vAlign w:val="bottom"/>
          </w:tcPr>
          <w:p w14:paraId="71D40C8D"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0C8E" w14:textId="77777777" w:rsidR="006A3667" w:rsidRDefault="00045F32">
            <w:pPr>
              <w:jc w:val="center"/>
              <w:textAlignment w:val="bottom"/>
            </w:pPr>
            <w:r>
              <w:rPr>
                <w:rFonts w:ascii="Arial" w:eastAsia="宋体" w:hAnsi="Arial" w:cs="Arial"/>
                <w:b/>
                <w:bCs/>
                <w:color w:val="000000"/>
                <w:sz w:val="13"/>
                <w:szCs w:val="13"/>
              </w:rPr>
              <w:t>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C8F" w14:textId="77777777" w:rsidR="006A3667" w:rsidRDefault="006A3667">
            <w:pPr>
              <w:rPr>
                <w:rFonts w:ascii="宋体"/>
              </w:rPr>
            </w:pPr>
          </w:p>
        </w:tc>
        <w:tc>
          <w:tcPr>
            <w:tcW w:w="0" w:type="auto"/>
            <w:shd w:val="clear" w:color="auto" w:fill="auto"/>
            <w:vAlign w:val="bottom"/>
          </w:tcPr>
          <w:p w14:paraId="71D40C90" w14:textId="77777777" w:rsidR="006A3667" w:rsidRDefault="006A3667">
            <w:pPr>
              <w:rPr>
                <w:rFonts w:ascii="宋体"/>
                <w:vanish/>
              </w:rPr>
            </w:pPr>
          </w:p>
        </w:tc>
        <w:tc>
          <w:tcPr>
            <w:tcW w:w="0" w:type="auto"/>
            <w:shd w:val="clear" w:color="auto" w:fill="auto"/>
            <w:vAlign w:val="bottom"/>
          </w:tcPr>
          <w:p w14:paraId="71D40C91" w14:textId="77777777" w:rsidR="006A3667" w:rsidRDefault="006A3667">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0C92" w14:textId="77777777" w:rsidR="006A3667" w:rsidRDefault="00045F32">
            <w:pPr>
              <w:jc w:val="center"/>
              <w:textAlignment w:val="bottom"/>
            </w:pPr>
            <w:r>
              <w:rPr>
                <w:rFonts w:ascii="Arial" w:eastAsia="宋体" w:hAnsi="Arial" w:cs="Arial"/>
                <w:b/>
                <w:bCs/>
                <w:color w:val="000000"/>
                <w:sz w:val="13"/>
                <w:szCs w:val="13"/>
              </w:rPr>
              <w:t>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C93" w14:textId="77777777" w:rsidR="006A3667" w:rsidRDefault="006A3667">
            <w:pPr>
              <w:rPr>
                <w:rFonts w:ascii="宋体"/>
              </w:rPr>
            </w:pPr>
          </w:p>
        </w:tc>
        <w:tc>
          <w:tcPr>
            <w:tcW w:w="0" w:type="auto"/>
            <w:shd w:val="clear" w:color="auto" w:fill="auto"/>
            <w:vAlign w:val="bottom"/>
          </w:tcPr>
          <w:p w14:paraId="71D40C94" w14:textId="77777777" w:rsidR="006A3667" w:rsidRDefault="006A3667">
            <w:pPr>
              <w:rPr>
                <w:rFonts w:ascii="宋体"/>
                <w:vanish/>
              </w:rPr>
            </w:pPr>
          </w:p>
        </w:tc>
        <w:tc>
          <w:tcPr>
            <w:tcW w:w="0" w:type="auto"/>
            <w:shd w:val="clear" w:color="auto" w:fill="auto"/>
            <w:vAlign w:val="bottom"/>
          </w:tcPr>
          <w:p w14:paraId="71D40C95" w14:textId="77777777" w:rsidR="006A3667" w:rsidRDefault="006A3667">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71D40C96" w14:textId="77777777" w:rsidR="006A3667" w:rsidRDefault="00045F32">
            <w:pPr>
              <w:jc w:val="center"/>
              <w:textAlignment w:val="bottom"/>
            </w:pPr>
            <w:r>
              <w:rPr>
                <w:rFonts w:ascii="Arial" w:eastAsia="宋体" w:hAnsi="Arial" w:cs="Arial"/>
                <w:b/>
                <w:bCs/>
                <w:color w:val="000000"/>
                <w:sz w:val="13"/>
                <w:szCs w:val="13"/>
              </w:rPr>
              <w:t> September 30, 2021</w:t>
            </w:r>
          </w:p>
        </w:tc>
        <w:tc>
          <w:tcPr>
            <w:tcW w:w="0" w:type="auto"/>
            <w:shd w:val="clear" w:color="auto" w:fill="auto"/>
            <w:tcMar>
              <w:top w:w="0" w:type="dxa"/>
              <w:left w:w="20" w:type="dxa"/>
              <w:bottom w:w="0" w:type="dxa"/>
              <w:right w:w="20" w:type="dxa"/>
            </w:tcMar>
            <w:vAlign w:val="bottom"/>
          </w:tcPr>
          <w:p w14:paraId="71D40C97" w14:textId="77777777" w:rsidR="006A3667" w:rsidRDefault="006A3667">
            <w:pPr>
              <w:rPr>
                <w:rFonts w:ascii="宋体"/>
              </w:rPr>
            </w:pPr>
          </w:p>
        </w:tc>
      </w:tr>
      <w:tr w:rsidR="006A3667" w14:paraId="71D40CB2" w14:textId="77777777">
        <w:tc>
          <w:tcPr>
            <w:tcW w:w="0" w:type="auto"/>
            <w:gridSpan w:val="3"/>
            <w:shd w:val="clear" w:color="auto" w:fill="auto"/>
            <w:tcMar>
              <w:top w:w="40" w:type="dxa"/>
              <w:left w:w="20" w:type="dxa"/>
              <w:bottom w:w="40" w:type="dxa"/>
              <w:right w:w="20" w:type="dxa"/>
            </w:tcMar>
            <w:vAlign w:val="bottom"/>
          </w:tcPr>
          <w:p w14:paraId="71D40C99" w14:textId="77777777" w:rsidR="006A3667" w:rsidRDefault="00045F32">
            <w:pPr>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C9A" w14:textId="77777777" w:rsidR="006A3667" w:rsidRDefault="00045F32">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C9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C9C" w14:textId="77777777" w:rsidR="006A3667" w:rsidRDefault="00045F32">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C9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C9E" w14:textId="77777777" w:rsidR="006A3667" w:rsidRDefault="00045F32">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71D40C9F" w14:textId="77777777" w:rsidR="006A3667" w:rsidRDefault="006A3667">
            <w:pPr>
              <w:rPr>
                <w:rFonts w:ascii="宋体"/>
              </w:rPr>
            </w:pPr>
          </w:p>
        </w:tc>
        <w:tc>
          <w:tcPr>
            <w:tcW w:w="0" w:type="auto"/>
            <w:shd w:val="clear" w:color="auto" w:fill="auto"/>
            <w:vAlign w:val="bottom"/>
          </w:tcPr>
          <w:p w14:paraId="71D40CA0" w14:textId="77777777" w:rsidR="006A3667" w:rsidRDefault="006A3667">
            <w:pPr>
              <w:rPr>
                <w:rFonts w:ascii="宋体"/>
                <w:vanish/>
              </w:rPr>
            </w:pPr>
          </w:p>
        </w:tc>
        <w:tc>
          <w:tcPr>
            <w:tcW w:w="0" w:type="auto"/>
            <w:shd w:val="clear" w:color="auto" w:fill="auto"/>
            <w:vAlign w:val="bottom"/>
          </w:tcPr>
          <w:p w14:paraId="71D40CA1"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CA2" w14:textId="77777777" w:rsidR="006A3667" w:rsidRDefault="00045F32">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CA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CA4" w14:textId="77777777" w:rsidR="006A3667" w:rsidRDefault="00045F32">
            <w:pP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CA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CA6" w14:textId="77777777" w:rsidR="006A3667" w:rsidRDefault="00045F32">
            <w:pP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71D40CA7" w14:textId="77777777" w:rsidR="006A3667" w:rsidRDefault="006A3667">
            <w:pPr>
              <w:rPr>
                <w:rFonts w:ascii="宋体"/>
              </w:rPr>
            </w:pPr>
          </w:p>
        </w:tc>
        <w:tc>
          <w:tcPr>
            <w:tcW w:w="0" w:type="auto"/>
            <w:shd w:val="clear" w:color="auto" w:fill="auto"/>
            <w:vAlign w:val="bottom"/>
          </w:tcPr>
          <w:p w14:paraId="71D40CA8" w14:textId="77777777" w:rsidR="006A3667" w:rsidRDefault="006A3667">
            <w:pPr>
              <w:rPr>
                <w:rFonts w:ascii="宋体"/>
                <w:vanish/>
              </w:rPr>
            </w:pPr>
          </w:p>
        </w:tc>
        <w:tc>
          <w:tcPr>
            <w:tcW w:w="0" w:type="auto"/>
            <w:shd w:val="clear" w:color="auto" w:fill="auto"/>
            <w:vAlign w:val="bottom"/>
          </w:tcPr>
          <w:p w14:paraId="71D40CA9"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CAA" w14:textId="77777777" w:rsidR="006A3667" w:rsidRDefault="00045F32">
            <w:pP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CA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CAC" w14:textId="77777777" w:rsidR="006A3667" w:rsidRDefault="00045F32">
            <w:pPr>
              <w:spacing w:after="20"/>
              <w:jc w:val="center"/>
              <w:textAlignment w:val="bottom"/>
            </w:pPr>
            <w:r>
              <w:rPr>
                <w:rFonts w:ascii="Arial" w:eastAsia="宋体" w:hAnsi="Arial" w:cs="Arial"/>
                <w:b/>
                <w:bCs/>
                <w:color w:val="000000"/>
                <w:sz w:val="13"/>
                <w:szCs w:val="13"/>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0CAD" w14:textId="77777777" w:rsidR="006A3667" w:rsidRDefault="006A3667">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1D40CAE" w14:textId="77777777" w:rsidR="006A3667" w:rsidRDefault="00045F32">
            <w:pPr>
              <w:spacing w:after="20"/>
              <w:jc w:val="center"/>
              <w:textAlignment w:val="bottom"/>
            </w:pPr>
            <w:r>
              <w:rPr>
                <w:rFonts w:ascii="Arial" w:eastAsia="宋体" w:hAnsi="Arial" w:cs="Arial"/>
                <w:b/>
                <w:bCs/>
                <w:color w:val="000000"/>
                <w:sz w:val="13"/>
                <w:szCs w:val="13"/>
              </w:rPr>
              <w:t>Min.</w:t>
            </w:r>
          </w:p>
          <w:p w14:paraId="71D40CAF" w14:textId="77777777" w:rsidR="006A3667" w:rsidRDefault="00045F32">
            <w:pPr>
              <w:spacing w:after="20"/>
              <w:jc w:val="center"/>
              <w:textAlignment w:val="bottom"/>
            </w:pPr>
            <w:r>
              <w:rPr>
                <w:rFonts w:ascii="Arial" w:eastAsia="宋体" w:hAnsi="Arial" w:cs="Arial"/>
                <w:b/>
                <w:bCs/>
                <w:color w:val="000000"/>
                <w:sz w:val="13"/>
                <w:szCs w:val="13"/>
              </w:rPr>
              <w:t>VaR</w:t>
            </w:r>
          </w:p>
          <w:p w14:paraId="71D40CB0" w14:textId="77777777" w:rsidR="006A3667" w:rsidRDefault="00045F32">
            <w:pPr>
              <w:spacing w:after="20"/>
              <w:jc w:val="center"/>
              <w:textAlignment w:val="bottom"/>
            </w:pPr>
            <w:r>
              <w:rPr>
                <w:rFonts w:ascii="Arial" w:eastAsia="宋体" w:hAnsi="Arial" w:cs="Arial"/>
                <w:b/>
                <w:bCs/>
                <w:color w:val="000000"/>
                <w:sz w:val="13"/>
                <w:szCs w:val="13"/>
              </w:rPr>
              <w:t>VaR</w:t>
            </w:r>
          </w:p>
          <w:p w14:paraId="71D40CB1" w14:textId="77777777" w:rsidR="006A3667" w:rsidRDefault="00045F32">
            <w:pPr>
              <w:spacing w:after="20"/>
              <w:jc w:val="center"/>
              <w:textAlignment w:val="bottom"/>
            </w:pPr>
            <w:r>
              <w:rPr>
                <w:rFonts w:ascii="Arial" w:eastAsia="宋体" w:hAnsi="Arial" w:cs="Arial"/>
                <w:b/>
                <w:bCs/>
                <w:color w:val="000000"/>
                <w:sz w:val="13"/>
                <w:szCs w:val="13"/>
              </w:rPr>
              <w:t>VaR</w:t>
            </w:r>
          </w:p>
        </w:tc>
      </w:tr>
      <w:tr w:rsidR="00045F32" w14:paraId="71D40CE4" w14:textId="77777777">
        <w:tc>
          <w:tcPr>
            <w:tcW w:w="0" w:type="auto"/>
            <w:gridSpan w:val="3"/>
            <w:shd w:val="clear" w:color="auto" w:fill="CCEEFF"/>
            <w:tcMar>
              <w:top w:w="40" w:type="dxa"/>
              <w:left w:w="20" w:type="dxa"/>
              <w:bottom w:w="40" w:type="dxa"/>
              <w:right w:w="20" w:type="dxa"/>
            </w:tcMar>
            <w:vAlign w:val="bottom"/>
          </w:tcPr>
          <w:p w14:paraId="71D40CB3" w14:textId="77777777" w:rsidR="006A3667" w:rsidRDefault="00045F32">
            <w:pPr>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0CB4"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CB5" w14:textId="77777777" w:rsidR="006A3667" w:rsidRDefault="00045F32">
            <w:pPr>
              <w:jc w:val="right"/>
              <w:textAlignment w:val="bottom"/>
            </w:pPr>
            <w:r>
              <w:rPr>
                <w:rFonts w:ascii="Arial" w:eastAsia="宋体" w:hAnsi="Arial" w:cs="Arial"/>
                <w:b/>
                <w:bCs/>
                <w:color w:val="000000"/>
                <w:sz w:val="13"/>
                <w:szCs w:val="13"/>
              </w:rPr>
              <w:t>29,428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C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B7" w14:textId="77777777" w:rsidR="006A3667" w:rsidRDefault="006A3667">
            <w:pPr>
              <w:spacing w:after="20"/>
              <w:jc w:val="right"/>
            </w:pPr>
          </w:p>
          <w:p w14:paraId="71D40CB8" w14:textId="77777777" w:rsidR="006A3667" w:rsidRDefault="006A3667">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CB9"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CBA" w14:textId="77777777" w:rsidR="006A3667" w:rsidRDefault="00045F32">
            <w:pPr>
              <w:jc w:val="right"/>
              <w:textAlignment w:val="bottom"/>
            </w:pPr>
            <w:r>
              <w:rPr>
                <w:rFonts w:ascii="Arial" w:eastAsia="宋体" w:hAnsi="Arial" w:cs="Arial"/>
                <w:b/>
                <w:bCs/>
                <w:color w:val="000000"/>
                <w:sz w:val="13"/>
                <w:szCs w:val="13"/>
              </w:rPr>
              <w:t>62,994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C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BC" w14:textId="77777777" w:rsidR="006A3667" w:rsidRDefault="006A3667">
            <w:pPr>
              <w:spacing w:after="20"/>
              <w:jc w:val="right"/>
            </w:pPr>
          </w:p>
          <w:p w14:paraId="71D40CBD" w14:textId="77777777" w:rsidR="006A3667" w:rsidRDefault="006A3667">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CBE"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CBF" w14:textId="77777777" w:rsidR="006A3667" w:rsidRDefault="00045F32">
            <w:pPr>
              <w:jc w:val="right"/>
              <w:textAlignment w:val="bottom"/>
            </w:pPr>
            <w:r>
              <w:rPr>
                <w:rFonts w:ascii="Arial" w:eastAsia="宋体" w:hAnsi="Arial" w:cs="Arial"/>
                <w:b/>
                <w:bCs/>
                <w:color w:val="000000"/>
                <w:sz w:val="13"/>
                <w:szCs w:val="13"/>
              </w:rPr>
              <w:t>16,413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CC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C1" w14:textId="77777777" w:rsidR="006A3667" w:rsidRDefault="006A3667">
            <w:pPr>
              <w:rPr>
                <w:rFonts w:ascii="宋体"/>
              </w:rPr>
            </w:pPr>
          </w:p>
        </w:tc>
        <w:tc>
          <w:tcPr>
            <w:tcW w:w="0" w:type="auto"/>
            <w:shd w:val="clear" w:color="auto" w:fill="auto"/>
            <w:vAlign w:val="bottom"/>
          </w:tcPr>
          <w:p w14:paraId="71D40CC2" w14:textId="77777777" w:rsidR="006A3667" w:rsidRDefault="006A3667">
            <w:pPr>
              <w:rPr>
                <w:rFonts w:ascii="宋体"/>
                <w:vanish/>
              </w:rPr>
            </w:pPr>
          </w:p>
        </w:tc>
        <w:tc>
          <w:tcPr>
            <w:tcW w:w="0" w:type="auto"/>
            <w:shd w:val="clear" w:color="auto" w:fill="auto"/>
            <w:vAlign w:val="bottom"/>
          </w:tcPr>
          <w:p w14:paraId="71D40CC3"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CC4"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CC5" w14:textId="77777777" w:rsidR="006A3667" w:rsidRDefault="00045F32">
            <w:pPr>
              <w:jc w:val="right"/>
              <w:textAlignment w:val="bottom"/>
            </w:pPr>
            <w:r>
              <w:rPr>
                <w:rFonts w:ascii="Arial" w:eastAsia="宋体" w:hAnsi="Arial" w:cs="Arial"/>
                <w:color w:val="000000"/>
                <w:sz w:val="13"/>
                <w:szCs w:val="13"/>
              </w:rPr>
              <w:t>42,486 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CC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C7" w14:textId="77777777" w:rsidR="006A3667" w:rsidRDefault="006A3667">
            <w:pPr>
              <w:spacing w:after="20"/>
              <w:jc w:val="right"/>
            </w:pPr>
          </w:p>
          <w:p w14:paraId="71D40CC8" w14:textId="77777777" w:rsidR="006A3667" w:rsidRDefault="006A3667">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CC9"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CCA" w14:textId="77777777" w:rsidR="006A3667" w:rsidRDefault="00045F32">
            <w:pPr>
              <w:jc w:val="right"/>
              <w:textAlignment w:val="bottom"/>
            </w:pPr>
            <w:r>
              <w:rPr>
                <w:rFonts w:ascii="Arial" w:eastAsia="宋体" w:hAnsi="Arial" w:cs="Arial"/>
                <w:color w:val="000000"/>
                <w:sz w:val="13"/>
                <w:szCs w:val="13"/>
              </w:rPr>
              <w:t>97,420 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C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CC" w14:textId="77777777" w:rsidR="006A3667" w:rsidRDefault="006A3667">
            <w:pPr>
              <w:spacing w:after="20"/>
              <w:jc w:val="right"/>
            </w:pPr>
          </w:p>
          <w:p w14:paraId="71D40CCD" w14:textId="77777777" w:rsidR="006A3667" w:rsidRDefault="006A3667">
            <w:pP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CCE"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CCF" w14:textId="77777777" w:rsidR="006A3667" w:rsidRDefault="00045F32">
            <w:pPr>
              <w:jc w:val="right"/>
              <w:textAlignment w:val="bottom"/>
            </w:pPr>
            <w:r>
              <w:rPr>
                <w:rFonts w:ascii="Arial" w:eastAsia="宋体" w:hAnsi="Arial" w:cs="Arial"/>
                <w:color w:val="000000"/>
                <w:sz w:val="13"/>
                <w:szCs w:val="13"/>
              </w:rPr>
              <w:t>20,533 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CD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D1" w14:textId="77777777" w:rsidR="006A3667" w:rsidRDefault="006A3667">
            <w:pPr>
              <w:rPr>
                <w:rFonts w:ascii="宋体"/>
              </w:rPr>
            </w:pPr>
          </w:p>
        </w:tc>
        <w:tc>
          <w:tcPr>
            <w:tcW w:w="0" w:type="auto"/>
            <w:shd w:val="clear" w:color="auto" w:fill="auto"/>
            <w:vAlign w:val="bottom"/>
          </w:tcPr>
          <w:p w14:paraId="71D40CD2" w14:textId="77777777" w:rsidR="006A3667" w:rsidRDefault="006A3667">
            <w:pPr>
              <w:rPr>
                <w:rFonts w:ascii="宋体"/>
                <w:vanish/>
              </w:rPr>
            </w:pPr>
          </w:p>
        </w:tc>
        <w:tc>
          <w:tcPr>
            <w:tcW w:w="0" w:type="auto"/>
            <w:shd w:val="clear" w:color="auto" w:fill="auto"/>
            <w:vAlign w:val="bottom"/>
          </w:tcPr>
          <w:p w14:paraId="71D40CD3"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CD4"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CD5" w14:textId="77777777" w:rsidR="006A3667" w:rsidRDefault="00045F32">
            <w:pPr>
              <w:jc w:val="right"/>
              <w:textAlignment w:val="bottom"/>
            </w:pPr>
            <w:r>
              <w:rPr>
                <w:rFonts w:ascii="Arial" w:eastAsia="宋体" w:hAnsi="Arial" w:cs="Arial"/>
                <w:color w:val="000000"/>
                <w:sz w:val="13"/>
                <w:szCs w:val="13"/>
              </w:rPr>
              <w:t>53,508 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CD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CD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CD8"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0CD9" w14:textId="77777777" w:rsidR="006A3667" w:rsidRDefault="00045F32">
            <w:pPr>
              <w:jc w:val="right"/>
              <w:textAlignment w:val="bottom"/>
            </w:pPr>
            <w:r>
              <w:rPr>
                <w:rFonts w:ascii="Arial" w:eastAsia="宋体" w:hAnsi="Arial" w:cs="Arial"/>
                <w:color w:val="000000"/>
                <w:sz w:val="13"/>
                <w:szCs w:val="13"/>
              </w:rPr>
              <w:t>101,535 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CDA"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0CD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0CDC" w14:textId="77777777" w:rsidR="006A3667" w:rsidRDefault="00045F32">
            <w:pPr>
              <w:textAlignment w:val="bottom"/>
            </w:pPr>
            <w:r>
              <w:rPr>
                <w:rFonts w:ascii="Arial" w:eastAsia="宋体" w:hAnsi="Arial" w:cs="Arial"/>
                <w:color w:val="000000"/>
                <w:sz w:val="13"/>
                <w:szCs w:val="13"/>
              </w:rPr>
              <w:t>$</w:t>
            </w:r>
          </w:p>
          <w:p w14:paraId="71D40CDD" w14:textId="77777777" w:rsidR="006A3667" w:rsidRDefault="00045F32">
            <w:pPr>
              <w:jc w:val="right"/>
              <w:textAlignment w:val="bottom"/>
            </w:pPr>
            <w:r>
              <w:rPr>
                <w:rFonts w:ascii="Arial" w:eastAsia="宋体" w:hAnsi="Arial" w:cs="Arial"/>
                <w:color w:val="000000"/>
                <w:sz w:val="13"/>
                <w:szCs w:val="13"/>
              </w:rPr>
              <w:t>26,874 </w:t>
            </w:r>
          </w:p>
          <w:p w14:paraId="71D40CDE" w14:textId="77777777" w:rsidR="006A3667" w:rsidRDefault="00045F32">
            <w:pPr>
              <w:textAlignment w:val="bottom"/>
            </w:pPr>
            <w:r>
              <w:rPr>
                <w:rFonts w:ascii="Arial" w:eastAsia="宋体" w:hAnsi="Arial" w:cs="Arial"/>
                <w:b/>
                <w:bCs/>
                <w:color w:val="000000"/>
                <w:sz w:val="13"/>
                <w:szCs w:val="13"/>
              </w:rPr>
              <w:t>$</w:t>
            </w:r>
          </w:p>
          <w:p w14:paraId="71D40CDF" w14:textId="77777777" w:rsidR="006A3667" w:rsidRDefault="00045F32">
            <w:pPr>
              <w:jc w:val="right"/>
              <w:textAlignment w:val="bottom"/>
            </w:pPr>
            <w:r>
              <w:rPr>
                <w:rFonts w:ascii="Arial" w:eastAsia="宋体" w:hAnsi="Arial" w:cs="Arial"/>
                <w:b/>
                <w:bCs/>
                <w:color w:val="000000"/>
                <w:sz w:val="13"/>
                <w:szCs w:val="13"/>
              </w:rPr>
              <w:t>32,798</w:t>
            </w:r>
            <w:r>
              <w:rPr>
                <w:rFonts w:ascii="Arial" w:eastAsia="宋体" w:hAnsi="Arial" w:cs="Arial"/>
                <w:color w:val="000000"/>
                <w:sz w:val="13"/>
                <w:szCs w:val="13"/>
              </w:rPr>
              <w:t> </w:t>
            </w:r>
          </w:p>
          <w:p w14:paraId="71D40CE0" w14:textId="77777777" w:rsidR="006A3667" w:rsidRDefault="00045F32">
            <w:pPr>
              <w:textAlignment w:val="bottom"/>
            </w:pPr>
            <w:r>
              <w:rPr>
                <w:rFonts w:ascii="Arial" w:eastAsia="宋体" w:hAnsi="Arial" w:cs="Arial"/>
                <w:color w:val="000000"/>
                <w:sz w:val="13"/>
                <w:szCs w:val="13"/>
              </w:rPr>
              <w:t>$</w:t>
            </w:r>
          </w:p>
          <w:p w14:paraId="71D40CE1" w14:textId="77777777" w:rsidR="006A3667" w:rsidRDefault="00045F32">
            <w:pPr>
              <w:jc w:val="right"/>
              <w:textAlignment w:val="bottom"/>
            </w:pPr>
            <w:r>
              <w:rPr>
                <w:rFonts w:ascii="Arial" w:eastAsia="宋体" w:hAnsi="Arial" w:cs="Arial"/>
                <w:color w:val="000000"/>
                <w:sz w:val="13"/>
                <w:szCs w:val="13"/>
              </w:rPr>
              <w:t>43,306 </w:t>
            </w:r>
          </w:p>
          <w:p w14:paraId="71D40CE2" w14:textId="77777777" w:rsidR="006A3667" w:rsidRDefault="00045F32">
            <w:pPr>
              <w:textAlignment w:val="bottom"/>
            </w:pPr>
            <w:r>
              <w:rPr>
                <w:rFonts w:ascii="Arial" w:eastAsia="宋体" w:hAnsi="Arial" w:cs="Arial"/>
                <w:color w:val="000000"/>
                <w:sz w:val="13"/>
                <w:szCs w:val="13"/>
              </w:rPr>
              <w:t>$</w:t>
            </w:r>
          </w:p>
          <w:p w14:paraId="71D40CE3" w14:textId="77777777" w:rsidR="006A3667" w:rsidRDefault="00045F32">
            <w:pPr>
              <w:jc w:val="right"/>
              <w:textAlignment w:val="bottom"/>
            </w:pPr>
            <w:r>
              <w:rPr>
                <w:rFonts w:ascii="Arial" w:eastAsia="宋体" w:hAnsi="Arial" w:cs="Arial"/>
                <w:color w:val="000000"/>
                <w:sz w:val="13"/>
                <w:szCs w:val="13"/>
              </w:rPr>
              <w:t>45,720 </w:t>
            </w:r>
          </w:p>
        </w:tc>
      </w:tr>
      <w:tr w:rsidR="006A3667" w14:paraId="71D40D0A" w14:textId="77777777">
        <w:tc>
          <w:tcPr>
            <w:tcW w:w="0" w:type="auto"/>
            <w:gridSpan w:val="3"/>
            <w:shd w:val="clear" w:color="auto" w:fill="FFFFFF"/>
            <w:tcMar>
              <w:top w:w="40" w:type="dxa"/>
              <w:left w:w="20" w:type="dxa"/>
              <w:bottom w:w="40" w:type="dxa"/>
              <w:right w:w="20" w:type="dxa"/>
            </w:tcMar>
            <w:vAlign w:val="bottom"/>
          </w:tcPr>
          <w:p w14:paraId="71D40CE5" w14:textId="77777777" w:rsidR="006A3667" w:rsidRDefault="00045F32">
            <w:pPr>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71D40CE6" w14:textId="77777777" w:rsidR="006A3667" w:rsidRDefault="00045F32">
            <w:pPr>
              <w:jc w:val="right"/>
              <w:textAlignment w:val="bottom"/>
            </w:pPr>
            <w:r>
              <w:rPr>
                <w:rFonts w:ascii="Arial" w:eastAsia="宋体" w:hAnsi="Arial" w:cs="Arial"/>
                <w:b/>
                <w:bCs/>
                <w:color w:val="000000"/>
                <w:sz w:val="13"/>
                <w:szCs w:val="13"/>
              </w:rPr>
              <w:t>6,183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CE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E8" w14:textId="77777777" w:rsidR="006A3667" w:rsidRDefault="006A3667">
            <w:pPr>
              <w:spacing w:after="20"/>
              <w:jc w:val="right"/>
            </w:pPr>
          </w:p>
          <w:p w14:paraId="71D40CE9" w14:textId="77777777" w:rsidR="006A3667" w:rsidRDefault="006A3667">
            <w:pPr>
              <w:spacing w:after="20"/>
              <w:jc w:val="right"/>
            </w:pPr>
          </w:p>
        </w:tc>
        <w:tc>
          <w:tcPr>
            <w:tcW w:w="0" w:type="auto"/>
            <w:gridSpan w:val="2"/>
            <w:shd w:val="clear" w:color="auto" w:fill="FFFFFF"/>
            <w:tcMar>
              <w:top w:w="40" w:type="dxa"/>
              <w:left w:w="20" w:type="dxa"/>
              <w:bottom w:w="40" w:type="dxa"/>
              <w:right w:w="0" w:type="dxa"/>
            </w:tcMar>
            <w:vAlign w:val="bottom"/>
          </w:tcPr>
          <w:p w14:paraId="71D40CEA" w14:textId="77777777" w:rsidR="006A3667" w:rsidRDefault="00045F32">
            <w:pPr>
              <w:jc w:val="right"/>
              <w:textAlignment w:val="bottom"/>
            </w:pPr>
            <w:r>
              <w:rPr>
                <w:rFonts w:ascii="Arial" w:eastAsia="宋体" w:hAnsi="Arial" w:cs="Arial"/>
                <w:b/>
                <w:bCs/>
                <w:color w:val="000000"/>
                <w:sz w:val="13"/>
                <w:szCs w:val="13"/>
              </w:rPr>
              <w:t>9,526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CE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EC" w14:textId="77777777" w:rsidR="006A3667" w:rsidRDefault="006A3667">
            <w:pPr>
              <w:spacing w:after="20"/>
              <w:jc w:val="right"/>
            </w:pPr>
          </w:p>
          <w:p w14:paraId="71D40CED" w14:textId="77777777" w:rsidR="006A3667" w:rsidRDefault="006A3667">
            <w:pPr>
              <w:spacing w:after="20"/>
              <w:jc w:val="right"/>
            </w:pPr>
          </w:p>
        </w:tc>
        <w:tc>
          <w:tcPr>
            <w:tcW w:w="0" w:type="auto"/>
            <w:gridSpan w:val="2"/>
            <w:shd w:val="clear" w:color="auto" w:fill="FFFFFF"/>
            <w:tcMar>
              <w:top w:w="40" w:type="dxa"/>
              <w:left w:w="20" w:type="dxa"/>
              <w:bottom w:w="40" w:type="dxa"/>
              <w:right w:w="0" w:type="dxa"/>
            </w:tcMar>
            <w:vAlign w:val="bottom"/>
          </w:tcPr>
          <w:p w14:paraId="71D40CEE" w14:textId="77777777" w:rsidR="006A3667" w:rsidRDefault="00045F32">
            <w:pPr>
              <w:jc w:val="right"/>
              <w:textAlignment w:val="bottom"/>
            </w:pPr>
            <w:r>
              <w:rPr>
                <w:rFonts w:ascii="Arial" w:eastAsia="宋体" w:hAnsi="Arial" w:cs="Arial"/>
                <w:b/>
                <w:bCs/>
                <w:color w:val="000000"/>
                <w:sz w:val="13"/>
                <w:szCs w:val="13"/>
              </w:rPr>
              <w:t>3,375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C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F0" w14:textId="77777777" w:rsidR="006A3667" w:rsidRDefault="006A3667">
            <w:pPr>
              <w:rPr>
                <w:rFonts w:ascii="宋体"/>
              </w:rPr>
            </w:pPr>
          </w:p>
        </w:tc>
        <w:tc>
          <w:tcPr>
            <w:tcW w:w="0" w:type="auto"/>
            <w:shd w:val="clear" w:color="auto" w:fill="auto"/>
            <w:vAlign w:val="bottom"/>
          </w:tcPr>
          <w:p w14:paraId="71D40CF1" w14:textId="77777777" w:rsidR="006A3667" w:rsidRDefault="006A3667">
            <w:pPr>
              <w:rPr>
                <w:rFonts w:ascii="宋体"/>
                <w:vanish/>
              </w:rPr>
            </w:pPr>
          </w:p>
        </w:tc>
        <w:tc>
          <w:tcPr>
            <w:tcW w:w="0" w:type="auto"/>
            <w:shd w:val="clear" w:color="auto" w:fill="auto"/>
            <w:vAlign w:val="bottom"/>
          </w:tcPr>
          <w:p w14:paraId="71D40CF2"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0CF3" w14:textId="77777777" w:rsidR="006A3667" w:rsidRDefault="00045F32">
            <w:pPr>
              <w:jc w:val="right"/>
              <w:textAlignment w:val="bottom"/>
            </w:pPr>
            <w:r>
              <w:rPr>
                <w:rFonts w:ascii="Arial" w:eastAsia="宋体" w:hAnsi="Arial" w:cs="Arial"/>
                <w:color w:val="000000"/>
                <w:sz w:val="13"/>
                <w:szCs w:val="13"/>
              </w:rPr>
              <w:t>3,125 </w:t>
            </w:r>
          </w:p>
        </w:tc>
        <w:tc>
          <w:tcPr>
            <w:tcW w:w="0" w:type="auto"/>
            <w:shd w:val="clear" w:color="auto" w:fill="FFFFFF"/>
            <w:tcMar>
              <w:top w:w="40" w:type="dxa"/>
              <w:left w:w="0" w:type="dxa"/>
              <w:bottom w:w="40" w:type="dxa"/>
              <w:right w:w="20" w:type="dxa"/>
            </w:tcMar>
            <w:vAlign w:val="bottom"/>
          </w:tcPr>
          <w:p w14:paraId="71D40C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F5" w14:textId="77777777" w:rsidR="006A3667" w:rsidRDefault="006A3667">
            <w:pPr>
              <w:spacing w:after="20"/>
              <w:jc w:val="right"/>
            </w:pPr>
          </w:p>
          <w:p w14:paraId="71D40CF6" w14:textId="77777777" w:rsidR="006A3667" w:rsidRDefault="006A3667">
            <w:pPr>
              <w:spacing w:after="20"/>
              <w:jc w:val="right"/>
            </w:pPr>
          </w:p>
        </w:tc>
        <w:tc>
          <w:tcPr>
            <w:tcW w:w="0" w:type="auto"/>
            <w:gridSpan w:val="2"/>
            <w:shd w:val="clear" w:color="auto" w:fill="FFFFFF"/>
            <w:tcMar>
              <w:top w:w="40" w:type="dxa"/>
              <w:left w:w="20" w:type="dxa"/>
              <w:bottom w:w="40" w:type="dxa"/>
              <w:right w:w="0" w:type="dxa"/>
            </w:tcMar>
            <w:vAlign w:val="bottom"/>
          </w:tcPr>
          <w:p w14:paraId="71D40CF7" w14:textId="77777777" w:rsidR="006A3667" w:rsidRDefault="00045F32">
            <w:pPr>
              <w:jc w:val="right"/>
              <w:textAlignment w:val="bottom"/>
            </w:pPr>
            <w:r>
              <w:rPr>
                <w:rFonts w:ascii="Arial" w:eastAsia="宋体" w:hAnsi="Arial" w:cs="Arial"/>
                <w:color w:val="000000"/>
                <w:sz w:val="13"/>
                <w:szCs w:val="13"/>
              </w:rPr>
              <w:t>7,903 </w:t>
            </w:r>
          </w:p>
        </w:tc>
        <w:tc>
          <w:tcPr>
            <w:tcW w:w="0" w:type="auto"/>
            <w:shd w:val="clear" w:color="auto" w:fill="FFFFFF"/>
            <w:tcMar>
              <w:top w:w="40" w:type="dxa"/>
              <w:left w:w="0" w:type="dxa"/>
              <w:bottom w:w="40" w:type="dxa"/>
              <w:right w:w="20" w:type="dxa"/>
            </w:tcMar>
            <w:vAlign w:val="bottom"/>
          </w:tcPr>
          <w:p w14:paraId="71D40CF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F9" w14:textId="77777777" w:rsidR="006A3667" w:rsidRDefault="006A3667">
            <w:pPr>
              <w:spacing w:after="20"/>
              <w:jc w:val="right"/>
            </w:pPr>
          </w:p>
          <w:p w14:paraId="71D40CFA" w14:textId="77777777" w:rsidR="006A3667" w:rsidRDefault="006A3667">
            <w:pPr>
              <w:spacing w:after="20"/>
              <w:jc w:val="right"/>
            </w:pPr>
          </w:p>
        </w:tc>
        <w:tc>
          <w:tcPr>
            <w:tcW w:w="0" w:type="auto"/>
            <w:gridSpan w:val="2"/>
            <w:shd w:val="clear" w:color="auto" w:fill="FFFFFF"/>
            <w:tcMar>
              <w:top w:w="40" w:type="dxa"/>
              <w:left w:w="20" w:type="dxa"/>
              <w:bottom w:w="40" w:type="dxa"/>
              <w:right w:w="0" w:type="dxa"/>
            </w:tcMar>
            <w:vAlign w:val="bottom"/>
          </w:tcPr>
          <w:p w14:paraId="71D40CFB" w14:textId="77777777" w:rsidR="006A3667" w:rsidRDefault="00045F32">
            <w:pPr>
              <w:jc w:val="right"/>
              <w:textAlignment w:val="bottom"/>
            </w:pPr>
            <w:r>
              <w:rPr>
                <w:rFonts w:ascii="Arial" w:eastAsia="宋体" w:hAnsi="Arial" w:cs="Arial"/>
                <w:color w:val="000000"/>
                <w:sz w:val="13"/>
                <w:szCs w:val="13"/>
              </w:rPr>
              <w:t>1,057 </w:t>
            </w:r>
          </w:p>
        </w:tc>
        <w:tc>
          <w:tcPr>
            <w:tcW w:w="0" w:type="auto"/>
            <w:shd w:val="clear" w:color="auto" w:fill="FFFFFF"/>
            <w:tcMar>
              <w:top w:w="40" w:type="dxa"/>
              <w:left w:w="0" w:type="dxa"/>
              <w:bottom w:w="40" w:type="dxa"/>
              <w:right w:w="20" w:type="dxa"/>
            </w:tcMar>
            <w:vAlign w:val="bottom"/>
          </w:tcPr>
          <w:p w14:paraId="71D40CF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CFD" w14:textId="77777777" w:rsidR="006A3667" w:rsidRDefault="006A3667">
            <w:pPr>
              <w:rPr>
                <w:rFonts w:ascii="宋体"/>
              </w:rPr>
            </w:pPr>
          </w:p>
        </w:tc>
        <w:tc>
          <w:tcPr>
            <w:tcW w:w="0" w:type="auto"/>
            <w:shd w:val="clear" w:color="auto" w:fill="auto"/>
            <w:vAlign w:val="bottom"/>
          </w:tcPr>
          <w:p w14:paraId="71D40CFE" w14:textId="77777777" w:rsidR="006A3667" w:rsidRDefault="006A3667">
            <w:pPr>
              <w:rPr>
                <w:rFonts w:ascii="宋体"/>
                <w:vanish/>
              </w:rPr>
            </w:pPr>
          </w:p>
        </w:tc>
        <w:tc>
          <w:tcPr>
            <w:tcW w:w="0" w:type="auto"/>
            <w:shd w:val="clear" w:color="auto" w:fill="auto"/>
            <w:vAlign w:val="bottom"/>
          </w:tcPr>
          <w:p w14:paraId="71D40CFF"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0D00" w14:textId="77777777" w:rsidR="006A3667" w:rsidRDefault="00045F32">
            <w:pPr>
              <w:jc w:val="right"/>
              <w:textAlignment w:val="bottom"/>
            </w:pPr>
            <w:r>
              <w:rPr>
                <w:rFonts w:ascii="Arial" w:eastAsia="宋体" w:hAnsi="Arial" w:cs="Arial"/>
                <w:color w:val="000000"/>
                <w:sz w:val="13"/>
                <w:szCs w:val="13"/>
              </w:rPr>
              <w:t>4,053 </w:t>
            </w:r>
          </w:p>
        </w:tc>
        <w:tc>
          <w:tcPr>
            <w:tcW w:w="0" w:type="auto"/>
            <w:shd w:val="clear" w:color="auto" w:fill="FFFFFF"/>
            <w:tcMar>
              <w:top w:w="40" w:type="dxa"/>
              <w:left w:w="0" w:type="dxa"/>
              <w:bottom w:w="40" w:type="dxa"/>
              <w:right w:w="20" w:type="dxa"/>
            </w:tcMar>
            <w:vAlign w:val="bottom"/>
          </w:tcPr>
          <w:p w14:paraId="71D40D0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D0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D03" w14:textId="77777777" w:rsidR="006A3667" w:rsidRDefault="00045F32">
            <w:pPr>
              <w:jc w:val="right"/>
              <w:textAlignment w:val="bottom"/>
            </w:pPr>
            <w:r>
              <w:rPr>
                <w:rFonts w:ascii="Arial" w:eastAsia="宋体" w:hAnsi="Arial" w:cs="Arial"/>
                <w:color w:val="000000"/>
                <w:sz w:val="13"/>
                <w:szCs w:val="13"/>
              </w:rPr>
              <w:t>15,424 </w:t>
            </w:r>
          </w:p>
        </w:tc>
        <w:tc>
          <w:tcPr>
            <w:tcW w:w="0" w:type="auto"/>
            <w:shd w:val="clear" w:color="auto" w:fill="FFFFFF"/>
            <w:tcMar>
              <w:top w:w="40" w:type="dxa"/>
              <w:left w:w="0" w:type="dxa"/>
              <w:bottom w:w="40" w:type="dxa"/>
              <w:right w:w="20" w:type="dxa"/>
            </w:tcMar>
            <w:vAlign w:val="bottom"/>
          </w:tcPr>
          <w:p w14:paraId="71D40D04"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0D05"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0D06" w14:textId="77777777" w:rsidR="006A3667" w:rsidRDefault="00045F32">
            <w:pPr>
              <w:jc w:val="right"/>
              <w:textAlignment w:val="bottom"/>
            </w:pPr>
            <w:r>
              <w:rPr>
                <w:rFonts w:ascii="Arial" w:eastAsia="宋体" w:hAnsi="Arial" w:cs="Arial"/>
                <w:color w:val="000000"/>
                <w:sz w:val="13"/>
                <w:szCs w:val="13"/>
              </w:rPr>
              <w:t>1,229 </w:t>
            </w:r>
          </w:p>
          <w:p w14:paraId="71D40D07" w14:textId="77777777" w:rsidR="006A3667" w:rsidRDefault="00045F32">
            <w:pPr>
              <w:jc w:val="right"/>
              <w:textAlignment w:val="bottom"/>
            </w:pPr>
            <w:r>
              <w:rPr>
                <w:rFonts w:ascii="Arial" w:eastAsia="宋体" w:hAnsi="Arial" w:cs="Arial"/>
                <w:b/>
                <w:bCs/>
                <w:color w:val="000000"/>
                <w:sz w:val="13"/>
                <w:szCs w:val="13"/>
              </w:rPr>
              <w:t>7,803</w:t>
            </w:r>
            <w:r>
              <w:rPr>
                <w:rFonts w:ascii="Arial" w:eastAsia="宋体" w:hAnsi="Arial" w:cs="Arial"/>
                <w:color w:val="000000"/>
                <w:sz w:val="13"/>
                <w:szCs w:val="13"/>
              </w:rPr>
              <w:t> </w:t>
            </w:r>
          </w:p>
          <w:p w14:paraId="71D40D08" w14:textId="77777777" w:rsidR="006A3667" w:rsidRDefault="00045F32">
            <w:pPr>
              <w:jc w:val="right"/>
              <w:textAlignment w:val="bottom"/>
            </w:pPr>
            <w:r>
              <w:rPr>
                <w:rFonts w:ascii="Arial" w:eastAsia="宋体" w:hAnsi="Arial" w:cs="Arial"/>
                <w:color w:val="000000"/>
                <w:sz w:val="13"/>
                <w:szCs w:val="13"/>
              </w:rPr>
              <w:t>5,642 </w:t>
            </w:r>
          </w:p>
          <w:p w14:paraId="71D40D09" w14:textId="77777777" w:rsidR="006A3667" w:rsidRDefault="00045F32">
            <w:pPr>
              <w:jc w:val="right"/>
              <w:textAlignment w:val="bottom"/>
            </w:pPr>
            <w:r>
              <w:rPr>
                <w:rFonts w:ascii="Arial" w:eastAsia="宋体" w:hAnsi="Arial" w:cs="Arial"/>
                <w:color w:val="000000"/>
                <w:sz w:val="13"/>
                <w:szCs w:val="13"/>
              </w:rPr>
              <w:t>6,230 </w:t>
            </w:r>
          </w:p>
        </w:tc>
      </w:tr>
      <w:tr w:rsidR="006A3667" w14:paraId="71D40D30" w14:textId="77777777">
        <w:tc>
          <w:tcPr>
            <w:tcW w:w="0" w:type="auto"/>
            <w:gridSpan w:val="3"/>
            <w:shd w:val="clear" w:color="auto" w:fill="CCEEFF"/>
            <w:tcMar>
              <w:top w:w="40" w:type="dxa"/>
              <w:left w:w="20" w:type="dxa"/>
              <w:bottom w:w="40" w:type="dxa"/>
              <w:right w:w="20" w:type="dxa"/>
            </w:tcMar>
            <w:vAlign w:val="bottom"/>
          </w:tcPr>
          <w:p w14:paraId="71D40D0B" w14:textId="77777777" w:rsidR="006A3667" w:rsidRDefault="00045F32">
            <w:pPr>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71D40D0C" w14:textId="77777777" w:rsidR="006A3667" w:rsidRDefault="00045F32">
            <w:pPr>
              <w:jc w:val="right"/>
              <w:textAlignment w:val="bottom"/>
            </w:pPr>
            <w:r>
              <w:rPr>
                <w:rFonts w:ascii="Arial" w:eastAsia="宋体" w:hAnsi="Arial" w:cs="Arial"/>
                <w:b/>
                <w:bCs/>
                <w:color w:val="000000"/>
                <w:sz w:val="13"/>
                <w:szCs w:val="13"/>
              </w:rPr>
              <w:t>(7,150)</w:t>
            </w:r>
          </w:p>
        </w:tc>
        <w:tc>
          <w:tcPr>
            <w:tcW w:w="0" w:type="auto"/>
            <w:shd w:val="clear" w:color="auto" w:fill="CCEEFF"/>
            <w:tcMar>
              <w:top w:w="40" w:type="dxa"/>
              <w:left w:w="0" w:type="dxa"/>
              <w:bottom w:w="40" w:type="dxa"/>
              <w:right w:w="20" w:type="dxa"/>
            </w:tcMar>
            <w:vAlign w:val="bottom"/>
          </w:tcPr>
          <w:p w14:paraId="71D40D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D0E" w14:textId="77777777" w:rsidR="006A3667" w:rsidRDefault="006A3667">
            <w:pPr>
              <w:spacing w:after="20"/>
              <w:jc w:val="right"/>
            </w:pPr>
          </w:p>
          <w:p w14:paraId="71D40D0F" w14:textId="77777777" w:rsidR="006A3667" w:rsidRDefault="006A3667">
            <w:pPr>
              <w:spacing w:after="20"/>
              <w:jc w:val="right"/>
            </w:pPr>
          </w:p>
        </w:tc>
        <w:tc>
          <w:tcPr>
            <w:tcW w:w="0" w:type="auto"/>
            <w:gridSpan w:val="2"/>
            <w:shd w:val="clear" w:color="auto" w:fill="CCEEFF"/>
            <w:tcMar>
              <w:top w:w="40" w:type="dxa"/>
              <w:left w:w="20" w:type="dxa"/>
              <w:bottom w:w="40" w:type="dxa"/>
              <w:right w:w="0" w:type="dxa"/>
            </w:tcMar>
            <w:vAlign w:val="bottom"/>
          </w:tcPr>
          <w:p w14:paraId="71D40D10" w14:textId="77777777" w:rsidR="006A3667" w:rsidRDefault="00045F32">
            <w:pPr>
              <w:jc w:val="right"/>
              <w:textAlignment w:val="bottom"/>
            </w:pPr>
            <w:r>
              <w:rPr>
                <w:rFonts w:ascii="Arial" w:eastAsia="宋体" w:hAnsi="Arial" w:cs="Arial"/>
                <w:b/>
                <w:bCs/>
                <w:color w:val="000000"/>
                <w:sz w:val="13"/>
                <w:szCs w:val="13"/>
              </w:rPr>
              <w:t>(15,837)</w:t>
            </w:r>
          </w:p>
        </w:tc>
        <w:tc>
          <w:tcPr>
            <w:tcW w:w="0" w:type="auto"/>
            <w:shd w:val="clear" w:color="auto" w:fill="CCEEFF"/>
            <w:tcMar>
              <w:top w:w="40" w:type="dxa"/>
              <w:left w:w="0" w:type="dxa"/>
              <w:bottom w:w="40" w:type="dxa"/>
              <w:right w:w="20" w:type="dxa"/>
            </w:tcMar>
            <w:vAlign w:val="bottom"/>
          </w:tcPr>
          <w:p w14:paraId="71D40D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D12" w14:textId="77777777" w:rsidR="006A3667" w:rsidRDefault="006A3667">
            <w:pPr>
              <w:spacing w:after="20"/>
              <w:jc w:val="right"/>
            </w:pPr>
          </w:p>
          <w:p w14:paraId="71D40D13" w14:textId="77777777" w:rsidR="006A3667" w:rsidRDefault="006A3667">
            <w:pPr>
              <w:spacing w:after="20"/>
              <w:jc w:val="right"/>
            </w:pPr>
          </w:p>
        </w:tc>
        <w:tc>
          <w:tcPr>
            <w:tcW w:w="0" w:type="auto"/>
            <w:gridSpan w:val="2"/>
            <w:shd w:val="clear" w:color="auto" w:fill="CCEEFF"/>
            <w:tcMar>
              <w:top w:w="40" w:type="dxa"/>
              <w:left w:w="20" w:type="dxa"/>
              <w:bottom w:w="40" w:type="dxa"/>
              <w:right w:w="0" w:type="dxa"/>
            </w:tcMar>
            <w:vAlign w:val="bottom"/>
          </w:tcPr>
          <w:p w14:paraId="71D40D14" w14:textId="77777777" w:rsidR="006A3667" w:rsidRDefault="00045F32">
            <w:pPr>
              <w:jc w:val="right"/>
              <w:textAlignment w:val="bottom"/>
            </w:pPr>
            <w:r>
              <w:rPr>
                <w:rFonts w:ascii="Arial" w:eastAsia="宋体" w:hAnsi="Arial" w:cs="Arial"/>
                <w:b/>
                <w:bCs/>
                <w:color w:val="000000"/>
                <w:sz w:val="13"/>
                <w:szCs w:val="13"/>
              </w:rPr>
              <w:t>(3,611)</w:t>
            </w:r>
          </w:p>
        </w:tc>
        <w:tc>
          <w:tcPr>
            <w:tcW w:w="0" w:type="auto"/>
            <w:shd w:val="clear" w:color="auto" w:fill="CCEEFF"/>
            <w:tcMar>
              <w:top w:w="40" w:type="dxa"/>
              <w:left w:w="0" w:type="dxa"/>
              <w:bottom w:w="40" w:type="dxa"/>
              <w:right w:w="20" w:type="dxa"/>
            </w:tcMar>
            <w:vAlign w:val="bottom"/>
          </w:tcPr>
          <w:p w14:paraId="71D40D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D16" w14:textId="77777777" w:rsidR="006A3667" w:rsidRDefault="006A3667">
            <w:pPr>
              <w:rPr>
                <w:rFonts w:ascii="宋体"/>
              </w:rPr>
            </w:pPr>
          </w:p>
        </w:tc>
        <w:tc>
          <w:tcPr>
            <w:tcW w:w="0" w:type="auto"/>
            <w:shd w:val="clear" w:color="auto" w:fill="auto"/>
            <w:vAlign w:val="bottom"/>
          </w:tcPr>
          <w:p w14:paraId="71D40D17" w14:textId="77777777" w:rsidR="006A3667" w:rsidRDefault="006A3667">
            <w:pPr>
              <w:rPr>
                <w:rFonts w:ascii="宋体"/>
                <w:vanish/>
              </w:rPr>
            </w:pPr>
          </w:p>
        </w:tc>
        <w:tc>
          <w:tcPr>
            <w:tcW w:w="0" w:type="auto"/>
            <w:shd w:val="clear" w:color="auto" w:fill="auto"/>
            <w:vAlign w:val="bottom"/>
          </w:tcPr>
          <w:p w14:paraId="71D40D18"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0D19" w14:textId="77777777" w:rsidR="006A3667" w:rsidRDefault="00045F32">
            <w:pPr>
              <w:jc w:val="right"/>
              <w:textAlignment w:val="bottom"/>
            </w:pPr>
            <w:r>
              <w:rPr>
                <w:rFonts w:ascii="Arial" w:eastAsia="宋体" w:hAnsi="Arial" w:cs="Arial"/>
                <w:color w:val="000000"/>
                <w:sz w:val="13"/>
                <w:szCs w:val="13"/>
              </w:rPr>
              <w:t>(4,491)</w:t>
            </w:r>
          </w:p>
        </w:tc>
        <w:tc>
          <w:tcPr>
            <w:tcW w:w="0" w:type="auto"/>
            <w:shd w:val="clear" w:color="auto" w:fill="CCEEFF"/>
            <w:tcMar>
              <w:top w:w="40" w:type="dxa"/>
              <w:left w:w="0" w:type="dxa"/>
              <w:bottom w:w="40" w:type="dxa"/>
              <w:right w:w="20" w:type="dxa"/>
            </w:tcMar>
            <w:vAlign w:val="bottom"/>
          </w:tcPr>
          <w:p w14:paraId="71D40D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D1B" w14:textId="77777777" w:rsidR="006A3667" w:rsidRDefault="006A3667">
            <w:pPr>
              <w:spacing w:after="20"/>
              <w:jc w:val="right"/>
            </w:pPr>
          </w:p>
          <w:p w14:paraId="71D40D1C" w14:textId="77777777" w:rsidR="006A3667" w:rsidRDefault="006A3667">
            <w:pPr>
              <w:spacing w:after="20"/>
              <w:jc w:val="right"/>
            </w:pPr>
          </w:p>
        </w:tc>
        <w:tc>
          <w:tcPr>
            <w:tcW w:w="0" w:type="auto"/>
            <w:gridSpan w:val="2"/>
            <w:shd w:val="clear" w:color="auto" w:fill="CCEEFF"/>
            <w:tcMar>
              <w:top w:w="40" w:type="dxa"/>
              <w:left w:w="20" w:type="dxa"/>
              <w:bottom w:w="40" w:type="dxa"/>
              <w:right w:w="0" w:type="dxa"/>
            </w:tcMar>
            <w:vAlign w:val="bottom"/>
          </w:tcPr>
          <w:p w14:paraId="71D40D1D" w14:textId="77777777" w:rsidR="006A3667" w:rsidRDefault="00045F32">
            <w:pPr>
              <w:jc w:val="right"/>
              <w:textAlignment w:val="bottom"/>
            </w:pPr>
            <w:r>
              <w:rPr>
                <w:rFonts w:ascii="Arial" w:eastAsia="宋体" w:hAnsi="Arial" w:cs="Arial"/>
                <w:color w:val="000000"/>
                <w:sz w:val="13"/>
                <w:szCs w:val="13"/>
              </w:rPr>
              <w:t>(9,384)</w:t>
            </w:r>
          </w:p>
        </w:tc>
        <w:tc>
          <w:tcPr>
            <w:tcW w:w="0" w:type="auto"/>
            <w:shd w:val="clear" w:color="auto" w:fill="CCEEFF"/>
            <w:tcMar>
              <w:top w:w="40" w:type="dxa"/>
              <w:left w:w="0" w:type="dxa"/>
              <w:bottom w:w="40" w:type="dxa"/>
              <w:right w:w="20" w:type="dxa"/>
            </w:tcMar>
            <w:vAlign w:val="bottom"/>
          </w:tcPr>
          <w:p w14:paraId="71D40D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D1F" w14:textId="77777777" w:rsidR="006A3667" w:rsidRDefault="006A3667">
            <w:pPr>
              <w:spacing w:after="20"/>
              <w:jc w:val="right"/>
            </w:pPr>
          </w:p>
          <w:p w14:paraId="71D40D20" w14:textId="77777777" w:rsidR="006A3667" w:rsidRDefault="006A3667">
            <w:pPr>
              <w:spacing w:after="20"/>
              <w:jc w:val="right"/>
            </w:pPr>
          </w:p>
        </w:tc>
        <w:tc>
          <w:tcPr>
            <w:tcW w:w="0" w:type="auto"/>
            <w:gridSpan w:val="2"/>
            <w:shd w:val="clear" w:color="auto" w:fill="CCEEFF"/>
            <w:tcMar>
              <w:top w:w="40" w:type="dxa"/>
              <w:left w:w="20" w:type="dxa"/>
              <w:bottom w:w="40" w:type="dxa"/>
              <w:right w:w="0" w:type="dxa"/>
            </w:tcMar>
            <w:vAlign w:val="bottom"/>
          </w:tcPr>
          <w:p w14:paraId="71D40D21" w14:textId="77777777" w:rsidR="006A3667" w:rsidRDefault="00045F32">
            <w:pPr>
              <w:jc w:val="right"/>
              <w:textAlignment w:val="bottom"/>
            </w:pPr>
            <w:r>
              <w:rPr>
                <w:rFonts w:ascii="Arial" w:eastAsia="宋体" w:hAnsi="Arial" w:cs="Arial"/>
                <w:color w:val="000000"/>
                <w:sz w:val="13"/>
                <w:szCs w:val="13"/>
              </w:rPr>
              <w:t>(2,670)</w:t>
            </w:r>
          </w:p>
        </w:tc>
        <w:tc>
          <w:tcPr>
            <w:tcW w:w="0" w:type="auto"/>
            <w:shd w:val="clear" w:color="auto" w:fill="CCEEFF"/>
            <w:tcMar>
              <w:top w:w="40" w:type="dxa"/>
              <w:left w:w="0" w:type="dxa"/>
              <w:bottom w:w="40" w:type="dxa"/>
              <w:right w:w="20" w:type="dxa"/>
            </w:tcMar>
            <w:vAlign w:val="bottom"/>
          </w:tcPr>
          <w:p w14:paraId="71D40D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D23" w14:textId="77777777" w:rsidR="006A3667" w:rsidRDefault="006A3667">
            <w:pPr>
              <w:rPr>
                <w:rFonts w:ascii="宋体"/>
              </w:rPr>
            </w:pPr>
          </w:p>
        </w:tc>
        <w:tc>
          <w:tcPr>
            <w:tcW w:w="0" w:type="auto"/>
            <w:shd w:val="clear" w:color="auto" w:fill="auto"/>
            <w:vAlign w:val="bottom"/>
          </w:tcPr>
          <w:p w14:paraId="71D40D24" w14:textId="77777777" w:rsidR="006A3667" w:rsidRDefault="006A3667">
            <w:pPr>
              <w:rPr>
                <w:rFonts w:ascii="宋体"/>
                <w:vanish/>
              </w:rPr>
            </w:pPr>
          </w:p>
        </w:tc>
        <w:tc>
          <w:tcPr>
            <w:tcW w:w="0" w:type="auto"/>
            <w:shd w:val="clear" w:color="auto" w:fill="auto"/>
            <w:vAlign w:val="bottom"/>
          </w:tcPr>
          <w:p w14:paraId="71D40D25"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0D26" w14:textId="77777777" w:rsidR="006A3667" w:rsidRDefault="00045F32">
            <w:pPr>
              <w:jc w:val="right"/>
              <w:textAlignment w:val="bottom"/>
            </w:pPr>
            <w:r>
              <w:rPr>
                <w:rFonts w:ascii="Arial" w:eastAsia="宋体" w:hAnsi="Arial" w:cs="Arial"/>
                <w:color w:val="000000"/>
                <w:sz w:val="13"/>
                <w:szCs w:val="13"/>
              </w:rPr>
              <w:t>(2,798)</w:t>
            </w:r>
          </w:p>
        </w:tc>
        <w:tc>
          <w:tcPr>
            <w:tcW w:w="0" w:type="auto"/>
            <w:shd w:val="clear" w:color="auto" w:fill="CCEEFF"/>
            <w:tcMar>
              <w:top w:w="40" w:type="dxa"/>
              <w:left w:w="0" w:type="dxa"/>
              <w:bottom w:w="40" w:type="dxa"/>
              <w:right w:w="20" w:type="dxa"/>
            </w:tcMar>
            <w:vAlign w:val="bottom"/>
          </w:tcPr>
          <w:p w14:paraId="71D40D2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D2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D29" w14:textId="77777777" w:rsidR="006A3667" w:rsidRDefault="00045F32">
            <w:pPr>
              <w:jc w:val="right"/>
              <w:textAlignment w:val="bottom"/>
            </w:pPr>
            <w:r>
              <w:rPr>
                <w:rFonts w:ascii="Arial" w:eastAsia="宋体" w:hAnsi="Arial" w:cs="Arial"/>
                <w:color w:val="000000"/>
                <w:sz w:val="13"/>
                <w:szCs w:val="13"/>
              </w:rPr>
              <w:t>(5,791)</w:t>
            </w:r>
          </w:p>
        </w:tc>
        <w:tc>
          <w:tcPr>
            <w:tcW w:w="0" w:type="auto"/>
            <w:shd w:val="clear" w:color="auto" w:fill="CCEEFF"/>
            <w:tcMar>
              <w:top w:w="40" w:type="dxa"/>
              <w:left w:w="0" w:type="dxa"/>
              <w:bottom w:w="40" w:type="dxa"/>
              <w:right w:w="20" w:type="dxa"/>
            </w:tcMar>
            <w:vAlign w:val="bottom"/>
          </w:tcPr>
          <w:p w14:paraId="71D40D2A"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0D2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D2C" w14:textId="77777777" w:rsidR="006A3667" w:rsidRDefault="00045F32">
            <w:pPr>
              <w:jc w:val="right"/>
              <w:textAlignment w:val="bottom"/>
            </w:pPr>
            <w:r>
              <w:rPr>
                <w:rFonts w:ascii="Arial" w:eastAsia="宋体" w:hAnsi="Arial" w:cs="Arial"/>
                <w:color w:val="000000"/>
                <w:sz w:val="13"/>
                <w:szCs w:val="13"/>
              </w:rPr>
              <w:t>(1,662)</w:t>
            </w:r>
          </w:p>
          <w:p w14:paraId="71D40D2D" w14:textId="77777777" w:rsidR="006A3667" w:rsidRDefault="00045F32">
            <w:pPr>
              <w:jc w:val="right"/>
              <w:textAlignment w:val="bottom"/>
            </w:pPr>
            <w:r>
              <w:rPr>
                <w:rFonts w:ascii="Arial" w:eastAsia="宋体" w:hAnsi="Arial" w:cs="Arial"/>
                <w:b/>
                <w:bCs/>
                <w:color w:val="000000"/>
                <w:sz w:val="13"/>
                <w:szCs w:val="13"/>
              </w:rPr>
              <w:t>(12,384)</w:t>
            </w:r>
          </w:p>
          <w:p w14:paraId="71D40D2E" w14:textId="77777777" w:rsidR="006A3667" w:rsidRDefault="00045F32">
            <w:pPr>
              <w:jc w:val="right"/>
              <w:textAlignment w:val="bottom"/>
            </w:pPr>
            <w:r>
              <w:rPr>
                <w:rFonts w:ascii="Arial" w:eastAsia="宋体" w:hAnsi="Arial" w:cs="Arial"/>
                <w:color w:val="000000"/>
                <w:sz w:val="13"/>
                <w:szCs w:val="13"/>
              </w:rPr>
              <w:t>(5,396)</w:t>
            </w:r>
          </w:p>
          <w:p w14:paraId="71D40D2F" w14:textId="77777777" w:rsidR="006A3667" w:rsidRDefault="00045F32">
            <w:pPr>
              <w:jc w:val="right"/>
              <w:textAlignment w:val="bottom"/>
            </w:pPr>
            <w:r>
              <w:rPr>
                <w:rFonts w:ascii="Arial" w:eastAsia="宋体" w:hAnsi="Arial" w:cs="Arial"/>
                <w:color w:val="000000"/>
                <w:sz w:val="13"/>
                <w:szCs w:val="13"/>
              </w:rPr>
              <w:t>(7,930)</w:t>
            </w:r>
          </w:p>
        </w:tc>
      </w:tr>
      <w:tr w:rsidR="00045F32" w14:paraId="71D40D62" w14:textId="77777777">
        <w:tc>
          <w:tcPr>
            <w:tcW w:w="0" w:type="auto"/>
            <w:gridSpan w:val="3"/>
            <w:shd w:val="clear" w:color="auto" w:fill="FFFFFF"/>
            <w:tcMar>
              <w:top w:w="40" w:type="dxa"/>
              <w:left w:w="20" w:type="dxa"/>
              <w:bottom w:w="40" w:type="dxa"/>
              <w:right w:w="20" w:type="dxa"/>
            </w:tcMar>
            <w:vAlign w:val="bottom"/>
          </w:tcPr>
          <w:p w14:paraId="71D40D31" w14:textId="77777777" w:rsidR="006A3667" w:rsidRDefault="00045F32">
            <w:pPr>
              <w:textAlignment w:val="bottom"/>
            </w:pPr>
            <w:r>
              <w:rPr>
                <w:rFonts w:ascii="Arial" w:eastAsia="宋体" w:hAnsi="Arial" w:cs="Arial"/>
                <w:color w:val="000000"/>
                <w:sz w:val="13"/>
                <w:szCs w:val="13"/>
              </w:rPr>
              <w:t>Total Stressed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0D32"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D33" w14:textId="77777777" w:rsidR="006A3667" w:rsidRDefault="00045F32">
            <w:pPr>
              <w:jc w:val="right"/>
              <w:textAlignment w:val="bottom"/>
            </w:pPr>
            <w:r>
              <w:rPr>
                <w:rFonts w:ascii="Arial" w:eastAsia="宋体" w:hAnsi="Arial" w:cs="Arial"/>
                <w:b/>
                <w:bCs/>
                <w:color w:val="000000"/>
                <w:sz w:val="13"/>
                <w:szCs w:val="13"/>
              </w:rPr>
              <w:t>28,461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D3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D35" w14:textId="77777777" w:rsidR="006A3667" w:rsidRDefault="006A3667">
            <w:pPr>
              <w:spacing w:after="20"/>
              <w:jc w:val="right"/>
            </w:pPr>
          </w:p>
          <w:p w14:paraId="71D40D36" w14:textId="77777777" w:rsidR="006A3667" w:rsidRDefault="006A3667">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D37"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D38" w14:textId="77777777" w:rsidR="006A3667" w:rsidRDefault="00045F32">
            <w:pPr>
              <w:jc w:val="right"/>
              <w:textAlignment w:val="bottom"/>
            </w:pPr>
            <w:r>
              <w:rPr>
                <w:rFonts w:ascii="Arial" w:eastAsia="宋体" w:hAnsi="Arial" w:cs="Arial"/>
                <w:b/>
                <w:bCs/>
                <w:color w:val="000000"/>
                <w:sz w:val="13"/>
                <w:szCs w:val="13"/>
              </w:rPr>
              <w:t>56,683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D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D3A" w14:textId="77777777" w:rsidR="006A3667" w:rsidRDefault="006A3667">
            <w:pPr>
              <w:spacing w:after="20"/>
              <w:jc w:val="right"/>
            </w:pPr>
          </w:p>
          <w:p w14:paraId="71D40D3B" w14:textId="77777777" w:rsidR="006A3667" w:rsidRDefault="006A3667">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D3C"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D3D" w14:textId="77777777" w:rsidR="006A3667" w:rsidRDefault="00045F32">
            <w:pPr>
              <w:jc w:val="right"/>
              <w:textAlignment w:val="bottom"/>
            </w:pPr>
            <w:r>
              <w:rPr>
                <w:rFonts w:ascii="Arial" w:eastAsia="宋体" w:hAnsi="Arial" w:cs="Arial"/>
                <w:b/>
                <w:bCs/>
                <w:color w:val="000000"/>
                <w:sz w:val="13"/>
                <w:szCs w:val="13"/>
              </w:rPr>
              <w:t>16,177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D3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D3F" w14:textId="77777777" w:rsidR="006A3667" w:rsidRDefault="006A3667">
            <w:pPr>
              <w:rPr>
                <w:rFonts w:ascii="宋体"/>
              </w:rPr>
            </w:pPr>
          </w:p>
        </w:tc>
        <w:tc>
          <w:tcPr>
            <w:tcW w:w="0" w:type="auto"/>
            <w:shd w:val="clear" w:color="auto" w:fill="auto"/>
            <w:vAlign w:val="bottom"/>
          </w:tcPr>
          <w:p w14:paraId="71D40D40" w14:textId="77777777" w:rsidR="006A3667" w:rsidRDefault="006A3667">
            <w:pPr>
              <w:rPr>
                <w:rFonts w:ascii="宋体"/>
                <w:vanish/>
              </w:rPr>
            </w:pPr>
          </w:p>
        </w:tc>
        <w:tc>
          <w:tcPr>
            <w:tcW w:w="0" w:type="auto"/>
            <w:shd w:val="clear" w:color="auto" w:fill="auto"/>
            <w:vAlign w:val="bottom"/>
          </w:tcPr>
          <w:p w14:paraId="71D40D41"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D42"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D43" w14:textId="77777777" w:rsidR="006A3667" w:rsidRDefault="00045F32">
            <w:pPr>
              <w:jc w:val="right"/>
              <w:textAlignment w:val="bottom"/>
            </w:pPr>
            <w:r>
              <w:rPr>
                <w:rFonts w:ascii="Arial" w:eastAsia="宋体" w:hAnsi="Arial" w:cs="Arial"/>
                <w:color w:val="000000"/>
                <w:sz w:val="13"/>
                <w:szCs w:val="13"/>
              </w:rPr>
              <w:t>41,120 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D4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D45" w14:textId="77777777" w:rsidR="006A3667" w:rsidRDefault="006A3667">
            <w:pPr>
              <w:spacing w:after="20"/>
              <w:jc w:val="right"/>
            </w:pPr>
          </w:p>
          <w:p w14:paraId="71D40D46" w14:textId="77777777" w:rsidR="006A3667" w:rsidRDefault="006A3667">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D4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D48" w14:textId="77777777" w:rsidR="006A3667" w:rsidRDefault="00045F32">
            <w:pPr>
              <w:jc w:val="right"/>
              <w:textAlignment w:val="bottom"/>
            </w:pPr>
            <w:r>
              <w:rPr>
                <w:rFonts w:ascii="Arial" w:eastAsia="宋体" w:hAnsi="Arial" w:cs="Arial"/>
                <w:color w:val="000000"/>
                <w:sz w:val="13"/>
                <w:szCs w:val="13"/>
              </w:rPr>
              <w:t>95,939 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D4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D4A" w14:textId="77777777" w:rsidR="006A3667" w:rsidRDefault="006A3667">
            <w:pPr>
              <w:spacing w:after="20"/>
              <w:jc w:val="right"/>
            </w:pPr>
          </w:p>
          <w:p w14:paraId="71D40D4B" w14:textId="77777777" w:rsidR="006A3667" w:rsidRDefault="006A3667">
            <w:pP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D4C"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D4D" w14:textId="77777777" w:rsidR="006A3667" w:rsidRDefault="00045F32">
            <w:pPr>
              <w:jc w:val="right"/>
              <w:textAlignment w:val="bottom"/>
            </w:pPr>
            <w:r>
              <w:rPr>
                <w:rFonts w:ascii="Arial" w:eastAsia="宋体" w:hAnsi="Arial" w:cs="Arial"/>
                <w:color w:val="000000"/>
                <w:sz w:val="13"/>
                <w:szCs w:val="13"/>
              </w:rPr>
              <w:t>18,920 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D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D4F" w14:textId="77777777" w:rsidR="006A3667" w:rsidRDefault="006A3667">
            <w:pPr>
              <w:rPr>
                <w:rFonts w:ascii="宋体"/>
              </w:rPr>
            </w:pPr>
          </w:p>
        </w:tc>
        <w:tc>
          <w:tcPr>
            <w:tcW w:w="0" w:type="auto"/>
            <w:shd w:val="clear" w:color="auto" w:fill="auto"/>
            <w:vAlign w:val="bottom"/>
          </w:tcPr>
          <w:p w14:paraId="71D40D50" w14:textId="77777777" w:rsidR="006A3667" w:rsidRDefault="006A3667">
            <w:pPr>
              <w:rPr>
                <w:rFonts w:ascii="宋体"/>
                <w:vanish/>
              </w:rPr>
            </w:pPr>
          </w:p>
        </w:tc>
        <w:tc>
          <w:tcPr>
            <w:tcW w:w="0" w:type="auto"/>
            <w:shd w:val="clear" w:color="auto" w:fill="auto"/>
            <w:vAlign w:val="bottom"/>
          </w:tcPr>
          <w:p w14:paraId="71D40D51"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D52"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D53" w14:textId="77777777" w:rsidR="006A3667" w:rsidRDefault="00045F32">
            <w:pPr>
              <w:jc w:val="right"/>
              <w:textAlignment w:val="bottom"/>
            </w:pPr>
            <w:r>
              <w:rPr>
                <w:rFonts w:ascii="Arial" w:eastAsia="宋体" w:hAnsi="Arial" w:cs="Arial"/>
                <w:color w:val="000000"/>
                <w:sz w:val="13"/>
                <w:szCs w:val="13"/>
              </w:rPr>
              <w:t>54,763 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D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D55"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D56"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0D57" w14:textId="77777777" w:rsidR="006A3667" w:rsidRDefault="00045F32">
            <w:pPr>
              <w:jc w:val="right"/>
              <w:textAlignment w:val="bottom"/>
            </w:pPr>
            <w:r>
              <w:rPr>
                <w:rFonts w:ascii="Arial" w:eastAsia="宋体" w:hAnsi="Arial" w:cs="Arial"/>
                <w:color w:val="000000"/>
                <w:sz w:val="13"/>
                <w:szCs w:val="13"/>
              </w:rPr>
              <w:t>111,168 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0D58"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0D59"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0D5A" w14:textId="77777777" w:rsidR="006A3667" w:rsidRDefault="00045F32">
            <w:pPr>
              <w:textAlignment w:val="bottom"/>
            </w:pPr>
            <w:r>
              <w:rPr>
                <w:rFonts w:ascii="Arial" w:eastAsia="宋体" w:hAnsi="Arial" w:cs="Arial"/>
                <w:color w:val="000000"/>
                <w:sz w:val="13"/>
                <w:szCs w:val="13"/>
              </w:rPr>
              <w:t>$</w:t>
            </w:r>
          </w:p>
          <w:p w14:paraId="71D40D5B" w14:textId="77777777" w:rsidR="006A3667" w:rsidRDefault="00045F32">
            <w:pPr>
              <w:jc w:val="right"/>
              <w:textAlignment w:val="bottom"/>
            </w:pPr>
            <w:r>
              <w:rPr>
                <w:rFonts w:ascii="Arial" w:eastAsia="宋体" w:hAnsi="Arial" w:cs="Arial"/>
                <w:color w:val="000000"/>
                <w:sz w:val="13"/>
                <w:szCs w:val="13"/>
              </w:rPr>
              <w:t>26,441 </w:t>
            </w:r>
          </w:p>
          <w:p w14:paraId="71D40D5C" w14:textId="77777777" w:rsidR="006A3667" w:rsidRDefault="00045F32">
            <w:pPr>
              <w:textAlignment w:val="bottom"/>
            </w:pPr>
            <w:r>
              <w:rPr>
                <w:rFonts w:ascii="Arial" w:eastAsia="宋体" w:hAnsi="Arial" w:cs="Arial"/>
                <w:b/>
                <w:bCs/>
                <w:color w:val="000000"/>
                <w:sz w:val="13"/>
                <w:szCs w:val="13"/>
              </w:rPr>
              <w:t>$</w:t>
            </w:r>
          </w:p>
          <w:p w14:paraId="71D40D5D" w14:textId="77777777" w:rsidR="006A3667" w:rsidRDefault="00045F32">
            <w:pPr>
              <w:jc w:val="right"/>
              <w:textAlignment w:val="bottom"/>
            </w:pPr>
            <w:r>
              <w:rPr>
                <w:rFonts w:ascii="Arial" w:eastAsia="宋体" w:hAnsi="Arial" w:cs="Arial"/>
                <w:b/>
                <w:bCs/>
                <w:color w:val="000000"/>
                <w:sz w:val="13"/>
                <w:szCs w:val="13"/>
              </w:rPr>
              <w:t>28,217</w:t>
            </w:r>
            <w:r>
              <w:rPr>
                <w:rFonts w:ascii="Arial" w:eastAsia="宋体" w:hAnsi="Arial" w:cs="Arial"/>
                <w:color w:val="000000"/>
                <w:sz w:val="13"/>
                <w:szCs w:val="13"/>
              </w:rPr>
              <w:t> </w:t>
            </w:r>
          </w:p>
          <w:p w14:paraId="71D40D5E" w14:textId="77777777" w:rsidR="006A3667" w:rsidRDefault="00045F32">
            <w:pPr>
              <w:textAlignment w:val="bottom"/>
            </w:pPr>
            <w:r>
              <w:rPr>
                <w:rFonts w:ascii="Arial" w:eastAsia="宋体" w:hAnsi="Arial" w:cs="Arial"/>
                <w:color w:val="000000"/>
                <w:sz w:val="13"/>
                <w:szCs w:val="13"/>
              </w:rPr>
              <w:t>$</w:t>
            </w:r>
          </w:p>
          <w:p w14:paraId="71D40D5F" w14:textId="77777777" w:rsidR="006A3667" w:rsidRDefault="00045F32">
            <w:pPr>
              <w:jc w:val="right"/>
              <w:textAlignment w:val="bottom"/>
            </w:pPr>
            <w:r>
              <w:rPr>
                <w:rFonts w:ascii="Arial" w:eastAsia="宋体" w:hAnsi="Arial" w:cs="Arial"/>
                <w:color w:val="000000"/>
                <w:sz w:val="13"/>
                <w:szCs w:val="13"/>
              </w:rPr>
              <w:t>43,552 </w:t>
            </w:r>
          </w:p>
          <w:p w14:paraId="71D40D60" w14:textId="77777777" w:rsidR="006A3667" w:rsidRDefault="00045F32">
            <w:pPr>
              <w:textAlignment w:val="bottom"/>
            </w:pPr>
            <w:r>
              <w:rPr>
                <w:rFonts w:ascii="Arial" w:eastAsia="宋体" w:hAnsi="Arial" w:cs="Arial"/>
                <w:color w:val="000000"/>
                <w:sz w:val="13"/>
                <w:szCs w:val="13"/>
              </w:rPr>
              <w:t>$</w:t>
            </w:r>
          </w:p>
          <w:p w14:paraId="71D40D61" w14:textId="77777777" w:rsidR="006A3667" w:rsidRDefault="00045F32">
            <w:pPr>
              <w:jc w:val="right"/>
              <w:textAlignment w:val="bottom"/>
            </w:pPr>
            <w:r>
              <w:rPr>
                <w:rFonts w:ascii="Arial" w:eastAsia="宋体" w:hAnsi="Arial" w:cs="Arial"/>
                <w:color w:val="000000"/>
                <w:sz w:val="13"/>
                <w:szCs w:val="13"/>
              </w:rPr>
              <w:t>44,020 </w:t>
            </w:r>
          </w:p>
        </w:tc>
      </w:tr>
      <w:tr w:rsidR="006A3667" w14:paraId="71D40D79" w14:textId="77777777">
        <w:trPr>
          <w:trHeight w:val="60"/>
        </w:trPr>
        <w:tc>
          <w:tcPr>
            <w:tcW w:w="0" w:type="auto"/>
            <w:gridSpan w:val="3"/>
            <w:shd w:val="clear" w:color="auto" w:fill="auto"/>
            <w:tcMar>
              <w:top w:w="0" w:type="dxa"/>
              <w:left w:w="20" w:type="dxa"/>
              <w:bottom w:w="0" w:type="dxa"/>
              <w:right w:w="20" w:type="dxa"/>
            </w:tcMar>
            <w:vAlign w:val="bottom"/>
          </w:tcPr>
          <w:p w14:paraId="71D40D63"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D6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65"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D6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6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D6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69" w14:textId="77777777" w:rsidR="006A3667" w:rsidRDefault="006A3667">
            <w:pPr>
              <w:rPr>
                <w:rFonts w:ascii="宋体"/>
              </w:rPr>
            </w:pPr>
          </w:p>
        </w:tc>
        <w:tc>
          <w:tcPr>
            <w:tcW w:w="0" w:type="auto"/>
            <w:shd w:val="clear" w:color="auto" w:fill="auto"/>
            <w:vAlign w:val="bottom"/>
          </w:tcPr>
          <w:p w14:paraId="71D40D6A" w14:textId="77777777" w:rsidR="006A3667" w:rsidRDefault="006A3667">
            <w:pPr>
              <w:rPr>
                <w:rFonts w:ascii="宋体"/>
                <w:vanish/>
              </w:rPr>
            </w:pPr>
          </w:p>
        </w:tc>
        <w:tc>
          <w:tcPr>
            <w:tcW w:w="0" w:type="auto"/>
            <w:shd w:val="clear" w:color="auto" w:fill="auto"/>
            <w:vAlign w:val="bottom"/>
          </w:tcPr>
          <w:p w14:paraId="71D40D6B" w14:textId="77777777" w:rsidR="006A3667" w:rsidRDefault="006A3667">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D6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6D"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D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6F"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D7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71" w14:textId="77777777" w:rsidR="006A3667" w:rsidRDefault="006A3667">
            <w:pPr>
              <w:rPr>
                <w:rFonts w:ascii="宋体"/>
              </w:rPr>
            </w:pPr>
          </w:p>
        </w:tc>
        <w:tc>
          <w:tcPr>
            <w:tcW w:w="0" w:type="auto"/>
            <w:shd w:val="clear" w:color="auto" w:fill="auto"/>
            <w:vAlign w:val="bottom"/>
          </w:tcPr>
          <w:p w14:paraId="71D40D72" w14:textId="77777777" w:rsidR="006A3667" w:rsidRDefault="006A3667">
            <w:pPr>
              <w:rPr>
                <w:rFonts w:ascii="宋体"/>
                <w:vanish/>
              </w:rPr>
            </w:pPr>
          </w:p>
        </w:tc>
        <w:tc>
          <w:tcPr>
            <w:tcW w:w="0" w:type="auto"/>
            <w:shd w:val="clear" w:color="auto" w:fill="auto"/>
            <w:vAlign w:val="bottom"/>
          </w:tcPr>
          <w:p w14:paraId="71D40D73" w14:textId="77777777" w:rsidR="006A3667" w:rsidRDefault="006A3667">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D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75"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0D76"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0D77" w14:textId="77777777" w:rsidR="006A3667" w:rsidRDefault="006A3667">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71D40D78" w14:textId="77777777" w:rsidR="006A3667" w:rsidRDefault="006A3667">
            <w:pPr>
              <w:rPr>
                <w:rFonts w:ascii="宋体"/>
              </w:rPr>
            </w:pPr>
          </w:p>
        </w:tc>
      </w:tr>
    </w:tbl>
    <w:p w14:paraId="71D40D7A" w14:textId="77777777" w:rsidR="006A3667" w:rsidRDefault="00045F32">
      <w:pPr>
        <w:ind w:firstLine="450"/>
        <w:jc w:val="right"/>
      </w:pPr>
      <w:r>
        <w:rPr>
          <w:rFonts w:ascii="Arial" w:eastAsia="宋体" w:hAnsi="Arial" w:cs="Arial"/>
          <w:color w:val="000000"/>
          <w:sz w:val="18"/>
          <w:szCs w:val="18"/>
        </w:rPr>
        <w:t>State Street Corporation | 39</w:t>
      </w:r>
    </w:p>
    <w:p w14:paraId="71D40D7B" w14:textId="77777777" w:rsidR="006A3667" w:rsidRDefault="006A3667">
      <w:pPr>
        <w:ind w:firstLine="450"/>
        <w:jc w:val="center"/>
      </w:pPr>
    </w:p>
    <w:p w14:paraId="71D40D7C" w14:textId="77777777" w:rsidR="006A3667" w:rsidRDefault="00045F32">
      <w:r>
        <w:pict w14:anchorId="71D4AC3B">
          <v:rect id="_x0000_i1063" style="width:415.3pt;height:1.5pt" o:hralign="center" o:hrstd="t" o:hr="t" fillcolor="#a0a0a0" stroked="f"/>
        </w:pict>
      </w:r>
    </w:p>
    <w:p w14:paraId="71D40D7D"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0D7E" w14:textId="77777777" w:rsidR="006A3667" w:rsidRDefault="00045F32">
      <w:pPr>
        <w:ind w:firstLine="450"/>
        <w:jc w:val="center"/>
      </w:pPr>
      <w:r>
        <w:rPr>
          <w:rFonts w:ascii="Arial" w:eastAsia="宋体" w:hAnsi="Arial" w:cs="Arial"/>
          <w:b/>
          <w:bCs/>
          <w:color w:val="000000"/>
          <w:sz w:val="20"/>
          <w:szCs w:val="20"/>
        </w:rPr>
        <w:t>AND RESULTS OF OPERATIONS</w:t>
      </w:r>
    </w:p>
    <w:p w14:paraId="71D40D7F" w14:textId="77777777" w:rsidR="006A3667" w:rsidRDefault="00045F32">
      <w:pPr>
        <w:spacing w:before="60"/>
        <w:ind w:firstLine="450"/>
        <w:jc w:val="both"/>
      </w:pPr>
      <w:r>
        <w:rPr>
          <w:rFonts w:ascii="Arial" w:eastAsia="宋体" w:hAnsi="Arial" w:cs="Arial"/>
          <w:color w:val="000000"/>
          <w:sz w:val="20"/>
          <w:szCs w:val="20"/>
        </w:rPr>
        <w:t xml:space="preserve">The three month average of our total stressed VaR-based measure was </w:t>
      </w:r>
      <w:r>
        <w:rPr>
          <w:rFonts w:ascii="Arial" w:eastAsia="宋体" w:hAnsi="Arial" w:cs="Arial"/>
          <w:color w:val="000000"/>
          <w:sz w:val="20"/>
          <w:szCs w:val="20"/>
        </w:rPr>
        <w:t>approximately $28 million for the quarter ended September 30, 2022, compared to an average of approximately $41 million for the quarter ended June 30, 2022 and $55 million for the quarter ended September 30, 2021. The decrease in the average total stressed</w:t>
      </w:r>
      <w:r>
        <w:rPr>
          <w:rFonts w:ascii="Arial" w:eastAsia="宋体" w:hAnsi="Arial" w:cs="Arial"/>
          <w:color w:val="000000"/>
          <w:sz w:val="20"/>
          <w:szCs w:val="20"/>
        </w:rPr>
        <w:t xml:space="preserve"> VaR compared to the quarter ended June 30, 2022, is primarily attributed to lower foreign exchange and interest rate risk positions.</w:t>
      </w:r>
    </w:p>
    <w:p w14:paraId="71D40D80" w14:textId="77777777" w:rsidR="006A3667" w:rsidRDefault="00045F32">
      <w:pPr>
        <w:spacing w:before="60"/>
        <w:ind w:firstLine="450"/>
        <w:jc w:val="both"/>
      </w:pPr>
      <w:r>
        <w:rPr>
          <w:rFonts w:ascii="Arial" w:eastAsia="宋体" w:hAnsi="Arial" w:cs="Arial"/>
          <w:color w:val="000000"/>
          <w:sz w:val="20"/>
          <w:szCs w:val="20"/>
        </w:rPr>
        <w:t>The VaR-based measures as presented in the preceding tables are primarily a reflection of the overall level of market vola</w:t>
      </w:r>
      <w:r>
        <w:rPr>
          <w:rFonts w:ascii="Arial" w:eastAsia="宋体" w:hAnsi="Arial" w:cs="Arial"/>
          <w:color w:val="000000"/>
          <w:sz w:val="20"/>
          <w:szCs w:val="20"/>
        </w:rPr>
        <w:t>tility and our appetite for taking market risk in our trading activities. While overall levels of volatility have varied over the historical observation periods, smaller residual market risk positions during the quarter have led to a reduction in VaR measu</w:t>
      </w:r>
      <w:r>
        <w:rPr>
          <w:rFonts w:ascii="Arial" w:eastAsia="宋体" w:hAnsi="Arial" w:cs="Arial"/>
          <w:color w:val="000000"/>
          <w:sz w:val="20"/>
          <w:szCs w:val="20"/>
        </w:rPr>
        <w:t>res presented.</w:t>
      </w:r>
    </w:p>
    <w:p w14:paraId="71D40D81" w14:textId="77777777" w:rsidR="006A3667" w:rsidRDefault="00045F32">
      <w:pPr>
        <w:spacing w:before="60"/>
        <w:ind w:firstLine="450"/>
        <w:jc w:val="both"/>
      </w:pPr>
      <w:r>
        <w:rPr>
          <w:rFonts w:ascii="Arial" w:eastAsia="宋体" w:hAnsi="Arial" w:cs="Arial"/>
          <w:color w:val="000000"/>
          <w:sz w:val="20"/>
          <w:szCs w:val="20"/>
        </w:rPr>
        <w:t>We have in the past and may in the future modify and adjust our models and methodologies used to calculate VaR and stressed VaR, subject to regulatory review and approval, and any future modifications and adjustments may result in changes in</w:t>
      </w:r>
      <w:r>
        <w:rPr>
          <w:rFonts w:ascii="Arial" w:eastAsia="宋体" w:hAnsi="Arial" w:cs="Arial"/>
          <w:color w:val="000000"/>
          <w:sz w:val="20"/>
          <w:szCs w:val="20"/>
        </w:rPr>
        <w:t xml:space="preserve"> our VaR-based and stressed VaR-based measures.</w:t>
      </w:r>
    </w:p>
    <w:p w14:paraId="71D40D82" w14:textId="77777777" w:rsidR="006A3667" w:rsidRDefault="00045F32">
      <w:pPr>
        <w:spacing w:before="60"/>
        <w:ind w:firstLine="450"/>
        <w:jc w:val="both"/>
      </w:pPr>
      <w:r>
        <w:rPr>
          <w:rFonts w:ascii="Arial" w:eastAsia="宋体" w:hAnsi="Arial" w:cs="Arial"/>
          <w:color w:val="000000"/>
          <w:sz w:val="20"/>
          <w:szCs w:val="20"/>
        </w:rPr>
        <w:t>The following tables present the VaR and stressed-VaR associated with our trading activities attributable to foreign exchange risk, interest rate risk and volatility risk as of September 30, 2022, June 30, 20</w:t>
      </w:r>
      <w:r>
        <w:rPr>
          <w:rFonts w:ascii="Arial" w:eastAsia="宋体" w:hAnsi="Arial" w:cs="Arial"/>
          <w:color w:val="000000"/>
          <w:sz w:val="20"/>
          <w:szCs w:val="20"/>
        </w:rPr>
        <w:t>22 and September 30, 2021, respectively. Diversification effect in the tables below represents the difference between total VaR and the sum of the VaRs for each trading activity. This effect arises because the risks present in our trading activities are no</w:t>
      </w:r>
      <w:r>
        <w:rPr>
          <w:rFonts w:ascii="Arial" w:eastAsia="宋体" w:hAnsi="Arial" w:cs="Arial"/>
          <w:color w:val="000000"/>
          <w:sz w:val="20"/>
          <w:szCs w:val="20"/>
        </w:rPr>
        <w:t>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56"/>
        <w:gridCol w:w="1075"/>
        <w:gridCol w:w="37"/>
        <w:gridCol w:w="94"/>
        <w:gridCol w:w="573"/>
        <w:gridCol w:w="37"/>
        <w:gridCol w:w="36"/>
        <w:gridCol w:w="36"/>
        <w:gridCol w:w="36"/>
        <w:gridCol w:w="94"/>
        <w:gridCol w:w="519"/>
        <w:gridCol w:w="37"/>
        <w:gridCol w:w="36"/>
        <w:gridCol w:w="36"/>
        <w:gridCol w:w="36"/>
        <w:gridCol w:w="94"/>
        <w:gridCol w:w="519"/>
        <w:gridCol w:w="37"/>
        <w:gridCol w:w="156"/>
        <w:gridCol w:w="109"/>
        <w:gridCol w:w="36"/>
        <w:gridCol w:w="36"/>
        <w:gridCol w:w="36"/>
        <w:gridCol w:w="94"/>
        <w:gridCol w:w="573"/>
        <w:gridCol w:w="37"/>
        <w:gridCol w:w="36"/>
        <w:gridCol w:w="36"/>
        <w:gridCol w:w="36"/>
        <w:gridCol w:w="94"/>
        <w:gridCol w:w="473"/>
        <w:gridCol w:w="37"/>
        <w:gridCol w:w="36"/>
        <w:gridCol w:w="36"/>
        <w:gridCol w:w="36"/>
        <w:gridCol w:w="94"/>
        <w:gridCol w:w="521"/>
        <w:gridCol w:w="37"/>
        <w:gridCol w:w="110"/>
        <w:gridCol w:w="111"/>
        <w:gridCol w:w="36"/>
        <w:gridCol w:w="36"/>
        <w:gridCol w:w="36"/>
        <w:gridCol w:w="94"/>
        <w:gridCol w:w="573"/>
        <w:gridCol w:w="37"/>
        <w:gridCol w:w="36"/>
        <w:gridCol w:w="36"/>
        <w:gridCol w:w="36"/>
        <w:gridCol w:w="93"/>
        <w:gridCol w:w="475"/>
        <w:gridCol w:w="36"/>
        <w:gridCol w:w="36"/>
        <w:gridCol w:w="36"/>
        <w:gridCol w:w="582"/>
      </w:tblGrid>
      <w:tr w:rsidR="006A3667" w14:paraId="71D40DBA" w14:textId="77777777">
        <w:tc>
          <w:tcPr>
            <w:tcW w:w="50" w:type="pct"/>
            <w:shd w:val="clear" w:color="auto" w:fill="auto"/>
            <w:vAlign w:val="bottom"/>
          </w:tcPr>
          <w:p w14:paraId="71D40D83" w14:textId="77777777" w:rsidR="006A3667" w:rsidRDefault="006A3667">
            <w:pPr>
              <w:rPr>
                <w:rFonts w:ascii="宋体"/>
              </w:rPr>
            </w:pPr>
          </w:p>
        </w:tc>
        <w:tc>
          <w:tcPr>
            <w:tcW w:w="705" w:type="pct"/>
            <w:shd w:val="clear" w:color="auto" w:fill="auto"/>
            <w:vAlign w:val="bottom"/>
          </w:tcPr>
          <w:p w14:paraId="71D40D84" w14:textId="77777777" w:rsidR="006A3667" w:rsidRDefault="006A3667">
            <w:pPr>
              <w:rPr>
                <w:rFonts w:ascii="宋体"/>
              </w:rPr>
            </w:pPr>
          </w:p>
        </w:tc>
        <w:tc>
          <w:tcPr>
            <w:tcW w:w="5" w:type="pct"/>
            <w:shd w:val="clear" w:color="auto" w:fill="auto"/>
            <w:vAlign w:val="bottom"/>
          </w:tcPr>
          <w:p w14:paraId="71D40D85" w14:textId="77777777" w:rsidR="006A3667" w:rsidRDefault="006A3667">
            <w:pPr>
              <w:rPr>
                <w:rFonts w:ascii="宋体"/>
              </w:rPr>
            </w:pPr>
          </w:p>
        </w:tc>
        <w:tc>
          <w:tcPr>
            <w:tcW w:w="50" w:type="pct"/>
            <w:shd w:val="clear" w:color="auto" w:fill="auto"/>
            <w:vAlign w:val="bottom"/>
          </w:tcPr>
          <w:p w14:paraId="71D40D86" w14:textId="77777777" w:rsidR="006A3667" w:rsidRDefault="006A3667">
            <w:pPr>
              <w:rPr>
                <w:rFonts w:ascii="宋体"/>
              </w:rPr>
            </w:pPr>
          </w:p>
        </w:tc>
        <w:tc>
          <w:tcPr>
            <w:tcW w:w="383" w:type="pct"/>
            <w:shd w:val="clear" w:color="auto" w:fill="auto"/>
            <w:vAlign w:val="bottom"/>
          </w:tcPr>
          <w:p w14:paraId="71D40D87" w14:textId="77777777" w:rsidR="006A3667" w:rsidRDefault="006A3667">
            <w:pPr>
              <w:rPr>
                <w:rFonts w:ascii="宋体"/>
              </w:rPr>
            </w:pPr>
          </w:p>
        </w:tc>
        <w:tc>
          <w:tcPr>
            <w:tcW w:w="5" w:type="pct"/>
            <w:shd w:val="clear" w:color="auto" w:fill="auto"/>
            <w:vAlign w:val="bottom"/>
          </w:tcPr>
          <w:p w14:paraId="71D40D88" w14:textId="77777777" w:rsidR="006A3667" w:rsidRDefault="006A3667">
            <w:pPr>
              <w:rPr>
                <w:rFonts w:ascii="宋体"/>
              </w:rPr>
            </w:pPr>
          </w:p>
        </w:tc>
        <w:tc>
          <w:tcPr>
            <w:tcW w:w="5" w:type="pct"/>
            <w:shd w:val="clear" w:color="auto" w:fill="auto"/>
            <w:vAlign w:val="bottom"/>
          </w:tcPr>
          <w:p w14:paraId="71D40D89" w14:textId="77777777" w:rsidR="006A3667" w:rsidRDefault="006A3667">
            <w:pPr>
              <w:rPr>
                <w:rFonts w:ascii="宋体"/>
              </w:rPr>
            </w:pPr>
          </w:p>
        </w:tc>
        <w:tc>
          <w:tcPr>
            <w:tcW w:w="26" w:type="pct"/>
            <w:shd w:val="clear" w:color="auto" w:fill="auto"/>
            <w:vAlign w:val="bottom"/>
          </w:tcPr>
          <w:p w14:paraId="71D40D8A" w14:textId="77777777" w:rsidR="006A3667" w:rsidRDefault="006A3667">
            <w:pPr>
              <w:rPr>
                <w:rFonts w:ascii="宋体"/>
              </w:rPr>
            </w:pPr>
          </w:p>
        </w:tc>
        <w:tc>
          <w:tcPr>
            <w:tcW w:w="5" w:type="pct"/>
            <w:shd w:val="clear" w:color="auto" w:fill="auto"/>
            <w:vAlign w:val="bottom"/>
          </w:tcPr>
          <w:p w14:paraId="71D40D8B" w14:textId="77777777" w:rsidR="006A3667" w:rsidRDefault="006A3667">
            <w:pPr>
              <w:rPr>
                <w:rFonts w:ascii="宋体"/>
              </w:rPr>
            </w:pPr>
          </w:p>
        </w:tc>
        <w:tc>
          <w:tcPr>
            <w:tcW w:w="50" w:type="pct"/>
            <w:shd w:val="clear" w:color="auto" w:fill="auto"/>
            <w:vAlign w:val="bottom"/>
          </w:tcPr>
          <w:p w14:paraId="71D40D8C" w14:textId="77777777" w:rsidR="006A3667" w:rsidRDefault="006A3667">
            <w:pPr>
              <w:rPr>
                <w:rFonts w:ascii="宋体"/>
              </w:rPr>
            </w:pPr>
          </w:p>
        </w:tc>
        <w:tc>
          <w:tcPr>
            <w:tcW w:w="383" w:type="pct"/>
            <w:shd w:val="clear" w:color="auto" w:fill="auto"/>
            <w:vAlign w:val="bottom"/>
          </w:tcPr>
          <w:p w14:paraId="71D40D8D" w14:textId="77777777" w:rsidR="006A3667" w:rsidRDefault="006A3667">
            <w:pPr>
              <w:rPr>
                <w:rFonts w:ascii="宋体"/>
              </w:rPr>
            </w:pPr>
          </w:p>
        </w:tc>
        <w:tc>
          <w:tcPr>
            <w:tcW w:w="5" w:type="pct"/>
            <w:shd w:val="clear" w:color="auto" w:fill="auto"/>
            <w:vAlign w:val="bottom"/>
          </w:tcPr>
          <w:p w14:paraId="71D40D8E" w14:textId="77777777" w:rsidR="006A3667" w:rsidRDefault="006A3667">
            <w:pPr>
              <w:rPr>
                <w:rFonts w:ascii="宋体"/>
              </w:rPr>
            </w:pPr>
          </w:p>
        </w:tc>
        <w:tc>
          <w:tcPr>
            <w:tcW w:w="5" w:type="pct"/>
            <w:shd w:val="clear" w:color="auto" w:fill="auto"/>
            <w:vAlign w:val="bottom"/>
          </w:tcPr>
          <w:p w14:paraId="71D40D8F" w14:textId="77777777" w:rsidR="006A3667" w:rsidRDefault="006A3667">
            <w:pPr>
              <w:rPr>
                <w:rFonts w:ascii="宋体"/>
              </w:rPr>
            </w:pPr>
          </w:p>
        </w:tc>
        <w:tc>
          <w:tcPr>
            <w:tcW w:w="26" w:type="pct"/>
            <w:shd w:val="clear" w:color="auto" w:fill="auto"/>
            <w:vAlign w:val="bottom"/>
          </w:tcPr>
          <w:p w14:paraId="71D40D90" w14:textId="77777777" w:rsidR="006A3667" w:rsidRDefault="006A3667">
            <w:pPr>
              <w:rPr>
                <w:rFonts w:ascii="宋体"/>
              </w:rPr>
            </w:pPr>
          </w:p>
        </w:tc>
        <w:tc>
          <w:tcPr>
            <w:tcW w:w="5" w:type="pct"/>
            <w:shd w:val="clear" w:color="auto" w:fill="auto"/>
            <w:vAlign w:val="bottom"/>
          </w:tcPr>
          <w:p w14:paraId="71D40D91" w14:textId="77777777" w:rsidR="006A3667" w:rsidRDefault="006A3667">
            <w:pPr>
              <w:rPr>
                <w:rFonts w:ascii="宋体"/>
              </w:rPr>
            </w:pPr>
          </w:p>
        </w:tc>
        <w:tc>
          <w:tcPr>
            <w:tcW w:w="50" w:type="pct"/>
            <w:shd w:val="clear" w:color="auto" w:fill="auto"/>
            <w:vAlign w:val="bottom"/>
          </w:tcPr>
          <w:p w14:paraId="71D40D92" w14:textId="77777777" w:rsidR="006A3667" w:rsidRDefault="006A3667">
            <w:pPr>
              <w:rPr>
                <w:rFonts w:ascii="宋体"/>
              </w:rPr>
            </w:pPr>
          </w:p>
        </w:tc>
        <w:tc>
          <w:tcPr>
            <w:tcW w:w="383" w:type="pct"/>
            <w:shd w:val="clear" w:color="auto" w:fill="auto"/>
            <w:vAlign w:val="bottom"/>
          </w:tcPr>
          <w:p w14:paraId="71D40D93" w14:textId="77777777" w:rsidR="006A3667" w:rsidRDefault="006A3667">
            <w:pPr>
              <w:rPr>
                <w:rFonts w:ascii="宋体"/>
              </w:rPr>
            </w:pPr>
          </w:p>
        </w:tc>
        <w:tc>
          <w:tcPr>
            <w:tcW w:w="5" w:type="pct"/>
            <w:shd w:val="clear" w:color="auto" w:fill="auto"/>
            <w:vAlign w:val="bottom"/>
          </w:tcPr>
          <w:p w14:paraId="71D40D94" w14:textId="77777777" w:rsidR="006A3667" w:rsidRDefault="006A3667">
            <w:pPr>
              <w:rPr>
                <w:rFonts w:ascii="宋体"/>
              </w:rPr>
            </w:pPr>
          </w:p>
        </w:tc>
        <w:tc>
          <w:tcPr>
            <w:tcW w:w="0" w:type="auto"/>
            <w:shd w:val="clear" w:color="auto" w:fill="auto"/>
            <w:vAlign w:val="bottom"/>
          </w:tcPr>
          <w:p w14:paraId="71D40D95" w14:textId="77777777" w:rsidR="006A3667" w:rsidRDefault="006A3667">
            <w:pPr>
              <w:rPr>
                <w:rFonts w:ascii="宋体"/>
                <w:vanish/>
              </w:rPr>
            </w:pPr>
          </w:p>
        </w:tc>
        <w:tc>
          <w:tcPr>
            <w:tcW w:w="0" w:type="auto"/>
            <w:shd w:val="clear" w:color="auto" w:fill="auto"/>
            <w:vAlign w:val="bottom"/>
          </w:tcPr>
          <w:p w14:paraId="71D40D96" w14:textId="77777777" w:rsidR="006A3667" w:rsidRDefault="006A3667">
            <w:pPr>
              <w:rPr>
                <w:rFonts w:ascii="宋体"/>
                <w:vanish/>
              </w:rPr>
            </w:pPr>
          </w:p>
        </w:tc>
        <w:tc>
          <w:tcPr>
            <w:tcW w:w="5" w:type="pct"/>
            <w:shd w:val="clear" w:color="auto" w:fill="auto"/>
            <w:vAlign w:val="bottom"/>
          </w:tcPr>
          <w:p w14:paraId="71D40D97" w14:textId="77777777" w:rsidR="006A3667" w:rsidRDefault="006A3667">
            <w:pPr>
              <w:rPr>
                <w:rFonts w:ascii="宋体"/>
              </w:rPr>
            </w:pPr>
          </w:p>
        </w:tc>
        <w:tc>
          <w:tcPr>
            <w:tcW w:w="26" w:type="pct"/>
            <w:shd w:val="clear" w:color="auto" w:fill="auto"/>
            <w:vAlign w:val="bottom"/>
          </w:tcPr>
          <w:p w14:paraId="71D40D98" w14:textId="77777777" w:rsidR="006A3667" w:rsidRDefault="006A3667">
            <w:pPr>
              <w:rPr>
                <w:rFonts w:ascii="宋体"/>
              </w:rPr>
            </w:pPr>
          </w:p>
        </w:tc>
        <w:tc>
          <w:tcPr>
            <w:tcW w:w="5" w:type="pct"/>
            <w:shd w:val="clear" w:color="auto" w:fill="auto"/>
            <w:vAlign w:val="bottom"/>
          </w:tcPr>
          <w:p w14:paraId="71D40D99" w14:textId="77777777" w:rsidR="006A3667" w:rsidRDefault="006A3667">
            <w:pPr>
              <w:rPr>
                <w:rFonts w:ascii="宋体"/>
              </w:rPr>
            </w:pPr>
          </w:p>
        </w:tc>
        <w:tc>
          <w:tcPr>
            <w:tcW w:w="50" w:type="pct"/>
            <w:shd w:val="clear" w:color="auto" w:fill="auto"/>
            <w:vAlign w:val="bottom"/>
          </w:tcPr>
          <w:p w14:paraId="71D40D9A" w14:textId="77777777" w:rsidR="006A3667" w:rsidRDefault="006A3667">
            <w:pPr>
              <w:rPr>
                <w:rFonts w:ascii="宋体"/>
              </w:rPr>
            </w:pPr>
          </w:p>
        </w:tc>
        <w:tc>
          <w:tcPr>
            <w:tcW w:w="383" w:type="pct"/>
            <w:shd w:val="clear" w:color="auto" w:fill="auto"/>
            <w:vAlign w:val="bottom"/>
          </w:tcPr>
          <w:p w14:paraId="71D40D9B" w14:textId="77777777" w:rsidR="006A3667" w:rsidRDefault="006A3667">
            <w:pPr>
              <w:rPr>
                <w:rFonts w:ascii="宋体"/>
              </w:rPr>
            </w:pPr>
          </w:p>
        </w:tc>
        <w:tc>
          <w:tcPr>
            <w:tcW w:w="5" w:type="pct"/>
            <w:shd w:val="clear" w:color="auto" w:fill="auto"/>
            <w:vAlign w:val="bottom"/>
          </w:tcPr>
          <w:p w14:paraId="71D40D9C" w14:textId="77777777" w:rsidR="006A3667" w:rsidRDefault="006A3667">
            <w:pPr>
              <w:rPr>
                <w:rFonts w:ascii="宋体"/>
              </w:rPr>
            </w:pPr>
          </w:p>
        </w:tc>
        <w:tc>
          <w:tcPr>
            <w:tcW w:w="5" w:type="pct"/>
            <w:shd w:val="clear" w:color="auto" w:fill="auto"/>
            <w:vAlign w:val="bottom"/>
          </w:tcPr>
          <w:p w14:paraId="71D40D9D" w14:textId="77777777" w:rsidR="006A3667" w:rsidRDefault="006A3667">
            <w:pPr>
              <w:rPr>
                <w:rFonts w:ascii="宋体"/>
              </w:rPr>
            </w:pPr>
          </w:p>
        </w:tc>
        <w:tc>
          <w:tcPr>
            <w:tcW w:w="26" w:type="pct"/>
            <w:shd w:val="clear" w:color="auto" w:fill="auto"/>
            <w:vAlign w:val="bottom"/>
          </w:tcPr>
          <w:p w14:paraId="71D40D9E" w14:textId="77777777" w:rsidR="006A3667" w:rsidRDefault="006A3667">
            <w:pPr>
              <w:rPr>
                <w:rFonts w:ascii="宋体"/>
              </w:rPr>
            </w:pPr>
          </w:p>
        </w:tc>
        <w:tc>
          <w:tcPr>
            <w:tcW w:w="5" w:type="pct"/>
            <w:shd w:val="clear" w:color="auto" w:fill="auto"/>
            <w:vAlign w:val="bottom"/>
          </w:tcPr>
          <w:p w14:paraId="71D40D9F" w14:textId="77777777" w:rsidR="006A3667" w:rsidRDefault="006A3667">
            <w:pPr>
              <w:rPr>
                <w:rFonts w:ascii="宋体"/>
              </w:rPr>
            </w:pPr>
          </w:p>
        </w:tc>
        <w:tc>
          <w:tcPr>
            <w:tcW w:w="50" w:type="pct"/>
            <w:shd w:val="clear" w:color="auto" w:fill="auto"/>
            <w:vAlign w:val="bottom"/>
          </w:tcPr>
          <w:p w14:paraId="71D40DA0" w14:textId="77777777" w:rsidR="006A3667" w:rsidRDefault="006A3667">
            <w:pPr>
              <w:rPr>
                <w:rFonts w:ascii="宋体"/>
              </w:rPr>
            </w:pPr>
          </w:p>
        </w:tc>
        <w:tc>
          <w:tcPr>
            <w:tcW w:w="383" w:type="pct"/>
            <w:shd w:val="clear" w:color="auto" w:fill="auto"/>
            <w:vAlign w:val="bottom"/>
          </w:tcPr>
          <w:p w14:paraId="71D40DA1" w14:textId="77777777" w:rsidR="006A3667" w:rsidRDefault="006A3667">
            <w:pPr>
              <w:rPr>
                <w:rFonts w:ascii="宋体"/>
              </w:rPr>
            </w:pPr>
          </w:p>
        </w:tc>
        <w:tc>
          <w:tcPr>
            <w:tcW w:w="5" w:type="pct"/>
            <w:shd w:val="clear" w:color="auto" w:fill="auto"/>
            <w:vAlign w:val="bottom"/>
          </w:tcPr>
          <w:p w14:paraId="71D40DA2" w14:textId="77777777" w:rsidR="006A3667" w:rsidRDefault="006A3667">
            <w:pPr>
              <w:rPr>
                <w:rFonts w:ascii="宋体"/>
              </w:rPr>
            </w:pPr>
          </w:p>
        </w:tc>
        <w:tc>
          <w:tcPr>
            <w:tcW w:w="5" w:type="pct"/>
            <w:shd w:val="clear" w:color="auto" w:fill="auto"/>
            <w:vAlign w:val="bottom"/>
          </w:tcPr>
          <w:p w14:paraId="71D40DA3" w14:textId="77777777" w:rsidR="006A3667" w:rsidRDefault="006A3667">
            <w:pPr>
              <w:rPr>
                <w:rFonts w:ascii="宋体"/>
              </w:rPr>
            </w:pPr>
          </w:p>
        </w:tc>
        <w:tc>
          <w:tcPr>
            <w:tcW w:w="26" w:type="pct"/>
            <w:shd w:val="clear" w:color="auto" w:fill="auto"/>
            <w:vAlign w:val="bottom"/>
          </w:tcPr>
          <w:p w14:paraId="71D40DA4" w14:textId="77777777" w:rsidR="006A3667" w:rsidRDefault="006A3667">
            <w:pPr>
              <w:rPr>
                <w:rFonts w:ascii="宋体"/>
              </w:rPr>
            </w:pPr>
          </w:p>
        </w:tc>
        <w:tc>
          <w:tcPr>
            <w:tcW w:w="5" w:type="pct"/>
            <w:shd w:val="clear" w:color="auto" w:fill="auto"/>
            <w:vAlign w:val="bottom"/>
          </w:tcPr>
          <w:p w14:paraId="71D40DA5" w14:textId="77777777" w:rsidR="006A3667" w:rsidRDefault="006A3667">
            <w:pPr>
              <w:rPr>
                <w:rFonts w:ascii="宋体"/>
              </w:rPr>
            </w:pPr>
          </w:p>
        </w:tc>
        <w:tc>
          <w:tcPr>
            <w:tcW w:w="50" w:type="pct"/>
            <w:shd w:val="clear" w:color="auto" w:fill="auto"/>
            <w:vAlign w:val="bottom"/>
          </w:tcPr>
          <w:p w14:paraId="71D40DA6" w14:textId="77777777" w:rsidR="006A3667" w:rsidRDefault="006A3667">
            <w:pPr>
              <w:rPr>
                <w:rFonts w:ascii="宋体"/>
              </w:rPr>
            </w:pPr>
          </w:p>
        </w:tc>
        <w:tc>
          <w:tcPr>
            <w:tcW w:w="383" w:type="pct"/>
            <w:shd w:val="clear" w:color="auto" w:fill="auto"/>
            <w:vAlign w:val="bottom"/>
          </w:tcPr>
          <w:p w14:paraId="71D40DA7" w14:textId="77777777" w:rsidR="006A3667" w:rsidRDefault="006A3667">
            <w:pPr>
              <w:rPr>
                <w:rFonts w:ascii="宋体"/>
              </w:rPr>
            </w:pPr>
          </w:p>
        </w:tc>
        <w:tc>
          <w:tcPr>
            <w:tcW w:w="5" w:type="pct"/>
            <w:shd w:val="clear" w:color="auto" w:fill="auto"/>
            <w:vAlign w:val="bottom"/>
          </w:tcPr>
          <w:p w14:paraId="71D40DA8" w14:textId="77777777" w:rsidR="006A3667" w:rsidRDefault="006A3667">
            <w:pPr>
              <w:rPr>
                <w:rFonts w:ascii="宋体"/>
              </w:rPr>
            </w:pPr>
          </w:p>
        </w:tc>
        <w:tc>
          <w:tcPr>
            <w:tcW w:w="0" w:type="auto"/>
            <w:shd w:val="clear" w:color="auto" w:fill="auto"/>
            <w:vAlign w:val="bottom"/>
          </w:tcPr>
          <w:p w14:paraId="71D40DA9" w14:textId="77777777" w:rsidR="006A3667" w:rsidRDefault="006A3667">
            <w:pPr>
              <w:rPr>
                <w:rFonts w:ascii="宋体"/>
                <w:vanish/>
              </w:rPr>
            </w:pPr>
          </w:p>
        </w:tc>
        <w:tc>
          <w:tcPr>
            <w:tcW w:w="0" w:type="auto"/>
            <w:shd w:val="clear" w:color="auto" w:fill="auto"/>
            <w:vAlign w:val="bottom"/>
          </w:tcPr>
          <w:p w14:paraId="71D40DAA" w14:textId="77777777" w:rsidR="006A3667" w:rsidRDefault="006A3667">
            <w:pPr>
              <w:rPr>
                <w:rFonts w:ascii="宋体"/>
                <w:vanish/>
              </w:rPr>
            </w:pPr>
          </w:p>
        </w:tc>
        <w:tc>
          <w:tcPr>
            <w:tcW w:w="5" w:type="pct"/>
            <w:shd w:val="clear" w:color="auto" w:fill="auto"/>
            <w:vAlign w:val="bottom"/>
          </w:tcPr>
          <w:p w14:paraId="71D40DAB" w14:textId="77777777" w:rsidR="006A3667" w:rsidRDefault="006A3667">
            <w:pPr>
              <w:rPr>
                <w:rFonts w:ascii="宋体"/>
              </w:rPr>
            </w:pPr>
          </w:p>
        </w:tc>
        <w:tc>
          <w:tcPr>
            <w:tcW w:w="26" w:type="pct"/>
            <w:shd w:val="clear" w:color="auto" w:fill="auto"/>
            <w:vAlign w:val="bottom"/>
          </w:tcPr>
          <w:p w14:paraId="71D40DAC" w14:textId="77777777" w:rsidR="006A3667" w:rsidRDefault="006A3667">
            <w:pPr>
              <w:rPr>
                <w:rFonts w:ascii="宋体"/>
              </w:rPr>
            </w:pPr>
          </w:p>
        </w:tc>
        <w:tc>
          <w:tcPr>
            <w:tcW w:w="5" w:type="pct"/>
            <w:shd w:val="clear" w:color="auto" w:fill="auto"/>
            <w:vAlign w:val="bottom"/>
          </w:tcPr>
          <w:p w14:paraId="71D40DAD" w14:textId="77777777" w:rsidR="006A3667" w:rsidRDefault="006A3667">
            <w:pPr>
              <w:rPr>
                <w:rFonts w:ascii="宋体"/>
              </w:rPr>
            </w:pPr>
          </w:p>
        </w:tc>
        <w:tc>
          <w:tcPr>
            <w:tcW w:w="50" w:type="pct"/>
            <w:shd w:val="clear" w:color="auto" w:fill="auto"/>
            <w:vAlign w:val="bottom"/>
          </w:tcPr>
          <w:p w14:paraId="71D40DAE" w14:textId="77777777" w:rsidR="006A3667" w:rsidRDefault="006A3667">
            <w:pPr>
              <w:rPr>
                <w:rFonts w:ascii="宋体"/>
              </w:rPr>
            </w:pPr>
          </w:p>
        </w:tc>
        <w:tc>
          <w:tcPr>
            <w:tcW w:w="383" w:type="pct"/>
            <w:shd w:val="clear" w:color="auto" w:fill="auto"/>
            <w:vAlign w:val="bottom"/>
          </w:tcPr>
          <w:p w14:paraId="71D40DAF" w14:textId="77777777" w:rsidR="006A3667" w:rsidRDefault="006A3667">
            <w:pPr>
              <w:rPr>
                <w:rFonts w:ascii="宋体"/>
              </w:rPr>
            </w:pPr>
          </w:p>
        </w:tc>
        <w:tc>
          <w:tcPr>
            <w:tcW w:w="5" w:type="pct"/>
            <w:shd w:val="clear" w:color="auto" w:fill="auto"/>
            <w:vAlign w:val="bottom"/>
          </w:tcPr>
          <w:p w14:paraId="71D40DB0" w14:textId="77777777" w:rsidR="006A3667" w:rsidRDefault="006A3667">
            <w:pPr>
              <w:rPr>
                <w:rFonts w:ascii="宋体"/>
              </w:rPr>
            </w:pPr>
          </w:p>
        </w:tc>
        <w:tc>
          <w:tcPr>
            <w:tcW w:w="5" w:type="pct"/>
            <w:shd w:val="clear" w:color="auto" w:fill="auto"/>
            <w:vAlign w:val="bottom"/>
          </w:tcPr>
          <w:p w14:paraId="71D40DB1" w14:textId="77777777" w:rsidR="006A3667" w:rsidRDefault="006A3667">
            <w:pPr>
              <w:rPr>
                <w:rFonts w:ascii="宋体"/>
              </w:rPr>
            </w:pPr>
          </w:p>
        </w:tc>
        <w:tc>
          <w:tcPr>
            <w:tcW w:w="26" w:type="pct"/>
            <w:shd w:val="clear" w:color="auto" w:fill="auto"/>
            <w:vAlign w:val="bottom"/>
          </w:tcPr>
          <w:p w14:paraId="71D40DB2" w14:textId="77777777" w:rsidR="006A3667" w:rsidRDefault="006A3667">
            <w:pPr>
              <w:rPr>
                <w:rFonts w:ascii="宋体"/>
              </w:rPr>
            </w:pPr>
          </w:p>
        </w:tc>
        <w:tc>
          <w:tcPr>
            <w:tcW w:w="5" w:type="pct"/>
            <w:shd w:val="clear" w:color="auto" w:fill="auto"/>
            <w:vAlign w:val="bottom"/>
          </w:tcPr>
          <w:p w14:paraId="71D40DB3" w14:textId="77777777" w:rsidR="006A3667" w:rsidRDefault="006A3667">
            <w:pPr>
              <w:rPr>
                <w:rFonts w:ascii="宋体"/>
              </w:rPr>
            </w:pPr>
          </w:p>
        </w:tc>
        <w:tc>
          <w:tcPr>
            <w:tcW w:w="50" w:type="pct"/>
            <w:shd w:val="clear" w:color="auto" w:fill="auto"/>
            <w:vAlign w:val="bottom"/>
          </w:tcPr>
          <w:p w14:paraId="71D40DB4" w14:textId="77777777" w:rsidR="006A3667" w:rsidRDefault="006A3667">
            <w:pPr>
              <w:rPr>
                <w:rFonts w:ascii="宋体"/>
              </w:rPr>
            </w:pPr>
          </w:p>
        </w:tc>
        <w:tc>
          <w:tcPr>
            <w:tcW w:w="383" w:type="pct"/>
            <w:shd w:val="clear" w:color="auto" w:fill="auto"/>
            <w:vAlign w:val="bottom"/>
          </w:tcPr>
          <w:p w14:paraId="71D40DB5" w14:textId="77777777" w:rsidR="006A3667" w:rsidRDefault="006A3667">
            <w:pPr>
              <w:rPr>
                <w:rFonts w:ascii="宋体"/>
              </w:rPr>
            </w:pPr>
          </w:p>
        </w:tc>
        <w:tc>
          <w:tcPr>
            <w:tcW w:w="5" w:type="pct"/>
            <w:shd w:val="clear" w:color="auto" w:fill="auto"/>
            <w:vAlign w:val="bottom"/>
          </w:tcPr>
          <w:p w14:paraId="71D40DB6" w14:textId="77777777" w:rsidR="006A3667" w:rsidRDefault="006A3667">
            <w:pPr>
              <w:rPr>
                <w:rFonts w:ascii="宋体"/>
              </w:rPr>
            </w:pPr>
          </w:p>
        </w:tc>
        <w:tc>
          <w:tcPr>
            <w:tcW w:w="5" w:type="pct"/>
            <w:shd w:val="clear" w:color="auto" w:fill="auto"/>
            <w:vAlign w:val="bottom"/>
          </w:tcPr>
          <w:p w14:paraId="71D40DB7" w14:textId="77777777" w:rsidR="006A3667" w:rsidRDefault="006A3667">
            <w:pPr>
              <w:rPr>
                <w:rFonts w:ascii="宋体"/>
              </w:rPr>
            </w:pPr>
          </w:p>
        </w:tc>
        <w:tc>
          <w:tcPr>
            <w:tcW w:w="26" w:type="pct"/>
            <w:shd w:val="clear" w:color="auto" w:fill="auto"/>
            <w:vAlign w:val="bottom"/>
          </w:tcPr>
          <w:p w14:paraId="71D40DB8" w14:textId="77777777" w:rsidR="006A3667" w:rsidRDefault="006A3667">
            <w:pPr>
              <w:rPr>
                <w:rFonts w:ascii="宋体"/>
              </w:rPr>
            </w:pPr>
          </w:p>
        </w:tc>
        <w:tc>
          <w:tcPr>
            <w:tcW w:w="5" w:type="pct"/>
            <w:shd w:val="clear" w:color="auto" w:fill="auto"/>
            <w:vAlign w:val="bottom"/>
          </w:tcPr>
          <w:p w14:paraId="71D40DB9" w14:textId="77777777" w:rsidR="006A3667" w:rsidRDefault="006A3667">
            <w:pPr>
              <w:rPr>
                <w:rFonts w:ascii="宋体"/>
              </w:rPr>
            </w:pPr>
          </w:p>
        </w:tc>
      </w:tr>
      <w:tr w:rsidR="006A3667" w14:paraId="71D40DC0" w14:textId="77777777">
        <w:tc>
          <w:tcPr>
            <w:tcW w:w="0" w:type="auto"/>
            <w:gridSpan w:val="46"/>
            <w:shd w:val="clear" w:color="auto" w:fill="auto"/>
            <w:tcMar>
              <w:top w:w="40" w:type="dxa"/>
              <w:left w:w="20" w:type="dxa"/>
              <w:bottom w:w="40" w:type="dxa"/>
              <w:right w:w="20" w:type="dxa"/>
            </w:tcMar>
            <w:vAlign w:val="bottom"/>
          </w:tcPr>
          <w:p w14:paraId="71D40DBB" w14:textId="77777777" w:rsidR="006A3667" w:rsidRDefault="00045F32">
            <w:pPr>
              <w:spacing w:after="20"/>
              <w:textAlignment w:val="bottom"/>
            </w:pPr>
            <w:r>
              <w:rPr>
                <w:rFonts w:ascii="Arial" w:eastAsia="宋体" w:hAnsi="Arial" w:cs="Arial"/>
                <w:b/>
                <w:bCs/>
                <w:color w:val="000000"/>
                <w:sz w:val="16"/>
                <w:szCs w:val="16"/>
              </w:rPr>
              <w:t>TABLE 30: TEN-DAY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71D40DBC" w14:textId="77777777" w:rsidR="006A3667" w:rsidRDefault="006A3667">
            <w:pPr>
              <w:rPr>
                <w:rFonts w:ascii="宋体"/>
                <w:vanish/>
              </w:rPr>
            </w:pPr>
          </w:p>
        </w:tc>
        <w:tc>
          <w:tcPr>
            <w:tcW w:w="0" w:type="auto"/>
            <w:gridSpan w:val="3"/>
            <w:shd w:val="clear" w:color="auto" w:fill="auto"/>
            <w:vAlign w:val="bottom"/>
          </w:tcPr>
          <w:p w14:paraId="71D40DBD" w14:textId="77777777" w:rsidR="006A3667" w:rsidRDefault="006A3667">
            <w:pPr>
              <w:rPr>
                <w:rFonts w:ascii="宋体"/>
                <w:vanish/>
              </w:rPr>
            </w:pPr>
          </w:p>
        </w:tc>
        <w:tc>
          <w:tcPr>
            <w:tcW w:w="0" w:type="auto"/>
            <w:gridSpan w:val="2"/>
            <w:shd w:val="clear" w:color="auto" w:fill="auto"/>
            <w:vAlign w:val="bottom"/>
          </w:tcPr>
          <w:p w14:paraId="71D40DBE" w14:textId="77777777" w:rsidR="006A3667" w:rsidRDefault="006A3667">
            <w:pPr>
              <w:rPr>
                <w:rFonts w:ascii="宋体"/>
                <w:vanish/>
              </w:rPr>
            </w:pPr>
          </w:p>
        </w:tc>
        <w:tc>
          <w:tcPr>
            <w:tcW w:w="0" w:type="auto"/>
            <w:shd w:val="clear" w:color="auto" w:fill="auto"/>
            <w:vAlign w:val="bottom"/>
          </w:tcPr>
          <w:p w14:paraId="71D40DBF" w14:textId="77777777" w:rsidR="006A3667" w:rsidRDefault="006A3667">
            <w:pPr>
              <w:rPr>
                <w:rFonts w:ascii="宋体"/>
                <w:vanish/>
              </w:rPr>
            </w:pPr>
          </w:p>
        </w:tc>
      </w:tr>
      <w:tr w:rsidR="006A3667" w14:paraId="71D40DCA" w14:textId="77777777">
        <w:tc>
          <w:tcPr>
            <w:tcW w:w="0" w:type="auto"/>
            <w:gridSpan w:val="3"/>
            <w:shd w:val="clear" w:color="auto" w:fill="auto"/>
            <w:tcMar>
              <w:top w:w="0" w:type="dxa"/>
              <w:left w:w="20" w:type="dxa"/>
              <w:bottom w:w="0" w:type="dxa"/>
              <w:right w:w="20" w:type="dxa"/>
            </w:tcMar>
            <w:vAlign w:val="bottom"/>
          </w:tcPr>
          <w:p w14:paraId="71D40DC1"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0DC2" w14:textId="77777777" w:rsidR="006A3667" w:rsidRDefault="00045F32">
            <w:pPr>
              <w:jc w:val="center"/>
              <w:textAlignment w:val="bottom"/>
            </w:pPr>
            <w:r>
              <w:rPr>
                <w:rFonts w:ascii="Arial" w:eastAsia="宋体" w:hAnsi="Arial" w:cs="Arial"/>
                <w:b/>
                <w:bCs/>
                <w:color w:val="000000"/>
                <w:sz w:val="13"/>
                <w:szCs w:val="13"/>
              </w:rPr>
              <w:t>As of September 30, 2022</w:t>
            </w:r>
          </w:p>
        </w:tc>
        <w:tc>
          <w:tcPr>
            <w:tcW w:w="0" w:type="auto"/>
            <w:shd w:val="clear" w:color="auto" w:fill="auto"/>
            <w:tcMar>
              <w:top w:w="0" w:type="dxa"/>
              <w:left w:w="20" w:type="dxa"/>
              <w:bottom w:w="0" w:type="dxa"/>
              <w:right w:w="20" w:type="dxa"/>
            </w:tcMar>
            <w:vAlign w:val="bottom"/>
          </w:tcPr>
          <w:p w14:paraId="71D40DC3" w14:textId="77777777" w:rsidR="006A3667" w:rsidRDefault="006A3667">
            <w:pPr>
              <w:rPr>
                <w:rFonts w:ascii="宋体"/>
              </w:rPr>
            </w:pPr>
          </w:p>
        </w:tc>
        <w:tc>
          <w:tcPr>
            <w:tcW w:w="0" w:type="auto"/>
            <w:gridSpan w:val="13"/>
            <w:shd w:val="clear" w:color="auto" w:fill="auto"/>
            <w:tcMar>
              <w:top w:w="40" w:type="dxa"/>
              <w:left w:w="20" w:type="dxa"/>
              <w:bottom w:w="40" w:type="dxa"/>
              <w:right w:w="20" w:type="dxa"/>
            </w:tcMar>
            <w:vAlign w:val="bottom"/>
          </w:tcPr>
          <w:p w14:paraId="71D40DC4" w14:textId="77777777" w:rsidR="006A3667" w:rsidRDefault="00045F32">
            <w:pPr>
              <w:jc w:val="center"/>
              <w:textAlignment w:val="bottom"/>
            </w:pPr>
            <w:r>
              <w:rPr>
                <w:rFonts w:ascii="Arial" w:eastAsia="宋体" w:hAnsi="Arial" w:cs="Arial"/>
                <w:b/>
                <w:bCs/>
                <w:color w:val="000000"/>
                <w:sz w:val="13"/>
                <w:szCs w:val="13"/>
              </w:rPr>
              <w:t>As of June 30, 2022</w:t>
            </w:r>
          </w:p>
        </w:tc>
        <w:tc>
          <w:tcPr>
            <w:tcW w:w="0" w:type="auto"/>
            <w:gridSpan w:val="3"/>
            <w:shd w:val="clear" w:color="auto" w:fill="auto"/>
            <w:tcMar>
              <w:top w:w="0" w:type="dxa"/>
              <w:left w:w="20" w:type="dxa"/>
              <w:bottom w:w="0" w:type="dxa"/>
              <w:right w:w="20" w:type="dxa"/>
            </w:tcMar>
            <w:vAlign w:val="bottom"/>
          </w:tcPr>
          <w:p w14:paraId="71D40DC5" w14:textId="77777777" w:rsidR="006A3667" w:rsidRDefault="006A3667">
            <w:pPr>
              <w:rPr>
                <w:rFonts w:ascii="宋体"/>
              </w:rPr>
            </w:pPr>
          </w:p>
        </w:tc>
        <w:tc>
          <w:tcPr>
            <w:tcW w:w="0" w:type="auto"/>
            <w:gridSpan w:val="11"/>
            <w:shd w:val="clear" w:color="auto" w:fill="auto"/>
            <w:tcMar>
              <w:top w:w="40" w:type="dxa"/>
              <w:left w:w="20" w:type="dxa"/>
              <w:bottom w:w="40" w:type="dxa"/>
              <w:right w:w="20" w:type="dxa"/>
            </w:tcMar>
            <w:vAlign w:val="bottom"/>
          </w:tcPr>
          <w:p w14:paraId="71D40DC6" w14:textId="77777777" w:rsidR="006A3667" w:rsidRDefault="00045F32">
            <w:pPr>
              <w:jc w:val="center"/>
              <w:textAlignment w:val="bottom"/>
            </w:pPr>
            <w:r>
              <w:rPr>
                <w:rFonts w:ascii="Arial" w:eastAsia="宋体" w:hAnsi="Arial" w:cs="Arial"/>
                <w:b/>
                <w:bCs/>
                <w:color w:val="000000"/>
                <w:sz w:val="13"/>
                <w:szCs w:val="13"/>
              </w:rPr>
              <w:t>As of September 30, 2021</w:t>
            </w:r>
          </w:p>
        </w:tc>
        <w:tc>
          <w:tcPr>
            <w:tcW w:w="0" w:type="auto"/>
            <w:gridSpan w:val="3"/>
            <w:shd w:val="clear" w:color="auto" w:fill="auto"/>
            <w:vAlign w:val="bottom"/>
          </w:tcPr>
          <w:p w14:paraId="71D40DC7" w14:textId="77777777" w:rsidR="006A3667" w:rsidRDefault="006A3667">
            <w:pPr>
              <w:rPr>
                <w:rFonts w:ascii="宋体"/>
                <w:vanish/>
              </w:rPr>
            </w:pPr>
          </w:p>
        </w:tc>
        <w:tc>
          <w:tcPr>
            <w:tcW w:w="0" w:type="auto"/>
            <w:gridSpan w:val="3"/>
            <w:shd w:val="clear" w:color="auto" w:fill="auto"/>
            <w:vAlign w:val="bottom"/>
          </w:tcPr>
          <w:p w14:paraId="71D40DC8" w14:textId="77777777" w:rsidR="006A3667" w:rsidRDefault="006A3667">
            <w:pPr>
              <w:rPr>
                <w:rFonts w:ascii="宋体"/>
                <w:vanish/>
              </w:rPr>
            </w:pPr>
          </w:p>
        </w:tc>
        <w:tc>
          <w:tcPr>
            <w:tcW w:w="0" w:type="auto"/>
            <w:gridSpan w:val="3"/>
            <w:shd w:val="clear" w:color="auto" w:fill="auto"/>
            <w:vAlign w:val="bottom"/>
          </w:tcPr>
          <w:p w14:paraId="71D40DC9" w14:textId="77777777" w:rsidR="006A3667" w:rsidRDefault="006A3667">
            <w:pPr>
              <w:rPr>
                <w:rFonts w:ascii="宋体"/>
                <w:vanish/>
              </w:rPr>
            </w:pPr>
          </w:p>
        </w:tc>
      </w:tr>
      <w:tr w:rsidR="006A3667" w14:paraId="71D40DE1" w14:textId="77777777">
        <w:tc>
          <w:tcPr>
            <w:tcW w:w="0" w:type="auto"/>
            <w:gridSpan w:val="3"/>
            <w:shd w:val="clear" w:color="auto" w:fill="auto"/>
            <w:tcMar>
              <w:top w:w="40" w:type="dxa"/>
              <w:left w:w="20" w:type="dxa"/>
              <w:bottom w:w="40" w:type="dxa"/>
              <w:right w:w="20" w:type="dxa"/>
            </w:tcMar>
            <w:vAlign w:val="bottom"/>
          </w:tcPr>
          <w:p w14:paraId="71D40DCB" w14:textId="77777777" w:rsidR="006A3667" w:rsidRDefault="00045F32">
            <w:pPr>
              <w:spacing w:after="20"/>
              <w:textAlignment w:val="bottom"/>
            </w:pPr>
            <w:r>
              <w:rPr>
                <w:rFonts w:ascii="Arial" w:eastAsia="宋体" w:hAnsi="Arial" w:cs="Arial"/>
                <w:b/>
                <w:bCs/>
                <w:color w:val="000000"/>
                <w:sz w:val="13"/>
                <w:szCs w:val="13"/>
              </w:rPr>
              <w:t xml:space="preserve">(In </w:t>
            </w:r>
            <w:r>
              <w:rPr>
                <w:rFonts w:ascii="Arial" w:eastAsia="宋体" w:hAnsi="Arial" w:cs="Arial"/>
                <w:b/>
                <w:bCs/>
                <w:color w:val="000000"/>
                <w:sz w:val="13"/>
                <w:szCs w:val="13"/>
              </w:rPr>
              <w:t>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DCC" w14:textId="77777777" w:rsidR="006A3667" w:rsidRDefault="00045F32">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C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DCE" w14:textId="77777777" w:rsidR="006A3667" w:rsidRDefault="00045F32">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C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DD0" w14:textId="77777777" w:rsidR="006A3667" w:rsidRDefault="00045F32">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71D40DD1" w14:textId="77777777" w:rsidR="006A3667" w:rsidRDefault="006A3667">
            <w:pPr>
              <w:rPr>
                <w:rFonts w:ascii="宋体"/>
                <w:vanish/>
              </w:rPr>
            </w:pPr>
          </w:p>
        </w:tc>
        <w:tc>
          <w:tcPr>
            <w:tcW w:w="0" w:type="auto"/>
            <w:shd w:val="clear" w:color="auto" w:fill="auto"/>
            <w:vAlign w:val="bottom"/>
          </w:tcPr>
          <w:p w14:paraId="71D40DD2"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0DD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DD4" w14:textId="77777777" w:rsidR="006A3667" w:rsidRDefault="00045F32">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D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DD6" w14:textId="77777777" w:rsidR="006A3667" w:rsidRDefault="00045F32">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D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DD8" w14:textId="77777777" w:rsidR="006A3667" w:rsidRDefault="00045F32">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71D40DD9" w14:textId="77777777" w:rsidR="006A3667" w:rsidRDefault="006A3667">
            <w:pPr>
              <w:rPr>
                <w:rFonts w:ascii="宋体"/>
                <w:vanish/>
              </w:rPr>
            </w:pPr>
          </w:p>
        </w:tc>
        <w:tc>
          <w:tcPr>
            <w:tcW w:w="0" w:type="auto"/>
            <w:shd w:val="clear" w:color="auto" w:fill="auto"/>
            <w:vAlign w:val="bottom"/>
          </w:tcPr>
          <w:p w14:paraId="71D40DDA"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0DD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DDC" w14:textId="77777777" w:rsidR="006A3667" w:rsidRDefault="00045F32">
            <w:pPr>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D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DDE" w14:textId="77777777" w:rsidR="006A3667" w:rsidRDefault="00045F32">
            <w:pPr>
              <w:jc w:val="center"/>
              <w:textAlignment w:val="bottom"/>
            </w:pPr>
            <w:r>
              <w:rPr>
                <w:rFonts w:ascii="Arial" w:eastAsia="宋体" w:hAnsi="Arial" w:cs="Arial"/>
                <w:b/>
                <w:bCs/>
                <w:color w:val="000000"/>
                <w:sz w:val="13"/>
                <w:szCs w:val="13"/>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0DDF" w14:textId="77777777" w:rsidR="006A3667" w:rsidRDefault="006A3667">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1D40DE0" w14:textId="77777777" w:rsidR="006A3667" w:rsidRDefault="00045F32">
            <w:pPr>
              <w:jc w:val="center"/>
              <w:textAlignment w:val="bottom"/>
            </w:pPr>
            <w:r>
              <w:rPr>
                <w:rFonts w:ascii="Arial" w:eastAsia="宋体" w:hAnsi="Arial" w:cs="Arial"/>
                <w:b/>
                <w:bCs/>
                <w:color w:val="000000"/>
                <w:sz w:val="13"/>
                <w:szCs w:val="13"/>
              </w:rPr>
              <w:t>Volatility Risk</w:t>
            </w:r>
          </w:p>
        </w:tc>
      </w:tr>
      <w:tr w:rsidR="006A3667" w14:paraId="71D40DF8" w14:textId="77777777">
        <w:tc>
          <w:tcPr>
            <w:tcW w:w="0" w:type="auto"/>
            <w:gridSpan w:val="3"/>
            <w:shd w:val="clear" w:color="auto" w:fill="auto"/>
            <w:tcMar>
              <w:top w:w="40" w:type="dxa"/>
              <w:left w:w="20" w:type="dxa"/>
              <w:bottom w:w="40" w:type="dxa"/>
              <w:right w:w="20" w:type="dxa"/>
            </w:tcMar>
            <w:vAlign w:val="bottom"/>
          </w:tcPr>
          <w:p w14:paraId="71D40DE2" w14:textId="77777777" w:rsidR="006A3667" w:rsidRDefault="00045F32">
            <w:pP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E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E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E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E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E7" w14:textId="77777777" w:rsidR="006A3667" w:rsidRDefault="006A3667">
            <w:pPr>
              <w:rPr>
                <w:rFonts w:ascii="宋体"/>
              </w:rPr>
            </w:pPr>
          </w:p>
        </w:tc>
        <w:tc>
          <w:tcPr>
            <w:tcW w:w="0" w:type="auto"/>
            <w:shd w:val="clear" w:color="auto" w:fill="auto"/>
            <w:vAlign w:val="bottom"/>
          </w:tcPr>
          <w:p w14:paraId="71D40DE8" w14:textId="77777777" w:rsidR="006A3667" w:rsidRDefault="006A3667">
            <w:pPr>
              <w:rPr>
                <w:rFonts w:ascii="宋体"/>
                <w:vanish/>
              </w:rPr>
            </w:pPr>
          </w:p>
        </w:tc>
        <w:tc>
          <w:tcPr>
            <w:tcW w:w="0" w:type="auto"/>
            <w:shd w:val="clear" w:color="auto" w:fill="auto"/>
            <w:vAlign w:val="bottom"/>
          </w:tcPr>
          <w:p w14:paraId="71D40DE9"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0DE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E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E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E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E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EF" w14:textId="77777777" w:rsidR="006A3667" w:rsidRDefault="006A3667">
            <w:pPr>
              <w:rPr>
                <w:rFonts w:ascii="宋体"/>
              </w:rPr>
            </w:pPr>
          </w:p>
        </w:tc>
        <w:tc>
          <w:tcPr>
            <w:tcW w:w="0" w:type="auto"/>
            <w:shd w:val="clear" w:color="auto" w:fill="auto"/>
            <w:vAlign w:val="bottom"/>
          </w:tcPr>
          <w:p w14:paraId="71D40DF0" w14:textId="77777777" w:rsidR="006A3667" w:rsidRDefault="006A3667">
            <w:pPr>
              <w:rPr>
                <w:rFonts w:ascii="宋体"/>
                <w:vanish/>
              </w:rPr>
            </w:pPr>
          </w:p>
        </w:tc>
        <w:tc>
          <w:tcPr>
            <w:tcW w:w="0" w:type="auto"/>
            <w:shd w:val="clear" w:color="auto" w:fill="auto"/>
            <w:vAlign w:val="bottom"/>
          </w:tcPr>
          <w:p w14:paraId="71D40DF1"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0DF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F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DF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DF5"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0DF6" w14:textId="77777777" w:rsidR="006A3667" w:rsidRDefault="006A3667">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1D40DF7" w14:textId="77777777" w:rsidR="006A3667" w:rsidRDefault="006A3667">
            <w:pPr>
              <w:rPr>
                <w:rFonts w:ascii="宋体"/>
              </w:rPr>
            </w:pPr>
          </w:p>
        </w:tc>
      </w:tr>
      <w:tr w:rsidR="00045F32" w14:paraId="71D40E20" w14:textId="77777777">
        <w:tc>
          <w:tcPr>
            <w:tcW w:w="0" w:type="auto"/>
            <w:gridSpan w:val="3"/>
            <w:shd w:val="clear" w:color="auto" w:fill="CCEEFF"/>
            <w:tcMar>
              <w:top w:w="40" w:type="dxa"/>
              <w:left w:w="20" w:type="dxa"/>
              <w:bottom w:w="40" w:type="dxa"/>
              <w:right w:w="20" w:type="dxa"/>
            </w:tcMar>
            <w:vAlign w:val="bottom"/>
          </w:tcPr>
          <w:p w14:paraId="71D40DF9" w14:textId="77777777" w:rsidR="006A3667" w:rsidRDefault="00045F32">
            <w:pP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right w:w="0" w:type="dxa"/>
            </w:tcMar>
            <w:vAlign w:val="bottom"/>
          </w:tcPr>
          <w:p w14:paraId="71D40DFA"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DFB" w14:textId="77777777" w:rsidR="006A3667" w:rsidRDefault="00045F32">
            <w:pPr>
              <w:jc w:val="right"/>
              <w:textAlignment w:val="bottom"/>
            </w:pPr>
            <w:r>
              <w:rPr>
                <w:rFonts w:ascii="Arial" w:eastAsia="宋体" w:hAnsi="Arial" w:cs="Arial"/>
                <w:b/>
                <w:bCs/>
                <w:color w:val="000000"/>
                <w:sz w:val="13"/>
                <w:szCs w:val="13"/>
              </w:rPr>
              <w:t>4,278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D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DF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DFE"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DFF" w14:textId="77777777" w:rsidR="006A3667" w:rsidRDefault="00045F32">
            <w:pPr>
              <w:jc w:val="right"/>
              <w:textAlignment w:val="bottom"/>
            </w:pPr>
            <w:r>
              <w:rPr>
                <w:rFonts w:ascii="Arial" w:eastAsia="宋体" w:hAnsi="Arial" w:cs="Arial"/>
                <w:b/>
                <w:bCs/>
                <w:color w:val="000000"/>
                <w:sz w:val="13"/>
                <w:szCs w:val="13"/>
              </w:rPr>
              <w:t>6,669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E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0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E02"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E03" w14:textId="77777777" w:rsidR="006A3667" w:rsidRDefault="00045F32">
            <w:pPr>
              <w:jc w:val="right"/>
              <w:textAlignment w:val="bottom"/>
            </w:pPr>
            <w:r>
              <w:rPr>
                <w:rFonts w:ascii="Arial" w:eastAsia="宋体" w:hAnsi="Arial" w:cs="Arial"/>
                <w:b/>
                <w:bCs/>
                <w:color w:val="000000"/>
                <w:sz w:val="13"/>
                <w:szCs w:val="13"/>
              </w:rPr>
              <w:t>319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E04" w14:textId="77777777" w:rsidR="006A3667" w:rsidRDefault="006A3667">
            <w:pPr>
              <w:jc w:val="right"/>
              <w:rPr>
                <w:rFonts w:ascii="宋体"/>
              </w:rPr>
            </w:pPr>
          </w:p>
        </w:tc>
        <w:tc>
          <w:tcPr>
            <w:tcW w:w="0" w:type="auto"/>
            <w:shd w:val="clear" w:color="auto" w:fill="auto"/>
            <w:vAlign w:val="bottom"/>
          </w:tcPr>
          <w:p w14:paraId="71D40E05" w14:textId="77777777" w:rsidR="006A3667" w:rsidRDefault="006A3667">
            <w:pPr>
              <w:rPr>
                <w:rFonts w:ascii="宋体"/>
                <w:vanish/>
              </w:rPr>
            </w:pPr>
          </w:p>
        </w:tc>
        <w:tc>
          <w:tcPr>
            <w:tcW w:w="0" w:type="auto"/>
            <w:shd w:val="clear" w:color="auto" w:fill="auto"/>
            <w:vAlign w:val="bottom"/>
          </w:tcPr>
          <w:p w14:paraId="71D40E06"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0E0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E08"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E09" w14:textId="77777777" w:rsidR="006A3667" w:rsidRDefault="00045F32">
            <w:pPr>
              <w:jc w:val="right"/>
              <w:textAlignment w:val="bottom"/>
            </w:pPr>
            <w:r>
              <w:rPr>
                <w:rFonts w:ascii="Arial" w:eastAsia="宋体" w:hAnsi="Arial" w:cs="Arial"/>
                <w:color w:val="000000"/>
                <w:sz w:val="13"/>
                <w:szCs w:val="13"/>
              </w:rPr>
              <w:t>6,109 </w:t>
            </w:r>
          </w:p>
        </w:tc>
        <w:tc>
          <w:tcPr>
            <w:tcW w:w="0" w:type="auto"/>
            <w:shd w:val="clear" w:color="auto" w:fill="CCEEFF"/>
            <w:tcMar>
              <w:top w:w="40" w:type="dxa"/>
              <w:left w:w="0" w:type="dxa"/>
              <w:bottom w:w="40" w:type="dxa"/>
              <w:right w:w="20" w:type="dxa"/>
            </w:tcMar>
            <w:vAlign w:val="bottom"/>
          </w:tcPr>
          <w:p w14:paraId="71D40E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0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E0C"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E0D" w14:textId="77777777" w:rsidR="006A3667" w:rsidRDefault="00045F32">
            <w:pPr>
              <w:jc w:val="right"/>
              <w:textAlignment w:val="bottom"/>
            </w:pPr>
            <w:r>
              <w:rPr>
                <w:rFonts w:ascii="Arial" w:eastAsia="宋体" w:hAnsi="Arial" w:cs="Arial"/>
                <w:color w:val="000000"/>
                <w:sz w:val="13"/>
                <w:szCs w:val="13"/>
              </w:rPr>
              <w:t>6,010 </w:t>
            </w:r>
          </w:p>
        </w:tc>
        <w:tc>
          <w:tcPr>
            <w:tcW w:w="0" w:type="auto"/>
            <w:shd w:val="clear" w:color="auto" w:fill="CCEEFF"/>
            <w:tcMar>
              <w:top w:w="40" w:type="dxa"/>
              <w:left w:w="0" w:type="dxa"/>
              <w:bottom w:w="40" w:type="dxa"/>
              <w:right w:w="20" w:type="dxa"/>
            </w:tcMar>
            <w:vAlign w:val="bottom"/>
          </w:tcPr>
          <w:p w14:paraId="71D40E0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0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E10"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E11" w14:textId="77777777" w:rsidR="006A3667" w:rsidRDefault="00045F32">
            <w:pPr>
              <w:jc w:val="right"/>
              <w:textAlignment w:val="bottom"/>
            </w:pPr>
            <w:r>
              <w:rPr>
                <w:rFonts w:ascii="Arial" w:eastAsia="宋体" w:hAnsi="Arial" w:cs="Arial"/>
                <w:color w:val="000000"/>
                <w:sz w:val="13"/>
                <w:szCs w:val="13"/>
              </w:rPr>
              <w:t>127 </w:t>
            </w:r>
          </w:p>
        </w:tc>
        <w:tc>
          <w:tcPr>
            <w:tcW w:w="0" w:type="auto"/>
            <w:shd w:val="clear" w:color="auto" w:fill="CCEEFF"/>
            <w:tcMar>
              <w:top w:w="40" w:type="dxa"/>
              <w:left w:w="0" w:type="dxa"/>
              <w:bottom w:w="40" w:type="dxa"/>
              <w:right w:w="20" w:type="dxa"/>
            </w:tcMar>
            <w:vAlign w:val="bottom"/>
          </w:tcPr>
          <w:p w14:paraId="71D40E12" w14:textId="77777777" w:rsidR="006A3667" w:rsidRDefault="006A3667">
            <w:pPr>
              <w:jc w:val="right"/>
              <w:rPr>
                <w:rFonts w:ascii="宋体"/>
              </w:rPr>
            </w:pPr>
          </w:p>
        </w:tc>
        <w:tc>
          <w:tcPr>
            <w:tcW w:w="0" w:type="auto"/>
            <w:shd w:val="clear" w:color="auto" w:fill="auto"/>
            <w:vAlign w:val="bottom"/>
          </w:tcPr>
          <w:p w14:paraId="71D40E13" w14:textId="77777777" w:rsidR="006A3667" w:rsidRDefault="006A3667">
            <w:pPr>
              <w:rPr>
                <w:rFonts w:ascii="宋体"/>
                <w:vanish/>
              </w:rPr>
            </w:pPr>
          </w:p>
        </w:tc>
        <w:tc>
          <w:tcPr>
            <w:tcW w:w="0" w:type="auto"/>
            <w:shd w:val="clear" w:color="auto" w:fill="auto"/>
            <w:vAlign w:val="bottom"/>
          </w:tcPr>
          <w:p w14:paraId="71D40E14"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0E1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E16"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E17" w14:textId="77777777" w:rsidR="006A3667" w:rsidRDefault="00045F32">
            <w:pPr>
              <w:jc w:val="right"/>
              <w:textAlignment w:val="bottom"/>
            </w:pPr>
            <w:r>
              <w:rPr>
                <w:rFonts w:ascii="Arial" w:eastAsia="宋体" w:hAnsi="Arial" w:cs="Arial"/>
                <w:color w:val="000000"/>
                <w:sz w:val="13"/>
                <w:szCs w:val="13"/>
              </w:rPr>
              <w:t>7,411 </w:t>
            </w:r>
          </w:p>
        </w:tc>
        <w:tc>
          <w:tcPr>
            <w:tcW w:w="0" w:type="auto"/>
            <w:shd w:val="clear" w:color="auto" w:fill="CCEEFF"/>
            <w:tcMar>
              <w:top w:w="40" w:type="dxa"/>
              <w:left w:w="0" w:type="dxa"/>
              <w:bottom w:w="40" w:type="dxa"/>
              <w:right w:w="20" w:type="dxa"/>
            </w:tcMar>
            <w:vAlign w:val="bottom"/>
          </w:tcPr>
          <w:p w14:paraId="71D40E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1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E1A"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E1B" w14:textId="77777777" w:rsidR="006A3667" w:rsidRDefault="00045F32">
            <w:pPr>
              <w:jc w:val="right"/>
              <w:textAlignment w:val="bottom"/>
            </w:pPr>
            <w:r>
              <w:rPr>
                <w:rFonts w:ascii="Arial" w:eastAsia="宋体" w:hAnsi="Arial" w:cs="Arial"/>
                <w:color w:val="000000"/>
                <w:sz w:val="13"/>
                <w:szCs w:val="13"/>
              </w:rPr>
              <w:t>16,637 </w:t>
            </w:r>
          </w:p>
        </w:tc>
        <w:tc>
          <w:tcPr>
            <w:tcW w:w="0" w:type="auto"/>
            <w:shd w:val="clear" w:color="auto" w:fill="CCEEFF"/>
            <w:tcMar>
              <w:top w:w="40" w:type="dxa"/>
              <w:left w:w="0" w:type="dxa"/>
              <w:bottom w:w="40" w:type="dxa"/>
              <w:right w:w="20" w:type="dxa"/>
            </w:tcMar>
            <w:vAlign w:val="bottom"/>
          </w:tcPr>
          <w:p w14:paraId="71D40E1C"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0E1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E1E" w14:textId="77777777" w:rsidR="006A3667" w:rsidRDefault="00045F32">
            <w:pPr>
              <w:textAlignment w:val="bottom"/>
            </w:pPr>
            <w:r>
              <w:rPr>
                <w:rFonts w:ascii="Arial" w:eastAsia="宋体" w:hAnsi="Arial" w:cs="Arial"/>
                <w:color w:val="000000"/>
                <w:sz w:val="13"/>
                <w:szCs w:val="13"/>
              </w:rPr>
              <w:t>$</w:t>
            </w:r>
          </w:p>
          <w:p w14:paraId="71D40E1F" w14:textId="77777777" w:rsidR="006A3667" w:rsidRDefault="00045F32">
            <w:pPr>
              <w:jc w:val="right"/>
              <w:textAlignment w:val="bottom"/>
            </w:pPr>
            <w:r>
              <w:rPr>
                <w:rFonts w:ascii="Arial" w:eastAsia="宋体" w:hAnsi="Arial" w:cs="Arial"/>
                <w:color w:val="000000"/>
                <w:sz w:val="13"/>
                <w:szCs w:val="13"/>
              </w:rPr>
              <w:t>549 </w:t>
            </w:r>
          </w:p>
        </w:tc>
      </w:tr>
      <w:tr w:rsidR="006A3667" w14:paraId="71D40E3F" w14:textId="77777777">
        <w:tc>
          <w:tcPr>
            <w:tcW w:w="0" w:type="auto"/>
            <w:gridSpan w:val="3"/>
            <w:shd w:val="clear" w:color="auto" w:fill="FFFFFF"/>
            <w:tcMar>
              <w:top w:w="40" w:type="dxa"/>
              <w:left w:w="20" w:type="dxa"/>
              <w:bottom w:w="40" w:type="dxa"/>
              <w:right w:w="20" w:type="dxa"/>
            </w:tcMar>
            <w:vAlign w:val="bottom"/>
          </w:tcPr>
          <w:p w14:paraId="71D40E21" w14:textId="77777777" w:rsidR="006A3667" w:rsidRDefault="00045F32">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71D40E22" w14:textId="77777777" w:rsidR="006A3667" w:rsidRDefault="00045F32">
            <w:pPr>
              <w:jc w:val="right"/>
              <w:textAlignment w:val="bottom"/>
            </w:pPr>
            <w:r>
              <w:rPr>
                <w:rFonts w:ascii="Arial" w:eastAsia="宋体" w:hAnsi="Arial" w:cs="Arial"/>
                <w:b/>
                <w:bCs/>
                <w:color w:val="000000"/>
                <w:sz w:val="13"/>
                <w:szCs w:val="13"/>
              </w:rPr>
              <w:t>4,366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E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2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E25" w14:textId="77777777" w:rsidR="006A3667" w:rsidRDefault="00045F32">
            <w:pPr>
              <w:jc w:val="right"/>
              <w:textAlignment w:val="bottom"/>
            </w:pPr>
            <w:r>
              <w:rPr>
                <w:rFonts w:ascii="Arial" w:eastAsia="宋体" w:hAnsi="Arial" w:cs="Arial"/>
                <w:b/>
                <w:bCs/>
                <w:color w:val="000000"/>
                <w:sz w:val="13"/>
                <w:szCs w:val="13"/>
              </w:rPr>
              <w:t>1,151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E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2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E28"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E29" w14:textId="77777777" w:rsidR="006A3667" w:rsidRDefault="006A3667">
            <w:pPr>
              <w:jc w:val="right"/>
              <w:rPr>
                <w:rFonts w:ascii="宋体"/>
              </w:rPr>
            </w:pPr>
          </w:p>
        </w:tc>
        <w:tc>
          <w:tcPr>
            <w:tcW w:w="0" w:type="auto"/>
            <w:shd w:val="clear" w:color="auto" w:fill="auto"/>
            <w:vAlign w:val="bottom"/>
          </w:tcPr>
          <w:p w14:paraId="71D40E2A" w14:textId="77777777" w:rsidR="006A3667" w:rsidRDefault="006A3667">
            <w:pPr>
              <w:rPr>
                <w:rFonts w:ascii="宋体"/>
                <w:vanish/>
              </w:rPr>
            </w:pPr>
          </w:p>
        </w:tc>
        <w:tc>
          <w:tcPr>
            <w:tcW w:w="0" w:type="auto"/>
            <w:shd w:val="clear" w:color="auto" w:fill="auto"/>
            <w:vAlign w:val="bottom"/>
          </w:tcPr>
          <w:p w14:paraId="71D40E2B"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0E2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E2D" w14:textId="77777777" w:rsidR="006A3667" w:rsidRDefault="00045F32">
            <w:pPr>
              <w:jc w:val="right"/>
              <w:textAlignment w:val="bottom"/>
            </w:pPr>
            <w:r>
              <w:rPr>
                <w:rFonts w:ascii="Arial" w:eastAsia="宋体" w:hAnsi="Arial" w:cs="Arial"/>
                <w:color w:val="000000"/>
                <w:sz w:val="13"/>
                <w:szCs w:val="13"/>
              </w:rPr>
              <w:t>750 </w:t>
            </w:r>
          </w:p>
        </w:tc>
        <w:tc>
          <w:tcPr>
            <w:tcW w:w="0" w:type="auto"/>
            <w:shd w:val="clear" w:color="auto" w:fill="FFFFFF"/>
            <w:tcMar>
              <w:top w:w="40" w:type="dxa"/>
              <w:left w:w="0" w:type="dxa"/>
              <w:bottom w:w="40" w:type="dxa"/>
              <w:right w:w="20" w:type="dxa"/>
            </w:tcMar>
            <w:vAlign w:val="bottom"/>
          </w:tcPr>
          <w:p w14:paraId="71D40E2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2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E30" w14:textId="77777777" w:rsidR="006A3667" w:rsidRDefault="00045F32">
            <w:pPr>
              <w:jc w:val="right"/>
              <w:textAlignment w:val="bottom"/>
            </w:pPr>
            <w:r>
              <w:rPr>
                <w:rFonts w:ascii="Arial" w:eastAsia="宋体" w:hAnsi="Arial" w:cs="Arial"/>
                <w:color w:val="000000"/>
                <w:sz w:val="13"/>
                <w:szCs w:val="13"/>
              </w:rPr>
              <w:t>1,538 </w:t>
            </w:r>
          </w:p>
        </w:tc>
        <w:tc>
          <w:tcPr>
            <w:tcW w:w="0" w:type="auto"/>
            <w:shd w:val="clear" w:color="auto" w:fill="FFFFFF"/>
            <w:tcMar>
              <w:top w:w="40" w:type="dxa"/>
              <w:left w:w="0" w:type="dxa"/>
              <w:bottom w:w="40" w:type="dxa"/>
              <w:right w:w="20" w:type="dxa"/>
            </w:tcMar>
            <w:vAlign w:val="bottom"/>
          </w:tcPr>
          <w:p w14:paraId="71D40E3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3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E33"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E34" w14:textId="77777777" w:rsidR="006A3667" w:rsidRDefault="006A3667">
            <w:pPr>
              <w:jc w:val="right"/>
              <w:rPr>
                <w:rFonts w:ascii="宋体"/>
              </w:rPr>
            </w:pPr>
          </w:p>
        </w:tc>
        <w:tc>
          <w:tcPr>
            <w:tcW w:w="0" w:type="auto"/>
            <w:shd w:val="clear" w:color="auto" w:fill="auto"/>
            <w:vAlign w:val="bottom"/>
          </w:tcPr>
          <w:p w14:paraId="71D40E35" w14:textId="77777777" w:rsidR="006A3667" w:rsidRDefault="006A3667">
            <w:pPr>
              <w:rPr>
                <w:rFonts w:ascii="宋体"/>
                <w:vanish/>
              </w:rPr>
            </w:pPr>
          </w:p>
        </w:tc>
        <w:tc>
          <w:tcPr>
            <w:tcW w:w="0" w:type="auto"/>
            <w:shd w:val="clear" w:color="auto" w:fill="auto"/>
            <w:vAlign w:val="bottom"/>
          </w:tcPr>
          <w:p w14:paraId="71D40E36"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0E3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E38" w14:textId="77777777" w:rsidR="006A3667" w:rsidRDefault="00045F32">
            <w:pPr>
              <w:jc w:val="right"/>
              <w:textAlignment w:val="bottom"/>
            </w:pPr>
            <w:r>
              <w:rPr>
                <w:rFonts w:ascii="Arial" w:eastAsia="宋体" w:hAnsi="Arial" w:cs="Arial"/>
                <w:color w:val="000000"/>
                <w:sz w:val="13"/>
                <w:szCs w:val="13"/>
              </w:rPr>
              <w:t>246 </w:t>
            </w:r>
          </w:p>
        </w:tc>
        <w:tc>
          <w:tcPr>
            <w:tcW w:w="0" w:type="auto"/>
            <w:shd w:val="clear" w:color="auto" w:fill="FFFFFF"/>
            <w:tcMar>
              <w:top w:w="40" w:type="dxa"/>
              <w:left w:w="0" w:type="dxa"/>
              <w:bottom w:w="40" w:type="dxa"/>
              <w:right w:w="20" w:type="dxa"/>
            </w:tcMar>
            <w:vAlign w:val="bottom"/>
          </w:tcPr>
          <w:p w14:paraId="71D40E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3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E3B" w14:textId="77777777" w:rsidR="006A3667" w:rsidRDefault="00045F32">
            <w:pPr>
              <w:jc w:val="right"/>
              <w:textAlignment w:val="bottom"/>
            </w:pPr>
            <w:r>
              <w:rPr>
                <w:rFonts w:ascii="Arial" w:eastAsia="宋体" w:hAnsi="Arial" w:cs="Arial"/>
                <w:color w:val="000000"/>
                <w:sz w:val="13"/>
                <w:szCs w:val="13"/>
              </w:rPr>
              <w:t>1,304 </w:t>
            </w:r>
          </w:p>
        </w:tc>
        <w:tc>
          <w:tcPr>
            <w:tcW w:w="0" w:type="auto"/>
            <w:shd w:val="clear" w:color="auto" w:fill="FFFFFF"/>
            <w:tcMar>
              <w:top w:w="40" w:type="dxa"/>
              <w:left w:w="0" w:type="dxa"/>
              <w:bottom w:w="40" w:type="dxa"/>
              <w:right w:w="20" w:type="dxa"/>
            </w:tcMar>
            <w:vAlign w:val="bottom"/>
          </w:tcPr>
          <w:p w14:paraId="71D40E3C"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0E3D"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0E3E" w14:textId="77777777" w:rsidR="006A3667" w:rsidRDefault="00045F32">
            <w:pPr>
              <w:jc w:val="right"/>
              <w:textAlignment w:val="bottom"/>
            </w:pPr>
            <w:r>
              <w:rPr>
                <w:rFonts w:ascii="Arial" w:eastAsia="宋体" w:hAnsi="Arial" w:cs="Arial"/>
                <w:color w:val="000000"/>
                <w:sz w:val="13"/>
                <w:szCs w:val="13"/>
              </w:rPr>
              <w:t>— </w:t>
            </w:r>
          </w:p>
        </w:tc>
      </w:tr>
      <w:tr w:rsidR="006A3667" w14:paraId="71D40E5E" w14:textId="77777777">
        <w:tc>
          <w:tcPr>
            <w:tcW w:w="0" w:type="auto"/>
            <w:gridSpan w:val="3"/>
            <w:shd w:val="clear" w:color="auto" w:fill="CCEEFF"/>
            <w:tcMar>
              <w:top w:w="40" w:type="dxa"/>
              <w:left w:w="20" w:type="dxa"/>
              <w:bottom w:w="40" w:type="dxa"/>
              <w:right w:w="20" w:type="dxa"/>
            </w:tcMar>
            <w:vAlign w:val="bottom"/>
          </w:tcPr>
          <w:p w14:paraId="71D40E40" w14:textId="77777777" w:rsidR="006A3667" w:rsidRDefault="00045F32">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71D40E41" w14:textId="77777777" w:rsidR="006A3667" w:rsidRDefault="00045F32">
            <w:pPr>
              <w:jc w:val="right"/>
              <w:textAlignment w:val="bottom"/>
            </w:pPr>
            <w:r>
              <w:rPr>
                <w:rFonts w:ascii="Arial" w:eastAsia="宋体" w:hAnsi="Arial" w:cs="Arial"/>
                <w:b/>
                <w:bCs/>
                <w:color w:val="000000"/>
                <w:sz w:val="13"/>
                <w:szCs w:val="13"/>
              </w:rPr>
              <w:t>(3,836)</w:t>
            </w:r>
          </w:p>
        </w:tc>
        <w:tc>
          <w:tcPr>
            <w:tcW w:w="0" w:type="auto"/>
            <w:shd w:val="clear" w:color="auto" w:fill="CCEEFF"/>
            <w:tcMar>
              <w:top w:w="40" w:type="dxa"/>
              <w:left w:w="0" w:type="dxa"/>
              <w:bottom w:w="40" w:type="dxa"/>
              <w:right w:w="20" w:type="dxa"/>
            </w:tcMar>
            <w:vAlign w:val="bottom"/>
          </w:tcPr>
          <w:p w14:paraId="71D40E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4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E44" w14:textId="77777777" w:rsidR="006A3667" w:rsidRDefault="00045F32">
            <w:pPr>
              <w:jc w:val="right"/>
              <w:textAlignment w:val="bottom"/>
            </w:pPr>
            <w:r>
              <w:rPr>
                <w:rFonts w:ascii="Arial" w:eastAsia="宋体" w:hAnsi="Arial" w:cs="Arial"/>
                <w:b/>
                <w:bCs/>
                <w:color w:val="000000"/>
                <w:sz w:val="13"/>
                <w:szCs w:val="13"/>
              </w:rPr>
              <w:t>(1,028)</w:t>
            </w:r>
          </w:p>
        </w:tc>
        <w:tc>
          <w:tcPr>
            <w:tcW w:w="0" w:type="auto"/>
            <w:shd w:val="clear" w:color="auto" w:fill="CCEEFF"/>
            <w:tcMar>
              <w:top w:w="40" w:type="dxa"/>
              <w:left w:w="0" w:type="dxa"/>
              <w:bottom w:w="40" w:type="dxa"/>
              <w:right w:w="20" w:type="dxa"/>
            </w:tcMar>
            <w:vAlign w:val="bottom"/>
          </w:tcPr>
          <w:p w14:paraId="71D40E4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4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E4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E48" w14:textId="77777777" w:rsidR="006A3667" w:rsidRDefault="006A3667">
            <w:pPr>
              <w:jc w:val="right"/>
              <w:rPr>
                <w:rFonts w:ascii="宋体"/>
              </w:rPr>
            </w:pPr>
          </w:p>
        </w:tc>
        <w:tc>
          <w:tcPr>
            <w:tcW w:w="0" w:type="auto"/>
            <w:shd w:val="clear" w:color="auto" w:fill="auto"/>
            <w:vAlign w:val="bottom"/>
          </w:tcPr>
          <w:p w14:paraId="71D40E49" w14:textId="77777777" w:rsidR="006A3667" w:rsidRDefault="006A3667">
            <w:pPr>
              <w:rPr>
                <w:rFonts w:ascii="宋体"/>
                <w:vanish/>
              </w:rPr>
            </w:pPr>
          </w:p>
        </w:tc>
        <w:tc>
          <w:tcPr>
            <w:tcW w:w="0" w:type="auto"/>
            <w:shd w:val="clear" w:color="auto" w:fill="auto"/>
            <w:vAlign w:val="bottom"/>
          </w:tcPr>
          <w:p w14:paraId="71D40E4A"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0E4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E4C" w14:textId="77777777" w:rsidR="006A3667" w:rsidRDefault="00045F32">
            <w:pPr>
              <w:jc w:val="right"/>
              <w:textAlignment w:val="bottom"/>
            </w:pPr>
            <w:r>
              <w:rPr>
                <w:rFonts w:ascii="Arial" w:eastAsia="宋体" w:hAnsi="Arial" w:cs="Arial"/>
                <w:color w:val="000000"/>
                <w:sz w:val="13"/>
                <w:szCs w:val="13"/>
              </w:rPr>
              <w:t>(529)</w:t>
            </w:r>
          </w:p>
        </w:tc>
        <w:tc>
          <w:tcPr>
            <w:tcW w:w="0" w:type="auto"/>
            <w:shd w:val="clear" w:color="auto" w:fill="CCEEFF"/>
            <w:tcMar>
              <w:top w:w="40" w:type="dxa"/>
              <w:left w:w="0" w:type="dxa"/>
              <w:bottom w:w="40" w:type="dxa"/>
              <w:right w:w="20" w:type="dxa"/>
            </w:tcMar>
            <w:vAlign w:val="bottom"/>
          </w:tcPr>
          <w:p w14:paraId="71D40E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4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E4F" w14:textId="77777777" w:rsidR="006A3667" w:rsidRDefault="00045F32">
            <w:pPr>
              <w:jc w:val="right"/>
              <w:textAlignment w:val="bottom"/>
            </w:pPr>
            <w:r>
              <w:rPr>
                <w:rFonts w:ascii="Arial" w:eastAsia="宋体" w:hAnsi="Arial" w:cs="Arial"/>
                <w:color w:val="000000"/>
                <w:sz w:val="13"/>
                <w:szCs w:val="13"/>
              </w:rPr>
              <w:t>(2,469)</w:t>
            </w:r>
          </w:p>
        </w:tc>
        <w:tc>
          <w:tcPr>
            <w:tcW w:w="0" w:type="auto"/>
            <w:shd w:val="clear" w:color="auto" w:fill="CCEEFF"/>
            <w:tcMar>
              <w:top w:w="40" w:type="dxa"/>
              <w:left w:w="0" w:type="dxa"/>
              <w:bottom w:w="40" w:type="dxa"/>
              <w:right w:w="20" w:type="dxa"/>
            </w:tcMar>
            <w:vAlign w:val="bottom"/>
          </w:tcPr>
          <w:p w14:paraId="71D40E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5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E52"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E53" w14:textId="77777777" w:rsidR="006A3667" w:rsidRDefault="006A3667">
            <w:pPr>
              <w:jc w:val="right"/>
              <w:rPr>
                <w:rFonts w:ascii="宋体"/>
              </w:rPr>
            </w:pPr>
          </w:p>
        </w:tc>
        <w:tc>
          <w:tcPr>
            <w:tcW w:w="0" w:type="auto"/>
            <w:shd w:val="clear" w:color="auto" w:fill="auto"/>
            <w:vAlign w:val="bottom"/>
          </w:tcPr>
          <w:p w14:paraId="71D40E54" w14:textId="77777777" w:rsidR="006A3667" w:rsidRDefault="006A3667">
            <w:pPr>
              <w:rPr>
                <w:rFonts w:ascii="宋体"/>
                <w:vanish/>
              </w:rPr>
            </w:pPr>
          </w:p>
        </w:tc>
        <w:tc>
          <w:tcPr>
            <w:tcW w:w="0" w:type="auto"/>
            <w:shd w:val="clear" w:color="auto" w:fill="auto"/>
            <w:vAlign w:val="bottom"/>
          </w:tcPr>
          <w:p w14:paraId="71D40E55"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0E5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E57" w14:textId="77777777" w:rsidR="006A3667" w:rsidRDefault="00045F32">
            <w:pPr>
              <w:jc w:val="right"/>
              <w:textAlignment w:val="bottom"/>
            </w:pPr>
            <w:r>
              <w:rPr>
                <w:rFonts w:ascii="Arial" w:eastAsia="宋体" w:hAnsi="Arial" w:cs="Arial"/>
                <w:color w:val="000000"/>
                <w:sz w:val="13"/>
                <w:szCs w:val="13"/>
              </w:rPr>
              <w:t>(53)</w:t>
            </w:r>
          </w:p>
        </w:tc>
        <w:tc>
          <w:tcPr>
            <w:tcW w:w="0" w:type="auto"/>
            <w:shd w:val="clear" w:color="auto" w:fill="CCEEFF"/>
            <w:tcMar>
              <w:top w:w="40" w:type="dxa"/>
              <w:left w:w="0" w:type="dxa"/>
              <w:bottom w:w="40" w:type="dxa"/>
              <w:right w:w="20" w:type="dxa"/>
            </w:tcMar>
            <w:vAlign w:val="bottom"/>
          </w:tcPr>
          <w:p w14:paraId="71D40E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E5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E5A" w14:textId="77777777" w:rsidR="006A3667" w:rsidRDefault="00045F32">
            <w:pPr>
              <w:jc w:val="right"/>
              <w:textAlignment w:val="bottom"/>
            </w:pPr>
            <w:r>
              <w:rPr>
                <w:rFonts w:ascii="Arial" w:eastAsia="宋体" w:hAnsi="Arial" w:cs="Arial"/>
                <w:color w:val="000000"/>
                <w:sz w:val="13"/>
                <w:szCs w:val="13"/>
              </w:rPr>
              <w:t>(1,335)</w:t>
            </w:r>
          </w:p>
        </w:tc>
        <w:tc>
          <w:tcPr>
            <w:tcW w:w="0" w:type="auto"/>
            <w:shd w:val="clear" w:color="auto" w:fill="CCEEFF"/>
            <w:tcMar>
              <w:top w:w="40" w:type="dxa"/>
              <w:left w:w="0" w:type="dxa"/>
              <w:bottom w:w="40" w:type="dxa"/>
              <w:right w:w="20" w:type="dxa"/>
            </w:tcMar>
            <w:vAlign w:val="bottom"/>
          </w:tcPr>
          <w:p w14:paraId="71D40E5B"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0E5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E5D" w14:textId="77777777" w:rsidR="006A3667" w:rsidRDefault="00045F32">
            <w:pPr>
              <w:jc w:val="right"/>
              <w:textAlignment w:val="bottom"/>
            </w:pPr>
            <w:r>
              <w:rPr>
                <w:rFonts w:ascii="Arial" w:eastAsia="宋体" w:hAnsi="Arial" w:cs="Arial"/>
                <w:color w:val="000000"/>
                <w:sz w:val="13"/>
                <w:szCs w:val="13"/>
              </w:rPr>
              <w:t>— </w:t>
            </w:r>
          </w:p>
        </w:tc>
      </w:tr>
      <w:tr w:rsidR="00045F32" w14:paraId="71D40E86" w14:textId="77777777">
        <w:tc>
          <w:tcPr>
            <w:tcW w:w="0" w:type="auto"/>
            <w:gridSpan w:val="3"/>
            <w:shd w:val="clear" w:color="auto" w:fill="FFFFFF"/>
            <w:tcMar>
              <w:top w:w="40" w:type="dxa"/>
              <w:left w:w="20" w:type="dxa"/>
              <w:bottom w:w="40" w:type="dxa"/>
              <w:right w:w="20" w:type="dxa"/>
            </w:tcMar>
            <w:vAlign w:val="bottom"/>
          </w:tcPr>
          <w:p w14:paraId="71D40E5F" w14:textId="77777777" w:rsidR="006A3667" w:rsidRDefault="00045F32">
            <w:pPr>
              <w:spacing w:after="20"/>
              <w:textAlignment w:val="bottom"/>
            </w:pPr>
            <w:r>
              <w:rPr>
                <w:rFonts w:ascii="Arial" w:eastAsia="宋体" w:hAnsi="Arial" w:cs="Arial"/>
                <w:color w:val="000000"/>
                <w:sz w:val="13"/>
                <w:szCs w:val="13"/>
              </w:rPr>
              <w:t>Total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60"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E61" w14:textId="77777777" w:rsidR="006A3667" w:rsidRDefault="00045F32">
            <w:pPr>
              <w:jc w:val="right"/>
              <w:textAlignment w:val="bottom"/>
            </w:pPr>
            <w:r>
              <w:rPr>
                <w:rFonts w:ascii="Arial" w:eastAsia="宋体" w:hAnsi="Arial" w:cs="Arial"/>
                <w:b/>
                <w:bCs/>
                <w:color w:val="000000"/>
                <w:sz w:val="13"/>
                <w:szCs w:val="13"/>
              </w:rPr>
              <w:t>4,808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E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63"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64"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E65" w14:textId="77777777" w:rsidR="006A3667" w:rsidRDefault="00045F32">
            <w:pPr>
              <w:jc w:val="right"/>
              <w:textAlignment w:val="bottom"/>
            </w:pPr>
            <w:r>
              <w:rPr>
                <w:rFonts w:ascii="Arial" w:eastAsia="宋体" w:hAnsi="Arial" w:cs="Arial"/>
                <w:b/>
                <w:bCs/>
                <w:color w:val="000000"/>
                <w:sz w:val="13"/>
                <w:szCs w:val="13"/>
              </w:rPr>
              <w:t>6,792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E6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67"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68"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E69" w14:textId="77777777" w:rsidR="006A3667" w:rsidRDefault="00045F32">
            <w:pPr>
              <w:jc w:val="right"/>
              <w:textAlignment w:val="bottom"/>
            </w:pPr>
            <w:r>
              <w:rPr>
                <w:rFonts w:ascii="Arial" w:eastAsia="宋体" w:hAnsi="Arial" w:cs="Arial"/>
                <w:b/>
                <w:bCs/>
                <w:color w:val="000000"/>
                <w:sz w:val="13"/>
                <w:szCs w:val="13"/>
              </w:rPr>
              <w:t>319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E6A" w14:textId="77777777" w:rsidR="006A3667" w:rsidRDefault="006A3667">
            <w:pPr>
              <w:jc w:val="right"/>
              <w:rPr>
                <w:rFonts w:ascii="宋体"/>
              </w:rPr>
            </w:pPr>
          </w:p>
        </w:tc>
        <w:tc>
          <w:tcPr>
            <w:tcW w:w="0" w:type="auto"/>
            <w:shd w:val="clear" w:color="auto" w:fill="auto"/>
            <w:vAlign w:val="bottom"/>
          </w:tcPr>
          <w:p w14:paraId="71D40E6B" w14:textId="77777777" w:rsidR="006A3667" w:rsidRDefault="006A3667">
            <w:pPr>
              <w:rPr>
                <w:rFonts w:ascii="宋体"/>
                <w:vanish/>
              </w:rPr>
            </w:pPr>
          </w:p>
        </w:tc>
        <w:tc>
          <w:tcPr>
            <w:tcW w:w="0" w:type="auto"/>
            <w:shd w:val="clear" w:color="auto" w:fill="auto"/>
            <w:vAlign w:val="bottom"/>
          </w:tcPr>
          <w:p w14:paraId="71D40E6C"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0E6D"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6E"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E6F" w14:textId="77777777" w:rsidR="006A3667" w:rsidRDefault="00045F32">
            <w:pPr>
              <w:jc w:val="right"/>
              <w:textAlignment w:val="bottom"/>
            </w:pPr>
            <w:r>
              <w:rPr>
                <w:rFonts w:ascii="Arial" w:eastAsia="宋体" w:hAnsi="Arial" w:cs="Arial"/>
                <w:color w:val="000000"/>
                <w:sz w:val="13"/>
                <w:szCs w:val="13"/>
              </w:rPr>
              <w:t>6,330 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E7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71"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72"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E73" w14:textId="77777777" w:rsidR="006A3667" w:rsidRDefault="00045F32">
            <w:pPr>
              <w:jc w:val="right"/>
              <w:textAlignment w:val="bottom"/>
            </w:pPr>
            <w:r>
              <w:rPr>
                <w:rFonts w:ascii="Arial" w:eastAsia="宋体" w:hAnsi="Arial" w:cs="Arial"/>
                <w:color w:val="000000"/>
                <w:sz w:val="13"/>
                <w:szCs w:val="13"/>
              </w:rPr>
              <w:t>5,079 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E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75"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76"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E77" w14:textId="77777777" w:rsidR="006A3667" w:rsidRDefault="00045F32">
            <w:pPr>
              <w:jc w:val="right"/>
              <w:textAlignment w:val="bottom"/>
            </w:pPr>
            <w:r>
              <w:rPr>
                <w:rFonts w:ascii="Arial" w:eastAsia="宋体" w:hAnsi="Arial" w:cs="Arial"/>
                <w:color w:val="000000"/>
                <w:sz w:val="13"/>
                <w:szCs w:val="13"/>
              </w:rPr>
              <w:t>127 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E78" w14:textId="77777777" w:rsidR="006A3667" w:rsidRDefault="006A3667">
            <w:pPr>
              <w:jc w:val="right"/>
              <w:rPr>
                <w:rFonts w:ascii="宋体"/>
              </w:rPr>
            </w:pPr>
          </w:p>
        </w:tc>
        <w:tc>
          <w:tcPr>
            <w:tcW w:w="0" w:type="auto"/>
            <w:shd w:val="clear" w:color="auto" w:fill="auto"/>
            <w:vAlign w:val="bottom"/>
          </w:tcPr>
          <w:p w14:paraId="71D40E79" w14:textId="77777777" w:rsidR="006A3667" w:rsidRDefault="006A3667">
            <w:pPr>
              <w:rPr>
                <w:rFonts w:ascii="宋体"/>
                <w:vanish/>
              </w:rPr>
            </w:pPr>
          </w:p>
        </w:tc>
        <w:tc>
          <w:tcPr>
            <w:tcW w:w="0" w:type="auto"/>
            <w:shd w:val="clear" w:color="auto" w:fill="auto"/>
            <w:vAlign w:val="bottom"/>
          </w:tcPr>
          <w:p w14:paraId="71D40E7A"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0E7B"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7C"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E7D" w14:textId="77777777" w:rsidR="006A3667" w:rsidRDefault="00045F32">
            <w:pPr>
              <w:jc w:val="right"/>
              <w:textAlignment w:val="bottom"/>
            </w:pPr>
            <w:r>
              <w:rPr>
                <w:rFonts w:ascii="Arial" w:eastAsia="宋体" w:hAnsi="Arial" w:cs="Arial"/>
                <w:color w:val="000000"/>
                <w:sz w:val="13"/>
                <w:szCs w:val="13"/>
              </w:rPr>
              <w:t>7,604 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E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E7F"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80"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E81" w14:textId="77777777" w:rsidR="006A3667" w:rsidRDefault="00045F32">
            <w:pPr>
              <w:jc w:val="right"/>
              <w:textAlignment w:val="bottom"/>
            </w:pPr>
            <w:r>
              <w:rPr>
                <w:rFonts w:ascii="Arial" w:eastAsia="宋体" w:hAnsi="Arial" w:cs="Arial"/>
                <w:color w:val="000000"/>
                <w:sz w:val="13"/>
                <w:szCs w:val="13"/>
              </w:rPr>
              <w:t>16,606 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E82"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0E83"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E84" w14:textId="77777777" w:rsidR="006A3667" w:rsidRDefault="00045F32">
            <w:pPr>
              <w:textAlignment w:val="bottom"/>
            </w:pPr>
            <w:r>
              <w:rPr>
                <w:rFonts w:ascii="Arial" w:eastAsia="宋体" w:hAnsi="Arial" w:cs="Arial"/>
                <w:color w:val="000000"/>
                <w:sz w:val="13"/>
                <w:szCs w:val="13"/>
              </w:rPr>
              <w:t>$</w:t>
            </w:r>
          </w:p>
          <w:p w14:paraId="71D40E85" w14:textId="77777777" w:rsidR="006A3667" w:rsidRDefault="00045F32">
            <w:pPr>
              <w:jc w:val="right"/>
              <w:textAlignment w:val="bottom"/>
            </w:pPr>
            <w:r>
              <w:rPr>
                <w:rFonts w:ascii="Arial" w:eastAsia="宋体" w:hAnsi="Arial" w:cs="Arial"/>
                <w:color w:val="000000"/>
                <w:sz w:val="13"/>
                <w:szCs w:val="13"/>
              </w:rPr>
              <w:t>549 </w:t>
            </w:r>
          </w:p>
        </w:tc>
      </w:tr>
    </w:tbl>
    <w:p w14:paraId="71D40E87"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075"/>
        <w:gridCol w:w="37"/>
        <w:gridCol w:w="94"/>
        <w:gridCol w:w="573"/>
        <w:gridCol w:w="37"/>
        <w:gridCol w:w="36"/>
        <w:gridCol w:w="36"/>
        <w:gridCol w:w="36"/>
        <w:gridCol w:w="93"/>
        <w:gridCol w:w="519"/>
        <w:gridCol w:w="36"/>
        <w:gridCol w:w="36"/>
        <w:gridCol w:w="36"/>
        <w:gridCol w:w="36"/>
        <w:gridCol w:w="94"/>
        <w:gridCol w:w="521"/>
        <w:gridCol w:w="37"/>
        <w:gridCol w:w="159"/>
        <w:gridCol w:w="109"/>
        <w:gridCol w:w="36"/>
        <w:gridCol w:w="36"/>
        <w:gridCol w:w="36"/>
        <w:gridCol w:w="94"/>
        <w:gridCol w:w="573"/>
        <w:gridCol w:w="37"/>
        <w:gridCol w:w="36"/>
        <w:gridCol w:w="36"/>
        <w:gridCol w:w="36"/>
        <w:gridCol w:w="93"/>
        <w:gridCol w:w="474"/>
        <w:gridCol w:w="36"/>
        <w:gridCol w:w="36"/>
        <w:gridCol w:w="36"/>
        <w:gridCol w:w="36"/>
        <w:gridCol w:w="94"/>
        <w:gridCol w:w="521"/>
        <w:gridCol w:w="37"/>
        <w:gridCol w:w="109"/>
        <w:gridCol w:w="110"/>
        <w:gridCol w:w="36"/>
        <w:gridCol w:w="36"/>
        <w:gridCol w:w="36"/>
        <w:gridCol w:w="94"/>
        <w:gridCol w:w="573"/>
        <w:gridCol w:w="37"/>
        <w:gridCol w:w="36"/>
        <w:gridCol w:w="36"/>
        <w:gridCol w:w="36"/>
        <w:gridCol w:w="93"/>
        <w:gridCol w:w="475"/>
        <w:gridCol w:w="36"/>
        <w:gridCol w:w="36"/>
        <w:gridCol w:w="36"/>
        <w:gridCol w:w="582"/>
      </w:tblGrid>
      <w:tr w:rsidR="006A3667" w14:paraId="71D40EBF" w14:textId="77777777">
        <w:tc>
          <w:tcPr>
            <w:tcW w:w="50" w:type="pct"/>
            <w:shd w:val="clear" w:color="auto" w:fill="auto"/>
            <w:vAlign w:val="bottom"/>
          </w:tcPr>
          <w:p w14:paraId="71D40E88" w14:textId="77777777" w:rsidR="006A3667" w:rsidRDefault="006A3667">
            <w:pPr>
              <w:rPr>
                <w:rFonts w:ascii="宋体"/>
              </w:rPr>
            </w:pPr>
          </w:p>
        </w:tc>
        <w:tc>
          <w:tcPr>
            <w:tcW w:w="705" w:type="pct"/>
            <w:shd w:val="clear" w:color="auto" w:fill="auto"/>
            <w:vAlign w:val="bottom"/>
          </w:tcPr>
          <w:p w14:paraId="71D40E89" w14:textId="77777777" w:rsidR="006A3667" w:rsidRDefault="006A3667">
            <w:pPr>
              <w:rPr>
                <w:rFonts w:ascii="宋体"/>
              </w:rPr>
            </w:pPr>
          </w:p>
        </w:tc>
        <w:tc>
          <w:tcPr>
            <w:tcW w:w="5" w:type="pct"/>
            <w:shd w:val="clear" w:color="auto" w:fill="auto"/>
            <w:vAlign w:val="bottom"/>
          </w:tcPr>
          <w:p w14:paraId="71D40E8A" w14:textId="77777777" w:rsidR="006A3667" w:rsidRDefault="006A3667">
            <w:pPr>
              <w:rPr>
                <w:rFonts w:ascii="宋体"/>
              </w:rPr>
            </w:pPr>
          </w:p>
        </w:tc>
        <w:tc>
          <w:tcPr>
            <w:tcW w:w="50" w:type="pct"/>
            <w:shd w:val="clear" w:color="auto" w:fill="auto"/>
            <w:vAlign w:val="bottom"/>
          </w:tcPr>
          <w:p w14:paraId="71D40E8B" w14:textId="77777777" w:rsidR="006A3667" w:rsidRDefault="006A3667">
            <w:pPr>
              <w:rPr>
                <w:rFonts w:ascii="宋体"/>
              </w:rPr>
            </w:pPr>
          </w:p>
        </w:tc>
        <w:tc>
          <w:tcPr>
            <w:tcW w:w="383" w:type="pct"/>
            <w:shd w:val="clear" w:color="auto" w:fill="auto"/>
            <w:vAlign w:val="bottom"/>
          </w:tcPr>
          <w:p w14:paraId="71D40E8C" w14:textId="77777777" w:rsidR="006A3667" w:rsidRDefault="006A3667">
            <w:pPr>
              <w:rPr>
                <w:rFonts w:ascii="宋体"/>
              </w:rPr>
            </w:pPr>
          </w:p>
        </w:tc>
        <w:tc>
          <w:tcPr>
            <w:tcW w:w="5" w:type="pct"/>
            <w:shd w:val="clear" w:color="auto" w:fill="auto"/>
            <w:vAlign w:val="bottom"/>
          </w:tcPr>
          <w:p w14:paraId="71D40E8D" w14:textId="77777777" w:rsidR="006A3667" w:rsidRDefault="006A3667">
            <w:pPr>
              <w:rPr>
                <w:rFonts w:ascii="宋体"/>
              </w:rPr>
            </w:pPr>
          </w:p>
        </w:tc>
        <w:tc>
          <w:tcPr>
            <w:tcW w:w="5" w:type="pct"/>
            <w:shd w:val="clear" w:color="auto" w:fill="auto"/>
            <w:vAlign w:val="bottom"/>
          </w:tcPr>
          <w:p w14:paraId="71D40E8E" w14:textId="77777777" w:rsidR="006A3667" w:rsidRDefault="006A3667">
            <w:pPr>
              <w:rPr>
                <w:rFonts w:ascii="宋体"/>
              </w:rPr>
            </w:pPr>
          </w:p>
        </w:tc>
        <w:tc>
          <w:tcPr>
            <w:tcW w:w="26" w:type="pct"/>
            <w:shd w:val="clear" w:color="auto" w:fill="auto"/>
            <w:vAlign w:val="bottom"/>
          </w:tcPr>
          <w:p w14:paraId="71D40E8F" w14:textId="77777777" w:rsidR="006A3667" w:rsidRDefault="006A3667">
            <w:pPr>
              <w:rPr>
                <w:rFonts w:ascii="宋体"/>
              </w:rPr>
            </w:pPr>
          </w:p>
        </w:tc>
        <w:tc>
          <w:tcPr>
            <w:tcW w:w="5" w:type="pct"/>
            <w:shd w:val="clear" w:color="auto" w:fill="auto"/>
            <w:vAlign w:val="bottom"/>
          </w:tcPr>
          <w:p w14:paraId="71D40E90" w14:textId="77777777" w:rsidR="006A3667" w:rsidRDefault="006A3667">
            <w:pPr>
              <w:rPr>
                <w:rFonts w:ascii="宋体"/>
              </w:rPr>
            </w:pPr>
          </w:p>
        </w:tc>
        <w:tc>
          <w:tcPr>
            <w:tcW w:w="50" w:type="pct"/>
            <w:shd w:val="clear" w:color="auto" w:fill="auto"/>
            <w:vAlign w:val="bottom"/>
          </w:tcPr>
          <w:p w14:paraId="71D40E91" w14:textId="77777777" w:rsidR="006A3667" w:rsidRDefault="006A3667">
            <w:pPr>
              <w:rPr>
                <w:rFonts w:ascii="宋体"/>
              </w:rPr>
            </w:pPr>
          </w:p>
        </w:tc>
        <w:tc>
          <w:tcPr>
            <w:tcW w:w="383" w:type="pct"/>
            <w:shd w:val="clear" w:color="auto" w:fill="auto"/>
            <w:vAlign w:val="bottom"/>
          </w:tcPr>
          <w:p w14:paraId="71D40E92" w14:textId="77777777" w:rsidR="006A3667" w:rsidRDefault="006A3667">
            <w:pPr>
              <w:rPr>
                <w:rFonts w:ascii="宋体"/>
              </w:rPr>
            </w:pPr>
          </w:p>
        </w:tc>
        <w:tc>
          <w:tcPr>
            <w:tcW w:w="5" w:type="pct"/>
            <w:shd w:val="clear" w:color="auto" w:fill="auto"/>
            <w:vAlign w:val="bottom"/>
          </w:tcPr>
          <w:p w14:paraId="71D40E93" w14:textId="77777777" w:rsidR="006A3667" w:rsidRDefault="006A3667">
            <w:pPr>
              <w:rPr>
                <w:rFonts w:ascii="宋体"/>
              </w:rPr>
            </w:pPr>
          </w:p>
        </w:tc>
        <w:tc>
          <w:tcPr>
            <w:tcW w:w="5" w:type="pct"/>
            <w:shd w:val="clear" w:color="auto" w:fill="auto"/>
            <w:vAlign w:val="bottom"/>
          </w:tcPr>
          <w:p w14:paraId="71D40E94" w14:textId="77777777" w:rsidR="006A3667" w:rsidRDefault="006A3667">
            <w:pPr>
              <w:rPr>
                <w:rFonts w:ascii="宋体"/>
              </w:rPr>
            </w:pPr>
          </w:p>
        </w:tc>
        <w:tc>
          <w:tcPr>
            <w:tcW w:w="26" w:type="pct"/>
            <w:shd w:val="clear" w:color="auto" w:fill="auto"/>
            <w:vAlign w:val="bottom"/>
          </w:tcPr>
          <w:p w14:paraId="71D40E95" w14:textId="77777777" w:rsidR="006A3667" w:rsidRDefault="006A3667">
            <w:pPr>
              <w:rPr>
                <w:rFonts w:ascii="宋体"/>
              </w:rPr>
            </w:pPr>
          </w:p>
        </w:tc>
        <w:tc>
          <w:tcPr>
            <w:tcW w:w="5" w:type="pct"/>
            <w:shd w:val="clear" w:color="auto" w:fill="auto"/>
            <w:vAlign w:val="bottom"/>
          </w:tcPr>
          <w:p w14:paraId="71D40E96" w14:textId="77777777" w:rsidR="006A3667" w:rsidRDefault="006A3667">
            <w:pPr>
              <w:rPr>
                <w:rFonts w:ascii="宋体"/>
              </w:rPr>
            </w:pPr>
          </w:p>
        </w:tc>
        <w:tc>
          <w:tcPr>
            <w:tcW w:w="50" w:type="pct"/>
            <w:shd w:val="clear" w:color="auto" w:fill="auto"/>
            <w:vAlign w:val="bottom"/>
          </w:tcPr>
          <w:p w14:paraId="71D40E97" w14:textId="77777777" w:rsidR="006A3667" w:rsidRDefault="006A3667">
            <w:pPr>
              <w:rPr>
                <w:rFonts w:ascii="宋体"/>
              </w:rPr>
            </w:pPr>
          </w:p>
        </w:tc>
        <w:tc>
          <w:tcPr>
            <w:tcW w:w="383" w:type="pct"/>
            <w:shd w:val="clear" w:color="auto" w:fill="auto"/>
            <w:vAlign w:val="bottom"/>
          </w:tcPr>
          <w:p w14:paraId="71D40E98" w14:textId="77777777" w:rsidR="006A3667" w:rsidRDefault="006A3667">
            <w:pPr>
              <w:rPr>
                <w:rFonts w:ascii="宋体"/>
              </w:rPr>
            </w:pPr>
          </w:p>
        </w:tc>
        <w:tc>
          <w:tcPr>
            <w:tcW w:w="5" w:type="pct"/>
            <w:shd w:val="clear" w:color="auto" w:fill="auto"/>
            <w:vAlign w:val="bottom"/>
          </w:tcPr>
          <w:p w14:paraId="71D40E99" w14:textId="77777777" w:rsidR="006A3667" w:rsidRDefault="006A3667">
            <w:pPr>
              <w:rPr>
                <w:rFonts w:ascii="宋体"/>
              </w:rPr>
            </w:pPr>
          </w:p>
        </w:tc>
        <w:tc>
          <w:tcPr>
            <w:tcW w:w="0" w:type="auto"/>
            <w:shd w:val="clear" w:color="auto" w:fill="auto"/>
            <w:vAlign w:val="bottom"/>
          </w:tcPr>
          <w:p w14:paraId="71D40E9A" w14:textId="77777777" w:rsidR="006A3667" w:rsidRDefault="006A3667">
            <w:pPr>
              <w:rPr>
                <w:rFonts w:ascii="宋体"/>
                <w:vanish/>
              </w:rPr>
            </w:pPr>
          </w:p>
        </w:tc>
        <w:tc>
          <w:tcPr>
            <w:tcW w:w="0" w:type="auto"/>
            <w:shd w:val="clear" w:color="auto" w:fill="auto"/>
            <w:vAlign w:val="bottom"/>
          </w:tcPr>
          <w:p w14:paraId="71D40E9B" w14:textId="77777777" w:rsidR="006A3667" w:rsidRDefault="006A3667">
            <w:pPr>
              <w:rPr>
                <w:rFonts w:ascii="宋体"/>
                <w:vanish/>
              </w:rPr>
            </w:pPr>
          </w:p>
        </w:tc>
        <w:tc>
          <w:tcPr>
            <w:tcW w:w="5" w:type="pct"/>
            <w:shd w:val="clear" w:color="auto" w:fill="auto"/>
            <w:vAlign w:val="bottom"/>
          </w:tcPr>
          <w:p w14:paraId="71D40E9C" w14:textId="77777777" w:rsidR="006A3667" w:rsidRDefault="006A3667">
            <w:pPr>
              <w:rPr>
                <w:rFonts w:ascii="宋体"/>
              </w:rPr>
            </w:pPr>
          </w:p>
        </w:tc>
        <w:tc>
          <w:tcPr>
            <w:tcW w:w="26" w:type="pct"/>
            <w:shd w:val="clear" w:color="auto" w:fill="auto"/>
            <w:vAlign w:val="bottom"/>
          </w:tcPr>
          <w:p w14:paraId="71D40E9D" w14:textId="77777777" w:rsidR="006A3667" w:rsidRDefault="006A3667">
            <w:pPr>
              <w:rPr>
                <w:rFonts w:ascii="宋体"/>
              </w:rPr>
            </w:pPr>
          </w:p>
        </w:tc>
        <w:tc>
          <w:tcPr>
            <w:tcW w:w="5" w:type="pct"/>
            <w:shd w:val="clear" w:color="auto" w:fill="auto"/>
            <w:vAlign w:val="bottom"/>
          </w:tcPr>
          <w:p w14:paraId="71D40E9E" w14:textId="77777777" w:rsidR="006A3667" w:rsidRDefault="006A3667">
            <w:pPr>
              <w:rPr>
                <w:rFonts w:ascii="宋体"/>
              </w:rPr>
            </w:pPr>
          </w:p>
        </w:tc>
        <w:tc>
          <w:tcPr>
            <w:tcW w:w="50" w:type="pct"/>
            <w:shd w:val="clear" w:color="auto" w:fill="auto"/>
            <w:vAlign w:val="bottom"/>
          </w:tcPr>
          <w:p w14:paraId="71D40E9F" w14:textId="77777777" w:rsidR="006A3667" w:rsidRDefault="006A3667">
            <w:pPr>
              <w:rPr>
                <w:rFonts w:ascii="宋体"/>
              </w:rPr>
            </w:pPr>
          </w:p>
        </w:tc>
        <w:tc>
          <w:tcPr>
            <w:tcW w:w="383" w:type="pct"/>
            <w:shd w:val="clear" w:color="auto" w:fill="auto"/>
            <w:vAlign w:val="bottom"/>
          </w:tcPr>
          <w:p w14:paraId="71D40EA0" w14:textId="77777777" w:rsidR="006A3667" w:rsidRDefault="006A3667">
            <w:pPr>
              <w:rPr>
                <w:rFonts w:ascii="宋体"/>
              </w:rPr>
            </w:pPr>
          </w:p>
        </w:tc>
        <w:tc>
          <w:tcPr>
            <w:tcW w:w="5" w:type="pct"/>
            <w:shd w:val="clear" w:color="auto" w:fill="auto"/>
            <w:vAlign w:val="bottom"/>
          </w:tcPr>
          <w:p w14:paraId="71D40EA1" w14:textId="77777777" w:rsidR="006A3667" w:rsidRDefault="006A3667">
            <w:pPr>
              <w:rPr>
                <w:rFonts w:ascii="宋体"/>
              </w:rPr>
            </w:pPr>
          </w:p>
        </w:tc>
        <w:tc>
          <w:tcPr>
            <w:tcW w:w="5" w:type="pct"/>
            <w:shd w:val="clear" w:color="auto" w:fill="auto"/>
            <w:vAlign w:val="bottom"/>
          </w:tcPr>
          <w:p w14:paraId="71D40EA2" w14:textId="77777777" w:rsidR="006A3667" w:rsidRDefault="006A3667">
            <w:pPr>
              <w:rPr>
                <w:rFonts w:ascii="宋体"/>
              </w:rPr>
            </w:pPr>
          </w:p>
        </w:tc>
        <w:tc>
          <w:tcPr>
            <w:tcW w:w="26" w:type="pct"/>
            <w:shd w:val="clear" w:color="auto" w:fill="auto"/>
            <w:vAlign w:val="bottom"/>
          </w:tcPr>
          <w:p w14:paraId="71D40EA3" w14:textId="77777777" w:rsidR="006A3667" w:rsidRDefault="006A3667">
            <w:pPr>
              <w:rPr>
                <w:rFonts w:ascii="宋体"/>
              </w:rPr>
            </w:pPr>
          </w:p>
        </w:tc>
        <w:tc>
          <w:tcPr>
            <w:tcW w:w="5" w:type="pct"/>
            <w:shd w:val="clear" w:color="auto" w:fill="auto"/>
            <w:vAlign w:val="bottom"/>
          </w:tcPr>
          <w:p w14:paraId="71D40EA4" w14:textId="77777777" w:rsidR="006A3667" w:rsidRDefault="006A3667">
            <w:pPr>
              <w:rPr>
                <w:rFonts w:ascii="宋体"/>
              </w:rPr>
            </w:pPr>
          </w:p>
        </w:tc>
        <w:tc>
          <w:tcPr>
            <w:tcW w:w="50" w:type="pct"/>
            <w:shd w:val="clear" w:color="auto" w:fill="auto"/>
            <w:vAlign w:val="bottom"/>
          </w:tcPr>
          <w:p w14:paraId="71D40EA5" w14:textId="77777777" w:rsidR="006A3667" w:rsidRDefault="006A3667">
            <w:pPr>
              <w:rPr>
                <w:rFonts w:ascii="宋体"/>
              </w:rPr>
            </w:pPr>
          </w:p>
        </w:tc>
        <w:tc>
          <w:tcPr>
            <w:tcW w:w="383" w:type="pct"/>
            <w:shd w:val="clear" w:color="auto" w:fill="auto"/>
            <w:vAlign w:val="bottom"/>
          </w:tcPr>
          <w:p w14:paraId="71D40EA6" w14:textId="77777777" w:rsidR="006A3667" w:rsidRDefault="006A3667">
            <w:pPr>
              <w:rPr>
                <w:rFonts w:ascii="宋体"/>
              </w:rPr>
            </w:pPr>
          </w:p>
        </w:tc>
        <w:tc>
          <w:tcPr>
            <w:tcW w:w="5" w:type="pct"/>
            <w:shd w:val="clear" w:color="auto" w:fill="auto"/>
            <w:vAlign w:val="bottom"/>
          </w:tcPr>
          <w:p w14:paraId="71D40EA7" w14:textId="77777777" w:rsidR="006A3667" w:rsidRDefault="006A3667">
            <w:pPr>
              <w:rPr>
                <w:rFonts w:ascii="宋体"/>
              </w:rPr>
            </w:pPr>
          </w:p>
        </w:tc>
        <w:tc>
          <w:tcPr>
            <w:tcW w:w="5" w:type="pct"/>
            <w:shd w:val="clear" w:color="auto" w:fill="auto"/>
            <w:vAlign w:val="bottom"/>
          </w:tcPr>
          <w:p w14:paraId="71D40EA8" w14:textId="77777777" w:rsidR="006A3667" w:rsidRDefault="006A3667">
            <w:pPr>
              <w:rPr>
                <w:rFonts w:ascii="宋体"/>
              </w:rPr>
            </w:pPr>
          </w:p>
        </w:tc>
        <w:tc>
          <w:tcPr>
            <w:tcW w:w="26" w:type="pct"/>
            <w:shd w:val="clear" w:color="auto" w:fill="auto"/>
            <w:vAlign w:val="bottom"/>
          </w:tcPr>
          <w:p w14:paraId="71D40EA9" w14:textId="77777777" w:rsidR="006A3667" w:rsidRDefault="006A3667">
            <w:pPr>
              <w:rPr>
                <w:rFonts w:ascii="宋体"/>
              </w:rPr>
            </w:pPr>
          </w:p>
        </w:tc>
        <w:tc>
          <w:tcPr>
            <w:tcW w:w="5" w:type="pct"/>
            <w:shd w:val="clear" w:color="auto" w:fill="auto"/>
            <w:vAlign w:val="bottom"/>
          </w:tcPr>
          <w:p w14:paraId="71D40EAA" w14:textId="77777777" w:rsidR="006A3667" w:rsidRDefault="006A3667">
            <w:pPr>
              <w:rPr>
                <w:rFonts w:ascii="宋体"/>
              </w:rPr>
            </w:pPr>
          </w:p>
        </w:tc>
        <w:tc>
          <w:tcPr>
            <w:tcW w:w="50" w:type="pct"/>
            <w:shd w:val="clear" w:color="auto" w:fill="auto"/>
            <w:vAlign w:val="bottom"/>
          </w:tcPr>
          <w:p w14:paraId="71D40EAB" w14:textId="77777777" w:rsidR="006A3667" w:rsidRDefault="006A3667">
            <w:pPr>
              <w:rPr>
                <w:rFonts w:ascii="宋体"/>
              </w:rPr>
            </w:pPr>
          </w:p>
        </w:tc>
        <w:tc>
          <w:tcPr>
            <w:tcW w:w="383" w:type="pct"/>
            <w:shd w:val="clear" w:color="auto" w:fill="auto"/>
            <w:vAlign w:val="bottom"/>
          </w:tcPr>
          <w:p w14:paraId="71D40EAC" w14:textId="77777777" w:rsidR="006A3667" w:rsidRDefault="006A3667">
            <w:pPr>
              <w:rPr>
                <w:rFonts w:ascii="宋体"/>
              </w:rPr>
            </w:pPr>
          </w:p>
        </w:tc>
        <w:tc>
          <w:tcPr>
            <w:tcW w:w="5" w:type="pct"/>
            <w:shd w:val="clear" w:color="auto" w:fill="auto"/>
            <w:vAlign w:val="bottom"/>
          </w:tcPr>
          <w:p w14:paraId="71D40EAD" w14:textId="77777777" w:rsidR="006A3667" w:rsidRDefault="006A3667">
            <w:pPr>
              <w:rPr>
                <w:rFonts w:ascii="宋体"/>
              </w:rPr>
            </w:pPr>
          </w:p>
        </w:tc>
        <w:tc>
          <w:tcPr>
            <w:tcW w:w="0" w:type="auto"/>
            <w:shd w:val="clear" w:color="auto" w:fill="auto"/>
            <w:vAlign w:val="bottom"/>
          </w:tcPr>
          <w:p w14:paraId="71D40EAE" w14:textId="77777777" w:rsidR="006A3667" w:rsidRDefault="006A3667">
            <w:pPr>
              <w:rPr>
                <w:rFonts w:ascii="宋体"/>
                <w:vanish/>
              </w:rPr>
            </w:pPr>
          </w:p>
        </w:tc>
        <w:tc>
          <w:tcPr>
            <w:tcW w:w="0" w:type="auto"/>
            <w:shd w:val="clear" w:color="auto" w:fill="auto"/>
            <w:vAlign w:val="bottom"/>
          </w:tcPr>
          <w:p w14:paraId="71D40EAF" w14:textId="77777777" w:rsidR="006A3667" w:rsidRDefault="006A3667">
            <w:pPr>
              <w:rPr>
                <w:rFonts w:ascii="宋体"/>
                <w:vanish/>
              </w:rPr>
            </w:pPr>
          </w:p>
        </w:tc>
        <w:tc>
          <w:tcPr>
            <w:tcW w:w="5" w:type="pct"/>
            <w:shd w:val="clear" w:color="auto" w:fill="auto"/>
            <w:vAlign w:val="bottom"/>
          </w:tcPr>
          <w:p w14:paraId="71D40EB0" w14:textId="77777777" w:rsidR="006A3667" w:rsidRDefault="006A3667">
            <w:pPr>
              <w:rPr>
                <w:rFonts w:ascii="宋体"/>
              </w:rPr>
            </w:pPr>
          </w:p>
        </w:tc>
        <w:tc>
          <w:tcPr>
            <w:tcW w:w="26" w:type="pct"/>
            <w:shd w:val="clear" w:color="auto" w:fill="auto"/>
            <w:vAlign w:val="bottom"/>
          </w:tcPr>
          <w:p w14:paraId="71D40EB1" w14:textId="77777777" w:rsidR="006A3667" w:rsidRDefault="006A3667">
            <w:pPr>
              <w:rPr>
                <w:rFonts w:ascii="宋体"/>
              </w:rPr>
            </w:pPr>
          </w:p>
        </w:tc>
        <w:tc>
          <w:tcPr>
            <w:tcW w:w="5" w:type="pct"/>
            <w:shd w:val="clear" w:color="auto" w:fill="auto"/>
            <w:vAlign w:val="bottom"/>
          </w:tcPr>
          <w:p w14:paraId="71D40EB2" w14:textId="77777777" w:rsidR="006A3667" w:rsidRDefault="006A3667">
            <w:pPr>
              <w:rPr>
                <w:rFonts w:ascii="宋体"/>
              </w:rPr>
            </w:pPr>
          </w:p>
        </w:tc>
        <w:tc>
          <w:tcPr>
            <w:tcW w:w="50" w:type="pct"/>
            <w:shd w:val="clear" w:color="auto" w:fill="auto"/>
            <w:vAlign w:val="bottom"/>
          </w:tcPr>
          <w:p w14:paraId="71D40EB3" w14:textId="77777777" w:rsidR="006A3667" w:rsidRDefault="006A3667">
            <w:pPr>
              <w:rPr>
                <w:rFonts w:ascii="宋体"/>
              </w:rPr>
            </w:pPr>
          </w:p>
        </w:tc>
        <w:tc>
          <w:tcPr>
            <w:tcW w:w="383" w:type="pct"/>
            <w:shd w:val="clear" w:color="auto" w:fill="auto"/>
            <w:vAlign w:val="bottom"/>
          </w:tcPr>
          <w:p w14:paraId="71D40EB4" w14:textId="77777777" w:rsidR="006A3667" w:rsidRDefault="006A3667">
            <w:pPr>
              <w:rPr>
                <w:rFonts w:ascii="宋体"/>
              </w:rPr>
            </w:pPr>
          </w:p>
        </w:tc>
        <w:tc>
          <w:tcPr>
            <w:tcW w:w="5" w:type="pct"/>
            <w:shd w:val="clear" w:color="auto" w:fill="auto"/>
            <w:vAlign w:val="bottom"/>
          </w:tcPr>
          <w:p w14:paraId="71D40EB5" w14:textId="77777777" w:rsidR="006A3667" w:rsidRDefault="006A3667">
            <w:pPr>
              <w:rPr>
                <w:rFonts w:ascii="宋体"/>
              </w:rPr>
            </w:pPr>
          </w:p>
        </w:tc>
        <w:tc>
          <w:tcPr>
            <w:tcW w:w="5" w:type="pct"/>
            <w:shd w:val="clear" w:color="auto" w:fill="auto"/>
            <w:vAlign w:val="bottom"/>
          </w:tcPr>
          <w:p w14:paraId="71D40EB6" w14:textId="77777777" w:rsidR="006A3667" w:rsidRDefault="006A3667">
            <w:pPr>
              <w:rPr>
                <w:rFonts w:ascii="宋体"/>
              </w:rPr>
            </w:pPr>
          </w:p>
        </w:tc>
        <w:tc>
          <w:tcPr>
            <w:tcW w:w="26" w:type="pct"/>
            <w:shd w:val="clear" w:color="auto" w:fill="auto"/>
            <w:vAlign w:val="bottom"/>
          </w:tcPr>
          <w:p w14:paraId="71D40EB7" w14:textId="77777777" w:rsidR="006A3667" w:rsidRDefault="006A3667">
            <w:pPr>
              <w:rPr>
                <w:rFonts w:ascii="宋体"/>
              </w:rPr>
            </w:pPr>
          </w:p>
        </w:tc>
        <w:tc>
          <w:tcPr>
            <w:tcW w:w="5" w:type="pct"/>
            <w:shd w:val="clear" w:color="auto" w:fill="auto"/>
            <w:vAlign w:val="bottom"/>
          </w:tcPr>
          <w:p w14:paraId="71D40EB8" w14:textId="77777777" w:rsidR="006A3667" w:rsidRDefault="006A3667">
            <w:pPr>
              <w:rPr>
                <w:rFonts w:ascii="宋体"/>
              </w:rPr>
            </w:pPr>
          </w:p>
        </w:tc>
        <w:tc>
          <w:tcPr>
            <w:tcW w:w="50" w:type="pct"/>
            <w:shd w:val="clear" w:color="auto" w:fill="auto"/>
            <w:vAlign w:val="bottom"/>
          </w:tcPr>
          <w:p w14:paraId="71D40EB9" w14:textId="77777777" w:rsidR="006A3667" w:rsidRDefault="006A3667">
            <w:pPr>
              <w:rPr>
                <w:rFonts w:ascii="宋体"/>
              </w:rPr>
            </w:pPr>
          </w:p>
        </w:tc>
        <w:tc>
          <w:tcPr>
            <w:tcW w:w="383" w:type="pct"/>
            <w:shd w:val="clear" w:color="auto" w:fill="auto"/>
            <w:vAlign w:val="bottom"/>
          </w:tcPr>
          <w:p w14:paraId="71D40EBA" w14:textId="77777777" w:rsidR="006A3667" w:rsidRDefault="006A3667">
            <w:pPr>
              <w:rPr>
                <w:rFonts w:ascii="宋体"/>
              </w:rPr>
            </w:pPr>
          </w:p>
        </w:tc>
        <w:tc>
          <w:tcPr>
            <w:tcW w:w="5" w:type="pct"/>
            <w:shd w:val="clear" w:color="auto" w:fill="auto"/>
            <w:vAlign w:val="bottom"/>
          </w:tcPr>
          <w:p w14:paraId="71D40EBB" w14:textId="77777777" w:rsidR="006A3667" w:rsidRDefault="006A3667">
            <w:pPr>
              <w:rPr>
                <w:rFonts w:ascii="宋体"/>
              </w:rPr>
            </w:pPr>
          </w:p>
        </w:tc>
        <w:tc>
          <w:tcPr>
            <w:tcW w:w="5" w:type="pct"/>
            <w:shd w:val="clear" w:color="auto" w:fill="auto"/>
            <w:vAlign w:val="bottom"/>
          </w:tcPr>
          <w:p w14:paraId="71D40EBC" w14:textId="77777777" w:rsidR="006A3667" w:rsidRDefault="006A3667">
            <w:pPr>
              <w:rPr>
                <w:rFonts w:ascii="宋体"/>
              </w:rPr>
            </w:pPr>
          </w:p>
        </w:tc>
        <w:tc>
          <w:tcPr>
            <w:tcW w:w="26" w:type="pct"/>
            <w:shd w:val="clear" w:color="auto" w:fill="auto"/>
            <w:vAlign w:val="bottom"/>
          </w:tcPr>
          <w:p w14:paraId="71D40EBD" w14:textId="77777777" w:rsidR="006A3667" w:rsidRDefault="006A3667">
            <w:pPr>
              <w:rPr>
                <w:rFonts w:ascii="宋体"/>
              </w:rPr>
            </w:pPr>
          </w:p>
        </w:tc>
        <w:tc>
          <w:tcPr>
            <w:tcW w:w="5" w:type="pct"/>
            <w:shd w:val="clear" w:color="auto" w:fill="auto"/>
            <w:vAlign w:val="bottom"/>
          </w:tcPr>
          <w:p w14:paraId="71D40EBE" w14:textId="77777777" w:rsidR="006A3667" w:rsidRDefault="006A3667">
            <w:pPr>
              <w:rPr>
                <w:rFonts w:ascii="宋体"/>
              </w:rPr>
            </w:pPr>
          </w:p>
        </w:tc>
      </w:tr>
      <w:tr w:rsidR="006A3667" w14:paraId="71D40EC5" w14:textId="77777777">
        <w:tc>
          <w:tcPr>
            <w:tcW w:w="0" w:type="auto"/>
            <w:gridSpan w:val="46"/>
            <w:shd w:val="clear" w:color="auto" w:fill="auto"/>
            <w:tcMar>
              <w:top w:w="40" w:type="dxa"/>
              <w:left w:w="20" w:type="dxa"/>
              <w:bottom w:w="40" w:type="dxa"/>
              <w:right w:w="20" w:type="dxa"/>
            </w:tcMar>
            <w:vAlign w:val="bottom"/>
          </w:tcPr>
          <w:p w14:paraId="71D40EC0" w14:textId="77777777" w:rsidR="006A3667" w:rsidRDefault="00045F32">
            <w:pPr>
              <w:textAlignment w:val="bottom"/>
            </w:pPr>
            <w:r>
              <w:rPr>
                <w:rFonts w:ascii="Arial" w:eastAsia="宋体" w:hAnsi="Arial" w:cs="Arial"/>
                <w:b/>
                <w:bCs/>
                <w:color w:val="000000"/>
                <w:sz w:val="16"/>
                <w:szCs w:val="16"/>
              </w:rPr>
              <w:t>TABLE 31: TEN-DAY STRESSED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71D40EC1" w14:textId="77777777" w:rsidR="006A3667" w:rsidRDefault="006A3667">
            <w:pPr>
              <w:rPr>
                <w:rFonts w:ascii="宋体"/>
                <w:vanish/>
              </w:rPr>
            </w:pPr>
          </w:p>
        </w:tc>
        <w:tc>
          <w:tcPr>
            <w:tcW w:w="0" w:type="auto"/>
            <w:gridSpan w:val="3"/>
            <w:shd w:val="clear" w:color="auto" w:fill="auto"/>
            <w:vAlign w:val="bottom"/>
          </w:tcPr>
          <w:p w14:paraId="71D40EC2" w14:textId="77777777" w:rsidR="006A3667" w:rsidRDefault="006A3667">
            <w:pPr>
              <w:rPr>
                <w:rFonts w:ascii="宋体"/>
                <w:vanish/>
              </w:rPr>
            </w:pPr>
          </w:p>
        </w:tc>
        <w:tc>
          <w:tcPr>
            <w:tcW w:w="0" w:type="auto"/>
            <w:gridSpan w:val="2"/>
            <w:shd w:val="clear" w:color="auto" w:fill="auto"/>
            <w:vAlign w:val="bottom"/>
          </w:tcPr>
          <w:p w14:paraId="71D40EC3" w14:textId="77777777" w:rsidR="006A3667" w:rsidRDefault="006A3667">
            <w:pPr>
              <w:rPr>
                <w:rFonts w:ascii="宋体"/>
                <w:vanish/>
              </w:rPr>
            </w:pPr>
          </w:p>
        </w:tc>
        <w:tc>
          <w:tcPr>
            <w:tcW w:w="0" w:type="auto"/>
            <w:shd w:val="clear" w:color="auto" w:fill="auto"/>
            <w:vAlign w:val="bottom"/>
          </w:tcPr>
          <w:p w14:paraId="71D40EC4" w14:textId="77777777" w:rsidR="006A3667" w:rsidRDefault="006A3667">
            <w:pPr>
              <w:rPr>
                <w:rFonts w:ascii="宋体"/>
                <w:vanish/>
              </w:rPr>
            </w:pPr>
          </w:p>
        </w:tc>
      </w:tr>
      <w:tr w:rsidR="006A3667" w14:paraId="71D40ED3" w14:textId="77777777">
        <w:tc>
          <w:tcPr>
            <w:tcW w:w="0" w:type="auto"/>
            <w:gridSpan w:val="3"/>
            <w:shd w:val="clear" w:color="auto" w:fill="auto"/>
            <w:tcMar>
              <w:top w:w="0" w:type="dxa"/>
              <w:left w:w="20" w:type="dxa"/>
              <w:bottom w:w="0" w:type="dxa"/>
              <w:right w:w="20" w:type="dxa"/>
            </w:tcMar>
            <w:vAlign w:val="bottom"/>
          </w:tcPr>
          <w:p w14:paraId="71D40EC6"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0EC7" w14:textId="77777777" w:rsidR="006A3667" w:rsidRDefault="00045F32">
            <w:pPr>
              <w:jc w:val="center"/>
              <w:textAlignment w:val="bottom"/>
            </w:pPr>
            <w:r>
              <w:rPr>
                <w:rFonts w:ascii="Arial" w:eastAsia="宋体" w:hAnsi="Arial" w:cs="Arial"/>
                <w:b/>
                <w:bCs/>
                <w:color w:val="000000"/>
                <w:sz w:val="13"/>
                <w:szCs w:val="13"/>
              </w:rPr>
              <w:t>As of September 30, 2022</w:t>
            </w:r>
          </w:p>
        </w:tc>
        <w:tc>
          <w:tcPr>
            <w:tcW w:w="0" w:type="auto"/>
            <w:shd w:val="clear" w:color="auto" w:fill="auto"/>
            <w:tcMar>
              <w:top w:w="0" w:type="dxa"/>
              <w:left w:w="20" w:type="dxa"/>
              <w:bottom w:w="0" w:type="dxa"/>
              <w:right w:w="20" w:type="dxa"/>
            </w:tcMar>
            <w:vAlign w:val="bottom"/>
          </w:tcPr>
          <w:p w14:paraId="71D40EC8" w14:textId="77777777" w:rsidR="006A3667" w:rsidRDefault="006A3667">
            <w:pPr>
              <w:rPr>
                <w:rFonts w:ascii="宋体"/>
              </w:rPr>
            </w:pPr>
          </w:p>
        </w:tc>
        <w:tc>
          <w:tcPr>
            <w:tcW w:w="0" w:type="auto"/>
            <w:gridSpan w:val="13"/>
            <w:shd w:val="clear" w:color="auto" w:fill="auto"/>
            <w:tcMar>
              <w:top w:w="40" w:type="dxa"/>
              <w:left w:w="20" w:type="dxa"/>
              <w:bottom w:w="40" w:type="dxa"/>
              <w:right w:w="20" w:type="dxa"/>
            </w:tcMar>
            <w:vAlign w:val="bottom"/>
          </w:tcPr>
          <w:p w14:paraId="71D40EC9" w14:textId="77777777" w:rsidR="006A3667" w:rsidRDefault="00045F32">
            <w:pPr>
              <w:jc w:val="center"/>
              <w:textAlignment w:val="bottom"/>
            </w:pPr>
            <w:r>
              <w:rPr>
                <w:rFonts w:ascii="Arial" w:eastAsia="宋体" w:hAnsi="Arial" w:cs="Arial"/>
                <w:b/>
                <w:bCs/>
                <w:color w:val="000000"/>
                <w:sz w:val="13"/>
                <w:szCs w:val="13"/>
              </w:rPr>
              <w:t>As of June 30, 2022</w:t>
            </w:r>
          </w:p>
        </w:tc>
        <w:tc>
          <w:tcPr>
            <w:tcW w:w="0" w:type="auto"/>
            <w:gridSpan w:val="3"/>
            <w:shd w:val="clear" w:color="auto" w:fill="auto"/>
            <w:tcMar>
              <w:top w:w="0" w:type="dxa"/>
              <w:left w:w="20" w:type="dxa"/>
              <w:bottom w:w="0" w:type="dxa"/>
              <w:right w:w="20" w:type="dxa"/>
            </w:tcMar>
            <w:vAlign w:val="bottom"/>
          </w:tcPr>
          <w:p w14:paraId="71D40ECA" w14:textId="77777777" w:rsidR="006A3667" w:rsidRDefault="006A3667">
            <w:pPr>
              <w:rPr>
                <w:rFonts w:ascii="宋体"/>
              </w:rPr>
            </w:pPr>
          </w:p>
        </w:tc>
        <w:tc>
          <w:tcPr>
            <w:tcW w:w="0" w:type="auto"/>
            <w:gridSpan w:val="11"/>
            <w:shd w:val="clear" w:color="auto" w:fill="auto"/>
            <w:tcMar>
              <w:top w:w="40" w:type="dxa"/>
              <w:left w:w="20" w:type="dxa"/>
              <w:bottom w:w="40" w:type="dxa"/>
              <w:right w:w="20" w:type="dxa"/>
            </w:tcMar>
            <w:vAlign w:val="bottom"/>
          </w:tcPr>
          <w:p w14:paraId="71D40ECB" w14:textId="77777777" w:rsidR="006A3667" w:rsidRDefault="00045F32">
            <w:pPr>
              <w:jc w:val="center"/>
              <w:textAlignment w:val="bottom"/>
            </w:pPr>
            <w:r>
              <w:rPr>
                <w:rFonts w:ascii="Arial" w:eastAsia="宋体" w:hAnsi="Arial" w:cs="Arial"/>
                <w:b/>
                <w:bCs/>
                <w:color w:val="000000"/>
                <w:sz w:val="13"/>
                <w:szCs w:val="13"/>
              </w:rPr>
              <w:t xml:space="preserve">As of September 30, </w:t>
            </w:r>
            <w:r>
              <w:rPr>
                <w:rFonts w:ascii="Arial" w:eastAsia="宋体" w:hAnsi="Arial" w:cs="Arial"/>
                <w:b/>
                <w:bCs/>
                <w:color w:val="000000"/>
                <w:sz w:val="13"/>
                <w:szCs w:val="13"/>
              </w:rPr>
              <w:t>2021</w:t>
            </w:r>
          </w:p>
        </w:tc>
        <w:tc>
          <w:tcPr>
            <w:tcW w:w="0" w:type="auto"/>
            <w:gridSpan w:val="3"/>
            <w:shd w:val="clear" w:color="auto" w:fill="auto"/>
            <w:vAlign w:val="bottom"/>
          </w:tcPr>
          <w:p w14:paraId="71D40ECC" w14:textId="77777777" w:rsidR="006A3667" w:rsidRDefault="006A3667">
            <w:pPr>
              <w:rPr>
                <w:rFonts w:ascii="宋体"/>
                <w:vanish/>
              </w:rPr>
            </w:pPr>
          </w:p>
        </w:tc>
        <w:tc>
          <w:tcPr>
            <w:tcW w:w="0" w:type="auto"/>
            <w:shd w:val="clear" w:color="auto" w:fill="auto"/>
            <w:vAlign w:val="bottom"/>
          </w:tcPr>
          <w:p w14:paraId="71D40ECD" w14:textId="77777777" w:rsidR="006A3667" w:rsidRDefault="006A3667">
            <w:pPr>
              <w:rPr>
                <w:rFonts w:ascii="宋体"/>
              </w:rPr>
            </w:pPr>
          </w:p>
        </w:tc>
        <w:tc>
          <w:tcPr>
            <w:tcW w:w="0" w:type="auto"/>
            <w:shd w:val="clear" w:color="auto" w:fill="auto"/>
            <w:vAlign w:val="bottom"/>
          </w:tcPr>
          <w:p w14:paraId="71D40ECE" w14:textId="77777777" w:rsidR="006A3667" w:rsidRDefault="006A3667">
            <w:pPr>
              <w:rPr>
                <w:rFonts w:ascii="宋体"/>
              </w:rPr>
            </w:pPr>
          </w:p>
        </w:tc>
        <w:tc>
          <w:tcPr>
            <w:tcW w:w="0" w:type="auto"/>
            <w:shd w:val="clear" w:color="auto" w:fill="auto"/>
            <w:vAlign w:val="bottom"/>
          </w:tcPr>
          <w:p w14:paraId="71D40ECF" w14:textId="77777777" w:rsidR="006A3667" w:rsidRDefault="006A3667">
            <w:pPr>
              <w:rPr>
                <w:rFonts w:ascii="宋体"/>
              </w:rPr>
            </w:pPr>
          </w:p>
        </w:tc>
        <w:tc>
          <w:tcPr>
            <w:tcW w:w="0" w:type="auto"/>
            <w:shd w:val="clear" w:color="auto" w:fill="auto"/>
            <w:vAlign w:val="bottom"/>
          </w:tcPr>
          <w:p w14:paraId="71D40ED0" w14:textId="77777777" w:rsidR="006A3667" w:rsidRDefault="006A3667">
            <w:pPr>
              <w:rPr>
                <w:rFonts w:ascii="宋体"/>
              </w:rPr>
            </w:pPr>
          </w:p>
        </w:tc>
        <w:tc>
          <w:tcPr>
            <w:tcW w:w="0" w:type="auto"/>
            <w:shd w:val="clear" w:color="auto" w:fill="auto"/>
            <w:vAlign w:val="bottom"/>
          </w:tcPr>
          <w:p w14:paraId="71D40ED1" w14:textId="77777777" w:rsidR="006A3667" w:rsidRDefault="006A3667">
            <w:pPr>
              <w:rPr>
                <w:rFonts w:ascii="宋体"/>
              </w:rPr>
            </w:pPr>
          </w:p>
        </w:tc>
        <w:tc>
          <w:tcPr>
            <w:tcW w:w="0" w:type="auto"/>
            <w:shd w:val="clear" w:color="auto" w:fill="auto"/>
            <w:vAlign w:val="bottom"/>
          </w:tcPr>
          <w:p w14:paraId="71D40ED2" w14:textId="77777777" w:rsidR="006A3667" w:rsidRDefault="006A3667">
            <w:pPr>
              <w:rPr>
                <w:rFonts w:ascii="宋体"/>
              </w:rPr>
            </w:pPr>
          </w:p>
        </w:tc>
      </w:tr>
      <w:tr w:rsidR="006A3667" w14:paraId="71D40EEA" w14:textId="77777777">
        <w:tc>
          <w:tcPr>
            <w:tcW w:w="0" w:type="auto"/>
            <w:gridSpan w:val="3"/>
            <w:shd w:val="clear" w:color="auto" w:fill="auto"/>
            <w:tcMar>
              <w:top w:w="40" w:type="dxa"/>
              <w:left w:w="20" w:type="dxa"/>
              <w:bottom w:w="40" w:type="dxa"/>
              <w:right w:w="20" w:type="dxa"/>
            </w:tcMar>
            <w:vAlign w:val="bottom"/>
          </w:tcPr>
          <w:p w14:paraId="71D40ED4" w14:textId="77777777" w:rsidR="006A3667" w:rsidRDefault="00045F32">
            <w:pPr>
              <w:spacing w:after="20"/>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ED5" w14:textId="77777777" w:rsidR="006A3667" w:rsidRDefault="00045F32">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D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ED7" w14:textId="77777777" w:rsidR="006A3667" w:rsidRDefault="00045F32">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D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ED9" w14:textId="77777777" w:rsidR="006A3667" w:rsidRDefault="00045F32">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71D40EDA" w14:textId="77777777" w:rsidR="006A3667" w:rsidRDefault="006A3667">
            <w:pPr>
              <w:rPr>
                <w:rFonts w:ascii="宋体"/>
                <w:vanish/>
              </w:rPr>
            </w:pPr>
          </w:p>
        </w:tc>
        <w:tc>
          <w:tcPr>
            <w:tcW w:w="0" w:type="auto"/>
            <w:shd w:val="clear" w:color="auto" w:fill="auto"/>
            <w:vAlign w:val="bottom"/>
          </w:tcPr>
          <w:p w14:paraId="71D40EDB"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0ED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EDD" w14:textId="77777777" w:rsidR="006A3667" w:rsidRDefault="00045F32">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D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EDF" w14:textId="77777777" w:rsidR="006A3667" w:rsidRDefault="00045F32">
            <w:pP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E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EE1" w14:textId="77777777" w:rsidR="006A3667" w:rsidRDefault="00045F32">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71D40EE2" w14:textId="77777777" w:rsidR="006A3667" w:rsidRDefault="006A3667">
            <w:pPr>
              <w:rPr>
                <w:rFonts w:ascii="宋体"/>
                <w:vanish/>
              </w:rPr>
            </w:pPr>
          </w:p>
        </w:tc>
        <w:tc>
          <w:tcPr>
            <w:tcW w:w="0" w:type="auto"/>
            <w:shd w:val="clear" w:color="auto" w:fill="auto"/>
            <w:vAlign w:val="bottom"/>
          </w:tcPr>
          <w:p w14:paraId="71D40EE3"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0EE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EE5" w14:textId="77777777" w:rsidR="006A3667" w:rsidRDefault="00045F32">
            <w:pP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E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EE7" w14:textId="77777777" w:rsidR="006A3667" w:rsidRDefault="00045F32">
            <w:pPr>
              <w:spacing w:after="20"/>
              <w:jc w:val="center"/>
              <w:textAlignment w:val="bottom"/>
            </w:pPr>
            <w:r>
              <w:rPr>
                <w:rFonts w:ascii="Arial" w:eastAsia="宋体" w:hAnsi="Arial" w:cs="Arial"/>
                <w:b/>
                <w:bCs/>
                <w:color w:val="000000"/>
                <w:sz w:val="13"/>
                <w:szCs w:val="13"/>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0EE8" w14:textId="77777777" w:rsidR="006A3667" w:rsidRDefault="006A3667">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1D40EE9" w14:textId="77777777" w:rsidR="006A3667" w:rsidRDefault="00045F32">
            <w:pPr>
              <w:jc w:val="center"/>
              <w:textAlignment w:val="bottom"/>
            </w:pPr>
            <w:r>
              <w:rPr>
                <w:rFonts w:ascii="Arial" w:eastAsia="宋体" w:hAnsi="Arial" w:cs="Arial"/>
                <w:b/>
                <w:bCs/>
                <w:color w:val="000000"/>
                <w:sz w:val="13"/>
                <w:szCs w:val="13"/>
              </w:rPr>
              <w:t>Volatility Risk</w:t>
            </w:r>
          </w:p>
        </w:tc>
      </w:tr>
      <w:tr w:rsidR="006A3667" w14:paraId="71D40F01" w14:textId="77777777">
        <w:tc>
          <w:tcPr>
            <w:tcW w:w="0" w:type="auto"/>
            <w:gridSpan w:val="3"/>
            <w:shd w:val="clear" w:color="auto" w:fill="auto"/>
            <w:tcMar>
              <w:top w:w="40" w:type="dxa"/>
              <w:left w:w="20" w:type="dxa"/>
              <w:bottom w:w="40" w:type="dxa"/>
              <w:right w:w="20" w:type="dxa"/>
            </w:tcMar>
            <w:vAlign w:val="bottom"/>
          </w:tcPr>
          <w:p w14:paraId="71D40EEB" w14:textId="77777777" w:rsidR="006A3667" w:rsidRDefault="00045F32">
            <w:pP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E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EE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E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EE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F0" w14:textId="77777777" w:rsidR="006A3667" w:rsidRDefault="006A3667">
            <w:pPr>
              <w:rPr>
                <w:rFonts w:ascii="宋体"/>
              </w:rPr>
            </w:pPr>
          </w:p>
        </w:tc>
        <w:tc>
          <w:tcPr>
            <w:tcW w:w="0" w:type="auto"/>
            <w:shd w:val="clear" w:color="auto" w:fill="auto"/>
            <w:vAlign w:val="bottom"/>
          </w:tcPr>
          <w:p w14:paraId="71D40EF1" w14:textId="77777777" w:rsidR="006A3667" w:rsidRDefault="006A3667">
            <w:pPr>
              <w:rPr>
                <w:rFonts w:ascii="宋体"/>
                <w:vanish/>
              </w:rPr>
            </w:pPr>
          </w:p>
        </w:tc>
        <w:tc>
          <w:tcPr>
            <w:tcW w:w="0" w:type="auto"/>
            <w:shd w:val="clear" w:color="auto" w:fill="auto"/>
            <w:vAlign w:val="bottom"/>
          </w:tcPr>
          <w:p w14:paraId="71D40EF2"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0EF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F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EF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F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EF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F8" w14:textId="77777777" w:rsidR="006A3667" w:rsidRDefault="006A3667">
            <w:pPr>
              <w:rPr>
                <w:rFonts w:ascii="宋体"/>
              </w:rPr>
            </w:pPr>
          </w:p>
        </w:tc>
        <w:tc>
          <w:tcPr>
            <w:tcW w:w="0" w:type="auto"/>
            <w:shd w:val="clear" w:color="auto" w:fill="auto"/>
            <w:vAlign w:val="bottom"/>
          </w:tcPr>
          <w:p w14:paraId="71D40EF9" w14:textId="77777777" w:rsidR="006A3667" w:rsidRDefault="006A3667">
            <w:pPr>
              <w:rPr>
                <w:rFonts w:ascii="宋体"/>
                <w:vanish/>
              </w:rPr>
            </w:pPr>
          </w:p>
        </w:tc>
        <w:tc>
          <w:tcPr>
            <w:tcW w:w="0" w:type="auto"/>
            <w:shd w:val="clear" w:color="auto" w:fill="auto"/>
            <w:vAlign w:val="bottom"/>
          </w:tcPr>
          <w:p w14:paraId="71D40EFA"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0EF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F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EF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EFE"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0EFF" w14:textId="77777777" w:rsidR="006A3667" w:rsidRDefault="006A3667">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1D40F00" w14:textId="77777777" w:rsidR="006A3667" w:rsidRDefault="006A3667">
            <w:pPr>
              <w:rPr>
                <w:rFonts w:ascii="宋体"/>
              </w:rPr>
            </w:pPr>
          </w:p>
        </w:tc>
      </w:tr>
      <w:tr w:rsidR="00045F32" w14:paraId="71D40F29" w14:textId="77777777">
        <w:tc>
          <w:tcPr>
            <w:tcW w:w="0" w:type="auto"/>
            <w:gridSpan w:val="3"/>
            <w:shd w:val="clear" w:color="auto" w:fill="CCEEFF"/>
            <w:tcMar>
              <w:top w:w="40" w:type="dxa"/>
              <w:left w:w="20" w:type="dxa"/>
              <w:bottom w:w="40" w:type="dxa"/>
              <w:right w:w="20" w:type="dxa"/>
            </w:tcMar>
            <w:vAlign w:val="bottom"/>
          </w:tcPr>
          <w:p w14:paraId="71D40F02" w14:textId="77777777" w:rsidR="006A3667" w:rsidRDefault="00045F32">
            <w:pP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right w:w="0" w:type="dxa"/>
            </w:tcMar>
            <w:vAlign w:val="bottom"/>
          </w:tcPr>
          <w:p w14:paraId="71D40F03"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F04" w14:textId="77777777" w:rsidR="006A3667" w:rsidRDefault="00045F32">
            <w:pPr>
              <w:jc w:val="right"/>
              <w:textAlignment w:val="bottom"/>
            </w:pPr>
            <w:r>
              <w:rPr>
                <w:rFonts w:ascii="Arial" w:eastAsia="宋体" w:hAnsi="Arial" w:cs="Arial"/>
                <w:b/>
                <w:bCs/>
                <w:color w:val="000000"/>
                <w:sz w:val="13"/>
                <w:szCs w:val="13"/>
              </w:rPr>
              <w:t>8,712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F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0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07"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F08" w14:textId="77777777" w:rsidR="006A3667" w:rsidRDefault="00045F32">
            <w:pPr>
              <w:jc w:val="right"/>
              <w:textAlignment w:val="bottom"/>
            </w:pPr>
            <w:r>
              <w:rPr>
                <w:rFonts w:ascii="Arial" w:eastAsia="宋体" w:hAnsi="Arial" w:cs="Arial"/>
                <w:b/>
                <w:bCs/>
                <w:color w:val="000000"/>
                <w:sz w:val="13"/>
                <w:szCs w:val="13"/>
              </w:rPr>
              <w:t>36,225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F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0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0B"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0F0C" w14:textId="77777777" w:rsidR="006A3667" w:rsidRDefault="00045F32">
            <w:pPr>
              <w:jc w:val="right"/>
              <w:textAlignment w:val="bottom"/>
            </w:pPr>
            <w:r>
              <w:rPr>
                <w:rFonts w:ascii="Arial" w:eastAsia="宋体" w:hAnsi="Arial" w:cs="Arial"/>
                <w:b/>
                <w:bCs/>
                <w:color w:val="000000"/>
                <w:sz w:val="13"/>
                <w:szCs w:val="13"/>
              </w:rPr>
              <w:t>524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F0D" w14:textId="77777777" w:rsidR="006A3667" w:rsidRDefault="006A3667">
            <w:pPr>
              <w:jc w:val="right"/>
              <w:rPr>
                <w:rFonts w:ascii="宋体"/>
              </w:rPr>
            </w:pPr>
          </w:p>
        </w:tc>
        <w:tc>
          <w:tcPr>
            <w:tcW w:w="0" w:type="auto"/>
            <w:shd w:val="clear" w:color="auto" w:fill="auto"/>
            <w:vAlign w:val="bottom"/>
          </w:tcPr>
          <w:p w14:paraId="71D40F0E" w14:textId="77777777" w:rsidR="006A3667" w:rsidRDefault="006A3667">
            <w:pPr>
              <w:rPr>
                <w:rFonts w:ascii="宋体"/>
                <w:vanish/>
              </w:rPr>
            </w:pPr>
          </w:p>
        </w:tc>
        <w:tc>
          <w:tcPr>
            <w:tcW w:w="0" w:type="auto"/>
            <w:shd w:val="clear" w:color="auto" w:fill="auto"/>
            <w:vAlign w:val="bottom"/>
          </w:tcPr>
          <w:p w14:paraId="71D40F0F"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0F1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11"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F12" w14:textId="77777777" w:rsidR="006A3667" w:rsidRDefault="00045F32">
            <w:pPr>
              <w:jc w:val="right"/>
              <w:textAlignment w:val="bottom"/>
            </w:pPr>
            <w:r>
              <w:rPr>
                <w:rFonts w:ascii="Arial" w:eastAsia="宋体" w:hAnsi="Arial" w:cs="Arial"/>
                <w:color w:val="000000"/>
                <w:sz w:val="13"/>
                <w:szCs w:val="13"/>
              </w:rPr>
              <w:t>7,440 </w:t>
            </w:r>
          </w:p>
        </w:tc>
        <w:tc>
          <w:tcPr>
            <w:tcW w:w="0" w:type="auto"/>
            <w:shd w:val="clear" w:color="auto" w:fill="CCEEFF"/>
            <w:tcMar>
              <w:top w:w="40" w:type="dxa"/>
              <w:left w:w="0" w:type="dxa"/>
              <w:bottom w:w="40" w:type="dxa"/>
              <w:right w:w="20" w:type="dxa"/>
            </w:tcMar>
            <w:vAlign w:val="bottom"/>
          </w:tcPr>
          <w:p w14:paraId="71D40F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1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15"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F16" w14:textId="77777777" w:rsidR="006A3667" w:rsidRDefault="00045F32">
            <w:pPr>
              <w:jc w:val="right"/>
              <w:textAlignment w:val="bottom"/>
            </w:pPr>
            <w:r>
              <w:rPr>
                <w:rFonts w:ascii="Arial" w:eastAsia="宋体" w:hAnsi="Arial" w:cs="Arial"/>
                <w:color w:val="000000"/>
                <w:sz w:val="13"/>
                <w:szCs w:val="13"/>
              </w:rPr>
              <w:t>39,764 </w:t>
            </w:r>
          </w:p>
        </w:tc>
        <w:tc>
          <w:tcPr>
            <w:tcW w:w="0" w:type="auto"/>
            <w:shd w:val="clear" w:color="auto" w:fill="CCEEFF"/>
            <w:tcMar>
              <w:top w:w="40" w:type="dxa"/>
              <w:left w:w="0" w:type="dxa"/>
              <w:bottom w:w="40" w:type="dxa"/>
              <w:right w:w="20" w:type="dxa"/>
            </w:tcMar>
            <w:vAlign w:val="bottom"/>
          </w:tcPr>
          <w:p w14:paraId="71D40F1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1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19"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F1A" w14:textId="77777777" w:rsidR="006A3667" w:rsidRDefault="00045F32">
            <w:pPr>
              <w:jc w:val="right"/>
              <w:textAlignment w:val="bottom"/>
            </w:pPr>
            <w:r>
              <w:rPr>
                <w:rFonts w:ascii="Arial" w:eastAsia="宋体" w:hAnsi="Arial" w:cs="Arial"/>
                <w:color w:val="000000"/>
                <w:sz w:val="13"/>
                <w:szCs w:val="13"/>
              </w:rPr>
              <w:t>200 </w:t>
            </w:r>
          </w:p>
        </w:tc>
        <w:tc>
          <w:tcPr>
            <w:tcW w:w="0" w:type="auto"/>
            <w:shd w:val="clear" w:color="auto" w:fill="CCEEFF"/>
            <w:tcMar>
              <w:top w:w="40" w:type="dxa"/>
              <w:left w:w="0" w:type="dxa"/>
              <w:bottom w:w="40" w:type="dxa"/>
              <w:right w:w="20" w:type="dxa"/>
            </w:tcMar>
            <w:vAlign w:val="bottom"/>
          </w:tcPr>
          <w:p w14:paraId="71D40F1B" w14:textId="77777777" w:rsidR="006A3667" w:rsidRDefault="006A3667">
            <w:pPr>
              <w:jc w:val="right"/>
              <w:rPr>
                <w:rFonts w:ascii="宋体"/>
              </w:rPr>
            </w:pPr>
          </w:p>
        </w:tc>
        <w:tc>
          <w:tcPr>
            <w:tcW w:w="0" w:type="auto"/>
            <w:shd w:val="clear" w:color="auto" w:fill="auto"/>
            <w:vAlign w:val="bottom"/>
          </w:tcPr>
          <w:p w14:paraId="71D40F1C" w14:textId="77777777" w:rsidR="006A3667" w:rsidRDefault="006A3667">
            <w:pPr>
              <w:rPr>
                <w:rFonts w:ascii="宋体"/>
                <w:vanish/>
              </w:rPr>
            </w:pPr>
          </w:p>
        </w:tc>
        <w:tc>
          <w:tcPr>
            <w:tcW w:w="0" w:type="auto"/>
            <w:shd w:val="clear" w:color="auto" w:fill="auto"/>
            <w:vAlign w:val="bottom"/>
          </w:tcPr>
          <w:p w14:paraId="71D40F1D"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0F1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1F"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F20" w14:textId="77777777" w:rsidR="006A3667" w:rsidRDefault="00045F32">
            <w:pPr>
              <w:jc w:val="right"/>
              <w:textAlignment w:val="bottom"/>
            </w:pPr>
            <w:r>
              <w:rPr>
                <w:rFonts w:ascii="Arial" w:eastAsia="宋体" w:hAnsi="Arial" w:cs="Arial"/>
                <w:color w:val="000000"/>
                <w:sz w:val="13"/>
                <w:szCs w:val="13"/>
              </w:rPr>
              <w:t>7,925 </w:t>
            </w:r>
          </w:p>
        </w:tc>
        <w:tc>
          <w:tcPr>
            <w:tcW w:w="0" w:type="auto"/>
            <w:shd w:val="clear" w:color="auto" w:fill="CCEEFF"/>
            <w:tcMar>
              <w:top w:w="40" w:type="dxa"/>
              <w:left w:w="0" w:type="dxa"/>
              <w:bottom w:w="40" w:type="dxa"/>
              <w:right w:w="20" w:type="dxa"/>
            </w:tcMar>
            <w:vAlign w:val="bottom"/>
          </w:tcPr>
          <w:p w14:paraId="71D40F2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2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23"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0F24" w14:textId="77777777" w:rsidR="006A3667" w:rsidRDefault="00045F32">
            <w:pPr>
              <w:jc w:val="right"/>
              <w:textAlignment w:val="bottom"/>
            </w:pPr>
            <w:r>
              <w:rPr>
                <w:rFonts w:ascii="Arial" w:eastAsia="宋体" w:hAnsi="Arial" w:cs="Arial"/>
                <w:color w:val="000000"/>
                <w:sz w:val="13"/>
                <w:szCs w:val="13"/>
              </w:rPr>
              <w:t>73,540 </w:t>
            </w:r>
          </w:p>
        </w:tc>
        <w:tc>
          <w:tcPr>
            <w:tcW w:w="0" w:type="auto"/>
            <w:shd w:val="clear" w:color="auto" w:fill="CCEEFF"/>
            <w:tcMar>
              <w:top w:w="40" w:type="dxa"/>
              <w:left w:w="0" w:type="dxa"/>
              <w:bottom w:w="40" w:type="dxa"/>
              <w:right w:w="20" w:type="dxa"/>
            </w:tcMar>
            <w:vAlign w:val="bottom"/>
          </w:tcPr>
          <w:p w14:paraId="71D40F25"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0F2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27" w14:textId="77777777" w:rsidR="006A3667" w:rsidRDefault="00045F32">
            <w:pPr>
              <w:textAlignment w:val="bottom"/>
            </w:pPr>
            <w:r>
              <w:rPr>
                <w:rFonts w:ascii="Arial" w:eastAsia="宋体" w:hAnsi="Arial" w:cs="Arial"/>
                <w:color w:val="000000"/>
                <w:sz w:val="13"/>
                <w:szCs w:val="13"/>
              </w:rPr>
              <w:t>$</w:t>
            </w:r>
          </w:p>
          <w:p w14:paraId="71D40F28" w14:textId="77777777" w:rsidR="006A3667" w:rsidRDefault="00045F32">
            <w:pPr>
              <w:jc w:val="right"/>
              <w:textAlignment w:val="bottom"/>
            </w:pPr>
            <w:r>
              <w:rPr>
                <w:rFonts w:ascii="Arial" w:eastAsia="宋体" w:hAnsi="Arial" w:cs="Arial"/>
                <w:color w:val="000000"/>
                <w:sz w:val="13"/>
                <w:szCs w:val="13"/>
              </w:rPr>
              <w:t>575 </w:t>
            </w:r>
          </w:p>
        </w:tc>
      </w:tr>
      <w:tr w:rsidR="006A3667" w14:paraId="71D40F48" w14:textId="77777777">
        <w:tc>
          <w:tcPr>
            <w:tcW w:w="0" w:type="auto"/>
            <w:gridSpan w:val="3"/>
            <w:shd w:val="clear" w:color="auto" w:fill="FFFFFF"/>
            <w:tcMar>
              <w:top w:w="40" w:type="dxa"/>
              <w:left w:w="20" w:type="dxa"/>
              <w:bottom w:w="40" w:type="dxa"/>
              <w:right w:w="20" w:type="dxa"/>
            </w:tcMar>
            <w:vAlign w:val="bottom"/>
          </w:tcPr>
          <w:p w14:paraId="71D40F2A" w14:textId="77777777" w:rsidR="006A3667" w:rsidRDefault="00045F32">
            <w:pP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71D40F2B" w14:textId="77777777" w:rsidR="006A3667" w:rsidRDefault="00045F32">
            <w:pPr>
              <w:jc w:val="right"/>
              <w:textAlignment w:val="bottom"/>
            </w:pPr>
            <w:r>
              <w:rPr>
                <w:rFonts w:ascii="Arial" w:eastAsia="宋体" w:hAnsi="Arial" w:cs="Arial"/>
                <w:b/>
                <w:bCs/>
                <w:color w:val="000000"/>
                <w:sz w:val="13"/>
                <w:szCs w:val="13"/>
              </w:rPr>
              <w:t>5,933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F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2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2E" w14:textId="77777777" w:rsidR="006A3667" w:rsidRDefault="00045F32">
            <w:pPr>
              <w:jc w:val="right"/>
              <w:textAlignment w:val="bottom"/>
            </w:pPr>
            <w:r>
              <w:rPr>
                <w:rFonts w:ascii="Arial" w:eastAsia="宋体" w:hAnsi="Arial" w:cs="Arial"/>
                <w:b/>
                <w:bCs/>
                <w:color w:val="000000"/>
                <w:sz w:val="13"/>
                <w:szCs w:val="13"/>
              </w:rPr>
              <w:t>7,640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F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3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31"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F32" w14:textId="77777777" w:rsidR="006A3667" w:rsidRDefault="006A3667">
            <w:pPr>
              <w:jc w:val="right"/>
              <w:rPr>
                <w:rFonts w:ascii="宋体"/>
              </w:rPr>
            </w:pPr>
          </w:p>
        </w:tc>
        <w:tc>
          <w:tcPr>
            <w:tcW w:w="0" w:type="auto"/>
            <w:shd w:val="clear" w:color="auto" w:fill="auto"/>
            <w:vAlign w:val="bottom"/>
          </w:tcPr>
          <w:p w14:paraId="71D40F33" w14:textId="77777777" w:rsidR="006A3667" w:rsidRDefault="006A3667">
            <w:pPr>
              <w:rPr>
                <w:rFonts w:ascii="宋体"/>
                <w:vanish/>
              </w:rPr>
            </w:pPr>
          </w:p>
        </w:tc>
        <w:tc>
          <w:tcPr>
            <w:tcW w:w="0" w:type="auto"/>
            <w:shd w:val="clear" w:color="auto" w:fill="auto"/>
            <w:vAlign w:val="bottom"/>
          </w:tcPr>
          <w:p w14:paraId="71D40F34"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0F3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36" w14:textId="77777777" w:rsidR="006A3667" w:rsidRDefault="00045F32">
            <w:pPr>
              <w:jc w:val="right"/>
              <w:textAlignment w:val="bottom"/>
            </w:pPr>
            <w:r>
              <w:rPr>
                <w:rFonts w:ascii="Arial" w:eastAsia="宋体" w:hAnsi="Arial" w:cs="Arial"/>
                <w:color w:val="000000"/>
                <w:sz w:val="13"/>
                <w:szCs w:val="13"/>
              </w:rPr>
              <w:t>1,375 </w:t>
            </w:r>
          </w:p>
        </w:tc>
        <w:tc>
          <w:tcPr>
            <w:tcW w:w="0" w:type="auto"/>
            <w:shd w:val="clear" w:color="auto" w:fill="FFFFFF"/>
            <w:tcMar>
              <w:top w:w="40" w:type="dxa"/>
              <w:left w:w="0" w:type="dxa"/>
              <w:bottom w:w="40" w:type="dxa"/>
              <w:right w:w="20" w:type="dxa"/>
            </w:tcMar>
            <w:vAlign w:val="bottom"/>
          </w:tcPr>
          <w:p w14:paraId="71D40F3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3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39" w14:textId="77777777" w:rsidR="006A3667" w:rsidRDefault="00045F32">
            <w:pPr>
              <w:jc w:val="right"/>
              <w:textAlignment w:val="bottom"/>
            </w:pPr>
            <w:r>
              <w:rPr>
                <w:rFonts w:ascii="Arial" w:eastAsia="宋体" w:hAnsi="Arial" w:cs="Arial"/>
                <w:color w:val="000000"/>
                <w:sz w:val="13"/>
                <w:szCs w:val="13"/>
              </w:rPr>
              <w:t>5,766 </w:t>
            </w:r>
          </w:p>
        </w:tc>
        <w:tc>
          <w:tcPr>
            <w:tcW w:w="0" w:type="auto"/>
            <w:shd w:val="clear" w:color="auto" w:fill="FFFFFF"/>
            <w:tcMar>
              <w:top w:w="40" w:type="dxa"/>
              <w:left w:w="0" w:type="dxa"/>
              <w:bottom w:w="40" w:type="dxa"/>
              <w:right w:w="20" w:type="dxa"/>
            </w:tcMar>
            <w:vAlign w:val="bottom"/>
          </w:tcPr>
          <w:p w14:paraId="71D40F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3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3C"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0F3D" w14:textId="77777777" w:rsidR="006A3667" w:rsidRDefault="006A3667">
            <w:pPr>
              <w:jc w:val="right"/>
              <w:rPr>
                <w:rFonts w:ascii="宋体"/>
              </w:rPr>
            </w:pPr>
          </w:p>
        </w:tc>
        <w:tc>
          <w:tcPr>
            <w:tcW w:w="0" w:type="auto"/>
            <w:shd w:val="clear" w:color="auto" w:fill="auto"/>
            <w:vAlign w:val="bottom"/>
          </w:tcPr>
          <w:p w14:paraId="71D40F3E" w14:textId="77777777" w:rsidR="006A3667" w:rsidRDefault="006A3667">
            <w:pPr>
              <w:rPr>
                <w:rFonts w:ascii="宋体"/>
                <w:vanish/>
              </w:rPr>
            </w:pPr>
          </w:p>
        </w:tc>
        <w:tc>
          <w:tcPr>
            <w:tcW w:w="0" w:type="auto"/>
            <w:shd w:val="clear" w:color="auto" w:fill="auto"/>
            <w:vAlign w:val="bottom"/>
          </w:tcPr>
          <w:p w14:paraId="71D40F3F"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0F4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41" w14:textId="77777777" w:rsidR="006A3667" w:rsidRDefault="00045F32">
            <w:pPr>
              <w:jc w:val="right"/>
              <w:textAlignment w:val="bottom"/>
            </w:pPr>
            <w:r>
              <w:rPr>
                <w:rFonts w:ascii="Arial" w:eastAsia="宋体" w:hAnsi="Arial" w:cs="Arial"/>
                <w:color w:val="000000"/>
                <w:sz w:val="13"/>
                <w:szCs w:val="13"/>
              </w:rPr>
              <w:t>299 </w:t>
            </w:r>
          </w:p>
        </w:tc>
        <w:tc>
          <w:tcPr>
            <w:tcW w:w="0" w:type="auto"/>
            <w:shd w:val="clear" w:color="auto" w:fill="FFFFFF"/>
            <w:tcMar>
              <w:top w:w="40" w:type="dxa"/>
              <w:left w:w="0" w:type="dxa"/>
              <w:bottom w:w="40" w:type="dxa"/>
              <w:right w:w="20" w:type="dxa"/>
            </w:tcMar>
            <w:vAlign w:val="bottom"/>
          </w:tcPr>
          <w:p w14:paraId="71D40F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4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44" w14:textId="77777777" w:rsidR="006A3667" w:rsidRDefault="00045F32">
            <w:pPr>
              <w:jc w:val="right"/>
              <w:textAlignment w:val="bottom"/>
            </w:pPr>
            <w:r>
              <w:rPr>
                <w:rFonts w:ascii="Arial" w:eastAsia="宋体" w:hAnsi="Arial" w:cs="Arial"/>
                <w:color w:val="000000"/>
                <w:sz w:val="13"/>
                <w:szCs w:val="13"/>
              </w:rPr>
              <w:t>6,509 </w:t>
            </w:r>
          </w:p>
        </w:tc>
        <w:tc>
          <w:tcPr>
            <w:tcW w:w="0" w:type="auto"/>
            <w:shd w:val="clear" w:color="auto" w:fill="FFFFFF"/>
            <w:tcMar>
              <w:top w:w="40" w:type="dxa"/>
              <w:left w:w="0" w:type="dxa"/>
              <w:bottom w:w="40" w:type="dxa"/>
              <w:right w:w="20" w:type="dxa"/>
            </w:tcMar>
            <w:vAlign w:val="bottom"/>
          </w:tcPr>
          <w:p w14:paraId="71D40F45"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0F46"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0F47" w14:textId="77777777" w:rsidR="006A3667" w:rsidRDefault="00045F32">
            <w:pPr>
              <w:jc w:val="right"/>
              <w:textAlignment w:val="bottom"/>
            </w:pPr>
            <w:r>
              <w:rPr>
                <w:rFonts w:ascii="Arial" w:eastAsia="宋体" w:hAnsi="Arial" w:cs="Arial"/>
                <w:color w:val="000000"/>
                <w:sz w:val="13"/>
                <w:szCs w:val="13"/>
              </w:rPr>
              <w:t>— </w:t>
            </w:r>
          </w:p>
        </w:tc>
      </w:tr>
      <w:tr w:rsidR="006A3667" w14:paraId="71D40F67" w14:textId="77777777">
        <w:tc>
          <w:tcPr>
            <w:tcW w:w="0" w:type="auto"/>
            <w:gridSpan w:val="3"/>
            <w:shd w:val="clear" w:color="auto" w:fill="CCEEFF"/>
            <w:tcMar>
              <w:top w:w="40" w:type="dxa"/>
              <w:left w:w="20" w:type="dxa"/>
              <w:bottom w:w="40" w:type="dxa"/>
              <w:right w:w="20" w:type="dxa"/>
            </w:tcMar>
            <w:vAlign w:val="bottom"/>
          </w:tcPr>
          <w:p w14:paraId="71D40F49" w14:textId="77777777" w:rsidR="006A3667" w:rsidRDefault="00045F32">
            <w:pP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71D40F4A" w14:textId="77777777" w:rsidR="006A3667" w:rsidRDefault="00045F32">
            <w:pPr>
              <w:jc w:val="right"/>
              <w:textAlignment w:val="bottom"/>
            </w:pPr>
            <w:r>
              <w:rPr>
                <w:rFonts w:ascii="Arial" w:eastAsia="宋体" w:hAnsi="Arial" w:cs="Arial"/>
                <w:b/>
                <w:bCs/>
                <w:color w:val="000000"/>
                <w:sz w:val="13"/>
                <w:szCs w:val="13"/>
              </w:rPr>
              <w:t>(6,135)</w:t>
            </w:r>
          </w:p>
        </w:tc>
        <w:tc>
          <w:tcPr>
            <w:tcW w:w="0" w:type="auto"/>
            <w:shd w:val="clear" w:color="auto" w:fill="CCEEFF"/>
            <w:tcMar>
              <w:top w:w="40" w:type="dxa"/>
              <w:left w:w="0" w:type="dxa"/>
              <w:bottom w:w="40" w:type="dxa"/>
              <w:right w:w="20" w:type="dxa"/>
            </w:tcMar>
            <w:vAlign w:val="bottom"/>
          </w:tcPr>
          <w:p w14:paraId="71D40F4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4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F4D" w14:textId="77777777" w:rsidR="006A3667" w:rsidRDefault="00045F32">
            <w:pPr>
              <w:jc w:val="right"/>
              <w:textAlignment w:val="bottom"/>
            </w:pPr>
            <w:r>
              <w:rPr>
                <w:rFonts w:ascii="Arial" w:eastAsia="宋体" w:hAnsi="Arial" w:cs="Arial"/>
                <w:b/>
                <w:bCs/>
                <w:color w:val="000000"/>
                <w:sz w:val="13"/>
                <w:szCs w:val="13"/>
              </w:rPr>
              <w:t>(9,412)</w:t>
            </w:r>
          </w:p>
        </w:tc>
        <w:tc>
          <w:tcPr>
            <w:tcW w:w="0" w:type="auto"/>
            <w:shd w:val="clear" w:color="auto" w:fill="CCEEFF"/>
            <w:tcMar>
              <w:top w:w="40" w:type="dxa"/>
              <w:left w:w="0" w:type="dxa"/>
              <w:bottom w:w="40" w:type="dxa"/>
              <w:right w:w="20" w:type="dxa"/>
            </w:tcMar>
            <w:vAlign w:val="bottom"/>
          </w:tcPr>
          <w:p w14:paraId="71D40F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4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F50"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F51" w14:textId="77777777" w:rsidR="006A3667" w:rsidRDefault="006A3667">
            <w:pPr>
              <w:jc w:val="right"/>
              <w:rPr>
                <w:rFonts w:ascii="宋体"/>
              </w:rPr>
            </w:pPr>
          </w:p>
        </w:tc>
        <w:tc>
          <w:tcPr>
            <w:tcW w:w="0" w:type="auto"/>
            <w:shd w:val="clear" w:color="auto" w:fill="auto"/>
            <w:vAlign w:val="bottom"/>
          </w:tcPr>
          <w:p w14:paraId="71D40F52" w14:textId="77777777" w:rsidR="006A3667" w:rsidRDefault="006A3667">
            <w:pPr>
              <w:rPr>
                <w:rFonts w:ascii="宋体"/>
                <w:vanish/>
              </w:rPr>
            </w:pPr>
          </w:p>
        </w:tc>
        <w:tc>
          <w:tcPr>
            <w:tcW w:w="0" w:type="auto"/>
            <w:shd w:val="clear" w:color="auto" w:fill="auto"/>
            <w:vAlign w:val="bottom"/>
          </w:tcPr>
          <w:p w14:paraId="71D40F53"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0F5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F55" w14:textId="77777777" w:rsidR="006A3667" w:rsidRDefault="00045F32">
            <w:pPr>
              <w:jc w:val="right"/>
              <w:textAlignment w:val="bottom"/>
            </w:pPr>
            <w:r>
              <w:rPr>
                <w:rFonts w:ascii="Arial" w:eastAsia="宋体" w:hAnsi="Arial" w:cs="Arial"/>
                <w:color w:val="000000"/>
                <w:sz w:val="13"/>
                <w:szCs w:val="13"/>
              </w:rPr>
              <w:t>(709)</w:t>
            </w:r>
          </w:p>
        </w:tc>
        <w:tc>
          <w:tcPr>
            <w:tcW w:w="0" w:type="auto"/>
            <w:shd w:val="clear" w:color="auto" w:fill="CCEEFF"/>
            <w:tcMar>
              <w:top w:w="40" w:type="dxa"/>
              <w:left w:w="0" w:type="dxa"/>
              <w:bottom w:w="40" w:type="dxa"/>
              <w:right w:w="20" w:type="dxa"/>
            </w:tcMar>
            <w:vAlign w:val="bottom"/>
          </w:tcPr>
          <w:p w14:paraId="71D40F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5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F58" w14:textId="77777777" w:rsidR="006A3667" w:rsidRDefault="00045F32">
            <w:pPr>
              <w:jc w:val="right"/>
              <w:textAlignment w:val="bottom"/>
            </w:pPr>
            <w:r>
              <w:rPr>
                <w:rFonts w:ascii="Arial" w:eastAsia="宋体" w:hAnsi="Arial" w:cs="Arial"/>
                <w:color w:val="000000"/>
                <w:sz w:val="13"/>
                <w:szCs w:val="13"/>
              </w:rPr>
              <w:t>(6,631)</w:t>
            </w:r>
          </w:p>
        </w:tc>
        <w:tc>
          <w:tcPr>
            <w:tcW w:w="0" w:type="auto"/>
            <w:shd w:val="clear" w:color="auto" w:fill="CCEEFF"/>
            <w:tcMar>
              <w:top w:w="40" w:type="dxa"/>
              <w:left w:w="0" w:type="dxa"/>
              <w:bottom w:w="40" w:type="dxa"/>
              <w:right w:w="20" w:type="dxa"/>
            </w:tcMar>
            <w:vAlign w:val="bottom"/>
          </w:tcPr>
          <w:p w14:paraId="71D40F5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5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F5B"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0F5C" w14:textId="77777777" w:rsidR="006A3667" w:rsidRDefault="006A3667">
            <w:pPr>
              <w:jc w:val="right"/>
              <w:rPr>
                <w:rFonts w:ascii="宋体"/>
              </w:rPr>
            </w:pPr>
          </w:p>
        </w:tc>
        <w:tc>
          <w:tcPr>
            <w:tcW w:w="0" w:type="auto"/>
            <w:shd w:val="clear" w:color="auto" w:fill="auto"/>
            <w:vAlign w:val="bottom"/>
          </w:tcPr>
          <w:p w14:paraId="71D40F5D" w14:textId="77777777" w:rsidR="006A3667" w:rsidRDefault="006A3667">
            <w:pPr>
              <w:rPr>
                <w:rFonts w:ascii="宋体"/>
                <w:vanish/>
              </w:rPr>
            </w:pPr>
          </w:p>
        </w:tc>
        <w:tc>
          <w:tcPr>
            <w:tcW w:w="0" w:type="auto"/>
            <w:shd w:val="clear" w:color="auto" w:fill="auto"/>
            <w:vAlign w:val="bottom"/>
          </w:tcPr>
          <w:p w14:paraId="71D40F5E"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0F5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F60" w14:textId="77777777" w:rsidR="006A3667" w:rsidRDefault="00045F32">
            <w:pPr>
              <w:jc w:val="right"/>
              <w:textAlignment w:val="bottom"/>
            </w:pPr>
            <w:r>
              <w:rPr>
                <w:rFonts w:ascii="Arial" w:eastAsia="宋体" w:hAnsi="Arial" w:cs="Arial"/>
                <w:color w:val="000000"/>
                <w:sz w:val="13"/>
                <w:szCs w:val="13"/>
              </w:rPr>
              <w:t>(177)</w:t>
            </w:r>
          </w:p>
        </w:tc>
        <w:tc>
          <w:tcPr>
            <w:tcW w:w="0" w:type="auto"/>
            <w:shd w:val="clear" w:color="auto" w:fill="CCEEFF"/>
            <w:tcMar>
              <w:top w:w="40" w:type="dxa"/>
              <w:left w:w="0" w:type="dxa"/>
              <w:bottom w:w="40" w:type="dxa"/>
              <w:right w:w="20" w:type="dxa"/>
            </w:tcMar>
            <w:vAlign w:val="bottom"/>
          </w:tcPr>
          <w:p w14:paraId="71D40F6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0F6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0F63" w14:textId="77777777" w:rsidR="006A3667" w:rsidRDefault="00045F32">
            <w:pPr>
              <w:jc w:val="right"/>
              <w:textAlignment w:val="bottom"/>
            </w:pPr>
            <w:r>
              <w:rPr>
                <w:rFonts w:ascii="Arial" w:eastAsia="宋体" w:hAnsi="Arial" w:cs="Arial"/>
                <w:color w:val="000000"/>
                <w:sz w:val="13"/>
                <w:szCs w:val="13"/>
              </w:rPr>
              <w:t>(7,058)</w:t>
            </w:r>
          </w:p>
        </w:tc>
        <w:tc>
          <w:tcPr>
            <w:tcW w:w="0" w:type="auto"/>
            <w:shd w:val="clear" w:color="auto" w:fill="CCEEFF"/>
            <w:tcMar>
              <w:top w:w="40" w:type="dxa"/>
              <w:left w:w="0" w:type="dxa"/>
              <w:bottom w:w="40" w:type="dxa"/>
              <w:right w:w="20" w:type="dxa"/>
            </w:tcMar>
            <w:vAlign w:val="bottom"/>
          </w:tcPr>
          <w:p w14:paraId="71D40F64"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0F6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0F66" w14:textId="77777777" w:rsidR="006A3667" w:rsidRDefault="00045F32">
            <w:pPr>
              <w:jc w:val="right"/>
              <w:textAlignment w:val="bottom"/>
            </w:pPr>
            <w:r>
              <w:rPr>
                <w:rFonts w:ascii="Arial" w:eastAsia="宋体" w:hAnsi="Arial" w:cs="Arial"/>
                <w:color w:val="000000"/>
                <w:sz w:val="13"/>
                <w:szCs w:val="13"/>
              </w:rPr>
              <w:t>— </w:t>
            </w:r>
          </w:p>
        </w:tc>
      </w:tr>
      <w:tr w:rsidR="00045F32" w14:paraId="71D40F8F" w14:textId="77777777">
        <w:tc>
          <w:tcPr>
            <w:tcW w:w="0" w:type="auto"/>
            <w:gridSpan w:val="3"/>
            <w:shd w:val="clear" w:color="auto" w:fill="FFFFFF"/>
            <w:tcMar>
              <w:top w:w="40" w:type="dxa"/>
              <w:left w:w="20" w:type="dxa"/>
              <w:bottom w:w="40" w:type="dxa"/>
              <w:right w:w="20" w:type="dxa"/>
            </w:tcMar>
            <w:vAlign w:val="bottom"/>
          </w:tcPr>
          <w:p w14:paraId="71D40F68" w14:textId="77777777" w:rsidR="006A3667" w:rsidRDefault="00045F32">
            <w:pPr>
              <w:spacing w:after="20"/>
              <w:textAlignment w:val="bottom"/>
            </w:pPr>
            <w:r>
              <w:rPr>
                <w:rFonts w:ascii="Arial" w:eastAsia="宋体" w:hAnsi="Arial" w:cs="Arial"/>
                <w:color w:val="000000"/>
                <w:sz w:val="13"/>
                <w:szCs w:val="13"/>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69"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F6A" w14:textId="77777777" w:rsidR="006A3667" w:rsidRDefault="00045F32">
            <w:pPr>
              <w:jc w:val="right"/>
              <w:textAlignment w:val="bottom"/>
            </w:pPr>
            <w:r>
              <w:rPr>
                <w:rFonts w:ascii="Arial" w:eastAsia="宋体" w:hAnsi="Arial" w:cs="Arial"/>
                <w:b/>
                <w:bCs/>
                <w:color w:val="000000"/>
                <w:sz w:val="13"/>
                <w:szCs w:val="13"/>
              </w:rPr>
              <w:t>8,510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F6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6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6D"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F6E" w14:textId="77777777" w:rsidR="006A3667" w:rsidRDefault="00045F32">
            <w:pPr>
              <w:jc w:val="right"/>
              <w:textAlignment w:val="bottom"/>
            </w:pPr>
            <w:r>
              <w:rPr>
                <w:rFonts w:ascii="Arial" w:eastAsia="宋体" w:hAnsi="Arial" w:cs="Arial"/>
                <w:b/>
                <w:bCs/>
                <w:color w:val="000000"/>
                <w:sz w:val="13"/>
                <w:szCs w:val="13"/>
              </w:rPr>
              <w:t>34,453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F6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7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71"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F72" w14:textId="77777777" w:rsidR="006A3667" w:rsidRDefault="00045F32">
            <w:pPr>
              <w:jc w:val="right"/>
              <w:textAlignment w:val="bottom"/>
            </w:pPr>
            <w:r>
              <w:rPr>
                <w:rFonts w:ascii="Arial" w:eastAsia="宋体" w:hAnsi="Arial" w:cs="Arial"/>
                <w:b/>
                <w:bCs/>
                <w:color w:val="000000"/>
                <w:sz w:val="13"/>
                <w:szCs w:val="13"/>
              </w:rPr>
              <w:t>524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F73" w14:textId="77777777" w:rsidR="006A3667" w:rsidRDefault="006A3667">
            <w:pPr>
              <w:jc w:val="right"/>
              <w:rPr>
                <w:rFonts w:ascii="宋体"/>
              </w:rPr>
            </w:pPr>
          </w:p>
        </w:tc>
        <w:tc>
          <w:tcPr>
            <w:tcW w:w="0" w:type="auto"/>
            <w:shd w:val="clear" w:color="auto" w:fill="auto"/>
            <w:vAlign w:val="bottom"/>
          </w:tcPr>
          <w:p w14:paraId="71D40F74" w14:textId="77777777" w:rsidR="006A3667" w:rsidRDefault="006A3667">
            <w:pPr>
              <w:rPr>
                <w:rFonts w:ascii="宋体"/>
                <w:vanish/>
              </w:rPr>
            </w:pPr>
          </w:p>
        </w:tc>
        <w:tc>
          <w:tcPr>
            <w:tcW w:w="0" w:type="auto"/>
            <w:shd w:val="clear" w:color="auto" w:fill="auto"/>
            <w:vAlign w:val="bottom"/>
          </w:tcPr>
          <w:p w14:paraId="71D40F75"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0F76"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7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F78" w14:textId="77777777" w:rsidR="006A3667" w:rsidRDefault="00045F32">
            <w:pPr>
              <w:jc w:val="right"/>
              <w:textAlignment w:val="bottom"/>
            </w:pPr>
            <w:r>
              <w:rPr>
                <w:rFonts w:ascii="Arial" w:eastAsia="宋体" w:hAnsi="Arial" w:cs="Arial"/>
                <w:color w:val="000000"/>
                <w:sz w:val="13"/>
                <w:szCs w:val="13"/>
              </w:rPr>
              <w:t>8,106 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F7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7A"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7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F7C" w14:textId="77777777" w:rsidR="006A3667" w:rsidRDefault="00045F32">
            <w:pPr>
              <w:jc w:val="right"/>
              <w:textAlignment w:val="bottom"/>
            </w:pPr>
            <w:r>
              <w:rPr>
                <w:rFonts w:ascii="Arial" w:eastAsia="宋体" w:hAnsi="Arial" w:cs="Arial"/>
                <w:color w:val="000000"/>
                <w:sz w:val="13"/>
                <w:szCs w:val="13"/>
              </w:rPr>
              <w:t>38,899 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F7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7E"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7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F80" w14:textId="77777777" w:rsidR="006A3667" w:rsidRDefault="00045F32">
            <w:pPr>
              <w:jc w:val="right"/>
              <w:textAlignment w:val="bottom"/>
            </w:pPr>
            <w:r>
              <w:rPr>
                <w:rFonts w:ascii="Arial" w:eastAsia="宋体" w:hAnsi="Arial" w:cs="Arial"/>
                <w:color w:val="000000"/>
                <w:sz w:val="13"/>
                <w:szCs w:val="13"/>
              </w:rPr>
              <w:t>200 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F81" w14:textId="77777777" w:rsidR="006A3667" w:rsidRDefault="006A3667">
            <w:pPr>
              <w:jc w:val="right"/>
              <w:rPr>
                <w:rFonts w:ascii="宋体"/>
              </w:rPr>
            </w:pPr>
          </w:p>
        </w:tc>
        <w:tc>
          <w:tcPr>
            <w:tcW w:w="0" w:type="auto"/>
            <w:shd w:val="clear" w:color="auto" w:fill="auto"/>
            <w:vAlign w:val="bottom"/>
          </w:tcPr>
          <w:p w14:paraId="71D40F82" w14:textId="77777777" w:rsidR="006A3667" w:rsidRDefault="006A3667">
            <w:pPr>
              <w:rPr>
                <w:rFonts w:ascii="宋体"/>
                <w:vanish/>
              </w:rPr>
            </w:pPr>
          </w:p>
        </w:tc>
        <w:tc>
          <w:tcPr>
            <w:tcW w:w="0" w:type="auto"/>
            <w:shd w:val="clear" w:color="auto" w:fill="auto"/>
            <w:vAlign w:val="bottom"/>
          </w:tcPr>
          <w:p w14:paraId="71D40F83"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0F84"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85"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F86" w14:textId="77777777" w:rsidR="006A3667" w:rsidRDefault="00045F32">
            <w:pPr>
              <w:jc w:val="right"/>
              <w:textAlignment w:val="bottom"/>
            </w:pPr>
            <w:r>
              <w:rPr>
                <w:rFonts w:ascii="Arial" w:eastAsia="宋体" w:hAnsi="Arial" w:cs="Arial"/>
                <w:color w:val="000000"/>
                <w:sz w:val="13"/>
                <w:szCs w:val="13"/>
              </w:rPr>
              <w:t>8,047 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F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8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89"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0F8A" w14:textId="77777777" w:rsidR="006A3667" w:rsidRDefault="00045F32">
            <w:pPr>
              <w:jc w:val="right"/>
              <w:textAlignment w:val="bottom"/>
            </w:pPr>
            <w:r>
              <w:rPr>
                <w:rFonts w:ascii="Arial" w:eastAsia="宋体" w:hAnsi="Arial" w:cs="Arial"/>
                <w:color w:val="000000"/>
                <w:sz w:val="13"/>
                <w:szCs w:val="13"/>
              </w:rPr>
              <w:t>72,991 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0F8B"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0F8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0F8D" w14:textId="77777777" w:rsidR="006A3667" w:rsidRDefault="00045F32">
            <w:pPr>
              <w:textAlignment w:val="bottom"/>
            </w:pPr>
            <w:r>
              <w:rPr>
                <w:rFonts w:ascii="Arial" w:eastAsia="宋体" w:hAnsi="Arial" w:cs="Arial"/>
                <w:color w:val="000000"/>
                <w:sz w:val="13"/>
                <w:szCs w:val="13"/>
              </w:rPr>
              <w:t>$</w:t>
            </w:r>
          </w:p>
          <w:p w14:paraId="71D40F8E" w14:textId="77777777" w:rsidR="006A3667" w:rsidRDefault="00045F32">
            <w:pPr>
              <w:jc w:val="right"/>
              <w:textAlignment w:val="bottom"/>
            </w:pPr>
            <w:r>
              <w:rPr>
                <w:rFonts w:ascii="Arial" w:eastAsia="宋体" w:hAnsi="Arial" w:cs="Arial"/>
                <w:color w:val="000000"/>
                <w:sz w:val="13"/>
                <w:szCs w:val="13"/>
              </w:rPr>
              <w:t>575 </w:t>
            </w:r>
          </w:p>
        </w:tc>
      </w:tr>
    </w:tbl>
    <w:p w14:paraId="71D40F90"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6A3667" w14:paraId="71D40F9A" w14:textId="77777777">
        <w:tc>
          <w:tcPr>
            <w:tcW w:w="50" w:type="pct"/>
            <w:shd w:val="clear" w:color="auto" w:fill="auto"/>
            <w:vAlign w:val="bottom"/>
          </w:tcPr>
          <w:p w14:paraId="71D40F91" w14:textId="77777777" w:rsidR="006A3667" w:rsidRDefault="006A3667">
            <w:pPr>
              <w:rPr>
                <w:rFonts w:ascii="宋体"/>
              </w:rPr>
            </w:pPr>
          </w:p>
        </w:tc>
        <w:tc>
          <w:tcPr>
            <w:tcW w:w="1348" w:type="pct"/>
            <w:shd w:val="clear" w:color="auto" w:fill="auto"/>
            <w:vAlign w:val="bottom"/>
          </w:tcPr>
          <w:p w14:paraId="71D40F92" w14:textId="77777777" w:rsidR="006A3667" w:rsidRDefault="006A3667">
            <w:pPr>
              <w:rPr>
                <w:rFonts w:ascii="宋体"/>
              </w:rPr>
            </w:pPr>
          </w:p>
        </w:tc>
        <w:tc>
          <w:tcPr>
            <w:tcW w:w="5" w:type="pct"/>
            <w:shd w:val="clear" w:color="auto" w:fill="auto"/>
            <w:vAlign w:val="bottom"/>
          </w:tcPr>
          <w:p w14:paraId="71D40F93" w14:textId="77777777" w:rsidR="006A3667" w:rsidRDefault="006A3667">
            <w:pPr>
              <w:rPr>
                <w:rFonts w:ascii="宋体"/>
              </w:rPr>
            </w:pPr>
          </w:p>
        </w:tc>
        <w:tc>
          <w:tcPr>
            <w:tcW w:w="50" w:type="pct"/>
            <w:shd w:val="clear" w:color="auto" w:fill="auto"/>
            <w:vAlign w:val="bottom"/>
          </w:tcPr>
          <w:p w14:paraId="71D40F94" w14:textId="77777777" w:rsidR="006A3667" w:rsidRDefault="006A3667">
            <w:pPr>
              <w:rPr>
                <w:rFonts w:ascii="宋体"/>
              </w:rPr>
            </w:pPr>
          </w:p>
        </w:tc>
        <w:tc>
          <w:tcPr>
            <w:tcW w:w="1290" w:type="pct"/>
            <w:shd w:val="clear" w:color="auto" w:fill="auto"/>
            <w:vAlign w:val="bottom"/>
          </w:tcPr>
          <w:p w14:paraId="71D40F95" w14:textId="77777777" w:rsidR="006A3667" w:rsidRDefault="006A3667">
            <w:pPr>
              <w:rPr>
                <w:rFonts w:ascii="宋体"/>
              </w:rPr>
            </w:pPr>
          </w:p>
        </w:tc>
        <w:tc>
          <w:tcPr>
            <w:tcW w:w="5" w:type="pct"/>
            <w:shd w:val="clear" w:color="auto" w:fill="auto"/>
            <w:vAlign w:val="bottom"/>
          </w:tcPr>
          <w:p w14:paraId="71D40F96" w14:textId="77777777" w:rsidR="006A3667" w:rsidRDefault="006A3667">
            <w:pPr>
              <w:rPr>
                <w:rFonts w:ascii="宋体"/>
              </w:rPr>
            </w:pPr>
          </w:p>
        </w:tc>
        <w:tc>
          <w:tcPr>
            <w:tcW w:w="50" w:type="pct"/>
            <w:shd w:val="clear" w:color="auto" w:fill="auto"/>
            <w:vAlign w:val="bottom"/>
          </w:tcPr>
          <w:p w14:paraId="71D40F97" w14:textId="77777777" w:rsidR="006A3667" w:rsidRDefault="006A3667">
            <w:pPr>
              <w:rPr>
                <w:rFonts w:ascii="宋体"/>
              </w:rPr>
            </w:pPr>
          </w:p>
        </w:tc>
        <w:tc>
          <w:tcPr>
            <w:tcW w:w="2196" w:type="pct"/>
            <w:shd w:val="clear" w:color="auto" w:fill="auto"/>
            <w:vAlign w:val="bottom"/>
          </w:tcPr>
          <w:p w14:paraId="71D40F98" w14:textId="77777777" w:rsidR="006A3667" w:rsidRDefault="006A3667">
            <w:pPr>
              <w:rPr>
                <w:rFonts w:ascii="宋体"/>
              </w:rPr>
            </w:pPr>
          </w:p>
        </w:tc>
        <w:tc>
          <w:tcPr>
            <w:tcW w:w="5" w:type="pct"/>
            <w:shd w:val="clear" w:color="auto" w:fill="auto"/>
            <w:vAlign w:val="bottom"/>
          </w:tcPr>
          <w:p w14:paraId="71D40F99" w14:textId="77777777" w:rsidR="006A3667" w:rsidRDefault="006A3667">
            <w:pPr>
              <w:rPr>
                <w:rFonts w:ascii="宋体"/>
              </w:rPr>
            </w:pPr>
          </w:p>
        </w:tc>
      </w:tr>
      <w:tr w:rsidR="006A3667" w14:paraId="71D40F9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0F9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F9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0F9D" w14:textId="77777777" w:rsidR="006A3667" w:rsidRDefault="006A3667">
            <w:pPr>
              <w:rPr>
                <w:rFonts w:ascii="宋体"/>
              </w:rPr>
            </w:pPr>
          </w:p>
        </w:tc>
      </w:tr>
    </w:tbl>
    <w:p w14:paraId="71D40F9F" w14:textId="77777777" w:rsidR="006A3667" w:rsidRDefault="00045F32">
      <w:pPr>
        <w:jc w:val="both"/>
      </w:pPr>
      <w:r>
        <w:rPr>
          <w:rFonts w:ascii="Arial" w:eastAsia="宋体" w:hAnsi="Arial" w:cs="Arial"/>
          <w:color w:val="000000"/>
          <w:sz w:val="7"/>
          <w:szCs w:val="7"/>
        </w:rPr>
        <w:t xml:space="preserve">(1) </w:t>
      </w:r>
      <w:r>
        <w:rPr>
          <w:rFonts w:ascii="Arial" w:eastAsia="宋体" w:hAnsi="Arial" w:cs="Arial"/>
          <w:color w:val="000000"/>
          <w:sz w:val="12"/>
          <w:szCs w:val="12"/>
        </w:rPr>
        <w:t>For purposes of risk attribution by component, foreign exchange refers only to the risk from market movements in period-end rates.  Forwards, futures, options and swaps with maturities greater than period-end have embedded interest rate risk that is captur</w:t>
      </w:r>
      <w:r>
        <w:rPr>
          <w:rFonts w:ascii="Arial" w:eastAsia="宋体" w:hAnsi="Arial" w:cs="Arial"/>
          <w:color w:val="000000"/>
          <w:sz w:val="12"/>
          <w:szCs w:val="12"/>
        </w:rPr>
        <w:t xml:space="preserve">ed by the measures used for interest rate risk.  Accordingly, the interest rate risk embedded in these foreign exchange instruments is included in the interest rate risk component. </w:t>
      </w:r>
    </w:p>
    <w:p w14:paraId="71D40FA0" w14:textId="77777777" w:rsidR="006A3667" w:rsidRDefault="00045F32">
      <w:pPr>
        <w:spacing w:before="60"/>
      </w:pPr>
      <w:r>
        <w:rPr>
          <w:rFonts w:ascii="Arial" w:eastAsia="宋体" w:hAnsi="Arial" w:cs="Arial"/>
          <w:b/>
          <w:bCs/>
          <w:i/>
          <w:iCs/>
          <w:color w:val="000000"/>
          <w:sz w:val="20"/>
          <w:szCs w:val="20"/>
        </w:rPr>
        <w:t>Asset and Liability Management Activities</w:t>
      </w:r>
    </w:p>
    <w:p w14:paraId="71D40FA1" w14:textId="77777777" w:rsidR="006A3667" w:rsidRDefault="00045F32">
      <w:pPr>
        <w:spacing w:before="60"/>
        <w:ind w:firstLine="450"/>
        <w:jc w:val="both"/>
      </w:pPr>
      <w:r>
        <w:rPr>
          <w:rFonts w:ascii="Arial" w:eastAsia="宋体" w:hAnsi="Arial" w:cs="Arial"/>
          <w:color w:val="000000"/>
          <w:sz w:val="20"/>
          <w:szCs w:val="20"/>
        </w:rPr>
        <w:t xml:space="preserve">The primary objective of </w:t>
      </w:r>
      <w:r>
        <w:rPr>
          <w:rFonts w:ascii="Arial" w:eastAsia="宋体" w:hAnsi="Arial" w:cs="Arial"/>
          <w:color w:val="000000"/>
          <w:sz w:val="20"/>
          <w:szCs w:val="20"/>
        </w:rPr>
        <w:t>asset and liability management is to provide sustainable NII under varying economic conditions, while protecting the economic value of the assets and liabilities carried on our consolidated statement of condition from the adverse effects of changes in inte</w:t>
      </w:r>
      <w:r>
        <w:rPr>
          <w:rFonts w:ascii="Arial" w:eastAsia="宋体" w:hAnsi="Arial" w:cs="Arial"/>
          <w:color w:val="000000"/>
          <w:sz w:val="20"/>
          <w:szCs w:val="20"/>
        </w:rPr>
        <w:t xml:space="preserve">rest rates. While many market factors affect the level of NII and the economic value of our assets and liabilities, one of the most significant factors is our exposure to movements in interest rates. Most of our NII is earned from the investment of client </w:t>
      </w:r>
      <w:r>
        <w:rPr>
          <w:rFonts w:ascii="Arial" w:eastAsia="宋体" w:hAnsi="Arial" w:cs="Arial"/>
          <w:color w:val="000000"/>
          <w:sz w:val="20"/>
          <w:szCs w:val="20"/>
        </w:rPr>
        <w:t>deposits generated by our businesses. We invest these client deposits in assets that conform generally to the liquidity characteristics of our balance sheet liabilities, as well as the currency composition of our significant non-U.S. dollar denominated cli</w:t>
      </w:r>
      <w:r>
        <w:rPr>
          <w:rFonts w:ascii="Arial" w:eastAsia="宋体" w:hAnsi="Arial" w:cs="Arial"/>
          <w:color w:val="000000"/>
          <w:sz w:val="20"/>
          <w:szCs w:val="20"/>
        </w:rPr>
        <w:t>ent deposits.</w:t>
      </w:r>
    </w:p>
    <w:p w14:paraId="71D40FA2" w14:textId="77777777" w:rsidR="006A3667" w:rsidRDefault="00045F32">
      <w:pPr>
        <w:spacing w:before="60"/>
        <w:ind w:firstLine="450"/>
        <w:jc w:val="both"/>
      </w:pPr>
      <w:r>
        <w:rPr>
          <w:rFonts w:ascii="Arial" w:eastAsia="宋体" w:hAnsi="Arial" w:cs="Arial"/>
          <w:color w:val="000000"/>
          <w:sz w:val="20"/>
          <w:szCs w:val="20"/>
        </w:rPr>
        <w:t>We quantify NII sensitivity using an earnings simulation model that includes our expectations for new business growth, changes in balance sheet mix and investment portfolio positioning. This measure compares our baseline view of NII over a tw</w:t>
      </w:r>
      <w:r>
        <w:rPr>
          <w:rFonts w:ascii="Arial" w:eastAsia="宋体" w:hAnsi="Arial" w:cs="Arial"/>
          <w:color w:val="000000"/>
          <w:sz w:val="20"/>
          <w:szCs w:val="20"/>
        </w:rPr>
        <w:t xml:space="preserve">elve-month horizon, based on our internal forecast of interest rates, to a wide range of rate shocks. Our baseline view of NII is updated on a regular basis. Table 32, Key Interest Rates for Baseline Forecasts, presents the spot and 12-month forward rates </w:t>
      </w:r>
      <w:r>
        <w:rPr>
          <w:rFonts w:ascii="Arial" w:eastAsia="宋体" w:hAnsi="Arial" w:cs="Arial"/>
          <w:color w:val="000000"/>
          <w:sz w:val="20"/>
          <w:szCs w:val="20"/>
        </w:rPr>
        <w:t>used in our baseline forecasts at September 30, 2022 and September 30, 2021. Our September 30, 2022 baseline forecast broadly aligns to the market’s expectations for a rapid increase in global central bank rates in response to rising inflation. In addition</w:t>
      </w:r>
      <w:r>
        <w:rPr>
          <w:rFonts w:ascii="Arial" w:eastAsia="宋体" w:hAnsi="Arial" w:cs="Arial"/>
          <w:color w:val="000000"/>
          <w:sz w:val="20"/>
          <w:szCs w:val="20"/>
        </w:rPr>
        <w:t xml:space="preserve"> to higher interest rates, we are also forecasting gradual deposit balance rotation and reductions along with increasing deposit betas as a result of quantitative tightening and rising interest rates.</w:t>
      </w:r>
    </w:p>
    <w:p w14:paraId="71D40FA3" w14:textId="77777777" w:rsidR="006A3667" w:rsidRDefault="00045F32">
      <w:pPr>
        <w:ind w:firstLine="450"/>
        <w:jc w:val="right"/>
      </w:pPr>
      <w:r>
        <w:rPr>
          <w:rFonts w:ascii="Arial" w:eastAsia="宋体" w:hAnsi="Arial" w:cs="Arial"/>
          <w:color w:val="000000"/>
          <w:sz w:val="18"/>
          <w:szCs w:val="18"/>
        </w:rPr>
        <w:t>State Street Corporation | 40</w:t>
      </w:r>
    </w:p>
    <w:p w14:paraId="71D40FA4" w14:textId="77777777" w:rsidR="006A3667" w:rsidRDefault="006A3667">
      <w:pPr>
        <w:ind w:firstLine="450"/>
        <w:jc w:val="center"/>
      </w:pPr>
    </w:p>
    <w:p w14:paraId="71D40FA5" w14:textId="77777777" w:rsidR="006A3667" w:rsidRDefault="00045F32">
      <w:r>
        <w:pict w14:anchorId="71D4AC3C">
          <v:rect id="_x0000_i1064" style="width:415.3pt;height:1.5pt" o:hralign="center" o:hrstd="t" o:hr="t" fillcolor="#a0a0a0" stroked="f"/>
        </w:pict>
      </w:r>
    </w:p>
    <w:p w14:paraId="71D40FA6" w14:textId="77777777" w:rsidR="006A3667" w:rsidRDefault="00045F32">
      <w:pPr>
        <w:ind w:firstLine="450"/>
        <w:jc w:val="center"/>
      </w:pPr>
      <w:r>
        <w:rPr>
          <w:rFonts w:ascii="Arial" w:eastAsia="宋体" w:hAnsi="Arial" w:cs="Arial"/>
          <w:b/>
          <w:bCs/>
          <w:color w:val="000000"/>
          <w:sz w:val="20"/>
          <w:szCs w:val="20"/>
        </w:rPr>
        <w:t>MANAGEMENT’S DISCUSSIO</w:t>
      </w:r>
      <w:r>
        <w:rPr>
          <w:rFonts w:ascii="Arial" w:eastAsia="宋体" w:hAnsi="Arial" w:cs="Arial"/>
          <w:b/>
          <w:bCs/>
          <w:color w:val="000000"/>
          <w:sz w:val="20"/>
          <w:szCs w:val="20"/>
        </w:rPr>
        <w:t>N AND ANALYSIS OF FINANCIAL CONDITION</w:t>
      </w:r>
    </w:p>
    <w:p w14:paraId="71D40FA7" w14:textId="77777777" w:rsidR="006A3667" w:rsidRDefault="00045F32">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1154"/>
        <w:gridCol w:w="37"/>
        <w:gridCol w:w="37"/>
        <w:gridCol w:w="912"/>
        <w:gridCol w:w="146"/>
        <w:gridCol w:w="36"/>
        <w:gridCol w:w="36"/>
        <w:gridCol w:w="36"/>
        <w:gridCol w:w="44"/>
        <w:gridCol w:w="905"/>
        <w:gridCol w:w="145"/>
        <w:gridCol w:w="36"/>
        <w:gridCol w:w="36"/>
        <w:gridCol w:w="36"/>
        <w:gridCol w:w="48"/>
        <w:gridCol w:w="901"/>
        <w:gridCol w:w="145"/>
        <w:gridCol w:w="36"/>
        <w:gridCol w:w="36"/>
        <w:gridCol w:w="36"/>
        <w:gridCol w:w="37"/>
        <w:gridCol w:w="912"/>
        <w:gridCol w:w="146"/>
        <w:gridCol w:w="36"/>
        <w:gridCol w:w="36"/>
        <w:gridCol w:w="36"/>
        <w:gridCol w:w="44"/>
        <w:gridCol w:w="905"/>
        <w:gridCol w:w="145"/>
        <w:gridCol w:w="36"/>
        <w:gridCol w:w="36"/>
        <w:gridCol w:w="36"/>
        <w:gridCol w:w="48"/>
        <w:gridCol w:w="901"/>
        <w:gridCol w:w="145"/>
      </w:tblGrid>
      <w:tr w:rsidR="006A3667" w14:paraId="71D40FCC" w14:textId="77777777">
        <w:tc>
          <w:tcPr>
            <w:tcW w:w="50" w:type="pct"/>
            <w:shd w:val="clear" w:color="auto" w:fill="auto"/>
            <w:vAlign w:val="bottom"/>
          </w:tcPr>
          <w:p w14:paraId="71D40FA8" w14:textId="77777777" w:rsidR="006A3667" w:rsidRDefault="006A3667">
            <w:pPr>
              <w:rPr>
                <w:rFonts w:ascii="宋体"/>
              </w:rPr>
            </w:pPr>
          </w:p>
        </w:tc>
        <w:tc>
          <w:tcPr>
            <w:tcW w:w="763" w:type="pct"/>
            <w:shd w:val="clear" w:color="auto" w:fill="auto"/>
            <w:vAlign w:val="bottom"/>
          </w:tcPr>
          <w:p w14:paraId="71D40FA9" w14:textId="77777777" w:rsidR="006A3667" w:rsidRDefault="006A3667">
            <w:pPr>
              <w:rPr>
                <w:rFonts w:ascii="宋体"/>
              </w:rPr>
            </w:pPr>
          </w:p>
        </w:tc>
        <w:tc>
          <w:tcPr>
            <w:tcW w:w="5" w:type="pct"/>
            <w:shd w:val="clear" w:color="auto" w:fill="auto"/>
            <w:vAlign w:val="bottom"/>
          </w:tcPr>
          <w:p w14:paraId="71D40FAA" w14:textId="77777777" w:rsidR="006A3667" w:rsidRDefault="006A3667">
            <w:pPr>
              <w:rPr>
                <w:rFonts w:ascii="宋体"/>
              </w:rPr>
            </w:pPr>
          </w:p>
        </w:tc>
        <w:tc>
          <w:tcPr>
            <w:tcW w:w="50" w:type="pct"/>
            <w:shd w:val="clear" w:color="auto" w:fill="auto"/>
            <w:vAlign w:val="bottom"/>
          </w:tcPr>
          <w:p w14:paraId="71D40FAB" w14:textId="77777777" w:rsidR="006A3667" w:rsidRDefault="006A3667">
            <w:pPr>
              <w:rPr>
                <w:rFonts w:ascii="宋体"/>
              </w:rPr>
            </w:pPr>
          </w:p>
        </w:tc>
        <w:tc>
          <w:tcPr>
            <w:tcW w:w="617" w:type="pct"/>
            <w:shd w:val="clear" w:color="auto" w:fill="auto"/>
            <w:vAlign w:val="bottom"/>
          </w:tcPr>
          <w:p w14:paraId="71D40FAC" w14:textId="77777777" w:rsidR="006A3667" w:rsidRDefault="006A3667">
            <w:pPr>
              <w:rPr>
                <w:rFonts w:ascii="宋体"/>
              </w:rPr>
            </w:pPr>
          </w:p>
        </w:tc>
        <w:tc>
          <w:tcPr>
            <w:tcW w:w="5" w:type="pct"/>
            <w:shd w:val="clear" w:color="auto" w:fill="auto"/>
            <w:vAlign w:val="bottom"/>
          </w:tcPr>
          <w:p w14:paraId="71D40FAD" w14:textId="77777777" w:rsidR="006A3667" w:rsidRDefault="006A3667">
            <w:pPr>
              <w:rPr>
                <w:rFonts w:ascii="宋体"/>
              </w:rPr>
            </w:pPr>
          </w:p>
        </w:tc>
        <w:tc>
          <w:tcPr>
            <w:tcW w:w="5" w:type="pct"/>
            <w:shd w:val="clear" w:color="auto" w:fill="auto"/>
            <w:vAlign w:val="bottom"/>
          </w:tcPr>
          <w:p w14:paraId="71D40FAE" w14:textId="77777777" w:rsidR="006A3667" w:rsidRDefault="006A3667">
            <w:pPr>
              <w:rPr>
                <w:rFonts w:ascii="宋体"/>
              </w:rPr>
            </w:pPr>
          </w:p>
        </w:tc>
        <w:tc>
          <w:tcPr>
            <w:tcW w:w="19" w:type="pct"/>
            <w:shd w:val="clear" w:color="auto" w:fill="auto"/>
            <w:vAlign w:val="bottom"/>
          </w:tcPr>
          <w:p w14:paraId="71D40FAF" w14:textId="77777777" w:rsidR="006A3667" w:rsidRDefault="006A3667">
            <w:pPr>
              <w:rPr>
                <w:rFonts w:ascii="宋体"/>
              </w:rPr>
            </w:pPr>
          </w:p>
        </w:tc>
        <w:tc>
          <w:tcPr>
            <w:tcW w:w="5" w:type="pct"/>
            <w:shd w:val="clear" w:color="auto" w:fill="auto"/>
            <w:vAlign w:val="bottom"/>
          </w:tcPr>
          <w:p w14:paraId="71D40FB0" w14:textId="77777777" w:rsidR="006A3667" w:rsidRDefault="006A3667">
            <w:pPr>
              <w:rPr>
                <w:rFonts w:ascii="宋体"/>
              </w:rPr>
            </w:pPr>
          </w:p>
        </w:tc>
        <w:tc>
          <w:tcPr>
            <w:tcW w:w="50" w:type="pct"/>
            <w:shd w:val="clear" w:color="auto" w:fill="auto"/>
            <w:vAlign w:val="bottom"/>
          </w:tcPr>
          <w:p w14:paraId="71D40FB1" w14:textId="77777777" w:rsidR="006A3667" w:rsidRDefault="006A3667">
            <w:pPr>
              <w:rPr>
                <w:rFonts w:ascii="宋体"/>
              </w:rPr>
            </w:pPr>
          </w:p>
        </w:tc>
        <w:tc>
          <w:tcPr>
            <w:tcW w:w="617" w:type="pct"/>
            <w:shd w:val="clear" w:color="auto" w:fill="auto"/>
            <w:vAlign w:val="bottom"/>
          </w:tcPr>
          <w:p w14:paraId="71D40FB2" w14:textId="77777777" w:rsidR="006A3667" w:rsidRDefault="006A3667">
            <w:pPr>
              <w:rPr>
                <w:rFonts w:ascii="宋体"/>
              </w:rPr>
            </w:pPr>
          </w:p>
        </w:tc>
        <w:tc>
          <w:tcPr>
            <w:tcW w:w="5" w:type="pct"/>
            <w:shd w:val="clear" w:color="auto" w:fill="auto"/>
            <w:vAlign w:val="bottom"/>
          </w:tcPr>
          <w:p w14:paraId="71D40FB3" w14:textId="77777777" w:rsidR="006A3667" w:rsidRDefault="006A3667">
            <w:pPr>
              <w:rPr>
                <w:rFonts w:ascii="宋体"/>
              </w:rPr>
            </w:pPr>
          </w:p>
        </w:tc>
        <w:tc>
          <w:tcPr>
            <w:tcW w:w="5" w:type="pct"/>
            <w:shd w:val="clear" w:color="auto" w:fill="auto"/>
            <w:vAlign w:val="bottom"/>
          </w:tcPr>
          <w:p w14:paraId="71D40FB4" w14:textId="77777777" w:rsidR="006A3667" w:rsidRDefault="006A3667">
            <w:pPr>
              <w:rPr>
                <w:rFonts w:ascii="宋体"/>
              </w:rPr>
            </w:pPr>
          </w:p>
        </w:tc>
        <w:tc>
          <w:tcPr>
            <w:tcW w:w="19" w:type="pct"/>
            <w:shd w:val="clear" w:color="auto" w:fill="auto"/>
            <w:vAlign w:val="bottom"/>
          </w:tcPr>
          <w:p w14:paraId="71D40FB5" w14:textId="77777777" w:rsidR="006A3667" w:rsidRDefault="006A3667">
            <w:pPr>
              <w:rPr>
                <w:rFonts w:ascii="宋体"/>
              </w:rPr>
            </w:pPr>
          </w:p>
        </w:tc>
        <w:tc>
          <w:tcPr>
            <w:tcW w:w="5" w:type="pct"/>
            <w:shd w:val="clear" w:color="auto" w:fill="auto"/>
            <w:vAlign w:val="bottom"/>
          </w:tcPr>
          <w:p w14:paraId="71D40FB6" w14:textId="77777777" w:rsidR="006A3667" w:rsidRDefault="006A3667">
            <w:pPr>
              <w:rPr>
                <w:rFonts w:ascii="宋体"/>
              </w:rPr>
            </w:pPr>
          </w:p>
        </w:tc>
        <w:tc>
          <w:tcPr>
            <w:tcW w:w="50" w:type="pct"/>
            <w:shd w:val="clear" w:color="auto" w:fill="auto"/>
            <w:vAlign w:val="bottom"/>
          </w:tcPr>
          <w:p w14:paraId="71D40FB7" w14:textId="77777777" w:rsidR="006A3667" w:rsidRDefault="006A3667">
            <w:pPr>
              <w:rPr>
                <w:rFonts w:ascii="宋体"/>
              </w:rPr>
            </w:pPr>
          </w:p>
        </w:tc>
        <w:tc>
          <w:tcPr>
            <w:tcW w:w="617" w:type="pct"/>
            <w:shd w:val="clear" w:color="auto" w:fill="auto"/>
            <w:vAlign w:val="bottom"/>
          </w:tcPr>
          <w:p w14:paraId="71D40FB8" w14:textId="77777777" w:rsidR="006A3667" w:rsidRDefault="006A3667">
            <w:pPr>
              <w:rPr>
                <w:rFonts w:ascii="宋体"/>
              </w:rPr>
            </w:pPr>
          </w:p>
        </w:tc>
        <w:tc>
          <w:tcPr>
            <w:tcW w:w="5" w:type="pct"/>
            <w:shd w:val="clear" w:color="auto" w:fill="auto"/>
            <w:vAlign w:val="bottom"/>
          </w:tcPr>
          <w:p w14:paraId="71D40FB9" w14:textId="77777777" w:rsidR="006A3667" w:rsidRDefault="006A3667">
            <w:pPr>
              <w:rPr>
                <w:rFonts w:ascii="宋体"/>
              </w:rPr>
            </w:pPr>
          </w:p>
        </w:tc>
        <w:tc>
          <w:tcPr>
            <w:tcW w:w="5" w:type="pct"/>
            <w:shd w:val="clear" w:color="auto" w:fill="auto"/>
            <w:vAlign w:val="bottom"/>
          </w:tcPr>
          <w:p w14:paraId="71D40FBA" w14:textId="77777777" w:rsidR="006A3667" w:rsidRDefault="006A3667">
            <w:pPr>
              <w:rPr>
                <w:rFonts w:ascii="宋体"/>
              </w:rPr>
            </w:pPr>
          </w:p>
        </w:tc>
        <w:tc>
          <w:tcPr>
            <w:tcW w:w="19" w:type="pct"/>
            <w:shd w:val="clear" w:color="auto" w:fill="auto"/>
            <w:vAlign w:val="bottom"/>
          </w:tcPr>
          <w:p w14:paraId="71D40FBB" w14:textId="77777777" w:rsidR="006A3667" w:rsidRDefault="006A3667">
            <w:pPr>
              <w:rPr>
                <w:rFonts w:ascii="宋体"/>
              </w:rPr>
            </w:pPr>
          </w:p>
        </w:tc>
        <w:tc>
          <w:tcPr>
            <w:tcW w:w="5" w:type="pct"/>
            <w:shd w:val="clear" w:color="auto" w:fill="auto"/>
            <w:vAlign w:val="bottom"/>
          </w:tcPr>
          <w:p w14:paraId="71D40FBC" w14:textId="77777777" w:rsidR="006A3667" w:rsidRDefault="006A3667">
            <w:pPr>
              <w:rPr>
                <w:rFonts w:ascii="宋体"/>
              </w:rPr>
            </w:pPr>
          </w:p>
        </w:tc>
        <w:tc>
          <w:tcPr>
            <w:tcW w:w="50" w:type="pct"/>
            <w:shd w:val="clear" w:color="auto" w:fill="auto"/>
            <w:vAlign w:val="bottom"/>
          </w:tcPr>
          <w:p w14:paraId="71D40FBD" w14:textId="77777777" w:rsidR="006A3667" w:rsidRDefault="006A3667">
            <w:pPr>
              <w:rPr>
                <w:rFonts w:ascii="宋体"/>
              </w:rPr>
            </w:pPr>
          </w:p>
        </w:tc>
        <w:tc>
          <w:tcPr>
            <w:tcW w:w="617" w:type="pct"/>
            <w:shd w:val="clear" w:color="auto" w:fill="auto"/>
            <w:vAlign w:val="bottom"/>
          </w:tcPr>
          <w:p w14:paraId="71D40FBE" w14:textId="77777777" w:rsidR="006A3667" w:rsidRDefault="006A3667">
            <w:pPr>
              <w:rPr>
                <w:rFonts w:ascii="宋体"/>
              </w:rPr>
            </w:pPr>
          </w:p>
        </w:tc>
        <w:tc>
          <w:tcPr>
            <w:tcW w:w="5" w:type="pct"/>
            <w:shd w:val="clear" w:color="auto" w:fill="auto"/>
            <w:vAlign w:val="bottom"/>
          </w:tcPr>
          <w:p w14:paraId="71D40FBF" w14:textId="77777777" w:rsidR="006A3667" w:rsidRDefault="006A3667">
            <w:pPr>
              <w:rPr>
                <w:rFonts w:ascii="宋体"/>
              </w:rPr>
            </w:pPr>
          </w:p>
        </w:tc>
        <w:tc>
          <w:tcPr>
            <w:tcW w:w="5" w:type="pct"/>
            <w:shd w:val="clear" w:color="auto" w:fill="auto"/>
            <w:vAlign w:val="bottom"/>
          </w:tcPr>
          <w:p w14:paraId="71D40FC0" w14:textId="77777777" w:rsidR="006A3667" w:rsidRDefault="006A3667">
            <w:pPr>
              <w:rPr>
                <w:rFonts w:ascii="宋体"/>
              </w:rPr>
            </w:pPr>
          </w:p>
        </w:tc>
        <w:tc>
          <w:tcPr>
            <w:tcW w:w="19" w:type="pct"/>
            <w:shd w:val="clear" w:color="auto" w:fill="auto"/>
            <w:vAlign w:val="bottom"/>
          </w:tcPr>
          <w:p w14:paraId="71D40FC1" w14:textId="77777777" w:rsidR="006A3667" w:rsidRDefault="006A3667">
            <w:pPr>
              <w:rPr>
                <w:rFonts w:ascii="宋体"/>
              </w:rPr>
            </w:pPr>
          </w:p>
        </w:tc>
        <w:tc>
          <w:tcPr>
            <w:tcW w:w="5" w:type="pct"/>
            <w:shd w:val="clear" w:color="auto" w:fill="auto"/>
            <w:vAlign w:val="bottom"/>
          </w:tcPr>
          <w:p w14:paraId="71D40FC2" w14:textId="77777777" w:rsidR="006A3667" w:rsidRDefault="006A3667">
            <w:pPr>
              <w:rPr>
                <w:rFonts w:ascii="宋体"/>
              </w:rPr>
            </w:pPr>
          </w:p>
        </w:tc>
        <w:tc>
          <w:tcPr>
            <w:tcW w:w="50" w:type="pct"/>
            <w:shd w:val="clear" w:color="auto" w:fill="auto"/>
            <w:vAlign w:val="bottom"/>
          </w:tcPr>
          <w:p w14:paraId="71D40FC3" w14:textId="77777777" w:rsidR="006A3667" w:rsidRDefault="006A3667">
            <w:pPr>
              <w:rPr>
                <w:rFonts w:ascii="宋体"/>
              </w:rPr>
            </w:pPr>
          </w:p>
        </w:tc>
        <w:tc>
          <w:tcPr>
            <w:tcW w:w="617" w:type="pct"/>
            <w:shd w:val="clear" w:color="auto" w:fill="auto"/>
            <w:vAlign w:val="bottom"/>
          </w:tcPr>
          <w:p w14:paraId="71D40FC4" w14:textId="77777777" w:rsidR="006A3667" w:rsidRDefault="006A3667">
            <w:pPr>
              <w:rPr>
                <w:rFonts w:ascii="宋体"/>
              </w:rPr>
            </w:pPr>
          </w:p>
        </w:tc>
        <w:tc>
          <w:tcPr>
            <w:tcW w:w="5" w:type="pct"/>
            <w:shd w:val="clear" w:color="auto" w:fill="auto"/>
            <w:vAlign w:val="bottom"/>
          </w:tcPr>
          <w:p w14:paraId="71D40FC5" w14:textId="77777777" w:rsidR="006A3667" w:rsidRDefault="006A3667">
            <w:pPr>
              <w:rPr>
                <w:rFonts w:ascii="宋体"/>
              </w:rPr>
            </w:pPr>
          </w:p>
        </w:tc>
        <w:tc>
          <w:tcPr>
            <w:tcW w:w="5" w:type="pct"/>
            <w:shd w:val="clear" w:color="auto" w:fill="auto"/>
            <w:vAlign w:val="bottom"/>
          </w:tcPr>
          <w:p w14:paraId="71D40FC6" w14:textId="77777777" w:rsidR="006A3667" w:rsidRDefault="006A3667">
            <w:pPr>
              <w:rPr>
                <w:rFonts w:ascii="宋体"/>
              </w:rPr>
            </w:pPr>
          </w:p>
        </w:tc>
        <w:tc>
          <w:tcPr>
            <w:tcW w:w="19" w:type="pct"/>
            <w:shd w:val="clear" w:color="auto" w:fill="auto"/>
            <w:vAlign w:val="bottom"/>
          </w:tcPr>
          <w:p w14:paraId="71D40FC7" w14:textId="77777777" w:rsidR="006A3667" w:rsidRDefault="006A3667">
            <w:pPr>
              <w:rPr>
                <w:rFonts w:ascii="宋体"/>
              </w:rPr>
            </w:pPr>
          </w:p>
        </w:tc>
        <w:tc>
          <w:tcPr>
            <w:tcW w:w="5" w:type="pct"/>
            <w:shd w:val="clear" w:color="auto" w:fill="auto"/>
            <w:vAlign w:val="bottom"/>
          </w:tcPr>
          <w:p w14:paraId="71D40FC8" w14:textId="77777777" w:rsidR="006A3667" w:rsidRDefault="006A3667">
            <w:pPr>
              <w:rPr>
                <w:rFonts w:ascii="宋体"/>
              </w:rPr>
            </w:pPr>
          </w:p>
        </w:tc>
        <w:tc>
          <w:tcPr>
            <w:tcW w:w="50" w:type="pct"/>
            <w:shd w:val="clear" w:color="auto" w:fill="auto"/>
            <w:vAlign w:val="bottom"/>
          </w:tcPr>
          <w:p w14:paraId="71D40FC9" w14:textId="77777777" w:rsidR="006A3667" w:rsidRDefault="006A3667">
            <w:pPr>
              <w:rPr>
                <w:rFonts w:ascii="宋体"/>
              </w:rPr>
            </w:pPr>
          </w:p>
        </w:tc>
        <w:tc>
          <w:tcPr>
            <w:tcW w:w="617" w:type="pct"/>
            <w:shd w:val="clear" w:color="auto" w:fill="auto"/>
            <w:vAlign w:val="bottom"/>
          </w:tcPr>
          <w:p w14:paraId="71D40FCA" w14:textId="77777777" w:rsidR="006A3667" w:rsidRDefault="006A3667">
            <w:pPr>
              <w:rPr>
                <w:rFonts w:ascii="宋体"/>
              </w:rPr>
            </w:pPr>
          </w:p>
        </w:tc>
        <w:tc>
          <w:tcPr>
            <w:tcW w:w="5" w:type="pct"/>
            <w:shd w:val="clear" w:color="auto" w:fill="auto"/>
            <w:vAlign w:val="bottom"/>
          </w:tcPr>
          <w:p w14:paraId="71D40FCB" w14:textId="77777777" w:rsidR="006A3667" w:rsidRDefault="006A3667">
            <w:pPr>
              <w:rPr>
                <w:rFonts w:ascii="宋体"/>
              </w:rPr>
            </w:pPr>
          </w:p>
        </w:tc>
      </w:tr>
      <w:tr w:rsidR="006A3667" w14:paraId="71D40FCE" w14:textId="77777777">
        <w:tc>
          <w:tcPr>
            <w:tcW w:w="0" w:type="auto"/>
            <w:gridSpan w:val="36"/>
            <w:shd w:val="clear" w:color="auto" w:fill="auto"/>
            <w:tcMar>
              <w:top w:w="40" w:type="dxa"/>
              <w:left w:w="20" w:type="dxa"/>
              <w:bottom w:w="40" w:type="dxa"/>
              <w:right w:w="20" w:type="dxa"/>
            </w:tcMar>
            <w:vAlign w:val="bottom"/>
          </w:tcPr>
          <w:p w14:paraId="71D40FCD" w14:textId="77777777" w:rsidR="006A3667" w:rsidRDefault="00045F32">
            <w:pPr>
              <w:textAlignment w:val="bottom"/>
            </w:pPr>
            <w:r>
              <w:rPr>
                <w:rFonts w:ascii="Arial" w:eastAsia="宋体" w:hAnsi="Arial" w:cs="Arial"/>
                <w:b/>
                <w:bCs/>
                <w:color w:val="000000"/>
                <w:sz w:val="16"/>
                <w:szCs w:val="16"/>
              </w:rPr>
              <w:t>TABLE 32: KEY INTEREST RATES FOR BASELINE FORECASTS</w:t>
            </w:r>
          </w:p>
        </w:tc>
      </w:tr>
      <w:tr w:rsidR="006A3667" w14:paraId="71D40FD3" w14:textId="77777777">
        <w:tc>
          <w:tcPr>
            <w:tcW w:w="0" w:type="auto"/>
            <w:gridSpan w:val="3"/>
            <w:shd w:val="clear" w:color="auto" w:fill="auto"/>
            <w:tcMar>
              <w:top w:w="0" w:type="dxa"/>
              <w:left w:w="20" w:type="dxa"/>
              <w:bottom w:w="0" w:type="dxa"/>
              <w:right w:w="20" w:type="dxa"/>
            </w:tcMar>
            <w:vAlign w:val="bottom"/>
          </w:tcPr>
          <w:p w14:paraId="71D40FCF"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0FD0" w14:textId="77777777" w:rsidR="006A3667" w:rsidRDefault="00045F32">
            <w:pPr>
              <w:jc w:val="center"/>
              <w:textAlignment w:val="bottom"/>
            </w:pPr>
            <w:r>
              <w:rPr>
                <w:rFonts w:ascii="Arial" w:eastAsia="宋体" w:hAnsi="Arial" w:cs="Arial"/>
                <w:b/>
                <w:bCs/>
                <w:color w:val="000000"/>
                <w:sz w:val="14"/>
                <w:szCs w:val="14"/>
              </w:rPr>
              <w:t>September 30, 2022</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40FD1"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0FD2" w14:textId="77777777" w:rsidR="006A3667" w:rsidRDefault="00045F32">
            <w:pPr>
              <w:jc w:val="center"/>
              <w:textAlignment w:val="bottom"/>
            </w:pPr>
            <w:r>
              <w:rPr>
                <w:rFonts w:ascii="Arial" w:eastAsia="宋体" w:hAnsi="Arial" w:cs="Arial"/>
                <w:b/>
                <w:bCs/>
                <w:color w:val="000000"/>
                <w:sz w:val="14"/>
                <w:szCs w:val="14"/>
              </w:rPr>
              <w:t xml:space="preserve"> September 30, </w:t>
            </w:r>
            <w:r>
              <w:rPr>
                <w:rFonts w:ascii="Arial" w:eastAsia="宋体" w:hAnsi="Arial" w:cs="Arial"/>
                <w:b/>
                <w:bCs/>
                <w:color w:val="000000"/>
                <w:sz w:val="14"/>
                <w:szCs w:val="14"/>
              </w:rPr>
              <w:t>2021</w:t>
            </w:r>
          </w:p>
        </w:tc>
      </w:tr>
      <w:tr w:rsidR="006A3667" w14:paraId="71D40FE0" w14:textId="77777777">
        <w:tc>
          <w:tcPr>
            <w:tcW w:w="0" w:type="auto"/>
            <w:gridSpan w:val="3"/>
            <w:shd w:val="clear" w:color="auto" w:fill="auto"/>
            <w:tcMar>
              <w:top w:w="0" w:type="dxa"/>
              <w:left w:w="20" w:type="dxa"/>
              <w:bottom w:w="0" w:type="dxa"/>
              <w:right w:w="20" w:type="dxa"/>
            </w:tcMar>
            <w:vAlign w:val="bottom"/>
          </w:tcPr>
          <w:p w14:paraId="71D40FD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FD5" w14:textId="77777777" w:rsidR="006A3667" w:rsidRDefault="00045F32">
            <w:pPr>
              <w:jc w:val="center"/>
              <w:textAlignment w:val="bottom"/>
            </w:pPr>
            <w:r>
              <w:rPr>
                <w:rFonts w:ascii="Arial" w:eastAsia="宋体" w:hAnsi="Arial" w:cs="Arial"/>
                <w:b/>
                <w:bCs/>
                <w:color w:val="000000"/>
                <w:sz w:val="14"/>
                <w:szCs w:val="14"/>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FD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FD7" w14:textId="77777777" w:rsidR="006A3667" w:rsidRDefault="00045F32">
            <w:pPr>
              <w:jc w:val="center"/>
              <w:textAlignment w:val="bottom"/>
            </w:pPr>
            <w:r>
              <w:rPr>
                <w:rFonts w:ascii="Arial" w:eastAsia="宋体" w:hAnsi="Arial" w:cs="Arial"/>
                <w:b/>
                <w:bCs/>
                <w:color w:val="000000"/>
                <w:sz w:val="14"/>
                <w:szCs w:val="14"/>
              </w:rPr>
              <w:t>ECB Target</w:t>
            </w:r>
            <w:r>
              <w:rPr>
                <w:rFonts w:ascii="Arial" w:eastAsia="宋体" w:hAnsi="Arial" w:cs="Arial"/>
                <w:b/>
                <w:bCs/>
                <w:color w:val="000000"/>
                <w:sz w:val="9"/>
                <w:szCs w:val="9"/>
              </w:rPr>
              <w:t>(2)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FD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FD9" w14:textId="77777777" w:rsidR="006A3667" w:rsidRDefault="00045F32">
            <w:pPr>
              <w:jc w:val="center"/>
              <w:textAlignment w:val="bottom"/>
            </w:pPr>
            <w:r>
              <w:rPr>
                <w:rFonts w:ascii="Arial" w:eastAsia="宋体" w:hAnsi="Arial" w:cs="Arial"/>
                <w:b/>
                <w:bCs/>
                <w:color w:val="000000"/>
                <w:sz w:val="14"/>
                <w:szCs w:val="14"/>
              </w:rPr>
              <w:t>10-Year Treasury</w:t>
            </w:r>
          </w:p>
        </w:tc>
        <w:tc>
          <w:tcPr>
            <w:tcW w:w="0" w:type="auto"/>
            <w:gridSpan w:val="3"/>
            <w:shd w:val="clear" w:color="auto" w:fill="auto"/>
            <w:tcMar>
              <w:top w:w="0" w:type="dxa"/>
              <w:left w:w="20" w:type="dxa"/>
              <w:bottom w:w="0" w:type="dxa"/>
              <w:right w:w="20" w:type="dxa"/>
            </w:tcMar>
            <w:vAlign w:val="bottom"/>
          </w:tcPr>
          <w:p w14:paraId="71D40FD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FDB" w14:textId="77777777" w:rsidR="006A3667" w:rsidRDefault="00045F32">
            <w:pPr>
              <w:jc w:val="center"/>
              <w:textAlignment w:val="bottom"/>
            </w:pPr>
            <w:r>
              <w:rPr>
                <w:rFonts w:ascii="Arial" w:eastAsia="宋体" w:hAnsi="Arial" w:cs="Arial"/>
                <w:b/>
                <w:bCs/>
                <w:color w:val="000000"/>
                <w:sz w:val="14"/>
                <w:szCs w:val="14"/>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FD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FDD" w14:textId="77777777" w:rsidR="006A3667" w:rsidRDefault="00045F32">
            <w:pPr>
              <w:jc w:val="center"/>
              <w:textAlignment w:val="bottom"/>
            </w:pPr>
            <w:r>
              <w:rPr>
                <w:rFonts w:ascii="Arial" w:eastAsia="宋体" w:hAnsi="Arial" w:cs="Arial"/>
                <w:b/>
                <w:bCs/>
                <w:color w:val="000000"/>
                <w:sz w:val="14"/>
                <w:szCs w:val="14"/>
              </w:rPr>
              <w:t>ECB Target</w:t>
            </w:r>
            <w:r>
              <w:rPr>
                <w:rFonts w:ascii="Arial" w:eastAsia="宋体" w:hAnsi="Arial" w:cs="Arial"/>
                <w:b/>
                <w:bCs/>
                <w:color w:val="000000"/>
                <w:sz w:val="9"/>
                <w:szCs w:val="9"/>
              </w:rPr>
              <w:t>(2)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0FD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0FDF" w14:textId="77777777" w:rsidR="006A3667" w:rsidRDefault="00045F32">
            <w:pPr>
              <w:jc w:val="center"/>
              <w:textAlignment w:val="bottom"/>
            </w:pPr>
            <w:r>
              <w:rPr>
                <w:rFonts w:ascii="Arial" w:eastAsia="宋体" w:hAnsi="Arial" w:cs="Arial"/>
                <w:b/>
                <w:bCs/>
                <w:color w:val="000000"/>
                <w:sz w:val="14"/>
                <w:szCs w:val="14"/>
              </w:rPr>
              <w:t>10-Year Treasury</w:t>
            </w:r>
          </w:p>
        </w:tc>
      </w:tr>
      <w:tr w:rsidR="006A3667" w14:paraId="71D40FF3" w14:textId="77777777">
        <w:tc>
          <w:tcPr>
            <w:tcW w:w="0" w:type="auto"/>
            <w:gridSpan w:val="3"/>
            <w:shd w:val="clear" w:color="auto" w:fill="CCEEFF"/>
            <w:tcMar>
              <w:top w:w="40" w:type="dxa"/>
              <w:left w:w="20" w:type="dxa"/>
              <w:bottom w:w="40" w:type="dxa"/>
              <w:right w:w="20" w:type="dxa"/>
            </w:tcMar>
            <w:vAlign w:val="bottom"/>
          </w:tcPr>
          <w:p w14:paraId="71D40FE1" w14:textId="77777777" w:rsidR="006A3667" w:rsidRDefault="00045F32">
            <w:pPr>
              <w:textAlignment w:val="bottom"/>
            </w:pPr>
            <w:r>
              <w:rPr>
                <w:rFonts w:ascii="Arial" w:eastAsia="宋体" w:hAnsi="Arial" w:cs="Arial"/>
                <w:color w:val="000000"/>
                <w:sz w:val="14"/>
                <w:szCs w:val="14"/>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FE2" w14:textId="77777777" w:rsidR="006A3667" w:rsidRDefault="00045F32">
            <w:pPr>
              <w:jc w:val="right"/>
              <w:textAlignment w:val="bottom"/>
            </w:pPr>
            <w:r>
              <w:rPr>
                <w:rFonts w:ascii="Arial" w:eastAsia="宋体" w:hAnsi="Arial" w:cs="Arial"/>
                <w:b/>
                <w:bCs/>
                <w:color w:val="000000"/>
                <w:sz w:val="14"/>
                <w:szCs w:val="14"/>
              </w:rPr>
              <w:t>3.25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FE3"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40FE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FE5" w14:textId="77777777" w:rsidR="006A3667" w:rsidRDefault="00045F32">
            <w:pPr>
              <w:jc w:val="right"/>
              <w:textAlignment w:val="bottom"/>
            </w:pPr>
            <w:r>
              <w:rPr>
                <w:rFonts w:ascii="Arial" w:eastAsia="宋体" w:hAnsi="Arial" w:cs="Arial"/>
                <w:b/>
                <w:bCs/>
                <w:color w:val="000000"/>
                <w:sz w:val="14"/>
                <w:szCs w:val="14"/>
              </w:rPr>
              <w:t>0.75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FE6"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40FE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FE8" w14:textId="77777777" w:rsidR="006A3667" w:rsidRDefault="00045F32">
            <w:pPr>
              <w:jc w:val="right"/>
              <w:textAlignment w:val="bottom"/>
            </w:pPr>
            <w:r>
              <w:rPr>
                <w:rFonts w:ascii="Arial" w:eastAsia="宋体" w:hAnsi="Arial" w:cs="Arial"/>
                <w:b/>
                <w:bCs/>
                <w:color w:val="000000"/>
                <w:sz w:val="14"/>
                <w:szCs w:val="14"/>
              </w:rPr>
              <w:t>3.83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FE9"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40FE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FEB" w14:textId="77777777" w:rsidR="006A3667" w:rsidRDefault="00045F32">
            <w:pPr>
              <w:jc w:val="right"/>
              <w:textAlignment w:val="bottom"/>
            </w:pPr>
            <w:r>
              <w:rPr>
                <w:rFonts w:ascii="Arial" w:eastAsia="宋体" w:hAnsi="Arial" w:cs="Arial"/>
                <w:color w:val="000000"/>
                <w:sz w:val="14"/>
                <w:szCs w:val="14"/>
              </w:rPr>
              <w:t>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FEC" w14:textId="77777777" w:rsidR="006A3667" w:rsidRDefault="00045F32">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40FE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FEE" w14:textId="77777777" w:rsidR="006A3667" w:rsidRDefault="00045F32">
            <w:pPr>
              <w:jc w:val="right"/>
              <w:textAlignment w:val="bottom"/>
            </w:pPr>
            <w:r>
              <w:rPr>
                <w:rFonts w:ascii="Arial" w:eastAsia="宋体" w:hAnsi="Arial" w:cs="Arial"/>
                <w:color w:val="000000"/>
                <w:sz w:val="14"/>
                <w:szCs w:val="14"/>
              </w:rPr>
              <w:t>(0.50)</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FEF" w14:textId="77777777" w:rsidR="006A3667" w:rsidRDefault="00045F32">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71D40FF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0FF1" w14:textId="77777777" w:rsidR="006A3667" w:rsidRDefault="00045F32">
            <w:pPr>
              <w:jc w:val="right"/>
              <w:textAlignment w:val="bottom"/>
            </w:pPr>
            <w:r>
              <w:rPr>
                <w:rFonts w:ascii="Arial" w:eastAsia="宋体" w:hAnsi="Arial" w:cs="Arial"/>
                <w:color w:val="000000"/>
                <w:sz w:val="14"/>
                <w:szCs w:val="14"/>
              </w:rPr>
              <w:t>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0FF2" w14:textId="77777777" w:rsidR="006A3667" w:rsidRDefault="00045F32">
            <w:pPr>
              <w:jc w:val="right"/>
              <w:textAlignment w:val="bottom"/>
            </w:pPr>
            <w:r>
              <w:rPr>
                <w:rFonts w:ascii="Arial" w:eastAsia="宋体" w:hAnsi="Arial" w:cs="Arial"/>
                <w:color w:val="000000"/>
                <w:sz w:val="14"/>
                <w:szCs w:val="14"/>
              </w:rPr>
              <w:t>%</w:t>
            </w:r>
          </w:p>
        </w:tc>
      </w:tr>
      <w:tr w:rsidR="006A3667" w14:paraId="71D41006" w14:textId="77777777">
        <w:tc>
          <w:tcPr>
            <w:tcW w:w="0" w:type="auto"/>
            <w:gridSpan w:val="3"/>
            <w:shd w:val="clear" w:color="auto" w:fill="FFFFFF"/>
            <w:tcMar>
              <w:top w:w="40" w:type="dxa"/>
              <w:left w:w="20" w:type="dxa"/>
              <w:bottom w:w="40" w:type="dxa"/>
              <w:right w:w="20" w:type="dxa"/>
            </w:tcMar>
            <w:vAlign w:val="bottom"/>
          </w:tcPr>
          <w:p w14:paraId="71D40FF4" w14:textId="77777777" w:rsidR="006A3667" w:rsidRDefault="00045F32">
            <w:pPr>
              <w:textAlignment w:val="bottom"/>
            </w:pPr>
            <w:r>
              <w:rPr>
                <w:rFonts w:ascii="Arial" w:eastAsia="宋体" w:hAnsi="Arial" w:cs="Arial"/>
                <w:color w:val="000000"/>
                <w:sz w:val="14"/>
                <w:szCs w:val="14"/>
              </w:rPr>
              <w:t>12-month</w:t>
            </w:r>
            <w:r>
              <w:rPr>
                <w:rFonts w:ascii="Arial" w:eastAsia="宋体" w:hAnsi="Arial" w:cs="Arial"/>
                <w:color w:val="000000"/>
                <w:sz w:val="14"/>
                <w:szCs w:val="14"/>
              </w:rPr>
              <w:t xml:space="preserve"> forward rates</w:t>
            </w:r>
          </w:p>
        </w:tc>
        <w:tc>
          <w:tcPr>
            <w:tcW w:w="0" w:type="auto"/>
            <w:gridSpan w:val="2"/>
            <w:shd w:val="clear" w:color="auto" w:fill="FFFFFF"/>
            <w:tcMar>
              <w:top w:w="40" w:type="dxa"/>
              <w:left w:w="20" w:type="dxa"/>
              <w:bottom w:w="40" w:type="dxa"/>
              <w:right w:w="0" w:type="dxa"/>
            </w:tcMar>
            <w:vAlign w:val="bottom"/>
          </w:tcPr>
          <w:p w14:paraId="71D40FF5" w14:textId="77777777" w:rsidR="006A3667" w:rsidRDefault="00045F32">
            <w:pPr>
              <w:jc w:val="right"/>
              <w:textAlignment w:val="bottom"/>
            </w:pPr>
            <w:r>
              <w:rPr>
                <w:rFonts w:ascii="Arial" w:eastAsia="宋体" w:hAnsi="Arial" w:cs="Arial"/>
                <w:b/>
                <w:bCs/>
                <w:color w:val="000000"/>
                <w:sz w:val="14"/>
                <w:szCs w:val="14"/>
              </w:rPr>
              <w:t>4.50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F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F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F8" w14:textId="77777777" w:rsidR="006A3667" w:rsidRDefault="00045F32">
            <w:pPr>
              <w:jc w:val="right"/>
              <w:textAlignment w:val="bottom"/>
            </w:pPr>
            <w:r>
              <w:rPr>
                <w:rFonts w:ascii="Arial" w:eastAsia="宋体" w:hAnsi="Arial" w:cs="Arial"/>
                <w:b/>
                <w:bCs/>
                <w:color w:val="000000"/>
                <w:sz w:val="14"/>
                <w:szCs w:val="14"/>
              </w:rPr>
              <w:t>3.00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FF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F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FB" w14:textId="77777777" w:rsidR="006A3667" w:rsidRDefault="00045F32">
            <w:pPr>
              <w:jc w:val="right"/>
              <w:textAlignment w:val="bottom"/>
            </w:pPr>
            <w:r>
              <w:rPr>
                <w:rFonts w:ascii="Arial" w:eastAsia="宋体" w:hAnsi="Arial" w:cs="Arial"/>
                <w:b/>
                <w:bCs/>
                <w:color w:val="000000"/>
                <w:sz w:val="14"/>
                <w:szCs w:val="14"/>
              </w:rPr>
              <w:t>3.79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0FF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0FF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0FFE" w14:textId="77777777" w:rsidR="006A3667" w:rsidRDefault="00045F32">
            <w:pPr>
              <w:jc w:val="right"/>
              <w:textAlignment w:val="bottom"/>
            </w:pPr>
            <w:r>
              <w:rPr>
                <w:rFonts w:ascii="Arial" w:eastAsia="宋体" w:hAnsi="Arial" w:cs="Arial"/>
                <w:color w:val="000000"/>
                <w:sz w:val="14"/>
                <w:szCs w:val="14"/>
              </w:rPr>
              <w:t>0.25 </w:t>
            </w:r>
          </w:p>
        </w:tc>
        <w:tc>
          <w:tcPr>
            <w:tcW w:w="0" w:type="auto"/>
            <w:shd w:val="clear" w:color="auto" w:fill="FFFFFF"/>
            <w:tcMar>
              <w:top w:w="40" w:type="dxa"/>
              <w:left w:w="0" w:type="dxa"/>
              <w:bottom w:w="40" w:type="dxa"/>
              <w:right w:w="20" w:type="dxa"/>
            </w:tcMar>
            <w:vAlign w:val="bottom"/>
          </w:tcPr>
          <w:p w14:paraId="71D40FF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0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01" w14:textId="77777777" w:rsidR="006A3667" w:rsidRDefault="00045F32">
            <w:pPr>
              <w:jc w:val="right"/>
              <w:textAlignment w:val="bottom"/>
            </w:pPr>
            <w:r>
              <w:rPr>
                <w:rFonts w:ascii="Arial" w:eastAsia="宋体" w:hAnsi="Arial" w:cs="Arial"/>
                <w:color w:val="000000"/>
                <w:sz w:val="14"/>
                <w:szCs w:val="14"/>
              </w:rPr>
              <w:t>(0.50)</w:t>
            </w:r>
          </w:p>
        </w:tc>
        <w:tc>
          <w:tcPr>
            <w:tcW w:w="0" w:type="auto"/>
            <w:shd w:val="clear" w:color="auto" w:fill="FFFFFF"/>
            <w:tcMar>
              <w:top w:w="40" w:type="dxa"/>
              <w:left w:w="0" w:type="dxa"/>
              <w:bottom w:w="40" w:type="dxa"/>
              <w:right w:w="20" w:type="dxa"/>
            </w:tcMar>
            <w:vAlign w:val="bottom"/>
          </w:tcPr>
          <w:p w14:paraId="71D4100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0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04" w14:textId="77777777" w:rsidR="006A3667" w:rsidRDefault="00045F32">
            <w:pPr>
              <w:jc w:val="right"/>
              <w:textAlignment w:val="bottom"/>
            </w:pPr>
            <w:r>
              <w:rPr>
                <w:rFonts w:ascii="Arial" w:eastAsia="宋体" w:hAnsi="Arial" w:cs="Arial"/>
                <w:color w:val="000000"/>
                <w:sz w:val="14"/>
                <w:szCs w:val="14"/>
              </w:rPr>
              <w:t>1.70 </w:t>
            </w:r>
          </w:p>
        </w:tc>
        <w:tc>
          <w:tcPr>
            <w:tcW w:w="0" w:type="auto"/>
            <w:shd w:val="clear" w:color="auto" w:fill="FFFFFF"/>
            <w:tcMar>
              <w:top w:w="40" w:type="dxa"/>
              <w:left w:w="0" w:type="dxa"/>
              <w:bottom w:w="40" w:type="dxa"/>
              <w:right w:w="20" w:type="dxa"/>
            </w:tcMar>
            <w:vAlign w:val="bottom"/>
          </w:tcPr>
          <w:p w14:paraId="71D41005" w14:textId="77777777" w:rsidR="006A3667" w:rsidRDefault="006A3667">
            <w:pPr>
              <w:jc w:val="right"/>
              <w:rPr>
                <w:rFonts w:ascii="宋体"/>
              </w:rPr>
            </w:pPr>
          </w:p>
        </w:tc>
      </w:tr>
    </w:tbl>
    <w:p w14:paraId="71D41007"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6A3667" w14:paraId="71D41011" w14:textId="77777777">
        <w:tc>
          <w:tcPr>
            <w:tcW w:w="50" w:type="pct"/>
            <w:shd w:val="clear" w:color="auto" w:fill="auto"/>
            <w:vAlign w:val="bottom"/>
          </w:tcPr>
          <w:p w14:paraId="71D41008" w14:textId="77777777" w:rsidR="006A3667" w:rsidRDefault="006A3667">
            <w:pPr>
              <w:rPr>
                <w:rFonts w:ascii="宋体"/>
              </w:rPr>
            </w:pPr>
          </w:p>
        </w:tc>
        <w:tc>
          <w:tcPr>
            <w:tcW w:w="1348" w:type="pct"/>
            <w:shd w:val="clear" w:color="auto" w:fill="auto"/>
            <w:vAlign w:val="bottom"/>
          </w:tcPr>
          <w:p w14:paraId="71D41009" w14:textId="77777777" w:rsidR="006A3667" w:rsidRDefault="006A3667">
            <w:pPr>
              <w:rPr>
                <w:rFonts w:ascii="宋体"/>
              </w:rPr>
            </w:pPr>
          </w:p>
        </w:tc>
        <w:tc>
          <w:tcPr>
            <w:tcW w:w="5" w:type="pct"/>
            <w:shd w:val="clear" w:color="auto" w:fill="auto"/>
            <w:vAlign w:val="bottom"/>
          </w:tcPr>
          <w:p w14:paraId="71D4100A" w14:textId="77777777" w:rsidR="006A3667" w:rsidRDefault="006A3667">
            <w:pPr>
              <w:rPr>
                <w:rFonts w:ascii="宋体"/>
              </w:rPr>
            </w:pPr>
          </w:p>
        </w:tc>
        <w:tc>
          <w:tcPr>
            <w:tcW w:w="50" w:type="pct"/>
            <w:shd w:val="clear" w:color="auto" w:fill="auto"/>
            <w:vAlign w:val="bottom"/>
          </w:tcPr>
          <w:p w14:paraId="71D4100B" w14:textId="77777777" w:rsidR="006A3667" w:rsidRDefault="006A3667">
            <w:pPr>
              <w:rPr>
                <w:rFonts w:ascii="宋体"/>
              </w:rPr>
            </w:pPr>
          </w:p>
        </w:tc>
        <w:tc>
          <w:tcPr>
            <w:tcW w:w="1290" w:type="pct"/>
            <w:shd w:val="clear" w:color="auto" w:fill="auto"/>
            <w:vAlign w:val="bottom"/>
          </w:tcPr>
          <w:p w14:paraId="71D4100C" w14:textId="77777777" w:rsidR="006A3667" w:rsidRDefault="006A3667">
            <w:pPr>
              <w:rPr>
                <w:rFonts w:ascii="宋体"/>
              </w:rPr>
            </w:pPr>
          </w:p>
        </w:tc>
        <w:tc>
          <w:tcPr>
            <w:tcW w:w="5" w:type="pct"/>
            <w:shd w:val="clear" w:color="auto" w:fill="auto"/>
            <w:vAlign w:val="bottom"/>
          </w:tcPr>
          <w:p w14:paraId="71D4100D" w14:textId="77777777" w:rsidR="006A3667" w:rsidRDefault="006A3667">
            <w:pPr>
              <w:rPr>
                <w:rFonts w:ascii="宋体"/>
              </w:rPr>
            </w:pPr>
          </w:p>
        </w:tc>
        <w:tc>
          <w:tcPr>
            <w:tcW w:w="50" w:type="pct"/>
            <w:shd w:val="clear" w:color="auto" w:fill="auto"/>
            <w:vAlign w:val="bottom"/>
          </w:tcPr>
          <w:p w14:paraId="71D4100E" w14:textId="77777777" w:rsidR="006A3667" w:rsidRDefault="006A3667">
            <w:pPr>
              <w:rPr>
                <w:rFonts w:ascii="宋体"/>
              </w:rPr>
            </w:pPr>
          </w:p>
        </w:tc>
        <w:tc>
          <w:tcPr>
            <w:tcW w:w="2196" w:type="pct"/>
            <w:shd w:val="clear" w:color="auto" w:fill="auto"/>
            <w:vAlign w:val="bottom"/>
          </w:tcPr>
          <w:p w14:paraId="71D4100F" w14:textId="77777777" w:rsidR="006A3667" w:rsidRDefault="006A3667">
            <w:pPr>
              <w:rPr>
                <w:rFonts w:ascii="宋体"/>
              </w:rPr>
            </w:pPr>
          </w:p>
        </w:tc>
        <w:tc>
          <w:tcPr>
            <w:tcW w:w="5" w:type="pct"/>
            <w:shd w:val="clear" w:color="auto" w:fill="auto"/>
            <w:vAlign w:val="bottom"/>
          </w:tcPr>
          <w:p w14:paraId="71D41010" w14:textId="77777777" w:rsidR="006A3667" w:rsidRDefault="006A3667">
            <w:pPr>
              <w:rPr>
                <w:rFonts w:ascii="宋体"/>
              </w:rPr>
            </w:pPr>
          </w:p>
        </w:tc>
      </w:tr>
      <w:tr w:rsidR="006A3667" w14:paraId="71D4101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101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01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014" w14:textId="77777777" w:rsidR="006A3667" w:rsidRDefault="006A3667">
            <w:pPr>
              <w:rPr>
                <w:rFonts w:ascii="宋体"/>
              </w:rPr>
            </w:pPr>
          </w:p>
        </w:tc>
      </w:tr>
    </w:tbl>
    <w:p w14:paraId="71D41016" w14:textId="77777777" w:rsidR="006A3667" w:rsidRDefault="00045F32">
      <w:pPr>
        <w:spacing w:before="60"/>
      </w:pPr>
      <w:r>
        <w:rPr>
          <w:rFonts w:ascii="Arial" w:eastAsia="宋体" w:hAnsi="Arial" w:cs="Arial"/>
          <w:color w:val="000000"/>
          <w:sz w:val="8"/>
          <w:szCs w:val="8"/>
        </w:rPr>
        <w:t xml:space="preserve">(1) </w:t>
      </w:r>
      <w:r>
        <w:rPr>
          <w:rFonts w:ascii="Arial" w:eastAsia="宋体" w:hAnsi="Arial" w:cs="Arial"/>
          <w:color w:val="000000"/>
          <w:sz w:val="13"/>
          <w:szCs w:val="13"/>
        </w:rPr>
        <w:t xml:space="preserve">This reflects our internal interest rate forecast as of September 30, 2022. </w:t>
      </w:r>
    </w:p>
    <w:p w14:paraId="71D41017" w14:textId="77777777" w:rsidR="006A3667" w:rsidRDefault="00045F32">
      <w:pPr>
        <w:spacing w:before="60"/>
      </w:pPr>
      <w:r>
        <w:rPr>
          <w:rFonts w:ascii="Arial" w:eastAsia="宋体" w:hAnsi="Arial" w:cs="Arial"/>
          <w:color w:val="000000"/>
          <w:sz w:val="8"/>
          <w:szCs w:val="8"/>
        </w:rPr>
        <w:t>(2)</w:t>
      </w:r>
      <w:r>
        <w:rPr>
          <w:rFonts w:ascii="Arial" w:eastAsia="宋体" w:hAnsi="Arial" w:cs="Arial"/>
          <w:color w:val="000000"/>
          <w:sz w:val="13"/>
          <w:szCs w:val="13"/>
        </w:rPr>
        <w:t xml:space="preserve"> European Central Bank deposit facility rate</w:t>
      </w:r>
      <w:r>
        <w:rPr>
          <w:rFonts w:ascii="Arial" w:eastAsia="宋体" w:hAnsi="Arial" w:cs="Arial"/>
          <w:color w:val="000000"/>
          <w:sz w:val="14"/>
          <w:szCs w:val="14"/>
        </w:rPr>
        <w:t>.</w:t>
      </w:r>
    </w:p>
    <w:p w14:paraId="71D41018" w14:textId="77777777" w:rsidR="006A3667" w:rsidRDefault="00045F32">
      <w:pPr>
        <w:spacing w:before="60"/>
        <w:ind w:firstLine="450"/>
        <w:jc w:val="both"/>
      </w:pPr>
      <w:r>
        <w:rPr>
          <w:rFonts w:ascii="Arial" w:eastAsia="宋体" w:hAnsi="Arial" w:cs="Arial"/>
          <w:color w:val="000000"/>
          <w:sz w:val="20"/>
          <w:szCs w:val="20"/>
        </w:rPr>
        <w:t xml:space="preserve">In Table 33: Net Interest Income Sensitivity, we report the expected change in NII over the next twelve months from instantaneous </w:t>
      </w:r>
      <w:r>
        <w:rPr>
          <w:rFonts w:ascii="Arial" w:eastAsia="宋体" w:hAnsi="Arial" w:cs="Arial"/>
          <w:color w:val="000000"/>
          <w:sz w:val="20"/>
          <w:szCs w:val="20"/>
        </w:rPr>
        <w:t>shocks to various tenors on the yield curve relative to our baseline rate forecast, including the impacts from U.S. and non-U.S. rates. Each scenario assumes no management action is taken to mitigate the adverse effects of interest rates changes on our fin</w:t>
      </w:r>
      <w:r>
        <w:rPr>
          <w:rFonts w:ascii="Arial" w:eastAsia="宋体" w:hAnsi="Arial" w:cs="Arial"/>
          <w:color w:val="000000"/>
          <w:sz w:val="20"/>
          <w:szCs w:val="20"/>
        </w:rPr>
        <w:t>ancial performance. While investment securities balances and composition can fluctuate with the level of rates as prepayment assumptions change, for purposes of this analysis our deposit balances and mix are assumed to remain consistent with the baseline f</w:t>
      </w:r>
      <w:r>
        <w:rPr>
          <w:rFonts w:ascii="Arial" w:eastAsia="宋体" w:hAnsi="Arial" w:cs="Arial"/>
          <w:color w:val="000000"/>
          <w:sz w:val="20"/>
          <w:szCs w:val="20"/>
        </w:rPr>
        <w:t>orecast which assumes gradual deposit balance rotation and reductions. In lower rate scenarios, the full impact of the shock is realized for all currencies even if the result is negative interest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2265"/>
        <w:gridCol w:w="36"/>
        <w:gridCol w:w="104"/>
        <w:gridCol w:w="801"/>
        <w:gridCol w:w="36"/>
        <w:gridCol w:w="36"/>
        <w:gridCol w:w="36"/>
        <w:gridCol w:w="36"/>
        <w:gridCol w:w="105"/>
        <w:gridCol w:w="762"/>
        <w:gridCol w:w="36"/>
        <w:gridCol w:w="36"/>
        <w:gridCol w:w="36"/>
        <w:gridCol w:w="36"/>
        <w:gridCol w:w="104"/>
        <w:gridCol w:w="762"/>
        <w:gridCol w:w="36"/>
        <w:gridCol w:w="36"/>
        <w:gridCol w:w="36"/>
        <w:gridCol w:w="36"/>
        <w:gridCol w:w="105"/>
        <w:gridCol w:w="762"/>
        <w:gridCol w:w="37"/>
        <w:gridCol w:w="36"/>
        <w:gridCol w:w="36"/>
        <w:gridCol w:w="36"/>
        <w:gridCol w:w="105"/>
        <w:gridCol w:w="762"/>
        <w:gridCol w:w="36"/>
        <w:gridCol w:w="36"/>
        <w:gridCol w:w="36"/>
        <w:gridCol w:w="36"/>
        <w:gridCol w:w="105"/>
        <w:gridCol w:w="764"/>
        <w:gridCol w:w="36"/>
      </w:tblGrid>
      <w:tr w:rsidR="006A3667" w14:paraId="71D4103D" w14:textId="77777777">
        <w:tc>
          <w:tcPr>
            <w:tcW w:w="50" w:type="pct"/>
            <w:shd w:val="clear" w:color="auto" w:fill="auto"/>
            <w:vAlign w:val="bottom"/>
          </w:tcPr>
          <w:p w14:paraId="71D41019" w14:textId="77777777" w:rsidR="006A3667" w:rsidRDefault="006A3667">
            <w:pPr>
              <w:rPr>
                <w:rFonts w:ascii="宋体"/>
              </w:rPr>
            </w:pPr>
          </w:p>
        </w:tc>
        <w:tc>
          <w:tcPr>
            <w:tcW w:w="1385" w:type="pct"/>
            <w:shd w:val="clear" w:color="auto" w:fill="auto"/>
            <w:vAlign w:val="bottom"/>
          </w:tcPr>
          <w:p w14:paraId="71D4101A" w14:textId="77777777" w:rsidR="006A3667" w:rsidRDefault="006A3667">
            <w:pPr>
              <w:rPr>
                <w:rFonts w:ascii="宋体"/>
              </w:rPr>
            </w:pPr>
          </w:p>
        </w:tc>
        <w:tc>
          <w:tcPr>
            <w:tcW w:w="5" w:type="pct"/>
            <w:shd w:val="clear" w:color="auto" w:fill="auto"/>
            <w:vAlign w:val="bottom"/>
          </w:tcPr>
          <w:p w14:paraId="71D4101B" w14:textId="77777777" w:rsidR="006A3667" w:rsidRDefault="006A3667">
            <w:pPr>
              <w:rPr>
                <w:rFonts w:ascii="宋体"/>
              </w:rPr>
            </w:pPr>
          </w:p>
        </w:tc>
        <w:tc>
          <w:tcPr>
            <w:tcW w:w="50" w:type="pct"/>
            <w:shd w:val="clear" w:color="auto" w:fill="auto"/>
            <w:vAlign w:val="bottom"/>
          </w:tcPr>
          <w:p w14:paraId="71D4101C" w14:textId="77777777" w:rsidR="006A3667" w:rsidRDefault="006A3667">
            <w:pPr>
              <w:rPr>
                <w:rFonts w:ascii="宋体"/>
              </w:rPr>
            </w:pPr>
          </w:p>
        </w:tc>
        <w:tc>
          <w:tcPr>
            <w:tcW w:w="507" w:type="pct"/>
            <w:shd w:val="clear" w:color="auto" w:fill="auto"/>
            <w:vAlign w:val="bottom"/>
          </w:tcPr>
          <w:p w14:paraId="71D4101D" w14:textId="77777777" w:rsidR="006A3667" w:rsidRDefault="006A3667">
            <w:pPr>
              <w:rPr>
                <w:rFonts w:ascii="宋体"/>
              </w:rPr>
            </w:pPr>
          </w:p>
        </w:tc>
        <w:tc>
          <w:tcPr>
            <w:tcW w:w="5" w:type="pct"/>
            <w:shd w:val="clear" w:color="auto" w:fill="auto"/>
            <w:vAlign w:val="bottom"/>
          </w:tcPr>
          <w:p w14:paraId="71D4101E" w14:textId="77777777" w:rsidR="006A3667" w:rsidRDefault="006A3667">
            <w:pPr>
              <w:rPr>
                <w:rFonts w:ascii="宋体"/>
              </w:rPr>
            </w:pPr>
          </w:p>
        </w:tc>
        <w:tc>
          <w:tcPr>
            <w:tcW w:w="5" w:type="pct"/>
            <w:shd w:val="clear" w:color="auto" w:fill="auto"/>
            <w:vAlign w:val="bottom"/>
          </w:tcPr>
          <w:p w14:paraId="71D4101F" w14:textId="77777777" w:rsidR="006A3667" w:rsidRDefault="006A3667">
            <w:pPr>
              <w:rPr>
                <w:rFonts w:ascii="宋体"/>
              </w:rPr>
            </w:pPr>
          </w:p>
        </w:tc>
        <w:tc>
          <w:tcPr>
            <w:tcW w:w="26" w:type="pct"/>
            <w:shd w:val="clear" w:color="auto" w:fill="auto"/>
            <w:vAlign w:val="bottom"/>
          </w:tcPr>
          <w:p w14:paraId="71D41020" w14:textId="77777777" w:rsidR="006A3667" w:rsidRDefault="006A3667">
            <w:pPr>
              <w:rPr>
                <w:rFonts w:ascii="宋体"/>
              </w:rPr>
            </w:pPr>
          </w:p>
        </w:tc>
        <w:tc>
          <w:tcPr>
            <w:tcW w:w="5" w:type="pct"/>
            <w:shd w:val="clear" w:color="auto" w:fill="auto"/>
            <w:vAlign w:val="bottom"/>
          </w:tcPr>
          <w:p w14:paraId="71D41021" w14:textId="77777777" w:rsidR="006A3667" w:rsidRDefault="006A3667">
            <w:pPr>
              <w:rPr>
                <w:rFonts w:ascii="宋体"/>
              </w:rPr>
            </w:pPr>
          </w:p>
        </w:tc>
        <w:tc>
          <w:tcPr>
            <w:tcW w:w="50" w:type="pct"/>
            <w:shd w:val="clear" w:color="auto" w:fill="auto"/>
            <w:vAlign w:val="bottom"/>
          </w:tcPr>
          <w:p w14:paraId="71D41022" w14:textId="77777777" w:rsidR="006A3667" w:rsidRDefault="006A3667">
            <w:pPr>
              <w:rPr>
                <w:rFonts w:ascii="宋体"/>
              </w:rPr>
            </w:pPr>
          </w:p>
        </w:tc>
        <w:tc>
          <w:tcPr>
            <w:tcW w:w="507" w:type="pct"/>
            <w:shd w:val="clear" w:color="auto" w:fill="auto"/>
            <w:vAlign w:val="bottom"/>
          </w:tcPr>
          <w:p w14:paraId="71D41023" w14:textId="77777777" w:rsidR="006A3667" w:rsidRDefault="006A3667">
            <w:pPr>
              <w:rPr>
                <w:rFonts w:ascii="宋体"/>
              </w:rPr>
            </w:pPr>
          </w:p>
        </w:tc>
        <w:tc>
          <w:tcPr>
            <w:tcW w:w="5" w:type="pct"/>
            <w:shd w:val="clear" w:color="auto" w:fill="auto"/>
            <w:vAlign w:val="bottom"/>
          </w:tcPr>
          <w:p w14:paraId="71D41024" w14:textId="77777777" w:rsidR="006A3667" w:rsidRDefault="006A3667">
            <w:pPr>
              <w:rPr>
                <w:rFonts w:ascii="宋体"/>
              </w:rPr>
            </w:pPr>
          </w:p>
        </w:tc>
        <w:tc>
          <w:tcPr>
            <w:tcW w:w="5" w:type="pct"/>
            <w:shd w:val="clear" w:color="auto" w:fill="auto"/>
            <w:vAlign w:val="bottom"/>
          </w:tcPr>
          <w:p w14:paraId="71D41025" w14:textId="77777777" w:rsidR="006A3667" w:rsidRDefault="006A3667">
            <w:pPr>
              <w:rPr>
                <w:rFonts w:ascii="宋体"/>
              </w:rPr>
            </w:pPr>
          </w:p>
        </w:tc>
        <w:tc>
          <w:tcPr>
            <w:tcW w:w="26" w:type="pct"/>
            <w:shd w:val="clear" w:color="auto" w:fill="auto"/>
            <w:vAlign w:val="bottom"/>
          </w:tcPr>
          <w:p w14:paraId="71D41026" w14:textId="77777777" w:rsidR="006A3667" w:rsidRDefault="006A3667">
            <w:pPr>
              <w:rPr>
                <w:rFonts w:ascii="宋体"/>
              </w:rPr>
            </w:pPr>
          </w:p>
        </w:tc>
        <w:tc>
          <w:tcPr>
            <w:tcW w:w="5" w:type="pct"/>
            <w:shd w:val="clear" w:color="auto" w:fill="auto"/>
            <w:vAlign w:val="bottom"/>
          </w:tcPr>
          <w:p w14:paraId="71D41027" w14:textId="77777777" w:rsidR="006A3667" w:rsidRDefault="006A3667">
            <w:pPr>
              <w:rPr>
                <w:rFonts w:ascii="宋体"/>
              </w:rPr>
            </w:pPr>
          </w:p>
        </w:tc>
        <w:tc>
          <w:tcPr>
            <w:tcW w:w="50" w:type="pct"/>
            <w:shd w:val="clear" w:color="auto" w:fill="auto"/>
            <w:vAlign w:val="bottom"/>
          </w:tcPr>
          <w:p w14:paraId="71D41028" w14:textId="77777777" w:rsidR="006A3667" w:rsidRDefault="006A3667">
            <w:pPr>
              <w:rPr>
                <w:rFonts w:ascii="宋体"/>
              </w:rPr>
            </w:pPr>
          </w:p>
        </w:tc>
        <w:tc>
          <w:tcPr>
            <w:tcW w:w="507" w:type="pct"/>
            <w:shd w:val="clear" w:color="auto" w:fill="auto"/>
            <w:vAlign w:val="bottom"/>
          </w:tcPr>
          <w:p w14:paraId="71D41029" w14:textId="77777777" w:rsidR="006A3667" w:rsidRDefault="006A3667">
            <w:pPr>
              <w:rPr>
                <w:rFonts w:ascii="宋体"/>
              </w:rPr>
            </w:pPr>
          </w:p>
        </w:tc>
        <w:tc>
          <w:tcPr>
            <w:tcW w:w="5" w:type="pct"/>
            <w:shd w:val="clear" w:color="auto" w:fill="auto"/>
            <w:vAlign w:val="bottom"/>
          </w:tcPr>
          <w:p w14:paraId="71D4102A" w14:textId="77777777" w:rsidR="006A3667" w:rsidRDefault="006A3667">
            <w:pPr>
              <w:rPr>
                <w:rFonts w:ascii="宋体"/>
              </w:rPr>
            </w:pPr>
          </w:p>
        </w:tc>
        <w:tc>
          <w:tcPr>
            <w:tcW w:w="5" w:type="pct"/>
            <w:shd w:val="clear" w:color="auto" w:fill="auto"/>
            <w:vAlign w:val="bottom"/>
          </w:tcPr>
          <w:p w14:paraId="71D4102B" w14:textId="77777777" w:rsidR="006A3667" w:rsidRDefault="006A3667">
            <w:pPr>
              <w:rPr>
                <w:rFonts w:ascii="宋体"/>
              </w:rPr>
            </w:pPr>
          </w:p>
        </w:tc>
        <w:tc>
          <w:tcPr>
            <w:tcW w:w="26" w:type="pct"/>
            <w:shd w:val="clear" w:color="auto" w:fill="auto"/>
            <w:vAlign w:val="bottom"/>
          </w:tcPr>
          <w:p w14:paraId="71D4102C" w14:textId="77777777" w:rsidR="006A3667" w:rsidRDefault="006A3667">
            <w:pPr>
              <w:rPr>
                <w:rFonts w:ascii="宋体"/>
              </w:rPr>
            </w:pPr>
          </w:p>
        </w:tc>
        <w:tc>
          <w:tcPr>
            <w:tcW w:w="5" w:type="pct"/>
            <w:shd w:val="clear" w:color="auto" w:fill="auto"/>
            <w:vAlign w:val="bottom"/>
          </w:tcPr>
          <w:p w14:paraId="71D4102D" w14:textId="77777777" w:rsidR="006A3667" w:rsidRDefault="006A3667">
            <w:pPr>
              <w:rPr>
                <w:rFonts w:ascii="宋体"/>
              </w:rPr>
            </w:pPr>
          </w:p>
        </w:tc>
        <w:tc>
          <w:tcPr>
            <w:tcW w:w="50" w:type="pct"/>
            <w:shd w:val="clear" w:color="auto" w:fill="auto"/>
            <w:vAlign w:val="bottom"/>
          </w:tcPr>
          <w:p w14:paraId="71D4102E" w14:textId="77777777" w:rsidR="006A3667" w:rsidRDefault="006A3667">
            <w:pPr>
              <w:rPr>
                <w:rFonts w:ascii="宋体"/>
              </w:rPr>
            </w:pPr>
          </w:p>
        </w:tc>
        <w:tc>
          <w:tcPr>
            <w:tcW w:w="507" w:type="pct"/>
            <w:shd w:val="clear" w:color="auto" w:fill="auto"/>
            <w:vAlign w:val="bottom"/>
          </w:tcPr>
          <w:p w14:paraId="71D4102F" w14:textId="77777777" w:rsidR="006A3667" w:rsidRDefault="006A3667">
            <w:pPr>
              <w:rPr>
                <w:rFonts w:ascii="宋体"/>
              </w:rPr>
            </w:pPr>
          </w:p>
        </w:tc>
        <w:tc>
          <w:tcPr>
            <w:tcW w:w="5" w:type="pct"/>
            <w:shd w:val="clear" w:color="auto" w:fill="auto"/>
            <w:vAlign w:val="bottom"/>
          </w:tcPr>
          <w:p w14:paraId="71D41030" w14:textId="77777777" w:rsidR="006A3667" w:rsidRDefault="006A3667">
            <w:pPr>
              <w:rPr>
                <w:rFonts w:ascii="宋体"/>
              </w:rPr>
            </w:pPr>
          </w:p>
        </w:tc>
        <w:tc>
          <w:tcPr>
            <w:tcW w:w="5" w:type="pct"/>
            <w:shd w:val="clear" w:color="auto" w:fill="auto"/>
            <w:vAlign w:val="bottom"/>
          </w:tcPr>
          <w:p w14:paraId="71D41031" w14:textId="77777777" w:rsidR="006A3667" w:rsidRDefault="006A3667">
            <w:pPr>
              <w:rPr>
                <w:rFonts w:ascii="宋体"/>
              </w:rPr>
            </w:pPr>
          </w:p>
        </w:tc>
        <w:tc>
          <w:tcPr>
            <w:tcW w:w="26" w:type="pct"/>
            <w:shd w:val="clear" w:color="auto" w:fill="auto"/>
            <w:vAlign w:val="bottom"/>
          </w:tcPr>
          <w:p w14:paraId="71D41032" w14:textId="77777777" w:rsidR="006A3667" w:rsidRDefault="006A3667">
            <w:pPr>
              <w:rPr>
                <w:rFonts w:ascii="宋体"/>
              </w:rPr>
            </w:pPr>
          </w:p>
        </w:tc>
        <w:tc>
          <w:tcPr>
            <w:tcW w:w="5" w:type="pct"/>
            <w:shd w:val="clear" w:color="auto" w:fill="auto"/>
            <w:vAlign w:val="bottom"/>
          </w:tcPr>
          <w:p w14:paraId="71D41033" w14:textId="77777777" w:rsidR="006A3667" w:rsidRDefault="006A3667">
            <w:pPr>
              <w:rPr>
                <w:rFonts w:ascii="宋体"/>
              </w:rPr>
            </w:pPr>
          </w:p>
        </w:tc>
        <w:tc>
          <w:tcPr>
            <w:tcW w:w="50" w:type="pct"/>
            <w:shd w:val="clear" w:color="auto" w:fill="auto"/>
            <w:vAlign w:val="bottom"/>
          </w:tcPr>
          <w:p w14:paraId="71D41034" w14:textId="77777777" w:rsidR="006A3667" w:rsidRDefault="006A3667">
            <w:pPr>
              <w:rPr>
                <w:rFonts w:ascii="宋体"/>
              </w:rPr>
            </w:pPr>
          </w:p>
        </w:tc>
        <w:tc>
          <w:tcPr>
            <w:tcW w:w="507" w:type="pct"/>
            <w:shd w:val="clear" w:color="auto" w:fill="auto"/>
            <w:vAlign w:val="bottom"/>
          </w:tcPr>
          <w:p w14:paraId="71D41035" w14:textId="77777777" w:rsidR="006A3667" w:rsidRDefault="006A3667">
            <w:pPr>
              <w:rPr>
                <w:rFonts w:ascii="宋体"/>
              </w:rPr>
            </w:pPr>
          </w:p>
        </w:tc>
        <w:tc>
          <w:tcPr>
            <w:tcW w:w="5" w:type="pct"/>
            <w:shd w:val="clear" w:color="auto" w:fill="auto"/>
            <w:vAlign w:val="bottom"/>
          </w:tcPr>
          <w:p w14:paraId="71D41036" w14:textId="77777777" w:rsidR="006A3667" w:rsidRDefault="006A3667">
            <w:pPr>
              <w:rPr>
                <w:rFonts w:ascii="宋体"/>
              </w:rPr>
            </w:pPr>
          </w:p>
        </w:tc>
        <w:tc>
          <w:tcPr>
            <w:tcW w:w="5" w:type="pct"/>
            <w:shd w:val="clear" w:color="auto" w:fill="auto"/>
            <w:vAlign w:val="bottom"/>
          </w:tcPr>
          <w:p w14:paraId="71D41037" w14:textId="77777777" w:rsidR="006A3667" w:rsidRDefault="006A3667">
            <w:pPr>
              <w:rPr>
                <w:rFonts w:ascii="宋体"/>
              </w:rPr>
            </w:pPr>
          </w:p>
        </w:tc>
        <w:tc>
          <w:tcPr>
            <w:tcW w:w="26" w:type="pct"/>
            <w:shd w:val="clear" w:color="auto" w:fill="auto"/>
            <w:vAlign w:val="bottom"/>
          </w:tcPr>
          <w:p w14:paraId="71D41038" w14:textId="77777777" w:rsidR="006A3667" w:rsidRDefault="006A3667">
            <w:pPr>
              <w:rPr>
                <w:rFonts w:ascii="宋体"/>
              </w:rPr>
            </w:pPr>
          </w:p>
        </w:tc>
        <w:tc>
          <w:tcPr>
            <w:tcW w:w="5" w:type="pct"/>
            <w:shd w:val="clear" w:color="auto" w:fill="auto"/>
            <w:vAlign w:val="bottom"/>
          </w:tcPr>
          <w:p w14:paraId="71D41039" w14:textId="77777777" w:rsidR="006A3667" w:rsidRDefault="006A3667">
            <w:pPr>
              <w:rPr>
                <w:rFonts w:ascii="宋体"/>
              </w:rPr>
            </w:pPr>
          </w:p>
        </w:tc>
        <w:tc>
          <w:tcPr>
            <w:tcW w:w="50" w:type="pct"/>
            <w:shd w:val="clear" w:color="auto" w:fill="auto"/>
            <w:vAlign w:val="bottom"/>
          </w:tcPr>
          <w:p w14:paraId="71D4103A" w14:textId="77777777" w:rsidR="006A3667" w:rsidRDefault="006A3667">
            <w:pPr>
              <w:rPr>
                <w:rFonts w:ascii="宋体"/>
              </w:rPr>
            </w:pPr>
          </w:p>
        </w:tc>
        <w:tc>
          <w:tcPr>
            <w:tcW w:w="508" w:type="pct"/>
            <w:shd w:val="clear" w:color="auto" w:fill="auto"/>
            <w:vAlign w:val="bottom"/>
          </w:tcPr>
          <w:p w14:paraId="71D4103B" w14:textId="77777777" w:rsidR="006A3667" w:rsidRDefault="006A3667">
            <w:pPr>
              <w:rPr>
                <w:rFonts w:ascii="宋体"/>
              </w:rPr>
            </w:pPr>
          </w:p>
        </w:tc>
        <w:tc>
          <w:tcPr>
            <w:tcW w:w="5" w:type="pct"/>
            <w:shd w:val="clear" w:color="auto" w:fill="auto"/>
            <w:vAlign w:val="bottom"/>
          </w:tcPr>
          <w:p w14:paraId="71D4103C" w14:textId="77777777" w:rsidR="006A3667" w:rsidRDefault="006A3667">
            <w:pPr>
              <w:rPr>
                <w:rFonts w:ascii="宋体"/>
              </w:rPr>
            </w:pPr>
          </w:p>
        </w:tc>
      </w:tr>
      <w:tr w:rsidR="006A3667" w14:paraId="71D4103F" w14:textId="77777777">
        <w:tc>
          <w:tcPr>
            <w:tcW w:w="0" w:type="auto"/>
            <w:gridSpan w:val="36"/>
            <w:shd w:val="clear" w:color="auto" w:fill="auto"/>
            <w:tcMar>
              <w:top w:w="40" w:type="dxa"/>
              <w:left w:w="20" w:type="dxa"/>
              <w:bottom w:w="40" w:type="dxa"/>
              <w:right w:w="20" w:type="dxa"/>
            </w:tcMar>
            <w:vAlign w:val="bottom"/>
          </w:tcPr>
          <w:p w14:paraId="71D4103E" w14:textId="77777777" w:rsidR="006A3667" w:rsidRDefault="00045F32">
            <w:pPr>
              <w:textAlignment w:val="bottom"/>
            </w:pPr>
            <w:r>
              <w:rPr>
                <w:rFonts w:ascii="Arial" w:eastAsia="宋体" w:hAnsi="Arial" w:cs="Arial"/>
                <w:b/>
                <w:bCs/>
                <w:color w:val="000000"/>
                <w:sz w:val="16"/>
                <w:szCs w:val="16"/>
              </w:rPr>
              <w:t>TABLE 33: NET INTEREST INCOME SENSITIVITY</w:t>
            </w:r>
          </w:p>
        </w:tc>
      </w:tr>
      <w:tr w:rsidR="006A3667" w14:paraId="71D41044" w14:textId="77777777">
        <w:tc>
          <w:tcPr>
            <w:tcW w:w="0" w:type="auto"/>
            <w:gridSpan w:val="3"/>
            <w:shd w:val="clear" w:color="auto" w:fill="auto"/>
            <w:tcMar>
              <w:top w:w="0" w:type="dxa"/>
              <w:left w:w="20" w:type="dxa"/>
              <w:bottom w:w="0" w:type="dxa"/>
              <w:right w:w="20" w:type="dxa"/>
            </w:tcMar>
            <w:vAlign w:val="bottom"/>
          </w:tcPr>
          <w:p w14:paraId="71D41040"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1041" w14:textId="77777777" w:rsidR="006A3667" w:rsidRDefault="00045F32">
            <w:pPr>
              <w:jc w:val="center"/>
              <w:textAlignment w:val="bottom"/>
            </w:pPr>
            <w:r>
              <w:rPr>
                <w:rFonts w:ascii="Arial" w:eastAsia="宋体" w:hAnsi="Arial" w:cs="Arial"/>
                <w:b/>
                <w:bCs/>
                <w:color w:val="000000"/>
                <w:sz w:val="15"/>
                <w:szCs w:val="15"/>
              </w:rPr>
              <w:t>September 30, 2022</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41042"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1043" w14:textId="77777777" w:rsidR="006A3667" w:rsidRDefault="00045F32">
            <w:pPr>
              <w:jc w:val="center"/>
              <w:textAlignment w:val="bottom"/>
            </w:pPr>
            <w:r>
              <w:rPr>
                <w:rFonts w:ascii="Arial" w:eastAsia="宋体" w:hAnsi="Arial" w:cs="Arial"/>
                <w:b/>
                <w:bCs/>
                <w:color w:val="000000"/>
                <w:sz w:val="15"/>
                <w:szCs w:val="15"/>
              </w:rPr>
              <w:t>September 30, 2021</w:t>
            </w:r>
          </w:p>
        </w:tc>
      </w:tr>
      <w:tr w:rsidR="006A3667" w14:paraId="71D41051" w14:textId="77777777">
        <w:tc>
          <w:tcPr>
            <w:tcW w:w="0" w:type="auto"/>
            <w:gridSpan w:val="3"/>
            <w:shd w:val="clear" w:color="auto" w:fill="auto"/>
            <w:tcMar>
              <w:top w:w="40" w:type="dxa"/>
              <w:left w:w="20" w:type="dxa"/>
              <w:bottom w:w="40" w:type="dxa"/>
              <w:right w:w="20" w:type="dxa"/>
            </w:tcMar>
            <w:vAlign w:val="bottom"/>
          </w:tcPr>
          <w:p w14:paraId="71D41045" w14:textId="77777777" w:rsidR="006A3667" w:rsidRDefault="00045F32">
            <w:pPr>
              <w:textAlignment w:val="bottom"/>
            </w:pPr>
            <w:r>
              <w:rPr>
                <w:rFonts w:ascii="Arial" w:eastAsia="宋体" w:hAnsi="Arial" w:cs="Arial"/>
                <w:b/>
                <w:bCs/>
                <w:color w:val="000000"/>
                <w:sz w:val="15"/>
                <w:szCs w:val="15"/>
              </w:rPr>
              <w:t xml:space="preserve">(In </w:t>
            </w:r>
            <w:r>
              <w:rPr>
                <w:rFonts w:ascii="Arial" w:eastAsia="宋体" w:hAnsi="Arial" w:cs="Arial"/>
                <w:b/>
                <w:bCs/>
                <w:color w:val="000000"/>
                <w:sz w:val="15"/>
                <w:szCs w:val="15"/>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046" w14:textId="77777777" w:rsidR="006A3667" w:rsidRDefault="00045F32">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1D41047"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1048" w14:textId="77777777" w:rsidR="006A3667" w:rsidRDefault="00045F32">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1D41049"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104A" w14:textId="77777777" w:rsidR="006A3667" w:rsidRDefault="00045F32">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71D4104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04C" w14:textId="77777777" w:rsidR="006A3667" w:rsidRDefault="00045F32">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1D4104D"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104E" w14:textId="77777777" w:rsidR="006A3667" w:rsidRDefault="00045F32">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71D4104F"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1050" w14:textId="77777777" w:rsidR="006A3667" w:rsidRDefault="00045F32">
            <w:pPr>
              <w:jc w:val="center"/>
              <w:textAlignment w:val="bottom"/>
            </w:pPr>
            <w:r>
              <w:rPr>
                <w:rFonts w:ascii="Arial" w:eastAsia="宋体" w:hAnsi="Arial" w:cs="Arial"/>
                <w:b/>
                <w:bCs/>
                <w:color w:val="000000"/>
                <w:sz w:val="15"/>
                <w:szCs w:val="15"/>
              </w:rPr>
              <w:t>Total</w:t>
            </w:r>
          </w:p>
        </w:tc>
      </w:tr>
      <w:tr w:rsidR="006A3667" w14:paraId="71D41056" w14:textId="77777777">
        <w:tc>
          <w:tcPr>
            <w:tcW w:w="0" w:type="auto"/>
            <w:gridSpan w:val="3"/>
            <w:shd w:val="clear" w:color="auto" w:fill="auto"/>
            <w:tcMar>
              <w:top w:w="40" w:type="dxa"/>
              <w:left w:w="20" w:type="dxa"/>
              <w:bottom w:w="40" w:type="dxa"/>
              <w:right w:w="20" w:type="dxa"/>
            </w:tcMar>
            <w:vAlign w:val="bottom"/>
          </w:tcPr>
          <w:p w14:paraId="71D41052" w14:textId="77777777" w:rsidR="006A3667" w:rsidRDefault="00045F32">
            <w:pPr>
              <w:textAlignment w:val="bottom"/>
            </w:pPr>
            <w:r>
              <w:rPr>
                <w:rFonts w:ascii="Arial" w:eastAsia="宋体" w:hAnsi="Arial" w:cs="Arial"/>
                <w:color w:val="000000"/>
                <w:sz w:val="15"/>
                <w:szCs w:val="15"/>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1053" w14:textId="77777777" w:rsidR="006A3667" w:rsidRDefault="00045F32">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Mar>
              <w:top w:w="0" w:type="dxa"/>
              <w:left w:w="20" w:type="dxa"/>
              <w:bottom w:w="0" w:type="dxa"/>
              <w:right w:w="20" w:type="dxa"/>
            </w:tcMar>
            <w:vAlign w:val="bottom"/>
          </w:tcPr>
          <w:p w14:paraId="71D41054"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1055" w14:textId="77777777" w:rsidR="006A3667" w:rsidRDefault="00045F32">
            <w:pPr>
              <w:jc w:val="center"/>
              <w:textAlignment w:val="bottom"/>
            </w:pPr>
            <w:r>
              <w:rPr>
                <w:rFonts w:ascii="Arial" w:eastAsia="宋体" w:hAnsi="Arial" w:cs="Arial"/>
                <w:b/>
                <w:bCs/>
                <w:color w:val="000000"/>
                <w:sz w:val="15"/>
                <w:szCs w:val="15"/>
              </w:rPr>
              <w:t>Benefit (Exposure)</w:t>
            </w:r>
          </w:p>
        </w:tc>
      </w:tr>
      <w:tr w:rsidR="006A3667" w14:paraId="71D41063" w14:textId="77777777">
        <w:tc>
          <w:tcPr>
            <w:tcW w:w="0" w:type="auto"/>
            <w:gridSpan w:val="3"/>
            <w:shd w:val="clear" w:color="auto" w:fill="auto"/>
            <w:tcMar>
              <w:top w:w="40" w:type="dxa"/>
              <w:left w:w="20" w:type="dxa"/>
              <w:bottom w:w="40" w:type="dxa"/>
              <w:right w:w="20" w:type="dxa"/>
            </w:tcMar>
            <w:vAlign w:val="bottom"/>
          </w:tcPr>
          <w:p w14:paraId="71D41057" w14:textId="77777777" w:rsidR="006A3667" w:rsidRDefault="00045F32">
            <w:pPr>
              <w:textAlignment w:val="bottom"/>
            </w:pPr>
            <w:r>
              <w:rPr>
                <w:rFonts w:ascii="Arial" w:eastAsia="宋体" w:hAnsi="Arial" w:cs="Arial"/>
                <w:b/>
                <w:bCs/>
                <w:color w:val="000000"/>
                <w:sz w:val="15"/>
                <w:szCs w:val="15"/>
              </w:rPr>
              <w:t>Parallel shifts: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5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5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5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5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5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05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5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5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6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6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062" w14:textId="77777777" w:rsidR="006A3667" w:rsidRDefault="006A3667">
            <w:pPr>
              <w:rPr>
                <w:rFonts w:ascii="宋体"/>
              </w:rPr>
            </w:pPr>
          </w:p>
        </w:tc>
      </w:tr>
      <w:tr w:rsidR="006A3667" w14:paraId="71D4107C" w14:textId="77777777">
        <w:tc>
          <w:tcPr>
            <w:tcW w:w="0" w:type="auto"/>
            <w:gridSpan w:val="3"/>
            <w:shd w:val="clear" w:color="auto" w:fill="CCEEFF"/>
            <w:tcMar>
              <w:top w:w="40" w:type="dxa"/>
              <w:left w:w="20" w:type="dxa"/>
              <w:bottom w:w="40" w:type="dxa"/>
              <w:right w:w="20" w:type="dxa"/>
            </w:tcMar>
            <w:vAlign w:val="bottom"/>
          </w:tcPr>
          <w:p w14:paraId="71D41064" w14:textId="77777777" w:rsidR="006A3667" w:rsidRDefault="00045F32">
            <w:pPr>
              <w:textAlignment w:val="bottom"/>
            </w:pPr>
            <w:r>
              <w:rPr>
                <w:rFonts w:ascii="Arial" w:eastAsia="宋体" w:hAnsi="Arial" w:cs="Arial"/>
                <w:color w:val="000000"/>
                <w:sz w:val="15"/>
                <w:szCs w:val="15"/>
              </w:rPr>
              <w:t>+100 bps shock</w:t>
            </w:r>
          </w:p>
        </w:tc>
        <w:tc>
          <w:tcPr>
            <w:tcW w:w="0" w:type="auto"/>
            <w:shd w:val="clear" w:color="auto" w:fill="CCEEFF"/>
            <w:tcMar>
              <w:top w:w="40" w:type="dxa"/>
              <w:left w:w="20" w:type="dxa"/>
              <w:bottom w:w="40" w:type="dxa"/>
              <w:right w:w="0" w:type="dxa"/>
            </w:tcMar>
            <w:vAlign w:val="bottom"/>
          </w:tcPr>
          <w:p w14:paraId="71D41065"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1066" w14:textId="77777777" w:rsidR="006A3667" w:rsidRDefault="00045F32">
            <w:pPr>
              <w:jc w:val="right"/>
              <w:textAlignment w:val="bottom"/>
            </w:pPr>
            <w:r>
              <w:rPr>
                <w:rFonts w:ascii="Arial" w:eastAsia="宋体" w:hAnsi="Arial" w:cs="Arial"/>
                <w:b/>
                <w:bCs/>
                <w:color w:val="000000"/>
                <w:sz w:val="15"/>
                <w:szCs w:val="15"/>
              </w:rPr>
              <w:t>(181)</w:t>
            </w:r>
          </w:p>
        </w:tc>
        <w:tc>
          <w:tcPr>
            <w:tcW w:w="0" w:type="auto"/>
            <w:shd w:val="clear" w:color="auto" w:fill="CCEEFF"/>
            <w:tcMar>
              <w:top w:w="40" w:type="dxa"/>
              <w:left w:w="0" w:type="dxa"/>
              <w:bottom w:w="40" w:type="dxa"/>
              <w:right w:w="20" w:type="dxa"/>
            </w:tcMar>
            <w:vAlign w:val="bottom"/>
          </w:tcPr>
          <w:p w14:paraId="71D410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6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069"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106A" w14:textId="77777777" w:rsidR="006A3667" w:rsidRDefault="00045F32">
            <w:pPr>
              <w:jc w:val="right"/>
              <w:textAlignment w:val="bottom"/>
            </w:pPr>
            <w:r>
              <w:rPr>
                <w:rFonts w:ascii="Arial" w:eastAsia="宋体" w:hAnsi="Arial" w:cs="Arial"/>
                <w:b/>
                <w:bCs/>
                <w:color w:val="000000"/>
                <w:sz w:val="15"/>
                <w:szCs w:val="15"/>
              </w:rPr>
              <w:t>415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0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6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06D"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106E" w14:textId="77777777" w:rsidR="006A3667" w:rsidRDefault="00045F32">
            <w:pPr>
              <w:jc w:val="right"/>
              <w:textAlignment w:val="bottom"/>
            </w:pPr>
            <w:r>
              <w:rPr>
                <w:rFonts w:ascii="Arial" w:eastAsia="宋体" w:hAnsi="Arial" w:cs="Arial"/>
                <w:b/>
                <w:bCs/>
                <w:color w:val="000000"/>
                <w:sz w:val="15"/>
                <w:szCs w:val="15"/>
              </w:rPr>
              <w:t>234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0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7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071"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1072" w14:textId="77777777" w:rsidR="006A3667" w:rsidRDefault="00045F32">
            <w:pPr>
              <w:jc w:val="right"/>
              <w:textAlignment w:val="bottom"/>
            </w:pPr>
            <w:r>
              <w:rPr>
                <w:rFonts w:ascii="Arial" w:eastAsia="宋体" w:hAnsi="Arial" w:cs="Arial"/>
                <w:color w:val="000000"/>
                <w:sz w:val="15"/>
                <w:szCs w:val="15"/>
              </w:rPr>
              <w:t>507 </w:t>
            </w:r>
          </w:p>
        </w:tc>
        <w:tc>
          <w:tcPr>
            <w:tcW w:w="0" w:type="auto"/>
            <w:shd w:val="clear" w:color="auto" w:fill="CCEEFF"/>
            <w:tcMar>
              <w:top w:w="40" w:type="dxa"/>
              <w:left w:w="0" w:type="dxa"/>
              <w:bottom w:w="40" w:type="dxa"/>
              <w:right w:w="20" w:type="dxa"/>
            </w:tcMar>
            <w:vAlign w:val="bottom"/>
          </w:tcPr>
          <w:p w14:paraId="71D410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7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075"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1076" w14:textId="77777777" w:rsidR="006A3667" w:rsidRDefault="00045F32">
            <w:pPr>
              <w:jc w:val="right"/>
              <w:textAlignment w:val="bottom"/>
            </w:pPr>
            <w:r>
              <w:rPr>
                <w:rFonts w:ascii="Arial" w:eastAsia="宋体" w:hAnsi="Arial" w:cs="Arial"/>
                <w:color w:val="000000"/>
                <w:sz w:val="15"/>
                <w:szCs w:val="15"/>
              </w:rPr>
              <w:t>323 </w:t>
            </w:r>
          </w:p>
        </w:tc>
        <w:tc>
          <w:tcPr>
            <w:tcW w:w="0" w:type="auto"/>
            <w:shd w:val="clear" w:color="auto" w:fill="CCEEFF"/>
            <w:tcMar>
              <w:top w:w="40" w:type="dxa"/>
              <w:left w:w="0" w:type="dxa"/>
              <w:bottom w:w="40" w:type="dxa"/>
              <w:right w:w="20" w:type="dxa"/>
            </w:tcMar>
            <w:vAlign w:val="bottom"/>
          </w:tcPr>
          <w:p w14:paraId="71D410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7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079"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107A" w14:textId="77777777" w:rsidR="006A3667" w:rsidRDefault="00045F32">
            <w:pPr>
              <w:jc w:val="right"/>
              <w:textAlignment w:val="bottom"/>
            </w:pPr>
            <w:r>
              <w:rPr>
                <w:rFonts w:ascii="Arial" w:eastAsia="宋体" w:hAnsi="Arial" w:cs="Arial"/>
                <w:color w:val="000000"/>
                <w:sz w:val="15"/>
                <w:szCs w:val="15"/>
              </w:rPr>
              <w:t>830 </w:t>
            </w:r>
          </w:p>
        </w:tc>
        <w:tc>
          <w:tcPr>
            <w:tcW w:w="0" w:type="auto"/>
            <w:shd w:val="clear" w:color="auto" w:fill="CCEEFF"/>
            <w:tcMar>
              <w:top w:w="40" w:type="dxa"/>
              <w:left w:w="0" w:type="dxa"/>
              <w:bottom w:w="40" w:type="dxa"/>
              <w:right w:w="20" w:type="dxa"/>
            </w:tcMar>
            <w:vAlign w:val="bottom"/>
          </w:tcPr>
          <w:p w14:paraId="71D4107B" w14:textId="77777777" w:rsidR="006A3667" w:rsidRDefault="006A3667">
            <w:pPr>
              <w:jc w:val="right"/>
              <w:rPr>
                <w:rFonts w:ascii="宋体"/>
              </w:rPr>
            </w:pPr>
          </w:p>
        </w:tc>
      </w:tr>
      <w:tr w:rsidR="006A3667" w14:paraId="71D4108F" w14:textId="77777777">
        <w:tc>
          <w:tcPr>
            <w:tcW w:w="0" w:type="auto"/>
            <w:gridSpan w:val="3"/>
            <w:shd w:val="clear" w:color="auto" w:fill="FFFFFF"/>
            <w:tcMar>
              <w:top w:w="40" w:type="dxa"/>
              <w:left w:w="20" w:type="dxa"/>
              <w:bottom w:w="40" w:type="dxa"/>
              <w:right w:w="20" w:type="dxa"/>
            </w:tcMar>
            <w:vAlign w:val="bottom"/>
          </w:tcPr>
          <w:p w14:paraId="71D4107D" w14:textId="77777777" w:rsidR="006A3667" w:rsidRDefault="00045F32">
            <w:pPr>
              <w:textAlignment w:val="bottom"/>
            </w:pPr>
            <w:r>
              <w:rPr>
                <w:rFonts w:ascii="Arial" w:eastAsia="宋体" w:hAnsi="Arial" w:cs="Arial"/>
                <w:color w:val="000000"/>
                <w:sz w:val="15"/>
                <w:szCs w:val="15"/>
              </w:rPr>
              <w:t>–100 bps sh</w:t>
            </w:r>
            <w:r>
              <w:rPr>
                <w:rFonts w:ascii="Arial" w:eastAsia="宋体" w:hAnsi="Arial" w:cs="Arial"/>
                <w:color w:val="000000"/>
                <w:sz w:val="15"/>
                <w:szCs w:val="15"/>
              </w:rPr>
              <w:t>ock</w:t>
            </w:r>
          </w:p>
        </w:tc>
        <w:tc>
          <w:tcPr>
            <w:tcW w:w="0" w:type="auto"/>
            <w:gridSpan w:val="2"/>
            <w:shd w:val="clear" w:color="auto" w:fill="FFFFFF"/>
            <w:tcMar>
              <w:top w:w="40" w:type="dxa"/>
              <w:left w:w="20" w:type="dxa"/>
              <w:bottom w:w="40" w:type="dxa"/>
              <w:right w:w="0" w:type="dxa"/>
            </w:tcMar>
            <w:vAlign w:val="bottom"/>
          </w:tcPr>
          <w:p w14:paraId="71D4107E" w14:textId="77777777" w:rsidR="006A3667" w:rsidRDefault="00045F32">
            <w:pPr>
              <w:jc w:val="right"/>
              <w:textAlignment w:val="bottom"/>
            </w:pPr>
            <w:r>
              <w:rPr>
                <w:rFonts w:ascii="Arial" w:eastAsia="宋体" w:hAnsi="Arial" w:cs="Arial"/>
                <w:b/>
                <w:bCs/>
                <w:color w:val="000000"/>
                <w:sz w:val="15"/>
                <w:szCs w:val="15"/>
              </w:rPr>
              <w:t>155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107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8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81" w14:textId="77777777" w:rsidR="006A3667" w:rsidRDefault="00045F32">
            <w:pPr>
              <w:jc w:val="right"/>
              <w:textAlignment w:val="bottom"/>
            </w:pPr>
            <w:r>
              <w:rPr>
                <w:rFonts w:ascii="Arial" w:eastAsia="宋体" w:hAnsi="Arial" w:cs="Arial"/>
                <w:b/>
                <w:bCs/>
                <w:color w:val="000000"/>
                <w:sz w:val="15"/>
                <w:szCs w:val="15"/>
              </w:rPr>
              <w:t>(380)</w:t>
            </w:r>
          </w:p>
        </w:tc>
        <w:tc>
          <w:tcPr>
            <w:tcW w:w="0" w:type="auto"/>
            <w:shd w:val="clear" w:color="auto" w:fill="FFFFFF"/>
            <w:tcMar>
              <w:top w:w="40" w:type="dxa"/>
              <w:left w:w="0" w:type="dxa"/>
              <w:bottom w:w="40" w:type="dxa"/>
              <w:right w:w="20" w:type="dxa"/>
            </w:tcMar>
            <w:vAlign w:val="bottom"/>
          </w:tcPr>
          <w:p w14:paraId="71D4108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8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84" w14:textId="77777777" w:rsidR="006A3667" w:rsidRDefault="00045F32">
            <w:pPr>
              <w:jc w:val="right"/>
              <w:textAlignment w:val="bottom"/>
            </w:pPr>
            <w:r>
              <w:rPr>
                <w:rFonts w:ascii="Arial" w:eastAsia="宋体" w:hAnsi="Arial" w:cs="Arial"/>
                <w:b/>
                <w:bCs/>
                <w:color w:val="000000"/>
                <w:sz w:val="15"/>
                <w:szCs w:val="15"/>
              </w:rPr>
              <w:t>(225)</w:t>
            </w:r>
          </w:p>
        </w:tc>
        <w:tc>
          <w:tcPr>
            <w:tcW w:w="0" w:type="auto"/>
            <w:shd w:val="clear" w:color="auto" w:fill="FFFFFF"/>
            <w:tcMar>
              <w:top w:w="40" w:type="dxa"/>
              <w:left w:w="0" w:type="dxa"/>
              <w:bottom w:w="40" w:type="dxa"/>
              <w:right w:w="20" w:type="dxa"/>
            </w:tcMar>
            <w:vAlign w:val="bottom"/>
          </w:tcPr>
          <w:p w14:paraId="71D4108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8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87" w14:textId="77777777" w:rsidR="006A3667" w:rsidRDefault="00045F32">
            <w:pPr>
              <w:jc w:val="right"/>
              <w:textAlignment w:val="bottom"/>
            </w:pPr>
            <w:r>
              <w:rPr>
                <w:rFonts w:ascii="Arial" w:eastAsia="宋体" w:hAnsi="Arial" w:cs="Arial"/>
                <w:color w:val="000000"/>
                <w:sz w:val="15"/>
                <w:szCs w:val="15"/>
              </w:rPr>
              <w:t>921 </w:t>
            </w:r>
          </w:p>
        </w:tc>
        <w:tc>
          <w:tcPr>
            <w:tcW w:w="0" w:type="auto"/>
            <w:shd w:val="clear" w:color="auto" w:fill="FFFFFF"/>
            <w:tcMar>
              <w:top w:w="40" w:type="dxa"/>
              <w:left w:w="0" w:type="dxa"/>
              <w:bottom w:w="40" w:type="dxa"/>
              <w:right w:w="20" w:type="dxa"/>
            </w:tcMar>
            <w:vAlign w:val="bottom"/>
          </w:tcPr>
          <w:p w14:paraId="71D4108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8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8A" w14:textId="77777777" w:rsidR="006A3667" w:rsidRDefault="00045F32">
            <w:pPr>
              <w:jc w:val="right"/>
              <w:textAlignment w:val="bottom"/>
            </w:pPr>
            <w:r>
              <w:rPr>
                <w:rFonts w:ascii="Arial" w:eastAsia="宋体" w:hAnsi="Arial" w:cs="Arial"/>
                <w:color w:val="000000"/>
                <w:sz w:val="15"/>
                <w:szCs w:val="15"/>
              </w:rPr>
              <w:t>96 </w:t>
            </w:r>
          </w:p>
        </w:tc>
        <w:tc>
          <w:tcPr>
            <w:tcW w:w="0" w:type="auto"/>
            <w:shd w:val="clear" w:color="auto" w:fill="FFFFFF"/>
            <w:tcMar>
              <w:top w:w="40" w:type="dxa"/>
              <w:left w:w="0" w:type="dxa"/>
              <w:bottom w:w="40" w:type="dxa"/>
              <w:right w:w="20" w:type="dxa"/>
            </w:tcMar>
            <w:vAlign w:val="bottom"/>
          </w:tcPr>
          <w:p w14:paraId="71D4108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8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8D" w14:textId="77777777" w:rsidR="006A3667" w:rsidRDefault="00045F32">
            <w:pPr>
              <w:jc w:val="right"/>
              <w:textAlignment w:val="bottom"/>
            </w:pPr>
            <w:r>
              <w:rPr>
                <w:rFonts w:ascii="Arial" w:eastAsia="宋体" w:hAnsi="Arial" w:cs="Arial"/>
                <w:color w:val="000000"/>
                <w:sz w:val="15"/>
                <w:szCs w:val="15"/>
              </w:rPr>
              <w:t>1,017 </w:t>
            </w:r>
          </w:p>
        </w:tc>
        <w:tc>
          <w:tcPr>
            <w:tcW w:w="0" w:type="auto"/>
            <w:shd w:val="clear" w:color="auto" w:fill="FFFFFF"/>
            <w:tcMar>
              <w:top w:w="40" w:type="dxa"/>
              <w:left w:w="0" w:type="dxa"/>
              <w:bottom w:w="40" w:type="dxa"/>
              <w:right w:w="20" w:type="dxa"/>
            </w:tcMar>
            <w:vAlign w:val="bottom"/>
          </w:tcPr>
          <w:p w14:paraId="71D4108E" w14:textId="77777777" w:rsidR="006A3667" w:rsidRDefault="006A3667">
            <w:pPr>
              <w:jc w:val="right"/>
              <w:rPr>
                <w:rFonts w:ascii="宋体"/>
              </w:rPr>
            </w:pPr>
          </w:p>
        </w:tc>
      </w:tr>
      <w:tr w:rsidR="006A3667" w14:paraId="71D4109C" w14:textId="77777777">
        <w:tc>
          <w:tcPr>
            <w:tcW w:w="0" w:type="auto"/>
            <w:gridSpan w:val="3"/>
            <w:shd w:val="clear" w:color="auto" w:fill="CCEEFF"/>
            <w:tcMar>
              <w:top w:w="40" w:type="dxa"/>
              <w:left w:w="20" w:type="dxa"/>
              <w:bottom w:w="40" w:type="dxa"/>
              <w:right w:w="20" w:type="dxa"/>
            </w:tcMar>
            <w:vAlign w:val="bottom"/>
          </w:tcPr>
          <w:p w14:paraId="71D41090" w14:textId="77777777" w:rsidR="006A3667" w:rsidRDefault="00045F32">
            <w:pPr>
              <w:textAlignment w:val="bottom"/>
            </w:pPr>
            <w:r>
              <w:rPr>
                <w:rFonts w:ascii="Arial" w:eastAsia="宋体" w:hAnsi="Arial" w:cs="Arial"/>
                <w:b/>
                <w:bCs/>
                <w:color w:val="000000"/>
                <w:sz w:val="15"/>
                <w:szCs w:val="15"/>
              </w:rPr>
              <w:t>Steeper yield curve:</w:t>
            </w:r>
          </w:p>
        </w:tc>
        <w:tc>
          <w:tcPr>
            <w:tcW w:w="0" w:type="auto"/>
            <w:gridSpan w:val="3"/>
            <w:shd w:val="clear" w:color="auto" w:fill="CCEEFF"/>
            <w:tcMar>
              <w:top w:w="0" w:type="dxa"/>
              <w:left w:w="20" w:type="dxa"/>
              <w:bottom w:w="0" w:type="dxa"/>
              <w:right w:w="20" w:type="dxa"/>
            </w:tcMar>
            <w:vAlign w:val="bottom"/>
          </w:tcPr>
          <w:p w14:paraId="71D4109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09B" w14:textId="77777777" w:rsidR="006A3667" w:rsidRDefault="006A3667">
            <w:pPr>
              <w:rPr>
                <w:rFonts w:ascii="宋体"/>
              </w:rPr>
            </w:pPr>
          </w:p>
        </w:tc>
      </w:tr>
      <w:tr w:rsidR="006A3667" w14:paraId="71D410AF" w14:textId="77777777">
        <w:tc>
          <w:tcPr>
            <w:tcW w:w="0" w:type="auto"/>
            <w:gridSpan w:val="3"/>
            <w:shd w:val="clear" w:color="auto" w:fill="auto"/>
            <w:tcMar>
              <w:top w:w="40" w:type="dxa"/>
              <w:left w:w="20" w:type="dxa"/>
              <w:bottom w:w="40" w:type="dxa"/>
              <w:right w:w="20" w:type="dxa"/>
            </w:tcMar>
            <w:vAlign w:val="bottom"/>
          </w:tcPr>
          <w:p w14:paraId="71D4109D" w14:textId="77777777" w:rsidR="006A3667" w:rsidRDefault="00045F32">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1D4109E" w14:textId="77777777" w:rsidR="006A3667" w:rsidRDefault="00045F32">
            <w:pPr>
              <w:jc w:val="right"/>
              <w:textAlignment w:val="bottom"/>
            </w:pPr>
            <w:r>
              <w:rPr>
                <w:rFonts w:ascii="Arial" w:eastAsia="宋体" w:hAnsi="Arial" w:cs="Arial"/>
                <w:b/>
                <w:bCs/>
                <w:color w:val="000000"/>
                <w:sz w:val="15"/>
                <w:szCs w:val="15"/>
              </w:rPr>
              <w:t>23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109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A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A1" w14:textId="77777777" w:rsidR="006A3667" w:rsidRDefault="00045F32">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10A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A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A4" w14:textId="77777777" w:rsidR="006A3667" w:rsidRDefault="00045F32">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10A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A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A7" w14:textId="77777777" w:rsidR="006A3667" w:rsidRDefault="00045F32">
            <w:pPr>
              <w:jc w:val="right"/>
              <w:textAlignment w:val="bottom"/>
            </w:pPr>
            <w:r>
              <w:rPr>
                <w:rFonts w:ascii="Arial" w:eastAsia="宋体" w:hAnsi="Arial" w:cs="Arial"/>
                <w:color w:val="000000"/>
                <w:sz w:val="15"/>
                <w:szCs w:val="15"/>
              </w:rPr>
              <w:t>136 </w:t>
            </w:r>
          </w:p>
        </w:tc>
        <w:tc>
          <w:tcPr>
            <w:tcW w:w="0" w:type="auto"/>
            <w:shd w:val="clear" w:color="auto" w:fill="FFFFFF"/>
            <w:tcMar>
              <w:top w:w="40" w:type="dxa"/>
              <w:left w:w="0" w:type="dxa"/>
              <w:bottom w:w="40" w:type="dxa"/>
              <w:right w:w="20" w:type="dxa"/>
            </w:tcMar>
            <w:vAlign w:val="bottom"/>
          </w:tcPr>
          <w:p w14:paraId="71D410A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A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AA" w14:textId="77777777" w:rsidR="006A3667" w:rsidRDefault="00045F32">
            <w:pPr>
              <w:jc w:val="right"/>
              <w:textAlignment w:val="bottom"/>
            </w:pPr>
            <w:r>
              <w:rPr>
                <w:rFonts w:ascii="Arial" w:eastAsia="宋体" w:hAnsi="Arial" w:cs="Arial"/>
                <w:color w:val="000000"/>
                <w:sz w:val="15"/>
                <w:szCs w:val="15"/>
              </w:rPr>
              <w:t>16 </w:t>
            </w:r>
          </w:p>
        </w:tc>
        <w:tc>
          <w:tcPr>
            <w:tcW w:w="0" w:type="auto"/>
            <w:shd w:val="clear" w:color="auto" w:fill="FFFFFF"/>
            <w:tcMar>
              <w:top w:w="40" w:type="dxa"/>
              <w:left w:w="0" w:type="dxa"/>
              <w:bottom w:w="40" w:type="dxa"/>
              <w:right w:w="20" w:type="dxa"/>
            </w:tcMar>
            <w:vAlign w:val="bottom"/>
          </w:tcPr>
          <w:p w14:paraId="71D410A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A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AD" w14:textId="77777777" w:rsidR="006A3667" w:rsidRDefault="00045F32">
            <w:pPr>
              <w:jc w:val="right"/>
              <w:textAlignment w:val="bottom"/>
            </w:pPr>
            <w:r>
              <w:rPr>
                <w:rFonts w:ascii="Arial" w:eastAsia="宋体" w:hAnsi="Arial" w:cs="Arial"/>
                <w:color w:val="000000"/>
                <w:sz w:val="15"/>
                <w:szCs w:val="15"/>
              </w:rPr>
              <w:t>152 </w:t>
            </w:r>
          </w:p>
        </w:tc>
        <w:tc>
          <w:tcPr>
            <w:tcW w:w="0" w:type="auto"/>
            <w:shd w:val="clear" w:color="auto" w:fill="FFFFFF"/>
            <w:tcMar>
              <w:top w:w="40" w:type="dxa"/>
              <w:left w:w="0" w:type="dxa"/>
              <w:bottom w:w="40" w:type="dxa"/>
              <w:right w:w="20" w:type="dxa"/>
            </w:tcMar>
            <w:vAlign w:val="bottom"/>
          </w:tcPr>
          <w:p w14:paraId="71D410AE" w14:textId="77777777" w:rsidR="006A3667" w:rsidRDefault="006A3667">
            <w:pPr>
              <w:jc w:val="right"/>
              <w:rPr>
                <w:rFonts w:ascii="宋体"/>
              </w:rPr>
            </w:pPr>
          </w:p>
        </w:tc>
      </w:tr>
      <w:tr w:rsidR="006A3667" w14:paraId="71D410C2" w14:textId="77777777">
        <w:tc>
          <w:tcPr>
            <w:tcW w:w="0" w:type="auto"/>
            <w:gridSpan w:val="3"/>
            <w:shd w:val="clear" w:color="auto" w:fill="CCEEFF"/>
            <w:tcMar>
              <w:top w:w="40" w:type="dxa"/>
              <w:left w:w="20" w:type="dxa"/>
              <w:bottom w:w="40" w:type="dxa"/>
              <w:right w:w="20" w:type="dxa"/>
            </w:tcMar>
            <w:vAlign w:val="bottom"/>
          </w:tcPr>
          <w:p w14:paraId="71D410B0" w14:textId="77777777" w:rsidR="006A3667" w:rsidRDefault="00045F32">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10B1" w14:textId="77777777" w:rsidR="006A3667" w:rsidRDefault="00045F32">
            <w:pPr>
              <w:jc w:val="right"/>
              <w:textAlignment w:val="bottom"/>
            </w:pPr>
            <w:r>
              <w:rPr>
                <w:rFonts w:ascii="Arial" w:eastAsia="宋体" w:hAnsi="Arial" w:cs="Arial"/>
                <w:b/>
                <w:bCs/>
                <w:color w:val="000000"/>
                <w:sz w:val="15"/>
                <w:szCs w:val="15"/>
              </w:rPr>
              <w:t>178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0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B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B4" w14:textId="77777777" w:rsidR="006A3667" w:rsidRDefault="00045F32">
            <w:pPr>
              <w:jc w:val="right"/>
              <w:textAlignment w:val="bottom"/>
            </w:pPr>
            <w:r>
              <w:rPr>
                <w:rFonts w:ascii="Arial" w:eastAsia="宋体" w:hAnsi="Arial" w:cs="Arial"/>
                <w:b/>
                <w:bCs/>
                <w:color w:val="000000"/>
                <w:sz w:val="15"/>
                <w:szCs w:val="15"/>
              </w:rPr>
              <w:t>(374)</w:t>
            </w:r>
          </w:p>
        </w:tc>
        <w:tc>
          <w:tcPr>
            <w:tcW w:w="0" w:type="auto"/>
            <w:shd w:val="clear" w:color="auto" w:fill="CCEEFF"/>
            <w:tcMar>
              <w:top w:w="40" w:type="dxa"/>
              <w:left w:w="0" w:type="dxa"/>
              <w:bottom w:w="40" w:type="dxa"/>
              <w:right w:w="20" w:type="dxa"/>
            </w:tcMar>
            <w:vAlign w:val="bottom"/>
          </w:tcPr>
          <w:p w14:paraId="71D410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B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B7" w14:textId="77777777" w:rsidR="006A3667" w:rsidRDefault="00045F32">
            <w:pPr>
              <w:jc w:val="right"/>
              <w:textAlignment w:val="bottom"/>
            </w:pPr>
            <w:r>
              <w:rPr>
                <w:rFonts w:ascii="Arial" w:eastAsia="宋体" w:hAnsi="Arial" w:cs="Arial"/>
                <w:b/>
                <w:bCs/>
                <w:color w:val="000000"/>
                <w:sz w:val="15"/>
                <w:szCs w:val="15"/>
              </w:rPr>
              <w:t>(196)</w:t>
            </w:r>
          </w:p>
        </w:tc>
        <w:tc>
          <w:tcPr>
            <w:tcW w:w="0" w:type="auto"/>
            <w:shd w:val="clear" w:color="auto" w:fill="CCEEFF"/>
            <w:tcMar>
              <w:top w:w="40" w:type="dxa"/>
              <w:left w:w="0" w:type="dxa"/>
              <w:bottom w:w="40" w:type="dxa"/>
              <w:right w:w="20" w:type="dxa"/>
            </w:tcMar>
            <w:vAlign w:val="bottom"/>
          </w:tcPr>
          <w:p w14:paraId="71D410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B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BA" w14:textId="77777777" w:rsidR="006A3667" w:rsidRDefault="00045F32">
            <w:pPr>
              <w:jc w:val="right"/>
              <w:textAlignment w:val="bottom"/>
            </w:pPr>
            <w:r>
              <w:rPr>
                <w:rFonts w:ascii="Arial" w:eastAsia="宋体" w:hAnsi="Arial" w:cs="Arial"/>
                <w:color w:val="000000"/>
                <w:sz w:val="15"/>
                <w:szCs w:val="15"/>
              </w:rPr>
              <w:t>1,070 </w:t>
            </w:r>
          </w:p>
        </w:tc>
        <w:tc>
          <w:tcPr>
            <w:tcW w:w="0" w:type="auto"/>
            <w:shd w:val="clear" w:color="auto" w:fill="CCEEFF"/>
            <w:tcMar>
              <w:top w:w="40" w:type="dxa"/>
              <w:left w:w="0" w:type="dxa"/>
              <w:bottom w:w="40" w:type="dxa"/>
              <w:right w:w="20" w:type="dxa"/>
            </w:tcMar>
            <w:vAlign w:val="bottom"/>
          </w:tcPr>
          <w:p w14:paraId="71D410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B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BD" w14:textId="77777777" w:rsidR="006A3667" w:rsidRDefault="00045F32">
            <w:pPr>
              <w:jc w:val="right"/>
              <w:textAlignment w:val="bottom"/>
            </w:pPr>
            <w:r>
              <w:rPr>
                <w:rFonts w:ascii="Arial" w:eastAsia="宋体" w:hAnsi="Arial" w:cs="Arial"/>
                <w:color w:val="000000"/>
                <w:sz w:val="15"/>
                <w:szCs w:val="15"/>
              </w:rPr>
              <w:t>111 </w:t>
            </w:r>
          </w:p>
        </w:tc>
        <w:tc>
          <w:tcPr>
            <w:tcW w:w="0" w:type="auto"/>
            <w:shd w:val="clear" w:color="auto" w:fill="CCEEFF"/>
            <w:tcMar>
              <w:top w:w="40" w:type="dxa"/>
              <w:left w:w="0" w:type="dxa"/>
              <w:bottom w:w="40" w:type="dxa"/>
              <w:right w:w="20" w:type="dxa"/>
            </w:tcMar>
            <w:vAlign w:val="bottom"/>
          </w:tcPr>
          <w:p w14:paraId="71D410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B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C0" w14:textId="77777777" w:rsidR="006A3667" w:rsidRDefault="00045F32">
            <w:pPr>
              <w:jc w:val="right"/>
              <w:textAlignment w:val="bottom"/>
            </w:pPr>
            <w:r>
              <w:rPr>
                <w:rFonts w:ascii="Arial" w:eastAsia="宋体" w:hAnsi="Arial" w:cs="Arial"/>
                <w:color w:val="000000"/>
                <w:sz w:val="15"/>
                <w:szCs w:val="15"/>
              </w:rPr>
              <w:t>1,181 </w:t>
            </w:r>
          </w:p>
        </w:tc>
        <w:tc>
          <w:tcPr>
            <w:tcW w:w="0" w:type="auto"/>
            <w:shd w:val="clear" w:color="auto" w:fill="CCEEFF"/>
            <w:tcMar>
              <w:top w:w="40" w:type="dxa"/>
              <w:left w:w="0" w:type="dxa"/>
              <w:bottom w:w="40" w:type="dxa"/>
              <w:right w:w="20" w:type="dxa"/>
            </w:tcMar>
            <w:vAlign w:val="bottom"/>
          </w:tcPr>
          <w:p w14:paraId="71D410C1" w14:textId="77777777" w:rsidR="006A3667" w:rsidRDefault="006A3667">
            <w:pPr>
              <w:jc w:val="right"/>
              <w:rPr>
                <w:rFonts w:ascii="宋体"/>
              </w:rPr>
            </w:pPr>
          </w:p>
        </w:tc>
      </w:tr>
      <w:tr w:rsidR="006A3667" w14:paraId="71D410CF" w14:textId="77777777">
        <w:tc>
          <w:tcPr>
            <w:tcW w:w="0" w:type="auto"/>
            <w:gridSpan w:val="3"/>
            <w:shd w:val="clear" w:color="auto" w:fill="FFFFFF"/>
            <w:tcMar>
              <w:top w:w="40" w:type="dxa"/>
              <w:left w:w="20" w:type="dxa"/>
              <w:bottom w:w="40" w:type="dxa"/>
              <w:right w:w="20" w:type="dxa"/>
            </w:tcMar>
            <w:vAlign w:val="bottom"/>
          </w:tcPr>
          <w:p w14:paraId="71D410C3" w14:textId="77777777" w:rsidR="006A3667" w:rsidRDefault="00045F32">
            <w:pPr>
              <w:textAlignment w:val="bottom"/>
            </w:pPr>
            <w:r>
              <w:rPr>
                <w:rFonts w:ascii="Arial" w:eastAsia="宋体" w:hAnsi="Arial" w:cs="Arial"/>
                <w:b/>
                <w:bCs/>
                <w:color w:val="000000"/>
                <w:sz w:val="15"/>
                <w:szCs w:val="15"/>
              </w:rPr>
              <w:t>Flatter yield curve:</w:t>
            </w:r>
          </w:p>
        </w:tc>
        <w:tc>
          <w:tcPr>
            <w:tcW w:w="0" w:type="auto"/>
            <w:gridSpan w:val="3"/>
            <w:shd w:val="clear" w:color="auto" w:fill="FFFFFF"/>
            <w:tcMar>
              <w:top w:w="0" w:type="dxa"/>
              <w:left w:w="20" w:type="dxa"/>
              <w:bottom w:w="0" w:type="dxa"/>
              <w:right w:w="20" w:type="dxa"/>
            </w:tcMar>
            <w:vAlign w:val="bottom"/>
          </w:tcPr>
          <w:p w14:paraId="71D410C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0CE" w14:textId="77777777" w:rsidR="006A3667" w:rsidRDefault="006A3667">
            <w:pPr>
              <w:rPr>
                <w:rFonts w:ascii="宋体"/>
              </w:rPr>
            </w:pPr>
          </w:p>
        </w:tc>
      </w:tr>
      <w:tr w:rsidR="006A3667" w14:paraId="71D410E2" w14:textId="77777777">
        <w:tc>
          <w:tcPr>
            <w:tcW w:w="0" w:type="auto"/>
            <w:gridSpan w:val="3"/>
            <w:shd w:val="clear" w:color="auto" w:fill="CCEEFF"/>
            <w:tcMar>
              <w:top w:w="40" w:type="dxa"/>
              <w:left w:w="20" w:type="dxa"/>
              <w:bottom w:w="40" w:type="dxa"/>
              <w:right w:w="20" w:type="dxa"/>
            </w:tcMar>
            <w:vAlign w:val="bottom"/>
          </w:tcPr>
          <w:p w14:paraId="71D410D0" w14:textId="77777777" w:rsidR="006A3667" w:rsidRDefault="00045F32">
            <w:pP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10D1" w14:textId="77777777" w:rsidR="006A3667" w:rsidRDefault="00045F32">
            <w:pPr>
              <w:jc w:val="right"/>
              <w:textAlignment w:val="bottom"/>
            </w:pPr>
            <w:r>
              <w:rPr>
                <w:rFonts w:ascii="Arial" w:eastAsia="宋体" w:hAnsi="Arial" w:cs="Arial"/>
                <w:b/>
                <w:bCs/>
                <w:color w:val="000000"/>
                <w:sz w:val="15"/>
                <w:szCs w:val="15"/>
              </w:rPr>
              <w:t>(203)</w:t>
            </w:r>
          </w:p>
        </w:tc>
        <w:tc>
          <w:tcPr>
            <w:tcW w:w="0" w:type="auto"/>
            <w:shd w:val="clear" w:color="auto" w:fill="CCEEFF"/>
            <w:tcMar>
              <w:top w:w="40" w:type="dxa"/>
              <w:left w:w="0" w:type="dxa"/>
              <w:bottom w:w="40" w:type="dxa"/>
              <w:right w:w="20" w:type="dxa"/>
            </w:tcMar>
            <w:vAlign w:val="bottom"/>
          </w:tcPr>
          <w:p w14:paraId="71D410D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D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D4" w14:textId="77777777" w:rsidR="006A3667" w:rsidRDefault="00045F32">
            <w:pPr>
              <w:jc w:val="right"/>
              <w:textAlignment w:val="bottom"/>
            </w:pPr>
            <w:r>
              <w:rPr>
                <w:rFonts w:ascii="Arial" w:eastAsia="宋体" w:hAnsi="Arial" w:cs="Arial"/>
                <w:b/>
                <w:bCs/>
                <w:color w:val="000000"/>
                <w:sz w:val="15"/>
                <w:szCs w:val="15"/>
              </w:rPr>
              <w:t>409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0D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D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D7" w14:textId="77777777" w:rsidR="006A3667" w:rsidRDefault="00045F32">
            <w:pPr>
              <w:jc w:val="right"/>
              <w:textAlignment w:val="bottom"/>
            </w:pPr>
            <w:r>
              <w:rPr>
                <w:rFonts w:ascii="Arial" w:eastAsia="宋体" w:hAnsi="Arial" w:cs="Arial"/>
                <w:b/>
                <w:bCs/>
                <w:color w:val="000000"/>
                <w:sz w:val="15"/>
                <w:szCs w:val="15"/>
              </w:rPr>
              <w:t>206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0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D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DA" w14:textId="77777777" w:rsidR="006A3667" w:rsidRDefault="00045F32">
            <w:pPr>
              <w:jc w:val="right"/>
              <w:textAlignment w:val="bottom"/>
            </w:pPr>
            <w:r>
              <w:rPr>
                <w:rFonts w:ascii="Arial" w:eastAsia="宋体" w:hAnsi="Arial" w:cs="Arial"/>
                <w:color w:val="000000"/>
                <w:sz w:val="15"/>
                <w:szCs w:val="15"/>
              </w:rPr>
              <w:t>371 </w:t>
            </w:r>
          </w:p>
        </w:tc>
        <w:tc>
          <w:tcPr>
            <w:tcW w:w="0" w:type="auto"/>
            <w:shd w:val="clear" w:color="auto" w:fill="CCEEFF"/>
            <w:tcMar>
              <w:top w:w="40" w:type="dxa"/>
              <w:left w:w="0" w:type="dxa"/>
              <w:bottom w:w="40" w:type="dxa"/>
              <w:right w:w="20" w:type="dxa"/>
            </w:tcMar>
            <w:vAlign w:val="bottom"/>
          </w:tcPr>
          <w:p w14:paraId="71D410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D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DD" w14:textId="77777777" w:rsidR="006A3667" w:rsidRDefault="00045F32">
            <w:pPr>
              <w:jc w:val="right"/>
              <w:textAlignment w:val="bottom"/>
            </w:pPr>
            <w:r>
              <w:rPr>
                <w:rFonts w:ascii="Arial" w:eastAsia="宋体" w:hAnsi="Arial" w:cs="Arial"/>
                <w:color w:val="000000"/>
                <w:sz w:val="15"/>
                <w:szCs w:val="15"/>
              </w:rPr>
              <w:t>307 </w:t>
            </w:r>
          </w:p>
        </w:tc>
        <w:tc>
          <w:tcPr>
            <w:tcW w:w="0" w:type="auto"/>
            <w:shd w:val="clear" w:color="auto" w:fill="CCEEFF"/>
            <w:tcMar>
              <w:top w:w="40" w:type="dxa"/>
              <w:left w:w="0" w:type="dxa"/>
              <w:bottom w:w="40" w:type="dxa"/>
              <w:right w:w="20" w:type="dxa"/>
            </w:tcMar>
            <w:vAlign w:val="bottom"/>
          </w:tcPr>
          <w:p w14:paraId="71D410D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0D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0E0" w14:textId="77777777" w:rsidR="006A3667" w:rsidRDefault="00045F32">
            <w:pPr>
              <w:jc w:val="right"/>
              <w:textAlignment w:val="bottom"/>
            </w:pPr>
            <w:r>
              <w:rPr>
                <w:rFonts w:ascii="Arial" w:eastAsia="宋体" w:hAnsi="Arial" w:cs="Arial"/>
                <w:color w:val="000000"/>
                <w:sz w:val="15"/>
                <w:szCs w:val="15"/>
              </w:rPr>
              <w:t>678 </w:t>
            </w:r>
          </w:p>
        </w:tc>
        <w:tc>
          <w:tcPr>
            <w:tcW w:w="0" w:type="auto"/>
            <w:shd w:val="clear" w:color="auto" w:fill="CCEEFF"/>
            <w:tcMar>
              <w:top w:w="40" w:type="dxa"/>
              <w:left w:w="0" w:type="dxa"/>
              <w:bottom w:w="40" w:type="dxa"/>
              <w:right w:w="20" w:type="dxa"/>
            </w:tcMar>
            <w:vAlign w:val="bottom"/>
          </w:tcPr>
          <w:p w14:paraId="71D410E1" w14:textId="77777777" w:rsidR="006A3667" w:rsidRDefault="006A3667">
            <w:pPr>
              <w:jc w:val="right"/>
              <w:rPr>
                <w:rFonts w:ascii="宋体"/>
              </w:rPr>
            </w:pPr>
          </w:p>
        </w:tc>
      </w:tr>
      <w:tr w:rsidR="006A3667" w14:paraId="71D410F5" w14:textId="77777777">
        <w:tc>
          <w:tcPr>
            <w:tcW w:w="0" w:type="auto"/>
            <w:gridSpan w:val="3"/>
            <w:shd w:val="clear" w:color="auto" w:fill="FFFFFF"/>
            <w:tcMar>
              <w:top w:w="40" w:type="dxa"/>
              <w:left w:w="20" w:type="dxa"/>
              <w:bottom w:w="40" w:type="dxa"/>
              <w:right w:w="20" w:type="dxa"/>
            </w:tcMar>
            <w:vAlign w:val="bottom"/>
          </w:tcPr>
          <w:p w14:paraId="71D410E3" w14:textId="77777777" w:rsidR="006A3667" w:rsidRDefault="00045F32">
            <w:pP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1D410E4" w14:textId="77777777" w:rsidR="006A3667" w:rsidRDefault="00045F32">
            <w:pPr>
              <w:jc w:val="right"/>
              <w:textAlignment w:val="bottom"/>
            </w:pPr>
            <w:r>
              <w:rPr>
                <w:rFonts w:ascii="Arial" w:eastAsia="宋体" w:hAnsi="Arial" w:cs="Arial"/>
                <w:b/>
                <w:bCs/>
                <w:color w:val="000000"/>
                <w:sz w:val="15"/>
                <w:szCs w:val="15"/>
              </w:rPr>
              <w:t>(23)</w:t>
            </w:r>
          </w:p>
        </w:tc>
        <w:tc>
          <w:tcPr>
            <w:tcW w:w="0" w:type="auto"/>
            <w:shd w:val="clear" w:color="auto" w:fill="FFFFFF"/>
            <w:tcMar>
              <w:top w:w="40" w:type="dxa"/>
              <w:left w:w="0" w:type="dxa"/>
              <w:bottom w:w="40" w:type="dxa"/>
              <w:right w:w="20" w:type="dxa"/>
            </w:tcMar>
            <w:vAlign w:val="bottom"/>
          </w:tcPr>
          <w:p w14:paraId="71D410E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E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E7" w14:textId="77777777" w:rsidR="006A3667" w:rsidRDefault="00045F32">
            <w:pPr>
              <w:jc w:val="right"/>
              <w:textAlignment w:val="bottom"/>
            </w:pPr>
            <w:r>
              <w:rPr>
                <w:rFonts w:ascii="Arial" w:eastAsia="宋体" w:hAnsi="Arial" w:cs="Arial"/>
                <w:b/>
                <w:bCs/>
                <w:color w:val="000000"/>
                <w:sz w:val="15"/>
                <w:szCs w:val="15"/>
              </w:rPr>
              <w:t>(6)</w:t>
            </w:r>
          </w:p>
        </w:tc>
        <w:tc>
          <w:tcPr>
            <w:tcW w:w="0" w:type="auto"/>
            <w:shd w:val="clear" w:color="auto" w:fill="FFFFFF"/>
            <w:tcMar>
              <w:top w:w="40" w:type="dxa"/>
              <w:left w:w="0" w:type="dxa"/>
              <w:bottom w:w="40" w:type="dxa"/>
              <w:right w:w="20" w:type="dxa"/>
            </w:tcMar>
            <w:vAlign w:val="bottom"/>
          </w:tcPr>
          <w:p w14:paraId="71D410E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E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EA" w14:textId="77777777" w:rsidR="006A3667" w:rsidRDefault="00045F32">
            <w:pPr>
              <w:jc w:val="right"/>
              <w:textAlignment w:val="bottom"/>
            </w:pPr>
            <w:r>
              <w:rPr>
                <w:rFonts w:ascii="Arial" w:eastAsia="宋体" w:hAnsi="Arial" w:cs="Arial"/>
                <w:b/>
                <w:bCs/>
                <w:color w:val="000000"/>
                <w:sz w:val="15"/>
                <w:szCs w:val="15"/>
              </w:rPr>
              <w:t>(29)</w:t>
            </w:r>
          </w:p>
        </w:tc>
        <w:tc>
          <w:tcPr>
            <w:tcW w:w="0" w:type="auto"/>
            <w:shd w:val="clear" w:color="auto" w:fill="FFFFFF"/>
            <w:tcMar>
              <w:top w:w="40" w:type="dxa"/>
              <w:left w:w="0" w:type="dxa"/>
              <w:bottom w:w="40" w:type="dxa"/>
              <w:right w:w="20" w:type="dxa"/>
            </w:tcMar>
            <w:vAlign w:val="bottom"/>
          </w:tcPr>
          <w:p w14:paraId="71D410E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E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ED" w14:textId="77777777" w:rsidR="006A3667" w:rsidRDefault="00045F32">
            <w:pPr>
              <w:jc w:val="right"/>
              <w:textAlignment w:val="bottom"/>
            </w:pPr>
            <w:r>
              <w:rPr>
                <w:rFonts w:ascii="Arial" w:eastAsia="宋体" w:hAnsi="Arial" w:cs="Arial"/>
                <w:color w:val="000000"/>
                <w:sz w:val="15"/>
                <w:szCs w:val="15"/>
              </w:rPr>
              <w:t>(143)</w:t>
            </w:r>
          </w:p>
        </w:tc>
        <w:tc>
          <w:tcPr>
            <w:tcW w:w="0" w:type="auto"/>
            <w:shd w:val="clear" w:color="auto" w:fill="FFFFFF"/>
            <w:tcMar>
              <w:top w:w="40" w:type="dxa"/>
              <w:left w:w="0" w:type="dxa"/>
              <w:bottom w:w="40" w:type="dxa"/>
              <w:right w:w="20" w:type="dxa"/>
            </w:tcMar>
            <w:vAlign w:val="bottom"/>
          </w:tcPr>
          <w:p w14:paraId="71D410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E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F0" w14:textId="77777777" w:rsidR="006A3667" w:rsidRDefault="00045F32">
            <w:pPr>
              <w:jc w:val="right"/>
              <w:textAlignment w:val="bottom"/>
            </w:pPr>
            <w:r>
              <w:rPr>
                <w:rFonts w:ascii="Arial" w:eastAsia="宋体" w:hAnsi="Arial" w:cs="Arial"/>
                <w:color w:val="000000"/>
                <w:sz w:val="15"/>
                <w:szCs w:val="15"/>
              </w:rPr>
              <w:t>(16)</w:t>
            </w:r>
          </w:p>
        </w:tc>
        <w:tc>
          <w:tcPr>
            <w:tcW w:w="0" w:type="auto"/>
            <w:shd w:val="clear" w:color="auto" w:fill="FFFFFF"/>
            <w:tcMar>
              <w:top w:w="40" w:type="dxa"/>
              <w:left w:w="0" w:type="dxa"/>
              <w:bottom w:w="40" w:type="dxa"/>
              <w:right w:w="20" w:type="dxa"/>
            </w:tcMar>
            <w:vAlign w:val="bottom"/>
          </w:tcPr>
          <w:p w14:paraId="71D410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0F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0F3" w14:textId="77777777" w:rsidR="006A3667" w:rsidRDefault="00045F32">
            <w:pPr>
              <w:jc w:val="right"/>
              <w:textAlignment w:val="bottom"/>
            </w:pPr>
            <w:r>
              <w:rPr>
                <w:rFonts w:ascii="Arial" w:eastAsia="宋体" w:hAnsi="Arial" w:cs="Arial"/>
                <w:color w:val="000000"/>
                <w:sz w:val="15"/>
                <w:szCs w:val="15"/>
              </w:rPr>
              <w:t>(159)</w:t>
            </w:r>
          </w:p>
        </w:tc>
        <w:tc>
          <w:tcPr>
            <w:tcW w:w="0" w:type="auto"/>
            <w:shd w:val="clear" w:color="auto" w:fill="FFFFFF"/>
            <w:tcMar>
              <w:top w:w="40" w:type="dxa"/>
              <w:left w:w="0" w:type="dxa"/>
              <w:bottom w:w="40" w:type="dxa"/>
              <w:right w:w="20" w:type="dxa"/>
            </w:tcMar>
            <w:vAlign w:val="bottom"/>
          </w:tcPr>
          <w:p w14:paraId="71D410F4" w14:textId="77777777" w:rsidR="006A3667" w:rsidRDefault="006A3667">
            <w:pPr>
              <w:jc w:val="right"/>
              <w:rPr>
                <w:rFonts w:ascii="宋体"/>
              </w:rPr>
            </w:pPr>
          </w:p>
        </w:tc>
      </w:tr>
    </w:tbl>
    <w:p w14:paraId="71D410F6"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6A3667" w14:paraId="71D41100" w14:textId="77777777">
        <w:tc>
          <w:tcPr>
            <w:tcW w:w="50" w:type="pct"/>
            <w:shd w:val="clear" w:color="auto" w:fill="auto"/>
            <w:vAlign w:val="bottom"/>
          </w:tcPr>
          <w:p w14:paraId="71D410F7" w14:textId="77777777" w:rsidR="006A3667" w:rsidRDefault="006A3667">
            <w:pPr>
              <w:rPr>
                <w:rFonts w:ascii="宋体"/>
              </w:rPr>
            </w:pPr>
          </w:p>
        </w:tc>
        <w:tc>
          <w:tcPr>
            <w:tcW w:w="1348" w:type="pct"/>
            <w:shd w:val="clear" w:color="auto" w:fill="auto"/>
            <w:vAlign w:val="bottom"/>
          </w:tcPr>
          <w:p w14:paraId="71D410F8" w14:textId="77777777" w:rsidR="006A3667" w:rsidRDefault="006A3667">
            <w:pPr>
              <w:rPr>
                <w:rFonts w:ascii="宋体"/>
              </w:rPr>
            </w:pPr>
          </w:p>
        </w:tc>
        <w:tc>
          <w:tcPr>
            <w:tcW w:w="5" w:type="pct"/>
            <w:shd w:val="clear" w:color="auto" w:fill="auto"/>
            <w:vAlign w:val="bottom"/>
          </w:tcPr>
          <w:p w14:paraId="71D410F9" w14:textId="77777777" w:rsidR="006A3667" w:rsidRDefault="006A3667">
            <w:pPr>
              <w:rPr>
                <w:rFonts w:ascii="宋体"/>
              </w:rPr>
            </w:pPr>
          </w:p>
        </w:tc>
        <w:tc>
          <w:tcPr>
            <w:tcW w:w="50" w:type="pct"/>
            <w:shd w:val="clear" w:color="auto" w:fill="auto"/>
            <w:vAlign w:val="bottom"/>
          </w:tcPr>
          <w:p w14:paraId="71D410FA" w14:textId="77777777" w:rsidR="006A3667" w:rsidRDefault="006A3667">
            <w:pPr>
              <w:rPr>
                <w:rFonts w:ascii="宋体"/>
              </w:rPr>
            </w:pPr>
          </w:p>
        </w:tc>
        <w:tc>
          <w:tcPr>
            <w:tcW w:w="1290" w:type="pct"/>
            <w:shd w:val="clear" w:color="auto" w:fill="auto"/>
            <w:vAlign w:val="bottom"/>
          </w:tcPr>
          <w:p w14:paraId="71D410FB" w14:textId="77777777" w:rsidR="006A3667" w:rsidRDefault="006A3667">
            <w:pPr>
              <w:rPr>
                <w:rFonts w:ascii="宋体"/>
              </w:rPr>
            </w:pPr>
          </w:p>
        </w:tc>
        <w:tc>
          <w:tcPr>
            <w:tcW w:w="5" w:type="pct"/>
            <w:shd w:val="clear" w:color="auto" w:fill="auto"/>
            <w:vAlign w:val="bottom"/>
          </w:tcPr>
          <w:p w14:paraId="71D410FC" w14:textId="77777777" w:rsidR="006A3667" w:rsidRDefault="006A3667">
            <w:pPr>
              <w:rPr>
                <w:rFonts w:ascii="宋体"/>
              </w:rPr>
            </w:pPr>
          </w:p>
        </w:tc>
        <w:tc>
          <w:tcPr>
            <w:tcW w:w="50" w:type="pct"/>
            <w:shd w:val="clear" w:color="auto" w:fill="auto"/>
            <w:vAlign w:val="bottom"/>
          </w:tcPr>
          <w:p w14:paraId="71D410FD" w14:textId="77777777" w:rsidR="006A3667" w:rsidRDefault="006A3667">
            <w:pPr>
              <w:rPr>
                <w:rFonts w:ascii="宋体"/>
              </w:rPr>
            </w:pPr>
          </w:p>
        </w:tc>
        <w:tc>
          <w:tcPr>
            <w:tcW w:w="2196" w:type="pct"/>
            <w:shd w:val="clear" w:color="auto" w:fill="auto"/>
            <w:vAlign w:val="bottom"/>
          </w:tcPr>
          <w:p w14:paraId="71D410FE" w14:textId="77777777" w:rsidR="006A3667" w:rsidRDefault="006A3667">
            <w:pPr>
              <w:rPr>
                <w:rFonts w:ascii="宋体"/>
              </w:rPr>
            </w:pPr>
          </w:p>
        </w:tc>
        <w:tc>
          <w:tcPr>
            <w:tcW w:w="5" w:type="pct"/>
            <w:shd w:val="clear" w:color="auto" w:fill="auto"/>
            <w:vAlign w:val="bottom"/>
          </w:tcPr>
          <w:p w14:paraId="71D410FF" w14:textId="77777777" w:rsidR="006A3667" w:rsidRDefault="006A3667">
            <w:pPr>
              <w:rPr>
                <w:rFonts w:ascii="宋体"/>
              </w:rPr>
            </w:pPr>
          </w:p>
        </w:tc>
      </w:tr>
      <w:tr w:rsidR="006A3667" w14:paraId="71D4110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110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0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03" w14:textId="77777777" w:rsidR="006A3667" w:rsidRDefault="006A3667">
            <w:pPr>
              <w:rPr>
                <w:rFonts w:ascii="宋体"/>
              </w:rPr>
            </w:pPr>
          </w:p>
        </w:tc>
      </w:tr>
    </w:tbl>
    <w:p w14:paraId="71D41105" w14:textId="77777777" w:rsidR="006A3667" w:rsidRDefault="00045F32">
      <w:pPr>
        <w:spacing w:before="60"/>
      </w:pPr>
      <w:r>
        <w:rPr>
          <w:rFonts w:ascii="Arial" w:eastAsia="宋体" w:hAnsi="Arial" w:cs="Arial"/>
          <w:color w:val="000000"/>
          <w:sz w:val="9"/>
          <w:szCs w:val="9"/>
        </w:rPr>
        <w:t xml:space="preserve">(1) </w:t>
      </w:r>
      <w:r>
        <w:rPr>
          <w:rFonts w:ascii="Arial" w:eastAsia="宋体" w:hAnsi="Arial" w:cs="Arial"/>
          <w:color w:val="000000"/>
          <w:sz w:val="14"/>
          <w:szCs w:val="14"/>
        </w:rPr>
        <w:t xml:space="preserve">Does not reflect any impact of our proposed acquisition of the BBH Investor Services business. </w:t>
      </w:r>
    </w:p>
    <w:p w14:paraId="71D41106" w14:textId="77777777" w:rsidR="006A3667" w:rsidRDefault="00045F32">
      <w:pPr>
        <w:spacing w:before="60"/>
      </w:pPr>
      <w:r>
        <w:rPr>
          <w:rFonts w:ascii="Arial" w:eastAsia="宋体" w:hAnsi="Arial" w:cs="Arial"/>
          <w:color w:val="000000"/>
          <w:sz w:val="9"/>
          <w:szCs w:val="9"/>
        </w:rPr>
        <w:t xml:space="preserve">(2) </w:t>
      </w:r>
      <w:r>
        <w:rPr>
          <w:rFonts w:ascii="Arial" w:eastAsia="宋体" w:hAnsi="Arial" w:cs="Arial"/>
          <w:color w:val="000000"/>
          <w:sz w:val="14"/>
          <w:szCs w:val="14"/>
        </w:rPr>
        <w:t>The short-end is 0-3 months. The long-end is 5 years and above. Interim term points are interpolated.</w:t>
      </w:r>
      <w:r>
        <w:rPr>
          <w:rFonts w:ascii="Arial" w:eastAsia="宋体" w:hAnsi="Arial" w:cs="Arial"/>
          <w:color w:val="000000"/>
          <w:sz w:val="9"/>
          <w:szCs w:val="9"/>
        </w:rPr>
        <w:t xml:space="preserve"> </w:t>
      </w:r>
    </w:p>
    <w:p w14:paraId="71D41107" w14:textId="77777777" w:rsidR="006A3667" w:rsidRDefault="00045F32">
      <w:pPr>
        <w:spacing w:before="60"/>
        <w:ind w:firstLine="450"/>
        <w:jc w:val="both"/>
      </w:pPr>
      <w:r>
        <w:rPr>
          <w:rFonts w:ascii="Arial" w:eastAsia="宋体" w:hAnsi="Arial" w:cs="Arial"/>
          <w:color w:val="000000"/>
          <w:sz w:val="20"/>
          <w:szCs w:val="20"/>
        </w:rPr>
        <w:t xml:space="preserve">Our overall balance sheet, including all currencies, </w:t>
      </w:r>
      <w:r>
        <w:rPr>
          <w:rFonts w:ascii="Arial" w:eastAsia="宋体" w:hAnsi="Arial" w:cs="Arial"/>
          <w:color w:val="000000"/>
          <w:sz w:val="20"/>
          <w:szCs w:val="20"/>
        </w:rPr>
        <w:t>continues to be asset sensitive with an NII benefit in higher rate scenarios. However, our USD balance sheet has become liability driven by rising USD deposit betas and deposit balance rotation. Our NII sensitivities assumes no management actions are taken</w:t>
      </w:r>
      <w:r>
        <w:rPr>
          <w:rFonts w:ascii="Arial" w:eastAsia="宋体" w:hAnsi="Arial" w:cs="Arial"/>
          <w:color w:val="000000"/>
          <w:sz w:val="20"/>
          <w:szCs w:val="20"/>
        </w:rPr>
        <w:t xml:space="preserve"> to change modeled outcomes including the +100 basis point scenario which assumes that the level of Fed Funds reaches 5.5%. </w:t>
      </w:r>
    </w:p>
    <w:p w14:paraId="71D41108" w14:textId="77777777" w:rsidR="006A3667" w:rsidRDefault="00045F32">
      <w:pPr>
        <w:spacing w:before="60"/>
        <w:ind w:firstLine="450"/>
        <w:jc w:val="both"/>
      </w:pPr>
      <w:r>
        <w:rPr>
          <w:rFonts w:ascii="Arial" w:eastAsia="宋体" w:hAnsi="Arial" w:cs="Arial"/>
          <w:color w:val="000000"/>
          <w:sz w:val="20"/>
          <w:szCs w:val="20"/>
        </w:rPr>
        <w:t>As of September 30, 2022, USD NII benefits in lower rate scenarios and is exposed to higher rates primarily driven by our sensitivi</w:t>
      </w:r>
      <w:r>
        <w:rPr>
          <w:rFonts w:ascii="Arial" w:eastAsia="宋体" w:hAnsi="Arial" w:cs="Arial"/>
          <w:color w:val="000000"/>
          <w:sz w:val="20"/>
          <w:szCs w:val="20"/>
        </w:rPr>
        <w:t>ties on the short-end of the yield curve. Compared to September 30, 2021, our short-end USD sensitivity has changed due to the higher level of market interest rates and the Federal Reserve’s quantitative tightening program resulting in higher deposit betas</w:t>
      </w:r>
      <w:r>
        <w:rPr>
          <w:rFonts w:ascii="Arial" w:eastAsia="宋体" w:hAnsi="Arial" w:cs="Arial"/>
          <w:color w:val="000000"/>
          <w:sz w:val="20"/>
          <w:szCs w:val="20"/>
        </w:rPr>
        <w:t xml:space="preserve"> and deposit balance rotation and reductions. Long-end USD sensitivities have decreased since September 30, 2021 through the implementation of investment portfolio risk reduction strategies resulting in lower securities duration. </w:t>
      </w:r>
    </w:p>
    <w:p w14:paraId="71D41109" w14:textId="77777777" w:rsidR="006A3667" w:rsidRDefault="00045F32">
      <w:pPr>
        <w:spacing w:before="60"/>
        <w:ind w:firstLine="450"/>
        <w:jc w:val="both"/>
      </w:pPr>
      <w:r>
        <w:rPr>
          <w:rFonts w:ascii="Arial" w:eastAsia="宋体" w:hAnsi="Arial" w:cs="Arial"/>
          <w:color w:val="000000"/>
          <w:sz w:val="20"/>
          <w:szCs w:val="20"/>
        </w:rPr>
        <w:t>As of September 30, 2022,</w:t>
      </w:r>
      <w:r>
        <w:rPr>
          <w:rFonts w:ascii="Arial" w:eastAsia="宋体" w:hAnsi="Arial" w:cs="Arial"/>
          <w:color w:val="000000"/>
          <w:sz w:val="20"/>
          <w:szCs w:val="20"/>
        </w:rPr>
        <w:t xml:space="preserve"> non-USD NII benefits in higher rate scenarios and is exposed to lower rates primarily driven by our sensitivities on the short-end of the yield curve. Compared to September 30, 2021, our short-end non-USD sensitivity to higher rates has increased due to t</w:t>
      </w:r>
      <w:r>
        <w:rPr>
          <w:rFonts w:ascii="Arial" w:eastAsia="宋体" w:hAnsi="Arial" w:cs="Arial"/>
          <w:color w:val="000000"/>
          <w:sz w:val="20"/>
          <w:szCs w:val="20"/>
        </w:rPr>
        <w:t>he ECB shifting from negative to positive interest rates resulting in lower deposit betas. Our short-end non-USD sensitivity to lower rates has become negative as higher interest rates and higher forecasted baseline NII have increased non-USD NII at risk t</w:t>
      </w:r>
      <w:r>
        <w:rPr>
          <w:rFonts w:ascii="Arial" w:eastAsia="宋体" w:hAnsi="Arial" w:cs="Arial"/>
          <w:color w:val="000000"/>
          <w:sz w:val="20"/>
          <w:szCs w:val="20"/>
        </w:rPr>
        <w:t>o lower rates.</w:t>
      </w:r>
    </w:p>
    <w:p w14:paraId="71D4110A" w14:textId="77777777" w:rsidR="006A3667" w:rsidRDefault="00045F32">
      <w:pPr>
        <w:spacing w:before="60"/>
        <w:ind w:firstLine="450"/>
        <w:jc w:val="both"/>
      </w:pPr>
      <w:r>
        <w:rPr>
          <w:rFonts w:ascii="Arial" w:eastAsia="宋体" w:hAnsi="Arial" w:cs="Arial"/>
          <w:color w:val="000000"/>
          <w:sz w:val="20"/>
          <w:szCs w:val="20"/>
        </w:rPr>
        <w:t>NII sensitivity is routinely monitored as market conditions change. For additional information about our Asset and Liability Management Activities, refer to Management’s Discussion and Analysis of Financial Condition and Results of Operation</w:t>
      </w:r>
      <w:r>
        <w:rPr>
          <w:rFonts w:ascii="Arial" w:eastAsia="宋体" w:hAnsi="Arial" w:cs="Arial"/>
          <w:color w:val="000000"/>
          <w:sz w:val="20"/>
          <w:szCs w:val="20"/>
        </w:rPr>
        <w:t xml:space="preserve">s, “Risk Management”. </w:t>
      </w:r>
    </w:p>
    <w:p w14:paraId="71D4110B" w14:textId="77777777" w:rsidR="006A3667" w:rsidRDefault="00045F32">
      <w:pPr>
        <w:ind w:firstLine="450"/>
        <w:jc w:val="right"/>
      </w:pPr>
      <w:r>
        <w:rPr>
          <w:rFonts w:ascii="Arial" w:eastAsia="宋体" w:hAnsi="Arial" w:cs="Arial"/>
          <w:color w:val="000000"/>
          <w:sz w:val="18"/>
          <w:szCs w:val="18"/>
        </w:rPr>
        <w:t>State Street Corporation | 41</w:t>
      </w:r>
    </w:p>
    <w:p w14:paraId="71D4110C" w14:textId="77777777" w:rsidR="006A3667" w:rsidRDefault="006A3667">
      <w:pPr>
        <w:ind w:firstLine="450"/>
        <w:jc w:val="center"/>
      </w:pPr>
    </w:p>
    <w:p w14:paraId="71D4110D" w14:textId="77777777" w:rsidR="006A3667" w:rsidRDefault="00045F32">
      <w:r>
        <w:pict w14:anchorId="71D4AC3D">
          <v:rect id="_x0000_i1065" style="width:415.3pt;height:1.5pt" o:hralign="center" o:hrstd="t" o:hr="t" fillcolor="#a0a0a0" stroked="f"/>
        </w:pict>
      </w:r>
    </w:p>
    <w:p w14:paraId="71D4110E"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10F" w14:textId="77777777" w:rsidR="006A3667" w:rsidRDefault="00045F32">
      <w:pPr>
        <w:ind w:firstLine="450"/>
        <w:jc w:val="center"/>
      </w:pPr>
      <w:r>
        <w:rPr>
          <w:rFonts w:ascii="Arial" w:eastAsia="宋体" w:hAnsi="Arial" w:cs="Arial"/>
          <w:b/>
          <w:bCs/>
          <w:color w:val="000000"/>
          <w:sz w:val="20"/>
          <w:szCs w:val="20"/>
        </w:rPr>
        <w:t>AND RESULTS OF OPERATIONS</w:t>
      </w:r>
    </w:p>
    <w:p w14:paraId="71D41110" w14:textId="77777777" w:rsidR="006A3667" w:rsidRDefault="006A3667">
      <w:pPr>
        <w:spacing w:before="60"/>
        <w:ind w:firstLine="720"/>
        <w:jc w:val="both"/>
      </w:pPr>
    </w:p>
    <w:p w14:paraId="71D41111" w14:textId="77777777" w:rsidR="006A3667" w:rsidRDefault="00045F32">
      <w:pPr>
        <w:spacing w:before="90"/>
        <w:jc w:val="both"/>
        <w:textAlignment w:val="top"/>
      </w:pPr>
      <w:r>
        <w:rPr>
          <w:rFonts w:ascii="Arial" w:eastAsia="宋体" w:hAnsi="Arial" w:cs="Arial"/>
          <w:b/>
          <w:bCs/>
          <w:color w:val="000000"/>
          <w:sz w:val="20"/>
          <w:szCs w:val="20"/>
        </w:rPr>
        <w:t xml:space="preserve">Model Risk Management </w:t>
      </w:r>
    </w:p>
    <w:p w14:paraId="71D41112" w14:textId="77777777" w:rsidR="006A3667" w:rsidRDefault="00045F32">
      <w:pPr>
        <w:spacing w:before="60"/>
        <w:ind w:firstLine="450"/>
        <w:jc w:val="both"/>
        <w:textAlignment w:val="top"/>
      </w:pPr>
      <w:r>
        <w:rPr>
          <w:rFonts w:ascii="Arial" w:eastAsia="宋体" w:hAnsi="Arial" w:cs="Arial"/>
          <w:color w:val="000000"/>
          <w:sz w:val="20"/>
          <w:szCs w:val="20"/>
        </w:rPr>
        <w:t xml:space="preserve">The use of models is widespread throughout the financial services industry, with </w:t>
      </w:r>
      <w:r>
        <w:rPr>
          <w:rFonts w:ascii="Arial" w:eastAsia="宋体" w:hAnsi="Arial" w:cs="Arial"/>
          <w:color w:val="000000"/>
          <w:sz w:val="20"/>
          <w:szCs w:val="20"/>
        </w:rPr>
        <w:t>large and complex organizations relying on sophisticated models to support numerous aspects of their financial decision making. The models contemporaneously represent both a significant advancement in financial management and a source of risk. In large ban</w:t>
      </w:r>
      <w:r>
        <w:rPr>
          <w:rFonts w:ascii="Arial" w:eastAsia="宋体" w:hAnsi="Arial" w:cs="Arial"/>
          <w:color w:val="000000"/>
          <w:sz w:val="20"/>
          <w:szCs w:val="20"/>
        </w:rPr>
        <w:t>king organizations like us, model results influence business decisions, and model failure could have a harmful effect on our financial performance. As a result, the Model Risk Management Framework seeks to mitigate our model risk.</w:t>
      </w:r>
    </w:p>
    <w:p w14:paraId="71D41113" w14:textId="77777777" w:rsidR="006A3667" w:rsidRDefault="00045F32">
      <w:pPr>
        <w:spacing w:before="60"/>
        <w:ind w:firstLine="450"/>
        <w:jc w:val="both"/>
        <w:textAlignment w:val="top"/>
      </w:pPr>
      <w:r>
        <w:rPr>
          <w:rFonts w:ascii="Arial" w:eastAsia="宋体" w:hAnsi="Arial" w:cs="Arial"/>
          <w:color w:val="000000"/>
          <w:sz w:val="20"/>
          <w:szCs w:val="20"/>
        </w:rPr>
        <w:t>For additional informatio</w:t>
      </w:r>
      <w:r>
        <w:rPr>
          <w:rFonts w:ascii="Arial" w:eastAsia="宋体" w:hAnsi="Arial" w:cs="Arial"/>
          <w:color w:val="000000"/>
          <w:sz w:val="20"/>
          <w:szCs w:val="20"/>
        </w:rPr>
        <w:t xml:space="preserve">n about our model risk management framework, including our governance and model validation, refer to pages 111 to 112 included under Item 7, Management's Discussion and Analysis of Financial Condition and Results of Operations, "Model Risk Management", in </w:t>
      </w:r>
      <w:r>
        <w:rPr>
          <w:rFonts w:ascii="Arial" w:eastAsia="宋体" w:hAnsi="Arial" w:cs="Arial"/>
          <w:color w:val="000000"/>
          <w:sz w:val="20"/>
          <w:szCs w:val="20"/>
        </w:rPr>
        <w:t>our 2021 Form 10-K.</w:t>
      </w:r>
    </w:p>
    <w:p w14:paraId="71D41114" w14:textId="77777777" w:rsidR="006A3667" w:rsidRDefault="00045F32">
      <w:pPr>
        <w:spacing w:before="90"/>
        <w:textAlignment w:val="top"/>
      </w:pPr>
      <w:r>
        <w:rPr>
          <w:rFonts w:ascii="Arial" w:eastAsia="宋体" w:hAnsi="Arial" w:cs="Arial"/>
          <w:b/>
          <w:bCs/>
          <w:color w:val="000000"/>
          <w:sz w:val="20"/>
          <w:szCs w:val="20"/>
        </w:rPr>
        <w:t xml:space="preserve">Strategic Risk Management </w:t>
      </w:r>
    </w:p>
    <w:p w14:paraId="71D41115" w14:textId="77777777" w:rsidR="006A3667" w:rsidRDefault="00045F32">
      <w:pPr>
        <w:spacing w:before="60"/>
        <w:ind w:firstLine="450"/>
        <w:jc w:val="both"/>
        <w:textAlignment w:val="top"/>
      </w:pPr>
      <w:r>
        <w:rPr>
          <w:rFonts w:ascii="Arial" w:eastAsia="宋体" w:hAnsi="Arial" w:cs="Arial"/>
          <w:color w:val="000000"/>
          <w:sz w:val="20"/>
          <w:szCs w:val="20"/>
        </w:rPr>
        <w:t>We define strategic risk as the current or prospective impact on earnings or capital arising from adverse business decisions, improper implementation of strategic initiatives, or lack of responsiveness to indu</w:t>
      </w:r>
      <w:r>
        <w:rPr>
          <w:rFonts w:ascii="Arial" w:eastAsia="宋体" w:hAnsi="Arial" w:cs="Arial"/>
          <w:color w:val="000000"/>
          <w:sz w:val="20"/>
          <w:szCs w:val="20"/>
        </w:rPr>
        <w:t>stry-wide changes. Strategic risks are influenced by changes in the business environment; decline in market performance or changes in our business activities; and the potential secondary impacts of reputational risks, not already captured as market, intere</w:t>
      </w:r>
      <w:r>
        <w:rPr>
          <w:rFonts w:ascii="Arial" w:eastAsia="宋体" w:hAnsi="Arial" w:cs="Arial"/>
          <w:color w:val="000000"/>
          <w:sz w:val="20"/>
          <w:szCs w:val="20"/>
        </w:rPr>
        <w:t>st rate, credit, operational, model or liquidity risks. We incorporate strategic risk into our assessment of our business plans and risk and capital management processes.</w:t>
      </w:r>
    </w:p>
    <w:p w14:paraId="71D41116" w14:textId="77777777" w:rsidR="006A3667" w:rsidRDefault="00045F32">
      <w:pPr>
        <w:spacing w:before="60"/>
        <w:ind w:firstLine="450"/>
        <w:jc w:val="both"/>
        <w:textAlignment w:val="top"/>
      </w:pPr>
      <w:r>
        <w:rPr>
          <w:rFonts w:ascii="Arial" w:eastAsia="宋体" w:hAnsi="Arial" w:cs="Arial"/>
          <w:color w:val="000000"/>
          <w:sz w:val="20"/>
          <w:szCs w:val="20"/>
        </w:rPr>
        <w:t>On March 5, 2021, the Intercontinental Exchange Benchmark Administration (IBA), in co</w:t>
      </w:r>
      <w:r>
        <w:rPr>
          <w:rFonts w:ascii="Arial" w:eastAsia="宋体" w:hAnsi="Arial" w:cs="Arial"/>
          <w:color w:val="000000"/>
          <w:sz w:val="20"/>
          <w:szCs w:val="20"/>
        </w:rPr>
        <w:t>njunction with the United Kingdom Financial Conduct Authority (FCA), announced that it would cease the publication of all EUR and Swiss Franc LIBOR settings, the overnight, one week, two week, two month and twelve month GBP LIBOR and Japanese Yen (JPY) LIB</w:t>
      </w:r>
      <w:r>
        <w:rPr>
          <w:rFonts w:ascii="Arial" w:eastAsia="宋体" w:hAnsi="Arial" w:cs="Arial"/>
          <w:color w:val="000000"/>
          <w:sz w:val="20"/>
          <w:szCs w:val="20"/>
        </w:rPr>
        <w:t>OR settings, and the one week and two months U.S. dollar LIBOR settings, as of December 31, 2021. Furthermore, the IBA announced that as of June 30, 2023, it would cease the publication of the overnight and twelve months U.S. dollar LIBOR settings and that</w:t>
      </w:r>
      <w:r>
        <w:rPr>
          <w:rFonts w:ascii="Arial" w:eastAsia="宋体" w:hAnsi="Arial" w:cs="Arial"/>
          <w:color w:val="000000"/>
          <w:sz w:val="20"/>
          <w:szCs w:val="20"/>
        </w:rPr>
        <w:t xml:space="preserve"> as of June 30, 2023 the one month, three month and six month USD LIBOR setting would become non-representative. On September 29, 2021, the FCA announced that it would compel the IBA to continue the publication of the one month, three month and six month G</w:t>
      </w:r>
      <w:r>
        <w:rPr>
          <w:rFonts w:ascii="Arial" w:eastAsia="宋体" w:hAnsi="Arial" w:cs="Arial"/>
          <w:color w:val="000000"/>
          <w:sz w:val="20"/>
          <w:szCs w:val="20"/>
        </w:rPr>
        <w:t xml:space="preserve">BP and JPY settings, on a synthetic, non-representative basis from year-end 2021 for a period of at least one year. </w:t>
      </w:r>
    </w:p>
    <w:p w14:paraId="71D41117" w14:textId="77777777" w:rsidR="006A3667" w:rsidRDefault="00045F32">
      <w:pPr>
        <w:spacing w:before="60"/>
        <w:ind w:firstLine="450"/>
        <w:jc w:val="both"/>
        <w:textAlignment w:val="top"/>
      </w:pPr>
      <w:r>
        <w:rPr>
          <w:rFonts w:ascii="Arial" w:eastAsia="宋体" w:hAnsi="Arial" w:cs="Arial"/>
          <w:color w:val="000000"/>
          <w:sz w:val="20"/>
          <w:szCs w:val="20"/>
        </w:rPr>
        <w:t>On June 30, 2022, the FCA issued a consultation on winding down synthetic tenors of GBP LIBOR and on the potential introduction of a synthe</w:t>
      </w:r>
      <w:r>
        <w:rPr>
          <w:rFonts w:ascii="Arial" w:eastAsia="宋体" w:hAnsi="Arial" w:cs="Arial"/>
          <w:color w:val="000000"/>
          <w:sz w:val="20"/>
          <w:szCs w:val="20"/>
        </w:rPr>
        <w:t xml:space="preserve">tic version of certain USD LIBOR settings as of June 30, 2023. On September 29, 2022, the FCA confirmed in conjunction with the IBA, the cessation of all synthetic JPY LIBOR settings as of December 31, 2022 and the cessation of the one month and six month </w:t>
      </w:r>
      <w:r>
        <w:rPr>
          <w:rFonts w:ascii="Arial" w:eastAsia="宋体" w:hAnsi="Arial" w:cs="Arial"/>
          <w:color w:val="000000"/>
          <w:sz w:val="20"/>
          <w:szCs w:val="20"/>
        </w:rPr>
        <w:t>GBP LIBOR setting as of March 2023. The FCA continues to assess the appropriate cessation date for the remaining three month GBP LIBOR setting and whether to compel the publication of any synthetic version of certain USD LIBOR tenors. A decision on these m</w:t>
      </w:r>
      <w:r>
        <w:rPr>
          <w:rFonts w:ascii="Arial" w:eastAsia="宋体" w:hAnsi="Arial" w:cs="Arial"/>
          <w:color w:val="000000"/>
          <w:sz w:val="20"/>
          <w:szCs w:val="20"/>
        </w:rPr>
        <w:t xml:space="preserve">atters is expected in the fourth quarter of 2022. </w:t>
      </w:r>
    </w:p>
    <w:p w14:paraId="71D41118" w14:textId="77777777" w:rsidR="006A3667" w:rsidRDefault="00045F32">
      <w:pPr>
        <w:spacing w:before="60"/>
        <w:ind w:firstLine="450"/>
        <w:jc w:val="both"/>
        <w:textAlignment w:val="top"/>
      </w:pPr>
      <w:r>
        <w:rPr>
          <w:rFonts w:ascii="Arial" w:eastAsia="宋体" w:hAnsi="Arial" w:cs="Arial"/>
          <w:color w:val="000000"/>
          <w:sz w:val="20"/>
          <w:szCs w:val="20"/>
        </w:rPr>
        <w:t>On March 15, 2022, the U.S. Congress adopted, as part of the Consolidated Appropriation Act of 2022, the Adjustable Interest (LIBOR) Act which provides certain statutory requirements and guidance for the s</w:t>
      </w:r>
      <w:r>
        <w:rPr>
          <w:rFonts w:ascii="Arial" w:eastAsia="宋体" w:hAnsi="Arial" w:cs="Arial"/>
          <w:color w:val="000000"/>
          <w:sz w:val="20"/>
          <w:szCs w:val="20"/>
        </w:rPr>
        <w:t>election and use of alternative reference rates in legacy financial contracts governed by U.S. law that do not provide for the use of a clearly defined or practicable alternative reference rate. On July 19, 2022, the Federal Reserve issued a notice of prop</w:t>
      </w:r>
      <w:r>
        <w:rPr>
          <w:rFonts w:ascii="Arial" w:eastAsia="宋体" w:hAnsi="Arial" w:cs="Arial"/>
          <w:color w:val="000000"/>
          <w:sz w:val="20"/>
          <w:szCs w:val="20"/>
        </w:rPr>
        <w:t>osed rulemaking on a proposal to implement the LIBOR Act, as required by its terms. A final rule is expected to be issued by the Federal Reserve in the fourth quarter of 2022.</w:t>
      </w:r>
    </w:p>
    <w:p w14:paraId="71D41119" w14:textId="77777777" w:rsidR="006A3667" w:rsidRDefault="00045F32">
      <w:pPr>
        <w:spacing w:before="60"/>
        <w:ind w:firstLine="450"/>
        <w:jc w:val="both"/>
        <w:textAlignment w:val="top"/>
      </w:pPr>
      <w:r>
        <w:rPr>
          <w:rFonts w:ascii="Arial" w:eastAsia="宋体" w:hAnsi="Arial" w:cs="Arial"/>
          <w:color w:val="000000"/>
          <w:sz w:val="20"/>
          <w:szCs w:val="20"/>
        </w:rPr>
        <w:t>We have established a process to identify, assess, plan for and remediate the us</w:t>
      </w:r>
      <w:r>
        <w:rPr>
          <w:rFonts w:ascii="Arial" w:eastAsia="宋体" w:hAnsi="Arial" w:cs="Arial"/>
          <w:color w:val="000000"/>
          <w:sz w:val="20"/>
          <w:szCs w:val="20"/>
        </w:rPr>
        <w:t>e of LIBOR and other reference rates affected by reference rate reform that addresses both direct exposures on our balance sheet, and, more importantly, the use of LIBOR in our various roles as service provider to our customers. This process is led by a fi</w:t>
      </w:r>
      <w:r>
        <w:rPr>
          <w:rFonts w:ascii="Arial" w:eastAsia="宋体" w:hAnsi="Arial" w:cs="Arial"/>
          <w:color w:val="000000"/>
          <w:sz w:val="20"/>
          <w:szCs w:val="20"/>
        </w:rPr>
        <w:t>rm-wide, multidisciplinary LIBOR program management office (“LIBOR PMO”), established in September 2018, that will continue to lead our transition efforts through June 2023.</w:t>
      </w:r>
    </w:p>
    <w:p w14:paraId="71D4111A" w14:textId="77777777" w:rsidR="006A3667" w:rsidRDefault="00045F32">
      <w:pPr>
        <w:spacing w:before="60"/>
        <w:ind w:firstLine="450"/>
        <w:jc w:val="both"/>
        <w:textAlignment w:val="top"/>
      </w:pPr>
      <w:r>
        <w:rPr>
          <w:rFonts w:ascii="Arial" w:eastAsia="宋体" w:hAnsi="Arial" w:cs="Arial"/>
          <w:color w:val="000000"/>
          <w:sz w:val="20"/>
          <w:szCs w:val="20"/>
        </w:rPr>
        <w:t>The LIBOR PMO reports regularly to executive management of the firm and our key re</w:t>
      </w:r>
      <w:r>
        <w:rPr>
          <w:rFonts w:ascii="Arial" w:eastAsia="宋体" w:hAnsi="Arial" w:cs="Arial"/>
          <w:color w:val="000000"/>
          <w:sz w:val="20"/>
          <w:szCs w:val="20"/>
        </w:rPr>
        <w:t>gulators on progress with respect to the adoption of alternative reference rates for various financial products and services, client communications, updating of our quantitative models and information technology systems, managing vendors, contracts remedia</w:t>
      </w:r>
      <w:r>
        <w:rPr>
          <w:rFonts w:ascii="Arial" w:eastAsia="宋体" w:hAnsi="Arial" w:cs="Arial"/>
          <w:color w:val="000000"/>
          <w:sz w:val="20"/>
          <w:szCs w:val="20"/>
        </w:rPr>
        <w:t>tion, evaluation of fallback provisions contained in LIBOR-priced loans, investment securities, derivatives and long-term debt and general operational readiness for each stage of the transition. Most of the LIBOR PMO's work for implementation of the transi</w:t>
      </w:r>
      <w:r>
        <w:rPr>
          <w:rFonts w:ascii="Arial" w:eastAsia="宋体" w:hAnsi="Arial" w:cs="Arial"/>
          <w:color w:val="000000"/>
          <w:sz w:val="20"/>
          <w:szCs w:val="20"/>
        </w:rPr>
        <w:t xml:space="preserve">tion to alternative reference rates is substantially complete, and contingency plans have been developed with respect to identified uncertainties. </w:t>
      </w:r>
    </w:p>
    <w:p w14:paraId="71D4111B" w14:textId="77777777" w:rsidR="006A3667" w:rsidRDefault="00045F32">
      <w:pPr>
        <w:ind w:firstLine="450"/>
        <w:jc w:val="right"/>
      </w:pPr>
      <w:r>
        <w:rPr>
          <w:rFonts w:ascii="Arial" w:eastAsia="宋体" w:hAnsi="Arial" w:cs="Arial"/>
          <w:color w:val="000000"/>
          <w:sz w:val="18"/>
          <w:szCs w:val="18"/>
        </w:rPr>
        <w:t>State Street Corporation | 42</w:t>
      </w:r>
    </w:p>
    <w:p w14:paraId="71D4111C" w14:textId="77777777" w:rsidR="006A3667" w:rsidRDefault="006A3667">
      <w:pPr>
        <w:ind w:firstLine="450"/>
        <w:jc w:val="center"/>
      </w:pPr>
    </w:p>
    <w:p w14:paraId="71D4111D" w14:textId="77777777" w:rsidR="006A3667" w:rsidRDefault="00045F32">
      <w:r>
        <w:pict w14:anchorId="71D4AC3E">
          <v:rect id="_x0000_i1066" style="width:415.3pt;height:1.5pt" o:hralign="center" o:hrstd="t" o:hr="t" fillcolor="#a0a0a0" stroked="f"/>
        </w:pict>
      </w:r>
    </w:p>
    <w:p w14:paraId="71D4111E"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11F" w14:textId="77777777" w:rsidR="006A3667" w:rsidRDefault="00045F32">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71D41120" w14:textId="77777777" w:rsidR="006A3667" w:rsidRDefault="00045F32">
      <w:pPr>
        <w:spacing w:before="60"/>
        <w:ind w:firstLine="450"/>
        <w:jc w:val="both"/>
        <w:textAlignment w:val="top"/>
      </w:pPr>
      <w:r>
        <w:rPr>
          <w:rFonts w:ascii="Arial" w:eastAsia="宋体" w:hAnsi="Arial" w:cs="Arial"/>
          <w:color w:val="000000"/>
          <w:sz w:val="20"/>
          <w:szCs w:val="20"/>
        </w:rPr>
        <w:t>No incremental material investments are expected to be needed for systems and processes related to the transition. Potential risks that could impact our remediation efforts include overall transition readiness across the industry, third party ve</w:t>
      </w:r>
      <w:r>
        <w:rPr>
          <w:rFonts w:ascii="Arial" w:eastAsia="宋体" w:hAnsi="Arial" w:cs="Arial"/>
          <w:color w:val="000000"/>
          <w:sz w:val="20"/>
          <w:szCs w:val="20"/>
        </w:rPr>
        <w:t>ndor dependencies and resource constraints from the concentration of remediation activities at key points in the transition process.</w:t>
      </w:r>
    </w:p>
    <w:p w14:paraId="71D41121" w14:textId="77777777" w:rsidR="006A3667" w:rsidRDefault="00045F32">
      <w:pPr>
        <w:spacing w:before="60"/>
        <w:ind w:firstLine="450"/>
        <w:jc w:val="both"/>
        <w:textAlignment w:val="top"/>
      </w:pPr>
      <w:r>
        <w:rPr>
          <w:rFonts w:ascii="Arial" w:eastAsia="宋体" w:hAnsi="Arial" w:cs="Arial"/>
          <w:color w:val="000000"/>
          <w:sz w:val="20"/>
          <w:szCs w:val="20"/>
        </w:rPr>
        <w:t>Our direct on balance sheet exposure to LIBOR is limited and primarily includes assets held in the investment portfolio, ce</w:t>
      </w:r>
      <w:r>
        <w:rPr>
          <w:rFonts w:ascii="Arial" w:eastAsia="宋体" w:hAnsi="Arial" w:cs="Arial"/>
          <w:color w:val="000000"/>
          <w:sz w:val="20"/>
          <w:szCs w:val="20"/>
        </w:rPr>
        <w:t>rtain loans made through Global Credit Finance and issuances of long-term debt and preferred stock. We have planned for, and are prepared to, transition our remaining on balance sheet exposures in a manner consistent with regulatory guidance and the availa</w:t>
      </w:r>
      <w:r>
        <w:rPr>
          <w:rFonts w:ascii="Arial" w:eastAsia="宋体" w:hAnsi="Arial" w:cs="Arial"/>
          <w:color w:val="000000"/>
          <w:sz w:val="20"/>
          <w:szCs w:val="20"/>
        </w:rPr>
        <w:t>bility of interim solutions for various legacy LIBOR contracts. We will not originate or issue new LIBOR-based loans or long-term debt, and any purchases of LIBOR-based investment securities will be screened for adequate fallback language. Our remaining ex</w:t>
      </w:r>
      <w:r>
        <w:rPr>
          <w:rFonts w:ascii="Arial" w:eastAsia="宋体" w:hAnsi="Arial" w:cs="Arial"/>
          <w:color w:val="000000"/>
          <w:sz w:val="20"/>
          <w:szCs w:val="20"/>
        </w:rPr>
        <w:t>posure outstanding at June 2023 is largely governed by existing fallback language, or national legislation that provides for appropriate fallback provisions.</w:t>
      </w:r>
    </w:p>
    <w:p w14:paraId="71D41122" w14:textId="77777777" w:rsidR="006A3667" w:rsidRDefault="00045F32">
      <w:pPr>
        <w:spacing w:before="60"/>
        <w:ind w:firstLine="450"/>
        <w:jc w:val="both"/>
        <w:textAlignment w:val="top"/>
      </w:pPr>
      <w:r>
        <w:rPr>
          <w:rFonts w:ascii="Arial" w:eastAsia="宋体" w:hAnsi="Arial" w:cs="Arial"/>
          <w:color w:val="000000"/>
          <w:sz w:val="20"/>
          <w:szCs w:val="20"/>
        </w:rPr>
        <w:t>Substantial risks and uncertainties are associated with the market transition away from the use of</w:t>
      </w:r>
      <w:r>
        <w:rPr>
          <w:rFonts w:ascii="Arial" w:eastAsia="宋体" w:hAnsi="Arial" w:cs="Arial"/>
          <w:color w:val="000000"/>
          <w:sz w:val="20"/>
          <w:szCs w:val="20"/>
        </w:rPr>
        <w:t xml:space="preserve"> LIBOR as an interest rate benchmark in financial instruments and contracts. Our financial performance depends, in part, on our ability to adapt to market changes promptly, while avoiding increased related expenses or operational errors.</w:t>
      </w:r>
    </w:p>
    <w:p w14:paraId="71D41123" w14:textId="77777777" w:rsidR="006A3667" w:rsidRDefault="00045F32">
      <w:pPr>
        <w:spacing w:before="60"/>
        <w:ind w:firstLine="450"/>
        <w:jc w:val="both"/>
        <w:textAlignment w:val="top"/>
      </w:pPr>
      <w:r>
        <w:rPr>
          <w:rFonts w:ascii="Arial" w:eastAsia="宋体" w:hAnsi="Arial" w:cs="Arial"/>
          <w:color w:val="000000"/>
          <w:sz w:val="20"/>
          <w:szCs w:val="20"/>
        </w:rPr>
        <w:t>For additional inf</w:t>
      </w:r>
      <w:r>
        <w:rPr>
          <w:rFonts w:ascii="Arial" w:eastAsia="宋体" w:hAnsi="Arial" w:cs="Arial"/>
          <w:color w:val="000000"/>
          <w:sz w:val="20"/>
          <w:szCs w:val="20"/>
        </w:rPr>
        <w:t>ormation about our strategic risk management framework and associated risks, refer to pages 112 to 113 included under Item 7, Management's Discussion and Analysis of Financial Condition and Results of Operations, "Strategic Risk Management", in our 2021 Fo</w:t>
      </w:r>
      <w:r>
        <w:rPr>
          <w:rFonts w:ascii="Arial" w:eastAsia="宋体" w:hAnsi="Arial" w:cs="Arial"/>
          <w:color w:val="000000"/>
          <w:sz w:val="20"/>
          <w:szCs w:val="20"/>
        </w:rPr>
        <w:t xml:space="preserve">rm 10-K, and page 44 included under Item 1A, Risk Factors, in our 2021 Form 10-K - "The market transition away from broad use of the London Interbank Offered Rate (LIBOR) as an interest rate benchmark may impose additional costs on us and may expose us to </w:t>
      </w:r>
      <w:r>
        <w:rPr>
          <w:rFonts w:ascii="Arial" w:eastAsia="宋体" w:hAnsi="Arial" w:cs="Arial"/>
          <w:color w:val="000000"/>
          <w:sz w:val="20"/>
          <w:szCs w:val="20"/>
        </w:rPr>
        <w:t>increased operational, model and financial risk."</w:t>
      </w:r>
    </w:p>
    <w:p w14:paraId="71D41124" w14:textId="77777777" w:rsidR="006A3667" w:rsidRDefault="00045F32">
      <w:pPr>
        <w:spacing w:before="90"/>
        <w:textAlignment w:val="top"/>
      </w:pPr>
      <w:r>
        <w:rPr>
          <w:rFonts w:ascii="Arial" w:eastAsia="宋体" w:hAnsi="Arial" w:cs="Arial"/>
          <w:b/>
          <w:bCs/>
          <w:color w:val="000000"/>
          <w:sz w:val="20"/>
          <w:szCs w:val="20"/>
        </w:rPr>
        <w:t>Capital</w:t>
      </w:r>
    </w:p>
    <w:p w14:paraId="71D41125" w14:textId="77777777" w:rsidR="006A3667" w:rsidRDefault="00045F32">
      <w:pPr>
        <w:spacing w:before="20"/>
        <w:ind w:firstLine="450"/>
        <w:jc w:val="both"/>
        <w:textAlignment w:val="top"/>
      </w:pPr>
      <w:r>
        <w:rPr>
          <w:rFonts w:ascii="Arial" w:eastAsia="宋体" w:hAnsi="Arial" w:cs="Arial"/>
          <w:color w:val="000000"/>
          <w:sz w:val="20"/>
          <w:szCs w:val="20"/>
        </w:rPr>
        <w:t xml:space="preserve">Managing our capital involves evaluating whether our actual and projected levels of capital are commensurate with our risk profile, are in compliance with all applicable regulatory requirements and </w:t>
      </w:r>
      <w:r>
        <w:rPr>
          <w:rFonts w:ascii="Arial" w:eastAsia="宋体" w:hAnsi="Arial" w:cs="Arial"/>
          <w:color w:val="000000"/>
          <w:sz w:val="20"/>
          <w:szCs w:val="20"/>
        </w:rPr>
        <w:t>are sufficient to provide us with the financial flexibility to undertake future strategic business initiatives. We assess capital adequacy based on relevant regulatory capital requirements, as well as our own internal capital goals, targets and other relev</w:t>
      </w:r>
      <w:r>
        <w:rPr>
          <w:rFonts w:ascii="Arial" w:eastAsia="宋体" w:hAnsi="Arial" w:cs="Arial"/>
          <w:color w:val="000000"/>
          <w:sz w:val="20"/>
          <w:szCs w:val="20"/>
        </w:rPr>
        <w:t>ant metrics.</w:t>
      </w:r>
    </w:p>
    <w:p w14:paraId="71D41126" w14:textId="77777777" w:rsidR="006A3667" w:rsidRDefault="00045F32">
      <w:pPr>
        <w:spacing w:before="20"/>
        <w:ind w:firstLine="450"/>
        <w:jc w:val="both"/>
        <w:textAlignment w:val="top"/>
      </w:pPr>
      <w:r>
        <w:rPr>
          <w:rFonts w:ascii="Arial" w:eastAsia="宋体" w:hAnsi="Arial" w:cs="Arial"/>
          <w:color w:val="000000"/>
          <w:sz w:val="20"/>
          <w:szCs w:val="20"/>
        </w:rPr>
        <w:t xml:space="preserve">Our designation as a G-SIB is based on a number of factors, as evaluated by banking </w:t>
      </w:r>
    </w:p>
    <w:p w14:paraId="71D41127" w14:textId="77777777" w:rsidR="006A3667" w:rsidRDefault="00045F32">
      <w:pPr>
        <w:spacing w:before="20"/>
        <w:jc w:val="both"/>
        <w:textAlignment w:val="top"/>
      </w:pPr>
      <w:r>
        <w:rPr>
          <w:rFonts w:ascii="Arial" w:eastAsia="宋体" w:hAnsi="Arial" w:cs="Arial"/>
          <w:color w:val="000000"/>
          <w:sz w:val="20"/>
          <w:szCs w:val="20"/>
        </w:rPr>
        <w:t xml:space="preserve">regulators, and requires us to maintain an additional capital surcharge above the minimum capital ratios set forth in the Basel III final rule. Further, like </w:t>
      </w:r>
      <w:r>
        <w:rPr>
          <w:rFonts w:ascii="Arial" w:eastAsia="宋体" w:hAnsi="Arial" w:cs="Arial"/>
          <w:color w:val="000000"/>
          <w:sz w:val="20"/>
          <w:szCs w:val="20"/>
        </w:rPr>
        <w:t>all other U.S. G-SIBs, we are also currently subject to a 2.0% SLR buffer in addition to the required minimum of 3% under the Basel III final rule. If we fail to exceed any regulatory buffer or surcharge, we will be subject to increased restrictions (depen</w:t>
      </w:r>
      <w:r>
        <w:rPr>
          <w:rFonts w:ascii="Arial" w:eastAsia="宋体" w:hAnsi="Arial" w:cs="Arial"/>
          <w:color w:val="000000"/>
          <w:sz w:val="20"/>
          <w:szCs w:val="20"/>
        </w:rPr>
        <w:t xml:space="preserve">ding upon the extent of the shortfall) regarding capital distributions and discretionary executive bonus payments. </w:t>
      </w:r>
    </w:p>
    <w:p w14:paraId="71D41128" w14:textId="77777777" w:rsidR="006A3667" w:rsidRDefault="00045F32">
      <w:pPr>
        <w:spacing w:before="20"/>
        <w:ind w:firstLine="450"/>
        <w:jc w:val="both"/>
        <w:textAlignment w:val="top"/>
      </w:pPr>
      <w:r>
        <w:rPr>
          <w:rFonts w:ascii="Arial" w:eastAsia="宋体" w:hAnsi="Arial" w:cs="Arial"/>
          <w:color w:val="000000"/>
          <w:sz w:val="20"/>
          <w:szCs w:val="20"/>
        </w:rPr>
        <w:t xml:space="preserve">Not all of our competitors have similarly been designated as systemically important nor are all of them subject to the same degree of </w:t>
      </w:r>
      <w:r>
        <w:rPr>
          <w:rFonts w:ascii="Arial" w:eastAsia="宋体" w:hAnsi="Arial" w:cs="Arial"/>
          <w:color w:val="000000"/>
          <w:sz w:val="20"/>
          <w:szCs w:val="20"/>
        </w:rPr>
        <w:t>regulation as a bank or financial holding company, and therefore some of our competitors may not be subject to the same capital, liquidity and other regulatory requirements.</w:t>
      </w:r>
    </w:p>
    <w:p w14:paraId="71D41129" w14:textId="77777777" w:rsidR="006A3667" w:rsidRDefault="00045F32">
      <w:pPr>
        <w:spacing w:before="20"/>
        <w:ind w:firstLine="450"/>
        <w:jc w:val="both"/>
        <w:textAlignment w:val="top"/>
      </w:pPr>
      <w:r>
        <w:rPr>
          <w:rFonts w:ascii="Arial" w:eastAsia="宋体" w:hAnsi="Arial" w:cs="Arial"/>
          <w:color w:val="000000"/>
          <w:sz w:val="20"/>
          <w:szCs w:val="20"/>
        </w:rPr>
        <w:t>For additional information about our capital, refer to pages 113 to 121 included u</w:t>
      </w:r>
      <w:r>
        <w:rPr>
          <w:rFonts w:ascii="Arial" w:eastAsia="宋体" w:hAnsi="Arial" w:cs="Arial"/>
          <w:color w:val="000000"/>
          <w:sz w:val="20"/>
          <w:szCs w:val="20"/>
        </w:rPr>
        <w:t>nder Item 7, Management's Discussion and Analysis of Financial Condition and Results of Operations, in our 2021 Form 10-K.</w:t>
      </w:r>
    </w:p>
    <w:p w14:paraId="71D4112A" w14:textId="77777777" w:rsidR="006A3667" w:rsidRDefault="00045F32">
      <w:pPr>
        <w:spacing w:before="60"/>
        <w:jc w:val="both"/>
        <w:textAlignment w:val="top"/>
      </w:pPr>
      <w:r>
        <w:rPr>
          <w:rFonts w:ascii="Arial" w:eastAsia="宋体" w:hAnsi="Arial" w:cs="Arial"/>
          <w:b/>
          <w:bCs/>
          <w:i/>
          <w:iCs/>
          <w:color w:val="000000"/>
          <w:sz w:val="20"/>
          <w:szCs w:val="20"/>
        </w:rPr>
        <w:t>Regulatory Capital</w:t>
      </w:r>
    </w:p>
    <w:p w14:paraId="71D4112B" w14:textId="77777777" w:rsidR="006A3667" w:rsidRDefault="00045F32">
      <w:pPr>
        <w:spacing w:before="60"/>
        <w:ind w:firstLine="450"/>
        <w:jc w:val="both"/>
        <w:textAlignment w:val="top"/>
      </w:pPr>
      <w:r>
        <w:rPr>
          <w:rFonts w:ascii="Arial" w:eastAsia="宋体" w:hAnsi="Arial" w:cs="Arial"/>
          <w:color w:val="000000"/>
          <w:sz w:val="20"/>
          <w:szCs w:val="20"/>
        </w:rPr>
        <w:t>We and State Street Bank, as advanced approaches banking organizations, are subject to the U.S. Basel III framewor</w:t>
      </w:r>
      <w:r>
        <w:rPr>
          <w:rFonts w:ascii="Arial" w:eastAsia="宋体" w:hAnsi="Arial" w:cs="Arial"/>
          <w:color w:val="000000"/>
          <w:sz w:val="20"/>
          <w:szCs w:val="20"/>
        </w:rPr>
        <w:t>k. We are also subject to the final market risk capital rule issued by U.S. banking regulators.</w:t>
      </w:r>
    </w:p>
    <w:p w14:paraId="71D4112C" w14:textId="77777777" w:rsidR="006A3667" w:rsidRDefault="00045F32">
      <w:pPr>
        <w:spacing w:before="60"/>
        <w:ind w:firstLine="450"/>
        <w:jc w:val="both"/>
        <w:textAlignment w:val="top"/>
      </w:pPr>
      <w:r>
        <w:rPr>
          <w:rFonts w:ascii="Arial" w:eastAsia="宋体" w:hAnsi="Arial" w:cs="Arial"/>
          <w:color w:val="000000"/>
          <w:sz w:val="20"/>
          <w:szCs w:val="20"/>
        </w:rPr>
        <w:t>The Basel III final rule provides for two frameworks for monitoring capital adequacy: the “standardized approach" and the “advanced approaches", applicable to a</w:t>
      </w:r>
      <w:r>
        <w:rPr>
          <w:rFonts w:ascii="Arial" w:eastAsia="宋体" w:hAnsi="Arial" w:cs="Arial"/>
          <w:color w:val="000000"/>
          <w:sz w:val="20"/>
          <w:szCs w:val="20"/>
        </w:rPr>
        <w:t>dvanced approaches banking organizations, like us. The standardized approach prescribes standardized calculations for credit risk RWA, including specified risk weights for certain on and off-balance sheet exposures. The advanced approaches consist of the A</w:t>
      </w:r>
      <w:r>
        <w:rPr>
          <w:rFonts w:ascii="Arial" w:eastAsia="宋体" w:hAnsi="Arial" w:cs="Arial"/>
          <w:color w:val="000000"/>
          <w:sz w:val="20"/>
          <w:szCs w:val="20"/>
        </w:rPr>
        <w:t>dvanced Internal Ratings-Based Approach used for the calculation of RWA related to credit risk, and the Advanced Measurement Approach used for the calculation of RWA related to operational risk.</w:t>
      </w:r>
    </w:p>
    <w:p w14:paraId="71D4112D" w14:textId="77777777" w:rsidR="006A3667" w:rsidRDefault="00045F32">
      <w:pPr>
        <w:spacing w:before="20"/>
        <w:ind w:firstLine="450"/>
        <w:jc w:val="both"/>
        <w:textAlignment w:val="top"/>
      </w:pPr>
      <w:r>
        <w:rPr>
          <w:rFonts w:ascii="Arial" w:eastAsia="宋体" w:hAnsi="Arial" w:cs="Arial"/>
          <w:color w:val="000000"/>
          <w:sz w:val="20"/>
          <w:szCs w:val="20"/>
        </w:rPr>
        <w:t>As required by the Dodd-Frank Act enacted in 2010 and the SCB</w:t>
      </w:r>
      <w:r>
        <w:rPr>
          <w:rFonts w:ascii="Arial" w:eastAsia="宋体" w:hAnsi="Arial" w:cs="Arial"/>
          <w:color w:val="000000"/>
          <w:sz w:val="20"/>
          <w:szCs w:val="20"/>
        </w:rPr>
        <w:t xml:space="preserve"> rule enacted in 2020, we and State Street Bank, as advanced approaches banking organizations, are subject to a "capital floor," also referred to as the Collins Amendment, in the assessment of our regulatory capital adequacy, including the capital conserva</w:t>
      </w:r>
      <w:r>
        <w:rPr>
          <w:rFonts w:ascii="Arial" w:eastAsia="宋体" w:hAnsi="Arial" w:cs="Arial"/>
          <w:color w:val="000000"/>
          <w:sz w:val="20"/>
          <w:szCs w:val="20"/>
        </w:rPr>
        <w:t>tion buffer (CCB) and the SCB, for the advanced approaches and standardized approach, respectively, and a countercyclical capital buffer. In addition, we are subject to a G-SIB surcharge. Our risk-based capital ratios for regulatory assessment purposes are</w:t>
      </w:r>
      <w:r>
        <w:rPr>
          <w:rFonts w:ascii="Arial" w:eastAsia="宋体" w:hAnsi="Arial" w:cs="Arial"/>
          <w:color w:val="000000"/>
          <w:sz w:val="20"/>
          <w:szCs w:val="20"/>
        </w:rPr>
        <w:t xml:space="preserve"> the lower of each ratio calculated under the advanced approaches and standardized approach.</w:t>
      </w:r>
    </w:p>
    <w:p w14:paraId="71D4112E" w14:textId="77777777" w:rsidR="006A3667" w:rsidRDefault="00045F32">
      <w:pPr>
        <w:ind w:firstLine="450"/>
        <w:jc w:val="right"/>
      </w:pPr>
      <w:r>
        <w:rPr>
          <w:rFonts w:ascii="Arial" w:eastAsia="宋体" w:hAnsi="Arial" w:cs="Arial"/>
          <w:color w:val="000000"/>
          <w:sz w:val="18"/>
          <w:szCs w:val="18"/>
        </w:rPr>
        <w:t>State Street Corporation | 43</w:t>
      </w:r>
    </w:p>
    <w:p w14:paraId="71D4112F" w14:textId="77777777" w:rsidR="006A3667" w:rsidRDefault="006A3667">
      <w:pPr>
        <w:ind w:firstLine="450"/>
        <w:jc w:val="center"/>
      </w:pPr>
    </w:p>
    <w:p w14:paraId="71D41130" w14:textId="77777777" w:rsidR="006A3667" w:rsidRDefault="00045F32">
      <w:r>
        <w:pict w14:anchorId="71D4AC3F">
          <v:rect id="_x0000_i1067" style="width:415.3pt;height:1.5pt" o:hralign="center" o:hrstd="t" o:hr="t" fillcolor="#a0a0a0" stroked="f"/>
        </w:pict>
      </w:r>
    </w:p>
    <w:p w14:paraId="71D41131"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132" w14:textId="77777777" w:rsidR="006A3667" w:rsidRDefault="00045F32">
      <w:pPr>
        <w:ind w:firstLine="450"/>
        <w:jc w:val="center"/>
      </w:pPr>
      <w:r>
        <w:rPr>
          <w:rFonts w:ascii="Arial" w:eastAsia="宋体" w:hAnsi="Arial" w:cs="Arial"/>
          <w:b/>
          <w:bCs/>
          <w:color w:val="000000"/>
          <w:sz w:val="20"/>
          <w:szCs w:val="20"/>
        </w:rPr>
        <w:t>AND RESULTS OF OPERATIONS</w:t>
      </w:r>
    </w:p>
    <w:p w14:paraId="71D41133" w14:textId="77777777" w:rsidR="006A3667" w:rsidRDefault="00045F32">
      <w:pPr>
        <w:spacing w:before="60"/>
        <w:ind w:firstLine="450"/>
        <w:jc w:val="both"/>
      </w:pPr>
      <w:r>
        <w:rPr>
          <w:rFonts w:ascii="Arial" w:eastAsia="宋体" w:hAnsi="Arial" w:cs="Arial"/>
          <w:color w:val="000000"/>
          <w:sz w:val="20"/>
          <w:szCs w:val="20"/>
        </w:rPr>
        <w:t xml:space="preserve">The SCB replaced, under the </w:t>
      </w:r>
      <w:r>
        <w:rPr>
          <w:rFonts w:ascii="Arial" w:eastAsia="宋体" w:hAnsi="Arial" w:cs="Arial"/>
          <w:color w:val="000000"/>
          <w:sz w:val="20"/>
          <w:szCs w:val="20"/>
        </w:rPr>
        <w:t xml:space="preserve">standardized approach, the CCB with a buffer calculated as the difference between the institution’s starting and lowest projected CET1 ratio under the CCAR severely adverse scenario plus planned common stock dividend payments (as a percentage of RWA) from </w:t>
      </w:r>
      <w:r>
        <w:rPr>
          <w:rFonts w:ascii="Arial" w:eastAsia="宋体" w:hAnsi="Arial" w:cs="Arial"/>
          <w:color w:val="000000"/>
          <w:sz w:val="20"/>
          <w:szCs w:val="20"/>
        </w:rPr>
        <w:t>the fourth through seventh quarter of the CCAR planning horizon. The SCB requirement can be no less than 2.5% of RWA. Breaching the SCB or other regulatory buffer or surcharge will limit a banking organization’s ability to make capital distributions and di</w:t>
      </w:r>
      <w:r>
        <w:rPr>
          <w:rFonts w:ascii="Arial" w:eastAsia="宋体" w:hAnsi="Arial" w:cs="Arial"/>
          <w:color w:val="000000"/>
          <w:sz w:val="20"/>
          <w:szCs w:val="20"/>
        </w:rPr>
        <w:t>scretionary bonus payments to executive officers. The countercyclical capital buffer is currently set at zero by U.S. banking regulators.</w:t>
      </w:r>
    </w:p>
    <w:p w14:paraId="71D41134" w14:textId="77777777" w:rsidR="006A3667" w:rsidRDefault="00045F32">
      <w:pPr>
        <w:spacing w:before="60"/>
        <w:ind w:firstLine="450"/>
        <w:jc w:val="both"/>
      </w:pPr>
      <w:r>
        <w:rPr>
          <w:rFonts w:ascii="Arial" w:eastAsia="宋体" w:hAnsi="Arial" w:cs="Arial"/>
          <w:color w:val="000000"/>
          <w:sz w:val="20"/>
          <w:szCs w:val="20"/>
        </w:rPr>
        <w:t xml:space="preserve">Our minimum risk-based capital ratios as of January 1, 2022, include a CCB of 2.5% and a SCB of 2.5% for the advanced </w:t>
      </w:r>
      <w:r>
        <w:rPr>
          <w:rFonts w:ascii="Arial" w:eastAsia="宋体" w:hAnsi="Arial" w:cs="Arial"/>
          <w:color w:val="000000"/>
          <w:sz w:val="20"/>
          <w:szCs w:val="20"/>
        </w:rPr>
        <w:t>approaches and standardized approach, respectively, a G-SIB surcharge of 1.0%, and a countercyclical buffer of 0.0%. This results in minimum risk-based ratios of 8.0% for the Common Equity Tier 1 (CET1) capital ratio, 9.5% for the tier 1 capital ratio, and</w:t>
      </w:r>
      <w:r>
        <w:rPr>
          <w:rFonts w:ascii="Arial" w:eastAsia="宋体" w:hAnsi="Arial" w:cs="Arial"/>
          <w:color w:val="000000"/>
          <w:sz w:val="20"/>
          <w:szCs w:val="20"/>
        </w:rPr>
        <w:t xml:space="preserve"> 11.5% for the total capital ratio.</w:t>
      </w:r>
    </w:p>
    <w:p w14:paraId="71D41135" w14:textId="77777777" w:rsidR="006A3667" w:rsidRDefault="00045F32">
      <w:pPr>
        <w:spacing w:before="60"/>
        <w:ind w:firstLine="450"/>
        <w:jc w:val="both"/>
      </w:pPr>
      <w:r>
        <w:rPr>
          <w:rFonts w:ascii="Arial" w:eastAsia="宋体" w:hAnsi="Arial" w:cs="Arial"/>
          <w:color w:val="000000"/>
          <w:sz w:val="20"/>
          <w:szCs w:val="20"/>
        </w:rPr>
        <w:t>Our current G-SIB surcharge, through December 31, 2023, is 1.0%. Based on a calculation as of December 31, 2021, our G-SIB surcharge beginning January 1, 2024 could increase to 1.5%. Accordingly, we have developed a bala</w:t>
      </w:r>
      <w:r>
        <w:rPr>
          <w:rFonts w:ascii="Arial" w:eastAsia="宋体" w:hAnsi="Arial" w:cs="Arial"/>
          <w:color w:val="000000"/>
          <w:sz w:val="20"/>
          <w:szCs w:val="20"/>
        </w:rPr>
        <w:t>nce sheet management plan intended to result in a G-SIB surcharge calculation of 1.0% as of December 31, 2022 which, if effective, would result in our maintaining our current G-SIB surcharge of 1.0% through December 31, 2024.</w:t>
      </w:r>
    </w:p>
    <w:p w14:paraId="71D41136" w14:textId="77777777" w:rsidR="006A3667" w:rsidRDefault="00045F32">
      <w:pPr>
        <w:spacing w:before="60"/>
        <w:ind w:firstLine="450"/>
        <w:jc w:val="both"/>
      </w:pPr>
      <w:r>
        <w:rPr>
          <w:rFonts w:ascii="Arial" w:eastAsia="宋体" w:hAnsi="Arial" w:cs="Arial"/>
          <w:color w:val="000000"/>
          <w:sz w:val="20"/>
          <w:szCs w:val="20"/>
        </w:rPr>
        <w:t xml:space="preserve">To maintain the status of the </w:t>
      </w:r>
      <w:r>
        <w:rPr>
          <w:rFonts w:ascii="Arial" w:eastAsia="宋体" w:hAnsi="Arial" w:cs="Arial"/>
          <w:color w:val="000000"/>
          <w:sz w:val="20"/>
          <w:szCs w:val="20"/>
        </w:rPr>
        <w:t>Parent Company as a financial holding company, we and our insured depository institution subsidiaries are required, among other requirements, to be "well capitalized" as defined by Regulation Y and Regulation H.</w:t>
      </w:r>
    </w:p>
    <w:p w14:paraId="71D41137" w14:textId="77777777" w:rsidR="006A3667" w:rsidRDefault="00045F32">
      <w:pPr>
        <w:spacing w:before="60"/>
        <w:ind w:firstLine="450"/>
        <w:jc w:val="both"/>
      </w:pPr>
      <w:r>
        <w:rPr>
          <w:rFonts w:ascii="Arial" w:eastAsia="宋体" w:hAnsi="Arial" w:cs="Arial"/>
          <w:color w:val="000000"/>
          <w:sz w:val="20"/>
          <w:szCs w:val="20"/>
        </w:rPr>
        <w:t xml:space="preserve">The market risk capital rule requires us to </w:t>
      </w:r>
      <w:r>
        <w:rPr>
          <w:rFonts w:ascii="Arial" w:eastAsia="宋体" w:hAnsi="Arial" w:cs="Arial"/>
          <w:color w:val="000000"/>
          <w:sz w:val="20"/>
          <w:szCs w:val="20"/>
        </w:rPr>
        <w:t>use internal models to calculate daily measures of VaR, which reflect general market risk for certain of our trading positions defined by the rule as “covered positions,” as well as stressed-VaR measures to supplement the VaR measures. The rule also requir</w:t>
      </w:r>
      <w:r>
        <w:rPr>
          <w:rFonts w:ascii="Arial" w:eastAsia="宋体" w:hAnsi="Arial" w:cs="Arial"/>
          <w:color w:val="000000"/>
          <w:sz w:val="20"/>
          <w:szCs w:val="20"/>
        </w:rPr>
        <w:t>es a public disclosure composed of qualitative and quantitative information about the market risk associated with our trading activities and our related VaR and stressed-VaR measures. The qualitative and quantitative information required by the rule is pro</w:t>
      </w:r>
      <w:r>
        <w:rPr>
          <w:rFonts w:ascii="Arial" w:eastAsia="宋体" w:hAnsi="Arial" w:cs="Arial"/>
          <w:color w:val="000000"/>
          <w:sz w:val="20"/>
          <w:szCs w:val="20"/>
        </w:rPr>
        <w:t>vided under "Market Risk Management" included in this Management's Discussion and Analysis.</w:t>
      </w:r>
    </w:p>
    <w:p w14:paraId="71D41138" w14:textId="77777777" w:rsidR="006A3667" w:rsidRDefault="00045F32">
      <w:pPr>
        <w:spacing w:before="60"/>
        <w:ind w:firstLine="450"/>
        <w:jc w:val="both"/>
      </w:pPr>
      <w:r>
        <w:rPr>
          <w:rFonts w:ascii="Arial" w:eastAsia="宋体" w:hAnsi="Arial" w:cs="Arial"/>
          <w:color w:val="000000"/>
          <w:sz w:val="20"/>
          <w:szCs w:val="20"/>
        </w:rPr>
        <w:t>The following table presents the regulatory capital structure and related regulatory capital ratios for us and State Street Bank as of the dates indicated. We are s</w:t>
      </w:r>
      <w:r>
        <w:rPr>
          <w:rFonts w:ascii="Arial" w:eastAsia="宋体" w:hAnsi="Arial" w:cs="Arial"/>
          <w:color w:val="000000"/>
          <w:sz w:val="20"/>
          <w:szCs w:val="20"/>
        </w:rPr>
        <w:t>ubject to the more stringent of the risk-based capital ratios calculated under the standardized approach and those calculated under the advanced approaches in the assessment of our capital adequacy under applicable bank regulatory standards.</w:t>
      </w:r>
    </w:p>
    <w:p w14:paraId="71D41139" w14:textId="77777777" w:rsidR="006A3667" w:rsidRDefault="00045F32">
      <w:pPr>
        <w:ind w:firstLine="450"/>
        <w:jc w:val="right"/>
      </w:pPr>
      <w:r>
        <w:rPr>
          <w:rFonts w:ascii="Arial" w:eastAsia="宋体" w:hAnsi="Arial" w:cs="Arial"/>
          <w:color w:val="000000"/>
          <w:sz w:val="18"/>
          <w:szCs w:val="18"/>
        </w:rPr>
        <w:t>State Street C</w:t>
      </w:r>
      <w:r>
        <w:rPr>
          <w:rFonts w:ascii="Arial" w:eastAsia="宋体" w:hAnsi="Arial" w:cs="Arial"/>
          <w:color w:val="000000"/>
          <w:sz w:val="18"/>
          <w:szCs w:val="18"/>
        </w:rPr>
        <w:t>orporation | 44</w:t>
      </w:r>
    </w:p>
    <w:p w14:paraId="71D4113A" w14:textId="77777777" w:rsidR="006A3667" w:rsidRDefault="006A3667">
      <w:pPr>
        <w:ind w:firstLine="450"/>
        <w:jc w:val="center"/>
      </w:pPr>
    </w:p>
    <w:p w14:paraId="71D4113B" w14:textId="77777777" w:rsidR="006A3667" w:rsidRDefault="00045F32">
      <w:r>
        <w:pict w14:anchorId="71D4AC40">
          <v:rect id="_x0000_i1068" style="width:415.3pt;height:1.5pt" o:hralign="center" o:hrstd="t" o:hr="t" fillcolor="#a0a0a0" stroked="f"/>
        </w:pict>
      </w:r>
    </w:p>
    <w:p w14:paraId="71D4113C"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13D" w14:textId="77777777" w:rsidR="006A3667" w:rsidRDefault="00045F32">
      <w:pPr>
        <w:ind w:firstLine="450"/>
        <w:jc w:val="center"/>
      </w:pPr>
      <w:r>
        <w:rPr>
          <w:rFonts w:ascii="Arial" w:eastAsia="宋体" w:hAnsi="Arial" w:cs="Arial"/>
          <w:b/>
          <w:bCs/>
          <w:color w:val="000000"/>
          <w:sz w:val="20"/>
          <w:szCs w:val="20"/>
        </w:rPr>
        <w:t>AND RESULTS OF OPERATIONS</w:t>
      </w:r>
    </w:p>
    <w:tbl>
      <w:tblPr>
        <w:tblW w:w="4956" w:type="pct"/>
        <w:tblCellMar>
          <w:top w:w="15" w:type="dxa"/>
          <w:left w:w="15" w:type="dxa"/>
          <w:bottom w:w="15" w:type="dxa"/>
          <w:right w:w="15" w:type="dxa"/>
        </w:tblCellMar>
        <w:tblLook w:val="04A0" w:firstRow="1" w:lastRow="0" w:firstColumn="1" w:lastColumn="0" w:noHBand="0" w:noVBand="1"/>
      </w:tblPr>
      <w:tblGrid>
        <w:gridCol w:w="265"/>
        <w:gridCol w:w="226"/>
        <w:gridCol w:w="39"/>
        <w:gridCol w:w="78"/>
        <w:gridCol w:w="604"/>
        <w:gridCol w:w="116"/>
        <w:gridCol w:w="78"/>
        <w:gridCol w:w="604"/>
        <w:gridCol w:w="116"/>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1"/>
        <w:gridCol w:w="114"/>
      </w:tblGrid>
      <w:tr w:rsidR="006A3667" w14:paraId="71D41174" w14:textId="77777777">
        <w:tc>
          <w:tcPr>
            <w:tcW w:w="50" w:type="pct"/>
            <w:shd w:val="clear" w:color="auto" w:fill="auto"/>
            <w:vAlign w:val="bottom"/>
          </w:tcPr>
          <w:p w14:paraId="71D4113E" w14:textId="77777777" w:rsidR="006A3667" w:rsidRDefault="006A3667">
            <w:pPr>
              <w:rPr>
                <w:rFonts w:ascii="宋体"/>
              </w:rPr>
            </w:pPr>
          </w:p>
        </w:tc>
        <w:tc>
          <w:tcPr>
            <w:tcW w:w="321" w:type="pct"/>
            <w:shd w:val="clear" w:color="auto" w:fill="auto"/>
            <w:vAlign w:val="bottom"/>
          </w:tcPr>
          <w:p w14:paraId="71D4113F" w14:textId="77777777" w:rsidR="006A3667" w:rsidRDefault="006A3667">
            <w:pPr>
              <w:rPr>
                <w:rFonts w:ascii="宋体"/>
              </w:rPr>
            </w:pPr>
          </w:p>
        </w:tc>
        <w:tc>
          <w:tcPr>
            <w:tcW w:w="5" w:type="pct"/>
            <w:shd w:val="clear" w:color="auto" w:fill="auto"/>
            <w:vAlign w:val="bottom"/>
          </w:tcPr>
          <w:p w14:paraId="71D41140" w14:textId="77777777" w:rsidR="006A3667" w:rsidRDefault="006A3667">
            <w:pPr>
              <w:rPr>
                <w:rFonts w:ascii="宋体"/>
              </w:rPr>
            </w:pPr>
          </w:p>
        </w:tc>
        <w:tc>
          <w:tcPr>
            <w:tcW w:w="50" w:type="pct"/>
            <w:shd w:val="clear" w:color="auto" w:fill="auto"/>
            <w:vAlign w:val="bottom"/>
          </w:tcPr>
          <w:p w14:paraId="71D41141" w14:textId="77777777" w:rsidR="006A3667" w:rsidRDefault="006A3667">
            <w:pPr>
              <w:rPr>
                <w:rFonts w:ascii="宋体"/>
              </w:rPr>
            </w:pPr>
          </w:p>
        </w:tc>
        <w:tc>
          <w:tcPr>
            <w:tcW w:w="416" w:type="pct"/>
            <w:shd w:val="clear" w:color="auto" w:fill="auto"/>
            <w:vAlign w:val="bottom"/>
          </w:tcPr>
          <w:p w14:paraId="71D41142" w14:textId="77777777" w:rsidR="006A3667" w:rsidRDefault="006A3667">
            <w:pPr>
              <w:rPr>
                <w:rFonts w:ascii="宋体"/>
              </w:rPr>
            </w:pPr>
          </w:p>
        </w:tc>
        <w:tc>
          <w:tcPr>
            <w:tcW w:w="5" w:type="pct"/>
            <w:shd w:val="clear" w:color="auto" w:fill="auto"/>
            <w:vAlign w:val="bottom"/>
          </w:tcPr>
          <w:p w14:paraId="71D41143" w14:textId="77777777" w:rsidR="006A3667" w:rsidRDefault="006A3667">
            <w:pPr>
              <w:rPr>
                <w:rFonts w:ascii="宋体"/>
              </w:rPr>
            </w:pPr>
          </w:p>
        </w:tc>
        <w:tc>
          <w:tcPr>
            <w:tcW w:w="50" w:type="pct"/>
            <w:shd w:val="clear" w:color="auto" w:fill="auto"/>
            <w:vAlign w:val="bottom"/>
          </w:tcPr>
          <w:p w14:paraId="71D41144" w14:textId="77777777" w:rsidR="006A3667" w:rsidRDefault="006A3667">
            <w:pPr>
              <w:rPr>
                <w:rFonts w:ascii="宋体"/>
              </w:rPr>
            </w:pPr>
          </w:p>
        </w:tc>
        <w:tc>
          <w:tcPr>
            <w:tcW w:w="416" w:type="pct"/>
            <w:shd w:val="clear" w:color="auto" w:fill="auto"/>
            <w:vAlign w:val="bottom"/>
          </w:tcPr>
          <w:p w14:paraId="71D41145" w14:textId="77777777" w:rsidR="006A3667" w:rsidRDefault="006A3667">
            <w:pPr>
              <w:rPr>
                <w:rFonts w:ascii="宋体"/>
              </w:rPr>
            </w:pPr>
          </w:p>
        </w:tc>
        <w:tc>
          <w:tcPr>
            <w:tcW w:w="5" w:type="pct"/>
            <w:shd w:val="clear" w:color="auto" w:fill="auto"/>
            <w:vAlign w:val="bottom"/>
          </w:tcPr>
          <w:p w14:paraId="71D41146" w14:textId="77777777" w:rsidR="006A3667" w:rsidRDefault="006A3667">
            <w:pPr>
              <w:rPr>
                <w:rFonts w:ascii="宋体"/>
              </w:rPr>
            </w:pPr>
          </w:p>
        </w:tc>
        <w:tc>
          <w:tcPr>
            <w:tcW w:w="50" w:type="pct"/>
            <w:shd w:val="clear" w:color="auto" w:fill="auto"/>
            <w:vAlign w:val="bottom"/>
          </w:tcPr>
          <w:p w14:paraId="71D41147" w14:textId="77777777" w:rsidR="006A3667" w:rsidRDefault="006A3667">
            <w:pPr>
              <w:rPr>
                <w:rFonts w:ascii="宋体"/>
              </w:rPr>
            </w:pPr>
          </w:p>
        </w:tc>
        <w:tc>
          <w:tcPr>
            <w:tcW w:w="372" w:type="pct"/>
            <w:shd w:val="clear" w:color="auto" w:fill="auto"/>
            <w:vAlign w:val="bottom"/>
          </w:tcPr>
          <w:p w14:paraId="71D41148" w14:textId="77777777" w:rsidR="006A3667" w:rsidRDefault="006A3667">
            <w:pPr>
              <w:rPr>
                <w:rFonts w:ascii="宋体"/>
              </w:rPr>
            </w:pPr>
          </w:p>
        </w:tc>
        <w:tc>
          <w:tcPr>
            <w:tcW w:w="5" w:type="pct"/>
            <w:shd w:val="clear" w:color="auto" w:fill="auto"/>
            <w:vAlign w:val="bottom"/>
          </w:tcPr>
          <w:p w14:paraId="71D41149" w14:textId="77777777" w:rsidR="006A3667" w:rsidRDefault="006A3667">
            <w:pPr>
              <w:rPr>
                <w:rFonts w:ascii="宋体"/>
              </w:rPr>
            </w:pPr>
          </w:p>
        </w:tc>
        <w:tc>
          <w:tcPr>
            <w:tcW w:w="5" w:type="pct"/>
            <w:shd w:val="clear" w:color="auto" w:fill="auto"/>
            <w:vAlign w:val="bottom"/>
          </w:tcPr>
          <w:p w14:paraId="71D4114A" w14:textId="77777777" w:rsidR="006A3667" w:rsidRDefault="006A3667">
            <w:pPr>
              <w:rPr>
                <w:rFonts w:ascii="宋体"/>
              </w:rPr>
            </w:pPr>
          </w:p>
        </w:tc>
        <w:tc>
          <w:tcPr>
            <w:tcW w:w="26" w:type="pct"/>
            <w:shd w:val="clear" w:color="auto" w:fill="auto"/>
            <w:vAlign w:val="bottom"/>
          </w:tcPr>
          <w:p w14:paraId="71D4114B" w14:textId="77777777" w:rsidR="006A3667" w:rsidRDefault="006A3667">
            <w:pPr>
              <w:rPr>
                <w:rFonts w:ascii="宋体"/>
              </w:rPr>
            </w:pPr>
          </w:p>
        </w:tc>
        <w:tc>
          <w:tcPr>
            <w:tcW w:w="5" w:type="pct"/>
            <w:shd w:val="clear" w:color="auto" w:fill="auto"/>
            <w:vAlign w:val="bottom"/>
          </w:tcPr>
          <w:p w14:paraId="71D4114C" w14:textId="77777777" w:rsidR="006A3667" w:rsidRDefault="006A3667">
            <w:pPr>
              <w:rPr>
                <w:rFonts w:ascii="宋体"/>
              </w:rPr>
            </w:pPr>
          </w:p>
        </w:tc>
        <w:tc>
          <w:tcPr>
            <w:tcW w:w="50" w:type="pct"/>
            <w:shd w:val="clear" w:color="auto" w:fill="auto"/>
            <w:vAlign w:val="bottom"/>
          </w:tcPr>
          <w:p w14:paraId="71D4114D" w14:textId="77777777" w:rsidR="006A3667" w:rsidRDefault="006A3667">
            <w:pPr>
              <w:rPr>
                <w:rFonts w:ascii="宋体"/>
              </w:rPr>
            </w:pPr>
          </w:p>
        </w:tc>
        <w:tc>
          <w:tcPr>
            <w:tcW w:w="372" w:type="pct"/>
            <w:shd w:val="clear" w:color="auto" w:fill="auto"/>
            <w:vAlign w:val="bottom"/>
          </w:tcPr>
          <w:p w14:paraId="71D4114E" w14:textId="77777777" w:rsidR="006A3667" w:rsidRDefault="006A3667">
            <w:pPr>
              <w:rPr>
                <w:rFonts w:ascii="宋体"/>
              </w:rPr>
            </w:pPr>
          </w:p>
        </w:tc>
        <w:tc>
          <w:tcPr>
            <w:tcW w:w="5" w:type="pct"/>
            <w:shd w:val="clear" w:color="auto" w:fill="auto"/>
            <w:vAlign w:val="bottom"/>
          </w:tcPr>
          <w:p w14:paraId="71D4114F" w14:textId="77777777" w:rsidR="006A3667" w:rsidRDefault="006A3667">
            <w:pPr>
              <w:rPr>
                <w:rFonts w:ascii="宋体"/>
              </w:rPr>
            </w:pPr>
          </w:p>
        </w:tc>
        <w:tc>
          <w:tcPr>
            <w:tcW w:w="5" w:type="pct"/>
            <w:shd w:val="clear" w:color="auto" w:fill="auto"/>
            <w:vAlign w:val="bottom"/>
          </w:tcPr>
          <w:p w14:paraId="71D41150" w14:textId="77777777" w:rsidR="006A3667" w:rsidRDefault="006A3667">
            <w:pPr>
              <w:rPr>
                <w:rFonts w:ascii="宋体"/>
              </w:rPr>
            </w:pPr>
          </w:p>
        </w:tc>
        <w:tc>
          <w:tcPr>
            <w:tcW w:w="26" w:type="pct"/>
            <w:shd w:val="clear" w:color="auto" w:fill="auto"/>
            <w:vAlign w:val="bottom"/>
          </w:tcPr>
          <w:p w14:paraId="71D41151" w14:textId="77777777" w:rsidR="006A3667" w:rsidRDefault="006A3667">
            <w:pPr>
              <w:rPr>
                <w:rFonts w:ascii="宋体"/>
              </w:rPr>
            </w:pPr>
          </w:p>
        </w:tc>
        <w:tc>
          <w:tcPr>
            <w:tcW w:w="5" w:type="pct"/>
            <w:shd w:val="clear" w:color="auto" w:fill="auto"/>
            <w:vAlign w:val="bottom"/>
          </w:tcPr>
          <w:p w14:paraId="71D41152" w14:textId="77777777" w:rsidR="006A3667" w:rsidRDefault="006A3667">
            <w:pPr>
              <w:rPr>
                <w:rFonts w:ascii="宋体"/>
              </w:rPr>
            </w:pPr>
          </w:p>
        </w:tc>
        <w:tc>
          <w:tcPr>
            <w:tcW w:w="50" w:type="pct"/>
            <w:shd w:val="clear" w:color="auto" w:fill="auto"/>
            <w:vAlign w:val="bottom"/>
          </w:tcPr>
          <w:p w14:paraId="71D41153" w14:textId="77777777" w:rsidR="006A3667" w:rsidRDefault="006A3667">
            <w:pPr>
              <w:rPr>
                <w:rFonts w:ascii="宋体"/>
              </w:rPr>
            </w:pPr>
          </w:p>
        </w:tc>
        <w:tc>
          <w:tcPr>
            <w:tcW w:w="372" w:type="pct"/>
            <w:shd w:val="clear" w:color="auto" w:fill="auto"/>
            <w:vAlign w:val="bottom"/>
          </w:tcPr>
          <w:p w14:paraId="71D41154" w14:textId="77777777" w:rsidR="006A3667" w:rsidRDefault="006A3667">
            <w:pPr>
              <w:rPr>
                <w:rFonts w:ascii="宋体"/>
              </w:rPr>
            </w:pPr>
          </w:p>
        </w:tc>
        <w:tc>
          <w:tcPr>
            <w:tcW w:w="5" w:type="pct"/>
            <w:shd w:val="clear" w:color="auto" w:fill="auto"/>
            <w:vAlign w:val="bottom"/>
          </w:tcPr>
          <w:p w14:paraId="71D41155" w14:textId="77777777" w:rsidR="006A3667" w:rsidRDefault="006A3667">
            <w:pPr>
              <w:rPr>
                <w:rFonts w:ascii="宋体"/>
              </w:rPr>
            </w:pPr>
          </w:p>
        </w:tc>
        <w:tc>
          <w:tcPr>
            <w:tcW w:w="5" w:type="pct"/>
            <w:shd w:val="clear" w:color="auto" w:fill="auto"/>
            <w:vAlign w:val="bottom"/>
          </w:tcPr>
          <w:p w14:paraId="71D41156" w14:textId="77777777" w:rsidR="006A3667" w:rsidRDefault="006A3667">
            <w:pPr>
              <w:rPr>
                <w:rFonts w:ascii="宋体"/>
              </w:rPr>
            </w:pPr>
          </w:p>
        </w:tc>
        <w:tc>
          <w:tcPr>
            <w:tcW w:w="26" w:type="pct"/>
            <w:shd w:val="clear" w:color="auto" w:fill="auto"/>
            <w:vAlign w:val="bottom"/>
          </w:tcPr>
          <w:p w14:paraId="71D41157" w14:textId="77777777" w:rsidR="006A3667" w:rsidRDefault="006A3667">
            <w:pPr>
              <w:rPr>
                <w:rFonts w:ascii="宋体"/>
              </w:rPr>
            </w:pPr>
          </w:p>
        </w:tc>
        <w:tc>
          <w:tcPr>
            <w:tcW w:w="5" w:type="pct"/>
            <w:shd w:val="clear" w:color="auto" w:fill="auto"/>
            <w:vAlign w:val="bottom"/>
          </w:tcPr>
          <w:p w14:paraId="71D41158" w14:textId="77777777" w:rsidR="006A3667" w:rsidRDefault="006A3667">
            <w:pPr>
              <w:rPr>
                <w:rFonts w:ascii="宋体"/>
              </w:rPr>
            </w:pPr>
          </w:p>
        </w:tc>
        <w:tc>
          <w:tcPr>
            <w:tcW w:w="50" w:type="pct"/>
            <w:shd w:val="clear" w:color="auto" w:fill="auto"/>
            <w:vAlign w:val="bottom"/>
          </w:tcPr>
          <w:p w14:paraId="71D41159" w14:textId="77777777" w:rsidR="006A3667" w:rsidRDefault="006A3667">
            <w:pPr>
              <w:rPr>
                <w:rFonts w:ascii="宋体"/>
              </w:rPr>
            </w:pPr>
          </w:p>
        </w:tc>
        <w:tc>
          <w:tcPr>
            <w:tcW w:w="372" w:type="pct"/>
            <w:shd w:val="clear" w:color="auto" w:fill="auto"/>
            <w:vAlign w:val="bottom"/>
          </w:tcPr>
          <w:p w14:paraId="71D4115A" w14:textId="77777777" w:rsidR="006A3667" w:rsidRDefault="006A3667">
            <w:pPr>
              <w:rPr>
                <w:rFonts w:ascii="宋体"/>
              </w:rPr>
            </w:pPr>
          </w:p>
        </w:tc>
        <w:tc>
          <w:tcPr>
            <w:tcW w:w="5" w:type="pct"/>
            <w:shd w:val="clear" w:color="auto" w:fill="auto"/>
            <w:vAlign w:val="bottom"/>
          </w:tcPr>
          <w:p w14:paraId="71D4115B" w14:textId="77777777" w:rsidR="006A3667" w:rsidRDefault="006A3667">
            <w:pPr>
              <w:rPr>
                <w:rFonts w:ascii="宋体"/>
              </w:rPr>
            </w:pPr>
          </w:p>
        </w:tc>
        <w:tc>
          <w:tcPr>
            <w:tcW w:w="5" w:type="pct"/>
            <w:shd w:val="clear" w:color="auto" w:fill="auto"/>
            <w:vAlign w:val="bottom"/>
          </w:tcPr>
          <w:p w14:paraId="71D4115C" w14:textId="77777777" w:rsidR="006A3667" w:rsidRDefault="006A3667">
            <w:pPr>
              <w:rPr>
                <w:rFonts w:ascii="宋体"/>
              </w:rPr>
            </w:pPr>
          </w:p>
        </w:tc>
        <w:tc>
          <w:tcPr>
            <w:tcW w:w="26" w:type="pct"/>
            <w:shd w:val="clear" w:color="auto" w:fill="auto"/>
            <w:vAlign w:val="bottom"/>
          </w:tcPr>
          <w:p w14:paraId="71D4115D" w14:textId="77777777" w:rsidR="006A3667" w:rsidRDefault="006A3667">
            <w:pPr>
              <w:rPr>
                <w:rFonts w:ascii="宋体"/>
              </w:rPr>
            </w:pPr>
          </w:p>
        </w:tc>
        <w:tc>
          <w:tcPr>
            <w:tcW w:w="5" w:type="pct"/>
            <w:shd w:val="clear" w:color="auto" w:fill="auto"/>
            <w:vAlign w:val="bottom"/>
          </w:tcPr>
          <w:p w14:paraId="71D4115E" w14:textId="77777777" w:rsidR="006A3667" w:rsidRDefault="006A3667">
            <w:pPr>
              <w:rPr>
                <w:rFonts w:ascii="宋体"/>
              </w:rPr>
            </w:pPr>
          </w:p>
        </w:tc>
        <w:tc>
          <w:tcPr>
            <w:tcW w:w="50" w:type="pct"/>
            <w:shd w:val="clear" w:color="auto" w:fill="auto"/>
            <w:vAlign w:val="bottom"/>
          </w:tcPr>
          <w:p w14:paraId="71D4115F" w14:textId="77777777" w:rsidR="006A3667" w:rsidRDefault="006A3667">
            <w:pPr>
              <w:rPr>
                <w:rFonts w:ascii="宋体"/>
              </w:rPr>
            </w:pPr>
          </w:p>
        </w:tc>
        <w:tc>
          <w:tcPr>
            <w:tcW w:w="372" w:type="pct"/>
            <w:shd w:val="clear" w:color="auto" w:fill="auto"/>
            <w:vAlign w:val="bottom"/>
          </w:tcPr>
          <w:p w14:paraId="71D41160" w14:textId="77777777" w:rsidR="006A3667" w:rsidRDefault="006A3667">
            <w:pPr>
              <w:rPr>
                <w:rFonts w:ascii="宋体"/>
              </w:rPr>
            </w:pPr>
          </w:p>
        </w:tc>
        <w:tc>
          <w:tcPr>
            <w:tcW w:w="5" w:type="pct"/>
            <w:shd w:val="clear" w:color="auto" w:fill="auto"/>
            <w:vAlign w:val="bottom"/>
          </w:tcPr>
          <w:p w14:paraId="71D41161" w14:textId="77777777" w:rsidR="006A3667" w:rsidRDefault="006A3667">
            <w:pPr>
              <w:rPr>
                <w:rFonts w:ascii="宋体"/>
              </w:rPr>
            </w:pPr>
          </w:p>
        </w:tc>
        <w:tc>
          <w:tcPr>
            <w:tcW w:w="5" w:type="pct"/>
            <w:shd w:val="clear" w:color="auto" w:fill="auto"/>
            <w:vAlign w:val="bottom"/>
          </w:tcPr>
          <w:p w14:paraId="71D41162" w14:textId="77777777" w:rsidR="006A3667" w:rsidRDefault="006A3667">
            <w:pPr>
              <w:rPr>
                <w:rFonts w:ascii="宋体"/>
              </w:rPr>
            </w:pPr>
          </w:p>
        </w:tc>
        <w:tc>
          <w:tcPr>
            <w:tcW w:w="26" w:type="pct"/>
            <w:shd w:val="clear" w:color="auto" w:fill="auto"/>
            <w:vAlign w:val="bottom"/>
          </w:tcPr>
          <w:p w14:paraId="71D41163" w14:textId="77777777" w:rsidR="006A3667" w:rsidRDefault="006A3667">
            <w:pPr>
              <w:rPr>
                <w:rFonts w:ascii="宋体"/>
              </w:rPr>
            </w:pPr>
          </w:p>
        </w:tc>
        <w:tc>
          <w:tcPr>
            <w:tcW w:w="5" w:type="pct"/>
            <w:shd w:val="clear" w:color="auto" w:fill="auto"/>
            <w:vAlign w:val="bottom"/>
          </w:tcPr>
          <w:p w14:paraId="71D41164" w14:textId="77777777" w:rsidR="006A3667" w:rsidRDefault="006A3667">
            <w:pPr>
              <w:rPr>
                <w:rFonts w:ascii="宋体"/>
              </w:rPr>
            </w:pPr>
          </w:p>
        </w:tc>
        <w:tc>
          <w:tcPr>
            <w:tcW w:w="50" w:type="pct"/>
            <w:shd w:val="clear" w:color="auto" w:fill="auto"/>
            <w:vAlign w:val="bottom"/>
          </w:tcPr>
          <w:p w14:paraId="71D41165" w14:textId="77777777" w:rsidR="006A3667" w:rsidRDefault="006A3667">
            <w:pPr>
              <w:rPr>
                <w:rFonts w:ascii="宋体"/>
              </w:rPr>
            </w:pPr>
          </w:p>
        </w:tc>
        <w:tc>
          <w:tcPr>
            <w:tcW w:w="372" w:type="pct"/>
            <w:shd w:val="clear" w:color="auto" w:fill="auto"/>
            <w:vAlign w:val="bottom"/>
          </w:tcPr>
          <w:p w14:paraId="71D41166" w14:textId="77777777" w:rsidR="006A3667" w:rsidRDefault="006A3667">
            <w:pPr>
              <w:rPr>
                <w:rFonts w:ascii="宋体"/>
              </w:rPr>
            </w:pPr>
          </w:p>
        </w:tc>
        <w:tc>
          <w:tcPr>
            <w:tcW w:w="5" w:type="pct"/>
            <w:shd w:val="clear" w:color="auto" w:fill="auto"/>
            <w:vAlign w:val="bottom"/>
          </w:tcPr>
          <w:p w14:paraId="71D41167" w14:textId="77777777" w:rsidR="006A3667" w:rsidRDefault="006A3667">
            <w:pPr>
              <w:rPr>
                <w:rFonts w:ascii="宋体"/>
              </w:rPr>
            </w:pPr>
          </w:p>
        </w:tc>
        <w:tc>
          <w:tcPr>
            <w:tcW w:w="5" w:type="pct"/>
            <w:shd w:val="clear" w:color="auto" w:fill="auto"/>
            <w:vAlign w:val="bottom"/>
          </w:tcPr>
          <w:p w14:paraId="71D41168" w14:textId="77777777" w:rsidR="006A3667" w:rsidRDefault="006A3667">
            <w:pPr>
              <w:rPr>
                <w:rFonts w:ascii="宋体"/>
              </w:rPr>
            </w:pPr>
          </w:p>
        </w:tc>
        <w:tc>
          <w:tcPr>
            <w:tcW w:w="26" w:type="pct"/>
            <w:shd w:val="clear" w:color="auto" w:fill="auto"/>
            <w:vAlign w:val="bottom"/>
          </w:tcPr>
          <w:p w14:paraId="71D41169" w14:textId="77777777" w:rsidR="006A3667" w:rsidRDefault="006A3667">
            <w:pPr>
              <w:rPr>
                <w:rFonts w:ascii="宋体"/>
              </w:rPr>
            </w:pPr>
          </w:p>
        </w:tc>
        <w:tc>
          <w:tcPr>
            <w:tcW w:w="5" w:type="pct"/>
            <w:shd w:val="clear" w:color="auto" w:fill="auto"/>
            <w:vAlign w:val="bottom"/>
          </w:tcPr>
          <w:p w14:paraId="71D4116A" w14:textId="77777777" w:rsidR="006A3667" w:rsidRDefault="006A3667">
            <w:pPr>
              <w:rPr>
                <w:rFonts w:ascii="宋体"/>
              </w:rPr>
            </w:pPr>
          </w:p>
        </w:tc>
        <w:tc>
          <w:tcPr>
            <w:tcW w:w="50" w:type="pct"/>
            <w:shd w:val="clear" w:color="auto" w:fill="auto"/>
            <w:vAlign w:val="bottom"/>
          </w:tcPr>
          <w:p w14:paraId="71D4116B" w14:textId="77777777" w:rsidR="006A3667" w:rsidRDefault="006A3667">
            <w:pPr>
              <w:rPr>
                <w:rFonts w:ascii="宋体"/>
              </w:rPr>
            </w:pPr>
          </w:p>
        </w:tc>
        <w:tc>
          <w:tcPr>
            <w:tcW w:w="372" w:type="pct"/>
            <w:shd w:val="clear" w:color="auto" w:fill="auto"/>
            <w:vAlign w:val="bottom"/>
          </w:tcPr>
          <w:p w14:paraId="71D4116C" w14:textId="77777777" w:rsidR="006A3667" w:rsidRDefault="006A3667">
            <w:pPr>
              <w:rPr>
                <w:rFonts w:ascii="宋体"/>
              </w:rPr>
            </w:pPr>
          </w:p>
        </w:tc>
        <w:tc>
          <w:tcPr>
            <w:tcW w:w="5" w:type="pct"/>
            <w:shd w:val="clear" w:color="auto" w:fill="auto"/>
            <w:vAlign w:val="bottom"/>
          </w:tcPr>
          <w:p w14:paraId="71D4116D" w14:textId="77777777" w:rsidR="006A3667" w:rsidRDefault="006A3667">
            <w:pPr>
              <w:rPr>
                <w:rFonts w:ascii="宋体"/>
              </w:rPr>
            </w:pPr>
          </w:p>
        </w:tc>
        <w:tc>
          <w:tcPr>
            <w:tcW w:w="5" w:type="pct"/>
            <w:shd w:val="clear" w:color="auto" w:fill="auto"/>
            <w:vAlign w:val="bottom"/>
          </w:tcPr>
          <w:p w14:paraId="71D4116E" w14:textId="77777777" w:rsidR="006A3667" w:rsidRDefault="006A3667">
            <w:pPr>
              <w:rPr>
                <w:rFonts w:ascii="宋体"/>
              </w:rPr>
            </w:pPr>
          </w:p>
        </w:tc>
        <w:tc>
          <w:tcPr>
            <w:tcW w:w="26" w:type="pct"/>
            <w:shd w:val="clear" w:color="auto" w:fill="auto"/>
            <w:vAlign w:val="bottom"/>
          </w:tcPr>
          <w:p w14:paraId="71D4116F" w14:textId="77777777" w:rsidR="006A3667" w:rsidRDefault="006A3667">
            <w:pPr>
              <w:rPr>
                <w:rFonts w:ascii="宋体"/>
              </w:rPr>
            </w:pPr>
          </w:p>
        </w:tc>
        <w:tc>
          <w:tcPr>
            <w:tcW w:w="5" w:type="pct"/>
            <w:shd w:val="clear" w:color="auto" w:fill="auto"/>
            <w:vAlign w:val="bottom"/>
          </w:tcPr>
          <w:p w14:paraId="71D41170" w14:textId="77777777" w:rsidR="006A3667" w:rsidRDefault="006A3667">
            <w:pPr>
              <w:rPr>
                <w:rFonts w:ascii="宋体"/>
              </w:rPr>
            </w:pPr>
          </w:p>
        </w:tc>
        <w:tc>
          <w:tcPr>
            <w:tcW w:w="50" w:type="pct"/>
            <w:shd w:val="clear" w:color="auto" w:fill="auto"/>
            <w:vAlign w:val="bottom"/>
          </w:tcPr>
          <w:p w14:paraId="71D41171" w14:textId="77777777" w:rsidR="006A3667" w:rsidRDefault="006A3667">
            <w:pPr>
              <w:rPr>
                <w:rFonts w:ascii="宋体"/>
              </w:rPr>
            </w:pPr>
          </w:p>
        </w:tc>
        <w:tc>
          <w:tcPr>
            <w:tcW w:w="373" w:type="pct"/>
            <w:shd w:val="clear" w:color="auto" w:fill="auto"/>
            <w:vAlign w:val="bottom"/>
          </w:tcPr>
          <w:p w14:paraId="71D41172" w14:textId="77777777" w:rsidR="006A3667" w:rsidRDefault="006A3667">
            <w:pPr>
              <w:rPr>
                <w:rFonts w:ascii="宋体"/>
              </w:rPr>
            </w:pPr>
          </w:p>
        </w:tc>
        <w:tc>
          <w:tcPr>
            <w:tcW w:w="5" w:type="pct"/>
            <w:shd w:val="clear" w:color="auto" w:fill="auto"/>
            <w:vAlign w:val="bottom"/>
          </w:tcPr>
          <w:p w14:paraId="71D41173" w14:textId="77777777" w:rsidR="006A3667" w:rsidRDefault="006A3667">
            <w:pPr>
              <w:rPr>
                <w:rFonts w:ascii="宋体"/>
              </w:rPr>
            </w:pPr>
          </w:p>
        </w:tc>
      </w:tr>
      <w:tr w:rsidR="006A3667" w14:paraId="71D41176" w14:textId="77777777">
        <w:tc>
          <w:tcPr>
            <w:tcW w:w="0" w:type="auto"/>
            <w:gridSpan w:val="54"/>
            <w:shd w:val="clear" w:color="auto" w:fill="auto"/>
            <w:tcMar>
              <w:top w:w="40" w:type="dxa"/>
              <w:left w:w="20" w:type="dxa"/>
              <w:bottom w:w="40" w:type="dxa"/>
              <w:right w:w="20" w:type="dxa"/>
            </w:tcMar>
            <w:vAlign w:val="center"/>
          </w:tcPr>
          <w:p w14:paraId="71D41175" w14:textId="77777777" w:rsidR="006A3667" w:rsidRDefault="00045F32">
            <w:pPr>
              <w:textAlignment w:val="center"/>
            </w:pPr>
            <w:r>
              <w:rPr>
                <w:rFonts w:ascii="Arial" w:eastAsia="宋体" w:hAnsi="Arial" w:cs="Arial"/>
                <w:b/>
                <w:bCs/>
                <w:color w:val="000000"/>
                <w:sz w:val="16"/>
                <w:szCs w:val="16"/>
              </w:rPr>
              <w:t>TABLE 34: REGULATORY CAPITAL STRUCTURE AND RELATED REGULATORY CAPITAL RATIOS</w:t>
            </w:r>
          </w:p>
        </w:tc>
      </w:tr>
      <w:tr w:rsidR="006A3667" w14:paraId="71D4117B" w14:textId="77777777">
        <w:tc>
          <w:tcPr>
            <w:tcW w:w="0" w:type="auto"/>
            <w:gridSpan w:val="9"/>
            <w:shd w:val="clear" w:color="auto" w:fill="auto"/>
            <w:tcMar>
              <w:top w:w="0" w:type="dxa"/>
              <w:left w:w="20" w:type="dxa"/>
              <w:bottom w:w="0" w:type="dxa"/>
              <w:right w:w="20" w:type="dxa"/>
            </w:tcMar>
            <w:vAlign w:val="bottom"/>
          </w:tcPr>
          <w:p w14:paraId="71D41177" w14:textId="77777777" w:rsidR="006A3667" w:rsidRDefault="006A3667">
            <w:pPr>
              <w:rPr>
                <w:rFonts w:ascii="宋体"/>
              </w:rPr>
            </w:pPr>
          </w:p>
        </w:tc>
        <w:tc>
          <w:tcPr>
            <w:tcW w:w="0" w:type="auto"/>
            <w:gridSpan w:val="21"/>
            <w:shd w:val="clear" w:color="auto" w:fill="auto"/>
            <w:tcMar>
              <w:top w:w="40" w:type="dxa"/>
              <w:left w:w="20" w:type="dxa"/>
              <w:bottom w:w="40" w:type="dxa"/>
              <w:right w:w="20" w:type="dxa"/>
            </w:tcMar>
            <w:vAlign w:val="bottom"/>
          </w:tcPr>
          <w:p w14:paraId="71D41178" w14:textId="77777777" w:rsidR="006A3667" w:rsidRDefault="00045F32">
            <w:pP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Mar>
              <w:top w:w="0" w:type="dxa"/>
              <w:left w:w="20" w:type="dxa"/>
              <w:bottom w:w="0" w:type="dxa"/>
              <w:right w:w="20" w:type="dxa"/>
            </w:tcMar>
            <w:vAlign w:val="bottom"/>
          </w:tcPr>
          <w:p w14:paraId="71D41179" w14:textId="77777777" w:rsidR="006A3667" w:rsidRDefault="006A3667">
            <w:pPr>
              <w:rPr>
                <w:rFonts w:ascii="宋体"/>
              </w:rPr>
            </w:pPr>
          </w:p>
        </w:tc>
        <w:tc>
          <w:tcPr>
            <w:tcW w:w="0" w:type="auto"/>
            <w:gridSpan w:val="21"/>
            <w:shd w:val="clear" w:color="auto" w:fill="auto"/>
            <w:tcMar>
              <w:top w:w="40" w:type="dxa"/>
              <w:left w:w="20" w:type="dxa"/>
              <w:bottom w:w="40" w:type="dxa"/>
              <w:right w:w="20" w:type="dxa"/>
            </w:tcMar>
            <w:vAlign w:val="bottom"/>
          </w:tcPr>
          <w:p w14:paraId="71D4117A" w14:textId="77777777" w:rsidR="006A3667" w:rsidRDefault="00045F32">
            <w:pPr>
              <w:jc w:val="center"/>
              <w:textAlignment w:val="bottom"/>
            </w:pPr>
            <w:r>
              <w:rPr>
                <w:rFonts w:ascii="Arial" w:eastAsia="宋体" w:hAnsi="Arial" w:cs="Arial"/>
                <w:b/>
                <w:bCs/>
                <w:color w:val="000000"/>
                <w:sz w:val="14"/>
                <w:szCs w:val="14"/>
              </w:rPr>
              <w:t>State Street Bank</w:t>
            </w:r>
          </w:p>
        </w:tc>
      </w:tr>
      <w:tr w:rsidR="006A3667" w14:paraId="71D4118C" w14:textId="77777777">
        <w:tc>
          <w:tcPr>
            <w:tcW w:w="0" w:type="auto"/>
            <w:gridSpan w:val="9"/>
            <w:shd w:val="clear" w:color="auto" w:fill="auto"/>
            <w:tcMar>
              <w:top w:w="40" w:type="dxa"/>
              <w:left w:w="20" w:type="dxa"/>
              <w:bottom w:w="40" w:type="dxa"/>
              <w:right w:w="20" w:type="dxa"/>
            </w:tcMar>
            <w:vAlign w:val="bottom"/>
          </w:tcPr>
          <w:p w14:paraId="71D4117C" w14:textId="77777777" w:rsidR="006A3667" w:rsidRDefault="00045F32">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17D" w14:textId="77777777" w:rsidR="006A3667" w:rsidRDefault="00045F32">
            <w:pPr>
              <w:jc w:val="center"/>
              <w:textAlignment w:val="bottom"/>
            </w:pPr>
            <w:r>
              <w:rPr>
                <w:rFonts w:ascii="Arial" w:eastAsia="宋体" w:hAnsi="Arial" w:cs="Arial"/>
                <w:b/>
                <w:bCs/>
                <w:color w:val="000000"/>
                <w:sz w:val="11"/>
                <w:szCs w:val="11"/>
              </w:rPr>
              <w:t>Basel III Advanced Approaches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7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17F" w14:textId="77777777" w:rsidR="006A3667" w:rsidRDefault="00045F32">
            <w:pPr>
              <w:jc w:val="center"/>
              <w:textAlignment w:val="bottom"/>
            </w:pPr>
            <w:r>
              <w:rPr>
                <w:rFonts w:ascii="Arial" w:eastAsia="宋体" w:hAnsi="Arial" w:cs="Arial"/>
                <w:b/>
                <w:bCs/>
                <w:color w:val="000000"/>
                <w:sz w:val="11"/>
                <w:szCs w:val="11"/>
              </w:rPr>
              <w:t>Basel III Standardized Approach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8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181" w14:textId="77777777" w:rsidR="006A3667" w:rsidRDefault="00045F32">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8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183" w14:textId="77777777" w:rsidR="006A3667" w:rsidRDefault="00045F32">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shd w:val="clear" w:color="auto" w:fill="auto"/>
            <w:tcMar>
              <w:top w:w="0" w:type="dxa"/>
              <w:left w:w="20" w:type="dxa"/>
              <w:bottom w:w="0" w:type="dxa"/>
              <w:right w:w="20" w:type="dxa"/>
            </w:tcMar>
            <w:vAlign w:val="bottom"/>
          </w:tcPr>
          <w:p w14:paraId="71D4118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185" w14:textId="77777777" w:rsidR="006A3667" w:rsidRDefault="00045F32">
            <w:pPr>
              <w:jc w:val="center"/>
              <w:textAlignment w:val="bottom"/>
            </w:pPr>
            <w:r>
              <w:rPr>
                <w:rFonts w:ascii="Arial" w:eastAsia="宋体" w:hAnsi="Arial" w:cs="Arial"/>
                <w:b/>
                <w:bCs/>
                <w:color w:val="000000"/>
                <w:sz w:val="11"/>
                <w:szCs w:val="11"/>
              </w:rPr>
              <w:t>Basel III Advanced Approaches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8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187" w14:textId="77777777" w:rsidR="006A3667" w:rsidRDefault="00045F32">
            <w:pPr>
              <w:jc w:val="center"/>
              <w:textAlignment w:val="bottom"/>
            </w:pPr>
            <w:r>
              <w:rPr>
                <w:rFonts w:ascii="Arial" w:eastAsia="宋体" w:hAnsi="Arial" w:cs="Arial"/>
                <w:b/>
                <w:bCs/>
                <w:color w:val="000000"/>
                <w:sz w:val="11"/>
                <w:szCs w:val="11"/>
              </w:rPr>
              <w:t>Basel III Standardized Approach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8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189" w14:textId="77777777" w:rsidR="006A3667" w:rsidRDefault="00045F32">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8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18B" w14:textId="77777777" w:rsidR="006A3667" w:rsidRDefault="00045F32">
            <w:pPr>
              <w:jc w:val="center"/>
              <w:textAlignment w:val="bottom"/>
            </w:pPr>
            <w:r>
              <w:rPr>
                <w:rFonts w:ascii="Arial" w:eastAsia="宋体" w:hAnsi="Arial" w:cs="Arial"/>
                <w:b/>
                <w:bCs/>
                <w:color w:val="000000"/>
                <w:sz w:val="11"/>
                <w:szCs w:val="11"/>
              </w:rPr>
              <w:t>Basel III Standardized Approach December 31, 2021</w:t>
            </w:r>
          </w:p>
        </w:tc>
      </w:tr>
      <w:tr w:rsidR="006A3667" w14:paraId="71D4119D" w14:textId="77777777">
        <w:tc>
          <w:tcPr>
            <w:tcW w:w="0" w:type="auto"/>
            <w:gridSpan w:val="9"/>
            <w:shd w:val="clear" w:color="auto" w:fill="auto"/>
            <w:tcMar>
              <w:top w:w="40" w:type="dxa"/>
              <w:left w:w="20" w:type="dxa"/>
              <w:bottom w:w="40" w:type="dxa"/>
              <w:right w:w="20" w:type="dxa"/>
            </w:tcMar>
            <w:vAlign w:val="bottom"/>
          </w:tcPr>
          <w:p w14:paraId="71D4118D" w14:textId="77777777" w:rsidR="006A3667" w:rsidRDefault="00045F32">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8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8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9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9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9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9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9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9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9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9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9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9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9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19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19C" w14:textId="77777777" w:rsidR="006A3667" w:rsidRDefault="006A3667">
            <w:pPr>
              <w:rPr>
                <w:rFonts w:ascii="宋体"/>
              </w:rPr>
            </w:pPr>
          </w:p>
        </w:tc>
      </w:tr>
      <w:tr w:rsidR="00045F32" w14:paraId="71D411BE" w14:textId="77777777">
        <w:tc>
          <w:tcPr>
            <w:tcW w:w="0" w:type="auto"/>
            <w:gridSpan w:val="9"/>
            <w:shd w:val="clear" w:color="auto" w:fill="CCEEFF"/>
            <w:tcMar>
              <w:top w:w="40" w:type="dxa"/>
              <w:left w:w="245" w:type="dxa"/>
              <w:bottom w:w="40" w:type="dxa"/>
              <w:right w:w="20" w:type="dxa"/>
            </w:tcMar>
            <w:vAlign w:val="bottom"/>
          </w:tcPr>
          <w:p w14:paraId="71D4119E" w14:textId="77777777" w:rsidR="006A3667" w:rsidRDefault="00045F32">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71D4119F"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11A0" w14:textId="77777777" w:rsidR="006A3667" w:rsidRDefault="00045F32">
            <w:pPr>
              <w:jc w:val="right"/>
              <w:textAlignment w:val="bottom"/>
            </w:pPr>
            <w:r>
              <w:rPr>
                <w:rFonts w:ascii="Arial" w:eastAsia="宋体" w:hAnsi="Arial" w:cs="Arial"/>
                <w:b/>
                <w:bCs/>
                <w:color w:val="000000"/>
                <w:sz w:val="12"/>
                <w:szCs w:val="12"/>
              </w:rPr>
              <w:t>11,264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1A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A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1A3"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11A4" w14:textId="77777777" w:rsidR="006A3667" w:rsidRDefault="00045F32">
            <w:pPr>
              <w:jc w:val="right"/>
              <w:textAlignment w:val="bottom"/>
            </w:pPr>
            <w:r>
              <w:rPr>
                <w:rFonts w:ascii="Arial" w:eastAsia="宋体" w:hAnsi="Arial" w:cs="Arial"/>
                <w:b/>
                <w:bCs/>
                <w:color w:val="000000"/>
                <w:sz w:val="12"/>
                <w:szCs w:val="12"/>
              </w:rPr>
              <w:t>11,264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1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A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1A7"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11A8" w14:textId="77777777" w:rsidR="006A3667" w:rsidRDefault="00045F32">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71D411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A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1AB"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11AC" w14:textId="77777777" w:rsidR="006A3667" w:rsidRDefault="00045F32">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71D411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A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1AF"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11B0" w14:textId="77777777" w:rsidR="006A3667" w:rsidRDefault="00045F32">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1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B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1B3"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11B4" w14:textId="77777777" w:rsidR="006A3667" w:rsidRDefault="00045F32">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1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B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1B7"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11B8" w14:textId="77777777" w:rsidR="006A3667" w:rsidRDefault="00045F32">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71D411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B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1BB"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11BC" w14:textId="77777777" w:rsidR="006A3667" w:rsidRDefault="00045F32">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71D411BD" w14:textId="77777777" w:rsidR="006A3667" w:rsidRDefault="006A3667">
            <w:pPr>
              <w:jc w:val="right"/>
              <w:rPr>
                <w:rFonts w:ascii="宋体"/>
              </w:rPr>
            </w:pPr>
          </w:p>
        </w:tc>
      </w:tr>
      <w:tr w:rsidR="006A3667" w14:paraId="71D411D7" w14:textId="77777777">
        <w:tc>
          <w:tcPr>
            <w:tcW w:w="0" w:type="auto"/>
            <w:gridSpan w:val="9"/>
            <w:shd w:val="clear" w:color="auto" w:fill="FFFFFF"/>
            <w:tcMar>
              <w:top w:w="40" w:type="dxa"/>
              <w:left w:w="245" w:type="dxa"/>
              <w:bottom w:w="40" w:type="dxa"/>
              <w:right w:w="20" w:type="dxa"/>
            </w:tcMar>
            <w:vAlign w:val="bottom"/>
          </w:tcPr>
          <w:p w14:paraId="71D411BF" w14:textId="77777777" w:rsidR="006A3667" w:rsidRDefault="00045F32">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71D411C0" w14:textId="77777777" w:rsidR="006A3667" w:rsidRDefault="00045F32">
            <w:pPr>
              <w:jc w:val="right"/>
              <w:textAlignment w:val="bottom"/>
            </w:pPr>
            <w:r>
              <w:rPr>
                <w:rFonts w:ascii="Arial" w:eastAsia="宋体" w:hAnsi="Arial" w:cs="Arial"/>
                <w:b/>
                <w:bCs/>
                <w:color w:val="000000"/>
                <w:sz w:val="12"/>
                <w:szCs w:val="12"/>
              </w:rPr>
              <w:t>26,552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1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C3" w14:textId="77777777" w:rsidR="006A3667" w:rsidRDefault="00045F32">
            <w:pPr>
              <w:jc w:val="right"/>
              <w:textAlignment w:val="bottom"/>
            </w:pPr>
            <w:r>
              <w:rPr>
                <w:rFonts w:ascii="Arial" w:eastAsia="宋体" w:hAnsi="Arial" w:cs="Arial"/>
                <w:b/>
                <w:bCs/>
                <w:color w:val="000000"/>
                <w:sz w:val="12"/>
                <w:szCs w:val="12"/>
              </w:rPr>
              <w:t>26,552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1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C6" w14:textId="77777777" w:rsidR="006A3667" w:rsidRDefault="00045F32">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71D411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C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C9" w14:textId="77777777" w:rsidR="006A3667" w:rsidRDefault="00045F32">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71D411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C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CC" w14:textId="77777777" w:rsidR="006A3667" w:rsidRDefault="00045F32">
            <w:pPr>
              <w:jc w:val="right"/>
              <w:textAlignment w:val="bottom"/>
            </w:pPr>
            <w:r>
              <w:rPr>
                <w:rFonts w:ascii="Arial" w:eastAsia="宋体" w:hAnsi="Arial" w:cs="Arial"/>
                <w:b/>
                <w:bCs/>
                <w:color w:val="000000"/>
                <w:sz w:val="12"/>
                <w:szCs w:val="12"/>
              </w:rPr>
              <w:t>17,711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1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C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CF" w14:textId="77777777" w:rsidR="006A3667" w:rsidRDefault="00045F32">
            <w:pPr>
              <w:jc w:val="right"/>
              <w:textAlignment w:val="bottom"/>
            </w:pPr>
            <w:r>
              <w:rPr>
                <w:rFonts w:ascii="Arial" w:eastAsia="宋体" w:hAnsi="Arial" w:cs="Arial"/>
                <w:b/>
                <w:bCs/>
                <w:color w:val="000000"/>
                <w:sz w:val="12"/>
                <w:szCs w:val="12"/>
              </w:rPr>
              <w:t>17,711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1D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D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D2" w14:textId="77777777" w:rsidR="006A3667" w:rsidRDefault="00045F32">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71D411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D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D5" w14:textId="77777777" w:rsidR="006A3667" w:rsidRDefault="00045F32">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71D411D6" w14:textId="77777777" w:rsidR="006A3667" w:rsidRDefault="006A3667">
            <w:pPr>
              <w:jc w:val="right"/>
              <w:rPr>
                <w:rFonts w:ascii="宋体"/>
              </w:rPr>
            </w:pPr>
          </w:p>
        </w:tc>
      </w:tr>
      <w:tr w:rsidR="006A3667" w14:paraId="71D411F0" w14:textId="77777777">
        <w:tc>
          <w:tcPr>
            <w:tcW w:w="0" w:type="auto"/>
            <w:gridSpan w:val="9"/>
            <w:shd w:val="clear" w:color="auto" w:fill="CCEEFF"/>
            <w:tcMar>
              <w:top w:w="40" w:type="dxa"/>
              <w:left w:w="245" w:type="dxa"/>
              <w:bottom w:w="40" w:type="dxa"/>
              <w:right w:w="20" w:type="dxa"/>
            </w:tcMar>
            <w:vAlign w:val="bottom"/>
          </w:tcPr>
          <w:p w14:paraId="71D411D8" w14:textId="77777777" w:rsidR="006A3667" w:rsidRDefault="00045F32">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71D411D9" w14:textId="77777777" w:rsidR="006A3667" w:rsidRDefault="00045F32">
            <w:pPr>
              <w:jc w:val="right"/>
              <w:textAlignment w:val="bottom"/>
            </w:pPr>
            <w:r>
              <w:rPr>
                <w:rFonts w:ascii="Arial" w:eastAsia="宋体" w:hAnsi="Arial" w:cs="Arial"/>
                <w:b/>
                <w:bCs/>
                <w:color w:val="000000"/>
                <w:sz w:val="12"/>
                <w:szCs w:val="12"/>
              </w:rPr>
              <w:t>(4,268)</w:t>
            </w:r>
          </w:p>
        </w:tc>
        <w:tc>
          <w:tcPr>
            <w:tcW w:w="0" w:type="auto"/>
            <w:shd w:val="clear" w:color="auto" w:fill="CCEEFF"/>
            <w:tcMar>
              <w:top w:w="40" w:type="dxa"/>
              <w:left w:w="0" w:type="dxa"/>
              <w:bottom w:w="40" w:type="dxa"/>
              <w:right w:w="20" w:type="dxa"/>
            </w:tcMar>
            <w:vAlign w:val="bottom"/>
          </w:tcPr>
          <w:p w14:paraId="71D411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D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1DC" w14:textId="77777777" w:rsidR="006A3667" w:rsidRDefault="00045F32">
            <w:pPr>
              <w:jc w:val="right"/>
              <w:textAlignment w:val="bottom"/>
            </w:pPr>
            <w:r>
              <w:rPr>
                <w:rFonts w:ascii="Arial" w:eastAsia="宋体" w:hAnsi="Arial" w:cs="Arial"/>
                <w:b/>
                <w:bCs/>
                <w:color w:val="000000"/>
                <w:sz w:val="12"/>
                <w:szCs w:val="12"/>
              </w:rPr>
              <w:t>(4,268)</w:t>
            </w:r>
          </w:p>
        </w:tc>
        <w:tc>
          <w:tcPr>
            <w:tcW w:w="0" w:type="auto"/>
            <w:shd w:val="clear" w:color="auto" w:fill="CCEEFF"/>
            <w:tcMar>
              <w:top w:w="40" w:type="dxa"/>
              <w:left w:w="0" w:type="dxa"/>
              <w:bottom w:w="40" w:type="dxa"/>
              <w:right w:w="20" w:type="dxa"/>
            </w:tcMar>
            <w:vAlign w:val="bottom"/>
          </w:tcPr>
          <w:p w14:paraId="71D411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D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1DF" w14:textId="77777777" w:rsidR="006A3667" w:rsidRDefault="00045F32">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71D411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E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1E2" w14:textId="77777777" w:rsidR="006A3667" w:rsidRDefault="00045F32">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71D411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E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1E5" w14:textId="77777777" w:rsidR="006A3667" w:rsidRDefault="00045F32">
            <w:pPr>
              <w:jc w:val="right"/>
              <w:textAlignment w:val="bottom"/>
            </w:pPr>
            <w:r>
              <w:rPr>
                <w:rFonts w:ascii="Arial" w:eastAsia="宋体" w:hAnsi="Arial" w:cs="Arial"/>
                <w:b/>
                <w:bCs/>
                <w:color w:val="000000"/>
                <w:sz w:val="12"/>
                <w:szCs w:val="12"/>
              </w:rPr>
              <w:t>(3,937)</w:t>
            </w:r>
          </w:p>
        </w:tc>
        <w:tc>
          <w:tcPr>
            <w:tcW w:w="0" w:type="auto"/>
            <w:shd w:val="clear" w:color="auto" w:fill="CCEEFF"/>
            <w:tcMar>
              <w:top w:w="40" w:type="dxa"/>
              <w:left w:w="0" w:type="dxa"/>
              <w:bottom w:w="40" w:type="dxa"/>
              <w:right w:w="20" w:type="dxa"/>
            </w:tcMar>
            <w:vAlign w:val="bottom"/>
          </w:tcPr>
          <w:p w14:paraId="71D411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E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1E8" w14:textId="77777777" w:rsidR="006A3667" w:rsidRDefault="00045F32">
            <w:pPr>
              <w:jc w:val="right"/>
              <w:textAlignment w:val="bottom"/>
            </w:pPr>
            <w:r>
              <w:rPr>
                <w:rFonts w:ascii="Arial" w:eastAsia="宋体" w:hAnsi="Arial" w:cs="Arial"/>
                <w:b/>
                <w:bCs/>
                <w:color w:val="000000"/>
                <w:sz w:val="12"/>
                <w:szCs w:val="12"/>
              </w:rPr>
              <w:t>(3,937)</w:t>
            </w:r>
          </w:p>
        </w:tc>
        <w:tc>
          <w:tcPr>
            <w:tcW w:w="0" w:type="auto"/>
            <w:shd w:val="clear" w:color="auto" w:fill="CCEEFF"/>
            <w:tcMar>
              <w:top w:w="40" w:type="dxa"/>
              <w:left w:w="0" w:type="dxa"/>
              <w:bottom w:w="40" w:type="dxa"/>
              <w:right w:w="20" w:type="dxa"/>
            </w:tcMar>
            <w:vAlign w:val="bottom"/>
          </w:tcPr>
          <w:p w14:paraId="71D411E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E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1EB" w14:textId="77777777" w:rsidR="006A3667" w:rsidRDefault="00045F32">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71D411E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1E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1EE" w14:textId="77777777" w:rsidR="006A3667" w:rsidRDefault="00045F32">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71D411EF" w14:textId="77777777" w:rsidR="006A3667" w:rsidRDefault="006A3667">
            <w:pPr>
              <w:jc w:val="right"/>
              <w:rPr>
                <w:rFonts w:ascii="宋体"/>
              </w:rPr>
            </w:pPr>
          </w:p>
        </w:tc>
      </w:tr>
      <w:tr w:rsidR="006A3667" w14:paraId="71D41209" w14:textId="77777777">
        <w:tc>
          <w:tcPr>
            <w:tcW w:w="0" w:type="auto"/>
            <w:gridSpan w:val="9"/>
            <w:shd w:val="clear" w:color="auto" w:fill="FFFFFF"/>
            <w:tcMar>
              <w:top w:w="40" w:type="dxa"/>
              <w:left w:w="245" w:type="dxa"/>
              <w:bottom w:w="40" w:type="dxa"/>
              <w:right w:w="20" w:type="dxa"/>
            </w:tcMar>
            <w:vAlign w:val="bottom"/>
          </w:tcPr>
          <w:p w14:paraId="71D411F1" w14:textId="77777777" w:rsidR="006A3667" w:rsidRDefault="00045F32">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71D411F2" w14:textId="77777777" w:rsidR="006A3667" w:rsidRDefault="00045F32">
            <w:pPr>
              <w:jc w:val="right"/>
              <w:textAlignment w:val="bottom"/>
            </w:pPr>
            <w:r>
              <w:rPr>
                <w:rFonts w:ascii="Arial" w:eastAsia="宋体" w:hAnsi="Arial" w:cs="Arial"/>
                <w:b/>
                <w:bCs/>
                <w:color w:val="000000"/>
                <w:sz w:val="12"/>
                <w:szCs w:val="12"/>
              </w:rPr>
              <w:t>(9,876)</w:t>
            </w:r>
          </w:p>
        </w:tc>
        <w:tc>
          <w:tcPr>
            <w:tcW w:w="0" w:type="auto"/>
            <w:shd w:val="clear" w:color="auto" w:fill="FFFFFF"/>
            <w:tcMar>
              <w:top w:w="40" w:type="dxa"/>
              <w:left w:w="0" w:type="dxa"/>
              <w:bottom w:w="40" w:type="dxa"/>
              <w:right w:w="20" w:type="dxa"/>
            </w:tcMar>
            <w:vAlign w:val="bottom"/>
          </w:tcPr>
          <w:p w14:paraId="71D411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F5" w14:textId="77777777" w:rsidR="006A3667" w:rsidRDefault="00045F32">
            <w:pPr>
              <w:jc w:val="right"/>
              <w:textAlignment w:val="bottom"/>
            </w:pPr>
            <w:r>
              <w:rPr>
                <w:rFonts w:ascii="Arial" w:eastAsia="宋体" w:hAnsi="Arial" w:cs="Arial"/>
                <w:b/>
                <w:bCs/>
                <w:color w:val="000000"/>
                <w:sz w:val="12"/>
                <w:szCs w:val="12"/>
              </w:rPr>
              <w:t>(9,876)</w:t>
            </w:r>
          </w:p>
        </w:tc>
        <w:tc>
          <w:tcPr>
            <w:tcW w:w="0" w:type="auto"/>
            <w:shd w:val="clear" w:color="auto" w:fill="FFFFFF"/>
            <w:tcMar>
              <w:top w:w="40" w:type="dxa"/>
              <w:left w:w="0" w:type="dxa"/>
              <w:bottom w:w="40" w:type="dxa"/>
              <w:right w:w="20" w:type="dxa"/>
            </w:tcMar>
            <w:vAlign w:val="bottom"/>
          </w:tcPr>
          <w:p w14:paraId="71D411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F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F8" w14:textId="77777777" w:rsidR="006A3667" w:rsidRDefault="00045F32">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71D411F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F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FB" w14:textId="77777777" w:rsidR="006A3667" w:rsidRDefault="00045F32">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71D411F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1F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1FE"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1F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0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01"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0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0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04"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0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0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07"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08" w14:textId="77777777" w:rsidR="006A3667" w:rsidRDefault="006A3667">
            <w:pPr>
              <w:jc w:val="right"/>
              <w:rPr>
                <w:rFonts w:ascii="宋体"/>
              </w:rPr>
            </w:pPr>
          </w:p>
        </w:tc>
      </w:tr>
      <w:tr w:rsidR="006A3667" w14:paraId="71D41222" w14:textId="77777777">
        <w:tc>
          <w:tcPr>
            <w:tcW w:w="0" w:type="auto"/>
            <w:gridSpan w:val="9"/>
            <w:shd w:val="clear" w:color="auto" w:fill="CCEEFF"/>
            <w:tcMar>
              <w:top w:w="40" w:type="dxa"/>
              <w:left w:w="155" w:type="dxa"/>
              <w:bottom w:w="40" w:type="dxa"/>
              <w:right w:w="20" w:type="dxa"/>
            </w:tcMar>
            <w:vAlign w:val="bottom"/>
          </w:tcPr>
          <w:p w14:paraId="71D4120A" w14:textId="77777777" w:rsidR="006A3667" w:rsidRDefault="00045F32">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0B" w14:textId="77777777" w:rsidR="006A3667" w:rsidRDefault="00045F32">
            <w:pPr>
              <w:jc w:val="right"/>
              <w:textAlignment w:val="bottom"/>
            </w:pPr>
            <w:r>
              <w:rPr>
                <w:rFonts w:ascii="Arial" w:eastAsia="宋体" w:hAnsi="Arial" w:cs="Arial"/>
                <w:b/>
                <w:bCs/>
                <w:color w:val="000000"/>
                <w:sz w:val="12"/>
                <w:szCs w:val="12"/>
              </w:rPr>
              <w:t>23,672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0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0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0E" w14:textId="77777777" w:rsidR="006A3667" w:rsidRDefault="00045F32">
            <w:pPr>
              <w:jc w:val="right"/>
              <w:textAlignment w:val="bottom"/>
            </w:pPr>
            <w:r>
              <w:rPr>
                <w:rFonts w:ascii="Arial" w:eastAsia="宋体" w:hAnsi="Arial" w:cs="Arial"/>
                <w:b/>
                <w:bCs/>
                <w:color w:val="000000"/>
                <w:sz w:val="12"/>
                <w:szCs w:val="12"/>
              </w:rPr>
              <w:t>23,672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0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1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11" w14:textId="77777777" w:rsidR="006A3667" w:rsidRDefault="00045F32">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1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14" w14:textId="77777777" w:rsidR="006A3667" w:rsidRDefault="00045F32">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1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17" w14:textId="77777777" w:rsidR="006A3667" w:rsidRDefault="00045F32">
            <w:pPr>
              <w:jc w:val="right"/>
              <w:textAlignment w:val="bottom"/>
            </w:pPr>
            <w:r>
              <w:rPr>
                <w:rFonts w:ascii="Arial" w:eastAsia="宋体" w:hAnsi="Arial" w:cs="Arial"/>
                <w:b/>
                <w:bCs/>
                <w:color w:val="000000"/>
                <w:sz w:val="12"/>
                <w:szCs w:val="12"/>
              </w:rPr>
              <w:t>26,807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1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1A" w14:textId="77777777" w:rsidR="006A3667" w:rsidRDefault="00045F32">
            <w:pPr>
              <w:jc w:val="right"/>
              <w:textAlignment w:val="bottom"/>
            </w:pPr>
            <w:r>
              <w:rPr>
                <w:rFonts w:ascii="Arial" w:eastAsia="宋体" w:hAnsi="Arial" w:cs="Arial"/>
                <w:b/>
                <w:bCs/>
                <w:color w:val="000000"/>
                <w:sz w:val="12"/>
                <w:szCs w:val="12"/>
              </w:rPr>
              <w:t>26,807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1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1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1D" w14:textId="77777777" w:rsidR="006A3667" w:rsidRDefault="00045F32">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1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20" w14:textId="77777777" w:rsidR="006A3667" w:rsidRDefault="00045F32">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21" w14:textId="77777777" w:rsidR="006A3667" w:rsidRDefault="006A3667">
            <w:pPr>
              <w:jc w:val="right"/>
              <w:rPr>
                <w:rFonts w:ascii="宋体"/>
              </w:rPr>
            </w:pPr>
          </w:p>
        </w:tc>
      </w:tr>
      <w:tr w:rsidR="006A3667" w14:paraId="71D41233" w14:textId="77777777">
        <w:tc>
          <w:tcPr>
            <w:tcW w:w="0" w:type="auto"/>
            <w:gridSpan w:val="9"/>
            <w:shd w:val="clear" w:color="auto" w:fill="FFFFFF"/>
            <w:tcMar>
              <w:top w:w="40" w:type="dxa"/>
              <w:left w:w="155" w:type="dxa"/>
              <w:bottom w:w="40" w:type="dxa"/>
              <w:right w:w="20" w:type="dxa"/>
            </w:tcMar>
            <w:vAlign w:val="bottom"/>
          </w:tcPr>
          <w:p w14:paraId="71D41223" w14:textId="77777777" w:rsidR="006A3667" w:rsidRDefault="00045F32">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71D4122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2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3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3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232" w14:textId="77777777" w:rsidR="006A3667" w:rsidRDefault="006A3667">
            <w:pPr>
              <w:rPr>
                <w:rFonts w:ascii="宋体"/>
              </w:rPr>
            </w:pPr>
          </w:p>
        </w:tc>
      </w:tr>
      <w:tr w:rsidR="006A3667" w14:paraId="71D4124C" w14:textId="77777777">
        <w:tc>
          <w:tcPr>
            <w:tcW w:w="0" w:type="auto"/>
            <w:gridSpan w:val="9"/>
            <w:shd w:val="clear" w:color="auto" w:fill="CCEEFF"/>
            <w:tcMar>
              <w:top w:w="40" w:type="dxa"/>
              <w:left w:w="245" w:type="dxa"/>
              <w:bottom w:w="40" w:type="dxa"/>
              <w:right w:w="20" w:type="dxa"/>
            </w:tcMar>
            <w:vAlign w:val="bottom"/>
          </w:tcPr>
          <w:p w14:paraId="71D41234" w14:textId="77777777" w:rsidR="006A3667" w:rsidRDefault="00045F32">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2"/>
            <w:shd w:val="clear" w:color="auto" w:fill="CCEEFF"/>
            <w:tcMar>
              <w:top w:w="40" w:type="dxa"/>
              <w:left w:w="20" w:type="dxa"/>
              <w:bottom w:w="40" w:type="dxa"/>
              <w:right w:w="0" w:type="dxa"/>
            </w:tcMar>
            <w:vAlign w:val="bottom"/>
          </w:tcPr>
          <w:p w14:paraId="71D41235" w14:textId="77777777" w:rsidR="006A3667" w:rsidRDefault="00045F32">
            <w:pPr>
              <w:jc w:val="right"/>
              <w:textAlignment w:val="bottom"/>
            </w:pPr>
            <w:r>
              <w:rPr>
                <w:rFonts w:ascii="Arial" w:eastAsia="宋体" w:hAnsi="Arial" w:cs="Arial"/>
                <w:b/>
                <w:bCs/>
                <w:color w:val="000000"/>
                <w:sz w:val="12"/>
                <w:szCs w:val="12"/>
              </w:rPr>
              <w:t>(8,433)</w:t>
            </w:r>
          </w:p>
        </w:tc>
        <w:tc>
          <w:tcPr>
            <w:tcW w:w="0" w:type="auto"/>
            <w:shd w:val="clear" w:color="auto" w:fill="CCEEFF"/>
            <w:tcMar>
              <w:top w:w="40" w:type="dxa"/>
              <w:left w:w="0" w:type="dxa"/>
              <w:bottom w:w="40" w:type="dxa"/>
              <w:right w:w="20" w:type="dxa"/>
            </w:tcMar>
            <w:vAlign w:val="bottom"/>
          </w:tcPr>
          <w:p w14:paraId="71D4123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3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238" w14:textId="77777777" w:rsidR="006A3667" w:rsidRDefault="00045F32">
            <w:pPr>
              <w:jc w:val="right"/>
              <w:textAlignment w:val="bottom"/>
            </w:pPr>
            <w:r>
              <w:rPr>
                <w:rFonts w:ascii="Arial" w:eastAsia="宋体" w:hAnsi="Arial" w:cs="Arial"/>
                <w:b/>
                <w:bCs/>
                <w:color w:val="000000"/>
                <w:sz w:val="12"/>
                <w:szCs w:val="12"/>
              </w:rPr>
              <w:t>(8,433)</w:t>
            </w:r>
          </w:p>
        </w:tc>
        <w:tc>
          <w:tcPr>
            <w:tcW w:w="0" w:type="auto"/>
            <w:shd w:val="clear" w:color="auto" w:fill="CCEEFF"/>
            <w:tcMar>
              <w:top w:w="40" w:type="dxa"/>
              <w:left w:w="0" w:type="dxa"/>
              <w:bottom w:w="40" w:type="dxa"/>
              <w:right w:w="20" w:type="dxa"/>
            </w:tcMar>
            <w:vAlign w:val="bottom"/>
          </w:tcPr>
          <w:p w14:paraId="71D412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3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23B" w14:textId="77777777" w:rsidR="006A3667" w:rsidRDefault="00045F32">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71D4123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3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23E" w14:textId="77777777" w:rsidR="006A3667" w:rsidRDefault="00045F32">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71D4123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4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241" w14:textId="77777777" w:rsidR="006A3667" w:rsidRDefault="00045F32">
            <w:pPr>
              <w:jc w:val="right"/>
              <w:textAlignment w:val="bottom"/>
            </w:pPr>
            <w:r>
              <w:rPr>
                <w:rFonts w:ascii="Arial" w:eastAsia="宋体" w:hAnsi="Arial" w:cs="Arial"/>
                <w:b/>
                <w:bCs/>
                <w:color w:val="000000"/>
                <w:sz w:val="12"/>
                <w:szCs w:val="12"/>
              </w:rPr>
              <w:t>(8,180)</w:t>
            </w:r>
          </w:p>
        </w:tc>
        <w:tc>
          <w:tcPr>
            <w:tcW w:w="0" w:type="auto"/>
            <w:shd w:val="clear" w:color="auto" w:fill="CCEEFF"/>
            <w:tcMar>
              <w:top w:w="40" w:type="dxa"/>
              <w:left w:w="0" w:type="dxa"/>
              <w:bottom w:w="40" w:type="dxa"/>
              <w:right w:w="20" w:type="dxa"/>
            </w:tcMar>
            <w:vAlign w:val="bottom"/>
          </w:tcPr>
          <w:p w14:paraId="71D412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4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244" w14:textId="77777777" w:rsidR="006A3667" w:rsidRDefault="00045F32">
            <w:pPr>
              <w:jc w:val="right"/>
              <w:textAlignment w:val="bottom"/>
            </w:pPr>
            <w:r>
              <w:rPr>
                <w:rFonts w:ascii="Arial" w:eastAsia="宋体" w:hAnsi="Arial" w:cs="Arial"/>
                <w:b/>
                <w:bCs/>
                <w:color w:val="000000"/>
                <w:sz w:val="12"/>
                <w:szCs w:val="12"/>
              </w:rPr>
              <w:t>(8,180)</w:t>
            </w:r>
          </w:p>
        </w:tc>
        <w:tc>
          <w:tcPr>
            <w:tcW w:w="0" w:type="auto"/>
            <w:shd w:val="clear" w:color="auto" w:fill="CCEEFF"/>
            <w:tcMar>
              <w:top w:w="40" w:type="dxa"/>
              <w:left w:w="0" w:type="dxa"/>
              <w:bottom w:w="40" w:type="dxa"/>
              <w:right w:w="20" w:type="dxa"/>
            </w:tcMar>
            <w:vAlign w:val="bottom"/>
          </w:tcPr>
          <w:p w14:paraId="71D4124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4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247" w14:textId="77777777" w:rsidR="006A3667" w:rsidRDefault="00045F32">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71D4124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4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24A" w14:textId="77777777" w:rsidR="006A3667" w:rsidRDefault="00045F32">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71D4124B" w14:textId="77777777" w:rsidR="006A3667" w:rsidRDefault="006A3667">
            <w:pPr>
              <w:jc w:val="right"/>
              <w:rPr>
                <w:rFonts w:ascii="宋体"/>
              </w:rPr>
            </w:pPr>
          </w:p>
        </w:tc>
      </w:tr>
      <w:tr w:rsidR="006A3667" w14:paraId="71D41265" w14:textId="77777777">
        <w:tc>
          <w:tcPr>
            <w:tcW w:w="0" w:type="auto"/>
            <w:gridSpan w:val="9"/>
            <w:shd w:val="clear" w:color="auto" w:fill="FFFFFF"/>
            <w:tcMar>
              <w:top w:w="40" w:type="dxa"/>
              <w:left w:w="20" w:type="dxa"/>
              <w:bottom w:w="40" w:type="dxa"/>
              <w:right w:w="20" w:type="dxa"/>
            </w:tcMar>
            <w:vAlign w:val="bottom"/>
          </w:tcPr>
          <w:p w14:paraId="71D4124D" w14:textId="77777777" w:rsidR="006A3667" w:rsidRDefault="00045F32">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71D4124E" w14:textId="77777777" w:rsidR="006A3667" w:rsidRDefault="00045F32">
            <w:pPr>
              <w:jc w:val="right"/>
              <w:textAlignment w:val="bottom"/>
            </w:pPr>
            <w:r>
              <w:rPr>
                <w:rFonts w:ascii="Arial" w:eastAsia="宋体" w:hAnsi="Arial" w:cs="Arial"/>
                <w:b/>
                <w:bCs/>
                <w:color w:val="000000"/>
                <w:sz w:val="12"/>
                <w:szCs w:val="12"/>
              </w:rPr>
              <w:t>(113)</w:t>
            </w:r>
          </w:p>
        </w:tc>
        <w:tc>
          <w:tcPr>
            <w:tcW w:w="0" w:type="auto"/>
            <w:shd w:val="clear" w:color="auto" w:fill="FFFFFF"/>
            <w:tcMar>
              <w:top w:w="40" w:type="dxa"/>
              <w:left w:w="0" w:type="dxa"/>
              <w:bottom w:w="40" w:type="dxa"/>
              <w:right w:w="20" w:type="dxa"/>
            </w:tcMar>
            <w:vAlign w:val="bottom"/>
          </w:tcPr>
          <w:p w14:paraId="71D412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5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51" w14:textId="77777777" w:rsidR="006A3667" w:rsidRDefault="00045F32">
            <w:pPr>
              <w:jc w:val="right"/>
              <w:textAlignment w:val="bottom"/>
            </w:pPr>
            <w:r>
              <w:rPr>
                <w:rFonts w:ascii="Arial" w:eastAsia="宋体" w:hAnsi="Arial" w:cs="Arial"/>
                <w:b/>
                <w:bCs/>
                <w:color w:val="000000"/>
                <w:sz w:val="12"/>
                <w:szCs w:val="12"/>
              </w:rPr>
              <w:t>(113)</w:t>
            </w:r>
          </w:p>
        </w:tc>
        <w:tc>
          <w:tcPr>
            <w:tcW w:w="0" w:type="auto"/>
            <w:shd w:val="clear" w:color="auto" w:fill="FFFFFF"/>
            <w:tcMar>
              <w:top w:w="40" w:type="dxa"/>
              <w:left w:w="0" w:type="dxa"/>
              <w:bottom w:w="40" w:type="dxa"/>
              <w:right w:w="20" w:type="dxa"/>
            </w:tcMar>
            <w:vAlign w:val="bottom"/>
          </w:tcPr>
          <w:p w14:paraId="71D4125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5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54" w14:textId="77777777" w:rsidR="006A3667" w:rsidRDefault="00045F32">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71D4125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5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57" w14:textId="77777777" w:rsidR="006A3667" w:rsidRDefault="00045F32">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71D4125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5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5A" w14:textId="77777777" w:rsidR="006A3667" w:rsidRDefault="00045F32">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5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5D" w14:textId="77777777" w:rsidR="006A3667" w:rsidRDefault="00045F32">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60" w14:textId="77777777" w:rsidR="006A3667" w:rsidRDefault="00045F32">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71D4126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6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63" w14:textId="77777777" w:rsidR="006A3667" w:rsidRDefault="00045F32">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71D41264" w14:textId="77777777" w:rsidR="006A3667" w:rsidRDefault="006A3667">
            <w:pPr>
              <w:jc w:val="right"/>
              <w:rPr>
                <w:rFonts w:ascii="宋体"/>
              </w:rPr>
            </w:pPr>
          </w:p>
        </w:tc>
      </w:tr>
      <w:tr w:rsidR="006A3667" w14:paraId="71D4127E" w14:textId="77777777">
        <w:tc>
          <w:tcPr>
            <w:tcW w:w="0" w:type="auto"/>
            <w:gridSpan w:val="9"/>
            <w:shd w:val="clear" w:color="auto" w:fill="CCEEFF"/>
            <w:tcMar>
              <w:top w:w="40" w:type="dxa"/>
              <w:left w:w="20" w:type="dxa"/>
              <w:bottom w:w="40" w:type="dxa"/>
              <w:right w:w="20" w:type="dxa"/>
            </w:tcMar>
            <w:vAlign w:val="bottom"/>
          </w:tcPr>
          <w:p w14:paraId="71D41266" w14:textId="77777777" w:rsidR="006A3667" w:rsidRDefault="00045F32">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67" w14:textId="77777777" w:rsidR="006A3667" w:rsidRDefault="00045F32">
            <w:pPr>
              <w:jc w:val="right"/>
              <w:textAlignment w:val="bottom"/>
            </w:pPr>
            <w:r>
              <w:rPr>
                <w:rFonts w:ascii="Arial" w:eastAsia="宋体" w:hAnsi="Arial" w:cs="Arial"/>
                <w:b/>
                <w:bCs/>
                <w:color w:val="000000"/>
                <w:sz w:val="12"/>
                <w:szCs w:val="12"/>
              </w:rPr>
              <w:t>15,126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6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6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6A" w14:textId="77777777" w:rsidR="006A3667" w:rsidRDefault="00045F32">
            <w:pPr>
              <w:jc w:val="right"/>
              <w:textAlignment w:val="bottom"/>
            </w:pPr>
            <w:r>
              <w:rPr>
                <w:rFonts w:ascii="Arial" w:eastAsia="宋体" w:hAnsi="Arial" w:cs="Arial"/>
                <w:b/>
                <w:bCs/>
                <w:color w:val="000000"/>
                <w:sz w:val="12"/>
                <w:szCs w:val="12"/>
              </w:rPr>
              <w:t>15,126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6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6D" w14:textId="77777777" w:rsidR="006A3667" w:rsidRDefault="00045F32">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6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70" w14:textId="77777777" w:rsidR="006A3667" w:rsidRDefault="00045F32">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7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73" w14:textId="77777777" w:rsidR="006A3667" w:rsidRDefault="00045F32">
            <w:pPr>
              <w:jc w:val="right"/>
              <w:textAlignment w:val="bottom"/>
            </w:pPr>
            <w:r>
              <w:rPr>
                <w:rFonts w:ascii="Arial" w:eastAsia="宋体" w:hAnsi="Arial" w:cs="Arial"/>
                <w:b/>
                <w:bCs/>
                <w:color w:val="000000"/>
                <w:sz w:val="12"/>
                <w:szCs w:val="12"/>
              </w:rPr>
              <w:t>18,687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7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76" w14:textId="77777777" w:rsidR="006A3667" w:rsidRDefault="00045F32">
            <w:pPr>
              <w:jc w:val="right"/>
              <w:textAlignment w:val="bottom"/>
            </w:pPr>
            <w:r>
              <w:rPr>
                <w:rFonts w:ascii="Arial" w:eastAsia="宋体" w:hAnsi="Arial" w:cs="Arial"/>
                <w:b/>
                <w:bCs/>
                <w:color w:val="000000"/>
                <w:sz w:val="12"/>
                <w:szCs w:val="12"/>
              </w:rPr>
              <w:t>18,687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7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79" w14:textId="77777777" w:rsidR="006A3667" w:rsidRDefault="00045F32">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7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7C" w14:textId="77777777" w:rsidR="006A3667" w:rsidRDefault="00045F32">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7D" w14:textId="77777777" w:rsidR="006A3667" w:rsidRDefault="006A3667">
            <w:pPr>
              <w:jc w:val="right"/>
              <w:rPr>
                <w:rFonts w:ascii="宋体"/>
              </w:rPr>
            </w:pPr>
          </w:p>
        </w:tc>
      </w:tr>
      <w:tr w:rsidR="006A3667" w14:paraId="71D41297" w14:textId="77777777">
        <w:tc>
          <w:tcPr>
            <w:tcW w:w="0" w:type="auto"/>
            <w:gridSpan w:val="9"/>
            <w:shd w:val="clear" w:color="auto" w:fill="FFFFFF"/>
            <w:tcMar>
              <w:top w:w="40" w:type="dxa"/>
              <w:left w:w="245" w:type="dxa"/>
              <w:bottom w:w="40" w:type="dxa"/>
              <w:right w:w="20" w:type="dxa"/>
            </w:tcMar>
            <w:vAlign w:val="bottom"/>
          </w:tcPr>
          <w:p w14:paraId="71D4127F" w14:textId="77777777" w:rsidR="006A3667" w:rsidRDefault="00045F32">
            <w:pPr>
              <w:textAlignment w:val="bottom"/>
            </w:pPr>
            <w:r>
              <w:rPr>
                <w:rFonts w:ascii="Arial" w:eastAsia="宋体" w:hAnsi="Arial" w:cs="Arial"/>
                <w:color w:val="000000"/>
                <w:sz w:val="12"/>
                <w:szCs w:val="12"/>
              </w:rPr>
              <w:t>Preferred stock</w:t>
            </w:r>
          </w:p>
        </w:tc>
        <w:tc>
          <w:tcPr>
            <w:tcW w:w="0" w:type="auto"/>
            <w:gridSpan w:val="2"/>
            <w:shd w:val="clear" w:color="auto" w:fill="FFFFFF"/>
            <w:tcMar>
              <w:top w:w="40" w:type="dxa"/>
              <w:left w:w="20" w:type="dxa"/>
              <w:bottom w:w="40" w:type="dxa"/>
              <w:right w:w="0" w:type="dxa"/>
            </w:tcMar>
            <w:vAlign w:val="bottom"/>
          </w:tcPr>
          <w:p w14:paraId="71D41280" w14:textId="77777777" w:rsidR="006A3667" w:rsidRDefault="00045F32">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8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8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83" w14:textId="77777777" w:rsidR="006A3667" w:rsidRDefault="00045F32">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86" w14:textId="77777777" w:rsidR="006A3667" w:rsidRDefault="00045F32">
            <w:pPr>
              <w:jc w:val="right"/>
              <w:textAlignment w:val="bottom"/>
            </w:pPr>
            <w:r>
              <w:rPr>
                <w:rFonts w:ascii="Arial" w:eastAsia="宋体" w:hAnsi="Arial" w:cs="Arial"/>
                <w:color w:val="000000"/>
                <w:sz w:val="12"/>
                <w:szCs w:val="12"/>
              </w:rPr>
              <w:t>1,976 </w:t>
            </w:r>
          </w:p>
        </w:tc>
        <w:tc>
          <w:tcPr>
            <w:tcW w:w="0" w:type="auto"/>
            <w:shd w:val="clear" w:color="auto" w:fill="FFFFFF"/>
            <w:tcMar>
              <w:top w:w="40" w:type="dxa"/>
              <w:left w:w="0" w:type="dxa"/>
              <w:bottom w:w="40" w:type="dxa"/>
              <w:right w:w="20" w:type="dxa"/>
            </w:tcMar>
            <w:vAlign w:val="bottom"/>
          </w:tcPr>
          <w:p w14:paraId="71D412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89" w14:textId="77777777" w:rsidR="006A3667" w:rsidRDefault="00045F32">
            <w:pPr>
              <w:jc w:val="right"/>
              <w:textAlignment w:val="bottom"/>
            </w:pPr>
            <w:r>
              <w:rPr>
                <w:rFonts w:ascii="Arial" w:eastAsia="宋体" w:hAnsi="Arial" w:cs="Arial"/>
                <w:color w:val="000000"/>
                <w:sz w:val="12"/>
                <w:szCs w:val="12"/>
              </w:rPr>
              <w:t>1,976 </w:t>
            </w:r>
          </w:p>
        </w:tc>
        <w:tc>
          <w:tcPr>
            <w:tcW w:w="0" w:type="auto"/>
            <w:shd w:val="clear" w:color="auto" w:fill="FFFFFF"/>
            <w:tcMar>
              <w:top w:w="40" w:type="dxa"/>
              <w:left w:w="0" w:type="dxa"/>
              <w:bottom w:w="40" w:type="dxa"/>
              <w:right w:w="20" w:type="dxa"/>
            </w:tcMar>
            <w:vAlign w:val="bottom"/>
          </w:tcPr>
          <w:p w14:paraId="71D4128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8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8C"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8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8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8F"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9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9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92"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9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295"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296" w14:textId="77777777" w:rsidR="006A3667" w:rsidRDefault="006A3667">
            <w:pPr>
              <w:jc w:val="right"/>
              <w:rPr>
                <w:rFonts w:ascii="宋体"/>
              </w:rPr>
            </w:pPr>
          </w:p>
        </w:tc>
      </w:tr>
      <w:tr w:rsidR="006A3667" w14:paraId="71D412AE" w14:textId="77777777">
        <w:trPr>
          <w:hidden/>
        </w:trPr>
        <w:tc>
          <w:tcPr>
            <w:tcW w:w="0" w:type="auto"/>
            <w:gridSpan w:val="3"/>
            <w:shd w:val="clear" w:color="auto" w:fill="auto"/>
            <w:vAlign w:val="bottom"/>
          </w:tcPr>
          <w:p w14:paraId="71D41298" w14:textId="77777777" w:rsidR="006A3667" w:rsidRDefault="006A3667">
            <w:pPr>
              <w:rPr>
                <w:rFonts w:ascii="宋体"/>
                <w:vanish/>
              </w:rPr>
            </w:pPr>
          </w:p>
        </w:tc>
        <w:tc>
          <w:tcPr>
            <w:tcW w:w="0" w:type="auto"/>
            <w:gridSpan w:val="3"/>
            <w:shd w:val="clear" w:color="auto" w:fill="auto"/>
            <w:vAlign w:val="bottom"/>
          </w:tcPr>
          <w:p w14:paraId="71D41299" w14:textId="77777777" w:rsidR="006A3667" w:rsidRDefault="006A3667">
            <w:pPr>
              <w:rPr>
                <w:rFonts w:ascii="宋体"/>
                <w:vanish/>
              </w:rPr>
            </w:pPr>
          </w:p>
        </w:tc>
        <w:tc>
          <w:tcPr>
            <w:tcW w:w="0" w:type="auto"/>
            <w:gridSpan w:val="3"/>
            <w:shd w:val="clear" w:color="auto" w:fill="auto"/>
            <w:vAlign w:val="bottom"/>
          </w:tcPr>
          <w:p w14:paraId="71D4129A" w14:textId="77777777" w:rsidR="006A3667" w:rsidRDefault="006A3667">
            <w:pPr>
              <w:rPr>
                <w:rFonts w:ascii="宋体"/>
                <w:vanish/>
              </w:rPr>
            </w:pPr>
          </w:p>
        </w:tc>
        <w:tc>
          <w:tcPr>
            <w:tcW w:w="0" w:type="auto"/>
            <w:gridSpan w:val="3"/>
            <w:shd w:val="clear" w:color="auto" w:fill="auto"/>
            <w:vAlign w:val="bottom"/>
          </w:tcPr>
          <w:p w14:paraId="71D4129B" w14:textId="77777777" w:rsidR="006A3667" w:rsidRDefault="006A3667">
            <w:pPr>
              <w:rPr>
                <w:rFonts w:ascii="宋体"/>
                <w:vanish/>
              </w:rPr>
            </w:pPr>
          </w:p>
        </w:tc>
        <w:tc>
          <w:tcPr>
            <w:tcW w:w="0" w:type="auto"/>
            <w:gridSpan w:val="3"/>
            <w:shd w:val="clear" w:color="auto" w:fill="auto"/>
            <w:vAlign w:val="bottom"/>
          </w:tcPr>
          <w:p w14:paraId="71D4129C" w14:textId="77777777" w:rsidR="006A3667" w:rsidRDefault="006A3667">
            <w:pPr>
              <w:rPr>
                <w:rFonts w:ascii="宋体"/>
                <w:vanish/>
              </w:rPr>
            </w:pPr>
          </w:p>
        </w:tc>
        <w:tc>
          <w:tcPr>
            <w:tcW w:w="0" w:type="auto"/>
            <w:gridSpan w:val="3"/>
            <w:shd w:val="clear" w:color="auto" w:fill="auto"/>
            <w:vAlign w:val="bottom"/>
          </w:tcPr>
          <w:p w14:paraId="71D4129D" w14:textId="77777777" w:rsidR="006A3667" w:rsidRDefault="006A3667">
            <w:pPr>
              <w:rPr>
                <w:rFonts w:ascii="宋体"/>
                <w:vanish/>
              </w:rPr>
            </w:pPr>
          </w:p>
        </w:tc>
        <w:tc>
          <w:tcPr>
            <w:tcW w:w="0" w:type="auto"/>
            <w:gridSpan w:val="3"/>
            <w:shd w:val="clear" w:color="auto" w:fill="auto"/>
            <w:vAlign w:val="bottom"/>
          </w:tcPr>
          <w:p w14:paraId="71D4129E" w14:textId="77777777" w:rsidR="006A3667" w:rsidRDefault="006A3667">
            <w:pPr>
              <w:rPr>
                <w:rFonts w:ascii="宋体"/>
                <w:vanish/>
              </w:rPr>
            </w:pPr>
          </w:p>
        </w:tc>
        <w:tc>
          <w:tcPr>
            <w:tcW w:w="0" w:type="auto"/>
            <w:gridSpan w:val="3"/>
            <w:shd w:val="clear" w:color="auto" w:fill="auto"/>
            <w:vAlign w:val="bottom"/>
          </w:tcPr>
          <w:p w14:paraId="71D4129F" w14:textId="77777777" w:rsidR="006A3667" w:rsidRDefault="006A3667">
            <w:pPr>
              <w:rPr>
                <w:rFonts w:ascii="宋体"/>
                <w:vanish/>
              </w:rPr>
            </w:pPr>
          </w:p>
        </w:tc>
        <w:tc>
          <w:tcPr>
            <w:tcW w:w="0" w:type="auto"/>
            <w:gridSpan w:val="3"/>
            <w:shd w:val="clear" w:color="auto" w:fill="auto"/>
            <w:vAlign w:val="bottom"/>
          </w:tcPr>
          <w:p w14:paraId="71D412A0" w14:textId="77777777" w:rsidR="006A3667" w:rsidRDefault="006A3667">
            <w:pPr>
              <w:rPr>
                <w:rFonts w:ascii="宋体"/>
                <w:vanish/>
              </w:rPr>
            </w:pPr>
          </w:p>
        </w:tc>
        <w:tc>
          <w:tcPr>
            <w:tcW w:w="0" w:type="auto"/>
            <w:gridSpan w:val="3"/>
            <w:shd w:val="clear" w:color="auto" w:fill="auto"/>
            <w:vAlign w:val="bottom"/>
          </w:tcPr>
          <w:p w14:paraId="71D412A1" w14:textId="77777777" w:rsidR="006A3667" w:rsidRDefault="006A3667">
            <w:pPr>
              <w:rPr>
                <w:rFonts w:ascii="宋体"/>
                <w:vanish/>
              </w:rPr>
            </w:pPr>
          </w:p>
        </w:tc>
        <w:tc>
          <w:tcPr>
            <w:tcW w:w="0" w:type="auto"/>
            <w:gridSpan w:val="3"/>
            <w:shd w:val="clear" w:color="auto" w:fill="auto"/>
            <w:vAlign w:val="bottom"/>
          </w:tcPr>
          <w:p w14:paraId="71D412A2" w14:textId="77777777" w:rsidR="006A3667" w:rsidRDefault="006A3667">
            <w:pPr>
              <w:rPr>
                <w:rFonts w:ascii="宋体"/>
                <w:vanish/>
              </w:rPr>
            </w:pPr>
          </w:p>
        </w:tc>
        <w:tc>
          <w:tcPr>
            <w:tcW w:w="0" w:type="auto"/>
            <w:gridSpan w:val="3"/>
            <w:shd w:val="clear" w:color="auto" w:fill="auto"/>
            <w:vAlign w:val="bottom"/>
          </w:tcPr>
          <w:p w14:paraId="71D412A3" w14:textId="77777777" w:rsidR="006A3667" w:rsidRDefault="006A3667">
            <w:pPr>
              <w:rPr>
                <w:rFonts w:ascii="宋体"/>
                <w:vanish/>
              </w:rPr>
            </w:pPr>
          </w:p>
        </w:tc>
        <w:tc>
          <w:tcPr>
            <w:tcW w:w="0" w:type="auto"/>
            <w:gridSpan w:val="3"/>
            <w:shd w:val="clear" w:color="auto" w:fill="auto"/>
            <w:vAlign w:val="bottom"/>
          </w:tcPr>
          <w:p w14:paraId="71D412A4" w14:textId="77777777" w:rsidR="006A3667" w:rsidRDefault="006A3667">
            <w:pPr>
              <w:rPr>
                <w:rFonts w:ascii="宋体"/>
                <w:vanish/>
              </w:rPr>
            </w:pPr>
          </w:p>
        </w:tc>
        <w:tc>
          <w:tcPr>
            <w:tcW w:w="0" w:type="auto"/>
            <w:gridSpan w:val="3"/>
            <w:shd w:val="clear" w:color="auto" w:fill="auto"/>
            <w:vAlign w:val="bottom"/>
          </w:tcPr>
          <w:p w14:paraId="71D412A5" w14:textId="77777777" w:rsidR="006A3667" w:rsidRDefault="006A3667">
            <w:pPr>
              <w:rPr>
                <w:rFonts w:ascii="宋体"/>
                <w:vanish/>
              </w:rPr>
            </w:pPr>
          </w:p>
        </w:tc>
        <w:tc>
          <w:tcPr>
            <w:tcW w:w="0" w:type="auto"/>
            <w:gridSpan w:val="3"/>
            <w:shd w:val="clear" w:color="auto" w:fill="auto"/>
            <w:vAlign w:val="bottom"/>
          </w:tcPr>
          <w:p w14:paraId="71D412A6" w14:textId="77777777" w:rsidR="006A3667" w:rsidRDefault="006A3667">
            <w:pPr>
              <w:rPr>
                <w:rFonts w:ascii="宋体"/>
                <w:vanish/>
              </w:rPr>
            </w:pPr>
          </w:p>
        </w:tc>
        <w:tc>
          <w:tcPr>
            <w:tcW w:w="0" w:type="auto"/>
            <w:gridSpan w:val="3"/>
            <w:shd w:val="clear" w:color="auto" w:fill="auto"/>
            <w:vAlign w:val="bottom"/>
          </w:tcPr>
          <w:p w14:paraId="71D412A7" w14:textId="77777777" w:rsidR="006A3667" w:rsidRDefault="006A3667">
            <w:pPr>
              <w:rPr>
                <w:rFonts w:ascii="宋体"/>
                <w:vanish/>
              </w:rPr>
            </w:pPr>
          </w:p>
        </w:tc>
        <w:tc>
          <w:tcPr>
            <w:tcW w:w="0" w:type="auto"/>
            <w:shd w:val="clear" w:color="auto" w:fill="auto"/>
            <w:vAlign w:val="bottom"/>
          </w:tcPr>
          <w:p w14:paraId="71D412A8" w14:textId="77777777" w:rsidR="006A3667" w:rsidRDefault="006A3667">
            <w:pPr>
              <w:rPr>
                <w:rFonts w:ascii="宋体"/>
              </w:rPr>
            </w:pPr>
          </w:p>
        </w:tc>
        <w:tc>
          <w:tcPr>
            <w:tcW w:w="0" w:type="auto"/>
            <w:shd w:val="clear" w:color="auto" w:fill="auto"/>
            <w:vAlign w:val="bottom"/>
          </w:tcPr>
          <w:p w14:paraId="71D412A9" w14:textId="77777777" w:rsidR="006A3667" w:rsidRDefault="006A3667">
            <w:pPr>
              <w:rPr>
                <w:rFonts w:ascii="宋体"/>
              </w:rPr>
            </w:pPr>
          </w:p>
        </w:tc>
        <w:tc>
          <w:tcPr>
            <w:tcW w:w="0" w:type="auto"/>
            <w:shd w:val="clear" w:color="auto" w:fill="auto"/>
            <w:vAlign w:val="bottom"/>
          </w:tcPr>
          <w:p w14:paraId="71D412AA" w14:textId="77777777" w:rsidR="006A3667" w:rsidRDefault="006A3667">
            <w:pPr>
              <w:rPr>
                <w:rFonts w:ascii="宋体"/>
              </w:rPr>
            </w:pPr>
          </w:p>
        </w:tc>
        <w:tc>
          <w:tcPr>
            <w:tcW w:w="0" w:type="auto"/>
            <w:shd w:val="clear" w:color="auto" w:fill="auto"/>
            <w:vAlign w:val="bottom"/>
          </w:tcPr>
          <w:p w14:paraId="71D412AB" w14:textId="77777777" w:rsidR="006A3667" w:rsidRDefault="006A3667">
            <w:pPr>
              <w:rPr>
                <w:rFonts w:ascii="宋体"/>
              </w:rPr>
            </w:pPr>
          </w:p>
        </w:tc>
        <w:tc>
          <w:tcPr>
            <w:tcW w:w="0" w:type="auto"/>
            <w:shd w:val="clear" w:color="auto" w:fill="auto"/>
            <w:vAlign w:val="bottom"/>
          </w:tcPr>
          <w:p w14:paraId="71D412AC" w14:textId="77777777" w:rsidR="006A3667" w:rsidRDefault="006A3667">
            <w:pPr>
              <w:rPr>
                <w:rFonts w:ascii="宋体"/>
              </w:rPr>
            </w:pPr>
          </w:p>
        </w:tc>
        <w:tc>
          <w:tcPr>
            <w:tcW w:w="0" w:type="auto"/>
            <w:shd w:val="clear" w:color="auto" w:fill="auto"/>
            <w:vAlign w:val="bottom"/>
          </w:tcPr>
          <w:p w14:paraId="71D412AD" w14:textId="77777777" w:rsidR="006A3667" w:rsidRDefault="006A3667">
            <w:pPr>
              <w:rPr>
                <w:rFonts w:ascii="宋体"/>
              </w:rPr>
            </w:pPr>
          </w:p>
        </w:tc>
      </w:tr>
      <w:tr w:rsidR="006A3667" w14:paraId="71D412C5" w14:textId="77777777">
        <w:trPr>
          <w:hidden/>
        </w:trPr>
        <w:tc>
          <w:tcPr>
            <w:tcW w:w="0" w:type="auto"/>
            <w:gridSpan w:val="3"/>
            <w:shd w:val="clear" w:color="auto" w:fill="auto"/>
            <w:vAlign w:val="bottom"/>
          </w:tcPr>
          <w:p w14:paraId="71D412AF" w14:textId="77777777" w:rsidR="006A3667" w:rsidRDefault="006A3667">
            <w:pPr>
              <w:rPr>
                <w:rFonts w:ascii="宋体"/>
                <w:vanish/>
              </w:rPr>
            </w:pPr>
          </w:p>
        </w:tc>
        <w:tc>
          <w:tcPr>
            <w:tcW w:w="0" w:type="auto"/>
            <w:gridSpan w:val="3"/>
            <w:shd w:val="clear" w:color="auto" w:fill="auto"/>
            <w:vAlign w:val="bottom"/>
          </w:tcPr>
          <w:p w14:paraId="71D412B0" w14:textId="77777777" w:rsidR="006A3667" w:rsidRDefault="006A3667">
            <w:pPr>
              <w:rPr>
                <w:rFonts w:ascii="宋体"/>
                <w:vanish/>
              </w:rPr>
            </w:pPr>
          </w:p>
        </w:tc>
        <w:tc>
          <w:tcPr>
            <w:tcW w:w="0" w:type="auto"/>
            <w:gridSpan w:val="3"/>
            <w:shd w:val="clear" w:color="auto" w:fill="auto"/>
            <w:vAlign w:val="bottom"/>
          </w:tcPr>
          <w:p w14:paraId="71D412B1" w14:textId="77777777" w:rsidR="006A3667" w:rsidRDefault="006A3667">
            <w:pPr>
              <w:rPr>
                <w:rFonts w:ascii="宋体"/>
                <w:vanish/>
              </w:rPr>
            </w:pPr>
          </w:p>
        </w:tc>
        <w:tc>
          <w:tcPr>
            <w:tcW w:w="0" w:type="auto"/>
            <w:gridSpan w:val="3"/>
            <w:shd w:val="clear" w:color="auto" w:fill="auto"/>
            <w:vAlign w:val="bottom"/>
          </w:tcPr>
          <w:p w14:paraId="71D412B2" w14:textId="77777777" w:rsidR="006A3667" w:rsidRDefault="006A3667">
            <w:pPr>
              <w:rPr>
                <w:rFonts w:ascii="宋体"/>
                <w:vanish/>
              </w:rPr>
            </w:pPr>
          </w:p>
        </w:tc>
        <w:tc>
          <w:tcPr>
            <w:tcW w:w="0" w:type="auto"/>
            <w:gridSpan w:val="3"/>
            <w:shd w:val="clear" w:color="auto" w:fill="auto"/>
            <w:vAlign w:val="bottom"/>
          </w:tcPr>
          <w:p w14:paraId="71D412B3" w14:textId="77777777" w:rsidR="006A3667" w:rsidRDefault="006A3667">
            <w:pPr>
              <w:rPr>
                <w:rFonts w:ascii="宋体"/>
                <w:vanish/>
              </w:rPr>
            </w:pPr>
          </w:p>
        </w:tc>
        <w:tc>
          <w:tcPr>
            <w:tcW w:w="0" w:type="auto"/>
            <w:gridSpan w:val="3"/>
            <w:shd w:val="clear" w:color="auto" w:fill="auto"/>
            <w:vAlign w:val="bottom"/>
          </w:tcPr>
          <w:p w14:paraId="71D412B4" w14:textId="77777777" w:rsidR="006A3667" w:rsidRDefault="006A3667">
            <w:pPr>
              <w:rPr>
                <w:rFonts w:ascii="宋体"/>
                <w:vanish/>
              </w:rPr>
            </w:pPr>
          </w:p>
        </w:tc>
        <w:tc>
          <w:tcPr>
            <w:tcW w:w="0" w:type="auto"/>
            <w:gridSpan w:val="3"/>
            <w:shd w:val="clear" w:color="auto" w:fill="auto"/>
            <w:vAlign w:val="bottom"/>
          </w:tcPr>
          <w:p w14:paraId="71D412B5" w14:textId="77777777" w:rsidR="006A3667" w:rsidRDefault="006A3667">
            <w:pPr>
              <w:rPr>
                <w:rFonts w:ascii="宋体"/>
                <w:vanish/>
              </w:rPr>
            </w:pPr>
          </w:p>
        </w:tc>
        <w:tc>
          <w:tcPr>
            <w:tcW w:w="0" w:type="auto"/>
            <w:gridSpan w:val="3"/>
            <w:shd w:val="clear" w:color="auto" w:fill="auto"/>
            <w:vAlign w:val="bottom"/>
          </w:tcPr>
          <w:p w14:paraId="71D412B6" w14:textId="77777777" w:rsidR="006A3667" w:rsidRDefault="006A3667">
            <w:pPr>
              <w:rPr>
                <w:rFonts w:ascii="宋体"/>
                <w:vanish/>
              </w:rPr>
            </w:pPr>
          </w:p>
        </w:tc>
        <w:tc>
          <w:tcPr>
            <w:tcW w:w="0" w:type="auto"/>
            <w:gridSpan w:val="3"/>
            <w:shd w:val="clear" w:color="auto" w:fill="auto"/>
            <w:vAlign w:val="bottom"/>
          </w:tcPr>
          <w:p w14:paraId="71D412B7" w14:textId="77777777" w:rsidR="006A3667" w:rsidRDefault="006A3667">
            <w:pPr>
              <w:rPr>
                <w:rFonts w:ascii="宋体"/>
                <w:vanish/>
              </w:rPr>
            </w:pPr>
          </w:p>
        </w:tc>
        <w:tc>
          <w:tcPr>
            <w:tcW w:w="0" w:type="auto"/>
            <w:gridSpan w:val="3"/>
            <w:shd w:val="clear" w:color="auto" w:fill="auto"/>
            <w:vAlign w:val="bottom"/>
          </w:tcPr>
          <w:p w14:paraId="71D412B8" w14:textId="77777777" w:rsidR="006A3667" w:rsidRDefault="006A3667">
            <w:pPr>
              <w:rPr>
                <w:rFonts w:ascii="宋体"/>
                <w:vanish/>
              </w:rPr>
            </w:pPr>
          </w:p>
        </w:tc>
        <w:tc>
          <w:tcPr>
            <w:tcW w:w="0" w:type="auto"/>
            <w:gridSpan w:val="3"/>
            <w:shd w:val="clear" w:color="auto" w:fill="auto"/>
            <w:vAlign w:val="bottom"/>
          </w:tcPr>
          <w:p w14:paraId="71D412B9" w14:textId="77777777" w:rsidR="006A3667" w:rsidRDefault="006A3667">
            <w:pPr>
              <w:rPr>
                <w:rFonts w:ascii="宋体"/>
                <w:vanish/>
              </w:rPr>
            </w:pPr>
          </w:p>
        </w:tc>
        <w:tc>
          <w:tcPr>
            <w:tcW w:w="0" w:type="auto"/>
            <w:gridSpan w:val="3"/>
            <w:shd w:val="clear" w:color="auto" w:fill="auto"/>
            <w:vAlign w:val="bottom"/>
          </w:tcPr>
          <w:p w14:paraId="71D412BA" w14:textId="77777777" w:rsidR="006A3667" w:rsidRDefault="006A3667">
            <w:pPr>
              <w:rPr>
                <w:rFonts w:ascii="宋体"/>
                <w:vanish/>
              </w:rPr>
            </w:pPr>
          </w:p>
        </w:tc>
        <w:tc>
          <w:tcPr>
            <w:tcW w:w="0" w:type="auto"/>
            <w:gridSpan w:val="3"/>
            <w:shd w:val="clear" w:color="auto" w:fill="auto"/>
            <w:vAlign w:val="bottom"/>
          </w:tcPr>
          <w:p w14:paraId="71D412BB" w14:textId="77777777" w:rsidR="006A3667" w:rsidRDefault="006A3667">
            <w:pPr>
              <w:rPr>
                <w:rFonts w:ascii="宋体"/>
                <w:vanish/>
              </w:rPr>
            </w:pPr>
          </w:p>
        </w:tc>
        <w:tc>
          <w:tcPr>
            <w:tcW w:w="0" w:type="auto"/>
            <w:gridSpan w:val="3"/>
            <w:shd w:val="clear" w:color="auto" w:fill="auto"/>
            <w:vAlign w:val="bottom"/>
          </w:tcPr>
          <w:p w14:paraId="71D412BC" w14:textId="77777777" w:rsidR="006A3667" w:rsidRDefault="006A3667">
            <w:pPr>
              <w:rPr>
                <w:rFonts w:ascii="宋体"/>
                <w:vanish/>
              </w:rPr>
            </w:pPr>
          </w:p>
        </w:tc>
        <w:tc>
          <w:tcPr>
            <w:tcW w:w="0" w:type="auto"/>
            <w:gridSpan w:val="3"/>
            <w:shd w:val="clear" w:color="auto" w:fill="auto"/>
            <w:vAlign w:val="bottom"/>
          </w:tcPr>
          <w:p w14:paraId="71D412BD" w14:textId="77777777" w:rsidR="006A3667" w:rsidRDefault="006A3667">
            <w:pPr>
              <w:rPr>
                <w:rFonts w:ascii="宋体"/>
                <w:vanish/>
              </w:rPr>
            </w:pPr>
          </w:p>
        </w:tc>
        <w:tc>
          <w:tcPr>
            <w:tcW w:w="0" w:type="auto"/>
            <w:gridSpan w:val="3"/>
            <w:shd w:val="clear" w:color="auto" w:fill="auto"/>
            <w:vAlign w:val="bottom"/>
          </w:tcPr>
          <w:p w14:paraId="71D412BE" w14:textId="77777777" w:rsidR="006A3667" w:rsidRDefault="006A3667">
            <w:pPr>
              <w:rPr>
                <w:rFonts w:ascii="宋体"/>
                <w:vanish/>
              </w:rPr>
            </w:pPr>
          </w:p>
        </w:tc>
        <w:tc>
          <w:tcPr>
            <w:tcW w:w="0" w:type="auto"/>
            <w:shd w:val="clear" w:color="auto" w:fill="auto"/>
            <w:vAlign w:val="bottom"/>
          </w:tcPr>
          <w:p w14:paraId="71D412BF" w14:textId="77777777" w:rsidR="006A3667" w:rsidRDefault="006A3667">
            <w:pPr>
              <w:rPr>
                <w:rFonts w:ascii="宋体"/>
              </w:rPr>
            </w:pPr>
          </w:p>
        </w:tc>
        <w:tc>
          <w:tcPr>
            <w:tcW w:w="0" w:type="auto"/>
            <w:shd w:val="clear" w:color="auto" w:fill="auto"/>
            <w:vAlign w:val="bottom"/>
          </w:tcPr>
          <w:p w14:paraId="71D412C0" w14:textId="77777777" w:rsidR="006A3667" w:rsidRDefault="006A3667">
            <w:pPr>
              <w:rPr>
                <w:rFonts w:ascii="宋体"/>
              </w:rPr>
            </w:pPr>
          </w:p>
        </w:tc>
        <w:tc>
          <w:tcPr>
            <w:tcW w:w="0" w:type="auto"/>
            <w:shd w:val="clear" w:color="auto" w:fill="auto"/>
            <w:vAlign w:val="bottom"/>
          </w:tcPr>
          <w:p w14:paraId="71D412C1" w14:textId="77777777" w:rsidR="006A3667" w:rsidRDefault="006A3667">
            <w:pPr>
              <w:rPr>
                <w:rFonts w:ascii="宋体"/>
              </w:rPr>
            </w:pPr>
          </w:p>
        </w:tc>
        <w:tc>
          <w:tcPr>
            <w:tcW w:w="0" w:type="auto"/>
            <w:shd w:val="clear" w:color="auto" w:fill="auto"/>
            <w:vAlign w:val="bottom"/>
          </w:tcPr>
          <w:p w14:paraId="71D412C2" w14:textId="77777777" w:rsidR="006A3667" w:rsidRDefault="006A3667">
            <w:pPr>
              <w:rPr>
                <w:rFonts w:ascii="宋体"/>
              </w:rPr>
            </w:pPr>
          </w:p>
        </w:tc>
        <w:tc>
          <w:tcPr>
            <w:tcW w:w="0" w:type="auto"/>
            <w:shd w:val="clear" w:color="auto" w:fill="auto"/>
            <w:vAlign w:val="bottom"/>
          </w:tcPr>
          <w:p w14:paraId="71D412C3" w14:textId="77777777" w:rsidR="006A3667" w:rsidRDefault="006A3667">
            <w:pPr>
              <w:rPr>
                <w:rFonts w:ascii="宋体"/>
              </w:rPr>
            </w:pPr>
          </w:p>
        </w:tc>
        <w:tc>
          <w:tcPr>
            <w:tcW w:w="0" w:type="auto"/>
            <w:shd w:val="clear" w:color="auto" w:fill="auto"/>
            <w:vAlign w:val="bottom"/>
          </w:tcPr>
          <w:p w14:paraId="71D412C4" w14:textId="77777777" w:rsidR="006A3667" w:rsidRDefault="006A3667">
            <w:pPr>
              <w:rPr>
                <w:rFonts w:ascii="宋体"/>
              </w:rPr>
            </w:pPr>
          </w:p>
        </w:tc>
      </w:tr>
      <w:tr w:rsidR="006A3667" w14:paraId="71D412DE" w14:textId="77777777">
        <w:tc>
          <w:tcPr>
            <w:tcW w:w="0" w:type="auto"/>
            <w:gridSpan w:val="9"/>
            <w:shd w:val="clear" w:color="auto" w:fill="CCEEFF"/>
            <w:tcMar>
              <w:top w:w="40" w:type="dxa"/>
              <w:left w:w="20" w:type="dxa"/>
              <w:bottom w:w="40" w:type="dxa"/>
              <w:right w:w="20" w:type="dxa"/>
            </w:tcMar>
            <w:vAlign w:val="bottom"/>
          </w:tcPr>
          <w:p w14:paraId="71D412C6" w14:textId="77777777" w:rsidR="006A3667" w:rsidRDefault="00045F32">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C7" w14:textId="77777777" w:rsidR="006A3667" w:rsidRDefault="00045F32">
            <w:pPr>
              <w:jc w:val="right"/>
              <w:textAlignment w:val="bottom"/>
            </w:pPr>
            <w:r>
              <w:rPr>
                <w:rFonts w:ascii="Arial" w:eastAsia="宋体" w:hAnsi="Arial" w:cs="Arial"/>
                <w:b/>
                <w:bCs/>
                <w:color w:val="000000"/>
                <w:sz w:val="12"/>
                <w:szCs w:val="12"/>
              </w:rPr>
              <w:t>17,102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C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CA" w14:textId="77777777" w:rsidR="006A3667" w:rsidRDefault="00045F32">
            <w:pPr>
              <w:jc w:val="right"/>
              <w:textAlignment w:val="bottom"/>
            </w:pPr>
            <w:r>
              <w:rPr>
                <w:rFonts w:ascii="Arial" w:eastAsia="宋体" w:hAnsi="Arial" w:cs="Arial"/>
                <w:b/>
                <w:bCs/>
                <w:color w:val="000000"/>
                <w:sz w:val="12"/>
                <w:szCs w:val="12"/>
              </w:rPr>
              <w:t>17,102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C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CD" w14:textId="77777777" w:rsidR="006A3667" w:rsidRDefault="00045F32">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C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D0" w14:textId="77777777" w:rsidR="006A3667" w:rsidRDefault="00045F32">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D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D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D3" w14:textId="77777777" w:rsidR="006A3667" w:rsidRDefault="00045F32">
            <w:pPr>
              <w:jc w:val="right"/>
              <w:textAlignment w:val="bottom"/>
            </w:pPr>
            <w:r>
              <w:rPr>
                <w:rFonts w:ascii="Arial" w:eastAsia="宋体" w:hAnsi="Arial" w:cs="Arial"/>
                <w:b/>
                <w:bCs/>
                <w:color w:val="000000"/>
                <w:sz w:val="12"/>
                <w:szCs w:val="12"/>
              </w:rPr>
              <w:t>18,687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D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D6" w14:textId="77777777" w:rsidR="006A3667" w:rsidRDefault="00045F32">
            <w:pPr>
              <w:jc w:val="right"/>
              <w:textAlignment w:val="bottom"/>
            </w:pPr>
            <w:r>
              <w:rPr>
                <w:rFonts w:ascii="Arial" w:eastAsia="宋体" w:hAnsi="Arial" w:cs="Arial"/>
                <w:b/>
                <w:bCs/>
                <w:color w:val="000000"/>
                <w:sz w:val="12"/>
                <w:szCs w:val="12"/>
              </w:rPr>
              <w:t>18,687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D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D9" w14:textId="77777777" w:rsidR="006A3667" w:rsidRDefault="00045F32">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2D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2DC" w14:textId="77777777" w:rsidR="006A3667" w:rsidRDefault="00045F32">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2DD" w14:textId="77777777" w:rsidR="006A3667" w:rsidRDefault="006A3667">
            <w:pPr>
              <w:jc w:val="right"/>
              <w:rPr>
                <w:rFonts w:ascii="宋体"/>
              </w:rPr>
            </w:pPr>
          </w:p>
        </w:tc>
      </w:tr>
      <w:tr w:rsidR="006A3667" w14:paraId="71D412F7" w14:textId="77777777">
        <w:tc>
          <w:tcPr>
            <w:tcW w:w="0" w:type="auto"/>
            <w:gridSpan w:val="9"/>
            <w:shd w:val="clear" w:color="auto" w:fill="FFFFFF"/>
            <w:tcMar>
              <w:top w:w="40" w:type="dxa"/>
              <w:left w:w="245" w:type="dxa"/>
              <w:bottom w:w="40" w:type="dxa"/>
              <w:right w:w="20" w:type="dxa"/>
            </w:tcMar>
            <w:vAlign w:val="bottom"/>
          </w:tcPr>
          <w:p w14:paraId="71D412DF" w14:textId="77777777" w:rsidR="006A3667" w:rsidRDefault="00045F32">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2E0" w14:textId="77777777" w:rsidR="006A3667" w:rsidRDefault="00045F32">
            <w:pPr>
              <w:jc w:val="right"/>
              <w:textAlignment w:val="bottom"/>
            </w:pPr>
            <w:r>
              <w:rPr>
                <w:rFonts w:ascii="Arial" w:eastAsia="宋体" w:hAnsi="Arial" w:cs="Arial"/>
                <w:b/>
                <w:bCs/>
                <w:color w:val="000000"/>
                <w:sz w:val="12"/>
                <w:szCs w:val="12"/>
              </w:rPr>
              <w:t>1,380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2E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E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2E3" w14:textId="77777777" w:rsidR="006A3667" w:rsidRDefault="00045F32">
            <w:pPr>
              <w:jc w:val="right"/>
              <w:textAlignment w:val="bottom"/>
            </w:pPr>
            <w:r>
              <w:rPr>
                <w:rFonts w:ascii="Arial" w:eastAsia="宋体" w:hAnsi="Arial" w:cs="Arial"/>
                <w:b/>
                <w:bCs/>
                <w:color w:val="000000"/>
                <w:sz w:val="12"/>
                <w:szCs w:val="12"/>
              </w:rPr>
              <w:t>1,380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2E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E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2E6" w14:textId="77777777" w:rsidR="006A3667" w:rsidRDefault="00045F32">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2E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E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2E9" w14:textId="77777777" w:rsidR="006A3667" w:rsidRDefault="00045F32">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2E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E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2EC" w14:textId="77777777" w:rsidR="006A3667" w:rsidRDefault="00045F32">
            <w:pPr>
              <w:jc w:val="right"/>
              <w:textAlignment w:val="bottom"/>
            </w:pPr>
            <w:r>
              <w:rPr>
                <w:rFonts w:ascii="Arial" w:eastAsia="宋体" w:hAnsi="Arial" w:cs="Arial"/>
                <w:b/>
                <w:bCs/>
                <w:color w:val="000000"/>
                <w:sz w:val="12"/>
                <w:szCs w:val="12"/>
              </w:rPr>
              <w:t>544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2E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E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2EF" w14:textId="77777777" w:rsidR="006A3667" w:rsidRDefault="00045F32">
            <w:pPr>
              <w:jc w:val="right"/>
              <w:textAlignment w:val="bottom"/>
            </w:pPr>
            <w:r>
              <w:rPr>
                <w:rFonts w:ascii="Arial" w:eastAsia="宋体" w:hAnsi="Arial" w:cs="Arial"/>
                <w:b/>
                <w:bCs/>
                <w:color w:val="000000"/>
                <w:sz w:val="12"/>
                <w:szCs w:val="12"/>
              </w:rPr>
              <w:t>544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2F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F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2F2" w14:textId="77777777" w:rsidR="006A3667" w:rsidRDefault="00045F32">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2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2F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2F5" w14:textId="77777777" w:rsidR="006A3667" w:rsidRDefault="00045F32">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2F6" w14:textId="77777777" w:rsidR="006A3667" w:rsidRDefault="006A3667">
            <w:pPr>
              <w:jc w:val="right"/>
              <w:rPr>
                <w:rFonts w:ascii="宋体"/>
              </w:rPr>
            </w:pPr>
          </w:p>
        </w:tc>
      </w:tr>
      <w:tr w:rsidR="006A3667" w14:paraId="71D4130E" w14:textId="77777777">
        <w:trPr>
          <w:hidden/>
        </w:trPr>
        <w:tc>
          <w:tcPr>
            <w:tcW w:w="0" w:type="auto"/>
            <w:gridSpan w:val="3"/>
            <w:shd w:val="clear" w:color="auto" w:fill="auto"/>
            <w:vAlign w:val="bottom"/>
          </w:tcPr>
          <w:p w14:paraId="71D412F8" w14:textId="77777777" w:rsidR="006A3667" w:rsidRDefault="006A3667">
            <w:pPr>
              <w:rPr>
                <w:rFonts w:ascii="宋体"/>
                <w:vanish/>
              </w:rPr>
            </w:pPr>
          </w:p>
        </w:tc>
        <w:tc>
          <w:tcPr>
            <w:tcW w:w="0" w:type="auto"/>
            <w:gridSpan w:val="3"/>
            <w:shd w:val="clear" w:color="auto" w:fill="auto"/>
            <w:vAlign w:val="bottom"/>
          </w:tcPr>
          <w:p w14:paraId="71D412F9" w14:textId="77777777" w:rsidR="006A3667" w:rsidRDefault="006A3667">
            <w:pPr>
              <w:rPr>
                <w:rFonts w:ascii="宋体"/>
                <w:vanish/>
              </w:rPr>
            </w:pPr>
          </w:p>
        </w:tc>
        <w:tc>
          <w:tcPr>
            <w:tcW w:w="0" w:type="auto"/>
            <w:gridSpan w:val="3"/>
            <w:shd w:val="clear" w:color="auto" w:fill="auto"/>
            <w:vAlign w:val="bottom"/>
          </w:tcPr>
          <w:p w14:paraId="71D412FA" w14:textId="77777777" w:rsidR="006A3667" w:rsidRDefault="006A3667">
            <w:pPr>
              <w:rPr>
                <w:rFonts w:ascii="宋体"/>
                <w:vanish/>
              </w:rPr>
            </w:pPr>
          </w:p>
        </w:tc>
        <w:tc>
          <w:tcPr>
            <w:tcW w:w="0" w:type="auto"/>
            <w:gridSpan w:val="3"/>
            <w:shd w:val="clear" w:color="auto" w:fill="auto"/>
            <w:vAlign w:val="bottom"/>
          </w:tcPr>
          <w:p w14:paraId="71D412FB" w14:textId="77777777" w:rsidR="006A3667" w:rsidRDefault="006A3667">
            <w:pPr>
              <w:rPr>
                <w:rFonts w:ascii="宋体"/>
                <w:vanish/>
              </w:rPr>
            </w:pPr>
          </w:p>
        </w:tc>
        <w:tc>
          <w:tcPr>
            <w:tcW w:w="0" w:type="auto"/>
            <w:gridSpan w:val="3"/>
            <w:shd w:val="clear" w:color="auto" w:fill="auto"/>
            <w:vAlign w:val="bottom"/>
          </w:tcPr>
          <w:p w14:paraId="71D412FC" w14:textId="77777777" w:rsidR="006A3667" w:rsidRDefault="006A3667">
            <w:pPr>
              <w:rPr>
                <w:rFonts w:ascii="宋体"/>
                <w:vanish/>
              </w:rPr>
            </w:pPr>
          </w:p>
        </w:tc>
        <w:tc>
          <w:tcPr>
            <w:tcW w:w="0" w:type="auto"/>
            <w:gridSpan w:val="3"/>
            <w:shd w:val="clear" w:color="auto" w:fill="auto"/>
            <w:vAlign w:val="bottom"/>
          </w:tcPr>
          <w:p w14:paraId="71D412FD" w14:textId="77777777" w:rsidR="006A3667" w:rsidRDefault="006A3667">
            <w:pPr>
              <w:rPr>
                <w:rFonts w:ascii="宋体"/>
                <w:vanish/>
              </w:rPr>
            </w:pPr>
          </w:p>
        </w:tc>
        <w:tc>
          <w:tcPr>
            <w:tcW w:w="0" w:type="auto"/>
            <w:gridSpan w:val="3"/>
            <w:shd w:val="clear" w:color="auto" w:fill="auto"/>
            <w:vAlign w:val="bottom"/>
          </w:tcPr>
          <w:p w14:paraId="71D412FE" w14:textId="77777777" w:rsidR="006A3667" w:rsidRDefault="006A3667">
            <w:pPr>
              <w:rPr>
                <w:rFonts w:ascii="宋体"/>
                <w:vanish/>
              </w:rPr>
            </w:pPr>
          </w:p>
        </w:tc>
        <w:tc>
          <w:tcPr>
            <w:tcW w:w="0" w:type="auto"/>
            <w:gridSpan w:val="3"/>
            <w:shd w:val="clear" w:color="auto" w:fill="auto"/>
            <w:vAlign w:val="bottom"/>
          </w:tcPr>
          <w:p w14:paraId="71D412FF" w14:textId="77777777" w:rsidR="006A3667" w:rsidRDefault="006A3667">
            <w:pPr>
              <w:rPr>
                <w:rFonts w:ascii="宋体"/>
                <w:vanish/>
              </w:rPr>
            </w:pPr>
          </w:p>
        </w:tc>
        <w:tc>
          <w:tcPr>
            <w:tcW w:w="0" w:type="auto"/>
            <w:gridSpan w:val="3"/>
            <w:shd w:val="clear" w:color="auto" w:fill="auto"/>
            <w:vAlign w:val="bottom"/>
          </w:tcPr>
          <w:p w14:paraId="71D41300" w14:textId="77777777" w:rsidR="006A3667" w:rsidRDefault="006A3667">
            <w:pPr>
              <w:rPr>
                <w:rFonts w:ascii="宋体"/>
                <w:vanish/>
              </w:rPr>
            </w:pPr>
          </w:p>
        </w:tc>
        <w:tc>
          <w:tcPr>
            <w:tcW w:w="0" w:type="auto"/>
            <w:gridSpan w:val="3"/>
            <w:shd w:val="clear" w:color="auto" w:fill="auto"/>
            <w:vAlign w:val="bottom"/>
          </w:tcPr>
          <w:p w14:paraId="71D41301" w14:textId="77777777" w:rsidR="006A3667" w:rsidRDefault="006A3667">
            <w:pPr>
              <w:rPr>
                <w:rFonts w:ascii="宋体"/>
                <w:vanish/>
              </w:rPr>
            </w:pPr>
          </w:p>
        </w:tc>
        <w:tc>
          <w:tcPr>
            <w:tcW w:w="0" w:type="auto"/>
            <w:gridSpan w:val="3"/>
            <w:shd w:val="clear" w:color="auto" w:fill="auto"/>
            <w:vAlign w:val="bottom"/>
          </w:tcPr>
          <w:p w14:paraId="71D41302" w14:textId="77777777" w:rsidR="006A3667" w:rsidRDefault="006A3667">
            <w:pPr>
              <w:rPr>
                <w:rFonts w:ascii="宋体"/>
                <w:vanish/>
              </w:rPr>
            </w:pPr>
          </w:p>
        </w:tc>
        <w:tc>
          <w:tcPr>
            <w:tcW w:w="0" w:type="auto"/>
            <w:gridSpan w:val="3"/>
            <w:shd w:val="clear" w:color="auto" w:fill="auto"/>
            <w:vAlign w:val="bottom"/>
          </w:tcPr>
          <w:p w14:paraId="71D41303" w14:textId="77777777" w:rsidR="006A3667" w:rsidRDefault="006A3667">
            <w:pPr>
              <w:rPr>
                <w:rFonts w:ascii="宋体"/>
                <w:vanish/>
              </w:rPr>
            </w:pPr>
          </w:p>
        </w:tc>
        <w:tc>
          <w:tcPr>
            <w:tcW w:w="0" w:type="auto"/>
            <w:gridSpan w:val="3"/>
            <w:shd w:val="clear" w:color="auto" w:fill="auto"/>
            <w:vAlign w:val="bottom"/>
          </w:tcPr>
          <w:p w14:paraId="71D41304" w14:textId="77777777" w:rsidR="006A3667" w:rsidRDefault="006A3667">
            <w:pPr>
              <w:rPr>
                <w:rFonts w:ascii="宋体"/>
                <w:vanish/>
              </w:rPr>
            </w:pPr>
          </w:p>
        </w:tc>
        <w:tc>
          <w:tcPr>
            <w:tcW w:w="0" w:type="auto"/>
            <w:gridSpan w:val="3"/>
            <w:shd w:val="clear" w:color="auto" w:fill="auto"/>
            <w:vAlign w:val="bottom"/>
          </w:tcPr>
          <w:p w14:paraId="71D41305" w14:textId="77777777" w:rsidR="006A3667" w:rsidRDefault="006A3667">
            <w:pPr>
              <w:rPr>
                <w:rFonts w:ascii="宋体"/>
                <w:vanish/>
              </w:rPr>
            </w:pPr>
          </w:p>
        </w:tc>
        <w:tc>
          <w:tcPr>
            <w:tcW w:w="0" w:type="auto"/>
            <w:gridSpan w:val="3"/>
            <w:shd w:val="clear" w:color="auto" w:fill="auto"/>
            <w:vAlign w:val="bottom"/>
          </w:tcPr>
          <w:p w14:paraId="71D41306" w14:textId="77777777" w:rsidR="006A3667" w:rsidRDefault="006A3667">
            <w:pPr>
              <w:rPr>
                <w:rFonts w:ascii="宋体"/>
                <w:vanish/>
              </w:rPr>
            </w:pPr>
          </w:p>
        </w:tc>
        <w:tc>
          <w:tcPr>
            <w:tcW w:w="0" w:type="auto"/>
            <w:gridSpan w:val="3"/>
            <w:shd w:val="clear" w:color="auto" w:fill="auto"/>
            <w:vAlign w:val="bottom"/>
          </w:tcPr>
          <w:p w14:paraId="71D41307" w14:textId="77777777" w:rsidR="006A3667" w:rsidRDefault="006A3667">
            <w:pPr>
              <w:rPr>
                <w:rFonts w:ascii="宋体"/>
                <w:vanish/>
              </w:rPr>
            </w:pPr>
          </w:p>
        </w:tc>
        <w:tc>
          <w:tcPr>
            <w:tcW w:w="0" w:type="auto"/>
            <w:shd w:val="clear" w:color="auto" w:fill="auto"/>
            <w:vAlign w:val="bottom"/>
          </w:tcPr>
          <w:p w14:paraId="71D41308" w14:textId="77777777" w:rsidR="006A3667" w:rsidRDefault="006A3667">
            <w:pPr>
              <w:rPr>
                <w:rFonts w:ascii="宋体"/>
              </w:rPr>
            </w:pPr>
          </w:p>
        </w:tc>
        <w:tc>
          <w:tcPr>
            <w:tcW w:w="0" w:type="auto"/>
            <w:shd w:val="clear" w:color="auto" w:fill="auto"/>
            <w:vAlign w:val="bottom"/>
          </w:tcPr>
          <w:p w14:paraId="71D41309" w14:textId="77777777" w:rsidR="006A3667" w:rsidRDefault="006A3667">
            <w:pPr>
              <w:rPr>
                <w:rFonts w:ascii="宋体"/>
              </w:rPr>
            </w:pPr>
          </w:p>
        </w:tc>
        <w:tc>
          <w:tcPr>
            <w:tcW w:w="0" w:type="auto"/>
            <w:shd w:val="clear" w:color="auto" w:fill="auto"/>
            <w:vAlign w:val="bottom"/>
          </w:tcPr>
          <w:p w14:paraId="71D4130A" w14:textId="77777777" w:rsidR="006A3667" w:rsidRDefault="006A3667">
            <w:pPr>
              <w:rPr>
                <w:rFonts w:ascii="宋体"/>
              </w:rPr>
            </w:pPr>
          </w:p>
        </w:tc>
        <w:tc>
          <w:tcPr>
            <w:tcW w:w="0" w:type="auto"/>
            <w:shd w:val="clear" w:color="auto" w:fill="auto"/>
            <w:vAlign w:val="bottom"/>
          </w:tcPr>
          <w:p w14:paraId="71D4130B" w14:textId="77777777" w:rsidR="006A3667" w:rsidRDefault="006A3667">
            <w:pPr>
              <w:rPr>
                <w:rFonts w:ascii="宋体"/>
              </w:rPr>
            </w:pPr>
          </w:p>
        </w:tc>
        <w:tc>
          <w:tcPr>
            <w:tcW w:w="0" w:type="auto"/>
            <w:shd w:val="clear" w:color="auto" w:fill="auto"/>
            <w:vAlign w:val="bottom"/>
          </w:tcPr>
          <w:p w14:paraId="71D4130C" w14:textId="77777777" w:rsidR="006A3667" w:rsidRDefault="006A3667">
            <w:pPr>
              <w:rPr>
                <w:rFonts w:ascii="宋体"/>
              </w:rPr>
            </w:pPr>
          </w:p>
        </w:tc>
        <w:tc>
          <w:tcPr>
            <w:tcW w:w="0" w:type="auto"/>
            <w:shd w:val="clear" w:color="auto" w:fill="auto"/>
            <w:vAlign w:val="bottom"/>
          </w:tcPr>
          <w:p w14:paraId="71D4130D" w14:textId="77777777" w:rsidR="006A3667" w:rsidRDefault="006A3667">
            <w:pPr>
              <w:rPr>
                <w:rFonts w:ascii="宋体"/>
              </w:rPr>
            </w:pPr>
          </w:p>
        </w:tc>
      </w:tr>
      <w:tr w:rsidR="006A3667" w14:paraId="71D41327" w14:textId="77777777">
        <w:tc>
          <w:tcPr>
            <w:tcW w:w="0" w:type="auto"/>
            <w:gridSpan w:val="9"/>
            <w:shd w:val="clear" w:color="auto" w:fill="CCEEFF"/>
            <w:tcMar>
              <w:top w:w="40" w:type="dxa"/>
              <w:left w:w="245" w:type="dxa"/>
              <w:bottom w:w="40" w:type="dxa"/>
              <w:right w:w="20" w:type="dxa"/>
            </w:tcMar>
            <w:vAlign w:val="bottom"/>
          </w:tcPr>
          <w:p w14:paraId="71D4130F" w14:textId="77777777" w:rsidR="006A3667" w:rsidRDefault="00045F32">
            <w:pPr>
              <w:textAlignment w:val="bottom"/>
            </w:pPr>
            <w:r>
              <w:rPr>
                <w:rFonts w:ascii="Arial" w:eastAsia="宋体" w:hAnsi="Arial" w:cs="Arial"/>
                <w:color w:val="000000"/>
                <w:sz w:val="12"/>
                <w:szCs w:val="12"/>
              </w:rPr>
              <w:t>Adjusted allowance for credit losses</w:t>
            </w:r>
          </w:p>
        </w:tc>
        <w:tc>
          <w:tcPr>
            <w:tcW w:w="0" w:type="auto"/>
            <w:gridSpan w:val="2"/>
            <w:shd w:val="clear" w:color="auto" w:fill="CCEEFF"/>
            <w:tcMar>
              <w:top w:w="40" w:type="dxa"/>
              <w:left w:w="20" w:type="dxa"/>
              <w:bottom w:w="40" w:type="dxa"/>
              <w:right w:w="0" w:type="dxa"/>
            </w:tcMar>
            <w:vAlign w:val="bottom"/>
          </w:tcPr>
          <w:p w14:paraId="71D41310"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3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1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13" w14:textId="77777777" w:rsidR="006A3667" w:rsidRDefault="00045F32">
            <w:pPr>
              <w:jc w:val="right"/>
              <w:textAlignment w:val="bottom"/>
            </w:pPr>
            <w:r>
              <w:rPr>
                <w:rFonts w:ascii="Arial" w:eastAsia="宋体" w:hAnsi="Arial" w:cs="Arial"/>
                <w:b/>
                <w:bCs/>
                <w:color w:val="000000"/>
                <w:sz w:val="12"/>
                <w:szCs w:val="12"/>
              </w:rPr>
              <w:t>112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31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1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16"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31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1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19" w14:textId="77777777" w:rsidR="006A3667" w:rsidRDefault="00045F32">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71D413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1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1C"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3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1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1F" w14:textId="77777777" w:rsidR="006A3667" w:rsidRDefault="00045F32">
            <w:pPr>
              <w:jc w:val="right"/>
              <w:textAlignment w:val="bottom"/>
            </w:pPr>
            <w:r>
              <w:rPr>
                <w:rFonts w:ascii="Arial" w:eastAsia="宋体" w:hAnsi="Arial" w:cs="Arial"/>
                <w:b/>
                <w:bCs/>
                <w:color w:val="000000"/>
                <w:sz w:val="12"/>
                <w:szCs w:val="12"/>
              </w:rPr>
              <w:t>112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3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2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22"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3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2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25" w14:textId="77777777" w:rsidR="006A3667" w:rsidRDefault="00045F32">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71D41326" w14:textId="77777777" w:rsidR="006A3667" w:rsidRDefault="006A3667">
            <w:pPr>
              <w:jc w:val="right"/>
              <w:rPr>
                <w:rFonts w:ascii="宋体"/>
              </w:rPr>
            </w:pPr>
          </w:p>
        </w:tc>
      </w:tr>
      <w:tr w:rsidR="006A3667" w14:paraId="71D4133E" w14:textId="77777777">
        <w:trPr>
          <w:hidden/>
        </w:trPr>
        <w:tc>
          <w:tcPr>
            <w:tcW w:w="0" w:type="auto"/>
            <w:gridSpan w:val="3"/>
            <w:shd w:val="clear" w:color="auto" w:fill="auto"/>
            <w:vAlign w:val="bottom"/>
          </w:tcPr>
          <w:p w14:paraId="71D41328" w14:textId="77777777" w:rsidR="006A3667" w:rsidRDefault="006A3667">
            <w:pPr>
              <w:rPr>
                <w:rFonts w:ascii="宋体"/>
                <w:vanish/>
              </w:rPr>
            </w:pPr>
          </w:p>
        </w:tc>
        <w:tc>
          <w:tcPr>
            <w:tcW w:w="0" w:type="auto"/>
            <w:gridSpan w:val="3"/>
            <w:shd w:val="clear" w:color="auto" w:fill="auto"/>
            <w:vAlign w:val="bottom"/>
          </w:tcPr>
          <w:p w14:paraId="71D41329" w14:textId="77777777" w:rsidR="006A3667" w:rsidRDefault="006A3667">
            <w:pPr>
              <w:rPr>
                <w:rFonts w:ascii="宋体"/>
                <w:vanish/>
              </w:rPr>
            </w:pPr>
          </w:p>
        </w:tc>
        <w:tc>
          <w:tcPr>
            <w:tcW w:w="0" w:type="auto"/>
            <w:gridSpan w:val="3"/>
            <w:shd w:val="clear" w:color="auto" w:fill="auto"/>
            <w:vAlign w:val="bottom"/>
          </w:tcPr>
          <w:p w14:paraId="71D4132A" w14:textId="77777777" w:rsidR="006A3667" w:rsidRDefault="006A3667">
            <w:pPr>
              <w:rPr>
                <w:rFonts w:ascii="宋体"/>
                <w:vanish/>
              </w:rPr>
            </w:pPr>
          </w:p>
        </w:tc>
        <w:tc>
          <w:tcPr>
            <w:tcW w:w="0" w:type="auto"/>
            <w:gridSpan w:val="3"/>
            <w:shd w:val="clear" w:color="auto" w:fill="auto"/>
            <w:vAlign w:val="bottom"/>
          </w:tcPr>
          <w:p w14:paraId="71D4132B" w14:textId="77777777" w:rsidR="006A3667" w:rsidRDefault="006A3667">
            <w:pPr>
              <w:rPr>
                <w:rFonts w:ascii="宋体"/>
                <w:vanish/>
              </w:rPr>
            </w:pPr>
          </w:p>
        </w:tc>
        <w:tc>
          <w:tcPr>
            <w:tcW w:w="0" w:type="auto"/>
            <w:gridSpan w:val="3"/>
            <w:shd w:val="clear" w:color="auto" w:fill="auto"/>
            <w:vAlign w:val="bottom"/>
          </w:tcPr>
          <w:p w14:paraId="71D4132C" w14:textId="77777777" w:rsidR="006A3667" w:rsidRDefault="006A3667">
            <w:pPr>
              <w:rPr>
                <w:rFonts w:ascii="宋体"/>
                <w:vanish/>
              </w:rPr>
            </w:pPr>
          </w:p>
        </w:tc>
        <w:tc>
          <w:tcPr>
            <w:tcW w:w="0" w:type="auto"/>
            <w:gridSpan w:val="3"/>
            <w:shd w:val="clear" w:color="auto" w:fill="auto"/>
            <w:vAlign w:val="bottom"/>
          </w:tcPr>
          <w:p w14:paraId="71D4132D" w14:textId="77777777" w:rsidR="006A3667" w:rsidRDefault="006A3667">
            <w:pPr>
              <w:rPr>
                <w:rFonts w:ascii="宋体"/>
                <w:vanish/>
              </w:rPr>
            </w:pPr>
          </w:p>
        </w:tc>
        <w:tc>
          <w:tcPr>
            <w:tcW w:w="0" w:type="auto"/>
            <w:gridSpan w:val="3"/>
            <w:shd w:val="clear" w:color="auto" w:fill="auto"/>
            <w:vAlign w:val="bottom"/>
          </w:tcPr>
          <w:p w14:paraId="71D4132E" w14:textId="77777777" w:rsidR="006A3667" w:rsidRDefault="006A3667">
            <w:pPr>
              <w:rPr>
                <w:rFonts w:ascii="宋体"/>
                <w:vanish/>
              </w:rPr>
            </w:pPr>
          </w:p>
        </w:tc>
        <w:tc>
          <w:tcPr>
            <w:tcW w:w="0" w:type="auto"/>
            <w:gridSpan w:val="3"/>
            <w:shd w:val="clear" w:color="auto" w:fill="auto"/>
            <w:vAlign w:val="bottom"/>
          </w:tcPr>
          <w:p w14:paraId="71D4132F" w14:textId="77777777" w:rsidR="006A3667" w:rsidRDefault="006A3667">
            <w:pPr>
              <w:rPr>
                <w:rFonts w:ascii="宋体"/>
                <w:vanish/>
              </w:rPr>
            </w:pPr>
          </w:p>
        </w:tc>
        <w:tc>
          <w:tcPr>
            <w:tcW w:w="0" w:type="auto"/>
            <w:gridSpan w:val="3"/>
            <w:shd w:val="clear" w:color="auto" w:fill="auto"/>
            <w:vAlign w:val="bottom"/>
          </w:tcPr>
          <w:p w14:paraId="71D41330" w14:textId="77777777" w:rsidR="006A3667" w:rsidRDefault="006A3667">
            <w:pPr>
              <w:rPr>
                <w:rFonts w:ascii="宋体"/>
                <w:vanish/>
              </w:rPr>
            </w:pPr>
          </w:p>
        </w:tc>
        <w:tc>
          <w:tcPr>
            <w:tcW w:w="0" w:type="auto"/>
            <w:gridSpan w:val="3"/>
            <w:shd w:val="clear" w:color="auto" w:fill="auto"/>
            <w:vAlign w:val="bottom"/>
          </w:tcPr>
          <w:p w14:paraId="71D41331" w14:textId="77777777" w:rsidR="006A3667" w:rsidRDefault="006A3667">
            <w:pPr>
              <w:rPr>
                <w:rFonts w:ascii="宋体"/>
                <w:vanish/>
              </w:rPr>
            </w:pPr>
          </w:p>
        </w:tc>
        <w:tc>
          <w:tcPr>
            <w:tcW w:w="0" w:type="auto"/>
            <w:gridSpan w:val="3"/>
            <w:shd w:val="clear" w:color="auto" w:fill="auto"/>
            <w:vAlign w:val="bottom"/>
          </w:tcPr>
          <w:p w14:paraId="71D41332" w14:textId="77777777" w:rsidR="006A3667" w:rsidRDefault="006A3667">
            <w:pPr>
              <w:rPr>
                <w:rFonts w:ascii="宋体"/>
                <w:vanish/>
              </w:rPr>
            </w:pPr>
          </w:p>
        </w:tc>
        <w:tc>
          <w:tcPr>
            <w:tcW w:w="0" w:type="auto"/>
            <w:gridSpan w:val="3"/>
            <w:shd w:val="clear" w:color="auto" w:fill="auto"/>
            <w:vAlign w:val="bottom"/>
          </w:tcPr>
          <w:p w14:paraId="71D41333" w14:textId="77777777" w:rsidR="006A3667" w:rsidRDefault="006A3667">
            <w:pPr>
              <w:rPr>
                <w:rFonts w:ascii="宋体"/>
                <w:vanish/>
              </w:rPr>
            </w:pPr>
          </w:p>
        </w:tc>
        <w:tc>
          <w:tcPr>
            <w:tcW w:w="0" w:type="auto"/>
            <w:gridSpan w:val="3"/>
            <w:shd w:val="clear" w:color="auto" w:fill="auto"/>
            <w:vAlign w:val="bottom"/>
          </w:tcPr>
          <w:p w14:paraId="71D41334" w14:textId="77777777" w:rsidR="006A3667" w:rsidRDefault="006A3667">
            <w:pPr>
              <w:rPr>
                <w:rFonts w:ascii="宋体"/>
                <w:vanish/>
              </w:rPr>
            </w:pPr>
          </w:p>
        </w:tc>
        <w:tc>
          <w:tcPr>
            <w:tcW w:w="0" w:type="auto"/>
            <w:gridSpan w:val="3"/>
            <w:shd w:val="clear" w:color="auto" w:fill="auto"/>
            <w:vAlign w:val="bottom"/>
          </w:tcPr>
          <w:p w14:paraId="71D41335" w14:textId="77777777" w:rsidR="006A3667" w:rsidRDefault="006A3667">
            <w:pPr>
              <w:rPr>
                <w:rFonts w:ascii="宋体"/>
                <w:vanish/>
              </w:rPr>
            </w:pPr>
          </w:p>
        </w:tc>
        <w:tc>
          <w:tcPr>
            <w:tcW w:w="0" w:type="auto"/>
            <w:gridSpan w:val="3"/>
            <w:shd w:val="clear" w:color="auto" w:fill="auto"/>
            <w:vAlign w:val="bottom"/>
          </w:tcPr>
          <w:p w14:paraId="71D41336" w14:textId="77777777" w:rsidR="006A3667" w:rsidRDefault="006A3667">
            <w:pPr>
              <w:rPr>
                <w:rFonts w:ascii="宋体"/>
                <w:vanish/>
              </w:rPr>
            </w:pPr>
          </w:p>
        </w:tc>
        <w:tc>
          <w:tcPr>
            <w:tcW w:w="0" w:type="auto"/>
            <w:gridSpan w:val="3"/>
            <w:shd w:val="clear" w:color="auto" w:fill="auto"/>
            <w:vAlign w:val="bottom"/>
          </w:tcPr>
          <w:p w14:paraId="71D41337" w14:textId="77777777" w:rsidR="006A3667" w:rsidRDefault="006A3667">
            <w:pPr>
              <w:rPr>
                <w:rFonts w:ascii="宋体"/>
                <w:vanish/>
              </w:rPr>
            </w:pPr>
          </w:p>
        </w:tc>
        <w:tc>
          <w:tcPr>
            <w:tcW w:w="0" w:type="auto"/>
            <w:shd w:val="clear" w:color="auto" w:fill="auto"/>
            <w:vAlign w:val="bottom"/>
          </w:tcPr>
          <w:p w14:paraId="71D41338" w14:textId="77777777" w:rsidR="006A3667" w:rsidRDefault="006A3667">
            <w:pPr>
              <w:rPr>
                <w:rFonts w:ascii="宋体"/>
              </w:rPr>
            </w:pPr>
          </w:p>
        </w:tc>
        <w:tc>
          <w:tcPr>
            <w:tcW w:w="0" w:type="auto"/>
            <w:shd w:val="clear" w:color="auto" w:fill="auto"/>
            <w:vAlign w:val="bottom"/>
          </w:tcPr>
          <w:p w14:paraId="71D41339" w14:textId="77777777" w:rsidR="006A3667" w:rsidRDefault="006A3667">
            <w:pPr>
              <w:rPr>
                <w:rFonts w:ascii="宋体"/>
              </w:rPr>
            </w:pPr>
          </w:p>
        </w:tc>
        <w:tc>
          <w:tcPr>
            <w:tcW w:w="0" w:type="auto"/>
            <w:shd w:val="clear" w:color="auto" w:fill="auto"/>
            <w:vAlign w:val="bottom"/>
          </w:tcPr>
          <w:p w14:paraId="71D4133A" w14:textId="77777777" w:rsidR="006A3667" w:rsidRDefault="006A3667">
            <w:pPr>
              <w:rPr>
                <w:rFonts w:ascii="宋体"/>
              </w:rPr>
            </w:pPr>
          </w:p>
        </w:tc>
        <w:tc>
          <w:tcPr>
            <w:tcW w:w="0" w:type="auto"/>
            <w:shd w:val="clear" w:color="auto" w:fill="auto"/>
            <w:vAlign w:val="bottom"/>
          </w:tcPr>
          <w:p w14:paraId="71D4133B" w14:textId="77777777" w:rsidR="006A3667" w:rsidRDefault="006A3667">
            <w:pPr>
              <w:rPr>
                <w:rFonts w:ascii="宋体"/>
              </w:rPr>
            </w:pPr>
          </w:p>
        </w:tc>
        <w:tc>
          <w:tcPr>
            <w:tcW w:w="0" w:type="auto"/>
            <w:shd w:val="clear" w:color="auto" w:fill="auto"/>
            <w:vAlign w:val="bottom"/>
          </w:tcPr>
          <w:p w14:paraId="71D4133C" w14:textId="77777777" w:rsidR="006A3667" w:rsidRDefault="006A3667">
            <w:pPr>
              <w:rPr>
                <w:rFonts w:ascii="宋体"/>
              </w:rPr>
            </w:pPr>
          </w:p>
        </w:tc>
        <w:tc>
          <w:tcPr>
            <w:tcW w:w="0" w:type="auto"/>
            <w:shd w:val="clear" w:color="auto" w:fill="auto"/>
            <w:vAlign w:val="bottom"/>
          </w:tcPr>
          <w:p w14:paraId="71D4133D" w14:textId="77777777" w:rsidR="006A3667" w:rsidRDefault="006A3667">
            <w:pPr>
              <w:rPr>
                <w:rFonts w:ascii="宋体"/>
              </w:rPr>
            </w:pPr>
          </w:p>
        </w:tc>
      </w:tr>
      <w:tr w:rsidR="00045F32" w14:paraId="71D4135F" w14:textId="77777777">
        <w:tc>
          <w:tcPr>
            <w:tcW w:w="0" w:type="auto"/>
            <w:gridSpan w:val="9"/>
            <w:shd w:val="clear" w:color="auto" w:fill="FFFFFF"/>
            <w:tcMar>
              <w:top w:w="40" w:type="dxa"/>
              <w:left w:w="20" w:type="dxa"/>
              <w:bottom w:w="40" w:type="dxa"/>
              <w:right w:w="20" w:type="dxa"/>
            </w:tcMar>
            <w:vAlign w:val="bottom"/>
          </w:tcPr>
          <w:p w14:paraId="71D4133F" w14:textId="77777777" w:rsidR="006A3667" w:rsidRDefault="00045F32">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1340"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341" w14:textId="77777777" w:rsidR="006A3667" w:rsidRDefault="00045F32">
            <w:pPr>
              <w:jc w:val="right"/>
              <w:textAlignment w:val="bottom"/>
            </w:pPr>
            <w:r>
              <w:rPr>
                <w:rFonts w:ascii="Arial" w:eastAsia="宋体" w:hAnsi="Arial" w:cs="Arial"/>
                <w:b/>
                <w:bCs/>
                <w:color w:val="000000"/>
                <w:sz w:val="12"/>
                <w:szCs w:val="12"/>
              </w:rPr>
              <w:t>18,482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3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43"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344"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345" w14:textId="77777777" w:rsidR="006A3667" w:rsidRDefault="00045F32">
            <w:pPr>
              <w:jc w:val="right"/>
              <w:textAlignment w:val="bottom"/>
            </w:pPr>
            <w:r>
              <w:rPr>
                <w:rFonts w:ascii="Arial" w:eastAsia="宋体" w:hAnsi="Arial" w:cs="Arial"/>
                <w:b/>
                <w:bCs/>
                <w:color w:val="000000"/>
                <w:sz w:val="12"/>
                <w:szCs w:val="12"/>
              </w:rPr>
              <w:t>18,594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3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47"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348"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349" w14:textId="77777777" w:rsidR="006A3667" w:rsidRDefault="00045F32">
            <w:pPr>
              <w:jc w:val="right"/>
              <w:textAlignment w:val="bottom"/>
            </w:pPr>
            <w:r>
              <w:rPr>
                <w:rFonts w:ascii="Arial" w:eastAsia="宋体" w:hAnsi="Arial" w:cs="Arial"/>
                <w:color w:val="000000"/>
                <w:sz w:val="12"/>
                <w:szCs w:val="12"/>
              </w:rPr>
              <w:t>19,511 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34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4B"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34C"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34D" w14:textId="77777777" w:rsidR="006A3667" w:rsidRDefault="00045F32">
            <w:pPr>
              <w:jc w:val="right"/>
              <w:textAlignment w:val="bottom"/>
            </w:pPr>
            <w:r>
              <w:rPr>
                <w:rFonts w:ascii="Arial" w:eastAsia="宋体" w:hAnsi="Arial" w:cs="Arial"/>
                <w:color w:val="000000"/>
                <w:sz w:val="12"/>
                <w:szCs w:val="12"/>
              </w:rPr>
              <w:t>19,619 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3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4F"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350"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351" w14:textId="77777777" w:rsidR="006A3667" w:rsidRDefault="00045F32">
            <w:pPr>
              <w:jc w:val="right"/>
              <w:textAlignment w:val="bottom"/>
            </w:pPr>
            <w:r>
              <w:rPr>
                <w:rFonts w:ascii="Arial" w:eastAsia="宋体" w:hAnsi="Arial" w:cs="Arial"/>
                <w:b/>
                <w:bCs/>
                <w:color w:val="000000"/>
                <w:sz w:val="12"/>
                <w:szCs w:val="12"/>
              </w:rPr>
              <w:t>19,231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35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53"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354"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355" w14:textId="77777777" w:rsidR="006A3667" w:rsidRDefault="00045F32">
            <w:pPr>
              <w:jc w:val="right"/>
              <w:textAlignment w:val="bottom"/>
            </w:pPr>
            <w:r>
              <w:rPr>
                <w:rFonts w:ascii="Arial" w:eastAsia="宋体" w:hAnsi="Arial" w:cs="Arial"/>
                <w:b/>
                <w:bCs/>
                <w:color w:val="000000"/>
                <w:sz w:val="12"/>
                <w:szCs w:val="12"/>
              </w:rPr>
              <w:t>19,343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3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57"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358"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359" w14:textId="77777777" w:rsidR="006A3667" w:rsidRDefault="00045F32">
            <w:pPr>
              <w:jc w:val="right"/>
              <w:textAlignment w:val="bottom"/>
            </w:pPr>
            <w:r>
              <w:rPr>
                <w:rFonts w:ascii="Arial" w:eastAsia="宋体" w:hAnsi="Arial" w:cs="Arial"/>
                <w:color w:val="000000"/>
                <w:sz w:val="12"/>
                <w:szCs w:val="12"/>
              </w:rPr>
              <w:t>19,597 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35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5B"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35C"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35D" w14:textId="77777777" w:rsidR="006A3667" w:rsidRDefault="00045F32">
            <w:pPr>
              <w:jc w:val="right"/>
              <w:textAlignment w:val="bottom"/>
            </w:pPr>
            <w:r>
              <w:rPr>
                <w:rFonts w:ascii="Arial" w:eastAsia="宋体" w:hAnsi="Arial" w:cs="Arial"/>
                <w:color w:val="000000"/>
                <w:sz w:val="12"/>
                <w:szCs w:val="12"/>
              </w:rPr>
              <w:t>19,705 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35E" w14:textId="77777777" w:rsidR="006A3667" w:rsidRDefault="006A3667">
            <w:pPr>
              <w:jc w:val="right"/>
              <w:rPr>
                <w:rFonts w:ascii="宋体"/>
              </w:rPr>
            </w:pPr>
          </w:p>
        </w:tc>
      </w:tr>
      <w:tr w:rsidR="006A3667" w14:paraId="71D41370" w14:textId="77777777">
        <w:tc>
          <w:tcPr>
            <w:tcW w:w="0" w:type="auto"/>
            <w:gridSpan w:val="9"/>
            <w:shd w:val="clear" w:color="auto" w:fill="CCEEFF"/>
            <w:tcMar>
              <w:top w:w="40" w:type="dxa"/>
              <w:left w:w="20" w:type="dxa"/>
              <w:bottom w:w="40" w:type="dxa"/>
              <w:right w:w="20" w:type="dxa"/>
            </w:tcMar>
            <w:vAlign w:val="bottom"/>
          </w:tcPr>
          <w:p w14:paraId="71D41360" w14:textId="77777777" w:rsidR="006A3667" w:rsidRDefault="00045F32">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136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362"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136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364"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136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366"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136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368"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136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36A"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136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36C"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136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36E"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136F" w14:textId="77777777" w:rsidR="006A3667" w:rsidRDefault="006A3667">
            <w:pPr>
              <w:rPr>
                <w:rFonts w:ascii="宋体"/>
              </w:rPr>
            </w:pPr>
          </w:p>
        </w:tc>
      </w:tr>
      <w:tr w:rsidR="006A3667" w14:paraId="71D41383" w14:textId="77777777">
        <w:trPr>
          <w:hidden/>
        </w:trPr>
        <w:tc>
          <w:tcPr>
            <w:tcW w:w="0" w:type="auto"/>
            <w:gridSpan w:val="3"/>
            <w:shd w:val="clear" w:color="auto" w:fill="auto"/>
            <w:vAlign w:val="bottom"/>
          </w:tcPr>
          <w:p w14:paraId="71D41371" w14:textId="77777777" w:rsidR="006A3667" w:rsidRDefault="006A3667">
            <w:pPr>
              <w:rPr>
                <w:rFonts w:ascii="宋体"/>
                <w:vanish/>
              </w:rPr>
            </w:pPr>
          </w:p>
        </w:tc>
        <w:tc>
          <w:tcPr>
            <w:tcW w:w="0" w:type="auto"/>
            <w:gridSpan w:val="3"/>
            <w:shd w:val="clear" w:color="auto" w:fill="auto"/>
            <w:vAlign w:val="bottom"/>
          </w:tcPr>
          <w:p w14:paraId="71D41372" w14:textId="77777777" w:rsidR="006A3667" w:rsidRDefault="006A3667">
            <w:pPr>
              <w:rPr>
                <w:rFonts w:ascii="宋体"/>
                <w:vanish/>
              </w:rPr>
            </w:pPr>
          </w:p>
        </w:tc>
        <w:tc>
          <w:tcPr>
            <w:tcW w:w="0" w:type="auto"/>
            <w:gridSpan w:val="3"/>
            <w:shd w:val="clear" w:color="auto" w:fill="auto"/>
            <w:vAlign w:val="bottom"/>
          </w:tcPr>
          <w:p w14:paraId="71D41373" w14:textId="77777777" w:rsidR="006A3667" w:rsidRDefault="006A3667">
            <w:pPr>
              <w:rPr>
                <w:rFonts w:ascii="宋体"/>
                <w:vanish/>
              </w:rPr>
            </w:pPr>
          </w:p>
        </w:tc>
        <w:tc>
          <w:tcPr>
            <w:tcW w:w="0" w:type="auto"/>
            <w:gridSpan w:val="3"/>
            <w:shd w:val="clear" w:color="auto" w:fill="auto"/>
            <w:vAlign w:val="bottom"/>
          </w:tcPr>
          <w:p w14:paraId="71D41374" w14:textId="77777777" w:rsidR="006A3667" w:rsidRDefault="006A3667">
            <w:pPr>
              <w:rPr>
                <w:rFonts w:ascii="宋体"/>
                <w:vanish/>
              </w:rPr>
            </w:pPr>
          </w:p>
        </w:tc>
        <w:tc>
          <w:tcPr>
            <w:tcW w:w="0" w:type="auto"/>
            <w:gridSpan w:val="3"/>
            <w:shd w:val="clear" w:color="auto" w:fill="auto"/>
            <w:vAlign w:val="bottom"/>
          </w:tcPr>
          <w:p w14:paraId="71D41375" w14:textId="77777777" w:rsidR="006A3667" w:rsidRDefault="006A3667">
            <w:pPr>
              <w:rPr>
                <w:rFonts w:ascii="宋体"/>
                <w:vanish/>
              </w:rPr>
            </w:pPr>
          </w:p>
        </w:tc>
        <w:tc>
          <w:tcPr>
            <w:tcW w:w="0" w:type="auto"/>
            <w:gridSpan w:val="3"/>
            <w:shd w:val="clear" w:color="auto" w:fill="auto"/>
            <w:vAlign w:val="bottom"/>
          </w:tcPr>
          <w:p w14:paraId="71D41376" w14:textId="77777777" w:rsidR="006A3667" w:rsidRDefault="006A3667">
            <w:pPr>
              <w:rPr>
                <w:rFonts w:ascii="宋体"/>
                <w:vanish/>
              </w:rPr>
            </w:pPr>
          </w:p>
        </w:tc>
        <w:tc>
          <w:tcPr>
            <w:tcW w:w="0" w:type="auto"/>
            <w:gridSpan w:val="3"/>
            <w:shd w:val="clear" w:color="auto" w:fill="auto"/>
            <w:vAlign w:val="bottom"/>
          </w:tcPr>
          <w:p w14:paraId="71D41377" w14:textId="77777777" w:rsidR="006A3667" w:rsidRDefault="006A3667">
            <w:pPr>
              <w:rPr>
                <w:rFonts w:ascii="宋体"/>
                <w:vanish/>
              </w:rPr>
            </w:pPr>
          </w:p>
        </w:tc>
        <w:tc>
          <w:tcPr>
            <w:tcW w:w="0" w:type="auto"/>
            <w:gridSpan w:val="3"/>
            <w:shd w:val="clear" w:color="auto" w:fill="auto"/>
            <w:vAlign w:val="bottom"/>
          </w:tcPr>
          <w:p w14:paraId="71D41378" w14:textId="77777777" w:rsidR="006A3667" w:rsidRDefault="006A3667">
            <w:pPr>
              <w:rPr>
                <w:rFonts w:ascii="宋体"/>
                <w:vanish/>
              </w:rPr>
            </w:pPr>
          </w:p>
        </w:tc>
        <w:tc>
          <w:tcPr>
            <w:tcW w:w="0" w:type="auto"/>
            <w:gridSpan w:val="3"/>
            <w:shd w:val="clear" w:color="auto" w:fill="auto"/>
            <w:vAlign w:val="bottom"/>
          </w:tcPr>
          <w:p w14:paraId="71D41379" w14:textId="77777777" w:rsidR="006A3667" w:rsidRDefault="006A3667">
            <w:pPr>
              <w:rPr>
                <w:rFonts w:ascii="宋体"/>
                <w:vanish/>
              </w:rPr>
            </w:pPr>
          </w:p>
        </w:tc>
        <w:tc>
          <w:tcPr>
            <w:tcW w:w="0" w:type="auto"/>
            <w:gridSpan w:val="3"/>
            <w:shd w:val="clear" w:color="auto" w:fill="auto"/>
            <w:vAlign w:val="bottom"/>
          </w:tcPr>
          <w:p w14:paraId="71D4137A" w14:textId="77777777" w:rsidR="006A3667" w:rsidRDefault="006A3667">
            <w:pPr>
              <w:rPr>
                <w:rFonts w:ascii="宋体"/>
                <w:vanish/>
              </w:rPr>
            </w:pPr>
          </w:p>
        </w:tc>
        <w:tc>
          <w:tcPr>
            <w:tcW w:w="0" w:type="auto"/>
            <w:gridSpan w:val="3"/>
            <w:shd w:val="clear" w:color="auto" w:fill="auto"/>
            <w:vAlign w:val="bottom"/>
          </w:tcPr>
          <w:p w14:paraId="71D4137B" w14:textId="77777777" w:rsidR="006A3667" w:rsidRDefault="006A3667">
            <w:pPr>
              <w:rPr>
                <w:rFonts w:ascii="宋体"/>
                <w:vanish/>
              </w:rPr>
            </w:pPr>
          </w:p>
        </w:tc>
        <w:tc>
          <w:tcPr>
            <w:tcW w:w="0" w:type="auto"/>
            <w:gridSpan w:val="3"/>
            <w:shd w:val="clear" w:color="auto" w:fill="auto"/>
            <w:vAlign w:val="bottom"/>
          </w:tcPr>
          <w:p w14:paraId="71D4137C" w14:textId="77777777" w:rsidR="006A3667" w:rsidRDefault="006A3667">
            <w:pPr>
              <w:rPr>
                <w:rFonts w:ascii="宋体"/>
                <w:vanish/>
              </w:rPr>
            </w:pPr>
          </w:p>
        </w:tc>
        <w:tc>
          <w:tcPr>
            <w:tcW w:w="0" w:type="auto"/>
            <w:gridSpan w:val="3"/>
            <w:shd w:val="clear" w:color="auto" w:fill="auto"/>
            <w:vAlign w:val="bottom"/>
          </w:tcPr>
          <w:p w14:paraId="71D4137D" w14:textId="77777777" w:rsidR="006A3667" w:rsidRDefault="006A3667">
            <w:pPr>
              <w:rPr>
                <w:rFonts w:ascii="宋体"/>
                <w:vanish/>
              </w:rPr>
            </w:pPr>
          </w:p>
        </w:tc>
        <w:tc>
          <w:tcPr>
            <w:tcW w:w="0" w:type="auto"/>
            <w:gridSpan w:val="3"/>
            <w:shd w:val="clear" w:color="auto" w:fill="auto"/>
            <w:vAlign w:val="bottom"/>
          </w:tcPr>
          <w:p w14:paraId="71D4137E" w14:textId="77777777" w:rsidR="006A3667" w:rsidRDefault="006A3667">
            <w:pPr>
              <w:rPr>
                <w:rFonts w:ascii="宋体"/>
                <w:vanish/>
              </w:rPr>
            </w:pPr>
          </w:p>
        </w:tc>
        <w:tc>
          <w:tcPr>
            <w:tcW w:w="0" w:type="auto"/>
            <w:gridSpan w:val="3"/>
            <w:shd w:val="clear" w:color="auto" w:fill="auto"/>
            <w:vAlign w:val="bottom"/>
          </w:tcPr>
          <w:p w14:paraId="71D4137F" w14:textId="77777777" w:rsidR="006A3667" w:rsidRDefault="006A3667">
            <w:pPr>
              <w:rPr>
                <w:rFonts w:ascii="宋体"/>
                <w:vanish/>
              </w:rPr>
            </w:pPr>
          </w:p>
        </w:tc>
        <w:tc>
          <w:tcPr>
            <w:tcW w:w="0" w:type="auto"/>
            <w:gridSpan w:val="3"/>
            <w:shd w:val="clear" w:color="auto" w:fill="auto"/>
            <w:vAlign w:val="bottom"/>
          </w:tcPr>
          <w:p w14:paraId="71D41380" w14:textId="77777777" w:rsidR="006A3667" w:rsidRDefault="006A3667">
            <w:pPr>
              <w:rPr>
                <w:rFonts w:ascii="宋体"/>
                <w:vanish/>
              </w:rPr>
            </w:pPr>
          </w:p>
        </w:tc>
        <w:tc>
          <w:tcPr>
            <w:tcW w:w="0" w:type="auto"/>
            <w:gridSpan w:val="3"/>
            <w:shd w:val="clear" w:color="auto" w:fill="auto"/>
            <w:vAlign w:val="bottom"/>
          </w:tcPr>
          <w:p w14:paraId="71D41381" w14:textId="77777777" w:rsidR="006A3667" w:rsidRDefault="006A3667">
            <w:pPr>
              <w:rPr>
                <w:rFonts w:ascii="宋体"/>
                <w:vanish/>
              </w:rPr>
            </w:pPr>
          </w:p>
        </w:tc>
        <w:tc>
          <w:tcPr>
            <w:tcW w:w="0" w:type="auto"/>
            <w:gridSpan w:val="3"/>
            <w:shd w:val="clear" w:color="auto" w:fill="auto"/>
            <w:vAlign w:val="bottom"/>
          </w:tcPr>
          <w:p w14:paraId="71D41382" w14:textId="77777777" w:rsidR="006A3667" w:rsidRDefault="006A3667">
            <w:pPr>
              <w:rPr>
                <w:rFonts w:ascii="宋体"/>
                <w:vanish/>
              </w:rPr>
            </w:pPr>
          </w:p>
        </w:tc>
      </w:tr>
      <w:tr w:rsidR="006A3667" w14:paraId="71D41396" w14:textId="77777777">
        <w:trPr>
          <w:hidden/>
        </w:trPr>
        <w:tc>
          <w:tcPr>
            <w:tcW w:w="0" w:type="auto"/>
            <w:gridSpan w:val="3"/>
            <w:shd w:val="clear" w:color="auto" w:fill="auto"/>
            <w:vAlign w:val="bottom"/>
          </w:tcPr>
          <w:p w14:paraId="71D41384" w14:textId="77777777" w:rsidR="006A3667" w:rsidRDefault="006A3667">
            <w:pPr>
              <w:rPr>
                <w:rFonts w:ascii="宋体"/>
                <w:vanish/>
              </w:rPr>
            </w:pPr>
          </w:p>
        </w:tc>
        <w:tc>
          <w:tcPr>
            <w:tcW w:w="0" w:type="auto"/>
            <w:gridSpan w:val="3"/>
            <w:shd w:val="clear" w:color="auto" w:fill="auto"/>
            <w:vAlign w:val="bottom"/>
          </w:tcPr>
          <w:p w14:paraId="71D41385" w14:textId="77777777" w:rsidR="006A3667" w:rsidRDefault="006A3667">
            <w:pPr>
              <w:rPr>
                <w:rFonts w:ascii="宋体"/>
                <w:vanish/>
              </w:rPr>
            </w:pPr>
          </w:p>
        </w:tc>
        <w:tc>
          <w:tcPr>
            <w:tcW w:w="0" w:type="auto"/>
            <w:gridSpan w:val="3"/>
            <w:shd w:val="clear" w:color="auto" w:fill="auto"/>
            <w:vAlign w:val="bottom"/>
          </w:tcPr>
          <w:p w14:paraId="71D41386" w14:textId="77777777" w:rsidR="006A3667" w:rsidRDefault="006A3667">
            <w:pPr>
              <w:rPr>
                <w:rFonts w:ascii="宋体"/>
                <w:vanish/>
              </w:rPr>
            </w:pPr>
          </w:p>
        </w:tc>
        <w:tc>
          <w:tcPr>
            <w:tcW w:w="0" w:type="auto"/>
            <w:gridSpan w:val="3"/>
            <w:shd w:val="clear" w:color="auto" w:fill="auto"/>
            <w:vAlign w:val="bottom"/>
          </w:tcPr>
          <w:p w14:paraId="71D41387" w14:textId="77777777" w:rsidR="006A3667" w:rsidRDefault="006A3667">
            <w:pPr>
              <w:rPr>
                <w:rFonts w:ascii="宋体"/>
                <w:vanish/>
              </w:rPr>
            </w:pPr>
          </w:p>
        </w:tc>
        <w:tc>
          <w:tcPr>
            <w:tcW w:w="0" w:type="auto"/>
            <w:gridSpan w:val="3"/>
            <w:shd w:val="clear" w:color="auto" w:fill="auto"/>
            <w:vAlign w:val="bottom"/>
          </w:tcPr>
          <w:p w14:paraId="71D41388" w14:textId="77777777" w:rsidR="006A3667" w:rsidRDefault="006A3667">
            <w:pPr>
              <w:rPr>
                <w:rFonts w:ascii="宋体"/>
                <w:vanish/>
              </w:rPr>
            </w:pPr>
          </w:p>
        </w:tc>
        <w:tc>
          <w:tcPr>
            <w:tcW w:w="0" w:type="auto"/>
            <w:gridSpan w:val="3"/>
            <w:shd w:val="clear" w:color="auto" w:fill="auto"/>
            <w:vAlign w:val="bottom"/>
          </w:tcPr>
          <w:p w14:paraId="71D41389" w14:textId="77777777" w:rsidR="006A3667" w:rsidRDefault="006A3667">
            <w:pPr>
              <w:rPr>
                <w:rFonts w:ascii="宋体"/>
                <w:vanish/>
              </w:rPr>
            </w:pPr>
          </w:p>
        </w:tc>
        <w:tc>
          <w:tcPr>
            <w:tcW w:w="0" w:type="auto"/>
            <w:gridSpan w:val="3"/>
            <w:shd w:val="clear" w:color="auto" w:fill="auto"/>
            <w:vAlign w:val="bottom"/>
          </w:tcPr>
          <w:p w14:paraId="71D4138A" w14:textId="77777777" w:rsidR="006A3667" w:rsidRDefault="006A3667">
            <w:pPr>
              <w:rPr>
                <w:rFonts w:ascii="宋体"/>
                <w:vanish/>
              </w:rPr>
            </w:pPr>
          </w:p>
        </w:tc>
        <w:tc>
          <w:tcPr>
            <w:tcW w:w="0" w:type="auto"/>
            <w:gridSpan w:val="3"/>
            <w:shd w:val="clear" w:color="auto" w:fill="auto"/>
            <w:vAlign w:val="bottom"/>
          </w:tcPr>
          <w:p w14:paraId="71D4138B" w14:textId="77777777" w:rsidR="006A3667" w:rsidRDefault="006A3667">
            <w:pPr>
              <w:rPr>
                <w:rFonts w:ascii="宋体"/>
                <w:vanish/>
              </w:rPr>
            </w:pPr>
          </w:p>
        </w:tc>
        <w:tc>
          <w:tcPr>
            <w:tcW w:w="0" w:type="auto"/>
            <w:gridSpan w:val="3"/>
            <w:shd w:val="clear" w:color="auto" w:fill="auto"/>
            <w:vAlign w:val="bottom"/>
          </w:tcPr>
          <w:p w14:paraId="71D4138C" w14:textId="77777777" w:rsidR="006A3667" w:rsidRDefault="006A3667">
            <w:pPr>
              <w:rPr>
                <w:rFonts w:ascii="宋体"/>
                <w:vanish/>
              </w:rPr>
            </w:pPr>
          </w:p>
        </w:tc>
        <w:tc>
          <w:tcPr>
            <w:tcW w:w="0" w:type="auto"/>
            <w:gridSpan w:val="3"/>
            <w:shd w:val="clear" w:color="auto" w:fill="auto"/>
            <w:vAlign w:val="bottom"/>
          </w:tcPr>
          <w:p w14:paraId="71D4138D" w14:textId="77777777" w:rsidR="006A3667" w:rsidRDefault="006A3667">
            <w:pPr>
              <w:rPr>
                <w:rFonts w:ascii="宋体"/>
                <w:vanish/>
              </w:rPr>
            </w:pPr>
          </w:p>
        </w:tc>
        <w:tc>
          <w:tcPr>
            <w:tcW w:w="0" w:type="auto"/>
            <w:gridSpan w:val="3"/>
            <w:shd w:val="clear" w:color="auto" w:fill="auto"/>
            <w:vAlign w:val="bottom"/>
          </w:tcPr>
          <w:p w14:paraId="71D4138E" w14:textId="77777777" w:rsidR="006A3667" w:rsidRDefault="006A3667">
            <w:pPr>
              <w:rPr>
                <w:rFonts w:ascii="宋体"/>
                <w:vanish/>
              </w:rPr>
            </w:pPr>
          </w:p>
        </w:tc>
        <w:tc>
          <w:tcPr>
            <w:tcW w:w="0" w:type="auto"/>
            <w:gridSpan w:val="3"/>
            <w:shd w:val="clear" w:color="auto" w:fill="auto"/>
            <w:vAlign w:val="bottom"/>
          </w:tcPr>
          <w:p w14:paraId="71D4138F" w14:textId="77777777" w:rsidR="006A3667" w:rsidRDefault="006A3667">
            <w:pPr>
              <w:rPr>
                <w:rFonts w:ascii="宋体"/>
                <w:vanish/>
              </w:rPr>
            </w:pPr>
          </w:p>
        </w:tc>
        <w:tc>
          <w:tcPr>
            <w:tcW w:w="0" w:type="auto"/>
            <w:gridSpan w:val="3"/>
            <w:shd w:val="clear" w:color="auto" w:fill="auto"/>
            <w:vAlign w:val="bottom"/>
          </w:tcPr>
          <w:p w14:paraId="71D41390" w14:textId="77777777" w:rsidR="006A3667" w:rsidRDefault="006A3667">
            <w:pPr>
              <w:rPr>
                <w:rFonts w:ascii="宋体"/>
                <w:vanish/>
              </w:rPr>
            </w:pPr>
          </w:p>
        </w:tc>
        <w:tc>
          <w:tcPr>
            <w:tcW w:w="0" w:type="auto"/>
            <w:gridSpan w:val="3"/>
            <w:shd w:val="clear" w:color="auto" w:fill="auto"/>
            <w:vAlign w:val="bottom"/>
          </w:tcPr>
          <w:p w14:paraId="71D41391" w14:textId="77777777" w:rsidR="006A3667" w:rsidRDefault="006A3667">
            <w:pPr>
              <w:rPr>
                <w:rFonts w:ascii="宋体"/>
                <w:vanish/>
              </w:rPr>
            </w:pPr>
          </w:p>
        </w:tc>
        <w:tc>
          <w:tcPr>
            <w:tcW w:w="0" w:type="auto"/>
            <w:gridSpan w:val="3"/>
            <w:shd w:val="clear" w:color="auto" w:fill="auto"/>
            <w:vAlign w:val="bottom"/>
          </w:tcPr>
          <w:p w14:paraId="71D41392" w14:textId="77777777" w:rsidR="006A3667" w:rsidRDefault="006A3667">
            <w:pPr>
              <w:rPr>
                <w:rFonts w:ascii="宋体"/>
                <w:vanish/>
              </w:rPr>
            </w:pPr>
          </w:p>
        </w:tc>
        <w:tc>
          <w:tcPr>
            <w:tcW w:w="0" w:type="auto"/>
            <w:gridSpan w:val="3"/>
            <w:shd w:val="clear" w:color="auto" w:fill="auto"/>
            <w:vAlign w:val="bottom"/>
          </w:tcPr>
          <w:p w14:paraId="71D41393" w14:textId="77777777" w:rsidR="006A3667" w:rsidRDefault="006A3667">
            <w:pPr>
              <w:rPr>
                <w:rFonts w:ascii="宋体"/>
                <w:vanish/>
              </w:rPr>
            </w:pPr>
          </w:p>
        </w:tc>
        <w:tc>
          <w:tcPr>
            <w:tcW w:w="0" w:type="auto"/>
            <w:gridSpan w:val="3"/>
            <w:shd w:val="clear" w:color="auto" w:fill="auto"/>
            <w:vAlign w:val="bottom"/>
          </w:tcPr>
          <w:p w14:paraId="71D41394" w14:textId="77777777" w:rsidR="006A3667" w:rsidRDefault="006A3667">
            <w:pPr>
              <w:rPr>
                <w:rFonts w:ascii="宋体"/>
                <w:vanish/>
              </w:rPr>
            </w:pPr>
          </w:p>
        </w:tc>
        <w:tc>
          <w:tcPr>
            <w:tcW w:w="0" w:type="auto"/>
            <w:gridSpan w:val="3"/>
            <w:shd w:val="clear" w:color="auto" w:fill="auto"/>
            <w:vAlign w:val="bottom"/>
          </w:tcPr>
          <w:p w14:paraId="71D41395" w14:textId="77777777" w:rsidR="006A3667" w:rsidRDefault="006A3667">
            <w:pPr>
              <w:rPr>
                <w:rFonts w:ascii="宋体"/>
                <w:vanish/>
              </w:rPr>
            </w:pPr>
          </w:p>
        </w:tc>
      </w:tr>
      <w:tr w:rsidR="006A3667" w14:paraId="71D413A9" w14:textId="77777777">
        <w:trPr>
          <w:hidden/>
        </w:trPr>
        <w:tc>
          <w:tcPr>
            <w:tcW w:w="0" w:type="auto"/>
            <w:gridSpan w:val="3"/>
            <w:shd w:val="clear" w:color="auto" w:fill="auto"/>
            <w:vAlign w:val="bottom"/>
          </w:tcPr>
          <w:p w14:paraId="71D41397" w14:textId="77777777" w:rsidR="006A3667" w:rsidRDefault="006A3667">
            <w:pPr>
              <w:rPr>
                <w:rFonts w:ascii="宋体"/>
                <w:vanish/>
              </w:rPr>
            </w:pPr>
          </w:p>
        </w:tc>
        <w:tc>
          <w:tcPr>
            <w:tcW w:w="0" w:type="auto"/>
            <w:gridSpan w:val="3"/>
            <w:shd w:val="clear" w:color="auto" w:fill="auto"/>
            <w:vAlign w:val="bottom"/>
          </w:tcPr>
          <w:p w14:paraId="71D41398" w14:textId="77777777" w:rsidR="006A3667" w:rsidRDefault="006A3667">
            <w:pPr>
              <w:rPr>
                <w:rFonts w:ascii="宋体"/>
                <w:vanish/>
              </w:rPr>
            </w:pPr>
          </w:p>
        </w:tc>
        <w:tc>
          <w:tcPr>
            <w:tcW w:w="0" w:type="auto"/>
            <w:gridSpan w:val="3"/>
            <w:shd w:val="clear" w:color="auto" w:fill="auto"/>
            <w:vAlign w:val="bottom"/>
          </w:tcPr>
          <w:p w14:paraId="71D41399" w14:textId="77777777" w:rsidR="006A3667" w:rsidRDefault="006A3667">
            <w:pPr>
              <w:rPr>
                <w:rFonts w:ascii="宋体"/>
                <w:vanish/>
              </w:rPr>
            </w:pPr>
          </w:p>
        </w:tc>
        <w:tc>
          <w:tcPr>
            <w:tcW w:w="0" w:type="auto"/>
            <w:gridSpan w:val="3"/>
            <w:shd w:val="clear" w:color="auto" w:fill="auto"/>
            <w:vAlign w:val="bottom"/>
          </w:tcPr>
          <w:p w14:paraId="71D4139A" w14:textId="77777777" w:rsidR="006A3667" w:rsidRDefault="006A3667">
            <w:pPr>
              <w:rPr>
                <w:rFonts w:ascii="宋体"/>
                <w:vanish/>
              </w:rPr>
            </w:pPr>
          </w:p>
        </w:tc>
        <w:tc>
          <w:tcPr>
            <w:tcW w:w="0" w:type="auto"/>
            <w:gridSpan w:val="3"/>
            <w:shd w:val="clear" w:color="auto" w:fill="auto"/>
            <w:vAlign w:val="bottom"/>
          </w:tcPr>
          <w:p w14:paraId="71D4139B" w14:textId="77777777" w:rsidR="006A3667" w:rsidRDefault="006A3667">
            <w:pPr>
              <w:rPr>
                <w:rFonts w:ascii="宋体"/>
                <w:vanish/>
              </w:rPr>
            </w:pPr>
          </w:p>
        </w:tc>
        <w:tc>
          <w:tcPr>
            <w:tcW w:w="0" w:type="auto"/>
            <w:gridSpan w:val="3"/>
            <w:shd w:val="clear" w:color="auto" w:fill="auto"/>
            <w:vAlign w:val="bottom"/>
          </w:tcPr>
          <w:p w14:paraId="71D4139C" w14:textId="77777777" w:rsidR="006A3667" w:rsidRDefault="006A3667">
            <w:pPr>
              <w:rPr>
                <w:rFonts w:ascii="宋体"/>
                <w:vanish/>
              </w:rPr>
            </w:pPr>
          </w:p>
        </w:tc>
        <w:tc>
          <w:tcPr>
            <w:tcW w:w="0" w:type="auto"/>
            <w:gridSpan w:val="3"/>
            <w:shd w:val="clear" w:color="auto" w:fill="auto"/>
            <w:vAlign w:val="bottom"/>
          </w:tcPr>
          <w:p w14:paraId="71D4139D" w14:textId="77777777" w:rsidR="006A3667" w:rsidRDefault="006A3667">
            <w:pPr>
              <w:rPr>
                <w:rFonts w:ascii="宋体"/>
                <w:vanish/>
              </w:rPr>
            </w:pPr>
          </w:p>
        </w:tc>
        <w:tc>
          <w:tcPr>
            <w:tcW w:w="0" w:type="auto"/>
            <w:gridSpan w:val="3"/>
            <w:shd w:val="clear" w:color="auto" w:fill="auto"/>
            <w:vAlign w:val="bottom"/>
          </w:tcPr>
          <w:p w14:paraId="71D4139E" w14:textId="77777777" w:rsidR="006A3667" w:rsidRDefault="006A3667">
            <w:pPr>
              <w:rPr>
                <w:rFonts w:ascii="宋体"/>
                <w:vanish/>
              </w:rPr>
            </w:pPr>
          </w:p>
        </w:tc>
        <w:tc>
          <w:tcPr>
            <w:tcW w:w="0" w:type="auto"/>
            <w:gridSpan w:val="3"/>
            <w:shd w:val="clear" w:color="auto" w:fill="auto"/>
            <w:vAlign w:val="bottom"/>
          </w:tcPr>
          <w:p w14:paraId="71D4139F" w14:textId="77777777" w:rsidR="006A3667" w:rsidRDefault="006A3667">
            <w:pPr>
              <w:rPr>
                <w:rFonts w:ascii="宋体"/>
                <w:vanish/>
              </w:rPr>
            </w:pPr>
          </w:p>
        </w:tc>
        <w:tc>
          <w:tcPr>
            <w:tcW w:w="0" w:type="auto"/>
            <w:gridSpan w:val="3"/>
            <w:shd w:val="clear" w:color="auto" w:fill="auto"/>
            <w:vAlign w:val="bottom"/>
          </w:tcPr>
          <w:p w14:paraId="71D413A0" w14:textId="77777777" w:rsidR="006A3667" w:rsidRDefault="006A3667">
            <w:pPr>
              <w:rPr>
                <w:rFonts w:ascii="宋体"/>
                <w:vanish/>
              </w:rPr>
            </w:pPr>
          </w:p>
        </w:tc>
        <w:tc>
          <w:tcPr>
            <w:tcW w:w="0" w:type="auto"/>
            <w:gridSpan w:val="3"/>
            <w:shd w:val="clear" w:color="auto" w:fill="auto"/>
            <w:vAlign w:val="bottom"/>
          </w:tcPr>
          <w:p w14:paraId="71D413A1" w14:textId="77777777" w:rsidR="006A3667" w:rsidRDefault="006A3667">
            <w:pPr>
              <w:rPr>
                <w:rFonts w:ascii="宋体"/>
                <w:vanish/>
              </w:rPr>
            </w:pPr>
          </w:p>
        </w:tc>
        <w:tc>
          <w:tcPr>
            <w:tcW w:w="0" w:type="auto"/>
            <w:gridSpan w:val="3"/>
            <w:shd w:val="clear" w:color="auto" w:fill="auto"/>
            <w:vAlign w:val="bottom"/>
          </w:tcPr>
          <w:p w14:paraId="71D413A2" w14:textId="77777777" w:rsidR="006A3667" w:rsidRDefault="006A3667">
            <w:pPr>
              <w:rPr>
                <w:rFonts w:ascii="宋体"/>
                <w:vanish/>
              </w:rPr>
            </w:pPr>
          </w:p>
        </w:tc>
        <w:tc>
          <w:tcPr>
            <w:tcW w:w="0" w:type="auto"/>
            <w:gridSpan w:val="3"/>
            <w:shd w:val="clear" w:color="auto" w:fill="auto"/>
            <w:vAlign w:val="bottom"/>
          </w:tcPr>
          <w:p w14:paraId="71D413A3" w14:textId="77777777" w:rsidR="006A3667" w:rsidRDefault="006A3667">
            <w:pPr>
              <w:rPr>
                <w:rFonts w:ascii="宋体"/>
                <w:vanish/>
              </w:rPr>
            </w:pPr>
          </w:p>
        </w:tc>
        <w:tc>
          <w:tcPr>
            <w:tcW w:w="0" w:type="auto"/>
            <w:gridSpan w:val="3"/>
            <w:shd w:val="clear" w:color="auto" w:fill="auto"/>
            <w:vAlign w:val="bottom"/>
          </w:tcPr>
          <w:p w14:paraId="71D413A4" w14:textId="77777777" w:rsidR="006A3667" w:rsidRDefault="006A3667">
            <w:pPr>
              <w:rPr>
                <w:rFonts w:ascii="宋体"/>
                <w:vanish/>
              </w:rPr>
            </w:pPr>
          </w:p>
        </w:tc>
        <w:tc>
          <w:tcPr>
            <w:tcW w:w="0" w:type="auto"/>
            <w:gridSpan w:val="3"/>
            <w:shd w:val="clear" w:color="auto" w:fill="auto"/>
            <w:vAlign w:val="bottom"/>
          </w:tcPr>
          <w:p w14:paraId="71D413A5" w14:textId="77777777" w:rsidR="006A3667" w:rsidRDefault="006A3667">
            <w:pPr>
              <w:rPr>
                <w:rFonts w:ascii="宋体"/>
                <w:vanish/>
              </w:rPr>
            </w:pPr>
          </w:p>
        </w:tc>
        <w:tc>
          <w:tcPr>
            <w:tcW w:w="0" w:type="auto"/>
            <w:gridSpan w:val="3"/>
            <w:shd w:val="clear" w:color="auto" w:fill="auto"/>
            <w:vAlign w:val="bottom"/>
          </w:tcPr>
          <w:p w14:paraId="71D413A6" w14:textId="77777777" w:rsidR="006A3667" w:rsidRDefault="006A3667">
            <w:pPr>
              <w:rPr>
                <w:rFonts w:ascii="宋体"/>
                <w:vanish/>
              </w:rPr>
            </w:pPr>
          </w:p>
        </w:tc>
        <w:tc>
          <w:tcPr>
            <w:tcW w:w="0" w:type="auto"/>
            <w:gridSpan w:val="3"/>
            <w:shd w:val="clear" w:color="auto" w:fill="auto"/>
            <w:vAlign w:val="bottom"/>
          </w:tcPr>
          <w:p w14:paraId="71D413A7" w14:textId="77777777" w:rsidR="006A3667" w:rsidRDefault="006A3667">
            <w:pPr>
              <w:rPr>
                <w:rFonts w:ascii="宋体"/>
                <w:vanish/>
              </w:rPr>
            </w:pPr>
          </w:p>
        </w:tc>
        <w:tc>
          <w:tcPr>
            <w:tcW w:w="0" w:type="auto"/>
            <w:gridSpan w:val="3"/>
            <w:shd w:val="clear" w:color="auto" w:fill="auto"/>
            <w:vAlign w:val="bottom"/>
          </w:tcPr>
          <w:p w14:paraId="71D413A8" w14:textId="77777777" w:rsidR="006A3667" w:rsidRDefault="006A3667">
            <w:pPr>
              <w:rPr>
                <w:rFonts w:ascii="宋体"/>
                <w:vanish/>
              </w:rPr>
            </w:pPr>
          </w:p>
        </w:tc>
      </w:tr>
      <w:tr w:rsidR="006A3667" w14:paraId="71D413BC" w14:textId="77777777">
        <w:trPr>
          <w:hidden/>
        </w:trPr>
        <w:tc>
          <w:tcPr>
            <w:tcW w:w="0" w:type="auto"/>
            <w:gridSpan w:val="3"/>
            <w:shd w:val="clear" w:color="auto" w:fill="auto"/>
            <w:vAlign w:val="bottom"/>
          </w:tcPr>
          <w:p w14:paraId="71D413AA" w14:textId="77777777" w:rsidR="006A3667" w:rsidRDefault="006A3667">
            <w:pPr>
              <w:rPr>
                <w:rFonts w:ascii="宋体"/>
                <w:vanish/>
              </w:rPr>
            </w:pPr>
          </w:p>
        </w:tc>
        <w:tc>
          <w:tcPr>
            <w:tcW w:w="0" w:type="auto"/>
            <w:gridSpan w:val="3"/>
            <w:shd w:val="clear" w:color="auto" w:fill="auto"/>
            <w:vAlign w:val="bottom"/>
          </w:tcPr>
          <w:p w14:paraId="71D413AB" w14:textId="77777777" w:rsidR="006A3667" w:rsidRDefault="006A3667">
            <w:pPr>
              <w:rPr>
                <w:rFonts w:ascii="宋体"/>
                <w:vanish/>
              </w:rPr>
            </w:pPr>
          </w:p>
        </w:tc>
        <w:tc>
          <w:tcPr>
            <w:tcW w:w="0" w:type="auto"/>
            <w:gridSpan w:val="3"/>
            <w:shd w:val="clear" w:color="auto" w:fill="auto"/>
            <w:vAlign w:val="bottom"/>
          </w:tcPr>
          <w:p w14:paraId="71D413AC" w14:textId="77777777" w:rsidR="006A3667" w:rsidRDefault="006A3667">
            <w:pPr>
              <w:rPr>
                <w:rFonts w:ascii="宋体"/>
                <w:vanish/>
              </w:rPr>
            </w:pPr>
          </w:p>
        </w:tc>
        <w:tc>
          <w:tcPr>
            <w:tcW w:w="0" w:type="auto"/>
            <w:gridSpan w:val="3"/>
            <w:shd w:val="clear" w:color="auto" w:fill="auto"/>
            <w:vAlign w:val="bottom"/>
          </w:tcPr>
          <w:p w14:paraId="71D413AD" w14:textId="77777777" w:rsidR="006A3667" w:rsidRDefault="006A3667">
            <w:pPr>
              <w:rPr>
                <w:rFonts w:ascii="宋体"/>
                <w:vanish/>
              </w:rPr>
            </w:pPr>
          </w:p>
        </w:tc>
        <w:tc>
          <w:tcPr>
            <w:tcW w:w="0" w:type="auto"/>
            <w:gridSpan w:val="3"/>
            <w:shd w:val="clear" w:color="auto" w:fill="auto"/>
            <w:vAlign w:val="bottom"/>
          </w:tcPr>
          <w:p w14:paraId="71D413AE" w14:textId="77777777" w:rsidR="006A3667" w:rsidRDefault="006A3667">
            <w:pPr>
              <w:rPr>
                <w:rFonts w:ascii="宋体"/>
                <w:vanish/>
              </w:rPr>
            </w:pPr>
          </w:p>
        </w:tc>
        <w:tc>
          <w:tcPr>
            <w:tcW w:w="0" w:type="auto"/>
            <w:gridSpan w:val="3"/>
            <w:shd w:val="clear" w:color="auto" w:fill="auto"/>
            <w:vAlign w:val="bottom"/>
          </w:tcPr>
          <w:p w14:paraId="71D413AF" w14:textId="77777777" w:rsidR="006A3667" w:rsidRDefault="006A3667">
            <w:pPr>
              <w:rPr>
                <w:rFonts w:ascii="宋体"/>
                <w:vanish/>
              </w:rPr>
            </w:pPr>
          </w:p>
        </w:tc>
        <w:tc>
          <w:tcPr>
            <w:tcW w:w="0" w:type="auto"/>
            <w:gridSpan w:val="3"/>
            <w:shd w:val="clear" w:color="auto" w:fill="auto"/>
            <w:vAlign w:val="bottom"/>
          </w:tcPr>
          <w:p w14:paraId="71D413B0" w14:textId="77777777" w:rsidR="006A3667" w:rsidRDefault="006A3667">
            <w:pPr>
              <w:rPr>
                <w:rFonts w:ascii="宋体"/>
                <w:vanish/>
              </w:rPr>
            </w:pPr>
          </w:p>
        </w:tc>
        <w:tc>
          <w:tcPr>
            <w:tcW w:w="0" w:type="auto"/>
            <w:gridSpan w:val="3"/>
            <w:shd w:val="clear" w:color="auto" w:fill="auto"/>
            <w:vAlign w:val="bottom"/>
          </w:tcPr>
          <w:p w14:paraId="71D413B1" w14:textId="77777777" w:rsidR="006A3667" w:rsidRDefault="006A3667">
            <w:pPr>
              <w:rPr>
                <w:rFonts w:ascii="宋体"/>
                <w:vanish/>
              </w:rPr>
            </w:pPr>
          </w:p>
        </w:tc>
        <w:tc>
          <w:tcPr>
            <w:tcW w:w="0" w:type="auto"/>
            <w:gridSpan w:val="3"/>
            <w:shd w:val="clear" w:color="auto" w:fill="auto"/>
            <w:vAlign w:val="bottom"/>
          </w:tcPr>
          <w:p w14:paraId="71D413B2" w14:textId="77777777" w:rsidR="006A3667" w:rsidRDefault="006A3667">
            <w:pPr>
              <w:rPr>
                <w:rFonts w:ascii="宋体"/>
                <w:vanish/>
              </w:rPr>
            </w:pPr>
          </w:p>
        </w:tc>
        <w:tc>
          <w:tcPr>
            <w:tcW w:w="0" w:type="auto"/>
            <w:gridSpan w:val="3"/>
            <w:shd w:val="clear" w:color="auto" w:fill="auto"/>
            <w:vAlign w:val="bottom"/>
          </w:tcPr>
          <w:p w14:paraId="71D413B3" w14:textId="77777777" w:rsidR="006A3667" w:rsidRDefault="006A3667">
            <w:pPr>
              <w:rPr>
                <w:rFonts w:ascii="宋体"/>
                <w:vanish/>
              </w:rPr>
            </w:pPr>
          </w:p>
        </w:tc>
        <w:tc>
          <w:tcPr>
            <w:tcW w:w="0" w:type="auto"/>
            <w:gridSpan w:val="3"/>
            <w:shd w:val="clear" w:color="auto" w:fill="auto"/>
            <w:vAlign w:val="bottom"/>
          </w:tcPr>
          <w:p w14:paraId="71D413B4" w14:textId="77777777" w:rsidR="006A3667" w:rsidRDefault="006A3667">
            <w:pPr>
              <w:rPr>
                <w:rFonts w:ascii="宋体"/>
                <w:vanish/>
              </w:rPr>
            </w:pPr>
          </w:p>
        </w:tc>
        <w:tc>
          <w:tcPr>
            <w:tcW w:w="0" w:type="auto"/>
            <w:gridSpan w:val="3"/>
            <w:shd w:val="clear" w:color="auto" w:fill="auto"/>
            <w:vAlign w:val="bottom"/>
          </w:tcPr>
          <w:p w14:paraId="71D413B5" w14:textId="77777777" w:rsidR="006A3667" w:rsidRDefault="006A3667">
            <w:pPr>
              <w:rPr>
                <w:rFonts w:ascii="宋体"/>
                <w:vanish/>
              </w:rPr>
            </w:pPr>
          </w:p>
        </w:tc>
        <w:tc>
          <w:tcPr>
            <w:tcW w:w="0" w:type="auto"/>
            <w:gridSpan w:val="3"/>
            <w:shd w:val="clear" w:color="auto" w:fill="auto"/>
            <w:vAlign w:val="bottom"/>
          </w:tcPr>
          <w:p w14:paraId="71D413B6" w14:textId="77777777" w:rsidR="006A3667" w:rsidRDefault="006A3667">
            <w:pPr>
              <w:rPr>
                <w:rFonts w:ascii="宋体"/>
                <w:vanish/>
              </w:rPr>
            </w:pPr>
          </w:p>
        </w:tc>
        <w:tc>
          <w:tcPr>
            <w:tcW w:w="0" w:type="auto"/>
            <w:gridSpan w:val="3"/>
            <w:shd w:val="clear" w:color="auto" w:fill="auto"/>
            <w:vAlign w:val="bottom"/>
          </w:tcPr>
          <w:p w14:paraId="71D413B7" w14:textId="77777777" w:rsidR="006A3667" w:rsidRDefault="006A3667">
            <w:pPr>
              <w:rPr>
                <w:rFonts w:ascii="宋体"/>
                <w:vanish/>
              </w:rPr>
            </w:pPr>
          </w:p>
        </w:tc>
        <w:tc>
          <w:tcPr>
            <w:tcW w:w="0" w:type="auto"/>
            <w:gridSpan w:val="3"/>
            <w:shd w:val="clear" w:color="auto" w:fill="auto"/>
            <w:vAlign w:val="bottom"/>
          </w:tcPr>
          <w:p w14:paraId="71D413B8" w14:textId="77777777" w:rsidR="006A3667" w:rsidRDefault="006A3667">
            <w:pPr>
              <w:rPr>
                <w:rFonts w:ascii="宋体"/>
                <w:vanish/>
              </w:rPr>
            </w:pPr>
          </w:p>
        </w:tc>
        <w:tc>
          <w:tcPr>
            <w:tcW w:w="0" w:type="auto"/>
            <w:gridSpan w:val="3"/>
            <w:shd w:val="clear" w:color="auto" w:fill="auto"/>
            <w:vAlign w:val="bottom"/>
          </w:tcPr>
          <w:p w14:paraId="71D413B9" w14:textId="77777777" w:rsidR="006A3667" w:rsidRDefault="006A3667">
            <w:pPr>
              <w:rPr>
                <w:rFonts w:ascii="宋体"/>
                <w:vanish/>
              </w:rPr>
            </w:pPr>
          </w:p>
        </w:tc>
        <w:tc>
          <w:tcPr>
            <w:tcW w:w="0" w:type="auto"/>
            <w:gridSpan w:val="3"/>
            <w:shd w:val="clear" w:color="auto" w:fill="auto"/>
            <w:vAlign w:val="bottom"/>
          </w:tcPr>
          <w:p w14:paraId="71D413BA" w14:textId="77777777" w:rsidR="006A3667" w:rsidRDefault="006A3667">
            <w:pPr>
              <w:rPr>
                <w:rFonts w:ascii="宋体"/>
                <w:vanish/>
              </w:rPr>
            </w:pPr>
          </w:p>
        </w:tc>
        <w:tc>
          <w:tcPr>
            <w:tcW w:w="0" w:type="auto"/>
            <w:gridSpan w:val="3"/>
            <w:shd w:val="clear" w:color="auto" w:fill="auto"/>
            <w:vAlign w:val="bottom"/>
          </w:tcPr>
          <w:p w14:paraId="71D413BB" w14:textId="77777777" w:rsidR="006A3667" w:rsidRDefault="006A3667">
            <w:pPr>
              <w:rPr>
                <w:rFonts w:ascii="宋体"/>
                <w:vanish/>
              </w:rPr>
            </w:pPr>
          </w:p>
        </w:tc>
      </w:tr>
      <w:tr w:rsidR="006A3667" w14:paraId="71D413CF" w14:textId="77777777">
        <w:trPr>
          <w:hidden/>
        </w:trPr>
        <w:tc>
          <w:tcPr>
            <w:tcW w:w="0" w:type="auto"/>
            <w:gridSpan w:val="3"/>
            <w:shd w:val="clear" w:color="auto" w:fill="auto"/>
            <w:vAlign w:val="bottom"/>
          </w:tcPr>
          <w:p w14:paraId="71D413BD" w14:textId="77777777" w:rsidR="006A3667" w:rsidRDefault="006A3667">
            <w:pPr>
              <w:rPr>
                <w:rFonts w:ascii="宋体"/>
                <w:vanish/>
              </w:rPr>
            </w:pPr>
          </w:p>
        </w:tc>
        <w:tc>
          <w:tcPr>
            <w:tcW w:w="0" w:type="auto"/>
            <w:gridSpan w:val="3"/>
            <w:shd w:val="clear" w:color="auto" w:fill="auto"/>
            <w:vAlign w:val="bottom"/>
          </w:tcPr>
          <w:p w14:paraId="71D413BE" w14:textId="77777777" w:rsidR="006A3667" w:rsidRDefault="006A3667">
            <w:pPr>
              <w:rPr>
                <w:rFonts w:ascii="宋体"/>
                <w:vanish/>
              </w:rPr>
            </w:pPr>
          </w:p>
        </w:tc>
        <w:tc>
          <w:tcPr>
            <w:tcW w:w="0" w:type="auto"/>
            <w:gridSpan w:val="3"/>
            <w:shd w:val="clear" w:color="auto" w:fill="auto"/>
            <w:vAlign w:val="bottom"/>
          </w:tcPr>
          <w:p w14:paraId="71D413BF" w14:textId="77777777" w:rsidR="006A3667" w:rsidRDefault="006A3667">
            <w:pPr>
              <w:rPr>
                <w:rFonts w:ascii="宋体"/>
                <w:vanish/>
              </w:rPr>
            </w:pPr>
          </w:p>
        </w:tc>
        <w:tc>
          <w:tcPr>
            <w:tcW w:w="0" w:type="auto"/>
            <w:gridSpan w:val="3"/>
            <w:shd w:val="clear" w:color="auto" w:fill="auto"/>
            <w:vAlign w:val="bottom"/>
          </w:tcPr>
          <w:p w14:paraId="71D413C0" w14:textId="77777777" w:rsidR="006A3667" w:rsidRDefault="006A3667">
            <w:pPr>
              <w:rPr>
                <w:rFonts w:ascii="宋体"/>
                <w:vanish/>
              </w:rPr>
            </w:pPr>
          </w:p>
        </w:tc>
        <w:tc>
          <w:tcPr>
            <w:tcW w:w="0" w:type="auto"/>
            <w:gridSpan w:val="3"/>
            <w:shd w:val="clear" w:color="auto" w:fill="auto"/>
            <w:vAlign w:val="bottom"/>
          </w:tcPr>
          <w:p w14:paraId="71D413C1" w14:textId="77777777" w:rsidR="006A3667" w:rsidRDefault="006A3667">
            <w:pPr>
              <w:rPr>
                <w:rFonts w:ascii="宋体"/>
                <w:vanish/>
              </w:rPr>
            </w:pPr>
          </w:p>
        </w:tc>
        <w:tc>
          <w:tcPr>
            <w:tcW w:w="0" w:type="auto"/>
            <w:gridSpan w:val="3"/>
            <w:shd w:val="clear" w:color="auto" w:fill="auto"/>
            <w:vAlign w:val="bottom"/>
          </w:tcPr>
          <w:p w14:paraId="71D413C2" w14:textId="77777777" w:rsidR="006A3667" w:rsidRDefault="006A3667">
            <w:pPr>
              <w:rPr>
                <w:rFonts w:ascii="宋体"/>
                <w:vanish/>
              </w:rPr>
            </w:pPr>
          </w:p>
        </w:tc>
        <w:tc>
          <w:tcPr>
            <w:tcW w:w="0" w:type="auto"/>
            <w:gridSpan w:val="3"/>
            <w:shd w:val="clear" w:color="auto" w:fill="auto"/>
            <w:vAlign w:val="bottom"/>
          </w:tcPr>
          <w:p w14:paraId="71D413C3" w14:textId="77777777" w:rsidR="006A3667" w:rsidRDefault="006A3667">
            <w:pPr>
              <w:rPr>
                <w:rFonts w:ascii="宋体"/>
                <w:vanish/>
              </w:rPr>
            </w:pPr>
          </w:p>
        </w:tc>
        <w:tc>
          <w:tcPr>
            <w:tcW w:w="0" w:type="auto"/>
            <w:gridSpan w:val="3"/>
            <w:shd w:val="clear" w:color="auto" w:fill="auto"/>
            <w:vAlign w:val="bottom"/>
          </w:tcPr>
          <w:p w14:paraId="71D413C4" w14:textId="77777777" w:rsidR="006A3667" w:rsidRDefault="006A3667">
            <w:pPr>
              <w:rPr>
                <w:rFonts w:ascii="宋体"/>
                <w:vanish/>
              </w:rPr>
            </w:pPr>
          </w:p>
        </w:tc>
        <w:tc>
          <w:tcPr>
            <w:tcW w:w="0" w:type="auto"/>
            <w:gridSpan w:val="3"/>
            <w:shd w:val="clear" w:color="auto" w:fill="auto"/>
            <w:vAlign w:val="bottom"/>
          </w:tcPr>
          <w:p w14:paraId="71D413C5" w14:textId="77777777" w:rsidR="006A3667" w:rsidRDefault="006A3667">
            <w:pPr>
              <w:rPr>
                <w:rFonts w:ascii="宋体"/>
                <w:vanish/>
              </w:rPr>
            </w:pPr>
          </w:p>
        </w:tc>
        <w:tc>
          <w:tcPr>
            <w:tcW w:w="0" w:type="auto"/>
            <w:gridSpan w:val="3"/>
            <w:shd w:val="clear" w:color="auto" w:fill="auto"/>
            <w:vAlign w:val="bottom"/>
          </w:tcPr>
          <w:p w14:paraId="71D413C6" w14:textId="77777777" w:rsidR="006A3667" w:rsidRDefault="006A3667">
            <w:pPr>
              <w:rPr>
                <w:rFonts w:ascii="宋体"/>
                <w:vanish/>
              </w:rPr>
            </w:pPr>
          </w:p>
        </w:tc>
        <w:tc>
          <w:tcPr>
            <w:tcW w:w="0" w:type="auto"/>
            <w:gridSpan w:val="3"/>
            <w:shd w:val="clear" w:color="auto" w:fill="auto"/>
            <w:vAlign w:val="bottom"/>
          </w:tcPr>
          <w:p w14:paraId="71D413C7" w14:textId="77777777" w:rsidR="006A3667" w:rsidRDefault="006A3667">
            <w:pPr>
              <w:rPr>
                <w:rFonts w:ascii="宋体"/>
                <w:vanish/>
              </w:rPr>
            </w:pPr>
          </w:p>
        </w:tc>
        <w:tc>
          <w:tcPr>
            <w:tcW w:w="0" w:type="auto"/>
            <w:gridSpan w:val="3"/>
            <w:shd w:val="clear" w:color="auto" w:fill="auto"/>
            <w:vAlign w:val="bottom"/>
          </w:tcPr>
          <w:p w14:paraId="71D413C8" w14:textId="77777777" w:rsidR="006A3667" w:rsidRDefault="006A3667">
            <w:pPr>
              <w:rPr>
                <w:rFonts w:ascii="宋体"/>
                <w:vanish/>
              </w:rPr>
            </w:pPr>
          </w:p>
        </w:tc>
        <w:tc>
          <w:tcPr>
            <w:tcW w:w="0" w:type="auto"/>
            <w:gridSpan w:val="3"/>
            <w:shd w:val="clear" w:color="auto" w:fill="auto"/>
            <w:vAlign w:val="bottom"/>
          </w:tcPr>
          <w:p w14:paraId="71D413C9" w14:textId="77777777" w:rsidR="006A3667" w:rsidRDefault="006A3667">
            <w:pPr>
              <w:rPr>
                <w:rFonts w:ascii="宋体"/>
                <w:vanish/>
              </w:rPr>
            </w:pPr>
          </w:p>
        </w:tc>
        <w:tc>
          <w:tcPr>
            <w:tcW w:w="0" w:type="auto"/>
            <w:gridSpan w:val="3"/>
            <w:shd w:val="clear" w:color="auto" w:fill="auto"/>
            <w:vAlign w:val="bottom"/>
          </w:tcPr>
          <w:p w14:paraId="71D413CA" w14:textId="77777777" w:rsidR="006A3667" w:rsidRDefault="006A3667">
            <w:pPr>
              <w:rPr>
                <w:rFonts w:ascii="宋体"/>
                <w:vanish/>
              </w:rPr>
            </w:pPr>
          </w:p>
        </w:tc>
        <w:tc>
          <w:tcPr>
            <w:tcW w:w="0" w:type="auto"/>
            <w:gridSpan w:val="3"/>
            <w:shd w:val="clear" w:color="auto" w:fill="auto"/>
            <w:vAlign w:val="bottom"/>
          </w:tcPr>
          <w:p w14:paraId="71D413CB" w14:textId="77777777" w:rsidR="006A3667" w:rsidRDefault="006A3667">
            <w:pPr>
              <w:rPr>
                <w:rFonts w:ascii="宋体"/>
                <w:vanish/>
              </w:rPr>
            </w:pPr>
          </w:p>
        </w:tc>
        <w:tc>
          <w:tcPr>
            <w:tcW w:w="0" w:type="auto"/>
            <w:gridSpan w:val="3"/>
            <w:shd w:val="clear" w:color="auto" w:fill="auto"/>
            <w:vAlign w:val="bottom"/>
          </w:tcPr>
          <w:p w14:paraId="71D413CC" w14:textId="77777777" w:rsidR="006A3667" w:rsidRDefault="006A3667">
            <w:pPr>
              <w:rPr>
                <w:rFonts w:ascii="宋体"/>
                <w:vanish/>
              </w:rPr>
            </w:pPr>
          </w:p>
        </w:tc>
        <w:tc>
          <w:tcPr>
            <w:tcW w:w="0" w:type="auto"/>
            <w:gridSpan w:val="3"/>
            <w:shd w:val="clear" w:color="auto" w:fill="auto"/>
            <w:vAlign w:val="bottom"/>
          </w:tcPr>
          <w:p w14:paraId="71D413CD" w14:textId="77777777" w:rsidR="006A3667" w:rsidRDefault="006A3667">
            <w:pPr>
              <w:rPr>
                <w:rFonts w:ascii="宋体"/>
                <w:vanish/>
              </w:rPr>
            </w:pPr>
          </w:p>
        </w:tc>
        <w:tc>
          <w:tcPr>
            <w:tcW w:w="0" w:type="auto"/>
            <w:gridSpan w:val="3"/>
            <w:shd w:val="clear" w:color="auto" w:fill="auto"/>
            <w:vAlign w:val="bottom"/>
          </w:tcPr>
          <w:p w14:paraId="71D413CE" w14:textId="77777777" w:rsidR="006A3667" w:rsidRDefault="006A3667">
            <w:pPr>
              <w:rPr>
                <w:rFonts w:ascii="宋体"/>
                <w:vanish/>
              </w:rPr>
            </w:pPr>
          </w:p>
        </w:tc>
      </w:tr>
      <w:tr w:rsidR="00045F32" w14:paraId="71D413F0" w14:textId="77777777">
        <w:tc>
          <w:tcPr>
            <w:tcW w:w="0" w:type="auto"/>
            <w:gridSpan w:val="9"/>
            <w:shd w:val="clear" w:color="auto" w:fill="FFFFFF"/>
            <w:tcMar>
              <w:top w:w="40" w:type="dxa"/>
              <w:left w:w="20" w:type="dxa"/>
              <w:bottom w:w="40" w:type="dxa"/>
              <w:right w:w="20" w:type="dxa"/>
            </w:tcMar>
            <w:vAlign w:val="bottom"/>
          </w:tcPr>
          <w:p w14:paraId="71D413D0" w14:textId="77777777" w:rsidR="006A3667" w:rsidRDefault="00045F32">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71D413D1"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413D2" w14:textId="77777777" w:rsidR="006A3667" w:rsidRDefault="00045F32">
            <w:pPr>
              <w:jc w:val="right"/>
              <w:textAlignment w:val="bottom"/>
            </w:pPr>
            <w:r>
              <w:rPr>
                <w:rFonts w:ascii="Arial" w:eastAsia="宋体" w:hAnsi="Arial" w:cs="Arial"/>
                <w:b/>
                <w:bCs/>
                <w:color w:val="000000"/>
                <w:sz w:val="12"/>
                <w:szCs w:val="12"/>
              </w:rPr>
              <w:t>63,621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3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D4"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13D5"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413D6" w14:textId="77777777" w:rsidR="006A3667" w:rsidRDefault="00045F32">
            <w:pPr>
              <w:jc w:val="right"/>
              <w:textAlignment w:val="bottom"/>
            </w:pPr>
            <w:r>
              <w:rPr>
                <w:rFonts w:ascii="Arial" w:eastAsia="宋体" w:hAnsi="Arial" w:cs="Arial"/>
                <w:b/>
                <w:bCs/>
                <w:color w:val="000000"/>
                <w:sz w:val="12"/>
                <w:szCs w:val="12"/>
              </w:rPr>
              <w:t>113,357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3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D8"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13D9"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413DA" w14:textId="77777777" w:rsidR="006A3667" w:rsidRDefault="00045F32">
            <w:pPr>
              <w:jc w:val="right"/>
              <w:textAlignment w:val="bottom"/>
            </w:pPr>
            <w:r>
              <w:rPr>
                <w:rFonts w:ascii="Arial" w:eastAsia="宋体" w:hAnsi="Arial" w:cs="Arial"/>
                <w:color w:val="000000"/>
                <w:sz w:val="12"/>
                <w:szCs w:val="12"/>
              </w:rPr>
              <w:t>63,735 </w:t>
            </w:r>
          </w:p>
        </w:tc>
        <w:tc>
          <w:tcPr>
            <w:tcW w:w="0" w:type="auto"/>
            <w:shd w:val="clear" w:color="auto" w:fill="FFFFFF"/>
            <w:tcMar>
              <w:top w:w="40" w:type="dxa"/>
              <w:left w:w="0" w:type="dxa"/>
              <w:bottom w:w="40" w:type="dxa"/>
              <w:right w:w="20" w:type="dxa"/>
            </w:tcMar>
            <w:vAlign w:val="bottom"/>
          </w:tcPr>
          <w:p w14:paraId="71D413D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DC"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13DD"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413DE" w14:textId="77777777" w:rsidR="006A3667" w:rsidRDefault="00045F32">
            <w:pPr>
              <w:jc w:val="right"/>
              <w:textAlignment w:val="bottom"/>
            </w:pPr>
            <w:r>
              <w:rPr>
                <w:rFonts w:ascii="Arial" w:eastAsia="宋体" w:hAnsi="Arial" w:cs="Arial"/>
                <w:color w:val="000000"/>
                <w:sz w:val="12"/>
                <w:szCs w:val="12"/>
              </w:rPr>
              <w:t>109,554 </w:t>
            </w:r>
          </w:p>
        </w:tc>
        <w:tc>
          <w:tcPr>
            <w:tcW w:w="0" w:type="auto"/>
            <w:shd w:val="clear" w:color="auto" w:fill="FFFFFF"/>
            <w:tcMar>
              <w:top w:w="40" w:type="dxa"/>
              <w:left w:w="0" w:type="dxa"/>
              <w:bottom w:w="40" w:type="dxa"/>
              <w:right w:w="20" w:type="dxa"/>
            </w:tcMar>
            <w:vAlign w:val="bottom"/>
          </w:tcPr>
          <w:p w14:paraId="71D413D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E0"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13E1"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413E2" w14:textId="77777777" w:rsidR="006A3667" w:rsidRDefault="00045F32">
            <w:pPr>
              <w:jc w:val="right"/>
              <w:textAlignment w:val="bottom"/>
            </w:pPr>
            <w:r>
              <w:rPr>
                <w:rFonts w:ascii="Arial" w:eastAsia="宋体" w:hAnsi="Arial" w:cs="Arial"/>
                <w:b/>
                <w:bCs/>
                <w:color w:val="000000"/>
                <w:sz w:val="12"/>
                <w:szCs w:val="12"/>
              </w:rPr>
              <w:t>57,285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3E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E4"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13E5"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413E6" w14:textId="77777777" w:rsidR="006A3667" w:rsidRDefault="00045F32">
            <w:pPr>
              <w:jc w:val="right"/>
              <w:textAlignment w:val="bottom"/>
            </w:pPr>
            <w:r>
              <w:rPr>
                <w:rFonts w:ascii="Arial" w:eastAsia="宋体" w:hAnsi="Arial" w:cs="Arial"/>
                <w:b/>
                <w:bCs/>
                <w:color w:val="000000"/>
                <w:sz w:val="12"/>
                <w:szCs w:val="12"/>
              </w:rPr>
              <w:t>111,617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3E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E8"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13E9"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413EA" w14:textId="77777777" w:rsidR="006A3667" w:rsidRDefault="00045F32">
            <w:pPr>
              <w:jc w:val="right"/>
              <w:textAlignment w:val="bottom"/>
            </w:pPr>
            <w:r>
              <w:rPr>
                <w:rFonts w:ascii="Arial" w:eastAsia="宋体" w:hAnsi="Arial" w:cs="Arial"/>
                <w:color w:val="000000"/>
                <w:sz w:val="12"/>
                <w:szCs w:val="12"/>
              </w:rPr>
              <w:t>57,405 </w:t>
            </w:r>
          </w:p>
        </w:tc>
        <w:tc>
          <w:tcPr>
            <w:tcW w:w="0" w:type="auto"/>
            <w:shd w:val="clear" w:color="auto" w:fill="FFFFFF"/>
            <w:tcMar>
              <w:top w:w="40" w:type="dxa"/>
              <w:left w:w="0" w:type="dxa"/>
              <w:bottom w:w="40" w:type="dxa"/>
              <w:right w:w="20" w:type="dxa"/>
            </w:tcMar>
            <w:vAlign w:val="bottom"/>
          </w:tcPr>
          <w:p w14:paraId="71D413E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3EC"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13ED"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413EE" w14:textId="77777777" w:rsidR="006A3667" w:rsidRDefault="00045F32">
            <w:pPr>
              <w:jc w:val="right"/>
              <w:textAlignment w:val="bottom"/>
            </w:pPr>
            <w:r>
              <w:rPr>
                <w:rFonts w:ascii="Arial" w:eastAsia="宋体" w:hAnsi="Arial" w:cs="Arial"/>
                <w:color w:val="000000"/>
                <w:sz w:val="12"/>
                <w:szCs w:val="12"/>
              </w:rPr>
              <w:t>106,405 </w:t>
            </w:r>
          </w:p>
        </w:tc>
        <w:tc>
          <w:tcPr>
            <w:tcW w:w="0" w:type="auto"/>
            <w:shd w:val="clear" w:color="auto" w:fill="FFFFFF"/>
            <w:tcMar>
              <w:top w:w="40" w:type="dxa"/>
              <w:left w:w="0" w:type="dxa"/>
              <w:bottom w:w="40" w:type="dxa"/>
              <w:right w:w="20" w:type="dxa"/>
            </w:tcMar>
            <w:vAlign w:val="bottom"/>
          </w:tcPr>
          <w:p w14:paraId="71D413EF" w14:textId="77777777" w:rsidR="006A3667" w:rsidRDefault="006A3667">
            <w:pPr>
              <w:jc w:val="right"/>
              <w:rPr>
                <w:rFonts w:ascii="宋体"/>
              </w:rPr>
            </w:pPr>
          </w:p>
        </w:tc>
      </w:tr>
      <w:tr w:rsidR="006A3667" w14:paraId="71D41405" w14:textId="77777777">
        <w:tc>
          <w:tcPr>
            <w:tcW w:w="0" w:type="auto"/>
            <w:gridSpan w:val="9"/>
            <w:shd w:val="clear" w:color="auto" w:fill="CCEEFF"/>
            <w:tcMar>
              <w:top w:w="40" w:type="dxa"/>
              <w:left w:w="20" w:type="dxa"/>
              <w:bottom w:w="40" w:type="dxa"/>
              <w:right w:w="20" w:type="dxa"/>
            </w:tcMar>
            <w:vAlign w:val="bottom"/>
          </w:tcPr>
          <w:p w14:paraId="71D413F1" w14:textId="77777777" w:rsidR="006A3667" w:rsidRDefault="00045F32">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71D413F2" w14:textId="77777777" w:rsidR="006A3667" w:rsidRDefault="00045F32">
            <w:pPr>
              <w:jc w:val="right"/>
              <w:textAlignment w:val="bottom"/>
            </w:pPr>
            <w:r>
              <w:rPr>
                <w:rFonts w:ascii="Arial" w:eastAsia="宋体" w:hAnsi="Arial" w:cs="Arial"/>
                <w:b/>
                <w:bCs/>
                <w:color w:val="000000"/>
                <w:sz w:val="12"/>
                <w:szCs w:val="12"/>
              </w:rPr>
              <w:t>42,825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3F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F4"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413F5" w14:textId="77777777" w:rsidR="006A3667" w:rsidRDefault="00045F32">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1D413F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F7" w14:textId="77777777" w:rsidR="006A3667" w:rsidRDefault="00045F32">
            <w:pPr>
              <w:jc w:val="right"/>
              <w:textAlignment w:val="bottom"/>
            </w:pPr>
            <w:r>
              <w:rPr>
                <w:rFonts w:ascii="Arial" w:eastAsia="宋体" w:hAnsi="Arial" w:cs="Arial"/>
                <w:color w:val="000000"/>
                <w:sz w:val="12"/>
                <w:szCs w:val="12"/>
              </w:rPr>
              <w:t>45,550 </w:t>
            </w:r>
          </w:p>
        </w:tc>
        <w:tc>
          <w:tcPr>
            <w:tcW w:w="0" w:type="auto"/>
            <w:shd w:val="clear" w:color="auto" w:fill="CCEEFF"/>
            <w:tcMar>
              <w:top w:w="40" w:type="dxa"/>
              <w:left w:w="0" w:type="dxa"/>
              <w:bottom w:w="40" w:type="dxa"/>
              <w:right w:w="20" w:type="dxa"/>
            </w:tcMar>
            <w:vAlign w:val="bottom"/>
          </w:tcPr>
          <w:p w14:paraId="71D413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F9"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413FA" w14:textId="77777777" w:rsidR="006A3667" w:rsidRDefault="00045F32">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1D413F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3FC" w14:textId="77777777" w:rsidR="006A3667" w:rsidRDefault="00045F32">
            <w:pPr>
              <w:jc w:val="right"/>
              <w:textAlignment w:val="bottom"/>
            </w:pPr>
            <w:r>
              <w:rPr>
                <w:rFonts w:ascii="Arial" w:eastAsia="宋体" w:hAnsi="Arial" w:cs="Arial"/>
                <w:b/>
                <w:bCs/>
                <w:color w:val="000000"/>
                <w:sz w:val="12"/>
                <w:szCs w:val="12"/>
              </w:rPr>
              <w:t>42,438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3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3FE"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413FF" w14:textId="77777777" w:rsidR="006A3667" w:rsidRDefault="00045F32">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1D4140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401" w14:textId="77777777" w:rsidR="006A3667" w:rsidRDefault="00045F32">
            <w:pPr>
              <w:jc w:val="right"/>
              <w:textAlignment w:val="bottom"/>
            </w:pPr>
            <w:r>
              <w:rPr>
                <w:rFonts w:ascii="Arial" w:eastAsia="宋体" w:hAnsi="Arial" w:cs="Arial"/>
                <w:color w:val="000000"/>
                <w:sz w:val="12"/>
                <w:szCs w:val="12"/>
              </w:rPr>
              <w:t>42,813 </w:t>
            </w:r>
          </w:p>
        </w:tc>
        <w:tc>
          <w:tcPr>
            <w:tcW w:w="0" w:type="auto"/>
            <w:shd w:val="clear" w:color="auto" w:fill="CCEEFF"/>
            <w:tcMar>
              <w:top w:w="40" w:type="dxa"/>
              <w:left w:w="0" w:type="dxa"/>
              <w:bottom w:w="40" w:type="dxa"/>
              <w:right w:w="20" w:type="dxa"/>
            </w:tcMar>
            <w:vAlign w:val="bottom"/>
          </w:tcPr>
          <w:p w14:paraId="71D414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403"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41404" w14:textId="77777777" w:rsidR="006A3667" w:rsidRDefault="00045F32">
            <w:pPr>
              <w:jc w:val="right"/>
              <w:textAlignment w:val="bottom"/>
            </w:pPr>
            <w:r>
              <w:rPr>
                <w:rFonts w:ascii="Arial" w:eastAsia="宋体" w:hAnsi="Arial" w:cs="Arial"/>
                <w:color w:val="000000"/>
                <w:sz w:val="12"/>
                <w:szCs w:val="12"/>
              </w:rPr>
              <w:t>NA</w:t>
            </w:r>
          </w:p>
        </w:tc>
      </w:tr>
      <w:tr w:rsidR="006A3667" w14:paraId="71D41418" w14:textId="77777777">
        <w:trPr>
          <w:hidden/>
        </w:trPr>
        <w:tc>
          <w:tcPr>
            <w:tcW w:w="0" w:type="auto"/>
            <w:gridSpan w:val="3"/>
            <w:shd w:val="clear" w:color="auto" w:fill="auto"/>
            <w:vAlign w:val="bottom"/>
          </w:tcPr>
          <w:p w14:paraId="71D41406" w14:textId="77777777" w:rsidR="006A3667" w:rsidRDefault="006A3667">
            <w:pPr>
              <w:rPr>
                <w:rFonts w:ascii="宋体"/>
                <w:vanish/>
              </w:rPr>
            </w:pPr>
          </w:p>
        </w:tc>
        <w:tc>
          <w:tcPr>
            <w:tcW w:w="0" w:type="auto"/>
            <w:gridSpan w:val="3"/>
            <w:shd w:val="clear" w:color="auto" w:fill="auto"/>
            <w:vAlign w:val="bottom"/>
          </w:tcPr>
          <w:p w14:paraId="71D41407" w14:textId="77777777" w:rsidR="006A3667" w:rsidRDefault="006A3667">
            <w:pPr>
              <w:rPr>
                <w:rFonts w:ascii="宋体"/>
                <w:vanish/>
              </w:rPr>
            </w:pPr>
          </w:p>
        </w:tc>
        <w:tc>
          <w:tcPr>
            <w:tcW w:w="0" w:type="auto"/>
            <w:gridSpan w:val="3"/>
            <w:shd w:val="clear" w:color="auto" w:fill="auto"/>
            <w:vAlign w:val="bottom"/>
          </w:tcPr>
          <w:p w14:paraId="71D41408" w14:textId="77777777" w:rsidR="006A3667" w:rsidRDefault="006A3667">
            <w:pPr>
              <w:rPr>
                <w:rFonts w:ascii="宋体"/>
                <w:vanish/>
              </w:rPr>
            </w:pPr>
          </w:p>
        </w:tc>
        <w:tc>
          <w:tcPr>
            <w:tcW w:w="0" w:type="auto"/>
            <w:gridSpan w:val="3"/>
            <w:shd w:val="clear" w:color="auto" w:fill="auto"/>
            <w:vAlign w:val="bottom"/>
          </w:tcPr>
          <w:p w14:paraId="71D41409" w14:textId="77777777" w:rsidR="006A3667" w:rsidRDefault="006A3667">
            <w:pPr>
              <w:rPr>
                <w:rFonts w:ascii="宋体"/>
                <w:vanish/>
              </w:rPr>
            </w:pPr>
          </w:p>
        </w:tc>
        <w:tc>
          <w:tcPr>
            <w:tcW w:w="0" w:type="auto"/>
            <w:gridSpan w:val="3"/>
            <w:shd w:val="clear" w:color="auto" w:fill="auto"/>
            <w:vAlign w:val="bottom"/>
          </w:tcPr>
          <w:p w14:paraId="71D4140A" w14:textId="77777777" w:rsidR="006A3667" w:rsidRDefault="006A3667">
            <w:pPr>
              <w:rPr>
                <w:rFonts w:ascii="宋体"/>
                <w:vanish/>
              </w:rPr>
            </w:pPr>
          </w:p>
        </w:tc>
        <w:tc>
          <w:tcPr>
            <w:tcW w:w="0" w:type="auto"/>
            <w:gridSpan w:val="3"/>
            <w:shd w:val="clear" w:color="auto" w:fill="auto"/>
            <w:vAlign w:val="bottom"/>
          </w:tcPr>
          <w:p w14:paraId="71D4140B" w14:textId="77777777" w:rsidR="006A3667" w:rsidRDefault="006A3667">
            <w:pPr>
              <w:rPr>
                <w:rFonts w:ascii="宋体"/>
                <w:vanish/>
              </w:rPr>
            </w:pPr>
          </w:p>
        </w:tc>
        <w:tc>
          <w:tcPr>
            <w:tcW w:w="0" w:type="auto"/>
            <w:gridSpan w:val="3"/>
            <w:shd w:val="clear" w:color="auto" w:fill="auto"/>
            <w:vAlign w:val="bottom"/>
          </w:tcPr>
          <w:p w14:paraId="71D4140C" w14:textId="77777777" w:rsidR="006A3667" w:rsidRDefault="006A3667">
            <w:pPr>
              <w:rPr>
                <w:rFonts w:ascii="宋体"/>
                <w:vanish/>
              </w:rPr>
            </w:pPr>
          </w:p>
        </w:tc>
        <w:tc>
          <w:tcPr>
            <w:tcW w:w="0" w:type="auto"/>
            <w:gridSpan w:val="3"/>
            <w:shd w:val="clear" w:color="auto" w:fill="auto"/>
            <w:vAlign w:val="bottom"/>
          </w:tcPr>
          <w:p w14:paraId="71D4140D" w14:textId="77777777" w:rsidR="006A3667" w:rsidRDefault="006A3667">
            <w:pPr>
              <w:rPr>
                <w:rFonts w:ascii="宋体"/>
                <w:vanish/>
              </w:rPr>
            </w:pPr>
          </w:p>
        </w:tc>
        <w:tc>
          <w:tcPr>
            <w:tcW w:w="0" w:type="auto"/>
            <w:gridSpan w:val="3"/>
            <w:shd w:val="clear" w:color="auto" w:fill="auto"/>
            <w:vAlign w:val="bottom"/>
          </w:tcPr>
          <w:p w14:paraId="71D4140E" w14:textId="77777777" w:rsidR="006A3667" w:rsidRDefault="006A3667">
            <w:pPr>
              <w:rPr>
                <w:rFonts w:ascii="宋体"/>
                <w:vanish/>
              </w:rPr>
            </w:pPr>
          </w:p>
        </w:tc>
        <w:tc>
          <w:tcPr>
            <w:tcW w:w="0" w:type="auto"/>
            <w:gridSpan w:val="3"/>
            <w:shd w:val="clear" w:color="auto" w:fill="auto"/>
            <w:vAlign w:val="bottom"/>
          </w:tcPr>
          <w:p w14:paraId="71D4140F" w14:textId="77777777" w:rsidR="006A3667" w:rsidRDefault="006A3667">
            <w:pPr>
              <w:rPr>
                <w:rFonts w:ascii="宋体"/>
                <w:vanish/>
              </w:rPr>
            </w:pPr>
          </w:p>
        </w:tc>
        <w:tc>
          <w:tcPr>
            <w:tcW w:w="0" w:type="auto"/>
            <w:gridSpan w:val="3"/>
            <w:shd w:val="clear" w:color="auto" w:fill="auto"/>
            <w:vAlign w:val="bottom"/>
          </w:tcPr>
          <w:p w14:paraId="71D41410" w14:textId="77777777" w:rsidR="006A3667" w:rsidRDefault="006A3667">
            <w:pPr>
              <w:rPr>
                <w:rFonts w:ascii="宋体"/>
                <w:vanish/>
              </w:rPr>
            </w:pPr>
          </w:p>
        </w:tc>
        <w:tc>
          <w:tcPr>
            <w:tcW w:w="0" w:type="auto"/>
            <w:gridSpan w:val="3"/>
            <w:shd w:val="clear" w:color="auto" w:fill="auto"/>
            <w:vAlign w:val="bottom"/>
          </w:tcPr>
          <w:p w14:paraId="71D41411" w14:textId="77777777" w:rsidR="006A3667" w:rsidRDefault="006A3667">
            <w:pPr>
              <w:rPr>
                <w:rFonts w:ascii="宋体"/>
                <w:vanish/>
              </w:rPr>
            </w:pPr>
          </w:p>
        </w:tc>
        <w:tc>
          <w:tcPr>
            <w:tcW w:w="0" w:type="auto"/>
            <w:gridSpan w:val="3"/>
            <w:shd w:val="clear" w:color="auto" w:fill="auto"/>
            <w:vAlign w:val="bottom"/>
          </w:tcPr>
          <w:p w14:paraId="71D41412" w14:textId="77777777" w:rsidR="006A3667" w:rsidRDefault="006A3667">
            <w:pPr>
              <w:rPr>
                <w:rFonts w:ascii="宋体"/>
                <w:vanish/>
              </w:rPr>
            </w:pPr>
          </w:p>
        </w:tc>
        <w:tc>
          <w:tcPr>
            <w:tcW w:w="0" w:type="auto"/>
            <w:gridSpan w:val="3"/>
            <w:shd w:val="clear" w:color="auto" w:fill="auto"/>
            <w:vAlign w:val="bottom"/>
          </w:tcPr>
          <w:p w14:paraId="71D41413" w14:textId="77777777" w:rsidR="006A3667" w:rsidRDefault="006A3667">
            <w:pPr>
              <w:rPr>
                <w:rFonts w:ascii="宋体"/>
                <w:vanish/>
              </w:rPr>
            </w:pPr>
          </w:p>
        </w:tc>
        <w:tc>
          <w:tcPr>
            <w:tcW w:w="0" w:type="auto"/>
            <w:gridSpan w:val="3"/>
            <w:shd w:val="clear" w:color="auto" w:fill="auto"/>
            <w:vAlign w:val="bottom"/>
          </w:tcPr>
          <w:p w14:paraId="71D41414" w14:textId="77777777" w:rsidR="006A3667" w:rsidRDefault="006A3667">
            <w:pPr>
              <w:rPr>
                <w:rFonts w:ascii="宋体"/>
                <w:vanish/>
              </w:rPr>
            </w:pPr>
          </w:p>
        </w:tc>
        <w:tc>
          <w:tcPr>
            <w:tcW w:w="0" w:type="auto"/>
            <w:gridSpan w:val="3"/>
            <w:shd w:val="clear" w:color="auto" w:fill="auto"/>
            <w:vAlign w:val="bottom"/>
          </w:tcPr>
          <w:p w14:paraId="71D41415" w14:textId="77777777" w:rsidR="006A3667" w:rsidRDefault="006A3667">
            <w:pPr>
              <w:rPr>
                <w:rFonts w:ascii="宋体"/>
                <w:vanish/>
              </w:rPr>
            </w:pPr>
          </w:p>
        </w:tc>
        <w:tc>
          <w:tcPr>
            <w:tcW w:w="0" w:type="auto"/>
            <w:gridSpan w:val="3"/>
            <w:shd w:val="clear" w:color="auto" w:fill="auto"/>
            <w:vAlign w:val="bottom"/>
          </w:tcPr>
          <w:p w14:paraId="71D41416" w14:textId="77777777" w:rsidR="006A3667" w:rsidRDefault="006A3667">
            <w:pPr>
              <w:rPr>
                <w:rFonts w:ascii="宋体"/>
                <w:vanish/>
              </w:rPr>
            </w:pPr>
          </w:p>
        </w:tc>
        <w:tc>
          <w:tcPr>
            <w:tcW w:w="0" w:type="auto"/>
            <w:gridSpan w:val="3"/>
            <w:shd w:val="clear" w:color="auto" w:fill="auto"/>
            <w:vAlign w:val="bottom"/>
          </w:tcPr>
          <w:p w14:paraId="71D41417" w14:textId="77777777" w:rsidR="006A3667" w:rsidRDefault="006A3667">
            <w:pPr>
              <w:rPr>
                <w:rFonts w:ascii="宋体"/>
                <w:vanish/>
              </w:rPr>
            </w:pPr>
          </w:p>
        </w:tc>
      </w:tr>
      <w:tr w:rsidR="006A3667" w14:paraId="71D4142B" w14:textId="77777777">
        <w:trPr>
          <w:hidden/>
        </w:trPr>
        <w:tc>
          <w:tcPr>
            <w:tcW w:w="0" w:type="auto"/>
            <w:gridSpan w:val="3"/>
            <w:shd w:val="clear" w:color="auto" w:fill="auto"/>
            <w:vAlign w:val="bottom"/>
          </w:tcPr>
          <w:p w14:paraId="71D41419" w14:textId="77777777" w:rsidR="006A3667" w:rsidRDefault="006A3667">
            <w:pPr>
              <w:rPr>
                <w:rFonts w:ascii="宋体"/>
                <w:vanish/>
              </w:rPr>
            </w:pPr>
          </w:p>
        </w:tc>
        <w:tc>
          <w:tcPr>
            <w:tcW w:w="0" w:type="auto"/>
            <w:gridSpan w:val="3"/>
            <w:shd w:val="clear" w:color="auto" w:fill="auto"/>
            <w:vAlign w:val="bottom"/>
          </w:tcPr>
          <w:p w14:paraId="71D4141A" w14:textId="77777777" w:rsidR="006A3667" w:rsidRDefault="006A3667">
            <w:pPr>
              <w:rPr>
                <w:rFonts w:ascii="宋体"/>
                <w:vanish/>
              </w:rPr>
            </w:pPr>
          </w:p>
        </w:tc>
        <w:tc>
          <w:tcPr>
            <w:tcW w:w="0" w:type="auto"/>
            <w:gridSpan w:val="3"/>
            <w:shd w:val="clear" w:color="auto" w:fill="auto"/>
            <w:vAlign w:val="bottom"/>
          </w:tcPr>
          <w:p w14:paraId="71D4141B" w14:textId="77777777" w:rsidR="006A3667" w:rsidRDefault="006A3667">
            <w:pPr>
              <w:rPr>
                <w:rFonts w:ascii="宋体"/>
                <w:vanish/>
              </w:rPr>
            </w:pPr>
          </w:p>
        </w:tc>
        <w:tc>
          <w:tcPr>
            <w:tcW w:w="0" w:type="auto"/>
            <w:gridSpan w:val="3"/>
            <w:shd w:val="clear" w:color="auto" w:fill="auto"/>
            <w:vAlign w:val="bottom"/>
          </w:tcPr>
          <w:p w14:paraId="71D4141C" w14:textId="77777777" w:rsidR="006A3667" w:rsidRDefault="006A3667">
            <w:pPr>
              <w:rPr>
                <w:rFonts w:ascii="宋体"/>
                <w:vanish/>
              </w:rPr>
            </w:pPr>
          </w:p>
        </w:tc>
        <w:tc>
          <w:tcPr>
            <w:tcW w:w="0" w:type="auto"/>
            <w:gridSpan w:val="3"/>
            <w:shd w:val="clear" w:color="auto" w:fill="auto"/>
            <w:vAlign w:val="bottom"/>
          </w:tcPr>
          <w:p w14:paraId="71D4141D" w14:textId="77777777" w:rsidR="006A3667" w:rsidRDefault="006A3667">
            <w:pPr>
              <w:rPr>
                <w:rFonts w:ascii="宋体"/>
                <w:vanish/>
              </w:rPr>
            </w:pPr>
          </w:p>
        </w:tc>
        <w:tc>
          <w:tcPr>
            <w:tcW w:w="0" w:type="auto"/>
            <w:gridSpan w:val="3"/>
            <w:shd w:val="clear" w:color="auto" w:fill="auto"/>
            <w:vAlign w:val="bottom"/>
          </w:tcPr>
          <w:p w14:paraId="71D4141E" w14:textId="77777777" w:rsidR="006A3667" w:rsidRDefault="006A3667">
            <w:pPr>
              <w:rPr>
                <w:rFonts w:ascii="宋体"/>
                <w:vanish/>
              </w:rPr>
            </w:pPr>
          </w:p>
        </w:tc>
        <w:tc>
          <w:tcPr>
            <w:tcW w:w="0" w:type="auto"/>
            <w:gridSpan w:val="3"/>
            <w:shd w:val="clear" w:color="auto" w:fill="auto"/>
            <w:vAlign w:val="bottom"/>
          </w:tcPr>
          <w:p w14:paraId="71D4141F" w14:textId="77777777" w:rsidR="006A3667" w:rsidRDefault="006A3667">
            <w:pPr>
              <w:rPr>
                <w:rFonts w:ascii="宋体"/>
                <w:vanish/>
              </w:rPr>
            </w:pPr>
          </w:p>
        </w:tc>
        <w:tc>
          <w:tcPr>
            <w:tcW w:w="0" w:type="auto"/>
            <w:gridSpan w:val="3"/>
            <w:shd w:val="clear" w:color="auto" w:fill="auto"/>
            <w:vAlign w:val="bottom"/>
          </w:tcPr>
          <w:p w14:paraId="71D41420" w14:textId="77777777" w:rsidR="006A3667" w:rsidRDefault="006A3667">
            <w:pPr>
              <w:rPr>
                <w:rFonts w:ascii="宋体"/>
                <w:vanish/>
              </w:rPr>
            </w:pPr>
          </w:p>
        </w:tc>
        <w:tc>
          <w:tcPr>
            <w:tcW w:w="0" w:type="auto"/>
            <w:gridSpan w:val="3"/>
            <w:shd w:val="clear" w:color="auto" w:fill="auto"/>
            <w:vAlign w:val="bottom"/>
          </w:tcPr>
          <w:p w14:paraId="71D41421" w14:textId="77777777" w:rsidR="006A3667" w:rsidRDefault="006A3667">
            <w:pPr>
              <w:rPr>
                <w:rFonts w:ascii="宋体"/>
                <w:vanish/>
              </w:rPr>
            </w:pPr>
          </w:p>
        </w:tc>
        <w:tc>
          <w:tcPr>
            <w:tcW w:w="0" w:type="auto"/>
            <w:gridSpan w:val="3"/>
            <w:shd w:val="clear" w:color="auto" w:fill="auto"/>
            <w:vAlign w:val="bottom"/>
          </w:tcPr>
          <w:p w14:paraId="71D41422" w14:textId="77777777" w:rsidR="006A3667" w:rsidRDefault="006A3667">
            <w:pPr>
              <w:rPr>
                <w:rFonts w:ascii="宋体"/>
                <w:vanish/>
              </w:rPr>
            </w:pPr>
          </w:p>
        </w:tc>
        <w:tc>
          <w:tcPr>
            <w:tcW w:w="0" w:type="auto"/>
            <w:gridSpan w:val="3"/>
            <w:shd w:val="clear" w:color="auto" w:fill="auto"/>
            <w:vAlign w:val="bottom"/>
          </w:tcPr>
          <w:p w14:paraId="71D41423" w14:textId="77777777" w:rsidR="006A3667" w:rsidRDefault="006A3667">
            <w:pPr>
              <w:rPr>
                <w:rFonts w:ascii="宋体"/>
                <w:vanish/>
              </w:rPr>
            </w:pPr>
          </w:p>
        </w:tc>
        <w:tc>
          <w:tcPr>
            <w:tcW w:w="0" w:type="auto"/>
            <w:gridSpan w:val="3"/>
            <w:shd w:val="clear" w:color="auto" w:fill="auto"/>
            <w:vAlign w:val="bottom"/>
          </w:tcPr>
          <w:p w14:paraId="71D41424" w14:textId="77777777" w:rsidR="006A3667" w:rsidRDefault="006A3667">
            <w:pPr>
              <w:rPr>
                <w:rFonts w:ascii="宋体"/>
                <w:vanish/>
              </w:rPr>
            </w:pPr>
          </w:p>
        </w:tc>
        <w:tc>
          <w:tcPr>
            <w:tcW w:w="0" w:type="auto"/>
            <w:gridSpan w:val="3"/>
            <w:shd w:val="clear" w:color="auto" w:fill="auto"/>
            <w:vAlign w:val="bottom"/>
          </w:tcPr>
          <w:p w14:paraId="71D41425" w14:textId="77777777" w:rsidR="006A3667" w:rsidRDefault="006A3667">
            <w:pPr>
              <w:rPr>
                <w:rFonts w:ascii="宋体"/>
                <w:vanish/>
              </w:rPr>
            </w:pPr>
          </w:p>
        </w:tc>
        <w:tc>
          <w:tcPr>
            <w:tcW w:w="0" w:type="auto"/>
            <w:gridSpan w:val="3"/>
            <w:shd w:val="clear" w:color="auto" w:fill="auto"/>
            <w:vAlign w:val="bottom"/>
          </w:tcPr>
          <w:p w14:paraId="71D41426" w14:textId="77777777" w:rsidR="006A3667" w:rsidRDefault="006A3667">
            <w:pPr>
              <w:rPr>
                <w:rFonts w:ascii="宋体"/>
                <w:vanish/>
              </w:rPr>
            </w:pPr>
          </w:p>
        </w:tc>
        <w:tc>
          <w:tcPr>
            <w:tcW w:w="0" w:type="auto"/>
            <w:gridSpan w:val="3"/>
            <w:shd w:val="clear" w:color="auto" w:fill="auto"/>
            <w:vAlign w:val="bottom"/>
          </w:tcPr>
          <w:p w14:paraId="71D41427" w14:textId="77777777" w:rsidR="006A3667" w:rsidRDefault="006A3667">
            <w:pPr>
              <w:rPr>
                <w:rFonts w:ascii="宋体"/>
                <w:vanish/>
              </w:rPr>
            </w:pPr>
          </w:p>
        </w:tc>
        <w:tc>
          <w:tcPr>
            <w:tcW w:w="0" w:type="auto"/>
            <w:gridSpan w:val="3"/>
            <w:shd w:val="clear" w:color="auto" w:fill="auto"/>
            <w:vAlign w:val="bottom"/>
          </w:tcPr>
          <w:p w14:paraId="71D41428" w14:textId="77777777" w:rsidR="006A3667" w:rsidRDefault="006A3667">
            <w:pPr>
              <w:rPr>
                <w:rFonts w:ascii="宋体"/>
                <w:vanish/>
              </w:rPr>
            </w:pPr>
          </w:p>
        </w:tc>
        <w:tc>
          <w:tcPr>
            <w:tcW w:w="0" w:type="auto"/>
            <w:gridSpan w:val="3"/>
            <w:shd w:val="clear" w:color="auto" w:fill="auto"/>
            <w:vAlign w:val="bottom"/>
          </w:tcPr>
          <w:p w14:paraId="71D41429" w14:textId="77777777" w:rsidR="006A3667" w:rsidRDefault="006A3667">
            <w:pPr>
              <w:rPr>
                <w:rFonts w:ascii="宋体"/>
                <w:vanish/>
              </w:rPr>
            </w:pPr>
          </w:p>
        </w:tc>
        <w:tc>
          <w:tcPr>
            <w:tcW w:w="0" w:type="auto"/>
            <w:gridSpan w:val="3"/>
            <w:shd w:val="clear" w:color="auto" w:fill="auto"/>
            <w:vAlign w:val="bottom"/>
          </w:tcPr>
          <w:p w14:paraId="71D4142A" w14:textId="77777777" w:rsidR="006A3667" w:rsidRDefault="006A3667">
            <w:pPr>
              <w:rPr>
                <w:rFonts w:ascii="宋体"/>
                <w:vanish/>
              </w:rPr>
            </w:pPr>
          </w:p>
        </w:tc>
      </w:tr>
      <w:tr w:rsidR="006A3667" w14:paraId="71D4143E" w14:textId="77777777">
        <w:trPr>
          <w:hidden/>
        </w:trPr>
        <w:tc>
          <w:tcPr>
            <w:tcW w:w="0" w:type="auto"/>
            <w:gridSpan w:val="3"/>
            <w:shd w:val="clear" w:color="auto" w:fill="auto"/>
            <w:vAlign w:val="bottom"/>
          </w:tcPr>
          <w:p w14:paraId="71D4142C" w14:textId="77777777" w:rsidR="006A3667" w:rsidRDefault="006A3667">
            <w:pPr>
              <w:rPr>
                <w:rFonts w:ascii="宋体"/>
                <w:vanish/>
              </w:rPr>
            </w:pPr>
          </w:p>
        </w:tc>
        <w:tc>
          <w:tcPr>
            <w:tcW w:w="0" w:type="auto"/>
            <w:gridSpan w:val="3"/>
            <w:shd w:val="clear" w:color="auto" w:fill="auto"/>
            <w:vAlign w:val="bottom"/>
          </w:tcPr>
          <w:p w14:paraId="71D4142D" w14:textId="77777777" w:rsidR="006A3667" w:rsidRDefault="006A3667">
            <w:pPr>
              <w:rPr>
                <w:rFonts w:ascii="宋体"/>
                <w:vanish/>
              </w:rPr>
            </w:pPr>
          </w:p>
        </w:tc>
        <w:tc>
          <w:tcPr>
            <w:tcW w:w="0" w:type="auto"/>
            <w:gridSpan w:val="3"/>
            <w:shd w:val="clear" w:color="auto" w:fill="auto"/>
            <w:vAlign w:val="bottom"/>
          </w:tcPr>
          <w:p w14:paraId="71D4142E" w14:textId="77777777" w:rsidR="006A3667" w:rsidRDefault="006A3667">
            <w:pPr>
              <w:rPr>
                <w:rFonts w:ascii="宋体"/>
                <w:vanish/>
              </w:rPr>
            </w:pPr>
          </w:p>
        </w:tc>
        <w:tc>
          <w:tcPr>
            <w:tcW w:w="0" w:type="auto"/>
            <w:gridSpan w:val="3"/>
            <w:shd w:val="clear" w:color="auto" w:fill="auto"/>
            <w:vAlign w:val="bottom"/>
          </w:tcPr>
          <w:p w14:paraId="71D4142F" w14:textId="77777777" w:rsidR="006A3667" w:rsidRDefault="006A3667">
            <w:pPr>
              <w:rPr>
                <w:rFonts w:ascii="宋体"/>
                <w:vanish/>
              </w:rPr>
            </w:pPr>
          </w:p>
        </w:tc>
        <w:tc>
          <w:tcPr>
            <w:tcW w:w="0" w:type="auto"/>
            <w:gridSpan w:val="3"/>
            <w:shd w:val="clear" w:color="auto" w:fill="auto"/>
            <w:vAlign w:val="bottom"/>
          </w:tcPr>
          <w:p w14:paraId="71D41430" w14:textId="77777777" w:rsidR="006A3667" w:rsidRDefault="006A3667">
            <w:pPr>
              <w:rPr>
                <w:rFonts w:ascii="宋体"/>
                <w:vanish/>
              </w:rPr>
            </w:pPr>
          </w:p>
        </w:tc>
        <w:tc>
          <w:tcPr>
            <w:tcW w:w="0" w:type="auto"/>
            <w:gridSpan w:val="3"/>
            <w:shd w:val="clear" w:color="auto" w:fill="auto"/>
            <w:vAlign w:val="bottom"/>
          </w:tcPr>
          <w:p w14:paraId="71D41431" w14:textId="77777777" w:rsidR="006A3667" w:rsidRDefault="006A3667">
            <w:pPr>
              <w:rPr>
                <w:rFonts w:ascii="宋体"/>
                <w:vanish/>
              </w:rPr>
            </w:pPr>
          </w:p>
        </w:tc>
        <w:tc>
          <w:tcPr>
            <w:tcW w:w="0" w:type="auto"/>
            <w:gridSpan w:val="3"/>
            <w:shd w:val="clear" w:color="auto" w:fill="auto"/>
            <w:vAlign w:val="bottom"/>
          </w:tcPr>
          <w:p w14:paraId="71D41432" w14:textId="77777777" w:rsidR="006A3667" w:rsidRDefault="006A3667">
            <w:pPr>
              <w:rPr>
                <w:rFonts w:ascii="宋体"/>
                <w:vanish/>
              </w:rPr>
            </w:pPr>
          </w:p>
        </w:tc>
        <w:tc>
          <w:tcPr>
            <w:tcW w:w="0" w:type="auto"/>
            <w:gridSpan w:val="3"/>
            <w:shd w:val="clear" w:color="auto" w:fill="auto"/>
            <w:vAlign w:val="bottom"/>
          </w:tcPr>
          <w:p w14:paraId="71D41433" w14:textId="77777777" w:rsidR="006A3667" w:rsidRDefault="006A3667">
            <w:pPr>
              <w:rPr>
                <w:rFonts w:ascii="宋体"/>
                <w:vanish/>
              </w:rPr>
            </w:pPr>
          </w:p>
        </w:tc>
        <w:tc>
          <w:tcPr>
            <w:tcW w:w="0" w:type="auto"/>
            <w:gridSpan w:val="3"/>
            <w:shd w:val="clear" w:color="auto" w:fill="auto"/>
            <w:vAlign w:val="bottom"/>
          </w:tcPr>
          <w:p w14:paraId="71D41434" w14:textId="77777777" w:rsidR="006A3667" w:rsidRDefault="006A3667">
            <w:pPr>
              <w:rPr>
                <w:rFonts w:ascii="宋体"/>
                <w:vanish/>
              </w:rPr>
            </w:pPr>
          </w:p>
        </w:tc>
        <w:tc>
          <w:tcPr>
            <w:tcW w:w="0" w:type="auto"/>
            <w:gridSpan w:val="3"/>
            <w:shd w:val="clear" w:color="auto" w:fill="auto"/>
            <w:vAlign w:val="bottom"/>
          </w:tcPr>
          <w:p w14:paraId="71D41435" w14:textId="77777777" w:rsidR="006A3667" w:rsidRDefault="006A3667">
            <w:pPr>
              <w:rPr>
                <w:rFonts w:ascii="宋体"/>
                <w:vanish/>
              </w:rPr>
            </w:pPr>
          </w:p>
        </w:tc>
        <w:tc>
          <w:tcPr>
            <w:tcW w:w="0" w:type="auto"/>
            <w:gridSpan w:val="3"/>
            <w:shd w:val="clear" w:color="auto" w:fill="auto"/>
            <w:vAlign w:val="bottom"/>
          </w:tcPr>
          <w:p w14:paraId="71D41436" w14:textId="77777777" w:rsidR="006A3667" w:rsidRDefault="006A3667">
            <w:pPr>
              <w:rPr>
                <w:rFonts w:ascii="宋体"/>
                <w:vanish/>
              </w:rPr>
            </w:pPr>
          </w:p>
        </w:tc>
        <w:tc>
          <w:tcPr>
            <w:tcW w:w="0" w:type="auto"/>
            <w:gridSpan w:val="3"/>
            <w:shd w:val="clear" w:color="auto" w:fill="auto"/>
            <w:vAlign w:val="bottom"/>
          </w:tcPr>
          <w:p w14:paraId="71D41437" w14:textId="77777777" w:rsidR="006A3667" w:rsidRDefault="006A3667">
            <w:pPr>
              <w:rPr>
                <w:rFonts w:ascii="宋体"/>
                <w:vanish/>
              </w:rPr>
            </w:pPr>
          </w:p>
        </w:tc>
        <w:tc>
          <w:tcPr>
            <w:tcW w:w="0" w:type="auto"/>
            <w:gridSpan w:val="3"/>
            <w:shd w:val="clear" w:color="auto" w:fill="auto"/>
            <w:vAlign w:val="bottom"/>
          </w:tcPr>
          <w:p w14:paraId="71D41438" w14:textId="77777777" w:rsidR="006A3667" w:rsidRDefault="006A3667">
            <w:pPr>
              <w:rPr>
                <w:rFonts w:ascii="宋体"/>
                <w:vanish/>
              </w:rPr>
            </w:pPr>
          </w:p>
        </w:tc>
        <w:tc>
          <w:tcPr>
            <w:tcW w:w="0" w:type="auto"/>
            <w:gridSpan w:val="3"/>
            <w:shd w:val="clear" w:color="auto" w:fill="auto"/>
            <w:vAlign w:val="bottom"/>
          </w:tcPr>
          <w:p w14:paraId="71D41439" w14:textId="77777777" w:rsidR="006A3667" w:rsidRDefault="006A3667">
            <w:pPr>
              <w:rPr>
                <w:rFonts w:ascii="宋体"/>
                <w:vanish/>
              </w:rPr>
            </w:pPr>
          </w:p>
        </w:tc>
        <w:tc>
          <w:tcPr>
            <w:tcW w:w="0" w:type="auto"/>
            <w:gridSpan w:val="3"/>
            <w:shd w:val="clear" w:color="auto" w:fill="auto"/>
            <w:vAlign w:val="bottom"/>
          </w:tcPr>
          <w:p w14:paraId="71D4143A" w14:textId="77777777" w:rsidR="006A3667" w:rsidRDefault="006A3667">
            <w:pPr>
              <w:rPr>
                <w:rFonts w:ascii="宋体"/>
                <w:vanish/>
              </w:rPr>
            </w:pPr>
          </w:p>
        </w:tc>
        <w:tc>
          <w:tcPr>
            <w:tcW w:w="0" w:type="auto"/>
            <w:gridSpan w:val="3"/>
            <w:shd w:val="clear" w:color="auto" w:fill="auto"/>
            <w:vAlign w:val="bottom"/>
          </w:tcPr>
          <w:p w14:paraId="71D4143B" w14:textId="77777777" w:rsidR="006A3667" w:rsidRDefault="006A3667">
            <w:pPr>
              <w:rPr>
                <w:rFonts w:ascii="宋体"/>
                <w:vanish/>
              </w:rPr>
            </w:pPr>
          </w:p>
        </w:tc>
        <w:tc>
          <w:tcPr>
            <w:tcW w:w="0" w:type="auto"/>
            <w:gridSpan w:val="3"/>
            <w:shd w:val="clear" w:color="auto" w:fill="auto"/>
            <w:vAlign w:val="bottom"/>
          </w:tcPr>
          <w:p w14:paraId="71D4143C" w14:textId="77777777" w:rsidR="006A3667" w:rsidRDefault="006A3667">
            <w:pPr>
              <w:rPr>
                <w:rFonts w:ascii="宋体"/>
                <w:vanish/>
              </w:rPr>
            </w:pPr>
          </w:p>
        </w:tc>
        <w:tc>
          <w:tcPr>
            <w:tcW w:w="0" w:type="auto"/>
            <w:gridSpan w:val="3"/>
            <w:shd w:val="clear" w:color="auto" w:fill="auto"/>
            <w:vAlign w:val="bottom"/>
          </w:tcPr>
          <w:p w14:paraId="71D4143D" w14:textId="77777777" w:rsidR="006A3667" w:rsidRDefault="006A3667">
            <w:pPr>
              <w:rPr>
                <w:rFonts w:ascii="宋体"/>
                <w:vanish/>
              </w:rPr>
            </w:pPr>
          </w:p>
        </w:tc>
      </w:tr>
      <w:tr w:rsidR="006A3667" w14:paraId="71D41451" w14:textId="77777777">
        <w:trPr>
          <w:hidden/>
        </w:trPr>
        <w:tc>
          <w:tcPr>
            <w:tcW w:w="0" w:type="auto"/>
            <w:gridSpan w:val="3"/>
            <w:shd w:val="clear" w:color="auto" w:fill="auto"/>
            <w:vAlign w:val="bottom"/>
          </w:tcPr>
          <w:p w14:paraId="71D4143F" w14:textId="77777777" w:rsidR="006A3667" w:rsidRDefault="006A3667">
            <w:pPr>
              <w:rPr>
                <w:rFonts w:ascii="宋体"/>
                <w:vanish/>
              </w:rPr>
            </w:pPr>
          </w:p>
        </w:tc>
        <w:tc>
          <w:tcPr>
            <w:tcW w:w="0" w:type="auto"/>
            <w:gridSpan w:val="3"/>
            <w:shd w:val="clear" w:color="auto" w:fill="auto"/>
            <w:vAlign w:val="bottom"/>
          </w:tcPr>
          <w:p w14:paraId="71D41440" w14:textId="77777777" w:rsidR="006A3667" w:rsidRDefault="006A3667">
            <w:pPr>
              <w:rPr>
                <w:rFonts w:ascii="宋体"/>
                <w:vanish/>
              </w:rPr>
            </w:pPr>
          </w:p>
        </w:tc>
        <w:tc>
          <w:tcPr>
            <w:tcW w:w="0" w:type="auto"/>
            <w:gridSpan w:val="3"/>
            <w:shd w:val="clear" w:color="auto" w:fill="auto"/>
            <w:vAlign w:val="bottom"/>
          </w:tcPr>
          <w:p w14:paraId="71D41441" w14:textId="77777777" w:rsidR="006A3667" w:rsidRDefault="006A3667">
            <w:pPr>
              <w:rPr>
                <w:rFonts w:ascii="宋体"/>
                <w:vanish/>
              </w:rPr>
            </w:pPr>
          </w:p>
        </w:tc>
        <w:tc>
          <w:tcPr>
            <w:tcW w:w="0" w:type="auto"/>
            <w:gridSpan w:val="3"/>
            <w:shd w:val="clear" w:color="auto" w:fill="auto"/>
            <w:vAlign w:val="bottom"/>
          </w:tcPr>
          <w:p w14:paraId="71D41442" w14:textId="77777777" w:rsidR="006A3667" w:rsidRDefault="006A3667">
            <w:pPr>
              <w:rPr>
                <w:rFonts w:ascii="宋体"/>
                <w:vanish/>
              </w:rPr>
            </w:pPr>
          </w:p>
        </w:tc>
        <w:tc>
          <w:tcPr>
            <w:tcW w:w="0" w:type="auto"/>
            <w:gridSpan w:val="3"/>
            <w:shd w:val="clear" w:color="auto" w:fill="auto"/>
            <w:vAlign w:val="bottom"/>
          </w:tcPr>
          <w:p w14:paraId="71D41443" w14:textId="77777777" w:rsidR="006A3667" w:rsidRDefault="006A3667">
            <w:pPr>
              <w:rPr>
                <w:rFonts w:ascii="宋体"/>
                <w:vanish/>
              </w:rPr>
            </w:pPr>
          </w:p>
        </w:tc>
        <w:tc>
          <w:tcPr>
            <w:tcW w:w="0" w:type="auto"/>
            <w:gridSpan w:val="3"/>
            <w:shd w:val="clear" w:color="auto" w:fill="auto"/>
            <w:vAlign w:val="bottom"/>
          </w:tcPr>
          <w:p w14:paraId="71D41444" w14:textId="77777777" w:rsidR="006A3667" w:rsidRDefault="006A3667">
            <w:pPr>
              <w:rPr>
                <w:rFonts w:ascii="宋体"/>
                <w:vanish/>
              </w:rPr>
            </w:pPr>
          </w:p>
        </w:tc>
        <w:tc>
          <w:tcPr>
            <w:tcW w:w="0" w:type="auto"/>
            <w:gridSpan w:val="3"/>
            <w:shd w:val="clear" w:color="auto" w:fill="auto"/>
            <w:vAlign w:val="bottom"/>
          </w:tcPr>
          <w:p w14:paraId="71D41445" w14:textId="77777777" w:rsidR="006A3667" w:rsidRDefault="006A3667">
            <w:pPr>
              <w:rPr>
                <w:rFonts w:ascii="宋体"/>
                <w:vanish/>
              </w:rPr>
            </w:pPr>
          </w:p>
        </w:tc>
        <w:tc>
          <w:tcPr>
            <w:tcW w:w="0" w:type="auto"/>
            <w:gridSpan w:val="3"/>
            <w:shd w:val="clear" w:color="auto" w:fill="auto"/>
            <w:vAlign w:val="bottom"/>
          </w:tcPr>
          <w:p w14:paraId="71D41446" w14:textId="77777777" w:rsidR="006A3667" w:rsidRDefault="006A3667">
            <w:pPr>
              <w:rPr>
                <w:rFonts w:ascii="宋体"/>
                <w:vanish/>
              </w:rPr>
            </w:pPr>
          </w:p>
        </w:tc>
        <w:tc>
          <w:tcPr>
            <w:tcW w:w="0" w:type="auto"/>
            <w:gridSpan w:val="3"/>
            <w:shd w:val="clear" w:color="auto" w:fill="auto"/>
            <w:vAlign w:val="bottom"/>
          </w:tcPr>
          <w:p w14:paraId="71D41447" w14:textId="77777777" w:rsidR="006A3667" w:rsidRDefault="006A3667">
            <w:pPr>
              <w:rPr>
                <w:rFonts w:ascii="宋体"/>
                <w:vanish/>
              </w:rPr>
            </w:pPr>
          </w:p>
        </w:tc>
        <w:tc>
          <w:tcPr>
            <w:tcW w:w="0" w:type="auto"/>
            <w:gridSpan w:val="3"/>
            <w:shd w:val="clear" w:color="auto" w:fill="auto"/>
            <w:vAlign w:val="bottom"/>
          </w:tcPr>
          <w:p w14:paraId="71D41448" w14:textId="77777777" w:rsidR="006A3667" w:rsidRDefault="006A3667">
            <w:pPr>
              <w:rPr>
                <w:rFonts w:ascii="宋体"/>
                <w:vanish/>
              </w:rPr>
            </w:pPr>
          </w:p>
        </w:tc>
        <w:tc>
          <w:tcPr>
            <w:tcW w:w="0" w:type="auto"/>
            <w:gridSpan w:val="3"/>
            <w:shd w:val="clear" w:color="auto" w:fill="auto"/>
            <w:vAlign w:val="bottom"/>
          </w:tcPr>
          <w:p w14:paraId="71D41449" w14:textId="77777777" w:rsidR="006A3667" w:rsidRDefault="006A3667">
            <w:pPr>
              <w:rPr>
                <w:rFonts w:ascii="宋体"/>
                <w:vanish/>
              </w:rPr>
            </w:pPr>
          </w:p>
        </w:tc>
        <w:tc>
          <w:tcPr>
            <w:tcW w:w="0" w:type="auto"/>
            <w:gridSpan w:val="3"/>
            <w:shd w:val="clear" w:color="auto" w:fill="auto"/>
            <w:vAlign w:val="bottom"/>
          </w:tcPr>
          <w:p w14:paraId="71D4144A" w14:textId="77777777" w:rsidR="006A3667" w:rsidRDefault="006A3667">
            <w:pPr>
              <w:rPr>
                <w:rFonts w:ascii="宋体"/>
                <w:vanish/>
              </w:rPr>
            </w:pPr>
          </w:p>
        </w:tc>
        <w:tc>
          <w:tcPr>
            <w:tcW w:w="0" w:type="auto"/>
            <w:gridSpan w:val="3"/>
            <w:shd w:val="clear" w:color="auto" w:fill="auto"/>
            <w:vAlign w:val="bottom"/>
          </w:tcPr>
          <w:p w14:paraId="71D4144B" w14:textId="77777777" w:rsidR="006A3667" w:rsidRDefault="006A3667">
            <w:pPr>
              <w:rPr>
                <w:rFonts w:ascii="宋体"/>
                <w:vanish/>
              </w:rPr>
            </w:pPr>
          </w:p>
        </w:tc>
        <w:tc>
          <w:tcPr>
            <w:tcW w:w="0" w:type="auto"/>
            <w:gridSpan w:val="3"/>
            <w:shd w:val="clear" w:color="auto" w:fill="auto"/>
            <w:vAlign w:val="bottom"/>
          </w:tcPr>
          <w:p w14:paraId="71D4144C" w14:textId="77777777" w:rsidR="006A3667" w:rsidRDefault="006A3667">
            <w:pPr>
              <w:rPr>
                <w:rFonts w:ascii="宋体"/>
                <w:vanish/>
              </w:rPr>
            </w:pPr>
          </w:p>
        </w:tc>
        <w:tc>
          <w:tcPr>
            <w:tcW w:w="0" w:type="auto"/>
            <w:gridSpan w:val="3"/>
            <w:shd w:val="clear" w:color="auto" w:fill="auto"/>
            <w:vAlign w:val="bottom"/>
          </w:tcPr>
          <w:p w14:paraId="71D4144D" w14:textId="77777777" w:rsidR="006A3667" w:rsidRDefault="006A3667">
            <w:pPr>
              <w:rPr>
                <w:rFonts w:ascii="宋体"/>
                <w:vanish/>
              </w:rPr>
            </w:pPr>
          </w:p>
        </w:tc>
        <w:tc>
          <w:tcPr>
            <w:tcW w:w="0" w:type="auto"/>
            <w:gridSpan w:val="3"/>
            <w:shd w:val="clear" w:color="auto" w:fill="auto"/>
            <w:vAlign w:val="bottom"/>
          </w:tcPr>
          <w:p w14:paraId="71D4144E" w14:textId="77777777" w:rsidR="006A3667" w:rsidRDefault="006A3667">
            <w:pPr>
              <w:rPr>
                <w:rFonts w:ascii="宋体"/>
                <w:vanish/>
              </w:rPr>
            </w:pPr>
          </w:p>
        </w:tc>
        <w:tc>
          <w:tcPr>
            <w:tcW w:w="0" w:type="auto"/>
            <w:gridSpan w:val="3"/>
            <w:shd w:val="clear" w:color="auto" w:fill="auto"/>
            <w:vAlign w:val="bottom"/>
          </w:tcPr>
          <w:p w14:paraId="71D4144F" w14:textId="77777777" w:rsidR="006A3667" w:rsidRDefault="006A3667">
            <w:pPr>
              <w:rPr>
                <w:rFonts w:ascii="宋体"/>
                <w:vanish/>
              </w:rPr>
            </w:pPr>
          </w:p>
        </w:tc>
        <w:tc>
          <w:tcPr>
            <w:tcW w:w="0" w:type="auto"/>
            <w:gridSpan w:val="3"/>
            <w:shd w:val="clear" w:color="auto" w:fill="auto"/>
            <w:vAlign w:val="bottom"/>
          </w:tcPr>
          <w:p w14:paraId="71D41450" w14:textId="77777777" w:rsidR="006A3667" w:rsidRDefault="006A3667">
            <w:pPr>
              <w:rPr>
                <w:rFonts w:ascii="宋体"/>
                <w:vanish/>
              </w:rPr>
            </w:pPr>
          </w:p>
        </w:tc>
      </w:tr>
      <w:tr w:rsidR="006A3667" w14:paraId="71D4146A" w14:textId="77777777">
        <w:tc>
          <w:tcPr>
            <w:tcW w:w="0" w:type="auto"/>
            <w:gridSpan w:val="9"/>
            <w:shd w:val="clear" w:color="auto" w:fill="FFFFFF"/>
            <w:tcMar>
              <w:top w:w="40" w:type="dxa"/>
              <w:left w:w="155" w:type="dxa"/>
              <w:bottom w:w="40" w:type="dxa"/>
              <w:right w:w="20" w:type="dxa"/>
            </w:tcMar>
            <w:vAlign w:val="bottom"/>
          </w:tcPr>
          <w:p w14:paraId="71D41452" w14:textId="77777777" w:rsidR="006A3667" w:rsidRDefault="00045F32">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71D41453" w14:textId="77777777" w:rsidR="006A3667" w:rsidRDefault="00045F32">
            <w:pPr>
              <w:jc w:val="right"/>
              <w:textAlignment w:val="bottom"/>
            </w:pPr>
            <w:r>
              <w:rPr>
                <w:rFonts w:ascii="Arial" w:eastAsia="宋体" w:hAnsi="Arial" w:cs="Arial"/>
                <w:b/>
                <w:bCs/>
                <w:color w:val="000000"/>
                <w:sz w:val="12"/>
                <w:szCs w:val="12"/>
              </w:rPr>
              <w:t>1,325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4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4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456" w14:textId="77777777" w:rsidR="006A3667" w:rsidRDefault="00045F32">
            <w:pPr>
              <w:jc w:val="right"/>
              <w:textAlignment w:val="bottom"/>
            </w:pPr>
            <w:r>
              <w:rPr>
                <w:rFonts w:ascii="Arial" w:eastAsia="宋体" w:hAnsi="Arial" w:cs="Arial"/>
                <w:b/>
                <w:bCs/>
                <w:color w:val="000000"/>
                <w:sz w:val="12"/>
                <w:szCs w:val="12"/>
              </w:rPr>
              <w:t>1,325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4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45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459" w14:textId="77777777" w:rsidR="006A3667" w:rsidRDefault="00045F32">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71D4145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45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45C" w14:textId="77777777" w:rsidR="006A3667" w:rsidRDefault="00045F32">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71D4145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45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45F" w14:textId="77777777" w:rsidR="006A3667" w:rsidRDefault="00045F32">
            <w:pPr>
              <w:jc w:val="right"/>
              <w:textAlignment w:val="bottom"/>
            </w:pPr>
            <w:r>
              <w:rPr>
                <w:rFonts w:ascii="Arial" w:eastAsia="宋体" w:hAnsi="Arial" w:cs="Arial"/>
                <w:b/>
                <w:bCs/>
                <w:color w:val="000000"/>
                <w:sz w:val="12"/>
                <w:szCs w:val="12"/>
              </w:rPr>
              <w:t>1,325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46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46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462" w14:textId="77777777" w:rsidR="006A3667" w:rsidRDefault="00045F32">
            <w:pPr>
              <w:jc w:val="right"/>
              <w:textAlignment w:val="bottom"/>
            </w:pPr>
            <w:r>
              <w:rPr>
                <w:rFonts w:ascii="Arial" w:eastAsia="宋体" w:hAnsi="Arial" w:cs="Arial"/>
                <w:b/>
                <w:bCs/>
                <w:color w:val="000000"/>
                <w:sz w:val="12"/>
                <w:szCs w:val="12"/>
              </w:rPr>
              <w:t>1,325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46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46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465" w14:textId="77777777" w:rsidR="006A3667" w:rsidRDefault="00045F32">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71D4146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46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468" w14:textId="77777777" w:rsidR="006A3667" w:rsidRDefault="00045F32">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71D41469" w14:textId="77777777" w:rsidR="006A3667" w:rsidRDefault="006A3667">
            <w:pPr>
              <w:jc w:val="right"/>
              <w:rPr>
                <w:rFonts w:ascii="宋体"/>
              </w:rPr>
            </w:pPr>
          </w:p>
        </w:tc>
      </w:tr>
      <w:tr w:rsidR="00045F32" w14:paraId="71D4148B" w14:textId="77777777">
        <w:tc>
          <w:tcPr>
            <w:tcW w:w="0" w:type="auto"/>
            <w:gridSpan w:val="9"/>
            <w:shd w:val="clear" w:color="auto" w:fill="CCEEFF"/>
            <w:tcMar>
              <w:top w:w="40" w:type="dxa"/>
              <w:left w:w="20" w:type="dxa"/>
              <w:bottom w:w="40" w:type="dxa"/>
              <w:right w:w="20" w:type="dxa"/>
            </w:tcMar>
            <w:vAlign w:val="bottom"/>
          </w:tcPr>
          <w:p w14:paraId="71D4146B" w14:textId="77777777" w:rsidR="006A3667" w:rsidRDefault="00045F32">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146C"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46D" w14:textId="77777777" w:rsidR="006A3667" w:rsidRDefault="00045F32">
            <w:pPr>
              <w:jc w:val="right"/>
              <w:textAlignment w:val="bottom"/>
            </w:pPr>
            <w:r>
              <w:rPr>
                <w:rFonts w:ascii="Arial" w:eastAsia="宋体" w:hAnsi="Arial" w:cs="Arial"/>
                <w:b/>
                <w:bCs/>
                <w:color w:val="000000"/>
                <w:sz w:val="12"/>
                <w:szCs w:val="12"/>
              </w:rPr>
              <w:t>107,771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46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470"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471" w14:textId="77777777" w:rsidR="006A3667" w:rsidRDefault="00045F32">
            <w:pPr>
              <w:jc w:val="right"/>
              <w:textAlignment w:val="bottom"/>
            </w:pPr>
            <w:r>
              <w:rPr>
                <w:rFonts w:ascii="Arial" w:eastAsia="宋体" w:hAnsi="Arial" w:cs="Arial"/>
                <w:b/>
                <w:bCs/>
                <w:color w:val="000000"/>
                <w:sz w:val="12"/>
                <w:szCs w:val="12"/>
              </w:rPr>
              <w:t>114,682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47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474"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475" w14:textId="77777777" w:rsidR="006A3667" w:rsidRDefault="00045F32">
            <w:pPr>
              <w:jc w:val="right"/>
              <w:textAlignment w:val="bottom"/>
            </w:pPr>
            <w:r>
              <w:rPr>
                <w:rFonts w:ascii="Arial" w:eastAsia="宋体" w:hAnsi="Arial" w:cs="Arial"/>
                <w:color w:val="000000"/>
                <w:sz w:val="12"/>
                <w:szCs w:val="12"/>
              </w:rPr>
              <w:t>111,398 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47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478"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479" w14:textId="77777777" w:rsidR="006A3667" w:rsidRDefault="00045F32">
            <w:pPr>
              <w:jc w:val="right"/>
              <w:textAlignment w:val="bottom"/>
            </w:pPr>
            <w:r>
              <w:rPr>
                <w:rFonts w:ascii="Arial" w:eastAsia="宋体" w:hAnsi="Arial" w:cs="Arial"/>
                <w:color w:val="000000"/>
                <w:sz w:val="12"/>
                <w:szCs w:val="12"/>
              </w:rPr>
              <w:t>111,667 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47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47C"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47D" w14:textId="77777777" w:rsidR="006A3667" w:rsidRDefault="00045F32">
            <w:pPr>
              <w:jc w:val="right"/>
              <w:textAlignment w:val="bottom"/>
            </w:pPr>
            <w:r>
              <w:rPr>
                <w:rFonts w:ascii="Arial" w:eastAsia="宋体" w:hAnsi="Arial" w:cs="Arial"/>
                <w:b/>
                <w:bCs/>
                <w:color w:val="000000"/>
                <w:sz w:val="12"/>
                <w:szCs w:val="12"/>
              </w:rPr>
              <w:t>101,048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47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480"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481" w14:textId="77777777" w:rsidR="006A3667" w:rsidRDefault="00045F32">
            <w:pPr>
              <w:jc w:val="right"/>
              <w:textAlignment w:val="bottom"/>
            </w:pPr>
            <w:r>
              <w:rPr>
                <w:rFonts w:ascii="Arial" w:eastAsia="宋体" w:hAnsi="Arial" w:cs="Arial"/>
                <w:b/>
                <w:bCs/>
                <w:color w:val="000000"/>
                <w:sz w:val="12"/>
                <w:szCs w:val="12"/>
              </w:rPr>
              <w:t>112,942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8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48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484"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485" w14:textId="77777777" w:rsidR="006A3667" w:rsidRDefault="00045F32">
            <w:pPr>
              <w:jc w:val="right"/>
              <w:textAlignment w:val="bottom"/>
            </w:pPr>
            <w:r>
              <w:rPr>
                <w:rFonts w:ascii="Arial" w:eastAsia="宋体" w:hAnsi="Arial" w:cs="Arial"/>
                <w:color w:val="000000"/>
                <w:sz w:val="12"/>
                <w:szCs w:val="12"/>
              </w:rPr>
              <w:t>102,331 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48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488"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489" w14:textId="77777777" w:rsidR="006A3667" w:rsidRDefault="00045F32">
            <w:pPr>
              <w:jc w:val="right"/>
              <w:textAlignment w:val="bottom"/>
            </w:pPr>
            <w:r>
              <w:rPr>
                <w:rFonts w:ascii="Arial" w:eastAsia="宋体" w:hAnsi="Arial" w:cs="Arial"/>
                <w:color w:val="000000"/>
                <w:sz w:val="12"/>
                <w:szCs w:val="12"/>
              </w:rPr>
              <w:t>108,518 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8A" w14:textId="77777777" w:rsidR="006A3667" w:rsidRDefault="006A3667">
            <w:pPr>
              <w:jc w:val="right"/>
              <w:rPr>
                <w:rFonts w:ascii="宋体"/>
              </w:rPr>
            </w:pPr>
          </w:p>
        </w:tc>
      </w:tr>
      <w:tr w:rsidR="006A3667" w14:paraId="71D4149E" w14:textId="77777777">
        <w:trPr>
          <w:hidden/>
        </w:trPr>
        <w:tc>
          <w:tcPr>
            <w:tcW w:w="0" w:type="auto"/>
            <w:gridSpan w:val="3"/>
            <w:shd w:val="clear" w:color="auto" w:fill="auto"/>
            <w:vAlign w:val="bottom"/>
          </w:tcPr>
          <w:p w14:paraId="71D4148C" w14:textId="77777777" w:rsidR="006A3667" w:rsidRDefault="006A3667">
            <w:pPr>
              <w:rPr>
                <w:rFonts w:ascii="宋体"/>
                <w:vanish/>
              </w:rPr>
            </w:pPr>
          </w:p>
        </w:tc>
        <w:tc>
          <w:tcPr>
            <w:tcW w:w="0" w:type="auto"/>
            <w:gridSpan w:val="3"/>
            <w:shd w:val="clear" w:color="auto" w:fill="auto"/>
            <w:vAlign w:val="bottom"/>
          </w:tcPr>
          <w:p w14:paraId="71D4148D" w14:textId="77777777" w:rsidR="006A3667" w:rsidRDefault="006A3667">
            <w:pPr>
              <w:rPr>
                <w:rFonts w:ascii="宋体"/>
                <w:vanish/>
              </w:rPr>
            </w:pPr>
          </w:p>
        </w:tc>
        <w:tc>
          <w:tcPr>
            <w:tcW w:w="0" w:type="auto"/>
            <w:gridSpan w:val="3"/>
            <w:shd w:val="clear" w:color="auto" w:fill="auto"/>
            <w:vAlign w:val="bottom"/>
          </w:tcPr>
          <w:p w14:paraId="71D4148E" w14:textId="77777777" w:rsidR="006A3667" w:rsidRDefault="006A3667">
            <w:pPr>
              <w:rPr>
                <w:rFonts w:ascii="宋体"/>
                <w:vanish/>
              </w:rPr>
            </w:pPr>
          </w:p>
        </w:tc>
        <w:tc>
          <w:tcPr>
            <w:tcW w:w="0" w:type="auto"/>
            <w:gridSpan w:val="3"/>
            <w:shd w:val="clear" w:color="auto" w:fill="auto"/>
            <w:vAlign w:val="bottom"/>
          </w:tcPr>
          <w:p w14:paraId="71D4148F" w14:textId="77777777" w:rsidR="006A3667" w:rsidRDefault="006A3667">
            <w:pPr>
              <w:rPr>
                <w:rFonts w:ascii="宋体"/>
                <w:vanish/>
              </w:rPr>
            </w:pPr>
          </w:p>
        </w:tc>
        <w:tc>
          <w:tcPr>
            <w:tcW w:w="0" w:type="auto"/>
            <w:gridSpan w:val="3"/>
            <w:shd w:val="clear" w:color="auto" w:fill="auto"/>
            <w:vAlign w:val="bottom"/>
          </w:tcPr>
          <w:p w14:paraId="71D41490" w14:textId="77777777" w:rsidR="006A3667" w:rsidRDefault="006A3667">
            <w:pPr>
              <w:rPr>
                <w:rFonts w:ascii="宋体"/>
                <w:vanish/>
              </w:rPr>
            </w:pPr>
          </w:p>
        </w:tc>
        <w:tc>
          <w:tcPr>
            <w:tcW w:w="0" w:type="auto"/>
            <w:gridSpan w:val="3"/>
            <w:shd w:val="clear" w:color="auto" w:fill="auto"/>
            <w:vAlign w:val="bottom"/>
          </w:tcPr>
          <w:p w14:paraId="71D41491" w14:textId="77777777" w:rsidR="006A3667" w:rsidRDefault="006A3667">
            <w:pPr>
              <w:rPr>
                <w:rFonts w:ascii="宋体"/>
                <w:vanish/>
              </w:rPr>
            </w:pPr>
          </w:p>
        </w:tc>
        <w:tc>
          <w:tcPr>
            <w:tcW w:w="0" w:type="auto"/>
            <w:gridSpan w:val="3"/>
            <w:shd w:val="clear" w:color="auto" w:fill="auto"/>
            <w:vAlign w:val="bottom"/>
          </w:tcPr>
          <w:p w14:paraId="71D41492" w14:textId="77777777" w:rsidR="006A3667" w:rsidRDefault="006A3667">
            <w:pPr>
              <w:rPr>
                <w:rFonts w:ascii="宋体"/>
                <w:vanish/>
              </w:rPr>
            </w:pPr>
          </w:p>
        </w:tc>
        <w:tc>
          <w:tcPr>
            <w:tcW w:w="0" w:type="auto"/>
            <w:gridSpan w:val="3"/>
            <w:shd w:val="clear" w:color="auto" w:fill="auto"/>
            <w:vAlign w:val="bottom"/>
          </w:tcPr>
          <w:p w14:paraId="71D41493" w14:textId="77777777" w:rsidR="006A3667" w:rsidRDefault="006A3667">
            <w:pPr>
              <w:rPr>
                <w:rFonts w:ascii="宋体"/>
                <w:vanish/>
              </w:rPr>
            </w:pPr>
          </w:p>
        </w:tc>
        <w:tc>
          <w:tcPr>
            <w:tcW w:w="0" w:type="auto"/>
            <w:gridSpan w:val="3"/>
            <w:shd w:val="clear" w:color="auto" w:fill="auto"/>
            <w:vAlign w:val="bottom"/>
          </w:tcPr>
          <w:p w14:paraId="71D41494" w14:textId="77777777" w:rsidR="006A3667" w:rsidRDefault="006A3667">
            <w:pPr>
              <w:rPr>
                <w:rFonts w:ascii="宋体"/>
                <w:vanish/>
              </w:rPr>
            </w:pPr>
          </w:p>
        </w:tc>
        <w:tc>
          <w:tcPr>
            <w:tcW w:w="0" w:type="auto"/>
            <w:gridSpan w:val="3"/>
            <w:shd w:val="clear" w:color="auto" w:fill="auto"/>
            <w:vAlign w:val="bottom"/>
          </w:tcPr>
          <w:p w14:paraId="71D41495" w14:textId="77777777" w:rsidR="006A3667" w:rsidRDefault="006A3667">
            <w:pPr>
              <w:rPr>
                <w:rFonts w:ascii="宋体"/>
                <w:vanish/>
              </w:rPr>
            </w:pPr>
          </w:p>
        </w:tc>
        <w:tc>
          <w:tcPr>
            <w:tcW w:w="0" w:type="auto"/>
            <w:gridSpan w:val="3"/>
            <w:shd w:val="clear" w:color="auto" w:fill="auto"/>
            <w:vAlign w:val="bottom"/>
          </w:tcPr>
          <w:p w14:paraId="71D41496" w14:textId="77777777" w:rsidR="006A3667" w:rsidRDefault="006A3667">
            <w:pPr>
              <w:rPr>
                <w:rFonts w:ascii="宋体"/>
                <w:vanish/>
              </w:rPr>
            </w:pPr>
          </w:p>
        </w:tc>
        <w:tc>
          <w:tcPr>
            <w:tcW w:w="0" w:type="auto"/>
            <w:gridSpan w:val="3"/>
            <w:shd w:val="clear" w:color="auto" w:fill="auto"/>
            <w:vAlign w:val="bottom"/>
          </w:tcPr>
          <w:p w14:paraId="71D41497" w14:textId="77777777" w:rsidR="006A3667" w:rsidRDefault="006A3667">
            <w:pPr>
              <w:rPr>
                <w:rFonts w:ascii="宋体"/>
                <w:vanish/>
              </w:rPr>
            </w:pPr>
          </w:p>
        </w:tc>
        <w:tc>
          <w:tcPr>
            <w:tcW w:w="0" w:type="auto"/>
            <w:gridSpan w:val="3"/>
            <w:shd w:val="clear" w:color="auto" w:fill="auto"/>
            <w:vAlign w:val="bottom"/>
          </w:tcPr>
          <w:p w14:paraId="71D41498" w14:textId="77777777" w:rsidR="006A3667" w:rsidRDefault="006A3667">
            <w:pPr>
              <w:rPr>
                <w:rFonts w:ascii="宋体"/>
                <w:vanish/>
              </w:rPr>
            </w:pPr>
          </w:p>
        </w:tc>
        <w:tc>
          <w:tcPr>
            <w:tcW w:w="0" w:type="auto"/>
            <w:gridSpan w:val="3"/>
            <w:shd w:val="clear" w:color="auto" w:fill="auto"/>
            <w:vAlign w:val="bottom"/>
          </w:tcPr>
          <w:p w14:paraId="71D41499" w14:textId="77777777" w:rsidR="006A3667" w:rsidRDefault="006A3667">
            <w:pPr>
              <w:rPr>
                <w:rFonts w:ascii="宋体"/>
                <w:vanish/>
              </w:rPr>
            </w:pPr>
          </w:p>
        </w:tc>
        <w:tc>
          <w:tcPr>
            <w:tcW w:w="0" w:type="auto"/>
            <w:gridSpan w:val="3"/>
            <w:shd w:val="clear" w:color="auto" w:fill="auto"/>
            <w:vAlign w:val="bottom"/>
          </w:tcPr>
          <w:p w14:paraId="71D4149A" w14:textId="77777777" w:rsidR="006A3667" w:rsidRDefault="006A3667">
            <w:pPr>
              <w:rPr>
                <w:rFonts w:ascii="宋体"/>
                <w:vanish/>
              </w:rPr>
            </w:pPr>
          </w:p>
        </w:tc>
        <w:tc>
          <w:tcPr>
            <w:tcW w:w="0" w:type="auto"/>
            <w:gridSpan w:val="3"/>
            <w:shd w:val="clear" w:color="auto" w:fill="auto"/>
            <w:vAlign w:val="bottom"/>
          </w:tcPr>
          <w:p w14:paraId="71D4149B" w14:textId="77777777" w:rsidR="006A3667" w:rsidRDefault="006A3667">
            <w:pPr>
              <w:rPr>
                <w:rFonts w:ascii="宋体"/>
                <w:vanish/>
              </w:rPr>
            </w:pPr>
          </w:p>
        </w:tc>
        <w:tc>
          <w:tcPr>
            <w:tcW w:w="0" w:type="auto"/>
            <w:gridSpan w:val="3"/>
            <w:shd w:val="clear" w:color="auto" w:fill="auto"/>
            <w:vAlign w:val="bottom"/>
          </w:tcPr>
          <w:p w14:paraId="71D4149C" w14:textId="77777777" w:rsidR="006A3667" w:rsidRDefault="006A3667">
            <w:pPr>
              <w:rPr>
                <w:rFonts w:ascii="宋体"/>
                <w:vanish/>
              </w:rPr>
            </w:pPr>
          </w:p>
        </w:tc>
        <w:tc>
          <w:tcPr>
            <w:tcW w:w="0" w:type="auto"/>
            <w:gridSpan w:val="3"/>
            <w:shd w:val="clear" w:color="auto" w:fill="auto"/>
            <w:vAlign w:val="bottom"/>
          </w:tcPr>
          <w:p w14:paraId="71D4149D" w14:textId="77777777" w:rsidR="006A3667" w:rsidRDefault="006A3667">
            <w:pPr>
              <w:rPr>
                <w:rFonts w:ascii="宋体"/>
                <w:vanish/>
              </w:rPr>
            </w:pPr>
          </w:p>
        </w:tc>
      </w:tr>
      <w:tr w:rsidR="006A3667" w14:paraId="71D414B5" w14:textId="77777777">
        <w:trPr>
          <w:hidden/>
        </w:trPr>
        <w:tc>
          <w:tcPr>
            <w:tcW w:w="0" w:type="auto"/>
            <w:gridSpan w:val="3"/>
            <w:shd w:val="clear" w:color="auto" w:fill="auto"/>
            <w:vAlign w:val="bottom"/>
          </w:tcPr>
          <w:p w14:paraId="71D4149F" w14:textId="77777777" w:rsidR="006A3667" w:rsidRDefault="006A3667">
            <w:pPr>
              <w:rPr>
                <w:rFonts w:ascii="宋体"/>
                <w:vanish/>
              </w:rPr>
            </w:pPr>
          </w:p>
        </w:tc>
        <w:tc>
          <w:tcPr>
            <w:tcW w:w="0" w:type="auto"/>
            <w:gridSpan w:val="3"/>
            <w:shd w:val="clear" w:color="auto" w:fill="auto"/>
            <w:vAlign w:val="bottom"/>
          </w:tcPr>
          <w:p w14:paraId="71D414A0" w14:textId="77777777" w:rsidR="006A3667" w:rsidRDefault="006A3667">
            <w:pPr>
              <w:rPr>
                <w:rFonts w:ascii="宋体"/>
                <w:vanish/>
              </w:rPr>
            </w:pPr>
          </w:p>
        </w:tc>
        <w:tc>
          <w:tcPr>
            <w:tcW w:w="0" w:type="auto"/>
            <w:gridSpan w:val="3"/>
            <w:shd w:val="clear" w:color="auto" w:fill="auto"/>
            <w:vAlign w:val="bottom"/>
          </w:tcPr>
          <w:p w14:paraId="71D414A1" w14:textId="77777777" w:rsidR="006A3667" w:rsidRDefault="006A3667">
            <w:pPr>
              <w:rPr>
                <w:rFonts w:ascii="宋体"/>
                <w:vanish/>
              </w:rPr>
            </w:pPr>
          </w:p>
        </w:tc>
        <w:tc>
          <w:tcPr>
            <w:tcW w:w="0" w:type="auto"/>
            <w:gridSpan w:val="3"/>
            <w:shd w:val="clear" w:color="auto" w:fill="auto"/>
            <w:vAlign w:val="bottom"/>
          </w:tcPr>
          <w:p w14:paraId="71D414A2" w14:textId="77777777" w:rsidR="006A3667" w:rsidRDefault="006A3667">
            <w:pPr>
              <w:rPr>
                <w:rFonts w:ascii="宋体"/>
                <w:vanish/>
              </w:rPr>
            </w:pPr>
          </w:p>
        </w:tc>
        <w:tc>
          <w:tcPr>
            <w:tcW w:w="0" w:type="auto"/>
            <w:gridSpan w:val="3"/>
            <w:shd w:val="clear" w:color="auto" w:fill="auto"/>
            <w:vAlign w:val="bottom"/>
          </w:tcPr>
          <w:p w14:paraId="71D414A3" w14:textId="77777777" w:rsidR="006A3667" w:rsidRDefault="006A3667">
            <w:pPr>
              <w:rPr>
                <w:rFonts w:ascii="宋体"/>
                <w:vanish/>
              </w:rPr>
            </w:pPr>
          </w:p>
        </w:tc>
        <w:tc>
          <w:tcPr>
            <w:tcW w:w="0" w:type="auto"/>
            <w:gridSpan w:val="3"/>
            <w:shd w:val="clear" w:color="auto" w:fill="auto"/>
            <w:vAlign w:val="bottom"/>
          </w:tcPr>
          <w:p w14:paraId="71D414A4" w14:textId="77777777" w:rsidR="006A3667" w:rsidRDefault="006A3667">
            <w:pPr>
              <w:rPr>
                <w:rFonts w:ascii="宋体"/>
                <w:vanish/>
              </w:rPr>
            </w:pPr>
          </w:p>
        </w:tc>
        <w:tc>
          <w:tcPr>
            <w:tcW w:w="0" w:type="auto"/>
            <w:gridSpan w:val="3"/>
            <w:shd w:val="clear" w:color="auto" w:fill="auto"/>
            <w:vAlign w:val="bottom"/>
          </w:tcPr>
          <w:p w14:paraId="71D414A5" w14:textId="77777777" w:rsidR="006A3667" w:rsidRDefault="006A3667">
            <w:pPr>
              <w:rPr>
                <w:rFonts w:ascii="宋体"/>
                <w:vanish/>
              </w:rPr>
            </w:pPr>
          </w:p>
        </w:tc>
        <w:tc>
          <w:tcPr>
            <w:tcW w:w="0" w:type="auto"/>
            <w:gridSpan w:val="3"/>
            <w:shd w:val="clear" w:color="auto" w:fill="auto"/>
            <w:vAlign w:val="bottom"/>
          </w:tcPr>
          <w:p w14:paraId="71D414A6" w14:textId="77777777" w:rsidR="006A3667" w:rsidRDefault="006A3667">
            <w:pPr>
              <w:rPr>
                <w:rFonts w:ascii="宋体"/>
                <w:vanish/>
              </w:rPr>
            </w:pPr>
          </w:p>
        </w:tc>
        <w:tc>
          <w:tcPr>
            <w:tcW w:w="0" w:type="auto"/>
            <w:gridSpan w:val="3"/>
            <w:shd w:val="clear" w:color="auto" w:fill="auto"/>
            <w:vAlign w:val="bottom"/>
          </w:tcPr>
          <w:p w14:paraId="71D414A7" w14:textId="77777777" w:rsidR="006A3667" w:rsidRDefault="006A3667">
            <w:pPr>
              <w:rPr>
                <w:rFonts w:ascii="宋体"/>
                <w:vanish/>
              </w:rPr>
            </w:pPr>
          </w:p>
        </w:tc>
        <w:tc>
          <w:tcPr>
            <w:tcW w:w="0" w:type="auto"/>
            <w:gridSpan w:val="3"/>
            <w:shd w:val="clear" w:color="auto" w:fill="auto"/>
            <w:vAlign w:val="bottom"/>
          </w:tcPr>
          <w:p w14:paraId="71D414A8" w14:textId="77777777" w:rsidR="006A3667" w:rsidRDefault="006A3667">
            <w:pPr>
              <w:rPr>
                <w:rFonts w:ascii="宋体"/>
                <w:vanish/>
              </w:rPr>
            </w:pPr>
          </w:p>
        </w:tc>
        <w:tc>
          <w:tcPr>
            <w:tcW w:w="0" w:type="auto"/>
            <w:gridSpan w:val="3"/>
            <w:shd w:val="clear" w:color="auto" w:fill="auto"/>
            <w:vAlign w:val="bottom"/>
          </w:tcPr>
          <w:p w14:paraId="71D414A9" w14:textId="77777777" w:rsidR="006A3667" w:rsidRDefault="006A3667">
            <w:pPr>
              <w:rPr>
                <w:rFonts w:ascii="宋体"/>
                <w:vanish/>
              </w:rPr>
            </w:pPr>
          </w:p>
        </w:tc>
        <w:tc>
          <w:tcPr>
            <w:tcW w:w="0" w:type="auto"/>
            <w:gridSpan w:val="3"/>
            <w:shd w:val="clear" w:color="auto" w:fill="auto"/>
            <w:vAlign w:val="bottom"/>
          </w:tcPr>
          <w:p w14:paraId="71D414AA" w14:textId="77777777" w:rsidR="006A3667" w:rsidRDefault="006A3667">
            <w:pPr>
              <w:rPr>
                <w:rFonts w:ascii="宋体"/>
                <w:vanish/>
              </w:rPr>
            </w:pPr>
          </w:p>
        </w:tc>
        <w:tc>
          <w:tcPr>
            <w:tcW w:w="0" w:type="auto"/>
            <w:gridSpan w:val="3"/>
            <w:shd w:val="clear" w:color="auto" w:fill="auto"/>
            <w:vAlign w:val="bottom"/>
          </w:tcPr>
          <w:p w14:paraId="71D414AB" w14:textId="77777777" w:rsidR="006A3667" w:rsidRDefault="006A3667">
            <w:pPr>
              <w:rPr>
                <w:rFonts w:ascii="宋体"/>
                <w:vanish/>
              </w:rPr>
            </w:pPr>
          </w:p>
        </w:tc>
        <w:tc>
          <w:tcPr>
            <w:tcW w:w="0" w:type="auto"/>
            <w:gridSpan w:val="3"/>
            <w:shd w:val="clear" w:color="auto" w:fill="auto"/>
            <w:vAlign w:val="bottom"/>
          </w:tcPr>
          <w:p w14:paraId="71D414AC" w14:textId="77777777" w:rsidR="006A3667" w:rsidRDefault="006A3667">
            <w:pPr>
              <w:rPr>
                <w:rFonts w:ascii="宋体"/>
                <w:vanish/>
              </w:rPr>
            </w:pPr>
          </w:p>
        </w:tc>
        <w:tc>
          <w:tcPr>
            <w:tcW w:w="0" w:type="auto"/>
            <w:gridSpan w:val="3"/>
            <w:shd w:val="clear" w:color="auto" w:fill="auto"/>
            <w:vAlign w:val="bottom"/>
          </w:tcPr>
          <w:p w14:paraId="71D414AD" w14:textId="77777777" w:rsidR="006A3667" w:rsidRDefault="006A3667">
            <w:pPr>
              <w:rPr>
                <w:rFonts w:ascii="宋体"/>
                <w:vanish/>
              </w:rPr>
            </w:pPr>
          </w:p>
        </w:tc>
        <w:tc>
          <w:tcPr>
            <w:tcW w:w="0" w:type="auto"/>
            <w:gridSpan w:val="3"/>
            <w:shd w:val="clear" w:color="auto" w:fill="auto"/>
            <w:vAlign w:val="bottom"/>
          </w:tcPr>
          <w:p w14:paraId="71D414AE" w14:textId="77777777" w:rsidR="006A3667" w:rsidRDefault="006A3667">
            <w:pPr>
              <w:rPr>
                <w:rFonts w:ascii="宋体"/>
                <w:vanish/>
              </w:rPr>
            </w:pPr>
          </w:p>
        </w:tc>
        <w:tc>
          <w:tcPr>
            <w:tcW w:w="0" w:type="auto"/>
            <w:shd w:val="clear" w:color="auto" w:fill="auto"/>
            <w:vAlign w:val="bottom"/>
          </w:tcPr>
          <w:p w14:paraId="71D414AF" w14:textId="77777777" w:rsidR="006A3667" w:rsidRDefault="006A3667">
            <w:pPr>
              <w:rPr>
                <w:rFonts w:ascii="宋体"/>
              </w:rPr>
            </w:pPr>
          </w:p>
        </w:tc>
        <w:tc>
          <w:tcPr>
            <w:tcW w:w="0" w:type="auto"/>
            <w:shd w:val="clear" w:color="auto" w:fill="auto"/>
            <w:vAlign w:val="bottom"/>
          </w:tcPr>
          <w:p w14:paraId="71D414B0" w14:textId="77777777" w:rsidR="006A3667" w:rsidRDefault="006A3667">
            <w:pPr>
              <w:rPr>
                <w:rFonts w:ascii="宋体"/>
              </w:rPr>
            </w:pPr>
          </w:p>
        </w:tc>
        <w:tc>
          <w:tcPr>
            <w:tcW w:w="0" w:type="auto"/>
            <w:shd w:val="clear" w:color="auto" w:fill="auto"/>
            <w:vAlign w:val="bottom"/>
          </w:tcPr>
          <w:p w14:paraId="71D414B1" w14:textId="77777777" w:rsidR="006A3667" w:rsidRDefault="006A3667">
            <w:pPr>
              <w:rPr>
                <w:rFonts w:ascii="宋体"/>
              </w:rPr>
            </w:pPr>
          </w:p>
        </w:tc>
        <w:tc>
          <w:tcPr>
            <w:tcW w:w="0" w:type="auto"/>
            <w:shd w:val="clear" w:color="auto" w:fill="auto"/>
            <w:vAlign w:val="bottom"/>
          </w:tcPr>
          <w:p w14:paraId="71D414B2" w14:textId="77777777" w:rsidR="006A3667" w:rsidRDefault="006A3667">
            <w:pPr>
              <w:rPr>
                <w:rFonts w:ascii="宋体"/>
              </w:rPr>
            </w:pPr>
          </w:p>
        </w:tc>
        <w:tc>
          <w:tcPr>
            <w:tcW w:w="0" w:type="auto"/>
            <w:shd w:val="clear" w:color="auto" w:fill="auto"/>
            <w:vAlign w:val="bottom"/>
          </w:tcPr>
          <w:p w14:paraId="71D414B3" w14:textId="77777777" w:rsidR="006A3667" w:rsidRDefault="006A3667">
            <w:pPr>
              <w:rPr>
                <w:rFonts w:ascii="宋体"/>
              </w:rPr>
            </w:pPr>
          </w:p>
        </w:tc>
        <w:tc>
          <w:tcPr>
            <w:tcW w:w="0" w:type="auto"/>
            <w:shd w:val="clear" w:color="auto" w:fill="auto"/>
            <w:vAlign w:val="bottom"/>
          </w:tcPr>
          <w:p w14:paraId="71D414B4" w14:textId="77777777" w:rsidR="006A3667" w:rsidRDefault="006A3667">
            <w:pPr>
              <w:rPr>
                <w:rFonts w:ascii="宋体"/>
              </w:rPr>
            </w:pPr>
          </w:p>
        </w:tc>
      </w:tr>
      <w:tr w:rsidR="006A3667" w14:paraId="71D414C8" w14:textId="77777777">
        <w:trPr>
          <w:trHeight w:val="100"/>
        </w:trPr>
        <w:tc>
          <w:tcPr>
            <w:tcW w:w="0" w:type="auto"/>
            <w:gridSpan w:val="3"/>
            <w:shd w:val="clear" w:color="auto" w:fill="auto"/>
            <w:tcMar>
              <w:top w:w="0" w:type="dxa"/>
              <w:left w:w="20" w:type="dxa"/>
              <w:bottom w:w="0" w:type="dxa"/>
              <w:right w:w="20" w:type="dxa"/>
            </w:tcMar>
            <w:vAlign w:val="bottom"/>
          </w:tcPr>
          <w:p w14:paraId="71D414B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B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B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4B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BA"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4B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BC"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4B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BE"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4B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C0"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4C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C2"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4C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C4"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4C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4C6"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4C7" w14:textId="77777777" w:rsidR="006A3667" w:rsidRDefault="006A3667">
            <w:pPr>
              <w:rPr>
                <w:rFonts w:ascii="宋体"/>
              </w:rPr>
            </w:pPr>
          </w:p>
        </w:tc>
      </w:tr>
      <w:tr w:rsidR="006A3667" w14:paraId="71D414DB" w14:textId="77777777">
        <w:tc>
          <w:tcPr>
            <w:tcW w:w="0" w:type="auto"/>
            <w:gridSpan w:val="3"/>
            <w:shd w:val="clear" w:color="auto" w:fill="FFFFFF"/>
            <w:tcMar>
              <w:top w:w="40" w:type="dxa"/>
              <w:left w:w="20" w:type="dxa"/>
              <w:bottom w:w="40" w:type="dxa"/>
              <w:right w:w="20" w:type="dxa"/>
            </w:tcMar>
            <w:vAlign w:val="bottom"/>
          </w:tcPr>
          <w:p w14:paraId="71D414C9" w14:textId="77777777" w:rsidR="006A3667" w:rsidRDefault="00045F32">
            <w:pPr>
              <w:textAlignment w:val="bottom"/>
            </w:pPr>
            <w:r>
              <w:rPr>
                <w:rFonts w:ascii="Arial" w:eastAsia="宋体" w:hAnsi="Arial" w:cs="Arial"/>
                <w:b/>
                <w:bCs/>
                <w:color w:val="000000"/>
                <w:sz w:val="12"/>
                <w:szCs w:val="12"/>
              </w:rPr>
              <w:t>Capital</w:t>
            </w:r>
            <w:r>
              <w:rPr>
                <w:rFonts w:ascii="Arial" w:eastAsia="宋体" w:hAnsi="Arial" w:cs="Arial"/>
                <w:b/>
                <w:bCs/>
                <w:color w:val="000000"/>
                <w:sz w:val="12"/>
                <w:szCs w:val="12"/>
              </w:rPr>
              <w:t xml:space="preserve"> Ratios:</w:t>
            </w:r>
          </w:p>
        </w:tc>
        <w:tc>
          <w:tcPr>
            <w:tcW w:w="0" w:type="auto"/>
            <w:gridSpan w:val="3"/>
            <w:shd w:val="clear" w:color="auto" w:fill="FFFFFF"/>
            <w:tcMar>
              <w:top w:w="40" w:type="dxa"/>
              <w:left w:w="20" w:type="dxa"/>
              <w:bottom w:w="40" w:type="dxa"/>
              <w:right w:w="20" w:type="dxa"/>
            </w:tcMar>
            <w:vAlign w:val="bottom"/>
          </w:tcPr>
          <w:p w14:paraId="71D414CA" w14:textId="77777777" w:rsidR="006A3667" w:rsidRDefault="00045F32">
            <w:pPr>
              <w:jc w:val="center"/>
              <w:textAlignment w:val="bottom"/>
            </w:pPr>
            <w:r>
              <w:rPr>
                <w:rFonts w:ascii="Arial" w:eastAsia="宋体" w:hAnsi="Arial" w:cs="Arial"/>
                <w:color w:val="000000"/>
                <w:sz w:val="12"/>
                <w:szCs w:val="12"/>
              </w:rPr>
              <w:t>2022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40" w:type="dxa"/>
              <w:left w:w="20" w:type="dxa"/>
              <w:bottom w:w="40" w:type="dxa"/>
              <w:right w:w="20" w:type="dxa"/>
            </w:tcMar>
            <w:vAlign w:val="bottom"/>
          </w:tcPr>
          <w:p w14:paraId="71D414CB" w14:textId="77777777" w:rsidR="006A3667" w:rsidRDefault="00045F32">
            <w:pPr>
              <w:jc w:val="center"/>
              <w:textAlignment w:val="bottom"/>
            </w:pPr>
            <w:r>
              <w:rPr>
                <w:rFonts w:ascii="Arial" w:eastAsia="宋体" w:hAnsi="Arial" w:cs="Arial"/>
                <w:color w:val="000000"/>
                <w:sz w:val="12"/>
                <w:szCs w:val="12"/>
              </w:rPr>
              <w:t>2021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0" w:type="dxa"/>
              <w:left w:w="20" w:type="dxa"/>
              <w:bottom w:w="0" w:type="dxa"/>
              <w:right w:w="20" w:type="dxa"/>
            </w:tcMar>
            <w:vAlign w:val="bottom"/>
          </w:tcPr>
          <w:p w14:paraId="71D414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C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4DA" w14:textId="77777777" w:rsidR="006A3667" w:rsidRDefault="006A3667">
            <w:pPr>
              <w:rPr>
                <w:rFonts w:ascii="宋体"/>
              </w:rPr>
            </w:pPr>
          </w:p>
        </w:tc>
      </w:tr>
      <w:tr w:rsidR="00045F32" w14:paraId="71D414F8" w14:textId="77777777">
        <w:tc>
          <w:tcPr>
            <w:tcW w:w="0" w:type="auto"/>
            <w:gridSpan w:val="3"/>
            <w:shd w:val="clear" w:color="auto" w:fill="CCEEFF"/>
            <w:tcMar>
              <w:top w:w="40" w:type="dxa"/>
              <w:left w:w="20" w:type="dxa"/>
              <w:bottom w:w="40" w:type="dxa"/>
              <w:right w:w="20" w:type="dxa"/>
            </w:tcMar>
            <w:vAlign w:val="bottom"/>
          </w:tcPr>
          <w:p w14:paraId="71D414DC" w14:textId="77777777" w:rsidR="006A3667" w:rsidRDefault="00045F32">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4DD" w14:textId="77777777" w:rsidR="006A3667" w:rsidRDefault="00045F32">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DE"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4DF" w14:textId="77777777" w:rsidR="006A3667" w:rsidRDefault="00045F32">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4E0" w14:textId="77777777" w:rsidR="006A3667" w:rsidRDefault="00045F32">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71D414E1" w14:textId="77777777" w:rsidR="006A3667" w:rsidRDefault="00045F32">
            <w:pPr>
              <w:jc w:val="right"/>
              <w:textAlignment w:val="bottom"/>
            </w:pPr>
            <w:r>
              <w:rPr>
                <w:rFonts w:ascii="Arial" w:eastAsia="宋体" w:hAnsi="Arial" w:cs="Arial"/>
                <w:b/>
                <w:bCs/>
                <w:color w:val="000000"/>
                <w:sz w:val="12"/>
                <w:szCs w:val="12"/>
              </w:rPr>
              <w:t>14.0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4E2"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14E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4E4" w14:textId="77777777" w:rsidR="006A3667" w:rsidRDefault="00045F32">
            <w:pPr>
              <w:jc w:val="right"/>
              <w:textAlignment w:val="bottom"/>
            </w:pPr>
            <w:r>
              <w:rPr>
                <w:rFonts w:ascii="Arial" w:eastAsia="宋体" w:hAnsi="Arial" w:cs="Arial"/>
                <w:b/>
                <w:bCs/>
                <w:color w:val="000000"/>
                <w:sz w:val="12"/>
                <w:szCs w:val="12"/>
              </w:rPr>
              <w:t>13.2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4E5"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14E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4E7" w14:textId="77777777" w:rsidR="006A3667" w:rsidRDefault="00045F32">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71D414E8"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14E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4EA" w14:textId="77777777" w:rsidR="006A3667" w:rsidRDefault="00045F32">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71D414EB"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14E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4ED" w14:textId="77777777" w:rsidR="006A3667" w:rsidRDefault="00045F32">
            <w:pPr>
              <w:jc w:val="right"/>
              <w:textAlignment w:val="bottom"/>
            </w:pPr>
            <w:r>
              <w:rPr>
                <w:rFonts w:ascii="Arial" w:eastAsia="宋体" w:hAnsi="Arial" w:cs="Arial"/>
                <w:b/>
                <w:bCs/>
                <w:color w:val="000000"/>
                <w:sz w:val="12"/>
                <w:szCs w:val="12"/>
              </w:rPr>
              <w:t>18.5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4EE"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14E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4F0" w14:textId="77777777" w:rsidR="006A3667" w:rsidRDefault="00045F32">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4F1"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14F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4F3" w14:textId="77777777" w:rsidR="006A3667" w:rsidRDefault="00045F32">
            <w:pPr>
              <w:jc w:val="right"/>
              <w:textAlignment w:val="bottom"/>
            </w:pPr>
            <w:r>
              <w:rPr>
                <w:rFonts w:ascii="Arial" w:eastAsia="宋体" w:hAnsi="Arial" w:cs="Arial"/>
                <w:color w:val="000000"/>
                <w:sz w:val="12"/>
                <w:szCs w:val="12"/>
              </w:rPr>
              <w:t>18.4 </w:t>
            </w:r>
          </w:p>
        </w:tc>
        <w:tc>
          <w:tcPr>
            <w:tcW w:w="0" w:type="auto"/>
            <w:shd w:val="clear" w:color="auto" w:fill="CCEEFF"/>
            <w:tcMar>
              <w:top w:w="40" w:type="dxa"/>
              <w:left w:w="0" w:type="dxa"/>
              <w:bottom w:w="40" w:type="dxa"/>
              <w:right w:w="20" w:type="dxa"/>
            </w:tcMar>
            <w:vAlign w:val="bottom"/>
          </w:tcPr>
          <w:p w14:paraId="71D414F4"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14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4F6" w14:textId="77777777" w:rsidR="006A3667" w:rsidRDefault="00045F32">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71D414F7" w14:textId="77777777" w:rsidR="006A3667" w:rsidRDefault="00045F32">
            <w:pPr>
              <w:jc w:val="right"/>
              <w:textAlignment w:val="bottom"/>
            </w:pPr>
            <w:r>
              <w:rPr>
                <w:rFonts w:ascii="Arial" w:eastAsia="宋体" w:hAnsi="Arial" w:cs="Arial"/>
                <w:color w:val="000000"/>
                <w:sz w:val="12"/>
                <w:szCs w:val="12"/>
              </w:rPr>
              <w:t>%</w:t>
            </w:r>
          </w:p>
        </w:tc>
      </w:tr>
      <w:tr w:rsidR="00045F32" w14:paraId="71D41515" w14:textId="77777777">
        <w:tc>
          <w:tcPr>
            <w:tcW w:w="0" w:type="auto"/>
            <w:gridSpan w:val="3"/>
            <w:shd w:val="clear" w:color="auto" w:fill="FFFFFF"/>
            <w:tcMar>
              <w:top w:w="40" w:type="dxa"/>
              <w:left w:w="20" w:type="dxa"/>
              <w:bottom w:w="40" w:type="dxa"/>
              <w:right w:w="20" w:type="dxa"/>
            </w:tcMar>
            <w:vAlign w:val="bottom"/>
          </w:tcPr>
          <w:p w14:paraId="71D414F9" w14:textId="77777777" w:rsidR="006A3667" w:rsidRDefault="00045F32">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71D414FA" w14:textId="77777777" w:rsidR="006A3667" w:rsidRDefault="00045F32">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4FB" w14:textId="77777777" w:rsidR="006A3667" w:rsidRDefault="006A3667">
            <w:pPr>
              <w:jc w:val="right"/>
              <w:rPr>
                <w:rFonts w:ascii="宋体"/>
              </w:rPr>
            </w:pPr>
          </w:p>
        </w:tc>
        <w:tc>
          <w:tcPr>
            <w:tcW w:w="0" w:type="auto"/>
            <w:gridSpan w:val="2"/>
            <w:shd w:val="clear" w:color="auto" w:fill="FFFFFF"/>
            <w:tcMar>
              <w:top w:w="40" w:type="dxa"/>
              <w:left w:w="20" w:type="dxa"/>
              <w:bottom w:w="40" w:type="dxa"/>
              <w:right w:w="0" w:type="dxa"/>
            </w:tcMar>
            <w:vAlign w:val="bottom"/>
          </w:tcPr>
          <w:p w14:paraId="71D414FC" w14:textId="77777777" w:rsidR="006A3667" w:rsidRDefault="00045F32">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71D414FD" w14:textId="77777777" w:rsidR="006A3667" w:rsidRDefault="006A3667">
            <w:pPr>
              <w:jc w:val="right"/>
              <w:rPr>
                <w:rFonts w:ascii="宋体"/>
              </w:rPr>
            </w:pPr>
          </w:p>
        </w:tc>
        <w:tc>
          <w:tcPr>
            <w:tcW w:w="0" w:type="auto"/>
            <w:gridSpan w:val="2"/>
            <w:shd w:val="clear" w:color="auto" w:fill="FFFFFF"/>
            <w:tcMar>
              <w:top w:w="40" w:type="dxa"/>
              <w:left w:w="20" w:type="dxa"/>
              <w:bottom w:w="40" w:type="dxa"/>
              <w:right w:w="0" w:type="dxa"/>
            </w:tcMar>
            <w:vAlign w:val="bottom"/>
          </w:tcPr>
          <w:p w14:paraId="71D414FE" w14:textId="77777777" w:rsidR="006A3667" w:rsidRDefault="00045F32">
            <w:pPr>
              <w:jc w:val="right"/>
              <w:textAlignment w:val="bottom"/>
            </w:pPr>
            <w:r>
              <w:rPr>
                <w:rFonts w:ascii="Arial" w:eastAsia="宋体" w:hAnsi="Arial" w:cs="Arial"/>
                <w:b/>
                <w:bCs/>
                <w:color w:val="000000"/>
                <w:sz w:val="12"/>
                <w:szCs w:val="12"/>
              </w:rPr>
              <w:t>15.9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4F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0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01" w14:textId="77777777" w:rsidR="006A3667" w:rsidRDefault="00045F32">
            <w:pPr>
              <w:jc w:val="right"/>
              <w:textAlignment w:val="bottom"/>
            </w:pPr>
            <w:r>
              <w:rPr>
                <w:rFonts w:ascii="Arial" w:eastAsia="宋体" w:hAnsi="Arial" w:cs="Arial"/>
                <w:b/>
                <w:bCs/>
                <w:color w:val="000000"/>
                <w:sz w:val="12"/>
                <w:szCs w:val="12"/>
              </w:rPr>
              <w:t>14.9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50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0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04" w14:textId="77777777" w:rsidR="006A3667" w:rsidRDefault="00045F32">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71D4150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0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07" w14:textId="77777777" w:rsidR="006A3667" w:rsidRDefault="00045F32">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71D4150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0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0A" w14:textId="77777777" w:rsidR="006A3667" w:rsidRDefault="00045F32">
            <w:pPr>
              <w:jc w:val="right"/>
              <w:textAlignment w:val="bottom"/>
            </w:pPr>
            <w:r>
              <w:rPr>
                <w:rFonts w:ascii="Arial" w:eastAsia="宋体" w:hAnsi="Arial" w:cs="Arial"/>
                <w:b/>
                <w:bCs/>
                <w:color w:val="000000"/>
                <w:sz w:val="12"/>
                <w:szCs w:val="12"/>
              </w:rPr>
              <w:t>18.5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50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0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0D" w14:textId="77777777" w:rsidR="006A3667" w:rsidRDefault="00045F32">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150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0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10" w14:textId="77777777" w:rsidR="006A3667" w:rsidRDefault="00045F32">
            <w:pPr>
              <w:jc w:val="right"/>
              <w:textAlignment w:val="bottom"/>
            </w:pPr>
            <w:r>
              <w:rPr>
                <w:rFonts w:ascii="Arial" w:eastAsia="宋体" w:hAnsi="Arial" w:cs="Arial"/>
                <w:color w:val="000000"/>
                <w:sz w:val="12"/>
                <w:szCs w:val="12"/>
              </w:rPr>
              <w:t>18.4 </w:t>
            </w:r>
          </w:p>
        </w:tc>
        <w:tc>
          <w:tcPr>
            <w:tcW w:w="0" w:type="auto"/>
            <w:shd w:val="clear" w:color="auto" w:fill="FFFFFF"/>
            <w:tcMar>
              <w:top w:w="40" w:type="dxa"/>
              <w:left w:w="0" w:type="dxa"/>
              <w:bottom w:w="40" w:type="dxa"/>
              <w:right w:w="20" w:type="dxa"/>
            </w:tcMar>
            <w:vAlign w:val="bottom"/>
          </w:tcPr>
          <w:p w14:paraId="71D415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1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13" w14:textId="77777777" w:rsidR="006A3667" w:rsidRDefault="00045F32">
            <w:pPr>
              <w:jc w:val="right"/>
              <w:textAlignment w:val="bottom"/>
            </w:pPr>
            <w:r>
              <w:rPr>
                <w:rFonts w:ascii="Arial" w:eastAsia="宋体" w:hAnsi="Arial" w:cs="Arial"/>
                <w:color w:val="000000"/>
                <w:sz w:val="12"/>
                <w:szCs w:val="12"/>
              </w:rPr>
              <w:t>17.4 </w:t>
            </w:r>
          </w:p>
        </w:tc>
        <w:tc>
          <w:tcPr>
            <w:tcW w:w="0" w:type="auto"/>
            <w:shd w:val="clear" w:color="auto" w:fill="FFFFFF"/>
            <w:tcMar>
              <w:top w:w="40" w:type="dxa"/>
              <w:left w:w="0" w:type="dxa"/>
              <w:bottom w:w="40" w:type="dxa"/>
              <w:right w:w="20" w:type="dxa"/>
            </w:tcMar>
            <w:vAlign w:val="bottom"/>
          </w:tcPr>
          <w:p w14:paraId="71D41514" w14:textId="77777777" w:rsidR="006A3667" w:rsidRDefault="006A3667">
            <w:pPr>
              <w:jc w:val="right"/>
              <w:rPr>
                <w:rFonts w:ascii="宋体"/>
              </w:rPr>
            </w:pPr>
          </w:p>
        </w:tc>
      </w:tr>
      <w:tr w:rsidR="00045F32" w14:paraId="71D41532" w14:textId="77777777">
        <w:tc>
          <w:tcPr>
            <w:tcW w:w="0" w:type="auto"/>
            <w:gridSpan w:val="3"/>
            <w:shd w:val="clear" w:color="auto" w:fill="CCEEFF"/>
            <w:tcMar>
              <w:top w:w="40" w:type="dxa"/>
              <w:left w:w="20" w:type="dxa"/>
              <w:bottom w:w="40" w:type="dxa"/>
              <w:right w:w="20" w:type="dxa"/>
            </w:tcMar>
            <w:vAlign w:val="bottom"/>
          </w:tcPr>
          <w:p w14:paraId="71D41516" w14:textId="77777777" w:rsidR="006A3667" w:rsidRDefault="00045F32">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71D41517" w14:textId="77777777" w:rsidR="006A3667" w:rsidRDefault="00045F32">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518" w14:textId="77777777" w:rsidR="006A3667" w:rsidRDefault="006A3667">
            <w:pPr>
              <w:jc w:val="right"/>
              <w:rPr>
                <w:rFonts w:ascii="宋体"/>
              </w:rPr>
            </w:pPr>
          </w:p>
        </w:tc>
        <w:tc>
          <w:tcPr>
            <w:tcW w:w="0" w:type="auto"/>
            <w:gridSpan w:val="2"/>
            <w:shd w:val="clear" w:color="auto" w:fill="CCEEFF"/>
            <w:tcMar>
              <w:top w:w="40" w:type="dxa"/>
              <w:left w:w="20" w:type="dxa"/>
              <w:bottom w:w="40" w:type="dxa"/>
              <w:right w:w="0" w:type="dxa"/>
            </w:tcMar>
            <w:vAlign w:val="bottom"/>
          </w:tcPr>
          <w:p w14:paraId="71D41519" w14:textId="77777777" w:rsidR="006A3667" w:rsidRDefault="00045F32">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71D4151A" w14:textId="77777777" w:rsidR="006A3667" w:rsidRDefault="006A3667">
            <w:pPr>
              <w:jc w:val="right"/>
              <w:rPr>
                <w:rFonts w:ascii="宋体"/>
              </w:rPr>
            </w:pPr>
          </w:p>
        </w:tc>
        <w:tc>
          <w:tcPr>
            <w:tcW w:w="0" w:type="auto"/>
            <w:gridSpan w:val="2"/>
            <w:shd w:val="clear" w:color="auto" w:fill="CCEEFF"/>
            <w:tcMar>
              <w:top w:w="40" w:type="dxa"/>
              <w:left w:w="20" w:type="dxa"/>
              <w:bottom w:w="40" w:type="dxa"/>
              <w:right w:w="0" w:type="dxa"/>
            </w:tcMar>
            <w:vAlign w:val="bottom"/>
          </w:tcPr>
          <w:p w14:paraId="71D4151B" w14:textId="77777777" w:rsidR="006A3667" w:rsidRDefault="00045F32">
            <w:pPr>
              <w:jc w:val="right"/>
              <w:textAlignment w:val="bottom"/>
            </w:pPr>
            <w:r>
              <w:rPr>
                <w:rFonts w:ascii="Arial" w:eastAsia="宋体" w:hAnsi="Arial" w:cs="Arial"/>
                <w:b/>
                <w:bCs/>
                <w:color w:val="000000"/>
                <w:sz w:val="12"/>
                <w:szCs w:val="12"/>
              </w:rPr>
              <w:t>17.1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5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1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1E" w14:textId="77777777" w:rsidR="006A3667" w:rsidRDefault="00045F32">
            <w:pPr>
              <w:jc w:val="right"/>
              <w:textAlignment w:val="bottom"/>
            </w:pPr>
            <w:r>
              <w:rPr>
                <w:rFonts w:ascii="Arial" w:eastAsia="宋体" w:hAnsi="Arial" w:cs="Arial"/>
                <w:b/>
                <w:bCs/>
                <w:color w:val="000000"/>
                <w:sz w:val="12"/>
                <w:szCs w:val="12"/>
              </w:rPr>
              <w:t>16.2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51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2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21" w14:textId="77777777" w:rsidR="006A3667" w:rsidRDefault="00045F32">
            <w:pPr>
              <w:jc w:val="right"/>
              <w:textAlignment w:val="bottom"/>
            </w:pPr>
            <w:r>
              <w:rPr>
                <w:rFonts w:ascii="Arial" w:eastAsia="宋体" w:hAnsi="Arial" w:cs="Arial"/>
                <w:color w:val="000000"/>
                <w:sz w:val="12"/>
                <w:szCs w:val="12"/>
              </w:rPr>
              <w:t>17.5 </w:t>
            </w:r>
          </w:p>
        </w:tc>
        <w:tc>
          <w:tcPr>
            <w:tcW w:w="0" w:type="auto"/>
            <w:shd w:val="clear" w:color="auto" w:fill="CCEEFF"/>
            <w:tcMar>
              <w:top w:w="40" w:type="dxa"/>
              <w:left w:w="0" w:type="dxa"/>
              <w:bottom w:w="40" w:type="dxa"/>
              <w:right w:w="20" w:type="dxa"/>
            </w:tcMar>
            <w:vAlign w:val="bottom"/>
          </w:tcPr>
          <w:p w14:paraId="71D415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2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24" w14:textId="77777777" w:rsidR="006A3667" w:rsidRDefault="00045F32">
            <w:pPr>
              <w:jc w:val="right"/>
              <w:textAlignment w:val="bottom"/>
            </w:pPr>
            <w:r>
              <w:rPr>
                <w:rFonts w:ascii="Arial" w:eastAsia="宋体" w:hAnsi="Arial" w:cs="Arial"/>
                <w:color w:val="000000"/>
                <w:sz w:val="12"/>
                <w:szCs w:val="12"/>
              </w:rPr>
              <w:t>17.6 </w:t>
            </w:r>
          </w:p>
        </w:tc>
        <w:tc>
          <w:tcPr>
            <w:tcW w:w="0" w:type="auto"/>
            <w:shd w:val="clear" w:color="auto" w:fill="CCEEFF"/>
            <w:tcMar>
              <w:top w:w="40" w:type="dxa"/>
              <w:left w:w="0" w:type="dxa"/>
              <w:bottom w:w="40" w:type="dxa"/>
              <w:right w:w="20" w:type="dxa"/>
            </w:tcMar>
            <w:vAlign w:val="bottom"/>
          </w:tcPr>
          <w:p w14:paraId="71D415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27" w14:textId="77777777" w:rsidR="006A3667" w:rsidRDefault="00045F32">
            <w:pPr>
              <w:jc w:val="right"/>
              <w:textAlignment w:val="bottom"/>
            </w:pPr>
            <w:r>
              <w:rPr>
                <w:rFonts w:ascii="Arial" w:eastAsia="宋体" w:hAnsi="Arial" w:cs="Arial"/>
                <w:b/>
                <w:bCs/>
                <w:color w:val="000000"/>
                <w:sz w:val="12"/>
                <w:szCs w:val="12"/>
              </w:rPr>
              <w:t>19.0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5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2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2A" w14:textId="77777777" w:rsidR="006A3667" w:rsidRDefault="00045F32">
            <w:pPr>
              <w:jc w:val="right"/>
              <w:textAlignment w:val="bottom"/>
            </w:pPr>
            <w:r>
              <w:rPr>
                <w:rFonts w:ascii="Arial" w:eastAsia="宋体" w:hAnsi="Arial" w:cs="Arial"/>
                <w:b/>
                <w:bCs/>
                <w:color w:val="000000"/>
                <w:sz w:val="12"/>
                <w:szCs w:val="12"/>
              </w:rPr>
              <w:t>17.1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15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2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2D" w14:textId="77777777" w:rsidR="006A3667" w:rsidRDefault="00045F32">
            <w:pPr>
              <w:jc w:val="right"/>
              <w:textAlignment w:val="bottom"/>
            </w:pPr>
            <w:r>
              <w:rPr>
                <w:rFonts w:ascii="Arial" w:eastAsia="宋体" w:hAnsi="Arial" w:cs="Arial"/>
                <w:color w:val="000000"/>
                <w:sz w:val="12"/>
                <w:szCs w:val="12"/>
              </w:rPr>
              <w:t>19.2 </w:t>
            </w:r>
          </w:p>
        </w:tc>
        <w:tc>
          <w:tcPr>
            <w:tcW w:w="0" w:type="auto"/>
            <w:shd w:val="clear" w:color="auto" w:fill="CCEEFF"/>
            <w:tcMar>
              <w:top w:w="40" w:type="dxa"/>
              <w:left w:w="0" w:type="dxa"/>
              <w:bottom w:w="40" w:type="dxa"/>
              <w:right w:w="20" w:type="dxa"/>
            </w:tcMar>
            <w:vAlign w:val="bottom"/>
          </w:tcPr>
          <w:p w14:paraId="71D415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2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30" w14:textId="77777777" w:rsidR="006A3667" w:rsidRDefault="00045F32">
            <w:pPr>
              <w:jc w:val="right"/>
              <w:textAlignment w:val="bottom"/>
            </w:pPr>
            <w:r>
              <w:rPr>
                <w:rFonts w:ascii="Arial" w:eastAsia="宋体" w:hAnsi="Arial" w:cs="Arial"/>
                <w:color w:val="000000"/>
                <w:sz w:val="12"/>
                <w:szCs w:val="12"/>
              </w:rPr>
              <w:t>18.2 </w:t>
            </w:r>
          </w:p>
        </w:tc>
        <w:tc>
          <w:tcPr>
            <w:tcW w:w="0" w:type="auto"/>
            <w:shd w:val="clear" w:color="auto" w:fill="CCEEFF"/>
            <w:tcMar>
              <w:top w:w="40" w:type="dxa"/>
              <w:left w:w="0" w:type="dxa"/>
              <w:bottom w:w="40" w:type="dxa"/>
              <w:right w:w="20" w:type="dxa"/>
            </w:tcMar>
            <w:vAlign w:val="bottom"/>
          </w:tcPr>
          <w:p w14:paraId="71D41531" w14:textId="77777777" w:rsidR="006A3667" w:rsidRDefault="006A3667">
            <w:pPr>
              <w:jc w:val="right"/>
              <w:rPr>
                <w:rFonts w:ascii="宋体"/>
              </w:rPr>
            </w:pPr>
          </w:p>
        </w:tc>
      </w:tr>
      <w:tr w:rsidR="006A3667" w14:paraId="71D41545" w14:textId="77777777">
        <w:trPr>
          <w:hidden/>
        </w:trPr>
        <w:tc>
          <w:tcPr>
            <w:tcW w:w="0" w:type="auto"/>
            <w:gridSpan w:val="3"/>
            <w:shd w:val="clear" w:color="auto" w:fill="auto"/>
            <w:vAlign w:val="bottom"/>
          </w:tcPr>
          <w:p w14:paraId="71D41533" w14:textId="77777777" w:rsidR="006A3667" w:rsidRDefault="006A3667">
            <w:pPr>
              <w:rPr>
                <w:rFonts w:ascii="宋体"/>
                <w:vanish/>
              </w:rPr>
            </w:pPr>
          </w:p>
        </w:tc>
        <w:tc>
          <w:tcPr>
            <w:tcW w:w="0" w:type="auto"/>
            <w:gridSpan w:val="3"/>
            <w:shd w:val="clear" w:color="auto" w:fill="auto"/>
            <w:vAlign w:val="bottom"/>
          </w:tcPr>
          <w:p w14:paraId="71D41534" w14:textId="77777777" w:rsidR="006A3667" w:rsidRDefault="006A3667">
            <w:pPr>
              <w:rPr>
                <w:rFonts w:ascii="宋体"/>
                <w:vanish/>
              </w:rPr>
            </w:pPr>
          </w:p>
        </w:tc>
        <w:tc>
          <w:tcPr>
            <w:tcW w:w="0" w:type="auto"/>
            <w:gridSpan w:val="3"/>
            <w:shd w:val="clear" w:color="auto" w:fill="auto"/>
            <w:vAlign w:val="bottom"/>
          </w:tcPr>
          <w:p w14:paraId="71D41535" w14:textId="77777777" w:rsidR="006A3667" w:rsidRDefault="006A3667">
            <w:pPr>
              <w:rPr>
                <w:rFonts w:ascii="宋体"/>
                <w:vanish/>
              </w:rPr>
            </w:pPr>
          </w:p>
        </w:tc>
        <w:tc>
          <w:tcPr>
            <w:tcW w:w="0" w:type="auto"/>
            <w:gridSpan w:val="3"/>
            <w:shd w:val="clear" w:color="auto" w:fill="auto"/>
            <w:vAlign w:val="bottom"/>
          </w:tcPr>
          <w:p w14:paraId="71D41536" w14:textId="77777777" w:rsidR="006A3667" w:rsidRDefault="006A3667">
            <w:pPr>
              <w:rPr>
                <w:rFonts w:ascii="宋体"/>
                <w:vanish/>
              </w:rPr>
            </w:pPr>
          </w:p>
        </w:tc>
        <w:tc>
          <w:tcPr>
            <w:tcW w:w="0" w:type="auto"/>
            <w:gridSpan w:val="3"/>
            <w:shd w:val="clear" w:color="auto" w:fill="auto"/>
            <w:vAlign w:val="bottom"/>
          </w:tcPr>
          <w:p w14:paraId="71D41537" w14:textId="77777777" w:rsidR="006A3667" w:rsidRDefault="006A3667">
            <w:pPr>
              <w:rPr>
                <w:rFonts w:ascii="宋体"/>
                <w:vanish/>
              </w:rPr>
            </w:pPr>
          </w:p>
        </w:tc>
        <w:tc>
          <w:tcPr>
            <w:tcW w:w="0" w:type="auto"/>
            <w:gridSpan w:val="3"/>
            <w:shd w:val="clear" w:color="auto" w:fill="auto"/>
            <w:vAlign w:val="bottom"/>
          </w:tcPr>
          <w:p w14:paraId="71D41538" w14:textId="77777777" w:rsidR="006A3667" w:rsidRDefault="006A3667">
            <w:pPr>
              <w:rPr>
                <w:rFonts w:ascii="宋体"/>
                <w:vanish/>
              </w:rPr>
            </w:pPr>
          </w:p>
        </w:tc>
        <w:tc>
          <w:tcPr>
            <w:tcW w:w="0" w:type="auto"/>
            <w:gridSpan w:val="3"/>
            <w:shd w:val="clear" w:color="auto" w:fill="auto"/>
            <w:vAlign w:val="bottom"/>
          </w:tcPr>
          <w:p w14:paraId="71D41539" w14:textId="77777777" w:rsidR="006A3667" w:rsidRDefault="006A3667">
            <w:pPr>
              <w:rPr>
                <w:rFonts w:ascii="宋体"/>
                <w:vanish/>
              </w:rPr>
            </w:pPr>
          </w:p>
        </w:tc>
        <w:tc>
          <w:tcPr>
            <w:tcW w:w="0" w:type="auto"/>
            <w:gridSpan w:val="3"/>
            <w:shd w:val="clear" w:color="auto" w:fill="auto"/>
            <w:vAlign w:val="bottom"/>
          </w:tcPr>
          <w:p w14:paraId="71D4153A" w14:textId="77777777" w:rsidR="006A3667" w:rsidRDefault="006A3667">
            <w:pPr>
              <w:rPr>
                <w:rFonts w:ascii="宋体"/>
                <w:vanish/>
              </w:rPr>
            </w:pPr>
          </w:p>
        </w:tc>
        <w:tc>
          <w:tcPr>
            <w:tcW w:w="0" w:type="auto"/>
            <w:gridSpan w:val="3"/>
            <w:shd w:val="clear" w:color="auto" w:fill="auto"/>
            <w:vAlign w:val="bottom"/>
          </w:tcPr>
          <w:p w14:paraId="71D4153B" w14:textId="77777777" w:rsidR="006A3667" w:rsidRDefault="006A3667">
            <w:pPr>
              <w:rPr>
                <w:rFonts w:ascii="宋体"/>
                <w:vanish/>
              </w:rPr>
            </w:pPr>
          </w:p>
        </w:tc>
        <w:tc>
          <w:tcPr>
            <w:tcW w:w="0" w:type="auto"/>
            <w:gridSpan w:val="3"/>
            <w:shd w:val="clear" w:color="auto" w:fill="auto"/>
            <w:vAlign w:val="bottom"/>
          </w:tcPr>
          <w:p w14:paraId="71D4153C" w14:textId="77777777" w:rsidR="006A3667" w:rsidRDefault="006A3667">
            <w:pPr>
              <w:rPr>
                <w:rFonts w:ascii="宋体"/>
                <w:vanish/>
              </w:rPr>
            </w:pPr>
          </w:p>
        </w:tc>
        <w:tc>
          <w:tcPr>
            <w:tcW w:w="0" w:type="auto"/>
            <w:gridSpan w:val="3"/>
            <w:shd w:val="clear" w:color="auto" w:fill="auto"/>
            <w:vAlign w:val="bottom"/>
          </w:tcPr>
          <w:p w14:paraId="71D4153D" w14:textId="77777777" w:rsidR="006A3667" w:rsidRDefault="006A3667">
            <w:pPr>
              <w:rPr>
                <w:rFonts w:ascii="宋体"/>
                <w:vanish/>
              </w:rPr>
            </w:pPr>
          </w:p>
        </w:tc>
        <w:tc>
          <w:tcPr>
            <w:tcW w:w="0" w:type="auto"/>
            <w:gridSpan w:val="3"/>
            <w:shd w:val="clear" w:color="auto" w:fill="auto"/>
            <w:vAlign w:val="bottom"/>
          </w:tcPr>
          <w:p w14:paraId="71D4153E" w14:textId="77777777" w:rsidR="006A3667" w:rsidRDefault="006A3667">
            <w:pPr>
              <w:rPr>
                <w:rFonts w:ascii="宋体"/>
                <w:vanish/>
              </w:rPr>
            </w:pPr>
          </w:p>
        </w:tc>
        <w:tc>
          <w:tcPr>
            <w:tcW w:w="0" w:type="auto"/>
            <w:gridSpan w:val="3"/>
            <w:shd w:val="clear" w:color="auto" w:fill="auto"/>
            <w:vAlign w:val="bottom"/>
          </w:tcPr>
          <w:p w14:paraId="71D4153F" w14:textId="77777777" w:rsidR="006A3667" w:rsidRDefault="006A3667">
            <w:pPr>
              <w:rPr>
                <w:rFonts w:ascii="宋体"/>
                <w:vanish/>
              </w:rPr>
            </w:pPr>
          </w:p>
        </w:tc>
        <w:tc>
          <w:tcPr>
            <w:tcW w:w="0" w:type="auto"/>
            <w:gridSpan w:val="3"/>
            <w:shd w:val="clear" w:color="auto" w:fill="auto"/>
            <w:vAlign w:val="bottom"/>
          </w:tcPr>
          <w:p w14:paraId="71D41540" w14:textId="77777777" w:rsidR="006A3667" w:rsidRDefault="006A3667">
            <w:pPr>
              <w:rPr>
                <w:rFonts w:ascii="宋体"/>
                <w:vanish/>
              </w:rPr>
            </w:pPr>
          </w:p>
        </w:tc>
        <w:tc>
          <w:tcPr>
            <w:tcW w:w="0" w:type="auto"/>
            <w:gridSpan w:val="3"/>
            <w:shd w:val="clear" w:color="auto" w:fill="auto"/>
            <w:vAlign w:val="bottom"/>
          </w:tcPr>
          <w:p w14:paraId="71D41541" w14:textId="77777777" w:rsidR="006A3667" w:rsidRDefault="006A3667">
            <w:pPr>
              <w:rPr>
                <w:rFonts w:ascii="宋体"/>
                <w:vanish/>
              </w:rPr>
            </w:pPr>
          </w:p>
        </w:tc>
        <w:tc>
          <w:tcPr>
            <w:tcW w:w="0" w:type="auto"/>
            <w:gridSpan w:val="3"/>
            <w:shd w:val="clear" w:color="auto" w:fill="auto"/>
            <w:vAlign w:val="bottom"/>
          </w:tcPr>
          <w:p w14:paraId="71D41542" w14:textId="77777777" w:rsidR="006A3667" w:rsidRDefault="006A3667">
            <w:pPr>
              <w:rPr>
                <w:rFonts w:ascii="宋体"/>
                <w:vanish/>
              </w:rPr>
            </w:pPr>
          </w:p>
        </w:tc>
        <w:tc>
          <w:tcPr>
            <w:tcW w:w="0" w:type="auto"/>
            <w:gridSpan w:val="3"/>
            <w:shd w:val="clear" w:color="auto" w:fill="auto"/>
            <w:vAlign w:val="bottom"/>
          </w:tcPr>
          <w:p w14:paraId="71D41543" w14:textId="77777777" w:rsidR="006A3667" w:rsidRDefault="006A3667">
            <w:pPr>
              <w:rPr>
                <w:rFonts w:ascii="宋体"/>
                <w:vanish/>
              </w:rPr>
            </w:pPr>
          </w:p>
        </w:tc>
        <w:tc>
          <w:tcPr>
            <w:tcW w:w="0" w:type="auto"/>
            <w:gridSpan w:val="3"/>
            <w:shd w:val="clear" w:color="auto" w:fill="auto"/>
            <w:vAlign w:val="bottom"/>
          </w:tcPr>
          <w:p w14:paraId="71D41544" w14:textId="77777777" w:rsidR="006A3667" w:rsidRDefault="006A3667">
            <w:pPr>
              <w:rPr>
                <w:rFonts w:ascii="宋体"/>
                <w:vanish/>
              </w:rPr>
            </w:pPr>
          </w:p>
        </w:tc>
      </w:tr>
    </w:tbl>
    <w:p w14:paraId="71D41546" w14:textId="77777777" w:rsidR="006A3667" w:rsidRDefault="006A3667">
      <w:pPr>
        <w:rPr>
          <w:vanish/>
        </w:rPr>
      </w:pPr>
    </w:p>
    <w:tbl>
      <w:tblPr>
        <w:tblW w:w="1615" w:type="pct"/>
        <w:tblCellMar>
          <w:top w:w="15" w:type="dxa"/>
          <w:left w:w="15" w:type="dxa"/>
          <w:bottom w:w="15" w:type="dxa"/>
          <w:right w:w="15" w:type="dxa"/>
        </w:tblCellMar>
        <w:tblLook w:val="04A0" w:firstRow="1" w:lastRow="0" w:firstColumn="1" w:lastColumn="0" w:noHBand="0" w:noVBand="1"/>
      </w:tblPr>
      <w:tblGrid>
        <w:gridCol w:w="36"/>
        <w:gridCol w:w="999"/>
        <w:gridCol w:w="36"/>
        <w:gridCol w:w="36"/>
        <w:gridCol w:w="1550"/>
        <w:gridCol w:w="36"/>
      </w:tblGrid>
      <w:tr w:rsidR="006A3667" w14:paraId="71D4154D" w14:textId="77777777">
        <w:tc>
          <w:tcPr>
            <w:tcW w:w="50" w:type="pct"/>
            <w:shd w:val="clear" w:color="auto" w:fill="auto"/>
            <w:vAlign w:val="bottom"/>
          </w:tcPr>
          <w:p w14:paraId="71D41547" w14:textId="77777777" w:rsidR="006A3667" w:rsidRDefault="006A3667">
            <w:pPr>
              <w:rPr>
                <w:rFonts w:ascii="宋体"/>
              </w:rPr>
            </w:pPr>
          </w:p>
        </w:tc>
        <w:tc>
          <w:tcPr>
            <w:tcW w:w="1935" w:type="pct"/>
            <w:shd w:val="clear" w:color="auto" w:fill="auto"/>
            <w:vAlign w:val="bottom"/>
          </w:tcPr>
          <w:p w14:paraId="71D41548" w14:textId="77777777" w:rsidR="006A3667" w:rsidRDefault="006A3667">
            <w:pPr>
              <w:rPr>
                <w:rFonts w:ascii="宋体"/>
              </w:rPr>
            </w:pPr>
          </w:p>
        </w:tc>
        <w:tc>
          <w:tcPr>
            <w:tcW w:w="5" w:type="pct"/>
            <w:shd w:val="clear" w:color="auto" w:fill="auto"/>
            <w:vAlign w:val="bottom"/>
          </w:tcPr>
          <w:p w14:paraId="71D41549" w14:textId="77777777" w:rsidR="006A3667" w:rsidRDefault="006A3667">
            <w:pPr>
              <w:rPr>
                <w:rFonts w:ascii="宋体"/>
              </w:rPr>
            </w:pPr>
          </w:p>
        </w:tc>
        <w:tc>
          <w:tcPr>
            <w:tcW w:w="50" w:type="pct"/>
            <w:shd w:val="clear" w:color="auto" w:fill="auto"/>
            <w:vAlign w:val="bottom"/>
          </w:tcPr>
          <w:p w14:paraId="71D4154A" w14:textId="77777777" w:rsidR="006A3667" w:rsidRDefault="006A3667">
            <w:pPr>
              <w:rPr>
                <w:rFonts w:ascii="宋体"/>
              </w:rPr>
            </w:pPr>
          </w:p>
        </w:tc>
        <w:tc>
          <w:tcPr>
            <w:tcW w:w="2954" w:type="pct"/>
            <w:shd w:val="clear" w:color="auto" w:fill="auto"/>
            <w:vAlign w:val="bottom"/>
          </w:tcPr>
          <w:p w14:paraId="71D4154B" w14:textId="77777777" w:rsidR="006A3667" w:rsidRDefault="006A3667">
            <w:pPr>
              <w:rPr>
                <w:rFonts w:ascii="宋体"/>
              </w:rPr>
            </w:pPr>
          </w:p>
        </w:tc>
        <w:tc>
          <w:tcPr>
            <w:tcW w:w="5" w:type="pct"/>
            <w:shd w:val="clear" w:color="auto" w:fill="auto"/>
            <w:vAlign w:val="bottom"/>
          </w:tcPr>
          <w:p w14:paraId="71D4154C" w14:textId="77777777" w:rsidR="006A3667" w:rsidRDefault="006A3667">
            <w:pPr>
              <w:rPr>
                <w:rFonts w:ascii="宋体"/>
              </w:rPr>
            </w:pPr>
          </w:p>
        </w:tc>
      </w:tr>
      <w:tr w:rsidR="006A3667" w14:paraId="71D4155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154E" w14:textId="77777777" w:rsidR="006A3667" w:rsidRDefault="006A3667">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154F" w14:textId="77777777" w:rsidR="006A3667" w:rsidRDefault="006A3667">
            <w:pPr>
              <w:rPr>
                <w:rFonts w:ascii="宋体"/>
              </w:rPr>
            </w:pPr>
          </w:p>
        </w:tc>
      </w:tr>
    </w:tbl>
    <w:p w14:paraId="71D41551" w14:textId="77777777" w:rsidR="006A3667" w:rsidRDefault="00045F32">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AOCI hedges that are not recognized at fair value on the balance sheet, the overfunded portion of our defined benefit pension plan obligation net of associated deferred tax liabilities, disallowed de</w:t>
      </w:r>
      <w:r>
        <w:rPr>
          <w:rFonts w:ascii="Arial" w:eastAsia="宋体" w:hAnsi="Arial" w:cs="Arial"/>
          <w:color w:val="000000"/>
          <w:sz w:val="12"/>
          <w:szCs w:val="12"/>
        </w:rPr>
        <w:t>ferred tax assets, and other required credit risk-based deductions.</w:t>
      </w:r>
    </w:p>
    <w:p w14:paraId="71D41552" w14:textId="77777777" w:rsidR="006A3667" w:rsidRDefault="00045F32">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Under the advanced approaches, credit risk RWA includes a CVA which reflects the risk of potential fair value adjustments for credit risk reflected in our valuation of OTC derivative c</w:t>
      </w:r>
      <w:r>
        <w:rPr>
          <w:rFonts w:ascii="Arial" w:eastAsia="宋体" w:hAnsi="Arial" w:cs="Arial"/>
          <w:color w:val="000000"/>
          <w:sz w:val="12"/>
          <w:szCs w:val="12"/>
        </w:rPr>
        <w:t>ontracts. We used a simple CVA approach in conformity with the Basel III advanced approaches.</w:t>
      </w:r>
    </w:p>
    <w:p w14:paraId="71D41553" w14:textId="77777777" w:rsidR="006A3667" w:rsidRDefault="00045F32">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 advanced approaches rules and regulatory guidance concerning operational risk models, RWA attributable to operational risk can vary substantially from period-to-period, without direct correlation to the effects of a particular loss event</w:t>
      </w:r>
      <w:r>
        <w:rPr>
          <w:rFonts w:ascii="Arial" w:eastAsia="宋体" w:hAnsi="Arial" w:cs="Arial"/>
          <w:color w:val="000000"/>
          <w:sz w:val="12"/>
          <w:szCs w:val="12"/>
        </w:rPr>
        <w:t xml:space="preserve"> on our results of operations and financial condition and impacting dates and periods that may differ from the dates and periods as of and during which the loss event is reflected in our financial statements, with the timing and categorization dependent on</w:t>
      </w:r>
      <w:r>
        <w:rPr>
          <w:rFonts w:ascii="Arial" w:eastAsia="宋体" w:hAnsi="Arial" w:cs="Arial"/>
          <w:color w:val="000000"/>
          <w:sz w:val="12"/>
          <w:szCs w:val="12"/>
        </w:rPr>
        <w:t xml:space="preserve"> the processes for model updates and, if applicable, model revalidation and regulatory review and related supervisory processes. An individual loss event can have a significant effect on the output of our operational RWA under the advanced approaches depen</w:t>
      </w:r>
      <w:r>
        <w:rPr>
          <w:rFonts w:ascii="Arial" w:eastAsia="宋体" w:hAnsi="Arial" w:cs="Arial"/>
          <w:color w:val="000000"/>
          <w:sz w:val="12"/>
          <w:szCs w:val="12"/>
        </w:rPr>
        <w:t>ding on the severity of the loss event and its categorization among the seven Basel-defined UOMs.</w:t>
      </w:r>
    </w:p>
    <w:p w14:paraId="71D41554" w14:textId="77777777" w:rsidR="006A3667" w:rsidRDefault="00045F32">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Minimum requirements include a CCB of 2.5% and a SCB of 2.5% for the advanced approaches and the standardized approach, respectively, a G-SIB surcharge of</w:t>
      </w:r>
      <w:r>
        <w:rPr>
          <w:rFonts w:ascii="Arial" w:eastAsia="宋体" w:hAnsi="Arial" w:cs="Arial"/>
          <w:color w:val="000000"/>
          <w:sz w:val="12"/>
          <w:szCs w:val="12"/>
        </w:rPr>
        <w:t xml:space="preserve"> 1.0% and a countercyclical buffer of 0%. On June 23, 2022, we were notified by the Federal Reserve of the results from the 2022 supervisory stress test. Our SCB calculated under the 2022 supervisory stress test was well below the 2.5% minimum, resulting i</w:t>
      </w:r>
      <w:r>
        <w:rPr>
          <w:rFonts w:ascii="Arial" w:eastAsia="宋体" w:hAnsi="Arial" w:cs="Arial"/>
          <w:color w:val="000000"/>
          <w:sz w:val="12"/>
          <w:szCs w:val="12"/>
        </w:rPr>
        <w:t>n an SCB at that floor, which is in effect from October 1, 2022 through September 30, 2023.</w:t>
      </w:r>
    </w:p>
    <w:p w14:paraId="71D41555" w14:textId="77777777" w:rsidR="006A3667" w:rsidRDefault="00045F32">
      <w:pPr>
        <w:spacing w:before="60"/>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71D41556" w14:textId="77777777" w:rsidR="006A3667" w:rsidRDefault="00045F32">
      <w:pPr>
        <w:ind w:firstLine="450"/>
        <w:jc w:val="right"/>
      </w:pPr>
      <w:r>
        <w:rPr>
          <w:rFonts w:ascii="Arial" w:eastAsia="宋体" w:hAnsi="Arial" w:cs="Arial"/>
          <w:color w:val="000000"/>
          <w:sz w:val="18"/>
          <w:szCs w:val="18"/>
        </w:rPr>
        <w:t>State Street Corporation | 45</w:t>
      </w:r>
    </w:p>
    <w:p w14:paraId="71D41557" w14:textId="77777777" w:rsidR="006A3667" w:rsidRDefault="006A3667">
      <w:pPr>
        <w:ind w:firstLine="450"/>
        <w:jc w:val="center"/>
      </w:pPr>
    </w:p>
    <w:p w14:paraId="71D41558" w14:textId="77777777" w:rsidR="006A3667" w:rsidRDefault="00045F32">
      <w:r>
        <w:pict w14:anchorId="71D4AC41">
          <v:rect id="_x0000_i1069" style="width:415.3pt;height:1.5pt" o:hralign="center" o:hrstd="t" o:hr="t" fillcolor="#a0a0a0" stroked="f"/>
        </w:pict>
      </w:r>
    </w:p>
    <w:p w14:paraId="71D41559"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55A" w14:textId="77777777" w:rsidR="006A3667" w:rsidRDefault="00045F32">
      <w:pPr>
        <w:ind w:firstLine="450"/>
        <w:jc w:val="center"/>
      </w:pPr>
      <w:r>
        <w:rPr>
          <w:rFonts w:ascii="Arial" w:eastAsia="宋体" w:hAnsi="Arial" w:cs="Arial"/>
          <w:b/>
          <w:bCs/>
          <w:color w:val="000000"/>
          <w:sz w:val="20"/>
          <w:szCs w:val="20"/>
        </w:rPr>
        <w:t>AND RESULTS OF OPERATIONS</w:t>
      </w:r>
    </w:p>
    <w:p w14:paraId="71D4155B" w14:textId="77777777" w:rsidR="006A3667" w:rsidRDefault="00045F32">
      <w:pPr>
        <w:spacing w:before="60"/>
        <w:ind w:firstLine="450"/>
        <w:jc w:val="both"/>
      </w:pPr>
      <w:r>
        <w:rPr>
          <w:rFonts w:ascii="Arial" w:eastAsia="宋体" w:hAnsi="Arial" w:cs="Arial"/>
          <w:color w:val="000000"/>
          <w:sz w:val="20"/>
          <w:szCs w:val="20"/>
        </w:rPr>
        <w:t xml:space="preserve">Our CET1 capital </w:t>
      </w:r>
      <w:r>
        <w:rPr>
          <w:rFonts w:ascii="Arial" w:eastAsia="宋体" w:hAnsi="Arial" w:cs="Arial"/>
          <w:color w:val="000000"/>
          <w:sz w:val="20"/>
          <w:szCs w:val="20"/>
        </w:rPr>
        <w:t>decreased $0.82 billion as of September 30, 2022, compared to December 31, 2021, primarily due to unrealized losses on AFS securities within AOCI driven by the significant increase in rates across the yield curve, partially offset by net income. Our Tier 1</w:t>
      </w:r>
      <w:r>
        <w:rPr>
          <w:rFonts w:ascii="Arial" w:eastAsia="宋体" w:hAnsi="Arial" w:cs="Arial"/>
          <w:color w:val="000000"/>
          <w:sz w:val="20"/>
          <w:szCs w:val="20"/>
        </w:rPr>
        <w:t xml:space="preserve"> capital decreased $0.82 billion as of September 30, 2022, compared to December 31, 2021, under both the advanced approaches and standardized approach, primarily due to the decrease in CET1 capital.</w:t>
      </w:r>
    </w:p>
    <w:p w14:paraId="71D4155C" w14:textId="77777777" w:rsidR="006A3667" w:rsidRDefault="00045F32">
      <w:pPr>
        <w:spacing w:before="60"/>
        <w:ind w:firstLine="450"/>
        <w:jc w:val="both"/>
      </w:pPr>
      <w:r>
        <w:rPr>
          <w:rFonts w:ascii="Arial" w:eastAsia="宋体" w:hAnsi="Arial" w:cs="Arial"/>
          <w:color w:val="000000"/>
          <w:sz w:val="20"/>
          <w:szCs w:val="20"/>
        </w:rPr>
        <w:t>Our total capital decreased $1.03 billion as of September</w:t>
      </w:r>
      <w:r>
        <w:rPr>
          <w:rFonts w:ascii="Arial" w:eastAsia="宋体" w:hAnsi="Arial" w:cs="Arial"/>
          <w:color w:val="000000"/>
          <w:sz w:val="20"/>
          <w:szCs w:val="20"/>
        </w:rPr>
        <w:t> 30, 2022, compared to December 31, 2021, under both the advanced approaches and standardized approach, primarily due to the decrease in CET1 capital.</w:t>
      </w:r>
    </w:p>
    <w:p w14:paraId="71D4155D" w14:textId="77777777" w:rsidR="006A3667" w:rsidRDefault="00045F32">
      <w:pPr>
        <w:spacing w:before="60"/>
        <w:ind w:firstLine="450"/>
        <w:jc w:val="both"/>
      </w:pPr>
      <w:r>
        <w:rPr>
          <w:rFonts w:ascii="Arial" w:eastAsia="宋体" w:hAnsi="Arial" w:cs="Arial"/>
          <w:color w:val="000000"/>
          <w:sz w:val="20"/>
          <w:szCs w:val="20"/>
        </w:rPr>
        <w:t>The table below presents a roll-forward of CET1 capital, Tier 1 capital and total capital for the nine mo</w:t>
      </w:r>
      <w:r>
        <w:rPr>
          <w:rFonts w:ascii="Arial" w:eastAsia="宋体" w:hAnsi="Arial" w:cs="Arial"/>
          <w:color w:val="000000"/>
          <w:sz w:val="20"/>
          <w:szCs w:val="20"/>
        </w:rPr>
        <w:t>nths ended September 30, 2022 and for the year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860"/>
        <w:gridCol w:w="38"/>
        <w:gridCol w:w="99"/>
        <w:gridCol w:w="798"/>
        <w:gridCol w:w="36"/>
        <w:gridCol w:w="36"/>
        <w:gridCol w:w="36"/>
        <w:gridCol w:w="36"/>
        <w:gridCol w:w="99"/>
        <w:gridCol w:w="825"/>
        <w:gridCol w:w="36"/>
        <w:gridCol w:w="36"/>
        <w:gridCol w:w="36"/>
        <w:gridCol w:w="36"/>
        <w:gridCol w:w="99"/>
        <w:gridCol w:w="955"/>
        <w:gridCol w:w="36"/>
        <w:gridCol w:w="36"/>
        <w:gridCol w:w="36"/>
        <w:gridCol w:w="36"/>
        <w:gridCol w:w="99"/>
        <w:gridCol w:w="957"/>
        <w:gridCol w:w="36"/>
      </w:tblGrid>
      <w:tr w:rsidR="006A3667" w14:paraId="71D41576" w14:textId="77777777">
        <w:tc>
          <w:tcPr>
            <w:tcW w:w="50" w:type="pct"/>
            <w:shd w:val="clear" w:color="auto" w:fill="auto"/>
            <w:vAlign w:val="bottom"/>
          </w:tcPr>
          <w:p w14:paraId="71D4155E" w14:textId="77777777" w:rsidR="006A3667" w:rsidRDefault="006A3667">
            <w:pPr>
              <w:rPr>
                <w:rFonts w:ascii="宋体"/>
              </w:rPr>
            </w:pPr>
          </w:p>
        </w:tc>
        <w:tc>
          <w:tcPr>
            <w:tcW w:w="2386" w:type="pct"/>
            <w:shd w:val="clear" w:color="auto" w:fill="auto"/>
            <w:vAlign w:val="bottom"/>
          </w:tcPr>
          <w:p w14:paraId="71D4155F" w14:textId="77777777" w:rsidR="006A3667" w:rsidRDefault="006A3667">
            <w:pPr>
              <w:rPr>
                <w:rFonts w:ascii="宋体"/>
              </w:rPr>
            </w:pPr>
          </w:p>
        </w:tc>
        <w:tc>
          <w:tcPr>
            <w:tcW w:w="5" w:type="pct"/>
            <w:shd w:val="clear" w:color="auto" w:fill="auto"/>
            <w:vAlign w:val="bottom"/>
          </w:tcPr>
          <w:p w14:paraId="71D41560" w14:textId="77777777" w:rsidR="006A3667" w:rsidRDefault="006A3667">
            <w:pPr>
              <w:rPr>
                <w:rFonts w:ascii="宋体"/>
              </w:rPr>
            </w:pPr>
          </w:p>
        </w:tc>
        <w:tc>
          <w:tcPr>
            <w:tcW w:w="50" w:type="pct"/>
            <w:shd w:val="clear" w:color="auto" w:fill="auto"/>
            <w:vAlign w:val="bottom"/>
          </w:tcPr>
          <w:p w14:paraId="71D41561" w14:textId="77777777" w:rsidR="006A3667" w:rsidRDefault="006A3667">
            <w:pPr>
              <w:rPr>
                <w:rFonts w:ascii="宋体"/>
              </w:rPr>
            </w:pPr>
          </w:p>
        </w:tc>
        <w:tc>
          <w:tcPr>
            <w:tcW w:w="528" w:type="pct"/>
            <w:shd w:val="clear" w:color="auto" w:fill="auto"/>
            <w:vAlign w:val="bottom"/>
          </w:tcPr>
          <w:p w14:paraId="71D41562" w14:textId="77777777" w:rsidR="006A3667" w:rsidRDefault="006A3667">
            <w:pPr>
              <w:rPr>
                <w:rFonts w:ascii="宋体"/>
              </w:rPr>
            </w:pPr>
          </w:p>
        </w:tc>
        <w:tc>
          <w:tcPr>
            <w:tcW w:w="5" w:type="pct"/>
            <w:shd w:val="clear" w:color="auto" w:fill="auto"/>
            <w:vAlign w:val="bottom"/>
          </w:tcPr>
          <w:p w14:paraId="71D41563" w14:textId="77777777" w:rsidR="006A3667" w:rsidRDefault="006A3667">
            <w:pPr>
              <w:rPr>
                <w:rFonts w:ascii="宋体"/>
              </w:rPr>
            </w:pPr>
          </w:p>
        </w:tc>
        <w:tc>
          <w:tcPr>
            <w:tcW w:w="5" w:type="pct"/>
            <w:shd w:val="clear" w:color="auto" w:fill="auto"/>
            <w:vAlign w:val="bottom"/>
          </w:tcPr>
          <w:p w14:paraId="71D41564" w14:textId="77777777" w:rsidR="006A3667" w:rsidRDefault="006A3667">
            <w:pPr>
              <w:rPr>
                <w:rFonts w:ascii="宋体"/>
              </w:rPr>
            </w:pPr>
          </w:p>
        </w:tc>
        <w:tc>
          <w:tcPr>
            <w:tcW w:w="19" w:type="pct"/>
            <w:shd w:val="clear" w:color="auto" w:fill="auto"/>
            <w:vAlign w:val="bottom"/>
          </w:tcPr>
          <w:p w14:paraId="71D41565" w14:textId="77777777" w:rsidR="006A3667" w:rsidRDefault="006A3667">
            <w:pPr>
              <w:rPr>
                <w:rFonts w:ascii="宋体"/>
              </w:rPr>
            </w:pPr>
          </w:p>
        </w:tc>
        <w:tc>
          <w:tcPr>
            <w:tcW w:w="5" w:type="pct"/>
            <w:shd w:val="clear" w:color="auto" w:fill="auto"/>
            <w:vAlign w:val="bottom"/>
          </w:tcPr>
          <w:p w14:paraId="71D41566" w14:textId="77777777" w:rsidR="006A3667" w:rsidRDefault="006A3667">
            <w:pPr>
              <w:rPr>
                <w:rFonts w:ascii="宋体"/>
              </w:rPr>
            </w:pPr>
          </w:p>
        </w:tc>
        <w:tc>
          <w:tcPr>
            <w:tcW w:w="50" w:type="pct"/>
            <w:shd w:val="clear" w:color="auto" w:fill="auto"/>
            <w:vAlign w:val="bottom"/>
          </w:tcPr>
          <w:p w14:paraId="71D41567" w14:textId="77777777" w:rsidR="006A3667" w:rsidRDefault="006A3667">
            <w:pPr>
              <w:rPr>
                <w:rFonts w:ascii="宋体"/>
              </w:rPr>
            </w:pPr>
          </w:p>
        </w:tc>
        <w:tc>
          <w:tcPr>
            <w:tcW w:w="477" w:type="pct"/>
            <w:shd w:val="clear" w:color="auto" w:fill="auto"/>
            <w:vAlign w:val="bottom"/>
          </w:tcPr>
          <w:p w14:paraId="71D41568" w14:textId="77777777" w:rsidR="006A3667" w:rsidRDefault="006A3667">
            <w:pPr>
              <w:rPr>
                <w:rFonts w:ascii="宋体"/>
              </w:rPr>
            </w:pPr>
          </w:p>
        </w:tc>
        <w:tc>
          <w:tcPr>
            <w:tcW w:w="5" w:type="pct"/>
            <w:shd w:val="clear" w:color="auto" w:fill="auto"/>
            <w:vAlign w:val="bottom"/>
          </w:tcPr>
          <w:p w14:paraId="71D41569" w14:textId="77777777" w:rsidR="006A3667" w:rsidRDefault="006A3667">
            <w:pPr>
              <w:rPr>
                <w:rFonts w:ascii="宋体"/>
              </w:rPr>
            </w:pPr>
          </w:p>
        </w:tc>
        <w:tc>
          <w:tcPr>
            <w:tcW w:w="5" w:type="pct"/>
            <w:shd w:val="clear" w:color="auto" w:fill="auto"/>
            <w:vAlign w:val="bottom"/>
          </w:tcPr>
          <w:p w14:paraId="71D4156A" w14:textId="77777777" w:rsidR="006A3667" w:rsidRDefault="006A3667">
            <w:pPr>
              <w:rPr>
                <w:rFonts w:ascii="宋体"/>
              </w:rPr>
            </w:pPr>
          </w:p>
        </w:tc>
        <w:tc>
          <w:tcPr>
            <w:tcW w:w="19" w:type="pct"/>
            <w:shd w:val="clear" w:color="auto" w:fill="auto"/>
            <w:vAlign w:val="bottom"/>
          </w:tcPr>
          <w:p w14:paraId="71D4156B" w14:textId="77777777" w:rsidR="006A3667" w:rsidRDefault="006A3667">
            <w:pPr>
              <w:rPr>
                <w:rFonts w:ascii="宋体"/>
              </w:rPr>
            </w:pPr>
          </w:p>
        </w:tc>
        <w:tc>
          <w:tcPr>
            <w:tcW w:w="5" w:type="pct"/>
            <w:shd w:val="clear" w:color="auto" w:fill="auto"/>
            <w:vAlign w:val="bottom"/>
          </w:tcPr>
          <w:p w14:paraId="71D4156C" w14:textId="77777777" w:rsidR="006A3667" w:rsidRDefault="006A3667">
            <w:pPr>
              <w:rPr>
                <w:rFonts w:ascii="宋体"/>
              </w:rPr>
            </w:pPr>
          </w:p>
        </w:tc>
        <w:tc>
          <w:tcPr>
            <w:tcW w:w="50" w:type="pct"/>
            <w:shd w:val="clear" w:color="auto" w:fill="auto"/>
            <w:vAlign w:val="bottom"/>
          </w:tcPr>
          <w:p w14:paraId="71D4156D" w14:textId="77777777" w:rsidR="006A3667" w:rsidRDefault="006A3667">
            <w:pPr>
              <w:rPr>
                <w:rFonts w:ascii="宋体"/>
              </w:rPr>
            </w:pPr>
          </w:p>
        </w:tc>
        <w:tc>
          <w:tcPr>
            <w:tcW w:w="622" w:type="pct"/>
            <w:shd w:val="clear" w:color="auto" w:fill="auto"/>
            <w:vAlign w:val="bottom"/>
          </w:tcPr>
          <w:p w14:paraId="71D4156E" w14:textId="77777777" w:rsidR="006A3667" w:rsidRDefault="006A3667">
            <w:pPr>
              <w:rPr>
                <w:rFonts w:ascii="宋体"/>
              </w:rPr>
            </w:pPr>
          </w:p>
        </w:tc>
        <w:tc>
          <w:tcPr>
            <w:tcW w:w="5" w:type="pct"/>
            <w:shd w:val="clear" w:color="auto" w:fill="auto"/>
            <w:vAlign w:val="bottom"/>
          </w:tcPr>
          <w:p w14:paraId="71D4156F" w14:textId="77777777" w:rsidR="006A3667" w:rsidRDefault="006A3667">
            <w:pPr>
              <w:rPr>
                <w:rFonts w:ascii="宋体"/>
              </w:rPr>
            </w:pPr>
          </w:p>
        </w:tc>
        <w:tc>
          <w:tcPr>
            <w:tcW w:w="5" w:type="pct"/>
            <w:shd w:val="clear" w:color="auto" w:fill="auto"/>
            <w:vAlign w:val="bottom"/>
          </w:tcPr>
          <w:p w14:paraId="71D41570" w14:textId="77777777" w:rsidR="006A3667" w:rsidRDefault="006A3667">
            <w:pPr>
              <w:rPr>
                <w:rFonts w:ascii="宋体"/>
              </w:rPr>
            </w:pPr>
          </w:p>
        </w:tc>
        <w:tc>
          <w:tcPr>
            <w:tcW w:w="19" w:type="pct"/>
            <w:shd w:val="clear" w:color="auto" w:fill="auto"/>
            <w:vAlign w:val="bottom"/>
          </w:tcPr>
          <w:p w14:paraId="71D41571" w14:textId="77777777" w:rsidR="006A3667" w:rsidRDefault="006A3667">
            <w:pPr>
              <w:rPr>
                <w:rFonts w:ascii="宋体"/>
              </w:rPr>
            </w:pPr>
          </w:p>
        </w:tc>
        <w:tc>
          <w:tcPr>
            <w:tcW w:w="5" w:type="pct"/>
            <w:shd w:val="clear" w:color="auto" w:fill="auto"/>
            <w:vAlign w:val="bottom"/>
          </w:tcPr>
          <w:p w14:paraId="71D41572" w14:textId="77777777" w:rsidR="006A3667" w:rsidRDefault="006A3667">
            <w:pPr>
              <w:rPr>
                <w:rFonts w:ascii="宋体"/>
              </w:rPr>
            </w:pPr>
          </w:p>
        </w:tc>
        <w:tc>
          <w:tcPr>
            <w:tcW w:w="50" w:type="pct"/>
            <w:shd w:val="clear" w:color="auto" w:fill="auto"/>
            <w:vAlign w:val="bottom"/>
          </w:tcPr>
          <w:p w14:paraId="71D41573" w14:textId="77777777" w:rsidR="006A3667" w:rsidRDefault="006A3667">
            <w:pPr>
              <w:rPr>
                <w:rFonts w:ascii="宋体"/>
              </w:rPr>
            </w:pPr>
          </w:p>
        </w:tc>
        <w:tc>
          <w:tcPr>
            <w:tcW w:w="623" w:type="pct"/>
            <w:shd w:val="clear" w:color="auto" w:fill="auto"/>
            <w:vAlign w:val="bottom"/>
          </w:tcPr>
          <w:p w14:paraId="71D41574" w14:textId="77777777" w:rsidR="006A3667" w:rsidRDefault="006A3667">
            <w:pPr>
              <w:rPr>
                <w:rFonts w:ascii="宋体"/>
              </w:rPr>
            </w:pPr>
          </w:p>
        </w:tc>
        <w:tc>
          <w:tcPr>
            <w:tcW w:w="5" w:type="pct"/>
            <w:shd w:val="clear" w:color="auto" w:fill="auto"/>
            <w:vAlign w:val="bottom"/>
          </w:tcPr>
          <w:p w14:paraId="71D41575" w14:textId="77777777" w:rsidR="006A3667" w:rsidRDefault="006A3667">
            <w:pPr>
              <w:rPr>
                <w:rFonts w:ascii="宋体"/>
              </w:rPr>
            </w:pPr>
          </w:p>
        </w:tc>
      </w:tr>
      <w:tr w:rsidR="006A3667" w14:paraId="71D41578" w14:textId="77777777">
        <w:tc>
          <w:tcPr>
            <w:tcW w:w="0" w:type="auto"/>
            <w:gridSpan w:val="24"/>
            <w:shd w:val="clear" w:color="auto" w:fill="auto"/>
            <w:tcMar>
              <w:top w:w="40" w:type="dxa"/>
              <w:left w:w="20" w:type="dxa"/>
              <w:bottom w:w="40" w:type="dxa"/>
              <w:right w:w="20" w:type="dxa"/>
            </w:tcMar>
            <w:vAlign w:val="bottom"/>
          </w:tcPr>
          <w:p w14:paraId="71D41577" w14:textId="77777777" w:rsidR="006A3667" w:rsidRDefault="00045F32">
            <w:pPr>
              <w:textAlignment w:val="bottom"/>
            </w:pPr>
            <w:r>
              <w:rPr>
                <w:rFonts w:ascii="Arial" w:eastAsia="宋体" w:hAnsi="Arial" w:cs="Arial"/>
                <w:b/>
                <w:bCs/>
                <w:color w:val="000000"/>
                <w:sz w:val="16"/>
                <w:szCs w:val="16"/>
              </w:rPr>
              <w:t>TABLE 35: CAPITAL ROLL-FORWARD</w:t>
            </w:r>
          </w:p>
        </w:tc>
      </w:tr>
      <w:tr w:rsidR="006A3667" w14:paraId="71D41581" w14:textId="77777777">
        <w:tc>
          <w:tcPr>
            <w:tcW w:w="0" w:type="auto"/>
            <w:gridSpan w:val="3"/>
            <w:shd w:val="clear" w:color="auto" w:fill="auto"/>
            <w:tcMar>
              <w:top w:w="40" w:type="dxa"/>
              <w:left w:w="20" w:type="dxa"/>
              <w:bottom w:w="40" w:type="dxa"/>
              <w:right w:w="20" w:type="dxa"/>
            </w:tcMar>
            <w:vAlign w:val="bottom"/>
          </w:tcPr>
          <w:p w14:paraId="71D41579"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157A" w14:textId="77777777" w:rsidR="006A3667" w:rsidRDefault="00045F32">
            <w:pPr>
              <w:jc w:val="center"/>
              <w:textAlignment w:val="bottom"/>
            </w:pPr>
            <w:r>
              <w:rPr>
                <w:rFonts w:ascii="Arial" w:eastAsia="宋体" w:hAnsi="Arial" w:cs="Arial"/>
                <w:b/>
                <w:bCs/>
                <w:color w:val="000000"/>
                <w:sz w:val="14"/>
                <w:szCs w:val="14"/>
              </w:rPr>
              <w:t>Basel III Advanced Approaches September 30, 2022</w:t>
            </w:r>
          </w:p>
        </w:tc>
        <w:tc>
          <w:tcPr>
            <w:tcW w:w="0" w:type="auto"/>
            <w:gridSpan w:val="3"/>
            <w:shd w:val="clear" w:color="auto" w:fill="auto"/>
            <w:tcMar>
              <w:top w:w="0" w:type="dxa"/>
              <w:left w:w="20" w:type="dxa"/>
              <w:bottom w:w="0" w:type="dxa"/>
              <w:right w:w="20" w:type="dxa"/>
            </w:tcMar>
            <w:vAlign w:val="bottom"/>
          </w:tcPr>
          <w:p w14:paraId="71D4157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57C" w14:textId="77777777" w:rsidR="006A3667" w:rsidRDefault="00045F32">
            <w:pPr>
              <w:jc w:val="center"/>
              <w:textAlignment w:val="bottom"/>
            </w:pPr>
            <w:r>
              <w:rPr>
                <w:rFonts w:ascii="Arial" w:eastAsia="宋体" w:hAnsi="Arial" w:cs="Arial"/>
                <w:b/>
                <w:bCs/>
                <w:color w:val="000000"/>
                <w:sz w:val="14"/>
                <w:szCs w:val="14"/>
              </w:rPr>
              <w:t>Basel III Standardized Approach September 30, 2022</w:t>
            </w:r>
          </w:p>
        </w:tc>
        <w:tc>
          <w:tcPr>
            <w:tcW w:w="0" w:type="auto"/>
            <w:gridSpan w:val="3"/>
            <w:shd w:val="clear" w:color="auto" w:fill="auto"/>
            <w:tcMar>
              <w:top w:w="0" w:type="dxa"/>
              <w:left w:w="20" w:type="dxa"/>
              <w:bottom w:w="0" w:type="dxa"/>
              <w:right w:w="20" w:type="dxa"/>
            </w:tcMar>
            <w:vAlign w:val="bottom"/>
          </w:tcPr>
          <w:p w14:paraId="71D4157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57E" w14:textId="77777777" w:rsidR="006A3667" w:rsidRDefault="00045F32">
            <w:pPr>
              <w:jc w:val="center"/>
              <w:textAlignment w:val="bottom"/>
            </w:pPr>
            <w:r>
              <w:rPr>
                <w:rFonts w:ascii="Arial" w:eastAsia="宋体" w:hAnsi="Arial" w:cs="Arial"/>
                <w:b/>
                <w:bCs/>
                <w:color w:val="000000"/>
                <w:sz w:val="14"/>
                <w:szCs w:val="14"/>
              </w:rPr>
              <w:t>Basel III</w:t>
            </w:r>
            <w:r>
              <w:rPr>
                <w:rFonts w:ascii="Arial" w:eastAsia="宋体" w:hAnsi="Arial" w:cs="Arial"/>
                <w:b/>
                <w:bCs/>
                <w:color w:val="000000"/>
                <w:sz w:val="14"/>
                <w:szCs w:val="14"/>
              </w:rPr>
              <w:br/>
              <w:t>Advanced Approaches December 31, 2021</w:t>
            </w:r>
          </w:p>
        </w:tc>
        <w:tc>
          <w:tcPr>
            <w:tcW w:w="0" w:type="auto"/>
            <w:gridSpan w:val="3"/>
            <w:shd w:val="clear" w:color="auto" w:fill="auto"/>
            <w:tcMar>
              <w:top w:w="0" w:type="dxa"/>
              <w:left w:w="20" w:type="dxa"/>
              <w:bottom w:w="0" w:type="dxa"/>
              <w:right w:w="20" w:type="dxa"/>
            </w:tcMar>
            <w:vAlign w:val="bottom"/>
          </w:tcPr>
          <w:p w14:paraId="71D4157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580" w14:textId="77777777" w:rsidR="006A3667" w:rsidRDefault="00045F32">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Standardized Approach December 31, 2021</w:t>
            </w:r>
          </w:p>
        </w:tc>
      </w:tr>
      <w:tr w:rsidR="006A3667" w14:paraId="71D4158A" w14:textId="77777777">
        <w:tc>
          <w:tcPr>
            <w:tcW w:w="0" w:type="auto"/>
            <w:gridSpan w:val="3"/>
            <w:shd w:val="clear" w:color="auto" w:fill="auto"/>
            <w:tcMar>
              <w:top w:w="40" w:type="dxa"/>
              <w:left w:w="20" w:type="dxa"/>
              <w:bottom w:w="40" w:type="dxa"/>
              <w:right w:w="20" w:type="dxa"/>
            </w:tcMar>
            <w:vAlign w:val="bottom"/>
          </w:tcPr>
          <w:p w14:paraId="71D41582" w14:textId="77777777" w:rsidR="006A3667" w:rsidRDefault="00045F32">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58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58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58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58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58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58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589" w14:textId="77777777" w:rsidR="006A3667" w:rsidRDefault="006A3667">
            <w:pPr>
              <w:rPr>
                <w:rFonts w:ascii="宋体"/>
              </w:rPr>
            </w:pPr>
          </w:p>
        </w:tc>
      </w:tr>
      <w:tr w:rsidR="006A3667" w14:paraId="71D4159B" w14:textId="77777777">
        <w:tc>
          <w:tcPr>
            <w:tcW w:w="0" w:type="auto"/>
            <w:gridSpan w:val="3"/>
            <w:shd w:val="clear" w:color="auto" w:fill="CCEEFF"/>
            <w:tcMar>
              <w:top w:w="40" w:type="dxa"/>
              <w:left w:w="20" w:type="dxa"/>
              <w:bottom w:w="40" w:type="dxa"/>
              <w:right w:w="20" w:type="dxa"/>
            </w:tcMar>
            <w:vAlign w:val="bottom"/>
          </w:tcPr>
          <w:p w14:paraId="71D4158B" w14:textId="77777777" w:rsidR="006A3667" w:rsidRDefault="00045F32">
            <w:pPr>
              <w:textAlignment w:val="bottom"/>
            </w:pPr>
            <w:r>
              <w:rPr>
                <w:rFonts w:ascii="Arial" w:eastAsia="宋体" w:hAnsi="Arial" w:cs="Arial"/>
                <w:color w:val="000000"/>
                <w:sz w:val="14"/>
                <w:szCs w:val="14"/>
              </w:rPr>
              <w:t>Common equity tier 1 capital balance, beginning of period</w:t>
            </w:r>
          </w:p>
        </w:tc>
        <w:tc>
          <w:tcPr>
            <w:tcW w:w="0" w:type="auto"/>
            <w:shd w:val="clear" w:color="auto" w:fill="CCEEFF"/>
            <w:tcMar>
              <w:top w:w="40" w:type="dxa"/>
              <w:left w:w="20" w:type="dxa"/>
              <w:bottom w:w="40" w:type="dxa"/>
              <w:right w:w="0" w:type="dxa"/>
            </w:tcMar>
            <w:vAlign w:val="bottom"/>
          </w:tcPr>
          <w:p w14:paraId="71D4158C"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158D" w14:textId="77777777" w:rsidR="006A3667" w:rsidRDefault="00045F32">
            <w:pPr>
              <w:jc w:val="right"/>
              <w:textAlignment w:val="bottom"/>
            </w:pPr>
            <w:r>
              <w:rPr>
                <w:rFonts w:ascii="Arial" w:eastAsia="宋体" w:hAnsi="Arial" w:cs="Arial"/>
                <w:b/>
                <w:bCs/>
                <w:color w:val="000000"/>
                <w:sz w:val="14"/>
                <w:szCs w:val="14"/>
              </w:rPr>
              <w:t>15,947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58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8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590"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1591" w14:textId="77777777" w:rsidR="006A3667" w:rsidRDefault="00045F32">
            <w:pPr>
              <w:jc w:val="right"/>
              <w:textAlignment w:val="bottom"/>
            </w:pPr>
            <w:r>
              <w:rPr>
                <w:rFonts w:ascii="Arial" w:eastAsia="宋体" w:hAnsi="Arial" w:cs="Arial"/>
                <w:b/>
                <w:bCs/>
                <w:color w:val="000000"/>
                <w:sz w:val="14"/>
                <w:szCs w:val="14"/>
              </w:rPr>
              <w:t>15,947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5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9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59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1595" w14:textId="77777777" w:rsidR="006A3667" w:rsidRDefault="00045F32">
            <w:pPr>
              <w:jc w:val="right"/>
              <w:textAlignment w:val="bottom"/>
            </w:pPr>
            <w:r>
              <w:rPr>
                <w:rFonts w:ascii="Arial" w:eastAsia="宋体" w:hAnsi="Arial" w:cs="Arial"/>
                <w:color w:val="000000"/>
                <w:sz w:val="14"/>
                <w:szCs w:val="14"/>
              </w:rPr>
              <w:t>14,377 </w:t>
            </w:r>
          </w:p>
        </w:tc>
        <w:tc>
          <w:tcPr>
            <w:tcW w:w="0" w:type="auto"/>
            <w:shd w:val="clear" w:color="auto" w:fill="CCEEFF"/>
            <w:tcMar>
              <w:top w:w="40" w:type="dxa"/>
              <w:left w:w="0" w:type="dxa"/>
              <w:bottom w:w="40" w:type="dxa"/>
              <w:right w:w="20" w:type="dxa"/>
            </w:tcMar>
            <w:vAlign w:val="bottom"/>
          </w:tcPr>
          <w:p w14:paraId="71D415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9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59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1599" w14:textId="77777777" w:rsidR="006A3667" w:rsidRDefault="00045F32">
            <w:pPr>
              <w:jc w:val="right"/>
              <w:textAlignment w:val="bottom"/>
            </w:pPr>
            <w:r>
              <w:rPr>
                <w:rFonts w:ascii="Arial" w:eastAsia="宋体" w:hAnsi="Arial" w:cs="Arial"/>
                <w:color w:val="000000"/>
                <w:sz w:val="14"/>
                <w:szCs w:val="14"/>
              </w:rPr>
              <w:t>14,377 </w:t>
            </w:r>
          </w:p>
        </w:tc>
        <w:tc>
          <w:tcPr>
            <w:tcW w:w="0" w:type="auto"/>
            <w:shd w:val="clear" w:color="auto" w:fill="CCEEFF"/>
            <w:tcMar>
              <w:top w:w="40" w:type="dxa"/>
              <w:left w:w="0" w:type="dxa"/>
              <w:bottom w:w="40" w:type="dxa"/>
              <w:right w:w="20" w:type="dxa"/>
            </w:tcMar>
            <w:vAlign w:val="bottom"/>
          </w:tcPr>
          <w:p w14:paraId="71D4159A" w14:textId="77777777" w:rsidR="006A3667" w:rsidRDefault="006A3667">
            <w:pPr>
              <w:jc w:val="right"/>
              <w:rPr>
                <w:rFonts w:ascii="宋体"/>
              </w:rPr>
            </w:pPr>
          </w:p>
        </w:tc>
      </w:tr>
      <w:tr w:rsidR="006A3667" w14:paraId="71D415A8" w14:textId="77777777">
        <w:tc>
          <w:tcPr>
            <w:tcW w:w="0" w:type="auto"/>
            <w:gridSpan w:val="3"/>
            <w:shd w:val="clear" w:color="auto" w:fill="FFFFFF"/>
            <w:tcMar>
              <w:top w:w="40" w:type="dxa"/>
              <w:left w:w="20" w:type="dxa"/>
              <w:bottom w:w="40" w:type="dxa"/>
              <w:right w:w="20" w:type="dxa"/>
            </w:tcMar>
            <w:vAlign w:val="bottom"/>
          </w:tcPr>
          <w:p w14:paraId="71D4159C" w14:textId="77777777" w:rsidR="006A3667" w:rsidRDefault="00045F32">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71D4159D" w14:textId="77777777" w:rsidR="006A3667" w:rsidRDefault="00045F32">
            <w:pPr>
              <w:jc w:val="right"/>
              <w:textAlignment w:val="bottom"/>
            </w:pPr>
            <w:r>
              <w:rPr>
                <w:rFonts w:ascii="Arial" w:eastAsia="宋体" w:hAnsi="Arial" w:cs="Arial"/>
                <w:b/>
                <w:bCs/>
                <w:color w:val="000000"/>
                <w:sz w:val="14"/>
                <w:szCs w:val="14"/>
              </w:rPr>
              <w:t>2,041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159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9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A0" w14:textId="77777777" w:rsidR="006A3667" w:rsidRDefault="00045F32">
            <w:pPr>
              <w:jc w:val="right"/>
              <w:textAlignment w:val="bottom"/>
            </w:pPr>
            <w:r>
              <w:rPr>
                <w:rFonts w:ascii="Arial" w:eastAsia="宋体" w:hAnsi="Arial" w:cs="Arial"/>
                <w:b/>
                <w:bCs/>
                <w:color w:val="000000"/>
                <w:sz w:val="14"/>
                <w:szCs w:val="14"/>
              </w:rPr>
              <w:t>2,041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15A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A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A3" w14:textId="77777777" w:rsidR="006A3667" w:rsidRDefault="00045F32">
            <w:pPr>
              <w:jc w:val="right"/>
              <w:textAlignment w:val="bottom"/>
            </w:pPr>
            <w:r>
              <w:rPr>
                <w:rFonts w:ascii="Arial" w:eastAsia="宋体" w:hAnsi="Arial" w:cs="Arial"/>
                <w:color w:val="000000"/>
                <w:sz w:val="14"/>
                <w:szCs w:val="14"/>
              </w:rPr>
              <w:t>2,693 </w:t>
            </w:r>
          </w:p>
        </w:tc>
        <w:tc>
          <w:tcPr>
            <w:tcW w:w="0" w:type="auto"/>
            <w:shd w:val="clear" w:color="auto" w:fill="FFFFFF"/>
            <w:tcMar>
              <w:top w:w="40" w:type="dxa"/>
              <w:left w:w="0" w:type="dxa"/>
              <w:bottom w:w="40" w:type="dxa"/>
              <w:right w:w="20" w:type="dxa"/>
            </w:tcMar>
            <w:vAlign w:val="bottom"/>
          </w:tcPr>
          <w:p w14:paraId="71D415A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A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A6" w14:textId="77777777" w:rsidR="006A3667" w:rsidRDefault="00045F32">
            <w:pPr>
              <w:jc w:val="right"/>
              <w:textAlignment w:val="bottom"/>
            </w:pPr>
            <w:r>
              <w:rPr>
                <w:rFonts w:ascii="Arial" w:eastAsia="宋体" w:hAnsi="Arial" w:cs="Arial"/>
                <w:color w:val="000000"/>
                <w:sz w:val="14"/>
                <w:szCs w:val="14"/>
              </w:rPr>
              <w:t>2,693 </w:t>
            </w:r>
          </w:p>
        </w:tc>
        <w:tc>
          <w:tcPr>
            <w:tcW w:w="0" w:type="auto"/>
            <w:shd w:val="clear" w:color="auto" w:fill="FFFFFF"/>
            <w:tcMar>
              <w:top w:w="40" w:type="dxa"/>
              <w:left w:w="0" w:type="dxa"/>
              <w:bottom w:w="40" w:type="dxa"/>
              <w:right w:w="20" w:type="dxa"/>
            </w:tcMar>
            <w:vAlign w:val="bottom"/>
          </w:tcPr>
          <w:p w14:paraId="71D415A7" w14:textId="77777777" w:rsidR="006A3667" w:rsidRDefault="006A3667">
            <w:pPr>
              <w:jc w:val="right"/>
              <w:rPr>
                <w:rFonts w:ascii="宋体"/>
              </w:rPr>
            </w:pPr>
          </w:p>
        </w:tc>
      </w:tr>
      <w:tr w:rsidR="006A3667" w14:paraId="71D415B5" w14:textId="77777777">
        <w:tc>
          <w:tcPr>
            <w:tcW w:w="0" w:type="auto"/>
            <w:gridSpan w:val="3"/>
            <w:shd w:val="clear" w:color="auto" w:fill="CCEEFF"/>
            <w:tcMar>
              <w:top w:w="40" w:type="dxa"/>
              <w:left w:w="20" w:type="dxa"/>
              <w:bottom w:w="40" w:type="dxa"/>
              <w:right w:w="20" w:type="dxa"/>
            </w:tcMar>
            <w:vAlign w:val="bottom"/>
          </w:tcPr>
          <w:p w14:paraId="71D415A9" w14:textId="77777777" w:rsidR="006A3667" w:rsidRDefault="00045F32">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71D415AA" w14:textId="77777777" w:rsidR="006A3667" w:rsidRDefault="00045F32">
            <w:pPr>
              <w:jc w:val="right"/>
              <w:textAlignment w:val="bottom"/>
            </w:pPr>
            <w:r>
              <w:rPr>
                <w:rFonts w:ascii="Arial" w:eastAsia="宋体" w:hAnsi="Arial" w:cs="Arial"/>
                <w:b/>
                <w:bCs/>
                <w:color w:val="000000"/>
                <w:sz w:val="14"/>
                <w:szCs w:val="14"/>
              </w:rPr>
              <w:t>134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5A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A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AD" w14:textId="77777777" w:rsidR="006A3667" w:rsidRDefault="00045F32">
            <w:pPr>
              <w:jc w:val="right"/>
              <w:textAlignment w:val="bottom"/>
            </w:pPr>
            <w:r>
              <w:rPr>
                <w:rFonts w:ascii="Arial" w:eastAsia="宋体" w:hAnsi="Arial" w:cs="Arial"/>
                <w:b/>
                <w:bCs/>
                <w:color w:val="000000"/>
                <w:sz w:val="14"/>
                <w:szCs w:val="14"/>
              </w:rPr>
              <w:t>134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5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A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B0" w14:textId="77777777" w:rsidR="006A3667" w:rsidRDefault="00045F32">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71D415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B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B3" w14:textId="77777777" w:rsidR="006A3667" w:rsidRDefault="00045F32">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71D415B4" w14:textId="77777777" w:rsidR="006A3667" w:rsidRDefault="006A3667">
            <w:pPr>
              <w:jc w:val="right"/>
              <w:rPr>
                <w:rFonts w:ascii="宋体"/>
              </w:rPr>
            </w:pPr>
          </w:p>
        </w:tc>
      </w:tr>
      <w:tr w:rsidR="006A3667" w14:paraId="71D415C2" w14:textId="77777777">
        <w:tc>
          <w:tcPr>
            <w:tcW w:w="0" w:type="auto"/>
            <w:gridSpan w:val="3"/>
            <w:shd w:val="clear" w:color="auto" w:fill="FFFFFF"/>
            <w:tcMar>
              <w:top w:w="40" w:type="dxa"/>
              <w:left w:w="20" w:type="dxa"/>
              <w:bottom w:w="40" w:type="dxa"/>
              <w:right w:w="20" w:type="dxa"/>
            </w:tcMar>
            <w:vAlign w:val="bottom"/>
          </w:tcPr>
          <w:p w14:paraId="71D415B6" w14:textId="77777777" w:rsidR="006A3667" w:rsidRDefault="00045F32">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71D415B7" w14:textId="77777777" w:rsidR="006A3667" w:rsidRDefault="00045F32">
            <w:pPr>
              <w:jc w:val="right"/>
              <w:textAlignment w:val="bottom"/>
            </w:pPr>
            <w:r>
              <w:rPr>
                <w:rFonts w:ascii="Arial" w:eastAsia="宋体" w:hAnsi="Arial" w:cs="Arial"/>
                <w:b/>
                <w:bCs/>
                <w:color w:val="000000"/>
                <w:sz w:val="14"/>
                <w:szCs w:val="14"/>
              </w:rPr>
              <w:t>(727)</w:t>
            </w:r>
          </w:p>
        </w:tc>
        <w:tc>
          <w:tcPr>
            <w:tcW w:w="0" w:type="auto"/>
            <w:shd w:val="clear" w:color="auto" w:fill="FFFFFF"/>
            <w:tcMar>
              <w:top w:w="40" w:type="dxa"/>
              <w:left w:w="0" w:type="dxa"/>
              <w:bottom w:w="40" w:type="dxa"/>
              <w:right w:w="20" w:type="dxa"/>
            </w:tcMar>
            <w:vAlign w:val="bottom"/>
          </w:tcPr>
          <w:p w14:paraId="71D415B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B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BA" w14:textId="77777777" w:rsidR="006A3667" w:rsidRDefault="00045F32">
            <w:pPr>
              <w:jc w:val="right"/>
              <w:textAlignment w:val="bottom"/>
            </w:pPr>
            <w:r>
              <w:rPr>
                <w:rFonts w:ascii="Arial" w:eastAsia="宋体" w:hAnsi="Arial" w:cs="Arial"/>
                <w:b/>
                <w:bCs/>
                <w:color w:val="000000"/>
                <w:sz w:val="14"/>
                <w:szCs w:val="14"/>
              </w:rPr>
              <w:t>(727)</w:t>
            </w:r>
          </w:p>
        </w:tc>
        <w:tc>
          <w:tcPr>
            <w:tcW w:w="0" w:type="auto"/>
            <w:shd w:val="clear" w:color="auto" w:fill="FFFFFF"/>
            <w:tcMar>
              <w:top w:w="40" w:type="dxa"/>
              <w:left w:w="0" w:type="dxa"/>
              <w:bottom w:w="40" w:type="dxa"/>
              <w:right w:w="20" w:type="dxa"/>
            </w:tcMar>
            <w:vAlign w:val="bottom"/>
          </w:tcPr>
          <w:p w14:paraId="71D415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B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BD" w14:textId="77777777" w:rsidR="006A3667" w:rsidRDefault="00045F32">
            <w:pPr>
              <w:jc w:val="right"/>
              <w:textAlignment w:val="bottom"/>
            </w:pPr>
            <w:r>
              <w:rPr>
                <w:rFonts w:ascii="Arial" w:eastAsia="宋体" w:hAnsi="Arial" w:cs="Arial"/>
                <w:color w:val="000000"/>
                <w:sz w:val="14"/>
                <w:szCs w:val="14"/>
              </w:rPr>
              <w:t>(897)</w:t>
            </w:r>
          </w:p>
        </w:tc>
        <w:tc>
          <w:tcPr>
            <w:tcW w:w="0" w:type="auto"/>
            <w:shd w:val="clear" w:color="auto" w:fill="FFFFFF"/>
            <w:tcMar>
              <w:top w:w="40" w:type="dxa"/>
              <w:left w:w="0" w:type="dxa"/>
              <w:bottom w:w="40" w:type="dxa"/>
              <w:right w:w="20" w:type="dxa"/>
            </w:tcMar>
            <w:vAlign w:val="bottom"/>
          </w:tcPr>
          <w:p w14:paraId="71D415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C0" w14:textId="77777777" w:rsidR="006A3667" w:rsidRDefault="00045F32">
            <w:pPr>
              <w:jc w:val="right"/>
              <w:textAlignment w:val="bottom"/>
            </w:pPr>
            <w:r>
              <w:rPr>
                <w:rFonts w:ascii="Arial" w:eastAsia="宋体" w:hAnsi="Arial" w:cs="Arial"/>
                <w:color w:val="000000"/>
                <w:sz w:val="14"/>
                <w:szCs w:val="14"/>
              </w:rPr>
              <w:t>(897)</w:t>
            </w:r>
          </w:p>
        </w:tc>
        <w:tc>
          <w:tcPr>
            <w:tcW w:w="0" w:type="auto"/>
            <w:shd w:val="clear" w:color="auto" w:fill="FFFFFF"/>
            <w:tcMar>
              <w:top w:w="40" w:type="dxa"/>
              <w:left w:w="0" w:type="dxa"/>
              <w:bottom w:w="40" w:type="dxa"/>
              <w:right w:w="20" w:type="dxa"/>
            </w:tcMar>
            <w:vAlign w:val="bottom"/>
          </w:tcPr>
          <w:p w14:paraId="71D415C1" w14:textId="77777777" w:rsidR="006A3667" w:rsidRDefault="006A3667">
            <w:pPr>
              <w:jc w:val="right"/>
              <w:rPr>
                <w:rFonts w:ascii="宋体"/>
              </w:rPr>
            </w:pPr>
          </w:p>
        </w:tc>
      </w:tr>
      <w:tr w:rsidR="006A3667" w14:paraId="71D415CF" w14:textId="77777777">
        <w:tc>
          <w:tcPr>
            <w:tcW w:w="0" w:type="auto"/>
            <w:gridSpan w:val="3"/>
            <w:shd w:val="clear" w:color="auto" w:fill="CCEEFF"/>
            <w:tcMar>
              <w:top w:w="40" w:type="dxa"/>
              <w:left w:w="20" w:type="dxa"/>
              <w:bottom w:w="40" w:type="dxa"/>
              <w:right w:w="20" w:type="dxa"/>
            </w:tcMar>
            <w:vAlign w:val="bottom"/>
          </w:tcPr>
          <w:p w14:paraId="71D415C3" w14:textId="77777777" w:rsidR="006A3667" w:rsidRDefault="00045F32">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71D415C4" w14:textId="77777777" w:rsidR="006A3667" w:rsidRDefault="00045F32">
            <w:pPr>
              <w:jc w:val="right"/>
              <w:textAlignment w:val="bottom"/>
            </w:pPr>
            <w:r>
              <w:rPr>
                <w:rFonts w:ascii="Arial" w:eastAsia="宋体" w:hAnsi="Arial" w:cs="Arial"/>
                <w:b/>
                <w:bCs/>
                <w:color w:val="000000"/>
                <w:sz w:val="14"/>
                <w:szCs w:val="14"/>
              </w:rPr>
              <w:t>502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5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C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C7" w14:textId="77777777" w:rsidR="006A3667" w:rsidRDefault="00045F32">
            <w:pPr>
              <w:jc w:val="right"/>
              <w:textAlignment w:val="bottom"/>
            </w:pPr>
            <w:r>
              <w:rPr>
                <w:rFonts w:ascii="Arial" w:eastAsia="宋体" w:hAnsi="Arial" w:cs="Arial"/>
                <w:b/>
                <w:bCs/>
                <w:color w:val="000000"/>
                <w:sz w:val="14"/>
                <w:szCs w:val="14"/>
              </w:rPr>
              <w:t>502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5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C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CA" w14:textId="77777777" w:rsidR="006A3667" w:rsidRDefault="00045F32">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71D415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C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CD" w14:textId="77777777" w:rsidR="006A3667" w:rsidRDefault="00045F32">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71D415CE" w14:textId="77777777" w:rsidR="006A3667" w:rsidRDefault="006A3667">
            <w:pPr>
              <w:jc w:val="right"/>
              <w:rPr>
                <w:rFonts w:ascii="宋体"/>
              </w:rPr>
            </w:pPr>
          </w:p>
        </w:tc>
      </w:tr>
      <w:tr w:rsidR="006A3667" w14:paraId="71D415DC" w14:textId="77777777">
        <w:tc>
          <w:tcPr>
            <w:tcW w:w="0" w:type="auto"/>
            <w:gridSpan w:val="3"/>
            <w:shd w:val="clear" w:color="auto" w:fill="FFFFFF"/>
            <w:tcMar>
              <w:top w:w="40" w:type="dxa"/>
              <w:left w:w="20" w:type="dxa"/>
              <w:bottom w:w="40" w:type="dxa"/>
              <w:right w:w="20" w:type="dxa"/>
            </w:tcMar>
            <w:vAlign w:val="bottom"/>
          </w:tcPr>
          <w:p w14:paraId="71D415D0" w14:textId="77777777" w:rsidR="006A3667" w:rsidRDefault="00045F32">
            <w:pPr>
              <w:textAlignment w:val="bottom"/>
            </w:pPr>
            <w:r>
              <w:rPr>
                <w:rFonts w:ascii="Arial" w:eastAsia="宋体" w:hAnsi="Arial" w:cs="Arial"/>
                <w:color w:val="000000"/>
                <w:sz w:val="14"/>
                <w:szCs w:val="14"/>
              </w:rPr>
              <w:t>Accumulated other comprehensive income (loss)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415D1" w14:textId="77777777" w:rsidR="006A3667" w:rsidRDefault="00045F32">
            <w:pPr>
              <w:jc w:val="right"/>
              <w:textAlignment w:val="bottom"/>
            </w:pPr>
            <w:r>
              <w:rPr>
                <w:rFonts w:ascii="Arial" w:eastAsia="宋体" w:hAnsi="Arial" w:cs="Arial"/>
                <w:b/>
                <w:bCs/>
                <w:color w:val="000000"/>
                <w:sz w:val="14"/>
                <w:szCs w:val="14"/>
              </w:rPr>
              <w:t>(3,135)</w:t>
            </w:r>
          </w:p>
        </w:tc>
        <w:tc>
          <w:tcPr>
            <w:tcW w:w="0" w:type="auto"/>
            <w:shd w:val="clear" w:color="auto" w:fill="FFFFFF"/>
            <w:tcMar>
              <w:top w:w="40" w:type="dxa"/>
              <w:left w:w="0" w:type="dxa"/>
              <w:bottom w:w="40" w:type="dxa"/>
              <w:right w:w="20" w:type="dxa"/>
            </w:tcMar>
            <w:vAlign w:val="bottom"/>
          </w:tcPr>
          <w:p w14:paraId="71D415D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D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D4" w14:textId="77777777" w:rsidR="006A3667" w:rsidRDefault="00045F32">
            <w:pPr>
              <w:jc w:val="right"/>
              <w:textAlignment w:val="bottom"/>
            </w:pPr>
            <w:r>
              <w:rPr>
                <w:rFonts w:ascii="Arial" w:eastAsia="宋体" w:hAnsi="Arial" w:cs="Arial"/>
                <w:b/>
                <w:bCs/>
                <w:color w:val="000000"/>
                <w:sz w:val="14"/>
                <w:szCs w:val="14"/>
              </w:rPr>
              <w:t>(3,135)</w:t>
            </w:r>
          </w:p>
        </w:tc>
        <w:tc>
          <w:tcPr>
            <w:tcW w:w="0" w:type="auto"/>
            <w:shd w:val="clear" w:color="auto" w:fill="FFFFFF"/>
            <w:tcMar>
              <w:top w:w="40" w:type="dxa"/>
              <w:left w:w="0" w:type="dxa"/>
              <w:bottom w:w="40" w:type="dxa"/>
              <w:right w:w="20" w:type="dxa"/>
            </w:tcMar>
            <w:vAlign w:val="bottom"/>
          </w:tcPr>
          <w:p w14:paraId="71D415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D7" w14:textId="77777777" w:rsidR="006A3667" w:rsidRDefault="00045F32">
            <w:pPr>
              <w:jc w:val="right"/>
              <w:textAlignment w:val="bottom"/>
            </w:pPr>
            <w:r>
              <w:rPr>
                <w:rFonts w:ascii="Arial" w:eastAsia="宋体" w:hAnsi="Arial" w:cs="Arial"/>
                <w:color w:val="000000"/>
                <w:sz w:val="14"/>
                <w:szCs w:val="14"/>
              </w:rPr>
              <w:t>(1,320)</w:t>
            </w:r>
          </w:p>
        </w:tc>
        <w:tc>
          <w:tcPr>
            <w:tcW w:w="0" w:type="auto"/>
            <w:shd w:val="clear" w:color="auto" w:fill="FFFFFF"/>
            <w:tcMar>
              <w:top w:w="40" w:type="dxa"/>
              <w:left w:w="0" w:type="dxa"/>
              <w:bottom w:w="40" w:type="dxa"/>
              <w:right w:w="20" w:type="dxa"/>
            </w:tcMar>
            <w:vAlign w:val="bottom"/>
          </w:tcPr>
          <w:p w14:paraId="71D415D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D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5DA" w14:textId="77777777" w:rsidR="006A3667" w:rsidRDefault="00045F32">
            <w:pPr>
              <w:jc w:val="right"/>
              <w:textAlignment w:val="bottom"/>
            </w:pPr>
            <w:r>
              <w:rPr>
                <w:rFonts w:ascii="Arial" w:eastAsia="宋体" w:hAnsi="Arial" w:cs="Arial"/>
                <w:color w:val="000000"/>
                <w:sz w:val="14"/>
                <w:szCs w:val="14"/>
              </w:rPr>
              <w:t>(1,320)</w:t>
            </w:r>
          </w:p>
        </w:tc>
        <w:tc>
          <w:tcPr>
            <w:tcW w:w="0" w:type="auto"/>
            <w:shd w:val="clear" w:color="auto" w:fill="FFFFFF"/>
            <w:tcMar>
              <w:top w:w="40" w:type="dxa"/>
              <w:left w:w="0" w:type="dxa"/>
              <w:bottom w:w="40" w:type="dxa"/>
              <w:right w:w="20" w:type="dxa"/>
            </w:tcMar>
            <w:vAlign w:val="bottom"/>
          </w:tcPr>
          <w:p w14:paraId="71D415DB" w14:textId="77777777" w:rsidR="006A3667" w:rsidRDefault="006A3667">
            <w:pPr>
              <w:jc w:val="right"/>
              <w:rPr>
                <w:rFonts w:ascii="宋体"/>
              </w:rPr>
            </w:pPr>
          </w:p>
        </w:tc>
      </w:tr>
      <w:tr w:rsidR="006A3667" w14:paraId="71D415E9" w14:textId="77777777">
        <w:tc>
          <w:tcPr>
            <w:tcW w:w="0" w:type="auto"/>
            <w:gridSpan w:val="3"/>
            <w:shd w:val="clear" w:color="auto" w:fill="CCEEFF"/>
            <w:tcMar>
              <w:top w:w="40" w:type="dxa"/>
              <w:left w:w="20" w:type="dxa"/>
              <w:bottom w:w="40" w:type="dxa"/>
              <w:right w:w="20" w:type="dxa"/>
            </w:tcMar>
            <w:vAlign w:val="bottom"/>
          </w:tcPr>
          <w:p w14:paraId="71D415DD" w14:textId="77777777" w:rsidR="006A3667" w:rsidRDefault="00045F32">
            <w:pPr>
              <w:textAlignment w:val="bottom"/>
            </w:pPr>
            <w:r>
              <w:rPr>
                <w:rFonts w:ascii="Arial" w:eastAsia="宋体" w:hAnsi="Arial" w:cs="Arial"/>
                <w:color w:val="000000"/>
                <w:sz w:val="14"/>
                <w:szCs w:val="14"/>
              </w:rPr>
              <w:t>Other adjustments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1D415DE" w14:textId="77777777" w:rsidR="006A3667" w:rsidRDefault="00045F32">
            <w:pPr>
              <w:jc w:val="right"/>
              <w:textAlignment w:val="bottom"/>
            </w:pPr>
            <w:r>
              <w:rPr>
                <w:rFonts w:ascii="Arial" w:eastAsia="宋体" w:hAnsi="Arial" w:cs="Arial"/>
                <w:b/>
                <w:bCs/>
                <w:color w:val="000000"/>
                <w:sz w:val="14"/>
                <w:szCs w:val="14"/>
              </w:rPr>
              <w:t>364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5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E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E1" w14:textId="77777777" w:rsidR="006A3667" w:rsidRDefault="00045F32">
            <w:pPr>
              <w:jc w:val="right"/>
              <w:textAlignment w:val="bottom"/>
            </w:pPr>
            <w:r>
              <w:rPr>
                <w:rFonts w:ascii="Arial" w:eastAsia="宋体" w:hAnsi="Arial" w:cs="Arial"/>
                <w:b/>
                <w:bCs/>
                <w:color w:val="000000"/>
                <w:sz w:val="14"/>
                <w:szCs w:val="14"/>
              </w:rPr>
              <w:t>364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5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E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E4" w14:textId="77777777" w:rsidR="006A3667" w:rsidRDefault="00045F32">
            <w:pPr>
              <w:jc w:val="right"/>
              <w:textAlignment w:val="bottom"/>
            </w:pPr>
            <w:r>
              <w:rPr>
                <w:rFonts w:ascii="Arial" w:eastAsia="宋体" w:hAnsi="Arial" w:cs="Arial"/>
                <w:color w:val="000000"/>
                <w:sz w:val="14"/>
                <w:szCs w:val="14"/>
              </w:rPr>
              <w:t>410 </w:t>
            </w:r>
          </w:p>
        </w:tc>
        <w:tc>
          <w:tcPr>
            <w:tcW w:w="0" w:type="auto"/>
            <w:shd w:val="clear" w:color="auto" w:fill="CCEEFF"/>
            <w:tcMar>
              <w:top w:w="40" w:type="dxa"/>
              <w:left w:w="0" w:type="dxa"/>
              <w:bottom w:w="40" w:type="dxa"/>
              <w:right w:w="20" w:type="dxa"/>
            </w:tcMar>
            <w:vAlign w:val="bottom"/>
          </w:tcPr>
          <w:p w14:paraId="71D415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E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5E7" w14:textId="77777777" w:rsidR="006A3667" w:rsidRDefault="00045F32">
            <w:pPr>
              <w:jc w:val="right"/>
              <w:textAlignment w:val="bottom"/>
            </w:pPr>
            <w:r>
              <w:rPr>
                <w:rFonts w:ascii="Arial" w:eastAsia="宋体" w:hAnsi="Arial" w:cs="Arial"/>
                <w:color w:val="000000"/>
                <w:sz w:val="14"/>
                <w:szCs w:val="14"/>
              </w:rPr>
              <w:t>410 </w:t>
            </w:r>
          </w:p>
        </w:tc>
        <w:tc>
          <w:tcPr>
            <w:tcW w:w="0" w:type="auto"/>
            <w:shd w:val="clear" w:color="auto" w:fill="CCEEFF"/>
            <w:tcMar>
              <w:top w:w="40" w:type="dxa"/>
              <w:left w:w="0" w:type="dxa"/>
              <w:bottom w:w="40" w:type="dxa"/>
              <w:right w:w="20" w:type="dxa"/>
            </w:tcMar>
            <w:vAlign w:val="bottom"/>
          </w:tcPr>
          <w:p w14:paraId="71D415E8" w14:textId="77777777" w:rsidR="006A3667" w:rsidRDefault="006A3667">
            <w:pPr>
              <w:jc w:val="right"/>
              <w:rPr>
                <w:rFonts w:ascii="宋体"/>
              </w:rPr>
            </w:pPr>
          </w:p>
        </w:tc>
      </w:tr>
      <w:tr w:rsidR="006A3667" w14:paraId="71D415F6" w14:textId="77777777">
        <w:tc>
          <w:tcPr>
            <w:tcW w:w="0" w:type="auto"/>
            <w:gridSpan w:val="3"/>
            <w:shd w:val="clear" w:color="auto" w:fill="FFFFFF"/>
            <w:tcMar>
              <w:top w:w="40" w:type="dxa"/>
              <w:left w:w="20" w:type="dxa"/>
              <w:bottom w:w="40" w:type="dxa"/>
              <w:right w:w="20" w:type="dxa"/>
            </w:tcMar>
            <w:vAlign w:val="bottom"/>
          </w:tcPr>
          <w:p w14:paraId="71D415EA" w14:textId="77777777" w:rsidR="006A3667" w:rsidRDefault="00045F32">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5EB" w14:textId="77777777" w:rsidR="006A3667" w:rsidRDefault="00045F32">
            <w:pPr>
              <w:jc w:val="right"/>
              <w:textAlignment w:val="bottom"/>
            </w:pPr>
            <w:r>
              <w:rPr>
                <w:rFonts w:ascii="Arial" w:eastAsia="宋体" w:hAnsi="Arial" w:cs="Arial"/>
                <w:b/>
                <w:bCs/>
                <w:color w:val="000000"/>
                <w:sz w:val="14"/>
                <w:szCs w:val="14"/>
              </w:rPr>
              <w:t>(821)</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5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E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5EE" w14:textId="77777777" w:rsidR="006A3667" w:rsidRDefault="00045F32">
            <w:pPr>
              <w:jc w:val="right"/>
              <w:textAlignment w:val="bottom"/>
            </w:pPr>
            <w:r>
              <w:rPr>
                <w:rFonts w:ascii="Arial" w:eastAsia="宋体" w:hAnsi="Arial" w:cs="Arial"/>
                <w:b/>
                <w:bCs/>
                <w:color w:val="000000"/>
                <w:sz w:val="14"/>
                <w:szCs w:val="14"/>
              </w:rPr>
              <w:t>(821)</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5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F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5F1" w14:textId="77777777" w:rsidR="006A3667" w:rsidRDefault="00045F32">
            <w:pPr>
              <w:jc w:val="right"/>
              <w:textAlignment w:val="bottom"/>
            </w:pPr>
            <w:r>
              <w:rPr>
                <w:rFonts w:ascii="Arial" w:eastAsia="宋体" w:hAnsi="Arial" w:cs="Arial"/>
                <w:color w:val="000000"/>
                <w:sz w:val="14"/>
                <w:szCs w:val="14"/>
              </w:rPr>
              <w:t>1,570 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5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5F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5F4" w14:textId="77777777" w:rsidR="006A3667" w:rsidRDefault="00045F32">
            <w:pPr>
              <w:jc w:val="right"/>
              <w:textAlignment w:val="bottom"/>
            </w:pPr>
            <w:r>
              <w:rPr>
                <w:rFonts w:ascii="Arial" w:eastAsia="宋体" w:hAnsi="Arial" w:cs="Arial"/>
                <w:color w:val="000000"/>
                <w:sz w:val="14"/>
                <w:szCs w:val="14"/>
              </w:rPr>
              <w:t>1,570 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5F5" w14:textId="77777777" w:rsidR="006A3667" w:rsidRDefault="006A3667">
            <w:pPr>
              <w:jc w:val="right"/>
              <w:rPr>
                <w:rFonts w:ascii="宋体"/>
              </w:rPr>
            </w:pPr>
          </w:p>
        </w:tc>
      </w:tr>
      <w:tr w:rsidR="006A3667" w14:paraId="71D41603" w14:textId="77777777">
        <w:tc>
          <w:tcPr>
            <w:tcW w:w="0" w:type="auto"/>
            <w:gridSpan w:val="3"/>
            <w:shd w:val="clear" w:color="auto" w:fill="CCEEFF"/>
            <w:tcMar>
              <w:top w:w="40" w:type="dxa"/>
              <w:left w:w="20" w:type="dxa"/>
              <w:bottom w:w="40" w:type="dxa"/>
              <w:right w:w="20" w:type="dxa"/>
            </w:tcMar>
            <w:vAlign w:val="bottom"/>
          </w:tcPr>
          <w:p w14:paraId="71D415F7" w14:textId="77777777" w:rsidR="006A3667" w:rsidRDefault="00045F32">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5F8" w14:textId="77777777" w:rsidR="006A3667" w:rsidRDefault="00045F32">
            <w:pPr>
              <w:jc w:val="right"/>
              <w:textAlignment w:val="bottom"/>
            </w:pPr>
            <w:r>
              <w:rPr>
                <w:rFonts w:ascii="Arial" w:eastAsia="宋体" w:hAnsi="Arial" w:cs="Arial"/>
                <w:b/>
                <w:bCs/>
                <w:color w:val="000000"/>
                <w:sz w:val="14"/>
                <w:szCs w:val="14"/>
              </w:rPr>
              <w:t>15,126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5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F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5FB" w14:textId="77777777" w:rsidR="006A3667" w:rsidRDefault="00045F32">
            <w:pPr>
              <w:jc w:val="right"/>
              <w:textAlignment w:val="bottom"/>
            </w:pPr>
            <w:r>
              <w:rPr>
                <w:rFonts w:ascii="Arial" w:eastAsia="宋体" w:hAnsi="Arial" w:cs="Arial"/>
                <w:b/>
                <w:bCs/>
                <w:color w:val="000000"/>
                <w:sz w:val="14"/>
                <w:szCs w:val="14"/>
              </w:rPr>
              <w:t>15,126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5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5F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5FE" w14:textId="77777777" w:rsidR="006A3667" w:rsidRDefault="00045F32">
            <w:pPr>
              <w:jc w:val="right"/>
              <w:textAlignment w:val="bottom"/>
            </w:pPr>
            <w:r>
              <w:rPr>
                <w:rFonts w:ascii="Arial" w:eastAsia="宋体" w:hAnsi="Arial" w:cs="Arial"/>
                <w:color w:val="000000"/>
                <w:sz w:val="14"/>
                <w:szCs w:val="14"/>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5F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0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01" w14:textId="77777777" w:rsidR="006A3667" w:rsidRDefault="00045F32">
            <w:pPr>
              <w:jc w:val="right"/>
              <w:textAlignment w:val="bottom"/>
            </w:pPr>
            <w:r>
              <w:rPr>
                <w:rFonts w:ascii="Arial" w:eastAsia="宋体" w:hAnsi="Arial" w:cs="Arial"/>
                <w:color w:val="000000"/>
                <w:sz w:val="14"/>
                <w:szCs w:val="14"/>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02" w14:textId="77777777" w:rsidR="006A3667" w:rsidRDefault="006A3667">
            <w:pPr>
              <w:jc w:val="right"/>
              <w:rPr>
                <w:rFonts w:ascii="宋体"/>
              </w:rPr>
            </w:pPr>
          </w:p>
        </w:tc>
      </w:tr>
      <w:tr w:rsidR="006A3667" w14:paraId="71D4160C" w14:textId="77777777">
        <w:tc>
          <w:tcPr>
            <w:tcW w:w="0" w:type="auto"/>
            <w:gridSpan w:val="3"/>
            <w:shd w:val="clear" w:color="auto" w:fill="FFFFFF"/>
            <w:tcMar>
              <w:top w:w="40" w:type="dxa"/>
              <w:left w:w="20" w:type="dxa"/>
              <w:bottom w:w="40" w:type="dxa"/>
              <w:right w:w="20" w:type="dxa"/>
            </w:tcMar>
            <w:vAlign w:val="bottom"/>
          </w:tcPr>
          <w:p w14:paraId="71D41604" w14:textId="77777777" w:rsidR="006A3667" w:rsidRDefault="00045F32">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0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06"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0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08"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0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0A"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0B" w14:textId="77777777" w:rsidR="006A3667" w:rsidRDefault="006A3667">
            <w:pPr>
              <w:rPr>
                <w:rFonts w:ascii="宋体"/>
              </w:rPr>
            </w:pPr>
          </w:p>
        </w:tc>
      </w:tr>
      <w:tr w:rsidR="006A3667" w14:paraId="71D41619" w14:textId="77777777">
        <w:tc>
          <w:tcPr>
            <w:tcW w:w="0" w:type="auto"/>
            <w:gridSpan w:val="3"/>
            <w:shd w:val="clear" w:color="auto" w:fill="CCEEFF"/>
            <w:tcMar>
              <w:top w:w="40" w:type="dxa"/>
              <w:left w:w="20" w:type="dxa"/>
              <w:bottom w:w="40" w:type="dxa"/>
              <w:right w:w="20" w:type="dxa"/>
            </w:tcMar>
            <w:vAlign w:val="bottom"/>
          </w:tcPr>
          <w:p w14:paraId="71D4160D" w14:textId="77777777" w:rsidR="006A3667" w:rsidRDefault="00045F32">
            <w:pPr>
              <w:textAlignment w:val="bottom"/>
            </w:pPr>
            <w:r>
              <w:rPr>
                <w:rFonts w:ascii="Arial" w:eastAsia="宋体" w:hAnsi="Arial" w:cs="Arial"/>
                <w:color w:val="000000"/>
                <w:sz w:val="14"/>
                <w:szCs w:val="14"/>
              </w:rPr>
              <w:t>Tier 1 capital balance, beginning of period</w:t>
            </w:r>
          </w:p>
        </w:tc>
        <w:tc>
          <w:tcPr>
            <w:tcW w:w="0" w:type="auto"/>
            <w:gridSpan w:val="2"/>
            <w:shd w:val="clear" w:color="auto" w:fill="CCEEFF"/>
            <w:tcMar>
              <w:top w:w="40" w:type="dxa"/>
              <w:left w:w="20" w:type="dxa"/>
              <w:bottom w:w="40" w:type="dxa"/>
              <w:right w:w="0" w:type="dxa"/>
            </w:tcMar>
            <w:vAlign w:val="bottom"/>
          </w:tcPr>
          <w:p w14:paraId="71D4160E" w14:textId="77777777" w:rsidR="006A3667" w:rsidRDefault="00045F32">
            <w:pPr>
              <w:jc w:val="right"/>
              <w:textAlignment w:val="bottom"/>
            </w:pPr>
            <w:r>
              <w:rPr>
                <w:rFonts w:ascii="Arial" w:eastAsia="宋体" w:hAnsi="Arial" w:cs="Arial"/>
                <w:b/>
                <w:bCs/>
                <w:color w:val="000000"/>
                <w:sz w:val="14"/>
                <w:szCs w:val="14"/>
              </w:rPr>
              <w:t>17,923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0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1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11" w14:textId="77777777" w:rsidR="006A3667" w:rsidRDefault="00045F32">
            <w:pPr>
              <w:jc w:val="right"/>
              <w:textAlignment w:val="bottom"/>
            </w:pPr>
            <w:r>
              <w:rPr>
                <w:rFonts w:ascii="Arial" w:eastAsia="宋体" w:hAnsi="Arial" w:cs="Arial"/>
                <w:b/>
                <w:bCs/>
                <w:color w:val="000000"/>
                <w:sz w:val="14"/>
                <w:szCs w:val="14"/>
              </w:rPr>
              <w:t>17,923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1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14" w14:textId="77777777" w:rsidR="006A3667" w:rsidRDefault="00045F32">
            <w:pPr>
              <w:jc w:val="right"/>
              <w:textAlignment w:val="bottom"/>
            </w:pPr>
            <w:r>
              <w:rPr>
                <w:rFonts w:ascii="Arial" w:eastAsia="宋体" w:hAnsi="Arial" w:cs="Arial"/>
                <w:color w:val="000000"/>
                <w:sz w:val="14"/>
                <w:szCs w:val="14"/>
              </w:rPr>
              <w:t>16,848 </w:t>
            </w:r>
          </w:p>
        </w:tc>
        <w:tc>
          <w:tcPr>
            <w:tcW w:w="0" w:type="auto"/>
            <w:shd w:val="clear" w:color="auto" w:fill="CCEEFF"/>
            <w:tcMar>
              <w:top w:w="40" w:type="dxa"/>
              <w:left w:w="0" w:type="dxa"/>
              <w:bottom w:w="40" w:type="dxa"/>
              <w:right w:w="20" w:type="dxa"/>
            </w:tcMar>
            <w:vAlign w:val="bottom"/>
          </w:tcPr>
          <w:p w14:paraId="71D416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1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17" w14:textId="77777777" w:rsidR="006A3667" w:rsidRDefault="00045F32">
            <w:pPr>
              <w:jc w:val="right"/>
              <w:textAlignment w:val="bottom"/>
            </w:pPr>
            <w:r>
              <w:rPr>
                <w:rFonts w:ascii="Arial" w:eastAsia="宋体" w:hAnsi="Arial" w:cs="Arial"/>
                <w:color w:val="000000"/>
                <w:sz w:val="14"/>
                <w:szCs w:val="14"/>
              </w:rPr>
              <w:t>16,848 </w:t>
            </w:r>
          </w:p>
        </w:tc>
        <w:tc>
          <w:tcPr>
            <w:tcW w:w="0" w:type="auto"/>
            <w:shd w:val="clear" w:color="auto" w:fill="CCEEFF"/>
            <w:tcMar>
              <w:top w:w="40" w:type="dxa"/>
              <w:left w:w="0" w:type="dxa"/>
              <w:bottom w:w="40" w:type="dxa"/>
              <w:right w:w="20" w:type="dxa"/>
            </w:tcMar>
            <w:vAlign w:val="bottom"/>
          </w:tcPr>
          <w:p w14:paraId="71D41618" w14:textId="77777777" w:rsidR="006A3667" w:rsidRDefault="006A3667">
            <w:pPr>
              <w:jc w:val="right"/>
              <w:rPr>
                <w:rFonts w:ascii="宋体"/>
              </w:rPr>
            </w:pPr>
          </w:p>
        </w:tc>
      </w:tr>
      <w:tr w:rsidR="006A3667" w14:paraId="71D41626" w14:textId="77777777">
        <w:tc>
          <w:tcPr>
            <w:tcW w:w="0" w:type="auto"/>
            <w:gridSpan w:val="3"/>
            <w:shd w:val="clear" w:color="auto" w:fill="FFFFFF"/>
            <w:tcMar>
              <w:top w:w="40" w:type="dxa"/>
              <w:left w:w="20" w:type="dxa"/>
              <w:bottom w:w="40" w:type="dxa"/>
              <w:right w:w="20" w:type="dxa"/>
            </w:tcMar>
            <w:vAlign w:val="bottom"/>
          </w:tcPr>
          <w:p w14:paraId="71D4161A" w14:textId="77777777" w:rsidR="006A3667" w:rsidRDefault="00045F32">
            <w:pPr>
              <w:textAlignment w:val="bottom"/>
            </w:pPr>
            <w:r>
              <w:rPr>
                <w:rFonts w:ascii="Arial" w:eastAsia="宋体" w:hAnsi="Arial" w:cs="Arial"/>
                <w:color w:val="000000"/>
                <w:sz w:val="14"/>
                <w:szCs w:val="14"/>
              </w:rPr>
              <w:t>Changes in common equity tier 1 capital</w:t>
            </w:r>
          </w:p>
        </w:tc>
        <w:tc>
          <w:tcPr>
            <w:tcW w:w="0" w:type="auto"/>
            <w:gridSpan w:val="2"/>
            <w:shd w:val="clear" w:color="auto" w:fill="FFFFFF"/>
            <w:tcMar>
              <w:top w:w="40" w:type="dxa"/>
              <w:left w:w="20" w:type="dxa"/>
              <w:bottom w:w="40" w:type="dxa"/>
              <w:right w:w="0" w:type="dxa"/>
            </w:tcMar>
            <w:vAlign w:val="bottom"/>
          </w:tcPr>
          <w:p w14:paraId="71D4161B" w14:textId="77777777" w:rsidR="006A3667" w:rsidRDefault="00045F32">
            <w:pPr>
              <w:jc w:val="right"/>
              <w:textAlignment w:val="bottom"/>
            </w:pPr>
            <w:r>
              <w:rPr>
                <w:rFonts w:ascii="Arial" w:eastAsia="宋体" w:hAnsi="Arial" w:cs="Arial"/>
                <w:b/>
                <w:bCs/>
                <w:color w:val="000000"/>
                <w:sz w:val="14"/>
                <w:szCs w:val="14"/>
              </w:rPr>
              <w:t>(821)</w:t>
            </w:r>
          </w:p>
        </w:tc>
        <w:tc>
          <w:tcPr>
            <w:tcW w:w="0" w:type="auto"/>
            <w:shd w:val="clear" w:color="auto" w:fill="FFFFFF"/>
            <w:tcMar>
              <w:top w:w="40" w:type="dxa"/>
              <w:left w:w="0" w:type="dxa"/>
              <w:bottom w:w="40" w:type="dxa"/>
              <w:right w:w="20" w:type="dxa"/>
            </w:tcMar>
            <w:vAlign w:val="bottom"/>
          </w:tcPr>
          <w:p w14:paraId="71D4161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1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1E" w14:textId="77777777" w:rsidR="006A3667" w:rsidRDefault="00045F32">
            <w:pPr>
              <w:jc w:val="right"/>
              <w:textAlignment w:val="bottom"/>
            </w:pPr>
            <w:r>
              <w:rPr>
                <w:rFonts w:ascii="Arial" w:eastAsia="宋体" w:hAnsi="Arial" w:cs="Arial"/>
                <w:b/>
                <w:bCs/>
                <w:color w:val="000000"/>
                <w:sz w:val="14"/>
                <w:szCs w:val="14"/>
              </w:rPr>
              <w:t>(821)</w:t>
            </w:r>
          </w:p>
        </w:tc>
        <w:tc>
          <w:tcPr>
            <w:tcW w:w="0" w:type="auto"/>
            <w:shd w:val="clear" w:color="auto" w:fill="FFFFFF"/>
            <w:tcMar>
              <w:top w:w="40" w:type="dxa"/>
              <w:left w:w="0" w:type="dxa"/>
              <w:bottom w:w="40" w:type="dxa"/>
              <w:right w:w="20" w:type="dxa"/>
            </w:tcMar>
            <w:vAlign w:val="bottom"/>
          </w:tcPr>
          <w:p w14:paraId="71D4161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2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21" w14:textId="77777777" w:rsidR="006A3667" w:rsidRDefault="00045F32">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71D4162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2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24" w14:textId="77777777" w:rsidR="006A3667" w:rsidRDefault="00045F32">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71D41625" w14:textId="77777777" w:rsidR="006A3667" w:rsidRDefault="006A3667">
            <w:pPr>
              <w:jc w:val="right"/>
              <w:rPr>
                <w:rFonts w:ascii="宋体"/>
              </w:rPr>
            </w:pPr>
          </w:p>
        </w:tc>
      </w:tr>
      <w:tr w:rsidR="006A3667" w14:paraId="71D41633" w14:textId="77777777">
        <w:tc>
          <w:tcPr>
            <w:tcW w:w="0" w:type="auto"/>
            <w:gridSpan w:val="3"/>
            <w:shd w:val="clear" w:color="auto" w:fill="CCEEFF"/>
            <w:tcMar>
              <w:top w:w="40" w:type="dxa"/>
              <w:left w:w="20" w:type="dxa"/>
              <w:bottom w:w="40" w:type="dxa"/>
              <w:right w:w="20" w:type="dxa"/>
            </w:tcMar>
            <w:vAlign w:val="bottom"/>
          </w:tcPr>
          <w:p w14:paraId="71D41627" w14:textId="77777777" w:rsidR="006A3667" w:rsidRDefault="00045F32">
            <w:pPr>
              <w:textAlignment w:val="bottom"/>
            </w:pPr>
            <w:r>
              <w:rPr>
                <w:rFonts w:ascii="Arial" w:eastAsia="宋体" w:hAnsi="Arial" w:cs="Arial"/>
                <w:color w:val="000000"/>
                <w:sz w:val="14"/>
                <w:szCs w:val="14"/>
              </w:rPr>
              <w:t>Net issuance (redemption) of preferred stock</w:t>
            </w:r>
          </w:p>
        </w:tc>
        <w:tc>
          <w:tcPr>
            <w:tcW w:w="0" w:type="auto"/>
            <w:gridSpan w:val="2"/>
            <w:shd w:val="clear" w:color="auto" w:fill="CCEEFF"/>
            <w:tcMar>
              <w:top w:w="40" w:type="dxa"/>
              <w:left w:w="20" w:type="dxa"/>
              <w:bottom w:w="40" w:type="dxa"/>
              <w:right w:w="0" w:type="dxa"/>
            </w:tcMar>
            <w:vAlign w:val="bottom"/>
          </w:tcPr>
          <w:p w14:paraId="71D4162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2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2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2E" w14:textId="77777777" w:rsidR="006A3667" w:rsidRDefault="00045F32">
            <w:pPr>
              <w:jc w:val="right"/>
              <w:textAlignment w:val="bottom"/>
            </w:pPr>
            <w:r>
              <w:rPr>
                <w:rFonts w:ascii="Arial" w:eastAsia="宋体" w:hAnsi="Arial" w:cs="Arial"/>
                <w:color w:val="000000"/>
                <w:sz w:val="14"/>
                <w:szCs w:val="14"/>
              </w:rPr>
              <w:t>(495)</w:t>
            </w:r>
          </w:p>
        </w:tc>
        <w:tc>
          <w:tcPr>
            <w:tcW w:w="0" w:type="auto"/>
            <w:shd w:val="clear" w:color="auto" w:fill="CCEEFF"/>
            <w:tcMar>
              <w:top w:w="40" w:type="dxa"/>
              <w:left w:w="0" w:type="dxa"/>
              <w:bottom w:w="40" w:type="dxa"/>
              <w:right w:w="20" w:type="dxa"/>
            </w:tcMar>
            <w:vAlign w:val="bottom"/>
          </w:tcPr>
          <w:p w14:paraId="71D416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31" w14:textId="77777777" w:rsidR="006A3667" w:rsidRDefault="00045F32">
            <w:pPr>
              <w:jc w:val="right"/>
              <w:textAlignment w:val="bottom"/>
            </w:pPr>
            <w:r>
              <w:rPr>
                <w:rFonts w:ascii="Arial" w:eastAsia="宋体" w:hAnsi="Arial" w:cs="Arial"/>
                <w:color w:val="000000"/>
                <w:sz w:val="14"/>
                <w:szCs w:val="14"/>
              </w:rPr>
              <w:t>(495)</w:t>
            </w:r>
          </w:p>
        </w:tc>
        <w:tc>
          <w:tcPr>
            <w:tcW w:w="0" w:type="auto"/>
            <w:shd w:val="clear" w:color="auto" w:fill="CCEEFF"/>
            <w:tcMar>
              <w:top w:w="40" w:type="dxa"/>
              <w:left w:w="0" w:type="dxa"/>
              <w:bottom w:w="40" w:type="dxa"/>
              <w:right w:w="20" w:type="dxa"/>
            </w:tcMar>
            <w:vAlign w:val="bottom"/>
          </w:tcPr>
          <w:p w14:paraId="71D41632" w14:textId="77777777" w:rsidR="006A3667" w:rsidRDefault="006A3667">
            <w:pPr>
              <w:jc w:val="right"/>
              <w:rPr>
                <w:rFonts w:ascii="宋体"/>
              </w:rPr>
            </w:pPr>
          </w:p>
        </w:tc>
      </w:tr>
      <w:tr w:rsidR="006A3667" w14:paraId="71D4163C" w14:textId="77777777">
        <w:trPr>
          <w:hidden/>
        </w:trPr>
        <w:tc>
          <w:tcPr>
            <w:tcW w:w="0" w:type="auto"/>
            <w:gridSpan w:val="3"/>
            <w:shd w:val="clear" w:color="auto" w:fill="auto"/>
            <w:vAlign w:val="bottom"/>
          </w:tcPr>
          <w:p w14:paraId="71D41634" w14:textId="77777777" w:rsidR="006A3667" w:rsidRDefault="006A3667">
            <w:pPr>
              <w:rPr>
                <w:rFonts w:ascii="宋体"/>
                <w:vanish/>
              </w:rPr>
            </w:pPr>
          </w:p>
        </w:tc>
        <w:tc>
          <w:tcPr>
            <w:tcW w:w="0" w:type="auto"/>
            <w:gridSpan w:val="3"/>
            <w:shd w:val="clear" w:color="auto" w:fill="auto"/>
            <w:vAlign w:val="bottom"/>
          </w:tcPr>
          <w:p w14:paraId="71D41635" w14:textId="77777777" w:rsidR="006A3667" w:rsidRDefault="006A3667">
            <w:pPr>
              <w:rPr>
                <w:rFonts w:ascii="宋体"/>
                <w:vanish/>
              </w:rPr>
            </w:pPr>
          </w:p>
        </w:tc>
        <w:tc>
          <w:tcPr>
            <w:tcW w:w="0" w:type="auto"/>
            <w:gridSpan w:val="3"/>
            <w:shd w:val="clear" w:color="auto" w:fill="auto"/>
            <w:vAlign w:val="bottom"/>
          </w:tcPr>
          <w:p w14:paraId="71D41636" w14:textId="77777777" w:rsidR="006A3667" w:rsidRDefault="006A3667">
            <w:pPr>
              <w:rPr>
                <w:rFonts w:ascii="宋体"/>
                <w:vanish/>
              </w:rPr>
            </w:pPr>
          </w:p>
        </w:tc>
        <w:tc>
          <w:tcPr>
            <w:tcW w:w="0" w:type="auto"/>
            <w:gridSpan w:val="3"/>
            <w:shd w:val="clear" w:color="auto" w:fill="auto"/>
            <w:vAlign w:val="bottom"/>
          </w:tcPr>
          <w:p w14:paraId="71D41637" w14:textId="77777777" w:rsidR="006A3667" w:rsidRDefault="006A3667">
            <w:pPr>
              <w:rPr>
                <w:rFonts w:ascii="宋体"/>
                <w:vanish/>
              </w:rPr>
            </w:pPr>
          </w:p>
        </w:tc>
        <w:tc>
          <w:tcPr>
            <w:tcW w:w="0" w:type="auto"/>
            <w:gridSpan w:val="3"/>
            <w:shd w:val="clear" w:color="auto" w:fill="auto"/>
            <w:vAlign w:val="bottom"/>
          </w:tcPr>
          <w:p w14:paraId="71D41638" w14:textId="77777777" w:rsidR="006A3667" w:rsidRDefault="006A3667">
            <w:pPr>
              <w:rPr>
                <w:rFonts w:ascii="宋体"/>
                <w:vanish/>
              </w:rPr>
            </w:pPr>
          </w:p>
        </w:tc>
        <w:tc>
          <w:tcPr>
            <w:tcW w:w="0" w:type="auto"/>
            <w:gridSpan w:val="3"/>
            <w:shd w:val="clear" w:color="auto" w:fill="auto"/>
            <w:vAlign w:val="bottom"/>
          </w:tcPr>
          <w:p w14:paraId="71D41639" w14:textId="77777777" w:rsidR="006A3667" w:rsidRDefault="006A3667">
            <w:pPr>
              <w:rPr>
                <w:rFonts w:ascii="宋体"/>
                <w:vanish/>
              </w:rPr>
            </w:pPr>
          </w:p>
        </w:tc>
        <w:tc>
          <w:tcPr>
            <w:tcW w:w="0" w:type="auto"/>
            <w:gridSpan w:val="3"/>
            <w:shd w:val="clear" w:color="auto" w:fill="auto"/>
            <w:vAlign w:val="bottom"/>
          </w:tcPr>
          <w:p w14:paraId="71D4163A" w14:textId="77777777" w:rsidR="006A3667" w:rsidRDefault="006A3667">
            <w:pPr>
              <w:rPr>
                <w:rFonts w:ascii="宋体"/>
                <w:vanish/>
              </w:rPr>
            </w:pPr>
          </w:p>
        </w:tc>
        <w:tc>
          <w:tcPr>
            <w:tcW w:w="0" w:type="auto"/>
            <w:gridSpan w:val="3"/>
            <w:shd w:val="clear" w:color="auto" w:fill="auto"/>
            <w:vAlign w:val="bottom"/>
          </w:tcPr>
          <w:p w14:paraId="71D4163B" w14:textId="77777777" w:rsidR="006A3667" w:rsidRDefault="006A3667">
            <w:pPr>
              <w:rPr>
                <w:rFonts w:ascii="宋体"/>
                <w:vanish/>
              </w:rPr>
            </w:pPr>
          </w:p>
        </w:tc>
      </w:tr>
      <w:tr w:rsidR="006A3667" w14:paraId="71D41645" w14:textId="77777777">
        <w:trPr>
          <w:hidden/>
        </w:trPr>
        <w:tc>
          <w:tcPr>
            <w:tcW w:w="0" w:type="auto"/>
            <w:gridSpan w:val="3"/>
            <w:shd w:val="clear" w:color="auto" w:fill="auto"/>
            <w:vAlign w:val="bottom"/>
          </w:tcPr>
          <w:p w14:paraId="71D4163D" w14:textId="77777777" w:rsidR="006A3667" w:rsidRDefault="006A3667">
            <w:pPr>
              <w:rPr>
                <w:rFonts w:ascii="宋体"/>
                <w:vanish/>
              </w:rPr>
            </w:pPr>
          </w:p>
        </w:tc>
        <w:tc>
          <w:tcPr>
            <w:tcW w:w="0" w:type="auto"/>
            <w:gridSpan w:val="3"/>
            <w:shd w:val="clear" w:color="auto" w:fill="auto"/>
            <w:vAlign w:val="bottom"/>
          </w:tcPr>
          <w:p w14:paraId="71D4163E" w14:textId="77777777" w:rsidR="006A3667" w:rsidRDefault="006A3667">
            <w:pPr>
              <w:rPr>
                <w:rFonts w:ascii="宋体"/>
                <w:vanish/>
              </w:rPr>
            </w:pPr>
          </w:p>
        </w:tc>
        <w:tc>
          <w:tcPr>
            <w:tcW w:w="0" w:type="auto"/>
            <w:gridSpan w:val="3"/>
            <w:shd w:val="clear" w:color="auto" w:fill="auto"/>
            <w:vAlign w:val="bottom"/>
          </w:tcPr>
          <w:p w14:paraId="71D4163F" w14:textId="77777777" w:rsidR="006A3667" w:rsidRDefault="006A3667">
            <w:pPr>
              <w:rPr>
                <w:rFonts w:ascii="宋体"/>
                <w:vanish/>
              </w:rPr>
            </w:pPr>
          </w:p>
        </w:tc>
        <w:tc>
          <w:tcPr>
            <w:tcW w:w="0" w:type="auto"/>
            <w:gridSpan w:val="3"/>
            <w:shd w:val="clear" w:color="auto" w:fill="auto"/>
            <w:vAlign w:val="bottom"/>
          </w:tcPr>
          <w:p w14:paraId="71D41640" w14:textId="77777777" w:rsidR="006A3667" w:rsidRDefault="006A3667">
            <w:pPr>
              <w:rPr>
                <w:rFonts w:ascii="宋体"/>
                <w:vanish/>
              </w:rPr>
            </w:pPr>
          </w:p>
        </w:tc>
        <w:tc>
          <w:tcPr>
            <w:tcW w:w="0" w:type="auto"/>
            <w:gridSpan w:val="3"/>
            <w:shd w:val="clear" w:color="auto" w:fill="auto"/>
            <w:vAlign w:val="bottom"/>
          </w:tcPr>
          <w:p w14:paraId="71D41641" w14:textId="77777777" w:rsidR="006A3667" w:rsidRDefault="006A3667">
            <w:pPr>
              <w:rPr>
                <w:rFonts w:ascii="宋体"/>
                <w:vanish/>
              </w:rPr>
            </w:pPr>
          </w:p>
        </w:tc>
        <w:tc>
          <w:tcPr>
            <w:tcW w:w="0" w:type="auto"/>
            <w:gridSpan w:val="3"/>
            <w:shd w:val="clear" w:color="auto" w:fill="auto"/>
            <w:vAlign w:val="bottom"/>
          </w:tcPr>
          <w:p w14:paraId="71D41642" w14:textId="77777777" w:rsidR="006A3667" w:rsidRDefault="006A3667">
            <w:pPr>
              <w:rPr>
                <w:rFonts w:ascii="宋体"/>
                <w:vanish/>
              </w:rPr>
            </w:pPr>
          </w:p>
        </w:tc>
        <w:tc>
          <w:tcPr>
            <w:tcW w:w="0" w:type="auto"/>
            <w:gridSpan w:val="3"/>
            <w:shd w:val="clear" w:color="auto" w:fill="auto"/>
            <w:vAlign w:val="bottom"/>
          </w:tcPr>
          <w:p w14:paraId="71D41643" w14:textId="77777777" w:rsidR="006A3667" w:rsidRDefault="006A3667">
            <w:pPr>
              <w:rPr>
                <w:rFonts w:ascii="宋体"/>
                <w:vanish/>
              </w:rPr>
            </w:pPr>
          </w:p>
        </w:tc>
        <w:tc>
          <w:tcPr>
            <w:tcW w:w="0" w:type="auto"/>
            <w:gridSpan w:val="3"/>
            <w:shd w:val="clear" w:color="auto" w:fill="auto"/>
            <w:vAlign w:val="bottom"/>
          </w:tcPr>
          <w:p w14:paraId="71D41644" w14:textId="77777777" w:rsidR="006A3667" w:rsidRDefault="006A3667">
            <w:pPr>
              <w:rPr>
                <w:rFonts w:ascii="宋体"/>
                <w:vanish/>
              </w:rPr>
            </w:pPr>
          </w:p>
        </w:tc>
      </w:tr>
      <w:tr w:rsidR="006A3667" w14:paraId="71D41652" w14:textId="77777777">
        <w:tc>
          <w:tcPr>
            <w:tcW w:w="0" w:type="auto"/>
            <w:gridSpan w:val="3"/>
            <w:shd w:val="clear" w:color="auto" w:fill="FFFFFF"/>
            <w:tcMar>
              <w:top w:w="40" w:type="dxa"/>
              <w:left w:w="20" w:type="dxa"/>
              <w:bottom w:w="40" w:type="dxa"/>
              <w:right w:w="20" w:type="dxa"/>
            </w:tcMar>
            <w:vAlign w:val="bottom"/>
          </w:tcPr>
          <w:p w14:paraId="71D41646" w14:textId="77777777" w:rsidR="006A3667" w:rsidRDefault="00045F32">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647" w14:textId="77777777" w:rsidR="006A3667" w:rsidRDefault="00045F32">
            <w:pPr>
              <w:jc w:val="right"/>
              <w:textAlignment w:val="bottom"/>
            </w:pPr>
            <w:r>
              <w:rPr>
                <w:rFonts w:ascii="Arial" w:eastAsia="宋体" w:hAnsi="Arial" w:cs="Arial"/>
                <w:b/>
                <w:bCs/>
                <w:color w:val="000000"/>
                <w:sz w:val="14"/>
                <w:szCs w:val="14"/>
              </w:rPr>
              <w:t>(821)</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6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4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64A" w14:textId="77777777" w:rsidR="006A3667" w:rsidRDefault="00045F32">
            <w:pPr>
              <w:jc w:val="right"/>
              <w:textAlignment w:val="bottom"/>
            </w:pPr>
            <w:r>
              <w:rPr>
                <w:rFonts w:ascii="Arial" w:eastAsia="宋体" w:hAnsi="Arial" w:cs="Arial"/>
                <w:b/>
                <w:bCs/>
                <w:color w:val="000000"/>
                <w:sz w:val="14"/>
                <w:szCs w:val="14"/>
              </w:rPr>
              <w:t>(821)</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6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4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64D" w14:textId="77777777" w:rsidR="006A3667" w:rsidRDefault="00045F32">
            <w:pPr>
              <w:jc w:val="right"/>
              <w:textAlignment w:val="bottom"/>
            </w:pPr>
            <w:r>
              <w:rPr>
                <w:rFonts w:ascii="Arial" w:eastAsia="宋体" w:hAnsi="Arial" w:cs="Arial"/>
                <w:color w:val="000000"/>
                <w:sz w:val="14"/>
                <w:szCs w:val="14"/>
              </w:rPr>
              <w:t>1,075 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6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4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650" w14:textId="77777777" w:rsidR="006A3667" w:rsidRDefault="00045F32">
            <w:pPr>
              <w:jc w:val="right"/>
              <w:textAlignment w:val="bottom"/>
            </w:pPr>
            <w:r>
              <w:rPr>
                <w:rFonts w:ascii="Arial" w:eastAsia="宋体" w:hAnsi="Arial" w:cs="Arial"/>
                <w:color w:val="000000"/>
                <w:sz w:val="14"/>
                <w:szCs w:val="14"/>
              </w:rPr>
              <w:t>1,075 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651" w14:textId="77777777" w:rsidR="006A3667" w:rsidRDefault="006A3667">
            <w:pPr>
              <w:jc w:val="right"/>
              <w:rPr>
                <w:rFonts w:ascii="宋体"/>
              </w:rPr>
            </w:pPr>
          </w:p>
        </w:tc>
      </w:tr>
      <w:tr w:rsidR="006A3667" w14:paraId="71D4165F" w14:textId="77777777">
        <w:tc>
          <w:tcPr>
            <w:tcW w:w="0" w:type="auto"/>
            <w:gridSpan w:val="3"/>
            <w:shd w:val="clear" w:color="auto" w:fill="CCEEFF"/>
            <w:tcMar>
              <w:top w:w="40" w:type="dxa"/>
              <w:left w:w="20" w:type="dxa"/>
              <w:bottom w:w="40" w:type="dxa"/>
              <w:right w:w="20" w:type="dxa"/>
            </w:tcMar>
            <w:vAlign w:val="bottom"/>
          </w:tcPr>
          <w:p w14:paraId="71D41653" w14:textId="77777777" w:rsidR="006A3667" w:rsidRDefault="00045F32">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54" w14:textId="77777777" w:rsidR="006A3667" w:rsidRDefault="00045F32">
            <w:pPr>
              <w:jc w:val="right"/>
              <w:textAlignment w:val="bottom"/>
            </w:pPr>
            <w:r>
              <w:rPr>
                <w:rFonts w:ascii="Arial" w:eastAsia="宋体" w:hAnsi="Arial" w:cs="Arial"/>
                <w:b/>
                <w:bCs/>
                <w:color w:val="000000"/>
                <w:sz w:val="14"/>
                <w:szCs w:val="14"/>
              </w:rPr>
              <w:t>17,102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5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5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57" w14:textId="77777777" w:rsidR="006A3667" w:rsidRDefault="00045F32">
            <w:pPr>
              <w:jc w:val="right"/>
              <w:textAlignment w:val="bottom"/>
            </w:pPr>
            <w:r>
              <w:rPr>
                <w:rFonts w:ascii="Arial" w:eastAsia="宋体" w:hAnsi="Arial" w:cs="Arial"/>
                <w:b/>
                <w:bCs/>
                <w:color w:val="000000"/>
                <w:sz w:val="14"/>
                <w:szCs w:val="14"/>
              </w:rPr>
              <w:t>17,102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5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5A" w14:textId="77777777" w:rsidR="006A3667" w:rsidRDefault="00045F32">
            <w:pPr>
              <w:jc w:val="right"/>
              <w:textAlignment w:val="bottom"/>
            </w:pPr>
            <w:r>
              <w:rPr>
                <w:rFonts w:ascii="Arial" w:eastAsia="宋体" w:hAnsi="Arial" w:cs="Arial"/>
                <w:color w:val="000000"/>
                <w:sz w:val="14"/>
                <w:szCs w:val="14"/>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5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5D" w14:textId="77777777" w:rsidR="006A3667" w:rsidRDefault="00045F32">
            <w:pPr>
              <w:jc w:val="right"/>
              <w:textAlignment w:val="bottom"/>
            </w:pPr>
            <w:r>
              <w:rPr>
                <w:rFonts w:ascii="Arial" w:eastAsia="宋体" w:hAnsi="Arial" w:cs="Arial"/>
                <w:color w:val="000000"/>
                <w:sz w:val="14"/>
                <w:szCs w:val="14"/>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5E" w14:textId="77777777" w:rsidR="006A3667" w:rsidRDefault="006A3667">
            <w:pPr>
              <w:jc w:val="right"/>
              <w:rPr>
                <w:rFonts w:ascii="宋体"/>
              </w:rPr>
            </w:pPr>
          </w:p>
        </w:tc>
      </w:tr>
      <w:tr w:rsidR="006A3667" w14:paraId="71D41668" w14:textId="77777777">
        <w:tc>
          <w:tcPr>
            <w:tcW w:w="0" w:type="auto"/>
            <w:gridSpan w:val="3"/>
            <w:shd w:val="clear" w:color="auto" w:fill="FFFFFF"/>
            <w:tcMar>
              <w:top w:w="40" w:type="dxa"/>
              <w:left w:w="20" w:type="dxa"/>
              <w:bottom w:w="40" w:type="dxa"/>
              <w:right w:w="20" w:type="dxa"/>
            </w:tcMar>
            <w:vAlign w:val="bottom"/>
          </w:tcPr>
          <w:p w14:paraId="71D41660" w14:textId="77777777" w:rsidR="006A3667" w:rsidRDefault="00045F32">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6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62"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6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64"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6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66"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67" w14:textId="77777777" w:rsidR="006A3667" w:rsidRDefault="006A3667">
            <w:pPr>
              <w:rPr>
                <w:rFonts w:ascii="宋体"/>
              </w:rPr>
            </w:pPr>
          </w:p>
        </w:tc>
      </w:tr>
      <w:tr w:rsidR="006A3667" w14:paraId="71D41675" w14:textId="77777777">
        <w:tc>
          <w:tcPr>
            <w:tcW w:w="0" w:type="auto"/>
            <w:gridSpan w:val="3"/>
            <w:shd w:val="clear" w:color="auto" w:fill="CCEEFF"/>
            <w:tcMar>
              <w:top w:w="40" w:type="dxa"/>
              <w:left w:w="20" w:type="dxa"/>
              <w:bottom w:w="40" w:type="dxa"/>
              <w:right w:w="20" w:type="dxa"/>
            </w:tcMar>
            <w:vAlign w:val="bottom"/>
          </w:tcPr>
          <w:p w14:paraId="71D41669" w14:textId="77777777" w:rsidR="006A3667" w:rsidRDefault="00045F32">
            <w:pPr>
              <w:textAlignment w:val="bottom"/>
            </w:pPr>
            <w:r>
              <w:rPr>
                <w:rFonts w:ascii="Arial" w:eastAsia="宋体" w:hAnsi="Arial" w:cs="Arial"/>
                <w:color w:val="000000"/>
                <w:sz w:val="14"/>
                <w:szCs w:val="14"/>
              </w:rPr>
              <w:t>Tier 2 capital balance, beginning of period</w:t>
            </w:r>
          </w:p>
        </w:tc>
        <w:tc>
          <w:tcPr>
            <w:tcW w:w="0" w:type="auto"/>
            <w:gridSpan w:val="2"/>
            <w:shd w:val="clear" w:color="auto" w:fill="CCEEFF"/>
            <w:tcMar>
              <w:top w:w="40" w:type="dxa"/>
              <w:left w:w="20" w:type="dxa"/>
              <w:bottom w:w="40" w:type="dxa"/>
              <w:right w:w="0" w:type="dxa"/>
            </w:tcMar>
            <w:vAlign w:val="bottom"/>
          </w:tcPr>
          <w:p w14:paraId="71D4166A" w14:textId="77777777" w:rsidR="006A3667" w:rsidRDefault="00045F32">
            <w:pPr>
              <w:jc w:val="right"/>
              <w:textAlignment w:val="bottom"/>
            </w:pPr>
            <w:r>
              <w:rPr>
                <w:rFonts w:ascii="Arial" w:eastAsia="宋体" w:hAnsi="Arial" w:cs="Arial"/>
                <w:b/>
                <w:bCs/>
                <w:color w:val="000000"/>
                <w:sz w:val="14"/>
                <w:szCs w:val="14"/>
              </w:rPr>
              <w:t>1,588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6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6D" w14:textId="77777777" w:rsidR="006A3667" w:rsidRDefault="00045F32">
            <w:pPr>
              <w:jc w:val="right"/>
              <w:textAlignment w:val="bottom"/>
            </w:pPr>
            <w:r>
              <w:rPr>
                <w:rFonts w:ascii="Arial" w:eastAsia="宋体" w:hAnsi="Arial" w:cs="Arial"/>
                <w:b/>
                <w:bCs/>
                <w:color w:val="000000"/>
                <w:sz w:val="14"/>
                <w:szCs w:val="14"/>
              </w:rPr>
              <w:t>1,696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6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70" w14:textId="77777777" w:rsidR="006A3667" w:rsidRDefault="00045F32">
            <w:pPr>
              <w:jc w:val="right"/>
              <w:textAlignment w:val="bottom"/>
            </w:pPr>
            <w:r>
              <w:rPr>
                <w:rFonts w:ascii="Arial" w:eastAsia="宋体" w:hAnsi="Arial" w:cs="Arial"/>
                <w:color w:val="000000"/>
                <w:sz w:val="14"/>
                <w:szCs w:val="14"/>
              </w:rPr>
              <w:t>962 </w:t>
            </w:r>
          </w:p>
        </w:tc>
        <w:tc>
          <w:tcPr>
            <w:tcW w:w="0" w:type="auto"/>
            <w:shd w:val="clear" w:color="auto" w:fill="CCEEFF"/>
            <w:tcMar>
              <w:top w:w="40" w:type="dxa"/>
              <w:left w:w="0" w:type="dxa"/>
              <w:bottom w:w="40" w:type="dxa"/>
              <w:right w:w="20" w:type="dxa"/>
            </w:tcMar>
            <w:vAlign w:val="bottom"/>
          </w:tcPr>
          <w:p w14:paraId="71D416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7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73" w14:textId="77777777" w:rsidR="006A3667" w:rsidRDefault="00045F32">
            <w:pPr>
              <w:jc w:val="right"/>
              <w:textAlignment w:val="bottom"/>
            </w:pPr>
            <w:r>
              <w:rPr>
                <w:rFonts w:ascii="Arial" w:eastAsia="宋体" w:hAnsi="Arial" w:cs="Arial"/>
                <w:color w:val="000000"/>
                <w:sz w:val="14"/>
                <w:szCs w:val="14"/>
              </w:rPr>
              <w:t>1,109 </w:t>
            </w:r>
          </w:p>
        </w:tc>
        <w:tc>
          <w:tcPr>
            <w:tcW w:w="0" w:type="auto"/>
            <w:shd w:val="clear" w:color="auto" w:fill="CCEEFF"/>
            <w:tcMar>
              <w:top w:w="40" w:type="dxa"/>
              <w:left w:w="0" w:type="dxa"/>
              <w:bottom w:w="40" w:type="dxa"/>
              <w:right w:w="20" w:type="dxa"/>
            </w:tcMar>
            <w:vAlign w:val="bottom"/>
          </w:tcPr>
          <w:p w14:paraId="71D41674" w14:textId="77777777" w:rsidR="006A3667" w:rsidRDefault="006A3667">
            <w:pPr>
              <w:jc w:val="right"/>
              <w:rPr>
                <w:rFonts w:ascii="宋体"/>
              </w:rPr>
            </w:pPr>
          </w:p>
        </w:tc>
      </w:tr>
      <w:tr w:rsidR="006A3667" w14:paraId="71D41682" w14:textId="77777777">
        <w:tc>
          <w:tcPr>
            <w:tcW w:w="0" w:type="auto"/>
            <w:gridSpan w:val="3"/>
            <w:shd w:val="clear" w:color="auto" w:fill="FFFFFF"/>
            <w:tcMar>
              <w:top w:w="40" w:type="dxa"/>
              <w:left w:w="20" w:type="dxa"/>
              <w:bottom w:w="40" w:type="dxa"/>
              <w:right w:w="20" w:type="dxa"/>
            </w:tcMar>
            <w:vAlign w:val="bottom"/>
          </w:tcPr>
          <w:p w14:paraId="71D41676" w14:textId="77777777" w:rsidR="006A3667" w:rsidRDefault="00045F32">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FFFFFF"/>
            <w:tcMar>
              <w:top w:w="40" w:type="dxa"/>
              <w:left w:w="20" w:type="dxa"/>
              <w:bottom w:w="40" w:type="dxa"/>
              <w:right w:w="0" w:type="dxa"/>
            </w:tcMar>
            <w:vAlign w:val="bottom"/>
          </w:tcPr>
          <w:p w14:paraId="71D41677" w14:textId="77777777" w:rsidR="006A3667" w:rsidRDefault="00045F32">
            <w:pPr>
              <w:jc w:val="right"/>
              <w:textAlignment w:val="bottom"/>
            </w:pPr>
            <w:r>
              <w:rPr>
                <w:rFonts w:ascii="Arial" w:eastAsia="宋体" w:hAnsi="Arial" w:cs="Arial"/>
                <w:b/>
                <w:bCs/>
                <w:color w:val="000000"/>
                <w:sz w:val="14"/>
                <w:szCs w:val="14"/>
              </w:rPr>
              <w:t>(208)</w:t>
            </w:r>
          </w:p>
        </w:tc>
        <w:tc>
          <w:tcPr>
            <w:tcW w:w="0" w:type="auto"/>
            <w:shd w:val="clear" w:color="auto" w:fill="FFFFFF"/>
            <w:tcMar>
              <w:top w:w="40" w:type="dxa"/>
              <w:left w:w="0" w:type="dxa"/>
              <w:bottom w:w="40" w:type="dxa"/>
              <w:right w:w="20" w:type="dxa"/>
            </w:tcMar>
            <w:vAlign w:val="bottom"/>
          </w:tcPr>
          <w:p w14:paraId="71D4167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7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7A" w14:textId="77777777" w:rsidR="006A3667" w:rsidRDefault="00045F32">
            <w:pPr>
              <w:jc w:val="right"/>
              <w:textAlignment w:val="bottom"/>
            </w:pPr>
            <w:r>
              <w:rPr>
                <w:rFonts w:ascii="Arial" w:eastAsia="宋体" w:hAnsi="Arial" w:cs="Arial"/>
                <w:b/>
                <w:bCs/>
                <w:color w:val="000000"/>
                <w:sz w:val="14"/>
                <w:szCs w:val="14"/>
              </w:rPr>
              <w:t>(208)</w:t>
            </w:r>
          </w:p>
        </w:tc>
        <w:tc>
          <w:tcPr>
            <w:tcW w:w="0" w:type="auto"/>
            <w:shd w:val="clear" w:color="auto" w:fill="FFFFFF"/>
            <w:tcMar>
              <w:top w:w="40" w:type="dxa"/>
              <w:left w:w="0" w:type="dxa"/>
              <w:bottom w:w="40" w:type="dxa"/>
              <w:right w:w="20" w:type="dxa"/>
            </w:tcMar>
            <w:vAlign w:val="bottom"/>
          </w:tcPr>
          <w:p w14:paraId="71D4167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7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7D" w14:textId="77777777" w:rsidR="006A3667" w:rsidRDefault="00045F32">
            <w:pPr>
              <w:jc w:val="right"/>
              <w:textAlignment w:val="bottom"/>
            </w:pPr>
            <w:r>
              <w:rPr>
                <w:rFonts w:ascii="Arial" w:eastAsia="宋体" w:hAnsi="Arial" w:cs="Arial"/>
                <w:color w:val="000000"/>
                <w:sz w:val="14"/>
                <w:szCs w:val="14"/>
              </w:rPr>
              <w:t>627 </w:t>
            </w:r>
          </w:p>
        </w:tc>
        <w:tc>
          <w:tcPr>
            <w:tcW w:w="0" w:type="auto"/>
            <w:shd w:val="clear" w:color="auto" w:fill="FFFFFF"/>
            <w:tcMar>
              <w:top w:w="40" w:type="dxa"/>
              <w:left w:w="0" w:type="dxa"/>
              <w:bottom w:w="40" w:type="dxa"/>
              <w:right w:w="20" w:type="dxa"/>
            </w:tcMar>
            <w:vAlign w:val="bottom"/>
          </w:tcPr>
          <w:p w14:paraId="71D416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7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80" w14:textId="77777777" w:rsidR="006A3667" w:rsidRDefault="00045F32">
            <w:pPr>
              <w:jc w:val="right"/>
              <w:textAlignment w:val="bottom"/>
            </w:pPr>
            <w:r>
              <w:rPr>
                <w:rFonts w:ascii="Arial" w:eastAsia="宋体" w:hAnsi="Arial" w:cs="Arial"/>
                <w:color w:val="000000"/>
                <w:sz w:val="14"/>
                <w:szCs w:val="14"/>
              </w:rPr>
              <w:t>627 </w:t>
            </w:r>
          </w:p>
        </w:tc>
        <w:tc>
          <w:tcPr>
            <w:tcW w:w="0" w:type="auto"/>
            <w:shd w:val="clear" w:color="auto" w:fill="FFFFFF"/>
            <w:tcMar>
              <w:top w:w="40" w:type="dxa"/>
              <w:left w:w="0" w:type="dxa"/>
              <w:bottom w:w="40" w:type="dxa"/>
              <w:right w:w="20" w:type="dxa"/>
            </w:tcMar>
            <w:vAlign w:val="bottom"/>
          </w:tcPr>
          <w:p w14:paraId="71D41681" w14:textId="77777777" w:rsidR="006A3667" w:rsidRDefault="006A3667">
            <w:pPr>
              <w:jc w:val="right"/>
              <w:rPr>
                <w:rFonts w:ascii="宋体"/>
              </w:rPr>
            </w:pPr>
          </w:p>
        </w:tc>
      </w:tr>
      <w:tr w:rsidR="006A3667" w14:paraId="71D4168B" w14:textId="77777777">
        <w:trPr>
          <w:hidden/>
        </w:trPr>
        <w:tc>
          <w:tcPr>
            <w:tcW w:w="0" w:type="auto"/>
            <w:gridSpan w:val="3"/>
            <w:shd w:val="clear" w:color="auto" w:fill="auto"/>
            <w:vAlign w:val="bottom"/>
          </w:tcPr>
          <w:p w14:paraId="71D41683" w14:textId="77777777" w:rsidR="006A3667" w:rsidRDefault="006A3667">
            <w:pPr>
              <w:rPr>
                <w:rFonts w:ascii="宋体"/>
                <w:vanish/>
              </w:rPr>
            </w:pPr>
          </w:p>
        </w:tc>
        <w:tc>
          <w:tcPr>
            <w:tcW w:w="0" w:type="auto"/>
            <w:gridSpan w:val="3"/>
            <w:shd w:val="clear" w:color="auto" w:fill="auto"/>
            <w:vAlign w:val="bottom"/>
          </w:tcPr>
          <w:p w14:paraId="71D41684" w14:textId="77777777" w:rsidR="006A3667" w:rsidRDefault="006A3667">
            <w:pPr>
              <w:rPr>
                <w:rFonts w:ascii="宋体"/>
                <w:vanish/>
              </w:rPr>
            </w:pPr>
          </w:p>
        </w:tc>
        <w:tc>
          <w:tcPr>
            <w:tcW w:w="0" w:type="auto"/>
            <w:gridSpan w:val="3"/>
            <w:shd w:val="clear" w:color="auto" w:fill="auto"/>
            <w:vAlign w:val="bottom"/>
          </w:tcPr>
          <w:p w14:paraId="71D41685" w14:textId="77777777" w:rsidR="006A3667" w:rsidRDefault="006A3667">
            <w:pPr>
              <w:rPr>
                <w:rFonts w:ascii="宋体"/>
                <w:vanish/>
              </w:rPr>
            </w:pPr>
          </w:p>
        </w:tc>
        <w:tc>
          <w:tcPr>
            <w:tcW w:w="0" w:type="auto"/>
            <w:gridSpan w:val="3"/>
            <w:shd w:val="clear" w:color="auto" w:fill="auto"/>
            <w:vAlign w:val="bottom"/>
          </w:tcPr>
          <w:p w14:paraId="71D41686" w14:textId="77777777" w:rsidR="006A3667" w:rsidRDefault="006A3667">
            <w:pPr>
              <w:rPr>
                <w:rFonts w:ascii="宋体"/>
                <w:vanish/>
              </w:rPr>
            </w:pPr>
          </w:p>
        </w:tc>
        <w:tc>
          <w:tcPr>
            <w:tcW w:w="0" w:type="auto"/>
            <w:gridSpan w:val="3"/>
            <w:shd w:val="clear" w:color="auto" w:fill="auto"/>
            <w:vAlign w:val="bottom"/>
          </w:tcPr>
          <w:p w14:paraId="71D41687" w14:textId="77777777" w:rsidR="006A3667" w:rsidRDefault="006A3667">
            <w:pPr>
              <w:rPr>
                <w:rFonts w:ascii="宋体"/>
                <w:vanish/>
              </w:rPr>
            </w:pPr>
          </w:p>
        </w:tc>
        <w:tc>
          <w:tcPr>
            <w:tcW w:w="0" w:type="auto"/>
            <w:gridSpan w:val="3"/>
            <w:shd w:val="clear" w:color="auto" w:fill="auto"/>
            <w:vAlign w:val="bottom"/>
          </w:tcPr>
          <w:p w14:paraId="71D41688" w14:textId="77777777" w:rsidR="006A3667" w:rsidRDefault="006A3667">
            <w:pPr>
              <w:rPr>
                <w:rFonts w:ascii="宋体"/>
                <w:vanish/>
              </w:rPr>
            </w:pPr>
          </w:p>
        </w:tc>
        <w:tc>
          <w:tcPr>
            <w:tcW w:w="0" w:type="auto"/>
            <w:gridSpan w:val="3"/>
            <w:shd w:val="clear" w:color="auto" w:fill="auto"/>
            <w:vAlign w:val="bottom"/>
          </w:tcPr>
          <w:p w14:paraId="71D41689" w14:textId="77777777" w:rsidR="006A3667" w:rsidRDefault="006A3667">
            <w:pPr>
              <w:rPr>
                <w:rFonts w:ascii="宋体"/>
                <w:vanish/>
              </w:rPr>
            </w:pPr>
          </w:p>
        </w:tc>
        <w:tc>
          <w:tcPr>
            <w:tcW w:w="0" w:type="auto"/>
            <w:gridSpan w:val="3"/>
            <w:shd w:val="clear" w:color="auto" w:fill="auto"/>
            <w:vAlign w:val="bottom"/>
          </w:tcPr>
          <w:p w14:paraId="71D4168A" w14:textId="77777777" w:rsidR="006A3667" w:rsidRDefault="006A3667">
            <w:pPr>
              <w:rPr>
                <w:rFonts w:ascii="宋体"/>
                <w:vanish/>
              </w:rPr>
            </w:pPr>
          </w:p>
        </w:tc>
      </w:tr>
      <w:tr w:rsidR="006A3667" w14:paraId="71D41698" w14:textId="77777777">
        <w:tc>
          <w:tcPr>
            <w:tcW w:w="0" w:type="auto"/>
            <w:gridSpan w:val="3"/>
            <w:shd w:val="clear" w:color="auto" w:fill="CCEEFF"/>
            <w:tcMar>
              <w:top w:w="40" w:type="dxa"/>
              <w:left w:w="20" w:type="dxa"/>
              <w:bottom w:w="40" w:type="dxa"/>
              <w:right w:w="20" w:type="dxa"/>
            </w:tcMar>
            <w:vAlign w:val="bottom"/>
          </w:tcPr>
          <w:p w14:paraId="71D4168C" w14:textId="77777777" w:rsidR="006A3667" w:rsidRDefault="00045F32">
            <w:pPr>
              <w:textAlignment w:val="bottom"/>
            </w:pPr>
            <w:r>
              <w:rPr>
                <w:rFonts w:ascii="Arial" w:eastAsia="宋体" w:hAnsi="Arial" w:cs="Arial"/>
                <w:color w:val="000000"/>
                <w:sz w:val="14"/>
                <w:szCs w:val="14"/>
              </w:rPr>
              <w:t>Changes in adjusted allowance for credit losses</w:t>
            </w:r>
          </w:p>
        </w:tc>
        <w:tc>
          <w:tcPr>
            <w:tcW w:w="0" w:type="auto"/>
            <w:gridSpan w:val="2"/>
            <w:shd w:val="clear" w:color="auto" w:fill="CCEEFF"/>
            <w:tcMar>
              <w:top w:w="40" w:type="dxa"/>
              <w:left w:w="20" w:type="dxa"/>
              <w:bottom w:w="40" w:type="dxa"/>
              <w:right w:w="0" w:type="dxa"/>
            </w:tcMar>
            <w:vAlign w:val="bottom"/>
          </w:tcPr>
          <w:p w14:paraId="71D4168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8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8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90" w14:textId="77777777" w:rsidR="006A3667" w:rsidRDefault="00045F32">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9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9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93"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169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9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96" w14:textId="77777777" w:rsidR="006A3667" w:rsidRDefault="00045F32">
            <w:pPr>
              <w:jc w:val="right"/>
              <w:textAlignment w:val="bottom"/>
            </w:pPr>
            <w:r>
              <w:rPr>
                <w:rFonts w:ascii="Arial" w:eastAsia="宋体" w:hAnsi="Arial" w:cs="Arial"/>
                <w:color w:val="000000"/>
                <w:sz w:val="14"/>
                <w:szCs w:val="14"/>
              </w:rPr>
              <w:t>(40)</w:t>
            </w:r>
          </w:p>
        </w:tc>
        <w:tc>
          <w:tcPr>
            <w:tcW w:w="0" w:type="auto"/>
            <w:shd w:val="clear" w:color="auto" w:fill="CCEEFF"/>
            <w:tcMar>
              <w:top w:w="40" w:type="dxa"/>
              <w:left w:w="0" w:type="dxa"/>
              <w:bottom w:w="40" w:type="dxa"/>
              <w:right w:w="20" w:type="dxa"/>
            </w:tcMar>
            <w:vAlign w:val="bottom"/>
          </w:tcPr>
          <w:p w14:paraId="71D41697" w14:textId="77777777" w:rsidR="006A3667" w:rsidRDefault="006A3667">
            <w:pPr>
              <w:jc w:val="right"/>
              <w:rPr>
                <w:rFonts w:ascii="宋体"/>
              </w:rPr>
            </w:pPr>
          </w:p>
        </w:tc>
      </w:tr>
      <w:tr w:rsidR="006A3667" w14:paraId="71D416A1" w14:textId="77777777">
        <w:trPr>
          <w:hidden/>
        </w:trPr>
        <w:tc>
          <w:tcPr>
            <w:tcW w:w="0" w:type="auto"/>
            <w:gridSpan w:val="3"/>
            <w:shd w:val="clear" w:color="auto" w:fill="auto"/>
            <w:vAlign w:val="bottom"/>
          </w:tcPr>
          <w:p w14:paraId="71D41699" w14:textId="77777777" w:rsidR="006A3667" w:rsidRDefault="006A3667">
            <w:pPr>
              <w:rPr>
                <w:rFonts w:ascii="宋体"/>
                <w:vanish/>
              </w:rPr>
            </w:pPr>
          </w:p>
        </w:tc>
        <w:tc>
          <w:tcPr>
            <w:tcW w:w="0" w:type="auto"/>
            <w:gridSpan w:val="3"/>
            <w:shd w:val="clear" w:color="auto" w:fill="auto"/>
            <w:vAlign w:val="bottom"/>
          </w:tcPr>
          <w:p w14:paraId="71D4169A" w14:textId="77777777" w:rsidR="006A3667" w:rsidRDefault="006A3667">
            <w:pPr>
              <w:rPr>
                <w:rFonts w:ascii="宋体"/>
                <w:vanish/>
              </w:rPr>
            </w:pPr>
          </w:p>
        </w:tc>
        <w:tc>
          <w:tcPr>
            <w:tcW w:w="0" w:type="auto"/>
            <w:gridSpan w:val="3"/>
            <w:shd w:val="clear" w:color="auto" w:fill="auto"/>
            <w:vAlign w:val="bottom"/>
          </w:tcPr>
          <w:p w14:paraId="71D4169B" w14:textId="77777777" w:rsidR="006A3667" w:rsidRDefault="006A3667">
            <w:pPr>
              <w:rPr>
                <w:rFonts w:ascii="宋体"/>
                <w:vanish/>
              </w:rPr>
            </w:pPr>
          </w:p>
        </w:tc>
        <w:tc>
          <w:tcPr>
            <w:tcW w:w="0" w:type="auto"/>
            <w:gridSpan w:val="3"/>
            <w:shd w:val="clear" w:color="auto" w:fill="auto"/>
            <w:vAlign w:val="bottom"/>
          </w:tcPr>
          <w:p w14:paraId="71D4169C" w14:textId="77777777" w:rsidR="006A3667" w:rsidRDefault="006A3667">
            <w:pPr>
              <w:rPr>
                <w:rFonts w:ascii="宋体"/>
                <w:vanish/>
              </w:rPr>
            </w:pPr>
          </w:p>
        </w:tc>
        <w:tc>
          <w:tcPr>
            <w:tcW w:w="0" w:type="auto"/>
            <w:gridSpan w:val="3"/>
            <w:shd w:val="clear" w:color="auto" w:fill="auto"/>
            <w:vAlign w:val="bottom"/>
          </w:tcPr>
          <w:p w14:paraId="71D4169D" w14:textId="77777777" w:rsidR="006A3667" w:rsidRDefault="006A3667">
            <w:pPr>
              <w:rPr>
                <w:rFonts w:ascii="宋体"/>
                <w:vanish/>
              </w:rPr>
            </w:pPr>
          </w:p>
        </w:tc>
        <w:tc>
          <w:tcPr>
            <w:tcW w:w="0" w:type="auto"/>
            <w:gridSpan w:val="3"/>
            <w:shd w:val="clear" w:color="auto" w:fill="auto"/>
            <w:vAlign w:val="bottom"/>
          </w:tcPr>
          <w:p w14:paraId="71D4169E" w14:textId="77777777" w:rsidR="006A3667" w:rsidRDefault="006A3667">
            <w:pPr>
              <w:rPr>
                <w:rFonts w:ascii="宋体"/>
                <w:vanish/>
              </w:rPr>
            </w:pPr>
          </w:p>
        </w:tc>
        <w:tc>
          <w:tcPr>
            <w:tcW w:w="0" w:type="auto"/>
            <w:gridSpan w:val="3"/>
            <w:shd w:val="clear" w:color="auto" w:fill="auto"/>
            <w:vAlign w:val="bottom"/>
          </w:tcPr>
          <w:p w14:paraId="71D4169F" w14:textId="77777777" w:rsidR="006A3667" w:rsidRDefault="006A3667">
            <w:pPr>
              <w:rPr>
                <w:rFonts w:ascii="宋体"/>
                <w:vanish/>
              </w:rPr>
            </w:pPr>
          </w:p>
        </w:tc>
        <w:tc>
          <w:tcPr>
            <w:tcW w:w="0" w:type="auto"/>
            <w:gridSpan w:val="3"/>
            <w:shd w:val="clear" w:color="auto" w:fill="auto"/>
            <w:vAlign w:val="bottom"/>
          </w:tcPr>
          <w:p w14:paraId="71D416A0" w14:textId="77777777" w:rsidR="006A3667" w:rsidRDefault="006A3667">
            <w:pPr>
              <w:rPr>
                <w:rFonts w:ascii="宋体"/>
                <w:vanish/>
              </w:rPr>
            </w:pPr>
          </w:p>
        </w:tc>
      </w:tr>
      <w:tr w:rsidR="006A3667" w14:paraId="71D416AE" w14:textId="77777777">
        <w:tc>
          <w:tcPr>
            <w:tcW w:w="0" w:type="auto"/>
            <w:gridSpan w:val="3"/>
            <w:shd w:val="clear" w:color="auto" w:fill="FFFFFF"/>
            <w:tcMar>
              <w:top w:w="40" w:type="dxa"/>
              <w:left w:w="20" w:type="dxa"/>
              <w:bottom w:w="40" w:type="dxa"/>
              <w:right w:w="20" w:type="dxa"/>
            </w:tcMar>
            <w:vAlign w:val="bottom"/>
          </w:tcPr>
          <w:p w14:paraId="71D416A2" w14:textId="77777777" w:rsidR="006A3667" w:rsidRDefault="00045F32">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6A3" w14:textId="77777777" w:rsidR="006A3667" w:rsidRDefault="00045F32">
            <w:pPr>
              <w:jc w:val="right"/>
              <w:textAlignment w:val="bottom"/>
            </w:pPr>
            <w:r>
              <w:rPr>
                <w:rFonts w:ascii="Arial" w:eastAsia="宋体" w:hAnsi="Arial" w:cs="Arial"/>
                <w:b/>
                <w:bCs/>
                <w:color w:val="000000"/>
                <w:sz w:val="14"/>
                <w:szCs w:val="14"/>
              </w:rPr>
              <w:t>(208)</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6A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A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6A6" w14:textId="77777777" w:rsidR="006A3667" w:rsidRDefault="00045F32">
            <w:pPr>
              <w:jc w:val="right"/>
              <w:textAlignment w:val="bottom"/>
            </w:pPr>
            <w:r>
              <w:rPr>
                <w:rFonts w:ascii="Arial" w:eastAsia="宋体" w:hAnsi="Arial" w:cs="Arial"/>
                <w:b/>
                <w:bCs/>
                <w:color w:val="000000"/>
                <w:sz w:val="14"/>
                <w:szCs w:val="14"/>
              </w:rPr>
              <w:t>(204)</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6A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A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6A9" w14:textId="77777777" w:rsidR="006A3667" w:rsidRDefault="00045F32">
            <w:pPr>
              <w:jc w:val="right"/>
              <w:textAlignment w:val="bottom"/>
            </w:pPr>
            <w:r>
              <w:rPr>
                <w:rFonts w:ascii="Arial" w:eastAsia="宋体" w:hAnsi="Arial" w:cs="Arial"/>
                <w:color w:val="000000"/>
                <w:sz w:val="14"/>
                <w:szCs w:val="14"/>
              </w:rPr>
              <w:t>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6A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A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6AC" w14:textId="77777777" w:rsidR="006A3667" w:rsidRDefault="00045F32">
            <w:pPr>
              <w:jc w:val="right"/>
              <w:textAlignment w:val="bottom"/>
            </w:pPr>
            <w:r>
              <w:rPr>
                <w:rFonts w:ascii="Arial" w:eastAsia="宋体" w:hAnsi="Arial" w:cs="Arial"/>
                <w:color w:val="000000"/>
                <w:sz w:val="14"/>
                <w:szCs w:val="14"/>
              </w:rPr>
              <w:t>587 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6AD" w14:textId="77777777" w:rsidR="006A3667" w:rsidRDefault="006A3667">
            <w:pPr>
              <w:jc w:val="right"/>
              <w:rPr>
                <w:rFonts w:ascii="宋体"/>
              </w:rPr>
            </w:pPr>
          </w:p>
        </w:tc>
      </w:tr>
      <w:tr w:rsidR="006A3667" w14:paraId="71D416BB" w14:textId="77777777">
        <w:tc>
          <w:tcPr>
            <w:tcW w:w="0" w:type="auto"/>
            <w:gridSpan w:val="3"/>
            <w:shd w:val="clear" w:color="auto" w:fill="CCEEFF"/>
            <w:tcMar>
              <w:top w:w="40" w:type="dxa"/>
              <w:left w:w="20" w:type="dxa"/>
              <w:bottom w:w="40" w:type="dxa"/>
              <w:right w:w="20" w:type="dxa"/>
            </w:tcMar>
            <w:vAlign w:val="bottom"/>
          </w:tcPr>
          <w:p w14:paraId="71D416AF" w14:textId="77777777" w:rsidR="006A3667" w:rsidRDefault="00045F32">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B0" w14:textId="77777777" w:rsidR="006A3667" w:rsidRDefault="00045F32">
            <w:pPr>
              <w:jc w:val="right"/>
              <w:textAlignment w:val="bottom"/>
            </w:pPr>
            <w:r>
              <w:rPr>
                <w:rFonts w:ascii="Arial" w:eastAsia="宋体" w:hAnsi="Arial" w:cs="Arial"/>
                <w:b/>
                <w:bCs/>
                <w:color w:val="000000"/>
                <w:sz w:val="14"/>
                <w:szCs w:val="14"/>
              </w:rPr>
              <w:t>1,380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B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B3" w14:textId="77777777" w:rsidR="006A3667" w:rsidRDefault="00045F32">
            <w:pPr>
              <w:jc w:val="right"/>
              <w:textAlignment w:val="bottom"/>
            </w:pPr>
            <w:r>
              <w:rPr>
                <w:rFonts w:ascii="Arial" w:eastAsia="宋体" w:hAnsi="Arial" w:cs="Arial"/>
                <w:b/>
                <w:bCs/>
                <w:color w:val="000000"/>
                <w:sz w:val="14"/>
                <w:szCs w:val="14"/>
              </w:rPr>
              <w:t>1,492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B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B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B6" w14:textId="77777777" w:rsidR="006A3667" w:rsidRDefault="00045F32">
            <w:pPr>
              <w:jc w:val="right"/>
              <w:textAlignment w:val="bottom"/>
            </w:pPr>
            <w:r>
              <w:rPr>
                <w:rFonts w:ascii="Arial" w:eastAsia="宋体" w:hAnsi="Arial" w:cs="Arial"/>
                <w:color w:val="000000"/>
                <w:sz w:val="14"/>
                <w:szCs w:val="14"/>
              </w:rPr>
              <w:t>1,588 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B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6B9" w14:textId="77777777" w:rsidR="006A3667" w:rsidRDefault="00045F32">
            <w:pPr>
              <w:jc w:val="right"/>
              <w:textAlignment w:val="bottom"/>
            </w:pPr>
            <w:r>
              <w:rPr>
                <w:rFonts w:ascii="Arial" w:eastAsia="宋体" w:hAnsi="Arial" w:cs="Arial"/>
                <w:color w:val="000000"/>
                <w:sz w:val="14"/>
                <w:szCs w:val="14"/>
              </w:rPr>
              <w:t>1,696 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6BA" w14:textId="77777777" w:rsidR="006A3667" w:rsidRDefault="006A3667">
            <w:pPr>
              <w:jc w:val="right"/>
              <w:rPr>
                <w:rFonts w:ascii="宋体"/>
              </w:rPr>
            </w:pPr>
          </w:p>
        </w:tc>
      </w:tr>
      <w:tr w:rsidR="006A3667" w14:paraId="71D416C4" w14:textId="77777777">
        <w:tc>
          <w:tcPr>
            <w:tcW w:w="0" w:type="auto"/>
            <w:gridSpan w:val="3"/>
            <w:shd w:val="clear" w:color="auto" w:fill="FFFFFF"/>
            <w:tcMar>
              <w:top w:w="40" w:type="dxa"/>
              <w:left w:w="20" w:type="dxa"/>
              <w:bottom w:w="40" w:type="dxa"/>
              <w:right w:w="20" w:type="dxa"/>
            </w:tcMar>
            <w:vAlign w:val="bottom"/>
          </w:tcPr>
          <w:p w14:paraId="71D416BC" w14:textId="77777777" w:rsidR="006A3667" w:rsidRDefault="00045F32">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B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BE"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B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C0"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C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6C2"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6C3" w14:textId="77777777" w:rsidR="006A3667" w:rsidRDefault="006A3667">
            <w:pPr>
              <w:rPr>
                <w:rFonts w:ascii="宋体"/>
              </w:rPr>
            </w:pPr>
          </w:p>
        </w:tc>
      </w:tr>
      <w:tr w:rsidR="006A3667" w14:paraId="71D416D1" w14:textId="77777777">
        <w:tc>
          <w:tcPr>
            <w:tcW w:w="0" w:type="auto"/>
            <w:gridSpan w:val="3"/>
            <w:shd w:val="clear" w:color="auto" w:fill="CCEEFF"/>
            <w:tcMar>
              <w:top w:w="40" w:type="dxa"/>
              <w:left w:w="20" w:type="dxa"/>
              <w:bottom w:w="40" w:type="dxa"/>
              <w:right w:w="20" w:type="dxa"/>
            </w:tcMar>
            <w:vAlign w:val="bottom"/>
          </w:tcPr>
          <w:p w14:paraId="71D416C5" w14:textId="77777777" w:rsidR="006A3667" w:rsidRDefault="00045F32">
            <w:pPr>
              <w:textAlignment w:val="bottom"/>
            </w:pPr>
            <w:r>
              <w:rPr>
                <w:rFonts w:ascii="Arial" w:eastAsia="宋体" w:hAnsi="Arial" w:cs="Arial"/>
                <w:color w:val="000000"/>
                <w:sz w:val="14"/>
                <w:szCs w:val="14"/>
              </w:rPr>
              <w:t>Total capital balance, beginning of period</w:t>
            </w:r>
          </w:p>
        </w:tc>
        <w:tc>
          <w:tcPr>
            <w:tcW w:w="0" w:type="auto"/>
            <w:gridSpan w:val="2"/>
            <w:shd w:val="clear" w:color="auto" w:fill="CCEEFF"/>
            <w:tcMar>
              <w:top w:w="40" w:type="dxa"/>
              <w:left w:w="20" w:type="dxa"/>
              <w:bottom w:w="40" w:type="dxa"/>
              <w:right w:w="0" w:type="dxa"/>
            </w:tcMar>
            <w:vAlign w:val="bottom"/>
          </w:tcPr>
          <w:p w14:paraId="71D416C6" w14:textId="77777777" w:rsidR="006A3667" w:rsidRDefault="00045F32">
            <w:pPr>
              <w:jc w:val="right"/>
              <w:textAlignment w:val="bottom"/>
            </w:pPr>
            <w:r>
              <w:rPr>
                <w:rFonts w:ascii="Arial" w:eastAsia="宋体" w:hAnsi="Arial" w:cs="Arial"/>
                <w:b/>
                <w:bCs/>
                <w:color w:val="000000"/>
                <w:sz w:val="14"/>
                <w:szCs w:val="14"/>
              </w:rPr>
              <w:t>19,511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C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C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C9" w14:textId="77777777" w:rsidR="006A3667" w:rsidRDefault="00045F32">
            <w:pPr>
              <w:jc w:val="right"/>
              <w:textAlignment w:val="bottom"/>
            </w:pPr>
            <w:r>
              <w:rPr>
                <w:rFonts w:ascii="Arial" w:eastAsia="宋体" w:hAnsi="Arial" w:cs="Arial"/>
                <w:b/>
                <w:bCs/>
                <w:color w:val="000000"/>
                <w:sz w:val="14"/>
                <w:szCs w:val="14"/>
              </w:rPr>
              <w:t>19,619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6C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C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CC" w14:textId="77777777" w:rsidR="006A3667" w:rsidRDefault="00045F32">
            <w:pPr>
              <w:jc w:val="right"/>
              <w:textAlignment w:val="bottom"/>
            </w:pPr>
            <w:r>
              <w:rPr>
                <w:rFonts w:ascii="Arial" w:eastAsia="宋体" w:hAnsi="Arial" w:cs="Arial"/>
                <w:color w:val="000000"/>
                <w:sz w:val="14"/>
                <w:szCs w:val="14"/>
              </w:rPr>
              <w:t>17,810 </w:t>
            </w:r>
          </w:p>
        </w:tc>
        <w:tc>
          <w:tcPr>
            <w:tcW w:w="0" w:type="auto"/>
            <w:shd w:val="clear" w:color="auto" w:fill="CCEEFF"/>
            <w:tcMar>
              <w:top w:w="40" w:type="dxa"/>
              <w:left w:w="0" w:type="dxa"/>
              <w:bottom w:w="40" w:type="dxa"/>
              <w:right w:w="20" w:type="dxa"/>
            </w:tcMar>
            <w:vAlign w:val="bottom"/>
          </w:tcPr>
          <w:p w14:paraId="71D416C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C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CF" w14:textId="77777777" w:rsidR="006A3667" w:rsidRDefault="00045F32">
            <w:pPr>
              <w:jc w:val="right"/>
              <w:textAlignment w:val="bottom"/>
            </w:pPr>
            <w:r>
              <w:rPr>
                <w:rFonts w:ascii="Arial" w:eastAsia="宋体" w:hAnsi="Arial" w:cs="Arial"/>
                <w:color w:val="000000"/>
                <w:sz w:val="14"/>
                <w:szCs w:val="14"/>
              </w:rPr>
              <w:t>17,957 </w:t>
            </w:r>
          </w:p>
        </w:tc>
        <w:tc>
          <w:tcPr>
            <w:tcW w:w="0" w:type="auto"/>
            <w:shd w:val="clear" w:color="auto" w:fill="CCEEFF"/>
            <w:tcMar>
              <w:top w:w="40" w:type="dxa"/>
              <w:left w:w="0" w:type="dxa"/>
              <w:bottom w:w="40" w:type="dxa"/>
              <w:right w:w="20" w:type="dxa"/>
            </w:tcMar>
            <w:vAlign w:val="bottom"/>
          </w:tcPr>
          <w:p w14:paraId="71D416D0" w14:textId="77777777" w:rsidR="006A3667" w:rsidRDefault="006A3667">
            <w:pPr>
              <w:jc w:val="right"/>
              <w:rPr>
                <w:rFonts w:ascii="宋体"/>
              </w:rPr>
            </w:pPr>
          </w:p>
        </w:tc>
      </w:tr>
      <w:tr w:rsidR="006A3667" w14:paraId="71D416DE" w14:textId="77777777">
        <w:tc>
          <w:tcPr>
            <w:tcW w:w="0" w:type="auto"/>
            <w:gridSpan w:val="3"/>
            <w:shd w:val="clear" w:color="auto" w:fill="FFFFFF"/>
            <w:tcMar>
              <w:top w:w="40" w:type="dxa"/>
              <w:left w:w="20" w:type="dxa"/>
              <w:bottom w:w="40" w:type="dxa"/>
              <w:right w:w="20" w:type="dxa"/>
            </w:tcMar>
            <w:vAlign w:val="bottom"/>
          </w:tcPr>
          <w:p w14:paraId="71D416D2" w14:textId="77777777" w:rsidR="006A3667" w:rsidRDefault="00045F32">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71D416D3" w14:textId="77777777" w:rsidR="006A3667" w:rsidRDefault="00045F32">
            <w:pPr>
              <w:jc w:val="right"/>
              <w:textAlignment w:val="bottom"/>
            </w:pPr>
            <w:r>
              <w:rPr>
                <w:rFonts w:ascii="Arial" w:eastAsia="宋体" w:hAnsi="Arial" w:cs="Arial"/>
                <w:b/>
                <w:bCs/>
                <w:color w:val="000000"/>
                <w:sz w:val="14"/>
                <w:szCs w:val="14"/>
              </w:rPr>
              <w:t>(821)</w:t>
            </w:r>
          </w:p>
        </w:tc>
        <w:tc>
          <w:tcPr>
            <w:tcW w:w="0" w:type="auto"/>
            <w:shd w:val="clear" w:color="auto" w:fill="FFFFFF"/>
            <w:tcMar>
              <w:top w:w="40" w:type="dxa"/>
              <w:left w:w="0" w:type="dxa"/>
              <w:bottom w:w="40" w:type="dxa"/>
              <w:right w:w="20" w:type="dxa"/>
            </w:tcMar>
            <w:vAlign w:val="bottom"/>
          </w:tcPr>
          <w:p w14:paraId="71D416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D6" w14:textId="77777777" w:rsidR="006A3667" w:rsidRDefault="00045F32">
            <w:pPr>
              <w:jc w:val="right"/>
              <w:textAlignment w:val="bottom"/>
            </w:pPr>
            <w:r>
              <w:rPr>
                <w:rFonts w:ascii="Arial" w:eastAsia="宋体" w:hAnsi="Arial" w:cs="Arial"/>
                <w:b/>
                <w:bCs/>
                <w:color w:val="000000"/>
                <w:sz w:val="14"/>
                <w:szCs w:val="14"/>
              </w:rPr>
              <w:t>(821)</w:t>
            </w:r>
          </w:p>
        </w:tc>
        <w:tc>
          <w:tcPr>
            <w:tcW w:w="0" w:type="auto"/>
            <w:shd w:val="clear" w:color="auto" w:fill="FFFFFF"/>
            <w:tcMar>
              <w:top w:w="40" w:type="dxa"/>
              <w:left w:w="0" w:type="dxa"/>
              <w:bottom w:w="40" w:type="dxa"/>
              <w:right w:w="20" w:type="dxa"/>
            </w:tcMar>
            <w:vAlign w:val="bottom"/>
          </w:tcPr>
          <w:p w14:paraId="71D416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D9" w14:textId="77777777" w:rsidR="006A3667" w:rsidRDefault="00045F32">
            <w:pPr>
              <w:jc w:val="right"/>
              <w:textAlignment w:val="bottom"/>
            </w:pPr>
            <w:r>
              <w:rPr>
                <w:rFonts w:ascii="Arial" w:eastAsia="宋体" w:hAnsi="Arial" w:cs="Arial"/>
                <w:color w:val="000000"/>
                <w:sz w:val="14"/>
                <w:szCs w:val="14"/>
              </w:rPr>
              <w:t>1,075 </w:t>
            </w:r>
          </w:p>
        </w:tc>
        <w:tc>
          <w:tcPr>
            <w:tcW w:w="0" w:type="auto"/>
            <w:shd w:val="clear" w:color="auto" w:fill="FFFFFF"/>
            <w:tcMar>
              <w:top w:w="40" w:type="dxa"/>
              <w:left w:w="0" w:type="dxa"/>
              <w:bottom w:w="40" w:type="dxa"/>
              <w:right w:w="20" w:type="dxa"/>
            </w:tcMar>
            <w:vAlign w:val="bottom"/>
          </w:tcPr>
          <w:p w14:paraId="71D416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6DC" w14:textId="77777777" w:rsidR="006A3667" w:rsidRDefault="00045F32">
            <w:pPr>
              <w:jc w:val="right"/>
              <w:textAlignment w:val="bottom"/>
            </w:pPr>
            <w:r>
              <w:rPr>
                <w:rFonts w:ascii="Arial" w:eastAsia="宋体" w:hAnsi="Arial" w:cs="Arial"/>
                <w:color w:val="000000"/>
                <w:sz w:val="14"/>
                <w:szCs w:val="14"/>
              </w:rPr>
              <w:t>1,075 </w:t>
            </w:r>
          </w:p>
        </w:tc>
        <w:tc>
          <w:tcPr>
            <w:tcW w:w="0" w:type="auto"/>
            <w:shd w:val="clear" w:color="auto" w:fill="FFFFFF"/>
            <w:tcMar>
              <w:top w:w="40" w:type="dxa"/>
              <w:left w:w="0" w:type="dxa"/>
              <w:bottom w:w="40" w:type="dxa"/>
              <w:right w:w="20" w:type="dxa"/>
            </w:tcMar>
            <w:vAlign w:val="bottom"/>
          </w:tcPr>
          <w:p w14:paraId="71D416DD" w14:textId="77777777" w:rsidR="006A3667" w:rsidRDefault="006A3667">
            <w:pPr>
              <w:jc w:val="right"/>
              <w:rPr>
                <w:rFonts w:ascii="宋体"/>
              </w:rPr>
            </w:pPr>
          </w:p>
        </w:tc>
      </w:tr>
      <w:tr w:rsidR="006A3667" w14:paraId="71D416EB" w14:textId="77777777">
        <w:tc>
          <w:tcPr>
            <w:tcW w:w="0" w:type="auto"/>
            <w:gridSpan w:val="3"/>
            <w:shd w:val="clear" w:color="auto" w:fill="CCEEFF"/>
            <w:tcMar>
              <w:top w:w="40" w:type="dxa"/>
              <w:left w:w="20" w:type="dxa"/>
              <w:bottom w:w="40" w:type="dxa"/>
              <w:right w:w="20" w:type="dxa"/>
            </w:tcMar>
            <w:vAlign w:val="bottom"/>
          </w:tcPr>
          <w:p w14:paraId="71D416DF" w14:textId="77777777" w:rsidR="006A3667" w:rsidRDefault="00045F32">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71D416E0" w14:textId="77777777" w:rsidR="006A3667" w:rsidRDefault="00045F32">
            <w:pPr>
              <w:jc w:val="right"/>
              <w:textAlignment w:val="bottom"/>
            </w:pPr>
            <w:r>
              <w:rPr>
                <w:rFonts w:ascii="Arial" w:eastAsia="宋体" w:hAnsi="Arial" w:cs="Arial"/>
                <w:b/>
                <w:bCs/>
                <w:color w:val="000000"/>
                <w:sz w:val="14"/>
                <w:szCs w:val="14"/>
              </w:rPr>
              <w:t>(208)</w:t>
            </w:r>
          </w:p>
        </w:tc>
        <w:tc>
          <w:tcPr>
            <w:tcW w:w="0" w:type="auto"/>
            <w:shd w:val="clear" w:color="auto" w:fill="CCEEFF"/>
            <w:tcMar>
              <w:top w:w="40" w:type="dxa"/>
              <w:left w:w="0" w:type="dxa"/>
              <w:bottom w:w="40" w:type="dxa"/>
              <w:right w:w="20" w:type="dxa"/>
            </w:tcMar>
            <w:vAlign w:val="bottom"/>
          </w:tcPr>
          <w:p w14:paraId="71D416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E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E3" w14:textId="77777777" w:rsidR="006A3667" w:rsidRDefault="00045F32">
            <w:pPr>
              <w:jc w:val="right"/>
              <w:textAlignment w:val="bottom"/>
            </w:pPr>
            <w:r>
              <w:rPr>
                <w:rFonts w:ascii="Arial" w:eastAsia="宋体" w:hAnsi="Arial" w:cs="Arial"/>
                <w:b/>
                <w:bCs/>
                <w:color w:val="000000"/>
                <w:sz w:val="14"/>
                <w:szCs w:val="14"/>
              </w:rPr>
              <w:t>(204)</w:t>
            </w:r>
          </w:p>
        </w:tc>
        <w:tc>
          <w:tcPr>
            <w:tcW w:w="0" w:type="auto"/>
            <w:shd w:val="clear" w:color="auto" w:fill="CCEEFF"/>
            <w:tcMar>
              <w:top w:w="40" w:type="dxa"/>
              <w:left w:w="0" w:type="dxa"/>
              <w:bottom w:w="40" w:type="dxa"/>
              <w:right w:w="20" w:type="dxa"/>
            </w:tcMar>
            <w:vAlign w:val="bottom"/>
          </w:tcPr>
          <w:p w14:paraId="71D416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E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E6" w14:textId="77777777" w:rsidR="006A3667" w:rsidRDefault="00045F32">
            <w:pPr>
              <w:jc w:val="right"/>
              <w:textAlignment w:val="bottom"/>
            </w:pPr>
            <w:r>
              <w:rPr>
                <w:rFonts w:ascii="Arial" w:eastAsia="宋体" w:hAnsi="Arial" w:cs="Arial"/>
                <w:color w:val="000000"/>
                <w:sz w:val="14"/>
                <w:szCs w:val="14"/>
              </w:rPr>
              <w:t>626 </w:t>
            </w:r>
          </w:p>
        </w:tc>
        <w:tc>
          <w:tcPr>
            <w:tcW w:w="0" w:type="auto"/>
            <w:shd w:val="clear" w:color="auto" w:fill="CCEEFF"/>
            <w:tcMar>
              <w:top w:w="40" w:type="dxa"/>
              <w:left w:w="0" w:type="dxa"/>
              <w:bottom w:w="40" w:type="dxa"/>
              <w:right w:w="20" w:type="dxa"/>
            </w:tcMar>
            <w:vAlign w:val="bottom"/>
          </w:tcPr>
          <w:p w14:paraId="71D416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6E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6E9" w14:textId="77777777" w:rsidR="006A3667" w:rsidRDefault="00045F32">
            <w:pPr>
              <w:jc w:val="right"/>
              <w:textAlignment w:val="bottom"/>
            </w:pPr>
            <w:r>
              <w:rPr>
                <w:rFonts w:ascii="Arial" w:eastAsia="宋体" w:hAnsi="Arial" w:cs="Arial"/>
                <w:color w:val="000000"/>
                <w:sz w:val="14"/>
                <w:szCs w:val="14"/>
              </w:rPr>
              <w:t>587 </w:t>
            </w:r>
          </w:p>
        </w:tc>
        <w:tc>
          <w:tcPr>
            <w:tcW w:w="0" w:type="auto"/>
            <w:shd w:val="clear" w:color="auto" w:fill="CCEEFF"/>
            <w:tcMar>
              <w:top w:w="40" w:type="dxa"/>
              <w:left w:w="0" w:type="dxa"/>
              <w:bottom w:w="40" w:type="dxa"/>
              <w:right w:w="20" w:type="dxa"/>
            </w:tcMar>
            <w:vAlign w:val="bottom"/>
          </w:tcPr>
          <w:p w14:paraId="71D416EA" w14:textId="77777777" w:rsidR="006A3667" w:rsidRDefault="006A3667">
            <w:pPr>
              <w:jc w:val="right"/>
              <w:rPr>
                <w:rFonts w:ascii="宋体"/>
              </w:rPr>
            </w:pPr>
          </w:p>
        </w:tc>
      </w:tr>
      <w:tr w:rsidR="006A3667" w14:paraId="71D416FC" w14:textId="77777777">
        <w:tc>
          <w:tcPr>
            <w:tcW w:w="0" w:type="auto"/>
            <w:gridSpan w:val="3"/>
            <w:shd w:val="clear" w:color="auto" w:fill="FFFFFF"/>
            <w:tcMar>
              <w:top w:w="40" w:type="dxa"/>
              <w:left w:w="20" w:type="dxa"/>
              <w:bottom w:w="40" w:type="dxa"/>
              <w:right w:w="20" w:type="dxa"/>
            </w:tcMar>
            <w:vAlign w:val="bottom"/>
          </w:tcPr>
          <w:p w14:paraId="71D416EC" w14:textId="77777777" w:rsidR="006A3667" w:rsidRDefault="00045F32">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16E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16EE" w14:textId="77777777" w:rsidR="006A3667" w:rsidRDefault="00045F32">
            <w:pPr>
              <w:jc w:val="right"/>
              <w:textAlignment w:val="bottom"/>
            </w:pPr>
            <w:r>
              <w:rPr>
                <w:rFonts w:ascii="Arial" w:eastAsia="宋体" w:hAnsi="Arial" w:cs="Arial"/>
                <w:b/>
                <w:bCs/>
                <w:color w:val="000000"/>
                <w:sz w:val="14"/>
                <w:szCs w:val="14"/>
              </w:rPr>
              <w:t>18,482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16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F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16F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16F2" w14:textId="77777777" w:rsidR="006A3667" w:rsidRDefault="00045F32">
            <w:pPr>
              <w:jc w:val="right"/>
              <w:textAlignment w:val="bottom"/>
            </w:pPr>
            <w:r>
              <w:rPr>
                <w:rFonts w:ascii="Arial" w:eastAsia="宋体" w:hAnsi="Arial" w:cs="Arial"/>
                <w:b/>
                <w:bCs/>
                <w:color w:val="000000"/>
                <w:sz w:val="14"/>
                <w:szCs w:val="14"/>
              </w:rPr>
              <w:t>18,594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16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F4"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16F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16F6" w14:textId="77777777" w:rsidR="006A3667" w:rsidRDefault="00045F32">
            <w:pPr>
              <w:jc w:val="right"/>
              <w:textAlignment w:val="bottom"/>
            </w:pPr>
            <w:r>
              <w:rPr>
                <w:rFonts w:ascii="Arial" w:eastAsia="宋体" w:hAnsi="Arial" w:cs="Arial"/>
                <w:color w:val="000000"/>
                <w:sz w:val="14"/>
                <w:szCs w:val="14"/>
              </w:rPr>
              <w:t>19,511 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16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6F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16F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16FA" w14:textId="77777777" w:rsidR="006A3667" w:rsidRDefault="00045F32">
            <w:pPr>
              <w:jc w:val="right"/>
              <w:textAlignment w:val="bottom"/>
            </w:pPr>
            <w:r>
              <w:rPr>
                <w:rFonts w:ascii="Arial" w:eastAsia="宋体" w:hAnsi="Arial" w:cs="Arial"/>
                <w:color w:val="000000"/>
                <w:sz w:val="14"/>
                <w:szCs w:val="14"/>
              </w:rPr>
              <w:t>19,619 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16FB" w14:textId="77777777" w:rsidR="006A3667" w:rsidRDefault="006A3667">
            <w:pPr>
              <w:jc w:val="right"/>
              <w:rPr>
                <w:rFonts w:ascii="宋体"/>
              </w:rPr>
            </w:pPr>
          </w:p>
        </w:tc>
      </w:tr>
    </w:tbl>
    <w:p w14:paraId="71D416FD" w14:textId="77777777" w:rsidR="006A3667" w:rsidRDefault="00045F32">
      <w:pPr>
        <w:spacing w:before="60"/>
        <w:jc w:val="both"/>
      </w:pPr>
      <w:r>
        <w:rPr>
          <w:rFonts w:ascii="Arial" w:eastAsia="宋体" w:hAnsi="Arial" w:cs="Arial"/>
          <w:color w:val="000000"/>
          <w:sz w:val="12"/>
          <w:szCs w:val="12"/>
        </w:rPr>
        <w:t xml:space="preserve">(1) Accumulated other comprehensive income (loss) includes losses on cash flow hedges where the hedged </w:t>
      </w:r>
      <w:r>
        <w:rPr>
          <w:rFonts w:ascii="Arial" w:eastAsia="宋体" w:hAnsi="Arial" w:cs="Arial"/>
          <w:color w:val="000000"/>
          <w:sz w:val="12"/>
          <w:szCs w:val="12"/>
        </w:rPr>
        <w:t>exposures are not recognized at fair value on the balance sheet, which, under the Capital Rule, must be excluded from CET1 capital. This adjustment is captured in the Other Adjustments line.</w:t>
      </w:r>
    </w:p>
    <w:p w14:paraId="71D416FE" w14:textId="77777777" w:rsidR="006A3667" w:rsidRDefault="00045F32">
      <w:pPr>
        <w:ind w:firstLine="450"/>
        <w:jc w:val="right"/>
      </w:pPr>
      <w:r>
        <w:rPr>
          <w:rFonts w:ascii="Arial" w:eastAsia="宋体" w:hAnsi="Arial" w:cs="Arial"/>
          <w:color w:val="000000"/>
          <w:sz w:val="18"/>
          <w:szCs w:val="18"/>
        </w:rPr>
        <w:t>State Street Corporation | 46</w:t>
      </w:r>
    </w:p>
    <w:p w14:paraId="71D416FF" w14:textId="77777777" w:rsidR="006A3667" w:rsidRDefault="006A3667">
      <w:pPr>
        <w:ind w:firstLine="450"/>
        <w:jc w:val="center"/>
      </w:pPr>
    </w:p>
    <w:p w14:paraId="71D41700" w14:textId="77777777" w:rsidR="006A3667" w:rsidRDefault="00045F32">
      <w:r>
        <w:pict w14:anchorId="71D4AC42">
          <v:rect id="_x0000_i1070" style="width:415.3pt;height:1.5pt" o:hralign="center" o:hrstd="t" o:hr="t" fillcolor="#a0a0a0" stroked="f"/>
        </w:pict>
      </w:r>
    </w:p>
    <w:p w14:paraId="71D41701" w14:textId="77777777" w:rsidR="006A3667" w:rsidRDefault="00045F32">
      <w:pPr>
        <w:ind w:firstLine="450"/>
        <w:jc w:val="center"/>
      </w:pPr>
      <w:r>
        <w:rPr>
          <w:rFonts w:ascii="Arial" w:eastAsia="宋体" w:hAnsi="Arial" w:cs="Arial"/>
          <w:b/>
          <w:bCs/>
          <w:color w:val="000000"/>
          <w:sz w:val="20"/>
          <w:szCs w:val="20"/>
        </w:rPr>
        <w:t>MANAGEMENT’S DISCUSSION AND ANAL</w:t>
      </w:r>
      <w:r>
        <w:rPr>
          <w:rFonts w:ascii="Arial" w:eastAsia="宋体" w:hAnsi="Arial" w:cs="Arial"/>
          <w:b/>
          <w:bCs/>
          <w:color w:val="000000"/>
          <w:sz w:val="20"/>
          <w:szCs w:val="20"/>
        </w:rPr>
        <w:t>YSIS OF FINANCIAL CONDITION</w:t>
      </w:r>
    </w:p>
    <w:p w14:paraId="71D41702" w14:textId="77777777" w:rsidR="006A3667" w:rsidRDefault="00045F32">
      <w:pPr>
        <w:ind w:firstLine="450"/>
        <w:jc w:val="center"/>
      </w:pPr>
      <w:r>
        <w:rPr>
          <w:rFonts w:ascii="Arial" w:eastAsia="宋体" w:hAnsi="Arial" w:cs="Arial"/>
          <w:b/>
          <w:bCs/>
          <w:color w:val="000000"/>
          <w:sz w:val="20"/>
          <w:szCs w:val="20"/>
        </w:rPr>
        <w:t>AND RESULTS OF OPERATIONS</w:t>
      </w:r>
    </w:p>
    <w:p w14:paraId="71D41703" w14:textId="77777777" w:rsidR="006A3667" w:rsidRDefault="00045F32">
      <w:pPr>
        <w:ind w:firstLine="450"/>
        <w:jc w:val="both"/>
      </w:pPr>
      <w:r>
        <w:rPr>
          <w:rFonts w:ascii="Arial" w:eastAsia="宋体" w:hAnsi="Arial" w:cs="Arial"/>
          <w:color w:val="000000"/>
          <w:sz w:val="20"/>
          <w:szCs w:val="20"/>
        </w:rPr>
        <w:t>The following table presents a roll-forward of the Basel III advanced and standardized approaches RWA for the nine months ended September 30, 2022 and for the year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585"/>
        <w:gridCol w:w="37"/>
        <w:gridCol w:w="94"/>
        <w:gridCol w:w="931"/>
        <w:gridCol w:w="37"/>
        <w:gridCol w:w="36"/>
        <w:gridCol w:w="36"/>
        <w:gridCol w:w="36"/>
        <w:gridCol w:w="94"/>
        <w:gridCol w:w="957"/>
        <w:gridCol w:w="37"/>
        <w:gridCol w:w="36"/>
        <w:gridCol w:w="36"/>
        <w:gridCol w:w="36"/>
        <w:gridCol w:w="94"/>
        <w:gridCol w:w="957"/>
        <w:gridCol w:w="37"/>
        <w:gridCol w:w="36"/>
        <w:gridCol w:w="36"/>
        <w:gridCol w:w="36"/>
        <w:gridCol w:w="94"/>
        <w:gridCol w:w="982"/>
        <w:gridCol w:w="37"/>
      </w:tblGrid>
      <w:tr w:rsidR="006A3667" w14:paraId="71D4171C" w14:textId="77777777">
        <w:tc>
          <w:tcPr>
            <w:tcW w:w="50" w:type="pct"/>
            <w:shd w:val="clear" w:color="auto" w:fill="auto"/>
            <w:vAlign w:val="bottom"/>
          </w:tcPr>
          <w:p w14:paraId="71D41704" w14:textId="77777777" w:rsidR="006A3667" w:rsidRDefault="006A3667">
            <w:pPr>
              <w:rPr>
                <w:rFonts w:ascii="宋体"/>
              </w:rPr>
            </w:pPr>
          </w:p>
        </w:tc>
        <w:tc>
          <w:tcPr>
            <w:tcW w:w="2196" w:type="pct"/>
            <w:shd w:val="clear" w:color="auto" w:fill="auto"/>
            <w:vAlign w:val="bottom"/>
          </w:tcPr>
          <w:p w14:paraId="71D41705" w14:textId="77777777" w:rsidR="006A3667" w:rsidRDefault="006A3667">
            <w:pPr>
              <w:rPr>
                <w:rFonts w:ascii="宋体"/>
              </w:rPr>
            </w:pPr>
          </w:p>
        </w:tc>
        <w:tc>
          <w:tcPr>
            <w:tcW w:w="5" w:type="pct"/>
            <w:shd w:val="clear" w:color="auto" w:fill="auto"/>
            <w:vAlign w:val="bottom"/>
          </w:tcPr>
          <w:p w14:paraId="71D41706" w14:textId="77777777" w:rsidR="006A3667" w:rsidRDefault="006A3667">
            <w:pPr>
              <w:rPr>
                <w:rFonts w:ascii="宋体"/>
              </w:rPr>
            </w:pPr>
          </w:p>
        </w:tc>
        <w:tc>
          <w:tcPr>
            <w:tcW w:w="50" w:type="pct"/>
            <w:shd w:val="clear" w:color="auto" w:fill="auto"/>
            <w:vAlign w:val="bottom"/>
          </w:tcPr>
          <w:p w14:paraId="71D41707" w14:textId="77777777" w:rsidR="006A3667" w:rsidRDefault="006A3667">
            <w:pPr>
              <w:rPr>
                <w:rFonts w:ascii="宋体"/>
              </w:rPr>
            </w:pPr>
          </w:p>
        </w:tc>
        <w:tc>
          <w:tcPr>
            <w:tcW w:w="595" w:type="pct"/>
            <w:shd w:val="clear" w:color="auto" w:fill="auto"/>
            <w:vAlign w:val="bottom"/>
          </w:tcPr>
          <w:p w14:paraId="71D41708" w14:textId="77777777" w:rsidR="006A3667" w:rsidRDefault="006A3667">
            <w:pPr>
              <w:rPr>
                <w:rFonts w:ascii="宋体"/>
              </w:rPr>
            </w:pPr>
          </w:p>
        </w:tc>
        <w:tc>
          <w:tcPr>
            <w:tcW w:w="5" w:type="pct"/>
            <w:shd w:val="clear" w:color="auto" w:fill="auto"/>
            <w:vAlign w:val="bottom"/>
          </w:tcPr>
          <w:p w14:paraId="71D41709" w14:textId="77777777" w:rsidR="006A3667" w:rsidRDefault="006A3667">
            <w:pPr>
              <w:rPr>
                <w:rFonts w:ascii="宋体"/>
              </w:rPr>
            </w:pPr>
          </w:p>
        </w:tc>
        <w:tc>
          <w:tcPr>
            <w:tcW w:w="5" w:type="pct"/>
            <w:shd w:val="clear" w:color="auto" w:fill="auto"/>
            <w:vAlign w:val="bottom"/>
          </w:tcPr>
          <w:p w14:paraId="71D4170A" w14:textId="77777777" w:rsidR="006A3667" w:rsidRDefault="006A3667">
            <w:pPr>
              <w:rPr>
                <w:rFonts w:ascii="宋体"/>
              </w:rPr>
            </w:pPr>
          </w:p>
        </w:tc>
        <w:tc>
          <w:tcPr>
            <w:tcW w:w="19" w:type="pct"/>
            <w:shd w:val="clear" w:color="auto" w:fill="auto"/>
            <w:vAlign w:val="bottom"/>
          </w:tcPr>
          <w:p w14:paraId="71D4170B" w14:textId="77777777" w:rsidR="006A3667" w:rsidRDefault="006A3667">
            <w:pPr>
              <w:rPr>
                <w:rFonts w:ascii="宋体"/>
              </w:rPr>
            </w:pPr>
          </w:p>
        </w:tc>
        <w:tc>
          <w:tcPr>
            <w:tcW w:w="5" w:type="pct"/>
            <w:shd w:val="clear" w:color="auto" w:fill="auto"/>
            <w:vAlign w:val="bottom"/>
          </w:tcPr>
          <w:p w14:paraId="71D4170C" w14:textId="77777777" w:rsidR="006A3667" w:rsidRDefault="006A3667">
            <w:pPr>
              <w:rPr>
                <w:rFonts w:ascii="宋体"/>
              </w:rPr>
            </w:pPr>
          </w:p>
        </w:tc>
        <w:tc>
          <w:tcPr>
            <w:tcW w:w="50" w:type="pct"/>
            <w:shd w:val="clear" w:color="auto" w:fill="auto"/>
            <w:vAlign w:val="bottom"/>
          </w:tcPr>
          <w:p w14:paraId="71D4170D" w14:textId="77777777" w:rsidR="006A3667" w:rsidRDefault="006A3667">
            <w:pPr>
              <w:rPr>
                <w:rFonts w:ascii="宋体"/>
              </w:rPr>
            </w:pPr>
          </w:p>
        </w:tc>
        <w:tc>
          <w:tcPr>
            <w:tcW w:w="610" w:type="pct"/>
            <w:shd w:val="clear" w:color="auto" w:fill="auto"/>
            <w:vAlign w:val="bottom"/>
          </w:tcPr>
          <w:p w14:paraId="71D4170E" w14:textId="77777777" w:rsidR="006A3667" w:rsidRDefault="006A3667">
            <w:pPr>
              <w:rPr>
                <w:rFonts w:ascii="宋体"/>
              </w:rPr>
            </w:pPr>
          </w:p>
        </w:tc>
        <w:tc>
          <w:tcPr>
            <w:tcW w:w="5" w:type="pct"/>
            <w:shd w:val="clear" w:color="auto" w:fill="auto"/>
            <w:vAlign w:val="bottom"/>
          </w:tcPr>
          <w:p w14:paraId="71D4170F" w14:textId="77777777" w:rsidR="006A3667" w:rsidRDefault="006A3667">
            <w:pPr>
              <w:rPr>
                <w:rFonts w:ascii="宋体"/>
              </w:rPr>
            </w:pPr>
          </w:p>
        </w:tc>
        <w:tc>
          <w:tcPr>
            <w:tcW w:w="5" w:type="pct"/>
            <w:shd w:val="clear" w:color="auto" w:fill="auto"/>
            <w:vAlign w:val="bottom"/>
          </w:tcPr>
          <w:p w14:paraId="71D41710" w14:textId="77777777" w:rsidR="006A3667" w:rsidRDefault="006A3667">
            <w:pPr>
              <w:rPr>
                <w:rFonts w:ascii="宋体"/>
              </w:rPr>
            </w:pPr>
          </w:p>
        </w:tc>
        <w:tc>
          <w:tcPr>
            <w:tcW w:w="19" w:type="pct"/>
            <w:shd w:val="clear" w:color="auto" w:fill="auto"/>
            <w:vAlign w:val="bottom"/>
          </w:tcPr>
          <w:p w14:paraId="71D41711" w14:textId="77777777" w:rsidR="006A3667" w:rsidRDefault="006A3667">
            <w:pPr>
              <w:rPr>
                <w:rFonts w:ascii="宋体"/>
              </w:rPr>
            </w:pPr>
          </w:p>
        </w:tc>
        <w:tc>
          <w:tcPr>
            <w:tcW w:w="5" w:type="pct"/>
            <w:shd w:val="clear" w:color="auto" w:fill="auto"/>
            <w:vAlign w:val="bottom"/>
          </w:tcPr>
          <w:p w14:paraId="71D41712" w14:textId="77777777" w:rsidR="006A3667" w:rsidRDefault="006A3667">
            <w:pPr>
              <w:rPr>
                <w:rFonts w:ascii="宋体"/>
              </w:rPr>
            </w:pPr>
          </w:p>
        </w:tc>
        <w:tc>
          <w:tcPr>
            <w:tcW w:w="50" w:type="pct"/>
            <w:shd w:val="clear" w:color="auto" w:fill="auto"/>
            <w:vAlign w:val="bottom"/>
          </w:tcPr>
          <w:p w14:paraId="71D41713" w14:textId="77777777" w:rsidR="006A3667" w:rsidRDefault="006A3667">
            <w:pPr>
              <w:rPr>
                <w:rFonts w:ascii="宋体"/>
              </w:rPr>
            </w:pPr>
          </w:p>
        </w:tc>
        <w:tc>
          <w:tcPr>
            <w:tcW w:w="610" w:type="pct"/>
            <w:shd w:val="clear" w:color="auto" w:fill="auto"/>
            <w:vAlign w:val="bottom"/>
          </w:tcPr>
          <w:p w14:paraId="71D41714" w14:textId="77777777" w:rsidR="006A3667" w:rsidRDefault="006A3667">
            <w:pPr>
              <w:rPr>
                <w:rFonts w:ascii="宋体"/>
              </w:rPr>
            </w:pPr>
          </w:p>
        </w:tc>
        <w:tc>
          <w:tcPr>
            <w:tcW w:w="5" w:type="pct"/>
            <w:shd w:val="clear" w:color="auto" w:fill="auto"/>
            <w:vAlign w:val="bottom"/>
          </w:tcPr>
          <w:p w14:paraId="71D41715" w14:textId="77777777" w:rsidR="006A3667" w:rsidRDefault="006A3667">
            <w:pPr>
              <w:rPr>
                <w:rFonts w:ascii="宋体"/>
              </w:rPr>
            </w:pPr>
          </w:p>
        </w:tc>
        <w:tc>
          <w:tcPr>
            <w:tcW w:w="5" w:type="pct"/>
            <w:shd w:val="clear" w:color="auto" w:fill="auto"/>
            <w:vAlign w:val="bottom"/>
          </w:tcPr>
          <w:p w14:paraId="71D41716" w14:textId="77777777" w:rsidR="006A3667" w:rsidRDefault="006A3667">
            <w:pPr>
              <w:rPr>
                <w:rFonts w:ascii="宋体"/>
              </w:rPr>
            </w:pPr>
          </w:p>
        </w:tc>
        <w:tc>
          <w:tcPr>
            <w:tcW w:w="19" w:type="pct"/>
            <w:shd w:val="clear" w:color="auto" w:fill="auto"/>
            <w:vAlign w:val="bottom"/>
          </w:tcPr>
          <w:p w14:paraId="71D41717" w14:textId="77777777" w:rsidR="006A3667" w:rsidRDefault="006A3667">
            <w:pPr>
              <w:rPr>
                <w:rFonts w:ascii="宋体"/>
              </w:rPr>
            </w:pPr>
          </w:p>
        </w:tc>
        <w:tc>
          <w:tcPr>
            <w:tcW w:w="5" w:type="pct"/>
            <w:shd w:val="clear" w:color="auto" w:fill="auto"/>
            <w:vAlign w:val="bottom"/>
          </w:tcPr>
          <w:p w14:paraId="71D41718" w14:textId="77777777" w:rsidR="006A3667" w:rsidRDefault="006A3667">
            <w:pPr>
              <w:rPr>
                <w:rFonts w:ascii="宋体"/>
              </w:rPr>
            </w:pPr>
          </w:p>
        </w:tc>
        <w:tc>
          <w:tcPr>
            <w:tcW w:w="50" w:type="pct"/>
            <w:shd w:val="clear" w:color="auto" w:fill="auto"/>
            <w:vAlign w:val="bottom"/>
          </w:tcPr>
          <w:p w14:paraId="71D41719" w14:textId="77777777" w:rsidR="006A3667" w:rsidRDefault="006A3667">
            <w:pPr>
              <w:rPr>
                <w:rFonts w:ascii="宋体"/>
              </w:rPr>
            </w:pPr>
          </w:p>
        </w:tc>
        <w:tc>
          <w:tcPr>
            <w:tcW w:w="625" w:type="pct"/>
            <w:shd w:val="clear" w:color="auto" w:fill="auto"/>
            <w:vAlign w:val="bottom"/>
          </w:tcPr>
          <w:p w14:paraId="71D4171A" w14:textId="77777777" w:rsidR="006A3667" w:rsidRDefault="006A3667">
            <w:pPr>
              <w:rPr>
                <w:rFonts w:ascii="宋体"/>
              </w:rPr>
            </w:pPr>
          </w:p>
        </w:tc>
        <w:tc>
          <w:tcPr>
            <w:tcW w:w="5" w:type="pct"/>
            <w:shd w:val="clear" w:color="auto" w:fill="auto"/>
            <w:vAlign w:val="bottom"/>
          </w:tcPr>
          <w:p w14:paraId="71D4171B" w14:textId="77777777" w:rsidR="006A3667" w:rsidRDefault="006A3667">
            <w:pPr>
              <w:rPr>
                <w:rFonts w:ascii="宋体"/>
              </w:rPr>
            </w:pPr>
          </w:p>
        </w:tc>
      </w:tr>
      <w:tr w:rsidR="006A3667" w14:paraId="71D4171E" w14:textId="77777777">
        <w:tc>
          <w:tcPr>
            <w:tcW w:w="0" w:type="auto"/>
            <w:gridSpan w:val="24"/>
            <w:shd w:val="clear" w:color="auto" w:fill="auto"/>
            <w:tcMar>
              <w:top w:w="40" w:type="dxa"/>
              <w:left w:w="20" w:type="dxa"/>
              <w:bottom w:w="40" w:type="dxa"/>
              <w:right w:w="20" w:type="dxa"/>
            </w:tcMar>
            <w:vAlign w:val="bottom"/>
          </w:tcPr>
          <w:p w14:paraId="71D4171D" w14:textId="77777777" w:rsidR="006A3667" w:rsidRDefault="00045F32">
            <w:pPr>
              <w:textAlignment w:val="bottom"/>
            </w:pPr>
            <w:r>
              <w:rPr>
                <w:rFonts w:ascii="Arial" w:eastAsia="宋体" w:hAnsi="Arial" w:cs="Arial"/>
                <w:b/>
                <w:bCs/>
                <w:color w:val="000000"/>
                <w:sz w:val="16"/>
                <w:szCs w:val="16"/>
              </w:rPr>
              <w:t>TABLE 36: ADVANCED &amp; STANDARDIZED APPROACHES RISK-WEIGHTED ASSETS ROLL-FORWARD</w:t>
            </w:r>
          </w:p>
        </w:tc>
      </w:tr>
      <w:tr w:rsidR="006A3667" w14:paraId="71D4172F" w14:textId="77777777">
        <w:trPr>
          <w:hidden/>
        </w:trPr>
        <w:tc>
          <w:tcPr>
            <w:tcW w:w="0" w:type="auto"/>
            <w:gridSpan w:val="3"/>
            <w:shd w:val="clear" w:color="auto" w:fill="auto"/>
            <w:vAlign w:val="bottom"/>
          </w:tcPr>
          <w:p w14:paraId="71D4171F" w14:textId="77777777" w:rsidR="006A3667" w:rsidRDefault="006A3667">
            <w:pPr>
              <w:rPr>
                <w:rFonts w:ascii="宋体"/>
                <w:vanish/>
              </w:rPr>
            </w:pPr>
          </w:p>
        </w:tc>
        <w:tc>
          <w:tcPr>
            <w:tcW w:w="0" w:type="auto"/>
            <w:gridSpan w:val="3"/>
            <w:shd w:val="clear" w:color="auto" w:fill="auto"/>
            <w:vAlign w:val="bottom"/>
          </w:tcPr>
          <w:p w14:paraId="71D41720" w14:textId="77777777" w:rsidR="006A3667" w:rsidRDefault="006A3667">
            <w:pPr>
              <w:rPr>
                <w:rFonts w:ascii="宋体"/>
                <w:vanish/>
              </w:rPr>
            </w:pPr>
          </w:p>
        </w:tc>
        <w:tc>
          <w:tcPr>
            <w:tcW w:w="0" w:type="auto"/>
            <w:gridSpan w:val="3"/>
            <w:shd w:val="clear" w:color="auto" w:fill="auto"/>
            <w:vAlign w:val="bottom"/>
          </w:tcPr>
          <w:p w14:paraId="71D41721" w14:textId="77777777" w:rsidR="006A3667" w:rsidRDefault="006A3667">
            <w:pPr>
              <w:rPr>
                <w:rFonts w:ascii="宋体"/>
                <w:vanish/>
              </w:rPr>
            </w:pPr>
          </w:p>
        </w:tc>
        <w:tc>
          <w:tcPr>
            <w:tcW w:w="0" w:type="auto"/>
            <w:gridSpan w:val="3"/>
            <w:shd w:val="clear" w:color="auto" w:fill="auto"/>
            <w:vAlign w:val="bottom"/>
          </w:tcPr>
          <w:p w14:paraId="71D41722" w14:textId="77777777" w:rsidR="006A3667" w:rsidRDefault="006A3667">
            <w:pPr>
              <w:rPr>
                <w:rFonts w:ascii="宋体"/>
                <w:vanish/>
              </w:rPr>
            </w:pPr>
          </w:p>
        </w:tc>
        <w:tc>
          <w:tcPr>
            <w:tcW w:w="0" w:type="auto"/>
            <w:shd w:val="clear" w:color="auto" w:fill="auto"/>
            <w:vAlign w:val="bottom"/>
          </w:tcPr>
          <w:p w14:paraId="71D41723" w14:textId="77777777" w:rsidR="006A3667" w:rsidRDefault="006A3667">
            <w:pPr>
              <w:rPr>
                <w:rFonts w:ascii="宋体"/>
              </w:rPr>
            </w:pPr>
          </w:p>
        </w:tc>
        <w:tc>
          <w:tcPr>
            <w:tcW w:w="0" w:type="auto"/>
            <w:shd w:val="clear" w:color="auto" w:fill="auto"/>
            <w:vAlign w:val="bottom"/>
          </w:tcPr>
          <w:p w14:paraId="71D41724" w14:textId="77777777" w:rsidR="006A3667" w:rsidRDefault="006A3667">
            <w:pPr>
              <w:rPr>
                <w:rFonts w:ascii="宋体"/>
              </w:rPr>
            </w:pPr>
          </w:p>
        </w:tc>
        <w:tc>
          <w:tcPr>
            <w:tcW w:w="0" w:type="auto"/>
            <w:shd w:val="clear" w:color="auto" w:fill="auto"/>
            <w:vAlign w:val="bottom"/>
          </w:tcPr>
          <w:p w14:paraId="71D41725" w14:textId="77777777" w:rsidR="006A3667" w:rsidRDefault="006A3667">
            <w:pPr>
              <w:rPr>
                <w:rFonts w:ascii="宋体"/>
              </w:rPr>
            </w:pPr>
          </w:p>
        </w:tc>
        <w:tc>
          <w:tcPr>
            <w:tcW w:w="0" w:type="auto"/>
            <w:shd w:val="clear" w:color="auto" w:fill="auto"/>
            <w:vAlign w:val="bottom"/>
          </w:tcPr>
          <w:p w14:paraId="71D41726" w14:textId="77777777" w:rsidR="006A3667" w:rsidRDefault="006A3667">
            <w:pPr>
              <w:rPr>
                <w:rFonts w:ascii="宋体"/>
              </w:rPr>
            </w:pPr>
          </w:p>
        </w:tc>
        <w:tc>
          <w:tcPr>
            <w:tcW w:w="0" w:type="auto"/>
            <w:shd w:val="clear" w:color="auto" w:fill="auto"/>
            <w:vAlign w:val="bottom"/>
          </w:tcPr>
          <w:p w14:paraId="71D41727" w14:textId="77777777" w:rsidR="006A3667" w:rsidRDefault="006A3667">
            <w:pPr>
              <w:rPr>
                <w:rFonts w:ascii="宋体"/>
              </w:rPr>
            </w:pPr>
          </w:p>
        </w:tc>
        <w:tc>
          <w:tcPr>
            <w:tcW w:w="0" w:type="auto"/>
            <w:shd w:val="clear" w:color="auto" w:fill="auto"/>
            <w:vAlign w:val="bottom"/>
          </w:tcPr>
          <w:p w14:paraId="71D41728" w14:textId="77777777" w:rsidR="006A3667" w:rsidRDefault="006A3667">
            <w:pPr>
              <w:rPr>
                <w:rFonts w:ascii="宋体"/>
              </w:rPr>
            </w:pPr>
          </w:p>
        </w:tc>
        <w:tc>
          <w:tcPr>
            <w:tcW w:w="0" w:type="auto"/>
            <w:shd w:val="clear" w:color="auto" w:fill="auto"/>
            <w:vAlign w:val="bottom"/>
          </w:tcPr>
          <w:p w14:paraId="71D41729" w14:textId="77777777" w:rsidR="006A3667" w:rsidRDefault="006A3667">
            <w:pPr>
              <w:rPr>
                <w:rFonts w:ascii="宋体"/>
              </w:rPr>
            </w:pPr>
          </w:p>
        </w:tc>
        <w:tc>
          <w:tcPr>
            <w:tcW w:w="0" w:type="auto"/>
            <w:shd w:val="clear" w:color="auto" w:fill="auto"/>
            <w:vAlign w:val="bottom"/>
          </w:tcPr>
          <w:p w14:paraId="71D4172A" w14:textId="77777777" w:rsidR="006A3667" w:rsidRDefault="006A3667">
            <w:pPr>
              <w:rPr>
                <w:rFonts w:ascii="宋体"/>
              </w:rPr>
            </w:pPr>
          </w:p>
        </w:tc>
        <w:tc>
          <w:tcPr>
            <w:tcW w:w="0" w:type="auto"/>
            <w:shd w:val="clear" w:color="auto" w:fill="auto"/>
            <w:vAlign w:val="bottom"/>
          </w:tcPr>
          <w:p w14:paraId="71D4172B" w14:textId="77777777" w:rsidR="006A3667" w:rsidRDefault="006A3667">
            <w:pPr>
              <w:rPr>
                <w:rFonts w:ascii="宋体"/>
              </w:rPr>
            </w:pPr>
          </w:p>
        </w:tc>
        <w:tc>
          <w:tcPr>
            <w:tcW w:w="0" w:type="auto"/>
            <w:shd w:val="clear" w:color="auto" w:fill="auto"/>
            <w:vAlign w:val="bottom"/>
          </w:tcPr>
          <w:p w14:paraId="71D4172C" w14:textId="77777777" w:rsidR="006A3667" w:rsidRDefault="006A3667">
            <w:pPr>
              <w:rPr>
                <w:rFonts w:ascii="宋体"/>
              </w:rPr>
            </w:pPr>
          </w:p>
        </w:tc>
        <w:tc>
          <w:tcPr>
            <w:tcW w:w="0" w:type="auto"/>
            <w:shd w:val="clear" w:color="auto" w:fill="auto"/>
            <w:vAlign w:val="bottom"/>
          </w:tcPr>
          <w:p w14:paraId="71D4172D" w14:textId="77777777" w:rsidR="006A3667" w:rsidRDefault="006A3667">
            <w:pPr>
              <w:rPr>
                <w:rFonts w:ascii="宋体"/>
              </w:rPr>
            </w:pPr>
          </w:p>
        </w:tc>
        <w:tc>
          <w:tcPr>
            <w:tcW w:w="0" w:type="auto"/>
            <w:shd w:val="clear" w:color="auto" w:fill="auto"/>
            <w:vAlign w:val="bottom"/>
          </w:tcPr>
          <w:p w14:paraId="71D4172E" w14:textId="77777777" w:rsidR="006A3667" w:rsidRDefault="006A3667">
            <w:pPr>
              <w:rPr>
                <w:rFonts w:ascii="宋体"/>
              </w:rPr>
            </w:pPr>
          </w:p>
        </w:tc>
      </w:tr>
      <w:tr w:rsidR="006A3667" w14:paraId="71D41738" w14:textId="77777777">
        <w:tc>
          <w:tcPr>
            <w:tcW w:w="0" w:type="auto"/>
            <w:gridSpan w:val="3"/>
            <w:shd w:val="clear" w:color="auto" w:fill="FFFFFF"/>
            <w:tcMar>
              <w:top w:w="40" w:type="dxa"/>
              <w:left w:w="20" w:type="dxa"/>
              <w:bottom w:w="40" w:type="dxa"/>
              <w:right w:w="20" w:type="dxa"/>
            </w:tcMar>
            <w:vAlign w:val="bottom"/>
          </w:tcPr>
          <w:p w14:paraId="71D41730"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3"/>
            <w:shd w:val="clear" w:color="auto" w:fill="FFFFFF"/>
            <w:tcMar>
              <w:top w:w="40" w:type="dxa"/>
              <w:left w:w="20" w:type="dxa"/>
              <w:bottom w:w="40" w:type="dxa"/>
              <w:right w:w="20" w:type="dxa"/>
            </w:tcMar>
            <w:vAlign w:val="bottom"/>
          </w:tcPr>
          <w:p w14:paraId="71D41731" w14:textId="77777777" w:rsidR="006A3667" w:rsidRDefault="00045F32">
            <w:pPr>
              <w:jc w:val="center"/>
              <w:textAlignment w:val="bottom"/>
            </w:pPr>
            <w:r>
              <w:rPr>
                <w:rFonts w:ascii="Arial" w:eastAsia="宋体" w:hAnsi="Arial" w:cs="Arial"/>
                <w:b/>
                <w:bCs/>
                <w:color w:val="000000"/>
                <w:sz w:val="13"/>
                <w:szCs w:val="13"/>
              </w:rPr>
              <w:t>Basel III</w:t>
            </w:r>
            <w:r>
              <w:rPr>
                <w:rFonts w:ascii="Arial" w:eastAsia="宋体" w:hAnsi="Arial" w:cs="Arial"/>
                <w:b/>
                <w:bCs/>
                <w:color w:val="000000"/>
                <w:sz w:val="13"/>
                <w:szCs w:val="13"/>
              </w:rPr>
              <w:br/>
              <w:t>Advanced Approaches September 30, 2022</w:t>
            </w:r>
          </w:p>
        </w:tc>
        <w:tc>
          <w:tcPr>
            <w:tcW w:w="0" w:type="auto"/>
            <w:gridSpan w:val="3"/>
            <w:shd w:val="clear" w:color="auto" w:fill="FFFFFF"/>
            <w:tcMar>
              <w:top w:w="0" w:type="dxa"/>
              <w:left w:w="20" w:type="dxa"/>
              <w:bottom w:w="0" w:type="dxa"/>
              <w:right w:w="20" w:type="dxa"/>
            </w:tcMar>
            <w:vAlign w:val="bottom"/>
          </w:tcPr>
          <w:p w14:paraId="71D41732"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1733" w14:textId="77777777" w:rsidR="006A3667" w:rsidRDefault="00045F32">
            <w:pPr>
              <w:jc w:val="center"/>
              <w:textAlignment w:val="bottom"/>
            </w:pPr>
            <w:r>
              <w:rPr>
                <w:rFonts w:ascii="Arial" w:eastAsia="宋体" w:hAnsi="Arial" w:cs="Arial"/>
                <w:b/>
                <w:bCs/>
                <w:color w:val="000000"/>
                <w:sz w:val="13"/>
                <w:szCs w:val="13"/>
              </w:rPr>
              <w:t>Basel III Standardized Approach September 30, 2022</w:t>
            </w:r>
          </w:p>
        </w:tc>
        <w:tc>
          <w:tcPr>
            <w:tcW w:w="0" w:type="auto"/>
            <w:gridSpan w:val="3"/>
            <w:shd w:val="clear" w:color="auto" w:fill="FFFFFF"/>
            <w:tcMar>
              <w:top w:w="0" w:type="dxa"/>
              <w:left w:w="20" w:type="dxa"/>
              <w:bottom w:w="0" w:type="dxa"/>
              <w:right w:w="20" w:type="dxa"/>
            </w:tcMar>
            <w:vAlign w:val="bottom"/>
          </w:tcPr>
          <w:p w14:paraId="71D41734"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1735" w14:textId="77777777" w:rsidR="006A3667" w:rsidRDefault="00045F32">
            <w:pPr>
              <w:jc w:val="center"/>
              <w:textAlignment w:val="bottom"/>
            </w:pPr>
            <w:r>
              <w:rPr>
                <w:rFonts w:ascii="Arial" w:eastAsia="宋体" w:hAnsi="Arial" w:cs="Arial"/>
                <w:b/>
                <w:bCs/>
                <w:color w:val="000000"/>
                <w:sz w:val="13"/>
                <w:szCs w:val="13"/>
              </w:rPr>
              <w:t>Basel III</w:t>
            </w:r>
            <w:r>
              <w:rPr>
                <w:rFonts w:ascii="Arial" w:eastAsia="宋体" w:hAnsi="Arial" w:cs="Arial"/>
                <w:b/>
                <w:bCs/>
                <w:color w:val="000000"/>
                <w:sz w:val="13"/>
                <w:szCs w:val="13"/>
              </w:rPr>
              <w:br/>
              <w:t>Advanced Approaches December 31, 2021</w:t>
            </w:r>
          </w:p>
        </w:tc>
        <w:tc>
          <w:tcPr>
            <w:tcW w:w="0" w:type="auto"/>
            <w:gridSpan w:val="3"/>
            <w:shd w:val="clear" w:color="auto" w:fill="FFFFFF"/>
            <w:tcMar>
              <w:top w:w="0" w:type="dxa"/>
              <w:left w:w="20" w:type="dxa"/>
              <w:bottom w:w="0" w:type="dxa"/>
              <w:right w:w="20" w:type="dxa"/>
            </w:tcMar>
            <w:vAlign w:val="bottom"/>
          </w:tcPr>
          <w:p w14:paraId="71D41736"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1737" w14:textId="77777777" w:rsidR="006A3667" w:rsidRDefault="00045F32">
            <w:pPr>
              <w:jc w:val="center"/>
              <w:textAlignment w:val="bottom"/>
            </w:pPr>
            <w:r>
              <w:rPr>
                <w:rFonts w:ascii="Arial" w:eastAsia="宋体" w:hAnsi="Arial" w:cs="Arial"/>
                <w:b/>
                <w:bCs/>
                <w:color w:val="000000"/>
                <w:sz w:val="13"/>
                <w:szCs w:val="13"/>
              </w:rPr>
              <w:t>Basel III</w:t>
            </w:r>
            <w:r>
              <w:rPr>
                <w:rFonts w:ascii="Arial" w:eastAsia="宋体" w:hAnsi="Arial" w:cs="Arial"/>
                <w:b/>
                <w:bCs/>
                <w:color w:val="000000"/>
                <w:sz w:val="13"/>
                <w:szCs w:val="13"/>
              </w:rPr>
              <w:br/>
              <w:t>Standardized Approach</w:t>
            </w:r>
            <w:r>
              <w:rPr>
                <w:rFonts w:ascii="Arial" w:eastAsia="宋体" w:hAnsi="Arial" w:cs="Arial"/>
                <w:b/>
                <w:bCs/>
                <w:color w:val="000000"/>
                <w:sz w:val="13"/>
                <w:szCs w:val="13"/>
              </w:rPr>
              <w:br/>
              <w:t>December 31, 2021</w:t>
            </w:r>
          </w:p>
        </w:tc>
      </w:tr>
      <w:tr w:rsidR="006A3667" w14:paraId="71D41749" w14:textId="77777777">
        <w:tc>
          <w:tcPr>
            <w:tcW w:w="0" w:type="auto"/>
            <w:gridSpan w:val="3"/>
            <w:shd w:val="clear" w:color="auto" w:fill="CCEEFF"/>
            <w:tcMar>
              <w:top w:w="40" w:type="dxa"/>
              <w:left w:w="20" w:type="dxa"/>
              <w:bottom w:w="40" w:type="dxa"/>
              <w:right w:w="20" w:type="dxa"/>
            </w:tcMar>
            <w:vAlign w:val="bottom"/>
          </w:tcPr>
          <w:p w14:paraId="71D41739" w14:textId="77777777" w:rsidR="006A3667" w:rsidRDefault="00045F32">
            <w:pPr>
              <w:textAlignment w:val="bottom"/>
            </w:pPr>
            <w:r>
              <w:rPr>
                <w:rFonts w:ascii="Arial" w:eastAsia="宋体" w:hAnsi="Arial" w:cs="Arial"/>
                <w:color w:val="000000"/>
                <w:sz w:val="13"/>
                <w:szCs w:val="13"/>
              </w:rPr>
              <w:t>Total risk-weighted assets,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173A"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73B" w14:textId="77777777" w:rsidR="006A3667" w:rsidRDefault="00045F32">
            <w:pPr>
              <w:jc w:val="right"/>
              <w:textAlignment w:val="bottom"/>
            </w:pPr>
            <w:r>
              <w:rPr>
                <w:rFonts w:ascii="Arial" w:eastAsia="宋体" w:hAnsi="Arial" w:cs="Arial"/>
                <w:b/>
                <w:bCs/>
                <w:color w:val="000000"/>
                <w:sz w:val="13"/>
                <w:szCs w:val="13"/>
              </w:rPr>
              <w:t>111,398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73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3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73E"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73F" w14:textId="77777777" w:rsidR="006A3667" w:rsidRDefault="00045F32">
            <w:pPr>
              <w:jc w:val="right"/>
              <w:textAlignment w:val="bottom"/>
            </w:pPr>
            <w:r>
              <w:rPr>
                <w:rFonts w:ascii="Arial" w:eastAsia="宋体" w:hAnsi="Arial" w:cs="Arial"/>
                <w:b/>
                <w:bCs/>
                <w:color w:val="000000"/>
                <w:sz w:val="13"/>
                <w:szCs w:val="13"/>
              </w:rPr>
              <w:t>111,667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7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4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742"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743" w14:textId="77777777" w:rsidR="006A3667" w:rsidRDefault="00045F32">
            <w:pPr>
              <w:jc w:val="right"/>
              <w:textAlignment w:val="bottom"/>
            </w:pPr>
            <w:r>
              <w:rPr>
                <w:rFonts w:ascii="Arial" w:eastAsia="宋体" w:hAnsi="Arial" w:cs="Arial"/>
                <w:color w:val="000000"/>
                <w:sz w:val="13"/>
                <w:szCs w:val="13"/>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7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4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746"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747" w14:textId="77777777" w:rsidR="006A3667" w:rsidRDefault="00045F32">
            <w:pPr>
              <w:jc w:val="right"/>
              <w:textAlignment w:val="bottom"/>
            </w:pPr>
            <w:r>
              <w:rPr>
                <w:rFonts w:ascii="Arial" w:eastAsia="宋体" w:hAnsi="Arial" w:cs="Arial"/>
                <w:color w:val="000000"/>
                <w:sz w:val="13"/>
                <w:szCs w:val="13"/>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748" w14:textId="77777777" w:rsidR="006A3667" w:rsidRDefault="006A3667">
            <w:pPr>
              <w:jc w:val="right"/>
              <w:rPr>
                <w:rFonts w:ascii="宋体"/>
              </w:rPr>
            </w:pPr>
          </w:p>
        </w:tc>
      </w:tr>
      <w:tr w:rsidR="006A3667" w14:paraId="71D41752" w14:textId="77777777">
        <w:tc>
          <w:tcPr>
            <w:tcW w:w="0" w:type="auto"/>
            <w:gridSpan w:val="3"/>
            <w:shd w:val="clear" w:color="auto" w:fill="FFFFFF"/>
            <w:tcMar>
              <w:top w:w="40" w:type="dxa"/>
              <w:left w:w="20" w:type="dxa"/>
              <w:bottom w:w="40" w:type="dxa"/>
              <w:right w:w="20" w:type="dxa"/>
            </w:tcMar>
            <w:vAlign w:val="bottom"/>
          </w:tcPr>
          <w:p w14:paraId="71D4174A" w14:textId="77777777" w:rsidR="006A3667" w:rsidRDefault="00045F32">
            <w:pPr>
              <w:textAlignment w:val="bottom"/>
            </w:pPr>
            <w:r>
              <w:rPr>
                <w:rFonts w:ascii="Arial" w:eastAsia="宋体" w:hAnsi="Arial" w:cs="Arial"/>
                <w:color w:val="000000"/>
                <w:sz w:val="13"/>
                <w:szCs w:val="13"/>
              </w:rPr>
              <w:t>Changes in credit risk-weighted assets:</w:t>
            </w:r>
          </w:p>
        </w:tc>
        <w:tc>
          <w:tcPr>
            <w:tcW w:w="0" w:type="auto"/>
            <w:gridSpan w:val="3"/>
            <w:shd w:val="clear" w:color="auto" w:fill="FFFFFF"/>
            <w:tcMar>
              <w:top w:w="0" w:type="dxa"/>
              <w:left w:w="20" w:type="dxa"/>
              <w:bottom w:w="0" w:type="dxa"/>
              <w:right w:w="20" w:type="dxa"/>
            </w:tcMar>
            <w:vAlign w:val="bottom"/>
          </w:tcPr>
          <w:p w14:paraId="71D417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74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74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74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74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75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751" w14:textId="77777777" w:rsidR="006A3667" w:rsidRDefault="006A3667">
            <w:pPr>
              <w:rPr>
                <w:rFonts w:ascii="宋体"/>
              </w:rPr>
            </w:pPr>
          </w:p>
        </w:tc>
      </w:tr>
      <w:tr w:rsidR="006A3667" w14:paraId="71D4175F" w14:textId="77777777">
        <w:tc>
          <w:tcPr>
            <w:tcW w:w="0" w:type="auto"/>
            <w:gridSpan w:val="3"/>
            <w:shd w:val="clear" w:color="auto" w:fill="CCEEFF"/>
            <w:tcMar>
              <w:top w:w="40" w:type="dxa"/>
              <w:left w:w="155" w:type="dxa"/>
              <w:bottom w:w="40" w:type="dxa"/>
              <w:right w:w="20" w:type="dxa"/>
            </w:tcMar>
            <w:vAlign w:val="bottom"/>
          </w:tcPr>
          <w:p w14:paraId="71D41753" w14:textId="77777777" w:rsidR="006A3667" w:rsidRDefault="00045F32">
            <w:pPr>
              <w:textAlignment w:val="bottom"/>
            </w:pPr>
            <w:r>
              <w:rPr>
                <w:rFonts w:ascii="Arial" w:eastAsia="宋体" w:hAnsi="Arial" w:cs="Arial"/>
                <w:color w:val="000000"/>
                <w:sz w:val="13"/>
                <w:szCs w:val="13"/>
              </w:rPr>
              <w:t>Net increase (decrease) in investment securities-wholesale</w:t>
            </w:r>
          </w:p>
        </w:tc>
        <w:tc>
          <w:tcPr>
            <w:tcW w:w="0" w:type="auto"/>
            <w:gridSpan w:val="2"/>
            <w:shd w:val="clear" w:color="auto" w:fill="CCEEFF"/>
            <w:tcMar>
              <w:top w:w="40" w:type="dxa"/>
              <w:left w:w="20" w:type="dxa"/>
              <w:bottom w:w="40" w:type="dxa"/>
              <w:right w:w="0" w:type="dxa"/>
            </w:tcMar>
            <w:vAlign w:val="bottom"/>
          </w:tcPr>
          <w:p w14:paraId="71D41754" w14:textId="77777777" w:rsidR="006A3667" w:rsidRDefault="00045F32">
            <w:pPr>
              <w:jc w:val="right"/>
              <w:textAlignment w:val="bottom"/>
            </w:pPr>
            <w:r>
              <w:rPr>
                <w:rFonts w:ascii="Arial" w:eastAsia="宋体" w:hAnsi="Arial" w:cs="Arial"/>
                <w:b/>
                <w:bCs/>
                <w:color w:val="000000"/>
                <w:sz w:val="13"/>
                <w:szCs w:val="13"/>
              </w:rPr>
              <w:t>(4,504)</w:t>
            </w:r>
          </w:p>
        </w:tc>
        <w:tc>
          <w:tcPr>
            <w:tcW w:w="0" w:type="auto"/>
            <w:shd w:val="clear" w:color="auto" w:fill="CCEEFF"/>
            <w:tcMar>
              <w:top w:w="40" w:type="dxa"/>
              <w:left w:w="0" w:type="dxa"/>
              <w:bottom w:w="40" w:type="dxa"/>
              <w:right w:w="20" w:type="dxa"/>
            </w:tcMar>
            <w:vAlign w:val="bottom"/>
          </w:tcPr>
          <w:p w14:paraId="71D4175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5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57" w14:textId="77777777" w:rsidR="006A3667" w:rsidRDefault="00045F32">
            <w:pPr>
              <w:jc w:val="right"/>
              <w:textAlignment w:val="bottom"/>
            </w:pPr>
            <w:r>
              <w:rPr>
                <w:rFonts w:ascii="Arial" w:eastAsia="宋体" w:hAnsi="Arial" w:cs="Arial"/>
                <w:b/>
                <w:bCs/>
                <w:color w:val="000000"/>
                <w:sz w:val="13"/>
                <w:szCs w:val="13"/>
              </w:rPr>
              <w:t>(3,260)</w:t>
            </w:r>
          </w:p>
        </w:tc>
        <w:tc>
          <w:tcPr>
            <w:tcW w:w="0" w:type="auto"/>
            <w:shd w:val="clear" w:color="auto" w:fill="CCEEFF"/>
            <w:tcMar>
              <w:top w:w="40" w:type="dxa"/>
              <w:left w:w="0" w:type="dxa"/>
              <w:bottom w:w="40" w:type="dxa"/>
              <w:right w:w="20" w:type="dxa"/>
            </w:tcMar>
            <w:vAlign w:val="bottom"/>
          </w:tcPr>
          <w:p w14:paraId="71D417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5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5A" w14:textId="77777777" w:rsidR="006A3667" w:rsidRDefault="00045F32">
            <w:pPr>
              <w:jc w:val="right"/>
              <w:textAlignment w:val="bottom"/>
            </w:pPr>
            <w:r>
              <w:rPr>
                <w:rFonts w:ascii="Arial" w:eastAsia="宋体" w:hAnsi="Arial" w:cs="Arial"/>
                <w:color w:val="000000"/>
                <w:sz w:val="13"/>
                <w:szCs w:val="13"/>
              </w:rPr>
              <w:t>(476)</w:t>
            </w:r>
          </w:p>
        </w:tc>
        <w:tc>
          <w:tcPr>
            <w:tcW w:w="0" w:type="auto"/>
            <w:shd w:val="clear" w:color="auto" w:fill="CCEEFF"/>
            <w:tcMar>
              <w:top w:w="40" w:type="dxa"/>
              <w:left w:w="0" w:type="dxa"/>
              <w:bottom w:w="40" w:type="dxa"/>
              <w:right w:w="20" w:type="dxa"/>
            </w:tcMar>
            <w:vAlign w:val="bottom"/>
          </w:tcPr>
          <w:p w14:paraId="71D417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5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5D" w14:textId="77777777" w:rsidR="006A3667" w:rsidRDefault="00045F32">
            <w:pPr>
              <w:jc w:val="right"/>
              <w:textAlignment w:val="bottom"/>
            </w:pPr>
            <w:r>
              <w:rPr>
                <w:rFonts w:ascii="Arial" w:eastAsia="宋体" w:hAnsi="Arial" w:cs="Arial"/>
                <w:color w:val="000000"/>
                <w:sz w:val="13"/>
                <w:szCs w:val="13"/>
              </w:rPr>
              <w:t>(707)</w:t>
            </w:r>
          </w:p>
        </w:tc>
        <w:tc>
          <w:tcPr>
            <w:tcW w:w="0" w:type="auto"/>
            <w:shd w:val="clear" w:color="auto" w:fill="CCEEFF"/>
            <w:tcMar>
              <w:top w:w="40" w:type="dxa"/>
              <w:left w:w="0" w:type="dxa"/>
              <w:bottom w:w="40" w:type="dxa"/>
              <w:right w:w="20" w:type="dxa"/>
            </w:tcMar>
            <w:vAlign w:val="bottom"/>
          </w:tcPr>
          <w:p w14:paraId="71D4175E" w14:textId="77777777" w:rsidR="006A3667" w:rsidRDefault="006A3667">
            <w:pPr>
              <w:jc w:val="right"/>
              <w:rPr>
                <w:rFonts w:ascii="宋体"/>
              </w:rPr>
            </w:pPr>
          </w:p>
        </w:tc>
      </w:tr>
      <w:tr w:rsidR="006A3667" w14:paraId="71D4176C" w14:textId="77777777">
        <w:tc>
          <w:tcPr>
            <w:tcW w:w="0" w:type="auto"/>
            <w:gridSpan w:val="3"/>
            <w:shd w:val="clear" w:color="auto" w:fill="FFFFFF"/>
            <w:tcMar>
              <w:top w:w="40" w:type="dxa"/>
              <w:left w:w="155" w:type="dxa"/>
              <w:bottom w:w="40" w:type="dxa"/>
              <w:right w:w="20" w:type="dxa"/>
            </w:tcMar>
            <w:vAlign w:val="bottom"/>
          </w:tcPr>
          <w:p w14:paraId="71D41760" w14:textId="77777777" w:rsidR="006A3667" w:rsidRDefault="00045F32">
            <w:pPr>
              <w:textAlignment w:val="bottom"/>
            </w:pPr>
            <w:r>
              <w:rPr>
                <w:rFonts w:ascii="Arial" w:eastAsia="宋体" w:hAnsi="Arial" w:cs="Arial"/>
                <w:color w:val="000000"/>
                <w:sz w:val="13"/>
                <w:szCs w:val="13"/>
              </w:rPr>
              <w:t>Net increase (decrease) in loans</w:t>
            </w:r>
          </w:p>
        </w:tc>
        <w:tc>
          <w:tcPr>
            <w:tcW w:w="0" w:type="auto"/>
            <w:gridSpan w:val="2"/>
            <w:shd w:val="clear" w:color="auto" w:fill="FFFFFF"/>
            <w:tcMar>
              <w:top w:w="40" w:type="dxa"/>
              <w:left w:w="20" w:type="dxa"/>
              <w:bottom w:w="40" w:type="dxa"/>
              <w:right w:w="0" w:type="dxa"/>
            </w:tcMar>
            <w:vAlign w:val="bottom"/>
          </w:tcPr>
          <w:p w14:paraId="71D41761" w14:textId="77777777" w:rsidR="006A3667" w:rsidRDefault="00045F32">
            <w:pPr>
              <w:jc w:val="right"/>
              <w:textAlignment w:val="bottom"/>
            </w:pPr>
            <w:r>
              <w:rPr>
                <w:rFonts w:ascii="Arial" w:eastAsia="宋体" w:hAnsi="Arial" w:cs="Arial"/>
                <w:b/>
                <w:bCs/>
                <w:color w:val="000000"/>
                <w:sz w:val="13"/>
                <w:szCs w:val="13"/>
              </w:rPr>
              <w:t>(991)</w:t>
            </w:r>
          </w:p>
        </w:tc>
        <w:tc>
          <w:tcPr>
            <w:tcW w:w="0" w:type="auto"/>
            <w:shd w:val="clear" w:color="auto" w:fill="FFFFFF"/>
            <w:tcMar>
              <w:top w:w="40" w:type="dxa"/>
              <w:left w:w="0" w:type="dxa"/>
              <w:bottom w:w="40" w:type="dxa"/>
              <w:right w:w="20" w:type="dxa"/>
            </w:tcMar>
            <w:vAlign w:val="bottom"/>
          </w:tcPr>
          <w:p w14:paraId="71D417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6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64" w14:textId="77777777" w:rsidR="006A3667" w:rsidRDefault="00045F32">
            <w:pPr>
              <w:jc w:val="right"/>
              <w:textAlignment w:val="bottom"/>
            </w:pPr>
            <w:r>
              <w:rPr>
                <w:rFonts w:ascii="Arial" w:eastAsia="宋体" w:hAnsi="Arial" w:cs="Arial"/>
                <w:b/>
                <w:bCs/>
                <w:color w:val="000000"/>
                <w:sz w:val="13"/>
                <w:szCs w:val="13"/>
              </w:rPr>
              <w:t>(1,116)</w:t>
            </w:r>
          </w:p>
        </w:tc>
        <w:tc>
          <w:tcPr>
            <w:tcW w:w="0" w:type="auto"/>
            <w:shd w:val="clear" w:color="auto" w:fill="FFFFFF"/>
            <w:tcMar>
              <w:top w:w="40" w:type="dxa"/>
              <w:left w:w="0" w:type="dxa"/>
              <w:bottom w:w="40" w:type="dxa"/>
              <w:right w:w="20" w:type="dxa"/>
            </w:tcMar>
            <w:vAlign w:val="bottom"/>
          </w:tcPr>
          <w:p w14:paraId="71D4176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6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67" w14:textId="77777777" w:rsidR="006A3667" w:rsidRDefault="00045F32">
            <w:pPr>
              <w:jc w:val="right"/>
              <w:textAlignment w:val="bottom"/>
            </w:pPr>
            <w:r>
              <w:rPr>
                <w:rFonts w:ascii="Arial" w:eastAsia="宋体" w:hAnsi="Arial" w:cs="Arial"/>
                <w:color w:val="000000"/>
                <w:sz w:val="13"/>
                <w:szCs w:val="13"/>
              </w:rPr>
              <w:t>2,017 </w:t>
            </w:r>
          </w:p>
        </w:tc>
        <w:tc>
          <w:tcPr>
            <w:tcW w:w="0" w:type="auto"/>
            <w:shd w:val="clear" w:color="auto" w:fill="FFFFFF"/>
            <w:tcMar>
              <w:top w:w="40" w:type="dxa"/>
              <w:left w:w="0" w:type="dxa"/>
              <w:bottom w:w="40" w:type="dxa"/>
              <w:right w:w="20" w:type="dxa"/>
            </w:tcMar>
            <w:vAlign w:val="bottom"/>
          </w:tcPr>
          <w:p w14:paraId="71D4176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6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6A" w14:textId="77777777" w:rsidR="006A3667" w:rsidRDefault="00045F32">
            <w:pPr>
              <w:jc w:val="right"/>
              <w:textAlignment w:val="bottom"/>
            </w:pPr>
            <w:r>
              <w:rPr>
                <w:rFonts w:ascii="Arial" w:eastAsia="宋体" w:hAnsi="Arial" w:cs="Arial"/>
                <w:color w:val="000000"/>
                <w:sz w:val="13"/>
                <w:szCs w:val="13"/>
              </w:rPr>
              <w:t>946 </w:t>
            </w:r>
          </w:p>
        </w:tc>
        <w:tc>
          <w:tcPr>
            <w:tcW w:w="0" w:type="auto"/>
            <w:shd w:val="clear" w:color="auto" w:fill="FFFFFF"/>
            <w:tcMar>
              <w:top w:w="40" w:type="dxa"/>
              <w:left w:w="0" w:type="dxa"/>
              <w:bottom w:w="40" w:type="dxa"/>
              <w:right w:w="20" w:type="dxa"/>
            </w:tcMar>
            <w:vAlign w:val="bottom"/>
          </w:tcPr>
          <w:p w14:paraId="71D4176B" w14:textId="77777777" w:rsidR="006A3667" w:rsidRDefault="006A3667">
            <w:pPr>
              <w:jc w:val="right"/>
              <w:rPr>
                <w:rFonts w:ascii="宋体"/>
              </w:rPr>
            </w:pPr>
          </w:p>
        </w:tc>
      </w:tr>
      <w:tr w:rsidR="006A3667" w14:paraId="71D41779" w14:textId="77777777">
        <w:tc>
          <w:tcPr>
            <w:tcW w:w="0" w:type="auto"/>
            <w:gridSpan w:val="3"/>
            <w:shd w:val="clear" w:color="auto" w:fill="CCEEFF"/>
            <w:tcMar>
              <w:top w:w="40" w:type="dxa"/>
              <w:left w:w="155" w:type="dxa"/>
              <w:bottom w:w="40" w:type="dxa"/>
              <w:right w:w="20" w:type="dxa"/>
            </w:tcMar>
            <w:vAlign w:val="bottom"/>
          </w:tcPr>
          <w:p w14:paraId="71D4176D" w14:textId="77777777" w:rsidR="006A3667" w:rsidRDefault="00045F32">
            <w:pPr>
              <w:textAlignment w:val="bottom"/>
            </w:pPr>
            <w:r>
              <w:rPr>
                <w:rFonts w:ascii="Arial" w:eastAsia="宋体" w:hAnsi="Arial" w:cs="Arial"/>
                <w:color w:val="000000"/>
                <w:sz w:val="13"/>
                <w:szCs w:val="13"/>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71D4176E" w14:textId="77777777" w:rsidR="006A3667" w:rsidRDefault="00045F32">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7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7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71" w14:textId="77777777" w:rsidR="006A3667" w:rsidRDefault="00045F32">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7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7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74" w14:textId="77777777" w:rsidR="006A3667" w:rsidRDefault="00045F32">
            <w:pPr>
              <w:jc w:val="right"/>
              <w:textAlignment w:val="bottom"/>
            </w:pPr>
            <w:r>
              <w:rPr>
                <w:rFonts w:ascii="Arial" w:eastAsia="宋体" w:hAnsi="Arial" w:cs="Arial"/>
                <w:color w:val="000000"/>
                <w:sz w:val="13"/>
                <w:szCs w:val="13"/>
              </w:rPr>
              <w:t>(404)</w:t>
            </w:r>
          </w:p>
        </w:tc>
        <w:tc>
          <w:tcPr>
            <w:tcW w:w="0" w:type="auto"/>
            <w:shd w:val="clear" w:color="auto" w:fill="CCEEFF"/>
            <w:tcMar>
              <w:top w:w="40" w:type="dxa"/>
              <w:left w:w="0" w:type="dxa"/>
              <w:bottom w:w="40" w:type="dxa"/>
              <w:right w:w="20" w:type="dxa"/>
            </w:tcMar>
            <w:vAlign w:val="bottom"/>
          </w:tcPr>
          <w:p w14:paraId="71D417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7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77" w14:textId="77777777" w:rsidR="006A3667" w:rsidRDefault="00045F32">
            <w:pPr>
              <w:jc w:val="right"/>
              <w:textAlignment w:val="bottom"/>
            </w:pPr>
            <w:r>
              <w:rPr>
                <w:rFonts w:ascii="Arial" w:eastAsia="宋体" w:hAnsi="Arial" w:cs="Arial"/>
                <w:color w:val="000000"/>
                <w:sz w:val="13"/>
                <w:szCs w:val="13"/>
              </w:rPr>
              <w:t>(489)</w:t>
            </w:r>
          </w:p>
        </w:tc>
        <w:tc>
          <w:tcPr>
            <w:tcW w:w="0" w:type="auto"/>
            <w:shd w:val="clear" w:color="auto" w:fill="CCEEFF"/>
            <w:tcMar>
              <w:top w:w="40" w:type="dxa"/>
              <w:left w:w="0" w:type="dxa"/>
              <w:bottom w:w="40" w:type="dxa"/>
              <w:right w:w="20" w:type="dxa"/>
            </w:tcMar>
            <w:vAlign w:val="bottom"/>
          </w:tcPr>
          <w:p w14:paraId="71D41778" w14:textId="77777777" w:rsidR="006A3667" w:rsidRDefault="006A3667">
            <w:pPr>
              <w:jc w:val="right"/>
              <w:rPr>
                <w:rFonts w:ascii="宋体"/>
              </w:rPr>
            </w:pPr>
          </w:p>
        </w:tc>
      </w:tr>
      <w:tr w:rsidR="006A3667" w14:paraId="71D41786" w14:textId="77777777">
        <w:tc>
          <w:tcPr>
            <w:tcW w:w="0" w:type="auto"/>
            <w:gridSpan w:val="3"/>
            <w:shd w:val="clear" w:color="auto" w:fill="FFFFFF"/>
            <w:tcMar>
              <w:top w:w="40" w:type="dxa"/>
              <w:left w:w="155" w:type="dxa"/>
              <w:bottom w:w="40" w:type="dxa"/>
              <w:right w:w="20" w:type="dxa"/>
            </w:tcMar>
            <w:vAlign w:val="bottom"/>
          </w:tcPr>
          <w:p w14:paraId="71D4177A" w14:textId="77777777" w:rsidR="006A3667" w:rsidRDefault="00045F32">
            <w:pPr>
              <w:textAlignment w:val="bottom"/>
            </w:pPr>
            <w:r>
              <w:rPr>
                <w:rFonts w:ascii="Arial" w:eastAsia="宋体" w:hAnsi="Arial" w:cs="Arial"/>
                <w:color w:val="000000"/>
                <w:sz w:val="13"/>
                <w:szCs w:val="13"/>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71D4177B" w14:textId="77777777" w:rsidR="006A3667" w:rsidRDefault="00045F32">
            <w:pPr>
              <w:jc w:val="right"/>
              <w:textAlignment w:val="bottom"/>
            </w:pPr>
            <w:r>
              <w:rPr>
                <w:rFonts w:ascii="Arial" w:eastAsia="宋体" w:hAnsi="Arial" w:cs="Arial"/>
                <w:b/>
                <w:bCs/>
                <w:color w:val="000000"/>
                <w:sz w:val="13"/>
                <w:szCs w:val="13"/>
              </w:rPr>
              <w:t>(1,332)</w:t>
            </w:r>
          </w:p>
        </w:tc>
        <w:tc>
          <w:tcPr>
            <w:tcW w:w="0" w:type="auto"/>
            <w:shd w:val="clear" w:color="auto" w:fill="FFFFFF"/>
            <w:tcMar>
              <w:top w:w="40" w:type="dxa"/>
              <w:left w:w="0" w:type="dxa"/>
              <w:bottom w:w="40" w:type="dxa"/>
              <w:right w:w="20" w:type="dxa"/>
            </w:tcMar>
            <w:vAlign w:val="bottom"/>
          </w:tcPr>
          <w:p w14:paraId="71D4177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7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7E" w14:textId="77777777" w:rsidR="006A3667" w:rsidRDefault="00045F32">
            <w:pPr>
              <w:jc w:val="right"/>
              <w:textAlignment w:val="bottom"/>
            </w:pPr>
            <w:r>
              <w:rPr>
                <w:rFonts w:ascii="Arial" w:eastAsia="宋体" w:hAnsi="Arial" w:cs="Arial"/>
                <w:b/>
                <w:bCs/>
                <w:color w:val="000000"/>
                <w:sz w:val="13"/>
                <w:szCs w:val="13"/>
              </w:rPr>
              <w:t>(8,286)</w:t>
            </w:r>
          </w:p>
        </w:tc>
        <w:tc>
          <w:tcPr>
            <w:tcW w:w="0" w:type="auto"/>
            <w:shd w:val="clear" w:color="auto" w:fill="FFFFFF"/>
            <w:tcMar>
              <w:top w:w="40" w:type="dxa"/>
              <w:left w:w="0" w:type="dxa"/>
              <w:bottom w:w="40" w:type="dxa"/>
              <w:right w:w="20" w:type="dxa"/>
            </w:tcMar>
            <w:vAlign w:val="bottom"/>
          </w:tcPr>
          <w:p w14:paraId="71D4177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8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81" w14:textId="77777777" w:rsidR="006A3667" w:rsidRDefault="00045F32">
            <w:pPr>
              <w:jc w:val="right"/>
              <w:textAlignment w:val="bottom"/>
            </w:pPr>
            <w:r>
              <w:rPr>
                <w:rFonts w:ascii="Arial" w:eastAsia="宋体" w:hAnsi="Arial" w:cs="Arial"/>
                <w:color w:val="000000"/>
                <w:sz w:val="13"/>
                <w:szCs w:val="13"/>
              </w:rPr>
              <w:t>(440)</w:t>
            </w:r>
          </w:p>
        </w:tc>
        <w:tc>
          <w:tcPr>
            <w:tcW w:w="0" w:type="auto"/>
            <w:shd w:val="clear" w:color="auto" w:fill="FFFFFF"/>
            <w:tcMar>
              <w:top w:w="40" w:type="dxa"/>
              <w:left w:w="0" w:type="dxa"/>
              <w:bottom w:w="40" w:type="dxa"/>
              <w:right w:w="20" w:type="dxa"/>
            </w:tcMar>
            <w:vAlign w:val="bottom"/>
          </w:tcPr>
          <w:p w14:paraId="71D4178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8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84" w14:textId="77777777" w:rsidR="006A3667" w:rsidRDefault="00045F32">
            <w:pPr>
              <w:jc w:val="right"/>
              <w:textAlignment w:val="bottom"/>
            </w:pPr>
            <w:r>
              <w:rPr>
                <w:rFonts w:ascii="Arial" w:eastAsia="宋体" w:hAnsi="Arial" w:cs="Arial"/>
                <w:color w:val="000000"/>
                <w:sz w:val="13"/>
                <w:szCs w:val="13"/>
              </w:rPr>
              <w:t>(1,658)</w:t>
            </w:r>
          </w:p>
        </w:tc>
        <w:tc>
          <w:tcPr>
            <w:tcW w:w="0" w:type="auto"/>
            <w:shd w:val="clear" w:color="auto" w:fill="FFFFFF"/>
            <w:tcMar>
              <w:top w:w="40" w:type="dxa"/>
              <w:left w:w="0" w:type="dxa"/>
              <w:bottom w:w="40" w:type="dxa"/>
              <w:right w:w="20" w:type="dxa"/>
            </w:tcMar>
            <w:vAlign w:val="bottom"/>
          </w:tcPr>
          <w:p w14:paraId="71D41785" w14:textId="77777777" w:rsidR="006A3667" w:rsidRDefault="006A3667">
            <w:pPr>
              <w:jc w:val="right"/>
              <w:rPr>
                <w:rFonts w:ascii="宋体"/>
              </w:rPr>
            </w:pPr>
          </w:p>
        </w:tc>
      </w:tr>
      <w:tr w:rsidR="006A3667" w14:paraId="71D41793" w14:textId="77777777">
        <w:tc>
          <w:tcPr>
            <w:tcW w:w="0" w:type="auto"/>
            <w:gridSpan w:val="3"/>
            <w:shd w:val="clear" w:color="auto" w:fill="CCEEFF"/>
            <w:tcMar>
              <w:top w:w="40" w:type="dxa"/>
              <w:left w:w="20" w:type="dxa"/>
              <w:bottom w:w="40" w:type="dxa"/>
              <w:right w:w="20" w:type="dxa"/>
            </w:tcMar>
            <w:vAlign w:val="bottom"/>
          </w:tcPr>
          <w:p w14:paraId="71D41787" w14:textId="77777777" w:rsidR="006A3667" w:rsidRDefault="00045F32">
            <w:pPr>
              <w:textAlignment w:val="bottom"/>
            </w:pPr>
            <w:r>
              <w:rPr>
                <w:rFonts w:ascii="Arial" w:eastAsia="宋体" w:hAnsi="Arial" w:cs="Arial"/>
                <w:color w:val="000000"/>
                <w:sz w:val="13"/>
                <w:szCs w:val="13"/>
              </w:rPr>
              <w:t>Net increase (decrease) in over-the-counter derivatives exposures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71D41788" w14:textId="77777777" w:rsidR="006A3667" w:rsidRDefault="00045F32">
            <w:pPr>
              <w:jc w:val="right"/>
              <w:textAlignment w:val="bottom"/>
            </w:pPr>
            <w:r>
              <w:rPr>
                <w:rFonts w:ascii="Arial" w:eastAsia="宋体" w:hAnsi="Arial" w:cs="Arial"/>
                <w:b/>
                <w:bCs/>
                <w:color w:val="000000"/>
                <w:sz w:val="13"/>
                <w:szCs w:val="13"/>
              </w:rPr>
              <w:t>3,056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7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8B" w14:textId="77777777" w:rsidR="006A3667" w:rsidRDefault="00045F32">
            <w:pPr>
              <w:jc w:val="right"/>
              <w:textAlignment w:val="bottom"/>
            </w:pPr>
            <w:r>
              <w:rPr>
                <w:rFonts w:ascii="Arial" w:eastAsia="宋体" w:hAnsi="Arial" w:cs="Arial"/>
                <w:b/>
                <w:bCs/>
                <w:color w:val="000000"/>
                <w:sz w:val="13"/>
                <w:szCs w:val="13"/>
              </w:rPr>
              <w:t>11,791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7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8E" w14:textId="77777777" w:rsidR="006A3667" w:rsidRDefault="00045F32">
            <w:pPr>
              <w:jc w:val="right"/>
              <w:textAlignment w:val="bottom"/>
            </w:pPr>
            <w:r>
              <w:rPr>
                <w:rFonts w:ascii="Arial" w:eastAsia="宋体" w:hAnsi="Arial" w:cs="Arial"/>
                <w:color w:val="000000"/>
                <w:sz w:val="13"/>
                <w:szCs w:val="13"/>
              </w:rPr>
              <w:t>(1,353)</w:t>
            </w:r>
          </w:p>
        </w:tc>
        <w:tc>
          <w:tcPr>
            <w:tcW w:w="0" w:type="auto"/>
            <w:shd w:val="clear" w:color="auto" w:fill="CCEEFF"/>
            <w:tcMar>
              <w:top w:w="40" w:type="dxa"/>
              <w:left w:w="0" w:type="dxa"/>
              <w:bottom w:w="40" w:type="dxa"/>
              <w:right w:w="20" w:type="dxa"/>
            </w:tcMar>
            <w:vAlign w:val="bottom"/>
          </w:tcPr>
          <w:p w14:paraId="71D417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9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91" w14:textId="77777777" w:rsidR="006A3667" w:rsidRDefault="00045F32">
            <w:pPr>
              <w:jc w:val="right"/>
              <w:textAlignment w:val="bottom"/>
            </w:pPr>
            <w:r>
              <w:rPr>
                <w:rFonts w:ascii="Arial" w:eastAsia="宋体" w:hAnsi="Arial" w:cs="Arial"/>
                <w:color w:val="000000"/>
                <w:sz w:val="13"/>
                <w:szCs w:val="13"/>
              </w:rPr>
              <w:t>(863)</w:t>
            </w:r>
          </w:p>
        </w:tc>
        <w:tc>
          <w:tcPr>
            <w:tcW w:w="0" w:type="auto"/>
            <w:shd w:val="clear" w:color="auto" w:fill="CCEEFF"/>
            <w:tcMar>
              <w:top w:w="40" w:type="dxa"/>
              <w:left w:w="0" w:type="dxa"/>
              <w:bottom w:w="40" w:type="dxa"/>
              <w:right w:w="20" w:type="dxa"/>
            </w:tcMar>
            <w:vAlign w:val="bottom"/>
          </w:tcPr>
          <w:p w14:paraId="71D41792" w14:textId="77777777" w:rsidR="006A3667" w:rsidRDefault="006A3667">
            <w:pPr>
              <w:jc w:val="right"/>
              <w:rPr>
                <w:rFonts w:ascii="宋体"/>
              </w:rPr>
            </w:pPr>
          </w:p>
        </w:tc>
      </w:tr>
      <w:tr w:rsidR="006A3667" w14:paraId="71D417A0" w14:textId="77777777">
        <w:tc>
          <w:tcPr>
            <w:tcW w:w="0" w:type="auto"/>
            <w:gridSpan w:val="3"/>
            <w:shd w:val="clear" w:color="auto" w:fill="FFFFFF"/>
            <w:tcMar>
              <w:top w:w="40" w:type="dxa"/>
              <w:left w:w="20" w:type="dxa"/>
              <w:bottom w:w="40" w:type="dxa"/>
              <w:right w:w="20" w:type="dxa"/>
            </w:tcMar>
            <w:vAlign w:val="bottom"/>
          </w:tcPr>
          <w:p w14:paraId="71D41794" w14:textId="77777777" w:rsidR="006A3667" w:rsidRDefault="00045F32">
            <w:pPr>
              <w:textAlignment w:val="bottom"/>
            </w:pPr>
            <w:r>
              <w:rPr>
                <w:rFonts w:ascii="Arial" w:eastAsia="宋体" w:hAnsi="Arial" w:cs="Arial"/>
                <w:color w:val="000000"/>
                <w:sz w:val="13"/>
                <w:szCs w:val="13"/>
              </w:rPr>
              <w:t>Net increase (decrease) in all other</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71D41795" w14:textId="77777777" w:rsidR="006A3667" w:rsidRDefault="00045F32">
            <w:pPr>
              <w:jc w:val="right"/>
              <w:textAlignment w:val="bottom"/>
            </w:pPr>
            <w:r>
              <w:rPr>
                <w:rFonts w:ascii="Arial" w:eastAsia="宋体" w:hAnsi="Arial" w:cs="Arial"/>
                <w:b/>
                <w:bCs/>
                <w:color w:val="000000"/>
                <w:sz w:val="13"/>
                <w:szCs w:val="13"/>
              </w:rPr>
              <w:t>3,636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179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9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98" w14:textId="77777777" w:rsidR="006A3667" w:rsidRDefault="00045F32">
            <w:pPr>
              <w:jc w:val="right"/>
              <w:textAlignment w:val="bottom"/>
            </w:pPr>
            <w:r>
              <w:rPr>
                <w:rFonts w:ascii="Arial" w:eastAsia="宋体" w:hAnsi="Arial" w:cs="Arial"/>
                <w:b/>
                <w:bCs/>
                <w:color w:val="000000"/>
                <w:sz w:val="13"/>
                <w:szCs w:val="13"/>
              </w:rPr>
              <w:t>4,654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17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9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9B" w14:textId="77777777" w:rsidR="006A3667" w:rsidRDefault="00045F32">
            <w:pPr>
              <w:jc w:val="right"/>
              <w:textAlignment w:val="bottom"/>
            </w:pPr>
            <w:r>
              <w:rPr>
                <w:rFonts w:ascii="Arial" w:eastAsia="宋体" w:hAnsi="Arial" w:cs="Arial"/>
                <w:color w:val="000000"/>
                <w:sz w:val="13"/>
                <w:szCs w:val="13"/>
              </w:rPr>
              <w:t>1,024 </w:t>
            </w:r>
          </w:p>
        </w:tc>
        <w:tc>
          <w:tcPr>
            <w:tcW w:w="0" w:type="auto"/>
            <w:shd w:val="clear" w:color="auto" w:fill="FFFFFF"/>
            <w:tcMar>
              <w:top w:w="40" w:type="dxa"/>
              <w:left w:w="0" w:type="dxa"/>
              <w:bottom w:w="40" w:type="dxa"/>
              <w:right w:w="20" w:type="dxa"/>
            </w:tcMar>
            <w:vAlign w:val="bottom"/>
          </w:tcPr>
          <w:p w14:paraId="71D417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9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9E" w14:textId="77777777" w:rsidR="006A3667" w:rsidRDefault="00045F32">
            <w:pPr>
              <w:jc w:val="right"/>
              <w:textAlignment w:val="bottom"/>
            </w:pPr>
            <w:r>
              <w:rPr>
                <w:rFonts w:ascii="Arial" w:eastAsia="宋体" w:hAnsi="Arial" w:cs="Arial"/>
                <w:color w:val="000000"/>
                <w:sz w:val="13"/>
                <w:szCs w:val="13"/>
              </w:rPr>
              <w:t>(2,567)</w:t>
            </w:r>
          </w:p>
        </w:tc>
        <w:tc>
          <w:tcPr>
            <w:tcW w:w="0" w:type="auto"/>
            <w:shd w:val="clear" w:color="auto" w:fill="FFFFFF"/>
            <w:tcMar>
              <w:top w:w="40" w:type="dxa"/>
              <w:left w:w="0" w:type="dxa"/>
              <w:bottom w:w="40" w:type="dxa"/>
              <w:right w:w="20" w:type="dxa"/>
            </w:tcMar>
            <w:vAlign w:val="bottom"/>
          </w:tcPr>
          <w:p w14:paraId="71D4179F" w14:textId="77777777" w:rsidR="006A3667" w:rsidRDefault="006A3667">
            <w:pPr>
              <w:jc w:val="right"/>
              <w:rPr>
                <w:rFonts w:ascii="宋体"/>
              </w:rPr>
            </w:pPr>
          </w:p>
        </w:tc>
      </w:tr>
      <w:tr w:rsidR="006A3667" w14:paraId="71D417AD" w14:textId="77777777">
        <w:tc>
          <w:tcPr>
            <w:tcW w:w="0" w:type="auto"/>
            <w:gridSpan w:val="3"/>
            <w:shd w:val="clear" w:color="auto" w:fill="CCEEFF"/>
            <w:tcMar>
              <w:top w:w="40" w:type="dxa"/>
              <w:left w:w="20" w:type="dxa"/>
              <w:bottom w:w="40" w:type="dxa"/>
              <w:right w:w="20" w:type="dxa"/>
            </w:tcMar>
            <w:vAlign w:val="bottom"/>
          </w:tcPr>
          <w:p w14:paraId="71D417A1" w14:textId="77777777" w:rsidR="006A3667" w:rsidRDefault="00045F32">
            <w:pPr>
              <w:textAlignment w:val="bottom"/>
            </w:pPr>
            <w:r>
              <w:rPr>
                <w:rFonts w:ascii="Arial" w:eastAsia="宋体" w:hAnsi="Arial" w:cs="Arial"/>
                <w:color w:val="000000"/>
                <w:sz w:val="13"/>
                <w:szCs w:val="13"/>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7A2" w14:textId="77777777" w:rsidR="006A3667" w:rsidRDefault="00045F32">
            <w:pPr>
              <w:jc w:val="right"/>
              <w:textAlignment w:val="bottom"/>
            </w:pPr>
            <w:r>
              <w:rPr>
                <w:rFonts w:ascii="Arial" w:eastAsia="宋体" w:hAnsi="Arial" w:cs="Arial"/>
                <w:b/>
                <w:bCs/>
                <w:color w:val="000000"/>
                <w:sz w:val="13"/>
                <w:szCs w:val="13"/>
              </w:rPr>
              <w:t>(114)</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7A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A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7A5" w14:textId="77777777" w:rsidR="006A3667" w:rsidRDefault="00045F32">
            <w:pPr>
              <w:jc w:val="right"/>
              <w:textAlignment w:val="bottom"/>
            </w:pPr>
            <w:r>
              <w:rPr>
                <w:rFonts w:ascii="Arial" w:eastAsia="宋体" w:hAnsi="Arial" w:cs="Arial"/>
                <w:b/>
                <w:bCs/>
                <w:color w:val="000000"/>
                <w:sz w:val="13"/>
                <w:szCs w:val="13"/>
              </w:rPr>
              <w:t>3,803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7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A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7A8" w14:textId="77777777" w:rsidR="006A3667" w:rsidRDefault="00045F32">
            <w:pPr>
              <w:jc w:val="right"/>
              <w:textAlignment w:val="bottom"/>
            </w:pPr>
            <w:r>
              <w:rPr>
                <w:rFonts w:ascii="Arial" w:eastAsia="宋体" w:hAnsi="Arial" w:cs="Arial"/>
                <w:color w:val="000000"/>
                <w:sz w:val="13"/>
                <w:szCs w:val="13"/>
              </w:rPr>
              <w:t>368 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7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A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7AB" w14:textId="77777777" w:rsidR="006A3667" w:rsidRDefault="00045F32">
            <w:pPr>
              <w:jc w:val="right"/>
              <w:textAlignment w:val="bottom"/>
            </w:pPr>
            <w:r>
              <w:rPr>
                <w:rFonts w:ascii="Arial" w:eastAsia="宋体" w:hAnsi="Arial" w:cs="Arial"/>
                <w:color w:val="000000"/>
                <w:sz w:val="13"/>
                <w:szCs w:val="13"/>
              </w:rPr>
              <w:t>(5,338)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7AC" w14:textId="77777777" w:rsidR="006A3667" w:rsidRDefault="006A3667">
            <w:pPr>
              <w:jc w:val="right"/>
              <w:rPr>
                <w:rFonts w:ascii="宋体"/>
              </w:rPr>
            </w:pPr>
          </w:p>
        </w:tc>
      </w:tr>
      <w:tr w:rsidR="006A3667" w14:paraId="71D417BA" w14:textId="77777777">
        <w:tc>
          <w:tcPr>
            <w:tcW w:w="0" w:type="auto"/>
            <w:gridSpan w:val="3"/>
            <w:shd w:val="clear" w:color="auto" w:fill="FFFFFF"/>
            <w:tcMar>
              <w:top w:w="40" w:type="dxa"/>
              <w:left w:w="20" w:type="dxa"/>
              <w:bottom w:w="40" w:type="dxa"/>
              <w:right w:w="20" w:type="dxa"/>
            </w:tcMar>
            <w:vAlign w:val="bottom"/>
          </w:tcPr>
          <w:p w14:paraId="71D417AE" w14:textId="77777777" w:rsidR="006A3667" w:rsidRDefault="00045F32">
            <w:pPr>
              <w:textAlignment w:val="bottom"/>
            </w:pPr>
            <w:r>
              <w:rPr>
                <w:rFonts w:ascii="Arial" w:eastAsia="宋体" w:hAnsi="Arial" w:cs="Arial"/>
                <w:color w:val="000000"/>
                <w:sz w:val="13"/>
                <w:szCs w:val="13"/>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71D417AF" w14:textId="77777777" w:rsidR="006A3667" w:rsidRDefault="00045F32">
            <w:pPr>
              <w:jc w:val="right"/>
              <w:textAlignment w:val="bottom"/>
            </w:pPr>
            <w:r>
              <w:rPr>
                <w:rFonts w:ascii="Arial" w:eastAsia="宋体" w:hAnsi="Arial" w:cs="Arial"/>
                <w:b/>
                <w:bCs/>
                <w:color w:val="000000"/>
                <w:sz w:val="13"/>
                <w:szCs w:val="13"/>
              </w:rPr>
              <w:t>(788)</w:t>
            </w:r>
          </w:p>
        </w:tc>
        <w:tc>
          <w:tcPr>
            <w:tcW w:w="0" w:type="auto"/>
            <w:shd w:val="clear" w:color="auto" w:fill="FFFFFF"/>
            <w:tcMar>
              <w:top w:w="40" w:type="dxa"/>
              <w:left w:w="0" w:type="dxa"/>
              <w:bottom w:w="40" w:type="dxa"/>
              <w:right w:w="20" w:type="dxa"/>
            </w:tcMar>
            <w:vAlign w:val="bottom"/>
          </w:tcPr>
          <w:p w14:paraId="71D417B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B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B2" w14:textId="77777777" w:rsidR="006A3667" w:rsidRDefault="00045F32">
            <w:pPr>
              <w:jc w:val="right"/>
              <w:textAlignment w:val="bottom"/>
            </w:pPr>
            <w:r>
              <w:rPr>
                <w:rFonts w:ascii="Arial" w:eastAsia="宋体" w:hAnsi="Arial" w:cs="Arial"/>
                <w:b/>
                <w:bCs/>
                <w:color w:val="000000"/>
                <w:sz w:val="13"/>
                <w:szCs w:val="13"/>
              </w:rPr>
              <w:t>(788)</w:t>
            </w:r>
          </w:p>
        </w:tc>
        <w:tc>
          <w:tcPr>
            <w:tcW w:w="0" w:type="auto"/>
            <w:shd w:val="clear" w:color="auto" w:fill="FFFFFF"/>
            <w:tcMar>
              <w:top w:w="40" w:type="dxa"/>
              <w:left w:w="0" w:type="dxa"/>
              <w:bottom w:w="40" w:type="dxa"/>
              <w:right w:w="20" w:type="dxa"/>
            </w:tcMar>
            <w:vAlign w:val="bottom"/>
          </w:tcPr>
          <w:p w14:paraId="71D417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B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B5" w14:textId="77777777" w:rsidR="006A3667" w:rsidRDefault="00045F32">
            <w:pPr>
              <w:jc w:val="right"/>
              <w:textAlignment w:val="bottom"/>
            </w:pPr>
            <w:r>
              <w:rPr>
                <w:rFonts w:ascii="Arial" w:eastAsia="宋体" w:hAnsi="Arial" w:cs="Arial"/>
                <w:color w:val="000000"/>
                <w:sz w:val="13"/>
                <w:szCs w:val="13"/>
              </w:rPr>
              <w:t>(75)</w:t>
            </w:r>
          </w:p>
        </w:tc>
        <w:tc>
          <w:tcPr>
            <w:tcW w:w="0" w:type="auto"/>
            <w:shd w:val="clear" w:color="auto" w:fill="FFFFFF"/>
            <w:tcMar>
              <w:top w:w="40" w:type="dxa"/>
              <w:left w:w="0" w:type="dxa"/>
              <w:bottom w:w="40" w:type="dxa"/>
              <w:right w:w="20" w:type="dxa"/>
            </w:tcMar>
            <w:vAlign w:val="bottom"/>
          </w:tcPr>
          <w:p w14:paraId="71D417B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B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7B8" w14:textId="77777777" w:rsidR="006A3667" w:rsidRDefault="00045F32">
            <w:pPr>
              <w:jc w:val="right"/>
              <w:textAlignment w:val="bottom"/>
            </w:pPr>
            <w:r>
              <w:rPr>
                <w:rFonts w:ascii="Arial" w:eastAsia="宋体" w:hAnsi="Arial" w:cs="Arial"/>
                <w:color w:val="000000"/>
                <w:sz w:val="13"/>
                <w:szCs w:val="13"/>
              </w:rPr>
              <w:t>(75)</w:t>
            </w:r>
          </w:p>
        </w:tc>
        <w:tc>
          <w:tcPr>
            <w:tcW w:w="0" w:type="auto"/>
            <w:shd w:val="clear" w:color="auto" w:fill="FFFFFF"/>
            <w:tcMar>
              <w:top w:w="40" w:type="dxa"/>
              <w:left w:w="0" w:type="dxa"/>
              <w:bottom w:w="40" w:type="dxa"/>
              <w:right w:w="20" w:type="dxa"/>
            </w:tcMar>
            <w:vAlign w:val="bottom"/>
          </w:tcPr>
          <w:p w14:paraId="71D417B9" w14:textId="77777777" w:rsidR="006A3667" w:rsidRDefault="006A3667">
            <w:pPr>
              <w:jc w:val="right"/>
              <w:rPr>
                <w:rFonts w:ascii="宋体"/>
              </w:rPr>
            </w:pPr>
          </w:p>
        </w:tc>
      </w:tr>
      <w:tr w:rsidR="006A3667" w14:paraId="71D417C5" w14:textId="77777777">
        <w:tc>
          <w:tcPr>
            <w:tcW w:w="0" w:type="auto"/>
            <w:gridSpan w:val="3"/>
            <w:shd w:val="clear" w:color="auto" w:fill="CCEEFF"/>
            <w:tcMar>
              <w:top w:w="40" w:type="dxa"/>
              <w:left w:w="20" w:type="dxa"/>
              <w:bottom w:w="40" w:type="dxa"/>
              <w:right w:w="20" w:type="dxa"/>
            </w:tcMar>
            <w:vAlign w:val="bottom"/>
          </w:tcPr>
          <w:p w14:paraId="71D417BB" w14:textId="77777777" w:rsidR="006A3667" w:rsidRDefault="00045F32">
            <w:pPr>
              <w:textAlignment w:val="bottom"/>
            </w:pPr>
            <w:r>
              <w:rPr>
                <w:rFonts w:ascii="Arial" w:eastAsia="宋体" w:hAnsi="Arial" w:cs="Arial"/>
                <w:color w:val="000000"/>
                <w:sz w:val="13"/>
                <w:szCs w:val="13"/>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71D417BC" w14:textId="77777777" w:rsidR="006A3667" w:rsidRDefault="00045F32">
            <w:pPr>
              <w:jc w:val="right"/>
              <w:textAlignment w:val="bottom"/>
            </w:pPr>
            <w:r>
              <w:rPr>
                <w:rFonts w:ascii="Arial" w:eastAsia="宋体" w:hAnsi="Arial" w:cs="Arial"/>
                <w:b/>
                <w:bCs/>
                <w:color w:val="000000"/>
                <w:sz w:val="13"/>
                <w:szCs w:val="13"/>
              </w:rPr>
              <w:t>(2,725)</w:t>
            </w:r>
          </w:p>
        </w:tc>
        <w:tc>
          <w:tcPr>
            <w:tcW w:w="0" w:type="auto"/>
            <w:shd w:val="clear" w:color="auto" w:fill="CCEEFF"/>
            <w:tcMar>
              <w:top w:w="40" w:type="dxa"/>
              <w:left w:w="0" w:type="dxa"/>
              <w:bottom w:w="40" w:type="dxa"/>
              <w:right w:w="20" w:type="dxa"/>
            </w:tcMar>
            <w:vAlign w:val="bottom"/>
          </w:tcPr>
          <w:p w14:paraId="71D417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BE"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17BF" w14:textId="77777777" w:rsidR="006A3667" w:rsidRDefault="00045F32">
            <w:pPr>
              <w:jc w:val="right"/>
              <w:textAlignment w:val="bottom"/>
            </w:pPr>
            <w:r>
              <w:rPr>
                <w:rFonts w:ascii="Arial" w:eastAsia="宋体" w:hAnsi="Arial" w:cs="Arial"/>
                <w:b/>
                <w:bCs/>
                <w:color w:val="000000"/>
                <w:sz w:val="13"/>
                <w:szCs w:val="13"/>
              </w:rPr>
              <w:t>N/A</w:t>
            </w:r>
          </w:p>
        </w:tc>
        <w:tc>
          <w:tcPr>
            <w:tcW w:w="0" w:type="auto"/>
            <w:gridSpan w:val="3"/>
            <w:shd w:val="clear" w:color="auto" w:fill="CCEEFF"/>
            <w:tcMar>
              <w:top w:w="0" w:type="dxa"/>
              <w:left w:w="20" w:type="dxa"/>
              <w:bottom w:w="0" w:type="dxa"/>
              <w:right w:w="20" w:type="dxa"/>
            </w:tcMar>
            <w:vAlign w:val="bottom"/>
          </w:tcPr>
          <w:p w14:paraId="71D417C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7C1" w14:textId="77777777" w:rsidR="006A3667" w:rsidRDefault="00045F32">
            <w:pPr>
              <w:jc w:val="right"/>
              <w:textAlignment w:val="bottom"/>
            </w:pPr>
            <w:r>
              <w:rPr>
                <w:rFonts w:ascii="Arial" w:eastAsia="宋体" w:hAnsi="Arial" w:cs="Arial"/>
                <w:color w:val="000000"/>
                <w:sz w:val="13"/>
                <w:szCs w:val="13"/>
              </w:rPr>
              <w:t>1,400 </w:t>
            </w:r>
          </w:p>
        </w:tc>
        <w:tc>
          <w:tcPr>
            <w:tcW w:w="0" w:type="auto"/>
            <w:shd w:val="clear" w:color="auto" w:fill="CCEEFF"/>
            <w:tcMar>
              <w:top w:w="40" w:type="dxa"/>
              <w:left w:w="0" w:type="dxa"/>
              <w:bottom w:w="40" w:type="dxa"/>
              <w:right w:w="20" w:type="dxa"/>
            </w:tcMar>
            <w:vAlign w:val="bottom"/>
          </w:tcPr>
          <w:p w14:paraId="71D417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7C3"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17C4" w14:textId="77777777" w:rsidR="006A3667" w:rsidRDefault="00045F32">
            <w:pPr>
              <w:jc w:val="right"/>
              <w:textAlignment w:val="bottom"/>
            </w:pPr>
            <w:r>
              <w:rPr>
                <w:rFonts w:ascii="Arial" w:eastAsia="宋体" w:hAnsi="Arial" w:cs="Arial"/>
                <w:color w:val="000000"/>
                <w:sz w:val="13"/>
                <w:szCs w:val="13"/>
              </w:rPr>
              <w:t>N/A</w:t>
            </w:r>
          </w:p>
        </w:tc>
      </w:tr>
      <w:tr w:rsidR="006A3667" w14:paraId="71D417D6" w14:textId="77777777">
        <w:tc>
          <w:tcPr>
            <w:tcW w:w="0" w:type="auto"/>
            <w:gridSpan w:val="3"/>
            <w:shd w:val="clear" w:color="auto" w:fill="FFFFFF"/>
            <w:tcMar>
              <w:top w:w="40" w:type="dxa"/>
              <w:left w:w="20" w:type="dxa"/>
              <w:bottom w:w="40" w:type="dxa"/>
              <w:right w:w="20" w:type="dxa"/>
            </w:tcMar>
            <w:vAlign w:val="bottom"/>
          </w:tcPr>
          <w:p w14:paraId="71D417C6" w14:textId="77777777" w:rsidR="006A3667" w:rsidRDefault="00045F32">
            <w:pPr>
              <w:textAlignment w:val="bottom"/>
            </w:pPr>
            <w:r>
              <w:rPr>
                <w:rFonts w:ascii="Arial" w:eastAsia="宋体" w:hAnsi="Arial" w:cs="Arial"/>
                <w:color w:val="000000"/>
                <w:sz w:val="13"/>
                <w:szCs w:val="13"/>
              </w:rPr>
              <w:t>Total 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17C7"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17C8" w14:textId="77777777" w:rsidR="006A3667" w:rsidRDefault="00045F32">
            <w:pPr>
              <w:jc w:val="right"/>
              <w:textAlignment w:val="bottom"/>
            </w:pPr>
            <w:r>
              <w:rPr>
                <w:rFonts w:ascii="Arial" w:eastAsia="宋体" w:hAnsi="Arial" w:cs="Arial"/>
                <w:b/>
                <w:bCs/>
                <w:color w:val="000000"/>
                <w:sz w:val="13"/>
                <w:szCs w:val="13"/>
              </w:rPr>
              <w:t>107,771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17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CA"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17CB"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17CC" w14:textId="77777777" w:rsidR="006A3667" w:rsidRDefault="00045F32">
            <w:pPr>
              <w:jc w:val="right"/>
              <w:textAlignment w:val="bottom"/>
            </w:pPr>
            <w:r>
              <w:rPr>
                <w:rFonts w:ascii="Arial" w:eastAsia="宋体" w:hAnsi="Arial" w:cs="Arial"/>
                <w:b/>
                <w:bCs/>
                <w:color w:val="000000"/>
                <w:sz w:val="13"/>
                <w:szCs w:val="13"/>
              </w:rPr>
              <w:t>114,682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17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CE"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17C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17D0" w14:textId="77777777" w:rsidR="006A3667" w:rsidRDefault="00045F32">
            <w:pPr>
              <w:jc w:val="right"/>
              <w:textAlignment w:val="bottom"/>
            </w:pPr>
            <w:r>
              <w:rPr>
                <w:rFonts w:ascii="Arial" w:eastAsia="宋体" w:hAnsi="Arial" w:cs="Arial"/>
                <w:color w:val="000000"/>
                <w:sz w:val="13"/>
                <w:szCs w:val="13"/>
              </w:rPr>
              <w:t>111,398 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17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7D2"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17D3"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17D4" w14:textId="77777777" w:rsidR="006A3667" w:rsidRDefault="00045F32">
            <w:pPr>
              <w:jc w:val="right"/>
              <w:textAlignment w:val="bottom"/>
            </w:pPr>
            <w:r>
              <w:rPr>
                <w:rFonts w:ascii="Arial" w:eastAsia="宋体" w:hAnsi="Arial" w:cs="Arial"/>
                <w:color w:val="000000"/>
                <w:sz w:val="13"/>
                <w:szCs w:val="13"/>
              </w:rPr>
              <w:t>111,667 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17D5" w14:textId="77777777" w:rsidR="006A3667" w:rsidRDefault="006A3667">
            <w:pPr>
              <w:jc w:val="right"/>
              <w:rPr>
                <w:rFonts w:ascii="宋体"/>
              </w:rPr>
            </w:pPr>
          </w:p>
        </w:tc>
      </w:tr>
    </w:tbl>
    <w:p w14:paraId="71D417D7"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6A3667" w14:paraId="71D417E1" w14:textId="77777777">
        <w:tc>
          <w:tcPr>
            <w:tcW w:w="50" w:type="pct"/>
            <w:shd w:val="clear" w:color="auto" w:fill="auto"/>
            <w:vAlign w:val="bottom"/>
          </w:tcPr>
          <w:p w14:paraId="71D417D8" w14:textId="77777777" w:rsidR="006A3667" w:rsidRDefault="006A3667">
            <w:pPr>
              <w:rPr>
                <w:rFonts w:ascii="宋体"/>
              </w:rPr>
            </w:pPr>
          </w:p>
        </w:tc>
        <w:tc>
          <w:tcPr>
            <w:tcW w:w="1348" w:type="pct"/>
            <w:shd w:val="clear" w:color="auto" w:fill="auto"/>
            <w:vAlign w:val="bottom"/>
          </w:tcPr>
          <w:p w14:paraId="71D417D9" w14:textId="77777777" w:rsidR="006A3667" w:rsidRDefault="006A3667">
            <w:pPr>
              <w:rPr>
                <w:rFonts w:ascii="宋体"/>
              </w:rPr>
            </w:pPr>
          </w:p>
        </w:tc>
        <w:tc>
          <w:tcPr>
            <w:tcW w:w="5" w:type="pct"/>
            <w:shd w:val="clear" w:color="auto" w:fill="auto"/>
            <w:vAlign w:val="bottom"/>
          </w:tcPr>
          <w:p w14:paraId="71D417DA" w14:textId="77777777" w:rsidR="006A3667" w:rsidRDefault="006A3667">
            <w:pPr>
              <w:rPr>
                <w:rFonts w:ascii="宋体"/>
              </w:rPr>
            </w:pPr>
          </w:p>
        </w:tc>
        <w:tc>
          <w:tcPr>
            <w:tcW w:w="50" w:type="pct"/>
            <w:shd w:val="clear" w:color="auto" w:fill="auto"/>
            <w:vAlign w:val="bottom"/>
          </w:tcPr>
          <w:p w14:paraId="71D417DB" w14:textId="77777777" w:rsidR="006A3667" w:rsidRDefault="006A3667">
            <w:pPr>
              <w:rPr>
                <w:rFonts w:ascii="宋体"/>
              </w:rPr>
            </w:pPr>
          </w:p>
        </w:tc>
        <w:tc>
          <w:tcPr>
            <w:tcW w:w="2781" w:type="pct"/>
            <w:shd w:val="clear" w:color="auto" w:fill="auto"/>
            <w:vAlign w:val="bottom"/>
          </w:tcPr>
          <w:p w14:paraId="71D417DC" w14:textId="77777777" w:rsidR="006A3667" w:rsidRDefault="006A3667">
            <w:pPr>
              <w:rPr>
                <w:rFonts w:ascii="宋体"/>
              </w:rPr>
            </w:pPr>
          </w:p>
        </w:tc>
        <w:tc>
          <w:tcPr>
            <w:tcW w:w="5" w:type="pct"/>
            <w:shd w:val="clear" w:color="auto" w:fill="auto"/>
            <w:vAlign w:val="bottom"/>
          </w:tcPr>
          <w:p w14:paraId="71D417DD" w14:textId="77777777" w:rsidR="006A3667" w:rsidRDefault="006A3667">
            <w:pPr>
              <w:rPr>
                <w:rFonts w:ascii="宋体"/>
              </w:rPr>
            </w:pPr>
          </w:p>
        </w:tc>
        <w:tc>
          <w:tcPr>
            <w:tcW w:w="50" w:type="pct"/>
            <w:shd w:val="clear" w:color="auto" w:fill="auto"/>
            <w:vAlign w:val="bottom"/>
          </w:tcPr>
          <w:p w14:paraId="71D417DE" w14:textId="77777777" w:rsidR="006A3667" w:rsidRDefault="006A3667">
            <w:pPr>
              <w:rPr>
                <w:rFonts w:ascii="宋体"/>
              </w:rPr>
            </w:pPr>
          </w:p>
        </w:tc>
        <w:tc>
          <w:tcPr>
            <w:tcW w:w="705" w:type="pct"/>
            <w:shd w:val="clear" w:color="auto" w:fill="auto"/>
            <w:vAlign w:val="bottom"/>
          </w:tcPr>
          <w:p w14:paraId="71D417DF" w14:textId="77777777" w:rsidR="006A3667" w:rsidRDefault="006A3667">
            <w:pPr>
              <w:rPr>
                <w:rFonts w:ascii="宋体"/>
              </w:rPr>
            </w:pPr>
          </w:p>
        </w:tc>
        <w:tc>
          <w:tcPr>
            <w:tcW w:w="5" w:type="pct"/>
            <w:shd w:val="clear" w:color="auto" w:fill="auto"/>
            <w:vAlign w:val="bottom"/>
          </w:tcPr>
          <w:p w14:paraId="71D417E0" w14:textId="77777777" w:rsidR="006A3667" w:rsidRDefault="006A3667">
            <w:pPr>
              <w:rPr>
                <w:rFonts w:ascii="宋体"/>
              </w:rPr>
            </w:pPr>
          </w:p>
        </w:tc>
      </w:tr>
      <w:tr w:rsidR="006A3667" w14:paraId="71D417E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17E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7E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7E4" w14:textId="77777777" w:rsidR="006A3667" w:rsidRDefault="006A3667">
            <w:pPr>
              <w:rPr>
                <w:rFonts w:ascii="宋体"/>
              </w:rPr>
            </w:pPr>
          </w:p>
        </w:tc>
      </w:tr>
    </w:tbl>
    <w:p w14:paraId="71D417E6" w14:textId="77777777" w:rsidR="006A3667" w:rsidRDefault="00045F32">
      <w:pPr>
        <w:jc w:val="both"/>
      </w:pPr>
      <w:r>
        <w:rPr>
          <w:rFonts w:ascii="Arial" w:eastAsia="宋体" w:hAnsi="Arial" w:cs="Arial"/>
          <w:color w:val="000000"/>
          <w:sz w:val="7"/>
          <w:szCs w:val="7"/>
        </w:rPr>
        <w:t xml:space="preserve">(1) </w:t>
      </w:r>
      <w:r>
        <w:rPr>
          <w:rFonts w:ascii="Arial" w:eastAsia="宋体" w:hAnsi="Arial" w:cs="Arial"/>
          <w:color w:val="000000"/>
          <w:sz w:val="12"/>
          <w:szCs w:val="12"/>
        </w:rPr>
        <w:t>Under the advanced approaches, includes CVA RWA.</w:t>
      </w:r>
    </w:p>
    <w:p w14:paraId="71D417E7" w14:textId="77777777" w:rsidR="006A3667" w:rsidRDefault="00045F32">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Includes assets not in a </w:t>
      </w:r>
      <w:r>
        <w:rPr>
          <w:rFonts w:ascii="Arial" w:eastAsia="宋体" w:hAnsi="Arial" w:cs="Arial"/>
          <w:color w:val="000000"/>
          <w:sz w:val="12"/>
          <w:szCs w:val="12"/>
        </w:rPr>
        <w:t>definable category, non-material portfolio, cleared transactions, other wholesale, cash and due from banks, interest-bearing deposits with banks, and equity exposures.</w:t>
      </w:r>
    </w:p>
    <w:p w14:paraId="71D417E8" w14:textId="77777777" w:rsidR="006A3667" w:rsidRDefault="00045F32">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71D417E9" w14:textId="77777777" w:rsidR="006A3667" w:rsidRDefault="00045F32">
      <w:pPr>
        <w:spacing w:before="60"/>
        <w:ind w:firstLine="450"/>
        <w:jc w:val="both"/>
      </w:pPr>
      <w:r>
        <w:rPr>
          <w:rFonts w:ascii="Arial" w:eastAsia="宋体" w:hAnsi="Arial" w:cs="Arial"/>
          <w:color w:val="000000"/>
          <w:sz w:val="20"/>
          <w:szCs w:val="20"/>
        </w:rPr>
        <w:t>As of September 30, 2022, total advanced approaches RWA decreased $3.</w:t>
      </w:r>
      <w:r>
        <w:rPr>
          <w:rFonts w:ascii="Arial" w:eastAsia="宋体" w:hAnsi="Arial" w:cs="Arial"/>
          <w:color w:val="000000"/>
          <w:sz w:val="20"/>
          <w:szCs w:val="20"/>
        </w:rPr>
        <w:t xml:space="preserve">63 billion compared to December 31, 2021, mainly driven by a decrease in operational risk and market risk RWA. The decrease in operational risk RWA was primarily due to a decrease in the frequency of certain operational loss events. The decrease in market </w:t>
      </w:r>
      <w:r>
        <w:rPr>
          <w:rFonts w:ascii="Arial" w:eastAsia="宋体" w:hAnsi="Arial" w:cs="Arial"/>
          <w:color w:val="000000"/>
          <w:sz w:val="20"/>
          <w:szCs w:val="20"/>
        </w:rPr>
        <w:t>risk RWA was mainly driven by defensive positioning given market uncertainty and a decrease in volatility of the VaR model.</w:t>
      </w:r>
    </w:p>
    <w:p w14:paraId="71D417EA" w14:textId="77777777" w:rsidR="006A3667" w:rsidRDefault="00045F32">
      <w:pPr>
        <w:spacing w:before="60"/>
        <w:ind w:firstLine="450"/>
        <w:jc w:val="both"/>
      </w:pPr>
      <w:r>
        <w:rPr>
          <w:rFonts w:ascii="Arial" w:eastAsia="宋体" w:hAnsi="Arial" w:cs="Arial"/>
          <w:color w:val="000000"/>
          <w:sz w:val="20"/>
          <w:szCs w:val="20"/>
        </w:rPr>
        <w:t xml:space="preserve">As of September 30, 2022, total standardized approach RWA increased $3.02 billion compared to December 31, 2021, mainly driven by </w:t>
      </w:r>
      <w:r>
        <w:rPr>
          <w:rFonts w:ascii="Arial" w:eastAsia="宋体" w:hAnsi="Arial" w:cs="Arial"/>
          <w:color w:val="000000"/>
          <w:sz w:val="20"/>
          <w:szCs w:val="20"/>
        </w:rPr>
        <w:t>an increase in credit risk RWA. The increase in credit risk RWA was primarily driven by the implementation of SA-CCR, as expected, which was partially offset by lower repo-style transactions RWA.</w:t>
      </w:r>
    </w:p>
    <w:p w14:paraId="71D417EB" w14:textId="77777777" w:rsidR="006A3667" w:rsidRDefault="00045F32">
      <w:pPr>
        <w:spacing w:before="60"/>
        <w:ind w:firstLine="450"/>
        <w:jc w:val="both"/>
      </w:pPr>
      <w:r>
        <w:rPr>
          <w:rFonts w:ascii="Arial" w:eastAsia="宋体" w:hAnsi="Arial" w:cs="Arial"/>
          <w:color w:val="000000"/>
          <w:sz w:val="20"/>
          <w:szCs w:val="20"/>
        </w:rPr>
        <w:t>The regulatory capital ratios as of September 30, 2022, pres</w:t>
      </w:r>
      <w:r>
        <w:rPr>
          <w:rFonts w:ascii="Arial" w:eastAsia="宋体" w:hAnsi="Arial" w:cs="Arial"/>
          <w:color w:val="000000"/>
          <w:sz w:val="20"/>
          <w:szCs w:val="20"/>
        </w:rPr>
        <w:t>ented in Table 34: Regulatory Capital Structure and Related Regulatory Capital Ratios, are calculated under the advanced approaches and standardized approach in conformity with the Basel III final rule. The advanced approaches-based ratios reflect calculat</w:t>
      </w:r>
      <w:r>
        <w:rPr>
          <w:rFonts w:ascii="Arial" w:eastAsia="宋体" w:hAnsi="Arial" w:cs="Arial"/>
          <w:color w:val="000000"/>
          <w:sz w:val="20"/>
          <w:szCs w:val="20"/>
        </w:rPr>
        <w:t>ions and determinations with respect to our capital and related matters as of September 30, 2022, based on our and external data, quantitative formulae, statistical models, historical correlations and assumptions, collectively referred to as “advanced syst</w:t>
      </w:r>
      <w:r>
        <w:rPr>
          <w:rFonts w:ascii="Arial" w:eastAsia="宋体" w:hAnsi="Arial" w:cs="Arial"/>
          <w:color w:val="000000"/>
          <w:sz w:val="20"/>
          <w:szCs w:val="20"/>
        </w:rPr>
        <w:t xml:space="preserve">ems,” in effect and used by us for those purposes as of the time we first reported such ratios in a quarterly report on Form 10-Q or an annual report on Form 10-K. Significant components of these advanced systems involve the exercise of judgment by us and </w:t>
      </w:r>
      <w:r>
        <w:rPr>
          <w:rFonts w:ascii="Arial" w:eastAsia="宋体" w:hAnsi="Arial" w:cs="Arial"/>
          <w:color w:val="000000"/>
          <w:sz w:val="20"/>
          <w:szCs w:val="20"/>
        </w:rPr>
        <w:t>our regulators, and our advanced systems may not, individually or collectively, precisely represent or calculate the scenarios, circumstances, outputs or other results for which they are designed or intended.</w:t>
      </w:r>
    </w:p>
    <w:p w14:paraId="71D417EC" w14:textId="77777777" w:rsidR="006A3667" w:rsidRDefault="00045F32">
      <w:pPr>
        <w:spacing w:before="60"/>
        <w:ind w:firstLine="450"/>
        <w:jc w:val="both"/>
      </w:pPr>
      <w:r>
        <w:rPr>
          <w:rFonts w:ascii="Arial" w:eastAsia="宋体" w:hAnsi="Arial" w:cs="Arial"/>
          <w:color w:val="000000"/>
          <w:sz w:val="20"/>
          <w:szCs w:val="20"/>
        </w:rPr>
        <w:t xml:space="preserve">Our advanced systems are subject to update and </w:t>
      </w:r>
      <w:r>
        <w:rPr>
          <w:rFonts w:ascii="Arial" w:eastAsia="宋体" w:hAnsi="Arial" w:cs="Arial"/>
          <w:color w:val="000000"/>
          <w:sz w:val="20"/>
          <w:szCs w:val="20"/>
        </w:rPr>
        <w:t>periodic revalidation in response to changes in our business activities and our historical experiences, forces and events experienced by the market broadly or by individual financial institutions, changes in regulations and regulatory interpretations and o</w:t>
      </w:r>
      <w:r>
        <w:rPr>
          <w:rFonts w:ascii="Arial" w:eastAsia="宋体" w:hAnsi="Arial" w:cs="Arial"/>
          <w:color w:val="000000"/>
          <w:sz w:val="20"/>
          <w:szCs w:val="20"/>
        </w:rPr>
        <w:t>ther factors, and are also subject to continuing regulatory review and approval. For example, a significant operational loss experienced by another financial institution, even if we do not experience a related loss, could result in a material change in the</w:t>
      </w:r>
      <w:r>
        <w:rPr>
          <w:rFonts w:ascii="Arial" w:eastAsia="宋体" w:hAnsi="Arial" w:cs="Arial"/>
          <w:color w:val="000000"/>
          <w:sz w:val="20"/>
          <w:szCs w:val="20"/>
        </w:rPr>
        <w:t xml:space="preserve"> output of our advanced systems and a corresponding material change in our risk exposures, our total RWA and our capital ratios compared to prior periods. An operational loss that we experience could also result in a material change in our capital requirem</w:t>
      </w:r>
      <w:r>
        <w:rPr>
          <w:rFonts w:ascii="Arial" w:eastAsia="宋体" w:hAnsi="Arial" w:cs="Arial"/>
          <w:color w:val="000000"/>
          <w:sz w:val="20"/>
          <w:szCs w:val="20"/>
        </w:rPr>
        <w:t>ents for operational risk under the advanced approaches, depending on the severity of the loss event, its characterization among the seven Basel-defined UOM, and the stability of the distributional approach for a particular UOM, and without direct correlat</w:t>
      </w:r>
      <w:r>
        <w:rPr>
          <w:rFonts w:ascii="Arial" w:eastAsia="宋体" w:hAnsi="Arial" w:cs="Arial"/>
          <w:color w:val="000000"/>
          <w:sz w:val="20"/>
          <w:szCs w:val="20"/>
        </w:rPr>
        <w:t>ion to the effects of the loss event, or the timing of such effects, on our results of operations.</w:t>
      </w:r>
    </w:p>
    <w:p w14:paraId="71D417ED" w14:textId="77777777" w:rsidR="006A3667" w:rsidRDefault="00045F32">
      <w:pPr>
        <w:spacing w:before="60"/>
        <w:ind w:firstLine="450"/>
        <w:jc w:val="both"/>
      </w:pPr>
      <w:r>
        <w:rPr>
          <w:rFonts w:ascii="Arial" w:eastAsia="宋体" w:hAnsi="Arial" w:cs="Arial"/>
          <w:color w:val="000000"/>
          <w:sz w:val="20"/>
          <w:szCs w:val="20"/>
        </w:rPr>
        <w:t>Due to the influence of changes in these advanced systems, whether resulting from changes in data inputs, regulation or regulatory supervision or interpretat</w:t>
      </w:r>
      <w:r>
        <w:rPr>
          <w:rFonts w:ascii="Arial" w:eastAsia="宋体" w:hAnsi="Arial" w:cs="Arial"/>
          <w:color w:val="000000"/>
          <w:sz w:val="20"/>
          <w:szCs w:val="20"/>
        </w:rPr>
        <w:t>ion, specific to us or market activities or experiences or other updates or factors, we expect that our advanced systems and our capital ratios calculated in conformity with the Basel III final rule will change and may be volatile over time, and that those</w:t>
      </w:r>
      <w:r>
        <w:rPr>
          <w:rFonts w:ascii="Arial" w:eastAsia="宋体" w:hAnsi="Arial" w:cs="Arial"/>
          <w:color w:val="000000"/>
          <w:sz w:val="20"/>
          <w:szCs w:val="20"/>
        </w:rPr>
        <w:t xml:space="preserve"> latter changes or volatility could be material as calculated and measured from period to period. The full effects of the Basel III final rule on us and State Street Bank are therefore subject to further evaluation and also to further regulatory guidance, </w:t>
      </w:r>
      <w:r>
        <w:rPr>
          <w:rFonts w:ascii="Arial" w:eastAsia="宋体" w:hAnsi="Arial" w:cs="Arial"/>
          <w:color w:val="000000"/>
          <w:sz w:val="20"/>
          <w:szCs w:val="20"/>
        </w:rPr>
        <w:t>action or rule-making.</w:t>
      </w:r>
    </w:p>
    <w:p w14:paraId="71D417EE" w14:textId="77777777" w:rsidR="006A3667" w:rsidRDefault="00045F32">
      <w:pPr>
        <w:ind w:firstLine="450"/>
        <w:jc w:val="right"/>
      </w:pPr>
      <w:r>
        <w:rPr>
          <w:rFonts w:ascii="Arial" w:eastAsia="宋体" w:hAnsi="Arial" w:cs="Arial"/>
          <w:color w:val="000000"/>
          <w:sz w:val="18"/>
          <w:szCs w:val="18"/>
        </w:rPr>
        <w:t>State Street Corporation | 47</w:t>
      </w:r>
    </w:p>
    <w:p w14:paraId="71D417EF" w14:textId="77777777" w:rsidR="006A3667" w:rsidRDefault="006A3667">
      <w:pPr>
        <w:ind w:firstLine="450"/>
        <w:jc w:val="center"/>
      </w:pPr>
    </w:p>
    <w:p w14:paraId="71D417F0" w14:textId="77777777" w:rsidR="006A3667" w:rsidRDefault="00045F32">
      <w:r>
        <w:pict w14:anchorId="71D4AC43">
          <v:rect id="_x0000_i1071" style="width:415.3pt;height:1.5pt" o:hralign="center" o:hrstd="t" o:hr="t" fillcolor="#a0a0a0" stroked="f"/>
        </w:pict>
      </w:r>
    </w:p>
    <w:p w14:paraId="71D417F1"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7F2" w14:textId="77777777" w:rsidR="006A3667" w:rsidRDefault="00045F32">
      <w:pPr>
        <w:ind w:firstLine="450"/>
        <w:jc w:val="center"/>
      </w:pPr>
      <w:r>
        <w:rPr>
          <w:rFonts w:ascii="Arial" w:eastAsia="宋体" w:hAnsi="Arial" w:cs="Arial"/>
          <w:b/>
          <w:bCs/>
          <w:color w:val="000000"/>
          <w:sz w:val="20"/>
          <w:szCs w:val="20"/>
        </w:rPr>
        <w:t>AND RESULTS OF OPERATIONS</w:t>
      </w:r>
    </w:p>
    <w:p w14:paraId="71D417F3" w14:textId="77777777" w:rsidR="006A3667" w:rsidRDefault="00045F32">
      <w:pPr>
        <w:spacing w:before="60"/>
        <w:textAlignment w:val="top"/>
      </w:pPr>
      <w:r>
        <w:rPr>
          <w:rFonts w:ascii="Arial" w:eastAsia="宋体" w:hAnsi="Arial" w:cs="Arial"/>
          <w:b/>
          <w:bCs/>
          <w:i/>
          <w:iCs/>
          <w:color w:val="000000"/>
          <w:sz w:val="20"/>
          <w:szCs w:val="20"/>
        </w:rPr>
        <w:t>Tier 1 and Supplementary Leverage Ratios</w:t>
      </w:r>
    </w:p>
    <w:p w14:paraId="71D417F4" w14:textId="77777777" w:rsidR="006A3667" w:rsidRDefault="00045F32">
      <w:pPr>
        <w:spacing w:before="60"/>
        <w:ind w:firstLine="450"/>
        <w:jc w:val="both"/>
        <w:textAlignment w:val="top"/>
      </w:pPr>
      <w:r>
        <w:rPr>
          <w:rFonts w:ascii="Arial" w:eastAsia="宋体" w:hAnsi="Arial" w:cs="Arial"/>
          <w:color w:val="000000"/>
          <w:sz w:val="20"/>
          <w:szCs w:val="20"/>
        </w:rPr>
        <w:t xml:space="preserve">We are subject to a minimum Tier 1 leverage ratio and a </w:t>
      </w:r>
      <w:r>
        <w:rPr>
          <w:rFonts w:ascii="Arial" w:eastAsia="宋体" w:hAnsi="Arial" w:cs="Arial"/>
          <w:color w:val="000000"/>
          <w:sz w:val="20"/>
          <w:szCs w:val="20"/>
        </w:rPr>
        <w:t>supplementary leverage ratio. The Tier 1 leverage ratio is based on Tier 1 capital and adjusted quarterly average on-balance sheet assets. The Tier 1 leverage ratio differs from the SLR primarily in that the denominator of the Tier 1 leverage ratio is a qu</w:t>
      </w:r>
      <w:r>
        <w:rPr>
          <w:rFonts w:ascii="Arial" w:eastAsia="宋体" w:hAnsi="Arial" w:cs="Arial"/>
          <w:color w:val="000000"/>
          <w:sz w:val="20"/>
          <w:szCs w:val="20"/>
        </w:rPr>
        <w:t>arterly average of on-balance sheet assets, while the SLR additionally includes off-balance sheet exposures. We must maintain a minimum Tier 1 leverage ratio of 4%.</w:t>
      </w:r>
    </w:p>
    <w:p w14:paraId="71D417F5" w14:textId="77777777" w:rsidR="006A3667" w:rsidRDefault="00045F32">
      <w:pPr>
        <w:spacing w:before="60"/>
        <w:ind w:firstLine="450"/>
        <w:jc w:val="both"/>
        <w:textAlignment w:val="top"/>
      </w:pPr>
      <w:r>
        <w:rPr>
          <w:rFonts w:ascii="Arial" w:eastAsia="宋体" w:hAnsi="Arial" w:cs="Arial"/>
          <w:color w:val="000000"/>
          <w:sz w:val="20"/>
          <w:szCs w:val="20"/>
        </w:rPr>
        <w:t xml:space="preserve">We are also subject to a minimum SLR of 3%, and as a U.S. G-SIB, we must maintain a 2% SLR </w:t>
      </w:r>
      <w:r>
        <w:rPr>
          <w:rFonts w:ascii="Arial" w:eastAsia="宋体" w:hAnsi="Arial" w:cs="Arial"/>
          <w:color w:val="000000"/>
          <w:sz w:val="20"/>
          <w:szCs w:val="20"/>
        </w:rPr>
        <w:t>buffer in order to avoid any limitations on distributions to shareholders and discretionary bonus payments to certain executives. If we do not maintain this buffer, limitations on these distributions and discretionary bonus payments would be increasingly s</w:t>
      </w:r>
      <w:r>
        <w:rPr>
          <w:rFonts w:ascii="Arial" w:eastAsia="宋体" w:hAnsi="Arial" w:cs="Arial"/>
          <w:color w:val="000000"/>
          <w:sz w:val="20"/>
          <w:szCs w:val="20"/>
        </w:rPr>
        <w:t>tringent based upon the extent of the shortfall.</w:t>
      </w:r>
    </w:p>
    <w:tbl>
      <w:tblPr>
        <w:tblW w:w="4953" w:type="pct"/>
        <w:tblCellMar>
          <w:top w:w="15" w:type="dxa"/>
          <w:left w:w="15" w:type="dxa"/>
          <w:bottom w:w="15" w:type="dxa"/>
          <w:right w:w="15" w:type="dxa"/>
        </w:tblCellMar>
        <w:tblLook w:val="04A0" w:firstRow="1" w:lastRow="0" w:firstColumn="1" w:lastColumn="0" w:noHBand="0" w:noVBand="1"/>
      </w:tblPr>
      <w:tblGrid>
        <w:gridCol w:w="39"/>
        <w:gridCol w:w="3980"/>
        <w:gridCol w:w="38"/>
        <w:gridCol w:w="104"/>
        <w:gridCol w:w="1685"/>
        <w:gridCol w:w="154"/>
        <w:gridCol w:w="36"/>
        <w:gridCol w:w="36"/>
        <w:gridCol w:w="36"/>
        <w:gridCol w:w="104"/>
        <w:gridCol w:w="1892"/>
        <w:gridCol w:w="154"/>
      </w:tblGrid>
      <w:tr w:rsidR="006A3667" w14:paraId="71D41802" w14:textId="77777777">
        <w:tc>
          <w:tcPr>
            <w:tcW w:w="50" w:type="pct"/>
            <w:shd w:val="clear" w:color="auto" w:fill="auto"/>
            <w:vAlign w:val="bottom"/>
          </w:tcPr>
          <w:p w14:paraId="71D417F6" w14:textId="77777777" w:rsidR="006A3667" w:rsidRDefault="006A3667">
            <w:pPr>
              <w:rPr>
                <w:rFonts w:ascii="宋体"/>
              </w:rPr>
            </w:pPr>
          </w:p>
        </w:tc>
        <w:tc>
          <w:tcPr>
            <w:tcW w:w="2484" w:type="pct"/>
            <w:shd w:val="clear" w:color="auto" w:fill="auto"/>
            <w:vAlign w:val="bottom"/>
          </w:tcPr>
          <w:p w14:paraId="71D417F7" w14:textId="77777777" w:rsidR="006A3667" w:rsidRDefault="006A3667">
            <w:pPr>
              <w:rPr>
                <w:rFonts w:ascii="宋体"/>
              </w:rPr>
            </w:pPr>
          </w:p>
        </w:tc>
        <w:tc>
          <w:tcPr>
            <w:tcW w:w="5" w:type="pct"/>
            <w:shd w:val="clear" w:color="auto" w:fill="auto"/>
            <w:vAlign w:val="bottom"/>
          </w:tcPr>
          <w:p w14:paraId="71D417F8" w14:textId="77777777" w:rsidR="006A3667" w:rsidRDefault="006A3667">
            <w:pPr>
              <w:rPr>
                <w:rFonts w:ascii="宋体"/>
              </w:rPr>
            </w:pPr>
          </w:p>
        </w:tc>
        <w:tc>
          <w:tcPr>
            <w:tcW w:w="50" w:type="pct"/>
            <w:shd w:val="clear" w:color="auto" w:fill="auto"/>
            <w:vAlign w:val="bottom"/>
          </w:tcPr>
          <w:p w14:paraId="71D417F9" w14:textId="77777777" w:rsidR="006A3667" w:rsidRDefault="006A3667">
            <w:pPr>
              <w:rPr>
                <w:rFonts w:ascii="宋体"/>
              </w:rPr>
            </w:pPr>
          </w:p>
        </w:tc>
        <w:tc>
          <w:tcPr>
            <w:tcW w:w="1071" w:type="pct"/>
            <w:shd w:val="clear" w:color="auto" w:fill="auto"/>
            <w:vAlign w:val="bottom"/>
          </w:tcPr>
          <w:p w14:paraId="71D417FA" w14:textId="77777777" w:rsidR="006A3667" w:rsidRDefault="006A3667">
            <w:pPr>
              <w:rPr>
                <w:rFonts w:ascii="宋体"/>
              </w:rPr>
            </w:pPr>
          </w:p>
        </w:tc>
        <w:tc>
          <w:tcPr>
            <w:tcW w:w="5" w:type="pct"/>
            <w:shd w:val="clear" w:color="auto" w:fill="auto"/>
            <w:vAlign w:val="bottom"/>
          </w:tcPr>
          <w:p w14:paraId="71D417FB" w14:textId="77777777" w:rsidR="006A3667" w:rsidRDefault="006A3667">
            <w:pPr>
              <w:rPr>
                <w:rFonts w:ascii="宋体"/>
              </w:rPr>
            </w:pPr>
          </w:p>
        </w:tc>
        <w:tc>
          <w:tcPr>
            <w:tcW w:w="5" w:type="pct"/>
            <w:shd w:val="clear" w:color="auto" w:fill="auto"/>
            <w:vAlign w:val="bottom"/>
          </w:tcPr>
          <w:p w14:paraId="71D417FC" w14:textId="77777777" w:rsidR="006A3667" w:rsidRDefault="006A3667">
            <w:pPr>
              <w:rPr>
                <w:rFonts w:ascii="宋体"/>
              </w:rPr>
            </w:pPr>
          </w:p>
        </w:tc>
        <w:tc>
          <w:tcPr>
            <w:tcW w:w="69" w:type="pct"/>
            <w:shd w:val="clear" w:color="auto" w:fill="auto"/>
            <w:vAlign w:val="bottom"/>
          </w:tcPr>
          <w:p w14:paraId="71D417FD" w14:textId="77777777" w:rsidR="006A3667" w:rsidRDefault="006A3667">
            <w:pPr>
              <w:rPr>
                <w:rFonts w:ascii="宋体"/>
              </w:rPr>
            </w:pPr>
          </w:p>
        </w:tc>
        <w:tc>
          <w:tcPr>
            <w:tcW w:w="5" w:type="pct"/>
            <w:shd w:val="clear" w:color="auto" w:fill="auto"/>
            <w:vAlign w:val="bottom"/>
          </w:tcPr>
          <w:p w14:paraId="71D417FE" w14:textId="77777777" w:rsidR="006A3667" w:rsidRDefault="006A3667">
            <w:pPr>
              <w:rPr>
                <w:rFonts w:ascii="宋体"/>
              </w:rPr>
            </w:pPr>
          </w:p>
        </w:tc>
        <w:tc>
          <w:tcPr>
            <w:tcW w:w="50" w:type="pct"/>
            <w:shd w:val="clear" w:color="auto" w:fill="auto"/>
            <w:vAlign w:val="bottom"/>
          </w:tcPr>
          <w:p w14:paraId="71D417FF" w14:textId="77777777" w:rsidR="006A3667" w:rsidRDefault="006A3667">
            <w:pPr>
              <w:rPr>
                <w:rFonts w:ascii="宋体"/>
              </w:rPr>
            </w:pPr>
          </w:p>
        </w:tc>
        <w:tc>
          <w:tcPr>
            <w:tcW w:w="1199" w:type="pct"/>
            <w:shd w:val="clear" w:color="auto" w:fill="auto"/>
            <w:vAlign w:val="bottom"/>
          </w:tcPr>
          <w:p w14:paraId="71D41800" w14:textId="77777777" w:rsidR="006A3667" w:rsidRDefault="006A3667">
            <w:pPr>
              <w:rPr>
                <w:rFonts w:ascii="宋体"/>
              </w:rPr>
            </w:pPr>
          </w:p>
        </w:tc>
        <w:tc>
          <w:tcPr>
            <w:tcW w:w="5" w:type="pct"/>
            <w:shd w:val="clear" w:color="auto" w:fill="auto"/>
            <w:vAlign w:val="bottom"/>
          </w:tcPr>
          <w:p w14:paraId="71D41801" w14:textId="77777777" w:rsidR="006A3667" w:rsidRDefault="006A3667">
            <w:pPr>
              <w:rPr>
                <w:rFonts w:ascii="宋体"/>
              </w:rPr>
            </w:pPr>
          </w:p>
        </w:tc>
      </w:tr>
      <w:tr w:rsidR="006A3667" w14:paraId="71D41804" w14:textId="77777777">
        <w:tc>
          <w:tcPr>
            <w:tcW w:w="0" w:type="auto"/>
            <w:gridSpan w:val="12"/>
            <w:shd w:val="clear" w:color="auto" w:fill="auto"/>
            <w:tcMar>
              <w:top w:w="40" w:type="dxa"/>
              <w:left w:w="20" w:type="dxa"/>
              <w:bottom w:w="40" w:type="dxa"/>
              <w:right w:w="20" w:type="dxa"/>
            </w:tcMar>
            <w:vAlign w:val="bottom"/>
          </w:tcPr>
          <w:p w14:paraId="71D41803" w14:textId="77777777" w:rsidR="006A3667" w:rsidRDefault="00045F32">
            <w:pPr>
              <w:textAlignment w:val="bottom"/>
            </w:pPr>
            <w:r>
              <w:rPr>
                <w:rFonts w:ascii="Arial" w:eastAsia="宋体" w:hAnsi="Arial" w:cs="Arial"/>
                <w:b/>
                <w:bCs/>
                <w:color w:val="000000"/>
                <w:sz w:val="16"/>
                <w:szCs w:val="16"/>
              </w:rPr>
              <w:t>TABLE 37: TIER 1 AND SUPPLEMENTARY LEVERAGE RATIOS</w:t>
            </w:r>
          </w:p>
        </w:tc>
      </w:tr>
      <w:tr w:rsidR="006A3667" w14:paraId="71D41809" w14:textId="77777777">
        <w:tc>
          <w:tcPr>
            <w:tcW w:w="0" w:type="auto"/>
            <w:gridSpan w:val="3"/>
            <w:shd w:val="clear" w:color="auto" w:fill="auto"/>
            <w:tcMar>
              <w:top w:w="40" w:type="dxa"/>
              <w:left w:w="20" w:type="dxa"/>
              <w:bottom w:w="40" w:type="dxa"/>
              <w:right w:w="20" w:type="dxa"/>
            </w:tcMar>
            <w:vAlign w:val="bottom"/>
          </w:tcPr>
          <w:p w14:paraId="71D41805" w14:textId="77777777" w:rsidR="006A3667" w:rsidRDefault="00045F32">
            <w:pPr>
              <w:textAlignment w:val="bottom"/>
            </w:pPr>
            <w:r>
              <w:rPr>
                <w:rFonts w:ascii="Arial" w:eastAsia="宋体" w:hAnsi="Arial" w:cs="Arial"/>
                <w:b/>
                <w:bCs/>
                <w:color w:val="000000"/>
                <w:sz w:val="14"/>
                <w:szCs w:val="14"/>
              </w:rPr>
              <w:t>(Dollars in millions)</w:t>
            </w:r>
          </w:p>
        </w:tc>
        <w:tc>
          <w:tcPr>
            <w:tcW w:w="0" w:type="auto"/>
            <w:gridSpan w:val="3"/>
            <w:shd w:val="clear" w:color="auto" w:fill="auto"/>
            <w:tcMar>
              <w:top w:w="40" w:type="dxa"/>
              <w:left w:w="20" w:type="dxa"/>
              <w:bottom w:w="40" w:type="dxa"/>
              <w:right w:w="20" w:type="dxa"/>
            </w:tcMar>
            <w:vAlign w:val="bottom"/>
          </w:tcPr>
          <w:p w14:paraId="71D41806"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180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808"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180E" w14:textId="77777777">
        <w:tc>
          <w:tcPr>
            <w:tcW w:w="0" w:type="auto"/>
            <w:gridSpan w:val="3"/>
            <w:shd w:val="clear" w:color="auto" w:fill="auto"/>
            <w:tcMar>
              <w:top w:w="40" w:type="dxa"/>
              <w:left w:w="20" w:type="dxa"/>
              <w:bottom w:w="40" w:type="dxa"/>
              <w:right w:w="20" w:type="dxa"/>
            </w:tcMar>
            <w:vAlign w:val="bottom"/>
          </w:tcPr>
          <w:p w14:paraId="71D4180A" w14:textId="77777777" w:rsidR="006A3667" w:rsidRDefault="00045F32">
            <w:pPr>
              <w:textAlignment w:val="bottom"/>
            </w:pPr>
            <w:r>
              <w:rPr>
                <w:rFonts w:ascii="Arial" w:eastAsia="宋体" w:hAnsi="Arial" w:cs="Arial"/>
                <w:b/>
                <w:bCs/>
                <w:color w:val="000000"/>
                <w:sz w:val="15"/>
                <w:szCs w:val="15"/>
              </w:rPr>
              <w:t>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0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80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0D" w14:textId="77777777" w:rsidR="006A3667" w:rsidRDefault="006A3667">
            <w:pPr>
              <w:rPr>
                <w:rFonts w:ascii="宋体"/>
              </w:rPr>
            </w:pPr>
          </w:p>
        </w:tc>
      </w:tr>
      <w:tr w:rsidR="006A3667" w14:paraId="71D41817" w14:textId="77777777">
        <w:tc>
          <w:tcPr>
            <w:tcW w:w="0" w:type="auto"/>
            <w:gridSpan w:val="3"/>
            <w:shd w:val="clear" w:color="auto" w:fill="CCEEFF"/>
            <w:tcMar>
              <w:top w:w="40" w:type="dxa"/>
              <w:left w:w="20" w:type="dxa"/>
              <w:bottom w:w="40" w:type="dxa"/>
              <w:right w:w="20" w:type="dxa"/>
            </w:tcMar>
            <w:vAlign w:val="bottom"/>
          </w:tcPr>
          <w:p w14:paraId="71D4180F" w14:textId="77777777" w:rsidR="006A3667" w:rsidRDefault="00045F32">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71D41810"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1811" w14:textId="77777777" w:rsidR="006A3667" w:rsidRDefault="00045F32">
            <w:pPr>
              <w:jc w:val="right"/>
              <w:textAlignment w:val="bottom"/>
            </w:pPr>
            <w:r>
              <w:rPr>
                <w:rFonts w:ascii="Arial" w:eastAsia="宋体" w:hAnsi="Arial" w:cs="Arial"/>
                <w:b/>
                <w:bCs/>
                <w:color w:val="000000"/>
                <w:sz w:val="15"/>
                <w:szCs w:val="15"/>
              </w:rPr>
              <w:t>17,102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8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1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814"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1815" w14:textId="77777777" w:rsidR="006A3667" w:rsidRDefault="00045F32">
            <w:pPr>
              <w:jc w:val="right"/>
              <w:textAlignment w:val="bottom"/>
            </w:pPr>
            <w:r>
              <w:rPr>
                <w:rFonts w:ascii="Arial" w:eastAsia="宋体" w:hAnsi="Arial" w:cs="Arial"/>
                <w:color w:val="000000"/>
                <w:sz w:val="15"/>
                <w:szCs w:val="15"/>
              </w:rPr>
              <w:t>17,923 </w:t>
            </w:r>
          </w:p>
        </w:tc>
        <w:tc>
          <w:tcPr>
            <w:tcW w:w="0" w:type="auto"/>
            <w:shd w:val="clear" w:color="auto" w:fill="CCEEFF"/>
            <w:tcMar>
              <w:top w:w="40" w:type="dxa"/>
              <w:left w:w="0" w:type="dxa"/>
              <w:bottom w:w="40" w:type="dxa"/>
              <w:right w:w="20" w:type="dxa"/>
            </w:tcMar>
            <w:vAlign w:val="bottom"/>
          </w:tcPr>
          <w:p w14:paraId="71D41816" w14:textId="77777777" w:rsidR="006A3667" w:rsidRDefault="006A3667">
            <w:pPr>
              <w:jc w:val="right"/>
              <w:rPr>
                <w:rFonts w:ascii="宋体"/>
              </w:rPr>
            </w:pPr>
          </w:p>
        </w:tc>
      </w:tr>
      <w:tr w:rsidR="006A3667" w14:paraId="71D4181E" w14:textId="77777777">
        <w:tc>
          <w:tcPr>
            <w:tcW w:w="0" w:type="auto"/>
            <w:gridSpan w:val="3"/>
            <w:shd w:val="clear" w:color="auto" w:fill="FFFFFF"/>
            <w:tcMar>
              <w:top w:w="40" w:type="dxa"/>
              <w:left w:w="20" w:type="dxa"/>
              <w:bottom w:w="40" w:type="dxa"/>
              <w:right w:w="20" w:type="dxa"/>
            </w:tcMar>
            <w:vAlign w:val="bottom"/>
          </w:tcPr>
          <w:p w14:paraId="71D41818" w14:textId="77777777" w:rsidR="006A3667" w:rsidRDefault="00045F32">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71D41819" w14:textId="77777777" w:rsidR="006A3667" w:rsidRDefault="00045F32">
            <w:pPr>
              <w:jc w:val="right"/>
              <w:textAlignment w:val="bottom"/>
            </w:pPr>
            <w:r>
              <w:rPr>
                <w:rFonts w:ascii="Arial" w:eastAsia="宋体" w:hAnsi="Arial" w:cs="Arial"/>
                <w:b/>
                <w:bCs/>
                <w:color w:val="000000"/>
                <w:sz w:val="15"/>
                <w:szCs w:val="15"/>
              </w:rPr>
              <w:t>275,168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18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81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81C" w14:textId="77777777" w:rsidR="006A3667" w:rsidRDefault="00045F32">
            <w:pPr>
              <w:jc w:val="right"/>
              <w:textAlignment w:val="bottom"/>
            </w:pPr>
            <w:r>
              <w:rPr>
                <w:rFonts w:ascii="Arial" w:eastAsia="宋体" w:hAnsi="Arial" w:cs="Arial"/>
                <w:color w:val="000000"/>
                <w:sz w:val="15"/>
                <w:szCs w:val="15"/>
              </w:rPr>
              <w:t>303,007 </w:t>
            </w:r>
          </w:p>
        </w:tc>
        <w:tc>
          <w:tcPr>
            <w:tcW w:w="0" w:type="auto"/>
            <w:shd w:val="clear" w:color="auto" w:fill="FFFFFF"/>
            <w:tcMar>
              <w:top w:w="40" w:type="dxa"/>
              <w:left w:w="0" w:type="dxa"/>
              <w:bottom w:w="40" w:type="dxa"/>
              <w:right w:w="20" w:type="dxa"/>
            </w:tcMar>
            <w:vAlign w:val="bottom"/>
          </w:tcPr>
          <w:p w14:paraId="71D4181D" w14:textId="77777777" w:rsidR="006A3667" w:rsidRDefault="006A3667">
            <w:pPr>
              <w:jc w:val="right"/>
              <w:rPr>
                <w:rFonts w:ascii="宋体"/>
              </w:rPr>
            </w:pPr>
          </w:p>
        </w:tc>
      </w:tr>
      <w:tr w:rsidR="006A3667" w14:paraId="71D41825" w14:textId="77777777">
        <w:tc>
          <w:tcPr>
            <w:tcW w:w="0" w:type="auto"/>
            <w:gridSpan w:val="3"/>
            <w:shd w:val="clear" w:color="auto" w:fill="CCEEFF"/>
            <w:tcMar>
              <w:top w:w="40" w:type="dxa"/>
              <w:left w:w="20" w:type="dxa"/>
              <w:bottom w:w="40" w:type="dxa"/>
              <w:right w:w="20" w:type="dxa"/>
            </w:tcMar>
            <w:vAlign w:val="bottom"/>
          </w:tcPr>
          <w:p w14:paraId="71D4181F" w14:textId="77777777" w:rsidR="006A3667" w:rsidRDefault="00045F32">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71D41820" w14:textId="77777777" w:rsidR="006A3667" w:rsidRDefault="00045F32">
            <w:pPr>
              <w:jc w:val="right"/>
              <w:textAlignment w:val="bottom"/>
            </w:pPr>
            <w:r>
              <w:rPr>
                <w:rFonts w:ascii="Arial" w:eastAsia="宋体" w:hAnsi="Arial" w:cs="Arial"/>
                <w:b/>
                <w:bCs/>
                <w:color w:val="000000"/>
                <w:sz w:val="15"/>
                <w:szCs w:val="15"/>
              </w:rPr>
              <w:t>(8,546)</w:t>
            </w:r>
          </w:p>
        </w:tc>
        <w:tc>
          <w:tcPr>
            <w:tcW w:w="0" w:type="auto"/>
            <w:shd w:val="clear" w:color="auto" w:fill="CCEEFF"/>
            <w:tcMar>
              <w:top w:w="40" w:type="dxa"/>
              <w:left w:w="0" w:type="dxa"/>
              <w:bottom w:w="40" w:type="dxa"/>
              <w:right w:w="20" w:type="dxa"/>
            </w:tcMar>
            <w:vAlign w:val="bottom"/>
          </w:tcPr>
          <w:p w14:paraId="71D4182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2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823" w14:textId="77777777" w:rsidR="006A3667" w:rsidRDefault="00045F32">
            <w:pPr>
              <w:jc w:val="right"/>
              <w:textAlignment w:val="bottom"/>
            </w:pPr>
            <w:r>
              <w:rPr>
                <w:rFonts w:ascii="Arial" w:eastAsia="宋体" w:hAnsi="Arial" w:cs="Arial"/>
                <w:color w:val="000000"/>
                <w:sz w:val="15"/>
                <w:szCs w:val="15"/>
              </w:rPr>
              <w:t>(9,440)</w:t>
            </w:r>
          </w:p>
        </w:tc>
        <w:tc>
          <w:tcPr>
            <w:tcW w:w="0" w:type="auto"/>
            <w:shd w:val="clear" w:color="auto" w:fill="CCEEFF"/>
            <w:tcMar>
              <w:top w:w="40" w:type="dxa"/>
              <w:left w:w="0" w:type="dxa"/>
              <w:bottom w:w="40" w:type="dxa"/>
              <w:right w:w="20" w:type="dxa"/>
            </w:tcMar>
            <w:vAlign w:val="bottom"/>
          </w:tcPr>
          <w:p w14:paraId="71D41824" w14:textId="77777777" w:rsidR="006A3667" w:rsidRDefault="006A3667">
            <w:pPr>
              <w:jc w:val="right"/>
              <w:rPr>
                <w:rFonts w:ascii="宋体"/>
              </w:rPr>
            </w:pPr>
          </w:p>
        </w:tc>
      </w:tr>
      <w:tr w:rsidR="006A3667" w14:paraId="71D4182C" w14:textId="77777777">
        <w:tc>
          <w:tcPr>
            <w:tcW w:w="0" w:type="auto"/>
            <w:gridSpan w:val="3"/>
            <w:shd w:val="clear" w:color="auto" w:fill="FFFFFF"/>
            <w:tcMar>
              <w:top w:w="40" w:type="dxa"/>
              <w:left w:w="20" w:type="dxa"/>
              <w:bottom w:w="40" w:type="dxa"/>
              <w:right w:w="20" w:type="dxa"/>
            </w:tcMar>
            <w:vAlign w:val="bottom"/>
          </w:tcPr>
          <w:p w14:paraId="71D41826" w14:textId="77777777" w:rsidR="006A3667" w:rsidRDefault="00045F32">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827" w14:textId="77777777" w:rsidR="006A3667" w:rsidRDefault="00045F32">
            <w:pPr>
              <w:jc w:val="right"/>
              <w:textAlignment w:val="bottom"/>
            </w:pPr>
            <w:r>
              <w:rPr>
                <w:rFonts w:ascii="Arial" w:eastAsia="宋体" w:hAnsi="Arial" w:cs="Arial"/>
                <w:b/>
                <w:bCs/>
                <w:color w:val="000000"/>
                <w:sz w:val="15"/>
                <w:szCs w:val="15"/>
              </w:rPr>
              <w:t>266,622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82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82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82A" w14:textId="77777777" w:rsidR="006A3667" w:rsidRDefault="00045F32">
            <w:pPr>
              <w:jc w:val="right"/>
              <w:textAlignment w:val="bottom"/>
            </w:pPr>
            <w:r>
              <w:rPr>
                <w:rFonts w:ascii="Arial" w:eastAsia="宋体" w:hAnsi="Arial" w:cs="Arial"/>
                <w:color w:val="000000"/>
                <w:sz w:val="15"/>
                <w:szCs w:val="15"/>
              </w:rPr>
              <w:t>293,567 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82B" w14:textId="77777777" w:rsidR="006A3667" w:rsidRDefault="006A3667">
            <w:pPr>
              <w:jc w:val="right"/>
              <w:rPr>
                <w:rFonts w:ascii="宋体"/>
              </w:rPr>
            </w:pPr>
          </w:p>
        </w:tc>
      </w:tr>
      <w:tr w:rsidR="006A3667" w14:paraId="71D41833" w14:textId="77777777">
        <w:tc>
          <w:tcPr>
            <w:tcW w:w="0" w:type="auto"/>
            <w:gridSpan w:val="3"/>
            <w:shd w:val="clear" w:color="auto" w:fill="CCEEFF"/>
            <w:tcMar>
              <w:top w:w="40" w:type="dxa"/>
              <w:left w:w="20" w:type="dxa"/>
              <w:bottom w:w="40" w:type="dxa"/>
              <w:right w:w="20" w:type="dxa"/>
            </w:tcMar>
            <w:vAlign w:val="bottom"/>
          </w:tcPr>
          <w:p w14:paraId="71D4182D" w14:textId="77777777" w:rsidR="006A3667" w:rsidRDefault="00045F32">
            <w:pPr>
              <w:textAlignment w:val="bottom"/>
            </w:pPr>
            <w:r>
              <w:rPr>
                <w:rFonts w:ascii="Arial" w:eastAsia="宋体" w:hAnsi="Arial" w:cs="Arial"/>
                <w:color w:val="000000"/>
                <w:sz w:val="15"/>
                <w:szCs w:val="15"/>
              </w:rPr>
              <w:t>Additional SLR exposure</w:t>
            </w:r>
          </w:p>
        </w:tc>
        <w:tc>
          <w:tcPr>
            <w:tcW w:w="0" w:type="auto"/>
            <w:gridSpan w:val="2"/>
            <w:shd w:val="clear" w:color="auto" w:fill="CCEEFF"/>
            <w:tcMar>
              <w:top w:w="40" w:type="dxa"/>
              <w:left w:w="20" w:type="dxa"/>
              <w:bottom w:w="40" w:type="dxa"/>
              <w:right w:w="0" w:type="dxa"/>
            </w:tcMar>
            <w:vAlign w:val="bottom"/>
          </w:tcPr>
          <w:p w14:paraId="71D4182E" w14:textId="77777777" w:rsidR="006A3667" w:rsidRDefault="00045F32">
            <w:pPr>
              <w:jc w:val="right"/>
              <w:textAlignment w:val="bottom"/>
            </w:pPr>
            <w:r>
              <w:rPr>
                <w:rFonts w:ascii="Arial" w:eastAsia="宋体" w:hAnsi="Arial" w:cs="Arial"/>
                <w:b/>
                <w:bCs/>
                <w:color w:val="000000"/>
                <w:sz w:val="15"/>
                <w:szCs w:val="15"/>
              </w:rPr>
              <w:t>39,011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8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831" w14:textId="77777777" w:rsidR="006A3667" w:rsidRDefault="00045F32">
            <w:pPr>
              <w:jc w:val="right"/>
              <w:textAlignment w:val="bottom"/>
            </w:pPr>
            <w:r>
              <w:rPr>
                <w:rFonts w:ascii="Arial" w:eastAsia="宋体" w:hAnsi="Arial" w:cs="Arial"/>
                <w:color w:val="000000"/>
                <w:sz w:val="15"/>
                <w:szCs w:val="15"/>
              </w:rPr>
              <w:t>32,985 </w:t>
            </w:r>
          </w:p>
        </w:tc>
        <w:tc>
          <w:tcPr>
            <w:tcW w:w="0" w:type="auto"/>
            <w:shd w:val="clear" w:color="auto" w:fill="CCEEFF"/>
            <w:tcMar>
              <w:top w:w="40" w:type="dxa"/>
              <w:left w:w="0" w:type="dxa"/>
              <w:bottom w:w="40" w:type="dxa"/>
              <w:right w:w="20" w:type="dxa"/>
            </w:tcMar>
            <w:vAlign w:val="bottom"/>
          </w:tcPr>
          <w:p w14:paraId="71D41832" w14:textId="77777777" w:rsidR="006A3667" w:rsidRDefault="006A3667">
            <w:pPr>
              <w:jc w:val="right"/>
              <w:rPr>
                <w:rFonts w:ascii="宋体"/>
              </w:rPr>
            </w:pPr>
          </w:p>
        </w:tc>
      </w:tr>
      <w:tr w:rsidR="006A3667" w14:paraId="71D4183A" w14:textId="77777777">
        <w:tc>
          <w:tcPr>
            <w:tcW w:w="0" w:type="auto"/>
            <w:gridSpan w:val="3"/>
            <w:shd w:val="clear" w:color="auto" w:fill="FFFFFF"/>
            <w:tcMar>
              <w:top w:w="40" w:type="dxa"/>
              <w:left w:w="20" w:type="dxa"/>
              <w:bottom w:w="40" w:type="dxa"/>
              <w:right w:w="20" w:type="dxa"/>
            </w:tcMar>
            <w:vAlign w:val="bottom"/>
          </w:tcPr>
          <w:p w14:paraId="71D41834" w14:textId="77777777" w:rsidR="006A3667" w:rsidRDefault="00045F32">
            <w:pPr>
              <w:textAlignment w:val="bottom"/>
            </w:pPr>
            <w:r>
              <w:rPr>
                <w:rFonts w:ascii="Arial" w:eastAsia="宋体" w:hAnsi="Arial" w:cs="Arial"/>
                <w:color w:val="000000"/>
                <w:sz w:val="15"/>
                <w:szCs w:val="15"/>
              </w:rPr>
              <w:t xml:space="preserve">Adjustments for </w:t>
            </w:r>
            <w:r>
              <w:rPr>
                <w:rFonts w:ascii="Arial" w:eastAsia="宋体" w:hAnsi="Arial" w:cs="Arial"/>
                <w:color w:val="000000"/>
                <w:sz w:val="15"/>
                <w:szCs w:val="15"/>
              </w:rPr>
              <w:t>deductions of qualifying central bank deposits</w:t>
            </w:r>
          </w:p>
        </w:tc>
        <w:tc>
          <w:tcPr>
            <w:tcW w:w="0" w:type="auto"/>
            <w:gridSpan w:val="2"/>
            <w:shd w:val="clear" w:color="auto" w:fill="FFFFFF"/>
            <w:tcMar>
              <w:top w:w="40" w:type="dxa"/>
              <w:left w:w="20" w:type="dxa"/>
              <w:bottom w:w="40" w:type="dxa"/>
              <w:right w:w="0" w:type="dxa"/>
            </w:tcMar>
            <w:vAlign w:val="bottom"/>
          </w:tcPr>
          <w:p w14:paraId="71D41835" w14:textId="77777777" w:rsidR="006A3667" w:rsidRDefault="00045F32">
            <w:pPr>
              <w:jc w:val="right"/>
              <w:textAlignment w:val="bottom"/>
            </w:pPr>
            <w:r>
              <w:rPr>
                <w:rFonts w:ascii="Arial" w:eastAsia="宋体" w:hAnsi="Arial" w:cs="Arial"/>
                <w:b/>
                <w:bCs/>
                <w:color w:val="000000"/>
                <w:sz w:val="15"/>
                <w:szCs w:val="15"/>
              </w:rPr>
              <w:t>(64,109)</w:t>
            </w:r>
          </w:p>
        </w:tc>
        <w:tc>
          <w:tcPr>
            <w:tcW w:w="0" w:type="auto"/>
            <w:shd w:val="clear" w:color="auto" w:fill="FFFFFF"/>
            <w:tcMar>
              <w:top w:w="40" w:type="dxa"/>
              <w:left w:w="0" w:type="dxa"/>
              <w:bottom w:w="40" w:type="dxa"/>
              <w:right w:w="20" w:type="dxa"/>
            </w:tcMar>
            <w:vAlign w:val="bottom"/>
          </w:tcPr>
          <w:p w14:paraId="71D418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83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838" w14:textId="77777777" w:rsidR="006A3667" w:rsidRDefault="00045F32">
            <w:pPr>
              <w:jc w:val="right"/>
              <w:textAlignment w:val="bottom"/>
            </w:pPr>
            <w:r>
              <w:rPr>
                <w:rFonts w:ascii="Arial" w:eastAsia="宋体" w:hAnsi="Arial" w:cs="Arial"/>
                <w:color w:val="000000"/>
                <w:sz w:val="15"/>
                <w:szCs w:val="15"/>
              </w:rPr>
              <w:t>(84,113)</w:t>
            </w:r>
          </w:p>
        </w:tc>
        <w:tc>
          <w:tcPr>
            <w:tcW w:w="0" w:type="auto"/>
            <w:shd w:val="clear" w:color="auto" w:fill="FFFFFF"/>
            <w:tcMar>
              <w:top w:w="40" w:type="dxa"/>
              <w:left w:w="0" w:type="dxa"/>
              <w:bottom w:w="40" w:type="dxa"/>
              <w:right w:w="20" w:type="dxa"/>
            </w:tcMar>
            <w:vAlign w:val="bottom"/>
          </w:tcPr>
          <w:p w14:paraId="71D41839" w14:textId="77777777" w:rsidR="006A3667" w:rsidRDefault="006A3667">
            <w:pPr>
              <w:jc w:val="right"/>
              <w:rPr>
                <w:rFonts w:ascii="宋体"/>
              </w:rPr>
            </w:pPr>
          </w:p>
        </w:tc>
      </w:tr>
      <w:tr w:rsidR="006A3667" w14:paraId="71D41843" w14:textId="77777777">
        <w:tc>
          <w:tcPr>
            <w:tcW w:w="0" w:type="auto"/>
            <w:gridSpan w:val="3"/>
            <w:shd w:val="clear" w:color="auto" w:fill="CCEEFF"/>
            <w:tcMar>
              <w:top w:w="40" w:type="dxa"/>
              <w:left w:w="20" w:type="dxa"/>
              <w:bottom w:w="40" w:type="dxa"/>
              <w:right w:w="20" w:type="dxa"/>
            </w:tcMar>
            <w:vAlign w:val="bottom"/>
          </w:tcPr>
          <w:p w14:paraId="71D4183B" w14:textId="77777777" w:rsidR="006A3667" w:rsidRDefault="00045F32">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183C"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83D" w14:textId="77777777" w:rsidR="006A3667" w:rsidRDefault="00045F32">
            <w:pPr>
              <w:jc w:val="right"/>
              <w:textAlignment w:val="bottom"/>
            </w:pPr>
            <w:r>
              <w:rPr>
                <w:rFonts w:ascii="Arial" w:eastAsia="宋体" w:hAnsi="Arial" w:cs="Arial"/>
                <w:b/>
                <w:bCs/>
                <w:color w:val="000000"/>
                <w:sz w:val="15"/>
                <w:szCs w:val="15"/>
              </w:rPr>
              <w:t>241,524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8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3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840"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841" w14:textId="77777777" w:rsidR="006A3667" w:rsidRDefault="00045F32">
            <w:pPr>
              <w:jc w:val="right"/>
              <w:textAlignment w:val="bottom"/>
            </w:pPr>
            <w:r>
              <w:rPr>
                <w:rFonts w:ascii="Arial" w:eastAsia="宋体" w:hAnsi="Arial" w:cs="Arial"/>
                <w:color w:val="000000"/>
                <w:sz w:val="15"/>
                <w:szCs w:val="15"/>
              </w:rPr>
              <w:t>242,439 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842" w14:textId="77777777" w:rsidR="006A3667" w:rsidRDefault="006A3667">
            <w:pPr>
              <w:jc w:val="right"/>
              <w:rPr>
                <w:rFonts w:ascii="宋体"/>
              </w:rPr>
            </w:pPr>
          </w:p>
        </w:tc>
      </w:tr>
      <w:tr w:rsidR="006A3667" w14:paraId="71D4184A" w14:textId="77777777">
        <w:tc>
          <w:tcPr>
            <w:tcW w:w="0" w:type="auto"/>
            <w:gridSpan w:val="3"/>
            <w:shd w:val="clear" w:color="auto" w:fill="FFFFFF"/>
            <w:tcMar>
              <w:top w:w="40" w:type="dxa"/>
              <w:left w:w="20" w:type="dxa"/>
              <w:bottom w:w="40" w:type="dxa"/>
              <w:right w:w="20" w:type="dxa"/>
            </w:tcMar>
            <w:vAlign w:val="bottom"/>
          </w:tcPr>
          <w:p w14:paraId="71D41844" w14:textId="77777777" w:rsidR="006A3667" w:rsidRDefault="00045F32">
            <w:pPr>
              <w:textAlignment w:val="bottom"/>
            </w:pPr>
            <w:r>
              <w:rPr>
                <w:rFonts w:ascii="Arial" w:eastAsia="宋体" w:hAnsi="Arial" w:cs="Arial"/>
                <w:color w:val="000000"/>
                <w:sz w:val="15"/>
                <w:szCs w:val="15"/>
              </w:rPr>
              <w:t>Tier 1 leverage ratio</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1845" w14:textId="77777777" w:rsidR="006A3667" w:rsidRDefault="00045F32">
            <w:pPr>
              <w:jc w:val="right"/>
              <w:textAlignment w:val="bottom"/>
            </w:pPr>
            <w:r>
              <w:rPr>
                <w:rFonts w:ascii="Arial" w:eastAsia="宋体" w:hAnsi="Arial" w:cs="Arial"/>
                <w:b/>
                <w:bCs/>
                <w:color w:val="000000"/>
                <w:sz w:val="15"/>
                <w:szCs w:val="15"/>
              </w:rPr>
              <w:t>6.4</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1846" w14:textId="77777777" w:rsidR="006A3667" w:rsidRDefault="00045F32">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71D41847"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1848" w14:textId="77777777" w:rsidR="006A3667" w:rsidRDefault="00045F32">
            <w:pPr>
              <w:jc w:val="right"/>
              <w:textAlignment w:val="bottom"/>
            </w:pPr>
            <w:r>
              <w:rPr>
                <w:rFonts w:ascii="Arial" w:eastAsia="宋体" w:hAnsi="Arial" w:cs="Arial"/>
                <w:color w:val="000000"/>
                <w:sz w:val="15"/>
                <w:szCs w:val="15"/>
              </w:rPr>
              <w:t>6.1 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1849" w14:textId="77777777" w:rsidR="006A3667" w:rsidRDefault="00045F32">
            <w:pPr>
              <w:jc w:val="right"/>
              <w:textAlignment w:val="bottom"/>
            </w:pPr>
            <w:r>
              <w:rPr>
                <w:rFonts w:ascii="Arial" w:eastAsia="宋体" w:hAnsi="Arial" w:cs="Arial"/>
                <w:color w:val="000000"/>
                <w:sz w:val="15"/>
                <w:szCs w:val="15"/>
              </w:rPr>
              <w:t>%</w:t>
            </w:r>
          </w:p>
        </w:tc>
      </w:tr>
      <w:tr w:rsidR="006A3667" w14:paraId="71D41851" w14:textId="77777777">
        <w:tc>
          <w:tcPr>
            <w:tcW w:w="0" w:type="auto"/>
            <w:gridSpan w:val="3"/>
            <w:shd w:val="clear" w:color="auto" w:fill="CCEEFF"/>
            <w:tcMar>
              <w:top w:w="40" w:type="dxa"/>
              <w:left w:w="20" w:type="dxa"/>
              <w:bottom w:w="40" w:type="dxa"/>
              <w:right w:w="20" w:type="dxa"/>
            </w:tcMar>
            <w:vAlign w:val="bottom"/>
          </w:tcPr>
          <w:p w14:paraId="71D4184B" w14:textId="77777777" w:rsidR="006A3667" w:rsidRDefault="00045F32">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71D4184C" w14:textId="77777777" w:rsidR="006A3667" w:rsidRDefault="00045F32">
            <w:pPr>
              <w:jc w:val="right"/>
              <w:textAlignment w:val="bottom"/>
            </w:pPr>
            <w:r>
              <w:rPr>
                <w:rFonts w:ascii="Arial" w:eastAsia="宋体" w:hAnsi="Arial" w:cs="Arial"/>
                <w:b/>
                <w:bCs/>
                <w:color w:val="000000"/>
                <w:sz w:val="15"/>
                <w:szCs w:val="15"/>
              </w:rPr>
              <w:t>7.1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8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4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84F" w14:textId="77777777" w:rsidR="006A3667" w:rsidRDefault="00045F32">
            <w:pPr>
              <w:jc w:val="right"/>
              <w:textAlignment w:val="bottom"/>
            </w:pPr>
            <w:r>
              <w:rPr>
                <w:rFonts w:ascii="Arial" w:eastAsia="宋体" w:hAnsi="Arial" w:cs="Arial"/>
                <w:color w:val="000000"/>
                <w:sz w:val="15"/>
                <w:szCs w:val="15"/>
              </w:rPr>
              <w:t>7.4 </w:t>
            </w:r>
          </w:p>
        </w:tc>
        <w:tc>
          <w:tcPr>
            <w:tcW w:w="0" w:type="auto"/>
            <w:shd w:val="clear" w:color="auto" w:fill="CCEEFF"/>
            <w:tcMar>
              <w:top w:w="40" w:type="dxa"/>
              <w:left w:w="0" w:type="dxa"/>
              <w:bottom w:w="40" w:type="dxa"/>
              <w:right w:w="20" w:type="dxa"/>
            </w:tcMar>
            <w:vAlign w:val="bottom"/>
          </w:tcPr>
          <w:p w14:paraId="71D41850" w14:textId="77777777" w:rsidR="006A3667" w:rsidRDefault="006A3667">
            <w:pPr>
              <w:jc w:val="right"/>
              <w:rPr>
                <w:rFonts w:ascii="宋体"/>
              </w:rPr>
            </w:pPr>
          </w:p>
        </w:tc>
      </w:tr>
      <w:tr w:rsidR="006A3667" w14:paraId="71D41856" w14:textId="77777777">
        <w:trPr>
          <w:trHeight w:val="60"/>
        </w:trPr>
        <w:tc>
          <w:tcPr>
            <w:tcW w:w="0" w:type="auto"/>
            <w:gridSpan w:val="3"/>
            <w:shd w:val="clear" w:color="auto" w:fill="auto"/>
            <w:tcMar>
              <w:top w:w="0" w:type="dxa"/>
              <w:left w:w="20" w:type="dxa"/>
              <w:bottom w:w="0" w:type="dxa"/>
              <w:right w:w="20" w:type="dxa"/>
            </w:tcMar>
            <w:vAlign w:val="bottom"/>
          </w:tcPr>
          <w:p w14:paraId="71D4185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85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85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855" w14:textId="77777777" w:rsidR="006A3667" w:rsidRDefault="006A3667">
            <w:pPr>
              <w:rPr>
                <w:rFonts w:ascii="宋体"/>
              </w:rPr>
            </w:pPr>
          </w:p>
        </w:tc>
      </w:tr>
      <w:tr w:rsidR="006A3667" w14:paraId="71D4185B" w14:textId="77777777">
        <w:tc>
          <w:tcPr>
            <w:tcW w:w="0" w:type="auto"/>
            <w:gridSpan w:val="3"/>
            <w:shd w:val="clear" w:color="auto" w:fill="FFFFFF"/>
            <w:tcMar>
              <w:top w:w="40" w:type="dxa"/>
              <w:left w:w="20" w:type="dxa"/>
              <w:bottom w:w="40" w:type="dxa"/>
              <w:right w:w="20" w:type="dxa"/>
            </w:tcMar>
            <w:vAlign w:val="bottom"/>
          </w:tcPr>
          <w:p w14:paraId="71D41857" w14:textId="77777777" w:rsidR="006A3667" w:rsidRDefault="00045F32">
            <w:pPr>
              <w:textAlignment w:val="bottom"/>
            </w:pPr>
            <w:r>
              <w:rPr>
                <w:rFonts w:ascii="Arial" w:eastAsia="宋体" w:hAnsi="Arial" w:cs="Arial"/>
                <w:b/>
                <w:bCs/>
                <w:color w:val="000000"/>
                <w:sz w:val="15"/>
                <w:szCs w:val="15"/>
              </w:rPr>
              <w:t>State Street Bank:</w:t>
            </w:r>
          </w:p>
        </w:tc>
        <w:tc>
          <w:tcPr>
            <w:tcW w:w="0" w:type="auto"/>
            <w:gridSpan w:val="3"/>
            <w:shd w:val="clear" w:color="auto" w:fill="FFFFFF"/>
            <w:tcMar>
              <w:top w:w="0" w:type="dxa"/>
              <w:left w:w="20" w:type="dxa"/>
              <w:bottom w:w="0" w:type="dxa"/>
              <w:right w:w="20" w:type="dxa"/>
            </w:tcMar>
            <w:vAlign w:val="bottom"/>
          </w:tcPr>
          <w:p w14:paraId="71D4185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85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85A" w14:textId="77777777" w:rsidR="006A3667" w:rsidRDefault="006A3667">
            <w:pPr>
              <w:rPr>
                <w:rFonts w:ascii="宋体"/>
              </w:rPr>
            </w:pPr>
          </w:p>
        </w:tc>
      </w:tr>
      <w:tr w:rsidR="006A3667" w14:paraId="71D41864" w14:textId="77777777">
        <w:tc>
          <w:tcPr>
            <w:tcW w:w="0" w:type="auto"/>
            <w:gridSpan w:val="3"/>
            <w:shd w:val="clear" w:color="auto" w:fill="CCEEFF"/>
            <w:tcMar>
              <w:top w:w="40" w:type="dxa"/>
              <w:left w:w="20" w:type="dxa"/>
              <w:bottom w:w="40" w:type="dxa"/>
              <w:right w:w="20" w:type="dxa"/>
            </w:tcMar>
            <w:vAlign w:val="bottom"/>
          </w:tcPr>
          <w:p w14:paraId="71D4185C" w14:textId="77777777" w:rsidR="006A3667" w:rsidRDefault="00045F32">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71D4185D"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185E" w14:textId="77777777" w:rsidR="006A3667" w:rsidRDefault="00045F32">
            <w:pPr>
              <w:jc w:val="right"/>
              <w:textAlignment w:val="bottom"/>
            </w:pPr>
            <w:r>
              <w:rPr>
                <w:rFonts w:ascii="Arial" w:eastAsia="宋体" w:hAnsi="Arial" w:cs="Arial"/>
                <w:b/>
                <w:bCs/>
                <w:color w:val="000000"/>
                <w:sz w:val="15"/>
                <w:szCs w:val="15"/>
              </w:rPr>
              <w:t>18,687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8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6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861"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1862" w14:textId="77777777" w:rsidR="006A3667" w:rsidRDefault="00045F32">
            <w:pPr>
              <w:jc w:val="right"/>
              <w:textAlignment w:val="bottom"/>
            </w:pPr>
            <w:r>
              <w:rPr>
                <w:rFonts w:ascii="Arial" w:eastAsia="宋体" w:hAnsi="Arial" w:cs="Arial"/>
                <w:color w:val="000000"/>
                <w:sz w:val="15"/>
                <w:szCs w:val="15"/>
              </w:rPr>
              <w:t>18,845 </w:t>
            </w:r>
          </w:p>
        </w:tc>
        <w:tc>
          <w:tcPr>
            <w:tcW w:w="0" w:type="auto"/>
            <w:shd w:val="clear" w:color="auto" w:fill="CCEEFF"/>
            <w:tcMar>
              <w:top w:w="40" w:type="dxa"/>
              <w:left w:w="0" w:type="dxa"/>
              <w:bottom w:w="40" w:type="dxa"/>
              <w:right w:w="20" w:type="dxa"/>
            </w:tcMar>
            <w:vAlign w:val="bottom"/>
          </w:tcPr>
          <w:p w14:paraId="71D41863" w14:textId="77777777" w:rsidR="006A3667" w:rsidRDefault="006A3667">
            <w:pPr>
              <w:jc w:val="right"/>
              <w:rPr>
                <w:rFonts w:ascii="宋体"/>
              </w:rPr>
            </w:pPr>
          </w:p>
        </w:tc>
      </w:tr>
      <w:tr w:rsidR="006A3667" w14:paraId="71D4186B" w14:textId="77777777">
        <w:tc>
          <w:tcPr>
            <w:tcW w:w="0" w:type="auto"/>
            <w:gridSpan w:val="3"/>
            <w:shd w:val="clear" w:color="auto" w:fill="FFFFFF"/>
            <w:tcMar>
              <w:top w:w="40" w:type="dxa"/>
              <w:left w:w="20" w:type="dxa"/>
              <w:bottom w:w="40" w:type="dxa"/>
              <w:right w:w="20" w:type="dxa"/>
            </w:tcMar>
            <w:vAlign w:val="bottom"/>
          </w:tcPr>
          <w:p w14:paraId="71D41865" w14:textId="77777777" w:rsidR="006A3667" w:rsidRDefault="00045F32">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71D41866" w14:textId="77777777" w:rsidR="006A3667" w:rsidRDefault="00045F32">
            <w:pPr>
              <w:jc w:val="right"/>
              <w:textAlignment w:val="bottom"/>
            </w:pPr>
            <w:r>
              <w:rPr>
                <w:rFonts w:ascii="Arial" w:eastAsia="宋体" w:hAnsi="Arial" w:cs="Arial"/>
                <w:b/>
                <w:bCs/>
                <w:color w:val="000000"/>
                <w:sz w:val="15"/>
                <w:szCs w:val="15"/>
              </w:rPr>
              <w:t>272,124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18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86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869" w14:textId="77777777" w:rsidR="006A3667" w:rsidRDefault="00045F32">
            <w:pPr>
              <w:jc w:val="right"/>
              <w:textAlignment w:val="bottom"/>
            </w:pPr>
            <w:r>
              <w:rPr>
                <w:rFonts w:ascii="Arial" w:eastAsia="宋体" w:hAnsi="Arial" w:cs="Arial"/>
                <w:color w:val="000000"/>
                <w:sz w:val="15"/>
                <w:szCs w:val="15"/>
              </w:rPr>
              <w:t>299,379 </w:t>
            </w:r>
          </w:p>
        </w:tc>
        <w:tc>
          <w:tcPr>
            <w:tcW w:w="0" w:type="auto"/>
            <w:shd w:val="clear" w:color="auto" w:fill="FFFFFF"/>
            <w:tcMar>
              <w:top w:w="40" w:type="dxa"/>
              <w:left w:w="0" w:type="dxa"/>
              <w:bottom w:w="40" w:type="dxa"/>
              <w:right w:w="20" w:type="dxa"/>
            </w:tcMar>
            <w:vAlign w:val="bottom"/>
          </w:tcPr>
          <w:p w14:paraId="71D4186A" w14:textId="77777777" w:rsidR="006A3667" w:rsidRDefault="006A3667">
            <w:pPr>
              <w:jc w:val="right"/>
              <w:rPr>
                <w:rFonts w:ascii="宋体"/>
              </w:rPr>
            </w:pPr>
          </w:p>
        </w:tc>
      </w:tr>
      <w:tr w:rsidR="006A3667" w14:paraId="71D41872" w14:textId="77777777">
        <w:tc>
          <w:tcPr>
            <w:tcW w:w="0" w:type="auto"/>
            <w:gridSpan w:val="3"/>
            <w:shd w:val="clear" w:color="auto" w:fill="CCEEFF"/>
            <w:tcMar>
              <w:top w:w="40" w:type="dxa"/>
              <w:left w:w="20" w:type="dxa"/>
              <w:bottom w:w="40" w:type="dxa"/>
              <w:right w:w="20" w:type="dxa"/>
            </w:tcMar>
            <w:vAlign w:val="bottom"/>
          </w:tcPr>
          <w:p w14:paraId="71D4186C" w14:textId="77777777" w:rsidR="006A3667" w:rsidRDefault="00045F32">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71D4186D" w14:textId="77777777" w:rsidR="006A3667" w:rsidRDefault="00045F32">
            <w:pPr>
              <w:jc w:val="right"/>
              <w:textAlignment w:val="bottom"/>
            </w:pPr>
            <w:r>
              <w:rPr>
                <w:rFonts w:ascii="Arial" w:eastAsia="宋体" w:hAnsi="Arial" w:cs="Arial"/>
                <w:b/>
                <w:bCs/>
                <w:color w:val="000000"/>
                <w:sz w:val="15"/>
                <w:szCs w:val="15"/>
              </w:rPr>
              <w:t>(8,120)</w:t>
            </w:r>
          </w:p>
        </w:tc>
        <w:tc>
          <w:tcPr>
            <w:tcW w:w="0" w:type="auto"/>
            <w:shd w:val="clear" w:color="auto" w:fill="CCEEFF"/>
            <w:tcMar>
              <w:top w:w="40" w:type="dxa"/>
              <w:left w:w="0" w:type="dxa"/>
              <w:bottom w:w="40" w:type="dxa"/>
              <w:right w:w="20" w:type="dxa"/>
            </w:tcMar>
            <w:vAlign w:val="bottom"/>
          </w:tcPr>
          <w:p w14:paraId="71D418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6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870" w14:textId="77777777" w:rsidR="006A3667" w:rsidRDefault="00045F32">
            <w:pPr>
              <w:jc w:val="right"/>
              <w:textAlignment w:val="bottom"/>
            </w:pPr>
            <w:r>
              <w:rPr>
                <w:rFonts w:ascii="Arial" w:eastAsia="宋体" w:hAnsi="Arial" w:cs="Arial"/>
                <w:color w:val="000000"/>
                <w:sz w:val="15"/>
                <w:szCs w:val="15"/>
              </w:rPr>
              <w:t>(8,976)</w:t>
            </w:r>
          </w:p>
        </w:tc>
        <w:tc>
          <w:tcPr>
            <w:tcW w:w="0" w:type="auto"/>
            <w:shd w:val="clear" w:color="auto" w:fill="CCEEFF"/>
            <w:tcMar>
              <w:top w:w="40" w:type="dxa"/>
              <w:left w:w="0" w:type="dxa"/>
              <w:bottom w:w="40" w:type="dxa"/>
              <w:right w:w="20" w:type="dxa"/>
            </w:tcMar>
            <w:vAlign w:val="bottom"/>
          </w:tcPr>
          <w:p w14:paraId="71D41871" w14:textId="77777777" w:rsidR="006A3667" w:rsidRDefault="006A3667">
            <w:pPr>
              <w:jc w:val="right"/>
              <w:rPr>
                <w:rFonts w:ascii="宋体"/>
              </w:rPr>
            </w:pPr>
          </w:p>
        </w:tc>
      </w:tr>
      <w:tr w:rsidR="006A3667" w14:paraId="71D41879" w14:textId="77777777">
        <w:tc>
          <w:tcPr>
            <w:tcW w:w="0" w:type="auto"/>
            <w:gridSpan w:val="3"/>
            <w:shd w:val="clear" w:color="auto" w:fill="FFFFFF"/>
            <w:tcMar>
              <w:top w:w="40" w:type="dxa"/>
              <w:left w:w="20" w:type="dxa"/>
              <w:bottom w:w="40" w:type="dxa"/>
              <w:right w:w="20" w:type="dxa"/>
            </w:tcMar>
            <w:vAlign w:val="bottom"/>
          </w:tcPr>
          <w:p w14:paraId="71D41873" w14:textId="77777777" w:rsidR="006A3667" w:rsidRDefault="00045F32">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874" w14:textId="77777777" w:rsidR="006A3667" w:rsidRDefault="00045F32">
            <w:pPr>
              <w:jc w:val="right"/>
              <w:textAlignment w:val="bottom"/>
            </w:pPr>
            <w:r>
              <w:rPr>
                <w:rFonts w:ascii="Arial" w:eastAsia="宋体" w:hAnsi="Arial" w:cs="Arial"/>
                <w:b/>
                <w:bCs/>
                <w:color w:val="000000"/>
                <w:sz w:val="15"/>
                <w:szCs w:val="15"/>
              </w:rPr>
              <w:t>264,004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87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87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1877" w14:textId="77777777" w:rsidR="006A3667" w:rsidRDefault="00045F32">
            <w:pPr>
              <w:jc w:val="right"/>
              <w:textAlignment w:val="bottom"/>
            </w:pPr>
            <w:r>
              <w:rPr>
                <w:rFonts w:ascii="Arial" w:eastAsia="宋体" w:hAnsi="Arial" w:cs="Arial"/>
                <w:color w:val="000000"/>
                <w:sz w:val="15"/>
                <w:szCs w:val="15"/>
              </w:rPr>
              <w:t>290,403 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878" w14:textId="77777777" w:rsidR="006A3667" w:rsidRDefault="006A3667">
            <w:pPr>
              <w:jc w:val="right"/>
              <w:rPr>
                <w:rFonts w:ascii="宋体"/>
              </w:rPr>
            </w:pPr>
          </w:p>
        </w:tc>
      </w:tr>
      <w:tr w:rsidR="006A3667" w14:paraId="71D41880" w14:textId="77777777">
        <w:tc>
          <w:tcPr>
            <w:tcW w:w="0" w:type="auto"/>
            <w:gridSpan w:val="3"/>
            <w:shd w:val="clear" w:color="auto" w:fill="CCEEFF"/>
            <w:tcMar>
              <w:top w:w="40" w:type="dxa"/>
              <w:left w:w="20" w:type="dxa"/>
              <w:bottom w:w="40" w:type="dxa"/>
              <w:right w:w="20" w:type="dxa"/>
            </w:tcMar>
            <w:vAlign w:val="bottom"/>
          </w:tcPr>
          <w:p w14:paraId="71D4187A" w14:textId="77777777" w:rsidR="006A3667" w:rsidRDefault="00045F32">
            <w:pPr>
              <w:textAlignment w:val="bottom"/>
            </w:pPr>
            <w:r>
              <w:rPr>
                <w:rFonts w:ascii="Arial" w:eastAsia="宋体" w:hAnsi="Arial" w:cs="Arial"/>
                <w:color w:val="000000"/>
                <w:sz w:val="15"/>
                <w:szCs w:val="15"/>
              </w:rPr>
              <w:t>Additional SLR exposure</w:t>
            </w:r>
          </w:p>
        </w:tc>
        <w:tc>
          <w:tcPr>
            <w:tcW w:w="0" w:type="auto"/>
            <w:gridSpan w:val="2"/>
            <w:shd w:val="clear" w:color="auto" w:fill="CCEEFF"/>
            <w:tcMar>
              <w:top w:w="40" w:type="dxa"/>
              <w:left w:w="20" w:type="dxa"/>
              <w:bottom w:w="40" w:type="dxa"/>
              <w:right w:w="0" w:type="dxa"/>
            </w:tcMar>
            <w:vAlign w:val="bottom"/>
          </w:tcPr>
          <w:p w14:paraId="71D4187B" w14:textId="77777777" w:rsidR="006A3667" w:rsidRDefault="00045F32">
            <w:pPr>
              <w:jc w:val="right"/>
              <w:textAlignment w:val="bottom"/>
            </w:pPr>
            <w:r>
              <w:rPr>
                <w:rFonts w:ascii="Arial" w:eastAsia="宋体" w:hAnsi="Arial" w:cs="Arial"/>
                <w:b/>
                <w:bCs/>
                <w:color w:val="000000"/>
                <w:sz w:val="15"/>
                <w:szCs w:val="15"/>
              </w:rPr>
              <w:t>41,261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87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7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87E" w14:textId="77777777" w:rsidR="006A3667" w:rsidRDefault="00045F32">
            <w:pPr>
              <w:jc w:val="right"/>
              <w:textAlignment w:val="bottom"/>
            </w:pPr>
            <w:r>
              <w:rPr>
                <w:rFonts w:ascii="Arial" w:eastAsia="宋体" w:hAnsi="Arial" w:cs="Arial"/>
                <w:color w:val="000000"/>
                <w:sz w:val="15"/>
                <w:szCs w:val="15"/>
              </w:rPr>
              <w:t>32,985 </w:t>
            </w:r>
          </w:p>
        </w:tc>
        <w:tc>
          <w:tcPr>
            <w:tcW w:w="0" w:type="auto"/>
            <w:shd w:val="clear" w:color="auto" w:fill="CCEEFF"/>
            <w:tcMar>
              <w:top w:w="40" w:type="dxa"/>
              <w:left w:w="0" w:type="dxa"/>
              <w:bottom w:w="40" w:type="dxa"/>
              <w:right w:w="20" w:type="dxa"/>
            </w:tcMar>
            <w:vAlign w:val="bottom"/>
          </w:tcPr>
          <w:p w14:paraId="71D4187F" w14:textId="77777777" w:rsidR="006A3667" w:rsidRDefault="006A3667">
            <w:pPr>
              <w:jc w:val="right"/>
              <w:rPr>
                <w:rFonts w:ascii="宋体"/>
              </w:rPr>
            </w:pPr>
          </w:p>
        </w:tc>
      </w:tr>
      <w:tr w:rsidR="006A3667" w14:paraId="71D41887" w14:textId="77777777">
        <w:tc>
          <w:tcPr>
            <w:tcW w:w="0" w:type="auto"/>
            <w:gridSpan w:val="3"/>
            <w:shd w:val="clear" w:color="auto" w:fill="FFFFFF"/>
            <w:tcMar>
              <w:top w:w="40" w:type="dxa"/>
              <w:left w:w="20" w:type="dxa"/>
              <w:bottom w:w="40" w:type="dxa"/>
              <w:right w:w="20" w:type="dxa"/>
            </w:tcMar>
            <w:vAlign w:val="bottom"/>
          </w:tcPr>
          <w:p w14:paraId="71D41881" w14:textId="77777777" w:rsidR="006A3667" w:rsidRDefault="00045F32">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71D41882" w14:textId="77777777" w:rsidR="006A3667" w:rsidRDefault="00045F32">
            <w:pPr>
              <w:jc w:val="right"/>
              <w:textAlignment w:val="bottom"/>
            </w:pPr>
            <w:r>
              <w:rPr>
                <w:rFonts w:ascii="Arial" w:eastAsia="宋体" w:hAnsi="Arial" w:cs="Arial"/>
                <w:b/>
                <w:bCs/>
                <w:color w:val="000000"/>
                <w:sz w:val="15"/>
                <w:szCs w:val="15"/>
              </w:rPr>
              <w:t>(64,109)</w:t>
            </w:r>
          </w:p>
        </w:tc>
        <w:tc>
          <w:tcPr>
            <w:tcW w:w="0" w:type="auto"/>
            <w:shd w:val="clear" w:color="auto" w:fill="FFFFFF"/>
            <w:tcMar>
              <w:top w:w="40" w:type="dxa"/>
              <w:left w:w="0" w:type="dxa"/>
              <w:bottom w:w="40" w:type="dxa"/>
              <w:right w:w="20" w:type="dxa"/>
            </w:tcMar>
            <w:vAlign w:val="bottom"/>
          </w:tcPr>
          <w:p w14:paraId="71D4188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88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885" w14:textId="77777777" w:rsidR="006A3667" w:rsidRDefault="00045F32">
            <w:pPr>
              <w:jc w:val="right"/>
              <w:textAlignment w:val="bottom"/>
            </w:pPr>
            <w:r>
              <w:rPr>
                <w:rFonts w:ascii="Arial" w:eastAsia="宋体" w:hAnsi="Arial" w:cs="Arial"/>
                <w:color w:val="000000"/>
                <w:sz w:val="15"/>
                <w:szCs w:val="15"/>
              </w:rPr>
              <w:t>(84,113)</w:t>
            </w:r>
          </w:p>
        </w:tc>
        <w:tc>
          <w:tcPr>
            <w:tcW w:w="0" w:type="auto"/>
            <w:shd w:val="clear" w:color="auto" w:fill="FFFFFF"/>
            <w:tcMar>
              <w:top w:w="40" w:type="dxa"/>
              <w:left w:w="0" w:type="dxa"/>
              <w:bottom w:w="40" w:type="dxa"/>
              <w:right w:w="20" w:type="dxa"/>
            </w:tcMar>
            <w:vAlign w:val="bottom"/>
          </w:tcPr>
          <w:p w14:paraId="71D41886" w14:textId="77777777" w:rsidR="006A3667" w:rsidRDefault="006A3667">
            <w:pPr>
              <w:jc w:val="right"/>
              <w:rPr>
                <w:rFonts w:ascii="宋体"/>
              </w:rPr>
            </w:pPr>
          </w:p>
        </w:tc>
      </w:tr>
      <w:tr w:rsidR="006A3667" w14:paraId="71D41890" w14:textId="77777777">
        <w:tc>
          <w:tcPr>
            <w:tcW w:w="0" w:type="auto"/>
            <w:gridSpan w:val="3"/>
            <w:shd w:val="clear" w:color="auto" w:fill="CCEEFF"/>
            <w:tcMar>
              <w:top w:w="40" w:type="dxa"/>
              <w:left w:w="20" w:type="dxa"/>
              <w:bottom w:w="40" w:type="dxa"/>
              <w:right w:w="20" w:type="dxa"/>
            </w:tcMar>
            <w:vAlign w:val="bottom"/>
          </w:tcPr>
          <w:p w14:paraId="71D41888" w14:textId="77777777" w:rsidR="006A3667" w:rsidRDefault="00045F32">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1889"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88A" w14:textId="77777777" w:rsidR="006A3667" w:rsidRDefault="00045F32">
            <w:pPr>
              <w:jc w:val="right"/>
              <w:textAlignment w:val="bottom"/>
            </w:pPr>
            <w:r>
              <w:rPr>
                <w:rFonts w:ascii="Arial" w:eastAsia="宋体" w:hAnsi="Arial" w:cs="Arial"/>
                <w:b/>
                <w:bCs/>
                <w:color w:val="000000"/>
                <w:sz w:val="15"/>
                <w:szCs w:val="15"/>
              </w:rPr>
              <w:t>241,156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88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8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88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88E" w14:textId="77777777" w:rsidR="006A3667" w:rsidRDefault="00045F32">
            <w:pPr>
              <w:jc w:val="right"/>
              <w:textAlignment w:val="bottom"/>
            </w:pPr>
            <w:r>
              <w:rPr>
                <w:rFonts w:ascii="Arial" w:eastAsia="宋体" w:hAnsi="Arial" w:cs="Arial"/>
                <w:color w:val="000000"/>
                <w:sz w:val="15"/>
                <w:szCs w:val="15"/>
              </w:rPr>
              <w:t>239,275 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88F" w14:textId="77777777" w:rsidR="006A3667" w:rsidRDefault="006A3667">
            <w:pPr>
              <w:jc w:val="right"/>
              <w:rPr>
                <w:rFonts w:ascii="宋体"/>
              </w:rPr>
            </w:pPr>
          </w:p>
        </w:tc>
      </w:tr>
      <w:tr w:rsidR="006A3667" w14:paraId="71D41897" w14:textId="77777777">
        <w:tc>
          <w:tcPr>
            <w:tcW w:w="0" w:type="auto"/>
            <w:gridSpan w:val="3"/>
            <w:shd w:val="clear" w:color="auto" w:fill="FFFFFF"/>
            <w:tcMar>
              <w:top w:w="40" w:type="dxa"/>
              <w:left w:w="20" w:type="dxa"/>
              <w:bottom w:w="40" w:type="dxa"/>
              <w:right w:w="20" w:type="dxa"/>
            </w:tcMar>
            <w:vAlign w:val="bottom"/>
          </w:tcPr>
          <w:p w14:paraId="71D41891" w14:textId="77777777" w:rsidR="006A3667" w:rsidRDefault="00045F32">
            <w:pPr>
              <w:textAlignment w:val="bottom"/>
            </w:pPr>
            <w:r>
              <w:rPr>
                <w:rFonts w:ascii="Arial" w:eastAsia="宋体" w:hAnsi="Arial" w:cs="Arial"/>
                <w:color w:val="000000"/>
                <w:sz w:val="15"/>
                <w:szCs w:val="15"/>
              </w:rPr>
              <w:t>Tier 1 leverage ratio</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1892" w14:textId="77777777" w:rsidR="006A3667" w:rsidRDefault="00045F32">
            <w:pPr>
              <w:jc w:val="right"/>
              <w:textAlignment w:val="bottom"/>
            </w:pPr>
            <w:r>
              <w:rPr>
                <w:rFonts w:ascii="Arial" w:eastAsia="宋体" w:hAnsi="Arial" w:cs="Arial"/>
                <w:b/>
                <w:bCs/>
                <w:color w:val="000000"/>
                <w:sz w:val="15"/>
                <w:szCs w:val="15"/>
              </w:rPr>
              <w:t>7.1</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1893" w14:textId="77777777" w:rsidR="006A3667" w:rsidRDefault="00045F32">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71D41894"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1895" w14:textId="77777777" w:rsidR="006A3667" w:rsidRDefault="00045F32">
            <w:pPr>
              <w:jc w:val="right"/>
              <w:textAlignment w:val="bottom"/>
            </w:pPr>
            <w:r>
              <w:rPr>
                <w:rFonts w:ascii="Arial" w:eastAsia="宋体" w:hAnsi="Arial" w:cs="Arial"/>
                <w:color w:val="000000"/>
                <w:sz w:val="15"/>
                <w:szCs w:val="15"/>
              </w:rPr>
              <w:t>6.5 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1896" w14:textId="77777777" w:rsidR="006A3667" w:rsidRDefault="00045F32">
            <w:pPr>
              <w:jc w:val="right"/>
              <w:textAlignment w:val="bottom"/>
            </w:pPr>
            <w:r>
              <w:rPr>
                <w:rFonts w:ascii="Arial" w:eastAsia="宋体" w:hAnsi="Arial" w:cs="Arial"/>
                <w:color w:val="000000"/>
                <w:sz w:val="15"/>
                <w:szCs w:val="15"/>
              </w:rPr>
              <w:t>%</w:t>
            </w:r>
          </w:p>
        </w:tc>
      </w:tr>
      <w:tr w:rsidR="006A3667" w14:paraId="71D4189E" w14:textId="77777777">
        <w:tc>
          <w:tcPr>
            <w:tcW w:w="0" w:type="auto"/>
            <w:gridSpan w:val="3"/>
            <w:shd w:val="clear" w:color="auto" w:fill="CCEEFF"/>
            <w:tcMar>
              <w:top w:w="40" w:type="dxa"/>
              <w:left w:w="20" w:type="dxa"/>
              <w:bottom w:w="40" w:type="dxa"/>
              <w:right w:w="20" w:type="dxa"/>
            </w:tcMar>
            <w:vAlign w:val="bottom"/>
          </w:tcPr>
          <w:p w14:paraId="71D41898" w14:textId="77777777" w:rsidR="006A3667" w:rsidRDefault="00045F32">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71D41899" w14:textId="77777777" w:rsidR="006A3667" w:rsidRDefault="00045F32">
            <w:pPr>
              <w:jc w:val="right"/>
              <w:textAlignment w:val="bottom"/>
            </w:pPr>
            <w:r>
              <w:rPr>
                <w:rFonts w:ascii="Arial" w:eastAsia="宋体" w:hAnsi="Arial" w:cs="Arial"/>
                <w:b/>
                <w:bCs/>
                <w:color w:val="000000"/>
                <w:sz w:val="15"/>
                <w:szCs w:val="15"/>
              </w:rPr>
              <w:t>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189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9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89C" w14:textId="77777777" w:rsidR="006A3667" w:rsidRDefault="00045F32">
            <w:pPr>
              <w:jc w:val="right"/>
              <w:textAlignment w:val="bottom"/>
            </w:pPr>
            <w:r>
              <w:rPr>
                <w:rFonts w:ascii="Arial" w:eastAsia="宋体" w:hAnsi="Arial" w:cs="Arial"/>
                <w:color w:val="000000"/>
                <w:sz w:val="15"/>
                <w:szCs w:val="15"/>
              </w:rPr>
              <w:t>7.9 </w:t>
            </w:r>
          </w:p>
        </w:tc>
        <w:tc>
          <w:tcPr>
            <w:tcW w:w="0" w:type="auto"/>
            <w:shd w:val="clear" w:color="auto" w:fill="CCEEFF"/>
            <w:tcMar>
              <w:top w:w="40" w:type="dxa"/>
              <w:left w:w="0" w:type="dxa"/>
              <w:bottom w:w="40" w:type="dxa"/>
              <w:right w:w="20" w:type="dxa"/>
            </w:tcMar>
            <w:vAlign w:val="bottom"/>
          </w:tcPr>
          <w:p w14:paraId="71D4189D" w14:textId="77777777" w:rsidR="006A3667" w:rsidRDefault="006A3667">
            <w:pPr>
              <w:jc w:val="right"/>
              <w:rPr>
                <w:rFonts w:ascii="宋体"/>
              </w:rPr>
            </w:pPr>
          </w:p>
        </w:tc>
      </w:tr>
    </w:tbl>
    <w:p w14:paraId="71D4189F" w14:textId="77777777" w:rsidR="006A3667" w:rsidRDefault="006A3667">
      <w:pPr>
        <w:textAlignment w:val="top"/>
      </w:pPr>
    </w:p>
    <w:p w14:paraId="71D418A0" w14:textId="77777777" w:rsidR="006A3667" w:rsidRDefault="00045F32">
      <w:pPr>
        <w:spacing w:before="60"/>
        <w:jc w:val="both"/>
        <w:textAlignment w:val="top"/>
      </w:pPr>
      <w:r>
        <w:rPr>
          <w:rFonts w:ascii="Arial" w:eastAsia="宋体" w:hAnsi="Arial" w:cs="Arial"/>
          <w:b/>
          <w:bCs/>
          <w:i/>
          <w:iCs/>
          <w:color w:val="000000"/>
          <w:sz w:val="20"/>
          <w:szCs w:val="20"/>
        </w:rPr>
        <w:t>Total Loss-Absorbing Capacity (TLAC)</w:t>
      </w:r>
    </w:p>
    <w:p w14:paraId="71D418A1" w14:textId="77777777" w:rsidR="006A3667" w:rsidRDefault="00045F32">
      <w:pPr>
        <w:spacing w:before="60"/>
        <w:ind w:firstLine="450"/>
        <w:jc w:val="both"/>
        <w:textAlignment w:val="top"/>
      </w:pPr>
      <w:r>
        <w:rPr>
          <w:rFonts w:ascii="Arial" w:eastAsia="宋体" w:hAnsi="Arial" w:cs="Arial"/>
          <w:color w:val="000000"/>
          <w:sz w:val="20"/>
          <w:szCs w:val="20"/>
        </w:rPr>
        <w:t>The Federal Reserve's final rule on TLAC, LTD and clean holding company requirements for U.S. domiciled G-SIBs, such as us, is intended to improve the resiliency and resolvability of certain U.S. banking organizations through enhanced prudential standards,</w:t>
      </w:r>
      <w:r>
        <w:rPr>
          <w:rFonts w:ascii="Arial" w:eastAsia="宋体" w:hAnsi="Arial" w:cs="Arial"/>
          <w:color w:val="000000"/>
          <w:sz w:val="20"/>
          <w:szCs w:val="20"/>
        </w:rPr>
        <w:t xml:space="preserve"> and requires us, among other things, to comply with minimum requirements for external TLAC (combined eligible tier 1 regulatory capital and LTD) and LTD. Specifically, we must hold:</w:t>
      </w:r>
    </w:p>
    <w:tbl>
      <w:tblPr>
        <w:tblW w:w="5000" w:type="pct"/>
        <w:tblCellMar>
          <w:top w:w="15" w:type="dxa"/>
          <w:left w:w="15" w:type="dxa"/>
          <w:bottom w:w="15" w:type="dxa"/>
          <w:right w:w="15" w:type="dxa"/>
        </w:tblCellMar>
        <w:tblLook w:val="04A0" w:firstRow="1" w:lastRow="0" w:firstColumn="1" w:lastColumn="0" w:noHBand="0" w:noVBand="1"/>
      </w:tblPr>
      <w:tblGrid>
        <w:gridCol w:w="69"/>
        <w:gridCol w:w="2699"/>
        <w:gridCol w:w="37"/>
        <w:gridCol w:w="69"/>
        <w:gridCol w:w="5426"/>
        <w:gridCol w:w="36"/>
      </w:tblGrid>
      <w:tr w:rsidR="006A3667" w14:paraId="71D418A8" w14:textId="77777777">
        <w:tc>
          <w:tcPr>
            <w:tcW w:w="50" w:type="pct"/>
            <w:shd w:val="clear" w:color="auto" w:fill="auto"/>
            <w:vAlign w:val="bottom"/>
          </w:tcPr>
          <w:p w14:paraId="71D418A2" w14:textId="77777777" w:rsidR="006A3667" w:rsidRDefault="006A3667">
            <w:pPr>
              <w:rPr>
                <w:rFonts w:ascii="宋体"/>
              </w:rPr>
            </w:pPr>
          </w:p>
        </w:tc>
        <w:tc>
          <w:tcPr>
            <w:tcW w:w="1627" w:type="pct"/>
            <w:shd w:val="clear" w:color="auto" w:fill="auto"/>
            <w:vAlign w:val="bottom"/>
          </w:tcPr>
          <w:p w14:paraId="71D418A3" w14:textId="77777777" w:rsidR="006A3667" w:rsidRDefault="006A3667">
            <w:pPr>
              <w:rPr>
                <w:rFonts w:ascii="宋体"/>
              </w:rPr>
            </w:pPr>
          </w:p>
        </w:tc>
        <w:tc>
          <w:tcPr>
            <w:tcW w:w="5" w:type="pct"/>
            <w:shd w:val="clear" w:color="auto" w:fill="auto"/>
            <w:vAlign w:val="bottom"/>
          </w:tcPr>
          <w:p w14:paraId="71D418A4" w14:textId="77777777" w:rsidR="006A3667" w:rsidRDefault="006A3667">
            <w:pPr>
              <w:rPr>
                <w:rFonts w:ascii="宋体"/>
              </w:rPr>
            </w:pPr>
          </w:p>
        </w:tc>
        <w:tc>
          <w:tcPr>
            <w:tcW w:w="50" w:type="pct"/>
            <w:shd w:val="clear" w:color="auto" w:fill="auto"/>
            <w:vAlign w:val="bottom"/>
          </w:tcPr>
          <w:p w14:paraId="71D418A5" w14:textId="77777777" w:rsidR="006A3667" w:rsidRDefault="006A3667">
            <w:pPr>
              <w:rPr>
                <w:rFonts w:ascii="宋体"/>
              </w:rPr>
            </w:pPr>
          </w:p>
        </w:tc>
        <w:tc>
          <w:tcPr>
            <w:tcW w:w="3262" w:type="pct"/>
            <w:shd w:val="clear" w:color="auto" w:fill="auto"/>
            <w:vAlign w:val="bottom"/>
          </w:tcPr>
          <w:p w14:paraId="71D418A6" w14:textId="77777777" w:rsidR="006A3667" w:rsidRDefault="006A3667">
            <w:pPr>
              <w:rPr>
                <w:rFonts w:ascii="宋体"/>
              </w:rPr>
            </w:pPr>
          </w:p>
        </w:tc>
        <w:tc>
          <w:tcPr>
            <w:tcW w:w="5" w:type="pct"/>
            <w:shd w:val="clear" w:color="auto" w:fill="auto"/>
            <w:vAlign w:val="bottom"/>
          </w:tcPr>
          <w:p w14:paraId="71D418A7" w14:textId="77777777" w:rsidR="006A3667" w:rsidRDefault="006A3667">
            <w:pPr>
              <w:rPr>
                <w:rFonts w:ascii="宋体"/>
              </w:rPr>
            </w:pPr>
          </w:p>
        </w:tc>
      </w:tr>
      <w:tr w:rsidR="006A3667" w14:paraId="71D418AB" w14:textId="77777777">
        <w:tc>
          <w:tcPr>
            <w:tcW w:w="0" w:type="auto"/>
            <w:gridSpan w:val="3"/>
            <w:shd w:val="clear" w:color="auto" w:fill="auto"/>
            <w:tcMar>
              <w:top w:w="0" w:type="dxa"/>
              <w:left w:w="20" w:type="dxa"/>
              <w:bottom w:w="0" w:type="dxa"/>
              <w:right w:w="20" w:type="dxa"/>
            </w:tcMar>
            <w:vAlign w:val="bottom"/>
          </w:tcPr>
          <w:p w14:paraId="71D418A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8AA" w14:textId="77777777" w:rsidR="006A3667" w:rsidRDefault="00045F32">
            <w:pPr>
              <w:textAlignment w:val="bottom"/>
            </w:pPr>
            <w:r>
              <w:rPr>
                <w:rFonts w:ascii="Arial" w:eastAsia="宋体" w:hAnsi="Arial" w:cs="Arial"/>
                <w:b/>
                <w:bCs/>
                <w:color w:val="000000"/>
                <w:sz w:val="16"/>
                <w:szCs w:val="16"/>
              </w:rPr>
              <w:t>Amount equal to:</w:t>
            </w:r>
          </w:p>
        </w:tc>
      </w:tr>
      <w:tr w:rsidR="006A3667" w14:paraId="71D418B2"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71D418AC" w14:textId="77777777" w:rsidR="006A3667" w:rsidRDefault="00045F32">
            <w:pPr>
              <w:textAlignment w:val="center"/>
            </w:pPr>
            <w:r>
              <w:rPr>
                <w:rFonts w:ascii="Arial" w:eastAsia="宋体" w:hAnsi="Arial" w:cs="Arial"/>
                <w:color w:val="000000"/>
                <w:sz w:val="16"/>
                <w:szCs w:val="16"/>
              </w:rPr>
              <w:t>External TLAC</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71D418AD" w14:textId="77777777" w:rsidR="006A3667" w:rsidRDefault="00045F32">
            <w:pPr>
              <w:textAlignment w:val="bottom"/>
            </w:pPr>
            <w:r>
              <w:rPr>
                <w:rFonts w:ascii="Arial" w:eastAsia="宋体" w:hAnsi="Arial" w:cs="Arial"/>
                <w:color w:val="000000"/>
                <w:sz w:val="16"/>
                <w:szCs w:val="16"/>
              </w:rPr>
              <w:t>Greater of:</w:t>
            </w:r>
          </w:p>
          <w:p w14:paraId="71D418AE" w14:textId="77777777" w:rsidR="006A3667" w:rsidRDefault="00045F32">
            <w:pPr>
              <w:ind w:hanging="360"/>
              <w:jc w:val="both"/>
              <w:textAlignment w:val="bottom"/>
            </w:pPr>
            <w:r>
              <w:rPr>
                <w:rFonts w:ascii="Arial" w:eastAsia="宋体" w:hAnsi="Arial" w:cs="Arial"/>
                <w:color w:val="000000"/>
                <w:sz w:val="16"/>
                <w:szCs w:val="16"/>
              </w:rPr>
              <w:t xml:space="preserve">•21.5% of total </w:t>
            </w:r>
            <w:r>
              <w:rPr>
                <w:rFonts w:ascii="Arial" w:eastAsia="宋体" w:hAnsi="Arial" w:cs="Arial"/>
                <w:color w:val="000000"/>
                <w:sz w:val="16"/>
                <w:szCs w:val="16"/>
              </w:rPr>
              <w:t>RWA (18.0% minimum plus 2.5% plus a G-SIB surcharge calculated for these purposes under Method 1 of 1.0% plus any applicable counter- cyclical buffer, which is currently 0%); and</w:t>
            </w:r>
          </w:p>
          <w:p w14:paraId="71D418AF" w14:textId="77777777" w:rsidR="006A3667" w:rsidRDefault="00045F32">
            <w:pPr>
              <w:jc w:val="both"/>
              <w:textAlignment w:val="bottom"/>
            </w:pPr>
            <w:r>
              <w:rPr>
                <w:rFonts w:ascii="Arial" w:eastAsia="宋体" w:hAnsi="Arial" w:cs="Arial"/>
                <w:color w:val="000000"/>
                <w:sz w:val="16"/>
                <w:szCs w:val="16"/>
              </w:rPr>
              <w:t> </w:t>
            </w:r>
          </w:p>
          <w:p w14:paraId="71D418B0" w14:textId="77777777" w:rsidR="006A3667" w:rsidRDefault="00045F32">
            <w:pPr>
              <w:ind w:hanging="360"/>
              <w:jc w:val="both"/>
              <w:textAlignment w:val="bottom"/>
            </w:pPr>
            <w:r>
              <w:rPr>
                <w:rFonts w:ascii="Arial" w:eastAsia="宋体" w:hAnsi="Arial" w:cs="Arial"/>
                <w:color w:val="000000"/>
                <w:sz w:val="16"/>
                <w:szCs w:val="16"/>
              </w:rPr>
              <w:t>•9.5% of total leverage exposure (7.5% minimum plus the SLR buffer of 2.0%)</w:t>
            </w:r>
            <w:r>
              <w:rPr>
                <w:rFonts w:ascii="Arial" w:eastAsia="宋体" w:hAnsi="Arial" w:cs="Arial"/>
                <w:color w:val="000000"/>
                <w:sz w:val="16"/>
                <w:szCs w:val="16"/>
              </w:rPr>
              <w:t>, as defined by the SLR final rule.</w:t>
            </w:r>
          </w:p>
          <w:p w14:paraId="71D418B1" w14:textId="77777777" w:rsidR="006A3667" w:rsidRDefault="006A3667">
            <w:pPr>
              <w:textAlignment w:val="bottom"/>
            </w:pPr>
          </w:p>
        </w:tc>
      </w:tr>
      <w:tr w:rsidR="006A3667" w14:paraId="71D418B9"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71D418B3" w14:textId="77777777" w:rsidR="006A3667" w:rsidRDefault="00045F32">
            <w:pPr>
              <w:textAlignment w:val="center"/>
            </w:pPr>
            <w:r>
              <w:rPr>
                <w:rFonts w:ascii="Arial" w:eastAsia="宋体" w:hAnsi="Arial" w:cs="Arial"/>
                <w:color w:val="000000"/>
                <w:sz w:val="16"/>
                <w:szCs w:val="16"/>
              </w:rPr>
              <w:t>Qualifying external LTD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bottom"/>
          </w:tcPr>
          <w:p w14:paraId="71D418B4" w14:textId="77777777" w:rsidR="006A3667" w:rsidRDefault="00045F32">
            <w:pPr>
              <w:textAlignment w:val="bottom"/>
            </w:pPr>
            <w:r>
              <w:rPr>
                <w:rFonts w:ascii="Arial" w:eastAsia="宋体" w:hAnsi="Arial" w:cs="Arial"/>
                <w:color w:val="000000"/>
                <w:sz w:val="16"/>
                <w:szCs w:val="16"/>
              </w:rPr>
              <w:t>Greater of:</w:t>
            </w:r>
          </w:p>
          <w:p w14:paraId="71D418B5" w14:textId="77777777" w:rsidR="006A3667" w:rsidRDefault="00045F32">
            <w:pPr>
              <w:ind w:hanging="360"/>
              <w:jc w:val="both"/>
              <w:textAlignment w:val="bottom"/>
            </w:pPr>
            <w:r>
              <w:rPr>
                <w:rFonts w:ascii="Arial" w:eastAsia="宋体" w:hAnsi="Arial" w:cs="Arial"/>
                <w:color w:val="000000"/>
                <w:sz w:val="16"/>
                <w:szCs w:val="16"/>
              </w:rPr>
              <w:t xml:space="preserve">•7.0% of RWA (6.0% minimum plus a G-SIB surcharge calculated for these purposes under method 2 of 1.0%); and </w:t>
            </w:r>
          </w:p>
          <w:p w14:paraId="71D418B6" w14:textId="77777777" w:rsidR="006A3667" w:rsidRDefault="006A3667">
            <w:pPr>
              <w:jc w:val="both"/>
              <w:textAlignment w:val="bottom"/>
            </w:pPr>
          </w:p>
          <w:p w14:paraId="71D418B7" w14:textId="77777777" w:rsidR="006A3667" w:rsidRDefault="00045F32">
            <w:pPr>
              <w:ind w:hanging="360"/>
              <w:jc w:val="both"/>
              <w:textAlignment w:val="bottom"/>
            </w:pPr>
            <w:r>
              <w:rPr>
                <w:rFonts w:ascii="Arial" w:eastAsia="宋体" w:hAnsi="Arial" w:cs="Arial"/>
                <w:color w:val="000000"/>
                <w:sz w:val="16"/>
                <w:szCs w:val="16"/>
              </w:rPr>
              <w:t>•4.5% of total leverage exposure, as defined by the SLR final rule.</w:t>
            </w:r>
          </w:p>
          <w:p w14:paraId="71D418B8" w14:textId="77777777" w:rsidR="006A3667" w:rsidRDefault="006A3667">
            <w:pPr>
              <w:textAlignment w:val="bottom"/>
            </w:pPr>
          </w:p>
        </w:tc>
      </w:tr>
    </w:tbl>
    <w:p w14:paraId="71D418BA" w14:textId="77777777" w:rsidR="006A3667" w:rsidRDefault="00045F32">
      <w:pPr>
        <w:spacing w:before="60"/>
        <w:ind w:firstLine="450"/>
        <w:jc w:val="both"/>
        <w:textAlignment w:val="top"/>
      </w:pPr>
      <w:r>
        <w:rPr>
          <w:rFonts w:ascii="Arial" w:eastAsia="宋体" w:hAnsi="Arial" w:cs="Arial"/>
          <w:color w:val="000000"/>
          <w:sz w:val="20"/>
          <w:szCs w:val="20"/>
        </w:rPr>
        <w:t xml:space="preserve">As of April 1, 2020, the TLAC and LTD requirements calibrated to the SLR </w:t>
      </w:r>
      <w:r>
        <w:rPr>
          <w:rFonts w:ascii="Arial" w:eastAsia="宋体" w:hAnsi="Arial" w:cs="Arial"/>
          <w:color w:val="000000"/>
          <w:sz w:val="20"/>
          <w:szCs w:val="20"/>
        </w:rPr>
        <w:t>denominator reflect the deduction of certain central bank balances as prescribed by the regulatory relief implemented under EGRRCPA.</w:t>
      </w:r>
    </w:p>
    <w:p w14:paraId="71D418BB" w14:textId="77777777" w:rsidR="006A3667" w:rsidRDefault="00045F32">
      <w:pPr>
        <w:spacing w:before="60"/>
        <w:ind w:firstLine="450"/>
        <w:jc w:val="both"/>
        <w:textAlignment w:val="top"/>
      </w:pPr>
      <w:r>
        <w:rPr>
          <w:rFonts w:ascii="Arial" w:eastAsia="宋体" w:hAnsi="Arial" w:cs="Arial"/>
          <w:color w:val="000000"/>
          <w:sz w:val="20"/>
          <w:szCs w:val="20"/>
        </w:rPr>
        <w:t>The following table presents external TLAC and external LTD as of September 30, 2022:</w:t>
      </w:r>
    </w:p>
    <w:tbl>
      <w:tblPr>
        <w:tblW w:w="4984" w:type="pct"/>
        <w:tblCellMar>
          <w:top w:w="15" w:type="dxa"/>
          <w:left w:w="15" w:type="dxa"/>
          <w:bottom w:w="15" w:type="dxa"/>
          <w:right w:w="15" w:type="dxa"/>
        </w:tblCellMar>
        <w:tblLook w:val="04A0" w:firstRow="1" w:lastRow="0" w:firstColumn="1" w:lastColumn="0" w:noHBand="0" w:noVBand="1"/>
      </w:tblPr>
      <w:tblGrid>
        <w:gridCol w:w="39"/>
        <w:gridCol w:w="1482"/>
        <w:gridCol w:w="39"/>
        <w:gridCol w:w="38"/>
        <w:gridCol w:w="1483"/>
        <w:gridCol w:w="38"/>
        <w:gridCol w:w="104"/>
        <w:gridCol w:w="1121"/>
        <w:gridCol w:w="36"/>
        <w:gridCol w:w="36"/>
        <w:gridCol w:w="66"/>
        <w:gridCol w:w="36"/>
        <w:gridCol w:w="37"/>
        <w:gridCol w:w="936"/>
        <w:gridCol w:w="154"/>
        <w:gridCol w:w="36"/>
        <w:gridCol w:w="66"/>
        <w:gridCol w:w="36"/>
        <w:gridCol w:w="104"/>
        <w:gridCol w:w="1121"/>
        <w:gridCol w:w="36"/>
        <w:gridCol w:w="36"/>
        <w:gridCol w:w="66"/>
        <w:gridCol w:w="36"/>
        <w:gridCol w:w="37"/>
        <w:gridCol w:w="936"/>
        <w:gridCol w:w="154"/>
      </w:tblGrid>
      <w:tr w:rsidR="006A3667" w14:paraId="71D418D7" w14:textId="77777777">
        <w:tc>
          <w:tcPr>
            <w:tcW w:w="50" w:type="pct"/>
            <w:shd w:val="clear" w:color="auto" w:fill="auto"/>
            <w:vAlign w:val="bottom"/>
          </w:tcPr>
          <w:p w14:paraId="71D418BC" w14:textId="77777777" w:rsidR="006A3667" w:rsidRDefault="006A3667">
            <w:pPr>
              <w:rPr>
                <w:rFonts w:ascii="宋体"/>
              </w:rPr>
            </w:pPr>
          </w:p>
        </w:tc>
        <w:tc>
          <w:tcPr>
            <w:tcW w:w="922" w:type="pct"/>
            <w:shd w:val="clear" w:color="auto" w:fill="auto"/>
            <w:vAlign w:val="bottom"/>
          </w:tcPr>
          <w:p w14:paraId="71D418BD" w14:textId="77777777" w:rsidR="006A3667" w:rsidRDefault="006A3667">
            <w:pPr>
              <w:rPr>
                <w:rFonts w:ascii="宋体"/>
              </w:rPr>
            </w:pPr>
          </w:p>
        </w:tc>
        <w:tc>
          <w:tcPr>
            <w:tcW w:w="5" w:type="pct"/>
            <w:shd w:val="clear" w:color="auto" w:fill="auto"/>
            <w:vAlign w:val="bottom"/>
          </w:tcPr>
          <w:p w14:paraId="71D418BE" w14:textId="77777777" w:rsidR="006A3667" w:rsidRDefault="006A3667">
            <w:pPr>
              <w:rPr>
                <w:rFonts w:ascii="宋体"/>
              </w:rPr>
            </w:pPr>
          </w:p>
        </w:tc>
        <w:tc>
          <w:tcPr>
            <w:tcW w:w="50" w:type="pct"/>
            <w:shd w:val="clear" w:color="auto" w:fill="auto"/>
            <w:vAlign w:val="bottom"/>
          </w:tcPr>
          <w:p w14:paraId="71D418BF" w14:textId="77777777" w:rsidR="006A3667" w:rsidRDefault="006A3667">
            <w:pPr>
              <w:rPr>
                <w:rFonts w:ascii="宋体"/>
              </w:rPr>
            </w:pPr>
          </w:p>
        </w:tc>
        <w:tc>
          <w:tcPr>
            <w:tcW w:w="922" w:type="pct"/>
            <w:shd w:val="clear" w:color="auto" w:fill="auto"/>
            <w:vAlign w:val="bottom"/>
          </w:tcPr>
          <w:p w14:paraId="71D418C0" w14:textId="77777777" w:rsidR="006A3667" w:rsidRDefault="006A3667">
            <w:pPr>
              <w:rPr>
                <w:rFonts w:ascii="宋体"/>
              </w:rPr>
            </w:pPr>
          </w:p>
        </w:tc>
        <w:tc>
          <w:tcPr>
            <w:tcW w:w="5" w:type="pct"/>
            <w:shd w:val="clear" w:color="auto" w:fill="auto"/>
            <w:vAlign w:val="bottom"/>
          </w:tcPr>
          <w:p w14:paraId="71D418C1" w14:textId="77777777" w:rsidR="006A3667" w:rsidRDefault="006A3667">
            <w:pPr>
              <w:rPr>
                <w:rFonts w:ascii="宋体"/>
              </w:rPr>
            </w:pPr>
          </w:p>
        </w:tc>
        <w:tc>
          <w:tcPr>
            <w:tcW w:w="50" w:type="pct"/>
            <w:shd w:val="clear" w:color="auto" w:fill="auto"/>
            <w:vAlign w:val="bottom"/>
          </w:tcPr>
          <w:p w14:paraId="71D418C2" w14:textId="77777777" w:rsidR="006A3667" w:rsidRDefault="006A3667">
            <w:pPr>
              <w:rPr>
                <w:rFonts w:ascii="宋体"/>
              </w:rPr>
            </w:pPr>
          </w:p>
        </w:tc>
        <w:tc>
          <w:tcPr>
            <w:tcW w:w="702" w:type="pct"/>
            <w:shd w:val="clear" w:color="auto" w:fill="auto"/>
            <w:vAlign w:val="bottom"/>
          </w:tcPr>
          <w:p w14:paraId="71D418C3" w14:textId="77777777" w:rsidR="006A3667" w:rsidRDefault="006A3667">
            <w:pPr>
              <w:rPr>
                <w:rFonts w:ascii="宋体"/>
              </w:rPr>
            </w:pPr>
          </w:p>
        </w:tc>
        <w:tc>
          <w:tcPr>
            <w:tcW w:w="5" w:type="pct"/>
            <w:shd w:val="clear" w:color="auto" w:fill="auto"/>
            <w:vAlign w:val="bottom"/>
          </w:tcPr>
          <w:p w14:paraId="71D418C4" w14:textId="77777777" w:rsidR="006A3667" w:rsidRDefault="006A3667">
            <w:pPr>
              <w:rPr>
                <w:rFonts w:ascii="宋体"/>
              </w:rPr>
            </w:pPr>
          </w:p>
        </w:tc>
        <w:tc>
          <w:tcPr>
            <w:tcW w:w="5" w:type="pct"/>
            <w:shd w:val="clear" w:color="auto" w:fill="auto"/>
            <w:vAlign w:val="bottom"/>
          </w:tcPr>
          <w:p w14:paraId="71D418C5" w14:textId="77777777" w:rsidR="006A3667" w:rsidRDefault="006A3667">
            <w:pPr>
              <w:rPr>
                <w:rFonts w:ascii="宋体"/>
              </w:rPr>
            </w:pPr>
          </w:p>
        </w:tc>
        <w:tc>
          <w:tcPr>
            <w:tcW w:w="68" w:type="pct"/>
            <w:shd w:val="clear" w:color="auto" w:fill="auto"/>
            <w:vAlign w:val="bottom"/>
          </w:tcPr>
          <w:p w14:paraId="71D418C6" w14:textId="77777777" w:rsidR="006A3667" w:rsidRDefault="006A3667">
            <w:pPr>
              <w:rPr>
                <w:rFonts w:ascii="宋体"/>
              </w:rPr>
            </w:pPr>
          </w:p>
        </w:tc>
        <w:tc>
          <w:tcPr>
            <w:tcW w:w="5" w:type="pct"/>
            <w:shd w:val="clear" w:color="auto" w:fill="auto"/>
            <w:vAlign w:val="bottom"/>
          </w:tcPr>
          <w:p w14:paraId="71D418C7" w14:textId="77777777" w:rsidR="006A3667" w:rsidRDefault="006A3667">
            <w:pPr>
              <w:rPr>
                <w:rFonts w:ascii="宋体"/>
              </w:rPr>
            </w:pPr>
          </w:p>
        </w:tc>
        <w:tc>
          <w:tcPr>
            <w:tcW w:w="50" w:type="pct"/>
            <w:shd w:val="clear" w:color="auto" w:fill="auto"/>
            <w:vAlign w:val="bottom"/>
          </w:tcPr>
          <w:p w14:paraId="71D418C8" w14:textId="77777777" w:rsidR="006A3667" w:rsidRDefault="006A3667">
            <w:pPr>
              <w:rPr>
                <w:rFonts w:ascii="宋体"/>
              </w:rPr>
            </w:pPr>
          </w:p>
        </w:tc>
        <w:tc>
          <w:tcPr>
            <w:tcW w:w="591" w:type="pct"/>
            <w:shd w:val="clear" w:color="auto" w:fill="auto"/>
            <w:vAlign w:val="bottom"/>
          </w:tcPr>
          <w:p w14:paraId="71D418C9" w14:textId="77777777" w:rsidR="006A3667" w:rsidRDefault="006A3667">
            <w:pPr>
              <w:rPr>
                <w:rFonts w:ascii="宋体"/>
              </w:rPr>
            </w:pPr>
          </w:p>
        </w:tc>
        <w:tc>
          <w:tcPr>
            <w:tcW w:w="5" w:type="pct"/>
            <w:shd w:val="clear" w:color="auto" w:fill="auto"/>
            <w:vAlign w:val="bottom"/>
          </w:tcPr>
          <w:p w14:paraId="71D418CA" w14:textId="77777777" w:rsidR="006A3667" w:rsidRDefault="006A3667">
            <w:pPr>
              <w:rPr>
                <w:rFonts w:ascii="宋体"/>
              </w:rPr>
            </w:pPr>
          </w:p>
        </w:tc>
        <w:tc>
          <w:tcPr>
            <w:tcW w:w="5" w:type="pct"/>
            <w:shd w:val="clear" w:color="auto" w:fill="auto"/>
            <w:vAlign w:val="bottom"/>
          </w:tcPr>
          <w:p w14:paraId="71D418CB" w14:textId="77777777" w:rsidR="006A3667" w:rsidRDefault="006A3667">
            <w:pPr>
              <w:rPr>
                <w:rFonts w:ascii="宋体"/>
              </w:rPr>
            </w:pPr>
          </w:p>
        </w:tc>
        <w:tc>
          <w:tcPr>
            <w:tcW w:w="68" w:type="pct"/>
            <w:shd w:val="clear" w:color="auto" w:fill="auto"/>
            <w:vAlign w:val="bottom"/>
          </w:tcPr>
          <w:p w14:paraId="71D418CC" w14:textId="77777777" w:rsidR="006A3667" w:rsidRDefault="006A3667">
            <w:pPr>
              <w:rPr>
                <w:rFonts w:ascii="宋体"/>
              </w:rPr>
            </w:pPr>
          </w:p>
        </w:tc>
        <w:tc>
          <w:tcPr>
            <w:tcW w:w="5" w:type="pct"/>
            <w:shd w:val="clear" w:color="auto" w:fill="auto"/>
            <w:vAlign w:val="bottom"/>
          </w:tcPr>
          <w:p w14:paraId="71D418CD" w14:textId="77777777" w:rsidR="006A3667" w:rsidRDefault="006A3667">
            <w:pPr>
              <w:rPr>
                <w:rFonts w:ascii="宋体"/>
              </w:rPr>
            </w:pPr>
          </w:p>
        </w:tc>
        <w:tc>
          <w:tcPr>
            <w:tcW w:w="50" w:type="pct"/>
            <w:shd w:val="clear" w:color="auto" w:fill="auto"/>
            <w:vAlign w:val="bottom"/>
          </w:tcPr>
          <w:p w14:paraId="71D418CE" w14:textId="77777777" w:rsidR="006A3667" w:rsidRDefault="006A3667">
            <w:pPr>
              <w:rPr>
                <w:rFonts w:ascii="宋体"/>
              </w:rPr>
            </w:pPr>
          </w:p>
        </w:tc>
        <w:tc>
          <w:tcPr>
            <w:tcW w:w="702" w:type="pct"/>
            <w:shd w:val="clear" w:color="auto" w:fill="auto"/>
            <w:vAlign w:val="bottom"/>
          </w:tcPr>
          <w:p w14:paraId="71D418CF" w14:textId="77777777" w:rsidR="006A3667" w:rsidRDefault="006A3667">
            <w:pPr>
              <w:rPr>
                <w:rFonts w:ascii="宋体"/>
              </w:rPr>
            </w:pPr>
          </w:p>
        </w:tc>
        <w:tc>
          <w:tcPr>
            <w:tcW w:w="5" w:type="pct"/>
            <w:shd w:val="clear" w:color="auto" w:fill="auto"/>
            <w:vAlign w:val="bottom"/>
          </w:tcPr>
          <w:p w14:paraId="71D418D0" w14:textId="77777777" w:rsidR="006A3667" w:rsidRDefault="006A3667">
            <w:pPr>
              <w:rPr>
                <w:rFonts w:ascii="宋体"/>
              </w:rPr>
            </w:pPr>
          </w:p>
        </w:tc>
        <w:tc>
          <w:tcPr>
            <w:tcW w:w="5" w:type="pct"/>
            <w:shd w:val="clear" w:color="auto" w:fill="auto"/>
            <w:vAlign w:val="bottom"/>
          </w:tcPr>
          <w:p w14:paraId="71D418D1" w14:textId="77777777" w:rsidR="006A3667" w:rsidRDefault="006A3667">
            <w:pPr>
              <w:rPr>
                <w:rFonts w:ascii="宋体"/>
              </w:rPr>
            </w:pPr>
          </w:p>
        </w:tc>
        <w:tc>
          <w:tcPr>
            <w:tcW w:w="68" w:type="pct"/>
            <w:shd w:val="clear" w:color="auto" w:fill="auto"/>
            <w:vAlign w:val="bottom"/>
          </w:tcPr>
          <w:p w14:paraId="71D418D2" w14:textId="77777777" w:rsidR="006A3667" w:rsidRDefault="006A3667">
            <w:pPr>
              <w:rPr>
                <w:rFonts w:ascii="宋体"/>
              </w:rPr>
            </w:pPr>
          </w:p>
        </w:tc>
        <w:tc>
          <w:tcPr>
            <w:tcW w:w="5" w:type="pct"/>
            <w:shd w:val="clear" w:color="auto" w:fill="auto"/>
            <w:vAlign w:val="bottom"/>
          </w:tcPr>
          <w:p w14:paraId="71D418D3" w14:textId="77777777" w:rsidR="006A3667" w:rsidRDefault="006A3667">
            <w:pPr>
              <w:rPr>
                <w:rFonts w:ascii="宋体"/>
              </w:rPr>
            </w:pPr>
          </w:p>
        </w:tc>
        <w:tc>
          <w:tcPr>
            <w:tcW w:w="50" w:type="pct"/>
            <w:shd w:val="clear" w:color="auto" w:fill="auto"/>
            <w:vAlign w:val="bottom"/>
          </w:tcPr>
          <w:p w14:paraId="71D418D4" w14:textId="77777777" w:rsidR="006A3667" w:rsidRDefault="006A3667">
            <w:pPr>
              <w:rPr>
                <w:rFonts w:ascii="宋体"/>
              </w:rPr>
            </w:pPr>
          </w:p>
        </w:tc>
        <w:tc>
          <w:tcPr>
            <w:tcW w:w="591" w:type="pct"/>
            <w:shd w:val="clear" w:color="auto" w:fill="auto"/>
            <w:vAlign w:val="bottom"/>
          </w:tcPr>
          <w:p w14:paraId="71D418D5" w14:textId="77777777" w:rsidR="006A3667" w:rsidRDefault="006A3667">
            <w:pPr>
              <w:rPr>
                <w:rFonts w:ascii="宋体"/>
              </w:rPr>
            </w:pPr>
          </w:p>
        </w:tc>
        <w:tc>
          <w:tcPr>
            <w:tcW w:w="5" w:type="pct"/>
            <w:shd w:val="clear" w:color="auto" w:fill="auto"/>
            <w:vAlign w:val="bottom"/>
          </w:tcPr>
          <w:p w14:paraId="71D418D6" w14:textId="77777777" w:rsidR="006A3667" w:rsidRDefault="006A3667">
            <w:pPr>
              <w:rPr>
                <w:rFonts w:ascii="宋体"/>
              </w:rPr>
            </w:pPr>
          </w:p>
        </w:tc>
      </w:tr>
      <w:tr w:rsidR="006A3667" w14:paraId="71D418D9" w14:textId="77777777">
        <w:tc>
          <w:tcPr>
            <w:tcW w:w="0" w:type="auto"/>
            <w:gridSpan w:val="27"/>
            <w:shd w:val="clear" w:color="auto" w:fill="auto"/>
            <w:tcMar>
              <w:top w:w="40" w:type="dxa"/>
              <w:left w:w="20" w:type="dxa"/>
              <w:bottom w:w="40" w:type="dxa"/>
              <w:right w:w="20" w:type="dxa"/>
            </w:tcMar>
            <w:vAlign w:val="bottom"/>
          </w:tcPr>
          <w:p w14:paraId="71D418D8" w14:textId="77777777" w:rsidR="006A3667" w:rsidRDefault="00045F32">
            <w:pPr>
              <w:textAlignment w:val="bottom"/>
            </w:pPr>
            <w:r>
              <w:rPr>
                <w:rFonts w:ascii="Arial" w:eastAsia="宋体" w:hAnsi="Arial" w:cs="Arial"/>
                <w:b/>
                <w:bCs/>
                <w:color w:val="000000"/>
                <w:sz w:val="16"/>
                <w:szCs w:val="16"/>
              </w:rPr>
              <w:t>TABLE 38: EXTERNAL TOTAL LOSS-ABSORBING CAPACITY</w:t>
            </w:r>
          </w:p>
        </w:tc>
      </w:tr>
      <w:tr w:rsidR="006A3667" w14:paraId="71D418DC" w14:textId="77777777">
        <w:tc>
          <w:tcPr>
            <w:tcW w:w="0" w:type="auto"/>
            <w:gridSpan w:val="6"/>
            <w:shd w:val="clear" w:color="auto" w:fill="auto"/>
            <w:tcMar>
              <w:top w:w="0" w:type="dxa"/>
              <w:left w:w="20" w:type="dxa"/>
              <w:bottom w:w="0" w:type="dxa"/>
              <w:right w:w="20" w:type="dxa"/>
            </w:tcMar>
            <w:vAlign w:val="bottom"/>
          </w:tcPr>
          <w:p w14:paraId="71D418DA" w14:textId="77777777" w:rsidR="006A3667" w:rsidRDefault="006A366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1D418DB" w14:textId="77777777" w:rsidR="006A3667" w:rsidRDefault="00045F32">
            <w:pPr>
              <w:jc w:val="center"/>
              <w:textAlignment w:val="bottom"/>
            </w:pPr>
            <w:r>
              <w:rPr>
                <w:rFonts w:ascii="Arial" w:eastAsia="宋体" w:hAnsi="Arial" w:cs="Arial"/>
                <w:b/>
                <w:bCs/>
                <w:color w:val="000000"/>
                <w:sz w:val="15"/>
                <w:szCs w:val="15"/>
              </w:rPr>
              <w:t>As of September 30, 2022</w:t>
            </w:r>
          </w:p>
        </w:tc>
      </w:tr>
      <w:tr w:rsidR="006A3667" w14:paraId="71D418E1" w14:textId="77777777">
        <w:tc>
          <w:tcPr>
            <w:tcW w:w="0" w:type="auto"/>
            <w:gridSpan w:val="6"/>
            <w:shd w:val="clear" w:color="auto" w:fill="auto"/>
            <w:tcMar>
              <w:top w:w="40" w:type="dxa"/>
              <w:left w:w="20" w:type="dxa"/>
              <w:bottom w:w="40" w:type="dxa"/>
              <w:right w:w="20" w:type="dxa"/>
            </w:tcMar>
            <w:vAlign w:val="bottom"/>
          </w:tcPr>
          <w:p w14:paraId="71D418DD" w14:textId="77777777" w:rsidR="006A3667" w:rsidRDefault="00045F32">
            <w:pPr>
              <w:textAlignment w:val="bottom"/>
            </w:pPr>
            <w:r>
              <w:rPr>
                <w:rFonts w:ascii="Arial" w:eastAsia="宋体" w:hAnsi="Arial" w:cs="Arial"/>
                <w:b/>
                <w:bCs/>
                <w:color w:val="000000"/>
                <w:sz w:val="15"/>
                <w:szCs w:val="15"/>
              </w:rPr>
              <w:t>(Dollars 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18DE" w14:textId="77777777" w:rsidR="006A3667" w:rsidRDefault="00045F32">
            <w:pPr>
              <w:jc w:val="center"/>
              <w:textAlignment w:val="bottom"/>
            </w:pPr>
            <w:r>
              <w:rPr>
                <w:rFonts w:ascii="Arial" w:eastAsia="宋体" w:hAnsi="Arial" w:cs="Arial"/>
                <w:b/>
                <w:bCs/>
                <w:color w:val="000000"/>
                <w:sz w:val="14"/>
                <w:szCs w:val="14"/>
              </w:rPr>
              <w:t>Actual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DF"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18E0" w14:textId="77777777" w:rsidR="006A3667" w:rsidRDefault="00045F32">
            <w:pPr>
              <w:jc w:val="center"/>
              <w:textAlignment w:val="bottom"/>
            </w:pPr>
            <w:r>
              <w:rPr>
                <w:rFonts w:ascii="Arial" w:eastAsia="宋体" w:hAnsi="Arial" w:cs="Arial"/>
                <w:b/>
                <w:bCs/>
                <w:color w:val="000000"/>
                <w:sz w:val="14"/>
                <w:szCs w:val="14"/>
              </w:rPr>
              <w:t>Requirement</w:t>
            </w:r>
          </w:p>
        </w:tc>
      </w:tr>
      <w:tr w:rsidR="006A3667" w14:paraId="71D418EA" w14:textId="77777777">
        <w:tc>
          <w:tcPr>
            <w:tcW w:w="0" w:type="auto"/>
            <w:gridSpan w:val="6"/>
            <w:shd w:val="clear" w:color="auto" w:fill="auto"/>
            <w:tcMar>
              <w:top w:w="40" w:type="dxa"/>
              <w:left w:w="20" w:type="dxa"/>
              <w:bottom w:w="40" w:type="dxa"/>
              <w:right w:w="20" w:type="dxa"/>
            </w:tcMar>
            <w:vAlign w:val="center"/>
          </w:tcPr>
          <w:p w14:paraId="71D418E2" w14:textId="77777777" w:rsidR="006A3667" w:rsidRDefault="00045F32">
            <w:pPr>
              <w:textAlignment w:val="center"/>
            </w:pPr>
            <w:r>
              <w:rPr>
                <w:rFonts w:ascii="Arial" w:eastAsia="宋体" w:hAnsi="Arial" w:cs="Arial"/>
                <w:color w:val="000000"/>
                <w:sz w:val="15"/>
                <w:szCs w:val="15"/>
              </w:rPr>
              <w:t>Total loss-absorbing capacity: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E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E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E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8E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E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E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8E9" w14:textId="77777777" w:rsidR="006A3667" w:rsidRDefault="006A3667">
            <w:pPr>
              <w:rPr>
                <w:rFonts w:ascii="宋体"/>
              </w:rPr>
            </w:pPr>
          </w:p>
        </w:tc>
      </w:tr>
      <w:tr w:rsidR="006A3667" w14:paraId="71D418F9" w14:textId="77777777">
        <w:tc>
          <w:tcPr>
            <w:tcW w:w="0" w:type="auto"/>
            <w:gridSpan w:val="6"/>
            <w:shd w:val="clear" w:color="auto" w:fill="CCEEFF"/>
            <w:tcMar>
              <w:top w:w="40" w:type="dxa"/>
              <w:left w:w="155" w:type="dxa"/>
              <w:bottom w:w="40" w:type="dxa"/>
              <w:right w:w="20" w:type="dxa"/>
            </w:tcMar>
            <w:vAlign w:val="center"/>
          </w:tcPr>
          <w:p w14:paraId="71D418EB" w14:textId="77777777" w:rsidR="006A3667" w:rsidRDefault="00045F32">
            <w:pPr>
              <w:textAlignment w:val="center"/>
            </w:pPr>
            <w:r>
              <w:rPr>
                <w:rFonts w:ascii="Arial" w:eastAsia="宋体" w:hAnsi="Arial" w:cs="Arial"/>
                <w:color w:val="000000"/>
                <w:sz w:val="15"/>
                <w:szCs w:val="15"/>
              </w:rPr>
              <w:t>Risk-weighted assets</w:t>
            </w:r>
          </w:p>
        </w:tc>
        <w:tc>
          <w:tcPr>
            <w:tcW w:w="0" w:type="auto"/>
            <w:shd w:val="clear" w:color="auto" w:fill="CCEEFF"/>
            <w:tcMar>
              <w:top w:w="40" w:type="dxa"/>
              <w:left w:w="20" w:type="dxa"/>
              <w:bottom w:w="40" w:type="dxa"/>
              <w:right w:w="0" w:type="dxa"/>
            </w:tcMar>
            <w:vAlign w:val="center"/>
          </w:tcPr>
          <w:p w14:paraId="71D418EC" w14:textId="77777777" w:rsidR="006A3667" w:rsidRDefault="00045F32">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71D418ED" w14:textId="77777777" w:rsidR="006A3667" w:rsidRDefault="00045F32">
            <w:pPr>
              <w:jc w:val="right"/>
              <w:textAlignment w:val="center"/>
            </w:pPr>
            <w:r>
              <w:rPr>
                <w:rFonts w:ascii="Arial" w:eastAsia="宋体" w:hAnsi="Arial" w:cs="Arial"/>
                <w:b/>
                <w:bCs/>
                <w:color w:val="000000"/>
                <w:sz w:val="15"/>
                <w:szCs w:val="15"/>
              </w:rPr>
              <w:t>30,254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1D418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E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8F0" w14:textId="77777777" w:rsidR="006A3667" w:rsidRDefault="00045F32">
            <w:pPr>
              <w:jc w:val="right"/>
              <w:textAlignment w:val="center"/>
            </w:pPr>
            <w:r>
              <w:rPr>
                <w:rFonts w:ascii="Arial" w:eastAsia="宋体" w:hAnsi="Arial" w:cs="Arial"/>
                <w:b/>
                <w:bCs/>
                <w:color w:val="000000"/>
                <w:sz w:val="15"/>
                <w:szCs w:val="15"/>
              </w:rPr>
              <w:t>26.4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1D418F1" w14:textId="77777777" w:rsidR="006A3667" w:rsidRDefault="00045F32">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71D418F2"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18F3" w14:textId="77777777" w:rsidR="006A3667" w:rsidRDefault="00045F32">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71D418F4" w14:textId="77777777" w:rsidR="006A3667" w:rsidRDefault="00045F32">
            <w:pPr>
              <w:jc w:val="right"/>
              <w:textAlignment w:val="center"/>
            </w:pPr>
            <w:r>
              <w:rPr>
                <w:rFonts w:ascii="Arial" w:eastAsia="宋体" w:hAnsi="Arial" w:cs="Arial"/>
                <w:b/>
                <w:bCs/>
                <w:color w:val="000000"/>
                <w:sz w:val="15"/>
                <w:szCs w:val="15"/>
              </w:rPr>
              <w:t>24,657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1D418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8F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8F7" w14:textId="77777777" w:rsidR="006A3667" w:rsidRDefault="00045F32">
            <w:pPr>
              <w:jc w:val="right"/>
              <w:textAlignment w:val="center"/>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1D418F8" w14:textId="77777777" w:rsidR="006A3667" w:rsidRDefault="00045F32">
            <w:pPr>
              <w:jc w:val="right"/>
              <w:textAlignment w:val="center"/>
            </w:pPr>
            <w:r>
              <w:rPr>
                <w:rFonts w:ascii="Arial" w:eastAsia="宋体" w:hAnsi="Arial" w:cs="Arial"/>
                <w:b/>
                <w:bCs/>
                <w:color w:val="000000"/>
                <w:sz w:val="15"/>
                <w:szCs w:val="15"/>
              </w:rPr>
              <w:t>%</w:t>
            </w:r>
          </w:p>
        </w:tc>
      </w:tr>
      <w:tr w:rsidR="006A3667" w14:paraId="71D41906" w14:textId="77777777">
        <w:tc>
          <w:tcPr>
            <w:tcW w:w="0" w:type="auto"/>
            <w:gridSpan w:val="6"/>
            <w:shd w:val="clear" w:color="auto" w:fill="FFFFFF"/>
            <w:tcMar>
              <w:top w:w="40" w:type="dxa"/>
              <w:left w:w="155" w:type="dxa"/>
              <w:bottom w:w="40" w:type="dxa"/>
              <w:right w:w="20" w:type="dxa"/>
            </w:tcMar>
            <w:vAlign w:val="center"/>
          </w:tcPr>
          <w:p w14:paraId="71D418FA" w14:textId="77777777" w:rsidR="006A3667" w:rsidRDefault="00045F32">
            <w:pPr>
              <w:textAlignment w:val="center"/>
            </w:pPr>
            <w:r>
              <w:rPr>
                <w:rFonts w:ascii="Arial" w:eastAsia="宋体" w:hAnsi="Arial" w:cs="Arial"/>
                <w:color w:val="000000"/>
                <w:sz w:val="15"/>
                <w:szCs w:val="15"/>
              </w:rPr>
              <w:t>Total leverage exposure</w:t>
            </w:r>
          </w:p>
        </w:tc>
        <w:tc>
          <w:tcPr>
            <w:tcW w:w="0" w:type="auto"/>
            <w:gridSpan w:val="2"/>
            <w:shd w:val="clear" w:color="auto" w:fill="FFFFFF"/>
            <w:tcMar>
              <w:top w:w="40" w:type="dxa"/>
              <w:left w:w="20" w:type="dxa"/>
              <w:bottom w:w="40" w:type="dxa"/>
              <w:right w:w="0" w:type="dxa"/>
            </w:tcMar>
            <w:vAlign w:val="center"/>
          </w:tcPr>
          <w:p w14:paraId="71D418FB" w14:textId="77777777" w:rsidR="006A3667" w:rsidRDefault="00045F32">
            <w:pPr>
              <w:jc w:val="right"/>
              <w:textAlignment w:val="center"/>
            </w:pPr>
            <w:r>
              <w:rPr>
                <w:rFonts w:ascii="Arial" w:eastAsia="宋体" w:hAnsi="Arial" w:cs="Arial"/>
                <w:b/>
                <w:bCs/>
                <w:color w:val="000000"/>
                <w:sz w:val="15"/>
                <w:szCs w:val="15"/>
              </w:rPr>
              <w:t>30,254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1D418F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8F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8FE" w14:textId="77777777" w:rsidR="006A3667" w:rsidRDefault="00045F32">
            <w:pPr>
              <w:jc w:val="right"/>
              <w:textAlignment w:val="center"/>
            </w:pPr>
            <w:r>
              <w:rPr>
                <w:rFonts w:ascii="Arial" w:eastAsia="宋体" w:hAnsi="Arial" w:cs="Arial"/>
                <w:b/>
                <w:bCs/>
                <w:color w:val="000000"/>
                <w:sz w:val="15"/>
                <w:szCs w:val="15"/>
              </w:rPr>
              <w:t>12.5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1D418F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0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01" w14:textId="77777777" w:rsidR="006A3667" w:rsidRDefault="00045F32">
            <w:pPr>
              <w:jc w:val="right"/>
              <w:textAlignment w:val="center"/>
            </w:pPr>
            <w:r>
              <w:rPr>
                <w:rFonts w:ascii="Arial" w:eastAsia="宋体" w:hAnsi="Arial" w:cs="Arial"/>
                <w:b/>
                <w:bCs/>
                <w:color w:val="000000"/>
                <w:sz w:val="15"/>
                <w:szCs w:val="15"/>
              </w:rPr>
              <w:t>22,945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1D4190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0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04" w14:textId="77777777" w:rsidR="006A3667" w:rsidRDefault="00045F32">
            <w:pPr>
              <w:jc w:val="right"/>
              <w:textAlignment w:val="center"/>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1D41905" w14:textId="77777777" w:rsidR="006A3667" w:rsidRDefault="006A3667">
            <w:pPr>
              <w:jc w:val="right"/>
              <w:rPr>
                <w:rFonts w:ascii="宋体"/>
              </w:rPr>
            </w:pPr>
          </w:p>
        </w:tc>
      </w:tr>
      <w:tr w:rsidR="006A3667" w14:paraId="71D4190F" w14:textId="77777777">
        <w:tc>
          <w:tcPr>
            <w:tcW w:w="0" w:type="auto"/>
            <w:gridSpan w:val="6"/>
            <w:shd w:val="clear" w:color="auto" w:fill="CCEEFF"/>
            <w:tcMar>
              <w:top w:w="40" w:type="dxa"/>
              <w:left w:w="20" w:type="dxa"/>
              <w:bottom w:w="40" w:type="dxa"/>
              <w:right w:w="20" w:type="dxa"/>
            </w:tcMar>
            <w:vAlign w:val="center"/>
          </w:tcPr>
          <w:p w14:paraId="71D41907" w14:textId="77777777" w:rsidR="006A3667" w:rsidRDefault="00045F32">
            <w:pPr>
              <w:textAlignment w:val="center"/>
            </w:pPr>
            <w:r>
              <w:rPr>
                <w:rFonts w:ascii="Arial" w:eastAsia="宋体" w:hAnsi="Arial" w:cs="Arial"/>
                <w:color w:val="000000"/>
                <w:sz w:val="15"/>
                <w:szCs w:val="15"/>
              </w:rPr>
              <w:t>Long-term debt:</w:t>
            </w:r>
          </w:p>
        </w:tc>
        <w:tc>
          <w:tcPr>
            <w:tcW w:w="0" w:type="auto"/>
            <w:gridSpan w:val="3"/>
            <w:shd w:val="clear" w:color="auto" w:fill="CCEEFF"/>
            <w:tcMar>
              <w:top w:w="0" w:type="dxa"/>
              <w:left w:w="20" w:type="dxa"/>
              <w:bottom w:w="0" w:type="dxa"/>
              <w:right w:w="20" w:type="dxa"/>
            </w:tcMar>
            <w:vAlign w:val="bottom"/>
          </w:tcPr>
          <w:p w14:paraId="71D4190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90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90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90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90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90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90E" w14:textId="77777777" w:rsidR="006A3667" w:rsidRDefault="006A3667">
            <w:pPr>
              <w:rPr>
                <w:rFonts w:ascii="宋体"/>
              </w:rPr>
            </w:pPr>
          </w:p>
        </w:tc>
      </w:tr>
      <w:tr w:rsidR="006A3667" w14:paraId="71D4191C" w14:textId="77777777">
        <w:tc>
          <w:tcPr>
            <w:tcW w:w="0" w:type="auto"/>
            <w:gridSpan w:val="6"/>
            <w:shd w:val="clear" w:color="auto" w:fill="FFFFFF"/>
            <w:tcMar>
              <w:top w:w="40" w:type="dxa"/>
              <w:left w:w="155" w:type="dxa"/>
              <w:bottom w:w="40" w:type="dxa"/>
              <w:right w:w="20" w:type="dxa"/>
            </w:tcMar>
            <w:vAlign w:val="center"/>
          </w:tcPr>
          <w:p w14:paraId="71D41910" w14:textId="77777777" w:rsidR="006A3667" w:rsidRDefault="00045F32">
            <w:pPr>
              <w:textAlignment w:val="center"/>
            </w:pPr>
            <w:r>
              <w:rPr>
                <w:rFonts w:ascii="Arial" w:eastAsia="宋体" w:hAnsi="Arial" w:cs="Arial"/>
                <w:color w:val="000000"/>
                <w:sz w:val="15"/>
                <w:szCs w:val="15"/>
              </w:rPr>
              <w:t>Risk-weighted assets</w:t>
            </w:r>
          </w:p>
        </w:tc>
        <w:tc>
          <w:tcPr>
            <w:tcW w:w="0" w:type="auto"/>
            <w:gridSpan w:val="2"/>
            <w:shd w:val="clear" w:color="auto" w:fill="FFFFFF"/>
            <w:tcMar>
              <w:top w:w="40" w:type="dxa"/>
              <w:left w:w="20" w:type="dxa"/>
              <w:bottom w:w="40" w:type="dxa"/>
              <w:right w:w="0" w:type="dxa"/>
            </w:tcMar>
            <w:vAlign w:val="center"/>
          </w:tcPr>
          <w:p w14:paraId="71D41911" w14:textId="77777777" w:rsidR="006A3667" w:rsidRDefault="00045F32">
            <w:pPr>
              <w:jc w:val="right"/>
              <w:textAlignment w:val="center"/>
            </w:pPr>
            <w:r>
              <w:rPr>
                <w:rFonts w:ascii="Arial" w:eastAsia="宋体" w:hAnsi="Arial" w:cs="Arial"/>
                <w:b/>
                <w:bCs/>
                <w:color w:val="000000"/>
                <w:sz w:val="15"/>
                <w:szCs w:val="15"/>
              </w:rPr>
              <w:t>12,653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1D419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14" w14:textId="77777777" w:rsidR="006A3667" w:rsidRDefault="00045F32">
            <w:pPr>
              <w:jc w:val="right"/>
              <w:textAlignment w:val="center"/>
            </w:pPr>
            <w:r>
              <w:rPr>
                <w:rFonts w:ascii="Arial" w:eastAsia="宋体" w:hAnsi="Arial" w:cs="Arial"/>
                <w:b/>
                <w:bCs/>
                <w:color w:val="000000"/>
                <w:sz w:val="15"/>
                <w:szCs w:val="15"/>
              </w:rPr>
              <w:t>11.0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1D419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17" w14:textId="77777777" w:rsidR="006A3667" w:rsidRDefault="00045F32">
            <w:pPr>
              <w:jc w:val="right"/>
              <w:textAlignment w:val="center"/>
            </w:pPr>
            <w:r>
              <w:rPr>
                <w:rFonts w:ascii="Arial" w:eastAsia="宋体" w:hAnsi="Arial" w:cs="Arial"/>
                <w:b/>
                <w:bCs/>
                <w:color w:val="000000"/>
                <w:sz w:val="15"/>
                <w:szCs w:val="15"/>
              </w:rPr>
              <w:t>8,042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1D4191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1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1A" w14:textId="77777777" w:rsidR="006A3667" w:rsidRDefault="00045F32">
            <w:pPr>
              <w:jc w:val="right"/>
              <w:textAlignment w:val="center"/>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71D4191B" w14:textId="77777777" w:rsidR="006A3667" w:rsidRDefault="006A3667">
            <w:pPr>
              <w:jc w:val="right"/>
              <w:rPr>
                <w:rFonts w:ascii="宋体"/>
              </w:rPr>
            </w:pPr>
          </w:p>
        </w:tc>
      </w:tr>
      <w:tr w:rsidR="006A3667" w14:paraId="71D41929" w14:textId="77777777">
        <w:tc>
          <w:tcPr>
            <w:tcW w:w="0" w:type="auto"/>
            <w:gridSpan w:val="6"/>
            <w:shd w:val="clear" w:color="auto" w:fill="CCEEFF"/>
            <w:tcMar>
              <w:top w:w="40" w:type="dxa"/>
              <w:left w:w="155" w:type="dxa"/>
              <w:bottom w:w="40" w:type="dxa"/>
              <w:right w:w="20" w:type="dxa"/>
            </w:tcMar>
            <w:vAlign w:val="center"/>
          </w:tcPr>
          <w:p w14:paraId="71D4191D" w14:textId="77777777" w:rsidR="006A3667" w:rsidRDefault="00045F32">
            <w:pPr>
              <w:textAlignment w:val="center"/>
            </w:pPr>
            <w:r>
              <w:rPr>
                <w:rFonts w:ascii="Arial" w:eastAsia="宋体" w:hAnsi="Arial" w:cs="Arial"/>
                <w:color w:val="000000"/>
                <w:sz w:val="15"/>
                <w:szCs w:val="15"/>
              </w:rPr>
              <w:t>Total leverage exposure</w:t>
            </w:r>
          </w:p>
        </w:tc>
        <w:tc>
          <w:tcPr>
            <w:tcW w:w="0" w:type="auto"/>
            <w:gridSpan w:val="2"/>
            <w:shd w:val="clear" w:color="auto" w:fill="CCEEFF"/>
            <w:tcMar>
              <w:top w:w="40" w:type="dxa"/>
              <w:left w:w="20" w:type="dxa"/>
              <w:bottom w:w="40" w:type="dxa"/>
              <w:right w:w="0" w:type="dxa"/>
            </w:tcMar>
            <w:vAlign w:val="center"/>
          </w:tcPr>
          <w:p w14:paraId="71D4191E" w14:textId="77777777" w:rsidR="006A3667" w:rsidRDefault="00045F32">
            <w:pPr>
              <w:jc w:val="right"/>
              <w:textAlignment w:val="center"/>
            </w:pPr>
            <w:r>
              <w:rPr>
                <w:rFonts w:ascii="Arial" w:eastAsia="宋体" w:hAnsi="Arial" w:cs="Arial"/>
                <w:b/>
                <w:bCs/>
                <w:color w:val="000000"/>
                <w:sz w:val="15"/>
                <w:szCs w:val="15"/>
              </w:rPr>
              <w:t>12,653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1D4191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2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921" w14:textId="77777777" w:rsidR="006A3667" w:rsidRDefault="00045F32">
            <w:pPr>
              <w:jc w:val="right"/>
              <w:textAlignment w:val="center"/>
            </w:pPr>
            <w:r>
              <w:rPr>
                <w:rFonts w:ascii="Arial" w:eastAsia="宋体" w:hAnsi="Arial" w:cs="Arial"/>
                <w:b/>
                <w:bCs/>
                <w:color w:val="000000"/>
                <w:sz w:val="15"/>
                <w:szCs w:val="15"/>
              </w:rPr>
              <w:t>5.2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1D419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2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924" w14:textId="77777777" w:rsidR="006A3667" w:rsidRDefault="00045F32">
            <w:pPr>
              <w:jc w:val="right"/>
              <w:textAlignment w:val="center"/>
            </w:pPr>
            <w:r>
              <w:rPr>
                <w:rFonts w:ascii="Arial" w:eastAsia="宋体" w:hAnsi="Arial" w:cs="Arial"/>
                <w:b/>
                <w:bCs/>
                <w:color w:val="000000"/>
                <w:sz w:val="15"/>
                <w:szCs w:val="15"/>
              </w:rPr>
              <w:t>10,869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1D419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927" w14:textId="77777777" w:rsidR="006A3667" w:rsidRDefault="00045F32">
            <w:pPr>
              <w:jc w:val="right"/>
              <w:textAlignment w:val="center"/>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71D41928" w14:textId="77777777" w:rsidR="006A3667" w:rsidRDefault="006A3667">
            <w:pPr>
              <w:jc w:val="right"/>
              <w:rPr>
                <w:rFonts w:ascii="宋体"/>
              </w:rPr>
            </w:pPr>
          </w:p>
        </w:tc>
      </w:tr>
    </w:tbl>
    <w:p w14:paraId="71D4192A" w14:textId="77777777" w:rsidR="006A3667" w:rsidRDefault="00045F32">
      <w:pPr>
        <w:ind w:firstLine="450"/>
        <w:jc w:val="right"/>
      </w:pPr>
      <w:r>
        <w:rPr>
          <w:rFonts w:ascii="Arial" w:eastAsia="宋体" w:hAnsi="Arial" w:cs="Arial"/>
          <w:color w:val="000000"/>
          <w:sz w:val="18"/>
          <w:szCs w:val="18"/>
        </w:rPr>
        <w:t>State Street Corporation | 48</w:t>
      </w:r>
    </w:p>
    <w:p w14:paraId="71D4192B" w14:textId="77777777" w:rsidR="006A3667" w:rsidRDefault="006A3667">
      <w:pPr>
        <w:ind w:firstLine="450"/>
        <w:jc w:val="center"/>
      </w:pPr>
    </w:p>
    <w:p w14:paraId="71D4192C" w14:textId="77777777" w:rsidR="006A3667" w:rsidRDefault="00045F32">
      <w:r>
        <w:pict w14:anchorId="71D4AC44">
          <v:rect id="_x0000_i1072" style="width:415.3pt;height:1.5pt" o:hralign="center" o:hrstd="t" o:hr="t" fillcolor="#a0a0a0" stroked="f"/>
        </w:pict>
      </w:r>
    </w:p>
    <w:p w14:paraId="71D4192D"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92E" w14:textId="77777777" w:rsidR="006A3667" w:rsidRDefault="00045F32">
      <w:pPr>
        <w:ind w:firstLine="450"/>
        <w:jc w:val="center"/>
      </w:pPr>
      <w:r>
        <w:rPr>
          <w:rFonts w:ascii="Arial" w:eastAsia="宋体" w:hAnsi="Arial" w:cs="Arial"/>
          <w:b/>
          <w:bCs/>
          <w:color w:val="000000"/>
          <w:sz w:val="20"/>
          <w:szCs w:val="20"/>
        </w:rPr>
        <w:t>AND RESULTS OF OPERATIONS</w:t>
      </w:r>
    </w:p>
    <w:p w14:paraId="71D4192F" w14:textId="77777777" w:rsidR="006A3667" w:rsidRDefault="00045F32">
      <w:pPr>
        <w:spacing w:before="60"/>
        <w:jc w:val="both"/>
        <w:textAlignment w:val="top"/>
      </w:pPr>
      <w:r>
        <w:rPr>
          <w:rFonts w:ascii="Arial" w:eastAsia="宋体" w:hAnsi="Arial" w:cs="Arial"/>
          <w:b/>
          <w:bCs/>
          <w:i/>
          <w:iCs/>
          <w:color w:val="000000"/>
          <w:sz w:val="20"/>
          <w:szCs w:val="20"/>
        </w:rPr>
        <w:t>Regulatory Developments</w:t>
      </w:r>
    </w:p>
    <w:p w14:paraId="71D41930" w14:textId="77777777" w:rsidR="006A3667" w:rsidRDefault="00045F32">
      <w:pPr>
        <w:spacing w:before="60"/>
        <w:ind w:firstLine="450"/>
        <w:jc w:val="both"/>
        <w:textAlignment w:val="top"/>
      </w:pPr>
      <w:r>
        <w:rPr>
          <w:rFonts w:ascii="Arial" w:eastAsia="宋体" w:hAnsi="Arial" w:cs="Arial"/>
          <w:color w:val="000000"/>
          <w:sz w:val="20"/>
          <w:szCs w:val="20"/>
        </w:rPr>
        <w:t xml:space="preserve">In April 2018, the Federal Reserve issued a proposed rule which </w:t>
      </w:r>
      <w:r>
        <w:rPr>
          <w:rFonts w:ascii="Arial" w:eastAsia="宋体" w:hAnsi="Arial" w:cs="Arial"/>
          <w:color w:val="000000"/>
          <w:sz w:val="20"/>
          <w:szCs w:val="20"/>
        </w:rPr>
        <w:t>would replace the current 2.0% SLR buffer for G-SIBs, with a buffer equal to 50% of their G-SIB surcharge. This proposal would also make conforming modifications to our TLAC and eligible LTD requirements applicable to G-SIBs. At this point in time, it is u</w:t>
      </w:r>
      <w:r>
        <w:rPr>
          <w:rFonts w:ascii="Arial" w:eastAsia="宋体" w:hAnsi="Arial" w:cs="Arial"/>
          <w:color w:val="000000"/>
          <w:sz w:val="20"/>
          <w:szCs w:val="20"/>
        </w:rPr>
        <w:t>nclear whether this proposal will be implemented as proposed.</w:t>
      </w:r>
    </w:p>
    <w:p w14:paraId="71D41931" w14:textId="77777777" w:rsidR="006A3667" w:rsidRDefault="00045F32">
      <w:pPr>
        <w:spacing w:before="60"/>
        <w:ind w:firstLine="450"/>
        <w:jc w:val="both"/>
        <w:textAlignment w:val="top"/>
      </w:pPr>
      <w:r>
        <w:rPr>
          <w:rFonts w:ascii="Arial" w:eastAsia="宋体" w:hAnsi="Arial" w:cs="Arial"/>
          <w:color w:val="000000"/>
          <w:sz w:val="20"/>
          <w:szCs w:val="20"/>
        </w:rPr>
        <w:t>In November 2019, the Federal Reserve and other U.S. federal banking agencies issued a final rule that, among other things, implemented the standardized approach for counterparty credit risk (SA</w:t>
      </w:r>
      <w:r>
        <w:rPr>
          <w:rFonts w:ascii="Arial" w:eastAsia="宋体" w:hAnsi="Arial" w:cs="Arial"/>
          <w:color w:val="000000"/>
          <w:sz w:val="20"/>
          <w:szCs w:val="20"/>
        </w:rPr>
        <w:t xml:space="preserve">-CCR), a methodology for calculating the exposure amount for derivative contracts. Under the final rule, which became effective on January 1, 2022, we have the option to use the SA-CCR or the Internal Model Methodology (IMM) to measure the exposure amount </w:t>
      </w:r>
      <w:r>
        <w:rPr>
          <w:rFonts w:ascii="Arial" w:eastAsia="宋体" w:hAnsi="Arial" w:cs="Arial"/>
          <w:color w:val="000000"/>
          <w:sz w:val="20"/>
          <w:szCs w:val="20"/>
        </w:rPr>
        <w:t>of our cleared and uncleared derivative transactions under our advanced approaches calculation. We have elected to use the SA-CCR for purposes of our advanced approaches capital calculations. We are required to determine the amount of these exposures using</w:t>
      </w:r>
      <w:r>
        <w:rPr>
          <w:rFonts w:ascii="Arial" w:eastAsia="宋体" w:hAnsi="Arial" w:cs="Arial"/>
          <w:color w:val="000000"/>
          <w:sz w:val="20"/>
          <w:szCs w:val="20"/>
        </w:rPr>
        <w:t xml:space="preserve"> the SA-CCR under our standardized approach capital calculation. Additionally, we have to apply a revised formula to determine the RWA amount of our central counterparty default fund contributions.</w:t>
      </w:r>
    </w:p>
    <w:p w14:paraId="71D41932" w14:textId="77777777" w:rsidR="006A3667" w:rsidRDefault="00045F32">
      <w:pPr>
        <w:spacing w:before="60"/>
        <w:ind w:firstLine="450"/>
        <w:jc w:val="both"/>
        <w:textAlignment w:val="top"/>
      </w:pPr>
      <w:r>
        <w:rPr>
          <w:rFonts w:ascii="Arial" w:eastAsia="宋体" w:hAnsi="Arial" w:cs="Arial"/>
          <w:color w:val="000000"/>
          <w:sz w:val="20"/>
          <w:szCs w:val="20"/>
        </w:rPr>
        <w:t>The Federal Reserve and other U.S. federal banking agencie</w:t>
      </w:r>
      <w:r>
        <w:rPr>
          <w:rFonts w:ascii="Arial" w:eastAsia="宋体" w:hAnsi="Arial" w:cs="Arial"/>
          <w:color w:val="000000"/>
          <w:sz w:val="20"/>
          <w:szCs w:val="20"/>
        </w:rPr>
        <w:t>s issued an interim final rule effective in March 2020 and later finalized on a permanent basis on August 26, 2020, which revised the definition of eligible retained income for all U.S. banking organizations. The revised definition of eligible retained inc</w:t>
      </w:r>
      <w:r>
        <w:rPr>
          <w:rFonts w:ascii="Arial" w:eastAsia="宋体" w:hAnsi="Arial" w:cs="Arial"/>
          <w:color w:val="000000"/>
          <w:sz w:val="20"/>
          <w:szCs w:val="20"/>
        </w:rPr>
        <w:t>ome makes any automatic limitations on capital distributions, where a banking organization's regulatory ratios were to decline below the respective minimum requirements, take effect on a more gradual basis.</w:t>
      </w:r>
    </w:p>
    <w:p w14:paraId="71D41933" w14:textId="77777777" w:rsidR="006A3667" w:rsidRDefault="00045F32">
      <w:pPr>
        <w:spacing w:before="60"/>
        <w:ind w:firstLine="450"/>
        <w:jc w:val="both"/>
        <w:textAlignment w:val="top"/>
      </w:pPr>
      <w:r>
        <w:rPr>
          <w:rFonts w:ascii="Arial" w:eastAsia="宋体" w:hAnsi="Arial" w:cs="Arial"/>
          <w:color w:val="000000"/>
          <w:sz w:val="20"/>
          <w:szCs w:val="20"/>
        </w:rPr>
        <w:t xml:space="preserve">Effective April 1, 2020, the Federal Reserve and </w:t>
      </w:r>
      <w:r>
        <w:rPr>
          <w:rFonts w:ascii="Arial" w:eastAsia="宋体" w:hAnsi="Arial" w:cs="Arial"/>
          <w:color w:val="000000"/>
          <w:sz w:val="20"/>
          <w:szCs w:val="20"/>
        </w:rPr>
        <w:t xml:space="preserve">other U.S. federal banking agencies adopted a final rule as part of EGRRCPA that establishes a deduction for qualifying central bank deposits from a </w:t>
      </w:r>
    </w:p>
    <w:p w14:paraId="71D41934" w14:textId="77777777" w:rsidR="006A3667" w:rsidRDefault="00045F32">
      <w:pPr>
        <w:spacing w:before="60"/>
        <w:jc w:val="both"/>
        <w:textAlignment w:val="top"/>
      </w:pPr>
      <w:r>
        <w:rPr>
          <w:rFonts w:ascii="Arial" w:eastAsia="宋体" w:hAnsi="Arial" w:cs="Arial"/>
          <w:color w:val="000000"/>
          <w:sz w:val="20"/>
          <w:szCs w:val="20"/>
        </w:rPr>
        <w:t>custodial banking organization’s total leverage exposure equal to the lesser of (i) the total amount of fu</w:t>
      </w:r>
      <w:r>
        <w:rPr>
          <w:rFonts w:ascii="Arial" w:eastAsia="宋体" w:hAnsi="Arial" w:cs="Arial"/>
          <w:color w:val="000000"/>
          <w:sz w:val="20"/>
          <w:szCs w:val="20"/>
        </w:rPr>
        <w:t>nds the custodial banking organization and its consolidated subsidiaries have on deposit at qualifying central banks and (ii) the total amount of client funds on deposit at the custodial banking organization that are linked to fiduciary or custodial and sa</w:t>
      </w:r>
      <w:r>
        <w:rPr>
          <w:rFonts w:ascii="Arial" w:eastAsia="宋体" w:hAnsi="Arial" w:cs="Arial"/>
          <w:color w:val="000000"/>
          <w:sz w:val="20"/>
          <w:szCs w:val="20"/>
        </w:rPr>
        <w:t>fekeeping accounts. For the quarter ended September 30, 2022, we deducted $64.1 billion of average balances held on deposit at central banks from the denominator used in the calculation of our SLR, based on this custodial banking deduction.</w:t>
      </w:r>
    </w:p>
    <w:p w14:paraId="71D41935" w14:textId="77777777" w:rsidR="006A3667" w:rsidRDefault="00045F32">
      <w:pPr>
        <w:spacing w:before="60"/>
        <w:ind w:firstLine="450"/>
        <w:jc w:val="both"/>
        <w:textAlignment w:val="top"/>
      </w:pPr>
      <w:r>
        <w:rPr>
          <w:rFonts w:ascii="Arial" w:eastAsia="宋体" w:hAnsi="Arial" w:cs="Arial"/>
          <w:color w:val="000000"/>
          <w:sz w:val="20"/>
          <w:szCs w:val="20"/>
        </w:rPr>
        <w:t xml:space="preserve">On October 20, </w:t>
      </w:r>
      <w:r>
        <w:rPr>
          <w:rFonts w:ascii="Arial" w:eastAsia="宋体" w:hAnsi="Arial" w:cs="Arial"/>
          <w:color w:val="000000"/>
          <w:sz w:val="20"/>
          <w:szCs w:val="20"/>
        </w:rPr>
        <w:t>2020, the Federal Reserve and other U.S. federal banking agencies issued a final rule that requires us and State Street Bank to make certain deductions from regulatory capital for investments in certain unsecured debt instruments, including eligible LTD un</w:t>
      </w:r>
      <w:r>
        <w:rPr>
          <w:rFonts w:ascii="Arial" w:eastAsia="宋体" w:hAnsi="Arial" w:cs="Arial"/>
          <w:color w:val="000000"/>
          <w:sz w:val="20"/>
          <w:szCs w:val="20"/>
        </w:rPr>
        <w:t xml:space="preserve">der the TLAC rule, issued by the Parent Company and other U.S. and foreign G-SIBs. The final rule became effective on April 1, 2021. </w:t>
      </w:r>
    </w:p>
    <w:p w14:paraId="71D41936" w14:textId="77777777" w:rsidR="006A3667" w:rsidRDefault="00045F32">
      <w:pPr>
        <w:spacing w:before="60"/>
        <w:ind w:firstLine="450"/>
        <w:jc w:val="both"/>
        <w:textAlignment w:val="top"/>
      </w:pPr>
      <w:r>
        <w:rPr>
          <w:rFonts w:ascii="Arial" w:eastAsia="宋体" w:hAnsi="Arial" w:cs="Arial"/>
          <w:color w:val="000000"/>
          <w:sz w:val="20"/>
          <w:szCs w:val="20"/>
        </w:rPr>
        <w:t>Our SCB requirement for the period from October 1, 2021 through September 30, 2022 was 2.5%. On June 23, 2022, we were not</w:t>
      </w:r>
      <w:r>
        <w:rPr>
          <w:rFonts w:ascii="Arial" w:eastAsia="宋体" w:hAnsi="Arial" w:cs="Arial"/>
          <w:color w:val="000000"/>
          <w:sz w:val="20"/>
          <w:szCs w:val="20"/>
        </w:rPr>
        <w:t>ified by the Federal Reserve of the results from the 2022 supervisory stress test. Our SCB calculated under the 2022 supervisory stress test was well below the 2.5% minimum, resulting in an SCB at that floor, which went into effect starting October 1, 2022</w:t>
      </w:r>
      <w:r>
        <w:rPr>
          <w:rFonts w:ascii="Arial" w:eastAsia="宋体" w:hAnsi="Arial" w:cs="Arial"/>
          <w:color w:val="000000"/>
          <w:sz w:val="20"/>
          <w:szCs w:val="20"/>
        </w:rPr>
        <w:t xml:space="preserve"> and will run through September 30, 2023.</w:t>
      </w:r>
    </w:p>
    <w:p w14:paraId="71D41937" w14:textId="77777777" w:rsidR="006A3667" w:rsidRDefault="00045F32">
      <w:pPr>
        <w:spacing w:before="60"/>
        <w:ind w:firstLine="450"/>
        <w:jc w:val="both"/>
        <w:textAlignment w:val="top"/>
      </w:pPr>
      <w:r>
        <w:rPr>
          <w:rFonts w:ascii="Arial" w:eastAsia="宋体" w:hAnsi="Arial" w:cs="Arial"/>
          <w:color w:val="000000"/>
          <w:sz w:val="20"/>
          <w:szCs w:val="20"/>
        </w:rPr>
        <w:t xml:space="preserve">On September 9, 2022, the U.S. Banking Agencies reaffirmed their commitment to implementing revised regulatory capital requirements that align with the final set of Basel III standards (Basel IV package) issued by </w:t>
      </w:r>
      <w:r>
        <w:rPr>
          <w:rFonts w:ascii="Arial" w:eastAsia="宋体" w:hAnsi="Arial" w:cs="Arial"/>
          <w:color w:val="000000"/>
          <w:sz w:val="20"/>
          <w:szCs w:val="20"/>
        </w:rPr>
        <w:t>the Basel Committee on Banking Supervision in December 2017. They intend to seek public comments on a joint proposed rule in the coming months.</w:t>
      </w:r>
    </w:p>
    <w:p w14:paraId="71D41938" w14:textId="77777777" w:rsidR="006A3667" w:rsidRDefault="00045F32">
      <w:pPr>
        <w:spacing w:before="60"/>
        <w:ind w:firstLine="450"/>
        <w:jc w:val="both"/>
        <w:textAlignment w:val="top"/>
      </w:pPr>
      <w:r>
        <w:rPr>
          <w:rFonts w:ascii="Arial" w:eastAsia="宋体" w:hAnsi="Arial" w:cs="Arial"/>
          <w:color w:val="000000"/>
          <w:sz w:val="20"/>
          <w:szCs w:val="20"/>
        </w:rPr>
        <w:t>For additional information about our capital, refer to pages 113 to 121 included under Item 7, Management's Disc</w:t>
      </w:r>
      <w:r>
        <w:rPr>
          <w:rFonts w:ascii="Arial" w:eastAsia="宋体" w:hAnsi="Arial" w:cs="Arial"/>
          <w:color w:val="000000"/>
          <w:sz w:val="20"/>
          <w:szCs w:val="20"/>
        </w:rPr>
        <w:t xml:space="preserve">ussion and Analysis of Financial Condition and Results of Operations, in our 2021 Form 10-K. </w:t>
      </w:r>
    </w:p>
    <w:p w14:paraId="71D41939" w14:textId="77777777" w:rsidR="006A3667" w:rsidRDefault="00045F32">
      <w:pPr>
        <w:ind w:firstLine="450"/>
        <w:jc w:val="right"/>
      </w:pPr>
      <w:r>
        <w:rPr>
          <w:rFonts w:ascii="Arial" w:eastAsia="宋体" w:hAnsi="Arial" w:cs="Arial"/>
          <w:color w:val="000000"/>
          <w:sz w:val="18"/>
          <w:szCs w:val="18"/>
        </w:rPr>
        <w:t>State Street Corporation | 49</w:t>
      </w:r>
    </w:p>
    <w:p w14:paraId="71D4193A" w14:textId="77777777" w:rsidR="006A3667" w:rsidRDefault="006A3667">
      <w:pPr>
        <w:ind w:firstLine="450"/>
        <w:jc w:val="center"/>
      </w:pPr>
    </w:p>
    <w:p w14:paraId="71D4193B" w14:textId="77777777" w:rsidR="006A3667" w:rsidRDefault="00045F32">
      <w:r>
        <w:pict w14:anchorId="71D4AC45">
          <v:rect id="_x0000_i1073" style="width:415.3pt;height:1.5pt" o:hralign="center" o:hrstd="t" o:hr="t" fillcolor="#a0a0a0" stroked="f"/>
        </w:pict>
      </w:r>
    </w:p>
    <w:p w14:paraId="71D4193C"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93D" w14:textId="77777777" w:rsidR="006A3667" w:rsidRDefault="00045F32">
      <w:pPr>
        <w:ind w:firstLine="450"/>
        <w:jc w:val="center"/>
      </w:pPr>
      <w:r>
        <w:rPr>
          <w:rFonts w:ascii="Arial" w:eastAsia="宋体" w:hAnsi="Arial" w:cs="Arial"/>
          <w:b/>
          <w:bCs/>
          <w:color w:val="000000"/>
          <w:sz w:val="20"/>
          <w:szCs w:val="20"/>
        </w:rPr>
        <w:t>AND RESULTS OF OPERATIONS</w:t>
      </w:r>
    </w:p>
    <w:p w14:paraId="71D4193E" w14:textId="77777777" w:rsidR="006A3667" w:rsidRDefault="00045F32">
      <w:pPr>
        <w:spacing w:before="60"/>
      </w:pPr>
      <w:r>
        <w:rPr>
          <w:rFonts w:ascii="Arial" w:eastAsia="宋体" w:hAnsi="Arial" w:cs="Arial"/>
          <w:b/>
          <w:bCs/>
          <w:i/>
          <w:iCs/>
          <w:color w:val="000000"/>
          <w:sz w:val="20"/>
          <w:szCs w:val="20"/>
        </w:rPr>
        <w:t>Capital Actions</w:t>
      </w:r>
    </w:p>
    <w:p w14:paraId="71D4193F" w14:textId="77777777" w:rsidR="006A3667" w:rsidRDefault="00045F32">
      <w:pPr>
        <w:spacing w:before="60"/>
      </w:pPr>
      <w:r>
        <w:rPr>
          <w:rFonts w:ascii="Arial" w:eastAsia="宋体" w:hAnsi="Arial" w:cs="Arial"/>
          <w:i/>
          <w:iCs/>
          <w:color w:val="000000"/>
          <w:sz w:val="20"/>
          <w:szCs w:val="20"/>
        </w:rPr>
        <w:t>Preferred Stock</w:t>
      </w:r>
    </w:p>
    <w:p w14:paraId="71D41940" w14:textId="77777777" w:rsidR="006A3667" w:rsidRDefault="00045F32">
      <w:pPr>
        <w:spacing w:before="60"/>
        <w:ind w:firstLine="450"/>
        <w:jc w:val="both"/>
      </w:pPr>
      <w:r>
        <w:rPr>
          <w:rFonts w:ascii="Arial" w:eastAsia="宋体" w:hAnsi="Arial" w:cs="Arial"/>
          <w:color w:val="000000"/>
          <w:sz w:val="20"/>
          <w:szCs w:val="20"/>
        </w:rPr>
        <w:t xml:space="preserve">The </w:t>
      </w:r>
      <w:r>
        <w:rPr>
          <w:rFonts w:ascii="Arial" w:eastAsia="宋体" w:hAnsi="Arial" w:cs="Arial"/>
          <w:color w:val="000000"/>
          <w:sz w:val="20"/>
          <w:szCs w:val="20"/>
        </w:rPr>
        <w:t>following table summarizes selected terms of each of the series of the preferred stock issued and outstanding as of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77"/>
        <w:gridCol w:w="448"/>
        <w:gridCol w:w="36"/>
        <w:gridCol w:w="40"/>
        <w:gridCol w:w="33"/>
        <w:gridCol w:w="36"/>
        <w:gridCol w:w="64"/>
        <w:gridCol w:w="511"/>
        <w:gridCol w:w="37"/>
        <w:gridCol w:w="40"/>
        <w:gridCol w:w="33"/>
        <w:gridCol w:w="36"/>
        <w:gridCol w:w="84"/>
        <w:gridCol w:w="522"/>
        <w:gridCol w:w="36"/>
        <w:gridCol w:w="40"/>
        <w:gridCol w:w="33"/>
        <w:gridCol w:w="35"/>
        <w:gridCol w:w="85"/>
        <w:gridCol w:w="577"/>
        <w:gridCol w:w="35"/>
        <w:gridCol w:w="40"/>
        <w:gridCol w:w="31"/>
        <w:gridCol w:w="35"/>
        <w:gridCol w:w="82"/>
        <w:gridCol w:w="519"/>
        <w:gridCol w:w="35"/>
        <w:gridCol w:w="40"/>
        <w:gridCol w:w="31"/>
        <w:gridCol w:w="35"/>
        <w:gridCol w:w="85"/>
        <w:gridCol w:w="540"/>
        <w:gridCol w:w="36"/>
        <w:gridCol w:w="40"/>
        <w:gridCol w:w="31"/>
        <w:gridCol w:w="35"/>
        <w:gridCol w:w="85"/>
        <w:gridCol w:w="540"/>
        <w:gridCol w:w="35"/>
        <w:gridCol w:w="40"/>
        <w:gridCol w:w="31"/>
        <w:gridCol w:w="35"/>
        <w:gridCol w:w="53"/>
        <w:gridCol w:w="576"/>
        <w:gridCol w:w="36"/>
        <w:gridCol w:w="40"/>
        <w:gridCol w:w="31"/>
        <w:gridCol w:w="35"/>
        <w:gridCol w:w="92"/>
        <w:gridCol w:w="666"/>
        <w:gridCol w:w="36"/>
        <w:gridCol w:w="40"/>
        <w:gridCol w:w="31"/>
        <w:gridCol w:w="35"/>
        <w:gridCol w:w="84"/>
        <w:gridCol w:w="518"/>
        <w:gridCol w:w="35"/>
        <w:gridCol w:w="40"/>
        <w:gridCol w:w="31"/>
        <w:gridCol w:w="35"/>
        <w:gridCol w:w="80"/>
        <w:gridCol w:w="588"/>
        <w:gridCol w:w="35"/>
      </w:tblGrid>
      <w:tr w:rsidR="006A3667" w14:paraId="71D41980" w14:textId="77777777">
        <w:tc>
          <w:tcPr>
            <w:tcW w:w="50" w:type="pct"/>
            <w:shd w:val="clear" w:color="auto" w:fill="auto"/>
            <w:vAlign w:val="bottom"/>
          </w:tcPr>
          <w:p w14:paraId="71D41941" w14:textId="77777777" w:rsidR="006A3667" w:rsidRDefault="006A3667">
            <w:pPr>
              <w:rPr>
                <w:rFonts w:ascii="宋体"/>
              </w:rPr>
            </w:pPr>
          </w:p>
        </w:tc>
        <w:tc>
          <w:tcPr>
            <w:tcW w:w="310" w:type="pct"/>
            <w:shd w:val="clear" w:color="auto" w:fill="auto"/>
            <w:vAlign w:val="bottom"/>
          </w:tcPr>
          <w:p w14:paraId="71D41942" w14:textId="77777777" w:rsidR="006A3667" w:rsidRDefault="006A3667">
            <w:pPr>
              <w:rPr>
                <w:rFonts w:ascii="宋体"/>
              </w:rPr>
            </w:pPr>
          </w:p>
        </w:tc>
        <w:tc>
          <w:tcPr>
            <w:tcW w:w="5" w:type="pct"/>
            <w:shd w:val="clear" w:color="auto" w:fill="auto"/>
            <w:vAlign w:val="bottom"/>
          </w:tcPr>
          <w:p w14:paraId="71D41943" w14:textId="77777777" w:rsidR="006A3667" w:rsidRDefault="006A3667">
            <w:pPr>
              <w:rPr>
                <w:rFonts w:ascii="宋体"/>
              </w:rPr>
            </w:pPr>
          </w:p>
        </w:tc>
        <w:tc>
          <w:tcPr>
            <w:tcW w:w="5" w:type="pct"/>
            <w:shd w:val="clear" w:color="auto" w:fill="auto"/>
            <w:vAlign w:val="bottom"/>
          </w:tcPr>
          <w:p w14:paraId="71D41944" w14:textId="77777777" w:rsidR="006A3667" w:rsidRDefault="006A3667">
            <w:pPr>
              <w:rPr>
                <w:rFonts w:ascii="宋体"/>
              </w:rPr>
            </w:pPr>
          </w:p>
        </w:tc>
        <w:tc>
          <w:tcPr>
            <w:tcW w:w="19" w:type="pct"/>
            <w:shd w:val="clear" w:color="auto" w:fill="auto"/>
            <w:vAlign w:val="bottom"/>
          </w:tcPr>
          <w:p w14:paraId="71D41945" w14:textId="77777777" w:rsidR="006A3667" w:rsidRDefault="006A3667">
            <w:pPr>
              <w:rPr>
                <w:rFonts w:ascii="宋体"/>
              </w:rPr>
            </w:pPr>
          </w:p>
        </w:tc>
        <w:tc>
          <w:tcPr>
            <w:tcW w:w="5" w:type="pct"/>
            <w:shd w:val="clear" w:color="auto" w:fill="auto"/>
            <w:vAlign w:val="bottom"/>
          </w:tcPr>
          <w:p w14:paraId="71D41946" w14:textId="77777777" w:rsidR="006A3667" w:rsidRDefault="006A3667">
            <w:pPr>
              <w:rPr>
                <w:rFonts w:ascii="宋体"/>
              </w:rPr>
            </w:pPr>
          </w:p>
        </w:tc>
        <w:tc>
          <w:tcPr>
            <w:tcW w:w="50" w:type="pct"/>
            <w:shd w:val="clear" w:color="auto" w:fill="auto"/>
            <w:vAlign w:val="bottom"/>
          </w:tcPr>
          <w:p w14:paraId="71D41947" w14:textId="77777777" w:rsidR="006A3667" w:rsidRDefault="006A3667">
            <w:pPr>
              <w:rPr>
                <w:rFonts w:ascii="宋体"/>
              </w:rPr>
            </w:pPr>
          </w:p>
        </w:tc>
        <w:tc>
          <w:tcPr>
            <w:tcW w:w="434" w:type="pct"/>
            <w:shd w:val="clear" w:color="auto" w:fill="auto"/>
            <w:vAlign w:val="bottom"/>
          </w:tcPr>
          <w:p w14:paraId="71D41948" w14:textId="77777777" w:rsidR="006A3667" w:rsidRDefault="006A3667">
            <w:pPr>
              <w:rPr>
                <w:rFonts w:ascii="宋体"/>
              </w:rPr>
            </w:pPr>
          </w:p>
        </w:tc>
        <w:tc>
          <w:tcPr>
            <w:tcW w:w="5" w:type="pct"/>
            <w:shd w:val="clear" w:color="auto" w:fill="auto"/>
            <w:vAlign w:val="bottom"/>
          </w:tcPr>
          <w:p w14:paraId="71D41949" w14:textId="77777777" w:rsidR="006A3667" w:rsidRDefault="006A3667">
            <w:pPr>
              <w:rPr>
                <w:rFonts w:ascii="宋体"/>
              </w:rPr>
            </w:pPr>
          </w:p>
        </w:tc>
        <w:tc>
          <w:tcPr>
            <w:tcW w:w="5" w:type="pct"/>
            <w:shd w:val="clear" w:color="auto" w:fill="auto"/>
            <w:vAlign w:val="bottom"/>
          </w:tcPr>
          <w:p w14:paraId="71D4194A" w14:textId="77777777" w:rsidR="006A3667" w:rsidRDefault="006A3667">
            <w:pPr>
              <w:rPr>
                <w:rFonts w:ascii="宋体"/>
              </w:rPr>
            </w:pPr>
          </w:p>
        </w:tc>
        <w:tc>
          <w:tcPr>
            <w:tcW w:w="19" w:type="pct"/>
            <w:shd w:val="clear" w:color="auto" w:fill="auto"/>
            <w:vAlign w:val="bottom"/>
          </w:tcPr>
          <w:p w14:paraId="71D4194B" w14:textId="77777777" w:rsidR="006A3667" w:rsidRDefault="006A3667">
            <w:pPr>
              <w:rPr>
                <w:rFonts w:ascii="宋体"/>
              </w:rPr>
            </w:pPr>
          </w:p>
        </w:tc>
        <w:tc>
          <w:tcPr>
            <w:tcW w:w="5" w:type="pct"/>
            <w:shd w:val="clear" w:color="auto" w:fill="auto"/>
            <w:vAlign w:val="bottom"/>
          </w:tcPr>
          <w:p w14:paraId="71D4194C" w14:textId="77777777" w:rsidR="006A3667" w:rsidRDefault="006A3667">
            <w:pPr>
              <w:rPr>
                <w:rFonts w:ascii="宋体"/>
              </w:rPr>
            </w:pPr>
          </w:p>
        </w:tc>
        <w:tc>
          <w:tcPr>
            <w:tcW w:w="50" w:type="pct"/>
            <w:shd w:val="clear" w:color="auto" w:fill="auto"/>
            <w:vAlign w:val="bottom"/>
          </w:tcPr>
          <w:p w14:paraId="71D4194D" w14:textId="77777777" w:rsidR="006A3667" w:rsidRDefault="006A3667">
            <w:pPr>
              <w:rPr>
                <w:rFonts w:ascii="宋体"/>
              </w:rPr>
            </w:pPr>
          </w:p>
        </w:tc>
        <w:tc>
          <w:tcPr>
            <w:tcW w:w="332" w:type="pct"/>
            <w:shd w:val="clear" w:color="auto" w:fill="auto"/>
            <w:vAlign w:val="bottom"/>
          </w:tcPr>
          <w:p w14:paraId="71D4194E" w14:textId="77777777" w:rsidR="006A3667" w:rsidRDefault="006A3667">
            <w:pPr>
              <w:rPr>
                <w:rFonts w:ascii="宋体"/>
              </w:rPr>
            </w:pPr>
          </w:p>
        </w:tc>
        <w:tc>
          <w:tcPr>
            <w:tcW w:w="5" w:type="pct"/>
            <w:shd w:val="clear" w:color="auto" w:fill="auto"/>
            <w:vAlign w:val="bottom"/>
          </w:tcPr>
          <w:p w14:paraId="71D4194F" w14:textId="77777777" w:rsidR="006A3667" w:rsidRDefault="006A3667">
            <w:pPr>
              <w:rPr>
                <w:rFonts w:ascii="宋体"/>
              </w:rPr>
            </w:pPr>
          </w:p>
        </w:tc>
        <w:tc>
          <w:tcPr>
            <w:tcW w:w="5" w:type="pct"/>
            <w:shd w:val="clear" w:color="auto" w:fill="auto"/>
            <w:vAlign w:val="bottom"/>
          </w:tcPr>
          <w:p w14:paraId="71D41950" w14:textId="77777777" w:rsidR="006A3667" w:rsidRDefault="006A3667">
            <w:pPr>
              <w:rPr>
                <w:rFonts w:ascii="宋体"/>
              </w:rPr>
            </w:pPr>
          </w:p>
        </w:tc>
        <w:tc>
          <w:tcPr>
            <w:tcW w:w="19" w:type="pct"/>
            <w:shd w:val="clear" w:color="auto" w:fill="auto"/>
            <w:vAlign w:val="bottom"/>
          </w:tcPr>
          <w:p w14:paraId="71D41951" w14:textId="77777777" w:rsidR="006A3667" w:rsidRDefault="006A3667">
            <w:pPr>
              <w:rPr>
                <w:rFonts w:ascii="宋体"/>
              </w:rPr>
            </w:pPr>
          </w:p>
        </w:tc>
        <w:tc>
          <w:tcPr>
            <w:tcW w:w="5" w:type="pct"/>
            <w:shd w:val="clear" w:color="auto" w:fill="auto"/>
            <w:vAlign w:val="bottom"/>
          </w:tcPr>
          <w:p w14:paraId="71D41952" w14:textId="77777777" w:rsidR="006A3667" w:rsidRDefault="006A3667">
            <w:pPr>
              <w:rPr>
                <w:rFonts w:ascii="宋体"/>
              </w:rPr>
            </w:pPr>
          </w:p>
        </w:tc>
        <w:tc>
          <w:tcPr>
            <w:tcW w:w="50" w:type="pct"/>
            <w:shd w:val="clear" w:color="auto" w:fill="auto"/>
            <w:vAlign w:val="bottom"/>
          </w:tcPr>
          <w:p w14:paraId="71D41953" w14:textId="77777777" w:rsidR="006A3667" w:rsidRDefault="006A3667">
            <w:pPr>
              <w:rPr>
                <w:rFonts w:ascii="宋体"/>
              </w:rPr>
            </w:pPr>
          </w:p>
        </w:tc>
        <w:tc>
          <w:tcPr>
            <w:tcW w:w="354" w:type="pct"/>
            <w:shd w:val="clear" w:color="auto" w:fill="auto"/>
            <w:vAlign w:val="bottom"/>
          </w:tcPr>
          <w:p w14:paraId="71D41954" w14:textId="77777777" w:rsidR="006A3667" w:rsidRDefault="006A3667">
            <w:pPr>
              <w:rPr>
                <w:rFonts w:ascii="宋体"/>
              </w:rPr>
            </w:pPr>
          </w:p>
        </w:tc>
        <w:tc>
          <w:tcPr>
            <w:tcW w:w="5" w:type="pct"/>
            <w:shd w:val="clear" w:color="auto" w:fill="auto"/>
            <w:vAlign w:val="bottom"/>
          </w:tcPr>
          <w:p w14:paraId="71D41955" w14:textId="77777777" w:rsidR="006A3667" w:rsidRDefault="006A3667">
            <w:pPr>
              <w:rPr>
                <w:rFonts w:ascii="宋体"/>
              </w:rPr>
            </w:pPr>
          </w:p>
        </w:tc>
        <w:tc>
          <w:tcPr>
            <w:tcW w:w="5" w:type="pct"/>
            <w:shd w:val="clear" w:color="auto" w:fill="auto"/>
            <w:vAlign w:val="bottom"/>
          </w:tcPr>
          <w:p w14:paraId="71D41956" w14:textId="77777777" w:rsidR="006A3667" w:rsidRDefault="006A3667">
            <w:pPr>
              <w:rPr>
                <w:rFonts w:ascii="宋体"/>
              </w:rPr>
            </w:pPr>
          </w:p>
        </w:tc>
        <w:tc>
          <w:tcPr>
            <w:tcW w:w="19" w:type="pct"/>
            <w:shd w:val="clear" w:color="auto" w:fill="auto"/>
            <w:vAlign w:val="bottom"/>
          </w:tcPr>
          <w:p w14:paraId="71D41957" w14:textId="77777777" w:rsidR="006A3667" w:rsidRDefault="006A3667">
            <w:pPr>
              <w:rPr>
                <w:rFonts w:ascii="宋体"/>
              </w:rPr>
            </w:pPr>
          </w:p>
        </w:tc>
        <w:tc>
          <w:tcPr>
            <w:tcW w:w="5" w:type="pct"/>
            <w:shd w:val="clear" w:color="auto" w:fill="auto"/>
            <w:vAlign w:val="bottom"/>
          </w:tcPr>
          <w:p w14:paraId="71D41958" w14:textId="77777777" w:rsidR="006A3667" w:rsidRDefault="006A3667">
            <w:pPr>
              <w:rPr>
                <w:rFonts w:ascii="宋体"/>
              </w:rPr>
            </w:pPr>
          </w:p>
        </w:tc>
        <w:tc>
          <w:tcPr>
            <w:tcW w:w="50" w:type="pct"/>
            <w:shd w:val="clear" w:color="auto" w:fill="auto"/>
            <w:vAlign w:val="bottom"/>
          </w:tcPr>
          <w:p w14:paraId="71D41959" w14:textId="77777777" w:rsidR="006A3667" w:rsidRDefault="006A3667">
            <w:pPr>
              <w:rPr>
                <w:rFonts w:ascii="宋体"/>
              </w:rPr>
            </w:pPr>
          </w:p>
        </w:tc>
        <w:tc>
          <w:tcPr>
            <w:tcW w:w="332" w:type="pct"/>
            <w:shd w:val="clear" w:color="auto" w:fill="auto"/>
            <w:vAlign w:val="bottom"/>
          </w:tcPr>
          <w:p w14:paraId="71D4195A" w14:textId="77777777" w:rsidR="006A3667" w:rsidRDefault="006A3667">
            <w:pPr>
              <w:rPr>
                <w:rFonts w:ascii="宋体"/>
              </w:rPr>
            </w:pPr>
          </w:p>
        </w:tc>
        <w:tc>
          <w:tcPr>
            <w:tcW w:w="5" w:type="pct"/>
            <w:shd w:val="clear" w:color="auto" w:fill="auto"/>
            <w:vAlign w:val="bottom"/>
          </w:tcPr>
          <w:p w14:paraId="71D4195B" w14:textId="77777777" w:rsidR="006A3667" w:rsidRDefault="006A3667">
            <w:pPr>
              <w:rPr>
                <w:rFonts w:ascii="宋体"/>
              </w:rPr>
            </w:pPr>
          </w:p>
        </w:tc>
        <w:tc>
          <w:tcPr>
            <w:tcW w:w="5" w:type="pct"/>
            <w:shd w:val="clear" w:color="auto" w:fill="auto"/>
            <w:vAlign w:val="bottom"/>
          </w:tcPr>
          <w:p w14:paraId="71D4195C" w14:textId="77777777" w:rsidR="006A3667" w:rsidRDefault="006A3667">
            <w:pPr>
              <w:rPr>
                <w:rFonts w:ascii="宋体"/>
              </w:rPr>
            </w:pPr>
          </w:p>
        </w:tc>
        <w:tc>
          <w:tcPr>
            <w:tcW w:w="19" w:type="pct"/>
            <w:shd w:val="clear" w:color="auto" w:fill="auto"/>
            <w:vAlign w:val="bottom"/>
          </w:tcPr>
          <w:p w14:paraId="71D4195D" w14:textId="77777777" w:rsidR="006A3667" w:rsidRDefault="006A3667">
            <w:pPr>
              <w:rPr>
                <w:rFonts w:ascii="宋体"/>
              </w:rPr>
            </w:pPr>
          </w:p>
        </w:tc>
        <w:tc>
          <w:tcPr>
            <w:tcW w:w="5" w:type="pct"/>
            <w:shd w:val="clear" w:color="auto" w:fill="auto"/>
            <w:vAlign w:val="bottom"/>
          </w:tcPr>
          <w:p w14:paraId="71D4195E" w14:textId="77777777" w:rsidR="006A3667" w:rsidRDefault="006A3667">
            <w:pPr>
              <w:rPr>
                <w:rFonts w:ascii="宋体"/>
              </w:rPr>
            </w:pPr>
          </w:p>
        </w:tc>
        <w:tc>
          <w:tcPr>
            <w:tcW w:w="50" w:type="pct"/>
            <w:shd w:val="clear" w:color="auto" w:fill="auto"/>
            <w:vAlign w:val="bottom"/>
          </w:tcPr>
          <w:p w14:paraId="71D4195F" w14:textId="77777777" w:rsidR="006A3667" w:rsidRDefault="006A3667">
            <w:pPr>
              <w:rPr>
                <w:rFonts w:ascii="宋体"/>
              </w:rPr>
            </w:pPr>
          </w:p>
        </w:tc>
        <w:tc>
          <w:tcPr>
            <w:tcW w:w="332" w:type="pct"/>
            <w:shd w:val="clear" w:color="auto" w:fill="auto"/>
            <w:vAlign w:val="bottom"/>
          </w:tcPr>
          <w:p w14:paraId="71D41960" w14:textId="77777777" w:rsidR="006A3667" w:rsidRDefault="006A3667">
            <w:pPr>
              <w:rPr>
                <w:rFonts w:ascii="宋体"/>
              </w:rPr>
            </w:pPr>
          </w:p>
        </w:tc>
        <w:tc>
          <w:tcPr>
            <w:tcW w:w="5" w:type="pct"/>
            <w:shd w:val="clear" w:color="auto" w:fill="auto"/>
            <w:vAlign w:val="bottom"/>
          </w:tcPr>
          <w:p w14:paraId="71D41961" w14:textId="77777777" w:rsidR="006A3667" w:rsidRDefault="006A3667">
            <w:pPr>
              <w:rPr>
                <w:rFonts w:ascii="宋体"/>
              </w:rPr>
            </w:pPr>
          </w:p>
        </w:tc>
        <w:tc>
          <w:tcPr>
            <w:tcW w:w="5" w:type="pct"/>
            <w:shd w:val="clear" w:color="auto" w:fill="auto"/>
            <w:vAlign w:val="bottom"/>
          </w:tcPr>
          <w:p w14:paraId="71D41962" w14:textId="77777777" w:rsidR="006A3667" w:rsidRDefault="006A3667">
            <w:pPr>
              <w:rPr>
                <w:rFonts w:ascii="宋体"/>
              </w:rPr>
            </w:pPr>
          </w:p>
        </w:tc>
        <w:tc>
          <w:tcPr>
            <w:tcW w:w="19" w:type="pct"/>
            <w:shd w:val="clear" w:color="auto" w:fill="auto"/>
            <w:vAlign w:val="bottom"/>
          </w:tcPr>
          <w:p w14:paraId="71D41963" w14:textId="77777777" w:rsidR="006A3667" w:rsidRDefault="006A3667">
            <w:pPr>
              <w:rPr>
                <w:rFonts w:ascii="宋体"/>
              </w:rPr>
            </w:pPr>
          </w:p>
        </w:tc>
        <w:tc>
          <w:tcPr>
            <w:tcW w:w="5" w:type="pct"/>
            <w:shd w:val="clear" w:color="auto" w:fill="auto"/>
            <w:vAlign w:val="bottom"/>
          </w:tcPr>
          <w:p w14:paraId="71D41964" w14:textId="77777777" w:rsidR="006A3667" w:rsidRDefault="006A3667">
            <w:pPr>
              <w:rPr>
                <w:rFonts w:ascii="宋体"/>
              </w:rPr>
            </w:pPr>
          </w:p>
        </w:tc>
        <w:tc>
          <w:tcPr>
            <w:tcW w:w="50" w:type="pct"/>
            <w:shd w:val="clear" w:color="auto" w:fill="auto"/>
            <w:vAlign w:val="bottom"/>
          </w:tcPr>
          <w:p w14:paraId="71D41965" w14:textId="77777777" w:rsidR="006A3667" w:rsidRDefault="006A3667">
            <w:pPr>
              <w:rPr>
                <w:rFonts w:ascii="宋体"/>
              </w:rPr>
            </w:pPr>
          </w:p>
        </w:tc>
        <w:tc>
          <w:tcPr>
            <w:tcW w:w="332" w:type="pct"/>
            <w:shd w:val="clear" w:color="auto" w:fill="auto"/>
            <w:vAlign w:val="bottom"/>
          </w:tcPr>
          <w:p w14:paraId="71D41966" w14:textId="77777777" w:rsidR="006A3667" w:rsidRDefault="006A3667">
            <w:pPr>
              <w:rPr>
                <w:rFonts w:ascii="宋体"/>
              </w:rPr>
            </w:pPr>
          </w:p>
        </w:tc>
        <w:tc>
          <w:tcPr>
            <w:tcW w:w="5" w:type="pct"/>
            <w:shd w:val="clear" w:color="auto" w:fill="auto"/>
            <w:vAlign w:val="bottom"/>
          </w:tcPr>
          <w:p w14:paraId="71D41967" w14:textId="77777777" w:rsidR="006A3667" w:rsidRDefault="006A3667">
            <w:pPr>
              <w:rPr>
                <w:rFonts w:ascii="宋体"/>
              </w:rPr>
            </w:pPr>
          </w:p>
        </w:tc>
        <w:tc>
          <w:tcPr>
            <w:tcW w:w="5" w:type="pct"/>
            <w:shd w:val="clear" w:color="auto" w:fill="auto"/>
            <w:vAlign w:val="bottom"/>
          </w:tcPr>
          <w:p w14:paraId="71D41968" w14:textId="77777777" w:rsidR="006A3667" w:rsidRDefault="006A3667">
            <w:pPr>
              <w:rPr>
                <w:rFonts w:ascii="宋体"/>
              </w:rPr>
            </w:pPr>
          </w:p>
        </w:tc>
        <w:tc>
          <w:tcPr>
            <w:tcW w:w="19" w:type="pct"/>
            <w:shd w:val="clear" w:color="auto" w:fill="auto"/>
            <w:vAlign w:val="bottom"/>
          </w:tcPr>
          <w:p w14:paraId="71D41969" w14:textId="77777777" w:rsidR="006A3667" w:rsidRDefault="006A3667">
            <w:pPr>
              <w:rPr>
                <w:rFonts w:ascii="宋体"/>
              </w:rPr>
            </w:pPr>
          </w:p>
        </w:tc>
        <w:tc>
          <w:tcPr>
            <w:tcW w:w="5" w:type="pct"/>
            <w:shd w:val="clear" w:color="auto" w:fill="auto"/>
            <w:vAlign w:val="bottom"/>
          </w:tcPr>
          <w:p w14:paraId="71D4196A" w14:textId="77777777" w:rsidR="006A3667" w:rsidRDefault="006A3667">
            <w:pPr>
              <w:rPr>
                <w:rFonts w:ascii="宋体"/>
              </w:rPr>
            </w:pPr>
          </w:p>
        </w:tc>
        <w:tc>
          <w:tcPr>
            <w:tcW w:w="50" w:type="pct"/>
            <w:shd w:val="clear" w:color="auto" w:fill="auto"/>
            <w:vAlign w:val="bottom"/>
          </w:tcPr>
          <w:p w14:paraId="71D4196B" w14:textId="77777777" w:rsidR="006A3667" w:rsidRDefault="006A3667">
            <w:pPr>
              <w:rPr>
                <w:rFonts w:ascii="宋体"/>
              </w:rPr>
            </w:pPr>
          </w:p>
        </w:tc>
        <w:tc>
          <w:tcPr>
            <w:tcW w:w="588" w:type="pct"/>
            <w:shd w:val="clear" w:color="auto" w:fill="auto"/>
            <w:vAlign w:val="bottom"/>
          </w:tcPr>
          <w:p w14:paraId="71D4196C" w14:textId="77777777" w:rsidR="006A3667" w:rsidRDefault="006A3667">
            <w:pPr>
              <w:rPr>
                <w:rFonts w:ascii="宋体"/>
              </w:rPr>
            </w:pPr>
          </w:p>
        </w:tc>
        <w:tc>
          <w:tcPr>
            <w:tcW w:w="5" w:type="pct"/>
            <w:shd w:val="clear" w:color="auto" w:fill="auto"/>
            <w:vAlign w:val="bottom"/>
          </w:tcPr>
          <w:p w14:paraId="71D4196D" w14:textId="77777777" w:rsidR="006A3667" w:rsidRDefault="006A3667">
            <w:pPr>
              <w:rPr>
                <w:rFonts w:ascii="宋体"/>
              </w:rPr>
            </w:pPr>
          </w:p>
        </w:tc>
        <w:tc>
          <w:tcPr>
            <w:tcW w:w="5" w:type="pct"/>
            <w:shd w:val="clear" w:color="auto" w:fill="auto"/>
            <w:vAlign w:val="bottom"/>
          </w:tcPr>
          <w:p w14:paraId="71D4196E" w14:textId="77777777" w:rsidR="006A3667" w:rsidRDefault="006A3667">
            <w:pPr>
              <w:rPr>
                <w:rFonts w:ascii="宋体"/>
              </w:rPr>
            </w:pPr>
          </w:p>
        </w:tc>
        <w:tc>
          <w:tcPr>
            <w:tcW w:w="19" w:type="pct"/>
            <w:shd w:val="clear" w:color="auto" w:fill="auto"/>
            <w:vAlign w:val="bottom"/>
          </w:tcPr>
          <w:p w14:paraId="71D4196F" w14:textId="77777777" w:rsidR="006A3667" w:rsidRDefault="006A3667">
            <w:pPr>
              <w:rPr>
                <w:rFonts w:ascii="宋体"/>
              </w:rPr>
            </w:pPr>
          </w:p>
        </w:tc>
        <w:tc>
          <w:tcPr>
            <w:tcW w:w="5" w:type="pct"/>
            <w:shd w:val="clear" w:color="auto" w:fill="auto"/>
            <w:vAlign w:val="bottom"/>
          </w:tcPr>
          <w:p w14:paraId="71D41970" w14:textId="77777777" w:rsidR="006A3667" w:rsidRDefault="006A3667">
            <w:pPr>
              <w:rPr>
                <w:rFonts w:ascii="宋体"/>
              </w:rPr>
            </w:pPr>
          </w:p>
        </w:tc>
        <w:tc>
          <w:tcPr>
            <w:tcW w:w="50" w:type="pct"/>
            <w:shd w:val="clear" w:color="auto" w:fill="auto"/>
            <w:vAlign w:val="bottom"/>
          </w:tcPr>
          <w:p w14:paraId="71D41971" w14:textId="77777777" w:rsidR="006A3667" w:rsidRDefault="006A3667">
            <w:pPr>
              <w:rPr>
                <w:rFonts w:ascii="宋体"/>
              </w:rPr>
            </w:pPr>
          </w:p>
        </w:tc>
        <w:tc>
          <w:tcPr>
            <w:tcW w:w="376" w:type="pct"/>
            <w:shd w:val="clear" w:color="auto" w:fill="auto"/>
            <w:vAlign w:val="bottom"/>
          </w:tcPr>
          <w:p w14:paraId="71D41972" w14:textId="77777777" w:rsidR="006A3667" w:rsidRDefault="006A3667">
            <w:pPr>
              <w:rPr>
                <w:rFonts w:ascii="宋体"/>
              </w:rPr>
            </w:pPr>
          </w:p>
        </w:tc>
        <w:tc>
          <w:tcPr>
            <w:tcW w:w="5" w:type="pct"/>
            <w:shd w:val="clear" w:color="auto" w:fill="auto"/>
            <w:vAlign w:val="bottom"/>
          </w:tcPr>
          <w:p w14:paraId="71D41973" w14:textId="77777777" w:rsidR="006A3667" w:rsidRDefault="006A3667">
            <w:pPr>
              <w:rPr>
                <w:rFonts w:ascii="宋体"/>
              </w:rPr>
            </w:pPr>
          </w:p>
        </w:tc>
        <w:tc>
          <w:tcPr>
            <w:tcW w:w="5" w:type="pct"/>
            <w:shd w:val="clear" w:color="auto" w:fill="auto"/>
            <w:vAlign w:val="bottom"/>
          </w:tcPr>
          <w:p w14:paraId="71D41974" w14:textId="77777777" w:rsidR="006A3667" w:rsidRDefault="006A3667">
            <w:pPr>
              <w:rPr>
                <w:rFonts w:ascii="宋体"/>
              </w:rPr>
            </w:pPr>
          </w:p>
        </w:tc>
        <w:tc>
          <w:tcPr>
            <w:tcW w:w="19" w:type="pct"/>
            <w:shd w:val="clear" w:color="auto" w:fill="auto"/>
            <w:vAlign w:val="bottom"/>
          </w:tcPr>
          <w:p w14:paraId="71D41975" w14:textId="77777777" w:rsidR="006A3667" w:rsidRDefault="006A3667">
            <w:pPr>
              <w:rPr>
                <w:rFonts w:ascii="宋体"/>
              </w:rPr>
            </w:pPr>
          </w:p>
        </w:tc>
        <w:tc>
          <w:tcPr>
            <w:tcW w:w="5" w:type="pct"/>
            <w:shd w:val="clear" w:color="auto" w:fill="auto"/>
            <w:vAlign w:val="bottom"/>
          </w:tcPr>
          <w:p w14:paraId="71D41976" w14:textId="77777777" w:rsidR="006A3667" w:rsidRDefault="006A3667">
            <w:pPr>
              <w:rPr>
                <w:rFonts w:ascii="宋体"/>
              </w:rPr>
            </w:pPr>
          </w:p>
        </w:tc>
        <w:tc>
          <w:tcPr>
            <w:tcW w:w="50" w:type="pct"/>
            <w:shd w:val="clear" w:color="auto" w:fill="auto"/>
            <w:vAlign w:val="bottom"/>
          </w:tcPr>
          <w:p w14:paraId="71D41977" w14:textId="77777777" w:rsidR="006A3667" w:rsidRDefault="006A3667">
            <w:pPr>
              <w:rPr>
                <w:rFonts w:ascii="宋体"/>
              </w:rPr>
            </w:pPr>
          </w:p>
        </w:tc>
        <w:tc>
          <w:tcPr>
            <w:tcW w:w="325" w:type="pct"/>
            <w:shd w:val="clear" w:color="auto" w:fill="auto"/>
            <w:vAlign w:val="bottom"/>
          </w:tcPr>
          <w:p w14:paraId="71D41978" w14:textId="77777777" w:rsidR="006A3667" w:rsidRDefault="006A3667">
            <w:pPr>
              <w:rPr>
                <w:rFonts w:ascii="宋体"/>
              </w:rPr>
            </w:pPr>
          </w:p>
        </w:tc>
        <w:tc>
          <w:tcPr>
            <w:tcW w:w="5" w:type="pct"/>
            <w:shd w:val="clear" w:color="auto" w:fill="auto"/>
            <w:vAlign w:val="bottom"/>
          </w:tcPr>
          <w:p w14:paraId="71D41979" w14:textId="77777777" w:rsidR="006A3667" w:rsidRDefault="006A3667">
            <w:pPr>
              <w:rPr>
                <w:rFonts w:ascii="宋体"/>
              </w:rPr>
            </w:pPr>
          </w:p>
        </w:tc>
        <w:tc>
          <w:tcPr>
            <w:tcW w:w="5" w:type="pct"/>
            <w:shd w:val="clear" w:color="auto" w:fill="auto"/>
            <w:vAlign w:val="bottom"/>
          </w:tcPr>
          <w:p w14:paraId="71D4197A" w14:textId="77777777" w:rsidR="006A3667" w:rsidRDefault="006A3667">
            <w:pPr>
              <w:rPr>
                <w:rFonts w:ascii="宋体"/>
              </w:rPr>
            </w:pPr>
          </w:p>
        </w:tc>
        <w:tc>
          <w:tcPr>
            <w:tcW w:w="19" w:type="pct"/>
            <w:shd w:val="clear" w:color="auto" w:fill="auto"/>
            <w:vAlign w:val="bottom"/>
          </w:tcPr>
          <w:p w14:paraId="71D4197B" w14:textId="77777777" w:rsidR="006A3667" w:rsidRDefault="006A3667">
            <w:pPr>
              <w:rPr>
                <w:rFonts w:ascii="宋体"/>
              </w:rPr>
            </w:pPr>
          </w:p>
        </w:tc>
        <w:tc>
          <w:tcPr>
            <w:tcW w:w="5" w:type="pct"/>
            <w:shd w:val="clear" w:color="auto" w:fill="auto"/>
            <w:vAlign w:val="bottom"/>
          </w:tcPr>
          <w:p w14:paraId="71D4197C" w14:textId="77777777" w:rsidR="006A3667" w:rsidRDefault="006A3667">
            <w:pPr>
              <w:rPr>
                <w:rFonts w:ascii="宋体"/>
              </w:rPr>
            </w:pPr>
          </w:p>
        </w:tc>
        <w:tc>
          <w:tcPr>
            <w:tcW w:w="50" w:type="pct"/>
            <w:shd w:val="clear" w:color="auto" w:fill="auto"/>
            <w:vAlign w:val="bottom"/>
          </w:tcPr>
          <w:p w14:paraId="71D4197D" w14:textId="77777777" w:rsidR="006A3667" w:rsidRDefault="006A3667">
            <w:pPr>
              <w:rPr>
                <w:rFonts w:ascii="宋体"/>
              </w:rPr>
            </w:pPr>
          </w:p>
        </w:tc>
        <w:tc>
          <w:tcPr>
            <w:tcW w:w="384" w:type="pct"/>
            <w:shd w:val="clear" w:color="auto" w:fill="auto"/>
            <w:vAlign w:val="bottom"/>
          </w:tcPr>
          <w:p w14:paraId="71D4197E" w14:textId="77777777" w:rsidR="006A3667" w:rsidRDefault="006A3667">
            <w:pPr>
              <w:rPr>
                <w:rFonts w:ascii="宋体"/>
              </w:rPr>
            </w:pPr>
          </w:p>
        </w:tc>
        <w:tc>
          <w:tcPr>
            <w:tcW w:w="5" w:type="pct"/>
            <w:shd w:val="clear" w:color="auto" w:fill="auto"/>
            <w:vAlign w:val="bottom"/>
          </w:tcPr>
          <w:p w14:paraId="71D4197F" w14:textId="77777777" w:rsidR="006A3667" w:rsidRDefault="006A3667">
            <w:pPr>
              <w:rPr>
                <w:rFonts w:ascii="宋体"/>
              </w:rPr>
            </w:pPr>
          </w:p>
        </w:tc>
      </w:tr>
      <w:tr w:rsidR="006A3667" w14:paraId="71D41982" w14:textId="77777777">
        <w:tc>
          <w:tcPr>
            <w:tcW w:w="0" w:type="auto"/>
            <w:gridSpan w:val="63"/>
            <w:shd w:val="clear" w:color="auto" w:fill="auto"/>
            <w:tcMar>
              <w:top w:w="40" w:type="dxa"/>
              <w:left w:w="20" w:type="dxa"/>
              <w:bottom w:w="40" w:type="dxa"/>
              <w:right w:w="20" w:type="dxa"/>
            </w:tcMar>
            <w:vAlign w:val="bottom"/>
          </w:tcPr>
          <w:p w14:paraId="71D41981" w14:textId="77777777" w:rsidR="006A3667" w:rsidRDefault="00045F32">
            <w:pPr>
              <w:textAlignment w:val="bottom"/>
            </w:pPr>
            <w:r>
              <w:rPr>
                <w:rFonts w:ascii="Arial" w:eastAsia="宋体" w:hAnsi="Arial" w:cs="Arial"/>
                <w:b/>
                <w:bCs/>
                <w:color w:val="000000"/>
                <w:sz w:val="16"/>
                <w:szCs w:val="16"/>
              </w:rPr>
              <w:t>TABLE 39: PREFERRED STOCK ISSUED AND OUTSTANDING</w:t>
            </w:r>
          </w:p>
        </w:tc>
      </w:tr>
      <w:tr w:rsidR="006A3667" w14:paraId="71D41998" w14:textId="77777777">
        <w:tc>
          <w:tcPr>
            <w:tcW w:w="0" w:type="auto"/>
            <w:gridSpan w:val="3"/>
            <w:shd w:val="clear" w:color="auto" w:fill="auto"/>
            <w:tcMar>
              <w:top w:w="40" w:type="dxa"/>
              <w:left w:w="20" w:type="dxa"/>
              <w:bottom w:w="40" w:type="dxa"/>
              <w:right w:w="20" w:type="dxa"/>
            </w:tcMar>
            <w:vAlign w:val="bottom"/>
          </w:tcPr>
          <w:p w14:paraId="71D41983" w14:textId="77777777" w:rsidR="006A3667" w:rsidRDefault="00045F32">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71D4198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85" w14:textId="77777777" w:rsidR="006A3667" w:rsidRDefault="00045F32">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71D4198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87" w14:textId="77777777" w:rsidR="006A3667" w:rsidRDefault="00045F32">
            <w:pPr>
              <w:jc w:val="center"/>
              <w:textAlignment w:val="bottom"/>
            </w:pPr>
            <w:r>
              <w:rPr>
                <w:rFonts w:ascii="Arial" w:eastAsia="宋体" w:hAnsi="Arial" w:cs="Arial"/>
                <w:b/>
                <w:bCs/>
                <w:color w:val="000000"/>
                <w:sz w:val="12"/>
                <w:szCs w:val="12"/>
              </w:rPr>
              <w:t xml:space="preserve">Depositary </w:t>
            </w:r>
            <w:r>
              <w:rPr>
                <w:rFonts w:ascii="Arial" w:eastAsia="宋体" w:hAnsi="Arial" w:cs="Arial"/>
                <w:b/>
                <w:bCs/>
                <w:color w:val="000000"/>
                <w:sz w:val="12"/>
                <w:szCs w:val="12"/>
              </w:rPr>
              <w:t>Shares Issued</w:t>
            </w:r>
          </w:p>
        </w:tc>
        <w:tc>
          <w:tcPr>
            <w:tcW w:w="0" w:type="auto"/>
            <w:gridSpan w:val="3"/>
            <w:shd w:val="clear" w:color="auto" w:fill="auto"/>
            <w:tcMar>
              <w:top w:w="0" w:type="dxa"/>
              <w:left w:w="20" w:type="dxa"/>
              <w:bottom w:w="0" w:type="dxa"/>
              <w:right w:w="20" w:type="dxa"/>
            </w:tcMar>
            <w:vAlign w:val="bottom"/>
          </w:tcPr>
          <w:p w14:paraId="71D41988"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89" w14:textId="77777777" w:rsidR="006A3667" w:rsidRDefault="00045F32">
            <w:pPr>
              <w:jc w:val="center"/>
              <w:textAlignment w:val="bottom"/>
            </w:pPr>
            <w:r>
              <w:rPr>
                <w:rFonts w:ascii="Arial" w:eastAsia="宋体" w:hAnsi="Arial" w:cs="Arial"/>
                <w:b/>
                <w:bCs/>
                <w:color w:val="000000"/>
                <w:sz w:val="12"/>
                <w:szCs w:val="12"/>
              </w:rPr>
              <w:t xml:space="preserve">Amount outstanding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71D4198A"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8B" w14:textId="77777777" w:rsidR="006A3667" w:rsidRDefault="00045F32">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71D4198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8D" w14:textId="77777777" w:rsidR="006A3667" w:rsidRDefault="00045F32">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71D4198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8F" w14:textId="77777777" w:rsidR="006A3667" w:rsidRDefault="00045F32">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71D41990"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91" w14:textId="77777777" w:rsidR="006A3667" w:rsidRDefault="00045F32">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71D41992"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93" w14:textId="77777777" w:rsidR="006A3667" w:rsidRDefault="00045F32">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71D4199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95" w14:textId="77777777" w:rsidR="006A3667" w:rsidRDefault="00045F32">
            <w:pPr>
              <w:jc w:val="center"/>
              <w:textAlignment w:val="bottom"/>
            </w:pPr>
            <w:r>
              <w:rPr>
                <w:rFonts w:ascii="Arial" w:eastAsia="宋体" w:hAnsi="Arial" w:cs="Arial"/>
                <w:b/>
                <w:bCs/>
                <w:color w:val="000000"/>
                <w:sz w:val="12"/>
                <w:szCs w:val="12"/>
              </w:rPr>
              <w:t>Carrying Value as of September 30</w:t>
            </w:r>
            <w:r>
              <w:rPr>
                <w:rFonts w:ascii="Arial" w:eastAsia="宋体" w:hAnsi="Arial" w:cs="Arial"/>
                <w:b/>
                <w:bCs/>
                <w:color w:val="000000"/>
                <w:sz w:val="12"/>
                <w:szCs w:val="12"/>
              </w:rPr>
              <w:t xml:space="preserve">, 2022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71D4199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1997" w14:textId="77777777" w:rsidR="006A3667" w:rsidRDefault="00045F32">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6A3667" w14:paraId="71D419AE" w14:textId="77777777">
        <w:trPr>
          <w:hidden/>
        </w:trPr>
        <w:tc>
          <w:tcPr>
            <w:tcW w:w="0" w:type="auto"/>
            <w:gridSpan w:val="3"/>
            <w:shd w:val="clear" w:color="auto" w:fill="auto"/>
            <w:vAlign w:val="bottom"/>
          </w:tcPr>
          <w:p w14:paraId="71D41999" w14:textId="77777777" w:rsidR="006A3667" w:rsidRDefault="006A3667">
            <w:pPr>
              <w:rPr>
                <w:rFonts w:ascii="宋体"/>
                <w:vanish/>
              </w:rPr>
            </w:pPr>
          </w:p>
        </w:tc>
        <w:tc>
          <w:tcPr>
            <w:tcW w:w="0" w:type="auto"/>
            <w:gridSpan w:val="3"/>
            <w:shd w:val="clear" w:color="auto" w:fill="auto"/>
            <w:vAlign w:val="bottom"/>
          </w:tcPr>
          <w:p w14:paraId="71D4199A" w14:textId="77777777" w:rsidR="006A3667" w:rsidRDefault="006A3667">
            <w:pPr>
              <w:rPr>
                <w:rFonts w:ascii="宋体"/>
                <w:vanish/>
              </w:rPr>
            </w:pPr>
          </w:p>
        </w:tc>
        <w:tc>
          <w:tcPr>
            <w:tcW w:w="0" w:type="auto"/>
            <w:gridSpan w:val="3"/>
            <w:shd w:val="clear" w:color="auto" w:fill="auto"/>
            <w:vAlign w:val="bottom"/>
          </w:tcPr>
          <w:p w14:paraId="71D4199B" w14:textId="77777777" w:rsidR="006A3667" w:rsidRDefault="006A3667">
            <w:pPr>
              <w:rPr>
                <w:rFonts w:ascii="宋体"/>
                <w:vanish/>
              </w:rPr>
            </w:pPr>
          </w:p>
        </w:tc>
        <w:tc>
          <w:tcPr>
            <w:tcW w:w="0" w:type="auto"/>
            <w:gridSpan w:val="3"/>
            <w:shd w:val="clear" w:color="auto" w:fill="auto"/>
            <w:vAlign w:val="bottom"/>
          </w:tcPr>
          <w:p w14:paraId="71D4199C" w14:textId="77777777" w:rsidR="006A3667" w:rsidRDefault="006A3667">
            <w:pPr>
              <w:rPr>
                <w:rFonts w:ascii="宋体"/>
                <w:vanish/>
              </w:rPr>
            </w:pPr>
          </w:p>
        </w:tc>
        <w:tc>
          <w:tcPr>
            <w:tcW w:w="0" w:type="auto"/>
            <w:gridSpan w:val="3"/>
            <w:shd w:val="clear" w:color="auto" w:fill="auto"/>
            <w:vAlign w:val="bottom"/>
          </w:tcPr>
          <w:p w14:paraId="71D4199D" w14:textId="77777777" w:rsidR="006A3667" w:rsidRDefault="006A3667">
            <w:pPr>
              <w:rPr>
                <w:rFonts w:ascii="宋体"/>
                <w:vanish/>
              </w:rPr>
            </w:pPr>
          </w:p>
        </w:tc>
        <w:tc>
          <w:tcPr>
            <w:tcW w:w="0" w:type="auto"/>
            <w:gridSpan w:val="3"/>
            <w:shd w:val="clear" w:color="auto" w:fill="auto"/>
            <w:vAlign w:val="bottom"/>
          </w:tcPr>
          <w:p w14:paraId="71D4199E" w14:textId="77777777" w:rsidR="006A3667" w:rsidRDefault="006A3667">
            <w:pPr>
              <w:rPr>
                <w:rFonts w:ascii="宋体"/>
                <w:vanish/>
              </w:rPr>
            </w:pPr>
          </w:p>
        </w:tc>
        <w:tc>
          <w:tcPr>
            <w:tcW w:w="0" w:type="auto"/>
            <w:gridSpan w:val="3"/>
            <w:shd w:val="clear" w:color="auto" w:fill="auto"/>
            <w:vAlign w:val="bottom"/>
          </w:tcPr>
          <w:p w14:paraId="71D4199F" w14:textId="77777777" w:rsidR="006A3667" w:rsidRDefault="006A3667">
            <w:pPr>
              <w:rPr>
                <w:rFonts w:ascii="宋体"/>
                <w:vanish/>
              </w:rPr>
            </w:pPr>
          </w:p>
        </w:tc>
        <w:tc>
          <w:tcPr>
            <w:tcW w:w="0" w:type="auto"/>
            <w:gridSpan w:val="3"/>
            <w:shd w:val="clear" w:color="auto" w:fill="auto"/>
            <w:vAlign w:val="bottom"/>
          </w:tcPr>
          <w:p w14:paraId="71D419A0" w14:textId="77777777" w:rsidR="006A3667" w:rsidRDefault="006A3667">
            <w:pPr>
              <w:rPr>
                <w:rFonts w:ascii="宋体"/>
                <w:vanish/>
              </w:rPr>
            </w:pPr>
          </w:p>
        </w:tc>
        <w:tc>
          <w:tcPr>
            <w:tcW w:w="0" w:type="auto"/>
            <w:gridSpan w:val="3"/>
            <w:shd w:val="clear" w:color="auto" w:fill="auto"/>
            <w:vAlign w:val="bottom"/>
          </w:tcPr>
          <w:p w14:paraId="71D419A1" w14:textId="77777777" w:rsidR="006A3667" w:rsidRDefault="006A3667">
            <w:pPr>
              <w:rPr>
                <w:rFonts w:ascii="宋体"/>
                <w:vanish/>
              </w:rPr>
            </w:pPr>
          </w:p>
        </w:tc>
        <w:tc>
          <w:tcPr>
            <w:tcW w:w="0" w:type="auto"/>
            <w:gridSpan w:val="3"/>
            <w:shd w:val="clear" w:color="auto" w:fill="auto"/>
            <w:vAlign w:val="bottom"/>
          </w:tcPr>
          <w:p w14:paraId="71D419A2" w14:textId="77777777" w:rsidR="006A3667" w:rsidRDefault="006A3667">
            <w:pPr>
              <w:rPr>
                <w:rFonts w:ascii="宋体"/>
                <w:vanish/>
              </w:rPr>
            </w:pPr>
          </w:p>
        </w:tc>
        <w:tc>
          <w:tcPr>
            <w:tcW w:w="0" w:type="auto"/>
            <w:gridSpan w:val="3"/>
            <w:shd w:val="clear" w:color="auto" w:fill="auto"/>
            <w:vAlign w:val="bottom"/>
          </w:tcPr>
          <w:p w14:paraId="71D419A3" w14:textId="77777777" w:rsidR="006A3667" w:rsidRDefault="006A3667">
            <w:pPr>
              <w:rPr>
                <w:rFonts w:ascii="宋体"/>
                <w:vanish/>
              </w:rPr>
            </w:pPr>
          </w:p>
        </w:tc>
        <w:tc>
          <w:tcPr>
            <w:tcW w:w="0" w:type="auto"/>
            <w:gridSpan w:val="3"/>
            <w:shd w:val="clear" w:color="auto" w:fill="auto"/>
            <w:vAlign w:val="bottom"/>
          </w:tcPr>
          <w:p w14:paraId="71D419A4" w14:textId="77777777" w:rsidR="006A3667" w:rsidRDefault="006A3667">
            <w:pPr>
              <w:rPr>
                <w:rFonts w:ascii="宋体"/>
                <w:vanish/>
              </w:rPr>
            </w:pPr>
          </w:p>
        </w:tc>
        <w:tc>
          <w:tcPr>
            <w:tcW w:w="0" w:type="auto"/>
            <w:gridSpan w:val="3"/>
            <w:shd w:val="clear" w:color="auto" w:fill="auto"/>
            <w:vAlign w:val="bottom"/>
          </w:tcPr>
          <w:p w14:paraId="71D419A5" w14:textId="77777777" w:rsidR="006A3667" w:rsidRDefault="006A3667">
            <w:pPr>
              <w:rPr>
                <w:rFonts w:ascii="宋体"/>
                <w:vanish/>
              </w:rPr>
            </w:pPr>
          </w:p>
        </w:tc>
        <w:tc>
          <w:tcPr>
            <w:tcW w:w="0" w:type="auto"/>
            <w:gridSpan w:val="3"/>
            <w:shd w:val="clear" w:color="auto" w:fill="auto"/>
            <w:vAlign w:val="bottom"/>
          </w:tcPr>
          <w:p w14:paraId="71D419A6" w14:textId="77777777" w:rsidR="006A3667" w:rsidRDefault="006A3667">
            <w:pPr>
              <w:rPr>
                <w:rFonts w:ascii="宋体"/>
                <w:vanish/>
              </w:rPr>
            </w:pPr>
          </w:p>
        </w:tc>
        <w:tc>
          <w:tcPr>
            <w:tcW w:w="0" w:type="auto"/>
            <w:gridSpan w:val="3"/>
            <w:shd w:val="clear" w:color="auto" w:fill="auto"/>
            <w:vAlign w:val="bottom"/>
          </w:tcPr>
          <w:p w14:paraId="71D419A7" w14:textId="77777777" w:rsidR="006A3667" w:rsidRDefault="006A3667">
            <w:pPr>
              <w:rPr>
                <w:rFonts w:ascii="宋体"/>
                <w:vanish/>
              </w:rPr>
            </w:pPr>
          </w:p>
        </w:tc>
        <w:tc>
          <w:tcPr>
            <w:tcW w:w="0" w:type="auto"/>
            <w:gridSpan w:val="3"/>
            <w:shd w:val="clear" w:color="auto" w:fill="auto"/>
            <w:vAlign w:val="bottom"/>
          </w:tcPr>
          <w:p w14:paraId="71D419A8" w14:textId="77777777" w:rsidR="006A3667" w:rsidRDefault="006A3667">
            <w:pPr>
              <w:rPr>
                <w:rFonts w:ascii="宋体"/>
                <w:vanish/>
              </w:rPr>
            </w:pPr>
          </w:p>
        </w:tc>
        <w:tc>
          <w:tcPr>
            <w:tcW w:w="0" w:type="auto"/>
            <w:gridSpan w:val="3"/>
            <w:shd w:val="clear" w:color="auto" w:fill="auto"/>
            <w:vAlign w:val="bottom"/>
          </w:tcPr>
          <w:p w14:paraId="71D419A9" w14:textId="77777777" w:rsidR="006A3667" w:rsidRDefault="006A3667">
            <w:pPr>
              <w:rPr>
                <w:rFonts w:ascii="宋体"/>
                <w:vanish/>
              </w:rPr>
            </w:pPr>
          </w:p>
        </w:tc>
        <w:tc>
          <w:tcPr>
            <w:tcW w:w="0" w:type="auto"/>
            <w:gridSpan w:val="3"/>
            <w:shd w:val="clear" w:color="auto" w:fill="auto"/>
            <w:vAlign w:val="bottom"/>
          </w:tcPr>
          <w:p w14:paraId="71D419AA" w14:textId="77777777" w:rsidR="006A3667" w:rsidRDefault="006A3667">
            <w:pPr>
              <w:rPr>
                <w:rFonts w:ascii="宋体"/>
                <w:vanish/>
              </w:rPr>
            </w:pPr>
          </w:p>
        </w:tc>
        <w:tc>
          <w:tcPr>
            <w:tcW w:w="0" w:type="auto"/>
            <w:gridSpan w:val="3"/>
            <w:shd w:val="clear" w:color="auto" w:fill="auto"/>
            <w:vAlign w:val="bottom"/>
          </w:tcPr>
          <w:p w14:paraId="71D419AB" w14:textId="77777777" w:rsidR="006A3667" w:rsidRDefault="006A3667">
            <w:pPr>
              <w:rPr>
                <w:rFonts w:ascii="宋体"/>
                <w:vanish/>
              </w:rPr>
            </w:pPr>
          </w:p>
        </w:tc>
        <w:tc>
          <w:tcPr>
            <w:tcW w:w="0" w:type="auto"/>
            <w:gridSpan w:val="3"/>
            <w:shd w:val="clear" w:color="auto" w:fill="auto"/>
            <w:vAlign w:val="bottom"/>
          </w:tcPr>
          <w:p w14:paraId="71D419AC" w14:textId="77777777" w:rsidR="006A3667" w:rsidRDefault="006A3667">
            <w:pPr>
              <w:rPr>
                <w:rFonts w:ascii="宋体"/>
                <w:vanish/>
              </w:rPr>
            </w:pPr>
          </w:p>
        </w:tc>
        <w:tc>
          <w:tcPr>
            <w:tcW w:w="0" w:type="auto"/>
            <w:gridSpan w:val="3"/>
            <w:shd w:val="clear" w:color="auto" w:fill="auto"/>
            <w:vAlign w:val="bottom"/>
          </w:tcPr>
          <w:p w14:paraId="71D419AD" w14:textId="77777777" w:rsidR="006A3667" w:rsidRDefault="006A3667">
            <w:pPr>
              <w:rPr>
                <w:rFonts w:ascii="宋体"/>
                <w:vanish/>
              </w:rPr>
            </w:pPr>
          </w:p>
        </w:tc>
      </w:tr>
      <w:tr w:rsidR="00045F32" w14:paraId="71D419CD"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19AF" w14:textId="77777777" w:rsidR="006A3667" w:rsidRDefault="00045F32">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71D419B0"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19B1" w14:textId="77777777" w:rsidR="006A3667" w:rsidRDefault="00045F32">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71D419B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419B3" w14:textId="77777777" w:rsidR="006A3667" w:rsidRDefault="00045F32">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19B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B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1D419B6"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1D419B7" w14:textId="77777777" w:rsidR="006A3667" w:rsidRDefault="00045F32">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19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B9"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19BA" w14:textId="77777777" w:rsidR="006A3667" w:rsidRDefault="00045F32">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71D419B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1D419BC"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1D419BD" w14:textId="77777777" w:rsidR="006A3667" w:rsidRDefault="00045F32">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19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B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1D419C0"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1D419C1" w14:textId="77777777" w:rsidR="006A3667" w:rsidRDefault="00045F32">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19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C3"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19C4" w14:textId="77777777" w:rsidR="006A3667" w:rsidRDefault="00045F32">
            <w:pPr>
              <w:textAlignment w:val="center"/>
            </w:pPr>
            <w:r>
              <w:rPr>
                <w:rFonts w:ascii="Arial" w:eastAsia="宋体" w:hAnsi="Arial" w:cs="Arial"/>
                <w:color w:val="000000"/>
                <w:sz w:val="12"/>
                <w:szCs w:val="12"/>
              </w:rPr>
              <w:t>5.9% to but 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71D419C5"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19C6" w14:textId="77777777" w:rsidR="006A3667" w:rsidRDefault="00045F32">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vAlign w:val="bottom"/>
          </w:tcPr>
          <w:p w14:paraId="71D419C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1D419C8"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1D419C9" w14:textId="77777777" w:rsidR="006A3667" w:rsidRDefault="00045F32">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19C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CB"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19CC" w14:textId="77777777" w:rsidR="006A3667" w:rsidRDefault="00045F32">
            <w:pPr>
              <w:textAlignment w:val="center"/>
            </w:pPr>
            <w:r>
              <w:rPr>
                <w:rFonts w:ascii="Arial" w:eastAsia="宋体" w:hAnsi="Arial" w:cs="Arial"/>
                <w:color w:val="000000"/>
                <w:sz w:val="12"/>
                <w:szCs w:val="12"/>
              </w:rPr>
              <w:t>March 15, 2024</w:t>
            </w:r>
          </w:p>
        </w:tc>
      </w:tr>
      <w:tr w:rsidR="006A3667" w14:paraId="71D419E7" w14:textId="77777777">
        <w:tc>
          <w:tcPr>
            <w:tcW w:w="0" w:type="auto"/>
            <w:gridSpan w:val="3"/>
            <w:shd w:val="clear" w:color="auto" w:fill="FFFFFF"/>
            <w:tcMar>
              <w:top w:w="40" w:type="dxa"/>
              <w:left w:w="20" w:type="dxa"/>
              <w:bottom w:w="40" w:type="dxa"/>
              <w:right w:w="20" w:type="dxa"/>
            </w:tcMar>
            <w:vAlign w:val="center"/>
          </w:tcPr>
          <w:p w14:paraId="71D419CE" w14:textId="77777777" w:rsidR="006A3667" w:rsidRDefault="00045F32">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71D419CF"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9D0" w14:textId="77777777" w:rsidR="006A3667" w:rsidRDefault="00045F32">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71D419D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D2" w14:textId="77777777" w:rsidR="006A3667" w:rsidRDefault="00045F32">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71D419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D4"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9D5" w14:textId="77777777" w:rsidR="006A3667" w:rsidRDefault="00045F32">
            <w:pPr>
              <w:jc w:val="right"/>
              <w:textAlignment w:val="center"/>
            </w:pPr>
            <w:r>
              <w:rPr>
                <w:rFonts w:ascii="Arial" w:eastAsia="宋体" w:hAnsi="Arial" w:cs="Arial"/>
                <w:color w:val="000000"/>
                <w:sz w:val="12"/>
                <w:szCs w:val="12"/>
              </w:rPr>
              <w:t>250</w:t>
            </w:r>
          </w:p>
        </w:tc>
        <w:tc>
          <w:tcPr>
            <w:tcW w:w="0" w:type="auto"/>
            <w:gridSpan w:val="3"/>
            <w:shd w:val="clear" w:color="auto" w:fill="FFFFFF"/>
            <w:tcMar>
              <w:top w:w="0" w:type="dxa"/>
              <w:left w:w="20" w:type="dxa"/>
              <w:bottom w:w="0" w:type="dxa"/>
              <w:right w:w="20" w:type="dxa"/>
            </w:tcMar>
            <w:vAlign w:val="bottom"/>
          </w:tcPr>
          <w:p w14:paraId="71D419D6"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9D7" w14:textId="77777777" w:rsidR="006A3667" w:rsidRDefault="00045F32">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71D419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D9" w14:textId="77777777" w:rsidR="006A3667" w:rsidRDefault="00045F32">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71D419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DC" w14:textId="77777777" w:rsidR="006A3667" w:rsidRDefault="00045F32">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71D419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DE"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9DF" w14:textId="77777777" w:rsidR="006A3667" w:rsidRDefault="00045F32">
            <w:pPr>
              <w:textAlignment w:val="center"/>
            </w:pPr>
            <w:r>
              <w:rPr>
                <w:rFonts w:ascii="Arial" w:eastAsia="宋体" w:hAnsi="Arial" w:cs="Arial"/>
                <w:color w:val="000000"/>
                <w:sz w:val="12"/>
                <w:szCs w:val="12"/>
              </w:rPr>
              <w:t>5.25% to but excluding September 15, 2020, then a floating rate equal to the three-month LIBOR plus 3.597%, or 6.890% effective September 15, 2022</w:t>
            </w:r>
          </w:p>
        </w:tc>
        <w:tc>
          <w:tcPr>
            <w:tcW w:w="0" w:type="auto"/>
            <w:gridSpan w:val="3"/>
            <w:shd w:val="clear" w:color="auto" w:fill="FFFFFF"/>
            <w:tcMar>
              <w:top w:w="0" w:type="dxa"/>
              <w:left w:w="20" w:type="dxa"/>
              <w:bottom w:w="0" w:type="dxa"/>
              <w:right w:w="20" w:type="dxa"/>
            </w:tcMar>
            <w:vAlign w:val="bottom"/>
          </w:tcPr>
          <w:p w14:paraId="71D419E0"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9E1" w14:textId="77777777" w:rsidR="006A3667" w:rsidRDefault="00045F32">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top w:w="0" w:type="dxa"/>
              <w:left w:w="20" w:type="dxa"/>
              <w:bottom w:w="0" w:type="dxa"/>
              <w:right w:w="20" w:type="dxa"/>
            </w:tcMar>
            <w:vAlign w:val="bottom"/>
          </w:tcPr>
          <w:p w14:paraId="71D419E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9E3" w14:textId="77777777" w:rsidR="006A3667" w:rsidRDefault="00045F32">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71D419E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9E5"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9E6" w14:textId="77777777" w:rsidR="006A3667" w:rsidRDefault="00045F32">
            <w:pPr>
              <w:textAlignment w:val="center"/>
            </w:pPr>
            <w:r>
              <w:rPr>
                <w:rFonts w:ascii="Arial" w:eastAsia="宋体" w:hAnsi="Arial" w:cs="Arial"/>
                <w:color w:val="000000"/>
                <w:sz w:val="12"/>
                <w:szCs w:val="12"/>
              </w:rPr>
              <w:t>September 15, 2020</w:t>
            </w:r>
          </w:p>
        </w:tc>
      </w:tr>
      <w:tr w:rsidR="006A3667" w14:paraId="71D41A01" w14:textId="77777777">
        <w:tc>
          <w:tcPr>
            <w:tcW w:w="0" w:type="auto"/>
            <w:gridSpan w:val="3"/>
            <w:shd w:val="clear" w:color="auto" w:fill="CCEEFF"/>
            <w:tcMar>
              <w:top w:w="40" w:type="dxa"/>
              <w:left w:w="20" w:type="dxa"/>
              <w:bottom w:w="40" w:type="dxa"/>
              <w:right w:w="20" w:type="dxa"/>
            </w:tcMar>
            <w:vAlign w:val="center"/>
          </w:tcPr>
          <w:p w14:paraId="71D419E8" w14:textId="77777777" w:rsidR="006A3667" w:rsidRDefault="00045F32">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71D419E9"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19EA" w14:textId="77777777" w:rsidR="006A3667" w:rsidRDefault="00045F32">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71D419E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9EC" w14:textId="77777777" w:rsidR="006A3667" w:rsidRDefault="00045F32">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71D419E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EE"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19EF" w14:textId="77777777" w:rsidR="006A3667" w:rsidRDefault="00045F32">
            <w:pPr>
              <w:jc w:val="right"/>
              <w:textAlignment w:val="center"/>
            </w:pPr>
            <w:r>
              <w:rPr>
                <w:rFonts w:ascii="Arial" w:eastAsia="宋体" w:hAnsi="Arial" w:cs="Arial"/>
                <w:color w:val="000000"/>
                <w:sz w:val="12"/>
                <w:szCs w:val="12"/>
              </w:rPr>
              <w:t>500</w:t>
            </w:r>
          </w:p>
        </w:tc>
        <w:tc>
          <w:tcPr>
            <w:tcW w:w="0" w:type="auto"/>
            <w:gridSpan w:val="3"/>
            <w:shd w:val="clear" w:color="auto" w:fill="CCEEFF"/>
            <w:tcMar>
              <w:top w:w="0" w:type="dxa"/>
              <w:left w:w="20" w:type="dxa"/>
              <w:bottom w:w="0" w:type="dxa"/>
              <w:right w:w="20" w:type="dxa"/>
            </w:tcMar>
            <w:vAlign w:val="bottom"/>
          </w:tcPr>
          <w:p w14:paraId="71D419F0"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19F1" w14:textId="77777777" w:rsidR="006A3667" w:rsidRDefault="00045F32">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71D419F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9F3" w14:textId="77777777" w:rsidR="006A3667" w:rsidRDefault="00045F32">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71D419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9F6" w14:textId="77777777" w:rsidR="006A3667" w:rsidRDefault="00045F32">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71D419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F8"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19F9" w14:textId="77777777" w:rsidR="006A3667" w:rsidRDefault="00045F32">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71D419FA"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19FB" w14:textId="77777777" w:rsidR="006A3667" w:rsidRDefault="00045F32">
            <w:pPr>
              <w:textAlignment w:val="center"/>
            </w:pPr>
            <w:r>
              <w:rPr>
                <w:rFonts w:ascii="Arial" w:eastAsia="宋体" w:hAnsi="Arial" w:cs="Arial"/>
                <w:color w:val="000000"/>
                <w:sz w:val="12"/>
                <w:szCs w:val="12"/>
              </w:rPr>
              <w:t xml:space="preserve">Quarterly: March, June, </w:t>
            </w:r>
            <w:r>
              <w:rPr>
                <w:rFonts w:ascii="Arial" w:eastAsia="宋体" w:hAnsi="Arial" w:cs="Arial"/>
                <w:color w:val="000000"/>
                <w:sz w:val="12"/>
                <w:szCs w:val="12"/>
              </w:rPr>
              <w:t>September and December</w:t>
            </w:r>
          </w:p>
        </w:tc>
        <w:tc>
          <w:tcPr>
            <w:tcW w:w="0" w:type="auto"/>
            <w:gridSpan w:val="3"/>
            <w:shd w:val="clear" w:color="auto" w:fill="CCEEFF"/>
            <w:tcMar>
              <w:top w:w="0" w:type="dxa"/>
              <w:left w:w="20" w:type="dxa"/>
              <w:bottom w:w="0" w:type="dxa"/>
              <w:right w:w="20" w:type="dxa"/>
            </w:tcMar>
            <w:vAlign w:val="bottom"/>
          </w:tcPr>
          <w:p w14:paraId="71D419F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19FD" w14:textId="77777777" w:rsidR="006A3667" w:rsidRDefault="00045F32">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71D419F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9FF"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1A00" w14:textId="77777777" w:rsidR="006A3667" w:rsidRDefault="00045F32">
            <w:pPr>
              <w:textAlignment w:val="center"/>
            </w:pPr>
            <w:r>
              <w:rPr>
                <w:rFonts w:ascii="Arial" w:eastAsia="宋体" w:hAnsi="Arial" w:cs="Arial"/>
                <w:color w:val="000000"/>
                <w:sz w:val="12"/>
                <w:szCs w:val="12"/>
              </w:rPr>
              <w:t>March 15, 2026</w:t>
            </w:r>
          </w:p>
        </w:tc>
      </w:tr>
      <w:tr w:rsidR="006A3667" w14:paraId="71D41A1B" w14:textId="77777777">
        <w:tc>
          <w:tcPr>
            <w:tcW w:w="0" w:type="auto"/>
            <w:gridSpan w:val="3"/>
            <w:shd w:val="clear" w:color="auto" w:fill="FFFFFF"/>
            <w:tcMar>
              <w:top w:w="40" w:type="dxa"/>
              <w:left w:w="20" w:type="dxa"/>
              <w:bottom w:w="40" w:type="dxa"/>
              <w:right w:w="20" w:type="dxa"/>
            </w:tcMar>
            <w:vAlign w:val="center"/>
          </w:tcPr>
          <w:p w14:paraId="71D41A02" w14:textId="77777777" w:rsidR="006A3667" w:rsidRDefault="00045F32">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71D41A03"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A04" w14:textId="77777777" w:rsidR="006A3667" w:rsidRDefault="00045F32">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71D41A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A06" w14:textId="77777777" w:rsidR="006A3667" w:rsidRDefault="00045F32">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71D41A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A08"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A09" w14:textId="77777777" w:rsidR="006A3667" w:rsidRDefault="00045F32">
            <w:pPr>
              <w:jc w:val="right"/>
              <w:textAlignment w:val="center"/>
            </w:pPr>
            <w:r>
              <w:rPr>
                <w:rFonts w:ascii="Arial" w:eastAsia="宋体" w:hAnsi="Arial" w:cs="Arial"/>
                <w:color w:val="000000"/>
                <w:sz w:val="12"/>
                <w:szCs w:val="12"/>
              </w:rPr>
              <w:t>500</w:t>
            </w:r>
          </w:p>
        </w:tc>
        <w:tc>
          <w:tcPr>
            <w:tcW w:w="0" w:type="auto"/>
            <w:gridSpan w:val="3"/>
            <w:shd w:val="clear" w:color="auto" w:fill="FFFFFF"/>
            <w:tcMar>
              <w:top w:w="0" w:type="dxa"/>
              <w:left w:w="20" w:type="dxa"/>
              <w:bottom w:w="0" w:type="dxa"/>
              <w:right w:w="20" w:type="dxa"/>
            </w:tcMar>
            <w:vAlign w:val="bottom"/>
          </w:tcPr>
          <w:p w14:paraId="71D41A0A"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A0B" w14:textId="77777777" w:rsidR="006A3667" w:rsidRDefault="00045F32">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71D41A0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A0D" w14:textId="77777777" w:rsidR="006A3667" w:rsidRDefault="00045F32">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71D41A0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A0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A10" w14:textId="77777777" w:rsidR="006A3667" w:rsidRDefault="00045F32">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71D41A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A12"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A13" w14:textId="77777777" w:rsidR="006A3667" w:rsidRDefault="00045F32">
            <w:pPr>
              <w:textAlignment w:val="center"/>
            </w:pPr>
            <w:r>
              <w:rPr>
                <w:rFonts w:ascii="Arial" w:eastAsia="宋体" w:hAnsi="Arial" w:cs="Arial"/>
                <w:color w:val="000000"/>
                <w:sz w:val="12"/>
                <w:szCs w:val="12"/>
              </w:rPr>
              <w:t xml:space="preserve">5.625% to but excluding December 15, 2023, then a floating rate equal to the </w:t>
            </w:r>
            <w:r>
              <w:rPr>
                <w:rFonts w:ascii="Arial" w:eastAsia="宋体" w:hAnsi="Arial" w:cs="Arial"/>
                <w:color w:val="000000"/>
                <w:sz w:val="12"/>
                <w:szCs w:val="12"/>
              </w:rPr>
              <w:t>three-month LIBOR plus 2.539%</w:t>
            </w:r>
          </w:p>
        </w:tc>
        <w:tc>
          <w:tcPr>
            <w:tcW w:w="0" w:type="auto"/>
            <w:gridSpan w:val="3"/>
            <w:shd w:val="clear" w:color="auto" w:fill="FFFFFF"/>
            <w:tcMar>
              <w:top w:w="0" w:type="dxa"/>
              <w:left w:w="20" w:type="dxa"/>
              <w:bottom w:w="0" w:type="dxa"/>
              <w:right w:w="20" w:type="dxa"/>
            </w:tcMar>
            <w:vAlign w:val="bottom"/>
          </w:tcPr>
          <w:p w14:paraId="71D41A14"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A15" w14:textId="77777777" w:rsidR="006A3667" w:rsidRDefault="00045F32">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top w:w="0" w:type="dxa"/>
              <w:left w:w="20" w:type="dxa"/>
              <w:bottom w:w="0" w:type="dxa"/>
              <w:right w:w="20" w:type="dxa"/>
            </w:tcMar>
            <w:vAlign w:val="bottom"/>
          </w:tcPr>
          <w:p w14:paraId="71D41A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1A17" w14:textId="77777777" w:rsidR="006A3667" w:rsidRDefault="00045F32">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71D41A1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A19"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1A1A" w14:textId="77777777" w:rsidR="006A3667" w:rsidRDefault="00045F32">
            <w:pPr>
              <w:textAlignment w:val="center"/>
            </w:pPr>
            <w:r>
              <w:rPr>
                <w:rFonts w:ascii="Arial" w:eastAsia="宋体" w:hAnsi="Arial" w:cs="Arial"/>
                <w:color w:val="000000"/>
                <w:sz w:val="12"/>
                <w:szCs w:val="12"/>
              </w:rPr>
              <w:t>December 15, 2023</w:t>
            </w:r>
          </w:p>
        </w:tc>
      </w:tr>
    </w:tbl>
    <w:p w14:paraId="71D41A1C"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6A3667" w14:paraId="71D41A29" w14:textId="77777777">
        <w:tc>
          <w:tcPr>
            <w:tcW w:w="50" w:type="pct"/>
            <w:shd w:val="clear" w:color="auto" w:fill="auto"/>
            <w:vAlign w:val="bottom"/>
          </w:tcPr>
          <w:p w14:paraId="71D41A1D" w14:textId="77777777" w:rsidR="006A3667" w:rsidRDefault="006A3667">
            <w:pPr>
              <w:rPr>
                <w:rFonts w:ascii="宋体"/>
              </w:rPr>
            </w:pPr>
          </w:p>
        </w:tc>
        <w:tc>
          <w:tcPr>
            <w:tcW w:w="1341" w:type="pct"/>
            <w:shd w:val="clear" w:color="auto" w:fill="auto"/>
            <w:vAlign w:val="bottom"/>
          </w:tcPr>
          <w:p w14:paraId="71D41A1E" w14:textId="77777777" w:rsidR="006A3667" w:rsidRDefault="006A3667">
            <w:pPr>
              <w:rPr>
                <w:rFonts w:ascii="宋体"/>
              </w:rPr>
            </w:pPr>
          </w:p>
        </w:tc>
        <w:tc>
          <w:tcPr>
            <w:tcW w:w="5" w:type="pct"/>
            <w:shd w:val="clear" w:color="auto" w:fill="auto"/>
            <w:vAlign w:val="bottom"/>
          </w:tcPr>
          <w:p w14:paraId="71D41A1F" w14:textId="77777777" w:rsidR="006A3667" w:rsidRDefault="006A3667">
            <w:pPr>
              <w:rPr>
                <w:rFonts w:ascii="宋体"/>
              </w:rPr>
            </w:pPr>
          </w:p>
        </w:tc>
        <w:tc>
          <w:tcPr>
            <w:tcW w:w="50" w:type="pct"/>
            <w:shd w:val="clear" w:color="auto" w:fill="auto"/>
            <w:vAlign w:val="bottom"/>
          </w:tcPr>
          <w:p w14:paraId="71D41A20" w14:textId="77777777" w:rsidR="006A3667" w:rsidRDefault="006A3667">
            <w:pPr>
              <w:rPr>
                <w:rFonts w:ascii="宋体"/>
              </w:rPr>
            </w:pPr>
          </w:p>
        </w:tc>
        <w:tc>
          <w:tcPr>
            <w:tcW w:w="909" w:type="pct"/>
            <w:shd w:val="clear" w:color="auto" w:fill="auto"/>
            <w:vAlign w:val="bottom"/>
          </w:tcPr>
          <w:p w14:paraId="71D41A21" w14:textId="77777777" w:rsidR="006A3667" w:rsidRDefault="006A3667">
            <w:pPr>
              <w:rPr>
                <w:rFonts w:ascii="宋体"/>
              </w:rPr>
            </w:pPr>
          </w:p>
        </w:tc>
        <w:tc>
          <w:tcPr>
            <w:tcW w:w="5" w:type="pct"/>
            <w:shd w:val="clear" w:color="auto" w:fill="auto"/>
            <w:vAlign w:val="bottom"/>
          </w:tcPr>
          <w:p w14:paraId="71D41A22" w14:textId="77777777" w:rsidR="006A3667" w:rsidRDefault="006A3667">
            <w:pPr>
              <w:rPr>
                <w:rFonts w:ascii="宋体"/>
              </w:rPr>
            </w:pPr>
          </w:p>
        </w:tc>
        <w:tc>
          <w:tcPr>
            <w:tcW w:w="50" w:type="pct"/>
            <w:shd w:val="clear" w:color="auto" w:fill="auto"/>
            <w:vAlign w:val="bottom"/>
          </w:tcPr>
          <w:p w14:paraId="71D41A23" w14:textId="77777777" w:rsidR="006A3667" w:rsidRDefault="006A3667">
            <w:pPr>
              <w:rPr>
                <w:rFonts w:ascii="宋体"/>
              </w:rPr>
            </w:pPr>
          </w:p>
        </w:tc>
        <w:tc>
          <w:tcPr>
            <w:tcW w:w="939" w:type="pct"/>
            <w:shd w:val="clear" w:color="auto" w:fill="auto"/>
            <w:vAlign w:val="bottom"/>
          </w:tcPr>
          <w:p w14:paraId="71D41A24" w14:textId="77777777" w:rsidR="006A3667" w:rsidRDefault="006A3667">
            <w:pPr>
              <w:rPr>
                <w:rFonts w:ascii="宋体"/>
              </w:rPr>
            </w:pPr>
          </w:p>
        </w:tc>
        <w:tc>
          <w:tcPr>
            <w:tcW w:w="5" w:type="pct"/>
            <w:shd w:val="clear" w:color="auto" w:fill="auto"/>
            <w:vAlign w:val="bottom"/>
          </w:tcPr>
          <w:p w14:paraId="71D41A25" w14:textId="77777777" w:rsidR="006A3667" w:rsidRDefault="006A3667">
            <w:pPr>
              <w:rPr>
                <w:rFonts w:ascii="宋体"/>
              </w:rPr>
            </w:pPr>
          </w:p>
        </w:tc>
        <w:tc>
          <w:tcPr>
            <w:tcW w:w="50" w:type="pct"/>
            <w:shd w:val="clear" w:color="auto" w:fill="auto"/>
            <w:vAlign w:val="bottom"/>
          </w:tcPr>
          <w:p w14:paraId="71D41A26" w14:textId="77777777" w:rsidR="006A3667" w:rsidRDefault="006A3667">
            <w:pPr>
              <w:rPr>
                <w:rFonts w:ascii="宋体"/>
              </w:rPr>
            </w:pPr>
          </w:p>
        </w:tc>
        <w:tc>
          <w:tcPr>
            <w:tcW w:w="1589" w:type="pct"/>
            <w:shd w:val="clear" w:color="auto" w:fill="auto"/>
            <w:vAlign w:val="bottom"/>
          </w:tcPr>
          <w:p w14:paraId="71D41A27" w14:textId="77777777" w:rsidR="006A3667" w:rsidRDefault="006A3667">
            <w:pPr>
              <w:rPr>
                <w:rFonts w:ascii="宋体"/>
              </w:rPr>
            </w:pPr>
          </w:p>
        </w:tc>
        <w:tc>
          <w:tcPr>
            <w:tcW w:w="5" w:type="pct"/>
            <w:shd w:val="clear" w:color="auto" w:fill="auto"/>
            <w:vAlign w:val="bottom"/>
          </w:tcPr>
          <w:p w14:paraId="71D41A28" w14:textId="77777777" w:rsidR="006A3667" w:rsidRDefault="006A3667">
            <w:pPr>
              <w:rPr>
                <w:rFonts w:ascii="宋体"/>
              </w:rPr>
            </w:pPr>
          </w:p>
        </w:tc>
      </w:tr>
      <w:tr w:rsidR="006A3667" w14:paraId="71D41A2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1A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A2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A2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A2D" w14:textId="77777777" w:rsidR="006A3667" w:rsidRDefault="006A3667">
            <w:pPr>
              <w:rPr>
                <w:rFonts w:ascii="宋体"/>
              </w:rPr>
            </w:pPr>
          </w:p>
        </w:tc>
      </w:tr>
    </w:tbl>
    <w:p w14:paraId="71D41A2F" w14:textId="77777777" w:rsidR="006A3667" w:rsidRDefault="00045F32">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t>
      </w:r>
      <w:r>
        <w:rPr>
          <w:rFonts w:ascii="Arial" w:eastAsia="宋体" w:hAnsi="Arial" w:cs="Arial"/>
          <w:color w:val="000000"/>
          <w:sz w:val="12"/>
          <w:szCs w:val="12"/>
        </w:rPr>
        <w:t>whole, but not in part, prior to the redemption date upon the occurrence of a regulatory capital treatment event, as defined in the certificate of designation, at a redemption price equal to the liquidation price per share and liquidation price per deposit</w:t>
      </w:r>
      <w:r>
        <w:rPr>
          <w:rFonts w:ascii="Arial" w:eastAsia="宋体" w:hAnsi="Arial" w:cs="Arial"/>
          <w:color w:val="000000"/>
          <w:sz w:val="12"/>
          <w:szCs w:val="12"/>
        </w:rPr>
        <w:t>ary share plus any declared and unpaid dividends, without accumulation of any undeclared dividends.</w:t>
      </w:r>
    </w:p>
    <w:p w14:paraId="71D41A30" w14:textId="77777777" w:rsidR="006A3667" w:rsidRDefault="00045F32">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 in whole</w:t>
      </w:r>
      <w:r>
        <w:rPr>
          <w:rFonts w:ascii="Arial" w:eastAsia="宋体" w:hAnsi="Arial" w:cs="Arial"/>
          <w:color w:val="000000"/>
          <w:sz w:val="12"/>
          <w:szCs w:val="12"/>
        </w:rPr>
        <w:t xml:space="preserve"> or in part, at the liquidation price per share and liquidation price per depositary share plus any declared and unpaid dividends, without accumulation of any undeclared dividends.</w:t>
      </w:r>
    </w:p>
    <w:p w14:paraId="71D41A31" w14:textId="77777777" w:rsidR="006A3667" w:rsidRDefault="00045F32">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w:t>
      </w:r>
      <w:r>
        <w:rPr>
          <w:rFonts w:ascii="Arial" w:eastAsia="宋体" w:hAnsi="Arial" w:cs="Arial"/>
          <w:color w:val="000000"/>
          <w:sz w:val="12"/>
          <w:szCs w:val="12"/>
        </w:rPr>
        <w:t>h succeeding dividend payment date.</w:t>
      </w:r>
    </w:p>
    <w:p w14:paraId="71D41A32" w14:textId="77777777" w:rsidR="006A3667" w:rsidRDefault="00045F32">
      <w:pPr>
        <w:spacing w:before="60"/>
        <w:ind w:firstLine="450"/>
        <w:jc w:val="both"/>
      </w:pPr>
      <w:r>
        <w:rPr>
          <w:rFonts w:ascii="Arial" w:eastAsia="宋体" w:hAnsi="Arial" w:cs="Arial"/>
          <w:color w:val="000000"/>
          <w:sz w:val="20"/>
          <w:szCs w:val="20"/>
        </w:rPr>
        <w:t>The following tables present the dividends declared for each of the series of preferred stock issued and outstanding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8"/>
        <w:gridCol w:w="1652"/>
        <w:gridCol w:w="36"/>
        <w:gridCol w:w="58"/>
        <w:gridCol w:w="920"/>
        <w:gridCol w:w="36"/>
        <w:gridCol w:w="36"/>
        <w:gridCol w:w="36"/>
        <w:gridCol w:w="36"/>
        <w:gridCol w:w="40"/>
        <w:gridCol w:w="920"/>
        <w:gridCol w:w="36"/>
        <w:gridCol w:w="36"/>
        <w:gridCol w:w="36"/>
        <w:gridCol w:w="36"/>
        <w:gridCol w:w="40"/>
        <w:gridCol w:w="920"/>
        <w:gridCol w:w="36"/>
        <w:gridCol w:w="36"/>
        <w:gridCol w:w="36"/>
        <w:gridCol w:w="36"/>
        <w:gridCol w:w="41"/>
        <w:gridCol w:w="921"/>
        <w:gridCol w:w="36"/>
        <w:gridCol w:w="36"/>
        <w:gridCol w:w="36"/>
        <w:gridCol w:w="36"/>
        <w:gridCol w:w="42"/>
        <w:gridCol w:w="921"/>
        <w:gridCol w:w="36"/>
        <w:gridCol w:w="36"/>
        <w:gridCol w:w="36"/>
        <w:gridCol w:w="36"/>
        <w:gridCol w:w="42"/>
        <w:gridCol w:w="921"/>
        <w:gridCol w:w="36"/>
      </w:tblGrid>
      <w:tr w:rsidR="006A3667" w14:paraId="71D41A57" w14:textId="77777777">
        <w:tc>
          <w:tcPr>
            <w:tcW w:w="50" w:type="pct"/>
            <w:shd w:val="clear" w:color="auto" w:fill="auto"/>
            <w:vAlign w:val="bottom"/>
          </w:tcPr>
          <w:p w14:paraId="71D41A33" w14:textId="77777777" w:rsidR="006A3667" w:rsidRDefault="006A3667">
            <w:pPr>
              <w:rPr>
                <w:rFonts w:ascii="宋体"/>
              </w:rPr>
            </w:pPr>
          </w:p>
        </w:tc>
        <w:tc>
          <w:tcPr>
            <w:tcW w:w="1011" w:type="pct"/>
            <w:shd w:val="clear" w:color="auto" w:fill="auto"/>
            <w:vAlign w:val="bottom"/>
          </w:tcPr>
          <w:p w14:paraId="71D41A34" w14:textId="77777777" w:rsidR="006A3667" w:rsidRDefault="006A3667">
            <w:pPr>
              <w:rPr>
                <w:rFonts w:ascii="宋体"/>
              </w:rPr>
            </w:pPr>
          </w:p>
        </w:tc>
        <w:tc>
          <w:tcPr>
            <w:tcW w:w="5" w:type="pct"/>
            <w:shd w:val="clear" w:color="auto" w:fill="auto"/>
            <w:vAlign w:val="bottom"/>
          </w:tcPr>
          <w:p w14:paraId="71D41A35" w14:textId="77777777" w:rsidR="006A3667" w:rsidRDefault="006A3667">
            <w:pPr>
              <w:rPr>
                <w:rFonts w:ascii="宋体"/>
              </w:rPr>
            </w:pPr>
          </w:p>
        </w:tc>
        <w:tc>
          <w:tcPr>
            <w:tcW w:w="50" w:type="pct"/>
            <w:shd w:val="clear" w:color="auto" w:fill="auto"/>
            <w:vAlign w:val="bottom"/>
          </w:tcPr>
          <w:p w14:paraId="71D41A36" w14:textId="77777777" w:rsidR="006A3667" w:rsidRDefault="006A3667">
            <w:pPr>
              <w:rPr>
                <w:rFonts w:ascii="宋体"/>
              </w:rPr>
            </w:pPr>
          </w:p>
        </w:tc>
        <w:tc>
          <w:tcPr>
            <w:tcW w:w="570" w:type="pct"/>
            <w:shd w:val="clear" w:color="auto" w:fill="auto"/>
            <w:vAlign w:val="bottom"/>
          </w:tcPr>
          <w:p w14:paraId="71D41A37" w14:textId="77777777" w:rsidR="006A3667" w:rsidRDefault="006A3667">
            <w:pPr>
              <w:rPr>
                <w:rFonts w:ascii="宋体"/>
              </w:rPr>
            </w:pPr>
          </w:p>
        </w:tc>
        <w:tc>
          <w:tcPr>
            <w:tcW w:w="5" w:type="pct"/>
            <w:shd w:val="clear" w:color="auto" w:fill="auto"/>
            <w:vAlign w:val="bottom"/>
          </w:tcPr>
          <w:p w14:paraId="71D41A38" w14:textId="77777777" w:rsidR="006A3667" w:rsidRDefault="006A3667">
            <w:pPr>
              <w:rPr>
                <w:rFonts w:ascii="宋体"/>
              </w:rPr>
            </w:pPr>
          </w:p>
        </w:tc>
        <w:tc>
          <w:tcPr>
            <w:tcW w:w="5" w:type="pct"/>
            <w:shd w:val="clear" w:color="auto" w:fill="auto"/>
            <w:vAlign w:val="bottom"/>
          </w:tcPr>
          <w:p w14:paraId="71D41A39" w14:textId="77777777" w:rsidR="006A3667" w:rsidRDefault="006A3667">
            <w:pPr>
              <w:rPr>
                <w:rFonts w:ascii="宋体"/>
              </w:rPr>
            </w:pPr>
          </w:p>
        </w:tc>
        <w:tc>
          <w:tcPr>
            <w:tcW w:w="26" w:type="pct"/>
            <w:shd w:val="clear" w:color="auto" w:fill="auto"/>
            <w:vAlign w:val="bottom"/>
          </w:tcPr>
          <w:p w14:paraId="71D41A3A" w14:textId="77777777" w:rsidR="006A3667" w:rsidRDefault="006A3667">
            <w:pPr>
              <w:rPr>
                <w:rFonts w:ascii="宋体"/>
              </w:rPr>
            </w:pPr>
          </w:p>
        </w:tc>
        <w:tc>
          <w:tcPr>
            <w:tcW w:w="5" w:type="pct"/>
            <w:shd w:val="clear" w:color="auto" w:fill="auto"/>
            <w:vAlign w:val="bottom"/>
          </w:tcPr>
          <w:p w14:paraId="71D41A3B" w14:textId="77777777" w:rsidR="006A3667" w:rsidRDefault="006A3667">
            <w:pPr>
              <w:rPr>
                <w:rFonts w:ascii="宋体"/>
              </w:rPr>
            </w:pPr>
          </w:p>
        </w:tc>
        <w:tc>
          <w:tcPr>
            <w:tcW w:w="50" w:type="pct"/>
            <w:shd w:val="clear" w:color="auto" w:fill="auto"/>
            <w:vAlign w:val="bottom"/>
          </w:tcPr>
          <w:p w14:paraId="71D41A3C" w14:textId="77777777" w:rsidR="006A3667" w:rsidRDefault="006A3667">
            <w:pPr>
              <w:rPr>
                <w:rFonts w:ascii="宋体"/>
              </w:rPr>
            </w:pPr>
          </w:p>
        </w:tc>
        <w:tc>
          <w:tcPr>
            <w:tcW w:w="570" w:type="pct"/>
            <w:shd w:val="clear" w:color="auto" w:fill="auto"/>
            <w:vAlign w:val="bottom"/>
          </w:tcPr>
          <w:p w14:paraId="71D41A3D" w14:textId="77777777" w:rsidR="006A3667" w:rsidRDefault="006A3667">
            <w:pPr>
              <w:rPr>
                <w:rFonts w:ascii="宋体"/>
              </w:rPr>
            </w:pPr>
          </w:p>
        </w:tc>
        <w:tc>
          <w:tcPr>
            <w:tcW w:w="5" w:type="pct"/>
            <w:shd w:val="clear" w:color="auto" w:fill="auto"/>
            <w:vAlign w:val="bottom"/>
          </w:tcPr>
          <w:p w14:paraId="71D41A3E" w14:textId="77777777" w:rsidR="006A3667" w:rsidRDefault="006A3667">
            <w:pPr>
              <w:rPr>
                <w:rFonts w:ascii="宋体"/>
              </w:rPr>
            </w:pPr>
          </w:p>
        </w:tc>
        <w:tc>
          <w:tcPr>
            <w:tcW w:w="5" w:type="pct"/>
            <w:shd w:val="clear" w:color="auto" w:fill="auto"/>
            <w:vAlign w:val="bottom"/>
          </w:tcPr>
          <w:p w14:paraId="71D41A3F" w14:textId="77777777" w:rsidR="006A3667" w:rsidRDefault="006A3667">
            <w:pPr>
              <w:rPr>
                <w:rFonts w:ascii="宋体"/>
              </w:rPr>
            </w:pPr>
          </w:p>
        </w:tc>
        <w:tc>
          <w:tcPr>
            <w:tcW w:w="26" w:type="pct"/>
            <w:shd w:val="clear" w:color="auto" w:fill="auto"/>
            <w:vAlign w:val="bottom"/>
          </w:tcPr>
          <w:p w14:paraId="71D41A40" w14:textId="77777777" w:rsidR="006A3667" w:rsidRDefault="006A3667">
            <w:pPr>
              <w:rPr>
                <w:rFonts w:ascii="宋体"/>
              </w:rPr>
            </w:pPr>
          </w:p>
        </w:tc>
        <w:tc>
          <w:tcPr>
            <w:tcW w:w="5" w:type="pct"/>
            <w:shd w:val="clear" w:color="auto" w:fill="auto"/>
            <w:vAlign w:val="bottom"/>
          </w:tcPr>
          <w:p w14:paraId="71D41A41" w14:textId="77777777" w:rsidR="006A3667" w:rsidRDefault="006A3667">
            <w:pPr>
              <w:rPr>
                <w:rFonts w:ascii="宋体"/>
              </w:rPr>
            </w:pPr>
          </w:p>
        </w:tc>
        <w:tc>
          <w:tcPr>
            <w:tcW w:w="50" w:type="pct"/>
            <w:shd w:val="clear" w:color="auto" w:fill="auto"/>
            <w:vAlign w:val="bottom"/>
          </w:tcPr>
          <w:p w14:paraId="71D41A42" w14:textId="77777777" w:rsidR="006A3667" w:rsidRDefault="006A3667">
            <w:pPr>
              <w:rPr>
                <w:rFonts w:ascii="宋体"/>
              </w:rPr>
            </w:pPr>
          </w:p>
        </w:tc>
        <w:tc>
          <w:tcPr>
            <w:tcW w:w="570" w:type="pct"/>
            <w:shd w:val="clear" w:color="auto" w:fill="auto"/>
            <w:vAlign w:val="bottom"/>
          </w:tcPr>
          <w:p w14:paraId="71D41A43" w14:textId="77777777" w:rsidR="006A3667" w:rsidRDefault="006A3667">
            <w:pPr>
              <w:rPr>
                <w:rFonts w:ascii="宋体"/>
              </w:rPr>
            </w:pPr>
          </w:p>
        </w:tc>
        <w:tc>
          <w:tcPr>
            <w:tcW w:w="5" w:type="pct"/>
            <w:shd w:val="clear" w:color="auto" w:fill="auto"/>
            <w:vAlign w:val="bottom"/>
          </w:tcPr>
          <w:p w14:paraId="71D41A44" w14:textId="77777777" w:rsidR="006A3667" w:rsidRDefault="006A3667">
            <w:pPr>
              <w:rPr>
                <w:rFonts w:ascii="宋体"/>
              </w:rPr>
            </w:pPr>
          </w:p>
        </w:tc>
        <w:tc>
          <w:tcPr>
            <w:tcW w:w="5" w:type="pct"/>
            <w:shd w:val="clear" w:color="auto" w:fill="auto"/>
            <w:vAlign w:val="bottom"/>
          </w:tcPr>
          <w:p w14:paraId="71D41A45" w14:textId="77777777" w:rsidR="006A3667" w:rsidRDefault="006A3667">
            <w:pPr>
              <w:rPr>
                <w:rFonts w:ascii="宋体"/>
              </w:rPr>
            </w:pPr>
          </w:p>
        </w:tc>
        <w:tc>
          <w:tcPr>
            <w:tcW w:w="26" w:type="pct"/>
            <w:shd w:val="clear" w:color="auto" w:fill="auto"/>
            <w:vAlign w:val="bottom"/>
          </w:tcPr>
          <w:p w14:paraId="71D41A46" w14:textId="77777777" w:rsidR="006A3667" w:rsidRDefault="006A3667">
            <w:pPr>
              <w:rPr>
                <w:rFonts w:ascii="宋体"/>
              </w:rPr>
            </w:pPr>
          </w:p>
        </w:tc>
        <w:tc>
          <w:tcPr>
            <w:tcW w:w="5" w:type="pct"/>
            <w:shd w:val="clear" w:color="auto" w:fill="auto"/>
            <w:vAlign w:val="bottom"/>
          </w:tcPr>
          <w:p w14:paraId="71D41A47" w14:textId="77777777" w:rsidR="006A3667" w:rsidRDefault="006A3667">
            <w:pPr>
              <w:rPr>
                <w:rFonts w:ascii="宋体"/>
              </w:rPr>
            </w:pPr>
          </w:p>
        </w:tc>
        <w:tc>
          <w:tcPr>
            <w:tcW w:w="50" w:type="pct"/>
            <w:shd w:val="clear" w:color="auto" w:fill="auto"/>
            <w:vAlign w:val="bottom"/>
          </w:tcPr>
          <w:p w14:paraId="71D41A48" w14:textId="77777777" w:rsidR="006A3667" w:rsidRDefault="006A3667">
            <w:pPr>
              <w:rPr>
                <w:rFonts w:ascii="宋体"/>
              </w:rPr>
            </w:pPr>
          </w:p>
        </w:tc>
        <w:tc>
          <w:tcPr>
            <w:tcW w:w="570" w:type="pct"/>
            <w:shd w:val="clear" w:color="auto" w:fill="auto"/>
            <w:vAlign w:val="bottom"/>
          </w:tcPr>
          <w:p w14:paraId="71D41A49" w14:textId="77777777" w:rsidR="006A3667" w:rsidRDefault="006A3667">
            <w:pPr>
              <w:rPr>
                <w:rFonts w:ascii="宋体"/>
              </w:rPr>
            </w:pPr>
          </w:p>
        </w:tc>
        <w:tc>
          <w:tcPr>
            <w:tcW w:w="5" w:type="pct"/>
            <w:shd w:val="clear" w:color="auto" w:fill="auto"/>
            <w:vAlign w:val="bottom"/>
          </w:tcPr>
          <w:p w14:paraId="71D41A4A" w14:textId="77777777" w:rsidR="006A3667" w:rsidRDefault="006A3667">
            <w:pPr>
              <w:rPr>
                <w:rFonts w:ascii="宋体"/>
              </w:rPr>
            </w:pPr>
          </w:p>
        </w:tc>
        <w:tc>
          <w:tcPr>
            <w:tcW w:w="5" w:type="pct"/>
            <w:shd w:val="clear" w:color="auto" w:fill="auto"/>
            <w:vAlign w:val="bottom"/>
          </w:tcPr>
          <w:p w14:paraId="71D41A4B" w14:textId="77777777" w:rsidR="006A3667" w:rsidRDefault="006A3667">
            <w:pPr>
              <w:rPr>
                <w:rFonts w:ascii="宋体"/>
              </w:rPr>
            </w:pPr>
          </w:p>
        </w:tc>
        <w:tc>
          <w:tcPr>
            <w:tcW w:w="26" w:type="pct"/>
            <w:shd w:val="clear" w:color="auto" w:fill="auto"/>
            <w:vAlign w:val="bottom"/>
          </w:tcPr>
          <w:p w14:paraId="71D41A4C" w14:textId="77777777" w:rsidR="006A3667" w:rsidRDefault="006A3667">
            <w:pPr>
              <w:rPr>
                <w:rFonts w:ascii="宋体"/>
              </w:rPr>
            </w:pPr>
          </w:p>
        </w:tc>
        <w:tc>
          <w:tcPr>
            <w:tcW w:w="5" w:type="pct"/>
            <w:shd w:val="clear" w:color="auto" w:fill="auto"/>
            <w:vAlign w:val="bottom"/>
          </w:tcPr>
          <w:p w14:paraId="71D41A4D" w14:textId="77777777" w:rsidR="006A3667" w:rsidRDefault="006A3667">
            <w:pPr>
              <w:rPr>
                <w:rFonts w:ascii="宋体"/>
              </w:rPr>
            </w:pPr>
          </w:p>
        </w:tc>
        <w:tc>
          <w:tcPr>
            <w:tcW w:w="50" w:type="pct"/>
            <w:shd w:val="clear" w:color="auto" w:fill="auto"/>
            <w:vAlign w:val="bottom"/>
          </w:tcPr>
          <w:p w14:paraId="71D41A4E" w14:textId="77777777" w:rsidR="006A3667" w:rsidRDefault="006A3667">
            <w:pPr>
              <w:rPr>
                <w:rFonts w:ascii="宋体"/>
              </w:rPr>
            </w:pPr>
          </w:p>
        </w:tc>
        <w:tc>
          <w:tcPr>
            <w:tcW w:w="570" w:type="pct"/>
            <w:shd w:val="clear" w:color="auto" w:fill="auto"/>
            <w:vAlign w:val="bottom"/>
          </w:tcPr>
          <w:p w14:paraId="71D41A4F" w14:textId="77777777" w:rsidR="006A3667" w:rsidRDefault="006A3667">
            <w:pPr>
              <w:rPr>
                <w:rFonts w:ascii="宋体"/>
              </w:rPr>
            </w:pPr>
          </w:p>
        </w:tc>
        <w:tc>
          <w:tcPr>
            <w:tcW w:w="5" w:type="pct"/>
            <w:shd w:val="clear" w:color="auto" w:fill="auto"/>
            <w:vAlign w:val="bottom"/>
          </w:tcPr>
          <w:p w14:paraId="71D41A50" w14:textId="77777777" w:rsidR="006A3667" w:rsidRDefault="006A3667">
            <w:pPr>
              <w:rPr>
                <w:rFonts w:ascii="宋体"/>
              </w:rPr>
            </w:pPr>
          </w:p>
        </w:tc>
        <w:tc>
          <w:tcPr>
            <w:tcW w:w="5" w:type="pct"/>
            <w:shd w:val="clear" w:color="auto" w:fill="auto"/>
            <w:vAlign w:val="bottom"/>
          </w:tcPr>
          <w:p w14:paraId="71D41A51" w14:textId="77777777" w:rsidR="006A3667" w:rsidRDefault="006A3667">
            <w:pPr>
              <w:rPr>
                <w:rFonts w:ascii="宋体"/>
              </w:rPr>
            </w:pPr>
          </w:p>
        </w:tc>
        <w:tc>
          <w:tcPr>
            <w:tcW w:w="26" w:type="pct"/>
            <w:shd w:val="clear" w:color="auto" w:fill="auto"/>
            <w:vAlign w:val="bottom"/>
          </w:tcPr>
          <w:p w14:paraId="71D41A52" w14:textId="77777777" w:rsidR="006A3667" w:rsidRDefault="006A3667">
            <w:pPr>
              <w:rPr>
                <w:rFonts w:ascii="宋体"/>
              </w:rPr>
            </w:pPr>
          </w:p>
        </w:tc>
        <w:tc>
          <w:tcPr>
            <w:tcW w:w="5" w:type="pct"/>
            <w:shd w:val="clear" w:color="auto" w:fill="auto"/>
            <w:vAlign w:val="bottom"/>
          </w:tcPr>
          <w:p w14:paraId="71D41A53" w14:textId="77777777" w:rsidR="006A3667" w:rsidRDefault="006A3667">
            <w:pPr>
              <w:rPr>
                <w:rFonts w:ascii="宋体"/>
              </w:rPr>
            </w:pPr>
          </w:p>
        </w:tc>
        <w:tc>
          <w:tcPr>
            <w:tcW w:w="50" w:type="pct"/>
            <w:shd w:val="clear" w:color="auto" w:fill="auto"/>
            <w:vAlign w:val="bottom"/>
          </w:tcPr>
          <w:p w14:paraId="71D41A54" w14:textId="77777777" w:rsidR="006A3667" w:rsidRDefault="006A3667">
            <w:pPr>
              <w:rPr>
                <w:rFonts w:ascii="宋体"/>
              </w:rPr>
            </w:pPr>
          </w:p>
        </w:tc>
        <w:tc>
          <w:tcPr>
            <w:tcW w:w="570" w:type="pct"/>
            <w:shd w:val="clear" w:color="auto" w:fill="auto"/>
            <w:vAlign w:val="bottom"/>
          </w:tcPr>
          <w:p w14:paraId="71D41A55" w14:textId="77777777" w:rsidR="006A3667" w:rsidRDefault="006A3667">
            <w:pPr>
              <w:rPr>
                <w:rFonts w:ascii="宋体"/>
              </w:rPr>
            </w:pPr>
          </w:p>
        </w:tc>
        <w:tc>
          <w:tcPr>
            <w:tcW w:w="5" w:type="pct"/>
            <w:shd w:val="clear" w:color="auto" w:fill="auto"/>
            <w:vAlign w:val="bottom"/>
          </w:tcPr>
          <w:p w14:paraId="71D41A56" w14:textId="77777777" w:rsidR="006A3667" w:rsidRDefault="006A3667">
            <w:pPr>
              <w:rPr>
                <w:rFonts w:ascii="宋体"/>
              </w:rPr>
            </w:pPr>
          </w:p>
        </w:tc>
      </w:tr>
      <w:tr w:rsidR="006A3667" w14:paraId="71D41A59" w14:textId="77777777">
        <w:tc>
          <w:tcPr>
            <w:tcW w:w="0" w:type="auto"/>
            <w:gridSpan w:val="36"/>
            <w:shd w:val="clear" w:color="auto" w:fill="auto"/>
            <w:tcMar>
              <w:top w:w="40" w:type="dxa"/>
              <w:left w:w="20" w:type="dxa"/>
              <w:bottom w:w="40" w:type="dxa"/>
              <w:right w:w="20" w:type="dxa"/>
            </w:tcMar>
            <w:vAlign w:val="bottom"/>
          </w:tcPr>
          <w:p w14:paraId="71D41A58" w14:textId="77777777" w:rsidR="006A3667" w:rsidRDefault="00045F32">
            <w:pPr>
              <w:textAlignment w:val="bottom"/>
            </w:pPr>
            <w:r>
              <w:rPr>
                <w:rFonts w:ascii="Arial" w:eastAsia="宋体" w:hAnsi="Arial" w:cs="Arial"/>
                <w:b/>
                <w:bCs/>
                <w:color w:val="000000"/>
                <w:sz w:val="16"/>
                <w:szCs w:val="16"/>
              </w:rPr>
              <w:t>TABLE 40: PREFERRED STOCK DIVIDENDS</w:t>
            </w:r>
          </w:p>
        </w:tc>
      </w:tr>
      <w:tr w:rsidR="006A3667" w14:paraId="71D41A7A" w14:textId="77777777">
        <w:trPr>
          <w:hidden/>
        </w:trPr>
        <w:tc>
          <w:tcPr>
            <w:tcW w:w="0" w:type="auto"/>
            <w:gridSpan w:val="3"/>
            <w:shd w:val="clear" w:color="auto" w:fill="auto"/>
            <w:vAlign w:val="bottom"/>
          </w:tcPr>
          <w:p w14:paraId="71D41A5A" w14:textId="77777777" w:rsidR="006A3667" w:rsidRDefault="006A3667">
            <w:pPr>
              <w:rPr>
                <w:rFonts w:ascii="宋体"/>
                <w:vanish/>
              </w:rPr>
            </w:pPr>
          </w:p>
        </w:tc>
        <w:tc>
          <w:tcPr>
            <w:tcW w:w="0" w:type="auto"/>
            <w:gridSpan w:val="3"/>
            <w:shd w:val="clear" w:color="auto" w:fill="auto"/>
            <w:vAlign w:val="bottom"/>
          </w:tcPr>
          <w:p w14:paraId="71D41A5B" w14:textId="77777777" w:rsidR="006A3667" w:rsidRDefault="006A3667">
            <w:pPr>
              <w:rPr>
                <w:rFonts w:ascii="宋体"/>
                <w:vanish/>
              </w:rPr>
            </w:pPr>
          </w:p>
        </w:tc>
        <w:tc>
          <w:tcPr>
            <w:tcW w:w="0" w:type="auto"/>
            <w:shd w:val="clear" w:color="auto" w:fill="auto"/>
            <w:vAlign w:val="bottom"/>
          </w:tcPr>
          <w:p w14:paraId="71D41A5C" w14:textId="77777777" w:rsidR="006A3667" w:rsidRDefault="006A3667">
            <w:pPr>
              <w:rPr>
                <w:rFonts w:ascii="宋体"/>
              </w:rPr>
            </w:pPr>
          </w:p>
        </w:tc>
        <w:tc>
          <w:tcPr>
            <w:tcW w:w="0" w:type="auto"/>
            <w:shd w:val="clear" w:color="auto" w:fill="auto"/>
            <w:vAlign w:val="bottom"/>
          </w:tcPr>
          <w:p w14:paraId="71D41A5D" w14:textId="77777777" w:rsidR="006A3667" w:rsidRDefault="006A3667">
            <w:pPr>
              <w:rPr>
                <w:rFonts w:ascii="宋体"/>
              </w:rPr>
            </w:pPr>
          </w:p>
        </w:tc>
        <w:tc>
          <w:tcPr>
            <w:tcW w:w="0" w:type="auto"/>
            <w:shd w:val="clear" w:color="auto" w:fill="auto"/>
            <w:vAlign w:val="bottom"/>
          </w:tcPr>
          <w:p w14:paraId="71D41A5E" w14:textId="77777777" w:rsidR="006A3667" w:rsidRDefault="006A3667">
            <w:pPr>
              <w:rPr>
                <w:rFonts w:ascii="宋体"/>
              </w:rPr>
            </w:pPr>
          </w:p>
        </w:tc>
        <w:tc>
          <w:tcPr>
            <w:tcW w:w="0" w:type="auto"/>
            <w:shd w:val="clear" w:color="auto" w:fill="auto"/>
            <w:vAlign w:val="bottom"/>
          </w:tcPr>
          <w:p w14:paraId="71D41A5F" w14:textId="77777777" w:rsidR="006A3667" w:rsidRDefault="006A3667">
            <w:pPr>
              <w:rPr>
                <w:rFonts w:ascii="宋体"/>
              </w:rPr>
            </w:pPr>
          </w:p>
        </w:tc>
        <w:tc>
          <w:tcPr>
            <w:tcW w:w="0" w:type="auto"/>
            <w:shd w:val="clear" w:color="auto" w:fill="auto"/>
            <w:vAlign w:val="bottom"/>
          </w:tcPr>
          <w:p w14:paraId="71D41A60" w14:textId="77777777" w:rsidR="006A3667" w:rsidRDefault="006A3667">
            <w:pPr>
              <w:rPr>
                <w:rFonts w:ascii="宋体"/>
              </w:rPr>
            </w:pPr>
          </w:p>
        </w:tc>
        <w:tc>
          <w:tcPr>
            <w:tcW w:w="0" w:type="auto"/>
            <w:shd w:val="clear" w:color="auto" w:fill="auto"/>
            <w:vAlign w:val="bottom"/>
          </w:tcPr>
          <w:p w14:paraId="71D41A61" w14:textId="77777777" w:rsidR="006A3667" w:rsidRDefault="006A3667">
            <w:pPr>
              <w:rPr>
                <w:rFonts w:ascii="宋体"/>
              </w:rPr>
            </w:pPr>
          </w:p>
        </w:tc>
        <w:tc>
          <w:tcPr>
            <w:tcW w:w="0" w:type="auto"/>
            <w:shd w:val="clear" w:color="auto" w:fill="auto"/>
            <w:vAlign w:val="bottom"/>
          </w:tcPr>
          <w:p w14:paraId="71D41A62" w14:textId="77777777" w:rsidR="006A3667" w:rsidRDefault="006A3667">
            <w:pPr>
              <w:rPr>
                <w:rFonts w:ascii="宋体"/>
              </w:rPr>
            </w:pPr>
          </w:p>
        </w:tc>
        <w:tc>
          <w:tcPr>
            <w:tcW w:w="0" w:type="auto"/>
            <w:shd w:val="clear" w:color="auto" w:fill="auto"/>
            <w:vAlign w:val="bottom"/>
          </w:tcPr>
          <w:p w14:paraId="71D41A63" w14:textId="77777777" w:rsidR="006A3667" w:rsidRDefault="006A3667">
            <w:pPr>
              <w:rPr>
                <w:rFonts w:ascii="宋体"/>
              </w:rPr>
            </w:pPr>
          </w:p>
        </w:tc>
        <w:tc>
          <w:tcPr>
            <w:tcW w:w="0" w:type="auto"/>
            <w:shd w:val="clear" w:color="auto" w:fill="auto"/>
            <w:vAlign w:val="bottom"/>
          </w:tcPr>
          <w:p w14:paraId="71D41A64" w14:textId="77777777" w:rsidR="006A3667" w:rsidRDefault="006A3667">
            <w:pPr>
              <w:rPr>
                <w:rFonts w:ascii="宋体"/>
              </w:rPr>
            </w:pPr>
          </w:p>
        </w:tc>
        <w:tc>
          <w:tcPr>
            <w:tcW w:w="0" w:type="auto"/>
            <w:shd w:val="clear" w:color="auto" w:fill="auto"/>
            <w:vAlign w:val="bottom"/>
          </w:tcPr>
          <w:p w14:paraId="71D41A65" w14:textId="77777777" w:rsidR="006A3667" w:rsidRDefault="006A3667">
            <w:pPr>
              <w:rPr>
                <w:rFonts w:ascii="宋体"/>
              </w:rPr>
            </w:pPr>
          </w:p>
        </w:tc>
        <w:tc>
          <w:tcPr>
            <w:tcW w:w="0" w:type="auto"/>
            <w:shd w:val="clear" w:color="auto" w:fill="auto"/>
            <w:vAlign w:val="bottom"/>
          </w:tcPr>
          <w:p w14:paraId="71D41A66" w14:textId="77777777" w:rsidR="006A3667" w:rsidRDefault="006A3667">
            <w:pPr>
              <w:rPr>
                <w:rFonts w:ascii="宋体"/>
              </w:rPr>
            </w:pPr>
          </w:p>
        </w:tc>
        <w:tc>
          <w:tcPr>
            <w:tcW w:w="0" w:type="auto"/>
            <w:shd w:val="clear" w:color="auto" w:fill="auto"/>
            <w:vAlign w:val="bottom"/>
          </w:tcPr>
          <w:p w14:paraId="71D41A67" w14:textId="77777777" w:rsidR="006A3667" w:rsidRDefault="006A3667">
            <w:pPr>
              <w:rPr>
                <w:rFonts w:ascii="宋体"/>
              </w:rPr>
            </w:pPr>
          </w:p>
        </w:tc>
        <w:tc>
          <w:tcPr>
            <w:tcW w:w="0" w:type="auto"/>
            <w:shd w:val="clear" w:color="auto" w:fill="auto"/>
            <w:vAlign w:val="bottom"/>
          </w:tcPr>
          <w:p w14:paraId="71D41A68" w14:textId="77777777" w:rsidR="006A3667" w:rsidRDefault="006A3667">
            <w:pPr>
              <w:rPr>
                <w:rFonts w:ascii="宋体"/>
              </w:rPr>
            </w:pPr>
          </w:p>
        </w:tc>
        <w:tc>
          <w:tcPr>
            <w:tcW w:w="0" w:type="auto"/>
            <w:shd w:val="clear" w:color="auto" w:fill="auto"/>
            <w:vAlign w:val="bottom"/>
          </w:tcPr>
          <w:p w14:paraId="71D41A69" w14:textId="77777777" w:rsidR="006A3667" w:rsidRDefault="006A3667">
            <w:pPr>
              <w:rPr>
                <w:rFonts w:ascii="宋体"/>
              </w:rPr>
            </w:pPr>
          </w:p>
        </w:tc>
        <w:tc>
          <w:tcPr>
            <w:tcW w:w="0" w:type="auto"/>
            <w:shd w:val="clear" w:color="auto" w:fill="auto"/>
            <w:vAlign w:val="bottom"/>
          </w:tcPr>
          <w:p w14:paraId="71D41A6A" w14:textId="77777777" w:rsidR="006A3667" w:rsidRDefault="006A3667">
            <w:pPr>
              <w:rPr>
                <w:rFonts w:ascii="宋体"/>
              </w:rPr>
            </w:pPr>
          </w:p>
        </w:tc>
        <w:tc>
          <w:tcPr>
            <w:tcW w:w="0" w:type="auto"/>
            <w:shd w:val="clear" w:color="auto" w:fill="auto"/>
            <w:vAlign w:val="bottom"/>
          </w:tcPr>
          <w:p w14:paraId="71D41A6B" w14:textId="77777777" w:rsidR="006A3667" w:rsidRDefault="006A3667">
            <w:pPr>
              <w:rPr>
                <w:rFonts w:ascii="宋体"/>
              </w:rPr>
            </w:pPr>
          </w:p>
        </w:tc>
        <w:tc>
          <w:tcPr>
            <w:tcW w:w="0" w:type="auto"/>
            <w:shd w:val="clear" w:color="auto" w:fill="auto"/>
            <w:vAlign w:val="bottom"/>
          </w:tcPr>
          <w:p w14:paraId="71D41A6C" w14:textId="77777777" w:rsidR="006A3667" w:rsidRDefault="006A3667">
            <w:pPr>
              <w:rPr>
                <w:rFonts w:ascii="宋体"/>
              </w:rPr>
            </w:pPr>
          </w:p>
        </w:tc>
        <w:tc>
          <w:tcPr>
            <w:tcW w:w="0" w:type="auto"/>
            <w:shd w:val="clear" w:color="auto" w:fill="auto"/>
            <w:vAlign w:val="bottom"/>
          </w:tcPr>
          <w:p w14:paraId="71D41A6D" w14:textId="77777777" w:rsidR="006A3667" w:rsidRDefault="006A3667">
            <w:pPr>
              <w:rPr>
                <w:rFonts w:ascii="宋体"/>
              </w:rPr>
            </w:pPr>
          </w:p>
        </w:tc>
        <w:tc>
          <w:tcPr>
            <w:tcW w:w="0" w:type="auto"/>
            <w:shd w:val="clear" w:color="auto" w:fill="auto"/>
            <w:vAlign w:val="bottom"/>
          </w:tcPr>
          <w:p w14:paraId="71D41A6E" w14:textId="77777777" w:rsidR="006A3667" w:rsidRDefault="006A3667">
            <w:pPr>
              <w:rPr>
                <w:rFonts w:ascii="宋体"/>
              </w:rPr>
            </w:pPr>
          </w:p>
        </w:tc>
        <w:tc>
          <w:tcPr>
            <w:tcW w:w="0" w:type="auto"/>
            <w:shd w:val="clear" w:color="auto" w:fill="auto"/>
            <w:vAlign w:val="bottom"/>
          </w:tcPr>
          <w:p w14:paraId="71D41A6F" w14:textId="77777777" w:rsidR="006A3667" w:rsidRDefault="006A3667">
            <w:pPr>
              <w:rPr>
                <w:rFonts w:ascii="宋体"/>
              </w:rPr>
            </w:pPr>
          </w:p>
        </w:tc>
        <w:tc>
          <w:tcPr>
            <w:tcW w:w="0" w:type="auto"/>
            <w:shd w:val="clear" w:color="auto" w:fill="auto"/>
            <w:vAlign w:val="bottom"/>
          </w:tcPr>
          <w:p w14:paraId="71D41A70" w14:textId="77777777" w:rsidR="006A3667" w:rsidRDefault="006A3667">
            <w:pPr>
              <w:rPr>
                <w:rFonts w:ascii="宋体"/>
              </w:rPr>
            </w:pPr>
          </w:p>
        </w:tc>
        <w:tc>
          <w:tcPr>
            <w:tcW w:w="0" w:type="auto"/>
            <w:shd w:val="clear" w:color="auto" w:fill="auto"/>
            <w:vAlign w:val="bottom"/>
          </w:tcPr>
          <w:p w14:paraId="71D41A71" w14:textId="77777777" w:rsidR="006A3667" w:rsidRDefault="006A3667">
            <w:pPr>
              <w:rPr>
                <w:rFonts w:ascii="宋体"/>
              </w:rPr>
            </w:pPr>
          </w:p>
        </w:tc>
        <w:tc>
          <w:tcPr>
            <w:tcW w:w="0" w:type="auto"/>
            <w:shd w:val="clear" w:color="auto" w:fill="auto"/>
            <w:vAlign w:val="bottom"/>
          </w:tcPr>
          <w:p w14:paraId="71D41A72" w14:textId="77777777" w:rsidR="006A3667" w:rsidRDefault="006A3667">
            <w:pPr>
              <w:rPr>
                <w:rFonts w:ascii="宋体"/>
              </w:rPr>
            </w:pPr>
          </w:p>
        </w:tc>
        <w:tc>
          <w:tcPr>
            <w:tcW w:w="0" w:type="auto"/>
            <w:shd w:val="clear" w:color="auto" w:fill="auto"/>
            <w:vAlign w:val="bottom"/>
          </w:tcPr>
          <w:p w14:paraId="71D41A73" w14:textId="77777777" w:rsidR="006A3667" w:rsidRDefault="006A3667">
            <w:pPr>
              <w:rPr>
                <w:rFonts w:ascii="宋体"/>
              </w:rPr>
            </w:pPr>
          </w:p>
        </w:tc>
        <w:tc>
          <w:tcPr>
            <w:tcW w:w="0" w:type="auto"/>
            <w:shd w:val="clear" w:color="auto" w:fill="auto"/>
            <w:vAlign w:val="bottom"/>
          </w:tcPr>
          <w:p w14:paraId="71D41A74" w14:textId="77777777" w:rsidR="006A3667" w:rsidRDefault="006A3667">
            <w:pPr>
              <w:rPr>
                <w:rFonts w:ascii="宋体"/>
              </w:rPr>
            </w:pPr>
          </w:p>
        </w:tc>
        <w:tc>
          <w:tcPr>
            <w:tcW w:w="0" w:type="auto"/>
            <w:shd w:val="clear" w:color="auto" w:fill="auto"/>
            <w:vAlign w:val="bottom"/>
          </w:tcPr>
          <w:p w14:paraId="71D41A75" w14:textId="77777777" w:rsidR="006A3667" w:rsidRDefault="006A3667">
            <w:pPr>
              <w:rPr>
                <w:rFonts w:ascii="宋体"/>
              </w:rPr>
            </w:pPr>
          </w:p>
        </w:tc>
        <w:tc>
          <w:tcPr>
            <w:tcW w:w="0" w:type="auto"/>
            <w:shd w:val="clear" w:color="auto" w:fill="auto"/>
            <w:vAlign w:val="bottom"/>
          </w:tcPr>
          <w:p w14:paraId="71D41A76" w14:textId="77777777" w:rsidR="006A3667" w:rsidRDefault="006A3667">
            <w:pPr>
              <w:rPr>
                <w:rFonts w:ascii="宋体"/>
              </w:rPr>
            </w:pPr>
          </w:p>
        </w:tc>
        <w:tc>
          <w:tcPr>
            <w:tcW w:w="0" w:type="auto"/>
            <w:shd w:val="clear" w:color="auto" w:fill="auto"/>
            <w:vAlign w:val="bottom"/>
          </w:tcPr>
          <w:p w14:paraId="71D41A77" w14:textId="77777777" w:rsidR="006A3667" w:rsidRDefault="006A3667">
            <w:pPr>
              <w:rPr>
                <w:rFonts w:ascii="宋体"/>
              </w:rPr>
            </w:pPr>
          </w:p>
        </w:tc>
        <w:tc>
          <w:tcPr>
            <w:tcW w:w="0" w:type="auto"/>
            <w:shd w:val="clear" w:color="auto" w:fill="auto"/>
            <w:vAlign w:val="bottom"/>
          </w:tcPr>
          <w:p w14:paraId="71D41A78" w14:textId="77777777" w:rsidR="006A3667" w:rsidRDefault="006A3667">
            <w:pPr>
              <w:rPr>
                <w:rFonts w:ascii="宋体"/>
              </w:rPr>
            </w:pPr>
          </w:p>
        </w:tc>
        <w:tc>
          <w:tcPr>
            <w:tcW w:w="0" w:type="auto"/>
            <w:shd w:val="clear" w:color="auto" w:fill="auto"/>
            <w:vAlign w:val="bottom"/>
          </w:tcPr>
          <w:p w14:paraId="71D41A79" w14:textId="77777777" w:rsidR="006A3667" w:rsidRDefault="006A3667">
            <w:pPr>
              <w:rPr>
                <w:rFonts w:ascii="宋体"/>
              </w:rPr>
            </w:pPr>
          </w:p>
        </w:tc>
      </w:tr>
      <w:tr w:rsidR="006A3667" w14:paraId="71D41A97" w14:textId="77777777">
        <w:trPr>
          <w:hidden/>
        </w:trPr>
        <w:tc>
          <w:tcPr>
            <w:tcW w:w="0" w:type="auto"/>
            <w:gridSpan w:val="3"/>
            <w:shd w:val="clear" w:color="auto" w:fill="auto"/>
            <w:vAlign w:val="bottom"/>
          </w:tcPr>
          <w:p w14:paraId="71D41A7B" w14:textId="77777777" w:rsidR="006A3667" w:rsidRDefault="006A3667">
            <w:pPr>
              <w:rPr>
                <w:rFonts w:ascii="宋体"/>
                <w:vanish/>
              </w:rPr>
            </w:pPr>
          </w:p>
        </w:tc>
        <w:tc>
          <w:tcPr>
            <w:tcW w:w="0" w:type="auto"/>
            <w:gridSpan w:val="3"/>
            <w:shd w:val="clear" w:color="auto" w:fill="auto"/>
            <w:vAlign w:val="bottom"/>
          </w:tcPr>
          <w:p w14:paraId="71D41A7C" w14:textId="77777777" w:rsidR="006A3667" w:rsidRDefault="006A3667">
            <w:pPr>
              <w:rPr>
                <w:rFonts w:ascii="宋体"/>
                <w:vanish/>
              </w:rPr>
            </w:pPr>
          </w:p>
        </w:tc>
        <w:tc>
          <w:tcPr>
            <w:tcW w:w="0" w:type="auto"/>
            <w:gridSpan w:val="3"/>
            <w:shd w:val="clear" w:color="auto" w:fill="auto"/>
            <w:vAlign w:val="bottom"/>
          </w:tcPr>
          <w:p w14:paraId="71D41A7D" w14:textId="77777777" w:rsidR="006A3667" w:rsidRDefault="006A3667">
            <w:pPr>
              <w:rPr>
                <w:rFonts w:ascii="宋体"/>
                <w:vanish/>
              </w:rPr>
            </w:pPr>
          </w:p>
        </w:tc>
        <w:tc>
          <w:tcPr>
            <w:tcW w:w="0" w:type="auto"/>
            <w:gridSpan w:val="3"/>
            <w:shd w:val="clear" w:color="auto" w:fill="auto"/>
            <w:vAlign w:val="bottom"/>
          </w:tcPr>
          <w:p w14:paraId="71D41A7E" w14:textId="77777777" w:rsidR="006A3667" w:rsidRDefault="006A3667">
            <w:pPr>
              <w:rPr>
                <w:rFonts w:ascii="宋体"/>
                <w:vanish/>
              </w:rPr>
            </w:pPr>
          </w:p>
        </w:tc>
        <w:tc>
          <w:tcPr>
            <w:tcW w:w="0" w:type="auto"/>
            <w:shd w:val="clear" w:color="auto" w:fill="auto"/>
            <w:vAlign w:val="bottom"/>
          </w:tcPr>
          <w:p w14:paraId="71D41A7F" w14:textId="77777777" w:rsidR="006A3667" w:rsidRDefault="006A3667">
            <w:pPr>
              <w:rPr>
                <w:rFonts w:ascii="宋体"/>
              </w:rPr>
            </w:pPr>
          </w:p>
        </w:tc>
        <w:tc>
          <w:tcPr>
            <w:tcW w:w="0" w:type="auto"/>
            <w:shd w:val="clear" w:color="auto" w:fill="auto"/>
            <w:vAlign w:val="bottom"/>
          </w:tcPr>
          <w:p w14:paraId="71D41A80" w14:textId="77777777" w:rsidR="006A3667" w:rsidRDefault="006A3667">
            <w:pPr>
              <w:rPr>
                <w:rFonts w:ascii="宋体"/>
              </w:rPr>
            </w:pPr>
          </w:p>
        </w:tc>
        <w:tc>
          <w:tcPr>
            <w:tcW w:w="0" w:type="auto"/>
            <w:shd w:val="clear" w:color="auto" w:fill="auto"/>
            <w:vAlign w:val="bottom"/>
          </w:tcPr>
          <w:p w14:paraId="71D41A81" w14:textId="77777777" w:rsidR="006A3667" w:rsidRDefault="006A3667">
            <w:pPr>
              <w:rPr>
                <w:rFonts w:ascii="宋体"/>
              </w:rPr>
            </w:pPr>
          </w:p>
        </w:tc>
        <w:tc>
          <w:tcPr>
            <w:tcW w:w="0" w:type="auto"/>
            <w:shd w:val="clear" w:color="auto" w:fill="auto"/>
            <w:vAlign w:val="bottom"/>
          </w:tcPr>
          <w:p w14:paraId="71D41A82" w14:textId="77777777" w:rsidR="006A3667" w:rsidRDefault="006A3667">
            <w:pPr>
              <w:rPr>
                <w:rFonts w:ascii="宋体"/>
              </w:rPr>
            </w:pPr>
          </w:p>
        </w:tc>
        <w:tc>
          <w:tcPr>
            <w:tcW w:w="0" w:type="auto"/>
            <w:shd w:val="clear" w:color="auto" w:fill="auto"/>
            <w:vAlign w:val="bottom"/>
          </w:tcPr>
          <w:p w14:paraId="71D41A83" w14:textId="77777777" w:rsidR="006A3667" w:rsidRDefault="006A3667">
            <w:pPr>
              <w:rPr>
                <w:rFonts w:ascii="宋体"/>
              </w:rPr>
            </w:pPr>
          </w:p>
        </w:tc>
        <w:tc>
          <w:tcPr>
            <w:tcW w:w="0" w:type="auto"/>
            <w:shd w:val="clear" w:color="auto" w:fill="auto"/>
            <w:vAlign w:val="bottom"/>
          </w:tcPr>
          <w:p w14:paraId="71D41A84" w14:textId="77777777" w:rsidR="006A3667" w:rsidRDefault="006A3667">
            <w:pPr>
              <w:rPr>
                <w:rFonts w:ascii="宋体"/>
              </w:rPr>
            </w:pPr>
          </w:p>
        </w:tc>
        <w:tc>
          <w:tcPr>
            <w:tcW w:w="0" w:type="auto"/>
            <w:shd w:val="clear" w:color="auto" w:fill="auto"/>
            <w:vAlign w:val="bottom"/>
          </w:tcPr>
          <w:p w14:paraId="71D41A85" w14:textId="77777777" w:rsidR="006A3667" w:rsidRDefault="006A3667">
            <w:pPr>
              <w:rPr>
                <w:rFonts w:ascii="宋体"/>
              </w:rPr>
            </w:pPr>
          </w:p>
        </w:tc>
        <w:tc>
          <w:tcPr>
            <w:tcW w:w="0" w:type="auto"/>
            <w:shd w:val="clear" w:color="auto" w:fill="auto"/>
            <w:vAlign w:val="bottom"/>
          </w:tcPr>
          <w:p w14:paraId="71D41A86" w14:textId="77777777" w:rsidR="006A3667" w:rsidRDefault="006A3667">
            <w:pPr>
              <w:rPr>
                <w:rFonts w:ascii="宋体"/>
              </w:rPr>
            </w:pPr>
          </w:p>
        </w:tc>
        <w:tc>
          <w:tcPr>
            <w:tcW w:w="0" w:type="auto"/>
            <w:shd w:val="clear" w:color="auto" w:fill="auto"/>
            <w:vAlign w:val="bottom"/>
          </w:tcPr>
          <w:p w14:paraId="71D41A87" w14:textId="77777777" w:rsidR="006A3667" w:rsidRDefault="006A3667">
            <w:pPr>
              <w:rPr>
                <w:rFonts w:ascii="宋体"/>
              </w:rPr>
            </w:pPr>
          </w:p>
        </w:tc>
        <w:tc>
          <w:tcPr>
            <w:tcW w:w="0" w:type="auto"/>
            <w:shd w:val="clear" w:color="auto" w:fill="auto"/>
            <w:vAlign w:val="bottom"/>
          </w:tcPr>
          <w:p w14:paraId="71D41A88" w14:textId="77777777" w:rsidR="006A3667" w:rsidRDefault="006A3667">
            <w:pPr>
              <w:rPr>
                <w:rFonts w:ascii="宋体"/>
              </w:rPr>
            </w:pPr>
          </w:p>
        </w:tc>
        <w:tc>
          <w:tcPr>
            <w:tcW w:w="0" w:type="auto"/>
            <w:shd w:val="clear" w:color="auto" w:fill="auto"/>
            <w:vAlign w:val="bottom"/>
          </w:tcPr>
          <w:p w14:paraId="71D41A89" w14:textId="77777777" w:rsidR="006A3667" w:rsidRDefault="006A3667">
            <w:pPr>
              <w:rPr>
                <w:rFonts w:ascii="宋体"/>
              </w:rPr>
            </w:pPr>
          </w:p>
        </w:tc>
        <w:tc>
          <w:tcPr>
            <w:tcW w:w="0" w:type="auto"/>
            <w:shd w:val="clear" w:color="auto" w:fill="auto"/>
            <w:vAlign w:val="bottom"/>
          </w:tcPr>
          <w:p w14:paraId="71D41A8A" w14:textId="77777777" w:rsidR="006A3667" w:rsidRDefault="006A3667">
            <w:pPr>
              <w:rPr>
                <w:rFonts w:ascii="宋体"/>
              </w:rPr>
            </w:pPr>
          </w:p>
        </w:tc>
        <w:tc>
          <w:tcPr>
            <w:tcW w:w="0" w:type="auto"/>
            <w:shd w:val="clear" w:color="auto" w:fill="auto"/>
            <w:vAlign w:val="bottom"/>
          </w:tcPr>
          <w:p w14:paraId="71D41A8B" w14:textId="77777777" w:rsidR="006A3667" w:rsidRDefault="006A3667">
            <w:pPr>
              <w:rPr>
                <w:rFonts w:ascii="宋体"/>
              </w:rPr>
            </w:pPr>
          </w:p>
        </w:tc>
        <w:tc>
          <w:tcPr>
            <w:tcW w:w="0" w:type="auto"/>
            <w:shd w:val="clear" w:color="auto" w:fill="auto"/>
            <w:vAlign w:val="bottom"/>
          </w:tcPr>
          <w:p w14:paraId="71D41A8C" w14:textId="77777777" w:rsidR="006A3667" w:rsidRDefault="006A3667">
            <w:pPr>
              <w:rPr>
                <w:rFonts w:ascii="宋体"/>
              </w:rPr>
            </w:pPr>
          </w:p>
        </w:tc>
        <w:tc>
          <w:tcPr>
            <w:tcW w:w="0" w:type="auto"/>
            <w:shd w:val="clear" w:color="auto" w:fill="auto"/>
            <w:vAlign w:val="bottom"/>
          </w:tcPr>
          <w:p w14:paraId="71D41A8D" w14:textId="77777777" w:rsidR="006A3667" w:rsidRDefault="006A3667">
            <w:pPr>
              <w:rPr>
                <w:rFonts w:ascii="宋体"/>
              </w:rPr>
            </w:pPr>
          </w:p>
        </w:tc>
        <w:tc>
          <w:tcPr>
            <w:tcW w:w="0" w:type="auto"/>
            <w:shd w:val="clear" w:color="auto" w:fill="auto"/>
            <w:vAlign w:val="bottom"/>
          </w:tcPr>
          <w:p w14:paraId="71D41A8E" w14:textId="77777777" w:rsidR="006A3667" w:rsidRDefault="006A3667">
            <w:pPr>
              <w:rPr>
                <w:rFonts w:ascii="宋体"/>
              </w:rPr>
            </w:pPr>
          </w:p>
        </w:tc>
        <w:tc>
          <w:tcPr>
            <w:tcW w:w="0" w:type="auto"/>
            <w:shd w:val="clear" w:color="auto" w:fill="auto"/>
            <w:vAlign w:val="bottom"/>
          </w:tcPr>
          <w:p w14:paraId="71D41A8F" w14:textId="77777777" w:rsidR="006A3667" w:rsidRDefault="006A3667">
            <w:pPr>
              <w:rPr>
                <w:rFonts w:ascii="宋体"/>
              </w:rPr>
            </w:pPr>
          </w:p>
        </w:tc>
        <w:tc>
          <w:tcPr>
            <w:tcW w:w="0" w:type="auto"/>
            <w:shd w:val="clear" w:color="auto" w:fill="auto"/>
            <w:vAlign w:val="bottom"/>
          </w:tcPr>
          <w:p w14:paraId="71D41A90" w14:textId="77777777" w:rsidR="006A3667" w:rsidRDefault="006A3667">
            <w:pPr>
              <w:rPr>
                <w:rFonts w:ascii="宋体"/>
              </w:rPr>
            </w:pPr>
          </w:p>
        </w:tc>
        <w:tc>
          <w:tcPr>
            <w:tcW w:w="0" w:type="auto"/>
            <w:shd w:val="clear" w:color="auto" w:fill="auto"/>
            <w:vAlign w:val="bottom"/>
          </w:tcPr>
          <w:p w14:paraId="71D41A91" w14:textId="77777777" w:rsidR="006A3667" w:rsidRDefault="006A3667">
            <w:pPr>
              <w:rPr>
                <w:rFonts w:ascii="宋体"/>
              </w:rPr>
            </w:pPr>
          </w:p>
        </w:tc>
        <w:tc>
          <w:tcPr>
            <w:tcW w:w="0" w:type="auto"/>
            <w:shd w:val="clear" w:color="auto" w:fill="auto"/>
            <w:vAlign w:val="bottom"/>
          </w:tcPr>
          <w:p w14:paraId="71D41A92" w14:textId="77777777" w:rsidR="006A3667" w:rsidRDefault="006A3667">
            <w:pPr>
              <w:rPr>
                <w:rFonts w:ascii="宋体"/>
              </w:rPr>
            </w:pPr>
          </w:p>
        </w:tc>
        <w:tc>
          <w:tcPr>
            <w:tcW w:w="0" w:type="auto"/>
            <w:shd w:val="clear" w:color="auto" w:fill="auto"/>
            <w:vAlign w:val="bottom"/>
          </w:tcPr>
          <w:p w14:paraId="71D41A93" w14:textId="77777777" w:rsidR="006A3667" w:rsidRDefault="006A3667">
            <w:pPr>
              <w:rPr>
                <w:rFonts w:ascii="宋体"/>
              </w:rPr>
            </w:pPr>
          </w:p>
        </w:tc>
        <w:tc>
          <w:tcPr>
            <w:tcW w:w="0" w:type="auto"/>
            <w:shd w:val="clear" w:color="auto" w:fill="auto"/>
            <w:vAlign w:val="bottom"/>
          </w:tcPr>
          <w:p w14:paraId="71D41A94" w14:textId="77777777" w:rsidR="006A3667" w:rsidRDefault="006A3667">
            <w:pPr>
              <w:rPr>
                <w:rFonts w:ascii="宋体"/>
              </w:rPr>
            </w:pPr>
          </w:p>
        </w:tc>
        <w:tc>
          <w:tcPr>
            <w:tcW w:w="0" w:type="auto"/>
            <w:shd w:val="clear" w:color="auto" w:fill="auto"/>
            <w:vAlign w:val="bottom"/>
          </w:tcPr>
          <w:p w14:paraId="71D41A95" w14:textId="77777777" w:rsidR="006A3667" w:rsidRDefault="006A3667">
            <w:pPr>
              <w:rPr>
                <w:rFonts w:ascii="宋体"/>
              </w:rPr>
            </w:pPr>
          </w:p>
        </w:tc>
        <w:tc>
          <w:tcPr>
            <w:tcW w:w="0" w:type="auto"/>
            <w:shd w:val="clear" w:color="auto" w:fill="auto"/>
            <w:vAlign w:val="bottom"/>
          </w:tcPr>
          <w:p w14:paraId="71D41A96" w14:textId="77777777" w:rsidR="006A3667" w:rsidRDefault="006A3667">
            <w:pPr>
              <w:rPr>
                <w:rFonts w:ascii="宋体"/>
              </w:rPr>
            </w:pPr>
          </w:p>
        </w:tc>
      </w:tr>
      <w:tr w:rsidR="006A3667" w14:paraId="71D41AA4" w14:textId="77777777">
        <w:trPr>
          <w:hidden/>
        </w:trPr>
        <w:tc>
          <w:tcPr>
            <w:tcW w:w="0" w:type="auto"/>
            <w:gridSpan w:val="3"/>
            <w:shd w:val="clear" w:color="auto" w:fill="auto"/>
            <w:vAlign w:val="bottom"/>
          </w:tcPr>
          <w:p w14:paraId="71D41A98" w14:textId="77777777" w:rsidR="006A3667" w:rsidRDefault="006A3667">
            <w:pPr>
              <w:rPr>
                <w:rFonts w:ascii="宋体"/>
                <w:vanish/>
              </w:rPr>
            </w:pPr>
          </w:p>
        </w:tc>
        <w:tc>
          <w:tcPr>
            <w:tcW w:w="0" w:type="auto"/>
            <w:gridSpan w:val="3"/>
            <w:shd w:val="clear" w:color="auto" w:fill="auto"/>
            <w:vAlign w:val="bottom"/>
          </w:tcPr>
          <w:p w14:paraId="71D41A99" w14:textId="77777777" w:rsidR="006A3667" w:rsidRDefault="006A3667">
            <w:pPr>
              <w:rPr>
                <w:rFonts w:ascii="宋体"/>
                <w:vanish/>
              </w:rPr>
            </w:pPr>
          </w:p>
        </w:tc>
        <w:tc>
          <w:tcPr>
            <w:tcW w:w="0" w:type="auto"/>
            <w:gridSpan w:val="3"/>
            <w:shd w:val="clear" w:color="auto" w:fill="auto"/>
            <w:vAlign w:val="bottom"/>
          </w:tcPr>
          <w:p w14:paraId="71D41A9A" w14:textId="77777777" w:rsidR="006A3667" w:rsidRDefault="006A3667">
            <w:pPr>
              <w:rPr>
                <w:rFonts w:ascii="宋体"/>
                <w:vanish/>
              </w:rPr>
            </w:pPr>
          </w:p>
        </w:tc>
        <w:tc>
          <w:tcPr>
            <w:tcW w:w="0" w:type="auto"/>
            <w:gridSpan w:val="3"/>
            <w:shd w:val="clear" w:color="auto" w:fill="auto"/>
            <w:vAlign w:val="bottom"/>
          </w:tcPr>
          <w:p w14:paraId="71D41A9B" w14:textId="77777777" w:rsidR="006A3667" w:rsidRDefault="006A3667">
            <w:pPr>
              <w:rPr>
                <w:rFonts w:ascii="宋体"/>
                <w:vanish/>
              </w:rPr>
            </w:pPr>
          </w:p>
        </w:tc>
        <w:tc>
          <w:tcPr>
            <w:tcW w:w="0" w:type="auto"/>
            <w:gridSpan w:val="3"/>
            <w:shd w:val="clear" w:color="auto" w:fill="auto"/>
            <w:vAlign w:val="bottom"/>
          </w:tcPr>
          <w:p w14:paraId="71D41A9C" w14:textId="77777777" w:rsidR="006A3667" w:rsidRDefault="006A3667">
            <w:pPr>
              <w:rPr>
                <w:rFonts w:ascii="宋体"/>
                <w:vanish/>
              </w:rPr>
            </w:pPr>
          </w:p>
        </w:tc>
        <w:tc>
          <w:tcPr>
            <w:tcW w:w="0" w:type="auto"/>
            <w:gridSpan w:val="3"/>
            <w:shd w:val="clear" w:color="auto" w:fill="auto"/>
            <w:vAlign w:val="bottom"/>
          </w:tcPr>
          <w:p w14:paraId="71D41A9D" w14:textId="77777777" w:rsidR="006A3667" w:rsidRDefault="006A3667">
            <w:pPr>
              <w:rPr>
                <w:rFonts w:ascii="宋体"/>
                <w:vanish/>
              </w:rPr>
            </w:pPr>
          </w:p>
        </w:tc>
        <w:tc>
          <w:tcPr>
            <w:tcW w:w="0" w:type="auto"/>
            <w:gridSpan w:val="3"/>
            <w:shd w:val="clear" w:color="auto" w:fill="auto"/>
            <w:vAlign w:val="bottom"/>
          </w:tcPr>
          <w:p w14:paraId="71D41A9E" w14:textId="77777777" w:rsidR="006A3667" w:rsidRDefault="006A3667">
            <w:pPr>
              <w:rPr>
                <w:rFonts w:ascii="宋体"/>
                <w:vanish/>
              </w:rPr>
            </w:pPr>
          </w:p>
        </w:tc>
        <w:tc>
          <w:tcPr>
            <w:tcW w:w="0" w:type="auto"/>
            <w:gridSpan w:val="3"/>
            <w:shd w:val="clear" w:color="auto" w:fill="auto"/>
            <w:vAlign w:val="bottom"/>
          </w:tcPr>
          <w:p w14:paraId="71D41A9F" w14:textId="77777777" w:rsidR="006A3667" w:rsidRDefault="006A3667">
            <w:pPr>
              <w:rPr>
                <w:rFonts w:ascii="宋体"/>
                <w:vanish/>
              </w:rPr>
            </w:pPr>
          </w:p>
        </w:tc>
        <w:tc>
          <w:tcPr>
            <w:tcW w:w="0" w:type="auto"/>
            <w:gridSpan w:val="3"/>
            <w:shd w:val="clear" w:color="auto" w:fill="auto"/>
            <w:vAlign w:val="bottom"/>
          </w:tcPr>
          <w:p w14:paraId="71D41AA0" w14:textId="77777777" w:rsidR="006A3667" w:rsidRDefault="006A3667">
            <w:pPr>
              <w:rPr>
                <w:rFonts w:ascii="宋体"/>
                <w:vanish/>
              </w:rPr>
            </w:pPr>
          </w:p>
        </w:tc>
        <w:tc>
          <w:tcPr>
            <w:tcW w:w="0" w:type="auto"/>
            <w:gridSpan w:val="3"/>
            <w:shd w:val="clear" w:color="auto" w:fill="auto"/>
            <w:vAlign w:val="bottom"/>
          </w:tcPr>
          <w:p w14:paraId="71D41AA1" w14:textId="77777777" w:rsidR="006A3667" w:rsidRDefault="006A3667">
            <w:pPr>
              <w:rPr>
                <w:rFonts w:ascii="宋体"/>
                <w:vanish/>
              </w:rPr>
            </w:pPr>
          </w:p>
        </w:tc>
        <w:tc>
          <w:tcPr>
            <w:tcW w:w="0" w:type="auto"/>
            <w:gridSpan w:val="3"/>
            <w:shd w:val="clear" w:color="auto" w:fill="auto"/>
            <w:vAlign w:val="bottom"/>
          </w:tcPr>
          <w:p w14:paraId="71D41AA2" w14:textId="77777777" w:rsidR="006A3667" w:rsidRDefault="006A3667">
            <w:pPr>
              <w:rPr>
                <w:rFonts w:ascii="宋体"/>
                <w:vanish/>
              </w:rPr>
            </w:pPr>
          </w:p>
        </w:tc>
        <w:tc>
          <w:tcPr>
            <w:tcW w:w="0" w:type="auto"/>
            <w:gridSpan w:val="3"/>
            <w:shd w:val="clear" w:color="auto" w:fill="auto"/>
            <w:vAlign w:val="bottom"/>
          </w:tcPr>
          <w:p w14:paraId="71D41AA3" w14:textId="77777777" w:rsidR="006A3667" w:rsidRDefault="006A3667">
            <w:pPr>
              <w:rPr>
                <w:rFonts w:ascii="宋体"/>
                <w:vanish/>
              </w:rPr>
            </w:pPr>
          </w:p>
        </w:tc>
      </w:tr>
      <w:tr w:rsidR="006A3667" w14:paraId="71D41AB1" w14:textId="77777777">
        <w:trPr>
          <w:hidden/>
        </w:trPr>
        <w:tc>
          <w:tcPr>
            <w:tcW w:w="0" w:type="auto"/>
            <w:gridSpan w:val="3"/>
            <w:shd w:val="clear" w:color="auto" w:fill="auto"/>
            <w:vAlign w:val="bottom"/>
          </w:tcPr>
          <w:p w14:paraId="71D41AA5" w14:textId="77777777" w:rsidR="006A3667" w:rsidRDefault="006A3667">
            <w:pPr>
              <w:rPr>
                <w:rFonts w:ascii="宋体"/>
                <w:vanish/>
              </w:rPr>
            </w:pPr>
          </w:p>
        </w:tc>
        <w:tc>
          <w:tcPr>
            <w:tcW w:w="0" w:type="auto"/>
            <w:gridSpan w:val="3"/>
            <w:shd w:val="clear" w:color="auto" w:fill="auto"/>
            <w:vAlign w:val="bottom"/>
          </w:tcPr>
          <w:p w14:paraId="71D41AA6" w14:textId="77777777" w:rsidR="006A3667" w:rsidRDefault="006A3667">
            <w:pPr>
              <w:rPr>
                <w:rFonts w:ascii="宋体"/>
                <w:vanish/>
              </w:rPr>
            </w:pPr>
          </w:p>
        </w:tc>
        <w:tc>
          <w:tcPr>
            <w:tcW w:w="0" w:type="auto"/>
            <w:gridSpan w:val="3"/>
            <w:shd w:val="clear" w:color="auto" w:fill="auto"/>
            <w:vAlign w:val="bottom"/>
          </w:tcPr>
          <w:p w14:paraId="71D41AA7" w14:textId="77777777" w:rsidR="006A3667" w:rsidRDefault="006A3667">
            <w:pPr>
              <w:rPr>
                <w:rFonts w:ascii="宋体"/>
                <w:vanish/>
              </w:rPr>
            </w:pPr>
          </w:p>
        </w:tc>
        <w:tc>
          <w:tcPr>
            <w:tcW w:w="0" w:type="auto"/>
            <w:gridSpan w:val="3"/>
            <w:shd w:val="clear" w:color="auto" w:fill="auto"/>
            <w:vAlign w:val="bottom"/>
          </w:tcPr>
          <w:p w14:paraId="71D41AA8" w14:textId="77777777" w:rsidR="006A3667" w:rsidRDefault="006A3667">
            <w:pPr>
              <w:rPr>
                <w:rFonts w:ascii="宋体"/>
                <w:vanish/>
              </w:rPr>
            </w:pPr>
          </w:p>
        </w:tc>
        <w:tc>
          <w:tcPr>
            <w:tcW w:w="0" w:type="auto"/>
            <w:gridSpan w:val="3"/>
            <w:shd w:val="clear" w:color="auto" w:fill="auto"/>
            <w:vAlign w:val="bottom"/>
          </w:tcPr>
          <w:p w14:paraId="71D41AA9" w14:textId="77777777" w:rsidR="006A3667" w:rsidRDefault="006A3667">
            <w:pPr>
              <w:rPr>
                <w:rFonts w:ascii="宋体"/>
                <w:vanish/>
              </w:rPr>
            </w:pPr>
          </w:p>
        </w:tc>
        <w:tc>
          <w:tcPr>
            <w:tcW w:w="0" w:type="auto"/>
            <w:gridSpan w:val="3"/>
            <w:shd w:val="clear" w:color="auto" w:fill="auto"/>
            <w:vAlign w:val="bottom"/>
          </w:tcPr>
          <w:p w14:paraId="71D41AAA" w14:textId="77777777" w:rsidR="006A3667" w:rsidRDefault="006A3667">
            <w:pPr>
              <w:rPr>
                <w:rFonts w:ascii="宋体"/>
                <w:vanish/>
              </w:rPr>
            </w:pPr>
          </w:p>
        </w:tc>
        <w:tc>
          <w:tcPr>
            <w:tcW w:w="0" w:type="auto"/>
            <w:gridSpan w:val="3"/>
            <w:shd w:val="clear" w:color="auto" w:fill="auto"/>
            <w:vAlign w:val="bottom"/>
          </w:tcPr>
          <w:p w14:paraId="71D41AAB" w14:textId="77777777" w:rsidR="006A3667" w:rsidRDefault="006A3667">
            <w:pPr>
              <w:rPr>
                <w:rFonts w:ascii="宋体"/>
                <w:vanish/>
              </w:rPr>
            </w:pPr>
          </w:p>
        </w:tc>
        <w:tc>
          <w:tcPr>
            <w:tcW w:w="0" w:type="auto"/>
            <w:gridSpan w:val="3"/>
            <w:shd w:val="clear" w:color="auto" w:fill="auto"/>
            <w:vAlign w:val="bottom"/>
          </w:tcPr>
          <w:p w14:paraId="71D41AAC" w14:textId="77777777" w:rsidR="006A3667" w:rsidRDefault="006A3667">
            <w:pPr>
              <w:rPr>
                <w:rFonts w:ascii="宋体"/>
                <w:vanish/>
              </w:rPr>
            </w:pPr>
          </w:p>
        </w:tc>
        <w:tc>
          <w:tcPr>
            <w:tcW w:w="0" w:type="auto"/>
            <w:gridSpan w:val="3"/>
            <w:shd w:val="clear" w:color="auto" w:fill="auto"/>
            <w:vAlign w:val="bottom"/>
          </w:tcPr>
          <w:p w14:paraId="71D41AAD" w14:textId="77777777" w:rsidR="006A3667" w:rsidRDefault="006A3667">
            <w:pPr>
              <w:rPr>
                <w:rFonts w:ascii="宋体"/>
                <w:vanish/>
              </w:rPr>
            </w:pPr>
          </w:p>
        </w:tc>
        <w:tc>
          <w:tcPr>
            <w:tcW w:w="0" w:type="auto"/>
            <w:gridSpan w:val="3"/>
            <w:shd w:val="clear" w:color="auto" w:fill="auto"/>
            <w:vAlign w:val="bottom"/>
          </w:tcPr>
          <w:p w14:paraId="71D41AAE" w14:textId="77777777" w:rsidR="006A3667" w:rsidRDefault="006A3667">
            <w:pPr>
              <w:rPr>
                <w:rFonts w:ascii="宋体"/>
                <w:vanish/>
              </w:rPr>
            </w:pPr>
          </w:p>
        </w:tc>
        <w:tc>
          <w:tcPr>
            <w:tcW w:w="0" w:type="auto"/>
            <w:gridSpan w:val="3"/>
            <w:shd w:val="clear" w:color="auto" w:fill="auto"/>
            <w:vAlign w:val="bottom"/>
          </w:tcPr>
          <w:p w14:paraId="71D41AAF" w14:textId="77777777" w:rsidR="006A3667" w:rsidRDefault="006A3667">
            <w:pPr>
              <w:rPr>
                <w:rFonts w:ascii="宋体"/>
                <w:vanish/>
              </w:rPr>
            </w:pPr>
          </w:p>
        </w:tc>
        <w:tc>
          <w:tcPr>
            <w:tcW w:w="0" w:type="auto"/>
            <w:gridSpan w:val="3"/>
            <w:shd w:val="clear" w:color="auto" w:fill="auto"/>
            <w:vAlign w:val="bottom"/>
          </w:tcPr>
          <w:p w14:paraId="71D41AB0" w14:textId="77777777" w:rsidR="006A3667" w:rsidRDefault="006A3667">
            <w:pPr>
              <w:rPr>
                <w:rFonts w:ascii="宋体"/>
                <w:vanish/>
              </w:rPr>
            </w:pPr>
          </w:p>
        </w:tc>
      </w:tr>
      <w:tr w:rsidR="006A3667" w14:paraId="71D41ABE" w14:textId="77777777">
        <w:trPr>
          <w:hidden/>
        </w:trPr>
        <w:tc>
          <w:tcPr>
            <w:tcW w:w="0" w:type="auto"/>
            <w:gridSpan w:val="3"/>
            <w:shd w:val="clear" w:color="auto" w:fill="auto"/>
            <w:vAlign w:val="bottom"/>
          </w:tcPr>
          <w:p w14:paraId="71D41AB2" w14:textId="77777777" w:rsidR="006A3667" w:rsidRDefault="006A3667">
            <w:pPr>
              <w:rPr>
                <w:rFonts w:ascii="宋体"/>
                <w:vanish/>
              </w:rPr>
            </w:pPr>
          </w:p>
        </w:tc>
        <w:tc>
          <w:tcPr>
            <w:tcW w:w="0" w:type="auto"/>
            <w:gridSpan w:val="3"/>
            <w:shd w:val="clear" w:color="auto" w:fill="auto"/>
            <w:vAlign w:val="bottom"/>
          </w:tcPr>
          <w:p w14:paraId="71D41AB3" w14:textId="77777777" w:rsidR="006A3667" w:rsidRDefault="006A3667">
            <w:pPr>
              <w:rPr>
                <w:rFonts w:ascii="宋体"/>
                <w:vanish/>
              </w:rPr>
            </w:pPr>
          </w:p>
        </w:tc>
        <w:tc>
          <w:tcPr>
            <w:tcW w:w="0" w:type="auto"/>
            <w:gridSpan w:val="3"/>
            <w:shd w:val="clear" w:color="auto" w:fill="auto"/>
            <w:vAlign w:val="bottom"/>
          </w:tcPr>
          <w:p w14:paraId="71D41AB4" w14:textId="77777777" w:rsidR="006A3667" w:rsidRDefault="006A3667">
            <w:pPr>
              <w:rPr>
                <w:rFonts w:ascii="宋体"/>
                <w:vanish/>
              </w:rPr>
            </w:pPr>
          </w:p>
        </w:tc>
        <w:tc>
          <w:tcPr>
            <w:tcW w:w="0" w:type="auto"/>
            <w:gridSpan w:val="3"/>
            <w:shd w:val="clear" w:color="auto" w:fill="auto"/>
            <w:vAlign w:val="bottom"/>
          </w:tcPr>
          <w:p w14:paraId="71D41AB5" w14:textId="77777777" w:rsidR="006A3667" w:rsidRDefault="006A3667">
            <w:pPr>
              <w:rPr>
                <w:rFonts w:ascii="宋体"/>
                <w:vanish/>
              </w:rPr>
            </w:pPr>
          </w:p>
        </w:tc>
        <w:tc>
          <w:tcPr>
            <w:tcW w:w="0" w:type="auto"/>
            <w:gridSpan w:val="3"/>
            <w:shd w:val="clear" w:color="auto" w:fill="auto"/>
            <w:vAlign w:val="bottom"/>
          </w:tcPr>
          <w:p w14:paraId="71D41AB6" w14:textId="77777777" w:rsidR="006A3667" w:rsidRDefault="006A3667">
            <w:pPr>
              <w:rPr>
                <w:rFonts w:ascii="宋体"/>
                <w:vanish/>
              </w:rPr>
            </w:pPr>
          </w:p>
        </w:tc>
        <w:tc>
          <w:tcPr>
            <w:tcW w:w="0" w:type="auto"/>
            <w:gridSpan w:val="3"/>
            <w:shd w:val="clear" w:color="auto" w:fill="auto"/>
            <w:vAlign w:val="bottom"/>
          </w:tcPr>
          <w:p w14:paraId="71D41AB7" w14:textId="77777777" w:rsidR="006A3667" w:rsidRDefault="006A3667">
            <w:pPr>
              <w:rPr>
                <w:rFonts w:ascii="宋体"/>
                <w:vanish/>
              </w:rPr>
            </w:pPr>
          </w:p>
        </w:tc>
        <w:tc>
          <w:tcPr>
            <w:tcW w:w="0" w:type="auto"/>
            <w:gridSpan w:val="3"/>
            <w:shd w:val="clear" w:color="auto" w:fill="auto"/>
            <w:vAlign w:val="bottom"/>
          </w:tcPr>
          <w:p w14:paraId="71D41AB8" w14:textId="77777777" w:rsidR="006A3667" w:rsidRDefault="006A3667">
            <w:pPr>
              <w:rPr>
                <w:rFonts w:ascii="宋体"/>
                <w:vanish/>
              </w:rPr>
            </w:pPr>
          </w:p>
        </w:tc>
        <w:tc>
          <w:tcPr>
            <w:tcW w:w="0" w:type="auto"/>
            <w:gridSpan w:val="3"/>
            <w:shd w:val="clear" w:color="auto" w:fill="auto"/>
            <w:vAlign w:val="bottom"/>
          </w:tcPr>
          <w:p w14:paraId="71D41AB9" w14:textId="77777777" w:rsidR="006A3667" w:rsidRDefault="006A3667">
            <w:pPr>
              <w:rPr>
                <w:rFonts w:ascii="宋体"/>
                <w:vanish/>
              </w:rPr>
            </w:pPr>
          </w:p>
        </w:tc>
        <w:tc>
          <w:tcPr>
            <w:tcW w:w="0" w:type="auto"/>
            <w:gridSpan w:val="3"/>
            <w:shd w:val="clear" w:color="auto" w:fill="auto"/>
            <w:vAlign w:val="bottom"/>
          </w:tcPr>
          <w:p w14:paraId="71D41ABA" w14:textId="77777777" w:rsidR="006A3667" w:rsidRDefault="006A3667">
            <w:pPr>
              <w:rPr>
                <w:rFonts w:ascii="宋体"/>
                <w:vanish/>
              </w:rPr>
            </w:pPr>
          </w:p>
        </w:tc>
        <w:tc>
          <w:tcPr>
            <w:tcW w:w="0" w:type="auto"/>
            <w:gridSpan w:val="3"/>
            <w:shd w:val="clear" w:color="auto" w:fill="auto"/>
            <w:vAlign w:val="bottom"/>
          </w:tcPr>
          <w:p w14:paraId="71D41ABB" w14:textId="77777777" w:rsidR="006A3667" w:rsidRDefault="006A3667">
            <w:pPr>
              <w:rPr>
                <w:rFonts w:ascii="宋体"/>
                <w:vanish/>
              </w:rPr>
            </w:pPr>
          </w:p>
        </w:tc>
        <w:tc>
          <w:tcPr>
            <w:tcW w:w="0" w:type="auto"/>
            <w:gridSpan w:val="3"/>
            <w:shd w:val="clear" w:color="auto" w:fill="auto"/>
            <w:vAlign w:val="bottom"/>
          </w:tcPr>
          <w:p w14:paraId="71D41ABC" w14:textId="77777777" w:rsidR="006A3667" w:rsidRDefault="006A3667">
            <w:pPr>
              <w:rPr>
                <w:rFonts w:ascii="宋体"/>
                <w:vanish/>
              </w:rPr>
            </w:pPr>
          </w:p>
        </w:tc>
        <w:tc>
          <w:tcPr>
            <w:tcW w:w="0" w:type="auto"/>
            <w:gridSpan w:val="3"/>
            <w:shd w:val="clear" w:color="auto" w:fill="auto"/>
            <w:vAlign w:val="bottom"/>
          </w:tcPr>
          <w:p w14:paraId="71D41ABD" w14:textId="77777777" w:rsidR="006A3667" w:rsidRDefault="006A3667">
            <w:pPr>
              <w:rPr>
                <w:rFonts w:ascii="宋体"/>
                <w:vanish/>
              </w:rPr>
            </w:pPr>
          </w:p>
        </w:tc>
      </w:tr>
      <w:tr w:rsidR="006A3667" w14:paraId="71D41ACB" w14:textId="77777777">
        <w:trPr>
          <w:hidden/>
        </w:trPr>
        <w:tc>
          <w:tcPr>
            <w:tcW w:w="0" w:type="auto"/>
            <w:gridSpan w:val="3"/>
            <w:shd w:val="clear" w:color="auto" w:fill="auto"/>
            <w:vAlign w:val="bottom"/>
          </w:tcPr>
          <w:p w14:paraId="71D41ABF" w14:textId="77777777" w:rsidR="006A3667" w:rsidRDefault="006A3667">
            <w:pPr>
              <w:rPr>
                <w:rFonts w:ascii="宋体"/>
                <w:vanish/>
              </w:rPr>
            </w:pPr>
          </w:p>
        </w:tc>
        <w:tc>
          <w:tcPr>
            <w:tcW w:w="0" w:type="auto"/>
            <w:gridSpan w:val="3"/>
            <w:shd w:val="clear" w:color="auto" w:fill="auto"/>
            <w:vAlign w:val="bottom"/>
          </w:tcPr>
          <w:p w14:paraId="71D41AC0" w14:textId="77777777" w:rsidR="006A3667" w:rsidRDefault="006A3667">
            <w:pPr>
              <w:rPr>
                <w:rFonts w:ascii="宋体"/>
                <w:vanish/>
              </w:rPr>
            </w:pPr>
          </w:p>
        </w:tc>
        <w:tc>
          <w:tcPr>
            <w:tcW w:w="0" w:type="auto"/>
            <w:gridSpan w:val="3"/>
            <w:shd w:val="clear" w:color="auto" w:fill="auto"/>
            <w:vAlign w:val="bottom"/>
          </w:tcPr>
          <w:p w14:paraId="71D41AC1" w14:textId="77777777" w:rsidR="006A3667" w:rsidRDefault="006A3667">
            <w:pPr>
              <w:rPr>
                <w:rFonts w:ascii="宋体"/>
                <w:vanish/>
              </w:rPr>
            </w:pPr>
          </w:p>
        </w:tc>
        <w:tc>
          <w:tcPr>
            <w:tcW w:w="0" w:type="auto"/>
            <w:gridSpan w:val="3"/>
            <w:shd w:val="clear" w:color="auto" w:fill="auto"/>
            <w:vAlign w:val="bottom"/>
          </w:tcPr>
          <w:p w14:paraId="71D41AC2" w14:textId="77777777" w:rsidR="006A3667" w:rsidRDefault="006A3667">
            <w:pPr>
              <w:rPr>
                <w:rFonts w:ascii="宋体"/>
                <w:vanish/>
              </w:rPr>
            </w:pPr>
          </w:p>
        </w:tc>
        <w:tc>
          <w:tcPr>
            <w:tcW w:w="0" w:type="auto"/>
            <w:gridSpan w:val="3"/>
            <w:shd w:val="clear" w:color="auto" w:fill="auto"/>
            <w:vAlign w:val="bottom"/>
          </w:tcPr>
          <w:p w14:paraId="71D41AC3" w14:textId="77777777" w:rsidR="006A3667" w:rsidRDefault="006A3667">
            <w:pPr>
              <w:rPr>
                <w:rFonts w:ascii="宋体"/>
                <w:vanish/>
              </w:rPr>
            </w:pPr>
          </w:p>
        </w:tc>
        <w:tc>
          <w:tcPr>
            <w:tcW w:w="0" w:type="auto"/>
            <w:gridSpan w:val="3"/>
            <w:shd w:val="clear" w:color="auto" w:fill="auto"/>
            <w:vAlign w:val="bottom"/>
          </w:tcPr>
          <w:p w14:paraId="71D41AC4" w14:textId="77777777" w:rsidR="006A3667" w:rsidRDefault="006A3667">
            <w:pPr>
              <w:rPr>
                <w:rFonts w:ascii="宋体"/>
                <w:vanish/>
              </w:rPr>
            </w:pPr>
          </w:p>
        </w:tc>
        <w:tc>
          <w:tcPr>
            <w:tcW w:w="0" w:type="auto"/>
            <w:gridSpan w:val="3"/>
            <w:shd w:val="clear" w:color="auto" w:fill="auto"/>
            <w:vAlign w:val="bottom"/>
          </w:tcPr>
          <w:p w14:paraId="71D41AC5" w14:textId="77777777" w:rsidR="006A3667" w:rsidRDefault="006A3667">
            <w:pPr>
              <w:rPr>
                <w:rFonts w:ascii="宋体"/>
                <w:vanish/>
              </w:rPr>
            </w:pPr>
          </w:p>
        </w:tc>
        <w:tc>
          <w:tcPr>
            <w:tcW w:w="0" w:type="auto"/>
            <w:gridSpan w:val="3"/>
            <w:shd w:val="clear" w:color="auto" w:fill="auto"/>
            <w:vAlign w:val="bottom"/>
          </w:tcPr>
          <w:p w14:paraId="71D41AC6" w14:textId="77777777" w:rsidR="006A3667" w:rsidRDefault="006A3667">
            <w:pPr>
              <w:rPr>
                <w:rFonts w:ascii="宋体"/>
                <w:vanish/>
              </w:rPr>
            </w:pPr>
          </w:p>
        </w:tc>
        <w:tc>
          <w:tcPr>
            <w:tcW w:w="0" w:type="auto"/>
            <w:gridSpan w:val="3"/>
            <w:shd w:val="clear" w:color="auto" w:fill="auto"/>
            <w:vAlign w:val="bottom"/>
          </w:tcPr>
          <w:p w14:paraId="71D41AC7" w14:textId="77777777" w:rsidR="006A3667" w:rsidRDefault="006A3667">
            <w:pPr>
              <w:rPr>
                <w:rFonts w:ascii="宋体"/>
                <w:vanish/>
              </w:rPr>
            </w:pPr>
          </w:p>
        </w:tc>
        <w:tc>
          <w:tcPr>
            <w:tcW w:w="0" w:type="auto"/>
            <w:gridSpan w:val="3"/>
            <w:shd w:val="clear" w:color="auto" w:fill="auto"/>
            <w:vAlign w:val="bottom"/>
          </w:tcPr>
          <w:p w14:paraId="71D41AC8" w14:textId="77777777" w:rsidR="006A3667" w:rsidRDefault="006A3667">
            <w:pPr>
              <w:rPr>
                <w:rFonts w:ascii="宋体"/>
                <w:vanish/>
              </w:rPr>
            </w:pPr>
          </w:p>
        </w:tc>
        <w:tc>
          <w:tcPr>
            <w:tcW w:w="0" w:type="auto"/>
            <w:gridSpan w:val="3"/>
            <w:shd w:val="clear" w:color="auto" w:fill="auto"/>
            <w:vAlign w:val="bottom"/>
          </w:tcPr>
          <w:p w14:paraId="71D41AC9" w14:textId="77777777" w:rsidR="006A3667" w:rsidRDefault="006A3667">
            <w:pPr>
              <w:rPr>
                <w:rFonts w:ascii="宋体"/>
                <w:vanish/>
              </w:rPr>
            </w:pPr>
          </w:p>
        </w:tc>
        <w:tc>
          <w:tcPr>
            <w:tcW w:w="0" w:type="auto"/>
            <w:gridSpan w:val="3"/>
            <w:shd w:val="clear" w:color="auto" w:fill="auto"/>
            <w:vAlign w:val="bottom"/>
          </w:tcPr>
          <w:p w14:paraId="71D41ACA" w14:textId="77777777" w:rsidR="006A3667" w:rsidRDefault="006A3667">
            <w:pPr>
              <w:rPr>
                <w:rFonts w:ascii="宋体"/>
                <w:vanish/>
              </w:rPr>
            </w:pPr>
          </w:p>
        </w:tc>
      </w:tr>
      <w:tr w:rsidR="006A3667" w14:paraId="71D41AD8" w14:textId="77777777">
        <w:trPr>
          <w:hidden/>
        </w:trPr>
        <w:tc>
          <w:tcPr>
            <w:tcW w:w="0" w:type="auto"/>
            <w:gridSpan w:val="3"/>
            <w:shd w:val="clear" w:color="auto" w:fill="auto"/>
            <w:vAlign w:val="bottom"/>
          </w:tcPr>
          <w:p w14:paraId="71D41ACC" w14:textId="77777777" w:rsidR="006A3667" w:rsidRDefault="006A3667">
            <w:pPr>
              <w:rPr>
                <w:rFonts w:ascii="宋体"/>
                <w:vanish/>
              </w:rPr>
            </w:pPr>
          </w:p>
        </w:tc>
        <w:tc>
          <w:tcPr>
            <w:tcW w:w="0" w:type="auto"/>
            <w:gridSpan w:val="3"/>
            <w:shd w:val="clear" w:color="auto" w:fill="auto"/>
            <w:vAlign w:val="bottom"/>
          </w:tcPr>
          <w:p w14:paraId="71D41ACD" w14:textId="77777777" w:rsidR="006A3667" w:rsidRDefault="006A3667">
            <w:pPr>
              <w:rPr>
                <w:rFonts w:ascii="宋体"/>
                <w:vanish/>
              </w:rPr>
            </w:pPr>
          </w:p>
        </w:tc>
        <w:tc>
          <w:tcPr>
            <w:tcW w:w="0" w:type="auto"/>
            <w:gridSpan w:val="3"/>
            <w:shd w:val="clear" w:color="auto" w:fill="auto"/>
            <w:vAlign w:val="bottom"/>
          </w:tcPr>
          <w:p w14:paraId="71D41ACE" w14:textId="77777777" w:rsidR="006A3667" w:rsidRDefault="006A3667">
            <w:pPr>
              <w:rPr>
                <w:rFonts w:ascii="宋体"/>
                <w:vanish/>
              </w:rPr>
            </w:pPr>
          </w:p>
        </w:tc>
        <w:tc>
          <w:tcPr>
            <w:tcW w:w="0" w:type="auto"/>
            <w:gridSpan w:val="3"/>
            <w:shd w:val="clear" w:color="auto" w:fill="auto"/>
            <w:vAlign w:val="bottom"/>
          </w:tcPr>
          <w:p w14:paraId="71D41ACF" w14:textId="77777777" w:rsidR="006A3667" w:rsidRDefault="006A3667">
            <w:pPr>
              <w:rPr>
                <w:rFonts w:ascii="宋体"/>
                <w:vanish/>
              </w:rPr>
            </w:pPr>
          </w:p>
        </w:tc>
        <w:tc>
          <w:tcPr>
            <w:tcW w:w="0" w:type="auto"/>
            <w:gridSpan w:val="3"/>
            <w:shd w:val="clear" w:color="auto" w:fill="auto"/>
            <w:vAlign w:val="bottom"/>
          </w:tcPr>
          <w:p w14:paraId="71D41AD0" w14:textId="77777777" w:rsidR="006A3667" w:rsidRDefault="006A3667">
            <w:pPr>
              <w:rPr>
                <w:rFonts w:ascii="宋体"/>
                <w:vanish/>
              </w:rPr>
            </w:pPr>
          </w:p>
        </w:tc>
        <w:tc>
          <w:tcPr>
            <w:tcW w:w="0" w:type="auto"/>
            <w:gridSpan w:val="3"/>
            <w:shd w:val="clear" w:color="auto" w:fill="auto"/>
            <w:vAlign w:val="bottom"/>
          </w:tcPr>
          <w:p w14:paraId="71D41AD1" w14:textId="77777777" w:rsidR="006A3667" w:rsidRDefault="006A3667">
            <w:pPr>
              <w:rPr>
                <w:rFonts w:ascii="宋体"/>
                <w:vanish/>
              </w:rPr>
            </w:pPr>
          </w:p>
        </w:tc>
        <w:tc>
          <w:tcPr>
            <w:tcW w:w="0" w:type="auto"/>
            <w:gridSpan w:val="3"/>
            <w:shd w:val="clear" w:color="auto" w:fill="auto"/>
            <w:vAlign w:val="bottom"/>
          </w:tcPr>
          <w:p w14:paraId="71D41AD2" w14:textId="77777777" w:rsidR="006A3667" w:rsidRDefault="006A3667">
            <w:pPr>
              <w:rPr>
                <w:rFonts w:ascii="宋体"/>
                <w:vanish/>
              </w:rPr>
            </w:pPr>
          </w:p>
        </w:tc>
        <w:tc>
          <w:tcPr>
            <w:tcW w:w="0" w:type="auto"/>
            <w:gridSpan w:val="3"/>
            <w:shd w:val="clear" w:color="auto" w:fill="auto"/>
            <w:vAlign w:val="bottom"/>
          </w:tcPr>
          <w:p w14:paraId="71D41AD3" w14:textId="77777777" w:rsidR="006A3667" w:rsidRDefault="006A3667">
            <w:pPr>
              <w:rPr>
                <w:rFonts w:ascii="宋体"/>
                <w:vanish/>
              </w:rPr>
            </w:pPr>
          </w:p>
        </w:tc>
        <w:tc>
          <w:tcPr>
            <w:tcW w:w="0" w:type="auto"/>
            <w:gridSpan w:val="3"/>
            <w:shd w:val="clear" w:color="auto" w:fill="auto"/>
            <w:vAlign w:val="bottom"/>
          </w:tcPr>
          <w:p w14:paraId="71D41AD4" w14:textId="77777777" w:rsidR="006A3667" w:rsidRDefault="006A3667">
            <w:pPr>
              <w:rPr>
                <w:rFonts w:ascii="宋体"/>
                <w:vanish/>
              </w:rPr>
            </w:pPr>
          </w:p>
        </w:tc>
        <w:tc>
          <w:tcPr>
            <w:tcW w:w="0" w:type="auto"/>
            <w:gridSpan w:val="3"/>
            <w:shd w:val="clear" w:color="auto" w:fill="auto"/>
            <w:vAlign w:val="bottom"/>
          </w:tcPr>
          <w:p w14:paraId="71D41AD5" w14:textId="77777777" w:rsidR="006A3667" w:rsidRDefault="006A3667">
            <w:pPr>
              <w:rPr>
                <w:rFonts w:ascii="宋体"/>
                <w:vanish/>
              </w:rPr>
            </w:pPr>
          </w:p>
        </w:tc>
        <w:tc>
          <w:tcPr>
            <w:tcW w:w="0" w:type="auto"/>
            <w:gridSpan w:val="3"/>
            <w:shd w:val="clear" w:color="auto" w:fill="auto"/>
            <w:vAlign w:val="bottom"/>
          </w:tcPr>
          <w:p w14:paraId="71D41AD6" w14:textId="77777777" w:rsidR="006A3667" w:rsidRDefault="006A3667">
            <w:pPr>
              <w:rPr>
                <w:rFonts w:ascii="宋体"/>
                <w:vanish/>
              </w:rPr>
            </w:pPr>
          </w:p>
        </w:tc>
        <w:tc>
          <w:tcPr>
            <w:tcW w:w="0" w:type="auto"/>
            <w:gridSpan w:val="3"/>
            <w:shd w:val="clear" w:color="auto" w:fill="auto"/>
            <w:vAlign w:val="bottom"/>
          </w:tcPr>
          <w:p w14:paraId="71D41AD7" w14:textId="77777777" w:rsidR="006A3667" w:rsidRDefault="006A3667">
            <w:pPr>
              <w:rPr>
                <w:rFonts w:ascii="宋体"/>
                <w:vanish/>
              </w:rPr>
            </w:pPr>
          </w:p>
        </w:tc>
      </w:tr>
      <w:tr w:rsidR="006A3667" w14:paraId="71D41AE5" w14:textId="77777777">
        <w:trPr>
          <w:hidden/>
        </w:trPr>
        <w:tc>
          <w:tcPr>
            <w:tcW w:w="0" w:type="auto"/>
            <w:gridSpan w:val="3"/>
            <w:shd w:val="clear" w:color="auto" w:fill="auto"/>
            <w:vAlign w:val="bottom"/>
          </w:tcPr>
          <w:p w14:paraId="71D41AD9" w14:textId="77777777" w:rsidR="006A3667" w:rsidRDefault="006A3667">
            <w:pPr>
              <w:rPr>
                <w:rFonts w:ascii="宋体"/>
                <w:vanish/>
              </w:rPr>
            </w:pPr>
          </w:p>
        </w:tc>
        <w:tc>
          <w:tcPr>
            <w:tcW w:w="0" w:type="auto"/>
            <w:gridSpan w:val="3"/>
            <w:shd w:val="clear" w:color="auto" w:fill="auto"/>
            <w:vAlign w:val="bottom"/>
          </w:tcPr>
          <w:p w14:paraId="71D41ADA" w14:textId="77777777" w:rsidR="006A3667" w:rsidRDefault="006A3667">
            <w:pPr>
              <w:rPr>
                <w:rFonts w:ascii="宋体"/>
                <w:vanish/>
              </w:rPr>
            </w:pPr>
          </w:p>
        </w:tc>
        <w:tc>
          <w:tcPr>
            <w:tcW w:w="0" w:type="auto"/>
            <w:gridSpan w:val="3"/>
            <w:shd w:val="clear" w:color="auto" w:fill="auto"/>
            <w:vAlign w:val="bottom"/>
          </w:tcPr>
          <w:p w14:paraId="71D41ADB" w14:textId="77777777" w:rsidR="006A3667" w:rsidRDefault="006A3667">
            <w:pPr>
              <w:rPr>
                <w:rFonts w:ascii="宋体"/>
                <w:vanish/>
              </w:rPr>
            </w:pPr>
          </w:p>
        </w:tc>
        <w:tc>
          <w:tcPr>
            <w:tcW w:w="0" w:type="auto"/>
            <w:gridSpan w:val="3"/>
            <w:shd w:val="clear" w:color="auto" w:fill="auto"/>
            <w:vAlign w:val="bottom"/>
          </w:tcPr>
          <w:p w14:paraId="71D41ADC" w14:textId="77777777" w:rsidR="006A3667" w:rsidRDefault="006A3667">
            <w:pPr>
              <w:rPr>
                <w:rFonts w:ascii="宋体"/>
                <w:vanish/>
              </w:rPr>
            </w:pPr>
          </w:p>
        </w:tc>
        <w:tc>
          <w:tcPr>
            <w:tcW w:w="0" w:type="auto"/>
            <w:gridSpan w:val="3"/>
            <w:shd w:val="clear" w:color="auto" w:fill="auto"/>
            <w:vAlign w:val="bottom"/>
          </w:tcPr>
          <w:p w14:paraId="71D41ADD" w14:textId="77777777" w:rsidR="006A3667" w:rsidRDefault="006A3667">
            <w:pPr>
              <w:rPr>
                <w:rFonts w:ascii="宋体"/>
                <w:vanish/>
              </w:rPr>
            </w:pPr>
          </w:p>
        </w:tc>
        <w:tc>
          <w:tcPr>
            <w:tcW w:w="0" w:type="auto"/>
            <w:gridSpan w:val="3"/>
            <w:shd w:val="clear" w:color="auto" w:fill="auto"/>
            <w:vAlign w:val="bottom"/>
          </w:tcPr>
          <w:p w14:paraId="71D41ADE" w14:textId="77777777" w:rsidR="006A3667" w:rsidRDefault="006A3667">
            <w:pPr>
              <w:rPr>
                <w:rFonts w:ascii="宋体"/>
                <w:vanish/>
              </w:rPr>
            </w:pPr>
          </w:p>
        </w:tc>
        <w:tc>
          <w:tcPr>
            <w:tcW w:w="0" w:type="auto"/>
            <w:gridSpan w:val="3"/>
            <w:shd w:val="clear" w:color="auto" w:fill="auto"/>
            <w:vAlign w:val="bottom"/>
          </w:tcPr>
          <w:p w14:paraId="71D41ADF" w14:textId="77777777" w:rsidR="006A3667" w:rsidRDefault="006A3667">
            <w:pPr>
              <w:rPr>
                <w:rFonts w:ascii="宋体"/>
                <w:vanish/>
              </w:rPr>
            </w:pPr>
          </w:p>
        </w:tc>
        <w:tc>
          <w:tcPr>
            <w:tcW w:w="0" w:type="auto"/>
            <w:gridSpan w:val="3"/>
            <w:shd w:val="clear" w:color="auto" w:fill="auto"/>
            <w:vAlign w:val="bottom"/>
          </w:tcPr>
          <w:p w14:paraId="71D41AE0" w14:textId="77777777" w:rsidR="006A3667" w:rsidRDefault="006A3667">
            <w:pPr>
              <w:rPr>
                <w:rFonts w:ascii="宋体"/>
                <w:vanish/>
              </w:rPr>
            </w:pPr>
          </w:p>
        </w:tc>
        <w:tc>
          <w:tcPr>
            <w:tcW w:w="0" w:type="auto"/>
            <w:gridSpan w:val="3"/>
            <w:shd w:val="clear" w:color="auto" w:fill="auto"/>
            <w:vAlign w:val="bottom"/>
          </w:tcPr>
          <w:p w14:paraId="71D41AE1" w14:textId="77777777" w:rsidR="006A3667" w:rsidRDefault="006A3667">
            <w:pPr>
              <w:rPr>
                <w:rFonts w:ascii="宋体"/>
                <w:vanish/>
              </w:rPr>
            </w:pPr>
          </w:p>
        </w:tc>
        <w:tc>
          <w:tcPr>
            <w:tcW w:w="0" w:type="auto"/>
            <w:gridSpan w:val="3"/>
            <w:shd w:val="clear" w:color="auto" w:fill="auto"/>
            <w:vAlign w:val="bottom"/>
          </w:tcPr>
          <w:p w14:paraId="71D41AE2" w14:textId="77777777" w:rsidR="006A3667" w:rsidRDefault="006A3667">
            <w:pPr>
              <w:rPr>
                <w:rFonts w:ascii="宋体"/>
                <w:vanish/>
              </w:rPr>
            </w:pPr>
          </w:p>
        </w:tc>
        <w:tc>
          <w:tcPr>
            <w:tcW w:w="0" w:type="auto"/>
            <w:gridSpan w:val="3"/>
            <w:shd w:val="clear" w:color="auto" w:fill="auto"/>
            <w:vAlign w:val="bottom"/>
          </w:tcPr>
          <w:p w14:paraId="71D41AE3" w14:textId="77777777" w:rsidR="006A3667" w:rsidRDefault="006A3667">
            <w:pPr>
              <w:rPr>
                <w:rFonts w:ascii="宋体"/>
                <w:vanish/>
              </w:rPr>
            </w:pPr>
          </w:p>
        </w:tc>
        <w:tc>
          <w:tcPr>
            <w:tcW w:w="0" w:type="auto"/>
            <w:gridSpan w:val="3"/>
            <w:shd w:val="clear" w:color="auto" w:fill="auto"/>
            <w:vAlign w:val="bottom"/>
          </w:tcPr>
          <w:p w14:paraId="71D41AE4" w14:textId="77777777" w:rsidR="006A3667" w:rsidRDefault="006A3667">
            <w:pPr>
              <w:rPr>
                <w:rFonts w:ascii="宋体"/>
                <w:vanish/>
              </w:rPr>
            </w:pPr>
          </w:p>
        </w:tc>
      </w:tr>
      <w:tr w:rsidR="006A3667" w14:paraId="71D41AF2" w14:textId="77777777">
        <w:trPr>
          <w:hidden/>
        </w:trPr>
        <w:tc>
          <w:tcPr>
            <w:tcW w:w="0" w:type="auto"/>
            <w:gridSpan w:val="3"/>
            <w:shd w:val="clear" w:color="auto" w:fill="auto"/>
            <w:vAlign w:val="bottom"/>
          </w:tcPr>
          <w:p w14:paraId="71D41AE6" w14:textId="77777777" w:rsidR="006A3667" w:rsidRDefault="006A3667">
            <w:pPr>
              <w:rPr>
                <w:rFonts w:ascii="宋体"/>
                <w:vanish/>
              </w:rPr>
            </w:pPr>
          </w:p>
        </w:tc>
        <w:tc>
          <w:tcPr>
            <w:tcW w:w="0" w:type="auto"/>
            <w:gridSpan w:val="3"/>
            <w:shd w:val="clear" w:color="auto" w:fill="auto"/>
            <w:vAlign w:val="bottom"/>
          </w:tcPr>
          <w:p w14:paraId="71D41AE7" w14:textId="77777777" w:rsidR="006A3667" w:rsidRDefault="006A3667">
            <w:pPr>
              <w:rPr>
                <w:rFonts w:ascii="宋体"/>
                <w:vanish/>
              </w:rPr>
            </w:pPr>
          </w:p>
        </w:tc>
        <w:tc>
          <w:tcPr>
            <w:tcW w:w="0" w:type="auto"/>
            <w:gridSpan w:val="3"/>
            <w:shd w:val="clear" w:color="auto" w:fill="auto"/>
            <w:vAlign w:val="bottom"/>
          </w:tcPr>
          <w:p w14:paraId="71D41AE8" w14:textId="77777777" w:rsidR="006A3667" w:rsidRDefault="006A3667">
            <w:pPr>
              <w:rPr>
                <w:rFonts w:ascii="宋体"/>
                <w:vanish/>
              </w:rPr>
            </w:pPr>
          </w:p>
        </w:tc>
        <w:tc>
          <w:tcPr>
            <w:tcW w:w="0" w:type="auto"/>
            <w:gridSpan w:val="3"/>
            <w:shd w:val="clear" w:color="auto" w:fill="auto"/>
            <w:vAlign w:val="bottom"/>
          </w:tcPr>
          <w:p w14:paraId="71D41AE9" w14:textId="77777777" w:rsidR="006A3667" w:rsidRDefault="006A3667">
            <w:pPr>
              <w:rPr>
                <w:rFonts w:ascii="宋体"/>
                <w:vanish/>
              </w:rPr>
            </w:pPr>
          </w:p>
        </w:tc>
        <w:tc>
          <w:tcPr>
            <w:tcW w:w="0" w:type="auto"/>
            <w:gridSpan w:val="3"/>
            <w:shd w:val="clear" w:color="auto" w:fill="auto"/>
            <w:vAlign w:val="bottom"/>
          </w:tcPr>
          <w:p w14:paraId="71D41AEA" w14:textId="77777777" w:rsidR="006A3667" w:rsidRDefault="006A3667">
            <w:pPr>
              <w:rPr>
                <w:rFonts w:ascii="宋体"/>
                <w:vanish/>
              </w:rPr>
            </w:pPr>
          </w:p>
        </w:tc>
        <w:tc>
          <w:tcPr>
            <w:tcW w:w="0" w:type="auto"/>
            <w:gridSpan w:val="3"/>
            <w:shd w:val="clear" w:color="auto" w:fill="auto"/>
            <w:vAlign w:val="bottom"/>
          </w:tcPr>
          <w:p w14:paraId="71D41AEB" w14:textId="77777777" w:rsidR="006A3667" w:rsidRDefault="006A3667">
            <w:pPr>
              <w:rPr>
                <w:rFonts w:ascii="宋体"/>
                <w:vanish/>
              </w:rPr>
            </w:pPr>
          </w:p>
        </w:tc>
        <w:tc>
          <w:tcPr>
            <w:tcW w:w="0" w:type="auto"/>
            <w:gridSpan w:val="3"/>
            <w:shd w:val="clear" w:color="auto" w:fill="auto"/>
            <w:vAlign w:val="bottom"/>
          </w:tcPr>
          <w:p w14:paraId="71D41AEC" w14:textId="77777777" w:rsidR="006A3667" w:rsidRDefault="006A3667">
            <w:pPr>
              <w:rPr>
                <w:rFonts w:ascii="宋体"/>
                <w:vanish/>
              </w:rPr>
            </w:pPr>
          </w:p>
        </w:tc>
        <w:tc>
          <w:tcPr>
            <w:tcW w:w="0" w:type="auto"/>
            <w:gridSpan w:val="3"/>
            <w:shd w:val="clear" w:color="auto" w:fill="auto"/>
            <w:vAlign w:val="bottom"/>
          </w:tcPr>
          <w:p w14:paraId="71D41AED" w14:textId="77777777" w:rsidR="006A3667" w:rsidRDefault="006A3667">
            <w:pPr>
              <w:rPr>
                <w:rFonts w:ascii="宋体"/>
                <w:vanish/>
              </w:rPr>
            </w:pPr>
          </w:p>
        </w:tc>
        <w:tc>
          <w:tcPr>
            <w:tcW w:w="0" w:type="auto"/>
            <w:gridSpan w:val="3"/>
            <w:shd w:val="clear" w:color="auto" w:fill="auto"/>
            <w:vAlign w:val="bottom"/>
          </w:tcPr>
          <w:p w14:paraId="71D41AEE" w14:textId="77777777" w:rsidR="006A3667" w:rsidRDefault="006A3667">
            <w:pPr>
              <w:rPr>
                <w:rFonts w:ascii="宋体"/>
                <w:vanish/>
              </w:rPr>
            </w:pPr>
          </w:p>
        </w:tc>
        <w:tc>
          <w:tcPr>
            <w:tcW w:w="0" w:type="auto"/>
            <w:gridSpan w:val="3"/>
            <w:shd w:val="clear" w:color="auto" w:fill="auto"/>
            <w:vAlign w:val="bottom"/>
          </w:tcPr>
          <w:p w14:paraId="71D41AEF" w14:textId="77777777" w:rsidR="006A3667" w:rsidRDefault="006A3667">
            <w:pPr>
              <w:rPr>
                <w:rFonts w:ascii="宋体"/>
                <w:vanish/>
              </w:rPr>
            </w:pPr>
          </w:p>
        </w:tc>
        <w:tc>
          <w:tcPr>
            <w:tcW w:w="0" w:type="auto"/>
            <w:gridSpan w:val="3"/>
            <w:shd w:val="clear" w:color="auto" w:fill="auto"/>
            <w:vAlign w:val="bottom"/>
          </w:tcPr>
          <w:p w14:paraId="71D41AF0" w14:textId="77777777" w:rsidR="006A3667" w:rsidRDefault="006A3667">
            <w:pPr>
              <w:rPr>
                <w:rFonts w:ascii="宋体"/>
                <w:vanish/>
              </w:rPr>
            </w:pPr>
          </w:p>
        </w:tc>
        <w:tc>
          <w:tcPr>
            <w:tcW w:w="0" w:type="auto"/>
            <w:gridSpan w:val="3"/>
            <w:shd w:val="clear" w:color="auto" w:fill="auto"/>
            <w:vAlign w:val="bottom"/>
          </w:tcPr>
          <w:p w14:paraId="71D41AF1" w14:textId="77777777" w:rsidR="006A3667" w:rsidRDefault="006A3667">
            <w:pPr>
              <w:rPr>
                <w:rFonts w:ascii="宋体"/>
                <w:vanish/>
              </w:rPr>
            </w:pPr>
          </w:p>
        </w:tc>
      </w:tr>
      <w:tr w:rsidR="006A3667" w14:paraId="71D41AFF" w14:textId="77777777">
        <w:trPr>
          <w:hidden/>
        </w:trPr>
        <w:tc>
          <w:tcPr>
            <w:tcW w:w="0" w:type="auto"/>
            <w:gridSpan w:val="3"/>
            <w:shd w:val="clear" w:color="auto" w:fill="auto"/>
            <w:vAlign w:val="bottom"/>
          </w:tcPr>
          <w:p w14:paraId="71D41AF3" w14:textId="77777777" w:rsidR="006A3667" w:rsidRDefault="006A3667">
            <w:pPr>
              <w:rPr>
                <w:rFonts w:ascii="宋体"/>
                <w:vanish/>
              </w:rPr>
            </w:pPr>
          </w:p>
        </w:tc>
        <w:tc>
          <w:tcPr>
            <w:tcW w:w="0" w:type="auto"/>
            <w:gridSpan w:val="3"/>
            <w:shd w:val="clear" w:color="auto" w:fill="auto"/>
            <w:vAlign w:val="bottom"/>
          </w:tcPr>
          <w:p w14:paraId="71D41AF4" w14:textId="77777777" w:rsidR="006A3667" w:rsidRDefault="006A3667">
            <w:pPr>
              <w:rPr>
                <w:rFonts w:ascii="宋体"/>
                <w:vanish/>
              </w:rPr>
            </w:pPr>
          </w:p>
        </w:tc>
        <w:tc>
          <w:tcPr>
            <w:tcW w:w="0" w:type="auto"/>
            <w:gridSpan w:val="3"/>
            <w:shd w:val="clear" w:color="auto" w:fill="auto"/>
            <w:vAlign w:val="bottom"/>
          </w:tcPr>
          <w:p w14:paraId="71D41AF5" w14:textId="77777777" w:rsidR="006A3667" w:rsidRDefault="006A3667">
            <w:pPr>
              <w:rPr>
                <w:rFonts w:ascii="宋体"/>
                <w:vanish/>
              </w:rPr>
            </w:pPr>
          </w:p>
        </w:tc>
        <w:tc>
          <w:tcPr>
            <w:tcW w:w="0" w:type="auto"/>
            <w:gridSpan w:val="3"/>
            <w:shd w:val="clear" w:color="auto" w:fill="auto"/>
            <w:vAlign w:val="bottom"/>
          </w:tcPr>
          <w:p w14:paraId="71D41AF6" w14:textId="77777777" w:rsidR="006A3667" w:rsidRDefault="006A3667">
            <w:pPr>
              <w:rPr>
                <w:rFonts w:ascii="宋体"/>
                <w:vanish/>
              </w:rPr>
            </w:pPr>
          </w:p>
        </w:tc>
        <w:tc>
          <w:tcPr>
            <w:tcW w:w="0" w:type="auto"/>
            <w:gridSpan w:val="3"/>
            <w:shd w:val="clear" w:color="auto" w:fill="auto"/>
            <w:vAlign w:val="bottom"/>
          </w:tcPr>
          <w:p w14:paraId="71D41AF7" w14:textId="77777777" w:rsidR="006A3667" w:rsidRDefault="006A3667">
            <w:pPr>
              <w:rPr>
                <w:rFonts w:ascii="宋体"/>
                <w:vanish/>
              </w:rPr>
            </w:pPr>
          </w:p>
        </w:tc>
        <w:tc>
          <w:tcPr>
            <w:tcW w:w="0" w:type="auto"/>
            <w:gridSpan w:val="3"/>
            <w:shd w:val="clear" w:color="auto" w:fill="auto"/>
            <w:vAlign w:val="bottom"/>
          </w:tcPr>
          <w:p w14:paraId="71D41AF8" w14:textId="77777777" w:rsidR="006A3667" w:rsidRDefault="006A3667">
            <w:pPr>
              <w:rPr>
                <w:rFonts w:ascii="宋体"/>
                <w:vanish/>
              </w:rPr>
            </w:pPr>
          </w:p>
        </w:tc>
        <w:tc>
          <w:tcPr>
            <w:tcW w:w="0" w:type="auto"/>
            <w:gridSpan w:val="3"/>
            <w:shd w:val="clear" w:color="auto" w:fill="auto"/>
            <w:vAlign w:val="bottom"/>
          </w:tcPr>
          <w:p w14:paraId="71D41AF9" w14:textId="77777777" w:rsidR="006A3667" w:rsidRDefault="006A3667">
            <w:pPr>
              <w:rPr>
                <w:rFonts w:ascii="宋体"/>
                <w:vanish/>
              </w:rPr>
            </w:pPr>
          </w:p>
        </w:tc>
        <w:tc>
          <w:tcPr>
            <w:tcW w:w="0" w:type="auto"/>
            <w:gridSpan w:val="3"/>
            <w:shd w:val="clear" w:color="auto" w:fill="auto"/>
            <w:vAlign w:val="bottom"/>
          </w:tcPr>
          <w:p w14:paraId="71D41AFA" w14:textId="77777777" w:rsidR="006A3667" w:rsidRDefault="006A3667">
            <w:pPr>
              <w:rPr>
                <w:rFonts w:ascii="宋体"/>
                <w:vanish/>
              </w:rPr>
            </w:pPr>
          </w:p>
        </w:tc>
        <w:tc>
          <w:tcPr>
            <w:tcW w:w="0" w:type="auto"/>
            <w:gridSpan w:val="3"/>
            <w:shd w:val="clear" w:color="auto" w:fill="auto"/>
            <w:vAlign w:val="bottom"/>
          </w:tcPr>
          <w:p w14:paraId="71D41AFB" w14:textId="77777777" w:rsidR="006A3667" w:rsidRDefault="006A3667">
            <w:pPr>
              <w:rPr>
                <w:rFonts w:ascii="宋体"/>
                <w:vanish/>
              </w:rPr>
            </w:pPr>
          </w:p>
        </w:tc>
        <w:tc>
          <w:tcPr>
            <w:tcW w:w="0" w:type="auto"/>
            <w:gridSpan w:val="3"/>
            <w:shd w:val="clear" w:color="auto" w:fill="auto"/>
            <w:vAlign w:val="bottom"/>
          </w:tcPr>
          <w:p w14:paraId="71D41AFC" w14:textId="77777777" w:rsidR="006A3667" w:rsidRDefault="006A3667">
            <w:pPr>
              <w:rPr>
                <w:rFonts w:ascii="宋体"/>
                <w:vanish/>
              </w:rPr>
            </w:pPr>
          </w:p>
        </w:tc>
        <w:tc>
          <w:tcPr>
            <w:tcW w:w="0" w:type="auto"/>
            <w:gridSpan w:val="3"/>
            <w:shd w:val="clear" w:color="auto" w:fill="auto"/>
            <w:vAlign w:val="bottom"/>
          </w:tcPr>
          <w:p w14:paraId="71D41AFD" w14:textId="77777777" w:rsidR="006A3667" w:rsidRDefault="006A3667">
            <w:pPr>
              <w:rPr>
                <w:rFonts w:ascii="宋体"/>
                <w:vanish/>
              </w:rPr>
            </w:pPr>
          </w:p>
        </w:tc>
        <w:tc>
          <w:tcPr>
            <w:tcW w:w="0" w:type="auto"/>
            <w:gridSpan w:val="3"/>
            <w:shd w:val="clear" w:color="auto" w:fill="auto"/>
            <w:vAlign w:val="bottom"/>
          </w:tcPr>
          <w:p w14:paraId="71D41AFE" w14:textId="77777777" w:rsidR="006A3667" w:rsidRDefault="006A3667">
            <w:pPr>
              <w:rPr>
                <w:rFonts w:ascii="宋体"/>
                <w:vanish/>
              </w:rPr>
            </w:pPr>
          </w:p>
        </w:tc>
      </w:tr>
      <w:tr w:rsidR="006A3667" w14:paraId="71D41B0C" w14:textId="77777777">
        <w:trPr>
          <w:hidden/>
        </w:trPr>
        <w:tc>
          <w:tcPr>
            <w:tcW w:w="0" w:type="auto"/>
            <w:gridSpan w:val="3"/>
            <w:shd w:val="clear" w:color="auto" w:fill="auto"/>
            <w:vAlign w:val="bottom"/>
          </w:tcPr>
          <w:p w14:paraId="71D41B00" w14:textId="77777777" w:rsidR="006A3667" w:rsidRDefault="006A3667">
            <w:pPr>
              <w:rPr>
                <w:rFonts w:ascii="宋体"/>
                <w:vanish/>
              </w:rPr>
            </w:pPr>
          </w:p>
        </w:tc>
        <w:tc>
          <w:tcPr>
            <w:tcW w:w="0" w:type="auto"/>
            <w:gridSpan w:val="3"/>
            <w:shd w:val="clear" w:color="auto" w:fill="auto"/>
            <w:vAlign w:val="bottom"/>
          </w:tcPr>
          <w:p w14:paraId="71D41B01" w14:textId="77777777" w:rsidR="006A3667" w:rsidRDefault="006A3667">
            <w:pPr>
              <w:rPr>
                <w:rFonts w:ascii="宋体"/>
                <w:vanish/>
              </w:rPr>
            </w:pPr>
          </w:p>
        </w:tc>
        <w:tc>
          <w:tcPr>
            <w:tcW w:w="0" w:type="auto"/>
            <w:gridSpan w:val="3"/>
            <w:shd w:val="clear" w:color="auto" w:fill="auto"/>
            <w:vAlign w:val="bottom"/>
          </w:tcPr>
          <w:p w14:paraId="71D41B02" w14:textId="77777777" w:rsidR="006A3667" w:rsidRDefault="006A3667">
            <w:pPr>
              <w:rPr>
                <w:rFonts w:ascii="宋体"/>
                <w:vanish/>
              </w:rPr>
            </w:pPr>
          </w:p>
        </w:tc>
        <w:tc>
          <w:tcPr>
            <w:tcW w:w="0" w:type="auto"/>
            <w:gridSpan w:val="3"/>
            <w:shd w:val="clear" w:color="auto" w:fill="auto"/>
            <w:vAlign w:val="bottom"/>
          </w:tcPr>
          <w:p w14:paraId="71D41B03" w14:textId="77777777" w:rsidR="006A3667" w:rsidRDefault="006A3667">
            <w:pPr>
              <w:rPr>
                <w:rFonts w:ascii="宋体"/>
                <w:vanish/>
              </w:rPr>
            </w:pPr>
          </w:p>
        </w:tc>
        <w:tc>
          <w:tcPr>
            <w:tcW w:w="0" w:type="auto"/>
            <w:gridSpan w:val="3"/>
            <w:shd w:val="clear" w:color="auto" w:fill="auto"/>
            <w:vAlign w:val="bottom"/>
          </w:tcPr>
          <w:p w14:paraId="71D41B04" w14:textId="77777777" w:rsidR="006A3667" w:rsidRDefault="006A3667">
            <w:pPr>
              <w:rPr>
                <w:rFonts w:ascii="宋体"/>
                <w:vanish/>
              </w:rPr>
            </w:pPr>
          </w:p>
        </w:tc>
        <w:tc>
          <w:tcPr>
            <w:tcW w:w="0" w:type="auto"/>
            <w:gridSpan w:val="3"/>
            <w:shd w:val="clear" w:color="auto" w:fill="auto"/>
            <w:vAlign w:val="bottom"/>
          </w:tcPr>
          <w:p w14:paraId="71D41B05" w14:textId="77777777" w:rsidR="006A3667" w:rsidRDefault="006A3667">
            <w:pPr>
              <w:rPr>
                <w:rFonts w:ascii="宋体"/>
                <w:vanish/>
              </w:rPr>
            </w:pPr>
          </w:p>
        </w:tc>
        <w:tc>
          <w:tcPr>
            <w:tcW w:w="0" w:type="auto"/>
            <w:gridSpan w:val="3"/>
            <w:shd w:val="clear" w:color="auto" w:fill="auto"/>
            <w:vAlign w:val="bottom"/>
          </w:tcPr>
          <w:p w14:paraId="71D41B06" w14:textId="77777777" w:rsidR="006A3667" w:rsidRDefault="006A3667">
            <w:pPr>
              <w:rPr>
                <w:rFonts w:ascii="宋体"/>
                <w:vanish/>
              </w:rPr>
            </w:pPr>
          </w:p>
        </w:tc>
        <w:tc>
          <w:tcPr>
            <w:tcW w:w="0" w:type="auto"/>
            <w:gridSpan w:val="3"/>
            <w:shd w:val="clear" w:color="auto" w:fill="auto"/>
            <w:vAlign w:val="bottom"/>
          </w:tcPr>
          <w:p w14:paraId="71D41B07" w14:textId="77777777" w:rsidR="006A3667" w:rsidRDefault="006A3667">
            <w:pPr>
              <w:rPr>
                <w:rFonts w:ascii="宋体"/>
                <w:vanish/>
              </w:rPr>
            </w:pPr>
          </w:p>
        </w:tc>
        <w:tc>
          <w:tcPr>
            <w:tcW w:w="0" w:type="auto"/>
            <w:gridSpan w:val="3"/>
            <w:shd w:val="clear" w:color="auto" w:fill="auto"/>
            <w:vAlign w:val="bottom"/>
          </w:tcPr>
          <w:p w14:paraId="71D41B08" w14:textId="77777777" w:rsidR="006A3667" w:rsidRDefault="006A3667">
            <w:pPr>
              <w:rPr>
                <w:rFonts w:ascii="宋体"/>
                <w:vanish/>
              </w:rPr>
            </w:pPr>
          </w:p>
        </w:tc>
        <w:tc>
          <w:tcPr>
            <w:tcW w:w="0" w:type="auto"/>
            <w:gridSpan w:val="3"/>
            <w:shd w:val="clear" w:color="auto" w:fill="auto"/>
            <w:vAlign w:val="bottom"/>
          </w:tcPr>
          <w:p w14:paraId="71D41B09" w14:textId="77777777" w:rsidR="006A3667" w:rsidRDefault="006A3667">
            <w:pPr>
              <w:rPr>
                <w:rFonts w:ascii="宋体"/>
                <w:vanish/>
              </w:rPr>
            </w:pPr>
          </w:p>
        </w:tc>
        <w:tc>
          <w:tcPr>
            <w:tcW w:w="0" w:type="auto"/>
            <w:gridSpan w:val="3"/>
            <w:shd w:val="clear" w:color="auto" w:fill="auto"/>
            <w:vAlign w:val="bottom"/>
          </w:tcPr>
          <w:p w14:paraId="71D41B0A" w14:textId="77777777" w:rsidR="006A3667" w:rsidRDefault="006A3667">
            <w:pPr>
              <w:rPr>
                <w:rFonts w:ascii="宋体"/>
                <w:vanish/>
              </w:rPr>
            </w:pPr>
          </w:p>
        </w:tc>
        <w:tc>
          <w:tcPr>
            <w:tcW w:w="0" w:type="auto"/>
            <w:gridSpan w:val="3"/>
            <w:shd w:val="clear" w:color="auto" w:fill="auto"/>
            <w:vAlign w:val="bottom"/>
          </w:tcPr>
          <w:p w14:paraId="71D41B0B" w14:textId="77777777" w:rsidR="006A3667" w:rsidRDefault="006A3667">
            <w:pPr>
              <w:rPr>
                <w:rFonts w:ascii="宋体"/>
                <w:vanish/>
              </w:rPr>
            </w:pPr>
          </w:p>
        </w:tc>
      </w:tr>
      <w:tr w:rsidR="006A3667" w14:paraId="71D41B19" w14:textId="77777777">
        <w:trPr>
          <w:hidden/>
        </w:trPr>
        <w:tc>
          <w:tcPr>
            <w:tcW w:w="0" w:type="auto"/>
            <w:gridSpan w:val="3"/>
            <w:shd w:val="clear" w:color="auto" w:fill="auto"/>
            <w:vAlign w:val="bottom"/>
          </w:tcPr>
          <w:p w14:paraId="71D41B0D" w14:textId="77777777" w:rsidR="006A3667" w:rsidRDefault="006A3667">
            <w:pPr>
              <w:rPr>
                <w:rFonts w:ascii="宋体"/>
                <w:vanish/>
              </w:rPr>
            </w:pPr>
          </w:p>
        </w:tc>
        <w:tc>
          <w:tcPr>
            <w:tcW w:w="0" w:type="auto"/>
            <w:gridSpan w:val="3"/>
            <w:shd w:val="clear" w:color="auto" w:fill="auto"/>
            <w:vAlign w:val="bottom"/>
          </w:tcPr>
          <w:p w14:paraId="71D41B0E" w14:textId="77777777" w:rsidR="006A3667" w:rsidRDefault="006A3667">
            <w:pPr>
              <w:rPr>
                <w:rFonts w:ascii="宋体"/>
                <w:vanish/>
              </w:rPr>
            </w:pPr>
          </w:p>
        </w:tc>
        <w:tc>
          <w:tcPr>
            <w:tcW w:w="0" w:type="auto"/>
            <w:gridSpan w:val="3"/>
            <w:shd w:val="clear" w:color="auto" w:fill="auto"/>
            <w:vAlign w:val="bottom"/>
          </w:tcPr>
          <w:p w14:paraId="71D41B0F" w14:textId="77777777" w:rsidR="006A3667" w:rsidRDefault="006A3667">
            <w:pPr>
              <w:rPr>
                <w:rFonts w:ascii="宋体"/>
                <w:vanish/>
              </w:rPr>
            </w:pPr>
          </w:p>
        </w:tc>
        <w:tc>
          <w:tcPr>
            <w:tcW w:w="0" w:type="auto"/>
            <w:gridSpan w:val="3"/>
            <w:shd w:val="clear" w:color="auto" w:fill="auto"/>
            <w:vAlign w:val="bottom"/>
          </w:tcPr>
          <w:p w14:paraId="71D41B10" w14:textId="77777777" w:rsidR="006A3667" w:rsidRDefault="006A3667">
            <w:pPr>
              <w:rPr>
                <w:rFonts w:ascii="宋体"/>
                <w:vanish/>
              </w:rPr>
            </w:pPr>
          </w:p>
        </w:tc>
        <w:tc>
          <w:tcPr>
            <w:tcW w:w="0" w:type="auto"/>
            <w:gridSpan w:val="3"/>
            <w:shd w:val="clear" w:color="auto" w:fill="auto"/>
            <w:vAlign w:val="bottom"/>
          </w:tcPr>
          <w:p w14:paraId="71D41B11" w14:textId="77777777" w:rsidR="006A3667" w:rsidRDefault="006A3667">
            <w:pPr>
              <w:rPr>
                <w:rFonts w:ascii="宋体"/>
                <w:vanish/>
              </w:rPr>
            </w:pPr>
          </w:p>
        </w:tc>
        <w:tc>
          <w:tcPr>
            <w:tcW w:w="0" w:type="auto"/>
            <w:gridSpan w:val="3"/>
            <w:shd w:val="clear" w:color="auto" w:fill="auto"/>
            <w:vAlign w:val="bottom"/>
          </w:tcPr>
          <w:p w14:paraId="71D41B12" w14:textId="77777777" w:rsidR="006A3667" w:rsidRDefault="006A3667">
            <w:pPr>
              <w:rPr>
                <w:rFonts w:ascii="宋体"/>
                <w:vanish/>
              </w:rPr>
            </w:pPr>
          </w:p>
        </w:tc>
        <w:tc>
          <w:tcPr>
            <w:tcW w:w="0" w:type="auto"/>
            <w:gridSpan w:val="3"/>
            <w:shd w:val="clear" w:color="auto" w:fill="auto"/>
            <w:vAlign w:val="bottom"/>
          </w:tcPr>
          <w:p w14:paraId="71D41B13" w14:textId="77777777" w:rsidR="006A3667" w:rsidRDefault="006A3667">
            <w:pPr>
              <w:rPr>
                <w:rFonts w:ascii="宋体"/>
                <w:vanish/>
              </w:rPr>
            </w:pPr>
          </w:p>
        </w:tc>
        <w:tc>
          <w:tcPr>
            <w:tcW w:w="0" w:type="auto"/>
            <w:gridSpan w:val="3"/>
            <w:shd w:val="clear" w:color="auto" w:fill="auto"/>
            <w:vAlign w:val="bottom"/>
          </w:tcPr>
          <w:p w14:paraId="71D41B14" w14:textId="77777777" w:rsidR="006A3667" w:rsidRDefault="006A3667">
            <w:pPr>
              <w:rPr>
                <w:rFonts w:ascii="宋体"/>
                <w:vanish/>
              </w:rPr>
            </w:pPr>
          </w:p>
        </w:tc>
        <w:tc>
          <w:tcPr>
            <w:tcW w:w="0" w:type="auto"/>
            <w:gridSpan w:val="3"/>
            <w:shd w:val="clear" w:color="auto" w:fill="auto"/>
            <w:vAlign w:val="bottom"/>
          </w:tcPr>
          <w:p w14:paraId="71D41B15" w14:textId="77777777" w:rsidR="006A3667" w:rsidRDefault="006A3667">
            <w:pPr>
              <w:rPr>
                <w:rFonts w:ascii="宋体"/>
                <w:vanish/>
              </w:rPr>
            </w:pPr>
          </w:p>
        </w:tc>
        <w:tc>
          <w:tcPr>
            <w:tcW w:w="0" w:type="auto"/>
            <w:gridSpan w:val="3"/>
            <w:shd w:val="clear" w:color="auto" w:fill="auto"/>
            <w:vAlign w:val="bottom"/>
          </w:tcPr>
          <w:p w14:paraId="71D41B16" w14:textId="77777777" w:rsidR="006A3667" w:rsidRDefault="006A3667">
            <w:pPr>
              <w:rPr>
                <w:rFonts w:ascii="宋体"/>
                <w:vanish/>
              </w:rPr>
            </w:pPr>
          </w:p>
        </w:tc>
        <w:tc>
          <w:tcPr>
            <w:tcW w:w="0" w:type="auto"/>
            <w:gridSpan w:val="3"/>
            <w:shd w:val="clear" w:color="auto" w:fill="auto"/>
            <w:vAlign w:val="bottom"/>
          </w:tcPr>
          <w:p w14:paraId="71D41B17" w14:textId="77777777" w:rsidR="006A3667" w:rsidRDefault="006A3667">
            <w:pPr>
              <w:rPr>
                <w:rFonts w:ascii="宋体"/>
                <w:vanish/>
              </w:rPr>
            </w:pPr>
          </w:p>
        </w:tc>
        <w:tc>
          <w:tcPr>
            <w:tcW w:w="0" w:type="auto"/>
            <w:gridSpan w:val="3"/>
            <w:shd w:val="clear" w:color="auto" w:fill="auto"/>
            <w:vAlign w:val="bottom"/>
          </w:tcPr>
          <w:p w14:paraId="71D41B18" w14:textId="77777777" w:rsidR="006A3667" w:rsidRDefault="006A3667">
            <w:pPr>
              <w:rPr>
                <w:rFonts w:ascii="宋体"/>
                <w:vanish/>
              </w:rPr>
            </w:pPr>
          </w:p>
        </w:tc>
      </w:tr>
      <w:tr w:rsidR="006A3667" w14:paraId="71D41B3A" w14:textId="77777777">
        <w:trPr>
          <w:hidden/>
        </w:trPr>
        <w:tc>
          <w:tcPr>
            <w:tcW w:w="0" w:type="auto"/>
            <w:gridSpan w:val="3"/>
            <w:shd w:val="clear" w:color="auto" w:fill="auto"/>
            <w:vAlign w:val="bottom"/>
          </w:tcPr>
          <w:p w14:paraId="71D41B1A" w14:textId="77777777" w:rsidR="006A3667" w:rsidRDefault="006A3667">
            <w:pPr>
              <w:rPr>
                <w:rFonts w:ascii="宋体"/>
                <w:vanish/>
              </w:rPr>
            </w:pPr>
          </w:p>
        </w:tc>
        <w:tc>
          <w:tcPr>
            <w:tcW w:w="0" w:type="auto"/>
            <w:gridSpan w:val="3"/>
            <w:shd w:val="clear" w:color="auto" w:fill="auto"/>
            <w:vAlign w:val="bottom"/>
          </w:tcPr>
          <w:p w14:paraId="71D41B1B" w14:textId="77777777" w:rsidR="006A3667" w:rsidRDefault="006A3667">
            <w:pPr>
              <w:rPr>
                <w:rFonts w:ascii="宋体"/>
                <w:vanish/>
              </w:rPr>
            </w:pPr>
          </w:p>
        </w:tc>
        <w:tc>
          <w:tcPr>
            <w:tcW w:w="0" w:type="auto"/>
            <w:shd w:val="clear" w:color="auto" w:fill="auto"/>
            <w:vAlign w:val="bottom"/>
          </w:tcPr>
          <w:p w14:paraId="71D41B1C" w14:textId="77777777" w:rsidR="006A3667" w:rsidRDefault="006A3667">
            <w:pPr>
              <w:rPr>
                <w:rFonts w:ascii="宋体"/>
              </w:rPr>
            </w:pPr>
          </w:p>
        </w:tc>
        <w:tc>
          <w:tcPr>
            <w:tcW w:w="0" w:type="auto"/>
            <w:shd w:val="clear" w:color="auto" w:fill="auto"/>
            <w:vAlign w:val="bottom"/>
          </w:tcPr>
          <w:p w14:paraId="71D41B1D" w14:textId="77777777" w:rsidR="006A3667" w:rsidRDefault="006A3667">
            <w:pPr>
              <w:rPr>
                <w:rFonts w:ascii="宋体"/>
              </w:rPr>
            </w:pPr>
          </w:p>
        </w:tc>
        <w:tc>
          <w:tcPr>
            <w:tcW w:w="0" w:type="auto"/>
            <w:shd w:val="clear" w:color="auto" w:fill="auto"/>
            <w:vAlign w:val="bottom"/>
          </w:tcPr>
          <w:p w14:paraId="71D41B1E" w14:textId="77777777" w:rsidR="006A3667" w:rsidRDefault="006A3667">
            <w:pPr>
              <w:rPr>
                <w:rFonts w:ascii="宋体"/>
              </w:rPr>
            </w:pPr>
          </w:p>
        </w:tc>
        <w:tc>
          <w:tcPr>
            <w:tcW w:w="0" w:type="auto"/>
            <w:shd w:val="clear" w:color="auto" w:fill="auto"/>
            <w:vAlign w:val="bottom"/>
          </w:tcPr>
          <w:p w14:paraId="71D41B1F" w14:textId="77777777" w:rsidR="006A3667" w:rsidRDefault="006A3667">
            <w:pPr>
              <w:rPr>
                <w:rFonts w:ascii="宋体"/>
              </w:rPr>
            </w:pPr>
          </w:p>
        </w:tc>
        <w:tc>
          <w:tcPr>
            <w:tcW w:w="0" w:type="auto"/>
            <w:shd w:val="clear" w:color="auto" w:fill="auto"/>
            <w:vAlign w:val="bottom"/>
          </w:tcPr>
          <w:p w14:paraId="71D41B20" w14:textId="77777777" w:rsidR="006A3667" w:rsidRDefault="006A3667">
            <w:pPr>
              <w:rPr>
                <w:rFonts w:ascii="宋体"/>
              </w:rPr>
            </w:pPr>
          </w:p>
        </w:tc>
        <w:tc>
          <w:tcPr>
            <w:tcW w:w="0" w:type="auto"/>
            <w:shd w:val="clear" w:color="auto" w:fill="auto"/>
            <w:vAlign w:val="bottom"/>
          </w:tcPr>
          <w:p w14:paraId="71D41B21" w14:textId="77777777" w:rsidR="006A3667" w:rsidRDefault="006A3667">
            <w:pPr>
              <w:rPr>
                <w:rFonts w:ascii="宋体"/>
              </w:rPr>
            </w:pPr>
          </w:p>
        </w:tc>
        <w:tc>
          <w:tcPr>
            <w:tcW w:w="0" w:type="auto"/>
            <w:shd w:val="clear" w:color="auto" w:fill="auto"/>
            <w:vAlign w:val="bottom"/>
          </w:tcPr>
          <w:p w14:paraId="71D41B22" w14:textId="77777777" w:rsidR="006A3667" w:rsidRDefault="006A3667">
            <w:pPr>
              <w:rPr>
                <w:rFonts w:ascii="宋体"/>
              </w:rPr>
            </w:pPr>
          </w:p>
        </w:tc>
        <w:tc>
          <w:tcPr>
            <w:tcW w:w="0" w:type="auto"/>
            <w:shd w:val="clear" w:color="auto" w:fill="auto"/>
            <w:vAlign w:val="bottom"/>
          </w:tcPr>
          <w:p w14:paraId="71D41B23" w14:textId="77777777" w:rsidR="006A3667" w:rsidRDefault="006A3667">
            <w:pPr>
              <w:rPr>
                <w:rFonts w:ascii="宋体"/>
              </w:rPr>
            </w:pPr>
          </w:p>
        </w:tc>
        <w:tc>
          <w:tcPr>
            <w:tcW w:w="0" w:type="auto"/>
            <w:shd w:val="clear" w:color="auto" w:fill="auto"/>
            <w:vAlign w:val="bottom"/>
          </w:tcPr>
          <w:p w14:paraId="71D41B24" w14:textId="77777777" w:rsidR="006A3667" w:rsidRDefault="006A3667">
            <w:pPr>
              <w:rPr>
                <w:rFonts w:ascii="宋体"/>
              </w:rPr>
            </w:pPr>
          </w:p>
        </w:tc>
        <w:tc>
          <w:tcPr>
            <w:tcW w:w="0" w:type="auto"/>
            <w:shd w:val="clear" w:color="auto" w:fill="auto"/>
            <w:vAlign w:val="bottom"/>
          </w:tcPr>
          <w:p w14:paraId="71D41B25" w14:textId="77777777" w:rsidR="006A3667" w:rsidRDefault="006A3667">
            <w:pPr>
              <w:rPr>
                <w:rFonts w:ascii="宋体"/>
              </w:rPr>
            </w:pPr>
          </w:p>
        </w:tc>
        <w:tc>
          <w:tcPr>
            <w:tcW w:w="0" w:type="auto"/>
            <w:shd w:val="clear" w:color="auto" w:fill="auto"/>
            <w:vAlign w:val="bottom"/>
          </w:tcPr>
          <w:p w14:paraId="71D41B26" w14:textId="77777777" w:rsidR="006A3667" w:rsidRDefault="006A3667">
            <w:pPr>
              <w:rPr>
                <w:rFonts w:ascii="宋体"/>
              </w:rPr>
            </w:pPr>
          </w:p>
        </w:tc>
        <w:tc>
          <w:tcPr>
            <w:tcW w:w="0" w:type="auto"/>
            <w:shd w:val="clear" w:color="auto" w:fill="auto"/>
            <w:vAlign w:val="bottom"/>
          </w:tcPr>
          <w:p w14:paraId="71D41B27" w14:textId="77777777" w:rsidR="006A3667" w:rsidRDefault="006A3667">
            <w:pPr>
              <w:rPr>
                <w:rFonts w:ascii="宋体"/>
              </w:rPr>
            </w:pPr>
          </w:p>
        </w:tc>
        <w:tc>
          <w:tcPr>
            <w:tcW w:w="0" w:type="auto"/>
            <w:shd w:val="clear" w:color="auto" w:fill="auto"/>
            <w:vAlign w:val="bottom"/>
          </w:tcPr>
          <w:p w14:paraId="71D41B28" w14:textId="77777777" w:rsidR="006A3667" w:rsidRDefault="006A3667">
            <w:pPr>
              <w:rPr>
                <w:rFonts w:ascii="宋体"/>
              </w:rPr>
            </w:pPr>
          </w:p>
        </w:tc>
        <w:tc>
          <w:tcPr>
            <w:tcW w:w="0" w:type="auto"/>
            <w:shd w:val="clear" w:color="auto" w:fill="auto"/>
            <w:vAlign w:val="bottom"/>
          </w:tcPr>
          <w:p w14:paraId="71D41B29" w14:textId="77777777" w:rsidR="006A3667" w:rsidRDefault="006A3667">
            <w:pPr>
              <w:rPr>
                <w:rFonts w:ascii="宋体"/>
              </w:rPr>
            </w:pPr>
          </w:p>
        </w:tc>
        <w:tc>
          <w:tcPr>
            <w:tcW w:w="0" w:type="auto"/>
            <w:shd w:val="clear" w:color="auto" w:fill="auto"/>
            <w:vAlign w:val="bottom"/>
          </w:tcPr>
          <w:p w14:paraId="71D41B2A" w14:textId="77777777" w:rsidR="006A3667" w:rsidRDefault="006A3667">
            <w:pPr>
              <w:rPr>
                <w:rFonts w:ascii="宋体"/>
              </w:rPr>
            </w:pPr>
          </w:p>
        </w:tc>
        <w:tc>
          <w:tcPr>
            <w:tcW w:w="0" w:type="auto"/>
            <w:shd w:val="clear" w:color="auto" w:fill="auto"/>
            <w:vAlign w:val="bottom"/>
          </w:tcPr>
          <w:p w14:paraId="71D41B2B" w14:textId="77777777" w:rsidR="006A3667" w:rsidRDefault="006A3667">
            <w:pPr>
              <w:rPr>
                <w:rFonts w:ascii="宋体"/>
              </w:rPr>
            </w:pPr>
          </w:p>
        </w:tc>
        <w:tc>
          <w:tcPr>
            <w:tcW w:w="0" w:type="auto"/>
            <w:shd w:val="clear" w:color="auto" w:fill="auto"/>
            <w:vAlign w:val="bottom"/>
          </w:tcPr>
          <w:p w14:paraId="71D41B2C" w14:textId="77777777" w:rsidR="006A3667" w:rsidRDefault="006A3667">
            <w:pPr>
              <w:rPr>
                <w:rFonts w:ascii="宋体"/>
              </w:rPr>
            </w:pPr>
          </w:p>
        </w:tc>
        <w:tc>
          <w:tcPr>
            <w:tcW w:w="0" w:type="auto"/>
            <w:shd w:val="clear" w:color="auto" w:fill="auto"/>
            <w:vAlign w:val="bottom"/>
          </w:tcPr>
          <w:p w14:paraId="71D41B2D" w14:textId="77777777" w:rsidR="006A3667" w:rsidRDefault="006A3667">
            <w:pPr>
              <w:rPr>
                <w:rFonts w:ascii="宋体"/>
              </w:rPr>
            </w:pPr>
          </w:p>
        </w:tc>
        <w:tc>
          <w:tcPr>
            <w:tcW w:w="0" w:type="auto"/>
            <w:shd w:val="clear" w:color="auto" w:fill="auto"/>
            <w:vAlign w:val="bottom"/>
          </w:tcPr>
          <w:p w14:paraId="71D41B2E" w14:textId="77777777" w:rsidR="006A3667" w:rsidRDefault="006A3667">
            <w:pPr>
              <w:rPr>
                <w:rFonts w:ascii="宋体"/>
              </w:rPr>
            </w:pPr>
          </w:p>
        </w:tc>
        <w:tc>
          <w:tcPr>
            <w:tcW w:w="0" w:type="auto"/>
            <w:shd w:val="clear" w:color="auto" w:fill="auto"/>
            <w:vAlign w:val="bottom"/>
          </w:tcPr>
          <w:p w14:paraId="71D41B2F" w14:textId="77777777" w:rsidR="006A3667" w:rsidRDefault="006A3667">
            <w:pPr>
              <w:rPr>
                <w:rFonts w:ascii="宋体"/>
              </w:rPr>
            </w:pPr>
          </w:p>
        </w:tc>
        <w:tc>
          <w:tcPr>
            <w:tcW w:w="0" w:type="auto"/>
            <w:shd w:val="clear" w:color="auto" w:fill="auto"/>
            <w:vAlign w:val="bottom"/>
          </w:tcPr>
          <w:p w14:paraId="71D41B30" w14:textId="77777777" w:rsidR="006A3667" w:rsidRDefault="006A3667">
            <w:pPr>
              <w:rPr>
                <w:rFonts w:ascii="宋体"/>
              </w:rPr>
            </w:pPr>
          </w:p>
        </w:tc>
        <w:tc>
          <w:tcPr>
            <w:tcW w:w="0" w:type="auto"/>
            <w:shd w:val="clear" w:color="auto" w:fill="auto"/>
            <w:vAlign w:val="bottom"/>
          </w:tcPr>
          <w:p w14:paraId="71D41B31" w14:textId="77777777" w:rsidR="006A3667" w:rsidRDefault="006A3667">
            <w:pPr>
              <w:rPr>
                <w:rFonts w:ascii="宋体"/>
              </w:rPr>
            </w:pPr>
          </w:p>
        </w:tc>
        <w:tc>
          <w:tcPr>
            <w:tcW w:w="0" w:type="auto"/>
            <w:shd w:val="clear" w:color="auto" w:fill="auto"/>
            <w:vAlign w:val="bottom"/>
          </w:tcPr>
          <w:p w14:paraId="71D41B32" w14:textId="77777777" w:rsidR="006A3667" w:rsidRDefault="006A3667">
            <w:pPr>
              <w:rPr>
                <w:rFonts w:ascii="宋体"/>
              </w:rPr>
            </w:pPr>
          </w:p>
        </w:tc>
        <w:tc>
          <w:tcPr>
            <w:tcW w:w="0" w:type="auto"/>
            <w:shd w:val="clear" w:color="auto" w:fill="auto"/>
            <w:vAlign w:val="bottom"/>
          </w:tcPr>
          <w:p w14:paraId="71D41B33" w14:textId="77777777" w:rsidR="006A3667" w:rsidRDefault="006A3667">
            <w:pPr>
              <w:rPr>
                <w:rFonts w:ascii="宋体"/>
              </w:rPr>
            </w:pPr>
          </w:p>
        </w:tc>
        <w:tc>
          <w:tcPr>
            <w:tcW w:w="0" w:type="auto"/>
            <w:shd w:val="clear" w:color="auto" w:fill="auto"/>
            <w:vAlign w:val="bottom"/>
          </w:tcPr>
          <w:p w14:paraId="71D41B34" w14:textId="77777777" w:rsidR="006A3667" w:rsidRDefault="006A3667">
            <w:pPr>
              <w:rPr>
                <w:rFonts w:ascii="宋体"/>
              </w:rPr>
            </w:pPr>
          </w:p>
        </w:tc>
        <w:tc>
          <w:tcPr>
            <w:tcW w:w="0" w:type="auto"/>
            <w:shd w:val="clear" w:color="auto" w:fill="auto"/>
            <w:vAlign w:val="bottom"/>
          </w:tcPr>
          <w:p w14:paraId="71D41B35" w14:textId="77777777" w:rsidR="006A3667" w:rsidRDefault="006A3667">
            <w:pPr>
              <w:rPr>
                <w:rFonts w:ascii="宋体"/>
              </w:rPr>
            </w:pPr>
          </w:p>
        </w:tc>
        <w:tc>
          <w:tcPr>
            <w:tcW w:w="0" w:type="auto"/>
            <w:shd w:val="clear" w:color="auto" w:fill="auto"/>
            <w:vAlign w:val="bottom"/>
          </w:tcPr>
          <w:p w14:paraId="71D41B36" w14:textId="77777777" w:rsidR="006A3667" w:rsidRDefault="006A3667">
            <w:pPr>
              <w:rPr>
                <w:rFonts w:ascii="宋体"/>
              </w:rPr>
            </w:pPr>
          </w:p>
        </w:tc>
        <w:tc>
          <w:tcPr>
            <w:tcW w:w="0" w:type="auto"/>
            <w:shd w:val="clear" w:color="auto" w:fill="auto"/>
            <w:vAlign w:val="bottom"/>
          </w:tcPr>
          <w:p w14:paraId="71D41B37" w14:textId="77777777" w:rsidR="006A3667" w:rsidRDefault="006A3667">
            <w:pPr>
              <w:rPr>
                <w:rFonts w:ascii="宋体"/>
              </w:rPr>
            </w:pPr>
          </w:p>
        </w:tc>
        <w:tc>
          <w:tcPr>
            <w:tcW w:w="0" w:type="auto"/>
            <w:shd w:val="clear" w:color="auto" w:fill="auto"/>
            <w:vAlign w:val="bottom"/>
          </w:tcPr>
          <w:p w14:paraId="71D41B38" w14:textId="77777777" w:rsidR="006A3667" w:rsidRDefault="006A3667">
            <w:pPr>
              <w:rPr>
                <w:rFonts w:ascii="宋体"/>
              </w:rPr>
            </w:pPr>
          </w:p>
        </w:tc>
        <w:tc>
          <w:tcPr>
            <w:tcW w:w="0" w:type="auto"/>
            <w:shd w:val="clear" w:color="auto" w:fill="auto"/>
            <w:vAlign w:val="bottom"/>
          </w:tcPr>
          <w:p w14:paraId="71D41B39" w14:textId="77777777" w:rsidR="006A3667" w:rsidRDefault="006A3667">
            <w:pPr>
              <w:rPr>
                <w:rFonts w:ascii="宋体"/>
              </w:rPr>
            </w:pPr>
          </w:p>
        </w:tc>
      </w:tr>
      <w:tr w:rsidR="006A3667" w14:paraId="71D41B57" w14:textId="77777777">
        <w:trPr>
          <w:hidden/>
        </w:trPr>
        <w:tc>
          <w:tcPr>
            <w:tcW w:w="0" w:type="auto"/>
            <w:gridSpan w:val="3"/>
            <w:shd w:val="clear" w:color="auto" w:fill="auto"/>
            <w:vAlign w:val="bottom"/>
          </w:tcPr>
          <w:p w14:paraId="71D41B3B" w14:textId="77777777" w:rsidR="006A3667" w:rsidRDefault="006A3667">
            <w:pPr>
              <w:rPr>
                <w:rFonts w:ascii="宋体"/>
                <w:vanish/>
              </w:rPr>
            </w:pPr>
          </w:p>
        </w:tc>
        <w:tc>
          <w:tcPr>
            <w:tcW w:w="0" w:type="auto"/>
            <w:gridSpan w:val="3"/>
            <w:shd w:val="clear" w:color="auto" w:fill="auto"/>
            <w:vAlign w:val="bottom"/>
          </w:tcPr>
          <w:p w14:paraId="71D41B3C" w14:textId="77777777" w:rsidR="006A3667" w:rsidRDefault="006A3667">
            <w:pPr>
              <w:rPr>
                <w:rFonts w:ascii="宋体"/>
                <w:vanish/>
              </w:rPr>
            </w:pPr>
          </w:p>
        </w:tc>
        <w:tc>
          <w:tcPr>
            <w:tcW w:w="0" w:type="auto"/>
            <w:gridSpan w:val="3"/>
            <w:shd w:val="clear" w:color="auto" w:fill="auto"/>
            <w:vAlign w:val="bottom"/>
          </w:tcPr>
          <w:p w14:paraId="71D41B3D" w14:textId="77777777" w:rsidR="006A3667" w:rsidRDefault="006A3667">
            <w:pPr>
              <w:rPr>
                <w:rFonts w:ascii="宋体"/>
                <w:vanish/>
              </w:rPr>
            </w:pPr>
          </w:p>
        </w:tc>
        <w:tc>
          <w:tcPr>
            <w:tcW w:w="0" w:type="auto"/>
            <w:gridSpan w:val="3"/>
            <w:shd w:val="clear" w:color="auto" w:fill="auto"/>
            <w:vAlign w:val="bottom"/>
          </w:tcPr>
          <w:p w14:paraId="71D41B3E" w14:textId="77777777" w:rsidR="006A3667" w:rsidRDefault="006A3667">
            <w:pPr>
              <w:rPr>
                <w:rFonts w:ascii="宋体"/>
                <w:vanish/>
              </w:rPr>
            </w:pPr>
          </w:p>
        </w:tc>
        <w:tc>
          <w:tcPr>
            <w:tcW w:w="0" w:type="auto"/>
            <w:shd w:val="clear" w:color="auto" w:fill="auto"/>
            <w:vAlign w:val="bottom"/>
          </w:tcPr>
          <w:p w14:paraId="71D41B3F" w14:textId="77777777" w:rsidR="006A3667" w:rsidRDefault="006A3667">
            <w:pPr>
              <w:rPr>
                <w:rFonts w:ascii="宋体"/>
              </w:rPr>
            </w:pPr>
          </w:p>
        </w:tc>
        <w:tc>
          <w:tcPr>
            <w:tcW w:w="0" w:type="auto"/>
            <w:shd w:val="clear" w:color="auto" w:fill="auto"/>
            <w:vAlign w:val="bottom"/>
          </w:tcPr>
          <w:p w14:paraId="71D41B40" w14:textId="77777777" w:rsidR="006A3667" w:rsidRDefault="006A3667">
            <w:pPr>
              <w:rPr>
                <w:rFonts w:ascii="宋体"/>
              </w:rPr>
            </w:pPr>
          </w:p>
        </w:tc>
        <w:tc>
          <w:tcPr>
            <w:tcW w:w="0" w:type="auto"/>
            <w:shd w:val="clear" w:color="auto" w:fill="auto"/>
            <w:vAlign w:val="bottom"/>
          </w:tcPr>
          <w:p w14:paraId="71D41B41" w14:textId="77777777" w:rsidR="006A3667" w:rsidRDefault="006A3667">
            <w:pPr>
              <w:rPr>
                <w:rFonts w:ascii="宋体"/>
              </w:rPr>
            </w:pPr>
          </w:p>
        </w:tc>
        <w:tc>
          <w:tcPr>
            <w:tcW w:w="0" w:type="auto"/>
            <w:shd w:val="clear" w:color="auto" w:fill="auto"/>
            <w:vAlign w:val="bottom"/>
          </w:tcPr>
          <w:p w14:paraId="71D41B42" w14:textId="77777777" w:rsidR="006A3667" w:rsidRDefault="006A3667">
            <w:pPr>
              <w:rPr>
                <w:rFonts w:ascii="宋体"/>
              </w:rPr>
            </w:pPr>
          </w:p>
        </w:tc>
        <w:tc>
          <w:tcPr>
            <w:tcW w:w="0" w:type="auto"/>
            <w:shd w:val="clear" w:color="auto" w:fill="auto"/>
            <w:vAlign w:val="bottom"/>
          </w:tcPr>
          <w:p w14:paraId="71D41B43" w14:textId="77777777" w:rsidR="006A3667" w:rsidRDefault="006A3667">
            <w:pPr>
              <w:rPr>
                <w:rFonts w:ascii="宋体"/>
              </w:rPr>
            </w:pPr>
          </w:p>
        </w:tc>
        <w:tc>
          <w:tcPr>
            <w:tcW w:w="0" w:type="auto"/>
            <w:shd w:val="clear" w:color="auto" w:fill="auto"/>
            <w:vAlign w:val="bottom"/>
          </w:tcPr>
          <w:p w14:paraId="71D41B44" w14:textId="77777777" w:rsidR="006A3667" w:rsidRDefault="006A3667">
            <w:pPr>
              <w:rPr>
                <w:rFonts w:ascii="宋体"/>
              </w:rPr>
            </w:pPr>
          </w:p>
        </w:tc>
        <w:tc>
          <w:tcPr>
            <w:tcW w:w="0" w:type="auto"/>
            <w:shd w:val="clear" w:color="auto" w:fill="auto"/>
            <w:vAlign w:val="bottom"/>
          </w:tcPr>
          <w:p w14:paraId="71D41B45" w14:textId="77777777" w:rsidR="006A3667" w:rsidRDefault="006A3667">
            <w:pPr>
              <w:rPr>
                <w:rFonts w:ascii="宋体"/>
              </w:rPr>
            </w:pPr>
          </w:p>
        </w:tc>
        <w:tc>
          <w:tcPr>
            <w:tcW w:w="0" w:type="auto"/>
            <w:shd w:val="clear" w:color="auto" w:fill="auto"/>
            <w:vAlign w:val="bottom"/>
          </w:tcPr>
          <w:p w14:paraId="71D41B46" w14:textId="77777777" w:rsidR="006A3667" w:rsidRDefault="006A3667">
            <w:pPr>
              <w:rPr>
                <w:rFonts w:ascii="宋体"/>
              </w:rPr>
            </w:pPr>
          </w:p>
        </w:tc>
        <w:tc>
          <w:tcPr>
            <w:tcW w:w="0" w:type="auto"/>
            <w:shd w:val="clear" w:color="auto" w:fill="auto"/>
            <w:vAlign w:val="bottom"/>
          </w:tcPr>
          <w:p w14:paraId="71D41B47" w14:textId="77777777" w:rsidR="006A3667" w:rsidRDefault="006A3667">
            <w:pPr>
              <w:rPr>
                <w:rFonts w:ascii="宋体"/>
              </w:rPr>
            </w:pPr>
          </w:p>
        </w:tc>
        <w:tc>
          <w:tcPr>
            <w:tcW w:w="0" w:type="auto"/>
            <w:shd w:val="clear" w:color="auto" w:fill="auto"/>
            <w:vAlign w:val="bottom"/>
          </w:tcPr>
          <w:p w14:paraId="71D41B48" w14:textId="77777777" w:rsidR="006A3667" w:rsidRDefault="006A3667">
            <w:pPr>
              <w:rPr>
                <w:rFonts w:ascii="宋体"/>
              </w:rPr>
            </w:pPr>
          </w:p>
        </w:tc>
        <w:tc>
          <w:tcPr>
            <w:tcW w:w="0" w:type="auto"/>
            <w:shd w:val="clear" w:color="auto" w:fill="auto"/>
            <w:vAlign w:val="bottom"/>
          </w:tcPr>
          <w:p w14:paraId="71D41B49" w14:textId="77777777" w:rsidR="006A3667" w:rsidRDefault="006A3667">
            <w:pPr>
              <w:rPr>
                <w:rFonts w:ascii="宋体"/>
              </w:rPr>
            </w:pPr>
          </w:p>
        </w:tc>
        <w:tc>
          <w:tcPr>
            <w:tcW w:w="0" w:type="auto"/>
            <w:shd w:val="clear" w:color="auto" w:fill="auto"/>
            <w:vAlign w:val="bottom"/>
          </w:tcPr>
          <w:p w14:paraId="71D41B4A" w14:textId="77777777" w:rsidR="006A3667" w:rsidRDefault="006A3667">
            <w:pPr>
              <w:rPr>
                <w:rFonts w:ascii="宋体"/>
              </w:rPr>
            </w:pPr>
          </w:p>
        </w:tc>
        <w:tc>
          <w:tcPr>
            <w:tcW w:w="0" w:type="auto"/>
            <w:shd w:val="clear" w:color="auto" w:fill="auto"/>
            <w:vAlign w:val="bottom"/>
          </w:tcPr>
          <w:p w14:paraId="71D41B4B" w14:textId="77777777" w:rsidR="006A3667" w:rsidRDefault="006A3667">
            <w:pPr>
              <w:rPr>
                <w:rFonts w:ascii="宋体"/>
              </w:rPr>
            </w:pPr>
          </w:p>
        </w:tc>
        <w:tc>
          <w:tcPr>
            <w:tcW w:w="0" w:type="auto"/>
            <w:shd w:val="clear" w:color="auto" w:fill="auto"/>
            <w:vAlign w:val="bottom"/>
          </w:tcPr>
          <w:p w14:paraId="71D41B4C" w14:textId="77777777" w:rsidR="006A3667" w:rsidRDefault="006A3667">
            <w:pPr>
              <w:rPr>
                <w:rFonts w:ascii="宋体"/>
              </w:rPr>
            </w:pPr>
          </w:p>
        </w:tc>
        <w:tc>
          <w:tcPr>
            <w:tcW w:w="0" w:type="auto"/>
            <w:shd w:val="clear" w:color="auto" w:fill="auto"/>
            <w:vAlign w:val="bottom"/>
          </w:tcPr>
          <w:p w14:paraId="71D41B4D" w14:textId="77777777" w:rsidR="006A3667" w:rsidRDefault="006A3667">
            <w:pPr>
              <w:rPr>
                <w:rFonts w:ascii="宋体"/>
              </w:rPr>
            </w:pPr>
          </w:p>
        </w:tc>
        <w:tc>
          <w:tcPr>
            <w:tcW w:w="0" w:type="auto"/>
            <w:shd w:val="clear" w:color="auto" w:fill="auto"/>
            <w:vAlign w:val="bottom"/>
          </w:tcPr>
          <w:p w14:paraId="71D41B4E" w14:textId="77777777" w:rsidR="006A3667" w:rsidRDefault="006A3667">
            <w:pPr>
              <w:rPr>
                <w:rFonts w:ascii="宋体"/>
              </w:rPr>
            </w:pPr>
          </w:p>
        </w:tc>
        <w:tc>
          <w:tcPr>
            <w:tcW w:w="0" w:type="auto"/>
            <w:shd w:val="clear" w:color="auto" w:fill="auto"/>
            <w:vAlign w:val="bottom"/>
          </w:tcPr>
          <w:p w14:paraId="71D41B4F" w14:textId="77777777" w:rsidR="006A3667" w:rsidRDefault="006A3667">
            <w:pPr>
              <w:rPr>
                <w:rFonts w:ascii="宋体"/>
              </w:rPr>
            </w:pPr>
          </w:p>
        </w:tc>
        <w:tc>
          <w:tcPr>
            <w:tcW w:w="0" w:type="auto"/>
            <w:shd w:val="clear" w:color="auto" w:fill="auto"/>
            <w:vAlign w:val="bottom"/>
          </w:tcPr>
          <w:p w14:paraId="71D41B50" w14:textId="77777777" w:rsidR="006A3667" w:rsidRDefault="006A3667">
            <w:pPr>
              <w:rPr>
                <w:rFonts w:ascii="宋体"/>
              </w:rPr>
            </w:pPr>
          </w:p>
        </w:tc>
        <w:tc>
          <w:tcPr>
            <w:tcW w:w="0" w:type="auto"/>
            <w:shd w:val="clear" w:color="auto" w:fill="auto"/>
            <w:vAlign w:val="bottom"/>
          </w:tcPr>
          <w:p w14:paraId="71D41B51" w14:textId="77777777" w:rsidR="006A3667" w:rsidRDefault="006A3667">
            <w:pPr>
              <w:rPr>
                <w:rFonts w:ascii="宋体"/>
              </w:rPr>
            </w:pPr>
          </w:p>
        </w:tc>
        <w:tc>
          <w:tcPr>
            <w:tcW w:w="0" w:type="auto"/>
            <w:shd w:val="clear" w:color="auto" w:fill="auto"/>
            <w:vAlign w:val="bottom"/>
          </w:tcPr>
          <w:p w14:paraId="71D41B52" w14:textId="77777777" w:rsidR="006A3667" w:rsidRDefault="006A3667">
            <w:pPr>
              <w:rPr>
                <w:rFonts w:ascii="宋体"/>
              </w:rPr>
            </w:pPr>
          </w:p>
        </w:tc>
        <w:tc>
          <w:tcPr>
            <w:tcW w:w="0" w:type="auto"/>
            <w:shd w:val="clear" w:color="auto" w:fill="auto"/>
            <w:vAlign w:val="bottom"/>
          </w:tcPr>
          <w:p w14:paraId="71D41B53" w14:textId="77777777" w:rsidR="006A3667" w:rsidRDefault="006A3667">
            <w:pPr>
              <w:rPr>
                <w:rFonts w:ascii="宋体"/>
              </w:rPr>
            </w:pPr>
          </w:p>
        </w:tc>
        <w:tc>
          <w:tcPr>
            <w:tcW w:w="0" w:type="auto"/>
            <w:shd w:val="clear" w:color="auto" w:fill="auto"/>
            <w:vAlign w:val="bottom"/>
          </w:tcPr>
          <w:p w14:paraId="71D41B54" w14:textId="77777777" w:rsidR="006A3667" w:rsidRDefault="006A3667">
            <w:pPr>
              <w:rPr>
                <w:rFonts w:ascii="宋体"/>
              </w:rPr>
            </w:pPr>
          </w:p>
        </w:tc>
        <w:tc>
          <w:tcPr>
            <w:tcW w:w="0" w:type="auto"/>
            <w:shd w:val="clear" w:color="auto" w:fill="auto"/>
            <w:vAlign w:val="bottom"/>
          </w:tcPr>
          <w:p w14:paraId="71D41B55" w14:textId="77777777" w:rsidR="006A3667" w:rsidRDefault="006A3667">
            <w:pPr>
              <w:rPr>
                <w:rFonts w:ascii="宋体"/>
              </w:rPr>
            </w:pPr>
          </w:p>
        </w:tc>
        <w:tc>
          <w:tcPr>
            <w:tcW w:w="0" w:type="auto"/>
            <w:shd w:val="clear" w:color="auto" w:fill="auto"/>
            <w:vAlign w:val="bottom"/>
          </w:tcPr>
          <w:p w14:paraId="71D41B56" w14:textId="77777777" w:rsidR="006A3667" w:rsidRDefault="006A3667">
            <w:pPr>
              <w:rPr>
                <w:rFonts w:ascii="宋体"/>
              </w:rPr>
            </w:pPr>
          </w:p>
        </w:tc>
      </w:tr>
      <w:tr w:rsidR="006A3667" w14:paraId="71D41B64" w14:textId="77777777">
        <w:trPr>
          <w:hidden/>
        </w:trPr>
        <w:tc>
          <w:tcPr>
            <w:tcW w:w="0" w:type="auto"/>
            <w:gridSpan w:val="3"/>
            <w:shd w:val="clear" w:color="auto" w:fill="auto"/>
            <w:vAlign w:val="bottom"/>
          </w:tcPr>
          <w:p w14:paraId="71D41B58" w14:textId="77777777" w:rsidR="006A3667" w:rsidRDefault="006A3667">
            <w:pPr>
              <w:rPr>
                <w:rFonts w:ascii="宋体"/>
                <w:vanish/>
              </w:rPr>
            </w:pPr>
          </w:p>
        </w:tc>
        <w:tc>
          <w:tcPr>
            <w:tcW w:w="0" w:type="auto"/>
            <w:gridSpan w:val="3"/>
            <w:shd w:val="clear" w:color="auto" w:fill="auto"/>
            <w:vAlign w:val="bottom"/>
          </w:tcPr>
          <w:p w14:paraId="71D41B59" w14:textId="77777777" w:rsidR="006A3667" w:rsidRDefault="006A3667">
            <w:pPr>
              <w:rPr>
                <w:rFonts w:ascii="宋体"/>
                <w:vanish/>
              </w:rPr>
            </w:pPr>
          </w:p>
        </w:tc>
        <w:tc>
          <w:tcPr>
            <w:tcW w:w="0" w:type="auto"/>
            <w:gridSpan w:val="3"/>
            <w:shd w:val="clear" w:color="auto" w:fill="auto"/>
            <w:vAlign w:val="bottom"/>
          </w:tcPr>
          <w:p w14:paraId="71D41B5A" w14:textId="77777777" w:rsidR="006A3667" w:rsidRDefault="006A3667">
            <w:pPr>
              <w:rPr>
                <w:rFonts w:ascii="宋体"/>
                <w:vanish/>
              </w:rPr>
            </w:pPr>
          </w:p>
        </w:tc>
        <w:tc>
          <w:tcPr>
            <w:tcW w:w="0" w:type="auto"/>
            <w:gridSpan w:val="3"/>
            <w:shd w:val="clear" w:color="auto" w:fill="auto"/>
            <w:vAlign w:val="bottom"/>
          </w:tcPr>
          <w:p w14:paraId="71D41B5B" w14:textId="77777777" w:rsidR="006A3667" w:rsidRDefault="006A3667">
            <w:pPr>
              <w:rPr>
                <w:rFonts w:ascii="宋体"/>
                <w:vanish/>
              </w:rPr>
            </w:pPr>
          </w:p>
        </w:tc>
        <w:tc>
          <w:tcPr>
            <w:tcW w:w="0" w:type="auto"/>
            <w:gridSpan w:val="3"/>
            <w:shd w:val="clear" w:color="auto" w:fill="auto"/>
            <w:vAlign w:val="bottom"/>
          </w:tcPr>
          <w:p w14:paraId="71D41B5C" w14:textId="77777777" w:rsidR="006A3667" w:rsidRDefault="006A3667">
            <w:pPr>
              <w:rPr>
                <w:rFonts w:ascii="宋体"/>
                <w:vanish/>
              </w:rPr>
            </w:pPr>
          </w:p>
        </w:tc>
        <w:tc>
          <w:tcPr>
            <w:tcW w:w="0" w:type="auto"/>
            <w:gridSpan w:val="3"/>
            <w:shd w:val="clear" w:color="auto" w:fill="auto"/>
            <w:vAlign w:val="bottom"/>
          </w:tcPr>
          <w:p w14:paraId="71D41B5D" w14:textId="77777777" w:rsidR="006A3667" w:rsidRDefault="006A3667">
            <w:pPr>
              <w:rPr>
                <w:rFonts w:ascii="宋体"/>
                <w:vanish/>
              </w:rPr>
            </w:pPr>
          </w:p>
        </w:tc>
        <w:tc>
          <w:tcPr>
            <w:tcW w:w="0" w:type="auto"/>
            <w:gridSpan w:val="3"/>
            <w:shd w:val="clear" w:color="auto" w:fill="auto"/>
            <w:vAlign w:val="bottom"/>
          </w:tcPr>
          <w:p w14:paraId="71D41B5E" w14:textId="77777777" w:rsidR="006A3667" w:rsidRDefault="006A3667">
            <w:pPr>
              <w:rPr>
                <w:rFonts w:ascii="宋体"/>
                <w:vanish/>
              </w:rPr>
            </w:pPr>
          </w:p>
        </w:tc>
        <w:tc>
          <w:tcPr>
            <w:tcW w:w="0" w:type="auto"/>
            <w:gridSpan w:val="3"/>
            <w:shd w:val="clear" w:color="auto" w:fill="auto"/>
            <w:vAlign w:val="bottom"/>
          </w:tcPr>
          <w:p w14:paraId="71D41B5F" w14:textId="77777777" w:rsidR="006A3667" w:rsidRDefault="006A3667">
            <w:pPr>
              <w:rPr>
                <w:rFonts w:ascii="宋体"/>
                <w:vanish/>
              </w:rPr>
            </w:pPr>
          </w:p>
        </w:tc>
        <w:tc>
          <w:tcPr>
            <w:tcW w:w="0" w:type="auto"/>
            <w:gridSpan w:val="3"/>
            <w:shd w:val="clear" w:color="auto" w:fill="auto"/>
            <w:vAlign w:val="bottom"/>
          </w:tcPr>
          <w:p w14:paraId="71D41B60" w14:textId="77777777" w:rsidR="006A3667" w:rsidRDefault="006A3667">
            <w:pPr>
              <w:rPr>
                <w:rFonts w:ascii="宋体"/>
                <w:vanish/>
              </w:rPr>
            </w:pPr>
          </w:p>
        </w:tc>
        <w:tc>
          <w:tcPr>
            <w:tcW w:w="0" w:type="auto"/>
            <w:gridSpan w:val="3"/>
            <w:shd w:val="clear" w:color="auto" w:fill="auto"/>
            <w:vAlign w:val="bottom"/>
          </w:tcPr>
          <w:p w14:paraId="71D41B61" w14:textId="77777777" w:rsidR="006A3667" w:rsidRDefault="006A3667">
            <w:pPr>
              <w:rPr>
                <w:rFonts w:ascii="宋体"/>
                <w:vanish/>
              </w:rPr>
            </w:pPr>
          </w:p>
        </w:tc>
        <w:tc>
          <w:tcPr>
            <w:tcW w:w="0" w:type="auto"/>
            <w:gridSpan w:val="3"/>
            <w:shd w:val="clear" w:color="auto" w:fill="auto"/>
            <w:vAlign w:val="bottom"/>
          </w:tcPr>
          <w:p w14:paraId="71D41B62" w14:textId="77777777" w:rsidR="006A3667" w:rsidRDefault="006A3667">
            <w:pPr>
              <w:rPr>
                <w:rFonts w:ascii="宋体"/>
                <w:vanish/>
              </w:rPr>
            </w:pPr>
          </w:p>
        </w:tc>
        <w:tc>
          <w:tcPr>
            <w:tcW w:w="0" w:type="auto"/>
            <w:gridSpan w:val="3"/>
            <w:shd w:val="clear" w:color="auto" w:fill="auto"/>
            <w:vAlign w:val="bottom"/>
          </w:tcPr>
          <w:p w14:paraId="71D41B63" w14:textId="77777777" w:rsidR="006A3667" w:rsidRDefault="006A3667">
            <w:pPr>
              <w:rPr>
                <w:rFonts w:ascii="宋体"/>
                <w:vanish/>
              </w:rPr>
            </w:pPr>
          </w:p>
        </w:tc>
      </w:tr>
      <w:tr w:rsidR="006A3667" w14:paraId="71D41B71" w14:textId="77777777">
        <w:trPr>
          <w:hidden/>
        </w:trPr>
        <w:tc>
          <w:tcPr>
            <w:tcW w:w="0" w:type="auto"/>
            <w:gridSpan w:val="3"/>
            <w:shd w:val="clear" w:color="auto" w:fill="auto"/>
            <w:vAlign w:val="bottom"/>
          </w:tcPr>
          <w:p w14:paraId="71D41B65" w14:textId="77777777" w:rsidR="006A3667" w:rsidRDefault="006A3667">
            <w:pPr>
              <w:rPr>
                <w:rFonts w:ascii="宋体"/>
                <w:vanish/>
              </w:rPr>
            </w:pPr>
          </w:p>
        </w:tc>
        <w:tc>
          <w:tcPr>
            <w:tcW w:w="0" w:type="auto"/>
            <w:gridSpan w:val="3"/>
            <w:shd w:val="clear" w:color="auto" w:fill="auto"/>
            <w:vAlign w:val="bottom"/>
          </w:tcPr>
          <w:p w14:paraId="71D41B66" w14:textId="77777777" w:rsidR="006A3667" w:rsidRDefault="006A3667">
            <w:pPr>
              <w:rPr>
                <w:rFonts w:ascii="宋体"/>
                <w:vanish/>
              </w:rPr>
            </w:pPr>
          </w:p>
        </w:tc>
        <w:tc>
          <w:tcPr>
            <w:tcW w:w="0" w:type="auto"/>
            <w:gridSpan w:val="3"/>
            <w:shd w:val="clear" w:color="auto" w:fill="auto"/>
            <w:vAlign w:val="bottom"/>
          </w:tcPr>
          <w:p w14:paraId="71D41B67" w14:textId="77777777" w:rsidR="006A3667" w:rsidRDefault="006A3667">
            <w:pPr>
              <w:rPr>
                <w:rFonts w:ascii="宋体"/>
                <w:vanish/>
              </w:rPr>
            </w:pPr>
          </w:p>
        </w:tc>
        <w:tc>
          <w:tcPr>
            <w:tcW w:w="0" w:type="auto"/>
            <w:gridSpan w:val="3"/>
            <w:shd w:val="clear" w:color="auto" w:fill="auto"/>
            <w:vAlign w:val="bottom"/>
          </w:tcPr>
          <w:p w14:paraId="71D41B68" w14:textId="77777777" w:rsidR="006A3667" w:rsidRDefault="006A3667">
            <w:pPr>
              <w:rPr>
                <w:rFonts w:ascii="宋体"/>
                <w:vanish/>
              </w:rPr>
            </w:pPr>
          </w:p>
        </w:tc>
        <w:tc>
          <w:tcPr>
            <w:tcW w:w="0" w:type="auto"/>
            <w:gridSpan w:val="3"/>
            <w:shd w:val="clear" w:color="auto" w:fill="auto"/>
            <w:vAlign w:val="bottom"/>
          </w:tcPr>
          <w:p w14:paraId="71D41B69" w14:textId="77777777" w:rsidR="006A3667" w:rsidRDefault="006A3667">
            <w:pPr>
              <w:rPr>
                <w:rFonts w:ascii="宋体"/>
                <w:vanish/>
              </w:rPr>
            </w:pPr>
          </w:p>
        </w:tc>
        <w:tc>
          <w:tcPr>
            <w:tcW w:w="0" w:type="auto"/>
            <w:gridSpan w:val="3"/>
            <w:shd w:val="clear" w:color="auto" w:fill="auto"/>
            <w:vAlign w:val="bottom"/>
          </w:tcPr>
          <w:p w14:paraId="71D41B6A" w14:textId="77777777" w:rsidR="006A3667" w:rsidRDefault="006A3667">
            <w:pPr>
              <w:rPr>
                <w:rFonts w:ascii="宋体"/>
                <w:vanish/>
              </w:rPr>
            </w:pPr>
          </w:p>
        </w:tc>
        <w:tc>
          <w:tcPr>
            <w:tcW w:w="0" w:type="auto"/>
            <w:gridSpan w:val="3"/>
            <w:shd w:val="clear" w:color="auto" w:fill="auto"/>
            <w:vAlign w:val="bottom"/>
          </w:tcPr>
          <w:p w14:paraId="71D41B6B" w14:textId="77777777" w:rsidR="006A3667" w:rsidRDefault="006A3667">
            <w:pPr>
              <w:rPr>
                <w:rFonts w:ascii="宋体"/>
                <w:vanish/>
              </w:rPr>
            </w:pPr>
          </w:p>
        </w:tc>
        <w:tc>
          <w:tcPr>
            <w:tcW w:w="0" w:type="auto"/>
            <w:gridSpan w:val="3"/>
            <w:shd w:val="clear" w:color="auto" w:fill="auto"/>
            <w:vAlign w:val="bottom"/>
          </w:tcPr>
          <w:p w14:paraId="71D41B6C" w14:textId="77777777" w:rsidR="006A3667" w:rsidRDefault="006A3667">
            <w:pPr>
              <w:rPr>
                <w:rFonts w:ascii="宋体"/>
                <w:vanish/>
              </w:rPr>
            </w:pPr>
          </w:p>
        </w:tc>
        <w:tc>
          <w:tcPr>
            <w:tcW w:w="0" w:type="auto"/>
            <w:gridSpan w:val="3"/>
            <w:shd w:val="clear" w:color="auto" w:fill="auto"/>
            <w:vAlign w:val="bottom"/>
          </w:tcPr>
          <w:p w14:paraId="71D41B6D" w14:textId="77777777" w:rsidR="006A3667" w:rsidRDefault="006A3667">
            <w:pPr>
              <w:rPr>
                <w:rFonts w:ascii="宋体"/>
                <w:vanish/>
              </w:rPr>
            </w:pPr>
          </w:p>
        </w:tc>
        <w:tc>
          <w:tcPr>
            <w:tcW w:w="0" w:type="auto"/>
            <w:gridSpan w:val="3"/>
            <w:shd w:val="clear" w:color="auto" w:fill="auto"/>
            <w:vAlign w:val="bottom"/>
          </w:tcPr>
          <w:p w14:paraId="71D41B6E" w14:textId="77777777" w:rsidR="006A3667" w:rsidRDefault="006A3667">
            <w:pPr>
              <w:rPr>
                <w:rFonts w:ascii="宋体"/>
                <w:vanish/>
              </w:rPr>
            </w:pPr>
          </w:p>
        </w:tc>
        <w:tc>
          <w:tcPr>
            <w:tcW w:w="0" w:type="auto"/>
            <w:gridSpan w:val="3"/>
            <w:shd w:val="clear" w:color="auto" w:fill="auto"/>
            <w:vAlign w:val="bottom"/>
          </w:tcPr>
          <w:p w14:paraId="71D41B6F" w14:textId="77777777" w:rsidR="006A3667" w:rsidRDefault="006A3667">
            <w:pPr>
              <w:rPr>
                <w:rFonts w:ascii="宋体"/>
                <w:vanish/>
              </w:rPr>
            </w:pPr>
          </w:p>
        </w:tc>
        <w:tc>
          <w:tcPr>
            <w:tcW w:w="0" w:type="auto"/>
            <w:gridSpan w:val="3"/>
            <w:shd w:val="clear" w:color="auto" w:fill="auto"/>
            <w:vAlign w:val="bottom"/>
          </w:tcPr>
          <w:p w14:paraId="71D41B70" w14:textId="77777777" w:rsidR="006A3667" w:rsidRDefault="006A3667">
            <w:pPr>
              <w:rPr>
                <w:rFonts w:ascii="宋体"/>
                <w:vanish/>
              </w:rPr>
            </w:pPr>
          </w:p>
        </w:tc>
      </w:tr>
      <w:tr w:rsidR="006A3667" w14:paraId="71D41B7E" w14:textId="77777777">
        <w:trPr>
          <w:hidden/>
        </w:trPr>
        <w:tc>
          <w:tcPr>
            <w:tcW w:w="0" w:type="auto"/>
            <w:gridSpan w:val="3"/>
            <w:shd w:val="clear" w:color="auto" w:fill="auto"/>
            <w:vAlign w:val="bottom"/>
          </w:tcPr>
          <w:p w14:paraId="71D41B72" w14:textId="77777777" w:rsidR="006A3667" w:rsidRDefault="006A3667">
            <w:pPr>
              <w:rPr>
                <w:rFonts w:ascii="宋体"/>
                <w:vanish/>
              </w:rPr>
            </w:pPr>
          </w:p>
        </w:tc>
        <w:tc>
          <w:tcPr>
            <w:tcW w:w="0" w:type="auto"/>
            <w:gridSpan w:val="3"/>
            <w:shd w:val="clear" w:color="auto" w:fill="auto"/>
            <w:vAlign w:val="bottom"/>
          </w:tcPr>
          <w:p w14:paraId="71D41B73" w14:textId="77777777" w:rsidR="006A3667" w:rsidRDefault="006A3667">
            <w:pPr>
              <w:rPr>
                <w:rFonts w:ascii="宋体"/>
                <w:vanish/>
              </w:rPr>
            </w:pPr>
          </w:p>
        </w:tc>
        <w:tc>
          <w:tcPr>
            <w:tcW w:w="0" w:type="auto"/>
            <w:gridSpan w:val="3"/>
            <w:shd w:val="clear" w:color="auto" w:fill="auto"/>
            <w:vAlign w:val="bottom"/>
          </w:tcPr>
          <w:p w14:paraId="71D41B74" w14:textId="77777777" w:rsidR="006A3667" w:rsidRDefault="006A3667">
            <w:pPr>
              <w:rPr>
                <w:rFonts w:ascii="宋体"/>
                <w:vanish/>
              </w:rPr>
            </w:pPr>
          </w:p>
        </w:tc>
        <w:tc>
          <w:tcPr>
            <w:tcW w:w="0" w:type="auto"/>
            <w:gridSpan w:val="3"/>
            <w:shd w:val="clear" w:color="auto" w:fill="auto"/>
            <w:vAlign w:val="bottom"/>
          </w:tcPr>
          <w:p w14:paraId="71D41B75" w14:textId="77777777" w:rsidR="006A3667" w:rsidRDefault="006A3667">
            <w:pPr>
              <w:rPr>
                <w:rFonts w:ascii="宋体"/>
                <w:vanish/>
              </w:rPr>
            </w:pPr>
          </w:p>
        </w:tc>
        <w:tc>
          <w:tcPr>
            <w:tcW w:w="0" w:type="auto"/>
            <w:gridSpan w:val="3"/>
            <w:shd w:val="clear" w:color="auto" w:fill="auto"/>
            <w:vAlign w:val="bottom"/>
          </w:tcPr>
          <w:p w14:paraId="71D41B76" w14:textId="77777777" w:rsidR="006A3667" w:rsidRDefault="006A3667">
            <w:pPr>
              <w:rPr>
                <w:rFonts w:ascii="宋体"/>
                <w:vanish/>
              </w:rPr>
            </w:pPr>
          </w:p>
        </w:tc>
        <w:tc>
          <w:tcPr>
            <w:tcW w:w="0" w:type="auto"/>
            <w:gridSpan w:val="3"/>
            <w:shd w:val="clear" w:color="auto" w:fill="auto"/>
            <w:vAlign w:val="bottom"/>
          </w:tcPr>
          <w:p w14:paraId="71D41B77" w14:textId="77777777" w:rsidR="006A3667" w:rsidRDefault="006A3667">
            <w:pPr>
              <w:rPr>
                <w:rFonts w:ascii="宋体"/>
                <w:vanish/>
              </w:rPr>
            </w:pPr>
          </w:p>
        </w:tc>
        <w:tc>
          <w:tcPr>
            <w:tcW w:w="0" w:type="auto"/>
            <w:gridSpan w:val="3"/>
            <w:shd w:val="clear" w:color="auto" w:fill="auto"/>
            <w:vAlign w:val="bottom"/>
          </w:tcPr>
          <w:p w14:paraId="71D41B78" w14:textId="77777777" w:rsidR="006A3667" w:rsidRDefault="006A3667">
            <w:pPr>
              <w:rPr>
                <w:rFonts w:ascii="宋体"/>
                <w:vanish/>
              </w:rPr>
            </w:pPr>
          </w:p>
        </w:tc>
        <w:tc>
          <w:tcPr>
            <w:tcW w:w="0" w:type="auto"/>
            <w:gridSpan w:val="3"/>
            <w:shd w:val="clear" w:color="auto" w:fill="auto"/>
            <w:vAlign w:val="bottom"/>
          </w:tcPr>
          <w:p w14:paraId="71D41B79" w14:textId="77777777" w:rsidR="006A3667" w:rsidRDefault="006A3667">
            <w:pPr>
              <w:rPr>
                <w:rFonts w:ascii="宋体"/>
                <w:vanish/>
              </w:rPr>
            </w:pPr>
          </w:p>
        </w:tc>
        <w:tc>
          <w:tcPr>
            <w:tcW w:w="0" w:type="auto"/>
            <w:gridSpan w:val="3"/>
            <w:shd w:val="clear" w:color="auto" w:fill="auto"/>
            <w:vAlign w:val="bottom"/>
          </w:tcPr>
          <w:p w14:paraId="71D41B7A" w14:textId="77777777" w:rsidR="006A3667" w:rsidRDefault="006A3667">
            <w:pPr>
              <w:rPr>
                <w:rFonts w:ascii="宋体"/>
                <w:vanish/>
              </w:rPr>
            </w:pPr>
          </w:p>
        </w:tc>
        <w:tc>
          <w:tcPr>
            <w:tcW w:w="0" w:type="auto"/>
            <w:gridSpan w:val="3"/>
            <w:shd w:val="clear" w:color="auto" w:fill="auto"/>
            <w:vAlign w:val="bottom"/>
          </w:tcPr>
          <w:p w14:paraId="71D41B7B" w14:textId="77777777" w:rsidR="006A3667" w:rsidRDefault="006A3667">
            <w:pPr>
              <w:rPr>
                <w:rFonts w:ascii="宋体"/>
                <w:vanish/>
              </w:rPr>
            </w:pPr>
          </w:p>
        </w:tc>
        <w:tc>
          <w:tcPr>
            <w:tcW w:w="0" w:type="auto"/>
            <w:gridSpan w:val="3"/>
            <w:shd w:val="clear" w:color="auto" w:fill="auto"/>
            <w:vAlign w:val="bottom"/>
          </w:tcPr>
          <w:p w14:paraId="71D41B7C" w14:textId="77777777" w:rsidR="006A3667" w:rsidRDefault="006A3667">
            <w:pPr>
              <w:rPr>
                <w:rFonts w:ascii="宋体"/>
                <w:vanish/>
              </w:rPr>
            </w:pPr>
          </w:p>
        </w:tc>
        <w:tc>
          <w:tcPr>
            <w:tcW w:w="0" w:type="auto"/>
            <w:gridSpan w:val="3"/>
            <w:shd w:val="clear" w:color="auto" w:fill="auto"/>
            <w:vAlign w:val="bottom"/>
          </w:tcPr>
          <w:p w14:paraId="71D41B7D" w14:textId="77777777" w:rsidR="006A3667" w:rsidRDefault="006A3667">
            <w:pPr>
              <w:rPr>
                <w:rFonts w:ascii="宋体"/>
                <w:vanish/>
              </w:rPr>
            </w:pPr>
          </w:p>
        </w:tc>
      </w:tr>
      <w:tr w:rsidR="006A3667" w14:paraId="71D41B8B" w14:textId="77777777">
        <w:trPr>
          <w:hidden/>
        </w:trPr>
        <w:tc>
          <w:tcPr>
            <w:tcW w:w="0" w:type="auto"/>
            <w:gridSpan w:val="3"/>
            <w:shd w:val="clear" w:color="auto" w:fill="auto"/>
            <w:vAlign w:val="bottom"/>
          </w:tcPr>
          <w:p w14:paraId="71D41B7F" w14:textId="77777777" w:rsidR="006A3667" w:rsidRDefault="006A3667">
            <w:pPr>
              <w:rPr>
                <w:rFonts w:ascii="宋体"/>
                <w:vanish/>
              </w:rPr>
            </w:pPr>
          </w:p>
        </w:tc>
        <w:tc>
          <w:tcPr>
            <w:tcW w:w="0" w:type="auto"/>
            <w:gridSpan w:val="3"/>
            <w:shd w:val="clear" w:color="auto" w:fill="auto"/>
            <w:vAlign w:val="bottom"/>
          </w:tcPr>
          <w:p w14:paraId="71D41B80" w14:textId="77777777" w:rsidR="006A3667" w:rsidRDefault="006A3667">
            <w:pPr>
              <w:rPr>
                <w:rFonts w:ascii="宋体"/>
                <w:vanish/>
              </w:rPr>
            </w:pPr>
          </w:p>
        </w:tc>
        <w:tc>
          <w:tcPr>
            <w:tcW w:w="0" w:type="auto"/>
            <w:gridSpan w:val="3"/>
            <w:shd w:val="clear" w:color="auto" w:fill="auto"/>
            <w:vAlign w:val="bottom"/>
          </w:tcPr>
          <w:p w14:paraId="71D41B81" w14:textId="77777777" w:rsidR="006A3667" w:rsidRDefault="006A3667">
            <w:pPr>
              <w:rPr>
                <w:rFonts w:ascii="宋体"/>
                <w:vanish/>
              </w:rPr>
            </w:pPr>
          </w:p>
        </w:tc>
        <w:tc>
          <w:tcPr>
            <w:tcW w:w="0" w:type="auto"/>
            <w:gridSpan w:val="3"/>
            <w:shd w:val="clear" w:color="auto" w:fill="auto"/>
            <w:vAlign w:val="bottom"/>
          </w:tcPr>
          <w:p w14:paraId="71D41B82" w14:textId="77777777" w:rsidR="006A3667" w:rsidRDefault="006A3667">
            <w:pPr>
              <w:rPr>
                <w:rFonts w:ascii="宋体"/>
                <w:vanish/>
              </w:rPr>
            </w:pPr>
          </w:p>
        </w:tc>
        <w:tc>
          <w:tcPr>
            <w:tcW w:w="0" w:type="auto"/>
            <w:gridSpan w:val="3"/>
            <w:shd w:val="clear" w:color="auto" w:fill="auto"/>
            <w:vAlign w:val="bottom"/>
          </w:tcPr>
          <w:p w14:paraId="71D41B83" w14:textId="77777777" w:rsidR="006A3667" w:rsidRDefault="006A3667">
            <w:pPr>
              <w:rPr>
                <w:rFonts w:ascii="宋体"/>
                <w:vanish/>
              </w:rPr>
            </w:pPr>
          </w:p>
        </w:tc>
        <w:tc>
          <w:tcPr>
            <w:tcW w:w="0" w:type="auto"/>
            <w:gridSpan w:val="3"/>
            <w:shd w:val="clear" w:color="auto" w:fill="auto"/>
            <w:vAlign w:val="bottom"/>
          </w:tcPr>
          <w:p w14:paraId="71D41B84" w14:textId="77777777" w:rsidR="006A3667" w:rsidRDefault="006A3667">
            <w:pPr>
              <w:rPr>
                <w:rFonts w:ascii="宋体"/>
                <w:vanish/>
              </w:rPr>
            </w:pPr>
          </w:p>
        </w:tc>
        <w:tc>
          <w:tcPr>
            <w:tcW w:w="0" w:type="auto"/>
            <w:gridSpan w:val="3"/>
            <w:shd w:val="clear" w:color="auto" w:fill="auto"/>
            <w:vAlign w:val="bottom"/>
          </w:tcPr>
          <w:p w14:paraId="71D41B85" w14:textId="77777777" w:rsidR="006A3667" w:rsidRDefault="006A3667">
            <w:pPr>
              <w:rPr>
                <w:rFonts w:ascii="宋体"/>
                <w:vanish/>
              </w:rPr>
            </w:pPr>
          </w:p>
        </w:tc>
        <w:tc>
          <w:tcPr>
            <w:tcW w:w="0" w:type="auto"/>
            <w:gridSpan w:val="3"/>
            <w:shd w:val="clear" w:color="auto" w:fill="auto"/>
            <w:vAlign w:val="bottom"/>
          </w:tcPr>
          <w:p w14:paraId="71D41B86" w14:textId="77777777" w:rsidR="006A3667" w:rsidRDefault="006A3667">
            <w:pPr>
              <w:rPr>
                <w:rFonts w:ascii="宋体"/>
                <w:vanish/>
              </w:rPr>
            </w:pPr>
          </w:p>
        </w:tc>
        <w:tc>
          <w:tcPr>
            <w:tcW w:w="0" w:type="auto"/>
            <w:gridSpan w:val="3"/>
            <w:shd w:val="clear" w:color="auto" w:fill="auto"/>
            <w:vAlign w:val="bottom"/>
          </w:tcPr>
          <w:p w14:paraId="71D41B87" w14:textId="77777777" w:rsidR="006A3667" w:rsidRDefault="006A3667">
            <w:pPr>
              <w:rPr>
                <w:rFonts w:ascii="宋体"/>
                <w:vanish/>
              </w:rPr>
            </w:pPr>
          </w:p>
        </w:tc>
        <w:tc>
          <w:tcPr>
            <w:tcW w:w="0" w:type="auto"/>
            <w:gridSpan w:val="3"/>
            <w:shd w:val="clear" w:color="auto" w:fill="auto"/>
            <w:vAlign w:val="bottom"/>
          </w:tcPr>
          <w:p w14:paraId="71D41B88" w14:textId="77777777" w:rsidR="006A3667" w:rsidRDefault="006A3667">
            <w:pPr>
              <w:rPr>
                <w:rFonts w:ascii="宋体"/>
                <w:vanish/>
              </w:rPr>
            </w:pPr>
          </w:p>
        </w:tc>
        <w:tc>
          <w:tcPr>
            <w:tcW w:w="0" w:type="auto"/>
            <w:gridSpan w:val="3"/>
            <w:shd w:val="clear" w:color="auto" w:fill="auto"/>
            <w:vAlign w:val="bottom"/>
          </w:tcPr>
          <w:p w14:paraId="71D41B89" w14:textId="77777777" w:rsidR="006A3667" w:rsidRDefault="006A3667">
            <w:pPr>
              <w:rPr>
                <w:rFonts w:ascii="宋体"/>
                <w:vanish/>
              </w:rPr>
            </w:pPr>
          </w:p>
        </w:tc>
        <w:tc>
          <w:tcPr>
            <w:tcW w:w="0" w:type="auto"/>
            <w:gridSpan w:val="3"/>
            <w:shd w:val="clear" w:color="auto" w:fill="auto"/>
            <w:vAlign w:val="bottom"/>
          </w:tcPr>
          <w:p w14:paraId="71D41B8A" w14:textId="77777777" w:rsidR="006A3667" w:rsidRDefault="006A3667">
            <w:pPr>
              <w:rPr>
                <w:rFonts w:ascii="宋体"/>
                <w:vanish/>
              </w:rPr>
            </w:pPr>
          </w:p>
        </w:tc>
      </w:tr>
      <w:tr w:rsidR="006A3667" w14:paraId="71D41B98" w14:textId="77777777">
        <w:trPr>
          <w:hidden/>
        </w:trPr>
        <w:tc>
          <w:tcPr>
            <w:tcW w:w="0" w:type="auto"/>
            <w:gridSpan w:val="3"/>
            <w:shd w:val="clear" w:color="auto" w:fill="auto"/>
            <w:vAlign w:val="bottom"/>
          </w:tcPr>
          <w:p w14:paraId="71D41B8C" w14:textId="77777777" w:rsidR="006A3667" w:rsidRDefault="006A3667">
            <w:pPr>
              <w:rPr>
                <w:rFonts w:ascii="宋体"/>
                <w:vanish/>
              </w:rPr>
            </w:pPr>
          </w:p>
        </w:tc>
        <w:tc>
          <w:tcPr>
            <w:tcW w:w="0" w:type="auto"/>
            <w:gridSpan w:val="3"/>
            <w:shd w:val="clear" w:color="auto" w:fill="auto"/>
            <w:vAlign w:val="bottom"/>
          </w:tcPr>
          <w:p w14:paraId="71D41B8D" w14:textId="77777777" w:rsidR="006A3667" w:rsidRDefault="006A3667">
            <w:pPr>
              <w:rPr>
                <w:rFonts w:ascii="宋体"/>
                <w:vanish/>
              </w:rPr>
            </w:pPr>
          </w:p>
        </w:tc>
        <w:tc>
          <w:tcPr>
            <w:tcW w:w="0" w:type="auto"/>
            <w:gridSpan w:val="3"/>
            <w:shd w:val="clear" w:color="auto" w:fill="auto"/>
            <w:vAlign w:val="bottom"/>
          </w:tcPr>
          <w:p w14:paraId="71D41B8E" w14:textId="77777777" w:rsidR="006A3667" w:rsidRDefault="006A3667">
            <w:pPr>
              <w:rPr>
                <w:rFonts w:ascii="宋体"/>
                <w:vanish/>
              </w:rPr>
            </w:pPr>
          </w:p>
        </w:tc>
        <w:tc>
          <w:tcPr>
            <w:tcW w:w="0" w:type="auto"/>
            <w:gridSpan w:val="3"/>
            <w:shd w:val="clear" w:color="auto" w:fill="auto"/>
            <w:vAlign w:val="bottom"/>
          </w:tcPr>
          <w:p w14:paraId="71D41B8F" w14:textId="77777777" w:rsidR="006A3667" w:rsidRDefault="006A3667">
            <w:pPr>
              <w:rPr>
                <w:rFonts w:ascii="宋体"/>
                <w:vanish/>
              </w:rPr>
            </w:pPr>
          </w:p>
        </w:tc>
        <w:tc>
          <w:tcPr>
            <w:tcW w:w="0" w:type="auto"/>
            <w:gridSpan w:val="3"/>
            <w:shd w:val="clear" w:color="auto" w:fill="auto"/>
            <w:vAlign w:val="bottom"/>
          </w:tcPr>
          <w:p w14:paraId="71D41B90" w14:textId="77777777" w:rsidR="006A3667" w:rsidRDefault="006A3667">
            <w:pPr>
              <w:rPr>
                <w:rFonts w:ascii="宋体"/>
                <w:vanish/>
              </w:rPr>
            </w:pPr>
          </w:p>
        </w:tc>
        <w:tc>
          <w:tcPr>
            <w:tcW w:w="0" w:type="auto"/>
            <w:gridSpan w:val="3"/>
            <w:shd w:val="clear" w:color="auto" w:fill="auto"/>
            <w:vAlign w:val="bottom"/>
          </w:tcPr>
          <w:p w14:paraId="71D41B91" w14:textId="77777777" w:rsidR="006A3667" w:rsidRDefault="006A3667">
            <w:pPr>
              <w:rPr>
                <w:rFonts w:ascii="宋体"/>
                <w:vanish/>
              </w:rPr>
            </w:pPr>
          </w:p>
        </w:tc>
        <w:tc>
          <w:tcPr>
            <w:tcW w:w="0" w:type="auto"/>
            <w:gridSpan w:val="3"/>
            <w:shd w:val="clear" w:color="auto" w:fill="auto"/>
            <w:vAlign w:val="bottom"/>
          </w:tcPr>
          <w:p w14:paraId="71D41B92" w14:textId="77777777" w:rsidR="006A3667" w:rsidRDefault="006A3667">
            <w:pPr>
              <w:rPr>
                <w:rFonts w:ascii="宋体"/>
                <w:vanish/>
              </w:rPr>
            </w:pPr>
          </w:p>
        </w:tc>
        <w:tc>
          <w:tcPr>
            <w:tcW w:w="0" w:type="auto"/>
            <w:gridSpan w:val="3"/>
            <w:shd w:val="clear" w:color="auto" w:fill="auto"/>
            <w:vAlign w:val="bottom"/>
          </w:tcPr>
          <w:p w14:paraId="71D41B93" w14:textId="77777777" w:rsidR="006A3667" w:rsidRDefault="006A3667">
            <w:pPr>
              <w:rPr>
                <w:rFonts w:ascii="宋体"/>
                <w:vanish/>
              </w:rPr>
            </w:pPr>
          </w:p>
        </w:tc>
        <w:tc>
          <w:tcPr>
            <w:tcW w:w="0" w:type="auto"/>
            <w:gridSpan w:val="3"/>
            <w:shd w:val="clear" w:color="auto" w:fill="auto"/>
            <w:vAlign w:val="bottom"/>
          </w:tcPr>
          <w:p w14:paraId="71D41B94" w14:textId="77777777" w:rsidR="006A3667" w:rsidRDefault="006A3667">
            <w:pPr>
              <w:rPr>
                <w:rFonts w:ascii="宋体"/>
                <w:vanish/>
              </w:rPr>
            </w:pPr>
          </w:p>
        </w:tc>
        <w:tc>
          <w:tcPr>
            <w:tcW w:w="0" w:type="auto"/>
            <w:gridSpan w:val="3"/>
            <w:shd w:val="clear" w:color="auto" w:fill="auto"/>
            <w:vAlign w:val="bottom"/>
          </w:tcPr>
          <w:p w14:paraId="71D41B95" w14:textId="77777777" w:rsidR="006A3667" w:rsidRDefault="006A3667">
            <w:pPr>
              <w:rPr>
                <w:rFonts w:ascii="宋体"/>
                <w:vanish/>
              </w:rPr>
            </w:pPr>
          </w:p>
        </w:tc>
        <w:tc>
          <w:tcPr>
            <w:tcW w:w="0" w:type="auto"/>
            <w:gridSpan w:val="3"/>
            <w:shd w:val="clear" w:color="auto" w:fill="auto"/>
            <w:vAlign w:val="bottom"/>
          </w:tcPr>
          <w:p w14:paraId="71D41B96" w14:textId="77777777" w:rsidR="006A3667" w:rsidRDefault="006A3667">
            <w:pPr>
              <w:rPr>
                <w:rFonts w:ascii="宋体"/>
                <w:vanish/>
              </w:rPr>
            </w:pPr>
          </w:p>
        </w:tc>
        <w:tc>
          <w:tcPr>
            <w:tcW w:w="0" w:type="auto"/>
            <w:gridSpan w:val="3"/>
            <w:shd w:val="clear" w:color="auto" w:fill="auto"/>
            <w:vAlign w:val="bottom"/>
          </w:tcPr>
          <w:p w14:paraId="71D41B97" w14:textId="77777777" w:rsidR="006A3667" w:rsidRDefault="006A3667">
            <w:pPr>
              <w:rPr>
                <w:rFonts w:ascii="宋体"/>
                <w:vanish/>
              </w:rPr>
            </w:pPr>
          </w:p>
        </w:tc>
      </w:tr>
      <w:tr w:rsidR="006A3667" w14:paraId="71D41BA5" w14:textId="77777777">
        <w:trPr>
          <w:hidden/>
        </w:trPr>
        <w:tc>
          <w:tcPr>
            <w:tcW w:w="0" w:type="auto"/>
            <w:gridSpan w:val="3"/>
            <w:shd w:val="clear" w:color="auto" w:fill="auto"/>
            <w:vAlign w:val="bottom"/>
          </w:tcPr>
          <w:p w14:paraId="71D41B99" w14:textId="77777777" w:rsidR="006A3667" w:rsidRDefault="006A3667">
            <w:pPr>
              <w:rPr>
                <w:rFonts w:ascii="宋体"/>
                <w:vanish/>
              </w:rPr>
            </w:pPr>
          </w:p>
        </w:tc>
        <w:tc>
          <w:tcPr>
            <w:tcW w:w="0" w:type="auto"/>
            <w:gridSpan w:val="3"/>
            <w:shd w:val="clear" w:color="auto" w:fill="auto"/>
            <w:vAlign w:val="bottom"/>
          </w:tcPr>
          <w:p w14:paraId="71D41B9A" w14:textId="77777777" w:rsidR="006A3667" w:rsidRDefault="006A3667">
            <w:pPr>
              <w:rPr>
                <w:rFonts w:ascii="宋体"/>
                <w:vanish/>
              </w:rPr>
            </w:pPr>
          </w:p>
        </w:tc>
        <w:tc>
          <w:tcPr>
            <w:tcW w:w="0" w:type="auto"/>
            <w:gridSpan w:val="3"/>
            <w:shd w:val="clear" w:color="auto" w:fill="auto"/>
            <w:vAlign w:val="bottom"/>
          </w:tcPr>
          <w:p w14:paraId="71D41B9B" w14:textId="77777777" w:rsidR="006A3667" w:rsidRDefault="006A3667">
            <w:pPr>
              <w:rPr>
                <w:rFonts w:ascii="宋体"/>
                <w:vanish/>
              </w:rPr>
            </w:pPr>
          </w:p>
        </w:tc>
        <w:tc>
          <w:tcPr>
            <w:tcW w:w="0" w:type="auto"/>
            <w:gridSpan w:val="3"/>
            <w:shd w:val="clear" w:color="auto" w:fill="auto"/>
            <w:vAlign w:val="bottom"/>
          </w:tcPr>
          <w:p w14:paraId="71D41B9C" w14:textId="77777777" w:rsidR="006A3667" w:rsidRDefault="006A3667">
            <w:pPr>
              <w:rPr>
                <w:rFonts w:ascii="宋体"/>
                <w:vanish/>
              </w:rPr>
            </w:pPr>
          </w:p>
        </w:tc>
        <w:tc>
          <w:tcPr>
            <w:tcW w:w="0" w:type="auto"/>
            <w:gridSpan w:val="3"/>
            <w:shd w:val="clear" w:color="auto" w:fill="auto"/>
            <w:vAlign w:val="bottom"/>
          </w:tcPr>
          <w:p w14:paraId="71D41B9D" w14:textId="77777777" w:rsidR="006A3667" w:rsidRDefault="006A3667">
            <w:pPr>
              <w:rPr>
                <w:rFonts w:ascii="宋体"/>
                <w:vanish/>
              </w:rPr>
            </w:pPr>
          </w:p>
        </w:tc>
        <w:tc>
          <w:tcPr>
            <w:tcW w:w="0" w:type="auto"/>
            <w:gridSpan w:val="3"/>
            <w:shd w:val="clear" w:color="auto" w:fill="auto"/>
            <w:vAlign w:val="bottom"/>
          </w:tcPr>
          <w:p w14:paraId="71D41B9E" w14:textId="77777777" w:rsidR="006A3667" w:rsidRDefault="006A3667">
            <w:pPr>
              <w:rPr>
                <w:rFonts w:ascii="宋体"/>
                <w:vanish/>
              </w:rPr>
            </w:pPr>
          </w:p>
        </w:tc>
        <w:tc>
          <w:tcPr>
            <w:tcW w:w="0" w:type="auto"/>
            <w:gridSpan w:val="3"/>
            <w:shd w:val="clear" w:color="auto" w:fill="auto"/>
            <w:vAlign w:val="bottom"/>
          </w:tcPr>
          <w:p w14:paraId="71D41B9F" w14:textId="77777777" w:rsidR="006A3667" w:rsidRDefault="006A3667">
            <w:pPr>
              <w:rPr>
                <w:rFonts w:ascii="宋体"/>
                <w:vanish/>
              </w:rPr>
            </w:pPr>
          </w:p>
        </w:tc>
        <w:tc>
          <w:tcPr>
            <w:tcW w:w="0" w:type="auto"/>
            <w:gridSpan w:val="3"/>
            <w:shd w:val="clear" w:color="auto" w:fill="auto"/>
            <w:vAlign w:val="bottom"/>
          </w:tcPr>
          <w:p w14:paraId="71D41BA0" w14:textId="77777777" w:rsidR="006A3667" w:rsidRDefault="006A3667">
            <w:pPr>
              <w:rPr>
                <w:rFonts w:ascii="宋体"/>
                <w:vanish/>
              </w:rPr>
            </w:pPr>
          </w:p>
        </w:tc>
        <w:tc>
          <w:tcPr>
            <w:tcW w:w="0" w:type="auto"/>
            <w:gridSpan w:val="3"/>
            <w:shd w:val="clear" w:color="auto" w:fill="auto"/>
            <w:vAlign w:val="bottom"/>
          </w:tcPr>
          <w:p w14:paraId="71D41BA1" w14:textId="77777777" w:rsidR="006A3667" w:rsidRDefault="006A3667">
            <w:pPr>
              <w:rPr>
                <w:rFonts w:ascii="宋体"/>
                <w:vanish/>
              </w:rPr>
            </w:pPr>
          </w:p>
        </w:tc>
        <w:tc>
          <w:tcPr>
            <w:tcW w:w="0" w:type="auto"/>
            <w:gridSpan w:val="3"/>
            <w:shd w:val="clear" w:color="auto" w:fill="auto"/>
            <w:vAlign w:val="bottom"/>
          </w:tcPr>
          <w:p w14:paraId="71D41BA2" w14:textId="77777777" w:rsidR="006A3667" w:rsidRDefault="006A3667">
            <w:pPr>
              <w:rPr>
                <w:rFonts w:ascii="宋体"/>
                <w:vanish/>
              </w:rPr>
            </w:pPr>
          </w:p>
        </w:tc>
        <w:tc>
          <w:tcPr>
            <w:tcW w:w="0" w:type="auto"/>
            <w:gridSpan w:val="3"/>
            <w:shd w:val="clear" w:color="auto" w:fill="auto"/>
            <w:vAlign w:val="bottom"/>
          </w:tcPr>
          <w:p w14:paraId="71D41BA3" w14:textId="77777777" w:rsidR="006A3667" w:rsidRDefault="006A3667">
            <w:pPr>
              <w:rPr>
                <w:rFonts w:ascii="宋体"/>
                <w:vanish/>
              </w:rPr>
            </w:pPr>
          </w:p>
        </w:tc>
        <w:tc>
          <w:tcPr>
            <w:tcW w:w="0" w:type="auto"/>
            <w:gridSpan w:val="3"/>
            <w:shd w:val="clear" w:color="auto" w:fill="auto"/>
            <w:vAlign w:val="bottom"/>
          </w:tcPr>
          <w:p w14:paraId="71D41BA4" w14:textId="77777777" w:rsidR="006A3667" w:rsidRDefault="006A3667">
            <w:pPr>
              <w:rPr>
                <w:rFonts w:ascii="宋体"/>
                <w:vanish/>
              </w:rPr>
            </w:pPr>
          </w:p>
        </w:tc>
      </w:tr>
      <w:tr w:rsidR="006A3667" w14:paraId="71D41BB2" w14:textId="77777777">
        <w:trPr>
          <w:hidden/>
        </w:trPr>
        <w:tc>
          <w:tcPr>
            <w:tcW w:w="0" w:type="auto"/>
            <w:gridSpan w:val="3"/>
            <w:shd w:val="clear" w:color="auto" w:fill="auto"/>
            <w:vAlign w:val="bottom"/>
          </w:tcPr>
          <w:p w14:paraId="71D41BA6" w14:textId="77777777" w:rsidR="006A3667" w:rsidRDefault="006A3667">
            <w:pPr>
              <w:rPr>
                <w:rFonts w:ascii="宋体"/>
                <w:vanish/>
              </w:rPr>
            </w:pPr>
          </w:p>
        </w:tc>
        <w:tc>
          <w:tcPr>
            <w:tcW w:w="0" w:type="auto"/>
            <w:gridSpan w:val="3"/>
            <w:shd w:val="clear" w:color="auto" w:fill="auto"/>
            <w:vAlign w:val="bottom"/>
          </w:tcPr>
          <w:p w14:paraId="71D41BA7" w14:textId="77777777" w:rsidR="006A3667" w:rsidRDefault="006A3667">
            <w:pPr>
              <w:rPr>
                <w:rFonts w:ascii="宋体"/>
                <w:vanish/>
              </w:rPr>
            </w:pPr>
          </w:p>
        </w:tc>
        <w:tc>
          <w:tcPr>
            <w:tcW w:w="0" w:type="auto"/>
            <w:gridSpan w:val="3"/>
            <w:shd w:val="clear" w:color="auto" w:fill="auto"/>
            <w:vAlign w:val="bottom"/>
          </w:tcPr>
          <w:p w14:paraId="71D41BA8" w14:textId="77777777" w:rsidR="006A3667" w:rsidRDefault="006A3667">
            <w:pPr>
              <w:rPr>
                <w:rFonts w:ascii="宋体"/>
                <w:vanish/>
              </w:rPr>
            </w:pPr>
          </w:p>
        </w:tc>
        <w:tc>
          <w:tcPr>
            <w:tcW w:w="0" w:type="auto"/>
            <w:gridSpan w:val="3"/>
            <w:shd w:val="clear" w:color="auto" w:fill="auto"/>
            <w:vAlign w:val="bottom"/>
          </w:tcPr>
          <w:p w14:paraId="71D41BA9" w14:textId="77777777" w:rsidR="006A3667" w:rsidRDefault="006A3667">
            <w:pPr>
              <w:rPr>
                <w:rFonts w:ascii="宋体"/>
                <w:vanish/>
              </w:rPr>
            </w:pPr>
          </w:p>
        </w:tc>
        <w:tc>
          <w:tcPr>
            <w:tcW w:w="0" w:type="auto"/>
            <w:gridSpan w:val="3"/>
            <w:shd w:val="clear" w:color="auto" w:fill="auto"/>
            <w:vAlign w:val="bottom"/>
          </w:tcPr>
          <w:p w14:paraId="71D41BAA" w14:textId="77777777" w:rsidR="006A3667" w:rsidRDefault="006A3667">
            <w:pPr>
              <w:rPr>
                <w:rFonts w:ascii="宋体"/>
                <w:vanish/>
              </w:rPr>
            </w:pPr>
          </w:p>
        </w:tc>
        <w:tc>
          <w:tcPr>
            <w:tcW w:w="0" w:type="auto"/>
            <w:gridSpan w:val="3"/>
            <w:shd w:val="clear" w:color="auto" w:fill="auto"/>
            <w:vAlign w:val="bottom"/>
          </w:tcPr>
          <w:p w14:paraId="71D41BAB" w14:textId="77777777" w:rsidR="006A3667" w:rsidRDefault="006A3667">
            <w:pPr>
              <w:rPr>
                <w:rFonts w:ascii="宋体"/>
                <w:vanish/>
              </w:rPr>
            </w:pPr>
          </w:p>
        </w:tc>
        <w:tc>
          <w:tcPr>
            <w:tcW w:w="0" w:type="auto"/>
            <w:gridSpan w:val="3"/>
            <w:shd w:val="clear" w:color="auto" w:fill="auto"/>
            <w:vAlign w:val="bottom"/>
          </w:tcPr>
          <w:p w14:paraId="71D41BAC" w14:textId="77777777" w:rsidR="006A3667" w:rsidRDefault="006A3667">
            <w:pPr>
              <w:rPr>
                <w:rFonts w:ascii="宋体"/>
                <w:vanish/>
              </w:rPr>
            </w:pPr>
          </w:p>
        </w:tc>
        <w:tc>
          <w:tcPr>
            <w:tcW w:w="0" w:type="auto"/>
            <w:gridSpan w:val="3"/>
            <w:shd w:val="clear" w:color="auto" w:fill="auto"/>
            <w:vAlign w:val="bottom"/>
          </w:tcPr>
          <w:p w14:paraId="71D41BAD" w14:textId="77777777" w:rsidR="006A3667" w:rsidRDefault="006A3667">
            <w:pPr>
              <w:rPr>
                <w:rFonts w:ascii="宋体"/>
                <w:vanish/>
              </w:rPr>
            </w:pPr>
          </w:p>
        </w:tc>
        <w:tc>
          <w:tcPr>
            <w:tcW w:w="0" w:type="auto"/>
            <w:gridSpan w:val="3"/>
            <w:shd w:val="clear" w:color="auto" w:fill="auto"/>
            <w:vAlign w:val="bottom"/>
          </w:tcPr>
          <w:p w14:paraId="71D41BAE" w14:textId="77777777" w:rsidR="006A3667" w:rsidRDefault="006A3667">
            <w:pPr>
              <w:rPr>
                <w:rFonts w:ascii="宋体"/>
                <w:vanish/>
              </w:rPr>
            </w:pPr>
          </w:p>
        </w:tc>
        <w:tc>
          <w:tcPr>
            <w:tcW w:w="0" w:type="auto"/>
            <w:gridSpan w:val="3"/>
            <w:shd w:val="clear" w:color="auto" w:fill="auto"/>
            <w:vAlign w:val="bottom"/>
          </w:tcPr>
          <w:p w14:paraId="71D41BAF" w14:textId="77777777" w:rsidR="006A3667" w:rsidRDefault="006A3667">
            <w:pPr>
              <w:rPr>
                <w:rFonts w:ascii="宋体"/>
                <w:vanish/>
              </w:rPr>
            </w:pPr>
          </w:p>
        </w:tc>
        <w:tc>
          <w:tcPr>
            <w:tcW w:w="0" w:type="auto"/>
            <w:gridSpan w:val="3"/>
            <w:shd w:val="clear" w:color="auto" w:fill="auto"/>
            <w:vAlign w:val="bottom"/>
          </w:tcPr>
          <w:p w14:paraId="71D41BB0" w14:textId="77777777" w:rsidR="006A3667" w:rsidRDefault="006A3667">
            <w:pPr>
              <w:rPr>
                <w:rFonts w:ascii="宋体"/>
                <w:vanish/>
              </w:rPr>
            </w:pPr>
          </w:p>
        </w:tc>
        <w:tc>
          <w:tcPr>
            <w:tcW w:w="0" w:type="auto"/>
            <w:gridSpan w:val="3"/>
            <w:shd w:val="clear" w:color="auto" w:fill="auto"/>
            <w:vAlign w:val="bottom"/>
          </w:tcPr>
          <w:p w14:paraId="71D41BB1" w14:textId="77777777" w:rsidR="006A3667" w:rsidRDefault="006A3667">
            <w:pPr>
              <w:rPr>
                <w:rFonts w:ascii="宋体"/>
                <w:vanish/>
              </w:rPr>
            </w:pPr>
          </w:p>
        </w:tc>
      </w:tr>
      <w:tr w:rsidR="006A3667" w14:paraId="71D41BBF" w14:textId="77777777">
        <w:trPr>
          <w:hidden/>
        </w:trPr>
        <w:tc>
          <w:tcPr>
            <w:tcW w:w="0" w:type="auto"/>
            <w:gridSpan w:val="3"/>
            <w:shd w:val="clear" w:color="auto" w:fill="auto"/>
            <w:vAlign w:val="bottom"/>
          </w:tcPr>
          <w:p w14:paraId="71D41BB3" w14:textId="77777777" w:rsidR="006A3667" w:rsidRDefault="006A3667">
            <w:pPr>
              <w:rPr>
                <w:rFonts w:ascii="宋体"/>
                <w:vanish/>
              </w:rPr>
            </w:pPr>
          </w:p>
        </w:tc>
        <w:tc>
          <w:tcPr>
            <w:tcW w:w="0" w:type="auto"/>
            <w:gridSpan w:val="3"/>
            <w:shd w:val="clear" w:color="auto" w:fill="auto"/>
            <w:vAlign w:val="bottom"/>
          </w:tcPr>
          <w:p w14:paraId="71D41BB4" w14:textId="77777777" w:rsidR="006A3667" w:rsidRDefault="006A3667">
            <w:pPr>
              <w:rPr>
                <w:rFonts w:ascii="宋体"/>
                <w:vanish/>
              </w:rPr>
            </w:pPr>
          </w:p>
        </w:tc>
        <w:tc>
          <w:tcPr>
            <w:tcW w:w="0" w:type="auto"/>
            <w:gridSpan w:val="3"/>
            <w:shd w:val="clear" w:color="auto" w:fill="auto"/>
            <w:vAlign w:val="bottom"/>
          </w:tcPr>
          <w:p w14:paraId="71D41BB5" w14:textId="77777777" w:rsidR="006A3667" w:rsidRDefault="006A3667">
            <w:pPr>
              <w:rPr>
                <w:rFonts w:ascii="宋体"/>
                <w:vanish/>
              </w:rPr>
            </w:pPr>
          </w:p>
        </w:tc>
        <w:tc>
          <w:tcPr>
            <w:tcW w:w="0" w:type="auto"/>
            <w:gridSpan w:val="3"/>
            <w:shd w:val="clear" w:color="auto" w:fill="auto"/>
            <w:vAlign w:val="bottom"/>
          </w:tcPr>
          <w:p w14:paraId="71D41BB6" w14:textId="77777777" w:rsidR="006A3667" w:rsidRDefault="006A3667">
            <w:pPr>
              <w:rPr>
                <w:rFonts w:ascii="宋体"/>
                <w:vanish/>
              </w:rPr>
            </w:pPr>
          </w:p>
        </w:tc>
        <w:tc>
          <w:tcPr>
            <w:tcW w:w="0" w:type="auto"/>
            <w:gridSpan w:val="3"/>
            <w:shd w:val="clear" w:color="auto" w:fill="auto"/>
            <w:vAlign w:val="bottom"/>
          </w:tcPr>
          <w:p w14:paraId="71D41BB7" w14:textId="77777777" w:rsidR="006A3667" w:rsidRDefault="006A3667">
            <w:pPr>
              <w:rPr>
                <w:rFonts w:ascii="宋体"/>
                <w:vanish/>
              </w:rPr>
            </w:pPr>
          </w:p>
        </w:tc>
        <w:tc>
          <w:tcPr>
            <w:tcW w:w="0" w:type="auto"/>
            <w:gridSpan w:val="3"/>
            <w:shd w:val="clear" w:color="auto" w:fill="auto"/>
            <w:vAlign w:val="bottom"/>
          </w:tcPr>
          <w:p w14:paraId="71D41BB8" w14:textId="77777777" w:rsidR="006A3667" w:rsidRDefault="006A3667">
            <w:pPr>
              <w:rPr>
                <w:rFonts w:ascii="宋体"/>
                <w:vanish/>
              </w:rPr>
            </w:pPr>
          </w:p>
        </w:tc>
        <w:tc>
          <w:tcPr>
            <w:tcW w:w="0" w:type="auto"/>
            <w:gridSpan w:val="3"/>
            <w:shd w:val="clear" w:color="auto" w:fill="auto"/>
            <w:vAlign w:val="bottom"/>
          </w:tcPr>
          <w:p w14:paraId="71D41BB9" w14:textId="77777777" w:rsidR="006A3667" w:rsidRDefault="006A3667">
            <w:pPr>
              <w:rPr>
                <w:rFonts w:ascii="宋体"/>
                <w:vanish/>
              </w:rPr>
            </w:pPr>
          </w:p>
        </w:tc>
        <w:tc>
          <w:tcPr>
            <w:tcW w:w="0" w:type="auto"/>
            <w:gridSpan w:val="3"/>
            <w:shd w:val="clear" w:color="auto" w:fill="auto"/>
            <w:vAlign w:val="bottom"/>
          </w:tcPr>
          <w:p w14:paraId="71D41BBA" w14:textId="77777777" w:rsidR="006A3667" w:rsidRDefault="006A3667">
            <w:pPr>
              <w:rPr>
                <w:rFonts w:ascii="宋体"/>
                <w:vanish/>
              </w:rPr>
            </w:pPr>
          </w:p>
        </w:tc>
        <w:tc>
          <w:tcPr>
            <w:tcW w:w="0" w:type="auto"/>
            <w:gridSpan w:val="3"/>
            <w:shd w:val="clear" w:color="auto" w:fill="auto"/>
            <w:vAlign w:val="bottom"/>
          </w:tcPr>
          <w:p w14:paraId="71D41BBB" w14:textId="77777777" w:rsidR="006A3667" w:rsidRDefault="006A3667">
            <w:pPr>
              <w:rPr>
                <w:rFonts w:ascii="宋体"/>
                <w:vanish/>
              </w:rPr>
            </w:pPr>
          </w:p>
        </w:tc>
        <w:tc>
          <w:tcPr>
            <w:tcW w:w="0" w:type="auto"/>
            <w:gridSpan w:val="3"/>
            <w:shd w:val="clear" w:color="auto" w:fill="auto"/>
            <w:vAlign w:val="bottom"/>
          </w:tcPr>
          <w:p w14:paraId="71D41BBC" w14:textId="77777777" w:rsidR="006A3667" w:rsidRDefault="006A3667">
            <w:pPr>
              <w:rPr>
                <w:rFonts w:ascii="宋体"/>
                <w:vanish/>
              </w:rPr>
            </w:pPr>
          </w:p>
        </w:tc>
        <w:tc>
          <w:tcPr>
            <w:tcW w:w="0" w:type="auto"/>
            <w:gridSpan w:val="3"/>
            <w:shd w:val="clear" w:color="auto" w:fill="auto"/>
            <w:vAlign w:val="bottom"/>
          </w:tcPr>
          <w:p w14:paraId="71D41BBD" w14:textId="77777777" w:rsidR="006A3667" w:rsidRDefault="006A3667">
            <w:pPr>
              <w:rPr>
                <w:rFonts w:ascii="宋体"/>
                <w:vanish/>
              </w:rPr>
            </w:pPr>
          </w:p>
        </w:tc>
        <w:tc>
          <w:tcPr>
            <w:tcW w:w="0" w:type="auto"/>
            <w:gridSpan w:val="3"/>
            <w:shd w:val="clear" w:color="auto" w:fill="auto"/>
            <w:vAlign w:val="bottom"/>
          </w:tcPr>
          <w:p w14:paraId="71D41BBE" w14:textId="77777777" w:rsidR="006A3667" w:rsidRDefault="006A3667">
            <w:pPr>
              <w:rPr>
                <w:rFonts w:ascii="宋体"/>
                <w:vanish/>
              </w:rPr>
            </w:pPr>
          </w:p>
        </w:tc>
      </w:tr>
      <w:tr w:rsidR="006A3667" w14:paraId="71D41BCC" w14:textId="77777777">
        <w:trPr>
          <w:hidden/>
        </w:trPr>
        <w:tc>
          <w:tcPr>
            <w:tcW w:w="0" w:type="auto"/>
            <w:gridSpan w:val="3"/>
            <w:shd w:val="clear" w:color="auto" w:fill="auto"/>
            <w:vAlign w:val="bottom"/>
          </w:tcPr>
          <w:p w14:paraId="71D41BC0" w14:textId="77777777" w:rsidR="006A3667" w:rsidRDefault="006A3667">
            <w:pPr>
              <w:rPr>
                <w:rFonts w:ascii="宋体"/>
                <w:vanish/>
              </w:rPr>
            </w:pPr>
          </w:p>
        </w:tc>
        <w:tc>
          <w:tcPr>
            <w:tcW w:w="0" w:type="auto"/>
            <w:gridSpan w:val="3"/>
            <w:shd w:val="clear" w:color="auto" w:fill="auto"/>
            <w:vAlign w:val="bottom"/>
          </w:tcPr>
          <w:p w14:paraId="71D41BC1" w14:textId="77777777" w:rsidR="006A3667" w:rsidRDefault="006A3667">
            <w:pPr>
              <w:rPr>
                <w:rFonts w:ascii="宋体"/>
                <w:vanish/>
              </w:rPr>
            </w:pPr>
          </w:p>
        </w:tc>
        <w:tc>
          <w:tcPr>
            <w:tcW w:w="0" w:type="auto"/>
            <w:gridSpan w:val="3"/>
            <w:shd w:val="clear" w:color="auto" w:fill="auto"/>
            <w:vAlign w:val="bottom"/>
          </w:tcPr>
          <w:p w14:paraId="71D41BC2" w14:textId="77777777" w:rsidR="006A3667" w:rsidRDefault="006A3667">
            <w:pPr>
              <w:rPr>
                <w:rFonts w:ascii="宋体"/>
                <w:vanish/>
              </w:rPr>
            </w:pPr>
          </w:p>
        </w:tc>
        <w:tc>
          <w:tcPr>
            <w:tcW w:w="0" w:type="auto"/>
            <w:gridSpan w:val="3"/>
            <w:shd w:val="clear" w:color="auto" w:fill="auto"/>
            <w:vAlign w:val="bottom"/>
          </w:tcPr>
          <w:p w14:paraId="71D41BC3" w14:textId="77777777" w:rsidR="006A3667" w:rsidRDefault="006A3667">
            <w:pPr>
              <w:rPr>
                <w:rFonts w:ascii="宋体"/>
                <w:vanish/>
              </w:rPr>
            </w:pPr>
          </w:p>
        </w:tc>
        <w:tc>
          <w:tcPr>
            <w:tcW w:w="0" w:type="auto"/>
            <w:gridSpan w:val="3"/>
            <w:shd w:val="clear" w:color="auto" w:fill="auto"/>
            <w:vAlign w:val="bottom"/>
          </w:tcPr>
          <w:p w14:paraId="71D41BC4" w14:textId="77777777" w:rsidR="006A3667" w:rsidRDefault="006A3667">
            <w:pPr>
              <w:rPr>
                <w:rFonts w:ascii="宋体"/>
                <w:vanish/>
              </w:rPr>
            </w:pPr>
          </w:p>
        </w:tc>
        <w:tc>
          <w:tcPr>
            <w:tcW w:w="0" w:type="auto"/>
            <w:gridSpan w:val="3"/>
            <w:shd w:val="clear" w:color="auto" w:fill="auto"/>
            <w:vAlign w:val="bottom"/>
          </w:tcPr>
          <w:p w14:paraId="71D41BC5" w14:textId="77777777" w:rsidR="006A3667" w:rsidRDefault="006A3667">
            <w:pPr>
              <w:rPr>
                <w:rFonts w:ascii="宋体"/>
                <w:vanish/>
              </w:rPr>
            </w:pPr>
          </w:p>
        </w:tc>
        <w:tc>
          <w:tcPr>
            <w:tcW w:w="0" w:type="auto"/>
            <w:gridSpan w:val="3"/>
            <w:shd w:val="clear" w:color="auto" w:fill="auto"/>
            <w:vAlign w:val="bottom"/>
          </w:tcPr>
          <w:p w14:paraId="71D41BC6" w14:textId="77777777" w:rsidR="006A3667" w:rsidRDefault="006A3667">
            <w:pPr>
              <w:rPr>
                <w:rFonts w:ascii="宋体"/>
                <w:vanish/>
              </w:rPr>
            </w:pPr>
          </w:p>
        </w:tc>
        <w:tc>
          <w:tcPr>
            <w:tcW w:w="0" w:type="auto"/>
            <w:gridSpan w:val="3"/>
            <w:shd w:val="clear" w:color="auto" w:fill="auto"/>
            <w:vAlign w:val="bottom"/>
          </w:tcPr>
          <w:p w14:paraId="71D41BC7" w14:textId="77777777" w:rsidR="006A3667" w:rsidRDefault="006A3667">
            <w:pPr>
              <w:rPr>
                <w:rFonts w:ascii="宋体"/>
                <w:vanish/>
              </w:rPr>
            </w:pPr>
          </w:p>
        </w:tc>
        <w:tc>
          <w:tcPr>
            <w:tcW w:w="0" w:type="auto"/>
            <w:gridSpan w:val="3"/>
            <w:shd w:val="clear" w:color="auto" w:fill="auto"/>
            <w:vAlign w:val="bottom"/>
          </w:tcPr>
          <w:p w14:paraId="71D41BC8" w14:textId="77777777" w:rsidR="006A3667" w:rsidRDefault="006A3667">
            <w:pPr>
              <w:rPr>
                <w:rFonts w:ascii="宋体"/>
                <w:vanish/>
              </w:rPr>
            </w:pPr>
          </w:p>
        </w:tc>
        <w:tc>
          <w:tcPr>
            <w:tcW w:w="0" w:type="auto"/>
            <w:gridSpan w:val="3"/>
            <w:shd w:val="clear" w:color="auto" w:fill="auto"/>
            <w:vAlign w:val="bottom"/>
          </w:tcPr>
          <w:p w14:paraId="71D41BC9" w14:textId="77777777" w:rsidR="006A3667" w:rsidRDefault="006A3667">
            <w:pPr>
              <w:rPr>
                <w:rFonts w:ascii="宋体"/>
                <w:vanish/>
              </w:rPr>
            </w:pPr>
          </w:p>
        </w:tc>
        <w:tc>
          <w:tcPr>
            <w:tcW w:w="0" w:type="auto"/>
            <w:gridSpan w:val="3"/>
            <w:shd w:val="clear" w:color="auto" w:fill="auto"/>
            <w:vAlign w:val="bottom"/>
          </w:tcPr>
          <w:p w14:paraId="71D41BCA" w14:textId="77777777" w:rsidR="006A3667" w:rsidRDefault="006A3667">
            <w:pPr>
              <w:rPr>
                <w:rFonts w:ascii="宋体"/>
                <w:vanish/>
              </w:rPr>
            </w:pPr>
          </w:p>
        </w:tc>
        <w:tc>
          <w:tcPr>
            <w:tcW w:w="0" w:type="auto"/>
            <w:gridSpan w:val="3"/>
            <w:shd w:val="clear" w:color="auto" w:fill="auto"/>
            <w:vAlign w:val="bottom"/>
          </w:tcPr>
          <w:p w14:paraId="71D41BCB" w14:textId="77777777" w:rsidR="006A3667" w:rsidRDefault="006A3667">
            <w:pPr>
              <w:rPr>
                <w:rFonts w:ascii="宋体"/>
                <w:vanish/>
              </w:rPr>
            </w:pPr>
          </w:p>
        </w:tc>
      </w:tr>
    </w:tbl>
    <w:p w14:paraId="71D41BCD" w14:textId="77777777" w:rsidR="006A3667" w:rsidRDefault="006A3667">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1669"/>
        <w:gridCol w:w="37"/>
        <w:gridCol w:w="99"/>
        <w:gridCol w:w="889"/>
        <w:gridCol w:w="36"/>
        <w:gridCol w:w="36"/>
        <w:gridCol w:w="36"/>
        <w:gridCol w:w="36"/>
        <w:gridCol w:w="99"/>
        <w:gridCol w:w="865"/>
        <w:gridCol w:w="36"/>
        <w:gridCol w:w="36"/>
        <w:gridCol w:w="36"/>
        <w:gridCol w:w="36"/>
        <w:gridCol w:w="99"/>
        <w:gridCol w:w="865"/>
        <w:gridCol w:w="36"/>
        <w:gridCol w:w="36"/>
        <w:gridCol w:w="36"/>
        <w:gridCol w:w="36"/>
        <w:gridCol w:w="99"/>
        <w:gridCol w:w="852"/>
        <w:gridCol w:w="36"/>
        <w:gridCol w:w="36"/>
        <w:gridCol w:w="36"/>
        <w:gridCol w:w="36"/>
        <w:gridCol w:w="99"/>
        <w:gridCol w:w="866"/>
        <w:gridCol w:w="36"/>
        <w:gridCol w:w="36"/>
        <w:gridCol w:w="36"/>
        <w:gridCol w:w="36"/>
        <w:gridCol w:w="99"/>
        <w:gridCol w:w="867"/>
        <w:gridCol w:w="36"/>
      </w:tblGrid>
      <w:tr w:rsidR="006A3667" w14:paraId="71D41BF2" w14:textId="77777777">
        <w:tc>
          <w:tcPr>
            <w:tcW w:w="50" w:type="pct"/>
            <w:shd w:val="clear" w:color="auto" w:fill="auto"/>
            <w:vAlign w:val="bottom"/>
          </w:tcPr>
          <w:p w14:paraId="71D41BCE" w14:textId="77777777" w:rsidR="006A3667" w:rsidRDefault="006A3667">
            <w:pPr>
              <w:rPr>
                <w:rFonts w:ascii="宋体"/>
              </w:rPr>
            </w:pPr>
          </w:p>
        </w:tc>
        <w:tc>
          <w:tcPr>
            <w:tcW w:w="1031" w:type="pct"/>
            <w:shd w:val="clear" w:color="auto" w:fill="auto"/>
            <w:vAlign w:val="bottom"/>
          </w:tcPr>
          <w:p w14:paraId="71D41BCF" w14:textId="77777777" w:rsidR="006A3667" w:rsidRDefault="006A3667">
            <w:pPr>
              <w:rPr>
                <w:rFonts w:ascii="宋体"/>
              </w:rPr>
            </w:pPr>
          </w:p>
        </w:tc>
        <w:tc>
          <w:tcPr>
            <w:tcW w:w="5" w:type="pct"/>
            <w:shd w:val="clear" w:color="auto" w:fill="auto"/>
            <w:vAlign w:val="bottom"/>
          </w:tcPr>
          <w:p w14:paraId="71D41BD0" w14:textId="77777777" w:rsidR="006A3667" w:rsidRDefault="006A3667">
            <w:pPr>
              <w:rPr>
                <w:rFonts w:ascii="宋体"/>
              </w:rPr>
            </w:pPr>
          </w:p>
        </w:tc>
        <w:tc>
          <w:tcPr>
            <w:tcW w:w="50" w:type="pct"/>
            <w:shd w:val="clear" w:color="auto" w:fill="auto"/>
            <w:vAlign w:val="bottom"/>
          </w:tcPr>
          <w:p w14:paraId="71D41BD1" w14:textId="77777777" w:rsidR="006A3667" w:rsidRDefault="006A3667">
            <w:pPr>
              <w:rPr>
                <w:rFonts w:ascii="宋体"/>
              </w:rPr>
            </w:pPr>
          </w:p>
        </w:tc>
        <w:tc>
          <w:tcPr>
            <w:tcW w:w="561" w:type="pct"/>
            <w:shd w:val="clear" w:color="auto" w:fill="auto"/>
            <w:vAlign w:val="bottom"/>
          </w:tcPr>
          <w:p w14:paraId="71D41BD2" w14:textId="77777777" w:rsidR="006A3667" w:rsidRDefault="006A3667">
            <w:pPr>
              <w:rPr>
                <w:rFonts w:ascii="宋体"/>
              </w:rPr>
            </w:pPr>
          </w:p>
        </w:tc>
        <w:tc>
          <w:tcPr>
            <w:tcW w:w="5" w:type="pct"/>
            <w:shd w:val="clear" w:color="auto" w:fill="auto"/>
            <w:vAlign w:val="bottom"/>
          </w:tcPr>
          <w:p w14:paraId="71D41BD3" w14:textId="77777777" w:rsidR="006A3667" w:rsidRDefault="006A3667">
            <w:pPr>
              <w:rPr>
                <w:rFonts w:ascii="宋体"/>
              </w:rPr>
            </w:pPr>
          </w:p>
        </w:tc>
        <w:tc>
          <w:tcPr>
            <w:tcW w:w="5" w:type="pct"/>
            <w:shd w:val="clear" w:color="auto" w:fill="auto"/>
            <w:vAlign w:val="bottom"/>
          </w:tcPr>
          <w:p w14:paraId="71D41BD4" w14:textId="77777777" w:rsidR="006A3667" w:rsidRDefault="006A3667">
            <w:pPr>
              <w:rPr>
                <w:rFonts w:ascii="宋体"/>
              </w:rPr>
            </w:pPr>
          </w:p>
        </w:tc>
        <w:tc>
          <w:tcPr>
            <w:tcW w:w="26" w:type="pct"/>
            <w:shd w:val="clear" w:color="auto" w:fill="auto"/>
            <w:vAlign w:val="bottom"/>
          </w:tcPr>
          <w:p w14:paraId="71D41BD5" w14:textId="77777777" w:rsidR="006A3667" w:rsidRDefault="006A3667">
            <w:pPr>
              <w:rPr>
                <w:rFonts w:ascii="宋体"/>
              </w:rPr>
            </w:pPr>
          </w:p>
        </w:tc>
        <w:tc>
          <w:tcPr>
            <w:tcW w:w="5" w:type="pct"/>
            <w:shd w:val="clear" w:color="auto" w:fill="auto"/>
            <w:vAlign w:val="bottom"/>
          </w:tcPr>
          <w:p w14:paraId="71D41BD6" w14:textId="77777777" w:rsidR="006A3667" w:rsidRDefault="006A3667">
            <w:pPr>
              <w:rPr>
                <w:rFonts w:ascii="宋体"/>
              </w:rPr>
            </w:pPr>
          </w:p>
        </w:tc>
        <w:tc>
          <w:tcPr>
            <w:tcW w:w="50" w:type="pct"/>
            <w:shd w:val="clear" w:color="auto" w:fill="auto"/>
            <w:vAlign w:val="bottom"/>
          </w:tcPr>
          <w:p w14:paraId="71D41BD7" w14:textId="77777777" w:rsidR="006A3667" w:rsidRDefault="006A3667">
            <w:pPr>
              <w:rPr>
                <w:rFonts w:ascii="宋体"/>
              </w:rPr>
            </w:pPr>
          </w:p>
        </w:tc>
        <w:tc>
          <w:tcPr>
            <w:tcW w:w="569" w:type="pct"/>
            <w:shd w:val="clear" w:color="auto" w:fill="auto"/>
            <w:vAlign w:val="bottom"/>
          </w:tcPr>
          <w:p w14:paraId="71D41BD8" w14:textId="77777777" w:rsidR="006A3667" w:rsidRDefault="006A3667">
            <w:pPr>
              <w:rPr>
                <w:rFonts w:ascii="宋体"/>
              </w:rPr>
            </w:pPr>
          </w:p>
        </w:tc>
        <w:tc>
          <w:tcPr>
            <w:tcW w:w="5" w:type="pct"/>
            <w:shd w:val="clear" w:color="auto" w:fill="auto"/>
            <w:vAlign w:val="bottom"/>
          </w:tcPr>
          <w:p w14:paraId="71D41BD9" w14:textId="77777777" w:rsidR="006A3667" w:rsidRDefault="006A3667">
            <w:pPr>
              <w:rPr>
                <w:rFonts w:ascii="宋体"/>
              </w:rPr>
            </w:pPr>
          </w:p>
        </w:tc>
        <w:tc>
          <w:tcPr>
            <w:tcW w:w="5" w:type="pct"/>
            <w:shd w:val="clear" w:color="auto" w:fill="auto"/>
            <w:vAlign w:val="bottom"/>
          </w:tcPr>
          <w:p w14:paraId="71D41BDA" w14:textId="77777777" w:rsidR="006A3667" w:rsidRDefault="006A3667">
            <w:pPr>
              <w:rPr>
                <w:rFonts w:ascii="宋体"/>
              </w:rPr>
            </w:pPr>
          </w:p>
        </w:tc>
        <w:tc>
          <w:tcPr>
            <w:tcW w:w="26" w:type="pct"/>
            <w:shd w:val="clear" w:color="auto" w:fill="auto"/>
            <w:vAlign w:val="bottom"/>
          </w:tcPr>
          <w:p w14:paraId="71D41BDB" w14:textId="77777777" w:rsidR="006A3667" w:rsidRDefault="006A3667">
            <w:pPr>
              <w:rPr>
                <w:rFonts w:ascii="宋体"/>
              </w:rPr>
            </w:pPr>
          </w:p>
        </w:tc>
        <w:tc>
          <w:tcPr>
            <w:tcW w:w="5" w:type="pct"/>
            <w:shd w:val="clear" w:color="auto" w:fill="auto"/>
            <w:vAlign w:val="bottom"/>
          </w:tcPr>
          <w:p w14:paraId="71D41BDC" w14:textId="77777777" w:rsidR="006A3667" w:rsidRDefault="006A3667">
            <w:pPr>
              <w:rPr>
                <w:rFonts w:ascii="宋体"/>
              </w:rPr>
            </w:pPr>
          </w:p>
        </w:tc>
        <w:tc>
          <w:tcPr>
            <w:tcW w:w="50" w:type="pct"/>
            <w:shd w:val="clear" w:color="auto" w:fill="auto"/>
            <w:vAlign w:val="bottom"/>
          </w:tcPr>
          <w:p w14:paraId="71D41BDD" w14:textId="77777777" w:rsidR="006A3667" w:rsidRDefault="006A3667">
            <w:pPr>
              <w:rPr>
                <w:rFonts w:ascii="宋体"/>
              </w:rPr>
            </w:pPr>
          </w:p>
        </w:tc>
        <w:tc>
          <w:tcPr>
            <w:tcW w:w="569" w:type="pct"/>
            <w:shd w:val="clear" w:color="auto" w:fill="auto"/>
            <w:vAlign w:val="bottom"/>
          </w:tcPr>
          <w:p w14:paraId="71D41BDE" w14:textId="77777777" w:rsidR="006A3667" w:rsidRDefault="006A3667">
            <w:pPr>
              <w:rPr>
                <w:rFonts w:ascii="宋体"/>
              </w:rPr>
            </w:pPr>
          </w:p>
        </w:tc>
        <w:tc>
          <w:tcPr>
            <w:tcW w:w="5" w:type="pct"/>
            <w:shd w:val="clear" w:color="auto" w:fill="auto"/>
            <w:vAlign w:val="bottom"/>
          </w:tcPr>
          <w:p w14:paraId="71D41BDF" w14:textId="77777777" w:rsidR="006A3667" w:rsidRDefault="006A3667">
            <w:pPr>
              <w:rPr>
                <w:rFonts w:ascii="宋体"/>
              </w:rPr>
            </w:pPr>
          </w:p>
        </w:tc>
        <w:tc>
          <w:tcPr>
            <w:tcW w:w="5" w:type="pct"/>
            <w:shd w:val="clear" w:color="auto" w:fill="auto"/>
            <w:vAlign w:val="bottom"/>
          </w:tcPr>
          <w:p w14:paraId="71D41BE0" w14:textId="77777777" w:rsidR="006A3667" w:rsidRDefault="006A3667">
            <w:pPr>
              <w:rPr>
                <w:rFonts w:ascii="宋体"/>
              </w:rPr>
            </w:pPr>
          </w:p>
        </w:tc>
        <w:tc>
          <w:tcPr>
            <w:tcW w:w="26" w:type="pct"/>
            <w:shd w:val="clear" w:color="auto" w:fill="auto"/>
            <w:vAlign w:val="bottom"/>
          </w:tcPr>
          <w:p w14:paraId="71D41BE1" w14:textId="77777777" w:rsidR="006A3667" w:rsidRDefault="006A3667">
            <w:pPr>
              <w:rPr>
                <w:rFonts w:ascii="宋体"/>
              </w:rPr>
            </w:pPr>
          </w:p>
        </w:tc>
        <w:tc>
          <w:tcPr>
            <w:tcW w:w="5" w:type="pct"/>
            <w:shd w:val="clear" w:color="auto" w:fill="auto"/>
            <w:vAlign w:val="bottom"/>
          </w:tcPr>
          <w:p w14:paraId="71D41BE2" w14:textId="77777777" w:rsidR="006A3667" w:rsidRDefault="006A3667">
            <w:pPr>
              <w:rPr>
                <w:rFonts w:ascii="宋体"/>
              </w:rPr>
            </w:pPr>
          </w:p>
        </w:tc>
        <w:tc>
          <w:tcPr>
            <w:tcW w:w="50" w:type="pct"/>
            <w:shd w:val="clear" w:color="auto" w:fill="auto"/>
            <w:vAlign w:val="bottom"/>
          </w:tcPr>
          <w:p w14:paraId="71D41BE3" w14:textId="77777777" w:rsidR="006A3667" w:rsidRDefault="006A3667">
            <w:pPr>
              <w:rPr>
                <w:rFonts w:ascii="宋体"/>
              </w:rPr>
            </w:pPr>
          </w:p>
        </w:tc>
        <w:tc>
          <w:tcPr>
            <w:tcW w:w="561" w:type="pct"/>
            <w:shd w:val="clear" w:color="auto" w:fill="auto"/>
            <w:vAlign w:val="bottom"/>
          </w:tcPr>
          <w:p w14:paraId="71D41BE4" w14:textId="77777777" w:rsidR="006A3667" w:rsidRDefault="006A3667">
            <w:pPr>
              <w:rPr>
                <w:rFonts w:ascii="宋体"/>
              </w:rPr>
            </w:pPr>
          </w:p>
        </w:tc>
        <w:tc>
          <w:tcPr>
            <w:tcW w:w="5" w:type="pct"/>
            <w:shd w:val="clear" w:color="auto" w:fill="auto"/>
            <w:vAlign w:val="bottom"/>
          </w:tcPr>
          <w:p w14:paraId="71D41BE5" w14:textId="77777777" w:rsidR="006A3667" w:rsidRDefault="006A3667">
            <w:pPr>
              <w:rPr>
                <w:rFonts w:ascii="宋体"/>
              </w:rPr>
            </w:pPr>
          </w:p>
        </w:tc>
        <w:tc>
          <w:tcPr>
            <w:tcW w:w="5" w:type="pct"/>
            <w:shd w:val="clear" w:color="auto" w:fill="auto"/>
            <w:vAlign w:val="bottom"/>
          </w:tcPr>
          <w:p w14:paraId="71D41BE6" w14:textId="77777777" w:rsidR="006A3667" w:rsidRDefault="006A3667">
            <w:pPr>
              <w:rPr>
                <w:rFonts w:ascii="宋体"/>
              </w:rPr>
            </w:pPr>
          </w:p>
        </w:tc>
        <w:tc>
          <w:tcPr>
            <w:tcW w:w="26" w:type="pct"/>
            <w:shd w:val="clear" w:color="auto" w:fill="auto"/>
            <w:vAlign w:val="bottom"/>
          </w:tcPr>
          <w:p w14:paraId="71D41BE7" w14:textId="77777777" w:rsidR="006A3667" w:rsidRDefault="006A3667">
            <w:pPr>
              <w:rPr>
                <w:rFonts w:ascii="宋体"/>
              </w:rPr>
            </w:pPr>
          </w:p>
        </w:tc>
        <w:tc>
          <w:tcPr>
            <w:tcW w:w="5" w:type="pct"/>
            <w:shd w:val="clear" w:color="auto" w:fill="auto"/>
            <w:vAlign w:val="bottom"/>
          </w:tcPr>
          <w:p w14:paraId="71D41BE8" w14:textId="77777777" w:rsidR="006A3667" w:rsidRDefault="006A3667">
            <w:pPr>
              <w:rPr>
                <w:rFonts w:ascii="宋体"/>
              </w:rPr>
            </w:pPr>
          </w:p>
        </w:tc>
        <w:tc>
          <w:tcPr>
            <w:tcW w:w="50" w:type="pct"/>
            <w:shd w:val="clear" w:color="auto" w:fill="auto"/>
            <w:vAlign w:val="bottom"/>
          </w:tcPr>
          <w:p w14:paraId="71D41BE9" w14:textId="77777777" w:rsidR="006A3667" w:rsidRDefault="006A3667">
            <w:pPr>
              <w:rPr>
                <w:rFonts w:ascii="宋体"/>
              </w:rPr>
            </w:pPr>
          </w:p>
        </w:tc>
        <w:tc>
          <w:tcPr>
            <w:tcW w:w="569" w:type="pct"/>
            <w:shd w:val="clear" w:color="auto" w:fill="auto"/>
            <w:vAlign w:val="bottom"/>
          </w:tcPr>
          <w:p w14:paraId="71D41BEA" w14:textId="77777777" w:rsidR="006A3667" w:rsidRDefault="006A3667">
            <w:pPr>
              <w:rPr>
                <w:rFonts w:ascii="宋体"/>
              </w:rPr>
            </w:pPr>
          </w:p>
        </w:tc>
        <w:tc>
          <w:tcPr>
            <w:tcW w:w="5" w:type="pct"/>
            <w:shd w:val="clear" w:color="auto" w:fill="auto"/>
            <w:vAlign w:val="bottom"/>
          </w:tcPr>
          <w:p w14:paraId="71D41BEB" w14:textId="77777777" w:rsidR="006A3667" w:rsidRDefault="006A3667">
            <w:pPr>
              <w:rPr>
                <w:rFonts w:ascii="宋体"/>
              </w:rPr>
            </w:pPr>
          </w:p>
        </w:tc>
        <w:tc>
          <w:tcPr>
            <w:tcW w:w="5" w:type="pct"/>
            <w:shd w:val="clear" w:color="auto" w:fill="auto"/>
            <w:vAlign w:val="bottom"/>
          </w:tcPr>
          <w:p w14:paraId="71D41BEC" w14:textId="77777777" w:rsidR="006A3667" w:rsidRDefault="006A3667">
            <w:pPr>
              <w:rPr>
                <w:rFonts w:ascii="宋体"/>
              </w:rPr>
            </w:pPr>
          </w:p>
        </w:tc>
        <w:tc>
          <w:tcPr>
            <w:tcW w:w="26" w:type="pct"/>
            <w:shd w:val="clear" w:color="auto" w:fill="auto"/>
            <w:vAlign w:val="bottom"/>
          </w:tcPr>
          <w:p w14:paraId="71D41BED" w14:textId="77777777" w:rsidR="006A3667" w:rsidRDefault="006A3667">
            <w:pPr>
              <w:rPr>
                <w:rFonts w:ascii="宋体"/>
              </w:rPr>
            </w:pPr>
          </w:p>
        </w:tc>
        <w:tc>
          <w:tcPr>
            <w:tcW w:w="5" w:type="pct"/>
            <w:shd w:val="clear" w:color="auto" w:fill="auto"/>
            <w:vAlign w:val="bottom"/>
          </w:tcPr>
          <w:p w14:paraId="71D41BEE" w14:textId="77777777" w:rsidR="006A3667" w:rsidRDefault="006A3667">
            <w:pPr>
              <w:rPr>
                <w:rFonts w:ascii="宋体"/>
              </w:rPr>
            </w:pPr>
          </w:p>
        </w:tc>
        <w:tc>
          <w:tcPr>
            <w:tcW w:w="50" w:type="pct"/>
            <w:shd w:val="clear" w:color="auto" w:fill="auto"/>
            <w:vAlign w:val="bottom"/>
          </w:tcPr>
          <w:p w14:paraId="71D41BEF" w14:textId="77777777" w:rsidR="006A3667" w:rsidRDefault="006A3667">
            <w:pPr>
              <w:rPr>
                <w:rFonts w:ascii="宋体"/>
              </w:rPr>
            </w:pPr>
          </w:p>
        </w:tc>
        <w:tc>
          <w:tcPr>
            <w:tcW w:w="569" w:type="pct"/>
            <w:shd w:val="clear" w:color="auto" w:fill="auto"/>
            <w:vAlign w:val="bottom"/>
          </w:tcPr>
          <w:p w14:paraId="71D41BF0" w14:textId="77777777" w:rsidR="006A3667" w:rsidRDefault="006A3667">
            <w:pPr>
              <w:rPr>
                <w:rFonts w:ascii="宋体"/>
              </w:rPr>
            </w:pPr>
          </w:p>
        </w:tc>
        <w:tc>
          <w:tcPr>
            <w:tcW w:w="5" w:type="pct"/>
            <w:shd w:val="clear" w:color="auto" w:fill="auto"/>
            <w:vAlign w:val="bottom"/>
          </w:tcPr>
          <w:p w14:paraId="71D41BF1" w14:textId="77777777" w:rsidR="006A3667" w:rsidRDefault="006A3667">
            <w:pPr>
              <w:rPr>
                <w:rFonts w:ascii="宋体"/>
              </w:rPr>
            </w:pPr>
          </w:p>
        </w:tc>
      </w:tr>
      <w:tr w:rsidR="006A3667" w14:paraId="71D41C15" w14:textId="77777777">
        <w:trPr>
          <w:hidden/>
        </w:trPr>
        <w:tc>
          <w:tcPr>
            <w:tcW w:w="0" w:type="auto"/>
            <w:gridSpan w:val="3"/>
            <w:shd w:val="clear" w:color="auto" w:fill="auto"/>
            <w:vAlign w:val="bottom"/>
          </w:tcPr>
          <w:p w14:paraId="71D41BF3" w14:textId="77777777" w:rsidR="006A3667" w:rsidRDefault="006A3667">
            <w:pPr>
              <w:rPr>
                <w:rFonts w:ascii="宋体"/>
                <w:vanish/>
              </w:rPr>
            </w:pPr>
          </w:p>
        </w:tc>
        <w:tc>
          <w:tcPr>
            <w:tcW w:w="0" w:type="auto"/>
            <w:shd w:val="clear" w:color="auto" w:fill="auto"/>
            <w:vAlign w:val="bottom"/>
          </w:tcPr>
          <w:p w14:paraId="71D41BF4" w14:textId="77777777" w:rsidR="006A3667" w:rsidRDefault="006A3667">
            <w:pPr>
              <w:rPr>
                <w:rFonts w:ascii="宋体"/>
              </w:rPr>
            </w:pPr>
          </w:p>
        </w:tc>
        <w:tc>
          <w:tcPr>
            <w:tcW w:w="0" w:type="auto"/>
            <w:shd w:val="clear" w:color="auto" w:fill="auto"/>
            <w:vAlign w:val="bottom"/>
          </w:tcPr>
          <w:p w14:paraId="71D41BF5" w14:textId="77777777" w:rsidR="006A3667" w:rsidRDefault="006A3667">
            <w:pPr>
              <w:rPr>
                <w:rFonts w:ascii="宋体"/>
              </w:rPr>
            </w:pPr>
          </w:p>
        </w:tc>
        <w:tc>
          <w:tcPr>
            <w:tcW w:w="0" w:type="auto"/>
            <w:shd w:val="clear" w:color="auto" w:fill="auto"/>
            <w:vAlign w:val="bottom"/>
          </w:tcPr>
          <w:p w14:paraId="71D41BF6" w14:textId="77777777" w:rsidR="006A3667" w:rsidRDefault="006A3667">
            <w:pPr>
              <w:rPr>
                <w:rFonts w:ascii="宋体"/>
              </w:rPr>
            </w:pPr>
          </w:p>
        </w:tc>
        <w:tc>
          <w:tcPr>
            <w:tcW w:w="0" w:type="auto"/>
            <w:shd w:val="clear" w:color="auto" w:fill="auto"/>
            <w:vAlign w:val="bottom"/>
          </w:tcPr>
          <w:p w14:paraId="71D41BF7" w14:textId="77777777" w:rsidR="006A3667" w:rsidRDefault="006A3667">
            <w:pPr>
              <w:rPr>
                <w:rFonts w:ascii="宋体"/>
              </w:rPr>
            </w:pPr>
          </w:p>
        </w:tc>
        <w:tc>
          <w:tcPr>
            <w:tcW w:w="0" w:type="auto"/>
            <w:shd w:val="clear" w:color="auto" w:fill="auto"/>
            <w:vAlign w:val="bottom"/>
          </w:tcPr>
          <w:p w14:paraId="71D41BF8" w14:textId="77777777" w:rsidR="006A3667" w:rsidRDefault="006A3667">
            <w:pPr>
              <w:rPr>
                <w:rFonts w:ascii="宋体"/>
              </w:rPr>
            </w:pPr>
          </w:p>
        </w:tc>
        <w:tc>
          <w:tcPr>
            <w:tcW w:w="0" w:type="auto"/>
            <w:shd w:val="clear" w:color="auto" w:fill="auto"/>
            <w:vAlign w:val="bottom"/>
          </w:tcPr>
          <w:p w14:paraId="71D41BF9" w14:textId="77777777" w:rsidR="006A3667" w:rsidRDefault="006A3667">
            <w:pPr>
              <w:rPr>
                <w:rFonts w:ascii="宋体"/>
              </w:rPr>
            </w:pPr>
          </w:p>
        </w:tc>
        <w:tc>
          <w:tcPr>
            <w:tcW w:w="0" w:type="auto"/>
            <w:shd w:val="clear" w:color="auto" w:fill="auto"/>
            <w:vAlign w:val="bottom"/>
          </w:tcPr>
          <w:p w14:paraId="71D41BFA" w14:textId="77777777" w:rsidR="006A3667" w:rsidRDefault="006A3667">
            <w:pPr>
              <w:rPr>
                <w:rFonts w:ascii="宋体"/>
              </w:rPr>
            </w:pPr>
          </w:p>
        </w:tc>
        <w:tc>
          <w:tcPr>
            <w:tcW w:w="0" w:type="auto"/>
            <w:shd w:val="clear" w:color="auto" w:fill="auto"/>
            <w:vAlign w:val="bottom"/>
          </w:tcPr>
          <w:p w14:paraId="71D41BFB" w14:textId="77777777" w:rsidR="006A3667" w:rsidRDefault="006A3667">
            <w:pPr>
              <w:rPr>
                <w:rFonts w:ascii="宋体"/>
              </w:rPr>
            </w:pPr>
          </w:p>
        </w:tc>
        <w:tc>
          <w:tcPr>
            <w:tcW w:w="0" w:type="auto"/>
            <w:shd w:val="clear" w:color="auto" w:fill="auto"/>
            <w:vAlign w:val="bottom"/>
          </w:tcPr>
          <w:p w14:paraId="71D41BFC" w14:textId="77777777" w:rsidR="006A3667" w:rsidRDefault="006A3667">
            <w:pPr>
              <w:rPr>
                <w:rFonts w:ascii="宋体"/>
              </w:rPr>
            </w:pPr>
          </w:p>
        </w:tc>
        <w:tc>
          <w:tcPr>
            <w:tcW w:w="0" w:type="auto"/>
            <w:shd w:val="clear" w:color="auto" w:fill="auto"/>
            <w:vAlign w:val="bottom"/>
          </w:tcPr>
          <w:p w14:paraId="71D41BFD" w14:textId="77777777" w:rsidR="006A3667" w:rsidRDefault="006A3667">
            <w:pPr>
              <w:rPr>
                <w:rFonts w:ascii="宋体"/>
              </w:rPr>
            </w:pPr>
          </w:p>
        </w:tc>
        <w:tc>
          <w:tcPr>
            <w:tcW w:w="0" w:type="auto"/>
            <w:shd w:val="clear" w:color="auto" w:fill="auto"/>
            <w:vAlign w:val="bottom"/>
          </w:tcPr>
          <w:p w14:paraId="71D41BFE" w14:textId="77777777" w:rsidR="006A3667" w:rsidRDefault="006A3667">
            <w:pPr>
              <w:rPr>
                <w:rFonts w:ascii="宋体"/>
              </w:rPr>
            </w:pPr>
          </w:p>
        </w:tc>
        <w:tc>
          <w:tcPr>
            <w:tcW w:w="0" w:type="auto"/>
            <w:shd w:val="clear" w:color="auto" w:fill="auto"/>
            <w:vAlign w:val="bottom"/>
          </w:tcPr>
          <w:p w14:paraId="71D41BFF" w14:textId="77777777" w:rsidR="006A3667" w:rsidRDefault="006A3667">
            <w:pPr>
              <w:rPr>
                <w:rFonts w:ascii="宋体"/>
              </w:rPr>
            </w:pPr>
          </w:p>
        </w:tc>
        <w:tc>
          <w:tcPr>
            <w:tcW w:w="0" w:type="auto"/>
            <w:shd w:val="clear" w:color="auto" w:fill="auto"/>
            <w:vAlign w:val="bottom"/>
          </w:tcPr>
          <w:p w14:paraId="71D41C00" w14:textId="77777777" w:rsidR="006A3667" w:rsidRDefault="006A3667">
            <w:pPr>
              <w:rPr>
                <w:rFonts w:ascii="宋体"/>
              </w:rPr>
            </w:pPr>
          </w:p>
        </w:tc>
        <w:tc>
          <w:tcPr>
            <w:tcW w:w="0" w:type="auto"/>
            <w:shd w:val="clear" w:color="auto" w:fill="auto"/>
            <w:vAlign w:val="bottom"/>
          </w:tcPr>
          <w:p w14:paraId="71D41C01" w14:textId="77777777" w:rsidR="006A3667" w:rsidRDefault="006A3667">
            <w:pPr>
              <w:rPr>
                <w:rFonts w:ascii="宋体"/>
              </w:rPr>
            </w:pPr>
          </w:p>
        </w:tc>
        <w:tc>
          <w:tcPr>
            <w:tcW w:w="0" w:type="auto"/>
            <w:shd w:val="clear" w:color="auto" w:fill="auto"/>
            <w:vAlign w:val="bottom"/>
          </w:tcPr>
          <w:p w14:paraId="71D41C02" w14:textId="77777777" w:rsidR="006A3667" w:rsidRDefault="006A3667">
            <w:pPr>
              <w:rPr>
                <w:rFonts w:ascii="宋体"/>
              </w:rPr>
            </w:pPr>
          </w:p>
        </w:tc>
        <w:tc>
          <w:tcPr>
            <w:tcW w:w="0" w:type="auto"/>
            <w:shd w:val="clear" w:color="auto" w:fill="auto"/>
            <w:vAlign w:val="bottom"/>
          </w:tcPr>
          <w:p w14:paraId="71D41C03" w14:textId="77777777" w:rsidR="006A3667" w:rsidRDefault="006A3667">
            <w:pPr>
              <w:rPr>
                <w:rFonts w:ascii="宋体"/>
              </w:rPr>
            </w:pPr>
          </w:p>
        </w:tc>
        <w:tc>
          <w:tcPr>
            <w:tcW w:w="0" w:type="auto"/>
            <w:shd w:val="clear" w:color="auto" w:fill="auto"/>
            <w:vAlign w:val="bottom"/>
          </w:tcPr>
          <w:p w14:paraId="71D41C04" w14:textId="77777777" w:rsidR="006A3667" w:rsidRDefault="006A3667">
            <w:pPr>
              <w:rPr>
                <w:rFonts w:ascii="宋体"/>
              </w:rPr>
            </w:pPr>
          </w:p>
        </w:tc>
        <w:tc>
          <w:tcPr>
            <w:tcW w:w="0" w:type="auto"/>
            <w:shd w:val="clear" w:color="auto" w:fill="auto"/>
            <w:vAlign w:val="bottom"/>
          </w:tcPr>
          <w:p w14:paraId="71D41C05" w14:textId="77777777" w:rsidR="006A3667" w:rsidRDefault="006A3667">
            <w:pPr>
              <w:rPr>
                <w:rFonts w:ascii="宋体"/>
              </w:rPr>
            </w:pPr>
          </w:p>
        </w:tc>
        <w:tc>
          <w:tcPr>
            <w:tcW w:w="0" w:type="auto"/>
            <w:shd w:val="clear" w:color="auto" w:fill="auto"/>
            <w:vAlign w:val="bottom"/>
          </w:tcPr>
          <w:p w14:paraId="71D41C06" w14:textId="77777777" w:rsidR="006A3667" w:rsidRDefault="006A3667">
            <w:pPr>
              <w:rPr>
                <w:rFonts w:ascii="宋体"/>
              </w:rPr>
            </w:pPr>
          </w:p>
        </w:tc>
        <w:tc>
          <w:tcPr>
            <w:tcW w:w="0" w:type="auto"/>
            <w:shd w:val="clear" w:color="auto" w:fill="auto"/>
            <w:vAlign w:val="bottom"/>
          </w:tcPr>
          <w:p w14:paraId="71D41C07" w14:textId="77777777" w:rsidR="006A3667" w:rsidRDefault="006A3667">
            <w:pPr>
              <w:rPr>
                <w:rFonts w:ascii="宋体"/>
              </w:rPr>
            </w:pPr>
          </w:p>
        </w:tc>
        <w:tc>
          <w:tcPr>
            <w:tcW w:w="0" w:type="auto"/>
            <w:shd w:val="clear" w:color="auto" w:fill="auto"/>
            <w:vAlign w:val="bottom"/>
          </w:tcPr>
          <w:p w14:paraId="71D41C08" w14:textId="77777777" w:rsidR="006A3667" w:rsidRDefault="006A3667">
            <w:pPr>
              <w:rPr>
                <w:rFonts w:ascii="宋体"/>
              </w:rPr>
            </w:pPr>
          </w:p>
        </w:tc>
        <w:tc>
          <w:tcPr>
            <w:tcW w:w="0" w:type="auto"/>
            <w:shd w:val="clear" w:color="auto" w:fill="auto"/>
            <w:vAlign w:val="bottom"/>
          </w:tcPr>
          <w:p w14:paraId="71D41C09" w14:textId="77777777" w:rsidR="006A3667" w:rsidRDefault="006A3667">
            <w:pPr>
              <w:rPr>
                <w:rFonts w:ascii="宋体"/>
              </w:rPr>
            </w:pPr>
          </w:p>
        </w:tc>
        <w:tc>
          <w:tcPr>
            <w:tcW w:w="0" w:type="auto"/>
            <w:shd w:val="clear" w:color="auto" w:fill="auto"/>
            <w:vAlign w:val="bottom"/>
          </w:tcPr>
          <w:p w14:paraId="71D41C0A" w14:textId="77777777" w:rsidR="006A3667" w:rsidRDefault="006A3667">
            <w:pPr>
              <w:rPr>
                <w:rFonts w:ascii="宋体"/>
              </w:rPr>
            </w:pPr>
          </w:p>
        </w:tc>
        <w:tc>
          <w:tcPr>
            <w:tcW w:w="0" w:type="auto"/>
            <w:shd w:val="clear" w:color="auto" w:fill="auto"/>
            <w:vAlign w:val="bottom"/>
          </w:tcPr>
          <w:p w14:paraId="71D41C0B" w14:textId="77777777" w:rsidR="006A3667" w:rsidRDefault="006A3667">
            <w:pPr>
              <w:rPr>
                <w:rFonts w:ascii="宋体"/>
              </w:rPr>
            </w:pPr>
          </w:p>
        </w:tc>
        <w:tc>
          <w:tcPr>
            <w:tcW w:w="0" w:type="auto"/>
            <w:shd w:val="clear" w:color="auto" w:fill="auto"/>
            <w:vAlign w:val="bottom"/>
          </w:tcPr>
          <w:p w14:paraId="71D41C0C" w14:textId="77777777" w:rsidR="006A3667" w:rsidRDefault="006A3667">
            <w:pPr>
              <w:rPr>
                <w:rFonts w:ascii="宋体"/>
              </w:rPr>
            </w:pPr>
          </w:p>
        </w:tc>
        <w:tc>
          <w:tcPr>
            <w:tcW w:w="0" w:type="auto"/>
            <w:shd w:val="clear" w:color="auto" w:fill="auto"/>
            <w:vAlign w:val="bottom"/>
          </w:tcPr>
          <w:p w14:paraId="71D41C0D" w14:textId="77777777" w:rsidR="006A3667" w:rsidRDefault="006A3667">
            <w:pPr>
              <w:rPr>
                <w:rFonts w:ascii="宋体"/>
              </w:rPr>
            </w:pPr>
          </w:p>
        </w:tc>
        <w:tc>
          <w:tcPr>
            <w:tcW w:w="0" w:type="auto"/>
            <w:shd w:val="clear" w:color="auto" w:fill="auto"/>
            <w:vAlign w:val="bottom"/>
          </w:tcPr>
          <w:p w14:paraId="71D41C0E" w14:textId="77777777" w:rsidR="006A3667" w:rsidRDefault="006A3667">
            <w:pPr>
              <w:rPr>
                <w:rFonts w:ascii="宋体"/>
              </w:rPr>
            </w:pPr>
          </w:p>
        </w:tc>
        <w:tc>
          <w:tcPr>
            <w:tcW w:w="0" w:type="auto"/>
            <w:shd w:val="clear" w:color="auto" w:fill="auto"/>
            <w:vAlign w:val="bottom"/>
          </w:tcPr>
          <w:p w14:paraId="71D41C0F" w14:textId="77777777" w:rsidR="006A3667" w:rsidRDefault="006A3667">
            <w:pPr>
              <w:rPr>
                <w:rFonts w:ascii="宋体"/>
              </w:rPr>
            </w:pPr>
          </w:p>
        </w:tc>
        <w:tc>
          <w:tcPr>
            <w:tcW w:w="0" w:type="auto"/>
            <w:shd w:val="clear" w:color="auto" w:fill="auto"/>
            <w:vAlign w:val="bottom"/>
          </w:tcPr>
          <w:p w14:paraId="71D41C10" w14:textId="77777777" w:rsidR="006A3667" w:rsidRDefault="006A3667">
            <w:pPr>
              <w:rPr>
                <w:rFonts w:ascii="宋体"/>
              </w:rPr>
            </w:pPr>
          </w:p>
        </w:tc>
        <w:tc>
          <w:tcPr>
            <w:tcW w:w="0" w:type="auto"/>
            <w:shd w:val="clear" w:color="auto" w:fill="auto"/>
            <w:vAlign w:val="bottom"/>
          </w:tcPr>
          <w:p w14:paraId="71D41C11" w14:textId="77777777" w:rsidR="006A3667" w:rsidRDefault="006A3667">
            <w:pPr>
              <w:rPr>
                <w:rFonts w:ascii="宋体"/>
              </w:rPr>
            </w:pPr>
          </w:p>
        </w:tc>
        <w:tc>
          <w:tcPr>
            <w:tcW w:w="0" w:type="auto"/>
            <w:shd w:val="clear" w:color="auto" w:fill="auto"/>
            <w:vAlign w:val="bottom"/>
          </w:tcPr>
          <w:p w14:paraId="71D41C12" w14:textId="77777777" w:rsidR="006A3667" w:rsidRDefault="006A3667">
            <w:pPr>
              <w:rPr>
                <w:rFonts w:ascii="宋体"/>
              </w:rPr>
            </w:pPr>
          </w:p>
        </w:tc>
        <w:tc>
          <w:tcPr>
            <w:tcW w:w="0" w:type="auto"/>
            <w:shd w:val="clear" w:color="auto" w:fill="auto"/>
            <w:vAlign w:val="bottom"/>
          </w:tcPr>
          <w:p w14:paraId="71D41C13" w14:textId="77777777" w:rsidR="006A3667" w:rsidRDefault="006A3667">
            <w:pPr>
              <w:rPr>
                <w:rFonts w:ascii="宋体"/>
              </w:rPr>
            </w:pPr>
          </w:p>
        </w:tc>
        <w:tc>
          <w:tcPr>
            <w:tcW w:w="0" w:type="auto"/>
            <w:shd w:val="clear" w:color="auto" w:fill="auto"/>
            <w:vAlign w:val="bottom"/>
          </w:tcPr>
          <w:p w14:paraId="71D41C14" w14:textId="77777777" w:rsidR="006A3667" w:rsidRDefault="006A3667">
            <w:pPr>
              <w:rPr>
                <w:rFonts w:ascii="宋体"/>
              </w:rPr>
            </w:pPr>
          </w:p>
        </w:tc>
      </w:tr>
      <w:tr w:rsidR="006A3667" w14:paraId="71D41C18" w14:textId="77777777">
        <w:tc>
          <w:tcPr>
            <w:tcW w:w="0" w:type="auto"/>
            <w:gridSpan w:val="3"/>
            <w:shd w:val="clear" w:color="auto" w:fill="auto"/>
            <w:tcMar>
              <w:top w:w="0" w:type="dxa"/>
              <w:left w:w="20" w:type="dxa"/>
              <w:bottom w:w="0" w:type="dxa"/>
              <w:right w:w="20" w:type="dxa"/>
            </w:tcMar>
            <w:vAlign w:val="bottom"/>
          </w:tcPr>
          <w:p w14:paraId="71D41C16"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41C17" w14:textId="77777777" w:rsidR="006A3667" w:rsidRDefault="00045F32">
            <w:pPr>
              <w:jc w:val="center"/>
              <w:textAlignment w:val="bottom"/>
            </w:pPr>
            <w:r>
              <w:rPr>
                <w:rFonts w:ascii="Arial" w:eastAsia="宋体" w:hAnsi="Arial" w:cs="Arial"/>
                <w:b/>
                <w:bCs/>
                <w:color w:val="000000"/>
                <w:sz w:val="13"/>
                <w:szCs w:val="13"/>
              </w:rPr>
              <w:t>Three Months Ended September 30,</w:t>
            </w:r>
          </w:p>
        </w:tc>
      </w:tr>
      <w:tr w:rsidR="006A3667" w14:paraId="71D41C1D" w14:textId="77777777">
        <w:tc>
          <w:tcPr>
            <w:tcW w:w="0" w:type="auto"/>
            <w:gridSpan w:val="3"/>
            <w:shd w:val="clear" w:color="auto" w:fill="auto"/>
            <w:tcMar>
              <w:top w:w="0" w:type="dxa"/>
              <w:left w:w="20" w:type="dxa"/>
              <w:bottom w:w="0" w:type="dxa"/>
              <w:right w:w="20" w:type="dxa"/>
            </w:tcMar>
            <w:vAlign w:val="bottom"/>
          </w:tcPr>
          <w:p w14:paraId="71D41C19"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1C1A"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1B"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1C1C" w14:textId="77777777" w:rsidR="006A3667" w:rsidRDefault="00045F32">
            <w:pPr>
              <w:jc w:val="center"/>
              <w:textAlignment w:val="bottom"/>
            </w:pPr>
            <w:r>
              <w:rPr>
                <w:rFonts w:ascii="Arial" w:eastAsia="宋体" w:hAnsi="Arial" w:cs="Arial"/>
                <w:b/>
                <w:bCs/>
                <w:color w:val="000000"/>
                <w:sz w:val="13"/>
                <w:szCs w:val="13"/>
              </w:rPr>
              <w:t>2021</w:t>
            </w:r>
          </w:p>
        </w:tc>
      </w:tr>
      <w:tr w:rsidR="006A3667" w14:paraId="71D41C2A" w14:textId="77777777">
        <w:tc>
          <w:tcPr>
            <w:tcW w:w="0" w:type="auto"/>
            <w:gridSpan w:val="3"/>
            <w:shd w:val="clear" w:color="auto" w:fill="auto"/>
            <w:tcMar>
              <w:top w:w="40" w:type="dxa"/>
              <w:left w:w="20" w:type="dxa"/>
              <w:bottom w:w="40" w:type="dxa"/>
              <w:right w:w="20" w:type="dxa"/>
            </w:tcMar>
            <w:vAlign w:val="bottom"/>
          </w:tcPr>
          <w:p w14:paraId="71D41C1E" w14:textId="77777777" w:rsidR="006A3667" w:rsidRDefault="00045F32">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1F" w14:textId="77777777" w:rsidR="006A3667" w:rsidRDefault="00045F32">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2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21" w14:textId="77777777" w:rsidR="006A3667" w:rsidRDefault="00045F32">
            <w:pPr>
              <w:jc w:val="center"/>
              <w:textAlignment w:val="bottom"/>
            </w:pPr>
            <w:r>
              <w:rPr>
                <w:rFonts w:ascii="Arial" w:eastAsia="宋体" w:hAnsi="Arial" w:cs="Arial"/>
                <w:b/>
                <w:bCs/>
                <w:color w:val="000000"/>
                <w:sz w:val="13"/>
                <w:szCs w:val="13"/>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2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23" w14:textId="77777777" w:rsidR="006A3667" w:rsidRDefault="00045F32">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71D41C2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25" w14:textId="77777777" w:rsidR="006A3667" w:rsidRDefault="00045F32">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2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27" w14:textId="77777777" w:rsidR="006A3667" w:rsidRDefault="00045F32">
            <w:pPr>
              <w:jc w:val="center"/>
              <w:textAlignment w:val="bottom"/>
            </w:pPr>
            <w:r>
              <w:rPr>
                <w:rFonts w:ascii="Arial" w:eastAsia="宋体" w:hAnsi="Arial" w:cs="Arial"/>
                <w:b/>
                <w:bCs/>
                <w:color w:val="000000"/>
                <w:sz w:val="13"/>
                <w:szCs w:val="13"/>
              </w:rPr>
              <w:t xml:space="preserve">Dividends Declared per </w:t>
            </w:r>
            <w:r>
              <w:rPr>
                <w:rFonts w:ascii="Arial" w:eastAsia="宋体" w:hAnsi="Arial" w:cs="Arial"/>
                <w:b/>
                <w:bCs/>
                <w:color w:val="000000"/>
                <w:sz w:val="13"/>
                <w:szCs w:val="13"/>
              </w:rPr>
              <w:t>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2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29" w14:textId="77777777" w:rsidR="006A3667" w:rsidRDefault="00045F32">
            <w:pPr>
              <w:jc w:val="center"/>
              <w:textAlignment w:val="bottom"/>
            </w:pPr>
            <w:r>
              <w:rPr>
                <w:rFonts w:ascii="Arial" w:eastAsia="宋体" w:hAnsi="Arial" w:cs="Arial"/>
                <w:b/>
                <w:bCs/>
                <w:color w:val="000000"/>
                <w:sz w:val="13"/>
                <w:szCs w:val="13"/>
              </w:rPr>
              <w:t>Total</w:t>
            </w:r>
          </w:p>
        </w:tc>
      </w:tr>
      <w:tr w:rsidR="006A3667" w14:paraId="71D41C37" w14:textId="77777777">
        <w:tc>
          <w:tcPr>
            <w:tcW w:w="0" w:type="auto"/>
            <w:gridSpan w:val="3"/>
            <w:shd w:val="clear" w:color="auto" w:fill="auto"/>
            <w:tcMar>
              <w:top w:w="40" w:type="dxa"/>
              <w:left w:w="20" w:type="dxa"/>
              <w:bottom w:w="40" w:type="dxa"/>
              <w:right w:w="20" w:type="dxa"/>
            </w:tcMar>
            <w:vAlign w:val="bottom"/>
          </w:tcPr>
          <w:p w14:paraId="71D41C2B" w14:textId="77777777" w:rsidR="006A3667" w:rsidRDefault="00045F32">
            <w:pPr>
              <w:textAlignment w:val="bottom"/>
            </w:pPr>
            <w:r>
              <w:rPr>
                <w:rFonts w:ascii="Arial" w:eastAsia="宋体" w:hAnsi="Arial" w:cs="Arial"/>
                <w:b/>
                <w:bCs/>
                <w:color w:val="000000"/>
                <w:sz w:val="13"/>
                <w:szCs w:val="13"/>
              </w:rPr>
              <w:t xml:space="preserve">Preferred </w:t>
            </w:r>
            <w:r>
              <w:rPr>
                <w:rFonts w:ascii="Arial" w:eastAsia="宋体" w:hAnsi="Arial" w:cs="Arial"/>
                <w:b/>
                <w:bCs/>
                <w:color w:val="000000"/>
                <w:sz w:val="13"/>
                <w:szCs w:val="13"/>
              </w:rPr>
              <w:t>Stock:</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C2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2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2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2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3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3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3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3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3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3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36" w14:textId="77777777" w:rsidR="006A3667" w:rsidRDefault="006A3667">
            <w:pPr>
              <w:rPr>
                <w:rFonts w:ascii="宋体"/>
              </w:rPr>
            </w:pPr>
          </w:p>
        </w:tc>
      </w:tr>
      <w:tr w:rsidR="006A3667" w14:paraId="71D41C44" w14:textId="77777777">
        <w:trPr>
          <w:hidden/>
        </w:trPr>
        <w:tc>
          <w:tcPr>
            <w:tcW w:w="0" w:type="auto"/>
            <w:gridSpan w:val="3"/>
            <w:shd w:val="clear" w:color="auto" w:fill="auto"/>
            <w:vAlign w:val="bottom"/>
          </w:tcPr>
          <w:p w14:paraId="71D41C38" w14:textId="77777777" w:rsidR="006A3667" w:rsidRDefault="006A3667">
            <w:pPr>
              <w:rPr>
                <w:rFonts w:ascii="宋体"/>
                <w:vanish/>
              </w:rPr>
            </w:pPr>
          </w:p>
        </w:tc>
        <w:tc>
          <w:tcPr>
            <w:tcW w:w="0" w:type="auto"/>
            <w:gridSpan w:val="3"/>
            <w:shd w:val="clear" w:color="auto" w:fill="auto"/>
            <w:vAlign w:val="bottom"/>
          </w:tcPr>
          <w:p w14:paraId="71D41C39" w14:textId="77777777" w:rsidR="006A3667" w:rsidRDefault="006A3667">
            <w:pPr>
              <w:rPr>
                <w:rFonts w:ascii="宋体"/>
                <w:vanish/>
              </w:rPr>
            </w:pPr>
          </w:p>
        </w:tc>
        <w:tc>
          <w:tcPr>
            <w:tcW w:w="0" w:type="auto"/>
            <w:gridSpan w:val="3"/>
            <w:shd w:val="clear" w:color="auto" w:fill="auto"/>
            <w:vAlign w:val="bottom"/>
          </w:tcPr>
          <w:p w14:paraId="71D41C3A" w14:textId="77777777" w:rsidR="006A3667" w:rsidRDefault="006A3667">
            <w:pPr>
              <w:rPr>
                <w:rFonts w:ascii="宋体"/>
                <w:vanish/>
              </w:rPr>
            </w:pPr>
          </w:p>
        </w:tc>
        <w:tc>
          <w:tcPr>
            <w:tcW w:w="0" w:type="auto"/>
            <w:gridSpan w:val="3"/>
            <w:shd w:val="clear" w:color="auto" w:fill="auto"/>
            <w:vAlign w:val="bottom"/>
          </w:tcPr>
          <w:p w14:paraId="71D41C3B" w14:textId="77777777" w:rsidR="006A3667" w:rsidRDefault="006A3667">
            <w:pPr>
              <w:rPr>
                <w:rFonts w:ascii="宋体"/>
                <w:vanish/>
              </w:rPr>
            </w:pPr>
          </w:p>
        </w:tc>
        <w:tc>
          <w:tcPr>
            <w:tcW w:w="0" w:type="auto"/>
            <w:gridSpan w:val="3"/>
            <w:shd w:val="clear" w:color="auto" w:fill="auto"/>
            <w:vAlign w:val="bottom"/>
          </w:tcPr>
          <w:p w14:paraId="71D41C3C" w14:textId="77777777" w:rsidR="006A3667" w:rsidRDefault="006A3667">
            <w:pPr>
              <w:rPr>
                <w:rFonts w:ascii="宋体"/>
                <w:vanish/>
              </w:rPr>
            </w:pPr>
          </w:p>
        </w:tc>
        <w:tc>
          <w:tcPr>
            <w:tcW w:w="0" w:type="auto"/>
            <w:gridSpan w:val="3"/>
            <w:shd w:val="clear" w:color="auto" w:fill="auto"/>
            <w:vAlign w:val="bottom"/>
          </w:tcPr>
          <w:p w14:paraId="71D41C3D" w14:textId="77777777" w:rsidR="006A3667" w:rsidRDefault="006A3667">
            <w:pPr>
              <w:rPr>
                <w:rFonts w:ascii="宋体"/>
                <w:vanish/>
              </w:rPr>
            </w:pPr>
          </w:p>
        </w:tc>
        <w:tc>
          <w:tcPr>
            <w:tcW w:w="0" w:type="auto"/>
            <w:gridSpan w:val="3"/>
            <w:shd w:val="clear" w:color="auto" w:fill="auto"/>
            <w:vAlign w:val="bottom"/>
          </w:tcPr>
          <w:p w14:paraId="71D41C3E" w14:textId="77777777" w:rsidR="006A3667" w:rsidRDefault="006A3667">
            <w:pPr>
              <w:rPr>
                <w:rFonts w:ascii="宋体"/>
                <w:vanish/>
              </w:rPr>
            </w:pPr>
          </w:p>
        </w:tc>
        <w:tc>
          <w:tcPr>
            <w:tcW w:w="0" w:type="auto"/>
            <w:gridSpan w:val="3"/>
            <w:shd w:val="clear" w:color="auto" w:fill="auto"/>
            <w:vAlign w:val="bottom"/>
          </w:tcPr>
          <w:p w14:paraId="71D41C3F" w14:textId="77777777" w:rsidR="006A3667" w:rsidRDefault="006A3667">
            <w:pPr>
              <w:rPr>
                <w:rFonts w:ascii="宋体"/>
                <w:vanish/>
              </w:rPr>
            </w:pPr>
          </w:p>
        </w:tc>
        <w:tc>
          <w:tcPr>
            <w:tcW w:w="0" w:type="auto"/>
            <w:gridSpan w:val="3"/>
            <w:shd w:val="clear" w:color="auto" w:fill="auto"/>
            <w:vAlign w:val="bottom"/>
          </w:tcPr>
          <w:p w14:paraId="71D41C40" w14:textId="77777777" w:rsidR="006A3667" w:rsidRDefault="006A3667">
            <w:pPr>
              <w:rPr>
                <w:rFonts w:ascii="宋体"/>
                <w:vanish/>
              </w:rPr>
            </w:pPr>
          </w:p>
        </w:tc>
        <w:tc>
          <w:tcPr>
            <w:tcW w:w="0" w:type="auto"/>
            <w:gridSpan w:val="3"/>
            <w:shd w:val="clear" w:color="auto" w:fill="auto"/>
            <w:vAlign w:val="bottom"/>
          </w:tcPr>
          <w:p w14:paraId="71D41C41" w14:textId="77777777" w:rsidR="006A3667" w:rsidRDefault="006A3667">
            <w:pPr>
              <w:rPr>
                <w:rFonts w:ascii="宋体"/>
                <w:vanish/>
              </w:rPr>
            </w:pPr>
          </w:p>
        </w:tc>
        <w:tc>
          <w:tcPr>
            <w:tcW w:w="0" w:type="auto"/>
            <w:gridSpan w:val="3"/>
            <w:shd w:val="clear" w:color="auto" w:fill="auto"/>
            <w:vAlign w:val="bottom"/>
          </w:tcPr>
          <w:p w14:paraId="71D41C42" w14:textId="77777777" w:rsidR="006A3667" w:rsidRDefault="006A3667">
            <w:pPr>
              <w:rPr>
                <w:rFonts w:ascii="宋体"/>
                <w:vanish/>
              </w:rPr>
            </w:pPr>
          </w:p>
        </w:tc>
        <w:tc>
          <w:tcPr>
            <w:tcW w:w="0" w:type="auto"/>
            <w:gridSpan w:val="3"/>
            <w:shd w:val="clear" w:color="auto" w:fill="auto"/>
            <w:vAlign w:val="bottom"/>
          </w:tcPr>
          <w:p w14:paraId="71D41C43" w14:textId="77777777" w:rsidR="006A3667" w:rsidRDefault="006A3667">
            <w:pPr>
              <w:rPr>
                <w:rFonts w:ascii="宋体"/>
                <w:vanish/>
              </w:rPr>
            </w:pPr>
          </w:p>
        </w:tc>
      </w:tr>
      <w:tr w:rsidR="006A3667" w14:paraId="71D41C5D" w14:textId="77777777">
        <w:tc>
          <w:tcPr>
            <w:tcW w:w="0" w:type="auto"/>
            <w:gridSpan w:val="3"/>
            <w:shd w:val="clear" w:color="auto" w:fill="CCEEFF"/>
            <w:tcMar>
              <w:top w:w="40" w:type="dxa"/>
              <w:left w:w="20" w:type="dxa"/>
              <w:bottom w:w="40" w:type="dxa"/>
              <w:right w:w="20" w:type="dxa"/>
            </w:tcMar>
            <w:vAlign w:val="bottom"/>
          </w:tcPr>
          <w:p w14:paraId="71D41C45" w14:textId="77777777" w:rsidR="006A3667" w:rsidRDefault="00045F32">
            <w:pPr>
              <w:textAlignment w:val="bottom"/>
            </w:pPr>
            <w:r>
              <w:rPr>
                <w:rFonts w:ascii="Arial" w:eastAsia="宋体" w:hAnsi="Arial" w:cs="Arial"/>
                <w:color w:val="000000"/>
                <w:sz w:val="13"/>
                <w:szCs w:val="13"/>
              </w:rPr>
              <w:t>Series D</w:t>
            </w:r>
          </w:p>
        </w:tc>
        <w:tc>
          <w:tcPr>
            <w:tcW w:w="0" w:type="auto"/>
            <w:shd w:val="clear" w:color="auto" w:fill="CCEEFF"/>
            <w:tcMar>
              <w:top w:w="40" w:type="dxa"/>
              <w:left w:w="20" w:type="dxa"/>
              <w:bottom w:w="40" w:type="dxa"/>
              <w:right w:w="0" w:type="dxa"/>
            </w:tcMar>
            <w:vAlign w:val="bottom"/>
          </w:tcPr>
          <w:p w14:paraId="71D41C46"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1C47" w14:textId="77777777" w:rsidR="006A3667" w:rsidRDefault="00045F32">
            <w:pPr>
              <w:jc w:val="right"/>
              <w:textAlignment w:val="bottom"/>
            </w:pPr>
            <w:r>
              <w:rPr>
                <w:rFonts w:ascii="Arial" w:eastAsia="宋体" w:hAnsi="Arial" w:cs="Arial"/>
                <w:b/>
                <w:bCs/>
                <w:color w:val="000000"/>
                <w:sz w:val="13"/>
                <w:szCs w:val="13"/>
              </w:rPr>
              <w:t>1,475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C4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4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4A"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1C4B" w14:textId="77777777" w:rsidR="006A3667" w:rsidRDefault="00045F32">
            <w:pPr>
              <w:jc w:val="right"/>
              <w:textAlignment w:val="bottom"/>
            </w:pPr>
            <w:r>
              <w:rPr>
                <w:rFonts w:ascii="Arial" w:eastAsia="宋体" w:hAnsi="Arial" w:cs="Arial"/>
                <w:b/>
                <w:bCs/>
                <w:color w:val="000000"/>
                <w:sz w:val="13"/>
                <w:szCs w:val="13"/>
              </w:rPr>
              <w:t>0.37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C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4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4E"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1C4F" w14:textId="77777777" w:rsidR="006A3667" w:rsidRDefault="00045F32">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C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5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52"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1C53" w14:textId="77777777" w:rsidR="006A3667" w:rsidRDefault="00045F32">
            <w:pPr>
              <w:jc w:val="right"/>
              <w:textAlignment w:val="bottom"/>
            </w:pPr>
            <w:r>
              <w:rPr>
                <w:rFonts w:ascii="Arial" w:eastAsia="宋体" w:hAnsi="Arial" w:cs="Arial"/>
                <w:color w:val="000000"/>
                <w:sz w:val="13"/>
                <w:szCs w:val="13"/>
              </w:rPr>
              <w:t>1,475 </w:t>
            </w:r>
          </w:p>
        </w:tc>
        <w:tc>
          <w:tcPr>
            <w:tcW w:w="0" w:type="auto"/>
            <w:shd w:val="clear" w:color="auto" w:fill="CCEEFF"/>
            <w:tcMar>
              <w:top w:w="40" w:type="dxa"/>
              <w:left w:w="0" w:type="dxa"/>
              <w:bottom w:w="40" w:type="dxa"/>
              <w:right w:w="20" w:type="dxa"/>
            </w:tcMar>
            <w:vAlign w:val="bottom"/>
          </w:tcPr>
          <w:p w14:paraId="71D41C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5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56"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1C57" w14:textId="77777777" w:rsidR="006A3667" w:rsidRDefault="00045F32">
            <w:pPr>
              <w:jc w:val="right"/>
              <w:textAlignment w:val="bottom"/>
            </w:pPr>
            <w:r>
              <w:rPr>
                <w:rFonts w:ascii="Arial" w:eastAsia="宋体" w:hAnsi="Arial" w:cs="Arial"/>
                <w:color w:val="000000"/>
                <w:sz w:val="13"/>
                <w:szCs w:val="13"/>
              </w:rPr>
              <w:t>0.37 </w:t>
            </w:r>
          </w:p>
        </w:tc>
        <w:tc>
          <w:tcPr>
            <w:tcW w:w="0" w:type="auto"/>
            <w:shd w:val="clear" w:color="auto" w:fill="CCEEFF"/>
            <w:tcMar>
              <w:top w:w="40" w:type="dxa"/>
              <w:left w:w="0" w:type="dxa"/>
              <w:bottom w:w="40" w:type="dxa"/>
              <w:right w:w="20" w:type="dxa"/>
            </w:tcMar>
            <w:vAlign w:val="bottom"/>
          </w:tcPr>
          <w:p w14:paraId="71D41C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5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5A"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1C5B" w14:textId="77777777" w:rsidR="006A3667" w:rsidRDefault="00045F32">
            <w:pPr>
              <w:jc w:val="right"/>
              <w:textAlignment w:val="bottom"/>
            </w:pPr>
            <w:r>
              <w:rPr>
                <w:rFonts w:ascii="Arial" w:eastAsia="宋体" w:hAnsi="Arial" w:cs="Arial"/>
                <w:color w:val="000000"/>
                <w:sz w:val="13"/>
                <w:szCs w:val="13"/>
              </w:rPr>
              <w:t>11 </w:t>
            </w:r>
          </w:p>
        </w:tc>
        <w:tc>
          <w:tcPr>
            <w:tcW w:w="0" w:type="auto"/>
            <w:shd w:val="clear" w:color="auto" w:fill="CCEEFF"/>
            <w:tcMar>
              <w:top w:w="40" w:type="dxa"/>
              <w:left w:w="0" w:type="dxa"/>
              <w:bottom w:w="40" w:type="dxa"/>
              <w:right w:w="20" w:type="dxa"/>
            </w:tcMar>
            <w:vAlign w:val="bottom"/>
          </w:tcPr>
          <w:p w14:paraId="71D41C5C" w14:textId="77777777" w:rsidR="006A3667" w:rsidRDefault="006A3667">
            <w:pPr>
              <w:jc w:val="right"/>
              <w:rPr>
                <w:rFonts w:ascii="宋体"/>
              </w:rPr>
            </w:pPr>
          </w:p>
        </w:tc>
      </w:tr>
      <w:tr w:rsidR="006A3667" w14:paraId="71D41C6A" w14:textId="77777777">
        <w:trPr>
          <w:hidden/>
        </w:trPr>
        <w:tc>
          <w:tcPr>
            <w:tcW w:w="0" w:type="auto"/>
            <w:gridSpan w:val="3"/>
            <w:shd w:val="clear" w:color="auto" w:fill="auto"/>
            <w:vAlign w:val="bottom"/>
          </w:tcPr>
          <w:p w14:paraId="71D41C5E" w14:textId="77777777" w:rsidR="006A3667" w:rsidRDefault="006A3667">
            <w:pPr>
              <w:rPr>
                <w:rFonts w:ascii="宋体"/>
                <w:vanish/>
              </w:rPr>
            </w:pPr>
          </w:p>
        </w:tc>
        <w:tc>
          <w:tcPr>
            <w:tcW w:w="0" w:type="auto"/>
            <w:gridSpan w:val="3"/>
            <w:shd w:val="clear" w:color="auto" w:fill="auto"/>
            <w:vAlign w:val="bottom"/>
          </w:tcPr>
          <w:p w14:paraId="71D41C5F" w14:textId="77777777" w:rsidR="006A3667" w:rsidRDefault="006A3667">
            <w:pPr>
              <w:rPr>
                <w:rFonts w:ascii="宋体"/>
                <w:vanish/>
              </w:rPr>
            </w:pPr>
          </w:p>
        </w:tc>
        <w:tc>
          <w:tcPr>
            <w:tcW w:w="0" w:type="auto"/>
            <w:gridSpan w:val="3"/>
            <w:shd w:val="clear" w:color="auto" w:fill="auto"/>
            <w:vAlign w:val="bottom"/>
          </w:tcPr>
          <w:p w14:paraId="71D41C60" w14:textId="77777777" w:rsidR="006A3667" w:rsidRDefault="006A3667">
            <w:pPr>
              <w:rPr>
                <w:rFonts w:ascii="宋体"/>
                <w:vanish/>
              </w:rPr>
            </w:pPr>
          </w:p>
        </w:tc>
        <w:tc>
          <w:tcPr>
            <w:tcW w:w="0" w:type="auto"/>
            <w:gridSpan w:val="3"/>
            <w:shd w:val="clear" w:color="auto" w:fill="auto"/>
            <w:vAlign w:val="bottom"/>
          </w:tcPr>
          <w:p w14:paraId="71D41C61" w14:textId="77777777" w:rsidR="006A3667" w:rsidRDefault="006A3667">
            <w:pPr>
              <w:rPr>
                <w:rFonts w:ascii="宋体"/>
                <w:vanish/>
              </w:rPr>
            </w:pPr>
          </w:p>
        </w:tc>
        <w:tc>
          <w:tcPr>
            <w:tcW w:w="0" w:type="auto"/>
            <w:gridSpan w:val="3"/>
            <w:shd w:val="clear" w:color="auto" w:fill="auto"/>
            <w:vAlign w:val="bottom"/>
          </w:tcPr>
          <w:p w14:paraId="71D41C62" w14:textId="77777777" w:rsidR="006A3667" w:rsidRDefault="006A3667">
            <w:pPr>
              <w:rPr>
                <w:rFonts w:ascii="宋体"/>
                <w:vanish/>
              </w:rPr>
            </w:pPr>
          </w:p>
        </w:tc>
        <w:tc>
          <w:tcPr>
            <w:tcW w:w="0" w:type="auto"/>
            <w:gridSpan w:val="3"/>
            <w:shd w:val="clear" w:color="auto" w:fill="auto"/>
            <w:vAlign w:val="bottom"/>
          </w:tcPr>
          <w:p w14:paraId="71D41C63" w14:textId="77777777" w:rsidR="006A3667" w:rsidRDefault="006A3667">
            <w:pPr>
              <w:rPr>
                <w:rFonts w:ascii="宋体"/>
                <w:vanish/>
              </w:rPr>
            </w:pPr>
          </w:p>
        </w:tc>
        <w:tc>
          <w:tcPr>
            <w:tcW w:w="0" w:type="auto"/>
            <w:gridSpan w:val="3"/>
            <w:shd w:val="clear" w:color="auto" w:fill="auto"/>
            <w:vAlign w:val="bottom"/>
          </w:tcPr>
          <w:p w14:paraId="71D41C64" w14:textId="77777777" w:rsidR="006A3667" w:rsidRDefault="006A3667">
            <w:pPr>
              <w:rPr>
                <w:rFonts w:ascii="宋体"/>
                <w:vanish/>
              </w:rPr>
            </w:pPr>
          </w:p>
        </w:tc>
        <w:tc>
          <w:tcPr>
            <w:tcW w:w="0" w:type="auto"/>
            <w:gridSpan w:val="3"/>
            <w:shd w:val="clear" w:color="auto" w:fill="auto"/>
            <w:vAlign w:val="bottom"/>
          </w:tcPr>
          <w:p w14:paraId="71D41C65" w14:textId="77777777" w:rsidR="006A3667" w:rsidRDefault="006A3667">
            <w:pPr>
              <w:rPr>
                <w:rFonts w:ascii="宋体"/>
                <w:vanish/>
              </w:rPr>
            </w:pPr>
          </w:p>
        </w:tc>
        <w:tc>
          <w:tcPr>
            <w:tcW w:w="0" w:type="auto"/>
            <w:gridSpan w:val="3"/>
            <w:shd w:val="clear" w:color="auto" w:fill="auto"/>
            <w:vAlign w:val="bottom"/>
          </w:tcPr>
          <w:p w14:paraId="71D41C66" w14:textId="77777777" w:rsidR="006A3667" w:rsidRDefault="006A3667">
            <w:pPr>
              <w:rPr>
                <w:rFonts w:ascii="宋体"/>
                <w:vanish/>
              </w:rPr>
            </w:pPr>
          </w:p>
        </w:tc>
        <w:tc>
          <w:tcPr>
            <w:tcW w:w="0" w:type="auto"/>
            <w:gridSpan w:val="3"/>
            <w:shd w:val="clear" w:color="auto" w:fill="auto"/>
            <w:vAlign w:val="bottom"/>
          </w:tcPr>
          <w:p w14:paraId="71D41C67" w14:textId="77777777" w:rsidR="006A3667" w:rsidRDefault="006A3667">
            <w:pPr>
              <w:rPr>
                <w:rFonts w:ascii="宋体"/>
                <w:vanish/>
              </w:rPr>
            </w:pPr>
          </w:p>
        </w:tc>
        <w:tc>
          <w:tcPr>
            <w:tcW w:w="0" w:type="auto"/>
            <w:gridSpan w:val="3"/>
            <w:shd w:val="clear" w:color="auto" w:fill="auto"/>
            <w:vAlign w:val="bottom"/>
          </w:tcPr>
          <w:p w14:paraId="71D41C68" w14:textId="77777777" w:rsidR="006A3667" w:rsidRDefault="006A3667">
            <w:pPr>
              <w:rPr>
                <w:rFonts w:ascii="宋体"/>
                <w:vanish/>
              </w:rPr>
            </w:pPr>
          </w:p>
        </w:tc>
        <w:tc>
          <w:tcPr>
            <w:tcW w:w="0" w:type="auto"/>
            <w:gridSpan w:val="3"/>
            <w:shd w:val="clear" w:color="auto" w:fill="auto"/>
            <w:vAlign w:val="bottom"/>
          </w:tcPr>
          <w:p w14:paraId="71D41C69" w14:textId="77777777" w:rsidR="006A3667" w:rsidRDefault="006A3667">
            <w:pPr>
              <w:rPr>
                <w:rFonts w:ascii="宋体"/>
                <w:vanish/>
              </w:rPr>
            </w:pPr>
          </w:p>
        </w:tc>
      </w:tr>
      <w:tr w:rsidR="006A3667" w14:paraId="71D41C7D" w14:textId="77777777">
        <w:tc>
          <w:tcPr>
            <w:tcW w:w="0" w:type="auto"/>
            <w:gridSpan w:val="3"/>
            <w:shd w:val="clear" w:color="auto" w:fill="FFFFFF"/>
            <w:tcMar>
              <w:top w:w="40" w:type="dxa"/>
              <w:left w:w="20" w:type="dxa"/>
              <w:bottom w:w="40" w:type="dxa"/>
              <w:right w:w="20" w:type="dxa"/>
            </w:tcMar>
            <w:vAlign w:val="bottom"/>
          </w:tcPr>
          <w:p w14:paraId="71D41C6B" w14:textId="77777777" w:rsidR="006A3667" w:rsidRDefault="00045F32">
            <w:pPr>
              <w:textAlignment w:val="bottom"/>
            </w:pPr>
            <w:r>
              <w:rPr>
                <w:rFonts w:ascii="Arial" w:eastAsia="宋体" w:hAnsi="Arial" w:cs="Arial"/>
                <w:color w:val="000000"/>
                <w:sz w:val="13"/>
                <w:szCs w:val="13"/>
              </w:rPr>
              <w:t>Series F</w:t>
            </w:r>
          </w:p>
        </w:tc>
        <w:tc>
          <w:tcPr>
            <w:tcW w:w="0" w:type="auto"/>
            <w:gridSpan w:val="2"/>
            <w:shd w:val="clear" w:color="auto" w:fill="FFFFFF"/>
            <w:tcMar>
              <w:top w:w="40" w:type="dxa"/>
              <w:left w:w="20" w:type="dxa"/>
              <w:bottom w:w="40" w:type="dxa"/>
              <w:right w:w="0" w:type="dxa"/>
            </w:tcMar>
            <w:vAlign w:val="bottom"/>
          </w:tcPr>
          <w:p w14:paraId="71D41C6C" w14:textId="77777777" w:rsidR="006A3667" w:rsidRDefault="00045F32">
            <w:pPr>
              <w:jc w:val="right"/>
              <w:textAlignment w:val="bottom"/>
            </w:pPr>
            <w:r>
              <w:rPr>
                <w:rFonts w:ascii="Arial" w:eastAsia="宋体" w:hAnsi="Arial" w:cs="Arial"/>
                <w:b/>
                <w:bCs/>
                <w:color w:val="000000"/>
                <w:sz w:val="13"/>
                <w:szCs w:val="13"/>
              </w:rPr>
              <w:t>1,387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1C6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C6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C6F" w14:textId="77777777" w:rsidR="006A3667" w:rsidRDefault="00045F32">
            <w:pPr>
              <w:jc w:val="right"/>
              <w:textAlignment w:val="bottom"/>
            </w:pPr>
            <w:r>
              <w:rPr>
                <w:rFonts w:ascii="Arial" w:eastAsia="宋体" w:hAnsi="Arial" w:cs="Arial"/>
                <w:b/>
                <w:bCs/>
                <w:color w:val="000000"/>
                <w:sz w:val="13"/>
                <w:szCs w:val="13"/>
              </w:rPr>
              <w:t>13.87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1C7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C7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C72" w14:textId="77777777" w:rsidR="006A3667" w:rsidRDefault="00045F32">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1C7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C7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C75" w14:textId="77777777" w:rsidR="006A3667" w:rsidRDefault="00045F32">
            <w:pPr>
              <w:jc w:val="right"/>
              <w:textAlignment w:val="bottom"/>
            </w:pPr>
            <w:r>
              <w:rPr>
                <w:rFonts w:ascii="Arial" w:eastAsia="宋体" w:hAnsi="Arial" w:cs="Arial"/>
                <w:color w:val="000000"/>
                <w:sz w:val="13"/>
                <w:szCs w:val="13"/>
              </w:rPr>
              <w:t>950 </w:t>
            </w:r>
          </w:p>
        </w:tc>
        <w:tc>
          <w:tcPr>
            <w:tcW w:w="0" w:type="auto"/>
            <w:shd w:val="clear" w:color="auto" w:fill="FFFFFF"/>
            <w:tcMar>
              <w:top w:w="40" w:type="dxa"/>
              <w:left w:w="0" w:type="dxa"/>
              <w:bottom w:w="40" w:type="dxa"/>
              <w:right w:w="20" w:type="dxa"/>
            </w:tcMar>
            <w:vAlign w:val="bottom"/>
          </w:tcPr>
          <w:p w14:paraId="71D41C7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C7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C78" w14:textId="77777777" w:rsidR="006A3667" w:rsidRDefault="00045F32">
            <w:pPr>
              <w:jc w:val="right"/>
              <w:textAlignment w:val="bottom"/>
            </w:pPr>
            <w:r>
              <w:rPr>
                <w:rFonts w:ascii="Arial" w:eastAsia="宋体" w:hAnsi="Arial" w:cs="Arial"/>
                <w:color w:val="000000"/>
                <w:sz w:val="13"/>
                <w:szCs w:val="13"/>
              </w:rPr>
              <w:t>9.50 </w:t>
            </w:r>
          </w:p>
        </w:tc>
        <w:tc>
          <w:tcPr>
            <w:tcW w:w="0" w:type="auto"/>
            <w:shd w:val="clear" w:color="auto" w:fill="FFFFFF"/>
            <w:tcMar>
              <w:top w:w="40" w:type="dxa"/>
              <w:left w:w="0" w:type="dxa"/>
              <w:bottom w:w="40" w:type="dxa"/>
              <w:right w:w="20" w:type="dxa"/>
            </w:tcMar>
            <w:vAlign w:val="bottom"/>
          </w:tcPr>
          <w:p w14:paraId="71D41C7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C7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C7B" w14:textId="77777777" w:rsidR="006A3667" w:rsidRDefault="00045F32">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71D41C7C" w14:textId="77777777" w:rsidR="006A3667" w:rsidRDefault="006A3667">
            <w:pPr>
              <w:jc w:val="right"/>
              <w:rPr>
                <w:rFonts w:ascii="宋体"/>
              </w:rPr>
            </w:pPr>
          </w:p>
        </w:tc>
      </w:tr>
      <w:tr w:rsidR="006A3667" w14:paraId="71D41C90" w14:textId="77777777">
        <w:tc>
          <w:tcPr>
            <w:tcW w:w="0" w:type="auto"/>
            <w:gridSpan w:val="3"/>
            <w:shd w:val="clear" w:color="auto" w:fill="CCEEFF"/>
            <w:tcMar>
              <w:top w:w="40" w:type="dxa"/>
              <w:left w:w="20" w:type="dxa"/>
              <w:bottom w:w="40" w:type="dxa"/>
              <w:right w:w="20" w:type="dxa"/>
            </w:tcMar>
            <w:vAlign w:val="bottom"/>
          </w:tcPr>
          <w:p w14:paraId="71D41C7E" w14:textId="77777777" w:rsidR="006A3667" w:rsidRDefault="00045F32">
            <w:pPr>
              <w:textAlignment w:val="bottom"/>
            </w:pPr>
            <w:r>
              <w:rPr>
                <w:rFonts w:ascii="Arial" w:eastAsia="宋体" w:hAnsi="Arial" w:cs="Arial"/>
                <w:color w:val="000000"/>
                <w:sz w:val="13"/>
                <w:szCs w:val="13"/>
              </w:rPr>
              <w:t>Series G</w:t>
            </w:r>
          </w:p>
        </w:tc>
        <w:tc>
          <w:tcPr>
            <w:tcW w:w="0" w:type="auto"/>
            <w:gridSpan w:val="2"/>
            <w:shd w:val="clear" w:color="auto" w:fill="CCEEFF"/>
            <w:tcMar>
              <w:top w:w="40" w:type="dxa"/>
              <w:left w:w="20" w:type="dxa"/>
              <w:bottom w:w="40" w:type="dxa"/>
              <w:right w:w="0" w:type="dxa"/>
            </w:tcMar>
            <w:vAlign w:val="bottom"/>
          </w:tcPr>
          <w:p w14:paraId="71D41C7F" w14:textId="77777777" w:rsidR="006A3667" w:rsidRDefault="00045F32">
            <w:pPr>
              <w:jc w:val="right"/>
              <w:textAlignment w:val="bottom"/>
            </w:pPr>
            <w:r>
              <w:rPr>
                <w:rFonts w:ascii="Arial" w:eastAsia="宋体" w:hAnsi="Arial" w:cs="Arial"/>
                <w:b/>
                <w:bCs/>
                <w:color w:val="000000"/>
                <w:sz w:val="13"/>
                <w:szCs w:val="13"/>
              </w:rPr>
              <w:t>1,338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C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8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C82" w14:textId="77777777" w:rsidR="006A3667" w:rsidRDefault="00045F32">
            <w:pPr>
              <w:jc w:val="right"/>
              <w:textAlignment w:val="bottom"/>
            </w:pPr>
            <w:r>
              <w:rPr>
                <w:rFonts w:ascii="Arial" w:eastAsia="宋体" w:hAnsi="Arial" w:cs="Arial"/>
                <w:b/>
                <w:bCs/>
                <w:color w:val="000000"/>
                <w:sz w:val="13"/>
                <w:szCs w:val="13"/>
              </w:rPr>
              <w:t>0.33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C8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8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C85" w14:textId="77777777" w:rsidR="006A3667" w:rsidRDefault="00045F32">
            <w:pPr>
              <w:jc w:val="right"/>
              <w:textAlignment w:val="bottom"/>
            </w:pPr>
            <w:r>
              <w:rPr>
                <w:rFonts w:ascii="Arial" w:eastAsia="宋体" w:hAnsi="Arial" w:cs="Arial"/>
                <w:b/>
                <w:bCs/>
                <w:color w:val="000000"/>
                <w:sz w:val="13"/>
                <w:szCs w:val="13"/>
              </w:rPr>
              <w:t>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1C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C88" w14:textId="77777777" w:rsidR="006A3667" w:rsidRDefault="00045F32">
            <w:pPr>
              <w:jc w:val="right"/>
              <w:textAlignment w:val="bottom"/>
            </w:pPr>
            <w:r>
              <w:rPr>
                <w:rFonts w:ascii="Arial" w:eastAsia="宋体" w:hAnsi="Arial" w:cs="Arial"/>
                <w:color w:val="000000"/>
                <w:sz w:val="13"/>
                <w:szCs w:val="13"/>
              </w:rPr>
              <w:t>1,338 </w:t>
            </w:r>
          </w:p>
        </w:tc>
        <w:tc>
          <w:tcPr>
            <w:tcW w:w="0" w:type="auto"/>
            <w:shd w:val="clear" w:color="auto" w:fill="CCEEFF"/>
            <w:tcMar>
              <w:top w:w="40" w:type="dxa"/>
              <w:left w:w="0" w:type="dxa"/>
              <w:bottom w:w="40" w:type="dxa"/>
              <w:right w:w="20" w:type="dxa"/>
            </w:tcMar>
            <w:vAlign w:val="bottom"/>
          </w:tcPr>
          <w:p w14:paraId="71D41C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C8B" w14:textId="77777777" w:rsidR="006A3667" w:rsidRDefault="00045F32">
            <w:pPr>
              <w:jc w:val="right"/>
              <w:textAlignment w:val="bottom"/>
            </w:pPr>
            <w:r>
              <w:rPr>
                <w:rFonts w:ascii="Arial" w:eastAsia="宋体" w:hAnsi="Arial" w:cs="Arial"/>
                <w:color w:val="000000"/>
                <w:sz w:val="13"/>
                <w:szCs w:val="13"/>
              </w:rPr>
              <w:t>0.33 </w:t>
            </w:r>
          </w:p>
        </w:tc>
        <w:tc>
          <w:tcPr>
            <w:tcW w:w="0" w:type="auto"/>
            <w:shd w:val="clear" w:color="auto" w:fill="CCEEFF"/>
            <w:tcMar>
              <w:top w:w="40" w:type="dxa"/>
              <w:left w:w="0" w:type="dxa"/>
              <w:bottom w:w="40" w:type="dxa"/>
              <w:right w:w="20" w:type="dxa"/>
            </w:tcMar>
            <w:vAlign w:val="bottom"/>
          </w:tcPr>
          <w:p w14:paraId="71D41C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C8E" w14:textId="77777777" w:rsidR="006A3667" w:rsidRDefault="00045F32">
            <w:pPr>
              <w:jc w:val="right"/>
              <w:textAlignment w:val="bottom"/>
            </w:pPr>
            <w:r>
              <w:rPr>
                <w:rFonts w:ascii="Arial" w:eastAsia="宋体" w:hAnsi="Arial" w:cs="Arial"/>
                <w:color w:val="000000"/>
                <w:sz w:val="13"/>
                <w:szCs w:val="13"/>
              </w:rPr>
              <w:t>7 </w:t>
            </w:r>
          </w:p>
        </w:tc>
        <w:tc>
          <w:tcPr>
            <w:tcW w:w="0" w:type="auto"/>
            <w:shd w:val="clear" w:color="auto" w:fill="CCEEFF"/>
            <w:tcMar>
              <w:top w:w="40" w:type="dxa"/>
              <w:left w:w="0" w:type="dxa"/>
              <w:bottom w:w="40" w:type="dxa"/>
              <w:right w:w="20" w:type="dxa"/>
            </w:tcMar>
            <w:vAlign w:val="bottom"/>
          </w:tcPr>
          <w:p w14:paraId="71D41C8F" w14:textId="77777777" w:rsidR="006A3667" w:rsidRDefault="006A3667">
            <w:pPr>
              <w:jc w:val="right"/>
              <w:rPr>
                <w:rFonts w:ascii="宋体"/>
              </w:rPr>
            </w:pPr>
          </w:p>
        </w:tc>
      </w:tr>
      <w:tr w:rsidR="006A3667" w14:paraId="71D41C9D" w14:textId="77777777">
        <w:trPr>
          <w:hidden/>
        </w:trPr>
        <w:tc>
          <w:tcPr>
            <w:tcW w:w="0" w:type="auto"/>
            <w:gridSpan w:val="3"/>
            <w:shd w:val="clear" w:color="auto" w:fill="auto"/>
            <w:vAlign w:val="bottom"/>
          </w:tcPr>
          <w:p w14:paraId="71D41C91" w14:textId="77777777" w:rsidR="006A3667" w:rsidRDefault="006A3667">
            <w:pPr>
              <w:rPr>
                <w:rFonts w:ascii="宋体"/>
                <w:vanish/>
              </w:rPr>
            </w:pPr>
          </w:p>
        </w:tc>
        <w:tc>
          <w:tcPr>
            <w:tcW w:w="0" w:type="auto"/>
            <w:gridSpan w:val="3"/>
            <w:shd w:val="clear" w:color="auto" w:fill="auto"/>
            <w:vAlign w:val="bottom"/>
          </w:tcPr>
          <w:p w14:paraId="71D41C92" w14:textId="77777777" w:rsidR="006A3667" w:rsidRDefault="006A3667">
            <w:pPr>
              <w:rPr>
                <w:rFonts w:ascii="宋体"/>
                <w:vanish/>
              </w:rPr>
            </w:pPr>
          </w:p>
        </w:tc>
        <w:tc>
          <w:tcPr>
            <w:tcW w:w="0" w:type="auto"/>
            <w:gridSpan w:val="3"/>
            <w:shd w:val="clear" w:color="auto" w:fill="auto"/>
            <w:vAlign w:val="bottom"/>
          </w:tcPr>
          <w:p w14:paraId="71D41C93" w14:textId="77777777" w:rsidR="006A3667" w:rsidRDefault="006A3667">
            <w:pPr>
              <w:rPr>
                <w:rFonts w:ascii="宋体"/>
                <w:vanish/>
              </w:rPr>
            </w:pPr>
          </w:p>
        </w:tc>
        <w:tc>
          <w:tcPr>
            <w:tcW w:w="0" w:type="auto"/>
            <w:gridSpan w:val="3"/>
            <w:shd w:val="clear" w:color="auto" w:fill="auto"/>
            <w:vAlign w:val="bottom"/>
          </w:tcPr>
          <w:p w14:paraId="71D41C94" w14:textId="77777777" w:rsidR="006A3667" w:rsidRDefault="006A3667">
            <w:pPr>
              <w:rPr>
                <w:rFonts w:ascii="宋体"/>
                <w:vanish/>
              </w:rPr>
            </w:pPr>
          </w:p>
        </w:tc>
        <w:tc>
          <w:tcPr>
            <w:tcW w:w="0" w:type="auto"/>
            <w:gridSpan w:val="3"/>
            <w:shd w:val="clear" w:color="auto" w:fill="auto"/>
            <w:vAlign w:val="bottom"/>
          </w:tcPr>
          <w:p w14:paraId="71D41C95" w14:textId="77777777" w:rsidR="006A3667" w:rsidRDefault="006A3667">
            <w:pPr>
              <w:rPr>
                <w:rFonts w:ascii="宋体"/>
                <w:vanish/>
              </w:rPr>
            </w:pPr>
          </w:p>
        </w:tc>
        <w:tc>
          <w:tcPr>
            <w:tcW w:w="0" w:type="auto"/>
            <w:gridSpan w:val="3"/>
            <w:shd w:val="clear" w:color="auto" w:fill="auto"/>
            <w:vAlign w:val="bottom"/>
          </w:tcPr>
          <w:p w14:paraId="71D41C96" w14:textId="77777777" w:rsidR="006A3667" w:rsidRDefault="006A3667">
            <w:pPr>
              <w:rPr>
                <w:rFonts w:ascii="宋体"/>
                <w:vanish/>
              </w:rPr>
            </w:pPr>
          </w:p>
        </w:tc>
        <w:tc>
          <w:tcPr>
            <w:tcW w:w="0" w:type="auto"/>
            <w:gridSpan w:val="3"/>
            <w:shd w:val="clear" w:color="auto" w:fill="auto"/>
            <w:vAlign w:val="bottom"/>
          </w:tcPr>
          <w:p w14:paraId="71D41C97" w14:textId="77777777" w:rsidR="006A3667" w:rsidRDefault="006A3667">
            <w:pPr>
              <w:rPr>
                <w:rFonts w:ascii="宋体"/>
                <w:vanish/>
              </w:rPr>
            </w:pPr>
          </w:p>
        </w:tc>
        <w:tc>
          <w:tcPr>
            <w:tcW w:w="0" w:type="auto"/>
            <w:gridSpan w:val="3"/>
            <w:shd w:val="clear" w:color="auto" w:fill="auto"/>
            <w:vAlign w:val="bottom"/>
          </w:tcPr>
          <w:p w14:paraId="71D41C98" w14:textId="77777777" w:rsidR="006A3667" w:rsidRDefault="006A3667">
            <w:pPr>
              <w:rPr>
                <w:rFonts w:ascii="宋体"/>
                <w:vanish/>
              </w:rPr>
            </w:pPr>
          </w:p>
        </w:tc>
        <w:tc>
          <w:tcPr>
            <w:tcW w:w="0" w:type="auto"/>
            <w:gridSpan w:val="3"/>
            <w:shd w:val="clear" w:color="auto" w:fill="auto"/>
            <w:vAlign w:val="bottom"/>
          </w:tcPr>
          <w:p w14:paraId="71D41C99" w14:textId="77777777" w:rsidR="006A3667" w:rsidRDefault="006A3667">
            <w:pPr>
              <w:rPr>
                <w:rFonts w:ascii="宋体"/>
                <w:vanish/>
              </w:rPr>
            </w:pPr>
          </w:p>
        </w:tc>
        <w:tc>
          <w:tcPr>
            <w:tcW w:w="0" w:type="auto"/>
            <w:gridSpan w:val="3"/>
            <w:shd w:val="clear" w:color="auto" w:fill="auto"/>
            <w:vAlign w:val="bottom"/>
          </w:tcPr>
          <w:p w14:paraId="71D41C9A" w14:textId="77777777" w:rsidR="006A3667" w:rsidRDefault="006A3667">
            <w:pPr>
              <w:rPr>
                <w:rFonts w:ascii="宋体"/>
                <w:vanish/>
              </w:rPr>
            </w:pPr>
          </w:p>
        </w:tc>
        <w:tc>
          <w:tcPr>
            <w:tcW w:w="0" w:type="auto"/>
            <w:gridSpan w:val="3"/>
            <w:shd w:val="clear" w:color="auto" w:fill="auto"/>
            <w:vAlign w:val="bottom"/>
          </w:tcPr>
          <w:p w14:paraId="71D41C9B" w14:textId="77777777" w:rsidR="006A3667" w:rsidRDefault="006A3667">
            <w:pPr>
              <w:rPr>
                <w:rFonts w:ascii="宋体"/>
                <w:vanish/>
              </w:rPr>
            </w:pPr>
          </w:p>
        </w:tc>
        <w:tc>
          <w:tcPr>
            <w:tcW w:w="0" w:type="auto"/>
            <w:gridSpan w:val="3"/>
            <w:shd w:val="clear" w:color="auto" w:fill="auto"/>
            <w:vAlign w:val="bottom"/>
          </w:tcPr>
          <w:p w14:paraId="71D41C9C" w14:textId="77777777" w:rsidR="006A3667" w:rsidRDefault="006A3667">
            <w:pPr>
              <w:rPr>
                <w:rFonts w:ascii="宋体"/>
                <w:vanish/>
              </w:rPr>
            </w:pPr>
          </w:p>
        </w:tc>
      </w:tr>
      <w:tr w:rsidR="006A3667" w14:paraId="71D41CAE" w14:textId="77777777">
        <w:tc>
          <w:tcPr>
            <w:tcW w:w="0" w:type="auto"/>
            <w:gridSpan w:val="3"/>
            <w:shd w:val="clear" w:color="auto" w:fill="FFFFFF"/>
            <w:tcMar>
              <w:top w:w="40" w:type="dxa"/>
              <w:left w:w="20" w:type="dxa"/>
              <w:bottom w:w="40" w:type="dxa"/>
              <w:right w:w="20" w:type="dxa"/>
            </w:tcMar>
            <w:vAlign w:val="bottom"/>
          </w:tcPr>
          <w:p w14:paraId="71D41C9E" w14:textId="77777777" w:rsidR="006A3667" w:rsidRDefault="00045F32">
            <w:pPr>
              <w:textAlignment w:val="bottom"/>
            </w:pPr>
            <w:r>
              <w:rPr>
                <w:rFonts w:ascii="Arial" w:eastAsia="宋体" w:hAnsi="Arial" w:cs="Arial"/>
                <w:color w:val="000000"/>
                <w:sz w:val="13"/>
                <w:szCs w:val="13"/>
              </w:rPr>
              <w:t>Total</w:t>
            </w:r>
          </w:p>
        </w:tc>
        <w:tc>
          <w:tcPr>
            <w:tcW w:w="0" w:type="auto"/>
            <w:gridSpan w:val="3"/>
            <w:shd w:val="clear" w:color="auto" w:fill="FFFFFF"/>
            <w:tcMar>
              <w:top w:w="0" w:type="dxa"/>
              <w:left w:w="20" w:type="dxa"/>
              <w:bottom w:w="0" w:type="dxa"/>
              <w:right w:w="20" w:type="dxa"/>
            </w:tcMar>
            <w:vAlign w:val="bottom"/>
          </w:tcPr>
          <w:p w14:paraId="71D41C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A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A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A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CA3"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CA4" w14:textId="77777777" w:rsidR="006A3667" w:rsidRDefault="00045F32">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CA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CA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A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A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AA"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1CA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1CAC" w14:textId="77777777" w:rsidR="006A3667" w:rsidRDefault="00045F32">
            <w:pPr>
              <w:jc w:val="right"/>
              <w:textAlignment w:val="bottom"/>
            </w:pPr>
            <w:r>
              <w:rPr>
                <w:rFonts w:ascii="Arial" w:eastAsia="宋体" w:hAnsi="Arial" w:cs="Arial"/>
                <w:color w:val="000000"/>
                <w:sz w:val="13"/>
                <w:szCs w:val="13"/>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1CAD" w14:textId="77777777" w:rsidR="006A3667" w:rsidRDefault="006A3667">
            <w:pPr>
              <w:jc w:val="right"/>
              <w:rPr>
                <w:rFonts w:ascii="宋体"/>
              </w:rPr>
            </w:pPr>
          </w:p>
        </w:tc>
      </w:tr>
      <w:tr w:rsidR="006A3667" w14:paraId="71D41CBB" w14:textId="77777777">
        <w:trPr>
          <w:trHeight w:val="60"/>
        </w:trPr>
        <w:tc>
          <w:tcPr>
            <w:tcW w:w="0" w:type="auto"/>
            <w:gridSpan w:val="3"/>
            <w:shd w:val="clear" w:color="auto" w:fill="auto"/>
            <w:tcMar>
              <w:top w:w="0" w:type="dxa"/>
              <w:left w:w="20" w:type="dxa"/>
              <w:bottom w:w="0" w:type="dxa"/>
              <w:right w:w="20" w:type="dxa"/>
            </w:tcMar>
            <w:vAlign w:val="bottom"/>
          </w:tcPr>
          <w:p w14:paraId="71D41CA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3"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CB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CB9"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1CBA" w14:textId="77777777" w:rsidR="006A3667" w:rsidRDefault="006A3667">
            <w:pPr>
              <w:rPr>
                <w:rFonts w:ascii="宋体"/>
              </w:rPr>
            </w:pPr>
          </w:p>
        </w:tc>
      </w:tr>
      <w:tr w:rsidR="006A3667" w14:paraId="71D41CBE" w14:textId="77777777">
        <w:tc>
          <w:tcPr>
            <w:tcW w:w="0" w:type="auto"/>
            <w:gridSpan w:val="3"/>
            <w:shd w:val="clear" w:color="auto" w:fill="auto"/>
            <w:tcMar>
              <w:top w:w="0" w:type="dxa"/>
              <w:left w:w="20" w:type="dxa"/>
              <w:bottom w:w="0" w:type="dxa"/>
              <w:right w:w="20" w:type="dxa"/>
            </w:tcMar>
            <w:vAlign w:val="bottom"/>
          </w:tcPr>
          <w:p w14:paraId="71D41CBC"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41CBD" w14:textId="77777777" w:rsidR="006A3667" w:rsidRDefault="00045F32">
            <w:pPr>
              <w:jc w:val="center"/>
              <w:textAlignment w:val="bottom"/>
            </w:pPr>
            <w:r>
              <w:rPr>
                <w:rFonts w:ascii="Arial" w:eastAsia="宋体" w:hAnsi="Arial" w:cs="Arial"/>
                <w:b/>
                <w:bCs/>
                <w:color w:val="000000"/>
                <w:sz w:val="14"/>
                <w:szCs w:val="14"/>
              </w:rPr>
              <w:t>Nine Months Ended September 30,</w:t>
            </w:r>
          </w:p>
        </w:tc>
      </w:tr>
      <w:tr w:rsidR="006A3667" w14:paraId="71D41CC3" w14:textId="77777777">
        <w:tc>
          <w:tcPr>
            <w:tcW w:w="0" w:type="auto"/>
            <w:gridSpan w:val="3"/>
            <w:shd w:val="clear" w:color="auto" w:fill="auto"/>
            <w:tcMar>
              <w:top w:w="0" w:type="dxa"/>
              <w:left w:w="20" w:type="dxa"/>
              <w:bottom w:w="0" w:type="dxa"/>
              <w:right w:w="20" w:type="dxa"/>
            </w:tcMar>
            <w:vAlign w:val="bottom"/>
          </w:tcPr>
          <w:p w14:paraId="71D41CBF"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1CC0"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C1"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1CC2" w14:textId="77777777" w:rsidR="006A3667" w:rsidRDefault="00045F32">
            <w:pPr>
              <w:jc w:val="center"/>
              <w:textAlignment w:val="bottom"/>
            </w:pPr>
            <w:r>
              <w:rPr>
                <w:rFonts w:ascii="Arial" w:eastAsia="宋体" w:hAnsi="Arial" w:cs="Arial"/>
                <w:b/>
                <w:bCs/>
                <w:color w:val="000000"/>
                <w:sz w:val="14"/>
                <w:szCs w:val="14"/>
              </w:rPr>
              <w:t>2021</w:t>
            </w:r>
          </w:p>
        </w:tc>
      </w:tr>
      <w:tr w:rsidR="006A3667" w14:paraId="71D41CD0" w14:textId="77777777">
        <w:tc>
          <w:tcPr>
            <w:tcW w:w="0" w:type="auto"/>
            <w:gridSpan w:val="3"/>
            <w:shd w:val="clear" w:color="auto" w:fill="auto"/>
            <w:tcMar>
              <w:top w:w="40" w:type="dxa"/>
              <w:left w:w="20" w:type="dxa"/>
              <w:bottom w:w="40" w:type="dxa"/>
              <w:right w:w="20" w:type="dxa"/>
            </w:tcMar>
            <w:vAlign w:val="bottom"/>
          </w:tcPr>
          <w:p w14:paraId="71D41CC4" w14:textId="77777777" w:rsidR="006A3667" w:rsidRDefault="00045F32">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C5" w14:textId="77777777" w:rsidR="006A3667" w:rsidRDefault="00045F32">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C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C7" w14:textId="77777777" w:rsidR="006A3667" w:rsidRDefault="00045F32">
            <w:pPr>
              <w:jc w:val="center"/>
              <w:textAlignment w:val="bottom"/>
            </w:pPr>
            <w:r>
              <w:rPr>
                <w:rFonts w:ascii="Arial" w:eastAsia="宋体" w:hAnsi="Arial" w:cs="Arial"/>
                <w:b/>
                <w:bCs/>
                <w:color w:val="000000"/>
                <w:sz w:val="14"/>
                <w:szCs w:val="14"/>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C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C9"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1CC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CB" w14:textId="77777777" w:rsidR="006A3667" w:rsidRDefault="00045F32">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C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CD" w14:textId="77777777" w:rsidR="006A3667" w:rsidRDefault="00045F32">
            <w:pPr>
              <w:jc w:val="center"/>
              <w:textAlignment w:val="bottom"/>
            </w:pPr>
            <w:r>
              <w:rPr>
                <w:rFonts w:ascii="Arial" w:eastAsia="宋体" w:hAnsi="Arial" w:cs="Arial"/>
                <w:b/>
                <w:bCs/>
                <w:color w:val="000000"/>
                <w:sz w:val="14"/>
                <w:szCs w:val="14"/>
              </w:rPr>
              <w:t xml:space="preserve">Dividends </w:t>
            </w:r>
            <w:r>
              <w:rPr>
                <w:rFonts w:ascii="Arial" w:eastAsia="宋体" w:hAnsi="Arial" w:cs="Arial"/>
                <w:b/>
                <w:bCs/>
                <w:color w:val="000000"/>
                <w:sz w:val="14"/>
                <w:szCs w:val="14"/>
              </w:rPr>
              <w:t>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CC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CCF"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1CDD" w14:textId="77777777">
        <w:tc>
          <w:tcPr>
            <w:tcW w:w="0" w:type="auto"/>
            <w:gridSpan w:val="3"/>
            <w:shd w:val="clear" w:color="auto" w:fill="FFFFFF"/>
            <w:tcMar>
              <w:top w:w="40" w:type="dxa"/>
              <w:left w:w="20" w:type="dxa"/>
              <w:bottom w:w="40" w:type="dxa"/>
              <w:right w:w="20" w:type="dxa"/>
            </w:tcMar>
            <w:vAlign w:val="bottom"/>
          </w:tcPr>
          <w:p w14:paraId="71D41CD1" w14:textId="77777777" w:rsidR="006A3667" w:rsidRDefault="00045F32">
            <w:pPr>
              <w:textAlignment w:val="bottom"/>
            </w:pPr>
            <w:r>
              <w:rPr>
                <w:rFonts w:ascii="Arial" w:eastAsia="宋体" w:hAnsi="Arial" w:cs="Arial"/>
                <w:b/>
                <w:bCs/>
                <w:color w:val="000000"/>
                <w:sz w:val="14"/>
                <w:szCs w:val="14"/>
              </w:rPr>
              <w:t xml:space="preserve">Preferred </w:t>
            </w:r>
            <w:r>
              <w:rPr>
                <w:rFonts w:ascii="Arial" w:eastAsia="宋体" w:hAnsi="Arial" w:cs="Arial"/>
                <w:b/>
                <w:bCs/>
                <w:color w:val="000000"/>
                <w:sz w:val="14"/>
                <w:szCs w:val="14"/>
              </w:rPr>
              <w:t>Stock:</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CD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D3"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CD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D5"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CD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D7"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CD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D9"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CD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CDB"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1CDC" w14:textId="77777777" w:rsidR="006A3667" w:rsidRDefault="006A3667">
            <w:pPr>
              <w:rPr>
                <w:rFonts w:ascii="宋体"/>
              </w:rPr>
            </w:pPr>
          </w:p>
        </w:tc>
      </w:tr>
      <w:tr w:rsidR="006A3667" w14:paraId="71D41CEA" w14:textId="77777777">
        <w:trPr>
          <w:hidden/>
        </w:trPr>
        <w:tc>
          <w:tcPr>
            <w:tcW w:w="0" w:type="auto"/>
            <w:gridSpan w:val="3"/>
            <w:shd w:val="clear" w:color="auto" w:fill="auto"/>
            <w:vAlign w:val="bottom"/>
          </w:tcPr>
          <w:p w14:paraId="71D41CDE" w14:textId="77777777" w:rsidR="006A3667" w:rsidRDefault="006A3667">
            <w:pPr>
              <w:rPr>
                <w:rFonts w:ascii="宋体"/>
                <w:vanish/>
              </w:rPr>
            </w:pPr>
          </w:p>
        </w:tc>
        <w:tc>
          <w:tcPr>
            <w:tcW w:w="0" w:type="auto"/>
            <w:gridSpan w:val="3"/>
            <w:shd w:val="clear" w:color="auto" w:fill="auto"/>
            <w:vAlign w:val="bottom"/>
          </w:tcPr>
          <w:p w14:paraId="71D41CDF" w14:textId="77777777" w:rsidR="006A3667" w:rsidRDefault="006A3667">
            <w:pPr>
              <w:rPr>
                <w:rFonts w:ascii="宋体"/>
                <w:vanish/>
              </w:rPr>
            </w:pPr>
          </w:p>
        </w:tc>
        <w:tc>
          <w:tcPr>
            <w:tcW w:w="0" w:type="auto"/>
            <w:gridSpan w:val="3"/>
            <w:shd w:val="clear" w:color="auto" w:fill="auto"/>
            <w:vAlign w:val="bottom"/>
          </w:tcPr>
          <w:p w14:paraId="71D41CE0" w14:textId="77777777" w:rsidR="006A3667" w:rsidRDefault="006A3667">
            <w:pPr>
              <w:rPr>
                <w:rFonts w:ascii="宋体"/>
                <w:vanish/>
              </w:rPr>
            </w:pPr>
          </w:p>
        </w:tc>
        <w:tc>
          <w:tcPr>
            <w:tcW w:w="0" w:type="auto"/>
            <w:gridSpan w:val="3"/>
            <w:shd w:val="clear" w:color="auto" w:fill="auto"/>
            <w:vAlign w:val="bottom"/>
          </w:tcPr>
          <w:p w14:paraId="71D41CE1" w14:textId="77777777" w:rsidR="006A3667" w:rsidRDefault="006A3667">
            <w:pPr>
              <w:rPr>
                <w:rFonts w:ascii="宋体"/>
                <w:vanish/>
              </w:rPr>
            </w:pPr>
          </w:p>
        </w:tc>
        <w:tc>
          <w:tcPr>
            <w:tcW w:w="0" w:type="auto"/>
            <w:gridSpan w:val="3"/>
            <w:shd w:val="clear" w:color="auto" w:fill="auto"/>
            <w:vAlign w:val="bottom"/>
          </w:tcPr>
          <w:p w14:paraId="71D41CE2" w14:textId="77777777" w:rsidR="006A3667" w:rsidRDefault="006A3667">
            <w:pPr>
              <w:rPr>
                <w:rFonts w:ascii="宋体"/>
                <w:vanish/>
              </w:rPr>
            </w:pPr>
          </w:p>
        </w:tc>
        <w:tc>
          <w:tcPr>
            <w:tcW w:w="0" w:type="auto"/>
            <w:gridSpan w:val="3"/>
            <w:shd w:val="clear" w:color="auto" w:fill="auto"/>
            <w:vAlign w:val="bottom"/>
          </w:tcPr>
          <w:p w14:paraId="71D41CE3" w14:textId="77777777" w:rsidR="006A3667" w:rsidRDefault="006A3667">
            <w:pPr>
              <w:rPr>
                <w:rFonts w:ascii="宋体"/>
                <w:vanish/>
              </w:rPr>
            </w:pPr>
          </w:p>
        </w:tc>
        <w:tc>
          <w:tcPr>
            <w:tcW w:w="0" w:type="auto"/>
            <w:gridSpan w:val="3"/>
            <w:shd w:val="clear" w:color="auto" w:fill="auto"/>
            <w:vAlign w:val="bottom"/>
          </w:tcPr>
          <w:p w14:paraId="71D41CE4" w14:textId="77777777" w:rsidR="006A3667" w:rsidRDefault="006A3667">
            <w:pPr>
              <w:rPr>
                <w:rFonts w:ascii="宋体"/>
                <w:vanish/>
              </w:rPr>
            </w:pPr>
          </w:p>
        </w:tc>
        <w:tc>
          <w:tcPr>
            <w:tcW w:w="0" w:type="auto"/>
            <w:gridSpan w:val="3"/>
            <w:shd w:val="clear" w:color="auto" w:fill="auto"/>
            <w:vAlign w:val="bottom"/>
          </w:tcPr>
          <w:p w14:paraId="71D41CE5" w14:textId="77777777" w:rsidR="006A3667" w:rsidRDefault="006A3667">
            <w:pPr>
              <w:rPr>
                <w:rFonts w:ascii="宋体"/>
                <w:vanish/>
              </w:rPr>
            </w:pPr>
          </w:p>
        </w:tc>
        <w:tc>
          <w:tcPr>
            <w:tcW w:w="0" w:type="auto"/>
            <w:gridSpan w:val="3"/>
            <w:shd w:val="clear" w:color="auto" w:fill="auto"/>
            <w:vAlign w:val="bottom"/>
          </w:tcPr>
          <w:p w14:paraId="71D41CE6" w14:textId="77777777" w:rsidR="006A3667" w:rsidRDefault="006A3667">
            <w:pPr>
              <w:rPr>
                <w:rFonts w:ascii="宋体"/>
                <w:vanish/>
              </w:rPr>
            </w:pPr>
          </w:p>
        </w:tc>
        <w:tc>
          <w:tcPr>
            <w:tcW w:w="0" w:type="auto"/>
            <w:gridSpan w:val="3"/>
            <w:shd w:val="clear" w:color="auto" w:fill="auto"/>
            <w:vAlign w:val="bottom"/>
          </w:tcPr>
          <w:p w14:paraId="71D41CE7" w14:textId="77777777" w:rsidR="006A3667" w:rsidRDefault="006A3667">
            <w:pPr>
              <w:rPr>
                <w:rFonts w:ascii="宋体"/>
                <w:vanish/>
              </w:rPr>
            </w:pPr>
          </w:p>
        </w:tc>
        <w:tc>
          <w:tcPr>
            <w:tcW w:w="0" w:type="auto"/>
            <w:gridSpan w:val="3"/>
            <w:shd w:val="clear" w:color="auto" w:fill="auto"/>
            <w:vAlign w:val="bottom"/>
          </w:tcPr>
          <w:p w14:paraId="71D41CE8" w14:textId="77777777" w:rsidR="006A3667" w:rsidRDefault="006A3667">
            <w:pPr>
              <w:rPr>
                <w:rFonts w:ascii="宋体"/>
                <w:vanish/>
              </w:rPr>
            </w:pPr>
          </w:p>
        </w:tc>
        <w:tc>
          <w:tcPr>
            <w:tcW w:w="0" w:type="auto"/>
            <w:gridSpan w:val="3"/>
            <w:shd w:val="clear" w:color="auto" w:fill="auto"/>
            <w:vAlign w:val="bottom"/>
          </w:tcPr>
          <w:p w14:paraId="71D41CE9" w14:textId="77777777" w:rsidR="006A3667" w:rsidRDefault="006A3667">
            <w:pPr>
              <w:rPr>
                <w:rFonts w:ascii="宋体"/>
                <w:vanish/>
              </w:rPr>
            </w:pPr>
          </w:p>
        </w:tc>
      </w:tr>
      <w:tr w:rsidR="006A3667" w14:paraId="71D41D03" w14:textId="77777777">
        <w:tc>
          <w:tcPr>
            <w:tcW w:w="0" w:type="auto"/>
            <w:gridSpan w:val="3"/>
            <w:shd w:val="clear" w:color="auto" w:fill="CCEEFF"/>
            <w:tcMar>
              <w:top w:w="40" w:type="dxa"/>
              <w:left w:w="20" w:type="dxa"/>
              <w:bottom w:w="40" w:type="dxa"/>
              <w:right w:w="20" w:type="dxa"/>
            </w:tcMar>
            <w:vAlign w:val="bottom"/>
          </w:tcPr>
          <w:p w14:paraId="71D41CEB" w14:textId="77777777" w:rsidR="006A3667" w:rsidRDefault="00045F32">
            <w:pPr>
              <w:textAlignment w:val="bottom"/>
            </w:pPr>
            <w:r>
              <w:rPr>
                <w:rFonts w:ascii="Arial" w:eastAsia="宋体" w:hAnsi="Arial" w:cs="Arial"/>
                <w:color w:val="000000"/>
                <w:sz w:val="14"/>
                <w:szCs w:val="14"/>
              </w:rPr>
              <w:t>Series D</w:t>
            </w:r>
          </w:p>
        </w:tc>
        <w:tc>
          <w:tcPr>
            <w:tcW w:w="0" w:type="auto"/>
            <w:shd w:val="clear" w:color="auto" w:fill="CCEEFF"/>
            <w:tcMar>
              <w:top w:w="40" w:type="dxa"/>
              <w:left w:w="20" w:type="dxa"/>
              <w:bottom w:w="40" w:type="dxa"/>
              <w:right w:w="0" w:type="dxa"/>
            </w:tcMar>
            <w:vAlign w:val="bottom"/>
          </w:tcPr>
          <w:p w14:paraId="71D41CEC"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1CED" w14:textId="77777777" w:rsidR="006A3667" w:rsidRDefault="00045F32">
            <w:pPr>
              <w:jc w:val="right"/>
              <w:textAlignment w:val="bottom"/>
            </w:pPr>
            <w:r>
              <w:rPr>
                <w:rFonts w:ascii="Arial" w:eastAsia="宋体" w:hAnsi="Arial" w:cs="Arial"/>
                <w:b/>
                <w:bCs/>
                <w:color w:val="000000"/>
                <w:sz w:val="14"/>
                <w:szCs w:val="14"/>
              </w:rPr>
              <w:t>4,425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C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E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F0"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1CF1" w14:textId="77777777" w:rsidR="006A3667" w:rsidRDefault="00045F32">
            <w:pPr>
              <w:jc w:val="right"/>
              <w:textAlignment w:val="bottom"/>
            </w:pPr>
            <w:r>
              <w:rPr>
                <w:rFonts w:ascii="Arial" w:eastAsia="宋体" w:hAnsi="Arial" w:cs="Arial"/>
                <w:b/>
                <w:bCs/>
                <w:color w:val="000000"/>
                <w:sz w:val="14"/>
                <w:szCs w:val="14"/>
              </w:rPr>
              <w:t>1.11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C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F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F4"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1CF5" w14:textId="77777777" w:rsidR="006A3667" w:rsidRDefault="00045F32">
            <w:pPr>
              <w:jc w:val="right"/>
              <w:textAlignment w:val="bottom"/>
            </w:pPr>
            <w:r>
              <w:rPr>
                <w:rFonts w:ascii="Arial" w:eastAsia="宋体" w:hAnsi="Arial" w:cs="Arial"/>
                <w:b/>
                <w:bCs/>
                <w:color w:val="000000"/>
                <w:sz w:val="14"/>
                <w:szCs w:val="14"/>
              </w:rPr>
              <w:t>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C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F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F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1CF9" w14:textId="77777777" w:rsidR="006A3667" w:rsidRDefault="00045F32">
            <w:pPr>
              <w:jc w:val="right"/>
              <w:textAlignment w:val="bottom"/>
            </w:pPr>
            <w:r>
              <w:rPr>
                <w:rFonts w:ascii="Arial" w:eastAsia="宋体" w:hAnsi="Arial" w:cs="Arial"/>
                <w:color w:val="000000"/>
                <w:sz w:val="14"/>
                <w:szCs w:val="14"/>
              </w:rPr>
              <w:t>4,425 </w:t>
            </w:r>
          </w:p>
        </w:tc>
        <w:tc>
          <w:tcPr>
            <w:tcW w:w="0" w:type="auto"/>
            <w:shd w:val="clear" w:color="auto" w:fill="CCEEFF"/>
            <w:tcMar>
              <w:top w:w="40" w:type="dxa"/>
              <w:left w:w="0" w:type="dxa"/>
              <w:bottom w:w="40" w:type="dxa"/>
              <w:right w:w="20" w:type="dxa"/>
            </w:tcMar>
            <w:vAlign w:val="bottom"/>
          </w:tcPr>
          <w:p w14:paraId="71D41C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F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CF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1CFD" w14:textId="77777777" w:rsidR="006A3667" w:rsidRDefault="00045F32">
            <w:pPr>
              <w:jc w:val="right"/>
              <w:textAlignment w:val="bottom"/>
            </w:pPr>
            <w:r>
              <w:rPr>
                <w:rFonts w:ascii="Arial" w:eastAsia="宋体" w:hAnsi="Arial" w:cs="Arial"/>
                <w:color w:val="000000"/>
                <w:sz w:val="14"/>
                <w:szCs w:val="14"/>
              </w:rPr>
              <w:t>1.11 </w:t>
            </w:r>
          </w:p>
        </w:tc>
        <w:tc>
          <w:tcPr>
            <w:tcW w:w="0" w:type="auto"/>
            <w:shd w:val="clear" w:color="auto" w:fill="CCEEFF"/>
            <w:tcMar>
              <w:top w:w="40" w:type="dxa"/>
              <w:left w:w="0" w:type="dxa"/>
              <w:bottom w:w="40" w:type="dxa"/>
              <w:right w:w="20" w:type="dxa"/>
            </w:tcMar>
            <w:vAlign w:val="bottom"/>
          </w:tcPr>
          <w:p w14:paraId="71D41CF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CF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1D0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1D01" w14:textId="77777777" w:rsidR="006A3667" w:rsidRDefault="00045F32">
            <w:pPr>
              <w:jc w:val="right"/>
              <w:textAlignment w:val="bottom"/>
            </w:pPr>
            <w:r>
              <w:rPr>
                <w:rFonts w:ascii="Arial" w:eastAsia="宋体" w:hAnsi="Arial" w:cs="Arial"/>
                <w:color w:val="000000"/>
                <w:sz w:val="14"/>
                <w:szCs w:val="14"/>
              </w:rPr>
              <w:t>33 </w:t>
            </w:r>
          </w:p>
        </w:tc>
        <w:tc>
          <w:tcPr>
            <w:tcW w:w="0" w:type="auto"/>
            <w:shd w:val="clear" w:color="auto" w:fill="CCEEFF"/>
            <w:tcMar>
              <w:top w:w="40" w:type="dxa"/>
              <w:left w:w="0" w:type="dxa"/>
              <w:bottom w:w="40" w:type="dxa"/>
              <w:right w:w="20" w:type="dxa"/>
            </w:tcMar>
            <w:vAlign w:val="bottom"/>
          </w:tcPr>
          <w:p w14:paraId="71D41D02" w14:textId="77777777" w:rsidR="006A3667" w:rsidRDefault="006A3667">
            <w:pPr>
              <w:jc w:val="right"/>
              <w:rPr>
                <w:rFonts w:ascii="宋体"/>
              </w:rPr>
            </w:pPr>
          </w:p>
        </w:tc>
      </w:tr>
      <w:tr w:rsidR="006A3667" w14:paraId="71D41D10" w14:textId="77777777">
        <w:trPr>
          <w:hidden/>
        </w:trPr>
        <w:tc>
          <w:tcPr>
            <w:tcW w:w="0" w:type="auto"/>
            <w:gridSpan w:val="3"/>
            <w:shd w:val="clear" w:color="auto" w:fill="auto"/>
            <w:vAlign w:val="bottom"/>
          </w:tcPr>
          <w:p w14:paraId="71D41D04" w14:textId="77777777" w:rsidR="006A3667" w:rsidRDefault="006A3667">
            <w:pPr>
              <w:rPr>
                <w:rFonts w:ascii="宋体"/>
                <w:vanish/>
              </w:rPr>
            </w:pPr>
          </w:p>
        </w:tc>
        <w:tc>
          <w:tcPr>
            <w:tcW w:w="0" w:type="auto"/>
            <w:gridSpan w:val="3"/>
            <w:shd w:val="clear" w:color="auto" w:fill="auto"/>
            <w:vAlign w:val="bottom"/>
          </w:tcPr>
          <w:p w14:paraId="71D41D05" w14:textId="77777777" w:rsidR="006A3667" w:rsidRDefault="006A3667">
            <w:pPr>
              <w:rPr>
                <w:rFonts w:ascii="宋体"/>
                <w:vanish/>
              </w:rPr>
            </w:pPr>
          </w:p>
        </w:tc>
        <w:tc>
          <w:tcPr>
            <w:tcW w:w="0" w:type="auto"/>
            <w:gridSpan w:val="3"/>
            <w:shd w:val="clear" w:color="auto" w:fill="auto"/>
            <w:vAlign w:val="bottom"/>
          </w:tcPr>
          <w:p w14:paraId="71D41D06" w14:textId="77777777" w:rsidR="006A3667" w:rsidRDefault="006A3667">
            <w:pPr>
              <w:rPr>
                <w:rFonts w:ascii="宋体"/>
                <w:vanish/>
              </w:rPr>
            </w:pPr>
          </w:p>
        </w:tc>
        <w:tc>
          <w:tcPr>
            <w:tcW w:w="0" w:type="auto"/>
            <w:gridSpan w:val="3"/>
            <w:shd w:val="clear" w:color="auto" w:fill="auto"/>
            <w:vAlign w:val="bottom"/>
          </w:tcPr>
          <w:p w14:paraId="71D41D07" w14:textId="77777777" w:rsidR="006A3667" w:rsidRDefault="006A3667">
            <w:pPr>
              <w:rPr>
                <w:rFonts w:ascii="宋体"/>
                <w:vanish/>
              </w:rPr>
            </w:pPr>
          </w:p>
        </w:tc>
        <w:tc>
          <w:tcPr>
            <w:tcW w:w="0" w:type="auto"/>
            <w:gridSpan w:val="3"/>
            <w:shd w:val="clear" w:color="auto" w:fill="auto"/>
            <w:vAlign w:val="bottom"/>
          </w:tcPr>
          <w:p w14:paraId="71D41D08" w14:textId="77777777" w:rsidR="006A3667" w:rsidRDefault="006A3667">
            <w:pPr>
              <w:rPr>
                <w:rFonts w:ascii="宋体"/>
                <w:vanish/>
              </w:rPr>
            </w:pPr>
          </w:p>
        </w:tc>
        <w:tc>
          <w:tcPr>
            <w:tcW w:w="0" w:type="auto"/>
            <w:gridSpan w:val="3"/>
            <w:shd w:val="clear" w:color="auto" w:fill="auto"/>
            <w:vAlign w:val="bottom"/>
          </w:tcPr>
          <w:p w14:paraId="71D41D09" w14:textId="77777777" w:rsidR="006A3667" w:rsidRDefault="006A3667">
            <w:pPr>
              <w:rPr>
                <w:rFonts w:ascii="宋体"/>
                <w:vanish/>
              </w:rPr>
            </w:pPr>
          </w:p>
        </w:tc>
        <w:tc>
          <w:tcPr>
            <w:tcW w:w="0" w:type="auto"/>
            <w:gridSpan w:val="3"/>
            <w:shd w:val="clear" w:color="auto" w:fill="auto"/>
            <w:vAlign w:val="bottom"/>
          </w:tcPr>
          <w:p w14:paraId="71D41D0A" w14:textId="77777777" w:rsidR="006A3667" w:rsidRDefault="006A3667">
            <w:pPr>
              <w:rPr>
                <w:rFonts w:ascii="宋体"/>
                <w:vanish/>
              </w:rPr>
            </w:pPr>
          </w:p>
        </w:tc>
        <w:tc>
          <w:tcPr>
            <w:tcW w:w="0" w:type="auto"/>
            <w:gridSpan w:val="3"/>
            <w:shd w:val="clear" w:color="auto" w:fill="auto"/>
            <w:vAlign w:val="bottom"/>
          </w:tcPr>
          <w:p w14:paraId="71D41D0B" w14:textId="77777777" w:rsidR="006A3667" w:rsidRDefault="006A3667">
            <w:pPr>
              <w:rPr>
                <w:rFonts w:ascii="宋体"/>
                <w:vanish/>
              </w:rPr>
            </w:pPr>
          </w:p>
        </w:tc>
        <w:tc>
          <w:tcPr>
            <w:tcW w:w="0" w:type="auto"/>
            <w:gridSpan w:val="3"/>
            <w:shd w:val="clear" w:color="auto" w:fill="auto"/>
            <w:vAlign w:val="bottom"/>
          </w:tcPr>
          <w:p w14:paraId="71D41D0C" w14:textId="77777777" w:rsidR="006A3667" w:rsidRDefault="006A3667">
            <w:pPr>
              <w:rPr>
                <w:rFonts w:ascii="宋体"/>
                <w:vanish/>
              </w:rPr>
            </w:pPr>
          </w:p>
        </w:tc>
        <w:tc>
          <w:tcPr>
            <w:tcW w:w="0" w:type="auto"/>
            <w:gridSpan w:val="3"/>
            <w:shd w:val="clear" w:color="auto" w:fill="auto"/>
            <w:vAlign w:val="bottom"/>
          </w:tcPr>
          <w:p w14:paraId="71D41D0D" w14:textId="77777777" w:rsidR="006A3667" w:rsidRDefault="006A3667">
            <w:pPr>
              <w:rPr>
                <w:rFonts w:ascii="宋体"/>
                <w:vanish/>
              </w:rPr>
            </w:pPr>
          </w:p>
        </w:tc>
        <w:tc>
          <w:tcPr>
            <w:tcW w:w="0" w:type="auto"/>
            <w:gridSpan w:val="3"/>
            <w:shd w:val="clear" w:color="auto" w:fill="auto"/>
            <w:vAlign w:val="bottom"/>
          </w:tcPr>
          <w:p w14:paraId="71D41D0E" w14:textId="77777777" w:rsidR="006A3667" w:rsidRDefault="006A3667">
            <w:pPr>
              <w:rPr>
                <w:rFonts w:ascii="宋体"/>
                <w:vanish/>
              </w:rPr>
            </w:pPr>
          </w:p>
        </w:tc>
        <w:tc>
          <w:tcPr>
            <w:tcW w:w="0" w:type="auto"/>
            <w:gridSpan w:val="3"/>
            <w:shd w:val="clear" w:color="auto" w:fill="auto"/>
            <w:vAlign w:val="bottom"/>
          </w:tcPr>
          <w:p w14:paraId="71D41D0F" w14:textId="77777777" w:rsidR="006A3667" w:rsidRDefault="006A3667">
            <w:pPr>
              <w:rPr>
                <w:rFonts w:ascii="宋体"/>
                <w:vanish/>
              </w:rPr>
            </w:pPr>
          </w:p>
        </w:tc>
      </w:tr>
      <w:tr w:rsidR="006A3667" w14:paraId="71D41D23" w14:textId="77777777">
        <w:tc>
          <w:tcPr>
            <w:tcW w:w="0" w:type="auto"/>
            <w:gridSpan w:val="3"/>
            <w:shd w:val="clear" w:color="auto" w:fill="FFFFFF"/>
            <w:tcMar>
              <w:top w:w="40" w:type="dxa"/>
              <w:left w:w="20" w:type="dxa"/>
              <w:bottom w:w="40" w:type="dxa"/>
              <w:right w:w="20" w:type="dxa"/>
            </w:tcMar>
            <w:vAlign w:val="bottom"/>
          </w:tcPr>
          <w:p w14:paraId="71D41D11" w14:textId="77777777" w:rsidR="006A3667" w:rsidRDefault="00045F32">
            <w:pPr>
              <w:textAlignment w:val="bottom"/>
            </w:pPr>
            <w:r>
              <w:rPr>
                <w:rFonts w:ascii="Arial" w:eastAsia="宋体" w:hAnsi="Arial" w:cs="Arial"/>
                <w:color w:val="000000"/>
                <w:sz w:val="14"/>
                <w:szCs w:val="14"/>
              </w:rPr>
              <w:t>Series F</w:t>
            </w:r>
          </w:p>
        </w:tc>
        <w:tc>
          <w:tcPr>
            <w:tcW w:w="0" w:type="auto"/>
            <w:gridSpan w:val="2"/>
            <w:shd w:val="clear" w:color="auto" w:fill="FFFFFF"/>
            <w:tcMar>
              <w:top w:w="40" w:type="dxa"/>
              <w:left w:w="20" w:type="dxa"/>
              <w:bottom w:w="40" w:type="dxa"/>
              <w:right w:w="0" w:type="dxa"/>
            </w:tcMar>
            <w:vAlign w:val="bottom"/>
          </w:tcPr>
          <w:p w14:paraId="71D41D12" w14:textId="77777777" w:rsidR="006A3667" w:rsidRDefault="00045F32">
            <w:pPr>
              <w:jc w:val="right"/>
              <w:textAlignment w:val="bottom"/>
            </w:pPr>
            <w:r>
              <w:rPr>
                <w:rFonts w:ascii="Arial" w:eastAsia="宋体" w:hAnsi="Arial" w:cs="Arial"/>
                <w:b/>
                <w:bCs/>
                <w:color w:val="000000"/>
                <w:sz w:val="14"/>
                <w:szCs w:val="14"/>
              </w:rPr>
              <w:t>3,467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1D1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1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15" w14:textId="77777777" w:rsidR="006A3667" w:rsidRDefault="00045F32">
            <w:pPr>
              <w:jc w:val="right"/>
              <w:textAlignment w:val="bottom"/>
            </w:pPr>
            <w:r>
              <w:rPr>
                <w:rFonts w:ascii="Arial" w:eastAsia="宋体" w:hAnsi="Arial" w:cs="Arial"/>
                <w:b/>
                <w:bCs/>
                <w:color w:val="000000"/>
                <w:sz w:val="14"/>
                <w:szCs w:val="14"/>
              </w:rPr>
              <w:t>34.67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1D1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1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18" w14:textId="77777777" w:rsidR="006A3667" w:rsidRDefault="00045F32">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1D1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1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1B" w14:textId="77777777" w:rsidR="006A3667" w:rsidRDefault="00045F32">
            <w:pPr>
              <w:jc w:val="right"/>
              <w:textAlignment w:val="bottom"/>
            </w:pPr>
            <w:r>
              <w:rPr>
                <w:rFonts w:ascii="Arial" w:eastAsia="宋体" w:hAnsi="Arial" w:cs="Arial"/>
                <w:color w:val="000000"/>
                <w:sz w:val="14"/>
                <w:szCs w:val="14"/>
              </w:rPr>
              <w:t>2,869 </w:t>
            </w:r>
          </w:p>
        </w:tc>
        <w:tc>
          <w:tcPr>
            <w:tcW w:w="0" w:type="auto"/>
            <w:shd w:val="clear" w:color="auto" w:fill="FFFFFF"/>
            <w:tcMar>
              <w:top w:w="40" w:type="dxa"/>
              <w:left w:w="0" w:type="dxa"/>
              <w:bottom w:w="40" w:type="dxa"/>
              <w:right w:w="20" w:type="dxa"/>
            </w:tcMar>
            <w:vAlign w:val="bottom"/>
          </w:tcPr>
          <w:p w14:paraId="71D41D1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1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1E" w14:textId="77777777" w:rsidR="006A3667" w:rsidRDefault="00045F32">
            <w:pPr>
              <w:jc w:val="right"/>
              <w:textAlignment w:val="bottom"/>
            </w:pPr>
            <w:r>
              <w:rPr>
                <w:rFonts w:ascii="Arial" w:eastAsia="宋体" w:hAnsi="Arial" w:cs="Arial"/>
                <w:color w:val="000000"/>
                <w:sz w:val="14"/>
                <w:szCs w:val="14"/>
              </w:rPr>
              <w:t>28.69 </w:t>
            </w:r>
          </w:p>
        </w:tc>
        <w:tc>
          <w:tcPr>
            <w:tcW w:w="0" w:type="auto"/>
            <w:shd w:val="clear" w:color="auto" w:fill="FFFFFF"/>
            <w:tcMar>
              <w:top w:w="40" w:type="dxa"/>
              <w:left w:w="0" w:type="dxa"/>
              <w:bottom w:w="40" w:type="dxa"/>
              <w:right w:w="20" w:type="dxa"/>
            </w:tcMar>
            <w:vAlign w:val="bottom"/>
          </w:tcPr>
          <w:p w14:paraId="71D41D1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2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21" w14:textId="77777777" w:rsidR="006A3667" w:rsidRDefault="00045F32">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71D41D22" w14:textId="77777777" w:rsidR="006A3667" w:rsidRDefault="006A3667">
            <w:pPr>
              <w:jc w:val="right"/>
              <w:rPr>
                <w:rFonts w:ascii="宋体"/>
              </w:rPr>
            </w:pPr>
          </w:p>
        </w:tc>
      </w:tr>
      <w:tr w:rsidR="006A3667" w14:paraId="71D41D36" w14:textId="77777777">
        <w:tc>
          <w:tcPr>
            <w:tcW w:w="0" w:type="auto"/>
            <w:gridSpan w:val="3"/>
            <w:shd w:val="clear" w:color="auto" w:fill="CCEEFF"/>
            <w:tcMar>
              <w:top w:w="40" w:type="dxa"/>
              <w:left w:w="20" w:type="dxa"/>
              <w:bottom w:w="40" w:type="dxa"/>
              <w:right w:w="20" w:type="dxa"/>
            </w:tcMar>
            <w:vAlign w:val="bottom"/>
          </w:tcPr>
          <w:p w14:paraId="71D41D24" w14:textId="77777777" w:rsidR="006A3667" w:rsidRDefault="00045F32">
            <w:pPr>
              <w:textAlignment w:val="bottom"/>
            </w:pPr>
            <w:r>
              <w:rPr>
                <w:rFonts w:ascii="Arial" w:eastAsia="宋体" w:hAnsi="Arial" w:cs="Arial"/>
                <w:color w:val="000000"/>
                <w:sz w:val="14"/>
                <w:szCs w:val="14"/>
              </w:rPr>
              <w:t>Series G</w:t>
            </w:r>
          </w:p>
        </w:tc>
        <w:tc>
          <w:tcPr>
            <w:tcW w:w="0" w:type="auto"/>
            <w:gridSpan w:val="2"/>
            <w:shd w:val="clear" w:color="auto" w:fill="CCEEFF"/>
            <w:tcMar>
              <w:top w:w="40" w:type="dxa"/>
              <w:left w:w="20" w:type="dxa"/>
              <w:bottom w:w="40" w:type="dxa"/>
              <w:right w:w="0" w:type="dxa"/>
            </w:tcMar>
            <w:vAlign w:val="bottom"/>
          </w:tcPr>
          <w:p w14:paraId="71D41D25" w14:textId="77777777" w:rsidR="006A3667" w:rsidRDefault="00045F32">
            <w:pPr>
              <w:jc w:val="right"/>
              <w:textAlignment w:val="bottom"/>
            </w:pPr>
            <w:r>
              <w:rPr>
                <w:rFonts w:ascii="Arial" w:eastAsia="宋体" w:hAnsi="Arial" w:cs="Arial"/>
                <w:b/>
                <w:bCs/>
                <w:color w:val="000000"/>
                <w:sz w:val="14"/>
                <w:szCs w:val="14"/>
              </w:rPr>
              <w:t>4,014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D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D28" w14:textId="77777777" w:rsidR="006A3667" w:rsidRDefault="00045F32">
            <w:pPr>
              <w:jc w:val="right"/>
              <w:textAlignment w:val="bottom"/>
            </w:pPr>
            <w:r>
              <w:rPr>
                <w:rFonts w:ascii="Arial" w:eastAsia="宋体" w:hAnsi="Arial" w:cs="Arial"/>
                <w:b/>
                <w:bCs/>
                <w:color w:val="000000"/>
                <w:sz w:val="14"/>
                <w:szCs w:val="14"/>
              </w:rPr>
              <w:t>0.99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D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2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D2B" w14:textId="77777777" w:rsidR="006A3667" w:rsidRDefault="00045F32">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1D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D2E" w14:textId="77777777" w:rsidR="006A3667" w:rsidRDefault="00045F32">
            <w:pPr>
              <w:jc w:val="right"/>
              <w:textAlignment w:val="bottom"/>
            </w:pPr>
            <w:r>
              <w:rPr>
                <w:rFonts w:ascii="Arial" w:eastAsia="宋体" w:hAnsi="Arial" w:cs="Arial"/>
                <w:color w:val="000000"/>
                <w:sz w:val="14"/>
                <w:szCs w:val="14"/>
              </w:rPr>
              <w:t>4,014 </w:t>
            </w:r>
          </w:p>
        </w:tc>
        <w:tc>
          <w:tcPr>
            <w:tcW w:w="0" w:type="auto"/>
            <w:shd w:val="clear" w:color="auto" w:fill="CCEEFF"/>
            <w:tcMar>
              <w:top w:w="40" w:type="dxa"/>
              <w:left w:w="0" w:type="dxa"/>
              <w:bottom w:w="40" w:type="dxa"/>
              <w:right w:w="20" w:type="dxa"/>
            </w:tcMar>
            <w:vAlign w:val="bottom"/>
          </w:tcPr>
          <w:p w14:paraId="71D41D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D31" w14:textId="77777777" w:rsidR="006A3667" w:rsidRDefault="00045F32">
            <w:pPr>
              <w:jc w:val="right"/>
              <w:textAlignment w:val="bottom"/>
            </w:pPr>
            <w:r>
              <w:rPr>
                <w:rFonts w:ascii="Arial" w:eastAsia="宋体" w:hAnsi="Arial" w:cs="Arial"/>
                <w:color w:val="000000"/>
                <w:sz w:val="14"/>
                <w:szCs w:val="14"/>
              </w:rPr>
              <w:t>0.99 </w:t>
            </w:r>
          </w:p>
        </w:tc>
        <w:tc>
          <w:tcPr>
            <w:tcW w:w="0" w:type="auto"/>
            <w:shd w:val="clear" w:color="auto" w:fill="CCEEFF"/>
            <w:tcMar>
              <w:top w:w="40" w:type="dxa"/>
              <w:left w:w="0" w:type="dxa"/>
              <w:bottom w:w="40" w:type="dxa"/>
              <w:right w:w="20" w:type="dxa"/>
            </w:tcMar>
            <w:vAlign w:val="bottom"/>
          </w:tcPr>
          <w:p w14:paraId="71D41D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3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1D34" w14:textId="77777777" w:rsidR="006A3667" w:rsidRDefault="00045F32">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71D41D35" w14:textId="77777777" w:rsidR="006A3667" w:rsidRDefault="006A3667">
            <w:pPr>
              <w:jc w:val="right"/>
              <w:rPr>
                <w:rFonts w:ascii="宋体"/>
              </w:rPr>
            </w:pPr>
          </w:p>
        </w:tc>
      </w:tr>
      <w:tr w:rsidR="006A3667" w14:paraId="71D41D49" w14:textId="77777777">
        <w:tc>
          <w:tcPr>
            <w:tcW w:w="0" w:type="auto"/>
            <w:gridSpan w:val="3"/>
            <w:shd w:val="clear" w:color="auto" w:fill="FFFFFF"/>
            <w:tcMar>
              <w:top w:w="40" w:type="dxa"/>
              <w:left w:w="20" w:type="dxa"/>
              <w:bottom w:w="40" w:type="dxa"/>
              <w:right w:w="20" w:type="dxa"/>
            </w:tcMar>
            <w:vAlign w:val="bottom"/>
          </w:tcPr>
          <w:p w14:paraId="71D41D37" w14:textId="77777777" w:rsidR="006A3667" w:rsidRDefault="00045F32">
            <w:pPr>
              <w:textAlignment w:val="bottom"/>
            </w:pPr>
            <w:r>
              <w:rPr>
                <w:rFonts w:ascii="Arial" w:eastAsia="宋体" w:hAnsi="Arial" w:cs="Arial"/>
                <w:color w:val="000000"/>
                <w:sz w:val="14"/>
                <w:szCs w:val="14"/>
              </w:rPr>
              <w:t>Series H</w:t>
            </w:r>
          </w:p>
        </w:tc>
        <w:tc>
          <w:tcPr>
            <w:tcW w:w="0" w:type="auto"/>
            <w:gridSpan w:val="2"/>
            <w:shd w:val="clear" w:color="auto" w:fill="FFFFFF"/>
            <w:tcMar>
              <w:top w:w="40" w:type="dxa"/>
              <w:left w:w="20" w:type="dxa"/>
              <w:bottom w:w="40" w:type="dxa"/>
              <w:right w:w="0" w:type="dxa"/>
            </w:tcMar>
            <w:vAlign w:val="bottom"/>
          </w:tcPr>
          <w:p w14:paraId="71D41D38" w14:textId="77777777" w:rsidR="006A3667" w:rsidRDefault="00045F32">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1D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3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3B" w14:textId="77777777" w:rsidR="006A3667" w:rsidRDefault="00045F32">
            <w:pPr>
              <w:jc w:val="right"/>
              <w:textAlignment w:val="bottom"/>
            </w:pPr>
            <w:r>
              <w:rPr>
                <w:rFonts w:ascii="Arial" w:eastAsia="宋体" w:hAnsi="Arial" w:cs="Arial"/>
                <w:b/>
                <w:bCs/>
                <w:color w:val="000000"/>
                <w:sz w:val="14"/>
                <w:szCs w:val="14"/>
              </w:rPr>
              <w:t>28.13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1D3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3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3E" w14:textId="77777777" w:rsidR="006A3667" w:rsidRDefault="00045F32">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1D3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4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41" w14:textId="77777777" w:rsidR="006A3667" w:rsidRDefault="00045F32">
            <w:pPr>
              <w:jc w:val="right"/>
              <w:textAlignment w:val="bottom"/>
            </w:pPr>
            <w:r>
              <w:rPr>
                <w:rFonts w:ascii="Arial" w:eastAsia="宋体" w:hAnsi="Arial" w:cs="Arial"/>
                <w:color w:val="000000"/>
                <w:sz w:val="14"/>
                <w:szCs w:val="14"/>
              </w:rPr>
              <w:t>2,813 </w:t>
            </w:r>
          </w:p>
        </w:tc>
        <w:tc>
          <w:tcPr>
            <w:tcW w:w="0" w:type="auto"/>
            <w:shd w:val="clear" w:color="auto" w:fill="FFFFFF"/>
            <w:tcMar>
              <w:top w:w="40" w:type="dxa"/>
              <w:left w:w="0" w:type="dxa"/>
              <w:bottom w:w="40" w:type="dxa"/>
              <w:right w:w="20" w:type="dxa"/>
            </w:tcMar>
            <w:vAlign w:val="bottom"/>
          </w:tcPr>
          <w:p w14:paraId="71D41D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4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44" w14:textId="77777777" w:rsidR="006A3667" w:rsidRDefault="00045F32">
            <w:pPr>
              <w:jc w:val="right"/>
              <w:textAlignment w:val="bottom"/>
            </w:pPr>
            <w:r>
              <w:rPr>
                <w:rFonts w:ascii="Arial" w:eastAsia="宋体" w:hAnsi="Arial" w:cs="Arial"/>
                <w:color w:val="000000"/>
                <w:sz w:val="14"/>
                <w:szCs w:val="14"/>
              </w:rPr>
              <w:t>28.13 </w:t>
            </w:r>
          </w:p>
        </w:tc>
        <w:tc>
          <w:tcPr>
            <w:tcW w:w="0" w:type="auto"/>
            <w:shd w:val="clear" w:color="auto" w:fill="FFFFFF"/>
            <w:tcMar>
              <w:top w:w="40" w:type="dxa"/>
              <w:left w:w="0" w:type="dxa"/>
              <w:bottom w:w="40" w:type="dxa"/>
              <w:right w:w="20" w:type="dxa"/>
            </w:tcMar>
            <w:vAlign w:val="bottom"/>
          </w:tcPr>
          <w:p w14:paraId="71D41D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1D4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1D47" w14:textId="77777777" w:rsidR="006A3667" w:rsidRDefault="00045F32">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71D41D48" w14:textId="77777777" w:rsidR="006A3667" w:rsidRDefault="006A3667">
            <w:pPr>
              <w:jc w:val="right"/>
              <w:rPr>
                <w:rFonts w:ascii="宋体"/>
              </w:rPr>
            </w:pPr>
          </w:p>
        </w:tc>
      </w:tr>
      <w:tr w:rsidR="006A3667" w14:paraId="71D41D5A" w14:textId="77777777">
        <w:tc>
          <w:tcPr>
            <w:tcW w:w="0" w:type="auto"/>
            <w:gridSpan w:val="3"/>
            <w:shd w:val="clear" w:color="auto" w:fill="CCEEFF"/>
            <w:tcMar>
              <w:top w:w="40" w:type="dxa"/>
              <w:left w:w="20" w:type="dxa"/>
              <w:bottom w:w="40" w:type="dxa"/>
              <w:right w:w="20" w:type="dxa"/>
            </w:tcMar>
            <w:vAlign w:val="bottom"/>
          </w:tcPr>
          <w:p w14:paraId="71D41D4A" w14:textId="77777777" w:rsidR="006A3667" w:rsidRDefault="00045F32">
            <w:pPr>
              <w:textAlignment w:val="bottom"/>
            </w:pPr>
            <w:r>
              <w:rPr>
                <w:rFonts w:ascii="Arial" w:eastAsia="宋体" w:hAnsi="Arial" w:cs="Arial"/>
                <w:color w:val="000000"/>
                <w:sz w:val="14"/>
                <w:szCs w:val="14"/>
              </w:rPr>
              <w:t>Total</w:t>
            </w:r>
          </w:p>
        </w:tc>
        <w:tc>
          <w:tcPr>
            <w:tcW w:w="0" w:type="auto"/>
            <w:gridSpan w:val="3"/>
            <w:shd w:val="clear" w:color="auto" w:fill="CCEEFF"/>
            <w:tcMar>
              <w:top w:w="0" w:type="dxa"/>
              <w:left w:w="20" w:type="dxa"/>
              <w:bottom w:w="0" w:type="dxa"/>
              <w:right w:w="20" w:type="dxa"/>
            </w:tcMar>
            <w:vAlign w:val="bottom"/>
          </w:tcPr>
          <w:p w14:paraId="71D41D4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D4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D4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D4E"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1D4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1D50" w14:textId="77777777" w:rsidR="006A3667" w:rsidRDefault="00045F32">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1D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5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D5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D5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D5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1D56"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1D57"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1D58" w14:textId="77777777" w:rsidR="006A3667" w:rsidRDefault="00045F32">
            <w:pPr>
              <w:jc w:val="right"/>
              <w:textAlignment w:val="bottom"/>
            </w:pPr>
            <w:r>
              <w:rPr>
                <w:rFonts w:ascii="Arial" w:eastAsia="宋体" w:hAnsi="Arial" w:cs="Arial"/>
                <w:color w:val="000000"/>
                <w:sz w:val="14"/>
                <w:szCs w:val="14"/>
              </w:rPr>
              <w:t>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1D59" w14:textId="77777777" w:rsidR="006A3667" w:rsidRDefault="006A3667">
            <w:pPr>
              <w:jc w:val="right"/>
              <w:rPr>
                <w:rFonts w:ascii="宋体"/>
              </w:rPr>
            </w:pPr>
          </w:p>
        </w:tc>
      </w:tr>
    </w:tbl>
    <w:p w14:paraId="71D41D5B" w14:textId="77777777" w:rsidR="006A3667" w:rsidRDefault="00045F32">
      <w:pPr>
        <w:spacing w:before="60"/>
      </w:pPr>
      <w:r>
        <w:rPr>
          <w:rFonts w:ascii="Arial" w:eastAsia="宋体" w:hAnsi="Arial" w:cs="Arial"/>
          <w:i/>
          <w:iCs/>
          <w:color w:val="000000"/>
          <w:sz w:val="20"/>
          <w:szCs w:val="20"/>
        </w:rPr>
        <w:t>Common Stock</w:t>
      </w:r>
    </w:p>
    <w:p w14:paraId="71D41D5C" w14:textId="77777777" w:rsidR="006A3667" w:rsidRDefault="00045F32">
      <w:pPr>
        <w:spacing w:before="60"/>
        <w:ind w:firstLine="450"/>
        <w:jc w:val="both"/>
      </w:pPr>
      <w:r>
        <w:rPr>
          <w:rFonts w:ascii="Arial" w:eastAsia="宋体" w:hAnsi="Arial" w:cs="Arial"/>
          <w:color w:val="000000"/>
          <w:sz w:val="20"/>
          <w:szCs w:val="20"/>
        </w:rPr>
        <w:t>In September 2021, we completed a public offering of approximately 21.7 million shares of our common stock. The offering price was $87.60 per share and net proceeds totaled approximately $1.9 billion. We exp</w:t>
      </w:r>
      <w:r>
        <w:rPr>
          <w:rFonts w:ascii="Arial" w:eastAsia="宋体" w:hAnsi="Arial" w:cs="Arial"/>
          <w:color w:val="000000"/>
          <w:sz w:val="20"/>
          <w:szCs w:val="20"/>
        </w:rPr>
        <w:t>ect to use these net proceeds to finance our proposed acquisition of the BBH Investor Services business.</w:t>
      </w:r>
    </w:p>
    <w:p w14:paraId="71D41D5D" w14:textId="77777777" w:rsidR="006A3667" w:rsidRDefault="00045F32">
      <w:pPr>
        <w:ind w:firstLine="450"/>
        <w:jc w:val="right"/>
      </w:pPr>
      <w:r>
        <w:rPr>
          <w:rFonts w:ascii="Arial" w:eastAsia="宋体" w:hAnsi="Arial" w:cs="Arial"/>
          <w:color w:val="000000"/>
          <w:sz w:val="18"/>
          <w:szCs w:val="18"/>
        </w:rPr>
        <w:t>State Street Corporation | 50</w:t>
      </w:r>
    </w:p>
    <w:p w14:paraId="71D41D5E" w14:textId="77777777" w:rsidR="006A3667" w:rsidRDefault="006A3667">
      <w:pPr>
        <w:ind w:firstLine="450"/>
        <w:jc w:val="center"/>
      </w:pPr>
    </w:p>
    <w:p w14:paraId="71D41D5F" w14:textId="77777777" w:rsidR="006A3667" w:rsidRDefault="00045F32">
      <w:r>
        <w:pict w14:anchorId="71D4AC46">
          <v:rect id="_x0000_i1074" style="width:415.3pt;height:1.5pt" o:hralign="center" o:hrstd="t" o:hr="t" fillcolor="#a0a0a0" stroked="f"/>
        </w:pict>
      </w:r>
    </w:p>
    <w:p w14:paraId="71D41D60"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D61" w14:textId="77777777" w:rsidR="006A3667" w:rsidRDefault="00045F32">
      <w:pPr>
        <w:ind w:firstLine="450"/>
        <w:jc w:val="center"/>
      </w:pPr>
      <w:r>
        <w:rPr>
          <w:rFonts w:ascii="Arial" w:eastAsia="宋体" w:hAnsi="Arial" w:cs="Arial"/>
          <w:b/>
          <w:bCs/>
          <w:color w:val="000000"/>
          <w:sz w:val="20"/>
          <w:szCs w:val="20"/>
        </w:rPr>
        <w:t>AND RESULTS OF OPERATIONS</w:t>
      </w:r>
    </w:p>
    <w:p w14:paraId="71D41D62" w14:textId="77777777" w:rsidR="006A3667" w:rsidRDefault="00045F32">
      <w:pPr>
        <w:spacing w:before="60"/>
        <w:ind w:firstLine="450"/>
        <w:jc w:val="both"/>
      </w:pPr>
      <w:r>
        <w:rPr>
          <w:rFonts w:ascii="Arial" w:eastAsia="宋体" w:hAnsi="Arial" w:cs="Arial"/>
          <w:color w:val="000000"/>
          <w:sz w:val="20"/>
          <w:szCs w:val="20"/>
        </w:rPr>
        <w:t xml:space="preserve">In December 2020, the </w:t>
      </w:r>
      <w:r>
        <w:rPr>
          <w:rFonts w:ascii="Arial" w:eastAsia="宋体" w:hAnsi="Arial" w:cs="Arial"/>
          <w:color w:val="000000"/>
          <w:sz w:val="20"/>
          <w:szCs w:val="20"/>
        </w:rPr>
        <w:t>Federal Reserve issued results of 2020 resubmission stress tests and authorized us to continue to pay common stock dividends at current levels and to resume repurchasing common shares in the first quarter of 2021. In January 2021, our Board authorized a co</w:t>
      </w:r>
      <w:r>
        <w:rPr>
          <w:rFonts w:ascii="Arial" w:eastAsia="宋体" w:hAnsi="Arial" w:cs="Arial"/>
          <w:color w:val="000000"/>
          <w:sz w:val="20"/>
          <w:szCs w:val="20"/>
        </w:rPr>
        <w:t>mmon share repurchase program for the repurchase of up to $475 million of our common stock through March 31, 2021. We repurchased $475 million of our common stock in the first quarter of 2021. In April 2021, our Board authorized a common share repurchase p</w:t>
      </w:r>
      <w:r>
        <w:rPr>
          <w:rFonts w:ascii="Arial" w:eastAsia="宋体" w:hAnsi="Arial" w:cs="Arial"/>
          <w:color w:val="000000"/>
          <w:sz w:val="20"/>
          <w:szCs w:val="20"/>
        </w:rPr>
        <w:t>rogram for the repurchase of up to $425 million of our common stock through June 30, 2021, in compliance with the limit set by the Federal Reserve. We repurchased $425 million of our common stock in the second quarter of 2021. In July 2021, our Board autho</w:t>
      </w:r>
      <w:r>
        <w:rPr>
          <w:rFonts w:ascii="Arial" w:eastAsia="宋体" w:hAnsi="Arial" w:cs="Arial"/>
          <w:color w:val="000000"/>
          <w:sz w:val="20"/>
          <w:szCs w:val="20"/>
        </w:rPr>
        <w:t>rized a share repurchase program for the repurchase of up to $3.0 billion of our common stock through the end of 2022.</w:t>
      </w:r>
    </w:p>
    <w:p w14:paraId="71D41D63" w14:textId="77777777" w:rsidR="006A3667" w:rsidRDefault="00045F32">
      <w:pPr>
        <w:spacing w:before="60"/>
        <w:ind w:firstLine="450"/>
        <w:jc w:val="both"/>
      </w:pPr>
      <w:r>
        <w:rPr>
          <w:rFonts w:ascii="Arial" w:eastAsia="宋体" w:hAnsi="Arial" w:cs="Arial"/>
          <w:color w:val="000000"/>
          <w:sz w:val="20"/>
          <w:szCs w:val="20"/>
        </w:rPr>
        <w:t>In connection with our proposed acquisition of the BBH Investor Services business, we did not repurchase any common stock during the last</w:t>
      </w:r>
      <w:r>
        <w:rPr>
          <w:rFonts w:ascii="Arial" w:eastAsia="宋体" w:hAnsi="Arial" w:cs="Arial"/>
          <w:color w:val="000000"/>
          <w:sz w:val="20"/>
          <w:szCs w:val="20"/>
        </w:rPr>
        <w:t xml:space="preserve"> half of 2021, as well as during the first nine months of 2022. We intend to repurchase approximately $1.0 billion of our common stock in the fourth quarter of 2022 under the existing share repurchase program, expiring December 21, 2022. </w:t>
      </w:r>
    </w:p>
    <w:p w14:paraId="71D41D64" w14:textId="77777777" w:rsidR="006A3667" w:rsidRDefault="00045F32">
      <w:pPr>
        <w:spacing w:before="60"/>
        <w:ind w:firstLine="450"/>
        <w:jc w:val="both"/>
      </w:pPr>
      <w:r>
        <w:rPr>
          <w:rFonts w:ascii="Arial" w:eastAsia="宋体" w:hAnsi="Arial" w:cs="Arial"/>
          <w:color w:val="000000"/>
          <w:sz w:val="20"/>
          <w:szCs w:val="20"/>
        </w:rPr>
        <w:t>The table below p</w:t>
      </w:r>
      <w:r>
        <w:rPr>
          <w:rFonts w:ascii="Arial" w:eastAsia="宋体" w:hAnsi="Arial" w:cs="Arial"/>
          <w:color w:val="000000"/>
          <w:sz w:val="20"/>
          <w:szCs w:val="20"/>
        </w:rPr>
        <w:t>resents the activity under our common share repurchase program for the periods indicated:</w:t>
      </w:r>
    </w:p>
    <w:tbl>
      <w:tblPr>
        <w:tblW w:w="4963" w:type="pct"/>
        <w:tblCellMar>
          <w:top w:w="15" w:type="dxa"/>
          <w:left w:w="15" w:type="dxa"/>
          <w:bottom w:w="15" w:type="dxa"/>
          <w:right w:w="15" w:type="dxa"/>
        </w:tblCellMar>
        <w:tblLook w:val="04A0" w:firstRow="1" w:lastRow="0" w:firstColumn="1" w:lastColumn="0" w:noHBand="0" w:noVBand="1"/>
      </w:tblPr>
      <w:tblGrid>
        <w:gridCol w:w="36"/>
        <w:gridCol w:w="38"/>
        <w:gridCol w:w="1184"/>
        <w:gridCol w:w="38"/>
        <w:gridCol w:w="37"/>
        <w:gridCol w:w="37"/>
        <w:gridCol w:w="37"/>
        <w:gridCol w:w="95"/>
        <w:gridCol w:w="1145"/>
        <w:gridCol w:w="38"/>
        <w:gridCol w:w="36"/>
        <w:gridCol w:w="36"/>
        <w:gridCol w:w="36"/>
        <w:gridCol w:w="94"/>
        <w:gridCol w:w="1146"/>
        <w:gridCol w:w="37"/>
        <w:gridCol w:w="36"/>
        <w:gridCol w:w="36"/>
        <w:gridCol w:w="36"/>
        <w:gridCol w:w="38"/>
        <w:gridCol w:w="1170"/>
        <w:gridCol w:w="36"/>
        <w:gridCol w:w="36"/>
        <w:gridCol w:w="36"/>
        <w:gridCol w:w="36"/>
        <w:gridCol w:w="94"/>
        <w:gridCol w:w="1187"/>
        <w:gridCol w:w="37"/>
        <w:gridCol w:w="36"/>
        <w:gridCol w:w="36"/>
        <w:gridCol w:w="36"/>
        <w:gridCol w:w="94"/>
        <w:gridCol w:w="1187"/>
        <w:gridCol w:w="37"/>
      </w:tblGrid>
      <w:tr w:rsidR="006A3667" w14:paraId="71D41D87" w14:textId="77777777">
        <w:trPr>
          <w:hidden/>
        </w:trPr>
        <w:tc>
          <w:tcPr>
            <w:tcW w:w="0" w:type="auto"/>
            <w:shd w:val="clear" w:color="auto" w:fill="auto"/>
            <w:vAlign w:val="bottom"/>
          </w:tcPr>
          <w:p w14:paraId="71D41D65" w14:textId="77777777" w:rsidR="006A3667" w:rsidRDefault="006A3667">
            <w:pPr>
              <w:rPr>
                <w:rFonts w:ascii="宋体"/>
                <w:vanish/>
              </w:rPr>
            </w:pPr>
          </w:p>
        </w:tc>
        <w:tc>
          <w:tcPr>
            <w:tcW w:w="50" w:type="pct"/>
            <w:shd w:val="clear" w:color="auto" w:fill="auto"/>
            <w:vAlign w:val="bottom"/>
          </w:tcPr>
          <w:p w14:paraId="71D41D66" w14:textId="77777777" w:rsidR="006A3667" w:rsidRDefault="006A3667">
            <w:pPr>
              <w:rPr>
                <w:rFonts w:ascii="宋体"/>
              </w:rPr>
            </w:pPr>
          </w:p>
        </w:tc>
        <w:tc>
          <w:tcPr>
            <w:tcW w:w="747" w:type="pct"/>
            <w:shd w:val="clear" w:color="auto" w:fill="auto"/>
            <w:vAlign w:val="bottom"/>
          </w:tcPr>
          <w:p w14:paraId="71D41D67" w14:textId="77777777" w:rsidR="006A3667" w:rsidRDefault="006A3667">
            <w:pPr>
              <w:rPr>
                <w:rFonts w:ascii="宋体"/>
              </w:rPr>
            </w:pPr>
          </w:p>
        </w:tc>
        <w:tc>
          <w:tcPr>
            <w:tcW w:w="5" w:type="pct"/>
            <w:shd w:val="clear" w:color="auto" w:fill="auto"/>
            <w:vAlign w:val="bottom"/>
          </w:tcPr>
          <w:p w14:paraId="71D41D68" w14:textId="77777777" w:rsidR="006A3667" w:rsidRDefault="006A3667">
            <w:pPr>
              <w:rPr>
                <w:rFonts w:ascii="宋体"/>
              </w:rPr>
            </w:pPr>
          </w:p>
        </w:tc>
        <w:tc>
          <w:tcPr>
            <w:tcW w:w="5" w:type="pct"/>
            <w:shd w:val="clear" w:color="auto" w:fill="auto"/>
            <w:vAlign w:val="bottom"/>
          </w:tcPr>
          <w:p w14:paraId="71D41D69" w14:textId="77777777" w:rsidR="006A3667" w:rsidRDefault="006A3667">
            <w:pPr>
              <w:rPr>
                <w:rFonts w:ascii="宋体"/>
              </w:rPr>
            </w:pPr>
          </w:p>
        </w:tc>
        <w:tc>
          <w:tcPr>
            <w:tcW w:w="26" w:type="pct"/>
            <w:shd w:val="clear" w:color="auto" w:fill="auto"/>
            <w:vAlign w:val="bottom"/>
          </w:tcPr>
          <w:p w14:paraId="71D41D6A" w14:textId="77777777" w:rsidR="006A3667" w:rsidRDefault="006A3667">
            <w:pPr>
              <w:rPr>
                <w:rFonts w:ascii="宋体"/>
              </w:rPr>
            </w:pPr>
          </w:p>
        </w:tc>
        <w:tc>
          <w:tcPr>
            <w:tcW w:w="5" w:type="pct"/>
            <w:shd w:val="clear" w:color="auto" w:fill="auto"/>
            <w:vAlign w:val="bottom"/>
          </w:tcPr>
          <w:p w14:paraId="71D41D6B" w14:textId="77777777" w:rsidR="006A3667" w:rsidRDefault="006A3667">
            <w:pPr>
              <w:rPr>
                <w:rFonts w:ascii="宋体"/>
              </w:rPr>
            </w:pPr>
          </w:p>
        </w:tc>
        <w:tc>
          <w:tcPr>
            <w:tcW w:w="50" w:type="pct"/>
            <w:shd w:val="clear" w:color="auto" w:fill="auto"/>
            <w:vAlign w:val="bottom"/>
          </w:tcPr>
          <w:p w14:paraId="71D41D6C" w14:textId="77777777" w:rsidR="006A3667" w:rsidRDefault="006A3667">
            <w:pPr>
              <w:rPr>
                <w:rFonts w:ascii="宋体"/>
              </w:rPr>
            </w:pPr>
          </w:p>
        </w:tc>
        <w:tc>
          <w:tcPr>
            <w:tcW w:w="747" w:type="pct"/>
            <w:shd w:val="clear" w:color="auto" w:fill="auto"/>
            <w:vAlign w:val="bottom"/>
          </w:tcPr>
          <w:p w14:paraId="71D41D6D" w14:textId="77777777" w:rsidR="006A3667" w:rsidRDefault="006A3667">
            <w:pPr>
              <w:rPr>
                <w:rFonts w:ascii="宋体"/>
              </w:rPr>
            </w:pPr>
          </w:p>
        </w:tc>
        <w:tc>
          <w:tcPr>
            <w:tcW w:w="5" w:type="pct"/>
            <w:shd w:val="clear" w:color="auto" w:fill="auto"/>
            <w:vAlign w:val="bottom"/>
          </w:tcPr>
          <w:p w14:paraId="71D41D6E" w14:textId="77777777" w:rsidR="006A3667" w:rsidRDefault="006A3667">
            <w:pPr>
              <w:rPr>
                <w:rFonts w:ascii="宋体"/>
              </w:rPr>
            </w:pPr>
          </w:p>
        </w:tc>
        <w:tc>
          <w:tcPr>
            <w:tcW w:w="5" w:type="pct"/>
            <w:shd w:val="clear" w:color="auto" w:fill="auto"/>
            <w:vAlign w:val="bottom"/>
          </w:tcPr>
          <w:p w14:paraId="71D41D6F" w14:textId="77777777" w:rsidR="006A3667" w:rsidRDefault="006A3667">
            <w:pPr>
              <w:rPr>
                <w:rFonts w:ascii="宋体"/>
              </w:rPr>
            </w:pPr>
          </w:p>
        </w:tc>
        <w:tc>
          <w:tcPr>
            <w:tcW w:w="26" w:type="pct"/>
            <w:shd w:val="clear" w:color="auto" w:fill="auto"/>
            <w:vAlign w:val="bottom"/>
          </w:tcPr>
          <w:p w14:paraId="71D41D70" w14:textId="77777777" w:rsidR="006A3667" w:rsidRDefault="006A3667">
            <w:pPr>
              <w:rPr>
                <w:rFonts w:ascii="宋体"/>
              </w:rPr>
            </w:pPr>
          </w:p>
        </w:tc>
        <w:tc>
          <w:tcPr>
            <w:tcW w:w="5" w:type="pct"/>
            <w:shd w:val="clear" w:color="auto" w:fill="auto"/>
            <w:vAlign w:val="bottom"/>
          </w:tcPr>
          <w:p w14:paraId="71D41D71" w14:textId="77777777" w:rsidR="006A3667" w:rsidRDefault="006A3667">
            <w:pPr>
              <w:rPr>
                <w:rFonts w:ascii="宋体"/>
              </w:rPr>
            </w:pPr>
          </w:p>
        </w:tc>
        <w:tc>
          <w:tcPr>
            <w:tcW w:w="50" w:type="pct"/>
            <w:shd w:val="clear" w:color="auto" w:fill="auto"/>
            <w:vAlign w:val="bottom"/>
          </w:tcPr>
          <w:p w14:paraId="71D41D72" w14:textId="77777777" w:rsidR="006A3667" w:rsidRDefault="006A3667">
            <w:pPr>
              <w:rPr>
                <w:rFonts w:ascii="宋体"/>
              </w:rPr>
            </w:pPr>
          </w:p>
        </w:tc>
        <w:tc>
          <w:tcPr>
            <w:tcW w:w="747" w:type="pct"/>
            <w:shd w:val="clear" w:color="auto" w:fill="auto"/>
            <w:vAlign w:val="bottom"/>
          </w:tcPr>
          <w:p w14:paraId="71D41D73" w14:textId="77777777" w:rsidR="006A3667" w:rsidRDefault="006A3667">
            <w:pPr>
              <w:rPr>
                <w:rFonts w:ascii="宋体"/>
              </w:rPr>
            </w:pPr>
          </w:p>
        </w:tc>
        <w:tc>
          <w:tcPr>
            <w:tcW w:w="5" w:type="pct"/>
            <w:shd w:val="clear" w:color="auto" w:fill="auto"/>
            <w:vAlign w:val="bottom"/>
          </w:tcPr>
          <w:p w14:paraId="71D41D74" w14:textId="77777777" w:rsidR="006A3667" w:rsidRDefault="006A3667">
            <w:pPr>
              <w:rPr>
                <w:rFonts w:ascii="宋体"/>
              </w:rPr>
            </w:pPr>
          </w:p>
        </w:tc>
        <w:tc>
          <w:tcPr>
            <w:tcW w:w="5" w:type="pct"/>
            <w:shd w:val="clear" w:color="auto" w:fill="auto"/>
            <w:vAlign w:val="bottom"/>
          </w:tcPr>
          <w:p w14:paraId="71D41D75" w14:textId="77777777" w:rsidR="006A3667" w:rsidRDefault="006A3667">
            <w:pPr>
              <w:rPr>
                <w:rFonts w:ascii="宋体"/>
              </w:rPr>
            </w:pPr>
          </w:p>
        </w:tc>
        <w:tc>
          <w:tcPr>
            <w:tcW w:w="41" w:type="pct"/>
            <w:shd w:val="clear" w:color="auto" w:fill="auto"/>
            <w:vAlign w:val="bottom"/>
          </w:tcPr>
          <w:p w14:paraId="71D41D76" w14:textId="77777777" w:rsidR="006A3667" w:rsidRDefault="006A3667">
            <w:pPr>
              <w:rPr>
                <w:rFonts w:ascii="宋体"/>
              </w:rPr>
            </w:pPr>
          </w:p>
        </w:tc>
        <w:tc>
          <w:tcPr>
            <w:tcW w:w="5" w:type="pct"/>
            <w:shd w:val="clear" w:color="auto" w:fill="auto"/>
            <w:vAlign w:val="bottom"/>
          </w:tcPr>
          <w:p w14:paraId="71D41D77" w14:textId="77777777" w:rsidR="006A3667" w:rsidRDefault="006A3667">
            <w:pPr>
              <w:rPr>
                <w:rFonts w:ascii="宋体"/>
              </w:rPr>
            </w:pPr>
          </w:p>
        </w:tc>
        <w:tc>
          <w:tcPr>
            <w:tcW w:w="50" w:type="pct"/>
            <w:shd w:val="clear" w:color="auto" w:fill="auto"/>
            <w:vAlign w:val="bottom"/>
          </w:tcPr>
          <w:p w14:paraId="71D41D78" w14:textId="77777777" w:rsidR="006A3667" w:rsidRDefault="006A3667">
            <w:pPr>
              <w:rPr>
                <w:rFonts w:ascii="宋体"/>
              </w:rPr>
            </w:pPr>
          </w:p>
        </w:tc>
        <w:tc>
          <w:tcPr>
            <w:tcW w:w="747" w:type="pct"/>
            <w:shd w:val="clear" w:color="auto" w:fill="auto"/>
            <w:vAlign w:val="bottom"/>
          </w:tcPr>
          <w:p w14:paraId="71D41D79" w14:textId="77777777" w:rsidR="006A3667" w:rsidRDefault="006A3667">
            <w:pPr>
              <w:rPr>
                <w:rFonts w:ascii="宋体"/>
              </w:rPr>
            </w:pPr>
          </w:p>
        </w:tc>
        <w:tc>
          <w:tcPr>
            <w:tcW w:w="5" w:type="pct"/>
            <w:shd w:val="clear" w:color="auto" w:fill="auto"/>
            <w:vAlign w:val="bottom"/>
          </w:tcPr>
          <w:p w14:paraId="71D41D7A" w14:textId="77777777" w:rsidR="006A3667" w:rsidRDefault="006A3667">
            <w:pPr>
              <w:rPr>
                <w:rFonts w:ascii="宋体"/>
              </w:rPr>
            </w:pPr>
          </w:p>
        </w:tc>
        <w:tc>
          <w:tcPr>
            <w:tcW w:w="5" w:type="pct"/>
            <w:shd w:val="clear" w:color="auto" w:fill="auto"/>
            <w:vAlign w:val="bottom"/>
          </w:tcPr>
          <w:p w14:paraId="71D41D7B" w14:textId="77777777" w:rsidR="006A3667" w:rsidRDefault="006A3667">
            <w:pPr>
              <w:rPr>
                <w:rFonts w:ascii="宋体"/>
              </w:rPr>
            </w:pPr>
          </w:p>
        </w:tc>
        <w:tc>
          <w:tcPr>
            <w:tcW w:w="19" w:type="pct"/>
            <w:shd w:val="clear" w:color="auto" w:fill="auto"/>
            <w:vAlign w:val="bottom"/>
          </w:tcPr>
          <w:p w14:paraId="71D41D7C" w14:textId="77777777" w:rsidR="006A3667" w:rsidRDefault="006A3667">
            <w:pPr>
              <w:rPr>
                <w:rFonts w:ascii="宋体"/>
              </w:rPr>
            </w:pPr>
          </w:p>
        </w:tc>
        <w:tc>
          <w:tcPr>
            <w:tcW w:w="5" w:type="pct"/>
            <w:shd w:val="clear" w:color="auto" w:fill="auto"/>
            <w:vAlign w:val="bottom"/>
          </w:tcPr>
          <w:p w14:paraId="71D41D7D" w14:textId="77777777" w:rsidR="006A3667" w:rsidRDefault="006A3667">
            <w:pPr>
              <w:rPr>
                <w:rFonts w:ascii="宋体"/>
              </w:rPr>
            </w:pPr>
          </w:p>
        </w:tc>
        <w:tc>
          <w:tcPr>
            <w:tcW w:w="50" w:type="pct"/>
            <w:shd w:val="clear" w:color="auto" w:fill="auto"/>
            <w:vAlign w:val="bottom"/>
          </w:tcPr>
          <w:p w14:paraId="71D41D7E" w14:textId="77777777" w:rsidR="006A3667" w:rsidRDefault="006A3667">
            <w:pPr>
              <w:rPr>
                <w:rFonts w:ascii="宋体"/>
              </w:rPr>
            </w:pPr>
          </w:p>
        </w:tc>
        <w:tc>
          <w:tcPr>
            <w:tcW w:w="747" w:type="pct"/>
            <w:shd w:val="clear" w:color="auto" w:fill="auto"/>
            <w:vAlign w:val="bottom"/>
          </w:tcPr>
          <w:p w14:paraId="71D41D7F" w14:textId="77777777" w:rsidR="006A3667" w:rsidRDefault="006A3667">
            <w:pPr>
              <w:rPr>
                <w:rFonts w:ascii="宋体"/>
              </w:rPr>
            </w:pPr>
          </w:p>
        </w:tc>
        <w:tc>
          <w:tcPr>
            <w:tcW w:w="5" w:type="pct"/>
            <w:shd w:val="clear" w:color="auto" w:fill="auto"/>
            <w:vAlign w:val="bottom"/>
          </w:tcPr>
          <w:p w14:paraId="71D41D80" w14:textId="77777777" w:rsidR="006A3667" w:rsidRDefault="006A3667">
            <w:pPr>
              <w:rPr>
                <w:rFonts w:ascii="宋体"/>
              </w:rPr>
            </w:pPr>
          </w:p>
        </w:tc>
        <w:tc>
          <w:tcPr>
            <w:tcW w:w="5" w:type="pct"/>
            <w:shd w:val="clear" w:color="auto" w:fill="auto"/>
            <w:vAlign w:val="bottom"/>
          </w:tcPr>
          <w:p w14:paraId="71D41D81" w14:textId="77777777" w:rsidR="006A3667" w:rsidRDefault="006A3667">
            <w:pPr>
              <w:rPr>
                <w:rFonts w:ascii="宋体"/>
              </w:rPr>
            </w:pPr>
          </w:p>
        </w:tc>
        <w:tc>
          <w:tcPr>
            <w:tcW w:w="19" w:type="pct"/>
            <w:shd w:val="clear" w:color="auto" w:fill="auto"/>
            <w:vAlign w:val="bottom"/>
          </w:tcPr>
          <w:p w14:paraId="71D41D82" w14:textId="77777777" w:rsidR="006A3667" w:rsidRDefault="006A3667">
            <w:pPr>
              <w:rPr>
                <w:rFonts w:ascii="宋体"/>
              </w:rPr>
            </w:pPr>
          </w:p>
        </w:tc>
        <w:tc>
          <w:tcPr>
            <w:tcW w:w="5" w:type="pct"/>
            <w:shd w:val="clear" w:color="auto" w:fill="auto"/>
            <w:vAlign w:val="bottom"/>
          </w:tcPr>
          <w:p w14:paraId="71D41D83" w14:textId="77777777" w:rsidR="006A3667" w:rsidRDefault="006A3667">
            <w:pPr>
              <w:rPr>
                <w:rFonts w:ascii="宋体"/>
              </w:rPr>
            </w:pPr>
          </w:p>
        </w:tc>
        <w:tc>
          <w:tcPr>
            <w:tcW w:w="50" w:type="pct"/>
            <w:shd w:val="clear" w:color="auto" w:fill="auto"/>
            <w:vAlign w:val="bottom"/>
          </w:tcPr>
          <w:p w14:paraId="71D41D84" w14:textId="77777777" w:rsidR="006A3667" w:rsidRDefault="006A3667">
            <w:pPr>
              <w:rPr>
                <w:rFonts w:ascii="宋体"/>
              </w:rPr>
            </w:pPr>
          </w:p>
        </w:tc>
        <w:tc>
          <w:tcPr>
            <w:tcW w:w="747" w:type="pct"/>
            <w:shd w:val="clear" w:color="auto" w:fill="auto"/>
            <w:vAlign w:val="bottom"/>
          </w:tcPr>
          <w:p w14:paraId="71D41D85" w14:textId="77777777" w:rsidR="006A3667" w:rsidRDefault="006A3667">
            <w:pPr>
              <w:rPr>
                <w:rFonts w:ascii="宋体"/>
              </w:rPr>
            </w:pPr>
          </w:p>
        </w:tc>
        <w:tc>
          <w:tcPr>
            <w:tcW w:w="5" w:type="pct"/>
            <w:shd w:val="clear" w:color="auto" w:fill="auto"/>
            <w:vAlign w:val="bottom"/>
          </w:tcPr>
          <w:p w14:paraId="71D41D86" w14:textId="77777777" w:rsidR="006A3667" w:rsidRDefault="006A3667">
            <w:pPr>
              <w:rPr>
                <w:rFonts w:ascii="宋体"/>
              </w:rPr>
            </w:pPr>
          </w:p>
        </w:tc>
      </w:tr>
      <w:tr w:rsidR="006A3667" w14:paraId="71D41D90" w14:textId="77777777">
        <w:trPr>
          <w:hidden/>
        </w:trPr>
        <w:tc>
          <w:tcPr>
            <w:tcW w:w="0" w:type="auto"/>
            <w:shd w:val="clear" w:color="auto" w:fill="auto"/>
            <w:vAlign w:val="bottom"/>
          </w:tcPr>
          <w:p w14:paraId="71D41D88" w14:textId="77777777" w:rsidR="006A3667" w:rsidRDefault="006A3667">
            <w:pPr>
              <w:rPr>
                <w:rFonts w:ascii="宋体"/>
                <w:vanish/>
              </w:rPr>
            </w:pPr>
          </w:p>
        </w:tc>
        <w:tc>
          <w:tcPr>
            <w:tcW w:w="0" w:type="auto"/>
            <w:gridSpan w:val="15"/>
            <w:shd w:val="clear" w:color="auto" w:fill="auto"/>
            <w:tcMar>
              <w:top w:w="40" w:type="dxa"/>
              <w:left w:w="20" w:type="dxa"/>
              <w:bottom w:w="40" w:type="dxa"/>
              <w:right w:w="20" w:type="dxa"/>
            </w:tcMar>
            <w:vAlign w:val="bottom"/>
          </w:tcPr>
          <w:p w14:paraId="71D41D89" w14:textId="77777777" w:rsidR="006A3667" w:rsidRDefault="00045F32">
            <w:pPr>
              <w:textAlignment w:val="bottom"/>
            </w:pPr>
            <w:r>
              <w:rPr>
                <w:rFonts w:ascii="Arial" w:eastAsia="宋体" w:hAnsi="Arial" w:cs="Arial"/>
                <w:b/>
                <w:bCs/>
                <w:color w:val="000000"/>
                <w:sz w:val="16"/>
                <w:szCs w:val="16"/>
              </w:rPr>
              <w:t>TABLE 41: SHARES REPURCHASED</w:t>
            </w:r>
          </w:p>
        </w:tc>
        <w:tc>
          <w:tcPr>
            <w:tcW w:w="0" w:type="auto"/>
            <w:gridSpan w:val="3"/>
            <w:shd w:val="clear" w:color="auto" w:fill="auto"/>
            <w:tcMar>
              <w:top w:w="0" w:type="dxa"/>
              <w:left w:w="20" w:type="dxa"/>
              <w:bottom w:w="0" w:type="dxa"/>
              <w:right w:w="20" w:type="dxa"/>
            </w:tcMar>
            <w:vAlign w:val="bottom"/>
          </w:tcPr>
          <w:p w14:paraId="71D41D8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D8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D8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D8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D8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D8F" w14:textId="77777777" w:rsidR="006A3667" w:rsidRDefault="006A3667">
            <w:pPr>
              <w:rPr>
                <w:rFonts w:ascii="宋体"/>
              </w:rPr>
            </w:pPr>
          </w:p>
        </w:tc>
      </w:tr>
      <w:tr w:rsidR="006A3667" w14:paraId="71D41DAD" w14:textId="77777777">
        <w:trPr>
          <w:hidden/>
        </w:trPr>
        <w:tc>
          <w:tcPr>
            <w:tcW w:w="0" w:type="auto"/>
            <w:shd w:val="clear" w:color="auto" w:fill="auto"/>
            <w:vAlign w:val="bottom"/>
          </w:tcPr>
          <w:p w14:paraId="71D41D91" w14:textId="77777777" w:rsidR="006A3667" w:rsidRDefault="006A3667">
            <w:pPr>
              <w:rPr>
                <w:rFonts w:ascii="宋体"/>
                <w:vanish/>
              </w:rPr>
            </w:pPr>
          </w:p>
        </w:tc>
        <w:tc>
          <w:tcPr>
            <w:tcW w:w="0" w:type="auto"/>
            <w:gridSpan w:val="3"/>
            <w:shd w:val="clear" w:color="auto" w:fill="auto"/>
            <w:vAlign w:val="bottom"/>
          </w:tcPr>
          <w:p w14:paraId="71D41D92" w14:textId="77777777" w:rsidR="006A3667" w:rsidRDefault="006A3667">
            <w:pPr>
              <w:rPr>
                <w:rFonts w:ascii="宋体"/>
                <w:vanish/>
              </w:rPr>
            </w:pPr>
          </w:p>
        </w:tc>
        <w:tc>
          <w:tcPr>
            <w:tcW w:w="0" w:type="auto"/>
            <w:gridSpan w:val="3"/>
            <w:shd w:val="clear" w:color="auto" w:fill="auto"/>
            <w:vAlign w:val="bottom"/>
          </w:tcPr>
          <w:p w14:paraId="71D41D93" w14:textId="77777777" w:rsidR="006A3667" w:rsidRDefault="006A3667">
            <w:pPr>
              <w:rPr>
                <w:rFonts w:ascii="宋体"/>
                <w:vanish/>
              </w:rPr>
            </w:pPr>
          </w:p>
        </w:tc>
        <w:tc>
          <w:tcPr>
            <w:tcW w:w="0" w:type="auto"/>
            <w:gridSpan w:val="3"/>
            <w:shd w:val="clear" w:color="auto" w:fill="auto"/>
            <w:vAlign w:val="bottom"/>
          </w:tcPr>
          <w:p w14:paraId="71D41D94" w14:textId="77777777" w:rsidR="006A3667" w:rsidRDefault="006A3667">
            <w:pPr>
              <w:rPr>
                <w:rFonts w:ascii="宋体"/>
                <w:vanish/>
              </w:rPr>
            </w:pPr>
          </w:p>
        </w:tc>
        <w:tc>
          <w:tcPr>
            <w:tcW w:w="0" w:type="auto"/>
            <w:shd w:val="clear" w:color="auto" w:fill="auto"/>
            <w:vAlign w:val="bottom"/>
          </w:tcPr>
          <w:p w14:paraId="71D41D95" w14:textId="77777777" w:rsidR="006A3667" w:rsidRDefault="006A3667">
            <w:pPr>
              <w:rPr>
                <w:rFonts w:ascii="宋体"/>
              </w:rPr>
            </w:pPr>
          </w:p>
        </w:tc>
        <w:tc>
          <w:tcPr>
            <w:tcW w:w="0" w:type="auto"/>
            <w:shd w:val="clear" w:color="auto" w:fill="auto"/>
            <w:vAlign w:val="bottom"/>
          </w:tcPr>
          <w:p w14:paraId="71D41D96" w14:textId="77777777" w:rsidR="006A3667" w:rsidRDefault="006A3667">
            <w:pPr>
              <w:rPr>
                <w:rFonts w:ascii="宋体"/>
              </w:rPr>
            </w:pPr>
          </w:p>
        </w:tc>
        <w:tc>
          <w:tcPr>
            <w:tcW w:w="0" w:type="auto"/>
            <w:shd w:val="clear" w:color="auto" w:fill="auto"/>
            <w:vAlign w:val="bottom"/>
          </w:tcPr>
          <w:p w14:paraId="71D41D97" w14:textId="77777777" w:rsidR="006A3667" w:rsidRDefault="006A3667">
            <w:pPr>
              <w:rPr>
                <w:rFonts w:ascii="宋体"/>
              </w:rPr>
            </w:pPr>
          </w:p>
        </w:tc>
        <w:tc>
          <w:tcPr>
            <w:tcW w:w="0" w:type="auto"/>
            <w:shd w:val="clear" w:color="auto" w:fill="auto"/>
            <w:vAlign w:val="bottom"/>
          </w:tcPr>
          <w:p w14:paraId="71D41D98" w14:textId="77777777" w:rsidR="006A3667" w:rsidRDefault="006A3667">
            <w:pPr>
              <w:rPr>
                <w:rFonts w:ascii="宋体"/>
              </w:rPr>
            </w:pPr>
          </w:p>
        </w:tc>
        <w:tc>
          <w:tcPr>
            <w:tcW w:w="0" w:type="auto"/>
            <w:shd w:val="clear" w:color="auto" w:fill="auto"/>
            <w:vAlign w:val="bottom"/>
          </w:tcPr>
          <w:p w14:paraId="71D41D99" w14:textId="77777777" w:rsidR="006A3667" w:rsidRDefault="006A3667">
            <w:pPr>
              <w:rPr>
                <w:rFonts w:ascii="宋体"/>
              </w:rPr>
            </w:pPr>
          </w:p>
        </w:tc>
        <w:tc>
          <w:tcPr>
            <w:tcW w:w="0" w:type="auto"/>
            <w:shd w:val="clear" w:color="auto" w:fill="auto"/>
            <w:vAlign w:val="bottom"/>
          </w:tcPr>
          <w:p w14:paraId="71D41D9A" w14:textId="77777777" w:rsidR="006A3667" w:rsidRDefault="006A3667">
            <w:pPr>
              <w:rPr>
                <w:rFonts w:ascii="宋体"/>
              </w:rPr>
            </w:pPr>
          </w:p>
        </w:tc>
        <w:tc>
          <w:tcPr>
            <w:tcW w:w="0" w:type="auto"/>
            <w:shd w:val="clear" w:color="auto" w:fill="auto"/>
            <w:vAlign w:val="bottom"/>
          </w:tcPr>
          <w:p w14:paraId="71D41D9B" w14:textId="77777777" w:rsidR="006A3667" w:rsidRDefault="006A3667">
            <w:pPr>
              <w:rPr>
                <w:rFonts w:ascii="宋体"/>
              </w:rPr>
            </w:pPr>
          </w:p>
        </w:tc>
        <w:tc>
          <w:tcPr>
            <w:tcW w:w="0" w:type="auto"/>
            <w:shd w:val="clear" w:color="auto" w:fill="auto"/>
            <w:vAlign w:val="bottom"/>
          </w:tcPr>
          <w:p w14:paraId="71D41D9C" w14:textId="77777777" w:rsidR="006A3667" w:rsidRDefault="006A3667">
            <w:pPr>
              <w:rPr>
                <w:rFonts w:ascii="宋体"/>
              </w:rPr>
            </w:pPr>
          </w:p>
        </w:tc>
        <w:tc>
          <w:tcPr>
            <w:tcW w:w="0" w:type="auto"/>
            <w:shd w:val="clear" w:color="auto" w:fill="auto"/>
            <w:vAlign w:val="bottom"/>
          </w:tcPr>
          <w:p w14:paraId="71D41D9D" w14:textId="77777777" w:rsidR="006A3667" w:rsidRDefault="006A3667">
            <w:pPr>
              <w:rPr>
                <w:rFonts w:ascii="宋体"/>
              </w:rPr>
            </w:pPr>
          </w:p>
        </w:tc>
        <w:tc>
          <w:tcPr>
            <w:tcW w:w="0" w:type="auto"/>
            <w:shd w:val="clear" w:color="auto" w:fill="auto"/>
            <w:vAlign w:val="bottom"/>
          </w:tcPr>
          <w:p w14:paraId="71D41D9E" w14:textId="77777777" w:rsidR="006A3667" w:rsidRDefault="006A3667">
            <w:pPr>
              <w:rPr>
                <w:rFonts w:ascii="宋体"/>
              </w:rPr>
            </w:pPr>
          </w:p>
        </w:tc>
        <w:tc>
          <w:tcPr>
            <w:tcW w:w="0" w:type="auto"/>
            <w:shd w:val="clear" w:color="auto" w:fill="auto"/>
            <w:vAlign w:val="bottom"/>
          </w:tcPr>
          <w:p w14:paraId="71D41D9F" w14:textId="77777777" w:rsidR="006A3667" w:rsidRDefault="006A3667">
            <w:pPr>
              <w:rPr>
                <w:rFonts w:ascii="宋体"/>
              </w:rPr>
            </w:pPr>
          </w:p>
        </w:tc>
        <w:tc>
          <w:tcPr>
            <w:tcW w:w="0" w:type="auto"/>
            <w:shd w:val="clear" w:color="auto" w:fill="auto"/>
            <w:vAlign w:val="bottom"/>
          </w:tcPr>
          <w:p w14:paraId="71D41DA0" w14:textId="77777777" w:rsidR="006A3667" w:rsidRDefault="006A3667">
            <w:pPr>
              <w:rPr>
                <w:rFonts w:ascii="宋体"/>
              </w:rPr>
            </w:pPr>
          </w:p>
        </w:tc>
        <w:tc>
          <w:tcPr>
            <w:tcW w:w="0" w:type="auto"/>
            <w:shd w:val="clear" w:color="auto" w:fill="auto"/>
            <w:vAlign w:val="bottom"/>
          </w:tcPr>
          <w:p w14:paraId="71D41DA1" w14:textId="77777777" w:rsidR="006A3667" w:rsidRDefault="006A3667">
            <w:pPr>
              <w:rPr>
                <w:rFonts w:ascii="宋体"/>
              </w:rPr>
            </w:pPr>
          </w:p>
        </w:tc>
        <w:tc>
          <w:tcPr>
            <w:tcW w:w="0" w:type="auto"/>
            <w:shd w:val="clear" w:color="auto" w:fill="auto"/>
            <w:vAlign w:val="bottom"/>
          </w:tcPr>
          <w:p w14:paraId="71D41DA2" w14:textId="77777777" w:rsidR="006A3667" w:rsidRDefault="006A3667">
            <w:pPr>
              <w:rPr>
                <w:rFonts w:ascii="宋体"/>
              </w:rPr>
            </w:pPr>
          </w:p>
        </w:tc>
        <w:tc>
          <w:tcPr>
            <w:tcW w:w="0" w:type="auto"/>
            <w:shd w:val="clear" w:color="auto" w:fill="auto"/>
            <w:vAlign w:val="bottom"/>
          </w:tcPr>
          <w:p w14:paraId="71D41DA3" w14:textId="77777777" w:rsidR="006A3667" w:rsidRDefault="006A3667">
            <w:pPr>
              <w:rPr>
                <w:rFonts w:ascii="宋体"/>
              </w:rPr>
            </w:pPr>
          </w:p>
        </w:tc>
        <w:tc>
          <w:tcPr>
            <w:tcW w:w="0" w:type="auto"/>
            <w:shd w:val="clear" w:color="auto" w:fill="auto"/>
            <w:vAlign w:val="bottom"/>
          </w:tcPr>
          <w:p w14:paraId="71D41DA4" w14:textId="77777777" w:rsidR="006A3667" w:rsidRDefault="006A3667">
            <w:pPr>
              <w:rPr>
                <w:rFonts w:ascii="宋体"/>
              </w:rPr>
            </w:pPr>
          </w:p>
        </w:tc>
        <w:tc>
          <w:tcPr>
            <w:tcW w:w="0" w:type="auto"/>
            <w:shd w:val="clear" w:color="auto" w:fill="auto"/>
            <w:vAlign w:val="bottom"/>
          </w:tcPr>
          <w:p w14:paraId="71D41DA5" w14:textId="77777777" w:rsidR="006A3667" w:rsidRDefault="006A3667">
            <w:pPr>
              <w:rPr>
                <w:rFonts w:ascii="宋体"/>
              </w:rPr>
            </w:pPr>
          </w:p>
        </w:tc>
        <w:tc>
          <w:tcPr>
            <w:tcW w:w="0" w:type="auto"/>
            <w:shd w:val="clear" w:color="auto" w:fill="auto"/>
            <w:vAlign w:val="bottom"/>
          </w:tcPr>
          <w:p w14:paraId="71D41DA6" w14:textId="77777777" w:rsidR="006A3667" w:rsidRDefault="006A3667">
            <w:pPr>
              <w:rPr>
                <w:rFonts w:ascii="宋体"/>
              </w:rPr>
            </w:pPr>
          </w:p>
        </w:tc>
        <w:tc>
          <w:tcPr>
            <w:tcW w:w="0" w:type="auto"/>
            <w:shd w:val="clear" w:color="auto" w:fill="auto"/>
            <w:vAlign w:val="bottom"/>
          </w:tcPr>
          <w:p w14:paraId="71D41DA7" w14:textId="77777777" w:rsidR="006A3667" w:rsidRDefault="006A3667">
            <w:pPr>
              <w:rPr>
                <w:rFonts w:ascii="宋体"/>
              </w:rPr>
            </w:pPr>
          </w:p>
        </w:tc>
        <w:tc>
          <w:tcPr>
            <w:tcW w:w="0" w:type="auto"/>
            <w:shd w:val="clear" w:color="auto" w:fill="auto"/>
            <w:vAlign w:val="bottom"/>
          </w:tcPr>
          <w:p w14:paraId="71D41DA8" w14:textId="77777777" w:rsidR="006A3667" w:rsidRDefault="006A3667">
            <w:pPr>
              <w:rPr>
                <w:rFonts w:ascii="宋体"/>
              </w:rPr>
            </w:pPr>
          </w:p>
        </w:tc>
        <w:tc>
          <w:tcPr>
            <w:tcW w:w="0" w:type="auto"/>
            <w:shd w:val="clear" w:color="auto" w:fill="auto"/>
            <w:vAlign w:val="bottom"/>
          </w:tcPr>
          <w:p w14:paraId="71D41DA9" w14:textId="77777777" w:rsidR="006A3667" w:rsidRDefault="006A3667">
            <w:pPr>
              <w:rPr>
                <w:rFonts w:ascii="宋体"/>
              </w:rPr>
            </w:pPr>
          </w:p>
        </w:tc>
        <w:tc>
          <w:tcPr>
            <w:tcW w:w="0" w:type="auto"/>
            <w:shd w:val="clear" w:color="auto" w:fill="auto"/>
            <w:vAlign w:val="bottom"/>
          </w:tcPr>
          <w:p w14:paraId="71D41DAA" w14:textId="77777777" w:rsidR="006A3667" w:rsidRDefault="006A3667">
            <w:pPr>
              <w:rPr>
                <w:rFonts w:ascii="宋体"/>
              </w:rPr>
            </w:pPr>
          </w:p>
        </w:tc>
        <w:tc>
          <w:tcPr>
            <w:tcW w:w="0" w:type="auto"/>
            <w:shd w:val="clear" w:color="auto" w:fill="auto"/>
            <w:vAlign w:val="bottom"/>
          </w:tcPr>
          <w:p w14:paraId="71D41DAB" w14:textId="77777777" w:rsidR="006A3667" w:rsidRDefault="006A3667">
            <w:pPr>
              <w:rPr>
                <w:rFonts w:ascii="宋体"/>
              </w:rPr>
            </w:pPr>
          </w:p>
        </w:tc>
        <w:tc>
          <w:tcPr>
            <w:tcW w:w="0" w:type="auto"/>
            <w:shd w:val="clear" w:color="auto" w:fill="auto"/>
            <w:vAlign w:val="bottom"/>
          </w:tcPr>
          <w:p w14:paraId="71D41DAC" w14:textId="77777777" w:rsidR="006A3667" w:rsidRDefault="006A3667">
            <w:pPr>
              <w:rPr>
                <w:rFonts w:ascii="宋体"/>
              </w:rPr>
            </w:pPr>
          </w:p>
        </w:tc>
      </w:tr>
      <w:tr w:rsidR="006A3667" w14:paraId="71D41DBA" w14:textId="77777777">
        <w:trPr>
          <w:hidden/>
        </w:trPr>
        <w:tc>
          <w:tcPr>
            <w:tcW w:w="0" w:type="auto"/>
            <w:shd w:val="clear" w:color="auto" w:fill="auto"/>
            <w:vAlign w:val="bottom"/>
          </w:tcPr>
          <w:p w14:paraId="71D41DAE" w14:textId="77777777" w:rsidR="006A3667" w:rsidRDefault="006A3667">
            <w:pPr>
              <w:rPr>
                <w:rFonts w:ascii="宋体"/>
                <w:vanish/>
              </w:rPr>
            </w:pPr>
          </w:p>
        </w:tc>
        <w:tc>
          <w:tcPr>
            <w:tcW w:w="0" w:type="auto"/>
            <w:gridSpan w:val="3"/>
            <w:shd w:val="clear" w:color="auto" w:fill="auto"/>
            <w:vAlign w:val="bottom"/>
          </w:tcPr>
          <w:p w14:paraId="71D41DAF" w14:textId="77777777" w:rsidR="006A3667" w:rsidRDefault="006A3667">
            <w:pPr>
              <w:rPr>
                <w:rFonts w:ascii="宋体"/>
                <w:vanish/>
              </w:rPr>
            </w:pPr>
          </w:p>
        </w:tc>
        <w:tc>
          <w:tcPr>
            <w:tcW w:w="0" w:type="auto"/>
            <w:gridSpan w:val="3"/>
            <w:shd w:val="clear" w:color="auto" w:fill="auto"/>
            <w:vAlign w:val="bottom"/>
          </w:tcPr>
          <w:p w14:paraId="71D41DB0" w14:textId="77777777" w:rsidR="006A3667" w:rsidRDefault="006A3667">
            <w:pPr>
              <w:rPr>
                <w:rFonts w:ascii="宋体"/>
                <w:vanish/>
              </w:rPr>
            </w:pPr>
          </w:p>
        </w:tc>
        <w:tc>
          <w:tcPr>
            <w:tcW w:w="0" w:type="auto"/>
            <w:gridSpan w:val="3"/>
            <w:shd w:val="clear" w:color="auto" w:fill="auto"/>
            <w:vAlign w:val="bottom"/>
          </w:tcPr>
          <w:p w14:paraId="71D41DB1" w14:textId="77777777" w:rsidR="006A3667" w:rsidRDefault="006A3667">
            <w:pPr>
              <w:rPr>
                <w:rFonts w:ascii="宋体"/>
                <w:vanish/>
              </w:rPr>
            </w:pPr>
          </w:p>
        </w:tc>
        <w:tc>
          <w:tcPr>
            <w:tcW w:w="0" w:type="auto"/>
            <w:gridSpan w:val="3"/>
            <w:shd w:val="clear" w:color="auto" w:fill="auto"/>
            <w:vAlign w:val="bottom"/>
          </w:tcPr>
          <w:p w14:paraId="71D41DB2" w14:textId="77777777" w:rsidR="006A3667" w:rsidRDefault="006A3667">
            <w:pPr>
              <w:rPr>
                <w:rFonts w:ascii="宋体"/>
                <w:vanish/>
              </w:rPr>
            </w:pPr>
          </w:p>
        </w:tc>
        <w:tc>
          <w:tcPr>
            <w:tcW w:w="0" w:type="auto"/>
            <w:gridSpan w:val="3"/>
            <w:shd w:val="clear" w:color="auto" w:fill="auto"/>
            <w:vAlign w:val="bottom"/>
          </w:tcPr>
          <w:p w14:paraId="71D41DB3" w14:textId="77777777" w:rsidR="006A3667" w:rsidRDefault="006A3667">
            <w:pPr>
              <w:rPr>
                <w:rFonts w:ascii="宋体"/>
                <w:vanish/>
              </w:rPr>
            </w:pPr>
          </w:p>
        </w:tc>
        <w:tc>
          <w:tcPr>
            <w:tcW w:w="0" w:type="auto"/>
            <w:gridSpan w:val="3"/>
            <w:shd w:val="clear" w:color="auto" w:fill="auto"/>
            <w:vAlign w:val="bottom"/>
          </w:tcPr>
          <w:p w14:paraId="71D41DB4" w14:textId="77777777" w:rsidR="006A3667" w:rsidRDefault="006A3667">
            <w:pPr>
              <w:rPr>
                <w:rFonts w:ascii="宋体"/>
                <w:vanish/>
              </w:rPr>
            </w:pPr>
          </w:p>
        </w:tc>
        <w:tc>
          <w:tcPr>
            <w:tcW w:w="0" w:type="auto"/>
            <w:gridSpan w:val="3"/>
            <w:shd w:val="clear" w:color="auto" w:fill="auto"/>
            <w:vAlign w:val="bottom"/>
          </w:tcPr>
          <w:p w14:paraId="71D41DB5" w14:textId="77777777" w:rsidR="006A3667" w:rsidRDefault="006A3667">
            <w:pPr>
              <w:rPr>
                <w:rFonts w:ascii="宋体"/>
                <w:vanish/>
              </w:rPr>
            </w:pPr>
          </w:p>
        </w:tc>
        <w:tc>
          <w:tcPr>
            <w:tcW w:w="0" w:type="auto"/>
            <w:gridSpan w:val="3"/>
            <w:shd w:val="clear" w:color="auto" w:fill="auto"/>
            <w:vAlign w:val="bottom"/>
          </w:tcPr>
          <w:p w14:paraId="71D41DB6" w14:textId="77777777" w:rsidR="006A3667" w:rsidRDefault="006A3667">
            <w:pPr>
              <w:rPr>
                <w:rFonts w:ascii="宋体"/>
                <w:vanish/>
              </w:rPr>
            </w:pPr>
          </w:p>
        </w:tc>
        <w:tc>
          <w:tcPr>
            <w:tcW w:w="0" w:type="auto"/>
            <w:gridSpan w:val="3"/>
            <w:shd w:val="clear" w:color="auto" w:fill="auto"/>
            <w:vAlign w:val="bottom"/>
          </w:tcPr>
          <w:p w14:paraId="71D41DB7" w14:textId="77777777" w:rsidR="006A3667" w:rsidRDefault="006A3667">
            <w:pPr>
              <w:rPr>
                <w:rFonts w:ascii="宋体"/>
                <w:vanish/>
              </w:rPr>
            </w:pPr>
          </w:p>
        </w:tc>
        <w:tc>
          <w:tcPr>
            <w:tcW w:w="0" w:type="auto"/>
            <w:gridSpan w:val="3"/>
            <w:shd w:val="clear" w:color="auto" w:fill="auto"/>
            <w:vAlign w:val="bottom"/>
          </w:tcPr>
          <w:p w14:paraId="71D41DB8" w14:textId="77777777" w:rsidR="006A3667" w:rsidRDefault="006A3667">
            <w:pPr>
              <w:rPr>
                <w:rFonts w:ascii="宋体"/>
                <w:vanish/>
              </w:rPr>
            </w:pPr>
          </w:p>
        </w:tc>
        <w:tc>
          <w:tcPr>
            <w:tcW w:w="0" w:type="auto"/>
            <w:gridSpan w:val="3"/>
            <w:shd w:val="clear" w:color="auto" w:fill="auto"/>
            <w:vAlign w:val="bottom"/>
          </w:tcPr>
          <w:p w14:paraId="71D41DB9" w14:textId="77777777" w:rsidR="006A3667" w:rsidRDefault="006A3667">
            <w:pPr>
              <w:rPr>
                <w:rFonts w:ascii="宋体"/>
                <w:vanish/>
              </w:rPr>
            </w:pPr>
          </w:p>
        </w:tc>
      </w:tr>
      <w:tr w:rsidR="006A3667" w14:paraId="71D41DC7" w14:textId="77777777">
        <w:trPr>
          <w:hidden/>
        </w:trPr>
        <w:tc>
          <w:tcPr>
            <w:tcW w:w="0" w:type="auto"/>
            <w:shd w:val="clear" w:color="auto" w:fill="auto"/>
            <w:vAlign w:val="bottom"/>
          </w:tcPr>
          <w:p w14:paraId="71D41DBB" w14:textId="77777777" w:rsidR="006A3667" w:rsidRDefault="006A3667">
            <w:pPr>
              <w:rPr>
                <w:rFonts w:ascii="宋体"/>
                <w:vanish/>
              </w:rPr>
            </w:pPr>
          </w:p>
        </w:tc>
        <w:tc>
          <w:tcPr>
            <w:tcW w:w="0" w:type="auto"/>
            <w:gridSpan w:val="3"/>
            <w:shd w:val="clear" w:color="auto" w:fill="auto"/>
            <w:vAlign w:val="bottom"/>
          </w:tcPr>
          <w:p w14:paraId="71D41DBC" w14:textId="77777777" w:rsidR="006A3667" w:rsidRDefault="006A3667">
            <w:pPr>
              <w:rPr>
                <w:rFonts w:ascii="宋体"/>
                <w:vanish/>
              </w:rPr>
            </w:pPr>
          </w:p>
        </w:tc>
        <w:tc>
          <w:tcPr>
            <w:tcW w:w="0" w:type="auto"/>
            <w:gridSpan w:val="3"/>
            <w:shd w:val="clear" w:color="auto" w:fill="auto"/>
            <w:vAlign w:val="bottom"/>
          </w:tcPr>
          <w:p w14:paraId="71D41DBD" w14:textId="77777777" w:rsidR="006A3667" w:rsidRDefault="006A3667">
            <w:pPr>
              <w:rPr>
                <w:rFonts w:ascii="宋体"/>
                <w:vanish/>
              </w:rPr>
            </w:pPr>
          </w:p>
        </w:tc>
        <w:tc>
          <w:tcPr>
            <w:tcW w:w="0" w:type="auto"/>
            <w:gridSpan w:val="3"/>
            <w:shd w:val="clear" w:color="auto" w:fill="auto"/>
            <w:vAlign w:val="bottom"/>
          </w:tcPr>
          <w:p w14:paraId="71D41DBE" w14:textId="77777777" w:rsidR="006A3667" w:rsidRDefault="006A3667">
            <w:pPr>
              <w:rPr>
                <w:rFonts w:ascii="宋体"/>
                <w:vanish/>
              </w:rPr>
            </w:pPr>
          </w:p>
        </w:tc>
        <w:tc>
          <w:tcPr>
            <w:tcW w:w="0" w:type="auto"/>
            <w:gridSpan w:val="3"/>
            <w:shd w:val="clear" w:color="auto" w:fill="auto"/>
            <w:vAlign w:val="bottom"/>
          </w:tcPr>
          <w:p w14:paraId="71D41DBF" w14:textId="77777777" w:rsidR="006A3667" w:rsidRDefault="006A3667">
            <w:pPr>
              <w:rPr>
                <w:rFonts w:ascii="宋体"/>
                <w:vanish/>
              </w:rPr>
            </w:pPr>
          </w:p>
        </w:tc>
        <w:tc>
          <w:tcPr>
            <w:tcW w:w="0" w:type="auto"/>
            <w:gridSpan w:val="3"/>
            <w:shd w:val="clear" w:color="auto" w:fill="auto"/>
            <w:vAlign w:val="bottom"/>
          </w:tcPr>
          <w:p w14:paraId="71D41DC0" w14:textId="77777777" w:rsidR="006A3667" w:rsidRDefault="006A3667">
            <w:pPr>
              <w:rPr>
                <w:rFonts w:ascii="宋体"/>
                <w:vanish/>
              </w:rPr>
            </w:pPr>
          </w:p>
        </w:tc>
        <w:tc>
          <w:tcPr>
            <w:tcW w:w="0" w:type="auto"/>
            <w:gridSpan w:val="3"/>
            <w:shd w:val="clear" w:color="auto" w:fill="auto"/>
            <w:vAlign w:val="bottom"/>
          </w:tcPr>
          <w:p w14:paraId="71D41DC1" w14:textId="77777777" w:rsidR="006A3667" w:rsidRDefault="006A3667">
            <w:pPr>
              <w:rPr>
                <w:rFonts w:ascii="宋体"/>
                <w:vanish/>
              </w:rPr>
            </w:pPr>
          </w:p>
        </w:tc>
        <w:tc>
          <w:tcPr>
            <w:tcW w:w="0" w:type="auto"/>
            <w:gridSpan w:val="3"/>
            <w:shd w:val="clear" w:color="auto" w:fill="auto"/>
            <w:vAlign w:val="bottom"/>
          </w:tcPr>
          <w:p w14:paraId="71D41DC2" w14:textId="77777777" w:rsidR="006A3667" w:rsidRDefault="006A3667">
            <w:pPr>
              <w:rPr>
                <w:rFonts w:ascii="宋体"/>
                <w:vanish/>
              </w:rPr>
            </w:pPr>
          </w:p>
        </w:tc>
        <w:tc>
          <w:tcPr>
            <w:tcW w:w="0" w:type="auto"/>
            <w:gridSpan w:val="3"/>
            <w:shd w:val="clear" w:color="auto" w:fill="auto"/>
            <w:vAlign w:val="bottom"/>
          </w:tcPr>
          <w:p w14:paraId="71D41DC3" w14:textId="77777777" w:rsidR="006A3667" w:rsidRDefault="006A3667">
            <w:pPr>
              <w:rPr>
                <w:rFonts w:ascii="宋体"/>
                <w:vanish/>
              </w:rPr>
            </w:pPr>
          </w:p>
        </w:tc>
        <w:tc>
          <w:tcPr>
            <w:tcW w:w="0" w:type="auto"/>
            <w:gridSpan w:val="3"/>
            <w:shd w:val="clear" w:color="auto" w:fill="auto"/>
            <w:vAlign w:val="bottom"/>
          </w:tcPr>
          <w:p w14:paraId="71D41DC4" w14:textId="77777777" w:rsidR="006A3667" w:rsidRDefault="006A3667">
            <w:pPr>
              <w:rPr>
                <w:rFonts w:ascii="宋体"/>
                <w:vanish/>
              </w:rPr>
            </w:pPr>
          </w:p>
        </w:tc>
        <w:tc>
          <w:tcPr>
            <w:tcW w:w="0" w:type="auto"/>
            <w:gridSpan w:val="3"/>
            <w:shd w:val="clear" w:color="auto" w:fill="auto"/>
            <w:vAlign w:val="bottom"/>
          </w:tcPr>
          <w:p w14:paraId="71D41DC5" w14:textId="77777777" w:rsidR="006A3667" w:rsidRDefault="006A3667">
            <w:pPr>
              <w:rPr>
                <w:rFonts w:ascii="宋体"/>
                <w:vanish/>
              </w:rPr>
            </w:pPr>
          </w:p>
        </w:tc>
        <w:tc>
          <w:tcPr>
            <w:tcW w:w="0" w:type="auto"/>
            <w:gridSpan w:val="3"/>
            <w:shd w:val="clear" w:color="auto" w:fill="auto"/>
            <w:vAlign w:val="bottom"/>
          </w:tcPr>
          <w:p w14:paraId="71D41DC6" w14:textId="77777777" w:rsidR="006A3667" w:rsidRDefault="006A3667">
            <w:pPr>
              <w:rPr>
                <w:rFonts w:ascii="宋体"/>
                <w:vanish/>
              </w:rPr>
            </w:pPr>
          </w:p>
        </w:tc>
      </w:tr>
      <w:tr w:rsidR="006A3667" w14:paraId="71D41DD4" w14:textId="77777777">
        <w:trPr>
          <w:hidden/>
        </w:trPr>
        <w:tc>
          <w:tcPr>
            <w:tcW w:w="0" w:type="auto"/>
            <w:shd w:val="clear" w:color="auto" w:fill="auto"/>
            <w:vAlign w:val="bottom"/>
          </w:tcPr>
          <w:p w14:paraId="71D41DC8" w14:textId="77777777" w:rsidR="006A3667" w:rsidRDefault="006A3667">
            <w:pPr>
              <w:rPr>
                <w:rFonts w:ascii="宋体"/>
                <w:vanish/>
              </w:rPr>
            </w:pPr>
          </w:p>
        </w:tc>
        <w:tc>
          <w:tcPr>
            <w:tcW w:w="0" w:type="auto"/>
            <w:gridSpan w:val="3"/>
            <w:shd w:val="clear" w:color="auto" w:fill="auto"/>
            <w:vAlign w:val="bottom"/>
          </w:tcPr>
          <w:p w14:paraId="71D41DC9" w14:textId="77777777" w:rsidR="006A3667" w:rsidRDefault="006A3667">
            <w:pPr>
              <w:rPr>
                <w:rFonts w:ascii="宋体"/>
                <w:vanish/>
              </w:rPr>
            </w:pPr>
          </w:p>
        </w:tc>
        <w:tc>
          <w:tcPr>
            <w:tcW w:w="0" w:type="auto"/>
            <w:gridSpan w:val="3"/>
            <w:shd w:val="clear" w:color="auto" w:fill="auto"/>
            <w:vAlign w:val="bottom"/>
          </w:tcPr>
          <w:p w14:paraId="71D41DCA" w14:textId="77777777" w:rsidR="006A3667" w:rsidRDefault="006A3667">
            <w:pPr>
              <w:rPr>
                <w:rFonts w:ascii="宋体"/>
                <w:vanish/>
              </w:rPr>
            </w:pPr>
          </w:p>
        </w:tc>
        <w:tc>
          <w:tcPr>
            <w:tcW w:w="0" w:type="auto"/>
            <w:gridSpan w:val="3"/>
            <w:shd w:val="clear" w:color="auto" w:fill="auto"/>
            <w:vAlign w:val="bottom"/>
          </w:tcPr>
          <w:p w14:paraId="71D41DCB" w14:textId="77777777" w:rsidR="006A3667" w:rsidRDefault="006A3667">
            <w:pPr>
              <w:rPr>
                <w:rFonts w:ascii="宋体"/>
                <w:vanish/>
              </w:rPr>
            </w:pPr>
          </w:p>
        </w:tc>
        <w:tc>
          <w:tcPr>
            <w:tcW w:w="0" w:type="auto"/>
            <w:gridSpan w:val="3"/>
            <w:shd w:val="clear" w:color="auto" w:fill="auto"/>
            <w:vAlign w:val="bottom"/>
          </w:tcPr>
          <w:p w14:paraId="71D41DCC" w14:textId="77777777" w:rsidR="006A3667" w:rsidRDefault="006A3667">
            <w:pPr>
              <w:rPr>
                <w:rFonts w:ascii="宋体"/>
                <w:vanish/>
              </w:rPr>
            </w:pPr>
          </w:p>
        </w:tc>
        <w:tc>
          <w:tcPr>
            <w:tcW w:w="0" w:type="auto"/>
            <w:gridSpan w:val="3"/>
            <w:shd w:val="clear" w:color="auto" w:fill="auto"/>
            <w:vAlign w:val="bottom"/>
          </w:tcPr>
          <w:p w14:paraId="71D41DCD" w14:textId="77777777" w:rsidR="006A3667" w:rsidRDefault="006A3667">
            <w:pPr>
              <w:rPr>
                <w:rFonts w:ascii="宋体"/>
                <w:vanish/>
              </w:rPr>
            </w:pPr>
          </w:p>
        </w:tc>
        <w:tc>
          <w:tcPr>
            <w:tcW w:w="0" w:type="auto"/>
            <w:gridSpan w:val="3"/>
            <w:shd w:val="clear" w:color="auto" w:fill="auto"/>
            <w:vAlign w:val="bottom"/>
          </w:tcPr>
          <w:p w14:paraId="71D41DCE" w14:textId="77777777" w:rsidR="006A3667" w:rsidRDefault="006A3667">
            <w:pPr>
              <w:rPr>
                <w:rFonts w:ascii="宋体"/>
                <w:vanish/>
              </w:rPr>
            </w:pPr>
          </w:p>
        </w:tc>
        <w:tc>
          <w:tcPr>
            <w:tcW w:w="0" w:type="auto"/>
            <w:gridSpan w:val="3"/>
            <w:shd w:val="clear" w:color="auto" w:fill="auto"/>
            <w:vAlign w:val="bottom"/>
          </w:tcPr>
          <w:p w14:paraId="71D41DCF" w14:textId="77777777" w:rsidR="006A3667" w:rsidRDefault="006A3667">
            <w:pPr>
              <w:rPr>
                <w:rFonts w:ascii="宋体"/>
                <w:vanish/>
              </w:rPr>
            </w:pPr>
          </w:p>
        </w:tc>
        <w:tc>
          <w:tcPr>
            <w:tcW w:w="0" w:type="auto"/>
            <w:gridSpan w:val="3"/>
            <w:shd w:val="clear" w:color="auto" w:fill="auto"/>
            <w:vAlign w:val="bottom"/>
          </w:tcPr>
          <w:p w14:paraId="71D41DD0" w14:textId="77777777" w:rsidR="006A3667" w:rsidRDefault="006A3667">
            <w:pPr>
              <w:rPr>
                <w:rFonts w:ascii="宋体"/>
                <w:vanish/>
              </w:rPr>
            </w:pPr>
          </w:p>
        </w:tc>
        <w:tc>
          <w:tcPr>
            <w:tcW w:w="0" w:type="auto"/>
            <w:gridSpan w:val="3"/>
            <w:shd w:val="clear" w:color="auto" w:fill="auto"/>
            <w:vAlign w:val="bottom"/>
          </w:tcPr>
          <w:p w14:paraId="71D41DD1" w14:textId="77777777" w:rsidR="006A3667" w:rsidRDefault="006A3667">
            <w:pPr>
              <w:rPr>
                <w:rFonts w:ascii="宋体"/>
                <w:vanish/>
              </w:rPr>
            </w:pPr>
          </w:p>
        </w:tc>
        <w:tc>
          <w:tcPr>
            <w:tcW w:w="0" w:type="auto"/>
            <w:gridSpan w:val="3"/>
            <w:shd w:val="clear" w:color="auto" w:fill="auto"/>
            <w:vAlign w:val="bottom"/>
          </w:tcPr>
          <w:p w14:paraId="71D41DD2" w14:textId="77777777" w:rsidR="006A3667" w:rsidRDefault="006A3667">
            <w:pPr>
              <w:rPr>
                <w:rFonts w:ascii="宋体"/>
                <w:vanish/>
              </w:rPr>
            </w:pPr>
          </w:p>
        </w:tc>
        <w:tc>
          <w:tcPr>
            <w:tcW w:w="0" w:type="auto"/>
            <w:gridSpan w:val="3"/>
            <w:shd w:val="clear" w:color="auto" w:fill="auto"/>
            <w:vAlign w:val="bottom"/>
          </w:tcPr>
          <w:p w14:paraId="71D41DD3" w14:textId="77777777" w:rsidR="006A3667" w:rsidRDefault="006A3667">
            <w:pPr>
              <w:rPr>
                <w:rFonts w:ascii="宋体"/>
                <w:vanish/>
              </w:rPr>
            </w:pPr>
          </w:p>
        </w:tc>
      </w:tr>
      <w:tr w:rsidR="006A3667" w14:paraId="71D41DD9" w14:textId="77777777">
        <w:trPr>
          <w:hidden/>
        </w:trPr>
        <w:tc>
          <w:tcPr>
            <w:tcW w:w="0" w:type="auto"/>
            <w:shd w:val="clear" w:color="auto" w:fill="auto"/>
            <w:vAlign w:val="bottom"/>
          </w:tcPr>
          <w:p w14:paraId="71D41DD5" w14:textId="77777777" w:rsidR="006A3667" w:rsidRDefault="006A3667">
            <w:pPr>
              <w:rPr>
                <w:rFonts w:ascii="宋体"/>
                <w:vanish/>
              </w:rPr>
            </w:pPr>
          </w:p>
        </w:tc>
        <w:tc>
          <w:tcPr>
            <w:tcW w:w="0" w:type="auto"/>
            <w:gridSpan w:val="15"/>
            <w:shd w:val="clear" w:color="auto" w:fill="auto"/>
            <w:tcMar>
              <w:top w:w="40" w:type="dxa"/>
              <w:left w:w="20" w:type="dxa"/>
              <w:bottom w:w="40" w:type="dxa"/>
              <w:right w:w="20" w:type="dxa"/>
            </w:tcMar>
            <w:vAlign w:val="bottom"/>
          </w:tcPr>
          <w:p w14:paraId="71D41DD6" w14:textId="77777777" w:rsidR="006A3667" w:rsidRDefault="00045F32">
            <w:pPr>
              <w:jc w:val="center"/>
              <w:textAlignment w:val="bottom"/>
            </w:pPr>
            <w:r>
              <w:rPr>
                <w:rFonts w:ascii="Arial" w:eastAsia="宋体" w:hAnsi="Arial" w:cs="Arial"/>
                <w:b/>
                <w:bCs/>
                <w:color w:val="000000"/>
                <w:sz w:val="13"/>
                <w:szCs w:val="13"/>
              </w:rPr>
              <w:t xml:space="preserve">Three Months Ended </w:t>
            </w:r>
            <w:r>
              <w:rPr>
                <w:rFonts w:ascii="Arial" w:eastAsia="宋体" w:hAnsi="Arial" w:cs="Arial"/>
                <w:b/>
                <w:bCs/>
                <w:color w:val="000000"/>
                <w:sz w:val="13"/>
                <w:szCs w:val="13"/>
              </w:rPr>
              <w:t>September 30, 2021</w:t>
            </w:r>
          </w:p>
        </w:tc>
        <w:tc>
          <w:tcPr>
            <w:tcW w:w="0" w:type="auto"/>
            <w:gridSpan w:val="3"/>
            <w:shd w:val="clear" w:color="auto" w:fill="auto"/>
            <w:tcMar>
              <w:top w:w="0" w:type="dxa"/>
              <w:left w:w="20" w:type="dxa"/>
              <w:bottom w:w="0" w:type="dxa"/>
              <w:right w:w="20" w:type="dxa"/>
            </w:tcMar>
            <w:vAlign w:val="bottom"/>
          </w:tcPr>
          <w:p w14:paraId="71D41DD7"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1DD8" w14:textId="77777777" w:rsidR="006A3667" w:rsidRDefault="00045F32">
            <w:pPr>
              <w:jc w:val="center"/>
              <w:textAlignment w:val="bottom"/>
            </w:pPr>
            <w:r>
              <w:rPr>
                <w:rFonts w:ascii="Arial" w:eastAsia="宋体" w:hAnsi="Arial" w:cs="Arial"/>
                <w:b/>
                <w:bCs/>
                <w:color w:val="000000"/>
                <w:sz w:val="13"/>
                <w:szCs w:val="13"/>
              </w:rPr>
              <w:t>Nine Months Ended September 30, 2021</w:t>
            </w:r>
          </w:p>
        </w:tc>
      </w:tr>
      <w:tr w:rsidR="006A3667" w14:paraId="71D41DE6" w14:textId="77777777">
        <w:trPr>
          <w:hidden/>
        </w:trPr>
        <w:tc>
          <w:tcPr>
            <w:tcW w:w="0" w:type="auto"/>
            <w:shd w:val="clear" w:color="auto" w:fill="auto"/>
            <w:vAlign w:val="bottom"/>
          </w:tcPr>
          <w:p w14:paraId="71D41DDA"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DDB" w14:textId="77777777" w:rsidR="006A3667" w:rsidRDefault="00045F32">
            <w:pPr>
              <w:jc w:val="center"/>
              <w:textAlignment w:val="bottom"/>
            </w:pPr>
            <w:r>
              <w:rPr>
                <w:rFonts w:ascii="Arial" w:eastAsia="宋体" w:hAnsi="Arial" w:cs="Arial"/>
                <w:b/>
                <w:bCs/>
                <w:color w:val="000000"/>
                <w:sz w:val="13"/>
                <w:szCs w:val="13"/>
              </w:rPr>
              <w:t xml:space="preserve">Shares Acquired </w:t>
            </w:r>
            <w:r>
              <w:rPr>
                <w:rFonts w:ascii="Arial" w:eastAsia="宋体" w:hAnsi="Arial" w:cs="Arial"/>
                <w:b/>
                <w:bCs/>
                <w:color w:val="000000"/>
                <w:sz w:val="13"/>
                <w:szCs w:val="13"/>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DD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DDD" w14:textId="77777777" w:rsidR="006A3667" w:rsidRDefault="00045F32">
            <w:pPr>
              <w:jc w:val="center"/>
              <w:textAlignment w:val="bottom"/>
            </w:pPr>
            <w:r>
              <w:rPr>
                <w:rFonts w:ascii="Arial" w:eastAsia="宋体" w:hAnsi="Arial" w:cs="Arial"/>
                <w:b/>
                <w:bCs/>
                <w:color w:val="000000"/>
                <w:sz w:val="13"/>
                <w:szCs w:val="13"/>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DD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DDF" w14:textId="77777777" w:rsidR="006A3667" w:rsidRDefault="00045F32">
            <w:pPr>
              <w:jc w:val="center"/>
              <w:textAlignment w:val="bottom"/>
            </w:pPr>
            <w:r>
              <w:rPr>
                <w:rFonts w:ascii="Arial" w:eastAsia="宋体" w:hAnsi="Arial" w:cs="Arial"/>
                <w:b/>
                <w:bCs/>
                <w:color w:val="000000"/>
                <w:sz w:val="13"/>
                <w:szCs w:val="13"/>
              </w:rPr>
              <w:t xml:space="preserve">Total Acquired </w:t>
            </w:r>
            <w:r>
              <w:rPr>
                <w:rFonts w:ascii="Arial" w:eastAsia="宋体" w:hAnsi="Arial" w:cs="Arial"/>
                <w:b/>
                <w:bCs/>
                <w:color w:val="000000"/>
                <w:sz w:val="13"/>
                <w:szCs w:val="13"/>
              </w:rPr>
              <w:br/>
              <w:t>(In millions)</w:t>
            </w:r>
          </w:p>
        </w:tc>
        <w:tc>
          <w:tcPr>
            <w:tcW w:w="0" w:type="auto"/>
            <w:gridSpan w:val="3"/>
            <w:shd w:val="clear" w:color="auto" w:fill="auto"/>
            <w:tcMar>
              <w:top w:w="0" w:type="dxa"/>
              <w:left w:w="20" w:type="dxa"/>
              <w:bottom w:w="0" w:type="dxa"/>
              <w:right w:w="20" w:type="dxa"/>
            </w:tcMar>
            <w:vAlign w:val="bottom"/>
          </w:tcPr>
          <w:p w14:paraId="71D41DE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DE1" w14:textId="77777777" w:rsidR="006A3667" w:rsidRDefault="00045F32">
            <w:pPr>
              <w:jc w:val="center"/>
              <w:textAlignment w:val="bottom"/>
            </w:pPr>
            <w:r>
              <w:rPr>
                <w:rFonts w:ascii="Arial" w:eastAsia="宋体" w:hAnsi="Arial" w:cs="Arial"/>
                <w:b/>
                <w:bCs/>
                <w:color w:val="000000"/>
                <w:sz w:val="13"/>
                <w:szCs w:val="13"/>
              </w:rPr>
              <w:t xml:space="preserve">Shares Acquired </w:t>
            </w:r>
            <w:r>
              <w:rPr>
                <w:rFonts w:ascii="Arial" w:eastAsia="宋体" w:hAnsi="Arial" w:cs="Arial"/>
                <w:b/>
                <w:bCs/>
                <w:color w:val="000000"/>
                <w:sz w:val="13"/>
                <w:szCs w:val="13"/>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DE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DE3" w14:textId="77777777" w:rsidR="006A3667" w:rsidRDefault="00045F32">
            <w:pPr>
              <w:jc w:val="center"/>
              <w:textAlignment w:val="bottom"/>
            </w:pPr>
            <w:r>
              <w:rPr>
                <w:rFonts w:ascii="Arial" w:eastAsia="宋体" w:hAnsi="Arial" w:cs="Arial"/>
                <w:b/>
                <w:bCs/>
                <w:color w:val="000000"/>
                <w:sz w:val="13"/>
                <w:szCs w:val="13"/>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DE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DE5" w14:textId="77777777" w:rsidR="006A3667" w:rsidRDefault="00045F32">
            <w:pPr>
              <w:jc w:val="center"/>
              <w:textAlignment w:val="bottom"/>
            </w:pPr>
            <w:r>
              <w:rPr>
                <w:rFonts w:ascii="Arial" w:eastAsia="宋体" w:hAnsi="Arial" w:cs="Arial"/>
                <w:b/>
                <w:bCs/>
                <w:color w:val="000000"/>
                <w:sz w:val="13"/>
                <w:szCs w:val="13"/>
              </w:rPr>
              <w:t xml:space="preserve">Total Acquired </w:t>
            </w:r>
            <w:r>
              <w:rPr>
                <w:rFonts w:ascii="Arial" w:eastAsia="宋体" w:hAnsi="Arial" w:cs="Arial"/>
                <w:b/>
                <w:bCs/>
                <w:color w:val="000000"/>
                <w:sz w:val="13"/>
                <w:szCs w:val="13"/>
              </w:rPr>
              <w:br/>
              <w:t>(In millions)</w:t>
            </w:r>
          </w:p>
        </w:tc>
      </w:tr>
      <w:tr w:rsidR="006A3667" w14:paraId="71D41DFD" w14:textId="77777777">
        <w:trPr>
          <w:hidden/>
        </w:trPr>
        <w:tc>
          <w:tcPr>
            <w:tcW w:w="0" w:type="auto"/>
            <w:shd w:val="clear" w:color="auto" w:fill="auto"/>
            <w:vAlign w:val="bottom"/>
          </w:tcPr>
          <w:p w14:paraId="71D41DE7"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DE8" w14:textId="77777777" w:rsidR="006A3667" w:rsidRDefault="00045F32">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DE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E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DE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DEC" w14:textId="77777777" w:rsidR="006A3667" w:rsidRDefault="00045F32">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DE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E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DE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DF0" w14:textId="77777777" w:rsidR="006A3667" w:rsidRDefault="00045F32">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D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F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1DF3" w14:textId="77777777" w:rsidR="006A3667" w:rsidRDefault="00045F32">
            <w:pPr>
              <w:jc w:val="right"/>
              <w:textAlignment w:val="bottom"/>
            </w:pPr>
            <w:r>
              <w:rPr>
                <w:rFonts w:ascii="Arial" w:eastAsia="宋体" w:hAnsi="Arial" w:cs="Arial"/>
                <w:color w:val="000000"/>
                <w:sz w:val="13"/>
                <w:szCs w:val="13"/>
              </w:rPr>
              <w:t>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D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F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DF6"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DF7" w14:textId="77777777" w:rsidR="006A3667" w:rsidRDefault="00045F32">
            <w:pPr>
              <w:jc w:val="right"/>
              <w:textAlignment w:val="bottom"/>
            </w:pPr>
            <w:r>
              <w:rPr>
                <w:rFonts w:ascii="Arial" w:eastAsia="宋体" w:hAnsi="Arial" w:cs="Arial"/>
                <w:color w:val="000000"/>
                <w:sz w:val="13"/>
                <w:szCs w:val="13"/>
              </w:rPr>
              <w:t>80.00 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D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DF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DFA"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DFB" w14:textId="77777777" w:rsidR="006A3667" w:rsidRDefault="00045F32">
            <w:pPr>
              <w:jc w:val="right"/>
              <w:textAlignment w:val="bottom"/>
            </w:pPr>
            <w:r>
              <w:rPr>
                <w:rFonts w:ascii="Arial" w:eastAsia="宋体" w:hAnsi="Arial" w:cs="Arial"/>
                <w:color w:val="000000"/>
                <w:sz w:val="13"/>
                <w:szCs w:val="13"/>
              </w:rPr>
              <w:t>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DFC" w14:textId="77777777" w:rsidR="006A3667" w:rsidRDefault="006A3667">
            <w:pPr>
              <w:jc w:val="right"/>
              <w:rPr>
                <w:rFonts w:ascii="宋体"/>
              </w:rPr>
            </w:pPr>
          </w:p>
        </w:tc>
      </w:tr>
      <w:tr w:rsidR="006A3667" w14:paraId="71D41E0A" w14:textId="77777777">
        <w:trPr>
          <w:hidden/>
        </w:trPr>
        <w:tc>
          <w:tcPr>
            <w:tcW w:w="0" w:type="auto"/>
            <w:shd w:val="clear" w:color="auto" w:fill="auto"/>
            <w:vAlign w:val="bottom"/>
          </w:tcPr>
          <w:p w14:paraId="71D41DFE" w14:textId="77777777" w:rsidR="006A3667" w:rsidRDefault="006A3667">
            <w:pPr>
              <w:rPr>
                <w:rFonts w:ascii="宋体"/>
                <w:vanish/>
              </w:rPr>
            </w:pPr>
          </w:p>
        </w:tc>
        <w:tc>
          <w:tcPr>
            <w:tcW w:w="0" w:type="auto"/>
            <w:gridSpan w:val="3"/>
            <w:shd w:val="clear" w:color="auto" w:fill="auto"/>
            <w:vAlign w:val="bottom"/>
          </w:tcPr>
          <w:p w14:paraId="71D41DFF" w14:textId="77777777" w:rsidR="006A3667" w:rsidRDefault="006A3667">
            <w:pPr>
              <w:rPr>
                <w:rFonts w:ascii="宋体"/>
                <w:vanish/>
              </w:rPr>
            </w:pPr>
          </w:p>
        </w:tc>
        <w:tc>
          <w:tcPr>
            <w:tcW w:w="0" w:type="auto"/>
            <w:gridSpan w:val="3"/>
            <w:shd w:val="clear" w:color="auto" w:fill="auto"/>
            <w:vAlign w:val="bottom"/>
          </w:tcPr>
          <w:p w14:paraId="71D41E00" w14:textId="77777777" w:rsidR="006A3667" w:rsidRDefault="006A3667">
            <w:pPr>
              <w:rPr>
                <w:rFonts w:ascii="宋体"/>
                <w:vanish/>
              </w:rPr>
            </w:pPr>
          </w:p>
        </w:tc>
        <w:tc>
          <w:tcPr>
            <w:tcW w:w="0" w:type="auto"/>
            <w:gridSpan w:val="3"/>
            <w:shd w:val="clear" w:color="auto" w:fill="auto"/>
            <w:vAlign w:val="bottom"/>
          </w:tcPr>
          <w:p w14:paraId="71D41E01" w14:textId="77777777" w:rsidR="006A3667" w:rsidRDefault="006A3667">
            <w:pPr>
              <w:rPr>
                <w:rFonts w:ascii="宋体"/>
                <w:vanish/>
              </w:rPr>
            </w:pPr>
          </w:p>
        </w:tc>
        <w:tc>
          <w:tcPr>
            <w:tcW w:w="0" w:type="auto"/>
            <w:gridSpan w:val="3"/>
            <w:shd w:val="clear" w:color="auto" w:fill="auto"/>
            <w:vAlign w:val="bottom"/>
          </w:tcPr>
          <w:p w14:paraId="71D41E02" w14:textId="77777777" w:rsidR="006A3667" w:rsidRDefault="006A3667">
            <w:pPr>
              <w:rPr>
                <w:rFonts w:ascii="宋体"/>
                <w:vanish/>
              </w:rPr>
            </w:pPr>
          </w:p>
        </w:tc>
        <w:tc>
          <w:tcPr>
            <w:tcW w:w="0" w:type="auto"/>
            <w:gridSpan w:val="3"/>
            <w:shd w:val="clear" w:color="auto" w:fill="auto"/>
            <w:vAlign w:val="bottom"/>
          </w:tcPr>
          <w:p w14:paraId="71D41E03" w14:textId="77777777" w:rsidR="006A3667" w:rsidRDefault="006A3667">
            <w:pPr>
              <w:rPr>
                <w:rFonts w:ascii="宋体"/>
                <w:vanish/>
              </w:rPr>
            </w:pPr>
          </w:p>
        </w:tc>
        <w:tc>
          <w:tcPr>
            <w:tcW w:w="0" w:type="auto"/>
            <w:gridSpan w:val="3"/>
            <w:shd w:val="clear" w:color="auto" w:fill="auto"/>
            <w:vAlign w:val="bottom"/>
          </w:tcPr>
          <w:p w14:paraId="71D41E04" w14:textId="77777777" w:rsidR="006A3667" w:rsidRDefault="006A3667">
            <w:pPr>
              <w:rPr>
                <w:rFonts w:ascii="宋体"/>
                <w:vanish/>
              </w:rPr>
            </w:pPr>
          </w:p>
        </w:tc>
        <w:tc>
          <w:tcPr>
            <w:tcW w:w="0" w:type="auto"/>
            <w:gridSpan w:val="3"/>
            <w:shd w:val="clear" w:color="auto" w:fill="auto"/>
            <w:vAlign w:val="bottom"/>
          </w:tcPr>
          <w:p w14:paraId="71D41E05" w14:textId="77777777" w:rsidR="006A3667" w:rsidRDefault="006A3667">
            <w:pPr>
              <w:rPr>
                <w:rFonts w:ascii="宋体"/>
                <w:vanish/>
              </w:rPr>
            </w:pPr>
          </w:p>
        </w:tc>
        <w:tc>
          <w:tcPr>
            <w:tcW w:w="0" w:type="auto"/>
            <w:gridSpan w:val="3"/>
            <w:shd w:val="clear" w:color="auto" w:fill="auto"/>
            <w:vAlign w:val="bottom"/>
          </w:tcPr>
          <w:p w14:paraId="71D41E06" w14:textId="77777777" w:rsidR="006A3667" w:rsidRDefault="006A3667">
            <w:pPr>
              <w:rPr>
                <w:rFonts w:ascii="宋体"/>
                <w:vanish/>
              </w:rPr>
            </w:pPr>
          </w:p>
        </w:tc>
        <w:tc>
          <w:tcPr>
            <w:tcW w:w="0" w:type="auto"/>
            <w:gridSpan w:val="3"/>
            <w:shd w:val="clear" w:color="auto" w:fill="auto"/>
            <w:vAlign w:val="bottom"/>
          </w:tcPr>
          <w:p w14:paraId="71D41E07" w14:textId="77777777" w:rsidR="006A3667" w:rsidRDefault="006A3667">
            <w:pPr>
              <w:rPr>
                <w:rFonts w:ascii="宋体"/>
                <w:vanish/>
              </w:rPr>
            </w:pPr>
          </w:p>
        </w:tc>
        <w:tc>
          <w:tcPr>
            <w:tcW w:w="0" w:type="auto"/>
            <w:gridSpan w:val="3"/>
            <w:shd w:val="clear" w:color="auto" w:fill="auto"/>
            <w:vAlign w:val="bottom"/>
          </w:tcPr>
          <w:p w14:paraId="71D41E08" w14:textId="77777777" w:rsidR="006A3667" w:rsidRDefault="006A3667">
            <w:pPr>
              <w:rPr>
                <w:rFonts w:ascii="宋体"/>
                <w:vanish/>
              </w:rPr>
            </w:pPr>
          </w:p>
        </w:tc>
        <w:tc>
          <w:tcPr>
            <w:tcW w:w="0" w:type="auto"/>
            <w:gridSpan w:val="3"/>
            <w:shd w:val="clear" w:color="auto" w:fill="auto"/>
            <w:vAlign w:val="bottom"/>
          </w:tcPr>
          <w:p w14:paraId="71D41E09" w14:textId="77777777" w:rsidR="006A3667" w:rsidRDefault="006A3667">
            <w:pPr>
              <w:rPr>
                <w:rFonts w:ascii="宋体"/>
                <w:vanish/>
              </w:rPr>
            </w:pPr>
          </w:p>
        </w:tc>
      </w:tr>
      <w:tr w:rsidR="006A3667" w14:paraId="71D41E17" w14:textId="77777777">
        <w:trPr>
          <w:hidden/>
        </w:trPr>
        <w:tc>
          <w:tcPr>
            <w:tcW w:w="0" w:type="auto"/>
            <w:shd w:val="clear" w:color="auto" w:fill="auto"/>
            <w:vAlign w:val="bottom"/>
          </w:tcPr>
          <w:p w14:paraId="71D41E0B" w14:textId="77777777" w:rsidR="006A3667" w:rsidRDefault="006A3667">
            <w:pPr>
              <w:rPr>
                <w:rFonts w:ascii="宋体"/>
                <w:vanish/>
              </w:rPr>
            </w:pPr>
          </w:p>
        </w:tc>
        <w:tc>
          <w:tcPr>
            <w:tcW w:w="0" w:type="auto"/>
            <w:gridSpan w:val="3"/>
            <w:shd w:val="clear" w:color="auto" w:fill="auto"/>
            <w:vAlign w:val="bottom"/>
          </w:tcPr>
          <w:p w14:paraId="71D41E0C" w14:textId="77777777" w:rsidR="006A3667" w:rsidRDefault="006A3667">
            <w:pPr>
              <w:rPr>
                <w:rFonts w:ascii="宋体"/>
                <w:vanish/>
              </w:rPr>
            </w:pPr>
          </w:p>
        </w:tc>
        <w:tc>
          <w:tcPr>
            <w:tcW w:w="0" w:type="auto"/>
            <w:gridSpan w:val="3"/>
            <w:shd w:val="clear" w:color="auto" w:fill="auto"/>
            <w:vAlign w:val="bottom"/>
          </w:tcPr>
          <w:p w14:paraId="71D41E0D" w14:textId="77777777" w:rsidR="006A3667" w:rsidRDefault="006A3667">
            <w:pPr>
              <w:rPr>
                <w:rFonts w:ascii="宋体"/>
                <w:vanish/>
              </w:rPr>
            </w:pPr>
          </w:p>
        </w:tc>
        <w:tc>
          <w:tcPr>
            <w:tcW w:w="0" w:type="auto"/>
            <w:gridSpan w:val="3"/>
            <w:shd w:val="clear" w:color="auto" w:fill="auto"/>
            <w:vAlign w:val="bottom"/>
          </w:tcPr>
          <w:p w14:paraId="71D41E0E" w14:textId="77777777" w:rsidR="006A3667" w:rsidRDefault="006A3667">
            <w:pPr>
              <w:rPr>
                <w:rFonts w:ascii="宋体"/>
                <w:vanish/>
              </w:rPr>
            </w:pPr>
          </w:p>
        </w:tc>
        <w:tc>
          <w:tcPr>
            <w:tcW w:w="0" w:type="auto"/>
            <w:gridSpan w:val="3"/>
            <w:shd w:val="clear" w:color="auto" w:fill="auto"/>
            <w:vAlign w:val="bottom"/>
          </w:tcPr>
          <w:p w14:paraId="71D41E0F" w14:textId="77777777" w:rsidR="006A3667" w:rsidRDefault="006A3667">
            <w:pPr>
              <w:rPr>
                <w:rFonts w:ascii="宋体"/>
                <w:vanish/>
              </w:rPr>
            </w:pPr>
          </w:p>
        </w:tc>
        <w:tc>
          <w:tcPr>
            <w:tcW w:w="0" w:type="auto"/>
            <w:gridSpan w:val="3"/>
            <w:shd w:val="clear" w:color="auto" w:fill="auto"/>
            <w:vAlign w:val="bottom"/>
          </w:tcPr>
          <w:p w14:paraId="71D41E10" w14:textId="77777777" w:rsidR="006A3667" w:rsidRDefault="006A3667">
            <w:pPr>
              <w:rPr>
                <w:rFonts w:ascii="宋体"/>
                <w:vanish/>
              </w:rPr>
            </w:pPr>
          </w:p>
        </w:tc>
        <w:tc>
          <w:tcPr>
            <w:tcW w:w="0" w:type="auto"/>
            <w:gridSpan w:val="3"/>
            <w:shd w:val="clear" w:color="auto" w:fill="auto"/>
            <w:vAlign w:val="bottom"/>
          </w:tcPr>
          <w:p w14:paraId="71D41E11" w14:textId="77777777" w:rsidR="006A3667" w:rsidRDefault="006A3667">
            <w:pPr>
              <w:rPr>
                <w:rFonts w:ascii="宋体"/>
                <w:vanish/>
              </w:rPr>
            </w:pPr>
          </w:p>
        </w:tc>
        <w:tc>
          <w:tcPr>
            <w:tcW w:w="0" w:type="auto"/>
            <w:gridSpan w:val="3"/>
            <w:shd w:val="clear" w:color="auto" w:fill="auto"/>
            <w:vAlign w:val="bottom"/>
          </w:tcPr>
          <w:p w14:paraId="71D41E12" w14:textId="77777777" w:rsidR="006A3667" w:rsidRDefault="006A3667">
            <w:pPr>
              <w:rPr>
                <w:rFonts w:ascii="宋体"/>
                <w:vanish/>
              </w:rPr>
            </w:pPr>
          </w:p>
        </w:tc>
        <w:tc>
          <w:tcPr>
            <w:tcW w:w="0" w:type="auto"/>
            <w:gridSpan w:val="3"/>
            <w:shd w:val="clear" w:color="auto" w:fill="auto"/>
            <w:vAlign w:val="bottom"/>
          </w:tcPr>
          <w:p w14:paraId="71D41E13" w14:textId="77777777" w:rsidR="006A3667" w:rsidRDefault="006A3667">
            <w:pPr>
              <w:rPr>
                <w:rFonts w:ascii="宋体"/>
                <w:vanish/>
              </w:rPr>
            </w:pPr>
          </w:p>
        </w:tc>
        <w:tc>
          <w:tcPr>
            <w:tcW w:w="0" w:type="auto"/>
            <w:gridSpan w:val="3"/>
            <w:shd w:val="clear" w:color="auto" w:fill="auto"/>
            <w:vAlign w:val="bottom"/>
          </w:tcPr>
          <w:p w14:paraId="71D41E14" w14:textId="77777777" w:rsidR="006A3667" w:rsidRDefault="006A3667">
            <w:pPr>
              <w:rPr>
                <w:rFonts w:ascii="宋体"/>
                <w:vanish/>
              </w:rPr>
            </w:pPr>
          </w:p>
        </w:tc>
        <w:tc>
          <w:tcPr>
            <w:tcW w:w="0" w:type="auto"/>
            <w:gridSpan w:val="3"/>
            <w:shd w:val="clear" w:color="auto" w:fill="auto"/>
            <w:vAlign w:val="bottom"/>
          </w:tcPr>
          <w:p w14:paraId="71D41E15" w14:textId="77777777" w:rsidR="006A3667" w:rsidRDefault="006A3667">
            <w:pPr>
              <w:rPr>
                <w:rFonts w:ascii="宋体"/>
                <w:vanish/>
              </w:rPr>
            </w:pPr>
          </w:p>
        </w:tc>
        <w:tc>
          <w:tcPr>
            <w:tcW w:w="0" w:type="auto"/>
            <w:gridSpan w:val="3"/>
            <w:shd w:val="clear" w:color="auto" w:fill="auto"/>
            <w:vAlign w:val="bottom"/>
          </w:tcPr>
          <w:p w14:paraId="71D41E16" w14:textId="77777777" w:rsidR="006A3667" w:rsidRDefault="006A3667">
            <w:pPr>
              <w:rPr>
                <w:rFonts w:ascii="宋体"/>
                <w:vanish/>
              </w:rPr>
            </w:pPr>
          </w:p>
        </w:tc>
      </w:tr>
    </w:tbl>
    <w:p w14:paraId="71D41E18" w14:textId="77777777" w:rsidR="006A3667" w:rsidRDefault="00045F32">
      <w:pPr>
        <w:spacing w:before="60"/>
        <w:ind w:firstLine="450"/>
      </w:pPr>
      <w:r>
        <w:rPr>
          <w:rFonts w:ascii="Arial" w:eastAsia="宋体" w:hAnsi="Arial" w:cs="Arial"/>
          <w:color w:val="000000"/>
          <w:sz w:val="20"/>
          <w:szCs w:val="20"/>
        </w:rPr>
        <w:t>The table below presents the dividends declared on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360"/>
        <w:gridCol w:w="36"/>
        <w:gridCol w:w="99"/>
        <w:gridCol w:w="1643"/>
        <w:gridCol w:w="37"/>
        <w:gridCol w:w="36"/>
        <w:gridCol w:w="36"/>
        <w:gridCol w:w="36"/>
        <w:gridCol w:w="99"/>
        <w:gridCol w:w="975"/>
        <w:gridCol w:w="37"/>
        <w:gridCol w:w="36"/>
        <w:gridCol w:w="36"/>
        <w:gridCol w:w="36"/>
        <w:gridCol w:w="99"/>
        <w:gridCol w:w="1599"/>
        <w:gridCol w:w="37"/>
        <w:gridCol w:w="36"/>
        <w:gridCol w:w="36"/>
        <w:gridCol w:w="36"/>
        <w:gridCol w:w="99"/>
        <w:gridCol w:w="954"/>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41E39" w14:textId="77777777">
        <w:tc>
          <w:tcPr>
            <w:tcW w:w="50" w:type="pct"/>
            <w:shd w:val="clear" w:color="auto" w:fill="auto"/>
            <w:vAlign w:val="bottom"/>
          </w:tcPr>
          <w:p w14:paraId="71D41E19" w14:textId="77777777" w:rsidR="006A3667" w:rsidRDefault="006A3667">
            <w:pPr>
              <w:rPr>
                <w:rFonts w:ascii="宋体"/>
              </w:rPr>
            </w:pPr>
          </w:p>
        </w:tc>
        <w:tc>
          <w:tcPr>
            <w:tcW w:w="946" w:type="pct"/>
            <w:shd w:val="clear" w:color="auto" w:fill="auto"/>
            <w:vAlign w:val="bottom"/>
          </w:tcPr>
          <w:p w14:paraId="71D41E1A" w14:textId="77777777" w:rsidR="006A3667" w:rsidRDefault="006A3667">
            <w:pPr>
              <w:rPr>
                <w:rFonts w:ascii="宋体"/>
              </w:rPr>
            </w:pPr>
          </w:p>
        </w:tc>
        <w:tc>
          <w:tcPr>
            <w:tcW w:w="5" w:type="pct"/>
            <w:shd w:val="clear" w:color="auto" w:fill="auto"/>
            <w:vAlign w:val="bottom"/>
          </w:tcPr>
          <w:p w14:paraId="71D41E1B" w14:textId="77777777" w:rsidR="006A3667" w:rsidRDefault="006A3667">
            <w:pPr>
              <w:rPr>
                <w:rFonts w:ascii="宋体"/>
              </w:rPr>
            </w:pPr>
          </w:p>
        </w:tc>
        <w:tc>
          <w:tcPr>
            <w:tcW w:w="50" w:type="pct"/>
            <w:shd w:val="clear" w:color="auto" w:fill="auto"/>
            <w:vAlign w:val="bottom"/>
          </w:tcPr>
          <w:p w14:paraId="71D41E1C" w14:textId="77777777" w:rsidR="006A3667" w:rsidRDefault="006A3667">
            <w:pPr>
              <w:rPr>
                <w:rFonts w:ascii="宋体"/>
              </w:rPr>
            </w:pPr>
          </w:p>
        </w:tc>
        <w:tc>
          <w:tcPr>
            <w:tcW w:w="1129" w:type="pct"/>
            <w:shd w:val="clear" w:color="auto" w:fill="auto"/>
            <w:vAlign w:val="bottom"/>
          </w:tcPr>
          <w:p w14:paraId="71D41E1D" w14:textId="77777777" w:rsidR="006A3667" w:rsidRDefault="006A3667">
            <w:pPr>
              <w:rPr>
                <w:rFonts w:ascii="宋体"/>
              </w:rPr>
            </w:pPr>
          </w:p>
        </w:tc>
        <w:tc>
          <w:tcPr>
            <w:tcW w:w="5" w:type="pct"/>
            <w:shd w:val="clear" w:color="auto" w:fill="auto"/>
            <w:vAlign w:val="bottom"/>
          </w:tcPr>
          <w:p w14:paraId="71D41E1E" w14:textId="77777777" w:rsidR="006A3667" w:rsidRDefault="006A3667">
            <w:pPr>
              <w:rPr>
                <w:rFonts w:ascii="宋体"/>
              </w:rPr>
            </w:pPr>
          </w:p>
        </w:tc>
        <w:tc>
          <w:tcPr>
            <w:tcW w:w="5" w:type="pct"/>
            <w:shd w:val="clear" w:color="auto" w:fill="auto"/>
            <w:vAlign w:val="bottom"/>
          </w:tcPr>
          <w:p w14:paraId="71D41E1F" w14:textId="77777777" w:rsidR="006A3667" w:rsidRDefault="006A3667">
            <w:pPr>
              <w:rPr>
                <w:rFonts w:ascii="宋体"/>
              </w:rPr>
            </w:pPr>
          </w:p>
        </w:tc>
        <w:tc>
          <w:tcPr>
            <w:tcW w:w="26" w:type="pct"/>
            <w:shd w:val="clear" w:color="auto" w:fill="auto"/>
            <w:vAlign w:val="bottom"/>
          </w:tcPr>
          <w:p w14:paraId="71D41E20" w14:textId="77777777" w:rsidR="006A3667" w:rsidRDefault="006A3667">
            <w:pPr>
              <w:rPr>
                <w:rFonts w:ascii="宋体"/>
              </w:rPr>
            </w:pPr>
          </w:p>
        </w:tc>
        <w:tc>
          <w:tcPr>
            <w:tcW w:w="5" w:type="pct"/>
            <w:shd w:val="clear" w:color="auto" w:fill="auto"/>
            <w:vAlign w:val="bottom"/>
          </w:tcPr>
          <w:p w14:paraId="71D41E21" w14:textId="77777777" w:rsidR="006A3667" w:rsidRDefault="006A3667">
            <w:pPr>
              <w:rPr>
                <w:rFonts w:ascii="宋体"/>
              </w:rPr>
            </w:pPr>
          </w:p>
        </w:tc>
        <w:tc>
          <w:tcPr>
            <w:tcW w:w="50" w:type="pct"/>
            <w:shd w:val="clear" w:color="auto" w:fill="auto"/>
            <w:vAlign w:val="bottom"/>
          </w:tcPr>
          <w:p w14:paraId="71D41E22" w14:textId="77777777" w:rsidR="006A3667" w:rsidRDefault="006A3667">
            <w:pPr>
              <w:rPr>
                <w:rFonts w:ascii="宋体"/>
              </w:rPr>
            </w:pPr>
          </w:p>
        </w:tc>
        <w:tc>
          <w:tcPr>
            <w:tcW w:w="712" w:type="pct"/>
            <w:shd w:val="clear" w:color="auto" w:fill="auto"/>
            <w:vAlign w:val="bottom"/>
          </w:tcPr>
          <w:p w14:paraId="71D41E23" w14:textId="77777777" w:rsidR="006A3667" w:rsidRDefault="006A3667">
            <w:pPr>
              <w:rPr>
                <w:rFonts w:ascii="宋体"/>
              </w:rPr>
            </w:pPr>
          </w:p>
        </w:tc>
        <w:tc>
          <w:tcPr>
            <w:tcW w:w="5" w:type="pct"/>
            <w:shd w:val="clear" w:color="auto" w:fill="auto"/>
            <w:vAlign w:val="bottom"/>
          </w:tcPr>
          <w:p w14:paraId="71D41E24" w14:textId="77777777" w:rsidR="006A3667" w:rsidRDefault="006A3667">
            <w:pPr>
              <w:rPr>
                <w:rFonts w:ascii="宋体"/>
              </w:rPr>
            </w:pPr>
          </w:p>
        </w:tc>
        <w:tc>
          <w:tcPr>
            <w:tcW w:w="5" w:type="pct"/>
            <w:shd w:val="clear" w:color="auto" w:fill="auto"/>
            <w:vAlign w:val="bottom"/>
          </w:tcPr>
          <w:p w14:paraId="71D41E25" w14:textId="77777777" w:rsidR="006A3667" w:rsidRDefault="006A3667">
            <w:pPr>
              <w:rPr>
                <w:rFonts w:ascii="宋体"/>
              </w:rPr>
            </w:pPr>
          </w:p>
        </w:tc>
        <w:tc>
          <w:tcPr>
            <w:tcW w:w="26" w:type="pct"/>
            <w:shd w:val="clear" w:color="auto" w:fill="auto"/>
            <w:vAlign w:val="bottom"/>
          </w:tcPr>
          <w:p w14:paraId="71D41E26" w14:textId="77777777" w:rsidR="006A3667" w:rsidRDefault="006A3667">
            <w:pPr>
              <w:rPr>
                <w:rFonts w:ascii="宋体"/>
              </w:rPr>
            </w:pPr>
          </w:p>
        </w:tc>
        <w:tc>
          <w:tcPr>
            <w:tcW w:w="5" w:type="pct"/>
            <w:shd w:val="clear" w:color="auto" w:fill="auto"/>
            <w:vAlign w:val="bottom"/>
          </w:tcPr>
          <w:p w14:paraId="71D41E27" w14:textId="77777777" w:rsidR="006A3667" w:rsidRDefault="006A3667">
            <w:pPr>
              <w:rPr>
                <w:rFonts w:ascii="宋体"/>
              </w:rPr>
            </w:pPr>
          </w:p>
        </w:tc>
        <w:tc>
          <w:tcPr>
            <w:tcW w:w="50" w:type="pct"/>
            <w:shd w:val="clear" w:color="auto" w:fill="auto"/>
            <w:vAlign w:val="bottom"/>
          </w:tcPr>
          <w:p w14:paraId="71D41E28" w14:textId="77777777" w:rsidR="006A3667" w:rsidRDefault="006A3667">
            <w:pPr>
              <w:rPr>
                <w:rFonts w:ascii="宋体"/>
              </w:rPr>
            </w:pPr>
          </w:p>
        </w:tc>
        <w:tc>
          <w:tcPr>
            <w:tcW w:w="1129" w:type="pct"/>
            <w:shd w:val="clear" w:color="auto" w:fill="auto"/>
            <w:vAlign w:val="bottom"/>
          </w:tcPr>
          <w:p w14:paraId="71D41E29" w14:textId="77777777" w:rsidR="006A3667" w:rsidRDefault="006A3667">
            <w:pPr>
              <w:rPr>
                <w:rFonts w:ascii="宋体"/>
              </w:rPr>
            </w:pPr>
          </w:p>
        </w:tc>
        <w:tc>
          <w:tcPr>
            <w:tcW w:w="5" w:type="pct"/>
            <w:shd w:val="clear" w:color="auto" w:fill="auto"/>
            <w:vAlign w:val="bottom"/>
          </w:tcPr>
          <w:p w14:paraId="71D41E2A" w14:textId="77777777" w:rsidR="006A3667" w:rsidRDefault="006A3667">
            <w:pPr>
              <w:rPr>
                <w:rFonts w:ascii="宋体"/>
              </w:rPr>
            </w:pPr>
          </w:p>
        </w:tc>
        <w:tc>
          <w:tcPr>
            <w:tcW w:w="5" w:type="pct"/>
            <w:shd w:val="clear" w:color="auto" w:fill="auto"/>
            <w:vAlign w:val="bottom"/>
          </w:tcPr>
          <w:p w14:paraId="71D41E2B" w14:textId="77777777" w:rsidR="006A3667" w:rsidRDefault="006A3667">
            <w:pPr>
              <w:rPr>
                <w:rFonts w:ascii="宋体"/>
              </w:rPr>
            </w:pPr>
          </w:p>
        </w:tc>
        <w:tc>
          <w:tcPr>
            <w:tcW w:w="26" w:type="pct"/>
            <w:shd w:val="clear" w:color="auto" w:fill="auto"/>
            <w:vAlign w:val="bottom"/>
          </w:tcPr>
          <w:p w14:paraId="71D41E2C" w14:textId="77777777" w:rsidR="006A3667" w:rsidRDefault="006A3667">
            <w:pPr>
              <w:rPr>
                <w:rFonts w:ascii="宋体"/>
              </w:rPr>
            </w:pPr>
          </w:p>
        </w:tc>
        <w:tc>
          <w:tcPr>
            <w:tcW w:w="5" w:type="pct"/>
            <w:shd w:val="clear" w:color="auto" w:fill="auto"/>
            <w:vAlign w:val="bottom"/>
          </w:tcPr>
          <w:p w14:paraId="71D41E2D" w14:textId="77777777" w:rsidR="006A3667" w:rsidRDefault="006A3667">
            <w:pPr>
              <w:rPr>
                <w:rFonts w:ascii="宋体"/>
              </w:rPr>
            </w:pPr>
          </w:p>
        </w:tc>
        <w:tc>
          <w:tcPr>
            <w:tcW w:w="50" w:type="pct"/>
            <w:shd w:val="clear" w:color="auto" w:fill="auto"/>
            <w:vAlign w:val="bottom"/>
          </w:tcPr>
          <w:p w14:paraId="71D41E2E" w14:textId="77777777" w:rsidR="006A3667" w:rsidRDefault="006A3667">
            <w:pPr>
              <w:rPr>
                <w:rFonts w:ascii="宋体"/>
              </w:rPr>
            </w:pPr>
          </w:p>
        </w:tc>
        <w:tc>
          <w:tcPr>
            <w:tcW w:w="698" w:type="pct"/>
            <w:shd w:val="clear" w:color="auto" w:fill="auto"/>
            <w:vAlign w:val="bottom"/>
          </w:tcPr>
          <w:p w14:paraId="71D41E2F" w14:textId="77777777" w:rsidR="006A3667" w:rsidRDefault="006A3667">
            <w:pPr>
              <w:rPr>
                <w:rFonts w:ascii="宋体"/>
              </w:rPr>
            </w:pPr>
          </w:p>
        </w:tc>
        <w:tc>
          <w:tcPr>
            <w:tcW w:w="5" w:type="pct"/>
            <w:shd w:val="clear" w:color="auto" w:fill="auto"/>
            <w:vAlign w:val="bottom"/>
          </w:tcPr>
          <w:p w14:paraId="71D41E30" w14:textId="77777777" w:rsidR="006A3667" w:rsidRDefault="006A3667">
            <w:pPr>
              <w:rPr>
                <w:rFonts w:ascii="宋体"/>
              </w:rPr>
            </w:pPr>
          </w:p>
        </w:tc>
        <w:tc>
          <w:tcPr>
            <w:tcW w:w="0" w:type="auto"/>
            <w:gridSpan w:val="3"/>
            <w:shd w:val="clear" w:color="auto" w:fill="auto"/>
            <w:vAlign w:val="bottom"/>
          </w:tcPr>
          <w:p w14:paraId="71D41E31" w14:textId="77777777" w:rsidR="006A3667" w:rsidRDefault="006A3667">
            <w:pPr>
              <w:rPr>
                <w:rFonts w:ascii="宋体"/>
                <w:vanish/>
              </w:rPr>
            </w:pPr>
          </w:p>
        </w:tc>
        <w:tc>
          <w:tcPr>
            <w:tcW w:w="0" w:type="auto"/>
            <w:gridSpan w:val="3"/>
            <w:shd w:val="clear" w:color="auto" w:fill="auto"/>
            <w:vAlign w:val="bottom"/>
          </w:tcPr>
          <w:p w14:paraId="71D41E32" w14:textId="77777777" w:rsidR="006A3667" w:rsidRDefault="006A3667">
            <w:pPr>
              <w:rPr>
                <w:rFonts w:ascii="宋体"/>
                <w:vanish/>
              </w:rPr>
            </w:pPr>
          </w:p>
        </w:tc>
        <w:tc>
          <w:tcPr>
            <w:tcW w:w="0" w:type="auto"/>
            <w:gridSpan w:val="3"/>
            <w:shd w:val="clear" w:color="auto" w:fill="auto"/>
            <w:vAlign w:val="bottom"/>
          </w:tcPr>
          <w:p w14:paraId="71D41E33" w14:textId="77777777" w:rsidR="006A3667" w:rsidRDefault="006A3667">
            <w:pPr>
              <w:rPr>
                <w:rFonts w:ascii="宋体"/>
                <w:vanish/>
              </w:rPr>
            </w:pPr>
          </w:p>
        </w:tc>
        <w:tc>
          <w:tcPr>
            <w:tcW w:w="0" w:type="auto"/>
            <w:gridSpan w:val="3"/>
            <w:shd w:val="clear" w:color="auto" w:fill="auto"/>
            <w:vAlign w:val="bottom"/>
          </w:tcPr>
          <w:p w14:paraId="71D41E34" w14:textId="77777777" w:rsidR="006A3667" w:rsidRDefault="006A3667">
            <w:pPr>
              <w:rPr>
                <w:rFonts w:ascii="宋体"/>
                <w:vanish/>
              </w:rPr>
            </w:pPr>
          </w:p>
        </w:tc>
        <w:tc>
          <w:tcPr>
            <w:tcW w:w="0" w:type="auto"/>
            <w:gridSpan w:val="3"/>
            <w:shd w:val="clear" w:color="auto" w:fill="auto"/>
            <w:vAlign w:val="bottom"/>
          </w:tcPr>
          <w:p w14:paraId="71D41E35" w14:textId="77777777" w:rsidR="006A3667" w:rsidRDefault="006A3667">
            <w:pPr>
              <w:rPr>
                <w:rFonts w:ascii="宋体"/>
                <w:vanish/>
              </w:rPr>
            </w:pPr>
          </w:p>
        </w:tc>
        <w:tc>
          <w:tcPr>
            <w:tcW w:w="0" w:type="auto"/>
            <w:gridSpan w:val="3"/>
            <w:shd w:val="clear" w:color="auto" w:fill="auto"/>
            <w:vAlign w:val="bottom"/>
          </w:tcPr>
          <w:p w14:paraId="71D41E36" w14:textId="77777777" w:rsidR="006A3667" w:rsidRDefault="006A3667">
            <w:pPr>
              <w:rPr>
                <w:rFonts w:ascii="宋体"/>
                <w:vanish/>
              </w:rPr>
            </w:pPr>
          </w:p>
        </w:tc>
        <w:tc>
          <w:tcPr>
            <w:tcW w:w="0" w:type="auto"/>
            <w:gridSpan w:val="3"/>
            <w:shd w:val="clear" w:color="auto" w:fill="auto"/>
            <w:vAlign w:val="bottom"/>
          </w:tcPr>
          <w:p w14:paraId="71D41E37" w14:textId="77777777" w:rsidR="006A3667" w:rsidRDefault="006A3667">
            <w:pPr>
              <w:rPr>
                <w:rFonts w:ascii="宋体"/>
                <w:vanish/>
              </w:rPr>
            </w:pPr>
          </w:p>
        </w:tc>
        <w:tc>
          <w:tcPr>
            <w:tcW w:w="0" w:type="auto"/>
            <w:gridSpan w:val="3"/>
            <w:shd w:val="clear" w:color="auto" w:fill="auto"/>
            <w:vAlign w:val="bottom"/>
          </w:tcPr>
          <w:p w14:paraId="71D41E38" w14:textId="77777777" w:rsidR="006A3667" w:rsidRDefault="006A3667">
            <w:pPr>
              <w:rPr>
                <w:rFonts w:ascii="宋体"/>
                <w:vanish/>
              </w:rPr>
            </w:pPr>
          </w:p>
        </w:tc>
      </w:tr>
      <w:tr w:rsidR="006A3667" w14:paraId="71D41E43" w14:textId="77777777">
        <w:tc>
          <w:tcPr>
            <w:tcW w:w="0" w:type="auto"/>
            <w:gridSpan w:val="24"/>
            <w:shd w:val="clear" w:color="auto" w:fill="auto"/>
            <w:tcMar>
              <w:top w:w="40" w:type="dxa"/>
              <w:left w:w="20" w:type="dxa"/>
              <w:bottom w:w="40" w:type="dxa"/>
              <w:right w:w="20" w:type="dxa"/>
            </w:tcMar>
            <w:vAlign w:val="bottom"/>
          </w:tcPr>
          <w:p w14:paraId="71D41E3A" w14:textId="77777777" w:rsidR="006A3667" w:rsidRDefault="00045F32">
            <w:pPr>
              <w:textAlignment w:val="bottom"/>
            </w:pPr>
            <w:r>
              <w:rPr>
                <w:rFonts w:ascii="Arial" w:eastAsia="宋体" w:hAnsi="Arial" w:cs="Arial"/>
                <w:b/>
                <w:bCs/>
                <w:color w:val="000000"/>
                <w:sz w:val="16"/>
                <w:szCs w:val="16"/>
              </w:rPr>
              <w:t>TABLE 42: COMMON STOCK DIVIDENDS</w:t>
            </w:r>
          </w:p>
        </w:tc>
        <w:tc>
          <w:tcPr>
            <w:tcW w:w="0" w:type="auto"/>
            <w:gridSpan w:val="3"/>
            <w:shd w:val="clear" w:color="auto" w:fill="auto"/>
            <w:vAlign w:val="bottom"/>
          </w:tcPr>
          <w:p w14:paraId="71D41E3B" w14:textId="77777777" w:rsidR="006A3667" w:rsidRDefault="006A3667">
            <w:pPr>
              <w:rPr>
                <w:rFonts w:ascii="宋体"/>
                <w:vanish/>
              </w:rPr>
            </w:pPr>
          </w:p>
        </w:tc>
        <w:tc>
          <w:tcPr>
            <w:tcW w:w="0" w:type="auto"/>
            <w:gridSpan w:val="3"/>
            <w:shd w:val="clear" w:color="auto" w:fill="auto"/>
            <w:vAlign w:val="bottom"/>
          </w:tcPr>
          <w:p w14:paraId="71D41E3C" w14:textId="77777777" w:rsidR="006A3667" w:rsidRDefault="006A3667">
            <w:pPr>
              <w:rPr>
                <w:rFonts w:ascii="宋体"/>
                <w:vanish/>
              </w:rPr>
            </w:pPr>
          </w:p>
        </w:tc>
        <w:tc>
          <w:tcPr>
            <w:tcW w:w="0" w:type="auto"/>
            <w:gridSpan w:val="3"/>
            <w:shd w:val="clear" w:color="auto" w:fill="auto"/>
            <w:vAlign w:val="bottom"/>
          </w:tcPr>
          <w:p w14:paraId="71D41E3D" w14:textId="77777777" w:rsidR="006A3667" w:rsidRDefault="006A3667">
            <w:pPr>
              <w:rPr>
                <w:rFonts w:ascii="宋体"/>
                <w:vanish/>
              </w:rPr>
            </w:pPr>
          </w:p>
        </w:tc>
        <w:tc>
          <w:tcPr>
            <w:tcW w:w="0" w:type="auto"/>
            <w:gridSpan w:val="3"/>
            <w:shd w:val="clear" w:color="auto" w:fill="auto"/>
            <w:vAlign w:val="bottom"/>
          </w:tcPr>
          <w:p w14:paraId="71D41E3E" w14:textId="77777777" w:rsidR="006A3667" w:rsidRDefault="006A3667">
            <w:pPr>
              <w:rPr>
                <w:rFonts w:ascii="宋体"/>
                <w:vanish/>
              </w:rPr>
            </w:pPr>
          </w:p>
        </w:tc>
        <w:tc>
          <w:tcPr>
            <w:tcW w:w="0" w:type="auto"/>
            <w:gridSpan w:val="3"/>
            <w:shd w:val="clear" w:color="auto" w:fill="auto"/>
            <w:vAlign w:val="bottom"/>
          </w:tcPr>
          <w:p w14:paraId="71D41E3F" w14:textId="77777777" w:rsidR="006A3667" w:rsidRDefault="006A3667">
            <w:pPr>
              <w:rPr>
                <w:rFonts w:ascii="宋体"/>
                <w:vanish/>
              </w:rPr>
            </w:pPr>
          </w:p>
        </w:tc>
        <w:tc>
          <w:tcPr>
            <w:tcW w:w="0" w:type="auto"/>
            <w:gridSpan w:val="3"/>
            <w:shd w:val="clear" w:color="auto" w:fill="auto"/>
            <w:vAlign w:val="bottom"/>
          </w:tcPr>
          <w:p w14:paraId="71D41E40" w14:textId="77777777" w:rsidR="006A3667" w:rsidRDefault="006A3667">
            <w:pPr>
              <w:rPr>
                <w:rFonts w:ascii="宋体"/>
                <w:vanish/>
              </w:rPr>
            </w:pPr>
          </w:p>
        </w:tc>
        <w:tc>
          <w:tcPr>
            <w:tcW w:w="0" w:type="auto"/>
            <w:gridSpan w:val="3"/>
            <w:shd w:val="clear" w:color="auto" w:fill="auto"/>
            <w:vAlign w:val="bottom"/>
          </w:tcPr>
          <w:p w14:paraId="71D41E41" w14:textId="77777777" w:rsidR="006A3667" w:rsidRDefault="006A3667">
            <w:pPr>
              <w:rPr>
                <w:rFonts w:ascii="宋体"/>
                <w:vanish/>
              </w:rPr>
            </w:pPr>
          </w:p>
        </w:tc>
        <w:tc>
          <w:tcPr>
            <w:tcW w:w="0" w:type="auto"/>
            <w:gridSpan w:val="3"/>
            <w:shd w:val="clear" w:color="auto" w:fill="auto"/>
            <w:vAlign w:val="bottom"/>
          </w:tcPr>
          <w:p w14:paraId="71D41E42" w14:textId="77777777" w:rsidR="006A3667" w:rsidRDefault="006A3667">
            <w:pPr>
              <w:rPr>
                <w:rFonts w:ascii="宋体"/>
                <w:vanish/>
              </w:rPr>
            </w:pPr>
          </w:p>
        </w:tc>
      </w:tr>
      <w:tr w:rsidR="006A3667" w14:paraId="71D41E5A" w14:textId="77777777">
        <w:tc>
          <w:tcPr>
            <w:tcW w:w="0" w:type="auto"/>
            <w:gridSpan w:val="3"/>
            <w:shd w:val="clear" w:color="auto" w:fill="auto"/>
            <w:tcMar>
              <w:top w:w="0" w:type="dxa"/>
              <w:left w:w="20" w:type="dxa"/>
              <w:bottom w:w="0" w:type="dxa"/>
              <w:right w:w="20" w:type="dxa"/>
            </w:tcMar>
            <w:vAlign w:val="bottom"/>
          </w:tcPr>
          <w:p w14:paraId="71D41E44" w14:textId="77777777" w:rsidR="006A3667" w:rsidRDefault="006A366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1D41E45" w14:textId="77777777" w:rsidR="006A3667" w:rsidRDefault="00045F32">
            <w:pPr>
              <w:jc w:val="center"/>
              <w:textAlignment w:val="bottom"/>
            </w:pPr>
            <w:r>
              <w:rPr>
                <w:rFonts w:ascii="Arial" w:eastAsia="宋体" w:hAnsi="Arial" w:cs="Arial"/>
                <w:b/>
                <w:bCs/>
                <w:color w:val="000000"/>
                <w:sz w:val="13"/>
                <w:szCs w:val="13"/>
              </w:rPr>
              <w:t>Three Months Ended September 30,</w:t>
            </w:r>
          </w:p>
        </w:tc>
        <w:tc>
          <w:tcPr>
            <w:tcW w:w="0" w:type="auto"/>
            <w:gridSpan w:val="3"/>
            <w:shd w:val="clear" w:color="auto" w:fill="auto"/>
            <w:vAlign w:val="bottom"/>
          </w:tcPr>
          <w:p w14:paraId="71D41E46" w14:textId="77777777" w:rsidR="006A3667" w:rsidRDefault="006A3667">
            <w:pPr>
              <w:rPr>
                <w:rFonts w:ascii="宋体"/>
                <w:vanish/>
              </w:rPr>
            </w:pPr>
          </w:p>
        </w:tc>
        <w:tc>
          <w:tcPr>
            <w:tcW w:w="0" w:type="auto"/>
            <w:gridSpan w:val="3"/>
            <w:shd w:val="clear" w:color="auto" w:fill="auto"/>
            <w:vAlign w:val="bottom"/>
          </w:tcPr>
          <w:p w14:paraId="71D41E47" w14:textId="77777777" w:rsidR="006A3667" w:rsidRDefault="006A3667">
            <w:pPr>
              <w:rPr>
                <w:rFonts w:ascii="宋体"/>
                <w:vanish/>
              </w:rPr>
            </w:pPr>
          </w:p>
        </w:tc>
        <w:tc>
          <w:tcPr>
            <w:tcW w:w="0" w:type="auto"/>
            <w:shd w:val="clear" w:color="auto" w:fill="auto"/>
            <w:vAlign w:val="bottom"/>
          </w:tcPr>
          <w:p w14:paraId="71D41E48" w14:textId="77777777" w:rsidR="006A3667" w:rsidRDefault="006A3667">
            <w:pPr>
              <w:rPr>
                <w:rFonts w:ascii="宋体"/>
              </w:rPr>
            </w:pPr>
          </w:p>
        </w:tc>
        <w:tc>
          <w:tcPr>
            <w:tcW w:w="0" w:type="auto"/>
            <w:shd w:val="clear" w:color="auto" w:fill="auto"/>
            <w:vAlign w:val="bottom"/>
          </w:tcPr>
          <w:p w14:paraId="71D41E49" w14:textId="77777777" w:rsidR="006A3667" w:rsidRDefault="006A3667">
            <w:pPr>
              <w:rPr>
                <w:rFonts w:ascii="宋体"/>
              </w:rPr>
            </w:pPr>
          </w:p>
        </w:tc>
        <w:tc>
          <w:tcPr>
            <w:tcW w:w="0" w:type="auto"/>
            <w:shd w:val="clear" w:color="auto" w:fill="auto"/>
            <w:vAlign w:val="bottom"/>
          </w:tcPr>
          <w:p w14:paraId="71D41E4A" w14:textId="77777777" w:rsidR="006A3667" w:rsidRDefault="006A3667">
            <w:pPr>
              <w:rPr>
                <w:rFonts w:ascii="宋体"/>
              </w:rPr>
            </w:pPr>
          </w:p>
        </w:tc>
        <w:tc>
          <w:tcPr>
            <w:tcW w:w="0" w:type="auto"/>
            <w:shd w:val="clear" w:color="auto" w:fill="auto"/>
            <w:vAlign w:val="bottom"/>
          </w:tcPr>
          <w:p w14:paraId="71D41E4B" w14:textId="77777777" w:rsidR="006A3667" w:rsidRDefault="006A3667">
            <w:pPr>
              <w:rPr>
                <w:rFonts w:ascii="宋体"/>
              </w:rPr>
            </w:pPr>
          </w:p>
        </w:tc>
        <w:tc>
          <w:tcPr>
            <w:tcW w:w="0" w:type="auto"/>
            <w:shd w:val="clear" w:color="auto" w:fill="auto"/>
            <w:vAlign w:val="bottom"/>
          </w:tcPr>
          <w:p w14:paraId="71D41E4C" w14:textId="77777777" w:rsidR="006A3667" w:rsidRDefault="006A3667">
            <w:pPr>
              <w:rPr>
                <w:rFonts w:ascii="宋体"/>
              </w:rPr>
            </w:pPr>
          </w:p>
        </w:tc>
        <w:tc>
          <w:tcPr>
            <w:tcW w:w="0" w:type="auto"/>
            <w:shd w:val="clear" w:color="auto" w:fill="auto"/>
            <w:vAlign w:val="bottom"/>
          </w:tcPr>
          <w:p w14:paraId="71D41E4D" w14:textId="77777777" w:rsidR="006A3667" w:rsidRDefault="006A3667">
            <w:pPr>
              <w:rPr>
                <w:rFonts w:ascii="宋体"/>
              </w:rPr>
            </w:pPr>
          </w:p>
        </w:tc>
        <w:tc>
          <w:tcPr>
            <w:tcW w:w="0" w:type="auto"/>
            <w:shd w:val="clear" w:color="auto" w:fill="auto"/>
            <w:vAlign w:val="bottom"/>
          </w:tcPr>
          <w:p w14:paraId="71D41E4E" w14:textId="77777777" w:rsidR="006A3667" w:rsidRDefault="006A3667">
            <w:pPr>
              <w:rPr>
                <w:rFonts w:ascii="宋体"/>
              </w:rPr>
            </w:pPr>
          </w:p>
        </w:tc>
        <w:tc>
          <w:tcPr>
            <w:tcW w:w="0" w:type="auto"/>
            <w:shd w:val="clear" w:color="auto" w:fill="auto"/>
            <w:vAlign w:val="bottom"/>
          </w:tcPr>
          <w:p w14:paraId="71D41E4F" w14:textId="77777777" w:rsidR="006A3667" w:rsidRDefault="006A3667">
            <w:pPr>
              <w:rPr>
                <w:rFonts w:ascii="宋体"/>
              </w:rPr>
            </w:pPr>
          </w:p>
        </w:tc>
        <w:tc>
          <w:tcPr>
            <w:tcW w:w="0" w:type="auto"/>
            <w:shd w:val="clear" w:color="auto" w:fill="auto"/>
            <w:vAlign w:val="bottom"/>
          </w:tcPr>
          <w:p w14:paraId="71D41E50" w14:textId="77777777" w:rsidR="006A3667" w:rsidRDefault="006A3667">
            <w:pPr>
              <w:rPr>
                <w:rFonts w:ascii="宋体"/>
              </w:rPr>
            </w:pPr>
          </w:p>
        </w:tc>
        <w:tc>
          <w:tcPr>
            <w:tcW w:w="0" w:type="auto"/>
            <w:shd w:val="clear" w:color="auto" w:fill="auto"/>
            <w:vAlign w:val="bottom"/>
          </w:tcPr>
          <w:p w14:paraId="71D41E51" w14:textId="77777777" w:rsidR="006A3667" w:rsidRDefault="006A3667">
            <w:pPr>
              <w:rPr>
                <w:rFonts w:ascii="宋体"/>
              </w:rPr>
            </w:pPr>
          </w:p>
        </w:tc>
        <w:tc>
          <w:tcPr>
            <w:tcW w:w="0" w:type="auto"/>
            <w:shd w:val="clear" w:color="auto" w:fill="auto"/>
            <w:vAlign w:val="bottom"/>
          </w:tcPr>
          <w:p w14:paraId="71D41E52" w14:textId="77777777" w:rsidR="006A3667" w:rsidRDefault="006A3667">
            <w:pPr>
              <w:rPr>
                <w:rFonts w:ascii="宋体"/>
              </w:rPr>
            </w:pPr>
          </w:p>
        </w:tc>
        <w:tc>
          <w:tcPr>
            <w:tcW w:w="0" w:type="auto"/>
            <w:shd w:val="clear" w:color="auto" w:fill="auto"/>
            <w:vAlign w:val="bottom"/>
          </w:tcPr>
          <w:p w14:paraId="71D41E53" w14:textId="77777777" w:rsidR="006A3667" w:rsidRDefault="006A3667">
            <w:pPr>
              <w:rPr>
                <w:rFonts w:ascii="宋体"/>
              </w:rPr>
            </w:pPr>
          </w:p>
        </w:tc>
        <w:tc>
          <w:tcPr>
            <w:tcW w:w="0" w:type="auto"/>
            <w:shd w:val="clear" w:color="auto" w:fill="auto"/>
            <w:vAlign w:val="bottom"/>
          </w:tcPr>
          <w:p w14:paraId="71D41E54" w14:textId="77777777" w:rsidR="006A3667" w:rsidRDefault="006A3667">
            <w:pPr>
              <w:rPr>
                <w:rFonts w:ascii="宋体"/>
              </w:rPr>
            </w:pPr>
          </w:p>
        </w:tc>
        <w:tc>
          <w:tcPr>
            <w:tcW w:w="0" w:type="auto"/>
            <w:shd w:val="clear" w:color="auto" w:fill="auto"/>
            <w:vAlign w:val="bottom"/>
          </w:tcPr>
          <w:p w14:paraId="71D41E55" w14:textId="77777777" w:rsidR="006A3667" w:rsidRDefault="006A3667">
            <w:pPr>
              <w:rPr>
                <w:rFonts w:ascii="宋体"/>
              </w:rPr>
            </w:pPr>
          </w:p>
        </w:tc>
        <w:tc>
          <w:tcPr>
            <w:tcW w:w="0" w:type="auto"/>
            <w:shd w:val="clear" w:color="auto" w:fill="auto"/>
            <w:vAlign w:val="bottom"/>
          </w:tcPr>
          <w:p w14:paraId="71D41E56" w14:textId="77777777" w:rsidR="006A3667" w:rsidRDefault="006A3667">
            <w:pPr>
              <w:rPr>
                <w:rFonts w:ascii="宋体"/>
              </w:rPr>
            </w:pPr>
          </w:p>
        </w:tc>
        <w:tc>
          <w:tcPr>
            <w:tcW w:w="0" w:type="auto"/>
            <w:shd w:val="clear" w:color="auto" w:fill="auto"/>
            <w:vAlign w:val="bottom"/>
          </w:tcPr>
          <w:p w14:paraId="71D41E57" w14:textId="77777777" w:rsidR="006A3667" w:rsidRDefault="006A3667">
            <w:pPr>
              <w:rPr>
                <w:rFonts w:ascii="宋体"/>
              </w:rPr>
            </w:pPr>
          </w:p>
        </w:tc>
        <w:tc>
          <w:tcPr>
            <w:tcW w:w="0" w:type="auto"/>
            <w:shd w:val="clear" w:color="auto" w:fill="auto"/>
            <w:vAlign w:val="bottom"/>
          </w:tcPr>
          <w:p w14:paraId="71D41E58" w14:textId="77777777" w:rsidR="006A3667" w:rsidRDefault="006A3667">
            <w:pPr>
              <w:rPr>
                <w:rFonts w:ascii="宋体"/>
              </w:rPr>
            </w:pPr>
          </w:p>
        </w:tc>
        <w:tc>
          <w:tcPr>
            <w:tcW w:w="0" w:type="auto"/>
            <w:shd w:val="clear" w:color="auto" w:fill="auto"/>
            <w:vAlign w:val="bottom"/>
          </w:tcPr>
          <w:p w14:paraId="71D41E59" w14:textId="77777777" w:rsidR="006A3667" w:rsidRDefault="006A3667">
            <w:pPr>
              <w:rPr>
                <w:rFonts w:ascii="宋体"/>
              </w:rPr>
            </w:pPr>
          </w:p>
        </w:tc>
      </w:tr>
      <w:tr w:rsidR="006A3667" w14:paraId="71D41E67" w14:textId="77777777">
        <w:tc>
          <w:tcPr>
            <w:tcW w:w="0" w:type="auto"/>
            <w:gridSpan w:val="3"/>
            <w:shd w:val="clear" w:color="auto" w:fill="auto"/>
            <w:tcMar>
              <w:top w:w="0" w:type="dxa"/>
              <w:left w:w="20" w:type="dxa"/>
              <w:bottom w:w="0" w:type="dxa"/>
              <w:right w:w="20" w:type="dxa"/>
            </w:tcMar>
            <w:vAlign w:val="bottom"/>
          </w:tcPr>
          <w:p w14:paraId="71D41E5B"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1E5C"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E5D"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1E5E"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71D41E5F" w14:textId="77777777" w:rsidR="006A3667" w:rsidRDefault="006A3667">
            <w:pPr>
              <w:rPr>
                <w:rFonts w:ascii="宋体"/>
                <w:vanish/>
              </w:rPr>
            </w:pPr>
          </w:p>
        </w:tc>
        <w:tc>
          <w:tcPr>
            <w:tcW w:w="0" w:type="auto"/>
            <w:gridSpan w:val="3"/>
            <w:shd w:val="clear" w:color="auto" w:fill="auto"/>
            <w:vAlign w:val="bottom"/>
          </w:tcPr>
          <w:p w14:paraId="71D41E60" w14:textId="77777777" w:rsidR="006A3667" w:rsidRDefault="006A3667">
            <w:pPr>
              <w:rPr>
                <w:rFonts w:ascii="宋体"/>
                <w:vanish/>
              </w:rPr>
            </w:pPr>
          </w:p>
        </w:tc>
        <w:tc>
          <w:tcPr>
            <w:tcW w:w="0" w:type="auto"/>
            <w:gridSpan w:val="3"/>
            <w:shd w:val="clear" w:color="auto" w:fill="auto"/>
            <w:vAlign w:val="bottom"/>
          </w:tcPr>
          <w:p w14:paraId="71D41E61" w14:textId="77777777" w:rsidR="006A3667" w:rsidRDefault="006A3667">
            <w:pPr>
              <w:rPr>
                <w:rFonts w:ascii="宋体"/>
                <w:vanish/>
              </w:rPr>
            </w:pPr>
          </w:p>
        </w:tc>
        <w:tc>
          <w:tcPr>
            <w:tcW w:w="0" w:type="auto"/>
            <w:gridSpan w:val="3"/>
            <w:shd w:val="clear" w:color="auto" w:fill="auto"/>
            <w:vAlign w:val="bottom"/>
          </w:tcPr>
          <w:p w14:paraId="71D41E62" w14:textId="77777777" w:rsidR="006A3667" w:rsidRDefault="006A3667">
            <w:pPr>
              <w:rPr>
                <w:rFonts w:ascii="宋体"/>
                <w:vanish/>
              </w:rPr>
            </w:pPr>
          </w:p>
        </w:tc>
        <w:tc>
          <w:tcPr>
            <w:tcW w:w="0" w:type="auto"/>
            <w:gridSpan w:val="3"/>
            <w:shd w:val="clear" w:color="auto" w:fill="auto"/>
            <w:vAlign w:val="bottom"/>
          </w:tcPr>
          <w:p w14:paraId="71D41E63" w14:textId="77777777" w:rsidR="006A3667" w:rsidRDefault="006A3667">
            <w:pPr>
              <w:rPr>
                <w:rFonts w:ascii="宋体"/>
                <w:vanish/>
              </w:rPr>
            </w:pPr>
          </w:p>
        </w:tc>
        <w:tc>
          <w:tcPr>
            <w:tcW w:w="0" w:type="auto"/>
            <w:gridSpan w:val="3"/>
            <w:shd w:val="clear" w:color="auto" w:fill="auto"/>
            <w:vAlign w:val="bottom"/>
          </w:tcPr>
          <w:p w14:paraId="71D41E64" w14:textId="77777777" w:rsidR="006A3667" w:rsidRDefault="006A3667">
            <w:pPr>
              <w:rPr>
                <w:rFonts w:ascii="宋体"/>
                <w:vanish/>
              </w:rPr>
            </w:pPr>
          </w:p>
        </w:tc>
        <w:tc>
          <w:tcPr>
            <w:tcW w:w="0" w:type="auto"/>
            <w:gridSpan w:val="3"/>
            <w:shd w:val="clear" w:color="auto" w:fill="auto"/>
            <w:vAlign w:val="bottom"/>
          </w:tcPr>
          <w:p w14:paraId="71D41E65" w14:textId="77777777" w:rsidR="006A3667" w:rsidRDefault="006A3667">
            <w:pPr>
              <w:rPr>
                <w:rFonts w:ascii="宋体"/>
                <w:vanish/>
              </w:rPr>
            </w:pPr>
          </w:p>
        </w:tc>
        <w:tc>
          <w:tcPr>
            <w:tcW w:w="0" w:type="auto"/>
            <w:gridSpan w:val="3"/>
            <w:shd w:val="clear" w:color="auto" w:fill="auto"/>
            <w:vAlign w:val="bottom"/>
          </w:tcPr>
          <w:p w14:paraId="71D41E66" w14:textId="77777777" w:rsidR="006A3667" w:rsidRDefault="006A3667">
            <w:pPr>
              <w:rPr>
                <w:rFonts w:ascii="宋体"/>
                <w:vanish/>
              </w:rPr>
            </w:pPr>
          </w:p>
        </w:tc>
      </w:tr>
      <w:tr w:rsidR="006A3667" w14:paraId="71D41E78" w14:textId="77777777">
        <w:tc>
          <w:tcPr>
            <w:tcW w:w="0" w:type="auto"/>
            <w:gridSpan w:val="3"/>
            <w:shd w:val="clear" w:color="auto" w:fill="auto"/>
            <w:tcMar>
              <w:top w:w="0" w:type="dxa"/>
              <w:left w:w="20" w:type="dxa"/>
              <w:bottom w:w="0" w:type="dxa"/>
              <w:right w:w="20" w:type="dxa"/>
            </w:tcMar>
            <w:vAlign w:val="bottom"/>
          </w:tcPr>
          <w:p w14:paraId="71D41E6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E69" w14:textId="77777777" w:rsidR="006A3667" w:rsidRDefault="00045F32">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E6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E6B" w14:textId="77777777" w:rsidR="006A3667" w:rsidRDefault="00045F32">
            <w:pPr>
              <w:jc w:val="center"/>
              <w:textAlignment w:val="bottom"/>
            </w:pPr>
            <w:r>
              <w:rPr>
                <w:rFonts w:ascii="Arial" w:eastAsia="宋体" w:hAnsi="Arial" w:cs="Arial"/>
                <w:b/>
                <w:bCs/>
                <w:color w:val="000000"/>
                <w:sz w:val="13"/>
                <w:szCs w:val="13"/>
              </w:rPr>
              <w:t xml:space="preserve">Total (In </w:t>
            </w:r>
            <w:r>
              <w:rPr>
                <w:rFonts w:ascii="Arial" w:eastAsia="宋体" w:hAnsi="Arial" w:cs="Arial"/>
                <w:b/>
                <w:bCs/>
                <w:color w:val="000000"/>
                <w:sz w:val="13"/>
                <w:szCs w:val="13"/>
              </w:rPr>
              <w:t>millions)</w:t>
            </w:r>
          </w:p>
        </w:tc>
        <w:tc>
          <w:tcPr>
            <w:tcW w:w="0" w:type="auto"/>
            <w:gridSpan w:val="3"/>
            <w:shd w:val="clear" w:color="auto" w:fill="auto"/>
            <w:tcMar>
              <w:top w:w="0" w:type="dxa"/>
              <w:left w:w="20" w:type="dxa"/>
              <w:bottom w:w="0" w:type="dxa"/>
              <w:right w:w="20" w:type="dxa"/>
            </w:tcMar>
            <w:vAlign w:val="bottom"/>
          </w:tcPr>
          <w:p w14:paraId="71D41E6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E6D" w14:textId="77777777" w:rsidR="006A3667" w:rsidRDefault="00045F32">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E6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E6F" w14:textId="77777777" w:rsidR="006A3667" w:rsidRDefault="00045F32">
            <w:pPr>
              <w:jc w:val="center"/>
              <w:textAlignment w:val="bottom"/>
            </w:pPr>
            <w:r>
              <w:rPr>
                <w:rFonts w:ascii="Arial" w:eastAsia="宋体" w:hAnsi="Arial" w:cs="Arial"/>
                <w:b/>
                <w:bCs/>
                <w:color w:val="000000"/>
                <w:sz w:val="13"/>
                <w:szCs w:val="13"/>
              </w:rPr>
              <w:t>Total (In millions)</w:t>
            </w:r>
          </w:p>
        </w:tc>
        <w:tc>
          <w:tcPr>
            <w:tcW w:w="0" w:type="auto"/>
            <w:gridSpan w:val="3"/>
            <w:shd w:val="clear" w:color="auto" w:fill="auto"/>
            <w:vAlign w:val="bottom"/>
          </w:tcPr>
          <w:p w14:paraId="71D41E70" w14:textId="77777777" w:rsidR="006A3667" w:rsidRDefault="006A3667">
            <w:pPr>
              <w:rPr>
                <w:rFonts w:ascii="宋体"/>
                <w:vanish/>
              </w:rPr>
            </w:pPr>
          </w:p>
        </w:tc>
        <w:tc>
          <w:tcPr>
            <w:tcW w:w="0" w:type="auto"/>
            <w:gridSpan w:val="3"/>
            <w:shd w:val="clear" w:color="auto" w:fill="auto"/>
            <w:vAlign w:val="bottom"/>
          </w:tcPr>
          <w:p w14:paraId="71D41E71" w14:textId="77777777" w:rsidR="006A3667" w:rsidRDefault="006A3667">
            <w:pPr>
              <w:rPr>
                <w:rFonts w:ascii="宋体"/>
                <w:vanish/>
              </w:rPr>
            </w:pPr>
          </w:p>
        </w:tc>
        <w:tc>
          <w:tcPr>
            <w:tcW w:w="0" w:type="auto"/>
            <w:gridSpan w:val="3"/>
            <w:shd w:val="clear" w:color="auto" w:fill="auto"/>
            <w:vAlign w:val="bottom"/>
          </w:tcPr>
          <w:p w14:paraId="71D41E72" w14:textId="77777777" w:rsidR="006A3667" w:rsidRDefault="006A3667">
            <w:pPr>
              <w:rPr>
                <w:rFonts w:ascii="宋体"/>
                <w:vanish/>
              </w:rPr>
            </w:pPr>
          </w:p>
        </w:tc>
        <w:tc>
          <w:tcPr>
            <w:tcW w:w="0" w:type="auto"/>
            <w:gridSpan w:val="3"/>
            <w:shd w:val="clear" w:color="auto" w:fill="auto"/>
            <w:vAlign w:val="bottom"/>
          </w:tcPr>
          <w:p w14:paraId="71D41E73" w14:textId="77777777" w:rsidR="006A3667" w:rsidRDefault="006A3667">
            <w:pPr>
              <w:rPr>
                <w:rFonts w:ascii="宋体"/>
                <w:vanish/>
              </w:rPr>
            </w:pPr>
          </w:p>
        </w:tc>
        <w:tc>
          <w:tcPr>
            <w:tcW w:w="0" w:type="auto"/>
            <w:gridSpan w:val="3"/>
            <w:shd w:val="clear" w:color="auto" w:fill="auto"/>
            <w:vAlign w:val="bottom"/>
          </w:tcPr>
          <w:p w14:paraId="71D41E74" w14:textId="77777777" w:rsidR="006A3667" w:rsidRDefault="006A3667">
            <w:pPr>
              <w:rPr>
                <w:rFonts w:ascii="宋体"/>
                <w:vanish/>
              </w:rPr>
            </w:pPr>
          </w:p>
        </w:tc>
        <w:tc>
          <w:tcPr>
            <w:tcW w:w="0" w:type="auto"/>
            <w:gridSpan w:val="3"/>
            <w:shd w:val="clear" w:color="auto" w:fill="auto"/>
            <w:vAlign w:val="bottom"/>
          </w:tcPr>
          <w:p w14:paraId="71D41E75" w14:textId="77777777" w:rsidR="006A3667" w:rsidRDefault="006A3667">
            <w:pPr>
              <w:rPr>
                <w:rFonts w:ascii="宋体"/>
                <w:vanish/>
              </w:rPr>
            </w:pPr>
          </w:p>
        </w:tc>
        <w:tc>
          <w:tcPr>
            <w:tcW w:w="0" w:type="auto"/>
            <w:gridSpan w:val="3"/>
            <w:shd w:val="clear" w:color="auto" w:fill="auto"/>
            <w:vAlign w:val="bottom"/>
          </w:tcPr>
          <w:p w14:paraId="71D41E76" w14:textId="77777777" w:rsidR="006A3667" w:rsidRDefault="006A3667">
            <w:pPr>
              <w:rPr>
                <w:rFonts w:ascii="宋体"/>
                <w:vanish/>
              </w:rPr>
            </w:pPr>
          </w:p>
        </w:tc>
        <w:tc>
          <w:tcPr>
            <w:tcW w:w="0" w:type="auto"/>
            <w:gridSpan w:val="3"/>
            <w:shd w:val="clear" w:color="auto" w:fill="auto"/>
            <w:vAlign w:val="bottom"/>
          </w:tcPr>
          <w:p w14:paraId="71D41E77" w14:textId="77777777" w:rsidR="006A3667" w:rsidRDefault="006A3667">
            <w:pPr>
              <w:rPr>
                <w:rFonts w:ascii="宋体"/>
                <w:vanish/>
              </w:rPr>
            </w:pPr>
          </w:p>
        </w:tc>
      </w:tr>
      <w:tr w:rsidR="006A3667" w14:paraId="71D41E99" w14:textId="77777777">
        <w:trPr>
          <w:hidden/>
        </w:trPr>
        <w:tc>
          <w:tcPr>
            <w:tcW w:w="0" w:type="auto"/>
            <w:gridSpan w:val="3"/>
            <w:shd w:val="clear" w:color="auto" w:fill="auto"/>
            <w:vAlign w:val="bottom"/>
          </w:tcPr>
          <w:p w14:paraId="71D41E79" w14:textId="77777777" w:rsidR="006A3667" w:rsidRDefault="006A3667">
            <w:pPr>
              <w:rPr>
                <w:rFonts w:ascii="宋体"/>
                <w:vanish/>
              </w:rPr>
            </w:pPr>
          </w:p>
        </w:tc>
        <w:tc>
          <w:tcPr>
            <w:tcW w:w="0" w:type="auto"/>
            <w:gridSpan w:val="3"/>
            <w:shd w:val="clear" w:color="auto" w:fill="auto"/>
            <w:vAlign w:val="bottom"/>
          </w:tcPr>
          <w:p w14:paraId="71D41E7A" w14:textId="77777777" w:rsidR="006A3667" w:rsidRDefault="006A3667">
            <w:pPr>
              <w:rPr>
                <w:rFonts w:ascii="宋体"/>
                <w:vanish/>
              </w:rPr>
            </w:pPr>
          </w:p>
        </w:tc>
        <w:tc>
          <w:tcPr>
            <w:tcW w:w="0" w:type="auto"/>
            <w:gridSpan w:val="3"/>
            <w:shd w:val="clear" w:color="auto" w:fill="auto"/>
            <w:vAlign w:val="bottom"/>
          </w:tcPr>
          <w:p w14:paraId="71D41E7B" w14:textId="77777777" w:rsidR="006A3667" w:rsidRDefault="006A3667">
            <w:pPr>
              <w:rPr>
                <w:rFonts w:ascii="宋体"/>
                <w:vanish/>
              </w:rPr>
            </w:pPr>
          </w:p>
        </w:tc>
        <w:tc>
          <w:tcPr>
            <w:tcW w:w="0" w:type="auto"/>
            <w:gridSpan w:val="3"/>
            <w:shd w:val="clear" w:color="auto" w:fill="auto"/>
            <w:vAlign w:val="bottom"/>
          </w:tcPr>
          <w:p w14:paraId="71D41E7C" w14:textId="77777777" w:rsidR="006A3667" w:rsidRDefault="006A3667">
            <w:pPr>
              <w:rPr>
                <w:rFonts w:ascii="宋体"/>
                <w:vanish/>
              </w:rPr>
            </w:pPr>
          </w:p>
        </w:tc>
        <w:tc>
          <w:tcPr>
            <w:tcW w:w="0" w:type="auto"/>
            <w:gridSpan w:val="3"/>
            <w:shd w:val="clear" w:color="auto" w:fill="auto"/>
            <w:vAlign w:val="bottom"/>
          </w:tcPr>
          <w:p w14:paraId="71D41E7D" w14:textId="77777777" w:rsidR="006A3667" w:rsidRDefault="006A3667">
            <w:pPr>
              <w:rPr>
                <w:rFonts w:ascii="宋体"/>
                <w:vanish/>
              </w:rPr>
            </w:pPr>
          </w:p>
        </w:tc>
        <w:tc>
          <w:tcPr>
            <w:tcW w:w="0" w:type="auto"/>
            <w:gridSpan w:val="3"/>
            <w:shd w:val="clear" w:color="auto" w:fill="auto"/>
            <w:vAlign w:val="bottom"/>
          </w:tcPr>
          <w:p w14:paraId="71D41E7E" w14:textId="77777777" w:rsidR="006A3667" w:rsidRDefault="006A3667">
            <w:pPr>
              <w:rPr>
                <w:rFonts w:ascii="宋体"/>
                <w:vanish/>
              </w:rPr>
            </w:pPr>
          </w:p>
        </w:tc>
        <w:tc>
          <w:tcPr>
            <w:tcW w:w="0" w:type="auto"/>
            <w:gridSpan w:val="3"/>
            <w:shd w:val="clear" w:color="auto" w:fill="auto"/>
            <w:vAlign w:val="bottom"/>
          </w:tcPr>
          <w:p w14:paraId="71D41E7F" w14:textId="77777777" w:rsidR="006A3667" w:rsidRDefault="006A3667">
            <w:pPr>
              <w:rPr>
                <w:rFonts w:ascii="宋体"/>
                <w:vanish/>
              </w:rPr>
            </w:pPr>
          </w:p>
        </w:tc>
        <w:tc>
          <w:tcPr>
            <w:tcW w:w="0" w:type="auto"/>
            <w:gridSpan w:val="3"/>
            <w:shd w:val="clear" w:color="auto" w:fill="auto"/>
            <w:vAlign w:val="bottom"/>
          </w:tcPr>
          <w:p w14:paraId="71D41E80" w14:textId="77777777" w:rsidR="006A3667" w:rsidRDefault="006A3667">
            <w:pPr>
              <w:rPr>
                <w:rFonts w:ascii="宋体"/>
                <w:vanish/>
              </w:rPr>
            </w:pPr>
          </w:p>
        </w:tc>
        <w:tc>
          <w:tcPr>
            <w:tcW w:w="0" w:type="auto"/>
            <w:shd w:val="clear" w:color="auto" w:fill="auto"/>
            <w:vAlign w:val="bottom"/>
          </w:tcPr>
          <w:p w14:paraId="71D41E81" w14:textId="77777777" w:rsidR="006A3667" w:rsidRDefault="006A3667">
            <w:pPr>
              <w:rPr>
                <w:rFonts w:ascii="宋体"/>
              </w:rPr>
            </w:pPr>
          </w:p>
        </w:tc>
        <w:tc>
          <w:tcPr>
            <w:tcW w:w="0" w:type="auto"/>
            <w:shd w:val="clear" w:color="auto" w:fill="auto"/>
            <w:vAlign w:val="bottom"/>
          </w:tcPr>
          <w:p w14:paraId="71D41E82" w14:textId="77777777" w:rsidR="006A3667" w:rsidRDefault="006A3667">
            <w:pPr>
              <w:rPr>
                <w:rFonts w:ascii="宋体"/>
              </w:rPr>
            </w:pPr>
          </w:p>
        </w:tc>
        <w:tc>
          <w:tcPr>
            <w:tcW w:w="0" w:type="auto"/>
            <w:shd w:val="clear" w:color="auto" w:fill="auto"/>
            <w:vAlign w:val="bottom"/>
          </w:tcPr>
          <w:p w14:paraId="71D41E83" w14:textId="77777777" w:rsidR="006A3667" w:rsidRDefault="006A3667">
            <w:pPr>
              <w:rPr>
                <w:rFonts w:ascii="宋体"/>
              </w:rPr>
            </w:pPr>
          </w:p>
        </w:tc>
        <w:tc>
          <w:tcPr>
            <w:tcW w:w="0" w:type="auto"/>
            <w:shd w:val="clear" w:color="auto" w:fill="auto"/>
            <w:vAlign w:val="bottom"/>
          </w:tcPr>
          <w:p w14:paraId="71D41E84" w14:textId="77777777" w:rsidR="006A3667" w:rsidRDefault="006A3667">
            <w:pPr>
              <w:rPr>
                <w:rFonts w:ascii="宋体"/>
              </w:rPr>
            </w:pPr>
          </w:p>
        </w:tc>
        <w:tc>
          <w:tcPr>
            <w:tcW w:w="0" w:type="auto"/>
            <w:shd w:val="clear" w:color="auto" w:fill="auto"/>
            <w:vAlign w:val="bottom"/>
          </w:tcPr>
          <w:p w14:paraId="71D41E85" w14:textId="77777777" w:rsidR="006A3667" w:rsidRDefault="006A3667">
            <w:pPr>
              <w:rPr>
                <w:rFonts w:ascii="宋体"/>
              </w:rPr>
            </w:pPr>
          </w:p>
        </w:tc>
        <w:tc>
          <w:tcPr>
            <w:tcW w:w="0" w:type="auto"/>
            <w:shd w:val="clear" w:color="auto" w:fill="auto"/>
            <w:vAlign w:val="bottom"/>
          </w:tcPr>
          <w:p w14:paraId="71D41E86" w14:textId="77777777" w:rsidR="006A3667" w:rsidRDefault="006A3667">
            <w:pPr>
              <w:rPr>
                <w:rFonts w:ascii="宋体"/>
              </w:rPr>
            </w:pPr>
          </w:p>
        </w:tc>
        <w:tc>
          <w:tcPr>
            <w:tcW w:w="0" w:type="auto"/>
            <w:shd w:val="clear" w:color="auto" w:fill="auto"/>
            <w:vAlign w:val="bottom"/>
          </w:tcPr>
          <w:p w14:paraId="71D41E87" w14:textId="77777777" w:rsidR="006A3667" w:rsidRDefault="006A3667">
            <w:pPr>
              <w:rPr>
                <w:rFonts w:ascii="宋体"/>
              </w:rPr>
            </w:pPr>
          </w:p>
        </w:tc>
        <w:tc>
          <w:tcPr>
            <w:tcW w:w="0" w:type="auto"/>
            <w:shd w:val="clear" w:color="auto" w:fill="auto"/>
            <w:vAlign w:val="bottom"/>
          </w:tcPr>
          <w:p w14:paraId="71D41E88" w14:textId="77777777" w:rsidR="006A3667" w:rsidRDefault="006A3667">
            <w:pPr>
              <w:rPr>
                <w:rFonts w:ascii="宋体"/>
              </w:rPr>
            </w:pPr>
          </w:p>
        </w:tc>
        <w:tc>
          <w:tcPr>
            <w:tcW w:w="0" w:type="auto"/>
            <w:shd w:val="clear" w:color="auto" w:fill="auto"/>
            <w:vAlign w:val="bottom"/>
          </w:tcPr>
          <w:p w14:paraId="71D41E89" w14:textId="77777777" w:rsidR="006A3667" w:rsidRDefault="006A3667">
            <w:pPr>
              <w:rPr>
                <w:rFonts w:ascii="宋体"/>
              </w:rPr>
            </w:pPr>
          </w:p>
        </w:tc>
        <w:tc>
          <w:tcPr>
            <w:tcW w:w="0" w:type="auto"/>
            <w:shd w:val="clear" w:color="auto" w:fill="auto"/>
            <w:vAlign w:val="bottom"/>
          </w:tcPr>
          <w:p w14:paraId="71D41E8A" w14:textId="77777777" w:rsidR="006A3667" w:rsidRDefault="006A3667">
            <w:pPr>
              <w:rPr>
                <w:rFonts w:ascii="宋体"/>
              </w:rPr>
            </w:pPr>
          </w:p>
        </w:tc>
        <w:tc>
          <w:tcPr>
            <w:tcW w:w="0" w:type="auto"/>
            <w:shd w:val="clear" w:color="auto" w:fill="auto"/>
            <w:vAlign w:val="bottom"/>
          </w:tcPr>
          <w:p w14:paraId="71D41E8B" w14:textId="77777777" w:rsidR="006A3667" w:rsidRDefault="006A3667">
            <w:pPr>
              <w:rPr>
                <w:rFonts w:ascii="宋体"/>
              </w:rPr>
            </w:pPr>
          </w:p>
        </w:tc>
        <w:tc>
          <w:tcPr>
            <w:tcW w:w="0" w:type="auto"/>
            <w:shd w:val="clear" w:color="auto" w:fill="auto"/>
            <w:vAlign w:val="bottom"/>
          </w:tcPr>
          <w:p w14:paraId="71D41E8C" w14:textId="77777777" w:rsidR="006A3667" w:rsidRDefault="006A3667">
            <w:pPr>
              <w:rPr>
                <w:rFonts w:ascii="宋体"/>
              </w:rPr>
            </w:pPr>
          </w:p>
        </w:tc>
        <w:tc>
          <w:tcPr>
            <w:tcW w:w="0" w:type="auto"/>
            <w:shd w:val="clear" w:color="auto" w:fill="auto"/>
            <w:vAlign w:val="bottom"/>
          </w:tcPr>
          <w:p w14:paraId="71D41E8D" w14:textId="77777777" w:rsidR="006A3667" w:rsidRDefault="006A3667">
            <w:pPr>
              <w:rPr>
                <w:rFonts w:ascii="宋体"/>
              </w:rPr>
            </w:pPr>
          </w:p>
        </w:tc>
        <w:tc>
          <w:tcPr>
            <w:tcW w:w="0" w:type="auto"/>
            <w:shd w:val="clear" w:color="auto" w:fill="auto"/>
            <w:vAlign w:val="bottom"/>
          </w:tcPr>
          <w:p w14:paraId="71D41E8E" w14:textId="77777777" w:rsidR="006A3667" w:rsidRDefault="006A3667">
            <w:pPr>
              <w:rPr>
                <w:rFonts w:ascii="宋体"/>
              </w:rPr>
            </w:pPr>
          </w:p>
        </w:tc>
        <w:tc>
          <w:tcPr>
            <w:tcW w:w="0" w:type="auto"/>
            <w:shd w:val="clear" w:color="auto" w:fill="auto"/>
            <w:vAlign w:val="bottom"/>
          </w:tcPr>
          <w:p w14:paraId="71D41E8F" w14:textId="77777777" w:rsidR="006A3667" w:rsidRDefault="006A3667">
            <w:pPr>
              <w:rPr>
                <w:rFonts w:ascii="宋体"/>
              </w:rPr>
            </w:pPr>
          </w:p>
        </w:tc>
        <w:tc>
          <w:tcPr>
            <w:tcW w:w="0" w:type="auto"/>
            <w:shd w:val="clear" w:color="auto" w:fill="auto"/>
            <w:vAlign w:val="bottom"/>
          </w:tcPr>
          <w:p w14:paraId="71D41E90" w14:textId="77777777" w:rsidR="006A3667" w:rsidRDefault="006A3667">
            <w:pPr>
              <w:rPr>
                <w:rFonts w:ascii="宋体"/>
              </w:rPr>
            </w:pPr>
          </w:p>
        </w:tc>
        <w:tc>
          <w:tcPr>
            <w:tcW w:w="0" w:type="auto"/>
            <w:shd w:val="clear" w:color="auto" w:fill="auto"/>
            <w:vAlign w:val="bottom"/>
          </w:tcPr>
          <w:p w14:paraId="71D41E91" w14:textId="77777777" w:rsidR="006A3667" w:rsidRDefault="006A3667">
            <w:pPr>
              <w:rPr>
                <w:rFonts w:ascii="宋体"/>
              </w:rPr>
            </w:pPr>
          </w:p>
        </w:tc>
        <w:tc>
          <w:tcPr>
            <w:tcW w:w="0" w:type="auto"/>
            <w:shd w:val="clear" w:color="auto" w:fill="auto"/>
            <w:vAlign w:val="bottom"/>
          </w:tcPr>
          <w:p w14:paraId="71D41E92" w14:textId="77777777" w:rsidR="006A3667" w:rsidRDefault="006A3667">
            <w:pPr>
              <w:rPr>
                <w:rFonts w:ascii="宋体"/>
              </w:rPr>
            </w:pPr>
          </w:p>
        </w:tc>
        <w:tc>
          <w:tcPr>
            <w:tcW w:w="0" w:type="auto"/>
            <w:shd w:val="clear" w:color="auto" w:fill="auto"/>
            <w:vAlign w:val="bottom"/>
          </w:tcPr>
          <w:p w14:paraId="71D41E93" w14:textId="77777777" w:rsidR="006A3667" w:rsidRDefault="006A3667">
            <w:pPr>
              <w:rPr>
                <w:rFonts w:ascii="宋体"/>
              </w:rPr>
            </w:pPr>
          </w:p>
        </w:tc>
        <w:tc>
          <w:tcPr>
            <w:tcW w:w="0" w:type="auto"/>
            <w:shd w:val="clear" w:color="auto" w:fill="auto"/>
            <w:vAlign w:val="bottom"/>
          </w:tcPr>
          <w:p w14:paraId="71D41E94" w14:textId="77777777" w:rsidR="006A3667" w:rsidRDefault="006A3667">
            <w:pPr>
              <w:rPr>
                <w:rFonts w:ascii="宋体"/>
              </w:rPr>
            </w:pPr>
          </w:p>
        </w:tc>
        <w:tc>
          <w:tcPr>
            <w:tcW w:w="0" w:type="auto"/>
            <w:shd w:val="clear" w:color="auto" w:fill="auto"/>
            <w:vAlign w:val="bottom"/>
          </w:tcPr>
          <w:p w14:paraId="71D41E95" w14:textId="77777777" w:rsidR="006A3667" w:rsidRDefault="006A3667">
            <w:pPr>
              <w:rPr>
                <w:rFonts w:ascii="宋体"/>
              </w:rPr>
            </w:pPr>
          </w:p>
        </w:tc>
        <w:tc>
          <w:tcPr>
            <w:tcW w:w="0" w:type="auto"/>
            <w:shd w:val="clear" w:color="auto" w:fill="auto"/>
            <w:vAlign w:val="bottom"/>
          </w:tcPr>
          <w:p w14:paraId="71D41E96" w14:textId="77777777" w:rsidR="006A3667" w:rsidRDefault="006A3667">
            <w:pPr>
              <w:rPr>
                <w:rFonts w:ascii="宋体"/>
              </w:rPr>
            </w:pPr>
          </w:p>
        </w:tc>
        <w:tc>
          <w:tcPr>
            <w:tcW w:w="0" w:type="auto"/>
            <w:shd w:val="clear" w:color="auto" w:fill="auto"/>
            <w:vAlign w:val="bottom"/>
          </w:tcPr>
          <w:p w14:paraId="71D41E97" w14:textId="77777777" w:rsidR="006A3667" w:rsidRDefault="006A3667">
            <w:pPr>
              <w:rPr>
                <w:rFonts w:ascii="宋体"/>
              </w:rPr>
            </w:pPr>
          </w:p>
        </w:tc>
        <w:tc>
          <w:tcPr>
            <w:tcW w:w="0" w:type="auto"/>
            <w:shd w:val="clear" w:color="auto" w:fill="auto"/>
            <w:vAlign w:val="bottom"/>
          </w:tcPr>
          <w:p w14:paraId="71D41E98" w14:textId="77777777" w:rsidR="006A3667" w:rsidRDefault="006A3667">
            <w:pPr>
              <w:rPr>
                <w:rFonts w:ascii="宋体"/>
              </w:rPr>
            </w:pPr>
          </w:p>
        </w:tc>
      </w:tr>
      <w:tr w:rsidR="006A3667" w14:paraId="71D41EB2" w14:textId="77777777">
        <w:tc>
          <w:tcPr>
            <w:tcW w:w="0" w:type="auto"/>
            <w:gridSpan w:val="3"/>
            <w:shd w:val="clear" w:color="auto" w:fill="CCEEFF"/>
            <w:tcMar>
              <w:top w:w="40" w:type="dxa"/>
              <w:left w:w="20" w:type="dxa"/>
              <w:bottom w:w="40" w:type="dxa"/>
              <w:right w:w="20" w:type="dxa"/>
            </w:tcMar>
            <w:vAlign w:val="bottom"/>
          </w:tcPr>
          <w:p w14:paraId="71D41E9A" w14:textId="77777777" w:rsidR="006A3667" w:rsidRDefault="00045F32">
            <w:pPr>
              <w:textAlignment w:val="bottom"/>
            </w:pPr>
            <w:r>
              <w:rPr>
                <w:rFonts w:ascii="Arial" w:eastAsia="宋体" w:hAnsi="Arial" w:cs="Arial"/>
                <w:color w:val="000000"/>
                <w:sz w:val="13"/>
                <w:szCs w:val="13"/>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1E9B"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E9C" w14:textId="77777777" w:rsidR="006A3667" w:rsidRDefault="00045F32">
            <w:pPr>
              <w:jc w:val="right"/>
              <w:textAlignment w:val="bottom"/>
            </w:pPr>
            <w:r>
              <w:rPr>
                <w:rFonts w:ascii="Arial" w:eastAsia="宋体" w:hAnsi="Arial" w:cs="Arial"/>
                <w:b/>
                <w:bCs/>
                <w:color w:val="000000"/>
                <w:sz w:val="13"/>
                <w:szCs w:val="13"/>
              </w:rPr>
              <w:t>0.63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E9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E9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E9F"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EA0" w14:textId="77777777" w:rsidR="006A3667" w:rsidRDefault="00045F32">
            <w:pPr>
              <w:jc w:val="right"/>
              <w:textAlignment w:val="bottom"/>
            </w:pPr>
            <w:r>
              <w:rPr>
                <w:rFonts w:ascii="Arial" w:eastAsia="宋体" w:hAnsi="Arial" w:cs="Arial"/>
                <w:b/>
                <w:bCs/>
                <w:color w:val="000000"/>
                <w:sz w:val="13"/>
                <w:szCs w:val="13"/>
              </w:rPr>
              <w:t>232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EA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EA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EA3"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EA4" w14:textId="77777777" w:rsidR="006A3667" w:rsidRDefault="00045F32">
            <w:pPr>
              <w:jc w:val="right"/>
              <w:textAlignment w:val="bottom"/>
            </w:pPr>
            <w:r>
              <w:rPr>
                <w:rFonts w:ascii="Arial" w:eastAsia="宋体" w:hAnsi="Arial" w:cs="Arial"/>
                <w:color w:val="000000"/>
                <w:sz w:val="13"/>
                <w:szCs w:val="13"/>
              </w:rPr>
              <w:t>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E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EA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EA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EA8" w14:textId="77777777" w:rsidR="006A3667" w:rsidRDefault="00045F32">
            <w:pPr>
              <w:jc w:val="right"/>
              <w:textAlignment w:val="bottom"/>
            </w:pPr>
            <w:r>
              <w:rPr>
                <w:rFonts w:ascii="Arial" w:eastAsia="宋体" w:hAnsi="Arial" w:cs="Arial"/>
                <w:color w:val="000000"/>
                <w:sz w:val="13"/>
                <w:szCs w:val="13"/>
              </w:rPr>
              <w:t>209 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EA9" w14:textId="77777777" w:rsidR="006A3667" w:rsidRDefault="006A3667">
            <w:pPr>
              <w:jc w:val="right"/>
              <w:rPr>
                <w:rFonts w:ascii="宋体"/>
              </w:rPr>
            </w:pPr>
          </w:p>
        </w:tc>
        <w:tc>
          <w:tcPr>
            <w:tcW w:w="0" w:type="auto"/>
            <w:gridSpan w:val="3"/>
            <w:shd w:val="clear" w:color="auto" w:fill="auto"/>
            <w:vAlign w:val="bottom"/>
          </w:tcPr>
          <w:p w14:paraId="71D41EAA" w14:textId="77777777" w:rsidR="006A3667" w:rsidRDefault="006A3667">
            <w:pPr>
              <w:rPr>
                <w:rFonts w:ascii="宋体"/>
                <w:vanish/>
              </w:rPr>
            </w:pPr>
          </w:p>
        </w:tc>
        <w:tc>
          <w:tcPr>
            <w:tcW w:w="0" w:type="auto"/>
            <w:gridSpan w:val="3"/>
            <w:shd w:val="clear" w:color="auto" w:fill="auto"/>
            <w:vAlign w:val="bottom"/>
          </w:tcPr>
          <w:p w14:paraId="71D41EAB" w14:textId="77777777" w:rsidR="006A3667" w:rsidRDefault="006A3667">
            <w:pPr>
              <w:rPr>
                <w:rFonts w:ascii="宋体"/>
                <w:vanish/>
              </w:rPr>
            </w:pPr>
          </w:p>
        </w:tc>
        <w:tc>
          <w:tcPr>
            <w:tcW w:w="0" w:type="auto"/>
            <w:gridSpan w:val="3"/>
            <w:shd w:val="clear" w:color="auto" w:fill="auto"/>
            <w:vAlign w:val="bottom"/>
          </w:tcPr>
          <w:p w14:paraId="71D41EAC" w14:textId="77777777" w:rsidR="006A3667" w:rsidRDefault="006A3667">
            <w:pPr>
              <w:rPr>
                <w:rFonts w:ascii="宋体"/>
                <w:vanish/>
              </w:rPr>
            </w:pPr>
          </w:p>
        </w:tc>
        <w:tc>
          <w:tcPr>
            <w:tcW w:w="0" w:type="auto"/>
            <w:gridSpan w:val="3"/>
            <w:shd w:val="clear" w:color="auto" w:fill="auto"/>
            <w:vAlign w:val="bottom"/>
          </w:tcPr>
          <w:p w14:paraId="71D41EAD" w14:textId="77777777" w:rsidR="006A3667" w:rsidRDefault="006A3667">
            <w:pPr>
              <w:rPr>
                <w:rFonts w:ascii="宋体"/>
                <w:vanish/>
              </w:rPr>
            </w:pPr>
          </w:p>
        </w:tc>
        <w:tc>
          <w:tcPr>
            <w:tcW w:w="0" w:type="auto"/>
            <w:gridSpan w:val="3"/>
            <w:shd w:val="clear" w:color="auto" w:fill="auto"/>
            <w:vAlign w:val="bottom"/>
          </w:tcPr>
          <w:p w14:paraId="71D41EAE" w14:textId="77777777" w:rsidR="006A3667" w:rsidRDefault="006A3667">
            <w:pPr>
              <w:rPr>
                <w:rFonts w:ascii="宋体"/>
                <w:vanish/>
              </w:rPr>
            </w:pPr>
          </w:p>
        </w:tc>
        <w:tc>
          <w:tcPr>
            <w:tcW w:w="0" w:type="auto"/>
            <w:gridSpan w:val="3"/>
            <w:shd w:val="clear" w:color="auto" w:fill="auto"/>
            <w:vAlign w:val="bottom"/>
          </w:tcPr>
          <w:p w14:paraId="71D41EAF" w14:textId="77777777" w:rsidR="006A3667" w:rsidRDefault="006A3667">
            <w:pPr>
              <w:rPr>
                <w:rFonts w:ascii="宋体"/>
                <w:vanish/>
              </w:rPr>
            </w:pPr>
          </w:p>
        </w:tc>
        <w:tc>
          <w:tcPr>
            <w:tcW w:w="0" w:type="auto"/>
            <w:gridSpan w:val="3"/>
            <w:shd w:val="clear" w:color="auto" w:fill="auto"/>
            <w:vAlign w:val="bottom"/>
          </w:tcPr>
          <w:p w14:paraId="71D41EB0" w14:textId="77777777" w:rsidR="006A3667" w:rsidRDefault="006A3667">
            <w:pPr>
              <w:rPr>
                <w:rFonts w:ascii="宋体"/>
                <w:vanish/>
              </w:rPr>
            </w:pPr>
          </w:p>
        </w:tc>
        <w:tc>
          <w:tcPr>
            <w:tcW w:w="0" w:type="auto"/>
            <w:gridSpan w:val="3"/>
            <w:shd w:val="clear" w:color="auto" w:fill="auto"/>
            <w:vAlign w:val="bottom"/>
          </w:tcPr>
          <w:p w14:paraId="71D41EB1" w14:textId="77777777" w:rsidR="006A3667" w:rsidRDefault="006A3667">
            <w:pPr>
              <w:rPr>
                <w:rFonts w:ascii="宋体"/>
                <w:vanish/>
              </w:rPr>
            </w:pPr>
          </w:p>
        </w:tc>
      </w:tr>
      <w:tr w:rsidR="006A3667" w14:paraId="71D41EC3" w14:textId="77777777">
        <w:trPr>
          <w:trHeight w:val="60"/>
        </w:trPr>
        <w:tc>
          <w:tcPr>
            <w:tcW w:w="0" w:type="auto"/>
            <w:gridSpan w:val="3"/>
            <w:shd w:val="clear" w:color="auto" w:fill="auto"/>
            <w:tcMar>
              <w:top w:w="0" w:type="dxa"/>
              <w:left w:w="20" w:type="dxa"/>
              <w:bottom w:w="0" w:type="dxa"/>
              <w:right w:w="20" w:type="dxa"/>
            </w:tcMar>
            <w:vAlign w:val="bottom"/>
          </w:tcPr>
          <w:p w14:paraId="71D41EB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EB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EB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EB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EB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EB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EB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EBA" w14:textId="77777777" w:rsidR="006A3667" w:rsidRDefault="006A3667">
            <w:pPr>
              <w:rPr>
                <w:rFonts w:ascii="宋体"/>
              </w:rPr>
            </w:pPr>
          </w:p>
        </w:tc>
        <w:tc>
          <w:tcPr>
            <w:tcW w:w="0" w:type="auto"/>
            <w:gridSpan w:val="3"/>
            <w:shd w:val="clear" w:color="auto" w:fill="auto"/>
            <w:vAlign w:val="bottom"/>
          </w:tcPr>
          <w:p w14:paraId="71D41EBB" w14:textId="77777777" w:rsidR="006A3667" w:rsidRDefault="006A3667">
            <w:pPr>
              <w:rPr>
                <w:rFonts w:ascii="宋体"/>
                <w:vanish/>
              </w:rPr>
            </w:pPr>
          </w:p>
        </w:tc>
        <w:tc>
          <w:tcPr>
            <w:tcW w:w="0" w:type="auto"/>
            <w:gridSpan w:val="3"/>
            <w:shd w:val="clear" w:color="auto" w:fill="auto"/>
            <w:vAlign w:val="bottom"/>
          </w:tcPr>
          <w:p w14:paraId="71D41EBC" w14:textId="77777777" w:rsidR="006A3667" w:rsidRDefault="006A3667">
            <w:pPr>
              <w:rPr>
                <w:rFonts w:ascii="宋体"/>
                <w:vanish/>
              </w:rPr>
            </w:pPr>
          </w:p>
        </w:tc>
        <w:tc>
          <w:tcPr>
            <w:tcW w:w="0" w:type="auto"/>
            <w:gridSpan w:val="3"/>
            <w:shd w:val="clear" w:color="auto" w:fill="auto"/>
            <w:vAlign w:val="bottom"/>
          </w:tcPr>
          <w:p w14:paraId="71D41EBD" w14:textId="77777777" w:rsidR="006A3667" w:rsidRDefault="006A3667">
            <w:pPr>
              <w:rPr>
                <w:rFonts w:ascii="宋体"/>
                <w:vanish/>
              </w:rPr>
            </w:pPr>
          </w:p>
        </w:tc>
        <w:tc>
          <w:tcPr>
            <w:tcW w:w="0" w:type="auto"/>
            <w:gridSpan w:val="3"/>
            <w:shd w:val="clear" w:color="auto" w:fill="auto"/>
            <w:vAlign w:val="bottom"/>
          </w:tcPr>
          <w:p w14:paraId="71D41EBE" w14:textId="77777777" w:rsidR="006A3667" w:rsidRDefault="006A3667">
            <w:pPr>
              <w:rPr>
                <w:rFonts w:ascii="宋体"/>
                <w:vanish/>
              </w:rPr>
            </w:pPr>
          </w:p>
        </w:tc>
        <w:tc>
          <w:tcPr>
            <w:tcW w:w="0" w:type="auto"/>
            <w:gridSpan w:val="3"/>
            <w:shd w:val="clear" w:color="auto" w:fill="auto"/>
            <w:vAlign w:val="bottom"/>
          </w:tcPr>
          <w:p w14:paraId="71D41EBF" w14:textId="77777777" w:rsidR="006A3667" w:rsidRDefault="006A3667">
            <w:pPr>
              <w:rPr>
                <w:rFonts w:ascii="宋体"/>
                <w:vanish/>
              </w:rPr>
            </w:pPr>
          </w:p>
        </w:tc>
        <w:tc>
          <w:tcPr>
            <w:tcW w:w="0" w:type="auto"/>
            <w:gridSpan w:val="3"/>
            <w:shd w:val="clear" w:color="auto" w:fill="auto"/>
            <w:vAlign w:val="bottom"/>
          </w:tcPr>
          <w:p w14:paraId="71D41EC0" w14:textId="77777777" w:rsidR="006A3667" w:rsidRDefault="006A3667">
            <w:pPr>
              <w:rPr>
                <w:rFonts w:ascii="宋体"/>
                <w:vanish/>
              </w:rPr>
            </w:pPr>
          </w:p>
        </w:tc>
        <w:tc>
          <w:tcPr>
            <w:tcW w:w="0" w:type="auto"/>
            <w:gridSpan w:val="3"/>
            <w:shd w:val="clear" w:color="auto" w:fill="auto"/>
            <w:vAlign w:val="bottom"/>
          </w:tcPr>
          <w:p w14:paraId="71D41EC1" w14:textId="77777777" w:rsidR="006A3667" w:rsidRDefault="006A3667">
            <w:pPr>
              <w:rPr>
                <w:rFonts w:ascii="宋体"/>
                <w:vanish/>
              </w:rPr>
            </w:pPr>
          </w:p>
        </w:tc>
        <w:tc>
          <w:tcPr>
            <w:tcW w:w="0" w:type="auto"/>
            <w:gridSpan w:val="3"/>
            <w:shd w:val="clear" w:color="auto" w:fill="auto"/>
            <w:vAlign w:val="bottom"/>
          </w:tcPr>
          <w:p w14:paraId="71D41EC2" w14:textId="77777777" w:rsidR="006A3667" w:rsidRDefault="006A3667">
            <w:pPr>
              <w:rPr>
                <w:rFonts w:ascii="宋体"/>
                <w:vanish/>
              </w:rPr>
            </w:pPr>
          </w:p>
        </w:tc>
      </w:tr>
      <w:tr w:rsidR="006A3667" w14:paraId="71D41EE0" w14:textId="77777777">
        <w:trPr>
          <w:hidden/>
        </w:trPr>
        <w:tc>
          <w:tcPr>
            <w:tcW w:w="0" w:type="auto"/>
            <w:gridSpan w:val="3"/>
            <w:shd w:val="clear" w:color="auto" w:fill="auto"/>
            <w:vAlign w:val="bottom"/>
          </w:tcPr>
          <w:p w14:paraId="71D41EC4" w14:textId="77777777" w:rsidR="006A3667" w:rsidRDefault="006A3667">
            <w:pPr>
              <w:rPr>
                <w:rFonts w:ascii="宋体"/>
                <w:vanish/>
              </w:rPr>
            </w:pPr>
          </w:p>
        </w:tc>
        <w:tc>
          <w:tcPr>
            <w:tcW w:w="0" w:type="auto"/>
            <w:gridSpan w:val="3"/>
            <w:shd w:val="clear" w:color="auto" w:fill="auto"/>
            <w:vAlign w:val="bottom"/>
          </w:tcPr>
          <w:p w14:paraId="71D41EC5" w14:textId="77777777" w:rsidR="006A3667" w:rsidRDefault="006A3667">
            <w:pPr>
              <w:rPr>
                <w:rFonts w:ascii="宋体"/>
                <w:vanish/>
              </w:rPr>
            </w:pPr>
          </w:p>
        </w:tc>
        <w:tc>
          <w:tcPr>
            <w:tcW w:w="0" w:type="auto"/>
            <w:gridSpan w:val="3"/>
            <w:shd w:val="clear" w:color="auto" w:fill="auto"/>
            <w:vAlign w:val="bottom"/>
          </w:tcPr>
          <w:p w14:paraId="71D41EC6" w14:textId="77777777" w:rsidR="006A3667" w:rsidRDefault="006A3667">
            <w:pPr>
              <w:rPr>
                <w:rFonts w:ascii="宋体"/>
                <w:vanish/>
              </w:rPr>
            </w:pPr>
          </w:p>
        </w:tc>
        <w:tc>
          <w:tcPr>
            <w:tcW w:w="0" w:type="auto"/>
            <w:gridSpan w:val="3"/>
            <w:shd w:val="clear" w:color="auto" w:fill="auto"/>
            <w:vAlign w:val="bottom"/>
          </w:tcPr>
          <w:p w14:paraId="71D41EC7" w14:textId="77777777" w:rsidR="006A3667" w:rsidRDefault="006A3667">
            <w:pPr>
              <w:rPr>
                <w:rFonts w:ascii="宋体"/>
                <w:vanish/>
              </w:rPr>
            </w:pPr>
          </w:p>
        </w:tc>
        <w:tc>
          <w:tcPr>
            <w:tcW w:w="0" w:type="auto"/>
            <w:gridSpan w:val="3"/>
            <w:shd w:val="clear" w:color="auto" w:fill="auto"/>
            <w:vAlign w:val="bottom"/>
          </w:tcPr>
          <w:p w14:paraId="71D41EC8" w14:textId="77777777" w:rsidR="006A3667" w:rsidRDefault="006A3667">
            <w:pPr>
              <w:rPr>
                <w:rFonts w:ascii="宋体"/>
                <w:vanish/>
              </w:rPr>
            </w:pPr>
          </w:p>
        </w:tc>
        <w:tc>
          <w:tcPr>
            <w:tcW w:w="0" w:type="auto"/>
            <w:gridSpan w:val="3"/>
            <w:shd w:val="clear" w:color="auto" w:fill="auto"/>
            <w:vAlign w:val="bottom"/>
          </w:tcPr>
          <w:p w14:paraId="71D41EC9" w14:textId="77777777" w:rsidR="006A3667" w:rsidRDefault="006A3667">
            <w:pPr>
              <w:rPr>
                <w:rFonts w:ascii="宋体"/>
                <w:vanish/>
              </w:rPr>
            </w:pPr>
          </w:p>
        </w:tc>
        <w:tc>
          <w:tcPr>
            <w:tcW w:w="0" w:type="auto"/>
            <w:gridSpan w:val="3"/>
            <w:shd w:val="clear" w:color="auto" w:fill="auto"/>
            <w:vAlign w:val="bottom"/>
          </w:tcPr>
          <w:p w14:paraId="71D41ECA" w14:textId="77777777" w:rsidR="006A3667" w:rsidRDefault="006A3667">
            <w:pPr>
              <w:rPr>
                <w:rFonts w:ascii="宋体"/>
                <w:vanish/>
              </w:rPr>
            </w:pPr>
          </w:p>
        </w:tc>
        <w:tc>
          <w:tcPr>
            <w:tcW w:w="0" w:type="auto"/>
            <w:gridSpan w:val="3"/>
            <w:shd w:val="clear" w:color="auto" w:fill="auto"/>
            <w:vAlign w:val="bottom"/>
          </w:tcPr>
          <w:p w14:paraId="71D41ECB" w14:textId="77777777" w:rsidR="006A3667" w:rsidRDefault="006A3667">
            <w:pPr>
              <w:rPr>
                <w:rFonts w:ascii="宋体"/>
                <w:vanish/>
              </w:rPr>
            </w:pPr>
          </w:p>
        </w:tc>
        <w:tc>
          <w:tcPr>
            <w:tcW w:w="0" w:type="auto"/>
            <w:gridSpan w:val="3"/>
            <w:shd w:val="clear" w:color="auto" w:fill="auto"/>
            <w:vAlign w:val="bottom"/>
          </w:tcPr>
          <w:p w14:paraId="71D41ECC" w14:textId="77777777" w:rsidR="006A3667" w:rsidRDefault="006A3667">
            <w:pPr>
              <w:rPr>
                <w:rFonts w:ascii="宋体"/>
                <w:vanish/>
              </w:rPr>
            </w:pPr>
          </w:p>
        </w:tc>
        <w:tc>
          <w:tcPr>
            <w:tcW w:w="0" w:type="auto"/>
            <w:gridSpan w:val="3"/>
            <w:shd w:val="clear" w:color="auto" w:fill="auto"/>
            <w:vAlign w:val="bottom"/>
          </w:tcPr>
          <w:p w14:paraId="71D41ECD" w14:textId="77777777" w:rsidR="006A3667" w:rsidRDefault="006A3667">
            <w:pPr>
              <w:rPr>
                <w:rFonts w:ascii="宋体"/>
                <w:vanish/>
              </w:rPr>
            </w:pPr>
          </w:p>
        </w:tc>
        <w:tc>
          <w:tcPr>
            <w:tcW w:w="0" w:type="auto"/>
            <w:shd w:val="clear" w:color="auto" w:fill="auto"/>
            <w:vAlign w:val="bottom"/>
          </w:tcPr>
          <w:p w14:paraId="71D41ECE" w14:textId="77777777" w:rsidR="006A3667" w:rsidRDefault="006A3667">
            <w:pPr>
              <w:rPr>
                <w:rFonts w:ascii="宋体"/>
              </w:rPr>
            </w:pPr>
          </w:p>
        </w:tc>
        <w:tc>
          <w:tcPr>
            <w:tcW w:w="0" w:type="auto"/>
            <w:shd w:val="clear" w:color="auto" w:fill="auto"/>
            <w:vAlign w:val="bottom"/>
          </w:tcPr>
          <w:p w14:paraId="71D41ECF" w14:textId="77777777" w:rsidR="006A3667" w:rsidRDefault="006A3667">
            <w:pPr>
              <w:rPr>
                <w:rFonts w:ascii="宋体"/>
              </w:rPr>
            </w:pPr>
          </w:p>
        </w:tc>
        <w:tc>
          <w:tcPr>
            <w:tcW w:w="0" w:type="auto"/>
            <w:shd w:val="clear" w:color="auto" w:fill="auto"/>
            <w:vAlign w:val="bottom"/>
          </w:tcPr>
          <w:p w14:paraId="71D41ED0" w14:textId="77777777" w:rsidR="006A3667" w:rsidRDefault="006A3667">
            <w:pPr>
              <w:rPr>
                <w:rFonts w:ascii="宋体"/>
              </w:rPr>
            </w:pPr>
          </w:p>
        </w:tc>
        <w:tc>
          <w:tcPr>
            <w:tcW w:w="0" w:type="auto"/>
            <w:shd w:val="clear" w:color="auto" w:fill="auto"/>
            <w:vAlign w:val="bottom"/>
          </w:tcPr>
          <w:p w14:paraId="71D41ED1" w14:textId="77777777" w:rsidR="006A3667" w:rsidRDefault="006A3667">
            <w:pPr>
              <w:rPr>
                <w:rFonts w:ascii="宋体"/>
              </w:rPr>
            </w:pPr>
          </w:p>
        </w:tc>
        <w:tc>
          <w:tcPr>
            <w:tcW w:w="0" w:type="auto"/>
            <w:shd w:val="clear" w:color="auto" w:fill="auto"/>
            <w:vAlign w:val="bottom"/>
          </w:tcPr>
          <w:p w14:paraId="71D41ED2" w14:textId="77777777" w:rsidR="006A3667" w:rsidRDefault="006A3667">
            <w:pPr>
              <w:rPr>
                <w:rFonts w:ascii="宋体"/>
              </w:rPr>
            </w:pPr>
          </w:p>
        </w:tc>
        <w:tc>
          <w:tcPr>
            <w:tcW w:w="0" w:type="auto"/>
            <w:shd w:val="clear" w:color="auto" w:fill="auto"/>
            <w:vAlign w:val="bottom"/>
          </w:tcPr>
          <w:p w14:paraId="71D41ED3" w14:textId="77777777" w:rsidR="006A3667" w:rsidRDefault="006A3667">
            <w:pPr>
              <w:rPr>
                <w:rFonts w:ascii="宋体"/>
              </w:rPr>
            </w:pPr>
          </w:p>
        </w:tc>
        <w:tc>
          <w:tcPr>
            <w:tcW w:w="0" w:type="auto"/>
            <w:shd w:val="clear" w:color="auto" w:fill="auto"/>
            <w:vAlign w:val="bottom"/>
          </w:tcPr>
          <w:p w14:paraId="71D41ED4" w14:textId="77777777" w:rsidR="006A3667" w:rsidRDefault="006A3667">
            <w:pPr>
              <w:rPr>
                <w:rFonts w:ascii="宋体"/>
              </w:rPr>
            </w:pPr>
          </w:p>
        </w:tc>
        <w:tc>
          <w:tcPr>
            <w:tcW w:w="0" w:type="auto"/>
            <w:shd w:val="clear" w:color="auto" w:fill="auto"/>
            <w:vAlign w:val="bottom"/>
          </w:tcPr>
          <w:p w14:paraId="71D41ED5" w14:textId="77777777" w:rsidR="006A3667" w:rsidRDefault="006A3667">
            <w:pPr>
              <w:rPr>
                <w:rFonts w:ascii="宋体"/>
              </w:rPr>
            </w:pPr>
          </w:p>
        </w:tc>
        <w:tc>
          <w:tcPr>
            <w:tcW w:w="0" w:type="auto"/>
            <w:shd w:val="clear" w:color="auto" w:fill="auto"/>
            <w:vAlign w:val="bottom"/>
          </w:tcPr>
          <w:p w14:paraId="71D41ED6" w14:textId="77777777" w:rsidR="006A3667" w:rsidRDefault="006A3667">
            <w:pPr>
              <w:rPr>
                <w:rFonts w:ascii="宋体"/>
              </w:rPr>
            </w:pPr>
          </w:p>
        </w:tc>
        <w:tc>
          <w:tcPr>
            <w:tcW w:w="0" w:type="auto"/>
            <w:shd w:val="clear" w:color="auto" w:fill="auto"/>
            <w:vAlign w:val="bottom"/>
          </w:tcPr>
          <w:p w14:paraId="71D41ED7" w14:textId="77777777" w:rsidR="006A3667" w:rsidRDefault="006A3667">
            <w:pPr>
              <w:rPr>
                <w:rFonts w:ascii="宋体"/>
              </w:rPr>
            </w:pPr>
          </w:p>
        </w:tc>
        <w:tc>
          <w:tcPr>
            <w:tcW w:w="0" w:type="auto"/>
            <w:shd w:val="clear" w:color="auto" w:fill="auto"/>
            <w:vAlign w:val="bottom"/>
          </w:tcPr>
          <w:p w14:paraId="71D41ED8" w14:textId="77777777" w:rsidR="006A3667" w:rsidRDefault="006A3667">
            <w:pPr>
              <w:rPr>
                <w:rFonts w:ascii="宋体"/>
              </w:rPr>
            </w:pPr>
          </w:p>
        </w:tc>
        <w:tc>
          <w:tcPr>
            <w:tcW w:w="0" w:type="auto"/>
            <w:shd w:val="clear" w:color="auto" w:fill="auto"/>
            <w:vAlign w:val="bottom"/>
          </w:tcPr>
          <w:p w14:paraId="71D41ED9" w14:textId="77777777" w:rsidR="006A3667" w:rsidRDefault="006A3667">
            <w:pPr>
              <w:rPr>
                <w:rFonts w:ascii="宋体"/>
              </w:rPr>
            </w:pPr>
          </w:p>
        </w:tc>
        <w:tc>
          <w:tcPr>
            <w:tcW w:w="0" w:type="auto"/>
            <w:shd w:val="clear" w:color="auto" w:fill="auto"/>
            <w:vAlign w:val="bottom"/>
          </w:tcPr>
          <w:p w14:paraId="71D41EDA" w14:textId="77777777" w:rsidR="006A3667" w:rsidRDefault="006A3667">
            <w:pPr>
              <w:rPr>
                <w:rFonts w:ascii="宋体"/>
              </w:rPr>
            </w:pPr>
          </w:p>
        </w:tc>
        <w:tc>
          <w:tcPr>
            <w:tcW w:w="0" w:type="auto"/>
            <w:shd w:val="clear" w:color="auto" w:fill="auto"/>
            <w:vAlign w:val="bottom"/>
          </w:tcPr>
          <w:p w14:paraId="71D41EDB" w14:textId="77777777" w:rsidR="006A3667" w:rsidRDefault="006A3667">
            <w:pPr>
              <w:rPr>
                <w:rFonts w:ascii="宋体"/>
              </w:rPr>
            </w:pPr>
          </w:p>
        </w:tc>
        <w:tc>
          <w:tcPr>
            <w:tcW w:w="0" w:type="auto"/>
            <w:shd w:val="clear" w:color="auto" w:fill="auto"/>
            <w:vAlign w:val="bottom"/>
          </w:tcPr>
          <w:p w14:paraId="71D41EDC" w14:textId="77777777" w:rsidR="006A3667" w:rsidRDefault="006A3667">
            <w:pPr>
              <w:rPr>
                <w:rFonts w:ascii="宋体"/>
              </w:rPr>
            </w:pPr>
          </w:p>
        </w:tc>
        <w:tc>
          <w:tcPr>
            <w:tcW w:w="0" w:type="auto"/>
            <w:shd w:val="clear" w:color="auto" w:fill="auto"/>
            <w:vAlign w:val="bottom"/>
          </w:tcPr>
          <w:p w14:paraId="71D41EDD" w14:textId="77777777" w:rsidR="006A3667" w:rsidRDefault="006A3667">
            <w:pPr>
              <w:rPr>
                <w:rFonts w:ascii="宋体"/>
              </w:rPr>
            </w:pPr>
          </w:p>
        </w:tc>
        <w:tc>
          <w:tcPr>
            <w:tcW w:w="0" w:type="auto"/>
            <w:shd w:val="clear" w:color="auto" w:fill="auto"/>
            <w:vAlign w:val="bottom"/>
          </w:tcPr>
          <w:p w14:paraId="71D41EDE" w14:textId="77777777" w:rsidR="006A3667" w:rsidRDefault="006A3667">
            <w:pPr>
              <w:rPr>
                <w:rFonts w:ascii="宋体"/>
              </w:rPr>
            </w:pPr>
          </w:p>
        </w:tc>
        <w:tc>
          <w:tcPr>
            <w:tcW w:w="0" w:type="auto"/>
            <w:shd w:val="clear" w:color="auto" w:fill="auto"/>
            <w:vAlign w:val="bottom"/>
          </w:tcPr>
          <w:p w14:paraId="71D41EDF" w14:textId="77777777" w:rsidR="006A3667" w:rsidRDefault="006A3667">
            <w:pPr>
              <w:rPr>
                <w:rFonts w:ascii="宋体"/>
              </w:rPr>
            </w:pPr>
          </w:p>
        </w:tc>
      </w:tr>
      <w:tr w:rsidR="006A3667" w14:paraId="71D41EF9" w14:textId="77777777">
        <w:trPr>
          <w:hidden/>
        </w:trPr>
        <w:tc>
          <w:tcPr>
            <w:tcW w:w="0" w:type="auto"/>
            <w:gridSpan w:val="3"/>
            <w:shd w:val="clear" w:color="auto" w:fill="auto"/>
            <w:vAlign w:val="bottom"/>
          </w:tcPr>
          <w:p w14:paraId="71D41EE1" w14:textId="77777777" w:rsidR="006A3667" w:rsidRDefault="006A3667">
            <w:pPr>
              <w:rPr>
                <w:rFonts w:ascii="宋体"/>
                <w:vanish/>
              </w:rPr>
            </w:pPr>
          </w:p>
        </w:tc>
        <w:tc>
          <w:tcPr>
            <w:tcW w:w="0" w:type="auto"/>
            <w:gridSpan w:val="3"/>
            <w:shd w:val="clear" w:color="auto" w:fill="auto"/>
            <w:vAlign w:val="bottom"/>
          </w:tcPr>
          <w:p w14:paraId="71D41EE2" w14:textId="77777777" w:rsidR="006A3667" w:rsidRDefault="006A3667">
            <w:pPr>
              <w:rPr>
                <w:rFonts w:ascii="宋体"/>
                <w:vanish/>
              </w:rPr>
            </w:pPr>
          </w:p>
        </w:tc>
        <w:tc>
          <w:tcPr>
            <w:tcW w:w="0" w:type="auto"/>
            <w:gridSpan w:val="3"/>
            <w:shd w:val="clear" w:color="auto" w:fill="auto"/>
            <w:vAlign w:val="bottom"/>
          </w:tcPr>
          <w:p w14:paraId="71D41EE3" w14:textId="77777777" w:rsidR="006A3667" w:rsidRDefault="006A3667">
            <w:pPr>
              <w:rPr>
                <w:rFonts w:ascii="宋体"/>
                <w:vanish/>
              </w:rPr>
            </w:pPr>
          </w:p>
        </w:tc>
        <w:tc>
          <w:tcPr>
            <w:tcW w:w="0" w:type="auto"/>
            <w:gridSpan w:val="3"/>
            <w:shd w:val="clear" w:color="auto" w:fill="auto"/>
            <w:vAlign w:val="bottom"/>
          </w:tcPr>
          <w:p w14:paraId="71D41EE4" w14:textId="77777777" w:rsidR="006A3667" w:rsidRDefault="006A3667">
            <w:pPr>
              <w:rPr>
                <w:rFonts w:ascii="宋体"/>
                <w:vanish/>
              </w:rPr>
            </w:pPr>
          </w:p>
        </w:tc>
        <w:tc>
          <w:tcPr>
            <w:tcW w:w="0" w:type="auto"/>
            <w:gridSpan w:val="3"/>
            <w:shd w:val="clear" w:color="auto" w:fill="auto"/>
            <w:vAlign w:val="bottom"/>
          </w:tcPr>
          <w:p w14:paraId="71D41EE5" w14:textId="77777777" w:rsidR="006A3667" w:rsidRDefault="006A3667">
            <w:pPr>
              <w:rPr>
                <w:rFonts w:ascii="宋体"/>
                <w:vanish/>
              </w:rPr>
            </w:pPr>
          </w:p>
        </w:tc>
        <w:tc>
          <w:tcPr>
            <w:tcW w:w="0" w:type="auto"/>
            <w:gridSpan w:val="3"/>
            <w:shd w:val="clear" w:color="auto" w:fill="auto"/>
            <w:vAlign w:val="bottom"/>
          </w:tcPr>
          <w:p w14:paraId="71D41EE6" w14:textId="77777777" w:rsidR="006A3667" w:rsidRDefault="006A3667">
            <w:pPr>
              <w:rPr>
                <w:rFonts w:ascii="宋体"/>
                <w:vanish/>
              </w:rPr>
            </w:pPr>
          </w:p>
        </w:tc>
        <w:tc>
          <w:tcPr>
            <w:tcW w:w="0" w:type="auto"/>
            <w:gridSpan w:val="3"/>
            <w:shd w:val="clear" w:color="auto" w:fill="auto"/>
            <w:vAlign w:val="bottom"/>
          </w:tcPr>
          <w:p w14:paraId="71D41EE7" w14:textId="77777777" w:rsidR="006A3667" w:rsidRDefault="006A3667">
            <w:pPr>
              <w:rPr>
                <w:rFonts w:ascii="宋体"/>
                <w:vanish/>
              </w:rPr>
            </w:pPr>
          </w:p>
        </w:tc>
        <w:tc>
          <w:tcPr>
            <w:tcW w:w="0" w:type="auto"/>
            <w:gridSpan w:val="3"/>
            <w:shd w:val="clear" w:color="auto" w:fill="auto"/>
            <w:vAlign w:val="bottom"/>
          </w:tcPr>
          <w:p w14:paraId="71D41EE8" w14:textId="77777777" w:rsidR="006A3667" w:rsidRDefault="006A3667">
            <w:pPr>
              <w:rPr>
                <w:rFonts w:ascii="宋体"/>
                <w:vanish/>
              </w:rPr>
            </w:pPr>
          </w:p>
        </w:tc>
        <w:tc>
          <w:tcPr>
            <w:tcW w:w="0" w:type="auto"/>
            <w:gridSpan w:val="3"/>
            <w:shd w:val="clear" w:color="auto" w:fill="auto"/>
            <w:vAlign w:val="bottom"/>
          </w:tcPr>
          <w:p w14:paraId="71D41EE9" w14:textId="77777777" w:rsidR="006A3667" w:rsidRDefault="006A3667">
            <w:pPr>
              <w:rPr>
                <w:rFonts w:ascii="宋体"/>
                <w:vanish/>
              </w:rPr>
            </w:pPr>
          </w:p>
        </w:tc>
        <w:tc>
          <w:tcPr>
            <w:tcW w:w="0" w:type="auto"/>
            <w:gridSpan w:val="3"/>
            <w:shd w:val="clear" w:color="auto" w:fill="auto"/>
            <w:vAlign w:val="bottom"/>
          </w:tcPr>
          <w:p w14:paraId="71D41EEA" w14:textId="77777777" w:rsidR="006A3667" w:rsidRDefault="006A3667">
            <w:pPr>
              <w:rPr>
                <w:rFonts w:ascii="宋体"/>
                <w:vanish/>
              </w:rPr>
            </w:pPr>
          </w:p>
        </w:tc>
        <w:tc>
          <w:tcPr>
            <w:tcW w:w="0" w:type="auto"/>
            <w:gridSpan w:val="3"/>
            <w:shd w:val="clear" w:color="auto" w:fill="auto"/>
            <w:vAlign w:val="bottom"/>
          </w:tcPr>
          <w:p w14:paraId="71D41EEB" w14:textId="77777777" w:rsidR="006A3667" w:rsidRDefault="006A3667">
            <w:pPr>
              <w:rPr>
                <w:rFonts w:ascii="宋体"/>
                <w:vanish/>
              </w:rPr>
            </w:pPr>
          </w:p>
        </w:tc>
        <w:tc>
          <w:tcPr>
            <w:tcW w:w="0" w:type="auto"/>
            <w:gridSpan w:val="3"/>
            <w:shd w:val="clear" w:color="auto" w:fill="auto"/>
            <w:vAlign w:val="bottom"/>
          </w:tcPr>
          <w:p w14:paraId="71D41EEC" w14:textId="77777777" w:rsidR="006A3667" w:rsidRDefault="006A3667">
            <w:pPr>
              <w:rPr>
                <w:rFonts w:ascii="宋体"/>
                <w:vanish/>
              </w:rPr>
            </w:pPr>
          </w:p>
        </w:tc>
        <w:tc>
          <w:tcPr>
            <w:tcW w:w="0" w:type="auto"/>
            <w:shd w:val="clear" w:color="auto" w:fill="auto"/>
            <w:vAlign w:val="bottom"/>
          </w:tcPr>
          <w:p w14:paraId="71D41EED" w14:textId="77777777" w:rsidR="006A3667" w:rsidRDefault="006A3667">
            <w:pPr>
              <w:rPr>
                <w:rFonts w:ascii="宋体"/>
              </w:rPr>
            </w:pPr>
          </w:p>
        </w:tc>
        <w:tc>
          <w:tcPr>
            <w:tcW w:w="0" w:type="auto"/>
            <w:shd w:val="clear" w:color="auto" w:fill="auto"/>
            <w:vAlign w:val="bottom"/>
          </w:tcPr>
          <w:p w14:paraId="71D41EEE" w14:textId="77777777" w:rsidR="006A3667" w:rsidRDefault="006A3667">
            <w:pPr>
              <w:rPr>
                <w:rFonts w:ascii="宋体"/>
              </w:rPr>
            </w:pPr>
          </w:p>
        </w:tc>
        <w:tc>
          <w:tcPr>
            <w:tcW w:w="0" w:type="auto"/>
            <w:shd w:val="clear" w:color="auto" w:fill="auto"/>
            <w:vAlign w:val="bottom"/>
          </w:tcPr>
          <w:p w14:paraId="71D41EEF" w14:textId="77777777" w:rsidR="006A3667" w:rsidRDefault="006A3667">
            <w:pPr>
              <w:rPr>
                <w:rFonts w:ascii="宋体"/>
              </w:rPr>
            </w:pPr>
          </w:p>
        </w:tc>
        <w:tc>
          <w:tcPr>
            <w:tcW w:w="0" w:type="auto"/>
            <w:shd w:val="clear" w:color="auto" w:fill="auto"/>
            <w:vAlign w:val="bottom"/>
          </w:tcPr>
          <w:p w14:paraId="71D41EF0" w14:textId="77777777" w:rsidR="006A3667" w:rsidRDefault="006A3667">
            <w:pPr>
              <w:rPr>
                <w:rFonts w:ascii="宋体"/>
              </w:rPr>
            </w:pPr>
          </w:p>
        </w:tc>
        <w:tc>
          <w:tcPr>
            <w:tcW w:w="0" w:type="auto"/>
            <w:shd w:val="clear" w:color="auto" w:fill="auto"/>
            <w:vAlign w:val="bottom"/>
          </w:tcPr>
          <w:p w14:paraId="71D41EF1" w14:textId="77777777" w:rsidR="006A3667" w:rsidRDefault="006A3667">
            <w:pPr>
              <w:rPr>
                <w:rFonts w:ascii="宋体"/>
              </w:rPr>
            </w:pPr>
          </w:p>
        </w:tc>
        <w:tc>
          <w:tcPr>
            <w:tcW w:w="0" w:type="auto"/>
            <w:shd w:val="clear" w:color="auto" w:fill="auto"/>
            <w:vAlign w:val="bottom"/>
          </w:tcPr>
          <w:p w14:paraId="71D41EF2" w14:textId="77777777" w:rsidR="006A3667" w:rsidRDefault="006A3667">
            <w:pPr>
              <w:rPr>
                <w:rFonts w:ascii="宋体"/>
              </w:rPr>
            </w:pPr>
          </w:p>
        </w:tc>
        <w:tc>
          <w:tcPr>
            <w:tcW w:w="0" w:type="auto"/>
            <w:shd w:val="clear" w:color="auto" w:fill="auto"/>
            <w:vAlign w:val="bottom"/>
          </w:tcPr>
          <w:p w14:paraId="71D41EF3" w14:textId="77777777" w:rsidR="006A3667" w:rsidRDefault="006A3667">
            <w:pPr>
              <w:rPr>
                <w:rFonts w:ascii="宋体"/>
              </w:rPr>
            </w:pPr>
          </w:p>
        </w:tc>
        <w:tc>
          <w:tcPr>
            <w:tcW w:w="0" w:type="auto"/>
            <w:shd w:val="clear" w:color="auto" w:fill="auto"/>
            <w:vAlign w:val="bottom"/>
          </w:tcPr>
          <w:p w14:paraId="71D41EF4" w14:textId="77777777" w:rsidR="006A3667" w:rsidRDefault="006A3667">
            <w:pPr>
              <w:rPr>
                <w:rFonts w:ascii="宋体"/>
              </w:rPr>
            </w:pPr>
          </w:p>
        </w:tc>
        <w:tc>
          <w:tcPr>
            <w:tcW w:w="0" w:type="auto"/>
            <w:shd w:val="clear" w:color="auto" w:fill="auto"/>
            <w:vAlign w:val="bottom"/>
          </w:tcPr>
          <w:p w14:paraId="71D41EF5" w14:textId="77777777" w:rsidR="006A3667" w:rsidRDefault="006A3667">
            <w:pPr>
              <w:rPr>
                <w:rFonts w:ascii="宋体"/>
              </w:rPr>
            </w:pPr>
          </w:p>
        </w:tc>
        <w:tc>
          <w:tcPr>
            <w:tcW w:w="0" w:type="auto"/>
            <w:shd w:val="clear" w:color="auto" w:fill="auto"/>
            <w:vAlign w:val="bottom"/>
          </w:tcPr>
          <w:p w14:paraId="71D41EF6" w14:textId="77777777" w:rsidR="006A3667" w:rsidRDefault="006A3667">
            <w:pPr>
              <w:rPr>
                <w:rFonts w:ascii="宋体"/>
              </w:rPr>
            </w:pPr>
          </w:p>
        </w:tc>
        <w:tc>
          <w:tcPr>
            <w:tcW w:w="0" w:type="auto"/>
            <w:shd w:val="clear" w:color="auto" w:fill="auto"/>
            <w:vAlign w:val="bottom"/>
          </w:tcPr>
          <w:p w14:paraId="71D41EF7" w14:textId="77777777" w:rsidR="006A3667" w:rsidRDefault="006A3667">
            <w:pPr>
              <w:rPr>
                <w:rFonts w:ascii="宋体"/>
              </w:rPr>
            </w:pPr>
          </w:p>
        </w:tc>
        <w:tc>
          <w:tcPr>
            <w:tcW w:w="0" w:type="auto"/>
            <w:shd w:val="clear" w:color="auto" w:fill="auto"/>
            <w:vAlign w:val="bottom"/>
          </w:tcPr>
          <w:p w14:paraId="71D41EF8" w14:textId="77777777" w:rsidR="006A3667" w:rsidRDefault="006A3667">
            <w:pPr>
              <w:rPr>
                <w:rFonts w:ascii="宋体"/>
              </w:rPr>
            </w:pPr>
          </w:p>
        </w:tc>
      </w:tr>
      <w:tr w:rsidR="006A3667" w14:paraId="71D41F0A" w14:textId="77777777">
        <w:trPr>
          <w:hidden/>
        </w:trPr>
        <w:tc>
          <w:tcPr>
            <w:tcW w:w="0" w:type="auto"/>
            <w:gridSpan w:val="3"/>
            <w:shd w:val="clear" w:color="auto" w:fill="auto"/>
            <w:vAlign w:val="bottom"/>
          </w:tcPr>
          <w:p w14:paraId="71D41EFA" w14:textId="77777777" w:rsidR="006A3667" w:rsidRDefault="006A3667">
            <w:pPr>
              <w:rPr>
                <w:rFonts w:ascii="宋体"/>
                <w:vanish/>
              </w:rPr>
            </w:pPr>
          </w:p>
        </w:tc>
        <w:tc>
          <w:tcPr>
            <w:tcW w:w="0" w:type="auto"/>
            <w:gridSpan w:val="3"/>
            <w:shd w:val="clear" w:color="auto" w:fill="auto"/>
            <w:vAlign w:val="bottom"/>
          </w:tcPr>
          <w:p w14:paraId="71D41EFB" w14:textId="77777777" w:rsidR="006A3667" w:rsidRDefault="006A3667">
            <w:pPr>
              <w:rPr>
                <w:rFonts w:ascii="宋体"/>
                <w:vanish/>
              </w:rPr>
            </w:pPr>
          </w:p>
        </w:tc>
        <w:tc>
          <w:tcPr>
            <w:tcW w:w="0" w:type="auto"/>
            <w:gridSpan w:val="3"/>
            <w:shd w:val="clear" w:color="auto" w:fill="auto"/>
            <w:vAlign w:val="bottom"/>
          </w:tcPr>
          <w:p w14:paraId="71D41EFC" w14:textId="77777777" w:rsidR="006A3667" w:rsidRDefault="006A3667">
            <w:pPr>
              <w:rPr>
                <w:rFonts w:ascii="宋体"/>
                <w:vanish/>
              </w:rPr>
            </w:pPr>
          </w:p>
        </w:tc>
        <w:tc>
          <w:tcPr>
            <w:tcW w:w="0" w:type="auto"/>
            <w:gridSpan w:val="3"/>
            <w:shd w:val="clear" w:color="auto" w:fill="auto"/>
            <w:vAlign w:val="bottom"/>
          </w:tcPr>
          <w:p w14:paraId="71D41EFD" w14:textId="77777777" w:rsidR="006A3667" w:rsidRDefault="006A3667">
            <w:pPr>
              <w:rPr>
                <w:rFonts w:ascii="宋体"/>
                <w:vanish/>
              </w:rPr>
            </w:pPr>
          </w:p>
        </w:tc>
        <w:tc>
          <w:tcPr>
            <w:tcW w:w="0" w:type="auto"/>
            <w:gridSpan w:val="3"/>
            <w:shd w:val="clear" w:color="auto" w:fill="auto"/>
            <w:vAlign w:val="bottom"/>
          </w:tcPr>
          <w:p w14:paraId="71D41EFE" w14:textId="77777777" w:rsidR="006A3667" w:rsidRDefault="006A3667">
            <w:pPr>
              <w:rPr>
                <w:rFonts w:ascii="宋体"/>
                <w:vanish/>
              </w:rPr>
            </w:pPr>
          </w:p>
        </w:tc>
        <w:tc>
          <w:tcPr>
            <w:tcW w:w="0" w:type="auto"/>
            <w:gridSpan w:val="3"/>
            <w:shd w:val="clear" w:color="auto" w:fill="auto"/>
            <w:vAlign w:val="bottom"/>
          </w:tcPr>
          <w:p w14:paraId="71D41EFF" w14:textId="77777777" w:rsidR="006A3667" w:rsidRDefault="006A3667">
            <w:pPr>
              <w:rPr>
                <w:rFonts w:ascii="宋体"/>
                <w:vanish/>
              </w:rPr>
            </w:pPr>
          </w:p>
        </w:tc>
        <w:tc>
          <w:tcPr>
            <w:tcW w:w="0" w:type="auto"/>
            <w:gridSpan w:val="3"/>
            <w:shd w:val="clear" w:color="auto" w:fill="auto"/>
            <w:vAlign w:val="bottom"/>
          </w:tcPr>
          <w:p w14:paraId="71D41F00" w14:textId="77777777" w:rsidR="006A3667" w:rsidRDefault="006A3667">
            <w:pPr>
              <w:rPr>
                <w:rFonts w:ascii="宋体"/>
                <w:vanish/>
              </w:rPr>
            </w:pPr>
          </w:p>
        </w:tc>
        <w:tc>
          <w:tcPr>
            <w:tcW w:w="0" w:type="auto"/>
            <w:gridSpan w:val="3"/>
            <w:shd w:val="clear" w:color="auto" w:fill="auto"/>
            <w:vAlign w:val="bottom"/>
          </w:tcPr>
          <w:p w14:paraId="71D41F01" w14:textId="77777777" w:rsidR="006A3667" w:rsidRDefault="006A3667">
            <w:pPr>
              <w:rPr>
                <w:rFonts w:ascii="宋体"/>
                <w:vanish/>
              </w:rPr>
            </w:pPr>
          </w:p>
        </w:tc>
        <w:tc>
          <w:tcPr>
            <w:tcW w:w="0" w:type="auto"/>
            <w:gridSpan w:val="3"/>
            <w:shd w:val="clear" w:color="auto" w:fill="auto"/>
            <w:vAlign w:val="bottom"/>
          </w:tcPr>
          <w:p w14:paraId="71D41F02" w14:textId="77777777" w:rsidR="006A3667" w:rsidRDefault="006A3667">
            <w:pPr>
              <w:rPr>
                <w:rFonts w:ascii="宋体"/>
                <w:vanish/>
              </w:rPr>
            </w:pPr>
          </w:p>
        </w:tc>
        <w:tc>
          <w:tcPr>
            <w:tcW w:w="0" w:type="auto"/>
            <w:gridSpan w:val="3"/>
            <w:shd w:val="clear" w:color="auto" w:fill="auto"/>
            <w:vAlign w:val="bottom"/>
          </w:tcPr>
          <w:p w14:paraId="71D41F03" w14:textId="77777777" w:rsidR="006A3667" w:rsidRDefault="006A3667">
            <w:pPr>
              <w:rPr>
                <w:rFonts w:ascii="宋体"/>
                <w:vanish/>
              </w:rPr>
            </w:pPr>
          </w:p>
        </w:tc>
        <w:tc>
          <w:tcPr>
            <w:tcW w:w="0" w:type="auto"/>
            <w:gridSpan w:val="3"/>
            <w:shd w:val="clear" w:color="auto" w:fill="auto"/>
            <w:vAlign w:val="bottom"/>
          </w:tcPr>
          <w:p w14:paraId="71D41F04" w14:textId="77777777" w:rsidR="006A3667" w:rsidRDefault="006A3667">
            <w:pPr>
              <w:rPr>
                <w:rFonts w:ascii="宋体"/>
                <w:vanish/>
              </w:rPr>
            </w:pPr>
          </w:p>
        </w:tc>
        <w:tc>
          <w:tcPr>
            <w:tcW w:w="0" w:type="auto"/>
            <w:gridSpan w:val="3"/>
            <w:shd w:val="clear" w:color="auto" w:fill="auto"/>
            <w:vAlign w:val="bottom"/>
          </w:tcPr>
          <w:p w14:paraId="71D41F05" w14:textId="77777777" w:rsidR="006A3667" w:rsidRDefault="006A3667">
            <w:pPr>
              <w:rPr>
                <w:rFonts w:ascii="宋体"/>
                <w:vanish/>
              </w:rPr>
            </w:pPr>
          </w:p>
        </w:tc>
        <w:tc>
          <w:tcPr>
            <w:tcW w:w="0" w:type="auto"/>
            <w:gridSpan w:val="3"/>
            <w:shd w:val="clear" w:color="auto" w:fill="auto"/>
            <w:vAlign w:val="bottom"/>
          </w:tcPr>
          <w:p w14:paraId="71D41F06" w14:textId="77777777" w:rsidR="006A3667" w:rsidRDefault="006A3667">
            <w:pPr>
              <w:rPr>
                <w:rFonts w:ascii="宋体"/>
                <w:vanish/>
              </w:rPr>
            </w:pPr>
          </w:p>
        </w:tc>
        <w:tc>
          <w:tcPr>
            <w:tcW w:w="0" w:type="auto"/>
            <w:gridSpan w:val="3"/>
            <w:shd w:val="clear" w:color="auto" w:fill="auto"/>
            <w:vAlign w:val="bottom"/>
          </w:tcPr>
          <w:p w14:paraId="71D41F07" w14:textId="77777777" w:rsidR="006A3667" w:rsidRDefault="006A3667">
            <w:pPr>
              <w:rPr>
                <w:rFonts w:ascii="宋体"/>
                <w:vanish/>
              </w:rPr>
            </w:pPr>
          </w:p>
        </w:tc>
        <w:tc>
          <w:tcPr>
            <w:tcW w:w="0" w:type="auto"/>
            <w:gridSpan w:val="3"/>
            <w:shd w:val="clear" w:color="auto" w:fill="auto"/>
            <w:vAlign w:val="bottom"/>
          </w:tcPr>
          <w:p w14:paraId="71D41F08" w14:textId="77777777" w:rsidR="006A3667" w:rsidRDefault="006A3667">
            <w:pPr>
              <w:rPr>
                <w:rFonts w:ascii="宋体"/>
                <w:vanish/>
              </w:rPr>
            </w:pPr>
          </w:p>
        </w:tc>
        <w:tc>
          <w:tcPr>
            <w:tcW w:w="0" w:type="auto"/>
            <w:gridSpan w:val="3"/>
            <w:shd w:val="clear" w:color="auto" w:fill="auto"/>
            <w:vAlign w:val="bottom"/>
          </w:tcPr>
          <w:p w14:paraId="71D41F09" w14:textId="77777777" w:rsidR="006A3667" w:rsidRDefault="006A3667">
            <w:pPr>
              <w:rPr>
                <w:rFonts w:ascii="宋体"/>
                <w:vanish/>
              </w:rPr>
            </w:pPr>
          </w:p>
        </w:tc>
      </w:tr>
      <w:tr w:rsidR="006A3667" w14:paraId="71D41F23" w14:textId="77777777">
        <w:trPr>
          <w:hidden/>
        </w:trPr>
        <w:tc>
          <w:tcPr>
            <w:tcW w:w="0" w:type="auto"/>
            <w:gridSpan w:val="3"/>
            <w:shd w:val="clear" w:color="auto" w:fill="auto"/>
            <w:vAlign w:val="bottom"/>
          </w:tcPr>
          <w:p w14:paraId="71D41F0B" w14:textId="77777777" w:rsidR="006A3667" w:rsidRDefault="006A3667">
            <w:pPr>
              <w:rPr>
                <w:rFonts w:ascii="宋体"/>
                <w:vanish/>
              </w:rPr>
            </w:pPr>
          </w:p>
        </w:tc>
        <w:tc>
          <w:tcPr>
            <w:tcW w:w="0" w:type="auto"/>
            <w:gridSpan w:val="3"/>
            <w:shd w:val="clear" w:color="auto" w:fill="auto"/>
            <w:vAlign w:val="bottom"/>
          </w:tcPr>
          <w:p w14:paraId="71D41F0C" w14:textId="77777777" w:rsidR="006A3667" w:rsidRDefault="006A3667">
            <w:pPr>
              <w:rPr>
                <w:rFonts w:ascii="宋体"/>
                <w:vanish/>
              </w:rPr>
            </w:pPr>
          </w:p>
        </w:tc>
        <w:tc>
          <w:tcPr>
            <w:tcW w:w="0" w:type="auto"/>
            <w:gridSpan w:val="3"/>
            <w:shd w:val="clear" w:color="auto" w:fill="auto"/>
            <w:vAlign w:val="bottom"/>
          </w:tcPr>
          <w:p w14:paraId="71D41F0D" w14:textId="77777777" w:rsidR="006A3667" w:rsidRDefault="006A3667">
            <w:pPr>
              <w:rPr>
                <w:rFonts w:ascii="宋体"/>
                <w:vanish/>
              </w:rPr>
            </w:pPr>
          </w:p>
        </w:tc>
        <w:tc>
          <w:tcPr>
            <w:tcW w:w="0" w:type="auto"/>
            <w:gridSpan w:val="3"/>
            <w:shd w:val="clear" w:color="auto" w:fill="auto"/>
            <w:vAlign w:val="bottom"/>
          </w:tcPr>
          <w:p w14:paraId="71D41F0E" w14:textId="77777777" w:rsidR="006A3667" w:rsidRDefault="006A3667">
            <w:pPr>
              <w:rPr>
                <w:rFonts w:ascii="宋体"/>
                <w:vanish/>
              </w:rPr>
            </w:pPr>
          </w:p>
        </w:tc>
        <w:tc>
          <w:tcPr>
            <w:tcW w:w="0" w:type="auto"/>
            <w:gridSpan w:val="3"/>
            <w:shd w:val="clear" w:color="auto" w:fill="auto"/>
            <w:vAlign w:val="bottom"/>
          </w:tcPr>
          <w:p w14:paraId="71D41F0F" w14:textId="77777777" w:rsidR="006A3667" w:rsidRDefault="006A3667">
            <w:pPr>
              <w:rPr>
                <w:rFonts w:ascii="宋体"/>
                <w:vanish/>
              </w:rPr>
            </w:pPr>
          </w:p>
        </w:tc>
        <w:tc>
          <w:tcPr>
            <w:tcW w:w="0" w:type="auto"/>
            <w:gridSpan w:val="3"/>
            <w:shd w:val="clear" w:color="auto" w:fill="auto"/>
            <w:vAlign w:val="bottom"/>
          </w:tcPr>
          <w:p w14:paraId="71D41F10" w14:textId="77777777" w:rsidR="006A3667" w:rsidRDefault="006A3667">
            <w:pPr>
              <w:rPr>
                <w:rFonts w:ascii="宋体"/>
                <w:vanish/>
              </w:rPr>
            </w:pPr>
          </w:p>
        </w:tc>
        <w:tc>
          <w:tcPr>
            <w:tcW w:w="0" w:type="auto"/>
            <w:gridSpan w:val="3"/>
            <w:shd w:val="clear" w:color="auto" w:fill="auto"/>
            <w:vAlign w:val="bottom"/>
          </w:tcPr>
          <w:p w14:paraId="71D41F11" w14:textId="77777777" w:rsidR="006A3667" w:rsidRDefault="006A3667">
            <w:pPr>
              <w:rPr>
                <w:rFonts w:ascii="宋体"/>
                <w:vanish/>
              </w:rPr>
            </w:pPr>
          </w:p>
        </w:tc>
        <w:tc>
          <w:tcPr>
            <w:tcW w:w="0" w:type="auto"/>
            <w:gridSpan w:val="3"/>
            <w:shd w:val="clear" w:color="auto" w:fill="auto"/>
            <w:vAlign w:val="bottom"/>
          </w:tcPr>
          <w:p w14:paraId="71D41F12" w14:textId="77777777" w:rsidR="006A3667" w:rsidRDefault="006A3667">
            <w:pPr>
              <w:rPr>
                <w:rFonts w:ascii="宋体"/>
                <w:vanish/>
              </w:rPr>
            </w:pPr>
          </w:p>
        </w:tc>
        <w:tc>
          <w:tcPr>
            <w:tcW w:w="0" w:type="auto"/>
            <w:gridSpan w:val="3"/>
            <w:shd w:val="clear" w:color="auto" w:fill="auto"/>
            <w:vAlign w:val="bottom"/>
          </w:tcPr>
          <w:p w14:paraId="71D41F13" w14:textId="77777777" w:rsidR="006A3667" w:rsidRDefault="006A3667">
            <w:pPr>
              <w:rPr>
                <w:rFonts w:ascii="宋体"/>
                <w:vanish/>
              </w:rPr>
            </w:pPr>
          </w:p>
        </w:tc>
        <w:tc>
          <w:tcPr>
            <w:tcW w:w="0" w:type="auto"/>
            <w:gridSpan w:val="3"/>
            <w:shd w:val="clear" w:color="auto" w:fill="auto"/>
            <w:vAlign w:val="bottom"/>
          </w:tcPr>
          <w:p w14:paraId="71D41F14" w14:textId="77777777" w:rsidR="006A3667" w:rsidRDefault="006A3667">
            <w:pPr>
              <w:rPr>
                <w:rFonts w:ascii="宋体"/>
                <w:vanish/>
              </w:rPr>
            </w:pPr>
          </w:p>
        </w:tc>
        <w:tc>
          <w:tcPr>
            <w:tcW w:w="0" w:type="auto"/>
            <w:gridSpan w:val="3"/>
            <w:shd w:val="clear" w:color="auto" w:fill="auto"/>
            <w:vAlign w:val="bottom"/>
          </w:tcPr>
          <w:p w14:paraId="71D41F15" w14:textId="77777777" w:rsidR="006A3667" w:rsidRDefault="006A3667">
            <w:pPr>
              <w:rPr>
                <w:rFonts w:ascii="宋体"/>
                <w:vanish/>
              </w:rPr>
            </w:pPr>
          </w:p>
        </w:tc>
        <w:tc>
          <w:tcPr>
            <w:tcW w:w="0" w:type="auto"/>
            <w:gridSpan w:val="3"/>
            <w:shd w:val="clear" w:color="auto" w:fill="auto"/>
            <w:vAlign w:val="bottom"/>
          </w:tcPr>
          <w:p w14:paraId="71D41F16" w14:textId="77777777" w:rsidR="006A3667" w:rsidRDefault="006A3667">
            <w:pPr>
              <w:rPr>
                <w:rFonts w:ascii="宋体"/>
                <w:vanish/>
              </w:rPr>
            </w:pPr>
          </w:p>
        </w:tc>
        <w:tc>
          <w:tcPr>
            <w:tcW w:w="0" w:type="auto"/>
            <w:shd w:val="clear" w:color="auto" w:fill="auto"/>
            <w:vAlign w:val="bottom"/>
          </w:tcPr>
          <w:p w14:paraId="71D41F17" w14:textId="77777777" w:rsidR="006A3667" w:rsidRDefault="006A3667">
            <w:pPr>
              <w:rPr>
                <w:rFonts w:ascii="宋体"/>
              </w:rPr>
            </w:pPr>
          </w:p>
        </w:tc>
        <w:tc>
          <w:tcPr>
            <w:tcW w:w="0" w:type="auto"/>
            <w:shd w:val="clear" w:color="auto" w:fill="auto"/>
            <w:vAlign w:val="bottom"/>
          </w:tcPr>
          <w:p w14:paraId="71D41F18" w14:textId="77777777" w:rsidR="006A3667" w:rsidRDefault="006A3667">
            <w:pPr>
              <w:rPr>
                <w:rFonts w:ascii="宋体"/>
              </w:rPr>
            </w:pPr>
          </w:p>
        </w:tc>
        <w:tc>
          <w:tcPr>
            <w:tcW w:w="0" w:type="auto"/>
            <w:shd w:val="clear" w:color="auto" w:fill="auto"/>
            <w:vAlign w:val="bottom"/>
          </w:tcPr>
          <w:p w14:paraId="71D41F19" w14:textId="77777777" w:rsidR="006A3667" w:rsidRDefault="006A3667">
            <w:pPr>
              <w:rPr>
                <w:rFonts w:ascii="宋体"/>
              </w:rPr>
            </w:pPr>
          </w:p>
        </w:tc>
        <w:tc>
          <w:tcPr>
            <w:tcW w:w="0" w:type="auto"/>
            <w:shd w:val="clear" w:color="auto" w:fill="auto"/>
            <w:vAlign w:val="bottom"/>
          </w:tcPr>
          <w:p w14:paraId="71D41F1A" w14:textId="77777777" w:rsidR="006A3667" w:rsidRDefault="006A3667">
            <w:pPr>
              <w:rPr>
                <w:rFonts w:ascii="宋体"/>
              </w:rPr>
            </w:pPr>
          </w:p>
        </w:tc>
        <w:tc>
          <w:tcPr>
            <w:tcW w:w="0" w:type="auto"/>
            <w:shd w:val="clear" w:color="auto" w:fill="auto"/>
            <w:vAlign w:val="bottom"/>
          </w:tcPr>
          <w:p w14:paraId="71D41F1B" w14:textId="77777777" w:rsidR="006A3667" w:rsidRDefault="006A3667">
            <w:pPr>
              <w:rPr>
                <w:rFonts w:ascii="宋体"/>
              </w:rPr>
            </w:pPr>
          </w:p>
        </w:tc>
        <w:tc>
          <w:tcPr>
            <w:tcW w:w="0" w:type="auto"/>
            <w:shd w:val="clear" w:color="auto" w:fill="auto"/>
            <w:vAlign w:val="bottom"/>
          </w:tcPr>
          <w:p w14:paraId="71D41F1C" w14:textId="77777777" w:rsidR="006A3667" w:rsidRDefault="006A3667">
            <w:pPr>
              <w:rPr>
                <w:rFonts w:ascii="宋体"/>
              </w:rPr>
            </w:pPr>
          </w:p>
        </w:tc>
        <w:tc>
          <w:tcPr>
            <w:tcW w:w="0" w:type="auto"/>
            <w:shd w:val="clear" w:color="auto" w:fill="auto"/>
            <w:vAlign w:val="bottom"/>
          </w:tcPr>
          <w:p w14:paraId="71D41F1D" w14:textId="77777777" w:rsidR="006A3667" w:rsidRDefault="006A3667">
            <w:pPr>
              <w:rPr>
                <w:rFonts w:ascii="宋体"/>
              </w:rPr>
            </w:pPr>
          </w:p>
        </w:tc>
        <w:tc>
          <w:tcPr>
            <w:tcW w:w="0" w:type="auto"/>
            <w:shd w:val="clear" w:color="auto" w:fill="auto"/>
            <w:vAlign w:val="bottom"/>
          </w:tcPr>
          <w:p w14:paraId="71D41F1E" w14:textId="77777777" w:rsidR="006A3667" w:rsidRDefault="006A3667">
            <w:pPr>
              <w:rPr>
                <w:rFonts w:ascii="宋体"/>
              </w:rPr>
            </w:pPr>
          </w:p>
        </w:tc>
        <w:tc>
          <w:tcPr>
            <w:tcW w:w="0" w:type="auto"/>
            <w:shd w:val="clear" w:color="auto" w:fill="auto"/>
            <w:vAlign w:val="bottom"/>
          </w:tcPr>
          <w:p w14:paraId="71D41F1F" w14:textId="77777777" w:rsidR="006A3667" w:rsidRDefault="006A3667">
            <w:pPr>
              <w:rPr>
                <w:rFonts w:ascii="宋体"/>
              </w:rPr>
            </w:pPr>
          </w:p>
        </w:tc>
        <w:tc>
          <w:tcPr>
            <w:tcW w:w="0" w:type="auto"/>
            <w:shd w:val="clear" w:color="auto" w:fill="auto"/>
            <w:vAlign w:val="bottom"/>
          </w:tcPr>
          <w:p w14:paraId="71D41F20" w14:textId="77777777" w:rsidR="006A3667" w:rsidRDefault="006A3667">
            <w:pPr>
              <w:rPr>
                <w:rFonts w:ascii="宋体"/>
              </w:rPr>
            </w:pPr>
          </w:p>
        </w:tc>
        <w:tc>
          <w:tcPr>
            <w:tcW w:w="0" w:type="auto"/>
            <w:shd w:val="clear" w:color="auto" w:fill="auto"/>
            <w:vAlign w:val="bottom"/>
          </w:tcPr>
          <w:p w14:paraId="71D41F21" w14:textId="77777777" w:rsidR="006A3667" w:rsidRDefault="006A3667">
            <w:pPr>
              <w:rPr>
                <w:rFonts w:ascii="宋体"/>
              </w:rPr>
            </w:pPr>
          </w:p>
        </w:tc>
        <w:tc>
          <w:tcPr>
            <w:tcW w:w="0" w:type="auto"/>
            <w:shd w:val="clear" w:color="auto" w:fill="auto"/>
            <w:vAlign w:val="bottom"/>
          </w:tcPr>
          <w:p w14:paraId="71D41F22" w14:textId="77777777" w:rsidR="006A3667" w:rsidRDefault="006A3667">
            <w:pPr>
              <w:rPr>
                <w:rFonts w:ascii="宋体"/>
              </w:rPr>
            </w:pPr>
          </w:p>
        </w:tc>
      </w:tr>
      <w:tr w:rsidR="006A3667" w14:paraId="71D41F34" w14:textId="77777777">
        <w:trPr>
          <w:hidden/>
        </w:trPr>
        <w:tc>
          <w:tcPr>
            <w:tcW w:w="0" w:type="auto"/>
            <w:gridSpan w:val="3"/>
            <w:shd w:val="clear" w:color="auto" w:fill="auto"/>
            <w:vAlign w:val="bottom"/>
          </w:tcPr>
          <w:p w14:paraId="71D41F24" w14:textId="77777777" w:rsidR="006A3667" w:rsidRDefault="006A3667">
            <w:pPr>
              <w:rPr>
                <w:rFonts w:ascii="宋体"/>
                <w:vanish/>
              </w:rPr>
            </w:pPr>
          </w:p>
        </w:tc>
        <w:tc>
          <w:tcPr>
            <w:tcW w:w="0" w:type="auto"/>
            <w:gridSpan w:val="3"/>
            <w:shd w:val="clear" w:color="auto" w:fill="auto"/>
            <w:vAlign w:val="bottom"/>
          </w:tcPr>
          <w:p w14:paraId="71D41F25" w14:textId="77777777" w:rsidR="006A3667" w:rsidRDefault="006A3667">
            <w:pPr>
              <w:rPr>
                <w:rFonts w:ascii="宋体"/>
                <w:vanish/>
              </w:rPr>
            </w:pPr>
          </w:p>
        </w:tc>
        <w:tc>
          <w:tcPr>
            <w:tcW w:w="0" w:type="auto"/>
            <w:gridSpan w:val="3"/>
            <w:shd w:val="clear" w:color="auto" w:fill="auto"/>
            <w:vAlign w:val="bottom"/>
          </w:tcPr>
          <w:p w14:paraId="71D41F26" w14:textId="77777777" w:rsidR="006A3667" w:rsidRDefault="006A3667">
            <w:pPr>
              <w:rPr>
                <w:rFonts w:ascii="宋体"/>
                <w:vanish/>
              </w:rPr>
            </w:pPr>
          </w:p>
        </w:tc>
        <w:tc>
          <w:tcPr>
            <w:tcW w:w="0" w:type="auto"/>
            <w:gridSpan w:val="3"/>
            <w:shd w:val="clear" w:color="auto" w:fill="auto"/>
            <w:vAlign w:val="bottom"/>
          </w:tcPr>
          <w:p w14:paraId="71D41F27" w14:textId="77777777" w:rsidR="006A3667" w:rsidRDefault="006A3667">
            <w:pPr>
              <w:rPr>
                <w:rFonts w:ascii="宋体"/>
                <w:vanish/>
              </w:rPr>
            </w:pPr>
          </w:p>
        </w:tc>
        <w:tc>
          <w:tcPr>
            <w:tcW w:w="0" w:type="auto"/>
            <w:gridSpan w:val="3"/>
            <w:shd w:val="clear" w:color="auto" w:fill="auto"/>
            <w:vAlign w:val="bottom"/>
          </w:tcPr>
          <w:p w14:paraId="71D41F28" w14:textId="77777777" w:rsidR="006A3667" w:rsidRDefault="006A3667">
            <w:pPr>
              <w:rPr>
                <w:rFonts w:ascii="宋体"/>
                <w:vanish/>
              </w:rPr>
            </w:pPr>
          </w:p>
        </w:tc>
        <w:tc>
          <w:tcPr>
            <w:tcW w:w="0" w:type="auto"/>
            <w:gridSpan w:val="3"/>
            <w:shd w:val="clear" w:color="auto" w:fill="auto"/>
            <w:vAlign w:val="bottom"/>
          </w:tcPr>
          <w:p w14:paraId="71D41F29" w14:textId="77777777" w:rsidR="006A3667" w:rsidRDefault="006A3667">
            <w:pPr>
              <w:rPr>
                <w:rFonts w:ascii="宋体"/>
                <w:vanish/>
              </w:rPr>
            </w:pPr>
          </w:p>
        </w:tc>
        <w:tc>
          <w:tcPr>
            <w:tcW w:w="0" w:type="auto"/>
            <w:gridSpan w:val="3"/>
            <w:shd w:val="clear" w:color="auto" w:fill="auto"/>
            <w:vAlign w:val="bottom"/>
          </w:tcPr>
          <w:p w14:paraId="71D41F2A" w14:textId="77777777" w:rsidR="006A3667" w:rsidRDefault="006A3667">
            <w:pPr>
              <w:rPr>
                <w:rFonts w:ascii="宋体"/>
                <w:vanish/>
              </w:rPr>
            </w:pPr>
          </w:p>
        </w:tc>
        <w:tc>
          <w:tcPr>
            <w:tcW w:w="0" w:type="auto"/>
            <w:gridSpan w:val="3"/>
            <w:shd w:val="clear" w:color="auto" w:fill="auto"/>
            <w:vAlign w:val="bottom"/>
          </w:tcPr>
          <w:p w14:paraId="71D41F2B" w14:textId="77777777" w:rsidR="006A3667" w:rsidRDefault="006A3667">
            <w:pPr>
              <w:rPr>
                <w:rFonts w:ascii="宋体"/>
                <w:vanish/>
              </w:rPr>
            </w:pPr>
          </w:p>
        </w:tc>
        <w:tc>
          <w:tcPr>
            <w:tcW w:w="0" w:type="auto"/>
            <w:gridSpan w:val="3"/>
            <w:shd w:val="clear" w:color="auto" w:fill="auto"/>
            <w:vAlign w:val="bottom"/>
          </w:tcPr>
          <w:p w14:paraId="71D41F2C" w14:textId="77777777" w:rsidR="006A3667" w:rsidRDefault="006A3667">
            <w:pPr>
              <w:rPr>
                <w:rFonts w:ascii="宋体"/>
                <w:vanish/>
              </w:rPr>
            </w:pPr>
          </w:p>
        </w:tc>
        <w:tc>
          <w:tcPr>
            <w:tcW w:w="0" w:type="auto"/>
            <w:gridSpan w:val="3"/>
            <w:shd w:val="clear" w:color="auto" w:fill="auto"/>
            <w:vAlign w:val="bottom"/>
          </w:tcPr>
          <w:p w14:paraId="71D41F2D" w14:textId="77777777" w:rsidR="006A3667" w:rsidRDefault="006A3667">
            <w:pPr>
              <w:rPr>
                <w:rFonts w:ascii="宋体"/>
                <w:vanish/>
              </w:rPr>
            </w:pPr>
          </w:p>
        </w:tc>
        <w:tc>
          <w:tcPr>
            <w:tcW w:w="0" w:type="auto"/>
            <w:gridSpan w:val="3"/>
            <w:shd w:val="clear" w:color="auto" w:fill="auto"/>
            <w:vAlign w:val="bottom"/>
          </w:tcPr>
          <w:p w14:paraId="71D41F2E" w14:textId="77777777" w:rsidR="006A3667" w:rsidRDefault="006A3667">
            <w:pPr>
              <w:rPr>
                <w:rFonts w:ascii="宋体"/>
                <w:vanish/>
              </w:rPr>
            </w:pPr>
          </w:p>
        </w:tc>
        <w:tc>
          <w:tcPr>
            <w:tcW w:w="0" w:type="auto"/>
            <w:gridSpan w:val="3"/>
            <w:shd w:val="clear" w:color="auto" w:fill="auto"/>
            <w:vAlign w:val="bottom"/>
          </w:tcPr>
          <w:p w14:paraId="71D41F2F" w14:textId="77777777" w:rsidR="006A3667" w:rsidRDefault="006A3667">
            <w:pPr>
              <w:rPr>
                <w:rFonts w:ascii="宋体"/>
                <w:vanish/>
              </w:rPr>
            </w:pPr>
          </w:p>
        </w:tc>
        <w:tc>
          <w:tcPr>
            <w:tcW w:w="0" w:type="auto"/>
            <w:gridSpan w:val="3"/>
            <w:shd w:val="clear" w:color="auto" w:fill="auto"/>
            <w:vAlign w:val="bottom"/>
          </w:tcPr>
          <w:p w14:paraId="71D41F30" w14:textId="77777777" w:rsidR="006A3667" w:rsidRDefault="006A3667">
            <w:pPr>
              <w:rPr>
                <w:rFonts w:ascii="宋体"/>
                <w:vanish/>
              </w:rPr>
            </w:pPr>
          </w:p>
        </w:tc>
        <w:tc>
          <w:tcPr>
            <w:tcW w:w="0" w:type="auto"/>
            <w:gridSpan w:val="3"/>
            <w:shd w:val="clear" w:color="auto" w:fill="auto"/>
            <w:vAlign w:val="bottom"/>
          </w:tcPr>
          <w:p w14:paraId="71D41F31" w14:textId="77777777" w:rsidR="006A3667" w:rsidRDefault="006A3667">
            <w:pPr>
              <w:rPr>
                <w:rFonts w:ascii="宋体"/>
                <w:vanish/>
              </w:rPr>
            </w:pPr>
          </w:p>
        </w:tc>
        <w:tc>
          <w:tcPr>
            <w:tcW w:w="0" w:type="auto"/>
            <w:gridSpan w:val="3"/>
            <w:shd w:val="clear" w:color="auto" w:fill="auto"/>
            <w:vAlign w:val="bottom"/>
          </w:tcPr>
          <w:p w14:paraId="71D41F32" w14:textId="77777777" w:rsidR="006A3667" w:rsidRDefault="006A3667">
            <w:pPr>
              <w:rPr>
                <w:rFonts w:ascii="宋体"/>
                <w:vanish/>
              </w:rPr>
            </w:pPr>
          </w:p>
        </w:tc>
        <w:tc>
          <w:tcPr>
            <w:tcW w:w="0" w:type="auto"/>
            <w:gridSpan w:val="3"/>
            <w:shd w:val="clear" w:color="auto" w:fill="auto"/>
            <w:vAlign w:val="bottom"/>
          </w:tcPr>
          <w:p w14:paraId="71D41F33" w14:textId="77777777" w:rsidR="006A3667" w:rsidRDefault="006A3667">
            <w:pPr>
              <w:rPr>
                <w:rFonts w:ascii="宋体"/>
                <w:vanish/>
              </w:rPr>
            </w:pPr>
          </w:p>
        </w:tc>
      </w:tr>
      <w:tr w:rsidR="006A3667" w14:paraId="71D41F45" w14:textId="77777777">
        <w:trPr>
          <w:trHeight w:val="60"/>
        </w:trPr>
        <w:tc>
          <w:tcPr>
            <w:tcW w:w="0" w:type="auto"/>
            <w:gridSpan w:val="3"/>
            <w:shd w:val="clear" w:color="auto" w:fill="auto"/>
            <w:tcMar>
              <w:top w:w="0" w:type="dxa"/>
              <w:left w:w="20" w:type="dxa"/>
              <w:bottom w:w="0" w:type="dxa"/>
              <w:right w:w="20" w:type="dxa"/>
            </w:tcMar>
            <w:vAlign w:val="bottom"/>
          </w:tcPr>
          <w:p w14:paraId="71D41F3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3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3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3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3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3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3C" w14:textId="77777777" w:rsidR="006A3667" w:rsidRDefault="006A3667">
            <w:pPr>
              <w:rPr>
                <w:rFonts w:ascii="宋体"/>
              </w:rPr>
            </w:pPr>
          </w:p>
        </w:tc>
        <w:tc>
          <w:tcPr>
            <w:tcW w:w="0" w:type="auto"/>
            <w:gridSpan w:val="3"/>
            <w:shd w:val="clear" w:color="auto" w:fill="auto"/>
            <w:vAlign w:val="bottom"/>
          </w:tcPr>
          <w:p w14:paraId="71D41F3D" w14:textId="77777777" w:rsidR="006A3667" w:rsidRDefault="006A3667">
            <w:pPr>
              <w:rPr>
                <w:rFonts w:ascii="宋体"/>
                <w:vanish/>
              </w:rPr>
            </w:pPr>
          </w:p>
        </w:tc>
        <w:tc>
          <w:tcPr>
            <w:tcW w:w="0" w:type="auto"/>
            <w:gridSpan w:val="3"/>
            <w:shd w:val="clear" w:color="auto" w:fill="auto"/>
            <w:vAlign w:val="bottom"/>
          </w:tcPr>
          <w:p w14:paraId="71D41F3E" w14:textId="77777777" w:rsidR="006A3667" w:rsidRDefault="006A3667">
            <w:pPr>
              <w:rPr>
                <w:rFonts w:ascii="宋体"/>
                <w:vanish/>
              </w:rPr>
            </w:pPr>
          </w:p>
        </w:tc>
        <w:tc>
          <w:tcPr>
            <w:tcW w:w="0" w:type="auto"/>
            <w:gridSpan w:val="3"/>
            <w:shd w:val="clear" w:color="auto" w:fill="auto"/>
            <w:vAlign w:val="bottom"/>
          </w:tcPr>
          <w:p w14:paraId="71D41F3F" w14:textId="77777777" w:rsidR="006A3667" w:rsidRDefault="006A3667">
            <w:pPr>
              <w:rPr>
                <w:rFonts w:ascii="宋体"/>
                <w:vanish/>
              </w:rPr>
            </w:pPr>
          </w:p>
        </w:tc>
        <w:tc>
          <w:tcPr>
            <w:tcW w:w="0" w:type="auto"/>
            <w:gridSpan w:val="3"/>
            <w:shd w:val="clear" w:color="auto" w:fill="auto"/>
            <w:vAlign w:val="bottom"/>
          </w:tcPr>
          <w:p w14:paraId="71D41F40" w14:textId="77777777" w:rsidR="006A3667" w:rsidRDefault="006A3667">
            <w:pPr>
              <w:rPr>
                <w:rFonts w:ascii="宋体"/>
                <w:vanish/>
              </w:rPr>
            </w:pPr>
          </w:p>
        </w:tc>
        <w:tc>
          <w:tcPr>
            <w:tcW w:w="0" w:type="auto"/>
            <w:gridSpan w:val="3"/>
            <w:shd w:val="clear" w:color="auto" w:fill="auto"/>
            <w:vAlign w:val="bottom"/>
          </w:tcPr>
          <w:p w14:paraId="71D41F41" w14:textId="77777777" w:rsidR="006A3667" w:rsidRDefault="006A3667">
            <w:pPr>
              <w:rPr>
                <w:rFonts w:ascii="宋体"/>
                <w:vanish/>
              </w:rPr>
            </w:pPr>
          </w:p>
        </w:tc>
        <w:tc>
          <w:tcPr>
            <w:tcW w:w="0" w:type="auto"/>
            <w:gridSpan w:val="3"/>
            <w:shd w:val="clear" w:color="auto" w:fill="auto"/>
            <w:vAlign w:val="bottom"/>
          </w:tcPr>
          <w:p w14:paraId="71D41F42" w14:textId="77777777" w:rsidR="006A3667" w:rsidRDefault="006A3667">
            <w:pPr>
              <w:rPr>
                <w:rFonts w:ascii="宋体"/>
                <w:vanish/>
              </w:rPr>
            </w:pPr>
          </w:p>
        </w:tc>
        <w:tc>
          <w:tcPr>
            <w:tcW w:w="0" w:type="auto"/>
            <w:gridSpan w:val="3"/>
            <w:shd w:val="clear" w:color="auto" w:fill="auto"/>
            <w:vAlign w:val="bottom"/>
          </w:tcPr>
          <w:p w14:paraId="71D41F43" w14:textId="77777777" w:rsidR="006A3667" w:rsidRDefault="006A3667">
            <w:pPr>
              <w:rPr>
                <w:rFonts w:ascii="宋体"/>
                <w:vanish/>
              </w:rPr>
            </w:pPr>
          </w:p>
        </w:tc>
        <w:tc>
          <w:tcPr>
            <w:tcW w:w="0" w:type="auto"/>
            <w:gridSpan w:val="3"/>
            <w:shd w:val="clear" w:color="auto" w:fill="auto"/>
            <w:vAlign w:val="bottom"/>
          </w:tcPr>
          <w:p w14:paraId="71D41F44" w14:textId="77777777" w:rsidR="006A3667" w:rsidRDefault="006A3667">
            <w:pPr>
              <w:rPr>
                <w:rFonts w:ascii="宋体"/>
                <w:vanish/>
              </w:rPr>
            </w:pPr>
          </w:p>
        </w:tc>
      </w:tr>
      <w:tr w:rsidR="006A3667" w14:paraId="71D41F50" w14:textId="77777777">
        <w:tc>
          <w:tcPr>
            <w:tcW w:w="0" w:type="auto"/>
            <w:gridSpan w:val="3"/>
            <w:shd w:val="clear" w:color="auto" w:fill="auto"/>
            <w:tcMar>
              <w:top w:w="0" w:type="dxa"/>
              <w:left w:w="20" w:type="dxa"/>
              <w:bottom w:w="0" w:type="dxa"/>
              <w:right w:w="20" w:type="dxa"/>
            </w:tcMar>
            <w:vAlign w:val="bottom"/>
          </w:tcPr>
          <w:p w14:paraId="71D41F46" w14:textId="77777777" w:rsidR="006A3667" w:rsidRDefault="006A366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1D41F47"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vAlign w:val="bottom"/>
          </w:tcPr>
          <w:p w14:paraId="71D41F48" w14:textId="77777777" w:rsidR="006A3667" w:rsidRDefault="006A3667">
            <w:pPr>
              <w:rPr>
                <w:rFonts w:ascii="宋体"/>
                <w:vanish/>
              </w:rPr>
            </w:pPr>
          </w:p>
        </w:tc>
        <w:tc>
          <w:tcPr>
            <w:tcW w:w="0" w:type="auto"/>
            <w:gridSpan w:val="3"/>
            <w:shd w:val="clear" w:color="auto" w:fill="auto"/>
            <w:vAlign w:val="bottom"/>
          </w:tcPr>
          <w:p w14:paraId="71D41F49" w14:textId="77777777" w:rsidR="006A3667" w:rsidRDefault="006A3667">
            <w:pPr>
              <w:rPr>
                <w:rFonts w:ascii="宋体"/>
                <w:vanish/>
              </w:rPr>
            </w:pPr>
          </w:p>
        </w:tc>
        <w:tc>
          <w:tcPr>
            <w:tcW w:w="0" w:type="auto"/>
            <w:gridSpan w:val="3"/>
            <w:shd w:val="clear" w:color="auto" w:fill="auto"/>
            <w:vAlign w:val="bottom"/>
          </w:tcPr>
          <w:p w14:paraId="71D41F4A" w14:textId="77777777" w:rsidR="006A3667" w:rsidRDefault="006A3667">
            <w:pPr>
              <w:rPr>
                <w:rFonts w:ascii="宋体"/>
                <w:vanish/>
              </w:rPr>
            </w:pPr>
          </w:p>
        </w:tc>
        <w:tc>
          <w:tcPr>
            <w:tcW w:w="0" w:type="auto"/>
            <w:gridSpan w:val="3"/>
            <w:shd w:val="clear" w:color="auto" w:fill="auto"/>
            <w:vAlign w:val="bottom"/>
          </w:tcPr>
          <w:p w14:paraId="71D41F4B" w14:textId="77777777" w:rsidR="006A3667" w:rsidRDefault="006A3667">
            <w:pPr>
              <w:rPr>
                <w:rFonts w:ascii="宋体"/>
                <w:vanish/>
              </w:rPr>
            </w:pPr>
          </w:p>
        </w:tc>
        <w:tc>
          <w:tcPr>
            <w:tcW w:w="0" w:type="auto"/>
            <w:gridSpan w:val="3"/>
            <w:shd w:val="clear" w:color="auto" w:fill="auto"/>
            <w:vAlign w:val="bottom"/>
          </w:tcPr>
          <w:p w14:paraId="71D41F4C" w14:textId="77777777" w:rsidR="006A3667" w:rsidRDefault="006A3667">
            <w:pPr>
              <w:rPr>
                <w:rFonts w:ascii="宋体"/>
                <w:vanish/>
              </w:rPr>
            </w:pPr>
          </w:p>
        </w:tc>
        <w:tc>
          <w:tcPr>
            <w:tcW w:w="0" w:type="auto"/>
            <w:gridSpan w:val="3"/>
            <w:shd w:val="clear" w:color="auto" w:fill="auto"/>
            <w:vAlign w:val="bottom"/>
          </w:tcPr>
          <w:p w14:paraId="71D41F4D" w14:textId="77777777" w:rsidR="006A3667" w:rsidRDefault="006A3667">
            <w:pPr>
              <w:rPr>
                <w:rFonts w:ascii="宋体"/>
                <w:vanish/>
              </w:rPr>
            </w:pPr>
          </w:p>
        </w:tc>
        <w:tc>
          <w:tcPr>
            <w:tcW w:w="0" w:type="auto"/>
            <w:gridSpan w:val="3"/>
            <w:shd w:val="clear" w:color="auto" w:fill="auto"/>
            <w:vAlign w:val="bottom"/>
          </w:tcPr>
          <w:p w14:paraId="71D41F4E" w14:textId="77777777" w:rsidR="006A3667" w:rsidRDefault="006A3667">
            <w:pPr>
              <w:rPr>
                <w:rFonts w:ascii="宋体"/>
                <w:vanish/>
              </w:rPr>
            </w:pPr>
          </w:p>
        </w:tc>
        <w:tc>
          <w:tcPr>
            <w:tcW w:w="0" w:type="auto"/>
            <w:gridSpan w:val="3"/>
            <w:shd w:val="clear" w:color="auto" w:fill="auto"/>
            <w:vAlign w:val="bottom"/>
          </w:tcPr>
          <w:p w14:paraId="71D41F4F" w14:textId="77777777" w:rsidR="006A3667" w:rsidRDefault="006A3667">
            <w:pPr>
              <w:rPr>
                <w:rFonts w:ascii="宋体"/>
                <w:vanish/>
              </w:rPr>
            </w:pPr>
          </w:p>
        </w:tc>
      </w:tr>
      <w:tr w:rsidR="006A3667" w14:paraId="71D41F5D" w14:textId="77777777">
        <w:tc>
          <w:tcPr>
            <w:tcW w:w="0" w:type="auto"/>
            <w:gridSpan w:val="3"/>
            <w:shd w:val="clear" w:color="auto" w:fill="auto"/>
            <w:tcMar>
              <w:top w:w="0" w:type="dxa"/>
              <w:left w:w="20" w:type="dxa"/>
              <w:bottom w:w="0" w:type="dxa"/>
              <w:right w:w="20" w:type="dxa"/>
            </w:tcMar>
            <w:vAlign w:val="bottom"/>
          </w:tcPr>
          <w:p w14:paraId="71D41F51"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1F52"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F53"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1F54"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71D41F55" w14:textId="77777777" w:rsidR="006A3667" w:rsidRDefault="006A3667">
            <w:pPr>
              <w:rPr>
                <w:rFonts w:ascii="宋体"/>
                <w:vanish/>
              </w:rPr>
            </w:pPr>
          </w:p>
        </w:tc>
        <w:tc>
          <w:tcPr>
            <w:tcW w:w="0" w:type="auto"/>
            <w:gridSpan w:val="3"/>
            <w:shd w:val="clear" w:color="auto" w:fill="auto"/>
            <w:vAlign w:val="bottom"/>
          </w:tcPr>
          <w:p w14:paraId="71D41F56" w14:textId="77777777" w:rsidR="006A3667" w:rsidRDefault="006A3667">
            <w:pPr>
              <w:rPr>
                <w:rFonts w:ascii="宋体"/>
                <w:vanish/>
              </w:rPr>
            </w:pPr>
          </w:p>
        </w:tc>
        <w:tc>
          <w:tcPr>
            <w:tcW w:w="0" w:type="auto"/>
            <w:gridSpan w:val="3"/>
            <w:shd w:val="clear" w:color="auto" w:fill="auto"/>
            <w:vAlign w:val="bottom"/>
          </w:tcPr>
          <w:p w14:paraId="71D41F57" w14:textId="77777777" w:rsidR="006A3667" w:rsidRDefault="006A3667">
            <w:pPr>
              <w:rPr>
                <w:rFonts w:ascii="宋体"/>
                <w:vanish/>
              </w:rPr>
            </w:pPr>
          </w:p>
        </w:tc>
        <w:tc>
          <w:tcPr>
            <w:tcW w:w="0" w:type="auto"/>
            <w:gridSpan w:val="3"/>
            <w:shd w:val="clear" w:color="auto" w:fill="auto"/>
            <w:vAlign w:val="bottom"/>
          </w:tcPr>
          <w:p w14:paraId="71D41F58" w14:textId="77777777" w:rsidR="006A3667" w:rsidRDefault="006A3667">
            <w:pPr>
              <w:rPr>
                <w:rFonts w:ascii="宋体"/>
                <w:vanish/>
              </w:rPr>
            </w:pPr>
          </w:p>
        </w:tc>
        <w:tc>
          <w:tcPr>
            <w:tcW w:w="0" w:type="auto"/>
            <w:gridSpan w:val="3"/>
            <w:shd w:val="clear" w:color="auto" w:fill="auto"/>
            <w:vAlign w:val="bottom"/>
          </w:tcPr>
          <w:p w14:paraId="71D41F59" w14:textId="77777777" w:rsidR="006A3667" w:rsidRDefault="006A3667">
            <w:pPr>
              <w:rPr>
                <w:rFonts w:ascii="宋体"/>
                <w:vanish/>
              </w:rPr>
            </w:pPr>
          </w:p>
        </w:tc>
        <w:tc>
          <w:tcPr>
            <w:tcW w:w="0" w:type="auto"/>
            <w:gridSpan w:val="3"/>
            <w:shd w:val="clear" w:color="auto" w:fill="auto"/>
            <w:vAlign w:val="bottom"/>
          </w:tcPr>
          <w:p w14:paraId="71D41F5A" w14:textId="77777777" w:rsidR="006A3667" w:rsidRDefault="006A3667">
            <w:pPr>
              <w:rPr>
                <w:rFonts w:ascii="宋体"/>
                <w:vanish/>
              </w:rPr>
            </w:pPr>
          </w:p>
        </w:tc>
        <w:tc>
          <w:tcPr>
            <w:tcW w:w="0" w:type="auto"/>
            <w:gridSpan w:val="3"/>
            <w:shd w:val="clear" w:color="auto" w:fill="auto"/>
            <w:vAlign w:val="bottom"/>
          </w:tcPr>
          <w:p w14:paraId="71D41F5B" w14:textId="77777777" w:rsidR="006A3667" w:rsidRDefault="006A3667">
            <w:pPr>
              <w:rPr>
                <w:rFonts w:ascii="宋体"/>
                <w:vanish/>
              </w:rPr>
            </w:pPr>
          </w:p>
        </w:tc>
        <w:tc>
          <w:tcPr>
            <w:tcW w:w="0" w:type="auto"/>
            <w:gridSpan w:val="3"/>
            <w:shd w:val="clear" w:color="auto" w:fill="auto"/>
            <w:vAlign w:val="bottom"/>
          </w:tcPr>
          <w:p w14:paraId="71D41F5C" w14:textId="77777777" w:rsidR="006A3667" w:rsidRDefault="006A3667">
            <w:pPr>
              <w:rPr>
                <w:rFonts w:ascii="宋体"/>
                <w:vanish/>
              </w:rPr>
            </w:pPr>
          </w:p>
        </w:tc>
      </w:tr>
      <w:tr w:rsidR="006A3667" w14:paraId="71D41F6E" w14:textId="77777777">
        <w:tc>
          <w:tcPr>
            <w:tcW w:w="0" w:type="auto"/>
            <w:gridSpan w:val="3"/>
            <w:shd w:val="clear" w:color="auto" w:fill="auto"/>
            <w:tcMar>
              <w:top w:w="0" w:type="dxa"/>
              <w:left w:w="20" w:type="dxa"/>
              <w:bottom w:w="0" w:type="dxa"/>
              <w:right w:w="20" w:type="dxa"/>
            </w:tcMar>
            <w:vAlign w:val="bottom"/>
          </w:tcPr>
          <w:p w14:paraId="71D41F5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F5F" w14:textId="77777777" w:rsidR="006A3667" w:rsidRDefault="00045F32">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F6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F61" w14:textId="77777777" w:rsidR="006A3667" w:rsidRDefault="00045F32">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71D41F6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F63" w14:textId="77777777" w:rsidR="006A3667" w:rsidRDefault="00045F32">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F6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F65" w14:textId="77777777" w:rsidR="006A3667" w:rsidRDefault="00045F32">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vAlign w:val="bottom"/>
          </w:tcPr>
          <w:p w14:paraId="71D41F66" w14:textId="77777777" w:rsidR="006A3667" w:rsidRDefault="006A3667">
            <w:pPr>
              <w:rPr>
                <w:rFonts w:ascii="宋体"/>
                <w:vanish/>
              </w:rPr>
            </w:pPr>
          </w:p>
        </w:tc>
        <w:tc>
          <w:tcPr>
            <w:tcW w:w="0" w:type="auto"/>
            <w:gridSpan w:val="3"/>
            <w:shd w:val="clear" w:color="auto" w:fill="auto"/>
            <w:vAlign w:val="bottom"/>
          </w:tcPr>
          <w:p w14:paraId="71D41F67" w14:textId="77777777" w:rsidR="006A3667" w:rsidRDefault="006A3667">
            <w:pPr>
              <w:rPr>
                <w:rFonts w:ascii="宋体"/>
                <w:vanish/>
              </w:rPr>
            </w:pPr>
          </w:p>
        </w:tc>
        <w:tc>
          <w:tcPr>
            <w:tcW w:w="0" w:type="auto"/>
            <w:gridSpan w:val="3"/>
            <w:shd w:val="clear" w:color="auto" w:fill="auto"/>
            <w:vAlign w:val="bottom"/>
          </w:tcPr>
          <w:p w14:paraId="71D41F68" w14:textId="77777777" w:rsidR="006A3667" w:rsidRDefault="006A3667">
            <w:pPr>
              <w:rPr>
                <w:rFonts w:ascii="宋体"/>
                <w:vanish/>
              </w:rPr>
            </w:pPr>
          </w:p>
        </w:tc>
        <w:tc>
          <w:tcPr>
            <w:tcW w:w="0" w:type="auto"/>
            <w:gridSpan w:val="3"/>
            <w:shd w:val="clear" w:color="auto" w:fill="auto"/>
            <w:vAlign w:val="bottom"/>
          </w:tcPr>
          <w:p w14:paraId="71D41F69" w14:textId="77777777" w:rsidR="006A3667" w:rsidRDefault="006A3667">
            <w:pPr>
              <w:rPr>
                <w:rFonts w:ascii="宋体"/>
                <w:vanish/>
              </w:rPr>
            </w:pPr>
          </w:p>
        </w:tc>
        <w:tc>
          <w:tcPr>
            <w:tcW w:w="0" w:type="auto"/>
            <w:gridSpan w:val="3"/>
            <w:shd w:val="clear" w:color="auto" w:fill="auto"/>
            <w:vAlign w:val="bottom"/>
          </w:tcPr>
          <w:p w14:paraId="71D41F6A" w14:textId="77777777" w:rsidR="006A3667" w:rsidRDefault="006A3667">
            <w:pPr>
              <w:rPr>
                <w:rFonts w:ascii="宋体"/>
                <w:vanish/>
              </w:rPr>
            </w:pPr>
          </w:p>
        </w:tc>
        <w:tc>
          <w:tcPr>
            <w:tcW w:w="0" w:type="auto"/>
            <w:gridSpan w:val="3"/>
            <w:shd w:val="clear" w:color="auto" w:fill="auto"/>
            <w:vAlign w:val="bottom"/>
          </w:tcPr>
          <w:p w14:paraId="71D41F6B" w14:textId="77777777" w:rsidR="006A3667" w:rsidRDefault="006A3667">
            <w:pPr>
              <w:rPr>
                <w:rFonts w:ascii="宋体"/>
                <w:vanish/>
              </w:rPr>
            </w:pPr>
          </w:p>
        </w:tc>
        <w:tc>
          <w:tcPr>
            <w:tcW w:w="0" w:type="auto"/>
            <w:gridSpan w:val="3"/>
            <w:shd w:val="clear" w:color="auto" w:fill="auto"/>
            <w:vAlign w:val="bottom"/>
          </w:tcPr>
          <w:p w14:paraId="71D41F6C" w14:textId="77777777" w:rsidR="006A3667" w:rsidRDefault="006A3667">
            <w:pPr>
              <w:rPr>
                <w:rFonts w:ascii="宋体"/>
                <w:vanish/>
              </w:rPr>
            </w:pPr>
          </w:p>
        </w:tc>
        <w:tc>
          <w:tcPr>
            <w:tcW w:w="0" w:type="auto"/>
            <w:gridSpan w:val="3"/>
            <w:shd w:val="clear" w:color="auto" w:fill="auto"/>
            <w:vAlign w:val="bottom"/>
          </w:tcPr>
          <w:p w14:paraId="71D41F6D" w14:textId="77777777" w:rsidR="006A3667" w:rsidRDefault="006A3667">
            <w:pPr>
              <w:rPr>
                <w:rFonts w:ascii="宋体"/>
                <w:vanish/>
              </w:rPr>
            </w:pPr>
          </w:p>
        </w:tc>
      </w:tr>
      <w:tr w:rsidR="006A3667" w14:paraId="71D41F87" w14:textId="77777777">
        <w:tc>
          <w:tcPr>
            <w:tcW w:w="0" w:type="auto"/>
            <w:gridSpan w:val="3"/>
            <w:shd w:val="clear" w:color="auto" w:fill="CCEEFF"/>
            <w:tcMar>
              <w:top w:w="40" w:type="dxa"/>
              <w:left w:w="20" w:type="dxa"/>
              <w:bottom w:w="40" w:type="dxa"/>
              <w:right w:w="20" w:type="dxa"/>
            </w:tcMar>
            <w:vAlign w:val="bottom"/>
          </w:tcPr>
          <w:p w14:paraId="71D41F6F" w14:textId="77777777" w:rsidR="006A3667" w:rsidRDefault="00045F32">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1F7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F71" w14:textId="77777777" w:rsidR="006A3667" w:rsidRDefault="00045F32">
            <w:pPr>
              <w:jc w:val="right"/>
              <w:textAlignment w:val="bottom"/>
            </w:pPr>
            <w:r>
              <w:rPr>
                <w:rFonts w:ascii="Arial" w:eastAsia="宋体" w:hAnsi="Arial" w:cs="Arial"/>
                <w:b/>
                <w:bCs/>
                <w:color w:val="000000"/>
                <w:sz w:val="14"/>
                <w:szCs w:val="14"/>
              </w:rPr>
              <w:t>1.77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F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F7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F7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F75" w14:textId="77777777" w:rsidR="006A3667" w:rsidRDefault="00045F32">
            <w:pPr>
              <w:jc w:val="right"/>
              <w:textAlignment w:val="bottom"/>
            </w:pPr>
            <w:r>
              <w:rPr>
                <w:rFonts w:ascii="Arial" w:eastAsia="宋体" w:hAnsi="Arial" w:cs="Arial"/>
                <w:b/>
                <w:bCs/>
                <w:color w:val="000000"/>
                <w:sz w:val="14"/>
                <w:szCs w:val="14"/>
              </w:rPr>
              <w:t>651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F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F7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F7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F79" w14:textId="77777777" w:rsidR="006A3667" w:rsidRDefault="00045F32">
            <w:pPr>
              <w:jc w:val="right"/>
              <w:textAlignment w:val="bottom"/>
            </w:pPr>
            <w:r>
              <w:rPr>
                <w:rFonts w:ascii="Arial" w:eastAsia="宋体" w:hAnsi="Arial" w:cs="Arial"/>
                <w:color w:val="000000"/>
                <w:sz w:val="14"/>
                <w:szCs w:val="14"/>
              </w:rPr>
              <w:t>1.61 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F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1F7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1F7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1F7D" w14:textId="77777777" w:rsidR="006A3667" w:rsidRDefault="00045F32">
            <w:pPr>
              <w:jc w:val="right"/>
              <w:textAlignment w:val="bottom"/>
            </w:pPr>
            <w:r>
              <w:rPr>
                <w:rFonts w:ascii="Arial" w:eastAsia="宋体" w:hAnsi="Arial" w:cs="Arial"/>
                <w:color w:val="000000"/>
                <w:sz w:val="14"/>
                <w:szCs w:val="14"/>
              </w:rPr>
              <w:t>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1F7E" w14:textId="77777777" w:rsidR="006A3667" w:rsidRDefault="006A3667">
            <w:pPr>
              <w:jc w:val="right"/>
              <w:rPr>
                <w:rFonts w:ascii="宋体"/>
              </w:rPr>
            </w:pPr>
          </w:p>
        </w:tc>
        <w:tc>
          <w:tcPr>
            <w:tcW w:w="0" w:type="auto"/>
            <w:gridSpan w:val="3"/>
            <w:shd w:val="clear" w:color="auto" w:fill="auto"/>
            <w:vAlign w:val="bottom"/>
          </w:tcPr>
          <w:p w14:paraId="71D41F7F" w14:textId="77777777" w:rsidR="006A3667" w:rsidRDefault="006A3667">
            <w:pPr>
              <w:rPr>
                <w:rFonts w:ascii="宋体"/>
                <w:vanish/>
              </w:rPr>
            </w:pPr>
          </w:p>
        </w:tc>
        <w:tc>
          <w:tcPr>
            <w:tcW w:w="0" w:type="auto"/>
            <w:gridSpan w:val="3"/>
            <w:shd w:val="clear" w:color="auto" w:fill="auto"/>
            <w:vAlign w:val="bottom"/>
          </w:tcPr>
          <w:p w14:paraId="71D41F80" w14:textId="77777777" w:rsidR="006A3667" w:rsidRDefault="006A3667">
            <w:pPr>
              <w:rPr>
                <w:rFonts w:ascii="宋体"/>
                <w:vanish/>
              </w:rPr>
            </w:pPr>
          </w:p>
        </w:tc>
        <w:tc>
          <w:tcPr>
            <w:tcW w:w="0" w:type="auto"/>
            <w:gridSpan w:val="3"/>
            <w:shd w:val="clear" w:color="auto" w:fill="auto"/>
            <w:vAlign w:val="bottom"/>
          </w:tcPr>
          <w:p w14:paraId="71D41F81" w14:textId="77777777" w:rsidR="006A3667" w:rsidRDefault="006A3667">
            <w:pPr>
              <w:rPr>
                <w:rFonts w:ascii="宋体"/>
                <w:vanish/>
              </w:rPr>
            </w:pPr>
          </w:p>
        </w:tc>
        <w:tc>
          <w:tcPr>
            <w:tcW w:w="0" w:type="auto"/>
            <w:gridSpan w:val="3"/>
            <w:shd w:val="clear" w:color="auto" w:fill="auto"/>
            <w:vAlign w:val="bottom"/>
          </w:tcPr>
          <w:p w14:paraId="71D41F82" w14:textId="77777777" w:rsidR="006A3667" w:rsidRDefault="006A3667">
            <w:pPr>
              <w:rPr>
                <w:rFonts w:ascii="宋体"/>
                <w:vanish/>
              </w:rPr>
            </w:pPr>
          </w:p>
        </w:tc>
        <w:tc>
          <w:tcPr>
            <w:tcW w:w="0" w:type="auto"/>
            <w:gridSpan w:val="3"/>
            <w:shd w:val="clear" w:color="auto" w:fill="auto"/>
            <w:vAlign w:val="bottom"/>
          </w:tcPr>
          <w:p w14:paraId="71D41F83" w14:textId="77777777" w:rsidR="006A3667" w:rsidRDefault="006A3667">
            <w:pPr>
              <w:rPr>
                <w:rFonts w:ascii="宋体"/>
                <w:vanish/>
              </w:rPr>
            </w:pPr>
          </w:p>
        </w:tc>
        <w:tc>
          <w:tcPr>
            <w:tcW w:w="0" w:type="auto"/>
            <w:gridSpan w:val="3"/>
            <w:shd w:val="clear" w:color="auto" w:fill="auto"/>
            <w:vAlign w:val="bottom"/>
          </w:tcPr>
          <w:p w14:paraId="71D41F84" w14:textId="77777777" w:rsidR="006A3667" w:rsidRDefault="006A3667">
            <w:pPr>
              <w:rPr>
                <w:rFonts w:ascii="宋体"/>
                <w:vanish/>
              </w:rPr>
            </w:pPr>
          </w:p>
        </w:tc>
        <w:tc>
          <w:tcPr>
            <w:tcW w:w="0" w:type="auto"/>
            <w:gridSpan w:val="3"/>
            <w:shd w:val="clear" w:color="auto" w:fill="auto"/>
            <w:vAlign w:val="bottom"/>
          </w:tcPr>
          <w:p w14:paraId="71D41F85" w14:textId="77777777" w:rsidR="006A3667" w:rsidRDefault="006A3667">
            <w:pPr>
              <w:rPr>
                <w:rFonts w:ascii="宋体"/>
                <w:vanish/>
              </w:rPr>
            </w:pPr>
          </w:p>
        </w:tc>
        <w:tc>
          <w:tcPr>
            <w:tcW w:w="0" w:type="auto"/>
            <w:gridSpan w:val="3"/>
            <w:shd w:val="clear" w:color="auto" w:fill="auto"/>
            <w:vAlign w:val="bottom"/>
          </w:tcPr>
          <w:p w14:paraId="71D41F86" w14:textId="77777777" w:rsidR="006A3667" w:rsidRDefault="006A3667">
            <w:pPr>
              <w:rPr>
                <w:rFonts w:ascii="宋体"/>
                <w:vanish/>
              </w:rPr>
            </w:pPr>
          </w:p>
        </w:tc>
      </w:tr>
      <w:tr w:rsidR="006A3667" w14:paraId="71D41F98" w14:textId="77777777">
        <w:trPr>
          <w:trHeight w:val="60"/>
        </w:trPr>
        <w:tc>
          <w:tcPr>
            <w:tcW w:w="0" w:type="auto"/>
            <w:gridSpan w:val="3"/>
            <w:shd w:val="clear" w:color="auto" w:fill="auto"/>
            <w:tcMar>
              <w:top w:w="0" w:type="dxa"/>
              <w:left w:w="20" w:type="dxa"/>
              <w:bottom w:w="0" w:type="dxa"/>
              <w:right w:w="20" w:type="dxa"/>
            </w:tcMar>
            <w:vAlign w:val="bottom"/>
          </w:tcPr>
          <w:p w14:paraId="71D41F8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F8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F8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1F8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8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8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8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8F" w14:textId="77777777" w:rsidR="006A3667" w:rsidRDefault="006A3667">
            <w:pPr>
              <w:rPr>
                <w:rFonts w:ascii="宋体"/>
              </w:rPr>
            </w:pPr>
          </w:p>
        </w:tc>
        <w:tc>
          <w:tcPr>
            <w:tcW w:w="0" w:type="auto"/>
            <w:gridSpan w:val="3"/>
            <w:shd w:val="clear" w:color="auto" w:fill="auto"/>
            <w:vAlign w:val="bottom"/>
          </w:tcPr>
          <w:p w14:paraId="71D41F90" w14:textId="77777777" w:rsidR="006A3667" w:rsidRDefault="006A3667">
            <w:pPr>
              <w:rPr>
                <w:rFonts w:ascii="宋体"/>
                <w:vanish/>
              </w:rPr>
            </w:pPr>
          </w:p>
        </w:tc>
        <w:tc>
          <w:tcPr>
            <w:tcW w:w="0" w:type="auto"/>
            <w:gridSpan w:val="3"/>
            <w:shd w:val="clear" w:color="auto" w:fill="auto"/>
            <w:vAlign w:val="bottom"/>
          </w:tcPr>
          <w:p w14:paraId="71D41F91" w14:textId="77777777" w:rsidR="006A3667" w:rsidRDefault="006A3667">
            <w:pPr>
              <w:rPr>
                <w:rFonts w:ascii="宋体"/>
                <w:vanish/>
              </w:rPr>
            </w:pPr>
          </w:p>
        </w:tc>
        <w:tc>
          <w:tcPr>
            <w:tcW w:w="0" w:type="auto"/>
            <w:gridSpan w:val="3"/>
            <w:shd w:val="clear" w:color="auto" w:fill="auto"/>
            <w:vAlign w:val="bottom"/>
          </w:tcPr>
          <w:p w14:paraId="71D41F92" w14:textId="77777777" w:rsidR="006A3667" w:rsidRDefault="006A3667">
            <w:pPr>
              <w:rPr>
                <w:rFonts w:ascii="宋体"/>
                <w:vanish/>
              </w:rPr>
            </w:pPr>
          </w:p>
        </w:tc>
        <w:tc>
          <w:tcPr>
            <w:tcW w:w="0" w:type="auto"/>
            <w:gridSpan w:val="3"/>
            <w:shd w:val="clear" w:color="auto" w:fill="auto"/>
            <w:vAlign w:val="bottom"/>
          </w:tcPr>
          <w:p w14:paraId="71D41F93" w14:textId="77777777" w:rsidR="006A3667" w:rsidRDefault="006A3667">
            <w:pPr>
              <w:rPr>
                <w:rFonts w:ascii="宋体"/>
                <w:vanish/>
              </w:rPr>
            </w:pPr>
          </w:p>
        </w:tc>
        <w:tc>
          <w:tcPr>
            <w:tcW w:w="0" w:type="auto"/>
            <w:gridSpan w:val="3"/>
            <w:shd w:val="clear" w:color="auto" w:fill="auto"/>
            <w:vAlign w:val="bottom"/>
          </w:tcPr>
          <w:p w14:paraId="71D41F94" w14:textId="77777777" w:rsidR="006A3667" w:rsidRDefault="006A3667">
            <w:pPr>
              <w:rPr>
                <w:rFonts w:ascii="宋体"/>
                <w:vanish/>
              </w:rPr>
            </w:pPr>
          </w:p>
        </w:tc>
        <w:tc>
          <w:tcPr>
            <w:tcW w:w="0" w:type="auto"/>
            <w:gridSpan w:val="3"/>
            <w:shd w:val="clear" w:color="auto" w:fill="auto"/>
            <w:vAlign w:val="bottom"/>
          </w:tcPr>
          <w:p w14:paraId="71D41F95" w14:textId="77777777" w:rsidR="006A3667" w:rsidRDefault="006A3667">
            <w:pPr>
              <w:rPr>
                <w:rFonts w:ascii="宋体"/>
                <w:vanish/>
              </w:rPr>
            </w:pPr>
          </w:p>
        </w:tc>
        <w:tc>
          <w:tcPr>
            <w:tcW w:w="0" w:type="auto"/>
            <w:gridSpan w:val="3"/>
            <w:shd w:val="clear" w:color="auto" w:fill="auto"/>
            <w:vAlign w:val="bottom"/>
          </w:tcPr>
          <w:p w14:paraId="71D41F96" w14:textId="77777777" w:rsidR="006A3667" w:rsidRDefault="006A3667">
            <w:pPr>
              <w:rPr>
                <w:rFonts w:ascii="宋体"/>
                <w:vanish/>
              </w:rPr>
            </w:pPr>
          </w:p>
        </w:tc>
        <w:tc>
          <w:tcPr>
            <w:tcW w:w="0" w:type="auto"/>
            <w:gridSpan w:val="3"/>
            <w:shd w:val="clear" w:color="auto" w:fill="auto"/>
            <w:vAlign w:val="bottom"/>
          </w:tcPr>
          <w:p w14:paraId="71D41F97" w14:textId="77777777" w:rsidR="006A3667" w:rsidRDefault="006A3667">
            <w:pPr>
              <w:rPr>
                <w:rFonts w:ascii="宋体"/>
                <w:vanish/>
              </w:rPr>
            </w:pPr>
          </w:p>
        </w:tc>
      </w:tr>
      <w:tr w:rsidR="006A3667" w14:paraId="71D41FA9" w14:textId="77777777">
        <w:trPr>
          <w:trHeight w:val="60"/>
        </w:trPr>
        <w:tc>
          <w:tcPr>
            <w:tcW w:w="0" w:type="auto"/>
            <w:gridSpan w:val="3"/>
            <w:shd w:val="clear" w:color="auto" w:fill="auto"/>
            <w:tcMar>
              <w:top w:w="0" w:type="dxa"/>
              <w:left w:w="20" w:type="dxa"/>
              <w:bottom w:w="0" w:type="dxa"/>
              <w:right w:w="20" w:type="dxa"/>
            </w:tcMar>
            <w:vAlign w:val="bottom"/>
          </w:tcPr>
          <w:p w14:paraId="71D41F9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9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9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9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9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9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9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A0" w14:textId="77777777" w:rsidR="006A3667" w:rsidRDefault="006A3667">
            <w:pPr>
              <w:rPr>
                <w:rFonts w:ascii="宋体"/>
              </w:rPr>
            </w:pPr>
          </w:p>
        </w:tc>
        <w:tc>
          <w:tcPr>
            <w:tcW w:w="0" w:type="auto"/>
            <w:gridSpan w:val="3"/>
            <w:shd w:val="clear" w:color="auto" w:fill="auto"/>
            <w:vAlign w:val="bottom"/>
          </w:tcPr>
          <w:p w14:paraId="71D41FA1" w14:textId="77777777" w:rsidR="006A3667" w:rsidRDefault="006A3667">
            <w:pPr>
              <w:rPr>
                <w:rFonts w:ascii="宋体"/>
                <w:vanish/>
              </w:rPr>
            </w:pPr>
          </w:p>
        </w:tc>
        <w:tc>
          <w:tcPr>
            <w:tcW w:w="0" w:type="auto"/>
            <w:gridSpan w:val="3"/>
            <w:shd w:val="clear" w:color="auto" w:fill="auto"/>
            <w:vAlign w:val="bottom"/>
          </w:tcPr>
          <w:p w14:paraId="71D41FA2" w14:textId="77777777" w:rsidR="006A3667" w:rsidRDefault="006A3667">
            <w:pPr>
              <w:rPr>
                <w:rFonts w:ascii="宋体"/>
                <w:vanish/>
              </w:rPr>
            </w:pPr>
          </w:p>
        </w:tc>
        <w:tc>
          <w:tcPr>
            <w:tcW w:w="0" w:type="auto"/>
            <w:gridSpan w:val="3"/>
            <w:shd w:val="clear" w:color="auto" w:fill="auto"/>
            <w:vAlign w:val="bottom"/>
          </w:tcPr>
          <w:p w14:paraId="71D41FA3" w14:textId="77777777" w:rsidR="006A3667" w:rsidRDefault="006A3667">
            <w:pPr>
              <w:rPr>
                <w:rFonts w:ascii="宋体"/>
                <w:vanish/>
              </w:rPr>
            </w:pPr>
          </w:p>
        </w:tc>
        <w:tc>
          <w:tcPr>
            <w:tcW w:w="0" w:type="auto"/>
            <w:gridSpan w:val="3"/>
            <w:shd w:val="clear" w:color="auto" w:fill="auto"/>
            <w:vAlign w:val="bottom"/>
          </w:tcPr>
          <w:p w14:paraId="71D41FA4" w14:textId="77777777" w:rsidR="006A3667" w:rsidRDefault="006A3667">
            <w:pPr>
              <w:rPr>
                <w:rFonts w:ascii="宋体"/>
                <w:vanish/>
              </w:rPr>
            </w:pPr>
          </w:p>
        </w:tc>
        <w:tc>
          <w:tcPr>
            <w:tcW w:w="0" w:type="auto"/>
            <w:gridSpan w:val="3"/>
            <w:shd w:val="clear" w:color="auto" w:fill="auto"/>
            <w:vAlign w:val="bottom"/>
          </w:tcPr>
          <w:p w14:paraId="71D41FA5" w14:textId="77777777" w:rsidR="006A3667" w:rsidRDefault="006A3667">
            <w:pPr>
              <w:rPr>
                <w:rFonts w:ascii="宋体"/>
                <w:vanish/>
              </w:rPr>
            </w:pPr>
          </w:p>
        </w:tc>
        <w:tc>
          <w:tcPr>
            <w:tcW w:w="0" w:type="auto"/>
            <w:gridSpan w:val="3"/>
            <w:shd w:val="clear" w:color="auto" w:fill="auto"/>
            <w:vAlign w:val="bottom"/>
          </w:tcPr>
          <w:p w14:paraId="71D41FA6" w14:textId="77777777" w:rsidR="006A3667" w:rsidRDefault="006A3667">
            <w:pPr>
              <w:rPr>
                <w:rFonts w:ascii="宋体"/>
                <w:vanish/>
              </w:rPr>
            </w:pPr>
          </w:p>
        </w:tc>
        <w:tc>
          <w:tcPr>
            <w:tcW w:w="0" w:type="auto"/>
            <w:gridSpan w:val="3"/>
            <w:shd w:val="clear" w:color="auto" w:fill="auto"/>
            <w:vAlign w:val="bottom"/>
          </w:tcPr>
          <w:p w14:paraId="71D41FA7" w14:textId="77777777" w:rsidR="006A3667" w:rsidRDefault="006A3667">
            <w:pPr>
              <w:rPr>
                <w:rFonts w:ascii="宋体"/>
                <w:vanish/>
              </w:rPr>
            </w:pPr>
          </w:p>
        </w:tc>
        <w:tc>
          <w:tcPr>
            <w:tcW w:w="0" w:type="auto"/>
            <w:gridSpan w:val="3"/>
            <w:shd w:val="clear" w:color="auto" w:fill="auto"/>
            <w:vAlign w:val="bottom"/>
          </w:tcPr>
          <w:p w14:paraId="71D41FA8" w14:textId="77777777" w:rsidR="006A3667" w:rsidRDefault="006A3667">
            <w:pPr>
              <w:rPr>
                <w:rFonts w:ascii="宋体"/>
                <w:vanish/>
              </w:rPr>
            </w:pPr>
          </w:p>
        </w:tc>
      </w:tr>
      <w:tr w:rsidR="006A3667" w14:paraId="71D41FBA" w14:textId="77777777">
        <w:trPr>
          <w:trHeight w:val="60"/>
        </w:trPr>
        <w:tc>
          <w:tcPr>
            <w:tcW w:w="0" w:type="auto"/>
            <w:gridSpan w:val="3"/>
            <w:shd w:val="clear" w:color="auto" w:fill="auto"/>
            <w:tcMar>
              <w:top w:w="0" w:type="dxa"/>
              <w:left w:w="20" w:type="dxa"/>
              <w:bottom w:w="0" w:type="dxa"/>
              <w:right w:w="20" w:type="dxa"/>
            </w:tcMar>
            <w:vAlign w:val="bottom"/>
          </w:tcPr>
          <w:p w14:paraId="71D41FA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A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A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A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A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A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B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1FB1" w14:textId="77777777" w:rsidR="006A3667" w:rsidRDefault="006A3667">
            <w:pPr>
              <w:rPr>
                <w:rFonts w:ascii="宋体"/>
              </w:rPr>
            </w:pPr>
          </w:p>
        </w:tc>
        <w:tc>
          <w:tcPr>
            <w:tcW w:w="0" w:type="auto"/>
            <w:gridSpan w:val="3"/>
            <w:shd w:val="clear" w:color="auto" w:fill="auto"/>
            <w:vAlign w:val="bottom"/>
          </w:tcPr>
          <w:p w14:paraId="71D41FB2" w14:textId="77777777" w:rsidR="006A3667" w:rsidRDefault="006A3667">
            <w:pPr>
              <w:rPr>
                <w:rFonts w:ascii="宋体"/>
                <w:vanish/>
              </w:rPr>
            </w:pPr>
          </w:p>
        </w:tc>
        <w:tc>
          <w:tcPr>
            <w:tcW w:w="0" w:type="auto"/>
            <w:gridSpan w:val="3"/>
            <w:shd w:val="clear" w:color="auto" w:fill="auto"/>
            <w:vAlign w:val="bottom"/>
          </w:tcPr>
          <w:p w14:paraId="71D41FB3" w14:textId="77777777" w:rsidR="006A3667" w:rsidRDefault="006A3667">
            <w:pPr>
              <w:rPr>
                <w:rFonts w:ascii="宋体"/>
                <w:vanish/>
              </w:rPr>
            </w:pPr>
          </w:p>
        </w:tc>
        <w:tc>
          <w:tcPr>
            <w:tcW w:w="0" w:type="auto"/>
            <w:gridSpan w:val="3"/>
            <w:shd w:val="clear" w:color="auto" w:fill="auto"/>
            <w:vAlign w:val="bottom"/>
          </w:tcPr>
          <w:p w14:paraId="71D41FB4" w14:textId="77777777" w:rsidR="006A3667" w:rsidRDefault="006A3667">
            <w:pPr>
              <w:rPr>
                <w:rFonts w:ascii="宋体"/>
                <w:vanish/>
              </w:rPr>
            </w:pPr>
          </w:p>
        </w:tc>
        <w:tc>
          <w:tcPr>
            <w:tcW w:w="0" w:type="auto"/>
            <w:gridSpan w:val="3"/>
            <w:shd w:val="clear" w:color="auto" w:fill="auto"/>
            <w:vAlign w:val="bottom"/>
          </w:tcPr>
          <w:p w14:paraId="71D41FB5" w14:textId="77777777" w:rsidR="006A3667" w:rsidRDefault="006A3667">
            <w:pPr>
              <w:rPr>
                <w:rFonts w:ascii="宋体"/>
                <w:vanish/>
              </w:rPr>
            </w:pPr>
          </w:p>
        </w:tc>
        <w:tc>
          <w:tcPr>
            <w:tcW w:w="0" w:type="auto"/>
            <w:gridSpan w:val="3"/>
            <w:shd w:val="clear" w:color="auto" w:fill="auto"/>
            <w:vAlign w:val="bottom"/>
          </w:tcPr>
          <w:p w14:paraId="71D41FB6" w14:textId="77777777" w:rsidR="006A3667" w:rsidRDefault="006A3667">
            <w:pPr>
              <w:rPr>
                <w:rFonts w:ascii="宋体"/>
                <w:vanish/>
              </w:rPr>
            </w:pPr>
          </w:p>
        </w:tc>
        <w:tc>
          <w:tcPr>
            <w:tcW w:w="0" w:type="auto"/>
            <w:gridSpan w:val="3"/>
            <w:shd w:val="clear" w:color="auto" w:fill="auto"/>
            <w:vAlign w:val="bottom"/>
          </w:tcPr>
          <w:p w14:paraId="71D41FB7" w14:textId="77777777" w:rsidR="006A3667" w:rsidRDefault="006A3667">
            <w:pPr>
              <w:rPr>
                <w:rFonts w:ascii="宋体"/>
                <w:vanish/>
              </w:rPr>
            </w:pPr>
          </w:p>
        </w:tc>
        <w:tc>
          <w:tcPr>
            <w:tcW w:w="0" w:type="auto"/>
            <w:gridSpan w:val="3"/>
            <w:shd w:val="clear" w:color="auto" w:fill="auto"/>
            <w:vAlign w:val="bottom"/>
          </w:tcPr>
          <w:p w14:paraId="71D41FB8" w14:textId="77777777" w:rsidR="006A3667" w:rsidRDefault="006A3667">
            <w:pPr>
              <w:rPr>
                <w:rFonts w:ascii="宋体"/>
                <w:vanish/>
              </w:rPr>
            </w:pPr>
          </w:p>
        </w:tc>
        <w:tc>
          <w:tcPr>
            <w:tcW w:w="0" w:type="auto"/>
            <w:gridSpan w:val="3"/>
            <w:shd w:val="clear" w:color="auto" w:fill="auto"/>
            <w:vAlign w:val="bottom"/>
          </w:tcPr>
          <w:p w14:paraId="71D41FB9" w14:textId="77777777" w:rsidR="006A3667" w:rsidRDefault="006A3667">
            <w:pPr>
              <w:rPr>
                <w:rFonts w:ascii="宋体"/>
                <w:vanish/>
              </w:rPr>
            </w:pPr>
          </w:p>
        </w:tc>
      </w:tr>
    </w:tbl>
    <w:p w14:paraId="71D41FBB" w14:textId="77777777" w:rsidR="006A3667" w:rsidRDefault="00045F32">
      <w:pPr>
        <w:ind w:firstLine="450"/>
        <w:jc w:val="both"/>
      </w:pPr>
      <w:r>
        <w:rPr>
          <w:rFonts w:ascii="Arial" w:eastAsia="宋体" w:hAnsi="Arial" w:cs="Arial"/>
          <w:color w:val="000000"/>
          <w:sz w:val="20"/>
          <w:szCs w:val="20"/>
        </w:rPr>
        <w:t xml:space="preserve">Federal and state banking </w:t>
      </w:r>
      <w:r>
        <w:rPr>
          <w:rFonts w:ascii="Arial" w:eastAsia="宋体" w:hAnsi="Arial" w:cs="Arial"/>
          <w:color w:val="000000"/>
          <w:sz w:val="20"/>
          <w:szCs w:val="20"/>
        </w:rPr>
        <w:t xml:space="preserve">regulations place certain restrictions on dividends paid by subsidiary banks to the parent holding company. In addition, banking regulators have the authority to prohibit bank holding companies from paying dividends. For information concerning limitations </w:t>
      </w:r>
      <w:r>
        <w:rPr>
          <w:rFonts w:ascii="Arial" w:eastAsia="宋体" w:hAnsi="Arial" w:cs="Arial"/>
          <w:color w:val="000000"/>
          <w:sz w:val="20"/>
          <w:szCs w:val="20"/>
        </w:rPr>
        <w:t>on dividends from our subsidiary banks, refer to pages 54 to 56 in "Related Stockholder Matters" included under Item 5, Market for Registrant’s Common Equity, Related Stockholder Matters and Issuer Purchases of Equity Securities, in our 2021 Form 10-K, and</w:t>
      </w:r>
      <w:r>
        <w:rPr>
          <w:rFonts w:ascii="Arial" w:eastAsia="宋体" w:hAnsi="Arial" w:cs="Arial"/>
          <w:color w:val="000000"/>
          <w:sz w:val="20"/>
          <w:szCs w:val="20"/>
        </w:rPr>
        <w:t xml:space="preserve"> to pages 169 to 171 in Note 15 to the consolidated financial statements included under Item 8. Our common stock and preferred stock dividends, including the declaration, timing and amount thereof, are subject to consideration and approval by the Board at </w:t>
      </w:r>
      <w:r>
        <w:rPr>
          <w:rFonts w:ascii="Arial" w:eastAsia="宋体" w:hAnsi="Arial" w:cs="Arial"/>
          <w:color w:val="000000"/>
          <w:sz w:val="20"/>
          <w:szCs w:val="20"/>
        </w:rPr>
        <w:t>the relevant times.</w:t>
      </w:r>
    </w:p>
    <w:p w14:paraId="71D41FBC" w14:textId="77777777" w:rsidR="006A3667" w:rsidRDefault="00045F32">
      <w:pPr>
        <w:spacing w:before="60"/>
        <w:ind w:firstLine="450"/>
        <w:jc w:val="both"/>
      </w:pPr>
      <w:r>
        <w:rPr>
          <w:rFonts w:ascii="Arial" w:eastAsia="宋体" w:hAnsi="Arial" w:cs="Arial"/>
          <w:color w:val="000000"/>
          <w:sz w:val="20"/>
          <w:szCs w:val="20"/>
        </w:rPr>
        <w:t>Stock purchases under our common share repurchase program may be made using various types of transactions, including open-market purchases, accelerated share repurchases or other transactions off the market, and may be made under Rule 1</w:t>
      </w:r>
      <w:r>
        <w:rPr>
          <w:rFonts w:ascii="Arial" w:eastAsia="宋体" w:hAnsi="Arial" w:cs="Arial"/>
          <w:color w:val="000000"/>
          <w:sz w:val="20"/>
          <w:szCs w:val="20"/>
        </w:rPr>
        <w:t>0b5-1 trading programs. The timing and amount of any stock purchases and the type of transaction may not be ratable over the duration of the program, may vary from reporting period to reporting period and will depend on several factors, including our capit</w:t>
      </w:r>
      <w:r>
        <w:rPr>
          <w:rFonts w:ascii="Arial" w:eastAsia="宋体" w:hAnsi="Arial" w:cs="Arial"/>
          <w:color w:val="000000"/>
          <w:sz w:val="20"/>
          <w:szCs w:val="20"/>
        </w:rPr>
        <w:t xml:space="preserve">al position and financial performance, investment opportunities, market conditions, the nature and timing of implementation of revisions to the Basel III framework and the amount of common stock issued as part of employee compensation programs. The common </w:t>
      </w:r>
      <w:r>
        <w:rPr>
          <w:rFonts w:ascii="Arial" w:eastAsia="宋体" w:hAnsi="Arial" w:cs="Arial"/>
          <w:color w:val="000000"/>
          <w:sz w:val="20"/>
          <w:szCs w:val="20"/>
        </w:rPr>
        <w:t>share repurchase program does not have specific price targets and may be suspended at any time.</w:t>
      </w:r>
    </w:p>
    <w:p w14:paraId="71D41FBD" w14:textId="77777777" w:rsidR="006A3667" w:rsidRDefault="00045F32">
      <w:pPr>
        <w:ind w:firstLine="450"/>
        <w:jc w:val="right"/>
      </w:pPr>
      <w:r>
        <w:rPr>
          <w:rFonts w:ascii="Arial" w:eastAsia="宋体" w:hAnsi="Arial" w:cs="Arial"/>
          <w:color w:val="000000"/>
          <w:sz w:val="18"/>
          <w:szCs w:val="18"/>
        </w:rPr>
        <w:t>State Street Corporation | 51</w:t>
      </w:r>
    </w:p>
    <w:p w14:paraId="71D41FBE" w14:textId="77777777" w:rsidR="006A3667" w:rsidRDefault="006A3667">
      <w:pPr>
        <w:ind w:firstLine="450"/>
        <w:jc w:val="center"/>
      </w:pPr>
    </w:p>
    <w:p w14:paraId="71D41FBF" w14:textId="77777777" w:rsidR="006A3667" w:rsidRDefault="00045F32">
      <w:r>
        <w:pict w14:anchorId="71D4AC47">
          <v:rect id="_x0000_i1075" style="width:415.3pt;height:1.5pt" o:hralign="center" o:hrstd="t" o:hr="t" fillcolor="#a0a0a0" stroked="f"/>
        </w:pict>
      </w:r>
    </w:p>
    <w:p w14:paraId="71D41FC0" w14:textId="77777777" w:rsidR="006A3667" w:rsidRDefault="00045F32">
      <w:pPr>
        <w:ind w:firstLine="450"/>
        <w:jc w:val="center"/>
      </w:pPr>
      <w:r>
        <w:rPr>
          <w:rFonts w:ascii="Arial" w:eastAsia="宋体" w:hAnsi="Arial" w:cs="Arial"/>
          <w:b/>
          <w:bCs/>
          <w:color w:val="000000"/>
          <w:sz w:val="20"/>
          <w:szCs w:val="20"/>
        </w:rPr>
        <w:t>MANAGEMENT’S DISCUSSION AND ANALYSIS OF FINANCIAL CONDITION</w:t>
      </w:r>
    </w:p>
    <w:p w14:paraId="71D41FC1" w14:textId="77777777" w:rsidR="006A3667" w:rsidRDefault="00045F32">
      <w:pPr>
        <w:ind w:firstLine="450"/>
        <w:jc w:val="center"/>
      </w:pPr>
      <w:r>
        <w:rPr>
          <w:rFonts w:ascii="Arial" w:eastAsia="宋体" w:hAnsi="Arial" w:cs="Arial"/>
          <w:b/>
          <w:bCs/>
          <w:color w:val="000000"/>
          <w:sz w:val="20"/>
          <w:szCs w:val="20"/>
        </w:rPr>
        <w:t>AND RESULTS OF OPERATIONS</w:t>
      </w:r>
    </w:p>
    <w:p w14:paraId="71D41FC2" w14:textId="77777777" w:rsidR="006A3667" w:rsidRDefault="00045F32">
      <w:pPr>
        <w:spacing w:before="90"/>
      </w:pPr>
      <w:r>
        <w:rPr>
          <w:rFonts w:ascii="Arial" w:eastAsia="宋体" w:hAnsi="Arial" w:cs="Arial"/>
          <w:b/>
          <w:bCs/>
          <w:color w:val="000000"/>
          <w:sz w:val="20"/>
          <w:szCs w:val="20"/>
        </w:rPr>
        <w:t xml:space="preserve">OFF-BALANCE SHEET </w:t>
      </w:r>
      <w:r>
        <w:rPr>
          <w:rFonts w:ascii="Arial" w:eastAsia="宋体" w:hAnsi="Arial" w:cs="Arial"/>
          <w:b/>
          <w:bCs/>
          <w:color w:val="000000"/>
          <w:sz w:val="20"/>
          <w:szCs w:val="20"/>
        </w:rPr>
        <w:t>ARRANGEMENTS</w:t>
      </w:r>
    </w:p>
    <w:p w14:paraId="71D41FC3" w14:textId="77777777" w:rsidR="006A3667" w:rsidRDefault="00045F32">
      <w:pPr>
        <w:spacing w:before="60"/>
        <w:ind w:firstLine="450"/>
        <w:jc w:val="both"/>
      </w:pPr>
      <w:r>
        <w:rPr>
          <w:rFonts w:ascii="Arial" w:eastAsia="宋体" w:hAnsi="Arial" w:cs="Arial"/>
          <w:color w:val="000000"/>
          <w:sz w:val="20"/>
          <w:szCs w:val="20"/>
        </w:rPr>
        <w:t>On behalf of clients enrolled in our securities lending program, we lend securities to banks, broker/dealers and other institutions. In most circumstances, we indemnify our clients for the fair market value of those securities against a failur</w:t>
      </w:r>
      <w:r>
        <w:rPr>
          <w:rFonts w:ascii="Arial" w:eastAsia="宋体" w:hAnsi="Arial" w:cs="Arial"/>
          <w:color w:val="000000"/>
          <w:sz w:val="20"/>
          <w:szCs w:val="20"/>
        </w:rPr>
        <w:t>e of the borrower to return such securities. Though these transactions are collateralized, the substantial volume of these activities necessitates detailed credit-based underwriting and monitoring processes. The aggregate amount of indemnified securities o</w:t>
      </w:r>
      <w:r>
        <w:rPr>
          <w:rFonts w:ascii="Arial" w:eastAsia="宋体" w:hAnsi="Arial" w:cs="Arial"/>
          <w:color w:val="000000"/>
          <w:sz w:val="20"/>
          <w:szCs w:val="20"/>
        </w:rPr>
        <w:t>n loan totaled $339.55 billion and $385.74 billion as of September 30, 2022 and December 31, 2021, respectively. We require the borrower to provide collateral in an amount in excess of 100% of the fair market value of the securities borrowed. We hold the c</w:t>
      </w:r>
      <w:r>
        <w:rPr>
          <w:rFonts w:ascii="Arial" w:eastAsia="宋体" w:hAnsi="Arial" w:cs="Arial"/>
          <w:color w:val="000000"/>
          <w:sz w:val="20"/>
          <w:szCs w:val="20"/>
        </w:rPr>
        <w:t>ollateral received in connection with these securities lending services as agent, and the collateral is not recorded in our consolidated statement of condition. We revalue the securities on loan and the collateral daily to determine if additional collatera</w:t>
      </w:r>
      <w:r>
        <w:rPr>
          <w:rFonts w:ascii="Arial" w:eastAsia="宋体" w:hAnsi="Arial" w:cs="Arial"/>
          <w:color w:val="000000"/>
          <w:sz w:val="20"/>
          <w:szCs w:val="20"/>
        </w:rPr>
        <w:t>l is necessary or if excess collateral is required to be returned to the borrower. We held, as agent, cash and securities totaling $355.85 billion and $404.12 billion as collateral for indemnified securities on loan as of September 30, 2022 and December 31</w:t>
      </w:r>
      <w:r>
        <w:rPr>
          <w:rFonts w:ascii="Arial" w:eastAsia="宋体" w:hAnsi="Arial" w:cs="Arial"/>
          <w:color w:val="000000"/>
          <w:sz w:val="20"/>
          <w:szCs w:val="20"/>
        </w:rPr>
        <w:t>, 2021, respectively.</w:t>
      </w:r>
    </w:p>
    <w:p w14:paraId="71D41FC4" w14:textId="77777777" w:rsidR="006A3667" w:rsidRDefault="00045F32">
      <w:pPr>
        <w:spacing w:before="40"/>
        <w:ind w:firstLine="450"/>
        <w:jc w:val="both"/>
      </w:pPr>
      <w:r>
        <w:rPr>
          <w:rFonts w:ascii="Arial" w:eastAsia="宋体" w:hAnsi="Arial" w:cs="Arial"/>
          <w:color w:val="000000"/>
          <w:sz w:val="20"/>
          <w:szCs w:val="20"/>
        </w:rPr>
        <w:t>The cash collateral held by us as agent is invested on behalf of our clients. In certain cases, the cash collateral is invested in third-party repurchase agreements, for which we indemnify the client against loss of the principal inve</w:t>
      </w:r>
      <w:r>
        <w:rPr>
          <w:rFonts w:ascii="Arial" w:eastAsia="宋体" w:hAnsi="Arial" w:cs="Arial"/>
          <w:color w:val="000000"/>
          <w:sz w:val="20"/>
          <w:szCs w:val="20"/>
        </w:rPr>
        <w:t>sted. We require the counterparty to the indemnified repurchase agreement to provide collateral in an amount in excess of 100% of the amount of the repurchase agreement. In our role as agent, the indemnified repurchase agreements and the related collateral</w:t>
      </w:r>
      <w:r>
        <w:rPr>
          <w:rFonts w:ascii="Arial" w:eastAsia="宋体" w:hAnsi="Arial" w:cs="Arial"/>
          <w:color w:val="000000"/>
          <w:sz w:val="20"/>
          <w:szCs w:val="20"/>
        </w:rPr>
        <w:t xml:space="preserve"> held by us are not recorded in our consolidated statement of condition. Of the collateral of $355.85 billion and $404.12 billion, referenced above, $59.79 billion and $61.56 billion was invested in indemnified repurchase agreements as of September 30, 202</w:t>
      </w:r>
      <w:r>
        <w:rPr>
          <w:rFonts w:ascii="Arial" w:eastAsia="宋体" w:hAnsi="Arial" w:cs="Arial"/>
          <w:color w:val="000000"/>
          <w:sz w:val="20"/>
          <w:szCs w:val="20"/>
        </w:rPr>
        <w:t>2 and December 31, 2021, respectively. We or our agents held $64.52 billion and $67.01 billion as collateral for indemnified investments in repurchase agreements as of September 30, 2022 and December 31, 2021, respectively.</w:t>
      </w:r>
    </w:p>
    <w:p w14:paraId="71D41FC5" w14:textId="77777777" w:rsidR="006A3667" w:rsidRDefault="00045F32">
      <w:pPr>
        <w:spacing w:before="40"/>
        <w:ind w:firstLine="450"/>
        <w:jc w:val="both"/>
      </w:pPr>
      <w:r>
        <w:rPr>
          <w:rFonts w:ascii="Arial" w:eastAsia="宋体" w:hAnsi="Arial" w:cs="Arial"/>
          <w:color w:val="000000"/>
          <w:sz w:val="20"/>
          <w:szCs w:val="20"/>
        </w:rPr>
        <w:t>Additional information about our</w:t>
      </w:r>
      <w:r>
        <w:rPr>
          <w:rFonts w:ascii="Arial" w:eastAsia="宋体" w:hAnsi="Arial" w:cs="Arial"/>
          <w:color w:val="000000"/>
          <w:sz w:val="20"/>
          <w:szCs w:val="20"/>
        </w:rPr>
        <w:t xml:space="preserve"> securities finance activities and other off-balance sheet arrangements is provided in Notes 7, 9 and 11 to the consolidated financial statements in this Form 10-Q.</w:t>
      </w:r>
    </w:p>
    <w:p w14:paraId="71D41FC6" w14:textId="77777777" w:rsidR="006A3667" w:rsidRDefault="00045F32">
      <w:pPr>
        <w:spacing w:before="90" w:after="60"/>
        <w:jc w:val="both"/>
      </w:pPr>
      <w:r>
        <w:rPr>
          <w:rFonts w:ascii="Arial" w:eastAsia="宋体" w:hAnsi="Arial" w:cs="Arial"/>
          <w:b/>
          <w:bCs/>
          <w:color w:val="000000"/>
          <w:sz w:val="20"/>
          <w:szCs w:val="20"/>
        </w:rPr>
        <w:t>RECENT ACCOUNTING DEVELOPMENTS</w:t>
      </w:r>
    </w:p>
    <w:p w14:paraId="71D41FC7" w14:textId="77777777" w:rsidR="006A3667" w:rsidRDefault="00045F32">
      <w:pPr>
        <w:spacing w:before="60" w:after="60"/>
        <w:ind w:firstLine="450"/>
        <w:jc w:val="both"/>
      </w:pPr>
      <w:r>
        <w:rPr>
          <w:rFonts w:ascii="Arial" w:eastAsia="宋体" w:hAnsi="Arial" w:cs="Arial"/>
          <w:color w:val="000000"/>
          <w:sz w:val="20"/>
          <w:szCs w:val="20"/>
        </w:rPr>
        <w:t>Information with respect to recent accounting developments i</w:t>
      </w:r>
      <w:r>
        <w:rPr>
          <w:rFonts w:ascii="Arial" w:eastAsia="宋体" w:hAnsi="Arial" w:cs="Arial"/>
          <w:color w:val="000000"/>
          <w:sz w:val="20"/>
          <w:szCs w:val="20"/>
        </w:rPr>
        <w:t xml:space="preserve">s provided in Note 1 to the consolidated financial statements in this Form 10-Q. </w:t>
      </w:r>
    </w:p>
    <w:p w14:paraId="71D41FC8" w14:textId="77777777" w:rsidR="006A3667" w:rsidRDefault="00045F32">
      <w:pPr>
        <w:ind w:firstLine="450"/>
        <w:jc w:val="right"/>
      </w:pPr>
      <w:r>
        <w:rPr>
          <w:rFonts w:ascii="Arial" w:eastAsia="宋体" w:hAnsi="Arial" w:cs="Arial"/>
          <w:color w:val="000000"/>
          <w:sz w:val="18"/>
          <w:szCs w:val="18"/>
        </w:rPr>
        <w:t>State Street Corporation | 52</w:t>
      </w:r>
    </w:p>
    <w:p w14:paraId="71D41FC9" w14:textId="77777777" w:rsidR="006A3667" w:rsidRDefault="006A3667">
      <w:pPr>
        <w:ind w:firstLine="450"/>
        <w:jc w:val="center"/>
      </w:pPr>
    </w:p>
    <w:p w14:paraId="71D41FCA" w14:textId="77777777" w:rsidR="006A3667" w:rsidRDefault="00045F32">
      <w:r>
        <w:pict w14:anchorId="71D4AC48">
          <v:rect id="_x0000_i1076" style="width:415.3pt;height:1.5pt" o:hralign="center" o:hrstd="t" o:hr="t" fillcolor="#a0a0a0" stroked="f"/>
        </w:pict>
      </w:r>
    </w:p>
    <w:p w14:paraId="71D41FCB" w14:textId="77777777" w:rsidR="006A3667" w:rsidRDefault="006A3667">
      <w:pPr>
        <w:ind w:firstLine="450"/>
      </w:pPr>
    </w:p>
    <w:p w14:paraId="71D41FCC" w14:textId="77777777" w:rsidR="006A3667" w:rsidRDefault="00045F32">
      <w:pPr>
        <w:spacing w:before="90" w:after="60"/>
        <w:jc w:val="both"/>
      </w:pPr>
      <w:r>
        <w:rPr>
          <w:rFonts w:ascii="Arial" w:eastAsia="宋体" w:hAnsi="Arial" w:cs="Arial"/>
          <w:b/>
          <w:bCs/>
          <w:color w:val="000000"/>
          <w:sz w:val="20"/>
          <w:szCs w:val="20"/>
        </w:rPr>
        <w:t>QUANTITATIVE AND QUALITATIVE DISCLOSURES ABOUT MARKET RISK</w:t>
      </w:r>
    </w:p>
    <w:p w14:paraId="71D41FCD" w14:textId="77777777" w:rsidR="006A3667" w:rsidRDefault="00045F32">
      <w:pPr>
        <w:spacing w:before="90"/>
        <w:ind w:firstLine="450"/>
        <w:jc w:val="both"/>
      </w:pPr>
      <w:r>
        <w:rPr>
          <w:rFonts w:ascii="Arial" w:eastAsia="宋体" w:hAnsi="Arial" w:cs="Arial"/>
          <w:color w:val="000000"/>
          <w:sz w:val="20"/>
          <w:szCs w:val="20"/>
        </w:rPr>
        <w:t xml:space="preserve">The information provided under “Market Risk Management” in "Financial Condition" </w:t>
      </w:r>
      <w:r>
        <w:rPr>
          <w:rFonts w:ascii="Arial" w:eastAsia="宋体" w:hAnsi="Arial" w:cs="Arial"/>
          <w:color w:val="000000"/>
          <w:sz w:val="20"/>
          <w:szCs w:val="20"/>
        </w:rPr>
        <w:t xml:space="preserve">in our Management's Discussion and Analysis in this Form 10-Q, is incorporated by reference herein. </w:t>
      </w:r>
    </w:p>
    <w:p w14:paraId="71D41FCE" w14:textId="77777777" w:rsidR="006A3667" w:rsidRDefault="00045F32">
      <w:pPr>
        <w:spacing w:before="90"/>
        <w:ind w:firstLine="450"/>
        <w:jc w:val="both"/>
      </w:pPr>
      <w:r>
        <w:rPr>
          <w:rFonts w:ascii="Arial" w:eastAsia="宋体" w:hAnsi="Arial" w:cs="Arial"/>
          <w:color w:val="000000"/>
          <w:sz w:val="20"/>
          <w:szCs w:val="20"/>
        </w:rPr>
        <w:t>For more information on our market risk refer to pages 103 to 110 included under Item 7, Management's Discussion and Analysis of Financial Condition and Re</w:t>
      </w:r>
      <w:r>
        <w:rPr>
          <w:rFonts w:ascii="Arial" w:eastAsia="宋体" w:hAnsi="Arial" w:cs="Arial"/>
          <w:color w:val="000000"/>
          <w:sz w:val="20"/>
          <w:szCs w:val="20"/>
        </w:rPr>
        <w:t>sults of Operations, in our 2021 Form 10-K.</w:t>
      </w:r>
    </w:p>
    <w:p w14:paraId="71D41FCF" w14:textId="77777777" w:rsidR="006A3667" w:rsidRDefault="00045F32">
      <w:pPr>
        <w:spacing w:before="180"/>
        <w:jc w:val="both"/>
      </w:pPr>
      <w:r>
        <w:rPr>
          <w:rFonts w:ascii="Arial" w:eastAsia="宋体" w:hAnsi="Arial" w:cs="Arial"/>
          <w:b/>
          <w:bCs/>
          <w:color w:val="000000"/>
          <w:sz w:val="20"/>
          <w:szCs w:val="20"/>
        </w:rPr>
        <w:t>CONTROLS AND PROCEDURES</w:t>
      </w:r>
    </w:p>
    <w:p w14:paraId="71D41FD0" w14:textId="77777777" w:rsidR="006A3667" w:rsidRDefault="00045F32">
      <w:pPr>
        <w:spacing w:before="60"/>
        <w:ind w:firstLine="450"/>
        <w:jc w:val="both"/>
      </w:pPr>
      <w:r>
        <w:rPr>
          <w:rFonts w:ascii="Arial" w:eastAsia="宋体" w:hAnsi="Arial" w:cs="Arial"/>
          <w:color w:val="000000"/>
          <w:sz w:val="20"/>
          <w:szCs w:val="20"/>
        </w:rPr>
        <w:t>We have established and maintain disclosure controls and procedures that are designed to ensure that information related to us and our subsidiaries on a consolidated basis required to be d</w:t>
      </w:r>
      <w:r>
        <w:rPr>
          <w:rFonts w:ascii="Arial" w:eastAsia="宋体" w:hAnsi="Arial" w:cs="Arial"/>
          <w:color w:val="000000"/>
          <w:sz w:val="20"/>
          <w:szCs w:val="20"/>
        </w:rPr>
        <w:t>isclosed in our reports filed or submitted under the Securities Exchange Act of 1934 is recorded, processed, summarized and reported within the time periods specified in the SEC's rules and forms, and that such information is accumulated and communicated t</w:t>
      </w:r>
      <w:r>
        <w:rPr>
          <w:rFonts w:ascii="Arial" w:eastAsia="宋体" w:hAnsi="Arial" w:cs="Arial"/>
          <w:color w:val="000000"/>
          <w:sz w:val="20"/>
          <w:szCs w:val="20"/>
        </w:rPr>
        <w:t>o our management, including our Chief Executive Officer and Chief Financial Officer, as appropriate, to allow timely decisions regarding required disclosure. For the quarter ended September 30, 2022, our management carried out an evaluation, with the parti</w:t>
      </w:r>
      <w:r>
        <w:rPr>
          <w:rFonts w:ascii="Arial" w:eastAsia="宋体" w:hAnsi="Arial" w:cs="Arial"/>
          <w:color w:val="000000"/>
          <w:sz w:val="20"/>
          <w:szCs w:val="20"/>
        </w:rPr>
        <w:t>cipation of the Chief Executive Officer and Chief Financial Officer, of the effectiveness of the design and operation of our disclosure controls and procedures. Based on the evaluation of these disclosure controls and procedures, the Chief Executive Office</w:t>
      </w:r>
      <w:r>
        <w:rPr>
          <w:rFonts w:ascii="Arial" w:eastAsia="宋体" w:hAnsi="Arial" w:cs="Arial"/>
          <w:color w:val="000000"/>
          <w:sz w:val="20"/>
          <w:szCs w:val="20"/>
        </w:rPr>
        <w:t xml:space="preserve">r and Chief Financial Officer concluded that our disclosure controls and procedures were effective as of September 30, 2022. </w:t>
      </w:r>
    </w:p>
    <w:p w14:paraId="71D41FD1" w14:textId="77777777" w:rsidR="006A3667" w:rsidRDefault="00045F32">
      <w:pPr>
        <w:spacing w:before="60"/>
        <w:ind w:firstLine="450"/>
        <w:jc w:val="both"/>
      </w:pPr>
      <w:r>
        <w:rPr>
          <w:rFonts w:ascii="Arial" w:eastAsia="宋体" w:hAnsi="Arial" w:cs="Arial"/>
          <w:color w:val="000000"/>
          <w:sz w:val="20"/>
          <w:szCs w:val="20"/>
        </w:rPr>
        <w:t>We have established and maintain internal control over financial reporting as a process designed to provide reasonable assurance r</w:t>
      </w:r>
      <w:r>
        <w:rPr>
          <w:rFonts w:ascii="Arial" w:eastAsia="宋体" w:hAnsi="Arial" w:cs="Arial"/>
          <w:color w:val="000000"/>
          <w:sz w:val="20"/>
          <w:szCs w:val="20"/>
        </w:rPr>
        <w:t>egarding the reliability of financial reporting and the preparation of consolidated financial statements for external purposes in conformity with U.S. GAAP. In the ordinary course of business, we routinely enhance our internal controls and procedures for f</w:t>
      </w:r>
      <w:r>
        <w:rPr>
          <w:rFonts w:ascii="Arial" w:eastAsia="宋体" w:hAnsi="Arial" w:cs="Arial"/>
          <w:color w:val="000000"/>
          <w:sz w:val="20"/>
          <w:szCs w:val="20"/>
        </w:rPr>
        <w:t xml:space="preserve">inancial reporting by either upgrading our current systems or implementing new systems. Changes have been made and may be made to our internal controls and procedures for financial reporting as a result of these efforts. During the quarter ended September </w:t>
      </w:r>
      <w:r>
        <w:rPr>
          <w:rFonts w:ascii="Arial" w:eastAsia="宋体" w:hAnsi="Arial" w:cs="Arial"/>
          <w:color w:val="000000"/>
          <w:sz w:val="20"/>
          <w:szCs w:val="20"/>
        </w:rPr>
        <w:t xml:space="preserve">30, 2022, no change occurred in our internal control over financial reporting that has materially affected, or is reasonably likely to materially affect, our internal control over financial reporting. </w:t>
      </w:r>
    </w:p>
    <w:p w14:paraId="71D41FD2" w14:textId="77777777" w:rsidR="006A3667" w:rsidRDefault="006A3667">
      <w:pPr>
        <w:spacing w:before="90" w:after="60"/>
        <w:jc w:val="both"/>
        <w:textAlignment w:val="top"/>
      </w:pPr>
    </w:p>
    <w:p w14:paraId="71D41FD3" w14:textId="77777777" w:rsidR="006A3667" w:rsidRDefault="006A3667">
      <w:pPr>
        <w:spacing w:before="100"/>
        <w:ind w:firstLine="450"/>
        <w:textAlignment w:val="top"/>
      </w:pPr>
    </w:p>
    <w:p w14:paraId="71D41FD4" w14:textId="77777777" w:rsidR="006A3667" w:rsidRDefault="00045F32">
      <w:pPr>
        <w:ind w:firstLine="450"/>
        <w:jc w:val="right"/>
      </w:pPr>
      <w:r>
        <w:rPr>
          <w:rFonts w:ascii="Arial" w:eastAsia="宋体" w:hAnsi="Arial" w:cs="Arial"/>
          <w:color w:val="000000"/>
          <w:sz w:val="18"/>
          <w:szCs w:val="18"/>
        </w:rPr>
        <w:t>State Street Corporation | 53</w:t>
      </w:r>
    </w:p>
    <w:p w14:paraId="71D41FD5" w14:textId="77777777" w:rsidR="006A3667" w:rsidRDefault="006A3667">
      <w:pPr>
        <w:ind w:firstLine="450"/>
        <w:jc w:val="center"/>
      </w:pPr>
    </w:p>
    <w:p w14:paraId="71D41FD6" w14:textId="77777777" w:rsidR="006A3667" w:rsidRDefault="00045F32">
      <w:r>
        <w:pict w14:anchorId="71D4AC49">
          <v:rect id="_x0000_i1077" style="width:415.3pt;height:1.5pt" o:hralign="center" o:hrstd="t" o:hr="t" fillcolor="#a0a0a0" stroked="f"/>
        </w:pict>
      </w:r>
    </w:p>
    <w:p w14:paraId="71D41FD7" w14:textId="77777777" w:rsidR="006A3667" w:rsidRDefault="006A3667">
      <w:pPr>
        <w:ind w:firstLine="450"/>
      </w:pPr>
    </w:p>
    <w:p w14:paraId="71D41FD8" w14:textId="77777777" w:rsidR="006A3667" w:rsidRDefault="00045F32">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71D41FD9" w14:textId="77777777" w:rsidR="006A3667" w:rsidRDefault="00045F32">
      <w:pPr>
        <w:ind w:firstLine="450"/>
        <w:jc w:val="center"/>
      </w:pPr>
      <w:r>
        <w:rPr>
          <w:rFonts w:ascii="Arial" w:eastAsia="宋体" w:hAnsi="Arial" w:cs="Arial"/>
          <w:b/>
          <w:bCs/>
          <w:color w:val="000000"/>
          <w:sz w:val="20"/>
          <w:szCs w:val="20"/>
        </w:rPr>
        <w:t>CONSOLIDATED STATEMENT OF INCOME</w:t>
      </w:r>
    </w:p>
    <w:p w14:paraId="71D41FDA" w14:textId="77777777" w:rsidR="006A3667" w:rsidRDefault="00045F32">
      <w:pPr>
        <w:ind w:firstLine="450"/>
        <w:jc w:val="center"/>
      </w:pPr>
      <w:r>
        <w:rPr>
          <w:rFonts w:ascii="Arial" w:eastAsia="宋体" w:hAnsi="Arial" w:cs="Arial"/>
          <w:b/>
          <w:bCs/>
          <w:color w:val="000000"/>
          <w:sz w:val="20"/>
          <w:szCs w:val="20"/>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0"/>
        <w:gridCol w:w="2969"/>
        <w:gridCol w:w="39"/>
        <w:gridCol w:w="122"/>
        <w:gridCol w:w="1050"/>
        <w:gridCol w:w="36"/>
        <w:gridCol w:w="36"/>
        <w:gridCol w:w="36"/>
        <w:gridCol w:w="36"/>
        <w:gridCol w:w="122"/>
        <w:gridCol w:w="1085"/>
        <w:gridCol w:w="36"/>
        <w:gridCol w:w="36"/>
        <w:gridCol w:w="36"/>
        <w:gridCol w:w="36"/>
        <w:gridCol w:w="122"/>
        <w:gridCol w:w="1050"/>
        <w:gridCol w:w="36"/>
        <w:gridCol w:w="36"/>
        <w:gridCol w:w="36"/>
        <w:gridCol w:w="36"/>
        <w:gridCol w:w="122"/>
        <w:gridCol w:w="1050"/>
        <w:gridCol w:w="36"/>
        <w:gridCol w:w="36"/>
        <w:gridCol w:w="36"/>
      </w:tblGrid>
      <w:tr w:rsidR="006A3667" w14:paraId="71D41FF5" w14:textId="77777777">
        <w:tc>
          <w:tcPr>
            <w:tcW w:w="50" w:type="pct"/>
            <w:shd w:val="clear" w:color="auto" w:fill="auto"/>
            <w:vAlign w:val="bottom"/>
          </w:tcPr>
          <w:p w14:paraId="71D41FDB" w14:textId="77777777" w:rsidR="006A3667" w:rsidRDefault="006A3667">
            <w:pPr>
              <w:rPr>
                <w:rFonts w:ascii="宋体"/>
              </w:rPr>
            </w:pPr>
          </w:p>
        </w:tc>
        <w:tc>
          <w:tcPr>
            <w:tcW w:w="1873" w:type="pct"/>
            <w:shd w:val="clear" w:color="auto" w:fill="auto"/>
            <w:vAlign w:val="bottom"/>
          </w:tcPr>
          <w:p w14:paraId="71D41FDC" w14:textId="77777777" w:rsidR="006A3667" w:rsidRDefault="006A3667">
            <w:pPr>
              <w:rPr>
                <w:rFonts w:ascii="宋体"/>
              </w:rPr>
            </w:pPr>
          </w:p>
        </w:tc>
        <w:tc>
          <w:tcPr>
            <w:tcW w:w="5" w:type="pct"/>
            <w:shd w:val="clear" w:color="auto" w:fill="auto"/>
            <w:vAlign w:val="bottom"/>
          </w:tcPr>
          <w:p w14:paraId="71D41FDD" w14:textId="77777777" w:rsidR="006A3667" w:rsidRDefault="006A3667">
            <w:pPr>
              <w:rPr>
                <w:rFonts w:ascii="宋体"/>
              </w:rPr>
            </w:pPr>
          </w:p>
        </w:tc>
        <w:tc>
          <w:tcPr>
            <w:tcW w:w="50" w:type="pct"/>
            <w:shd w:val="clear" w:color="auto" w:fill="auto"/>
            <w:vAlign w:val="bottom"/>
          </w:tcPr>
          <w:p w14:paraId="71D41FDE" w14:textId="77777777" w:rsidR="006A3667" w:rsidRDefault="006A3667">
            <w:pPr>
              <w:rPr>
                <w:rFonts w:ascii="宋体"/>
              </w:rPr>
            </w:pPr>
          </w:p>
        </w:tc>
        <w:tc>
          <w:tcPr>
            <w:tcW w:w="685" w:type="pct"/>
            <w:shd w:val="clear" w:color="auto" w:fill="auto"/>
            <w:vAlign w:val="bottom"/>
          </w:tcPr>
          <w:p w14:paraId="71D41FDF" w14:textId="77777777" w:rsidR="006A3667" w:rsidRDefault="006A3667">
            <w:pPr>
              <w:rPr>
                <w:rFonts w:ascii="宋体"/>
              </w:rPr>
            </w:pPr>
          </w:p>
        </w:tc>
        <w:tc>
          <w:tcPr>
            <w:tcW w:w="5" w:type="pct"/>
            <w:shd w:val="clear" w:color="auto" w:fill="auto"/>
            <w:vAlign w:val="bottom"/>
          </w:tcPr>
          <w:p w14:paraId="71D41FE0" w14:textId="77777777" w:rsidR="006A3667" w:rsidRDefault="006A3667">
            <w:pPr>
              <w:rPr>
                <w:rFonts w:ascii="宋体"/>
              </w:rPr>
            </w:pPr>
          </w:p>
        </w:tc>
        <w:tc>
          <w:tcPr>
            <w:tcW w:w="5" w:type="pct"/>
            <w:shd w:val="clear" w:color="auto" w:fill="auto"/>
            <w:vAlign w:val="bottom"/>
          </w:tcPr>
          <w:p w14:paraId="71D41FE1" w14:textId="77777777" w:rsidR="006A3667" w:rsidRDefault="006A3667">
            <w:pPr>
              <w:rPr>
                <w:rFonts w:ascii="宋体"/>
              </w:rPr>
            </w:pPr>
          </w:p>
        </w:tc>
        <w:tc>
          <w:tcPr>
            <w:tcW w:w="19" w:type="pct"/>
            <w:shd w:val="clear" w:color="auto" w:fill="auto"/>
            <w:vAlign w:val="bottom"/>
          </w:tcPr>
          <w:p w14:paraId="71D41FE2" w14:textId="77777777" w:rsidR="006A3667" w:rsidRDefault="006A3667">
            <w:pPr>
              <w:rPr>
                <w:rFonts w:ascii="宋体"/>
              </w:rPr>
            </w:pPr>
          </w:p>
        </w:tc>
        <w:tc>
          <w:tcPr>
            <w:tcW w:w="5" w:type="pct"/>
            <w:shd w:val="clear" w:color="auto" w:fill="auto"/>
            <w:vAlign w:val="bottom"/>
          </w:tcPr>
          <w:p w14:paraId="71D41FE3" w14:textId="77777777" w:rsidR="006A3667" w:rsidRDefault="006A3667">
            <w:pPr>
              <w:rPr>
                <w:rFonts w:ascii="宋体"/>
              </w:rPr>
            </w:pPr>
          </w:p>
        </w:tc>
        <w:tc>
          <w:tcPr>
            <w:tcW w:w="50" w:type="pct"/>
            <w:shd w:val="clear" w:color="auto" w:fill="auto"/>
            <w:vAlign w:val="bottom"/>
          </w:tcPr>
          <w:p w14:paraId="71D41FE4" w14:textId="77777777" w:rsidR="006A3667" w:rsidRDefault="006A3667">
            <w:pPr>
              <w:rPr>
                <w:rFonts w:ascii="宋体"/>
              </w:rPr>
            </w:pPr>
          </w:p>
        </w:tc>
        <w:tc>
          <w:tcPr>
            <w:tcW w:w="707" w:type="pct"/>
            <w:shd w:val="clear" w:color="auto" w:fill="auto"/>
            <w:vAlign w:val="bottom"/>
          </w:tcPr>
          <w:p w14:paraId="71D41FE5" w14:textId="77777777" w:rsidR="006A3667" w:rsidRDefault="006A3667">
            <w:pPr>
              <w:rPr>
                <w:rFonts w:ascii="宋体"/>
              </w:rPr>
            </w:pPr>
          </w:p>
        </w:tc>
        <w:tc>
          <w:tcPr>
            <w:tcW w:w="5" w:type="pct"/>
            <w:shd w:val="clear" w:color="auto" w:fill="auto"/>
            <w:vAlign w:val="bottom"/>
          </w:tcPr>
          <w:p w14:paraId="71D41FE6" w14:textId="77777777" w:rsidR="006A3667" w:rsidRDefault="006A3667">
            <w:pPr>
              <w:rPr>
                <w:rFonts w:ascii="宋体"/>
              </w:rPr>
            </w:pPr>
          </w:p>
        </w:tc>
        <w:tc>
          <w:tcPr>
            <w:tcW w:w="5" w:type="pct"/>
            <w:shd w:val="clear" w:color="auto" w:fill="auto"/>
            <w:vAlign w:val="bottom"/>
          </w:tcPr>
          <w:p w14:paraId="71D41FE7" w14:textId="77777777" w:rsidR="006A3667" w:rsidRDefault="006A3667">
            <w:pPr>
              <w:rPr>
                <w:rFonts w:ascii="宋体"/>
              </w:rPr>
            </w:pPr>
          </w:p>
        </w:tc>
        <w:tc>
          <w:tcPr>
            <w:tcW w:w="19" w:type="pct"/>
            <w:shd w:val="clear" w:color="auto" w:fill="auto"/>
            <w:vAlign w:val="bottom"/>
          </w:tcPr>
          <w:p w14:paraId="71D41FE8" w14:textId="77777777" w:rsidR="006A3667" w:rsidRDefault="006A3667">
            <w:pPr>
              <w:rPr>
                <w:rFonts w:ascii="宋体"/>
              </w:rPr>
            </w:pPr>
          </w:p>
        </w:tc>
        <w:tc>
          <w:tcPr>
            <w:tcW w:w="5" w:type="pct"/>
            <w:shd w:val="clear" w:color="auto" w:fill="auto"/>
            <w:vAlign w:val="bottom"/>
          </w:tcPr>
          <w:p w14:paraId="71D41FE9" w14:textId="77777777" w:rsidR="006A3667" w:rsidRDefault="006A3667">
            <w:pPr>
              <w:rPr>
                <w:rFonts w:ascii="宋体"/>
              </w:rPr>
            </w:pPr>
          </w:p>
        </w:tc>
        <w:tc>
          <w:tcPr>
            <w:tcW w:w="50" w:type="pct"/>
            <w:shd w:val="clear" w:color="auto" w:fill="auto"/>
            <w:vAlign w:val="bottom"/>
          </w:tcPr>
          <w:p w14:paraId="71D41FEA" w14:textId="77777777" w:rsidR="006A3667" w:rsidRDefault="006A3667">
            <w:pPr>
              <w:rPr>
                <w:rFonts w:ascii="宋体"/>
              </w:rPr>
            </w:pPr>
          </w:p>
        </w:tc>
        <w:tc>
          <w:tcPr>
            <w:tcW w:w="685" w:type="pct"/>
            <w:shd w:val="clear" w:color="auto" w:fill="auto"/>
            <w:vAlign w:val="bottom"/>
          </w:tcPr>
          <w:p w14:paraId="71D41FEB" w14:textId="77777777" w:rsidR="006A3667" w:rsidRDefault="006A3667">
            <w:pPr>
              <w:rPr>
                <w:rFonts w:ascii="宋体"/>
              </w:rPr>
            </w:pPr>
          </w:p>
        </w:tc>
        <w:tc>
          <w:tcPr>
            <w:tcW w:w="5" w:type="pct"/>
            <w:shd w:val="clear" w:color="auto" w:fill="auto"/>
            <w:vAlign w:val="bottom"/>
          </w:tcPr>
          <w:p w14:paraId="71D41FEC" w14:textId="77777777" w:rsidR="006A3667" w:rsidRDefault="006A3667">
            <w:pPr>
              <w:rPr>
                <w:rFonts w:ascii="宋体"/>
              </w:rPr>
            </w:pPr>
          </w:p>
        </w:tc>
        <w:tc>
          <w:tcPr>
            <w:tcW w:w="5" w:type="pct"/>
            <w:shd w:val="clear" w:color="auto" w:fill="auto"/>
            <w:vAlign w:val="bottom"/>
          </w:tcPr>
          <w:p w14:paraId="71D41FED" w14:textId="77777777" w:rsidR="006A3667" w:rsidRDefault="006A3667">
            <w:pPr>
              <w:rPr>
                <w:rFonts w:ascii="宋体"/>
              </w:rPr>
            </w:pPr>
          </w:p>
        </w:tc>
        <w:tc>
          <w:tcPr>
            <w:tcW w:w="19" w:type="pct"/>
            <w:shd w:val="clear" w:color="auto" w:fill="auto"/>
            <w:vAlign w:val="bottom"/>
          </w:tcPr>
          <w:p w14:paraId="71D41FEE" w14:textId="77777777" w:rsidR="006A3667" w:rsidRDefault="006A3667">
            <w:pPr>
              <w:rPr>
                <w:rFonts w:ascii="宋体"/>
              </w:rPr>
            </w:pPr>
          </w:p>
        </w:tc>
        <w:tc>
          <w:tcPr>
            <w:tcW w:w="5" w:type="pct"/>
            <w:shd w:val="clear" w:color="auto" w:fill="auto"/>
            <w:vAlign w:val="bottom"/>
          </w:tcPr>
          <w:p w14:paraId="71D41FEF" w14:textId="77777777" w:rsidR="006A3667" w:rsidRDefault="006A3667">
            <w:pPr>
              <w:rPr>
                <w:rFonts w:ascii="宋体"/>
              </w:rPr>
            </w:pPr>
          </w:p>
        </w:tc>
        <w:tc>
          <w:tcPr>
            <w:tcW w:w="50" w:type="pct"/>
            <w:shd w:val="clear" w:color="auto" w:fill="auto"/>
            <w:vAlign w:val="bottom"/>
          </w:tcPr>
          <w:p w14:paraId="71D41FF0" w14:textId="77777777" w:rsidR="006A3667" w:rsidRDefault="006A3667">
            <w:pPr>
              <w:rPr>
                <w:rFonts w:ascii="宋体"/>
              </w:rPr>
            </w:pPr>
          </w:p>
        </w:tc>
        <w:tc>
          <w:tcPr>
            <w:tcW w:w="685" w:type="pct"/>
            <w:shd w:val="clear" w:color="auto" w:fill="auto"/>
            <w:vAlign w:val="bottom"/>
          </w:tcPr>
          <w:p w14:paraId="71D41FF1" w14:textId="77777777" w:rsidR="006A3667" w:rsidRDefault="006A3667">
            <w:pPr>
              <w:rPr>
                <w:rFonts w:ascii="宋体"/>
              </w:rPr>
            </w:pPr>
          </w:p>
        </w:tc>
        <w:tc>
          <w:tcPr>
            <w:tcW w:w="5" w:type="pct"/>
            <w:shd w:val="clear" w:color="auto" w:fill="auto"/>
            <w:vAlign w:val="bottom"/>
          </w:tcPr>
          <w:p w14:paraId="71D41FF2" w14:textId="77777777" w:rsidR="006A3667" w:rsidRDefault="006A3667">
            <w:pPr>
              <w:rPr>
                <w:rFonts w:ascii="宋体"/>
              </w:rPr>
            </w:pPr>
          </w:p>
        </w:tc>
        <w:tc>
          <w:tcPr>
            <w:tcW w:w="0" w:type="auto"/>
            <w:shd w:val="clear" w:color="auto" w:fill="auto"/>
            <w:vAlign w:val="bottom"/>
          </w:tcPr>
          <w:p w14:paraId="71D41FF3" w14:textId="77777777" w:rsidR="006A3667" w:rsidRDefault="006A3667">
            <w:pPr>
              <w:rPr>
                <w:rFonts w:ascii="宋体"/>
                <w:vanish/>
              </w:rPr>
            </w:pPr>
          </w:p>
        </w:tc>
        <w:tc>
          <w:tcPr>
            <w:tcW w:w="0" w:type="auto"/>
            <w:shd w:val="clear" w:color="auto" w:fill="auto"/>
            <w:vAlign w:val="bottom"/>
          </w:tcPr>
          <w:p w14:paraId="71D41FF4" w14:textId="77777777" w:rsidR="006A3667" w:rsidRDefault="006A3667">
            <w:pPr>
              <w:rPr>
                <w:rFonts w:ascii="宋体"/>
                <w:vanish/>
              </w:rPr>
            </w:pPr>
          </w:p>
        </w:tc>
      </w:tr>
      <w:tr w:rsidR="006A3667" w14:paraId="71D41FFC" w14:textId="77777777">
        <w:tc>
          <w:tcPr>
            <w:tcW w:w="0" w:type="auto"/>
            <w:gridSpan w:val="3"/>
            <w:shd w:val="clear" w:color="auto" w:fill="auto"/>
            <w:tcMar>
              <w:top w:w="0" w:type="dxa"/>
              <w:left w:w="20" w:type="dxa"/>
              <w:bottom w:w="0" w:type="dxa"/>
              <w:right w:w="20" w:type="dxa"/>
            </w:tcMar>
            <w:vAlign w:val="bottom"/>
          </w:tcPr>
          <w:p w14:paraId="71D41FF6"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1FF7" w14:textId="77777777" w:rsidR="006A3667" w:rsidRDefault="00045F32">
            <w:pPr>
              <w:jc w:val="center"/>
              <w:textAlignment w:val="bottom"/>
            </w:pPr>
            <w:r>
              <w:rPr>
                <w:rFonts w:ascii="Arial" w:eastAsia="宋体" w:hAnsi="Arial" w:cs="Arial"/>
                <w:b/>
                <w:bCs/>
                <w:color w:val="000000"/>
                <w:sz w:val="18"/>
                <w:szCs w:val="18"/>
              </w:rPr>
              <w:t>Three Months Ended September 30,</w:t>
            </w:r>
          </w:p>
        </w:tc>
        <w:tc>
          <w:tcPr>
            <w:tcW w:w="0" w:type="auto"/>
            <w:gridSpan w:val="3"/>
            <w:shd w:val="clear" w:color="auto" w:fill="auto"/>
            <w:tcMar>
              <w:top w:w="0" w:type="dxa"/>
              <w:left w:w="20" w:type="dxa"/>
              <w:bottom w:w="0" w:type="dxa"/>
              <w:right w:w="20" w:type="dxa"/>
            </w:tcMar>
            <w:vAlign w:val="bottom"/>
          </w:tcPr>
          <w:p w14:paraId="71D41FF8"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1FF9" w14:textId="77777777" w:rsidR="006A3667" w:rsidRDefault="00045F32">
            <w:pPr>
              <w:jc w:val="center"/>
              <w:textAlignment w:val="bottom"/>
            </w:pPr>
            <w:r>
              <w:rPr>
                <w:rFonts w:ascii="Arial" w:eastAsia="宋体" w:hAnsi="Arial" w:cs="Arial"/>
                <w:b/>
                <w:bCs/>
                <w:color w:val="000000"/>
                <w:sz w:val="18"/>
                <w:szCs w:val="18"/>
              </w:rPr>
              <w:t>Nine Months Ended September 30,</w:t>
            </w:r>
          </w:p>
        </w:tc>
        <w:tc>
          <w:tcPr>
            <w:tcW w:w="0" w:type="auto"/>
            <w:shd w:val="clear" w:color="auto" w:fill="auto"/>
            <w:vAlign w:val="bottom"/>
          </w:tcPr>
          <w:p w14:paraId="71D41FFA" w14:textId="77777777" w:rsidR="006A3667" w:rsidRDefault="006A3667">
            <w:pPr>
              <w:rPr>
                <w:rFonts w:ascii="宋体"/>
                <w:vanish/>
              </w:rPr>
            </w:pPr>
          </w:p>
        </w:tc>
        <w:tc>
          <w:tcPr>
            <w:tcW w:w="0" w:type="auto"/>
            <w:shd w:val="clear" w:color="auto" w:fill="auto"/>
            <w:vAlign w:val="bottom"/>
          </w:tcPr>
          <w:p w14:paraId="71D41FFB" w14:textId="77777777" w:rsidR="006A3667" w:rsidRDefault="006A3667">
            <w:pPr>
              <w:rPr>
                <w:rFonts w:ascii="宋体"/>
                <w:vanish/>
              </w:rPr>
            </w:pPr>
          </w:p>
        </w:tc>
      </w:tr>
      <w:tr w:rsidR="006A3667" w14:paraId="71D42007" w14:textId="77777777">
        <w:tc>
          <w:tcPr>
            <w:tcW w:w="0" w:type="auto"/>
            <w:gridSpan w:val="3"/>
            <w:shd w:val="clear" w:color="auto" w:fill="auto"/>
            <w:tcMar>
              <w:top w:w="40" w:type="dxa"/>
              <w:left w:w="20" w:type="dxa"/>
              <w:bottom w:w="40" w:type="dxa"/>
              <w:right w:w="20" w:type="dxa"/>
            </w:tcMar>
            <w:vAlign w:val="bottom"/>
          </w:tcPr>
          <w:p w14:paraId="71D41FFD" w14:textId="77777777" w:rsidR="006A3667" w:rsidRDefault="00045F32">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1FFE" w14:textId="77777777" w:rsidR="006A3667" w:rsidRDefault="00045F32">
            <w:pPr>
              <w:jc w:val="center"/>
              <w:textAlignment w:val="bottom"/>
            </w:pPr>
            <w:r>
              <w:rPr>
                <w:rFonts w:ascii="Arial" w:eastAsia="宋体" w:hAnsi="Arial" w:cs="Arial"/>
                <w:b/>
                <w:bCs/>
                <w:color w:val="000000"/>
                <w:sz w:val="18"/>
                <w:szCs w:val="18"/>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1FF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000" w14:textId="77777777" w:rsidR="006A3667" w:rsidRDefault="00045F32">
            <w:pPr>
              <w:jc w:val="center"/>
              <w:textAlignment w:val="bottom"/>
            </w:pPr>
            <w:r>
              <w:rPr>
                <w:rFonts w:ascii="Arial" w:eastAsia="宋体" w:hAnsi="Arial" w:cs="Arial"/>
                <w:b/>
                <w:bCs/>
                <w:color w:val="000000"/>
                <w:sz w:val="18"/>
                <w:szCs w:val="18"/>
              </w:rPr>
              <w:t>2021</w:t>
            </w:r>
          </w:p>
        </w:tc>
        <w:tc>
          <w:tcPr>
            <w:tcW w:w="0" w:type="auto"/>
            <w:gridSpan w:val="3"/>
            <w:shd w:val="clear" w:color="auto" w:fill="auto"/>
            <w:tcMar>
              <w:top w:w="0" w:type="dxa"/>
              <w:left w:w="20" w:type="dxa"/>
              <w:bottom w:w="0" w:type="dxa"/>
              <w:right w:w="20" w:type="dxa"/>
            </w:tcMar>
            <w:vAlign w:val="bottom"/>
          </w:tcPr>
          <w:p w14:paraId="71D4200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002" w14:textId="77777777" w:rsidR="006A3667" w:rsidRDefault="00045F32">
            <w:pPr>
              <w:jc w:val="center"/>
              <w:textAlignment w:val="bottom"/>
            </w:pPr>
            <w:r>
              <w:rPr>
                <w:rFonts w:ascii="Arial" w:eastAsia="宋体" w:hAnsi="Arial" w:cs="Arial"/>
                <w:b/>
                <w:bCs/>
                <w:color w:val="000000"/>
                <w:sz w:val="18"/>
                <w:szCs w:val="18"/>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00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004" w14:textId="77777777" w:rsidR="006A3667" w:rsidRDefault="00045F32">
            <w:pPr>
              <w:jc w:val="center"/>
              <w:textAlignment w:val="bottom"/>
            </w:pPr>
            <w:r>
              <w:rPr>
                <w:rFonts w:ascii="Arial" w:eastAsia="宋体" w:hAnsi="Arial" w:cs="Arial"/>
                <w:b/>
                <w:bCs/>
                <w:color w:val="000000"/>
                <w:sz w:val="18"/>
                <w:szCs w:val="18"/>
              </w:rPr>
              <w:t>2021</w:t>
            </w:r>
          </w:p>
        </w:tc>
        <w:tc>
          <w:tcPr>
            <w:tcW w:w="0" w:type="auto"/>
            <w:shd w:val="clear" w:color="auto" w:fill="auto"/>
            <w:vAlign w:val="bottom"/>
          </w:tcPr>
          <w:p w14:paraId="71D42005" w14:textId="77777777" w:rsidR="006A3667" w:rsidRDefault="006A3667">
            <w:pPr>
              <w:rPr>
                <w:rFonts w:ascii="宋体"/>
                <w:vanish/>
              </w:rPr>
            </w:pPr>
          </w:p>
        </w:tc>
        <w:tc>
          <w:tcPr>
            <w:tcW w:w="0" w:type="auto"/>
            <w:shd w:val="clear" w:color="auto" w:fill="auto"/>
            <w:vAlign w:val="bottom"/>
          </w:tcPr>
          <w:p w14:paraId="71D42006" w14:textId="77777777" w:rsidR="006A3667" w:rsidRDefault="006A3667">
            <w:pPr>
              <w:rPr>
                <w:rFonts w:ascii="宋体"/>
                <w:vanish/>
              </w:rPr>
            </w:pPr>
          </w:p>
        </w:tc>
      </w:tr>
      <w:tr w:rsidR="006A3667" w14:paraId="71D42012" w14:textId="77777777">
        <w:tc>
          <w:tcPr>
            <w:tcW w:w="0" w:type="auto"/>
            <w:gridSpan w:val="3"/>
            <w:shd w:val="clear" w:color="auto" w:fill="auto"/>
            <w:tcMar>
              <w:top w:w="40" w:type="dxa"/>
              <w:left w:w="20" w:type="dxa"/>
              <w:bottom w:w="40" w:type="dxa"/>
              <w:right w:w="20" w:type="dxa"/>
            </w:tcMar>
            <w:vAlign w:val="bottom"/>
          </w:tcPr>
          <w:p w14:paraId="71D42008" w14:textId="77777777" w:rsidR="006A3667" w:rsidRDefault="00045F32">
            <w:pPr>
              <w:textAlignment w:val="bottom"/>
            </w:pPr>
            <w:r>
              <w:rPr>
                <w:rFonts w:ascii="Arial" w:eastAsia="宋体" w:hAnsi="Arial" w:cs="Arial"/>
                <w:b/>
                <w:bCs/>
                <w:color w:val="000000"/>
                <w:sz w:val="18"/>
                <w:szCs w:val="18"/>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00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00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00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00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00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00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00F" w14:textId="77777777" w:rsidR="006A3667" w:rsidRDefault="006A3667">
            <w:pPr>
              <w:rPr>
                <w:rFonts w:ascii="宋体"/>
              </w:rPr>
            </w:pPr>
          </w:p>
        </w:tc>
        <w:tc>
          <w:tcPr>
            <w:tcW w:w="0" w:type="auto"/>
            <w:shd w:val="clear" w:color="auto" w:fill="auto"/>
            <w:vAlign w:val="bottom"/>
          </w:tcPr>
          <w:p w14:paraId="71D42010" w14:textId="77777777" w:rsidR="006A3667" w:rsidRDefault="006A3667">
            <w:pPr>
              <w:rPr>
                <w:rFonts w:ascii="宋体"/>
                <w:vanish/>
              </w:rPr>
            </w:pPr>
          </w:p>
        </w:tc>
        <w:tc>
          <w:tcPr>
            <w:tcW w:w="0" w:type="auto"/>
            <w:shd w:val="clear" w:color="auto" w:fill="auto"/>
            <w:vAlign w:val="bottom"/>
          </w:tcPr>
          <w:p w14:paraId="71D42011" w14:textId="77777777" w:rsidR="006A3667" w:rsidRDefault="006A3667">
            <w:pPr>
              <w:rPr>
                <w:rFonts w:ascii="宋体"/>
                <w:vanish/>
              </w:rPr>
            </w:pPr>
          </w:p>
        </w:tc>
      </w:tr>
      <w:tr w:rsidR="006A3667" w14:paraId="71D4201D" w14:textId="77777777">
        <w:trPr>
          <w:hidden/>
        </w:trPr>
        <w:tc>
          <w:tcPr>
            <w:tcW w:w="0" w:type="auto"/>
            <w:gridSpan w:val="3"/>
            <w:shd w:val="clear" w:color="auto" w:fill="auto"/>
            <w:vAlign w:val="bottom"/>
          </w:tcPr>
          <w:p w14:paraId="71D42013" w14:textId="77777777" w:rsidR="006A3667" w:rsidRDefault="006A3667">
            <w:pPr>
              <w:rPr>
                <w:rFonts w:ascii="宋体"/>
                <w:vanish/>
              </w:rPr>
            </w:pPr>
          </w:p>
        </w:tc>
        <w:tc>
          <w:tcPr>
            <w:tcW w:w="0" w:type="auto"/>
            <w:gridSpan w:val="3"/>
            <w:shd w:val="clear" w:color="auto" w:fill="auto"/>
            <w:vAlign w:val="bottom"/>
          </w:tcPr>
          <w:p w14:paraId="71D42014" w14:textId="77777777" w:rsidR="006A3667" w:rsidRDefault="006A3667">
            <w:pPr>
              <w:rPr>
                <w:rFonts w:ascii="宋体"/>
                <w:vanish/>
              </w:rPr>
            </w:pPr>
          </w:p>
        </w:tc>
        <w:tc>
          <w:tcPr>
            <w:tcW w:w="0" w:type="auto"/>
            <w:gridSpan w:val="3"/>
            <w:shd w:val="clear" w:color="auto" w:fill="auto"/>
            <w:vAlign w:val="bottom"/>
          </w:tcPr>
          <w:p w14:paraId="71D42015" w14:textId="77777777" w:rsidR="006A3667" w:rsidRDefault="006A3667">
            <w:pPr>
              <w:rPr>
                <w:rFonts w:ascii="宋体"/>
                <w:vanish/>
              </w:rPr>
            </w:pPr>
          </w:p>
        </w:tc>
        <w:tc>
          <w:tcPr>
            <w:tcW w:w="0" w:type="auto"/>
            <w:gridSpan w:val="3"/>
            <w:shd w:val="clear" w:color="auto" w:fill="auto"/>
            <w:vAlign w:val="bottom"/>
          </w:tcPr>
          <w:p w14:paraId="71D42016" w14:textId="77777777" w:rsidR="006A3667" w:rsidRDefault="006A3667">
            <w:pPr>
              <w:rPr>
                <w:rFonts w:ascii="宋体"/>
                <w:vanish/>
              </w:rPr>
            </w:pPr>
          </w:p>
        </w:tc>
        <w:tc>
          <w:tcPr>
            <w:tcW w:w="0" w:type="auto"/>
            <w:gridSpan w:val="3"/>
            <w:shd w:val="clear" w:color="auto" w:fill="auto"/>
            <w:vAlign w:val="bottom"/>
          </w:tcPr>
          <w:p w14:paraId="71D42017" w14:textId="77777777" w:rsidR="006A3667" w:rsidRDefault="006A3667">
            <w:pPr>
              <w:rPr>
                <w:rFonts w:ascii="宋体"/>
                <w:vanish/>
              </w:rPr>
            </w:pPr>
          </w:p>
        </w:tc>
        <w:tc>
          <w:tcPr>
            <w:tcW w:w="0" w:type="auto"/>
            <w:gridSpan w:val="3"/>
            <w:shd w:val="clear" w:color="auto" w:fill="auto"/>
            <w:vAlign w:val="bottom"/>
          </w:tcPr>
          <w:p w14:paraId="71D42018" w14:textId="77777777" w:rsidR="006A3667" w:rsidRDefault="006A3667">
            <w:pPr>
              <w:rPr>
                <w:rFonts w:ascii="宋体"/>
                <w:vanish/>
              </w:rPr>
            </w:pPr>
          </w:p>
        </w:tc>
        <w:tc>
          <w:tcPr>
            <w:tcW w:w="0" w:type="auto"/>
            <w:gridSpan w:val="3"/>
            <w:shd w:val="clear" w:color="auto" w:fill="auto"/>
            <w:vAlign w:val="bottom"/>
          </w:tcPr>
          <w:p w14:paraId="71D42019" w14:textId="77777777" w:rsidR="006A3667" w:rsidRDefault="006A3667">
            <w:pPr>
              <w:rPr>
                <w:rFonts w:ascii="宋体"/>
                <w:vanish/>
              </w:rPr>
            </w:pPr>
          </w:p>
        </w:tc>
        <w:tc>
          <w:tcPr>
            <w:tcW w:w="0" w:type="auto"/>
            <w:gridSpan w:val="3"/>
            <w:shd w:val="clear" w:color="auto" w:fill="auto"/>
            <w:vAlign w:val="bottom"/>
          </w:tcPr>
          <w:p w14:paraId="71D4201A" w14:textId="77777777" w:rsidR="006A3667" w:rsidRDefault="006A3667">
            <w:pPr>
              <w:rPr>
                <w:rFonts w:ascii="宋体"/>
                <w:vanish/>
              </w:rPr>
            </w:pPr>
          </w:p>
        </w:tc>
        <w:tc>
          <w:tcPr>
            <w:tcW w:w="0" w:type="auto"/>
            <w:shd w:val="clear" w:color="auto" w:fill="auto"/>
            <w:vAlign w:val="bottom"/>
          </w:tcPr>
          <w:p w14:paraId="71D4201B" w14:textId="77777777" w:rsidR="006A3667" w:rsidRDefault="006A3667">
            <w:pPr>
              <w:rPr>
                <w:rFonts w:ascii="宋体"/>
                <w:vanish/>
              </w:rPr>
            </w:pPr>
          </w:p>
        </w:tc>
        <w:tc>
          <w:tcPr>
            <w:tcW w:w="0" w:type="auto"/>
            <w:shd w:val="clear" w:color="auto" w:fill="auto"/>
            <w:vAlign w:val="bottom"/>
          </w:tcPr>
          <w:p w14:paraId="71D4201C" w14:textId="77777777" w:rsidR="006A3667" w:rsidRDefault="006A3667">
            <w:pPr>
              <w:rPr>
                <w:rFonts w:ascii="宋体"/>
                <w:vanish/>
              </w:rPr>
            </w:pPr>
          </w:p>
        </w:tc>
      </w:tr>
      <w:tr w:rsidR="006A3667" w14:paraId="71D42028" w14:textId="77777777">
        <w:trPr>
          <w:hidden/>
        </w:trPr>
        <w:tc>
          <w:tcPr>
            <w:tcW w:w="0" w:type="auto"/>
            <w:gridSpan w:val="3"/>
            <w:shd w:val="clear" w:color="auto" w:fill="auto"/>
            <w:vAlign w:val="bottom"/>
          </w:tcPr>
          <w:p w14:paraId="71D4201E" w14:textId="77777777" w:rsidR="006A3667" w:rsidRDefault="006A3667">
            <w:pPr>
              <w:rPr>
                <w:rFonts w:ascii="宋体"/>
                <w:vanish/>
              </w:rPr>
            </w:pPr>
          </w:p>
        </w:tc>
        <w:tc>
          <w:tcPr>
            <w:tcW w:w="0" w:type="auto"/>
            <w:gridSpan w:val="3"/>
            <w:shd w:val="clear" w:color="auto" w:fill="auto"/>
            <w:vAlign w:val="bottom"/>
          </w:tcPr>
          <w:p w14:paraId="71D4201F" w14:textId="77777777" w:rsidR="006A3667" w:rsidRDefault="006A3667">
            <w:pPr>
              <w:rPr>
                <w:rFonts w:ascii="宋体"/>
                <w:vanish/>
              </w:rPr>
            </w:pPr>
          </w:p>
        </w:tc>
        <w:tc>
          <w:tcPr>
            <w:tcW w:w="0" w:type="auto"/>
            <w:gridSpan w:val="3"/>
            <w:shd w:val="clear" w:color="auto" w:fill="auto"/>
            <w:vAlign w:val="bottom"/>
          </w:tcPr>
          <w:p w14:paraId="71D42020" w14:textId="77777777" w:rsidR="006A3667" w:rsidRDefault="006A3667">
            <w:pPr>
              <w:rPr>
                <w:rFonts w:ascii="宋体"/>
                <w:vanish/>
              </w:rPr>
            </w:pPr>
          </w:p>
        </w:tc>
        <w:tc>
          <w:tcPr>
            <w:tcW w:w="0" w:type="auto"/>
            <w:gridSpan w:val="3"/>
            <w:shd w:val="clear" w:color="auto" w:fill="auto"/>
            <w:vAlign w:val="bottom"/>
          </w:tcPr>
          <w:p w14:paraId="71D42021" w14:textId="77777777" w:rsidR="006A3667" w:rsidRDefault="006A3667">
            <w:pPr>
              <w:rPr>
                <w:rFonts w:ascii="宋体"/>
                <w:vanish/>
              </w:rPr>
            </w:pPr>
          </w:p>
        </w:tc>
        <w:tc>
          <w:tcPr>
            <w:tcW w:w="0" w:type="auto"/>
            <w:gridSpan w:val="3"/>
            <w:shd w:val="clear" w:color="auto" w:fill="auto"/>
            <w:vAlign w:val="bottom"/>
          </w:tcPr>
          <w:p w14:paraId="71D42022" w14:textId="77777777" w:rsidR="006A3667" w:rsidRDefault="006A3667">
            <w:pPr>
              <w:rPr>
                <w:rFonts w:ascii="宋体"/>
                <w:vanish/>
              </w:rPr>
            </w:pPr>
          </w:p>
        </w:tc>
        <w:tc>
          <w:tcPr>
            <w:tcW w:w="0" w:type="auto"/>
            <w:gridSpan w:val="3"/>
            <w:shd w:val="clear" w:color="auto" w:fill="auto"/>
            <w:vAlign w:val="bottom"/>
          </w:tcPr>
          <w:p w14:paraId="71D42023" w14:textId="77777777" w:rsidR="006A3667" w:rsidRDefault="006A3667">
            <w:pPr>
              <w:rPr>
                <w:rFonts w:ascii="宋体"/>
                <w:vanish/>
              </w:rPr>
            </w:pPr>
          </w:p>
        </w:tc>
        <w:tc>
          <w:tcPr>
            <w:tcW w:w="0" w:type="auto"/>
            <w:gridSpan w:val="3"/>
            <w:shd w:val="clear" w:color="auto" w:fill="auto"/>
            <w:vAlign w:val="bottom"/>
          </w:tcPr>
          <w:p w14:paraId="71D42024" w14:textId="77777777" w:rsidR="006A3667" w:rsidRDefault="006A3667">
            <w:pPr>
              <w:rPr>
                <w:rFonts w:ascii="宋体"/>
                <w:vanish/>
              </w:rPr>
            </w:pPr>
          </w:p>
        </w:tc>
        <w:tc>
          <w:tcPr>
            <w:tcW w:w="0" w:type="auto"/>
            <w:gridSpan w:val="3"/>
            <w:shd w:val="clear" w:color="auto" w:fill="auto"/>
            <w:vAlign w:val="bottom"/>
          </w:tcPr>
          <w:p w14:paraId="71D42025" w14:textId="77777777" w:rsidR="006A3667" w:rsidRDefault="006A3667">
            <w:pPr>
              <w:rPr>
                <w:rFonts w:ascii="宋体"/>
                <w:vanish/>
              </w:rPr>
            </w:pPr>
          </w:p>
        </w:tc>
        <w:tc>
          <w:tcPr>
            <w:tcW w:w="0" w:type="auto"/>
            <w:shd w:val="clear" w:color="auto" w:fill="auto"/>
            <w:vAlign w:val="bottom"/>
          </w:tcPr>
          <w:p w14:paraId="71D42026" w14:textId="77777777" w:rsidR="006A3667" w:rsidRDefault="006A3667">
            <w:pPr>
              <w:rPr>
                <w:rFonts w:ascii="宋体"/>
                <w:vanish/>
              </w:rPr>
            </w:pPr>
          </w:p>
        </w:tc>
        <w:tc>
          <w:tcPr>
            <w:tcW w:w="0" w:type="auto"/>
            <w:shd w:val="clear" w:color="auto" w:fill="auto"/>
            <w:vAlign w:val="bottom"/>
          </w:tcPr>
          <w:p w14:paraId="71D42027" w14:textId="77777777" w:rsidR="006A3667" w:rsidRDefault="006A3667">
            <w:pPr>
              <w:rPr>
                <w:rFonts w:ascii="宋体"/>
                <w:vanish/>
              </w:rPr>
            </w:pPr>
          </w:p>
        </w:tc>
      </w:tr>
      <w:tr w:rsidR="006A3667" w14:paraId="71D4203B" w14:textId="77777777">
        <w:tc>
          <w:tcPr>
            <w:tcW w:w="0" w:type="auto"/>
            <w:gridSpan w:val="3"/>
            <w:shd w:val="clear" w:color="auto" w:fill="CCEEFF"/>
            <w:tcMar>
              <w:top w:w="40" w:type="dxa"/>
              <w:left w:w="20" w:type="dxa"/>
              <w:bottom w:w="40" w:type="dxa"/>
              <w:right w:w="20" w:type="dxa"/>
            </w:tcMar>
            <w:vAlign w:val="bottom"/>
          </w:tcPr>
          <w:p w14:paraId="71D42029" w14:textId="77777777" w:rsidR="006A3667" w:rsidRDefault="00045F32">
            <w:pPr>
              <w:textAlignment w:val="bottom"/>
            </w:pPr>
            <w:r>
              <w:rPr>
                <w:rFonts w:ascii="Arial" w:eastAsia="宋体" w:hAnsi="Arial" w:cs="Arial"/>
                <w:color w:val="000000"/>
                <w:sz w:val="18"/>
                <w:szCs w:val="18"/>
              </w:rPr>
              <w:t>Servicing fees</w:t>
            </w:r>
          </w:p>
        </w:tc>
        <w:tc>
          <w:tcPr>
            <w:tcW w:w="0" w:type="auto"/>
            <w:shd w:val="clear" w:color="auto" w:fill="CCEEFF"/>
            <w:tcMar>
              <w:top w:w="40" w:type="dxa"/>
              <w:left w:w="20" w:type="dxa"/>
              <w:bottom w:w="40" w:type="dxa"/>
              <w:right w:w="0" w:type="dxa"/>
            </w:tcMar>
            <w:vAlign w:val="bottom"/>
          </w:tcPr>
          <w:p w14:paraId="71D4202A" w14:textId="77777777" w:rsidR="006A3667" w:rsidRDefault="00045F32">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1D4202B" w14:textId="77777777" w:rsidR="006A3667" w:rsidRDefault="00045F32">
            <w:pPr>
              <w:jc w:val="right"/>
              <w:textAlignment w:val="bottom"/>
            </w:pPr>
            <w:r>
              <w:rPr>
                <w:rFonts w:ascii="Arial" w:eastAsia="宋体" w:hAnsi="Arial" w:cs="Arial"/>
                <w:b/>
                <w:bCs/>
                <w:color w:val="000000"/>
                <w:sz w:val="18"/>
                <w:szCs w:val="18"/>
              </w:rPr>
              <w:t>1,219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0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2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02E" w14:textId="77777777" w:rsidR="006A3667" w:rsidRDefault="00045F32">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1D4202F" w14:textId="77777777" w:rsidR="006A3667" w:rsidRDefault="00045F32">
            <w:pPr>
              <w:jc w:val="right"/>
              <w:textAlignment w:val="bottom"/>
            </w:pPr>
            <w:r>
              <w:rPr>
                <w:rFonts w:ascii="Arial" w:eastAsia="宋体" w:hAnsi="Arial" w:cs="Arial"/>
                <w:color w:val="000000"/>
                <w:sz w:val="18"/>
                <w:szCs w:val="18"/>
              </w:rPr>
              <w:t>1,391 </w:t>
            </w:r>
          </w:p>
        </w:tc>
        <w:tc>
          <w:tcPr>
            <w:tcW w:w="0" w:type="auto"/>
            <w:shd w:val="clear" w:color="auto" w:fill="CCEEFF"/>
            <w:tcMar>
              <w:top w:w="40" w:type="dxa"/>
              <w:left w:w="0" w:type="dxa"/>
              <w:bottom w:w="40" w:type="dxa"/>
              <w:right w:w="20" w:type="dxa"/>
            </w:tcMar>
            <w:vAlign w:val="bottom"/>
          </w:tcPr>
          <w:p w14:paraId="71D420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3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032" w14:textId="77777777" w:rsidR="006A3667" w:rsidRDefault="00045F32">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1D42033" w14:textId="77777777" w:rsidR="006A3667" w:rsidRDefault="00045F32">
            <w:pPr>
              <w:jc w:val="right"/>
              <w:textAlignment w:val="bottom"/>
            </w:pPr>
            <w:r>
              <w:rPr>
                <w:rFonts w:ascii="Arial" w:eastAsia="宋体" w:hAnsi="Arial" w:cs="Arial"/>
                <w:b/>
                <w:bCs/>
                <w:color w:val="000000"/>
                <w:sz w:val="18"/>
                <w:szCs w:val="18"/>
              </w:rPr>
              <w:t>3,884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0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3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036" w14:textId="77777777" w:rsidR="006A3667" w:rsidRDefault="00045F32">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1D42037" w14:textId="77777777" w:rsidR="006A3667" w:rsidRDefault="00045F32">
            <w:pPr>
              <w:jc w:val="right"/>
              <w:textAlignment w:val="bottom"/>
            </w:pPr>
            <w:r>
              <w:rPr>
                <w:rFonts w:ascii="Arial" w:eastAsia="宋体" w:hAnsi="Arial" w:cs="Arial"/>
                <w:color w:val="000000"/>
                <w:sz w:val="18"/>
                <w:szCs w:val="18"/>
              </w:rPr>
              <w:t>4,154 </w:t>
            </w:r>
          </w:p>
        </w:tc>
        <w:tc>
          <w:tcPr>
            <w:tcW w:w="0" w:type="auto"/>
            <w:shd w:val="clear" w:color="auto" w:fill="CCEEFF"/>
            <w:tcMar>
              <w:top w:w="40" w:type="dxa"/>
              <w:left w:w="0" w:type="dxa"/>
              <w:bottom w:w="40" w:type="dxa"/>
              <w:right w:w="20" w:type="dxa"/>
            </w:tcMar>
            <w:vAlign w:val="bottom"/>
          </w:tcPr>
          <w:p w14:paraId="71D42038" w14:textId="77777777" w:rsidR="006A3667" w:rsidRDefault="006A3667">
            <w:pPr>
              <w:jc w:val="right"/>
              <w:rPr>
                <w:rFonts w:ascii="宋体"/>
              </w:rPr>
            </w:pPr>
          </w:p>
        </w:tc>
        <w:tc>
          <w:tcPr>
            <w:tcW w:w="0" w:type="auto"/>
            <w:shd w:val="clear" w:color="auto" w:fill="auto"/>
            <w:vAlign w:val="bottom"/>
          </w:tcPr>
          <w:p w14:paraId="71D42039" w14:textId="77777777" w:rsidR="006A3667" w:rsidRDefault="006A3667">
            <w:pPr>
              <w:rPr>
                <w:rFonts w:ascii="宋体"/>
                <w:vanish/>
              </w:rPr>
            </w:pPr>
          </w:p>
        </w:tc>
        <w:tc>
          <w:tcPr>
            <w:tcW w:w="0" w:type="auto"/>
            <w:shd w:val="clear" w:color="auto" w:fill="auto"/>
            <w:vAlign w:val="bottom"/>
          </w:tcPr>
          <w:p w14:paraId="71D4203A" w14:textId="77777777" w:rsidR="006A3667" w:rsidRDefault="006A3667">
            <w:pPr>
              <w:rPr>
                <w:rFonts w:ascii="宋体"/>
                <w:vanish/>
              </w:rPr>
            </w:pPr>
          </w:p>
        </w:tc>
      </w:tr>
      <w:tr w:rsidR="006A3667" w14:paraId="71D4204A" w14:textId="77777777">
        <w:tc>
          <w:tcPr>
            <w:tcW w:w="0" w:type="auto"/>
            <w:gridSpan w:val="3"/>
            <w:shd w:val="clear" w:color="auto" w:fill="FFFFFF"/>
            <w:tcMar>
              <w:top w:w="40" w:type="dxa"/>
              <w:left w:w="20" w:type="dxa"/>
              <w:bottom w:w="40" w:type="dxa"/>
              <w:right w:w="20" w:type="dxa"/>
            </w:tcMar>
            <w:vAlign w:val="bottom"/>
          </w:tcPr>
          <w:p w14:paraId="71D4203C" w14:textId="77777777" w:rsidR="006A3667" w:rsidRDefault="00045F32">
            <w:pPr>
              <w:textAlignment w:val="bottom"/>
            </w:pPr>
            <w:r>
              <w:rPr>
                <w:rFonts w:ascii="Arial" w:eastAsia="宋体" w:hAnsi="Arial" w:cs="Arial"/>
                <w:color w:val="000000"/>
                <w:sz w:val="18"/>
                <w:szCs w:val="18"/>
              </w:rPr>
              <w:t>Management fees</w:t>
            </w:r>
          </w:p>
        </w:tc>
        <w:tc>
          <w:tcPr>
            <w:tcW w:w="0" w:type="auto"/>
            <w:gridSpan w:val="2"/>
            <w:shd w:val="clear" w:color="auto" w:fill="FFFFFF"/>
            <w:tcMar>
              <w:top w:w="40" w:type="dxa"/>
              <w:left w:w="20" w:type="dxa"/>
              <w:bottom w:w="40" w:type="dxa"/>
              <w:right w:w="0" w:type="dxa"/>
            </w:tcMar>
            <w:vAlign w:val="bottom"/>
          </w:tcPr>
          <w:p w14:paraId="71D4203D" w14:textId="77777777" w:rsidR="006A3667" w:rsidRDefault="00045F32">
            <w:pPr>
              <w:jc w:val="right"/>
              <w:textAlignment w:val="bottom"/>
            </w:pPr>
            <w:r>
              <w:rPr>
                <w:rFonts w:ascii="Arial" w:eastAsia="宋体" w:hAnsi="Arial" w:cs="Arial"/>
                <w:b/>
                <w:bCs/>
                <w:color w:val="000000"/>
                <w:sz w:val="18"/>
                <w:szCs w:val="18"/>
              </w:rPr>
              <w:t>472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03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3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40" w14:textId="77777777" w:rsidR="006A3667" w:rsidRDefault="00045F32">
            <w:pPr>
              <w:jc w:val="right"/>
              <w:textAlignment w:val="bottom"/>
            </w:pPr>
            <w:r>
              <w:rPr>
                <w:rFonts w:ascii="Arial" w:eastAsia="宋体" w:hAnsi="Arial" w:cs="Arial"/>
                <w:color w:val="000000"/>
                <w:sz w:val="18"/>
                <w:szCs w:val="18"/>
              </w:rPr>
              <w:t>526 </w:t>
            </w:r>
          </w:p>
        </w:tc>
        <w:tc>
          <w:tcPr>
            <w:tcW w:w="0" w:type="auto"/>
            <w:shd w:val="clear" w:color="auto" w:fill="FFFFFF"/>
            <w:tcMar>
              <w:top w:w="40" w:type="dxa"/>
              <w:left w:w="0" w:type="dxa"/>
              <w:bottom w:w="40" w:type="dxa"/>
              <w:right w:w="20" w:type="dxa"/>
            </w:tcMar>
            <w:vAlign w:val="bottom"/>
          </w:tcPr>
          <w:p w14:paraId="71D4204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4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43" w14:textId="77777777" w:rsidR="006A3667" w:rsidRDefault="00045F32">
            <w:pPr>
              <w:jc w:val="right"/>
              <w:textAlignment w:val="bottom"/>
            </w:pPr>
            <w:r>
              <w:rPr>
                <w:rFonts w:ascii="Arial" w:eastAsia="宋体" w:hAnsi="Arial" w:cs="Arial"/>
                <w:b/>
                <w:bCs/>
                <w:color w:val="000000"/>
                <w:sz w:val="18"/>
                <w:szCs w:val="18"/>
              </w:rPr>
              <w:t>1,482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04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4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46" w14:textId="77777777" w:rsidR="006A3667" w:rsidRDefault="00045F32">
            <w:pPr>
              <w:jc w:val="right"/>
              <w:textAlignment w:val="bottom"/>
            </w:pPr>
            <w:r>
              <w:rPr>
                <w:rFonts w:ascii="Arial" w:eastAsia="宋体" w:hAnsi="Arial" w:cs="Arial"/>
                <w:color w:val="000000"/>
                <w:sz w:val="18"/>
                <w:szCs w:val="18"/>
              </w:rPr>
              <w:t>1,523 </w:t>
            </w:r>
          </w:p>
        </w:tc>
        <w:tc>
          <w:tcPr>
            <w:tcW w:w="0" w:type="auto"/>
            <w:shd w:val="clear" w:color="auto" w:fill="FFFFFF"/>
            <w:tcMar>
              <w:top w:w="40" w:type="dxa"/>
              <w:left w:w="0" w:type="dxa"/>
              <w:bottom w:w="40" w:type="dxa"/>
              <w:right w:w="20" w:type="dxa"/>
            </w:tcMar>
            <w:vAlign w:val="bottom"/>
          </w:tcPr>
          <w:p w14:paraId="71D42047" w14:textId="77777777" w:rsidR="006A3667" w:rsidRDefault="006A3667">
            <w:pPr>
              <w:jc w:val="right"/>
              <w:rPr>
                <w:rFonts w:ascii="宋体"/>
              </w:rPr>
            </w:pPr>
          </w:p>
        </w:tc>
        <w:tc>
          <w:tcPr>
            <w:tcW w:w="0" w:type="auto"/>
            <w:shd w:val="clear" w:color="auto" w:fill="auto"/>
            <w:vAlign w:val="bottom"/>
          </w:tcPr>
          <w:p w14:paraId="71D42048" w14:textId="77777777" w:rsidR="006A3667" w:rsidRDefault="006A3667">
            <w:pPr>
              <w:rPr>
                <w:rFonts w:ascii="宋体"/>
                <w:vanish/>
              </w:rPr>
            </w:pPr>
          </w:p>
        </w:tc>
        <w:tc>
          <w:tcPr>
            <w:tcW w:w="0" w:type="auto"/>
            <w:shd w:val="clear" w:color="auto" w:fill="auto"/>
            <w:vAlign w:val="bottom"/>
          </w:tcPr>
          <w:p w14:paraId="71D42049" w14:textId="77777777" w:rsidR="006A3667" w:rsidRDefault="006A3667">
            <w:pPr>
              <w:rPr>
                <w:rFonts w:ascii="宋体"/>
                <w:vanish/>
              </w:rPr>
            </w:pPr>
          </w:p>
        </w:tc>
      </w:tr>
      <w:tr w:rsidR="006A3667" w14:paraId="71D42059" w14:textId="77777777">
        <w:tc>
          <w:tcPr>
            <w:tcW w:w="0" w:type="auto"/>
            <w:gridSpan w:val="3"/>
            <w:shd w:val="clear" w:color="auto" w:fill="CCEEFF"/>
            <w:tcMar>
              <w:top w:w="40" w:type="dxa"/>
              <w:left w:w="20" w:type="dxa"/>
              <w:bottom w:w="40" w:type="dxa"/>
              <w:right w:w="20" w:type="dxa"/>
            </w:tcMar>
            <w:vAlign w:val="bottom"/>
          </w:tcPr>
          <w:p w14:paraId="71D4204B" w14:textId="77777777" w:rsidR="006A3667" w:rsidRDefault="00045F32">
            <w:pPr>
              <w:textAlignment w:val="bottom"/>
            </w:pPr>
            <w:r>
              <w:rPr>
                <w:rFonts w:ascii="Arial" w:eastAsia="宋体" w:hAnsi="Arial" w:cs="Arial"/>
                <w:color w:val="000000"/>
                <w:sz w:val="18"/>
                <w:szCs w:val="18"/>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71D4204C" w14:textId="77777777" w:rsidR="006A3667" w:rsidRDefault="00045F32">
            <w:pPr>
              <w:jc w:val="right"/>
              <w:textAlignment w:val="bottom"/>
            </w:pPr>
            <w:r>
              <w:rPr>
                <w:rFonts w:ascii="Arial" w:eastAsia="宋体" w:hAnsi="Arial" w:cs="Arial"/>
                <w:b/>
                <w:bCs/>
                <w:color w:val="000000"/>
                <w:sz w:val="18"/>
                <w:szCs w:val="18"/>
              </w:rPr>
              <w:t>319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0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4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4F" w14:textId="77777777" w:rsidR="006A3667" w:rsidRDefault="00045F32">
            <w:pPr>
              <w:jc w:val="right"/>
              <w:textAlignment w:val="bottom"/>
            </w:pPr>
            <w:r>
              <w:rPr>
                <w:rFonts w:ascii="Arial" w:eastAsia="宋体" w:hAnsi="Arial" w:cs="Arial"/>
                <w:color w:val="000000"/>
                <w:sz w:val="18"/>
                <w:szCs w:val="18"/>
              </w:rPr>
              <w:t>279 </w:t>
            </w:r>
          </w:p>
        </w:tc>
        <w:tc>
          <w:tcPr>
            <w:tcW w:w="0" w:type="auto"/>
            <w:shd w:val="clear" w:color="auto" w:fill="CCEEFF"/>
            <w:tcMar>
              <w:top w:w="40" w:type="dxa"/>
              <w:left w:w="0" w:type="dxa"/>
              <w:bottom w:w="40" w:type="dxa"/>
              <w:right w:w="20" w:type="dxa"/>
            </w:tcMar>
            <w:vAlign w:val="bottom"/>
          </w:tcPr>
          <w:p w14:paraId="71D420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5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52" w14:textId="77777777" w:rsidR="006A3667" w:rsidRDefault="00045F32">
            <w:pPr>
              <w:jc w:val="right"/>
              <w:textAlignment w:val="bottom"/>
            </w:pPr>
            <w:r>
              <w:rPr>
                <w:rFonts w:ascii="Arial" w:eastAsia="宋体" w:hAnsi="Arial" w:cs="Arial"/>
                <w:b/>
                <w:bCs/>
                <w:color w:val="000000"/>
                <w:sz w:val="18"/>
                <w:szCs w:val="18"/>
              </w:rPr>
              <w:t>1,009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05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5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55" w14:textId="77777777" w:rsidR="006A3667" w:rsidRDefault="00045F32">
            <w:pPr>
              <w:jc w:val="right"/>
              <w:textAlignment w:val="bottom"/>
            </w:pPr>
            <w:r>
              <w:rPr>
                <w:rFonts w:ascii="Arial" w:eastAsia="宋体" w:hAnsi="Arial" w:cs="Arial"/>
                <w:color w:val="000000"/>
                <w:sz w:val="18"/>
                <w:szCs w:val="18"/>
              </w:rPr>
              <w:t>911 </w:t>
            </w:r>
          </w:p>
        </w:tc>
        <w:tc>
          <w:tcPr>
            <w:tcW w:w="0" w:type="auto"/>
            <w:shd w:val="clear" w:color="auto" w:fill="CCEEFF"/>
            <w:tcMar>
              <w:top w:w="40" w:type="dxa"/>
              <w:left w:w="0" w:type="dxa"/>
              <w:bottom w:w="40" w:type="dxa"/>
              <w:right w:w="20" w:type="dxa"/>
            </w:tcMar>
            <w:vAlign w:val="bottom"/>
          </w:tcPr>
          <w:p w14:paraId="71D42056" w14:textId="77777777" w:rsidR="006A3667" w:rsidRDefault="006A3667">
            <w:pPr>
              <w:jc w:val="right"/>
              <w:rPr>
                <w:rFonts w:ascii="宋体"/>
              </w:rPr>
            </w:pPr>
          </w:p>
        </w:tc>
        <w:tc>
          <w:tcPr>
            <w:tcW w:w="0" w:type="auto"/>
            <w:shd w:val="clear" w:color="auto" w:fill="auto"/>
            <w:vAlign w:val="bottom"/>
          </w:tcPr>
          <w:p w14:paraId="71D42057" w14:textId="77777777" w:rsidR="006A3667" w:rsidRDefault="006A3667">
            <w:pPr>
              <w:rPr>
                <w:rFonts w:ascii="宋体"/>
                <w:vanish/>
              </w:rPr>
            </w:pPr>
          </w:p>
        </w:tc>
        <w:tc>
          <w:tcPr>
            <w:tcW w:w="0" w:type="auto"/>
            <w:shd w:val="clear" w:color="auto" w:fill="auto"/>
            <w:vAlign w:val="bottom"/>
          </w:tcPr>
          <w:p w14:paraId="71D42058" w14:textId="77777777" w:rsidR="006A3667" w:rsidRDefault="006A3667">
            <w:pPr>
              <w:rPr>
                <w:rFonts w:ascii="宋体"/>
                <w:vanish/>
              </w:rPr>
            </w:pPr>
          </w:p>
        </w:tc>
      </w:tr>
      <w:tr w:rsidR="006A3667" w14:paraId="71D42068" w14:textId="77777777">
        <w:tc>
          <w:tcPr>
            <w:tcW w:w="0" w:type="auto"/>
            <w:gridSpan w:val="3"/>
            <w:shd w:val="clear" w:color="auto" w:fill="FFFFFF"/>
            <w:tcMar>
              <w:top w:w="40" w:type="dxa"/>
              <w:left w:w="20" w:type="dxa"/>
              <w:bottom w:w="40" w:type="dxa"/>
              <w:right w:w="20" w:type="dxa"/>
            </w:tcMar>
            <w:vAlign w:val="bottom"/>
          </w:tcPr>
          <w:p w14:paraId="71D4205A" w14:textId="77777777" w:rsidR="006A3667" w:rsidRDefault="00045F32">
            <w:pPr>
              <w:textAlignment w:val="bottom"/>
            </w:pPr>
            <w:r>
              <w:rPr>
                <w:rFonts w:ascii="Arial" w:eastAsia="宋体" w:hAnsi="Arial" w:cs="Arial"/>
                <w:color w:val="000000"/>
                <w:sz w:val="18"/>
                <w:szCs w:val="18"/>
              </w:rPr>
              <w:t>Securities finance</w:t>
            </w:r>
          </w:p>
        </w:tc>
        <w:tc>
          <w:tcPr>
            <w:tcW w:w="0" w:type="auto"/>
            <w:gridSpan w:val="2"/>
            <w:shd w:val="clear" w:color="auto" w:fill="FFFFFF"/>
            <w:tcMar>
              <w:top w:w="40" w:type="dxa"/>
              <w:left w:w="20" w:type="dxa"/>
              <w:bottom w:w="40" w:type="dxa"/>
              <w:right w:w="0" w:type="dxa"/>
            </w:tcMar>
            <w:vAlign w:val="bottom"/>
          </w:tcPr>
          <w:p w14:paraId="71D4205B" w14:textId="77777777" w:rsidR="006A3667" w:rsidRDefault="00045F32">
            <w:pPr>
              <w:jc w:val="right"/>
              <w:textAlignment w:val="bottom"/>
            </w:pPr>
            <w:r>
              <w:rPr>
                <w:rFonts w:ascii="Arial" w:eastAsia="宋体" w:hAnsi="Arial" w:cs="Arial"/>
                <w:b/>
                <w:bCs/>
                <w:color w:val="000000"/>
                <w:sz w:val="18"/>
                <w:szCs w:val="18"/>
              </w:rPr>
              <w:t>110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0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5E" w14:textId="77777777" w:rsidR="006A3667" w:rsidRDefault="00045F32">
            <w:pPr>
              <w:jc w:val="right"/>
              <w:textAlignment w:val="bottom"/>
            </w:pPr>
            <w:r>
              <w:rPr>
                <w:rFonts w:ascii="Arial" w:eastAsia="宋体" w:hAnsi="Arial" w:cs="Arial"/>
                <w:color w:val="000000"/>
                <w:sz w:val="18"/>
                <w:szCs w:val="18"/>
              </w:rPr>
              <w:t>106 </w:t>
            </w:r>
          </w:p>
        </w:tc>
        <w:tc>
          <w:tcPr>
            <w:tcW w:w="0" w:type="auto"/>
            <w:shd w:val="clear" w:color="auto" w:fill="FFFFFF"/>
            <w:tcMar>
              <w:top w:w="40" w:type="dxa"/>
              <w:left w:w="0" w:type="dxa"/>
              <w:bottom w:w="40" w:type="dxa"/>
              <w:right w:w="20" w:type="dxa"/>
            </w:tcMar>
            <w:vAlign w:val="bottom"/>
          </w:tcPr>
          <w:p w14:paraId="71D420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61" w14:textId="77777777" w:rsidR="006A3667" w:rsidRDefault="00045F32">
            <w:pPr>
              <w:jc w:val="right"/>
              <w:textAlignment w:val="bottom"/>
            </w:pPr>
            <w:r>
              <w:rPr>
                <w:rFonts w:ascii="Arial" w:eastAsia="宋体" w:hAnsi="Arial" w:cs="Arial"/>
                <w:b/>
                <w:bCs/>
                <w:color w:val="000000"/>
                <w:sz w:val="18"/>
                <w:szCs w:val="18"/>
              </w:rPr>
              <w:t>313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0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6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64" w14:textId="77777777" w:rsidR="006A3667" w:rsidRDefault="00045F32">
            <w:pPr>
              <w:jc w:val="right"/>
              <w:textAlignment w:val="bottom"/>
            </w:pPr>
            <w:r>
              <w:rPr>
                <w:rFonts w:ascii="Arial" w:eastAsia="宋体" w:hAnsi="Arial" w:cs="Arial"/>
                <w:color w:val="000000"/>
                <w:sz w:val="18"/>
                <w:szCs w:val="18"/>
              </w:rPr>
              <w:t>314 </w:t>
            </w:r>
          </w:p>
        </w:tc>
        <w:tc>
          <w:tcPr>
            <w:tcW w:w="0" w:type="auto"/>
            <w:shd w:val="clear" w:color="auto" w:fill="FFFFFF"/>
            <w:tcMar>
              <w:top w:w="40" w:type="dxa"/>
              <w:left w:w="0" w:type="dxa"/>
              <w:bottom w:w="40" w:type="dxa"/>
              <w:right w:w="20" w:type="dxa"/>
            </w:tcMar>
            <w:vAlign w:val="bottom"/>
          </w:tcPr>
          <w:p w14:paraId="71D42065" w14:textId="77777777" w:rsidR="006A3667" w:rsidRDefault="006A3667">
            <w:pPr>
              <w:jc w:val="right"/>
              <w:rPr>
                <w:rFonts w:ascii="宋体"/>
              </w:rPr>
            </w:pPr>
          </w:p>
        </w:tc>
        <w:tc>
          <w:tcPr>
            <w:tcW w:w="0" w:type="auto"/>
            <w:shd w:val="clear" w:color="auto" w:fill="auto"/>
            <w:vAlign w:val="bottom"/>
          </w:tcPr>
          <w:p w14:paraId="71D42066" w14:textId="77777777" w:rsidR="006A3667" w:rsidRDefault="006A3667">
            <w:pPr>
              <w:rPr>
                <w:rFonts w:ascii="宋体"/>
                <w:vanish/>
              </w:rPr>
            </w:pPr>
          </w:p>
        </w:tc>
        <w:tc>
          <w:tcPr>
            <w:tcW w:w="0" w:type="auto"/>
            <w:shd w:val="clear" w:color="auto" w:fill="auto"/>
            <w:vAlign w:val="bottom"/>
          </w:tcPr>
          <w:p w14:paraId="71D42067" w14:textId="77777777" w:rsidR="006A3667" w:rsidRDefault="006A3667">
            <w:pPr>
              <w:rPr>
                <w:rFonts w:ascii="宋体"/>
                <w:vanish/>
              </w:rPr>
            </w:pPr>
          </w:p>
        </w:tc>
      </w:tr>
      <w:tr w:rsidR="006A3667" w14:paraId="71D42073" w14:textId="77777777">
        <w:trPr>
          <w:hidden/>
        </w:trPr>
        <w:tc>
          <w:tcPr>
            <w:tcW w:w="0" w:type="auto"/>
            <w:gridSpan w:val="3"/>
            <w:shd w:val="clear" w:color="auto" w:fill="auto"/>
            <w:vAlign w:val="bottom"/>
          </w:tcPr>
          <w:p w14:paraId="71D42069" w14:textId="77777777" w:rsidR="006A3667" w:rsidRDefault="006A3667">
            <w:pPr>
              <w:rPr>
                <w:rFonts w:ascii="宋体"/>
                <w:vanish/>
              </w:rPr>
            </w:pPr>
          </w:p>
        </w:tc>
        <w:tc>
          <w:tcPr>
            <w:tcW w:w="0" w:type="auto"/>
            <w:gridSpan w:val="3"/>
            <w:shd w:val="clear" w:color="auto" w:fill="auto"/>
            <w:vAlign w:val="bottom"/>
          </w:tcPr>
          <w:p w14:paraId="71D4206A" w14:textId="77777777" w:rsidR="006A3667" w:rsidRDefault="006A3667">
            <w:pPr>
              <w:rPr>
                <w:rFonts w:ascii="宋体"/>
                <w:vanish/>
              </w:rPr>
            </w:pPr>
          </w:p>
        </w:tc>
        <w:tc>
          <w:tcPr>
            <w:tcW w:w="0" w:type="auto"/>
            <w:gridSpan w:val="3"/>
            <w:shd w:val="clear" w:color="auto" w:fill="auto"/>
            <w:vAlign w:val="bottom"/>
          </w:tcPr>
          <w:p w14:paraId="71D4206B" w14:textId="77777777" w:rsidR="006A3667" w:rsidRDefault="006A3667">
            <w:pPr>
              <w:rPr>
                <w:rFonts w:ascii="宋体"/>
                <w:vanish/>
              </w:rPr>
            </w:pPr>
          </w:p>
        </w:tc>
        <w:tc>
          <w:tcPr>
            <w:tcW w:w="0" w:type="auto"/>
            <w:gridSpan w:val="3"/>
            <w:shd w:val="clear" w:color="auto" w:fill="auto"/>
            <w:vAlign w:val="bottom"/>
          </w:tcPr>
          <w:p w14:paraId="71D4206C" w14:textId="77777777" w:rsidR="006A3667" w:rsidRDefault="006A3667">
            <w:pPr>
              <w:rPr>
                <w:rFonts w:ascii="宋体"/>
                <w:vanish/>
              </w:rPr>
            </w:pPr>
          </w:p>
        </w:tc>
        <w:tc>
          <w:tcPr>
            <w:tcW w:w="0" w:type="auto"/>
            <w:gridSpan w:val="3"/>
            <w:shd w:val="clear" w:color="auto" w:fill="auto"/>
            <w:vAlign w:val="bottom"/>
          </w:tcPr>
          <w:p w14:paraId="71D4206D" w14:textId="77777777" w:rsidR="006A3667" w:rsidRDefault="006A3667">
            <w:pPr>
              <w:rPr>
                <w:rFonts w:ascii="宋体"/>
                <w:vanish/>
              </w:rPr>
            </w:pPr>
          </w:p>
        </w:tc>
        <w:tc>
          <w:tcPr>
            <w:tcW w:w="0" w:type="auto"/>
            <w:gridSpan w:val="3"/>
            <w:shd w:val="clear" w:color="auto" w:fill="auto"/>
            <w:vAlign w:val="bottom"/>
          </w:tcPr>
          <w:p w14:paraId="71D4206E" w14:textId="77777777" w:rsidR="006A3667" w:rsidRDefault="006A3667">
            <w:pPr>
              <w:rPr>
                <w:rFonts w:ascii="宋体"/>
                <w:vanish/>
              </w:rPr>
            </w:pPr>
          </w:p>
        </w:tc>
        <w:tc>
          <w:tcPr>
            <w:tcW w:w="0" w:type="auto"/>
            <w:gridSpan w:val="3"/>
            <w:shd w:val="clear" w:color="auto" w:fill="auto"/>
            <w:vAlign w:val="bottom"/>
          </w:tcPr>
          <w:p w14:paraId="71D4206F" w14:textId="77777777" w:rsidR="006A3667" w:rsidRDefault="006A3667">
            <w:pPr>
              <w:rPr>
                <w:rFonts w:ascii="宋体"/>
                <w:vanish/>
              </w:rPr>
            </w:pPr>
          </w:p>
        </w:tc>
        <w:tc>
          <w:tcPr>
            <w:tcW w:w="0" w:type="auto"/>
            <w:gridSpan w:val="3"/>
            <w:shd w:val="clear" w:color="auto" w:fill="auto"/>
            <w:vAlign w:val="bottom"/>
          </w:tcPr>
          <w:p w14:paraId="71D42070" w14:textId="77777777" w:rsidR="006A3667" w:rsidRDefault="006A3667">
            <w:pPr>
              <w:rPr>
                <w:rFonts w:ascii="宋体"/>
                <w:vanish/>
              </w:rPr>
            </w:pPr>
          </w:p>
        </w:tc>
        <w:tc>
          <w:tcPr>
            <w:tcW w:w="0" w:type="auto"/>
            <w:shd w:val="clear" w:color="auto" w:fill="auto"/>
            <w:vAlign w:val="bottom"/>
          </w:tcPr>
          <w:p w14:paraId="71D42071" w14:textId="77777777" w:rsidR="006A3667" w:rsidRDefault="006A3667">
            <w:pPr>
              <w:rPr>
                <w:rFonts w:ascii="宋体"/>
                <w:vanish/>
              </w:rPr>
            </w:pPr>
          </w:p>
        </w:tc>
        <w:tc>
          <w:tcPr>
            <w:tcW w:w="0" w:type="auto"/>
            <w:shd w:val="clear" w:color="auto" w:fill="auto"/>
            <w:vAlign w:val="bottom"/>
          </w:tcPr>
          <w:p w14:paraId="71D42072" w14:textId="77777777" w:rsidR="006A3667" w:rsidRDefault="006A3667">
            <w:pPr>
              <w:rPr>
                <w:rFonts w:ascii="宋体"/>
                <w:vanish/>
              </w:rPr>
            </w:pPr>
          </w:p>
        </w:tc>
      </w:tr>
      <w:tr w:rsidR="006A3667" w14:paraId="71D4207E" w14:textId="77777777">
        <w:trPr>
          <w:hidden/>
        </w:trPr>
        <w:tc>
          <w:tcPr>
            <w:tcW w:w="0" w:type="auto"/>
            <w:gridSpan w:val="3"/>
            <w:shd w:val="clear" w:color="auto" w:fill="auto"/>
            <w:vAlign w:val="bottom"/>
          </w:tcPr>
          <w:p w14:paraId="71D42074" w14:textId="77777777" w:rsidR="006A3667" w:rsidRDefault="006A3667">
            <w:pPr>
              <w:rPr>
                <w:rFonts w:ascii="宋体"/>
                <w:vanish/>
              </w:rPr>
            </w:pPr>
          </w:p>
        </w:tc>
        <w:tc>
          <w:tcPr>
            <w:tcW w:w="0" w:type="auto"/>
            <w:gridSpan w:val="3"/>
            <w:shd w:val="clear" w:color="auto" w:fill="auto"/>
            <w:vAlign w:val="bottom"/>
          </w:tcPr>
          <w:p w14:paraId="71D42075" w14:textId="77777777" w:rsidR="006A3667" w:rsidRDefault="006A3667">
            <w:pPr>
              <w:rPr>
                <w:rFonts w:ascii="宋体"/>
                <w:vanish/>
              </w:rPr>
            </w:pPr>
          </w:p>
        </w:tc>
        <w:tc>
          <w:tcPr>
            <w:tcW w:w="0" w:type="auto"/>
            <w:gridSpan w:val="3"/>
            <w:shd w:val="clear" w:color="auto" w:fill="auto"/>
            <w:vAlign w:val="bottom"/>
          </w:tcPr>
          <w:p w14:paraId="71D42076" w14:textId="77777777" w:rsidR="006A3667" w:rsidRDefault="006A3667">
            <w:pPr>
              <w:rPr>
                <w:rFonts w:ascii="宋体"/>
                <w:vanish/>
              </w:rPr>
            </w:pPr>
          </w:p>
        </w:tc>
        <w:tc>
          <w:tcPr>
            <w:tcW w:w="0" w:type="auto"/>
            <w:gridSpan w:val="3"/>
            <w:shd w:val="clear" w:color="auto" w:fill="auto"/>
            <w:vAlign w:val="bottom"/>
          </w:tcPr>
          <w:p w14:paraId="71D42077" w14:textId="77777777" w:rsidR="006A3667" w:rsidRDefault="006A3667">
            <w:pPr>
              <w:rPr>
                <w:rFonts w:ascii="宋体"/>
                <w:vanish/>
              </w:rPr>
            </w:pPr>
          </w:p>
        </w:tc>
        <w:tc>
          <w:tcPr>
            <w:tcW w:w="0" w:type="auto"/>
            <w:gridSpan w:val="3"/>
            <w:shd w:val="clear" w:color="auto" w:fill="auto"/>
            <w:vAlign w:val="bottom"/>
          </w:tcPr>
          <w:p w14:paraId="71D42078" w14:textId="77777777" w:rsidR="006A3667" w:rsidRDefault="006A3667">
            <w:pPr>
              <w:rPr>
                <w:rFonts w:ascii="宋体"/>
                <w:vanish/>
              </w:rPr>
            </w:pPr>
          </w:p>
        </w:tc>
        <w:tc>
          <w:tcPr>
            <w:tcW w:w="0" w:type="auto"/>
            <w:gridSpan w:val="3"/>
            <w:shd w:val="clear" w:color="auto" w:fill="auto"/>
            <w:vAlign w:val="bottom"/>
          </w:tcPr>
          <w:p w14:paraId="71D42079" w14:textId="77777777" w:rsidR="006A3667" w:rsidRDefault="006A3667">
            <w:pPr>
              <w:rPr>
                <w:rFonts w:ascii="宋体"/>
                <w:vanish/>
              </w:rPr>
            </w:pPr>
          </w:p>
        </w:tc>
        <w:tc>
          <w:tcPr>
            <w:tcW w:w="0" w:type="auto"/>
            <w:gridSpan w:val="3"/>
            <w:shd w:val="clear" w:color="auto" w:fill="auto"/>
            <w:vAlign w:val="bottom"/>
          </w:tcPr>
          <w:p w14:paraId="71D4207A" w14:textId="77777777" w:rsidR="006A3667" w:rsidRDefault="006A3667">
            <w:pPr>
              <w:rPr>
                <w:rFonts w:ascii="宋体"/>
                <w:vanish/>
              </w:rPr>
            </w:pPr>
          </w:p>
        </w:tc>
        <w:tc>
          <w:tcPr>
            <w:tcW w:w="0" w:type="auto"/>
            <w:gridSpan w:val="3"/>
            <w:shd w:val="clear" w:color="auto" w:fill="auto"/>
            <w:vAlign w:val="bottom"/>
          </w:tcPr>
          <w:p w14:paraId="71D4207B" w14:textId="77777777" w:rsidR="006A3667" w:rsidRDefault="006A3667">
            <w:pPr>
              <w:rPr>
                <w:rFonts w:ascii="宋体"/>
                <w:vanish/>
              </w:rPr>
            </w:pPr>
          </w:p>
        </w:tc>
        <w:tc>
          <w:tcPr>
            <w:tcW w:w="0" w:type="auto"/>
            <w:shd w:val="clear" w:color="auto" w:fill="auto"/>
            <w:vAlign w:val="bottom"/>
          </w:tcPr>
          <w:p w14:paraId="71D4207C" w14:textId="77777777" w:rsidR="006A3667" w:rsidRDefault="006A3667">
            <w:pPr>
              <w:rPr>
                <w:rFonts w:ascii="宋体"/>
                <w:vanish/>
              </w:rPr>
            </w:pPr>
          </w:p>
        </w:tc>
        <w:tc>
          <w:tcPr>
            <w:tcW w:w="0" w:type="auto"/>
            <w:shd w:val="clear" w:color="auto" w:fill="auto"/>
            <w:vAlign w:val="bottom"/>
          </w:tcPr>
          <w:p w14:paraId="71D4207D" w14:textId="77777777" w:rsidR="006A3667" w:rsidRDefault="006A3667">
            <w:pPr>
              <w:rPr>
                <w:rFonts w:ascii="宋体"/>
                <w:vanish/>
              </w:rPr>
            </w:pPr>
          </w:p>
        </w:tc>
      </w:tr>
      <w:tr w:rsidR="006A3667" w14:paraId="71D4208D" w14:textId="77777777">
        <w:tc>
          <w:tcPr>
            <w:tcW w:w="0" w:type="auto"/>
            <w:gridSpan w:val="3"/>
            <w:shd w:val="clear" w:color="auto" w:fill="CCEEFF"/>
            <w:tcMar>
              <w:top w:w="40" w:type="dxa"/>
              <w:left w:w="20" w:type="dxa"/>
              <w:bottom w:w="40" w:type="dxa"/>
              <w:right w:w="20" w:type="dxa"/>
            </w:tcMar>
            <w:vAlign w:val="bottom"/>
          </w:tcPr>
          <w:p w14:paraId="71D4207F" w14:textId="77777777" w:rsidR="006A3667" w:rsidRDefault="00045F32">
            <w:pPr>
              <w:textAlignment w:val="bottom"/>
            </w:pPr>
            <w:r>
              <w:rPr>
                <w:rFonts w:ascii="Arial" w:eastAsia="宋体" w:hAnsi="Arial" w:cs="Arial"/>
                <w:color w:val="000000"/>
                <w:sz w:val="18"/>
                <w:szCs w:val="18"/>
              </w:rPr>
              <w:t>Software and processing fees</w:t>
            </w:r>
          </w:p>
        </w:tc>
        <w:tc>
          <w:tcPr>
            <w:tcW w:w="0" w:type="auto"/>
            <w:gridSpan w:val="2"/>
            <w:shd w:val="clear" w:color="auto" w:fill="CCEEFF"/>
            <w:tcMar>
              <w:top w:w="40" w:type="dxa"/>
              <w:left w:w="20" w:type="dxa"/>
              <w:bottom w:w="40" w:type="dxa"/>
              <w:right w:w="0" w:type="dxa"/>
            </w:tcMar>
            <w:vAlign w:val="bottom"/>
          </w:tcPr>
          <w:p w14:paraId="71D42080" w14:textId="77777777" w:rsidR="006A3667" w:rsidRDefault="00045F32">
            <w:pPr>
              <w:jc w:val="right"/>
              <w:textAlignment w:val="bottom"/>
            </w:pPr>
            <w:r>
              <w:rPr>
                <w:rFonts w:ascii="Arial" w:eastAsia="宋体" w:hAnsi="Arial" w:cs="Arial"/>
                <w:b/>
                <w:bCs/>
                <w:color w:val="000000"/>
                <w:sz w:val="18"/>
                <w:szCs w:val="18"/>
              </w:rPr>
              <w:t>184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0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8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83" w14:textId="77777777" w:rsidR="006A3667" w:rsidRDefault="00045F32">
            <w:pPr>
              <w:jc w:val="right"/>
              <w:textAlignment w:val="bottom"/>
            </w:pPr>
            <w:r>
              <w:rPr>
                <w:rFonts w:ascii="Arial" w:eastAsia="宋体" w:hAnsi="Arial" w:cs="Arial"/>
                <w:color w:val="000000"/>
                <w:sz w:val="18"/>
                <w:szCs w:val="18"/>
              </w:rPr>
              <w:t>180 </w:t>
            </w:r>
          </w:p>
        </w:tc>
        <w:tc>
          <w:tcPr>
            <w:tcW w:w="0" w:type="auto"/>
            <w:shd w:val="clear" w:color="auto" w:fill="CCEEFF"/>
            <w:tcMar>
              <w:top w:w="40" w:type="dxa"/>
              <w:left w:w="0" w:type="dxa"/>
              <w:bottom w:w="40" w:type="dxa"/>
              <w:right w:w="20" w:type="dxa"/>
            </w:tcMar>
            <w:vAlign w:val="bottom"/>
          </w:tcPr>
          <w:p w14:paraId="71D4208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8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86" w14:textId="77777777" w:rsidR="006A3667" w:rsidRDefault="00045F32">
            <w:pPr>
              <w:jc w:val="right"/>
              <w:textAlignment w:val="bottom"/>
            </w:pPr>
            <w:r>
              <w:rPr>
                <w:rFonts w:ascii="Arial" w:eastAsia="宋体" w:hAnsi="Arial" w:cs="Arial"/>
                <w:b/>
                <w:bCs/>
                <w:color w:val="000000"/>
                <w:sz w:val="18"/>
                <w:szCs w:val="18"/>
              </w:rPr>
              <w:t>573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08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8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89" w14:textId="77777777" w:rsidR="006A3667" w:rsidRDefault="00045F32">
            <w:pPr>
              <w:jc w:val="right"/>
              <w:textAlignment w:val="bottom"/>
            </w:pPr>
            <w:r>
              <w:rPr>
                <w:rFonts w:ascii="Arial" w:eastAsia="宋体" w:hAnsi="Arial" w:cs="Arial"/>
                <w:color w:val="000000"/>
                <w:sz w:val="18"/>
                <w:szCs w:val="18"/>
              </w:rPr>
              <w:t>551 </w:t>
            </w:r>
          </w:p>
        </w:tc>
        <w:tc>
          <w:tcPr>
            <w:tcW w:w="0" w:type="auto"/>
            <w:shd w:val="clear" w:color="auto" w:fill="CCEEFF"/>
            <w:tcMar>
              <w:top w:w="40" w:type="dxa"/>
              <w:left w:w="0" w:type="dxa"/>
              <w:bottom w:w="40" w:type="dxa"/>
              <w:right w:w="20" w:type="dxa"/>
            </w:tcMar>
            <w:vAlign w:val="bottom"/>
          </w:tcPr>
          <w:p w14:paraId="71D4208A" w14:textId="77777777" w:rsidR="006A3667" w:rsidRDefault="006A3667">
            <w:pPr>
              <w:jc w:val="right"/>
              <w:rPr>
                <w:rFonts w:ascii="宋体"/>
              </w:rPr>
            </w:pPr>
          </w:p>
        </w:tc>
        <w:tc>
          <w:tcPr>
            <w:tcW w:w="0" w:type="auto"/>
            <w:shd w:val="clear" w:color="auto" w:fill="auto"/>
            <w:vAlign w:val="bottom"/>
          </w:tcPr>
          <w:p w14:paraId="71D4208B" w14:textId="77777777" w:rsidR="006A3667" w:rsidRDefault="006A3667">
            <w:pPr>
              <w:rPr>
                <w:rFonts w:ascii="宋体"/>
                <w:vanish/>
              </w:rPr>
            </w:pPr>
          </w:p>
        </w:tc>
        <w:tc>
          <w:tcPr>
            <w:tcW w:w="0" w:type="auto"/>
            <w:shd w:val="clear" w:color="auto" w:fill="auto"/>
            <w:vAlign w:val="bottom"/>
          </w:tcPr>
          <w:p w14:paraId="71D4208C" w14:textId="77777777" w:rsidR="006A3667" w:rsidRDefault="006A3667">
            <w:pPr>
              <w:rPr>
                <w:rFonts w:ascii="宋体"/>
                <w:vanish/>
              </w:rPr>
            </w:pPr>
          </w:p>
        </w:tc>
      </w:tr>
      <w:tr w:rsidR="006A3667" w14:paraId="71D4209C" w14:textId="77777777">
        <w:tc>
          <w:tcPr>
            <w:tcW w:w="0" w:type="auto"/>
            <w:gridSpan w:val="3"/>
            <w:shd w:val="clear" w:color="auto" w:fill="FFFFFF"/>
            <w:tcMar>
              <w:top w:w="40" w:type="dxa"/>
              <w:left w:w="20" w:type="dxa"/>
              <w:bottom w:w="40" w:type="dxa"/>
              <w:right w:w="20" w:type="dxa"/>
            </w:tcMar>
            <w:vAlign w:val="bottom"/>
          </w:tcPr>
          <w:p w14:paraId="71D4208E" w14:textId="77777777" w:rsidR="006A3667" w:rsidRDefault="00045F32">
            <w:pPr>
              <w:textAlignment w:val="bottom"/>
            </w:pPr>
            <w:r>
              <w:rPr>
                <w:rFonts w:ascii="Arial" w:eastAsia="宋体" w:hAnsi="Arial" w:cs="Arial"/>
                <w:color w:val="000000"/>
                <w:sz w:val="18"/>
                <w:szCs w:val="18"/>
              </w:rPr>
              <w:t>Other fee revenue</w:t>
            </w:r>
          </w:p>
        </w:tc>
        <w:tc>
          <w:tcPr>
            <w:tcW w:w="0" w:type="auto"/>
            <w:gridSpan w:val="2"/>
            <w:shd w:val="clear" w:color="auto" w:fill="FFFFFF"/>
            <w:tcMar>
              <w:top w:w="40" w:type="dxa"/>
              <w:left w:w="20" w:type="dxa"/>
              <w:bottom w:w="40" w:type="dxa"/>
              <w:right w:w="0" w:type="dxa"/>
            </w:tcMar>
            <w:vAlign w:val="bottom"/>
          </w:tcPr>
          <w:p w14:paraId="71D4208F" w14:textId="77777777" w:rsidR="006A3667" w:rsidRDefault="00045F32">
            <w:pPr>
              <w:jc w:val="right"/>
              <w:textAlignment w:val="bottom"/>
            </w:pPr>
            <w:r>
              <w:rPr>
                <w:rFonts w:ascii="Arial" w:eastAsia="宋体" w:hAnsi="Arial" w:cs="Arial"/>
                <w:b/>
                <w:bCs/>
                <w:color w:val="000000"/>
                <w:sz w:val="18"/>
                <w:szCs w:val="18"/>
              </w:rPr>
              <w:t>(5)</w:t>
            </w:r>
          </w:p>
        </w:tc>
        <w:tc>
          <w:tcPr>
            <w:tcW w:w="0" w:type="auto"/>
            <w:shd w:val="clear" w:color="auto" w:fill="FFFFFF"/>
            <w:tcMar>
              <w:top w:w="40" w:type="dxa"/>
              <w:left w:w="0" w:type="dxa"/>
              <w:bottom w:w="40" w:type="dxa"/>
              <w:right w:w="20" w:type="dxa"/>
            </w:tcMar>
            <w:vAlign w:val="bottom"/>
          </w:tcPr>
          <w:p w14:paraId="71D4209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9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92" w14:textId="77777777" w:rsidR="006A3667" w:rsidRDefault="00045F32">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71D420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9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95" w14:textId="77777777" w:rsidR="006A3667" w:rsidRDefault="00045F32">
            <w:pPr>
              <w:jc w:val="right"/>
              <w:textAlignment w:val="bottom"/>
            </w:pPr>
            <w:r>
              <w:rPr>
                <w:rFonts w:ascii="Arial" w:eastAsia="宋体" w:hAnsi="Arial" w:cs="Arial"/>
                <w:b/>
                <w:bCs/>
                <w:color w:val="000000"/>
                <w:sz w:val="18"/>
                <w:szCs w:val="18"/>
              </w:rPr>
              <w:t>(19)</w:t>
            </w:r>
          </w:p>
        </w:tc>
        <w:tc>
          <w:tcPr>
            <w:tcW w:w="0" w:type="auto"/>
            <w:shd w:val="clear" w:color="auto" w:fill="FFFFFF"/>
            <w:tcMar>
              <w:top w:w="40" w:type="dxa"/>
              <w:left w:w="0" w:type="dxa"/>
              <w:bottom w:w="40" w:type="dxa"/>
              <w:right w:w="20" w:type="dxa"/>
            </w:tcMar>
            <w:vAlign w:val="bottom"/>
          </w:tcPr>
          <w:p w14:paraId="71D4209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9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98" w14:textId="77777777" w:rsidR="006A3667" w:rsidRDefault="00045F32">
            <w:pPr>
              <w:jc w:val="right"/>
              <w:textAlignment w:val="bottom"/>
            </w:pPr>
            <w:r>
              <w:rPr>
                <w:rFonts w:ascii="Arial" w:eastAsia="宋体" w:hAnsi="Arial" w:cs="Arial"/>
                <w:color w:val="000000"/>
                <w:sz w:val="18"/>
                <w:szCs w:val="18"/>
              </w:rPr>
              <w:t>48 </w:t>
            </w:r>
          </w:p>
        </w:tc>
        <w:tc>
          <w:tcPr>
            <w:tcW w:w="0" w:type="auto"/>
            <w:shd w:val="clear" w:color="auto" w:fill="FFFFFF"/>
            <w:tcMar>
              <w:top w:w="40" w:type="dxa"/>
              <w:left w:w="0" w:type="dxa"/>
              <w:bottom w:w="40" w:type="dxa"/>
              <w:right w:w="20" w:type="dxa"/>
            </w:tcMar>
            <w:vAlign w:val="bottom"/>
          </w:tcPr>
          <w:p w14:paraId="71D42099" w14:textId="77777777" w:rsidR="006A3667" w:rsidRDefault="006A3667">
            <w:pPr>
              <w:jc w:val="right"/>
              <w:rPr>
                <w:rFonts w:ascii="宋体"/>
              </w:rPr>
            </w:pPr>
          </w:p>
        </w:tc>
        <w:tc>
          <w:tcPr>
            <w:tcW w:w="0" w:type="auto"/>
            <w:shd w:val="clear" w:color="auto" w:fill="auto"/>
            <w:vAlign w:val="bottom"/>
          </w:tcPr>
          <w:p w14:paraId="71D4209A" w14:textId="77777777" w:rsidR="006A3667" w:rsidRDefault="006A3667">
            <w:pPr>
              <w:rPr>
                <w:rFonts w:ascii="宋体"/>
                <w:vanish/>
              </w:rPr>
            </w:pPr>
          </w:p>
        </w:tc>
        <w:tc>
          <w:tcPr>
            <w:tcW w:w="0" w:type="auto"/>
            <w:shd w:val="clear" w:color="auto" w:fill="auto"/>
            <w:vAlign w:val="bottom"/>
          </w:tcPr>
          <w:p w14:paraId="71D4209B" w14:textId="77777777" w:rsidR="006A3667" w:rsidRDefault="006A3667">
            <w:pPr>
              <w:rPr>
                <w:rFonts w:ascii="宋体"/>
                <w:vanish/>
              </w:rPr>
            </w:pPr>
          </w:p>
        </w:tc>
      </w:tr>
      <w:tr w:rsidR="006A3667" w14:paraId="71D420AB" w14:textId="77777777">
        <w:tc>
          <w:tcPr>
            <w:tcW w:w="0" w:type="auto"/>
            <w:gridSpan w:val="3"/>
            <w:shd w:val="clear" w:color="auto" w:fill="CCEEFF"/>
            <w:tcMar>
              <w:top w:w="40" w:type="dxa"/>
              <w:left w:w="20" w:type="dxa"/>
              <w:bottom w:w="40" w:type="dxa"/>
              <w:right w:w="20" w:type="dxa"/>
            </w:tcMar>
            <w:vAlign w:val="bottom"/>
          </w:tcPr>
          <w:p w14:paraId="71D4209D" w14:textId="77777777" w:rsidR="006A3667" w:rsidRDefault="00045F32">
            <w:pPr>
              <w:textAlignment w:val="bottom"/>
            </w:pPr>
            <w:r>
              <w:rPr>
                <w:rFonts w:ascii="Arial" w:eastAsia="宋体" w:hAnsi="Arial" w:cs="Arial"/>
                <w:color w:val="000000"/>
                <w:sz w:val="18"/>
                <w:szCs w:val="18"/>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09E" w14:textId="77777777" w:rsidR="006A3667" w:rsidRDefault="00045F32">
            <w:pPr>
              <w:jc w:val="right"/>
              <w:textAlignment w:val="bottom"/>
            </w:pPr>
            <w:r>
              <w:rPr>
                <w:rFonts w:ascii="Arial" w:eastAsia="宋体" w:hAnsi="Arial" w:cs="Arial"/>
                <w:b/>
                <w:bCs/>
                <w:color w:val="000000"/>
                <w:sz w:val="18"/>
                <w:szCs w:val="18"/>
              </w:rPr>
              <w:t>2,299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0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A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0A1" w14:textId="77777777" w:rsidR="006A3667" w:rsidRDefault="00045F32">
            <w:pPr>
              <w:jc w:val="right"/>
              <w:textAlignment w:val="bottom"/>
            </w:pPr>
            <w:r>
              <w:rPr>
                <w:rFonts w:ascii="Arial" w:eastAsia="宋体" w:hAnsi="Arial" w:cs="Arial"/>
                <w:color w:val="000000"/>
                <w:sz w:val="18"/>
                <w:szCs w:val="18"/>
              </w:rPr>
              <w:t>2,504 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0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A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0A4" w14:textId="77777777" w:rsidR="006A3667" w:rsidRDefault="00045F32">
            <w:pPr>
              <w:jc w:val="right"/>
              <w:textAlignment w:val="bottom"/>
            </w:pPr>
            <w:r>
              <w:rPr>
                <w:rFonts w:ascii="Arial" w:eastAsia="宋体" w:hAnsi="Arial" w:cs="Arial"/>
                <w:b/>
                <w:bCs/>
                <w:color w:val="000000"/>
                <w:sz w:val="18"/>
                <w:szCs w:val="18"/>
              </w:rPr>
              <w:t>7,242</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0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A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0A7" w14:textId="77777777" w:rsidR="006A3667" w:rsidRDefault="00045F32">
            <w:pPr>
              <w:jc w:val="right"/>
              <w:textAlignment w:val="bottom"/>
            </w:pPr>
            <w:r>
              <w:rPr>
                <w:rFonts w:ascii="Arial" w:eastAsia="宋体" w:hAnsi="Arial" w:cs="Arial"/>
                <w:color w:val="000000"/>
                <w:sz w:val="18"/>
                <w:szCs w:val="18"/>
              </w:rPr>
              <w:t>7,501 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0A8" w14:textId="77777777" w:rsidR="006A3667" w:rsidRDefault="006A3667">
            <w:pPr>
              <w:jc w:val="right"/>
              <w:rPr>
                <w:rFonts w:ascii="宋体"/>
              </w:rPr>
            </w:pPr>
          </w:p>
        </w:tc>
        <w:tc>
          <w:tcPr>
            <w:tcW w:w="0" w:type="auto"/>
            <w:shd w:val="clear" w:color="auto" w:fill="auto"/>
            <w:vAlign w:val="bottom"/>
          </w:tcPr>
          <w:p w14:paraId="71D420A9" w14:textId="77777777" w:rsidR="006A3667" w:rsidRDefault="006A3667">
            <w:pPr>
              <w:rPr>
                <w:rFonts w:ascii="宋体"/>
                <w:vanish/>
              </w:rPr>
            </w:pPr>
          </w:p>
        </w:tc>
        <w:tc>
          <w:tcPr>
            <w:tcW w:w="0" w:type="auto"/>
            <w:shd w:val="clear" w:color="auto" w:fill="auto"/>
            <w:vAlign w:val="bottom"/>
          </w:tcPr>
          <w:p w14:paraId="71D420AA" w14:textId="77777777" w:rsidR="006A3667" w:rsidRDefault="006A3667">
            <w:pPr>
              <w:rPr>
                <w:rFonts w:ascii="宋体"/>
                <w:vanish/>
              </w:rPr>
            </w:pPr>
          </w:p>
        </w:tc>
      </w:tr>
      <w:tr w:rsidR="006A3667" w14:paraId="71D420B6" w14:textId="77777777">
        <w:tc>
          <w:tcPr>
            <w:tcW w:w="0" w:type="auto"/>
            <w:gridSpan w:val="3"/>
            <w:shd w:val="clear" w:color="auto" w:fill="FFFFFF"/>
            <w:tcMar>
              <w:top w:w="40" w:type="dxa"/>
              <w:left w:w="20" w:type="dxa"/>
              <w:bottom w:w="40" w:type="dxa"/>
              <w:right w:w="20" w:type="dxa"/>
            </w:tcMar>
            <w:vAlign w:val="bottom"/>
          </w:tcPr>
          <w:p w14:paraId="71D420AC" w14:textId="77777777" w:rsidR="006A3667" w:rsidRDefault="00045F32">
            <w:pPr>
              <w:textAlignment w:val="bottom"/>
            </w:pPr>
            <w:r>
              <w:rPr>
                <w:rFonts w:ascii="Arial" w:eastAsia="宋体" w:hAnsi="Arial" w:cs="Arial"/>
                <w:b/>
                <w:bCs/>
                <w:color w:val="000000"/>
                <w:sz w:val="18"/>
                <w:szCs w:val="18"/>
              </w:rPr>
              <w:t>Net interest income:</w:t>
            </w:r>
          </w:p>
        </w:tc>
        <w:tc>
          <w:tcPr>
            <w:tcW w:w="0" w:type="auto"/>
            <w:gridSpan w:val="3"/>
            <w:shd w:val="clear" w:color="auto" w:fill="FFFFFF"/>
            <w:tcMar>
              <w:top w:w="0" w:type="dxa"/>
              <w:left w:w="20" w:type="dxa"/>
              <w:bottom w:w="0" w:type="dxa"/>
              <w:right w:w="20" w:type="dxa"/>
            </w:tcMar>
            <w:vAlign w:val="bottom"/>
          </w:tcPr>
          <w:p w14:paraId="71D420A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A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A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B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B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B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B3" w14:textId="77777777" w:rsidR="006A3667" w:rsidRDefault="006A3667">
            <w:pPr>
              <w:rPr>
                <w:rFonts w:ascii="宋体"/>
              </w:rPr>
            </w:pPr>
          </w:p>
        </w:tc>
        <w:tc>
          <w:tcPr>
            <w:tcW w:w="0" w:type="auto"/>
            <w:shd w:val="clear" w:color="auto" w:fill="auto"/>
            <w:vAlign w:val="bottom"/>
          </w:tcPr>
          <w:p w14:paraId="71D420B4" w14:textId="77777777" w:rsidR="006A3667" w:rsidRDefault="006A3667">
            <w:pPr>
              <w:rPr>
                <w:rFonts w:ascii="宋体"/>
                <w:vanish/>
              </w:rPr>
            </w:pPr>
          </w:p>
        </w:tc>
        <w:tc>
          <w:tcPr>
            <w:tcW w:w="0" w:type="auto"/>
            <w:shd w:val="clear" w:color="auto" w:fill="auto"/>
            <w:vAlign w:val="bottom"/>
          </w:tcPr>
          <w:p w14:paraId="71D420B5" w14:textId="77777777" w:rsidR="006A3667" w:rsidRDefault="006A3667">
            <w:pPr>
              <w:rPr>
                <w:rFonts w:ascii="宋体"/>
                <w:vanish/>
              </w:rPr>
            </w:pPr>
          </w:p>
        </w:tc>
      </w:tr>
      <w:tr w:rsidR="006A3667" w14:paraId="71D420C5" w14:textId="77777777">
        <w:tc>
          <w:tcPr>
            <w:tcW w:w="0" w:type="auto"/>
            <w:gridSpan w:val="3"/>
            <w:shd w:val="clear" w:color="auto" w:fill="CCEEFF"/>
            <w:tcMar>
              <w:top w:w="40" w:type="dxa"/>
              <w:left w:w="20" w:type="dxa"/>
              <w:bottom w:w="40" w:type="dxa"/>
              <w:right w:w="20" w:type="dxa"/>
            </w:tcMar>
            <w:vAlign w:val="bottom"/>
          </w:tcPr>
          <w:p w14:paraId="71D420B7" w14:textId="77777777" w:rsidR="006A3667" w:rsidRDefault="00045F32">
            <w:pPr>
              <w:textAlignment w:val="bottom"/>
            </w:pPr>
            <w:r>
              <w:rPr>
                <w:rFonts w:ascii="Arial" w:eastAsia="宋体" w:hAnsi="Arial" w:cs="Arial"/>
                <w:color w:val="000000"/>
                <w:sz w:val="18"/>
                <w:szCs w:val="18"/>
              </w:rPr>
              <w:t>Interest income</w:t>
            </w:r>
          </w:p>
        </w:tc>
        <w:tc>
          <w:tcPr>
            <w:tcW w:w="0" w:type="auto"/>
            <w:gridSpan w:val="2"/>
            <w:shd w:val="clear" w:color="auto" w:fill="CCEEFF"/>
            <w:tcMar>
              <w:top w:w="40" w:type="dxa"/>
              <w:left w:w="20" w:type="dxa"/>
              <w:bottom w:w="40" w:type="dxa"/>
              <w:right w:w="0" w:type="dxa"/>
            </w:tcMar>
            <w:vAlign w:val="bottom"/>
          </w:tcPr>
          <w:p w14:paraId="71D420B8" w14:textId="77777777" w:rsidR="006A3667" w:rsidRDefault="00045F32">
            <w:pPr>
              <w:jc w:val="right"/>
              <w:textAlignment w:val="bottom"/>
            </w:pPr>
            <w:r>
              <w:rPr>
                <w:rFonts w:ascii="Arial" w:eastAsia="宋体" w:hAnsi="Arial" w:cs="Arial"/>
                <w:b/>
                <w:bCs/>
                <w:color w:val="000000"/>
                <w:sz w:val="18"/>
                <w:szCs w:val="18"/>
              </w:rPr>
              <w:t>1,101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0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B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BB" w14:textId="77777777" w:rsidR="006A3667" w:rsidRDefault="00045F32">
            <w:pPr>
              <w:jc w:val="right"/>
              <w:textAlignment w:val="bottom"/>
            </w:pPr>
            <w:r>
              <w:rPr>
                <w:rFonts w:ascii="Arial" w:eastAsia="宋体" w:hAnsi="Arial" w:cs="Arial"/>
                <w:color w:val="000000"/>
                <w:sz w:val="18"/>
                <w:szCs w:val="18"/>
              </w:rPr>
              <w:t>487 </w:t>
            </w:r>
          </w:p>
        </w:tc>
        <w:tc>
          <w:tcPr>
            <w:tcW w:w="0" w:type="auto"/>
            <w:shd w:val="clear" w:color="auto" w:fill="CCEEFF"/>
            <w:tcMar>
              <w:top w:w="40" w:type="dxa"/>
              <w:left w:w="0" w:type="dxa"/>
              <w:bottom w:w="40" w:type="dxa"/>
              <w:right w:w="20" w:type="dxa"/>
            </w:tcMar>
            <w:vAlign w:val="bottom"/>
          </w:tcPr>
          <w:p w14:paraId="71D420B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B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BE" w14:textId="77777777" w:rsidR="006A3667" w:rsidRDefault="00045F32">
            <w:pPr>
              <w:jc w:val="right"/>
              <w:textAlignment w:val="bottom"/>
            </w:pPr>
            <w:r>
              <w:rPr>
                <w:rFonts w:ascii="Arial" w:eastAsia="宋体" w:hAnsi="Arial" w:cs="Arial"/>
                <w:b/>
                <w:bCs/>
                <w:color w:val="000000"/>
                <w:sz w:val="18"/>
                <w:szCs w:val="18"/>
              </w:rPr>
              <w:t>2,326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0B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C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0C1" w14:textId="77777777" w:rsidR="006A3667" w:rsidRDefault="00045F32">
            <w:pPr>
              <w:jc w:val="right"/>
              <w:textAlignment w:val="bottom"/>
            </w:pPr>
            <w:r>
              <w:rPr>
                <w:rFonts w:ascii="Arial" w:eastAsia="宋体" w:hAnsi="Arial" w:cs="Arial"/>
                <w:color w:val="000000"/>
                <w:sz w:val="18"/>
                <w:szCs w:val="18"/>
              </w:rPr>
              <w:t>1,425 </w:t>
            </w:r>
          </w:p>
        </w:tc>
        <w:tc>
          <w:tcPr>
            <w:tcW w:w="0" w:type="auto"/>
            <w:shd w:val="clear" w:color="auto" w:fill="CCEEFF"/>
            <w:tcMar>
              <w:top w:w="40" w:type="dxa"/>
              <w:left w:w="0" w:type="dxa"/>
              <w:bottom w:w="40" w:type="dxa"/>
              <w:right w:w="20" w:type="dxa"/>
            </w:tcMar>
            <w:vAlign w:val="bottom"/>
          </w:tcPr>
          <w:p w14:paraId="71D420C2" w14:textId="77777777" w:rsidR="006A3667" w:rsidRDefault="006A3667">
            <w:pPr>
              <w:jc w:val="right"/>
              <w:rPr>
                <w:rFonts w:ascii="宋体"/>
              </w:rPr>
            </w:pPr>
          </w:p>
        </w:tc>
        <w:tc>
          <w:tcPr>
            <w:tcW w:w="0" w:type="auto"/>
            <w:shd w:val="clear" w:color="auto" w:fill="auto"/>
            <w:vAlign w:val="bottom"/>
          </w:tcPr>
          <w:p w14:paraId="71D420C3" w14:textId="77777777" w:rsidR="006A3667" w:rsidRDefault="006A3667">
            <w:pPr>
              <w:rPr>
                <w:rFonts w:ascii="宋体"/>
                <w:vanish/>
              </w:rPr>
            </w:pPr>
          </w:p>
        </w:tc>
        <w:tc>
          <w:tcPr>
            <w:tcW w:w="0" w:type="auto"/>
            <w:shd w:val="clear" w:color="auto" w:fill="auto"/>
            <w:vAlign w:val="bottom"/>
          </w:tcPr>
          <w:p w14:paraId="71D420C4" w14:textId="77777777" w:rsidR="006A3667" w:rsidRDefault="006A3667">
            <w:pPr>
              <w:rPr>
                <w:rFonts w:ascii="宋体"/>
                <w:vanish/>
              </w:rPr>
            </w:pPr>
          </w:p>
        </w:tc>
      </w:tr>
      <w:tr w:rsidR="006A3667" w14:paraId="71D420D4" w14:textId="77777777">
        <w:tc>
          <w:tcPr>
            <w:tcW w:w="0" w:type="auto"/>
            <w:gridSpan w:val="3"/>
            <w:shd w:val="clear" w:color="auto" w:fill="FFFFFF"/>
            <w:tcMar>
              <w:top w:w="40" w:type="dxa"/>
              <w:left w:w="20" w:type="dxa"/>
              <w:bottom w:w="40" w:type="dxa"/>
              <w:right w:w="20" w:type="dxa"/>
            </w:tcMar>
            <w:vAlign w:val="bottom"/>
          </w:tcPr>
          <w:p w14:paraId="71D420C6" w14:textId="77777777" w:rsidR="006A3667" w:rsidRDefault="00045F32">
            <w:pPr>
              <w:textAlignment w:val="bottom"/>
            </w:pPr>
            <w:r>
              <w:rPr>
                <w:rFonts w:ascii="Arial" w:eastAsia="宋体" w:hAnsi="Arial" w:cs="Arial"/>
                <w:color w:val="000000"/>
                <w:sz w:val="18"/>
                <w:szCs w:val="18"/>
              </w:rPr>
              <w:t>Interest expense</w:t>
            </w:r>
          </w:p>
        </w:tc>
        <w:tc>
          <w:tcPr>
            <w:tcW w:w="0" w:type="auto"/>
            <w:gridSpan w:val="2"/>
            <w:shd w:val="clear" w:color="auto" w:fill="FFFFFF"/>
            <w:tcMar>
              <w:top w:w="40" w:type="dxa"/>
              <w:left w:w="20" w:type="dxa"/>
              <w:bottom w:w="40" w:type="dxa"/>
              <w:right w:w="0" w:type="dxa"/>
            </w:tcMar>
            <w:vAlign w:val="bottom"/>
          </w:tcPr>
          <w:p w14:paraId="71D420C7" w14:textId="77777777" w:rsidR="006A3667" w:rsidRDefault="00045F32">
            <w:pPr>
              <w:jc w:val="right"/>
              <w:textAlignment w:val="bottom"/>
            </w:pPr>
            <w:r>
              <w:rPr>
                <w:rFonts w:ascii="Arial" w:eastAsia="宋体" w:hAnsi="Arial" w:cs="Arial"/>
                <w:b/>
                <w:bCs/>
                <w:color w:val="000000"/>
                <w:sz w:val="18"/>
                <w:szCs w:val="18"/>
              </w:rPr>
              <w:t>441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0C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C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CA" w14:textId="77777777" w:rsidR="006A3667" w:rsidRDefault="00045F32">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0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CD" w14:textId="77777777" w:rsidR="006A3667" w:rsidRDefault="00045F32">
            <w:pPr>
              <w:jc w:val="right"/>
              <w:textAlignment w:val="bottom"/>
            </w:pPr>
            <w:r>
              <w:rPr>
                <w:rFonts w:ascii="Arial" w:eastAsia="宋体" w:hAnsi="Arial" w:cs="Arial"/>
                <w:b/>
                <w:bCs/>
                <w:color w:val="000000"/>
                <w:sz w:val="18"/>
                <w:szCs w:val="18"/>
              </w:rPr>
              <w:t>573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0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0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0D0" w14:textId="77777777" w:rsidR="006A3667" w:rsidRDefault="00045F32">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71D420D1" w14:textId="77777777" w:rsidR="006A3667" w:rsidRDefault="006A3667">
            <w:pPr>
              <w:jc w:val="right"/>
              <w:rPr>
                <w:rFonts w:ascii="宋体"/>
              </w:rPr>
            </w:pPr>
          </w:p>
        </w:tc>
        <w:tc>
          <w:tcPr>
            <w:tcW w:w="0" w:type="auto"/>
            <w:shd w:val="clear" w:color="auto" w:fill="auto"/>
            <w:vAlign w:val="bottom"/>
          </w:tcPr>
          <w:p w14:paraId="71D420D2" w14:textId="77777777" w:rsidR="006A3667" w:rsidRDefault="006A3667">
            <w:pPr>
              <w:rPr>
                <w:rFonts w:ascii="宋体"/>
                <w:vanish/>
              </w:rPr>
            </w:pPr>
          </w:p>
        </w:tc>
        <w:tc>
          <w:tcPr>
            <w:tcW w:w="0" w:type="auto"/>
            <w:shd w:val="clear" w:color="auto" w:fill="auto"/>
            <w:vAlign w:val="bottom"/>
          </w:tcPr>
          <w:p w14:paraId="71D420D3" w14:textId="77777777" w:rsidR="006A3667" w:rsidRDefault="006A3667">
            <w:pPr>
              <w:rPr>
                <w:rFonts w:ascii="宋体"/>
                <w:vanish/>
              </w:rPr>
            </w:pPr>
          </w:p>
        </w:tc>
      </w:tr>
      <w:tr w:rsidR="006A3667" w14:paraId="71D420E3" w14:textId="77777777">
        <w:tc>
          <w:tcPr>
            <w:tcW w:w="0" w:type="auto"/>
            <w:gridSpan w:val="3"/>
            <w:shd w:val="clear" w:color="auto" w:fill="CCEEFF"/>
            <w:tcMar>
              <w:top w:w="40" w:type="dxa"/>
              <w:left w:w="20" w:type="dxa"/>
              <w:bottom w:w="40" w:type="dxa"/>
              <w:right w:w="20" w:type="dxa"/>
            </w:tcMar>
            <w:vAlign w:val="bottom"/>
          </w:tcPr>
          <w:p w14:paraId="71D420D5" w14:textId="77777777" w:rsidR="006A3667" w:rsidRDefault="00045F32">
            <w:pPr>
              <w:textAlignment w:val="bottom"/>
            </w:pPr>
            <w:r>
              <w:rPr>
                <w:rFonts w:ascii="Arial" w:eastAsia="宋体" w:hAnsi="Arial" w:cs="Arial"/>
                <w:color w:val="000000"/>
                <w:sz w:val="18"/>
                <w:szCs w:val="18"/>
              </w:rPr>
              <w:t>Net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0D6" w14:textId="77777777" w:rsidR="006A3667" w:rsidRDefault="00045F32">
            <w:pPr>
              <w:jc w:val="right"/>
              <w:textAlignment w:val="bottom"/>
            </w:pPr>
            <w:r>
              <w:rPr>
                <w:rFonts w:ascii="Arial" w:eastAsia="宋体" w:hAnsi="Arial" w:cs="Arial"/>
                <w:b/>
                <w:bCs/>
                <w:color w:val="000000"/>
                <w:sz w:val="18"/>
                <w:szCs w:val="18"/>
              </w:rPr>
              <w:t>660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0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D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0D9" w14:textId="77777777" w:rsidR="006A3667" w:rsidRDefault="00045F32">
            <w:pPr>
              <w:jc w:val="right"/>
              <w:textAlignment w:val="bottom"/>
            </w:pPr>
            <w:r>
              <w:rPr>
                <w:rFonts w:ascii="Arial" w:eastAsia="宋体" w:hAnsi="Arial" w:cs="Arial"/>
                <w:color w:val="000000"/>
                <w:sz w:val="18"/>
                <w:szCs w:val="18"/>
              </w:rPr>
              <w:t>487 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0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D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0DC" w14:textId="77777777" w:rsidR="006A3667" w:rsidRDefault="00045F32">
            <w:pPr>
              <w:jc w:val="right"/>
              <w:textAlignment w:val="bottom"/>
            </w:pPr>
            <w:r>
              <w:rPr>
                <w:rFonts w:ascii="Arial" w:eastAsia="宋体" w:hAnsi="Arial" w:cs="Arial"/>
                <w:b/>
                <w:bCs/>
                <w:color w:val="000000"/>
                <w:sz w:val="18"/>
                <w:szCs w:val="18"/>
              </w:rPr>
              <w:t>1,753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0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0D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0DF" w14:textId="77777777" w:rsidR="006A3667" w:rsidRDefault="00045F32">
            <w:pPr>
              <w:jc w:val="right"/>
              <w:textAlignment w:val="bottom"/>
            </w:pPr>
            <w:r>
              <w:rPr>
                <w:rFonts w:ascii="Arial" w:eastAsia="宋体" w:hAnsi="Arial" w:cs="Arial"/>
                <w:color w:val="000000"/>
                <w:sz w:val="18"/>
                <w:szCs w:val="18"/>
              </w:rPr>
              <w:t>1,421 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0E0" w14:textId="77777777" w:rsidR="006A3667" w:rsidRDefault="006A3667">
            <w:pPr>
              <w:jc w:val="right"/>
              <w:rPr>
                <w:rFonts w:ascii="宋体"/>
              </w:rPr>
            </w:pPr>
          </w:p>
        </w:tc>
        <w:tc>
          <w:tcPr>
            <w:tcW w:w="0" w:type="auto"/>
            <w:shd w:val="clear" w:color="auto" w:fill="auto"/>
            <w:vAlign w:val="bottom"/>
          </w:tcPr>
          <w:p w14:paraId="71D420E1" w14:textId="77777777" w:rsidR="006A3667" w:rsidRDefault="006A3667">
            <w:pPr>
              <w:rPr>
                <w:rFonts w:ascii="宋体"/>
                <w:vanish/>
              </w:rPr>
            </w:pPr>
          </w:p>
        </w:tc>
        <w:tc>
          <w:tcPr>
            <w:tcW w:w="0" w:type="auto"/>
            <w:shd w:val="clear" w:color="auto" w:fill="auto"/>
            <w:vAlign w:val="bottom"/>
          </w:tcPr>
          <w:p w14:paraId="71D420E2" w14:textId="77777777" w:rsidR="006A3667" w:rsidRDefault="006A3667">
            <w:pPr>
              <w:rPr>
                <w:rFonts w:ascii="宋体"/>
                <w:vanish/>
              </w:rPr>
            </w:pPr>
          </w:p>
        </w:tc>
      </w:tr>
      <w:tr w:rsidR="006A3667" w14:paraId="71D420EE" w14:textId="77777777">
        <w:tc>
          <w:tcPr>
            <w:tcW w:w="0" w:type="auto"/>
            <w:gridSpan w:val="3"/>
            <w:shd w:val="clear" w:color="auto" w:fill="FFFFFF"/>
            <w:tcMar>
              <w:top w:w="40" w:type="dxa"/>
              <w:left w:w="20" w:type="dxa"/>
              <w:bottom w:w="40" w:type="dxa"/>
              <w:right w:w="20" w:type="dxa"/>
            </w:tcMar>
            <w:vAlign w:val="bottom"/>
          </w:tcPr>
          <w:p w14:paraId="71D420E4" w14:textId="77777777" w:rsidR="006A3667" w:rsidRDefault="00045F32">
            <w:pPr>
              <w:textAlignment w:val="bottom"/>
            </w:pPr>
            <w:r>
              <w:rPr>
                <w:rFonts w:ascii="Arial" w:eastAsia="宋体" w:hAnsi="Arial" w:cs="Arial"/>
                <w:b/>
                <w:bCs/>
                <w:color w:val="000000"/>
                <w:sz w:val="18"/>
                <w:szCs w:val="18"/>
              </w:rPr>
              <w:t>Other income:</w:t>
            </w:r>
          </w:p>
        </w:tc>
        <w:tc>
          <w:tcPr>
            <w:tcW w:w="0" w:type="auto"/>
            <w:gridSpan w:val="3"/>
            <w:shd w:val="clear" w:color="auto" w:fill="FFFFFF"/>
            <w:tcMar>
              <w:top w:w="0" w:type="dxa"/>
              <w:left w:w="20" w:type="dxa"/>
              <w:bottom w:w="0" w:type="dxa"/>
              <w:right w:w="20" w:type="dxa"/>
            </w:tcMar>
            <w:vAlign w:val="bottom"/>
          </w:tcPr>
          <w:p w14:paraId="71D420E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E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E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E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E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E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0EB" w14:textId="77777777" w:rsidR="006A3667" w:rsidRDefault="006A3667">
            <w:pPr>
              <w:rPr>
                <w:rFonts w:ascii="宋体"/>
              </w:rPr>
            </w:pPr>
          </w:p>
        </w:tc>
        <w:tc>
          <w:tcPr>
            <w:tcW w:w="0" w:type="auto"/>
            <w:shd w:val="clear" w:color="auto" w:fill="auto"/>
            <w:vAlign w:val="bottom"/>
          </w:tcPr>
          <w:p w14:paraId="71D420EC" w14:textId="77777777" w:rsidR="006A3667" w:rsidRDefault="006A3667">
            <w:pPr>
              <w:rPr>
                <w:rFonts w:ascii="宋体"/>
                <w:vanish/>
              </w:rPr>
            </w:pPr>
          </w:p>
        </w:tc>
        <w:tc>
          <w:tcPr>
            <w:tcW w:w="0" w:type="auto"/>
            <w:shd w:val="clear" w:color="auto" w:fill="auto"/>
            <w:vAlign w:val="bottom"/>
          </w:tcPr>
          <w:p w14:paraId="71D420ED" w14:textId="77777777" w:rsidR="006A3667" w:rsidRDefault="006A3667">
            <w:pPr>
              <w:rPr>
                <w:rFonts w:ascii="宋体"/>
                <w:vanish/>
              </w:rPr>
            </w:pPr>
          </w:p>
        </w:tc>
      </w:tr>
      <w:tr w:rsidR="006A3667" w14:paraId="71D420F9" w14:textId="77777777">
        <w:trPr>
          <w:hidden/>
        </w:trPr>
        <w:tc>
          <w:tcPr>
            <w:tcW w:w="0" w:type="auto"/>
            <w:gridSpan w:val="3"/>
            <w:shd w:val="clear" w:color="auto" w:fill="auto"/>
            <w:vAlign w:val="bottom"/>
          </w:tcPr>
          <w:p w14:paraId="71D420EF" w14:textId="77777777" w:rsidR="006A3667" w:rsidRDefault="006A3667">
            <w:pPr>
              <w:rPr>
                <w:rFonts w:ascii="宋体"/>
                <w:vanish/>
              </w:rPr>
            </w:pPr>
          </w:p>
        </w:tc>
        <w:tc>
          <w:tcPr>
            <w:tcW w:w="0" w:type="auto"/>
            <w:gridSpan w:val="3"/>
            <w:shd w:val="clear" w:color="auto" w:fill="auto"/>
            <w:vAlign w:val="bottom"/>
          </w:tcPr>
          <w:p w14:paraId="71D420F0" w14:textId="77777777" w:rsidR="006A3667" w:rsidRDefault="006A3667">
            <w:pPr>
              <w:rPr>
                <w:rFonts w:ascii="宋体"/>
                <w:vanish/>
              </w:rPr>
            </w:pPr>
          </w:p>
        </w:tc>
        <w:tc>
          <w:tcPr>
            <w:tcW w:w="0" w:type="auto"/>
            <w:gridSpan w:val="3"/>
            <w:shd w:val="clear" w:color="auto" w:fill="auto"/>
            <w:vAlign w:val="bottom"/>
          </w:tcPr>
          <w:p w14:paraId="71D420F1" w14:textId="77777777" w:rsidR="006A3667" w:rsidRDefault="006A3667">
            <w:pPr>
              <w:rPr>
                <w:rFonts w:ascii="宋体"/>
                <w:vanish/>
              </w:rPr>
            </w:pPr>
          </w:p>
        </w:tc>
        <w:tc>
          <w:tcPr>
            <w:tcW w:w="0" w:type="auto"/>
            <w:gridSpan w:val="3"/>
            <w:shd w:val="clear" w:color="auto" w:fill="auto"/>
            <w:vAlign w:val="bottom"/>
          </w:tcPr>
          <w:p w14:paraId="71D420F2" w14:textId="77777777" w:rsidR="006A3667" w:rsidRDefault="006A3667">
            <w:pPr>
              <w:rPr>
                <w:rFonts w:ascii="宋体"/>
                <w:vanish/>
              </w:rPr>
            </w:pPr>
          </w:p>
        </w:tc>
        <w:tc>
          <w:tcPr>
            <w:tcW w:w="0" w:type="auto"/>
            <w:gridSpan w:val="3"/>
            <w:shd w:val="clear" w:color="auto" w:fill="auto"/>
            <w:vAlign w:val="bottom"/>
          </w:tcPr>
          <w:p w14:paraId="71D420F3" w14:textId="77777777" w:rsidR="006A3667" w:rsidRDefault="006A3667">
            <w:pPr>
              <w:rPr>
                <w:rFonts w:ascii="宋体"/>
                <w:vanish/>
              </w:rPr>
            </w:pPr>
          </w:p>
        </w:tc>
        <w:tc>
          <w:tcPr>
            <w:tcW w:w="0" w:type="auto"/>
            <w:gridSpan w:val="3"/>
            <w:shd w:val="clear" w:color="auto" w:fill="auto"/>
            <w:vAlign w:val="bottom"/>
          </w:tcPr>
          <w:p w14:paraId="71D420F4" w14:textId="77777777" w:rsidR="006A3667" w:rsidRDefault="006A3667">
            <w:pPr>
              <w:rPr>
                <w:rFonts w:ascii="宋体"/>
                <w:vanish/>
              </w:rPr>
            </w:pPr>
          </w:p>
        </w:tc>
        <w:tc>
          <w:tcPr>
            <w:tcW w:w="0" w:type="auto"/>
            <w:gridSpan w:val="3"/>
            <w:shd w:val="clear" w:color="auto" w:fill="auto"/>
            <w:vAlign w:val="bottom"/>
          </w:tcPr>
          <w:p w14:paraId="71D420F5" w14:textId="77777777" w:rsidR="006A3667" w:rsidRDefault="006A3667">
            <w:pPr>
              <w:rPr>
                <w:rFonts w:ascii="宋体"/>
                <w:vanish/>
              </w:rPr>
            </w:pPr>
          </w:p>
        </w:tc>
        <w:tc>
          <w:tcPr>
            <w:tcW w:w="0" w:type="auto"/>
            <w:gridSpan w:val="3"/>
            <w:shd w:val="clear" w:color="auto" w:fill="auto"/>
            <w:vAlign w:val="bottom"/>
          </w:tcPr>
          <w:p w14:paraId="71D420F6" w14:textId="77777777" w:rsidR="006A3667" w:rsidRDefault="006A3667">
            <w:pPr>
              <w:rPr>
                <w:rFonts w:ascii="宋体"/>
                <w:vanish/>
              </w:rPr>
            </w:pPr>
          </w:p>
        </w:tc>
        <w:tc>
          <w:tcPr>
            <w:tcW w:w="0" w:type="auto"/>
            <w:shd w:val="clear" w:color="auto" w:fill="auto"/>
            <w:vAlign w:val="bottom"/>
          </w:tcPr>
          <w:p w14:paraId="71D420F7" w14:textId="77777777" w:rsidR="006A3667" w:rsidRDefault="006A3667">
            <w:pPr>
              <w:rPr>
                <w:rFonts w:ascii="宋体"/>
                <w:vanish/>
              </w:rPr>
            </w:pPr>
          </w:p>
        </w:tc>
        <w:tc>
          <w:tcPr>
            <w:tcW w:w="0" w:type="auto"/>
            <w:shd w:val="clear" w:color="auto" w:fill="auto"/>
            <w:vAlign w:val="bottom"/>
          </w:tcPr>
          <w:p w14:paraId="71D420F8" w14:textId="77777777" w:rsidR="006A3667" w:rsidRDefault="006A3667">
            <w:pPr>
              <w:rPr>
                <w:rFonts w:ascii="宋体"/>
                <w:vanish/>
              </w:rPr>
            </w:pPr>
          </w:p>
        </w:tc>
      </w:tr>
      <w:tr w:rsidR="006A3667" w14:paraId="71D42104" w14:textId="77777777">
        <w:trPr>
          <w:hidden/>
        </w:trPr>
        <w:tc>
          <w:tcPr>
            <w:tcW w:w="0" w:type="auto"/>
            <w:gridSpan w:val="3"/>
            <w:shd w:val="clear" w:color="auto" w:fill="auto"/>
            <w:vAlign w:val="bottom"/>
          </w:tcPr>
          <w:p w14:paraId="71D420FA" w14:textId="77777777" w:rsidR="006A3667" w:rsidRDefault="006A3667">
            <w:pPr>
              <w:rPr>
                <w:rFonts w:ascii="宋体"/>
                <w:vanish/>
              </w:rPr>
            </w:pPr>
          </w:p>
        </w:tc>
        <w:tc>
          <w:tcPr>
            <w:tcW w:w="0" w:type="auto"/>
            <w:gridSpan w:val="3"/>
            <w:shd w:val="clear" w:color="auto" w:fill="auto"/>
            <w:vAlign w:val="bottom"/>
          </w:tcPr>
          <w:p w14:paraId="71D420FB" w14:textId="77777777" w:rsidR="006A3667" w:rsidRDefault="006A3667">
            <w:pPr>
              <w:rPr>
                <w:rFonts w:ascii="宋体"/>
                <w:vanish/>
              </w:rPr>
            </w:pPr>
          </w:p>
        </w:tc>
        <w:tc>
          <w:tcPr>
            <w:tcW w:w="0" w:type="auto"/>
            <w:gridSpan w:val="3"/>
            <w:shd w:val="clear" w:color="auto" w:fill="auto"/>
            <w:vAlign w:val="bottom"/>
          </w:tcPr>
          <w:p w14:paraId="71D420FC" w14:textId="77777777" w:rsidR="006A3667" w:rsidRDefault="006A3667">
            <w:pPr>
              <w:rPr>
                <w:rFonts w:ascii="宋体"/>
                <w:vanish/>
              </w:rPr>
            </w:pPr>
          </w:p>
        </w:tc>
        <w:tc>
          <w:tcPr>
            <w:tcW w:w="0" w:type="auto"/>
            <w:gridSpan w:val="3"/>
            <w:shd w:val="clear" w:color="auto" w:fill="auto"/>
            <w:vAlign w:val="bottom"/>
          </w:tcPr>
          <w:p w14:paraId="71D420FD" w14:textId="77777777" w:rsidR="006A3667" w:rsidRDefault="006A3667">
            <w:pPr>
              <w:rPr>
                <w:rFonts w:ascii="宋体"/>
                <w:vanish/>
              </w:rPr>
            </w:pPr>
          </w:p>
        </w:tc>
        <w:tc>
          <w:tcPr>
            <w:tcW w:w="0" w:type="auto"/>
            <w:gridSpan w:val="3"/>
            <w:shd w:val="clear" w:color="auto" w:fill="auto"/>
            <w:vAlign w:val="bottom"/>
          </w:tcPr>
          <w:p w14:paraId="71D420FE" w14:textId="77777777" w:rsidR="006A3667" w:rsidRDefault="006A3667">
            <w:pPr>
              <w:rPr>
                <w:rFonts w:ascii="宋体"/>
                <w:vanish/>
              </w:rPr>
            </w:pPr>
          </w:p>
        </w:tc>
        <w:tc>
          <w:tcPr>
            <w:tcW w:w="0" w:type="auto"/>
            <w:gridSpan w:val="3"/>
            <w:shd w:val="clear" w:color="auto" w:fill="auto"/>
            <w:vAlign w:val="bottom"/>
          </w:tcPr>
          <w:p w14:paraId="71D420FF" w14:textId="77777777" w:rsidR="006A3667" w:rsidRDefault="006A3667">
            <w:pPr>
              <w:rPr>
                <w:rFonts w:ascii="宋体"/>
                <w:vanish/>
              </w:rPr>
            </w:pPr>
          </w:p>
        </w:tc>
        <w:tc>
          <w:tcPr>
            <w:tcW w:w="0" w:type="auto"/>
            <w:gridSpan w:val="3"/>
            <w:shd w:val="clear" w:color="auto" w:fill="auto"/>
            <w:vAlign w:val="bottom"/>
          </w:tcPr>
          <w:p w14:paraId="71D42100" w14:textId="77777777" w:rsidR="006A3667" w:rsidRDefault="006A3667">
            <w:pPr>
              <w:rPr>
                <w:rFonts w:ascii="宋体"/>
                <w:vanish/>
              </w:rPr>
            </w:pPr>
          </w:p>
        </w:tc>
        <w:tc>
          <w:tcPr>
            <w:tcW w:w="0" w:type="auto"/>
            <w:gridSpan w:val="3"/>
            <w:shd w:val="clear" w:color="auto" w:fill="auto"/>
            <w:vAlign w:val="bottom"/>
          </w:tcPr>
          <w:p w14:paraId="71D42101" w14:textId="77777777" w:rsidR="006A3667" w:rsidRDefault="006A3667">
            <w:pPr>
              <w:rPr>
                <w:rFonts w:ascii="宋体"/>
                <w:vanish/>
              </w:rPr>
            </w:pPr>
          </w:p>
        </w:tc>
        <w:tc>
          <w:tcPr>
            <w:tcW w:w="0" w:type="auto"/>
            <w:shd w:val="clear" w:color="auto" w:fill="auto"/>
            <w:vAlign w:val="bottom"/>
          </w:tcPr>
          <w:p w14:paraId="71D42102" w14:textId="77777777" w:rsidR="006A3667" w:rsidRDefault="006A3667">
            <w:pPr>
              <w:rPr>
                <w:rFonts w:ascii="宋体"/>
                <w:vanish/>
              </w:rPr>
            </w:pPr>
          </w:p>
        </w:tc>
        <w:tc>
          <w:tcPr>
            <w:tcW w:w="0" w:type="auto"/>
            <w:shd w:val="clear" w:color="auto" w:fill="auto"/>
            <w:vAlign w:val="bottom"/>
          </w:tcPr>
          <w:p w14:paraId="71D42103" w14:textId="77777777" w:rsidR="006A3667" w:rsidRDefault="006A3667">
            <w:pPr>
              <w:rPr>
                <w:rFonts w:ascii="宋体"/>
                <w:vanish/>
              </w:rPr>
            </w:pPr>
          </w:p>
        </w:tc>
      </w:tr>
      <w:tr w:rsidR="006A3667" w14:paraId="71D4210F" w14:textId="77777777">
        <w:trPr>
          <w:hidden/>
        </w:trPr>
        <w:tc>
          <w:tcPr>
            <w:tcW w:w="0" w:type="auto"/>
            <w:gridSpan w:val="3"/>
            <w:shd w:val="clear" w:color="auto" w:fill="auto"/>
            <w:vAlign w:val="bottom"/>
          </w:tcPr>
          <w:p w14:paraId="71D42105" w14:textId="77777777" w:rsidR="006A3667" w:rsidRDefault="006A3667">
            <w:pPr>
              <w:rPr>
                <w:rFonts w:ascii="宋体"/>
                <w:vanish/>
              </w:rPr>
            </w:pPr>
          </w:p>
        </w:tc>
        <w:tc>
          <w:tcPr>
            <w:tcW w:w="0" w:type="auto"/>
            <w:gridSpan w:val="3"/>
            <w:shd w:val="clear" w:color="auto" w:fill="auto"/>
            <w:vAlign w:val="bottom"/>
          </w:tcPr>
          <w:p w14:paraId="71D42106" w14:textId="77777777" w:rsidR="006A3667" w:rsidRDefault="006A3667">
            <w:pPr>
              <w:rPr>
                <w:rFonts w:ascii="宋体"/>
                <w:vanish/>
              </w:rPr>
            </w:pPr>
          </w:p>
        </w:tc>
        <w:tc>
          <w:tcPr>
            <w:tcW w:w="0" w:type="auto"/>
            <w:gridSpan w:val="3"/>
            <w:shd w:val="clear" w:color="auto" w:fill="auto"/>
            <w:vAlign w:val="bottom"/>
          </w:tcPr>
          <w:p w14:paraId="71D42107" w14:textId="77777777" w:rsidR="006A3667" w:rsidRDefault="006A3667">
            <w:pPr>
              <w:rPr>
                <w:rFonts w:ascii="宋体"/>
                <w:vanish/>
              </w:rPr>
            </w:pPr>
          </w:p>
        </w:tc>
        <w:tc>
          <w:tcPr>
            <w:tcW w:w="0" w:type="auto"/>
            <w:gridSpan w:val="3"/>
            <w:shd w:val="clear" w:color="auto" w:fill="auto"/>
            <w:vAlign w:val="bottom"/>
          </w:tcPr>
          <w:p w14:paraId="71D42108" w14:textId="77777777" w:rsidR="006A3667" w:rsidRDefault="006A3667">
            <w:pPr>
              <w:rPr>
                <w:rFonts w:ascii="宋体"/>
                <w:vanish/>
              </w:rPr>
            </w:pPr>
          </w:p>
        </w:tc>
        <w:tc>
          <w:tcPr>
            <w:tcW w:w="0" w:type="auto"/>
            <w:gridSpan w:val="3"/>
            <w:shd w:val="clear" w:color="auto" w:fill="auto"/>
            <w:vAlign w:val="bottom"/>
          </w:tcPr>
          <w:p w14:paraId="71D42109" w14:textId="77777777" w:rsidR="006A3667" w:rsidRDefault="006A3667">
            <w:pPr>
              <w:rPr>
                <w:rFonts w:ascii="宋体"/>
                <w:vanish/>
              </w:rPr>
            </w:pPr>
          </w:p>
        </w:tc>
        <w:tc>
          <w:tcPr>
            <w:tcW w:w="0" w:type="auto"/>
            <w:gridSpan w:val="3"/>
            <w:shd w:val="clear" w:color="auto" w:fill="auto"/>
            <w:vAlign w:val="bottom"/>
          </w:tcPr>
          <w:p w14:paraId="71D4210A" w14:textId="77777777" w:rsidR="006A3667" w:rsidRDefault="006A3667">
            <w:pPr>
              <w:rPr>
                <w:rFonts w:ascii="宋体"/>
                <w:vanish/>
              </w:rPr>
            </w:pPr>
          </w:p>
        </w:tc>
        <w:tc>
          <w:tcPr>
            <w:tcW w:w="0" w:type="auto"/>
            <w:gridSpan w:val="3"/>
            <w:shd w:val="clear" w:color="auto" w:fill="auto"/>
            <w:vAlign w:val="bottom"/>
          </w:tcPr>
          <w:p w14:paraId="71D4210B" w14:textId="77777777" w:rsidR="006A3667" w:rsidRDefault="006A3667">
            <w:pPr>
              <w:rPr>
                <w:rFonts w:ascii="宋体"/>
                <w:vanish/>
              </w:rPr>
            </w:pPr>
          </w:p>
        </w:tc>
        <w:tc>
          <w:tcPr>
            <w:tcW w:w="0" w:type="auto"/>
            <w:gridSpan w:val="3"/>
            <w:shd w:val="clear" w:color="auto" w:fill="auto"/>
            <w:vAlign w:val="bottom"/>
          </w:tcPr>
          <w:p w14:paraId="71D4210C" w14:textId="77777777" w:rsidR="006A3667" w:rsidRDefault="006A3667">
            <w:pPr>
              <w:rPr>
                <w:rFonts w:ascii="宋体"/>
                <w:vanish/>
              </w:rPr>
            </w:pPr>
          </w:p>
        </w:tc>
        <w:tc>
          <w:tcPr>
            <w:tcW w:w="0" w:type="auto"/>
            <w:shd w:val="clear" w:color="auto" w:fill="auto"/>
            <w:vAlign w:val="bottom"/>
          </w:tcPr>
          <w:p w14:paraId="71D4210D" w14:textId="77777777" w:rsidR="006A3667" w:rsidRDefault="006A3667">
            <w:pPr>
              <w:rPr>
                <w:rFonts w:ascii="宋体"/>
                <w:vanish/>
              </w:rPr>
            </w:pPr>
          </w:p>
        </w:tc>
        <w:tc>
          <w:tcPr>
            <w:tcW w:w="0" w:type="auto"/>
            <w:shd w:val="clear" w:color="auto" w:fill="auto"/>
            <w:vAlign w:val="bottom"/>
          </w:tcPr>
          <w:p w14:paraId="71D4210E" w14:textId="77777777" w:rsidR="006A3667" w:rsidRDefault="006A3667">
            <w:pPr>
              <w:rPr>
                <w:rFonts w:ascii="宋体"/>
                <w:vanish/>
              </w:rPr>
            </w:pPr>
          </w:p>
        </w:tc>
      </w:tr>
      <w:tr w:rsidR="006A3667" w14:paraId="71D4211E" w14:textId="77777777">
        <w:tc>
          <w:tcPr>
            <w:tcW w:w="0" w:type="auto"/>
            <w:gridSpan w:val="3"/>
            <w:shd w:val="clear" w:color="auto" w:fill="CCEEFF"/>
            <w:tcMar>
              <w:top w:w="40" w:type="dxa"/>
              <w:left w:w="20" w:type="dxa"/>
              <w:bottom w:w="40" w:type="dxa"/>
              <w:right w:w="20" w:type="dxa"/>
            </w:tcMar>
            <w:vAlign w:val="bottom"/>
          </w:tcPr>
          <w:p w14:paraId="71D42110" w14:textId="77777777" w:rsidR="006A3667" w:rsidRDefault="00045F32">
            <w:pPr>
              <w:textAlignment w:val="bottom"/>
            </w:pPr>
            <w:r>
              <w:rPr>
                <w:rFonts w:ascii="Arial" w:eastAsia="宋体" w:hAnsi="Arial" w:cs="Arial"/>
                <w:color w:val="000000"/>
                <w:sz w:val="18"/>
                <w:szCs w:val="18"/>
              </w:rPr>
              <w:t xml:space="preserve">Gains (losses) related to investment </w:t>
            </w:r>
            <w:r>
              <w:rPr>
                <w:rFonts w:ascii="Arial" w:eastAsia="宋体" w:hAnsi="Arial" w:cs="Arial"/>
                <w:color w:val="000000"/>
                <w:sz w:val="18"/>
                <w:szCs w:val="18"/>
              </w:rPr>
              <w:t>securities, net</w:t>
            </w:r>
          </w:p>
        </w:tc>
        <w:tc>
          <w:tcPr>
            <w:tcW w:w="0" w:type="auto"/>
            <w:gridSpan w:val="2"/>
            <w:shd w:val="clear" w:color="auto" w:fill="CCEEFF"/>
            <w:tcMar>
              <w:top w:w="40" w:type="dxa"/>
              <w:left w:w="20" w:type="dxa"/>
              <w:bottom w:w="40" w:type="dxa"/>
              <w:right w:w="0" w:type="dxa"/>
            </w:tcMar>
            <w:vAlign w:val="bottom"/>
          </w:tcPr>
          <w:p w14:paraId="71D42111" w14:textId="77777777" w:rsidR="006A3667" w:rsidRDefault="00045F32">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1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14" w14:textId="77777777" w:rsidR="006A3667" w:rsidRDefault="00045F32">
            <w:pPr>
              <w:jc w:val="right"/>
              <w:textAlignment w:val="bottom"/>
            </w:pPr>
            <w:r>
              <w:rPr>
                <w:rFonts w:ascii="Arial" w:eastAsia="宋体"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71D421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1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17" w14:textId="77777777" w:rsidR="006A3667" w:rsidRDefault="00045F32">
            <w:pPr>
              <w:jc w:val="right"/>
              <w:textAlignment w:val="bottom"/>
            </w:pPr>
            <w:r>
              <w:rPr>
                <w:rFonts w:ascii="Arial" w:eastAsia="宋体" w:hAnsi="Arial" w:cs="Arial"/>
                <w:b/>
                <w:bCs/>
                <w:color w:val="000000"/>
                <w:sz w:val="18"/>
                <w:szCs w:val="18"/>
              </w:rPr>
              <w:t>(2)</w:t>
            </w:r>
          </w:p>
        </w:tc>
        <w:tc>
          <w:tcPr>
            <w:tcW w:w="0" w:type="auto"/>
            <w:shd w:val="clear" w:color="auto" w:fill="CCEEFF"/>
            <w:tcMar>
              <w:top w:w="40" w:type="dxa"/>
              <w:left w:w="0" w:type="dxa"/>
              <w:bottom w:w="40" w:type="dxa"/>
              <w:right w:w="20" w:type="dxa"/>
            </w:tcMar>
            <w:vAlign w:val="bottom"/>
          </w:tcPr>
          <w:p w14:paraId="71D421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1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1A" w14:textId="77777777" w:rsidR="006A3667" w:rsidRDefault="00045F32">
            <w:pPr>
              <w:jc w:val="right"/>
              <w:textAlignment w:val="bottom"/>
            </w:pPr>
            <w:r>
              <w:rPr>
                <w:rFonts w:ascii="Arial" w:eastAsia="宋体"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71D4211B" w14:textId="77777777" w:rsidR="006A3667" w:rsidRDefault="006A3667">
            <w:pPr>
              <w:jc w:val="right"/>
              <w:rPr>
                <w:rFonts w:ascii="宋体"/>
              </w:rPr>
            </w:pPr>
          </w:p>
        </w:tc>
        <w:tc>
          <w:tcPr>
            <w:tcW w:w="0" w:type="auto"/>
            <w:shd w:val="clear" w:color="auto" w:fill="auto"/>
            <w:vAlign w:val="bottom"/>
          </w:tcPr>
          <w:p w14:paraId="71D4211C" w14:textId="77777777" w:rsidR="006A3667" w:rsidRDefault="006A3667">
            <w:pPr>
              <w:rPr>
                <w:rFonts w:ascii="宋体"/>
                <w:vanish/>
              </w:rPr>
            </w:pPr>
          </w:p>
        </w:tc>
        <w:tc>
          <w:tcPr>
            <w:tcW w:w="0" w:type="auto"/>
            <w:shd w:val="clear" w:color="auto" w:fill="auto"/>
            <w:vAlign w:val="bottom"/>
          </w:tcPr>
          <w:p w14:paraId="71D4211D" w14:textId="77777777" w:rsidR="006A3667" w:rsidRDefault="006A3667">
            <w:pPr>
              <w:rPr>
                <w:rFonts w:ascii="宋体"/>
                <w:vanish/>
              </w:rPr>
            </w:pPr>
          </w:p>
        </w:tc>
      </w:tr>
      <w:tr w:rsidR="006A3667" w14:paraId="71D4212D" w14:textId="77777777">
        <w:tc>
          <w:tcPr>
            <w:tcW w:w="0" w:type="auto"/>
            <w:gridSpan w:val="3"/>
            <w:shd w:val="clear" w:color="auto" w:fill="FFFFFF"/>
            <w:tcMar>
              <w:top w:w="40" w:type="dxa"/>
              <w:left w:w="20" w:type="dxa"/>
              <w:bottom w:w="40" w:type="dxa"/>
              <w:right w:w="20" w:type="dxa"/>
            </w:tcMar>
            <w:vAlign w:val="bottom"/>
          </w:tcPr>
          <w:p w14:paraId="71D4211F" w14:textId="77777777" w:rsidR="006A3667" w:rsidRDefault="00045F32">
            <w:pPr>
              <w:textAlignment w:val="bottom"/>
            </w:pPr>
            <w:r>
              <w:rPr>
                <w:rFonts w:ascii="Arial" w:eastAsia="宋体" w:hAnsi="Arial" w:cs="Arial"/>
                <w:color w:val="000000"/>
                <w:sz w:val="18"/>
                <w:szCs w:val="18"/>
              </w:rPr>
              <w:t>Other income</w:t>
            </w:r>
          </w:p>
        </w:tc>
        <w:tc>
          <w:tcPr>
            <w:tcW w:w="0" w:type="auto"/>
            <w:gridSpan w:val="2"/>
            <w:shd w:val="clear" w:color="auto" w:fill="FFFFFF"/>
            <w:tcMar>
              <w:top w:w="40" w:type="dxa"/>
              <w:left w:w="20" w:type="dxa"/>
              <w:bottom w:w="40" w:type="dxa"/>
              <w:right w:w="0" w:type="dxa"/>
            </w:tcMar>
            <w:vAlign w:val="bottom"/>
          </w:tcPr>
          <w:p w14:paraId="71D42120" w14:textId="77777777" w:rsidR="006A3667" w:rsidRDefault="00045F32">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2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23" w14:textId="77777777" w:rsidR="006A3667" w:rsidRDefault="00045F32">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2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2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26" w14:textId="77777777" w:rsidR="006A3667" w:rsidRDefault="00045F32">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2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2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29" w14:textId="77777777" w:rsidR="006A3667" w:rsidRDefault="00045F32">
            <w:pPr>
              <w:jc w:val="right"/>
              <w:textAlignment w:val="bottom"/>
            </w:pPr>
            <w:r>
              <w:rPr>
                <w:rFonts w:ascii="Arial" w:eastAsia="宋体" w:hAnsi="Arial" w:cs="Arial"/>
                <w:color w:val="000000"/>
                <w:sz w:val="18"/>
                <w:szCs w:val="18"/>
              </w:rPr>
              <w:t>53 </w:t>
            </w:r>
          </w:p>
        </w:tc>
        <w:tc>
          <w:tcPr>
            <w:tcW w:w="0" w:type="auto"/>
            <w:shd w:val="clear" w:color="auto" w:fill="FFFFFF"/>
            <w:tcMar>
              <w:top w:w="40" w:type="dxa"/>
              <w:left w:w="0" w:type="dxa"/>
              <w:bottom w:w="40" w:type="dxa"/>
              <w:right w:w="20" w:type="dxa"/>
            </w:tcMar>
            <w:vAlign w:val="bottom"/>
          </w:tcPr>
          <w:p w14:paraId="71D4212A" w14:textId="77777777" w:rsidR="006A3667" w:rsidRDefault="006A3667">
            <w:pPr>
              <w:jc w:val="right"/>
              <w:rPr>
                <w:rFonts w:ascii="宋体"/>
              </w:rPr>
            </w:pPr>
          </w:p>
        </w:tc>
        <w:tc>
          <w:tcPr>
            <w:tcW w:w="0" w:type="auto"/>
            <w:shd w:val="clear" w:color="auto" w:fill="auto"/>
            <w:vAlign w:val="bottom"/>
          </w:tcPr>
          <w:p w14:paraId="71D4212B" w14:textId="77777777" w:rsidR="006A3667" w:rsidRDefault="006A3667">
            <w:pPr>
              <w:rPr>
                <w:rFonts w:ascii="宋体"/>
                <w:vanish/>
              </w:rPr>
            </w:pPr>
          </w:p>
        </w:tc>
        <w:tc>
          <w:tcPr>
            <w:tcW w:w="0" w:type="auto"/>
            <w:shd w:val="clear" w:color="auto" w:fill="auto"/>
            <w:vAlign w:val="bottom"/>
          </w:tcPr>
          <w:p w14:paraId="71D4212C" w14:textId="77777777" w:rsidR="006A3667" w:rsidRDefault="006A3667">
            <w:pPr>
              <w:rPr>
                <w:rFonts w:ascii="宋体"/>
                <w:vanish/>
              </w:rPr>
            </w:pPr>
          </w:p>
        </w:tc>
      </w:tr>
      <w:tr w:rsidR="006A3667" w14:paraId="71D4213C" w14:textId="77777777">
        <w:tc>
          <w:tcPr>
            <w:tcW w:w="0" w:type="auto"/>
            <w:gridSpan w:val="3"/>
            <w:shd w:val="clear" w:color="auto" w:fill="CCEEFF"/>
            <w:tcMar>
              <w:top w:w="40" w:type="dxa"/>
              <w:left w:w="20" w:type="dxa"/>
              <w:bottom w:w="40" w:type="dxa"/>
              <w:right w:w="20" w:type="dxa"/>
            </w:tcMar>
            <w:vAlign w:val="bottom"/>
          </w:tcPr>
          <w:p w14:paraId="71D4212E" w14:textId="77777777" w:rsidR="006A3667" w:rsidRDefault="00045F32">
            <w:pPr>
              <w:textAlignment w:val="bottom"/>
            </w:pPr>
            <w:r>
              <w:rPr>
                <w:rFonts w:ascii="Arial" w:eastAsia="宋体" w:hAnsi="Arial" w:cs="Arial"/>
                <w:color w:val="000000"/>
                <w:sz w:val="18"/>
                <w:szCs w:val="18"/>
              </w:rPr>
              <w:t>Total other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12F" w14:textId="77777777" w:rsidR="006A3667" w:rsidRDefault="00045F32">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1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3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132" w14:textId="77777777" w:rsidR="006A3667" w:rsidRDefault="00045F32">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13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3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135" w14:textId="77777777" w:rsidR="006A3667" w:rsidRDefault="00045F32">
            <w:pPr>
              <w:jc w:val="right"/>
              <w:textAlignment w:val="bottom"/>
            </w:pPr>
            <w:r>
              <w:rPr>
                <w:rFonts w:ascii="Arial" w:eastAsia="宋体" w:hAnsi="Arial" w:cs="Arial"/>
                <w:b/>
                <w:bCs/>
                <w:color w:val="000000"/>
                <w:sz w:val="18"/>
                <w:szCs w:val="18"/>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13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3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138" w14:textId="77777777" w:rsidR="006A3667" w:rsidRDefault="00045F32">
            <w:pPr>
              <w:jc w:val="right"/>
              <w:textAlignment w:val="bottom"/>
            </w:pPr>
            <w:r>
              <w:rPr>
                <w:rFonts w:ascii="Arial" w:eastAsia="宋体" w:hAnsi="Arial" w:cs="Arial"/>
                <w:color w:val="000000"/>
                <w:sz w:val="18"/>
                <w:szCs w:val="18"/>
              </w:rPr>
              <w:t>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139" w14:textId="77777777" w:rsidR="006A3667" w:rsidRDefault="006A3667">
            <w:pPr>
              <w:jc w:val="right"/>
              <w:rPr>
                <w:rFonts w:ascii="宋体"/>
              </w:rPr>
            </w:pPr>
          </w:p>
        </w:tc>
        <w:tc>
          <w:tcPr>
            <w:tcW w:w="0" w:type="auto"/>
            <w:shd w:val="clear" w:color="auto" w:fill="auto"/>
            <w:vAlign w:val="bottom"/>
          </w:tcPr>
          <w:p w14:paraId="71D4213A" w14:textId="77777777" w:rsidR="006A3667" w:rsidRDefault="006A3667">
            <w:pPr>
              <w:rPr>
                <w:rFonts w:ascii="宋体"/>
                <w:vanish/>
              </w:rPr>
            </w:pPr>
          </w:p>
        </w:tc>
        <w:tc>
          <w:tcPr>
            <w:tcW w:w="0" w:type="auto"/>
            <w:shd w:val="clear" w:color="auto" w:fill="auto"/>
            <w:vAlign w:val="bottom"/>
          </w:tcPr>
          <w:p w14:paraId="71D4213B" w14:textId="77777777" w:rsidR="006A3667" w:rsidRDefault="006A3667">
            <w:pPr>
              <w:rPr>
                <w:rFonts w:ascii="宋体"/>
                <w:vanish/>
              </w:rPr>
            </w:pPr>
          </w:p>
        </w:tc>
      </w:tr>
      <w:tr w:rsidR="006A3667" w14:paraId="71D4214B" w14:textId="77777777">
        <w:tc>
          <w:tcPr>
            <w:tcW w:w="0" w:type="auto"/>
            <w:gridSpan w:val="3"/>
            <w:shd w:val="clear" w:color="auto" w:fill="FFFFFF"/>
            <w:tcMar>
              <w:top w:w="40" w:type="dxa"/>
              <w:left w:w="20" w:type="dxa"/>
              <w:bottom w:w="40" w:type="dxa"/>
              <w:right w:w="20" w:type="dxa"/>
            </w:tcMar>
            <w:vAlign w:val="bottom"/>
          </w:tcPr>
          <w:p w14:paraId="71D4213D" w14:textId="77777777" w:rsidR="006A3667" w:rsidRDefault="00045F32">
            <w:pPr>
              <w:textAlignment w:val="bottom"/>
            </w:pPr>
            <w:r>
              <w:rPr>
                <w:rFonts w:ascii="Arial" w:eastAsia="宋体" w:hAnsi="Arial" w:cs="Arial"/>
                <w:b/>
                <w:bCs/>
                <w:color w:val="000000"/>
                <w:sz w:val="18"/>
                <w:szCs w:val="18"/>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13E" w14:textId="77777777" w:rsidR="006A3667" w:rsidRDefault="00045F32">
            <w:pPr>
              <w:jc w:val="right"/>
              <w:textAlignment w:val="bottom"/>
            </w:pPr>
            <w:r>
              <w:rPr>
                <w:rFonts w:ascii="Arial" w:eastAsia="宋体" w:hAnsi="Arial" w:cs="Arial"/>
                <w:b/>
                <w:bCs/>
                <w:color w:val="000000"/>
                <w:sz w:val="18"/>
                <w:szCs w:val="18"/>
              </w:rPr>
              <w:t>2,959</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13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4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141" w14:textId="77777777" w:rsidR="006A3667" w:rsidRDefault="00045F32">
            <w:pPr>
              <w:jc w:val="right"/>
              <w:textAlignment w:val="bottom"/>
            </w:pPr>
            <w:r>
              <w:rPr>
                <w:rFonts w:ascii="Arial" w:eastAsia="宋体" w:hAnsi="Arial" w:cs="Arial"/>
                <w:color w:val="000000"/>
                <w:sz w:val="18"/>
                <w:szCs w:val="18"/>
              </w:rPr>
              <w:t>2,990 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1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4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144" w14:textId="77777777" w:rsidR="006A3667" w:rsidRDefault="00045F32">
            <w:pPr>
              <w:jc w:val="right"/>
              <w:textAlignment w:val="bottom"/>
            </w:pPr>
            <w:r>
              <w:rPr>
                <w:rFonts w:ascii="Arial" w:eastAsia="宋体" w:hAnsi="Arial" w:cs="Arial"/>
                <w:b/>
                <w:bCs/>
                <w:color w:val="000000"/>
                <w:sz w:val="18"/>
                <w:szCs w:val="18"/>
              </w:rPr>
              <w:t>8,993</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1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4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147" w14:textId="77777777" w:rsidR="006A3667" w:rsidRDefault="00045F32">
            <w:pPr>
              <w:jc w:val="right"/>
              <w:textAlignment w:val="bottom"/>
            </w:pPr>
            <w:r>
              <w:rPr>
                <w:rFonts w:ascii="Arial" w:eastAsia="宋体" w:hAnsi="Arial" w:cs="Arial"/>
                <w:color w:val="000000"/>
                <w:sz w:val="18"/>
                <w:szCs w:val="18"/>
              </w:rPr>
              <w:t>8,974 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148" w14:textId="77777777" w:rsidR="006A3667" w:rsidRDefault="006A3667">
            <w:pPr>
              <w:jc w:val="right"/>
              <w:rPr>
                <w:rFonts w:ascii="宋体"/>
              </w:rPr>
            </w:pPr>
          </w:p>
        </w:tc>
        <w:tc>
          <w:tcPr>
            <w:tcW w:w="0" w:type="auto"/>
            <w:shd w:val="clear" w:color="auto" w:fill="auto"/>
            <w:vAlign w:val="bottom"/>
          </w:tcPr>
          <w:p w14:paraId="71D42149" w14:textId="77777777" w:rsidR="006A3667" w:rsidRDefault="006A3667">
            <w:pPr>
              <w:rPr>
                <w:rFonts w:ascii="宋体"/>
                <w:vanish/>
              </w:rPr>
            </w:pPr>
          </w:p>
        </w:tc>
        <w:tc>
          <w:tcPr>
            <w:tcW w:w="0" w:type="auto"/>
            <w:shd w:val="clear" w:color="auto" w:fill="auto"/>
            <w:vAlign w:val="bottom"/>
          </w:tcPr>
          <w:p w14:paraId="71D4214A" w14:textId="77777777" w:rsidR="006A3667" w:rsidRDefault="006A3667">
            <w:pPr>
              <w:rPr>
                <w:rFonts w:ascii="宋体"/>
                <w:vanish/>
              </w:rPr>
            </w:pPr>
          </w:p>
        </w:tc>
      </w:tr>
      <w:tr w:rsidR="006A3667" w14:paraId="71D4215A" w14:textId="77777777">
        <w:tc>
          <w:tcPr>
            <w:tcW w:w="0" w:type="auto"/>
            <w:gridSpan w:val="3"/>
            <w:shd w:val="clear" w:color="auto" w:fill="CCEEFF"/>
            <w:tcMar>
              <w:top w:w="40" w:type="dxa"/>
              <w:left w:w="20" w:type="dxa"/>
              <w:bottom w:w="40" w:type="dxa"/>
              <w:right w:w="20" w:type="dxa"/>
            </w:tcMar>
            <w:vAlign w:val="bottom"/>
          </w:tcPr>
          <w:p w14:paraId="71D4214C" w14:textId="77777777" w:rsidR="006A3667" w:rsidRDefault="00045F32">
            <w:pPr>
              <w:textAlignment w:val="bottom"/>
            </w:pPr>
            <w:r>
              <w:rPr>
                <w:rFonts w:ascii="Arial" w:eastAsia="宋体" w:hAnsi="Arial" w:cs="Arial"/>
                <w:color w:val="000000"/>
                <w:sz w:val="18"/>
                <w:szCs w:val="18"/>
              </w:rPr>
              <w:t>Provision for credit losses</w:t>
            </w:r>
          </w:p>
        </w:tc>
        <w:tc>
          <w:tcPr>
            <w:tcW w:w="0" w:type="auto"/>
            <w:gridSpan w:val="2"/>
            <w:shd w:val="clear" w:color="auto" w:fill="CCEEFF"/>
            <w:tcMar>
              <w:top w:w="40" w:type="dxa"/>
              <w:left w:w="20" w:type="dxa"/>
              <w:bottom w:w="40" w:type="dxa"/>
              <w:right w:w="0" w:type="dxa"/>
            </w:tcMar>
            <w:vAlign w:val="bottom"/>
          </w:tcPr>
          <w:p w14:paraId="71D4214D" w14:textId="77777777" w:rsidR="006A3667" w:rsidRDefault="00045F32">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4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50" w14:textId="77777777" w:rsidR="006A3667" w:rsidRDefault="00045F32">
            <w:pPr>
              <w:jc w:val="right"/>
              <w:textAlignment w:val="bottom"/>
            </w:pPr>
            <w:r>
              <w:rPr>
                <w:rFonts w:ascii="Arial" w:eastAsia="宋体" w:hAnsi="Arial" w:cs="Arial"/>
                <w:color w:val="000000"/>
                <w:sz w:val="18"/>
                <w:szCs w:val="18"/>
              </w:rPr>
              <w:t>(2)</w:t>
            </w:r>
          </w:p>
        </w:tc>
        <w:tc>
          <w:tcPr>
            <w:tcW w:w="0" w:type="auto"/>
            <w:shd w:val="clear" w:color="auto" w:fill="CCEEFF"/>
            <w:tcMar>
              <w:top w:w="40" w:type="dxa"/>
              <w:left w:w="0" w:type="dxa"/>
              <w:bottom w:w="40" w:type="dxa"/>
              <w:right w:w="20" w:type="dxa"/>
            </w:tcMar>
            <w:vAlign w:val="bottom"/>
          </w:tcPr>
          <w:p w14:paraId="71D421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5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53" w14:textId="77777777" w:rsidR="006A3667" w:rsidRDefault="00045F32">
            <w:pPr>
              <w:jc w:val="right"/>
              <w:textAlignment w:val="bottom"/>
            </w:pPr>
            <w:r>
              <w:rPr>
                <w:rFonts w:ascii="Arial" w:eastAsia="宋体" w:hAnsi="Arial" w:cs="Arial"/>
                <w:b/>
                <w:bCs/>
                <w:color w:val="000000"/>
                <w:sz w:val="18"/>
                <w:szCs w:val="18"/>
              </w:rPr>
              <w:t>10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5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56" w14:textId="77777777" w:rsidR="006A3667" w:rsidRDefault="00045F32">
            <w:pPr>
              <w:jc w:val="right"/>
              <w:textAlignment w:val="bottom"/>
            </w:pPr>
            <w:r>
              <w:rPr>
                <w:rFonts w:ascii="Arial" w:eastAsia="宋体" w:hAnsi="Arial" w:cs="Arial"/>
                <w:color w:val="000000"/>
                <w:sz w:val="18"/>
                <w:szCs w:val="18"/>
              </w:rPr>
              <w:t>(26)</w:t>
            </w:r>
          </w:p>
        </w:tc>
        <w:tc>
          <w:tcPr>
            <w:tcW w:w="0" w:type="auto"/>
            <w:shd w:val="clear" w:color="auto" w:fill="CCEEFF"/>
            <w:tcMar>
              <w:top w:w="40" w:type="dxa"/>
              <w:left w:w="0" w:type="dxa"/>
              <w:bottom w:w="40" w:type="dxa"/>
              <w:right w:w="20" w:type="dxa"/>
            </w:tcMar>
            <w:vAlign w:val="bottom"/>
          </w:tcPr>
          <w:p w14:paraId="71D42157" w14:textId="77777777" w:rsidR="006A3667" w:rsidRDefault="006A3667">
            <w:pPr>
              <w:jc w:val="right"/>
              <w:rPr>
                <w:rFonts w:ascii="宋体"/>
              </w:rPr>
            </w:pPr>
          </w:p>
        </w:tc>
        <w:tc>
          <w:tcPr>
            <w:tcW w:w="0" w:type="auto"/>
            <w:shd w:val="clear" w:color="auto" w:fill="auto"/>
            <w:vAlign w:val="bottom"/>
          </w:tcPr>
          <w:p w14:paraId="71D42158" w14:textId="77777777" w:rsidR="006A3667" w:rsidRDefault="006A3667">
            <w:pPr>
              <w:rPr>
                <w:rFonts w:ascii="宋体"/>
                <w:vanish/>
              </w:rPr>
            </w:pPr>
          </w:p>
        </w:tc>
        <w:tc>
          <w:tcPr>
            <w:tcW w:w="0" w:type="auto"/>
            <w:shd w:val="clear" w:color="auto" w:fill="auto"/>
            <w:vAlign w:val="bottom"/>
          </w:tcPr>
          <w:p w14:paraId="71D42159" w14:textId="77777777" w:rsidR="006A3667" w:rsidRDefault="006A3667">
            <w:pPr>
              <w:rPr>
                <w:rFonts w:ascii="宋体"/>
                <w:vanish/>
              </w:rPr>
            </w:pPr>
          </w:p>
        </w:tc>
      </w:tr>
      <w:tr w:rsidR="006A3667" w14:paraId="71D42165" w14:textId="77777777">
        <w:tc>
          <w:tcPr>
            <w:tcW w:w="0" w:type="auto"/>
            <w:gridSpan w:val="3"/>
            <w:shd w:val="clear" w:color="auto" w:fill="FFFFFF"/>
            <w:tcMar>
              <w:top w:w="40" w:type="dxa"/>
              <w:left w:w="20" w:type="dxa"/>
              <w:bottom w:w="40" w:type="dxa"/>
              <w:right w:w="20" w:type="dxa"/>
            </w:tcMar>
            <w:vAlign w:val="bottom"/>
          </w:tcPr>
          <w:p w14:paraId="71D4215B" w14:textId="77777777" w:rsidR="006A3667" w:rsidRDefault="00045F32">
            <w:pPr>
              <w:textAlignment w:val="bottom"/>
            </w:pPr>
            <w:r>
              <w:rPr>
                <w:rFonts w:ascii="Arial" w:eastAsia="宋体" w:hAnsi="Arial" w:cs="Arial"/>
                <w:b/>
                <w:bCs/>
                <w:color w:val="000000"/>
                <w:sz w:val="18"/>
                <w:szCs w:val="18"/>
              </w:rPr>
              <w:t>Expenses:</w:t>
            </w:r>
          </w:p>
        </w:tc>
        <w:tc>
          <w:tcPr>
            <w:tcW w:w="0" w:type="auto"/>
            <w:gridSpan w:val="3"/>
            <w:shd w:val="clear" w:color="auto" w:fill="FFFFFF"/>
            <w:tcMar>
              <w:top w:w="0" w:type="dxa"/>
              <w:left w:w="20" w:type="dxa"/>
              <w:bottom w:w="0" w:type="dxa"/>
              <w:right w:w="20" w:type="dxa"/>
            </w:tcMar>
            <w:vAlign w:val="bottom"/>
          </w:tcPr>
          <w:p w14:paraId="71D4215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15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15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15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16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16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162" w14:textId="77777777" w:rsidR="006A3667" w:rsidRDefault="006A3667">
            <w:pPr>
              <w:rPr>
                <w:rFonts w:ascii="宋体"/>
              </w:rPr>
            </w:pPr>
          </w:p>
        </w:tc>
        <w:tc>
          <w:tcPr>
            <w:tcW w:w="0" w:type="auto"/>
            <w:shd w:val="clear" w:color="auto" w:fill="auto"/>
            <w:vAlign w:val="bottom"/>
          </w:tcPr>
          <w:p w14:paraId="71D42163" w14:textId="77777777" w:rsidR="006A3667" w:rsidRDefault="006A3667">
            <w:pPr>
              <w:rPr>
                <w:rFonts w:ascii="宋体"/>
                <w:vanish/>
              </w:rPr>
            </w:pPr>
          </w:p>
        </w:tc>
        <w:tc>
          <w:tcPr>
            <w:tcW w:w="0" w:type="auto"/>
            <w:shd w:val="clear" w:color="auto" w:fill="auto"/>
            <w:vAlign w:val="bottom"/>
          </w:tcPr>
          <w:p w14:paraId="71D42164" w14:textId="77777777" w:rsidR="006A3667" w:rsidRDefault="006A3667">
            <w:pPr>
              <w:rPr>
                <w:rFonts w:ascii="宋体"/>
                <w:vanish/>
              </w:rPr>
            </w:pPr>
          </w:p>
        </w:tc>
      </w:tr>
      <w:tr w:rsidR="006A3667" w14:paraId="71D42174" w14:textId="77777777">
        <w:tc>
          <w:tcPr>
            <w:tcW w:w="0" w:type="auto"/>
            <w:gridSpan w:val="3"/>
            <w:shd w:val="clear" w:color="auto" w:fill="CCEEFF"/>
            <w:tcMar>
              <w:top w:w="40" w:type="dxa"/>
              <w:left w:w="20" w:type="dxa"/>
              <w:bottom w:w="40" w:type="dxa"/>
              <w:right w:w="20" w:type="dxa"/>
            </w:tcMar>
            <w:vAlign w:val="bottom"/>
          </w:tcPr>
          <w:p w14:paraId="71D42166" w14:textId="77777777" w:rsidR="006A3667" w:rsidRDefault="00045F32">
            <w:pPr>
              <w:textAlignment w:val="bottom"/>
            </w:pPr>
            <w:r>
              <w:rPr>
                <w:rFonts w:ascii="Arial" w:eastAsia="宋体" w:hAnsi="Arial" w:cs="Arial"/>
                <w:color w:val="000000"/>
                <w:sz w:val="18"/>
                <w:szCs w:val="18"/>
              </w:rPr>
              <w:t>Compensation and employee benefits</w:t>
            </w:r>
          </w:p>
        </w:tc>
        <w:tc>
          <w:tcPr>
            <w:tcW w:w="0" w:type="auto"/>
            <w:gridSpan w:val="2"/>
            <w:shd w:val="clear" w:color="auto" w:fill="CCEEFF"/>
            <w:tcMar>
              <w:top w:w="40" w:type="dxa"/>
              <w:left w:w="20" w:type="dxa"/>
              <w:bottom w:w="40" w:type="dxa"/>
              <w:right w:w="0" w:type="dxa"/>
            </w:tcMar>
            <w:vAlign w:val="bottom"/>
          </w:tcPr>
          <w:p w14:paraId="71D42167" w14:textId="77777777" w:rsidR="006A3667" w:rsidRDefault="00045F32">
            <w:pPr>
              <w:jc w:val="right"/>
              <w:textAlignment w:val="bottom"/>
            </w:pPr>
            <w:r>
              <w:rPr>
                <w:rFonts w:ascii="Arial" w:eastAsia="宋体" w:hAnsi="Arial" w:cs="Arial"/>
                <w:b/>
                <w:bCs/>
                <w:color w:val="000000"/>
                <w:sz w:val="18"/>
                <w:szCs w:val="18"/>
              </w:rPr>
              <w:t>1,042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6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6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6A" w14:textId="77777777" w:rsidR="006A3667" w:rsidRDefault="00045F32">
            <w:pPr>
              <w:jc w:val="right"/>
              <w:textAlignment w:val="bottom"/>
            </w:pPr>
            <w:r>
              <w:rPr>
                <w:rFonts w:ascii="Arial" w:eastAsia="宋体" w:hAnsi="Arial" w:cs="Arial"/>
                <w:color w:val="000000"/>
                <w:sz w:val="18"/>
                <w:szCs w:val="18"/>
              </w:rPr>
              <w:t>1,054 </w:t>
            </w:r>
          </w:p>
        </w:tc>
        <w:tc>
          <w:tcPr>
            <w:tcW w:w="0" w:type="auto"/>
            <w:shd w:val="clear" w:color="auto" w:fill="CCEEFF"/>
            <w:tcMar>
              <w:top w:w="40" w:type="dxa"/>
              <w:left w:w="0" w:type="dxa"/>
              <w:bottom w:w="40" w:type="dxa"/>
              <w:right w:w="20" w:type="dxa"/>
            </w:tcMar>
            <w:vAlign w:val="bottom"/>
          </w:tcPr>
          <w:p w14:paraId="71D421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6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6D" w14:textId="77777777" w:rsidR="006A3667" w:rsidRDefault="00045F32">
            <w:pPr>
              <w:jc w:val="right"/>
              <w:textAlignment w:val="bottom"/>
            </w:pPr>
            <w:r>
              <w:rPr>
                <w:rFonts w:ascii="Arial" w:eastAsia="宋体" w:hAnsi="Arial" w:cs="Arial"/>
                <w:b/>
                <w:bCs/>
                <w:color w:val="000000"/>
                <w:sz w:val="18"/>
                <w:szCs w:val="18"/>
              </w:rPr>
              <w:t>3,320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6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70" w14:textId="77777777" w:rsidR="006A3667" w:rsidRDefault="00045F32">
            <w:pPr>
              <w:jc w:val="right"/>
              <w:textAlignment w:val="bottom"/>
            </w:pPr>
            <w:r>
              <w:rPr>
                <w:rFonts w:ascii="Arial" w:eastAsia="宋体" w:hAnsi="Arial" w:cs="Arial"/>
                <w:color w:val="000000"/>
                <w:sz w:val="18"/>
                <w:szCs w:val="18"/>
              </w:rPr>
              <w:t>3,373 </w:t>
            </w:r>
          </w:p>
        </w:tc>
        <w:tc>
          <w:tcPr>
            <w:tcW w:w="0" w:type="auto"/>
            <w:shd w:val="clear" w:color="auto" w:fill="CCEEFF"/>
            <w:tcMar>
              <w:top w:w="40" w:type="dxa"/>
              <w:left w:w="0" w:type="dxa"/>
              <w:bottom w:w="40" w:type="dxa"/>
              <w:right w:w="20" w:type="dxa"/>
            </w:tcMar>
            <w:vAlign w:val="bottom"/>
          </w:tcPr>
          <w:p w14:paraId="71D42171" w14:textId="77777777" w:rsidR="006A3667" w:rsidRDefault="006A3667">
            <w:pPr>
              <w:jc w:val="right"/>
              <w:rPr>
                <w:rFonts w:ascii="宋体"/>
              </w:rPr>
            </w:pPr>
          </w:p>
        </w:tc>
        <w:tc>
          <w:tcPr>
            <w:tcW w:w="0" w:type="auto"/>
            <w:shd w:val="clear" w:color="auto" w:fill="auto"/>
            <w:vAlign w:val="bottom"/>
          </w:tcPr>
          <w:p w14:paraId="71D42172" w14:textId="77777777" w:rsidR="006A3667" w:rsidRDefault="006A3667">
            <w:pPr>
              <w:rPr>
                <w:rFonts w:ascii="宋体"/>
                <w:vanish/>
              </w:rPr>
            </w:pPr>
          </w:p>
        </w:tc>
        <w:tc>
          <w:tcPr>
            <w:tcW w:w="0" w:type="auto"/>
            <w:shd w:val="clear" w:color="auto" w:fill="auto"/>
            <w:vAlign w:val="bottom"/>
          </w:tcPr>
          <w:p w14:paraId="71D42173" w14:textId="77777777" w:rsidR="006A3667" w:rsidRDefault="006A3667">
            <w:pPr>
              <w:rPr>
                <w:rFonts w:ascii="宋体"/>
                <w:vanish/>
              </w:rPr>
            </w:pPr>
          </w:p>
        </w:tc>
      </w:tr>
      <w:tr w:rsidR="006A3667" w14:paraId="71D42183" w14:textId="77777777">
        <w:tc>
          <w:tcPr>
            <w:tcW w:w="0" w:type="auto"/>
            <w:gridSpan w:val="3"/>
            <w:shd w:val="clear" w:color="auto" w:fill="FFFFFF"/>
            <w:tcMar>
              <w:top w:w="40" w:type="dxa"/>
              <w:left w:w="20" w:type="dxa"/>
              <w:bottom w:w="40" w:type="dxa"/>
              <w:right w:w="20" w:type="dxa"/>
            </w:tcMar>
            <w:vAlign w:val="bottom"/>
          </w:tcPr>
          <w:p w14:paraId="71D42175" w14:textId="77777777" w:rsidR="006A3667" w:rsidRDefault="00045F32">
            <w:pPr>
              <w:textAlignment w:val="bottom"/>
            </w:pPr>
            <w:r>
              <w:rPr>
                <w:rFonts w:ascii="Arial" w:eastAsia="宋体" w:hAnsi="Arial" w:cs="Arial"/>
                <w:color w:val="000000"/>
                <w:sz w:val="18"/>
                <w:szCs w:val="18"/>
              </w:rPr>
              <w:t>Information systems and communications</w:t>
            </w:r>
          </w:p>
        </w:tc>
        <w:tc>
          <w:tcPr>
            <w:tcW w:w="0" w:type="auto"/>
            <w:gridSpan w:val="2"/>
            <w:shd w:val="clear" w:color="auto" w:fill="FFFFFF"/>
            <w:tcMar>
              <w:top w:w="40" w:type="dxa"/>
              <w:left w:w="20" w:type="dxa"/>
              <w:bottom w:w="40" w:type="dxa"/>
              <w:right w:w="0" w:type="dxa"/>
            </w:tcMar>
            <w:vAlign w:val="bottom"/>
          </w:tcPr>
          <w:p w14:paraId="71D42176" w14:textId="77777777" w:rsidR="006A3667" w:rsidRDefault="00045F32">
            <w:pPr>
              <w:jc w:val="right"/>
              <w:textAlignment w:val="bottom"/>
            </w:pPr>
            <w:r>
              <w:rPr>
                <w:rFonts w:ascii="Arial" w:eastAsia="宋体" w:hAnsi="Arial" w:cs="Arial"/>
                <w:b/>
                <w:bCs/>
                <w:color w:val="000000"/>
                <w:sz w:val="18"/>
                <w:szCs w:val="18"/>
              </w:rPr>
              <w:t>399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7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7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79" w14:textId="77777777" w:rsidR="006A3667" w:rsidRDefault="00045F32">
            <w:pPr>
              <w:jc w:val="right"/>
              <w:textAlignment w:val="bottom"/>
            </w:pPr>
            <w:r>
              <w:rPr>
                <w:rFonts w:ascii="Arial" w:eastAsia="宋体" w:hAnsi="Arial" w:cs="Arial"/>
                <w:color w:val="000000"/>
                <w:sz w:val="18"/>
                <w:szCs w:val="18"/>
              </w:rPr>
              <w:t>406 </w:t>
            </w:r>
          </w:p>
        </w:tc>
        <w:tc>
          <w:tcPr>
            <w:tcW w:w="0" w:type="auto"/>
            <w:shd w:val="clear" w:color="auto" w:fill="FFFFFF"/>
            <w:tcMar>
              <w:top w:w="40" w:type="dxa"/>
              <w:left w:w="0" w:type="dxa"/>
              <w:bottom w:w="40" w:type="dxa"/>
              <w:right w:w="20" w:type="dxa"/>
            </w:tcMar>
            <w:vAlign w:val="bottom"/>
          </w:tcPr>
          <w:p w14:paraId="71D4217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7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7C" w14:textId="77777777" w:rsidR="006A3667" w:rsidRDefault="00045F32">
            <w:pPr>
              <w:jc w:val="right"/>
              <w:textAlignment w:val="bottom"/>
            </w:pPr>
            <w:r>
              <w:rPr>
                <w:rFonts w:ascii="Arial" w:eastAsia="宋体" w:hAnsi="Arial" w:cs="Arial"/>
                <w:b/>
                <w:bCs/>
                <w:color w:val="000000"/>
                <w:sz w:val="18"/>
                <w:szCs w:val="18"/>
              </w:rPr>
              <w:t>1,214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7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7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7F" w14:textId="77777777" w:rsidR="006A3667" w:rsidRDefault="00045F32">
            <w:pPr>
              <w:jc w:val="right"/>
              <w:textAlignment w:val="bottom"/>
            </w:pPr>
            <w:r>
              <w:rPr>
                <w:rFonts w:ascii="Arial" w:eastAsia="宋体" w:hAnsi="Arial" w:cs="Arial"/>
                <w:color w:val="000000"/>
                <w:sz w:val="18"/>
                <w:szCs w:val="18"/>
              </w:rPr>
              <w:t>1,225 </w:t>
            </w:r>
          </w:p>
        </w:tc>
        <w:tc>
          <w:tcPr>
            <w:tcW w:w="0" w:type="auto"/>
            <w:shd w:val="clear" w:color="auto" w:fill="FFFFFF"/>
            <w:tcMar>
              <w:top w:w="40" w:type="dxa"/>
              <w:left w:w="0" w:type="dxa"/>
              <w:bottom w:w="40" w:type="dxa"/>
              <w:right w:w="20" w:type="dxa"/>
            </w:tcMar>
            <w:vAlign w:val="bottom"/>
          </w:tcPr>
          <w:p w14:paraId="71D42180" w14:textId="77777777" w:rsidR="006A3667" w:rsidRDefault="006A3667">
            <w:pPr>
              <w:jc w:val="right"/>
              <w:rPr>
                <w:rFonts w:ascii="宋体"/>
              </w:rPr>
            </w:pPr>
          </w:p>
        </w:tc>
        <w:tc>
          <w:tcPr>
            <w:tcW w:w="0" w:type="auto"/>
            <w:shd w:val="clear" w:color="auto" w:fill="auto"/>
            <w:vAlign w:val="bottom"/>
          </w:tcPr>
          <w:p w14:paraId="71D42181" w14:textId="77777777" w:rsidR="006A3667" w:rsidRDefault="006A3667">
            <w:pPr>
              <w:rPr>
                <w:rFonts w:ascii="宋体"/>
                <w:vanish/>
              </w:rPr>
            </w:pPr>
          </w:p>
        </w:tc>
        <w:tc>
          <w:tcPr>
            <w:tcW w:w="0" w:type="auto"/>
            <w:shd w:val="clear" w:color="auto" w:fill="auto"/>
            <w:vAlign w:val="bottom"/>
          </w:tcPr>
          <w:p w14:paraId="71D42182" w14:textId="77777777" w:rsidR="006A3667" w:rsidRDefault="006A3667">
            <w:pPr>
              <w:rPr>
                <w:rFonts w:ascii="宋体"/>
                <w:vanish/>
              </w:rPr>
            </w:pPr>
          </w:p>
        </w:tc>
      </w:tr>
      <w:tr w:rsidR="006A3667" w14:paraId="71D42192" w14:textId="77777777">
        <w:tc>
          <w:tcPr>
            <w:tcW w:w="0" w:type="auto"/>
            <w:gridSpan w:val="3"/>
            <w:shd w:val="clear" w:color="auto" w:fill="CCEEFF"/>
            <w:tcMar>
              <w:top w:w="40" w:type="dxa"/>
              <w:left w:w="20" w:type="dxa"/>
              <w:bottom w:w="40" w:type="dxa"/>
              <w:right w:w="20" w:type="dxa"/>
            </w:tcMar>
            <w:vAlign w:val="bottom"/>
          </w:tcPr>
          <w:p w14:paraId="71D42184" w14:textId="77777777" w:rsidR="006A3667" w:rsidRDefault="00045F32">
            <w:pPr>
              <w:textAlignment w:val="bottom"/>
            </w:pPr>
            <w:r>
              <w:rPr>
                <w:rFonts w:ascii="Arial" w:eastAsia="宋体" w:hAnsi="Arial" w:cs="Arial"/>
                <w:color w:val="000000"/>
                <w:sz w:val="18"/>
                <w:szCs w:val="18"/>
              </w:rPr>
              <w:t>Transaction processing services</w:t>
            </w:r>
          </w:p>
        </w:tc>
        <w:tc>
          <w:tcPr>
            <w:tcW w:w="0" w:type="auto"/>
            <w:gridSpan w:val="2"/>
            <w:shd w:val="clear" w:color="auto" w:fill="CCEEFF"/>
            <w:tcMar>
              <w:top w:w="40" w:type="dxa"/>
              <w:left w:w="20" w:type="dxa"/>
              <w:bottom w:w="40" w:type="dxa"/>
              <w:right w:w="0" w:type="dxa"/>
            </w:tcMar>
            <w:vAlign w:val="bottom"/>
          </w:tcPr>
          <w:p w14:paraId="71D42185" w14:textId="77777777" w:rsidR="006A3667" w:rsidRDefault="00045F32">
            <w:pPr>
              <w:jc w:val="right"/>
              <w:textAlignment w:val="bottom"/>
            </w:pPr>
            <w:r>
              <w:rPr>
                <w:rFonts w:ascii="Arial" w:eastAsia="宋体" w:hAnsi="Arial" w:cs="Arial"/>
                <w:b/>
                <w:bCs/>
                <w:color w:val="000000"/>
                <w:sz w:val="18"/>
                <w:szCs w:val="18"/>
              </w:rPr>
              <w:t>227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88" w14:textId="77777777" w:rsidR="006A3667" w:rsidRDefault="00045F32">
            <w:pPr>
              <w:jc w:val="right"/>
              <w:textAlignment w:val="bottom"/>
            </w:pPr>
            <w:r>
              <w:rPr>
                <w:rFonts w:ascii="Arial" w:eastAsia="宋体" w:hAnsi="Arial" w:cs="Arial"/>
                <w:color w:val="000000"/>
                <w:sz w:val="18"/>
                <w:szCs w:val="18"/>
              </w:rPr>
              <w:t>253 </w:t>
            </w:r>
          </w:p>
        </w:tc>
        <w:tc>
          <w:tcPr>
            <w:tcW w:w="0" w:type="auto"/>
            <w:shd w:val="clear" w:color="auto" w:fill="CCEEFF"/>
            <w:tcMar>
              <w:top w:w="40" w:type="dxa"/>
              <w:left w:w="0" w:type="dxa"/>
              <w:bottom w:w="40" w:type="dxa"/>
              <w:right w:w="20" w:type="dxa"/>
            </w:tcMar>
            <w:vAlign w:val="bottom"/>
          </w:tcPr>
          <w:p w14:paraId="71D421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8B" w14:textId="77777777" w:rsidR="006A3667" w:rsidRDefault="00045F32">
            <w:pPr>
              <w:jc w:val="right"/>
              <w:textAlignment w:val="bottom"/>
            </w:pPr>
            <w:r>
              <w:rPr>
                <w:rFonts w:ascii="Arial" w:eastAsia="宋体" w:hAnsi="Arial" w:cs="Arial"/>
                <w:b/>
                <w:bCs/>
                <w:color w:val="000000"/>
                <w:sz w:val="18"/>
                <w:szCs w:val="18"/>
              </w:rPr>
              <w:t>731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8E" w14:textId="77777777" w:rsidR="006A3667" w:rsidRDefault="00045F32">
            <w:pPr>
              <w:jc w:val="right"/>
              <w:textAlignment w:val="bottom"/>
            </w:pPr>
            <w:r>
              <w:rPr>
                <w:rFonts w:ascii="Arial" w:eastAsia="宋体" w:hAnsi="Arial" w:cs="Arial"/>
                <w:color w:val="000000"/>
                <w:sz w:val="18"/>
                <w:szCs w:val="18"/>
              </w:rPr>
              <w:t>786 </w:t>
            </w:r>
          </w:p>
        </w:tc>
        <w:tc>
          <w:tcPr>
            <w:tcW w:w="0" w:type="auto"/>
            <w:shd w:val="clear" w:color="auto" w:fill="CCEEFF"/>
            <w:tcMar>
              <w:top w:w="40" w:type="dxa"/>
              <w:left w:w="0" w:type="dxa"/>
              <w:bottom w:w="40" w:type="dxa"/>
              <w:right w:w="20" w:type="dxa"/>
            </w:tcMar>
            <w:vAlign w:val="bottom"/>
          </w:tcPr>
          <w:p w14:paraId="71D4218F" w14:textId="77777777" w:rsidR="006A3667" w:rsidRDefault="006A3667">
            <w:pPr>
              <w:jc w:val="right"/>
              <w:rPr>
                <w:rFonts w:ascii="宋体"/>
              </w:rPr>
            </w:pPr>
          </w:p>
        </w:tc>
        <w:tc>
          <w:tcPr>
            <w:tcW w:w="0" w:type="auto"/>
            <w:shd w:val="clear" w:color="auto" w:fill="auto"/>
            <w:vAlign w:val="bottom"/>
          </w:tcPr>
          <w:p w14:paraId="71D42190" w14:textId="77777777" w:rsidR="006A3667" w:rsidRDefault="006A3667">
            <w:pPr>
              <w:rPr>
                <w:rFonts w:ascii="宋体"/>
                <w:vanish/>
              </w:rPr>
            </w:pPr>
          </w:p>
        </w:tc>
        <w:tc>
          <w:tcPr>
            <w:tcW w:w="0" w:type="auto"/>
            <w:shd w:val="clear" w:color="auto" w:fill="auto"/>
            <w:vAlign w:val="bottom"/>
          </w:tcPr>
          <w:p w14:paraId="71D42191" w14:textId="77777777" w:rsidR="006A3667" w:rsidRDefault="006A3667">
            <w:pPr>
              <w:rPr>
                <w:rFonts w:ascii="宋体"/>
                <w:vanish/>
              </w:rPr>
            </w:pPr>
          </w:p>
        </w:tc>
      </w:tr>
      <w:tr w:rsidR="006A3667" w14:paraId="71D421A1" w14:textId="77777777">
        <w:tc>
          <w:tcPr>
            <w:tcW w:w="0" w:type="auto"/>
            <w:gridSpan w:val="3"/>
            <w:shd w:val="clear" w:color="auto" w:fill="FFFFFF"/>
            <w:tcMar>
              <w:top w:w="40" w:type="dxa"/>
              <w:left w:w="20" w:type="dxa"/>
              <w:bottom w:w="40" w:type="dxa"/>
              <w:right w:w="20" w:type="dxa"/>
            </w:tcMar>
            <w:vAlign w:val="bottom"/>
          </w:tcPr>
          <w:p w14:paraId="71D42193" w14:textId="77777777" w:rsidR="006A3667" w:rsidRDefault="00045F32">
            <w:pPr>
              <w:textAlignment w:val="bottom"/>
            </w:pPr>
            <w:r>
              <w:rPr>
                <w:rFonts w:ascii="Arial" w:eastAsia="宋体" w:hAnsi="Arial" w:cs="Arial"/>
                <w:color w:val="000000"/>
                <w:sz w:val="18"/>
                <w:szCs w:val="18"/>
              </w:rPr>
              <w:t>Occupancy</w:t>
            </w:r>
          </w:p>
        </w:tc>
        <w:tc>
          <w:tcPr>
            <w:tcW w:w="0" w:type="auto"/>
            <w:gridSpan w:val="2"/>
            <w:shd w:val="clear" w:color="auto" w:fill="FFFFFF"/>
            <w:tcMar>
              <w:top w:w="40" w:type="dxa"/>
              <w:left w:w="20" w:type="dxa"/>
              <w:bottom w:w="40" w:type="dxa"/>
              <w:right w:w="0" w:type="dxa"/>
            </w:tcMar>
            <w:vAlign w:val="bottom"/>
          </w:tcPr>
          <w:p w14:paraId="71D42194" w14:textId="77777777" w:rsidR="006A3667" w:rsidRDefault="00045F32">
            <w:pPr>
              <w:jc w:val="right"/>
              <w:textAlignment w:val="bottom"/>
            </w:pPr>
            <w:r>
              <w:rPr>
                <w:rFonts w:ascii="Arial" w:eastAsia="宋体" w:hAnsi="Arial" w:cs="Arial"/>
                <w:b/>
                <w:bCs/>
                <w:color w:val="000000"/>
                <w:sz w:val="18"/>
                <w:szCs w:val="18"/>
              </w:rPr>
              <w:t>97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9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9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97" w14:textId="77777777" w:rsidR="006A3667" w:rsidRDefault="00045F32">
            <w:pPr>
              <w:jc w:val="right"/>
              <w:textAlignment w:val="bottom"/>
            </w:pPr>
            <w:r>
              <w:rPr>
                <w:rFonts w:ascii="Arial" w:eastAsia="宋体" w:hAnsi="Arial" w:cs="Arial"/>
                <w:color w:val="000000"/>
                <w:sz w:val="18"/>
                <w:szCs w:val="18"/>
              </w:rPr>
              <w:t>102 </w:t>
            </w:r>
          </w:p>
        </w:tc>
        <w:tc>
          <w:tcPr>
            <w:tcW w:w="0" w:type="auto"/>
            <w:shd w:val="clear" w:color="auto" w:fill="FFFFFF"/>
            <w:tcMar>
              <w:top w:w="40" w:type="dxa"/>
              <w:left w:w="0" w:type="dxa"/>
              <w:bottom w:w="40" w:type="dxa"/>
              <w:right w:w="20" w:type="dxa"/>
            </w:tcMar>
            <w:vAlign w:val="bottom"/>
          </w:tcPr>
          <w:p w14:paraId="71D421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9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9A" w14:textId="77777777" w:rsidR="006A3667" w:rsidRDefault="00045F32">
            <w:pPr>
              <w:jc w:val="right"/>
              <w:textAlignment w:val="bottom"/>
            </w:pPr>
            <w:r>
              <w:rPr>
                <w:rFonts w:ascii="Arial" w:eastAsia="宋体" w:hAnsi="Arial" w:cs="Arial"/>
                <w:b/>
                <w:bCs/>
                <w:color w:val="000000"/>
                <w:sz w:val="18"/>
                <w:szCs w:val="18"/>
              </w:rPr>
              <w:t>288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9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9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9D" w14:textId="77777777" w:rsidR="006A3667" w:rsidRDefault="00045F32">
            <w:pPr>
              <w:jc w:val="right"/>
              <w:textAlignment w:val="bottom"/>
            </w:pPr>
            <w:r>
              <w:rPr>
                <w:rFonts w:ascii="Arial" w:eastAsia="宋体" w:hAnsi="Arial" w:cs="Arial"/>
                <w:color w:val="000000"/>
                <w:sz w:val="18"/>
                <w:szCs w:val="18"/>
              </w:rPr>
              <w:t>311 </w:t>
            </w:r>
          </w:p>
        </w:tc>
        <w:tc>
          <w:tcPr>
            <w:tcW w:w="0" w:type="auto"/>
            <w:shd w:val="clear" w:color="auto" w:fill="FFFFFF"/>
            <w:tcMar>
              <w:top w:w="40" w:type="dxa"/>
              <w:left w:w="0" w:type="dxa"/>
              <w:bottom w:w="40" w:type="dxa"/>
              <w:right w:w="20" w:type="dxa"/>
            </w:tcMar>
            <w:vAlign w:val="bottom"/>
          </w:tcPr>
          <w:p w14:paraId="71D4219E" w14:textId="77777777" w:rsidR="006A3667" w:rsidRDefault="006A3667">
            <w:pPr>
              <w:jc w:val="right"/>
              <w:rPr>
                <w:rFonts w:ascii="宋体"/>
              </w:rPr>
            </w:pPr>
          </w:p>
        </w:tc>
        <w:tc>
          <w:tcPr>
            <w:tcW w:w="0" w:type="auto"/>
            <w:shd w:val="clear" w:color="auto" w:fill="auto"/>
            <w:vAlign w:val="bottom"/>
          </w:tcPr>
          <w:p w14:paraId="71D4219F" w14:textId="77777777" w:rsidR="006A3667" w:rsidRDefault="006A3667">
            <w:pPr>
              <w:rPr>
                <w:rFonts w:ascii="宋体"/>
                <w:vanish/>
              </w:rPr>
            </w:pPr>
          </w:p>
        </w:tc>
        <w:tc>
          <w:tcPr>
            <w:tcW w:w="0" w:type="auto"/>
            <w:shd w:val="clear" w:color="auto" w:fill="auto"/>
            <w:vAlign w:val="bottom"/>
          </w:tcPr>
          <w:p w14:paraId="71D421A0" w14:textId="77777777" w:rsidR="006A3667" w:rsidRDefault="006A3667">
            <w:pPr>
              <w:rPr>
                <w:rFonts w:ascii="宋体"/>
                <w:vanish/>
              </w:rPr>
            </w:pPr>
          </w:p>
        </w:tc>
      </w:tr>
      <w:tr w:rsidR="006A3667" w14:paraId="71D421B0" w14:textId="77777777">
        <w:tc>
          <w:tcPr>
            <w:tcW w:w="0" w:type="auto"/>
            <w:gridSpan w:val="3"/>
            <w:shd w:val="clear" w:color="auto" w:fill="CCEEFF"/>
            <w:tcMar>
              <w:top w:w="40" w:type="dxa"/>
              <w:left w:w="20" w:type="dxa"/>
              <w:bottom w:w="40" w:type="dxa"/>
              <w:right w:w="20" w:type="dxa"/>
            </w:tcMar>
            <w:vAlign w:val="bottom"/>
          </w:tcPr>
          <w:p w14:paraId="71D421A2" w14:textId="77777777" w:rsidR="006A3667" w:rsidRDefault="00045F32">
            <w:pPr>
              <w:textAlignment w:val="bottom"/>
            </w:pPr>
            <w:r>
              <w:rPr>
                <w:rFonts w:ascii="Arial" w:eastAsia="宋体" w:hAnsi="Arial" w:cs="Arial"/>
                <w:color w:val="000000"/>
                <w:sz w:val="18"/>
                <w:szCs w:val="18"/>
              </w:rPr>
              <w:t>Acquisition and restructuring costs</w:t>
            </w:r>
          </w:p>
        </w:tc>
        <w:tc>
          <w:tcPr>
            <w:tcW w:w="0" w:type="auto"/>
            <w:gridSpan w:val="2"/>
            <w:shd w:val="clear" w:color="auto" w:fill="CCEEFF"/>
            <w:tcMar>
              <w:top w:w="40" w:type="dxa"/>
              <w:left w:w="20" w:type="dxa"/>
              <w:bottom w:w="40" w:type="dxa"/>
              <w:right w:w="0" w:type="dxa"/>
            </w:tcMar>
            <w:vAlign w:val="bottom"/>
          </w:tcPr>
          <w:p w14:paraId="71D421A3" w14:textId="77777777" w:rsidR="006A3667" w:rsidRDefault="00045F32">
            <w:pPr>
              <w:jc w:val="right"/>
              <w:textAlignment w:val="bottom"/>
            </w:pPr>
            <w:r>
              <w:rPr>
                <w:rFonts w:ascii="Arial" w:eastAsia="宋体" w:hAnsi="Arial" w:cs="Arial"/>
                <w:b/>
                <w:bCs/>
                <w:color w:val="000000"/>
                <w:sz w:val="18"/>
                <w:szCs w:val="18"/>
              </w:rPr>
              <w:t>13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A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A6" w14:textId="77777777" w:rsidR="006A3667" w:rsidRDefault="00045F32">
            <w:pPr>
              <w:jc w:val="right"/>
              <w:textAlignment w:val="bottom"/>
            </w:pPr>
            <w:r>
              <w:rPr>
                <w:rFonts w:ascii="Arial" w:eastAsia="宋体" w:hAnsi="Arial" w:cs="Arial"/>
                <w:color w:val="000000"/>
                <w:sz w:val="18"/>
                <w:szCs w:val="18"/>
              </w:rPr>
              <w:t>18 </w:t>
            </w:r>
          </w:p>
        </w:tc>
        <w:tc>
          <w:tcPr>
            <w:tcW w:w="0" w:type="auto"/>
            <w:shd w:val="clear" w:color="auto" w:fill="CCEEFF"/>
            <w:tcMar>
              <w:top w:w="40" w:type="dxa"/>
              <w:left w:w="0" w:type="dxa"/>
              <w:bottom w:w="40" w:type="dxa"/>
              <w:right w:w="20" w:type="dxa"/>
            </w:tcMar>
            <w:vAlign w:val="bottom"/>
          </w:tcPr>
          <w:p w14:paraId="71D421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A9" w14:textId="77777777" w:rsidR="006A3667" w:rsidRDefault="00045F32">
            <w:pPr>
              <w:jc w:val="right"/>
              <w:textAlignment w:val="bottom"/>
            </w:pPr>
            <w:r>
              <w:rPr>
                <w:rFonts w:ascii="Arial" w:eastAsia="宋体" w:hAnsi="Arial" w:cs="Arial"/>
                <w:b/>
                <w:bCs/>
                <w:color w:val="000000"/>
                <w:sz w:val="18"/>
                <w:szCs w:val="18"/>
              </w:rPr>
              <w:t>34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A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AC" w14:textId="77777777" w:rsidR="006A3667" w:rsidRDefault="00045F32">
            <w:pPr>
              <w:jc w:val="right"/>
              <w:textAlignment w:val="bottom"/>
            </w:pPr>
            <w:r>
              <w:rPr>
                <w:rFonts w:ascii="Arial" w:eastAsia="宋体" w:hAnsi="Arial" w:cs="Arial"/>
                <w:color w:val="000000"/>
                <w:sz w:val="18"/>
                <w:szCs w:val="18"/>
              </w:rPr>
              <w:t>39 </w:t>
            </w:r>
          </w:p>
        </w:tc>
        <w:tc>
          <w:tcPr>
            <w:tcW w:w="0" w:type="auto"/>
            <w:shd w:val="clear" w:color="auto" w:fill="CCEEFF"/>
            <w:tcMar>
              <w:top w:w="40" w:type="dxa"/>
              <w:left w:w="0" w:type="dxa"/>
              <w:bottom w:w="40" w:type="dxa"/>
              <w:right w:w="20" w:type="dxa"/>
            </w:tcMar>
            <w:vAlign w:val="bottom"/>
          </w:tcPr>
          <w:p w14:paraId="71D421AD" w14:textId="77777777" w:rsidR="006A3667" w:rsidRDefault="006A3667">
            <w:pPr>
              <w:jc w:val="right"/>
              <w:rPr>
                <w:rFonts w:ascii="宋体"/>
              </w:rPr>
            </w:pPr>
          </w:p>
        </w:tc>
        <w:tc>
          <w:tcPr>
            <w:tcW w:w="0" w:type="auto"/>
            <w:shd w:val="clear" w:color="auto" w:fill="auto"/>
            <w:vAlign w:val="bottom"/>
          </w:tcPr>
          <w:p w14:paraId="71D421AE" w14:textId="77777777" w:rsidR="006A3667" w:rsidRDefault="006A3667">
            <w:pPr>
              <w:rPr>
                <w:rFonts w:ascii="宋体"/>
                <w:vanish/>
              </w:rPr>
            </w:pPr>
          </w:p>
        </w:tc>
        <w:tc>
          <w:tcPr>
            <w:tcW w:w="0" w:type="auto"/>
            <w:shd w:val="clear" w:color="auto" w:fill="auto"/>
            <w:vAlign w:val="bottom"/>
          </w:tcPr>
          <w:p w14:paraId="71D421AF" w14:textId="77777777" w:rsidR="006A3667" w:rsidRDefault="006A3667">
            <w:pPr>
              <w:rPr>
                <w:rFonts w:ascii="宋体"/>
                <w:vanish/>
              </w:rPr>
            </w:pPr>
          </w:p>
        </w:tc>
      </w:tr>
      <w:tr w:rsidR="006A3667" w14:paraId="71D421BF" w14:textId="77777777">
        <w:tc>
          <w:tcPr>
            <w:tcW w:w="0" w:type="auto"/>
            <w:gridSpan w:val="3"/>
            <w:shd w:val="clear" w:color="auto" w:fill="FFFFFF"/>
            <w:tcMar>
              <w:top w:w="40" w:type="dxa"/>
              <w:left w:w="20" w:type="dxa"/>
              <w:bottom w:w="40" w:type="dxa"/>
              <w:right w:w="20" w:type="dxa"/>
            </w:tcMar>
            <w:vAlign w:val="bottom"/>
          </w:tcPr>
          <w:p w14:paraId="71D421B1" w14:textId="77777777" w:rsidR="006A3667" w:rsidRDefault="00045F32">
            <w:pPr>
              <w:textAlignment w:val="bottom"/>
            </w:pPr>
            <w:r>
              <w:rPr>
                <w:rFonts w:ascii="Arial" w:eastAsia="宋体" w:hAnsi="Arial" w:cs="Arial"/>
                <w:color w:val="000000"/>
                <w:sz w:val="18"/>
                <w:szCs w:val="18"/>
              </w:rPr>
              <w:t>Amortization of other intangible assets</w:t>
            </w:r>
          </w:p>
        </w:tc>
        <w:tc>
          <w:tcPr>
            <w:tcW w:w="0" w:type="auto"/>
            <w:gridSpan w:val="2"/>
            <w:shd w:val="clear" w:color="auto" w:fill="FFFFFF"/>
            <w:tcMar>
              <w:top w:w="40" w:type="dxa"/>
              <w:left w:w="20" w:type="dxa"/>
              <w:bottom w:w="40" w:type="dxa"/>
              <w:right w:w="0" w:type="dxa"/>
            </w:tcMar>
            <w:vAlign w:val="bottom"/>
          </w:tcPr>
          <w:p w14:paraId="71D421B2" w14:textId="77777777" w:rsidR="006A3667" w:rsidRDefault="00045F32">
            <w:pPr>
              <w:jc w:val="right"/>
              <w:textAlignment w:val="bottom"/>
            </w:pPr>
            <w:r>
              <w:rPr>
                <w:rFonts w:ascii="Arial" w:eastAsia="宋体" w:hAnsi="Arial" w:cs="Arial"/>
                <w:b/>
                <w:bCs/>
                <w:color w:val="000000"/>
                <w:sz w:val="18"/>
                <w:szCs w:val="18"/>
              </w:rPr>
              <w:t>58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B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B5" w14:textId="77777777" w:rsidR="006A3667" w:rsidRDefault="00045F32">
            <w:pPr>
              <w:jc w:val="right"/>
              <w:textAlignment w:val="bottom"/>
            </w:pPr>
            <w:r>
              <w:rPr>
                <w:rFonts w:ascii="Arial" w:eastAsia="宋体" w:hAnsi="Arial" w:cs="Arial"/>
                <w:color w:val="000000"/>
                <w:sz w:val="18"/>
                <w:szCs w:val="18"/>
              </w:rPr>
              <w:t>62 </w:t>
            </w:r>
          </w:p>
        </w:tc>
        <w:tc>
          <w:tcPr>
            <w:tcW w:w="0" w:type="auto"/>
            <w:shd w:val="clear" w:color="auto" w:fill="FFFFFF"/>
            <w:tcMar>
              <w:top w:w="40" w:type="dxa"/>
              <w:left w:w="0" w:type="dxa"/>
              <w:bottom w:w="40" w:type="dxa"/>
              <w:right w:w="20" w:type="dxa"/>
            </w:tcMar>
            <w:vAlign w:val="bottom"/>
          </w:tcPr>
          <w:p w14:paraId="71D421B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B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B8" w14:textId="77777777" w:rsidR="006A3667" w:rsidRDefault="00045F32">
            <w:pPr>
              <w:jc w:val="right"/>
              <w:textAlignment w:val="bottom"/>
            </w:pPr>
            <w:r>
              <w:rPr>
                <w:rFonts w:ascii="Arial" w:eastAsia="宋体" w:hAnsi="Arial" w:cs="Arial"/>
                <w:b/>
                <w:bCs/>
                <w:color w:val="000000"/>
                <w:sz w:val="18"/>
                <w:szCs w:val="18"/>
              </w:rPr>
              <w:t>179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B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B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BB" w14:textId="77777777" w:rsidR="006A3667" w:rsidRDefault="00045F32">
            <w:pPr>
              <w:jc w:val="right"/>
              <w:textAlignment w:val="bottom"/>
            </w:pPr>
            <w:r>
              <w:rPr>
                <w:rFonts w:ascii="Arial" w:eastAsia="宋体" w:hAnsi="Arial" w:cs="Arial"/>
                <w:color w:val="000000"/>
                <w:sz w:val="18"/>
                <w:szCs w:val="18"/>
              </w:rPr>
              <w:t>183 </w:t>
            </w:r>
          </w:p>
        </w:tc>
        <w:tc>
          <w:tcPr>
            <w:tcW w:w="0" w:type="auto"/>
            <w:shd w:val="clear" w:color="auto" w:fill="FFFFFF"/>
            <w:tcMar>
              <w:top w:w="40" w:type="dxa"/>
              <w:left w:w="0" w:type="dxa"/>
              <w:bottom w:w="40" w:type="dxa"/>
              <w:right w:w="20" w:type="dxa"/>
            </w:tcMar>
            <w:vAlign w:val="bottom"/>
          </w:tcPr>
          <w:p w14:paraId="71D421BC" w14:textId="77777777" w:rsidR="006A3667" w:rsidRDefault="006A3667">
            <w:pPr>
              <w:jc w:val="right"/>
              <w:rPr>
                <w:rFonts w:ascii="宋体"/>
              </w:rPr>
            </w:pPr>
          </w:p>
        </w:tc>
        <w:tc>
          <w:tcPr>
            <w:tcW w:w="0" w:type="auto"/>
            <w:shd w:val="clear" w:color="auto" w:fill="auto"/>
            <w:vAlign w:val="bottom"/>
          </w:tcPr>
          <w:p w14:paraId="71D421BD" w14:textId="77777777" w:rsidR="006A3667" w:rsidRDefault="006A3667">
            <w:pPr>
              <w:rPr>
                <w:rFonts w:ascii="宋体"/>
                <w:vanish/>
              </w:rPr>
            </w:pPr>
          </w:p>
        </w:tc>
        <w:tc>
          <w:tcPr>
            <w:tcW w:w="0" w:type="auto"/>
            <w:shd w:val="clear" w:color="auto" w:fill="auto"/>
            <w:vAlign w:val="bottom"/>
          </w:tcPr>
          <w:p w14:paraId="71D421BE" w14:textId="77777777" w:rsidR="006A3667" w:rsidRDefault="006A3667">
            <w:pPr>
              <w:rPr>
                <w:rFonts w:ascii="宋体"/>
                <w:vanish/>
              </w:rPr>
            </w:pPr>
          </w:p>
        </w:tc>
      </w:tr>
      <w:tr w:rsidR="006A3667" w14:paraId="71D421CE" w14:textId="77777777">
        <w:tc>
          <w:tcPr>
            <w:tcW w:w="0" w:type="auto"/>
            <w:gridSpan w:val="3"/>
            <w:shd w:val="clear" w:color="auto" w:fill="CCEEFF"/>
            <w:tcMar>
              <w:top w:w="40" w:type="dxa"/>
              <w:left w:w="20" w:type="dxa"/>
              <w:bottom w:w="40" w:type="dxa"/>
              <w:right w:w="20" w:type="dxa"/>
            </w:tcMar>
            <w:vAlign w:val="bottom"/>
          </w:tcPr>
          <w:p w14:paraId="71D421C0" w14:textId="77777777" w:rsidR="006A3667" w:rsidRDefault="00045F32">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71D421C1" w14:textId="77777777" w:rsidR="006A3667" w:rsidRDefault="00045F32">
            <w:pPr>
              <w:jc w:val="right"/>
              <w:textAlignment w:val="bottom"/>
            </w:pPr>
            <w:r>
              <w:rPr>
                <w:rFonts w:ascii="Arial" w:eastAsia="宋体" w:hAnsi="Arial" w:cs="Arial"/>
                <w:b/>
                <w:bCs/>
                <w:color w:val="000000"/>
                <w:sz w:val="18"/>
                <w:szCs w:val="18"/>
              </w:rPr>
              <w:t>274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C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C4" w14:textId="77777777" w:rsidR="006A3667" w:rsidRDefault="00045F32">
            <w:pPr>
              <w:jc w:val="right"/>
              <w:textAlignment w:val="bottom"/>
            </w:pPr>
            <w:r>
              <w:rPr>
                <w:rFonts w:ascii="Arial" w:eastAsia="宋体" w:hAnsi="Arial" w:cs="Arial"/>
                <w:color w:val="000000"/>
                <w:sz w:val="18"/>
                <w:szCs w:val="18"/>
              </w:rPr>
              <w:t>221 </w:t>
            </w:r>
          </w:p>
        </w:tc>
        <w:tc>
          <w:tcPr>
            <w:tcW w:w="0" w:type="auto"/>
            <w:shd w:val="clear" w:color="auto" w:fill="CCEEFF"/>
            <w:tcMar>
              <w:top w:w="40" w:type="dxa"/>
              <w:left w:w="0" w:type="dxa"/>
              <w:bottom w:w="40" w:type="dxa"/>
              <w:right w:w="20" w:type="dxa"/>
            </w:tcMar>
            <w:vAlign w:val="bottom"/>
          </w:tcPr>
          <w:p w14:paraId="71D421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C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C7" w14:textId="77777777" w:rsidR="006A3667" w:rsidRDefault="00045F32">
            <w:pPr>
              <w:jc w:val="right"/>
              <w:textAlignment w:val="bottom"/>
            </w:pPr>
            <w:r>
              <w:rPr>
                <w:rFonts w:ascii="Arial" w:eastAsia="宋体" w:hAnsi="Arial" w:cs="Arial"/>
                <w:b/>
                <w:bCs/>
                <w:color w:val="000000"/>
                <w:sz w:val="18"/>
                <w:szCs w:val="18"/>
              </w:rPr>
              <w:t>779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1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C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1CA" w14:textId="77777777" w:rsidR="006A3667" w:rsidRDefault="00045F32">
            <w:pPr>
              <w:jc w:val="right"/>
              <w:textAlignment w:val="bottom"/>
            </w:pPr>
            <w:r>
              <w:rPr>
                <w:rFonts w:ascii="Arial" w:eastAsia="宋体" w:hAnsi="Arial" w:cs="Arial"/>
                <w:color w:val="000000"/>
                <w:sz w:val="18"/>
                <w:szCs w:val="18"/>
              </w:rPr>
              <w:t>642 </w:t>
            </w:r>
          </w:p>
        </w:tc>
        <w:tc>
          <w:tcPr>
            <w:tcW w:w="0" w:type="auto"/>
            <w:shd w:val="clear" w:color="auto" w:fill="CCEEFF"/>
            <w:tcMar>
              <w:top w:w="40" w:type="dxa"/>
              <w:left w:w="0" w:type="dxa"/>
              <w:bottom w:w="40" w:type="dxa"/>
              <w:right w:w="20" w:type="dxa"/>
            </w:tcMar>
            <w:vAlign w:val="bottom"/>
          </w:tcPr>
          <w:p w14:paraId="71D421CB" w14:textId="77777777" w:rsidR="006A3667" w:rsidRDefault="006A3667">
            <w:pPr>
              <w:jc w:val="right"/>
              <w:rPr>
                <w:rFonts w:ascii="宋体"/>
              </w:rPr>
            </w:pPr>
          </w:p>
        </w:tc>
        <w:tc>
          <w:tcPr>
            <w:tcW w:w="0" w:type="auto"/>
            <w:shd w:val="clear" w:color="auto" w:fill="auto"/>
            <w:vAlign w:val="bottom"/>
          </w:tcPr>
          <w:p w14:paraId="71D421CC" w14:textId="77777777" w:rsidR="006A3667" w:rsidRDefault="006A3667">
            <w:pPr>
              <w:rPr>
                <w:rFonts w:ascii="宋体"/>
                <w:vanish/>
              </w:rPr>
            </w:pPr>
          </w:p>
        </w:tc>
        <w:tc>
          <w:tcPr>
            <w:tcW w:w="0" w:type="auto"/>
            <w:shd w:val="clear" w:color="auto" w:fill="auto"/>
            <w:vAlign w:val="bottom"/>
          </w:tcPr>
          <w:p w14:paraId="71D421CD" w14:textId="77777777" w:rsidR="006A3667" w:rsidRDefault="006A3667">
            <w:pPr>
              <w:rPr>
                <w:rFonts w:ascii="宋体"/>
                <w:vanish/>
              </w:rPr>
            </w:pPr>
          </w:p>
        </w:tc>
      </w:tr>
      <w:tr w:rsidR="006A3667" w14:paraId="71D421DD" w14:textId="77777777">
        <w:tc>
          <w:tcPr>
            <w:tcW w:w="0" w:type="auto"/>
            <w:gridSpan w:val="3"/>
            <w:shd w:val="clear" w:color="auto" w:fill="FFFFFF"/>
            <w:tcMar>
              <w:top w:w="40" w:type="dxa"/>
              <w:left w:w="20" w:type="dxa"/>
              <w:bottom w:w="40" w:type="dxa"/>
              <w:right w:w="20" w:type="dxa"/>
            </w:tcMar>
            <w:vAlign w:val="bottom"/>
          </w:tcPr>
          <w:p w14:paraId="71D421CF" w14:textId="77777777" w:rsidR="006A3667" w:rsidRDefault="00045F32">
            <w:pPr>
              <w:textAlignment w:val="bottom"/>
            </w:pPr>
            <w:r>
              <w:rPr>
                <w:rFonts w:ascii="Arial" w:eastAsia="宋体" w:hAnsi="Arial" w:cs="Arial"/>
                <w:b/>
                <w:bCs/>
                <w:color w:val="000000"/>
                <w:sz w:val="18"/>
                <w:szCs w:val="18"/>
              </w:rPr>
              <w:t>Total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1D0" w14:textId="77777777" w:rsidR="006A3667" w:rsidRDefault="00045F32">
            <w:pPr>
              <w:jc w:val="right"/>
              <w:textAlignment w:val="bottom"/>
            </w:pPr>
            <w:r>
              <w:rPr>
                <w:rFonts w:ascii="Arial" w:eastAsia="宋体" w:hAnsi="Arial" w:cs="Arial"/>
                <w:b/>
                <w:bCs/>
                <w:color w:val="000000"/>
                <w:sz w:val="18"/>
                <w:szCs w:val="18"/>
              </w:rPr>
              <w:t>2,110</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1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D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1D3" w14:textId="77777777" w:rsidR="006A3667" w:rsidRDefault="00045F32">
            <w:pPr>
              <w:jc w:val="right"/>
              <w:textAlignment w:val="bottom"/>
            </w:pPr>
            <w:r>
              <w:rPr>
                <w:rFonts w:ascii="Arial" w:eastAsia="宋体" w:hAnsi="Arial" w:cs="Arial"/>
                <w:color w:val="000000"/>
                <w:sz w:val="18"/>
                <w:szCs w:val="18"/>
              </w:rPr>
              <w:t>2,116 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1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D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1D6" w14:textId="77777777" w:rsidR="006A3667" w:rsidRDefault="00045F32">
            <w:pPr>
              <w:jc w:val="right"/>
              <w:textAlignment w:val="bottom"/>
            </w:pPr>
            <w:r>
              <w:rPr>
                <w:rFonts w:ascii="Arial" w:eastAsia="宋体" w:hAnsi="Arial" w:cs="Arial"/>
                <w:b/>
                <w:bCs/>
                <w:color w:val="000000"/>
                <w:sz w:val="18"/>
                <w:szCs w:val="18"/>
              </w:rPr>
              <w:t>6,545</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1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D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1D9" w14:textId="77777777" w:rsidR="006A3667" w:rsidRDefault="00045F32">
            <w:pPr>
              <w:jc w:val="right"/>
              <w:textAlignment w:val="bottom"/>
            </w:pPr>
            <w:r>
              <w:rPr>
                <w:rFonts w:ascii="Arial" w:eastAsia="宋体" w:hAnsi="Arial" w:cs="Arial"/>
                <w:color w:val="000000"/>
                <w:sz w:val="18"/>
                <w:szCs w:val="18"/>
              </w:rPr>
              <w:t>6,559 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1DA" w14:textId="77777777" w:rsidR="006A3667" w:rsidRDefault="006A3667">
            <w:pPr>
              <w:jc w:val="right"/>
              <w:rPr>
                <w:rFonts w:ascii="宋体"/>
              </w:rPr>
            </w:pPr>
          </w:p>
        </w:tc>
        <w:tc>
          <w:tcPr>
            <w:tcW w:w="0" w:type="auto"/>
            <w:shd w:val="clear" w:color="auto" w:fill="auto"/>
            <w:vAlign w:val="bottom"/>
          </w:tcPr>
          <w:p w14:paraId="71D421DB" w14:textId="77777777" w:rsidR="006A3667" w:rsidRDefault="006A3667">
            <w:pPr>
              <w:rPr>
                <w:rFonts w:ascii="宋体"/>
                <w:vanish/>
              </w:rPr>
            </w:pPr>
          </w:p>
        </w:tc>
        <w:tc>
          <w:tcPr>
            <w:tcW w:w="0" w:type="auto"/>
            <w:shd w:val="clear" w:color="auto" w:fill="auto"/>
            <w:vAlign w:val="bottom"/>
          </w:tcPr>
          <w:p w14:paraId="71D421DC" w14:textId="77777777" w:rsidR="006A3667" w:rsidRDefault="006A3667">
            <w:pPr>
              <w:rPr>
                <w:rFonts w:ascii="宋体"/>
                <w:vanish/>
              </w:rPr>
            </w:pPr>
          </w:p>
        </w:tc>
      </w:tr>
      <w:tr w:rsidR="006A3667" w14:paraId="71D421EC" w14:textId="77777777">
        <w:tc>
          <w:tcPr>
            <w:tcW w:w="0" w:type="auto"/>
            <w:gridSpan w:val="3"/>
            <w:shd w:val="clear" w:color="auto" w:fill="CCEEFF"/>
            <w:tcMar>
              <w:top w:w="40" w:type="dxa"/>
              <w:left w:w="20" w:type="dxa"/>
              <w:bottom w:w="40" w:type="dxa"/>
              <w:right w:w="20" w:type="dxa"/>
            </w:tcMar>
            <w:vAlign w:val="bottom"/>
          </w:tcPr>
          <w:p w14:paraId="71D421DE" w14:textId="77777777" w:rsidR="006A3667" w:rsidRDefault="00045F32">
            <w:pPr>
              <w:textAlignment w:val="bottom"/>
            </w:pPr>
            <w:r>
              <w:rPr>
                <w:rFonts w:ascii="Arial" w:eastAsia="宋体" w:hAnsi="Arial" w:cs="Arial"/>
                <w:color w:val="000000"/>
                <w:sz w:val="18"/>
                <w:szCs w:val="18"/>
              </w:rPr>
              <w:t xml:space="preserve">Income before income tax expense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1DF" w14:textId="77777777" w:rsidR="006A3667" w:rsidRDefault="00045F32">
            <w:pPr>
              <w:jc w:val="right"/>
              <w:textAlignment w:val="bottom"/>
            </w:pPr>
            <w:r>
              <w:rPr>
                <w:rFonts w:ascii="Arial" w:eastAsia="宋体" w:hAnsi="Arial" w:cs="Arial"/>
                <w:b/>
                <w:bCs/>
                <w:color w:val="000000"/>
                <w:sz w:val="18"/>
                <w:szCs w:val="18"/>
              </w:rPr>
              <w:t>849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1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E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1E2" w14:textId="77777777" w:rsidR="006A3667" w:rsidRDefault="00045F32">
            <w:pPr>
              <w:jc w:val="right"/>
              <w:textAlignment w:val="bottom"/>
            </w:pPr>
            <w:r>
              <w:rPr>
                <w:rFonts w:ascii="Arial" w:eastAsia="宋体" w:hAnsi="Arial" w:cs="Arial"/>
                <w:color w:val="000000"/>
                <w:sz w:val="18"/>
                <w:szCs w:val="18"/>
              </w:rPr>
              <w:t>876 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1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E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1E5" w14:textId="77777777" w:rsidR="006A3667" w:rsidRDefault="00045F32">
            <w:pPr>
              <w:jc w:val="right"/>
              <w:textAlignment w:val="bottom"/>
            </w:pPr>
            <w:r>
              <w:rPr>
                <w:rFonts w:ascii="Arial" w:eastAsia="宋体" w:hAnsi="Arial" w:cs="Arial"/>
                <w:b/>
                <w:bCs/>
                <w:color w:val="000000"/>
                <w:sz w:val="18"/>
                <w:szCs w:val="18"/>
              </w:rPr>
              <w:t>2,438</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1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1E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1E8" w14:textId="77777777" w:rsidR="006A3667" w:rsidRDefault="00045F32">
            <w:pPr>
              <w:jc w:val="right"/>
              <w:textAlignment w:val="bottom"/>
            </w:pPr>
            <w:r>
              <w:rPr>
                <w:rFonts w:ascii="Arial" w:eastAsia="宋体" w:hAnsi="Arial" w:cs="Arial"/>
                <w:color w:val="000000"/>
                <w:sz w:val="18"/>
                <w:szCs w:val="18"/>
              </w:rPr>
              <w:t>2,441 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1E9" w14:textId="77777777" w:rsidR="006A3667" w:rsidRDefault="006A3667">
            <w:pPr>
              <w:jc w:val="right"/>
              <w:rPr>
                <w:rFonts w:ascii="宋体"/>
              </w:rPr>
            </w:pPr>
          </w:p>
        </w:tc>
        <w:tc>
          <w:tcPr>
            <w:tcW w:w="0" w:type="auto"/>
            <w:shd w:val="clear" w:color="auto" w:fill="auto"/>
            <w:vAlign w:val="bottom"/>
          </w:tcPr>
          <w:p w14:paraId="71D421EA" w14:textId="77777777" w:rsidR="006A3667" w:rsidRDefault="006A3667">
            <w:pPr>
              <w:rPr>
                <w:rFonts w:ascii="宋体"/>
                <w:vanish/>
              </w:rPr>
            </w:pPr>
          </w:p>
        </w:tc>
        <w:tc>
          <w:tcPr>
            <w:tcW w:w="0" w:type="auto"/>
            <w:shd w:val="clear" w:color="auto" w:fill="auto"/>
            <w:vAlign w:val="bottom"/>
          </w:tcPr>
          <w:p w14:paraId="71D421EB" w14:textId="77777777" w:rsidR="006A3667" w:rsidRDefault="006A3667">
            <w:pPr>
              <w:rPr>
                <w:rFonts w:ascii="宋体"/>
                <w:vanish/>
              </w:rPr>
            </w:pPr>
          </w:p>
        </w:tc>
      </w:tr>
      <w:tr w:rsidR="006A3667" w14:paraId="71D421FB" w14:textId="77777777">
        <w:tc>
          <w:tcPr>
            <w:tcW w:w="0" w:type="auto"/>
            <w:gridSpan w:val="3"/>
            <w:shd w:val="clear" w:color="auto" w:fill="FFFFFF"/>
            <w:tcMar>
              <w:top w:w="40" w:type="dxa"/>
              <w:left w:w="20" w:type="dxa"/>
              <w:bottom w:w="40" w:type="dxa"/>
              <w:right w:w="20" w:type="dxa"/>
            </w:tcMar>
            <w:vAlign w:val="bottom"/>
          </w:tcPr>
          <w:p w14:paraId="71D421ED" w14:textId="77777777" w:rsidR="006A3667" w:rsidRDefault="00045F32">
            <w:pPr>
              <w:textAlignment w:val="bottom"/>
            </w:pPr>
            <w:r>
              <w:rPr>
                <w:rFonts w:ascii="Arial" w:eastAsia="宋体" w:hAnsi="Arial" w:cs="Arial"/>
                <w:color w:val="000000"/>
                <w:sz w:val="18"/>
                <w:szCs w:val="18"/>
              </w:rPr>
              <w:t xml:space="preserve">Income tax expense </w:t>
            </w:r>
          </w:p>
        </w:tc>
        <w:tc>
          <w:tcPr>
            <w:tcW w:w="0" w:type="auto"/>
            <w:gridSpan w:val="2"/>
            <w:shd w:val="clear" w:color="auto" w:fill="FFFFFF"/>
            <w:tcMar>
              <w:top w:w="40" w:type="dxa"/>
              <w:left w:w="20" w:type="dxa"/>
              <w:bottom w:w="40" w:type="dxa"/>
              <w:right w:w="0" w:type="dxa"/>
            </w:tcMar>
            <w:vAlign w:val="bottom"/>
          </w:tcPr>
          <w:p w14:paraId="71D421EE" w14:textId="77777777" w:rsidR="006A3667" w:rsidRDefault="00045F32">
            <w:pPr>
              <w:jc w:val="right"/>
              <w:textAlignment w:val="bottom"/>
            </w:pPr>
            <w:r>
              <w:rPr>
                <w:rFonts w:ascii="Arial" w:eastAsia="宋体" w:hAnsi="Arial" w:cs="Arial"/>
                <w:b/>
                <w:bCs/>
                <w:color w:val="000000"/>
                <w:sz w:val="18"/>
                <w:szCs w:val="18"/>
              </w:rPr>
              <w:t>159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F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F1" w14:textId="77777777" w:rsidR="006A3667" w:rsidRDefault="00045F32">
            <w:pPr>
              <w:jc w:val="right"/>
              <w:textAlignment w:val="bottom"/>
            </w:pPr>
            <w:r>
              <w:rPr>
                <w:rFonts w:ascii="Arial" w:eastAsia="宋体" w:hAnsi="Arial" w:cs="Arial"/>
                <w:color w:val="000000"/>
                <w:sz w:val="18"/>
                <w:szCs w:val="18"/>
              </w:rPr>
              <w:t>162 </w:t>
            </w:r>
          </w:p>
        </w:tc>
        <w:tc>
          <w:tcPr>
            <w:tcW w:w="0" w:type="auto"/>
            <w:shd w:val="clear" w:color="auto" w:fill="FFFFFF"/>
            <w:tcMar>
              <w:top w:w="40" w:type="dxa"/>
              <w:left w:w="0" w:type="dxa"/>
              <w:bottom w:w="40" w:type="dxa"/>
              <w:right w:w="20" w:type="dxa"/>
            </w:tcMar>
            <w:vAlign w:val="bottom"/>
          </w:tcPr>
          <w:p w14:paraId="71D421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F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F4" w14:textId="77777777" w:rsidR="006A3667" w:rsidRDefault="00045F32">
            <w:pPr>
              <w:jc w:val="right"/>
              <w:textAlignment w:val="bottom"/>
            </w:pPr>
            <w:r>
              <w:rPr>
                <w:rFonts w:ascii="Arial" w:eastAsia="宋体" w:hAnsi="Arial" w:cs="Arial"/>
                <w:b/>
                <w:bCs/>
                <w:color w:val="000000"/>
                <w:sz w:val="18"/>
                <w:szCs w:val="18"/>
              </w:rPr>
              <w:t>397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1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1F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1F7" w14:textId="77777777" w:rsidR="006A3667" w:rsidRDefault="00045F32">
            <w:pPr>
              <w:jc w:val="right"/>
              <w:textAlignment w:val="bottom"/>
            </w:pPr>
            <w:r>
              <w:rPr>
                <w:rFonts w:ascii="Arial" w:eastAsia="宋体" w:hAnsi="Arial" w:cs="Arial"/>
                <w:color w:val="000000"/>
                <w:sz w:val="18"/>
                <w:szCs w:val="18"/>
              </w:rPr>
              <w:t>445 </w:t>
            </w:r>
          </w:p>
        </w:tc>
        <w:tc>
          <w:tcPr>
            <w:tcW w:w="0" w:type="auto"/>
            <w:shd w:val="clear" w:color="auto" w:fill="FFFFFF"/>
            <w:tcMar>
              <w:top w:w="40" w:type="dxa"/>
              <w:left w:w="0" w:type="dxa"/>
              <w:bottom w:w="40" w:type="dxa"/>
              <w:right w:w="20" w:type="dxa"/>
            </w:tcMar>
            <w:vAlign w:val="bottom"/>
          </w:tcPr>
          <w:p w14:paraId="71D421F8" w14:textId="77777777" w:rsidR="006A3667" w:rsidRDefault="006A3667">
            <w:pPr>
              <w:jc w:val="right"/>
              <w:rPr>
                <w:rFonts w:ascii="宋体"/>
              </w:rPr>
            </w:pPr>
          </w:p>
        </w:tc>
        <w:tc>
          <w:tcPr>
            <w:tcW w:w="0" w:type="auto"/>
            <w:shd w:val="clear" w:color="auto" w:fill="auto"/>
            <w:vAlign w:val="bottom"/>
          </w:tcPr>
          <w:p w14:paraId="71D421F9" w14:textId="77777777" w:rsidR="006A3667" w:rsidRDefault="006A3667">
            <w:pPr>
              <w:rPr>
                <w:rFonts w:ascii="宋体"/>
                <w:vanish/>
              </w:rPr>
            </w:pPr>
          </w:p>
        </w:tc>
        <w:tc>
          <w:tcPr>
            <w:tcW w:w="0" w:type="auto"/>
            <w:shd w:val="clear" w:color="auto" w:fill="auto"/>
            <w:vAlign w:val="bottom"/>
          </w:tcPr>
          <w:p w14:paraId="71D421FA" w14:textId="77777777" w:rsidR="006A3667" w:rsidRDefault="006A3667">
            <w:pPr>
              <w:rPr>
                <w:rFonts w:ascii="宋体"/>
                <w:vanish/>
              </w:rPr>
            </w:pPr>
          </w:p>
        </w:tc>
      </w:tr>
      <w:tr w:rsidR="006A3667" w14:paraId="71D42206" w14:textId="77777777">
        <w:trPr>
          <w:hidden/>
        </w:trPr>
        <w:tc>
          <w:tcPr>
            <w:tcW w:w="0" w:type="auto"/>
            <w:gridSpan w:val="3"/>
            <w:shd w:val="clear" w:color="auto" w:fill="auto"/>
            <w:vAlign w:val="bottom"/>
          </w:tcPr>
          <w:p w14:paraId="71D421FC" w14:textId="77777777" w:rsidR="006A3667" w:rsidRDefault="006A3667">
            <w:pPr>
              <w:rPr>
                <w:rFonts w:ascii="宋体"/>
                <w:vanish/>
              </w:rPr>
            </w:pPr>
          </w:p>
        </w:tc>
        <w:tc>
          <w:tcPr>
            <w:tcW w:w="0" w:type="auto"/>
            <w:gridSpan w:val="3"/>
            <w:shd w:val="clear" w:color="auto" w:fill="auto"/>
            <w:vAlign w:val="bottom"/>
          </w:tcPr>
          <w:p w14:paraId="71D421FD" w14:textId="77777777" w:rsidR="006A3667" w:rsidRDefault="006A3667">
            <w:pPr>
              <w:rPr>
                <w:rFonts w:ascii="宋体"/>
                <w:vanish/>
              </w:rPr>
            </w:pPr>
          </w:p>
        </w:tc>
        <w:tc>
          <w:tcPr>
            <w:tcW w:w="0" w:type="auto"/>
            <w:gridSpan w:val="3"/>
            <w:shd w:val="clear" w:color="auto" w:fill="auto"/>
            <w:vAlign w:val="bottom"/>
          </w:tcPr>
          <w:p w14:paraId="71D421FE" w14:textId="77777777" w:rsidR="006A3667" w:rsidRDefault="006A3667">
            <w:pPr>
              <w:rPr>
                <w:rFonts w:ascii="宋体"/>
                <w:vanish/>
              </w:rPr>
            </w:pPr>
          </w:p>
        </w:tc>
        <w:tc>
          <w:tcPr>
            <w:tcW w:w="0" w:type="auto"/>
            <w:gridSpan w:val="3"/>
            <w:shd w:val="clear" w:color="auto" w:fill="auto"/>
            <w:vAlign w:val="bottom"/>
          </w:tcPr>
          <w:p w14:paraId="71D421FF" w14:textId="77777777" w:rsidR="006A3667" w:rsidRDefault="006A3667">
            <w:pPr>
              <w:rPr>
                <w:rFonts w:ascii="宋体"/>
                <w:vanish/>
              </w:rPr>
            </w:pPr>
          </w:p>
        </w:tc>
        <w:tc>
          <w:tcPr>
            <w:tcW w:w="0" w:type="auto"/>
            <w:gridSpan w:val="3"/>
            <w:shd w:val="clear" w:color="auto" w:fill="auto"/>
            <w:vAlign w:val="bottom"/>
          </w:tcPr>
          <w:p w14:paraId="71D42200" w14:textId="77777777" w:rsidR="006A3667" w:rsidRDefault="006A3667">
            <w:pPr>
              <w:rPr>
                <w:rFonts w:ascii="宋体"/>
                <w:vanish/>
              </w:rPr>
            </w:pPr>
          </w:p>
        </w:tc>
        <w:tc>
          <w:tcPr>
            <w:tcW w:w="0" w:type="auto"/>
            <w:gridSpan w:val="3"/>
            <w:shd w:val="clear" w:color="auto" w:fill="auto"/>
            <w:vAlign w:val="bottom"/>
          </w:tcPr>
          <w:p w14:paraId="71D42201" w14:textId="77777777" w:rsidR="006A3667" w:rsidRDefault="006A3667">
            <w:pPr>
              <w:rPr>
                <w:rFonts w:ascii="宋体"/>
                <w:vanish/>
              </w:rPr>
            </w:pPr>
          </w:p>
        </w:tc>
        <w:tc>
          <w:tcPr>
            <w:tcW w:w="0" w:type="auto"/>
            <w:gridSpan w:val="3"/>
            <w:shd w:val="clear" w:color="auto" w:fill="auto"/>
            <w:vAlign w:val="bottom"/>
          </w:tcPr>
          <w:p w14:paraId="71D42202" w14:textId="77777777" w:rsidR="006A3667" w:rsidRDefault="006A3667">
            <w:pPr>
              <w:rPr>
                <w:rFonts w:ascii="宋体"/>
                <w:vanish/>
              </w:rPr>
            </w:pPr>
          </w:p>
        </w:tc>
        <w:tc>
          <w:tcPr>
            <w:tcW w:w="0" w:type="auto"/>
            <w:gridSpan w:val="3"/>
            <w:shd w:val="clear" w:color="auto" w:fill="auto"/>
            <w:vAlign w:val="bottom"/>
          </w:tcPr>
          <w:p w14:paraId="71D42203" w14:textId="77777777" w:rsidR="006A3667" w:rsidRDefault="006A3667">
            <w:pPr>
              <w:rPr>
                <w:rFonts w:ascii="宋体"/>
                <w:vanish/>
              </w:rPr>
            </w:pPr>
          </w:p>
        </w:tc>
        <w:tc>
          <w:tcPr>
            <w:tcW w:w="0" w:type="auto"/>
            <w:shd w:val="clear" w:color="auto" w:fill="auto"/>
            <w:vAlign w:val="bottom"/>
          </w:tcPr>
          <w:p w14:paraId="71D42204" w14:textId="77777777" w:rsidR="006A3667" w:rsidRDefault="006A3667">
            <w:pPr>
              <w:rPr>
                <w:rFonts w:ascii="宋体"/>
                <w:vanish/>
              </w:rPr>
            </w:pPr>
          </w:p>
        </w:tc>
        <w:tc>
          <w:tcPr>
            <w:tcW w:w="0" w:type="auto"/>
            <w:shd w:val="clear" w:color="auto" w:fill="auto"/>
            <w:vAlign w:val="bottom"/>
          </w:tcPr>
          <w:p w14:paraId="71D42205" w14:textId="77777777" w:rsidR="006A3667" w:rsidRDefault="006A3667">
            <w:pPr>
              <w:rPr>
                <w:rFonts w:ascii="宋体"/>
                <w:vanish/>
              </w:rPr>
            </w:pPr>
          </w:p>
        </w:tc>
      </w:tr>
      <w:tr w:rsidR="006A3667" w14:paraId="71D42219" w14:textId="77777777">
        <w:tc>
          <w:tcPr>
            <w:tcW w:w="0" w:type="auto"/>
            <w:gridSpan w:val="3"/>
            <w:shd w:val="clear" w:color="auto" w:fill="CCEEFF"/>
            <w:tcMar>
              <w:top w:w="40" w:type="dxa"/>
              <w:left w:w="20" w:type="dxa"/>
              <w:bottom w:w="40" w:type="dxa"/>
              <w:right w:w="20" w:type="dxa"/>
            </w:tcMar>
            <w:vAlign w:val="bottom"/>
          </w:tcPr>
          <w:p w14:paraId="71D42207" w14:textId="77777777" w:rsidR="006A3667" w:rsidRDefault="00045F32">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2208" w14:textId="77777777" w:rsidR="006A3667" w:rsidRDefault="00045F32">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209" w14:textId="77777777" w:rsidR="006A3667" w:rsidRDefault="00045F32">
            <w:pPr>
              <w:jc w:val="right"/>
              <w:textAlignment w:val="bottom"/>
            </w:pPr>
            <w:r>
              <w:rPr>
                <w:rFonts w:ascii="Arial" w:eastAsia="宋体" w:hAnsi="Arial" w:cs="Arial"/>
                <w:b/>
                <w:bCs/>
                <w:color w:val="000000"/>
                <w:sz w:val="18"/>
                <w:szCs w:val="18"/>
              </w:rPr>
              <w:t>690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2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0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20C" w14:textId="77777777" w:rsidR="006A3667" w:rsidRDefault="00045F3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20D" w14:textId="77777777" w:rsidR="006A3667" w:rsidRDefault="00045F32">
            <w:pPr>
              <w:jc w:val="right"/>
              <w:textAlignment w:val="bottom"/>
            </w:pPr>
            <w:r>
              <w:rPr>
                <w:rFonts w:ascii="Arial" w:eastAsia="宋体" w:hAnsi="Arial" w:cs="Arial"/>
                <w:color w:val="000000"/>
                <w:sz w:val="18"/>
                <w:szCs w:val="18"/>
              </w:rPr>
              <w:t>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20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0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210" w14:textId="77777777" w:rsidR="006A3667" w:rsidRDefault="00045F32">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211" w14:textId="77777777" w:rsidR="006A3667" w:rsidRDefault="00045F32">
            <w:pPr>
              <w:jc w:val="right"/>
              <w:textAlignment w:val="bottom"/>
            </w:pPr>
            <w:r>
              <w:rPr>
                <w:rFonts w:ascii="Arial" w:eastAsia="宋体" w:hAnsi="Arial" w:cs="Arial"/>
                <w:b/>
                <w:bCs/>
                <w:color w:val="000000"/>
                <w:sz w:val="18"/>
                <w:szCs w:val="18"/>
              </w:rPr>
              <w:t>2,041</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2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1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214" w14:textId="77777777" w:rsidR="006A3667" w:rsidRDefault="00045F3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215" w14:textId="77777777" w:rsidR="006A3667" w:rsidRDefault="00045F32">
            <w:pPr>
              <w:jc w:val="right"/>
              <w:textAlignment w:val="bottom"/>
            </w:pPr>
            <w:r>
              <w:rPr>
                <w:rFonts w:ascii="Arial" w:eastAsia="宋体" w:hAnsi="Arial" w:cs="Arial"/>
                <w:color w:val="000000"/>
                <w:sz w:val="18"/>
                <w:szCs w:val="18"/>
              </w:rPr>
              <w:t>1,996 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216" w14:textId="77777777" w:rsidR="006A3667" w:rsidRDefault="006A3667">
            <w:pPr>
              <w:jc w:val="right"/>
              <w:rPr>
                <w:rFonts w:ascii="宋体"/>
              </w:rPr>
            </w:pPr>
          </w:p>
        </w:tc>
        <w:tc>
          <w:tcPr>
            <w:tcW w:w="0" w:type="auto"/>
            <w:shd w:val="clear" w:color="auto" w:fill="auto"/>
            <w:vAlign w:val="bottom"/>
          </w:tcPr>
          <w:p w14:paraId="71D42217" w14:textId="77777777" w:rsidR="006A3667" w:rsidRDefault="006A3667">
            <w:pPr>
              <w:rPr>
                <w:rFonts w:ascii="宋体"/>
                <w:vanish/>
              </w:rPr>
            </w:pPr>
          </w:p>
        </w:tc>
        <w:tc>
          <w:tcPr>
            <w:tcW w:w="0" w:type="auto"/>
            <w:shd w:val="clear" w:color="auto" w:fill="auto"/>
            <w:vAlign w:val="bottom"/>
          </w:tcPr>
          <w:p w14:paraId="71D42218" w14:textId="77777777" w:rsidR="006A3667" w:rsidRDefault="006A3667">
            <w:pPr>
              <w:rPr>
                <w:rFonts w:ascii="宋体"/>
                <w:vanish/>
              </w:rPr>
            </w:pPr>
          </w:p>
        </w:tc>
      </w:tr>
      <w:tr w:rsidR="006A3667" w14:paraId="71D4222C" w14:textId="77777777">
        <w:tc>
          <w:tcPr>
            <w:tcW w:w="0" w:type="auto"/>
            <w:gridSpan w:val="3"/>
            <w:shd w:val="clear" w:color="auto" w:fill="FFFFFF"/>
            <w:tcMar>
              <w:top w:w="40" w:type="dxa"/>
              <w:left w:w="20" w:type="dxa"/>
              <w:bottom w:w="40" w:type="dxa"/>
              <w:right w:w="20" w:type="dxa"/>
            </w:tcMar>
            <w:vAlign w:val="bottom"/>
          </w:tcPr>
          <w:p w14:paraId="71D4221A" w14:textId="77777777" w:rsidR="006A3667" w:rsidRDefault="00045F32">
            <w:pPr>
              <w:textAlignment w:val="bottom"/>
            </w:pPr>
            <w:r>
              <w:rPr>
                <w:rFonts w:ascii="Arial" w:eastAsia="宋体" w:hAnsi="Arial" w:cs="Arial"/>
                <w:b/>
                <w:bCs/>
                <w:color w:val="000000"/>
                <w:sz w:val="18"/>
                <w:szCs w:val="18"/>
              </w:rPr>
              <w:t>Net income available to common shareholders</w:t>
            </w:r>
          </w:p>
        </w:tc>
        <w:tc>
          <w:tcPr>
            <w:tcW w:w="0" w:type="auto"/>
            <w:tcBorders>
              <w:top w:val="double" w:sz="6" w:space="0" w:color="000000"/>
            </w:tcBorders>
            <w:shd w:val="clear" w:color="auto" w:fill="FFFFFF"/>
            <w:tcMar>
              <w:top w:w="40" w:type="dxa"/>
              <w:left w:w="20" w:type="dxa"/>
              <w:bottom w:w="40" w:type="dxa"/>
              <w:right w:w="0" w:type="dxa"/>
            </w:tcMar>
            <w:vAlign w:val="bottom"/>
          </w:tcPr>
          <w:p w14:paraId="71D4221B" w14:textId="77777777" w:rsidR="006A3667" w:rsidRDefault="00045F32">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4221C" w14:textId="77777777" w:rsidR="006A3667" w:rsidRDefault="00045F32">
            <w:pPr>
              <w:jc w:val="right"/>
              <w:textAlignment w:val="bottom"/>
            </w:pPr>
            <w:r>
              <w:rPr>
                <w:rFonts w:ascii="Arial" w:eastAsia="宋体" w:hAnsi="Arial" w:cs="Arial"/>
                <w:b/>
                <w:bCs/>
                <w:color w:val="000000"/>
                <w:sz w:val="18"/>
                <w:szCs w:val="18"/>
              </w:rPr>
              <w:t>669</w:t>
            </w:r>
            <w:r>
              <w:rPr>
                <w:rFonts w:ascii="Arial" w:eastAsia="宋体" w:hAnsi="Arial" w:cs="Arial"/>
                <w:color w:val="000000"/>
                <w:sz w:val="18"/>
                <w:szCs w:val="18"/>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22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21E"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4221F" w14:textId="77777777" w:rsidR="006A3667" w:rsidRDefault="00045F32">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42220" w14:textId="77777777" w:rsidR="006A3667" w:rsidRDefault="00045F32">
            <w:pPr>
              <w:jc w:val="right"/>
              <w:textAlignment w:val="bottom"/>
            </w:pPr>
            <w:r>
              <w:rPr>
                <w:rFonts w:ascii="Arial" w:eastAsia="宋体" w:hAnsi="Arial" w:cs="Arial"/>
                <w:color w:val="000000"/>
                <w:sz w:val="18"/>
                <w:szCs w:val="18"/>
              </w:rPr>
              <w:t>693 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2221" w14:textId="77777777" w:rsidR="006A3667" w:rsidRDefault="006A3667">
            <w:pPr>
              <w:jc w:val="right"/>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2222"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42223" w14:textId="77777777" w:rsidR="006A3667" w:rsidRDefault="00045F32">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42224" w14:textId="77777777" w:rsidR="006A3667" w:rsidRDefault="00045F32">
            <w:pPr>
              <w:jc w:val="right"/>
              <w:textAlignment w:val="bottom"/>
            </w:pPr>
            <w:r>
              <w:rPr>
                <w:rFonts w:ascii="Arial" w:eastAsia="宋体" w:hAnsi="Arial" w:cs="Arial"/>
                <w:b/>
                <w:bCs/>
                <w:color w:val="000000"/>
                <w:sz w:val="18"/>
                <w:szCs w:val="18"/>
              </w:rPr>
              <w:t>1,964</w:t>
            </w:r>
            <w:r>
              <w:rPr>
                <w:rFonts w:ascii="Arial" w:eastAsia="宋体" w:hAnsi="Arial" w:cs="Arial"/>
                <w:color w:val="000000"/>
                <w:sz w:val="18"/>
                <w:szCs w:val="18"/>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222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226"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42227" w14:textId="77777777" w:rsidR="006A3667" w:rsidRDefault="00045F32">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42228" w14:textId="77777777" w:rsidR="006A3667" w:rsidRDefault="00045F32">
            <w:pPr>
              <w:jc w:val="right"/>
              <w:textAlignment w:val="bottom"/>
            </w:pPr>
            <w:r>
              <w:rPr>
                <w:rFonts w:ascii="Arial" w:eastAsia="宋体" w:hAnsi="Arial" w:cs="Arial"/>
                <w:color w:val="000000"/>
                <w:sz w:val="18"/>
                <w:szCs w:val="18"/>
              </w:rPr>
              <w:t>1,910 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2229" w14:textId="77777777" w:rsidR="006A3667" w:rsidRDefault="006A3667">
            <w:pPr>
              <w:jc w:val="right"/>
              <w:rPr>
                <w:rFonts w:ascii="宋体"/>
              </w:rPr>
            </w:pPr>
          </w:p>
        </w:tc>
        <w:tc>
          <w:tcPr>
            <w:tcW w:w="0" w:type="auto"/>
            <w:shd w:val="clear" w:color="auto" w:fill="auto"/>
            <w:vAlign w:val="bottom"/>
          </w:tcPr>
          <w:p w14:paraId="71D4222A" w14:textId="77777777" w:rsidR="006A3667" w:rsidRDefault="006A3667">
            <w:pPr>
              <w:rPr>
                <w:rFonts w:ascii="宋体"/>
                <w:vanish/>
              </w:rPr>
            </w:pPr>
          </w:p>
        </w:tc>
        <w:tc>
          <w:tcPr>
            <w:tcW w:w="0" w:type="auto"/>
            <w:shd w:val="clear" w:color="auto" w:fill="auto"/>
            <w:vAlign w:val="bottom"/>
          </w:tcPr>
          <w:p w14:paraId="71D4222B" w14:textId="77777777" w:rsidR="006A3667" w:rsidRDefault="006A3667">
            <w:pPr>
              <w:rPr>
                <w:rFonts w:ascii="宋体"/>
                <w:vanish/>
              </w:rPr>
            </w:pPr>
          </w:p>
        </w:tc>
      </w:tr>
      <w:tr w:rsidR="006A3667" w14:paraId="71D42237" w14:textId="77777777">
        <w:tc>
          <w:tcPr>
            <w:tcW w:w="0" w:type="auto"/>
            <w:gridSpan w:val="3"/>
            <w:shd w:val="clear" w:color="auto" w:fill="CCEEFF"/>
            <w:tcMar>
              <w:top w:w="40" w:type="dxa"/>
              <w:left w:w="20" w:type="dxa"/>
              <w:bottom w:w="40" w:type="dxa"/>
              <w:right w:w="20" w:type="dxa"/>
            </w:tcMar>
            <w:vAlign w:val="bottom"/>
          </w:tcPr>
          <w:p w14:paraId="71D4222D" w14:textId="77777777" w:rsidR="006A3667" w:rsidRDefault="00045F32">
            <w:pPr>
              <w:textAlignment w:val="bottom"/>
            </w:pPr>
            <w:r>
              <w:rPr>
                <w:rFonts w:ascii="Arial" w:eastAsia="宋体" w:hAnsi="Arial" w:cs="Arial"/>
                <w:b/>
                <w:bCs/>
                <w:color w:val="000000"/>
                <w:sz w:val="18"/>
                <w:szCs w:val="18"/>
              </w:rPr>
              <w:t xml:space="preserve">Earnings per common share: </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22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22F"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23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231"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23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233"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234" w14:textId="77777777" w:rsidR="006A3667" w:rsidRDefault="006A3667">
            <w:pPr>
              <w:rPr>
                <w:rFonts w:ascii="宋体"/>
              </w:rPr>
            </w:pPr>
          </w:p>
        </w:tc>
        <w:tc>
          <w:tcPr>
            <w:tcW w:w="0" w:type="auto"/>
            <w:shd w:val="clear" w:color="auto" w:fill="auto"/>
            <w:vAlign w:val="bottom"/>
          </w:tcPr>
          <w:p w14:paraId="71D42235" w14:textId="77777777" w:rsidR="006A3667" w:rsidRDefault="006A3667">
            <w:pPr>
              <w:rPr>
                <w:rFonts w:ascii="宋体"/>
                <w:vanish/>
              </w:rPr>
            </w:pPr>
          </w:p>
        </w:tc>
        <w:tc>
          <w:tcPr>
            <w:tcW w:w="0" w:type="auto"/>
            <w:shd w:val="clear" w:color="auto" w:fill="auto"/>
            <w:vAlign w:val="bottom"/>
          </w:tcPr>
          <w:p w14:paraId="71D42236" w14:textId="77777777" w:rsidR="006A3667" w:rsidRDefault="006A3667">
            <w:pPr>
              <w:rPr>
                <w:rFonts w:ascii="宋体"/>
                <w:vanish/>
              </w:rPr>
            </w:pPr>
          </w:p>
        </w:tc>
      </w:tr>
      <w:tr w:rsidR="006A3667" w14:paraId="71D4224A" w14:textId="77777777">
        <w:tc>
          <w:tcPr>
            <w:tcW w:w="0" w:type="auto"/>
            <w:gridSpan w:val="3"/>
            <w:shd w:val="clear" w:color="auto" w:fill="FFFFFF"/>
            <w:tcMar>
              <w:top w:w="40" w:type="dxa"/>
              <w:left w:w="20" w:type="dxa"/>
              <w:bottom w:w="40" w:type="dxa"/>
              <w:right w:w="20" w:type="dxa"/>
            </w:tcMar>
            <w:vAlign w:val="bottom"/>
          </w:tcPr>
          <w:p w14:paraId="71D42238" w14:textId="77777777" w:rsidR="006A3667" w:rsidRDefault="00045F32">
            <w:pPr>
              <w:textAlignment w:val="bottom"/>
            </w:pPr>
            <w:r>
              <w:rPr>
                <w:rFonts w:ascii="Arial" w:eastAsia="宋体" w:hAnsi="Arial" w:cs="Arial"/>
                <w:color w:val="000000"/>
                <w:sz w:val="18"/>
                <w:szCs w:val="18"/>
              </w:rPr>
              <w:t>Basic</w:t>
            </w:r>
          </w:p>
        </w:tc>
        <w:tc>
          <w:tcPr>
            <w:tcW w:w="0" w:type="auto"/>
            <w:shd w:val="clear" w:color="auto" w:fill="FFFFFF"/>
            <w:tcMar>
              <w:top w:w="40" w:type="dxa"/>
              <w:left w:w="20" w:type="dxa"/>
              <w:bottom w:w="40" w:type="dxa"/>
              <w:right w:w="0" w:type="dxa"/>
            </w:tcMar>
            <w:vAlign w:val="bottom"/>
          </w:tcPr>
          <w:p w14:paraId="71D42239" w14:textId="77777777" w:rsidR="006A3667" w:rsidRDefault="00045F32">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71D4223A" w14:textId="77777777" w:rsidR="006A3667" w:rsidRDefault="00045F32">
            <w:pPr>
              <w:jc w:val="right"/>
              <w:textAlignment w:val="bottom"/>
            </w:pPr>
            <w:r>
              <w:rPr>
                <w:rFonts w:ascii="Arial" w:eastAsia="宋体" w:hAnsi="Arial" w:cs="Arial"/>
                <w:b/>
                <w:bCs/>
                <w:color w:val="000000"/>
                <w:sz w:val="18"/>
                <w:szCs w:val="18"/>
              </w:rPr>
              <w:t>1.82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23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23C"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23D" w14:textId="77777777" w:rsidR="006A3667" w:rsidRDefault="00045F32">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1D4223E" w14:textId="77777777" w:rsidR="006A3667" w:rsidRDefault="00045F32">
            <w:pPr>
              <w:jc w:val="right"/>
              <w:textAlignment w:val="bottom"/>
            </w:pPr>
            <w:r>
              <w:rPr>
                <w:rFonts w:ascii="Arial" w:eastAsia="宋体" w:hAnsi="Arial" w:cs="Arial"/>
                <w:color w:val="000000"/>
                <w:sz w:val="18"/>
                <w:szCs w:val="18"/>
              </w:rPr>
              <w:t>1.99 </w:t>
            </w:r>
          </w:p>
        </w:tc>
        <w:tc>
          <w:tcPr>
            <w:tcW w:w="0" w:type="auto"/>
            <w:shd w:val="clear" w:color="auto" w:fill="FFFFFF"/>
            <w:tcMar>
              <w:top w:w="40" w:type="dxa"/>
              <w:left w:w="0" w:type="dxa"/>
              <w:bottom w:w="40" w:type="dxa"/>
              <w:right w:w="20" w:type="dxa"/>
            </w:tcMar>
            <w:vAlign w:val="bottom"/>
          </w:tcPr>
          <w:p w14:paraId="71D4223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240"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241" w14:textId="77777777" w:rsidR="006A3667" w:rsidRDefault="00045F32">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71D42242" w14:textId="77777777" w:rsidR="006A3667" w:rsidRDefault="00045F32">
            <w:pPr>
              <w:jc w:val="right"/>
              <w:textAlignment w:val="bottom"/>
            </w:pPr>
            <w:r>
              <w:rPr>
                <w:rFonts w:ascii="Arial" w:eastAsia="宋体" w:hAnsi="Arial" w:cs="Arial"/>
                <w:b/>
                <w:bCs/>
                <w:color w:val="000000"/>
                <w:sz w:val="18"/>
                <w:szCs w:val="18"/>
              </w:rPr>
              <w:t>5.35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2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244"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245" w14:textId="77777777" w:rsidR="006A3667" w:rsidRDefault="00045F32">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1D42246" w14:textId="77777777" w:rsidR="006A3667" w:rsidRDefault="00045F32">
            <w:pPr>
              <w:jc w:val="right"/>
              <w:textAlignment w:val="bottom"/>
            </w:pPr>
            <w:r>
              <w:rPr>
                <w:rFonts w:ascii="Arial" w:eastAsia="宋体" w:hAnsi="Arial" w:cs="Arial"/>
                <w:color w:val="000000"/>
                <w:sz w:val="18"/>
                <w:szCs w:val="18"/>
              </w:rPr>
              <w:t>5.49 </w:t>
            </w:r>
          </w:p>
        </w:tc>
        <w:tc>
          <w:tcPr>
            <w:tcW w:w="0" w:type="auto"/>
            <w:shd w:val="clear" w:color="auto" w:fill="FFFFFF"/>
            <w:tcMar>
              <w:top w:w="40" w:type="dxa"/>
              <w:left w:w="0" w:type="dxa"/>
              <w:bottom w:w="40" w:type="dxa"/>
              <w:right w:w="20" w:type="dxa"/>
            </w:tcMar>
            <w:vAlign w:val="bottom"/>
          </w:tcPr>
          <w:p w14:paraId="71D42247" w14:textId="77777777" w:rsidR="006A3667" w:rsidRDefault="006A3667">
            <w:pPr>
              <w:jc w:val="right"/>
              <w:rPr>
                <w:rFonts w:ascii="宋体"/>
              </w:rPr>
            </w:pPr>
          </w:p>
        </w:tc>
        <w:tc>
          <w:tcPr>
            <w:tcW w:w="0" w:type="auto"/>
            <w:shd w:val="clear" w:color="auto" w:fill="auto"/>
            <w:vAlign w:val="bottom"/>
          </w:tcPr>
          <w:p w14:paraId="71D42248" w14:textId="77777777" w:rsidR="006A3667" w:rsidRDefault="006A3667">
            <w:pPr>
              <w:rPr>
                <w:rFonts w:ascii="宋体"/>
                <w:vanish/>
              </w:rPr>
            </w:pPr>
          </w:p>
        </w:tc>
        <w:tc>
          <w:tcPr>
            <w:tcW w:w="0" w:type="auto"/>
            <w:shd w:val="clear" w:color="auto" w:fill="auto"/>
            <w:vAlign w:val="bottom"/>
          </w:tcPr>
          <w:p w14:paraId="71D42249" w14:textId="77777777" w:rsidR="006A3667" w:rsidRDefault="006A3667">
            <w:pPr>
              <w:rPr>
                <w:rFonts w:ascii="宋体"/>
                <w:vanish/>
              </w:rPr>
            </w:pPr>
          </w:p>
        </w:tc>
      </w:tr>
      <w:tr w:rsidR="006A3667" w14:paraId="71D42259" w14:textId="77777777">
        <w:tc>
          <w:tcPr>
            <w:tcW w:w="0" w:type="auto"/>
            <w:gridSpan w:val="3"/>
            <w:shd w:val="clear" w:color="auto" w:fill="CCEEFF"/>
            <w:tcMar>
              <w:top w:w="40" w:type="dxa"/>
              <w:left w:w="20" w:type="dxa"/>
              <w:bottom w:w="40" w:type="dxa"/>
              <w:right w:w="20" w:type="dxa"/>
            </w:tcMar>
            <w:vAlign w:val="bottom"/>
          </w:tcPr>
          <w:p w14:paraId="71D4224B" w14:textId="77777777" w:rsidR="006A3667" w:rsidRDefault="00045F32">
            <w:pPr>
              <w:textAlignment w:val="bottom"/>
            </w:pPr>
            <w:r>
              <w:rPr>
                <w:rFonts w:ascii="Arial" w:eastAsia="宋体" w:hAnsi="Arial" w:cs="Arial"/>
                <w:color w:val="000000"/>
                <w:sz w:val="18"/>
                <w:szCs w:val="18"/>
              </w:rPr>
              <w:t>Diluted</w:t>
            </w:r>
          </w:p>
        </w:tc>
        <w:tc>
          <w:tcPr>
            <w:tcW w:w="0" w:type="auto"/>
            <w:gridSpan w:val="2"/>
            <w:shd w:val="clear" w:color="auto" w:fill="CCEEFF"/>
            <w:tcMar>
              <w:top w:w="40" w:type="dxa"/>
              <w:left w:w="20" w:type="dxa"/>
              <w:bottom w:w="40" w:type="dxa"/>
              <w:right w:w="0" w:type="dxa"/>
            </w:tcMar>
            <w:vAlign w:val="bottom"/>
          </w:tcPr>
          <w:p w14:paraId="71D4224C" w14:textId="77777777" w:rsidR="006A3667" w:rsidRDefault="00045F32">
            <w:pPr>
              <w:jc w:val="right"/>
              <w:textAlignment w:val="bottom"/>
            </w:pPr>
            <w:r>
              <w:rPr>
                <w:rFonts w:ascii="Arial" w:eastAsia="宋体" w:hAnsi="Arial" w:cs="Arial"/>
                <w:b/>
                <w:bCs/>
                <w:color w:val="000000"/>
                <w:sz w:val="18"/>
                <w:szCs w:val="18"/>
              </w:rPr>
              <w:t>1.80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2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4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24F" w14:textId="77777777" w:rsidR="006A3667" w:rsidRDefault="00045F32">
            <w:pPr>
              <w:jc w:val="right"/>
              <w:textAlignment w:val="bottom"/>
            </w:pPr>
            <w:r>
              <w:rPr>
                <w:rFonts w:ascii="Arial" w:eastAsia="宋体" w:hAnsi="Arial" w:cs="Arial"/>
                <w:color w:val="000000"/>
                <w:sz w:val="18"/>
                <w:szCs w:val="18"/>
              </w:rPr>
              <w:t>1.96 </w:t>
            </w:r>
          </w:p>
        </w:tc>
        <w:tc>
          <w:tcPr>
            <w:tcW w:w="0" w:type="auto"/>
            <w:shd w:val="clear" w:color="auto" w:fill="CCEEFF"/>
            <w:tcMar>
              <w:top w:w="40" w:type="dxa"/>
              <w:left w:w="0" w:type="dxa"/>
              <w:bottom w:w="40" w:type="dxa"/>
              <w:right w:w="20" w:type="dxa"/>
            </w:tcMar>
            <w:vAlign w:val="bottom"/>
          </w:tcPr>
          <w:p w14:paraId="71D422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5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252" w14:textId="77777777" w:rsidR="006A3667" w:rsidRDefault="00045F32">
            <w:pPr>
              <w:jc w:val="right"/>
              <w:textAlignment w:val="bottom"/>
            </w:pPr>
            <w:r>
              <w:rPr>
                <w:rFonts w:ascii="Arial" w:eastAsia="宋体" w:hAnsi="Arial" w:cs="Arial"/>
                <w:b/>
                <w:bCs/>
                <w:color w:val="000000"/>
                <w:sz w:val="18"/>
                <w:szCs w:val="18"/>
              </w:rPr>
              <w:t>5.28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25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5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255" w14:textId="77777777" w:rsidR="006A3667" w:rsidRDefault="00045F32">
            <w:pPr>
              <w:jc w:val="right"/>
              <w:textAlignment w:val="bottom"/>
            </w:pPr>
            <w:r>
              <w:rPr>
                <w:rFonts w:ascii="Arial" w:eastAsia="宋体" w:hAnsi="Arial" w:cs="Arial"/>
                <w:color w:val="000000"/>
                <w:sz w:val="18"/>
                <w:szCs w:val="18"/>
              </w:rPr>
              <w:t>5.40 </w:t>
            </w:r>
          </w:p>
        </w:tc>
        <w:tc>
          <w:tcPr>
            <w:tcW w:w="0" w:type="auto"/>
            <w:shd w:val="clear" w:color="auto" w:fill="CCEEFF"/>
            <w:tcMar>
              <w:top w:w="40" w:type="dxa"/>
              <w:left w:w="0" w:type="dxa"/>
              <w:bottom w:w="40" w:type="dxa"/>
              <w:right w:w="20" w:type="dxa"/>
            </w:tcMar>
            <w:vAlign w:val="bottom"/>
          </w:tcPr>
          <w:p w14:paraId="71D42256" w14:textId="77777777" w:rsidR="006A3667" w:rsidRDefault="006A3667">
            <w:pPr>
              <w:jc w:val="right"/>
              <w:rPr>
                <w:rFonts w:ascii="宋体"/>
              </w:rPr>
            </w:pPr>
          </w:p>
        </w:tc>
        <w:tc>
          <w:tcPr>
            <w:tcW w:w="0" w:type="auto"/>
            <w:shd w:val="clear" w:color="auto" w:fill="auto"/>
            <w:vAlign w:val="bottom"/>
          </w:tcPr>
          <w:p w14:paraId="71D42257" w14:textId="77777777" w:rsidR="006A3667" w:rsidRDefault="006A3667">
            <w:pPr>
              <w:rPr>
                <w:rFonts w:ascii="宋体"/>
                <w:vanish/>
              </w:rPr>
            </w:pPr>
          </w:p>
        </w:tc>
        <w:tc>
          <w:tcPr>
            <w:tcW w:w="0" w:type="auto"/>
            <w:shd w:val="clear" w:color="auto" w:fill="auto"/>
            <w:vAlign w:val="bottom"/>
          </w:tcPr>
          <w:p w14:paraId="71D42258" w14:textId="77777777" w:rsidR="006A3667" w:rsidRDefault="006A3667">
            <w:pPr>
              <w:rPr>
                <w:rFonts w:ascii="宋体"/>
                <w:vanish/>
              </w:rPr>
            </w:pPr>
          </w:p>
        </w:tc>
      </w:tr>
      <w:tr w:rsidR="006A3667" w14:paraId="71D42264" w14:textId="77777777">
        <w:tc>
          <w:tcPr>
            <w:tcW w:w="0" w:type="auto"/>
            <w:gridSpan w:val="3"/>
            <w:shd w:val="clear" w:color="auto" w:fill="FFFFFF"/>
            <w:tcMar>
              <w:top w:w="40" w:type="dxa"/>
              <w:left w:w="20" w:type="dxa"/>
              <w:bottom w:w="40" w:type="dxa"/>
              <w:right w:w="20" w:type="dxa"/>
            </w:tcMar>
            <w:vAlign w:val="bottom"/>
          </w:tcPr>
          <w:p w14:paraId="71D4225A" w14:textId="77777777" w:rsidR="006A3667" w:rsidRDefault="00045F32">
            <w:pPr>
              <w:textAlignment w:val="bottom"/>
            </w:pPr>
            <w:r>
              <w:rPr>
                <w:rFonts w:ascii="Arial" w:eastAsia="宋体" w:hAnsi="Arial" w:cs="Arial"/>
                <w:b/>
                <w:bCs/>
                <w:color w:val="000000"/>
                <w:sz w:val="18"/>
                <w:szCs w:val="18"/>
              </w:rPr>
              <w:t>Average common shares outstanding (in thousands):</w:t>
            </w:r>
          </w:p>
        </w:tc>
        <w:tc>
          <w:tcPr>
            <w:tcW w:w="0" w:type="auto"/>
            <w:gridSpan w:val="3"/>
            <w:shd w:val="clear" w:color="auto" w:fill="FFFFFF"/>
            <w:tcMar>
              <w:top w:w="0" w:type="dxa"/>
              <w:left w:w="20" w:type="dxa"/>
              <w:bottom w:w="0" w:type="dxa"/>
              <w:right w:w="20" w:type="dxa"/>
            </w:tcMar>
            <w:vAlign w:val="bottom"/>
          </w:tcPr>
          <w:p w14:paraId="71D4225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25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25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25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25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26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261" w14:textId="77777777" w:rsidR="006A3667" w:rsidRDefault="006A3667">
            <w:pPr>
              <w:rPr>
                <w:rFonts w:ascii="宋体"/>
              </w:rPr>
            </w:pPr>
          </w:p>
        </w:tc>
        <w:tc>
          <w:tcPr>
            <w:tcW w:w="0" w:type="auto"/>
            <w:shd w:val="clear" w:color="auto" w:fill="auto"/>
            <w:vAlign w:val="bottom"/>
          </w:tcPr>
          <w:p w14:paraId="71D42262" w14:textId="77777777" w:rsidR="006A3667" w:rsidRDefault="006A3667">
            <w:pPr>
              <w:rPr>
                <w:rFonts w:ascii="宋体"/>
                <w:vanish/>
              </w:rPr>
            </w:pPr>
          </w:p>
        </w:tc>
        <w:tc>
          <w:tcPr>
            <w:tcW w:w="0" w:type="auto"/>
            <w:shd w:val="clear" w:color="auto" w:fill="auto"/>
            <w:vAlign w:val="bottom"/>
          </w:tcPr>
          <w:p w14:paraId="71D42263" w14:textId="77777777" w:rsidR="006A3667" w:rsidRDefault="006A3667">
            <w:pPr>
              <w:rPr>
                <w:rFonts w:ascii="宋体"/>
                <w:vanish/>
              </w:rPr>
            </w:pPr>
          </w:p>
        </w:tc>
      </w:tr>
      <w:tr w:rsidR="006A3667" w14:paraId="71D42273" w14:textId="77777777">
        <w:tc>
          <w:tcPr>
            <w:tcW w:w="0" w:type="auto"/>
            <w:gridSpan w:val="3"/>
            <w:shd w:val="clear" w:color="auto" w:fill="CCEEFF"/>
            <w:tcMar>
              <w:top w:w="40" w:type="dxa"/>
              <w:left w:w="20" w:type="dxa"/>
              <w:bottom w:w="40" w:type="dxa"/>
              <w:right w:w="20" w:type="dxa"/>
            </w:tcMar>
            <w:vAlign w:val="bottom"/>
          </w:tcPr>
          <w:p w14:paraId="71D42265" w14:textId="77777777" w:rsidR="006A3667" w:rsidRDefault="00045F32">
            <w:pPr>
              <w:textAlignment w:val="bottom"/>
            </w:pPr>
            <w:r>
              <w:rPr>
                <w:rFonts w:ascii="Arial" w:eastAsia="宋体" w:hAnsi="Arial" w:cs="Arial"/>
                <w:color w:val="000000"/>
                <w:sz w:val="18"/>
                <w:szCs w:val="18"/>
              </w:rPr>
              <w:t>Basic</w:t>
            </w:r>
          </w:p>
        </w:tc>
        <w:tc>
          <w:tcPr>
            <w:tcW w:w="0" w:type="auto"/>
            <w:gridSpan w:val="2"/>
            <w:shd w:val="clear" w:color="auto" w:fill="CCEEFF"/>
            <w:tcMar>
              <w:top w:w="40" w:type="dxa"/>
              <w:left w:w="20" w:type="dxa"/>
              <w:bottom w:w="40" w:type="dxa"/>
              <w:right w:w="0" w:type="dxa"/>
            </w:tcMar>
            <w:vAlign w:val="bottom"/>
          </w:tcPr>
          <w:p w14:paraId="71D42266" w14:textId="77777777" w:rsidR="006A3667" w:rsidRDefault="00045F32">
            <w:pPr>
              <w:jc w:val="right"/>
              <w:textAlignment w:val="bottom"/>
            </w:pPr>
            <w:r>
              <w:rPr>
                <w:rFonts w:ascii="Arial" w:eastAsia="宋体" w:hAnsi="Arial" w:cs="Arial"/>
                <w:b/>
                <w:bCs/>
                <w:color w:val="000000"/>
                <w:sz w:val="18"/>
                <w:szCs w:val="18"/>
              </w:rPr>
              <w:t>367,789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2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6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269" w14:textId="77777777" w:rsidR="006A3667" w:rsidRDefault="00045F32">
            <w:pPr>
              <w:jc w:val="right"/>
              <w:textAlignment w:val="bottom"/>
            </w:pPr>
            <w:r>
              <w:rPr>
                <w:rFonts w:ascii="Arial" w:eastAsia="宋体" w:hAnsi="Arial" w:cs="Arial"/>
                <w:color w:val="000000"/>
                <w:sz w:val="18"/>
                <w:szCs w:val="18"/>
              </w:rPr>
              <w:t>347,718 </w:t>
            </w:r>
          </w:p>
        </w:tc>
        <w:tc>
          <w:tcPr>
            <w:tcW w:w="0" w:type="auto"/>
            <w:shd w:val="clear" w:color="auto" w:fill="CCEEFF"/>
            <w:tcMar>
              <w:top w:w="40" w:type="dxa"/>
              <w:left w:w="0" w:type="dxa"/>
              <w:bottom w:w="40" w:type="dxa"/>
              <w:right w:w="20" w:type="dxa"/>
            </w:tcMar>
            <w:vAlign w:val="bottom"/>
          </w:tcPr>
          <w:p w14:paraId="71D422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6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26C" w14:textId="77777777" w:rsidR="006A3667" w:rsidRDefault="00045F32">
            <w:pPr>
              <w:jc w:val="right"/>
              <w:textAlignment w:val="bottom"/>
            </w:pPr>
            <w:r>
              <w:rPr>
                <w:rFonts w:ascii="Arial" w:eastAsia="宋体" w:hAnsi="Arial" w:cs="Arial"/>
                <w:b/>
                <w:bCs/>
                <w:color w:val="000000"/>
                <w:sz w:val="18"/>
                <w:szCs w:val="18"/>
              </w:rPr>
              <w:t>367,240</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26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6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26F" w14:textId="77777777" w:rsidR="006A3667" w:rsidRDefault="00045F32">
            <w:pPr>
              <w:jc w:val="right"/>
              <w:textAlignment w:val="bottom"/>
            </w:pPr>
            <w:r>
              <w:rPr>
                <w:rFonts w:ascii="Arial" w:eastAsia="宋体" w:hAnsi="Arial" w:cs="Arial"/>
                <w:color w:val="000000"/>
                <w:sz w:val="18"/>
                <w:szCs w:val="18"/>
              </w:rPr>
              <w:t>348,106 </w:t>
            </w:r>
          </w:p>
        </w:tc>
        <w:tc>
          <w:tcPr>
            <w:tcW w:w="0" w:type="auto"/>
            <w:shd w:val="clear" w:color="auto" w:fill="CCEEFF"/>
            <w:tcMar>
              <w:top w:w="40" w:type="dxa"/>
              <w:left w:w="0" w:type="dxa"/>
              <w:bottom w:w="40" w:type="dxa"/>
              <w:right w:w="20" w:type="dxa"/>
            </w:tcMar>
            <w:vAlign w:val="bottom"/>
          </w:tcPr>
          <w:p w14:paraId="71D42270" w14:textId="77777777" w:rsidR="006A3667" w:rsidRDefault="006A3667">
            <w:pPr>
              <w:jc w:val="right"/>
              <w:rPr>
                <w:rFonts w:ascii="宋体"/>
              </w:rPr>
            </w:pPr>
          </w:p>
        </w:tc>
        <w:tc>
          <w:tcPr>
            <w:tcW w:w="0" w:type="auto"/>
            <w:shd w:val="clear" w:color="auto" w:fill="auto"/>
            <w:vAlign w:val="bottom"/>
          </w:tcPr>
          <w:p w14:paraId="71D42271" w14:textId="77777777" w:rsidR="006A3667" w:rsidRDefault="006A3667">
            <w:pPr>
              <w:rPr>
                <w:rFonts w:ascii="宋体"/>
                <w:vanish/>
              </w:rPr>
            </w:pPr>
          </w:p>
        </w:tc>
        <w:tc>
          <w:tcPr>
            <w:tcW w:w="0" w:type="auto"/>
            <w:shd w:val="clear" w:color="auto" w:fill="auto"/>
            <w:vAlign w:val="bottom"/>
          </w:tcPr>
          <w:p w14:paraId="71D42272" w14:textId="77777777" w:rsidR="006A3667" w:rsidRDefault="006A3667">
            <w:pPr>
              <w:rPr>
                <w:rFonts w:ascii="宋体"/>
                <w:vanish/>
              </w:rPr>
            </w:pPr>
          </w:p>
        </w:tc>
      </w:tr>
      <w:tr w:rsidR="006A3667" w14:paraId="71D42282" w14:textId="77777777">
        <w:tc>
          <w:tcPr>
            <w:tcW w:w="0" w:type="auto"/>
            <w:gridSpan w:val="3"/>
            <w:shd w:val="clear" w:color="auto" w:fill="FFFFFF"/>
            <w:tcMar>
              <w:top w:w="40" w:type="dxa"/>
              <w:left w:w="20" w:type="dxa"/>
              <w:bottom w:w="40" w:type="dxa"/>
              <w:right w:w="20" w:type="dxa"/>
            </w:tcMar>
            <w:vAlign w:val="bottom"/>
          </w:tcPr>
          <w:p w14:paraId="71D42274" w14:textId="77777777" w:rsidR="006A3667" w:rsidRDefault="00045F32">
            <w:pPr>
              <w:textAlignment w:val="bottom"/>
            </w:pPr>
            <w:r>
              <w:rPr>
                <w:rFonts w:ascii="Arial" w:eastAsia="宋体" w:hAnsi="Arial" w:cs="Arial"/>
                <w:color w:val="000000"/>
                <w:sz w:val="18"/>
                <w:szCs w:val="18"/>
              </w:rPr>
              <w:t>Diluted</w:t>
            </w:r>
          </w:p>
        </w:tc>
        <w:tc>
          <w:tcPr>
            <w:tcW w:w="0" w:type="auto"/>
            <w:gridSpan w:val="2"/>
            <w:shd w:val="clear" w:color="auto" w:fill="FFFFFF"/>
            <w:tcMar>
              <w:top w:w="40" w:type="dxa"/>
              <w:left w:w="20" w:type="dxa"/>
              <w:bottom w:w="40" w:type="dxa"/>
              <w:right w:w="0" w:type="dxa"/>
            </w:tcMar>
            <w:vAlign w:val="bottom"/>
          </w:tcPr>
          <w:p w14:paraId="71D42275" w14:textId="77777777" w:rsidR="006A3667" w:rsidRDefault="00045F32">
            <w:pPr>
              <w:jc w:val="right"/>
              <w:textAlignment w:val="bottom"/>
            </w:pPr>
            <w:r>
              <w:rPr>
                <w:rFonts w:ascii="Arial" w:eastAsia="宋体" w:hAnsi="Arial" w:cs="Arial"/>
                <w:b/>
                <w:bCs/>
                <w:color w:val="000000"/>
                <w:sz w:val="18"/>
                <w:szCs w:val="18"/>
              </w:rPr>
              <w:t>372,418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27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27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278" w14:textId="77777777" w:rsidR="006A3667" w:rsidRDefault="00045F32">
            <w:pPr>
              <w:jc w:val="right"/>
              <w:textAlignment w:val="bottom"/>
            </w:pPr>
            <w:r>
              <w:rPr>
                <w:rFonts w:ascii="Arial" w:eastAsia="宋体" w:hAnsi="Arial" w:cs="Arial"/>
                <w:color w:val="000000"/>
                <w:sz w:val="18"/>
                <w:szCs w:val="18"/>
              </w:rPr>
              <w:t>353,494 </w:t>
            </w:r>
          </w:p>
        </w:tc>
        <w:tc>
          <w:tcPr>
            <w:tcW w:w="0" w:type="auto"/>
            <w:shd w:val="clear" w:color="auto" w:fill="FFFFFF"/>
            <w:tcMar>
              <w:top w:w="40" w:type="dxa"/>
              <w:left w:w="0" w:type="dxa"/>
              <w:bottom w:w="40" w:type="dxa"/>
              <w:right w:w="20" w:type="dxa"/>
            </w:tcMar>
            <w:vAlign w:val="bottom"/>
          </w:tcPr>
          <w:p w14:paraId="71D4227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27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27B" w14:textId="77777777" w:rsidR="006A3667" w:rsidRDefault="00045F32">
            <w:pPr>
              <w:jc w:val="right"/>
              <w:textAlignment w:val="bottom"/>
            </w:pPr>
            <w:r>
              <w:rPr>
                <w:rFonts w:ascii="Arial" w:eastAsia="宋体" w:hAnsi="Arial" w:cs="Arial"/>
                <w:b/>
                <w:bCs/>
                <w:color w:val="000000"/>
                <w:sz w:val="18"/>
                <w:szCs w:val="18"/>
              </w:rPr>
              <w:t>372,194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27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27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27E" w14:textId="77777777" w:rsidR="006A3667" w:rsidRDefault="00045F32">
            <w:pPr>
              <w:jc w:val="right"/>
              <w:textAlignment w:val="bottom"/>
            </w:pPr>
            <w:r>
              <w:rPr>
                <w:rFonts w:ascii="Arial" w:eastAsia="宋体" w:hAnsi="Arial" w:cs="Arial"/>
                <w:color w:val="000000"/>
                <w:sz w:val="18"/>
                <w:szCs w:val="18"/>
              </w:rPr>
              <w:t>353,376 </w:t>
            </w:r>
          </w:p>
        </w:tc>
        <w:tc>
          <w:tcPr>
            <w:tcW w:w="0" w:type="auto"/>
            <w:shd w:val="clear" w:color="auto" w:fill="FFFFFF"/>
            <w:tcMar>
              <w:top w:w="40" w:type="dxa"/>
              <w:left w:w="0" w:type="dxa"/>
              <w:bottom w:w="40" w:type="dxa"/>
              <w:right w:w="20" w:type="dxa"/>
            </w:tcMar>
            <w:vAlign w:val="bottom"/>
          </w:tcPr>
          <w:p w14:paraId="71D4227F" w14:textId="77777777" w:rsidR="006A3667" w:rsidRDefault="006A3667">
            <w:pPr>
              <w:jc w:val="right"/>
              <w:rPr>
                <w:rFonts w:ascii="宋体"/>
              </w:rPr>
            </w:pPr>
          </w:p>
        </w:tc>
        <w:tc>
          <w:tcPr>
            <w:tcW w:w="0" w:type="auto"/>
            <w:shd w:val="clear" w:color="auto" w:fill="auto"/>
            <w:vAlign w:val="bottom"/>
          </w:tcPr>
          <w:p w14:paraId="71D42280" w14:textId="77777777" w:rsidR="006A3667" w:rsidRDefault="006A3667">
            <w:pPr>
              <w:rPr>
                <w:rFonts w:ascii="宋体"/>
                <w:vanish/>
              </w:rPr>
            </w:pPr>
          </w:p>
        </w:tc>
        <w:tc>
          <w:tcPr>
            <w:tcW w:w="0" w:type="auto"/>
            <w:shd w:val="clear" w:color="auto" w:fill="auto"/>
            <w:vAlign w:val="bottom"/>
          </w:tcPr>
          <w:p w14:paraId="71D42281" w14:textId="77777777" w:rsidR="006A3667" w:rsidRDefault="006A3667">
            <w:pPr>
              <w:rPr>
                <w:rFonts w:ascii="宋体"/>
                <w:vanish/>
              </w:rPr>
            </w:pPr>
          </w:p>
        </w:tc>
      </w:tr>
      <w:tr w:rsidR="006A3667" w14:paraId="71D42295" w14:textId="77777777">
        <w:tc>
          <w:tcPr>
            <w:tcW w:w="0" w:type="auto"/>
            <w:gridSpan w:val="3"/>
            <w:shd w:val="clear" w:color="auto" w:fill="CCEEFF"/>
            <w:tcMar>
              <w:top w:w="40" w:type="dxa"/>
              <w:left w:w="20" w:type="dxa"/>
              <w:bottom w:w="40" w:type="dxa"/>
              <w:right w:w="20" w:type="dxa"/>
            </w:tcMar>
            <w:vAlign w:val="bottom"/>
          </w:tcPr>
          <w:p w14:paraId="71D42283" w14:textId="77777777" w:rsidR="006A3667" w:rsidRDefault="00045F32">
            <w:pPr>
              <w:textAlignment w:val="bottom"/>
            </w:pPr>
            <w:r>
              <w:rPr>
                <w:rFonts w:ascii="Arial" w:eastAsia="宋体" w:hAnsi="Arial" w:cs="Arial"/>
                <w:b/>
                <w:bCs/>
                <w:color w:val="000000"/>
                <w:sz w:val="18"/>
                <w:szCs w:val="18"/>
              </w:rPr>
              <w:t>Cash dividends declared per common share</w:t>
            </w:r>
          </w:p>
        </w:tc>
        <w:tc>
          <w:tcPr>
            <w:tcW w:w="0" w:type="auto"/>
            <w:shd w:val="clear" w:color="auto" w:fill="CCEEFF"/>
            <w:tcMar>
              <w:top w:w="40" w:type="dxa"/>
              <w:left w:w="20" w:type="dxa"/>
              <w:bottom w:w="40" w:type="dxa"/>
              <w:right w:w="0" w:type="dxa"/>
            </w:tcMar>
            <w:vAlign w:val="bottom"/>
          </w:tcPr>
          <w:p w14:paraId="71D42284" w14:textId="77777777" w:rsidR="006A3667" w:rsidRDefault="00045F32">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1D42285" w14:textId="77777777" w:rsidR="006A3667" w:rsidRDefault="00045F32">
            <w:pPr>
              <w:jc w:val="right"/>
              <w:textAlignment w:val="bottom"/>
            </w:pPr>
            <w:r>
              <w:rPr>
                <w:rFonts w:ascii="Arial" w:eastAsia="宋体" w:hAnsi="Arial" w:cs="Arial"/>
                <w:b/>
                <w:bCs/>
                <w:color w:val="000000"/>
                <w:sz w:val="18"/>
                <w:szCs w:val="18"/>
              </w:rPr>
              <w:t>.63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2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8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288" w14:textId="77777777" w:rsidR="006A3667" w:rsidRDefault="00045F32">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1D42289" w14:textId="77777777" w:rsidR="006A3667" w:rsidRDefault="00045F32">
            <w:pPr>
              <w:jc w:val="right"/>
              <w:textAlignment w:val="bottom"/>
            </w:pPr>
            <w:r>
              <w:rPr>
                <w:rFonts w:ascii="Arial" w:eastAsia="宋体" w:hAnsi="Arial" w:cs="Arial"/>
                <w:color w:val="000000"/>
                <w:sz w:val="18"/>
                <w:szCs w:val="18"/>
              </w:rPr>
              <w:t>.57 </w:t>
            </w:r>
          </w:p>
        </w:tc>
        <w:tc>
          <w:tcPr>
            <w:tcW w:w="0" w:type="auto"/>
            <w:shd w:val="clear" w:color="auto" w:fill="CCEEFF"/>
            <w:tcMar>
              <w:top w:w="40" w:type="dxa"/>
              <w:left w:w="0" w:type="dxa"/>
              <w:bottom w:w="40" w:type="dxa"/>
              <w:right w:w="20" w:type="dxa"/>
            </w:tcMar>
            <w:vAlign w:val="bottom"/>
          </w:tcPr>
          <w:p w14:paraId="71D4228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8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28C" w14:textId="77777777" w:rsidR="006A3667" w:rsidRDefault="00045F32">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1D4228D" w14:textId="77777777" w:rsidR="006A3667" w:rsidRDefault="00045F32">
            <w:pPr>
              <w:jc w:val="right"/>
              <w:textAlignment w:val="bottom"/>
            </w:pPr>
            <w:r>
              <w:rPr>
                <w:rFonts w:ascii="Arial" w:eastAsia="宋体" w:hAnsi="Arial" w:cs="Arial"/>
                <w:b/>
                <w:bCs/>
                <w:color w:val="000000"/>
                <w:sz w:val="18"/>
                <w:szCs w:val="18"/>
              </w:rPr>
              <w:t>1.77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28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8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290" w14:textId="77777777" w:rsidR="006A3667" w:rsidRDefault="00045F32">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1D42291" w14:textId="77777777" w:rsidR="006A3667" w:rsidRDefault="00045F32">
            <w:pPr>
              <w:jc w:val="right"/>
              <w:textAlignment w:val="bottom"/>
            </w:pPr>
            <w:r>
              <w:rPr>
                <w:rFonts w:ascii="Arial" w:eastAsia="宋体" w:hAnsi="Arial" w:cs="Arial"/>
                <w:color w:val="000000"/>
                <w:sz w:val="18"/>
                <w:szCs w:val="18"/>
              </w:rPr>
              <w:t>1.61 </w:t>
            </w:r>
          </w:p>
        </w:tc>
        <w:tc>
          <w:tcPr>
            <w:tcW w:w="0" w:type="auto"/>
            <w:shd w:val="clear" w:color="auto" w:fill="CCEEFF"/>
            <w:tcMar>
              <w:top w:w="40" w:type="dxa"/>
              <w:left w:w="0" w:type="dxa"/>
              <w:bottom w:w="40" w:type="dxa"/>
              <w:right w:w="20" w:type="dxa"/>
            </w:tcMar>
            <w:vAlign w:val="bottom"/>
          </w:tcPr>
          <w:p w14:paraId="71D42292" w14:textId="77777777" w:rsidR="006A3667" w:rsidRDefault="006A3667">
            <w:pPr>
              <w:jc w:val="right"/>
              <w:rPr>
                <w:rFonts w:ascii="宋体"/>
              </w:rPr>
            </w:pPr>
          </w:p>
        </w:tc>
        <w:tc>
          <w:tcPr>
            <w:tcW w:w="0" w:type="auto"/>
            <w:shd w:val="clear" w:color="auto" w:fill="auto"/>
            <w:vAlign w:val="bottom"/>
          </w:tcPr>
          <w:p w14:paraId="71D42293" w14:textId="77777777" w:rsidR="006A3667" w:rsidRDefault="006A3667">
            <w:pPr>
              <w:rPr>
                <w:rFonts w:ascii="宋体"/>
                <w:vanish/>
              </w:rPr>
            </w:pPr>
          </w:p>
        </w:tc>
        <w:tc>
          <w:tcPr>
            <w:tcW w:w="0" w:type="auto"/>
            <w:shd w:val="clear" w:color="auto" w:fill="auto"/>
            <w:vAlign w:val="bottom"/>
          </w:tcPr>
          <w:p w14:paraId="71D42294" w14:textId="77777777" w:rsidR="006A3667" w:rsidRDefault="006A3667">
            <w:pPr>
              <w:rPr>
                <w:rFonts w:ascii="宋体"/>
                <w:vanish/>
              </w:rPr>
            </w:pPr>
          </w:p>
        </w:tc>
      </w:tr>
      <w:tr w:rsidR="006A3667" w14:paraId="71D422A0" w14:textId="77777777">
        <w:trPr>
          <w:hidden/>
        </w:trPr>
        <w:tc>
          <w:tcPr>
            <w:tcW w:w="0" w:type="auto"/>
            <w:gridSpan w:val="3"/>
            <w:shd w:val="clear" w:color="auto" w:fill="auto"/>
            <w:vAlign w:val="bottom"/>
          </w:tcPr>
          <w:p w14:paraId="71D42296" w14:textId="77777777" w:rsidR="006A3667" w:rsidRDefault="006A3667">
            <w:pPr>
              <w:rPr>
                <w:rFonts w:ascii="宋体"/>
                <w:vanish/>
              </w:rPr>
            </w:pPr>
          </w:p>
        </w:tc>
        <w:tc>
          <w:tcPr>
            <w:tcW w:w="0" w:type="auto"/>
            <w:gridSpan w:val="3"/>
            <w:shd w:val="clear" w:color="auto" w:fill="auto"/>
            <w:vAlign w:val="bottom"/>
          </w:tcPr>
          <w:p w14:paraId="71D42297" w14:textId="77777777" w:rsidR="006A3667" w:rsidRDefault="006A3667">
            <w:pPr>
              <w:rPr>
                <w:rFonts w:ascii="宋体"/>
                <w:vanish/>
              </w:rPr>
            </w:pPr>
          </w:p>
        </w:tc>
        <w:tc>
          <w:tcPr>
            <w:tcW w:w="0" w:type="auto"/>
            <w:gridSpan w:val="3"/>
            <w:shd w:val="clear" w:color="auto" w:fill="auto"/>
            <w:vAlign w:val="bottom"/>
          </w:tcPr>
          <w:p w14:paraId="71D42298" w14:textId="77777777" w:rsidR="006A3667" w:rsidRDefault="006A3667">
            <w:pPr>
              <w:rPr>
                <w:rFonts w:ascii="宋体"/>
                <w:vanish/>
              </w:rPr>
            </w:pPr>
          </w:p>
        </w:tc>
        <w:tc>
          <w:tcPr>
            <w:tcW w:w="0" w:type="auto"/>
            <w:gridSpan w:val="3"/>
            <w:shd w:val="clear" w:color="auto" w:fill="auto"/>
            <w:vAlign w:val="bottom"/>
          </w:tcPr>
          <w:p w14:paraId="71D42299" w14:textId="77777777" w:rsidR="006A3667" w:rsidRDefault="006A3667">
            <w:pPr>
              <w:rPr>
                <w:rFonts w:ascii="宋体"/>
                <w:vanish/>
              </w:rPr>
            </w:pPr>
          </w:p>
        </w:tc>
        <w:tc>
          <w:tcPr>
            <w:tcW w:w="0" w:type="auto"/>
            <w:gridSpan w:val="3"/>
            <w:shd w:val="clear" w:color="auto" w:fill="auto"/>
            <w:vAlign w:val="bottom"/>
          </w:tcPr>
          <w:p w14:paraId="71D4229A" w14:textId="77777777" w:rsidR="006A3667" w:rsidRDefault="006A3667">
            <w:pPr>
              <w:rPr>
                <w:rFonts w:ascii="宋体"/>
                <w:vanish/>
              </w:rPr>
            </w:pPr>
          </w:p>
        </w:tc>
        <w:tc>
          <w:tcPr>
            <w:tcW w:w="0" w:type="auto"/>
            <w:gridSpan w:val="3"/>
            <w:shd w:val="clear" w:color="auto" w:fill="auto"/>
            <w:vAlign w:val="bottom"/>
          </w:tcPr>
          <w:p w14:paraId="71D4229B" w14:textId="77777777" w:rsidR="006A3667" w:rsidRDefault="006A3667">
            <w:pPr>
              <w:rPr>
                <w:rFonts w:ascii="宋体"/>
                <w:vanish/>
              </w:rPr>
            </w:pPr>
          </w:p>
        </w:tc>
        <w:tc>
          <w:tcPr>
            <w:tcW w:w="0" w:type="auto"/>
            <w:gridSpan w:val="3"/>
            <w:shd w:val="clear" w:color="auto" w:fill="auto"/>
            <w:vAlign w:val="bottom"/>
          </w:tcPr>
          <w:p w14:paraId="71D4229C" w14:textId="77777777" w:rsidR="006A3667" w:rsidRDefault="006A3667">
            <w:pPr>
              <w:rPr>
                <w:rFonts w:ascii="宋体"/>
                <w:vanish/>
              </w:rPr>
            </w:pPr>
          </w:p>
        </w:tc>
        <w:tc>
          <w:tcPr>
            <w:tcW w:w="0" w:type="auto"/>
            <w:gridSpan w:val="3"/>
            <w:shd w:val="clear" w:color="auto" w:fill="auto"/>
            <w:vAlign w:val="bottom"/>
          </w:tcPr>
          <w:p w14:paraId="71D4229D" w14:textId="77777777" w:rsidR="006A3667" w:rsidRDefault="006A3667">
            <w:pPr>
              <w:rPr>
                <w:rFonts w:ascii="宋体"/>
                <w:vanish/>
              </w:rPr>
            </w:pPr>
          </w:p>
        </w:tc>
        <w:tc>
          <w:tcPr>
            <w:tcW w:w="0" w:type="auto"/>
            <w:shd w:val="clear" w:color="auto" w:fill="auto"/>
            <w:vAlign w:val="bottom"/>
          </w:tcPr>
          <w:p w14:paraId="71D4229E" w14:textId="77777777" w:rsidR="006A3667" w:rsidRDefault="006A3667">
            <w:pPr>
              <w:rPr>
                <w:rFonts w:ascii="宋体"/>
                <w:vanish/>
              </w:rPr>
            </w:pPr>
          </w:p>
        </w:tc>
        <w:tc>
          <w:tcPr>
            <w:tcW w:w="0" w:type="auto"/>
            <w:shd w:val="clear" w:color="auto" w:fill="auto"/>
            <w:vAlign w:val="bottom"/>
          </w:tcPr>
          <w:p w14:paraId="71D4229F" w14:textId="77777777" w:rsidR="006A3667" w:rsidRDefault="006A3667">
            <w:pPr>
              <w:rPr>
                <w:rFonts w:ascii="宋体"/>
                <w:vanish/>
              </w:rPr>
            </w:pPr>
          </w:p>
        </w:tc>
      </w:tr>
      <w:tr w:rsidR="006A3667" w14:paraId="71D422AB" w14:textId="77777777">
        <w:trPr>
          <w:hidden/>
        </w:trPr>
        <w:tc>
          <w:tcPr>
            <w:tcW w:w="0" w:type="auto"/>
            <w:gridSpan w:val="3"/>
            <w:shd w:val="clear" w:color="auto" w:fill="auto"/>
            <w:vAlign w:val="bottom"/>
          </w:tcPr>
          <w:p w14:paraId="71D422A1" w14:textId="77777777" w:rsidR="006A3667" w:rsidRDefault="006A3667">
            <w:pPr>
              <w:rPr>
                <w:rFonts w:ascii="宋体"/>
                <w:vanish/>
              </w:rPr>
            </w:pPr>
          </w:p>
        </w:tc>
        <w:tc>
          <w:tcPr>
            <w:tcW w:w="0" w:type="auto"/>
            <w:gridSpan w:val="3"/>
            <w:shd w:val="clear" w:color="auto" w:fill="auto"/>
            <w:vAlign w:val="bottom"/>
          </w:tcPr>
          <w:p w14:paraId="71D422A2" w14:textId="77777777" w:rsidR="006A3667" w:rsidRDefault="006A3667">
            <w:pPr>
              <w:rPr>
                <w:rFonts w:ascii="宋体"/>
                <w:vanish/>
              </w:rPr>
            </w:pPr>
          </w:p>
        </w:tc>
        <w:tc>
          <w:tcPr>
            <w:tcW w:w="0" w:type="auto"/>
            <w:gridSpan w:val="3"/>
            <w:shd w:val="clear" w:color="auto" w:fill="auto"/>
            <w:vAlign w:val="bottom"/>
          </w:tcPr>
          <w:p w14:paraId="71D422A3" w14:textId="77777777" w:rsidR="006A3667" w:rsidRDefault="006A3667">
            <w:pPr>
              <w:rPr>
                <w:rFonts w:ascii="宋体"/>
                <w:vanish/>
              </w:rPr>
            </w:pPr>
          </w:p>
        </w:tc>
        <w:tc>
          <w:tcPr>
            <w:tcW w:w="0" w:type="auto"/>
            <w:gridSpan w:val="3"/>
            <w:shd w:val="clear" w:color="auto" w:fill="auto"/>
            <w:vAlign w:val="bottom"/>
          </w:tcPr>
          <w:p w14:paraId="71D422A4" w14:textId="77777777" w:rsidR="006A3667" w:rsidRDefault="006A3667">
            <w:pPr>
              <w:rPr>
                <w:rFonts w:ascii="宋体"/>
                <w:vanish/>
              </w:rPr>
            </w:pPr>
          </w:p>
        </w:tc>
        <w:tc>
          <w:tcPr>
            <w:tcW w:w="0" w:type="auto"/>
            <w:gridSpan w:val="3"/>
            <w:shd w:val="clear" w:color="auto" w:fill="auto"/>
            <w:vAlign w:val="bottom"/>
          </w:tcPr>
          <w:p w14:paraId="71D422A5" w14:textId="77777777" w:rsidR="006A3667" w:rsidRDefault="006A3667">
            <w:pPr>
              <w:rPr>
                <w:rFonts w:ascii="宋体"/>
                <w:vanish/>
              </w:rPr>
            </w:pPr>
          </w:p>
        </w:tc>
        <w:tc>
          <w:tcPr>
            <w:tcW w:w="0" w:type="auto"/>
            <w:gridSpan w:val="3"/>
            <w:shd w:val="clear" w:color="auto" w:fill="auto"/>
            <w:vAlign w:val="bottom"/>
          </w:tcPr>
          <w:p w14:paraId="71D422A6" w14:textId="77777777" w:rsidR="006A3667" w:rsidRDefault="006A3667">
            <w:pPr>
              <w:rPr>
                <w:rFonts w:ascii="宋体"/>
                <w:vanish/>
              </w:rPr>
            </w:pPr>
          </w:p>
        </w:tc>
        <w:tc>
          <w:tcPr>
            <w:tcW w:w="0" w:type="auto"/>
            <w:gridSpan w:val="3"/>
            <w:shd w:val="clear" w:color="auto" w:fill="auto"/>
            <w:vAlign w:val="bottom"/>
          </w:tcPr>
          <w:p w14:paraId="71D422A7" w14:textId="77777777" w:rsidR="006A3667" w:rsidRDefault="006A3667">
            <w:pPr>
              <w:rPr>
                <w:rFonts w:ascii="宋体"/>
                <w:vanish/>
              </w:rPr>
            </w:pPr>
          </w:p>
        </w:tc>
        <w:tc>
          <w:tcPr>
            <w:tcW w:w="0" w:type="auto"/>
            <w:gridSpan w:val="3"/>
            <w:shd w:val="clear" w:color="auto" w:fill="auto"/>
            <w:vAlign w:val="bottom"/>
          </w:tcPr>
          <w:p w14:paraId="71D422A8" w14:textId="77777777" w:rsidR="006A3667" w:rsidRDefault="006A3667">
            <w:pPr>
              <w:rPr>
                <w:rFonts w:ascii="宋体"/>
                <w:vanish/>
              </w:rPr>
            </w:pPr>
          </w:p>
        </w:tc>
        <w:tc>
          <w:tcPr>
            <w:tcW w:w="0" w:type="auto"/>
            <w:shd w:val="clear" w:color="auto" w:fill="auto"/>
            <w:vAlign w:val="bottom"/>
          </w:tcPr>
          <w:p w14:paraId="71D422A9" w14:textId="77777777" w:rsidR="006A3667" w:rsidRDefault="006A3667">
            <w:pPr>
              <w:rPr>
                <w:rFonts w:ascii="宋体"/>
                <w:vanish/>
              </w:rPr>
            </w:pPr>
          </w:p>
        </w:tc>
        <w:tc>
          <w:tcPr>
            <w:tcW w:w="0" w:type="auto"/>
            <w:shd w:val="clear" w:color="auto" w:fill="auto"/>
            <w:vAlign w:val="bottom"/>
          </w:tcPr>
          <w:p w14:paraId="71D422AA" w14:textId="77777777" w:rsidR="006A3667" w:rsidRDefault="006A3667">
            <w:pPr>
              <w:rPr>
                <w:rFonts w:ascii="宋体"/>
                <w:vanish/>
              </w:rPr>
            </w:pPr>
          </w:p>
        </w:tc>
      </w:tr>
      <w:tr w:rsidR="006A3667" w14:paraId="71D422B6" w14:textId="77777777">
        <w:trPr>
          <w:hidden/>
        </w:trPr>
        <w:tc>
          <w:tcPr>
            <w:tcW w:w="0" w:type="auto"/>
            <w:gridSpan w:val="3"/>
            <w:shd w:val="clear" w:color="auto" w:fill="auto"/>
            <w:vAlign w:val="bottom"/>
          </w:tcPr>
          <w:p w14:paraId="71D422AC" w14:textId="77777777" w:rsidR="006A3667" w:rsidRDefault="006A3667">
            <w:pPr>
              <w:rPr>
                <w:rFonts w:ascii="宋体"/>
                <w:vanish/>
              </w:rPr>
            </w:pPr>
          </w:p>
        </w:tc>
        <w:tc>
          <w:tcPr>
            <w:tcW w:w="0" w:type="auto"/>
            <w:gridSpan w:val="3"/>
            <w:shd w:val="clear" w:color="auto" w:fill="auto"/>
            <w:vAlign w:val="bottom"/>
          </w:tcPr>
          <w:p w14:paraId="71D422AD" w14:textId="77777777" w:rsidR="006A3667" w:rsidRDefault="006A3667">
            <w:pPr>
              <w:rPr>
                <w:rFonts w:ascii="宋体"/>
                <w:vanish/>
              </w:rPr>
            </w:pPr>
          </w:p>
        </w:tc>
        <w:tc>
          <w:tcPr>
            <w:tcW w:w="0" w:type="auto"/>
            <w:gridSpan w:val="3"/>
            <w:shd w:val="clear" w:color="auto" w:fill="auto"/>
            <w:vAlign w:val="bottom"/>
          </w:tcPr>
          <w:p w14:paraId="71D422AE" w14:textId="77777777" w:rsidR="006A3667" w:rsidRDefault="006A3667">
            <w:pPr>
              <w:rPr>
                <w:rFonts w:ascii="宋体"/>
                <w:vanish/>
              </w:rPr>
            </w:pPr>
          </w:p>
        </w:tc>
        <w:tc>
          <w:tcPr>
            <w:tcW w:w="0" w:type="auto"/>
            <w:gridSpan w:val="3"/>
            <w:shd w:val="clear" w:color="auto" w:fill="auto"/>
            <w:vAlign w:val="bottom"/>
          </w:tcPr>
          <w:p w14:paraId="71D422AF" w14:textId="77777777" w:rsidR="006A3667" w:rsidRDefault="006A3667">
            <w:pPr>
              <w:rPr>
                <w:rFonts w:ascii="宋体"/>
                <w:vanish/>
              </w:rPr>
            </w:pPr>
          </w:p>
        </w:tc>
        <w:tc>
          <w:tcPr>
            <w:tcW w:w="0" w:type="auto"/>
            <w:gridSpan w:val="3"/>
            <w:shd w:val="clear" w:color="auto" w:fill="auto"/>
            <w:vAlign w:val="bottom"/>
          </w:tcPr>
          <w:p w14:paraId="71D422B0" w14:textId="77777777" w:rsidR="006A3667" w:rsidRDefault="006A3667">
            <w:pPr>
              <w:rPr>
                <w:rFonts w:ascii="宋体"/>
                <w:vanish/>
              </w:rPr>
            </w:pPr>
          </w:p>
        </w:tc>
        <w:tc>
          <w:tcPr>
            <w:tcW w:w="0" w:type="auto"/>
            <w:gridSpan w:val="3"/>
            <w:shd w:val="clear" w:color="auto" w:fill="auto"/>
            <w:vAlign w:val="bottom"/>
          </w:tcPr>
          <w:p w14:paraId="71D422B1" w14:textId="77777777" w:rsidR="006A3667" w:rsidRDefault="006A3667">
            <w:pPr>
              <w:rPr>
                <w:rFonts w:ascii="宋体"/>
                <w:vanish/>
              </w:rPr>
            </w:pPr>
          </w:p>
        </w:tc>
        <w:tc>
          <w:tcPr>
            <w:tcW w:w="0" w:type="auto"/>
            <w:gridSpan w:val="3"/>
            <w:shd w:val="clear" w:color="auto" w:fill="auto"/>
            <w:vAlign w:val="bottom"/>
          </w:tcPr>
          <w:p w14:paraId="71D422B2" w14:textId="77777777" w:rsidR="006A3667" w:rsidRDefault="006A3667">
            <w:pPr>
              <w:rPr>
                <w:rFonts w:ascii="宋体"/>
                <w:vanish/>
              </w:rPr>
            </w:pPr>
          </w:p>
        </w:tc>
        <w:tc>
          <w:tcPr>
            <w:tcW w:w="0" w:type="auto"/>
            <w:gridSpan w:val="3"/>
            <w:shd w:val="clear" w:color="auto" w:fill="auto"/>
            <w:vAlign w:val="bottom"/>
          </w:tcPr>
          <w:p w14:paraId="71D422B3" w14:textId="77777777" w:rsidR="006A3667" w:rsidRDefault="006A3667">
            <w:pPr>
              <w:rPr>
                <w:rFonts w:ascii="宋体"/>
                <w:vanish/>
              </w:rPr>
            </w:pPr>
          </w:p>
        </w:tc>
        <w:tc>
          <w:tcPr>
            <w:tcW w:w="0" w:type="auto"/>
            <w:shd w:val="clear" w:color="auto" w:fill="auto"/>
            <w:vAlign w:val="bottom"/>
          </w:tcPr>
          <w:p w14:paraId="71D422B4" w14:textId="77777777" w:rsidR="006A3667" w:rsidRDefault="006A3667">
            <w:pPr>
              <w:rPr>
                <w:rFonts w:ascii="宋体"/>
                <w:vanish/>
              </w:rPr>
            </w:pPr>
          </w:p>
        </w:tc>
        <w:tc>
          <w:tcPr>
            <w:tcW w:w="0" w:type="auto"/>
            <w:shd w:val="clear" w:color="auto" w:fill="auto"/>
            <w:vAlign w:val="bottom"/>
          </w:tcPr>
          <w:p w14:paraId="71D422B5" w14:textId="77777777" w:rsidR="006A3667" w:rsidRDefault="006A3667">
            <w:pPr>
              <w:rPr>
                <w:rFonts w:ascii="宋体"/>
                <w:vanish/>
              </w:rPr>
            </w:pPr>
          </w:p>
        </w:tc>
      </w:tr>
    </w:tbl>
    <w:p w14:paraId="71D422B7" w14:textId="77777777" w:rsidR="006A3667" w:rsidRDefault="006A3667">
      <w:pPr>
        <w:spacing w:before="90"/>
      </w:pPr>
    </w:p>
    <w:p w14:paraId="71D422B8" w14:textId="77777777" w:rsidR="006A3667" w:rsidRDefault="006A3667">
      <w:pPr>
        <w:ind w:firstLine="450"/>
      </w:pPr>
    </w:p>
    <w:p w14:paraId="71D422B9" w14:textId="77777777" w:rsidR="006A3667" w:rsidRDefault="006A3667">
      <w:pPr>
        <w:ind w:firstLine="450"/>
      </w:pPr>
    </w:p>
    <w:p w14:paraId="71D422BA" w14:textId="77777777" w:rsidR="006A3667" w:rsidRDefault="006A3667">
      <w:pPr>
        <w:ind w:firstLine="450"/>
      </w:pPr>
    </w:p>
    <w:p w14:paraId="71D422BB" w14:textId="77777777" w:rsidR="006A3667" w:rsidRDefault="006A3667">
      <w:pPr>
        <w:ind w:firstLine="450"/>
      </w:pPr>
    </w:p>
    <w:p w14:paraId="71D422BC" w14:textId="77777777" w:rsidR="006A3667" w:rsidRDefault="006A3667">
      <w:pPr>
        <w:ind w:firstLine="450"/>
      </w:pPr>
    </w:p>
    <w:p w14:paraId="71D422BD" w14:textId="77777777" w:rsidR="006A3667" w:rsidRDefault="006A3667">
      <w:pPr>
        <w:spacing w:before="90"/>
      </w:pPr>
    </w:p>
    <w:p w14:paraId="71D422BE" w14:textId="77777777" w:rsidR="006A3667" w:rsidRDefault="00045F32">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1D422BF" w14:textId="77777777" w:rsidR="006A3667" w:rsidRDefault="00045F32">
      <w:pPr>
        <w:ind w:firstLine="450"/>
        <w:jc w:val="right"/>
      </w:pPr>
      <w:r>
        <w:rPr>
          <w:rFonts w:ascii="Arial" w:eastAsia="宋体" w:hAnsi="Arial" w:cs="Arial"/>
          <w:color w:val="000000"/>
          <w:sz w:val="18"/>
          <w:szCs w:val="18"/>
        </w:rPr>
        <w:t>State Street Corporation | 54</w:t>
      </w:r>
    </w:p>
    <w:p w14:paraId="71D422C0" w14:textId="77777777" w:rsidR="006A3667" w:rsidRDefault="006A3667">
      <w:pPr>
        <w:ind w:firstLine="450"/>
        <w:jc w:val="center"/>
      </w:pPr>
    </w:p>
    <w:p w14:paraId="71D422C1" w14:textId="77777777" w:rsidR="006A3667" w:rsidRDefault="00045F32">
      <w:r>
        <w:pict w14:anchorId="71D4AC4A">
          <v:rect id="_x0000_i1078" style="width:415.3pt;height:1.5pt" o:hralign="center" o:hrstd="t" o:hr="t" fillcolor="#a0a0a0" stroked="f"/>
        </w:pict>
      </w:r>
    </w:p>
    <w:p w14:paraId="71D422C2" w14:textId="77777777" w:rsidR="006A3667" w:rsidRDefault="006A3667">
      <w:pPr>
        <w:ind w:firstLine="450"/>
      </w:pPr>
    </w:p>
    <w:p w14:paraId="71D422C3" w14:textId="77777777" w:rsidR="006A3667" w:rsidRDefault="006A3667">
      <w:pPr>
        <w:ind w:firstLine="450"/>
        <w:jc w:val="center"/>
      </w:pPr>
    </w:p>
    <w:p w14:paraId="71D422C4" w14:textId="77777777" w:rsidR="006A3667" w:rsidRDefault="00045F32">
      <w:pPr>
        <w:ind w:firstLine="450"/>
        <w:jc w:val="center"/>
      </w:pPr>
      <w:r>
        <w:rPr>
          <w:rFonts w:ascii="Arial" w:eastAsia="宋体" w:hAnsi="Arial" w:cs="Arial"/>
          <w:b/>
          <w:bCs/>
          <w:color w:val="000000"/>
          <w:sz w:val="20"/>
          <w:szCs w:val="20"/>
        </w:rPr>
        <w:t>STATE STREET CORPORATION</w:t>
      </w:r>
    </w:p>
    <w:p w14:paraId="71D422C5" w14:textId="77777777" w:rsidR="006A3667" w:rsidRDefault="00045F32">
      <w:pPr>
        <w:ind w:firstLine="450"/>
        <w:jc w:val="center"/>
      </w:pPr>
      <w:r>
        <w:rPr>
          <w:rFonts w:ascii="Arial" w:eastAsia="宋体" w:hAnsi="Arial" w:cs="Arial"/>
          <w:b/>
          <w:bCs/>
          <w:color w:val="000000"/>
          <w:sz w:val="20"/>
          <w:szCs w:val="20"/>
        </w:rPr>
        <w:t>CONSOLIDATED STATEMENT OF COMPREHENSIVE INCOME (LOSS)</w:t>
      </w:r>
    </w:p>
    <w:p w14:paraId="71D422C6" w14:textId="77777777" w:rsidR="006A3667" w:rsidRDefault="00045F32">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458"/>
        <w:gridCol w:w="36"/>
        <w:gridCol w:w="121"/>
        <w:gridCol w:w="1101"/>
        <w:gridCol w:w="36"/>
        <w:gridCol w:w="36"/>
        <w:gridCol w:w="36"/>
        <w:gridCol w:w="36"/>
        <w:gridCol w:w="121"/>
        <w:gridCol w:w="1065"/>
        <w:gridCol w:w="36"/>
        <w:gridCol w:w="36"/>
        <w:gridCol w:w="36"/>
        <w:gridCol w:w="36"/>
        <w:gridCol w:w="36"/>
        <w:gridCol w:w="36"/>
        <w:gridCol w:w="36"/>
      </w:tblGrid>
      <w:tr w:rsidR="006A3667" w14:paraId="71D422D5" w14:textId="77777777">
        <w:tc>
          <w:tcPr>
            <w:tcW w:w="50" w:type="pct"/>
            <w:shd w:val="clear" w:color="auto" w:fill="auto"/>
            <w:vAlign w:val="bottom"/>
          </w:tcPr>
          <w:p w14:paraId="71D422C7" w14:textId="77777777" w:rsidR="006A3667" w:rsidRDefault="006A3667">
            <w:pPr>
              <w:rPr>
                <w:rFonts w:ascii="宋体"/>
              </w:rPr>
            </w:pPr>
          </w:p>
        </w:tc>
        <w:tc>
          <w:tcPr>
            <w:tcW w:w="3387" w:type="pct"/>
            <w:shd w:val="clear" w:color="auto" w:fill="auto"/>
            <w:vAlign w:val="bottom"/>
          </w:tcPr>
          <w:p w14:paraId="71D422C8" w14:textId="77777777" w:rsidR="006A3667" w:rsidRDefault="006A3667">
            <w:pPr>
              <w:rPr>
                <w:rFonts w:ascii="宋体"/>
              </w:rPr>
            </w:pPr>
          </w:p>
        </w:tc>
        <w:tc>
          <w:tcPr>
            <w:tcW w:w="5" w:type="pct"/>
            <w:shd w:val="clear" w:color="auto" w:fill="auto"/>
            <w:vAlign w:val="bottom"/>
          </w:tcPr>
          <w:p w14:paraId="71D422C9" w14:textId="77777777" w:rsidR="006A3667" w:rsidRDefault="006A3667">
            <w:pPr>
              <w:rPr>
                <w:rFonts w:ascii="宋体"/>
              </w:rPr>
            </w:pPr>
          </w:p>
        </w:tc>
        <w:tc>
          <w:tcPr>
            <w:tcW w:w="50" w:type="pct"/>
            <w:shd w:val="clear" w:color="auto" w:fill="auto"/>
            <w:vAlign w:val="bottom"/>
          </w:tcPr>
          <w:p w14:paraId="71D422CA" w14:textId="77777777" w:rsidR="006A3667" w:rsidRDefault="006A3667">
            <w:pPr>
              <w:rPr>
                <w:rFonts w:ascii="宋体"/>
              </w:rPr>
            </w:pPr>
          </w:p>
        </w:tc>
        <w:tc>
          <w:tcPr>
            <w:tcW w:w="705" w:type="pct"/>
            <w:shd w:val="clear" w:color="auto" w:fill="auto"/>
            <w:vAlign w:val="bottom"/>
          </w:tcPr>
          <w:p w14:paraId="71D422CB" w14:textId="77777777" w:rsidR="006A3667" w:rsidRDefault="006A3667">
            <w:pPr>
              <w:rPr>
                <w:rFonts w:ascii="宋体"/>
              </w:rPr>
            </w:pPr>
          </w:p>
        </w:tc>
        <w:tc>
          <w:tcPr>
            <w:tcW w:w="5" w:type="pct"/>
            <w:shd w:val="clear" w:color="auto" w:fill="auto"/>
            <w:vAlign w:val="bottom"/>
          </w:tcPr>
          <w:p w14:paraId="71D422CC" w14:textId="77777777" w:rsidR="006A3667" w:rsidRDefault="006A3667">
            <w:pPr>
              <w:rPr>
                <w:rFonts w:ascii="宋体"/>
              </w:rPr>
            </w:pPr>
          </w:p>
        </w:tc>
        <w:tc>
          <w:tcPr>
            <w:tcW w:w="5" w:type="pct"/>
            <w:shd w:val="clear" w:color="auto" w:fill="auto"/>
            <w:vAlign w:val="bottom"/>
          </w:tcPr>
          <w:p w14:paraId="71D422CD" w14:textId="77777777" w:rsidR="006A3667" w:rsidRDefault="006A3667">
            <w:pPr>
              <w:rPr>
                <w:rFonts w:ascii="宋体"/>
              </w:rPr>
            </w:pPr>
          </w:p>
        </w:tc>
        <w:tc>
          <w:tcPr>
            <w:tcW w:w="26" w:type="pct"/>
            <w:shd w:val="clear" w:color="auto" w:fill="auto"/>
            <w:vAlign w:val="bottom"/>
          </w:tcPr>
          <w:p w14:paraId="71D422CE" w14:textId="77777777" w:rsidR="006A3667" w:rsidRDefault="006A3667">
            <w:pPr>
              <w:rPr>
                <w:rFonts w:ascii="宋体"/>
              </w:rPr>
            </w:pPr>
          </w:p>
        </w:tc>
        <w:tc>
          <w:tcPr>
            <w:tcW w:w="5" w:type="pct"/>
            <w:shd w:val="clear" w:color="auto" w:fill="auto"/>
            <w:vAlign w:val="bottom"/>
          </w:tcPr>
          <w:p w14:paraId="71D422CF" w14:textId="77777777" w:rsidR="006A3667" w:rsidRDefault="006A3667">
            <w:pPr>
              <w:rPr>
                <w:rFonts w:ascii="宋体"/>
              </w:rPr>
            </w:pPr>
          </w:p>
        </w:tc>
        <w:tc>
          <w:tcPr>
            <w:tcW w:w="50" w:type="pct"/>
            <w:shd w:val="clear" w:color="auto" w:fill="auto"/>
            <w:vAlign w:val="bottom"/>
          </w:tcPr>
          <w:p w14:paraId="71D422D0" w14:textId="77777777" w:rsidR="006A3667" w:rsidRDefault="006A3667">
            <w:pPr>
              <w:rPr>
                <w:rFonts w:ascii="宋体"/>
              </w:rPr>
            </w:pPr>
          </w:p>
        </w:tc>
        <w:tc>
          <w:tcPr>
            <w:tcW w:w="705" w:type="pct"/>
            <w:shd w:val="clear" w:color="auto" w:fill="auto"/>
            <w:vAlign w:val="bottom"/>
          </w:tcPr>
          <w:p w14:paraId="71D422D1" w14:textId="77777777" w:rsidR="006A3667" w:rsidRDefault="006A3667">
            <w:pPr>
              <w:rPr>
                <w:rFonts w:ascii="宋体"/>
              </w:rPr>
            </w:pPr>
          </w:p>
        </w:tc>
        <w:tc>
          <w:tcPr>
            <w:tcW w:w="5" w:type="pct"/>
            <w:shd w:val="clear" w:color="auto" w:fill="auto"/>
            <w:vAlign w:val="bottom"/>
          </w:tcPr>
          <w:p w14:paraId="71D422D2" w14:textId="77777777" w:rsidR="006A3667" w:rsidRDefault="006A3667">
            <w:pPr>
              <w:rPr>
                <w:rFonts w:ascii="宋体"/>
              </w:rPr>
            </w:pPr>
          </w:p>
        </w:tc>
        <w:tc>
          <w:tcPr>
            <w:tcW w:w="0" w:type="auto"/>
            <w:gridSpan w:val="3"/>
            <w:shd w:val="clear" w:color="auto" w:fill="auto"/>
            <w:vAlign w:val="bottom"/>
          </w:tcPr>
          <w:p w14:paraId="71D422D3" w14:textId="77777777" w:rsidR="006A3667" w:rsidRDefault="006A3667">
            <w:pPr>
              <w:rPr>
                <w:rFonts w:ascii="宋体"/>
                <w:vanish/>
              </w:rPr>
            </w:pPr>
          </w:p>
        </w:tc>
        <w:tc>
          <w:tcPr>
            <w:tcW w:w="0" w:type="auto"/>
            <w:gridSpan w:val="3"/>
            <w:shd w:val="clear" w:color="auto" w:fill="auto"/>
            <w:vAlign w:val="bottom"/>
          </w:tcPr>
          <w:p w14:paraId="71D422D4" w14:textId="77777777" w:rsidR="006A3667" w:rsidRDefault="006A3667">
            <w:pPr>
              <w:rPr>
                <w:rFonts w:ascii="宋体"/>
                <w:vanish/>
              </w:rPr>
            </w:pPr>
          </w:p>
        </w:tc>
      </w:tr>
      <w:tr w:rsidR="006A3667" w14:paraId="71D422DE" w14:textId="77777777">
        <w:tc>
          <w:tcPr>
            <w:tcW w:w="0" w:type="auto"/>
            <w:gridSpan w:val="3"/>
            <w:shd w:val="clear" w:color="auto" w:fill="auto"/>
            <w:tcMar>
              <w:top w:w="0" w:type="dxa"/>
              <w:left w:w="20" w:type="dxa"/>
              <w:bottom w:w="0" w:type="dxa"/>
              <w:right w:w="20" w:type="dxa"/>
            </w:tcMar>
            <w:vAlign w:val="bottom"/>
          </w:tcPr>
          <w:p w14:paraId="71D422D6"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22D7" w14:textId="77777777" w:rsidR="006A3667" w:rsidRDefault="00045F32">
            <w:pPr>
              <w:jc w:val="center"/>
              <w:textAlignment w:val="bottom"/>
            </w:pPr>
            <w:r>
              <w:rPr>
                <w:rFonts w:ascii="Arial" w:eastAsia="宋体" w:hAnsi="Arial" w:cs="Arial"/>
                <w:b/>
                <w:bCs/>
                <w:color w:val="000000"/>
                <w:sz w:val="18"/>
                <w:szCs w:val="18"/>
              </w:rPr>
              <w:t xml:space="preserve">Three </w:t>
            </w:r>
            <w:r>
              <w:rPr>
                <w:rFonts w:ascii="Arial" w:eastAsia="宋体" w:hAnsi="Arial" w:cs="Arial"/>
                <w:b/>
                <w:bCs/>
                <w:color w:val="000000"/>
                <w:sz w:val="18"/>
                <w:szCs w:val="18"/>
              </w:rPr>
              <w:t>Months Ended September 30,</w:t>
            </w:r>
          </w:p>
        </w:tc>
        <w:tc>
          <w:tcPr>
            <w:tcW w:w="0" w:type="auto"/>
            <w:shd w:val="clear" w:color="auto" w:fill="auto"/>
            <w:vAlign w:val="bottom"/>
          </w:tcPr>
          <w:p w14:paraId="71D422D8" w14:textId="77777777" w:rsidR="006A3667" w:rsidRDefault="006A3667">
            <w:pPr>
              <w:rPr>
                <w:rFonts w:ascii="宋体"/>
              </w:rPr>
            </w:pPr>
          </w:p>
        </w:tc>
        <w:tc>
          <w:tcPr>
            <w:tcW w:w="0" w:type="auto"/>
            <w:shd w:val="clear" w:color="auto" w:fill="auto"/>
            <w:vAlign w:val="bottom"/>
          </w:tcPr>
          <w:p w14:paraId="71D422D9" w14:textId="77777777" w:rsidR="006A3667" w:rsidRDefault="006A3667">
            <w:pPr>
              <w:rPr>
                <w:rFonts w:ascii="宋体"/>
              </w:rPr>
            </w:pPr>
          </w:p>
        </w:tc>
        <w:tc>
          <w:tcPr>
            <w:tcW w:w="0" w:type="auto"/>
            <w:shd w:val="clear" w:color="auto" w:fill="auto"/>
            <w:vAlign w:val="bottom"/>
          </w:tcPr>
          <w:p w14:paraId="71D422DA" w14:textId="77777777" w:rsidR="006A3667" w:rsidRDefault="006A3667">
            <w:pPr>
              <w:rPr>
                <w:rFonts w:ascii="宋体"/>
              </w:rPr>
            </w:pPr>
          </w:p>
        </w:tc>
        <w:tc>
          <w:tcPr>
            <w:tcW w:w="0" w:type="auto"/>
            <w:shd w:val="clear" w:color="auto" w:fill="auto"/>
            <w:vAlign w:val="bottom"/>
          </w:tcPr>
          <w:p w14:paraId="71D422DB" w14:textId="77777777" w:rsidR="006A3667" w:rsidRDefault="006A3667">
            <w:pPr>
              <w:rPr>
                <w:rFonts w:ascii="宋体"/>
              </w:rPr>
            </w:pPr>
          </w:p>
        </w:tc>
        <w:tc>
          <w:tcPr>
            <w:tcW w:w="0" w:type="auto"/>
            <w:shd w:val="clear" w:color="auto" w:fill="auto"/>
            <w:vAlign w:val="bottom"/>
          </w:tcPr>
          <w:p w14:paraId="71D422DC" w14:textId="77777777" w:rsidR="006A3667" w:rsidRDefault="006A3667">
            <w:pPr>
              <w:rPr>
                <w:rFonts w:ascii="宋体"/>
              </w:rPr>
            </w:pPr>
          </w:p>
        </w:tc>
        <w:tc>
          <w:tcPr>
            <w:tcW w:w="0" w:type="auto"/>
            <w:shd w:val="clear" w:color="auto" w:fill="auto"/>
            <w:vAlign w:val="bottom"/>
          </w:tcPr>
          <w:p w14:paraId="71D422DD" w14:textId="77777777" w:rsidR="006A3667" w:rsidRDefault="006A3667">
            <w:pPr>
              <w:rPr>
                <w:rFonts w:ascii="宋体"/>
              </w:rPr>
            </w:pPr>
          </w:p>
        </w:tc>
      </w:tr>
      <w:tr w:rsidR="006A3667" w14:paraId="71D422E5" w14:textId="77777777">
        <w:tc>
          <w:tcPr>
            <w:tcW w:w="0" w:type="auto"/>
            <w:gridSpan w:val="3"/>
            <w:shd w:val="clear" w:color="auto" w:fill="auto"/>
            <w:tcMar>
              <w:top w:w="40" w:type="dxa"/>
              <w:left w:w="20" w:type="dxa"/>
              <w:bottom w:w="40" w:type="dxa"/>
              <w:right w:w="20" w:type="dxa"/>
            </w:tcMar>
            <w:vAlign w:val="bottom"/>
          </w:tcPr>
          <w:p w14:paraId="71D422DF" w14:textId="77777777" w:rsidR="006A3667" w:rsidRDefault="00045F32">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2E0" w14:textId="77777777" w:rsidR="006A3667" w:rsidRDefault="00045F32">
            <w:pPr>
              <w:jc w:val="center"/>
              <w:textAlignment w:val="bottom"/>
            </w:pPr>
            <w:r>
              <w:rPr>
                <w:rFonts w:ascii="Arial" w:eastAsia="宋体" w:hAnsi="Arial" w:cs="Arial"/>
                <w:b/>
                <w:bCs/>
                <w:color w:val="000000"/>
                <w:sz w:val="18"/>
                <w:szCs w:val="18"/>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2E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2E2" w14:textId="77777777" w:rsidR="006A3667" w:rsidRDefault="00045F32">
            <w:pPr>
              <w:jc w:val="center"/>
              <w:textAlignment w:val="bottom"/>
            </w:pPr>
            <w:r>
              <w:rPr>
                <w:rFonts w:ascii="Arial" w:eastAsia="宋体" w:hAnsi="Arial" w:cs="Arial"/>
                <w:b/>
                <w:bCs/>
                <w:color w:val="000000"/>
                <w:sz w:val="18"/>
                <w:szCs w:val="18"/>
              </w:rPr>
              <w:t>2021</w:t>
            </w:r>
          </w:p>
        </w:tc>
        <w:tc>
          <w:tcPr>
            <w:tcW w:w="0" w:type="auto"/>
            <w:gridSpan w:val="3"/>
            <w:shd w:val="clear" w:color="auto" w:fill="auto"/>
            <w:vAlign w:val="bottom"/>
          </w:tcPr>
          <w:p w14:paraId="71D422E3" w14:textId="77777777" w:rsidR="006A3667" w:rsidRDefault="006A3667">
            <w:pPr>
              <w:rPr>
                <w:rFonts w:ascii="宋体"/>
                <w:vanish/>
              </w:rPr>
            </w:pPr>
          </w:p>
        </w:tc>
        <w:tc>
          <w:tcPr>
            <w:tcW w:w="0" w:type="auto"/>
            <w:gridSpan w:val="3"/>
            <w:shd w:val="clear" w:color="auto" w:fill="auto"/>
            <w:vAlign w:val="bottom"/>
          </w:tcPr>
          <w:p w14:paraId="71D422E4" w14:textId="77777777" w:rsidR="006A3667" w:rsidRDefault="006A3667">
            <w:pPr>
              <w:rPr>
                <w:rFonts w:ascii="宋体"/>
                <w:vanish/>
              </w:rPr>
            </w:pPr>
          </w:p>
        </w:tc>
      </w:tr>
      <w:tr w:rsidR="006A3667" w14:paraId="71D422F0" w14:textId="77777777">
        <w:tc>
          <w:tcPr>
            <w:tcW w:w="0" w:type="auto"/>
            <w:gridSpan w:val="3"/>
            <w:shd w:val="clear" w:color="auto" w:fill="CCEEFF"/>
            <w:tcMar>
              <w:top w:w="40" w:type="dxa"/>
              <w:left w:w="20" w:type="dxa"/>
              <w:bottom w:w="40" w:type="dxa"/>
              <w:right w:w="20" w:type="dxa"/>
            </w:tcMar>
            <w:vAlign w:val="bottom"/>
          </w:tcPr>
          <w:p w14:paraId="71D422E6" w14:textId="77777777" w:rsidR="006A3667" w:rsidRDefault="00045F32">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22E7" w14:textId="77777777" w:rsidR="006A3667" w:rsidRDefault="00045F32">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2E8" w14:textId="77777777" w:rsidR="006A3667" w:rsidRDefault="00045F32">
            <w:pPr>
              <w:jc w:val="right"/>
              <w:textAlignment w:val="bottom"/>
            </w:pPr>
            <w:r>
              <w:rPr>
                <w:rFonts w:ascii="Arial" w:eastAsia="宋体" w:hAnsi="Arial" w:cs="Arial"/>
                <w:b/>
                <w:bCs/>
                <w:color w:val="000000"/>
                <w:sz w:val="18"/>
                <w:szCs w:val="18"/>
              </w:rPr>
              <w:t>690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2E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E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2EB" w14:textId="77777777" w:rsidR="006A3667" w:rsidRDefault="00045F3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2EC" w14:textId="77777777" w:rsidR="006A3667" w:rsidRDefault="00045F32">
            <w:pPr>
              <w:jc w:val="right"/>
              <w:textAlignment w:val="bottom"/>
            </w:pPr>
            <w:r>
              <w:rPr>
                <w:rFonts w:ascii="Arial" w:eastAsia="宋体" w:hAnsi="Arial" w:cs="Arial"/>
                <w:color w:val="000000"/>
                <w:sz w:val="18"/>
                <w:szCs w:val="18"/>
              </w:rPr>
              <w:t>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2ED" w14:textId="77777777" w:rsidR="006A3667" w:rsidRDefault="006A3667">
            <w:pPr>
              <w:jc w:val="right"/>
              <w:rPr>
                <w:rFonts w:ascii="宋体"/>
              </w:rPr>
            </w:pPr>
          </w:p>
        </w:tc>
        <w:tc>
          <w:tcPr>
            <w:tcW w:w="0" w:type="auto"/>
            <w:gridSpan w:val="3"/>
            <w:shd w:val="clear" w:color="auto" w:fill="auto"/>
            <w:vAlign w:val="bottom"/>
          </w:tcPr>
          <w:p w14:paraId="71D422EE" w14:textId="77777777" w:rsidR="006A3667" w:rsidRDefault="006A3667">
            <w:pPr>
              <w:rPr>
                <w:rFonts w:ascii="宋体"/>
                <w:vanish/>
              </w:rPr>
            </w:pPr>
          </w:p>
        </w:tc>
        <w:tc>
          <w:tcPr>
            <w:tcW w:w="0" w:type="auto"/>
            <w:gridSpan w:val="3"/>
            <w:shd w:val="clear" w:color="auto" w:fill="auto"/>
            <w:vAlign w:val="bottom"/>
          </w:tcPr>
          <w:p w14:paraId="71D422EF" w14:textId="77777777" w:rsidR="006A3667" w:rsidRDefault="006A3667">
            <w:pPr>
              <w:rPr>
                <w:rFonts w:ascii="宋体"/>
                <w:vanish/>
              </w:rPr>
            </w:pPr>
          </w:p>
        </w:tc>
      </w:tr>
      <w:tr w:rsidR="006A3667" w14:paraId="71D422F7" w14:textId="77777777">
        <w:tc>
          <w:tcPr>
            <w:tcW w:w="0" w:type="auto"/>
            <w:gridSpan w:val="3"/>
            <w:shd w:val="clear" w:color="auto" w:fill="FFFFFF"/>
            <w:tcMar>
              <w:top w:w="40" w:type="dxa"/>
              <w:left w:w="20" w:type="dxa"/>
              <w:bottom w:w="40" w:type="dxa"/>
              <w:right w:w="20" w:type="dxa"/>
            </w:tcMar>
            <w:vAlign w:val="bottom"/>
          </w:tcPr>
          <w:p w14:paraId="71D422F1" w14:textId="77777777" w:rsidR="006A3667" w:rsidRDefault="00045F32">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vAlign w:val="bottom"/>
          </w:tcPr>
          <w:p w14:paraId="71D422F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2F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2F4" w14:textId="77777777" w:rsidR="006A3667" w:rsidRDefault="006A3667">
            <w:pPr>
              <w:rPr>
                <w:rFonts w:ascii="宋体"/>
              </w:rPr>
            </w:pPr>
          </w:p>
        </w:tc>
        <w:tc>
          <w:tcPr>
            <w:tcW w:w="0" w:type="auto"/>
            <w:gridSpan w:val="3"/>
            <w:shd w:val="clear" w:color="auto" w:fill="auto"/>
            <w:vAlign w:val="bottom"/>
          </w:tcPr>
          <w:p w14:paraId="71D422F5" w14:textId="77777777" w:rsidR="006A3667" w:rsidRDefault="006A3667">
            <w:pPr>
              <w:rPr>
                <w:rFonts w:ascii="宋体"/>
                <w:vanish/>
              </w:rPr>
            </w:pPr>
          </w:p>
        </w:tc>
        <w:tc>
          <w:tcPr>
            <w:tcW w:w="0" w:type="auto"/>
            <w:gridSpan w:val="3"/>
            <w:shd w:val="clear" w:color="auto" w:fill="auto"/>
            <w:vAlign w:val="bottom"/>
          </w:tcPr>
          <w:p w14:paraId="71D422F6" w14:textId="77777777" w:rsidR="006A3667" w:rsidRDefault="006A3667">
            <w:pPr>
              <w:rPr>
                <w:rFonts w:ascii="宋体"/>
                <w:vanish/>
              </w:rPr>
            </w:pPr>
          </w:p>
        </w:tc>
      </w:tr>
      <w:tr w:rsidR="006A3667" w14:paraId="71D42300" w14:textId="77777777">
        <w:tc>
          <w:tcPr>
            <w:tcW w:w="0" w:type="auto"/>
            <w:gridSpan w:val="3"/>
            <w:shd w:val="clear" w:color="auto" w:fill="CCEEFF"/>
            <w:tcMar>
              <w:top w:w="40" w:type="dxa"/>
              <w:left w:w="20" w:type="dxa"/>
              <w:bottom w:w="40" w:type="dxa"/>
              <w:right w:w="20" w:type="dxa"/>
            </w:tcMar>
            <w:vAlign w:val="bottom"/>
          </w:tcPr>
          <w:p w14:paraId="71D422F8" w14:textId="77777777" w:rsidR="006A3667" w:rsidRDefault="00045F32">
            <w:pPr>
              <w:jc w:val="both"/>
              <w:textAlignment w:val="bottom"/>
            </w:pPr>
            <w:r>
              <w:rPr>
                <w:rFonts w:ascii="Arial" w:eastAsia="宋体" w:hAnsi="Arial" w:cs="Arial"/>
                <w:color w:val="000000"/>
                <w:sz w:val="18"/>
                <w:szCs w:val="18"/>
              </w:rPr>
              <w:t>Foreign currency translation, net of related taxes of $101 and $18, respectively</w:t>
            </w:r>
          </w:p>
        </w:tc>
        <w:tc>
          <w:tcPr>
            <w:tcW w:w="0" w:type="auto"/>
            <w:gridSpan w:val="2"/>
            <w:shd w:val="clear" w:color="auto" w:fill="CCEEFF"/>
            <w:tcMar>
              <w:top w:w="40" w:type="dxa"/>
              <w:left w:w="20" w:type="dxa"/>
              <w:bottom w:w="40" w:type="dxa"/>
              <w:right w:w="0" w:type="dxa"/>
            </w:tcMar>
            <w:vAlign w:val="bottom"/>
          </w:tcPr>
          <w:p w14:paraId="71D422F9" w14:textId="77777777" w:rsidR="006A3667" w:rsidRDefault="00045F32">
            <w:pPr>
              <w:jc w:val="right"/>
              <w:textAlignment w:val="bottom"/>
            </w:pPr>
            <w:r>
              <w:rPr>
                <w:rFonts w:ascii="Arial" w:eastAsia="宋体" w:hAnsi="Arial" w:cs="Arial"/>
                <w:b/>
                <w:bCs/>
                <w:color w:val="000000"/>
                <w:sz w:val="18"/>
                <w:szCs w:val="18"/>
              </w:rPr>
              <w:t>(302)</w:t>
            </w:r>
          </w:p>
        </w:tc>
        <w:tc>
          <w:tcPr>
            <w:tcW w:w="0" w:type="auto"/>
            <w:shd w:val="clear" w:color="auto" w:fill="CCEEFF"/>
            <w:tcMar>
              <w:top w:w="40" w:type="dxa"/>
              <w:left w:w="0" w:type="dxa"/>
              <w:bottom w:w="40" w:type="dxa"/>
              <w:right w:w="20" w:type="dxa"/>
            </w:tcMar>
            <w:vAlign w:val="bottom"/>
          </w:tcPr>
          <w:p w14:paraId="71D422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2F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2FC" w14:textId="77777777" w:rsidR="006A3667" w:rsidRDefault="00045F32">
            <w:pPr>
              <w:jc w:val="right"/>
              <w:textAlignment w:val="bottom"/>
            </w:pPr>
            <w:r>
              <w:rPr>
                <w:rFonts w:ascii="Arial" w:eastAsia="宋体" w:hAnsi="Arial" w:cs="Arial"/>
                <w:color w:val="000000"/>
                <w:sz w:val="18"/>
                <w:szCs w:val="18"/>
              </w:rPr>
              <w:t>(156)</w:t>
            </w:r>
          </w:p>
        </w:tc>
        <w:tc>
          <w:tcPr>
            <w:tcW w:w="0" w:type="auto"/>
            <w:shd w:val="clear" w:color="auto" w:fill="CCEEFF"/>
            <w:tcMar>
              <w:top w:w="40" w:type="dxa"/>
              <w:left w:w="0" w:type="dxa"/>
              <w:bottom w:w="40" w:type="dxa"/>
              <w:right w:w="20" w:type="dxa"/>
            </w:tcMar>
            <w:vAlign w:val="bottom"/>
          </w:tcPr>
          <w:p w14:paraId="71D422FD" w14:textId="77777777" w:rsidR="006A3667" w:rsidRDefault="006A3667">
            <w:pPr>
              <w:jc w:val="right"/>
              <w:rPr>
                <w:rFonts w:ascii="宋体"/>
              </w:rPr>
            </w:pPr>
          </w:p>
        </w:tc>
        <w:tc>
          <w:tcPr>
            <w:tcW w:w="0" w:type="auto"/>
            <w:gridSpan w:val="3"/>
            <w:shd w:val="clear" w:color="auto" w:fill="auto"/>
            <w:vAlign w:val="bottom"/>
          </w:tcPr>
          <w:p w14:paraId="71D422FE" w14:textId="77777777" w:rsidR="006A3667" w:rsidRDefault="006A3667">
            <w:pPr>
              <w:rPr>
                <w:rFonts w:ascii="宋体"/>
                <w:vanish/>
              </w:rPr>
            </w:pPr>
          </w:p>
        </w:tc>
        <w:tc>
          <w:tcPr>
            <w:tcW w:w="0" w:type="auto"/>
            <w:gridSpan w:val="3"/>
            <w:shd w:val="clear" w:color="auto" w:fill="auto"/>
            <w:vAlign w:val="bottom"/>
          </w:tcPr>
          <w:p w14:paraId="71D422FF" w14:textId="77777777" w:rsidR="006A3667" w:rsidRDefault="006A3667">
            <w:pPr>
              <w:rPr>
                <w:rFonts w:ascii="宋体"/>
                <w:vanish/>
              </w:rPr>
            </w:pPr>
          </w:p>
        </w:tc>
      </w:tr>
      <w:tr w:rsidR="006A3667" w14:paraId="71D42307" w14:textId="77777777">
        <w:trPr>
          <w:hidden/>
        </w:trPr>
        <w:tc>
          <w:tcPr>
            <w:tcW w:w="0" w:type="auto"/>
            <w:gridSpan w:val="3"/>
            <w:shd w:val="clear" w:color="auto" w:fill="auto"/>
            <w:vAlign w:val="bottom"/>
          </w:tcPr>
          <w:p w14:paraId="71D42301" w14:textId="77777777" w:rsidR="006A3667" w:rsidRDefault="006A3667">
            <w:pPr>
              <w:rPr>
                <w:rFonts w:ascii="宋体"/>
                <w:vanish/>
              </w:rPr>
            </w:pPr>
          </w:p>
        </w:tc>
        <w:tc>
          <w:tcPr>
            <w:tcW w:w="0" w:type="auto"/>
            <w:gridSpan w:val="3"/>
            <w:shd w:val="clear" w:color="auto" w:fill="auto"/>
            <w:vAlign w:val="bottom"/>
          </w:tcPr>
          <w:p w14:paraId="71D42302" w14:textId="77777777" w:rsidR="006A3667" w:rsidRDefault="006A3667">
            <w:pPr>
              <w:rPr>
                <w:rFonts w:ascii="宋体"/>
                <w:vanish/>
              </w:rPr>
            </w:pPr>
          </w:p>
        </w:tc>
        <w:tc>
          <w:tcPr>
            <w:tcW w:w="0" w:type="auto"/>
            <w:gridSpan w:val="3"/>
            <w:shd w:val="clear" w:color="auto" w:fill="auto"/>
            <w:vAlign w:val="bottom"/>
          </w:tcPr>
          <w:p w14:paraId="71D42303" w14:textId="77777777" w:rsidR="006A3667" w:rsidRDefault="006A3667">
            <w:pPr>
              <w:rPr>
                <w:rFonts w:ascii="宋体"/>
                <w:vanish/>
              </w:rPr>
            </w:pPr>
          </w:p>
        </w:tc>
        <w:tc>
          <w:tcPr>
            <w:tcW w:w="0" w:type="auto"/>
            <w:gridSpan w:val="3"/>
            <w:shd w:val="clear" w:color="auto" w:fill="auto"/>
            <w:vAlign w:val="bottom"/>
          </w:tcPr>
          <w:p w14:paraId="71D42304" w14:textId="77777777" w:rsidR="006A3667" w:rsidRDefault="006A3667">
            <w:pPr>
              <w:rPr>
                <w:rFonts w:ascii="宋体"/>
                <w:vanish/>
              </w:rPr>
            </w:pPr>
          </w:p>
        </w:tc>
        <w:tc>
          <w:tcPr>
            <w:tcW w:w="0" w:type="auto"/>
            <w:gridSpan w:val="3"/>
            <w:shd w:val="clear" w:color="auto" w:fill="auto"/>
            <w:vAlign w:val="bottom"/>
          </w:tcPr>
          <w:p w14:paraId="71D42305" w14:textId="77777777" w:rsidR="006A3667" w:rsidRDefault="006A3667">
            <w:pPr>
              <w:rPr>
                <w:rFonts w:ascii="宋体"/>
                <w:vanish/>
              </w:rPr>
            </w:pPr>
          </w:p>
        </w:tc>
        <w:tc>
          <w:tcPr>
            <w:tcW w:w="0" w:type="auto"/>
            <w:gridSpan w:val="3"/>
            <w:shd w:val="clear" w:color="auto" w:fill="auto"/>
            <w:vAlign w:val="bottom"/>
          </w:tcPr>
          <w:p w14:paraId="71D42306" w14:textId="77777777" w:rsidR="006A3667" w:rsidRDefault="006A3667">
            <w:pPr>
              <w:rPr>
                <w:rFonts w:ascii="宋体"/>
                <w:vanish/>
              </w:rPr>
            </w:pPr>
          </w:p>
        </w:tc>
      </w:tr>
      <w:tr w:rsidR="006A3667" w14:paraId="71D42310" w14:textId="77777777">
        <w:tc>
          <w:tcPr>
            <w:tcW w:w="0" w:type="auto"/>
            <w:gridSpan w:val="3"/>
            <w:shd w:val="clear" w:color="auto" w:fill="FFFFFF"/>
            <w:tcMar>
              <w:top w:w="40" w:type="dxa"/>
              <w:left w:w="20" w:type="dxa"/>
              <w:bottom w:w="40" w:type="dxa"/>
              <w:right w:w="20" w:type="dxa"/>
            </w:tcMar>
            <w:vAlign w:val="bottom"/>
          </w:tcPr>
          <w:p w14:paraId="71D42308" w14:textId="77777777" w:rsidR="006A3667" w:rsidRDefault="00045F32">
            <w:pPr>
              <w:jc w:val="both"/>
              <w:textAlignment w:val="bottom"/>
            </w:pPr>
            <w:r>
              <w:rPr>
                <w:rFonts w:ascii="Arial" w:eastAsia="宋体" w:hAnsi="Arial" w:cs="Arial"/>
                <w:color w:val="000000"/>
                <w:sz w:val="18"/>
                <w:szCs w:val="18"/>
              </w:rPr>
              <w:t>Net unrealized losses on available-for-sale securities, net of reclassification adjustment and net of related taxes of ($158) and ($39), respectively</w:t>
            </w:r>
          </w:p>
        </w:tc>
        <w:tc>
          <w:tcPr>
            <w:tcW w:w="0" w:type="auto"/>
            <w:gridSpan w:val="2"/>
            <w:shd w:val="clear" w:color="auto" w:fill="FFFFFF"/>
            <w:tcMar>
              <w:top w:w="40" w:type="dxa"/>
              <w:left w:w="20" w:type="dxa"/>
              <w:bottom w:w="40" w:type="dxa"/>
              <w:right w:w="0" w:type="dxa"/>
            </w:tcMar>
            <w:vAlign w:val="bottom"/>
          </w:tcPr>
          <w:p w14:paraId="71D42309" w14:textId="77777777" w:rsidR="006A3667" w:rsidRDefault="00045F32">
            <w:pPr>
              <w:jc w:val="right"/>
              <w:textAlignment w:val="bottom"/>
            </w:pPr>
            <w:r>
              <w:rPr>
                <w:rFonts w:ascii="Arial" w:eastAsia="宋体" w:hAnsi="Arial" w:cs="Arial"/>
                <w:b/>
                <w:bCs/>
                <w:color w:val="000000"/>
                <w:sz w:val="18"/>
                <w:szCs w:val="18"/>
              </w:rPr>
              <w:t>(420)</w:t>
            </w:r>
          </w:p>
        </w:tc>
        <w:tc>
          <w:tcPr>
            <w:tcW w:w="0" w:type="auto"/>
            <w:shd w:val="clear" w:color="auto" w:fill="FFFFFF"/>
            <w:tcMar>
              <w:top w:w="40" w:type="dxa"/>
              <w:left w:w="0" w:type="dxa"/>
              <w:bottom w:w="40" w:type="dxa"/>
              <w:right w:w="20" w:type="dxa"/>
            </w:tcMar>
            <w:vAlign w:val="bottom"/>
          </w:tcPr>
          <w:p w14:paraId="71D423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3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30C" w14:textId="77777777" w:rsidR="006A3667" w:rsidRDefault="00045F32">
            <w:pPr>
              <w:jc w:val="right"/>
              <w:textAlignment w:val="bottom"/>
            </w:pPr>
            <w:r>
              <w:rPr>
                <w:rFonts w:ascii="Arial" w:eastAsia="宋体" w:hAnsi="Arial" w:cs="Arial"/>
                <w:color w:val="000000"/>
                <w:sz w:val="18"/>
                <w:szCs w:val="18"/>
              </w:rPr>
              <w:t>(107)</w:t>
            </w:r>
          </w:p>
        </w:tc>
        <w:tc>
          <w:tcPr>
            <w:tcW w:w="0" w:type="auto"/>
            <w:shd w:val="clear" w:color="auto" w:fill="FFFFFF"/>
            <w:tcMar>
              <w:top w:w="40" w:type="dxa"/>
              <w:left w:w="0" w:type="dxa"/>
              <w:bottom w:w="40" w:type="dxa"/>
              <w:right w:w="20" w:type="dxa"/>
            </w:tcMar>
            <w:vAlign w:val="bottom"/>
          </w:tcPr>
          <w:p w14:paraId="71D4230D" w14:textId="77777777" w:rsidR="006A3667" w:rsidRDefault="006A3667">
            <w:pPr>
              <w:jc w:val="right"/>
              <w:rPr>
                <w:rFonts w:ascii="宋体"/>
              </w:rPr>
            </w:pPr>
          </w:p>
        </w:tc>
        <w:tc>
          <w:tcPr>
            <w:tcW w:w="0" w:type="auto"/>
            <w:gridSpan w:val="3"/>
            <w:shd w:val="clear" w:color="auto" w:fill="auto"/>
            <w:vAlign w:val="bottom"/>
          </w:tcPr>
          <w:p w14:paraId="71D4230E" w14:textId="77777777" w:rsidR="006A3667" w:rsidRDefault="006A3667">
            <w:pPr>
              <w:rPr>
                <w:rFonts w:ascii="宋体"/>
                <w:vanish/>
              </w:rPr>
            </w:pPr>
          </w:p>
        </w:tc>
        <w:tc>
          <w:tcPr>
            <w:tcW w:w="0" w:type="auto"/>
            <w:gridSpan w:val="3"/>
            <w:shd w:val="clear" w:color="auto" w:fill="auto"/>
            <w:vAlign w:val="bottom"/>
          </w:tcPr>
          <w:p w14:paraId="71D4230F" w14:textId="77777777" w:rsidR="006A3667" w:rsidRDefault="006A3667">
            <w:pPr>
              <w:rPr>
                <w:rFonts w:ascii="宋体"/>
                <w:vanish/>
              </w:rPr>
            </w:pPr>
          </w:p>
        </w:tc>
      </w:tr>
      <w:tr w:rsidR="006A3667" w14:paraId="71D42319" w14:textId="77777777">
        <w:tc>
          <w:tcPr>
            <w:tcW w:w="0" w:type="auto"/>
            <w:gridSpan w:val="3"/>
            <w:shd w:val="clear" w:color="auto" w:fill="CCEEFF"/>
            <w:tcMar>
              <w:top w:w="40" w:type="dxa"/>
              <w:left w:w="20" w:type="dxa"/>
              <w:bottom w:w="40" w:type="dxa"/>
              <w:right w:w="20" w:type="dxa"/>
            </w:tcMar>
            <w:vAlign w:val="bottom"/>
          </w:tcPr>
          <w:p w14:paraId="71D42311" w14:textId="77777777" w:rsidR="006A3667" w:rsidRDefault="00045F32">
            <w:pPr>
              <w:jc w:val="both"/>
              <w:textAlignment w:val="bottom"/>
            </w:pPr>
            <w:r>
              <w:rPr>
                <w:rFonts w:ascii="Arial" w:eastAsia="宋体" w:hAnsi="Arial" w:cs="Arial"/>
                <w:color w:val="000000"/>
                <w:sz w:val="18"/>
                <w:szCs w:val="18"/>
              </w:rPr>
              <w:t xml:space="preserve">Net unrealized gains on available-for-sale securities designated in fair </w:t>
            </w:r>
            <w:r>
              <w:rPr>
                <w:rFonts w:ascii="Arial" w:eastAsia="宋体" w:hAnsi="Arial" w:cs="Arial"/>
                <w:color w:val="000000"/>
                <w:sz w:val="18"/>
                <w:szCs w:val="18"/>
              </w:rPr>
              <w:t>value hedges, net of related taxes of $96 and $4, respectively</w:t>
            </w:r>
          </w:p>
        </w:tc>
        <w:tc>
          <w:tcPr>
            <w:tcW w:w="0" w:type="auto"/>
            <w:gridSpan w:val="2"/>
            <w:shd w:val="clear" w:color="auto" w:fill="CCEEFF"/>
            <w:tcMar>
              <w:top w:w="40" w:type="dxa"/>
              <w:left w:w="20" w:type="dxa"/>
              <w:bottom w:w="40" w:type="dxa"/>
              <w:right w:w="0" w:type="dxa"/>
            </w:tcMar>
            <w:vAlign w:val="bottom"/>
          </w:tcPr>
          <w:p w14:paraId="71D42312" w14:textId="77777777" w:rsidR="006A3667" w:rsidRDefault="00045F32">
            <w:pPr>
              <w:jc w:val="right"/>
              <w:textAlignment w:val="bottom"/>
            </w:pPr>
            <w:r>
              <w:rPr>
                <w:rFonts w:ascii="Arial" w:eastAsia="宋体" w:hAnsi="Arial" w:cs="Arial"/>
                <w:b/>
                <w:bCs/>
                <w:color w:val="000000"/>
                <w:sz w:val="18"/>
                <w:szCs w:val="18"/>
              </w:rPr>
              <w:t>256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3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1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315" w14:textId="77777777" w:rsidR="006A3667" w:rsidRDefault="00045F32">
            <w:pPr>
              <w:jc w:val="right"/>
              <w:textAlignment w:val="bottom"/>
            </w:pPr>
            <w:r>
              <w:rPr>
                <w:rFonts w:ascii="Arial" w:eastAsia="宋体" w:hAnsi="Arial" w:cs="Arial"/>
                <w:color w:val="000000"/>
                <w:sz w:val="18"/>
                <w:szCs w:val="18"/>
              </w:rPr>
              <w:t>13 </w:t>
            </w:r>
          </w:p>
        </w:tc>
        <w:tc>
          <w:tcPr>
            <w:tcW w:w="0" w:type="auto"/>
            <w:shd w:val="clear" w:color="auto" w:fill="CCEEFF"/>
            <w:tcMar>
              <w:top w:w="40" w:type="dxa"/>
              <w:left w:w="0" w:type="dxa"/>
              <w:bottom w:w="40" w:type="dxa"/>
              <w:right w:w="20" w:type="dxa"/>
            </w:tcMar>
            <w:vAlign w:val="bottom"/>
          </w:tcPr>
          <w:p w14:paraId="71D42316" w14:textId="77777777" w:rsidR="006A3667" w:rsidRDefault="006A3667">
            <w:pPr>
              <w:jc w:val="right"/>
              <w:rPr>
                <w:rFonts w:ascii="宋体"/>
              </w:rPr>
            </w:pPr>
          </w:p>
        </w:tc>
        <w:tc>
          <w:tcPr>
            <w:tcW w:w="0" w:type="auto"/>
            <w:gridSpan w:val="3"/>
            <w:shd w:val="clear" w:color="auto" w:fill="auto"/>
            <w:vAlign w:val="bottom"/>
          </w:tcPr>
          <w:p w14:paraId="71D42317" w14:textId="77777777" w:rsidR="006A3667" w:rsidRDefault="006A3667">
            <w:pPr>
              <w:rPr>
                <w:rFonts w:ascii="宋体"/>
                <w:vanish/>
              </w:rPr>
            </w:pPr>
          </w:p>
        </w:tc>
        <w:tc>
          <w:tcPr>
            <w:tcW w:w="0" w:type="auto"/>
            <w:gridSpan w:val="3"/>
            <w:shd w:val="clear" w:color="auto" w:fill="auto"/>
            <w:vAlign w:val="bottom"/>
          </w:tcPr>
          <w:p w14:paraId="71D42318" w14:textId="77777777" w:rsidR="006A3667" w:rsidRDefault="006A3667">
            <w:pPr>
              <w:rPr>
                <w:rFonts w:ascii="宋体"/>
                <w:vanish/>
              </w:rPr>
            </w:pPr>
          </w:p>
        </w:tc>
      </w:tr>
      <w:tr w:rsidR="006A3667" w14:paraId="71D42320" w14:textId="77777777">
        <w:trPr>
          <w:hidden/>
        </w:trPr>
        <w:tc>
          <w:tcPr>
            <w:tcW w:w="0" w:type="auto"/>
            <w:gridSpan w:val="3"/>
            <w:shd w:val="clear" w:color="auto" w:fill="auto"/>
            <w:vAlign w:val="bottom"/>
          </w:tcPr>
          <w:p w14:paraId="71D4231A" w14:textId="77777777" w:rsidR="006A3667" w:rsidRDefault="006A3667">
            <w:pPr>
              <w:rPr>
                <w:rFonts w:ascii="宋体"/>
                <w:vanish/>
              </w:rPr>
            </w:pPr>
          </w:p>
        </w:tc>
        <w:tc>
          <w:tcPr>
            <w:tcW w:w="0" w:type="auto"/>
            <w:gridSpan w:val="3"/>
            <w:shd w:val="clear" w:color="auto" w:fill="auto"/>
            <w:vAlign w:val="bottom"/>
          </w:tcPr>
          <w:p w14:paraId="71D4231B" w14:textId="77777777" w:rsidR="006A3667" w:rsidRDefault="006A3667">
            <w:pPr>
              <w:rPr>
                <w:rFonts w:ascii="宋体"/>
                <w:vanish/>
              </w:rPr>
            </w:pPr>
          </w:p>
        </w:tc>
        <w:tc>
          <w:tcPr>
            <w:tcW w:w="0" w:type="auto"/>
            <w:gridSpan w:val="3"/>
            <w:shd w:val="clear" w:color="auto" w:fill="auto"/>
            <w:vAlign w:val="bottom"/>
          </w:tcPr>
          <w:p w14:paraId="71D4231C" w14:textId="77777777" w:rsidR="006A3667" w:rsidRDefault="006A3667">
            <w:pPr>
              <w:rPr>
                <w:rFonts w:ascii="宋体"/>
                <w:vanish/>
              </w:rPr>
            </w:pPr>
          </w:p>
        </w:tc>
        <w:tc>
          <w:tcPr>
            <w:tcW w:w="0" w:type="auto"/>
            <w:gridSpan w:val="3"/>
            <w:shd w:val="clear" w:color="auto" w:fill="auto"/>
            <w:vAlign w:val="bottom"/>
          </w:tcPr>
          <w:p w14:paraId="71D4231D" w14:textId="77777777" w:rsidR="006A3667" w:rsidRDefault="006A3667">
            <w:pPr>
              <w:rPr>
                <w:rFonts w:ascii="宋体"/>
                <w:vanish/>
              </w:rPr>
            </w:pPr>
          </w:p>
        </w:tc>
        <w:tc>
          <w:tcPr>
            <w:tcW w:w="0" w:type="auto"/>
            <w:gridSpan w:val="3"/>
            <w:shd w:val="clear" w:color="auto" w:fill="auto"/>
            <w:vAlign w:val="bottom"/>
          </w:tcPr>
          <w:p w14:paraId="71D4231E" w14:textId="77777777" w:rsidR="006A3667" w:rsidRDefault="006A3667">
            <w:pPr>
              <w:rPr>
                <w:rFonts w:ascii="宋体"/>
                <w:vanish/>
              </w:rPr>
            </w:pPr>
          </w:p>
        </w:tc>
        <w:tc>
          <w:tcPr>
            <w:tcW w:w="0" w:type="auto"/>
            <w:gridSpan w:val="3"/>
            <w:shd w:val="clear" w:color="auto" w:fill="auto"/>
            <w:vAlign w:val="bottom"/>
          </w:tcPr>
          <w:p w14:paraId="71D4231F" w14:textId="77777777" w:rsidR="006A3667" w:rsidRDefault="006A3667">
            <w:pPr>
              <w:rPr>
                <w:rFonts w:ascii="宋体"/>
                <w:vanish/>
              </w:rPr>
            </w:pPr>
          </w:p>
        </w:tc>
      </w:tr>
      <w:tr w:rsidR="006A3667" w14:paraId="71D42329" w14:textId="77777777">
        <w:tc>
          <w:tcPr>
            <w:tcW w:w="0" w:type="auto"/>
            <w:gridSpan w:val="3"/>
            <w:shd w:val="clear" w:color="auto" w:fill="FFFFFF"/>
            <w:tcMar>
              <w:top w:w="40" w:type="dxa"/>
              <w:left w:w="20" w:type="dxa"/>
              <w:bottom w:w="40" w:type="dxa"/>
              <w:right w:w="20" w:type="dxa"/>
            </w:tcMar>
            <w:vAlign w:val="bottom"/>
          </w:tcPr>
          <w:p w14:paraId="71D42321" w14:textId="77777777" w:rsidR="006A3667" w:rsidRDefault="00045F32">
            <w:pPr>
              <w:jc w:val="both"/>
              <w:textAlignment w:val="bottom"/>
            </w:pPr>
            <w:r>
              <w:rPr>
                <w:rFonts w:ascii="Arial" w:eastAsia="宋体" w:hAnsi="Arial" w:cs="Arial"/>
                <w:color w:val="000000"/>
                <w:sz w:val="18"/>
                <w:szCs w:val="18"/>
              </w:rPr>
              <w:t>Net unrealized losses on cash flow hedges, net of related taxes of ($44) and ($4), respectively</w:t>
            </w:r>
          </w:p>
        </w:tc>
        <w:tc>
          <w:tcPr>
            <w:tcW w:w="0" w:type="auto"/>
            <w:gridSpan w:val="2"/>
            <w:shd w:val="clear" w:color="auto" w:fill="FFFFFF"/>
            <w:tcMar>
              <w:top w:w="40" w:type="dxa"/>
              <w:left w:w="20" w:type="dxa"/>
              <w:bottom w:w="40" w:type="dxa"/>
              <w:right w:w="0" w:type="dxa"/>
            </w:tcMar>
            <w:vAlign w:val="bottom"/>
          </w:tcPr>
          <w:p w14:paraId="71D42322" w14:textId="77777777" w:rsidR="006A3667" w:rsidRDefault="00045F32">
            <w:pPr>
              <w:jc w:val="right"/>
              <w:textAlignment w:val="bottom"/>
            </w:pPr>
            <w:r>
              <w:rPr>
                <w:rFonts w:ascii="Arial" w:eastAsia="宋体" w:hAnsi="Arial" w:cs="Arial"/>
                <w:b/>
                <w:bCs/>
                <w:color w:val="000000"/>
                <w:sz w:val="18"/>
                <w:szCs w:val="18"/>
              </w:rPr>
              <w:t>(116)</w:t>
            </w:r>
          </w:p>
        </w:tc>
        <w:tc>
          <w:tcPr>
            <w:tcW w:w="0" w:type="auto"/>
            <w:shd w:val="clear" w:color="auto" w:fill="FFFFFF"/>
            <w:tcMar>
              <w:top w:w="40" w:type="dxa"/>
              <w:left w:w="0" w:type="dxa"/>
              <w:bottom w:w="40" w:type="dxa"/>
              <w:right w:w="20" w:type="dxa"/>
            </w:tcMar>
            <w:vAlign w:val="bottom"/>
          </w:tcPr>
          <w:p w14:paraId="71D423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32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325" w14:textId="77777777" w:rsidR="006A3667" w:rsidRDefault="00045F32">
            <w:pPr>
              <w:jc w:val="right"/>
              <w:textAlignment w:val="bottom"/>
            </w:pPr>
            <w:r>
              <w:rPr>
                <w:rFonts w:ascii="Arial" w:eastAsia="宋体" w:hAnsi="Arial" w:cs="Arial"/>
                <w:color w:val="000000"/>
                <w:sz w:val="18"/>
                <w:szCs w:val="18"/>
              </w:rPr>
              <w:t>(12)</w:t>
            </w:r>
          </w:p>
        </w:tc>
        <w:tc>
          <w:tcPr>
            <w:tcW w:w="0" w:type="auto"/>
            <w:shd w:val="clear" w:color="auto" w:fill="FFFFFF"/>
            <w:tcMar>
              <w:top w:w="40" w:type="dxa"/>
              <w:left w:w="0" w:type="dxa"/>
              <w:bottom w:w="40" w:type="dxa"/>
              <w:right w:w="20" w:type="dxa"/>
            </w:tcMar>
            <w:vAlign w:val="bottom"/>
          </w:tcPr>
          <w:p w14:paraId="71D42326" w14:textId="77777777" w:rsidR="006A3667" w:rsidRDefault="006A3667">
            <w:pPr>
              <w:jc w:val="right"/>
              <w:rPr>
                <w:rFonts w:ascii="宋体"/>
              </w:rPr>
            </w:pPr>
          </w:p>
        </w:tc>
        <w:tc>
          <w:tcPr>
            <w:tcW w:w="0" w:type="auto"/>
            <w:gridSpan w:val="3"/>
            <w:shd w:val="clear" w:color="auto" w:fill="auto"/>
            <w:vAlign w:val="bottom"/>
          </w:tcPr>
          <w:p w14:paraId="71D42327" w14:textId="77777777" w:rsidR="006A3667" w:rsidRDefault="006A3667">
            <w:pPr>
              <w:rPr>
                <w:rFonts w:ascii="宋体"/>
                <w:vanish/>
              </w:rPr>
            </w:pPr>
          </w:p>
        </w:tc>
        <w:tc>
          <w:tcPr>
            <w:tcW w:w="0" w:type="auto"/>
            <w:gridSpan w:val="3"/>
            <w:shd w:val="clear" w:color="auto" w:fill="auto"/>
            <w:vAlign w:val="bottom"/>
          </w:tcPr>
          <w:p w14:paraId="71D42328" w14:textId="77777777" w:rsidR="006A3667" w:rsidRDefault="006A3667">
            <w:pPr>
              <w:rPr>
                <w:rFonts w:ascii="宋体"/>
                <w:vanish/>
              </w:rPr>
            </w:pPr>
          </w:p>
        </w:tc>
      </w:tr>
      <w:tr w:rsidR="006A3667" w14:paraId="71D42332" w14:textId="77777777">
        <w:tc>
          <w:tcPr>
            <w:tcW w:w="0" w:type="auto"/>
            <w:gridSpan w:val="3"/>
            <w:shd w:val="clear" w:color="auto" w:fill="CCEEFF"/>
            <w:tcMar>
              <w:top w:w="40" w:type="dxa"/>
              <w:left w:w="20" w:type="dxa"/>
              <w:bottom w:w="40" w:type="dxa"/>
              <w:right w:w="20" w:type="dxa"/>
            </w:tcMar>
            <w:vAlign w:val="bottom"/>
          </w:tcPr>
          <w:p w14:paraId="71D4232A" w14:textId="77777777" w:rsidR="006A3667" w:rsidRDefault="00045F32">
            <w:pPr>
              <w:jc w:val="both"/>
              <w:textAlignment w:val="bottom"/>
            </w:pPr>
            <w:r>
              <w:rPr>
                <w:rFonts w:ascii="Arial" w:eastAsia="宋体" w:hAnsi="Arial" w:cs="Arial"/>
                <w:color w:val="000000"/>
                <w:sz w:val="18"/>
                <w:szCs w:val="18"/>
              </w:rPr>
              <w:t xml:space="preserve">Net unrealized gains on retirement plans, net of </w:t>
            </w:r>
            <w:r>
              <w:rPr>
                <w:rFonts w:ascii="Arial" w:eastAsia="宋体" w:hAnsi="Arial" w:cs="Arial"/>
                <w:color w:val="000000"/>
                <w:sz w:val="18"/>
                <w:szCs w:val="18"/>
              </w:rPr>
              <w:t>related taxes of $1 and $1, respectively</w:t>
            </w:r>
          </w:p>
        </w:tc>
        <w:tc>
          <w:tcPr>
            <w:tcW w:w="0" w:type="auto"/>
            <w:gridSpan w:val="2"/>
            <w:shd w:val="clear" w:color="auto" w:fill="CCEEFF"/>
            <w:tcMar>
              <w:top w:w="40" w:type="dxa"/>
              <w:left w:w="20" w:type="dxa"/>
              <w:bottom w:w="40" w:type="dxa"/>
              <w:right w:w="0" w:type="dxa"/>
            </w:tcMar>
            <w:vAlign w:val="bottom"/>
          </w:tcPr>
          <w:p w14:paraId="71D4232B" w14:textId="77777777" w:rsidR="006A3667" w:rsidRDefault="00045F32">
            <w:pPr>
              <w:jc w:val="right"/>
              <w:textAlignment w:val="bottom"/>
            </w:pPr>
            <w:r>
              <w:rPr>
                <w:rFonts w:ascii="Arial" w:eastAsia="宋体" w:hAnsi="Arial" w:cs="Arial"/>
                <w:b/>
                <w:bCs/>
                <w:color w:val="000000"/>
                <w:sz w:val="18"/>
                <w:szCs w:val="18"/>
              </w:rPr>
              <w:t>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3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32E" w14:textId="77777777" w:rsidR="006A3667" w:rsidRDefault="00045F32">
            <w:pPr>
              <w:jc w:val="right"/>
              <w:textAlignment w:val="bottom"/>
            </w:pPr>
            <w:r>
              <w:rPr>
                <w:rFonts w:ascii="Arial" w:eastAsia="宋体" w:hAnsi="Arial" w:cs="Arial"/>
                <w:color w:val="000000"/>
                <w:sz w:val="18"/>
                <w:szCs w:val="18"/>
              </w:rPr>
              <w:t>2 </w:t>
            </w:r>
          </w:p>
        </w:tc>
        <w:tc>
          <w:tcPr>
            <w:tcW w:w="0" w:type="auto"/>
            <w:shd w:val="clear" w:color="auto" w:fill="CCEEFF"/>
            <w:tcMar>
              <w:top w:w="40" w:type="dxa"/>
              <w:left w:w="0" w:type="dxa"/>
              <w:bottom w:w="40" w:type="dxa"/>
              <w:right w:w="20" w:type="dxa"/>
            </w:tcMar>
            <w:vAlign w:val="bottom"/>
          </w:tcPr>
          <w:p w14:paraId="71D4232F" w14:textId="77777777" w:rsidR="006A3667" w:rsidRDefault="006A3667">
            <w:pPr>
              <w:jc w:val="right"/>
              <w:rPr>
                <w:rFonts w:ascii="宋体"/>
              </w:rPr>
            </w:pPr>
          </w:p>
        </w:tc>
        <w:tc>
          <w:tcPr>
            <w:tcW w:w="0" w:type="auto"/>
            <w:gridSpan w:val="3"/>
            <w:shd w:val="clear" w:color="auto" w:fill="auto"/>
            <w:vAlign w:val="bottom"/>
          </w:tcPr>
          <w:p w14:paraId="71D42330" w14:textId="77777777" w:rsidR="006A3667" w:rsidRDefault="006A3667">
            <w:pPr>
              <w:rPr>
                <w:rFonts w:ascii="宋体"/>
                <w:vanish/>
              </w:rPr>
            </w:pPr>
          </w:p>
        </w:tc>
        <w:tc>
          <w:tcPr>
            <w:tcW w:w="0" w:type="auto"/>
            <w:gridSpan w:val="3"/>
            <w:shd w:val="clear" w:color="auto" w:fill="auto"/>
            <w:vAlign w:val="bottom"/>
          </w:tcPr>
          <w:p w14:paraId="71D42331" w14:textId="77777777" w:rsidR="006A3667" w:rsidRDefault="006A3667">
            <w:pPr>
              <w:rPr>
                <w:rFonts w:ascii="宋体"/>
                <w:vanish/>
              </w:rPr>
            </w:pPr>
          </w:p>
        </w:tc>
      </w:tr>
      <w:tr w:rsidR="006A3667" w14:paraId="71D4233B" w14:textId="77777777">
        <w:tc>
          <w:tcPr>
            <w:tcW w:w="0" w:type="auto"/>
            <w:gridSpan w:val="3"/>
            <w:shd w:val="clear" w:color="auto" w:fill="FFFFFF"/>
            <w:tcMar>
              <w:top w:w="40" w:type="dxa"/>
              <w:left w:w="20" w:type="dxa"/>
              <w:bottom w:w="40" w:type="dxa"/>
              <w:right w:w="20" w:type="dxa"/>
            </w:tcMar>
            <w:vAlign w:val="bottom"/>
          </w:tcPr>
          <w:p w14:paraId="71D42333" w14:textId="77777777" w:rsidR="006A3667" w:rsidRDefault="00045F32">
            <w:pPr>
              <w:textAlignment w:val="bottom"/>
            </w:pPr>
            <w:r>
              <w:rPr>
                <w:rFonts w:ascii="Arial" w:eastAsia="宋体" w:hAnsi="Arial" w:cs="Arial"/>
                <w:b/>
                <w:bCs/>
                <w:color w:val="000000"/>
                <w:sz w:val="18"/>
                <w:szCs w:val="18"/>
              </w:rPr>
              <w:t>Other comprehensive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334" w14:textId="77777777" w:rsidR="006A3667" w:rsidRDefault="00045F32">
            <w:pPr>
              <w:jc w:val="right"/>
              <w:textAlignment w:val="bottom"/>
            </w:pPr>
            <w:r>
              <w:rPr>
                <w:rFonts w:ascii="Arial" w:eastAsia="宋体" w:hAnsi="Arial" w:cs="Arial"/>
                <w:b/>
                <w:bCs/>
                <w:color w:val="000000"/>
                <w:sz w:val="18"/>
                <w:szCs w:val="18"/>
              </w:rPr>
              <w:t>(581)</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33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33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337" w14:textId="77777777" w:rsidR="006A3667" w:rsidRDefault="00045F32">
            <w:pPr>
              <w:jc w:val="right"/>
              <w:textAlignment w:val="bottom"/>
            </w:pPr>
            <w:r>
              <w:rPr>
                <w:rFonts w:ascii="Arial" w:eastAsia="宋体" w:hAnsi="Arial" w:cs="Arial"/>
                <w:color w:val="000000"/>
                <w:sz w:val="18"/>
                <w:szCs w:val="18"/>
              </w:rPr>
              <w:t>(260)</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338" w14:textId="77777777" w:rsidR="006A3667" w:rsidRDefault="006A3667">
            <w:pPr>
              <w:jc w:val="right"/>
              <w:rPr>
                <w:rFonts w:ascii="宋体"/>
              </w:rPr>
            </w:pPr>
          </w:p>
        </w:tc>
        <w:tc>
          <w:tcPr>
            <w:tcW w:w="0" w:type="auto"/>
            <w:gridSpan w:val="3"/>
            <w:shd w:val="clear" w:color="auto" w:fill="auto"/>
            <w:vAlign w:val="bottom"/>
          </w:tcPr>
          <w:p w14:paraId="71D42339" w14:textId="77777777" w:rsidR="006A3667" w:rsidRDefault="006A3667">
            <w:pPr>
              <w:rPr>
                <w:rFonts w:ascii="宋体"/>
                <w:vanish/>
              </w:rPr>
            </w:pPr>
          </w:p>
        </w:tc>
        <w:tc>
          <w:tcPr>
            <w:tcW w:w="0" w:type="auto"/>
            <w:gridSpan w:val="3"/>
            <w:shd w:val="clear" w:color="auto" w:fill="auto"/>
            <w:vAlign w:val="bottom"/>
          </w:tcPr>
          <w:p w14:paraId="71D4233A" w14:textId="77777777" w:rsidR="006A3667" w:rsidRDefault="006A3667">
            <w:pPr>
              <w:rPr>
                <w:rFonts w:ascii="宋体"/>
                <w:vanish/>
              </w:rPr>
            </w:pPr>
          </w:p>
        </w:tc>
      </w:tr>
      <w:tr w:rsidR="006A3667" w14:paraId="71D42346" w14:textId="77777777">
        <w:tc>
          <w:tcPr>
            <w:tcW w:w="0" w:type="auto"/>
            <w:gridSpan w:val="3"/>
            <w:shd w:val="clear" w:color="auto" w:fill="CCEEFF"/>
            <w:tcMar>
              <w:top w:w="40" w:type="dxa"/>
              <w:left w:w="20" w:type="dxa"/>
              <w:bottom w:w="40" w:type="dxa"/>
              <w:right w:w="20" w:type="dxa"/>
            </w:tcMar>
            <w:vAlign w:val="bottom"/>
          </w:tcPr>
          <w:p w14:paraId="71D4233C" w14:textId="77777777" w:rsidR="006A3667" w:rsidRDefault="00045F32">
            <w:pPr>
              <w:textAlignment w:val="bottom"/>
            </w:pPr>
            <w:r>
              <w:rPr>
                <w:rFonts w:ascii="Arial" w:eastAsia="宋体" w:hAnsi="Arial" w:cs="Arial"/>
                <w:b/>
                <w:bCs/>
                <w:color w:val="000000"/>
                <w:sz w:val="18"/>
                <w:szCs w:val="18"/>
              </w:rPr>
              <w:t>Total comprehensive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233D" w14:textId="77777777" w:rsidR="006A3667" w:rsidRDefault="00045F32">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33E" w14:textId="77777777" w:rsidR="006A3667" w:rsidRDefault="00045F32">
            <w:pPr>
              <w:jc w:val="right"/>
              <w:textAlignment w:val="bottom"/>
            </w:pPr>
            <w:r>
              <w:rPr>
                <w:rFonts w:ascii="Arial" w:eastAsia="宋体" w:hAnsi="Arial" w:cs="Arial"/>
                <w:b/>
                <w:bCs/>
                <w:color w:val="000000"/>
                <w:sz w:val="18"/>
                <w:szCs w:val="18"/>
              </w:rPr>
              <w:t>109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33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4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341" w14:textId="77777777" w:rsidR="006A3667" w:rsidRDefault="00045F3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342" w14:textId="77777777" w:rsidR="006A3667" w:rsidRDefault="00045F32">
            <w:pPr>
              <w:jc w:val="right"/>
              <w:textAlignment w:val="bottom"/>
            </w:pPr>
            <w:r>
              <w:rPr>
                <w:rFonts w:ascii="Arial" w:eastAsia="宋体" w:hAnsi="Arial" w:cs="Arial"/>
                <w:color w:val="000000"/>
                <w:sz w:val="18"/>
                <w:szCs w:val="18"/>
              </w:rPr>
              <w:t>454 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343" w14:textId="77777777" w:rsidR="006A3667" w:rsidRDefault="006A3667">
            <w:pPr>
              <w:jc w:val="right"/>
              <w:rPr>
                <w:rFonts w:ascii="宋体"/>
              </w:rPr>
            </w:pPr>
          </w:p>
        </w:tc>
        <w:tc>
          <w:tcPr>
            <w:tcW w:w="0" w:type="auto"/>
            <w:gridSpan w:val="3"/>
            <w:shd w:val="clear" w:color="auto" w:fill="auto"/>
            <w:vAlign w:val="bottom"/>
          </w:tcPr>
          <w:p w14:paraId="71D42344" w14:textId="77777777" w:rsidR="006A3667" w:rsidRDefault="006A3667">
            <w:pPr>
              <w:rPr>
                <w:rFonts w:ascii="宋体"/>
                <w:vanish/>
              </w:rPr>
            </w:pPr>
          </w:p>
        </w:tc>
        <w:tc>
          <w:tcPr>
            <w:tcW w:w="0" w:type="auto"/>
            <w:gridSpan w:val="3"/>
            <w:shd w:val="clear" w:color="auto" w:fill="auto"/>
            <w:vAlign w:val="bottom"/>
          </w:tcPr>
          <w:p w14:paraId="71D42345" w14:textId="77777777" w:rsidR="006A3667" w:rsidRDefault="006A3667">
            <w:pPr>
              <w:rPr>
                <w:rFonts w:ascii="宋体"/>
                <w:vanish/>
              </w:rPr>
            </w:pPr>
          </w:p>
        </w:tc>
      </w:tr>
      <w:tr w:rsidR="006A3667" w14:paraId="71D4234D" w14:textId="77777777">
        <w:trPr>
          <w:trHeight w:val="300"/>
        </w:trPr>
        <w:tc>
          <w:tcPr>
            <w:tcW w:w="0" w:type="auto"/>
            <w:gridSpan w:val="3"/>
            <w:shd w:val="clear" w:color="auto" w:fill="auto"/>
            <w:tcMar>
              <w:top w:w="0" w:type="dxa"/>
              <w:left w:w="20" w:type="dxa"/>
              <w:bottom w:w="0" w:type="dxa"/>
              <w:right w:w="20" w:type="dxa"/>
            </w:tcMar>
            <w:vAlign w:val="bottom"/>
          </w:tcPr>
          <w:p w14:paraId="71D4234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23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349"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234A" w14:textId="77777777" w:rsidR="006A3667" w:rsidRDefault="006A3667">
            <w:pPr>
              <w:rPr>
                <w:rFonts w:ascii="宋体"/>
              </w:rPr>
            </w:pPr>
          </w:p>
        </w:tc>
        <w:tc>
          <w:tcPr>
            <w:tcW w:w="0" w:type="auto"/>
            <w:gridSpan w:val="3"/>
            <w:shd w:val="clear" w:color="auto" w:fill="auto"/>
            <w:vAlign w:val="bottom"/>
          </w:tcPr>
          <w:p w14:paraId="71D4234B" w14:textId="77777777" w:rsidR="006A3667" w:rsidRDefault="006A3667">
            <w:pPr>
              <w:rPr>
                <w:rFonts w:ascii="宋体"/>
                <w:vanish/>
              </w:rPr>
            </w:pPr>
          </w:p>
        </w:tc>
        <w:tc>
          <w:tcPr>
            <w:tcW w:w="0" w:type="auto"/>
            <w:gridSpan w:val="3"/>
            <w:shd w:val="clear" w:color="auto" w:fill="auto"/>
            <w:vAlign w:val="bottom"/>
          </w:tcPr>
          <w:p w14:paraId="71D4234C" w14:textId="77777777" w:rsidR="006A3667" w:rsidRDefault="006A3667">
            <w:pPr>
              <w:rPr>
                <w:rFonts w:ascii="宋体"/>
                <w:vanish/>
              </w:rPr>
            </w:pPr>
          </w:p>
        </w:tc>
      </w:tr>
      <w:tr w:rsidR="006A3667" w14:paraId="71D42356" w14:textId="77777777">
        <w:tc>
          <w:tcPr>
            <w:tcW w:w="0" w:type="auto"/>
            <w:gridSpan w:val="3"/>
            <w:shd w:val="clear" w:color="auto" w:fill="auto"/>
            <w:tcMar>
              <w:top w:w="0" w:type="dxa"/>
              <w:left w:w="20" w:type="dxa"/>
              <w:bottom w:w="0" w:type="dxa"/>
              <w:right w:w="20" w:type="dxa"/>
            </w:tcMar>
            <w:vAlign w:val="bottom"/>
          </w:tcPr>
          <w:p w14:paraId="71D4234E"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234F" w14:textId="77777777" w:rsidR="006A3667" w:rsidRDefault="00045F32">
            <w:pPr>
              <w:jc w:val="center"/>
              <w:textAlignment w:val="bottom"/>
            </w:pPr>
            <w:r>
              <w:rPr>
                <w:rFonts w:ascii="Arial" w:eastAsia="宋体" w:hAnsi="Arial" w:cs="Arial"/>
                <w:b/>
                <w:bCs/>
                <w:color w:val="000000"/>
                <w:sz w:val="18"/>
                <w:szCs w:val="18"/>
              </w:rPr>
              <w:t>Nine Months Ended September 30,</w:t>
            </w:r>
          </w:p>
        </w:tc>
        <w:tc>
          <w:tcPr>
            <w:tcW w:w="0" w:type="auto"/>
            <w:shd w:val="clear" w:color="auto" w:fill="auto"/>
            <w:vAlign w:val="bottom"/>
          </w:tcPr>
          <w:p w14:paraId="71D42350" w14:textId="77777777" w:rsidR="006A3667" w:rsidRDefault="006A3667">
            <w:pPr>
              <w:rPr>
                <w:rFonts w:ascii="宋体"/>
              </w:rPr>
            </w:pPr>
          </w:p>
        </w:tc>
        <w:tc>
          <w:tcPr>
            <w:tcW w:w="0" w:type="auto"/>
            <w:shd w:val="clear" w:color="auto" w:fill="auto"/>
            <w:vAlign w:val="bottom"/>
          </w:tcPr>
          <w:p w14:paraId="71D42351" w14:textId="77777777" w:rsidR="006A3667" w:rsidRDefault="006A3667">
            <w:pPr>
              <w:rPr>
                <w:rFonts w:ascii="宋体"/>
              </w:rPr>
            </w:pPr>
          </w:p>
        </w:tc>
        <w:tc>
          <w:tcPr>
            <w:tcW w:w="0" w:type="auto"/>
            <w:shd w:val="clear" w:color="auto" w:fill="auto"/>
            <w:vAlign w:val="bottom"/>
          </w:tcPr>
          <w:p w14:paraId="71D42352" w14:textId="77777777" w:rsidR="006A3667" w:rsidRDefault="006A3667">
            <w:pPr>
              <w:rPr>
                <w:rFonts w:ascii="宋体"/>
              </w:rPr>
            </w:pPr>
          </w:p>
        </w:tc>
        <w:tc>
          <w:tcPr>
            <w:tcW w:w="0" w:type="auto"/>
            <w:shd w:val="clear" w:color="auto" w:fill="auto"/>
            <w:vAlign w:val="bottom"/>
          </w:tcPr>
          <w:p w14:paraId="71D42353" w14:textId="77777777" w:rsidR="006A3667" w:rsidRDefault="006A3667">
            <w:pPr>
              <w:rPr>
                <w:rFonts w:ascii="宋体"/>
              </w:rPr>
            </w:pPr>
          </w:p>
        </w:tc>
        <w:tc>
          <w:tcPr>
            <w:tcW w:w="0" w:type="auto"/>
            <w:shd w:val="clear" w:color="auto" w:fill="auto"/>
            <w:vAlign w:val="bottom"/>
          </w:tcPr>
          <w:p w14:paraId="71D42354" w14:textId="77777777" w:rsidR="006A3667" w:rsidRDefault="006A3667">
            <w:pPr>
              <w:rPr>
                <w:rFonts w:ascii="宋体"/>
              </w:rPr>
            </w:pPr>
          </w:p>
        </w:tc>
        <w:tc>
          <w:tcPr>
            <w:tcW w:w="0" w:type="auto"/>
            <w:shd w:val="clear" w:color="auto" w:fill="auto"/>
            <w:vAlign w:val="bottom"/>
          </w:tcPr>
          <w:p w14:paraId="71D42355" w14:textId="77777777" w:rsidR="006A3667" w:rsidRDefault="006A3667">
            <w:pPr>
              <w:rPr>
                <w:rFonts w:ascii="宋体"/>
              </w:rPr>
            </w:pPr>
          </w:p>
        </w:tc>
      </w:tr>
      <w:tr w:rsidR="006A3667" w14:paraId="71D4235D" w14:textId="77777777">
        <w:tc>
          <w:tcPr>
            <w:tcW w:w="0" w:type="auto"/>
            <w:gridSpan w:val="3"/>
            <w:shd w:val="clear" w:color="auto" w:fill="auto"/>
            <w:tcMar>
              <w:top w:w="40" w:type="dxa"/>
              <w:left w:w="20" w:type="dxa"/>
              <w:bottom w:w="40" w:type="dxa"/>
              <w:right w:w="20" w:type="dxa"/>
            </w:tcMar>
            <w:vAlign w:val="bottom"/>
          </w:tcPr>
          <w:p w14:paraId="71D42357" w14:textId="77777777" w:rsidR="006A3667" w:rsidRDefault="00045F32">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358" w14:textId="77777777" w:rsidR="006A3667" w:rsidRDefault="00045F32">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35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35A" w14:textId="77777777" w:rsidR="006A3667" w:rsidRDefault="00045F32">
            <w:pPr>
              <w:jc w:val="center"/>
              <w:textAlignment w:val="bottom"/>
            </w:pPr>
            <w:r>
              <w:rPr>
                <w:rFonts w:ascii="Arial" w:eastAsia="宋体" w:hAnsi="Arial" w:cs="Arial"/>
                <w:b/>
                <w:bCs/>
                <w:color w:val="000000"/>
                <w:sz w:val="16"/>
                <w:szCs w:val="16"/>
              </w:rPr>
              <w:t>2021</w:t>
            </w:r>
          </w:p>
        </w:tc>
        <w:tc>
          <w:tcPr>
            <w:tcW w:w="0" w:type="auto"/>
            <w:gridSpan w:val="3"/>
            <w:shd w:val="clear" w:color="auto" w:fill="auto"/>
            <w:vAlign w:val="bottom"/>
          </w:tcPr>
          <w:p w14:paraId="71D4235B" w14:textId="77777777" w:rsidR="006A3667" w:rsidRDefault="006A3667">
            <w:pPr>
              <w:rPr>
                <w:rFonts w:ascii="宋体"/>
                <w:vanish/>
              </w:rPr>
            </w:pPr>
          </w:p>
        </w:tc>
        <w:tc>
          <w:tcPr>
            <w:tcW w:w="0" w:type="auto"/>
            <w:gridSpan w:val="3"/>
            <w:shd w:val="clear" w:color="auto" w:fill="auto"/>
            <w:vAlign w:val="bottom"/>
          </w:tcPr>
          <w:p w14:paraId="71D4235C" w14:textId="77777777" w:rsidR="006A3667" w:rsidRDefault="006A3667">
            <w:pPr>
              <w:rPr>
                <w:rFonts w:ascii="宋体"/>
                <w:vanish/>
              </w:rPr>
            </w:pPr>
          </w:p>
        </w:tc>
      </w:tr>
      <w:tr w:rsidR="006A3667" w14:paraId="71D42368" w14:textId="77777777">
        <w:tc>
          <w:tcPr>
            <w:tcW w:w="0" w:type="auto"/>
            <w:gridSpan w:val="3"/>
            <w:shd w:val="clear" w:color="auto" w:fill="CCEEFF"/>
            <w:tcMar>
              <w:top w:w="40" w:type="dxa"/>
              <w:left w:w="20" w:type="dxa"/>
              <w:bottom w:w="40" w:type="dxa"/>
              <w:right w:w="20" w:type="dxa"/>
            </w:tcMar>
            <w:vAlign w:val="bottom"/>
          </w:tcPr>
          <w:p w14:paraId="71D4235E" w14:textId="77777777" w:rsidR="006A3667" w:rsidRDefault="00045F32">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235F" w14:textId="77777777" w:rsidR="006A3667" w:rsidRDefault="00045F32">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360" w14:textId="77777777" w:rsidR="006A3667" w:rsidRDefault="00045F32">
            <w:pPr>
              <w:jc w:val="right"/>
              <w:textAlignment w:val="bottom"/>
            </w:pPr>
            <w:r>
              <w:rPr>
                <w:rFonts w:ascii="Arial" w:eastAsia="宋体" w:hAnsi="Arial" w:cs="Arial"/>
                <w:b/>
                <w:bCs/>
                <w:color w:val="000000"/>
                <w:sz w:val="18"/>
                <w:szCs w:val="18"/>
              </w:rPr>
              <w:t>2,041</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36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6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363" w14:textId="77777777" w:rsidR="006A3667" w:rsidRDefault="00045F3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364" w14:textId="77777777" w:rsidR="006A3667" w:rsidRDefault="00045F32">
            <w:pPr>
              <w:jc w:val="right"/>
              <w:textAlignment w:val="bottom"/>
            </w:pPr>
            <w:r>
              <w:rPr>
                <w:rFonts w:ascii="Arial" w:eastAsia="宋体" w:hAnsi="Arial" w:cs="Arial"/>
                <w:color w:val="000000"/>
                <w:sz w:val="18"/>
                <w:szCs w:val="18"/>
              </w:rPr>
              <w:t>1,996 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365" w14:textId="77777777" w:rsidR="006A3667" w:rsidRDefault="006A3667">
            <w:pPr>
              <w:jc w:val="right"/>
              <w:rPr>
                <w:rFonts w:ascii="宋体"/>
              </w:rPr>
            </w:pPr>
          </w:p>
        </w:tc>
        <w:tc>
          <w:tcPr>
            <w:tcW w:w="0" w:type="auto"/>
            <w:gridSpan w:val="3"/>
            <w:shd w:val="clear" w:color="auto" w:fill="auto"/>
            <w:vAlign w:val="bottom"/>
          </w:tcPr>
          <w:p w14:paraId="71D42366" w14:textId="77777777" w:rsidR="006A3667" w:rsidRDefault="006A3667">
            <w:pPr>
              <w:rPr>
                <w:rFonts w:ascii="宋体"/>
                <w:vanish/>
              </w:rPr>
            </w:pPr>
          </w:p>
        </w:tc>
        <w:tc>
          <w:tcPr>
            <w:tcW w:w="0" w:type="auto"/>
            <w:gridSpan w:val="3"/>
            <w:shd w:val="clear" w:color="auto" w:fill="auto"/>
            <w:vAlign w:val="bottom"/>
          </w:tcPr>
          <w:p w14:paraId="71D42367" w14:textId="77777777" w:rsidR="006A3667" w:rsidRDefault="006A3667">
            <w:pPr>
              <w:rPr>
                <w:rFonts w:ascii="宋体"/>
                <w:vanish/>
              </w:rPr>
            </w:pPr>
          </w:p>
        </w:tc>
      </w:tr>
      <w:tr w:rsidR="006A3667" w14:paraId="71D4236F" w14:textId="77777777">
        <w:tc>
          <w:tcPr>
            <w:tcW w:w="0" w:type="auto"/>
            <w:gridSpan w:val="3"/>
            <w:shd w:val="clear" w:color="auto" w:fill="FFFFFF"/>
            <w:tcMar>
              <w:top w:w="40" w:type="dxa"/>
              <w:left w:w="20" w:type="dxa"/>
              <w:bottom w:w="40" w:type="dxa"/>
              <w:right w:w="20" w:type="dxa"/>
            </w:tcMar>
            <w:vAlign w:val="bottom"/>
          </w:tcPr>
          <w:p w14:paraId="71D42369" w14:textId="77777777" w:rsidR="006A3667" w:rsidRDefault="00045F32">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vAlign w:val="bottom"/>
          </w:tcPr>
          <w:p w14:paraId="71D4236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36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36C" w14:textId="77777777" w:rsidR="006A3667" w:rsidRDefault="006A3667">
            <w:pPr>
              <w:rPr>
                <w:rFonts w:ascii="宋体"/>
              </w:rPr>
            </w:pPr>
          </w:p>
        </w:tc>
        <w:tc>
          <w:tcPr>
            <w:tcW w:w="0" w:type="auto"/>
            <w:gridSpan w:val="3"/>
            <w:shd w:val="clear" w:color="auto" w:fill="auto"/>
            <w:vAlign w:val="bottom"/>
          </w:tcPr>
          <w:p w14:paraId="71D4236D" w14:textId="77777777" w:rsidR="006A3667" w:rsidRDefault="006A3667">
            <w:pPr>
              <w:rPr>
                <w:rFonts w:ascii="宋体"/>
                <w:vanish/>
              </w:rPr>
            </w:pPr>
          </w:p>
        </w:tc>
        <w:tc>
          <w:tcPr>
            <w:tcW w:w="0" w:type="auto"/>
            <w:gridSpan w:val="3"/>
            <w:shd w:val="clear" w:color="auto" w:fill="auto"/>
            <w:vAlign w:val="bottom"/>
          </w:tcPr>
          <w:p w14:paraId="71D4236E" w14:textId="77777777" w:rsidR="006A3667" w:rsidRDefault="006A3667">
            <w:pPr>
              <w:rPr>
                <w:rFonts w:ascii="宋体"/>
                <w:vanish/>
              </w:rPr>
            </w:pPr>
          </w:p>
        </w:tc>
      </w:tr>
      <w:tr w:rsidR="006A3667" w14:paraId="71D42378" w14:textId="77777777">
        <w:tc>
          <w:tcPr>
            <w:tcW w:w="0" w:type="auto"/>
            <w:gridSpan w:val="3"/>
            <w:shd w:val="clear" w:color="auto" w:fill="CCEEFF"/>
            <w:tcMar>
              <w:top w:w="40" w:type="dxa"/>
              <w:left w:w="20" w:type="dxa"/>
              <w:bottom w:w="40" w:type="dxa"/>
              <w:right w:w="20" w:type="dxa"/>
            </w:tcMar>
            <w:vAlign w:val="bottom"/>
          </w:tcPr>
          <w:p w14:paraId="71D42370" w14:textId="77777777" w:rsidR="006A3667" w:rsidRDefault="00045F32">
            <w:pPr>
              <w:jc w:val="both"/>
              <w:textAlignment w:val="bottom"/>
            </w:pPr>
            <w:r>
              <w:rPr>
                <w:rFonts w:ascii="Arial" w:eastAsia="宋体" w:hAnsi="Arial" w:cs="Arial"/>
                <w:color w:val="000000"/>
                <w:sz w:val="18"/>
                <w:szCs w:val="18"/>
              </w:rPr>
              <w:t>Foreign currency translation, net of related taxes of $164 and $63, respectively</w:t>
            </w:r>
          </w:p>
        </w:tc>
        <w:tc>
          <w:tcPr>
            <w:tcW w:w="0" w:type="auto"/>
            <w:gridSpan w:val="2"/>
            <w:shd w:val="clear" w:color="auto" w:fill="CCEEFF"/>
            <w:tcMar>
              <w:top w:w="40" w:type="dxa"/>
              <w:left w:w="20" w:type="dxa"/>
              <w:bottom w:w="40" w:type="dxa"/>
              <w:right w:w="0" w:type="dxa"/>
            </w:tcMar>
            <w:vAlign w:val="bottom"/>
          </w:tcPr>
          <w:p w14:paraId="71D42371" w14:textId="77777777" w:rsidR="006A3667" w:rsidRDefault="00045F32">
            <w:pPr>
              <w:jc w:val="right"/>
              <w:textAlignment w:val="bottom"/>
            </w:pPr>
            <w:r>
              <w:rPr>
                <w:rFonts w:ascii="Arial" w:eastAsia="宋体" w:hAnsi="Arial" w:cs="Arial"/>
                <w:b/>
                <w:bCs/>
                <w:color w:val="000000"/>
                <w:sz w:val="18"/>
                <w:szCs w:val="18"/>
              </w:rPr>
              <w:t>(846)</w:t>
            </w:r>
          </w:p>
        </w:tc>
        <w:tc>
          <w:tcPr>
            <w:tcW w:w="0" w:type="auto"/>
            <w:shd w:val="clear" w:color="auto" w:fill="CCEEFF"/>
            <w:tcMar>
              <w:top w:w="40" w:type="dxa"/>
              <w:left w:w="0" w:type="dxa"/>
              <w:bottom w:w="40" w:type="dxa"/>
              <w:right w:w="20" w:type="dxa"/>
            </w:tcMar>
            <w:vAlign w:val="bottom"/>
          </w:tcPr>
          <w:p w14:paraId="71D423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7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374" w14:textId="77777777" w:rsidR="006A3667" w:rsidRDefault="00045F32">
            <w:pPr>
              <w:jc w:val="right"/>
              <w:textAlignment w:val="bottom"/>
            </w:pPr>
            <w:r>
              <w:rPr>
                <w:rFonts w:ascii="Arial" w:eastAsia="宋体" w:hAnsi="Arial" w:cs="Arial"/>
                <w:color w:val="000000"/>
                <w:sz w:val="18"/>
                <w:szCs w:val="18"/>
              </w:rPr>
              <w:t>(307)</w:t>
            </w:r>
          </w:p>
        </w:tc>
        <w:tc>
          <w:tcPr>
            <w:tcW w:w="0" w:type="auto"/>
            <w:shd w:val="clear" w:color="auto" w:fill="CCEEFF"/>
            <w:tcMar>
              <w:top w:w="40" w:type="dxa"/>
              <w:left w:w="0" w:type="dxa"/>
              <w:bottom w:w="40" w:type="dxa"/>
              <w:right w:w="20" w:type="dxa"/>
            </w:tcMar>
            <w:vAlign w:val="bottom"/>
          </w:tcPr>
          <w:p w14:paraId="71D42375" w14:textId="77777777" w:rsidR="006A3667" w:rsidRDefault="006A3667">
            <w:pPr>
              <w:jc w:val="right"/>
              <w:rPr>
                <w:rFonts w:ascii="宋体"/>
              </w:rPr>
            </w:pPr>
          </w:p>
        </w:tc>
        <w:tc>
          <w:tcPr>
            <w:tcW w:w="0" w:type="auto"/>
            <w:gridSpan w:val="3"/>
            <w:shd w:val="clear" w:color="auto" w:fill="auto"/>
            <w:vAlign w:val="bottom"/>
          </w:tcPr>
          <w:p w14:paraId="71D42376" w14:textId="77777777" w:rsidR="006A3667" w:rsidRDefault="006A3667">
            <w:pPr>
              <w:rPr>
                <w:rFonts w:ascii="宋体"/>
                <w:vanish/>
              </w:rPr>
            </w:pPr>
          </w:p>
        </w:tc>
        <w:tc>
          <w:tcPr>
            <w:tcW w:w="0" w:type="auto"/>
            <w:gridSpan w:val="3"/>
            <w:shd w:val="clear" w:color="auto" w:fill="auto"/>
            <w:vAlign w:val="bottom"/>
          </w:tcPr>
          <w:p w14:paraId="71D42377" w14:textId="77777777" w:rsidR="006A3667" w:rsidRDefault="006A3667">
            <w:pPr>
              <w:rPr>
                <w:rFonts w:ascii="宋体"/>
                <w:vanish/>
              </w:rPr>
            </w:pPr>
          </w:p>
        </w:tc>
      </w:tr>
      <w:tr w:rsidR="006A3667" w14:paraId="71D4237F" w14:textId="77777777">
        <w:trPr>
          <w:hidden/>
        </w:trPr>
        <w:tc>
          <w:tcPr>
            <w:tcW w:w="0" w:type="auto"/>
            <w:gridSpan w:val="3"/>
            <w:shd w:val="clear" w:color="auto" w:fill="auto"/>
            <w:vAlign w:val="bottom"/>
          </w:tcPr>
          <w:p w14:paraId="71D42379" w14:textId="77777777" w:rsidR="006A3667" w:rsidRDefault="006A3667">
            <w:pPr>
              <w:rPr>
                <w:rFonts w:ascii="宋体"/>
                <w:vanish/>
              </w:rPr>
            </w:pPr>
          </w:p>
        </w:tc>
        <w:tc>
          <w:tcPr>
            <w:tcW w:w="0" w:type="auto"/>
            <w:gridSpan w:val="3"/>
            <w:shd w:val="clear" w:color="auto" w:fill="auto"/>
            <w:vAlign w:val="bottom"/>
          </w:tcPr>
          <w:p w14:paraId="71D4237A" w14:textId="77777777" w:rsidR="006A3667" w:rsidRDefault="006A3667">
            <w:pPr>
              <w:rPr>
                <w:rFonts w:ascii="宋体"/>
                <w:vanish/>
              </w:rPr>
            </w:pPr>
          </w:p>
        </w:tc>
        <w:tc>
          <w:tcPr>
            <w:tcW w:w="0" w:type="auto"/>
            <w:gridSpan w:val="3"/>
            <w:shd w:val="clear" w:color="auto" w:fill="auto"/>
            <w:vAlign w:val="bottom"/>
          </w:tcPr>
          <w:p w14:paraId="71D4237B" w14:textId="77777777" w:rsidR="006A3667" w:rsidRDefault="006A3667">
            <w:pPr>
              <w:rPr>
                <w:rFonts w:ascii="宋体"/>
                <w:vanish/>
              </w:rPr>
            </w:pPr>
          </w:p>
        </w:tc>
        <w:tc>
          <w:tcPr>
            <w:tcW w:w="0" w:type="auto"/>
            <w:gridSpan w:val="3"/>
            <w:shd w:val="clear" w:color="auto" w:fill="auto"/>
            <w:vAlign w:val="bottom"/>
          </w:tcPr>
          <w:p w14:paraId="71D4237C" w14:textId="77777777" w:rsidR="006A3667" w:rsidRDefault="006A3667">
            <w:pPr>
              <w:rPr>
                <w:rFonts w:ascii="宋体"/>
                <w:vanish/>
              </w:rPr>
            </w:pPr>
          </w:p>
        </w:tc>
        <w:tc>
          <w:tcPr>
            <w:tcW w:w="0" w:type="auto"/>
            <w:gridSpan w:val="3"/>
            <w:shd w:val="clear" w:color="auto" w:fill="auto"/>
            <w:vAlign w:val="bottom"/>
          </w:tcPr>
          <w:p w14:paraId="71D4237D" w14:textId="77777777" w:rsidR="006A3667" w:rsidRDefault="006A3667">
            <w:pPr>
              <w:rPr>
                <w:rFonts w:ascii="宋体"/>
                <w:vanish/>
              </w:rPr>
            </w:pPr>
          </w:p>
        </w:tc>
        <w:tc>
          <w:tcPr>
            <w:tcW w:w="0" w:type="auto"/>
            <w:gridSpan w:val="3"/>
            <w:shd w:val="clear" w:color="auto" w:fill="auto"/>
            <w:vAlign w:val="bottom"/>
          </w:tcPr>
          <w:p w14:paraId="71D4237E" w14:textId="77777777" w:rsidR="006A3667" w:rsidRDefault="006A3667">
            <w:pPr>
              <w:rPr>
                <w:rFonts w:ascii="宋体"/>
                <w:vanish/>
              </w:rPr>
            </w:pPr>
          </w:p>
        </w:tc>
      </w:tr>
      <w:tr w:rsidR="006A3667" w14:paraId="71D42388" w14:textId="77777777">
        <w:tc>
          <w:tcPr>
            <w:tcW w:w="0" w:type="auto"/>
            <w:gridSpan w:val="3"/>
            <w:shd w:val="clear" w:color="auto" w:fill="FFFFFF"/>
            <w:tcMar>
              <w:top w:w="40" w:type="dxa"/>
              <w:left w:w="20" w:type="dxa"/>
              <w:bottom w:w="40" w:type="dxa"/>
              <w:right w:w="20" w:type="dxa"/>
            </w:tcMar>
            <w:vAlign w:val="bottom"/>
          </w:tcPr>
          <w:p w14:paraId="71D42380" w14:textId="77777777" w:rsidR="006A3667" w:rsidRDefault="00045F32">
            <w:pPr>
              <w:jc w:val="both"/>
              <w:textAlignment w:val="bottom"/>
            </w:pPr>
            <w:r>
              <w:rPr>
                <w:rFonts w:ascii="Arial" w:eastAsia="宋体" w:hAnsi="Arial" w:cs="Arial"/>
                <w:color w:val="000000"/>
                <w:sz w:val="18"/>
                <w:szCs w:val="18"/>
              </w:rPr>
              <w:t xml:space="preserve">Net unrealized losses on available-for-sale securities, net of </w:t>
            </w:r>
            <w:r>
              <w:rPr>
                <w:rFonts w:ascii="Arial" w:eastAsia="宋体" w:hAnsi="Arial" w:cs="Arial"/>
                <w:color w:val="000000"/>
                <w:sz w:val="18"/>
                <w:szCs w:val="18"/>
              </w:rPr>
              <w:t>reclassification adjustment and net of related taxes of ($922) and ($214), respectively</w:t>
            </w:r>
          </w:p>
        </w:tc>
        <w:tc>
          <w:tcPr>
            <w:tcW w:w="0" w:type="auto"/>
            <w:gridSpan w:val="2"/>
            <w:shd w:val="clear" w:color="auto" w:fill="FFFFFF"/>
            <w:tcMar>
              <w:top w:w="40" w:type="dxa"/>
              <w:left w:w="20" w:type="dxa"/>
              <w:bottom w:w="40" w:type="dxa"/>
              <w:right w:w="0" w:type="dxa"/>
            </w:tcMar>
            <w:vAlign w:val="bottom"/>
          </w:tcPr>
          <w:p w14:paraId="71D42381" w14:textId="77777777" w:rsidR="006A3667" w:rsidRDefault="00045F32">
            <w:pPr>
              <w:jc w:val="right"/>
              <w:textAlignment w:val="bottom"/>
            </w:pPr>
            <w:r>
              <w:rPr>
                <w:rFonts w:ascii="Arial" w:eastAsia="宋体" w:hAnsi="Arial" w:cs="Arial"/>
                <w:b/>
                <w:bCs/>
                <w:color w:val="000000"/>
                <w:sz w:val="18"/>
                <w:szCs w:val="18"/>
              </w:rPr>
              <w:t>(2,483)</w:t>
            </w:r>
          </w:p>
        </w:tc>
        <w:tc>
          <w:tcPr>
            <w:tcW w:w="0" w:type="auto"/>
            <w:shd w:val="clear" w:color="auto" w:fill="FFFFFF"/>
            <w:tcMar>
              <w:top w:w="40" w:type="dxa"/>
              <w:left w:w="0" w:type="dxa"/>
              <w:bottom w:w="40" w:type="dxa"/>
              <w:right w:w="20" w:type="dxa"/>
            </w:tcMar>
            <w:vAlign w:val="bottom"/>
          </w:tcPr>
          <w:p w14:paraId="71D4238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38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384" w14:textId="77777777" w:rsidR="006A3667" w:rsidRDefault="00045F32">
            <w:pPr>
              <w:jc w:val="right"/>
              <w:textAlignment w:val="bottom"/>
            </w:pPr>
            <w:r>
              <w:rPr>
                <w:rFonts w:ascii="Arial" w:eastAsia="宋体" w:hAnsi="Arial" w:cs="Arial"/>
                <w:color w:val="000000"/>
                <w:sz w:val="18"/>
                <w:szCs w:val="18"/>
              </w:rPr>
              <w:t>(567)</w:t>
            </w:r>
          </w:p>
        </w:tc>
        <w:tc>
          <w:tcPr>
            <w:tcW w:w="0" w:type="auto"/>
            <w:shd w:val="clear" w:color="auto" w:fill="FFFFFF"/>
            <w:tcMar>
              <w:top w:w="40" w:type="dxa"/>
              <w:left w:w="0" w:type="dxa"/>
              <w:bottom w:w="40" w:type="dxa"/>
              <w:right w:w="20" w:type="dxa"/>
            </w:tcMar>
            <w:vAlign w:val="bottom"/>
          </w:tcPr>
          <w:p w14:paraId="71D42385" w14:textId="77777777" w:rsidR="006A3667" w:rsidRDefault="006A3667">
            <w:pPr>
              <w:jc w:val="right"/>
              <w:rPr>
                <w:rFonts w:ascii="宋体"/>
              </w:rPr>
            </w:pPr>
          </w:p>
        </w:tc>
        <w:tc>
          <w:tcPr>
            <w:tcW w:w="0" w:type="auto"/>
            <w:gridSpan w:val="3"/>
            <w:shd w:val="clear" w:color="auto" w:fill="auto"/>
            <w:vAlign w:val="bottom"/>
          </w:tcPr>
          <w:p w14:paraId="71D42386" w14:textId="77777777" w:rsidR="006A3667" w:rsidRDefault="006A3667">
            <w:pPr>
              <w:rPr>
                <w:rFonts w:ascii="宋体"/>
                <w:vanish/>
              </w:rPr>
            </w:pPr>
          </w:p>
        </w:tc>
        <w:tc>
          <w:tcPr>
            <w:tcW w:w="0" w:type="auto"/>
            <w:gridSpan w:val="3"/>
            <w:shd w:val="clear" w:color="auto" w:fill="auto"/>
            <w:vAlign w:val="bottom"/>
          </w:tcPr>
          <w:p w14:paraId="71D42387" w14:textId="77777777" w:rsidR="006A3667" w:rsidRDefault="006A3667">
            <w:pPr>
              <w:rPr>
                <w:rFonts w:ascii="宋体"/>
                <w:vanish/>
              </w:rPr>
            </w:pPr>
          </w:p>
        </w:tc>
      </w:tr>
      <w:tr w:rsidR="006A3667" w14:paraId="71D42391" w14:textId="77777777">
        <w:tc>
          <w:tcPr>
            <w:tcW w:w="0" w:type="auto"/>
            <w:gridSpan w:val="3"/>
            <w:shd w:val="clear" w:color="auto" w:fill="CCEEFF"/>
            <w:tcMar>
              <w:top w:w="40" w:type="dxa"/>
              <w:left w:w="20" w:type="dxa"/>
              <w:bottom w:w="40" w:type="dxa"/>
              <w:right w:w="20" w:type="dxa"/>
            </w:tcMar>
            <w:vAlign w:val="bottom"/>
          </w:tcPr>
          <w:p w14:paraId="71D42389" w14:textId="77777777" w:rsidR="006A3667" w:rsidRDefault="00045F32">
            <w:pPr>
              <w:jc w:val="both"/>
              <w:textAlignment w:val="bottom"/>
            </w:pPr>
            <w:r>
              <w:rPr>
                <w:rFonts w:ascii="Arial" w:eastAsia="宋体" w:hAnsi="Arial" w:cs="Arial"/>
                <w:color w:val="000000"/>
                <w:sz w:val="18"/>
                <w:szCs w:val="18"/>
              </w:rPr>
              <w:t>Net unrealized gains on available-for-sale securities designated in fair value hedges, net of related taxes of $195 and $3, respectively</w:t>
            </w:r>
          </w:p>
        </w:tc>
        <w:tc>
          <w:tcPr>
            <w:tcW w:w="0" w:type="auto"/>
            <w:gridSpan w:val="2"/>
            <w:shd w:val="clear" w:color="auto" w:fill="CCEEFF"/>
            <w:tcMar>
              <w:top w:w="40" w:type="dxa"/>
              <w:left w:w="20" w:type="dxa"/>
              <w:bottom w:w="40" w:type="dxa"/>
              <w:right w:w="0" w:type="dxa"/>
            </w:tcMar>
            <w:vAlign w:val="bottom"/>
          </w:tcPr>
          <w:p w14:paraId="71D4238A" w14:textId="77777777" w:rsidR="006A3667" w:rsidRDefault="00045F32">
            <w:pPr>
              <w:jc w:val="right"/>
              <w:textAlignment w:val="bottom"/>
            </w:pPr>
            <w:r>
              <w:rPr>
                <w:rFonts w:ascii="Arial" w:eastAsia="宋体" w:hAnsi="Arial" w:cs="Arial"/>
                <w:b/>
                <w:bCs/>
                <w:color w:val="000000"/>
                <w:sz w:val="18"/>
                <w:szCs w:val="18"/>
              </w:rPr>
              <w:t>526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38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8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38D" w14:textId="77777777" w:rsidR="006A3667" w:rsidRDefault="00045F32">
            <w:pPr>
              <w:jc w:val="right"/>
              <w:textAlignment w:val="bottom"/>
            </w:pPr>
            <w:r>
              <w:rPr>
                <w:rFonts w:ascii="Arial" w:eastAsia="宋体" w:hAnsi="Arial" w:cs="Arial"/>
                <w:color w:val="000000"/>
                <w:sz w:val="18"/>
                <w:szCs w:val="18"/>
              </w:rPr>
              <w:t>9 </w:t>
            </w:r>
          </w:p>
        </w:tc>
        <w:tc>
          <w:tcPr>
            <w:tcW w:w="0" w:type="auto"/>
            <w:shd w:val="clear" w:color="auto" w:fill="CCEEFF"/>
            <w:tcMar>
              <w:top w:w="40" w:type="dxa"/>
              <w:left w:w="0" w:type="dxa"/>
              <w:bottom w:w="40" w:type="dxa"/>
              <w:right w:w="20" w:type="dxa"/>
            </w:tcMar>
            <w:vAlign w:val="bottom"/>
          </w:tcPr>
          <w:p w14:paraId="71D4238E" w14:textId="77777777" w:rsidR="006A3667" w:rsidRDefault="006A3667">
            <w:pPr>
              <w:jc w:val="right"/>
              <w:rPr>
                <w:rFonts w:ascii="宋体"/>
              </w:rPr>
            </w:pPr>
          </w:p>
        </w:tc>
        <w:tc>
          <w:tcPr>
            <w:tcW w:w="0" w:type="auto"/>
            <w:gridSpan w:val="3"/>
            <w:shd w:val="clear" w:color="auto" w:fill="auto"/>
            <w:vAlign w:val="bottom"/>
          </w:tcPr>
          <w:p w14:paraId="71D4238F" w14:textId="77777777" w:rsidR="006A3667" w:rsidRDefault="006A3667">
            <w:pPr>
              <w:rPr>
                <w:rFonts w:ascii="宋体"/>
                <w:vanish/>
              </w:rPr>
            </w:pPr>
          </w:p>
        </w:tc>
        <w:tc>
          <w:tcPr>
            <w:tcW w:w="0" w:type="auto"/>
            <w:gridSpan w:val="3"/>
            <w:shd w:val="clear" w:color="auto" w:fill="auto"/>
            <w:vAlign w:val="bottom"/>
          </w:tcPr>
          <w:p w14:paraId="71D42390" w14:textId="77777777" w:rsidR="006A3667" w:rsidRDefault="006A3667">
            <w:pPr>
              <w:rPr>
                <w:rFonts w:ascii="宋体"/>
                <w:vanish/>
              </w:rPr>
            </w:pPr>
          </w:p>
        </w:tc>
      </w:tr>
      <w:tr w:rsidR="006A3667" w14:paraId="71D42398" w14:textId="77777777">
        <w:trPr>
          <w:hidden/>
        </w:trPr>
        <w:tc>
          <w:tcPr>
            <w:tcW w:w="0" w:type="auto"/>
            <w:gridSpan w:val="3"/>
            <w:shd w:val="clear" w:color="auto" w:fill="auto"/>
            <w:vAlign w:val="bottom"/>
          </w:tcPr>
          <w:p w14:paraId="71D42392" w14:textId="77777777" w:rsidR="006A3667" w:rsidRDefault="006A3667">
            <w:pPr>
              <w:rPr>
                <w:rFonts w:ascii="宋体"/>
                <w:vanish/>
              </w:rPr>
            </w:pPr>
          </w:p>
        </w:tc>
        <w:tc>
          <w:tcPr>
            <w:tcW w:w="0" w:type="auto"/>
            <w:gridSpan w:val="3"/>
            <w:shd w:val="clear" w:color="auto" w:fill="auto"/>
            <w:vAlign w:val="bottom"/>
          </w:tcPr>
          <w:p w14:paraId="71D42393" w14:textId="77777777" w:rsidR="006A3667" w:rsidRDefault="006A3667">
            <w:pPr>
              <w:rPr>
                <w:rFonts w:ascii="宋体"/>
                <w:vanish/>
              </w:rPr>
            </w:pPr>
          </w:p>
        </w:tc>
        <w:tc>
          <w:tcPr>
            <w:tcW w:w="0" w:type="auto"/>
            <w:gridSpan w:val="3"/>
            <w:shd w:val="clear" w:color="auto" w:fill="auto"/>
            <w:vAlign w:val="bottom"/>
          </w:tcPr>
          <w:p w14:paraId="71D42394" w14:textId="77777777" w:rsidR="006A3667" w:rsidRDefault="006A3667">
            <w:pPr>
              <w:rPr>
                <w:rFonts w:ascii="宋体"/>
                <w:vanish/>
              </w:rPr>
            </w:pPr>
          </w:p>
        </w:tc>
        <w:tc>
          <w:tcPr>
            <w:tcW w:w="0" w:type="auto"/>
            <w:gridSpan w:val="3"/>
            <w:shd w:val="clear" w:color="auto" w:fill="auto"/>
            <w:vAlign w:val="bottom"/>
          </w:tcPr>
          <w:p w14:paraId="71D42395" w14:textId="77777777" w:rsidR="006A3667" w:rsidRDefault="006A3667">
            <w:pPr>
              <w:rPr>
                <w:rFonts w:ascii="宋体"/>
                <w:vanish/>
              </w:rPr>
            </w:pPr>
          </w:p>
        </w:tc>
        <w:tc>
          <w:tcPr>
            <w:tcW w:w="0" w:type="auto"/>
            <w:gridSpan w:val="3"/>
            <w:shd w:val="clear" w:color="auto" w:fill="auto"/>
            <w:vAlign w:val="bottom"/>
          </w:tcPr>
          <w:p w14:paraId="71D42396" w14:textId="77777777" w:rsidR="006A3667" w:rsidRDefault="006A3667">
            <w:pPr>
              <w:rPr>
                <w:rFonts w:ascii="宋体"/>
                <w:vanish/>
              </w:rPr>
            </w:pPr>
          </w:p>
        </w:tc>
        <w:tc>
          <w:tcPr>
            <w:tcW w:w="0" w:type="auto"/>
            <w:gridSpan w:val="3"/>
            <w:shd w:val="clear" w:color="auto" w:fill="auto"/>
            <w:vAlign w:val="bottom"/>
          </w:tcPr>
          <w:p w14:paraId="71D42397" w14:textId="77777777" w:rsidR="006A3667" w:rsidRDefault="006A3667">
            <w:pPr>
              <w:rPr>
                <w:rFonts w:ascii="宋体"/>
                <w:vanish/>
              </w:rPr>
            </w:pPr>
          </w:p>
        </w:tc>
      </w:tr>
      <w:tr w:rsidR="006A3667" w14:paraId="71D423A1" w14:textId="77777777">
        <w:tc>
          <w:tcPr>
            <w:tcW w:w="0" w:type="auto"/>
            <w:gridSpan w:val="3"/>
            <w:shd w:val="clear" w:color="auto" w:fill="FFFFFF"/>
            <w:tcMar>
              <w:top w:w="40" w:type="dxa"/>
              <w:left w:w="20" w:type="dxa"/>
              <w:bottom w:w="40" w:type="dxa"/>
              <w:right w:w="20" w:type="dxa"/>
            </w:tcMar>
            <w:vAlign w:val="bottom"/>
          </w:tcPr>
          <w:p w14:paraId="71D42399" w14:textId="77777777" w:rsidR="006A3667" w:rsidRDefault="00045F32">
            <w:pPr>
              <w:jc w:val="both"/>
              <w:textAlignment w:val="bottom"/>
            </w:pPr>
            <w:r>
              <w:rPr>
                <w:rFonts w:ascii="Arial" w:eastAsia="宋体" w:hAnsi="Arial" w:cs="Arial"/>
                <w:color w:val="000000"/>
                <w:sz w:val="18"/>
                <w:szCs w:val="18"/>
              </w:rPr>
              <w:t>Net unrealized losses on cash flow hedges, net of related taxes of ($133) and ($8), respectively</w:t>
            </w:r>
          </w:p>
        </w:tc>
        <w:tc>
          <w:tcPr>
            <w:tcW w:w="0" w:type="auto"/>
            <w:gridSpan w:val="2"/>
            <w:shd w:val="clear" w:color="auto" w:fill="FFFFFF"/>
            <w:tcMar>
              <w:top w:w="40" w:type="dxa"/>
              <w:left w:w="20" w:type="dxa"/>
              <w:bottom w:w="40" w:type="dxa"/>
              <w:right w:w="0" w:type="dxa"/>
            </w:tcMar>
            <w:vAlign w:val="bottom"/>
          </w:tcPr>
          <w:p w14:paraId="71D4239A" w14:textId="77777777" w:rsidR="006A3667" w:rsidRDefault="00045F32">
            <w:pPr>
              <w:jc w:val="right"/>
              <w:textAlignment w:val="bottom"/>
            </w:pPr>
            <w:r>
              <w:rPr>
                <w:rFonts w:ascii="Arial" w:eastAsia="宋体" w:hAnsi="Arial" w:cs="Arial"/>
                <w:b/>
                <w:bCs/>
                <w:color w:val="000000"/>
                <w:sz w:val="18"/>
                <w:szCs w:val="18"/>
              </w:rPr>
              <w:t>(350)</w:t>
            </w:r>
          </w:p>
        </w:tc>
        <w:tc>
          <w:tcPr>
            <w:tcW w:w="0" w:type="auto"/>
            <w:shd w:val="clear" w:color="auto" w:fill="FFFFFF"/>
            <w:tcMar>
              <w:top w:w="40" w:type="dxa"/>
              <w:left w:w="0" w:type="dxa"/>
              <w:bottom w:w="40" w:type="dxa"/>
              <w:right w:w="20" w:type="dxa"/>
            </w:tcMar>
            <w:vAlign w:val="bottom"/>
          </w:tcPr>
          <w:p w14:paraId="71D4239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39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39D" w14:textId="77777777" w:rsidR="006A3667" w:rsidRDefault="00045F32">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71D4239E" w14:textId="77777777" w:rsidR="006A3667" w:rsidRDefault="006A3667">
            <w:pPr>
              <w:jc w:val="right"/>
              <w:rPr>
                <w:rFonts w:ascii="宋体"/>
              </w:rPr>
            </w:pPr>
          </w:p>
        </w:tc>
        <w:tc>
          <w:tcPr>
            <w:tcW w:w="0" w:type="auto"/>
            <w:gridSpan w:val="3"/>
            <w:shd w:val="clear" w:color="auto" w:fill="auto"/>
            <w:vAlign w:val="bottom"/>
          </w:tcPr>
          <w:p w14:paraId="71D4239F" w14:textId="77777777" w:rsidR="006A3667" w:rsidRDefault="006A3667">
            <w:pPr>
              <w:rPr>
                <w:rFonts w:ascii="宋体"/>
                <w:vanish/>
              </w:rPr>
            </w:pPr>
          </w:p>
        </w:tc>
        <w:tc>
          <w:tcPr>
            <w:tcW w:w="0" w:type="auto"/>
            <w:gridSpan w:val="3"/>
            <w:shd w:val="clear" w:color="auto" w:fill="auto"/>
            <w:vAlign w:val="bottom"/>
          </w:tcPr>
          <w:p w14:paraId="71D423A0" w14:textId="77777777" w:rsidR="006A3667" w:rsidRDefault="006A3667">
            <w:pPr>
              <w:rPr>
                <w:rFonts w:ascii="宋体"/>
                <w:vanish/>
              </w:rPr>
            </w:pPr>
          </w:p>
        </w:tc>
      </w:tr>
      <w:tr w:rsidR="006A3667" w14:paraId="71D423AA" w14:textId="77777777">
        <w:tc>
          <w:tcPr>
            <w:tcW w:w="0" w:type="auto"/>
            <w:gridSpan w:val="3"/>
            <w:shd w:val="clear" w:color="auto" w:fill="CCEEFF"/>
            <w:tcMar>
              <w:top w:w="40" w:type="dxa"/>
              <w:left w:w="20" w:type="dxa"/>
              <w:bottom w:w="40" w:type="dxa"/>
              <w:right w:w="20" w:type="dxa"/>
            </w:tcMar>
            <w:vAlign w:val="bottom"/>
          </w:tcPr>
          <w:p w14:paraId="71D423A2" w14:textId="77777777" w:rsidR="006A3667" w:rsidRDefault="00045F32">
            <w:pPr>
              <w:jc w:val="both"/>
              <w:textAlignment w:val="bottom"/>
            </w:pPr>
            <w:r>
              <w:rPr>
                <w:rFonts w:ascii="Arial" w:eastAsia="宋体" w:hAnsi="Arial" w:cs="Arial"/>
                <w:color w:val="000000"/>
                <w:sz w:val="18"/>
                <w:szCs w:val="18"/>
              </w:rPr>
              <w:t>Net unrealized gains on retirement plans, net of related taxes of $8 and $5, respectively</w:t>
            </w:r>
          </w:p>
        </w:tc>
        <w:tc>
          <w:tcPr>
            <w:tcW w:w="0" w:type="auto"/>
            <w:gridSpan w:val="2"/>
            <w:shd w:val="clear" w:color="auto" w:fill="CCEEFF"/>
            <w:tcMar>
              <w:top w:w="40" w:type="dxa"/>
              <w:left w:w="20" w:type="dxa"/>
              <w:bottom w:w="40" w:type="dxa"/>
              <w:right w:w="0" w:type="dxa"/>
            </w:tcMar>
            <w:vAlign w:val="bottom"/>
          </w:tcPr>
          <w:p w14:paraId="71D423A3" w14:textId="77777777" w:rsidR="006A3667" w:rsidRDefault="00045F32">
            <w:pPr>
              <w:jc w:val="right"/>
              <w:textAlignment w:val="bottom"/>
            </w:pPr>
            <w:r>
              <w:rPr>
                <w:rFonts w:ascii="Arial" w:eastAsia="宋体" w:hAnsi="Arial" w:cs="Arial"/>
                <w:b/>
                <w:bCs/>
                <w:color w:val="000000"/>
                <w:sz w:val="18"/>
                <w:szCs w:val="18"/>
              </w:rPr>
              <w:t>18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3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A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3A6" w14:textId="77777777" w:rsidR="006A3667" w:rsidRDefault="00045F32">
            <w:pPr>
              <w:jc w:val="right"/>
              <w:textAlignment w:val="bottom"/>
            </w:pPr>
            <w:r>
              <w:rPr>
                <w:rFonts w:ascii="Arial" w:eastAsia="宋体" w:hAnsi="Arial" w:cs="Arial"/>
                <w:color w:val="000000"/>
                <w:sz w:val="18"/>
                <w:szCs w:val="18"/>
              </w:rPr>
              <w:t>12 </w:t>
            </w:r>
          </w:p>
        </w:tc>
        <w:tc>
          <w:tcPr>
            <w:tcW w:w="0" w:type="auto"/>
            <w:shd w:val="clear" w:color="auto" w:fill="CCEEFF"/>
            <w:tcMar>
              <w:top w:w="40" w:type="dxa"/>
              <w:left w:w="0" w:type="dxa"/>
              <w:bottom w:w="40" w:type="dxa"/>
              <w:right w:w="20" w:type="dxa"/>
            </w:tcMar>
            <w:vAlign w:val="bottom"/>
          </w:tcPr>
          <w:p w14:paraId="71D423A7" w14:textId="77777777" w:rsidR="006A3667" w:rsidRDefault="006A3667">
            <w:pPr>
              <w:jc w:val="right"/>
              <w:rPr>
                <w:rFonts w:ascii="宋体"/>
              </w:rPr>
            </w:pPr>
          </w:p>
        </w:tc>
        <w:tc>
          <w:tcPr>
            <w:tcW w:w="0" w:type="auto"/>
            <w:gridSpan w:val="3"/>
            <w:shd w:val="clear" w:color="auto" w:fill="auto"/>
            <w:vAlign w:val="bottom"/>
          </w:tcPr>
          <w:p w14:paraId="71D423A8" w14:textId="77777777" w:rsidR="006A3667" w:rsidRDefault="006A3667">
            <w:pPr>
              <w:rPr>
                <w:rFonts w:ascii="宋体"/>
                <w:vanish/>
              </w:rPr>
            </w:pPr>
          </w:p>
        </w:tc>
        <w:tc>
          <w:tcPr>
            <w:tcW w:w="0" w:type="auto"/>
            <w:gridSpan w:val="3"/>
            <w:shd w:val="clear" w:color="auto" w:fill="auto"/>
            <w:vAlign w:val="bottom"/>
          </w:tcPr>
          <w:p w14:paraId="71D423A9" w14:textId="77777777" w:rsidR="006A3667" w:rsidRDefault="006A3667">
            <w:pPr>
              <w:rPr>
                <w:rFonts w:ascii="宋体"/>
                <w:vanish/>
              </w:rPr>
            </w:pPr>
          </w:p>
        </w:tc>
      </w:tr>
      <w:tr w:rsidR="006A3667" w14:paraId="71D423B3" w14:textId="77777777">
        <w:tc>
          <w:tcPr>
            <w:tcW w:w="0" w:type="auto"/>
            <w:gridSpan w:val="3"/>
            <w:shd w:val="clear" w:color="auto" w:fill="FFFFFF"/>
            <w:tcMar>
              <w:top w:w="40" w:type="dxa"/>
              <w:left w:w="20" w:type="dxa"/>
              <w:bottom w:w="40" w:type="dxa"/>
              <w:right w:w="20" w:type="dxa"/>
            </w:tcMar>
            <w:vAlign w:val="bottom"/>
          </w:tcPr>
          <w:p w14:paraId="71D423AB" w14:textId="77777777" w:rsidR="006A3667" w:rsidRDefault="00045F32">
            <w:pPr>
              <w:textAlignment w:val="bottom"/>
            </w:pPr>
            <w:r>
              <w:rPr>
                <w:rFonts w:ascii="Arial" w:eastAsia="宋体" w:hAnsi="Arial" w:cs="Arial"/>
                <w:b/>
                <w:bCs/>
                <w:color w:val="000000"/>
                <w:sz w:val="18"/>
                <w:szCs w:val="18"/>
              </w:rPr>
              <w:t xml:space="preserve">Other </w:t>
            </w:r>
            <w:r>
              <w:rPr>
                <w:rFonts w:ascii="Arial" w:eastAsia="宋体" w:hAnsi="Arial" w:cs="Arial"/>
                <w:b/>
                <w:bCs/>
                <w:color w:val="000000"/>
                <w:sz w:val="18"/>
                <w:szCs w:val="18"/>
              </w:rPr>
              <w:t>comprehensive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3AC" w14:textId="77777777" w:rsidR="006A3667" w:rsidRDefault="00045F32">
            <w:pPr>
              <w:jc w:val="right"/>
              <w:textAlignment w:val="bottom"/>
            </w:pPr>
            <w:r>
              <w:rPr>
                <w:rFonts w:ascii="Arial" w:eastAsia="宋体" w:hAnsi="Arial" w:cs="Arial"/>
                <w:b/>
                <w:bCs/>
                <w:color w:val="000000"/>
                <w:sz w:val="18"/>
                <w:szCs w:val="18"/>
              </w:rPr>
              <w:t>(3,135)</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3A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3A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3AF" w14:textId="77777777" w:rsidR="006A3667" w:rsidRDefault="00045F32">
            <w:pPr>
              <w:jc w:val="right"/>
              <w:textAlignment w:val="bottom"/>
            </w:pPr>
            <w:r>
              <w:rPr>
                <w:rFonts w:ascii="Arial" w:eastAsia="宋体" w:hAnsi="Arial" w:cs="Arial"/>
                <w:color w:val="000000"/>
                <w:sz w:val="18"/>
                <w:szCs w:val="18"/>
              </w:rPr>
              <w:t>(869)</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3B0" w14:textId="77777777" w:rsidR="006A3667" w:rsidRDefault="006A3667">
            <w:pPr>
              <w:jc w:val="right"/>
              <w:rPr>
                <w:rFonts w:ascii="宋体"/>
              </w:rPr>
            </w:pPr>
          </w:p>
        </w:tc>
        <w:tc>
          <w:tcPr>
            <w:tcW w:w="0" w:type="auto"/>
            <w:gridSpan w:val="3"/>
            <w:shd w:val="clear" w:color="auto" w:fill="auto"/>
            <w:vAlign w:val="bottom"/>
          </w:tcPr>
          <w:p w14:paraId="71D423B1" w14:textId="77777777" w:rsidR="006A3667" w:rsidRDefault="006A3667">
            <w:pPr>
              <w:rPr>
                <w:rFonts w:ascii="宋体"/>
                <w:vanish/>
              </w:rPr>
            </w:pPr>
          </w:p>
        </w:tc>
        <w:tc>
          <w:tcPr>
            <w:tcW w:w="0" w:type="auto"/>
            <w:gridSpan w:val="3"/>
            <w:shd w:val="clear" w:color="auto" w:fill="auto"/>
            <w:vAlign w:val="bottom"/>
          </w:tcPr>
          <w:p w14:paraId="71D423B2" w14:textId="77777777" w:rsidR="006A3667" w:rsidRDefault="006A3667">
            <w:pPr>
              <w:rPr>
                <w:rFonts w:ascii="宋体"/>
                <w:vanish/>
              </w:rPr>
            </w:pPr>
          </w:p>
        </w:tc>
      </w:tr>
      <w:tr w:rsidR="006A3667" w14:paraId="71D423BE" w14:textId="77777777">
        <w:tc>
          <w:tcPr>
            <w:tcW w:w="0" w:type="auto"/>
            <w:gridSpan w:val="3"/>
            <w:shd w:val="clear" w:color="auto" w:fill="CCEEFF"/>
            <w:tcMar>
              <w:top w:w="40" w:type="dxa"/>
              <w:left w:w="20" w:type="dxa"/>
              <w:bottom w:w="40" w:type="dxa"/>
              <w:right w:w="20" w:type="dxa"/>
            </w:tcMar>
            <w:vAlign w:val="bottom"/>
          </w:tcPr>
          <w:p w14:paraId="71D423B4" w14:textId="77777777" w:rsidR="006A3667" w:rsidRDefault="00045F32">
            <w:pPr>
              <w:textAlignment w:val="bottom"/>
            </w:pPr>
            <w:r>
              <w:rPr>
                <w:rFonts w:ascii="Arial" w:eastAsia="宋体" w:hAnsi="Arial" w:cs="Arial"/>
                <w:b/>
                <w:bCs/>
                <w:color w:val="000000"/>
                <w:sz w:val="18"/>
                <w:szCs w:val="18"/>
              </w:rPr>
              <w:t>Total comprehensive income (loss)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23B5" w14:textId="77777777" w:rsidR="006A3667" w:rsidRDefault="00045F32">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23B6" w14:textId="77777777" w:rsidR="006A3667" w:rsidRDefault="00045F32">
            <w:pPr>
              <w:jc w:val="right"/>
              <w:textAlignment w:val="bottom"/>
            </w:pPr>
            <w:r>
              <w:rPr>
                <w:rFonts w:ascii="Arial" w:eastAsia="宋体" w:hAnsi="Arial" w:cs="Arial"/>
                <w:b/>
                <w:bCs/>
                <w:color w:val="000000"/>
                <w:sz w:val="18"/>
                <w:szCs w:val="18"/>
              </w:rPr>
              <w:t>(1,094)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23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B8"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23B9" w14:textId="77777777" w:rsidR="006A3667" w:rsidRDefault="00045F3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23BA" w14:textId="77777777" w:rsidR="006A3667" w:rsidRDefault="00045F32">
            <w:pPr>
              <w:jc w:val="right"/>
              <w:textAlignment w:val="bottom"/>
            </w:pPr>
            <w:r>
              <w:rPr>
                <w:rFonts w:ascii="Arial" w:eastAsia="宋体" w:hAnsi="Arial" w:cs="Arial"/>
                <w:color w:val="000000"/>
                <w:sz w:val="18"/>
                <w:szCs w:val="18"/>
              </w:rPr>
              <w:t>1,127 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23BB" w14:textId="77777777" w:rsidR="006A3667" w:rsidRDefault="006A3667">
            <w:pPr>
              <w:jc w:val="right"/>
              <w:rPr>
                <w:rFonts w:ascii="宋体"/>
              </w:rPr>
            </w:pPr>
          </w:p>
        </w:tc>
        <w:tc>
          <w:tcPr>
            <w:tcW w:w="0" w:type="auto"/>
            <w:gridSpan w:val="3"/>
            <w:shd w:val="clear" w:color="auto" w:fill="auto"/>
            <w:vAlign w:val="bottom"/>
          </w:tcPr>
          <w:p w14:paraId="71D423BC" w14:textId="77777777" w:rsidR="006A3667" w:rsidRDefault="006A3667">
            <w:pPr>
              <w:rPr>
                <w:rFonts w:ascii="宋体"/>
                <w:vanish/>
              </w:rPr>
            </w:pPr>
          </w:p>
        </w:tc>
        <w:tc>
          <w:tcPr>
            <w:tcW w:w="0" w:type="auto"/>
            <w:gridSpan w:val="3"/>
            <w:shd w:val="clear" w:color="auto" w:fill="auto"/>
            <w:vAlign w:val="bottom"/>
          </w:tcPr>
          <w:p w14:paraId="71D423BD" w14:textId="77777777" w:rsidR="006A3667" w:rsidRDefault="006A3667">
            <w:pPr>
              <w:rPr>
                <w:rFonts w:ascii="宋体"/>
                <w:vanish/>
              </w:rPr>
            </w:pPr>
          </w:p>
        </w:tc>
      </w:tr>
    </w:tbl>
    <w:p w14:paraId="71D423BF" w14:textId="77777777" w:rsidR="006A3667" w:rsidRDefault="006A3667">
      <w:pPr>
        <w:ind w:firstLine="450"/>
        <w:jc w:val="center"/>
      </w:pPr>
    </w:p>
    <w:p w14:paraId="71D423C0" w14:textId="77777777" w:rsidR="006A3667" w:rsidRDefault="006A3667">
      <w:pPr>
        <w:spacing w:before="90"/>
        <w:ind w:firstLine="450"/>
        <w:jc w:val="center"/>
      </w:pPr>
    </w:p>
    <w:p w14:paraId="71D423C1" w14:textId="77777777" w:rsidR="006A3667" w:rsidRDefault="006A3667">
      <w:pPr>
        <w:spacing w:before="90"/>
        <w:ind w:firstLine="450"/>
        <w:jc w:val="center"/>
      </w:pPr>
    </w:p>
    <w:p w14:paraId="71D423C2" w14:textId="77777777" w:rsidR="006A3667" w:rsidRDefault="006A3667">
      <w:pPr>
        <w:ind w:firstLine="450"/>
      </w:pPr>
    </w:p>
    <w:p w14:paraId="71D423C3" w14:textId="77777777" w:rsidR="006A3667" w:rsidRDefault="006A3667">
      <w:pPr>
        <w:ind w:firstLine="450"/>
      </w:pPr>
    </w:p>
    <w:p w14:paraId="71D423C4" w14:textId="77777777" w:rsidR="006A3667" w:rsidRDefault="006A3667">
      <w:pPr>
        <w:spacing w:before="60"/>
        <w:ind w:firstLine="450"/>
      </w:pPr>
    </w:p>
    <w:p w14:paraId="71D423C5" w14:textId="77777777" w:rsidR="006A3667" w:rsidRDefault="006A3667">
      <w:pPr>
        <w:spacing w:before="60"/>
        <w:ind w:firstLine="450"/>
      </w:pPr>
    </w:p>
    <w:p w14:paraId="71D423C6" w14:textId="77777777" w:rsidR="006A3667" w:rsidRDefault="006A3667">
      <w:pPr>
        <w:spacing w:before="60"/>
        <w:ind w:firstLine="450"/>
      </w:pPr>
    </w:p>
    <w:p w14:paraId="71D423C7" w14:textId="77777777" w:rsidR="006A3667" w:rsidRDefault="006A3667">
      <w:pPr>
        <w:spacing w:before="60"/>
        <w:ind w:firstLine="450"/>
      </w:pPr>
    </w:p>
    <w:p w14:paraId="71D423C8" w14:textId="77777777" w:rsidR="006A3667" w:rsidRDefault="006A3667">
      <w:pPr>
        <w:spacing w:before="60"/>
        <w:ind w:firstLine="450"/>
      </w:pPr>
    </w:p>
    <w:p w14:paraId="71D423C9" w14:textId="77777777" w:rsidR="006A3667" w:rsidRDefault="006A3667">
      <w:pPr>
        <w:spacing w:before="60"/>
        <w:ind w:firstLine="450"/>
      </w:pPr>
    </w:p>
    <w:p w14:paraId="71D423CA" w14:textId="77777777" w:rsidR="006A3667" w:rsidRDefault="006A3667">
      <w:pPr>
        <w:spacing w:before="60"/>
        <w:ind w:firstLine="450"/>
      </w:pPr>
    </w:p>
    <w:p w14:paraId="71D423CB" w14:textId="77777777" w:rsidR="006A3667" w:rsidRDefault="006A3667">
      <w:pPr>
        <w:spacing w:before="60"/>
        <w:ind w:firstLine="450"/>
      </w:pPr>
    </w:p>
    <w:p w14:paraId="71D423CC" w14:textId="77777777" w:rsidR="006A3667" w:rsidRDefault="006A3667">
      <w:pPr>
        <w:spacing w:before="60"/>
        <w:ind w:firstLine="450"/>
      </w:pPr>
    </w:p>
    <w:p w14:paraId="71D423CD" w14:textId="77777777" w:rsidR="006A3667" w:rsidRDefault="006A3667">
      <w:pPr>
        <w:spacing w:before="60"/>
        <w:ind w:firstLine="450"/>
      </w:pPr>
    </w:p>
    <w:p w14:paraId="71D423CE" w14:textId="77777777" w:rsidR="006A3667" w:rsidRDefault="00045F32">
      <w:pPr>
        <w:spacing w:before="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1D423CF" w14:textId="77777777" w:rsidR="006A3667" w:rsidRDefault="00045F32">
      <w:pPr>
        <w:ind w:firstLine="450"/>
        <w:jc w:val="right"/>
      </w:pPr>
      <w:r>
        <w:rPr>
          <w:rFonts w:ascii="Arial" w:eastAsia="宋体" w:hAnsi="Arial" w:cs="Arial"/>
          <w:color w:val="000000"/>
          <w:sz w:val="18"/>
          <w:szCs w:val="18"/>
        </w:rPr>
        <w:t>State Street Corporation | 55</w:t>
      </w:r>
    </w:p>
    <w:p w14:paraId="71D423D0" w14:textId="77777777" w:rsidR="006A3667" w:rsidRDefault="006A3667">
      <w:pPr>
        <w:ind w:firstLine="450"/>
        <w:jc w:val="center"/>
      </w:pPr>
    </w:p>
    <w:p w14:paraId="71D423D1" w14:textId="77777777" w:rsidR="006A3667" w:rsidRDefault="00045F32">
      <w:r>
        <w:pict w14:anchorId="71D4AC4B">
          <v:rect id="_x0000_i1079" style="width:415.3pt;height:1.5pt" o:hralign="center" o:hrstd="t" o:hr="t" fillcolor="#a0a0a0" stroked="f"/>
        </w:pict>
      </w:r>
    </w:p>
    <w:p w14:paraId="71D423D2" w14:textId="77777777" w:rsidR="006A3667" w:rsidRDefault="006A3667">
      <w:pPr>
        <w:ind w:firstLine="450"/>
      </w:pPr>
    </w:p>
    <w:p w14:paraId="71D423D3" w14:textId="77777777" w:rsidR="006A3667" w:rsidRDefault="00045F32">
      <w:pPr>
        <w:ind w:firstLine="450"/>
        <w:jc w:val="center"/>
      </w:pPr>
      <w:r>
        <w:rPr>
          <w:rFonts w:ascii="Arial" w:eastAsia="宋体" w:hAnsi="Arial" w:cs="Arial"/>
          <w:b/>
          <w:bCs/>
          <w:color w:val="000000"/>
          <w:sz w:val="20"/>
          <w:szCs w:val="20"/>
        </w:rPr>
        <w:t>STATE STREET CORPORATION</w:t>
      </w:r>
    </w:p>
    <w:p w14:paraId="71D423D4" w14:textId="77777777" w:rsidR="006A3667" w:rsidRDefault="00045F32">
      <w:pPr>
        <w:spacing w:after="40"/>
        <w:ind w:firstLine="450"/>
        <w:jc w:val="center"/>
      </w:pPr>
      <w:r>
        <w:rPr>
          <w:rFonts w:ascii="Arial" w:eastAsia="宋体" w:hAnsi="Arial" w:cs="Arial"/>
          <w:b/>
          <w:bCs/>
          <w:color w:val="000000"/>
          <w:sz w:val="20"/>
          <w:szCs w:val="20"/>
        </w:rPr>
        <w:t>CONSOLIDATED STATEMENT OF CONDITION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68"/>
        <w:gridCol w:w="39"/>
        <w:gridCol w:w="123"/>
        <w:gridCol w:w="1400"/>
        <w:gridCol w:w="37"/>
        <w:gridCol w:w="36"/>
        <w:gridCol w:w="36"/>
        <w:gridCol w:w="36"/>
        <w:gridCol w:w="122"/>
        <w:gridCol w:w="1363"/>
        <w:gridCol w:w="36"/>
      </w:tblGrid>
      <w:tr w:rsidR="006A3667" w14:paraId="71D423E1" w14:textId="77777777">
        <w:trPr>
          <w:jc w:val="center"/>
        </w:trPr>
        <w:tc>
          <w:tcPr>
            <w:tcW w:w="50" w:type="pct"/>
            <w:shd w:val="clear" w:color="auto" w:fill="auto"/>
            <w:vAlign w:val="bottom"/>
          </w:tcPr>
          <w:p w14:paraId="71D423D5" w14:textId="77777777" w:rsidR="006A3667" w:rsidRDefault="006A3667">
            <w:pPr>
              <w:rPr>
                <w:rFonts w:ascii="宋体"/>
              </w:rPr>
            </w:pPr>
          </w:p>
        </w:tc>
        <w:tc>
          <w:tcPr>
            <w:tcW w:w="3066" w:type="pct"/>
            <w:shd w:val="clear" w:color="auto" w:fill="auto"/>
            <w:vAlign w:val="bottom"/>
          </w:tcPr>
          <w:p w14:paraId="71D423D6" w14:textId="77777777" w:rsidR="006A3667" w:rsidRDefault="006A3667">
            <w:pPr>
              <w:rPr>
                <w:rFonts w:ascii="宋体"/>
              </w:rPr>
            </w:pPr>
          </w:p>
        </w:tc>
        <w:tc>
          <w:tcPr>
            <w:tcW w:w="5" w:type="pct"/>
            <w:shd w:val="clear" w:color="auto" w:fill="auto"/>
            <w:vAlign w:val="bottom"/>
          </w:tcPr>
          <w:p w14:paraId="71D423D7" w14:textId="77777777" w:rsidR="006A3667" w:rsidRDefault="006A3667">
            <w:pPr>
              <w:rPr>
                <w:rFonts w:ascii="宋体"/>
              </w:rPr>
            </w:pPr>
          </w:p>
        </w:tc>
        <w:tc>
          <w:tcPr>
            <w:tcW w:w="50" w:type="pct"/>
            <w:shd w:val="clear" w:color="auto" w:fill="auto"/>
            <w:vAlign w:val="bottom"/>
          </w:tcPr>
          <w:p w14:paraId="71D423D8" w14:textId="77777777" w:rsidR="006A3667" w:rsidRDefault="006A3667">
            <w:pPr>
              <w:rPr>
                <w:rFonts w:ascii="宋体"/>
              </w:rPr>
            </w:pPr>
          </w:p>
        </w:tc>
        <w:tc>
          <w:tcPr>
            <w:tcW w:w="866" w:type="pct"/>
            <w:shd w:val="clear" w:color="auto" w:fill="auto"/>
            <w:vAlign w:val="bottom"/>
          </w:tcPr>
          <w:p w14:paraId="71D423D9" w14:textId="77777777" w:rsidR="006A3667" w:rsidRDefault="006A3667">
            <w:pPr>
              <w:rPr>
                <w:rFonts w:ascii="宋体"/>
              </w:rPr>
            </w:pPr>
          </w:p>
        </w:tc>
        <w:tc>
          <w:tcPr>
            <w:tcW w:w="5" w:type="pct"/>
            <w:shd w:val="clear" w:color="auto" w:fill="auto"/>
            <w:vAlign w:val="bottom"/>
          </w:tcPr>
          <w:p w14:paraId="71D423DA" w14:textId="77777777" w:rsidR="006A3667" w:rsidRDefault="006A3667">
            <w:pPr>
              <w:rPr>
                <w:rFonts w:ascii="宋体"/>
              </w:rPr>
            </w:pPr>
          </w:p>
        </w:tc>
        <w:tc>
          <w:tcPr>
            <w:tcW w:w="5" w:type="pct"/>
            <w:shd w:val="clear" w:color="auto" w:fill="auto"/>
            <w:vAlign w:val="bottom"/>
          </w:tcPr>
          <w:p w14:paraId="71D423DB" w14:textId="77777777" w:rsidR="006A3667" w:rsidRDefault="006A3667">
            <w:pPr>
              <w:rPr>
                <w:rFonts w:ascii="宋体"/>
              </w:rPr>
            </w:pPr>
          </w:p>
        </w:tc>
        <w:tc>
          <w:tcPr>
            <w:tcW w:w="26" w:type="pct"/>
            <w:shd w:val="clear" w:color="auto" w:fill="auto"/>
            <w:vAlign w:val="bottom"/>
          </w:tcPr>
          <w:p w14:paraId="71D423DC" w14:textId="77777777" w:rsidR="006A3667" w:rsidRDefault="006A3667">
            <w:pPr>
              <w:rPr>
                <w:rFonts w:ascii="宋体"/>
              </w:rPr>
            </w:pPr>
          </w:p>
        </w:tc>
        <w:tc>
          <w:tcPr>
            <w:tcW w:w="5" w:type="pct"/>
            <w:shd w:val="clear" w:color="auto" w:fill="auto"/>
            <w:vAlign w:val="bottom"/>
          </w:tcPr>
          <w:p w14:paraId="71D423DD" w14:textId="77777777" w:rsidR="006A3667" w:rsidRDefault="006A3667">
            <w:pPr>
              <w:rPr>
                <w:rFonts w:ascii="宋体"/>
              </w:rPr>
            </w:pPr>
          </w:p>
        </w:tc>
        <w:tc>
          <w:tcPr>
            <w:tcW w:w="50" w:type="pct"/>
            <w:shd w:val="clear" w:color="auto" w:fill="auto"/>
            <w:vAlign w:val="bottom"/>
          </w:tcPr>
          <w:p w14:paraId="71D423DE" w14:textId="77777777" w:rsidR="006A3667" w:rsidRDefault="006A3667">
            <w:pPr>
              <w:rPr>
                <w:rFonts w:ascii="宋体"/>
              </w:rPr>
            </w:pPr>
          </w:p>
        </w:tc>
        <w:tc>
          <w:tcPr>
            <w:tcW w:w="866" w:type="pct"/>
            <w:shd w:val="clear" w:color="auto" w:fill="auto"/>
            <w:vAlign w:val="bottom"/>
          </w:tcPr>
          <w:p w14:paraId="71D423DF" w14:textId="77777777" w:rsidR="006A3667" w:rsidRDefault="006A3667">
            <w:pPr>
              <w:rPr>
                <w:rFonts w:ascii="宋体"/>
              </w:rPr>
            </w:pPr>
          </w:p>
        </w:tc>
        <w:tc>
          <w:tcPr>
            <w:tcW w:w="5" w:type="pct"/>
            <w:shd w:val="clear" w:color="auto" w:fill="auto"/>
            <w:vAlign w:val="bottom"/>
          </w:tcPr>
          <w:p w14:paraId="71D423E0" w14:textId="77777777" w:rsidR="006A3667" w:rsidRDefault="006A3667">
            <w:pPr>
              <w:rPr>
                <w:rFonts w:ascii="宋体"/>
              </w:rPr>
            </w:pPr>
          </w:p>
        </w:tc>
      </w:tr>
      <w:tr w:rsidR="006A3667" w14:paraId="71D423E6" w14:textId="77777777">
        <w:trPr>
          <w:jc w:val="center"/>
        </w:trPr>
        <w:tc>
          <w:tcPr>
            <w:tcW w:w="0" w:type="auto"/>
            <w:gridSpan w:val="3"/>
            <w:shd w:val="clear" w:color="auto" w:fill="auto"/>
            <w:tcMar>
              <w:top w:w="0" w:type="dxa"/>
              <w:left w:w="20" w:type="dxa"/>
              <w:bottom w:w="0" w:type="dxa"/>
              <w:right w:w="20" w:type="dxa"/>
            </w:tcMar>
            <w:vAlign w:val="bottom"/>
          </w:tcPr>
          <w:p w14:paraId="71D423E2"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23E3" w14:textId="77777777" w:rsidR="006A3667" w:rsidRDefault="00045F32">
            <w:pPr>
              <w:jc w:val="center"/>
              <w:textAlignment w:val="bottom"/>
            </w:pPr>
            <w:r>
              <w:rPr>
                <w:rFonts w:ascii="Arial" w:eastAsia="宋体" w:hAnsi="Arial" w:cs="Arial"/>
                <w:b/>
                <w:bCs/>
                <w:color w:val="000000"/>
                <w:sz w:val="18"/>
                <w:szCs w:val="18"/>
              </w:rPr>
              <w:t>September 30, 2022</w:t>
            </w:r>
          </w:p>
        </w:tc>
        <w:tc>
          <w:tcPr>
            <w:tcW w:w="0" w:type="auto"/>
            <w:gridSpan w:val="3"/>
            <w:shd w:val="clear" w:color="auto" w:fill="auto"/>
            <w:tcMar>
              <w:top w:w="0" w:type="dxa"/>
              <w:left w:w="20" w:type="dxa"/>
              <w:bottom w:w="0" w:type="dxa"/>
              <w:right w:w="20" w:type="dxa"/>
            </w:tcMar>
            <w:vAlign w:val="bottom"/>
          </w:tcPr>
          <w:p w14:paraId="71D423E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23E5" w14:textId="77777777" w:rsidR="006A3667" w:rsidRDefault="00045F32">
            <w:pPr>
              <w:jc w:val="center"/>
              <w:textAlignment w:val="bottom"/>
            </w:pPr>
            <w:r>
              <w:rPr>
                <w:rFonts w:ascii="Arial" w:eastAsia="宋体" w:hAnsi="Arial" w:cs="Arial"/>
                <w:b/>
                <w:bCs/>
                <w:color w:val="000000"/>
                <w:sz w:val="18"/>
                <w:szCs w:val="18"/>
              </w:rPr>
              <w:t>December 31, 2021</w:t>
            </w:r>
          </w:p>
        </w:tc>
      </w:tr>
      <w:tr w:rsidR="006A3667" w14:paraId="71D423EF" w14:textId="77777777">
        <w:trPr>
          <w:jc w:val="center"/>
          <w:hidden/>
        </w:trPr>
        <w:tc>
          <w:tcPr>
            <w:tcW w:w="0" w:type="auto"/>
            <w:gridSpan w:val="3"/>
            <w:shd w:val="clear" w:color="auto" w:fill="auto"/>
            <w:vAlign w:val="bottom"/>
          </w:tcPr>
          <w:p w14:paraId="71D423E7" w14:textId="77777777" w:rsidR="006A3667" w:rsidRDefault="006A3667">
            <w:pPr>
              <w:rPr>
                <w:rFonts w:ascii="宋体"/>
                <w:vanish/>
              </w:rPr>
            </w:pPr>
          </w:p>
        </w:tc>
        <w:tc>
          <w:tcPr>
            <w:tcW w:w="0" w:type="auto"/>
            <w:gridSpan w:val="3"/>
            <w:shd w:val="clear" w:color="auto" w:fill="auto"/>
            <w:vAlign w:val="bottom"/>
          </w:tcPr>
          <w:p w14:paraId="71D423E8" w14:textId="77777777" w:rsidR="006A3667" w:rsidRDefault="006A3667">
            <w:pPr>
              <w:rPr>
                <w:rFonts w:ascii="宋体"/>
                <w:vanish/>
              </w:rPr>
            </w:pPr>
          </w:p>
        </w:tc>
        <w:tc>
          <w:tcPr>
            <w:tcW w:w="0" w:type="auto"/>
            <w:shd w:val="clear" w:color="auto" w:fill="auto"/>
            <w:vAlign w:val="bottom"/>
          </w:tcPr>
          <w:p w14:paraId="71D423E9" w14:textId="77777777" w:rsidR="006A3667" w:rsidRDefault="006A3667">
            <w:pPr>
              <w:rPr>
                <w:rFonts w:ascii="宋体"/>
              </w:rPr>
            </w:pPr>
          </w:p>
        </w:tc>
        <w:tc>
          <w:tcPr>
            <w:tcW w:w="0" w:type="auto"/>
            <w:shd w:val="clear" w:color="auto" w:fill="auto"/>
            <w:vAlign w:val="bottom"/>
          </w:tcPr>
          <w:p w14:paraId="71D423EA" w14:textId="77777777" w:rsidR="006A3667" w:rsidRDefault="006A3667">
            <w:pPr>
              <w:rPr>
                <w:rFonts w:ascii="宋体"/>
              </w:rPr>
            </w:pPr>
          </w:p>
        </w:tc>
        <w:tc>
          <w:tcPr>
            <w:tcW w:w="0" w:type="auto"/>
            <w:shd w:val="clear" w:color="auto" w:fill="auto"/>
            <w:vAlign w:val="bottom"/>
          </w:tcPr>
          <w:p w14:paraId="71D423EB" w14:textId="77777777" w:rsidR="006A3667" w:rsidRDefault="006A3667">
            <w:pPr>
              <w:rPr>
                <w:rFonts w:ascii="宋体"/>
              </w:rPr>
            </w:pPr>
          </w:p>
        </w:tc>
        <w:tc>
          <w:tcPr>
            <w:tcW w:w="0" w:type="auto"/>
            <w:shd w:val="clear" w:color="auto" w:fill="auto"/>
            <w:vAlign w:val="bottom"/>
          </w:tcPr>
          <w:p w14:paraId="71D423EC" w14:textId="77777777" w:rsidR="006A3667" w:rsidRDefault="006A3667">
            <w:pPr>
              <w:rPr>
                <w:rFonts w:ascii="宋体"/>
              </w:rPr>
            </w:pPr>
          </w:p>
        </w:tc>
        <w:tc>
          <w:tcPr>
            <w:tcW w:w="0" w:type="auto"/>
            <w:shd w:val="clear" w:color="auto" w:fill="auto"/>
            <w:vAlign w:val="bottom"/>
          </w:tcPr>
          <w:p w14:paraId="71D423ED" w14:textId="77777777" w:rsidR="006A3667" w:rsidRDefault="006A3667">
            <w:pPr>
              <w:rPr>
                <w:rFonts w:ascii="宋体"/>
              </w:rPr>
            </w:pPr>
          </w:p>
        </w:tc>
        <w:tc>
          <w:tcPr>
            <w:tcW w:w="0" w:type="auto"/>
            <w:shd w:val="clear" w:color="auto" w:fill="auto"/>
            <w:vAlign w:val="bottom"/>
          </w:tcPr>
          <w:p w14:paraId="71D423EE" w14:textId="77777777" w:rsidR="006A3667" w:rsidRDefault="006A3667">
            <w:pPr>
              <w:rPr>
                <w:rFonts w:ascii="宋体"/>
              </w:rPr>
            </w:pPr>
          </w:p>
        </w:tc>
      </w:tr>
      <w:tr w:rsidR="006A3667" w14:paraId="71D423F4" w14:textId="77777777">
        <w:trPr>
          <w:jc w:val="center"/>
        </w:trPr>
        <w:tc>
          <w:tcPr>
            <w:tcW w:w="0" w:type="auto"/>
            <w:gridSpan w:val="3"/>
            <w:shd w:val="clear" w:color="auto" w:fill="auto"/>
            <w:tcMar>
              <w:top w:w="40" w:type="dxa"/>
              <w:left w:w="20" w:type="dxa"/>
              <w:bottom w:w="40" w:type="dxa"/>
              <w:right w:w="20" w:type="dxa"/>
            </w:tcMar>
            <w:vAlign w:val="bottom"/>
          </w:tcPr>
          <w:p w14:paraId="71D423F0" w14:textId="77777777" w:rsidR="006A3667" w:rsidRDefault="00045F32">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3F1" w14:textId="77777777" w:rsidR="006A3667" w:rsidRDefault="00045F32">
            <w:pPr>
              <w:jc w:val="center"/>
              <w:textAlignment w:val="bottom"/>
            </w:pPr>
            <w:r>
              <w:rPr>
                <w:rFonts w:ascii="Arial" w:eastAsia="宋体" w:hAnsi="Arial" w:cs="Arial"/>
                <w:b/>
                <w:bCs/>
                <w:color w:val="000000"/>
                <w:sz w:val="18"/>
                <w:szCs w:val="18"/>
              </w:rPr>
              <w:t>(UNAUDITED)</w:t>
            </w:r>
          </w:p>
        </w:tc>
        <w:tc>
          <w:tcPr>
            <w:tcW w:w="0" w:type="auto"/>
            <w:gridSpan w:val="3"/>
            <w:shd w:val="clear" w:color="auto" w:fill="auto"/>
            <w:tcMar>
              <w:top w:w="0" w:type="dxa"/>
              <w:left w:w="20" w:type="dxa"/>
              <w:bottom w:w="0" w:type="dxa"/>
              <w:right w:w="20" w:type="dxa"/>
            </w:tcMar>
            <w:vAlign w:val="bottom"/>
          </w:tcPr>
          <w:p w14:paraId="71D423F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3F3" w14:textId="77777777" w:rsidR="006A3667" w:rsidRDefault="006A3667">
            <w:pPr>
              <w:rPr>
                <w:rFonts w:ascii="宋体"/>
              </w:rPr>
            </w:pPr>
          </w:p>
        </w:tc>
      </w:tr>
      <w:tr w:rsidR="006A3667" w14:paraId="71D423F9" w14:textId="77777777">
        <w:trPr>
          <w:jc w:val="center"/>
        </w:trPr>
        <w:tc>
          <w:tcPr>
            <w:tcW w:w="0" w:type="auto"/>
            <w:gridSpan w:val="3"/>
            <w:shd w:val="clear" w:color="auto" w:fill="auto"/>
            <w:tcMar>
              <w:top w:w="40" w:type="dxa"/>
              <w:left w:w="20" w:type="dxa"/>
              <w:bottom w:w="40" w:type="dxa"/>
              <w:right w:w="20" w:type="dxa"/>
            </w:tcMar>
            <w:vAlign w:val="bottom"/>
          </w:tcPr>
          <w:p w14:paraId="71D423F5" w14:textId="77777777" w:rsidR="006A3667" w:rsidRDefault="00045F32">
            <w:pP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71D423F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3F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3F8" w14:textId="77777777" w:rsidR="006A3667" w:rsidRDefault="006A3667">
            <w:pPr>
              <w:rPr>
                <w:rFonts w:ascii="宋体"/>
              </w:rPr>
            </w:pPr>
          </w:p>
        </w:tc>
      </w:tr>
      <w:tr w:rsidR="006A3667" w14:paraId="71D42402" w14:textId="77777777">
        <w:trPr>
          <w:jc w:val="center"/>
        </w:trPr>
        <w:tc>
          <w:tcPr>
            <w:tcW w:w="0" w:type="auto"/>
            <w:gridSpan w:val="3"/>
            <w:shd w:val="clear" w:color="auto" w:fill="CCEEFF"/>
            <w:tcMar>
              <w:top w:w="40" w:type="dxa"/>
              <w:left w:w="20" w:type="dxa"/>
              <w:bottom w:w="40" w:type="dxa"/>
              <w:right w:w="20" w:type="dxa"/>
            </w:tcMar>
            <w:vAlign w:val="bottom"/>
          </w:tcPr>
          <w:p w14:paraId="71D423FA" w14:textId="77777777" w:rsidR="006A3667" w:rsidRDefault="00045F32">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right w:w="0" w:type="dxa"/>
            </w:tcMar>
            <w:vAlign w:val="bottom"/>
          </w:tcPr>
          <w:p w14:paraId="71D423FB" w14:textId="77777777" w:rsidR="006A3667" w:rsidRDefault="00045F32">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71D423FC" w14:textId="77777777" w:rsidR="006A3667" w:rsidRDefault="00045F32">
            <w:pPr>
              <w:jc w:val="right"/>
              <w:textAlignment w:val="bottom"/>
            </w:pPr>
            <w:r>
              <w:rPr>
                <w:rFonts w:ascii="Arial" w:eastAsia="宋体" w:hAnsi="Arial" w:cs="Arial"/>
                <w:b/>
                <w:bCs/>
                <w:color w:val="000000"/>
                <w:sz w:val="18"/>
                <w:szCs w:val="18"/>
              </w:rPr>
              <w:t>2,748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3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3F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3FF" w14:textId="77777777" w:rsidR="006A3667" w:rsidRDefault="00045F32">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71D42400" w14:textId="77777777" w:rsidR="006A3667" w:rsidRDefault="00045F32">
            <w:pPr>
              <w:jc w:val="right"/>
              <w:textAlignment w:val="bottom"/>
            </w:pPr>
            <w:r>
              <w:rPr>
                <w:rFonts w:ascii="Arial" w:eastAsia="宋体" w:hAnsi="Arial" w:cs="Arial"/>
                <w:color w:val="000000"/>
                <w:sz w:val="18"/>
                <w:szCs w:val="18"/>
              </w:rPr>
              <w:t>3,631 </w:t>
            </w:r>
          </w:p>
        </w:tc>
        <w:tc>
          <w:tcPr>
            <w:tcW w:w="0" w:type="auto"/>
            <w:shd w:val="clear" w:color="auto" w:fill="CCEEFF"/>
            <w:tcMar>
              <w:top w:w="40" w:type="dxa"/>
              <w:left w:w="0" w:type="dxa"/>
              <w:bottom w:w="40" w:type="dxa"/>
              <w:right w:w="20" w:type="dxa"/>
            </w:tcMar>
            <w:vAlign w:val="bottom"/>
          </w:tcPr>
          <w:p w14:paraId="71D42401" w14:textId="77777777" w:rsidR="006A3667" w:rsidRDefault="006A3667">
            <w:pPr>
              <w:jc w:val="right"/>
              <w:rPr>
                <w:rFonts w:ascii="宋体"/>
              </w:rPr>
            </w:pPr>
          </w:p>
        </w:tc>
      </w:tr>
      <w:tr w:rsidR="006A3667" w14:paraId="71D42409" w14:textId="77777777">
        <w:trPr>
          <w:jc w:val="center"/>
        </w:trPr>
        <w:tc>
          <w:tcPr>
            <w:tcW w:w="0" w:type="auto"/>
            <w:gridSpan w:val="3"/>
            <w:shd w:val="clear" w:color="auto" w:fill="FFFFFF"/>
            <w:tcMar>
              <w:top w:w="40" w:type="dxa"/>
              <w:left w:w="20" w:type="dxa"/>
              <w:bottom w:w="40" w:type="dxa"/>
              <w:right w:w="20" w:type="dxa"/>
            </w:tcMar>
            <w:vAlign w:val="bottom"/>
          </w:tcPr>
          <w:p w14:paraId="71D42403" w14:textId="77777777" w:rsidR="006A3667" w:rsidRDefault="00045F32">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71D42404" w14:textId="77777777" w:rsidR="006A3667" w:rsidRDefault="00045F32">
            <w:pPr>
              <w:jc w:val="right"/>
              <w:textAlignment w:val="bottom"/>
            </w:pPr>
            <w:r>
              <w:rPr>
                <w:rFonts w:ascii="Arial" w:eastAsia="宋体" w:hAnsi="Arial" w:cs="Arial"/>
                <w:b/>
                <w:bCs/>
                <w:color w:val="000000"/>
                <w:sz w:val="18"/>
                <w:szCs w:val="18"/>
              </w:rPr>
              <w:t>99,199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0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0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07" w14:textId="77777777" w:rsidR="006A3667" w:rsidRDefault="00045F32">
            <w:pPr>
              <w:jc w:val="right"/>
              <w:textAlignment w:val="bottom"/>
            </w:pPr>
            <w:r>
              <w:rPr>
                <w:rFonts w:ascii="Arial" w:eastAsia="宋体" w:hAnsi="Arial" w:cs="Arial"/>
                <w:color w:val="000000"/>
                <w:sz w:val="18"/>
                <w:szCs w:val="18"/>
              </w:rPr>
              <w:t>106,358 </w:t>
            </w:r>
          </w:p>
        </w:tc>
        <w:tc>
          <w:tcPr>
            <w:tcW w:w="0" w:type="auto"/>
            <w:shd w:val="clear" w:color="auto" w:fill="FFFFFF"/>
            <w:tcMar>
              <w:top w:w="40" w:type="dxa"/>
              <w:left w:w="0" w:type="dxa"/>
              <w:bottom w:w="40" w:type="dxa"/>
              <w:right w:w="20" w:type="dxa"/>
            </w:tcMar>
            <w:vAlign w:val="bottom"/>
          </w:tcPr>
          <w:p w14:paraId="71D42408" w14:textId="77777777" w:rsidR="006A3667" w:rsidRDefault="006A3667">
            <w:pPr>
              <w:jc w:val="right"/>
              <w:rPr>
                <w:rFonts w:ascii="宋体"/>
              </w:rPr>
            </w:pPr>
          </w:p>
        </w:tc>
      </w:tr>
      <w:tr w:rsidR="006A3667" w14:paraId="71D42410" w14:textId="77777777">
        <w:trPr>
          <w:jc w:val="center"/>
        </w:trPr>
        <w:tc>
          <w:tcPr>
            <w:tcW w:w="0" w:type="auto"/>
            <w:gridSpan w:val="3"/>
            <w:shd w:val="clear" w:color="auto" w:fill="CCEEFF"/>
            <w:tcMar>
              <w:top w:w="40" w:type="dxa"/>
              <w:left w:w="20" w:type="dxa"/>
              <w:bottom w:w="40" w:type="dxa"/>
              <w:right w:w="20" w:type="dxa"/>
            </w:tcMar>
            <w:vAlign w:val="bottom"/>
          </w:tcPr>
          <w:p w14:paraId="71D4240A" w14:textId="77777777" w:rsidR="006A3667" w:rsidRDefault="00045F32">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71D4240B" w14:textId="77777777" w:rsidR="006A3667" w:rsidRDefault="00045F32">
            <w:pPr>
              <w:jc w:val="right"/>
              <w:textAlignment w:val="bottom"/>
            </w:pPr>
            <w:r>
              <w:rPr>
                <w:rFonts w:ascii="Arial" w:eastAsia="宋体" w:hAnsi="Arial" w:cs="Arial"/>
                <w:b/>
                <w:bCs/>
                <w:color w:val="000000"/>
                <w:sz w:val="18"/>
                <w:szCs w:val="18"/>
              </w:rPr>
              <w:t>1,308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0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0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0E" w14:textId="77777777" w:rsidR="006A3667" w:rsidRDefault="00045F32">
            <w:pPr>
              <w:jc w:val="right"/>
              <w:textAlignment w:val="bottom"/>
            </w:pPr>
            <w:r>
              <w:rPr>
                <w:rFonts w:ascii="Arial" w:eastAsia="宋体" w:hAnsi="Arial" w:cs="Arial"/>
                <w:color w:val="000000"/>
                <w:sz w:val="18"/>
                <w:szCs w:val="18"/>
              </w:rPr>
              <w:t>3,012 </w:t>
            </w:r>
          </w:p>
        </w:tc>
        <w:tc>
          <w:tcPr>
            <w:tcW w:w="0" w:type="auto"/>
            <w:shd w:val="clear" w:color="auto" w:fill="CCEEFF"/>
            <w:tcMar>
              <w:top w:w="40" w:type="dxa"/>
              <w:left w:w="0" w:type="dxa"/>
              <w:bottom w:w="40" w:type="dxa"/>
              <w:right w:w="20" w:type="dxa"/>
            </w:tcMar>
            <w:vAlign w:val="bottom"/>
          </w:tcPr>
          <w:p w14:paraId="71D4240F" w14:textId="77777777" w:rsidR="006A3667" w:rsidRDefault="006A3667">
            <w:pPr>
              <w:jc w:val="right"/>
              <w:rPr>
                <w:rFonts w:ascii="宋体"/>
              </w:rPr>
            </w:pPr>
          </w:p>
        </w:tc>
      </w:tr>
      <w:tr w:rsidR="006A3667" w14:paraId="71D42417" w14:textId="77777777">
        <w:trPr>
          <w:jc w:val="center"/>
        </w:trPr>
        <w:tc>
          <w:tcPr>
            <w:tcW w:w="0" w:type="auto"/>
            <w:gridSpan w:val="3"/>
            <w:shd w:val="clear" w:color="auto" w:fill="FFFFFF"/>
            <w:tcMar>
              <w:top w:w="40" w:type="dxa"/>
              <w:left w:w="20" w:type="dxa"/>
              <w:bottom w:w="40" w:type="dxa"/>
              <w:right w:w="20" w:type="dxa"/>
            </w:tcMar>
            <w:vAlign w:val="bottom"/>
          </w:tcPr>
          <w:p w14:paraId="71D42411" w14:textId="77777777" w:rsidR="006A3667" w:rsidRDefault="00045F32">
            <w:pPr>
              <w:textAlignment w:val="bottom"/>
            </w:pPr>
            <w:r>
              <w:rPr>
                <w:rFonts w:ascii="Arial" w:eastAsia="宋体" w:hAnsi="Arial" w:cs="Arial"/>
                <w:color w:val="000000"/>
                <w:sz w:val="18"/>
                <w:szCs w:val="18"/>
              </w:rPr>
              <w:t>Trading account assets</w:t>
            </w:r>
          </w:p>
        </w:tc>
        <w:tc>
          <w:tcPr>
            <w:tcW w:w="0" w:type="auto"/>
            <w:gridSpan w:val="2"/>
            <w:shd w:val="clear" w:color="auto" w:fill="FFFFFF"/>
            <w:tcMar>
              <w:top w:w="40" w:type="dxa"/>
              <w:left w:w="20" w:type="dxa"/>
              <w:bottom w:w="40" w:type="dxa"/>
              <w:right w:w="0" w:type="dxa"/>
            </w:tcMar>
            <w:vAlign w:val="bottom"/>
          </w:tcPr>
          <w:p w14:paraId="71D42412" w14:textId="77777777" w:rsidR="006A3667" w:rsidRDefault="00045F32">
            <w:pPr>
              <w:jc w:val="right"/>
              <w:textAlignment w:val="bottom"/>
            </w:pPr>
            <w:r>
              <w:rPr>
                <w:rFonts w:ascii="Arial" w:eastAsia="宋体" w:hAnsi="Arial" w:cs="Arial"/>
                <w:b/>
                <w:bCs/>
                <w:color w:val="000000"/>
                <w:sz w:val="18"/>
                <w:szCs w:val="18"/>
              </w:rPr>
              <w:t>685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1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1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15" w14:textId="77777777" w:rsidR="006A3667" w:rsidRDefault="00045F32">
            <w:pPr>
              <w:jc w:val="right"/>
              <w:textAlignment w:val="bottom"/>
            </w:pPr>
            <w:r>
              <w:rPr>
                <w:rFonts w:ascii="Arial" w:eastAsia="宋体" w:hAnsi="Arial" w:cs="Arial"/>
                <w:color w:val="000000"/>
                <w:sz w:val="18"/>
                <w:szCs w:val="18"/>
              </w:rPr>
              <w:t>758 </w:t>
            </w:r>
          </w:p>
        </w:tc>
        <w:tc>
          <w:tcPr>
            <w:tcW w:w="0" w:type="auto"/>
            <w:shd w:val="clear" w:color="auto" w:fill="FFFFFF"/>
            <w:tcMar>
              <w:top w:w="40" w:type="dxa"/>
              <w:left w:w="0" w:type="dxa"/>
              <w:bottom w:w="40" w:type="dxa"/>
              <w:right w:w="20" w:type="dxa"/>
            </w:tcMar>
            <w:vAlign w:val="bottom"/>
          </w:tcPr>
          <w:p w14:paraId="71D42416" w14:textId="77777777" w:rsidR="006A3667" w:rsidRDefault="006A3667">
            <w:pPr>
              <w:jc w:val="right"/>
              <w:rPr>
                <w:rFonts w:ascii="宋体"/>
              </w:rPr>
            </w:pPr>
          </w:p>
        </w:tc>
      </w:tr>
      <w:tr w:rsidR="006A3667" w14:paraId="71D4241E" w14:textId="77777777">
        <w:trPr>
          <w:jc w:val="center"/>
        </w:trPr>
        <w:tc>
          <w:tcPr>
            <w:tcW w:w="0" w:type="auto"/>
            <w:gridSpan w:val="3"/>
            <w:shd w:val="clear" w:color="auto" w:fill="CCEEFF"/>
            <w:tcMar>
              <w:top w:w="40" w:type="dxa"/>
              <w:left w:w="20" w:type="dxa"/>
              <w:bottom w:w="40" w:type="dxa"/>
              <w:right w:w="20" w:type="dxa"/>
            </w:tcMar>
            <w:vAlign w:val="bottom"/>
          </w:tcPr>
          <w:p w14:paraId="71D42418" w14:textId="77777777" w:rsidR="006A3667" w:rsidRDefault="00045F32">
            <w:pPr>
              <w:jc w:val="both"/>
              <w:textAlignment w:val="bottom"/>
            </w:pPr>
            <w:r>
              <w:rPr>
                <w:rFonts w:ascii="Arial" w:eastAsia="宋体" w:hAnsi="Arial" w:cs="Arial"/>
                <w:color w:val="000000"/>
                <w:sz w:val="18"/>
                <w:szCs w:val="18"/>
              </w:rPr>
              <w:t>Investment securities available-for-sale (less allowance for credit losses of $1 and $2)</w:t>
            </w:r>
          </w:p>
        </w:tc>
        <w:tc>
          <w:tcPr>
            <w:tcW w:w="0" w:type="auto"/>
            <w:gridSpan w:val="2"/>
            <w:shd w:val="clear" w:color="auto" w:fill="CCEEFF"/>
            <w:tcMar>
              <w:top w:w="40" w:type="dxa"/>
              <w:left w:w="20" w:type="dxa"/>
              <w:bottom w:w="40" w:type="dxa"/>
              <w:right w:w="0" w:type="dxa"/>
            </w:tcMar>
            <w:vAlign w:val="bottom"/>
          </w:tcPr>
          <w:p w14:paraId="71D42419" w14:textId="77777777" w:rsidR="006A3667" w:rsidRDefault="00045F32">
            <w:pPr>
              <w:jc w:val="right"/>
              <w:textAlignment w:val="bottom"/>
            </w:pPr>
            <w:r>
              <w:rPr>
                <w:rFonts w:ascii="Arial" w:eastAsia="宋体" w:hAnsi="Arial" w:cs="Arial"/>
                <w:b/>
                <w:bCs/>
                <w:color w:val="000000"/>
                <w:sz w:val="18"/>
                <w:szCs w:val="18"/>
              </w:rPr>
              <w:t>40,986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1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1C" w14:textId="77777777" w:rsidR="006A3667" w:rsidRDefault="00045F32">
            <w:pPr>
              <w:jc w:val="right"/>
              <w:textAlignment w:val="bottom"/>
            </w:pPr>
            <w:r>
              <w:rPr>
                <w:rFonts w:ascii="Arial" w:eastAsia="宋体" w:hAnsi="Arial" w:cs="Arial"/>
                <w:color w:val="000000"/>
                <w:sz w:val="18"/>
                <w:szCs w:val="18"/>
              </w:rPr>
              <w:t>73,399 </w:t>
            </w:r>
          </w:p>
        </w:tc>
        <w:tc>
          <w:tcPr>
            <w:tcW w:w="0" w:type="auto"/>
            <w:shd w:val="clear" w:color="auto" w:fill="CCEEFF"/>
            <w:tcMar>
              <w:top w:w="40" w:type="dxa"/>
              <w:left w:w="0" w:type="dxa"/>
              <w:bottom w:w="40" w:type="dxa"/>
              <w:right w:w="20" w:type="dxa"/>
            </w:tcMar>
            <w:vAlign w:val="bottom"/>
          </w:tcPr>
          <w:p w14:paraId="71D4241D" w14:textId="77777777" w:rsidR="006A3667" w:rsidRDefault="006A3667">
            <w:pPr>
              <w:jc w:val="right"/>
              <w:rPr>
                <w:rFonts w:ascii="宋体"/>
              </w:rPr>
            </w:pPr>
          </w:p>
        </w:tc>
      </w:tr>
      <w:tr w:rsidR="006A3667" w14:paraId="71D42423" w14:textId="77777777">
        <w:trPr>
          <w:jc w:val="center"/>
          <w:hidden/>
        </w:trPr>
        <w:tc>
          <w:tcPr>
            <w:tcW w:w="0" w:type="auto"/>
            <w:gridSpan w:val="3"/>
            <w:shd w:val="clear" w:color="auto" w:fill="auto"/>
            <w:vAlign w:val="bottom"/>
          </w:tcPr>
          <w:p w14:paraId="71D4241F" w14:textId="77777777" w:rsidR="006A3667" w:rsidRDefault="006A3667">
            <w:pPr>
              <w:rPr>
                <w:rFonts w:ascii="宋体"/>
                <w:vanish/>
              </w:rPr>
            </w:pPr>
          </w:p>
        </w:tc>
        <w:tc>
          <w:tcPr>
            <w:tcW w:w="0" w:type="auto"/>
            <w:gridSpan w:val="3"/>
            <w:shd w:val="clear" w:color="auto" w:fill="auto"/>
            <w:vAlign w:val="bottom"/>
          </w:tcPr>
          <w:p w14:paraId="71D42420" w14:textId="77777777" w:rsidR="006A3667" w:rsidRDefault="006A3667">
            <w:pPr>
              <w:rPr>
                <w:rFonts w:ascii="宋体"/>
                <w:vanish/>
              </w:rPr>
            </w:pPr>
          </w:p>
        </w:tc>
        <w:tc>
          <w:tcPr>
            <w:tcW w:w="0" w:type="auto"/>
            <w:gridSpan w:val="3"/>
            <w:shd w:val="clear" w:color="auto" w:fill="auto"/>
            <w:vAlign w:val="bottom"/>
          </w:tcPr>
          <w:p w14:paraId="71D42421" w14:textId="77777777" w:rsidR="006A3667" w:rsidRDefault="006A3667">
            <w:pPr>
              <w:rPr>
                <w:rFonts w:ascii="宋体"/>
                <w:vanish/>
              </w:rPr>
            </w:pPr>
          </w:p>
        </w:tc>
        <w:tc>
          <w:tcPr>
            <w:tcW w:w="0" w:type="auto"/>
            <w:gridSpan w:val="3"/>
            <w:shd w:val="clear" w:color="auto" w:fill="auto"/>
            <w:vAlign w:val="bottom"/>
          </w:tcPr>
          <w:p w14:paraId="71D42422" w14:textId="77777777" w:rsidR="006A3667" w:rsidRDefault="006A3667">
            <w:pPr>
              <w:rPr>
                <w:rFonts w:ascii="宋体"/>
                <w:vanish/>
              </w:rPr>
            </w:pPr>
          </w:p>
        </w:tc>
      </w:tr>
      <w:tr w:rsidR="006A3667" w14:paraId="71D4242A" w14:textId="77777777">
        <w:trPr>
          <w:jc w:val="center"/>
        </w:trPr>
        <w:tc>
          <w:tcPr>
            <w:tcW w:w="0" w:type="auto"/>
            <w:gridSpan w:val="3"/>
            <w:shd w:val="clear" w:color="auto" w:fill="FFFFFF"/>
            <w:tcMar>
              <w:top w:w="40" w:type="dxa"/>
              <w:left w:w="20" w:type="dxa"/>
              <w:bottom w:w="40" w:type="dxa"/>
              <w:right w:w="20" w:type="dxa"/>
            </w:tcMar>
            <w:vAlign w:val="bottom"/>
          </w:tcPr>
          <w:p w14:paraId="71D42424" w14:textId="77777777" w:rsidR="006A3667" w:rsidRDefault="00045F32">
            <w:pPr>
              <w:jc w:val="both"/>
              <w:textAlignment w:val="bottom"/>
            </w:pPr>
            <w:r>
              <w:rPr>
                <w:rFonts w:ascii="Arial" w:eastAsia="宋体" w:hAnsi="Arial" w:cs="Arial"/>
                <w:color w:val="000000"/>
                <w:sz w:val="18"/>
                <w:szCs w:val="18"/>
              </w:rPr>
              <w:t xml:space="preserve">Investment securities held-to-maturity (less allowance for credit losses of $0 and $0) (fair value of </w:t>
            </w:r>
            <w:r>
              <w:rPr>
                <w:rFonts w:ascii="Arial" w:eastAsia="宋体" w:hAnsi="Arial" w:cs="Arial"/>
                <w:color w:val="000000"/>
                <w:sz w:val="18"/>
                <w:szCs w:val="18"/>
              </w:rPr>
              <w:t>$58,320 and $42,271)</w:t>
            </w:r>
          </w:p>
        </w:tc>
        <w:tc>
          <w:tcPr>
            <w:tcW w:w="0" w:type="auto"/>
            <w:gridSpan w:val="2"/>
            <w:shd w:val="clear" w:color="auto" w:fill="FFFFFF"/>
            <w:tcMar>
              <w:top w:w="40" w:type="dxa"/>
              <w:left w:w="20" w:type="dxa"/>
              <w:bottom w:w="40" w:type="dxa"/>
              <w:right w:w="0" w:type="dxa"/>
            </w:tcMar>
            <w:vAlign w:val="bottom"/>
          </w:tcPr>
          <w:p w14:paraId="71D42425" w14:textId="77777777" w:rsidR="006A3667" w:rsidRDefault="00045F32">
            <w:pPr>
              <w:jc w:val="right"/>
              <w:textAlignment w:val="bottom"/>
            </w:pPr>
            <w:r>
              <w:rPr>
                <w:rFonts w:ascii="Arial" w:eastAsia="宋体" w:hAnsi="Arial" w:cs="Arial"/>
                <w:b/>
                <w:bCs/>
                <w:color w:val="000000"/>
                <w:sz w:val="18"/>
                <w:szCs w:val="18"/>
              </w:rPr>
              <w:t>65,232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2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28" w14:textId="77777777" w:rsidR="006A3667" w:rsidRDefault="00045F32">
            <w:pPr>
              <w:jc w:val="right"/>
              <w:textAlignment w:val="bottom"/>
            </w:pPr>
            <w:r>
              <w:rPr>
                <w:rFonts w:ascii="Arial" w:eastAsia="宋体" w:hAnsi="Arial" w:cs="Arial"/>
                <w:color w:val="000000"/>
                <w:sz w:val="18"/>
                <w:szCs w:val="18"/>
              </w:rPr>
              <w:t>42,430 </w:t>
            </w:r>
          </w:p>
        </w:tc>
        <w:tc>
          <w:tcPr>
            <w:tcW w:w="0" w:type="auto"/>
            <w:shd w:val="clear" w:color="auto" w:fill="FFFFFF"/>
            <w:tcMar>
              <w:top w:w="40" w:type="dxa"/>
              <w:left w:w="0" w:type="dxa"/>
              <w:bottom w:w="40" w:type="dxa"/>
              <w:right w:w="20" w:type="dxa"/>
            </w:tcMar>
            <w:vAlign w:val="bottom"/>
          </w:tcPr>
          <w:p w14:paraId="71D42429" w14:textId="77777777" w:rsidR="006A3667" w:rsidRDefault="006A3667">
            <w:pPr>
              <w:jc w:val="right"/>
              <w:rPr>
                <w:rFonts w:ascii="宋体"/>
              </w:rPr>
            </w:pPr>
          </w:p>
        </w:tc>
      </w:tr>
      <w:tr w:rsidR="006A3667" w14:paraId="71D42431" w14:textId="77777777">
        <w:trPr>
          <w:jc w:val="center"/>
        </w:trPr>
        <w:tc>
          <w:tcPr>
            <w:tcW w:w="0" w:type="auto"/>
            <w:gridSpan w:val="3"/>
            <w:shd w:val="clear" w:color="auto" w:fill="CCEEFF"/>
            <w:tcMar>
              <w:top w:w="40" w:type="dxa"/>
              <w:left w:w="20" w:type="dxa"/>
              <w:bottom w:w="40" w:type="dxa"/>
              <w:right w:w="20" w:type="dxa"/>
            </w:tcMar>
            <w:vAlign w:val="bottom"/>
          </w:tcPr>
          <w:p w14:paraId="71D4242B" w14:textId="77777777" w:rsidR="006A3667" w:rsidRDefault="00045F32">
            <w:pPr>
              <w:textAlignment w:val="bottom"/>
            </w:pPr>
            <w:r>
              <w:rPr>
                <w:rFonts w:ascii="Arial" w:eastAsia="宋体" w:hAnsi="Arial" w:cs="Arial"/>
                <w:color w:val="000000"/>
                <w:sz w:val="18"/>
                <w:szCs w:val="18"/>
              </w:rPr>
              <w:t>Loans (less allowance for credit losses on loans of $97 and $87)</w:t>
            </w:r>
          </w:p>
        </w:tc>
        <w:tc>
          <w:tcPr>
            <w:tcW w:w="0" w:type="auto"/>
            <w:gridSpan w:val="2"/>
            <w:shd w:val="clear" w:color="auto" w:fill="CCEEFF"/>
            <w:tcMar>
              <w:top w:w="40" w:type="dxa"/>
              <w:left w:w="20" w:type="dxa"/>
              <w:bottom w:w="40" w:type="dxa"/>
              <w:right w:w="0" w:type="dxa"/>
            </w:tcMar>
            <w:vAlign w:val="bottom"/>
          </w:tcPr>
          <w:p w14:paraId="71D4242C" w14:textId="77777777" w:rsidR="006A3667" w:rsidRDefault="00045F32">
            <w:pPr>
              <w:jc w:val="right"/>
              <w:textAlignment w:val="bottom"/>
            </w:pPr>
            <w:r>
              <w:rPr>
                <w:rFonts w:ascii="Arial" w:eastAsia="宋体" w:hAnsi="Arial" w:cs="Arial"/>
                <w:b/>
                <w:bCs/>
                <w:color w:val="000000"/>
                <w:sz w:val="18"/>
                <w:szCs w:val="18"/>
              </w:rPr>
              <w:t>36,016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2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2F" w14:textId="77777777" w:rsidR="006A3667" w:rsidRDefault="00045F32">
            <w:pPr>
              <w:jc w:val="right"/>
              <w:textAlignment w:val="bottom"/>
            </w:pPr>
            <w:r>
              <w:rPr>
                <w:rFonts w:ascii="Arial" w:eastAsia="宋体" w:hAnsi="Arial" w:cs="Arial"/>
                <w:color w:val="000000"/>
                <w:sz w:val="18"/>
                <w:szCs w:val="18"/>
              </w:rPr>
              <w:t>32,445 </w:t>
            </w:r>
          </w:p>
        </w:tc>
        <w:tc>
          <w:tcPr>
            <w:tcW w:w="0" w:type="auto"/>
            <w:shd w:val="clear" w:color="auto" w:fill="CCEEFF"/>
            <w:tcMar>
              <w:top w:w="40" w:type="dxa"/>
              <w:left w:w="0" w:type="dxa"/>
              <w:bottom w:w="40" w:type="dxa"/>
              <w:right w:w="20" w:type="dxa"/>
            </w:tcMar>
            <w:vAlign w:val="bottom"/>
          </w:tcPr>
          <w:p w14:paraId="71D42430" w14:textId="77777777" w:rsidR="006A3667" w:rsidRDefault="006A3667">
            <w:pPr>
              <w:jc w:val="right"/>
              <w:rPr>
                <w:rFonts w:ascii="宋体"/>
              </w:rPr>
            </w:pPr>
          </w:p>
        </w:tc>
      </w:tr>
      <w:tr w:rsidR="006A3667" w14:paraId="71D42438" w14:textId="77777777">
        <w:trPr>
          <w:jc w:val="center"/>
        </w:trPr>
        <w:tc>
          <w:tcPr>
            <w:tcW w:w="0" w:type="auto"/>
            <w:gridSpan w:val="3"/>
            <w:shd w:val="clear" w:color="auto" w:fill="FFFFFF"/>
            <w:tcMar>
              <w:top w:w="40" w:type="dxa"/>
              <w:left w:w="20" w:type="dxa"/>
              <w:bottom w:w="40" w:type="dxa"/>
              <w:right w:w="20" w:type="dxa"/>
            </w:tcMar>
            <w:vAlign w:val="bottom"/>
          </w:tcPr>
          <w:p w14:paraId="71D42432" w14:textId="77777777" w:rsidR="006A3667" w:rsidRDefault="00045F32">
            <w:pPr>
              <w:jc w:val="both"/>
              <w:textAlignment w:val="bottom"/>
            </w:pPr>
            <w:r>
              <w:rPr>
                <w:rFonts w:ascii="Arial" w:eastAsia="宋体" w:hAnsi="Arial" w:cs="Arial"/>
                <w:color w:val="000000"/>
                <w:sz w:val="18"/>
                <w:szCs w:val="18"/>
              </w:rPr>
              <w:t>Premises and equipment (net of accumulated depreciation of $5,772 and $5,391)</w:t>
            </w:r>
          </w:p>
        </w:tc>
        <w:tc>
          <w:tcPr>
            <w:tcW w:w="0" w:type="auto"/>
            <w:gridSpan w:val="2"/>
            <w:shd w:val="clear" w:color="auto" w:fill="FFFFFF"/>
            <w:tcMar>
              <w:top w:w="40" w:type="dxa"/>
              <w:left w:w="20" w:type="dxa"/>
              <w:bottom w:w="40" w:type="dxa"/>
              <w:right w:w="0" w:type="dxa"/>
            </w:tcMar>
            <w:vAlign w:val="bottom"/>
          </w:tcPr>
          <w:p w14:paraId="71D42433" w14:textId="77777777" w:rsidR="006A3667" w:rsidRDefault="00045F32">
            <w:pPr>
              <w:jc w:val="right"/>
              <w:textAlignment w:val="bottom"/>
            </w:pPr>
            <w:r>
              <w:rPr>
                <w:rFonts w:ascii="Arial" w:eastAsia="宋体" w:hAnsi="Arial" w:cs="Arial"/>
                <w:b/>
                <w:bCs/>
                <w:color w:val="000000"/>
                <w:sz w:val="18"/>
                <w:szCs w:val="18"/>
              </w:rPr>
              <w:t>2,283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3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3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36" w14:textId="77777777" w:rsidR="006A3667" w:rsidRDefault="00045F32">
            <w:pPr>
              <w:jc w:val="right"/>
              <w:textAlignment w:val="bottom"/>
            </w:pPr>
            <w:r>
              <w:rPr>
                <w:rFonts w:ascii="Arial" w:eastAsia="宋体" w:hAnsi="Arial" w:cs="Arial"/>
                <w:color w:val="000000"/>
                <w:sz w:val="18"/>
                <w:szCs w:val="18"/>
              </w:rPr>
              <w:t>2,261 </w:t>
            </w:r>
          </w:p>
        </w:tc>
        <w:tc>
          <w:tcPr>
            <w:tcW w:w="0" w:type="auto"/>
            <w:shd w:val="clear" w:color="auto" w:fill="FFFFFF"/>
            <w:tcMar>
              <w:top w:w="40" w:type="dxa"/>
              <w:left w:w="0" w:type="dxa"/>
              <w:bottom w:w="40" w:type="dxa"/>
              <w:right w:w="20" w:type="dxa"/>
            </w:tcMar>
            <w:vAlign w:val="bottom"/>
          </w:tcPr>
          <w:p w14:paraId="71D42437" w14:textId="77777777" w:rsidR="006A3667" w:rsidRDefault="006A3667">
            <w:pPr>
              <w:jc w:val="right"/>
              <w:rPr>
                <w:rFonts w:ascii="宋体"/>
              </w:rPr>
            </w:pPr>
          </w:p>
        </w:tc>
      </w:tr>
      <w:tr w:rsidR="006A3667" w14:paraId="71D4243F" w14:textId="77777777">
        <w:trPr>
          <w:jc w:val="center"/>
        </w:trPr>
        <w:tc>
          <w:tcPr>
            <w:tcW w:w="0" w:type="auto"/>
            <w:gridSpan w:val="3"/>
            <w:shd w:val="clear" w:color="auto" w:fill="CCEEFF"/>
            <w:tcMar>
              <w:top w:w="40" w:type="dxa"/>
              <w:left w:w="20" w:type="dxa"/>
              <w:bottom w:w="40" w:type="dxa"/>
              <w:right w:w="20" w:type="dxa"/>
            </w:tcMar>
            <w:vAlign w:val="bottom"/>
          </w:tcPr>
          <w:p w14:paraId="71D42439" w14:textId="77777777" w:rsidR="006A3667" w:rsidRDefault="00045F32">
            <w:pPr>
              <w:textAlignment w:val="bottom"/>
            </w:pPr>
            <w:r>
              <w:rPr>
                <w:rFonts w:ascii="Arial" w:eastAsia="宋体" w:hAnsi="Arial" w:cs="Arial"/>
                <w:color w:val="000000"/>
                <w:sz w:val="18"/>
                <w:szCs w:val="18"/>
              </w:rPr>
              <w:t xml:space="preserve">Accrued interest and fees </w:t>
            </w:r>
            <w:r>
              <w:rPr>
                <w:rFonts w:ascii="Arial" w:eastAsia="宋体" w:hAnsi="Arial" w:cs="Arial"/>
                <w:color w:val="000000"/>
                <w:sz w:val="18"/>
                <w:szCs w:val="18"/>
              </w:rPr>
              <w:t>receivable</w:t>
            </w:r>
          </w:p>
        </w:tc>
        <w:tc>
          <w:tcPr>
            <w:tcW w:w="0" w:type="auto"/>
            <w:gridSpan w:val="2"/>
            <w:shd w:val="clear" w:color="auto" w:fill="CCEEFF"/>
            <w:tcMar>
              <w:top w:w="40" w:type="dxa"/>
              <w:left w:w="20" w:type="dxa"/>
              <w:bottom w:w="40" w:type="dxa"/>
              <w:right w:w="0" w:type="dxa"/>
            </w:tcMar>
            <w:vAlign w:val="bottom"/>
          </w:tcPr>
          <w:p w14:paraId="71D4243A" w14:textId="77777777" w:rsidR="006A3667" w:rsidRDefault="00045F32">
            <w:pPr>
              <w:jc w:val="right"/>
              <w:textAlignment w:val="bottom"/>
            </w:pPr>
            <w:r>
              <w:rPr>
                <w:rFonts w:ascii="Arial" w:eastAsia="宋体" w:hAnsi="Arial" w:cs="Arial"/>
                <w:b/>
                <w:bCs/>
                <w:color w:val="000000"/>
                <w:sz w:val="18"/>
                <w:szCs w:val="18"/>
              </w:rPr>
              <w:t>3,526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3D" w14:textId="77777777" w:rsidR="006A3667" w:rsidRDefault="00045F32">
            <w:pPr>
              <w:jc w:val="right"/>
              <w:textAlignment w:val="bottom"/>
            </w:pPr>
            <w:r>
              <w:rPr>
                <w:rFonts w:ascii="Arial" w:eastAsia="宋体" w:hAnsi="Arial" w:cs="Arial"/>
                <w:color w:val="000000"/>
                <w:sz w:val="18"/>
                <w:szCs w:val="18"/>
              </w:rPr>
              <w:t>3,278 </w:t>
            </w:r>
          </w:p>
        </w:tc>
        <w:tc>
          <w:tcPr>
            <w:tcW w:w="0" w:type="auto"/>
            <w:shd w:val="clear" w:color="auto" w:fill="CCEEFF"/>
            <w:tcMar>
              <w:top w:w="40" w:type="dxa"/>
              <w:left w:w="0" w:type="dxa"/>
              <w:bottom w:w="40" w:type="dxa"/>
              <w:right w:w="20" w:type="dxa"/>
            </w:tcMar>
            <w:vAlign w:val="bottom"/>
          </w:tcPr>
          <w:p w14:paraId="71D4243E" w14:textId="77777777" w:rsidR="006A3667" w:rsidRDefault="006A3667">
            <w:pPr>
              <w:jc w:val="right"/>
              <w:rPr>
                <w:rFonts w:ascii="宋体"/>
              </w:rPr>
            </w:pPr>
          </w:p>
        </w:tc>
      </w:tr>
      <w:tr w:rsidR="006A3667" w14:paraId="71D42444" w14:textId="77777777">
        <w:trPr>
          <w:jc w:val="center"/>
          <w:hidden/>
        </w:trPr>
        <w:tc>
          <w:tcPr>
            <w:tcW w:w="0" w:type="auto"/>
            <w:gridSpan w:val="3"/>
            <w:shd w:val="clear" w:color="auto" w:fill="auto"/>
            <w:vAlign w:val="bottom"/>
          </w:tcPr>
          <w:p w14:paraId="71D42440" w14:textId="77777777" w:rsidR="006A3667" w:rsidRDefault="006A3667">
            <w:pPr>
              <w:rPr>
                <w:rFonts w:ascii="宋体"/>
                <w:vanish/>
              </w:rPr>
            </w:pPr>
          </w:p>
        </w:tc>
        <w:tc>
          <w:tcPr>
            <w:tcW w:w="0" w:type="auto"/>
            <w:gridSpan w:val="3"/>
            <w:shd w:val="clear" w:color="auto" w:fill="auto"/>
            <w:vAlign w:val="bottom"/>
          </w:tcPr>
          <w:p w14:paraId="71D42441" w14:textId="77777777" w:rsidR="006A3667" w:rsidRDefault="006A3667">
            <w:pPr>
              <w:rPr>
                <w:rFonts w:ascii="宋体"/>
                <w:vanish/>
              </w:rPr>
            </w:pPr>
          </w:p>
        </w:tc>
        <w:tc>
          <w:tcPr>
            <w:tcW w:w="0" w:type="auto"/>
            <w:gridSpan w:val="3"/>
            <w:shd w:val="clear" w:color="auto" w:fill="auto"/>
            <w:vAlign w:val="bottom"/>
          </w:tcPr>
          <w:p w14:paraId="71D42442" w14:textId="77777777" w:rsidR="006A3667" w:rsidRDefault="006A3667">
            <w:pPr>
              <w:rPr>
                <w:rFonts w:ascii="宋体"/>
                <w:vanish/>
              </w:rPr>
            </w:pPr>
          </w:p>
        </w:tc>
        <w:tc>
          <w:tcPr>
            <w:tcW w:w="0" w:type="auto"/>
            <w:gridSpan w:val="3"/>
            <w:shd w:val="clear" w:color="auto" w:fill="auto"/>
            <w:vAlign w:val="bottom"/>
          </w:tcPr>
          <w:p w14:paraId="71D42443" w14:textId="77777777" w:rsidR="006A3667" w:rsidRDefault="006A3667">
            <w:pPr>
              <w:rPr>
                <w:rFonts w:ascii="宋体"/>
                <w:vanish/>
              </w:rPr>
            </w:pPr>
          </w:p>
        </w:tc>
      </w:tr>
      <w:tr w:rsidR="006A3667" w14:paraId="71D4244B" w14:textId="77777777">
        <w:trPr>
          <w:jc w:val="center"/>
        </w:trPr>
        <w:tc>
          <w:tcPr>
            <w:tcW w:w="0" w:type="auto"/>
            <w:gridSpan w:val="3"/>
            <w:shd w:val="clear" w:color="auto" w:fill="FFFFFF"/>
            <w:tcMar>
              <w:top w:w="40" w:type="dxa"/>
              <w:left w:w="20" w:type="dxa"/>
              <w:bottom w:w="40" w:type="dxa"/>
              <w:right w:w="20" w:type="dxa"/>
            </w:tcMar>
            <w:vAlign w:val="bottom"/>
          </w:tcPr>
          <w:p w14:paraId="71D42445" w14:textId="77777777" w:rsidR="006A3667" w:rsidRDefault="00045F32">
            <w:pPr>
              <w:textAlignment w:val="bottom"/>
            </w:pPr>
            <w:r>
              <w:rPr>
                <w:rFonts w:ascii="Arial" w:eastAsia="宋体" w:hAnsi="Arial" w:cs="Arial"/>
                <w:color w:val="000000"/>
                <w:sz w:val="18"/>
                <w:szCs w:val="18"/>
              </w:rPr>
              <w:t>Goodwill</w:t>
            </w:r>
          </w:p>
        </w:tc>
        <w:tc>
          <w:tcPr>
            <w:tcW w:w="0" w:type="auto"/>
            <w:gridSpan w:val="2"/>
            <w:shd w:val="clear" w:color="auto" w:fill="FFFFFF"/>
            <w:tcMar>
              <w:top w:w="40" w:type="dxa"/>
              <w:left w:w="20" w:type="dxa"/>
              <w:bottom w:w="40" w:type="dxa"/>
              <w:right w:w="0" w:type="dxa"/>
            </w:tcMar>
            <w:vAlign w:val="bottom"/>
          </w:tcPr>
          <w:p w14:paraId="71D42446" w14:textId="77777777" w:rsidR="006A3667" w:rsidRDefault="00045F32">
            <w:pPr>
              <w:jc w:val="right"/>
              <w:textAlignment w:val="bottom"/>
            </w:pPr>
            <w:r>
              <w:rPr>
                <w:rFonts w:ascii="Arial" w:eastAsia="宋体" w:hAnsi="Arial" w:cs="Arial"/>
                <w:b/>
                <w:bCs/>
                <w:color w:val="000000"/>
                <w:sz w:val="18"/>
                <w:szCs w:val="18"/>
              </w:rPr>
              <w:t>7,351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4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49" w14:textId="77777777" w:rsidR="006A3667" w:rsidRDefault="00045F32">
            <w:pPr>
              <w:jc w:val="right"/>
              <w:textAlignment w:val="bottom"/>
            </w:pPr>
            <w:r>
              <w:rPr>
                <w:rFonts w:ascii="Arial" w:eastAsia="宋体" w:hAnsi="Arial" w:cs="Arial"/>
                <w:color w:val="000000"/>
                <w:sz w:val="18"/>
                <w:szCs w:val="18"/>
              </w:rPr>
              <w:t>7,621 </w:t>
            </w:r>
          </w:p>
        </w:tc>
        <w:tc>
          <w:tcPr>
            <w:tcW w:w="0" w:type="auto"/>
            <w:shd w:val="clear" w:color="auto" w:fill="FFFFFF"/>
            <w:tcMar>
              <w:top w:w="40" w:type="dxa"/>
              <w:left w:w="0" w:type="dxa"/>
              <w:bottom w:w="40" w:type="dxa"/>
              <w:right w:w="20" w:type="dxa"/>
            </w:tcMar>
            <w:vAlign w:val="bottom"/>
          </w:tcPr>
          <w:p w14:paraId="71D4244A" w14:textId="77777777" w:rsidR="006A3667" w:rsidRDefault="006A3667">
            <w:pPr>
              <w:jc w:val="right"/>
              <w:rPr>
                <w:rFonts w:ascii="宋体"/>
              </w:rPr>
            </w:pPr>
          </w:p>
        </w:tc>
      </w:tr>
      <w:tr w:rsidR="006A3667" w14:paraId="71D42452" w14:textId="77777777">
        <w:trPr>
          <w:jc w:val="center"/>
        </w:trPr>
        <w:tc>
          <w:tcPr>
            <w:tcW w:w="0" w:type="auto"/>
            <w:gridSpan w:val="3"/>
            <w:shd w:val="clear" w:color="auto" w:fill="CCEEFF"/>
            <w:tcMar>
              <w:top w:w="40" w:type="dxa"/>
              <w:left w:w="20" w:type="dxa"/>
              <w:bottom w:w="40" w:type="dxa"/>
              <w:right w:w="20" w:type="dxa"/>
            </w:tcMar>
            <w:vAlign w:val="bottom"/>
          </w:tcPr>
          <w:p w14:paraId="71D4244C" w14:textId="77777777" w:rsidR="006A3667" w:rsidRDefault="00045F32">
            <w:pPr>
              <w:textAlignment w:val="bottom"/>
            </w:pPr>
            <w:r>
              <w:rPr>
                <w:rFonts w:ascii="Arial" w:eastAsia="宋体" w:hAnsi="Arial" w:cs="Arial"/>
                <w:color w:val="000000"/>
                <w:sz w:val="18"/>
                <w:szCs w:val="18"/>
              </w:rPr>
              <w:t>Other intangible assets</w:t>
            </w:r>
          </w:p>
        </w:tc>
        <w:tc>
          <w:tcPr>
            <w:tcW w:w="0" w:type="auto"/>
            <w:gridSpan w:val="2"/>
            <w:shd w:val="clear" w:color="auto" w:fill="CCEEFF"/>
            <w:tcMar>
              <w:top w:w="40" w:type="dxa"/>
              <w:left w:w="20" w:type="dxa"/>
              <w:bottom w:w="40" w:type="dxa"/>
              <w:right w:w="0" w:type="dxa"/>
            </w:tcMar>
            <w:vAlign w:val="bottom"/>
          </w:tcPr>
          <w:p w14:paraId="71D4244D" w14:textId="77777777" w:rsidR="006A3667" w:rsidRDefault="00045F32">
            <w:pPr>
              <w:jc w:val="right"/>
              <w:textAlignment w:val="bottom"/>
            </w:pPr>
            <w:r>
              <w:rPr>
                <w:rFonts w:ascii="Arial" w:eastAsia="宋体" w:hAnsi="Arial" w:cs="Arial"/>
                <w:b/>
                <w:bCs/>
                <w:color w:val="000000"/>
                <w:sz w:val="18"/>
                <w:szCs w:val="18"/>
              </w:rPr>
              <w:t>1,568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4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50" w14:textId="77777777" w:rsidR="006A3667" w:rsidRDefault="00045F32">
            <w:pPr>
              <w:jc w:val="right"/>
              <w:textAlignment w:val="bottom"/>
            </w:pPr>
            <w:r>
              <w:rPr>
                <w:rFonts w:ascii="Arial" w:eastAsia="宋体" w:hAnsi="Arial" w:cs="Arial"/>
                <w:color w:val="000000"/>
                <w:sz w:val="18"/>
                <w:szCs w:val="18"/>
              </w:rPr>
              <w:t>1,816 </w:t>
            </w:r>
          </w:p>
        </w:tc>
        <w:tc>
          <w:tcPr>
            <w:tcW w:w="0" w:type="auto"/>
            <w:shd w:val="clear" w:color="auto" w:fill="CCEEFF"/>
            <w:tcMar>
              <w:top w:w="40" w:type="dxa"/>
              <w:left w:w="0" w:type="dxa"/>
              <w:bottom w:w="40" w:type="dxa"/>
              <w:right w:w="20" w:type="dxa"/>
            </w:tcMar>
            <w:vAlign w:val="bottom"/>
          </w:tcPr>
          <w:p w14:paraId="71D42451" w14:textId="77777777" w:rsidR="006A3667" w:rsidRDefault="006A3667">
            <w:pPr>
              <w:jc w:val="right"/>
              <w:rPr>
                <w:rFonts w:ascii="宋体"/>
              </w:rPr>
            </w:pPr>
          </w:p>
        </w:tc>
      </w:tr>
      <w:tr w:rsidR="006A3667" w14:paraId="71D42459" w14:textId="77777777">
        <w:trPr>
          <w:jc w:val="center"/>
        </w:trPr>
        <w:tc>
          <w:tcPr>
            <w:tcW w:w="0" w:type="auto"/>
            <w:gridSpan w:val="3"/>
            <w:shd w:val="clear" w:color="auto" w:fill="FFFFFF"/>
            <w:tcMar>
              <w:top w:w="40" w:type="dxa"/>
              <w:left w:w="20" w:type="dxa"/>
              <w:bottom w:w="40" w:type="dxa"/>
              <w:right w:w="20" w:type="dxa"/>
            </w:tcMar>
            <w:vAlign w:val="bottom"/>
          </w:tcPr>
          <w:p w14:paraId="71D42453" w14:textId="77777777" w:rsidR="006A3667" w:rsidRDefault="00045F32">
            <w:pPr>
              <w:textAlignment w:val="bottom"/>
            </w:pPr>
            <w:r>
              <w:rPr>
                <w:rFonts w:ascii="Arial" w:eastAsia="宋体" w:hAnsi="Arial" w:cs="Arial"/>
                <w:color w:val="000000"/>
                <w:sz w:val="18"/>
                <w:szCs w:val="18"/>
              </w:rPr>
              <w:t>Other assets</w:t>
            </w:r>
          </w:p>
        </w:tc>
        <w:tc>
          <w:tcPr>
            <w:tcW w:w="0" w:type="auto"/>
            <w:gridSpan w:val="2"/>
            <w:shd w:val="clear" w:color="auto" w:fill="FFFFFF"/>
            <w:tcMar>
              <w:top w:w="40" w:type="dxa"/>
              <w:left w:w="20" w:type="dxa"/>
              <w:bottom w:w="40" w:type="dxa"/>
              <w:right w:w="0" w:type="dxa"/>
            </w:tcMar>
            <w:vAlign w:val="bottom"/>
          </w:tcPr>
          <w:p w14:paraId="71D42454" w14:textId="77777777" w:rsidR="006A3667" w:rsidRDefault="00045F32">
            <w:pPr>
              <w:jc w:val="right"/>
              <w:textAlignment w:val="bottom"/>
            </w:pPr>
            <w:r>
              <w:rPr>
                <w:rFonts w:ascii="Arial" w:eastAsia="宋体" w:hAnsi="Arial" w:cs="Arial"/>
                <w:b/>
                <w:bCs/>
                <w:color w:val="000000"/>
                <w:sz w:val="18"/>
                <w:szCs w:val="18"/>
              </w:rPr>
              <w:t>42,666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5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5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57" w14:textId="77777777" w:rsidR="006A3667" w:rsidRDefault="00045F32">
            <w:pPr>
              <w:jc w:val="right"/>
              <w:textAlignment w:val="bottom"/>
            </w:pPr>
            <w:r>
              <w:rPr>
                <w:rFonts w:ascii="Arial" w:eastAsia="宋体" w:hAnsi="Arial" w:cs="Arial"/>
                <w:color w:val="000000"/>
                <w:sz w:val="18"/>
                <w:szCs w:val="18"/>
              </w:rPr>
              <w:t>37,615 </w:t>
            </w:r>
          </w:p>
        </w:tc>
        <w:tc>
          <w:tcPr>
            <w:tcW w:w="0" w:type="auto"/>
            <w:shd w:val="clear" w:color="auto" w:fill="FFFFFF"/>
            <w:tcMar>
              <w:top w:w="40" w:type="dxa"/>
              <w:left w:w="0" w:type="dxa"/>
              <w:bottom w:w="40" w:type="dxa"/>
              <w:right w:w="20" w:type="dxa"/>
            </w:tcMar>
            <w:vAlign w:val="bottom"/>
          </w:tcPr>
          <w:p w14:paraId="71D42458" w14:textId="77777777" w:rsidR="006A3667" w:rsidRDefault="006A3667">
            <w:pPr>
              <w:jc w:val="right"/>
              <w:rPr>
                <w:rFonts w:ascii="宋体"/>
              </w:rPr>
            </w:pPr>
          </w:p>
        </w:tc>
      </w:tr>
      <w:tr w:rsidR="006A3667" w14:paraId="71D42462" w14:textId="77777777">
        <w:trPr>
          <w:jc w:val="center"/>
        </w:trPr>
        <w:tc>
          <w:tcPr>
            <w:tcW w:w="0" w:type="auto"/>
            <w:gridSpan w:val="3"/>
            <w:shd w:val="clear" w:color="auto" w:fill="CCEEFF"/>
            <w:tcMar>
              <w:top w:w="40" w:type="dxa"/>
              <w:left w:w="20" w:type="dxa"/>
              <w:bottom w:w="40" w:type="dxa"/>
              <w:right w:w="20" w:type="dxa"/>
            </w:tcMar>
            <w:vAlign w:val="bottom"/>
          </w:tcPr>
          <w:p w14:paraId="71D4245A" w14:textId="77777777" w:rsidR="006A3667" w:rsidRDefault="00045F32">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245B" w14:textId="77777777" w:rsidR="006A3667" w:rsidRDefault="00045F32">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45C" w14:textId="77777777" w:rsidR="006A3667" w:rsidRDefault="00045F32">
            <w:pPr>
              <w:jc w:val="right"/>
              <w:textAlignment w:val="bottom"/>
            </w:pPr>
            <w:r>
              <w:rPr>
                <w:rFonts w:ascii="Arial" w:eastAsia="宋体" w:hAnsi="Arial" w:cs="Arial"/>
                <w:b/>
                <w:bCs/>
                <w:color w:val="000000"/>
                <w:sz w:val="18"/>
                <w:szCs w:val="18"/>
              </w:rPr>
              <w:t>303,568</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4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5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45F" w14:textId="77777777" w:rsidR="006A3667" w:rsidRDefault="00045F32">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460" w14:textId="77777777" w:rsidR="006A3667" w:rsidRDefault="00045F32">
            <w:pPr>
              <w:jc w:val="right"/>
              <w:textAlignment w:val="bottom"/>
            </w:pPr>
            <w:r>
              <w:rPr>
                <w:rFonts w:ascii="Arial" w:eastAsia="宋体" w:hAnsi="Arial" w:cs="Arial"/>
                <w:color w:val="000000"/>
                <w:sz w:val="18"/>
                <w:szCs w:val="18"/>
              </w:rPr>
              <w:t>314,624 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461" w14:textId="77777777" w:rsidR="006A3667" w:rsidRDefault="006A3667">
            <w:pPr>
              <w:jc w:val="right"/>
              <w:rPr>
                <w:rFonts w:ascii="宋体"/>
              </w:rPr>
            </w:pPr>
          </w:p>
        </w:tc>
      </w:tr>
      <w:tr w:rsidR="006A3667" w14:paraId="71D42467" w14:textId="77777777">
        <w:trPr>
          <w:jc w:val="center"/>
        </w:trPr>
        <w:tc>
          <w:tcPr>
            <w:tcW w:w="0" w:type="auto"/>
            <w:gridSpan w:val="3"/>
            <w:shd w:val="clear" w:color="auto" w:fill="FFFFFF"/>
            <w:tcMar>
              <w:top w:w="40" w:type="dxa"/>
              <w:left w:w="20" w:type="dxa"/>
              <w:bottom w:w="40" w:type="dxa"/>
              <w:right w:w="20" w:type="dxa"/>
            </w:tcMar>
            <w:vAlign w:val="bottom"/>
          </w:tcPr>
          <w:p w14:paraId="71D42463" w14:textId="77777777" w:rsidR="006A3667" w:rsidRDefault="00045F32">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246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465"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2466" w14:textId="77777777" w:rsidR="006A3667" w:rsidRDefault="006A3667">
            <w:pPr>
              <w:rPr>
                <w:rFonts w:ascii="宋体"/>
              </w:rPr>
            </w:pPr>
          </w:p>
        </w:tc>
      </w:tr>
      <w:tr w:rsidR="006A3667" w14:paraId="71D4246C" w14:textId="77777777">
        <w:trPr>
          <w:jc w:val="center"/>
        </w:trPr>
        <w:tc>
          <w:tcPr>
            <w:tcW w:w="0" w:type="auto"/>
            <w:gridSpan w:val="3"/>
            <w:shd w:val="clear" w:color="auto" w:fill="CCEEFF"/>
            <w:tcMar>
              <w:top w:w="40" w:type="dxa"/>
              <w:left w:w="20" w:type="dxa"/>
              <w:bottom w:w="40" w:type="dxa"/>
              <w:right w:w="20" w:type="dxa"/>
            </w:tcMar>
            <w:vAlign w:val="bottom"/>
          </w:tcPr>
          <w:p w14:paraId="71D42468" w14:textId="77777777" w:rsidR="006A3667" w:rsidRDefault="00045F32">
            <w:pPr>
              <w:textAlignment w:val="bottom"/>
            </w:pPr>
            <w:r>
              <w:rPr>
                <w:rFonts w:ascii="Arial" w:eastAsia="宋体" w:hAnsi="Arial" w:cs="Arial"/>
                <w:color w:val="000000"/>
                <w:sz w:val="18"/>
                <w:szCs w:val="18"/>
              </w:rPr>
              <w:t>Deposits:</w:t>
            </w:r>
          </w:p>
        </w:tc>
        <w:tc>
          <w:tcPr>
            <w:tcW w:w="0" w:type="auto"/>
            <w:gridSpan w:val="3"/>
            <w:shd w:val="clear" w:color="auto" w:fill="CCEEFF"/>
            <w:tcMar>
              <w:top w:w="0" w:type="dxa"/>
              <w:left w:w="20" w:type="dxa"/>
              <w:bottom w:w="0" w:type="dxa"/>
              <w:right w:w="20" w:type="dxa"/>
            </w:tcMar>
            <w:vAlign w:val="bottom"/>
          </w:tcPr>
          <w:p w14:paraId="71D4246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46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46B" w14:textId="77777777" w:rsidR="006A3667" w:rsidRDefault="006A3667">
            <w:pPr>
              <w:rPr>
                <w:rFonts w:ascii="宋体"/>
              </w:rPr>
            </w:pPr>
          </w:p>
        </w:tc>
      </w:tr>
      <w:tr w:rsidR="006A3667" w14:paraId="71D42475" w14:textId="77777777">
        <w:trPr>
          <w:jc w:val="center"/>
        </w:trPr>
        <w:tc>
          <w:tcPr>
            <w:tcW w:w="0" w:type="auto"/>
            <w:gridSpan w:val="3"/>
            <w:shd w:val="clear" w:color="auto" w:fill="FFFFFF"/>
            <w:tcMar>
              <w:top w:w="40" w:type="dxa"/>
              <w:left w:w="245" w:type="dxa"/>
              <w:bottom w:w="40" w:type="dxa"/>
              <w:right w:w="20" w:type="dxa"/>
            </w:tcMar>
            <w:vAlign w:val="bottom"/>
          </w:tcPr>
          <w:p w14:paraId="71D4246D" w14:textId="77777777" w:rsidR="006A3667" w:rsidRDefault="00045F32">
            <w:pPr>
              <w:textAlignment w:val="bottom"/>
            </w:pPr>
            <w:r>
              <w:rPr>
                <w:rFonts w:ascii="Arial" w:eastAsia="宋体" w:hAnsi="Arial" w:cs="Arial"/>
                <w:color w:val="000000"/>
                <w:sz w:val="18"/>
                <w:szCs w:val="18"/>
              </w:rPr>
              <w:t>Non-interest-bearing</w:t>
            </w:r>
          </w:p>
        </w:tc>
        <w:tc>
          <w:tcPr>
            <w:tcW w:w="0" w:type="auto"/>
            <w:shd w:val="clear" w:color="auto" w:fill="FFFFFF"/>
            <w:tcMar>
              <w:top w:w="40" w:type="dxa"/>
              <w:left w:w="20" w:type="dxa"/>
              <w:bottom w:w="40" w:type="dxa"/>
              <w:right w:w="0" w:type="dxa"/>
            </w:tcMar>
            <w:vAlign w:val="bottom"/>
          </w:tcPr>
          <w:p w14:paraId="71D4246E" w14:textId="77777777" w:rsidR="006A3667" w:rsidRDefault="00045F32">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71D4246F" w14:textId="77777777" w:rsidR="006A3667" w:rsidRDefault="00045F32">
            <w:pPr>
              <w:jc w:val="right"/>
              <w:textAlignment w:val="bottom"/>
            </w:pPr>
            <w:r>
              <w:rPr>
                <w:rFonts w:ascii="Arial" w:eastAsia="宋体" w:hAnsi="Arial" w:cs="Arial"/>
                <w:b/>
                <w:bCs/>
                <w:color w:val="000000"/>
                <w:sz w:val="18"/>
                <w:szCs w:val="18"/>
              </w:rPr>
              <w:t>55,894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7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71"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472" w14:textId="77777777" w:rsidR="006A3667" w:rsidRDefault="00045F32">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71D42473" w14:textId="77777777" w:rsidR="006A3667" w:rsidRDefault="00045F32">
            <w:pPr>
              <w:jc w:val="right"/>
              <w:textAlignment w:val="bottom"/>
            </w:pPr>
            <w:r>
              <w:rPr>
                <w:rFonts w:ascii="Arial" w:eastAsia="宋体" w:hAnsi="Arial" w:cs="Arial"/>
                <w:color w:val="000000"/>
                <w:sz w:val="18"/>
                <w:szCs w:val="18"/>
              </w:rPr>
              <w:t>56,461 </w:t>
            </w:r>
          </w:p>
        </w:tc>
        <w:tc>
          <w:tcPr>
            <w:tcW w:w="0" w:type="auto"/>
            <w:shd w:val="clear" w:color="auto" w:fill="FFFFFF"/>
            <w:tcMar>
              <w:top w:w="40" w:type="dxa"/>
              <w:left w:w="0" w:type="dxa"/>
              <w:bottom w:w="40" w:type="dxa"/>
              <w:right w:w="20" w:type="dxa"/>
            </w:tcMar>
            <w:vAlign w:val="bottom"/>
          </w:tcPr>
          <w:p w14:paraId="71D42474" w14:textId="77777777" w:rsidR="006A3667" w:rsidRDefault="006A3667">
            <w:pPr>
              <w:jc w:val="right"/>
              <w:rPr>
                <w:rFonts w:ascii="宋体"/>
              </w:rPr>
            </w:pPr>
          </w:p>
        </w:tc>
      </w:tr>
      <w:tr w:rsidR="006A3667" w14:paraId="71D4247C" w14:textId="77777777">
        <w:trPr>
          <w:jc w:val="center"/>
        </w:trPr>
        <w:tc>
          <w:tcPr>
            <w:tcW w:w="0" w:type="auto"/>
            <w:gridSpan w:val="3"/>
            <w:shd w:val="clear" w:color="auto" w:fill="CCEEFF"/>
            <w:tcMar>
              <w:top w:w="40" w:type="dxa"/>
              <w:left w:w="245" w:type="dxa"/>
              <w:bottom w:w="40" w:type="dxa"/>
              <w:right w:w="20" w:type="dxa"/>
            </w:tcMar>
            <w:vAlign w:val="bottom"/>
          </w:tcPr>
          <w:p w14:paraId="71D42476" w14:textId="77777777" w:rsidR="006A3667" w:rsidRDefault="00045F32">
            <w:pPr>
              <w:textAlignment w:val="bottom"/>
            </w:pPr>
            <w:r>
              <w:rPr>
                <w:rFonts w:ascii="Arial" w:eastAsia="宋体" w:hAnsi="Arial" w:cs="Arial"/>
                <w:color w:val="000000"/>
                <w:sz w:val="18"/>
                <w:szCs w:val="18"/>
              </w:rPr>
              <w:t>Interest-bearing - U.S.</w:t>
            </w:r>
          </w:p>
        </w:tc>
        <w:tc>
          <w:tcPr>
            <w:tcW w:w="0" w:type="auto"/>
            <w:gridSpan w:val="2"/>
            <w:shd w:val="clear" w:color="auto" w:fill="CCEEFF"/>
            <w:tcMar>
              <w:top w:w="40" w:type="dxa"/>
              <w:left w:w="20" w:type="dxa"/>
              <w:bottom w:w="40" w:type="dxa"/>
              <w:right w:w="0" w:type="dxa"/>
            </w:tcMar>
            <w:vAlign w:val="bottom"/>
          </w:tcPr>
          <w:p w14:paraId="71D42477" w14:textId="77777777" w:rsidR="006A3667" w:rsidRDefault="00045F32">
            <w:pPr>
              <w:jc w:val="right"/>
              <w:textAlignment w:val="bottom"/>
            </w:pPr>
            <w:r>
              <w:rPr>
                <w:rFonts w:ascii="Arial" w:eastAsia="宋体" w:hAnsi="Arial" w:cs="Arial"/>
                <w:b/>
                <w:bCs/>
                <w:color w:val="000000"/>
                <w:sz w:val="18"/>
                <w:szCs w:val="18"/>
              </w:rPr>
              <w:t>105,021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7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7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7A" w14:textId="77777777" w:rsidR="006A3667" w:rsidRDefault="00045F32">
            <w:pPr>
              <w:jc w:val="right"/>
              <w:textAlignment w:val="bottom"/>
            </w:pPr>
            <w:r>
              <w:rPr>
                <w:rFonts w:ascii="Arial" w:eastAsia="宋体" w:hAnsi="Arial" w:cs="Arial"/>
                <w:color w:val="000000"/>
                <w:sz w:val="18"/>
                <w:szCs w:val="18"/>
              </w:rPr>
              <w:t>102,985 </w:t>
            </w:r>
          </w:p>
        </w:tc>
        <w:tc>
          <w:tcPr>
            <w:tcW w:w="0" w:type="auto"/>
            <w:shd w:val="clear" w:color="auto" w:fill="CCEEFF"/>
            <w:tcMar>
              <w:top w:w="40" w:type="dxa"/>
              <w:left w:w="0" w:type="dxa"/>
              <w:bottom w:w="40" w:type="dxa"/>
              <w:right w:w="20" w:type="dxa"/>
            </w:tcMar>
            <w:vAlign w:val="bottom"/>
          </w:tcPr>
          <w:p w14:paraId="71D4247B" w14:textId="77777777" w:rsidR="006A3667" w:rsidRDefault="006A3667">
            <w:pPr>
              <w:jc w:val="right"/>
              <w:rPr>
                <w:rFonts w:ascii="宋体"/>
              </w:rPr>
            </w:pPr>
          </w:p>
        </w:tc>
      </w:tr>
      <w:tr w:rsidR="006A3667" w14:paraId="71D42483" w14:textId="77777777">
        <w:trPr>
          <w:jc w:val="center"/>
        </w:trPr>
        <w:tc>
          <w:tcPr>
            <w:tcW w:w="0" w:type="auto"/>
            <w:gridSpan w:val="3"/>
            <w:shd w:val="clear" w:color="auto" w:fill="FFFFFF"/>
            <w:tcMar>
              <w:top w:w="40" w:type="dxa"/>
              <w:left w:w="245" w:type="dxa"/>
              <w:bottom w:w="40" w:type="dxa"/>
              <w:right w:w="20" w:type="dxa"/>
            </w:tcMar>
            <w:vAlign w:val="bottom"/>
          </w:tcPr>
          <w:p w14:paraId="71D4247D" w14:textId="77777777" w:rsidR="006A3667" w:rsidRDefault="00045F32">
            <w:pPr>
              <w:textAlignment w:val="bottom"/>
            </w:pPr>
            <w:r>
              <w:rPr>
                <w:rFonts w:ascii="Arial" w:eastAsia="宋体" w:hAnsi="Arial" w:cs="Arial"/>
                <w:color w:val="000000"/>
                <w:sz w:val="18"/>
                <w:szCs w:val="18"/>
              </w:rPr>
              <w:t>Interest-bearing - non-U.S.</w:t>
            </w:r>
          </w:p>
        </w:tc>
        <w:tc>
          <w:tcPr>
            <w:tcW w:w="0" w:type="auto"/>
            <w:gridSpan w:val="2"/>
            <w:shd w:val="clear" w:color="auto" w:fill="FFFFFF"/>
            <w:tcMar>
              <w:top w:w="40" w:type="dxa"/>
              <w:left w:w="20" w:type="dxa"/>
              <w:bottom w:w="40" w:type="dxa"/>
              <w:right w:w="0" w:type="dxa"/>
            </w:tcMar>
            <w:vAlign w:val="bottom"/>
          </w:tcPr>
          <w:p w14:paraId="71D4247E" w14:textId="77777777" w:rsidR="006A3667" w:rsidRDefault="00045F32">
            <w:pPr>
              <w:jc w:val="right"/>
              <w:textAlignment w:val="bottom"/>
            </w:pPr>
            <w:r>
              <w:rPr>
                <w:rFonts w:ascii="Arial" w:eastAsia="宋体" w:hAnsi="Arial" w:cs="Arial"/>
                <w:b/>
                <w:bCs/>
                <w:color w:val="000000"/>
                <w:sz w:val="18"/>
                <w:szCs w:val="18"/>
              </w:rPr>
              <w:t>77,321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7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8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81" w14:textId="77777777" w:rsidR="006A3667" w:rsidRDefault="00045F32">
            <w:pPr>
              <w:jc w:val="right"/>
              <w:textAlignment w:val="bottom"/>
            </w:pPr>
            <w:r>
              <w:rPr>
                <w:rFonts w:ascii="Arial" w:eastAsia="宋体" w:hAnsi="Arial" w:cs="Arial"/>
                <w:color w:val="000000"/>
                <w:sz w:val="18"/>
                <w:szCs w:val="18"/>
              </w:rPr>
              <w:t>95,589 </w:t>
            </w:r>
          </w:p>
        </w:tc>
        <w:tc>
          <w:tcPr>
            <w:tcW w:w="0" w:type="auto"/>
            <w:shd w:val="clear" w:color="auto" w:fill="FFFFFF"/>
            <w:tcMar>
              <w:top w:w="40" w:type="dxa"/>
              <w:left w:w="0" w:type="dxa"/>
              <w:bottom w:w="40" w:type="dxa"/>
              <w:right w:w="20" w:type="dxa"/>
            </w:tcMar>
            <w:vAlign w:val="bottom"/>
          </w:tcPr>
          <w:p w14:paraId="71D42482" w14:textId="77777777" w:rsidR="006A3667" w:rsidRDefault="006A3667">
            <w:pPr>
              <w:jc w:val="right"/>
              <w:rPr>
                <w:rFonts w:ascii="宋体"/>
              </w:rPr>
            </w:pPr>
          </w:p>
        </w:tc>
      </w:tr>
      <w:tr w:rsidR="006A3667" w14:paraId="71D4248A" w14:textId="77777777">
        <w:trPr>
          <w:jc w:val="center"/>
        </w:trPr>
        <w:tc>
          <w:tcPr>
            <w:tcW w:w="0" w:type="auto"/>
            <w:gridSpan w:val="3"/>
            <w:shd w:val="clear" w:color="auto" w:fill="CCEEFF"/>
            <w:tcMar>
              <w:top w:w="40" w:type="dxa"/>
              <w:left w:w="20" w:type="dxa"/>
              <w:bottom w:w="40" w:type="dxa"/>
              <w:right w:w="20" w:type="dxa"/>
            </w:tcMar>
            <w:vAlign w:val="bottom"/>
          </w:tcPr>
          <w:p w14:paraId="71D42484" w14:textId="77777777" w:rsidR="006A3667" w:rsidRDefault="00045F32">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485" w14:textId="77777777" w:rsidR="006A3667" w:rsidRDefault="00045F32">
            <w:pPr>
              <w:jc w:val="right"/>
              <w:textAlignment w:val="bottom"/>
            </w:pPr>
            <w:r>
              <w:rPr>
                <w:rFonts w:ascii="Arial" w:eastAsia="宋体" w:hAnsi="Arial" w:cs="Arial"/>
                <w:b/>
                <w:bCs/>
                <w:color w:val="000000"/>
                <w:sz w:val="18"/>
                <w:szCs w:val="18"/>
              </w:rPr>
              <w:t>238,236</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4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8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488" w14:textId="77777777" w:rsidR="006A3667" w:rsidRDefault="00045F32">
            <w:pPr>
              <w:jc w:val="right"/>
              <w:textAlignment w:val="bottom"/>
            </w:pPr>
            <w:r>
              <w:rPr>
                <w:rFonts w:ascii="Arial" w:eastAsia="宋体" w:hAnsi="Arial" w:cs="Arial"/>
                <w:color w:val="000000"/>
                <w:sz w:val="18"/>
                <w:szCs w:val="18"/>
              </w:rPr>
              <w:t>255,035 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489" w14:textId="77777777" w:rsidR="006A3667" w:rsidRDefault="006A3667">
            <w:pPr>
              <w:jc w:val="right"/>
              <w:rPr>
                <w:rFonts w:ascii="宋体"/>
              </w:rPr>
            </w:pPr>
          </w:p>
        </w:tc>
      </w:tr>
      <w:tr w:rsidR="006A3667" w14:paraId="71D42491" w14:textId="77777777">
        <w:trPr>
          <w:jc w:val="center"/>
        </w:trPr>
        <w:tc>
          <w:tcPr>
            <w:tcW w:w="0" w:type="auto"/>
            <w:gridSpan w:val="3"/>
            <w:shd w:val="clear" w:color="auto" w:fill="FFFFFF"/>
            <w:tcMar>
              <w:top w:w="40" w:type="dxa"/>
              <w:left w:w="20" w:type="dxa"/>
              <w:bottom w:w="40" w:type="dxa"/>
              <w:right w:w="20" w:type="dxa"/>
            </w:tcMar>
            <w:vAlign w:val="bottom"/>
          </w:tcPr>
          <w:p w14:paraId="71D4248B" w14:textId="77777777" w:rsidR="006A3667" w:rsidRDefault="00045F32">
            <w:pPr>
              <w:textAlignment w:val="bottom"/>
            </w:pPr>
            <w:r>
              <w:rPr>
                <w:rFonts w:ascii="Arial" w:eastAsia="宋体" w:hAnsi="Arial" w:cs="Arial"/>
                <w:color w:val="000000"/>
                <w:sz w:val="18"/>
                <w:szCs w:val="18"/>
              </w:rPr>
              <w:t>Securities sold under repurchase agreements</w:t>
            </w:r>
          </w:p>
        </w:tc>
        <w:tc>
          <w:tcPr>
            <w:tcW w:w="0" w:type="auto"/>
            <w:gridSpan w:val="2"/>
            <w:shd w:val="clear" w:color="auto" w:fill="FFFFFF"/>
            <w:tcMar>
              <w:top w:w="40" w:type="dxa"/>
              <w:left w:w="20" w:type="dxa"/>
              <w:bottom w:w="40" w:type="dxa"/>
              <w:right w:w="0" w:type="dxa"/>
            </w:tcMar>
            <w:vAlign w:val="bottom"/>
          </w:tcPr>
          <w:p w14:paraId="71D4248C" w14:textId="77777777" w:rsidR="006A3667" w:rsidRDefault="00045F32">
            <w:pPr>
              <w:jc w:val="right"/>
              <w:textAlignment w:val="bottom"/>
            </w:pPr>
            <w:r>
              <w:rPr>
                <w:rFonts w:ascii="Arial" w:eastAsia="宋体" w:hAnsi="Arial" w:cs="Arial"/>
                <w:b/>
                <w:bCs/>
                <w:color w:val="000000"/>
                <w:sz w:val="18"/>
                <w:szCs w:val="18"/>
              </w:rPr>
              <w:t>4,250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8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8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8F" w14:textId="77777777" w:rsidR="006A3667" w:rsidRDefault="00045F32">
            <w:pPr>
              <w:jc w:val="right"/>
              <w:textAlignment w:val="bottom"/>
            </w:pPr>
            <w:r>
              <w:rPr>
                <w:rFonts w:ascii="Arial" w:eastAsia="宋体" w:hAnsi="Arial" w:cs="Arial"/>
                <w:color w:val="000000"/>
                <w:sz w:val="18"/>
                <w:szCs w:val="18"/>
              </w:rPr>
              <w:t>1,575 </w:t>
            </w:r>
          </w:p>
        </w:tc>
        <w:tc>
          <w:tcPr>
            <w:tcW w:w="0" w:type="auto"/>
            <w:shd w:val="clear" w:color="auto" w:fill="FFFFFF"/>
            <w:tcMar>
              <w:top w:w="40" w:type="dxa"/>
              <w:left w:w="0" w:type="dxa"/>
              <w:bottom w:w="40" w:type="dxa"/>
              <w:right w:w="20" w:type="dxa"/>
            </w:tcMar>
            <w:vAlign w:val="bottom"/>
          </w:tcPr>
          <w:p w14:paraId="71D42490" w14:textId="77777777" w:rsidR="006A3667" w:rsidRDefault="006A3667">
            <w:pPr>
              <w:jc w:val="right"/>
              <w:rPr>
                <w:rFonts w:ascii="宋体"/>
              </w:rPr>
            </w:pPr>
          </w:p>
        </w:tc>
      </w:tr>
      <w:tr w:rsidR="006A3667" w14:paraId="71D42496" w14:textId="77777777">
        <w:trPr>
          <w:jc w:val="center"/>
          <w:hidden/>
        </w:trPr>
        <w:tc>
          <w:tcPr>
            <w:tcW w:w="0" w:type="auto"/>
            <w:gridSpan w:val="3"/>
            <w:shd w:val="clear" w:color="auto" w:fill="auto"/>
            <w:vAlign w:val="bottom"/>
          </w:tcPr>
          <w:p w14:paraId="71D42492" w14:textId="77777777" w:rsidR="006A3667" w:rsidRDefault="006A3667">
            <w:pPr>
              <w:rPr>
                <w:rFonts w:ascii="宋体"/>
                <w:vanish/>
              </w:rPr>
            </w:pPr>
          </w:p>
        </w:tc>
        <w:tc>
          <w:tcPr>
            <w:tcW w:w="0" w:type="auto"/>
            <w:gridSpan w:val="3"/>
            <w:shd w:val="clear" w:color="auto" w:fill="auto"/>
            <w:vAlign w:val="bottom"/>
          </w:tcPr>
          <w:p w14:paraId="71D42493" w14:textId="77777777" w:rsidR="006A3667" w:rsidRDefault="006A3667">
            <w:pPr>
              <w:rPr>
                <w:rFonts w:ascii="宋体"/>
                <w:vanish/>
              </w:rPr>
            </w:pPr>
          </w:p>
        </w:tc>
        <w:tc>
          <w:tcPr>
            <w:tcW w:w="0" w:type="auto"/>
            <w:gridSpan w:val="3"/>
            <w:shd w:val="clear" w:color="auto" w:fill="auto"/>
            <w:vAlign w:val="bottom"/>
          </w:tcPr>
          <w:p w14:paraId="71D42494" w14:textId="77777777" w:rsidR="006A3667" w:rsidRDefault="006A3667">
            <w:pPr>
              <w:rPr>
                <w:rFonts w:ascii="宋体"/>
                <w:vanish/>
              </w:rPr>
            </w:pPr>
          </w:p>
        </w:tc>
        <w:tc>
          <w:tcPr>
            <w:tcW w:w="0" w:type="auto"/>
            <w:gridSpan w:val="3"/>
            <w:shd w:val="clear" w:color="auto" w:fill="auto"/>
            <w:vAlign w:val="bottom"/>
          </w:tcPr>
          <w:p w14:paraId="71D42495" w14:textId="77777777" w:rsidR="006A3667" w:rsidRDefault="006A3667">
            <w:pPr>
              <w:rPr>
                <w:rFonts w:ascii="宋体"/>
                <w:vanish/>
              </w:rPr>
            </w:pPr>
          </w:p>
        </w:tc>
      </w:tr>
      <w:tr w:rsidR="006A3667" w14:paraId="71D4249D" w14:textId="77777777">
        <w:trPr>
          <w:jc w:val="center"/>
        </w:trPr>
        <w:tc>
          <w:tcPr>
            <w:tcW w:w="0" w:type="auto"/>
            <w:gridSpan w:val="3"/>
            <w:shd w:val="clear" w:color="auto" w:fill="CCEEFF"/>
            <w:tcMar>
              <w:top w:w="40" w:type="dxa"/>
              <w:left w:w="20" w:type="dxa"/>
              <w:bottom w:w="40" w:type="dxa"/>
              <w:right w:w="20" w:type="dxa"/>
            </w:tcMar>
            <w:vAlign w:val="bottom"/>
          </w:tcPr>
          <w:p w14:paraId="71D42497" w14:textId="77777777" w:rsidR="006A3667" w:rsidRDefault="00045F32">
            <w:pPr>
              <w:textAlignment w:val="bottom"/>
            </w:pPr>
            <w:r>
              <w:rPr>
                <w:rFonts w:ascii="Arial" w:eastAsia="宋体" w:hAnsi="Arial" w:cs="Arial"/>
                <w:color w:val="000000"/>
                <w:sz w:val="18"/>
                <w:szCs w:val="18"/>
              </w:rPr>
              <w:t>Other short-term borrowings</w:t>
            </w:r>
          </w:p>
        </w:tc>
        <w:tc>
          <w:tcPr>
            <w:tcW w:w="0" w:type="auto"/>
            <w:gridSpan w:val="2"/>
            <w:shd w:val="clear" w:color="auto" w:fill="CCEEFF"/>
            <w:tcMar>
              <w:top w:w="40" w:type="dxa"/>
              <w:left w:w="20" w:type="dxa"/>
              <w:bottom w:w="40" w:type="dxa"/>
              <w:right w:w="0" w:type="dxa"/>
            </w:tcMar>
            <w:vAlign w:val="bottom"/>
          </w:tcPr>
          <w:p w14:paraId="71D42498" w14:textId="77777777" w:rsidR="006A3667" w:rsidRDefault="00045F32">
            <w:pPr>
              <w:jc w:val="right"/>
              <w:textAlignment w:val="bottom"/>
            </w:pPr>
            <w:r>
              <w:rPr>
                <w:rFonts w:ascii="Arial" w:eastAsia="宋体" w:hAnsi="Arial" w:cs="Arial"/>
                <w:b/>
                <w:bCs/>
                <w:color w:val="000000"/>
                <w:sz w:val="18"/>
                <w:szCs w:val="18"/>
              </w:rPr>
              <w:t>109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9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9B" w14:textId="77777777" w:rsidR="006A3667" w:rsidRDefault="00045F32">
            <w:pPr>
              <w:jc w:val="right"/>
              <w:textAlignment w:val="bottom"/>
            </w:pPr>
            <w:r>
              <w:rPr>
                <w:rFonts w:ascii="Arial" w:eastAsia="宋体" w:hAnsi="Arial" w:cs="Arial"/>
                <w:color w:val="000000"/>
                <w:sz w:val="18"/>
                <w:szCs w:val="18"/>
              </w:rPr>
              <w:t>128 </w:t>
            </w:r>
          </w:p>
        </w:tc>
        <w:tc>
          <w:tcPr>
            <w:tcW w:w="0" w:type="auto"/>
            <w:shd w:val="clear" w:color="auto" w:fill="CCEEFF"/>
            <w:tcMar>
              <w:top w:w="40" w:type="dxa"/>
              <w:left w:w="0" w:type="dxa"/>
              <w:bottom w:w="40" w:type="dxa"/>
              <w:right w:w="20" w:type="dxa"/>
            </w:tcMar>
            <w:vAlign w:val="bottom"/>
          </w:tcPr>
          <w:p w14:paraId="71D4249C" w14:textId="77777777" w:rsidR="006A3667" w:rsidRDefault="006A3667">
            <w:pPr>
              <w:jc w:val="right"/>
              <w:rPr>
                <w:rFonts w:ascii="宋体"/>
              </w:rPr>
            </w:pPr>
          </w:p>
        </w:tc>
      </w:tr>
      <w:tr w:rsidR="006A3667" w14:paraId="71D424A4" w14:textId="77777777">
        <w:trPr>
          <w:jc w:val="center"/>
        </w:trPr>
        <w:tc>
          <w:tcPr>
            <w:tcW w:w="0" w:type="auto"/>
            <w:gridSpan w:val="3"/>
            <w:shd w:val="clear" w:color="auto" w:fill="FFFFFF"/>
            <w:tcMar>
              <w:top w:w="40" w:type="dxa"/>
              <w:left w:w="20" w:type="dxa"/>
              <w:bottom w:w="40" w:type="dxa"/>
              <w:right w:w="20" w:type="dxa"/>
            </w:tcMar>
            <w:vAlign w:val="bottom"/>
          </w:tcPr>
          <w:p w14:paraId="71D4249E" w14:textId="77777777" w:rsidR="006A3667" w:rsidRDefault="00045F32">
            <w:pPr>
              <w:textAlignment w:val="bottom"/>
            </w:pPr>
            <w:r>
              <w:rPr>
                <w:rFonts w:ascii="Arial" w:eastAsia="宋体" w:hAnsi="Arial" w:cs="Arial"/>
                <w:color w:val="000000"/>
                <w:sz w:val="18"/>
                <w:szCs w:val="18"/>
              </w:rPr>
              <w:t xml:space="preserve">Accrued </w:t>
            </w:r>
            <w:r>
              <w:rPr>
                <w:rFonts w:ascii="Arial" w:eastAsia="宋体" w:hAnsi="Arial" w:cs="Arial"/>
                <w:color w:val="000000"/>
                <w:sz w:val="18"/>
                <w:szCs w:val="18"/>
              </w:rPr>
              <w:t>expenses and other liabilities</w:t>
            </w:r>
          </w:p>
        </w:tc>
        <w:tc>
          <w:tcPr>
            <w:tcW w:w="0" w:type="auto"/>
            <w:gridSpan w:val="2"/>
            <w:shd w:val="clear" w:color="auto" w:fill="FFFFFF"/>
            <w:tcMar>
              <w:top w:w="40" w:type="dxa"/>
              <w:left w:w="20" w:type="dxa"/>
              <w:bottom w:w="40" w:type="dxa"/>
              <w:right w:w="0" w:type="dxa"/>
            </w:tcMar>
            <w:vAlign w:val="bottom"/>
          </w:tcPr>
          <w:p w14:paraId="71D4249F" w14:textId="77777777" w:rsidR="006A3667" w:rsidRDefault="00045F32">
            <w:pPr>
              <w:jc w:val="right"/>
              <w:textAlignment w:val="bottom"/>
            </w:pPr>
            <w:r>
              <w:rPr>
                <w:rFonts w:ascii="Arial" w:eastAsia="宋体" w:hAnsi="Arial" w:cs="Arial"/>
                <w:b/>
                <w:bCs/>
                <w:color w:val="000000"/>
                <w:sz w:val="18"/>
                <w:szCs w:val="18"/>
              </w:rPr>
              <w:t>21,326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A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A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A2" w14:textId="77777777" w:rsidR="006A3667" w:rsidRDefault="00045F32">
            <w:pPr>
              <w:jc w:val="right"/>
              <w:textAlignment w:val="bottom"/>
            </w:pPr>
            <w:r>
              <w:rPr>
                <w:rFonts w:ascii="Arial" w:eastAsia="宋体" w:hAnsi="Arial" w:cs="Arial"/>
                <w:color w:val="000000"/>
                <w:sz w:val="18"/>
                <w:szCs w:val="18"/>
              </w:rPr>
              <w:t>17,048 </w:t>
            </w:r>
          </w:p>
        </w:tc>
        <w:tc>
          <w:tcPr>
            <w:tcW w:w="0" w:type="auto"/>
            <w:shd w:val="clear" w:color="auto" w:fill="FFFFFF"/>
            <w:tcMar>
              <w:top w:w="40" w:type="dxa"/>
              <w:left w:w="0" w:type="dxa"/>
              <w:bottom w:w="40" w:type="dxa"/>
              <w:right w:w="20" w:type="dxa"/>
            </w:tcMar>
            <w:vAlign w:val="bottom"/>
          </w:tcPr>
          <w:p w14:paraId="71D424A3" w14:textId="77777777" w:rsidR="006A3667" w:rsidRDefault="006A3667">
            <w:pPr>
              <w:jc w:val="right"/>
              <w:rPr>
                <w:rFonts w:ascii="宋体"/>
              </w:rPr>
            </w:pPr>
          </w:p>
        </w:tc>
      </w:tr>
      <w:tr w:rsidR="006A3667" w14:paraId="71D424AB" w14:textId="77777777">
        <w:trPr>
          <w:jc w:val="center"/>
        </w:trPr>
        <w:tc>
          <w:tcPr>
            <w:tcW w:w="0" w:type="auto"/>
            <w:gridSpan w:val="3"/>
            <w:shd w:val="clear" w:color="auto" w:fill="CCEEFF"/>
            <w:tcMar>
              <w:top w:w="40" w:type="dxa"/>
              <w:left w:w="20" w:type="dxa"/>
              <w:bottom w:w="40" w:type="dxa"/>
              <w:right w:w="20" w:type="dxa"/>
            </w:tcMar>
            <w:vAlign w:val="bottom"/>
          </w:tcPr>
          <w:p w14:paraId="71D424A5" w14:textId="77777777" w:rsidR="006A3667" w:rsidRDefault="00045F32">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71D424A6" w14:textId="77777777" w:rsidR="006A3667" w:rsidRDefault="00045F32">
            <w:pPr>
              <w:jc w:val="right"/>
              <w:textAlignment w:val="bottom"/>
            </w:pPr>
            <w:r>
              <w:rPr>
                <w:rFonts w:ascii="Arial" w:eastAsia="宋体" w:hAnsi="Arial" w:cs="Arial"/>
                <w:b/>
                <w:bCs/>
                <w:color w:val="000000"/>
                <w:sz w:val="18"/>
                <w:szCs w:val="18"/>
              </w:rPr>
              <w:t>13,999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A9" w14:textId="77777777" w:rsidR="006A3667" w:rsidRDefault="00045F32">
            <w:pPr>
              <w:jc w:val="right"/>
              <w:textAlignment w:val="bottom"/>
            </w:pPr>
            <w:r>
              <w:rPr>
                <w:rFonts w:ascii="Arial" w:eastAsia="宋体" w:hAnsi="Arial" w:cs="Arial"/>
                <w:color w:val="000000"/>
                <w:sz w:val="18"/>
                <w:szCs w:val="18"/>
              </w:rPr>
              <w:t>13,475 </w:t>
            </w:r>
          </w:p>
        </w:tc>
        <w:tc>
          <w:tcPr>
            <w:tcW w:w="0" w:type="auto"/>
            <w:shd w:val="clear" w:color="auto" w:fill="CCEEFF"/>
            <w:tcMar>
              <w:top w:w="40" w:type="dxa"/>
              <w:left w:w="0" w:type="dxa"/>
              <w:bottom w:w="40" w:type="dxa"/>
              <w:right w:w="20" w:type="dxa"/>
            </w:tcMar>
            <w:vAlign w:val="bottom"/>
          </w:tcPr>
          <w:p w14:paraId="71D424AA" w14:textId="77777777" w:rsidR="006A3667" w:rsidRDefault="006A3667">
            <w:pPr>
              <w:jc w:val="right"/>
              <w:rPr>
                <w:rFonts w:ascii="宋体"/>
              </w:rPr>
            </w:pPr>
          </w:p>
        </w:tc>
      </w:tr>
      <w:tr w:rsidR="006A3667" w14:paraId="71D424B2" w14:textId="77777777">
        <w:trPr>
          <w:jc w:val="center"/>
        </w:trPr>
        <w:tc>
          <w:tcPr>
            <w:tcW w:w="0" w:type="auto"/>
            <w:gridSpan w:val="3"/>
            <w:shd w:val="clear" w:color="auto" w:fill="FFFFFF"/>
            <w:tcMar>
              <w:top w:w="40" w:type="dxa"/>
              <w:left w:w="20" w:type="dxa"/>
              <w:bottom w:w="40" w:type="dxa"/>
              <w:right w:w="20" w:type="dxa"/>
            </w:tcMar>
            <w:vAlign w:val="bottom"/>
          </w:tcPr>
          <w:p w14:paraId="71D424AC" w14:textId="77777777" w:rsidR="006A3667" w:rsidRDefault="00045F32">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4AD" w14:textId="77777777" w:rsidR="006A3667" w:rsidRDefault="00045F32">
            <w:pPr>
              <w:jc w:val="right"/>
              <w:textAlignment w:val="bottom"/>
            </w:pPr>
            <w:r>
              <w:rPr>
                <w:rFonts w:ascii="Arial" w:eastAsia="宋体" w:hAnsi="Arial" w:cs="Arial"/>
                <w:b/>
                <w:bCs/>
                <w:color w:val="000000"/>
                <w:sz w:val="18"/>
                <w:szCs w:val="18"/>
              </w:rPr>
              <w:t>277,920</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4A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A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4B0" w14:textId="77777777" w:rsidR="006A3667" w:rsidRDefault="00045F32">
            <w:pPr>
              <w:jc w:val="right"/>
              <w:textAlignment w:val="bottom"/>
            </w:pPr>
            <w:r>
              <w:rPr>
                <w:rFonts w:ascii="Arial" w:eastAsia="宋体" w:hAnsi="Arial" w:cs="Arial"/>
                <w:color w:val="000000"/>
                <w:sz w:val="18"/>
                <w:szCs w:val="18"/>
              </w:rPr>
              <w:t>287,261 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4B1" w14:textId="77777777" w:rsidR="006A3667" w:rsidRDefault="006A3667">
            <w:pPr>
              <w:jc w:val="right"/>
              <w:rPr>
                <w:rFonts w:ascii="宋体"/>
              </w:rPr>
            </w:pPr>
          </w:p>
        </w:tc>
      </w:tr>
      <w:tr w:rsidR="006A3667" w14:paraId="71D424B7" w14:textId="77777777">
        <w:trPr>
          <w:jc w:val="center"/>
        </w:trPr>
        <w:tc>
          <w:tcPr>
            <w:tcW w:w="0" w:type="auto"/>
            <w:gridSpan w:val="3"/>
            <w:shd w:val="clear" w:color="auto" w:fill="CCEEFF"/>
            <w:tcMar>
              <w:top w:w="40" w:type="dxa"/>
              <w:left w:w="20" w:type="dxa"/>
              <w:bottom w:w="40" w:type="dxa"/>
              <w:right w:w="20" w:type="dxa"/>
            </w:tcMar>
            <w:vAlign w:val="bottom"/>
          </w:tcPr>
          <w:p w14:paraId="71D424B3" w14:textId="77777777" w:rsidR="006A3667" w:rsidRDefault="00045F32">
            <w:pPr>
              <w:textAlignment w:val="bottom"/>
            </w:pPr>
            <w:r>
              <w:rPr>
                <w:rFonts w:ascii="Arial" w:eastAsia="宋体" w:hAnsi="Arial" w:cs="Arial"/>
                <w:color w:val="000000"/>
                <w:sz w:val="18"/>
                <w:szCs w:val="18"/>
              </w:rPr>
              <w:t>Commitments, guarantees and contingencies (Notes 9 and 10)</w:t>
            </w:r>
          </w:p>
        </w:tc>
        <w:tc>
          <w:tcPr>
            <w:tcW w:w="0" w:type="auto"/>
            <w:gridSpan w:val="3"/>
            <w:shd w:val="clear" w:color="auto" w:fill="CCEEFF"/>
            <w:tcMar>
              <w:top w:w="0" w:type="dxa"/>
              <w:left w:w="20" w:type="dxa"/>
              <w:bottom w:w="0" w:type="dxa"/>
              <w:right w:w="20" w:type="dxa"/>
            </w:tcMar>
            <w:vAlign w:val="bottom"/>
          </w:tcPr>
          <w:p w14:paraId="71D424B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4B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4B6" w14:textId="77777777" w:rsidR="006A3667" w:rsidRDefault="006A3667">
            <w:pPr>
              <w:rPr>
                <w:rFonts w:ascii="宋体"/>
              </w:rPr>
            </w:pPr>
          </w:p>
        </w:tc>
      </w:tr>
      <w:tr w:rsidR="006A3667" w14:paraId="71D424BC" w14:textId="77777777">
        <w:trPr>
          <w:jc w:val="center"/>
        </w:trPr>
        <w:tc>
          <w:tcPr>
            <w:tcW w:w="0" w:type="auto"/>
            <w:gridSpan w:val="3"/>
            <w:shd w:val="clear" w:color="auto" w:fill="FFFFFF"/>
            <w:tcMar>
              <w:top w:w="40" w:type="dxa"/>
              <w:left w:w="20" w:type="dxa"/>
              <w:bottom w:w="40" w:type="dxa"/>
              <w:right w:w="20" w:type="dxa"/>
            </w:tcMar>
            <w:vAlign w:val="bottom"/>
          </w:tcPr>
          <w:p w14:paraId="71D424B8" w14:textId="77777777" w:rsidR="006A3667" w:rsidRDefault="00045F32">
            <w:pPr>
              <w:textAlignment w:val="bottom"/>
            </w:pPr>
            <w:r>
              <w:rPr>
                <w:rFonts w:ascii="Arial" w:eastAsia="宋体" w:hAnsi="Arial" w:cs="Arial"/>
                <w:b/>
                <w:bCs/>
                <w:color w:val="000000"/>
                <w:sz w:val="18"/>
                <w:szCs w:val="18"/>
              </w:rPr>
              <w:t>Shareholders’ equity:</w:t>
            </w:r>
          </w:p>
        </w:tc>
        <w:tc>
          <w:tcPr>
            <w:tcW w:w="0" w:type="auto"/>
            <w:gridSpan w:val="3"/>
            <w:shd w:val="clear" w:color="auto" w:fill="FFFFFF"/>
            <w:tcMar>
              <w:top w:w="0" w:type="dxa"/>
              <w:left w:w="20" w:type="dxa"/>
              <w:bottom w:w="0" w:type="dxa"/>
              <w:right w:w="20" w:type="dxa"/>
            </w:tcMar>
            <w:vAlign w:val="bottom"/>
          </w:tcPr>
          <w:p w14:paraId="71D424B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4B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4BB" w14:textId="77777777" w:rsidR="006A3667" w:rsidRDefault="006A3667">
            <w:pPr>
              <w:rPr>
                <w:rFonts w:ascii="宋体"/>
              </w:rPr>
            </w:pPr>
          </w:p>
        </w:tc>
      </w:tr>
      <w:tr w:rsidR="006A3667" w14:paraId="71D424C1" w14:textId="77777777">
        <w:trPr>
          <w:jc w:val="center"/>
        </w:trPr>
        <w:tc>
          <w:tcPr>
            <w:tcW w:w="0" w:type="auto"/>
            <w:gridSpan w:val="3"/>
            <w:shd w:val="clear" w:color="auto" w:fill="CCEEFF"/>
            <w:tcMar>
              <w:top w:w="40" w:type="dxa"/>
              <w:left w:w="20" w:type="dxa"/>
              <w:bottom w:w="40" w:type="dxa"/>
              <w:right w:w="20" w:type="dxa"/>
            </w:tcMar>
            <w:vAlign w:val="bottom"/>
          </w:tcPr>
          <w:p w14:paraId="71D424BD" w14:textId="77777777" w:rsidR="006A3667" w:rsidRDefault="00045F32">
            <w:pPr>
              <w:textAlignment w:val="bottom"/>
            </w:pPr>
            <w:r>
              <w:rPr>
                <w:rFonts w:ascii="Arial" w:eastAsia="宋体" w:hAnsi="Arial" w:cs="Arial"/>
                <w:color w:val="000000"/>
                <w:sz w:val="18"/>
                <w:szCs w:val="18"/>
              </w:rPr>
              <w:t xml:space="preserve">Preferred stock, no par, </w:t>
            </w:r>
            <w:r>
              <w:rPr>
                <w:rFonts w:ascii="Arial" w:eastAsia="宋体" w:hAnsi="Arial" w:cs="Arial"/>
                <w:color w:val="000000"/>
                <w:sz w:val="18"/>
                <w:szCs w:val="18"/>
              </w:rPr>
              <w:t>3,500,000 shares authorized:</w:t>
            </w:r>
          </w:p>
        </w:tc>
        <w:tc>
          <w:tcPr>
            <w:tcW w:w="0" w:type="auto"/>
            <w:gridSpan w:val="3"/>
            <w:shd w:val="clear" w:color="auto" w:fill="CCEEFF"/>
            <w:tcMar>
              <w:top w:w="0" w:type="dxa"/>
              <w:left w:w="20" w:type="dxa"/>
              <w:bottom w:w="0" w:type="dxa"/>
              <w:right w:w="20" w:type="dxa"/>
            </w:tcMar>
            <w:vAlign w:val="bottom"/>
          </w:tcPr>
          <w:p w14:paraId="71D424B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4B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4C0" w14:textId="77777777" w:rsidR="006A3667" w:rsidRDefault="006A3667">
            <w:pPr>
              <w:rPr>
                <w:rFonts w:ascii="宋体"/>
              </w:rPr>
            </w:pPr>
          </w:p>
        </w:tc>
      </w:tr>
      <w:tr w:rsidR="006A3667" w14:paraId="71D424C6" w14:textId="77777777">
        <w:trPr>
          <w:jc w:val="center"/>
          <w:hidden/>
        </w:trPr>
        <w:tc>
          <w:tcPr>
            <w:tcW w:w="0" w:type="auto"/>
            <w:gridSpan w:val="3"/>
            <w:shd w:val="clear" w:color="auto" w:fill="auto"/>
            <w:vAlign w:val="bottom"/>
          </w:tcPr>
          <w:p w14:paraId="71D424C2" w14:textId="77777777" w:rsidR="006A3667" w:rsidRDefault="006A3667">
            <w:pPr>
              <w:rPr>
                <w:rFonts w:ascii="宋体"/>
                <w:vanish/>
              </w:rPr>
            </w:pPr>
          </w:p>
        </w:tc>
        <w:tc>
          <w:tcPr>
            <w:tcW w:w="0" w:type="auto"/>
            <w:gridSpan w:val="3"/>
            <w:shd w:val="clear" w:color="auto" w:fill="auto"/>
            <w:vAlign w:val="bottom"/>
          </w:tcPr>
          <w:p w14:paraId="71D424C3" w14:textId="77777777" w:rsidR="006A3667" w:rsidRDefault="006A3667">
            <w:pPr>
              <w:rPr>
                <w:rFonts w:ascii="宋体"/>
                <w:vanish/>
              </w:rPr>
            </w:pPr>
          </w:p>
        </w:tc>
        <w:tc>
          <w:tcPr>
            <w:tcW w:w="0" w:type="auto"/>
            <w:gridSpan w:val="3"/>
            <w:shd w:val="clear" w:color="auto" w:fill="auto"/>
            <w:vAlign w:val="bottom"/>
          </w:tcPr>
          <w:p w14:paraId="71D424C4" w14:textId="77777777" w:rsidR="006A3667" w:rsidRDefault="006A3667">
            <w:pPr>
              <w:rPr>
                <w:rFonts w:ascii="宋体"/>
                <w:vanish/>
              </w:rPr>
            </w:pPr>
          </w:p>
        </w:tc>
        <w:tc>
          <w:tcPr>
            <w:tcW w:w="0" w:type="auto"/>
            <w:gridSpan w:val="3"/>
            <w:shd w:val="clear" w:color="auto" w:fill="auto"/>
            <w:vAlign w:val="bottom"/>
          </w:tcPr>
          <w:p w14:paraId="71D424C5" w14:textId="77777777" w:rsidR="006A3667" w:rsidRDefault="006A3667">
            <w:pPr>
              <w:rPr>
                <w:rFonts w:ascii="宋体"/>
                <w:vanish/>
              </w:rPr>
            </w:pPr>
          </w:p>
        </w:tc>
      </w:tr>
      <w:tr w:rsidR="006A3667" w14:paraId="71D424CD" w14:textId="77777777">
        <w:trPr>
          <w:jc w:val="center"/>
        </w:trPr>
        <w:tc>
          <w:tcPr>
            <w:tcW w:w="0" w:type="auto"/>
            <w:gridSpan w:val="3"/>
            <w:shd w:val="clear" w:color="auto" w:fill="FFFFFF"/>
            <w:tcMar>
              <w:top w:w="40" w:type="dxa"/>
              <w:left w:w="20" w:type="dxa"/>
              <w:bottom w:w="40" w:type="dxa"/>
              <w:right w:w="20" w:type="dxa"/>
            </w:tcMar>
            <w:vAlign w:val="bottom"/>
          </w:tcPr>
          <w:p w14:paraId="71D424C7" w14:textId="77777777" w:rsidR="006A3667" w:rsidRDefault="00045F32">
            <w:pPr>
              <w:textAlignment w:val="bottom"/>
            </w:pPr>
            <w:r>
              <w:rPr>
                <w:rFonts w:ascii="Arial" w:eastAsia="宋体" w:hAnsi="Arial" w:cs="Arial"/>
                <w:color w:val="000000"/>
                <w:sz w:val="18"/>
                <w:szCs w:val="18"/>
              </w:rPr>
              <w:t>Series D, 7,500 shares issued and outstanding</w:t>
            </w:r>
          </w:p>
        </w:tc>
        <w:tc>
          <w:tcPr>
            <w:tcW w:w="0" w:type="auto"/>
            <w:gridSpan w:val="2"/>
            <w:shd w:val="clear" w:color="auto" w:fill="FFFFFF"/>
            <w:tcMar>
              <w:top w:w="40" w:type="dxa"/>
              <w:left w:w="20" w:type="dxa"/>
              <w:bottom w:w="40" w:type="dxa"/>
              <w:right w:w="0" w:type="dxa"/>
            </w:tcMar>
            <w:vAlign w:val="bottom"/>
          </w:tcPr>
          <w:p w14:paraId="71D424C8" w14:textId="77777777" w:rsidR="006A3667" w:rsidRDefault="00045F32">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C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CB" w14:textId="77777777" w:rsidR="006A3667" w:rsidRDefault="00045F32">
            <w:pPr>
              <w:jc w:val="right"/>
              <w:textAlignment w:val="bottom"/>
            </w:pPr>
            <w:r>
              <w:rPr>
                <w:rFonts w:ascii="Arial" w:eastAsia="宋体" w:hAnsi="Arial" w:cs="Arial"/>
                <w:color w:val="000000"/>
                <w:sz w:val="18"/>
                <w:szCs w:val="18"/>
              </w:rPr>
              <w:t>742 </w:t>
            </w:r>
          </w:p>
        </w:tc>
        <w:tc>
          <w:tcPr>
            <w:tcW w:w="0" w:type="auto"/>
            <w:shd w:val="clear" w:color="auto" w:fill="FFFFFF"/>
            <w:tcMar>
              <w:top w:w="40" w:type="dxa"/>
              <w:left w:w="0" w:type="dxa"/>
              <w:bottom w:w="40" w:type="dxa"/>
              <w:right w:w="20" w:type="dxa"/>
            </w:tcMar>
            <w:vAlign w:val="bottom"/>
          </w:tcPr>
          <w:p w14:paraId="71D424CC" w14:textId="77777777" w:rsidR="006A3667" w:rsidRDefault="006A3667">
            <w:pPr>
              <w:jc w:val="right"/>
              <w:rPr>
                <w:rFonts w:ascii="宋体"/>
              </w:rPr>
            </w:pPr>
          </w:p>
        </w:tc>
      </w:tr>
      <w:tr w:rsidR="006A3667" w14:paraId="71D424D2" w14:textId="77777777">
        <w:trPr>
          <w:jc w:val="center"/>
          <w:hidden/>
        </w:trPr>
        <w:tc>
          <w:tcPr>
            <w:tcW w:w="0" w:type="auto"/>
            <w:gridSpan w:val="3"/>
            <w:shd w:val="clear" w:color="auto" w:fill="auto"/>
            <w:vAlign w:val="bottom"/>
          </w:tcPr>
          <w:p w14:paraId="71D424CE" w14:textId="77777777" w:rsidR="006A3667" w:rsidRDefault="006A3667">
            <w:pPr>
              <w:rPr>
                <w:rFonts w:ascii="宋体"/>
                <w:vanish/>
              </w:rPr>
            </w:pPr>
          </w:p>
        </w:tc>
        <w:tc>
          <w:tcPr>
            <w:tcW w:w="0" w:type="auto"/>
            <w:gridSpan w:val="3"/>
            <w:shd w:val="clear" w:color="auto" w:fill="auto"/>
            <w:vAlign w:val="bottom"/>
          </w:tcPr>
          <w:p w14:paraId="71D424CF" w14:textId="77777777" w:rsidR="006A3667" w:rsidRDefault="006A3667">
            <w:pPr>
              <w:rPr>
                <w:rFonts w:ascii="宋体"/>
                <w:vanish/>
              </w:rPr>
            </w:pPr>
          </w:p>
        </w:tc>
        <w:tc>
          <w:tcPr>
            <w:tcW w:w="0" w:type="auto"/>
            <w:gridSpan w:val="3"/>
            <w:shd w:val="clear" w:color="auto" w:fill="auto"/>
            <w:vAlign w:val="bottom"/>
          </w:tcPr>
          <w:p w14:paraId="71D424D0" w14:textId="77777777" w:rsidR="006A3667" w:rsidRDefault="006A3667">
            <w:pPr>
              <w:rPr>
                <w:rFonts w:ascii="宋体"/>
                <w:vanish/>
              </w:rPr>
            </w:pPr>
          </w:p>
        </w:tc>
        <w:tc>
          <w:tcPr>
            <w:tcW w:w="0" w:type="auto"/>
            <w:gridSpan w:val="3"/>
            <w:shd w:val="clear" w:color="auto" w:fill="auto"/>
            <w:vAlign w:val="bottom"/>
          </w:tcPr>
          <w:p w14:paraId="71D424D1" w14:textId="77777777" w:rsidR="006A3667" w:rsidRDefault="006A3667">
            <w:pPr>
              <w:rPr>
                <w:rFonts w:ascii="宋体"/>
                <w:vanish/>
              </w:rPr>
            </w:pPr>
          </w:p>
        </w:tc>
      </w:tr>
      <w:tr w:rsidR="006A3667" w14:paraId="71D424D9" w14:textId="77777777">
        <w:trPr>
          <w:jc w:val="center"/>
        </w:trPr>
        <w:tc>
          <w:tcPr>
            <w:tcW w:w="0" w:type="auto"/>
            <w:gridSpan w:val="3"/>
            <w:shd w:val="clear" w:color="auto" w:fill="CCEEFF"/>
            <w:tcMar>
              <w:top w:w="40" w:type="dxa"/>
              <w:left w:w="20" w:type="dxa"/>
              <w:bottom w:w="40" w:type="dxa"/>
              <w:right w:w="20" w:type="dxa"/>
            </w:tcMar>
            <w:vAlign w:val="bottom"/>
          </w:tcPr>
          <w:p w14:paraId="71D424D3" w14:textId="77777777" w:rsidR="006A3667" w:rsidRDefault="00045F32">
            <w:pPr>
              <w:textAlignment w:val="bottom"/>
            </w:pPr>
            <w:r>
              <w:rPr>
                <w:rFonts w:ascii="Arial" w:eastAsia="宋体" w:hAnsi="Arial" w:cs="Arial"/>
                <w:color w:val="000000"/>
                <w:sz w:val="18"/>
                <w:szCs w:val="18"/>
              </w:rPr>
              <w:t>Series F, 2,500 shares issued and outstanding</w:t>
            </w:r>
          </w:p>
        </w:tc>
        <w:tc>
          <w:tcPr>
            <w:tcW w:w="0" w:type="auto"/>
            <w:gridSpan w:val="2"/>
            <w:shd w:val="clear" w:color="auto" w:fill="CCEEFF"/>
            <w:tcMar>
              <w:top w:w="40" w:type="dxa"/>
              <w:left w:w="20" w:type="dxa"/>
              <w:bottom w:w="40" w:type="dxa"/>
              <w:right w:w="0" w:type="dxa"/>
            </w:tcMar>
            <w:vAlign w:val="bottom"/>
          </w:tcPr>
          <w:p w14:paraId="71D424D4" w14:textId="77777777" w:rsidR="006A3667" w:rsidRDefault="00045F32">
            <w:pPr>
              <w:jc w:val="right"/>
              <w:textAlignment w:val="bottom"/>
            </w:pPr>
            <w:r>
              <w:rPr>
                <w:rFonts w:ascii="Arial" w:eastAsia="宋体" w:hAnsi="Arial" w:cs="Arial"/>
                <w:b/>
                <w:bCs/>
                <w:color w:val="000000"/>
                <w:sz w:val="18"/>
                <w:szCs w:val="18"/>
              </w:rPr>
              <w:t>247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D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D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D7" w14:textId="77777777" w:rsidR="006A3667" w:rsidRDefault="00045F32">
            <w:pPr>
              <w:jc w:val="right"/>
              <w:textAlignment w:val="bottom"/>
            </w:pPr>
            <w:r>
              <w:rPr>
                <w:rFonts w:ascii="Arial" w:eastAsia="宋体" w:hAnsi="Arial" w:cs="Arial"/>
                <w:color w:val="000000"/>
                <w:sz w:val="18"/>
                <w:szCs w:val="18"/>
              </w:rPr>
              <w:t>247 </w:t>
            </w:r>
          </w:p>
        </w:tc>
        <w:tc>
          <w:tcPr>
            <w:tcW w:w="0" w:type="auto"/>
            <w:shd w:val="clear" w:color="auto" w:fill="CCEEFF"/>
            <w:tcMar>
              <w:top w:w="40" w:type="dxa"/>
              <w:left w:w="0" w:type="dxa"/>
              <w:bottom w:w="40" w:type="dxa"/>
              <w:right w:w="20" w:type="dxa"/>
            </w:tcMar>
            <w:vAlign w:val="bottom"/>
          </w:tcPr>
          <w:p w14:paraId="71D424D8" w14:textId="77777777" w:rsidR="006A3667" w:rsidRDefault="006A3667">
            <w:pPr>
              <w:jc w:val="right"/>
              <w:rPr>
                <w:rFonts w:ascii="宋体"/>
              </w:rPr>
            </w:pPr>
          </w:p>
        </w:tc>
      </w:tr>
      <w:tr w:rsidR="006A3667" w14:paraId="71D424E0" w14:textId="77777777">
        <w:trPr>
          <w:jc w:val="center"/>
        </w:trPr>
        <w:tc>
          <w:tcPr>
            <w:tcW w:w="0" w:type="auto"/>
            <w:gridSpan w:val="3"/>
            <w:shd w:val="clear" w:color="auto" w:fill="FFFFFF"/>
            <w:tcMar>
              <w:top w:w="40" w:type="dxa"/>
              <w:left w:w="20" w:type="dxa"/>
              <w:bottom w:w="40" w:type="dxa"/>
              <w:right w:w="20" w:type="dxa"/>
            </w:tcMar>
            <w:vAlign w:val="bottom"/>
          </w:tcPr>
          <w:p w14:paraId="71D424DA" w14:textId="77777777" w:rsidR="006A3667" w:rsidRDefault="00045F32">
            <w:pPr>
              <w:textAlignment w:val="bottom"/>
            </w:pPr>
            <w:r>
              <w:rPr>
                <w:rFonts w:ascii="Arial" w:eastAsia="宋体" w:hAnsi="Arial" w:cs="Arial"/>
                <w:color w:val="000000"/>
                <w:sz w:val="18"/>
                <w:szCs w:val="18"/>
              </w:rPr>
              <w:t>Series G, 5,000 shares issued and outstanding</w:t>
            </w:r>
          </w:p>
        </w:tc>
        <w:tc>
          <w:tcPr>
            <w:tcW w:w="0" w:type="auto"/>
            <w:gridSpan w:val="2"/>
            <w:shd w:val="clear" w:color="auto" w:fill="FFFFFF"/>
            <w:tcMar>
              <w:top w:w="40" w:type="dxa"/>
              <w:left w:w="20" w:type="dxa"/>
              <w:bottom w:w="40" w:type="dxa"/>
              <w:right w:w="0" w:type="dxa"/>
            </w:tcMar>
            <w:vAlign w:val="bottom"/>
          </w:tcPr>
          <w:p w14:paraId="71D424DB" w14:textId="77777777" w:rsidR="006A3667" w:rsidRDefault="00045F32">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D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D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DE" w14:textId="77777777" w:rsidR="006A3667" w:rsidRDefault="00045F32">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71D424DF" w14:textId="77777777" w:rsidR="006A3667" w:rsidRDefault="006A3667">
            <w:pPr>
              <w:jc w:val="right"/>
              <w:rPr>
                <w:rFonts w:ascii="宋体"/>
              </w:rPr>
            </w:pPr>
          </w:p>
        </w:tc>
      </w:tr>
      <w:tr w:rsidR="006A3667" w14:paraId="71D424E7" w14:textId="77777777">
        <w:trPr>
          <w:jc w:val="center"/>
        </w:trPr>
        <w:tc>
          <w:tcPr>
            <w:tcW w:w="0" w:type="auto"/>
            <w:gridSpan w:val="3"/>
            <w:shd w:val="clear" w:color="auto" w:fill="CCEEFF"/>
            <w:tcMar>
              <w:top w:w="40" w:type="dxa"/>
              <w:left w:w="20" w:type="dxa"/>
              <w:bottom w:w="40" w:type="dxa"/>
              <w:right w:w="20" w:type="dxa"/>
            </w:tcMar>
            <w:vAlign w:val="bottom"/>
          </w:tcPr>
          <w:p w14:paraId="71D424E1" w14:textId="77777777" w:rsidR="006A3667" w:rsidRDefault="00045F32">
            <w:pPr>
              <w:textAlignment w:val="bottom"/>
            </w:pPr>
            <w:r>
              <w:rPr>
                <w:rFonts w:ascii="Arial" w:eastAsia="宋体" w:hAnsi="Arial" w:cs="Arial"/>
                <w:color w:val="000000"/>
                <w:sz w:val="18"/>
                <w:szCs w:val="18"/>
              </w:rPr>
              <w:t xml:space="preserve">Series H, 5,000 shares </w:t>
            </w:r>
            <w:r>
              <w:rPr>
                <w:rFonts w:ascii="Arial" w:eastAsia="宋体" w:hAnsi="Arial" w:cs="Arial"/>
                <w:color w:val="000000"/>
                <w:sz w:val="18"/>
                <w:szCs w:val="18"/>
              </w:rPr>
              <w:t>issued and outstanding</w:t>
            </w:r>
          </w:p>
        </w:tc>
        <w:tc>
          <w:tcPr>
            <w:tcW w:w="0" w:type="auto"/>
            <w:gridSpan w:val="2"/>
            <w:shd w:val="clear" w:color="auto" w:fill="CCEEFF"/>
            <w:tcMar>
              <w:top w:w="40" w:type="dxa"/>
              <w:left w:w="20" w:type="dxa"/>
              <w:bottom w:w="40" w:type="dxa"/>
              <w:right w:w="0" w:type="dxa"/>
            </w:tcMar>
            <w:vAlign w:val="bottom"/>
          </w:tcPr>
          <w:p w14:paraId="71D424E2" w14:textId="77777777" w:rsidR="006A3667" w:rsidRDefault="00045F32">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E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E5" w14:textId="77777777" w:rsidR="006A3667" w:rsidRDefault="00045F32">
            <w:pPr>
              <w:jc w:val="right"/>
              <w:textAlignment w:val="bottom"/>
            </w:pPr>
            <w:r>
              <w:rPr>
                <w:rFonts w:ascii="Arial" w:eastAsia="宋体" w:hAnsi="Arial" w:cs="Arial"/>
                <w:color w:val="000000"/>
                <w:sz w:val="18"/>
                <w:szCs w:val="18"/>
              </w:rPr>
              <w:t>494 </w:t>
            </w:r>
          </w:p>
        </w:tc>
        <w:tc>
          <w:tcPr>
            <w:tcW w:w="0" w:type="auto"/>
            <w:shd w:val="clear" w:color="auto" w:fill="CCEEFF"/>
            <w:tcMar>
              <w:top w:w="40" w:type="dxa"/>
              <w:left w:w="0" w:type="dxa"/>
              <w:bottom w:w="40" w:type="dxa"/>
              <w:right w:w="20" w:type="dxa"/>
            </w:tcMar>
            <w:vAlign w:val="bottom"/>
          </w:tcPr>
          <w:p w14:paraId="71D424E6" w14:textId="77777777" w:rsidR="006A3667" w:rsidRDefault="006A3667">
            <w:pPr>
              <w:jc w:val="right"/>
              <w:rPr>
                <w:rFonts w:ascii="宋体"/>
              </w:rPr>
            </w:pPr>
          </w:p>
        </w:tc>
      </w:tr>
      <w:tr w:rsidR="006A3667" w14:paraId="71D424EC" w14:textId="77777777">
        <w:trPr>
          <w:jc w:val="center"/>
        </w:trPr>
        <w:tc>
          <w:tcPr>
            <w:tcW w:w="0" w:type="auto"/>
            <w:gridSpan w:val="3"/>
            <w:shd w:val="clear" w:color="auto" w:fill="FFFFFF"/>
            <w:tcMar>
              <w:top w:w="40" w:type="dxa"/>
              <w:left w:w="20" w:type="dxa"/>
              <w:bottom w:w="40" w:type="dxa"/>
              <w:right w:w="20" w:type="dxa"/>
            </w:tcMar>
            <w:vAlign w:val="bottom"/>
          </w:tcPr>
          <w:p w14:paraId="71D424E8" w14:textId="77777777" w:rsidR="006A3667" w:rsidRDefault="00045F32">
            <w:pPr>
              <w:textAlignment w:val="bottom"/>
            </w:pPr>
            <w:r>
              <w:rPr>
                <w:rFonts w:ascii="Arial" w:eastAsia="宋体" w:hAnsi="Arial" w:cs="Arial"/>
                <w:color w:val="000000"/>
                <w:sz w:val="18"/>
                <w:szCs w:val="18"/>
              </w:rPr>
              <w:t>Common stock, $1 par, 750,000,000 shares authorized:</w:t>
            </w:r>
          </w:p>
        </w:tc>
        <w:tc>
          <w:tcPr>
            <w:tcW w:w="0" w:type="auto"/>
            <w:gridSpan w:val="3"/>
            <w:shd w:val="clear" w:color="auto" w:fill="FFFFFF"/>
            <w:tcMar>
              <w:top w:w="0" w:type="dxa"/>
              <w:left w:w="20" w:type="dxa"/>
              <w:bottom w:w="0" w:type="dxa"/>
              <w:right w:w="20" w:type="dxa"/>
            </w:tcMar>
            <w:vAlign w:val="bottom"/>
          </w:tcPr>
          <w:p w14:paraId="71D424E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4E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4EB" w14:textId="77777777" w:rsidR="006A3667" w:rsidRDefault="006A3667">
            <w:pPr>
              <w:rPr>
                <w:rFonts w:ascii="宋体"/>
              </w:rPr>
            </w:pPr>
          </w:p>
        </w:tc>
      </w:tr>
      <w:tr w:rsidR="006A3667" w14:paraId="71D424F3" w14:textId="77777777">
        <w:trPr>
          <w:jc w:val="center"/>
        </w:trPr>
        <w:tc>
          <w:tcPr>
            <w:tcW w:w="0" w:type="auto"/>
            <w:gridSpan w:val="3"/>
            <w:shd w:val="clear" w:color="auto" w:fill="CCEEFF"/>
            <w:tcMar>
              <w:top w:w="40" w:type="dxa"/>
              <w:left w:w="20" w:type="dxa"/>
              <w:bottom w:w="40" w:type="dxa"/>
              <w:right w:w="20" w:type="dxa"/>
            </w:tcMar>
            <w:vAlign w:val="bottom"/>
          </w:tcPr>
          <w:p w14:paraId="71D424ED" w14:textId="77777777" w:rsidR="006A3667" w:rsidRDefault="00045F32">
            <w:pPr>
              <w:jc w:val="both"/>
              <w:textAlignment w:val="bottom"/>
            </w:pPr>
            <w:r>
              <w:rPr>
                <w:rFonts w:ascii="Arial" w:eastAsia="宋体" w:hAnsi="Arial" w:cs="Arial"/>
                <w:color w:val="000000"/>
                <w:sz w:val="18"/>
                <w:szCs w:val="18"/>
              </w:rPr>
              <w:t>503,879,642 and 503,879,642 shares issued, and 367,967,505 and 365,982,820</w:t>
            </w:r>
            <w:r>
              <w:rPr>
                <w:rFonts w:ascii="Arial" w:eastAsia="宋体" w:hAnsi="Arial" w:cs="Arial"/>
                <w:color w:val="FF0000"/>
                <w:sz w:val="18"/>
                <w:szCs w:val="18"/>
              </w:rPr>
              <w:t xml:space="preserve"> </w:t>
            </w:r>
            <w:r>
              <w:rPr>
                <w:rFonts w:ascii="Arial" w:eastAsia="宋体" w:hAnsi="Arial" w:cs="Arial"/>
                <w:color w:val="000000"/>
                <w:sz w:val="18"/>
                <w:szCs w:val="18"/>
              </w:rPr>
              <w:t>shares outstanding</w:t>
            </w:r>
          </w:p>
        </w:tc>
        <w:tc>
          <w:tcPr>
            <w:tcW w:w="0" w:type="auto"/>
            <w:gridSpan w:val="2"/>
            <w:shd w:val="clear" w:color="auto" w:fill="CCEEFF"/>
            <w:tcMar>
              <w:top w:w="40" w:type="dxa"/>
              <w:left w:w="20" w:type="dxa"/>
              <w:bottom w:w="40" w:type="dxa"/>
              <w:right w:w="0" w:type="dxa"/>
            </w:tcMar>
            <w:vAlign w:val="bottom"/>
          </w:tcPr>
          <w:p w14:paraId="71D424EE" w14:textId="77777777" w:rsidR="006A3667" w:rsidRDefault="00045F32">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F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F1" w14:textId="77777777" w:rsidR="006A3667" w:rsidRDefault="00045F32">
            <w:pPr>
              <w:jc w:val="right"/>
              <w:textAlignment w:val="bottom"/>
            </w:pPr>
            <w:r>
              <w:rPr>
                <w:rFonts w:ascii="Arial" w:eastAsia="宋体" w:hAnsi="Arial" w:cs="Arial"/>
                <w:color w:val="000000"/>
                <w:sz w:val="18"/>
                <w:szCs w:val="18"/>
              </w:rPr>
              <w:t>504 </w:t>
            </w:r>
          </w:p>
        </w:tc>
        <w:tc>
          <w:tcPr>
            <w:tcW w:w="0" w:type="auto"/>
            <w:shd w:val="clear" w:color="auto" w:fill="CCEEFF"/>
            <w:tcMar>
              <w:top w:w="40" w:type="dxa"/>
              <w:left w:w="0" w:type="dxa"/>
              <w:bottom w:w="40" w:type="dxa"/>
              <w:right w:w="20" w:type="dxa"/>
            </w:tcMar>
            <w:vAlign w:val="bottom"/>
          </w:tcPr>
          <w:p w14:paraId="71D424F2" w14:textId="77777777" w:rsidR="006A3667" w:rsidRDefault="006A3667">
            <w:pPr>
              <w:jc w:val="right"/>
              <w:rPr>
                <w:rFonts w:ascii="宋体"/>
              </w:rPr>
            </w:pPr>
          </w:p>
        </w:tc>
      </w:tr>
      <w:tr w:rsidR="006A3667" w14:paraId="71D424FA" w14:textId="77777777">
        <w:trPr>
          <w:jc w:val="center"/>
        </w:trPr>
        <w:tc>
          <w:tcPr>
            <w:tcW w:w="0" w:type="auto"/>
            <w:gridSpan w:val="3"/>
            <w:shd w:val="clear" w:color="auto" w:fill="FFFFFF"/>
            <w:tcMar>
              <w:top w:w="40" w:type="dxa"/>
              <w:left w:w="20" w:type="dxa"/>
              <w:bottom w:w="40" w:type="dxa"/>
              <w:right w:w="20" w:type="dxa"/>
            </w:tcMar>
            <w:vAlign w:val="bottom"/>
          </w:tcPr>
          <w:p w14:paraId="71D424F4" w14:textId="77777777" w:rsidR="006A3667" w:rsidRDefault="00045F32">
            <w:pPr>
              <w:textAlignment w:val="bottom"/>
            </w:pPr>
            <w:r>
              <w:rPr>
                <w:rFonts w:ascii="Arial" w:eastAsia="宋体" w:hAnsi="Arial" w:cs="Arial"/>
                <w:color w:val="000000"/>
                <w:sz w:val="18"/>
                <w:szCs w:val="18"/>
              </w:rPr>
              <w:t>Surplus</w:t>
            </w:r>
          </w:p>
        </w:tc>
        <w:tc>
          <w:tcPr>
            <w:tcW w:w="0" w:type="auto"/>
            <w:gridSpan w:val="2"/>
            <w:shd w:val="clear" w:color="auto" w:fill="FFFFFF"/>
            <w:tcMar>
              <w:top w:w="40" w:type="dxa"/>
              <w:left w:w="20" w:type="dxa"/>
              <w:bottom w:w="40" w:type="dxa"/>
              <w:right w:w="0" w:type="dxa"/>
            </w:tcMar>
            <w:vAlign w:val="bottom"/>
          </w:tcPr>
          <w:p w14:paraId="71D424F5" w14:textId="77777777" w:rsidR="006A3667" w:rsidRDefault="00045F32">
            <w:pPr>
              <w:jc w:val="right"/>
              <w:textAlignment w:val="bottom"/>
            </w:pPr>
            <w:r>
              <w:rPr>
                <w:rFonts w:ascii="Arial" w:eastAsia="宋体" w:hAnsi="Arial" w:cs="Arial"/>
                <w:b/>
                <w:bCs/>
                <w:color w:val="000000"/>
                <w:sz w:val="18"/>
                <w:szCs w:val="18"/>
              </w:rPr>
              <w:t>10,760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71D424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4F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4F8" w14:textId="77777777" w:rsidR="006A3667" w:rsidRDefault="00045F32">
            <w:pPr>
              <w:jc w:val="right"/>
              <w:textAlignment w:val="bottom"/>
            </w:pPr>
            <w:r>
              <w:rPr>
                <w:rFonts w:ascii="Arial" w:eastAsia="宋体" w:hAnsi="Arial" w:cs="Arial"/>
                <w:color w:val="000000"/>
                <w:sz w:val="18"/>
                <w:szCs w:val="18"/>
              </w:rPr>
              <w:t>10,787 </w:t>
            </w:r>
          </w:p>
        </w:tc>
        <w:tc>
          <w:tcPr>
            <w:tcW w:w="0" w:type="auto"/>
            <w:shd w:val="clear" w:color="auto" w:fill="FFFFFF"/>
            <w:tcMar>
              <w:top w:w="40" w:type="dxa"/>
              <w:left w:w="0" w:type="dxa"/>
              <w:bottom w:w="40" w:type="dxa"/>
              <w:right w:w="20" w:type="dxa"/>
            </w:tcMar>
            <w:vAlign w:val="bottom"/>
          </w:tcPr>
          <w:p w14:paraId="71D424F9" w14:textId="77777777" w:rsidR="006A3667" w:rsidRDefault="006A3667">
            <w:pPr>
              <w:jc w:val="right"/>
              <w:rPr>
                <w:rFonts w:ascii="宋体"/>
              </w:rPr>
            </w:pPr>
          </w:p>
        </w:tc>
      </w:tr>
      <w:tr w:rsidR="006A3667" w14:paraId="71D42501" w14:textId="77777777">
        <w:trPr>
          <w:jc w:val="center"/>
        </w:trPr>
        <w:tc>
          <w:tcPr>
            <w:tcW w:w="0" w:type="auto"/>
            <w:gridSpan w:val="3"/>
            <w:shd w:val="clear" w:color="auto" w:fill="CCEEFF"/>
            <w:tcMar>
              <w:top w:w="40" w:type="dxa"/>
              <w:left w:w="20" w:type="dxa"/>
              <w:bottom w:w="40" w:type="dxa"/>
              <w:right w:w="20" w:type="dxa"/>
            </w:tcMar>
            <w:vAlign w:val="bottom"/>
          </w:tcPr>
          <w:p w14:paraId="71D424FB" w14:textId="77777777" w:rsidR="006A3667" w:rsidRDefault="00045F32">
            <w:pPr>
              <w:textAlignment w:val="bottom"/>
            </w:pPr>
            <w:r>
              <w:rPr>
                <w:rFonts w:ascii="Arial" w:eastAsia="宋体" w:hAnsi="Arial" w:cs="Arial"/>
                <w:color w:val="000000"/>
                <w:sz w:val="18"/>
                <w:szCs w:val="18"/>
              </w:rPr>
              <w:t>Retained earnings</w:t>
            </w:r>
          </w:p>
        </w:tc>
        <w:tc>
          <w:tcPr>
            <w:tcW w:w="0" w:type="auto"/>
            <w:gridSpan w:val="2"/>
            <w:shd w:val="clear" w:color="auto" w:fill="CCEEFF"/>
            <w:tcMar>
              <w:top w:w="40" w:type="dxa"/>
              <w:left w:w="20" w:type="dxa"/>
              <w:bottom w:w="40" w:type="dxa"/>
              <w:right w:w="0" w:type="dxa"/>
            </w:tcMar>
            <w:vAlign w:val="bottom"/>
          </w:tcPr>
          <w:p w14:paraId="71D424FC" w14:textId="77777777" w:rsidR="006A3667" w:rsidRDefault="00045F32">
            <w:pPr>
              <w:jc w:val="right"/>
              <w:textAlignment w:val="bottom"/>
            </w:pPr>
            <w:r>
              <w:rPr>
                <w:rFonts w:ascii="Arial" w:eastAsia="宋体" w:hAnsi="Arial" w:cs="Arial"/>
                <w:b/>
                <w:bCs/>
                <w:color w:val="000000"/>
                <w:sz w:val="18"/>
                <w:szCs w:val="18"/>
              </w:rPr>
              <w:t>26,552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71D424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4F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4FF" w14:textId="77777777" w:rsidR="006A3667" w:rsidRDefault="00045F32">
            <w:pPr>
              <w:jc w:val="right"/>
              <w:textAlignment w:val="bottom"/>
            </w:pPr>
            <w:r>
              <w:rPr>
                <w:rFonts w:ascii="Arial" w:eastAsia="宋体" w:hAnsi="Arial" w:cs="Arial"/>
                <w:color w:val="000000"/>
                <w:sz w:val="18"/>
                <w:szCs w:val="18"/>
              </w:rPr>
              <w:t>25,238 </w:t>
            </w:r>
          </w:p>
        </w:tc>
        <w:tc>
          <w:tcPr>
            <w:tcW w:w="0" w:type="auto"/>
            <w:shd w:val="clear" w:color="auto" w:fill="CCEEFF"/>
            <w:tcMar>
              <w:top w:w="40" w:type="dxa"/>
              <w:left w:w="0" w:type="dxa"/>
              <w:bottom w:w="40" w:type="dxa"/>
              <w:right w:w="20" w:type="dxa"/>
            </w:tcMar>
            <w:vAlign w:val="bottom"/>
          </w:tcPr>
          <w:p w14:paraId="71D42500" w14:textId="77777777" w:rsidR="006A3667" w:rsidRDefault="006A3667">
            <w:pPr>
              <w:jc w:val="right"/>
              <w:rPr>
                <w:rFonts w:ascii="宋体"/>
              </w:rPr>
            </w:pPr>
          </w:p>
        </w:tc>
      </w:tr>
      <w:tr w:rsidR="006A3667" w14:paraId="71D42508" w14:textId="77777777">
        <w:trPr>
          <w:jc w:val="center"/>
        </w:trPr>
        <w:tc>
          <w:tcPr>
            <w:tcW w:w="0" w:type="auto"/>
            <w:gridSpan w:val="3"/>
            <w:shd w:val="clear" w:color="auto" w:fill="FFFFFF"/>
            <w:tcMar>
              <w:top w:w="40" w:type="dxa"/>
              <w:left w:w="20" w:type="dxa"/>
              <w:bottom w:w="40" w:type="dxa"/>
              <w:right w:w="20" w:type="dxa"/>
            </w:tcMar>
            <w:vAlign w:val="bottom"/>
          </w:tcPr>
          <w:p w14:paraId="71D42502" w14:textId="77777777" w:rsidR="006A3667" w:rsidRDefault="00045F32">
            <w:pPr>
              <w:textAlignment w:val="bottom"/>
            </w:pPr>
            <w:r>
              <w:rPr>
                <w:rFonts w:ascii="Arial" w:eastAsia="宋体" w:hAnsi="Arial" w:cs="Arial"/>
                <w:color w:val="000000"/>
                <w:sz w:val="18"/>
                <w:szCs w:val="18"/>
              </w:rPr>
              <w:t>Accumulated other comprehensive income (loss)</w:t>
            </w:r>
          </w:p>
        </w:tc>
        <w:tc>
          <w:tcPr>
            <w:tcW w:w="0" w:type="auto"/>
            <w:gridSpan w:val="2"/>
            <w:shd w:val="clear" w:color="auto" w:fill="FFFFFF"/>
            <w:tcMar>
              <w:top w:w="40" w:type="dxa"/>
              <w:left w:w="20" w:type="dxa"/>
              <w:bottom w:w="40" w:type="dxa"/>
              <w:right w:w="0" w:type="dxa"/>
            </w:tcMar>
            <w:vAlign w:val="bottom"/>
          </w:tcPr>
          <w:p w14:paraId="71D42503" w14:textId="77777777" w:rsidR="006A3667" w:rsidRDefault="00045F32">
            <w:pPr>
              <w:jc w:val="right"/>
              <w:textAlignment w:val="bottom"/>
            </w:pPr>
            <w:r>
              <w:rPr>
                <w:rFonts w:ascii="Arial" w:eastAsia="宋体" w:hAnsi="Arial" w:cs="Arial"/>
                <w:b/>
                <w:bCs/>
                <w:color w:val="000000"/>
                <w:sz w:val="18"/>
                <w:szCs w:val="18"/>
              </w:rPr>
              <w:t>(4,268)</w:t>
            </w:r>
          </w:p>
        </w:tc>
        <w:tc>
          <w:tcPr>
            <w:tcW w:w="0" w:type="auto"/>
            <w:shd w:val="clear" w:color="auto" w:fill="FFFFFF"/>
            <w:tcMar>
              <w:top w:w="40" w:type="dxa"/>
              <w:left w:w="0" w:type="dxa"/>
              <w:bottom w:w="40" w:type="dxa"/>
              <w:right w:w="20" w:type="dxa"/>
            </w:tcMar>
            <w:vAlign w:val="bottom"/>
          </w:tcPr>
          <w:p w14:paraId="71D425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5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506" w14:textId="77777777" w:rsidR="006A3667" w:rsidRDefault="00045F32">
            <w:pPr>
              <w:jc w:val="right"/>
              <w:textAlignment w:val="bottom"/>
            </w:pPr>
            <w:r>
              <w:rPr>
                <w:rFonts w:ascii="Arial" w:eastAsia="宋体" w:hAnsi="Arial" w:cs="Arial"/>
                <w:color w:val="000000"/>
                <w:sz w:val="18"/>
                <w:szCs w:val="18"/>
              </w:rPr>
              <w:t>(1,133)</w:t>
            </w:r>
          </w:p>
        </w:tc>
        <w:tc>
          <w:tcPr>
            <w:tcW w:w="0" w:type="auto"/>
            <w:shd w:val="clear" w:color="auto" w:fill="FFFFFF"/>
            <w:tcMar>
              <w:top w:w="40" w:type="dxa"/>
              <w:left w:w="0" w:type="dxa"/>
              <w:bottom w:w="40" w:type="dxa"/>
              <w:right w:w="20" w:type="dxa"/>
            </w:tcMar>
            <w:vAlign w:val="bottom"/>
          </w:tcPr>
          <w:p w14:paraId="71D42507" w14:textId="77777777" w:rsidR="006A3667" w:rsidRDefault="006A3667">
            <w:pPr>
              <w:jc w:val="right"/>
              <w:rPr>
                <w:rFonts w:ascii="宋体"/>
              </w:rPr>
            </w:pPr>
          </w:p>
        </w:tc>
      </w:tr>
      <w:tr w:rsidR="006A3667" w14:paraId="71D4250F" w14:textId="77777777">
        <w:trPr>
          <w:jc w:val="center"/>
        </w:trPr>
        <w:tc>
          <w:tcPr>
            <w:tcW w:w="0" w:type="auto"/>
            <w:gridSpan w:val="3"/>
            <w:shd w:val="clear" w:color="auto" w:fill="CCEEFF"/>
            <w:tcMar>
              <w:top w:w="40" w:type="dxa"/>
              <w:left w:w="20" w:type="dxa"/>
              <w:bottom w:w="40" w:type="dxa"/>
              <w:right w:w="20" w:type="dxa"/>
            </w:tcMar>
            <w:vAlign w:val="bottom"/>
          </w:tcPr>
          <w:p w14:paraId="71D42509" w14:textId="77777777" w:rsidR="006A3667" w:rsidRDefault="00045F32">
            <w:pPr>
              <w:textAlignment w:val="bottom"/>
            </w:pPr>
            <w:r>
              <w:rPr>
                <w:rFonts w:ascii="Arial" w:eastAsia="宋体" w:hAnsi="Arial" w:cs="Arial"/>
                <w:color w:val="000000"/>
                <w:sz w:val="18"/>
                <w:szCs w:val="18"/>
              </w:rPr>
              <w:t>Treasury stock, at cost (135,912,137 and 137,896,822 shares)</w:t>
            </w:r>
          </w:p>
        </w:tc>
        <w:tc>
          <w:tcPr>
            <w:tcW w:w="0" w:type="auto"/>
            <w:gridSpan w:val="2"/>
            <w:shd w:val="clear" w:color="auto" w:fill="CCEEFF"/>
            <w:tcMar>
              <w:top w:w="40" w:type="dxa"/>
              <w:left w:w="20" w:type="dxa"/>
              <w:bottom w:w="40" w:type="dxa"/>
              <w:right w:w="0" w:type="dxa"/>
            </w:tcMar>
            <w:vAlign w:val="bottom"/>
          </w:tcPr>
          <w:p w14:paraId="71D4250A" w14:textId="77777777" w:rsidR="006A3667" w:rsidRDefault="00045F32">
            <w:pPr>
              <w:jc w:val="right"/>
              <w:textAlignment w:val="bottom"/>
            </w:pPr>
            <w:r>
              <w:rPr>
                <w:rFonts w:ascii="Arial" w:eastAsia="宋体" w:hAnsi="Arial" w:cs="Arial"/>
                <w:b/>
                <w:bCs/>
                <w:color w:val="000000"/>
                <w:sz w:val="18"/>
                <w:szCs w:val="18"/>
              </w:rPr>
              <w:t>(9,876)</w:t>
            </w:r>
          </w:p>
        </w:tc>
        <w:tc>
          <w:tcPr>
            <w:tcW w:w="0" w:type="auto"/>
            <w:shd w:val="clear" w:color="auto" w:fill="CCEEFF"/>
            <w:tcMar>
              <w:top w:w="40" w:type="dxa"/>
              <w:left w:w="0" w:type="dxa"/>
              <w:bottom w:w="40" w:type="dxa"/>
              <w:right w:w="20" w:type="dxa"/>
            </w:tcMar>
            <w:vAlign w:val="bottom"/>
          </w:tcPr>
          <w:p w14:paraId="71D425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50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50D" w14:textId="77777777" w:rsidR="006A3667" w:rsidRDefault="00045F32">
            <w:pPr>
              <w:jc w:val="right"/>
              <w:textAlignment w:val="bottom"/>
            </w:pPr>
            <w:r>
              <w:rPr>
                <w:rFonts w:ascii="Arial" w:eastAsia="宋体" w:hAnsi="Arial" w:cs="Arial"/>
                <w:color w:val="000000"/>
                <w:sz w:val="18"/>
                <w:szCs w:val="18"/>
              </w:rPr>
              <w:t>(10,009)</w:t>
            </w:r>
          </w:p>
        </w:tc>
        <w:tc>
          <w:tcPr>
            <w:tcW w:w="0" w:type="auto"/>
            <w:shd w:val="clear" w:color="auto" w:fill="CCEEFF"/>
            <w:tcMar>
              <w:top w:w="40" w:type="dxa"/>
              <w:left w:w="0" w:type="dxa"/>
              <w:bottom w:w="40" w:type="dxa"/>
              <w:right w:w="20" w:type="dxa"/>
            </w:tcMar>
            <w:vAlign w:val="bottom"/>
          </w:tcPr>
          <w:p w14:paraId="71D4250E" w14:textId="77777777" w:rsidR="006A3667" w:rsidRDefault="006A3667">
            <w:pPr>
              <w:jc w:val="right"/>
              <w:rPr>
                <w:rFonts w:ascii="宋体"/>
              </w:rPr>
            </w:pPr>
          </w:p>
        </w:tc>
      </w:tr>
      <w:tr w:rsidR="006A3667" w14:paraId="71D42516" w14:textId="77777777">
        <w:trPr>
          <w:jc w:val="center"/>
        </w:trPr>
        <w:tc>
          <w:tcPr>
            <w:tcW w:w="0" w:type="auto"/>
            <w:gridSpan w:val="3"/>
            <w:shd w:val="clear" w:color="auto" w:fill="FFFFFF"/>
            <w:tcMar>
              <w:top w:w="40" w:type="dxa"/>
              <w:left w:w="20" w:type="dxa"/>
              <w:bottom w:w="40" w:type="dxa"/>
              <w:right w:w="20" w:type="dxa"/>
            </w:tcMar>
            <w:vAlign w:val="bottom"/>
          </w:tcPr>
          <w:p w14:paraId="71D42510" w14:textId="77777777" w:rsidR="006A3667" w:rsidRDefault="00045F32">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511" w14:textId="77777777" w:rsidR="006A3667" w:rsidRDefault="00045F32">
            <w:pPr>
              <w:jc w:val="right"/>
              <w:textAlignment w:val="bottom"/>
            </w:pPr>
            <w:r>
              <w:rPr>
                <w:rFonts w:ascii="Arial" w:eastAsia="宋体" w:hAnsi="Arial" w:cs="Arial"/>
                <w:b/>
                <w:bCs/>
                <w:color w:val="000000"/>
                <w:sz w:val="18"/>
                <w:szCs w:val="18"/>
              </w:rPr>
              <w:t>25,648</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5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51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514" w14:textId="77777777" w:rsidR="006A3667" w:rsidRDefault="00045F32">
            <w:pPr>
              <w:jc w:val="right"/>
              <w:textAlignment w:val="bottom"/>
            </w:pPr>
            <w:r>
              <w:rPr>
                <w:rFonts w:ascii="Arial" w:eastAsia="宋体" w:hAnsi="Arial" w:cs="Arial"/>
                <w:color w:val="000000"/>
                <w:sz w:val="18"/>
                <w:szCs w:val="18"/>
              </w:rPr>
              <w:t>27,363 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515" w14:textId="77777777" w:rsidR="006A3667" w:rsidRDefault="006A3667">
            <w:pPr>
              <w:jc w:val="right"/>
              <w:rPr>
                <w:rFonts w:ascii="宋体"/>
              </w:rPr>
            </w:pPr>
          </w:p>
        </w:tc>
      </w:tr>
      <w:tr w:rsidR="006A3667" w14:paraId="71D4251B" w14:textId="77777777">
        <w:trPr>
          <w:jc w:val="center"/>
          <w:hidden/>
        </w:trPr>
        <w:tc>
          <w:tcPr>
            <w:tcW w:w="0" w:type="auto"/>
            <w:gridSpan w:val="3"/>
            <w:shd w:val="clear" w:color="auto" w:fill="auto"/>
            <w:vAlign w:val="bottom"/>
          </w:tcPr>
          <w:p w14:paraId="71D42517" w14:textId="77777777" w:rsidR="006A3667" w:rsidRDefault="006A3667">
            <w:pPr>
              <w:rPr>
                <w:rFonts w:ascii="宋体"/>
                <w:vanish/>
              </w:rPr>
            </w:pPr>
          </w:p>
        </w:tc>
        <w:tc>
          <w:tcPr>
            <w:tcW w:w="0" w:type="auto"/>
            <w:gridSpan w:val="3"/>
            <w:shd w:val="clear" w:color="auto" w:fill="auto"/>
            <w:vAlign w:val="bottom"/>
          </w:tcPr>
          <w:p w14:paraId="71D42518" w14:textId="77777777" w:rsidR="006A3667" w:rsidRDefault="006A3667">
            <w:pPr>
              <w:rPr>
                <w:rFonts w:ascii="宋体"/>
                <w:vanish/>
              </w:rPr>
            </w:pPr>
          </w:p>
        </w:tc>
        <w:tc>
          <w:tcPr>
            <w:tcW w:w="0" w:type="auto"/>
            <w:gridSpan w:val="3"/>
            <w:shd w:val="clear" w:color="auto" w:fill="auto"/>
            <w:vAlign w:val="bottom"/>
          </w:tcPr>
          <w:p w14:paraId="71D42519" w14:textId="77777777" w:rsidR="006A3667" w:rsidRDefault="006A3667">
            <w:pPr>
              <w:rPr>
                <w:rFonts w:ascii="宋体"/>
                <w:vanish/>
              </w:rPr>
            </w:pPr>
          </w:p>
        </w:tc>
        <w:tc>
          <w:tcPr>
            <w:tcW w:w="0" w:type="auto"/>
            <w:gridSpan w:val="3"/>
            <w:shd w:val="clear" w:color="auto" w:fill="auto"/>
            <w:vAlign w:val="bottom"/>
          </w:tcPr>
          <w:p w14:paraId="71D4251A" w14:textId="77777777" w:rsidR="006A3667" w:rsidRDefault="006A3667">
            <w:pPr>
              <w:rPr>
                <w:rFonts w:ascii="宋体"/>
                <w:vanish/>
              </w:rPr>
            </w:pPr>
          </w:p>
        </w:tc>
      </w:tr>
      <w:tr w:rsidR="006A3667" w14:paraId="71D42520" w14:textId="77777777">
        <w:trPr>
          <w:jc w:val="center"/>
          <w:hidden/>
        </w:trPr>
        <w:tc>
          <w:tcPr>
            <w:tcW w:w="0" w:type="auto"/>
            <w:gridSpan w:val="3"/>
            <w:shd w:val="clear" w:color="auto" w:fill="auto"/>
            <w:vAlign w:val="bottom"/>
          </w:tcPr>
          <w:p w14:paraId="71D4251C" w14:textId="77777777" w:rsidR="006A3667" w:rsidRDefault="006A3667">
            <w:pPr>
              <w:rPr>
                <w:rFonts w:ascii="宋体"/>
                <w:vanish/>
              </w:rPr>
            </w:pPr>
          </w:p>
        </w:tc>
        <w:tc>
          <w:tcPr>
            <w:tcW w:w="0" w:type="auto"/>
            <w:gridSpan w:val="3"/>
            <w:shd w:val="clear" w:color="auto" w:fill="auto"/>
            <w:vAlign w:val="bottom"/>
          </w:tcPr>
          <w:p w14:paraId="71D4251D" w14:textId="77777777" w:rsidR="006A3667" w:rsidRDefault="006A3667">
            <w:pPr>
              <w:rPr>
                <w:rFonts w:ascii="宋体"/>
                <w:vanish/>
              </w:rPr>
            </w:pPr>
          </w:p>
        </w:tc>
        <w:tc>
          <w:tcPr>
            <w:tcW w:w="0" w:type="auto"/>
            <w:gridSpan w:val="3"/>
            <w:shd w:val="clear" w:color="auto" w:fill="auto"/>
            <w:vAlign w:val="bottom"/>
          </w:tcPr>
          <w:p w14:paraId="71D4251E" w14:textId="77777777" w:rsidR="006A3667" w:rsidRDefault="006A3667">
            <w:pPr>
              <w:rPr>
                <w:rFonts w:ascii="宋体"/>
                <w:vanish/>
              </w:rPr>
            </w:pPr>
          </w:p>
        </w:tc>
        <w:tc>
          <w:tcPr>
            <w:tcW w:w="0" w:type="auto"/>
            <w:gridSpan w:val="3"/>
            <w:shd w:val="clear" w:color="auto" w:fill="auto"/>
            <w:vAlign w:val="bottom"/>
          </w:tcPr>
          <w:p w14:paraId="71D4251F" w14:textId="77777777" w:rsidR="006A3667" w:rsidRDefault="006A3667">
            <w:pPr>
              <w:rPr>
                <w:rFonts w:ascii="宋体"/>
                <w:vanish/>
              </w:rPr>
            </w:pPr>
          </w:p>
        </w:tc>
      </w:tr>
      <w:tr w:rsidR="006A3667" w14:paraId="71D42529" w14:textId="77777777">
        <w:trPr>
          <w:jc w:val="center"/>
        </w:trPr>
        <w:tc>
          <w:tcPr>
            <w:tcW w:w="0" w:type="auto"/>
            <w:gridSpan w:val="3"/>
            <w:shd w:val="clear" w:color="auto" w:fill="CCEEFF"/>
            <w:tcMar>
              <w:top w:w="40" w:type="dxa"/>
              <w:left w:w="20" w:type="dxa"/>
              <w:bottom w:w="40" w:type="dxa"/>
              <w:right w:w="20" w:type="dxa"/>
            </w:tcMar>
            <w:vAlign w:val="bottom"/>
          </w:tcPr>
          <w:p w14:paraId="71D42521" w14:textId="77777777" w:rsidR="006A3667" w:rsidRDefault="00045F32">
            <w:pPr>
              <w:textAlignment w:val="bottom"/>
            </w:pPr>
            <w:r>
              <w:rPr>
                <w:rFonts w:ascii="Arial" w:eastAsia="宋体" w:hAnsi="Arial" w:cs="Arial"/>
                <w:b/>
                <w:bCs/>
                <w:color w:val="000000"/>
                <w:sz w:val="18"/>
                <w:szCs w:val="18"/>
              </w:rPr>
              <w:t xml:space="preserve">Total liabilities and </w:t>
            </w:r>
            <w:r>
              <w:rPr>
                <w:rFonts w:ascii="Arial" w:eastAsia="宋体" w:hAnsi="Arial" w:cs="Arial"/>
                <w:b/>
                <w:bCs/>
                <w:color w:val="000000"/>
                <w:sz w:val="18"/>
                <w:szCs w:val="18"/>
              </w:rPr>
              <w:t>shareholders'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2522" w14:textId="77777777" w:rsidR="006A3667" w:rsidRDefault="00045F32">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2523" w14:textId="77777777" w:rsidR="006A3667" w:rsidRDefault="00045F32">
            <w:pPr>
              <w:jc w:val="right"/>
              <w:textAlignment w:val="bottom"/>
            </w:pPr>
            <w:r>
              <w:rPr>
                <w:rFonts w:ascii="Arial" w:eastAsia="宋体" w:hAnsi="Arial" w:cs="Arial"/>
                <w:b/>
                <w:bCs/>
                <w:color w:val="000000"/>
                <w:sz w:val="18"/>
                <w:szCs w:val="18"/>
              </w:rPr>
              <w:t>303,568</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252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525"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2526" w14:textId="77777777" w:rsidR="006A3667" w:rsidRDefault="00045F32">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2527" w14:textId="77777777" w:rsidR="006A3667" w:rsidRDefault="00045F32">
            <w:pPr>
              <w:jc w:val="right"/>
              <w:textAlignment w:val="bottom"/>
            </w:pPr>
            <w:r>
              <w:rPr>
                <w:rFonts w:ascii="Arial" w:eastAsia="宋体" w:hAnsi="Arial" w:cs="Arial"/>
                <w:color w:val="000000"/>
                <w:sz w:val="18"/>
                <w:szCs w:val="18"/>
              </w:rPr>
              <w:t>314,624 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2528" w14:textId="77777777" w:rsidR="006A3667" w:rsidRDefault="006A3667">
            <w:pPr>
              <w:jc w:val="right"/>
              <w:rPr>
                <w:rFonts w:ascii="宋体"/>
              </w:rPr>
            </w:pPr>
          </w:p>
        </w:tc>
      </w:tr>
    </w:tbl>
    <w:p w14:paraId="71D4252A" w14:textId="77777777" w:rsidR="006A3667" w:rsidRDefault="006A3667">
      <w:pPr>
        <w:ind w:firstLine="450"/>
        <w:jc w:val="center"/>
      </w:pPr>
    </w:p>
    <w:p w14:paraId="71D4252B" w14:textId="77777777" w:rsidR="006A3667" w:rsidRDefault="006A3667">
      <w:pPr>
        <w:ind w:firstLine="450"/>
      </w:pPr>
    </w:p>
    <w:p w14:paraId="71D4252C" w14:textId="77777777" w:rsidR="006A3667" w:rsidRDefault="006A3667">
      <w:pPr>
        <w:ind w:firstLine="450"/>
      </w:pPr>
    </w:p>
    <w:p w14:paraId="71D4252D" w14:textId="77777777" w:rsidR="006A3667" w:rsidRDefault="006A3667">
      <w:pPr>
        <w:ind w:firstLine="450"/>
      </w:pPr>
    </w:p>
    <w:p w14:paraId="71D4252E" w14:textId="77777777" w:rsidR="006A3667" w:rsidRDefault="006A3667">
      <w:pPr>
        <w:ind w:firstLine="450"/>
      </w:pPr>
    </w:p>
    <w:p w14:paraId="71D4252F" w14:textId="77777777" w:rsidR="006A3667" w:rsidRDefault="006A3667">
      <w:pPr>
        <w:ind w:firstLine="450"/>
      </w:pPr>
    </w:p>
    <w:p w14:paraId="71D42530" w14:textId="77777777" w:rsidR="006A3667" w:rsidRDefault="00045F32">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1D42531" w14:textId="77777777" w:rsidR="006A3667" w:rsidRDefault="00045F32">
      <w:pPr>
        <w:ind w:firstLine="450"/>
        <w:jc w:val="right"/>
      </w:pPr>
      <w:r>
        <w:rPr>
          <w:rFonts w:ascii="Arial" w:eastAsia="宋体" w:hAnsi="Arial" w:cs="Arial"/>
          <w:color w:val="000000"/>
          <w:sz w:val="18"/>
          <w:szCs w:val="18"/>
        </w:rPr>
        <w:t>State Street Corporation | 56</w:t>
      </w:r>
    </w:p>
    <w:p w14:paraId="71D42532" w14:textId="77777777" w:rsidR="006A3667" w:rsidRDefault="006A3667">
      <w:pPr>
        <w:ind w:firstLine="450"/>
        <w:jc w:val="center"/>
      </w:pPr>
    </w:p>
    <w:p w14:paraId="71D42533" w14:textId="77777777" w:rsidR="006A3667" w:rsidRDefault="00045F32">
      <w:r>
        <w:pict w14:anchorId="71D4AC4C">
          <v:rect id="_x0000_i1080" style="width:415.3pt;height:1.5pt" o:hralign="center" o:hrstd="t" o:hr="t" fillcolor="#a0a0a0" stroked="f"/>
        </w:pict>
      </w:r>
    </w:p>
    <w:p w14:paraId="71D42534" w14:textId="77777777" w:rsidR="006A3667" w:rsidRDefault="006A3667">
      <w:pPr>
        <w:ind w:firstLine="450"/>
      </w:pPr>
    </w:p>
    <w:p w14:paraId="71D42535" w14:textId="77777777" w:rsidR="006A3667" w:rsidRDefault="00045F32">
      <w:pPr>
        <w:ind w:firstLine="450"/>
        <w:jc w:val="center"/>
      </w:pPr>
      <w:r>
        <w:rPr>
          <w:rFonts w:ascii="Arial" w:eastAsia="宋体" w:hAnsi="Arial" w:cs="Arial"/>
          <w:b/>
          <w:bCs/>
          <w:color w:val="000000"/>
          <w:sz w:val="20"/>
          <w:szCs w:val="20"/>
        </w:rPr>
        <w:t>STATE STREET CORPORATION</w:t>
      </w:r>
    </w:p>
    <w:p w14:paraId="71D42536" w14:textId="77777777" w:rsidR="006A3667" w:rsidRDefault="00045F32">
      <w:pPr>
        <w:ind w:firstLine="450"/>
        <w:jc w:val="center"/>
      </w:pPr>
      <w:r>
        <w:rPr>
          <w:rFonts w:ascii="Arial" w:eastAsia="宋体" w:hAnsi="Arial" w:cs="Arial"/>
          <w:b/>
          <w:bCs/>
          <w:color w:val="000000"/>
          <w:sz w:val="20"/>
          <w:szCs w:val="20"/>
        </w:rPr>
        <w:t xml:space="preserve">CONSOLIDATED STATEMENT OF CHANGES IN </w:t>
      </w:r>
      <w:r>
        <w:rPr>
          <w:rFonts w:ascii="Arial" w:eastAsia="宋体" w:hAnsi="Arial" w:cs="Arial"/>
          <w:b/>
          <w:bCs/>
          <w:color w:val="000000"/>
          <w:sz w:val="20"/>
          <w:szCs w:val="20"/>
        </w:rPr>
        <w:t>SHAREHOLDERS' EQUITY (UNAUDITED)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4"/>
        <w:gridCol w:w="1028"/>
        <w:gridCol w:w="37"/>
        <w:gridCol w:w="105"/>
        <w:gridCol w:w="566"/>
        <w:gridCol w:w="36"/>
        <w:gridCol w:w="36"/>
        <w:gridCol w:w="36"/>
        <w:gridCol w:w="36"/>
        <w:gridCol w:w="83"/>
        <w:gridCol w:w="521"/>
        <w:gridCol w:w="36"/>
        <w:gridCol w:w="36"/>
        <w:gridCol w:w="36"/>
        <w:gridCol w:w="36"/>
        <w:gridCol w:w="105"/>
        <w:gridCol w:w="474"/>
        <w:gridCol w:w="37"/>
        <w:gridCol w:w="36"/>
        <w:gridCol w:w="36"/>
        <w:gridCol w:w="36"/>
        <w:gridCol w:w="104"/>
        <w:gridCol w:w="501"/>
        <w:gridCol w:w="36"/>
        <w:gridCol w:w="36"/>
        <w:gridCol w:w="36"/>
        <w:gridCol w:w="36"/>
        <w:gridCol w:w="104"/>
        <w:gridCol w:w="501"/>
        <w:gridCol w:w="36"/>
        <w:gridCol w:w="36"/>
        <w:gridCol w:w="36"/>
        <w:gridCol w:w="36"/>
        <w:gridCol w:w="105"/>
        <w:gridCol w:w="985"/>
        <w:gridCol w:w="36"/>
        <w:gridCol w:w="36"/>
        <w:gridCol w:w="36"/>
        <w:gridCol w:w="36"/>
        <w:gridCol w:w="71"/>
        <w:gridCol w:w="533"/>
        <w:gridCol w:w="36"/>
        <w:gridCol w:w="36"/>
        <w:gridCol w:w="36"/>
        <w:gridCol w:w="36"/>
        <w:gridCol w:w="104"/>
        <w:gridCol w:w="559"/>
        <w:gridCol w:w="36"/>
        <w:gridCol w:w="36"/>
        <w:gridCol w:w="36"/>
        <w:gridCol w:w="36"/>
        <w:gridCol w:w="104"/>
        <w:gridCol w:w="501"/>
        <w:gridCol w:w="36"/>
      </w:tblGrid>
      <w:tr w:rsidR="006A3667" w14:paraId="71D4256D" w14:textId="77777777">
        <w:trPr>
          <w:jc w:val="center"/>
        </w:trPr>
        <w:tc>
          <w:tcPr>
            <w:tcW w:w="50" w:type="pct"/>
            <w:shd w:val="clear" w:color="auto" w:fill="auto"/>
            <w:vAlign w:val="bottom"/>
          </w:tcPr>
          <w:p w14:paraId="71D42537" w14:textId="77777777" w:rsidR="006A3667" w:rsidRDefault="006A3667">
            <w:pPr>
              <w:rPr>
                <w:rFonts w:ascii="宋体"/>
              </w:rPr>
            </w:pPr>
          </w:p>
        </w:tc>
        <w:tc>
          <w:tcPr>
            <w:tcW w:w="1152" w:type="pct"/>
            <w:shd w:val="clear" w:color="auto" w:fill="auto"/>
            <w:vAlign w:val="bottom"/>
          </w:tcPr>
          <w:p w14:paraId="71D42538" w14:textId="77777777" w:rsidR="006A3667" w:rsidRDefault="006A3667">
            <w:pPr>
              <w:rPr>
                <w:rFonts w:ascii="宋体"/>
              </w:rPr>
            </w:pPr>
          </w:p>
        </w:tc>
        <w:tc>
          <w:tcPr>
            <w:tcW w:w="5" w:type="pct"/>
            <w:shd w:val="clear" w:color="auto" w:fill="auto"/>
            <w:vAlign w:val="bottom"/>
          </w:tcPr>
          <w:p w14:paraId="71D42539" w14:textId="77777777" w:rsidR="006A3667" w:rsidRDefault="006A3667">
            <w:pPr>
              <w:rPr>
                <w:rFonts w:ascii="宋体"/>
              </w:rPr>
            </w:pPr>
          </w:p>
        </w:tc>
        <w:tc>
          <w:tcPr>
            <w:tcW w:w="50" w:type="pct"/>
            <w:shd w:val="clear" w:color="auto" w:fill="auto"/>
            <w:vAlign w:val="bottom"/>
          </w:tcPr>
          <w:p w14:paraId="71D4253A" w14:textId="77777777" w:rsidR="006A3667" w:rsidRDefault="006A3667">
            <w:pPr>
              <w:rPr>
                <w:rFonts w:ascii="宋体"/>
              </w:rPr>
            </w:pPr>
          </w:p>
        </w:tc>
        <w:tc>
          <w:tcPr>
            <w:tcW w:w="318" w:type="pct"/>
            <w:shd w:val="clear" w:color="auto" w:fill="auto"/>
            <w:vAlign w:val="bottom"/>
          </w:tcPr>
          <w:p w14:paraId="71D4253B" w14:textId="77777777" w:rsidR="006A3667" w:rsidRDefault="006A3667">
            <w:pPr>
              <w:rPr>
                <w:rFonts w:ascii="宋体"/>
              </w:rPr>
            </w:pPr>
          </w:p>
        </w:tc>
        <w:tc>
          <w:tcPr>
            <w:tcW w:w="5" w:type="pct"/>
            <w:shd w:val="clear" w:color="auto" w:fill="auto"/>
            <w:vAlign w:val="bottom"/>
          </w:tcPr>
          <w:p w14:paraId="71D4253C" w14:textId="77777777" w:rsidR="006A3667" w:rsidRDefault="006A3667">
            <w:pPr>
              <w:rPr>
                <w:rFonts w:ascii="宋体"/>
              </w:rPr>
            </w:pPr>
          </w:p>
        </w:tc>
        <w:tc>
          <w:tcPr>
            <w:tcW w:w="5" w:type="pct"/>
            <w:shd w:val="clear" w:color="auto" w:fill="auto"/>
            <w:vAlign w:val="bottom"/>
          </w:tcPr>
          <w:p w14:paraId="71D4253D" w14:textId="77777777" w:rsidR="006A3667" w:rsidRDefault="006A3667">
            <w:pPr>
              <w:rPr>
                <w:rFonts w:ascii="宋体"/>
              </w:rPr>
            </w:pPr>
          </w:p>
        </w:tc>
        <w:tc>
          <w:tcPr>
            <w:tcW w:w="26" w:type="pct"/>
            <w:shd w:val="clear" w:color="auto" w:fill="auto"/>
            <w:vAlign w:val="bottom"/>
          </w:tcPr>
          <w:p w14:paraId="71D4253E" w14:textId="77777777" w:rsidR="006A3667" w:rsidRDefault="006A3667">
            <w:pPr>
              <w:rPr>
                <w:rFonts w:ascii="宋体"/>
              </w:rPr>
            </w:pPr>
          </w:p>
        </w:tc>
        <w:tc>
          <w:tcPr>
            <w:tcW w:w="5" w:type="pct"/>
            <w:shd w:val="clear" w:color="auto" w:fill="auto"/>
            <w:vAlign w:val="bottom"/>
          </w:tcPr>
          <w:p w14:paraId="71D4253F" w14:textId="77777777" w:rsidR="006A3667" w:rsidRDefault="006A3667">
            <w:pPr>
              <w:rPr>
                <w:rFonts w:ascii="宋体"/>
              </w:rPr>
            </w:pPr>
          </w:p>
        </w:tc>
        <w:tc>
          <w:tcPr>
            <w:tcW w:w="50" w:type="pct"/>
            <w:shd w:val="clear" w:color="auto" w:fill="auto"/>
            <w:vAlign w:val="bottom"/>
          </w:tcPr>
          <w:p w14:paraId="71D42540" w14:textId="77777777" w:rsidR="006A3667" w:rsidRDefault="006A3667">
            <w:pPr>
              <w:rPr>
                <w:rFonts w:ascii="宋体"/>
              </w:rPr>
            </w:pPr>
          </w:p>
        </w:tc>
        <w:tc>
          <w:tcPr>
            <w:tcW w:w="318" w:type="pct"/>
            <w:shd w:val="clear" w:color="auto" w:fill="auto"/>
            <w:vAlign w:val="bottom"/>
          </w:tcPr>
          <w:p w14:paraId="71D42541" w14:textId="77777777" w:rsidR="006A3667" w:rsidRDefault="006A3667">
            <w:pPr>
              <w:rPr>
                <w:rFonts w:ascii="宋体"/>
              </w:rPr>
            </w:pPr>
          </w:p>
        </w:tc>
        <w:tc>
          <w:tcPr>
            <w:tcW w:w="5" w:type="pct"/>
            <w:shd w:val="clear" w:color="auto" w:fill="auto"/>
            <w:vAlign w:val="bottom"/>
          </w:tcPr>
          <w:p w14:paraId="71D42542" w14:textId="77777777" w:rsidR="006A3667" w:rsidRDefault="006A3667">
            <w:pPr>
              <w:rPr>
                <w:rFonts w:ascii="宋体"/>
              </w:rPr>
            </w:pPr>
          </w:p>
        </w:tc>
        <w:tc>
          <w:tcPr>
            <w:tcW w:w="5" w:type="pct"/>
            <w:shd w:val="clear" w:color="auto" w:fill="auto"/>
            <w:vAlign w:val="bottom"/>
          </w:tcPr>
          <w:p w14:paraId="71D42543" w14:textId="77777777" w:rsidR="006A3667" w:rsidRDefault="006A3667">
            <w:pPr>
              <w:rPr>
                <w:rFonts w:ascii="宋体"/>
              </w:rPr>
            </w:pPr>
          </w:p>
        </w:tc>
        <w:tc>
          <w:tcPr>
            <w:tcW w:w="26" w:type="pct"/>
            <w:shd w:val="clear" w:color="auto" w:fill="auto"/>
            <w:vAlign w:val="bottom"/>
          </w:tcPr>
          <w:p w14:paraId="71D42544" w14:textId="77777777" w:rsidR="006A3667" w:rsidRDefault="006A3667">
            <w:pPr>
              <w:rPr>
                <w:rFonts w:ascii="宋体"/>
              </w:rPr>
            </w:pPr>
          </w:p>
        </w:tc>
        <w:tc>
          <w:tcPr>
            <w:tcW w:w="5" w:type="pct"/>
            <w:shd w:val="clear" w:color="auto" w:fill="auto"/>
            <w:vAlign w:val="bottom"/>
          </w:tcPr>
          <w:p w14:paraId="71D42545" w14:textId="77777777" w:rsidR="006A3667" w:rsidRDefault="006A3667">
            <w:pPr>
              <w:rPr>
                <w:rFonts w:ascii="宋体"/>
              </w:rPr>
            </w:pPr>
          </w:p>
        </w:tc>
        <w:tc>
          <w:tcPr>
            <w:tcW w:w="50" w:type="pct"/>
            <w:shd w:val="clear" w:color="auto" w:fill="auto"/>
            <w:vAlign w:val="bottom"/>
          </w:tcPr>
          <w:p w14:paraId="71D42546" w14:textId="77777777" w:rsidR="006A3667" w:rsidRDefault="006A3667">
            <w:pPr>
              <w:rPr>
                <w:rFonts w:ascii="宋体"/>
              </w:rPr>
            </w:pPr>
          </w:p>
        </w:tc>
        <w:tc>
          <w:tcPr>
            <w:tcW w:w="274" w:type="pct"/>
            <w:shd w:val="clear" w:color="auto" w:fill="auto"/>
            <w:vAlign w:val="bottom"/>
          </w:tcPr>
          <w:p w14:paraId="71D42547" w14:textId="77777777" w:rsidR="006A3667" w:rsidRDefault="006A3667">
            <w:pPr>
              <w:rPr>
                <w:rFonts w:ascii="宋体"/>
              </w:rPr>
            </w:pPr>
          </w:p>
        </w:tc>
        <w:tc>
          <w:tcPr>
            <w:tcW w:w="5" w:type="pct"/>
            <w:shd w:val="clear" w:color="auto" w:fill="auto"/>
            <w:vAlign w:val="bottom"/>
          </w:tcPr>
          <w:p w14:paraId="71D42548" w14:textId="77777777" w:rsidR="006A3667" w:rsidRDefault="006A3667">
            <w:pPr>
              <w:rPr>
                <w:rFonts w:ascii="宋体"/>
              </w:rPr>
            </w:pPr>
          </w:p>
        </w:tc>
        <w:tc>
          <w:tcPr>
            <w:tcW w:w="5" w:type="pct"/>
            <w:shd w:val="clear" w:color="auto" w:fill="auto"/>
            <w:vAlign w:val="bottom"/>
          </w:tcPr>
          <w:p w14:paraId="71D42549" w14:textId="77777777" w:rsidR="006A3667" w:rsidRDefault="006A3667">
            <w:pPr>
              <w:rPr>
                <w:rFonts w:ascii="宋体"/>
              </w:rPr>
            </w:pPr>
          </w:p>
        </w:tc>
        <w:tc>
          <w:tcPr>
            <w:tcW w:w="26" w:type="pct"/>
            <w:shd w:val="clear" w:color="auto" w:fill="auto"/>
            <w:vAlign w:val="bottom"/>
          </w:tcPr>
          <w:p w14:paraId="71D4254A" w14:textId="77777777" w:rsidR="006A3667" w:rsidRDefault="006A3667">
            <w:pPr>
              <w:rPr>
                <w:rFonts w:ascii="宋体"/>
              </w:rPr>
            </w:pPr>
          </w:p>
        </w:tc>
        <w:tc>
          <w:tcPr>
            <w:tcW w:w="5" w:type="pct"/>
            <w:shd w:val="clear" w:color="auto" w:fill="auto"/>
            <w:vAlign w:val="bottom"/>
          </w:tcPr>
          <w:p w14:paraId="71D4254B" w14:textId="77777777" w:rsidR="006A3667" w:rsidRDefault="006A3667">
            <w:pPr>
              <w:rPr>
                <w:rFonts w:ascii="宋体"/>
              </w:rPr>
            </w:pPr>
          </w:p>
        </w:tc>
        <w:tc>
          <w:tcPr>
            <w:tcW w:w="50" w:type="pct"/>
            <w:shd w:val="clear" w:color="auto" w:fill="auto"/>
            <w:vAlign w:val="bottom"/>
          </w:tcPr>
          <w:p w14:paraId="71D4254C" w14:textId="77777777" w:rsidR="006A3667" w:rsidRDefault="006A3667">
            <w:pPr>
              <w:rPr>
                <w:rFonts w:ascii="宋体"/>
              </w:rPr>
            </w:pPr>
          </w:p>
        </w:tc>
        <w:tc>
          <w:tcPr>
            <w:tcW w:w="296" w:type="pct"/>
            <w:shd w:val="clear" w:color="auto" w:fill="auto"/>
            <w:vAlign w:val="bottom"/>
          </w:tcPr>
          <w:p w14:paraId="71D4254D" w14:textId="77777777" w:rsidR="006A3667" w:rsidRDefault="006A3667">
            <w:pPr>
              <w:rPr>
                <w:rFonts w:ascii="宋体"/>
              </w:rPr>
            </w:pPr>
          </w:p>
        </w:tc>
        <w:tc>
          <w:tcPr>
            <w:tcW w:w="5" w:type="pct"/>
            <w:shd w:val="clear" w:color="auto" w:fill="auto"/>
            <w:vAlign w:val="bottom"/>
          </w:tcPr>
          <w:p w14:paraId="71D4254E" w14:textId="77777777" w:rsidR="006A3667" w:rsidRDefault="006A3667">
            <w:pPr>
              <w:rPr>
                <w:rFonts w:ascii="宋体"/>
              </w:rPr>
            </w:pPr>
          </w:p>
        </w:tc>
        <w:tc>
          <w:tcPr>
            <w:tcW w:w="5" w:type="pct"/>
            <w:shd w:val="clear" w:color="auto" w:fill="auto"/>
            <w:vAlign w:val="bottom"/>
          </w:tcPr>
          <w:p w14:paraId="71D4254F" w14:textId="77777777" w:rsidR="006A3667" w:rsidRDefault="006A3667">
            <w:pPr>
              <w:rPr>
                <w:rFonts w:ascii="宋体"/>
              </w:rPr>
            </w:pPr>
          </w:p>
        </w:tc>
        <w:tc>
          <w:tcPr>
            <w:tcW w:w="26" w:type="pct"/>
            <w:shd w:val="clear" w:color="auto" w:fill="auto"/>
            <w:vAlign w:val="bottom"/>
          </w:tcPr>
          <w:p w14:paraId="71D42550" w14:textId="77777777" w:rsidR="006A3667" w:rsidRDefault="006A3667">
            <w:pPr>
              <w:rPr>
                <w:rFonts w:ascii="宋体"/>
              </w:rPr>
            </w:pPr>
          </w:p>
        </w:tc>
        <w:tc>
          <w:tcPr>
            <w:tcW w:w="5" w:type="pct"/>
            <w:shd w:val="clear" w:color="auto" w:fill="auto"/>
            <w:vAlign w:val="bottom"/>
          </w:tcPr>
          <w:p w14:paraId="71D42551" w14:textId="77777777" w:rsidR="006A3667" w:rsidRDefault="006A3667">
            <w:pPr>
              <w:rPr>
                <w:rFonts w:ascii="宋体"/>
              </w:rPr>
            </w:pPr>
          </w:p>
        </w:tc>
        <w:tc>
          <w:tcPr>
            <w:tcW w:w="50" w:type="pct"/>
            <w:shd w:val="clear" w:color="auto" w:fill="auto"/>
            <w:vAlign w:val="bottom"/>
          </w:tcPr>
          <w:p w14:paraId="71D42552" w14:textId="77777777" w:rsidR="006A3667" w:rsidRDefault="006A3667">
            <w:pPr>
              <w:rPr>
                <w:rFonts w:ascii="宋体"/>
              </w:rPr>
            </w:pPr>
          </w:p>
        </w:tc>
        <w:tc>
          <w:tcPr>
            <w:tcW w:w="296" w:type="pct"/>
            <w:shd w:val="clear" w:color="auto" w:fill="auto"/>
            <w:vAlign w:val="bottom"/>
          </w:tcPr>
          <w:p w14:paraId="71D42553" w14:textId="77777777" w:rsidR="006A3667" w:rsidRDefault="006A3667">
            <w:pPr>
              <w:rPr>
                <w:rFonts w:ascii="宋体"/>
              </w:rPr>
            </w:pPr>
          </w:p>
        </w:tc>
        <w:tc>
          <w:tcPr>
            <w:tcW w:w="5" w:type="pct"/>
            <w:shd w:val="clear" w:color="auto" w:fill="auto"/>
            <w:vAlign w:val="bottom"/>
          </w:tcPr>
          <w:p w14:paraId="71D42554" w14:textId="77777777" w:rsidR="006A3667" w:rsidRDefault="006A3667">
            <w:pPr>
              <w:rPr>
                <w:rFonts w:ascii="宋体"/>
              </w:rPr>
            </w:pPr>
          </w:p>
        </w:tc>
        <w:tc>
          <w:tcPr>
            <w:tcW w:w="5" w:type="pct"/>
            <w:shd w:val="clear" w:color="auto" w:fill="auto"/>
            <w:vAlign w:val="bottom"/>
          </w:tcPr>
          <w:p w14:paraId="71D42555" w14:textId="77777777" w:rsidR="006A3667" w:rsidRDefault="006A3667">
            <w:pPr>
              <w:rPr>
                <w:rFonts w:ascii="宋体"/>
              </w:rPr>
            </w:pPr>
          </w:p>
        </w:tc>
        <w:tc>
          <w:tcPr>
            <w:tcW w:w="26" w:type="pct"/>
            <w:shd w:val="clear" w:color="auto" w:fill="auto"/>
            <w:vAlign w:val="bottom"/>
          </w:tcPr>
          <w:p w14:paraId="71D42556" w14:textId="77777777" w:rsidR="006A3667" w:rsidRDefault="006A3667">
            <w:pPr>
              <w:rPr>
                <w:rFonts w:ascii="宋体"/>
              </w:rPr>
            </w:pPr>
          </w:p>
        </w:tc>
        <w:tc>
          <w:tcPr>
            <w:tcW w:w="5" w:type="pct"/>
            <w:shd w:val="clear" w:color="auto" w:fill="auto"/>
            <w:vAlign w:val="bottom"/>
          </w:tcPr>
          <w:p w14:paraId="71D42557" w14:textId="77777777" w:rsidR="006A3667" w:rsidRDefault="006A3667">
            <w:pPr>
              <w:rPr>
                <w:rFonts w:ascii="宋体"/>
              </w:rPr>
            </w:pPr>
          </w:p>
        </w:tc>
        <w:tc>
          <w:tcPr>
            <w:tcW w:w="50" w:type="pct"/>
            <w:shd w:val="clear" w:color="auto" w:fill="auto"/>
            <w:vAlign w:val="bottom"/>
          </w:tcPr>
          <w:p w14:paraId="71D42558" w14:textId="77777777" w:rsidR="006A3667" w:rsidRDefault="006A3667">
            <w:pPr>
              <w:rPr>
                <w:rFonts w:ascii="宋体"/>
              </w:rPr>
            </w:pPr>
          </w:p>
        </w:tc>
        <w:tc>
          <w:tcPr>
            <w:tcW w:w="508" w:type="pct"/>
            <w:shd w:val="clear" w:color="auto" w:fill="auto"/>
            <w:vAlign w:val="bottom"/>
          </w:tcPr>
          <w:p w14:paraId="71D42559" w14:textId="77777777" w:rsidR="006A3667" w:rsidRDefault="006A3667">
            <w:pPr>
              <w:rPr>
                <w:rFonts w:ascii="宋体"/>
              </w:rPr>
            </w:pPr>
          </w:p>
        </w:tc>
        <w:tc>
          <w:tcPr>
            <w:tcW w:w="5" w:type="pct"/>
            <w:shd w:val="clear" w:color="auto" w:fill="auto"/>
            <w:vAlign w:val="bottom"/>
          </w:tcPr>
          <w:p w14:paraId="71D4255A" w14:textId="77777777" w:rsidR="006A3667" w:rsidRDefault="006A3667">
            <w:pPr>
              <w:rPr>
                <w:rFonts w:ascii="宋体"/>
              </w:rPr>
            </w:pPr>
          </w:p>
        </w:tc>
        <w:tc>
          <w:tcPr>
            <w:tcW w:w="5" w:type="pct"/>
            <w:shd w:val="clear" w:color="auto" w:fill="auto"/>
            <w:vAlign w:val="bottom"/>
          </w:tcPr>
          <w:p w14:paraId="71D4255B" w14:textId="77777777" w:rsidR="006A3667" w:rsidRDefault="006A3667">
            <w:pPr>
              <w:rPr>
                <w:rFonts w:ascii="宋体"/>
              </w:rPr>
            </w:pPr>
          </w:p>
        </w:tc>
        <w:tc>
          <w:tcPr>
            <w:tcW w:w="26" w:type="pct"/>
            <w:shd w:val="clear" w:color="auto" w:fill="auto"/>
            <w:vAlign w:val="bottom"/>
          </w:tcPr>
          <w:p w14:paraId="71D4255C" w14:textId="77777777" w:rsidR="006A3667" w:rsidRDefault="006A3667">
            <w:pPr>
              <w:rPr>
                <w:rFonts w:ascii="宋体"/>
              </w:rPr>
            </w:pPr>
          </w:p>
        </w:tc>
        <w:tc>
          <w:tcPr>
            <w:tcW w:w="5" w:type="pct"/>
            <w:shd w:val="clear" w:color="auto" w:fill="auto"/>
            <w:vAlign w:val="bottom"/>
          </w:tcPr>
          <w:p w14:paraId="71D4255D" w14:textId="77777777" w:rsidR="006A3667" w:rsidRDefault="006A3667">
            <w:pPr>
              <w:rPr>
                <w:rFonts w:ascii="宋体"/>
              </w:rPr>
            </w:pPr>
          </w:p>
        </w:tc>
        <w:tc>
          <w:tcPr>
            <w:tcW w:w="50" w:type="pct"/>
            <w:shd w:val="clear" w:color="auto" w:fill="auto"/>
            <w:vAlign w:val="bottom"/>
          </w:tcPr>
          <w:p w14:paraId="71D4255E" w14:textId="77777777" w:rsidR="006A3667" w:rsidRDefault="006A3667">
            <w:pPr>
              <w:rPr>
                <w:rFonts w:ascii="宋体"/>
              </w:rPr>
            </w:pPr>
          </w:p>
        </w:tc>
        <w:tc>
          <w:tcPr>
            <w:tcW w:w="376" w:type="pct"/>
            <w:shd w:val="clear" w:color="auto" w:fill="auto"/>
            <w:vAlign w:val="bottom"/>
          </w:tcPr>
          <w:p w14:paraId="71D4255F" w14:textId="77777777" w:rsidR="006A3667" w:rsidRDefault="006A3667">
            <w:pPr>
              <w:rPr>
                <w:rFonts w:ascii="宋体"/>
              </w:rPr>
            </w:pPr>
          </w:p>
        </w:tc>
        <w:tc>
          <w:tcPr>
            <w:tcW w:w="5" w:type="pct"/>
            <w:shd w:val="clear" w:color="auto" w:fill="auto"/>
            <w:vAlign w:val="bottom"/>
          </w:tcPr>
          <w:p w14:paraId="71D42560" w14:textId="77777777" w:rsidR="006A3667" w:rsidRDefault="006A3667">
            <w:pPr>
              <w:rPr>
                <w:rFonts w:ascii="宋体"/>
              </w:rPr>
            </w:pPr>
          </w:p>
        </w:tc>
        <w:tc>
          <w:tcPr>
            <w:tcW w:w="5" w:type="pct"/>
            <w:shd w:val="clear" w:color="auto" w:fill="auto"/>
            <w:vAlign w:val="bottom"/>
          </w:tcPr>
          <w:p w14:paraId="71D42561" w14:textId="77777777" w:rsidR="006A3667" w:rsidRDefault="006A3667">
            <w:pPr>
              <w:rPr>
                <w:rFonts w:ascii="宋体"/>
              </w:rPr>
            </w:pPr>
          </w:p>
        </w:tc>
        <w:tc>
          <w:tcPr>
            <w:tcW w:w="26" w:type="pct"/>
            <w:shd w:val="clear" w:color="auto" w:fill="auto"/>
            <w:vAlign w:val="bottom"/>
          </w:tcPr>
          <w:p w14:paraId="71D42562" w14:textId="77777777" w:rsidR="006A3667" w:rsidRDefault="006A3667">
            <w:pPr>
              <w:rPr>
                <w:rFonts w:ascii="宋体"/>
              </w:rPr>
            </w:pPr>
          </w:p>
        </w:tc>
        <w:tc>
          <w:tcPr>
            <w:tcW w:w="5" w:type="pct"/>
            <w:shd w:val="clear" w:color="auto" w:fill="auto"/>
            <w:vAlign w:val="bottom"/>
          </w:tcPr>
          <w:p w14:paraId="71D42563" w14:textId="77777777" w:rsidR="006A3667" w:rsidRDefault="006A3667">
            <w:pPr>
              <w:rPr>
                <w:rFonts w:ascii="宋体"/>
              </w:rPr>
            </w:pPr>
          </w:p>
        </w:tc>
        <w:tc>
          <w:tcPr>
            <w:tcW w:w="50" w:type="pct"/>
            <w:shd w:val="clear" w:color="auto" w:fill="auto"/>
            <w:vAlign w:val="bottom"/>
          </w:tcPr>
          <w:p w14:paraId="71D42564" w14:textId="77777777" w:rsidR="006A3667" w:rsidRDefault="006A3667">
            <w:pPr>
              <w:rPr>
                <w:rFonts w:ascii="宋体"/>
              </w:rPr>
            </w:pPr>
          </w:p>
        </w:tc>
        <w:tc>
          <w:tcPr>
            <w:tcW w:w="318" w:type="pct"/>
            <w:shd w:val="clear" w:color="auto" w:fill="auto"/>
            <w:vAlign w:val="bottom"/>
          </w:tcPr>
          <w:p w14:paraId="71D42565" w14:textId="77777777" w:rsidR="006A3667" w:rsidRDefault="006A3667">
            <w:pPr>
              <w:rPr>
                <w:rFonts w:ascii="宋体"/>
              </w:rPr>
            </w:pPr>
          </w:p>
        </w:tc>
        <w:tc>
          <w:tcPr>
            <w:tcW w:w="5" w:type="pct"/>
            <w:shd w:val="clear" w:color="auto" w:fill="auto"/>
            <w:vAlign w:val="bottom"/>
          </w:tcPr>
          <w:p w14:paraId="71D42566" w14:textId="77777777" w:rsidR="006A3667" w:rsidRDefault="006A3667">
            <w:pPr>
              <w:rPr>
                <w:rFonts w:ascii="宋体"/>
              </w:rPr>
            </w:pPr>
          </w:p>
        </w:tc>
        <w:tc>
          <w:tcPr>
            <w:tcW w:w="5" w:type="pct"/>
            <w:shd w:val="clear" w:color="auto" w:fill="auto"/>
            <w:vAlign w:val="bottom"/>
          </w:tcPr>
          <w:p w14:paraId="71D42567" w14:textId="77777777" w:rsidR="006A3667" w:rsidRDefault="006A3667">
            <w:pPr>
              <w:rPr>
                <w:rFonts w:ascii="宋体"/>
              </w:rPr>
            </w:pPr>
          </w:p>
        </w:tc>
        <w:tc>
          <w:tcPr>
            <w:tcW w:w="26" w:type="pct"/>
            <w:shd w:val="clear" w:color="auto" w:fill="auto"/>
            <w:vAlign w:val="bottom"/>
          </w:tcPr>
          <w:p w14:paraId="71D42568" w14:textId="77777777" w:rsidR="006A3667" w:rsidRDefault="006A3667">
            <w:pPr>
              <w:rPr>
                <w:rFonts w:ascii="宋体"/>
              </w:rPr>
            </w:pPr>
          </w:p>
        </w:tc>
        <w:tc>
          <w:tcPr>
            <w:tcW w:w="5" w:type="pct"/>
            <w:shd w:val="clear" w:color="auto" w:fill="auto"/>
            <w:vAlign w:val="bottom"/>
          </w:tcPr>
          <w:p w14:paraId="71D42569" w14:textId="77777777" w:rsidR="006A3667" w:rsidRDefault="006A3667">
            <w:pPr>
              <w:rPr>
                <w:rFonts w:ascii="宋体"/>
              </w:rPr>
            </w:pPr>
          </w:p>
        </w:tc>
        <w:tc>
          <w:tcPr>
            <w:tcW w:w="50" w:type="pct"/>
            <w:shd w:val="clear" w:color="auto" w:fill="auto"/>
            <w:vAlign w:val="bottom"/>
          </w:tcPr>
          <w:p w14:paraId="71D4256A" w14:textId="77777777" w:rsidR="006A3667" w:rsidRDefault="006A3667">
            <w:pPr>
              <w:rPr>
                <w:rFonts w:ascii="宋体"/>
              </w:rPr>
            </w:pPr>
          </w:p>
        </w:tc>
        <w:tc>
          <w:tcPr>
            <w:tcW w:w="296" w:type="pct"/>
            <w:shd w:val="clear" w:color="auto" w:fill="auto"/>
            <w:vAlign w:val="bottom"/>
          </w:tcPr>
          <w:p w14:paraId="71D4256B" w14:textId="77777777" w:rsidR="006A3667" w:rsidRDefault="006A3667">
            <w:pPr>
              <w:rPr>
                <w:rFonts w:ascii="宋体"/>
              </w:rPr>
            </w:pPr>
          </w:p>
        </w:tc>
        <w:tc>
          <w:tcPr>
            <w:tcW w:w="5" w:type="pct"/>
            <w:shd w:val="clear" w:color="auto" w:fill="auto"/>
            <w:vAlign w:val="bottom"/>
          </w:tcPr>
          <w:p w14:paraId="71D4256C" w14:textId="77777777" w:rsidR="006A3667" w:rsidRDefault="006A3667">
            <w:pPr>
              <w:rPr>
                <w:rFonts w:ascii="宋体"/>
              </w:rPr>
            </w:pPr>
          </w:p>
        </w:tc>
      </w:tr>
      <w:tr w:rsidR="006A3667" w14:paraId="71D42581"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71D4256E" w14:textId="77777777" w:rsidR="006A3667" w:rsidRDefault="00045F32">
            <w:pPr>
              <w:textAlignment w:val="bottom"/>
            </w:pPr>
            <w:r>
              <w:rPr>
                <w:rFonts w:ascii="Arial" w:eastAsia="宋体" w:hAnsi="Arial" w:cs="Arial"/>
                <w:b/>
                <w:bCs/>
                <w:color w:val="000000"/>
                <w:sz w:val="14"/>
                <w:szCs w:val="14"/>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71D4256F" w14:textId="77777777" w:rsidR="006A3667" w:rsidRDefault="00045F32">
            <w:pPr>
              <w:jc w:val="center"/>
              <w:textAlignment w:val="bottom"/>
            </w:pPr>
            <w:r>
              <w:rPr>
                <w:rFonts w:ascii="Arial" w:eastAsia="宋体" w:hAnsi="Arial" w:cs="Arial"/>
                <w:b/>
                <w:bCs/>
                <w:color w:val="000000"/>
                <w:sz w:val="14"/>
                <w:szCs w:val="14"/>
              </w:rPr>
              <w:t>Preferred</w:t>
            </w:r>
          </w:p>
          <w:p w14:paraId="71D42570" w14:textId="77777777" w:rsidR="006A3667" w:rsidRDefault="00045F32">
            <w:pPr>
              <w:jc w:val="center"/>
              <w:textAlignment w:val="bottom"/>
            </w:pPr>
            <w:r>
              <w:rPr>
                <w:rFonts w:ascii="Arial" w:eastAsia="宋体" w:hAnsi="Arial" w:cs="Arial"/>
                <w:b/>
                <w:bCs/>
                <w:color w:val="000000"/>
                <w:sz w:val="14"/>
                <w:szCs w:val="14"/>
              </w:rPr>
              <w:t>Stock</w:t>
            </w:r>
          </w:p>
        </w:tc>
        <w:tc>
          <w:tcPr>
            <w:tcW w:w="0" w:type="auto"/>
            <w:gridSpan w:val="3"/>
            <w:vMerge w:val="restart"/>
            <w:shd w:val="clear" w:color="auto" w:fill="auto"/>
            <w:tcMar>
              <w:top w:w="0" w:type="dxa"/>
              <w:left w:w="20" w:type="dxa"/>
              <w:bottom w:w="0" w:type="dxa"/>
              <w:right w:w="20" w:type="dxa"/>
            </w:tcMar>
            <w:vAlign w:val="bottom"/>
          </w:tcPr>
          <w:p w14:paraId="71D42571"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2572" w14:textId="77777777" w:rsidR="006A3667" w:rsidRDefault="00045F32">
            <w:pPr>
              <w:jc w:val="center"/>
              <w:textAlignment w:val="bottom"/>
            </w:pPr>
            <w:r>
              <w:rPr>
                <w:rFonts w:ascii="Arial" w:eastAsia="宋体" w:hAnsi="Arial" w:cs="Arial"/>
                <w:b/>
                <w:bCs/>
                <w:color w:val="000000"/>
                <w:sz w:val="14"/>
                <w:szCs w:val="14"/>
              </w:rPr>
              <w:t>Common Stock</w:t>
            </w:r>
          </w:p>
        </w:tc>
        <w:tc>
          <w:tcPr>
            <w:tcW w:w="0" w:type="auto"/>
            <w:gridSpan w:val="3"/>
            <w:shd w:val="clear" w:color="auto" w:fill="auto"/>
            <w:tcMar>
              <w:top w:w="0" w:type="dxa"/>
              <w:left w:w="20" w:type="dxa"/>
              <w:bottom w:w="0" w:type="dxa"/>
              <w:right w:w="20" w:type="dxa"/>
            </w:tcMar>
            <w:vAlign w:val="bottom"/>
          </w:tcPr>
          <w:p w14:paraId="71D42573"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2574" w14:textId="77777777" w:rsidR="006A3667" w:rsidRDefault="00045F32">
            <w:pPr>
              <w:jc w:val="center"/>
              <w:textAlignment w:val="bottom"/>
            </w:pPr>
            <w:r>
              <w:rPr>
                <w:rFonts w:ascii="Arial" w:eastAsia="宋体" w:hAnsi="Arial" w:cs="Arial"/>
                <w:b/>
                <w:bCs/>
                <w:color w:val="000000"/>
                <w:sz w:val="14"/>
                <w:szCs w:val="14"/>
              </w:rPr>
              <w:t>Surplus</w:t>
            </w:r>
          </w:p>
        </w:tc>
        <w:tc>
          <w:tcPr>
            <w:tcW w:w="0" w:type="auto"/>
            <w:gridSpan w:val="3"/>
            <w:shd w:val="clear" w:color="auto" w:fill="auto"/>
            <w:tcMar>
              <w:top w:w="0" w:type="dxa"/>
              <w:left w:w="20" w:type="dxa"/>
              <w:bottom w:w="0" w:type="dxa"/>
              <w:right w:w="20" w:type="dxa"/>
            </w:tcMar>
            <w:vAlign w:val="bottom"/>
          </w:tcPr>
          <w:p w14:paraId="71D42575"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2576" w14:textId="77777777" w:rsidR="006A3667" w:rsidRDefault="00045F32">
            <w:pPr>
              <w:jc w:val="center"/>
              <w:textAlignment w:val="bottom"/>
            </w:pPr>
            <w:r>
              <w:rPr>
                <w:rFonts w:ascii="Arial" w:eastAsia="宋体" w:hAnsi="Arial" w:cs="Arial"/>
                <w:b/>
                <w:bCs/>
                <w:color w:val="000000"/>
                <w:sz w:val="14"/>
                <w:szCs w:val="14"/>
              </w:rPr>
              <w:t>Retained</w:t>
            </w:r>
          </w:p>
          <w:p w14:paraId="71D42577" w14:textId="77777777" w:rsidR="006A3667" w:rsidRDefault="00045F32">
            <w:pPr>
              <w:jc w:val="center"/>
              <w:textAlignment w:val="bottom"/>
            </w:pP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14:paraId="71D42578"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2579" w14:textId="77777777" w:rsidR="006A3667" w:rsidRDefault="00045F32">
            <w:pPr>
              <w:jc w:val="center"/>
              <w:textAlignment w:val="bottom"/>
            </w:pPr>
            <w:r>
              <w:rPr>
                <w:rFonts w:ascii="Arial" w:eastAsia="宋体" w:hAnsi="Arial" w:cs="Arial"/>
                <w:b/>
                <w:bCs/>
                <w:color w:val="000000"/>
                <w:sz w:val="14"/>
                <w:szCs w:val="14"/>
              </w:rPr>
              <w:t>Accumulated</w:t>
            </w:r>
          </w:p>
          <w:p w14:paraId="71D4257A" w14:textId="77777777" w:rsidR="006A3667" w:rsidRDefault="00045F32">
            <w:pPr>
              <w:jc w:val="center"/>
              <w:textAlignment w:val="bottom"/>
            </w:pPr>
            <w:r>
              <w:rPr>
                <w:rFonts w:ascii="Arial" w:eastAsia="宋体" w:hAnsi="Arial" w:cs="Arial"/>
                <w:b/>
                <w:bCs/>
                <w:color w:val="000000"/>
                <w:sz w:val="14"/>
                <w:szCs w:val="14"/>
              </w:rPr>
              <w:t>Other</w:t>
            </w:r>
          </w:p>
          <w:p w14:paraId="71D4257B" w14:textId="77777777" w:rsidR="006A3667" w:rsidRDefault="00045F32">
            <w:pPr>
              <w:jc w:val="center"/>
              <w:textAlignment w:val="bottom"/>
            </w:pPr>
            <w:r>
              <w:rPr>
                <w:rFonts w:ascii="Arial" w:eastAsia="宋体" w:hAnsi="Arial" w:cs="Arial"/>
                <w:b/>
                <w:bCs/>
                <w:color w:val="000000"/>
                <w:sz w:val="14"/>
                <w:szCs w:val="14"/>
              </w:rPr>
              <w:t>Comprehensive</w:t>
            </w:r>
          </w:p>
          <w:p w14:paraId="71D4257C" w14:textId="77777777" w:rsidR="006A3667" w:rsidRDefault="00045F32">
            <w:pPr>
              <w:jc w:val="center"/>
              <w:textAlignment w:val="bottom"/>
            </w:pPr>
            <w:r>
              <w:rPr>
                <w:rFonts w:ascii="Arial" w:eastAsia="宋体" w:hAnsi="Arial" w:cs="Arial"/>
                <w:b/>
                <w:bCs/>
                <w:color w:val="000000"/>
                <w:sz w:val="14"/>
                <w:szCs w:val="14"/>
              </w:rPr>
              <w:t>Income (Loss)</w:t>
            </w:r>
          </w:p>
        </w:tc>
        <w:tc>
          <w:tcPr>
            <w:tcW w:w="0" w:type="auto"/>
            <w:gridSpan w:val="3"/>
            <w:vMerge w:val="restart"/>
            <w:shd w:val="clear" w:color="auto" w:fill="auto"/>
            <w:tcMar>
              <w:top w:w="0" w:type="dxa"/>
              <w:left w:w="20" w:type="dxa"/>
              <w:bottom w:w="0" w:type="dxa"/>
              <w:right w:w="20" w:type="dxa"/>
            </w:tcMar>
            <w:vAlign w:val="bottom"/>
          </w:tcPr>
          <w:p w14:paraId="71D4257D"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257E" w14:textId="77777777" w:rsidR="006A3667" w:rsidRDefault="00045F32">
            <w:pPr>
              <w:jc w:val="center"/>
              <w:textAlignment w:val="bottom"/>
            </w:pPr>
            <w:r>
              <w:rPr>
                <w:rFonts w:ascii="Arial" w:eastAsia="宋体" w:hAnsi="Arial" w:cs="Arial"/>
                <w:b/>
                <w:bCs/>
                <w:color w:val="000000"/>
                <w:sz w:val="14"/>
                <w:szCs w:val="14"/>
              </w:rPr>
              <w:t>Treasury Stock</w:t>
            </w:r>
          </w:p>
        </w:tc>
        <w:tc>
          <w:tcPr>
            <w:tcW w:w="0" w:type="auto"/>
            <w:gridSpan w:val="3"/>
            <w:shd w:val="clear" w:color="auto" w:fill="auto"/>
            <w:tcMar>
              <w:top w:w="0" w:type="dxa"/>
              <w:left w:w="20" w:type="dxa"/>
              <w:bottom w:w="0" w:type="dxa"/>
              <w:right w:w="20" w:type="dxa"/>
            </w:tcMar>
            <w:vAlign w:val="bottom"/>
          </w:tcPr>
          <w:p w14:paraId="71D4257F"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2580"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2594" w14:textId="77777777">
        <w:trPr>
          <w:trHeight w:val="460"/>
          <w:jc w:val="center"/>
        </w:trPr>
        <w:tc>
          <w:tcPr>
            <w:tcW w:w="0" w:type="auto"/>
            <w:gridSpan w:val="3"/>
            <w:vMerge/>
            <w:shd w:val="clear" w:color="auto" w:fill="auto"/>
            <w:tcMar>
              <w:top w:w="40" w:type="dxa"/>
              <w:left w:w="20" w:type="dxa"/>
              <w:bottom w:w="40" w:type="dxa"/>
              <w:right w:w="20" w:type="dxa"/>
            </w:tcMar>
            <w:vAlign w:val="bottom"/>
          </w:tcPr>
          <w:p w14:paraId="71D42582"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2583" w14:textId="77777777" w:rsidR="006A3667" w:rsidRDefault="006A3667">
            <w:pPr>
              <w:rPr>
                <w:rFonts w:ascii="宋体"/>
              </w:rPr>
            </w:pPr>
          </w:p>
        </w:tc>
        <w:tc>
          <w:tcPr>
            <w:tcW w:w="0" w:type="auto"/>
            <w:gridSpan w:val="3"/>
            <w:vMerge/>
            <w:shd w:val="clear" w:color="auto" w:fill="auto"/>
            <w:tcMar>
              <w:top w:w="0" w:type="dxa"/>
              <w:left w:w="20" w:type="dxa"/>
              <w:bottom w:w="0" w:type="dxa"/>
              <w:right w:w="20" w:type="dxa"/>
            </w:tcMar>
            <w:vAlign w:val="bottom"/>
          </w:tcPr>
          <w:p w14:paraId="71D4258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585" w14:textId="77777777" w:rsidR="006A3667" w:rsidRDefault="00045F32">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58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587" w14:textId="77777777" w:rsidR="006A3667" w:rsidRDefault="00045F32">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71D42588"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2589"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258A"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258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58C"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258D" w14:textId="77777777" w:rsidR="006A3667" w:rsidRDefault="006A3667">
            <w:pPr>
              <w:rPr>
                <w:rFonts w:ascii="宋体"/>
              </w:rPr>
            </w:pPr>
          </w:p>
        </w:tc>
        <w:tc>
          <w:tcPr>
            <w:tcW w:w="0" w:type="auto"/>
            <w:gridSpan w:val="3"/>
            <w:vMerge/>
            <w:shd w:val="clear" w:color="auto" w:fill="auto"/>
            <w:tcMar>
              <w:top w:w="0" w:type="dxa"/>
              <w:left w:w="20" w:type="dxa"/>
              <w:bottom w:w="0" w:type="dxa"/>
              <w:right w:w="20" w:type="dxa"/>
            </w:tcMar>
            <w:vAlign w:val="bottom"/>
          </w:tcPr>
          <w:p w14:paraId="71D4258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58F" w14:textId="77777777" w:rsidR="006A3667" w:rsidRDefault="00045F32">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59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2591" w14:textId="77777777" w:rsidR="006A3667" w:rsidRDefault="00045F32">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71D42592"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2593" w14:textId="77777777" w:rsidR="006A3667" w:rsidRDefault="006A3667">
            <w:pPr>
              <w:jc w:val="center"/>
              <w:rPr>
                <w:rFonts w:ascii="宋体"/>
              </w:rPr>
            </w:pPr>
          </w:p>
        </w:tc>
      </w:tr>
      <w:tr w:rsidR="006A3667" w14:paraId="71D425A7" w14:textId="77777777">
        <w:trPr>
          <w:jc w:val="center"/>
          <w:hidden/>
        </w:trPr>
        <w:tc>
          <w:tcPr>
            <w:tcW w:w="0" w:type="auto"/>
            <w:gridSpan w:val="3"/>
            <w:shd w:val="clear" w:color="auto" w:fill="auto"/>
            <w:vAlign w:val="bottom"/>
          </w:tcPr>
          <w:p w14:paraId="71D42595" w14:textId="77777777" w:rsidR="006A3667" w:rsidRDefault="006A3667">
            <w:pPr>
              <w:rPr>
                <w:rFonts w:ascii="宋体"/>
                <w:vanish/>
              </w:rPr>
            </w:pPr>
          </w:p>
        </w:tc>
        <w:tc>
          <w:tcPr>
            <w:tcW w:w="0" w:type="auto"/>
            <w:gridSpan w:val="3"/>
            <w:shd w:val="clear" w:color="auto" w:fill="auto"/>
            <w:vAlign w:val="bottom"/>
          </w:tcPr>
          <w:p w14:paraId="71D42596" w14:textId="77777777" w:rsidR="006A3667" w:rsidRDefault="006A3667">
            <w:pPr>
              <w:rPr>
                <w:rFonts w:ascii="宋体"/>
                <w:vanish/>
              </w:rPr>
            </w:pPr>
          </w:p>
        </w:tc>
        <w:tc>
          <w:tcPr>
            <w:tcW w:w="0" w:type="auto"/>
            <w:gridSpan w:val="3"/>
            <w:shd w:val="clear" w:color="auto" w:fill="auto"/>
            <w:vAlign w:val="bottom"/>
          </w:tcPr>
          <w:p w14:paraId="71D42597" w14:textId="77777777" w:rsidR="006A3667" w:rsidRDefault="006A3667">
            <w:pPr>
              <w:rPr>
                <w:rFonts w:ascii="宋体"/>
                <w:vanish/>
              </w:rPr>
            </w:pPr>
          </w:p>
        </w:tc>
        <w:tc>
          <w:tcPr>
            <w:tcW w:w="0" w:type="auto"/>
            <w:gridSpan w:val="3"/>
            <w:shd w:val="clear" w:color="auto" w:fill="auto"/>
            <w:vAlign w:val="bottom"/>
          </w:tcPr>
          <w:p w14:paraId="71D42598" w14:textId="77777777" w:rsidR="006A3667" w:rsidRDefault="006A3667">
            <w:pPr>
              <w:rPr>
                <w:rFonts w:ascii="宋体"/>
                <w:vanish/>
              </w:rPr>
            </w:pPr>
          </w:p>
        </w:tc>
        <w:tc>
          <w:tcPr>
            <w:tcW w:w="0" w:type="auto"/>
            <w:gridSpan w:val="3"/>
            <w:shd w:val="clear" w:color="auto" w:fill="auto"/>
            <w:vAlign w:val="bottom"/>
          </w:tcPr>
          <w:p w14:paraId="71D42599" w14:textId="77777777" w:rsidR="006A3667" w:rsidRDefault="006A3667">
            <w:pPr>
              <w:rPr>
                <w:rFonts w:ascii="宋体"/>
                <w:vanish/>
              </w:rPr>
            </w:pPr>
          </w:p>
        </w:tc>
        <w:tc>
          <w:tcPr>
            <w:tcW w:w="0" w:type="auto"/>
            <w:gridSpan w:val="3"/>
            <w:shd w:val="clear" w:color="auto" w:fill="auto"/>
            <w:vAlign w:val="bottom"/>
          </w:tcPr>
          <w:p w14:paraId="71D4259A" w14:textId="77777777" w:rsidR="006A3667" w:rsidRDefault="006A3667">
            <w:pPr>
              <w:rPr>
                <w:rFonts w:ascii="宋体"/>
                <w:vanish/>
              </w:rPr>
            </w:pPr>
          </w:p>
        </w:tc>
        <w:tc>
          <w:tcPr>
            <w:tcW w:w="0" w:type="auto"/>
            <w:gridSpan w:val="3"/>
            <w:shd w:val="clear" w:color="auto" w:fill="auto"/>
            <w:vAlign w:val="bottom"/>
          </w:tcPr>
          <w:p w14:paraId="71D4259B" w14:textId="77777777" w:rsidR="006A3667" w:rsidRDefault="006A3667">
            <w:pPr>
              <w:rPr>
                <w:rFonts w:ascii="宋体"/>
                <w:vanish/>
              </w:rPr>
            </w:pPr>
          </w:p>
        </w:tc>
        <w:tc>
          <w:tcPr>
            <w:tcW w:w="0" w:type="auto"/>
            <w:gridSpan w:val="3"/>
            <w:shd w:val="clear" w:color="auto" w:fill="auto"/>
            <w:vAlign w:val="bottom"/>
          </w:tcPr>
          <w:p w14:paraId="71D4259C" w14:textId="77777777" w:rsidR="006A3667" w:rsidRDefault="006A3667">
            <w:pPr>
              <w:rPr>
                <w:rFonts w:ascii="宋体"/>
                <w:vanish/>
              </w:rPr>
            </w:pPr>
          </w:p>
        </w:tc>
        <w:tc>
          <w:tcPr>
            <w:tcW w:w="0" w:type="auto"/>
            <w:gridSpan w:val="3"/>
            <w:shd w:val="clear" w:color="auto" w:fill="auto"/>
            <w:vAlign w:val="bottom"/>
          </w:tcPr>
          <w:p w14:paraId="71D4259D" w14:textId="77777777" w:rsidR="006A3667" w:rsidRDefault="006A3667">
            <w:pPr>
              <w:rPr>
                <w:rFonts w:ascii="宋体"/>
                <w:vanish/>
              </w:rPr>
            </w:pPr>
          </w:p>
        </w:tc>
        <w:tc>
          <w:tcPr>
            <w:tcW w:w="0" w:type="auto"/>
            <w:gridSpan w:val="3"/>
            <w:shd w:val="clear" w:color="auto" w:fill="auto"/>
            <w:vAlign w:val="bottom"/>
          </w:tcPr>
          <w:p w14:paraId="71D4259E" w14:textId="77777777" w:rsidR="006A3667" w:rsidRDefault="006A3667">
            <w:pPr>
              <w:rPr>
                <w:rFonts w:ascii="宋体"/>
                <w:vanish/>
              </w:rPr>
            </w:pPr>
          </w:p>
        </w:tc>
        <w:tc>
          <w:tcPr>
            <w:tcW w:w="0" w:type="auto"/>
            <w:gridSpan w:val="3"/>
            <w:shd w:val="clear" w:color="auto" w:fill="auto"/>
            <w:vAlign w:val="bottom"/>
          </w:tcPr>
          <w:p w14:paraId="71D4259F" w14:textId="77777777" w:rsidR="006A3667" w:rsidRDefault="006A3667">
            <w:pPr>
              <w:rPr>
                <w:rFonts w:ascii="宋体"/>
                <w:vanish/>
              </w:rPr>
            </w:pPr>
          </w:p>
        </w:tc>
        <w:tc>
          <w:tcPr>
            <w:tcW w:w="0" w:type="auto"/>
            <w:gridSpan w:val="3"/>
            <w:shd w:val="clear" w:color="auto" w:fill="auto"/>
            <w:vAlign w:val="bottom"/>
          </w:tcPr>
          <w:p w14:paraId="71D425A0" w14:textId="77777777" w:rsidR="006A3667" w:rsidRDefault="006A3667">
            <w:pPr>
              <w:rPr>
                <w:rFonts w:ascii="宋体"/>
                <w:vanish/>
              </w:rPr>
            </w:pPr>
          </w:p>
        </w:tc>
        <w:tc>
          <w:tcPr>
            <w:tcW w:w="0" w:type="auto"/>
            <w:gridSpan w:val="3"/>
            <w:shd w:val="clear" w:color="auto" w:fill="auto"/>
            <w:vAlign w:val="bottom"/>
          </w:tcPr>
          <w:p w14:paraId="71D425A1" w14:textId="77777777" w:rsidR="006A3667" w:rsidRDefault="006A3667">
            <w:pPr>
              <w:rPr>
                <w:rFonts w:ascii="宋体"/>
                <w:vanish/>
              </w:rPr>
            </w:pPr>
          </w:p>
        </w:tc>
        <w:tc>
          <w:tcPr>
            <w:tcW w:w="0" w:type="auto"/>
            <w:gridSpan w:val="3"/>
            <w:shd w:val="clear" w:color="auto" w:fill="auto"/>
            <w:vAlign w:val="bottom"/>
          </w:tcPr>
          <w:p w14:paraId="71D425A2" w14:textId="77777777" w:rsidR="006A3667" w:rsidRDefault="006A3667">
            <w:pPr>
              <w:rPr>
                <w:rFonts w:ascii="宋体"/>
                <w:vanish/>
              </w:rPr>
            </w:pPr>
          </w:p>
        </w:tc>
        <w:tc>
          <w:tcPr>
            <w:tcW w:w="0" w:type="auto"/>
            <w:gridSpan w:val="3"/>
            <w:shd w:val="clear" w:color="auto" w:fill="auto"/>
            <w:vAlign w:val="bottom"/>
          </w:tcPr>
          <w:p w14:paraId="71D425A3" w14:textId="77777777" w:rsidR="006A3667" w:rsidRDefault="006A3667">
            <w:pPr>
              <w:rPr>
                <w:rFonts w:ascii="宋体"/>
                <w:vanish/>
              </w:rPr>
            </w:pPr>
          </w:p>
        </w:tc>
        <w:tc>
          <w:tcPr>
            <w:tcW w:w="0" w:type="auto"/>
            <w:gridSpan w:val="3"/>
            <w:shd w:val="clear" w:color="auto" w:fill="auto"/>
            <w:vAlign w:val="bottom"/>
          </w:tcPr>
          <w:p w14:paraId="71D425A4" w14:textId="77777777" w:rsidR="006A3667" w:rsidRDefault="006A3667">
            <w:pPr>
              <w:rPr>
                <w:rFonts w:ascii="宋体"/>
                <w:vanish/>
              </w:rPr>
            </w:pPr>
          </w:p>
        </w:tc>
        <w:tc>
          <w:tcPr>
            <w:tcW w:w="0" w:type="auto"/>
            <w:gridSpan w:val="3"/>
            <w:shd w:val="clear" w:color="auto" w:fill="auto"/>
            <w:vAlign w:val="bottom"/>
          </w:tcPr>
          <w:p w14:paraId="71D425A5" w14:textId="77777777" w:rsidR="006A3667" w:rsidRDefault="006A3667">
            <w:pPr>
              <w:rPr>
                <w:rFonts w:ascii="宋体"/>
                <w:vanish/>
              </w:rPr>
            </w:pPr>
          </w:p>
        </w:tc>
        <w:tc>
          <w:tcPr>
            <w:tcW w:w="0" w:type="auto"/>
            <w:gridSpan w:val="3"/>
            <w:shd w:val="clear" w:color="auto" w:fill="auto"/>
            <w:vAlign w:val="bottom"/>
          </w:tcPr>
          <w:p w14:paraId="71D425A6" w14:textId="77777777" w:rsidR="006A3667" w:rsidRDefault="006A3667">
            <w:pPr>
              <w:rPr>
                <w:rFonts w:ascii="宋体"/>
                <w:vanish/>
              </w:rPr>
            </w:pPr>
          </w:p>
        </w:tc>
      </w:tr>
      <w:tr w:rsidR="006A3667" w14:paraId="71D425BA" w14:textId="77777777">
        <w:trPr>
          <w:jc w:val="center"/>
          <w:hidden/>
        </w:trPr>
        <w:tc>
          <w:tcPr>
            <w:tcW w:w="0" w:type="auto"/>
            <w:gridSpan w:val="3"/>
            <w:shd w:val="clear" w:color="auto" w:fill="auto"/>
            <w:vAlign w:val="bottom"/>
          </w:tcPr>
          <w:p w14:paraId="71D425A8" w14:textId="77777777" w:rsidR="006A3667" w:rsidRDefault="006A3667">
            <w:pPr>
              <w:rPr>
                <w:rFonts w:ascii="宋体"/>
                <w:vanish/>
              </w:rPr>
            </w:pPr>
          </w:p>
        </w:tc>
        <w:tc>
          <w:tcPr>
            <w:tcW w:w="0" w:type="auto"/>
            <w:gridSpan w:val="3"/>
            <w:shd w:val="clear" w:color="auto" w:fill="auto"/>
            <w:vAlign w:val="bottom"/>
          </w:tcPr>
          <w:p w14:paraId="71D425A9" w14:textId="77777777" w:rsidR="006A3667" w:rsidRDefault="006A3667">
            <w:pPr>
              <w:rPr>
                <w:rFonts w:ascii="宋体"/>
                <w:vanish/>
              </w:rPr>
            </w:pPr>
          </w:p>
        </w:tc>
        <w:tc>
          <w:tcPr>
            <w:tcW w:w="0" w:type="auto"/>
            <w:gridSpan w:val="3"/>
            <w:shd w:val="clear" w:color="auto" w:fill="auto"/>
            <w:vAlign w:val="bottom"/>
          </w:tcPr>
          <w:p w14:paraId="71D425AA" w14:textId="77777777" w:rsidR="006A3667" w:rsidRDefault="006A3667">
            <w:pPr>
              <w:rPr>
                <w:rFonts w:ascii="宋体"/>
                <w:vanish/>
              </w:rPr>
            </w:pPr>
          </w:p>
        </w:tc>
        <w:tc>
          <w:tcPr>
            <w:tcW w:w="0" w:type="auto"/>
            <w:gridSpan w:val="3"/>
            <w:shd w:val="clear" w:color="auto" w:fill="auto"/>
            <w:vAlign w:val="bottom"/>
          </w:tcPr>
          <w:p w14:paraId="71D425AB" w14:textId="77777777" w:rsidR="006A3667" w:rsidRDefault="006A3667">
            <w:pPr>
              <w:rPr>
                <w:rFonts w:ascii="宋体"/>
                <w:vanish/>
              </w:rPr>
            </w:pPr>
          </w:p>
        </w:tc>
        <w:tc>
          <w:tcPr>
            <w:tcW w:w="0" w:type="auto"/>
            <w:gridSpan w:val="3"/>
            <w:shd w:val="clear" w:color="auto" w:fill="auto"/>
            <w:vAlign w:val="bottom"/>
          </w:tcPr>
          <w:p w14:paraId="71D425AC" w14:textId="77777777" w:rsidR="006A3667" w:rsidRDefault="006A3667">
            <w:pPr>
              <w:rPr>
                <w:rFonts w:ascii="宋体"/>
                <w:vanish/>
              </w:rPr>
            </w:pPr>
          </w:p>
        </w:tc>
        <w:tc>
          <w:tcPr>
            <w:tcW w:w="0" w:type="auto"/>
            <w:gridSpan w:val="3"/>
            <w:shd w:val="clear" w:color="auto" w:fill="auto"/>
            <w:vAlign w:val="bottom"/>
          </w:tcPr>
          <w:p w14:paraId="71D425AD" w14:textId="77777777" w:rsidR="006A3667" w:rsidRDefault="006A3667">
            <w:pPr>
              <w:rPr>
                <w:rFonts w:ascii="宋体"/>
                <w:vanish/>
              </w:rPr>
            </w:pPr>
          </w:p>
        </w:tc>
        <w:tc>
          <w:tcPr>
            <w:tcW w:w="0" w:type="auto"/>
            <w:gridSpan w:val="3"/>
            <w:shd w:val="clear" w:color="auto" w:fill="auto"/>
            <w:vAlign w:val="bottom"/>
          </w:tcPr>
          <w:p w14:paraId="71D425AE" w14:textId="77777777" w:rsidR="006A3667" w:rsidRDefault="006A3667">
            <w:pPr>
              <w:rPr>
                <w:rFonts w:ascii="宋体"/>
                <w:vanish/>
              </w:rPr>
            </w:pPr>
          </w:p>
        </w:tc>
        <w:tc>
          <w:tcPr>
            <w:tcW w:w="0" w:type="auto"/>
            <w:gridSpan w:val="3"/>
            <w:shd w:val="clear" w:color="auto" w:fill="auto"/>
            <w:vAlign w:val="bottom"/>
          </w:tcPr>
          <w:p w14:paraId="71D425AF" w14:textId="77777777" w:rsidR="006A3667" w:rsidRDefault="006A3667">
            <w:pPr>
              <w:rPr>
                <w:rFonts w:ascii="宋体"/>
                <w:vanish/>
              </w:rPr>
            </w:pPr>
          </w:p>
        </w:tc>
        <w:tc>
          <w:tcPr>
            <w:tcW w:w="0" w:type="auto"/>
            <w:gridSpan w:val="3"/>
            <w:shd w:val="clear" w:color="auto" w:fill="auto"/>
            <w:vAlign w:val="bottom"/>
          </w:tcPr>
          <w:p w14:paraId="71D425B0" w14:textId="77777777" w:rsidR="006A3667" w:rsidRDefault="006A3667">
            <w:pPr>
              <w:rPr>
                <w:rFonts w:ascii="宋体"/>
                <w:vanish/>
              </w:rPr>
            </w:pPr>
          </w:p>
        </w:tc>
        <w:tc>
          <w:tcPr>
            <w:tcW w:w="0" w:type="auto"/>
            <w:gridSpan w:val="3"/>
            <w:shd w:val="clear" w:color="auto" w:fill="auto"/>
            <w:vAlign w:val="bottom"/>
          </w:tcPr>
          <w:p w14:paraId="71D425B1" w14:textId="77777777" w:rsidR="006A3667" w:rsidRDefault="006A3667">
            <w:pPr>
              <w:rPr>
                <w:rFonts w:ascii="宋体"/>
                <w:vanish/>
              </w:rPr>
            </w:pPr>
          </w:p>
        </w:tc>
        <w:tc>
          <w:tcPr>
            <w:tcW w:w="0" w:type="auto"/>
            <w:gridSpan w:val="3"/>
            <w:shd w:val="clear" w:color="auto" w:fill="auto"/>
            <w:vAlign w:val="bottom"/>
          </w:tcPr>
          <w:p w14:paraId="71D425B2" w14:textId="77777777" w:rsidR="006A3667" w:rsidRDefault="006A3667">
            <w:pPr>
              <w:rPr>
                <w:rFonts w:ascii="宋体"/>
                <w:vanish/>
              </w:rPr>
            </w:pPr>
          </w:p>
        </w:tc>
        <w:tc>
          <w:tcPr>
            <w:tcW w:w="0" w:type="auto"/>
            <w:gridSpan w:val="3"/>
            <w:shd w:val="clear" w:color="auto" w:fill="auto"/>
            <w:vAlign w:val="bottom"/>
          </w:tcPr>
          <w:p w14:paraId="71D425B3" w14:textId="77777777" w:rsidR="006A3667" w:rsidRDefault="006A3667">
            <w:pPr>
              <w:rPr>
                <w:rFonts w:ascii="宋体"/>
                <w:vanish/>
              </w:rPr>
            </w:pPr>
          </w:p>
        </w:tc>
        <w:tc>
          <w:tcPr>
            <w:tcW w:w="0" w:type="auto"/>
            <w:gridSpan w:val="3"/>
            <w:shd w:val="clear" w:color="auto" w:fill="auto"/>
            <w:vAlign w:val="bottom"/>
          </w:tcPr>
          <w:p w14:paraId="71D425B4" w14:textId="77777777" w:rsidR="006A3667" w:rsidRDefault="006A3667">
            <w:pPr>
              <w:rPr>
                <w:rFonts w:ascii="宋体"/>
                <w:vanish/>
              </w:rPr>
            </w:pPr>
          </w:p>
        </w:tc>
        <w:tc>
          <w:tcPr>
            <w:tcW w:w="0" w:type="auto"/>
            <w:gridSpan w:val="3"/>
            <w:shd w:val="clear" w:color="auto" w:fill="auto"/>
            <w:vAlign w:val="bottom"/>
          </w:tcPr>
          <w:p w14:paraId="71D425B5" w14:textId="77777777" w:rsidR="006A3667" w:rsidRDefault="006A3667">
            <w:pPr>
              <w:rPr>
                <w:rFonts w:ascii="宋体"/>
                <w:vanish/>
              </w:rPr>
            </w:pPr>
          </w:p>
        </w:tc>
        <w:tc>
          <w:tcPr>
            <w:tcW w:w="0" w:type="auto"/>
            <w:gridSpan w:val="3"/>
            <w:shd w:val="clear" w:color="auto" w:fill="auto"/>
            <w:vAlign w:val="bottom"/>
          </w:tcPr>
          <w:p w14:paraId="71D425B6" w14:textId="77777777" w:rsidR="006A3667" w:rsidRDefault="006A3667">
            <w:pPr>
              <w:rPr>
                <w:rFonts w:ascii="宋体"/>
                <w:vanish/>
              </w:rPr>
            </w:pPr>
          </w:p>
        </w:tc>
        <w:tc>
          <w:tcPr>
            <w:tcW w:w="0" w:type="auto"/>
            <w:gridSpan w:val="3"/>
            <w:shd w:val="clear" w:color="auto" w:fill="auto"/>
            <w:vAlign w:val="bottom"/>
          </w:tcPr>
          <w:p w14:paraId="71D425B7" w14:textId="77777777" w:rsidR="006A3667" w:rsidRDefault="006A3667">
            <w:pPr>
              <w:rPr>
                <w:rFonts w:ascii="宋体"/>
                <w:vanish/>
              </w:rPr>
            </w:pPr>
          </w:p>
        </w:tc>
        <w:tc>
          <w:tcPr>
            <w:tcW w:w="0" w:type="auto"/>
            <w:gridSpan w:val="3"/>
            <w:shd w:val="clear" w:color="auto" w:fill="auto"/>
            <w:vAlign w:val="bottom"/>
          </w:tcPr>
          <w:p w14:paraId="71D425B8" w14:textId="77777777" w:rsidR="006A3667" w:rsidRDefault="006A3667">
            <w:pPr>
              <w:rPr>
                <w:rFonts w:ascii="宋体"/>
                <w:vanish/>
              </w:rPr>
            </w:pPr>
          </w:p>
        </w:tc>
        <w:tc>
          <w:tcPr>
            <w:tcW w:w="0" w:type="auto"/>
            <w:gridSpan w:val="3"/>
            <w:shd w:val="clear" w:color="auto" w:fill="auto"/>
            <w:vAlign w:val="bottom"/>
          </w:tcPr>
          <w:p w14:paraId="71D425B9" w14:textId="77777777" w:rsidR="006A3667" w:rsidRDefault="006A3667">
            <w:pPr>
              <w:rPr>
                <w:rFonts w:ascii="宋体"/>
                <w:vanish/>
              </w:rPr>
            </w:pPr>
          </w:p>
        </w:tc>
      </w:tr>
      <w:tr w:rsidR="006A3667" w14:paraId="71D425CD" w14:textId="77777777">
        <w:trPr>
          <w:jc w:val="center"/>
          <w:hidden/>
        </w:trPr>
        <w:tc>
          <w:tcPr>
            <w:tcW w:w="0" w:type="auto"/>
            <w:gridSpan w:val="3"/>
            <w:shd w:val="clear" w:color="auto" w:fill="auto"/>
            <w:vAlign w:val="bottom"/>
          </w:tcPr>
          <w:p w14:paraId="71D425BB" w14:textId="77777777" w:rsidR="006A3667" w:rsidRDefault="006A3667">
            <w:pPr>
              <w:rPr>
                <w:rFonts w:ascii="宋体"/>
                <w:vanish/>
              </w:rPr>
            </w:pPr>
          </w:p>
        </w:tc>
        <w:tc>
          <w:tcPr>
            <w:tcW w:w="0" w:type="auto"/>
            <w:gridSpan w:val="3"/>
            <w:shd w:val="clear" w:color="auto" w:fill="auto"/>
            <w:vAlign w:val="bottom"/>
          </w:tcPr>
          <w:p w14:paraId="71D425BC" w14:textId="77777777" w:rsidR="006A3667" w:rsidRDefault="006A3667">
            <w:pPr>
              <w:rPr>
                <w:rFonts w:ascii="宋体"/>
                <w:vanish/>
              </w:rPr>
            </w:pPr>
          </w:p>
        </w:tc>
        <w:tc>
          <w:tcPr>
            <w:tcW w:w="0" w:type="auto"/>
            <w:gridSpan w:val="3"/>
            <w:shd w:val="clear" w:color="auto" w:fill="auto"/>
            <w:vAlign w:val="bottom"/>
          </w:tcPr>
          <w:p w14:paraId="71D425BD" w14:textId="77777777" w:rsidR="006A3667" w:rsidRDefault="006A3667">
            <w:pPr>
              <w:rPr>
                <w:rFonts w:ascii="宋体"/>
                <w:vanish/>
              </w:rPr>
            </w:pPr>
          </w:p>
        </w:tc>
        <w:tc>
          <w:tcPr>
            <w:tcW w:w="0" w:type="auto"/>
            <w:gridSpan w:val="3"/>
            <w:shd w:val="clear" w:color="auto" w:fill="auto"/>
            <w:vAlign w:val="bottom"/>
          </w:tcPr>
          <w:p w14:paraId="71D425BE" w14:textId="77777777" w:rsidR="006A3667" w:rsidRDefault="006A3667">
            <w:pPr>
              <w:rPr>
                <w:rFonts w:ascii="宋体"/>
                <w:vanish/>
              </w:rPr>
            </w:pPr>
          </w:p>
        </w:tc>
        <w:tc>
          <w:tcPr>
            <w:tcW w:w="0" w:type="auto"/>
            <w:gridSpan w:val="3"/>
            <w:shd w:val="clear" w:color="auto" w:fill="auto"/>
            <w:vAlign w:val="bottom"/>
          </w:tcPr>
          <w:p w14:paraId="71D425BF" w14:textId="77777777" w:rsidR="006A3667" w:rsidRDefault="006A3667">
            <w:pPr>
              <w:rPr>
                <w:rFonts w:ascii="宋体"/>
                <w:vanish/>
              </w:rPr>
            </w:pPr>
          </w:p>
        </w:tc>
        <w:tc>
          <w:tcPr>
            <w:tcW w:w="0" w:type="auto"/>
            <w:gridSpan w:val="3"/>
            <w:shd w:val="clear" w:color="auto" w:fill="auto"/>
            <w:vAlign w:val="bottom"/>
          </w:tcPr>
          <w:p w14:paraId="71D425C0" w14:textId="77777777" w:rsidR="006A3667" w:rsidRDefault="006A3667">
            <w:pPr>
              <w:rPr>
                <w:rFonts w:ascii="宋体"/>
                <w:vanish/>
              </w:rPr>
            </w:pPr>
          </w:p>
        </w:tc>
        <w:tc>
          <w:tcPr>
            <w:tcW w:w="0" w:type="auto"/>
            <w:gridSpan w:val="3"/>
            <w:shd w:val="clear" w:color="auto" w:fill="auto"/>
            <w:vAlign w:val="bottom"/>
          </w:tcPr>
          <w:p w14:paraId="71D425C1" w14:textId="77777777" w:rsidR="006A3667" w:rsidRDefault="006A3667">
            <w:pPr>
              <w:rPr>
                <w:rFonts w:ascii="宋体"/>
                <w:vanish/>
              </w:rPr>
            </w:pPr>
          </w:p>
        </w:tc>
        <w:tc>
          <w:tcPr>
            <w:tcW w:w="0" w:type="auto"/>
            <w:gridSpan w:val="3"/>
            <w:shd w:val="clear" w:color="auto" w:fill="auto"/>
            <w:vAlign w:val="bottom"/>
          </w:tcPr>
          <w:p w14:paraId="71D425C2" w14:textId="77777777" w:rsidR="006A3667" w:rsidRDefault="006A3667">
            <w:pPr>
              <w:rPr>
                <w:rFonts w:ascii="宋体"/>
                <w:vanish/>
              </w:rPr>
            </w:pPr>
          </w:p>
        </w:tc>
        <w:tc>
          <w:tcPr>
            <w:tcW w:w="0" w:type="auto"/>
            <w:gridSpan w:val="3"/>
            <w:shd w:val="clear" w:color="auto" w:fill="auto"/>
            <w:vAlign w:val="bottom"/>
          </w:tcPr>
          <w:p w14:paraId="71D425C3" w14:textId="77777777" w:rsidR="006A3667" w:rsidRDefault="006A3667">
            <w:pPr>
              <w:rPr>
                <w:rFonts w:ascii="宋体"/>
                <w:vanish/>
              </w:rPr>
            </w:pPr>
          </w:p>
        </w:tc>
        <w:tc>
          <w:tcPr>
            <w:tcW w:w="0" w:type="auto"/>
            <w:gridSpan w:val="3"/>
            <w:shd w:val="clear" w:color="auto" w:fill="auto"/>
            <w:vAlign w:val="bottom"/>
          </w:tcPr>
          <w:p w14:paraId="71D425C4" w14:textId="77777777" w:rsidR="006A3667" w:rsidRDefault="006A3667">
            <w:pPr>
              <w:rPr>
                <w:rFonts w:ascii="宋体"/>
                <w:vanish/>
              </w:rPr>
            </w:pPr>
          </w:p>
        </w:tc>
        <w:tc>
          <w:tcPr>
            <w:tcW w:w="0" w:type="auto"/>
            <w:gridSpan w:val="3"/>
            <w:shd w:val="clear" w:color="auto" w:fill="auto"/>
            <w:vAlign w:val="bottom"/>
          </w:tcPr>
          <w:p w14:paraId="71D425C5" w14:textId="77777777" w:rsidR="006A3667" w:rsidRDefault="006A3667">
            <w:pPr>
              <w:rPr>
                <w:rFonts w:ascii="宋体"/>
                <w:vanish/>
              </w:rPr>
            </w:pPr>
          </w:p>
        </w:tc>
        <w:tc>
          <w:tcPr>
            <w:tcW w:w="0" w:type="auto"/>
            <w:gridSpan w:val="3"/>
            <w:shd w:val="clear" w:color="auto" w:fill="auto"/>
            <w:vAlign w:val="bottom"/>
          </w:tcPr>
          <w:p w14:paraId="71D425C6" w14:textId="77777777" w:rsidR="006A3667" w:rsidRDefault="006A3667">
            <w:pPr>
              <w:rPr>
                <w:rFonts w:ascii="宋体"/>
                <w:vanish/>
              </w:rPr>
            </w:pPr>
          </w:p>
        </w:tc>
        <w:tc>
          <w:tcPr>
            <w:tcW w:w="0" w:type="auto"/>
            <w:gridSpan w:val="3"/>
            <w:shd w:val="clear" w:color="auto" w:fill="auto"/>
            <w:vAlign w:val="bottom"/>
          </w:tcPr>
          <w:p w14:paraId="71D425C7" w14:textId="77777777" w:rsidR="006A3667" w:rsidRDefault="006A3667">
            <w:pPr>
              <w:rPr>
                <w:rFonts w:ascii="宋体"/>
                <w:vanish/>
              </w:rPr>
            </w:pPr>
          </w:p>
        </w:tc>
        <w:tc>
          <w:tcPr>
            <w:tcW w:w="0" w:type="auto"/>
            <w:gridSpan w:val="3"/>
            <w:shd w:val="clear" w:color="auto" w:fill="auto"/>
            <w:vAlign w:val="bottom"/>
          </w:tcPr>
          <w:p w14:paraId="71D425C8" w14:textId="77777777" w:rsidR="006A3667" w:rsidRDefault="006A3667">
            <w:pPr>
              <w:rPr>
                <w:rFonts w:ascii="宋体"/>
                <w:vanish/>
              </w:rPr>
            </w:pPr>
          </w:p>
        </w:tc>
        <w:tc>
          <w:tcPr>
            <w:tcW w:w="0" w:type="auto"/>
            <w:gridSpan w:val="3"/>
            <w:shd w:val="clear" w:color="auto" w:fill="auto"/>
            <w:vAlign w:val="bottom"/>
          </w:tcPr>
          <w:p w14:paraId="71D425C9" w14:textId="77777777" w:rsidR="006A3667" w:rsidRDefault="006A3667">
            <w:pPr>
              <w:rPr>
                <w:rFonts w:ascii="宋体"/>
                <w:vanish/>
              </w:rPr>
            </w:pPr>
          </w:p>
        </w:tc>
        <w:tc>
          <w:tcPr>
            <w:tcW w:w="0" w:type="auto"/>
            <w:gridSpan w:val="3"/>
            <w:shd w:val="clear" w:color="auto" w:fill="auto"/>
            <w:vAlign w:val="bottom"/>
          </w:tcPr>
          <w:p w14:paraId="71D425CA" w14:textId="77777777" w:rsidR="006A3667" w:rsidRDefault="006A3667">
            <w:pPr>
              <w:rPr>
                <w:rFonts w:ascii="宋体"/>
                <w:vanish/>
              </w:rPr>
            </w:pPr>
          </w:p>
        </w:tc>
        <w:tc>
          <w:tcPr>
            <w:tcW w:w="0" w:type="auto"/>
            <w:gridSpan w:val="3"/>
            <w:shd w:val="clear" w:color="auto" w:fill="auto"/>
            <w:vAlign w:val="bottom"/>
          </w:tcPr>
          <w:p w14:paraId="71D425CB" w14:textId="77777777" w:rsidR="006A3667" w:rsidRDefault="006A3667">
            <w:pPr>
              <w:rPr>
                <w:rFonts w:ascii="宋体"/>
                <w:vanish/>
              </w:rPr>
            </w:pPr>
          </w:p>
        </w:tc>
        <w:tc>
          <w:tcPr>
            <w:tcW w:w="0" w:type="auto"/>
            <w:gridSpan w:val="3"/>
            <w:shd w:val="clear" w:color="auto" w:fill="auto"/>
            <w:vAlign w:val="bottom"/>
          </w:tcPr>
          <w:p w14:paraId="71D425CC" w14:textId="77777777" w:rsidR="006A3667" w:rsidRDefault="006A3667">
            <w:pPr>
              <w:rPr>
                <w:rFonts w:ascii="宋体"/>
                <w:vanish/>
              </w:rPr>
            </w:pPr>
          </w:p>
        </w:tc>
      </w:tr>
      <w:tr w:rsidR="006A3667" w14:paraId="71D425E0" w14:textId="77777777">
        <w:trPr>
          <w:jc w:val="center"/>
          <w:hidden/>
        </w:trPr>
        <w:tc>
          <w:tcPr>
            <w:tcW w:w="0" w:type="auto"/>
            <w:gridSpan w:val="3"/>
            <w:shd w:val="clear" w:color="auto" w:fill="auto"/>
            <w:vAlign w:val="bottom"/>
          </w:tcPr>
          <w:p w14:paraId="71D425CE" w14:textId="77777777" w:rsidR="006A3667" w:rsidRDefault="006A3667">
            <w:pPr>
              <w:rPr>
                <w:rFonts w:ascii="宋体"/>
                <w:vanish/>
              </w:rPr>
            </w:pPr>
          </w:p>
        </w:tc>
        <w:tc>
          <w:tcPr>
            <w:tcW w:w="0" w:type="auto"/>
            <w:gridSpan w:val="3"/>
            <w:shd w:val="clear" w:color="auto" w:fill="auto"/>
            <w:vAlign w:val="bottom"/>
          </w:tcPr>
          <w:p w14:paraId="71D425CF" w14:textId="77777777" w:rsidR="006A3667" w:rsidRDefault="006A3667">
            <w:pPr>
              <w:rPr>
                <w:rFonts w:ascii="宋体"/>
                <w:vanish/>
              </w:rPr>
            </w:pPr>
          </w:p>
        </w:tc>
        <w:tc>
          <w:tcPr>
            <w:tcW w:w="0" w:type="auto"/>
            <w:gridSpan w:val="3"/>
            <w:shd w:val="clear" w:color="auto" w:fill="auto"/>
            <w:vAlign w:val="bottom"/>
          </w:tcPr>
          <w:p w14:paraId="71D425D0" w14:textId="77777777" w:rsidR="006A3667" w:rsidRDefault="006A3667">
            <w:pPr>
              <w:rPr>
                <w:rFonts w:ascii="宋体"/>
                <w:vanish/>
              </w:rPr>
            </w:pPr>
          </w:p>
        </w:tc>
        <w:tc>
          <w:tcPr>
            <w:tcW w:w="0" w:type="auto"/>
            <w:gridSpan w:val="3"/>
            <w:shd w:val="clear" w:color="auto" w:fill="auto"/>
            <w:vAlign w:val="bottom"/>
          </w:tcPr>
          <w:p w14:paraId="71D425D1" w14:textId="77777777" w:rsidR="006A3667" w:rsidRDefault="006A3667">
            <w:pPr>
              <w:rPr>
                <w:rFonts w:ascii="宋体"/>
                <w:vanish/>
              </w:rPr>
            </w:pPr>
          </w:p>
        </w:tc>
        <w:tc>
          <w:tcPr>
            <w:tcW w:w="0" w:type="auto"/>
            <w:gridSpan w:val="3"/>
            <w:shd w:val="clear" w:color="auto" w:fill="auto"/>
            <w:vAlign w:val="bottom"/>
          </w:tcPr>
          <w:p w14:paraId="71D425D2" w14:textId="77777777" w:rsidR="006A3667" w:rsidRDefault="006A3667">
            <w:pPr>
              <w:rPr>
                <w:rFonts w:ascii="宋体"/>
                <w:vanish/>
              </w:rPr>
            </w:pPr>
          </w:p>
        </w:tc>
        <w:tc>
          <w:tcPr>
            <w:tcW w:w="0" w:type="auto"/>
            <w:gridSpan w:val="3"/>
            <w:shd w:val="clear" w:color="auto" w:fill="auto"/>
            <w:vAlign w:val="bottom"/>
          </w:tcPr>
          <w:p w14:paraId="71D425D3" w14:textId="77777777" w:rsidR="006A3667" w:rsidRDefault="006A3667">
            <w:pPr>
              <w:rPr>
                <w:rFonts w:ascii="宋体"/>
                <w:vanish/>
              </w:rPr>
            </w:pPr>
          </w:p>
        </w:tc>
        <w:tc>
          <w:tcPr>
            <w:tcW w:w="0" w:type="auto"/>
            <w:gridSpan w:val="3"/>
            <w:shd w:val="clear" w:color="auto" w:fill="auto"/>
            <w:vAlign w:val="bottom"/>
          </w:tcPr>
          <w:p w14:paraId="71D425D4" w14:textId="77777777" w:rsidR="006A3667" w:rsidRDefault="006A3667">
            <w:pPr>
              <w:rPr>
                <w:rFonts w:ascii="宋体"/>
                <w:vanish/>
              </w:rPr>
            </w:pPr>
          </w:p>
        </w:tc>
        <w:tc>
          <w:tcPr>
            <w:tcW w:w="0" w:type="auto"/>
            <w:gridSpan w:val="3"/>
            <w:shd w:val="clear" w:color="auto" w:fill="auto"/>
            <w:vAlign w:val="bottom"/>
          </w:tcPr>
          <w:p w14:paraId="71D425D5" w14:textId="77777777" w:rsidR="006A3667" w:rsidRDefault="006A3667">
            <w:pPr>
              <w:rPr>
                <w:rFonts w:ascii="宋体"/>
                <w:vanish/>
              </w:rPr>
            </w:pPr>
          </w:p>
        </w:tc>
        <w:tc>
          <w:tcPr>
            <w:tcW w:w="0" w:type="auto"/>
            <w:gridSpan w:val="3"/>
            <w:shd w:val="clear" w:color="auto" w:fill="auto"/>
            <w:vAlign w:val="bottom"/>
          </w:tcPr>
          <w:p w14:paraId="71D425D6" w14:textId="77777777" w:rsidR="006A3667" w:rsidRDefault="006A3667">
            <w:pPr>
              <w:rPr>
                <w:rFonts w:ascii="宋体"/>
                <w:vanish/>
              </w:rPr>
            </w:pPr>
          </w:p>
        </w:tc>
        <w:tc>
          <w:tcPr>
            <w:tcW w:w="0" w:type="auto"/>
            <w:gridSpan w:val="3"/>
            <w:shd w:val="clear" w:color="auto" w:fill="auto"/>
            <w:vAlign w:val="bottom"/>
          </w:tcPr>
          <w:p w14:paraId="71D425D7" w14:textId="77777777" w:rsidR="006A3667" w:rsidRDefault="006A3667">
            <w:pPr>
              <w:rPr>
                <w:rFonts w:ascii="宋体"/>
                <w:vanish/>
              </w:rPr>
            </w:pPr>
          </w:p>
        </w:tc>
        <w:tc>
          <w:tcPr>
            <w:tcW w:w="0" w:type="auto"/>
            <w:gridSpan w:val="3"/>
            <w:shd w:val="clear" w:color="auto" w:fill="auto"/>
            <w:vAlign w:val="bottom"/>
          </w:tcPr>
          <w:p w14:paraId="71D425D8" w14:textId="77777777" w:rsidR="006A3667" w:rsidRDefault="006A3667">
            <w:pPr>
              <w:rPr>
                <w:rFonts w:ascii="宋体"/>
                <w:vanish/>
              </w:rPr>
            </w:pPr>
          </w:p>
        </w:tc>
        <w:tc>
          <w:tcPr>
            <w:tcW w:w="0" w:type="auto"/>
            <w:gridSpan w:val="3"/>
            <w:shd w:val="clear" w:color="auto" w:fill="auto"/>
            <w:vAlign w:val="bottom"/>
          </w:tcPr>
          <w:p w14:paraId="71D425D9" w14:textId="77777777" w:rsidR="006A3667" w:rsidRDefault="006A3667">
            <w:pPr>
              <w:rPr>
                <w:rFonts w:ascii="宋体"/>
                <w:vanish/>
              </w:rPr>
            </w:pPr>
          </w:p>
        </w:tc>
        <w:tc>
          <w:tcPr>
            <w:tcW w:w="0" w:type="auto"/>
            <w:gridSpan w:val="3"/>
            <w:shd w:val="clear" w:color="auto" w:fill="auto"/>
            <w:vAlign w:val="bottom"/>
          </w:tcPr>
          <w:p w14:paraId="71D425DA" w14:textId="77777777" w:rsidR="006A3667" w:rsidRDefault="006A3667">
            <w:pPr>
              <w:rPr>
                <w:rFonts w:ascii="宋体"/>
                <w:vanish/>
              </w:rPr>
            </w:pPr>
          </w:p>
        </w:tc>
        <w:tc>
          <w:tcPr>
            <w:tcW w:w="0" w:type="auto"/>
            <w:gridSpan w:val="3"/>
            <w:shd w:val="clear" w:color="auto" w:fill="auto"/>
            <w:vAlign w:val="bottom"/>
          </w:tcPr>
          <w:p w14:paraId="71D425DB" w14:textId="77777777" w:rsidR="006A3667" w:rsidRDefault="006A3667">
            <w:pPr>
              <w:rPr>
                <w:rFonts w:ascii="宋体"/>
                <w:vanish/>
              </w:rPr>
            </w:pPr>
          </w:p>
        </w:tc>
        <w:tc>
          <w:tcPr>
            <w:tcW w:w="0" w:type="auto"/>
            <w:gridSpan w:val="3"/>
            <w:shd w:val="clear" w:color="auto" w:fill="auto"/>
            <w:vAlign w:val="bottom"/>
          </w:tcPr>
          <w:p w14:paraId="71D425DC" w14:textId="77777777" w:rsidR="006A3667" w:rsidRDefault="006A3667">
            <w:pPr>
              <w:rPr>
                <w:rFonts w:ascii="宋体"/>
                <w:vanish/>
              </w:rPr>
            </w:pPr>
          </w:p>
        </w:tc>
        <w:tc>
          <w:tcPr>
            <w:tcW w:w="0" w:type="auto"/>
            <w:gridSpan w:val="3"/>
            <w:shd w:val="clear" w:color="auto" w:fill="auto"/>
            <w:vAlign w:val="bottom"/>
          </w:tcPr>
          <w:p w14:paraId="71D425DD" w14:textId="77777777" w:rsidR="006A3667" w:rsidRDefault="006A3667">
            <w:pPr>
              <w:rPr>
                <w:rFonts w:ascii="宋体"/>
                <w:vanish/>
              </w:rPr>
            </w:pPr>
          </w:p>
        </w:tc>
        <w:tc>
          <w:tcPr>
            <w:tcW w:w="0" w:type="auto"/>
            <w:gridSpan w:val="3"/>
            <w:shd w:val="clear" w:color="auto" w:fill="auto"/>
            <w:vAlign w:val="bottom"/>
          </w:tcPr>
          <w:p w14:paraId="71D425DE" w14:textId="77777777" w:rsidR="006A3667" w:rsidRDefault="006A3667">
            <w:pPr>
              <w:rPr>
                <w:rFonts w:ascii="宋体"/>
                <w:vanish/>
              </w:rPr>
            </w:pPr>
          </w:p>
        </w:tc>
        <w:tc>
          <w:tcPr>
            <w:tcW w:w="0" w:type="auto"/>
            <w:gridSpan w:val="3"/>
            <w:shd w:val="clear" w:color="auto" w:fill="auto"/>
            <w:vAlign w:val="bottom"/>
          </w:tcPr>
          <w:p w14:paraId="71D425DF" w14:textId="77777777" w:rsidR="006A3667" w:rsidRDefault="006A3667">
            <w:pPr>
              <w:rPr>
                <w:rFonts w:ascii="宋体"/>
                <w:vanish/>
              </w:rPr>
            </w:pPr>
          </w:p>
        </w:tc>
      </w:tr>
      <w:tr w:rsidR="006A3667" w14:paraId="71D425F3" w14:textId="77777777">
        <w:trPr>
          <w:jc w:val="center"/>
          <w:hidden/>
        </w:trPr>
        <w:tc>
          <w:tcPr>
            <w:tcW w:w="0" w:type="auto"/>
            <w:gridSpan w:val="3"/>
            <w:shd w:val="clear" w:color="auto" w:fill="auto"/>
            <w:vAlign w:val="bottom"/>
          </w:tcPr>
          <w:p w14:paraId="71D425E1" w14:textId="77777777" w:rsidR="006A3667" w:rsidRDefault="006A3667">
            <w:pPr>
              <w:rPr>
                <w:rFonts w:ascii="宋体"/>
                <w:vanish/>
              </w:rPr>
            </w:pPr>
          </w:p>
        </w:tc>
        <w:tc>
          <w:tcPr>
            <w:tcW w:w="0" w:type="auto"/>
            <w:gridSpan w:val="3"/>
            <w:shd w:val="clear" w:color="auto" w:fill="auto"/>
            <w:vAlign w:val="bottom"/>
          </w:tcPr>
          <w:p w14:paraId="71D425E2" w14:textId="77777777" w:rsidR="006A3667" w:rsidRDefault="006A3667">
            <w:pPr>
              <w:rPr>
                <w:rFonts w:ascii="宋体"/>
                <w:vanish/>
              </w:rPr>
            </w:pPr>
          </w:p>
        </w:tc>
        <w:tc>
          <w:tcPr>
            <w:tcW w:w="0" w:type="auto"/>
            <w:gridSpan w:val="3"/>
            <w:shd w:val="clear" w:color="auto" w:fill="auto"/>
            <w:vAlign w:val="bottom"/>
          </w:tcPr>
          <w:p w14:paraId="71D425E3" w14:textId="77777777" w:rsidR="006A3667" w:rsidRDefault="006A3667">
            <w:pPr>
              <w:rPr>
                <w:rFonts w:ascii="宋体"/>
                <w:vanish/>
              </w:rPr>
            </w:pPr>
          </w:p>
        </w:tc>
        <w:tc>
          <w:tcPr>
            <w:tcW w:w="0" w:type="auto"/>
            <w:gridSpan w:val="3"/>
            <w:shd w:val="clear" w:color="auto" w:fill="auto"/>
            <w:vAlign w:val="bottom"/>
          </w:tcPr>
          <w:p w14:paraId="71D425E4" w14:textId="77777777" w:rsidR="006A3667" w:rsidRDefault="006A3667">
            <w:pPr>
              <w:rPr>
                <w:rFonts w:ascii="宋体"/>
                <w:vanish/>
              </w:rPr>
            </w:pPr>
          </w:p>
        </w:tc>
        <w:tc>
          <w:tcPr>
            <w:tcW w:w="0" w:type="auto"/>
            <w:gridSpan w:val="3"/>
            <w:shd w:val="clear" w:color="auto" w:fill="auto"/>
            <w:vAlign w:val="bottom"/>
          </w:tcPr>
          <w:p w14:paraId="71D425E5" w14:textId="77777777" w:rsidR="006A3667" w:rsidRDefault="006A3667">
            <w:pPr>
              <w:rPr>
                <w:rFonts w:ascii="宋体"/>
                <w:vanish/>
              </w:rPr>
            </w:pPr>
          </w:p>
        </w:tc>
        <w:tc>
          <w:tcPr>
            <w:tcW w:w="0" w:type="auto"/>
            <w:gridSpan w:val="3"/>
            <w:shd w:val="clear" w:color="auto" w:fill="auto"/>
            <w:vAlign w:val="bottom"/>
          </w:tcPr>
          <w:p w14:paraId="71D425E6" w14:textId="77777777" w:rsidR="006A3667" w:rsidRDefault="006A3667">
            <w:pPr>
              <w:rPr>
                <w:rFonts w:ascii="宋体"/>
                <w:vanish/>
              </w:rPr>
            </w:pPr>
          </w:p>
        </w:tc>
        <w:tc>
          <w:tcPr>
            <w:tcW w:w="0" w:type="auto"/>
            <w:gridSpan w:val="3"/>
            <w:shd w:val="clear" w:color="auto" w:fill="auto"/>
            <w:vAlign w:val="bottom"/>
          </w:tcPr>
          <w:p w14:paraId="71D425E7" w14:textId="77777777" w:rsidR="006A3667" w:rsidRDefault="006A3667">
            <w:pPr>
              <w:rPr>
                <w:rFonts w:ascii="宋体"/>
                <w:vanish/>
              </w:rPr>
            </w:pPr>
          </w:p>
        </w:tc>
        <w:tc>
          <w:tcPr>
            <w:tcW w:w="0" w:type="auto"/>
            <w:gridSpan w:val="3"/>
            <w:shd w:val="clear" w:color="auto" w:fill="auto"/>
            <w:vAlign w:val="bottom"/>
          </w:tcPr>
          <w:p w14:paraId="71D425E8" w14:textId="77777777" w:rsidR="006A3667" w:rsidRDefault="006A3667">
            <w:pPr>
              <w:rPr>
                <w:rFonts w:ascii="宋体"/>
                <w:vanish/>
              </w:rPr>
            </w:pPr>
          </w:p>
        </w:tc>
        <w:tc>
          <w:tcPr>
            <w:tcW w:w="0" w:type="auto"/>
            <w:gridSpan w:val="3"/>
            <w:shd w:val="clear" w:color="auto" w:fill="auto"/>
            <w:vAlign w:val="bottom"/>
          </w:tcPr>
          <w:p w14:paraId="71D425E9" w14:textId="77777777" w:rsidR="006A3667" w:rsidRDefault="006A3667">
            <w:pPr>
              <w:rPr>
                <w:rFonts w:ascii="宋体"/>
                <w:vanish/>
              </w:rPr>
            </w:pPr>
          </w:p>
        </w:tc>
        <w:tc>
          <w:tcPr>
            <w:tcW w:w="0" w:type="auto"/>
            <w:gridSpan w:val="3"/>
            <w:shd w:val="clear" w:color="auto" w:fill="auto"/>
            <w:vAlign w:val="bottom"/>
          </w:tcPr>
          <w:p w14:paraId="71D425EA" w14:textId="77777777" w:rsidR="006A3667" w:rsidRDefault="006A3667">
            <w:pPr>
              <w:rPr>
                <w:rFonts w:ascii="宋体"/>
                <w:vanish/>
              </w:rPr>
            </w:pPr>
          </w:p>
        </w:tc>
        <w:tc>
          <w:tcPr>
            <w:tcW w:w="0" w:type="auto"/>
            <w:gridSpan w:val="3"/>
            <w:shd w:val="clear" w:color="auto" w:fill="auto"/>
            <w:vAlign w:val="bottom"/>
          </w:tcPr>
          <w:p w14:paraId="71D425EB" w14:textId="77777777" w:rsidR="006A3667" w:rsidRDefault="006A3667">
            <w:pPr>
              <w:rPr>
                <w:rFonts w:ascii="宋体"/>
                <w:vanish/>
              </w:rPr>
            </w:pPr>
          </w:p>
        </w:tc>
        <w:tc>
          <w:tcPr>
            <w:tcW w:w="0" w:type="auto"/>
            <w:gridSpan w:val="3"/>
            <w:shd w:val="clear" w:color="auto" w:fill="auto"/>
            <w:vAlign w:val="bottom"/>
          </w:tcPr>
          <w:p w14:paraId="71D425EC" w14:textId="77777777" w:rsidR="006A3667" w:rsidRDefault="006A3667">
            <w:pPr>
              <w:rPr>
                <w:rFonts w:ascii="宋体"/>
                <w:vanish/>
              </w:rPr>
            </w:pPr>
          </w:p>
        </w:tc>
        <w:tc>
          <w:tcPr>
            <w:tcW w:w="0" w:type="auto"/>
            <w:gridSpan w:val="3"/>
            <w:shd w:val="clear" w:color="auto" w:fill="auto"/>
            <w:vAlign w:val="bottom"/>
          </w:tcPr>
          <w:p w14:paraId="71D425ED" w14:textId="77777777" w:rsidR="006A3667" w:rsidRDefault="006A3667">
            <w:pPr>
              <w:rPr>
                <w:rFonts w:ascii="宋体"/>
                <w:vanish/>
              </w:rPr>
            </w:pPr>
          </w:p>
        </w:tc>
        <w:tc>
          <w:tcPr>
            <w:tcW w:w="0" w:type="auto"/>
            <w:gridSpan w:val="3"/>
            <w:shd w:val="clear" w:color="auto" w:fill="auto"/>
            <w:vAlign w:val="bottom"/>
          </w:tcPr>
          <w:p w14:paraId="71D425EE" w14:textId="77777777" w:rsidR="006A3667" w:rsidRDefault="006A3667">
            <w:pPr>
              <w:rPr>
                <w:rFonts w:ascii="宋体"/>
                <w:vanish/>
              </w:rPr>
            </w:pPr>
          </w:p>
        </w:tc>
        <w:tc>
          <w:tcPr>
            <w:tcW w:w="0" w:type="auto"/>
            <w:gridSpan w:val="3"/>
            <w:shd w:val="clear" w:color="auto" w:fill="auto"/>
            <w:vAlign w:val="bottom"/>
          </w:tcPr>
          <w:p w14:paraId="71D425EF" w14:textId="77777777" w:rsidR="006A3667" w:rsidRDefault="006A3667">
            <w:pPr>
              <w:rPr>
                <w:rFonts w:ascii="宋体"/>
                <w:vanish/>
              </w:rPr>
            </w:pPr>
          </w:p>
        </w:tc>
        <w:tc>
          <w:tcPr>
            <w:tcW w:w="0" w:type="auto"/>
            <w:gridSpan w:val="3"/>
            <w:shd w:val="clear" w:color="auto" w:fill="auto"/>
            <w:vAlign w:val="bottom"/>
          </w:tcPr>
          <w:p w14:paraId="71D425F0" w14:textId="77777777" w:rsidR="006A3667" w:rsidRDefault="006A3667">
            <w:pPr>
              <w:rPr>
                <w:rFonts w:ascii="宋体"/>
                <w:vanish/>
              </w:rPr>
            </w:pPr>
          </w:p>
        </w:tc>
        <w:tc>
          <w:tcPr>
            <w:tcW w:w="0" w:type="auto"/>
            <w:gridSpan w:val="3"/>
            <w:shd w:val="clear" w:color="auto" w:fill="auto"/>
            <w:vAlign w:val="bottom"/>
          </w:tcPr>
          <w:p w14:paraId="71D425F1" w14:textId="77777777" w:rsidR="006A3667" w:rsidRDefault="006A3667">
            <w:pPr>
              <w:rPr>
                <w:rFonts w:ascii="宋体"/>
                <w:vanish/>
              </w:rPr>
            </w:pPr>
          </w:p>
        </w:tc>
        <w:tc>
          <w:tcPr>
            <w:tcW w:w="0" w:type="auto"/>
            <w:gridSpan w:val="3"/>
            <w:shd w:val="clear" w:color="auto" w:fill="auto"/>
            <w:vAlign w:val="bottom"/>
          </w:tcPr>
          <w:p w14:paraId="71D425F2" w14:textId="77777777" w:rsidR="006A3667" w:rsidRDefault="006A3667">
            <w:pPr>
              <w:rPr>
                <w:rFonts w:ascii="宋体"/>
                <w:vanish/>
              </w:rPr>
            </w:pPr>
          </w:p>
        </w:tc>
      </w:tr>
      <w:tr w:rsidR="006A3667" w14:paraId="71D42606" w14:textId="77777777">
        <w:trPr>
          <w:jc w:val="center"/>
          <w:hidden/>
        </w:trPr>
        <w:tc>
          <w:tcPr>
            <w:tcW w:w="0" w:type="auto"/>
            <w:gridSpan w:val="3"/>
            <w:shd w:val="clear" w:color="auto" w:fill="auto"/>
            <w:vAlign w:val="bottom"/>
          </w:tcPr>
          <w:p w14:paraId="71D425F4" w14:textId="77777777" w:rsidR="006A3667" w:rsidRDefault="006A3667">
            <w:pPr>
              <w:rPr>
                <w:rFonts w:ascii="宋体"/>
                <w:vanish/>
              </w:rPr>
            </w:pPr>
          </w:p>
        </w:tc>
        <w:tc>
          <w:tcPr>
            <w:tcW w:w="0" w:type="auto"/>
            <w:gridSpan w:val="3"/>
            <w:shd w:val="clear" w:color="auto" w:fill="auto"/>
            <w:vAlign w:val="bottom"/>
          </w:tcPr>
          <w:p w14:paraId="71D425F5" w14:textId="77777777" w:rsidR="006A3667" w:rsidRDefault="006A3667">
            <w:pPr>
              <w:rPr>
                <w:rFonts w:ascii="宋体"/>
                <w:vanish/>
              </w:rPr>
            </w:pPr>
          </w:p>
        </w:tc>
        <w:tc>
          <w:tcPr>
            <w:tcW w:w="0" w:type="auto"/>
            <w:gridSpan w:val="3"/>
            <w:shd w:val="clear" w:color="auto" w:fill="auto"/>
            <w:vAlign w:val="bottom"/>
          </w:tcPr>
          <w:p w14:paraId="71D425F6" w14:textId="77777777" w:rsidR="006A3667" w:rsidRDefault="006A3667">
            <w:pPr>
              <w:rPr>
                <w:rFonts w:ascii="宋体"/>
                <w:vanish/>
              </w:rPr>
            </w:pPr>
          </w:p>
        </w:tc>
        <w:tc>
          <w:tcPr>
            <w:tcW w:w="0" w:type="auto"/>
            <w:gridSpan w:val="3"/>
            <w:shd w:val="clear" w:color="auto" w:fill="auto"/>
            <w:vAlign w:val="bottom"/>
          </w:tcPr>
          <w:p w14:paraId="71D425F7" w14:textId="77777777" w:rsidR="006A3667" w:rsidRDefault="006A3667">
            <w:pPr>
              <w:rPr>
                <w:rFonts w:ascii="宋体"/>
                <w:vanish/>
              </w:rPr>
            </w:pPr>
          </w:p>
        </w:tc>
        <w:tc>
          <w:tcPr>
            <w:tcW w:w="0" w:type="auto"/>
            <w:gridSpan w:val="3"/>
            <w:shd w:val="clear" w:color="auto" w:fill="auto"/>
            <w:vAlign w:val="bottom"/>
          </w:tcPr>
          <w:p w14:paraId="71D425F8" w14:textId="77777777" w:rsidR="006A3667" w:rsidRDefault="006A3667">
            <w:pPr>
              <w:rPr>
                <w:rFonts w:ascii="宋体"/>
                <w:vanish/>
              </w:rPr>
            </w:pPr>
          </w:p>
        </w:tc>
        <w:tc>
          <w:tcPr>
            <w:tcW w:w="0" w:type="auto"/>
            <w:gridSpan w:val="3"/>
            <w:shd w:val="clear" w:color="auto" w:fill="auto"/>
            <w:vAlign w:val="bottom"/>
          </w:tcPr>
          <w:p w14:paraId="71D425F9" w14:textId="77777777" w:rsidR="006A3667" w:rsidRDefault="006A3667">
            <w:pPr>
              <w:rPr>
                <w:rFonts w:ascii="宋体"/>
                <w:vanish/>
              </w:rPr>
            </w:pPr>
          </w:p>
        </w:tc>
        <w:tc>
          <w:tcPr>
            <w:tcW w:w="0" w:type="auto"/>
            <w:gridSpan w:val="3"/>
            <w:shd w:val="clear" w:color="auto" w:fill="auto"/>
            <w:vAlign w:val="bottom"/>
          </w:tcPr>
          <w:p w14:paraId="71D425FA" w14:textId="77777777" w:rsidR="006A3667" w:rsidRDefault="006A3667">
            <w:pPr>
              <w:rPr>
                <w:rFonts w:ascii="宋体"/>
                <w:vanish/>
              </w:rPr>
            </w:pPr>
          </w:p>
        </w:tc>
        <w:tc>
          <w:tcPr>
            <w:tcW w:w="0" w:type="auto"/>
            <w:gridSpan w:val="3"/>
            <w:shd w:val="clear" w:color="auto" w:fill="auto"/>
            <w:vAlign w:val="bottom"/>
          </w:tcPr>
          <w:p w14:paraId="71D425FB" w14:textId="77777777" w:rsidR="006A3667" w:rsidRDefault="006A3667">
            <w:pPr>
              <w:rPr>
                <w:rFonts w:ascii="宋体"/>
                <w:vanish/>
              </w:rPr>
            </w:pPr>
          </w:p>
        </w:tc>
        <w:tc>
          <w:tcPr>
            <w:tcW w:w="0" w:type="auto"/>
            <w:gridSpan w:val="3"/>
            <w:shd w:val="clear" w:color="auto" w:fill="auto"/>
            <w:vAlign w:val="bottom"/>
          </w:tcPr>
          <w:p w14:paraId="71D425FC" w14:textId="77777777" w:rsidR="006A3667" w:rsidRDefault="006A3667">
            <w:pPr>
              <w:rPr>
                <w:rFonts w:ascii="宋体"/>
                <w:vanish/>
              </w:rPr>
            </w:pPr>
          </w:p>
        </w:tc>
        <w:tc>
          <w:tcPr>
            <w:tcW w:w="0" w:type="auto"/>
            <w:gridSpan w:val="3"/>
            <w:shd w:val="clear" w:color="auto" w:fill="auto"/>
            <w:vAlign w:val="bottom"/>
          </w:tcPr>
          <w:p w14:paraId="71D425FD" w14:textId="77777777" w:rsidR="006A3667" w:rsidRDefault="006A3667">
            <w:pPr>
              <w:rPr>
                <w:rFonts w:ascii="宋体"/>
                <w:vanish/>
              </w:rPr>
            </w:pPr>
          </w:p>
        </w:tc>
        <w:tc>
          <w:tcPr>
            <w:tcW w:w="0" w:type="auto"/>
            <w:gridSpan w:val="3"/>
            <w:shd w:val="clear" w:color="auto" w:fill="auto"/>
            <w:vAlign w:val="bottom"/>
          </w:tcPr>
          <w:p w14:paraId="71D425FE" w14:textId="77777777" w:rsidR="006A3667" w:rsidRDefault="006A3667">
            <w:pPr>
              <w:rPr>
                <w:rFonts w:ascii="宋体"/>
                <w:vanish/>
              </w:rPr>
            </w:pPr>
          </w:p>
        </w:tc>
        <w:tc>
          <w:tcPr>
            <w:tcW w:w="0" w:type="auto"/>
            <w:gridSpan w:val="3"/>
            <w:shd w:val="clear" w:color="auto" w:fill="auto"/>
            <w:vAlign w:val="bottom"/>
          </w:tcPr>
          <w:p w14:paraId="71D425FF" w14:textId="77777777" w:rsidR="006A3667" w:rsidRDefault="006A3667">
            <w:pPr>
              <w:rPr>
                <w:rFonts w:ascii="宋体"/>
                <w:vanish/>
              </w:rPr>
            </w:pPr>
          </w:p>
        </w:tc>
        <w:tc>
          <w:tcPr>
            <w:tcW w:w="0" w:type="auto"/>
            <w:gridSpan w:val="3"/>
            <w:shd w:val="clear" w:color="auto" w:fill="auto"/>
            <w:vAlign w:val="bottom"/>
          </w:tcPr>
          <w:p w14:paraId="71D42600" w14:textId="77777777" w:rsidR="006A3667" w:rsidRDefault="006A3667">
            <w:pPr>
              <w:rPr>
                <w:rFonts w:ascii="宋体"/>
                <w:vanish/>
              </w:rPr>
            </w:pPr>
          </w:p>
        </w:tc>
        <w:tc>
          <w:tcPr>
            <w:tcW w:w="0" w:type="auto"/>
            <w:gridSpan w:val="3"/>
            <w:shd w:val="clear" w:color="auto" w:fill="auto"/>
            <w:vAlign w:val="bottom"/>
          </w:tcPr>
          <w:p w14:paraId="71D42601" w14:textId="77777777" w:rsidR="006A3667" w:rsidRDefault="006A3667">
            <w:pPr>
              <w:rPr>
                <w:rFonts w:ascii="宋体"/>
                <w:vanish/>
              </w:rPr>
            </w:pPr>
          </w:p>
        </w:tc>
        <w:tc>
          <w:tcPr>
            <w:tcW w:w="0" w:type="auto"/>
            <w:gridSpan w:val="3"/>
            <w:shd w:val="clear" w:color="auto" w:fill="auto"/>
            <w:vAlign w:val="bottom"/>
          </w:tcPr>
          <w:p w14:paraId="71D42602" w14:textId="77777777" w:rsidR="006A3667" w:rsidRDefault="006A3667">
            <w:pPr>
              <w:rPr>
                <w:rFonts w:ascii="宋体"/>
                <w:vanish/>
              </w:rPr>
            </w:pPr>
          </w:p>
        </w:tc>
        <w:tc>
          <w:tcPr>
            <w:tcW w:w="0" w:type="auto"/>
            <w:gridSpan w:val="3"/>
            <w:shd w:val="clear" w:color="auto" w:fill="auto"/>
            <w:vAlign w:val="bottom"/>
          </w:tcPr>
          <w:p w14:paraId="71D42603" w14:textId="77777777" w:rsidR="006A3667" w:rsidRDefault="006A3667">
            <w:pPr>
              <w:rPr>
                <w:rFonts w:ascii="宋体"/>
                <w:vanish/>
              </w:rPr>
            </w:pPr>
          </w:p>
        </w:tc>
        <w:tc>
          <w:tcPr>
            <w:tcW w:w="0" w:type="auto"/>
            <w:gridSpan w:val="3"/>
            <w:shd w:val="clear" w:color="auto" w:fill="auto"/>
            <w:vAlign w:val="bottom"/>
          </w:tcPr>
          <w:p w14:paraId="71D42604" w14:textId="77777777" w:rsidR="006A3667" w:rsidRDefault="006A3667">
            <w:pPr>
              <w:rPr>
                <w:rFonts w:ascii="宋体"/>
                <w:vanish/>
              </w:rPr>
            </w:pPr>
          </w:p>
        </w:tc>
        <w:tc>
          <w:tcPr>
            <w:tcW w:w="0" w:type="auto"/>
            <w:gridSpan w:val="3"/>
            <w:shd w:val="clear" w:color="auto" w:fill="auto"/>
            <w:vAlign w:val="bottom"/>
          </w:tcPr>
          <w:p w14:paraId="71D42605" w14:textId="77777777" w:rsidR="006A3667" w:rsidRDefault="006A3667">
            <w:pPr>
              <w:rPr>
                <w:rFonts w:ascii="宋体"/>
                <w:vanish/>
              </w:rPr>
            </w:pPr>
          </w:p>
        </w:tc>
      </w:tr>
      <w:tr w:rsidR="006A3667" w14:paraId="71D42619" w14:textId="77777777">
        <w:trPr>
          <w:jc w:val="center"/>
          <w:hidden/>
        </w:trPr>
        <w:tc>
          <w:tcPr>
            <w:tcW w:w="0" w:type="auto"/>
            <w:gridSpan w:val="3"/>
            <w:shd w:val="clear" w:color="auto" w:fill="auto"/>
            <w:vAlign w:val="bottom"/>
          </w:tcPr>
          <w:p w14:paraId="71D42607" w14:textId="77777777" w:rsidR="006A3667" w:rsidRDefault="006A3667">
            <w:pPr>
              <w:rPr>
                <w:rFonts w:ascii="宋体"/>
                <w:vanish/>
              </w:rPr>
            </w:pPr>
          </w:p>
        </w:tc>
        <w:tc>
          <w:tcPr>
            <w:tcW w:w="0" w:type="auto"/>
            <w:gridSpan w:val="3"/>
            <w:shd w:val="clear" w:color="auto" w:fill="auto"/>
            <w:vAlign w:val="bottom"/>
          </w:tcPr>
          <w:p w14:paraId="71D42608" w14:textId="77777777" w:rsidR="006A3667" w:rsidRDefault="006A3667">
            <w:pPr>
              <w:rPr>
                <w:rFonts w:ascii="宋体"/>
                <w:vanish/>
              </w:rPr>
            </w:pPr>
          </w:p>
        </w:tc>
        <w:tc>
          <w:tcPr>
            <w:tcW w:w="0" w:type="auto"/>
            <w:gridSpan w:val="3"/>
            <w:shd w:val="clear" w:color="auto" w:fill="auto"/>
            <w:vAlign w:val="bottom"/>
          </w:tcPr>
          <w:p w14:paraId="71D42609" w14:textId="77777777" w:rsidR="006A3667" w:rsidRDefault="006A3667">
            <w:pPr>
              <w:rPr>
                <w:rFonts w:ascii="宋体"/>
                <w:vanish/>
              </w:rPr>
            </w:pPr>
          </w:p>
        </w:tc>
        <w:tc>
          <w:tcPr>
            <w:tcW w:w="0" w:type="auto"/>
            <w:gridSpan w:val="3"/>
            <w:shd w:val="clear" w:color="auto" w:fill="auto"/>
            <w:vAlign w:val="bottom"/>
          </w:tcPr>
          <w:p w14:paraId="71D4260A" w14:textId="77777777" w:rsidR="006A3667" w:rsidRDefault="006A3667">
            <w:pPr>
              <w:rPr>
                <w:rFonts w:ascii="宋体"/>
                <w:vanish/>
              </w:rPr>
            </w:pPr>
          </w:p>
        </w:tc>
        <w:tc>
          <w:tcPr>
            <w:tcW w:w="0" w:type="auto"/>
            <w:gridSpan w:val="3"/>
            <w:shd w:val="clear" w:color="auto" w:fill="auto"/>
            <w:vAlign w:val="bottom"/>
          </w:tcPr>
          <w:p w14:paraId="71D4260B" w14:textId="77777777" w:rsidR="006A3667" w:rsidRDefault="006A3667">
            <w:pPr>
              <w:rPr>
                <w:rFonts w:ascii="宋体"/>
                <w:vanish/>
              </w:rPr>
            </w:pPr>
          </w:p>
        </w:tc>
        <w:tc>
          <w:tcPr>
            <w:tcW w:w="0" w:type="auto"/>
            <w:gridSpan w:val="3"/>
            <w:shd w:val="clear" w:color="auto" w:fill="auto"/>
            <w:vAlign w:val="bottom"/>
          </w:tcPr>
          <w:p w14:paraId="71D4260C" w14:textId="77777777" w:rsidR="006A3667" w:rsidRDefault="006A3667">
            <w:pPr>
              <w:rPr>
                <w:rFonts w:ascii="宋体"/>
                <w:vanish/>
              </w:rPr>
            </w:pPr>
          </w:p>
        </w:tc>
        <w:tc>
          <w:tcPr>
            <w:tcW w:w="0" w:type="auto"/>
            <w:gridSpan w:val="3"/>
            <w:shd w:val="clear" w:color="auto" w:fill="auto"/>
            <w:vAlign w:val="bottom"/>
          </w:tcPr>
          <w:p w14:paraId="71D4260D" w14:textId="77777777" w:rsidR="006A3667" w:rsidRDefault="006A3667">
            <w:pPr>
              <w:rPr>
                <w:rFonts w:ascii="宋体"/>
                <w:vanish/>
              </w:rPr>
            </w:pPr>
          </w:p>
        </w:tc>
        <w:tc>
          <w:tcPr>
            <w:tcW w:w="0" w:type="auto"/>
            <w:gridSpan w:val="3"/>
            <w:shd w:val="clear" w:color="auto" w:fill="auto"/>
            <w:vAlign w:val="bottom"/>
          </w:tcPr>
          <w:p w14:paraId="71D4260E" w14:textId="77777777" w:rsidR="006A3667" w:rsidRDefault="006A3667">
            <w:pPr>
              <w:rPr>
                <w:rFonts w:ascii="宋体"/>
                <w:vanish/>
              </w:rPr>
            </w:pPr>
          </w:p>
        </w:tc>
        <w:tc>
          <w:tcPr>
            <w:tcW w:w="0" w:type="auto"/>
            <w:gridSpan w:val="3"/>
            <w:shd w:val="clear" w:color="auto" w:fill="auto"/>
            <w:vAlign w:val="bottom"/>
          </w:tcPr>
          <w:p w14:paraId="71D4260F" w14:textId="77777777" w:rsidR="006A3667" w:rsidRDefault="006A3667">
            <w:pPr>
              <w:rPr>
                <w:rFonts w:ascii="宋体"/>
                <w:vanish/>
              </w:rPr>
            </w:pPr>
          </w:p>
        </w:tc>
        <w:tc>
          <w:tcPr>
            <w:tcW w:w="0" w:type="auto"/>
            <w:gridSpan w:val="3"/>
            <w:shd w:val="clear" w:color="auto" w:fill="auto"/>
            <w:vAlign w:val="bottom"/>
          </w:tcPr>
          <w:p w14:paraId="71D42610" w14:textId="77777777" w:rsidR="006A3667" w:rsidRDefault="006A3667">
            <w:pPr>
              <w:rPr>
                <w:rFonts w:ascii="宋体"/>
                <w:vanish/>
              </w:rPr>
            </w:pPr>
          </w:p>
        </w:tc>
        <w:tc>
          <w:tcPr>
            <w:tcW w:w="0" w:type="auto"/>
            <w:gridSpan w:val="3"/>
            <w:shd w:val="clear" w:color="auto" w:fill="auto"/>
            <w:vAlign w:val="bottom"/>
          </w:tcPr>
          <w:p w14:paraId="71D42611" w14:textId="77777777" w:rsidR="006A3667" w:rsidRDefault="006A3667">
            <w:pPr>
              <w:rPr>
                <w:rFonts w:ascii="宋体"/>
                <w:vanish/>
              </w:rPr>
            </w:pPr>
          </w:p>
        </w:tc>
        <w:tc>
          <w:tcPr>
            <w:tcW w:w="0" w:type="auto"/>
            <w:gridSpan w:val="3"/>
            <w:shd w:val="clear" w:color="auto" w:fill="auto"/>
            <w:vAlign w:val="bottom"/>
          </w:tcPr>
          <w:p w14:paraId="71D42612" w14:textId="77777777" w:rsidR="006A3667" w:rsidRDefault="006A3667">
            <w:pPr>
              <w:rPr>
                <w:rFonts w:ascii="宋体"/>
                <w:vanish/>
              </w:rPr>
            </w:pPr>
          </w:p>
        </w:tc>
        <w:tc>
          <w:tcPr>
            <w:tcW w:w="0" w:type="auto"/>
            <w:gridSpan w:val="3"/>
            <w:shd w:val="clear" w:color="auto" w:fill="auto"/>
            <w:vAlign w:val="bottom"/>
          </w:tcPr>
          <w:p w14:paraId="71D42613" w14:textId="77777777" w:rsidR="006A3667" w:rsidRDefault="006A3667">
            <w:pPr>
              <w:rPr>
                <w:rFonts w:ascii="宋体"/>
                <w:vanish/>
              </w:rPr>
            </w:pPr>
          </w:p>
        </w:tc>
        <w:tc>
          <w:tcPr>
            <w:tcW w:w="0" w:type="auto"/>
            <w:gridSpan w:val="3"/>
            <w:shd w:val="clear" w:color="auto" w:fill="auto"/>
            <w:vAlign w:val="bottom"/>
          </w:tcPr>
          <w:p w14:paraId="71D42614" w14:textId="77777777" w:rsidR="006A3667" w:rsidRDefault="006A3667">
            <w:pPr>
              <w:rPr>
                <w:rFonts w:ascii="宋体"/>
                <w:vanish/>
              </w:rPr>
            </w:pPr>
          </w:p>
        </w:tc>
        <w:tc>
          <w:tcPr>
            <w:tcW w:w="0" w:type="auto"/>
            <w:gridSpan w:val="3"/>
            <w:shd w:val="clear" w:color="auto" w:fill="auto"/>
            <w:vAlign w:val="bottom"/>
          </w:tcPr>
          <w:p w14:paraId="71D42615" w14:textId="77777777" w:rsidR="006A3667" w:rsidRDefault="006A3667">
            <w:pPr>
              <w:rPr>
                <w:rFonts w:ascii="宋体"/>
                <w:vanish/>
              </w:rPr>
            </w:pPr>
          </w:p>
        </w:tc>
        <w:tc>
          <w:tcPr>
            <w:tcW w:w="0" w:type="auto"/>
            <w:gridSpan w:val="3"/>
            <w:shd w:val="clear" w:color="auto" w:fill="auto"/>
            <w:vAlign w:val="bottom"/>
          </w:tcPr>
          <w:p w14:paraId="71D42616" w14:textId="77777777" w:rsidR="006A3667" w:rsidRDefault="006A3667">
            <w:pPr>
              <w:rPr>
                <w:rFonts w:ascii="宋体"/>
                <w:vanish/>
              </w:rPr>
            </w:pPr>
          </w:p>
        </w:tc>
        <w:tc>
          <w:tcPr>
            <w:tcW w:w="0" w:type="auto"/>
            <w:gridSpan w:val="3"/>
            <w:shd w:val="clear" w:color="auto" w:fill="auto"/>
            <w:vAlign w:val="bottom"/>
          </w:tcPr>
          <w:p w14:paraId="71D42617" w14:textId="77777777" w:rsidR="006A3667" w:rsidRDefault="006A3667">
            <w:pPr>
              <w:rPr>
                <w:rFonts w:ascii="宋体"/>
                <w:vanish/>
              </w:rPr>
            </w:pPr>
          </w:p>
        </w:tc>
        <w:tc>
          <w:tcPr>
            <w:tcW w:w="0" w:type="auto"/>
            <w:gridSpan w:val="3"/>
            <w:shd w:val="clear" w:color="auto" w:fill="auto"/>
            <w:vAlign w:val="bottom"/>
          </w:tcPr>
          <w:p w14:paraId="71D42618" w14:textId="77777777" w:rsidR="006A3667" w:rsidRDefault="006A3667">
            <w:pPr>
              <w:rPr>
                <w:rFonts w:ascii="宋体"/>
                <w:vanish/>
              </w:rPr>
            </w:pPr>
          </w:p>
        </w:tc>
      </w:tr>
      <w:tr w:rsidR="006A3667" w14:paraId="71D4262C" w14:textId="77777777">
        <w:trPr>
          <w:jc w:val="center"/>
          <w:hidden/>
        </w:trPr>
        <w:tc>
          <w:tcPr>
            <w:tcW w:w="0" w:type="auto"/>
            <w:gridSpan w:val="3"/>
            <w:shd w:val="clear" w:color="auto" w:fill="auto"/>
            <w:vAlign w:val="bottom"/>
          </w:tcPr>
          <w:p w14:paraId="71D4261A" w14:textId="77777777" w:rsidR="006A3667" w:rsidRDefault="006A3667">
            <w:pPr>
              <w:rPr>
                <w:rFonts w:ascii="宋体"/>
                <w:vanish/>
              </w:rPr>
            </w:pPr>
          </w:p>
        </w:tc>
        <w:tc>
          <w:tcPr>
            <w:tcW w:w="0" w:type="auto"/>
            <w:gridSpan w:val="3"/>
            <w:shd w:val="clear" w:color="auto" w:fill="auto"/>
            <w:vAlign w:val="bottom"/>
          </w:tcPr>
          <w:p w14:paraId="71D4261B" w14:textId="77777777" w:rsidR="006A3667" w:rsidRDefault="006A3667">
            <w:pPr>
              <w:rPr>
                <w:rFonts w:ascii="宋体"/>
                <w:vanish/>
              </w:rPr>
            </w:pPr>
          </w:p>
        </w:tc>
        <w:tc>
          <w:tcPr>
            <w:tcW w:w="0" w:type="auto"/>
            <w:gridSpan w:val="3"/>
            <w:shd w:val="clear" w:color="auto" w:fill="auto"/>
            <w:vAlign w:val="bottom"/>
          </w:tcPr>
          <w:p w14:paraId="71D4261C" w14:textId="77777777" w:rsidR="006A3667" w:rsidRDefault="006A3667">
            <w:pPr>
              <w:rPr>
                <w:rFonts w:ascii="宋体"/>
                <w:vanish/>
              </w:rPr>
            </w:pPr>
          </w:p>
        </w:tc>
        <w:tc>
          <w:tcPr>
            <w:tcW w:w="0" w:type="auto"/>
            <w:gridSpan w:val="3"/>
            <w:shd w:val="clear" w:color="auto" w:fill="auto"/>
            <w:vAlign w:val="bottom"/>
          </w:tcPr>
          <w:p w14:paraId="71D4261D" w14:textId="77777777" w:rsidR="006A3667" w:rsidRDefault="006A3667">
            <w:pPr>
              <w:rPr>
                <w:rFonts w:ascii="宋体"/>
                <w:vanish/>
              </w:rPr>
            </w:pPr>
          </w:p>
        </w:tc>
        <w:tc>
          <w:tcPr>
            <w:tcW w:w="0" w:type="auto"/>
            <w:gridSpan w:val="3"/>
            <w:shd w:val="clear" w:color="auto" w:fill="auto"/>
            <w:vAlign w:val="bottom"/>
          </w:tcPr>
          <w:p w14:paraId="71D4261E" w14:textId="77777777" w:rsidR="006A3667" w:rsidRDefault="006A3667">
            <w:pPr>
              <w:rPr>
                <w:rFonts w:ascii="宋体"/>
                <w:vanish/>
              </w:rPr>
            </w:pPr>
          </w:p>
        </w:tc>
        <w:tc>
          <w:tcPr>
            <w:tcW w:w="0" w:type="auto"/>
            <w:gridSpan w:val="3"/>
            <w:shd w:val="clear" w:color="auto" w:fill="auto"/>
            <w:vAlign w:val="bottom"/>
          </w:tcPr>
          <w:p w14:paraId="71D4261F" w14:textId="77777777" w:rsidR="006A3667" w:rsidRDefault="006A3667">
            <w:pPr>
              <w:rPr>
                <w:rFonts w:ascii="宋体"/>
                <w:vanish/>
              </w:rPr>
            </w:pPr>
          </w:p>
        </w:tc>
        <w:tc>
          <w:tcPr>
            <w:tcW w:w="0" w:type="auto"/>
            <w:gridSpan w:val="3"/>
            <w:shd w:val="clear" w:color="auto" w:fill="auto"/>
            <w:vAlign w:val="bottom"/>
          </w:tcPr>
          <w:p w14:paraId="71D42620" w14:textId="77777777" w:rsidR="006A3667" w:rsidRDefault="006A3667">
            <w:pPr>
              <w:rPr>
                <w:rFonts w:ascii="宋体"/>
                <w:vanish/>
              </w:rPr>
            </w:pPr>
          </w:p>
        </w:tc>
        <w:tc>
          <w:tcPr>
            <w:tcW w:w="0" w:type="auto"/>
            <w:gridSpan w:val="3"/>
            <w:shd w:val="clear" w:color="auto" w:fill="auto"/>
            <w:vAlign w:val="bottom"/>
          </w:tcPr>
          <w:p w14:paraId="71D42621" w14:textId="77777777" w:rsidR="006A3667" w:rsidRDefault="006A3667">
            <w:pPr>
              <w:rPr>
                <w:rFonts w:ascii="宋体"/>
                <w:vanish/>
              </w:rPr>
            </w:pPr>
          </w:p>
        </w:tc>
        <w:tc>
          <w:tcPr>
            <w:tcW w:w="0" w:type="auto"/>
            <w:gridSpan w:val="3"/>
            <w:shd w:val="clear" w:color="auto" w:fill="auto"/>
            <w:vAlign w:val="bottom"/>
          </w:tcPr>
          <w:p w14:paraId="71D42622" w14:textId="77777777" w:rsidR="006A3667" w:rsidRDefault="006A3667">
            <w:pPr>
              <w:rPr>
                <w:rFonts w:ascii="宋体"/>
                <w:vanish/>
              </w:rPr>
            </w:pPr>
          </w:p>
        </w:tc>
        <w:tc>
          <w:tcPr>
            <w:tcW w:w="0" w:type="auto"/>
            <w:gridSpan w:val="3"/>
            <w:shd w:val="clear" w:color="auto" w:fill="auto"/>
            <w:vAlign w:val="bottom"/>
          </w:tcPr>
          <w:p w14:paraId="71D42623" w14:textId="77777777" w:rsidR="006A3667" w:rsidRDefault="006A3667">
            <w:pPr>
              <w:rPr>
                <w:rFonts w:ascii="宋体"/>
                <w:vanish/>
              </w:rPr>
            </w:pPr>
          </w:p>
        </w:tc>
        <w:tc>
          <w:tcPr>
            <w:tcW w:w="0" w:type="auto"/>
            <w:gridSpan w:val="3"/>
            <w:shd w:val="clear" w:color="auto" w:fill="auto"/>
            <w:vAlign w:val="bottom"/>
          </w:tcPr>
          <w:p w14:paraId="71D42624" w14:textId="77777777" w:rsidR="006A3667" w:rsidRDefault="006A3667">
            <w:pPr>
              <w:rPr>
                <w:rFonts w:ascii="宋体"/>
                <w:vanish/>
              </w:rPr>
            </w:pPr>
          </w:p>
        </w:tc>
        <w:tc>
          <w:tcPr>
            <w:tcW w:w="0" w:type="auto"/>
            <w:gridSpan w:val="3"/>
            <w:shd w:val="clear" w:color="auto" w:fill="auto"/>
            <w:vAlign w:val="bottom"/>
          </w:tcPr>
          <w:p w14:paraId="71D42625" w14:textId="77777777" w:rsidR="006A3667" w:rsidRDefault="006A3667">
            <w:pPr>
              <w:rPr>
                <w:rFonts w:ascii="宋体"/>
                <w:vanish/>
              </w:rPr>
            </w:pPr>
          </w:p>
        </w:tc>
        <w:tc>
          <w:tcPr>
            <w:tcW w:w="0" w:type="auto"/>
            <w:gridSpan w:val="3"/>
            <w:shd w:val="clear" w:color="auto" w:fill="auto"/>
            <w:vAlign w:val="bottom"/>
          </w:tcPr>
          <w:p w14:paraId="71D42626" w14:textId="77777777" w:rsidR="006A3667" w:rsidRDefault="006A3667">
            <w:pPr>
              <w:rPr>
                <w:rFonts w:ascii="宋体"/>
                <w:vanish/>
              </w:rPr>
            </w:pPr>
          </w:p>
        </w:tc>
        <w:tc>
          <w:tcPr>
            <w:tcW w:w="0" w:type="auto"/>
            <w:gridSpan w:val="3"/>
            <w:shd w:val="clear" w:color="auto" w:fill="auto"/>
            <w:vAlign w:val="bottom"/>
          </w:tcPr>
          <w:p w14:paraId="71D42627" w14:textId="77777777" w:rsidR="006A3667" w:rsidRDefault="006A3667">
            <w:pPr>
              <w:rPr>
                <w:rFonts w:ascii="宋体"/>
                <w:vanish/>
              </w:rPr>
            </w:pPr>
          </w:p>
        </w:tc>
        <w:tc>
          <w:tcPr>
            <w:tcW w:w="0" w:type="auto"/>
            <w:gridSpan w:val="3"/>
            <w:shd w:val="clear" w:color="auto" w:fill="auto"/>
            <w:vAlign w:val="bottom"/>
          </w:tcPr>
          <w:p w14:paraId="71D42628" w14:textId="77777777" w:rsidR="006A3667" w:rsidRDefault="006A3667">
            <w:pPr>
              <w:rPr>
                <w:rFonts w:ascii="宋体"/>
                <w:vanish/>
              </w:rPr>
            </w:pPr>
          </w:p>
        </w:tc>
        <w:tc>
          <w:tcPr>
            <w:tcW w:w="0" w:type="auto"/>
            <w:gridSpan w:val="3"/>
            <w:shd w:val="clear" w:color="auto" w:fill="auto"/>
            <w:vAlign w:val="bottom"/>
          </w:tcPr>
          <w:p w14:paraId="71D42629" w14:textId="77777777" w:rsidR="006A3667" w:rsidRDefault="006A3667">
            <w:pPr>
              <w:rPr>
                <w:rFonts w:ascii="宋体"/>
                <w:vanish/>
              </w:rPr>
            </w:pPr>
          </w:p>
        </w:tc>
        <w:tc>
          <w:tcPr>
            <w:tcW w:w="0" w:type="auto"/>
            <w:gridSpan w:val="3"/>
            <w:shd w:val="clear" w:color="auto" w:fill="auto"/>
            <w:vAlign w:val="bottom"/>
          </w:tcPr>
          <w:p w14:paraId="71D4262A" w14:textId="77777777" w:rsidR="006A3667" w:rsidRDefault="006A3667">
            <w:pPr>
              <w:rPr>
                <w:rFonts w:ascii="宋体"/>
                <w:vanish/>
              </w:rPr>
            </w:pPr>
          </w:p>
        </w:tc>
        <w:tc>
          <w:tcPr>
            <w:tcW w:w="0" w:type="auto"/>
            <w:gridSpan w:val="3"/>
            <w:shd w:val="clear" w:color="auto" w:fill="auto"/>
            <w:vAlign w:val="bottom"/>
          </w:tcPr>
          <w:p w14:paraId="71D4262B" w14:textId="77777777" w:rsidR="006A3667" w:rsidRDefault="006A3667">
            <w:pPr>
              <w:rPr>
                <w:rFonts w:ascii="宋体"/>
                <w:vanish/>
              </w:rPr>
            </w:pPr>
          </w:p>
        </w:tc>
      </w:tr>
      <w:tr w:rsidR="006A3667" w14:paraId="71D4263F" w14:textId="77777777">
        <w:trPr>
          <w:jc w:val="center"/>
          <w:hidden/>
        </w:trPr>
        <w:tc>
          <w:tcPr>
            <w:tcW w:w="0" w:type="auto"/>
            <w:gridSpan w:val="3"/>
            <w:shd w:val="clear" w:color="auto" w:fill="auto"/>
            <w:vAlign w:val="bottom"/>
          </w:tcPr>
          <w:p w14:paraId="71D4262D" w14:textId="77777777" w:rsidR="006A3667" w:rsidRDefault="006A3667">
            <w:pPr>
              <w:rPr>
                <w:rFonts w:ascii="宋体"/>
                <w:vanish/>
              </w:rPr>
            </w:pPr>
          </w:p>
        </w:tc>
        <w:tc>
          <w:tcPr>
            <w:tcW w:w="0" w:type="auto"/>
            <w:gridSpan w:val="3"/>
            <w:shd w:val="clear" w:color="auto" w:fill="auto"/>
            <w:vAlign w:val="bottom"/>
          </w:tcPr>
          <w:p w14:paraId="71D4262E" w14:textId="77777777" w:rsidR="006A3667" w:rsidRDefault="006A3667">
            <w:pPr>
              <w:rPr>
                <w:rFonts w:ascii="宋体"/>
                <w:vanish/>
              </w:rPr>
            </w:pPr>
          </w:p>
        </w:tc>
        <w:tc>
          <w:tcPr>
            <w:tcW w:w="0" w:type="auto"/>
            <w:gridSpan w:val="3"/>
            <w:shd w:val="clear" w:color="auto" w:fill="auto"/>
            <w:vAlign w:val="bottom"/>
          </w:tcPr>
          <w:p w14:paraId="71D4262F" w14:textId="77777777" w:rsidR="006A3667" w:rsidRDefault="006A3667">
            <w:pPr>
              <w:rPr>
                <w:rFonts w:ascii="宋体"/>
                <w:vanish/>
              </w:rPr>
            </w:pPr>
          </w:p>
        </w:tc>
        <w:tc>
          <w:tcPr>
            <w:tcW w:w="0" w:type="auto"/>
            <w:gridSpan w:val="3"/>
            <w:shd w:val="clear" w:color="auto" w:fill="auto"/>
            <w:vAlign w:val="bottom"/>
          </w:tcPr>
          <w:p w14:paraId="71D42630" w14:textId="77777777" w:rsidR="006A3667" w:rsidRDefault="006A3667">
            <w:pPr>
              <w:rPr>
                <w:rFonts w:ascii="宋体"/>
                <w:vanish/>
              </w:rPr>
            </w:pPr>
          </w:p>
        </w:tc>
        <w:tc>
          <w:tcPr>
            <w:tcW w:w="0" w:type="auto"/>
            <w:gridSpan w:val="3"/>
            <w:shd w:val="clear" w:color="auto" w:fill="auto"/>
            <w:vAlign w:val="bottom"/>
          </w:tcPr>
          <w:p w14:paraId="71D42631" w14:textId="77777777" w:rsidR="006A3667" w:rsidRDefault="006A3667">
            <w:pPr>
              <w:rPr>
                <w:rFonts w:ascii="宋体"/>
                <w:vanish/>
              </w:rPr>
            </w:pPr>
          </w:p>
        </w:tc>
        <w:tc>
          <w:tcPr>
            <w:tcW w:w="0" w:type="auto"/>
            <w:gridSpan w:val="3"/>
            <w:shd w:val="clear" w:color="auto" w:fill="auto"/>
            <w:vAlign w:val="bottom"/>
          </w:tcPr>
          <w:p w14:paraId="71D42632" w14:textId="77777777" w:rsidR="006A3667" w:rsidRDefault="006A3667">
            <w:pPr>
              <w:rPr>
                <w:rFonts w:ascii="宋体"/>
                <w:vanish/>
              </w:rPr>
            </w:pPr>
          </w:p>
        </w:tc>
        <w:tc>
          <w:tcPr>
            <w:tcW w:w="0" w:type="auto"/>
            <w:gridSpan w:val="3"/>
            <w:shd w:val="clear" w:color="auto" w:fill="auto"/>
            <w:vAlign w:val="bottom"/>
          </w:tcPr>
          <w:p w14:paraId="71D42633" w14:textId="77777777" w:rsidR="006A3667" w:rsidRDefault="006A3667">
            <w:pPr>
              <w:rPr>
                <w:rFonts w:ascii="宋体"/>
                <w:vanish/>
              </w:rPr>
            </w:pPr>
          </w:p>
        </w:tc>
        <w:tc>
          <w:tcPr>
            <w:tcW w:w="0" w:type="auto"/>
            <w:gridSpan w:val="3"/>
            <w:shd w:val="clear" w:color="auto" w:fill="auto"/>
            <w:vAlign w:val="bottom"/>
          </w:tcPr>
          <w:p w14:paraId="71D42634" w14:textId="77777777" w:rsidR="006A3667" w:rsidRDefault="006A3667">
            <w:pPr>
              <w:rPr>
                <w:rFonts w:ascii="宋体"/>
                <w:vanish/>
              </w:rPr>
            </w:pPr>
          </w:p>
        </w:tc>
        <w:tc>
          <w:tcPr>
            <w:tcW w:w="0" w:type="auto"/>
            <w:gridSpan w:val="3"/>
            <w:shd w:val="clear" w:color="auto" w:fill="auto"/>
            <w:vAlign w:val="bottom"/>
          </w:tcPr>
          <w:p w14:paraId="71D42635" w14:textId="77777777" w:rsidR="006A3667" w:rsidRDefault="006A3667">
            <w:pPr>
              <w:rPr>
                <w:rFonts w:ascii="宋体"/>
                <w:vanish/>
              </w:rPr>
            </w:pPr>
          </w:p>
        </w:tc>
        <w:tc>
          <w:tcPr>
            <w:tcW w:w="0" w:type="auto"/>
            <w:gridSpan w:val="3"/>
            <w:shd w:val="clear" w:color="auto" w:fill="auto"/>
            <w:vAlign w:val="bottom"/>
          </w:tcPr>
          <w:p w14:paraId="71D42636" w14:textId="77777777" w:rsidR="006A3667" w:rsidRDefault="006A3667">
            <w:pPr>
              <w:rPr>
                <w:rFonts w:ascii="宋体"/>
                <w:vanish/>
              </w:rPr>
            </w:pPr>
          </w:p>
        </w:tc>
        <w:tc>
          <w:tcPr>
            <w:tcW w:w="0" w:type="auto"/>
            <w:gridSpan w:val="3"/>
            <w:shd w:val="clear" w:color="auto" w:fill="auto"/>
            <w:vAlign w:val="bottom"/>
          </w:tcPr>
          <w:p w14:paraId="71D42637" w14:textId="77777777" w:rsidR="006A3667" w:rsidRDefault="006A3667">
            <w:pPr>
              <w:rPr>
                <w:rFonts w:ascii="宋体"/>
                <w:vanish/>
              </w:rPr>
            </w:pPr>
          </w:p>
        </w:tc>
        <w:tc>
          <w:tcPr>
            <w:tcW w:w="0" w:type="auto"/>
            <w:gridSpan w:val="3"/>
            <w:shd w:val="clear" w:color="auto" w:fill="auto"/>
            <w:vAlign w:val="bottom"/>
          </w:tcPr>
          <w:p w14:paraId="71D42638" w14:textId="77777777" w:rsidR="006A3667" w:rsidRDefault="006A3667">
            <w:pPr>
              <w:rPr>
                <w:rFonts w:ascii="宋体"/>
                <w:vanish/>
              </w:rPr>
            </w:pPr>
          </w:p>
        </w:tc>
        <w:tc>
          <w:tcPr>
            <w:tcW w:w="0" w:type="auto"/>
            <w:gridSpan w:val="3"/>
            <w:shd w:val="clear" w:color="auto" w:fill="auto"/>
            <w:vAlign w:val="bottom"/>
          </w:tcPr>
          <w:p w14:paraId="71D42639" w14:textId="77777777" w:rsidR="006A3667" w:rsidRDefault="006A3667">
            <w:pPr>
              <w:rPr>
                <w:rFonts w:ascii="宋体"/>
                <w:vanish/>
              </w:rPr>
            </w:pPr>
          </w:p>
        </w:tc>
        <w:tc>
          <w:tcPr>
            <w:tcW w:w="0" w:type="auto"/>
            <w:gridSpan w:val="3"/>
            <w:shd w:val="clear" w:color="auto" w:fill="auto"/>
            <w:vAlign w:val="bottom"/>
          </w:tcPr>
          <w:p w14:paraId="71D4263A" w14:textId="77777777" w:rsidR="006A3667" w:rsidRDefault="006A3667">
            <w:pPr>
              <w:rPr>
                <w:rFonts w:ascii="宋体"/>
                <w:vanish/>
              </w:rPr>
            </w:pPr>
          </w:p>
        </w:tc>
        <w:tc>
          <w:tcPr>
            <w:tcW w:w="0" w:type="auto"/>
            <w:gridSpan w:val="3"/>
            <w:shd w:val="clear" w:color="auto" w:fill="auto"/>
            <w:vAlign w:val="bottom"/>
          </w:tcPr>
          <w:p w14:paraId="71D4263B" w14:textId="77777777" w:rsidR="006A3667" w:rsidRDefault="006A3667">
            <w:pPr>
              <w:rPr>
                <w:rFonts w:ascii="宋体"/>
                <w:vanish/>
              </w:rPr>
            </w:pPr>
          </w:p>
        </w:tc>
        <w:tc>
          <w:tcPr>
            <w:tcW w:w="0" w:type="auto"/>
            <w:gridSpan w:val="3"/>
            <w:shd w:val="clear" w:color="auto" w:fill="auto"/>
            <w:vAlign w:val="bottom"/>
          </w:tcPr>
          <w:p w14:paraId="71D4263C" w14:textId="77777777" w:rsidR="006A3667" w:rsidRDefault="006A3667">
            <w:pPr>
              <w:rPr>
                <w:rFonts w:ascii="宋体"/>
                <w:vanish/>
              </w:rPr>
            </w:pPr>
          </w:p>
        </w:tc>
        <w:tc>
          <w:tcPr>
            <w:tcW w:w="0" w:type="auto"/>
            <w:gridSpan w:val="3"/>
            <w:shd w:val="clear" w:color="auto" w:fill="auto"/>
            <w:vAlign w:val="bottom"/>
          </w:tcPr>
          <w:p w14:paraId="71D4263D" w14:textId="77777777" w:rsidR="006A3667" w:rsidRDefault="006A3667">
            <w:pPr>
              <w:rPr>
                <w:rFonts w:ascii="宋体"/>
                <w:vanish/>
              </w:rPr>
            </w:pPr>
          </w:p>
        </w:tc>
        <w:tc>
          <w:tcPr>
            <w:tcW w:w="0" w:type="auto"/>
            <w:gridSpan w:val="3"/>
            <w:shd w:val="clear" w:color="auto" w:fill="auto"/>
            <w:vAlign w:val="bottom"/>
          </w:tcPr>
          <w:p w14:paraId="71D4263E" w14:textId="77777777" w:rsidR="006A3667" w:rsidRDefault="006A3667">
            <w:pPr>
              <w:rPr>
                <w:rFonts w:ascii="宋体"/>
                <w:vanish/>
              </w:rPr>
            </w:pPr>
          </w:p>
        </w:tc>
      </w:tr>
      <w:tr w:rsidR="006A3667" w14:paraId="71D42652" w14:textId="77777777">
        <w:trPr>
          <w:jc w:val="center"/>
          <w:hidden/>
        </w:trPr>
        <w:tc>
          <w:tcPr>
            <w:tcW w:w="0" w:type="auto"/>
            <w:gridSpan w:val="3"/>
            <w:shd w:val="clear" w:color="auto" w:fill="auto"/>
            <w:vAlign w:val="bottom"/>
          </w:tcPr>
          <w:p w14:paraId="71D42640" w14:textId="77777777" w:rsidR="006A3667" w:rsidRDefault="006A3667">
            <w:pPr>
              <w:rPr>
                <w:rFonts w:ascii="宋体"/>
                <w:vanish/>
              </w:rPr>
            </w:pPr>
          </w:p>
        </w:tc>
        <w:tc>
          <w:tcPr>
            <w:tcW w:w="0" w:type="auto"/>
            <w:gridSpan w:val="3"/>
            <w:shd w:val="clear" w:color="auto" w:fill="auto"/>
            <w:vAlign w:val="bottom"/>
          </w:tcPr>
          <w:p w14:paraId="71D42641" w14:textId="77777777" w:rsidR="006A3667" w:rsidRDefault="006A3667">
            <w:pPr>
              <w:rPr>
                <w:rFonts w:ascii="宋体"/>
                <w:vanish/>
              </w:rPr>
            </w:pPr>
          </w:p>
        </w:tc>
        <w:tc>
          <w:tcPr>
            <w:tcW w:w="0" w:type="auto"/>
            <w:gridSpan w:val="3"/>
            <w:shd w:val="clear" w:color="auto" w:fill="auto"/>
            <w:vAlign w:val="bottom"/>
          </w:tcPr>
          <w:p w14:paraId="71D42642" w14:textId="77777777" w:rsidR="006A3667" w:rsidRDefault="006A3667">
            <w:pPr>
              <w:rPr>
                <w:rFonts w:ascii="宋体"/>
                <w:vanish/>
              </w:rPr>
            </w:pPr>
          </w:p>
        </w:tc>
        <w:tc>
          <w:tcPr>
            <w:tcW w:w="0" w:type="auto"/>
            <w:gridSpan w:val="3"/>
            <w:shd w:val="clear" w:color="auto" w:fill="auto"/>
            <w:vAlign w:val="bottom"/>
          </w:tcPr>
          <w:p w14:paraId="71D42643" w14:textId="77777777" w:rsidR="006A3667" w:rsidRDefault="006A3667">
            <w:pPr>
              <w:rPr>
                <w:rFonts w:ascii="宋体"/>
                <w:vanish/>
              </w:rPr>
            </w:pPr>
          </w:p>
        </w:tc>
        <w:tc>
          <w:tcPr>
            <w:tcW w:w="0" w:type="auto"/>
            <w:gridSpan w:val="3"/>
            <w:shd w:val="clear" w:color="auto" w:fill="auto"/>
            <w:vAlign w:val="bottom"/>
          </w:tcPr>
          <w:p w14:paraId="71D42644" w14:textId="77777777" w:rsidR="006A3667" w:rsidRDefault="006A3667">
            <w:pPr>
              <w:rPr>
                <w:rFonts w:ascii="宋体"/>
                <w:vanish/>
              </w:rPr>
            </w:pPr>
          </w:p>
        </w:tc>
        <w:tc>
          <w:tcPr>
            <w:tcW w:w="0" w:type="auto"/>
            <w:gridSpan w:val="3"/>
            <w:shd w:val="clear" w:color="auto" w:fill="auto"/>
            <w:vAlign w:val="bottom"/>
          </w:tcPr>
          <w:p w14:paraId="71D42645" w14:textId="77777777" w:rsidR="006A3667" w:rsidRDefault="006A3667">
            <w:pPr>
              <w:rPr>
                <w:rFonts w:ascii="宋体"/>
                <w:vanish/>
              </w:rPr>
            </w:pPr>
          </w:p>
        </w:tc>
        <w:tc>
          <w:tcPr>
            <w:tcW w:w="0" w:type="auto"/>
            <w:gridSpan w:val="3"/>
            <w:shd w:val="clear" w:color="auto" w:fill="auto"/>
            <w:vAlign w:val="bottom"/>
          </w:tcPr>
          <w:p w14:paraId="71D42646" w14:textId="77777777" w:rsidR="006A3667" w:rsidRDefault="006A3667">
            <w:pPr>
              <w:rPr>
                <w:rFonts w:ascii="宋体"/>
                <w:vanish/>
              </w:rPr>
            </w:pPr>
          </w:p>
        </w:tc>
        <w:tc>
          <w:tcPr>
            <w:tcW w:w="0" w:type="auto"/>
            <w:gridSpan w:val="3"/>
            <w:shd w:val="clear" w:color="auto" w:fill="auto"/>
            <w:vAlign w:val="bottom"/>
          </w:tcPr>
          <w:p w14:paraId="71D42647" w14:textId="77777777" w:rsidR="006A3667" w:rsidRDefault="006A3667">
            <w:pPr>
              <w:rPr>
                <w:rFonts w:ascii="宋体"/>
                <w:vanish/>
              </w:rPr>
            </w:pPr>
          </w:p>
        </w:tc>
        <w:tc>
          <w:tcPr>
            <w:tcW w:w="0" w:type="auto"/>
            <w:gridSpan w:val="3"/>
            <w:shd w:val="clear" w:color="auto" w:fill="auto"/>
            <w:vAlign w:val="bottom"/>
          </w:tcPr>
          <w:p w14:paraId="71D42648" w14:textId="77777777" w:rsidR="006A3667" w:rsidRDefault="006A3667">
            <w:pPr>
              <w:rPr>
                <w:rFonts w:ascii="宋体"/>
                <w:vanish/>
              </w:rPr>
            </w:pPr>
          </w:p>
        </w:tc>
        <w:tc>
          <w:tcPr>
            <w:tcW w:w="0" w:type="auto"/>
            <w:gridSpan w:val="3"/>
            <w:shd w:val="clear" w:color="auto" w:fill="auto"/>
            <w:vAlign w:val="bottom"/>
          </w:tcPr>
          <w:p w14:paraId="71D42649" w14:textId="77777777" w:rsidR="006A3667" w:rsidRDefault="006A3667">
            <w:pPr>
              <w:rPr>
                <w:rFonts w:ascii="宋体"/>
                <w:vanish/>
              </w:rPr>
            </w:pPr>
          </w:p>
        </w:tc>
        <w:tc>
          <w:tcPr>
            <w:tcW w:w="0" w:type="auto"/>
            <w:gridSpan w:val="3"/>
            <w:shd w:val="clear" w:color="auto" w:fill="auto"/>
            <w:vAlign w:val="bottom"/>
          </w:tcPr>
          <w:p w14:paraId="71D4264A" w14:textId="77777777" w:rsidR="006A3667" w:rsidRDefault="006A3667">
            <w:pPr>
              <w:rPr>
                <w:rFonts w:ascii="宋体"/>
                <w:vanish/>
              </w:rPr>
            </w:pPr>
          </w:p>
        </w:tc>
        <w:tc>
          <w:tcPr>
            <w:tcW w:w="0" w:type="auto"/>
            <w:gridSpan w:val="3"/>
            <w:shd w:val="clear" w:color="auto" w:fill="auto"/>
            <w:vAlign w:val="bottom"/>
          </w:tcPr>
          <w:p w14:paraId="71D4264B" w14:textId="77777777" w:rsidR="006A3667" w:rsidRDefault="006A3667">
            <w:pPr>
              <w:rPr>
                <w:rFonts w:ascii="宋体"/>
                <w:vanish/>
              </w:rPr>
            </w:pPr>
          </w:p>
        </w:tc>
        <w:tc>
          <w:tcPr>
            <w:tcW w:w="0" w:type="auto"/>
            <w:gridSpan w:val="3"/>
            <w:shd w:val="clear" w:color="auto" w:fill="auto"/>
            <w:vAlign w:val="bottom"/>
          </w:tcPr>
          <w:p w14:paraId="71D4264C" w14:textId="77777777" w:rsidR="006A3667" w:rsidRDefault="006A3667">
            <w:pPr>
              <w:rPr>
                <w:rFonts w:ascii="宋体"/>
                <w:vanish/>
              </w:rPr>
            </w:pPr>
          </w:p>
        </w:tc>
        <w:tc>
          <w:tcPr>
            <w:tcW w:w="0" w:type="auto"/>
            <w:gridSpan w:val="3"/>
            <w:shd w:val="clear" w:color="auto" w:fill="auto"/>
            <w:vAlign w:val="bottom"/>
          </w:tcPr>
          <w:p w14:paraId="71D4264D" w14:textId="77777777" w:rsidR="006A3667" w:rsidRDefault="006A3667">
            <w:pPr>
              <w:rPr>
                <w:rFonts w:ascii="宋体"/>
                <w:vanish/>
              </w:rPr>
            </w:pPr>
          </w:p>
        </w:tc>
        <w:tc>
          <w:tcPr>
            <w:tcW w:w="0" w:type="auto"/>
            <w:gridSpan w:val="3"/>
            <w:shd w:val="clear" w:color="auto" w:fill="auto"/>
            <w:vAlign w:val="bottom"/>
          </w:tcPr>
          <w:p w14:paraId="71D4264E" w14:textId="77777777" w:rsidR="006A3667" w:rsidRDefault="006A3667">
            <w:pPr>
              <w:rPr>
                <w:rFonts w:ascii="宋体"/>
                <w:vanish/>
              </w:rPr>
            </w:pPr>
          </w:p>
        </w:tc>
        <w:tc>
          <w:tcPr>
            <w:tcW w:w="0" w:type="auto"/>
            <w:gridSpan w:val="3"/>
            <w:shd w:val="clear" w:color="auto" w:fill="auto"/>
            <w:vAlign w:val="bottom"/>
          </w:tcPr>
          <w:p w14:paraId="71D4264F" w14:textId="77777777" w:rsidR="006A3667" w:rsidRDefault="006A3667">
            <w:pPr>
              <w:rPr>
                <w:rFonts w:ascii="宋体"/>
                <w:vanish/>
              </w:rPr>
            </w:pPr>
          </w:p>
        </w:tc>
        <w:tc>
          <w:tcPr>
            <w:tcW w:w="0" w:type="auto"/>
            <w:gridSpan w:val="3"/>
            <w:shd w:val="clear" w:color="auto" w:fill="auto"/>
            <w:vAlign w:val="bottom"/>
          </w:tcPr>
          <w:p w14:paraId="71D42650" w14:textId="77777777" w:rsidR="006A3667" w:rsidRDefault="006A3667">
            <w:pPr>
              <w:rPr>
                <w:rFonts w:ascii="宋体"/>
                <w:vanish/>
              </w:rPr>
            </w:pPr>
          </w:p>
        </w:tc>
        <w:tc>
          <w:tcPr>
            <w:tcW w:w="0" w:type="auto"/>
            <w:gridSpan w:val="3"/>
            <w:shd w:val="clear" w:color="auto" w:fill="auto"/>
            <w:vAlign w:val="bottom"/>
          </w:tcPr>
          <w:p w14:paraId="71D42651" w14:textId="77777777" w:rsidR="006A3667" w:rsidRDefault="006A3667">
            <w:pPr>
              <w:rPr>
                <w:rFonts w:ascii="宋体"/>
                <w:vanish/>
              </w:rPr>
            </w:pPr>
          </w:p>
        </w:tc>
      </w:tr>
      <w:tr w:rsidR="006A3667" w14:paraId="71D42665" w14:textId="77777777">
        <w:trPr>
          <w:jc w:val="center"/>
          <w:hidden/>
        </w:trPr>
        <w:tc>
          <w:tcPr>
            <w:tcW w:w="0" w:type="auto"/>
            <w:gridSpan w:val="3"/>
            <w:shd w:val="clear" w:color="auto" w:fill="auto"/>
            <w:vAlign w:val="bottom"/>
          </w:tcPr>
          <w:p w14:paraId="71D42653" w14:textId="77777777" w:rsidR="006A3667" w:rsidRDefault="006A3667">
            <w:pPr>
              <w:rPr>
                <w:rFonts w:ascii="宋体"/>
                <w:vanish/>
              </w:rPr>
            </w:pPr>
          </w:p>
        </w:tc>
        <w:tc>
          <w:tcPr>
            <w:tcW w:w="0" w:type="auto"/>
            <w:gridSpan w:val="3"/>
            <w:shd w:val="clear" w:color="auto" w:fill="auto"/>
            <w:vAlign w:val="bottom"/>
          </w:tcPr>
          <w:p w14:paraId="71D42654" w14:textId="77777777" w:rsidR="006A3667" w:rsidRDefault="006A3667">
            <w:pPr>
              <w:rPr>
                <w:rFonts w:ascii="宋体"/>
                <w:vanish/>
              </w:rPr>
            </w:pPr>
          </w:p>
        </w:tc>
        <w:tc>
          <w:tcPr>
            <w:tcW w:w="0" w:type="auto"/>
            <w:gridSpan w:val="3"/>
            <w:shd w:val="clear" w:color="auto" w:fill="auto"/>
            <w:vAlign w:val="bottom"/>
          </w:tcPr>
          <w:p w14:paraId="71D42655" w14:textId="77777777" w:rsidR="006A3667" w:rsidRDefault="006A3667">
            <w:pPr>
              <w:rPr>
                <w:rFonts w:ascii="宋体"/>
                <w:vanish/>
              </w:rPr>
            </w:pPr>
          </w:p>
        </w:tc>
        <w:tc>
          <w:tcPr>
            <w:tcW w:w="0" w:type="auto"/>
            <w:gridSpan w:val="3"/>
            <w:shd w:val="clear" w:color="auto" w:fill="auto"/>
            <w:vAlign w:val="bottom"/>
          </w:tcPr>
          <w:p w14:paraId="71D42656" w14:textId="77777777" w:rsidR="006A3667" w:rsidRDefault="006A3667">
            <w:pPr>
              <w:rPr>
                <w:rFonts w:ascii="宋体"/>
                <w:vanish/>
              </w:rPr>
            </w:pPr>
          </w:p>
        </w:tc>
        <w:tc>
          <w:tcPr>
            <w:tcW w:w="0" w:type="auto"/>
            <w:gridSpan w:val="3"/>
            <w:shd w:val="clear" w:color="auto" w:fill="auto"/>
            <w:vAlign w:val="bottom"/>
          </w:tcPr>
          <w:p w14:paraId="71D42657" w14:textId="77777777" w:rsidR="006A3667" w:rsidRDefault="006A3667">
            <w:pPr>
              <w:rPr>
                <w:rFonts w:ascii="宋体"/>
                <w:vanish/>
              </w:rPr>
            </w:pPr>
          </w:p>
        </w:tc>
        <w:tc>
          <w:tcPr>
            <w:tcW w:w="0" w:type="auto"/>
            <w:gridSpan w:val="3"/>
            <w:shd w:val="clear" w:color="auto" w:fill="auto"/>
            <w:vAlign w:val="bottom"/>
          </w:tcPr>
          <w:p w14:paraId="71D42658" w14:textId="77777777" w:rsidR="006A3667" w:rsidRDefault="006A3667">
            <w:pPr>
              <w:rPr>
                <w:rFonts w:ascii="宋体"/>
                <w:vanish/>
              </w:rPr>
            </w:pPr>
          </w:p>
        </w:tc>
        <w:tc>
          <w:tcPr>
            <w:tcW w:w="0" w:type="auto"/>
            <w:gridSpan w:val="3"/>
            <w:shd w:val="clear" w:color="auto" w:fill="auto"/>
            <w:vAlign w:val="bottom"/>
          </w:tcPr>
          <w:p w14:paraId="71D42659" w14:textId="77777777" w:rsidR="006A3667" w:rsidRDefault="006A3667">
            <w:pPr>
              <w:rPr>
                <w:rFonts w:ascii="宋体"/>
                <w:vanish/>
              </w:rPr>
            </w:pPr>
          </w:p>
        </w:tc>
        <w:tc>
          <w:tcPr>
            <w:tcW w:w="0" w:type="auto"/>
            <w:gridSpan w:val="3"/>
            <w:shd w:val="clear" w:color="auto" w:fill="auto"/>
            <w:vAlign w:val="bottom"/>
          </w:tcPr>
          <w:p w14:paraId="71D4265A" w14:textId="77777777" w:rsidR="006A3667" w:rsidRDefault="006A3667">
            <w:pPr>
              <w:rPr>
                <w:rFonts w:ascii="宋体"/>
                <w:vanish/>
              </w:rPr>
            </w:pPr>
          </w:p>
        </w:tc>
        <w:tc>
          <w:tcPr>
            <w:tcW w:w="0" w:type="auto"/>
            <w:gridSpan w:val="3"/>
            <w:shd w:val="clear" w:color="auto" w:fill="auto"/>
            <w:vAlign w:val="bottom"/>
          </w:tcPr>
          <w:p w14:paraId="71D4265B" w14:textId="77777777" w:rsidR="006A3667" w:rsidRDefault="006A3667">
            <w:pPr>
              <w:rPr>
                <w:rFonts w:ascii="宋体"/>
                <w:vanish/>
              </w:rPr>
            </w:pPr>
          </w:p>
        </w:tc>
        <w:tc>
          <w:tcPr>
            <w:tcW w:w="0" w:type="auto"/>
            <w:gridSpan w:val="3"/>
            <w:shd w:val="clear" w:color="auto" w:fill="auto"/>
            <w:vAlign w:val="bottom"/>
          </w:tcPr>
          <w:p w14:paraId="71D4265C" w14:textId="77777777" w:rsidR="006A3667" w:rsidRDefault="006A3667">
            <w:pPr>
              <w:rPr>
                <w:rFonts w:ascii="宋体"/>
                <w:vanish/>
              </w:rPr>
            </w:pPr>
          </w:p>
        </w:tc>
        <w:tc>
          <w:tcPr>
            <w:tcW w:w="0" w:type="auto"/>
            <w:gridSpan w:val="3"/>
            <w:shd w:val="clear" w:color="auto" w:fill="auto"/>
            <w:vAlign w:val="bottom"/>
          </w:tcPr>
          <w:p w14:paraId="71D4265D" w14:textId="77777777" w:rsidR="006A3667" w:rsidRDefault="006A3667">
            <w:pPr>
              <w:rPr>
                <w:rFonts w:ascii="宋体"/>
                <w:vanish/>
              </w:rPr>
            </w:pPr>
          </w:p>
        </w:tc>
        <w:tc>
          <w:tcPr>
            <w:tcW w:w="0" w:type="auto"/>
            <w:gridSpan w:val="3"/>
            <w:shd w:val="clear" w:color="auto" w:fill="auto"/>
            <w:vAlign w:val="bottom"/>
          </w:tcPr>
          <w:p w14:paraId="71D4265E" w14:textId="77777777" w:rsidR="006A3667" w:rsidRDefault="006A3667">
            <w:pPr>
              <w:rPr>
                <w:rFonts w:ascii="宋体"/>
                <w:vanish/>
              </w:rPr>
            </w:pPr>
          </w:p>
        </w:tc>
        <w:tc>
          <w:tcPr>
            <w:tcW w:w="0" w:type="auto"/>
            <w:gridSpan w:val="3"/>
            <w:shd w:val="clear" w:color="auto" w:fill="auto"/>
            <w:vAlign w:val="bottom"/>
          </w:tcPr>
          <w:p w14:paraId="71D4265F" w14:textId="77777777" w:rsidR="006A3667" w:rsidRDefault="006A3667">
            <w:pPr>
              <w:rPr>
                <w:rFonts w:ascii="宋体"/>
                <w:vanish/>
              </w:rPr>
            </w:pPr>
          </w:p>
        </w:tc>
        <w:tc>
          <w:tcPr>
            <w:tcW w:w="0" w:type="auto"/>
            <w:gridSpan w:val="3"/>
            <w:shd w:val="clear" w:color="auto" w:fill="auto"/>
            <w:vAlign w:val="bottom"/>
          </w:tcPr>
          <w:p w14:paraId="71D42660" w14:textId="77777777" w:rsidR="006A3667" w:rsidRDefault="006A3667">
            <w:pPr>
              <w:rPr>
                <w:rFonts w:ascii="宋体"/>
                <w:vanish/>
              </w:rPr>
            </w:pPr>
          </w:p>
        </w:tc>
        <w:tc>
          <w:tcPr>
            <w:tcW w:w="0" w:type="auto"/>
            <w:gridSpan w:val="3"/>
            <w:shd w:val="clear" w:color="auto" w:fill="auto"/>
            <w:vAlign w:val="bottom"/>
          </w:tcPr>
          <w:p w14:paraId="71D42661" w14:textId="77777777" w:rsidR="006A3667" w:rsidRDefault="006A3667">
            <w:pPr>
              <w:rPr>
                <w:rFonts w:ascii="宋体"/>
                <w:vanish/>
              </w:rPr>
            </w:pPr>
          </w:p>
        </w:tc>
        <w:tc>
          <w:tcPr>
            <w:tcW w:w="0" w:type="auto"/>
            <w:gridSpan w:val="3"/>
            <w:shd w:val="clear" w:color="auto" w:fill="auto"/>
            <w:vAlign w:val="bottom"/>
          </w:tcPr>
          <w:p w14:paraId="71D42662" w14:textId="77777777" w:rsidR="006A3667" w:rsidRDefault="006A3667">
            <w:pPr>
              <w:rPr>
                <w:rFonts w:ascii="宋体"/>
                <w:vanish/>
              </w:rPr>
            </w:pPr>
          </w:p>
        </w:tc>
        <w:tc>
          <w:tcPr>
            <w:tcW w:w="0" w:type="auto"/>
            <w:gridSpan w:val="3"/>
            <w:shd w:val="clear" w:color="auto" w:fill="auto"/>
            <w:vAlign w:val="bottom"/>
          </w:tcPr>
          <w:p w14:paraId="71D42663" w14:textId="77777777" w:rsidR="006A3667" w:rsidRDefault="006A3667">
            <w:pPr>
              <w:rPr>
                <w:rFonts w:ascii="宋体"/>
                <w:vanish/>
              </w:rPr>
            </w:pPr>
          </w:p>
        </w:tc>
        <w:tc>
          <w:tcPr>
            <w:tcW w:w="0" w:type="auto"/>
            <w:gridSpan w:val="3"/>
            <w:shd w:val="clear" w:color="auto" w:fill="auto"/>
            <w:vAlign w:val="bottom"/>
          </w:tcPr>
          <w:p w14:paraId="71D42664" w14:textId="77777777" w:rsidR="006A3667" w:rsidRDefault="006A3667">
            <w:pPr>
              <w:rPr>
                <w:rFonts w:ascii="宋体"/>
                <w:vanish/>
              </w:rPr>
            </w:pPr>
          </w:p>
        </w:tc>
      </w:tr>
      <w:tr w:rsidR="006A3667" w14:paraId="71D42678" w14:textId="77777777">
        <w:trPr>
          <w:jc w:val="center"/>
          <w:hidden/>
        </w:trPr>
        <w:tc>
          <w:tcPr>
            <w:tcW w:w="0" w:type="auto"/>
            <w:gridSpan w:val="3"/>
            <w:shd w:val="clear" w:color="auto" w:fill="auto"/>
            <w:vAlign w:val="bottom"/>
          </w:tcPr>
          <w:p w14:paraId="71D42666" w14:textId="77777777" w:rsidR="006A3667" w:rsidRDefault="006A3667">
            <w:pPr>
              <w:rPr>
                <w:rFonts w:ascii="宋体"/>
                <w:vanish/>
              </w:rPr>
            </w:pPr>
          </w:p>
        </w:tc>
        <w:tc>
          <w:tcPr>
            <w:tcW w:w="0" w:type="auto"/>
            <w:gridSpan w:val="3"/>
            <w:shd w:val="clear" w:color="auto" w:fill="auto"/>
            <w:vAlign w:val="bottom"/>
          </w:tcPr>
          <w:p w14:paraId="71D42667" w14:textId="77777777" w:rsidR="006A3667" w:rsidRDefault="006A3667">
            <w:pPr>
              <w:rPr>
                <w:rFonts w:ascii="宋体"/>
                <w:vanish/>
              </w:rPr>
            </w:pPr>
          </w:p>
        </w:tc>
        <w:tc>
          <w:tcPr>
            <w:tcW w:w="0" w:type="auto"/>
            <w:gridSpan w:val="3"/>
            <w:shd w:val="clear" w:color="auto" w:fill="auto"/>
            <w:vAlign w:val="bottom"/>
          </w:tcPr>
          <w:p w14:paraId="71D42668" w14:textId="77777777" w:rsidR="006A3667" w:rsidRDefault="006A3667">
            <w:pPr>
              <w:rPr>
                <w:rFonts w:ascii="宋体"/>
                <w:vanish/>
              </w:rPr>
            </w:pPr>
          </w:p>
        </w:tc>
        <w:tc>
          <w:tcPr>
            <w:tcW w:w="0" w:type="auto"/>
            <w:gridSpan w:val="3"/>
            <w:shd w:val="clear" w:color="auto" w:fill="auto"/>
            <w:vAlign w:val="bottom"/>
          </w:tcPr>
          <w:p w14:paraId="71D42669" w14:textId="77777777" w:rsidR="006A3667" w:rsidRDefault="006A3667">
            <w:pPr>
              <w:rPr>
                <w:rFonts w:ascii="宋体"/>
                <w:vanish/>
              </w:rPr>
            </w:pPr>
          </w:p>
        </w:tc>
        <w:tc>
          <w:tcPr>
            <w:tcW w:w="0" w:type="auto"/>
            <w:gridSpan w:val="3"/>
            <w:shd w:val="clear" w:color="auto" w:fill="auto"/>
            <w:vAlign w:val="bottom"/>
          </w:tcPr>
          <w:p w14:paraId="71D4266A" w14:textId="77777777" w:rsidR="006A3667" w:rsidRDefault="006A3667">
            <w:pPr>
              <w:rPr>
                <w:rFonts w:ascii="宋体"/>
                <w:vanish/>
              </w:rPr>
            </w:pPr>
          </w:p>
        </w:tc>
        <w:tc>
          <w:tcPr>
            <w:tcW w:w="0" w:type="auto"/>
            <w:gridSpan w:val="3"/>
            <w:shd w:val="clear" w:color="auto" w:fill="auto"/>
            <w:vAlign w:val="bottom"/>
          </w:tcPr>
          <w:p w14:paraId="71D4266B" w14:textId="77777777" w:rsidR="006A3667" w:rsidRDefault="006A3667">
            <w:pPr>
              <w:rPr>
                <w:rFonts w:ascii="宋体"/>
                <w:vanish/>
              </w:rPr>
            </w:pPr>
          </w:p>
        </w:tc>
        <w:tc>
          <w:tcPr>
            <w:tcW w:w="0" w:type="auto"/>
            <w:gridSpan w:val="3"/>
            <w:shd w:val="clear" w:color="auto" w:fill="auto"/>
            <w:vAlign w:val="bottom"/>
          </w:tcPr>
          <w:p w14:paraId="71D4266C" w14:textId="77777777" w:rsidR="006A3667" w:rsidRDefault="006A3667">
            <w:pPr>
              <w:rPr>
                <w:rFonts w:ascii="宋体"/>
                <w:vanish/>
              </w:rPr>
            </w:pPr>
          </w:p>
        </w:tc>
        <w:tc>
          <w:tcPr>
            <w:tcW w:w="0" w:type="auto"/>
            <w:gridSpan w:val="3"/>
            <w:shd w:val="clear" w:color="auto" w:fill="auto"/>
            <w:vAlign w:val="bottom"/>
          </w:tcPr>
          <w:p w14:paraId="71D4266D" w14:textId="77777777" w:rsidR="006A3667" w:rsidRDefault="006A3667">
            <w:pPr>
              <w:rPr>
                <w:rFonts w:ascii="宋体"/>
                <w:vanish/>
              </w:rPr>
            </w:pPr>
          </w:p>
        </w:tc>
        <w:tc>
          <w:tcPr>
            <w:tcW w:w="0" w:type="auto"/>
            <w:gridSpan w:val="3"/>
            <w:shd w:val="clear" w:color="auto" w:fill="auto"/>
            <w:vAlign w:val="bottom"/>
          </w:tcPr>
          <w:p w14:paraId="71D4266E" w14:textId="77777777" w:rsidR="006A3667" w:rsidRDefault="006A3667">
            <w:pPr>
              <w:rPr>
                <w:rFonts w:ascii="宋体"/>
                <w:vanish/>
              </w:rPr>
            </w:pPr>
          </w:p>
        </w:tc>
        <w:tc>
          <w:tcPr>
            <w:tcW w:w="0" w:type="auto"/>
            <w:gridSpan w:val="3"/>
            <w:shd w:val="clear" w:color="auto" w:fill="auto"/>
            <w:vAlign w:val="bottom"/>
          </w:tcPr>
          <w:p w14:paraId="71D4266F" w14:textId="77777777" w:rsidR="006A3667" w:rsidRDefault="006A3667">
            <w:pPr>
              <w:rPr>
                <w:rFonts w:ascii="宋体"/>
                <w:vanish/>
              </w:rPr>
            </w:pPr>
          </w:p>
        </w:tc>
        <w:tc>
          <w:tcPr>
            <w:tcW w:w="0" w:type="auto"/>
            <w:gridSpan w:val="3"/>
            <w:shd w:val="clear" w:color="auto" w:fill="auto"/>
            <w:vAlign w:val="bottom"/>
          </w:tcPr>
          <w:p w14:paraId="71D42670" w14:textId="77777777" w:rsidR="006A3667" w:rsidRDefault="006A3667">
            <w:pPr>
              <w:rPr>
                <w:rFonts w:ascii="宋体"/>
                <w:vanish/>
              </w:rPr>
            </w:pPr>
          </w:p>
        </w:tc>
        <w:tc>
          <w:tcPr>
            <w:tcW w:w="0" w:type="auto"/>
            <w:gridSpan w:val="3"/>
            <w:shd w:val="clear" w:color="auto" w:fill="auto"/>
            <w:vAlign w:val="bottom"/>
          </w:tcPr>
          <w:p w14:paraId="71D42671" w14:textId="77777777" w:rsidR="006A3667" w:rsidRDefault="006A3667">
            <w:pPr>
              <w:rPr>
                <w:rFonts w:ascii="宋体"/>
                <w:vanish/>
              </w:rPr>
            </w:pPr>
          </w:p>
        </w:tc>
        <w:tc>
          <w:tcPr>
            <w:tcW w:w="0" w:type="auto"/>
            <w:gridSpan w:val="3"/>
            <w:shd w:val="clear" w:color="auto" w:fill="auto"/>
            <w:vAlign w:val="bottom"/>
          </w:tcPr>
          <w:p w14:paraId="71D42672" w14:textId="77777777" w:rsidR="006A3667" w:rsidRDefault="006A3667">
            <w:pPr>
              <w:rPr>
                <w:rFonts w:ascii="宋体"/>
                <w:vanish/>
              </w:rPr>
            </w:pPr>
          </w:p>
        </w:tc>
        <w:tc>
          <w:tcPr>
            <w:tcW w:w="0" w:type="auto"/>
            <w:gridSpan w:val="3"/>
            <w:shd w:val="clear" w:color="auto" w:fill="auto"/>
            <w:vAlign w:val="bottom"/>
          </w:tcPr>
          <w:p w14:paraId="71D42673" w14:textId="77777777" w:rsidR="006A3667" w:rsidRDefault="006A3667">
            <w:pPr>
              <w:rPr>
                <w:rFonts w:ascii="宋体"/>
                <w:vanish/>
              </w:rPr>
            </w:pPr>
          </w:p>
        </w:tc>
        <w:tc>
          <w:tcPr>
            <w:tcW w:w="0" w:type="auto"/>
            <w:gridSpan w:val="3"/>
            <w:shd w:val="clear" w:color="auto" w:fill="auto"/>
            <w:vAlign w:val="bottom"/>
          </w:tcPr>
          <w:p w14:paraId="71D42674" w14:textId="77777777" w:rsidR="006A3667" w:rsidRDefault="006A3667">
            <w:pPr>
              <w:rPr>
                <w:rFonts w:ascii="宋体"/>
                <w:vanish/>
              </w:rPr>
            </w:pPr>
          </w:p>
        </w:tc>
        <w:tc>
          <w:tcPr>
            <w:tcW w:w="0" w:type="auto"/>
            <w:gridSpan w:val="3"/>
            <w:shd w:val="clear" w:color="auto" w:fill="auto"/>
            <w:vAlign w:val="bottom"/>
          </w:tcPr>
          <w:p w14:paraId="71D42675" w14:textId="77777777" w:rsidR="006A3667" w:rsidRDefault="006A3667">
            <w:pPr>
              <w:rPr>
                <w:rFonts w:ascii="宋体"/>
                <w:vanish/>
              </w:rPr>
            </w:pPr>
          </w:p>
        </w:tc>
        <w:tc>
          <w:tcPr>
            <w:tcW w:w="0" w:type="auto"/>
            <w:gridSpan w:val="3"/>
            <w:shd w:val="clear" w:color="auto" w:fill="auto"/>
            <w:vAlign w:val="bottom"/>
          </w:tcPr>
          <w:p w14:paraId="71D42676" w14:textId="77777777" w:rsidR="006A3667" w:rsidRDefault="006A3667">
            <w:pPr>
              <w:rPr>
                <w:rFonts w:ascii="宋体"/>
                <w:vanish/>
              </w:rPr>
            </w:pPr>
          </w:p>
        </w:tc>
        <w:tc>
          <w:tcPr>
            <w:tcW w:w="0" w:type="auto"/>
            <w:gridSpan w:val="3"/>
            <w:shd w:val="clear" w:color="auto" w:fill="auto"/>
            <w:vAlign w:val="bottom"/>
          </w:tcPr>
          <w:p w14:paraId="71D42677" w14:textId="77777777" w:rsidR="006A3667" w:rsidRDefault="006A3667">
            <w:pPr>
              <w:rPr>
                <w:rFonts w:ascii="宋体"/>
                <w:vanish/>
              </w:rPr>
            </w:pPr>
          </w:p>
        </w:tc>
      </w:tr>
      <w:tr w:rsidR="006A3667" w14:paraId="71D4268B" w14:textId="77777777">
        <w:trPr>
          <w:jc w:val="center"/>
          <w:hidden/>
        </w:trPr>
        <w:tc>
          <w:tcPr>
            <w:tcW w:w="0" w:type="auto"/>
            <w:gridSpan w:val="3"/>
            <w:shd w:val="clear" w:color="auto" w:fill="auto"/>
            <w:vAlign w:val="bottom"/>
          </w:tcPr>
          <w:p w14:paraId="71D42679" w14:textId="77777777" w:rsidR="006A3667" w:rsidRDefault="006A3667">
            <w:pPr>
              <w:rPr>
                <w:rFonts w:ascii="宋体"/>
                <w:vanish/>
              </w:rPr>
            </w:pPr>
          </w:p>
        </w:tc>
        <w:tc>
          <w:tcPr>
            <w:tcW w:w="0" w:type="auto"/>
            <w:gridSpan w:val="3"/>
            <w:shd w:val="clear" w:color="auto" w:fill="auto"/>
            <w:vAlign w:val="bottom"/>
          </w:tcPr>
          <w:p w14:paraId="71D4267A" w14:textId="77777777" w:rsidR="006A3667" w:rsidRDefault="006A3667">
            <w:pPr>
              <w:rPr>
                <w:rFonts w:ascii="宋体"/>
                <w:vanish/>
              </w:rPr>
            </w:pPr>
          </w:p>
        </w:tc>
        <w:tc>
          <w:tcPr>
            <w:tcW w:w="0" w:type="auto"/>
            <w:gridSpan w:val="3"/>
            <w:shd w:val="clear" w:color="auto" w:fill="auto"/>
            <w:vAlign w:val="bottom"/>
          </w:tcPr>
          <w:p w14:paraId="71D4267B" w14:textId="77777777" w:rsidR="006A3667" w:rsidRDefault="006A3667">
            <w:pPr>
              <w:rPr>
                <w:rFonts w:ascii="宋体"/>
                <w:vanish/>
              </w:rPr>
            </w:pPr>
          </w:p>
        </w:tc>
        <w:tc>
          <w:tcPr>
            <w:tcW w:w="0" w:type="auto"/>
            <w:gridSpan w:val="3"/>
            <w:shd w:val="clear" w:color="auto" w:fill="auto"/>
            <w:vAlign w:val="bottom"/>
          </w:tcPr>
          <w:p w14:paraId="71D4267C" w14:textId="77777777" w:rsidR="006A3667" w:rsidRDefault="006A3667">
            <w:pPr>
              <w:rPr>
                <w:rFonts w:ascii="宋体"/>
                <w:vanish/>
              </w:rPr>
            </w:pPr>
          </w:p>
        </w:tc>
        <w:tc>
          <w:tcPr>
            <w:tcW w:w="0" w:type="auto"/>
            <w:gridSpan w:val="3"/>
            <w:shd w:val="clear" w:color="auto" w:fill="auto"/>
            <w:vAlign w:val="bottom"/>
          </w:tcPr>
          <w:p w14:paraId="71D4267D" w14:textId="77777777" w:rsidR="006A3667" w:rsidRDefault="006A3667">
            <w:pPr>
              <w:rPr>
                <w:rFonts w:ascii="宋体"/>
                <w:vanish/>
              </w:rPr>
            </w:pPr>
          </w:p>
        </w:tc>
        <w:tc>
          <w:tcPr>
            <w:tcW w:w="0" w:type="auto"/>
            <w:gridSpan w:val="3"/>
            <w:shd w:val="clear" w:color="auto" w:fill="auto"/>
            <w:vAlign w:val="bottom"/>
          </w:tcPr>
          <w:p w14:paraId="71D4267E" w14:textId="77777777" w:rsidR="006A3667" w:rsidRDefault="006A3667">
            <w:pPr>
              <w:rPr>
                <w:rFonts w:ascii="宋体"/>
                <w:vanish/>
              </w:rPr>
            </w:pPr>
          </w:p>
        </w:tc>
        <w:tc>
          <w:tcPr>
            <w:tcW w:w="0" w:type="auto"/>
            <w:gridSpan w:val="3"/>
            <w:shd w:val="clear" w:color="auto" w:fill="auto"/>
            <w:vAlign w:val="bottom"/>
          </w:tcPr>
          <w:p w14:paraId="71D4267F" w14:textId="77777777" w:rsidR="006A3667" w:rsidRDefault="006A3667">
            <w:pPr>
              <w:rPr>
                <w:rFonts w:ascii="宋体"/>
                <w:vanish/>
              </w:rPr>
            </w:pPr>
          </w:p>
        </w:tc>
        <w:tc>
          <w:tcPr>
            <w:tcW w:w="0" w:type="auto"/>
            <w:gridSpan w:val="3"/>
            <w:shd w:val="clear" w:color="auto" w:fill="auto"/>
            <w:vAlign w:val="bottom"/>
          </w:tcPr>
          <w:p w14:paraId="71D42680" w14:textId="77777777" w:rsidR="006A3667" w:rsidRDefault="006A3667">
            <w:pPr>
              <w:rPr>
                <w:rFonts w:ascii="宋体"/>
                <w:vanish/>
              </w:rPr>
            </w:pPr>
          </w:p>
        </w:tc>
        <w:tc>
          <w:tcPr>
            <w:tcW w:w="0" w:type="auto"/>
            <w:gridSpan w:val="3"/>
            <w:shd w:val="clear" w:color="auto" w:fill="auto"/>
            <w:vAlign w:val="bottom"/>
          </w:tcPr>
          <w:p w14:paraId="71D42681" w14:textId="77777777" w:rsidR="006A3667" w:rsidRDefault="006A3667">
            <w:pPr>
              <w:rPr>
                <w:rFonts w:ascii="宋体"/>
                <w:vanish/>
              </w:rPr>
            </w:pPr>
          </w:p>
        </w:tc>
        <w:tc>
          <w:tcPr>
            <w:tcW w:w="0" w:type="auto"/>
            <w:gridSpan w:val="3"/>
            <w:shd w:val="clear" w:color="auto" w:fill="auto"/>
            <w:vAlign w:val="bottom"/>
          </w:tcPr>
          <w:p w14:paraId="71D42682" w14:textId="77777777" w:rsidR="006A3667" w:rsidRDefault="006A3667">
            <w:pPr>
              <w:rPr>
                <w:rFonts w:ascii="宋体"/>
                <w:vanish/>
              </w:rPr>
            </w:pPr>
          </w:p>
        </w:tc>
        <w:tc>
          <w:tcPr>
            <w:tcW w:w="0" w:type="auto"/>
            <w:gridSpan w:val="3"/>
            <w:shd w:val="clear" w:color="auto" w:fill="auto"/>
            <w:vAlign w:val="bottom"/>
          </w:tcPr>
          <w:p w14:paraId="71D42683" w14:textId="77777777" w:rsidR="006A3667" w:rsidRDefault="006A3667">
            <w:pPr>
              <w:rPr>
                <w:rFonts w:ascii="宋体"/>
                <w:vanish/>
              </w:rPr>
            </w:pPr>
          </w:p>
        </w:tc>
        <w:tc>
          <w:tcPr>
            <w:tcW w:w="0" w:type="auto"/>
            <w:gridSpan w:val="3"/>
            <w:shd w:val="clear" w:color="auto" w:fill="auto"/>
            <w:vAlign w:val="bottom"/>
          </w:tcPr>
          <w:p w14:paraId="71D42684" w14:textId="77777777" w:rsidR="006A3667" w:rsidRDefault="006A3667">
            <w:pPr>
              <w:rPr>
                <w:rFonts w:ascii="宋体"/>
                <w:vanish/>
              </w:rPr>
            </w:pPr>
          </w:p>
        </w:tc>
        <w:tc>
          <w:tcPr>
            <w:tcW w:w="0" w:type="auto"/>
            <w:gridSpan w:val="3"/>
            <w:shd w:val="clear" w:color="auto" w:fill="auto"/>
            <w:vAlign w:val="bottom"/>
          </w:tcPr>
          <w:p w14:paraId="71D42685" w14:textId="77777777" w:rsidR="006A3667" w:rsidRDefault="006A3667">
            <w:pPr>
              <w:rPr>
                <w:rFonts w:ascii="宋体"/>
                <w:vanish/>
              </w:rPr>
            </w:pPr>
          </w:p>
        </w:tc>
        <w:tc>
          <w:tcPr>
            <w:tcW w:w="0" w:type="auto"/>
            <w:gridSpan w:val="3"/>
            <w:shd w:val="clear" w:color="auto" w:fill="auto"/>
            <w:vAlign w:val="bottom"/>
          </w:tcPr>
          <w:p w14:paraId="71D42686" w14:textId="77777777" w:rsidR="006A3667" w:rsidRDefault="006A3667">
            <w:pPr>
              <w:rPr>
                <w:rFonts w:ascii="宋体"/>
                <w:vanish/>
              </w:rPr>
            </w:pPr>
          </w:p>
        </w:tc>
        <w:tc>
          <w:tcPr>
            <w:tcW w:w="0" w:type="auto"/>
            <w:gridSpan w:val="3"/>
            <w:shd w:val="clear" w:color="auto" w:fill="auto"/>
            <w:vAlign w:val="bottom"/>
          </w:tcPr>
          <w:p w14:paraId="71D42687" w14:textId="77777777" w:rsidR="006A3667" w:rsidRDefault="006A3667">
            <w:pPr>
              <w:rPr>
                <w:rFonts w:ascii="宋体"/>
                <w:vanish/>
              </w:rPr>
            </w:pPr>
          </w:p>
        </w:tc>
        <w:tc>
          <w:tcPr>
            <w:tcW w:w="0" w:type="auto"/>
            <w:gridSpan w:val="3"/>
            <w:shd w:val="clear" w:color="auto" w:fill="auto"/>
            <w:vAlign w:val="bottom"/>
          </w:tcPr>
          <w:p w14:paraId="71D42688" w14:textId="77777777" w:rsidR="006A3667" w:rsidRDefault="006A3667">
            <w:pPr>
              <w:rPr>
                <w:rFonts w:ascii="宋体"/>
                <w:vanish/>
              </w:rPr>
            </w:pPr>
          </w:p>
        </w:tc>
        <w:tc>
          <w:tcPr>
            <w:tcW w:w="0" w:type="auto"/>
            <w:gridSpan w:val="3"/>
            <w:shd w:val="clear" w:color="auto" w:fill="auto"/>
            <w:vAlign w:val="bottom"/>
          </w:tcPr>
          <w:p w14:paraId="71D42689" w14:textId="77777777" w:rsidR="006A3667" w:rsidRDefault="006A3667">
            <w:pPr>
              <w:rPr>
                <w:rFonts w:ascii="宋体"/>
                <w:vanish/>
              </w:rPr>
            </w:pPr>
          </w:p>
        </w:tc>
        <w:tc>
          <w:tcPr>
            <w:tcW w:w="0" w:type="auto"/>
            <w:gridSpan w:val="3"/>
            <w:shd w:val="clear" w:color="auto" w:fill="auto"/>
            <w:vAlign w:val="bottom"/>
          </w:tcPr>
          <w:p w14:paraId="71D4268A" w14:textId="77777777" w:rsidR="006A3667" w:rsidRDefault="006A3667">
            <w:pPr>
              <w:rPr>
                <w:rFonts w:ascii="宋体"/>
                <w:vanish/>
              </w:rPr>
            </w:pPr>
          </w:p>
        </w:tc>
      </w:tr>
      <w:tr w:rsidR="006A3667" w14:paraId="71D4269E" w14:textId="77777777">
        <w:trPr>
          <w:jc w:val="center"/>
          <w:hidden/>
        </w:trPr>
        <w:tc>
          <w:tcPr>
            <w:tcW w:w="0" w:type="auto"/>
            <w:gridSpan w:val="3"/>
            <w:shd w:val="clear" w:color="auto" w:fill="auto"/>
            <w:vAlign w:val="bottom"/>
          </w:tcPr>
          <w:p w14:paraId="71D4268C" w14:textId="77777777" w:rsidR="006A3667" w:rsidRDefault="006A3667">
            <w:pPr>
              <w:rPr>
                <w:rFonts w:ascii="宋体"/>
                <w:vanish/>
              </w:rPr>
            </w:pPr>
          </w:p>
        </w:tc>
        <w:tc>
          <w:tcPr>
            <w:tcW w:w="0" w:type="auto"/>
            <w:gridSpan w:val="3"/>
            <w:shd w:val="clear" w:color="auto" w:fill="auto"/>
            <w:vAlign w:val="bottom"/>
          </w:tcPr>
          <w:p w14:paraId="71D4268D" w14:textId="77777777" w:rsidR="006A3667" w:rsidRDefault="006A3667">
            <w:pPr>
              <w:rPr>
                <w:rFonts w:ascii="宋体"/>
                <w:vanish/>
              </w:rPr>
            </w:pPr>
          </w:p>
        </w:tc>
        <w:tc>
          <w:tcPr>
            <w:tcW w:w="0" w:type="auto"/>
            <w:gridSpan w:val="3"/>
            <w:shd w:val="clear" w:color="auto" w:fill="auto"/>
            <w:vAlign w:val="bottom"/>
          </w:tcPr>
          <w:p w14:paraId="71D4268E" w14:textId="77777777" w:rsidR="006A3667" w:rsidRDefault="006A3667">
            <w:pPr>
              <w:rPr>
                <w:rFonts w:ascii="宋体"/>
                <w:vanish/>
              </w:rPr>
            </w:pPr>
          </w:p>
        </w:tc>
        <w:tc>
          <w:tcPr>
            <w:tcW w:w="0" w:type="auto"/>
            <w:gridSpan w:val="3"/>
            <w:shd w:val="clear" w:color="auto" w:fill="auto"/>
            <w:vAlign w:val="bottom"/>
          </w:tcPr>
          <w:p w14:paraId="71D4268F" w14:textId="77777777" w:rsidR="006A3667" w:rsidRDefault="006A3667">
            <w:pPr>
              <w:rPr>
                <w:rFonts w:ascii="宋体"/>
                <w:vanish/>
              </w:rPr>
            </w:pPr>
          </w:p>
        </w:tc>
        <w:tc>
          <w:tcPr>
            <w:tcW w:w="0" w:type="auto"/>
            <w:gridSpan w:val="3"/>
            <w:shd w:val="clear" w:color="auto" w:fill="auto"/>
            <w:vAlign w:val="bottom"/>
          </w:tcPr>
          <w:p w14:paraId="71D42690" w14:textId="77777777" w:rsidR="006A3667" w:rsidRDefault="006A3667">
            <w:pPr>
              <w:rPr>
                <w:rFonts w:ascii="宋体"/>
                <w:vanish/>
              </w:rPr>
            </w:pPr>
          </w:p>
        </w:tc>
        <w:tc>
          <w:tcPr>
            <w:tcW w:w="0" w:type="auto"/>
            <w:gridSpan w:val="3"/>
            <w:shd w:val="clear" w:color="auto" w:fill="auto"/>
            <w:vAlign w:val="bottom"/>
          </w:tcPr>
          <w:p w14:paraId="71D42691" w14:textId="77777777" w:rsidR="006A3667" w:rsidRDefault="006A3667">
            <w:pPr>
              <w:rPr>
                <w:rFonts w:ascii="宋体"/>
                <w:vanish/>
              </w:rPr>
            </w:pPr>
          </w:p>
        </w:tc>
        <w:tc>
          <w:tcPr>
            <w:tcW w:w="0" w:type="auto"/>
            <w:gridSpan w:val="3"/>
            <w:shd w:val="clear" w:color="auto" w:fill="auto"/>
            <w:vAlign w:val="bottom"/>
          </w:tcPr>
          <w:p w14:paraId="71D42692" w14:textId="77777777" w:rsidR="006A3667" w:rsidRDefault="006A3667">
            <w:pPr>
              <w:rPr>
                <w:rFonts w:ascii="宋体"/>
                <w:vanish/>
              </w:rPr>
            </w:pPr>
          </w:p>
        </w:tc>
        <w:tc>
          <w:tcPr>
            <w:tcW w:w="0" w:type="auto"/>
            <w:gridSpan w:val="3"/>
            <w:shd w:val="clear" w:color="auto" w:fill="auto"/>
            <w:vAlign w:val="bottom"/>
          </w:tcPr>
          <w:p w14:paraId="71D42693" w14:textId="77777777" w:rsidR="006A3667" w:rsidRDefault="006A3667">
            <w:pPr>
              <w:rPr>
                <w:rFonts w:ascii="宋体"/>
                <w:vanish/>
              </w:rPr>
            </w:pPr>
          </w:p>
        </w:tc>
        <w:tc>
          <w:tcPr>
            <w:tcW w:w="0" w:type="auto"/>
            <w:gridSpan w:val="3"/>
            <w:shd w:val="clear" w:color="auto" w:fill="auto"/>
            <w:vAlign w:val="bottom"/>
          </w:tcPr>
          <w:p w14:paraId="71D42694" w14:textId="77777777" w:rsidR="006A3667" w:rsidRDefault="006A3667">
            <w:pPr>
              <w:rPr>
                <w:rFonts w:ascii="宋体"/>
                <w:vanish/>
              </w:rPr>
            </w:pPr>
          </w:p>
        </w:tc>
        <w:tc>
          <w:tcPr>
            <w:tcW w:w="0" w:type="auto"/>
            <w:gridSpan w:val="3"/>
            <w:shd w:val="clear" w:color="auto" w:fill="auto"/>
            <w:vAlign w:val="bottom"/>
          </w:tcPr>
          <w:p w14:paraId="71D42695" w14:textId="77777777" w:rsidR="006A3667" w:rsidRDefault="006A3667">
            <w:pPr>
              <w:rPr>
                <w:rFonts w:ascii="宋体"/>
                <w:vanish/>
              </w:rPr>
            </w:pPr>
          </w:p>
        </w:tc>
        <w:tc>
          <w:tcPr>
            <w:tcW w:w="0" w:type="auto"/>
            <w:gridSpan w:val="3"/>
            <w:shd w:val="clear" w:color="auto" w:fill="auto"/>
            <w:vAlign w:val="bottom"/>
          </w:tcPr>
          <w:p w14:paraId="71D42696" w14:textId="77777777" w:rsidR="006A3667" w:rsidRDefault="006A3667">
            <w:pPr>
              <w:rPr>
                <w:rFonts w:ascii="宋体"/>
                <w:vanish/>
              </w:rPr>
            </w:pPr>
          </w:p>
        </w:tc>
        <w:tc>
          <w:tcPr>
            <w:tcW w:w="0" w:type="auto"/>
            <w:gridSpan w:val="3"/>
            <w:shd w:val="clear" w:color="auto" w:fill="auto"/>
            <w:vAlign w:val="bottom"/>
          </w:tcPr>
          <w:p w14:paraId="71D42697" w14:textId="77777777" w:rsidR="006A3667" w:rsidRDefault="006A3667">
            <w:pPr>
              <w:rPr>
                <w:rFonts w:ascii="宋体"/>
                <w:vanish/>
              </w:rPr>
            </w:pPr>
          </w:p>
        </w:tc>
        <w:tc>
          <w:tcPr>
            <w:tcW w:w="0" w:type="auto"/>
            <w:gridSpan w:val="3"/>
            <w:shd w:val="clear" w:color="auto" w:fill="auto"/>
            <w:vAlign w:val="bottom"/>
          </w:tcPr>
          <w:p w14:paraId="71D42698" w14:textId="77777777" w:rsidR="006A3667" w:rsidRDefault="006A3667">
            <w:pPr>
              <w:rPr>
                <w:rFonts w:ascii="宋体"/>
                <w:vanish/>
              </w:rPr>
            </w:pPr>
          </w:p>
        </w:tc>
        <w:tc>
          <w:tcPr>
            <w:tcW w:w="0" w:type="auto"/>
            <w:gridSpan w:val="3"/>
            <w:shd w:val="clear" w:color="auto" w:fill="auto"/>
            <w:vAlign w:val="bottom"/>
          </w:tcPr>
          <w:p w14:paraId="71D42699" w14:textId="77777777" w:rsidR="006A3667" w:rsidRDefault="006A3667">
            <w:pPr>
              <w:rPr>
                <w:rFonts w:ascii="宋体"/>
                <w:vanish/>
              </w:rPr>
            </w:pPr>
          </w:p>
        </w:tc>
        <w:tc>
          <w:tcPr>
            <w:tcW w:w="0" w:type="auto"/>
            <w:gridSpan w:val="3"/>
            <w:shd w:val="clear" w:color="auto" w:fill="auto"/>
            <w:vAlign w:val="bottom"/>
          </w:tcPr>
          <w:p w14:paraId="71D4269A" w14:textId="77777777" w:rsidR="006A3667" w:rsidRDefault="006A3667">
            <w:pPr>
              <w:rPr>
                <w:rFonts w:ascii="宋体"/>
                <w:vanish/>
              </w:rPr>
            </w:pPr>
          </w:p>
        </w:tc>
        <w:tc>
          <w:tcPr>
            <w:tcW w:w="0" w:type="auto"/>
            <w:gridSpan w:val="3"/>
            <w:shd w:val="clear" w:color="auto" w:fill="auto"/>
            <w:vAlign w:val="bottom"/>
          </w:tcPr>
          <w:p w14:paraId="71D4269B" w14:textId="77777777" w:rsidR="006A3667" w:rsidRDefault="006A3667">
            <w:pPr>
              <w:rPr>
                <w:rFonts w:ascii="宋体"/>
                <w:vanish/>
              </w:rPr>
            </w:pPr>
          </w:p>
        </w:tc>
        <w:tc>
          <w:tcPr>
            <w:tcW w:w="0" w:type="auto"/>
            <w:gridSpan w:val="3"/>
            <w:shd w:val="clear" w:color="auto" w:fill="auto"/>
            <w:vAlign w:val="bottom"/>
          </w:tcPr>
          <w:p w14:paraId="71D4269C" w14:textId="77777777" w:rsidR="006A3667" w:rsidRDefault="006A3667">
            <w:pPr>
              <w:rPr>
                <w:rFonts w:ascii="宋体"/>
                <w:vanish/>
              </w:rPr>
            </w:pPr>
          </w:p>
        </w:tc>
        <w:tc>
          <w:tcPr>
            <w:tcW w:w="0" w:type="auto"/>
            <w:gridSpan w:val="3"/>
            <w:shd w:val="clear" w:color="auto" w:fill="auto"/>
            <w:vAlign w:val="bottom"/>
          </w:tcPr>
          <w:p w14:paraId="71D4269D" w14:textId="77777777" w:rsidR="006A3667" w:rsidRDefault="006A3667">
            <w:pPr>
              <w:rPr>
                <w:rFonts w:ascii="宋体"/>
                <w:vanish/>
              </w:rPr>
            </w:pPr>
          </w:p>
        </w:tc>
      </w:tr>
      <w:tr w:rsidR="006A3667" w14:paraId="71D426B1" w14:textId="77777777">
        <w:trPr>
          <w:jc w:val="center"/>
          <w:hidden/>
        </w:trPr>
        <w:tc>
          <w:tcPr>
            <w:tcW w:w="0" w:type="auto"/>
            <w:gridSpan w:val="3"/>
            <w:shd w:val="clear" w:color="auto" w:fill="auto"/>
            <w:vAlign w:val="bottom"/>
          </w:tcPr>
          <w:p w14:paraId="71D4269F" w14:textId="77777777" w:rsidR="006A3667" w:rsidRDefault="006A3667">
            <w:pPr>
              <w:rPr>
                <w:rFonts w:ascii="宋体"/>
                <w:vanish/>
              </w:rPr>
            </w:pPr>
          </w:p>
        </w:tc>
        <w:tc>
          <w:tcPr>
            <w:tcW w:w="0" w:type="auto"/>
            <w:gridSpan w:val="3"/>
            <w:shd w:val="clear" w:color="auto" w:fill="auto"/>
            <w:vAlign w:val="bottom"/>
          </w:tcPr>
          <w:p w14:paraId="71D426A0" w14:textId="77777777" w:rsidR="006A3667" w:rsidRDefault="006A3667">
            <w:pPr>
              <w:rPr>
                <w:rFonts w:ascii="宋体"/>
                <w:vanish/>
              </w:rPr>
            </w:pPr>
          </w:p>
        </w:tc>
        <w:tc>
          <w:tcPr>
            <w:tcW w:w="0" w:type="auto"/>
            <w:gridSpan w:val="3"/>
            <w:shd w:val="clear" w:color="auto" w:fill="auto"/>
            <w:vAlign w:val="bottom"/>
          </w:tcPr>
          <w:p w14:paraId="71D426A1" w14:textId="77777777" w:rsidR="006A3667" w:rsidRDefault="006A3667">
            <w:pPr>
              <w:rPr>
                <w:rFonts w:ascii="宋体"/>
                <w:vanish/>
              </w:rPr>
            </w:pPr>
          </w:p>
        </w:tc>
        <w:tc>
          <w:tcPr>
            <w:tcW w:w="0" w:type="auto"/>
            <w:gridSpan w:val="3"/>
            <w:shd w:val="clear" w:color="auto" w:fill="auto"/>
            <w:vAlign w:val="bottom"/>
          </w:tcPr>
          <w:p w14:paraId="71D426A2" w14:textId="77777777" w:rsidR="006A3667" w:rsidRDefault="006A3667">
            <w:pPr>
              <w:rPr>
                <w:rFonts w:ascii="宋体"/>
                <w:vanish/>
              </w:rPr>
            </w:pPr>
          </w:p>
        </w:tc>
        <w:tc>
          <w:tcPr>
            <w:tcW w:w="0" w:type="auto"/>
            <w:gridSpan w:val="3"/>
            <w:shd w:val="clear" w:color="auto" w:fill="auto"/>
            <w:vAlign w:val="bottom"/>
          </w:tcPr>
          <w:p w14:paraId="71D426A3" w14:textId="77777777" w:rsidR="006A3667" w:rsidRDefault="006A3667">
            <w:pPr>
              <w:rPr>
                <w:rFonts w:ascii="宋体"/>
                <w:vanish/>
              </w:rPr>
            </w:pPr>
          </w:p>
        </w:tc>
        <w:tc>
          <w:tcPr>
            <w:tcW w:w="0" w:type="auto"/>
            <w:gridSpan w:val="3"/>
            <w:shd w:val="clear" w:color="auto" w:fill="auto"/>
            <w:vAlign w:val="bottom"/>
          </w:tcPr>
          <w:p w14:paraId="71D426A4" w14:textId="77777777" w:rsidR="006A3667" w:rsidRDefault="006A3667">
            <w:pPr>
              <w:rPr>
                <w:rFonts w:ascii="宋体"/>
                <w:vanish/>
              </w:rPr>
            </w:pPr>
          </w:p>
        </w:tc>
        <w:tc>
          <w:tcPr>
            <w:tcW w:w="0" w:type="auto"/>
            <w:gridSpan w:val="3"/>
            <w:shd w:val="clear" w:color="auto" w:fill="auto"/>
            <w:vAlign w:val="bottom"/>
          </w:tcPr>
          <w:p w14:paraId="71D426A5" w14:textId="77777777" w:rsidR="006A3667" w:rsidRDefault="006A3667">
            <w:pPr>
              <w:rPr>
                <w:rFonts w:ascii="宋体"/>
                <w:vanish/>
              </w:rPr>
            </w:pPr>
          </w:p>
        </w:tc>
        <w:tc>
          <w:tcPr>
            <w:tcW w:w="0" w:type="auto"/>
            <w:gridSpan w:val="3"/>
            <w:shd w:val="clear" w:color="auto" w:fill="auto"/>
            <w:vAlign w:val="bottom"/>
          </w:tcPr>
          <w:p w14:paraId="71D426A6" w14:textId="77777777" w:rsidR="006A3667" w:rsidRDefault="006A3667">
            <w:pPr>
              <w:rPr>
                <w:rFonts w:ascii="宋体"/>
                <w:vanish/>
              </w:rPr>
            </w:pPr>
          </w:p>
        </w:tc>
        <w:tc>
          <w:tcPr>
            <w:tcW w:w="0" w:type="auto"/>
            <w:gridSpan w:val="3"/>
            <w:shd w:val="clear" w:color="auto" w:fill="auto"/>
            <w:vAlign w:val="bottom"/>
          </w:tcPr>
          <w:p w14:paraId="71D426A7" w14:textId="77777777" w:rsidR="006A3667" w:rsidRDefault="006A3667">
            <w:pPr>
              <w:rPr>
                <w:rFonts w:ascii="宋体"/>
                <w:vanish/>
              </w:rPr>
            </w:pPr>
          </w:p>
        </w:tc>
        <w:tc>
          <w:tcPr>
            <w:tcW w:w="0" w:type="auto"/>
            <w:gridSpan w:val="3"/>
            <w:shd w:val="clear" w:color="auto" w:fill="auto"/>
            <w:vAlign w:val="bottom"/>
          </w:tcPr>
          <w:p w14:paraId="71D426A8" w14:textId="77777777" w:rsidR="006A3667" w:rsidRDefault="006A3667">
            <w:pPr>
              <w:rPr>
                <w:rFonts w:ascii="宋体"/>
                <w:vanish/>
              </w:rPr>
            </w:pPr>
          </w:p>
        </w:tc>
        <w:tc>
          <w:tcPr>
            <w:tcW w:w="0" w:type="auto"/>
            <w:gridSpan w:val="3"/>
            <w:shd w:val="clear" w:color="auto" w:fill="auto"/>
            <w:vAlign w:val="bottom"/>
          </w:tcPr>
          <w:p w14:paraId="71D426A9" w14:textId="77777777" w:rsidR="006A3667" w:rsidRDefault="006A3667">
            <w:pPr>
              <w:rPr>
                <w:rFonts w:ascii="宋体"/>
                <w:vanish/>
              </w:rPr>
            </w:pPr>
          </w:p>
        </w:tc>
        <w:tc>
          <w:tcPr>
            <w:tcW w:w="0" w:type="auto"/>
            <w:gridSpan w:val="3"/>
            <w:shd w:val="clear" w:color="auto" w:fill="auto"/>
            <w:vAlign w:val="bottom"/>
          </w:tcPr>
          <w:p w14:paraId="71D426AA" w14:textId="77777777" w:rsidR="006A3667" w:rsidRDefault="006A3667">
            <w:pPr>
              <w:rPr>
                <w:rFonts w:ascii="宋体"/>
                <w:vanish/>
              </w:rPr>
            </w:pPr>
          </w:p>
        </w:tc>
        <w:tc>
          <w:tcPr>
            <w:tcW w:w="0" w:type="auto"/>
            <w:gridSpan w:val="3"/>
            <w:shd w:val="clear" w:color="auto" w:fill="auto"/>
            <w:vAlign w:val="bottom"/>
          </w:tcPr>
          <w:p w14:paraId="71D426AB" w14:textId="77777777" w:rsidR="006A3667" w:rsidRDefault="006A3667">
            <w:pPr>
              <w:rPr>
                <w:rFonts w:ascii="宋体"/>
                <w:vanish/>
              </w:rPr>
            </w:pPr>
          </w:p>
        </w:tc>
        <w:tc>
          <w:tcPr>
            <w:tcW w:w="0" w:type="auto"/>
            <w:gridSpan w:val="3"/>
            <w:shd w:val="clear" w:color="auto" w:fill="auto"/>
            <w:vAlign w:val="bottom"/>
          </w:tcPr>
          <w:p w14:paraId="71D426AC" w14:textId="77777777" w:rsidR="006A3667" w:rsidRDefault="006A3667">
            <w:pPr>
              <w:rPr>
                <w:rFonts w:ascii="宋体"/>
                <w:vanish/>
              </w:rPr>
            </w:pPr>
          </w:p>
        </w:tc>
        <w:tc>
          <w:tcPr>
            <w:tcW w:w="0" w:type="auto"/>
            <w:gridSpan w:val="3"/>
            <w:shd w:val="clear" w:color="auto" w:fill="auto"/>
            <w:vAlign w:val="bottom"/>
          </w:tcPr>
          <w:p w14:paraId="71D426AD" w14:textId="77777777" w:rsidR="006A3667" w:rsidRDefault="006A3667">
            <w:pPr>
              <w:rPr>
                <w:rFonts w:ascii="宋体"/>
                <w:vanish/>
              </w:rPr>
            </w:pPr>
          </w:p>
        </w:tc>
        <w:tc>
          <w:tcPr>
            <w:tcW w:w="0" w:type="auto"/>
            <w:gridSpan w:val="3"/>
            <w:shd w:val="clear" w:color="auto" w:fill="auto"/>
            <w:vAlign w:val="bottom"/>
          </w:tcPr>
          <w:p w14:paraId="71D426AE" w14:textId="77777777" w:rsidR="006A3667" w:rsidRDefault="006A3667">
            <w:pPr>
              <w:rPr>
                <w:rFonts w:ascii="宋体"/>
                <w:vanish/>
              </w:rPr>
            </w:pPr>
          </w:p>
        </w:tc>
        <w:tc>
          <w:tcPr>
            <w:tcW w:w="0" w:type="auto"/>
            <w:gridSpan w:val="3"/>
            <w:shd w:val="clear" w:color="auto" w:fill="auto"/>
            <w:vAlign w:val="bottom"/>
          </w:tcPr>
          <w:p w14:paraId="71D426AF" w14:textId="77777777" w:rsidR="006A3667" w:rsidRDefault="006A3667">
            <w:pPr>
              <w:rPr>
                <w:rFonts w:ascii="宋体"/>
                <w:vanish/>
              </w:rPr>
            </w:pPr>
          </w:p>
        </w:tc>
        <w:tc>
          <w:tcPr>
            <w:tcW w:w="0" w:type="auto"/>
            <w:gridSpan w:val="3"/>
            <w:shd w:val="clear" w:color="auto" w:fill="auto"/>
            <w:vAlign w:val="bottom"/>
          </w:tcPr>
          <w:p w14:paraId="71D426B0" w14:textId="77777777" w:rsidR="006A3667" w:rsidRDefault="006A3667">
            <w:pPr>
              <w:rPr>
                <w:rFonts w:ascii="宋体"/>
                <w:vanish/>
              </w:rPr>
            </w:pPr>
          </w:p>
        </w:tc>
      </w:tr>
      <w:tr w:rsidR="006A3667" w14:paraId="71D426C4" w14:textId="77777777">
        <w:trPr>
          <w:jc w:val="center"/>
          <w:hidden/>
        </w:trPr>
        <w:tc>
          <w:tcPr>
            <w:tcW w:w="0" w:type="auto"/>
            <w:gridSpan w:val="3"/>
            <w:shd w:val="clear" w:color="auto" w:fill="auto"/>
            <w:vAlign w:val="bottom"/>
          </w:tcPr>
          <w:p w14:paraId="71D426B2" w14:textId="77777777" w:rsidR="006A3667" w:rsidRDefault="006A3667">
            <w:pPr>
              <w:rPr>
                <w:rFonts w:ascii="宋体"/>
                <w:vanish/>
              </w:rPr>
            </w:pPr>
          </w:p>
        </w:tc>
        <w:tc>
          <w:tcPr>
            <w:tcW w:w="0" w:type="auto"/>
            <w:gridSpan w:val="3"/>
            <w:shd w:val="clear" w:color="auto" w:fill="auto"/>
            <w:vAlign w:val="bottom"/>
          </w:tcPr>
          <w:p w14:paraId="71D426B3" w14:textId="77777777" w:rsidR="006A3667" w:rsidRDefault="006A3667">
            <w:pPr>
              <w:rPr>
                <w:rFonts w:ascii="宋体"/>
                <w:vanish/>
              </w:rPr>
            </w:pPr>
          </w:p>
        </w:tc>
        <w:tc>
          <w:tcPr>
            <w:tcW w:w="0" w:type="auto"/>
            <w:gridSpan w:val="3"/>
            <w:shd w:val="clear" w:color="auto" w:fill="auto"/>
            <w:vAlign w:val="bottom"/>
          </w:tcPr>
          <w:p w14:paraId="71D426B4" w14:textId="77777777" w:rsidR="006A3667" w:rsidRDefault="006A3667">
            <w:pPr>
              <w:rPr>
                <w:rFonts w:ascii="宋体"/>
                <w:vanish/>
              </w:rPr>
            </w:pPr>
          </w:p>
        </w:tc>
        <w:tc>
          <w:tcPr>
            <w:tcW w:w="0" w:type="auto"/>
            <w:gridSpan w:val="3"/>
            <w:shd w:val="clear" w:color="auto" w:fill="auto"/>
            <w:vAlign w:val="bottom"/>
          </w:tcPr>
          <w:p w14:paraId="71D426B5" w14:textId="77777777" w:rsidR="006A3667" w:rsidRDefault="006A3667">
            <w:pPr>
              <w:rPr>
                <w:rFonts w:ascii="宋体"/>
                <w:vanish/>
              </w:rPr>
            </w:pPr>
          </w:p>
        </w:tc>
        <w:tc>
          <w:tcPr>
            <w:tcW w:w="0" w:type="auto"/>
            <w:gridSpan w:val="3"/>
            <w:shd w:val="clear" w:color="auto" w:fill="auto"/>
            <w:vAlign w:val="bottom"/>
          </w:tcPr>
          <w:p w14:paraId="71D426B6" w14:textId="77777777" w:rsidR="006A3667" w:rsidRDefault="006A3667">
            <w:pPr>
              <w:rPr>
                <w:rFonts w:ascii="宋体"/>
                <w:vanish/>
              </w:rPr>
            </w:pPr>
          </w:p>
        </w:tc>
        <w:tc>
          <w:tcPr>
            <w:tcW w:w="0" w:type="auto"/>
            <w:gridSpan w:val="3"/>
            <w:shd w:val="clear" w:color="auto" w:fill="auto"/>
            <w:vAlign w:val="bottom"/>
          </w:tcPr>
          <w:p w14:paraId="71D426B7" w14:textId="77777777" w:rsidR="006A3667" w:rsidRDefault="006A3667">
            <w:pPr>
              <w:rPr>
                <w:rFonts w:ascii="宋体"/>
                <w:vanish/>
              </w:rPr>
            </w:pPr>
          </w:p>
        </w:tc>
        <w:tc>
          <w:tcPr>
            <w:tcW w:w="0" w:type="auto"/>
            <w:gridSpan w:val="3"/>
            <w:shd w:val="clear" w:color="auto" w:fill="auto"/>
            <w:vAlign w:val="bottom"/>
          </w:tcPr>
          <w:p w14:paraId="71D426B8" w14:textId="77777777" w:rsidR="006A3667" w:rsidRDefault="006A3667">
            <w:pPr>
              <w:rPr>
                <w:rFonts w:ascii="宋体"/>
                <w:vanish/>
              </w:rPr>
            </w:pPr>
          </w:p>
        </w:tc>
        <w:tc>
          <w:tcPr>
            <w:tcW w:w="0" w:type="auto"/>
            <w:gridSpan w:val="3"/>
            <w:shd w:val="clear" w:color="auto" w:fill="auto"/>
            <w:vAlign w:val="bottom"/>
          </w:tcPr>
          <w:p w14:paraId="71D426B9" w14:textId="77777777" w:rsidR="006A3667" w:rsidRDefault="006A3667">
            <w:pPr>
              <w:rPr>
                <w:rFonts w:ascii="宋体"/>
                <w:vanish/>
              </w:rPr>
            </w:pPr>
          </w:p>
        </w:tc>
        <w:tc>
          <w:tcPr>
            <w:tcW w:w="0" w:type="auto"/>
            <w:gridSpan w:val="3"/>
            <w:shd w:val="clear" w:color="auto" w:fill="auto"/>
            <w:vAlign w:val="bottom"/>
          </w:tcPr>
          <w:p w14:paraId="71D426BA" w14:textId="77777777" w:rsidR="006A3667" w:rsidRDefault="006A3667">
            <w:pPr>
              <w:rPr>
                <w:rFonts w:ascii="宋体"/>
                <w:vanish/>
              </w:rPr>
            </w:pPr>
          </w:p>
        </w:tc>
        <w:tc>
          <w:tcPr>
            <w:tcW w:w="0" w:type="auto"/>
            <w:gridSpan w:val="3"/>
            <w:shd w:val="clear" w:color="auto" w:fill="auto"/>
            <w:vAlign w:val="bottom"/>
          </w:tcPr>
          <w:p w14:paraId="71D426BB" w14:textId="77777777" w:rsidR="006A3667" w:rsidRDefault="006A3667">
            <w:pPr>
              <w:rPr>
                <w:rFonts w:ascii="宋体"/>
                <w:vanish/>
              </w:rPr>
            </w:pPr>
          </w:p>
        </w:tc>
        <w:tc>
          <w:tcPr>
            <w:tcW w:w="0" w:type="auto"/>
            <w:gridSpan w:val="3"/>
            <w:shd w:val="clear" w:color="auto" w:fill="auto"/>
            <w:vAlign w:val="bottom"/>
          </w:tcPr>
          <w:p w14:paraId="71D426BC" w14:textId="77777777" w:rsidR="006A3667" w:rsidRDefault="006A3667">
            <w:pPr>
              <w:rPr>
                <w:rFonts w:ascii="宋体"/>
                <w:vanish/>
              </w:rPr>
            </w:pPr>
          </w:p>
        </w:tc>
        <w:tc>
          <w:tcPr>
            <w:tcW w:w="0" w:type="auto"/>
            <w:gridSpan w:val="3"/>
            <w:shd w:val="clear" w:color="auto" w:fill="auto"/>
            <w:vAlign w:val="bottom"/>
          </w:tcPr>
          <w:p w14:paraId="71D426BD" w14:textId="77777777" w:rsidR="006A3667" w:rsidRDefault="006A3667">
            <w:pPr>
              <w:rPr>
                <w:rFonts w:ascii="宋体"/>
                <w:vanish/>
              </w:rPr>
            </w:pPr>
          </w:p>
        </w:tc>
        <w:tc>
          <w:tcPr>
            <w:tcW w:w="0" w:type="auto"/>
            <w:gridSpan w:val="3"/>
            <w:shd w:val="clear" w:color="auto" w:fill="auto"/>
            <w:vAlign w:val="bottom"/>
          </w:tcPr>
          <w:p w14:paraId="71D426BE" w14:textId="77777777" w:rsidR="006A3667" w:rsidRDefault="006A3667">
            <w:pPr>
              <w:rPr>
                <w:rFonts w:ascii="宋体"/>
                <w:vanish/>
              </w:rPr>
            </w:pPr>
          </w:p>
        </w:tc>
        <w:tc>
          <w:tcPr>
            <w:tcW w:w="0" w:type="auto"/>
            <w:gridSpan w:val="3"/>
            <w:shd w:val="clear" w:color="auto" w:fill="auto"/>
            <w:vAlign w:val="bottom"/>
          </w:tcPr>
          <w:p w14:paraId="71D426BF" w14:textId="77777777" w:rsidR="006A3667" w:rsidRDefault="006A3667">
            <w:pPr>
              <w:rPr>
                <w:rFonts w:ascii="宋体"/>
                <w:vanish/>
              </w:rPr>
            </w:pPr>
          </w:p>
        </w:tc>
        <w:tc>
          <w:tcPr>
            <w:tcW w:w="0" w:type="auto"/>
            <w:gridSpan w:val="3"/>
            <w:shd w:val="clear" w:color="auto" w:fill="auto"/>
            <w:vAlign w:val="bottom"/>
          </w:tcPr>
          <w:p w14:paraId="71D426C0" w14:textId="77777777" w:rsidR="006A3667" w:rsidRDefault="006A3667">
            <w:pPr>
              <w:rPr>
                <w:rFonts w:ascii="宋体"/>
                <w:vanish/>
              </w:rPr>
            </w:pPr>
          </w:p>
        </w:tc>
        <w:tc>
          <w:tcPr>
            <w:tcW w:w="0" w:type="auto"/>
            <w:gridSpan w:val="3"/>
            <w:shd w:val="clear" w:color="auto" w:fill="auto"/>
            <w:vAlign w:val="bottom"/>
          </w:tcPr>
          <w:p w14:paraId="71D426C1" w14:textId="77777777" w:rsidR="006A3667" w:rsidRDefault="006A3667">
            <w:pPr>
              <w:rPr>
                <w:rFonts w:ascii="宋体"/>
                <w:vanish/>
              </w:rPr>
            </w:pPr>
          </w:p>
        </w:tc>
        <w:tc>
          <w:tcPr>
            <w:tcW w:w="0" w:type="auto"/>
            <w:gridSpan w:val="3"/>
            <w:shd w:val="clear" w:color="auto" w:fill="auto"/>
            <w:vAlign w:val="bottom"/>
          </w:tcPr>
          <w:p w14:paraId="71D426C2" w14:textId="77777777" w:rsidR="006A3667" w:rsidRDefault="006A3667">
            <w:pPr>
              <w:rPr>
                <w:rFonts w:ascii="宋体"/>
                <w:vanish/>
              </w:rPr>
            </w:pPr>
          </w:p>
        </w:tc>
        <w:tc>
          <w:tcPr>
            <w:tcW w:w="0" w:type="auto"/>
            <w:gridSpan w:val="3"/>
            <w:shd w:val="clear" w:color="auto" w:fill="auto"/>
            <w:vAlign w:val="bottom"/>
          </w:tcPr>
          <w:p w14:paraId="71D426C3" w14:textId="77777777" w:rsidR="006A3667" w:rsidRDefault="006A3667">
            <w:pPr>
              <w:rPr>
                <w:rFonts w:ascii="宋体"/>
                <w:vanish/>
              </w:rPr>
            </w:pPr>
          </w:p>
        </w:tc>
      </w:tr>
      <w:tr w:rsidR="006A3667" w14:paraId="71D426D7" w14:textId="77777777">
        <w:trPr>
          <w:jc w:val="center"/>
          <w:hidden/>
        </w:trPr>
        <w:tc>
          <w:tcPr>
            <w:tcW w:w="0" w:type="auto"/>
            <w:gridSpan w:val="3"/>
            <w:shd w:val="clear" w:color="auto" w:fill="auto"/>
            <w:vAlign w:val="bottom"/>
          </w:tcPr>
          <w:p w14:paraId="71D426C5" w14:textId="77777777" w:rsidR="006A3667" w:rsidRDefault="006A3667">
            <w:pPr>
              <w:rPr>
                <w:rFonts w:ascii="宋体"/>
                <w:vanish/>
              </w:rPr>
            </w:pPr>
          </w:p>
        </w:tc>
        <w:tc>
          <w:tcPr>
            <w:tcW w:w="0" w:type="auto"/>
            <w:gridSpan w:val="3"/>
            <w:shd w:val="clear" w:color="auto" w:fill="auto"/>
            <w:vAlign w:val="bottom"/>
          </w:tcPr>
          <w:p w14:paraId="71D426C6" w14:textId="77777777" w:rsidR="006A3667" w:rsidRDefault="006A3667">
            <w:pPr>
              <w:rPr>
                <w:rFonts w:ascii="宋体"/>
                <w:vanish/>
              </w:rPr>
            </w:pPr>
          </w:p>
        </w:tc>
        <w:tc>
          <w:tcPr>
            <w:tcW w:w="0" w:type="auto"/>
            <w:gridSpan w:val="3"/>
            <w:shd w:val="clear" w:color="auto" w:fill="auto"/>
            <w:vAlign w:val="bottom"/>
          </w:tcPr>
          <w:p w14:paraId="71D426C7" w14:textId="77777777" w:rsidR="006A3667" w:rsidRDefault="006A3667">
            <w:pPr>
              <w:rPr>
                <w:rFonts w:ascii="宋体"/>
                <w:vanish/>
              </w:rPr>
            </w:pPr>
          </w:p>
        </w:tc>
        <w:tc>
          <w:tcPr>
            <w:tcW w:w="0" w:type="auto"/>
            <w:gridSpan w:val="3"/>
            <w:shd w:val="clear" w:color="auto" w:fill="auto"/>
            <w:vAlign w:val="bottom"/>
          </w:tcPr>
          <w:p w14:paraId="71D426C8" w14:textId="77777777" w:rsidR="006A3667" w:rsidRDefault="006A3667">
            <w:pPr>
              <w:rPr>
                <w:rFonts w:ascii="宋体"/>
                <w:vanish/>
              </w:rPr>
            </w:pPr>
          </w:p>
        </w:tc>
        <w:tc>
          <w:tcPr>
            <w:tcW w:w="0" w:type="auto"/>
            <w:gridSpan w:val="3"/>
            <w:shd w:val="clear" w:color="auto" w:fill="auto"/>
            <w:vAlign w:val="bottom"/>
          </w:tcPr>
          <w:p w14:paraId="71D426C9" w14:textId="77777777" w:rsidR="006A3667" w:rsidRDefault="006A3667">
            <w:pPr>
              <w:rPr>
                <w:rFonts w:ascii="宋体"/>
                <w:vanish/>
              </w:rPr>
            </w:pPr>
          </w:p>
        </w:tc>
        <w:tc>
          <w:tcPr>
            <w:tcW w:w="0" w:type="auto"/>
            <w:gridSpan w:val="3"/>
            <w:shd w:val="clear" w:color="auto" w:fill="auto"/>
            <w:vAlign w:val="bottom"/>
          </w:tcPr>
          <w:p w14:paraId="71D426CA" w14:textId="77777777" w:rsidR="006A3667" w:rsidRDefault="006A3667">
            <w:pPr>
              <w:rPr>
                <w:rFonts w:ascii="宋体"/>
                <w:vanish/>
              </w:rPr>
            </w:pPr>
          </w:p>
        </w:tc>
        <w:tc>
          <w:tcPr>
            <w:tcW w:w="0" w:type="auto"/>
            <w:gridSpan w:val="3"/>
            <w:shd w:val="clear" w:color="auto" w:fill="auto"/>
            <w:vAlign w:val="bottom"/>
          </w:tcPr>
          <w:p w14:paraId="71D426CB" w14:textId="77777777" w:rsidR="006A3667" w:rsidRDefault="006A3667">
            <w:pPr>
              <w:rPr>
                <w:rFonts w:ascii="宋体"/>
                <w:vanish/>
              </w:rPr>
            </w:pPr>
          </w:p>
        </w:tc>
        <w:tc>
          <w:tcPr>
            <w:tcW w:w="0" w:type="auto"/>
            <w:gridSpan w:val="3"/>
            <w:shd w:val="clear" w:color="auto" w:fill="auto"/>
            <w:vAlign w:val="bottom"/>
          </w:tcPr>
          <w:p w14:paraId="71D426CC" w14:textId="77777777" w:rsidR="006A3667" w:rsidRDefault="006A3667">
            <w:pPr>
              <w:rPr>
                <w:rFonts w:ascii="宋体"/>
                <w:vanish/>
              </w:rPr>
            </w:pPr>
          </w:p>
        </w:tc>
        <w:tc>
          <w:tcPr>
            <w:tcW w:w="0" w:type="auto"/>
            <w:gridSpan w:val="3"/>
            <w:shd w:val="clear" w:color="auto" w:fill="auto"/>
            <w:vAlign w:val="bottom"/>
          </w:tcPr>
          <w:p w14:paraId="71D426CD" w14:textId="77777777" w:rsidR="006A3667" w:rsidRDefault="006A3667">
            <w:pPr>
              <w:rPr>
                <w:rFonts w:ascii="宋体"/>
                <w:vanish/>
              </w:rPr>
            </w:pPr>
          </w:p>
        </w:tc>
        <w:tc>
          <w:tcPr>
            <w:tcW w:w="0" w:type="auto"/>
            <w:gridSpan w:val="3"/>
            <w:shd w:val="clear" w:color="auto" w:fill="auto"/>
            <w:vAlign w:val="bottom"/>
          </w:tcPr>
          <w:p w14:paraId="71D426CE" w14:textId="77777777" w:rsidR="006A3667" w:rsidRDefault="006A3667">
            <w:pPr>
              <w:rPr>
                <w:rFonts w:ascii="宋体"/>
                <w:vanish/>
              </w:rPr>
            </w:pPr>
          </w:p>
        </w:tc>
        <w:tc>
          <w:tcPr>
            <w:tcW w:w="0" w:type="auto"/>
            <w:gridSpan w:val="3"/>
            <w:shd w:val="clear" w:color="auto" w:fill="auto"/>
            <w:vAlign w:val="bottom"/>
          </w:tcPr>
          <w:p w14:paraId="71D426CF" w14:textId="77777777" w:rsidR="006A3667" w:rsidRDefault="006A3667">
            <w:pPr>
              <w:rPr>
                <w:rFonts w:ascii="宋体"/>
                <w:vanish/>
              </w:rPr>
            </w:pPr>
          </w:p>
        </w:tc>
        <w:tc>
          <w:tcPr>
            <w:tcW w:w="0" w:type="auto"/>
            <w:gridSpan w:val="3"/>
            <w:shd w:val="clear" w:color="auto" w:fill="auto"/>
            <w:vAlign w:val="bottom"/>
          </w:tcPr>
          <w:p w14:paraId="71D426D0" w14:textId="77777777" w:rsidR="006A3667" w:rsidRDefault="006A3667">
            <w:pPr>
              <w:rPr>
                <w:rFonts w:ascii="宋体"/>
                <w:vanish/>
              </w:rPr>
            </w:pPr>
          </w:p>
        </w:tc>
        <w:tc>
          <w:tcPr>
            <w:tcW w:w="0" w:type="auto"/>
            <w:gridSpan w:val="3"/>
            <w:shd w:val="clear" w:color="auto" w:fill="auto"/>
            <w:vAlign w:val="bottom"/>
          </w:tcPr>
          <w:p w14:paraId="71D426D1" w14:textId="77777777" w:rsidR="006A3667" w:rsidRDefault="006A3667">
            <w:pPr>
              <w:rPr>
                <w:rFonts w:ascii="宋体"/>
                <w:vanish/>
              </w:rPr>
            </w:pPr>
          </w:p>
        </w:tc>
        <w:tc>
          <w:tcPr>
            <w:tcW w:w="0" w:type="auto"/>
            <w:gridSpan w:val="3"/>
            <w:shd w:val="clear" w:color="auto" w:fill="auto"/>
            <w:vAlign w:val="bottom"/>
          </w:tcPr>
          <w:p w14:paraId="71D426D2" w14:textId="77777777" w:rsidR="006A3667" w:rsidRDefault="006A3667">
            <w:pPr>
              <w:rPr>
                <w:rFonts w:ascii="宋体"/>
                <w:vanish/>
              </w:rPr>
            </w:pPr>
          </w:p>
        </w:tc>
        <w:tc>
          <w:tcPr>
            <w:tcW w:w="0" w:type="auto"/>
            <w:gridSpan w:val="3"/>
            <w:shd w:val="clear" w:color="auto" w:fill="auto"/>
            <w:vAlign w:val="bottom"/>
          </w:tcPr>
          <w:p w14:paraId="71D426D3" w14:textId="77777777" w:rsidR="006A3667" w:rsidRDefault="006A3667">
            <w:pPr>
              <w:rPr>
                <w:rFonts w:ascii="宋体"/>
                <w:vanish/>
              </w:rPr>
            </w:pPr>
          </w:p>
        </w:tc>
        <w:tc>
          <w:tcPr>
            <w:tcW w:w="0" w:type="auto"/>
            <w:gridSpan w:val="3"/>
            <w:shd w:val="clear" w:color="auto" w:fill="auto"/>
            <w:vAlign w:val="bottom"/>
          </w:tcPr>
          <w:p w14:paraId="71D426D4" w14:textId="77777777" w:rsidR="006A3667" w:rsidRDefault="006A3667">
            <w:pPr>
              <w:rPr>
                <w:rFonts w:ascii="宋体"/>
                <w:vanish/>
              </w:rPr>
            </w:pPr>
          </w:p>
        </w:tc>
        <w:tc>
          <w:tcPr>
            <w:tcW w:w="0" w:type="auto"/>
            <w:gridSpan w:val="3"/>
            <w:shd w:val="clear" w:color="auto" w:fill="auto"/>
            <w:vAlign w:val="bottom"/>
          </w:tcPr>
          <w:p w14:paraId="71D426D5" w14:textId="77777777" w:rsidR="006A3667" w:rsidRDefault="006A3667">
            <w:pPr>
              <w:rPr>
                <w:rFonts w:ascii="宋体"/>
                <w:vanish/>
              </w:rPr>
            </w:pPr>
          </w:p>
        </w:tc>
        <w:tc>
          <w:tcPr>
            <w:tcW w:w="0" w:type="auto"/>
            <w:gridSpan w:val="3"/>
            <w:shd w:val="clear" w:color="auto" w:fill="auto"/>
            <w:vAlign w:val="bottom"/>
          </w:tcPr>
          <w:p w14:paraId="71D426D6" w14:textId="77777777" w:rsidR="006A3667" w:rsidRDefault="006A3667">
            <w:pPr>
              <w:rPr>
                <w:rFonts w:ascii="宋体"/>
                <w:vanish/>
              </w:rPr>
            </w:pPr>
          </w:p>
        </w:tc>
      </w:tr>
      <w:tr w:rsidR="006A3667" w14:paraId="71D426EA" w14:textId="77777777">
        <w:trPr>
          <w:jc w:val="center"/>
          <w:hidden/>
        </w:trPr>
        <w:tc>
          <w:tcPr>
            <w:tcW w:w="0" w:type="auto"/>
            <w:gridSpan w:val="3"/>
            <w:shd w:val="clear" w:color="auto" w:fill="auto"/>
            <w:vAlign w:val="bottom"/>
          </w:tcPr>
          <w:p w14:paraId="71D426D8" w14:textId="77777777" w:rsidR="006A3667" w:rsidRDefault="006A3667">
            <w:pPr>
              <w:rPr>
                <w:rFonts w:ascii="宋体"/>
                <w:vanish/>
              </w:rPr>
            </w:pPr>
          </w:p>
        </w:tc>
        <w:tc>
          <w:tcPr>
            <w:tcW w:w="0" w:type="auto"/>
            <w:gridSpan w:val="3"/>
            <w:shd w:val="clear" w:color="auto" w:fill="auto"/>
            <w:vAlign w:val="bottom"/>
          </w:tcPr>
          <w:p w14:paraId="71D426D9" w14:textId="77777777" w:rsidR="006A3667" w:rsidRDefault="006A3667">
            <w:pPr>
              <w:rPr>
                <w:rFonts w:ascii="宋体"/>
                <w:vanish/>
              </w:rPr>
            </w:pPr>
          </w:p>
        </w:tc>
        <w:tc>
          <w:tcPr>
            <w:tcW w:w="0" w:type="auto"/>
            <w:gridSpan w:val="3"/>
            <w:shd w:val="clear" w:color="auto" w:fill="auto"/>
            <w:vAlign w:val="bottom"/>
          </w:tcPr>
          <w:p w14:paraId="71D426DA" w14:textId="77777777" w:rsidR="006A3667" w:rsidRDefault="006A3667">
            <w:pPr>
              <w:rPr>
                <w:rFonts w:ascii="宋体"/>
                <w:vanish/>
              </w:rPr>
            </w:pPr>
          </w:p>
        </w:tc>
        <w:tc>
          <w:tcPr>
            <w:tcW w:w="0" w:type="auto"/>
            <w:gridSpan w:val="3"/>
            <w:shd w:val="clear" w:color="auto" w:fill="auto"/>
            <w:vAlign w:val="bottom"/>
          </w:tcPr>
          <w:p w14:paraId="71D426DB" w14:textId="77777777" w:rsidR="006A3667" w:rsidRDefault="006A3667">
            <w:pPr>
              <w:rPr>
                <w:rFonts w:ascii="宋体"/>
                <w:vanish/>
              </w:rPr>
            </w:pPr>
          </w:p>
        </w:tc>
        <w:tc>
          <w:tcPr>
            <w:tcW w:w="0" w:type="auto"/>
            <w:gridSpan w:val="3"/>
            <w:shd w:val="clear" w:color="auto" w:fill="auto"/>
            <w:vAlign w:val="bottom"/>
          </w:tcPr>
          <w:p w14:paraId="71D426DC" w14:textId="77777777" w:rsidR="006A3667" w:rsidRDefault="006A3667">
            <w:pPr>
              <w:rPr>
                <w:rFonts w:ascii="宋体"/>
                <w:vanish/>
              </w:rPr>
            </w:pPr>
          </w:p>
        </w:tc>
        <w:tc>
          <w:tcPr>
            <w:tcW w:w="0" w:type="auto"/>
            <w:gridSpan w:val="3"/>
            <w:shd w:val="clear" w:color="auto" w:fill="auto"/>
            <w:vAlign w:val="bottom"/>
          </w:tcPr>
          <w:p w14:paraId="71D426DD" w14:textId="77777777" w:rsidR="006A3667" w:rsidRDefault="006A3667">
            <w:pPr>
              <w:rPr>
                <w:rFonts w:ascii="宋体"/>
                <w:vanish/>
              </w:rPr>
            </w:pPr>
          </w:p>
        </w:tc>
        <w:tc>
          <w:tcPr>
            <w:tcW w:w="0" w:type="auto"/>
            <w:gridSpan w:val="3"/>
            <w:shd w:val="clear" w:color="auto" w:fill="auto"/>
            <w:vAlign w:val="bottom"/>
          </w:tcPr>
          <w:p w14:paraId="71D426DE" w14:textId="77777777" w:rsidR="006A3667" w:rsidRDefault="006A3667">
            <w:pPr>
              <w:rPr>
                <w:rFonts w:ascii="宋体"/>
                <w:vanish/>
              </w:rPr>
            </w:pPr>
          </w:p>
        </w:tc>
        <w:tc>
          <w:tcPr>
            <w:tcW w:w="0" w:type="auto"/>
            <w:gridSpan w:val="3"/>
            <w:shd w:val="clear" w:color="auto" w:fill="auto"/>
            <w:vAlign w:val="bottom"/>
          </w:tcPr>
          <w:p w14:paraId="71D426DF" w14:textId="77777777" w:rsidR="006A3667" w:rsidRDefault="006A3667">
            <w:pPr>
              <w:rPr>
                <w:rFonts w:ascii="宋体"/>
                <w:vanish/>
              </w:rPr>
            </w:pPr>
          </w:p>
        </w:tc>
        <w:tc>
          <w:tcPr>
            <w:tcW w:w="0" w:type="auto"/>
            <w:gridSpan w:val="3"/>
            <w:shd w:val="clear" w:color="auto" w:fill="auto"/>
            <w:vAlign w:val="bottom"/>
          </w:tcPr>
          <w:p w14:paraId="71D426E0" w14:textId="77777777" w:rsidR="006A3667" w:rsidRDefault="006A3667">
            <w:pPr>
              <w:rPr>
                <w:rFonts w:ascii="宋体"/>
                <w:vanish/>
              </w:rPr>
            </w:pPr>
          </w:p>
        </w:tc>
        <w:tc>
          <w:tcPr>
            <w:tcW w:w="0" w:type="auto"/>
            <w:gridSpan w:val="3"/>
            <w:shd w:val="clear" w:color="auto" w:fill="auto"/>
            <w:vAlign w:val="bottom"/>
          </w:tcPr>
          <w:p w14:paraId="71D426E1" w14:textId="77777777" w:rsidR="006A3667" w:rsidRDefault="006A3667">
            <w:pPr>
              <w:rPr>
                <w:rFonts w:ascii="宋体"/>
                <w:vanish/>
              </w:rPr>
            </w:pPr>
          </w:p>
        </w:tc>
        <w:tc>
          <w:tcPr>
            <w:tcW w:w="0" w:type="auto"/>
            <w:gridSpan w:val="3"/>
            <w:shd w:val="clear" w:color="auto" w:fill="auto"/>
            <w:vAlign w:val="bottom"/>
          </w:tcPr>
          <w:p w14:paraId="71D426E2" w14:textId="77777777" w:rsidR="006A3667" w:rsidRDefault="006A3667">
            <w:pPr>
              <w:rPr>
                <w:rFonts w:ascii="宋体"/>
                <w:vanish/>
              </w:rPr>
            </w:pPr>
          </w:p>
        </w:tc>
        <w:tc>
          <w:tcPr>
            <w:tcW w:w="0" w:type="auto"/>
            <w:gridSpan w:val="3"/>
            <w:shd w:val="clear" w:color="auto" w:fill="auto"/>
            <w:vAlign w:val="bottom"/>
          </w:tcPr>
          <w:p w14:paraId="71D426E3" w14:textId="77777777" w:rsidR="006A3667" w:rsidRDefault="006A3667">
            <w:pPr>
              <w:rPr>
                <w:rFonts w:ascii="宋体"/>
                <w:vanish/>
              </w:rPr>
            </w:pPr>
          </w:p>
        </w:tc>
        <w:tc>
          <w:tcPr>
            <w:tcW w:w="0" w:type="auto"/>
            <w:gridSpan w:val="3"/>
            <w:shd w:val="clear" w:color="auto" w:fill="auto"/>
            <w:vAlign w:val="bottom"/>
          </w:tcPr>
          <w:p w14:paraId="71D426E4" w14:textId="77777777" w:rsidR="006A3667" w:rsidRDefault="006A3667">
            <w:pPr>
              <w:rPr>
                <w:rFonts w:ascii="宋体"/>
                <w:vanish/>
              </w:rPr>
            </w:pPr>
          </w:p>
        </w:tc>
        <w:tc>
          <w:tcPr>
            <w:tcW w:w="0" w:type="auto"/>
            <w:gridSpan w:val="3"/>
            <w:shd w:val="clear" w:color="auto" w:fill="auto"/>
            <w:vAlign w:val="bottom"/>
          </w:tcPr>
          <w:p w14:paraId="71D426E5" w14:textId="77777777" w:rsidR="006A3667" w:rsidRDefault="006A3667">
            <w:pPr>
              <w:rPr>
                <w:rFonts w:ascii="宋体"/>
                <w:vanish/>
              </w:rPr>
            </w:pPr>
          </w:p>
        </w:tc>
        <w:tc>
          <w:tcPr>
            <w:tcW w:w="0" w:type="auto"/>
            <w:gridSpan w:val="3"/>
            <w:shd w:val="clear" w:color="auto" w:fill="auto"/>
            <w:vAlign w:val="bottom"/>
          </w:tcPr>
          <w:p w14:paraId="71D426E6" w14:textId="77777777" w:rsidR="006A3667" w:rsidRDefault="006A3667">
            <w:pPr>
              <w:rPr>
                <w:rFonts w:ascii="宋体"/>
                <w:vanish/>
              </w:rPr>
            </w:pPr>
          </w:p>
        </w:tc>
        <w:tc>
          <w:tcPr>
            <w:tcW w:w="0" w:type="auto"/>
            <w:gridSpan w:val="3"/>
            <w:shd w:val="clear" w:color="auto" w:fill="auto"/>
            <w:vAlign w:val="bottom"/>
          </w:tcPr>
          <w:p w14:paraId="71D426E7" w14:textId="77777777" w:rsidR="006A3667" w:rsidRDefault="006A3667">
            <w:pPr>
              <w:rPr>
                <w:rFonts w:ascii="宋体"/>
                <w:vanish/>
              </w:rPr>
            </w:pPr>
          </w:p>
        </w:tc>
        <w:tc>
          <w:tcPr>
            <w:tcW w:w="0" w:type="auto"/>
            <w:gridSpan w:val="3"/>
            <w:shd w:val="clear" w:color="auto" w:fill="auto"/>
            <w:vAlign w:val="bottom"/>
          </w:tcPr>
          <w:p w14:paraId="71D426E8" w14:textId="77777777" w:rsidR="006A3667" w:rsidRDefault="006A3667">
            <w:pPr>
              <w:rPr>
                <w:rFonts w:ascii="宋体"/>
                <w:vanish/>
              </w:rPr>
            </w:pPr>
          </w:p>
        </w:tc>
        <w:tc>
          <w:tcPr>
            <w:tcW w:w="0" w:type="auto"/>
            <w:gridSpan w:val="3"/>
            <w:shd w:val="clear" w:color="auto" w:fill="auto"/>
            <w:vAlign w:val="bottom"/>
          </w:tcPr>
          <w:p w14:paraId="71D426E9" w14:textId="77777777" w:rsidR="006A3667" w:rsidRDefault="006A3667">
            <w:pPr>
              <w:rPr>
                <w:rFonts w:ascii="宋体"/>
                <w:vanish/>
              </w:rPr>
            </w:pPr>
          </w:p>
        </w:tc>
      </w:tr>
      <w:tr w:rsidR="006A3667" w14:paraId="71D426FD" w14:textId="77777777">
        <w:trPr>
          <w:jc w:val="center"/>
          <w:hidden/>
        </w:trPr>
        <w:tc>
          <w:tcPr>
            <w:tcW w:w="0" w:type="auto"/>
            <w:gridSpan w:val="3"/>
            <w:shd w:val="clear" w:color="auto" w:fill="auto"/>
            <w:vAlign w:val="bottom"/>
          </w:tcPr>
          <w:p w14:paraId="71D426EB" w14:textId="77777777" w:rsidR="006A3667" w:rsidRDefault="006A3667">
            <w:pPr>
              <w:rPr>
                <w:rFonts w:ascii="宋体"/>
                <w:vanish/>
              </w:rPr>
            </w:pPr>
          </w:p>
        </w:tc>
        <w:tc>
          <w:tcPr>
            <w:tcW w:w="0" w:type="auto"/>
            <w:gridSpan w:val="3"/>
            <w:shd w:val="clear" w:color="auto" w:fill="auto"/>
            <w:vAlign w:val="bottom"/>
          </w:tcPr>
          <w:p w14:paraId="71D426EC" w14:textId="77777777" w:rsidR="006A3667" w:rsidRDefault="006A3667">
            <w:pPr>
              <w:rPr>
                <w:rFonts w:ascii="宋体"/>
                <w:vanish/>
              </w:rPr>
            </w:pPr>
          </w:p>
        </w:tc>
        <w:tc>
          <w:tcPr>
            <w:tcW w:w="0" w:type="auto"/>
            <w:gridSpan w:val="3"/>
            <w:shd w:val="clear" w:color="auto" w:fill="auto"/>
            <w:vAlign w:val="bottom"/>
          </w:tcPr>
          <w:p w14:paraId="71D426ED" w14:textId="77777777" w:rsidR="006A3667" w:rsidRDefault="006A3667">
            <w:pPr>
              <w:rPr>
                <w:rFonts w:ascii="宋体"/>
                <w:vanish/>
              </w:rPr>
            </w:pPr>
          </w:p>
        </w:tc>
        <w:tc>
          <w:tcPr>
            <w:tcW w:w="0" w:type="auto"/>
            <w:gridSpan w:val="3"/>
            <w:shd w:val="clear" w:color="auto" w:fill="auto"/>
            <w:vAlign w:val="bottom"/>
          </w:tcPr>
          <w:p w14:paraId="71D426EE" w14:textId="77777777" w:rsidR="006A3667" w:rsidRDefault="006A3667">
            <w:pPr>
              <w:rPr>
                <w:rFonts w:ascii="宋体"/>
                <w:vanish/>
              </w:rPr>
            </w:pPr>
          </w:p>
        </w:tc>
        <w:tc>
          <w:tcPr>
            <w:tcW w:w="0" w:type="auto"/>
            <w:gridSpan w:val="3"/>
            <w:shd w:val="clear" w:color="auto" w:fill="auto"/>
            <w:vAlign w:val="bottom"/>
          </w:tcPr>
          <w:p w14:paraId="71D426EF" w14:textId="77777777" w:rsidR="006A3667" w:rsidRDefault="006A3667">
            <w:pPr>
              <w:rPr>
                <w:rFonts w:ascii="宋体"/>
                <w:vanish/>
              </w:rPr>
            </w:pPr>
          </w:p>
        </w:tc>
        <w:tc>
          <w:tcPr>
            <w:tcW w:w="0" w:type="auto"/>
            <w:gridSpan w:val="3"/>
            <w:shd w:val="clear" w:color="auto" w:fill="auto"/>
            <w:vAlign w:val="bottom"/>
          </w:tcPr>
          <w:p w14:paraId="71D426F0" w14:textId="77777777" w:rsidR="006A3667" w:rsidRDefault="006A3667">
            <w:pPr>
              <w:rPr>
                <w:rFonts w:ascii="宋体"/>
                <w:vanish/>
              </w:rPr>
            </w:pPr>
          </w:p>
        </w:tc>
        <w:tc>
          <w:tcPr>
            <w:tcW w:w="0" w:type="auto"/>
            <w:gridSpan w:val="3"/>
            <w:shd w:val="clear" w:color="auto" w:fill="auto"/>
            <w:vAlign w:val="bottom"/>
          </w:tcPr>
          <w:p w14:paraId="71D426F1" w14:textId="77777777" w:rsidR="006A3667" w:rsidRDefault="006A3667">
            <w:pPr>
              <w:rPr>
                <w:rFonts w:ascii="宋体"/>
                <w:vanish/>
              </w:rPr>
            </w:pPr>
          </w:p>
        </w:tc>
        <w:tc>
          <w:tcPr>
            <w:tcW w:w="0" w:type="auto"/>
            <w:gridSpan w:val="3"/>
            <w:shd w:val="clear" w:color="auto" w:fill="auto"/>
            <w:vAlign w:val="bottom"/>
          </w:tcPr>
          <w:p w14:paraId="71D426F2" w14:textId="77777777" w:rsidR="006A3667" w:rsidRDefault="006A3667">
            <w:pPr>
              <w:rPr>
                <w:rFonts w:ascii="宋体"/>
                <w:vanish/>
              </w:rPr>
            </w:pPr>
          </w:p>
        </w:tc>
        <w:tc>
          <w:tcPr>
            <w:tcW w:w="0" w:type="auto"/>
            <w:gridSpan w:val="3"/>
            <w:shd w:val="clear" w:color="auto" w:fill="auto"/>
            <w:vAlign w:val="bottom"/>
          </w:tcPr>
          <w:p w14:paraId="71D426F3" w14:textId="77777777" w:rsidR="006A3667" w:rsidRDefault="006A3667">
            <w:pPr>
              <w:rPr>
                <w:rFonts w:ascii="宋体"/>
                <w:vanish/>
              </w:rPr>
            </w:pPr>
          </w:p>
        </w:tc>
        <w:tc>
          <w:tcPr>
            <w:tcW w:w="0" w:type="auto"/>
            <w:gridSpan w:val="3"/>
            <w:shd w:val="clear" w:color="auto" w:fill="auto"/>
            <w:vAlign w:val="bottom"/>
          </w:tcPr>
          <w:p w14:paraId="71D426F4" w14:textId="77777777" w:rsidR="006A3667" w:rsidRDefault="006A3667">
            <w:pPr>
              <w:rPr>
                <w:rFonts w:ascii="宋体"/>
                <w:vanish/>
              </w:rPr>
            </w:pPr>
          </w:p>
        </w:tc>
        <w:tc>
          <w:tcPr>
            <w:tcW w:w="0" w:type="auto"/>
            <w:gridSpan w:val="3"/>
            <w:shd w:val="clear" w:color="auto" w:fill="auto"/>
            <w:vAlign w:val="bottom"/>
          </w:tcPr>
          <w:p w14:paraId="71D426F5" w14:textId="77777777" w:rsidR="006A3667" w:rsidRDefault="006A3667">
            <w:pPr>
              <w:rPr>
                <w:rFonts w:ascii="宋体"/>
                <w:vanish/>
              </w:rPr>
            </w:pPr>
          </w:p>
        </w:tc>
        <w:tc>
          <w:tcPr>
            <w:tcW w:w="0" w:type="auto"/>
            <w:gridSpan w:val="3"/>
            <w:shd w:val="clear" w:color="auto" w:fill="auto"/>
            <w:vAlign w:val="bottom"/>
          </w:tcPr>
          <w:p w14:paraId="71D426F6" w14:textId="77777777" w:rsidR="006A3667" w:rsidRDefault="006A3667">
            <w:pPr>
              <w:rPr>
                <w:rFonts w:ascii="宋体"/>
                <w:vanish/>
              </w:rPr>
            </w:pPr>
          </w:p>
        </w:tc>
        <w:tc>
          <w:tcPr>
            <w:tcW w:w="0" w:type="auto"/>
            <w:gridSpan w:val="3"/>
            <w:shd w:val="clear" w:color="auto" w:fill="auto"/>
            <w:vAlign w:val="bottom"/>
          </w:tcPr>
          <w:p w14:paraId="71D426F7" w14:textId="77777777" w:rsidR="006A3667" w:rsidRDefault="006A3667">
            <w:pPr>
              <w:rPr>
                <w:rFonts w:ascii="宋体"/>
                <w:vanish/>
              </w:rPr>
            </w:pPr>
          </w:p>
        </w:tc>
        <w:tc>
          <w:tcPr>
            <w:tcW w:w="0" w:type="auto"/>
            <w:gridSpan w:val="3"/>
            <w:shd w:val="clear" w:color="auto" w:fill="auto"/>
            <w:vAlign w:val="bottom"/>
          </w:tcPr>
          <w:p w14:paraId="71D426F8" w14:textId="77777777" w:rsidR="006A3667" w:rsidRDefault="006A3667">
            <w:pPr>
              <w:rPr>
                <w:rFonts w:ascii="宋体"/>
                <w:vanish/>
              </w:rPr>
            </w:pPr>
          </w:p>
        </w:tc>
        <w:tc>
          <w:tcPr>
            <w:tcW w:w="0" w:type="auto"/>
            <w:gridSpan w:val="3"/>
            <w:shd w:val="clear" w:color="auto" w:fill="auto"/>
            <w:vAlign w:val="bottom"/>
          </w:tcPr>
          <w:p w14:paraId="71D426F9" w14:textId="77777777" w:rsidR="006A3667" w:rsidRDefault="006A3667">
            <w:pPr>
              <w:rPr>
                <w:rFonts w:ascii="宋体"/>
                <w:vanish/>
              </w:rPr>
            </w:pPr>
          </w:p>
        </w:tc>
        <w:tc>
          <w:tcPr>
            <w:tcW w:w="0" w:type="auto"/>
            <w:gridSpan w:val="3"/>
            <w:shd w:val="clear" w:color="auto" w:fill="auto"/>
            <w:vAlign w:val="bottom"/>
          </w:tcPr>
          <w:p w14:paraId="71D426FA" w14:textId="77777777" w:rsidR="006A3667" w:rsidRDefault="006A3667">
            <w:pPr>
              <w:rPr>
                <w:rFonts w:ascii="宋体"/>
                <w:vanish/>
              </w:rPr>
            </w:pPr>
          </w:p>
        </w:tc>
        <w:tc>
          <w:tcPr>
            <w:tcW w:w="0" w:type="auto"/>
            <w:gridSpan w:val="3"/>
            <w:shd w:val="clear" w:color="auto" w:fill="auto"/>
            <w:vAlign w:val="bottom"/>
          </w:tcPr>
          <w:p w14:paraId="71D426FB" w14:textId="77777777" w:rsidR="006A3667" w:rsidRDefault="006A3667">
            <w:pPr>
              <w:rPr>
                <w:rFonts w:ascii="宋体"/>
                <w:vanish/>
              </w:rPr>
            </w:pPr>
          </w:p>
        </w:tc>
        <w:tc>
          <w:tcPr>
            <w:tcW w:w="0" w:type="auto"/>
            <w:gridSpan w:val="3"/>
            <w:shd w:val="clear" w:color="auto" w:fill="auto"/>
            <w:vAlign w:val="bottom"/>
          </w:tcPr>
          <w:p w14:paraId="71D426FC" w14:textId="77777777" w:rsidR="006A3667" w:rsidRDefault="006A3667">
            <w:pPr>
              <w:rPr>
                <w:rFonts w:ascii="宋体"/>
                <w:vanish/>
              </w:rPr>
            </w:pPr>
          </w:p>
        </w:tc>
      </w:tr>
      <w:tr w:rsidR="006A3667" w14:paraId="71D42710" w14:textId="77777777">
        <w:trPr>
          <w:jc w:val="center"/>
          <w:hidden/>
        </w:trPr>
        <w:tc>
          <w:tcPr>
            <w:tcW w:w="0" w:type="auto"/>
            <w:gridSpan w:val="3"/>
            <w:shd w:val="clear" w:color="auto" w:fill="auto"/>
            <w:vAlign w:val="bottom"/>
          </w:tcPr>
          <w:p w14:paraId="71D426FE" w14:textId="77777777" w:rsidR="006A3667" w:rsidRDefault="006A3667">
            <w:pPr>
              <w:rPr>
                <w:rFonts w:ascii="宋体"/>
                <w:vanish/>
              </w:rPr>
            </w:pPr>
          </w:p>
        </w:tc>
        <w:tc>
          <w:tcPr>
            <w:tcW w:w="0" w:type="auto"/>
            <w:gridSpan w:val="3"/>
            <w:shd w:val="clear" w:color="auto" w:fill="auto"/>
            <w:vAlign w:val="bottom"/>
          </w:tcPr>
          <w:p w14:paraId="71D426FF" w14:textId="77777777" w:rsidR="006A3667" w:rsidRDefault="006A3667">
            <w:pPr>
              <w:rPr>
                <w:rFonts w:ascii="宋体"/>
                <w:vanish/>
              </w:rPr>
            </w:pPr>
          </w:p>
        </w:tc>
        <w:tc>
          <w:tcPr>
            <w:tcW w:w="0" w:type="auto"/>
            <w:gridSpan w:val="3"/>
            <w:shd w:val="clear" w:color="auto" w:fill="auto"/>
            <w:vAlign w:val="bottom"/>
          </w:tcPr>
          <w:p w14:paraId="71D42700" w14:textId="77777777" w:rsidR="006A3667" w:rsidRDefault="006A3667">
            <w:pPr>
              <w:rPr>
                <w:rFonts w:ascii="宋体"/>
                <w:vanish/>
              </w:rPr>
            </w:pPr>
          </w:p>
        </w:tc>
        <w:tc>
          <w:tcPr>
            <w:tcW w:w="0" w:type="auto"/>
            <w:gridSpan w:val="3"/>
            <w:shd w:val="clear" w:color="auto" w:fill="auto"/>
            <w:vAlign w:val="bottom"/>
          </w:tcPr>
          <w:p w14:paraId="71D42701" w14:textId="77777777" w:rsidR="006A3667" w:rsidRDefault="006A3667">
            <w:pPr>
              <w:rPr>
                <w:rFonts w:ascii="宋体"/>
                <w:vanish/>
              </w:rPr>
            </w:pPr>
          </w:p>
        </w:tc>
        <w:tc>
          <w:tcPr>
            <w:tcW w:w="0" w:type="auto"/>
            <w:gridSpan w:val="3"/>
            <w:shd w:val="clear" w:color="auto" w:fill="auto"/>
            <w:vAlign w:val="bottom"/>
          </w:tcPr>
          <w:p w14:paraId="71D42702" w14:textId="77777777" w:rsidR="006A3667" w:rsidRDefault="006A3667">
            <w:pPr>
              <w:rPr>
                <w:rFonts w:ascii="宋体"/>
                <w:vanish/>
              </w:rPr>
            </w:pPr>
          </w:p>
        </w:tc>
        <w:tc>
          <w:tcPr>
            <w:tcW w:w="0" w:type="auto"/>
            <w:gridSpan w:val="3"/>
            <w:shd w:val="clear" w:color="auto" w:fill="auto"/>
            <w:vAlign w:val="bottom"/>
          </w:tcPr>
          <w:p w14:paraId="71D42703" w14:textId="77777777" w:rsidR="006A3667" w:rsidRDefault="006A3667">
            <w:pPr>
              <w:rPr>
                <w:rFonts w:ascii="宋体"/>
                <w:vanish/>
              </w:rPr>
            </w:pPr>
          </w:p>
        </w:tc>
        <w:tc>
          <w:tcPr>
            <w:tcW w:w="0" w:type="auto"/>
            <w:gridSpan w:val="3"/>
            <w:shd w:val="clear" w:color="auto" w:fill="auto"/>
            <w:vAlign w:val="bottom"/>
          </w:tcPr>
          <w:p w14:paraId="71D42704" w14:textId="77777777" w:rsidR="006A3667" w:rsidRDefault="006A3667">
            <w:pPr>
              <w:rPr>
                <w:rFonts w:ascii="宋体"/>
                <w:vanish/>
              </w:rPr>
            </w:pPr>
          </w:p>
        </w:tc>
        <w:tc>
          <w:tcPr>
            <w:tcW w:w="0" w:type="auto"/>
            <w:gridSpan w:val="3"/>
            <w:shd w:val="clear" w:color="auto" w:fill="auto"/>
            <w:vAlign w:val="bottom"/>
          </w:tcPr>
          <w:p w14:paraId="71D42705" w14:textId="77777777" w:rsidR="006A3667" w:rsidRDefault="006A3667">
            <w:pPr>
              <w:rPr>
                <w:rFonts w:ascii="宋体"/>
                <w:vanish/>
              </w:rPr>
            </w:pPr>
          </w:p>
        </w:tc>
        <w:tc>
          <w:tcPr>
            <w:tcW w:w="0" w:type="auto"/>
            <w:gridSpan w:val="3"/>
            <w:shd w:val="clear" w:color="auto" w:fill="auto"/>
            <w:vAlign w:val="bottom"/>
          </w:tcPr>
          <w:p w14:paraId="71D42706" w14:textId="77777777" w:rsidR="006A3667" w:rsidRDefault="006A3667">
            <w:pPr>
              <w:rPr>
                <w:rFonts w:ascii="宋体"/>
                <w:vanish/>
              </w:rPr>
            </w:pPr>
          </w:p>
        </w:tc>
        <w:tc>
          <w:tcPr>
            <w:tcW w:w="0" w:type="auto"/>
            <w:gridSpan w:val="3"/>
            <w:shd w:val="clear" w:color="auto" w:fill="auto"/>
            <w:vAlign w:val="bottom"/>
          </w:tcPr>
          <w:p w14:paraId="71D42707" w14:textId="77777777" w:rsidR="006A3667" w:rsidRDefault="006A3667">
            <w:pPr>
              <w:rPr>
                <w:rFonts w:ascii="宋体"/>
                <w:vanish/>
              </w:rPr>
            </w:pPr>
          </w:p>
        </w:tc>
        <w:tc>
          <w:tcPr>
            <w:tcW w:w="0" w:type="auto"/>
            <w:gridSpan w:val="3"/>
            <w:shd w:val="clear" w:color="auto" w:fill="auto"/>
            <w:vAlign w:val="bottom"/>
          </w:tcPr>
          <w:p w14:paraId="71D42708" w14:textId="77777777" w:rsidR="006A3667" w:rsidRDefault="006A3667">
            <w:pPr>
              <w:rPr>
                <w:rFonts w:ascii="宋体"/>
                <w:vanish/>
              </w:rPr>
            </w:pPr>
          </w:p>
        </w:tc>
        <w:tc>
          <w:tcPr>
            <w:tcW w:w="0" w:type="auto"/>
            <w:gridSpan w:val="3"/>
            <w:shd w:val="clear" w:color="auto" w:fill="auto"/>
            <w:vAlign w:val="bottom"/>
          </w:tcPr>
          <w:p w14:paraId="71D42709" w14:textId="77777777" w:rsidR="006A3667" w:rsidRDefault="006A3667">
            <w:pPr>
              <w:rPr>
                <w:rFonts w:ascii="宋体"/>
                <w:vanish/>
              </w:rPr>
            </w:pPr>
          </w:p>
        </w:tc>
        <w:tc>
          <w:tcPr>
            <w:tcW w:w="0" w:type="auto"/>
            <w:gridSpan w:val="3"/>
            <w:shd w:val="clear" w:color="auto" w:fill="auto"/>
            <w:vAlign w:val="bottom"/>
          </w:tcPr>
          <w:p w14:paraId="71D4270A" w14:textId="77777777" w:rsidR="006A3667" w:rsidRDefault="006A3667">
            <w:pPr>
              <w:rPr>
                <w:rFonts w:ascii="宋体"/>
                <w:vanish/>
              </w:rPr>
            </w:pPr>
          </w:p>
        </w:tc>
        <w:tc>
          <w:tcPr>
            <w:tcW w:w="0" w:type="auto"/>
            <w:gridSpan w:val="3"/>
            <w:shd w:val="clear" w:color="auto" w:fill="auto"/>
            <w:vAlign w:val="bottom"/>
          </w:tcPr>
          <w:p w14:paraId="71D4270B" w14:textId="77777777" w:rsidR="006A3667" w:rsidRDefault="006A3667">
            <w:pPr>
              <w:rPr>
                <w:rFonts w:ascii="宋体"/>
                <w:vanish/>
              </w:rPr>
            </w:pPr>
          </w:p>
        </w:tc>
        <w:tc>
          <w:tcPr>
            <w:tcW w:w="0" w:type="auto"/>
            <w:gridSpan w:val="3"/>
            <w:shd w:val="clear" w:color="auto" w:fill="auto"/>
            <w:vAlign w:val="bottom"/>
          </w:tcPr>
          <w:p w14:paraId="71D4270C" w14:textId="77777777" w:rsidR="006A3667" w:rsidRDefault="006A3667">
            <w:pPr>
              <w:rPr>
                <w:rFonts w:ascii="宋体"/>
                <w:vanish/>
              </w:rPr>
            </w:pPr>
          </w:p>
        </w:tc>
        <w:tc>
          <w:tcPr>
            <w:tcW w:w="0" w:type="auto"/>
            <w:gridSpan w:val="3"/>
            <w:shd w:val="clear" w:color="auto" w:fill="auto"/>
            <w:vAlign w:val="bottom"/>
          </w:tcPr>
          <w:p w14:paraId="71D4270D" w14:textId="77777777" w:rsidR="006A3667" w:rsidRDefault="006A3667">
            <w:pPr>
              <w:rPr>
                <w:rFonts w:ascii="宋体"/>
                <w:vanish/>
              </w:rPr>
            </w:pPr>
          </w:p>
        </w:tc>
        <w:tc>
          <w:tcPr>
            <w:tcW w:w="0" w:type="auto"/>
            <w:gridSpan w:val="3"/>
            <w:shd w:val="clear" w:color="auto" w:fill="auto"/>
            <w:vAlign w:val="bottom"/>
          </w:tcPr>
          <w:p w14:paraId="71D4270E" w14:textId="77777777" w:rsidR="006A3667" w:rsidRDefault="006A3667">
            <w:pPr>
              <w:rPr>
                <w:rFonts w:ascii="宋体"/>
                <w:vanish/>
              </w:rPr>
            </w:pPr>
          </w:p>
        </w:tc>
        <w:tc>
          <w:tcPr>
            <w:tcW w:w="0" w:type="auto"/>
            <w:gridSpan w:val="3"/>
            <w:shd w:val="clear" w:color="auto" w:fill="auto"/>
            <w:vAlign w:val="bottom"/>
          </w:tcPr>
          <w:p w14:paraId="71D4270F" w14:textId="77777777" w:rsidR="006A3667" w:rsidRDefault="006A3667">
            <w:pPr>
              <w:rPr>
                <w:rFonts w:ascii="宋体"/>
                <w:vanish/>
              </w:rPr>
            </w:pPr>
          </w:p>
        </w:tc>
      </w:tr>
      <w:tr w:rsidR="006A3667" w14:paraId="71D42723" w14:textId="77777777">
        <w:trPr>
          <w:jc w:val="center"/>
          <w:hidden/>
        </w:trPr>
        <w:tc>
          <w:tcPr>
            <w:tcW w:w="0" w:type="auto"/>
            <w:gridSpan w:val="3"/>
            <w:shd w:val="clear" w:color="auto" w:fill="auto"/>
            <w:vAlign w:val="bottom"/>
          </w:tcPr>
          <w:p w14:paraId="71D42711" w14:textId="77777777" w:rsidR="006A3667" w:rsidRDefault="006A3667">
            <w:pPr>
              <w:rPr>
                <w:rFonts w:ascii="宋体"/>
                <w:vanish/>
              </w:rPr>
            </w:pPr>
          </w:p>
        </w:tc>
        <w:tc>
          <w:tcPr>
            <w:tcW w:w="0" w:type="auto"/>
            <w:gridSpan w:val="3"/>
            <w:shd w:val="clear" w:color="auto" w:fill="auto"/>
            <w:vAlign w:val="bottom"/>
          </w:tcPr>
          <w:p w14:paraId="71D42712" w14:textId="77777777" w:rsidR="006A3667" w:rsidRDefault="006A3667">
            <w:pPr>
              <w:rPr>
                <w:rFonts w:ascii="宋体"/>
                <w:vanish/>
              </w:rPr>
            </w:pPr>
          </w:p>
        </w:tc>
        <w:tc>
          <w:tcPr>
            <w:tcW w:w="0" w:type="auto"/>
            <w:gridSpan w:val="3"/>
            <w:shd w:val="clear" w:color="auto" w:fill="auto"/>
            <w:vAlign w:val="bottom"/>
          </w:tcPr>
          <w:p w14:paraId="71D42713" w14:textId="77777777" w:rsidR="006A3667" w:rsidRDefault="006A3667">
            <w:pPr>
              <w:rPr>
                <w:rFonts w:ascii="宋体"/>
                <w:vanish/>
              </w:rPr>
            </w:pPr>
          </w:p>
        </w:tc>
        <w:tc>
          <w:tcPr>
            <w:tcW w:w="0" w:type="auto"/>
            <w:gridSpan w:val="3"/>
            <w:shd w:val="clear" w:color="auto" w:fill="auto"/>
            <w:vAlign w:val="bottom"/>
          </w:tcPr>
          <w:p w14:paraId="71D42714" w14:textId="77777777" w:rsidR="006A3667" w:rsidRDefault="006A3667">
            <w:pPr>
              <w:rPr>
                <w:rFonts w:ascii="宋体"/>
                <w:vanish/>
              </w:rPr>
            </w:pPr>
          </w:p>
        </w:tc>
        <w:tc>
          <w:tcPr>
            <w:tcW w:w="0" w:type="auto"/>
            <w:gridSpan w:val="3"/>
            <w:shd w:val="clear" w:color="auto" w:fill="auto"/>
            <w:vAlign w:val="bottom"/>
          </w:tcPr>
          <w:p w14:paraId="71D42715" w14:textId="77777777" w:rsidR="006A3667" w:rsidRDefault="006A3667">
            <w:pPr>
              <w:rPr>
                <w:rFonts w:ascii="宋体"/>
                <w:vanish/>
              </w:rPr>
            </w:pPr>
          </w:p>
        </w:tc>
        <w:tc>
          <w:tcPr>
            <w:tcW w:w="0" w:type="auto"/>
            <w:gridSpan w:val="3"/>
            <w:shd w:val="clear" w:color="auto" w:fill="auto"/>
            <w:vAlign w:val="bottom"/>
          </w:tcPr>
          <w:p w14:paraId="71D42716" w14:textId="77777777" w:rsidR="006A3667" w:rsidRDefault="006A3667">
            <w:pPr>
              <w:rPr>
                <w:rFonts w:ascii="宋体"/>
                <w:vanish/>
              </w:rPr>
            </w:pPr>
          </w:p>
        </w:tc>
        <w:tc>
          <w:tcPr>
            <w:tcW w:w="0" w:type="auto"/>
            <w:gridSpan w:val="3"/>
            <w:shd w:val="clear" w:color="auto" w:fill="auto"/>
            <w:vAlign w:val="bottom"/>
          </w:tcPr>
          <w:p w14:paraId="71D42717" w14:textId="77777777" w:rsidR="006A3667" w:rsidRDefault="006A3667">
            <w:pPr>
              <w:rPr>
                <w:rFonts w:ascii="宋体"/>
                <w:vanish/>
              </w:rPr>
            </w:pPr>
          </w:p>
        </w:tc>
        <w:tc>
          <w:tcPr>
            <w:tcW w:w="0" w:type="auto"/>
            <w:gridSpan w:val="3"/>
            <w:shd w:val="clear" w:color="auto" w:fill="auto"/>
            <w:vAlign w:val="bottom"/>
          </w:tcPr>
          <w:p w14:paraId="71D42718" w14:textId="77777777" w:rsidR="006A3667" w:rsidRDefault="006A3667">
            <w:pPr>
              <w:rPr>
                <w:rFonts w:ascii="宋体"/>
                <w:vanish/>
              </w:rPr>
            </w:pPr>
          </w:p>
        </w:tc>
        <w:tc>
          <w:tcPr>
            <w:tcW w:w="0" w:type="auto"/>
            <w:gridSpan w:val="3"/>
            <w:shd w:val="clear" w:color="auto" w:fill="auto"/>
            <w:vAlign w:val="bottom"/>
          </w:tcPr>
          <w:p w14:paraId="71D42719" w14:textId="77777777" w:rsidR="006A3667" w:rsidRDefault="006A3667">
            <w:pPr>
              <w:rPr>
                <w:rFonts w:ascii="宋体"/>
                <w:vanish/>
              </w:rPr>
            </w:pPr>
          </w:p>
        </w:tc>
        <w:tc>
          <w:tcPr>
            <w:tcW w:w="0" w:type="auto"/>
            <w:gridSpan w:val="3"/>
            <w:shd w:val="clear" w:color="auto" w:fill="auto"/>
            <w:vAlign w:val="bottom"/>
          </w:tcPr>
          <w:p w14:paraId="71D4271A" w14:textId="77777777" w:rsidR="006A3667" w:rsidRDefault="006A3667">
            <w:pPr>
              <w:rPr>
                <w:rFonts w:ascii="宋体"/>
                <w:vanish/>
              </w:rPr>
            </w:pPr>
          </w:p>
        </w:tc>
        <w:tc>
          <w:tcPr>
            <w:tcW w:w="0" w:type="auto"/>
            <w:gridSpan w:val="3"/>
            <w:shd w:val="clear" w:color="auto" w:fill="auto"/>
            <w:vAlign w:val="bottom"/>
          </w:tcPr>
          <w:p w14:paraId="71D4271B" w14:textId="77777777" w:rsidR="006A3667" w:rsidRDefault="006A3667">
            <w:pPr>
              <w:rPr>
                <w:rFonts w:ascii="宋体"/>
                <w:vanish/>
              </w:rPr>
            </w:pPr>
          </w:p>
        </w:tc>
        <w:tc>
          <w:tcPr>
            <w:tcW w:w="0" w:type="auto"/>
            <w:gridSpan w:val="3"/>
            <w:shd w:val="clear" w:color="auto" w:fill="auto"/>
            <w:vAlign w:val="bottom"/>
          </w:tcPr>
          <w:p w14:paraId="71D4271C" w14:textId="77777777" w:rsidR="006A3667" w:rsidRDefault="006A3667">
            <w:pPr>
              <w:rPr>
                <w:rFonts w:ascii="宋体"/>
                <w:vanish/>
              </w:rPr>
            </w:pPr>
          </w:p>
        </w:tc>
        <w:tc>
          <w:tcPr>
            <w:tcW w:w="0" w:type="auto"/>
            <w:gridSpan w:val="3"/>
            <w:shd w:val="clear" w:color="auto" w:fill="auto"/>
            <w:vAlign w:val="bottom"/>
          </w:tcPr>
          <w:p w14:paraId="71D4271D" w14:textId="77777777" w:rsidR="006A3667" w:rsidRDefault="006A3667">
            <w:pPr>
              <w:rPr>
                <w:rFonts w:ascii="宋体"/>
                <w:vanish/>
              </w:rPr>
            </w:pPr>
          </w:p>
        </w:tc>
        <w:tc>
          <w:tcPr>
            <w:tcW w:w="0" w:type="auto"/>
            <w:gridSpan w:val="3"/>
            <w:shd w:val="clear" w:color="auto" w:fill="auto"/>
            <w:vAlign w:val="bottom"/>
          </w:tcPr>
          <w:p w14:paraId="71D4271E" w14:textId="77777777" w:rsidR="006A3667" w:rsidRDefault="006A3667">
            <w:pPr>
              <w:rPr>
                <w:rFonts w:ascii="宋体"/>
                <w:vanish/>
              </w:rPr>
            </w:pPr>
          </w:p>
        </w:tc>
        <w:tc>
          <w:tcPr>
            <w:tcW w:w="0" w:type="auto"/>
            <w:gridSpan w:val="3"/>
            <w:shd w:val="clear" w:color="auto" w:fill="auto"/>
            <w:vAlign w:val="bottom"/>
          </w:tcPr>
          <w:p w14:paraId="71D4271F" w14:textId="77777777" w:rsidR="006A3667" w:rsidRDefault="006A3667">
            <w:pPr>
              <w:rPr>
                <w:rFonts w:ascii="宋体"/>
                <w:vanish/>
              </w:rPr>
            </w:pPr>
          </w:p>
        </w:tc>
        <w:tc>
          <w:tcPr>
            <w:tcW w:w="0" w:type="auto"/>
            <w:gridSpan w:val="3"/>
            <w:shd w:val="clear" w:color="auto" w:fill="auto"/>
            <w:vAlign w:val="bottom"/>
          </w:tcPr>
          <w:p w14:paraId="71D42720" w14:textId="77777777" w:rsidR="006A3667" w:rsidRDefault="006A3667">
            <w:pPr>
              <w:rPr>
                <w:rFonts w:ascii="宋体"/>
                <w:vanish/>
              </w:rPr>
            </w:pPr>
          </w:p>
        </w:tc>
        <w:tc>
          <w:tcPr>
            <w:tcW w:w="0" w:type="auto"/>
            <w:gridSpan w:val="3"/>
            <w:shd w:val="clear" w:color="auto" w:fill="auto"/>
            <w:vAlign w:val="bottom"/>
          </w:tcPr>
          <w:p w14:paraId="71D42721" w14:textId="77777777" w:rsidR="006A3667" w:rsidRDefault="006A3667">
            <w:pPr>
              <w:rPr>
                <w:rFonts w:ascii="宋体"/>
                <w:vanish/>
              </w:rPr>
            </w:pPr>
          </w:p>
        </w:tc>
        <w:tc>
          <w:tcPr>
            <w:tcW w:w="0" w:type="auto"/>
            <w:gridSpan w:val="3"/>
            <w:shd w:val="clear" w:color="auto" w:fill="auto"/>
            <w:vAlign w:val="bottom"/>
          </w:tcPr>
          <w:p w14:paraId="71D42722" w14:textId="77777777" w:rsidR="006A3667" w:rsidRDefault="006A3667">
            <w:pPr>
              <w:rPr>
                <w:rFonts w:ascii="宋体"/>
                <w:vanish/>
              </w:rPr>
            </w:pPr>
          </w:p>
        </w:tc>
      </w:tr>
      <w:tr w:rsidR="006A3667" w14:paraId="71D42736" w14:textId="77777777">
        <w:trPr>
          <w:jc w:val="center"/>
          <w:hidden/>
        </w:trPr>
        <w:tc>
          <w:tcPr>
            <w:tcW w:w="0" w:type="auto"/>
            <w:gridSpan w:val="3"/>
            <w:shd w:val="clear" w:color="auto" w:fill="auto"/>
            <w:vAlign w:val="bottom"/>
          </w:tcPr>
          <w:p w14:paraId="71D42724" w14:textId="77777777" w:rsidR="006A3667" w:rsidRDefault="006A3667">
            <w:pPr>
              <w:rPr>
                <w:rFonts w:ascii="宋体"/>
                <w:vanish/>
              </w:rPr>
            </w:pPr>
          </w:p>
        </w:tc>
        <w:tc>
          <w:tcPr>
            <w:tcW w:w="0" w:type="auto"/>
            <w:gridSpan w:val="3"/>
            <w:shd w:val="clear" w:color="auto" w:fill="auto"/>
            <w:vAlign w:val="bottom"/>
          </w:tcPr>
          <w:p w14:paraId="71D42725" w14:textId="77777777" w:rsidR="006A3667" w:rsidRDefault="006A3667">
            <w:pPr>
              <w:rPr>
                <w:rFonts w:ascii="宋体"/>
                <w:vanish/>
              </w:rPr>
            </w:pPr>
          </w:p>
        </w:tc>
        <w:tc>
          <w:tcPr>
            <w:tcW w:w="0" w:type="auto"/>
            <w:gridSpan w:val="3"/>
            <w:shd w:val="clear" w:color="auto" w:fill="auto"/>
            <w:vAlign w:val="bottom"/>
          </w:tcPr>
          <w:p w14:paraId="71D42726" w14:textId="77777777" w:rsidR="006A3667" w:rsidRDefault="006A3667">
            <w:pPr>
              <w:rPr>
                <w:rFonts w:ascii="宋体"/>
                <w:vanish/>
              </w:rPr>
            </w:pPr>
          </w:p>
        </w:tc>
        <w:tc>
          <w:tcPr>
            <w:tcW w:w="0" w:type="auto"/>
            <w:gridSpan w:val="3"/>
            <w:shd w:val="clear" w:color="auto" w:fill="auto"/>
            <w:vAlign w:val="bottom"/>
          </w:tcPr>
          <w:p w14:paraId="71D42727" w14:textId="77777777" w:rsidR="006A3667" w:rsidRDefault="006A3667">
            <w:pPr>
              <w:rPr>
                <w:rFonts w:ascii="宋体"/>
                <w:vanish/>
              </w:rPr>
            </w:pPr>
          </w:p>
        </w:tc>
        <w:tc>
          <w:tcPr>
            <w:tcW w:w="0" w:type="auto"/>
            <w:gridSpan w:val="3"/>
            <w:shd w:val="clear" w:color="auto" w:fill="auto"/>
            <w:vAlign w:val="bottom"/>
          </w:tcPr>
          <w:p w14:paraId="71D42728" w14:textId="77777777" w:rsidR="006A3667" w:rsidRDefault="006A3667">
            <w:pPr>
              <w:rPr>
                <w:rFonts w:ascii="宋体"/>
                <w:vanish/>
              </w:rPr>
            </w:pPr>
          </w:p>
        </w:tc>
        <w:tc>
          <w:tcPr>
            <w:tcW w:w="0" w:type="auto"/>
            <w:gridSpan w:val="3"/>
            <w:shd w:val="clear" w:color="auto" w:fill="auto"/>
            <w:vAlign w:val="bottom"/>
          </w:tcPr>
          <w:p w14:paraId="71D42729" w14:textId="77777777" w:rsidR="006A3667" w:rsidRDefault="006A3667">
            <w:pPr>
              <w:rPr>
                <w:rFonts w:ascii="宋体"/>
                <w:vanish/>
              </w:rPr>
            </w:pPr>
          </w:p>
        </w:tc>
        <w:tc>
          <w:tcPr>
            <w:tcW w:w="0" w:type="auto"/>
            <w:gridSpan w:val="3"/>
            <w:shd w:val="clear" w:color="auto" w:fill="auto"/>
            <w:vAlign w:val="bottom"/>
          </w:tcPr>
          <w:p w14:paraId="71D4272A" w14:textId="77777777" w:rsidR="006A3667" w:rsidRDefault="006A3667">
            <w:pPr>
              <w:rPr>
                <w:rFonts w:ascii="宋体"/>
                <w:vanish/>
              </w:rPr>
            </w:pPr>
          </w:p>
        </w:tc>
        <w:tc>
          <w:tcPr>
            <w:tcW w:w="0" w:type="auto"/>
            <w:gridSpan w:val="3"/>
            <w:shd w:val="clear" w:color="auto" w:fill="auto"/>
            <w:vAlign w:val="bottom"/>
          </w:tcPr>
          <w:p w14:paraId="71D4272B" w14:textId="77777777" w:rsidR="006A3667" w:rsidRDefault="006A3667">
            <w:pPr>
              <w:rPr>
                <w:rFonts w:ascii="宋体"/>
                <w:vanish/>
              </w:rPr>
            </w:pPr>
          </w:p>
        </w:tc>
        <w:tc>
          <w:tcPr>
            <w:tcW w:w="0" w:type="auto"/>
            <w:gridSpan w:val="3"/>
            <w:shd w:val="clear" w:color="auto" w:fill="auto"/>
            <w:vAlign w:val="bottom"/>
          </w:tcPr>
          <w:p w14:paraId="71D4272C" w14:textId="77777777" w:rsidR="006A3667" w:rsidRDefault="006A3667">
            <w:pPr>
              <w:rPr>
                <w:rFonts w:ascii="宋体"/>
                <w:vanish/>
              </w:rPr>
            </w:pPr>
          </w:p>
        </w:tc>
        <w:tc>
          <w:tcPr>
            <w:tcW w:w="0" w:type="auto"/>
            <w:gridSpan w:val="3"/>
            <w:shd w:val="clear" w:color="auto" w:fill="auto"/>
            <w:vAlign w:val="bottom"/>
          </w:tcPr>
          <w:p w14:paraId="71D4272D" w14:textId="77777777" w:rsidR="006A3667" w:rsidRDefault="006A3667">
            <w:pPr>
              <w:rPr>
                <w:rFonts w:ascii="宋体"/>
                <w:vanish/>
              </w:rPr>
            </w:pPr>
          </w:p>
        </w:tc>
        <w:tc>
          <w:tcPr>
            <w:tcW w:w="0" w:type="auto"/>
            <w:gridSpan w:val="3"/>
            <w:shd w:val="clear" w:color="auto" w:fill="auto"/>
            <w:vAlign w:val="bottom"/>
          </w:tcPr>
          <w:p w14:paraId="71D4272E" w14:textId="77777777" w:rsidR="006A3667" w:rsidRDefault="006A3667">
            <w:pPr>
              <w:rPr>
                <w:rFonts w:ascii="宋体"/>
                <w:vanish/>
              </w:rPr>
            </w:pPr>
          </w:p>
        </w:tc>
        <w:tc>
          <w:tcPr>
            <w:tcW w:w="0" w:type="auto"/>
            <w:gridSpan w:val="3"/>
            <w:shd w:val="clear" w:color="auto" w:fill="auto"/>
            <w:vAlign w:val="bottom"/>
          </w:tcPr>
          <w:p w14:paraId="71D4272F" w14:textId="77777777" w:rsidR="006A3667" w:rsidRDefault="006A3667">
            <w:pPr>
              <w:rPr>
                <w:rFonts w:ascii="宋体"/>
                <w:vanish/>
              </w:rPr>
            </w:pPr>
          </w:p>
        </w:tc>
        <w:tc>
          <w:tcPr>
            <w:tcW w:w="0" w:type="auto"/>
            <w:gridSpan w:val="3"/>
            <w:shd w:val="clear" w:color="auto" w:fill="auto"/>
            <w:vAlign w:val="bottom"/>
          </w:tcPr>
          <w:p w14:paraId="71D42730" w14:textId="77777777" w:rsidR="006A3667" w:rsidRDefault="006A3667">
            <w:pPr>
              <w:rPr>
                <w:rFonts w:ascii="宋体"/>
                <w:vanish/>
              </w:rPr>
            </w:pPr>
          </w:p>
        </w:tc>
        <w:tc>
          <w:tcPr>
            <w:tcW w:w="0" w:type="auto"/>
            <w:gridSpan w:val="3"/>
            <w:shd w:val="clear" w:color="auto" w:fill="auto"/>
            <w:vAlign w:val="bottom"/>
          </w:tcPr>
          <w:p w14:paraId="71D42731" w14:textId="77777777" w:rsidR="006A3667" w:rsidRDefault="006A3667">
            <w:pPr>
              <w:rPr>
                <w:rFonts w:ascii="宋体"/>
                <w:vanish/>
              </w:rPr>
            </w:pPr>
          </w:p>
        </w:tc>
        <w:tc>
          <w:tcPr>
            <w:tcW w:w="0" w:type="auto"/>
            <w:gridSpan w:val="3"/>
            <w:shd w:val="clear" w:color="auto" w:fill="auto"/>
            <w:vAlign w:val="bottom"/>
          </w:tcPr>
          <w:p w14:paraId="71D42732" w14:textId="77777777" w:rsidR="006A3667" w:rsidRDefault="006A3667">
            <w:pPr>
              <w:rPr>
                <w:rFonts w:ascii="宋体"/>
                <w:vanish/>
              </w:rPr>
            </w:pPr>
          </w:p>
        </w:tc>
        <w:tc>
          <w:tcPr>
            <w:tcW w:w="0" w:type="auto"/>
            <w:gridSpan w:val="3"/>
            <w:shd w:val="clear" w:color="auto" w:fill="auto"/>
            <w:vAlign w:val="bottom"/>
          </w:tcPr>
          <w:p w14:paraId="71D42733" w14:textId="77777777" w:rsidR="006A3667" w:rsidRDefault="006A3667">
            <w:pPr>
              <w:rPr>
                <w:rFonts w:ascii="宋体"/>
                <w:vanish/>
              </w:rPr>
            </w:pPr>
          </w:p>
        </w:tc>
        <w:tc>
          <w:tcPr>
            <w:tcW w:w="0" w:type="auto"/>
            <w:gridSpan w:val="3"/>
            <w:shd w:val="clear" w:color="auto" w:fill="auto"/>
            <w:vAlign w:val="bottom"/>
          </w:tcPr>
          <w:p w14:paraId="71D42734" w14:textId="77777777" w:rsidR="006A3667" w:rsidRDefault="006A3667">
            <w:pPr>
              <w:rPr>
                <w:rFonts w:ascii="宋体"/>
                <w:vanish/>
              </w:rPr>
            </w:pPr>
          </w:p>
        </w:tc>
        <w:tc>
          <w:tcPr>
            <w:tcW w:w="0" w:type="auto"/>
            <w:gridSpan w:val="3"/>
            <w:shd w:val="clear" w:color="auto" w:fill="auto"/>
            <w:vAlign w:val="bottom"/>
          </w:tcPr>
          <w:p w14:paraId="71D42735" w14:textId="77777777" w:rsidR="006A3667" w:rsidRDefault="006A3667">
            <w:pPr>
              <w:rPr>
                <w:rFonts w:ascii="宋体"/>
                <w:vanish/>
              </w:rPr>
            </w:pPr>
          </w:p>
        </w:tc>
      </w:tr>
      <w:tr w:rsidR="006A3667" w14:paraId="71D42749" w14:textId="77777777">
        <w:trPr>
          <w:jc w:val="center"/>
          <w:hidden/>
        </w:trPr>
        <w:tc>
          <w:tcPr>
            <w:tcW w:w="0" w:type="auto"/>
            <w:gridSpan w:val="3"/>
            <w:shd w:val="clear" w:color="auto" w:fill="auto"/>
            <w:vAlign w:val="bottom"/>
          </w:tcPr>
          <w:p w14:paraId="71D42737" w14:textId="77777777" w:rsidR="006A3667" w:rsidRDefault="006A3667">
            <w:pPr>
              <w:rPr>
                <w:rFonts w:ascii="宋体"/>
                <w:vanish/>
              </w:rPr>
            </w:pPr>
          </w:p>
        </w:tc>
        <w:tc>
          <w:tcPr>
            <w:tcW w:w="0" w:type="auto"/>
            <w:gridSpan w:val="3"/>
            <w:shd w:val="clear" w:color="auto" w:fill="auto"/>
            <w:vAlign w:val="bottom"/>
          </w:tcPr>
          <w:p w14:paraId="71D42738" w14:textId="77777777" w:rsidR="006A3667" w:rsidRDefault="006A3667">
            <w:pPr>
              <w:rPr>
                <w:rFonts w:ascii="宋体"/>
                <w:vanish/>
              </w:rPr>
            </w:pPr>
          </w:p>
        </w:tc>
        <w:tc>
          <w:tcPr>
            <w:tcW w:w="0" w:type="auto"/>
            <w:gridSpan w:val="3"/>
            <w:shd w:val="clear" w:color="auto" w:fill="auto"/>
            <w:vAlign w:val="bottom"/>
          </w:tcPr>
          <w:p w14:paraId="71D42739" w14:textId="77777777" w:rsidR="006A3667" w:rsidRDefault="006A3667">
            <w:pPr>
              <w:rPr>
                <w:rFonts w:ascii="宋体"/>
                <w:vanish/>
              </w:rPr>
            </w:pPr>
          </w:p>
        </w:tc>
        <w:tc>
          <w:tcPr>
            <w:tcW w:w="0" w:type="auto"/>
            <w:gridSpan w:val="3"/>
            <w:shd w:val="clear" w:color="auto" w:fill="auto"/>
            <w:vAlign w:val="bottom"/>
          </w:tcPr>
          <w:p w14:paraId="71D4273A" w14:textId="77777777" w:rsidR="006A3667" w:rsidRDefault="006A3667">
            <w:pPr>
              <w:rPr>
                <w:rFonts w:ascii="宋体"/>
                <w:vanish/>
              </w:rPr>
            </w:pPr>
          </w:p>
        </w:tc>
        <w:tc>
          <w:tcPr>
            <w:tcW w:w="0" w:type="auto"/>
            <w:gridSpan w:val="3"/>
            <w:shd w:val="clear" w:color="auto" w:fill="auto"/>
            <w:vAlign w:val="bottom"/>
          </w:tcPr>
          <w:p w14:paraId="71D4273B" w14:textId="77777777" w:rsidR="006A3667" w:rsidRDefault="006A3667">
            <w:pPr>
              <w:rPr>
                <w:rFonts w:ascii="宋体"/>
                <w:vanish/>
              </w:rPr>
            </w:pPr>
          </w:p>
        </w:tc>
        <w:tc>
          <w:tcPr>
            <w:tcW w:w="0" w:type="auto"/>
            <w:gridSpan w:val="3"/>
            <w:shd w:val="clear" w:color="auto" w:fill="auto"/>
            <w:vAlign w:val="bottom"/>
          </w:tcPr>
          <w:p w14:paraId="71D4273C" w14:textId="77777777" w:rsidR="006A3667" w:rsidRDefault="006A3667">
            <w:pPr>
              <w:rPr>
                <w:rFonts w:ascii="宋体"/>
                <w:vanish/>
              </w:rPr>
            </w:pPr>
          </w:p>
        </w:tc>
        <w:tc>
          <w:tcPr>
            <w:tcW w:w="0" w:type="auto"/>
            <w:gridSpan w:val="3"/>
            <w:shd w:val="clear" w:color="auto" w:fill="auto"/>
            <w:vAlign w:val="bottom"/>
          </w:tcPr>
          <w:p w14:paraId="71D4273D" w14:textId="77777777" w:rsidR="006A3667" w:rsidRDefault="006A3667">
            <w:pPr>
              <w:rPr>
                <w:rFonts w:ascii="宋体"/>
                <w:vanish/>
              </w:rPr>
            </w:pPr>
          </w:p>
        </w:tc>
        <w:tc>
          <w:tcPr>
            <w:tcW w:w="0" w:type="auto"/>
            <w:gridSpan w:val="3"/>
            <w:shd w:val="clear" w:color="auto" w:fill="auto"/>
            <w:vAlign w:val="bottom"/>
          </w:tcPr>
          <w:p w14:paraId="71D4273E" w14:textId="77777777" w:rsidR="006A3667" w:rsidRDefault="006A3667">
            <w:pPr>
              <w:rPr>
                <w:rFonts w:ascii="宋体"/>
                <w:vanish/>
              </w:rPr>
            </w:pPr>
          </w:p>
        </w:tc>
        <w:tc>
          <w:tcPr>
            <w:tcW w:w="0" w:type="auto"/>
            <w:gridSpan w:val="3"/>
            <w:shd w:val="clear" w:color="auto" w:fill="auto"/>
            <w:vAlign w:val="bottom"/>
          </w:tcPr>
          <w:p w14:paraId="71D4273F" w14:textId="77777777" w:rsidR="006A3667" w:rsidRDefault="006A3667">
            <w:pPr>
              <w:rPr>
                <w:rFonts w:ascii="宋体"/>
                <w:vanish/>
              </w:rPr>
            </w:pPr>
          </w:p>
        </w:tc>
        <w:tc>
          <w:tcPr>
            <w:tcW w:w="0" w:type="auto"/>
            <w:gridSpan w:val="3"/>
            <w:shd w:val="clear" w:color="auto" w:fill="auto"/>
            <w:vAlign w:val="bottom"/>
          </w:tcPr>
          <w:p w14:paraId="71D42740" w14:textId="77777777" w:rsidR="006A3667" w:rsidRDefault="006A3667">
            <w:pPr>
              <w:rPr>
                <w:rFonts w:ascii="宋体"/>
                <w:vanish/>
              </w:rPr>
            </w:pPr>
          </w:p>
        </w:tc>
        <w:tc>
          <w:tcPr>
            <w:tcW w:w="0" w:type="auto"/>
            <w:gridSpan w:val="3"/>
            <w:shd w:val="clear" w:color="auto" w:fill="auto"/>
            <w:vAlign w:val="bottom"/>
          </w:tcPr>
          <w:p w14:paraId="71D42741" w14:textId="77777777" w:rsidR="006A3667" w:rsidRDefault="006A3667">
            <w:pPr>
              <w:rPr>
                <w:rFonts w:ascii="宋体"/>
                <w:vanish/>
              </w:rPr>
            </w:pPr>
          </w:p>
        </w:tc>
        <w:tc>
          <w:tcPr>
            <w:tcW w:w="0" w:type="auto"/>
            <w:gridSpan w:val="3"/>
            <w:shd w:val="clear" w:color="auto" w:fill="auto"/>
            <w:vAlign w:val="bottom"/>
          </w:tcPr>
          <w:p w14:paraId="71D42742" w14:textId="77777777" w:rsidR="006A3667" w:rsidRDefault="006A3667">
            <w:pPr>
              <w:rPr>
                <w:rFonts w:ascii="宋体"/>
                <w:vanish/>
              </w:rPr>
            </w:pPr>
          </w:p>
        </w:tc>
        <w:tc>
          <w:tcPr>
            <w:tcW w:w="0" w:type="auto"/>
            <w:gridSpan w:val="3"/>
            <w:shd w:val="clear" w:color="auto" w:fill="auto"/>
            <w:vAlign w:val="bottom"/>
          </w:tcPr>
          <w:p w14:paraId="71D42743" w14:textId="77777777" w:rsidR="006A3667" w:rsidRDefault="006A3667">
            <w:pPr>
              <w:rPr>
                <w:rFonts w:ascii="宋体"/>
                <w:vanish/>
              </w:rPr>
            </w:pPr>
          </w:p>
        </w:tc>
        <w:tc>
          <w:tcPr>
            <w:tcW w:w="0" w:type="auto"/>
            <w:gridSpan w:val="3"/>
            <w:shd w:val="clear" w:color="auto" w:fill="auto"/>
            <w:vAlign w:val="bottom"/>
          </w:tcPr>
          <w:p w14:paraId="71D42744" w14:textId="77777777" w:rsidR="006A3667" w:rsidRDefault="006A3667">
            <w:pPr>
              <w:rPr>
                <w:rFonts w:ascii="宋体"/>
                <w:vanish/>
              </w:rPr>
            </w:pPr>
          </w:p>
        </w:tc>
        <w:tc>
          <w:tcPr>
            <w:tcW w:w="0" w:type="auto"/>
            <w:gridSpan w:val="3"/>
            <w:shd w:val="clear" w:color="auto" w:fill="auto"/>
            <w:vAlign w:val="bottom"/>
          </w:tcPr>
          <w:p w14:paraId="71D42745" w14:textId="77777777" w:rsidR="006A3667" w:rsidRDefault="006A3667">
            <w:pPr>
              <w:rPr>
                <w:rFonts w:ascii="宋体"/>
                <w:vanish/>
              </w:rPr>
            </w:pPr>
          </w:p>
        </w:tc>
        <w:tc>
          <w:tcPr>
            <w:tcW w:w="0" w:type="auto"/>
            <w:gridSpan w:val="3"/>
            <w:shd w:val="clear" w:color="auto" w:fill="auto"/>
            <w:vAlign w:val="bottom"/>
          </w:tcPr>
          <w:p w14:paraId="71D42746" w14:textId="77777777" w:rsidR="006A3667" w:rsidRDefault="006A3667">
            <w:pPr>
              <w:rPr>
                <w:rFonts w:ascii="宋体"/>
                <w:vanish/>
              </w:rPr>
            </w:pPr>
          </w:p>
        </w:tc>
        <w:tc>
          <w:tcPr>
            <w:tcW w:w="0" w:type="auto"/>
            <w:gridSpan w:val="3"/>
            <w:shd w:val="clear" w:color="auto" w:fill="auto"/>
            <w:vAlign w:val="bottom"/>
          </w:tcPr>
          <w:p w14:paraId="71D42747" w14:textId="77777777" w:rsidR="006A3667" w:rsidRDefault="006A3667">
            <w:pPr>
              <w:rPr>
                <w:rFonts w:ascii="宋体"/>
                <w:vanish/>
              </w:rPr>
            </w:pPr>
          </w:p>
        </w:tc>
        <w:tc>
          <w:tcPr>
            <w:tcW w:w="0" w:type="auto"/>
            <w:gridSpan w:val="3"/>
            <w:shd w:val="clear" w:color="auto" w:fill="auto"/>
            <w:vAlign w:val="bottom"/>
          </w:tcPr>
          <w:p w14:paraId="71D42748" w14:textId="77777777" w:rsidR="006A3667" w:rsidRDefault="006A3667">
            <w:pPr>
              <w:rPr>
                <w:rFonts w:ascii="宋体"/>
                <w:vanish/>
              </w:rPr>
            </w:pPr>
          </w:p>
        </w:tc>
      </w:tr>
      <w:tr w:rsidR="006A3667" w14:paraId="71D4275C" w14:textId="77777777">
        <w:trPr>
          <w:jc w:val="center"/>
          <w:hidden/>
        </w:trPr>
        <w:tc>
          <w:tcPr>
            <w:tcW w:w="0" w:type="auto"/>
            <w:gridSpan w:val="3"/>
            <w:shd w:val="clear" w:color="auto" w:fill="auto"/>
            <w:vAlign w:val="bottom"/>
          </w:tcPr>
          <w:p w14:paraId="71D4274A" w14:textId="77777777" w:rsidR="006A3667" w:rsidRDefault="006A3667">
            <w:pPr>
              <w:rPr>
                <w:rFonts w:ascii="宋体"/>
                <w:vanish/>
              </w:rPr>
            </w:pPr>
          </w:p>
        </w:tc>
        <w:tc>
          <w:tcPr>
            <w:tcW w:w="0" w:type="auto"/>
            <w:gridSpan w:val="3"/>
            <w:shd w:val="clear" w:color="auto" w:fill="auto"/>
            <w:vAlign w:val="bottom"/>
          </w:tcPr>
          <w:p w14:paraId="71D4274B" w14:textId="77777777" w:rsidR="006A3667" w:rsidRDefault="006A3667">
            <w:pPr>
              <w:rPr>
                <w:rFonts w:ascii="宋体"/>
                <w:vanish/>
              </w:rPr>
            </w:pPr>
          </w:p>
        </w:tc>
        <w:tc>
          <w:tcPr>
            <w:tcW w:w="0" w:type="auto"/>
            <w:gridSpan w:val="3"/>
            <w:shd w:val="clear" w:color="auto" w:fill="auto"/>
            <w:vAlign w:val="bottom"/>
          </w:tcPr>
          <w:p w14:paraId="71D4274C" w14:textId="77777777" w:rsidR="006A3667" w:rsidRDefault="006A3667">
            <w:pPr>
              <w:rPr>
                <w:rFonts w:ascii="宋体"/>
                <w:vanish/>
              </w:rPr>
            </w:pPr>
          </w:p>
        </w:tc>
        <w:tc>
          <w:tcPr>
            <w:tcW w:w="0" w:type="auto"/>
            <w:gridSpan w:val="3"/>
            <w:shd w:val="clear" w:color="auto" w:fill="auto"/>
            <w:vAlign w:val="bottom"/>
          </w:tcPr>
          <w:p w14:paraId="71D4274D" w14:textId="77777777" w:rsidR="006A3667" w:rsidRDefault="006A3667">
            <w:pPr>
              <w:rPr>
                <w:rFonts w:ascii="宋体"/>
                <w:vanish/>
              </w:rPr>
            </w:pPr>
          </w:p>
        </w:tc>
        <w:tc>
          <w:tcPr>
            <w:tcW w:w="0" w:type="auto"/>
            <w:gridSpan w:val="3"/>
            <w:shd w:val="clear" w:color="auto" w:fill="auto"/>
            <w:vAlign w:val="bottom"/>
          </w:tcPr>
          <w:p w14:paraId="71D4274E" w14:textId="77777777" w:rsidR="006A3667" w:rsidRDefault="006A3667">
            <w:pPr>
              <w:rPr>
                <w:rFonts w:ascii="宋体"/>
                <w:vanish/>
              </w:rPr>
            </w:pPr>
          </w:p>
        </w:tc>
        <w:tc>
          <w:tcPr>
            <w:tcW w:w="0" w:type="auto"/>
            <w:gridSpan w:val="3"/>
            <w:shd w:val="clear" w:color="auto" w:fill="auto"/>
            <w:vAlign w:val="bottom"/>
          </w:tcPr>
          <w:p w14:paraId="71D4274F" w14:textId="77777777" w:rsidR="006A3667" w:rsidRDefault="006A3667">
            <w:pPr>
              <w:rPr>
                <w:rFonts w:ascii="宋体"/>
                <w:vanish/>
              </w:rPr>
            </w:pPr>
          </w:p>
        </w:tc>
        <w:tc>
          <w:tcPr>
            <w:tcW w:w="0" w:type="auto"/>
            <w:gridSpan w:val="3"/>
            <w:shd w:val="clear" w:color="auto" w:fill="auto"/>
            <w:vAlign w:val="bottom"/>
          </w:tcPr>
          <w:p w14:paraId="71D42750" w14:textId="77777777" w:rsidR="006A3667" w:rsidRDefault="006A3667">
            <w:pPr>
              <w:rPr>
                <w:rFonts w:ascii="宋体"/>
                <w:vanish/>
              </w:rPr>
            </w:pPr>
          </w:p>
        </w:tc>
        <w:tc>
          <w:tcPr>
            <w:tcW w:w="0" w:type="auto"/>
            <w:gridSpan w:val="3"/>
            <w:shd w:val="clear" w:color="auto" w:fill="auto"/>
            <w:vAlign w:val="bottom"/>
          </w:tcPr>
          <w:p w14:paraId="71D42751" w14:textId="77777777" w:rsidR="006A3667" w:rsidRDefault="006A3667">
            <w:pPr>
              <w:rPr>
                <w:rFonts w:ascii="宋体"/>
                <w:vanish/>
              </w:rPr>
            </w:pPr>
          </w:p>
        </w:tc>
        <w:tc>
          <w:tcPr>
            <w:tcW w:w="0" w:type="auto"/>
            <w:gridSpan w:val="3"/>
            <w:shd w:val="clear" w:color="auto" w:fill="auto"/>
            <w:vAlign w:val="bottom"/>
          </w:tcPr>
          <w:p w14:paraId="71D42752" w14:textId="77777777" w:rsidR="006A3667" w:rsidRDefault="006A3667">
            <w:pPr>
              <w:rPr>
                <w:rFonts w:ascii="宋体"/>
                <w:vanish/>
              </w:rPr>
            </w:pPr>
          </w:p>
        </w:tc>
        <w:tc>
          <w:tcPr>
            <w:tcW w:w="0" w:type="auto"/>
            <w:gridSpan w:val="3"/>
            <w:shd w:val="clear" w:color="auto" w:fill="auto"/>
            <w:vAlign w:val="bottom"/>
          </w:tcPr>
          <w:p w14:paraId="71D42753" w14:textId="77777777" w:rsidR="006A3667" w:rsidRDefault="006A3667">
            <w:pPr>
              <w:rPr>
                <w:rFonts w:ascii="宋体"/>
                <w:vanish/>
              </w:rPr>
            </w:pPr>
          </w:p>
        </w:tc>
        <w:tc>
          <w:tcPr>
            <w:tcW w:w="0" w:type="auto"/>
            <w:gridSpan w:val="3"/>
            <w:shd w:val="clear" w:color="auto" w:fill="auto"/>
            <w:vAlign w:val="bottom"/>
          </w:tcPr>
          <w:p w14:paraId="71D42754" w14:textId="77777777" w:rsidR="006A3667" w:rsidRDefault="006A3667">
            <w:pPr>
              <w:rPr>
                <w:rFonts w:ascii="宋体"/>
                <w:vanish/>
              </w:rPr>
            </w:pPr>
          </w:p>
        </w:tc>
        <w:tc>
          <w:tcPr>
            <w:tcW w:w="0" w:type="auto"/>
            <w:gridSpan w:val="3"/>
            <w:shd w:val="clear" w:color="auto" w:fill="auto"/>
            <w:vAlign w:val="bottom"/>
          </w:tcPr>
          <w:p w14:paraId="71D42755" w14:textId="77777777" w:rsidR="006A3667" w:rsidRDefault="006A3667">
            <w:pPr>
              <w:rPr>
                <w:rFonts w:ascii="宋体"/>
                <w:vanish/>
              </w:rPr>
            </w:pPr>
          </w:p>
        </w:tc>
        <w:tc>
          <w:tcPr>
            <w:tcW w:w="0" w:type="auto"/>
            <w:gridSpan w:val="3"/>
            <w:shd w:val="clear" w:color="auto" w:fill="auto"/>
            <w:vAlign w:val="bottom"/>
          </w:tcPr>
          <w:p w14:paraId="71D42756" w14:textId="77777777" w:rsidR="006A3667" w:rsidRDefault="006A3667">
            <w:pPr>
              <w:rPr>
                <w:rFonts w:ascii="宋体"/>
                <w:vanish/>
              </w:rPr>
            </w:pPr>
          </w:p>
        </w:tc>
        <w:tc>
          <w:tcPr>
            <w:tcW w:w="0" w:type="auto"/>
            <w:gridSpan w:val="3"/>
            <w:shd w:val="clear" w:color="auto" w:fill="auto"/>
            <w:vAlign w:val="bottom"/>
          </w:tcPr>
          <w:p w14:paraId="71D42757" w14:textId="77777777" w:rsidR="006A3667" w:rsidRDefault="006A3667">
            <w:pPr>
              <w:rPr>
                <w:rFonts w:ascii="宋体"/>
                <w:vanish/>
              </w:rPr>
            </w:pPr>
          </w:p>
        </w:tc>
        <w:tc>
          <w:tcPr>
            <w:tcW w:w="0" w:type="auto"/>
            <w:gridSpan w:val="3"/>
            <w:shd w:val="clear" w:color="auto" w:fill="auto"/>
            <w:vAlign w:val="bottom"/>
          </w:tcPr>
          <w:p w14:paraId="71D42758" w14:textId="77777777" w:rsidR="006A3667" w:rsidRDefault="006A3667">
            <w:pPr>
              <w:rPr>
                <w:rFonts w:ascii="宋体"/>
                <w:vanish/>
              </w:rPr>
            </w:pPr>
          </w:p>
        </w:tc>
        <w:tc>
          <w:tcPr>
            <w:tcW w:w="0" w:type="auto"/>
            <w:gridSpan w:val="3"/>
            <w:shd w:val="clear" w:color="auto" w:fill="auto"/>
            <w:vAlign w:val="bottom"/>
          </w:tcPr>
          <w:p w14:paraId="71D42759" w14:textId="77777777" w:rsidR="006A3667" w:rsidRDefault="006A3667">
            <w:pPr>
              <w:rPr>
                <w:rFonts w:ascii="宋体"/>
                <w:vanish/>
              </w:rPr>
            </w:pPr>
          </w:p>
        </w:tc>
        <w:tc>
          <w:tcPr>
            <w:tcW w:w="0" w:type="auto"/>
            <w:gridSpan w:val="3"/>
            <w:shd w:val="clear" w:color="auto" w:fill="auto"/>
            <w:vAlign w:val="bottom"/>
          </w:tcPr>
          <w:p w14:paraId="71D4275A" w14:textId="77777777" w:rsidR="006A3667" w:rsidRDefault="006A3667">
            <w:pPr>
              <w:rPr>
                <w:rFonts w:ascii="宋体"/>
                <w:vanish/>
              </w:rPr>
            </w:pPr>
          </w:p>
        </w:tc>
        <w:tc>
          <w:tcPr>
            <w:tcW w:w="0" w:type="auto"/>
            <w:gridSpan w:val="3"/>
            <w:shd w:val="clear" w:color="auto" w:fill="auto"/>
            <w:vAlign w:val="bottom"/>
          </w:tcPr>
          <w:p w14:paraId="71D4275B" w14:textId="77777777" w:rsidR="006A3667" w:rsidRDefault="006A3667">
            <w:pPr>
              <w:rPr>
                <w:rFonts w:ascii="宋体"/>
                <w:vanish/>
              </w:rPr>
            </w:pPr>
          </w:p>
        </w:tc>
      </w:tr>
      <w:tr w:rsidR="006A3667" w14:paraId="71D4276F" w14:textId="77777777">
        <w:trPr>
          <w:jc w:val="center"/>
          <w:hidden/>
        </w:trPr>
        <w:tc>
          <w:tcPr>
            <w:tcW w:w="0" w:type="auto"/>
            <w:gridSpan w:val="3"/>
            <w:shd w:val="clear" w:color="auto" w:fill="auto"/>
            <w:vAlign w:val="bottom"/>
          </w:tcPr>
          <w:p w14:paraId="71D4275D" w14:textId="77777777" w:rsidR="006A3667" w:rsidRDefault="006A3667">
            <w:pPr>
              <w:rPr>
                <w:rFonts w:ascii="宋体"/>
                <w:vanish/>
              </w:rPr>
            </w:pPr>
          </w:p>
        </w:tc>
        <w:tc>
          <w:tcPr>
            <w:tcW w:w="0" w:type="auto"/>
            <w:gridSpan w:val="3"/>
            <w:shd w:val="clear" w:color="auto" w:fill="auto"/>
            <w:vAlign w:val="bottom"/>
          </w:tcPr>
          <w:p w14:paraId="71D4275E" w14:textId="77777777" w:rsidR="006A3667" w:rsidRDefault="006A3667">
            <w:pPr>
              <w:rPr>
                <w:rFonts w:ascii="宋体"/>
                <w:vanish/>
              </w:rPr>
            </w:pPr>
          </w:p>
        </w:tc>
        <w:tc>
          <w:tcPr>
            <w:tcW w:w="0" w:type="auto"/>
            <w:gridSpan w:val="3"/>
            <w:shd w:val="clear" w:color="auto" w:fill="auto"/>
            <w:vAlign w:val="bottom"/>
          </w:tcPr>
          <w:p w14:paraId="71D4275F" w14:textId="77777777" w:rsidR="006A3667" w:rsidRDefault="006A3667">
            <w:pPr>
              <w:rPr>
                <w:rFonts w:ascii="宋体"/>
                <w:vanish/>
              </w:rPr>
            </w:pPr>
          </w:p>
        </w:tc>
        <w:tc>
          <w:tcPr>
            <w:tcW w:w="0" w:type="auto"/>
            <w:gridSpan w:val="3"/>
            <w:shd w:val="clear" w:color="auto" w:fill="auto"/>
            <w:vAlign w:val="bottom"/>
          </w:tcPr>
          <w:p w14:paraId="71D42760" w14:textId="77777777" w:rsidR="006A3667" w:rsidRDefault="006A3667">
            <w:pPr>
              <w:rPr>
                <w:rFonts w:ascii="宋体"/>
                <w:vanish/>
              </w:rPr>
            </w:pPr>
          </w:p>
        </w:tc>
        <w:tc>
          <w:tcPr>
            <w:tcW w:w="0" w:type="auto"/>
            <w:gridSpan w:val="3"/>
            <w:shd w:val="clear" w:color="auto" w:fill="auto"/>
            <w:vAlign w:val="bottom"/>
          </w:tcPr>
          <w:p w14:paraId="71D42761" w14:textId="77777777" w:rsidR="006A3667" w:rsidRDefault="006A3667">
            <w:pPr>
              <w:rPr>
                <w:rFonts w:ascii="宋体"/>
                <w:vanish/>
              </w:rPr>
            </w:pPr>
          </w:p>
        </w:tc>
        <w:tc>
          <w:tcPr>
            <w:tcW w:w="0" w:type="auto"/>
            <w:gridSpan w:val="3"/>
            <w:shd w:val="clear" w:color="auto" w:fill="auto"/>
            <w:vAlign w:val="bottom"/>
          </w:tcPr>
          <w:p w14:paraId="71D42762" w14:textId="77777777" w:rsidR="006A3667" w:rsidRDefault="006A3667">
            <w:pPr>
              <w:rPr>
                <w:rFonts w:ascii="宋体"/>
                <w:vanish/>
              </w:rPr>
            </w:pPr>
          </w:p>
        </w:tc>
        <w:tc>
          <w:tcPr>
            <w:tcW w:w="0" w:type="auto"/>
            <w:gridSpan w:val="3"/>
            <w:shd w:val="clear" w:color="auto" w:fill="auto"/>
            <w:vAlign w:val="bottom"/>
          </w:tcPr>
          <w:p w14:paraId="71D42763" w14:textId="77777777" w:rsidR="006A3667" w:rsidRDefault="006A3667">
            <w:pPr>
              <w:rPr>
                <w:rFonts w:ascii="宋体"/>
                <w:vanish/>
              </w:rPr>
            </w:pPr>
          </w:p>
        </w:tc>
        <w:tc>
          <w:tcPr>
            <w:tcW w:w="0" w:type="auto"/>
            <w:gridSpan w:val="3"/>
            <w:shd w:val="clear" w:color="auto" w:fill="auto"/>
            <w:vAlign w:val="bottom"/>
          </w:tcPr>
          <w:p w14:paraId="71D42764" w14:textId="77777777" w:rsidR="006A3667" w:rsidRDefault="006A3667">
            <w:pPr>
              <w:rPr>
                <w:rFonts w:ascii="宋体"/>
                <w:vanish/>
              </w:rPr>
            </w:pPr>
          </w:p>
        </w:tc>
        <w:tc>
          <w:tcPr>
            <w:tcW w:w="0" w:type="auto"/>
            <w:gridSpan w:val="3"/>
            <w:shd w:val="clear" w:color="auto" w:fill="auto"/>
            <w:vAlign w:val="bottom"/>
          </w:tcPr>
          <w:p w14:paraId="71D42765" w14:textId="77777777" w:rsidR="006A3667" w:rsidRDefault="006A3667">
            <w:pPr>
              <w:rPr>
                <w:rFonts w:ascii="宋体"/>
                <w:vanish/>
              </w:rPr>
            </w:pPr>
          </w:p>
        </w:tc>
        <w:tc>
          <w:tcPr>
            <w:tcW w:w="0" w:type="auto"/>
            <w:gridSpan w:val="3"/>
            <w:shd w:val="clear" w:color="auto" w:fill="auto"/>
            <w:vAlign w:val="bottom"/>
          </w:tcPr>
          <w:p w14:paraId="71D42766" w14:textId="77777777" w:rsidR="006A3667" w:rsidRDefault="006A3667">
            <w:pPr>
              <w:rPr>
                <w:rFonts w:ascii="宋体"/>
                <w:vanish/>
              </w:rPr>
            </w:pPr>
          </w:p>
        </w:tc>
        <w:tc>
          <w:tcPr>
            <w:tcW w:w="0" w:type="auto"/>
            <w:gridSpan w:val="3"/>
            <w:shd w:val="clear" w:color="auto" w:fill="auto"/>
            <w:vAlign w:val="bottom"/>
          </w:tcPr>
          <w:p w14:paraId="71D42767" w14:textId="77777777" w:rsidR="006A3667" w:rsidRDefault="006A3667">
            <w:pPr>
              <w:rPr>
                <w:rFonts w:ascii="宋体"/>
                <w:vanish/>
              </w:rPr>
            </w:pPr>
          </w:p>
        </w:tc>
        <w:tc>
          <w:tcPr>
            <w:tcW w:w="0" w:type="auto"/>
            <w:gridSpan w:val="3"/>
            <w:shd w:val="clear" w:color="auto" w:fill="auto"/>
            <w:vAlign w:val="bottom"/>
          </w:tcPr>
          <w:p w14:paraId="71D42768" w14:textId="77777777" w:rsidR="006A3667" w:rsidRDefault="006A3667">
            <w:pPr>
              <w:rPr>
                <w:rFonts w:ascii="宋体"/>
                <w:vanish/>
              </w:rPr>
            </w:pPr>
          </w:p>
        </w:tc>
        <w:tc>
          <w:tcPr>
            <w:tcW w:w="0" w:type="auto"/>
            <w:gridSpan w:val="3"/>
            <w:shd w:val="clear" w:color="auto" w:fill="auto"/>
            <w:vAlign w:val="bottom"/>
          </w:tcPr>
          <w:p w14:paraId="71D42769" w14:textId="77777777" w:rsidR="006A3667" w:rsidRDefault="006A3667">
            <w:pPr>
              <w:rPr>
                <w:rFonts w:ascii="宋体"/>
                <w:vanish/>
              </w:rPr>
            </w:pPr>
          </w:p>
        </w:tc>
        <w:tc>
          <w:tcPr>
            <w:tcW w:w="0" w:type="auto"/>
            <w:gridSpan w:val="3"/>
            <w:shd w:val="clear" w:color="auto" w:fill="auto"/>
            <w:vAlign w:val="bottom"/>
          </w:tcPr>
          <w:p w14:paraId="71D4276A" w14:textId="77777777" w:rsidR="006A3667" w:rsidRDefault="006A3667">
            <w:pPr>
              <w:rPr>
                <w:rFonts w:ascii="宋体"/>
                <w:vanish/>
              </w:rPr>
            </w:pPr>
          </w:p>
        </w:tc>
        <w:tc>
          <w:tcPr>
            <w:tcW w:w="0" w:type="auto"/>
            <w:gridSpan w:val="3"/>
            <w:shd w:val="clear" w:color="auto" w:fill="auto"/>
            <w:vAlign w:val="bottom"/>
          </w:tcPr>
          <w:p w14:paraId="71D4276B" w14:textId="77777777" w:rsidR="006A3667" w:rsidRDefault="006A3667">
            <w:pPr>
              <w:rPr>
                <w:rFonts w:ascii="宋体"/>
                <w:vanish/>
              </w:rPr>
            </w:pPr>
          </w:p>
        </w:tc>
        <w:tc>
          <w:tcPr>
            <w:tcW w:w="0" w:type="auto"/>
            <w:gridSpan w:val="3"/>
            <w:shd w:val="clear" w:color="auto" w:fill="auto"/>
            <w:vAlign w:val="bottom"/>
          </w:tcPr>
          <w:p w14:paraId="71D4276C" w14:textId="77777777" w:rsidR="006A3667" w:rsidRDefault="006A3667">
            <w:pPr>
              <w:rPr>
                <w:rFonts w:ascii="宋体"/>
                <w:vanish/>
              </w:rPr>
            </w:pPr>
          </w:p>
        </w:tc>
        <w:tc>
          <w:tcPr>
            <w:tcW w:w="0" w:type="auto"/>
            <w:gridSpan w:val="3"/>
            <w:shd w:val="clear" w:color="auto" w:fill="auto"/>
            <w:vAlign w:val="bottom"/>
          </w:tcPr>
          <w:p w14:paraId="71D4276D" w14:textId="77777777" w:rsidR="006A3667" w:rsidRDefault="006A3667">
            <w:pPr>
              <w:rPr>
                <w:rFonts w:ascii="宋体"/>
                <w:vanish/>
              </w:rPr>
            </w:pPr>
          </w:p>
        </w:tc>
        <w:tc>
          <w:tcPr>
            <w:tcW w:w="0" w:type="auto"/>
            <w:gridSpan w:val="3"/>
            <w:shd w:val="clear" w:color="auto" w:fill="auto"/>
            <w:vAlign w:val="bottom"/>
          </w:tcPr>
          <w:p w14:paraId="71D4276E" w14:textId="77777777" w:rsidR="006A3667" w:rsidRDefault="006A3667">
            <w:pPr>
              <w:rPr>
                <w:rFonts w:ascii="宋体"/>
                <w:vanish/>
              </w:rPr>
            </w:pPr>
          </w:p>
        </w:tc>
      </w:tr>
      <w:tr w:rsidR="006A3667" w14:paraId="71D42782" w14:textId="77777777">
        <w:trPr>
          <w:jc w:val="center"/>
          <w:hidden/>
        </w:trPr>
        <w:tc>
          <w:tcPr>
            <w:tcW w:w="0" w:type="auto"/>
            <w:gridSpan w:val="3"/>
            <w:shd w:val="clear" w:color="auto" w:fill="auto"/>
            <w:vAlign w:val="bottom"/>
          </w:tcPr>
          <w:p w14:paraId="71D42770" w14:textId="77777777" w:rsidR="006A3667" w:rsidRDefault="006A3667">
            <w:pPr>
              <w:rPr>
                <w:rFonts w:ascii="宋体"/>
                <w:vanish/>
              </w:rPr>
            </w:pPr>
          </w:p>
        </w:tc>
        <w:tc>
          <w:tcPr>
            <w:tcW w:w="0" w:type="auto"/>
            <w:gridSpan w:val="3"/>
            <w:shd w:val="clear" w:color="auto" w:fill="auto"/>
            <w:vAlign w:val="bottom"/>
          </w:tcPr>
          <w:p w14:paraId="71D42771" w14:textId="77777777" w:rsidR="006A3667" w:rsidRDefault="006A3667">
            <w:pPr>
              <w:rPr>
                <w:rFonts w:ascii="宋体"/>
                <w:vanish/>
              </w:rPr>
            </w:pPr>
          </w:p>
        </w:tc>
        <w:tc>
          <w:tcPr>
            <w:tcW w:w="0" w:type="auto"/>
            <w:gridSpan w:val="3"/>
            <w:shd w:val="clear" w:color="auto" w:fill="auto"/>
            <w:vAlign w:val="bottom"/>
          </w:tcPr>
          <w:p w14:paraId="71D42772" w14:textId="77777777" w:rsidR="006A3667" w:rsidRDefault="006A3667">
            <w:pPr>
              <w:rPr>
                <w:rFonts w:ascii="宋体"/>
                <w:vanish/>
              </w:rPr>
            </w:pPr>
          </w:p>
        </w:tc>
        <w:tc>
          <w:tcPr>
            <w:tcW w:w="0" w:type="auto"/>
            <w:gridSpan w:val="3"/>
            <w:shd w:val="clear" w:color="auto" w:fill="auto"/>
            <w:vAlign w:val="bottom"/>
          </w:tcPr>
          <w:p w14:paraId="71D42773" w14:textId="77777777" w:rsidR="006A3667" w:rsidRDefault="006A3667">
            <w:pPr>
              <w:rPr>
                <w:rFonts w:ascii="宋体"/>
                <w:vanish/>
              </w:rPr>
            </w:pPr>
          </w:p>
        </w:tc>
        <w:tc>
          <w:tcPr>
            <w:tcW w:w="0" w:type="auto"/>
            <w:gridSpan w:val="3"/>
            <w:shd w:val="clear" w:color="auto" w:fill="auto"/>
            <w:vAlign w:val="bottom"/>
          </w:tcPr>
          <w:p w14:paraId="71D42774" w14:textId="77777777" w:rsidR="006A3667" w:rsidRDefault="006A3667">
            <w:pPr>
              <w:rPr>
                <w:rFonts w:ascii="宋体"/>
                <w:vanish/>
              </w:rPr>
            </w:pPr>
          </w:p>
        </w:tc>
        <w:tc>
          <w:tcPr>
            <w:tcW w:w="0" w:type="auto"/>
            <w:gridSpan w:val="3"/>
            <w:shd w:val="clear" w:color="auto" w:fill="auto"/>
            <w:vAlign w:val="bottom"/>
          </w:tcPr>
          <w:p w14:paraId="71D42775" w14:textId="77777777" w:rsidR="006A3667" w:rsidRDefault="006A3667">
            <w:pPr>
              <w:rPr>
                <w:rFonts w:ascii="宋体"/>
                <w:vanish/>
              </w:rPr>
            </w:pPr>
          </w:p>
        </w:tc>
        <w:tc>
          <w:tcPr>
            <w:tcW w:w="0" w:type="auto"/>
            <w:gridSpan w:val="3"/>
            <w:shd w:val="clear" w:color="auto" w:fill="auto"/>
            <w:vAlign w:val="bottom"/>
          </w:tcPr>
          <w:p w14:paraId="71D42776" w14:textId="77777777" w:rsidR="006A3667" w:rsidRDefault="006A3667">
            <w:pPr>
              <w:rPr>
                <w:rFonts w:ascii="宋体"/>
                <w:vanish/>
              </w:rPr>
            </w:pPr>
          </w:p>
        </w:tc>
        <w:tc>
          <w:tcPr>
            <w:tcW w:w="0" w:type="auto"/>
            <w:gridSpan w:val="3"/>
            <w:shd w:val="clear" w:color="auto" w:fill="auto"/>
            <w:vAlign w:val="bottom"/>
          </w:tcPr>
          <w:p w14:paraId="71D42777" w14:textId="77777777" w:rsidR="006A3667" w:rsidRDefault="006A3667">
            <w:pPr>
              <w:rPr>
                <w:rFonts w:ascii="宋体"/>
                <w:vanish/>
              </w:rPr>
            </w:pPr>
          </w:p>
        </w:tc>
        <w:tc>
          <w:tcPr>
            <w:tcW w:w="0" w:type="auto"/>
            <w:gridSpan w:val="3"/>
            <w:shd w:val="clear" w:color="auto" w:fill="auto"/>
            <w:vAlign w:val="bottom"/>
          </w:tcPr>
          <w:p w14:paraId="71D42778" w14:textId="77777777" w:rsidR="006A3667" w:rsidRDefault="006A3667">
            <w:pPr>
              <w:rPr>
                <w:rFonts w:ascii="宋体"/>
                <w:vanish/>
              </w:rPr>
            </w:pPr>
          </w:p>
        </w:tc>
        <w:tc>
          <w:tcPr>
            <w:tcW w:w="0" w:type="auto"/>
            <w:gridSpan w:val="3"/>
            <w:shd w:val="clear" w:color="auto" w:fill="auto"/>
            <w:vAlign w:val="bottom"/>
          </w:tcPr>
          <w:p w14:paraId="71D42779" w14:textId="77777777" w:rsidR="006A3667" w:rsidRDefault="006A3667">
            <w:pPr>
              <w:rPr>
                <w:rFonts w:ascii="宋体"/>
                <w:vanish/>
              </w:rPr>
            </w:pPr>
          </w:p>
        </w:tc>
        <w:tc>
          <w:tcPr>
            <w:tcW w:w="0" w:type="auto"/>
            <w:gridSpan w:val="3"/>
            <w:shd w:val="clear" w:color="auto" w:fill="auto"/>
            <w:vAlign w:val="bottom"/>
          </w:tcPr>
          <w:p w14:paraId="71D4277A" w14:textId="77777777" w:rsidR="006A3667" w:rsidRDefault="006A3667">
            <w:pPr>
              <w:rPr>
                <w:rFonts w:ascii="宋体"/>
                <w:vanish/>
              </w:rPr>
            </w:pPr>
          </w:p>
        </w:tc>
        <w:tc>
          <w:tcPr>
            <w:tcW w:w="0" w:type="auto"/>
            <w:gridSpan w:val="3"/>
            <w:shd w:val="clear" w:color="auto" w:fill="auto"/>
            <w:vAlign w:val="bottom"/>
          </w:tcPr>
          <w:p w14:paraId="71D4277B" w14:textId="77777777" w:rsidR="006A3667" w:rsidRDefault="006A3667">
            <w:pPr>
              <w:rPr>
                <w:rFonts w:ascii="宋体"/>
                <w:vanish/>
              </w:rPr>
            </w:pPr>
          </w:p>
        </w:tc>
        <w:tc>
          <w:tcPr>
            <w:tcW w:w="0" w:type="auto"/>
            <w:gridSpan w:val="3"/>
            <w:shd w:val="clear" w:color="auto" w:fill="auto"/>
            <w:vAlign w:val="bottom"/>
          </w:tcPr>
          <w:p w14:paraId="71D4277C" w14:textId="77777777" w:rsidR="006A3667" w:rsidRDefault="006A3667">
            <w:pPr>
              <w:rPr>
                <w:rFonts w:ascii="宋体"/>
                <w:vanish/>
              </w:rPr>
            </w:pPr>
          </w:p>
        </w:tc>
        <w:tc>
          <w:tcPr>
            <w:tcW w:w="0" w:type="auto"/>
            <w:gridSpan w:val="3"/>
            <w:shd w:val="clear" w:color="auto" w:fill="auto"/>
            <w:vAlign w:val="bottom"/>
          </w:tcPr>
          <w:p w14:paraId="71D4277D" w14:textId="77777777" w:rsidR="006A3667" w:rsidRDefault="006A3667">
            <w:pPr>
              <w:rPr>
                <w:rFonts w:ascii="宋体"/>
                <w:vanish/>
              </w:rPr>
            </w:pPr>
          </w:p>
        </w:tc>
        <w:tc>
          <w:tcPr>
            <w:tcW w:w="0" w:type="auto"/>
            <w:gridSpan w:val="3"/>
            <w:shd w:val="clear" w:color="auto" w:fill="auto"/>
            <w:vAlign w:val="bottom"/>
          </w:tcPr>
          <w:p w14:paraId="71D4277E" w14:textId="77777777" w:rsidR="006A3667" w:rsidRDefault="006A3667">
            <w:pPr>
              <w:rPr>
                <w:rFonts w:ascii="宋体"/>
                <w:vanish/>
              </w:rPr>
            </w:pPr>
          </w:p>
        </w:tc>
        <w:tc>
          <w:tcPr>
            <w:tcW w:w="0" w:type="auto"/>
            <w:gridSpan w:val="3"/>
            <w:shd w:val="clear" w:color="auto" w:fill="auto"/>
            <w:vAlign w:val="bottom"/>
          </w:tcPr>
          <w:p w14:paraId="71D4277F" w14:textId="77777777" w:rsidR="006A3667" w:rsidRDefault="006A3667">
            <w:pPr>
              <w:rPr>
                <w:rFonts w:ascii="宋体"/>
                <w:vanish/>
              </w:rPr>
            </w:pPr>
          </w:p>
        </w:tc>
        <w:tc>
          <w:tcPr>
            <w:tcW w:w="0" w:type="auto"/>
            <w:gridSpan w:val="3"/>
            <w:shd w:val="clear" w:color="auto" w:fill="auto"/>
            <w:vAlign w:val="bottom"/>
          </w:tcPr>
          <w:p w14:paraId="71D42780" w14:textId="77777777" w:rsidR="006A3667" w:rsidRDefault="006A3667">
            <w:pPr>
              <w:rPr>
                <w:rFonts w:ascii="宋体"/>
                <w:vanish/>
              </w:rPr>
            </w:pPr>
          </w:p>
        </w:tc>
        <w:tc>
          <w:tcPr>
            <w:tcW w:w="0" w:type="auto"/>
            <w:gridSpan w:val="3"/>
            <w:shd w:val="clear" w:color="auto" w:fill="auto"/>
            <w:vAlign w:val="bottom"/>
          </w:tcPr>
          <w:p w14:paraId="71D42781" w14:textId="77777777" w:rsidR="006A3667" w:rsidRDefault="006A3667">
            <w:pPr>
              <w:rPr>
                <w:rFonts w:ascii="宋体"/>
                <w:vanish/>
              </w:rPr>
            </w:pPr>
          </w:p>
        </w:tc>
      </w:tr>
      <w:tr w:rsidR="006A3667" w14:paraId="71D42795" w14:textId="77777777">
        <w:trPr>
          <w:jc w:val="center"/>
          <w:hidden/>
        </w:trPr>
        <w:tc>
          <w:tcPr>
            <w:tcW w:w="0" w:type="auto"/>
            <w:gridSpan w:val="3"/>
            <w:shd w:val="clear" w:color="auto" w:fill="auto"/>
            <w:vAlign w:val="bottom"/>
          </w:tcPr>
          <w:p w14:paraId="71D42783" w14:textId="77777777" w:rsidR="006A3667" w:rsidRDefault="006A3667">
            <w:pPr>
              <w:rPr>
                <w:rFonts w:ascii="宋体"/>
                <w:vanish/>
              </w:rPr>
            </w:pPr>
          </w:p>
        </w:tc>
        <w:tc>
          <w:tcPr>
            <w:tcW w:w="0" w:type="auto"/>
            <w:gridSpan w:val="3"/>
            <w:shd w:val="clear" w:color="auto" w:fill="auto"/>
            <w:vAlign w:val="bottom"/>
          </w:tcPr>
          <w:p w14:paraId="71D42784" w14:textId="77777777" w:rsidR="006A3667" w:rsidRDefault="006A3667">
            <w:pPr>
              <w:rPr>
                <w:rFonts w:ascii="宋体"/>
                <w:vanish/>
              </w:rPr>
            </w:pPr>
          </w:p>
        </w:tc>
        <w:tc>
          <w:tcPr>
            <w:tcW w:w="0" w:type="auto"/>
            <w:gridSpan w:val="3"/>
            <w:shd w:val="clear" w:color="auto" w:fill="auto"/>
            <w:vAlign w:val="bottom"/>
          </w:tcPr>
          <w:p w14:paraId="71D42785" w14:textId="77777777" w:rsidR="006A3667" w:rsidRDefault="006A3667">
            <w:pPr>
              <w:rPr>
                <w:rFonts w:ascii="宋体"/>
                <w:vanish/>
              </w:rPr>
            </w:pPr>
          </w:p>
        </w:tc>
        <w:tc>
          <w:tcPr>
            <w:tcW w:w="0" w:type="auto"/>
            <w:gridSpan w:val="3"/>
            <w:shd w:val="clear" w:color="auto" w:fill="auto"/>
            <w:vAlign w:val="bottom"/>
          </w:tcPr>
          <w:p w14:paraId="71D42786" w14:textId="77777777" w:rsidR="006A3667" w:rsidRDefault="006A3667">
            <w:pPr>
              <w:rPr>
                <w:rFonts w:ascii="宋体"/>
                <w:vanish/>
              </w:rPr>
            </w:pPr>
          </w:p>
        </w:tc>
        <w:tc>
          <w:tcPr>
            <w:tcW w:w="0" w:type="auto"/>
            <w:gridSpan w:val="3"/>
            <w:shd w:val="clear" w:color="auto" w:fill="auto"/>
            <w:vAlign w:val="bottom"/>
          </w:tcPr>
          <w:p w14:paraId="71D42787" w14:textId="77777777" w:rsidR="006A3667" w:rsidRDefault="006A3667">
            <w:pPr>
              <w:rPr>
                <w:rFonts w:ascii="宋体"/>
                <w:vanish/>
              </w:rPr>
            </w:pPr>
          </w:p>
        </w:tc>
        <w:tc>
          <w:tcPr>
            <w:tcW w:w="0" w:type="auto"/>
            <w:gridSpan w:val="3"/>
            <w:shd w:val="clear" w:color="auto" w:fill="auto"/>
            <w:vAlign w:val="bottom"/>
          </w:tcPr>
          <w:p w14:paraId="71D42788" w14:textId="77777777" w:rsidR="006A3667" w:rsidRDefault="006A3667">
            <w:pPr>
              <w:rPr>
                <w:rFonts w:ascii="宋体"/>
                <w:vanish/>
              </w:rPr>
            </w:pPr>
          </w:p>
        </w:tc>
        <w:tc>
          <w:tcPr>
            <w:tcW w:w="0" w:type="auto"/>
            <w:gridSpan w:val="3"/>
            <w:shd w:val="clear" w:color="auto" w:fill="auto"/>
            <w:vAlign w:val="bottom"/>
          </w:tcPr>
          <w:p w14:paraId="71D42789" w14:textId="77777777" w:rsidR="006A3667" w:rsidRDefault="006A3667">
            <w:pPr>
              <w:rPr>
                <w:rFonts w:ascii="宋体"/>
                <w:vanish/>
              </w:rPr>
            </w:pPr>
          </w:p>
        </w:tc>
        <w:tc>
          <w:tcPr>
            <w:tcW w:w="0" w:type="auto"/>
            <w:gridSpan w:val="3"/>
            <w:shd w:val="clear" w:color="auto" w:fill="auto"/>
            <w:vAlign w:val="bottom"/>
          </w:tcPr>
          <w:p w14:paraId="71D4278A" w14:textId="77777777" w:rsidR="006A3667" w:rsidRDefault="006A3667">
            <w:pPr>
              <w:rPr>
                <w:rFonts w:ascii="宋体"/>
                <w:vanish/>
              </w:rPr>
            </w:pPr>
          </w:p>
        </w:tc>
        <w:tc>
          <w:tcPr>
            <w:tcW w:w="0" w:type="auto"/>
            <w:gridSpan w:val="3"/>
            <w:shd w:val="clear" w:color="auto" w:fill="auto"/>
            <w:vAlign w:val="bottom"/>
          </w:tcPr>
          <w:p w14:paraId="71D4278B" w14:textId="77777777" w:rsidR="006A3667" w:rsidRDefault="006A3667">
            <w:pPr>
              <w:rPr>
                <w:rFonts w:ascii="宋体"/>
                <w:vanish/>
              </w:rPr>
            </w:pPr>
          </w:p>
        </w:tc>
        <w:tc>
          <w:tcPr>
            <w:tcW w:w="0" w:type="auto"/>
            <w:gridSpan w:val="3"/>
            <w:shd w:val="clear" w:color="auto" w:fill="auto"/>
            <w:vAlign w:val="bottom"/>
          </w:tcPr>
          <w:p w14:paraId="71D4278C" w14:textId="77777777" w:rsidR="006A3667" w:rsidRDefault="006A3667">
            <w:pPr>
              <w:rPr>
                <w:rFonts w:ascii="宋体"/>
                <w:vanish/>
              </w:rPr>
            </w:pPr>
          </w:p>
        </w:tc>
        <w:tc>
          <w:tcPr>
            <w:tcW w:w="0" w:type="auto"/>
            <w:gridSpan w:val="3"/>
            <w:shd w:val="clear" w:color="auto" w:fill="auto"/>
            <w:vAlign w:val="bottom"/>
          </w:tcPr>
          <w:p w14:paraId="71D4278D" w14:textId="77777777" w:rsidR="006A3667" w:rsidRDefault="006A3667">
            <w:pPr>
              <w:rPr>
                <w:rFonts w:ascii="宋体"/>
                <w:vanish/>
              </w:rPr>
            </w:pPr>
          </w:p>
        </w:tc>
        <w:tc>
          <w:tcPr>
            <w:tcW w:w="0" w:type="auto"/>
            <w:gridSpan w:val="3"/>
            <w:shd w:val="clear" w:color="auto" w:fill="auto"/>
            <w:vAlign w:val="bottom"/>
          </w:tcPr>
          <w:p w14:paraId="71D4278E" w14:textId="77777777" w:rsidR="006A3667" w:rsidRDefault="006A3667">
            <w:pPr>
              <w:rPr>
                <w:rFonts w:ascii="宋体"/>
                <w:vanish/>
              </w:rPr>
            </w:pPr>
          </w:p>
        </w:tc>
        <w:tc>
          <w:tcPr>
            <w:tcW w:w="0" w:type="auto"/>
            <w:gridSpan w:val="3"/>
            <w:shd w:val="clear" w:color="auto" w:fill="auto"/>
            <w:vAlign w:val="bottom"/>
          </w:tcPr>
          <w:p w14:paraId="71D4278F" w14:textId="77777777" w:rsidR="006A3667" w:rsidRDefault="006A3667">
            <w:pPr>
              <w:rPr>
                <w:rFonts w:ascii="宋体"/>
                <w:vanish/>
              </w:rPr>
            </w:pPr>
          </w:p>
        </w:tc>
        <w:tc>
          <w:tcPr>
            <w:tcW w:w="0" w:type="auto"/>
            <w:gridSpan w:val="3"/>
            <w:shd w:val="clear" w:color="auto" w:fill="auto"/>
            <w:vAlign w:val="bottom"/>
          </w:tcPr>
          <w:p w14:paraId="71D42790" w14:textId="77777777" w:rsidR="006A3667" w:rsidRDefault="006A3667">
            <w:pPr>
              <w:rPr>
                <w:rFonts w:ascii="宋体"/>
                <w:vanish/>
              </w:rPr>
            </w:pPr>
          </w:p>
        </w:tc>
        <w:tc>
          <w:tcPr>
            <w:tcW w:w="0" w:type="auto"/>
            <w:gridSpan w:val="3"/>
            <w:shd w:val="clear" w:color="auto" w:fill="auto"/>
            <w:vAlign w:val="bottom"/>
          </w:tcPr>
          <w:p w14:paraId="71D42791" w14:textId="77777777" w:rsidR="006A3667" w:rsidRDefault="006A3667">
            <w:pPr>
              <w:rPr>
                <w:rFonts w:ascii="宋体"/>
                <w:vanish/>
              </w:rPr>
            </w:pPr>
          </w:p>
        </w:tc>
        <w:tc>
          <w:tcPr>
            <w:tcW w:w="0" w:type="auto"/>
            <w:gridSpan w:val="3"/>
            <w:shd w:val="clear" w:color="auto" w:fill="auto"/>
            <w:vAlign w:val="bottom"/>
          </w:tcPr>
          <w:p w14:paraId="71D42792" w14:textId="77777777" w:rsidR="006A3667" w:rsidRDefault="006A3667">
            <w:pPr>
              <w:rPr>
                <w:rFonts w:ascii="宋体"/>
                <w:vanish/>
              </w:rPr>
            </w:pPr>
          </w:p>
        </w:tc>
        <w:tc>
          <w:tcPr>
            <w:tcW w:w="0" w:type="auto"/>
            <w:gridSpan w:val="3"/>
            <w:shd w:val="clear" w:color="auto" w:fill="auto"/>
            <w:vAlign w:val="bottom"/>
          </w:tcPr>
          <w:p w14:paraId="71D42793" w14:textId="77777777" w:rsidR="006A3667" w:rsidRDefault="006A3667">
            <w:pPr>
              <w:rPr>
                <w:rFonts w:ascii="宋体"/>
                <w:vanish/>
              </w:rPr>
            </w:pPr>
          </w:p>
        </w:tc>
        <w:tc>
          <w:tcPr>
            <w:tcW w:w="0" w:type="auto"/>
            <w:gridSpan w:val="3"/>
            <w:shd w:val="clear" w:color="auto" w:fill="auto"/>
            <w:vAlign w:val="bottom"/>
          </w:tcPr>
          <w:p w14:paraId="71D42794" w14:textId="77777777" w:rsidR="006A3667" w:rsidRDefault="006A3667">
            <w:pPr>
              <w:rPr>
                <w:rFonts w:ascii="宋体"/>
                <w:vanish/>
              </w:rPr>
            </w:pPr>
          </w:p>
        </w:tc>
      </w:tr>
      <w:tr w:rsidR="006A3667" w14:paraId="71D427A8" w14:textId="77777777">
        <w:trPr>
          <w:jc w:val="center"/>
          <w:hidden/>
        </w:trPr>
        <w:tc>
          <w:tcPr>
            <w:tcW w:w="0" w:type="auto"/>
            <w:gridSpan w:val="3"/>
            <w:shd w:val="clear" w:color="auto" w:fill="auto"/>
            <w:vAlign w:val="bottom"/>
          </w:tcPr>
          <w:p w14:paraId="71D42796" w14:textId="77777777" w:rsidR="006A3667" w:rsidRDefault="006A3667">
            <w:pPr>
              <w:rPr>
                <w:rFonts w:ascii="宋体"/>
                <w:vanish/>
              </w:rPr>
            </w:pPr>
          </w:p>
        </w:tc>
        <w:tc>
          <w:tcPr>
            <w:tcW w:w="0" w:type="auto"/>
            <w:gridSpan w:val="3"/>
            <w:shd w:val="clear" w:color="auto" w:fill="auto"/>
            <w:vAlign w:val="bottom"/>
          </w:tcPr>
          <w:p w14:paraId="71D42797" w14:textId="77777777" w:rsidR="006A3667" w:rsidRDefault="006A3667">
            <w:pPr>
              <w:rPr>
                <w:rFonts w:ascii="宋体"/>
                <w:vanish/>
              </w:rPr>
            </w:pPr>
          </w:p>
        </w:tc>
        <w:tc>
          <w:tcPr>
            <w:tcW w:w="0" w:type="auto"/>
            <w:gridSpan w:val="3"/>
            <w:shd w:val="clear" w:color="auto" w:fill="auto"/>
            <w:vAlign w:val="bottom"/>
          </w:tcPr>
          <w:p w14:paraId="71D42798" w14:textId="77777777" w:rsidR="006A3667" w:rsidRDefault="006A3667">
            <w:pPr>
              <w:rPr>
                <w:rFonts w:ascii="宋体"/>
                <w:vanish/>
              </w:rPr>
            </w:pPr>
          </w:p>
        </w:tc>
        <w:tc>
          <w:tcPr>
            <w:tcW w:w="0" w:type="auto"/>
            <w:gridSpan w:val="3"/>
            <w:shd w:val="clear" w:color="auto" w:fill="auto"/>
            <w:vAlign w:val="bottom"/>
          </w:tcPr>
          <w:p w14:paraId="71D42799" w14:textId="77777777" w:rsidR="006A3667" w:rsidRDefault="006A3667">
            <w:pPr>
              <w:rPr>
                <w:rFonts w:ascii="宋体"/>
                <w:vanish/>
              </w:rPr>
            </w:pPr>
          </w:p>
        </w:tc>
        <w:tc>
          <w:tcPr>
            <w:tcW w:w="0" w:type="auto"/>
            <w:gridSpan w:val="3"/>
            <w:shd w:val="clear" w:color="auto" w:fill="auto"/>
            <w:vAlign w:val="bottom"/>
          </w:tcPr>
          <w:p w14:paraId="71D4279A" w14:textId="77777777" w:rsidR="006A3667" w:rsidRDefault="006A3667">
            <w:pPr>
              <w:rPr>
                <w:rFonts w:ascii="宋体"/>
                <w:vanish/>
              </w:rPr>
            </w:pPr>
          </w:p>
        </w:tc>
        <w:tc>
          <w:tcPr>
            <w:tcW w:w="0" w:type="auto"/>
            <w:gridSpan w:val="3"/>
            <w:shd w:val="clear" w:color="auto" w:fill="auto"/>
            <w:vAlign w:val="bottom"/>
          </w:tcPr>
          <w:p w14:paraId="71D4279B" w14:textId="77777777" w:rsidR="006A3667" w:rsidRDefault="006A3667">
            <w:pPr>
              <w:rPr>
                <w:rFonts w:ascii="宋体"/>
                <w:vanish/>
              </w:rPr>
            </w:pPr>
          </w:p>
        </w:tc>
        <w:tc>
          <w:tcPr>
            <w:tcW w:w="0" w:type="auto"/>
            <w:gridSpan w:val="3"/>
            <w:shd w:val="clear" w:color="auto" w:fill="auto"/>
            <w:vAlign w:val="bottom"/>
          </w:tcPr>
          <w:p w14:paraId="71D4279C" w14:textId="77777777" w:rsidR="006A3667" w:rsidRDefault="006A3667">
            <w:pPr>
              <w:rPr>
                <w:rFonts w:ascii="宋体"/>
                <w:vanish/>
              </w:rPr>
            </w:pPr>
          </w:p>
        </w:tc>
        <w:tc>
          <w:tcPr>
            <w:tcW w:w="0" w:type="auto"/>
            <w:gridSpan w:val="3"/>
            <w:shd w:val="clear" w:color="auto" w:fill="auto"/>
            <w:vAlign w:val="bottom"/>
          </w:tcPr>
          <w:p w14:paraId="71D4279D" w14:textId="77777777" w:rsidR="006A3667" w:rsidRDefault="006A3667">
            <w:pPr>
              <w:rPr>
                <w:rFonts w:ascii="宋体"/>
                <w:vanish/>
              </w:rPr>
            </w:pPr>
          </w:p>
        </w:tc>
        <w:tc>
          <w:tcPr>
            <w:tcW w:w="0" w:type="auto"/>
            <w:gridSpan w:val="3"/>
            <w:shd w:val="clear" w:color="auto" w:fill="auto"/>
            <w:vAlign w:val="bottom"/>
          </w:tcPr>
          <w:p w14:paraId="71D4279E" w14:textId="77777777" w:rsidR="006A3667" w:rsidRDefault="006A3667">
            <w:pPr>
              <w:rPr>
                <w:rFonts w:ascii="宋体"/>
                <w:vanish/>
              </w:rPr>
            </w:pPr>
          </w:p>
        </w:tc>
        <w:tc>
          <w:tcPr>
            <w:tcW w:w="0" w:type="auto"/>
            <w:gridSpan w:val="3"/>
            <w:shd w:val="clear" w:color="auto" w:fill="auto"/>
            <w:vAlign w:val="bottom"/>
          </w:tcPr>
          <w:p w14:paraId="71D4279F" w14:textId="77777777" w:rsidR="006A3667" w:rsidRDefault="006A3667">
            <w:pPr>
              <w:rPr>
                <w:rFonts w:ascii="宋体"/>
                <w:vanish/>
              </w:rPr>
            </w:pPr>
          </w:p>
        </w:tc>
        <w:tc>
          <w:tcPr>
            <w:tcW w:w="0" w:type="auto"/>
            <w:gridSpan w:val="3"/>
            <w:shd w:val="clear" w:color="auto" w:fill="auto"/>
            <w:vAlign w:val="bottom"/>
          </w:tcPr>
          <w:p w14:paraId="71D427A0" w14:textId="77777777" w:rsidR="006A3667" w:rsidRDefault="006A3667">
            <w:pPr>
              <w:rPr>
                <w:rFonts w:ascii="宋体"/>
                <w:vanish/>
              </w:rPr>
            </w:pPr>
          </w:p>
        </w:tc>
        <w:tc>
          <w:tcPr>
            <w:tcW w:w="0" w:type="auto"/>
            <w:gridSpan w:val="3"/>
            <w:shd w:val="clear" w:color="auto" w:fill="auto"/>
            <w:vAlign w:val="bottom"/>
          </w:tcPr>
          <w:p w14:paraId="71D427A1" w14:textId="77777777" w:rsidR="006A3667" w:rsidRDefault="006A3667">
            <w:pPr>
              <w:rPr>
                <w:rFonts w:ascii="宋体"/>
                <w:vanish/>
              </w:rPr>
            </w:pPr>
          </w:p>
        </w:tc>
        <w:tc>
          <w:tcPr>
            <w:tcW w:w="0" w:type="auto"/>
            <w:gridSpan w:val="3"/>
            <w:shd w:val="clear" w:color="auto" w:fill="auto"/>
            <w:vAlign w:val="bottom"/>
          </w:tcPr>
          <w:p w14:paraId="71D427A2" w14:textId="77777777" w:rsidR="006A3667" w:rsidRDefault="006A3667">
            <w:pPr>
              <w:rPr>
                <w:rFonts w:ascii="宋体"/>
                <w:vanish/>
              </w:rPr>
            </w:pPr>
          </w:p>
        </w:tc>
        <w:tc>
          <w:tcPr>
            <w:tcW w:w="0" w:type="auto"/>
            <w:gridSpan w:val="3"/>
            <w:shd w:val="clear" w:color="auto" w:fill="auto"/>
            <w:vAlign w:val="bottom"/>
          </w:tcPr>
          <w:p w14:paraId="71D427A3" w14:textId="77777777" w:rsidR="006A3667" w:rsidRDefault="006A3667">
            <w:pPr>
              <w:rPr>
                <w:rFonts w:ascii="宋体"/>
                <w:vanish/>
              </w:rPr>
            </w:pPr>
          </w:p>
        </w:tc>
        <w:tc>
          <w:tcPr>
            <w:tcW w:w="0" w:type="auto"/>
            <w:gridSpan w:val="3"/>
            <w:shd w:val="clear" w:color="auto" w:fill="auto"/>
            <w:vAlign w:val="bottom"/>
          </w:tcPr>
          <w:p w14:paraId="71D427A4" w14:textId="77777777" w:rsidR="006A3667" w:rsidRDefault="006A3667">
            <w:pPr>
              <w:rPr>
                <w:rFonts w:ascii="宋体"/>
                <w:vanish/>
              </w:rPr>
            </w:pPr>
          </w:p>
        </w:tc>
        <w:tc>
          <w:tcPr>
            <w:tcW w:w="0" w:type="auto"/>
            <w:gridSpan w:val="3"/>
            <w:shd w:val="clear" w:color="auto" w:fill="auto"/>
            <w:vAlign w:val="bottom"/>
          </w:tcPr>
          <w:p w14:paraId="71D427A5" w14:textId="77777777" w:rsidR="006A3667" w:rsidRDefault="006A3667">
            <w:pPr>
              <w:rPr>
                <w:rFonts w:ascii="宋体"/>
                <w:vanish/>
              </w:rPr>
            </w:pPr>
          </w:p>
        </w:tc>
        <w:tc>
          <w:tcPr>
            <w:tcW w:w="0" w:type="auto"/>
            <w:gridSpan w:val="3"/>
            <w:shd w:val="clear" w:color="auto" w:fill="auto"/>
            <w:vAlign w:val="bottom"/>
          </w:tcPr>
          <w:p w14:paraId="71D427A6" w14:textId="77777777" w:rsidR="006A3667" w:rsidRDefault="006A3667">
            <w:pPr>
              <w:rPr>
                <w:rFonts w:ascii="宋体"/>
                <w:vanish/>
              </w:rPr>
            </w:pPr>
          </w:p>
        </w:tc>
        <w:tc>
          <w:tcPr>
            <w:tcW w:w="0" w:type="auto"/>
            <w:gridSpan w:val="3"/>
            <w:shd w:val="clear" w:color="auto" w:fill="auto"/>
            <w:vAlign w:val="bottom"/>
          </w:tcPr>
          <w:p w14:paraId="71D427A7" w14:textId="77777777" w:rsidR="006A3667" w:rsidRDefault="006A3667">
            <w:pPr>
              <w:rPr>
                <w:rFonts w:ascii="宋体"/>
                <w:vanish/>
              </w:rPr>
            </w:pPr>
          </w:p>
        </w:tc>
      </w:tr>
      <w:tr w:rsidR="006A3667" w14:paraId="71D427BB" w14:textId="77777777">
        <w:trPr>
          <w:jc w:val="center"/>
          <w:hidden/>
        </w:trPr>
        <w:tc>
          <w:tcPr>
            <w:tcW w:w="0" w:type="auto"/>
            <w:gridSpan w:val="3"/>
            <w:shd w:val="clear" w:color="auto" w:fill="auto"/>
            <w:vAlign w:val="bottom"/>
          </w:tcPr>
          <w:p w14:paraId="71D427A9" w14:textId="77777777" w:rsidR="006A3667" w:rsidRDefault="006A3667">
            <w:pPr>
              <w:rPr>
                <w:rFonts w:ascii="宋体"/>
                <w:vanish/>
              </w:rPr>
            </w:pPr>
          </w:p>
        </w:tc>
        <w:tc>
          <w:tcPr>
            <w:tcW w:w="0" w:type="auto"/>
            <w:gridSpan w:val="3"/>
            <w:shd w:val="clear" w:color="auto" w:fill="auto"/>
            <w:vAlign w:val="bottom"/>
          </w:tcPr>
          <w:p w14:paraId="71D427AA" w14:textId="77777777" w:rsidR="006A3667" w:rsidRDefault="006A3667">
            <w:pPr>
              <w:rPr>
                <w:rFonts w:ascii="宋体"/>
                <w:vanish/>
              </w:rPr>
            </w:pPr>
          </w:p>
        </w:tc>
        <w:tc>
          <w:tcPr>
            <w:tcW w:w="0" w:type="auto"/>
            <w:gridSpan w:val="3"/>
            <w:shd w:val="clear" w:color="auto" w:fill="auto"/>
            <w:vAlign w:val="bottom"/>
          </w:tcPr>
          <w:p w14:paraId="71D427AB" w14:textId="77777777" w:rsidR="006A3667" w:rsidRDefault="006A3667">
            <w:pPr>
              <w:rPr>
                <w:rFonts w:ascii="宋体"/>
                <w:vanish/>
              </w:rPr>
            </w:pPr>
          </w:p>
        </w:tc>
        <w:tc>
          <w:tcPr>
            <w:tcW w:w="0" w:type="auto"/>
            <w:gridSpan w:val="3"/>
            <w:shd w:val="clear" w:color="auto" w:fill="auto"/>
            <w:vAlign w:val="bottom"/>
          </w:tcPr>
          <w:p w14:paraId="71D427AC" w14:textId="77777777" w:rsidR="006A3667" w:rsidRDefault="006A3667">
            <w:pPr>
              <w:rPr>
                <w:rFonts w:ascii="宋体"/>
                <w:vanish/>
              </w:rPr>
            </w:pPr>
          </w:p>
        </w:tc>
        <w:tc>
          <w:tcPr>
            <w:tcW w:w="0" w:type="auto"/>
            <w:gridSpan w:val="3"/>
            <w:shd w:val="clear" w:color="auto" w:fill="auto"/>
            <w:vAlign w:val="bottom"/>
          </w:tcPr>
          <w:p w14:paraId="71D427AD" w14:textId="77777777" w:rsidR="006A3667" w:rsidRDefault="006A3667">
            <w:pPr>
              <w:rPr>
                <w:rFonts w:ascii="宋体"/>
                <w:vanish/>
              </w:rPr>
            </w:pPr>
          </w:p>
        </w:tc>
        <w:tc>
          <w:tcPr>
            <w:tcW w:w="0" w:type="auto"/>
            <w:gridSpan w:val="3"/>
            <w:shd w:val="clear" w:color="auto" w:fill="auto"/>
            <w:vAlign w:val="bottom"/>
          </w:tcPr>
          <w:p w14:paraId="71D427AE" w14:textId="77777777" w:rsidR="006A3667" w:rsidRDefault="006A3667">
            <w:pPr>
              <w:rPr>
                <w:rFonts w:ascii="宋体"/>
                <w:vanish/>
              </w:rPr>
            </w:pPr>
          </w:p>
        </w:tc>
        <w:tc>
          <w:tcPr>
            <w:tcW w:w="0" w:type="auto"/>
            <w:gridSpan w:val="3"/>
            <w:shd w:val="clear" w:color="auto" w:fill="auto"/>
            <w:vAlign w:val="bottom"/>
          </w:tcPr>
          <w:p w14:paraId="71D427AF" w14:textId="77777777" w:rsidR="006A3667" w:rsidRDefault="006A3667">
            <w:pPr>
              <w:rPr>
                <w:rFonts w:ascii="宋体"/>
                <w:vanish/>
              </w:rPr>
            </w:pPr>
          </w:p>
        </w:tc>
        <w:tc>
          <w:tcPr>
            <w:tcW w:w="0" w:type="auto"/>
            <w:gridSpan w:val="3"/>
            <w:shd w:val="clear" w:color="auto" w:fill="auto"/>
            <w:vAlign w:val="bottom"/>
          </w:tcPr>
          <w:p w14:paraId="71D427B0" w14:textId="77777777" w:rsidR="006A3667" w:rsidRDefault="006A3667">
            <w:pPr>
              <w:rPr>
                <w:rFonts w:ascii="宋体"/>
                <w:vanish/>
              </w:rPr>
            </w:pPr>
          </w:p>
        </w:tc>
        <w:tc>
          <w:tcPr>
            <w:tcW w:w="0" w:type="auto"/>
            <w:gridSpan w:val="3"/>
            <w:shd w:val="clear" w:color="auto" w:fill="auto"/>
            <w:vAlign w:val="bottom"/>
          </w:tcPr>
          <w:p w14:paraId="71D427B1" w14:textId="77777777" w:rsidR="006A3667" w:rsidRDefault="006A3667">
            <w:pPr>
              <w:rPr>
                <w:rFonts w:ascii="宋体"/>
                <w:vanish/>
              </w:rPr>
            </w:pPr>
          </w:p>
        </w:tc>
        <w:tc>
          <w:tcPr>
            <w:tcW w:w="0" w:type="auto"/>
            <w:gridSpan w:val="3"/>
            <w:shd w:val="clear" w:color="auto" w:fill="auto"/>
            <w:vAlign w:val="bottom"/>
          </w:tcPr>
          <w:p w14:paraId="71D427B2" w14:textId="77777777" w:rsidR="006A3667" w:rsidRDefault="006A3667">
            <w:pPr>
              <w:rPr>
                <w:rFonts w:ascii="宋体"/>
                <w:vanish/>
              </w:rPr>
            </w:pPr>
          </w:p>
        </w:tc>
        <w:tc>
          <w:tcPr>
            <w:tcW w:w="0" w:type="auto"/>
            <w:gridSpan w:val="3"/>
            <w:shd w:val="clear" w:color="auto" w:fill="auto"/>
            <w:vAlign w:val="bottom"/>
          </w:tcPr>
          <w:p w14:paraId="71D427B3" w14:textId="77777777" w:rsidR="006A3667" w:rsidRDefault="006A3667">
            <w:pPr>
              <w:rPr>
                <w:rFonts w:ascii="宋体"/>
                <w:vanish/>
              </w:rPr>
            </w:pPr>
          </w:p>
        </w:tc>
        <w:tc>
          <w:tcPr>
            <w:tcW w:w="0" w:type="auto"/>
            <w:gridSpan w:val="3"/>
            <w:shd w:val="clear" w:color="auto" w:fill="auto"/>
            <w:vAlign w:val="bottom"/>
          </w:tcPr>
          <w:p w14:paraId="71D427B4" w14:textId="77777777" w:rsidR="006A3667" w:rsidRDefault="006A3667">
            <w:pPr>
              <w:rPr>
                <w:rFonts w:ascii="宋体"/>
                <w:vanish/>
              </w:rPr>
            </w:pPr>
          </w:p>
        </w:tc>
        <w:tc>
          <w:tcPr>
            <w:tcW w:w="0" w:type="auto"/>
            <w:gridSpan w:val="3"/>
            <w:shd w:val="clear" w:color="auto" w:fill="auto"/>
            <w:vAlign w:val="bottom"/>
          </w:tcPr>
          <w:p w14:paraId="71D427B5" w14:textId="77777777" w:rsidR="006A3667" w:rsidRDefault="006A3667">
            <w:pPr>
              <w:rPr>
                <w:rFonts w:ascii="宋体"/>
                <w:vanish/>
              </w:rPr>
            </w:pPr>
          </w:p>
        </w:tc>
        <w:tc>
          <w:tcPr>
            <w:tcW w:w="0" w:type="auto"/>
            <w:gridSpan w:val="3"/>
            <w:shd w:val="clear" w:color="auto" w:fill="auto"/>
            <w:vAlign w:val="bottom"/>
          </w:tcPr>
          <w:p w14:paraId="71D427B6" w14:textId="77777777" w:rsidR="006A3667" w:rsidRDefault="006A3667">
            <w:pPr>
              <w:rPr>
                <w:rFonts w:ascii="宋体"/>
                <w:vanish/>
              </w:rPr>
            </w:pPr>
          </w:p>
        </w:tc>
        <w:tc>
          <w:tcPr>
            <w:tcW w:w="0" w:type="auto"/>
            <w:gridSpan w:val="3"/>
            <w:shd w:val="clear" w:color="auto" w:fill="auto"/>
            <w:vAlign w:val="bottom"/>
          </w:tcPr>
          <w:p w14:paraId="71D427B7" w14:textId="77777777" w:rsidR="006A3667" w:rsidRDefault="006A3667">
            <w:pPr>
              <w:rPr>
                <w:rFonts w:ascii="宋体"/>
                <w:vanish/>
              </w:rPr>
            </w:pPr>
          </w:p>
        </w:tc>
        <w:tc>
          <w:tcPr>
            <w:tcW w:w="0" w:type="auto"/>
            <w:gridSpan w:val="3"/>
            <w:shd w:val="clear" w:color="auto" w:fill="auto"/>
            <w:vAlign w:val="bottom"/>
          </w:tcPr>
          <w:p w14:paraId="71D427B8" w14:textId="77777777" w:rsidR="006A3667" w:rsidRDefault="006A3667">
            <w:pPr>
              <w:rPr>
                <w:rFonts w:ascii="宋体"/>
                <w:vanish/>
              </w:rPr>
            </w:pPr>
          </w:p>
        </w:tc>
        <w:tc>
          <w:tcPr>
            <w:tcW w:w="0" w:type="auto"/>
            <w:gridSpan w:val="3"/>
            <w:shd w:val="clear" w:color="auto" w:fill="auto"/>
            <w:vAlign w:val="bottom"/>
          </w:tcPr>
          <w:p w14:paraId="71D427B9" w14:textId="77777777" w:rsidR="006A3667" w:rsidRDefault="006A3667">
            <w:pPr>
              <w:rPr>
                <w:rFonts w:ascii="宋体"/>
                <w:vanish/>
              </w:rPr>
            </w:pPr>
          </w:p>
        </w:tc>
        <w:tc>
          <w:tcPr>
            <w:tcW w:w="0" w:type="auto"/>
            <w:gridSpan w:val="3"/>
            <w:shd w:val="clear" w:color="auto" w:fill="auto"/>
            <w:vAlign w:val="bottom"/>
          </w:tcPr>
          <w:p w14:paraId="71D427BA" w14:textId="77777777" w:rsidR="006A3667" w:rsidRDefault="006A3667">
            <w:pPr>
              <w:rPr>
                <w:rFonts w:ascii="宋体"/>
                <w:vanish/>
              </w:rPr>
            </w:pPr>
          </w:p>
        </w:tc>
      </w:tr>
      <w:tr w:rsidR="006A3667" w14:paraId="71D427CE" w14:textId="77777777">
        <w:trPr>
          <w:jc w:val="center"/>
          <w:hidden/>
        </w:trPr>
        <w:tc>
          <w:tcPr>
            <w:tcW w:w="0" w:type="auto"/>
            <w:gridSpan w:val="3"/>
            <w:shd w:val="clear" w:color="auto" w:fill="auto"/>
            <w:vAlign w:val="bottom"/>
          </w:tcPr>
          <w:p w14:paraId="71D427BC" w14:textId="77777777" w:rsidR="006A3667" w:rsidRDefault="006A3667">
            <w:pPr>
              <w:rPr>
                <w:rFonts w:ascii="宋体"/>
                <w:vanish/>
              </w:rPr>
            </w:pPr>
          </w:p>
        </w:tc>
        <w:tc>
          <w:tcPr>
            <w:tcW w:w="0" w:type="auto"/>
            <w:gridSpan w:val="3"/>
            <w:shd w:val="clear" w:color="auto" w:fill="auto"/>
            <w:vAlign w:val="bottom"/>
          </w:tcPr>
          <w:p w14:paraId="71D427BD" w14:textId="77777777" w:rsidR="006A3667" w:rsidRDefault="006A3667">
            <w:pPr>
              <w:rPr>
                <w:rFonts w:ascii="宋体"/>
                <w:vanish/>
              </w:rPr>
            </w:pPr>
          </w:p>
        </w:tc>
        <w:tc>
          <w:tcPr>
            <w:tcW w:w="0" w:type="auto"/>
            <w:gridSpan w:val="3"/>
            <w:shd w:val="clear" w:color="auto" w:fill="auto"/>
            <w:vAlign w:val="bottom"/>
          </w:tcPr>
          <w:p w14:paraId="71D427BE" w14:textId="77777777" w:rsidR="006A3667" w:rsidRDefault="006A3667">
            <w:pPr>
              <w:rPr>
                <w:rFonts w:ascii="宋体"/>
                <w:vanish/>
              </w:rPr>
            </w:pPr>
          </w:p>
        </w:tc>
        <w:tc>
          <w:tcPr>
            <w:tcW w:w="0" w:type="auto"/>
            <w:gridSpan w:val="3"/>
            <w:shd w:val="clear" w:color="auto" w:fill="auto"/>
            <w:vAlign w:val="bottom"/>
          </w:tcPr>
          <w:p w14:paraId="71D427BF" w14:textId="77777777" w:rsidR="006A3667" w:rsidRDefault="006A3667">
            <w:pPr>
              <w:rPr>
                <w:rFonts w:ascii="宋体"/>
                <w:vanish/>
              </w:rPr>
            </w:pPr>
          </w:p>
        </w:tc>
        <w:tc>
          <w:tcPr>
            <w:tcW w:w="0" w:type="auto"/>
            <w:gridSpan w:val="3"/>
            <w:shd w:val="clear" w:color="auto" w:fill="auto"/>
            <w:vAlign w:val="bottom"/>
          </w:tcPr>
          <w:p w14:paraId="71D427C0" w14:textId="77777777" w:rsidR="006A3667" w:rsidRDefault="006A3667">
            <w:pPr>
              <w:rPr>
                <w:rFonts w:ascii="宋体"/>
                <w:vanish/>
              </w:rPr>
            </w:pPr>
          </w:p>
        </w:tc>
        <w:tc>
          <w:tcPr>
            <w:tcW w:w="0" w:type="auto"/>
            <w:gridSpan w:val="3"/>
            <w:shd w:val="clear" w:color="auto" w:fill="auto"/>
            <w:vAlign w:val="bottom"/>
          </w:tcPr>
          <w:p w14:paraId="71D427C1" w14:textId="77777777" w:rsidR="006A3667" w:rsidRDefault="006A3667">
            <w:pPr>
              <w:rPr>
                <w:rFonts w:ascii="宋体"/>
                <w:vanish/>
              </w:rPr>
            </w:pPr>
          </w:p>
        </w:tc>
        <w:tc>
          <w:tcPr>
            <w:tcW w:w="0" w:type="auto"/>
            <w:gridSpan w:val="3"/>
            <w:shd w:val="clear" w:color="auto" w:fill="auto"/>
            <w:vAlign w:val="bottom"/>
          </w:tcPr>
          <w:p w14:paraId="71D427C2" w14:textId="77777777" w:rsidR="006A3667" w:rsidRDefault="006A3667">
            <w:pPr>
              <w:rPr>
                <w:rFonts w:ascii="宋体"/>
                <w:vanish/>
              </w:rPr>
            </w:pPr>
          </w:p>
        </w:tc>
        <w:tc>
          <w:tcPr>
            <w:tcW w:w="0" w:type="auto"/>
            <w:gridSpan w:val="3"/>
            <w:shd w:val="clear" w:color="auto" w:fill="auto"/>
            <w:vAlign w:val="bottom"/>
          </w:tcPr>
          <w:p w14:paraId="71D427C3" w14:textId="77777777" w:rsidR="006A3667" w:rsidRDefault="006A3667">
            <w:pPr>
              <w:rPr>
                <w:rFonts w:ascii="宋体"/>
                <w:vanish/>
              </w:rPr>
            </w:pPr>
          </w:p>
        </w:tc>
        <w:tc>
          <w:tcPr>
            <w:tcW w:w="0" w:type="auto"/>
            <w:gridSpan w:val="3"/>
            <w:shd w:val="clear" w:color="auto" w:fill="auto"/>
            <w:vAlign w:val="bottom"/>
          </w:tcPr>
          <w:p w14:paraId="71D427C4" w14:textId="77777777" w:rsidR="006A3667" w:rsidRDefault="006A3667">
            <w:pPr>
              <w:rPr>
                <w:rFonts w:ascii="宋体"/>
                <w:vanish/>
              </w:rPr>
            </w:pPr>
          </w:p>
        </w:tc>
        <w:tc>
          <w:tcPr>
            <w:tcW w:w="0" w:type="auto"/>
            <w:gridSpan w:val="3"/>
            <w:shd w:val="clear" w:color="auto" w:fill="auto"/>
            <w:vAlign w:val="bottom"/>
          </w:tcPr>
          <w:p w14:paraId="71D427C5" w14:textId="77777777" w:rsidR="006A3667" w:rsidRDefault="006A3667">
            <w:pPr>
              <w:rPr>
                <w:rFonts w:ascii="宋体"/>
                <w:vanish/>
              </w:rPr>
            </w:pPr>
          </w:p>
        </w:tc>
        <w:tc>
          <w:tcPr>
            <w:tcW w:w="0" w:type="auto"/>
            <w:gridSpan w:val="3"/>
            <w:shd w:val="clear" w:color="auto" w:fill="auto"/>
            <w:vAlign w:val="bottom"/>
          </w:tcPr>
          <w:p w14:paraId="71D427C6" w14:textId="77777777" w:rsidR="006A3667" w:rsidRDefault="006A3667">
            <w:pPr>
              <w:rPr>
                <w:rFonts w:ascii="宋体"/>
                <w:vanish/>
              </w:rPr>
            </w:pPr>
          </w:p>
        </w:tc>
        <w:tc>
          <w:tcPr>
            <w:tcW w:w="0" w:type="auto"/>
            <w:gridSpan w:val="3"/>
            <w:shd w:val="clear" w:color="auto" w:fill="auto"/>
            <w:vAlign w:val="bottom"/>
          </w:tcPr>
          <w:p w14:paraId="71D427C7" w14:textId="77777777" w:rsidR="006A3667" w:rsidRDefault="006A3667">
            <w:pPr>
              <w:rPr>
                <w:rFonts w:ascii="宋体"/>
                <w:vanish/>
              </w:rPr>
            </w:pPr>
          </w:p>
        </w:tc>
        <w:tc>
          <w:tcPr>
            <w:tcW w:w="0" w:type="auto"/>
            <w:gridSpan w:val="3"/>
            <w:shd w:val="clear" w:color="auto" w:fill="auto"/>
            <w:vAlign w:val="bottom"/>
          </w:tcPr>
          <w:p w14:paraId="71D427C8" w14:textId="77777777" w:rsidR="006A3667" w:rsidRDefault="006A3667">
            <w:pPr>
              <w:rPr>
                <w:rFonts w:ascii="宋体"/>
                <w:vanish/>
              </w:rPr>
            </w:pPr>
          </w:p>
        </w:tc>
        <w:tc>
          <w:tcPr>
            <w:tcW w:w="0" w:type="auto"/>
            <w:gridSpan w:val="3"/>
            <w:shd w:val="clear" w:color="auto" w:fill="auto"/>
            <w:vAlign w:val="bottom"/>
          </w:tcPr>
          <w:p w14:paraId="71D427C9" w14:textId="77777777" w:rsidR="006A3667" w:rsidRDefault="006A3667">
            <w:pPr>
              <w:rPr>
                <w:rFonts w:ascii="宋体"/>
                <w:vanish/>
              </w:rPr>
            </w:pPr>
          </w:p>
        </w:tc>
        <w:tc>
          <w:tcPr>
            <w:tcW w:w="0" w:type="auto"/>
            <w:gridSpan w:val="3"/>
            <w:shd w:val="clear" w:color="auto" w:fill="auto"/>
            <w:vAlign w:val="bottom"/>
          </w:tcPr>
          <w:p w14:paraId="71D427CA" w14:textId="77777777" w:rsidR="006A3667" w:rsidRDefault="006A3667">
            <w:pPr>
              <w:rPr>
                <w:rFonts w:ascii="宋体"/>
                <w:vanish/>
              </w:rPr>
            </w:pPr>
          </w:p>
        </w:tc>
        <w:tc>
          <w:tcPr>
            <w:tcW w:w="0" w:type="auto"/>
            <w:gridSpan w:val="3"/>
            <w:shd w:val="clear" w:color="auto" w:fill="auto"/>
            <w:vAlign w:val="bottom"/>
          </w:tcPr>
          <w:p w14:paraId="71D427CB" w14:textId="77777777" w:rsidR="006A3667" w:rsidRDefault="006A3667">
            <w:pPr>
              <w:rPr>
                <w:rFonts w:ascii="宋体"/>
                <w:vanish/>
              </w:rPr>
            </w:pPr>
          </w:p>
        </w:tc>
        <w:tc>
          <w:tcPr>
            <w:tcW w:w="0" w:type="auto"/>
            <w:gridSpan w:val="3"/>
            <w:shd w:val="clear" w:color="auto" w:fill="auto"/>
            <w:vAlign w:val="bottom"/>
          </w:tcPr>
          <w:p w14:paraId="71D427CC" w14:textId="77777777" w:rsidR="006A3667" w:rsidRDefault="006A3667">
            <w:pPr>
              <w:rPr>
                <w:rFonts w:ascii="宋体"/>
                <w:vanish/>
              </w:rPr>
            </w:pPr>
          </w:p>
        </w:tc>
        <w:tc>
          <w:tcPr>
            <w:tcW w:w="0" w:type="auto"/>
            <w:gridSpan w:val="3"/>
            <w:shd w:val="clear" w:color="auto" w:fill="auto"/>
            <w:vAlign w:val="bottom"/>
          </w:tcPr>
          <w:p w14:paraId="71D427CD" w14:textId="77777777" w:rsidR="006A3667" w:rsidRDefault="006A3667">
            <w:pPr>
              <w:rPr>
                <w:rFonts w:ascii="宋体"/>
                <w:vanish/>
              </w:rPr>
            </w:pPr>
          </w:p>
        </w:tc>
      </w:tr>
      <w:tr w:rsidR="006A3667" w14:paraId="71D427E1" w14:textId="77777777">
        <w:trPr>
          <w:jc w:val="center"/>
          <w:hidden/>
        </w:trPr>
        <w:tc>
          <w:tcPr>
            <w:tcW w:w="0" w:type="auto"/>
            <w:gridSpan w:val="3"/>
            <w:shd w:val="clear" w:color="auto" w:fill="auto"/>
            <w:vAlign w:val="bottom"/>
          </w:tcPr>
          <w:p w14:paraId="71D427CF" w14:textId="77777777" w:rsidR="006A3667" w:rsidRDefault="006A3667">
            <w:pPr>
              <w:rPr>
                <w:rFonts w:ascii="宋体"/>
                <w:vanish/>
              </w:rPr>
            </w:pPr>
          </w:p>
        </w:tc>
        <w:tc>
          <w:tcPr>
            <w:tcW w:w="0" w:type="auto"/>
            <w:gridSpan w:val="3"/>
            <w:shd w:val="clear" w:color="auto" w:fill="auto"/>
            <w:vAlign w:val="bottom"/>
          </w:tcPr>
          <w:p w14:paraId="71D427D0" w14:textId="77777777" w:rsidR="006A3667" w:rsidRDefault="006A3667">
            <w:pPr>
              <w:rPr>
                <w:rFonts w:ascii="宋体"/>
                <w:vanish/>
              </w:rPr>
            </w:pPr>
          </w:p>
        </w:tc>
        <w:tc>
          <w:tcPr>
            <w:tcW w:w="0" w:type="auto"/>
            <w:gridSpan w:val="3"/>
            <w:shd w:val="clear" w:color="auto" w:fill="auto"/>
            <w:vAlign w:val="bottom"/>
          </w:tcPr>
          <w:p w14:paraId="71D427D1" w14:textId="77777777" w:rsidR="006A3667" w:rsidRDefault="006A3667">
            <w:pPr>
              <w:rPr>
                <w:rFonts w:ascii="宋体"/>
                <w:vanish/>
              </w:rPr>
            </w:pPr>
          </w:p>
        </w:tc>
        <w:tc>
          <w:tcPr>
            <w:tcW w:w="0" w:type="auto"/>
            <w:gridSpan w:val="3"/>
            <w:shd w:val="clear" w:color="auto" w:fill="auto"/>
            <w:vAlign w:val="bottom"/>
          </w:tcPr>
          <w:p w14:paraId="71D427D2" w14:textId="77777777" w:rsidR="006A3667" w:rsidRDefault="006A3667">
            <w:pPr>
              <w:rPr>
                <w:rFonts w:ascii="宋体"/>
                <w:vanish/>
              </w:rPr>
            </w:pPr>
          </w:p>
        </w:tc>
        <w:tc>
          <w:tcPr>
            <w:tcW w:w="0" w:type="auto"/>
            <w:gridSpan w:val="3"/>
            <w:shd w:val="clear" w:color="auto" w:fill="auto"/>
            <w:vAlign w:val="bottom"/>
          </w:tcPr>
          <w:p w14:paraId="71D427D3" w14:textId="77777777" w:rsidR="006A3667" w:rsidRDefault="006A3667">
            <w:pPr>
              <w:rPr>
                <w:rFonts w:ascii="宋体"/>
                <w:vanish/>
              </w:rPr>
            </w:pPr>
          </w:p>
        </w:tc>
        <w:tc>
          <w:tcPr>
            <w:tcW w:w="0" w:type="auto"/>
            <w:gridSpan w:val="3"/>
            <w:shd w:val="clear" w:color="auto" w:fill="auto"/>
            <w:vAlign w:val="bottom"/>
          </w:tcPr>
          <w:p w14:paraId="71D427D4" w14:textId="77777777" w:rsidR="006A3667" w:rsidRDefault="006A3667">
            <w:pPr>
              <w:rPr>
                <w:rFonts w:ascii="宋体"/>
                <w:vanish/>
              </w:rPr>
            </w:pPr>
          </w:p>
        </w:tc>
        <w:tc>
          <w:tcPr>
            <w:tcW w:w="0" w:type="auto"/>
            <w:gridSpan w:val="3"/>
            <w:shd w:val="clear" w:color="auto" w:fill="auto"/>
            <w:vAlign w:val="bottom"/>
          </w:tcPr>
          <w:p w14:paraId="71D427D5" w14:textId="77777777" w:rsidR="006A3667" w:rsidRDefault="006A3667">
            <w:pPr>
              <w:rPr>
                <w:rFonts w:ascii="宋体"/>
                <w:vanish/>
              </w:rPr>
            </w:pPr>
          </w:p>
        </w:tc>
        <w:tc>
          <w:tcPr>
            <w:tcW w:w="0" w:type="auto"/>
            <w:gridSpan w:val="3"/>
            <w:shd w:val="clear" w:color="auto" w:fill="auto"/>
            <w:vAlign w:val="bottom"/>
          </w:tcPr>
          <w:p w14:paraId="71D427D6" w14:textId="77777777" w:rsidR="006A3667" w:rsidRDefault="006A3667">
            <w:pPr>
              <w:rPr>
                <w:rFonts w:ascii="宋体"/>
                <w:vanish/>
              </w:rPr>
            </w:pPr>
          </w:p>
        </w:tc>
        <w:tc>
          <w:tcPr>
            <w:tcW w:w="0" w:type="auto"/>
            <w:gridSpan w:val="3"/>
            <w:shd w:val="clear" w:color="auto" w:fill="auto"/>
            <w:vAlign w:val="bottom"/>
          </w:tcPr>
          <w:p w14:paraId="71D427D7" w14:textId="77777777" w:rsidR="006A3667" w:rsidRDefault="006A3667">
            <w:pPr>
              <w:rPr>
                <w:rFonts w:ascii="宋体"/>
                <w:vanish/>
              </w:rPr>
            </w:pPr>
          </w:p>
        </w:tc>
        <w:tc>
          <w:tcPr>
            <w:tcW w:w="0" w:type="auto"/>
            <w:gridSpan w:val="3"/>
            <w:shd w:val="clear" w:color="auto" w:fill="auto"/>
            <w:vAlign w:val="bottom"/>
          </w:tcPr>
          <w:p w14:paraId="71D427D8" w14:textId="77777777" w:rsidR="006A3667" w:rsidRDefault="006A3667">
            <w:pPr>
              <w:rPr>
                <w:rFonts w:ascii="宋体"/>
                <w:vanish/>
              </w:rPr>
            </w:pPr>
          </w:p>
        </w:tc>
        <w:tc>
          <w:tcPr>
            <w:tcW w:w="0" w:type="auto"/>
            <w:gridSpan w:val="3"/>
            <w:shd w:val="clear" w:color="auto" w:fill="auto"/>
            <w:vAlign w:val="bottom"/>
          </w:tcPr>
          <w:p w14:paraId="71D427D9" w14:textId="77777777" w:rsidR="006A3667" w:rsidRDefault="006A3667">
            <w:pPr>
              <w:rPr>
                <w:rFonts w:ascii="宋体"/>
                <w:vanish/>
              </w:rPr>
            </w:pPr>
          </w:p>
        </w:tc>
        <w:tc>
          <w:tcPr>
            <w:tcW w:w="0" w:type="auto"/>
            <w:gridSpan w:val="3"/>
            <w:shd w:val="clear" w:color="auto" w:fill="auto"/>
            <w:vAlign w:val="bottom"/>
          </w:tcPr>
          <w:p w14:paraId="71D427DA" w14:textId="77777777" w:rsidR="006A3667" w:rsidRDefault="006A3667">
            <w:pPr>
              <w:rPr>
                <w:rFonts w:ascii="宋体"/>
                <w:vanish/>
              </w:rPr>
            </w:pPr>
          </w:p>
        </w:tc>
        <w:tc>
          <w:tcPr>
            <w:tcW w:w="0" w:type="auto"/>
            <w:gridSpan w:val="3"/>
            <w:shd w:val="clear" w:color="auto" w:fill="auto"/>
            <w:vAlign w:val="bottom"/>
          </w:tcPr>
          <w:p w14:paraId="71D427DB" w14:textId="77777777" w:rsidR="006A3667" w:rsidRDefault="006A3667">
            <w:pPr>
              <w:rPr>
                <w:rFonts w:ascii="宋体"/>
                <w:vanish/>
              </w:rPr>
            </w:pPr>
          </w:p>
        </w:tc>
        <w:tc>
          <w:tcPr>
            <w:tcW w:w="0" w:type="auto"/>
            <w:gridSpan w:val="3"/>
            <w:shd w:val="clear" w:color="auto" w:fill="auto"/>
            <w:vAlign w:val="bottom"/>
          </w:tcPr>
          <w:p w14:paraId="71D427DC" w14:textId="77777777" w:rsidR="006A3667" w:rsidRDefault="006A3667">
            <w:pPr>
              <w:rPr>
                <w:rFonts w:ascii="宋体"/>
                <w:vanish/>
              </w:rPr>
            </w:pPr>
          </w:p>
        </w:tc>
        <w:tc>
          <w:tcPr>
            <w:tcW w:w="0" w:type="auto"/>
            <w:gridSpan w:val="3"/>
            <w:shd w:val="clear" w:color="auto" w:fill="auto"/>
            <w:vAlign w:val="bottom"/>
          </w:tcPr>
          <w:p w14:paraId="71D427DD" w14:textId="77777777" w:rsidR="006A3667" w:rsidRDefault="006A3667">
            <w:pPr>
              <w:rPr>
                <w:rFonts w:ascii="宋体"/>
                <w:vanish/>
              </w:rPr>
            </w:pPr>
          </w:p>
        </w:tc>
        <w:tc>
          <w:tcPr>
            <w:tcW w:w="0" w:type="auto"/>
            <w:gridSpan w:val="3"/>
            <w:shd w:val="clear" w:color="auto" w:fill="auto"/>
            <w:vAlign w:val="bottom"/>
          </w:tcPr>
          <w:p w14:paraId="71D427DE" w14:textId="77777777" w:rsidR="006A3667" w:rsidRDefault="006A3667">
            <w:pPr>
              <w:rPr>
                <w:rFonts w:ascii="宋体"/>
                <w:vanish/>
              </w:rPr>
            </w:pPr>
          </w:p>
        </w:tc>
        <w:tc>
          <w:tcPr>
            <w:tcW w:w="0" w:type="auto"/>
            <w:gridSpan w:val="3"/>
            <w:shd w:val="clear" w:color="auto" w:fill="auto"/>
            <w:vAlign w:val="bottom"/>
          </w:tcPr>
          <w:p w14:paraId="71D427DF" w14:textId="77777777" w:rsidR="006A3667" w:rsidRDefault="006A3667">
            <w:pPr>
              <w:rPr>
                <w:rFonts w:ascii="宋体"/>
                <w:vanish/>
              </w:rPr>
            </w:pPr>
          </w:p>
        </w:tc>
        <w:tc>
          <w:tcPr>
            <w:tcW w:w="0" w:type="auto"/>
            <w:gridSpan w:val="3"/>
            <w:shd w:val="clear" w:color="auto" w:fill="auto"/>
            <w:vAlign w:val="bottom"/>
          </w:tcPr>
          <w:p w14:paraId="71D427E0" w14:textId="77777777" w:rsidR="006A3667" w:rsidRDefault="006A3667">
            <w:pPr>
              <w:rPr>
                <w:rFonts w:ascii="宋体"/>
                <w:vanish/>
              </w:rPr>
            </w:pPr>
          </w:p>
        </w:tc>
      </w:tr>
      <w:tr w:rsidR="006A3667" w14:paraId="71D427F4" w14:textId="77777777">
        <w:trPr>
          <w:jc w:val="center"/>
          <w:hidden/>
        </w:trPr>
        <w:tc>
          <w:tcPr>
            <w:tcW w:w="0" w:type="auto"/>
            <w:gridSpan w:val="3"/>
            <w:shd w:val="clear" w:color="auto" w:fill="auto"/>
            <w:vAlign w:val="bottom"/>
          </w:tcPr>
          <w:p w14:paraId="71D427E2" w14:textId="77777777" w:rsidR="006A3667" w:rsidRDefault="006A3667">
            <w:pPr>
              <w:rPr>
                <w:rFonts w:ascii="宋体"/>
                <w:vanish/>
              </w:rPr>
            </w:pPr>
          </w:p>
        </w:tc>
        <w:tc>
          <w:tcPr>
            <w:tcW w:w="0" w:type="auto"/>
            <w:gridSpan w:val="3"/>
            <w:shd w:val="clear" w:color="auto" w:fill="auto"/>
            <w:vAlign w:val="bottom"/>
          </w:tcPr>
          <w:p w14:paraId="71D427E3" w14:textId="77777777" w:rsidR="006A3667" w:rsidRDefault="006A3667">
            <w:pPr>
              <w:rPr>
                <w:rFonts w:ascii="宋体"/>
                <w:vanish/>
              </w:rPr>
            </w:pPr>
          </w:p>
        </w:tc>
        <w:tc>
          <w:tcPr>
            <w:tcW w:w="0" w:type="auto"/>
            <w:gridSpan w:val="3"/>
            <w:shd w:val="clear" w:color="auto" w:fill="auto"/>
            <w:vAlign w:val="bottom"/>
          </w:tcPr>
          <w:p w14:paraId="71D427E4" w14:textId="77777777" w:rsidR="006A3667" w:rsidRDefault="006A3667">
            <w:pPr>
              <w:rPr>
                <w:rFonts w:ascii="宋体"/>
                <w:vanish/>
              </w:rPr>
            </w:pPr>
          </w:p>
        </w:tc>
        <w:tc>
          <w:tcPr>
            <w:tcW w:w="0" w:type="auto"/>
            <w:gridSpan w:val="3"/>
            <w:shd w:val="clear" w:color="auto" w:fill="auto"/>
            <w:vAlign w:val="bottom"/>
          </w:tcPr>
          <w:p w14:paraId="71D427E5" w14:textId="77777777" w:rsidR="006A3667" w:rsidRDefault="006A3667">
            <w:pPr>
              <w:rPr>
                <w:rFonts w:ascii="宋体"/>
                <w:vanish/>
              </w:rPr>
            </w:pPr>
          </w:p>
        </w:tc>
        <w:tc>
          <w:tcPr>
            <w:tcW w:w="0" w:type="auto"/>
            <w:gridSpan w:val="3"/>
            <w:shd w:val="clear" w:color="auto" w:fill="auto"/>
            <w:vAlign w:val="bottom"/>
          </w:tcPr>
          <w:p w14:paraId="71D427E6" w14:textId="77777777" w:rsidR="006A3667" w:rsidRDefault="006A3667">
            <w:pPr>
              <w:rPr>
                <w:rFonts w:ascii="宋体"/>
                <w:vanish/>
              </w:rPr>
            </w:pPr>
          </w:p>
        </w:tc>
        <w:tc>
          <w:tcPr>
            <w:tcW w:w="0" w:type="auto"/>
            <w:gridSpan w:val="3"/>
            <w:shd w:val="clear" w:color="auto" w:fill="auto"/>
            <w:vAlign w:val="bottom"/>
          </w:tcPr>
          <w:p w14:paraId="71D427E7" w14:textId="77777777" w:rsidR="006A3667" w:rsidRDefault="006A3667">
            <w:pPr>
              <w:rPr>
                <w:rFonts w:ascii="宋体"/>
                <w:vanish/>
              </w:rPr>
            </w:pPr>
          </w:p>
        </w:tc>
        <w:tc>
          <w:tcPr>
            <w:tcW w:w="0" w:type="auto"/>
            <w:gridSpan w:val="3"/>
            <w:shd w:val="clear" w:color="auto" w:fill="auto"/>
            <w:vAlign w:val="bottom"/>
          </w:tcPr>
          <w:p w14:paraId="71D427E8" w14:textId="77777777" w:rsidR="006A3667" w:rsidRDefault="006A3667">
            <w:pPr>
              <w:rPr>
                <w:rFonts w:ascii="宋体"/>
                <w:vanish/>
              </w:rPr>
            </w:pPr>
          </w:p>
        </w:tc>
        <w:tc>
          <w:tcPr>
            <w:tcW w:w="0" w:type="auto"/>
            <w:gridSpan w:val="3"/>
            <w:shd w:val="clear" w:color="auto" w:fill="auto"/>
            <w:vAlign w:val="bottom"/>
          </w:tcPr>
          <w:p w14:paraId="71D427E9" w14:textId="77777777" w:rsidR="006A3667" w:rsidRDefault="006A3667">
            <w:pPr>
              <w:rPr>
                <w:rFonts w:ascii="宋体"/>
                <w:vanish/>
              </w:rPr>
            </w:pPr>
          </w:p>
        </w:tc>
        <w:tc>
          <w:tcPr>
            <w:tcW w:w="0" w:type="auto"/>
            <w:gridSpan w:val="3"/>
            <w:shd w:val="clear" w:color="auto" w:fill="auto"/>
            <w:vAlign w:val="bottom"/>
          </w:tcPr>
          <w:p w14:paraId="71D427EA" w14:textId="77777777" w:rsidR="006A3667" w:rsidRDefault="006A3667">
            <w:pPr>
              <w:rPr>
                <w:rFonts w:ascii="宋体"/>
                <w:vanish/>
              </w:rPr>
            </w:pPr>
          </w:p>
        </w:tc>
        <w:tc>
          <w:tcPr>
            <w:tcW w:w="0" w:type="auto"/>
            <w:gridSpan w:val="3"/>
            <w:shd w:val="clear" w:color="auto" w:fill="auto"/>
            <w:vAlign w:val="bottom"/>
          </w:tcPr>
          <w:p w14:paraId="71D427EB" w14:textId="77777777" w:rsidR="006A3667" w:rsidRDefault="006A3667">
            <w:pPr>
              <w:rPr>
                <w:rFonts w:ascii="宋体"/>
                <w:vanish/>
              </w:rPr>
            </w:pPr>
          </w:p>
        </w:tc>
        <w:tc>
          <w:tcPr>
            <w:tcW w:w="0" w:type="auto"/>
            <w:gridSpan w:val="3"/>
            <w:shd w:val="clear" w:color="auto" w:fill="auto"/>
            <w:vAlign w:val="bottom"/>
          </w:tcPr>
          <w:p w14:paraId="71D427EC" w14:textId="77777777" w:rsidR="006A3667" w:rsidRDefault="006A3667">
            <w:pPr>
              <w:rPr>
                <w:rFonts w:ascii="宋体"/>
                <w:vanish/>
              </w:rPr>
            </w:pPr>
          </w:p>
        </w:tc>
        <w:tc>
          <w:tcPr>
            <w:tcW w:w="0" w:type="auto"/>
            <w:gridSpan w:val="3"/>
            <w:shd w:val="clear" w:color="auto" w:fill="auto"/>
            <w:vAlign w:val="bottom"/>
          </w:tcPr>
          <w:p w14:paraId="71D427ED" w14:textId="77777777" w:rsidR="006A3667" w:rsidRDefault="006A3667">
            <w:pPr>
              <w:rPr>
                <w:rFonts w:ascii="宋体"/>
                <w:vanish/>
              </w:rPr>
            </w:pPr>
          </w:p>
        </w:tc>
        <w:tc>
          <w:tcPr>
            <w:tcW w:w="0" w:type="auto"/>
            <w:gridSpan w:val="3"/>
            <w:shd w:val="clear" w:color="auto" w:fill="auto"/>
            <w:vAlign w:val="bottom"/>
          </w:tcPr>
          <w:p w14:paraId="71D427EE" w14:textId="77777777" w:rsidR="006A3667" w:rsidRDefault="006A3667">
            <w:pPr>
              <w:rPr>
                <w:rFonts w:ascii="宋体"/>
                <w:vanish/>
              </w:rPr>
            </w:pPr>
          </w:p>
        </w:tc>
        <w:tc>
          <w:tcPr>
            <w:tcW w:w="0" w:type="auto"/>
            <w:gridSpan w:val="3"/>
            <w:shd w:val="clear" w:color="auto" w:fill="auto"/>
            <w:vAlign w:val="bottom"/>
          </w:tcPr>
          <w:p w14:paraId="71D427EF" w14:textId="77777777" w:rsidR="006A3667" w:rsidRDefault="006A3667">
            <w:pPr>
              <w:rPr>
                <w:rFonts w:ascii="宋体"/>
                <w:vanish/>
              </w:rPr>
            </w:pPr>
          </w:p>
        </w:tc>
        <w:tc>
          <w:tcPr>
            <w:tcW w:w="0" w:type="auto"/>
            <w:gridSpan w:val="3"/>
            <w:shd w:val="clear" w:color="auto" w:fill="auto"/>
            <w:vAlign w:val="bottom"/>
          </w:tcPr>
          <w:p w14:paraId="71D427F0" w14:textId="77777777" w:rsidR="006A3667" w:rsidRDefault="006A3667">
            <w:pPr>
              <w:rPr>
                <w:rFonts w:ascii="宋体"/>
                <w:vanish/>
              </w:rPr>
            </w:pPr>
          </w:p>
        </w:tc>
        <w:tc>
          <w:tcPr>
            <w:tcW w:w="0" w:type="auto"/>
            <w:gridSpan w:val="3"/>
            <w:shd w:val="clear" w:color="auto" w:fill="auto"/>
            <w:vAlign w:val="bottom"/>
          </w:tcPr>
          <w:p w14:paraId="71D427F1" w14:textId="77777777" w:rsidR="006A3667" w:rsidRDefault="006A3667">
            <w:pPr>
              <w:rPr>
                <w:rFonts w:ascii="宋体"/>
                <w:vanish/>
              </w:rPr>
            </w:pPr>
          </w:p>
        </w:tc>
        <w:tc>
          <w:tcPr>
            <w:tcW w:w="0" w:type="auto"/>
            <w:gridSpan w:val="3"/>
            <w:shd w:val="clear" w:color="auto" w:fill="auto"/>
            <w:vAlign w:val="bottom"/>
          </w:tcPr>
          <w:p w14:paraId="71D427F2" w14:textId="77777777" w:rsidR="006A3667" w:rsidRDefault="006A3667">
            <w:pPr>
              <w:rPr>
                <w:rFonts w:ascii="宋体"/>
                <w:vanish/>
              </w:rPr>
            </w:pPr>
          </w:p>
        </w:tc>
        <w:tc>
          <w:tcPr>
            <w:tcW w:w="0" w:type="auto"/>
            <w:gridSpan w:val="3"/>
            <w:shd w:val="clear" w:color="auto" w:fill="auto"/>
            <w:vAlign w:val="bottom"/>
          </w:tcPr>
          <w:p w14:paraId="71D427F3" w14:textId="77777777" w:rsidR="006A3667" w:rsidRDefault="006A3667">
            <w:pPr>
              <w:rPr>
                <w:rFonts w:ascii="宋体"/>
                <w:vanish/>
              </w:rPr>
            </w:pPr>
          </w:p>
        </w:tc>
      </w:tr>
      <w:tr w:rsidR="006A3667" w14:paraId="71D42807" w14:textId="77777777">
        <w:trPr>
          <w:jc w:val="center"/>
          <w:hidden/>
        </w:trPr>
        <w:tc>
          <w:tcPr>
            <w:tcW w:w="0" w:type="auto"/>
            <w:gridSpan w:val="3"/>
            <w:shd w:val="clear" w:color="auto" w:fill="auto"/>
            <w:vAlign w:val="bottom"/>
          </w:tcPr>
          <w:p w14:paraId="71D427F5" w14:textId="77777777" w:rsidR="006A3667" w:rsidRDefault="006A3667">
            <w:pPr>
              <w:rPr>
                <w:rFonts w:ascii="宋体"/>
                <w:vanish/>
              </w:rPr>
            </w:pPr>
          </w:p>
        </w:tc>
        <w:tc>
          <w:tcPr>
            <w:tcW w:w="0" w:type="auto"/>
            <w:gridSpan w:val="3"/>
            <w:shd w:val="clear" w:color="auto" w:fill="auto"/>
            <w:vAlign w:val="bottom"/>
          </w:tcPr>
          <w:p w14:paraId="71D427F6" w14:textId="77777777" w:rsidR="006A3667" w:rsidRDefault="006A3667">
            <w:pPr>
              <w:rPr>
                <w:rFonts w:ascii="宋体"/>
                <w:vanish/>
              </w:rPr>
            </w:pPr>
          </w:p>
        </w:tc>
        <w:tc>
          <w:tcPr>
            <w:tcW w:w="0" w:type="auto"/>
            <w:gridSpan w:val="3"/>
            <w:shd w:val="clear" w:color="auto" w:fill="auto"/>
            <w:vAlign w:val="bottom"/>
          </w:tcPr>
          <w:p w14:paraId="71D427F7" w14:textId="77777777" w:rsidR="006A3667" w:rsidRDefault="006A3667">
            <w:pPr>
              <w:rPr>
                <w:rFonts w:ascii="宋体"/>
                <w:vanish/>
              </w:rPr>
            </w:pPr>
          </w:p>
        </w:tc>
        <w:tc>
          <w:tcPr>
            <w:tcW w:w="0" w:type="auto"/>
            <w:gridSpan w:val="3"/>
            <w:shd w:val="clear" w:color="auto" w:fill="auto"/>
            <w:vAlign w:val="bottom"/>
          </w:tcPr>
          <w:p w14:paraId="71D427F8" w14:textId="77777777" w:rsidR="006A3667" w:rsidRDefault="006A3667">
            <w:pPr>
              <w:rPr>
                <w:rFonts w:ascii="宋体"/>
                <w:vanish/>
              </w:rPr>
            </w:pPr>
          </w:p>
        </w:tc>
        <w:tc>
          <w:tcPr>
            <w:tcW w:w="0" w:type="auto"/>
            <w:gridSpan w:val="3"/>
            <w:shd w:val="clear" w:color="auto" w:fill="auto"/>
            <w:vAlign w:val="bottom"/>
          </w:tcPr>
          <w:p w14:paraId="71D427F9" w14:textId="77777777" w:rsidR="006A3667" w:rsidRDefault="006A3667">
            <w:pPr>
              <w:rPr>
                <w:rFonts w:ascii="宋体"/>
                <w:vanish/>
              </w:rPr>
            </w:pPr>
          </w:p>
        </w:tc>
        <w:tc>
          <w:tcPr>
            <w:tcW w:w="0" w:type="auto"/>
            <w:gridSpan w:val="3"/>
            <w:shd w:val="clear" w:color="auto" w:fill="auto"/>
            <w:vAlign w:val="bottom"/>
          </w:tcPr>
          <w:p w14:paraId="71D427FA" w14:textId="77777777" w:rsidR="006A3667" w:rsidRDefault="006A3667">
            <w:pPr>
              <w:rPr>
                <w:rFonts w:ascii="宋体"/>
                <w:vanish/>
              </w:rPr>
            </w:pPr>
          </w:p>
        </w:tc>
        <w:tc>
          <w:tcPr>
            <w:tcW w:w="0" w:type="auto"/>
            <w:gridSpan w:val="3"/>
            <w:shd w:val="clear" w:color="auto" w:fill="auto"/>
            <w:vAlign w:val="bottom"/>
          </w:tcPr>
          <w:p w14:paraId="71D427FB" w14:textId="77777777" w:rsidR="006A3667" w:rsidRDefault="006A3667">
            <w:pPr>
              <w:rPr>
                <w:rFonts w:ascii="宋体"/>
                <w:vanish/>
              </w:rPr>
            </w:pPr>
          </w:p>
        </w:tc>
        <w:tc>
          <w:tcPr>
            <w:tcW w:w="0" w:type="auto"/>
            <w:gridSpan w:val="3"/>
            <w:shd w:val="clear" w:color="auto" w:fill="auto"/>
            <w:vAlign w:val="bottom"/>
          </w:tcPr>
          <w:p w14:paraId="71D427FC" w14:textId="77777777" w:rsidR="006A3667" w:rsidRDefault="006A3667">
            <w:pPr>
              <w:rPr>
                <w:rFonts w:ascii="宋体"/>
                <w:vanish/>
              </w:rPr>
            </w:pPr>
          </w:p>
        </w:tc>
        <w:tc>
          <w:tcPr>
            <w:tcW w:w="0" w:type="auto"/>
            <w:gridSpan w:val="3"/>
            <w:shd w:val="clear" w:color="auto" w:fill="auto"/>
            <w:vAlign w:val="bottom"/>
          </w:tcPr>
          <w:p w14:paraId="71D427FD" w14:textId="77777777" w:rsidR="006A3667" w:rsidRDefault="006A3667">
            <w:pPr>
              <w:rPr>
                <w:rFonts w:ascii="宋体"/>
                <w:vanish/>
              </w:rPr>
            </w:pPr>
          </w:p>
        </w:tc>
        <w:tc>
          <w:tcPr>
            <w:tcW w:w="0" w:type="auto"/>
            <w:gridSpan w:val="3"/>
            <w:shd w:val="clear" w:color="auto" w:fill="auto"/>
            <w:vAlign w:val="bottom"/>
          </w:tcPr>
          <w:p w14:paraId="71D427FE" w14:textId="77777777" w:rsidR="006A3667" w:rsidRDefault="006A3667">
            <w:pPr>
              <w:rPr>
                <w:rFonts w:ascii="宋体"/>
                <w:vanish/>
              </w:rPr>
            </w:pPr>
          </w:p>
        </w:tc>
        <w:tc>
          <w:tcPr>
            <w:tcW w:w="0" w:type="auto"/>
            <w:gridSpan w:val="3"/>
            <w:shd w:val="clear" w:color="auto" w:fill="auto"/>
            <w:vAlign w:val="bottom"/>
          </w:tcPr>
          <w:p w14:paraId="71D427FF" w14:textId="77777777" w:rsidR="006A3667" w:rsidRDefault="006A3667">
            <w:pPr>
              <w:rPr>
                <w:rFonts w:ascii="宋体"/>
                <w:vanish/>
              </w:rPr>
            </w:pPr>
          </w:p>
        </w:tc>
        <w:tc>
          <w:tcPr>
            <w:tcW w:w="0" w:type="auto"/>
            <w:gridSpan w:val="3"/>
            <w:shd w:val="clear" w:color="auto" w:fill="auto"/>
            <w:vAlign w:val="bottom"/>
          </w:tcPr>
          <w:p w14:paraId="71D42800" w14:textId="77777777" w:rsidR="006A3667" w:rsidRDefault="006A3667">
            <w:pPr>
              <w:rPr>
                <w:rFonts w:ascii="宋体"/>
                <w:vanish/>
              </w:rPr>
            </w:pPr>
          </w:p>
        </w:tc>
        <w:tc>
          <w:tcPr>
            <w:tcW w:w="0" w:type="auto"/>
            <w:gridSpan w:val="3"/>
            <w:shd w:val="clear" w:color="auto" w:fill="auto"/>
            <w:vAlign w:val="bottom"/>
          </w:tcPr>
          <w:p w14:paraId="71D42801" w14:textId="77777777" w:rsidR="006A3667" w:rsidRDefault="006A3667">
            <w:pPr>
              <w:rPr>
                <w:rFonts w:ascii="宋体"/>
                <w:vanish/>
              </w:rPr>
            </w:pPr>
          </w:p>
        </w:tc>
        <w:tc>
          <w:tcPr>
            <w:tcW w:w="0" w:type="auto"/>
            <w:gridSpan w:val="3"/>
            <w:shd w:val="clear" w:color="auto" w:fill="auto"/>
            <w:vAlign w:val="bottom"/>
          </w:tcPr>
          <w:p w14:paraId="71D42802" w14:textId="77777777" w:rsidR="006A3667" w:rsidRDefault="006A3667">
            <w:pPr>
              <w:rPr>
                <w:rFonts w:ascii="宋体"/>
                <w:vanish/>
              </w:rPr>
            </w:pPr>
          </w:p>
        </w:tc>
        <w:tc>
          <w:tcPr>
            <w:tcW w:w="0" w:type="auto"/>
            <w:gridSpan w:val="3"/>
            <w:shd w:val="clear" w:color="auto" w:fill="auto"/>
            <w:vAlign w:val="bottom"/>
          </w:tcPr>
          <w:p w14:paraId="71D42803" w14:textId="77777777" w:rsidR="006A3667" w:rsidRDefault="006A3667">
            <w:pPr>
              <w:rPr>
                <w:rFonts w:ascii="宋体"/>
                <w:vanish/>
              </w:rPr>
            </w:pPr>
          </w:p>
        </w:tc>
        <w:tc>
          <w:tcPr>
            <w:tcW w:w="0" w:type="auto"/>
            <w:gridSpan w:val="3"/>
            <w:shd w:val="clear" w:color="auto" w:fill="auto"/>
            <w:vAlign w:val="bottom"/>
          </w:tcPr>
          <w:p w14:paraId="71D42804" w14:textId="77777777" w:rsidR="006A3667" w:rsidRDefault="006A3667">
            <w:pPr>
              <w:rPr>
                <w:rFonts w:ascii="宋体"/>
                <w:vanish/>
              </w:rPr>
            </w:pPr>
          </w:p>
        </w:tc>
        <w:tc>
          <w:tcPr>
            <w:tcW w:w="0" w:type="auto"/>
            <w:gridSpan w:val="3"/>
            <w:shd w:val="clear" w:color="auto" w:fill="auto"/>
            <w:vAlign w:val="bottom"/>
          </w:tcPr>
          <w:p w14:paraId="71D42805" w14:textId="77777777" w:rsidR="006A3667" w:rsidRDefault="006A3667">
            <w:pPr>
              <w:rPr>
                <w:rFonts w:ascii="宋体"/>
                <w:vanish/>
              </w:rPr>
            </w:pPr>
          </w:p>
        </w:tc>
        <w:tc>
          <w:tcPr>
            <w:tcW w:w="0" w:type="auto"/>
            <w:gridSpan w:val="3"/>
            <w:shd w:val="clear" w:color="auto" w:fill="auto"/>
            <w:vAlign w:val="bottom"/>
          </w:tcPr>
          <w:p w14:paraId="71D42806" w14:textId="77777777" w:rsidR="006A3667" w:rsidRDefault="006A3667">
            <w:pPr>
              <w:rPr>
                <w:rFonts w:ascii="宋体"/>
                <w:vanish/>
              </w:rPr>
            </w:pPr>
          </w:p>
        </w:tc>
      </w:tr>
      <w:tr w:rsidR="006A3667" w14:paraId="71D4281A" w14:textId="77777777">
        <w:trPr>
          <w:jc w:val="center"/>
          <w:hidden/>
        </w:trPr>
        <w:tc>
          <w:tcPr>
            <w:tcW w:w="0" w:type="auto"/>
            <w:gridSpan w:val="3"/>
            <w:shd w:val="clear" w:color="auto" w:fill="auto"/>
            <w:vAlign w:val="bottom"/>
          </w:tcPr>
          <w:p w14:paraId="71D42808" w14:textId="77777777" w:rsidR="006A3667" w:rsidRDefault="006A3667">
            <w:pPr>
              <w:rPr>
                <w:rFonts w:ascii="宋体"/>
                <w:vanish/>
              </w:rPr>
            </w:pPr>
          </w:p>
        </w:tc>
        <w:tc>
          <w:tcPr>
            <w:tcW w:w="0" w:type="auto"/>
            <w:gridSpan w:val="3"/>
            <w:shd w:val="clear" w:color="auto" w:fill="auto"/>
            <w:vAlign w:val="bottom"/>
          </w:tcPr>
          <w:p w14:paraId="71D42809" w14:textId="77777777" w:rsidR="006A3667" w:rsidRDefault="006A3667">
            <w:pPr>
              <w:rPr>
                <w:rFonts w:ascii="宋体"/>
                <w:vanish/>
              </w:rPr>
            </w:pPr>
          </w:p>
        </w:tc>
        <w:tc>
          <w:tcPr>
            <w:tcW w:w="0" w:type="auto"/>
            <w:gridSpan w:val="3"/>
            <w:shd w:val="clear" w:color="auto" w:fill="auto"/>
            <w:vAlign w:val="bottom"/>
          </w:tcPr>
          <w:p w14:paraId="71D4280A" w14:textId="77777777" w:rsidR="006A3667" w:rsidRDefault="006A3667">
            <w:pPr>
              <w:rPr>
                <w:rFonts w:ascii="宋体"/>
                <w:vanish/>
              </w:rPr>
            </w:pPr>
          </w:p>
        </w:tc>
        <w:tc>
          <w:tcPr>
            <w:tcW w:w="0" w:type="auto"/>
            <w:gridSpan w:val="3"/>
            <w:shd w:val="clear" w:color="auto" w:fill="auto"/>
            <w:vAlign w:val="bottom"/>
          </w:tcPr>
          <w:p w14:paraId="71D4280B" w14:textId="77777777" w:rsidR="006A3667" w:rsidRDefault="006A3667">
            <w:pPr>
              <w:rPr>
                <w:rFonts w:ascii="宋体"/>
                <w:vanish/>
              </w:rPr>
            </w:pPr>
          </w:p>
        </w:tc>
        <w:tc>
          <w:tcPr>
            <w:tcW w:w="0" w:type="auto"/>
            <w:gridSpan w:val="3"/>
            <w:shd w:val="clear" w:color="auto" w:fill="auto"/>
            <w:vAlign w:val="bottom"/>
          </w:tcPr>
          <w:p w14:paraId="71D4280C" w14:textId="77777777" w:rsidR="006A3667" w:rsidRDefault="006A3667">
            <w:pPr>
              <w:rPr>
                <w:rFonts w:ascii="宋体"/>
                <w:vanish/>
              </w:rPr>
            </w:pPr>
          </w:p>
        </w:tc>
        <w:tc>
          <w:tcPr>
            <w:tcW w:w="0" w:type="auto"/>
            <w:gridSpan w:val="3"/>
            <w:shd w:val="clear" w:color="auto" w:fill="auto"/>
            <w:vAlign w:val="bottom"/>
          </w:tcPr>
          <w:p w14:paraId="71D4280D" w14:textId="77777777" w:rsidR="006A3667" w:rsidRDefault="006A3667">
            <w:pPr>
              <w:rPr>
                <w:rFonts w:ascii="宋体"/>
                <w:vanish/>
              </w:rPr>
            </w:pPr>
          </w:p>
        </w:tc>
        <w:tc>
          <w:tcPr>
            <w:tcW w:w="0" w:type="auto"/>
            <w:gridSpan w:val="3"/>
            <w:shd w:val="clear" w:color="auto" w:fill="auto"/>
            <w:vAlign w:val="bottom"/>
          </w:tcPr>
          <w:p w14:paraId="71D4280E" w14:textId="77777777" w:rsidR="006A3667" w:rsidRDefault="006A3667">
            <w:pPr>
              <w:rPr>
                <w:rFonts w:ascii="宋体"/>
                <w:vanish/>
              </w:rPr>
            </w:pPr>
          </w:p>
        </w:tc>
        <w:tc>
          <w:tcPr>
            <w:tcW w:w="0" w:type="auto"/>
            <w:gridSpan w:val="3"/>
            <w:shd w:val="clear" w:color="auto" w:fill="auto"/>
            <w:vAlign w:val="bottom"/>
          </w:tcPr>
          <w:p w14:paraId="71D4280F" w14:textId="77777777" w:rsidR="006A3667" w:rsidRDefault="006A3667">
            <w:pPr>
              <w:rPr>
                <w:rFonts w:ascii="宋体"/>
                <w:vanish/>
              </w:rPr>
            </w:pPr>
          </w:p>
        </w:tc>
        <w:tc>
          <w:tcPr>
            <w:tcW w:w="0" w:type="auto"/>
            <w:gridSpan w:val="3"/>
            <w:shd w:val="clear" w:color="auto" w:fill="auto"/>
            <w:vAlign w:val="bottom"/>
          </w:tcPr>
          <w:p w14:paraId="71D42810" w14:textId="77777777" w:rsidR="006A3667" w:rsidRDefault="006A3667">
            <w:pPr>
              <w:rPr>
                <w:rFonts w:ascii="宋体"/>
                <w:vanish/>
              </w:rPr>
            </w:pPr>
          </w:p>
        </w:tc>
        <w:tc>
          <w:tcPr>
            <w:tcW w:w="0" w:type="auto"/>
            <w:gridSpan w:val="3"/>
            <w:shd w:val="clear" w:color="auto" w:fill="auto"/>
            <w:vAlign w:val="bottom"/>
          </w:tcPr>
          <w:p w14:paraId="71D42811" w14:textId="77777777" w:rsidR="006A3667" w:rsidRDefault="006A3667">
            <w:pPr>
              <w:rPr>
                <w:rFonts w:ascii="宋体"/>
                <w:vanish/>
              </w:rPr>
            </w:pPr>
          </w:p>
        </w:tc>
        <w:tc>
          <w:tcPr>
            <w:tcW w:w="0" w:type="auto"/>
            <w:gridSpan w:val="3"/>
            <w:shd w:val="clear" w:color="auto" w:fill="auto"/>
            <w:vAlign w:val="bottom"/>
          </w:tcPr>
          <w:p w14:paraId="71D42812" w14:textId="77777777" w:rsidR="006A3667" w:rsidRDefault="006A3667">
            <w:pPr>
              <w:rPr>
                <w:rFonts w:ascii="宋体"/>
                <w:vanish/>
              </w:rPr>
            </w:pPr>
          </w:p>
        </w:tc>
        <w:tc>
          <w:tcPr>
            <w:tcW w:w="0" w:type="auto"/>
            <w:gridSpan w:val="3"/>
            <w:shd w:val="clear" w:color="auto" w:fill="auto"/>
            <w:vAlign w:val="bottom"/>
          </w:tcPr>
          <w:p w14:paraId="71D42813" w14:textId="77777777" w:rsidR="006A3667" w:rsidRDefault="006A3667">
            <w:pPr>
              <w:rPr>
                <w:rFonts w:ascii="宋体"/>
                <w:vanish/>
              </w:rPr>
            </w:pPr>
          </w:p>
        </w:tc>
        <w:tc>
          <w:tcPr>
            <w:tcW w:w="0" w:type="auto"/>
            <w:gridSpan w:val="3"/>
            <w:shd w:val="clear" w:color="auto" w:fill="auto"/>
            <w:vAlign w:val="bottom"/>
          </w:tcPr>
          <w:p w14:paraId="71D42814" w14:textId="77777777" w:rsidR="006A3667" w:rsidRDefault="006A3667">
            <w:pPr>
              <w:rPr>
                <w:rFonts w:ascii="宋体"/>
                <w:vanish/>
              </w:rPr>
            </w:pPr>
          </w:p>
        </w:tc>
        <w:tc>
          <w:tcPr>
            <w:tcW w:w="0" w:type="auto"/>
            <w:gridSpan w:val="3"/>
            <w:shd w:val="clear" w:color="auto" w:fill="auto"/>
            <w:vAlign w:val="bottom"/>
          </w:tcPr>
          <w:p w14:paraId="71D42815" w14:textId="77777777" w:rsidR="006A3667" w:rsidRDefault="006A3667">
            <w:pPr>
              <w:rPr>
                <w:rFonts w:ascii="宋体"/>
                <w:vanish/>
              </w:rPr>
            </w:pPr>
          </w:p>
        </w:tc>
        <w:tc>
          <w:tcPr>
            <w:tcW w:w="0" w:type="auto"/>
            <w:gridSpan w:val="3"/>
            <w:shd w:val="clear" w:color="auto" w:fill="auto"/>
            <w:vAlign w:val="bottom"/>
          </w:tcPr>
          <w:p w14:paraId="71D42816" w14:textId="77777777" w:rsidR="006A3667" w:rsidRDefault="006A3667">
            <w:pPr>
              <w:rPr>
                <w:rFonts w:ascii="宋体"/>
                <w:vanish/>
              </w:rPr>
            </w:pPr>
          </w:p>
        </w:tc>
        <w:tc>
          <w:tcPr>
            <w:tcW w:w="0" w:type="auto"/>
            <w:gridSpan w:val="3"/>
            <w:shd w:val="clear" w:color="auto" w:fill="auto"/>
            <w:vAlign w:val="bottom"/>
          </w:tcPr>
          <w:p w14:paraId="71D42817" w14:textId="77777777" w:rsidR="006A3667" w:rsidRDefault="006A3667">
            <w:pPr>
              <w:rPr>
                <w:rFonts w:ascii="宋体"/>
                <w:vanish/>
              </w:rPr>
            </w:pPr>
          </w:p>
        </w:tc>
        <w:tc>
          <w:tcPr>
            <w:tcW w:w="0" w:type="auto"/>
            <w:gridSpan w:val="3"/>
            <w:shd w:val="clear" w:color="auto" w:fill="auto"/>
            <w:vAlign w:val="bottom"/>
          </w:tcPr>
          <w:p w14:paraId="71D42818" w14:textId="77777777" w:rsidR="006A3667" w:rsidRDefault="006A3667">
            <w:pPr>
              <w:rPr>
                <w:rFonts w:ascii="宋体"/>
                <w:vanish/>
              </w:rPr>
            </w:pPr>
          </w:p>
        </w:tc>
        <w:tc>
          <w:tcPr>
            <w:tcW w:w="0" w:type="auto"/>
            <w:gridSpan w:val="3"/>
            <w:shd w:val="clear" w:color="auto" w:fill="auto"/>
            <w:vAlign w:val="bottom"/>
          </w:tcPr>
          <w:p w14:paraId="71D42819" w14:textId="77777777" w:rsidR="006A3667" w:rsidRDefault="006A3667">
            <w:pPr>
              <w:rPr>
                <w:rFonts w:ascii="宋体"/>
                <w:vanish/>
              </w:rPr>
            </w:pPr>
          </w:p>
        </w:tc>
      </w:tr>
      <w:tr w:rsidR="006A3667" w14:paraId="71D4282D" w14:textId="77777777">
        <w:trPr>
          <w:jc w:val="center"/>
          <w:hidden/>
        </w:trPr>
        <w:tc>
          <w:tcPr>
            <w:tcW w:w="0" w:type="auto"/>
            <w:gridSpan w:val="3"/>
            <w:shd w:val="clear" w:color="auto" w:fill="auto"/>
            <w:vAlign w:val="bottom"/>
          </w:tcPr>
          <w:p w14:paraId="71D4281B" w14:textId="77777777" w:rsidR="006A3667" w:rsidRDefault="006A3667">
            <w:pPr>
              <w:rPr>
                <w:rFonts w:ascii="宋体"/>
                <w:vanish/>
              </w:rPr>
            </w:pPr>
          </w:p>
        </w:tc>
        <w:tc>
          <w:tcPr>
            <w:tcW w:w="0" w:type="auto"/>
            <w:gridSpan w:val="3"/>
            <w:shd w:val="clear" w:color="auto" w:fill="auto"/>
            <w:vAlign w:val="bottom"/>
          </w:tcPr>
          <w:p w14:paraId="71D4281C" w14:textId="77777777" w:rsidR="006A3667" w:rsidRDefault="006A3667">
            <w:pPr>
              <w:rPr>
                <w:rFonts w:ascii="宋体"/>
                <w:vanish/>
              </w:rPr>
            </w:pPr>
          </w:p>
        </w:tc>
        <w:tc>
          <w:tcPr>
            <w:tcW w:w="0" w:type="auto"/>
            <w:gridSpan w:val="3"/>
            <w:shd w:val="clear" w:color="auto" w:fill="auto"/>
            <w:vAlign w:val="bottom"/>
          </w:tcPr>
          <w:p w14:paraId="71D4281D" w14:textId="77777777" w:rsidR="006A3667" w:rsidRDefault="006A3667">
            <w:pPr>
              <w:rPr>
                <w:rFonts w:ascii="宋体"/>
                <w:vanish/>
              </w:rPr>
            </w:pPr>
          </w:p>
        </w:tc>
        <w:tc>
          <w:tcPr>
            <w:tcW w:w="0" w:type="auto"/>
            <w:gridSpan w:val="3"/>
            <w:shd w:val="clear" w:color="auto" w:fill="auto"/>
            <w:vAlign w:val="bottom"/>
          </w:tcPr>
          <w:p w14:paraId="71D4281E" w14:textId="77777777" w:rsidR="006A3667" w:rsidRDefault="006A3667">
            <w:pPr>
              <w:rPr>
                <w:rFonts w:ascii="宋体"/>
                <w:vanish/>
              </w:rPr>
            </w:pPr>
          </w:p>
        </w:tc>
        <w:tc>
          <w:tcPr>
            <w:tcW w:w="0" w:type="auto"/>
            <w:gridSpan w:val="3"/>
            <w:shd w:val="clear" w:color="auto" w:fill="auto"/>
            <w:vAlign w:val="bottom"/>
          </w:tcPr>
          <w:p w14:paraId="71D4281F" w14:textId="77777777" w:rsidR="006A3667" w:rsidRDefault="006A3667">
            <w:pPr>
              <w:rPr>
                <w:rFonts w:ascii="宋体"/>
                <w:vanish/>
              </w:rPr>
            </w:pPr>
          </w:p>
        </w:tc>
        <w:tc>
          <w:tcPr>
            <w:tcW w:w="0" w:type="auto"/>
            <w:gridSpan w:val="3"/>
            <w:shd w:val="clear" w:color="auto" w:fill="auto"/>
            <w:vAlign w:val="bottom"/>
          </w:tcPr>
          <w:p w14:paraId="71D42820" w14:textId="77777777" w:rsidR="006A3667" w:rsidRDefault="006A3667">
            <w:pPr>
              <w:rPr>
                <w:rFonts w:ascii="宋体"/>
                <w:vanish/>
              </w:rPr>
            </w:pPr>
          </w:p>
        </w:tc>
        <w:tc>
          <w:tcPr>
            <w:tcW w:w="0" w:type="auto"/>
            <w:gridSpan w:val="3"/>
            <w:shd w:val="clear" w:color="auto" w:fill="auto"/>
            <w:vAlign w:val="bottom"/>
          </w:tcPr>
          <w:p w14:paraId="71D42821" w14:textId="77777777" w:rsidR="006A3667" w:rsidRDefault="006A3667">
            <w:pPr>
              <w:rPr>
                <w:rFonts w:ascii="宋体"/>
                <w:vanish/>
              </w:rPr>
            </w:pPr>
          </w:p>
        </w:tc>
        <w:tc>
          <w:tcPr>
            <w:tcW w:w="0" w:type="auto"/>
            <w:gridSpan w:val="3"/>
            <w:shd w:val="clear" w:color="auto" w:fill="auto"/>
            <w:vAlign w:val="bottom"/>
          </w:tcPr>
          <w:p w14:paraId="71D42822" w14:textId="77777777" w:rsidR="006A3667" w:rsidRDefault="006A3667">
            <w:pPr>
              <w:rPr>
                <w:rFonts w:ascii="宋体"/>
                <w:vanish/>
              </w:rPr>
            </w:pPr>
          </w:p>
        </w:tc>
        <w:tc>
          <w:tcPr>
            <w:tcW w:w="0" w:type="auto"/>
            <w:gridSpan w:val="3"/>
            <w:shd w:val="clear" w:color="auto" w:fill="auto"/>
            <w:vAlign w:val="bottom"/>
          </w:tcPr>
          <w:p w14:paraId="71D42823" w14:textId="77777777" w:rsidR="006A3667" w:rsidRDefault="006A3667">
            <w:pPr>
              <w:rPr>
                <w:rFonts w:ascii="宋体"/>
                <w:vanish/>
              </w:rPr>
            </w:pPr>
          </w:p>
        </w:tc>
        <w:tc>
          <w:tcPr>
            <w:tcW w:w="0" w:type="auto"/>
            <w:gridSpan w:val="3"/>
            <w:shd w:val="clear" w:color="auto" w:fill="auto"/>
            <w:vAlign w:val="bottom"/>
          </w:tcPr>
          <w:p w14:paraId="71D42824" w14:textId="77777777" w:rsidR="006A3667" w:rsidRDefault="006A3667">
            <w:pPr>
              <w:rPr>
                <w:rFonts w:ascii="宋体"/>
                <w:vanish/>
              </w:rPr>
            </w:pPr>
          </w:p>
        </w:tc>
        <w:tc>
          <w:tcPr>
            <w:tcW w:w="0" w:type="auto"/>
            <w:gridSpan w:val="3"/>
            <w:shd w:val="clear" w:color="auto" w:fill="auto"/>
            <w:vAlign w:val="bottom"/>
          </w:tcPr>
          <w:p w14:paraId="71D42825" w14:textId="77777777" w:rsidR="006A3667" w:rsidRDefault="006A3667">
            <w:pPr>
              <w:rPr>
                <w:rFonts w:ascii="宋体"/>
                <w:vanish/>
              </w:rPr>
            </w:pPr>
          </w:p>
        </w:tc>
        <w:tc>
          <w:tcPr>
            <w:tcW w:w="0" w:type="auto"/>
            <w:gridSpan w:val="3"/>
            <w:shd w:val="clear" w:color="auto" w:fill="auto"/>
            <w:vAlign w:val="bottom"/>
          </w:tcPr>
          <w:p w14:paraId="71D42826" w14:textId="77777777" w:rsidR="006A3667" w:rsidRDefault="006A3667">
            <w:pPr>
              <w:rPr>
                <w:rFonts w:ascii="宋体"/>
                <w:vanish/>
              </w:rPr>
            </w:pPr>
          </w:p>
        </w:tc>
        <w:tc>
          <w:tcPr>
            <w:tcW w:w="0" w:type="auto"/>
            <w:gridSpan w:val="3"/>
            <w:shd w:val="clear" w:color="auto" w:fill="auto"/>
            <w:vAlign w:val="bottom"/>
          </w:tcPr>
          <w:p w14:paraId="71D42827" w14:textId="77777777" w:rsidR="006A3667" w:rsidRDefault="006A3667">
            <w:pPr>
              <w:rPr>
                <w:rFonts w:ascii="宋体"/>
                <w:vanish/>
              </w:rPr>
            </w:pPr>
          </w:p>
        </w:tc>
        <w:tc>
          <w:tcPr>
            <w:tcW w:w="0" w:type="auto"/>
            <w:gridSpan w:val="3"/>
            <w:shd w:val="clear" w:color="auto" w:fill="auto"/>
            <w:vAlign w:val="bottom"/>
          </w:tcPr>
          <w:p w14:paraId="71D42828" w14:textId="77777777" w:rsidR="006A3667" w:rsidRDefault="006A3667">
            <w:pPr>
              <w:rPr>
                <w:rFonts w:ascii="宋体"/>
                <w:vanish/>
              </w:rPr>
            </w:pPr>
          </w:p>
        </w:tc>
        <w:tc>
          <w:tcPr>
            <w:tcW w:w="0" w:type="auto"/>
            <w:gridSpan w:val="3"/>
            <w:shd w:val="clear" w:color="auto" w:fill="auto"/>
            <w:vAlign w:val="bottom"/>
          </w:tcPr>
          <w:p w14:paraId="71D42829" w14:textId="77777777" w:rsidR="006A3667" w:rsidRDefault="006A3667">
            <w:pPr>
              <w:rPr>
                <w:rFonts w:ascii="宋体"/>
                <w:vanish/>
              </w:rPr>
            </w:pPr>
          </w:p>
        </w:tc>
        <w:tc>
          <w:tcPr>
            <w:tcW w:w="0" w:type="auto"/>
            <w:gridSpan w:val="3"/>
            <w:shd w:val="clear" w:color="auto" w:fill="auto"/>
            <w:vAlign w:val="bottom"/>
          </w:tcPr>
          <w:p w14:paraId="71D4282A" w14:textId="77777777" w:rsidR="006A3667" w:rsidRDefault="006A3667">
            <w:pPr>
              <w:rPr>
                <w:rFonts w:ascii="宋体"/>
                <w:vanish/>
              </w:rPr>
            </w:pPr>
          </w:p>
        </w:tc>
        <w:tc>
          <w:tcPr>
            <w:tcW w:w="0" w:type="auto"/>
            <w:gridSpan w:val="3"/>
            <w:shd w:val="clear" w:color="auto" w:fill="auto"/>
            <w:vAlign w:val="bottom"/>
          </w:tcPr>
          <w:p w14:paraId="71D4282B" w14:textId="77777777" w:rsidR="006A3667" w:rsidRDefault="006A3667">
            <w:pPr>
              <w:rPr>
                <w:rFonts w:ascii="宋体"/>
                <w:vanish/>
              </w:rPr>
            </w:pPr>
          </w:p>
        </w:tc>
        <w:tc>
          <w:tcPr>
            <w:tcW w:w="0" w:type="auto"/>
            <w:gridSpan w:val="3"/>
            <w:shd w:val="clear" w:color="auto" w:fill="auto"/>
            <w:vAlign w:val="bottom"/>
          </w:tcPr>
          <w:p w14:paraId="71D4282C" w14:textId="77777777" w:rsidR="006A3667" w:rsidRDefault="006A3667">
            <w:pPr>
              <w:rPr>
                <w:rFonts w:ascii="宋体"/>
                <w:vanish/>
              </w:rPr>
            </w:pPr>
          </w:p>
        </w:tc>
      </w:tr>
      <w:tr w:rsidR="006A3667" w14:paraId="71D42840" w14:textId="77777777">
        <w:trPr>
          <w:jc w:val="center"/>
          <w:hidden/>
        </w:trPr>
        <w:tc>
          <w:tcPr>
            <w:tcW w:w="0" w:type="auto"/>
            <w:gridSpan w:val="3"/>
            <w:shd w:val="clear" w:color="auto" w:fill="auto"/>
            <w:vAlign w:val="bottom"/>
          </w:tcPr>
          <w:p w14:paraId="71D4282E" w14:textId="77777777" w:rsidR="006A3667" w:rsidRDefault="006A3667">
            <w:pPr>
              <w:rPr>
                <w:rFonts w:ascii="宋体"/>
                <w:vanish/>
              </w:rPr>
            </w:pPr>
          </w:p>
        </w:tc>
        <w:tc>
          <w:tcPr>
            <w:tcW w:w="0" w:type="auto"/>
            <w:gridSpan w:val="3"/>
            <w:shd w:val="clear" w:color="auto" w:fill="auto"/>
            <w:vAlign w:val="bottom"/>
          </w:tcPr>
          <w:p w14:paraId="71D4282F" w14:textId="77777777" w:rsidR="006A3667" w:rsidRDefault="006A3667">
            <w:pPr>
              <w:rPr>
                <w:rFonts w:ascii="宋体"/>
                <w:vanish/>
              </w:rPr>
            </w:pPr>
          </w:p>
        </w:tc>
        <w:tc>
          <w:tcPr>
            <w:tcW w:w="0" w:type="auto"/>
            <w:gridSpan w:val="3"/>
            <w:shd w:val="clear" w:color="auto" w:fill="auto"/>
            <w:vAlign w:val="bottom"/>
          </w:tcPr>
          <w:p w14:paraId="71D42830" w14:textId="77777777" w:rsidR="006A3667" w:rsidRDefault="006A3667">
            <w:pPr>
              <w:rPr>
                <w:rFonts w:ascii="宋体"/>
                <w:vanish/>
              </w:rPr>
            </w:pPr>
          </w:p>
        </w:tc>
        <w:tc>
          <w:tcPr>
            <w:tcW w:w="0" w:type="auto"/>
            <w:gridSpan w:val="3"/>
            <w:shd w:val="clear" w:color="auto" w:fill="auto"/>
            <w:vAlign w:val="bottom"/>
          </w:tcPr>
          <w:p w14:paraId="71D42831" w14:textId="77777777" w:rsidR="006A3667" w:rsidRDefault="006A3667">
            <w:pPr>
              <w:rPr>
                <w:rFonts w:ascii="宋体"/>
                <w:vanish/>
              </w:rPr>
            </w:pPr>
          </w:p>
        </w:tc>
        <w:tc>
          <w:tcPr>
            <w:tcW w:w="0" w:type="auto"/>
            <w:gridSpan w:val="3"/>
            <w:shd w:val="clear" w:color="auto" w:fill="auto"/>
            <w:vAlign w:val="bottom"/>
          </w:tcPr>
          <w:p w14:paraId="71D42832" w14:textId="77777777" w:rsidR="006A3667" w:rsidRDefault="006A3667">
            <w:pPr>
              <w:rPr>
                <w:rFonts w:ascii="宋体"/>
                <w:vanish/>
              </w:rPr>
            </w:pPr>
          </w:p>
        </w:tc>
        <w:tc>
          <w:tcPr>
            <w:tcW w:w="0" w:type="auto"/>
            <w:gridSpan w:val="3"/>
            <w:shd w:val="clear" w:color="auto" w:fill="auto"/>
            <w:vAlign w:val="bottom"/>
          </w:tcPr>
          <w:p w14:paraId="71D42833" w14:textId="77777777" w:rsidR="006A3667" w:rsidRDefault="006A3667">
            <w:pPr>
              <w:rPr>
                <w:rFonts w:ascii="宋体"/>
                <w:vanish/>
              </w:rPr>
            </w:pPr>
          </w:p>
        </w:tc>
        <w:tc>
          <w:tcPr>
            <w:tcW w:w="0" w:type="auto"/>
            <w:gridSpan w:val="3"/>
            <w:shd w:val="clear" w:color="auto" w:fill="auto"/>
            <w:vAlign w:val="bottom"/>
          </w:tcPr>
          <w:p w14:paraId="71D42834" w14:textId="77777777" w:rsidR="006A3667" w:rsidRDefault="006A3667">
            <w:pPr>
              <w:rPr>
                <w:rFonts w:ascii="宋体"/>
                <w:vanish/>
              </w:rPr>
            </w:pPr>
          </w:p>
        </w:tc>
        <w:tc>
          <w:tcPr>
            <w:tcW w:w="0" w:type="auto"/>
            <w:gridSpan w:val="3"/>
            <w:shd w:val="clear" w:color="auto" w:fill="auto"/>
            <w:vAlign w:val="bottom"/>
          </w:tcPr>
          <w:p w14:paraId="71D42835" w14:textId="77777777" w:rsidR="006A3667" w:rsidRDefault="006A3667">
            <w:pPr>
              <w:rPr>
                <w:rFonts w:ascii="宋体"/>
                <w:vanish/>
              </w:rPr>
            </w:pPr>
          </w:p>
        </w:tc>
        <w:tc>
          <w:tcPr>
            <w:tcW w:w="0" w:type="auto"/>
            <w:gridSpan w:val="3"/>
            <w:shd w:val="clear" w:color="auto" w:fill="auto"/>
            <w:vAlign w:val="bottom"/>
          </w:tcPr>
          <w:p w14:paraId="71D42836" w14:textId="77777777" w:rsidR="006A3667" w:rsidRDefault="006A3667">
            <w:pPr>
              <w:rPr>
                <w:rFonts w:ascii="宋体"/>
                <w:vanish/>
              </w:rPr>
            </w:pPr>
          </w:p>
        </w:tc>
        <w:tc>
          <w:tcPr>
            <w:tcW w:w="0" w:type="auto"/>
            <w:gridSpan w:val="3"/>
            <w:shd w:val="clear" w:color="auto" w:fill="auto"/>
            <w:vAlign w:val="bottom"/>
          </w:tcPr>
          <w:p w14:paraId="71D42837" w14:textId="77777777" w:rsidR="006A3667" w:rsidRDefault="006A3667">
            <w:pPr>
              <w:rPr>
                <w:rFonts w:ascii="宋体"/>
                <w:vanish/>
              </w:rPr>
            </w:pPr>
          </w:p>
        </w:tc>
        <w:tc>
          <w:tcPr>
            <w:tcW w:w="0" w:type="auto"/>
            <w:gridSpan w:val="3"/>
            <w:shd w:val="clear" w:color="auto" w:fill="auto"/>
            <w:vAlign w:val="bottom"/>
          </w:tcPr>
          <w:p w14:paraId="71D42838" w14:textId="77777777" w:rsidR="006A3667" w:rsidRDefault="006A3667">
            <w:pPr>
              <w:rPr>
                <w:rFonts w:ascii="宋体"/>
                <w:vanish/>
              </w:rPr>
            </w:pPr>
          </w:p>
        </w:tc>
        <w:tc>
          <w:tcPr>
            <w:tcW w:w="0" w:type="auto"/>
            <w:gridSpan w:val="3"/>
            <w:shd w:val="clear" w:color="auto" w:fill="auto"/>
            <w:vAlign w:val="bottom"/>
          </w:tcPr>
          <w:p w14:paraId="71D42839" w14:textId="77777777" w:rsidR="006A3667" w:rsidRDefault="006A3667">
            <w:pPr>
              <w:rPr>
                <w:rFonts w:ascii="宋体"/>
                <w:vanish/>
              </w:rPr>
            </w:pPr>
          </w:p>
        </w:tc>
        <w:tc>
          <w:tcPr>
            <w:tcW w:w="0" w:type="auto"/>
            <w:gridSpan w:val="3"/>
            <w:shd w:val="clear" w:color="auto" w:fill="auto"/>
            <w:vAlign w:val="bottom"/>
          </w:tcPr>
          <w:p w14:paraId="71D4283A" w14:textId="77777777" w:rsidR="006A3667" w:rsidRDefault="006A3667">
            <w:pPr>
              <w:rPr>
                <w:rFonts w:ascii="宋体"/>
                <w:vanish/>
              </w:rPr>
            </w:pPr>
          </w:p>
        </w:tc>
        <w:tc>
          <w:tcPr>
            <w:tcW w:w="0" w:type="auto"/>
            <w:gridSpan w:val="3"/>
            <w:shd w:val="clear" w:color="auto" w:fill="auto"/>
            <w:vAlign w:val="bottom"/>
          </w:tcPr>
          <w:p w14:paraId="71D4283B" w14:textId="77777777" w:rsidR="006A3667" w:rsidRDefault="006A3667">
            <w:pPr>
              <w:rPr>
                <w:rFonts w:ascii="宋体"/>
                <w:vanish/>
              </w:rPr>
            </w:pPr>
          </w:p>
        </w:tc>
        <w:tc>
          <w:tcPr>
            <w:tcW w:w="0" w:type="auto"/>
            <w:gridSpan w:val="3"/>
            <w:shd w:val="clear" w:color="auto" w:fill="auto"/>
            <w:vAlign w:val="bottom"/>
          </w:tcPr>
          <w:p w14:paraId="71D4283C" w14:textId="77777777" w:rsidR="006A3667" w:rsidRDefault="006A3667">
            <w:pPr>
              <w:rPr>
                <w:rFonts w:ascii="宋体"/>
                <w:vanish/>
              </w:rPr>
            </w:pPr>
          </w:p>
        </w:tc>
        <w:tc>
          <w:tcPr>
            <w:tcW w:w="0" w:type="auto"/>
            <w:gridSpan w:val="3"/>
            <w:shd w:val="clear" w:color="auto" w:fill="auto"/>
            <w:vAlign w:val="bottom"/>
          </w:tcPr>
          <w:p w14:paraId="71D4283D" w14:textId="77777777" w:rsidR="006A3667" w:rsidRDefault="006A3667">
            <w:pPr>
              <w:rPr>
                <w:rFonts w:ascii="宋体"/>
                <w:vanish/>
              </w:rPr>
            </w:pPr>
          </w:p>
        </w:tc>
        <w:tc>
          <w:tcPr>
            <w:tcW w:w="0" w:type="auto"/>
            <w:gridSpan w:val="3"/>
            <w:shd w:val="clear" w:color="auto" w:fill="auto"/>
            <w:vAlign w:val="bottom"/>
          </w:tcPr>
          <w:p w14:paraId="71D4283E" w14:textId="77777777" w:rsidR="006A3667" w:rsidRDefault="006A3667">
            <w:pPr>
              <w:rPr>
                <w:rFonts w:ascii="宋体"/>
                <w:vanish/>
              </w:rPr>
            </w:pPr>
          </w:p>
        </w:tc>
        <w:tc>
          <w:tcPr>
            <w:tcW w:w="0" w:type="auto"/>
            <w:gridSpan w:val="3"/>
            <w:shd w:val="clear" w:color="auto" w:fill="auto"/>
            <w:vAlign w:val="bottom"/>
          </w:tcPr>
          <w:p w14:paraId="71D4283F" w14:textId="77777777" w:rsidR="006A3667" w:rsidRDefault="006A3667">
            <w:pPr>
              <w:rPr>
                <w:rFonts w:ascii="宋体"/>
                <w:vanish/>
              </w:rPr>
            </w:pPr>
          </w:p>
        </w:tc>
      </w:tr>
      <w:tr w:rsidR="006A3667" w14:paraId="71D42853" w14:textId="77777777">
        <w:trPr>
          <w:jc w:val="center"/>
          <w:hidden/>
        </w:trPr>
        <w:tc>
          <w:tcPr>
            <w:tcW w:w="0" w:type="auto"/>
            <w:gridSpan w:val="3"/>
            <w:shd w:val="clear" w:color="auto" w:fill="auto"/>
            <w:vAlign w:val="bottom"/>
          </w:tcPr>
          <w:p w14:paraId="71D42841" w14:textId="77777777" w:rsidR="006A3667" w:rsidRDefault="006A3667">
            <w:pPr>
              <w:rPr>
                <w:rFonts w:ascii="宋体"/>
                <w:vanish/>
              </w:rPr>
            </w:pPr>
          </w:p>
        </w:tc>
        <w:tc>
          <w:tcPr>
            <w:tcW w:w="0" w:type="auto"/>
            <w:gridSpan w:val="3"/>
            <w:shd w:val="clear" w:color="auto" w:fill="auto"/>
            <w:vAlign w:val="bottom"/>
          </w:tcPr>
          <w:p w14:paraId="71D42842" w14:textId="77777777" w:rsidR="006A3667" w:rsidRDefault="006A3667">
            <w:pPr>
              <w:rPr>
                <w:rFonts w:ascii="宋体"/>
                <w:vanish/>
              </w:rPr>
            </w:pPr>
          </w:p>
        </w:tc>
        <w:tc>
          <w:tcPr>
            <w:tcW w:w="0" w:type="auto"/>
            <w:gridSpan w:val="3"/>
            <w:shd w:val="clear" w:color="auto" w:fill="auto"/>
            <w:vAlign w:val="bottom"/>
          </w:tcPr>
          <w:p w14:paraId="71D42843" w14:textId="77777777" w:rsidR="006A3667" w:rsidRDefault="006A3667">
            <w:pPr>
              <w:rPr>
                <w:rFonts w:ascii="宋体"/>
                <w:vanish/>
              </w:rPr>
            </w:pPr>
          </w:p>
        </w:tc>
        <w:tc>
          <w:tcPr>
            <w:tcW w:w="0" w:type="auto"/>
            <w:gridSpan w:val="3"/>
            <w:shd w:val="clear" w:color="auto" w:fill="auto"/>
            <w:vAlign w:val="bottom"/>
          </w:tcPr>
          <w:p w14:paraId="71D42844" w14:textId="77777777" w:rsidR="006A3667" w:rsidRDefault="006A3667">
            <w:pPr>
              <w:rPr>
                <w:rFonts w:ascii="宋体"/>
                <w:vanish/>
              </w:rPr>
            </w:pPr>
          </w:p>
        </w:tc>
        <w:tc>
          <w:tcPr>
            <w:tcW w:w="0" w:type="auto"/>
            <w:gridSpan w:val="3"/>
            <w:shd w:val="clear" w:color="auto" w:fill="auto"/>
            <w:vAlign w:val="bottom"/>
          </w:tcPr>
          <w:p w14:paraId="71D42845" w14:textId="77777777" w:rsidR="006A3667" w:rsidRDefault="006A3667">
            <w:pPr>
              <w:rPr>
                <w:rFonts w:ascii="宋体"/>
                <w:vanish/>
              </w:rPr>
            </w:pPr>
          </w:p>
        </w:tc>
        <w:tc>
          <w:tcPr>
            <w:tcW w:w="0" w:type="auto"/>
            <w:gridSpan w:val="3"/>
            <w:shd w:val="clear" w:color="auto" w:fill="auto"/>
            <w:vAlign w:val="bottom"/>
          </w:tcPr>
          <w:p w14:paraId="71D42846" w14:textId="77777777" w:rsidR="006A3667" w:rsidRDefault="006A3667">
            <w:pPr>
              <w:rPr>
                <w:rFonts w:ascii="宋体"/>
                <w:vanish/>
              </w:rPr>
            </w:pPr>
          </w:p>
        </w:tc>
        <w:tc>
          <w:tcPr>
            <w:tcW w:w="0" w:type="auto"/>
            <w:gridSpan w:val="3"/>
            <w:shd w:val="clear" w:color="auto" w:fill="auto"/>
            <w:vAlign w:val="bottom"/>
          </w:tcPr>
          <w:p w14:paraId="71D42847" w14:textId="77777777" w:rsidR="006A3667" w:rsidRDefault="006A3667">
            <w:pPr>
              <w:rPr>
                <w:rFonts w:ascii="宋体"/>
                <w:vanish/>
              </w:rPr>
            </w:pPr>
          </w:p>
        </w:tc>
        <w:tc>
          <w:tcPr>
            <w:tcW w:w="0" w:type="auto"/>
            <w:gridSpan w:val="3"/>
            <w:shd w:val="clear" w:color="auto" w:fill="auto"/>
            <w:vAlign w:val="bottom"/>
          </w:tcPr>
          <w:p w14:paraId="71D42848" w14:textId="77777777" w:rsidR="006A3667" w:rsidRDefault="006A3667">
            <w:pPr>
              <w:rPr>
                <w:rFonts w:ascii="宋体"/>
                <w:vanish/>
              </w:rPr>
            </w:pPr>
          </w:p>
        </w:tc>
        <w:tc>
          <w:tcPr>
            <w:tcW w:w="0" w:type="auto"/>
            <w:gridSpan w:val="3"/>
            <w:shd w:val="clear" w:color="auto" w:fill="auto"/>
            <w:vAlign w:val="bottom"/>
          </w:tcPr>
          <w:p w14:paraId="71D42849" w14:textId="77777777" w:rsidR="006A3667" w:rsidRDefault="006A3667">
            <w:pPr>
              <w:rPr>
                <w:rFonts w:ascii="宋体"/>
                <w:vanish/>
              </w:rPr>
            </w:pPr>
          </w:p>
        </w:tc>
        <w:tc>
          <w:tcPr>
            <w:tcW w:w="0" w:type="auto"/>
            <w:gridSpan w:val="3"/>
            <w:shd w:val="clear" w:color="auto" w:fill="auto"/>
            <w:vAlign w:val="bottom"/>
          </w:tcPr>
          <w:p w14:paraId="71D4284A" w14:textId="77777777" w:rsidR="006A3667" w:rsidRDefault="006A3667">
            <w:pPr>
              <w:rPr>
                <w:rFonts w:ascii="宋体"/>
                <w:vanish/>
              </w:rPr>
            </w:pPr>
          </w:p>
        </w:tc>
        <w:tc>
          <w:tcPr>
            <w:tcW w:w="0" w:type="auto"/>
            <w:gridSpan w:val="3"/>
            <w:shd w:val="clear" w:color="auto" w:fill="auto"/>
            <w:vAlign w:val="bottom"/>
          </w:tcPr>
          <w:p w14:paraId="71D4284B" w14:textId="77777777" w:rsidR="006A3667" w:rsidRDefault="006A3667">
            <w:pPr>
              <w:rPr>
                <w:rFonts w:ascii="宋体"/>
                <w:vanish/>
              </w:rPr>
            </w:pPr>
          </w:p>
        </w:tc>
        <w:tc>
          <w:tcPr>
            <w:tcW w:w="0" w:type="auto"/>
            <w:gridSpan w:val="3"/>
            <w:shd w:val="clear" w:color="auto" w:fill="auto"/>
            <w:vAlign w:val="bottom"/>
          </w:tcPr>
          <w:p w14:paraId="71D4284C" w14:textId="77777777" w:rsidR="006A3667" w:rsidRDefault="006A3667">
            <w:pPr>
              <w:rPr>
                <w:rFonts w:ascii="宋体"/>
                <w:vanish/>
              </w:rPr>
            </w:pPr>
          </w:p>
        </w:tc>
        <w:tc>
          <w:tcPr>
            <w:tcW w:w="0" w:type="auto"/>
            <w:gridSpan w:val="3"/>
            <w:shd w:val="clear" w:color="auto" w:fill="auto"/>
            <w:vAlign w:val="bottom"/>
          </w:tcPr>
          <w:p w14:paraId="71D4284D" w14:textId="77777777" w:rsidR="006A3667" w:rsidRDefault="006A3667">
            <w:pPr>
              <w:rPr>
                <w:rFonts w:ascii="宋体"/>
                <w:vanish/>
              </w:rPr>
            </w:pPr>
          </w:p>
        </w:tc>
        <w:tc>
          <w:tcPr>
            <w:tcW w:w="0" w:type="auto"/>
            <w:gridSpan w:val="3"/>
            <w:shd w:val="clear" w:color="auto" w:fill="auto"/>
            <w:vAlign w:val="bottom"/>
          </w:tcPr>
          <w:p w14:paraId="71D4284E" w14:textId="77777777" w:rsidR="006A3667" w:rsidRDefault="006A3667">
            <w:pPr>
              <w:rPr>
                <w:rFonts w:ascii="宋体"/>
                <w:vanish/>
              </w:rPr>
            </w:pPr>
          </w:p>
        </w:tc>
        <w:tc>
          <w:tcPr>
            <w:tcW w:w="0" w:type="auto"/>
            <w:gridSpan w:val="3"/>
            <w:shd w:val="clear" w:color="auto" w:fill="auto"/>
            <w:vAlign w:val="bottom"/>
          </w:tcPr>
          <w:p w14:paraId="71D4284F" w14:textId="77777777" w:rsidR="006A3667" w:rsidRDefault="006A3667">
            <w:pPr>
              <w:rPr>
                <w:rFonts w:ascii="宋体"/>
                <w:vanish/>
              </w:rPr>
            </w:pPr>
          </w:p>
        </w:tc>
        <w:tc>
          <w:tcPr>
            <w:tcW w:w="0" w:type="auto"/>
            <w:gridSpan w:val="3"/>
            <w:shd w:val="clear" w:color="auto" w:fill="auto"/>
            <w:vAlign w:val="bottom"/>
          </w:tcPr>
          <w:p w14:paraId="71D42850" w14:textId="77777777" w:rsidR="006A3667" w:rsidRDefault="006A3667">
            <w:pPr>
              <w:rPr>
                <w:rFonts w:ascii="宋体"/>
                <w:vanish/>
              </w:rPr>
            </w:pPr>
          </w:p>
        </w:tc>
        <w:tc>
          <w:tcPr>
            <w:tcW w:w="0" w:type="auto"/>
            <w:gridSpan w:val="3"/>
            <w:shd w:val="clear" w:color="auto" w:fill="auto"/>
            <w:vAlign w:val="bottom"/>
          </w:tcPr>
          <w:p w14:paraId="71D42851" w14:textId="77777777" w:rsidR="006A3667" w:rsidRDefault="006A3667">
            <w:pPr>
              <w:rPr>
                <w:rFonts w:ascii="宋体"/>
                <w:vanish/>
              </w:rPr>
            </w:pPr>
          </w:p>
        </w:tc>
        <w:tc>
          <w:tcPr>
            <w:tcW w:w="0" w:type="auto"/>
            <w:gridSpan w:val="3"/>
            <w:shd w:val="clear" w:color="auto" w:fill="auto"/>
            <w:vAlign w:val="bottom"/>
          </w:tcPr>
          <w:p w14:paraId="71D42852" w14:textId="77777777" w:rsidR="006A3667" w:rsidRDefault="006A3667">
            <w:pPr>
              <w:rPr>
                <w:rFonts w:ascii="宋体"/>
                <w:vanish/>
              </w:rPr>
            </w:pPr>
          </w:p>
        </w:tc>
      </w:tr>
      <w:tr w:rsidR="006A3667" w14:paraId="71D42866" w14:textId="77777777">
        <w:trPr>
          <w:jc w:val="center"/>
          <w:hidden/>
        </w:trPr>
        <w:tc>
          <w:tcPr>
            <w:tcW w:w="0" w:type="auto"/>
            <w:gridSpan w:val="3"/>
            <w:shd w:val="clear" w:color="auto" w:fill="auto"/>
            <w:vAlign w:val="bottom"/>
          </w:tcPr>
          <w:p w14:paraId="71D42854" w14:textId="77777777" w:rsidR="006A3667" w:rsidRDefault="006A3667">
            <w:pPr>
              <w:rPr>
                <w:rFonts w:ascii="宋体"/>
                <w:vanish/>
              </w:rPr>
            </w:pPr>
          </w:p>
        </w:tc>
        <w:tc>
          <w:tcPr>
            <w:tcW w:w="0" w:type="auto"/>
            <w:gridSpan w:val="3"/>
            <w:shd w:val="clear" w:color="auto" w:fill="auto"/>
            <w:vAlign w:val="bottom"/>
          </w:tcPr>
          <w:p w14:paraId="71D42855" w14:textId="77777777" w:rsidR="006A3667" w:rsidRDefault="006A3667">
            <w:pPr>
              <w:rPr>
                <w:rFonts w:ascii="宋体"/>
                <w:vanish/>
              </w:rPr>
            </w:pPr>
          </w:p>
        </w:tc>
        <w:tc>
          <w:tcPr>
            <w:tcW w:w="0" w:type="auto"/>
            <w:gridSpan w:val="3"/>
            <w:shd w:val="clear" w:color="auto" w:fill="auto"/>
            <w:vAlign w:val="bottom"/>
          </w:tcPr>
          <w:p w14:paraId="71D42856" w14:textId="77777777" w:rsidR="006A3667" w:rsidRDefault="006A3667">
            <w:pPr>
              <w:rPr>
                <w:rFonts w:ascii="宋体"/>
                <w:vanish/>
              </w:rPr>
            </w:pPr>
          </w:p>
        </w:tc>
        <w:tc>
          <w:tcPr>
            <w:tcW w:w="0" w:type="auto"/>
            <w:gridSpan w:val="3"/>
            <w:shd w:val="clear" w:color="auto" w:fill="auto"/>
            <w:vAlign w:val="bottom"/>
          </w:tcPr>
          <w:p w14:paraId="71D42857" w14:textId="77777777" w:rsidR="006A3667" w:rsidRDefault="006A3667">
            <w:pPr>
              <w:rPr>
                <w:rFonts w:ascii="宋体"/>
                <w:vanish/>
              </w:rPr>
            </w:pPr>
          </w:p>
        </w:tc>
        <w:tc>
          <w:tcPr>
            <w:tcW w:w="0" w:type="auto"/>
            <w:gridSpan w:val="3"/>
            <w:shd w:val="clear" w:color="auto" w:fill="auto"/>
            <w:vAlign w:val="bottom"/>
          </w:tcPr>
          <w:p w14:paraId="71D42858" w14:textId="77777777" w:rsidR="006A3667" w:rsidRDefault="006A3667">
            <w:pPr>
              <w:rPr>
                <w:rFonts w:ascii="宋体"/>
                <w:vanish/>
              </w:rPr>
            </w:pPr>
          </w:p>
        </w:tc>
        <w:tc>
          <w:tcPr>
            <w:tcW w:w="0" w:type="auto"/>
            <w:gridSpan w:val="3"/>
            <w:shd w:val="clear" w:color="auto" w:fill="auto"/>
            <w:vAlign w:val="bottom"/>
          </w:tcPr>
          <w:p w14:paraId="71D42859" w14:textId="77777777" w:rsidR="006A3667" w:rsidRDefault="006A3667">
            <w:pPr>
              <w:rPr>
                <w:rFonts w:ascii="宋体"/>
                <w:vanish/>
              </w:rPr>
            </w:pPr>
          </w:p>
        </w:tc>
        <w:tc>
          <w:tcPr>
            <w:tcW w:w="0" w:type="auto"/>
            <w:gridSpan w:val="3"/>
            <w:shd w:val="clear" w:color="auto" w:fill="auto"/>
            <w:vAlign w:val="bottom"/>
          </w:tcPr>
          <w:p w14:paraId="71D4285A" w14:textId="77777777" w:rsidR="006A3667" w:rsidRDefault="006A3667">
            <w:pPr>
              <w:rPr>
                <w:rFonts w:ascii="宋体"/>
                <w:vanish/>
              </w:rPr>
            </w:pPr>
          </w:p>
        </w:tc>
        <w:tc>
          <w:tcPr>
            <w:tcW w:w="0" w:type="auto"/>
            <w:gridSpan w:val="3"/>
            <w:shd w:val="clear" w:color="auto" w:fill="auto"/>
            <w:vAlign w:val="bottom"/>
          </w:tcPr>
          <w:p w14:paraId="71D4285B" w14:textId="77777777" w:rsidR="006A3667" w:rsidRDefault="006A3667">
            <w:pPr>
              <w:rPr>
                <w:rFonts w:ascii="宋体"/>
                <w:vanish/>
              </w:rPr>
            </w:pPr>
          </w:p>
        </w:tc>
        <w:tc>
          <w:tcPr>
            <w:tcW w:w="0" w:type="auto"/>
            <w:gridSpan w:val="3"/>
            <w:shd w:val="clear" w:color="auto" w:fill="auto"/>
            <w:vAlign w:val="bottom"/>
          </w:tcPr>
          <w:p w14:paraId="71D4285C" w14:textId="77777777" w:rsidR="006A3667" w:rsidRDefault="006A3667">
            <w:pPr>
              <w:rPr>
                <w:rFonts w:ascii="宋体"/>
                <w:vanish/>
              </w:rPr>
            </w:pPr>
          </w:p>
        </w:tc>
        <w:tc>
          <w:tcPr>
            <w:tcW w:w="0" w:type="auto"/>
            <w:gridSpan w:val="3"/>
            <w:shd w:val="clear" w:color="auto" w:fill="auto"/>
            <w:vAlign w:val="bottom"/>
          </w:tcPr>
          <w:p w14:paraId="71D4285D" w14:textId="77777777" w:rsidR="006A3667" w:rsidRDefault="006A3667">
            <w:pPr>
              <w:rPr>
                <w:rFonts w:ascii="宋体"/>
                <w:vanish/>
              </w:rPr>
            </w:pPr>
          </w:p>
        </w:tc>
        <w:tc>
          <w:tcPr>
            <w:tcW w:w="0" w:type="auto"/>
            <w:gridSpan w:val="3"/>
            <w:shd w:val="clear" w:color="auto" w:fill="auto"/>
            <w:vAlign w:val="bottom"/>
          </w:tcPr>
          <w:p w14:paraId="71D4285E" w14:textId="77777777" w:rsidR="006A3667" w:rsidRDefault="006A3667">
            <w:pPr>
              <w:rPr>
                <w:rFonts w:ascii="宋体"/>
                <w:vanish/>
              </w:rPr>
            </w:pPr>
          </w:p>
        </w:tc>
        <w:tc>
          <w:tcPr>
            <w:tcW w:w="0" w:type="auto"/>
            <w:gridSpan w:val="3"/>
            <w:shd w:val="clear" w:color="auto" w:fill="auto"/>
            <w:vAlign w:val="bottom"/>
          </w:tcPr>
          <w:p w14:paraId="71D4285F" w14:textId="77777777" w:rsidR="006A3667" w:rsidRDefault="006A3667">
            <w:pPr>
              <w:rPr>
                <w:rFonts w:ascii="宋体"/>
                <w:vanish/>
              </w:rPr>
            </w:pPr>
          </w:p>
        </w:tc>
        <w:tc>
          <w:tcPr>
            <w:tcW w:w="0" w:type="auto"/>
            <w:gridSpan w:val="3"/>
            <w:shd w:val="clear" w:color="auto" w:fill="auto"/>
            <w:vAlign w:val="bottom"/>
          </w:tcPr>
          <w:p w14:paraId="71D42860" w14:textId="77777777" w:rsidR="006A3667" w:rsidRDefault="006A3667">
            <w:pPr>
              <w:rPr>
                <w:rFonts w:ascii="宋体"/>
                <w:vanish/>
              </w:rPr>
            </w:pPr>
          </w:p>
        </w:tc>
        <w:tc>
          <w:tcPr>
            <w:tcW w:w="0" w:type="auto"/>
            <w:gridSpan w:val="3"/>
            <w:shd w:val="clear" w:color="auto" w:fill="auto"/>
            <w:vAlign w:val="bottom"/>
          </w:tcPr>
          <w:p w14:paraId="71D42861" w14:textId="77777777" w:rsidR="006A3667" w:rsidRDefault="006A3667">
            <w:pPr>
              <w:rPr>
                <w:rFonts w:ascii="宋体"/>
                <w:vanish/>
              </w:rPr>
            </w:pPr>
          </w:p>
        </w:tc>
        <w:tc>
          <w:tcPr>
            <w:tcW w:w="0" w:type="auto"/>
            <w:gridSpan w:val="3"/>
            <w:shd w:val="clear" w:color="auto" w:fill="auto"/>
            <w:vAlign w:val="bottom"/>
          </w:tcPr>
          <w:p w14:paraId="71D42862" w14:textId="77777777" w:rsidR="006A3667" w:rsidRDefault="006A3667">
            <w:pPr>
              <w:rPr>
                <w:rFonts w:ascii="宋体"/>
                <w:vanish/>
              </w:rPr>
            </w:pPr>
          </w:p>
        </w:tc>
        <w:tc>
          <w:tcPr>
            <w:tcW w:w="0" w:type="auto"/>
            <w:gridSpan w:val="3"/>
            <w:shd w:val="clear" w:color="auto" w:fill="auto"/>
            <w:vAlign w:val="bottom"/>
          </w:tcPr>
          <w:p w14:paraId="71D42863" w14:textId="77777777" w:rsidR="006A3667" w:rsidRDefault="006A3667">
            <w:pPr>
              <w:rPr>
                <w:rFonts w:ascii="宋体"/>
                <w:vanish/>
              </w:rPr>
            </w:pPr>
          </w:p>
        </w:tc>
        <w:tc>
          <w:tcPr>
            <w:tcW w:w="0" w:type="auto"/>
            <w:gridSpan w:val="3"/>
            <w:shd w:val="clear" w:color="auto" w:fill="auto"/>
            <w:vAlign w:val="bottom"/>
          </w:tcPr>
          <w:p w14:paraId="71D42864" w14:textId="77777777" w:rsidR="006A3667" w:rsidRDefault="006A3667">
            <w:pPr>
              <w:rPr>
                <w:rFonts w:ascii="宋体"/>
                <w:vanish/>
              </w:rPr>
            </w:pPr>
          </w:p>
        </w:tc>
        <w:tc>
          <w:tcPr>
            <w:tcW w:w="0" w:type="auto"/>
            <w:gridSpan w:val="3"/>
            <w:shd w:val="clear" w:color="auto" w:fill="auto"/>
            <w:vAlign w:val="bottom"/>
          </w:tcPr>
          <w:p w14:paraId="71D42865" w14:textId="77777777" w:rsidR="006A3667" w:rsidRDefault="006A3667">
            <w:pPr>
              <w:rPr>
                <w:rFonts w:ascii="宋体"/>
                <w:vanish/>
              </w:rPr>
            </w:pPr>
          </w:p>
        </w:tc>
      </w:tr>
      <w:tr w:rsidR="006A3667" w14:paraId="71D42879" w14:textId="77777777">
        <w:trPr>
          <w:jc w:val="center"/>
          <w:hidden/>
        </w:trPr>
        <w:tc>
          <w:tcPr>
            <w:tcW w:w="0" w:type="auto"/>
            <w:gridSpan w:val="3"/>
            <w:shd w:val="clear" w:color="auto" w:fill="auto"/>
            <w:vAlign w:val="bottom"/>
          </w:tcPr>
          <w:p w14:paraId="71D42867" w14:textId="77777777" w:rsidR="006A3667" w:rsidRDefault="006A3667">
            <w:pPr>
              <w:rPr>
                <w:rFonts w:ascii="宋体"/>
                <w:vanish/>
              </w:rPr>
            </w:pPr>
          </w:p>
        </w:tc>
        <w:tc>
          <w:tcPr>
            <w:tcW w:w="0" w:type="auto"/>
            <w:gridSpan w:val="3"/>
            <w:shd w:val="clear" w:color="auto" w:fill="auto"/>
            <w:vAlign w:val="bottom"/>
          </w:tcPr>
          <w:p w14:paraId="71D42868" w14:textId="77777777" w:rsidR="006A3667" w:rsidRDefault="006A3667">
            <w:pPr>
              <w:rPr>
                <w:rFonts w:ascii="宋体"/>
                <w:vanish/>
              </w:rPr>
            </w:pPr>
          </w:p>
        </w:tc>
        <w:tc>
          <w:tcPr>
            <w:tcW w:w="0" w:type="auto"/>
            <w:gridSpan w:val="3"/>
            <w:shd w:val="clear" w:color="auto" w:fill="auto"/>
            <w:vAlign w:val="bottom"/>
          </w:tcPr>
          <w:p w14:paraId="71D42869" w14:textId="77777777" w:rsidR="006A3667" w:rsidRDefault="006A3667">
            <w:pPr>
              <w:rPr>
                <w:rFonts w:ascii="宋体"/>
                <w:vanish/>
              </w:rPr>
            </w:pPr>
          </w:p>
        </w:tc>
        <w:tc>
          <w:tcPr>
            <w:tcW w:w="0" w:type="auto"/>
            <w:gridSpan w:val="3"/>
            <w:shd w:val="clear" w:color="auto" w:fill="auto"/>
            <w:vAlign w:val="bottom"/>
          </w:tcPr>
          <w:p w14:paraId="71D4286A" w14:textId="77777777" w:rsidR="006A3667" w:rsidRDefault="006A3667">
            <w:pPr>
              <w:rPr>
                <w:rFonts w:ascii="宋体"/>
                <w:vanish/>
              </w:rPr>
            </w:pPr>
          </w:p>
        </w:tc>
        <w:tc>
          <w:tcPr>
            <w:tcW w:w="0" w:type="auto"/>
            <w:gridSpan w:val="3"/>
            <w:shd w:val="clear" w:color="auto" w:fill="auto"/>
            <w:vAlign w:val="bottom"/>
          </w:tcPr>
          <w:p w14:paraId="71D4286B" w14:textId="77777777" w:rsidR="006A3667" w:rsidRDefault="006A3667">
            <w:pPr>
              <w:rPr>
                <w:rFonts w:ascii="宋体"/>
                <w:vanish/>
              </w:rPr>
            </w:pPr>
          </w:p>
        </w:tc>
        <w:tc>
          <w:tcPr>
            <w:tcW w:w="0" w:type="auto"/>
            <w:gridSpan w:val="3"/>
            <w:shd w:val="clear" w:color="auto" w:fill="auto"/>
            <w:vAlign w:val="bottom"/>
          </w:tcPr>
          <w:p w14:paraId="71D4286C" w14:textId="77777777" w:rsidR="006A3667" w:rsidRDefault="006A3667">
            <w:pPr>
              <w:rPr>
                <w:rFonts w:ascii="宋体"/>
                <w:vanish/>
              </w:rPr>
            </w:pPr>
          </w:p>
        </w:tc>
        <w:tc>
          <w:tcPr>
            <w:tcW w:w="0" w:type="auto"/>
            <w:gridSpan w:val="3"/>
            <w:shd w:val="clear" w:color="auto" w:fill="auto"/>
            <w:vAlign w:val="bottom"/>
          </w:tcPr>
          <w:p w14:paraId="71D4286D" w14:textId="77777777" w:rsidR="006A3667" w:rsidRDefault="006A3667">
            <w:pPr>
              <w:rPr>
                <w:rFonts w:ascii="宋体"/>
                <w:vanish/>
              </w:rPr>
            </w:pPr>
          </w:p>
        </w:tc>
        <w:tc>
          <w:tcPr>
            <w:tcW w:w="0" w:type="auto"/>
            <w:gridSpan w:val="3"/>
            <w:shd w:val="clear" w:color="auto" w:fill="auto"/>
            <w:vAlign w:val="bottom"/>
          </w:tcPr>
          <w:p w14:paraId="71D4286E" w14:textId="77777777" w:rsidR="006A3667" w:rsidRDefault="006A3667">
            <w:pPr>
              <w:rPr>
                <w:rFonts w:ascii="宋体"/>
                <w:vanish/>
              </w:rPr>
            </w:pPr>
          </w:p>
        </w:tc>
        <w:tc>
          <w:tcPr>
            <w:tcW w:w="0" w:type="auto"/>
            <w:gridSpan w:val="3"/>
            <w:shd w:val="clear" w:color="auto" w:fill="auto"/>
            <w:vAlign w:val="bottom"/>
          </w:tcPr>
          <w:p w14:paraId="71D4286F" w14:textId="77777777" w:rsidR="006A3667" w:rsidRDefault="006A3667">
            <w:pPr>
              <w:rPr>
                <w:rFonts w:ascii="宋体"/>
                <w:vanish/>
              </w:rPr>
            </w:pPr>
          </w:p>
        </w:tc>
        <w:tc>
          <w:tcPr>
            <w:tcW w:w="0" w:type="auto"/>
            <w:gridSpan w:val="3"/>
            <w:shd w:val="clear" w:color="auto" w:fill="auto"/>
            <w:vAlign w:val="bottom"/>
          </w:tcPr>
          <w:p w14:paraId="71D42870" w14:textId="77777777" w:rsidR="006A3667" w:rsidRDefault="006A3667">
            <w:pPr>
              <w:rPr>
                <w:rFonts w:ascii="宋体"/>
                <w:vanish/>
              </w:rPr>
            </w:pPr>
          </w:p>
        </w:tc>
        <w:tc>
          <w:tcPr>
            <w:tcW w:w="0" w:type="auto"/>
            <w:gridSpan w:val="3"/>
            <w:shd w:val="clear" w:color="auto" w:fill="auto"/>
            <w:vAlign w:val="bottom"/>
          </w:tcPr>
          <w:p w14:paraId="71D42871" w14:textId="77777777" w:rsidR="006A3667" w:rsidRDefault="006A3667">
            <w:pPr>
              <w:rPr>
                <w:rFonts w:ascii="宋体"/>
                <w:vanish/>
              </w:rPr>
            </w:pPr>
          </w:p>
        </w:tc>
        <w:tc>
          <w:tcPr>
            <w:tcW w:w="0" w:type="auto"/>
            <w:gridSpan w:val="3"/>
            <w:shd w:val="clear" w:color="auto" w:fill="auto"/>
            <w:vAlign w:val="bottom"/>
          </w:tcPr>
          <w:p w14:paraId="71D42872" w14:textId="77777777" w:rsidR="006A3667" w:rsidRDefault="006A3667">
            <w:pPr>
              <w:rPr>
                <w:rFonts w:ascii="宋体"/>
                <w:vanish/>
              </w:rPr>
            </w:pPr>
          </w:p>
        </w:tc>
        <w:tc>
          <w:tcPr>
            <w:tcW w:w="0" w:type="auto"/>
            <w:gridSpan w:val="3"/>
            <w:shd w:val="clear" w:color="auto" w:fill="auto"/>
            <w:vAlign w:val="bottom"/>
          </w:tcPr>
          <w:p w14:paraId="71D42873" w14:textId="77777777" w:rsidR="006A3667" w:rsidRDefault="006A3667">
            <w:pPr>
              <w:rPr>
                <w:rFonts w:ascii="宋体"/>
                <w:vanish/>
              </w:rPr>
            </w:pPr>
          </w:p>
        </w:tc>
        <w:tc>
          <w:tcPr>
            <w:tcW w:w="0" w:type="auto"/>
            <w:gridSpan w:val="3"/>
            <w:shd w:val="clear" w:color="auto" w:fill="auto"/>
            <w:vAlign w:val="bottom"/>
          </w:tcPr>
          <w:p w14:paraId="71D42874" w14:textId="77777777" w:rsidR="006A3667" w:rsidRDefault="006A3667">
            <w:pPr>
              <w:rPr>
                <w:rFonts w:ascii="宋体"/>
                <w:vanish/>
              </w:rPr>
            </w:pPr>
          </w:p>
        </w:tc>
        <w:tc>
          <w:tcPr>
            <w:tcW w:w="0" w:type="auto"/>
            <w:gridSpan w:val="3"/>
            <w:shd w:val="clear" w:color="auto" w:fill="auto"/>
            <w:vAlign w:val="bottom"/>
          </w:tcPr>
          <w:p w14:paraId="71D42875" w14:textId="77777777" w:rsidR="006A3667" w:rsidRDefault="006A3667">
            <w:pPr>
              <w:rPr>
                <w:rFonts w:ascii="宋体"/>
                <w:vanish/>
              </w:rPr>
            </w:pPr>
          </w:p>
        </w:tc>
        <w:tc>
          <w:tcPr>
            <w:tcW w:w="0" w:type="auto"/>
            <w:gridSpan w:val="3"/>
            <w:shd w:val="clear" w:color="auto" w:fill="auto"/>
            <w:vAlign w:val="bottom"/>
          </w:tcPr>
          <w:p w14:paraId="71D42876" w14:textId="77777777" w:rsidR="006A3667" w:rsidRDefault="006A3667">
            <w:pPr>
              <w:rPr>
                <w:rFonts w:ascii="宋体"/>
                <w:vanish/>
              </w:rPr>
            </w:pPr>
          </w:p>
        </w:tc>
        <w:tc>
          <w:tcPr>
            <w:tcW w:w="0" w:type="auto"/>
            <w:gridSpan w:val="3"/>
            <w:shd w:val="clear" w:color="auto" w:fill="auto"/>
            <w:vAlign w:val="bottom"/>
          </w:tcPr>
          <w:p w14:paraId="71D42877" w14:textId="77777777" w:rsidR="006A3667" w:rsidRDefault="006A3667">
            <w:pPr>
              <w:rPr>
                <w:rFonts w:ascii="宋体"/>
                <w:vanish/>
              </w:rPr>
            </w:pPr>
          </w:p>
        </w:tc>
        <w:tc>
          <w:tcPr>
            <w:tcW w:w="0" w:type="auto"/>
            <w:gridSpan w:val="3"/>
            <w:shd w:val="clear" w:color="auto" w:fill="auto"/>
            <w:vAlign w:val="bottom"/>
          </w:tcPr>
          <w:p w14:paraId="71D42878" w14:textId="77777777" w:rsidR="006A3667" w:rsidRDefault="006A3667">
            <w:pPr>
              <w:rPr>
                <w:rFonts w:ascii="宋体"/>
                <w:vanish/>
              </w:rPr>
            </w:pPr>
          </w:p>
        </w:tc>
      </w:tr>
      <w:tr w:rsidR="006A3667" w14:paraId="71D4288C" w14:textId="77777777">
        <w:trPr>
          <w:jc w:val="center"/>
          <w:hidden/>
        </w:trPr>
        <w:tc>
          <w:tcPr>
            <w:tcW w:w="0" w:type="auto"/>
            <w:gridSpan w:val="3"/>
            <w:shd w:val="clear" w:color="auto" w:fill="auto"/>
            <w:vAlign w:val="bottom"/>
          </w:tcPr>
          <w:p w14:paraId="71D4287A" w14:textId="77777777" w:rsidR="006A3667" w:rsidRDefault="006A3667">
            <w:pPr>
              <w:rPr>
                <w:rFonts w:ascii="宋体"/>
                <w:vanish/>
              </w:rPr>
            </w:pPr>
          </w:p>
        </w:tc>
        <w:tc>
          <w:tcPr>
            <w:tcW w:w="0" w:type="auto"/>
            <w:gridSpan w:val="3"/>
            <w:shd w:val="clear" w:color="auto" w:fill="auto"/>
            <w:vAlign w:val="bottom"/>
          </w:tcPr>
          <w:p w14:paraId="71D4287B" w14:textId="77777777" w:rsidR="006A3667" w:rsidRDefault="006A3667">
            <w:pPr>
              <w:rPr>
                <w:rFonts w:ascii="宋体"/>
                <w:vanish/>
              </w:rPr>
            </w:pPr>
          </w:p>
        </w:tc>
        <w:tc>
          <w:tcPr>
            <w:tcW w:w="0" w:type="auto"/>
            <w:gridSpan w:val="3"/>
            <w:shd w:val="clear" w:color="auto" w:fill="auto"/>
            <w:vAlign w:val="bottom"/>
          </w:tcPr>
          <w:p w14:paraId="71D4287C" w14:textId="77777777" w:rsidR="006A3667" w:rsidRDefault="006A3667">
            <w:pPr>
              <w:rPr>
                <w:rFonts w:ascii="宋体"/>
                <w:vanish/>
              </w:rPr>
            </w:pPr>
          </w:p>
        </w:tc>
        <w:tc>
          <w:tcPr>
            <w:tcW w:w="0" w:type="auto"/>
            <w:gridSpan w:val="3"/>
            <w:shd w:val="clear" w:color="auto" w:fill="auto"/>
            <w:vAlign w:val="bottom"/>
          </w:tcPr>
          <w:p w14:paraId="71D4287D" w14:textId="77777777" w:rsidR="006A3667" w:rsidRDefault="006A3667">
            <w:pPr>
              <w:rPr>
                <w:rFonts w:ascii="宋体"/>
                <w:vanish/>
              </w:rPr>
            </w:pPr>
          </w:p>
        </w:tc>
        <w:tc>
          <w:tcPr>
            <w:tcW w:w="0" w:type="auto"/>
            <w:gridSpan w:val="3"/>
            <w:shd w:val="clear" w:color="auto" w:fill="auto"/>
            <w:vAlign w:val="bottom"/>
          </w:tcPr>
          <w:p w14:paraId="71D4287E" w14:textId="77777777" w:rsidR="006A3667" w:rsidRDefault="006A3667">
            <w:pPr>
              <w:rPr>
                <w:rFonts w:ascii="宋体"/>
                <w:vanish/>
              </w:rPr>
            </w:pPr>
          </w:p>
        </w:tc>
        <w:tc>
          <w:tcPr>
            <w:tcW w:w="0" w:type="auto"/>
            <w:gridSpan w:val="3"/>
            <w:shd w:val="clear" w:color="auto" w:fill="auto"/>
            <w:vAlign w:val="bottom"/>
          </w:tcPr>
          <w:p w14:paraId="71D4287F" w14:textId="77777777" w:rsidR="006A3667" w:rsidRDefault="006A3667">
            <w:pPr>
              <w:rPr>
                <w:rFonts w:ascii="宋体"/>
                <w:vanish/>
              </w:rPr>
            </w:pPr>
          </w:p>
        </w:tc>
        <w:tc>
          <w:tcPr>
            <w:tcW w:w="0" w:type="auto"/>
            <w:gridSpan w:val="3"/>
            <w:shd w:val="clear" w:color="auto" w:fill="auto"/>
            <w:vAlign w:val="bottom"/>
          </w:tcPr>
          <w:p w14:paraId="71D42880" w14:textId="77777777" w:rsidR="006A3667" w:rsidRDefault="006A3667">
            <w:pPr>
              <w:rPr>
                <w:rFonts w:ascii="宋体"/>
                <w:vanish/>
              </w:rPr>
            </w:pPr>
          </w:p>
        </w:tc>
        <w:tc>
          <w:tcPr>
            <w:tcW w:w="0" w:type="auto"/>
            <w:gridSpan w:val="3"/>
            <w:shd w:val="clear" w:color="auto" w:fill="auto"/>
            <w:vAlign w:val="bottom"/>
          </w:tcPr>
          <w:p w14:paraId="71D42881" w14:textId="77777777" w:rsidR="006A3667" w:rsidRDefault="006A3667">
            <w:pPr>
              <w:rPr>
                <w:rFonts w:ascii="宋体"/>
                <w:vanish/>
              </w:rPr>
            </w:pPr>
          </w:p>
        </w:tc>
        <w:tc>
          <w:tcPr>
            <w:tcW w:w="0" w:type="auto"/>
            <w:gridSpan w:val="3"/>
            <w:shd w:val="clear" w:color="auto" w:fill="auto"/>
            <w:vAlign w:val="bottom"/>
          </w:tcPr>
          <w:p w14:paraId="71D42882" w14:textId="77777777" w:rsidR="006A3667" w:rsidRDefault="006A3667">
            <w:pPr>
              <w:rPr>
                <w:rFonts w:ascii="宋体"/>
                <w:vanish/>
              </w:rPr>
            </w:pPr>
          </w:p>
        </w:tc>
        <w:tc>
          <w:tcPr>
            <w:tcW w:w="0" w:type="auto"/>
            <w:gridSpan w:val="3"/>
            <w:shd w:val="clear" w:color="auto" w:fill="auto"/>
            <w:vAlign w:val="bottom"/>
          </w:tcPr>
          <w:p w14:paraId="71D42883" w14:textId="77777777" w:rsidR="006A3667" w:rsidRDefault="006A3667">
            <w:pPr>
              <w:rPr>
                <w:rFonts w:ascii="宋体"/>
                <w:vanish/>
              </w:rPr>
            </w:pPr>
          </w:p>
        </w:tc>
        <w:tc>
          <w:tcPr>
            <w:tcW w:w="0" w:type="auto"/>
            <w:gridSpan w:val="3"/>
            <w:shd w:val="clear" w:color="auto" w:fill="auto"/>
            <w:vAlign w:val="bottom"/>
          </w:tcPr>
          <w:p w14:paraId="71D42884" w14:textId="77777777" w:rsidR="006A3667" w:rsidRDefault="006A3667">
            <w:pPr>
              <w:rPr>
                <w:rFonts w:ascii="宋体"/>
                <w:vanish/>
              </w:rPr>
            </w:pPr>
          </w:p>
        </w:tc>
        <w:tc>
          <w:tcPr>
            <w:tcW w:w="0" w:type="auto"/>
            <w:gridSpan w:val="3"/>
            <w:shd w:val="clear" w:color="auto" w:fill="auto"/>
            <w:vAlign w:val="bottom"/>
          </w:tcPr>
          <w:p w14:paraId="71D42885" w14:textId="77777777" w:rsidR="006A3667" w:rsidRDefault="006A3667">
            <w:pPr>
              <w:rPr>
                <w:rFonts w:ascii="宋体"/>
                <w:vanish/>
              </w:rPr>
            </w:pPr>
          </w:p>
        </w:tc>
        <w:tc>
          <w:tcPr>
            <w:tcW w:w="0" w:type="auto"/>
            <w:gridSpan w:val="3"/>
            <w:shd w:val="clear" w:color="auto" w:fill="auto"/>
            <w:vAlign w:val="bottom"/>
          </w:tcPr>
          <w:p w14:paraId="71D42886" w14:textId="77777777" w:rsidR="006A3667" w:rsidRDefault="006A3667">
            <w:pPr>
              <w:rPr>
                <w:rFonts w:ascii="宋体"/>
                <w:vanish/>
              </w:rPr>
            </w:pPr>
          </w:p>
        </w:tc>
        <w:tc>
          <w:tcPr>
            <w:tcW w:w="0" w:type="auto"/>
            <w:gridSpan w:val="3"/>
            <w:shd w:val="clear" w:color="auto" w:fill="auto"/>
            <w:vAlign w:val="bottom"/>
          </w:tcPr>
          <w:p w14:paraId="71D42887" w14:textId="77777777" w:rsidR="006A3667" w:rsidRDefault="006A3667">
            <w:pPr>
              <w:rPr>
                <w:rFonts w:ascii="宋体"/>
                <w:vanish/>
              </w:rPr>
            </w:pPr>
          </w:p>
        </w:tc>
        <w:tc>
          <w:tcPr>
            <w:tcW w:w="0" w:type="auto"/>
            <w:gridSpan w:val="3"/>
            <w:shd w:val="clear" w:color="auto" w:fill="auto"/>
            <w:vAlign w:val="bottom"/>
          </w:tcPr>
          <w:p w14:paraId="71D42888" w14:textId="77777777" w:rsidR="006A3667" w:rsidRDefault="006A3667">
            <w:pPr>
              <w:rPr>
                <w:rFonts w:ascii="宋体"/>
                <w:vanish/>
              </w:rPr>
            </w:pPr>
          </w:p>
        </w:tc>
        <w:tc>
          <w:tcPr>
            <w:tcW w:w="0" w:type="auto"/>
            <w:gridSpan w:val="3"/>
            <w:shd w:val="clear" w:color="auto" w:fill="auto"/>
            <w:vAlign w:val="bottom"/>
          </w:tcPr>
          <w:p w14:paraId="71D42889" w14:textId="77777777" w:rsidR="006A3667" w:rsidRDefault="006A3667">
            <w:pPr>
              <w:rPr>
                <w:rFonts w:ascii="宋体"/>
                <w:vanish/>
              </w:rPr>
            </w:pPr>
          </w:p>
        </w:tc>
        <w:tc>
          <w:tcPr>
            <w:tcW w:w="0" w:type="auto"/>
            <w:gridSpan w:val="3"/>
            <w:shd w:val="clear" w:color="auto" w:fill="auto"/>
            <w:vAlign w:val="bottom"/>
          </w:tcPr>
          <w:p w14:paraId="71D4288A" w14:textId="77777777" w:rsidR="006A3667" w:rsidRDefault="006A3667">
            <w:pPr>
              <w:rPr>
                <w:rFonts w:ascii="宋体"/>
                <w:vanish/>
              </w:rPr>
            </w:pPr>
          </w:p>
        </w:tc>
        <w:tc>
          <w:tcPr>
            <w:tcW w:w="0" w:type="auto"/>
            <w:gridSpan w:val="3"/>
            <w:shd w:val="clear" w:color="auto" w:fill="auto"/>
            <w:vAlign w:val="bottom"/>
          </w:tcPr>
          <w:p w14:paraId="71D4288B" w14:textId="77777777" w:rsidR="006A3667" w:rsidRDefault="006A3667">
            <w:pPr>
              <w:rPr>
                <w:rFonts w:ascii="宋体"/>
                <w:vanish/>
              </w:rPr>
            </w:pPr>
          </w:p>
        </w:tc>
      </w:tr>
      <w:tr w:rsidR="006A3667" w14:paraId="71D4289F" w14:textId="77777777">
        <w:trPr>
          <w:jc w:val="center"/>
          <w:hidden/>
        </w:trPr>
        <w:tc>
          <w:tcPr>
            <w:tcW w:w="0" w:type="auto"/>
            <w:gridSpan w:val="3"/>
            <w:shd w:val="clear" w:color="auto" w:fill="auto"/>
            <w:vAlign w:val="bottom"/>
          </w:tcPr>
          <w:p w14:paraId="71D4288D" w14:textId="77777777" w:rsidR="006A3667" w:rsidRDefault="006A3667">
            <w:pPr>
              <w:rPr>
                <w:rFonts w:ascii="宋体"/>
                <w:vanish/>
              </w:rPr>
            </w:pPr>
          </w:p>
        </w:tc>
        <w:tc>
          <w:tcPr>
            <w:tcW w:w="0" w:type="auto"/>
            <w:gridSpan w:val="3"/>
            <w:shd w:val="clear" w:color="auto" w:fill="auto"/>
            <w:vAlign w:val="bottom"/>
          </w:tcPr>
          <w:p w14:paraId="71D4288E" w14:textId="77777777" w:rsidR="006A3667" w:rsidRDefault="006A3667">
            <w:pPr>
              <w:rPr>
                <w:rFonts w:ascii="宋体"/>
                <w:vanish/>
              </w:rPr>
            </w:pPr>
          </w:p>
        </w:tc>
        <w:tc>
          <w:tcPr>
            <w:tcW w:w="0" w:type="auto"/>
            <w:gridSpan w:val="3"/>
            <w:shd w:val="clear" w:color="auto" w:fill="auto"/>
            <w:vAlign w:val="bottom"/>
          </w:tcPr>
          <w:p w14:paraId="71D4288F" w14:textId="77777777" w:rsidR="006A3667" w:rsidRDefault="006A3667">
            <w:pPr>
              <w:rPr>
                <w:rFonts w:ascii="宋体"/>
                <w:vanish/>
              </w:rPr>
            </w:pPr>
          </w:p>
        </w:tc>
        <w:tc>
          <w:tcPr>
            <w:tcW w:w="0" w:type="auto"/>
            <w:gridSpan w:val="3"/>
            <w:shd w:val="clear" w:color="auto" w:fill="auto"/>
            <w:vAlign w:val="bottom"/>
          </w:tcPr>
          <w:p w14:paraId="71D42890" w14:textId="77777777" w:rsidR="006A3667" w:rsidRDefault="006A3667">
            <w:pPr>
              <w:rPr>
                <w:rFonts w:ascii="宋体"/>
                <w:vanish/>
              </w:rPr>
            </w:pPr>
          </w:p>
        </w:tc>
        <w:tc>
          <w:tcPr>
            <w:tcW w:w="0" w:type="auto"/>
            <w:gridSpan w:val="3"/>
            <w:shd w:val="clear" w:color="auto" w:fill="auto"/>
            <w:vAlign w:val="bottom"/>
          </w:tcPr>
          <w:p w14:paraId="71D42891" w14:textId="77777777" w:rsidR="006A3667" w:rsidRDefault="006A3667">
            <w:pPr>
              <w:rPr>
                <w:rFonts w:ascii="宋体"/>
                <w:vanish/>
              </w:rPr>
            </w:pPr>
          </w:p>
        </w:tc>
        <w:tc>
          <w:tcPr>
            <w:tcW w:w="0" w:type="auto"/>
            <w:gridSpan w:val="3"/>
            <w:shd w:val="clear" w:color="auto" w:fill="auto"/>
            <w:vAlign w:val="bottom"/>
          </w:tcPr>
          <w:p w14:paraId="71D42892" w14:textId="77777777" w:rsidR="006A3667" w:rsidRDefault="006A3667">
            <w:pPr>
              <w:rPr>
                <w:rFonts w:ascii="宋体"/>
                <w:vanish/>
              </w:rPr>
            </w:pPr>
          </w:p>
        </w:tc>
        <w:tc>
          <w:tcPr>
            <w:tcW w:w="0" w:type="auto"/>
            <w:gridSpan w:val="3"/>
            <w:shd w:val="clear" w:color="auto" w:fill="auto"/>
            <w:vAlign w:val="bottom"/>
          </w:tcPr>
          <w:p w14:paraId="71D42893" w14:textId="77777777" w:rsidR="006A3667" w:rsidRDefault="006A3667">
            <w:pPr>
              <w:rPr>
                <w:rFonts w:ascii="宋体"/>
                <w:vanish/>
              </w:rPr>
            </w:pPr>
          </w:p>
        </w:tc>
        <w:tc>
          <w:tcPr>
            <w:tcW w:w="0" w:type="auto"/>
            <w:gridSpan w:val="3"/>
            <w:shd w:val="clear" w:color="auto" w:fill="auto"/>
            <w:vAlign w:val="bottom"/>
          </w:tcPr>
          <w:p w14:paraId="71D42894" w14:textId="77777777" w:rsidR="006A3667" w:rsidRDefault="006A3667">
            <w:pPr>
              <w:rPr>
                <w:rFonts w:ascii="宋体"/>
                <w:vanish/>
              </w:rPr>
            </w:pPr>
          </w:p>
        </w:tc>
        <w:tc>
          <w:tcPr>
            <w:tcW w:w="0" w:type="auto"/>
            <w:gridSpan w:val="3"/>
            <w:shd w:val="clear" w:color="auto" w:fill="auto"/>
            <w:vAlign w:val="bottom"/>
          </w:tcPr>
          <w:p w14:paraId="71D42895" w14:textId="77777777" w:rsidR="006A3667" w:rsidRDefault="006A3667">
            <w:pPr>
              <w:rPr>
                <w:rFonts w:ascii="宋体"/>
                <w:vanish/>
              </w:rPr>
            </w:pPr>
          </w:p>
        </w:tc>
        <w:tc>
          <w:tcPr>
            <w:tcW w:w="0" w:type="auto"/>
            <w:gridSpan w:val="3"/>
            <w:shd w:val="clear" w:color="auto" w:fill="auto"/>
            <w:vAlign w:val="bottom"/>
          </w:tcPr>
          <w:p w14:paraId="71D42896" w14:textId="77777777" w:rsidR="006A3667" w:rsidRDefault="006A3667">
            <w:pPr>
              <w:rPr>
                <w:rFonts w:ascii="宋体"/>
                <w:vanish/>
              </w:rPr>
            </w:pPr>
          </w:p>
        </w:tc>
        <w:tc>
          <w:tcPr>
            <w:tcW w:w="0" w:type="auto"/>
            <w:gridSpan w:val="3"/>
            <w:shd w:val="clear" w:color="auto" w:fill="auto"/>
            <w:vAlign w:val="bottom"/>
          </w:tcPr>
          <w:p w14:paraId="71D42897" w14:textId="77777777" w:rsidR="006A3667" w:rsidRDefault="006A3667">
            <w:pPr>
              <w:rPr>
                <w:rFonts w:ascii="宋体"/>
                <w:vanish/>
              </w:rPr>
            </w:pPr>
          </w:p>
        </w:tc>
        <w:tc>
          <w:tcPr>
            <w:tcW w:w="0" w:type="auto"/>
            <w:gridSpan w:val="3"/>
            <w:shd w:val="clear" w:color="auto" w:fill="auto"/>
            <w:vAlign w:val="bottom"/>
          </w:tcPr>
          <w:p w14:paraId="71D42898" w14:textId="77777777" w:rsidR="006A3667" w:rsidRDefault="006A3667">
            <w:pPr>
              <w:rPr>
                <w:rFonts w:ascii="宋体"/>
                <w:vanish/>
              </w:rPr>
            </w:pPr>
          </w:p>
        </w:tc>
        <w:tc>
          <w:tcPr>
            <w:tcW w:w="0" w:type="auto"/>
            <w:gridSpan w:val="3"/>
            <w:shd w:val="clear" w:color="auto" w:fill="auto"/>
            <w:vAlign w:val="bottom"/>
          </w:tcPr>
          <w:p w14:paraId="71D42899" w14:textId="77777777" w:rsidR="006A3667" w:rsidRDefault="006A3667">
            <w:pPr>
              <w:rPr>
                <w:rFonts w:ascii="宋体"/>
                <w:vanish/>
              </w:rPr>
            </w:pPr>
          </w:p>
        </w:tc>
        <w:tc>
          <w:tcPr>
            <w:tcW w:w="0" w:type="auto"/>
            <w:gridSpan w:val="3"/>
            <w:shd w:val="clear" w:color="auto" w:fill="auto"/>
            <w:vAlign w:val="bottom"/>
          </w:tcPr>
          <w:p w14:paraId="71D4289A" w14:textId="77777777" w:rsidR="006A3667" w:rsidRDefault="006A3667">
            <w:pPr>
              <w:rPr>
                <w:rFonts w:ascii="宋体"/>
                <w:vanish/>
              </w:rPr>
            </w:pPr>
          </w:p>
        </w:tc>
        <w:tc>
          <w:tcPr>
            <w:tcW w:w="0" w:type="auto"/>
            <w:gridSpan w:val="3"/>
            <w:shd w:val="clear" w:color="auto" w:fill="auto"/>
            <w:vAlign w:val="bottom"/>
          </w:tcPr>
          <w:p w14:paraId="71D4289B" w14:textId="77777777" w:rsidR="006A3667" w:rsidRDefault="006A3667">
            <w:pPr>
              <w:rPr>
                <w:rFonts w:ascii="宋体"/>
                <w:vanish/>
              </w:rPr>
            </w:pPr>
          </w:p>
        </w:tc>
        <w:tc>
          <w:tcPr>
            <w:tcW w:w="0" w:type="auto"/>
            <w:gridSpan w:val="3"/>
            <w:shd w:val="clear" w:color="auto" w:fill="auto"/>
            <w:vAlign w:val="bottom"/>
          </w:tcPr>
          <w:p w14:paraId="71D4289C" w14:textId="77777777" w:rsidR="006A3667" w:rsidRDefault="006A3667">
            <w:pPr>
              <w:rPr>
                <w:rFonts w:ascii="宋体"/>
                <w:vanish/>
              </w:rPr>
            </w:pPr>
          </w:p>
        </w:tc>
        <w:tc>
          <w:tcPr>
            <w:tcW w:w="0" w:type="auto"/>
            <w:gridSpan w:val="3"/>
            <w:shd w:val="clear" w:color="auto" w:fill="auto"/>
            <w:vAlign w:val="bottom"/>
          </w:tcPr>
          <w:p w14:paraId="71D4289D" w14:textId="77777777" w:rsidR="006A3667" w:rsidRDefault="006A3667">
            <w:pPr>
              <w:rPr>
                <w:rFonts w:ascii="宋体"/>
                <w:vanish/>
              </w:rPr>
            </w:pPr>
          </w:p>
        </w:tc>
        <w:tc>
          <w:tcPr>
            <w:tcW w:w="0" w:type="auto"/>
            <w:gridSpan w:val="3"/>
            <w:shd w:val="clear" w:color="auto" w:fill="auto"/>
            <w:vAlign w:val="bottom"/>
          </w:tcPr>
          <w:p w14:paraId="71D4289E" w14:textId="77777777" w:rsidR="006A3667" w:rsidRDefault="006A3667">
            <w:pPr>
              <w:rPr>
                <w:rFonts w:ascii="宋体"/>
                <w:vanish/>
              </w:rPr>
            </w:pPr>
          </w:p>
        </w:tc>
      </w:tr>
      <w:tr w:rsidR="006A3667" w14:paraId="71D428B2" w14:textId="77777777">
        <w:trPr>
          <w:jc w:val="center"/>
          <w:hidden/>
        </w:trPr>
        <w:tc>
          <w:tcPr>
            <w:tcW w:w="0" w:type="auto"/>
            <w:gridSpan w:val="3"/>
            <w:shd w:val="clear" w:color="auto" w:fill="auto"/>
            <w:vAlign w:val="bottom"/>
          </w:tcPr>
          <w:p w14:paraId="71D428A0" w14:textId="77777777" w:rsidR="006A3667" w:rsidRDefault="006A3667">
            <w:pPr>
              <w:rPr>
                <w:rFonts w:ascii="宋体"/>
                <w:vanish/>
              </w:rPr>
            </w:pPr>
          </w:p>
        </w:tc>
        <w:tc>
          <w:tcPr>
            <w:tcW w:w="0" w:type="auto"/>
            <w:gridSpan w:val="3"/>
            <w:shd w:val="clear" w:color="auto" w:fill="auto"/>
            <w:vAlign w:val="bottom"/>
          </w:tcPr>
          <w:p w14:paraId="71D428A1" w14:textId="77777777" w:rsidR="006A3667" w:rsidRDefault="006A3667">
            <w:pPr>
              <w:rPr>
                <w:rFonts w:ascii="宋体"/>
                <w:vanish/>
              </w:rPr>
            </w:pPr>
          </w:p>
        </w:tc>
        <w:tc>
          <w:tcPr>
            <w:tcW w:w="0" w:type="auto"/>
            <w:gridSpan w:val="3"/>
            <w:shd w:val="clear" w:color="auto" w:fill="auto"/>
            <w:vAlign w:val="bottom"/>
          </w:tcPr>
          <w:p w14:paraId="71D428A2" w14:textId="77777777" w:rsidR="006A3667" w:rsidRDefault="006A3667">
            <w:pPr>
              <w:rPr>
                <w:rFonts w:ascii="宋体"/>
                <w:vanish/>
              </w:rPr>
            </w:pPr>
          </w:p>
        </w:tc>
        <w:tc>
          <w:tcPr>
            <w:tcW w:w="0" w:type="auto"/>
            <w:gridSpan w:val="3"/>
            <w:shd w:val="clear" w:color="auto" w:fill="auto"/>
            <w:vAlign w:val="bottom"/>
          </w:tcPr>
          <w:p w14:paraId="71D428A3" w14:textId="77777777" w:rsidR="006A3667" w:rsidRDefault="006A3667">
            <w:pPr>
              <w:rPr>
                <w:rFonts w:ascii="宋体"/>
                <w:vanish/>
              </w:rPr>
            </w:pPr>
          </w:p>
        </w:tc>
        <w:tc>
          <w:tcPr>
            <w:tcW w:w="0" w:type="auto"/>
            <w:gridSpan w:val="3"/>
            <w:shd w:val="clear" w:color="auto" w:fill="auto"/>
            <w:vAlign w:val="bottom"/>
          </w:tcPr>
          <w:p w14:paraId="71D428A4" w14:textId="77777777" w:rsidR="006A3667" w:rsidRDefault="006A3667">
            <w:pPr>
              <w:rPr>
                <w:rFonts w:ascii="宋体"/>
                <w:vanish/>
              </w:rPr>
            </w:pPr>
          </w:p>
        </w:tc>
        <w:tc>
          <w:tcPr>
            <w:tcW w:w="0" w:type="auto"/>
            <w:gridSpan w:val="3"/>
            <w:shd w:val="clear" w:color="auto" w:fill="auto"/>
            <w:vAlign w:val="bottom"/>
          </w:tcPr>
          <w:p w14:paraId="71D428A5" w14:textId="77777777" w:rsidR="006A3667" w:rsidRDefault="006A3667">
            <w:pPr>
              <w:rPr>
                <w:rFonts w:ascii="宋体"/>
                <w:vanish/>
              </w:rPr>
            </w:pPr>
          </w:p>
        </w:tc>
        <w:tc>
          <w:tcPr>
            <w:tcW w:w="0" w:type="auto"/>
            <w:gridSpan w:val="3"/>
            <w:shd w:val="clear" w:color="auto" w:fill="auto"/>
            <w:vAlign w:val="bottom"/>
          </w:tcPr>
          <w:p w14:paraId="71D428A6" w14:textId="77777777" w:rsidR="006A3667" w:rsidRDefault="006A3667">
            <w:pPr>
              <w:rPr>
                <w:rFonts w:ascii="宋体"/>
                <w:vanish/>
              </w:rPr>
            </w:pPr>
          </w:p>
        </w:tc>
        <w:tc>
          <w:tcPr>
            <w:tcW w:w="0" w:type="auto"/>
            <w:gridSpan w:val="3"/>
            <w:shd w:val="clear" w:color="auto" w:fill="auto"/>
            <w:vAlign w:val="bottom"/>
          </w:tcPr>
          <w:p w14:paraId="71D428A7" w14:textId="77777777" w:rsidR="006A3667" w:rsidRDefault="006A3667">
            <w:pPr>
              <w:rPr>
                <w:rFonts w:ascii="宋体"/>
                <w:vanish/>
              </w:rPr>
            </w:pPr>
          </w:p>
        </w:tc>
        <w:tc>
          <w:tcPr>
            <w:tcW w:w="0" w:type="auto"/>
            <w:gridSpan w:val="3"/>
            <w:shd w:val="clear" w:color="auto" w:fill="auto"/>
            <w:vAlign w:val="bottom"/>
          </w:tcPr>
          <w:p w14:paraId="71D428A8" w14:textId="77777777" w:rsidR="006A3667" w:rsidRDefault="006A3667">
            <w:pPr>
              <w:rPr>
                <w:rFonts w:ascii="宋体"/>
                <w:vanish/>
              </w:rPr>
            </w:pPr>
          </w:p>
        </w:tc>
        <w:tc>
          <w:tcPr>
            <w:tcW w:w="0" w:type="auto"/>
            <w:gridSpan w:val="3"/>
            <w:shd w:val="clear" w:color="auto" w:fill="auto"/>
            <w:vAlign w:val="bottom"/>
          </w:tcPr>
          <w:p w14:paraId="71D428A9" w14:textId="77777777" w:rsidR="006A3667" w:rsidRDefault="006A3667">
            <w:pPr>
              <w:rPr>
                <w:rFonts w:ascii="宋体"/>
                <w:vanish/>
              </w:rPr>
            </w:pPr>
          </w:p>
        </w:tc>
        <w:tc>
          <w:tcPr>
            <w:tcW w:w="0" w:type="auto"/>
            <w:gridSpan w:val="3"/>
            <w:shd w:val="clear" w:color="auto" w:fill="auto"/>
            <w:vAlign w:val="bottom"/>
          </w:tcPr>
          <w:p w14:paraId="71D428AA" w14:textId="77777777" w:rsidR="006A3667" w:rsidRDefault="006A3667">
            <w:pPr>
              <w:rPr>
                <w:rFonts w:ascii="宋体"/>
                <w:vanish/>
              </w:rPr>
            </w:pPr>
          </w:p>
        </w:tc>
        <w:tc>
          <w:tcPr>
            <w:tcW w:w="0" w:type="auto"/>
            <w:gridSpan w:val="3"/>
            <w:shd w:val="clear" w:color="auto" w:fill="auto"/>
            <w:vAlign w:val="bottom"/>
          </w:tcPr>
          <w:p w14:paraId="71D428AB" w14:textId="77777777" w:rsidR="006A3667" w:rsidRDefault="006A3667">
            <w:pPr>
              <w:rPr>
                <w:rFonts w:ascii="宋体"/>
                <w:vanish/>
              </w:rPr>
            </w:pPr>
          </w:p>
        </w:tc>
        <w:tc>
          <w:tcPr>
            <w:tcW w:w="0" w:type="auto"/>
            <w:gridSpan w:val="3"/>
            <w:shd w:val="clear" w:color="auto" w:fill="auto"/>
            <w:vAlign w:val="bottom"/>
          </w:tcPr>
          <w:p w14:paraId="71D428AC" w14:textId="77777777" w:rsidR="006A3667" w:rsidRDefault="006A3667">
            <w:pPr>
              <w:rPr>
                <w:rFonts w:ascii="宋体"/>
                <w:vanish/>
              </w:rPr>
            </w:pPr>
          </w:p>
        </w:tc>
        <w:tc>
          <w:tcPr>
            <w:tcW w:w="0" w:type="auto"/>
            <w:gridSpan w:val="3"/>
            <w:shd w:val="clear" w:color="auto" w:fill="auto"/>
            <w:vAlign w:val="bottom"/>
          </w:tcPr>
          <w:p w14:paraId="71D428AD" w14:textId="77777777" w:rsidR="006A3667" w:rsidRDefault="006A3667">
            <w:pPr>
              <w:rPr>
                <w:rFonts w:ascii="宋体"/>
                <w:vanish/>
              </w:rPr>
            </w:pPr>
          </w:p>
        </w:tc>
        <w:tc>
          <w:tcPr>
            <w:tcW w:w="0" w:type="auto"/>
            <w:gridSpan w:val="3"/>
            <w:shd w:val="clear" w:color="auto" w:fill="auto"/>
            <w:vAlign w:val="bottom"/>
          </w:tcPr>
          <w:p w14:paraId="71D428AE" w14:textId="77777777" w:rsidR="006A3667" w:rsidRDefault="006A3667">
            <w:pPr>
              <w:rPr>
                <w:rFonts w:ascii="宋体"/>
                <w:vanish/>
              </w:rPr>
            </w:pPr>
          </w:p>
        </w:tc>
        <w:tc>
          <w:tcPr>
            <w:tcW w:w="0" w:type="auto"/>
            <w:gridSpan w:val="3"/>
            <w:shd w:val="clear" w:color="auto" w:fill="auto"/>
            <w:vAlign w:val="bottom"/>
          </w:tcPr>
          <w:p w14:paraId="71D428AF" w14:textId="77777777" w:rsidR="006A3667" w:rsidRDefault="006A3667">
            <w:pPr>
              <w:rPr>
                <w:rFonts w:ascii="宋体"/>
                <w:vanish/>
              </w:rPr>
            </w:pPr>
          </w:p>
        </w:tc>
        <w:tc>
          <w:tcPr>
            <w:tcW w:w="0" w:type="auto"/>
            <w:gridSpan w:val="3"/>
            <w:shd w:val="clear" w:color="auto" w:fill="auto"/>
            <w:vAlign w:val="bottom"/>
          </w:tcPr>
          <w:p w14:paraId="71D428B0" w14:textId="77777777" w:rsidR="006A3667" w:rsidRDefault="006A3667">
            <w:pPr>
              <w:rPr>
                <w:rFonts w:ascii="宋体"/>
                <w:vanish/>
              </w:rPr>
            </w:pPr>
          </w:p>
        </w:tc>
        <w:tc>
          <w:tcPr>
            <w:tcW w:w="0" w:type="auto"/>
            <w:gridSpan w:val="3"/>
            <w:shd w:val="clear" w:color="auto" w:fill="auto"/>
            <w:vAlign w:val="bottom"/>
          </w:tcPr>
          <w:p w14:paraId="71D428B1" w14:textId="77777777" w:rsidR="006A3667" w:rsidRDefault="006A3667">
            <w:pPr>
              <w:rPr>
                <w:rFonts w:ascii="宋体"/>
                <w:vanish/>
              </w:rPr>
            </w:pPr>
          </w:p>
        </w:tc>
      </w:tr>
      <w:tr w:rsidR="006A3667" w14:paraId="71D428C5" w14:textId="77777777">
        <w:trPr>
          <w:jc w:val="center"/>
          <w:hidden/>
        </w:trPr>
        <w:tc>
          <w:tcPr>
            <w:tcW w:w="0" w:type="auto"/>
            <w:gridSpan w:val="3"/>
            <w:shd w:val="clear" w:color="auto" w:fill="auto"/>
            <w:vAlign w:val="bottom"/>
          </w:tcPr>
          <w:p w14:paraId="71D428B3" w14:textId="77777777" w:rsidR="006A3667" w:rsidRDefault="006A3667">
            <w:pPr>
              <w:rPr>
                <w:rFonts w:ascii="宋体"/>
                <w:vanish/>
              </w:rPr>
            </w:pPr>
          </w:p>
        </w:tc>
        <w:tc>
          <w:tcPr>
            <w:tcW w:w="0" w:type="auto"/>
            <w:gridSpan w:val="3"/>
            <w:shd w:val="clear" w:color="auto" w:fill="auto"/>
            <w:vAlign w:val="bottom"/>
          </w:tcPr>
          <w:p w14:paraId="71D428B4" w14:textId="77777777" w:rsidR="006A3667" w:rsidRDefault="006A3667">
            <w:pPr>
              <w:rPr>
                <w:rFonts w:ascii="宋体"/>
                <w:vanish/>
              </w:rPr>
            </w:pPr>
          </w:p>
        </w:tc>
        <w:tc>
          <w:tcPr>
            <w:tcW w:w="0" w:type="auto"/>
            <w:gridSpan w:val="3"/>
            <w:shd w:val="clear" w:color="auto" w:fill="auto"/>
            <w:vAlign w:val="bottom"/>
          </w:tcPr>
          <w:p w14:paraId="71D428B5" w14:textId="77777777" w:rsidR="006A3667" w:rsidRDefault="006A3667">
            <w:pPr>
              <w:rPr>
                <w:rFonts w:ascii="宋体"/>
                <w:vanish/>
              </w:rPr>
            </w:pPr>
          </w:p>
        </w:tc>
        <w:tc>
          <w:tcPr>
            <w:tcW w:w="0" w:type="auto"/>
            <w:gridSpan w:val="3"/>
            <w:shd w:val="clear" w:color="auto" w:fill="auto"/>
            <w:vAlign w:val="bottom"/>
          </w:tcPr>
          <w:p w14:paraId="71D428B6" w14:textId="77777777" w:rsidR="006A3667" w:rsidRDefault="006A3667">
            <w:pPr>
              <w:rPr>
                <w:rFonts w:ascii="宋体"/>
                <w:vanish/>
              </w:rPr>
            </w:pPr>
          </w:p>
        </w:tc>
        <w:tc>
          <w:tcPr>
            <w:tcW w:w="0" w:type="auto"/>
            <w:gridSpan w:val="3"/>
            <w:shd w:val="clear" w:color="auto" w:fill="auto"/>
            <w:vAlign w:val="bottom"/>
          </w:tcPr>
          <w:p w14:paraId="71D428B7" w14:textId="77777777" w:rsidR="006A3667" w:rsidRDefault="006A3667">
            <w:pPr>
              <w:rPr>
                <w:rFonts w:ascii="宋体"/>
                <w:vanish/>
              </w:rPr>
            </w:pPr>
          </w:p>
        </w:tc>
        <w:tc>
          <w:tcPr>
            <w:tcW w:w="0" w:type="auto"/>
            <w:gridSpan w:val="3"/>
            <w:shd w:val="clear" w:color="auto" w:fill="auto"/>
            <w:vAlign w:val="bottom"/>
          </w:tcPr>
          <w:p w14:paraId="71D428B8" w14:textId="77777777" w:rsidR="006A3667" w:rsidRDefault="006A3667">
            <w:pPr>
              <w:rPr>
                <w:rFonts w:ascii="宋体"/>
                <w:vanish/>
              </w:rPr>
            </w:pPr>
          </w:p>
        </w:tc>
        <w:tc>
          <w:tcPr>
            <w:tcW w:w="0" w:type="auto"/>
            <w:gridSpan w:val="3"/>
            <w:shd w:val="clear" w:color="auto" w:fill="auto"/>
            <w:vAlign w:val="bottom"/>
          </w:tcPr>
          <w:p w14:paraId="71D428B9" w14:textId="77777777" w:rsidR="006A3667" w:rsidRDefault="006A3667">
            <w:pPr>
              <w:rPr>
                <w:rFonts w:ascii="宋体"/>
                <w:vanish/>
              </w:rPr>
            </w:pPr>
          </w:p>
        </w:tc>
        <w:tc>
          <w:tcPr>
            <w:tcW w:w="0" w:type="auto"/>
            <w:gridSpan w:val="3"/>
            <w:shd w:val="clear" w:color="auto" w:fill="auto"/>
            <w:vAlign w:val="bottom"/>
          </w:tcPr>
          <w:p w14:paraId="71D428BA" w14:textId="77777777" w:rsidR="006A3667" w:rsidRDefault="006A3667">
            <w:pPr>
              <w:rPr>
                <w:rFonts w:ascii="宋体"/>
                <w:vanish/>
              </w:rPr>
            </w:pPr>
          </w:p>
        </w:tc>
        <w:tc>
          <w:tcPr>
            <w:tcW w:w="0" w:type="auto"/>
            <w:gridSpan w:val="3"/>
            <w:shd w:val="clear" w:color="auto" w:fill="auto"/>
            <w:vAlign w:val="bottom"/>
          </w:tcPr>
          <w:p w14:paraId="71D428BB" w14:textId="77777777" w:rsidR="006A3667" w:rsidRDefault="006A3667">
            <w:pPr>
              <w:rPr>
                <w:rFonts w:ascii="宋体"/>
                <w:vanish/>
              </w:rPr>
            </w:pPr>
          </w:p>
        </w:tc>
        <w:tc>
          <w:tcPr>
            <w:tcW w:w="0" w:type="auto"/>
            <w:gridSpan w:val="3"/>
            <w:shd w:val="clear" w:color="auto" w:fill="auto"/>
            <w:vAlign w:val="bottom"/>
          </w:tcPr>
          <w:p w14:paraId="71D428BC" w14:textId="77777777" w:rsidR="006A3667" w:rsidRDefault="006A3667">
            <w:pPr>
              <w:rPr>
                <w:rFonts w:ascii="宋体"/>
                <w:vanish/>
              </w:rPr>
            </w:pPr>
          </w:p>
        </w:tc>
        <w:tc>
          <w:tcPr>
            <w:tcW w:w="0" w:type="auto"/>
            <w:gridSpan w:val="3"/>
            <w:shd w:val="clear" w:color="auto" w:fill="auto"/>
            <w:vAlign w:val="bottom"/>
          </w:tcPr>
          <w:p w14:paraId="71D428BD" w14:textId="77777777" w:rsidR="006A3667" w:rsidRDefault="006A3667">
            <w:pPr>
              <w:rPr>
                <w:rFonts w:ascii="宋体"/>
                <w:vanish/>
              </w:rPr>
            </w:pPr>
          </w:p>
        </w:tc>
        <w:tc>
          <w:tcPr>
            <w:tcW w:w="0" w:type="auto"/>
            <w:gridSpan w:val="3"/>
            <w:shd w:val="clear" w:color="auto" w:fill="auto"/>
            <w:vAlign w:val="bottom"/>
          </w:tcPr>
          <w:p w14:paraId="71D428BE" w14:textId="77777777" w:rsidR="006A3667" w:rsidRDefault="006A3667">
            <w:pPr>
              <w:rPr>
                <w:rFonts w:ascii="宋体"/>
                <w:vanish/>
              </w:rPr>
            </w:pPr>
          </w:p>
        </w:tc>
        <w:tc>
          <w:tcPr>
            <w:tcW w:w="0" w:type="auto"/>
            <w:gridSpan w:val="3"/>
            <w:shd w:val="clear" w:color="auto" w:fill="auto"/>
            <w:vAlign w:val="bottom"/>
          </w:tcPr>
          <w:p w14:paraId="71D428BF" w14:textId="77777777" w:rsidR="006A3667" w:rsidRDefault="006A3667">
            <w:pPr>
              <w:rPr>
                <w:rFonts w:ascii="宋体"/>
                <w:vanish/>
              </w:rPr>
            </w:pPr>
          </w:p>
        </w:tc>
        <w:tc>
          <w:tcPr>
            <w:tcW w:w="0" w:type="auto"/>
            <w:gridSpan w:val="3"/>
            <w:shd w:val="clear" w:color="auto" w:fill="auto"/>
            <w:vAlign w:val="bottom"/>
          </w:tcPr>
          <w:p w14:paraId="71D428C0" w14:textId="77777777" w:rsidR="006A3667" w:rsidRDefault="006A3667">
            <w:pPr>
              <w:rPr>
                <w:rFonts w:ascii="宋体"/>
                <w:vanish/>
              </w:rPr>
            </w:pPr>
          </w:p>
        </w:tc>
        <w:tc>
          <w:tcPr>
            <w:tcW w:w="0" w:type="auto"/>
            <w:gridSpan w:val="3"/>
            <w:shd w:val="clear" w:color="auto" w:fill="auto"/>
            <w:vAlign w:val="bottom"/>
          </w:tcPr>
          <w:p w14:paraId="71D428C1" w14:textId="77777777" w:rsidR="006A3667" w:rsidRDefault="006A3667">
            <w:pPr>
              <w:rPr>
                <w:rFonts w:ascii="宋体"/>
                <w:vanish/>
              </w:rPr>
            </w:pPr>
          </w:p>
        </w:tc>
        <w:tc>
          <w:tcPr>
            <w:tcW w:w="0" w:type="auto"/>
            <w:gridSpan w:val="3"/>
            <w:shd w:val="clear" w:color="auto" w:fill="auto"/>
            <w:vAlign w:val="bottom"/>
          </w:tcPr>
          <w:p w14:paraId="71D428C2" w14:textId="77777777" w:rsidR="006A3667" w:rsidRDefault="006A3667">
            <w:pPr>
              <w:rPr>
                <w:rFonts w:ascii="宋体"/>
                <w:vanish/>
              </w:rPr>
            </w:pPr>
          </w:p>
        </w:tc>
        <w:tc>
          <w:tcPr>
            <w:tcW w:w="0" w:type="auto"/>
            <w:gridSpan w:val="3"/>
            <w:shd w:val="clear" w:color="auto" w:fill="auto"/>
            <w:vAlign w:val="bottom"/>
          </w:tcPr>
          <w:p w14:paraId="71D428C3" w14:textId="77777777" w:rsidR="006A3667" w:rsidRDefault="006A3667">
            <w:pPr>
              <w:rPr>
                <w:rFonts w:ascii="宋体"/>
                <w:vanish/>
              </w:rPr>
            </w:pPr>
          </w:p>
        </w:tc>
        <w:tc>
          <w:tcPr>
            <w:tcW w:w="0" w:type="auto"/>
            <w:gridSpan w:val="3"/>
            <w:shd w:val="clear" w:color="auto" w:fill="auto"/>
            <w:vAlign w:val="bottom"/>
          </w:tcPr>
          <w:p w14:paraId="71D428C4" w14:textId="77777777" w:rsidR="006A3667" w:rsidRDefault="006A3667">
            <w:pPr>
              <w:rPr>
                <w:rFonts w:ascii="宋体"/>
                <w:vanish/>
              </w:rPr>
            </w:pPr>
          </w:p>
        </w:tc>
      </w:tr>
      <w:tr w:rsidR="006A3667" w14:paraId="71D428D8" w14:textId="77777777">
        <w:trPr>
          <w:jc w:val="center"/>
          <w:hidden/>
        </w:trPr>
        <w:tc>
          <w:tcPr>
            <w:tcW w:w="0" w:type="auto"/>
            <w:gridSpan w:val="3"/>
            <w:shd w:val="clear" w:color="auto" w:fill="auto"/>
            <w:vAlign w:val="bottom"/>
          </w:tcPr>
          <w:p w14:paraId="71D428C6" w14:textId="77777777" w:rsidR="006A3667" w:rsidRDefault="006A3667">
            <w:pPr>
              <w:rPr>
                <w:rFonts w:ascii="宋体"/>
                <w:vanish/>
              </w:rPr>
            </w:pPr>
          </w:p>
        </w:tc>
        <w:tc>
          <w:tcPr>
            <w:tcW w:w="0" w:type="auto"/>
            <w:gridSpan w:val="3"/>
            <w:shd w:val="clear" w:color="auto" w:fill="auto"/>
            <w:vAlign w:val="bottom"/>
          </w:tcPr>
          <w:p w14:paraId="71D428C7" w14:textId="77777777" w:rsidR="006A3667" w:rsidRDefault="006A3667">
            <w:pPr>
              <w:rPr>
                <w:rFonts w:ascii="宋体"/>
                <w:vanish/>
              </w:rPr>
            </w:pPr>
          </w:p>
        </w:tc>
        <w:tc>
          <w:tcPr>
            <w:tcW w:w="0" w:type="auto"/>
            <w:gridSpan w:val="3"/>
            <w:shd w:val="clear" w:color="auto" w:fill="auto"/>
            <w:vAlign w:val="bottom"/>
          </w:tcPr>
          <w:p w14:paraId="71D428C8" w14:textId="77777777" w:rsidR="006A3667" w:rsidRDefault="006A3667">
            <w:pPr>
              <w:rPr>
                <w:rFonts w:ascii="宋体"/>
                <w:vanish/>
              </w:rPr>
            </w:pPr>
          </w:p>
        </w:tc>
        <w:tc>
          <w:tcPr>
            <w:tcW w:w="0" w:type="auto"/>
            <w:gridSpan w:val="3"/>
            <w:shd w:val="clear" w:color="auto" w:fill="auto"/>
            <w:vAlign w:val="bottom"/>
          </w:tcPr>
          <w:p w14:paraId="71D428C9" w14:textId="77777777" w:rsidR="006A3667" w:rsidRDefault="006A3667">
            <w:pPr>
              <w:rPr>
                <w:rFonts w:ascii="宋体"/>
                <w:vanish/>
              </w:rPr>
            </w:pPr>
          </w:p>
        </w:tc>
        <w:tc>
          <w:tcPr>
            <w:tcW w:w="0" w:type="auto"/>
            <w:gridSpan w:val="3"/>
            <w:shd w:val="clear" w:color="auto" w:fill="auto"/>
            <w:vAlign w:val="bottom"/>
          </w:tcPr>
          <w:p w14:paraId="71D428CA" w14:textId="77777777" w:rsidR="006A3667" w:rsidRDefault="006A3667">
            <w:pPr>
              <w:rPr>
                <w:rFonts w:ascii="宋体"/>
                <w:vanish/>
              </w:rPr>
            </w:pPr>
          </w:p>
        </w:tc>
        <w:tc>
          <w:tcPr>
            <w:tcW w:w="0" w:type="auto"/>
            <w:gridSpan w:val="3"/>
            <w:shd w:val="clear" w:color="auto" w:fill="auto"/>
            <w:vAlign w:val="bottom"/>
          </w:tcPr>
          <w:p w14:paraId="71D428CB" w14:textId="77777777" w:rsidR="006A3667" w:rsidRDefault="006A3667">
            <w:pPr>
              <w:rPr>
                <w:rFonts w:ascii="宋体"/>
                <w:vanish/>
              </w:rPr>
            </w:pPr>
          </w:p>
        </w:tc>
        <w:tc>
          <w:tcPr>
            <w:tcW w:w="0" w:type="auto"/>
            <w:gridSpan w:val="3"/>
            <w:shd w:val="clear" w:color="auto" w:fill="auto"/>
            <w:vAlign w:val="bottom"/>
          </w:tcPr>
          <w:p w14:paraId="71D428CC" w14:textId="77777777" w:rsidR="006A3667" w:rsidRDefault="006A3667">
            <w:pPr>
              <w:rPr>
                <w:rFonts w:ascii="宋体"/>
                <w:vanish/>
              </w:rPr>
            </w:pPr>
          </w:p>
        </w:tc>
        <w:tc>
          <w:tcPr>
            <w:tcW w:w="0" w:type="auto"/>
            <w:gridSpan w:val="3"/>
            <w:shd w:val="clear" w:color="auto" w:fill="auto"/>
            <w:vAlign w:val="bottom"/>
          </w:tcPr>
          <w:p w14:paraId="71D428CD" w14:textId="77777777" w:rsidR="006A3667" w:rsidRDefault="006A3667">
            <w:pPr>
              <w:rPr>
                <w:rFonts w:ascii="宋体"/>
                <w:vanish/>
              </w:rPr>
            </w:pPr>
          </w:p>
        </w:tc>
        <w:tc>
          <w:tcPr>
            <w:tcW w:w="0" w:type="auto"/>
            <w:gridSpan w:val="3"/>
            <w:shd w:val="clear" w:color="auto" w:fill="auto"/>
            <w:vAlign w:val="bottom"/>
          </w:tcPr>
          <w:p w14:paraId="71D428CE" w14:textId="77777777" w:rsidR="006A3667" w:rsidRDefault="006A3667">
            <w:pPr>
              <w:rPr>
                <w:rFonts w:ascii="宋体"/>
                <w:vanish/>
              </w:rPr>
            </w:pPr>
          </w:p>
        </w:tc>
        <w:tc>
          <w:tcPr>
            <w:tcW w:w="0" w:type="auto"/>
            <w:gridSpan w:val="3"/>
            <w:shd w:val="clear" w:color="auto" w:fill="auto"/>
            <w:vAlign w:val="bottom"/>
          </w:tcPr>
          <w:p w14:paraId="71D428CF" w14:textId="77777777" w:rsidR="006A3667" w:rsidRDefault="006A3667">
            <w:pPr>
              <w:rPr>
                <w:rFonts w:ascii="宋体"/>
                <w:vanish/>
              </w:rPr>
            </w:pPr>
          </w:p>
        </w:tc>
        <w:tc>
          <w:tcPr>
            <w:tcW w:w="0" w:type="auto"/>
            <w:gridSpan w:val="3"/>
            <w:shd w:val="clear" w:color="auto" w:fill="auto"/>
            <w:vAlign w:val="bottom"/>
          </w:tcPr>
          <w:p w14:paraId="71D428D0" w14:textId="77777777" w:rsidR="006A3667" w:rsidRDefault="006A3667">
            <w:pPr>
              <w:rPr>
                <w:rFonts w:ascii="宋体"/>
                <w:vanish/>
              </w:rPr>
            </w:pPr>
          </w:p>
        </w:tc>
        <w:tc>
          <w:tcPr>
            <w:tcW w:w="0" w:type="auto"/>
            <w:gridSpan w:val="3"/>
            <w:shd w:val="clear" w:color="auto" w:fill="auto"/>
            <w:vAlign w:val="bottom"/>
          </w:tcPr>
          <w:p w14:paraId="71D428D1" w14:textId="77777777" w:rsidR="006A3667" w:rsidRDefault="006A3667">
            <w:pPr>
              <w:rPr>
                <w:rFonts w:ascii="宋体"/>
                <w:vanish/>
              </w:rPr>
            </w:pPr>
          </w:p>
        </w:tc>
        <w:tc>
          <w:tcPr>
            <w:tcW w:w="0" w:type="auto"/>
            <w:gridSpan w:val="3"/>
            <w:shd w:val="clear" w:color="auto" w:fill="auto"/>
            <w:vAlign w:val="bottom"/>
          </w:tcPr>
          <w:p w14:paraId="71D428D2" w14:textId="77777777" w:rsidR="006A3667" w:rsidRDefault="006A3667">
            <w:pPr>
              <w:rPr>
                <w:rFonts w:ascii="宋体"/>
                <w:vanish/>
              </w:rPr>
            </w:pPr>
          </w:p>
        </w:tc>
        <w:tc>
          <w:tcPr>
            <w:tcW w:w="0" w:type="auto"/>
            <w:gridSpan w:val="3"/>
            <w:shd w:val="clear" w:color="auto" w:fill="auto"/>
            <w:vAlign w:val="bottom"/>
          </w:tcPr>
          <w:p w14:paraId="71D428D3" w14:textId="77777777" w:rsidR="006A3667" w:rsidRDefault="006A3667">
            <w:pPr>
              <w:rPr>
                <w:rFonts w:ascii="宋体"/>
                <w:vanish/>
              </w:rPr>
            </w:pPr>
          </w:p>
        </w:tc>
        <w:tc>
          <w:tcPr>
            <w:tcW w:w="0" w:type="auto"/>
            <w:gridSpan w:val="3"/>
            <w:shd w:val="clear" w:color="auto" w:fill="auto"/>
            <w:vAlign w:val="bottom"/>
          </w:tcPr>
          <w:p w14:paraId="71D428D4" w14:textId="77777777" w:rsidR="006A3667" w:rsidRDefault="006A3667">
            <w:pPr>
              <w:rPr>
                <w:rFonts w:ascii="宋体"/>
                <w:vanish/>
              </w:rPr>
            </w:pPr>
          </w:p>
        </w:tc>
        <w:tc>
          <w:tcPr>
            <w:tcW w:w="0" w:type="auto"/>
            <w:gridSpan w:val="3"/>
            <w:shd w:val="clear" w:color="auto" w:fill="auto"/>
            <w:vAlign w:val="bottom"/>
          </w:tcPr>
          <w:p w14:paraId="71D428D5" w14:textId="77777777" w:rsidR="006A3667" w:rsidRDefault="006A3667">
            <w:pPr>
              <w:rPr>
                <w:rFonts w:ascii="宋体"/>
                <w:vanish/>
              </w:rPr>
            </w:pPr>
          </w:p>
        </w:tc>
        <w:tc>
          <w:tcPr>
            <w:tcW w:w="0" w:type="auto"/>
            <w:gridSpan w:val="3"/>
            <w:shd w:val="clear" w:color="auto" w:fill="auto"/>
            <w:vAlign w:val="bottom"/>
          </w:tcPr>
          <w:p w14:paraId="71D428D6" w14:textId="77777777" w:rsidR="006A3667" w:rsidRDefault="006A3667">
            <w:pPr>
              <w:rPr>
                <w:rFonts w:ascii="宋体"/>
                <w:vanish/>
              </w:rPr>
            </w:pPr>
          </w:p>
        </w:tc>
        <w:tc>
          <w:tcPr>
            <w:tcW w:w="0" w:type="auto"/>
            <w:gridSpan w:val="3"/>
            <w:shd w:val="clear" w:color="auto" w:fill="auto"/>
            <w:vAlign w:val="bottom"/>
          </w:tcPr>
          <w:p w14:paraId="71D428D7" w14:textId="77777777" w:rsidR="006A3667" w:rsidRDefault="006A3667">
            <w:pPr>
              <w:rPr>
                <w:rFonts w:ascii="宋体"/>
                <w:vanish/>
              </w:rPr>
            </w:pPr>
          </w:p>
        </w:tc>
      </w:tr>
      <w:tr w:rsidR="006A3667" w14:paraId="71D428EB" w14:textId="77777777">
        <w:trPr>
          <w:jc w:val="center"/>
          <w:hidden/>
        </w:trPr>
        <w:tc>
          <w:tcPr>
            <w:tcW w:w="0" w:type="auto"/>
            <w:gridSpan w:val="3"/>
            <w:shd w:val="clear" w:color="auto" w:fill="auto"/>
            <w:vAlign w:val="bottom"/>
          </w:tcPr>
          <w:p w14:paraId="71D428D9" w14:textId="77777777" w:rsidR="006A3667" w:rsidRDefault="006A3667">
            <w:pPr>
              <w:rPr>
                <w:rFonts w:ascii="宋体"/>
                <w:vanish/>
              </w:rPr>
            </w:pPr>
          </w:p>
        </w:tc>
        <w:tc>
          <w:tcPr>
            <w:tcW w:w="0" w:type="auto"/>
            <w:gridSpan w:val="3"/>
            <w:shd w:val="clear" w:color="auto" w:fill="auto"/>
            <w:vAlign w:val="bottom"/>
          </w:tcPr>
          <w:p w14:paraId="71D428DA" w14:textId="77777777" w:rsidR="006A3667" w:rsidRDefault="006A3667">
            <w:pPr>
              <w:rPr>
                <w:rFonts w:ascii="宋体"/>
                <w:vanish/>
              </w:rPr>
            </w:pPr>
          </w:p>
        </w:tc>
        <w:tc>
          <w:tcPr>
            <w:tcW w:w="0" w:type="auto"/>
            <w:gridSpan w:val="3"/>
            <w:shd w:val="clear" w:color="auto" w:fill="auto"/>
            <w:vAlign w:val="bottom"/>
          </w:tcPr>
          <w:p w14:paraId="71D428DB" w14:textId="77777777" w:rsidR="006A3667" w:rsidRDefault="006A3667">
            <w:pPr>
              <w:rPr>
                <w:rFonts w:ascii="宋体"/>
                <w:vanish/>
              </w:rPr>
            </w:pPr>
          </w:p>
        </w:tc>
        <w:tc>
          <w:tcPr>
            <w:tcW w:w="0" w:type="auto"/>
            <w:gridSpan w:val="3"/>
            <w:shd w:val="clear" w:color="auto" w:fill="auto"/>
            <w:vAlign w:val="bottom"/>
          </w:tcPr>
          <w:p w14:paraId="71D428DC" w14:textId="77777777" w:rsidR="006A3667" w:rsidRDefault="006A3667">
            <w:pPr>
              <w:rPr>
                <w:rFonts w:ascii="宋体"/>
                <w:vanish/>
              </w:rPr>
            </w:pPr>
          </w:p>
        </w:tc>
        <w:tc>
          <w:tcPr>
            <w:tcW w:w="0" w:type="auto"/>
            <w:gridSpan w:val="3"/>
            <w:shd w:val="clear" w:color="auto" w:fill="auto"/>
            <w:vAlign w:val="bottom"/>
          </w:tcPr>
          <w:p w14:paraId="71D428DD" w14:textId="77777777" w:rsidR="006A3667" w:rsidRDefault="006A3667">
            <w:pPr>
              <w:rPr>
                <w:rFonts w:ascii="宋体"/>
                <w:vanish/>
              </w:rPr>
            </w:pPr>
          </w:p>
        </w:tc>
        <w:tc>
          <w:tcPr>
            <w:tcW w:w="0" w:type="auto"/>
            <w:gridSpan w:val="3"/>
            <w:shd w:val="clear" w:color="auto" w:fill="auto"/>
            <w:vAlign w:val="bottom"/>
          </w:tcPr>
          <w:p w14:paraId="71D428DE" w14:textId="77777777" w:rsidR="006A3667" w:rsidRDefault="006A3667">
            <w:pPr>
              <w:rPr>
                <w:rFonts w:ascii="宋体"/>
                <w:vanish/>
              </w:rPr>
            </w:pPr>
          </w:p>
        </w:tc>
        <w:tc>
          <w:tcPr>
            <w:tcW w:w="0" w:type="auto"/>
            <w:gridSpan w:val="3"/>
            <w:shd w:val="clear" w:color="auto" w:fill="auto"/>
            <w:vAlign w:val="bottom"/>
          </w:tcPr>
          <w:p w14:paraId="71D428DF" w14:textId="77777777" w:rsidR="006A3667" w:rsidRDefault="006A3667">
            <w:pPr>
              <w:rPr>
                <w:rFonts w:ascii="宋体"/>
                <w:vanish/>
              </w:rPr>
            </w:pPr>
          </w:p>
        </w:tc>
        <w:tc>
          <w:tcPr>
            <w:tcW w:w="0" w:type="auto"/>
            <w:gridSpan w:val="3"/>
            <w:shd w:val="clear" w:color="auto" w:fill="auto"/>
            <w:vAlign w:val="bottom"/>
          </w:tcPr>
          <w:p w14:paraId="71D428E0" w14:textId="77777777" w:rsidR="006A3667" w:rsidRDefault="006A3667">
            <w:pPr>
              <w:rPr>
                <w:rFonts w:ascii="宋体"/>
                <w:vanish/>
              </w:rPr>
            </w:pPr>
          </w:p>
        </w:tc>
        <w:tc>
          <w:tcPr>
            <w:tcW w:w="0" w:type="auto"/>
            <w:gridSpan w:val="3"/>
            <w:shd w:val="clear" w:color="auto" w:fill="auto"/>
            <w:vAlign w:val="bottom"/>
          </w:tcPr>
          <w:p w14:paraId="71D428E1" w14:textId="77777777" w:rsidR="006A3667" w:rsidRDefault="006A3667">
            <w:pPr>
              <w:rPr>
                <w:rFonts w:ascii="宋体"/>
                <w:vanish/>
              </w:rPr>
            </w:pPr>
          </w:p>
        </w:tc>
        <w:tc>
          <w:tcPr>
            <w:tcW w:w="0" w:type="auto"/>
            <w:gridSpan w:val="3"/>
            <w:shd w:val="clear" w:color="auto" w:fill="auto"/>
            <w:vAlign w:val="bottom"/>
          </w:tcPr>
          <w:p w14:paraId="71D428E2" w14:textId="77777777" w:rsidR="006A3667" w:rsidRDefault="006A3667">
            <w:pPr>
              <w:rPr>
                <w:rFonts w:ascii="宋体"/>
                <w:vanish/>
              </w:rPr>
            </w:pPr>
          </w:p>
        </w:tc>
        <w:tc>
          <w:tcPr>
            <w:tcW w:w="0" w:type="auto"/>
            <w:gridSpan w:val="3"/>
            <w:shd w:val="clear" w:color="auto" w:fill="auto"/>
            <w:vAlign w:val="bottom"/>
          </w:tcPr>
          <w:p w14:paraId="71D428E3" w14:textId="77777777" w:rsidR="006A3667" w:rsidRDefault="006A3667">
            <w:pPr>
              <w:rPr>
                <w:rFonts w:ascii="宋体"/>
                <w:vanish/>
              </w:rPr>
            </w:pPr>
          </w:p>
        </w:tc>
        <w:tc>
          <w:tcPr>
            <w:tcW w:w="0" w:type="auto"/>
            <w:gridSpan w:val="3"/>
            <w:shd w:val="clear" w:color="auto" w:fill="auto"/>
            <w:vAlign w:val="bottom"/>
          </w:tcPr>
          <w:p w14:paraId="71D428E4" w14:textId="77777777" w:rsidR="006A3667" w:rsidRDefault="006A3667">
            <w:pPr>
              <w:rPr>
                <w:rFonts w:ascii="宋体"/>
                <w:vanish/>
              </w:rPr>
            </w:pPr>
          </w:p>
        </w:tc>
        <w:tc>
          <w:tcPr>
            <w:tcW w:w="0" w:type="auto"/>
            <w:gridSpan w:val="3"/>
            <w:shd w:val="clear" w:color="auto" w:fill="auto"/>
            <w:vAlign w:val="bottom"/>
          </w:tcPr>
          <w:p w14:paraId="71D428E5" w14:textId="77777777" w:rsidR="006A3667" w:rsidRDefault="006A3667">
            <w:pPr>
              <w:rPr>
                <w:rFonts w:ascii="宋体"/>
                <w:vanish/>
              </w:rPr>
            </w:pPr>
          </w:p>
        </w:tc>
        <w:tc>
          <w:tcPr>
            <w:tcW w:w="0" w:type="auto"/>
            <w:gridSpan w:val="3"/>
            <w:shd w:val="clear" w:color="auto" w:fill="auto"/>
            <w:vAlign w:val="bottom"/>
          </w:tcPr>
          <w:p w14:paraId="71D428E6" w14:textId="77777777" w:rsidR="006A3667" w:rsidRDefault="006A3667">
            <w:pPr>
              <w:rPr>
                <w:rFonts w:ascii="宋体"/>
                <w:vanish/>
              </w:rPr>
            </w:pPr>
          </w:p>
        </w:tc>
        <w:tc>
          <w:tcPr>
            <w:tcW w:w="0" w:type="auto"/>
            <w:gridSpan w:val="3"/>
            <w:shd w:val="clear" w:color="auto" w:fill="auto"/>
            <w:vAlign w:val="bottom"/>
          </w:tcPr>
          <w:p w14:paraId="71D428E7" w14:textId="77777777" w:rsidR="006A3667" w:rsidRDefault="006A3667">
            <w:pPr>
              <w:rPr>
                <w:rFonts w:ascii="宋体"/>
                <w:vanish/>
              </w:rPr>
            </w:pPr>
          </w:p>
        </w:tc>
        <w:tc>
          <w:tcPr>
            <w:tcW w:w="0" w:type="auto"/>
            <w:gridSpan w:val="3"/>
            <w:shd w:val="clear" w:color="auto" w:fill="auto"/>
            <w:vAlign w:val="bottom"/>
          </w:tcPr>
          <w:p w14:paraId="71D428E8" w14:textId="77777777" w:rsidR="006A3667" w:rsidRDefault="006A3667">
            <w:pPr>
              <w:rPr>
                <w:rFonts w:ascii="宋体"/>
                <w:vanish/>
              </w:rPr>
            </w:pPr>
          </w:p>
        </w:tc>
        <w:tc>
          <w:tcPr>
            <w:tcW w:w="0" w:type="auto"/>
            <w:gridSpan w:val="3"/>
            <w:shd w:val="clear" w:color="auto" w:fill="auto"/>
            <w:vAlign w:val="bottom"/>
          </w:tcPr>
          <w:p w14:paraId="71D428E9" w14:textId="77777777" w:rsidR="006A3667" w:rsidRDefault="006A3667">
            <w:pPr>
              <w:rPr>
                <w:rFonts w:ascii="宋体"/>
                <w:vanish/>
              </w:rPr>
            </w:pPr>
          </w:p>
        </w:tc>
        <w:tc>
          <w:tcPr>
            <w:tcW w:w="0" w:type="auto"/>
            <w:gridSpan w:val="3"/>
            <w:shd w:val="clear" w:color="auto" w:fill="auto"/>
            <w:vAlign w:val="bottom"/>
          </w:tcPr>
          <w:p w14:paraId="71D428EA" w14:textId="77777777" w:rsidR="006A3667" w:rsidRDefault="006A3667">
            <w:pPr>
              <w:rPr>
                <w:rFonts w:ascii="宋体"/>
                <w:vanish/>
              </w:rPr>
            </w:pPr>
          </w:p>
        </w:tc>
      </w:tr>
      <w:tr w:rsidR="006A3667" w14:paraId="71D428FE" w14:textId="77777777">
        <w:trPr>
          <w:jc w:val="center"/>
          <w:hidden/>
        </w:trPr>
        <w:tc>
          <w:tcPr>
            <w:tcW w:w="0" w:type="auto"/>
            <w:gridSpan w:val="3"/>
            <w:shd w:val="clear" w:color="auto" w:fill="auto"/>
            <w:vAlign w:val="bottom"/>
          </w:tcPr>
          <w:p w14:paraId="71D428EC" w14:textId="77777777" w:rsidR="006A3667" w:rsidRDefault="006A3667">
            <w:pPr>
              <w:rPr>
                <w:rFonts w:ascii="宋体"/>
                <w:vanish/>
              </w:rPr>
            </w:pPr>
          </w:p>
        </w:tc>
        <w:tc>
          <w:tcPr>
            <w:tcW w:w="0" w:type="auto"/>
            <w:gridSpan w:val="3"/>
            <w:shd w:val="clear" w:color="auto" w:fill="auto"/>
            <w:vAlign w:val="bottom"/>
          </w:tcPr>
          <w:p w14:paraId="71D428ED" w14:textId="77777777" w:rsidR="006A3667" w:rsidRDefault="006A3667">
            <w:pPr>
              <w:rPr>
                <w:rFonts w:ascii="宋体"/>
                <w:vanish/>
              </w:rPr>
            </w:pPr>
          </w:p>
        </w:tc>
        <w:tc>
          <w:tcPr>
            <w:tcW w:w="0" w:type="auto"/>
            <w:gridSpan w:val="3"/>
            <w:shd w:val="clear" w:color="auto" w:fill="auto"/>
            <w:vAlign w:val="bottom"/>
          </w:tcPr>
          <w:p w14:paraId="71D428EE" w14:textId="77777777" w:rsidR="006A3667" w:rsidRDefault="006A3667">
            <w:pPr>
              <w:rPr>
                <w:rFonts w:ascii="宋体"/>
                <w:vanish/>
              </w:rPr>
            </w:pPr>
          </w:p>
        </w:tc>
        <w:tc>
          <w:tcPr>
            <w:tcW w:w="0" w:type="auto"/>
            <w:gridSpan w:val="3"/>
            <w:shd w:val="clear" w:color="auto" w:fill="auto"/>
            <w:vAlign w:val="bottom"/>
          </w:tcPr>
          <w:p w14:paraId="71D428EF" w14:textId="77777777" w:rsidR="006A3667" w:rsidRDefault="006A3667">
            <w:pPr>
              <w:rPr>
                <w:rFonts w:ascii="宋体"/>
                <w:vanish/>
              </w:rPr>
            </w:pPr>
          </w:p>
        </w:tc>
        <w:tc>
          <w:tcPr>
            <w:tcW w:w="0" w:type="auto"/>
            <w:gridSpan w:val="3"/>
            <w:shd w:val="clear" w:color="auto" w:fill="auto"/>
            <w:vAlign w:val="bottom"/>
          </w:tcPr>
          <w:p w14:paraId="71D428F0" w14:textId="77777777" w:rsidR="006A3667" w:rsidRDefault="006A3667">
            <w:pPr>
              <w:rPr>
                <w:rFonts w:ascii="宋体"/>
                <w:vanish/>
              </w:rPr>
            </w:pPr>
          </w:p>
        </w:tc>
        <w:tc>
          <w:tcPr>
            <w:tcW w:w="0" w:type="auto"/>
            <w:gridSpan w:val="3"/>
            <w:shd w:val="clear" w:color="auto" w:fill="auto"/>
            <w:vAlign w:val="bottom"/>
          </w:tcPr>
          <w:p w14:paraId="71D428F1" w14:textId="77777777" w:rsidR="006A3667" w:rsidRDefault="006A3667">
            <w:pPr>
              <w:rPr>
                <w:rFonts w:ascii="宋体"/>
                <w:vanish/>
              </w:rPr>
            </w:pPr>
          </w:p>
        </w:tc>
        <w:tc>
          <w:tcPr>
            <w:tcW w:w="0" w:type="auto"/>
            <w:gridSpan w:val="3"/>
            <w:shd w:val="clear" w:color="auto" w:fill="auto"/>
            <w:vAlign w:val="bottom"/>
          </w:tcPr>
          <w:p w14:paraId="71D428F2" w14:textId="77777777" w:rsidR="006A3667" w:rsidRDefault="006A3667">
            <w:pPr>
              <w:rPr>
                <w:rFonts w:ascii="宋体"/>
                <w:vanish/>
              </w:rPr>
            </w:pPr>
          </w:p>
        </w:tc>
        <w:tc>
          <w:tcPr>
            <w:tcW w:w="0" w:type="auto"/>
            <w:gridSpan w:val="3"/>
            <w:shd w:val="clear" w:color="auto" w:fill="auto"/>
            <w:vAlign w:val="bottom"/>
          </w:tcPr>
          <w:p w14:paraId="71D428F3" w14:textId="77777777" w:rsidR="006A3667" w:rsidRDefault="006A3667">
            <w:pPr>
              <w:rPr>
                <w:rFonts w:ascii="宋体"/>
                <w:vanish/>
              </w:rPr>
            </w:pPr>
          </w:p>
        </w:tc>
        <w:tc>
          <w:tcPr>
            <w:tcW w:w="0" w:type="auto"/>
            <w:gridSpan w:val="3"/>
            <w:shd w:val="clear" w:color="auto" w:fill="auto"/>
            <w:vAlign w:val="bottom"/>
          </w:tcPr>
          <w:p w14:paraId="71D428F4" w14:textId="77777777" w:rsidR="006A3667" w:rsidRDefault="006A3667">
            <w:pPr>
              <w:rPr>
                <w:rFonts w:ascii="宋体"/>
                <w:vanish/>
              </w:rPr>
            </w:pPr>
          </w:p>
        </w:tc>
        <w:tc>
          <w:tcPr>
            <w:tcW w:w="0" w:type="auto"/>
            <w:gridSpan w:val="3"/>
            <w:shd w:val="clear" w:color="auto" w:fill="auto"/>
            <w:vAlign w:val="bottom"/>
          </w:tcPr>
          <w:p w14:paraId="71D428F5" w14:textId="77777777" w:rsidR="006A3667" w:rsidRDefault="006A3667">
            <w:pPr>
              <w:rPr>
                <w:rFonts w:ascii="宋体"/>
                <w:vanish/>
              </w:rPr>
            </w:pPr>
          </w:p>
        </w:tc>
        <w:tc>
          <w:tcPr>
            <w:tcW w:w="0" w:type="auto"/>
            <w:gridSpan w:val="3"/>
            <w:shd w:val="clear" w:color="auto" w:fill="auto"/>
            <w:vAlign w:val="bottom"/>
          </w:tcPr>
          <w:p w14:paraId="71D428F6" w14:textId="77777777" w:rsidR="006A3667" w:rsidRDefault="006A3667">
            <w:pPr>
              <w:rPr>
                <w:rFonts w:ascii="宋体"/>
                <w:vanish/>
              </w:rPr>
            </w:pPr>
          </w:p>
        </w:tc>
        <w:tc>
          <w:tcPr>
            <w:tcW w:w="0" w:type="auto"/>
            <w:gridSpan w:val="3"/>
            <w:shd w:val="clear" w:color="auto" w:fill="auto"/>
            <w:vAlign w:val="bottom"/>
          </w:tcPr>
          <w:p w14:paraId="71D428F7" w14:textId="77777777" w:rsidR="006A3667" w:rsidRDefault="006A3667">
            <w:pPr>
              <w:rPr>
                <w:rFonts w:ascii="宋体"/>
                <w:vanish/>
              </w:rPr>
            </w:pPr>
          </w:p>
        </w:tc>
        <w:tc>
          <w:tcPr>
            <w:tcW w:w="0" w:type="auto"/>
            <w:gridSpan w:val="3"/>
            <w:shd w:val="clear" w:color="auto" w:fill="auto"/>
            <w:vAlign w:val="bottom"/>
          </w:tcPr>
          <w:p w14:paraId="71D428F8" w14:textId="77777777" w:rsidR="006A3667" w:rsidRDefault="006A3667">
            <w:pPr>
              <w:rPr>
                <w:rFonts w:ascii="宋体"/>
                <w:vanish/>
              </w:rPr>
            </w:pPr>
          </w:p>
        </w:tc>
        <w:tc>
          <w:tcPr>
            <w:tcW w:w="0" w:type="auto"/>
            <w:gridSpan w:val="3"/>
            <w:shd w:val="clear" w:color="auto" w:fill="auto"/>
            <w:vAlign w:val="bottom"/>
          </w:tcPr>
          <w:p w14:paraId="71D428F9" w14:textId="77777777" w:rsidR="006A3667" w:rsidRDefault="006A3667">
            <w:pPr>
              <w:rPr>
                <w:rFonts w:ascii="宋体"/>
                <w:vanish/>
              </w:rPr>
            </w:pPr>
          </w:p>
        </w:tc>
        <w:tc>
          <w:tcPr>
            <w:tcW w:w="0" w:type="auto"/>
            <w:gridSpan w:val="3"/>
            <w:shd w:val="clear" w:color="auto" w:fill="auto"/>
            <w:vAlign w:val="bottom"/>
          </w:tcPr>
          <w:p w14:paraId="71D428FA" w14:textId="77777777" w:rsidR="006A3667" w:rsidRDefault="006A3667">
            <w:pPr>
              <w:rPr>
                <w:rFonts w:ascii="宋体"/>
                <w:vanish/>
              </w:rPr>
            </w:pPr>
          </w:p>
        </w:tc>
        <w:tc>
          <w:tcPr>
            <w:tcW w:w="0" w:type="auto"/>
            <w:gridSpan w:val="3"/>
            <w:shd w:val="clear" w:color="auto" w:fill="auto"/>
            <w:vAlign w:val="bottom"/>
          </w:tcPr>
          <w:p w14:paraId="71D428FB" w14:textId="77777777" w:rsidR="006A3667" w:rsidRDefault="006A3667">
            <w:pPr>
              <w:rPr>
                <w:rFonts w:ascii="宋体"/>
                <w:vanish/>
              </w:rPr>
            </w:pPr>
          </w:p>
        </w:tc>
        <w:tc>
          <w:tcPr>
            <w:tcW w:w="0" w:type="auto"/>
            <w:gridSpan w:val="3"/>
            <w:shd w:val="clear" w:color="auto" w:fill="auto"/>
            <w:vAlign w:val="bottom"/>
          </w:tcPr>
          <w:p w14:paraId="71D428FC" w14:textId="77777777" w:rsidR="006A3667" w:rsidRDefault="006A3667">
            <w:pPr>
              <w:rPr>
                <w:rFonts w:ascii="宋体"/>
                <w:vanish/>
              </w:rPr>
            </w:pPr>
          </w:p>
        </w:tc>
        <w:tc>
          <w:tcPr>
            <w:tcW w:w="0" w:type="auto"/>
            <w:gridSpan w:val="3"/>
            <w:shd w:val="clear" w:color="auto" w:fill="auto"/>
            <w:vAlign w:val="bottom"/>
          </w:tcPr>
          <w:p w14:paraId="71D428FD" w14:textId="77777777" w:rsidR="006A3667" w:rsidRDefault="006A3667">
            <w:pPr>
              <w:rPr>
                <w:rFonts w:ascii="宋体"/>
                <w:vanish/>
              </w:rPr>
            </w:pPr>
          </w:p>
        </w:tc>
      </w:tr>
      <w:tr w:rsidR="006A3667" w14:paraId="71D42911" w14:textId="77777777">
        <w:trPr>
          <w:jc w:val="center"/>
          <w:hidden/>
        </w:trPr>
        <w:tc>
          <w:tcPr>
            <w:tcW w:w="0" w:type="auto"/>
            <w:gridSpan w:val="3"/>
            <w:shd w:val="clear" w:color="auto" w:fill="auto"/>
            <w:vAlign w:val="bottom"/>
          </w:tcPr>
          <w:p w14:paraId="71D428FF" w14:textId="77777777" w:rsidR="006A3667" w:rsidRDefault="006A3667">
            <w:pPr>
              <w:rPr>
                <w:rFonts w:ascii="宋体"/>
                <w:vanish/>
              </w:rPr>
            </w:pPr>
          </w:p>
        </w:tc>
        <w:tc>
          <w:tcPr>
            <w:tcW w:w="0" w:type="auto"/>
            <w:gridSpan w:val="3"/>
            <w:shd w:val="clear" w:color="auto" w:fill="auto"/>
            <w:vAlign w:val="bottom"/>
          </w:tcPr>
          <w:p w14:paraId="71D42900" w14:textId="77777777" w:rsidR="006A3667" w:rsidRDefault="006A3667">
            <w:pPr>
              <w:rPr>
                <w:rFonts w:ascii="宋体"/>
                <w:vanish/>
              </w:rPr>
            </w:pPr>
          </w:p>
        </w:tc>
        <w:tc>
          <w:tcPr>
            <w:tcW w:w="0" w:type="auto"/>
            <w:gridSpan w:val="3"/>
            <w:shd w:val="clear" w:color="auto" w:fill="auto"/>
            <w:vAlign w:val="bottom"/>
          </w:tcPr>
          <w:p w14:paraId="71D42901" w14:textId="77777777" w:rsidR="006A3667" w:rsidRDefault="006A3667">
            <w:pPr>
              <w:rPr>
                <w:rFonts w:ascii="宋体"/>
                <w:vanish/>
              </w:rPr>
            </w:pPr>
          </w:p>
        </w:tc>
        <w:tc>
          <w:tcPr>
            <w:tcW w:w="0" w:type="auto"/>
            <w:gridSpan w:val="3"/>
            <w:shd w:val="clear" w:color="auto" w:fill="auto"/>
            <w:vAlign w:val="bottom"/>
          </w:tcPr>
          <w:p w14:paraId="71D42902" w14:textId="77777777" w:rsidR="006A3667" w:rsidRDefault="006A3667">
            <w:pPr>
              <w:rPr>
                <w:rFonts w:ascii="宋体"/>
                <w:vanish/>
              </w:rPr>
            </w:pPr>
          </w:p>
        </w:tc>
        <w:tc>
          <w:tcPr>
            <w:tcW w:w="0" w:type="auto"/>
            <w:gridSpan w:val="3"/>
            <w:shd w:val="clear" w:color="auto" w:fill="auto"/>
            <w:vAlign w:val="bottom"/>
          </w:tcPr>
          <w:p w14:paraId="71D42903" w14:textId="77777777" w:rsidR="006A3667" w:rsidRDefault="006A3667">
            <w:pPr>
              <w:rPr>
                <w:rFonts w:ascii="宋体"/>
                <w:vanish/>
              </w:rPr>
            </w:pPr>
          </w:p>
        </w:tc>
        <w:tc>
          <w:tcPr>
            <w:tcW w:w="0" w:type="auto"/>
            <w:gridSpan w:val="3"/>
            <w:shd w:val="clear" w:color="auto" w:fill="auto"/>
            <w:vAlign w:val="bottom"/>
          </w:tcPr>
          <w:p w14:paraId="71D42904" w14:textId="77777777" w:rsidR="006A3667" w:rsidRDefault="006A3667">
            <w:pPr>
              <w:rPr>
                <w:rFonts w:ascii="宋体"/>
                <w:vanish/>
              </w:rPr>
            </w:pPr>
          </w:p>
        </w:tc>
        <w:tc>
          <w:tcPr>
            <w:tcW w:w="0" w:type="auto"/>
            <w:gridSpan w:val="3"/>
            <w:shd w:val="clear" w:color="auto" w:fill="auto"/>
            <w:vAlign w:val="bottom"/>
          </w:tcPr>
          <w:p w14:paraId="71D42905" w14:textId="77777777" w:rsidR="006A3667" w:rsidRDefault="006A3667">
            <w:pPr>
              <w:rPr>
                <w:rFonts w:ascii="宋体"/>
                <w:vanish/>
              </w:rPr>
            </w:pPr>
          </w:p>
        </w:tc>
        <w:tc>
          <w:tcPr>
            <w:tcW w:w="0" w:type="auto"/>
            <w:gridSpan w:val="3"/>
            <w:shd w:val="clear" w:color="auto" w:fill="auto"/>
            <w:vAlign w:val="bottom"/>
          </w:tcPr>
          <w:p w14:paraId="71D42906" w14:textId="77777777" w:rsidR="006A3667" w:rsidRDefault="006A3667">
            <w:pPr>
              <w:rPr>
                <w:rFonts w:ascii="宋体"/>
                <w:vanish/>
              </w:rPr>
            </w:pPr>
          </w:p>
        </w:tc>
        <w:tc>
          <w:tcPr>
            <w:tcW w:w="0" w:type="auto"/>
            <w:gridSpan w:val="3"/>
            <w:shd w:val="clear" w:color="auto" w:fill="auto"/>
            <w:vAlign w:val="bottom"/>
          </w:tcPr>
          <w:p w14:paraId="71D42907" w14:textId="77777777" w:rsidR="006A3667" w:rsidRDefault="006A3667">
            <w:pPr>
              <w:rPr>
                <w:rFonts w:ascii="宋体"/>
                <w:vanish/>
              </w:rPr>
            </w:pPr>
          </w:p>
        </w:tc>
        <w:tc>
          <w:tcPr>
            <w:tcW w:w="0" w:type="auto"/>
            <w:gridSpan w:val="3"/>
            <w:shd w:val="clear" w:color="auto" w:fill="auto"/>
            <w:vAlign w:val="bottom"/>
          </w:tcPr>
          <w:p w14:paraId="71D42908" w14:textId="77777777" w:rsidR="006A3667" w:rsidRDefault="006A3667">
            <w:pPr>
              <w:rPr>
                <w:rFonts w:ascii="宋体"/>
                <w:vanish/>
              </w:rPr>
            </w:pPr>
          </w:p>
        </w:tc>
        <w:tc>
          <w:tcPr>
            <w:tcW w:w="0" w:type="auto"/>
            <w:gridSpan w:val="3"/>
            <w:shd w:val="clear" w:color="auto" w:fill="auto"/>
            <w:vAlign w:val="bottom"/>
          </w:tcPr>
          <w:p w14:paraId="71D42909" w14:textId="77777777" w:rsidR="006A3667" w:rsidRDefault="006A3667">
            <w:pPr>
              <w:rPr>
                <w:rFonts w:ascii="宋体"/>
                <w:vanish/>
              </w:rPr>
            </w:pPr>
          </w:p>
        </w:tc>
        <w:tc>
          <w:tcPr>
            <w:tcW w:w="0" w:type="auto"/>
            <w:gridSpan w:val="3"/>
            <w:shd w:val="clear" w:color="auto" w:fill="auto"/>
            <w:vAlign w:val="bottom"/>
          </w:tcPr>
          <w:p w14:paraId="71D4290A" w14:textId="77777777" w:rsidR="006A3667" w:rsidRDefault="006A3667">
            <w:pPr>
              <w:rPr>
                <w:rFonts w:ascii="宋体"/>
                <w:vanish/>
              </w:rPr>
            </w:pPr>
          </w:p>
        </w:tc>
        <w:tc>
          <w:tcPr>
            <w:tcW w:w="0" w:type="auto"/>
            <w:gridSpan w:val="3"/>
            <w:shd w:val="clear" w:color="auto" w:fill="auto"/>
            <w:vAlign w:val="bottom"/>
          </w:tcPr>
          <w:p w14:paraId="71D4290B" w14:textId="77777777" w:rsidR="006A3667" w:rsidRDefault="006A3667">
            <w:pPr>
              <w:rPr>
                <w:rFonts w:ascii="宋体"/>
                <w:vanish/>
              </w:rPr>
            </w:pPr>
          </w:p>
        </w:tc>
        <w:tc>
          <w:tcPr>
            <w:tcW w:w="0" w:type="auto"/>
            <w:gridSpan w:val="3"/>
            <w:shd w:val="clear" w:color="auto" w:fill="auto"/>
            <w:vAlign w:val="bottom"/>
          </w:tcPr>
          <w:p w14:paraId="71D4290C" w14:textId="77777777" w:rsidR="006A3667" w:rsidRDefault="006A3667">
            <w:pPr>
              <w:rPr>
                <w:rFonts w:ascii="宋体"/>
                <w:vanish/>
              </w:rPr>
            </w:pPr>
          </w:p>
        </w:tc>
        <w:tc>
          <w:tcPr>
            <w:tcW w:w="0" w:type="auto"/>
            <w:gridSpan w:val="3"/>
            <w:shd w:val="clear" w:color="auto" w:fill="auto"/>
            <w:vAlign w:val="bottom"/>
          </w:tcPr>
          <w:p w14:paraId="71D4290D" w14:textId="77777777" w:rsidR="006A3667" w:rsidRDefault="006A3667">
            <w:pPr>
              <w:rPr>
                <w:rFonts w:ascii="宋体"/>
                <w:vanish/>
              </w:rPr>
            </w:pPr>
          </w:p>
        </w:tc>
        <w:tc>
          <w:tcPr>
            <w:tcW w:w="0" w:type="auto"/>
            <w:gridSpan w:val="3"/>
            <w:shd w:val="clear" w:color="auto" w:fill="auto"/>
            <w:vAlign w:val="bottom"/>
          </w:tcPr>
          <w:p w14:paraId="71D4290E" w14:textId="77777777" w:rsidR="006A3667" w:rsidRDefault="006A3667">
            <w:pPr>
              <w:rPr>
                <w:rFonts w:ascii="宋体"/>
                <w:vanish/>
              </w:rPr>
            </w:pPr>
          </w:p>
        </w:tc>
        <w:tc>
          <w:tcPr>
            <w:tcW w:w="0" w:type="auto"/>
            <w:gridSpan w:val="3"/>
            <w:shd w:val="clear" w:color="auto" w:fill="auto"/>
            <w:vAlign w:val="bottom"/>
          </w:tcPr>
          <w:p w14:paraId="71D4290F" w14:textId="77777777" w:rsidR="006A3667" w:rsidRDefault="006A3667">
            <w:pPr>
              <w:rPr>
                <w:rFonts w:ascii="宋体"/>
                <w:vanish/>
              </w:rPr>
            </w:pPr>
          </w:p>
        </w:tc>
        <w:tc>
          <w:tcPr>
            <w:tcW w:w="0" w:type="auto"/>
            <w:gridSpan w:val="3"/>
            <w:shd w:val="clear" w:color="auto" w:fill="auto"/>
            <w:vAlign w:val="bottom"/>
          </w:tcPr>
          <w:p w14:paraId="71D42910" w14:textId="77777777" w:rsidR="006A3667" w:rsidRDefault="006A3667">
            <w:pPr>
              <w:rPr>
                <w:rFonts w:ascii="宋体"/>
                <w:vanish/>
              </w:rPr>
            </w:pPr>
          </w:p>
        </w:tc>
      </w:tr>
      <w:tr w:rsidR="006A3667" w14:paraId="71D42924" w14:textId="77777777">
        <w:trPr>
          <w:jc w:val="center"/>
          <w:hidden/>
        </w:trPr>
        <w:tc>
          <w:tcPr>
            <w:tcW w:w="0" w:type="auto"/>
            <w:gridSpan w:val="3"/>
            <w:shd w:val="clear" w:color="auto" w:fill="auto"/>
            <w:vAlign w:val="bottom"/>
          </w:tcPr>
          <w:p w14:paraId="71D42912" w14:textId="77777777" w:rsidR="006A3667" w:rsidRDefault="006A3667">
            <w:pPr>
              <w:rPr>
                <w:rFonts w:ascii="宋体"/>
                <w:vanish/>
              </w:rPr>
            </w:pPr>
          </w:p>
        </w:tc>
        <w:tc>
          <w:tcPr>
            <w:tcW w:w="0" w:type="auto"/>
            <w:gridSpan w:val="3"/>
            <w:shd w:val="clear" w:color="auto" w:fill="auto"/>
            <w:vAlign w:val="bottom"/>
          </w:tcPr>
          <w:p w14:paraId="71D42913" w14:textId="77777777" w:rsidR="006A3667" w:rsidRDefault="006A3667">
            <w:pPr>
              <w:rPr>
                <w:rFonts w:ascii="宋体"/>
                <w:vanish/>
              </w:rPr>
            </w:pPr>
          </w:p>
        </w:tc>
        <w:tc>
          <w:tcPr>
            <w:tcW w:w="0" w:type="auto"/>
            <w:gridSpan w:val="3"/>
            <w:shd w:val="clear" w:color="auto" w:fill="auto"/>
            <w:vAlign w:val="bottom"/>
          </w:tcPr>
          <w:p w14:paraId="71D42914" w14:textId="77777777" w:rsidR="006A3667" w:rsidRDefault="006A3667">
            <w:pPr>
              <w:rPr>
                <w:rFonts w:ascii="宋体"/>
                <w:vanish/>
              </w:rPr>
            </w:pPr>
          </w:p>
        </w:tc>
        <w:tc>
          <w:tcPr>
            <w:tcW w:w="0" w:type="auto"/>
            <w:gridSpan w:val="3"/>
            <w:shd w:val="clear" w:color="auto" w:fill="auto"/>
            <w:vAlign w:val="bottom"/>
          </w:tcPr>
          <w:p w14:paraId="71D42915" w14:textId="77777777" w:rsidR="006A3667" w:rsidRDefault="006A3667">
            <w:pPr>
              <w:rPr>
                <w:rFonts w:ascii="宋体"/>
                <w:vanish/>
              </w:rPr>
            </w:pPr>
          </w:p>
        </w:tc>
        <w:tc>
          <w:tcPr>
            <w:tcW w:w="0" w:type="auto"/>
            <w:gridSpan w:val="3"/>
            <w:shd w:val="clear" w:color="auto" w:fill="auto"/>
            <w:vAlign w:val="bottom"/>
          </w:tcPr>
          <w:p w14:paraId="71D42916" w14:textId="77777777" w:rsidR="006A3667" w:rsidRDefault="006A3667">
            <w:pPr>
              <w:rPr>
                <w:rFonts w:ascii="宋体"/>
                <w:vanish/>
              </w:rPr>
            </w:pPr>
          </w:p>
        </w:tc>
        <w:tc>
          <w:tcPr>
            <w:tcW w:w="0" w:type="auto"/>
            <w:gridSpan w:val="3"/>
            <w:shd w:val="clear" w:color="auto" w:fill="auto"/>
            <w:vAlign w:val="bottom"/>
          </w:tcPr>
          <w:p w14:paraId="71D42917" w14:textId="77777777" w:rsidR="006A3667" w:rsidRDefault="006A3667">
            <w:pPr>
              <w:rPr>
                <w:rFonts w:ascii="宋体"/>
                <w:vanish/>
              </w:rPr>
            </w:pPr>
          </w:p>
        </w:tc>
        <w:tc>
          <w:tcPr>
            <w:tcW w:w="0" w:type="auto"/>
            <w:gridSpan w:val="3"/>
            <w:shd w:val="clear" w:color="auto" w:fill="auto"/>
            <w:vAlign w:val="bottom"/>
          </w:tcPr>
          <w:p w14:paraId="71D42918" w14:textId="77777777" w:rsidR="006A3667" w:rsidRDefault="006A3667">
            <w:pPr>
              <w:rPr>
                <w:rFonts w:ascii="宋体"/>
                <w:vanish/>
              </w:rPr>
            </w:pPr>
          </w:p>
        </w:tc>
        <w:tc>
          <w:tcPr>
            <w:tcW w:w="0" w:type="auto"/>
            <w:gridSpan w:val="3"/>
            <w:shd w:val="clear" w:color="auto" w:fill="auto"/>
            <w:vAlign w:val="bottom"/>
          </w:tcPr>
          <w:p w14:paraId="71D42919" w14:textId="77777777" w:rsidR="006A3667" w:rsidRDefault="006A3667">
            <w:pPr>
              <w:rPr>
                <w:rFonts w:ascii="宋体"/>
                <w:vanish/>
              </w:rPr>
            </w:pPr>
          </w:p>
        </w:tc>
        <w:tc>
          <w:tcPr>
            <w:tcW w:w="0" w:type="auto"/>
            <w:gridSpan w:val="3"/>
            <w:shd w:val="clear" w:color="auto" w:fill="auto"/>
            <w:vAlign w:val="bottom"/>
          </w:tcPr>
          <w:p w14:paraId="71D4291A" w14:textId="77777777" w:rsidR="006A3667" w:rsidRDefault="006A3667">
            <w:pPr>
              <w:rPr>
                <w:rFonts w:ascii="宋体"/>
                <w:vanish/>
              </w:rPr>
            </w:pPr>
          </w:p>
        </w:tc>
        <w:tc>
          <w:tcPr>
            <w:tcW w:w="0" w:type="auto"/>
            <w:gridSpan w:val="3"/>
            <w:shd w:val="clear" w:color="auto" w:fill="auto"/>
            <w:vAlign w:val="bottom"/>
          </w:tcPr>
          <w:p w14:paraId="71D4291B" w14:textId="77777777" w:rsidR="006A3667" w:rsidRDefault="006A3667">
            <w:pPr>
              <w:rPr>
                <w:rFonts w:ascii="宋体"/>
                <w:vanish/>
              </w:rPr>
            </w:pPr>
          </w:p>
        </w:tc>
        <w:tc>
          <w:tcPr>
            <w:tcW w:w="0" w:type="auto"/>
            <w:gridSpan w:val="3"/>
            <w:shd w:val="clear" w:color="auto" w:fill="auto"/>
            <w:vAlign w:val="bottom"/>
          </w:tcPr>
          <w:p w14:paraId="71D4291C" w14:textId="77777777" w:rsidR="006A3667" w:rsidRDefault="006A3667">
            <w:pPr>
              <w:rPr>
                <w:rFonts w:ascii="宋体"/>
                <w:vanish/>
              </w:rPr>
            </w:pPr>
          </w:p>
        </w:tc>
        <w:tc>
          <w:tcPr>
            <w:tcW w:w="0" w:type="auto"/>
            <w:gridSpan w:val="3"/>
            <w:shd w:val="clear" w:color="auto" w:fill="auto"/>
            <w:vAlign w:val="bottom"/>
          </w:tcPr>
          <w:p w14:paraId="71D4291D" w14:textId="77777777" w:rsidR="006A3667" w:rsidRDefault="006A3667">
            <w:pPr>
              <w:rPr>
                <w:rFonts w:ascii="宋体"/>
                <w:vanish/>
              </w:rPr>
            </w:pPr>
          </w:p>
        </w:tc>
        <w:tc>
          <w:tcPr>
            <w:tcW w:w="0" w:type="auto"/>
            <w:gridSpan w:val="3"/>
            <w:shd w:val="clear" w:color="auto" w:fill="auto"/>
            <w:vAlign w:val="bottom"/>
          </w:tcPr>
          <w:p w14:paraId="71D4291E" w14:textId="77777777" w:rsidR="006A3667" w:rsidRDefault="006A3667">
            <w:pPr>
              <w:rPr>
                <w:rFonts w:ascii="宋体"/>
                <w:vanish/>
              </w:rPr>
            </w:pPr>
          </w:p>
        </w:tc>
        <w:tc>
          <w:tcPr>
            <w:tcW w:w="0" w:type="auto"/>
            <w:gridSpan w:val="3"/>
            <w:shd w:val="clear" w:color="auto" w:fill="auto"/>
            <w:vAlign w:val="bottom"/>
          </w:tcPr>
          <w:p w14:paraId="71D4291F" w14:textId="77777777" w:rsidR="006A3667" w:rsidRDefault="006A3667">
            <w:pPr>
              <w:rPr>
                <w:rFonts w:ascii="宋体"/>
                <w:vanish/>
              </w:rPr>
            </w:pPr>
          </w:p>
        </w:tc>
        <w:tc>
          <w:tcPr>
            <w:tcW w:w="0" w:type="auto"/>
            <w:gridSpan w:val="3"/>
            <w:shd w:val="clear" w:color="auto" w:fill="auto"/>
            <w:vAlign w:val="bottom"/>
          </w:tcPr>
          <w:p w14:paraId="71D42920" w14:textId="77777777" w:rsidR="006A3667" w:rsidRDefault="006A3667">
            <w:pPr>
              <w:rPr>
                <w:rFonts w:ascii="宋体"/>
                <w:vanish/>
              </w:rPr>
            </w:pPr>
          </w:p>
        </w:tc>
        <w:tc>
          <w:tcPr>
            <w:tcW w:w="0" w:type="auto"/>
            <w:gridSpan w:val="3"/>
            <w:shd w:val="clear" w:color="auto" w:fill="auto"/>
            <w:vAlign w:val="bottom"/>
          </w:tcPr>
          <w:p w14:paraId="71D42921" w14:textId="77777777" w:rsidR="006A3667" w:rsidRDefault="006A3667">
            <w:pPr>
              <w:rPr>
                <w:rFonts w:ascii="宋体"/>
                <w:vanish/>
              </w:rPr>
            </w:pPr>
          </w:p>
        </w:tc>
        <w:tc>
          <w:tcPr>
            <w:tcW w:w="0" w:type="auto"/>
            <w:gridSpan w:val="3"/>
            <w:shd w:val="clear" w:color="auto" w:fill="auto"/>
            <w:vAlign w:val="bottom"/>
          </w:tcPr>
          <w:p w14:paraId="71D42922" w14:textId="77777777" w:rsidR="006A3667" w:rsidRDefault="006A3667">
            <w:pPr>
              <w:rPr>
                <w:rFonts w:ascii="宋体"/>
                <w:vanish/>
              </w:rPr>
            </w:pPr>
          </w:p>
        </w:tc>
        <w:tc>
          <w:tcPr>
            <w:tcW w:w="0" w:type="auto"/>
            <w:gridSpan w:val="3"/>
            <w:shd w:val="clear" w:color="auto" w:fill="auto"/>
            <w:vAlign w:val="bottom"/>
          </w:tcPr>
          <w:p w14:paraId="71D42923" w14:textId="77777777" w:rsidR="006A3667" w:rsidRDefault="006A3667">
            <w:pPr>
              <w:rPr>
                <w:rFonts w:ascii="宋体"/>
                <w:vanish/>
              </w:rPr>
            </w:pPr>
          </w:p>
        </w:tc>
      </w:tr>
      <w:tr w:rsidR="006A3667" w14:paraId="71D42937" w14:textId="77777777">
        <w:trPr>
          <w:jc w:val="center"/>
          <w:hidden/>
        </w:trPr>
        <w:tc>
          <w:tcPr>
            <w:tcW w:w="0" w:type="auto"/>
            <w:gridSpan w:val="3"/>
            <w:shd w:val="clear" w:color="auto" w:fill="auto"/>
            <w:vAlign w:val="bottom"/>
          </w:tcPr>
          <w:p w14:paraId="71D42925" w14:textId="77777777" w:rsidR="006A3667" w:rsidRDefault="006A3667">
            <w:pPr>
              <w:rPr>
                <w:rFonts w:ascii="宋体"/>
                <w:vanish/>
              </w:rPr>
            </w:pPr>
          </w:p>
        </w:tc>
        <w:tc>
          <w:tcPr>
            <w:tcW w:w="0" w:type="auto"/>
            <w:gridSpan w:val="3"/>
            <w:shd w:val="clear" w:color="auto" w:fill="auto"/>
            <w:vAlign w:val="bottom"/>
          </w:tcPr>
          <w:p w14:paraId="71D42926" w14:textId="77777777" w:rsidR="006A3667" w:rsidRDefault="006A3667">
            <w:pPr>
              <w:rPr>
                <w:rFonts w:ascii="宋体"/>
                <w:vanish/>
              </w:rPr>
            </w:pPr>
          </w:p>
        </w:tc>
        <w:tc>
          <w:tcPr>
            <w:tcW w:w="0" w:type="auto"/>
            <w:gridSpan w:val="3"/>
            <w:shd w:val="clear" w:color="auto" w:fill="auto"/>
            <w:vAlign w:val="bottom"/>
          </w:tcPr>
          <w:p w14:paraId="71D42927" w14:textId="77777777" w:rsidR="006A3667" w:rsidRDefault="006A3667">
            <w:pPr>
              <w:rPr>
                <w:rFonts w:ascii="宋体"/>
                <w:vanish/>
              </w:rPr>
            </w:pPr>
          </w:p>
        </w:tc>
        <w:tc>
          <w:tcPr>
            <w:tcW w:w="0" w:type="auto"/>
            <w:gridSpan w:val="3"/>
            <w:shd w:val="clear" w:color="auto" w:fill="auto"/>
            <w:vAlign w:val="bottom"/>
          </w:tcPr>
          <w:p w14:paraId="71D42928" w14:textId="77777777" w:rsidR="006A3667" w:rsidRDefault="006A3667">
            <w:pPr>
              <w:rPr>
                <w:rFonts w:ascii="宋体"/>
                <w:vanish/>
              </w:rPr>
            </w:pPr>
          </w:p>
        </w:tc>
        <w:tc>
          <w:tcPr>
            <w:tcW w:w="0" w:type="auto"/>
            <w:gridSpan w:val="3"/>
            <w:shd w:val="clear" w:color="auto" w:fill="auto"/>
            <w:vAlign w:val="bottom"/>
          </w:tcPr>
          <w:p w14:paraId="71D42929" w14:textId="77777777" w:rsidR="006A3667" w:rsidRDefault="006A3667">
            <w:pPr>
              <w:rPr>
                <w:rFonts w:ascii="宋体"/>
                <w:vanish/>
              </w:rPr>
            </w:pPr>
          </w:p>
        </w:tc>
        <w:tc>
          <w:tcPr>
            <w:tcW w:w="0" w:type="auto"/>
            <w:gridSpan w:val="3"/>
            <w:shd w:val="clear" w:color="auto" w:fill="auto"/>
            <w:vAlign w:val="bottom"/>
          </w:tcPr>
          <w:p w14:paraId="71D4292A" w14:textId="77777777" w:rsidR="006A3667" w:rsidRDefault="006A3667">
            <w:pPr>
              <w:rPr>
                <w:rFonts w:ascii="宋体"/>
                <w:vanish/>
              </w:rPr>
            </w:pPr>
          </w:p>
        </w:tc>
        <w:tc>
          <w:tcPr>
            <w:tcW w:w="0" w:type="auto"/>
            <w:gridSpan w:val="3"/>
            <w:shd w:val="clear" w:color="auto" w:fill="auto"/>
            <w:vAlign w:val="bottom"/>
          </w:tcPr>
          <w:p w14:paraId="71D4292B" w14:textId="77777777" w:rsidR="006A3667" w:rsidRDefault="006A3667">
            <w:pPr>
              <w:rPr>
                <w:rFonts w:ascii="宋体"/>
                <w:vanish/>
              </w:rPr>
            </w:pPr>
          </w:p>
        </w:tc>
        <w:tc>
          <w:tcPr>
            <w:tcW w:w="0" w:type="auto"/>
            <w:gridSpan w:val="3"/>
            <w:shd w:val="clear" w:color="auto" w:fill="auto"/>
            <w:vAlign w:val="bottom"/>
          </w:tcPr>
          <w:p w14:paraId="71D4292C" w14:textId="77777777" w:rsidR="006A3667" w:rsidRDefault="006A3667">
            <w:pPr>
              <w:rPr>
                <w:rFonts w:ascii="宋体"/>
                <w:vanish/>
              </w:rPr>
            </w:pPr>
          </w:p>
        </w:tc>
        <w:tc>
          <w:tcPr>
            <w:tcW w:w="0" w:type="auto"/>
            <w:gridSpan w:val="3"/>
            <w:shd w:val="clear" w:color="auto" w:fill="auto"/>
            <w:vAlign w:val="bottom"/>
          </w:tcPr>
          <w:p w14:paraId="71D4292D" w14:textId="77777777" w:rsidR="006A3667" w:rsidRDefault="006A3667">
            <w:pPr>
              <w:rPr>
                <w:rFonts w:ascii="宋体"/>
                <w:vanish/>
              </w:rPr>
            </w:pPr>
          </w:p>
        </w:tc>
        <w:tc>
          <w:tcPr>
            <w:tcW w:w="0" w:type="auto"/>
            <w:gridSpan w:val="3"/>
            <w:shd w:val="clear" w:color="auto" w:fill="auto"/>
            <w:vAlign w:val="bottom"/>
          </w:tcPr>
          <w:p w14:paraId="71D4292E" w14:textId="77777777" w:rsidR="006A3667" w:rsidRDefault="006A3667">
            <w:pPr>
              <w:rPr>
                <w:rFonts w:ascii="宋体"/>
                <w:vanish/>
              </w:rPr>
            </w:pPr>
          </w:p>
        </w:tc>
        <w:tc>
          <w:tcPr>
            <w:tcW w:w="0" w:type="auto"/>
            <w:gridSpan w:val="3"/>
            <w:shd w:val="clear" w:color="auto" w:fill="auto"/>
            <w:vAlign w:val="bottom"/>
          </w:tcPr>
          <w:p w14:paraId="71D4292F" w14:textId="77777777" w:rsidR="006A3667" w:rsidRDefault="006A3667">
            <w:pPr>
              <w:rPr>
                <w:rFonts w:ascii="宋体"/>
                <w:vanish/>
              </w:rPr>
            </w:pPr>
          </w:p>
        </w:tc>
        <w:tc>
          <w:tcPr>
            <w:tcW w:w="0" w:type="auto"/>
            <w:gridSpan w:val="3"/>
            <w:shd w:val="clear" w:color="auto" w:fill="auto"/>
            <w:vAlign w:val="bottom"/>
          </w:tcPr>
          <w:p w14:paraId="71D42930" w14:textId="77777777" w:rsidR="006A3667" w:rsidRDefault="006A3667">
            <w:pPr>
              <w:rPr>
                <w:rFonts w:ascii="宋体"/>
                <w:vanish/>
              </w:rPr>
            </w:pPr>
          </w:p>
        </w:tc>
        <w:tc>
          <w:tcPr>
            <w:tcW w:w="0" w:type="auto"/>
            <w:gridSpan w:val="3"/>
            <w:shd w:val="clear" w:color="auto" w:fill="auto"/>
            <w:vAlign w:val="bottom"/>
          </w:tcPr>
          <w:p w14:paraId="71D42931" w14:textId="77777777" w:rsidR="006A3667" w:rsidRDefault="006A3667">
            <w:pPr>
              <w:rPr>
                <w:rFonts w:ascii="宋体"/>
                <w:vanish/>
              </w:rPr>
            </w:pPr>
          </w:p>
        </w:tc>
        <w:tc>
          <w:tcPr>
            <w:tcW w:w="0" w:type="auto"/>
            <w:gridSpan w:val="3"/>
            <w:shd w:val="clear" w:color="auto" w:fill="auto"/>
            <w:vAlign w:val="bottom"/>
          </w:tcPr>
          <w:p w14:paraId="71D42932" w14:textId="77777777" w:rsidR="006A3667" w:rsidRDefault="006A3667">
            <w:pPr>
              <w:rPr>
                <w:rFonts w:ascii="宋体"/>
                <w:vanish/>
              </w:rPr>
            </w:pPr>
          </w:p>
        </w:tc>
        <w:tc>
          <w:tcPr>
            <w:tcW w:w="0" w:type="auto"/>
            <w:gridSpan w:val="3"/>
            <w:shd w:val="clear" w:color="auto" w:fill="auto"/>
            <w:vAlign w:val="bottom"/>
          </w:tcPr>
          <w:p w14:paraId="71D42933" w14:textId="77777777" w:rsidR="006A3667" w:rsidRDefault="006A3667">
            <w:pPr>
              <w:rPr>
                <w:rFonts w:ascii="宋体"/>
                <w:vanish/>
              </w:rPr>
            </w:pPr>
          </w:p>
        </w:tc>
        <w:tc>
          <w:tcPr>
            <w:tcW w:w="0" w:type="auto"/>
            <w:gridSpan w:val="3"/>
            <w:shd w:val="clear" w:color="auto" w:fill="auto"/>
            <w:vAlign w:val="bottom"/>
          </w:tcPr>
          <w:p w14:paraId="71D42934" w14:textId="77777777" w:rsidR="006A3667" w:rsidRDefault="006A3667">
            <w:pPr>
              <w:rPr>
                <w:rFonts w:ascii="宋体"/>
                <w:vanish/>
              </w:rPr>
            </w:pPr>
          </w:p>
        </w:tc>
        <w:tc>
          <w:tcPr>
            <w:tcW w:w="0" w:type="auto"/>
            <w:gridSpan w:val="3"/>
            <w:shd w:val="clear" w:color="auto" w:fill="auto"/>
            <w:vAlign w:val="bottom"/>
          </w:tcPr>
          <w:p w14:paraId="71D42935" w14:textId="77777777" w:rsidR="006A3667" w:rsidRDefault="006A3667">
            <w:pPr>
              <w:rPr>
                <w:rFonts w:ascii="宋体"/>
                <w:vanish/>
              </w:rPr>
            </w:pPr>
          </w:p>
        </w:tc>
        <w:tc>
          <w:tcPr>
            <w:tcW w:w="0" w:type="auto"/>
            <w:gridSpan w:val="3"/>
            <w:shd w:val="clear" w:color="auto" w:fill="auto"/>
            <w:vAlign w:val="bottom"/>
          </w:tcPr>
          <w:p w14:paraId="71D42936" w14:textId="77777777" w:rsidR="006A3667" w:rsidRDefault="006A3667">
            <w:pPr>
              <w:rPr>
                <w:rFonts w:ascii="宋体"/>
                <w:vanish/>
              </w:rPr>
            </w:pPr>
          </w:p>
        </w:tc>
      </w:tr>
      <w:tr w:rsidR="006A3667" w14:paraId="71D4294A" w14:textId="77777777">
        <w:trPr>
          <w:jc w:val="center"/>
          <w:hidden/>
        </w:trPr>
        <w:tc>
          <w:tcPr>
            <w:tcW w:w="0" w:type="auto"/>
            <w:gridSpan w:val="3"/>
            <w:shd w:val="clear" w:color="auto" w:fill="auto"/>
            <w:vAlign w:val="bottom"/>
          </w:tcPr>
          <w:p w14:paraId="71D42938" w14:textId="77777777" w:rsidR="006A3667" w:rsidRDefault="006A3667">
            <w:pPr>
              <w:rPr>
                <w:rFonts w:ascii="宋体"/>
                <w:vanish/>
              </w:rPr>
            </w:pPr>
          </w:p>
        </w:tc>
        <w:tc>
          <w:tcPr>
            <w:tcW w:w="0" w:type="auto"/>
            <w:gridSpan w:val="3"/>
            <w:shd w:val="clear" w:color="auto" w:fill="auto"/>
            <w:vAlign w:val="bottom"/>
          </w:tcPr>
          <w:p w14:paraId="71D42939" w14:textId="77777777" w:rsidR="006A3667" w:rsidRDefault="006A3667">
            <w:pPr>
              <w:rPr>
                <w:rFonts w:ascii="宋体"/>
                <w:vanish/>
              </w:rPr>
            </w:pPr>
          </w:p>
        </w:tc>
        <w:tc>
          <w:tcPr>
            <w:tcW w:w="0" w:type="auto"/>
            <w:gridSpan w:val="3"/>
            <w:shd w:val="clear" w:color="auto" w:fill="auto"/>
            <w:vAlign w:val="bottom"/>
          </w:tcPr>
          <w:p w14:paraId="71D4293A" w14:textId="77777777" w:rsidR="006A3667" w:rsidRDefault="006A3667">
            <w:pPr>
              <w:rPr>
                <w:rFonts w:ascii="宋体"/>
                <w:vanish/>
              </w:rPr>
            </w:pPr>
          </w:p>
        </w:tc>
        <w:tc>
          <w:tcPr>
            <w:tcW w:w="0" w:type="auto"/>
            <w:gridSpan w:val="3"/>
            <w:shd w:val="clear" w:color="auto" w:fill="auto"/>
            <w:vAlign w:val="bottom"/>
          </w:tcPr>
          <w:p w14:paraId="71D4293B" w14:textId="77777777" w:rsidR="006A3667" w:rsidRDefault="006A3667">
            <w:pPr>
              <w:rPr>
                <w:rFonts w:ascii="宋体"/>
                <w:vanish/>
              </w:rPr>
            </w:pPr>
          </w:p>
        </w:tc>
        <w:tc>
          <w:tcPr>
            <w:tcW w:w="0" w:type="auto"/>
            <w:gridSpan w:val="3"/>
            <w:shd w:val="clear" w:color="auto" w:fill="auto"/>
            <w:vAlign w:val="bottom"/>
          </w:tcPr>
          <w:p w14:paraId="71D4293C" w14:textId="77777777" w:rsidR="006A3667" w:rsidRDefault="006A3667">
            <w:pPr>
              <w:rPr>
                <w:rFonts w:ascii="宋体"/>
                <w:vanish/>
              </w:rPr>
            </w:pPr>
          </w:p>
        </w:tc>
        <w:tc>
          <w:tcPr>
            <w:tcW w:w="0" w:type="auto"/>
            <w:gridSpan w:val="3"/>
            <w:shd w:val="clear" w:color="auto" w:fill="auto"/>
            <w:vAlign w:val="bottom"/>
          </w:tcPr>
          <w:p w14:paraId="71D4293D" w14:textId="77777777" w:rsidR="006A3667" w:rsidRDefault="006A3667">
            <w:pPr>
              <w:rPr>
                <w:rFonts w:ascii="宋体"/>
                <w:vanish/>
              </w:rPr>
            </w:pPr>
          </w:p>
        </w:tc>
        <w:tc>
          <w:tcPr>
            <w:tcW w:w="0" w:type="auto"/>
            <w:gridSpan w:val="3"/>
            <w:shd w:val="clear" w:color="auto" w:fill="auto"/>
            <w:vAlign w:val="bottom"/>
          </w:tcPr>
          <w:p w14:paraId="71D4293E" w14:textId="77777777" w:rsidR="006A3667" w:rsidRDefault="006A3667">
            <w:pPr>
              <w:rPr>
                <w:rFonts w:ascii="宋体"/>
                <w:vanish/>
              </w:rPr>
            </w:pPr>
          </w:p>
        </w:tc>
        <w:tc>
          <w:tcPr>
            <w:tcW w:w="0" w:type="auto"/>
            <w:gridSpan w:val="3"/>
            <w:shd w:val="clear" w:color="auto" w:fill="auto"/>
            <w:vAlign w:val="bottom"/>
          </w:tcPr>
          <w:p w14:paraId="71D4293F" w14:textId="77777777" w:rsidR="006A3667" w:rsidRDefault="006A3667">
            <w:pPr>
              <w:rPr>
                <w:rFonts w:ascii="宋体"/>
                <w:vanish/>
              </w:rPr>
            </w:pPr>
          </w:p>
        </w:tc>
        <w:tc>
          <w:tcPr>
            <w:tcW w:w="0" w:type="auto"/>
            <w:gridSpan w:val="3"/>
            <w:shd w:val="clear" w:color="auto" w:fill="auto"/>
            <w:vAlign w:val="bottom"/>
          </w:tcPr>
          <w:p w14:paraId="71D42940" w14:textId="77777777" w:rsidR="006A3667" w:rsidRDefault="006A3667">
            <w:pPr>
              <w:rPr>
                <w:rFonts w:ascii="宋体"/>
                <w:vanish/>
              </w:rPr>
            </w:pPr>
          </w:p>
        </w:tc>
        <w:tc>
          <w:tcPr>
            <w:tcW w:w="0" w:type="auto"/>
            <w:gridSpan w:val="3"/>
            <w:shd w:val="clear" w:color="auto" w:fill="auto"/>
            <w:vAlign w:val="bottom"/>
          </w:tcPr>
          <w:p w14:paraId="71D42941" w14:textId="77777777" w:rsidR="006A3667" w:rsidRDefault="006A3667">
            <w:pPr>
              <w:rPr>
                <w:rFonts w:ascii="宋体"/>
                <w:vanish/>
              </w:rPr>
            </w:pPr>
          </w:p>
        </w:tc>
        <w:tc>
          <w:tcPr>
            <w:tcW w:w="0" w:type="auto"/>
            <w:gridSpan w:val="3"/>
            <w:shd w:val="clear" w:color="auto" w:fill="auto"/>
            <w:vAlign w:val="bottom"/>
          </w:tcPr>
          <w:p w14:paraId="71D42942" w14:textId="77777777" w:rsidR="006A3667" w:rsidRDefault="006A3667">
            <w:pPr>
              <w:rPr>
                <w:rFonts w:ascii="宋体"/>
                <w:vanish/>
              </w:rPr>
            </w:pPr>
          </w:p>
        </w:tc>
        <w:tc>
          <w:tcPr>
            <w:tcW w:w="0" w:type="auto"/>
            <w:gridSpan w:val="3"/>
            <w:shd w:val="clear" w:color="auto" w:fill="auto"/>
            <w:vAlign w:val="bottom"/>
          </w:tcPr>
          <w:p w14:paraId="71D42943" w14:textId="77777777" w:rsidR="006A3667" w:rsidRDefault="006A3667">
            <w:pPr>
              <w:rPr>
                <w:rFonts w:ascii="宋体"/>
                <w:vanish/>
              </w:rPr>
            </w:pPr>
          </w:p>
        </w:tc>
        <w:tc>
          <w:tcPr>
            <w:tcW w:w="0" w:type="auto"/>
            <w:gridSpan w:val="3"/>
            <w:shd w:val="clear" w:color="auto" w:fill="auto"/>
            <w:vAlign w:val="bottom"/>
          </w:tcPr>
          <w:p w14:paraId="71D42944" w14:textId="77777777" w:rsidR="006A3667" w:rsidRDefault="006A3667">
            <w:pPr>
              <w:rPr>
                <w:rFonts w:ascii="宋体"/>
                <w:vanish/>
              </w:rPr>
            </w:pPr>
          </w:p>
        </w:tc>
        <w:tc>
          <w:tcPr>
            <w:tcW w:w="0" w:type="auto"/>
            <w:gridSpan w:val="3"/>
            <w:shd w:val="clear" w:color="auto" w:fill="auto"/>
            <w:vAlign w:val="bottom"/>
          </w:tcPr>
          <w:p w14:paraId="71D42945" w14:textId="77777777" w:rsidR="006A3667" w:rsidRDefault="006A3667">
            <w:pPr>
              <w:rPr>
                <w:rFonts w:ascii="宋体"/>
                <w:vanish/>
              </w:rPr>
            </w:pPr>
          </w:p>
        </w:tc>
        <w:tc>
          <w:tcPr>
            <w:tcW w:w="0" w:type="auto"/>
            <w:gridSpan w:val="3"/>
            <w:shd w:val="clear" w:color="auto" w:fill="auto"/>
            <w:vAlign w:val="bottom"/>
          </w:tcPr>
          <w:p w14:paraId="71D42946" w14:textId="77777777" w:rsidR="006A3667" w:rsidRDefault="006A3667">
            <w:pPr>
              <w:rPr>
                <w:rFonts w:ascii="宋体"/>
                <w:vanish/>
              </w:rPr>
            </w:pPr>
          </w:p>
        </w:tc>
        <w:tc>
          <w:tcPr>
            <w:tcW w:w="0" w:type="auto"/>
            <w:gridSpan w:val="3"/>
            <w:shd w:val="clear" w:color="auto" w:fill="auto"/>
            <w:vAlign w:val="bottom"/>
          </w:tcPr>
          <w:p w14:paraId="71D42947" w14:textId="77777777" w:rsidR="006A3667" w:rsidRDefault="006A3667">
            <w:pPr>
              <w:rPr>
                <w:rFonts w:ascii="宋体"/>
                <w:vanish/>
              </w:rPr>
            </w:pPr>
          </w:p>
        </w:tc>
        <w:tc>
          <w:tcPr>
            <w:tcW w:w="0" w:type="auto"/>
            <w:gridSpan w:val="3"/>
            <w:shd w:val="clear" w:color="auto" w:fill="auto"/>
            <w:vAlign w:val="bottom"/>
          </w:tcPr>
          <w:p w14:paraId="71D42948" w14:textId="77777777" w:rsidR="006A3667" w:rsidRDefault="006A3667">
            <w:pPr>
              <w:rPr>
                <w:rFonts w:ascii="宋体"/>
                <w:vanish/>
              </w:rPr>
            </w:pPr>
          </w:p>
        </w:tc>
        <w:tc>
          <w:tcPr>
            <w:tcW w:w="0" w:type="auto"/>
            <w:gridSpan w:val="3"/>
            <w:shd w:val="clear" w:color="auto" w:fill="auto"/>
            <w:vAlign w:val="bottom"/>
          </w:tcPr>
          <w:p w14:paraId="71D42949" w14:textId="77777777" w:rsidR="006A3667" w:rsidRDefault="006A3667">
            <w:pPr>
              <w:rPr>
                <w:rFonts w:ascii="宋体"/>
                <w:vanish/>
              </w:rPr>
            </w:pPr>
          </w:p>
        </w:tc>
      </w:tr>
      <w:tr w:rsidR="006A3667" w14:paraId="71D4295D" w14:textId="77777777">
        <w:trPr>
          <w:jc w:val="center"/>
          <w:hidden/>
        </w:trPr>
        <w:tc>
          <w:tcPr>
            <w:tcW w:w="0" w:type="auto"/>
            <w:gridSpan w:val="3"/>
            <w:shd w:val="clear" w:color="auto" w:fill="auto"/>
            <w:vAlign w:val="bottom"/>
          </w:tcPr>
          <w:p w14:paraId="71D4294B" w14:textId="77777777" w:rsidR="006A3667" w:rsidRDefault="006A3667">
            <w:pPr>
              <w:rPr>
                <w:rFonts w:ascii="宋体"/>
                <w:vanish/>
              </w:rPr>
            </w:pPr>
          </w:p>
        </w:tc>
        <w:tc>
          <w:tcPr>
            <w:tcW w:w="0" w:type="auto"/>
            <w:gridSpan w:val="3"/>
            <w:shd w:val="clear" w:color="auto" w:fill="auto"/>
            <w:vAlign w:val="bottom"/>
          </w:tcPr>
          <w:p w14:paraId="71D4294C" w14:textId="77777777" w:rsidR="006A3667" w:rsidRDefault="006A3667">
            <w:pPr>
              <w:rPr>
                <w:rFonts w:ascii="宋体"/>
                <w:vanish/>
              </w:rPr>
            </w:pPr>
          </w:p>
        </w:tc>
        <w:tc>
          <w:tcPr>
            <w:tcW w:w="0" w:type="auto"/>
            <w:gridSpan w:val="3"/>
            <w:shd w:val="clear" w:color="auto" w:fill="auto"/>
            <w:vAlign w:val="bottom"/>
          </w:tcPr>
          <w:p w14:paraId="71D4294D" w14:textId="77777777" w:rsidR="006A3667" w:rsidRDefault="006A3667">
            <w:pPr>
              <w:rPr>
                <w:rFonts w:ascii="宋体"/>
                <w:vanish/>
              </w:rPr>
            </w:pPr>
          </w:p>
        </w:tc>
        <w:tc>
          <w:tcPr>
            <w:tcW w:w="0" w:type="auto"/>
            <w:gridSpan w:val="3"/>
            <w:shd w:val="clear" w:color="auto" w:fill="auto"/>
            <w:vAlign w:val="bottom"/>
          </w:tcPr>
          <w:p w14:paraId="71D4294E" w14:textId="77777777" w:rsidR="006A3667" w:rsidRDefault="006A3667">
            <w:pPr>
              <w:rPr>
                <w:rFonts w:ascii="宋体"/>
                <w:vanish/>
              </w:rPr>
            </w:pPr>
          </w:p>
        </w:tc>
        <w:tc>
          <w:tcPr>
            <w:tcW w:w="0" w:type="auto"/>
            <w:gridSpan w:val="3"/>
            <w:shd w:val="clear" w:color="auto" w:fill="auto"/>
            <w:vAlign w:val="bottom"/>
          </w:tcPr>
          <w:p w14:paraId="71D4294F" w14:textId="77777777" w:rsidR="006A3667" w:rsidRDefault="006A3667">
            <w:pPr>
              <w:rPr>
                <w:rFonts w:ascii="宋体"/>
                <w:vanish/>
              </w:rPr>
            </w:pPr>
          </w:p>
        </w:tc>
        <w:tc>
          <w:tcPr>
            <w:tcW w:w="0" w:type="auto"/>
            <w:gridSpan w:val="3"/>
            <w:shd w:val="clear" w:color="auto" w:fill="auto"/>
            <w:vAlign w:val="bottom"/>
          </w:tcPr>
          <w:p w14:paraId="71D42950" w14:textId="77777777" w:rsidR="006A3667" w:rsidRDefault="006A3667">
            <w:pPr>
              <w:rPr>
                <w:rFonts w:ascii="宋体"/>
                <w:vanish/>
              </w:rPr>
            </w:pPr>
          </w:p>
        </w:tc>
        <w:tc>
          <w:tcPr>
            <w:tcW w:w="0" w:type="auto"/>
            <w:gridSpan w:val="3"/>
            <w:shd w:val="clear" w:color="auto" w:fill="auto"/>
            <w:vAlign w:val="bottom"/>
          </w:tcPr>
          <w:p w14:paraId="71D42951" w14:textId="77777777" w:rsidR="006A3667" w:rsidRDefault="006A3667">
            <w:pPr>
              <w:rPr>
                <w:rFonts w:ascii="宋体"/>
                <w:vanish/>
              </w:rPr>
            </w:pPr>
          </w:p>
        </w:tc>
        <w:tc>
          <w:tcPr>
            <w:tcW w:w="0" w:type="auto"/>
            <w:gridSpan w:val="3"/>
            <w:shd w:val="clear" w:color="auto" w:fill="auto"/>
            <w:vAlign w:val="bottom"/>
          </w:tcPr>
          <w:p w14:paraId="71D42952" w14:textId="77777777" w:rsidR="006A3667" w:rsidRDefault="006A3667">
            <w:pPr>
              <w:rPr>
                <w:rFonts w:ascii="宋体"/>
                <w:vanish/>
              </w:rPr>
            </w:pPr>
          </w:p>
        </w:tc>
        <w:tc>
          <w:tcPr>
            <w:tcW w:w="0" w:type="auto"/>
            <w:gridSpan w:val="3"/>
            <w:shd w:val="clear" w:color="auto" w:fill="auto"/>
            <w:vAlign w:val="bottom"/>
          </w:tcPr>
          <w:p w14:paraId="71D42953" w14:textId="77777777" w:rsidR="006A3667" w:rsidRDefault="006A3667">
            <w:pPr>
              <w:rPr>
                <w:rFonts w:ascii="宋体"/>
                <w:vanish/>
              </w:rPr>
            </w:pPr>
          </w:p>
        </w:tc>
        <w:tc>
          <w:tcPr>
            <w:tcW w:w="0" w:type="auto"/>
            <w:gridSpan w:val="3"/>
            <w:shd w:val="clear" w:color="auto" w:fill="auto"/>
            <w:vAlign w:val="bottom"/>
          </w:tcPr>
          <w:p w14:paraId="71D42954" w14:textId="77777777" w:rsidR="006A3667" w:rsidRDefault="006A3667">
            <w:pPr>
              <w:rPr>
                <w:rFonts w:ascii="宋体"/>
                <w:vanish/>
              </w:rPr>
            </w:pPr>
          </w:p>
        </w:tc>
        <w:tc>
          <w:tcPr>
            <w:tcW w:w="0" w:type="auto"/>
            <w:gridSpan w:val="3"/>
            <w:shd w:val="clear" w:color="auto" w:fill="auto"/>
            <w:vAlign w:val="bottom"/>
          </w:tcPr>
          <w:p w14:paraId="71D42955" w14:textId="77777777" w:rsidR="006A3667" w:rsidRDefault="006A3667">
            <w:pPr>
              <w:rPr>
                <w:rFonts w:ascii="宋体"/>
                <w:vanish/>
              </w:rPr>
            </w:pPr>
          </w:p>
        </w:tc>
        <w:tc>
          <w:tcPr>
            <w:tcW w:w="0" w:type="auto"/>
            <w:gridSpan w:val="3"/>
            <w:shd w:val="clear" w:color="auto" w:fill="auto"/>
            <w:vAlign w:val="bottom"/>
          </w:tcPr>
          <w:p w14:paraId="71D42956" w14:textId="77777777" w:rsidR="006A3667" w:rsidRDefault="006A3667">
            <w:pPr>
              <w:rPr>
                <w:rFonts w:ascii="宋体"/>
                <w:vanish/>
              </w:rPr>
            </w:pPr>
          </w:p>
        </w:tc>
        <w:tc>
          <w:tcPr>
            <w:tcW w:w="0" w:type="auto"/>
            <w:gridSpan w:val="3"/>
            <w:shd w:val="clear" w:color="auto" w:fill="auto"/>
            <w:vAlign w:val="bottom"/>
          </w:tcPr>
          <w:p w14:paraId="71D42957" w14:textId="77777777" w:rsidR="006A3667" w:rsidRDefault="006A3667">
            <w:pPr>
              <w:rPr>
                <w:rFonts w:ascii="宋体"/>
                <w:vanish/>
              </w:rPr>
            </w:pPr>
          </w:p>
        </w:tc>
        <w:tc>
          <w:tcPr>
            <w:tcW w:w="0" w:type="auto"/>
            <w:gridSpan w:val="3"/>
            <w:shd w:val="clear" w:color="auto" w:fill="auto"/>
            <w:vAlign w:val="bottom"/>
          </w:tcPr>
          <w:p w14:paraId="71D42958" w14:textId="77777777" w:rsidR="006A3667" w:rsidRDefault="006A3667">
            <w:pPr>
              <w:rPr>
                <w:rFonts w:ascii="宋体"/>
                <w:vanish/>
              </w:rPr>
            </w:pPr>
          </w:p>
        </w:tc>
        <w:tc>
          <w:tcPr>
            <w:tcW w:w="0" w:type="auto"/>
            <w:gridSpan w:val="3"/>
            <w:shd w:val="clear" w:color="auto" w:fill="auto"/>
            <w:vAlign w:val="bottom"/>
          </w:tcPr>
          <w:p w14:paraId="71D42959" w14:textId="77777777" w:rsidR="006A3667" w:rsidRDefault="006A3667">
            <w:pPr>
              <w:rPr>
                <w:rFonts w:ascii="宋体"/>
                <w:vanish/>
              </w:rPr>
            </w:pPr>
          </w:p>
        </w:tc>
        <w:tc>
          <w:tcPr>
            <w:tcW w:w="0" w:type="auto"/>
            <w:gridSpan w:val="3"/>
            <w:shd w:val="clear" w:color="auto" w:fill="auto"/>
            <w:vAlign w:val="bottom"/>
          </w:tcPr>
          <w:p w14:paraId="71D4295A" w14:textId="77777777" w:rsidR="006A3667" w:rsidRDefault="006A3667">
            <w:pPr>
              <w:rPr>
                <w:rFonts w:ascii="宋体"/>
                <w:vanish/>
              </w:rPr>
            </w:pPr>
          </w:p>
        </w:tc>
        <w:tc>
          <w:tcPr>
            <w:tcW w:w="0" w:type="auto"/>
            <w:gridSpan w:val="3"/>
            <w:shd w:val="clear" w:color="auto" w:fill="auto"/>
            <w:vAlign w:val="bottom"/>
          </w:tcPr>
          <w:p w14:paraId="71D4295B" w14:textId="77777777" w:rsidR="006A3667" w:rsidRDefault="006A3667">
            <w:pPr>
              <w:rPr>
                <w:rFonts w:ascii="宋体"/>
                <w:vanish/>
              </w:rPr>
            </w:pPr>
          </w:p>
        </w:tc>
        <w:tc>
          <w:tcPr>
            <w:tcW w:w="0" w:type="auto"/>
            <w:gridSpan w:val="3"/>
            <w:shd w:val="clear" w:color="auto" w:fill="auto"/>
            <w:vAlign w:val="bottom"/>
          </w:tcPr>
          <w:p w14:paraId="71D4295C" w14:textId="77777777" w:rsidR="006A3667" w:rsidRDefault="006A3667">
            <w:pPr>
              <w:rPr>
                <w:rFonts w:ascii="宋体"/>
                <w:vanish/>
              </w:rPr>
            </w:pPr>
          </w:p>
        </w:tc>
      </w:tr>
      <w:tr w:rsidR="006A3667" w14:paraId="71D42970" w14:textId="77777777">
        <w:trPr>
          <w:jc w:val="center"/>
          <w:hidden/>
        </w:trPr>
        <w:tc>
          <w:tcPr>
            <w:tcW w:w="0" w:type="auto"/>
            <w:gridSpan w:val="3"/>
            <w:shd w:val="clear" w:color="auto" w:fill="auto"/>
            <w:vAlign w:val="bottom"/>
          </w:tcPr>
          <w:p w14:paraId="71D4295E" w14:textId="77777777" w:rsidR="006A3667" w:rsidRDefault="006A3667">
            <w:pPr>
              <w:rPr>
                <w:rFonts w:ascii="宋体"/>
                <w:vanish/>
              </w:rPr>
            </w:pPr>
          </w:p>
        </w:tc>
        <w:tc>
          <w:tcPr>
            <w:tcW w:w="0" w:type="auto"/>
            <w:gridSpan w:val="3"/>
            <w:shd w:val="clear" w:color="auto" w:fill="auto"/>
            <w:vAlign w:val="bottom"/>
          </w:tcPr>
          <w:p w14:paraId="71D4295F" w14:textId="77777777" w:rsidR="006A3667" w:rsidRDefault="006A3667">
            <w:pPr>
              <w:rPr>
                <w:rFonts w:ascii="宋体"/>
                <w:vanish/>
              </w:rPr>
            </w:pPr>
          </w:p>
        </w:tc>
        <w:tc>
          <w:tcPr>
            <w:tcW w:w="0" w:type="auto"/>
            <w:gridSpan w:val="3"/>
            <w:shd w:val="clear" w:color="auto" w:fill="auto"/>
            <w:vAlign w:val="bottom"/>
          </w:tcPr>
          <w:p w14:paraId="71D42960" w14:textId="77777777" w:rsidR="006A3667" w:rsidRDefault="006A3667">
            <w:pPr>
              <w:rPr>
                <w:rFonts w:ascii="宋体"/>
                <w:vanish/>
              </w:rPr>
            </w:pPr>
          </w:p>
        </w:tc>
        <w:tc>
          <w:tcPr>
            <w:tcW w:w="0" w:type="auto"/>
            <w:gridSpan w:val="3"/>
            <w:shd w:val="clear" w:color="auto" w:fill="auto"/>
            <w:vAlign w:val="bottom"/>
          </w:tcPr>
          <w:p w14:paraId="71D42961" w14:textId="77777777" w:rsidR="006A3667" w:rsidRDefault="006A3667">
            <w:pPr>
              <w:rPr>
                <w:rFonts w:ascii="宋体"/>
                <w:vanish/>
              </w:rPr>
            </w:pPr>
          </w:p>
        </w:tc>
        <w:tc>
          <w:tcPr>
            <w:tcW w:w="0" w:type="auto"/>
            <w:gridSpan w:val="3"/>
            <w:shd w:val="clear" w:color="auto" w:fill="auto"/>
            <w:vAlign w:val="bottom"/>
          </w:tcPr>
          <w:p w14:paraId="71D42962" w14:textId="77777777" w:rsidR="006A3667" w:rsidRDefault="006A3667">
            <w:pPr>
              <w:rPr>
                <w:rFonts w:ascii="宋体"/>
                <w:vanish/>
              </w:rPr>
            </w:pPr>
          </w:p>
        </w:tc>
        <w:tc>
          <w:tcPr>
            <w:tcW w:w="0" w:type="auto"/>
            <w:gridSpan w:val="3"/>
            <w:shd w:val="clear" w:color="auto" w:fill="auto"/>
            <w:vAlign w:val="bottom"/>
          </w:tcPr>
          <w:p w14:paraId="71D42963" w14:textId="77777777" w:rsidR="006A3667" w:rsidRDefault="006A3667">
            <w:pPr>
              <w:rPr>
                <w:rFonts w:ascii="宋体"/>
                <w:vanish/>
              </w:rPr>
            </w:pPr>
          </w:p>
        </w:tc>
        <w:tc>
          <w:tcPr>
            <w:tcW w:w="0" w:type="auto"/>
            <w:gridSpan w:val="3"/>
            <w:shd w:val="clear" w:color="auto" w:fill="auto"/>
            <w:vAlign w:val="bottom"/>
          </w:tcPr>
          <w:p w14:paraId="71D42964" w14:textId="77777777" w:rsidR="006A3667" w:rsidRDefault="006A3667">
            <w:pPr>
              <w:rPr>
                <w:rFonts w:ascii="宋体"/>
                <w:vanish/>
              </w:rPr>
            </w:pPr>
          </w:p>
        </w:tc>
        <w:tc>
          <w:tcPr>
            <w:tcW w:w="0" w:type="auto"/>
            <w:gridSpan w:val="3"/>
            <w:shd w:val="clear" w:color="auto" w:fill="auto"/>
            <w:vAlign w:val="bottom"/>
          </w:tcPr>
          <w:p w14:paraId="71D42965" w14:textId="77777777" w:rsidR="006A3667" w:rsidRDefault="006A3667">
            <w:pPr>
              <w:rPr>
                <w:rFonts w:ascii="宋体"/>
                <w:vanish/>
              </w:rPr>
            </w:pPr>
          </w:p>
        </w:tc>
        <w:tc>
          <w:tcPr>
            <w:tcW w:w="0" w:type="auto"/>
            <w:gridSpan w:val="3"/>
            <w:shd w:val="clear" w:color="auto" w:fill="auto"/>
            <w:vAlign w:val="bottom"/>
          </w:tcPr>
          <w:p w14:paraId="71D42966" w14:textId="77777777" w:rsidR="006A3667" w:rsidRDefault="006A3667">
            <w:pPr>
              <w:rPr>
                <w:rFonts w:ascii="宋体"/>
                <w:vanish/>
              </w:rPr>
            </w:pPr>
          </w:p>
        </w:tc>
        <w:tc>
          <w:tcPr>
            <w:tcW w:w="0" w:type="auto"/>
            <w:gridSpan w:val="3"/>
            <w:shd w:val="clear" w:color="auto" w:fill="auto"/>
            <w:vAlign w:val="bottom"/>
          </w:tcPr>
          <w:p w14:paraId="71D42967" w14:textId="77777777" w:rsidR="006A3667" w:rsidRDefault="006A3667">
            <w:pPr>
              <w:rPr>
                <w:rFonts w:ascii="宋体"/>
                <w:vanish/>
              </w:rPr>
            </w:pPr>
          </w:p>
        </w:tc>
        <w:tc>
          <w:tcPr>
            <w:tcW w:w="0" w:type="auto"/>
            <w:gridSpan w:val="3"/>
            <w:shd w:val="clear" w:color="auto" w:fill="auto"/>
            <w:vAlign w:val="bottom"/>
          </w:tcPr>
          <w:p w14:paraId="71D42968" w14:textId="77777777" w:rsidR="006A3667" w:rsidRDefault="006A3667">
            <w:pPr>
              <w:rPr>
                <w:rFonts w:ascii="宋体"/>
                <w:vanish/>
              </w:rPr>
            </w:pPr>
          </w:p>
        </w:tc>
        <w:tc>
          <w:tcPr>
            <w:tcW w:w="0" w:type="auto"/>
            <w:gridSpan w:val="3"/>
            <w:shd w:val="clear" w:color="auto" w:fill="auto"/>
            <w:vAlign w:val="bottom"/>
          </w:tcPr>
          <w:p w14:paraId="71D42969" w14:textId="77777777" w:rsidR="006A3667" w:rsidRDefault="006A3667">
            <w:pPr>
              <w:rPr>
                <w:rFonts w:ascii="宋体"/>
                <w:vanish/>
              </w:rPr>
            </w:pPr>
          </w:p>
        </w:tc>
        <w:tc>
          <w:tcPr>
            <w:tcW w:w="0" w:type="auto"/>
            <w:gridSpan w:val="3"/>
            <w:shd w:val="clear" w:color="auto" w:fill="auto"/>
            <w:vAlign w:val="bottom"/>
          </w:tcPr>
          <w:p w14:paraId="71D4296A" w14:textId="77777777" w:rsidR="006A3667" w:rsidRDefault="006A3667">
            <w:pPr>
              <w:rPr>
                <w:rFonts w:ascii="宋体"/>
                <w:vanish/>
              </w:rPr>
            </w:pPr>
          </w:p>
        </w:tc>
        <w:tc>
          <w:tcPr>
            <w:tcW w:w="0" w:type="auto"/>
            <w:gridSpan w:val="3"/>
            <w:shd w:val="clear" w:color="auto" w:fill="auto"/>
            <w:vAlign w:val="bottom"/>
          </w:tcPr>
          <w:p w14:paraId="71D4296B" w14:textId="77777777" w:rsidR="006A3667" w:rsidRDefault="006A3667">
            <w:pPr>
              <w:rPr>
                <w:rFonts w:ascii="宋体"/>
                <w:vanish/>
              </w:rPr>
            </w:pPr>
          </w:p>
        </w:tc>
        <w:tc>
          <w:tcPr>
            <w:tcW w:w="0" w:type="auto"/>
            <w:gridSpan w:val="3"/>
            <w:shd w:val="clear" w:color="auto" w:fill="auto"/>
            <w:vAlign w:val="bottom"/>
          </w:tcPr>
          <w:p w14:paraId="71D4296C" w14:textId="77777777" w:rsidR="006A3667" w:rsidRDefault="006A3667">
            <w:pPr>
              <w:rPr>
                <w:rFonts w:ascii="宋体"/>
                <w:vanish/>
              </w:rPr>
            </w:pPr>
          </w:p>
        </w:tc>
        <w:tc>
          <w:tcPr>
            <w:tcW w:w="0" w:type="auto"/>
            <w:gridSpan w:val="3"/>
            <w:shd w:val="clear" w:color="auto" w:fill="auto"/>
            <w:vAlign w:val="bottom"/>
          </w:tcPr>
          <w:p w14:paraId="71D4296D" w14:textId="77777777" w:rsidR="006A3667" w:rsidRDefault="006A3667">
            <w:pPr>
              <w:rPr>
                <w:rFonts w:ascii="宋体"/>
                <w:vanish/>
              </w:rPr>
            </w:pPr>
          </w:p>
        </w:tc>
        <w:tc>
          <w:tcPr>
            <w:tcW w:w="0" w:type="auto"/>
            <w:gridSpan w:val="3"/>
            <w:shd w:val="clear" w:color="auto" w:fill="auto"/>
            <w:vAlign w:val="bottom"/>
          </w:tcPr>
          <w:p w14:paraId="71D4296E" w14:textId="77777777" w:rsidR="006A3667" w:rsidRDefault="006A3667">
            <w:pPr>
              <w:rPr>
                <w:rFonts w:ascii="宋体"/>
                <w:vanish/>
              </w:rPr>
            </w:pPr>
          </w:p>
        </w:tc>
        <w:tc>
          <w:tcPr>
            <w:tcW w:w="0" w:type="auto"/>
            <w:gridSpan w:val="3"/>
            <w:shd w:val="clear" w:color="auto" w:fill="auto"/>
            <w:vAlign w:val="bottom"/>
          </w:tcPr>
          <w:p w14:paraId="71D4296F" w14:textId="77777777" w:rsidR="006A3667" w:rsidRDefault="006A3667">
            <w:pPr>
              <w:rPr>
                <w:rFonts w:ascii="宋体"/>
                <w:vanish/>
              </w:rPr>
            </w:pPr>
          </w:p>
        </w:tc>
      </w:tr>
      <w:tr w:rsidR="006A3667" w14:paraId="71D42983" w14:textId="77777777">
        <w:trPr>
          <w:jc w:val="center"/>
          <w:hidden/>
        </w:trPr>
        <w:tc>
          <w:tcPr>
            <w:tcW w:w="0" w:type="auto"/>
            <w:gridSpan w:val="3"/>
            <w:shd w:val="clear" w:color="auto" w:fill="auto"/>
            <w:vAlign w:val="bottom"/>
          </w:tcPr>
          <w:p w14:paraId="71D42971" w14:textId="77777777" w:rsidR="006A3667" w:rsidRDefault="006A3667">
            <w:pPr>
              <w:rPr>
                <w:rFonts w:ascii="宋体"/>
                <w:vanish/>
              </w:rPr>
            </w:pPr>
          </w:p>
        </w:tc>
        <w:tc>
          <w:tcPr>
            <w:tcW w:w="0" w:type="auto"/>
            <w:gridSpan w:val="3"/>
            <w:shd w:val="clear" w:color="auto" w:fill="auto"/>
            <w:vAlign w:val="bottom"/>
          </w:tcPr>
          <w:p w14:paraId="71D42972" w14:textId="77777777" w:rsidR="006A3667" w:rsidRDefault="006A3667">
            <w:pPr>
              <w:rPr>
                <w:rFonts w:ascii="宋体"/>
                <w:vanish/>
              </w:rPr>
            </w:pPr>
          </w:p>
        </w:tc>
        <w:tc>
          <w:tcPr>
            <w:tcW w:w="0" w:type="auto"/>
            <w:gridSpan w:val="3"/>
            <w:shd w:val="clear" w:color="auto" w:fill="auto"/>
            <w:vAlign w:val="bottom"/>
          </w:tcPr>
          <w:p w14:paraId="71D42973" w14:textId="77777777" w:rsidR="006A3667" w:rsidRDefault="006A3667">
            <w:pPr>
              <w:rPr>
                <w:rFonts w:ascii="宋体"/>
                <w:vanish/>
              </w:rPr>
            </w:pPr>
          </w:p>
        </w:tc>
        <w:tc>
          <w:tcPr>
            <w:tcW w:w="0" w:type="auto"/>
            <w:gridSpan w:val="3"/>
            <w:shd w:val="clear" w:color="auto" w:fill="auto"/>
            <w:vAlign w:val="bottom"/>
          </w:tcPr>
          <w:p w14:paraId="71D42974" w14:textId="77777777" w:rsidR="006A3667" w:rsidRDefault="006A3667">
            <w:pPr>
              <w:rPr>
                <w:rFonts w:ascii="宋体"/>
                <w:vanish/>
              </w:rPr>
            </w:pPr>
          </w:p>
        </w:tc>
        <w:tc>
          <w:tcPr>
            <w:tcW w:w="0" w:type="auto"/>
            <w:gridSpan w:val="3"/>
            <w:shd w:val="clear" w:color="auto" w:fill="auto"/>
            <w:vAlign w:val="bottom"/>
          </w:tcPr>
          <w:p w14:paraId="71D42975" w14:textId="77777777" w:rsidR="006A3667" w:rsidRDefault="006A3667">
            <w:pPr>
              <w:rPr>
                <w:rFonts w:ascii="宋体"/>
                <w:vanish/>
              </w:rPr>
            </w:pPr>
          </w:p>
        </w:tc>
        <w:tc>
          <w:tcPr>
            <w:tcW w:w="0" w:type="auto"/>
            <w:gridSpan w:val="3"/>
            <w:shd w:val="clear" w:color="auto" w:fill="auto"/>
            <w:vAlign w:val="bottom"/>
          </w:tcPr>
          <w:p w14:paraId="71D42976" w14:textId="77777777" w:rsidR="006A3667" w:rsidRDefault="006A3667">
            <w:pPr>
              <w:rPr>
                <w:rFonts w:ascii="宋体"/>
                <w:vanish/>
              </w:rPr>
            </w:pPr>
          </w:p>
        </w:tc>
        <w:tc>
          <w:tcPr>
            <w:tcW w:w="0" w:type="auto"/>
            <w:gridSpan w:val="3"/>
            <w:shd w:val="clear" w:color="auto" w:fill="auto"/>
            <w:vAlign w:val="bottom"/>
          </w:tcPr>
          <w:p w14:paraId="71D42977" w14:textId="77777777" w:rsidR="006A3667" w:rsidRDefault="006A3667">
            <w:pPr>
              <w:rPr>
                <w:rFonts w:ascii="宋体"/>
                <w:vanish/>
              </w:rPr>
            </w:pPr>
          </w:p>
        </w:tc>
        <w:tc>
          <w:tcPr>
            <w:tcW w:w="0" w:type="auto"/>
            <w:gridSpan w:val="3"/>
            <w:shd w:val="clear" w:color="auto" w:fill="auto"/>
            <w:vAlign w:val="bottom"/>
          </w:tcPr>
          <w:p w14:paraId="71D42978" w14:textId="77777777" w:rsidR="006A3667" w:rsidRDefault="006A3667">
            <w:pPr>
              <w:rPr>
                <w:rFonts w:ascii="宋体"/>
                <w:vanish/>
              </w:rPr>
            </w:pPr>
          </w:p>
        </w:tc>
        <w:tc>
          <w:tcPr>
            <w:tcW w:w="0" w:type="auto"/>
            <w:gridSpan w:val="3"/>
            <w:shd w:val="clear" w:color="auto" w:fill="auto"/>
            <w:vAlign w:val="bottom"/>
          </w:tcPr>
          <w:p w14:paraId="71D42979" w14:textId="77777777" w:rsidR="006A3667" w:rsidRDefault="006A3667">
            <w:pPr>
              <w:rPr>
                <w:rFonts w:ascii="宋体"/>
                <w:vanish/>
              </w:rPr>
            </w:pPr>
          </w:p>
        </w:tc>
        <w:tc>
          <w:tcPr>
            <w:tcW w:w="0" w:type="auto"/>
            <w:gridSpan w:val="3"/>
            <w:shd w:val="clear" w:color="auto" w:fill="auto"/>
            <w:vAlign w:val="bottom"/>
          </w:tcPr>
          <w:p w14:paraId="71D4297A" w14:textId="77777777" w:rsidR="006A3667" w:rsidRDefault="006A3667">
            <w:pPr>
              <w:rPr>
                <w:rFonts w:ascii="宋体"/>
                <w:vanish/>
              </w:rPr>
            </w:pPr>
          </w:p>
        </w:tc>
        <w:tc>
          <w:tcPr>
            <w:tcW w:w="0" w:type="auto"/>
            <w:gridSpan w:val="3"/>
            <w:shd w:val="clear" w:color="auto" w:fill="auto"/>
            <w:vAlign w:val="bottom"/>
          </w:tcPr>
          <w:p w14:paraId="71D4297B" w14:textId="77777777" w:rsidR="006A3667" w:rsidRDefault="006A3667">
            <w:pPr>
              <w:rPr>
                <w:rFonts w:ascii="宋体"/>
                <w:vanish/>
              </w:rPr>
            </w:pPr>
          </w:p>
        </w:tc>
        <w:tc>
          <w:tcPr>
            <w:tcW w:w="0" w:type="auto"/>
            <w:gridSpan w:val="3"/>
            <w:shd w:val="clear" w:color="auto" w:fill="auto"/>
            <w:vAlign w:val="bottom"/>
          </w:tcPr>
          <w:p w14:paraId="71D4297C" w14:textId="77777777" w:rsidR="006A3667" w:rsidRDefault="006A3667">
            <w:pPr>
              <w:rPr>
                <w:rFonts w:ascii="宋体"/>
                <w:vanish/>
              </w:rPr>
            </w:pPr>
          </w:p>
        </w:tc>
        <w:tc>
          <w:tcPr>
            <w:tcW w:w="0" w:type="auto"/>
            <w:gridSpan w:val="3"/>
            <w:shd w:val="clear" w:color="auto" w:fill="auto"/>
            <w:vAlign w:val="bottom"/>
          </w:tcPr>
          <w:p w14:paraId="71D4297D" w14:textId="77777777" w:rsidR="006A3667" w:rsidRDefault="006A3667">
            <w:pPr>
              <w:rPr>
                <w:rFonts w:ascii="宋体"/>
                <w:vanish/>
              </w:rPr>
            </w:pPr>
          </w:p>
        </w:tc>
        <w:tc>
          <w:tcPr>
            <w:tcW w:w="0" w:type="auto"/>
            <w:gridSpan w:val="3"/>
            <w:shd w:val="clear" w:color="auto" w:fill="auto"/>
            <w:vAlign w:val="bottom"/>
          </w:tcPr>
          <w:p w14:paraId="71D4297E" w14:textId="77777777" w:rsidR="006A3667" w:rsidRDefault="006A3667">
            <w:pPr>
              <w:rPr>
                <w:rFonts w:ascii="宋体"/>
                <w:vanish/>
              </w:rPr>
            </w:pPr>
          </w:p>
        </w:tc>
        <w:tc>
          <w:tcPr>
            <w:tcW w:w="0" w:type="auto"/>
            <w:gridSpan w:val="3"/>
            <w:shd w:val="clear" w:color="auto" w:fill="auto"/>
            <w:vAlign w:val="bottom"/>
          </w:tcPr>
          <w:p w14:paraId="71D4297F" w14:textId="77777777" w:rsidR="006A3667" w:rsidRDefault="006A3667">
            <w:pPr>
              <w:rPr>
                <w:rFonts w:ascii="宋体"/>
                <w:vanish/>
              </w:rPr>
            </w:pPr>
          </w:p>
        </w:tc>
        <w:tc>
          <w:tcPr>
            <w:tcW w:w="0" w:type="auto"/>
            <w:gridSpan w:val="3"/>
            <w:shd w:val="clear" w:color="auto" w:fill="auto"/>
            <w:vAlign w:val="bottom"/>
          </w:tcPr>
          <w:p w14:paraId="71D42980" w14:textId="77777777" w:rsidR="006A3667" w:rsidRDefault="006A3667">
            <w:pPr>
              <w:rPr>
                <w:rFonts w:ascii="宋体"/>
                <w:vanish/>
              </w:rPr>
            </w:pPr>
          </w:p>
        </w:tc>
        <w:tc>
          <w:tcPr>
            <w:tcW w:w="0" w:type="auto"/>
            <w:gridSpan w:val="3"/>
            <w:shd w:val="clear" w:color="auto" w:fill="auto"/>
            <w:vAlign w:val="bottom"/>
          </w:tcPr>
          <w:p w14:paraId="71D42981" w14:textId="77777777" w:rsidR="006A3667" w:rsidRDefault="006A3667">
            <w:pPr>
              <w:rPr>
                <w:rFonts w:ascii="宋体"/>
                <w:vanish/>
              </w:rPr>
            </w:pPr>
          </w:p>
        </w:tc>
        <w:tc>
          <w:tcPr>
            <w:tcW w:w="0" w:type="auto"/>
            <w:gridSpan w:val="3"/>
            <w:shd w:val="clear" w:color="auto" w:fill="auto"/>
            <w:vAlign w:val="bottom"/>
          </w:tcPr>
          <w:p w14:paraId="71D42982" w14:textId="77777777" w:rsidR="006A3667" w:rsidRDefault="006A3667">
            <w:pPr>
              <w:rPr>
                <w:rFonts w:ascii="宋体"/>
                <w:vanish/>
              </w:rPr>
            </w:pPr>
          </w:p>
        </w:tc>
      </w:tr>
      <w:tr w:rsidR="006A3667" w14:paraId="71D42996" w14:textId="77777777">
        <w:trPr>
          <w:jc w:val="center"/>
          <w:hidden/>
        </w:trPr>
        <w:tc>
          <w:tcPr>
            <w:tcW w:w="0" w:type="auto"/>
            <w:gridSpan w:val="3"/>
            <w:shd w:val="clear" w:color="auto" w:fill="auto"/>
            <w:vAlign w:val="bottom"/>
          </w:tcPr>
          <w:p w14:paraId="71D42984" w14:textId="77777777" w:rsidR="006A3667" w:rsidRDefault="006A3667">
            <w:pPr>
              <w:rPr>
                <w:rFonts w:ascii="宋体"/>
                <w:vanish/>
              </w:rPr>
            </w:pPr>
          </w:p>
        </w:tc>
        <w:tc>
          <w:tcPr>
            <w:tcW w:w="0" w:type="auto"/>
            <w:gridSpan w:val="3"/>
            <w:shd w:val="clear" w:color="auto" w:fill="auto"/>
            <w:vAlign w:val="bottom"/>
          </w:tcPr>
          <w:p w14:paraId="71D42985" w14:textId="77777777" w:rsidR="006A3667" w:rsidRDefault="006A3667">
            <w:pPr>
              <w:rPr>
                <w:rFonts w:ascii="宋体"/>
                <w:vanish/>
              </w:rPr>
            </w:pPr>
          </w:p>
        </w:tc>
        <w:tc>
          <w:tcPr>
            <w:tcW w:w="0" w:type="auto"/>
            <w:gridSpan w:val="3"/>
            <w:shd w:val="clear" w:color="auto" w:fill="auto"/>
            <w:vAlign w:val="bottom"/>
          </w:tcPr>
          <w:p w14:paraId="71D42986" w14:textId="77777777" w:rsidR="006A3667" w:rsidRDefault="006A3667">
            <w:pPr>
              <w:rPr>
                <w:rFonts w:ascii="宋体"/>
                <w:vanish/>
              </w:rPr>
            </w:pPr>
          </w:p>
        </w:tc>
        <w:tc>
          <w:tcPr>
            <w:tcW w:w="0" w:type="auto"/>
            <w:gridSpan w:val="3"/>
            <w:shd w:val="clear" w:color="auto" w:fill="auto"/>
            <w:vAlign w:val="bottom"/>
          </w:tcPr>
          <w:p w14:paraId="71D42987" w14:textId="77777777" w:rsidR="006A3667" w:rsidRDefault="006A3667">
            <w:pPr>
              <w:rPr>
                <w:rFonts w:ascii="宋体"/>
                <w:vanish/>
              </w:rPr>
            </w:pPr>
          </w:p>
        </w:tc>
        <w:tc>
          <w:tcPr>
            <w:tcW w:w="0" w:type="auto"/>
            <w:gridSpan w:val="3"/>
            <w:shd w:val="clear" w:color="auto" w:fill="auto"/>
            <w:vAlign w:val="bottom"/>
          </w:tcPr>
          <w:p w14:paraId="71D42988" w14:textId="77777777" w:rsidR="006A3667" w:rsidRDefault="006A3667">
            <w:pPr>
              <w:rPr>
                <w:rFonts w:ascii="宋体"/>
                <w:vanish/>
              </w:rPr>
            </w:pPr>
          </w:p>
        </w:tc>
        <w:tc>
          <w:tcPr>
            <w:tcW w:w="0" w:type="auto"/>
            <w:gridSpan w:val="3"/>
            <w:shd w:val="clear" w:color="auto" w:fill="auto"/>
            <w:vAlign w:val="bottom"/>
          </w:tcPr>
          <w:p w14:paraId="71D42989" w14:textId="77777777" w:rsidR="006A3667" w:rsidRDefault="006A3667">
            <w:pPr>
              <w:rPr>
                <w:rFonts w:ascii="宋体"/>
                <w:vanish/>
              </w:rPr>
            </w:pPr>
          </w:p>
        </w:tc>
        <w:tc>
          <w:tcPr>
            <w:tcW w:w="0" w:type="auto"/>
            <w:gridSpan w:val="3"/>
            <w:shd w:val="clear" w:color="auto" w:fill="auto"/>
            <w:vAlign w:val="bottom"/>
          </w:tcPr>
          <w:p w14:paraId="71D4298A" w14:textId="77777777" w:rsidR="006A3667" w:rsidRDefault="006A3667">
            <w:pPr>
              <w:rPr>
                <w:rFonts w:ascii="宋体"/>
                <w:vanish/>
              </w:rPr>
            </w:pPr>
          </w:p>
        </w:tc>
        <w:tc>
          <w:tcPr>
            <w:tcW w:w="0" w:type="auto"/>
            <w:gridSpan w:val="3"/>
            <w:shd w:val="clear" w:color="auto" w:fill="auto"/>
            <w:vAlign w:val="bottom"/>
          </w:tcPr>
          <w:p w14:paraId="71D4298B" w14:textId="77777777" w:rsidR="006A3667" w:rsidRDefault="006A3667">
            <w:pPr>
              <w:rPr>
                <w:rFonts w:ascii="宋体"/>
                <w:vanish/>
              </w:rPr>
            </w:pPr>
          </w:p>
        </w:tc>
        <w:tc>
          <w:tcPr>
            <w:tcW w:w="0" w:type="auto"/>
            <w:gridSpan w:val="3"/>
            <w:shd w:val="clear" w:color="auto" w:fill="auto"/>
            <w:vAlign w:val="bottom"/>
          </w:tcPr>
          <w:p w14:paraId="71D4298C" w14:textId="77777777" w:rsidR="006A3667" w:rsidRDefault="006A3667">
            <w:pPr>
              <w:rPr>
                <w:rFonts w:ascii="宋体"/>
                <w:vanish/>
              </w:rPr>
            </w:pPr>
          </w:p>
        </w:tc>
        <w:tc>
          <w:tcPr>
            <w:tcW w:w="0" w:type="auto"/>
            <w:gridSpan w:val="3"/>
            <w:shd w:val="clear" w:color="auto" w:fill="auto"/>
            <w:vAlign w:val="bottom"/>
          </w:tcPr>
          <w:p w14:paraId="71D4298D" w14:textId="77777777" w:rsidR="006A3667" w:rsidRDefault="006A3667">
            <w:pPr>
              <w:rPr>
                <w:rFonts w:ascii="宋体"/>
                <w:vanish/>
              </w:rPr>
            </w:pPr>
          </w:p>
        </w:tc>
        <w:tc>
          <w:tcPr>
            <w:tcW w:w="0" w:type="auto"/>
            <w:gridSpan w:val="3"/>
            <w:shd w:val="clear" w:color="auto" w:fill="auto"/>
            <w:vAlign w:val="bottom"/>
          </w:tcPr>
          <w:p w14:paraId="71D4298E" w14:textId="77777777" w:rsidR="006A3667" w:rsidRDefault="006A3667">
            <w:pPr>
              <w:rPr>
                <w:rFonts w:ascii="宋体"/>
                <w:vanish/>
              </w:rPr>
            </w:pPr>
          </w:p>
        </w:tc>
        <w:tc>
          <w:tcPr>
            <w:tcW w:w="0" w:type="auto"/>
            <w:gridSpan w:val="3"/>
            <w:shd w:val="clear" w:color="auto" w:fill="auto"/>
            <w:vAlign w:val="bottom"/>
          </w:tcPr>
          <w:p w14:paraId="71D4298F" w14:textId="77777777" w:rsidR="006A3667" w:rsidRDefault="006A3667">
            <w:pPr>
              <w:rPr>
                <w:rFonts w:ascii="宋体"/>
                <w:vanish/>
              </w:rPr>
            </w:pPr>
          </w:p>
        </w:tc>
        <w:tc>
          <w:tcPr>
            <w:tcW w:w="0" w:type="auto"/>
            <w:gridSpan w:val="3"/>
            <w:shd w:val="clear" w:color="auto" w:fill="auto"/>
            <w:vAlign w:val="bottom"/>
          </w:tcPr>
          <w:p w14:paraId="71D42990" w14:textId="77777777" w:rsidR="006A3667" w:rsidRDefault="006A3667">
            <w:pPr>
              <w:rPr>
                <w:rFonts w:ascii="宋体"/>
                <w:vanish/>
              </w:rPr>
            </w:pPr>
          </w:p>
        </w:tc>
        <w:tc>
          <w:tcPr>
            <w:tcW w:w="0" w:type="auto"/>
            <w:gridSpan w:val="3"/>
            <w:shd w:val="clear" w:color="auto" w:fill="auto"/>
            <w:vAlign w:val="bottom"/>
          </w:tcPr>
          <w:p w14:paraId="71D42991" w14:textId="77777777" w:rsidR="006A3667" w:rsidRDefault="006A3667">
            <w:pPr>
              <w:rPr>
                <w:rFonts w:ascii="宋体"/>
                <w:vanish/>
              </w:rPr>
            </w:pPr>
          </w:p>
        </w:tc>
        <w:tc>
          <w:tcPr>
            <w:tcW w:w="0" w:type="auto"/>
            <w:gridSpan w:val="3"/>
            <w:shd w:val="clear" w:color="auto" w:fill="auto"/>
            <w:vAlign w:val="bottom"/>
          </w:tcPr>
          <w:p w14:paraId="71D42992" w14:textId="77777777" w:rsidR="006A3667" w:rsidRDefault="006A3667">
            <w:pPr>
              <w:rPr>
                <w:rFonts w:ascii="宋体"/>
                <w:vanish/>
              </w:rPr>
            </w:pPr>
          </w:p>
        </w:tc>
        <w:tc>
          <w:tcPr>
            <w:tcW w:w="0" w:type="auto"/>
            <w:gridSpan w:val="3"/>
            <w:shd w:val="clear" w:color="auto" w:fill="auto"/>
            <w:vAlign w:val="bottom"/>
          </w:tcPr>
          <w:p w14:paraId="71D42993" w14:textId="77777777" w:rsidR="006A3667" w:rsidRDefault="006A3667">
            <w:pPr>
              <w:rPr>
                <w:rFonts w:ascii="宋体"/>
                <w:vanish/>
              </w:rPr>
            </w:pPr>
          </w:p>
        </w:tc>
        <w:tc>
          <w:tcPr>
            <w:tcW w:w="0" w:type="auto"/>
            <w:gridSpan w:val="3"/>
            <w:shd w:val="clear" w:color="auto" w:fill="auto"/>
            <w:vAlign w:val="bottom"/>
          </w:tcPr>
          <w:p w14:paraId="71D42994" w14:textId="77777777" w:rsidR="006A3667" w:rsidRDefault="006A3667">
            <w:pPr>
              <w:rPr>
                <w:rFonts w:ascii="宋体"/>
                <w:vanish/>
              </w:rPr>
            </w:pPr>
          </w:p>
        </w:tc>
        <w:tc>
          <w:tcPr>
            <w:tcW w:w="0" w:type="auto"/>
            <w:gridSpan w:val="3"/>
            <w:shd w:val="clear" w:color="auto" w:fill="auto"/>
            <w:vAlign w:val="bottom"/>
          </w:tcPr>
          <w:p w14:paraId="71D42995" w14:textId="77777777" w:rsidR="006A3667" w:rsidRDefault="006A3667">
            <w:pPr>
              <w:rPr>
                <w:rFonts w:ascii="宋体"/>
                <w:vanish/>
              </w:rPr>
            </w:pPr>
          </w:p>
        </w:tc>
      </w:tr>
      <w:tr w:rsidR="006A3667" w14:paraId="71D429A9" w14:textId="77777777">
        <w:trPr>
          <w:jc w:val="center"/>
          <w:hidden/>
        </w:trPr>
        <w:tc>
          <w:tcPr>
            <w:tcW w:w="0" w:type="auto"/>
            <w:gridSpan w:val="3"/>
            <w:shd w:val="clear" w:color="auto" w:fill="auto"/>
            <w:vAlign w:val="bottom"/>
          </w:tcPr>
          <w:p w14:paraId="71D42997" w14:textId="77777777" w:rsidR="006A3667" w:rsidRDefault="006A3667">
            <w:pPr>
              <w:rPr>
                <w:rFonts w:ascii="宋体"/>
                <w:vanish/>
              </w:rPr>
            </w:pPr>
          </w:p>
        </w:tc>
        <w:tc>
          <w:tcPr>
            <w:tcW w:w="0" w:type="auto"/>
            <w:gridSpan w:val="3"/>
            <w:shd w:val="clear" w:color="auto" w:fill="auto"/>
            <w:vAlign w:val="bottom"/>
          </w:tcPr>
          <w:p w14:paraId="71D42998" w14:textId="77777777" w:rsidR="006A3667" w:rsidRDefault="006A3667">
            <w:pPr>
              <w:rPr>
                <w:rFonts w:ascii="宋体"/>
                <w:vanish/>
              </w:rPr>
            </w:pPr>
          </w:p>
        </w:tc>
        <w:tc>
          <w:tcPr>
            <w:tcW w:w="0" w:type="auto"/>
            <w:gridSpan w:val="3"/>
            <w:shd w:val="clear" w:color="auto" w:fill="auto"/>
            <w:vAlign w:val="bottom"/>
          </w:tcPr>
          <w:p w14:paraId="71D42999" w14:textId="77777777" w:rsidR="006A3667" w:rsidRDefault="006A3667">
            <w:pPr>
              <w:rPr>
                <w:rFonts w:ascii="宋体"/>
                <w:vanish/>
              </w:rPr>
            </w:pPr>
          </w:p>
        </w:tc>
        <w:tc>
          <w:tcPr>
            <w:tcW w:w="0" w:type="auto"/>
            <w:gridSpan w:val="3"/>
            <w:shd w:val="clear" w:color="auto" w:fill="auto"/>
            <w:vAlign w:val="bottom"/>
          </w:tcPr>
          <w:p w14:paraId="71D4299A" w14:textId="77777777" w:rsidR="006A3667" w:rsidRDefault="006A3667">
            <w:pPr>
              <w:rPr>
                <w:rFonts w:ascii="宋体"/>
                <w:vanish/>
              </w:rPr>
            </w:pPr>
          </w:p>
        </w:tc>
        <w:tc>
          <w:tcPr>
            <w:tcW w:w="0" w:type="auto"/>
            <w:gridSpan w:val="3"/>
            <w:shd w:val="clear" w:color="auto" w:fill="auto"/>
            <w:vAlign w:val="bottom"/>
          </w:tcPr>
          <w:p w14:paraId="71D4299B" w14:textId="77777777" w:rsidR="006A3667" w:rsidRDefault="006A3667">
            <w:pPr>
              <w:rPr>
                <w:rFonts w:ascii="宋体"/>
                <w:vanish/>
              </w:rPr>
            </w:pPr>
          </w:p>
        </w:tc>
        <w:tc>
          <w:tcPr>
            <w:tcW w:w="0" w:type="auto"/>
            <w:gridSpan w:val="3"/>
            <w:shd w:val="clear" w:color="auto" w:fill="auto"/>
            <w:vAlign w:val="bottom"/>
          </w:tcPr>
          <w:p w14:paraId="71D4299C" w14:textId="77777777" w:rsidR="006A3667" w:rsidRDefault="006A3667">
            <w:pPr>
              <w:rPr>
                <w:rFonts w:ascii="宋体"/>
                <w:vanish/>
              </w:rPr>
            </w:pPr>
          </w:p>
        </w:tc>
        <w:tc>
          <w:tcPr>
            <w:tcW w:w="0" w:type="auto"/>
            <w:gridSpan w:val="3"/>
            <w:shd w:val="clear" w:color="auto" w:fill="auto"/>
            <w:vAlign w:val="bottom"/>
          </w:tcPr>
          <w:p w14:paraId="71D4299D" w14:textId="77777777" w:rsidR="006A3667" w:rsidRDefault="006A3667">
            <w:pPr>
              <w:rPr>
                <w:rFonts w:ascii="宋体"/>
                <w:vanish/>
              </w:rPr>
            </w:pPr>
          </w:p>
        </w:tc>
        <w:tc>
          <w:tcPr>
            <w:tcW w:w="0" w:type="auto"/>
            <w:gridSpan w:val="3"/>
            <w:shd w:val="clear" w:color="auto" w:fill="auto"/>
            <w:vAlign w:val="bottom"/>
          </w:tcPr>
          <w:p w14:paraId="71D4299E" w14:textId="77777777" w:rsidR="006A3667" w:rsidRDefault="006A3667">
            <w:pPr>
              <w:rPr>
                <w:rFonts w:ascii="宋体"/>
                <w:vanish/>
              </w:rPr>
            </w:pPr>
          </w:p>
        </w:tc>
        <w:tc>
          <w:tcPr>
            <w:tcW w:w="0" w:type="auto"/>
            <w:gridSpan w:val="3"/>
            <w:shd w:val="clear" w:color="auto" w:fill="auto"/>
            <w:vAlign w:val="bottom"/>
          </w:tcPr>
          <w:p w14:paraId="71D4299F" w14:textId="77777777" w:rsidR="006A3667" w:rsidRDefault="006A3667">
            <w:pPr>
              <w:rPr>
                <w:rFonts w:ascii="宋体"/>
                <w:vanish/>
              </w:rPr>
            </w:pPr>
          </w:p>
        </w:tc>
        <w:tc>
          <w:tcPr>
            <w:tcW w:w="0" w:type="auto"/>
            <w:gridSpan w:val="3"/>
            <w:shd w:val="clear" w:color="auto" w:fill="auto"/>
            <w:vAlign w:val="bottom"/>
          </w:tcPr>
          <w:p w14:paraId="71D429A0" w14:textId="77777777" w:rsidR="006A3667" w:rsidRDefault="006A3667">
            <w:pPr>
              <w:rPr>
                <w:rFonts w:ascii="宋体"/>
                <w:vanish/>
              </w:rPr>
            </w:pPr>
          </w:p>
        </w:tc>
        <w:tc>
          <w:tcPr>
            <w:tcW w:w="0" w:type="auto"/>
            <w:gridSpan w:val="3"/>
            <w:shd w:val="clear" w:color="auto" w:fill="auto"/>
            <w:vAlign w:val="bottom"/>
          </w:tcPr>
          <w:p w14:paraId="71D429A1" w14:textId="77777777" w:rsidR="006A3667" w:rsidRDefault="006A3667">
            <w:pPr>
              <w:rPr>
                <w:rFonts w:ascii="宋体"/>
                <w:vanish/>
              </w:rPr>
            </w:pPr>
          </w:p>
        </w:tc>
        <w:tc>
          <w:tcPr>
            <w:tcW w:w="0" w:type="auto"/>
            <w:gridSpan w:val="3"/>
            <w:shd w:val="clear" w:color="auto" w:fill="auto"/>
            <w:vAlign w:val="bottom"/>
          </w:tcPr>
          <w:p w14:paraId="71D429A2" w14:textId="77777777" w:rsidR="006A3667" w:rsidRDefault="006A3667">
            <w:pPr>
              <w:rPr>
                <w:rFonts w:ascii="宋体"/>
                <w:vanish/>
              </w:rPr>
            </w:pPr>
          </w:p>
        </w:tc>
        <w:tc>
          <w:tcPr>
            <w:tcW w:w="0" w:type="auto"/>
            <w:gridSpan w:val="3"/>
            <w:shd w:val="clear" w:color="auto" w:fill="auto"/>
            <w:vAlign w:val="bottom"/>
          </w:tcPr>
          <w:p w14:paraId="71D429A3" w14:textId="77777777" w:rsidR="006A3667" w:rsidRDefault="006A3667">
            <w:pPr>
              <w:rPr>
                <w:rFonts w:ascii="宋体"/>
                <w:vanish/>
              </w:rPr>
            </w:pPr>
          </w:p>
        </w:tc>
        <w:tc>
          <w:tcPr>
            <w:tcW w:w="0" w:type="auto"/>
            <w:gridSpan w:val="3"/>
            <w:shd w:val="clear" w:color="auto" w:fill="auto"/>
            <w:vAlign w:val="bottom"/>
          </w:tcPr>
          <w:p w14:paraId="71D429A4" w14:textId="77777777" w:rsidR="006A3667" w:rsidRDefault="006A3667">
            <w:pPr>
              <w:rPr>
                <w:rFonts w:ascii="宋体"/>
                <w:vanish/>
              </w:rPr>
            </w:pPr>
          </w:p>
        </w:tc>
        <w:tc>
          <w:tcPr>
            <w:tcW w:w="0" w:type="auto"/>
            <w:gridSpan w:val="3"/>
            <w:shd w:val="clear" w:color="auto" w:fill="auto"/>
            <w:vAlign w:val="bottom"/>
          </w:tcPr>
          <w:p w14:paraId="71D429A5" w14:textId="77777777" w:rsidR="006A3667" w:rsidRDefault="006A3667">
            <w:pPr>
              <w:rPr>
                <w:rFonts w:ascii="宋体"/>
                <w:vanish/>
              </w:rPr>
            </w:pPr>
          </w:p>
        </w:tc>
        <w:tc>
          <w:tcPr>
            <w:tcW w:w="0" w:type="auto"/>
            <w:gridSpan w:val="3"/>
            <w:shd w:val="clear" w:color="auto" w:fill="auto"/>
            <w:vAlign w:val="bottom"/>
          </w:tcPr>
          <w:p w14:paraId="71D429A6" w14:textId="77777777" w:rsidR="006A3667" w:rsidRDefault="006A3667">
            <w:pPr>
              <w:rPr>
                <w:rFonts w:ascii="宋体"/>
                <w:vanish/>
              </w:rPr>
            </w:pPr>
          </w:p>
        </w:tc>
        <w:tc>
          <w:tcPr>
            <w:tcW w:w="0" w:type="auto"/>
            <w:gridSpan w:val="3"/>
            <w:shd w:val="clear" w:color="auto" w:fill="auto"/>
            <w:vAlign w:val="bottom"/>
          </w:tcPr>
          <w:p w14:paraId="71D429A7" w14:textId="77777777" w:rsidR="006A3667" w:rsidRDefault="006A3667">
            <w:pPr>
              <w:rPr>
                <w:rFonts w:ascii="宋体"/>
                <w:vanish/>
              </w:rPr>
            </w:pPr>
          </w:p>
        </w:tc>
        <w:tc>
          <w:tcPr>
            <w:tcW w:w="0" w:type="auto"/>
            <w:gridSpan w:val="3"/>
            <w:shd w:val="clear" w:color="auto" w:fill="auto"/>
            <w:vAlign w:val="bottom"/>
          </w:tcPr>
          <w:p w14:paraId="71D429A8" w14:textId="77777777" w:rsidR="006A3667" w:rsidRDefault="006A3667">
            <w:pPr>
              <w:rPr>
                <w:rFonts w:ascii="宋体"/>
                <w:vanish/>
              </w:rPr>
            </w:pPr>
          </w:p>
        </w:tc>
      </w:tr>
      <w:tr w:rsidR="006A3667" w14:paraId="71D429BC" w14:textId="77777777">
        <w:trPr>
          <w:jc w:val="center"/>
          <w:hidden/>
        </w:trPr>
        <w:tc>
          <w:tcPr>
            <w:tcW w:w="0" w:type="auto"/>
            <w:gridSpan w:val="3"/>
            <w:shd w:val="clear" w:color="auto" w:fill="auto"/>
            <w:vAlign w:val="bottom"/>
          </w:tcPr>
          <w:p w14:paraId="71D429AA" w14:textId="77777777" w:rsidR="006A3667" w:rsidRDefault="006A3667">
            <w:pPr>
              <w:rPr>
                <w:rFonts w:ascii="宋体"/>
                <w:vanish/>
              </w:rPr>
            </w:pPr>
          </w:p>
        </w:tc>
        <w:tc>
          <w:tcPr>
            <w:tcW w:w="0" w:type="auto"/>
            <w:gridSpan w:val="3"/>
            <w:shd w:val="clear" w:color="auto" w:fill="auto"/>
            <w:vAlign w:val="bottom"/>
          </w:tcPr>
          <w:p w14:paraId="71D429AB" w14:textId="77777777" w:rsidR="006A3667" w:rsidRDefault="006A3667">
            <w:pPr>
              <w:rPr>
                <w:rFonts w:ascii="宋体"/>
                <w:vanish/>
              </w:rPr>
            </w:pPr>
          </w:p>
        </w:tc>
        <w:tc>
          <w:tcPr>
            <w:tcW w:w="0" w:type="auto"/>
            <w:gridSpan w:val="3"/>
            <w:shd w:val="clear" w:color="auto" w:fill="auto"/>
            <w:vAlign w:val="bottom"/>
          </w:tcPr>
          <w:p w14:paraId="71D429AC" w14:textId="77777777" w:rsidR="006A3667" w:rsidRDefault="006A3667">
            <w:pPr>
              <w:rPr>
                <w:rFonts w:ascii="宋体"/>
                <w:vanish/>
              </w:rPr>
            </w:pPr>
          </w:p>
        </w:tc>
        <w:tc>
          <w:tcPr>
            <w:tcW w:w="0" w:type="auto"/>
            <w:gridSpan w:val="3"/>
            <w:shd w:val="clear" w:color="auto" w:fill="auto"/>
            <w:vAlign w:val="bottom"/>
          </w:tcPr>
          <w:p w14:paraId="71D429AD" w14:textId="77777777" w:rsidR="006A3667" w:rsidRDefault="006A3667">
            <w:pPr>
              <w:rPr>
                <w:rFonts w:ascii="宋体"/>
                <w:vanish/>
              </w:rPr>
            </w:pPr>
          </w:p>
        </w:tc>
        <w:tc>
          <w:tcPr>
            <w:tcW w:w="0" w:type="auto"/>
            <w:gridSpan w:val="3"/>
            <w:shd w:val="clear" w:color="auto" w:fill="auto"/>
            <w:vAlign w:val="bottom"/>
          </w:tcPr>
          <w:p w14:paraId="71D429AE" w14:textId="77777777" w:rsidR="006A3667" w:rsidRDefault="006A3667">
            <w:pPr>
              <w:rPr>
                <w:rFonts w:ascii="宋体"/>
                <w:vanish/>
              </w:rPr>
            </w:pPr>
          </w:p>
        </w:tc>
        <w:tc>
          <w:tcPr>
            <w:tcW w:w="0" w:type="auto"/>
            <w:gridSpan w:val="3"/>
            <w:shd w:val="clear" w:color="auto" w:fill="auto"/>
            <w:vAlign w:val="bottom"/>
          </w:tcPr>
          <w:p w14:paraId="71D429AF" w14:textId="77777777" w:rsidR="006A3667" w:rsidRDefault="006A3667">
            <w:pPr>
              <w:rPr>
                <w:rFonts w:ascii="宋体"/>
                <w:vanish/>
              </w:rPr>
            </w:pPr>
          </w:p>
        </w:tc>
        <w:tc>
          <w:tcPr>
            <w:tcW w:w="0" w:type="auto"/>
            <w:gridSpan w:val="3"/>
            <w:shd w:val="clear" w:color="auto" w:fill="auto"/>
            <w:vAlign w:val="bottom"/>
          </w:tcPr>
          <w:p w14:paraId="71D429B0" w14:textId="77777777" w:rsidR="006A3667" w:rsidRDefault="006A3667">
            <w:pPr>
              <w:rPr>
                <w:rFonts w:ascii="宋体"/>
                <w:vanish/>
              </w:rPr>
            </w:pPr>
          </w:p>
        </w:tc>
        <w:tc>
          <w:tcPr>
            <w:tcW w:w="0" w:type="auto"/>
            <w:gridSpan w:val="3"/>
            <w:shd w:val="clear" w:color="auto" w:fill="auto"/>
            <w:vAlign w:val="bottom"/>
          </w:tcPr>
          <w:p w14:paraId="71D429B1" w14:textId="77777777" w:rsidR="006A3667" w:rsidRDefault="006A3667">
            <w:pPr>
              <w:rPr>
                <w:rFonts w:ascii="宋体"/>
                <w:vanish/>
              </w:rPr>
            </w:pPr>
          </w:p>
        </w:tc>
        <w:tc>
          <w:tcPr>
            <w:tcW w:w="0" w:type="auto"/>
            <w:gridSpan w:val="3"/>
            <w:shd w:val="clear" w:color="auto" w:fill="auto"/>
            <w:vAlign w:val="bottom"/>
          </w:tcPr>
          <w:p w14:paraId="71D429B2" w14:textId="77777777" w:rsidR="006A3667" w:rsidRDefault="006A3667">
            <w:pPr>
              <w:rPr>
                <w:rFonts w:ascii="宋体"/>
                <w:vanish/>
              </w:rPr>
            </w:pPr>
          </w:p>
        </w:tc>
        <w:tc>
          <w:tcPr>
            <w:tcW w:w="0" w:type="auto"/>
            <w:gridSpan w:val="3"/>
            <w:shd w:val="clear" w:color="auto" w:fill="auto"/>
            <w:vAlign w:val="bottom"/>
          </w:tcPr>
          <w:p w14:paraId="71D429B3" w14:textId="77777777" w:rsidR="006A3667" w:rsidRDefault="006A3667">
            <w:pPr>
              <w:rPr>
                <w:rFonts w:ascii="宋体"/>
                <w:vanish/>
              </w:rPr>
            </w:pPr>
          </w:p>
        </w:tc>
        <w:tc>
          <w:tcPr>
            <w:tcW w:w="0" w:type="auto"/>
            <w:gridSpan w:val="3"/>
            <w:shd w:val="clear" w:color="auto" w:fill="auto"/>
            <w:vAlign w:val="bottom"/>
          </w:tcPr>
          <w:p w14:paraId="71D429B4" w14:textId="77777777" w:rsidR="006A3667" w:rsidRDefault="006A3667">
            <w:pPr>
              <w:rPr>
                <w:rFonts w:ascii="宋体"/>
                <w:vanish/>
              </w:rPr>
            </w:pPr>
          </w:p>
        </w:tc>
        <w:tc>
          <w:tcPr>
            <w:tcW w:w="0" w:type="auto"/>
            <w:gridSpan w:val="3"/>
            <w:shd w:val="clear" w:color="auto" w:fill="auto"/>
            <w:vAlign w:val="bottom"/>
          </w:tcPr>
          <w:p w14:paraId="71D429B5" w14:textId="77777777" w:rsidR="006A3667" w:rsidRDefault="006A3667">
            <w:pPr>
              <w:rPr>
                <w:rFonts w:ascii="宋体"/>
                <w:vanish/>
              </w:rPr>
            </w:pPr>
          </w:p>
        </w:tc>
        <w:tc>
          <w:tcPr>
            <w:tcW w:w="0" w:type="auto"/>
            <w:gridSpan w:val="3"/>
            <w:shd w:val="clear" w:color="auto" w:fill="auto"/>
            <w:vAlign w:val="bottom"/>
          </w:tcPr>
          <w:p w14:paraId="71D429B6" w14:textId="77777777" w:rsidR="006A3667" w:rsidRDefault="006A3667">
            <w:pPr>
              <w:rPr>
                <w:rFonts w:ascii="宋体"/>
                <w:vanish/>
              </w:rPr>
            </w:pPr>
          </w:p>
        </w:tc>
        <w:tc>
          <w:tcPr>
            <w:tcW w:w="0" w:type="auto"/>
            <w:gridSpan w:val="3"/>
            <w:shd w:val="clear" w:color="auto" w:fill="auto"/>
            <w:vAlign w:val="bottom"/>
          </w:tcPr>
          <w:p w14:paraId="71D429B7" w14:textId="77777777" w:rsidR="006A3667" w:rsidRDefault="006A3667">
            <w:pPr>
              <w:rPr>
                <w:rFonts w:ascii="宋体"/>
                <w:vanish/>
              </w:rPr>
            </w:pPr>
          </w:p>
        </w:tc>
        <w:tc>
          <w:tcPr>
            <w:tcW w:w="0" w:type="auto"/>
            <w:gridSpan w:val="3"/>
            <w:shd w:val="clear" w:color="auto" w:fill="auto"/>
            <w:vAlign w:val="bottom"/>
          </w:tcPr>
          <w:p w14:paraId="71D429B8" w14:textId="77777777" w:rsidR="006A3667" w:rsidRDefault="006A3667">
            <w:pPr>
              <w:rPr>
                <w:rFonts w:ascii="宋体"/>
                <w:vanish/>
              </w:rPr>
            </w:pPr>
          </w:p>
        </w:tc>
        <w:tc>
          <w:tcPr>
            <w:tcW w:w="0" w:type="auto"/>
            <w:gridSpan w:val="3"/>
            <w:shd w:val="clear" w:color="auto" w:fill="auto"/>
            <w:vAlign w:val="bottom"/>
          </w:tcPr>
          <w:p w14:paraId="71D429B9" w14:textId="77777777" w:rsidR="006A3667" w:rsidRDefault="006A3667">
            <w:pPr>
              <w:rPr>
                <w:rFonts w:ascii="宋体"/>
                <w:vanish/>
              </w:rPr>
            </w:pPr>
          </w:p>
        </w:tc>
        <w:tc>
          <w:tcPr>
            <w:tcW w:w="0" w:type="auto"/>
            <w:gridSpan w:val="3"/>
            <w:shd w:val="clear" w:color="auto" w:fill="auto"/>
            <w:vAlign w:val="bottom"/>
          </w:tcPr>
          <w:p w14:paraId="71D429BA" w14:textId="77777777" w:rsidR="006A3667" w:rsidRDefault="006A3667">
            <w:pPr>
              <w:rPr>
                <w:rFonts w:ascii="宋体"/>
                <w:vanish/>
              </w:rPr>
            </w:pPr>
          </w:p>
        </w:tc>
        <w:tc>
          <w:tcPr>
            <w:tcW w:w="0" w:type="auto"/>
            <w:gridSpan w:val="3"/>
            <w:shd w:val="clear" w:color="auto" w:fill="auto"/>
            <w:vAlign w:val="bottom"/>
          </w:tcPr>
          <w:p w14:paraId="71D429BB" w14:textId="77777777" w:rsidR="006A3667" w:rsidRDefault="006A3667">
            <w:pPr>
              <w:rPr>
                <w:rFonts w:ascii="宋体"/>
                <w:vanish/>
              </w:rPr>
            </w:pPr>
          </w:p>
        </w:tc>
      </w:tr>
      <w:tr w:rsidR="006A3667" w14:paraId="71D429CF" w14:textId="77777777">
        <w:trPr>
          <w:jc w:val="center"/>
          <w:hidden/>
        </w:trPr>
        <w:tc>
          <w:tcPr>
            <w:tcW w:w="0" w:type="auto"/>
            <w:gridSpan w:val="3"/>
            <w:shd w:val="clear" w:color="auto" w:fill="auto"/>
            <w:vAlign w:val="bottom"/>
          </w:tcPr>
          <w:p w14:paraId="71D429BD" w14:textId="77777777" w:rsidR="006A3667" w:rsidRDefault="006A3667">
            <w:pPr>
              <w:rPr>
                <w:rFonts w:ascii="宋体"/>
                <w:vanish/>
              </w:rPr>
            </w:pPr>
          </w:p>
        </w:tc>
        <w:tc>
          <w:tcPr>
            <w:tcW w:w="0" w:type="auto"/>
            <w:gridSpan w:val="3"/>
            <w:shd w:val="clear" w:color="auto" w:fill="auto"/>
            <w:vAlign w:val="bottom"/>
          </w:tcPr>
          <w:p w14:paraId="71D429BE" w14:textId="77777777" w:rsidR="006A3667" w:rsidRDefault="006A3667">
            <w:pPr>
              <w:rPr>
                <w:rFonts w:ascii="宋体"/>
                <w:vanish/>
              </w:rPr>
            </w:pPr>
          </w:p>
        </w:tc>
        <w:tc>
          <w:tcPr>
            <w:tcW w:w="0" w:type="auto"/>
            <w:gridSpan w:val="3"/>
            <w:shd w:val="clear" w:color="auto" w:fill="auto"/>
            <w:vAlign w:val="bottom"/>
          </w:tcPr>
          <w:p w14:paraId="71D429BF" w14:textId="77777777" w:rsidR="006A3667" w:rsidRDefault="006A3667">
            <w:pPr>
              <w:rPr>
                <w:rFonts w:ascii="宋体"/>
                <w:vanish/>
              </w:rPr>
            </w:pPr>
          </w:p>
        </w:tc>
        <w:tc>
          <w:tcPr>
            <w:tcW w:w="0" w:type="auto"/>
            <w:gridSpan w:val="3"/>
            <w:shd w:val="clear" w:color="auto" w:fill="auto"/>
            <w:vAlign w:val="bottom"/>
          </w:tcPr>
          <w:p w14:paraId="71D429C0" w14:textId="77777777" w:rsidR="006A3667" w:rsidRDefault="006A3667">
            <w:pPr>
              <w:rPr>
                <w:rFonts w:ascii="宋体"/>
                <w:vanish/>
              </w:rPr>
            </w:pPr>
          </w:p>
        </w:tc>
        <w:tc>
          <w:tcPr>
            <w:tcW w:w="0" w:type="auto"/>
            <w:gridSpan w:val="3"/>
            <w:shd w:val="clear" w:color="auto" w:fill="auto"/>
            <w:vAlign w:val="bottom"/>
          </w:tcPr>
          <w:p w14:paraId="71D429C1" w14:textId="77777777" w:rsidR="006A3667" w:rsidRDefault="006A3667">
            <w:pPr>
              <w:rPr>
                <w:rFonts w:ascii="宋体"/>
                <w:vanish/>
              </w:rPr>
            </w:pPr>
          </w:p>
        </w:tc>
        <w:tc>
          <w:tcPr>
            <w:tcW w:w="0" w:type="auto"/>
            <w:gridSpan w:val="3"/>
            <w:shd w:val="clear" w:color="auto" w:fill="auto"/>
            <w:vAlign w:val="bottom"/>
          </w:tcPr>
          <w:p w14:paraId="71D429C2" w14:textId="77777777" w:rsidR="006A3667" w:rsidRDefault="006A3667">
            <w:pPr>
              <w:rPr>
                <w:rFonts w:ascii="宋体"/>
                <w:vanish/>
              </w:rPr>
            </w:pPr>
          </w:p>
        </w:tc>
        <w:tc>
          <w:tcPr>
            <w:tcW w:w="0" w:type="auto"/>
            <w:gridSpan w:val="3"/>
            <w:shd w:val="clear" w:color="auto" w:fill="auto"/>
            <w:vAlign w:val="bottom"/>
          </w:tcPr>
          <w:p w14:paraId="71D429C3" w14:textId="77777777" w:rsidR="006A3667" w:rsidRDefault="006A3667">
            <w:pPr>
              <w:rPr>
                <w:rFonts w:ascii="宋体"/>
                <w:vanish/>
              </w:rPr>
            </w:pPr>
          </w:p>
        </w:tc>
        <w:tc>
          <w:tcPr>
            <w:tcW w:w="0" w:type="auto"/>
            <w:gridSpan w:val="3"/>
            <w:shd w:val="clear" w:color="auto" w:fill="auto"/>
            <w:vAlign w:val="bottom"/>
          </w:tcPr>
          <w:p w14:paraId="71D429C4" w14:textId="77777777" w:rsidR="006A3667" w:rsidRDefault="006A3667">
            <w:pPr>
              <w:rPr>
                <w:rFonts w:ascii="宋体"/>
                <w:vanish/>
              </w:rPr>
            </w:pPr>
          </w:p>
        </w:tc>
        <w:tc>
          <w:tcPr>
            <w:tcW w:w="0" w:type="auto"/>
            <w:gridSpan w:val="3"/>
            <w:shd w:val="clear" w:color="auto" w:fill="auto"/>
            <w:vAlign w:val="bottom"/>
          </w:tcPr>
          <w:p w14:paraId="71D429C5" w14:textId="77777777" w:rsidR="006A3667" w:rsidRDefault="006A3667">
            <w:pPr>
              <w:rPr>
                <w:rFonts w:ascii="宋体"/>
                <w:vanish/>
              </w:rPr>
            </w:pPr>
          </w:p>
        </w:tc>
        <w:tc>
          <w:tcPr>
            <w:tcW w:w="0" w:type="auto"/>
            <w:gridSpan w:val="3"/>
            <w:shd w:val="clear" w:color="auto" w:fill="auto"/>
            <w:vAlign w:val="bottom"/>
          </w:tcPr>
          <w:p w14:paraId="71D429C6" w14:textId="77777777" w:rsidR="006A3667" w:rsidRDefault="006A3667">
            <w:pPr>
              <w:rPr>
                <w:rFonts w:ascii="宋体"/>
                <w:vanish/>
              </w:rPr>
            </w:pPr>
          </w:p>
        </w:tc>
        <w:tc>
          <w:tcPr>
            <w:tcW w:w="0" w:type="auto"/>
            <w:gridSpan w:val="3"/>
            <w:shd w:val="clear" w:color="auto" w:fill="auto"/>
            <w:vAlign w:val="bottom"/>
          </w:tcPr>
          <w:p w14:paraId="71D429C7" w14:textId="77777777" w:rsidR="006A3667" w:rsidRDefault="006A3667">
            <w:pPr>
              <w:rPr>
                <w:rFonts w:ascii="宋体"/>
                <w:vanish/>
              </w:rPr>
            </w:pPr>
          </w:p>
        </w:tc>
        <w:tc>
          <w:tcPr>
            <w:tcW w:w="0" w:type="auto"/>
            <w:gridSpan w:val="3"/>
            <w:shd w:val="clear" w:color="auto" w:fill="auto"/>
            <w:vAlign w:val="bottom"/>
          </w:tcPr>
          <w:p w14:paraId="71D429C8" w14:textId="77777777" w:rsidR="006A3667" w:rsidRDefault="006A3667">
            <w:pPr>
              <w:rPr>
                <w:rFonts w:ascii="宋体"/>
                <w:vanish/>
              </w:rPr>
            </w:pPr>
          </w:p>
        </w:tc>
        <w:tc>
          <w:tcPr>
            <w:tcW w:w="0" w:type="auto"/>
            <w:gridSpan w:val="3"/>
            <w:shd w:val="clear" w:color="auto" w:fill="auto"/>
            <w:vAlign w:val="bottom"/>
          </w:tcPr>
          <w:p w14:paraId="71D429C9" w14:textId="77777777" w:rsidR="006A3667" w:rsidRDefault="006A3667">
            <w:pPr>
              <w:rPr>
                <w:rFonts w:ascii="宋体"/>
                <w:vanish/>
              </w:rPr>
            </w:pPr>
          </w:p>
        </w:tc>
        <w:tc>
          <w:tcPr>
            <w:tcW w:w="0" w:type="auto"/>
            <w:gridSpan w:val="3"/>
            <w:shd w:val="clear" w:color="auto" w:fill="auto"/>
            <w:vAlign w:val="bottom"/>
          </w:tcPr>
          <w:p w14:paraId="71D429CA" w14:textId="77777777" w:rsidR="006A3667" w:rsidRDefault="006A3667">
            <w:pPr>
              <w:rPr>
                <w:rFonts w:ascii="宋体"/>
                <w:vanish/>
              </w:rPr>
            </w:pPr>
          </w:p>
        </w:tc>
        <w:tc>
          <w:tcPr>
            <w:tcW w:w="0" w:type="auto"/>
            <w:gridSpan w:val="3"/>
            <w:shd w:val="clear" w:color="auto" w:fill="auto"/>
            <w:vAlign w:val="bottom"/>
          </w:tcPr>
          <w:p w14:paraId="71D429CB" w14:textId="77777777" w:rsidR="006A3667" w:rsidRDefault="006A3667">
            <w:pPr>
              <w:rPr>
                <w:rFonts w:ascii="宋体"/>
                <w:vanish/>
              </w:rPr>
            </w:pPr>
          </w:p>
        </w:tc>
        <w:tc>
          <w:tcPr>
            <w:tcW w:w="0" w:type="auto"/>
            <w:gridSpan w:val="3"/>
            <w:shd w:val="clear" w:color="auto" w:fill="auto"/>
            <w:vAlign w:val="bottom"/>
          </w:tcPr>
          <w:p w14:paraId="71D429CC" w14:textId="77777777" w:rsidR="006A3667" w:rsidRDefault="006A3667">
            <w:pPr>
              <w:rPr>
                <w:rFonts w:ascii="宋体"/>
                <w:vanish/>
              </w:rPr>
            </w:pPr>
          </w:p>
        </w:tc>
        <w:tc>
          <w:tcPr>
            <w:tcW w:w="0" w:type="auto"/>
            <w:gridSpan w:val="3"/>
            <w:shd w:val="clear" w:color="auto" w:fill="auto"/>
            <w:vAlign w:val="bottom"/>
          </w:tcPr>
          <w:p w14:paraId="71D429CD" w14:textId="77777777" w:rsidR="006A3667" w:rsidRDefault="006A3667">
            <w:pPr>
              <w:rPr>
                <w:rFonts w:ascii="宋体"/>
                <w:vanish/>
              </w:rPr>
            </w:pPr>
          </w:p>
        </w:tc>
        <w:tc>
          <w:tcPr>
            <w:tcW w:w="0" w:type="auto"/>
            <w:gridSpan w:val="3"/>
            <w:shd w:val="clear" w:color="auto" w:fill="auto"/>
            <w:vAlign w:val="bottom"/>
          </w:tcPr>
          <w:p w14:paraId="71D429CE" w14:textId="77777777" w:rsidR="006A3667" w:rsidRDefault="006A3667">
            <w:pPr>
              <w:rPr>
                <w:rFonts w:ascii="宋体"/>
                <w:vanish/>
              </w:rPr>
            </w:pPr>
          </w:p>
        </w:tc>
      </w:tr>
      <w:tr w:rsidR="006A3667" w14:paraId="71D429E2" w14:textId="77777777">
        <w:trPr>
          <w:jc w:val="center"/>
          <w:hidden/>
        </w:trPr>
        <w:tc>
          <w:tcPr>
            <w:tcW w:w="0" w:type="auto"/>
            <w:gridSpan w:val="3"/>
            <w:shd w:val="clear" w:color="auto" w:fill="auto"/>
            <w:vAlign w:val="bottom"/>
          </w:tcPr>
          <w:p w14:paraId="71D429D0" w14:textId="77777777" w:rsidR="006A3667" w:rsidRDefault="006A3667">
            <w:pPr>
              <w:rPr>
                <w:rFonts w:ascii="宋体"/>
                <w:vanish/>
              </w:rPr>
            </w:pPr>
          </w:p>
        </w:tc>
        <w:tc>
          <w:tcPr>
            <w:tcW w:w="0" w:type="auto"/>
            <w:gridSpan w:val="3"/>
            <w:shd w:val="clear" w:color="auto" w:fill="auto"/>
            <w:vAlign w:val="bottom"/>
          </w:tcPr>
          <w:p w14:paraId="71D429D1" w14:textId="77777777" w:rsidR="006A3667" w:rsidRDefault="006A3667">
            <w:pPr>
              <w:rPr>
                <w:rFonts w:ascii="宋体"/>
                <w:vanish/>
              </w:rPr>
            </w:pPr>
          </w:p>
        </w:tc>
        <w:tc>
          <w:tcPr>
            <w:tcW w:w="0" w:type="auto"/>
            <w:gridSpan w:val="3"/>
            <w:shd w:val="clear" w:color="auto" w:fill="auto"/>
            <w:vAlign w:val="bottom"/>
          </w:tcPr>
          <w:p w14:paraId="71D429D2" w14:textId="77777777" w:rsidR="006A3667" w:rsidRDefault="006A3667">
            <w:pPr>
              <w:rPr>
                <w:rFonts w:ascii="宋体"/>
                <w:vanish/>
              </w:rPr>
            </w:pPr>
          </w:p>
        </w:tc>
        <w:tc>
          <w:tcPr>
            <w:tcW w:w="0" w:type="auto"/>
            <w:gridSpan w:val="3"/>
            <w:shd w:val="clear" w:color="auto" w:fill="auto"/>
            <w:vAlign w:val="bottom"/>
          </w:tcPr>
          <w:p w14:paraId="71D429D3" w14:textId="77777777" w:rsidR="006A3667" w:rsidRDefault="006A3667">
            <w:pPr>
              <w:rPr>
                <w:rFonts w:ascii="宋体"/>
                <w:vanish/>
              </w:rPr>
            </w:pPr>
          </w:p>
        </w:tc>
        <w:tc>
          <w:tcPr>
            <w:tcW w:w="0" w:type="auto"/>
            <w:gridSpan w:val="3"/>
            <w:shd w:val="clear" w:color="auto" w:fill="auto"/>
            <w:vAlign w:val="bottom"/>
          </w:tcPr>
          <w:p w14:paraId="71D429D4" w14:textId="77777777" w:rsidR="006A3667" w:rsidRDefault="006A3667">
            <w:pPr>
              <w:rPr>
                <w:rFonts w:ascii="宋体"/>
                <w:vanish/>
              </w:rPr>
            </w:pPr>
          </w:p>
        </w:tc>
        <w:tc>
          <w:tcPr>
            <w:tcW w:w="0" w:type="auto"/>
            <w:gridSpan w:val="3"/>
            <w:shd w:val="clear" w:color="auto" w:fill="auto"/>
            <w:vAlign w:val="bottom"/>
          </w:tcPr>
          <w:p w14:paraId="71D429D5" w14:textId="77777777" w:rsidR="006A3667" w:rsidRDefault="006A3667">
            <w:pPr>
              <w:rPr>
                <w:rFonts w:ascii="宋体"/>
                <w:vanish/>
              </w:rPr>
            </w:pPr>
          </w:p>
        </w:tc>
        <w:tc>
          <w:tcPr>
            <w:tcW w:w="0" w:type="auto"/>
            <w:gridSpan w:val="3"/>
            <w:shd w:val="clear" w:color="auto" w:fill="auto"/>
            <w:vAlign w:val="bottom"/>
          </w:tcPr>
          <w:p w14:paraId="71D429D6" w14:textId="77777777" w:rsidR="006A3667" w:rsidRDefault="006A3667">
            <w:pPr>
              <w:rPr>
                <w:rFonts w:ascii="宋体"/>
                <w:vanish/>
              </w:rPr>
            </w:pPr>
          </w:p>
        </w:tc>
        <w:tc>
          <w:tcPr>
            <w:tcW w:w="0" w:type="auto"/>
            <w:gridSpan w:val="3"/>
            <w:shd w:val="clear" w:color="auto" w:fill="auto"/>
            <w:vAlign w:val="bottom"/>
          </w:tcPr>
          <w:p w14:paraId="71D429D7" w14:textId="77777777" w:rsidR="006A3667" w:rsidRDefault="006A3667">
            <w:pPr>
              <w:rPr>
                <w:rFonts w:ascii="宋体"/>
                <w:vanish/>
              </w:rPr>
            </w:pPr>
          </w:p>
        </w:tc>
        <w:tc>
          <w:tcPr>
            <w:tcW w:w="0" w:type="auto"/>
            <w:gridSpan w:val="3"/>
            <w:shd w:val="clear" w:color="auto" w:fill="auto"/>
            <w:vAlign w:val="bottom"/>
          </w:tcPr>
          <w:p w14:paraId="71D429D8" w14:textId="77777777" w:rsidR="006A3667" w:rsidRDefault="006A3667">
            <w:pPr>
              <w:rPr>
                <w:rFonts w:ascii="宋体"/>
                <w:vanish/>
              </w:rPr>
            </w:pPr>
          </w:p>
        </w:tc>
        <w:tc>
          <w:tcPr>
            <w:tcW w:w="0" w:type="auto"/>
            <w:gridSpan w:val="3"/>
            <w:shd w:val="clear" w:color="auto" w:fill="auto"/>
            <w:vAlign w:val="bottom"/>
          </w:tcPr>
          <w:p w14:paraId="71D429D9" w14:textId="77777777" w:rsidR="006A3667" w:rsidRDefault="006A3667">
            <w:pPr>
              <w:rPr>
                <w:rFonts w:ascii="宋体"/>
                <w:vanish/>
              </w:rPr>
            </w:pPr>
          </w:p>
        </w:tc>
        <w:tc>
          <w:tcPr>
            <w:tcW w:w="0" w:type="auto"/>
            <w:gridSpan w:val="3"/>
            <w:shd w:val="clear" w:color="auto" w:fill="auto"/>
            <w:vAlign w:val="bottom"/>
          </w:tcPr>
          <w:p w14:paraId="71D429DA" w14:textId="77777777" w:rsidR="006A3667" w:rsidRDefault="006A3667">
            <w:pPr>
              <w:rPr>
                <w:rFonts w:ascii="宋体"/>
                <w:vanish/>
              </w:rPr>
            </w:pPr>
          </w:p>
        </w:tc>
        <w:tc>
          <w:tcPr>
            <w:tcW w:w="0" w:type="auto"/>
            <w:gridSpan w:val="3"/>
            <w:shd w:val="clear" w:color="auto" w:fill="auto"/>
            <w:vAlign w:val="bottom"/>
          </w:tcPr>
          <w:p w14:paraId="71D429DB" w14:textId="77777777" w:rsidR="006A3667" w:rsidRDefault="006A3667">
            <w:pPr>
              <w:rPr>
                <w:rFonts w:ascii="宋体"/>
                <w:vanish/>
              </w:rPr>
            </w:pPr>
          </w:p>
        </w:tc>
        <w:tc>
          <w:tcPr>
            <w:tcW w:w="0" w:type="auto"/>
            <w:gridSpan w:val="3"/>
            <w:shd w:val="clear" w:color="auto" w:fill="auto"/>
            <w:vAlign w:val="bottom"/>
          </w:tcPr>
          <w:p w14:paraId="71D429DC" w14:textId="77777777" w:rsidR="006A3667" w:rsidRDefault="006A3667">
            <w:pPr>
              <w:rPr>
                <w:rFonts w:ascii="宋体"/>
                <w:vanish/>
              </w:rPr>
            </w:pPr>
          </w:p>
        </w:tc>
        <w:tc>
          <w:tcPr>
            <w:tcW w:w="0" w:type="auto"/>
            <w:gridSpan w:val="3"/>
            <w:shd w:val="clear" w:color="auto" w:fill="auto"/>
            <w:vAlign w:val="bottom"/>
          </w:tcPr>
          <w:p w14:paraId="71D429DD" w14:textId="77777777" w:rsidR="006A3667" w:rsidRDefault="006A3667">
            <w:pPr>
              <w:rPr>
                <w:rFonts w:ascii="宋体"/>
                <w:vanish/>
              </w:rPr>
            </w:pPr>
          </w:p>
        </w:tc>
        <w:tc>
          <w:tcPr>
            <w:tcW w:w="0" w:type="auto"/>
            <w:gridSpan w:val="3"/>
            <w:shd w:val="clear" w:color="auto" w:fill="auto"/>
            <w:vAlign w:val="bottom"/>
          </w:tcPr>
          <w:p w14:paraId="71D429DE" w14:textId="77777777" w:rsidR="006A3667" w:rsidRDefault="006A3667">
            <w:pPr>
              <w:rPr>
                <w:rFonts w:ascii="宋体"/>
                <w:vanish/>
              </w:rPr>
            </w:pPr>
          </w:p>
        </w:tc>
        <w:tc>
          <w:tcPr>
            <w:tcW w:w="0" w:type="auto"/>
            <w:gridSpan w:val="3"/>
            <w:shd w:val="clear" w:color="auto" w:fill="auto"/>
            <w:vAlign w:val="bottom"/>
          </w:tcPr>
          <w:p w14:paraId="71D429DF" w14:textId="77777777" w:rsidR="006A3667" w:rsidRDefault="006A3667">
            <w:pPr>
              <w:rPr>
                <w:rFonts w:ascii="宋体"/>
                <w:vanish/>
              </w:rPr>
            </w:pPr>
          </w:p>
        </w:tc>
        <w:tc>
          <w:tcPr>
            <w:tcW w:w="0" w:type="auto"/>
            <w:gridSpan w:val="3"/>
            <w:shd w:val="clear" w:color="auto" w:fill="auto"/>
            <w:vAlign w:val="bottom"/>
          </w:tcPr>
          <w:p w14:paraId="71D429E0" w14:textId="77777777" w:rsidR="006A3667" w:rsidRDefault="006A3667">
            <w:pPr>
              <w:rPr>
                <w:rFonts w:ascii="宋体"/>
                <w:vanish/>
              </w:rPr>
            </w:pPr>
          </w:p>
        </w:tc>
        <w:tc>
          <w:tcPr>
            <w:tcW w:w="0" w:type="auto"/>
            <w:gridSpan w:val="3"/>
            <w:shd w:val="clear" w:color="auto" w:fill="auto"/>
            <w:vAlign w:val="bottom"/>
          </w:tcPr>
          <w:p w14:paraId="71D429E1" w14:textId="77777777" w:rsidR="006A3667" w:rsidRDefault="006A3667">
            <w:pPr>
              <w:rPr>
                <w:rFonts w:ascii="宋体"/>
                <w:vanish/>
              </w:rPr>
            </w:pPr>
          </w:p>
        </w:tc>
      </w:tr>
      <w:tr w:rsidR="006A3667" w14:paraId="71D429F5" w14:textId="77777777">
        <w:trPr>
          <w:jc w:val="center"/>
          <w:hidden/>
        </w:trPr>
        <w:tc>
          <w:tcPr>
            <w:tcW w:w="0" w:type="auto"/>
            <w:gridSpan w:val="3"/>
            <w:shd w:val="clear" w:color="auto" w:fill="auto"/>
            <w:vAlign w:val="bottom"/>
          </w:tcPr>
          <w:p w14:paraId="71D429E3" w14:textId="77777777" w:rsidR="006A3667" w:rsidRDefault="006A3667">
            <w:pPr>
              <w:rPr>
                <w:rFonts w:ascii="宋体"/>
                <w:vanish/>
              </w:rPr>
            </w:pPr>
          </w:p>
        </w:tc>
        <w:tc>
          <w:tcPr>
            <w:tcW w:w="0" w:type="auto"/>
            <w:gridSpan w:val="3"/>
            <w:shd w:val="clear" w:color="auto" w:fill="auto"/>
            <w:vAlign w:val="bottom"/>
          </w:tcPr>
          <w:p w14:paraId="71D429E4" w14:textId="77777777" w:rsidR="006A3667" w:rsidRDefault="006A3667">
            <w:pPr>
              <w:rPr>
                <w:rFonts w:ascii="宋体"/>
                <w:vanish/>
              </w:rPr>
            </w:pPr>
          </w:p>
        </w:tc>
        <w:tc>
          <w:tcPr>
            <w:tcW w:w="0" w:type="auto"/>
            <w:gridSpan w:val="3"/>
            <w:shd w:val="clear" w:color="auto" w:fill="auto"/>
            <w:vAlign w:val="bottom"/>
          </w:tcPr>
          <w:p w14:paraId="71D429E5" w14:textId="77777777" w:rsidR="006A3667" w:rsidRDefault="006A3667">
            <w:pPr>
              <w:rPr>
                <w:rFonts w:ascii="宋体"/>
                <w:vanish/>
              </w:rPr>
            </w:pPr>
          </w:p>
        </w:tc>
        <w:tc>
          <w:tcPr>
            <w:tcW w:w="0" w:type="auto"/>
            <w:gridSpan w:val="3"/>
            <w:shd w:val="clear" w:color="auto" w:fill="auto"/>
            <w:vAlign w:val="bottom"/>
          </w:tcPr>
          <w:p w14:paraId="71D429E6" w14:textId="77777777" w:rsidR="006A3667" w:rsidRDefault="006A3667">
            <w:pPr>
              <w:rPr>
                <w:rFonts w:ascii="宋体"/>
                <w:vanish/>
              </w:rPr>
            </w:pPr>
          </w:p>
        </w:tc>
        <w:tc>
          <w:tcPr>
            <w:tcW w:w="0" w:type="auto"/>
            <w:gridSpan w:val="3"/>
            <w:shd w:val="clear" w:color="auto" w:fill="auto"/>
            <w:vAlign w:val="bottom"/>
          </w:tcPr>
          <w:p w14:paraId="71D429E7" w14:textId="77777777" w:rsidR="006A3667" w:rsidRDefault="006A3667">
            <w:pPr>
              <w:rPr>
                <w:rFonts w:ascii="宋体"/>
                <w:vanish/>
              </w:rPr>
            </w:pPr>
          </w:p>
        </w:tc>
        <w:tc>
          <w:tcPr>
            <w:tcW w:w="0" w:type="auto"/>
            <w:gridSpan w:val="3"/>
            <w:shd w:val="clear" w:color="auto" w:fill="auto"/>
            <w:vAlign w:val="bottom"/>
          </w:tcPr>
          <w:p w14:paraId="71D429E8" w14:textId="77777777" w:rsidR="006A3667" w:rsidRDefault="006A3667">
            <w:pPr>
              <w:rPr>
                <w:rFonts w:ascii="宋体"/>
                <w:vanish/>
              </w:rPr>
            </w:pPr>
          </w:p>
        </w:tc>
        <w:tc>
          <w:tcPr>
            <w:tcW w:w="0" w:type="auto"/>
            <w:gridSpan w:val="3"/>
            <w:shd w:val="clear" w:color="auto" w:fill="auto"/>
            <w:vAlign w:val="bottom"/>
          </w:tcPr>
          <w:p w14:paraId="71D429E9" w14:textId="77777777" w:rsidR="006A3667" w:rsidRDefault="006A3667">
            <w:pPr>
              <w:rPr>
                <w:rFonts w:ascii="宋体"/>
                <w:vanish/>
              </w:rPr>
            </w:pPr>
          </w:p>
        </w:tc>
        <w:tc>
          <w:tcPr>
            <w:tcW w:w="0" w:type="auto"/>
            <w:gridSpan w:val="3"/>
            <w:shd w:val="clear" w:color="auto" w:fill="auto"/>
            <w:vAlign w:val="bottom"/>
          </w:tcPr>
          <w:p w14:paraId="71D429EA" w14:textId="77777777" w:rsidR="006A3667" w:rsidRDefault="006A3667">
            <w:pPr>
              <w:rPr>
                <w:rFonts w:ascii="宋体"/>
                <w:vanish/>
              </w:rPr>
            </w:pPr>
          </w:p>
        </w:tc>
        <w:tc>
          <w:tcPr>
            <w:tcW w:w="0" w:type="auto"/>
            <w:gridSpan w:val="3"/>
            <w:shd w:val="clear" w:color="auto" w:fill="auto"/>
            <w:vAlign w:val="bottom"/>
          </w:tcPr>
          <w:p w14:paraId="71D429EB" w14:textId="77777777" w:rsidR="006A3667" w:rsidRDefault="006A3667">
            <w:pPr>
              <w:rPr>
                <w:rFonts w:ascii="宋体"/>
                <w:vanish/>
              </w:rPr>
            </w:pPr>
          </w:p>
        </w:tc>
        <w:tc>
          <w:tcPr>
            <w:tcW w:w="0" w:type="auto"/>
            <w:gridSpan w:val="3"/>
            <w:shd w:val="clear" w:color="auto" w:fill="auto"/>
            <w:vAlign w:val="bottom"/>
          </w:tcPr>
          <w:p w14:paraId="71D429EC" w14:textId="77777777" w:rsidR="006A3667" w:rsidRDefault="006A3667">
            <w:pPr>
              <w:rPr>
                <w:rFonts w:ascii="宋体"/>
                <w:vanish/>
              </w:rPr>
            </w:pPr>
          </w:p>
        </w:tc>
        <w:tc>
          <w:tcPr>
            <w:tcW w:w="0" w:type="auto"/>
            <w:gridSpan w:val="3"/>
            <w:shd w:val="clear" w:color="auto" w:fill="auto"/>
            <w:vAlign w:val="bottom"/>
          </w:tcPr>
          <w:p w14:paraId="71D429ED" w14:textId="77777777" w:rsidR="006A3667" w:rsidRDefault="006A3667">
            <w:pPr>
              <w:rPr>
                <w:rFonts w:ascii="宋体"/>
                <w:vanish/>
              </w:rPr>
            </w:pPr>
          </w:p>
        </w:tc>
        <w:tc>
          <w:tcPr>
            <w:tcW w:w="0" w:type="auto"/>
            <w:gridSpan w:val="3"/>
            <w:shd w:val="clear" w:color="auto" w:fill="auto"/>
            <w:vAlign w:val="bottom"/>
          </w:tcPr>
          <w:p w14:paraId="71D429EE" w14:textId="77777777" w:rsidR="006A3667" w:rsidRDefault="006A3667">
            <w:pPr>
              <w:rPr>
                <w:rFonts w:ascii="宋体"/>
                <w:vanish/>
              </w:rPr>
            </w:pPr>
          </w:p>
        </w:tc>
        <w:tc>
          <w:tcPr>
            <w:tcW w:w="0" w:type="auto"/>
            <w:gridSpan w:val="3"/>
            <w:shd w:val="clear" w:color="auto" w:fill="auto"/>
            <w:vAlign w:val="bottom"/>
          </w:tcPr>
          <w:p w14:paraId="71D429EF" w14:textId="77777777" w:rsidR="006A3667" w:rsidRDefault="006A3667">
            <w:pPr>
              <w:rPr>
                <w:rFonts w:ascii="宋体"/>
                <w:vanish/>
              </w:rPr>
            </w:pPr>
          </w:p>
        </w:tc>
        <w:tc>
          <w:tcPr>
            <w:tcW w:w="0" w:type="auto"/>
            <w:gridSpan w:val="3"/>
            <w:shd w:val="clear" w:color="auto" w:fill="auto"/>
            <w:vAlign w:val="bottom"/>
          </w:tcPr>
          <w:p w14:paraId="71D429F0" w14:textId="77777777" w:rsidR="006A3667" w:rsidRDefault="006A3667">
            <w:pPr>
              <w:rPr>
                <w:rFonts w:ascii="宋体"/>
                <w:vanish/>
              </w:rPr>
            </w:pPr>
          </w:p>
        </w:tc>
        <w:tc>
          <w:tcPr>
            <w:tcW w:w="0" w:type="auto"/>
            <w:gridSpan w:val="3"/>
            <w:shd w:val="clear" w:color="auto" w:fill="auto"/>
            <w:vAlign w:val="bottom"/>
          </w:tcPr>
          <w:p w14:paraId="71D429F1" w14:textId="77777777" w:rsidR="006A3667" w:rsidRDefault="006A3667">
            <w:pPr>
              <w:rPr>
                <w:rFonts w:ascii="宋体"/>
                <w:vanish/>
              </w:rPr>
            </w:pPr>
          </w:p>
        </w:tc>
        <w:tc>
          <w:tcPr>
            <w:tcW w:w="0" w:type="auto"/>
            <w:gridSpan w:val="3"/>
            <w:shd w:val="clear" w:color="auto" w:fill="auto"/>
            <w:vAlign w:val="bottom"/>
          </w:tcPr>
          <w:p w14:paraId="71D429F2" w14:textId="77777777" w:rsidR="006A3667" w:rsidRDefault="006A3667">
            <w:pPr>
              <w:rPr>
                <w:rFonts w:ascii="宋体"/>
                <w:vanish/>
              </w:rPr>
            </w:pPr>
          </w:p>
        </w:tc>
        <w:tc>
          <w:tcPr>
            <w:tcW w:w="0" w:type="auto"/>
            <w:gridSpan w:val="3"/>
            <w:shd w:val="clear" w:color="auto" w:fill="auto"/>
            <w:vAlign w:val="bottom"/>
          </w:tcPr>
          <w:p w14:paraId="71D429F3" w14:textId="77777777" w:rsidR="006A3667" w:rsidRDefault="006A3667">
            <w:pPr>
              <w:rPr>
                <w:rFonts w:ascii="宋体"/>
                <w:vanish/>
              </w:rPr>
            </w:pPr>
          </w:p>
        </w:tc>
        <w:tc>
          <w:tcPr>
            <w:tcW w:w="0" w:type="auto"/>
            <w:gridSpan w:val="3"/>
            <w:shd w:val="clear" w:color="auto" w:fill="auto"/>
            <w:vAlign w:val="bottom"/>
          </w:tcPr>
          <w:p w14:paraId="71D429F4" w14:textId="77777777" w:rsidR="006A3667" w:rsidRDefault="006A3667">
            <w:pPr>
              <w:rPr>
                <w:rFonts w:ascii="宋体"/>
                <w:vanish/>
              </w:rPr>
            </w:pPr>
          </w:p>
        </w:tc>
      </w:tr>
      <w:tr w:rsidR="006A3667" w14:paraId="71D42A08" w14:textId="77777777">
        <w:trPr>
          <w:jc w:val="center"/>
          <w:hidden/>
        </w:trPr>
        <w:tc>
          <w:tcPr>
            <w:tcW w:w="0" w:type="auto"/>
            <w:gridSpan w:val="3"/>
            <w:shd w:val="clear" w:color="auto" w:fill="auto"/>
            <w:vAlign w:val="bottom"/>
          </w:tcPr>
          <w:p w14:paraId="71D429F6" w14:textId="77777777" w:rsidR="006A3667" w:rsidRDefault="006A3667">
            <w:pPr>
              <w:rPr>
                <w:rFonts w:ascii="宋体"/>
                <w:vanish/>
              </w:rPr>
            </w:pPr>
          </w:p>
        </w:tc>
        <w:tc>
          <w:tcPr>
            <w:tcW w:w="0" w:type="auto"/>
            <w:gridSpan w:val="3"/>
            <w:shd w:val="clear" w:color="auto" w:fill="auto"/>
            <w:vAlign w:val="bottom"/>
          </w:tcPr>
          <w:p w14:paraId="71D429F7" w14:textId="77777777" w:rsidR="006A3667" w:rsidRDefault="006A3667">
            <w:pPr>
              <w:rPr>
                <w:rFonts w:ascii="宋体"/>
                <w:vanish/>
              </w:rPr>
            </w:pPr>
          </w:p>
        </w:tc>
        <w:tc>
          <w:tcPr>
            <w:tcW w:w="0" w:type="auto"/>
            <w:gridSpan w:val="3"/>
            <w:shd w:val="clear" w:color="auto" w:fill="auto"/>
            <w:vAlign w:val="bottom"/>
          </w:tcPr>
          <w:p w14:paraId="71D429F8" w14:textId="77777777" w:rsidR="006A3667" w:rsidRDefault="006A3667">
            <w:pPr>
              <w:rPr>
                <w:rFonts w:ascii="宋体"/>
                <w:vanish/>
              </w:rPr>
            </w:pPr>
          </w:p>
        </w:tc>
        <w:tc>
          <w:tcPr>
            <w:tcW w:w="0" w:type="auto"/>
            <w:gridSpan w:val="3"/>
            <w:shd w:val="clear" w:color="auto" w:fill="auto"/>
            <w:vAlign w:val="bottom"/>
          </w:tcPr>
          <w:p w14:paraId="71D429F9" w14:textId="77777777" w:rsidR="006A3667" w:rsidRDefault="006A3667">
            <w:pPr>
              <w:rPr>
                <w:rFonts w:ascii="宋体"/>
                <w:vanish/>
              </w:rPr>
            </w:pPr>
          </w:p>
        </w:tc>
        <w:tc>
          <w:tcPr>
            <w:tcW w:w="0" w:type="auto"/>
            <w:gridSpan w:val="3"/>
            <w:shd w:val="clear" w:color="auto" w:fill="auto"/>
            <w:vAlign w:val="bottom"/>
          </w:tcPr>
          <w:p w14:paraId="71D429FA" w14:textId="77777777" w:rsidR="006A3667" w:rsidRDefault="006A3667">
            <w:pPr>
              <w:rPr>
                <w:rFonts w:ascii="宋体"/>
                <w:vanish/>
              </w:rPr>
            </w:pPr>
          </w:p>
        </w:tc>
        <w:tc>
          <w:tcPr>
            <w:tcW w:w="0" w:type="auto"/>
            <w:gridSpan w:val="3"/>
            <w:shd w:val="clear" w:color="auto" w:fill="auto"/>
            <w:vAlign w:val="bottom"/>
          </w:tcPr>
          <w:p w14:paraId="71D429FB" w14:textId="77777777" w:rsidR="006A3667" w:rsidRDefault="006A3667">
            <w:pPr>
              <w:rPr>
                <w:rFonts w:ascii="宋体"/>
                <w:vanish/>
              </w:rPr>
            </w:pPr>
          </w:p>
        </w:tc>
        <w:tc>
          <w:tcPr>
            <w:tcW w:w="0" w:type="auto"/>
            <w:gridSpan w:val="3"/>
            <w:shd w:val="clear" w:color="auto" w:fill="auto"/>
            <w:vAlign w:val="bottom"/>
          </w:tcPr>
          <w:p w14:paraId="71D429FC" w14:textId="77777777" w:rsidR="006A3667" w:rsidRDefault="006A3667">
            <w:pPr>
              <w:rPr>
                <w:rFonts w:ascii="宋体"/>
                <w:vanish/>
              </w:rPr>
            </w:pPr>
          </w:p>
        </w:tc>
        <w:tc>
          <w:tcPr>
            <w:tcW w:w="0" w:type="auto"/>
            <w:gridSpan w:val="3"/>
            <w:shd w:val="clear" w:color="auto" w:fill="auto"/>
            <w:vAlign w:val="bottom"/>
          </w:tcPr>
          <w:p w14:paraId="71D429FD" w14:textId="77777777" w:rsidR="006A3667" w:rsidRDefault="006A3667">
            <w:pPr>
              <w:rPr>
                <w:rFonts w:ascii="宋体"/>
                <w:vanish/>
              </w:rPr>
            </w:pPr>
          </w:p>
        </w:tc>
        <w:tc>
          <w:tcPr>
            <w:tcW w:w="0" w:type="auto"/>
            <w:gridSpan w:val="3"/>
            <w:shd w:val="clear" w:color="auto" w:fill="auto"/>
            <w:vAlign w:val="bottom"/>
          </w:tcPr>
          <w:p w14:paraId="71D429FE" w14:textId="77777777" w:rsidR="006A3667" w:rsidRDefault="006A3667">
            <w:pPr>
              <w:rPr>
                <w:rFonts w:ascii="宋体"/>
                <w:vanish/>
              </w:rPr>
            </w:pPr>
          </w:p>
        </w:tc>
        <w:tc>
          <w:tcPr>
            <w:tcW w:w="0" w:type="auto"/>
            <w:gridSpan w:val="3"/>
            <w:shd w:val="clear" w:color="auto" w:fill="auto"/>
            <w:vAlign w:val="bottom"/>
          </w:tcPr>
          <w:p w14:paraId="71D429FF" w14:textId="77777777" w:rsidR="006A3667" w:rsidRDefault="006A3667">
            <w:pPr>
              <w:rPr>
                <w:rFonts w:ascii="宋体"/>
                <w:vanish/>
              </w:rPr>
            </w:pPr>
          </w:p>
        </w:tc>
        <w:tc>
          <w:tcPr>
            <w:tcW w:w="0" w:type="auto"/>
            <w:gridSpan w:val="3"/>
            <w:shd w:val="clear" w:color="auto" w:fill="auto"/>
            <w:vAlign w:val="bottom"/>
          </w:tcPr>
          <w:p w14:paraId="71D42A00" w14:textId="77777777" w:rsidR="006A3667" w:rsidRDefault="006A3667">
            <w:pPr>
              <w:rPr>
                <w:rFonts w:ascii="宋体"/>
                <w:vanish/>
              </w:rPr>
            </w:pPr>
          </w:p>
        </w:tc>
        <w:tc>
          <w:tcPr>
            <w:tcW w:w="0" w:type="auto"/>
            <w:gridSpan w:val="3"/>
            <w:shd w:val="clear" w:color="auto" w:fill="auto"/>
            <w:vAlign w:val="bottom"/>
          </w:tcPr>
          <w:p w14:paraId="71D42A01" w14:textId="77777777" w:rsidR="006A3667" w:rsidRDefault="006A3667">
            <w:pPr>
              <w:rPr>
                <w:rFonts w:ascii="宋体"/>
                <w:vanish/>
              </w:rPr>
            </w:pPr>
          </w:p>
        </w:tc>
        <w:tc>
          <w:tcPr>
            <w:tcW w:w="0" w:type="auto"/>
            <w:gridSpan w:val="3"/>
            <w:shd w:val="clear" w:color="auto" w:fill="auto"/>
            <w:vAlign w:val="bottom"/>
          </w:tcPr>
          <w:p w14:paraId="71D42A02" w14:textId="77777777" w:rsidR="006A3667" w:rsidRDefault="006A3667">
            <w:pPr>
              <w:rPr>
                <w:rFonts w:ascii="宋体"/>
                <w:vanish/>
              </w:rPr>
            </w:pPr>
          </w:p>
        </w:tc>
        <w:tc>
          <w:tcPr>
            <w:tcW w:w="0" w:type="auto"/>
            <w:gridSpan w:val="3"/>
            <w:shd w:val="clear" w:color="auto" w:fill="auto"/>
            <w:vAlign w:val="bottom"/>
          </w:tcPr>
          <w:p w14:paraId="71D42A03" w14:textId="77777777" w:rsidR="006A3667" w:rsidRDefault="006A3667">
            <w:pPr>
              <w:rPr>
                <w:rFonts w:ascii="宋体"/>
                <w:vanish/>
              </w:rPr>
            </w:pPr>
          </w:p>
        </w:tc>
        <w:tc>
          <w:tcPr>
            <w:tcW w:w="0" w:type="auto"/>
            <w:gridSpan w:val="3"/>
            <w:shd w:val="clear" w:color="auto" w:fill="auto"/>
            <w:vAlign w:val="bottom"/>
          </w:tcPr>
          <w:p w14:paraId="71D42A04" w14:textId="77777777" w:rsidR="006A3667" w:rsidRDefault="006A3667">
            <w:pPr>
              <w:rPr>
                <w:rFonts w:ascii="宋体"/>
                <w:vanish/>
              </w:rPr>
            </w:pPr>
          </w:p>
        </w:tc>
        <w:tc>
          <w:tcPr>
            <w:tcW w:w="0" w:type="auto"/>
            <w:gridSpan w:val="3"/>
            <w:shd w:val="clear" w:color="auto" w:fill="auto"/>
            <w:vAlign w:val="bottom"/>
          </w:tcPr>
          <w:p w14:paraId="71D42A05" w14:textId="77777777" w:rsidR="006A3667" w:rsidRDefault="006A3667">
            <w:pPr>
              <w:rPr>
                <w:rFonts w:ascii="宋体"/>
                <w:vanish/>
              </w:rPr>
            </w:pPr>
          </w:p>
        </w:tc>
        <w:tc>
          <w:tcPr>
            <w:tcW w:w="0" w:type="auto"/>
            <w:gridSpan w:val="3"/>
            <w:shd w:val="clear" w:color="auto" w:fill="auto"/>
            <w:vAlign w:val="bottom"/>
          </w:tcPr>
          <w:p w14:paraId="71D42A06" w14:textId="77777777" w:rsidR="006A3667" w:rsidRDefault="006A3667">
            <w:pPr>
              <w:rPr>
                <w:rFonts w:ascii="宋体"/>
                <w:vanish/>
              </w:rPr>
            </w:pPr>
          </w:p>
        </w:tc>
        <w:tc>
          <w:tcPr>
            <w:tcW w:w="0" w:type="auto"/>
            <w:gridSpan w:val="3"/>
            <w:shd w:val="clear" w:color="auto" w:fill="auto"/>
            <w:vAlign w:val="bottom"/>
          </w:tcPr>
          <w:p w14:paraId="71D42A07" w14:textId="77777777" w:rsidR="006A3667" w:rsidRDefault="006A3667">
            <w:pPr>
              <w:rPr>
                <w:rFonts w:ascii="宋体"/>
                <w:vanish/>
              </w:rPr>
            </w:pPr>
          </w:p>
        </w:tc>
      </w:tr>
      <w:tr w:rsidR="006A3667" w14:paraId="71D42A1B" w14:textId="77777777">
        <w:trPr>
          <w:jc w:val="center"/>
          <w:hidden/>
        </w:trPr>
        <w:tc>
          <w:tcPr>
            <w:tcW w:w="0" w:type="auto"/>
            <w:gridSpan w:val="3"/>
            <w:shd w:val="clear" w:color="auto" w:fill="auto"/>
            <w:vAlign w:val="bottom"/>
          </w:tcPr>
          <w:p w14:paraId="71D42A09" w14:textId="77777777" w:rsidR="006A3667" w:rsidRDefault="006A3667">
            <w:pPr>
              <w:rPr>
                <w:rFonts w:ascii="宋体"/>
                <w:vanish/>
              </w:rPr>
            </w:pPr>
          </w:p>
        </w:tc>
        <w:tc>
          <w:tcPr>
            <w:tcW w:w="0" w:type="auto"/>
            <w:gridSpan w:val="3"/>
            <w:shd w:val="clear" w:color="auto" w:fill="auto"/>
            <w:vAlign w:val="bottom"/>
          </w:tcPr>
          <w:p w14:paraId="71D42A0A" w14:textId="77777777" w:rsidR="006A3667" w:rsidRDefault="006A3667">
            <w:pPr>
              <w:rPr>
                <w:rFonts w:ascii="宋体"/>
                <w:vanish/>
              </w:rPr>
            </w:pPr>
          </w:p>
        </w:tc>
        <w:tc>
          <w:tcPr>
            <w:tcW w:w="0" w:type="auto"/>
            <w:gridSpan w:val="3"/>
            <w:shd w:val="clear" w:color="auto" w:fill="auto"/>
            <w:vAlign w:val="bottom"/>
          </w:tcPr>
          <w:p w14:paraId="71D42A0B" w14:textId="77777777" w:rsidR="006A3667" w:rsidRDefault="006A3667">
            <w:pPr>
              <w:rPr>
                <w:rFonts w:ascii="宋体"/>
                <w:vanish/>
              </w:rPr>
            </w:pPr>
          </w:p>
        </w:tc>
        <w:tc>
          <w:tcPr>
            <w:tcW w:w="0" w:type="auto"/>
            <w:gridSpan w:val="3"/>
            <w:shd w:val="clear" w:color="auto" w:fill="auto"/>
            <w:vAlign w:val="bottom"/>
          </w:tcPr>
          <w:p w14:paraId="71D42A0C" w14:textId="77777777" w:rsidR="006A3667" w:rsidRDefault="006A3667">
            <w:pPr>
              <w:rPr>
                <w:rFonts w:ascii="宋体"/>
                <w:vanish/>
              </w:rPr>
            </w:pPr>
          </w:p>
        </w:tc>
        <w:tc>
          <w:tcPr>
            <w:tcW w:w="0" w:type="auto"/>
            <w:gridSpan w:val="3"/>
            <w:shd w:val="clear" w:color="auto" w:fill="auto"/>
            <w:vAlign w:val="bottom"/>
          </w:tcPr>
          <w:p w14:paraId="71D42A0D" w14:textId="77777777" w:rsidR="006A3667" w:rsidRDefault="006A3667">
            <w:pPr>
              <w:rPr>
                <w:rFonts w:ascii="宋体"/>
                <w:vanish/>
              </w:rPr>
            </w:pPr>
          </w:p>
        </w:tc>
        <w:tc>
          <w:tcPr>
            <w:tcW w:w="0" w:type="auto"/>
            <w:gridSpan w:val="3"/>
            <w:shd w:val="clear" w:color="auto" w:fill="auto"/>
            <w:vAlign w:val="bottom"/>
          </w:tcPr>
          <w:p w14:paraId="71D42A0E" w14:textId="77777777" w:rsidR="006A3667" w:rsidRDefault="006A3667">
            <w:pPr>
              <w:rPr>
                <w:rFonts w:ascii="宋体"/>
                <w:vanish/>
              </w:rPr>
            </w:pPr>
          </w:p>
        </w:tc>
        <w:tc>
          <w:tcPr>
            <w:tcW w:w="0" w:type="auto"/>
            <w:gridSpan w:val="3"/>
            <w:shd w:val="clear" w:color="auto" w:fill="auto"/>
            <w:vAlign w:val="bottom"/>
          </w:tcPr>
          <w:p w14:paraId="71D42A0F" w14:textId="77777777" w:rsidR="006A3667" w:rsidRDefault="006A3667">
            <w:pPr>
              <w:rPr>
                <w:rFonts w:ascii="宋体"/>
                <w:vanish/>
              </w:rPr>
            </w:pPr>
          </w:p>
        </w:tc>
        <w:tc>
          <w:tcPr>
            <w:tcW w:w="0" w:type="auto"/>
            <w:gridSpan w:val="3"/>
            <w:shd w:val="clear" w:color="auto" w:fill="auto"/>
            <w:vAlign w:val="bottom"/>
          </w:tcPr>
          <w:p w14:paraId="71D42A10" w14:textId="77777777" w:rsidR="006A3667" w:rsidRDefault="006A3667">
            <w:pPr>
              <w:rPr>
                <w:rFonts w:ascii="宋体"/>
                <w:vanish/>
              </w:rPr>
            </w:pPr>
          </w:p>
        </w:tc>
        <w:tc>
          <w:tcPr>
            <w:tcW w:w="0" w:type="auto"/>
            <w:gridSpan w:val="3"/>
            <w:shd w:val="clear" w:color="auto" w:fill="auto"/>
            <w:vAlign w:val="bottom"/>
          </w:tcPr>
          <w:p w14:paraId="71D42A11" w14:textId="77777777" w:rsidR="006A3667" w:rsidRDefault="006A3667">
            <w:pPr>
              <w:rPr>
                <w:rFonts w:ascii="宋体"/>
                <w:vanish/>
              </w:rPr>
            </w:pPr>
          </w:p>
        </w:tc>
        <w:tc>
          <w:tcPr>
            <w:tcW w:w="0" w:type="auto"/>
            <w:gridSpan w:val="3"/>
            <w:shd w:val="clear" w:color="auto" w:fill="auto"/>
            <w:vAlign w:val="bottom"/>
          </w:tcPr>
          <w:p w14:paraId="71D42A12" w14:textId="77777777" w:rsidR="006A3667" w:rsidRDefault="006A3667">
            <w:pPr>
              <w:rPr>
                <w:rFonts w:ascii="宋体"/>
                <w:vanish/>
              </w:rPr>
            </w:pPr>
          </w:p>
        </w:tc>
        <w:tc>
          <w:tcPr>
            <w:tcW w:w="0" w:type="auto"/>
            <w:gridSpan w:val="3"/>
            <w:shd w:val="clear" w:color="auto" w:fill="auto"/>
            <w:vAlign w:val="bottom"/>
          </w:tcPr>
          <w:p w14:paraId="71D42A13" w14:textId="77777777" w:rsidR="006A3667" w:rsidRDefault="006A3667">
            <w:pPr>
              <w:rPr>
                <w:rFonts w:ascii="宋体"/>
                <w:vanish/>
              </w:rPr>
            </w:pPr>
          </w:p>
        </w:tc>
        <w:tc>
          <w:tcPr>
            <w:tcW w:w="0" w:type="auto"/>
            <w:gridSpan w:val="3"/>
            <w:shd w:val="clear" w:color="auto" w:fill="auto"/>
            <w:vAlign w:val="bottom"/>
          </w:tcPr>
          <w:p w14:paraId="71D42A14" w14:textId="77777777" w:rsidR="006A3667" w:rsidRDefault="006A3667">
            <w:pPr>
              <w:rPr>
                <w:rFonts w:ascii="宋体"/>
                <w:vanish/>
              </w:rPr>
            </w:pPr>
          </w:p>
        </w:tc>
        <w:tc>
          <w:tcPr>
            <w:tcW w:w="0" w:type="auto"/>
            <w:gridSpan w:val="3"/>
            <w:shd w:val="clear" w:color="auto" w:fill="auto"/>
            <w:vAlign w:val="bottom"/>
          </w:tcPr>
          <w:p w14:paraId="71D42A15" w14:textId="77777777" w:rsidR="006A3667" w:rsidRDefault="006A3667">
            <w:pPr>
              <w:rPr>
                <w:rFonts w:ascii="宋体"/>
                <w:vanish/>
              </w:rPr>
            </w:pPr>
          </w:p>
        </w:tc>
        <w:tc>
          <w:tcPr>
            <w:tcW w:w="0" w:type="auto"/>
            <w:gridSpan w:val="3"/>
            <w:shd w:val="clear" w:color="auto" w:fill="auto"/>
            <w:vAlign w:val="bottom"/>
          </w:tcPr>
          <w:p w14:paraId="71D42A16" w14:textId="77777777" w:rsidR="006A3667" w:rsidRDefault="006A3667">
            <w:pPr>
              <w:rPr>
                <w:rFonts w:ascii="宋体"/>
                <w:vanish/>
              </w:rPr>
            </w:pPr>
          </w:p>
        </w:tc>
        <w:tc>
          <w:tcPr>
            <w:tcW w:w="0" w:type="auto"/>
            <w:gridSpan w:val="3"/>
            <w:shd w:val="clear" w:color="auto" w:fill="auto"/>
            <w:vAlign w:val="bottom"/>
          </w:tcPr>
          <w:p w14:paraId="71D42A17" w14:textId="77777777" w:rsidR="006A3667" w:rsidRDefault="006A3667">
            <w:pPr>
              <w:rPr>
                <w:rFonts w:ascii="宋体"/>
                <w:vanish/>
              </w:rPr>
            </w:pPr>
          </w:p>
        </w:tc>
        <w:tc>
          <w:tcPr>
            <w:tcW w:w="0" w:type="auto"/>
            <w:gridSpan w:val="3"/>
            <w:shd w:val="clear" w:color="auto" w:fill="auto"/>
            <w:vAlign w:val="bottom"/>
          </w:tcPr>
          <w:p w14:paraId="71D42A18" w14:textId="77777777" w:rsidR="006A3667" w:rsidRDefault="006A3667">
            <w:pPr>
              <w:rPr>
                <w:rFonts w:ascii="宋体"/>
                <w:vanish/>
              </w:rPr>
            </w:pPr>
          </w:p>
        </w:tc>
        <w:tc>
          <w:tcPr>
            <w:tcW w:w="0" w:type="auto"/>
            <w:gridSpan w:val="3"/>
            <w:shd w:val="clear" w:color="auto" w:fill="auto"/>
            <w:vAlign w:val="bottom"/>
          </w:tcPr>
          <w:p w14:paraId="71D42A19" w14:textId="77777777" w:rsidR="006A3667" w:rsidRDefault="006A3667">
            <w:pPr>
              <w:rPr>
                <w:rFonts w:ascii="宋体"/>
                <w:vanish/>
              </w:rPr>
            </w:pPr>
          </w:p>
        </w:tc>
        <w:tc>
          <w:tcPr>
            <w:tcW w:w="0" w:type="auto"/>
            <w:gridSpan w:val="3"/>
            <w:shd w:val="clear" w:color="auto" w:fill="auto"/>
            <w:vAlign w:val="bottom"/>
          </w:tcPr>
          <w:p w14:paraId="71D42A1A" w14:textId="77777777" w:rsidR="006A3667" w:rsidRDefault="006A3667">
            <w:pPr>
              <w:rPr>
                <w:rFonts w:ascii="宋体"/>
                <w:vanish/>
              </w:rPr>
            </w:pPr>
          </w:p>
        </w:tc>
      </w:tr>
      <w:tr w:rsidR="006A3667" w14:paraId="71D42A2E" w14:textId="77777777">
        <w:trPr>
          <w:jc w:val="center"/>
          <w:hidden/>
        </w:trPr>
        <w:tc>
          <w:tcPr>
            <w:tcW w:w="0" w:type="auto"/>
            <w:gridSpan w:val="3"/>
            <w:shd w:val="clear" w:color="auto" w:fill="auto"/>
            <w:vAlign w:val="bottom"/>
          </w:tcPr>
          <w:p w14:paraId="71D42A1C" w14:textId="77777777" w:rsidR="006A3667" w:rsidRDefault="006A3667">
            <w:pPr>
              <w:rPr>
                <w:rFonts w:ascii="宋体"/>
                <w:vanish/>
              </w:rPr>
            </w:pPr>
          </w:p>
        </w:tc>
        <w:tc>
          <w:tcPr>
            <w:tcW w:w="0" w:type="auto"/>
            <w:gridSpan w:val="3"/>
            <w:shd w:val="clear" w:color="auto" w:fill="auto"/>
            <w:vAlign w:val="bottom"/>
          </w:tcPr>
          <w:p w14:paraId="71D42A1D" w14:textId="77777777" w:rsidR="006A3667" w:rsidRDefault="006A3667">
            <w:pPr>
              <w:rPr>
                <w:rFonts w:ascii="宋体"/>
                <w:vanish/>
              </w:rPr>
            </w:pPr>
          </w:p>
        </w:tc>
        <w:tc>
          <w:tcPr>
            <w:tcW w:w="0" w:type="auto"/>
            <w:gridSpan w:val="3"/>
            <w:shd w:val="clear" w:color="auto" w:fill="auto"/>
            <w:vAlign w:val="bottom"/>
          </w:tcPr>
          <w:p w14:paraId="71D42A1E" w14:textId="77777777" w:rsidR="006A3667" w:rsidRDefault="006A3667">
            <w:pPr>
              <w:rPr>
                <w:rFonts w:ascii="宋体"/>
                <w:vanish/>
              </w:rPr>
            </w:pPr>
          </w:p>
        </w:tc>
        <w:tc>
          <w:tcPr>
            <w:tcW w:w="0" w:type="auto"/>
            <w:gridSpan w:val="3"/>
            <w:shd w:val="clear" w:color="auto" w:fill="auto"/>
            <w:vAlign w:val="bottom"/>
          </w:tcPr>
          <w:p w14:paraId="71D42A1F" w14:textId="77777777" w:rsidR="006A3667" w:rsidRDefault="006A3667">
            <w:pPr>
              <w:rPr>
                <w:rFonts w:ascii="宋体"/>
                <w:vanish/>
              </w:rPr>
            </w:pPr>
          </w:p>
        </w:tc>
        <w:tc>
          <w:tcPr>
            <w:tcW w:w="0" w:type="auto"/>
            <w:gridSpan w:val="3"/>
            <w:shd w:val="clear" w:color="auto" w:fill="auto"/>
            <w:vAlign w:val="bottom"/>
          </w:tcPr>
          <w:p w14:paraId="71D42A20" w14:textId="77777777" w:rsidR="006A3667" w:rsidRDefault="006A3667">
            <w:pPr>
              <w:rPr>
                <w:rFonts w:ascii="宋体"/>
                <w:vanish/>
              </w:rPr>
            </w:pPr>
          </w:p>
        </w:tc>
        <w:tc>
          <w:tcPr>
            <w:tcW w:w="0" w:type="auto"/>
            <w:gridSpan w:val="3"/>
            <w:shd w:val="clear" w:color="auto" w:fill="auto"/>
            <w:vAlign w:val="bottom"/>
          </w:tcPr>
          <w:p w14:paraId="71D42A21" w14:textId="77777777" w:rsidR="006A3667" w:rsidRDefault="006A3667">
            <w:pPr>
              <w:rPr>
                <w:rFonts w:ascii="宋体"/>
                <w:vanish/>
              </w:rPr>
            </w:pPr>
          </w:p>
        </w:tc>
        <w:tc>
          <w:tcPr>
            <w:tcW w:w="0" w:type="auto"/>
            <w:gridSpan w:val="3"/>
            <w:shd w:val="clear" w:color="auto" w:fill="auto"/>
            <w:vAlign w:val="bottom"/>
          </w:tcPr>
          <w:p w14:paraId="71D42A22" w14:textId="77777777" w:rsidR="006A3667" w:rsidRDefault="006A3667">
            <w:pPr>
              <w:rPr>
                <w:rFonts w:ascii="宋体"/>
                <w:vanish/>
              </w:rPr>
            </w:pPr>
          </w:p>
        </w:tc>
        <w:tc>
          <w:tcPr>
            <w:tcW w:w="0" w:type="auto"/>
            <w:gridSpan w:val="3"/>
            <w:shd w:val="clear" w:color="auto" w:fill="auto"/>
            <w:vAlign w:val="bottom"/>
          </w:tcPr>
          <w:p w14:paraId="71D42A23" w14:textId="77777777" w:rsidR="006A3667" w:rsidRDefault="006A3667">
            <w:pPr>
              <w:rPr>
                <w:rFonts w:ascii="宋体"/>
                <w:vanish/>
              </w:rPr>
            </w:pPr>
          </w:p>
        </w:tc>
        <w:tc>
          <w:tcPr>
            <w:tcW w:w="0" w:type="auto"/>
            <w:gridSpan w:val="3"/>
            <w:shd w:val="clear" w:color="auto" w:fill="auto"/>
            <w:vAlign w:val="bottom"/>
          </w:tcPr>
          <w:p w14:paraId="71D42A24" w14:textId="77777777" w:rsidR="006A3667" w:rsidRDefault="006A3667">
            <w:pPr>
              <w:rPr>
                <w:rFonts w:ascii="宋体"/>
                <w:vanish/>
              </w:rPr>
            </w:pPr>
          </w:p>
        </w:tc>
        <w:tc>
          <w:tcPr>
            <w:tcW w:w="0" w:type="auto"/>
            <w:gridSpan w:val="3"/>
            <w:shd w:val="clear" w:color="auto" w:fill="auto"/>
            <w:vAlign w:val="bottom"/>
          </w:tcPr>
          <w:p w14:paraId="71D42A25" w14:textId="77777777" w:rsidR="006A3667" w:rsidRDefault="006A3667">
            <w:pPr>
              <w:rPr>
                <w:rFonts w:ascii="宋体"/>
                <w:vanish/>
              </w:rPr>
            </w:pPr>
          </w:p>
        </w:tc>
        <w:tc>
          <w:tcPr>
            <w:tcW w:w="0" w:type="auto"/>
            <w:gridSpan w:val="3"/>
            <w:shd w:val="clear" w:color="auto" w:fill="auto"/>
            <w:vAlign w:val="bottom"/>
          </w:tcPr>
          <w:p w14:paraId="71D42A26" w14:textId="77777777" w:rsidR="006A3667" w:rsidRDefault="006A3667">
            <w:pPr>
              <w:rPr>
                <w:rFonts w:ascii="宋体"/>
                <w:vanish/>
              </w:rPr>
            </w:pPr>
          </w:p>
        </w:tc>
        <w:tc>
          <w:tcPr>
            <w:tcW w:w="0" w:type="auto"/>
            <w:gridSpan w:val="3"/>
            <w:shd w:val="clear" w:color="auto" w:fill="auto"/>
            <w:vAlign w:val="bottom"/>
          </w:tcPr>
          <w:p w14:paraId="71D42A27" w14:textId="77777777" w:rsidR="006A3667" w:rsidRDefault="006A3667">
            <w:pPr>
              <w:rPr>
                <w:rFonts w:ascii="宋体"/>
                <w:vanish/>
              </w:rPr>
            </w:pPr>
          </w:p>
        </w:tc>
        <w:tc>
          <w:tcPr>
            <w:tcW w:w="0" w:type="auto"/>
            <w:gridSpan w:val="3"/>
            <w:shd w:val="clear" w:color="auto" w:fill="auto"/>
            <w:vAlign w:val="bottom"/>
          </w:tcPr>
          <w:p w14:paraId="71D42A28" w14:textId="77777777" w:rsidR="006A3667" w:rsidRDefault="006A3667">
            <w:pPr>
              <w:rPr>
                <w:rFonts w:ascii="宋体"/>
                <w:vanish/>
              </w:rPr>
            </w:pPr>
          </w:p>
        </w:tc>
        <w:tc>
          <w:tcPr>
            <w:tcW w:w="0" w:type="auto"/>
            <w:gridSpan w:val="3"/>
            <w:shd w:val="clear" w:color="auto" w:fill="auto"/>
            <w:vAlign w:val="bottom"/>
          </w:tcPr>
          <w:p w14:paraId="71D42A29" w14:textId="77777777" w:rsidR="006A3667" w:rsidRDefault="006A3667">
            <w:pPr>
              <w:rPr>
                <w:rFonts w:ascii="宋体"/>
                <w:vanish/>
              </w:rPr>
            </w:pPr>
          </w:p>
        </w:tc>
        <w:tc>
          <w:tcPr>
            <w:tcW w:w="0" w:type="auto"/>
            <w:gridSpan w:val="3"/>
            <w:shd w:val="clear" w:color="auto" w:fill="auto"/>
            <w:vAlign w:val="bottom"/>
          </w:tcPr>
          <w:p w14:paraId="71D42A2A" w14:textId="77777777" w:rsidR="006A3667" w:rsidRDefault="006A3667">
            <w:pPr>
              <w:rPr>
                <w:rFonts w:ascii="宋体"/>
                <w:vanish/>
              </w:rPr>
            </w:pPr>
          </w:p>
        </w:tc>
        <w:tc>
          <w:tcPr>
            <w:tcW w:w="0" w:type="auto"/>
            <w:gridSpan w:val="3"/>
            <w:shd w:val="clear" w:color="auto" w:fill="auto"/>
            <w:vAlign w:val="bottom"/>
          </w:tcPr>
          <w:p w14:paraId="71D42A2B" w14:textId="77777777" w:rsidR="006A3667" w:rsidRDefault="006A3667">
            <w:pPr>
              <w:rPr>
                <w:rFonts w:ascii="宋体"/>
                <w:vanish/>
              </w:rPr>
            </w:pPr>
          </w:p>
        </w:tc>
        <w:tc>
          <w:tcPr>
            <w:tcW w:w="0" w:type="auto"/>
            <w:gridSpan w:val="3"/>
            <w:shd w:val="clear" w:color="auto" w:fill="auto"/>
            <w:vAlign w:val="bottom"/>
          </w:tcPr>
          <w:p w14:paraId="71D42A2C" w14:textId="77777777" w:rsidR="006A3667" w:rsidRDefault="006A3667">
            <w:pPr>
              <w:rPr>
                <w:rFonts w:ascii="宋体"/>
                <w:vanish/>
              </w:rPr>
            </w:pPr>
          </w:p>
        </w:tc>
        <w:tc>
          <w:tcPr>
            <w:tcW w:w="0" w:type="auto"/>
            <w:gridSpan w:val="3"/>
            <w:shd w:val="clear" w:color="auto" w:fill="auto"/>
            <w:vAlign w:val="bottom"/>
          </w:tcPr>
          <w:p w14:paraId="71D42A2D" w14:textId="77777777" w:rsidR="006A3667" w:rsidRDefault="006A3667">
            <w:pPr>
              <w:rPr>
                <w:rFonts w:ascii="宋体"/>
                <w:vanish/>
              </w:rPr>
            </w:pPr>
          </w:p>
        </w:tc>
      </w:tr>
      <w:tr w:rsidR="006A3667" w14:paraId="71D42A41" w14:textId="77777777">
        <w:trPr>
          <w:jc w:val="center"/>
          <w:hidden/>
        </w:trPr>
        <w:tc>
          <w:tcPr>
            <w:tcW w:w="0" w:type="auto"/>
            <w:gridSpan w:val="3"/>
            <w:shd w:val="clear" w:color="auto" w:fill="auto"/>
            <w:vAlign w:val="bottom"/>
          </w:tcPr>
          <w:p w14:paraId="71D42A2F" w14:textId="77777777" w:rsidR="006A3667" w:rsidRDefault="006A3667">
            <w:pPr>
              <w:rPr>
                <w:rFonts w:ascii="宋体"/>
                <w:vanish/>
              </w:rPr>
            </w:pPr>
          </w:p>
        </w:tc>
        <w:tc>
          <w:tcPr>
            <w:tcW w:w="0" w:type="auto"/>
            <w:gridSpan w:val="3"/>
            <w:shd w:val="clear" w:color="auto" w:fill="auto"/>
            <w:vAlign w:val="bottom"/>
          </w:tcPr>
          <w:p w14:paraId="71D42A30" w14:textId="77777777" w:rsidR="006A3667" w:rsidRDefault="006A3667">
            <w:pPr>
              <w:rPr>
                <w:rFonts w:ascii="宋体"/>
                <w:vanish/>
              </w:rPr>
            </w:pPr>
          </w:p>
        </w:tc>
        <w:tc>
          <w:tcPr>
            <w:tcW w:w="0" w:type="auto"/>
            <w:gridSpan w:val="3"/>
            <w:shd w:val="clear" w:color="auto" w:fill="auto"/>
            <w:vAlign w:val="bottom"/>
          </w:tcPr>
          <w:p w14:paraId="71D42A31" w14:textId="77777777" w:rsidR="006A3667" w:rsidRDefault="006A3667">
            <w:pPr>
              <w:rPr>
                <w:rFonts w:ascii="宋体"/>
                <w:vanish/>
              </w:rPr>
            </w:pPr>
          </w:p>
        </w:tc>
        <w:tc>
          <w:tcPr>
            <w:tcW w:w="0" w:type="auto"/>
            <w:gridSpan w:val="3"/>
            <w:shd w:val="clear" w:color="auto" w:fill="auto"/>
            <w:vAlign w:val="bottom"/>
          </w:tcPr>
          <w:p w14:paraId="71D42A32" w14:textId="77777777" w:rsidR="006A3667" w:rsidRDefault="006A3667">
            <w:pPr>
              <w:rPr>
                <w:rFonts w:ascii="宋体"/>
                <w:vanish/>
              </w:rPr>
            </w:pPr>
          </w:p>
        </w:tc>
        <w:tc>
          <w:tcPr>
            <w:tcW w:w="0" w:type="auto"/>
            <w:gridSpan w:val="3"/>
            <w:shd w:val="clear" w:color="auto" w:fill="auto"/>
            <w:vAlign w:val="bottom"/>
          </w:tcPr>
          <w:p w14:paraId="71D42A33" w14:textId="77777777" w:rsidR="006A3667" w:rsidRDefault="006A3667">
            <w:pPr>
              <w:rPr>
                <w:rFonts w:ascii="宋体"/>
                <w:vanish/>
              </w:rPr>
            </w:pPr>
          </w:p>
        </w:tc>
        <w:tc>
          <w:tcPr>
            <w:tcW w:w="0" w:type="auto"/>
            <w:gridSpan w:val="3"/>
            <w:shd w:val="clear" w:color="auto" w:fill="auto"/>
            <w:vAlign w:val="bottom"/>
          </w:tcPr>
          <w:p w14:paraId="71D42A34" w14:textId="77777777" w:rsidR="006A3667" w:rsidRDefault="006A3667">
            <w:pPr>
              <w:rPr>
                <w:rFonts w:ascii="宋体"/>
                <w:vanish/>
              </w:rPr>
            </w:pPr>
          </w:p>
        </w:tc>
        <w:tc>
          <w:tcPr>
            <w:tcW w:w="0" w:type="auto"/>
            <w:gridSpan w:val="3"/>
            <w:shd w:val="clear" w:color="auto" w:fill="auto"/>
            <w:vAlign w:val="bottom"/>
          </w:tcPr>
          <w:p w14:paraId="71D42A35" w14:textId="77777777" w:rsidR="006A3667" w:rsidRDefault="006A3667">
            <w:pPr>
              <w:rPr>
                <w:rFonts w:ascii="宋体"/>
                <w:vanish/>
              </w:rPr>
            </w:pPr>
          </w:p>
        </w:tc>
        <w:tc>
          <w:tcPr>
            <w:tcW w:w="0" w:type="auto"/>
            <w:gridSpan w:val="3"/>
            <w:shd w:val="clear" w:color="auto" w:fill="auto"/>
            <w:vAlign w:val="bottom"/>
          </w:tcPr>
          <w:p w14:paraId="71D42A36" w14:textId="77777777" w:rsidR="006A3667" w:rsidRDefault="006A3667">
            <w:pPr>
              <w:rPr>
                <w:rFonts w:ascii="宋体"/>
                <w:vanish/>
              </w:rPr>
            </w:pPr>
          </w:p>
        </w:tc>
        <w:tc>
          <w:tcPr>
            <w:tcW w:w="0" w:type="auto"/>
            <w:gridSpan w:val="3"/>
            <w:shd w:val="clear" w:color="auto" w:fill="auto"/>
            <w:vAlign w:val="bottom"/>
          </w:tcPr>
          <w:p w14:paraId="71D42A37" w14:textId="77777777" w:rsidR="006A3667" w:rsidRDefault="006A3667">
            <w:pPr>
              <w:rPr>
                <w:rFonts w:ascii="宋体"/>
                <w:vanish/>
              </w:rPr>
            </w:pPr>
          </w:p>
        </w:tc>
        <w:tc>
          <w:tcPr>
            <w:tcW w:w="0" w:type="auto"/>
            <w:gridSpan w:val="3"/>
            <w:shd w:val="clear" w:color="auto" w:fill="auto"/>
            <w:vAlign w:val="bottom"/>
          </w:tcPr>
          <w:p w14:paraId="71D42A38" w14:textId="77777777" w:rsidR="006A3667" w:rsidRDefault="006A3667">
            <w:pPr>
              <w:rPr>
                <w:rFonts w:ascii="宋体"/>
                <w:vanish/>
              </w:rPr>
            </w:pPr>
          </w:p>
        </w:tc>
        <w:tc>
          <w:tcPr>
            <w:tcW w:w="0" w:type="auto"/>
            <w:gridSpan w:val="3"/>
            <w:shd w:val="clear" w:color="auto" w:fill="auto"/>
            <w:vAlign w:val="bottom"/>
          </w:tcPr>
          <w:p w14:paraId="71D42A39" w14:textId="77777777" w:rsidR="006A3667" w:rsidRDefault="006A3667">
            <w:pPr>
              <w:rPr>
                <w:rFonts w:ascii="宋体"/>
                <w:vanish/>
              </w:rPr>
            </w:pPr>
          </w:p>
        </w:tc>
        <w:tc>
          <w:tcPr>
            <w:tcW w:w="0" w:type="auto"/>
            <w:gridSpan w:val="3"/>
            <w:shd w:val="clear" w:color="auto" w:fill="auto"/>
            <w:vAlign w:val="bottom"/>
          </w:tcPr>
          <w:p w14:paraId="71D42A3A" w14:textId="77777777" w:rsidR="006A3667" w:rsidRDefault="006A3667">
            <w:pPr>
              <w:rPr>
                <w:rFonts w:ascii="宋体"/>
                <w:vanish/>
              </w:rPr>
            </w:pPr>
          </w:p>
        </w:tc>
        <w:tc>
          <w:tcPr>
            <w:tcW w:w="0" w:type="auto"/>
            <w:gridSpan w:val="3"/>
            <w:shd w:val="clear" w:color="auto" w:fill="auto"/>
            <w:vAlign w:val="bottom"/>
          </w:tcPr>
          <w:p w14:paraId="71D42A3B" w14:textId="77777777" w:rsidR="006A3667" w:rsidRDefault="006A3667">
            <w:pPr>
              <w:rPr>
                <w:rFonts w:ascii="宋体"/>
                <w:vanish/>
              </w:rPr>
            </w:pPr>
          </w:p>
        </w:tc>
        <w:tc>
          <w:tcPr>
            <w:tcW w:w="0" w:type="auto"/>
            <w:gridSpan w:val="3"/>
            <w:shd w:val="clear" w:color="auto" w:fill="auto"/>
            <w:vAlign w:val="bottom"/>
          </w:tcPr>
          <w:p w14:paraId="71D42A3C" w14:textId="77777777" w:rsidR="006A3667" w:rsidRDefault="006A3667">
            <w:pPr>
              <w:rPr>
                <w:rFonts w:ascii="宋体"/>
                <w:vanish/>
              </w:rPr>
            </w:pPr>
          </w:p>
        </w:tc>
        <w:tc>
          <w:tcPr>
            <w:tcW w:w="0" w:type="auto"/>
            <w:gridSpan w:val="3"/>
            <w:shd w:val="clear" w:color="auto" w:fill="auto"/>
            <w:vAlign w:val="bottom"/>
          </w:tcPr>
          <w:p w14:paraId="71D42A3D" w14:textId="77777777" w:rsidR="006A3667" w:rsidRDefault="006A3667">
            <w:pPr>
              <w:rPr>
                <w:rFonts w:ascii="宋体"/>
                <w:vanish/>
              </w:rPr>
            </w:pPr>
          </w:p>
        </w:tc>
        <w:tc>
          <w:tcPr>
            <w:tcW w:w="0" w:type="auto"/>
            <w:gridSpan w:val="3"/>
            <w:shd w:val="clear" w:color="auto" w:fill="auto"/>
            <w:vAlign w:val="bottom"/>
          </w:tcPr>
          <w:p w14:paraId="71D42A3E" w14:textId="77777777" w:rsidR="006A3667" w:rsidRDefault="006A3667">
            <w:pPr>
              <w:rPr>
                <w:rFonts w:ascii="宋体"/>
                <w:vanish/>
              </w:rPr>
            </w:pPr>
          </w:p>
        </w:tc>
        <w:tc>
          <w:tcPr>
            <w:tcW w:w="0" w:type="auto"/>
            <w:gridSpan w:val="3"/>
            <w:shd w:val="clear" w:color="auto" w:fill="auto"/>
            <w:vAlign w:val="bottom"/>
          </w:tcPr>
          <w:p w14:paraId="71D42A3F" w14:textId="77777777" w:rsidR="006A3667" w:rsidRDefault="006A3667">
            <w:pPr>
              <w:rPr>
                <w:rFonts w:ascii="宋体"/>
                <w:vanish/>
              </w:rPr>
            </w:pPr>
          </w:p>
        </w:tc>
        <w:tc>
          <w:tcPr>
            <w:tcW w:w="0" w:type="auto"/>
            <w:gridSpan w:val="3"/>
            <w:shd w:val="clear" w:color="auto" w:fill="auto"/>
            <w:vAlign w:val="bottom"/>
          </w:tcPr>
          <w:p w14:paraId="71D42A40" w14:textId="77777777" w:rsidR="006A3667" w:rsidRDefault="006A3667">
            <w:pPr>
              <w:rPr>
                <w:rFonts w:ascii="宋体"/>
                <w:vanish/>
              </w:rPr>
            </w:pPr>
          </w:p>
        </w:tc>
      </w:tr>
      <w:tr w:rsidR="006A3667" w14:paraId="71D42A54" w14:textId="77777777">
        <w:trPr>
          <w:jc w:val="center"/>
          <w:hidden/>
        </w:trPr>
        <w:tc>
          <w:tcPr>
            <w:tcW w:w="0" w:type="auto"/>
            <w:gridSpan w:val="3"/>
            <w:shd w:val="clear" w:color="auto" w:fill="auto"/>
            <w:vAlign w:val="bottom"/>
          </w:tcPr>
          <w:p w14:paraId="71D42A42" w14:textId="77777777" w:rsidR="006A3667" w:rsidRDefault="006A3667">
            <w:pPr>
              <w:rPr>
                <w:rFonts w:ascii="宋体"/>
                <w:vanish/>
              </w:rPr>
            </w:pPr>
          </w:p>
        </w:tc>
        <w:tc>
          <w:tcPr>
            <w:tcW w:w="0" w:type="auto"/>
            <w:gridSpan w:val="3"/>
            <w:shd w:val="clear" w:color="auto" w:fill="auto"/>
            <w:vAlign w:val="bottom"/>
          </w:tcPr>
          <w:p w14:paraId="71D42A43" w14:textId="77777777" w:rsidR="006A3667" w:rsidRDefault="006A3667">
            <w:pPr>
              <w:rPr>
                <w:rFonts w:ascii="宋体"/>
                <w:vanish/>
              </w:rPr>
            </w:pPr>
          </w:p>
        </w:tc>
        <w:tc>
          <w:tcPr>
            <w:tcW w:w="0" w:type="auto"/>
            <w:gridSpan w:val="3"/>
            <w:shd w:val="clear" w:color="auto" w:fill="auto"/>
            <w:vAlign w:val="bottom"/>
          </w:tcPr>
          <w:p w14:paraId="71D42A44" w14:textId="77777777" w:rsidR="006A3667" w:rsidRDefault="006A3667">
            <w:pPr>
              <w:rPr>
                <w:rFonts w:ascii="宋体"/>
                <w:vanish/>
              </w:rPr>
            </w:pPr>
          </w:p>
        </w:tc>
        <w:tc>
          <w:tcPr>
            <w:tcW w:w="0" w:type="auto"/>
            <w:gridSpan w:val="3"/>
            <w:shd w:val="clear" w:color="auto" w:fill="auto"/>
            <w:vAlign w:val="bottom"/>
          </w:tcPr>
          <w:p w14:paraId="71D42A45" w14:textId="77777777" w:rsidR="006A3667" w:rsidRDefault="006A3667">
            <w:pPr>
              <w:rPr>
                <w:rFonts w:ascii="宋体"/>
                <w:vanish/>
              </w:rPr>
            </w:pPr>
          </w:p>
        </w:tc>
        <w:tc>
          <w:tcPr>
            <w:tcW w:w="0" w:type="auto"/>
            <w:gridSpan w:val="3"/>
            <w:shd w:val="clear" w:color="auto" w:fill="auto"/>
            <w:vAlign w:val="bottom"/>
          </w:tcPr>
          <w:p w14:paraId="71D42A46" w14:textId="77777777" w:rsidR="006A3667" w:rsidRDefault="006A3667">
            <w:pPr>
              <w:rPr>
                <w:rFonts w:ascii="宋体"/>
                <w:vanish/>
              </w:rPr>
            </w:pPr>
          </w:p>
        </w:tc>
        <w:tc>
          <w:tcPr>
            <w:tcW w:w="0" w:type="auto"/>
            <w:gridSpan w:val="3"/>
            <w:shd w:val="clear" w:color="auto" w:fill="auto"/>
            <w:vAlign w:val="bottom"/>
          </w:tcPr>
          <w:p w14:paraId="71D42A47" w14:textId="77777777" w:rsidR="006A3667" w:rsidRDefault="006A3667">
            <w:pPr>
              <w:rPr>
                <w:rFonts w:ascii="宋体"/>
                <w:vanish/>
              </w:rPr>
            </w:pPr>
          </w:p>
        </w:tc>
        <w:tc>
          <w:tcPr>
            <w:tcW w:w="0" w:type="auto"/>
            <w:gridSpan w:val="3"/>
            <w:shd w:val="clear" w:color="auto" w:fill="auto"/>
            <w:vAlign w:val="bottom"/>
          </w:tcPr>
          <w:p w14:paraId="71D42A48" w14:textId="77777777" w:rsidR="006A3667" w:rsidRDefault="006A3667">
            <w:pPr>
              <w:rPr>
                <w:rFonts w:ascii="宋体"/>
                <w:vanish/>
              </w:rPr>
            </w:pPr>
          </w:p>
        </w:tc>
        <w:tc>
          <w:tcPr>
            <w:tcW w:w="0" w:type="auto"/>
            <w:gridSpan w:val="3"/>
            <w:shd w:val="clear" w:color="auto" w:fill="auto"/>
            <w:vAlign w:val="bottom"/>
          </w:tcPr>
          <w:p w14:paraId="71D42A49" w14:textId="77777777" w:rsidR="006A3667" w:rsidRDefault="006A3667">
            <w:pPr>
              <w:rPr>
                <w:rFonts w:ascii="宋体"/>
                <w:vanish/>
              </w:rPr>
            </w:pPr>
          </w:p>
        </w:tc>
        <w:tc>
          <w:tcPr>
            <w:tcW w:w="0" w:type="auto"/>
            <w:gridSpan w:val="3"/>
            <w:shd w:val="clear" w:color="auto" w:fill="auto"/>
            <w:vAlign w:val="bottom"/>
          </w:tcPr>
          <w:p w14:paraId="71D42A4A" w14:textId="77777777" w:rsidR="006A3667" w:rsidRDefault="006A3667">
            <w:pPr>
              <w:rPr>
                <w:rFonts w:ascii="宋体"/>
                <w:vanish/>
              </w:rPr>
            </w:pPr>
          </w:p>
        </w:tc>
        <w:tc>
          <w:tcPr>
            <w:tcW w:w="0" w:type="auto"/>
            <w:gridSpan w:val="3"/>
            <w:shd w:val="clear" w:color="auto" w:fill="auto"/>
            <w:vAlign w:val="bottom"/>
          </w:tcPr>
          <w:p w14:paraId="71D42A4B" w14:textId="77777777" w:rsidR="006A3667" w:rsidRDefault="006A3667">
            <w:pPr>
              <w:rPr>
                <w:rFonts w:ascii="宋体"/>
                <w:vanish/>
              </w:rPr>
            </w:pPr>
          </w:p>
        </w:tc>
        <w:tc>
          <w:tcPr>
            <w:tcW w:w="0" w:type="auto"/>
            <w:gridSpan w:val="3"/>
            <w:shd w:val="clear" w:color="auto" w:fill="auto"/>
            <w:vAlign w:val="bottom"/>
          </w:tcPr>
          <w:p w14:paraId="71D42A4C" w14:textId="77777777" w:rsidR="006A3667" w:rsidRDefault="006A3667">
            <w:pPr>
              <w:rPr>
                <w:rFonts w:ascii="宋体"/>
                <w:vanish/>
              </w:rPr>
            </w:pPr>
          </w:p>
        </w:tc>
        <w:tc>
          <w:tcPr>
            <w:tcW w:w="0" w:type="auto"/>
            <w:gridSpan w:val="3"/>
            <w:shd w:val="clear" w:color="auto" w:fill="auto"/>
            <w:vAlign w:val="bottom"/>
          </w:tcPr>
          <w:p w14:paraId="71D42A4D" w14:textId="77777777" w:rsidR="006A3667" w:rsidRDefault="006A3667">
            <w:pPr>
              <w:rPr>
                <w:rFonts w:ascii="宋体"/>
                <w:vanish/>
              </w:rPr>
            </w:pPr>
          </w:p>
        </w:tc>
        <w:tc>
          <w:tcPr>
            <w:tcW w:w="0" w:type="auto"/>
            <w:gridSpan w:val="3"/>
            <w:shd w:val="clear" w:color="auto" w:fill="auto"/>
            <w:vAlign w:val="bottom"/>
          </w:tcPr>
          <w:p w14:paraId="71D42A4E" w14:textId="77777777" w:rsidR="006A3667" w:rsidRDefault="006A3667">
            <w:pPr>
              <w:rPr>
                <w:rFonts w:ascii="宋体"/>
                <w:vanish/>
              </w:rPr>
            </w:pPr>
          </w:p>
        </w:tc>
        <w:tc>
          <w:tcPr>
            <w:tcW w:w="0" w:type="auto"/>
            <w:gridSpan w:val="3"/>
            <w:shd w:val="clear" w:color="auto" w:fill="auto"/>
            <w:vAlign w:val="bottom"/>
          </w:tcPr>
          <w:p w14:paraId="71D42A4F" w14:textId="77777777" w:rsidR="006A3667" w:rsidRDefault="006A3667">
            <w:pPr>
              <w:rPr>
                <w:rFonts w:ascii="宋体"/>
                <w:vanish/>
              </w:rPr>
            </w:pPr>
          </w:p>
        </w:tc>
        <w:tc>
          <w:tcPr>
            <w:tcW w:w="0" w:type="auto"/>
            <w:gridSpan w:val="3"/>
            <w:shd w:val="clear" w:color="auto" w:fill="auto"/>
            <w:vAlign w:val="bottom"/>
          </w:tcPr>
          <w:p w14:paraId="71D42A50" w14:textId="77777777" w:rsidR="006A3667" w:rsidRDefault="006A3667">
            <w:pPr>
              <w:rPr>
                <w:rFonts w:ascii="宋体"/>
                <w:vanish/>
              </w:rPr>
            </w:pPr>
          </w:p>
        </w:tc>
        <w:tc>
          <w:tcPr>
            <w:tcW w:w="0" w:type="auto"/>
            <w:gridSpan w:val="3"/>
            <w:shd w:val="clear" w:color="auto" w:fill="auto"/>
            <w:vAlign w:val="bottom"/>
          </w:tcPr>
          <w:p w14:paraId="71D42A51" w14:textId="77777777" w:rsidR="006A3667" w:rsidRDefault="006A3667">
            <w:pPr>
              <w:rPr>
                <w:rFonts w:ascii="宋体"/>
                <w:vanish/>
              </w:rPr>
            </w:pPr>
          </w:p>
        </w:tc>
        <w:tc>
          <w:tcPr>
            <w:tcW w:w="0" w:type="auto"/>
            <w:gridSpan w:val="3"/>
            <w:shd w:val="clear" w:color="auto" w:fill="auto"/>
            <w:vAlign w:val="bottom"/>
          </w:tcPr>
          <w:p w14:paraId="71D42A52" w14:textId="77777777" w:rsidR="006A3667" w:rsidRDefault="006A3667">
            <w:pPr>
              <w:rPr>
                <w:rFonts w:ascii="宋体"/>
                <w:vanish/>
              </w:rPr>
            </w:pPr>
          </w:p>
        </w:tc>
        <w:tc>
          <w:tcPr>
            <w:tcW w:w="0" w:type="auto"/>
            <w:gridSpan w:val="3"/>
            <w:shd w:val="clear" w:color="auto" w:fill="auto"/>
            <w:vAlign w:val="bottom"/>
          </w:tcPr>
          <w:p w14:paraId="71D42A53" w14:textId="77777777" w:rsidR="006A3667" w:rsidRDefault="006A3667">
            <w:pPr>
              <w:rPr>
                <w:rFonts w:ascii="宋体"/>
                <w:vanish/>
              </w:rPr>
            </w:pPr>
          </w:p>
        </w:tc>
      </w:tr>
      <w:tr w:rsidR="006A3667" w14:paraId="71D42A67" w14:textId="77777777">
        <w:trPr>
          <w:jc w:val="center"/>
          <w:hidden/>
        </w:trPr>
        <w:tc>
          <w:tcPr>
            <w:tcW w:w="0" w:type="auto"/>
            <w:gridSpan w:val="3"/>
            <w:shd w:val="clear" w:color="auto" w:fill="auto"/>
            <w:vAlign w:val="bottom"/>
          </w:tcPr>
          <w:p w14:paraId="71D42A55" w14:textId="77777777" w:rsidR="006A3667" w:rsidRDefault="006A3667">
            <w:pPr>
              <w:rPr>
                <w:rFonts w:ascii="宋体"/>
                <w:vanish/>
              </w:rPr>
            </w:pPr>
          </w:p>
        </w:tc>
        <w:tc>
          <w:tcPr>
            <w:tcW w:w="0" w:type="auto"/>
            <w:gridSpan w:val="3"/>
            <w:shd w:val="clear" w:color="auto" w:fill="auto"/>
            <w:vAlign w:val="bottom"/>
          </w:tcPr>
          <w:p w14:paraId="71D42A56" w14:textId="77777777" w:rsidR="006A3667" w:rsidRDefault="006A3667">
            <w:pPr>
              <w:rPr>
                <w:rFonts w:ascii="宋体"/>
                <w:vanish/>
              </w:rPr>
            </w:pPr>
          </w:p>
        </w:tc>
        <w:tc>
          <w:tcPr>
            <w:tcW w:w="0" w:type="auto"/>
            <w:gridSpan w:val="3"/>
            <w:shd w:val="clear" w:color="auto" w:fill="auto"/>
            <w:vAlign w:val="bottom"/>
          </w:tcPr>
          <w:p w14:paraId="71D42A57" w14:textId="77777777" w:rsidR="006A3667" w:rsidRDefault="006A3667">
            <w:pPr>
              <w:rPr>
                <w:rFonts w:ascii="宋体"/>
                <w:vanish/>
              </w:rPr>
            </w:pPr>
          </w:p>
        </w:tc>
        <w:tc>
          <w:tcPr>
            <w:tcW w:w="0" w:type="auto"/>
            <w:gridSpan w:val="3"/>
            <w:shd w:val="clear" w:color="auto" w:fill="auto"/>
            <w:vAlign w:val="bottom"/>
          </w:tcPr>
          <w:p w14:paraId="71D42A58" w14:textId="77777777" w:rsidR="006A3667" w:rsidRDefault="006A3667">
            <w:pPr>
              <w:rPr>
                <w:rFonts w:ascii="宋体"/>
                <w:vanish/>
              </w:rPr>
            </w:pPr>
          </w:p>
        </w:tc>
        <w:tc>
          <w:tcPr>
            <w:tcW w:w="0" w:type="auto"/>
            <w:gridSpan w:val="3"/>
            <w:shd w:val="clear" w:color="auto" w:fill="auto"/>
            <w:vAlign w:val="bottom"/>
          </w:tcPr>
          <w:p w14:paraId="71D42A59" w14:textId="77777777" w:rsidR="006A3667" w:rsidRDefault="006A3667">
            <w:pPr>
              <w:rPr>
                <w:rFonts w:ascii="宋体"/>
                <w:vanish/>
              </w:rPr>
            </w:pPr>
          </w:p>
        </w:tc>
        <w:tc>
          <w:tcPr>
            <w:tcW w:w="0" w:type="auto"/>
            <w:gridSpan w:val="3"/>
            <w:shd w:val="clear" w:color="auto" w:fill="auto"/>
            <w:vAlign w:val="bottom"/>
          </w:tcPr>
          <w:p w14:paraId="71D42A5A" w14:textId="77777777" w:rsidR="006A3667" w:rsidRDefault="006A3667">
            <w:pPr>
              <w:rPr>
                <w:rFonts w:ascii="宋体"/>
                <w:vanish/>
              </w:rPr>
            </w:pPr>
          </w:p>
        </w:tc>
        <w:tc>
          <w:tcPr>
            <w:tcW w:w="0" w:type="auto"/>
            <w:gridSpan w:val="3"/>
            <w:shd w:val="clear" w:color="auto" w:fill="auto"/>
            <w:vAlign w:val="bottom"/>
          </w:tcPr>
          <w:p w14:paraId="71D42A5B" w14:textId="77777777" w:rsidR="006A3667" w:rsidRDefault="006A3667">
            <w:pPr>
              <w:rPr>
                <w:rFonts w:ascii="宋体"/>
                <w:vanish/>
              </w:rPr>
            </w:pPr>
          </w:p>
        </w:tc>
        <w:tc>
          <w:tcPr>
            <w:tcW w:w="0" w:type="auto"/>
            <w:gridSpan w:val="3"/>
            <w:shd w:val="clear" w:color="auto" w:fill="auto"/>
            <w:vAlign w:val="bottom"/>
          </w:tcPr>
          <w:p w14:paraId="71D42A5C" w14:textId="77777777" w:rsidR="006A3667" w:rsidRDefault="006A3667">
            <w:pPr>
              <w:rPr>
                <w:rFonts w:ascii="宋体"/>
                <w:vanish/>
              </w:rPr>
            </w:pPr>
          </w:p>
        </w:tc>
        <w:tc>
          <w:tcPr>
            <w:tcW w:w="0" w:type="auto"/>
            <w:gridSpan w:val="3"/>
            <w:shd w:val="clear" w:color="auto" w:fill="auto"/>
            <w:vAlign w:val="bottom"/>
          </w:tcPr>
          <w:p w14:paraId="71D42A5D" w14:textId="77777777" w:rsidR="006A3667" w:rsidRDefault="006A3667">
            <w:pPr>
              <w:rPr>
                <w:rFonts w:ascii="宋体"/>
                <w:vanish/>
              </w:rPr>
            </w:pPr>
          </w:p>
        </w:tc>
        <w:tc>
          <w:tcPr>
            <w:tcW w:w="0" w:type="auto"/>
            <w:gridSpan w:val="3"/>
            <w:shd w:val="clear" w:color="auto" w:fill="auto"/>
            <w:vAlign w:val="bottom"/>
          </w:tcPr>
          <w:p w14:paraId="71D42A5E" w14:textId="77777777" w:rsidR="006A3667" w:rsidRDefault="006A3667">
            <w:pPr>
              <w:rPr>
                <w:rFonts w:ascii="宋体"/>
                <w:vanish/>
              </w:rPr>
            </w:pPr>
          </w:p>
        </w:tc>
        <w:tc>
          <w:tcPr>
            <w:tcW w:w="0" w:type="auto"/>
            <w:gridSpan w:val="3"/>
            <w:shd w:val="clear" w:color="auto" w:fill="auto"/>
            <w:vAlign w:val="bottom"/>
          </w:tcPr>
          <w:p w14:paraId="71D42A5F" w14:textId="77777777" w:rsidR="006A3667" w:rsidRDefault="006A3667">
            <w:pPr>
              <w:rPr>
                <w:rFonts w:ascii="宋体"/>
                <w:vanish/>
              </w:rPr>
            </w:pPr>
          </w:p>
        </w:tc>
        <w:tc>
          <w:tcPr>
            <w:tcW w:w="0" w:type="auto"/>
            <w:gridSpan w:val="3"/>
            <w:shd w:val="clear" w:color="auto" w:fill="auto"/>
            <w:vAlign w:val="bottom"/>
          </w:tcPr>
          <w:p w14:paraId="71D42A60" w14:textId="77777777" w:rsidR="006A3667" w:rsidRDefault="006A3667">
            <w:pPr>
              <w:rPr>
                <w:rFonts w:ascii="宋体"/>
                <w:vanish/>
              </w:rPr>
            </w:pPr>
          </w:p>
        </w:tc>
        <w:tc>
          <w:tcPr>
            <w:tcW w:w="0" w:type="auto"/>
            <w:gridSpan w:val="3"/>
            <w:shd w:val="clear" w:color="auto" w:fill="auto"/>
            <w:vAlign w:val="bottom"/>
          </w:tcPr>
          <w:p w14:paraId="71D42A61" w14:textId="77777777" w:rsidR="006A3667" w:rsidRDefault="006A3667">
            <w:pPr>
              <w:rPr>
                <w:rFonts w:ascii="宋体"/>
                <w:vanish/>
              </w:rPr>
            </w:pPr>
          </w:p>
        </w:tc>
        <w:tc>
          <w:tcPr>
            <w:tcW w:w="0" w:type="auto"/>
            <w:gridSpan w:val="3"/>
            <w:shd w:val="clear" w:color="auto" w:fill="auto"/>
            <w:vAlign w:val="bottom"/>
          </w:tcPr>
          <w:p w14:paraId="71D42A62" w14:textId="77777777" w:rsidR="006A3667" w:rsidRDefault="006A3667">
            <w:pPr>
              <w:rPr>
                <w:rFonts w:ascii="宋体"/>
                <w:vanish/>
              </w:rPr>
            </w:pPr>
          </w:p>
        </w:tc>
        <w:tc>
          <w:tcPr>
            <w:tcW w:w="0" w:type="auto"/>
            <w:gridSpan w:val="3"/>
            <w:shd w:val="clear" w:color="auto" w:fill="auto"/>
            <w:vAlign w:val="bottom"/>
          </w:tcPr>
          <w:p w14:paraId="71D42A63" w14:textId="77777777" w:rsidR="006A3667" w:rsidRDefault="006A3667">
            <w:pPr>
              <w:rPr>
                <w:rFonts w:ascii="宋体"/>
                <w:vanish/>
              </w:rPr>
            </w:pPr>
          </w:p>
        </w:tc>
        <w:tc>
          <w:tcPr>
            <w:tcW w:w="0" w:type="auto"/>
            <w:gridSpan w:val="3"/>
            <w:shd w:val="clear" w:color="auto" w:fill="auto"/>
            <w:vAlign w:val="bottom"/>
          </w:tcPr>
          <w:p w14:paraId="71D42A64" w14:textId="77777777" w:rsidR="006A3667" w:rsidRDefault="006A3667">
            <w:pPr>
              <w:rPr>
                <w:rFonts w:ascii="宋体"/>
                <w:vanish/>
              </w:rPr>
            </w:pPr>
          </w:p>
        </w:tc>
        <w:tc>
          <w:tcPr>
            <w:tcW w:w="0" w:type="auto"/>
            <w:gridSpan w:val="3"/>
            <w:shd w:val="clear" w:color="auto" w:fill="auto"/>
            <w:vAlign w:val="bottom"/>
          </w:tcPr>
          <w:p w14:paraId="71D42A65" w14:textId="77777777" w:rsidR="006A3667" w:rsidRDefault="006A3667">
            <w:pPr>
              <w:rPr>
                <w:rFonts w:ascii="宋体"/>
                <w:vanish/>
              </w:rPr>
            </w:pPr>
          </w:p>
        </w:tc>
        <w:tc>
          <w:tcPr>
            <w:tcW w:w="0" w:type="auto"/>
            <w:gridSpan w:val="3"/>
            <w:shd w:val="clear" w:color="auto" w:fill="auto"/>
            <w:vAlign w:val="bottom"/>
          </w:tcPr>
          <w:p w14:paraId="71D42A66" w14:textId="77777777" w:rsidR="006A3667" w:rsidRDefault="006A3667">
            <w:pPr>
              <w:rPr>
                <w:rFonts w:ascii="宋体"/>
                <w:vanish/>
              </w:rPr>
            </w:pPr>
          </w:p>
        </w:tc>
      </w:tr>
      <w:tr w:rsidR="006A3667" w14:paraId="71D42A7A" w14:textId="77777777">
        <w:trPr>
          <w:trHeight w:val="60"/>
          <w:jc w:val="center"/>
        </w:trPr>
        <w:tc>
          <w:tcPr>
            <w:tcW w:w="0" w:type="auto"/>
            <w:gridSpan w:val="3"/>
            <w:shd w:val="clear" w:color="auto" w:fill="auto"/>
            <w:tcMar>
              <w:top w:w="0" w:type="dxa"/>
              <w:left w:w="20" w:type="dxa"/>
              <w:bottom w:w="0" w:type="dxa"/>
              <w:right w:w="20" w:type="dxa"/>
            </w:tcMar>
            <w:vAlign w:val="bottom"/>
          </w:tcPr>
          <w:p w14:paraId="71D42A6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6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A6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6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A6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A6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6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A7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7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A7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7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A7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A7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7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2A7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2A79" w14:textId="77777777" w:rsidR="006A3667" w:rsidRDefault="006A3667">
            <w:pPr>
              <w:rPr>
                <w:rFonts w:ascii="宋体"/>
              </w:rPr>
            </w:pPr>
          </w:p>
        </w:tc>
      </w:tr>
      <w:tr w:rsidR="00045F32" w14:paraId="71D42A9D" w14:textId="77777777">
        <w:trPr>
          <w:jc w:val="center"/>
        </w:trPr>
        <w:tc>
          <w:tcPr>
            <w:tcW w:w="0" w:type="auto"/>
            <w:gridSpan w:val="3"/>
            <w:shd w:val="clear" w:color="auto" w:fill="CCEEFF"/>
            <w:tcMar>
              <w:top w:w="40" w:type="dxa"/>
              <w:left w:w="20" w:type="dxa"/>
              <w:bottom w:w="40" w:type="dxa"/>
              <w:right w:w="20" w:type="dxa"/>
            </w:tcMar>
            <w:vAlign w:val="bottom"/>
          </w:tcPr>
          <w:p w14:paraId="71D42A7B" w14:textId="77777777" w:rsidR="006A3667" w:rsidRDefault="00045F32">
            <w:pPr>
              <w:textAlignment w:val="bottom"/>
            </w:pPr>
            <w:r>
              <w:rPr>
                <w:rFonts w:ascii="Arial" w:eastAsia="宋体" w:hAnsi="Arial" w:cs="Arial"/>
                <w:b/>
                <w:bCs/>
                <w:color w:val="000000"/>
                <w:sz w:val="15"/>
                <w:szCs w:val="15"/>
              </w:rPr>
              <w:t>Balance at December 31, 2020</w:t>
            </w:r>
          </w:p>
        </w:tc>
        <w:tc>
          <w:tcPr>
            <w:tcW w:w="0" w:type="auto"/>
            <w:shd w:val="clear" w:color="auto" w:fill="CCEEFF"/>
            <w:tcMar>
              <w:top w:w="40" w:type="dxa"/>
              <w:left w:w="20" w:type="dxa"/>
              <w:bottom w:w="40" w:type="dxa"/>
              <w:right w:w="0" w:type="dxa"/>
            </w:tcMar>
            <w:vAlign w:val="bottom"/>
          </w:tcPr>
          <w:p w14:paraId="71D42A7C"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2A7D" w14:textId="77777777" w:rsidR="006A3667" w:rsidRDefault="00045F32">
            <w:pPr>
              <w:jc w:val="right"/>
              <w:textAlignment w:val="bottom"/>
            </w:pPr>
            <w:r>
              <w:rPr>
                <w:rFonts w:ascii="Arial" w:eastAsia="宋体" w:hAnsi="Arial" w:cs="Arial"/>
                <w:color w:val="000000"/>
                <w:sz w:val="15"/>
                <w:szCs w:val="15"/>
              </w:rPr>
              <w:t>2,471 </w:t>
            </w:r>
          </w:p>
        </w:tc>
        <w:tc>
          <w:tcPr>
            <w:tcW w:w="0" w:type="auto"/>
            <w:shd w:val="clear" w:color="auto" w:fill="CCEEFF"/>
            <w:tcMar>
              <w:top w:w="40" w:type="dxa"/>
              <w:left w:w="0" w:type="dxa"/>
              <w:bottom w:w="40" w:type="dxa"/>
              <w:right w:w="20" w:type="dxa"/>
            </w:tcMar>
            <w:vAlign w:val="bottom"/>
          </w:tcPr>
          <w:p w14:paraId="71D42A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7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A80" w14:textId="77777777" w:rsidR="006A3667" w:rsidRDefault="00045F32">
            <w:pPr>
              <w:jc w:val="right"/>
              <w:textAlignment w:val="bottom"/>
            </w:pPr>
            <w:r>
              <w:rPr>
                <w:rFonts w:ascii="Arial" w:eastAsia="宋体" w:hAnsi="Arial" w:cs="Arial"/>
                <w:color w:val="000000"/>
                <w:sz w:val="15"/>
                <w:szCs w:val="15"/>
              </w:rPr>
              <w:t>503,880 </w:t>
            </w:r>
          </w:p>
        </w:tc>
        <w:tc>
          <w:tcPr>
            <w:tcW w:w="0" w:type="auto"/>
            <w:shd w:val="clear" w:color="auto" w:fill="CCEEFF"/>
            <w:tcMar>
              <w:top w:w="40" w:type="dxa"/>
              <w:left w:w="0" w:type="dxa"/>
              <w:bottom w:w="40" w:type="dxa"/>
              <w:right w:w="20" w:type="dxa"/>
            </w:tcMar>
            <w:vAlign w:val="bottom"/>
          </w:tcPr>
          <w:p w14:paraId="71D42A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8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A83"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2A84" w14:textId="77777777" w:rsidR="006A3667" w:rsidRDefault="00045F32">
            <w:pPr>
              <w:jc w:val="right"/>
              <w:textAlignment w:val="bottom"/>
            </w:pPr>
            <w:r>
              <w:rPr>
                <w:rFonts w:ascii="Arial" w:eastAsia="宋体" w:hAnsi="Arial" w:cs="Arial"/>
                <w:color w:val="000000"/>
                <w:sz w:val="15"/>
                <w:szCs w:val="15"/>
              </w:rPr>
              <w:t>504 </w:t>
            </w:r>
          </w:p>
        </w:tc>
        <w:tc>
          <w:tcPr>
            <w:tcW w:w="0" w:type="auto"/>
            <w:shd w:val="clear" w:color="auto" w:fill="CCEEFF"/>
            <w:tcMar>
              <w:top w:w="40" w:type="dxa"/>
              <w:left w:w="0" w:type="dxa"/>
              <w:bottom w:w="40" w:type="dxa"/>
              <w:right w:w="20" w:type="dxa"/>
            </w:tcMar>
            <w:vAlign w:val="bottom"/>
          </w:tcPr>
          <w:p w14:paraId="71D42A8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8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A87"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2A88" w14:textId="77777777" w:rsidR="006A3667" w:rsidRDefault="00045F32">
            <w:pPr>
              <w:jc w:val="right"/>
              <w:textAlignment w:val="bottom"/>
            </w:pPr>
            <w:r>
              <w:rPr>
                <w:rFonts w:ascii="Arial" w:eastAsia="宋体" w:hAnsi="Arial" w:cs="Arial"/>
                <w:color w:val="000000"/>
                <w:sz w:val="15"/>
                <w:szCs w:val="15"/>
              </w:rPr>
              <w:t>10,205 </w:t>
            </w:r>
          </w:p>
        </w:tc>
        <w:tc>
          <w:tcPr>
            <w:tcW w:w="0" w:type="auto"/>
            <w:shd w:val="clear" w:color="auto" w:fill="CCEEFF"/>
            <w:tcMar>
              <w:top w:w="40" w:type="dxa"/>
              <w:left w:w="0" w:type="dxa"/>
              <w:bottom w:w="40" w:type="dxa"/>
              <w:right w:w="20" w:type="dxa"/>
            </w:tcMar>
            <w:vAlign w:val="bottom"/>
          </w:tcPr>
          <w:p w14:paraId="71D42A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8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A8B"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2A8C" w14:textId="77777777" w:rsidR="006A3667" w:rsidRDefault="00045F32">
            <w:pPr>
              <w:jc w:val="right"/>
              <w:textAlignment w:val="bottom"/>
            </w:pPr>
            <w:r>
              <w:rPr>
                <w:rFonts w:ascii="Arial" w:eastAsia="宋体" w:hAnsi="Arial" w:cs="Arial"/>
                <w:color w:val="000000"/>
                <w:sz w:val="15"/>
                <w:szCs w:val="15"/>
              </w:rPr>
              <w:t>23,442 </w:t>
            </w:r>
          </w:p>
        </w:tc>
        <w:tc>
          <w:tcPr>
            <w:tcW w:w="0" w:type="auto"/>
            <w:shd w:val="clear" w:color="auto" w:fill="CCEEFF"/>
            <w:tcMar>
              <w:top w:w="40" w:type="dxa"/>
              <w:left w:w="0" w:type="dxa"/>
              <w:bottom w:w="40" w:type="dxa"/>
              <w:right w:w="20" w:type="dxa"/>
            </w:tcMar>
            <w:vAlign w:val="bottom"/>
          </w:tcPr>
          <w:p w14:paraId="71D42A8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8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A8F"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2A90" w14:textId="77777777" w:rsidR="006A3667" w:rsidRDefault="00045F32">
            <w:pPr>
              <w:jc w:val="right"/>
              <w:textAlignment w:val="bottom"/>
            </w:pPr>
            <w:r>
              <w:rPr>
                <w:rFonts w:ascii="Arial" w:eastAsia="宋体" w:hAnsi="Arial" w:cs="Arial"/>
                <w:color w:val="000000"/>
                <w:sz w:val="15"/>
                <w:szCs w:val="15"/>
              </w:rPr>
              <w:t>187 </w:t>
            </w:r>
          </w:p>
        </w:tc>
        <w:tc>
          <w:tcPr>
            <w:tcW w:w="0" w:type="auto"/>
            <w:shd w:val="clear" w:color="auto" w:fill="CCEEFF"/>
            <w:tcMar>
              <w:top w:w="40" w:type="dxa"/>
              <w:left w:w="0" w:type="dxa"/>
              <w:bottom w:w="40" w:type="dxa"/>
              <w:right w:w="20" w:type="dxa"/>
            </w:tcMar>
            <w:vAlign w:val="bottom"/>
          </w:tcPr>
          <w:p w14:paraId="71D42A9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9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A93" w14:textId="77777777" w:rsidR="006A3667" w:rsidRDefault="00045F32">
            <w:pPr>
              <w:jc w:val="right"/>
              <w:textAlignment w:val="bottom"/>
            </w:pPr>
            <w:r>
              <w:rPr>
                <w:rFonts w:ascii="Arial" w:eastAsia="宋体" w:hAnsi="Arial" w:cs="Arial"/>
                <w:color w:val="000000"/>
                <w:sz w:val="15"/>
                <w:szCs w:val="15"/>
              </w:rPr>
              <w:t>150,723 </w:t>
            </w:r>
          </w:p>
        </w:tc>
        <w:tc>
          <w:tcPr>
            <w:tcW w:w="0" w:type="auto"/>
            <w:shd w:val="clear" w:color="auto" w:fill="CCEEFF"/>
            <w:tcMar>
              <w:top w:w="40" w:type="dxa"/>
              <w:left w:w="0" w:type="dxa"/>
              <w:bottom w:w="40" w:type="dxa"/>
              <w:right w:w="20" w:type="dxa"/>
            </w:tcMar>
            <w:vAlign w:val="bottom"/>
          </w:tcPr>
          <w:p w14:paraId="71D42A9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9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A96"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2A97" w14:textId="77777777" w:rsidR="006A3667" w:rsidRDefault="00045F32">
            <w:pPr>
              <w:jc w:val="right"/>
              <w:textAlignment w:val="bottom"/>
            </w:pPr>
            <w:r>
              <w:rPr>
                <w:rFonts w:ascii="Arial" w:eastAsia="宋体" w:hAnsi="Arial" w:cs="Arial"/>
                <w:color w:val="000000"/>
                <w:sz w:val="15"/>
                <w:szCs w:val="15"/>
              </w:rPr>
              <w:t>(10,609)</w:t>
            </w:r>
          </w:p>
        </w:tc>
        <w:tc>
          <w:tcPr>
            <w:tcW w:w="0" w:type="auto"/>
            <w:shd w:val="clear" w:color="auto" w:fill="CCEEFF"/>
            <w:tcMar>
              <w:top w:w="40" w:type="dxa"/>
              <w:left w:w="0" w:type="dxa"/>
              <w:bottom w:w="40" w:type="dxa"/>
              <w:right w:w="20" w:type="dxa"/>
            </w:tcMar>
            <w:vAlign w:val="bottom"/>
          </w:tcPr>
          <w:p w14:paraId="71D42A9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9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2A9A"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2A9B" w14:textId="77777777" w:rsidR="006A3667" w:rsidRDefault="00045F32">
            <w:pPr>
              <w:jc w:val="right"/>
              <w:textAlignment w:val="bottom"/>
            </w:pPr>
            <w:r>
              <w:rPr>
                <w:rFonts w:ascii="Arial" w:eastAsia="宋体" w:hAnsi="Arial" w:cs="Arial"/>
                <w:color w:val="000000"/>
                <w:sz w:val="15"/>
                <w:szCs w:val="15"/>
              </w:rPr>
              <w:t>26,200 </w:t>
            </w:r>
          </w:p>
        </w:tc>
        <w:tc>
          <w:tcPr>
            <w:tcW w:w="0" w:type="auto"/>
            <w:shd w:val="clear" w:color="auto" w:fill="CCEEFF"/>
            <w:tcMar>
              <w:top w:w="40" w:type="dxa"/>
              <w:left w:w="0" w:type="dxa"/>
              <w:bottom w:w="40" w:type="dxa"/>
              <w:right w:w="20" w:type="dxa"/>
            </w:tcMar>
            <w:vAlign w:val="bottom"/>
          </w:tcPr>
          <w:p w14:paraId="71D42A9C" w14:textId="77777777" w:rsidR="006A3667" w:rsidRDefault="006A3667">
            <w:pPr>
              <w:jc w:val="right"/>
              <w:rPr>
                <w:rFonts w:ascii="宋体"/>
              </w:rPr>
            </w:pPr>
          </w:p>
        </w:tc>
      </w:tr>
      <w:tr w:rsidR="006A3667" w14:paraId="71D42AB2" w14:textId="77777777">
        <w:trPr>
          <w:jc w:val="center"/>
        </w:trPr>
        <w:tc>
          <w:tcPr>
            <w:tcW w:w="0" w:type="auto"/>
            <w:gridSpan w:val="3"/>
            <w:shd w:val="clear" w:color="auto" w:fill="FFFFFF"/>
            <w:tcMar>
              <w:top w:w="40" w:type="dxa"/>
              <w:left w:w="20" w:type="dxa"/>
              <w:bottom w:w="40" w:type="dxa"/>
              <w:right w:w="20" w:type="dxa"/>
            </w:tcMar>
            <w:vAlign w:val="bottom"/>
          </w:tcPr>
          <w:p w14:paraId="71D42A9E" w14:textId="77777777" w:rsidR="006A3667" w:rsidRDefault="00045F32">
            <w:pPr>
              <w:textAlignment w:val="bottom"/>
            </w:pPr>
            <w:r>
              <w:rPr>
                <w:rFonts w:ascii="Arial" w:eastAsia="宋体" w:hAnsi="Arial" w:cs="Arial"/>
                <w:color w:val="000000"/>
                <w:sz w:val="15"/>
                <w:szCs w:val="15"/>
              </w:rPr>
              <w:t>Net income</w:t>
            </w:r>
          </w:p>
        </w:tc>
        <w:tc>
          <w:tcPr>
            <w:tcW w:w="0" w:type="auto"/>
            <w:gridSpan w:val="3"/>
            <w:shd w:val="clear" w:color="auto" w:fill="FFFFFF"/>
            <w:tcMar>
              <w:top w:w="0" w:type="dxa"/>
              <w:left w:w="20" w:type="dxa"/>
              <w:bottom w:w="0" w:type="dxa"/>
              <w:right w:w="20" w:type="dxa"/>
            </w:tcMar>
            <w:vAlign w:val="bottom"/>
          </w:tcPr>
          <w:p w14:paraId="71D42A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AA7" w14:textId="77777777" w:rsidR="006A3667" w:rsidRDefault="00045F32">
            <w:pPr>
              <w:jc w:val="right"/>
              <w:textAlignment w:val="bottom"/>
            </w:pPr>
            <w:r>
              <w:rPr>
                <w:rFonts w:ascii="Arial" w:eastAsia="宋体" w:hAnsi="Arial" w:cs="Arial"/>
                <w:color w:val="000000"/>
                <w:sz w:val="15"/>
                <w:szCs w:val="15"/>
              </w:rPr>
              <w:t>519 </w:t>
            </w:r>
          </w:p>
        </w:tc>
        <w:tc>
          <w:tcPr>
            <w:tcW w:w="0" w:type="auto"/>
            <w:shd w:val="clear" w:color="auto" w:fill="FFFFFF"/>
            <w:tcMar>
              <w:top w:w="40" w:type="dxa"/>
              <w:left w:w="0" w:type="dxa"/>
              <w:bottom w:w="40" w:type="dxa"/>
              <w:right w:w="20" w:type="dxa"/>
            </w:tcMar>
            <w:vAlign w:val="bottom"/>
          </w:tcPr>
          <w:p w14:paraId="71D42AA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A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A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AB0" w14:textId="77777777" w:rsidR="006A3667" w:rsidRDefault="00045F32">
            <w:pPr>
              <w:jc w:val="right"/>
              <w:textAlignment w:val="bottom"/>
            </w:pPr>
            <w:r>
              <w:rPr>
                <w:rFonts w:ascii="Arial" w:eastAsia="宋体" w:hAnsi="Arial" w:cs="Arial"/>
                <w:color w:val="000000"/>
                <w:sz w:val="15"/>
                <w:szCs w:val="15"/>
              </w:rPr>
              <w:t>519 </w:t>
            </w:r>
          </w:p>
        </w:tc>
        <w:tc>
          <w:tcPr>
            <w:tcW w:w="0" w:type="auto"/>
            <w:shd w:val="clear" w:color="auto" w:fill="FFFFFF"/>
            <w:tcMar>
              <w:top w:w="40" w:type="dxa"/>
              <w:left w:w="0" w:type="dxa"/>
              <w:bottom w:w="40" w:type="dxa"/>
              <w:right w:w="20" w:type="dxa"/>
            </w:tcMar>
            <w:vAlign w:val="bottom"/>
          </w:tcPr>
          <w:p w14:paraId="71D42AB1" w14:textId="77777777" w:rsidR="006A3667" w:rsidRDefault="006A3667">
            <w:pPr>
              <w:jc w:val="right"/>
              <w:rPr>
                <w:rFonts w:ascii="宋体"/>
              </w:rPr>
            </w:pPr>
          </w:p>
        </w:tc>
      </w:tr>
      <w:tr w:rsidR="006A3667" w14:paraId="71D42AC7" w14:textId="77777777">
        <w:trPr>
          <w:jc w:val="center"/>
        </w:trPr>
        <w:tc>
          <w:tcPr>
            <w:tcW w:w="0" w:type="auto"/>
            <w:gridSpan w:val="3"/>
            <w:shd w:val="clear" w:color="auto" w:fill="CCEEFF"/>
            <w:tcMar>
              <w:top w:w="40" w:type="dxa"/>
              <w:left w:w="20" w:type="dxa"/>
              <w:bottom w:w="40" w:type="dxa"/>
              <w:right w:w="20" w:type="dxa"/>
            </w:tcMar>
            <w:vAlign w:val="bottom"/>
          </w:tcPr>
          <w:p w14:paraId="71D42AB3" w14:textId="77777777" w:rsidR="006A3667" w:rsidRDefault="00045F32">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71D42AB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B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ABE" w14:textId="77777777" w:rsidR="006A3667" w:rsidRDefault="00045F32">
            <w:pPr>
              <w:jc w:val="right"/>
              <w:textAlignment w:val="bottom"/>
            </w:pPr>
            <w:r>
              <w:rPr>
                <w:rFonts w:ascii="Arial" w:eastAsia="宋体" w:hAnsi="Arial" w:cs="Arial"/>
                <w:color w:val="000000"/>
                <w:sz w:val="15"/>
                <w:szCs w:val="15"/>
              </w:rPr>
              <w:t>(605)</w:t>
            </w:r>
          </w:p>
        </w:tc>
        <w:tc>
          <w:tcPr>
            <w:tcW w:w="0" w:type="auto"/>
            <w:shd w:val="clear" w:color="auto" w:fill="CCEEFF"/>
            <w:tcMar>
              <w:top w:w="40" w:type="dxa"/>
              <w:left w:w="0" w:type="dxa"/>
              <w:bottom w:w="40" w:type="dxa"/>
              <w:right w:w="20" w:type="dxa"/>
            </w:tcMar>
            <w:vAlign w:val="bottom"/>
          </w:tcPr>
          <w:p w14:paraId="71D42AB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AC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C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C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C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C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AC5" w14:textId="77777777" w:rsidR="006A3667" w:rsidRDefault="00045F32">
            <w:pPr>
              <w:jc w:val="right"/>
              <w:textAlignment w:val="bottom"/>
            </w:pPr>
            <w:r>
              <w:rPr>
                <w:rFonts w:ascii="Arial" w:eastAsia="宋体" w:hAnsi="Arial" w:cs="Arial"/>
                <w:color w:val="000000"/>
                <w:sz w:val="15"/>
                <w:szCs w:val="15"/>
              </w:rPr>
              <w:t>(605)</w:t>
            </w:r>
          </w:p>
        </w:tc>
        <w:tc>
          <w:tcPr>
            <w:tcW w:w="0" w:type="auto"/>
            <w:shd w:val="clear" w:color="auto" w:fill="CCEEFF"/>
            <w:tcMar>
              <w:top w:w="40" w:type="dxa"/>
              <w:left w:w="0" w:type="dxa"/>
              <w:bottom w:w="40" w:type="dxa"/>
              <w:right w:w="20" w:type="dxa"/>
            </w:tcMar>
            <w:vAlign w:val="bottom"/>
          </w:tcPr>
          <w:p w14:paraId="71D42AC6" w14:textId="77777777" w:rsidR="006A3667" w:rsidRDefault="006A3667">
            <w:pPr>
              <w:jc w:val="right"/>
              <w:rPr>
                <w:rFonts w:ascii="宋体"/>
              </w:rPr>
            </w:pPr>
          </w:p>
        </w:tc>
      </w:tr>
      <w:tr w:rsidR="006A3667" w14:paraId="71D42ADD" w14:textId="77777777">
        <w:trPr>
          <w:jc w:val="center"/>
        </w:trPr>
        <w:tc>
          <w:tcPr>
            <w:tcW w:w="0" w:type="auto"/>
            <w:gridSpan w:val="3"/>
            <w:shd w:val="clear" w:color="auto" w:fill="FFFFFF"/>
            <w:tcMar>
              <w:top w:w="40" w:type="dxa"/>
              <w:left w:w="20" w:type="dxa"/>
              <w:bottom w:w="40" w:type="dxa"/>
              <w:right w:w="20" w:type="dxa"/>
            </w:tcMar>
            <w:vAlign w:val="bottom"/>
          </w:tcPr>
          <w:p w14:paraId="71D42AC8" w14:textId="77777777" w:rsidR="006A3667" w:rsidRDefault="00045F32">
            <w:pPr>
              <w:textAlignment w:val="bottom"/>
            </w:pPr>
            <w:r>
              <w:rPr>
                <w:rFonts w:ascii="Arial" w:eastAsia="宋体" w:hAnsi="Arial" w:cs="Arial"/>
                <w:color w:val="000000"/>
                <w:sz w:val="15"/>
                <w:szCs w:val="15"/>
              </w:rPr>
              <w:t>Preferred stock redeemed</w:t>
            </w:r>
          </w:p>
        </w:tc>
        <w:tc>
          <w:tcPr>
            <w:tcW w:w="0" w:type="auto"/>
            <w:gridSpan w:val="2"/>
            <w:shd w:val="clear" w:color="auto" w:fill="FFFFFF"/>
            <w:tcMar>
              <w:top w:w="40" w:type="dxa"/>
              <w:left w:w="20" w:type="dxa"/>
              <w:bottom w:w="40" w:type="dxa"/>
              <w:right w:w="0" w:type="dxa"/>
            </w:tcMar>
            <w:vAlign w:val="bottom"/>
          </w:tcPr>
          <w:p w14:paraId="71D42AC9" w14:textId="77777777" w:rsidR="006A3667" w:rsidRDefault="00045F32">
            <w:pPr>
              <w:jc w:val="right"/>
              <w:textAlignment w:val="bottom"/>
            </w:pPr>
            <w:r>
              <w:rPr>
                <w:rFonts w:ascii="Arial" w:eastAsia="宋体" w:hAnsi="Arial" w:cs="Arial"/>
                <w:color w:val="000000"/>
                <w:sz w:val="15"/>
                <w:szCs w:val="15"/>
              </w:rPr>
              <w:t>(495)</w:t>
            </w:r>
          </w:p>
        </w:tc>
        <w:tc>
          <w:tcPr>
            <w:tcW w:w="0" w:type="auto"/>
            <w:shd w:val="clear" w:color="auto" w:fill="FFFFFF"/>
            <w:tcMar>
              <w:top w:w="40" w:type="dxa"/>
              <w:left w:w="0" w:type="dxa"/>
              <w:bottom w:w="40" w:type="dxa"/>
              <w:right w:w="20" w:type="dxa"/>
            </w:tcMar>
            <w:vAlign w:val="bottom"/>
          </w:tcPr>
          <w:p w14:paraId="71D42A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A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C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D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D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AD2" w14:textId="77777777" w:rsidR="006A3667" w:rsidRDefault="00045F32">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1D42A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AD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D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D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D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D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D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D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ADB" w14:textId="77777777" w:rsidR="006A3667" w:rsidRDefault="00045F32">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71D42ADC" w14:textId="77777777" w:rsidR="006A3667" w:rsidRDefault="006A3667">
            <w:pPr>
              <w:jc w:val="right"/>
              <w:rPr>
                <w:rFonts w:ascii="宋体"/>
              </w:rPr>
            </w:pPr>
          </w:p>
        </w:tc>
      </w:tr>
      <w:tr w:rsidR="006A3667" w14:paraId="71D42AF0" w14:textId="77777777">
        <w:trPr>
          <w:jc w:val="center"/>
        </w:trPr>
        <w:tc>
          <w:tcPr>
            <w:tcW w:w="0" w:type="auto"/>
            <w:gridSpan w:val="3"/>
            <w:shd w:val="clear" w:color="auto" w:fill="CCEEFF"/>
            <w:tcMar>
              <w:top w:w="40" w:type="dxa"/>
              <w:left w:w="20" w:type="dxa"/>
              <w:bottom w:w="40" w:type="dxa"/>
              <w:right w:w="20" w:type="dxa"/>
            </w:tcMar>
            <w:vAlign w:val="bottom"/>
          </w:tcPr>
          <w:p w14:paraId="71D42ADE" w14:textId="77777777" w:rsidR="006A3667" w:rsidRDefault="00045F32">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71D42AD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AEF" w14:textId="77777777" w:rsidR="006A3667" w:rsidRDefault="006A3667">
            <w:pPr>
              <w:rPr>
                <w:rFonts w:ascii="宋体"/>
              </w:rPr>
            </w:pPr>
          </w:p>
        </w:tc>
      </w:tr>
      <w:tr w:rsidR="006A3667" w14:paraId="71D42B05" w14:textId="77777777">
        <w:trPr>
          <w:jc w:val="center"/>
        </w:trPr>
        <w:tc>
          <w:tcPr>
            <w:tcW w:w="0" w:type="auto"/>
            <w:gridSpan w:val="3"/>
            <w:shd w:val="clear" w:color="auto" w:fill="FFFFFF"/>
            <w:tcMar>
              <w:top w:w="40" w:type="dxa"/>
              <w:left w:w="20" w:type="dxa"/>
              <w:bottom w:w="40" w:type="dxa"/>
              <w:right w:w="20" w:type="dxa"/>
            </w:tcMar>
            <w:vAlign w:val="bottom"/>
          </w:tcPr>
          <w:p w14:paraId="71D42AF1" w14:textId="77777777" w:rsidR="006A3667" w:rsidRDefault="00045F32">
            <w:pP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vAlign w:val="bottom"/>
          </w:tcPr>
          <w:p w14:paraId="71D42AF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AFA" w14:textId="77777777" w:rsidR="006A3667" w:rsidRDefault="00045F32">
            <w:pPr>
              <w:jc w:val="right"/>
              <w:textAlignment w:val="bottom"/>
            </w:pPr>
            <w:r>
              <w:rPr>
                <w:rFonts w:ascii="Arial" w:eastAsia="宋体" w:hAnsi="Arial" w:cs="Arial"/>
                <w:color w:val="000000"/>
                <w:sz w:val="15"/>
                <w:szCs w:val="15"/>
              </w:rPr>
              <w:t>(182)</w:t>
            </w:r>
          </w:p>
        </w:tc>
        <w:tc>
          <w:tcPr>
            <w:tcW w:w="0" w:type="auto"/>
            <w:shd w:val="clear" w:color="auto" w:fill="FFFFFF"/>
            <w:tcMar>
              <w:top w:w="40" w:type="dxa"/>
              <w:left w:w="0" w:type="dxa"/>
              <w:bottom w:w="40" w:type="dxa"/>
              <w:right w:w="20" w:type="dxa"/>
            </w:tcMar>
            <w:vAlign w:val="bottom"/>
          </w:tcPr>
          <w:p w14:paraId="71D42AF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AF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AF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0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0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0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03" w14:textId="77777777" w:rsidR="006A3667" w:rsidRDefault="00045F32">
            <w:pPr>
              <w:jc w:val="right"/>
              <w:textAlignment w:val="bottom"/>
            </w:pPr>
            <w:r>
              <w:rPr>
                <w:rFonts w:ascii="Arial" w:eastAsia="宋体" w:hAnsi="Arial" w:cs="Arial"/>
                <w:color w:val="000000"/>
                <w:sz w:val="15"/>
                <w:szCs w:val="15"/>
              </w:rPr>
              <w:t>(182)</w:t>
            </w:r>
          </w:p>
        </w:tc>
        <w:tc>
          <w:tcPr>
            <w:tcW w:w="0" w:type="auto"/>
            <w:shd w:val="clear" w:color="auto" w:fill="FFFFFF"/>
            <w:tcMar>
              <w:top w:w="40" w:type="dxa"/>
              <w:left w:w="0" w:type="dxa"/>
              <w:bottom w:w="40" w:type="dxa"/>
              <w:right w:w="20" w:type="dxa"/>
            </w:tcMar>
            <w:vAlign w:val="bottom"/>
          </w:tcPr>
          <w:p w14:paraId="71D42B04" w14:textId="77777777" w:rsidR="006A3667" w:rsidRDefault="006A3667">
            <w:pPr>
              <w:jc w:val="right"/>
              <w:rPr>
                <w:rFonts w:ascii="宋体"/>
              </w:rPr>
            </w:pPr>
          </w:p>
        </w:tc>
      </w:tr>
      <w:tr w:rsidR="006A3667" w14:paraId="71D42B1A" w14:textId="77777777">
        <w:trPr>
          <w:jc w:val="center"/>
        </w:trPr>
        <w:tc>
          <w:tcPr>
            <w:tcW w:w="0" w:type="auto"/>
            <w:gridSpan w:val="3"/>
            <w:shd w:val="clear" w:color="auto" w:fill="CCEEFF"/>
            <w:tcMar>
              <w:top w:w="40" w:type="dxa"/>
              <w:left w:w="140" w:type="dxa"/>
              <w:bottom w:w="40" w:type="dxa"/>
              <w:right w:w="20" w:type="dxa"/>
            </w:tcMar>
            <w:vAlign w:val="bottom"/>
          </w:tcPr>
          <w:p w14:paraId="71D42B06" w14:textId="77777777" w:rsidR="006A3667" w:rsidRDefault="00045F32">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71D42B0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0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0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0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0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0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0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0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0F" w14:textId="77777777" w:rsidR="006A3667" w:rsidRDefault="00045F32">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71D42B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1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1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1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1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1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1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1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18" w14:textId="77777777" w:rsidR="006A3667" w:rsidRDefault="00045F32">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71D42B19" w14:textId="77777777" w:rsidR="006A3667" w:rsidRDefault="006A3667">
            <w:pPr>
              <w:jc w:val="right"/>
              <w:rPr>
                <w:rFonts w:ascii="宋体"/>
              </w:rPr>
            </w:pPr>
          </w:p>
        </w:tc>
      </w:tr>
      <w:tr w:rsidR="006A3667" w14:paraId="71D42B30" w14:textId="77777777">
        <w:trPr>
          <w:jc w:val="center"/>
        </w:trPr>
        <w:tc>
          <w:tcPr>
            <w:tcW w:w="0" w:type="auto"/>
            <w:gridSpan w:val="3"/>
            <w:shd w:val="clear" w:color="auto" w:fill="FFFFFF"/>
            <w:tcMar>
              <w:top w:w="40" w:type="dxa"/>
              <w:left w:w="20" w:type="dxa"/>
              <w:bottom w:w="40" w:type="dxa"/>
              <w:right w:w="20" w:type="dxa"/>
            </w:tcMar>
            <w:vAlign w:val="bottom"/>
          </w:tcPr>
          <w:p w14:paraId="71D42B1B" w14:textId="77777777" w:rsidR="006A3667" w:rsidRDefault="00045F32">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vAlign w:val="bottom"/>
          </w:tcPr>
          <w:p w14:paraId="71D42B1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1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1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1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2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2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2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2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2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2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2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2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28" w14:textId="77777777" w:rsidR="006A3667" w:rsidRDefault="00045F32">
            <w:pPr>
              <w:jc w:val="right"/>
              <w:textAlignment w:val="bottom"/>
            </w:pPr>
            <w:r>
              <w:rPr>
                <w:rFonts w:ascii="Arial" w:eastAsia="宋体" w:hAnsi="Arial" w:cs="Arial"/>
                <w:color w:val="000000"/>
                <w:sz w:val="15"/>
                <w:szCs w:val="15"/>
              </w:rPr>
              <w:t>6,233 </w:t>
            </w:r>
          </w:p>
        </w:tc>
        <w:tc>
          <w:tcPr>
            <w:tcW w:w="0" w:type="auto"/>
            <w:shd w:val="clear" w:color="auto" w:fill="FFFFFF"/>
            <w:tcMar>
              <w:top w:w="40" w:type="dxa"/>
              <w:left w:w="0" w:type="dxa"/>
              <w:bottom w:w="40" w:type="dxa"/>
              <w:right w:w="20" w:type="dxa"/>
            </w:tcMar>
            <w:vAlign w:val="bottom"/>
          </w:tcPr>
          <w:p w14:paraId="71D42B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B2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2B" w14:textId="77777777" w:rsidR="006A3667" w:rsidRDefault="00045F32">
            <w:pPr>
              <w:jc w:val="right"/>
              <w:textAlignment w:val="bottom"/>
            </w:pPr>
            <w:r>
              <w:rPr>
                <w:rFonts w:ascii="Arial" w:eastAsia="宋体" w:hAnsi="Arial" w:cs="Arial"/>
                <w:color w:val="000000"/>
                <w:sz w:val="15"/>
                <w:szCs w:val="15"/>
              </w:rPr>
              <w:t>(475)</w:t>
            </w:r>
          </w:p>
        </w:tc>
        <w:tc>
          <w:tcPr>
            <w:tcW w:w="0" w:type="auto"/>
            <w:shd w:val="clear" w:color="auto" w:fill="FFFFFF"/>
            <w:tcMar>
              <w:top w:w="40" w:type="dxa"/>
              <w:left w:w="0" w:type="dxa"/>
              <w:bottom w:w="40" w:type="dxa"/>
              <w:right w:w="20" w:type="dxa"/>
            </w:tcMar>
            <w:vAlign w:val="bottom"/>
          </w:tcPr>
          <w:p w14:paraId="71D42B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B2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2E" w14:textId="77777777" w:rsidR="006A3667" w:rsidRDefault="00045F32">
            <w:pPr>
              <w:jc w:val="right"/>
              <w:textAlignment w:val="bottom"/>
            </w:pPr>
            <w:r>
              <w:rPr>
                <w:rFonts w:ascii="Arial" w:eastAsia="宋体" w:hAnsi="Arial" w:cs="Arial"/>
                <w:color w:val="000000"/>
                <w:sz w:val="15"/>
                <w:szCs w:val="15"/>
              </w:rPr>
              <w:t>(475)</w:t>
            </w:r>
          </w:p>
        </w:tc>
        <w:tc>
          <w:tcPr>
            <w:tcW w:w="0" w:type="auto"/>
            <w:shd w:val="clear" w:color="auto" w:fill="FFFFFF"/>
            <w:tcMar>
              <w:top w:w="40" w:type="dxa"/>
              <w:left w:w="0" w:type="dxa"/>
              <w:bottom w:w="40" w:type="dxa"/>
              <w:right w:w="20" w:type="dxa"/>
            </w:tcMar>
            <w:vAlign w:val="bottom"/>
          </w:tcPr>
          <w:p w14:paraId="71D42B2F" w14:textId="77777777" w:rsidR="006A3667" w:rsidRDefault="006A3667">
            <w:pPr>
              <w:jc w:val="right"/>
              <w:rPr>
                <w:rFonts w:ascii="宋体"/>
              </w:rPr>
            </w:pPr>
          </w:p>
        </w:tc>
      </w:tr>
      <w:tr w:rsidR="006A3667" w14:paraId="71D42B47" w14:textId="77777777">
        <w:trPr>
          <w:jc w:val="center"/>
        </w:trPr>
        <w:tc>
          <w:tcPr>
            <w:tcW w:w="0" w:type="auto"/>
            <w:gridSpan w:val="3"/>
            <w:shd w:val="clear" w:color="auto" w:fill="CCEEFF"/>
            <w:tcMar>
              <w:top w:w="40" w:type="dxa"/>
              <w:left w:w="20" w:type="dxa"/>
              <w:bottom w:w="40" w:type="dxa"/>
              <w:right w:w="20" w:type="dxa"/>
            </w:tcMar>
            <w:vAlign w:val="bottom"/>
          </w:tcPr>
          <w:p w14:paraId="71D42B31" w14:textId="77777777" w:rsidR="006A3667" w:rsidRDefault="00045F32">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71D42B3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38" w14:textId="77777777" w:rsidR="006A3667" w:rsidRDefault="00045F32">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71D42B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3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3F" w14:textId="77777777" w:rsidR="006A3667" w:rsidRDefault="00045F32">
            <w:pPr>
              <w:jc w:val="right"/>
              <w:textAlignment w:val="bottom"/>
            </w:pPr>
            <w:r>
              <w:rPr>
                <w:rFonts w:ascii="Arial" w:eastAsia="宋体" w:hAnsi="Arial" w:cs="Arial"/>
                <w:color w:val="000000"/>
                <w:sz w:val="15"/>
                <w:szCs w:val="15"/>
              </w:rPr>
              <w:t>(1,111)</w:t>
            </w:r>
          </w:p>
        </w:tc>
        <w:tc>
          <w:tcPr>
            <w:tcW w:w="0" w:type="auto"/>
            <w:shd w:val="clear" w:color="auto" w:fill="CCEEFF"/>
            <w:tcMar>
              <w:top w:w="40" w:type="dxa"/>
              <w:left w:w="0" w:type="dxa"/>
              <w:bottom w:w="40" w:type="dxa"/>
              <w:right w:w="20" w:type="dxa"/>
            </w:tcMar>
            <w:vAlign w:val="bottom"/>
          </w:tcPr>
          <w:p w14:paraId="71D42B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4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42" w14:textId="77777777" w:rsidR="006A3667" w:rsidRDefault="00045F32">
            <w:pPr>
              <w:jc w:val="right"/>
              <w:textAlignment w:val="bottom"/>
            </w:pPr>
            <w:r>
              <w:rPr>
                <w:rFonts w:ascii="Arial" w:eastAsia="宋体" w:hAnsi="Arial" w:cs="Arial"/>
                <w:color w:val="000000"/>
                <w:sz w:val="15"/>
                <w:szCs w:val="15"/>
              </w:rPr>
              <w:t>49 </w:t>
            </w:r>
          </w:p>
        </w:tc>
        <w:tc>
          <w:tcPr>
            <w:tcW w:w="0" w:type="auto"/>
            <w:shd w:val="clear" w:color="auto" w:fill="CCEEFF"/>
            <w:tcMar>
              <w:top w:w="40" w:type="dxa"/>
              <w:left w:w="0" w:type="dxa"/>
              <w:bottom w:w="40" w:type="dxa"/>
              <w:right w:w="20" w:type="dxa"/>
            </w:tcMar>
            <w:vAlign w:val="bottom"/>
          </w:tcPr>
          <w:p w14:paraId="71D42B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4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45" w14:textId="77777777" w:rsidR="006A3667" w:rsidRDefault="00045F32">
            <w:pPr>
              <w:jc w:val="right"/>
              <w:textAlignment w:val="bottom"/>
            </w:pPr>
            <w:r>
              <w:rPr>
                <w:rFonts w:ascii="Arial" w:eastAsia="宋体" w:hAnsi="Arial" w:cs="Arial"/>
                <w:color w:val="000000"/>
                <w:sz w:val="15"/>
                <w:szCs w:val="15"/>
              </w:rPr>
              <w:t>71 </w:t>
            </w:r>
          </w:p>
        </w:tc>
        <w:tc>
          <w:tcPr>
            <w:tcW w:w="0" w:type="auto"/>
            <w:shd w:val="clear" w:color="auto" w:fill="CCEEFF"/>
            <w:tcMar>
              <w:top w:w="40" w:type="dxa"/>
              <w:left w:w="0" w:type="dxa"/>
              <w:bottom w:w="40" w:type="dxa"/>
              <w:right w:w="20" w:type="dxa"/>
            </w:tcMar>
            <w:vAlign w:val="bottom"/>
          </w:tcPr>
          <w:p w14:paraId="71D42B46" w14:textId="77777777" w:rsidR="006A3667" w:rsidRDefault="006A3667">
            <w:pPr>
              <w:jc w:val="right"/>
              <w:rPr>
                <w:rFonts w:ascii="宋体"/>
              </w:rPr>
            </w:pPr>
          </w:p>
        </w:tc>
      </w:tr>
      <w:tr w:rsidR="006A3667" w14:paraId="71D42B5D" w14:textId="77777777">
        <w:trPr>
          <w:jc w:val="center"/>
        </w:trPr>
        <w:tc>
          <w:tcPr>
            <w:tcW w:w="0" w:type="auto"/>
            <w:gridSpan w:val="3"/>
            <w:shd w:val="clear" w:color="auto" w:fill="FFFFFF"/>
            <w:tcMar>
              <w:top w:w="40" w:type="dxa"/>
              <w:left w:w="20" w:type="dxa"/>
              <w:bottom w:w="40" w:type="dxa"/>
              <w:right w:w="20" w:type="dxa"/>
            </w:tcMar>
            <w:vAlign w:val="bottom"/>
          </w:tcPr>
          <w:p w14:paraId="71D42B48" w14:textId="77777777" w:rsidR="006A3667" w:rsidRDefault="00045F32">
            <w:pPr>
              <w:textAlignment w:val="bottom"/>
            </w:pPr>
            <w:r>
              <w:rPr>
                <w:rFonts w:ascii="Arial" w:eastAsia="宋体" w:hAnsi="Arial" w:cs="Arial"/>
                <w:color w:val="000000"/>
                <w:sz w:val="15"/>
                <w:szCs w:val="15"/>
              </w:rPr>
              <w:t>Other</w:t>
            </w:r>
          </w:p>
        </w:tc>
        <w:tc>
          <w:tcPr>
            <w:tcW w:w="0" w:type="auto"/>
            <w:gridSpan w:val="3"/>
            <w:shd w:val="clear" w:color="auto" w:fill="FFFFFF"/>
            <w:tcMar>
              <w:top w:w="0" w:type="dxa"/>
              <w:left w:w="20" w:type="dxa"/>
              <w:bottom w:w="0" w:type="dxa"/>
              <w:right w:w="20" w:type="dxa"/>
            </w:tcMar>
            <w:vAlign w:val="bottom"/>
          </w:tcPr>
          <w:p w14:paraId="71D42B4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4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4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4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4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4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5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51"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2B5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B5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5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56"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2B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B5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5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5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5B"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2B5C" w14:textId="77777777" w:rsidR="006A3667" w:rsidRDefault="006A3667">
            <w:pPr>
              <w:jc w:val="right"/>
              <w:rPr>
                <w:rFonts w:ascii="宋体"/>
              </w:rPr>
            </w:pPr>
          </w:p>
        </w:tc>
      </w:tr>
      <w:tr w:rsidR="00045F32" w14:paraId="71D42B80" w14:textId="77777777">
        <w:trPr>
          <w:jc w:val="center"/>
        </w:trPr>
        <w:tc>
          <w:tcPr>
            <w:tcW w:w="0" w:type="auto"/>
            <w:gridSpan w:val="3"/>
            <w:shd w:val="clear" w:color="auto" w:fill="CCEEFF"/>
            <w:tcMar>
              <w:top w:w="40" w:type="dxa"/>
              <w:left w:w="20" w:type="dxa"/>
              <w:bottom w:w="40" w:type="dxa"/>
              <w:right w:w="20" w:type="dxa"/>
            </w:tcMar>
            <w:vAlign w:val="bottom"/>
          </w:tcPr>
          <w:p w14:paraId="71D42B5E" w14:textId="77777777" w:rsidR="006A3667" w:rsidRDefault="00045F32">
            <w:pPr>
              <w:textAlignment w:val="bottom"/>
            </w:pPr>
            <w:r>
              <w:rPr>
                <w:rFonts w:ascii="Arial" w:eastAsia="宋体" w:hAnsi="Arial" w:cs="Arial"/>
                <w:b/>
                <w:bCs/>
                <w:color w:val="000000"/>
                <w:sz w:val="15"/>
                <w:szCs w:val="15"/>
              </w:rPr>
              <w:t>Balance at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2B5F"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B60" w14:textId="77777777" w:rsidR="006A3667" w:rsidRDefault="00045F32">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6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6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B63" w14:textId="77777777" w:rsidR="006A3667" w:rsidRDefault="00045F32">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6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6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B66"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B67" w14:textId="77777777" w:rsidR="006A3667" w:rsidRDefault="00045F32">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6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6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B6A"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B6B" w14:textId="77777777" w:rsidR="006A3667" w:rsidRDefault="00045F32">
            <w:pPr>
              <w:jc w:val="right"/>
              <w:textAlignment w:val="bottom"/>
            </w:pPr>
            <w:r>
              <w:rPr>
                <w:rFonts w:ascii="Arial" w:eastAsia="宋体" w:hAnsi="Arial" w:cs="Arial"/>
                <w:color w:val="000000"/>
                <w:sz w:val="15"/>
                <w:szCs w:val="15"/>
              </w:rPr>
              <w:t>10,227 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6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6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B6E"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B6F" w14:textId="77777777" w:rsidR="006A3667" w:rsidRDefault="00045F32">
            <w:pPr>
              <w:jc w:val="right"/>
              <w:textAlignment w:val="bottom"/>
            </w:pPr>
            <w:r>
              <w:rPr>
                <w:rFonts w:ascii="Arial" w:eastAsia="宋体" w:hAnsi="Arial" w:cs="Arial"/>
                <w:color w:val="000000"/>
                <w:sz w:val="15"/>
                <w:szCs w:val="15"/>
              </w:rPr>
              <w:t>23,751 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7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B72"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B73" w14:textId="77777777" w:rsidR="006A3667" w:rsidRDefault="00045F32">
            <w:pPr>
              <w:jc w:val="right"/>
              <w:textAlignment w:val="bottom"/>
            </w:pPr>
            <w:r>
              <w:rPr>
                <w:rFonts w:ascii="Arial" w:eastAsia="宋体" w:hAnsi="Arial" w:cs="Arial"/>
                <w:color w:val="000000"/>
                <w:sz w:val="15"/>
                <w:szCs w:val="15"/>
              </w:rPr>
              <w:t>(418)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7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B76" w14:textId="77777777" w:rsidR="006A3667" w:rsidRDefault="00045F32">
            <w:pPr>
              <w:jc w:val="right"/>
              <w:textAlignment w:val="bottom"/>
            </w:pPr>
            <w:r>
              <w:rPr>
                <w:rFonts w:ascii="Arial" w:eastAsia="宋体" w:hAnsi="Arial" w:cs="Arial"/>
                <w:color w:val="000000"/>
                <w:sz w:val="15"/>
                <w:szCs w:val="15"/>
              </w:rPr>
              <w:t>155,847 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7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B79"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B7A" w14:textId="77777777" w:rsidR="006A3667" w:rsidRDefault="00045F32">
            <w:pPr>
              <w:jc w:val="right"/>
              <w:textAlignment w:val="bottom"/>
            </w:pPr>
            <w:r>
              <w:rPr>
                <w:rFonts w:ascii="Arial" w:eastAsia="宋体" w:hAnsi="Arial" w:cs="Arial"/>
                <w:color w:val="000000"/>
                <w:sz w:val="15"/>
                <w:szCs w:val="15"/>
              </w:rPr>
              <w:t>(11,035)</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7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7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B7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B7E" w14:textId="77777777" w:rsidR="006A3667" w:rsidRDefault="00045F32">
            <w:pPr>
              <w:jc w:val="right"/>
              <w:textAlignment w:val="bottom"/>
            </w:pPr>
            <w:r>
              <w:rPr>
                <w:rFonts w:ascii="Arial" w:eastAsia="宋体" w:hAnsi="Arial" w:cs="Arial"/>
                <w:color w:val="000000"/>
                <w:sz w:val="15"/>
                <w:szCs w:val="15"/>
              </w:rPr>
              <w:t>25,005 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B7F" w14:textId="77777777" w:rsidR="006A3667" w:rsidRDefault="006A3667">
            <w:pPr>
              <w:jc w:val="right"/>
              <w:rPr>
                <w:rFonts w:ascii="宋体"/>
              </w:rPr>
            </w:pPr>
          </w:p>
        </w:tc>
      </w:tr>
      <w:tr w:rsidR="006A3667" w14:paraId="71D42B95" w14:textId="77777777">
        <w:trPr>
          <w:jc w:val="center"/>
        </w:trPr>
        <w:tc>
          <w:tcPr>
            <w:tcW w:w="0" w:type="auto"/>
            <w:gridSpan w:val="3"/>
            <w:shd w:val="clear" w:color="auto" w:fill="FFFFFF"/>
            <w:tcMar>
              <w:top w:w="40" w:type="dxa"/>
              <w:left w:w="20" w:type="dxa"/>
              <w:bottom w:w="40" w:type="dxa"/>
              <w:right w:w="20" w:type="dxa"/>
            </w:tcMar>
            <w:vAlign w:val="bottom"/>
          </w:tcPr>
          <w:p w14:paraId="71D42B81" w14:textId="77777777" w:rsidR="006A3667" w:rsidRDefault="00045F32">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FFFFFF"/>
            <w:tcMar>
              <w:top w:w="0" w:type="dxa"/>
              <w:left w:w="20" w:type="dxa"/>
              <w:bottom w:w="0" w:type="dxa"/>
              <w:right w:w="20" w:type="dxa"/>
            </w:tcMar>
            <w:vAlign w:val="bottom"/>
          </w:tcPr>
          <w:p w14:paraId="71D42B8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8A" w14:textId="77777777" w:rsidR="006A3667" w:rsidRDefault="00045F32">
            <w:pPr>
              <w:jc w:val="right"/>
              <w:textAlignment w:val="bottom"/>
            </w:pPr>
            <w:r>
              <w:rPr>
                <w:rFonts w:ascii="Arial" w:eastAsia="宋体" w:hAnsi="Arial" w:cs="Arial"/>
                <w:color w:val="000000"/>
                <w:sz w:val="15"/>
                <w:szCs w:val="15"/>
              </w:rPr>
              <w:t>763 </w:t>
            </w:r>
          </w:p>
        </w:tc>
        <w:tc>
          <w:tcPr>
            <w:tcW w:w="0" w:type="auto"/>
            <w:shd w:val="clear" w:color="auto" w:fill="FFFFFF"/>
            <w:tcMar>
              <w:top w:w="40" w:type="dxa"/>
              <w:left w:w="0" w:type="dxa"/>
              <w:bottom w:w="40" w:type="dxa"/>
              <w:right w:w="20" w:type="dxa"/>
            </w:tcMar>
            <w:vAlign w:val="bottom"/>
          </w:tcPr>
          <w:p w14:paraId="71D42B8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B8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8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9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9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9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93" w14:textId="77777777" w:rsidR="006A3667" w:rsidRDefault="00045F32">
            <w:pPr>
              <w:jc w:val="right"/>
              <w:textAlignment w:val="bottom"/>
            </w:pPr>
            <w:r>
              <w:rPr>
                <w:rFonts w:ascii="Arial" w:eastAsia="宋体" w:hAnsi="Arial" w:cs="Arial"/>
                <w:color w:val="000000"/>
                <w:sz w:val="15"/>
                <w:szCs w:val="15"/>
              </w:rPr>
              <w:t>763 </w:t>
            </w:r>
          </w:p>
        </w:tc>
        <w:tc>
          <w:tcPr>
            <w:tcW w:w="0" w:type="auto"/>
            <w:shd w:val="clear" w:color="auto" w:fill="FFFFFF"/>
            <w:tcMar>
              <w:top w:w="40" w:type="dxa"/>
              <w:left w:w="0" w:type="dxa"/>
              <w:bottom w:w="40" w:type="dxa"/>
              <w:right w:w="20" w:type="dxa"/>
            </w:tcMar>
            <w:vAlign w:val="bottom"/>
          </w:tcPr>
          <w:p w14:paraId="71D42B94" w14:textId="77777777" w:rsidR="006A3667" w:rsidRDefault="006A3667">
            <w:pPr>
              <w:jc w:val="right"/>
              <w:rPr>
                <w:rFonts w:ascii="宋体"/>
              </w:rPr>
            </w:pPr>
          </w:p>
        </w:tc>
      </w:tr>
      <w:tr w:rsidR="006A3667" w14:paraId="71D42BAA" w14:textId="77777777">
        <w:trPr>
          <w:jc w:val="center"/>
        </w:trPr>
        <w:tc>
          <w:tcPr>
            <w:tcW w:w="0" w:type="auto"/>
            <w:gridSpan w:val="3"/>
            <w:shd w:val="clear" w:color="auto" w:fill="CCEEFF"/>
            <w:tcMar>
              <w:top w:w="40" w:type="dxa"/>
              <w:left w:w="20" w:type="dxa"/>
              <w:bottom w:w="40" w:type="dxa"/>
              <w:right w:w="20" w:type="dxa"/>
            </w:tcMar>
            <w:vAlign w:val="bottom"/>
          </w:tcPr>
          <w:p w14:paraId="71D42B96" w14:textId="77777777" w:rsidR="006A3667" w:rsidRDefault="00045F32">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71D42B9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9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9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9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9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9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9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9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9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A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A1" w14:textId="77777777" w:rsidR="006A3667" w:rsidRDefault="00045F32">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71D42B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A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A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A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A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A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A8" w14:textId="77777777" w:rsidR="006A3667" w:rsidRDefault="00045F32">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71D42BA9" w14:textId="77777777" w:rsidR="006A3667" w:rsidRDefault="006A3667">
            <w:pPr>
              <w:jc w:val="right"/>
              <w:rPr>
                <w:rFonts w:ascii="宋体"/>
              </w:rPr>
            </w:pPr>
          </w:p>
        </w:tc>
      </w:tr>
      <w:tr w:rsidR="006A3667" w14:paraId="71D42BBD" w14:textId="77777777">
        <w:trPr>
          <w:jc w:val="center"/>
          <w:hidden/>
        </w:trPr>
        <w:tc>
          <w:tcPr>
            <w:tcW w:w="0" w:type="auto"/>
            <w:gridSpan w:val="3"/>
            <w:shd w:val="clear" w:color="auto" w:fill="auto"/>
            <w:vAlign w:val="bottom"/>
          </w:tcPr>
          <w:p w14:paraId="71D42BAB" w14:textId="77777777" w:rsidR="006A3667" w:rsidRDefault="006A3667">
            <w:pPr>
              <w:rPr>
                <w:rFonts w:ascii="宋体"/>
                <w:vanish/>
              </w:rPr>
            </w:pPr>
          </w:p>
        </w:tc>
        <w:tc>
          <w:tcPr>
            <w:tcW w:w="0" w:type="auto"/>
            <w:gridSpan w:val="3"/>
            <w:shd w:val="clear" w:color="auto" w:fill="auto"/>
            <w:vAlign w:val="bottom"/>
          </w:tcPr>
          <w:p w14:paraId="71D42BAC" w14:textId="77777777" w:rsidR="006A3667" w:rsidRDefault="006A3667">
            <w:pPr>
              <w:rPr>
                <w:rFonts w:ascii="宋体"/>
                <w:vanish/>
              </w:rPr>
            </w:pPr>
          </w:p>
        </w:tc>
        <w:tc>
          <w:tcPr>
            <w:tcW w:w="0" w:type="auto"/>
            <w:gridSpan w:val="3"/>
            <w:shd w:val="clear" w:color="auto" w:fill="auto"/>
            <w:vAlign w:val="bottom"/>
          </w:tcPr>
          <w:p w14:paraId="71D42BAD" w14:textId="77777777" w:rsidR="006A3667" w:rsidRDefault="006A3667">
            <w:pPr>
              <w:rPr>
                <w:rFonts w:ascii="宋体"/>
                <w:vanish/>
              </w:rPr>
            </w:pPr>
          </w:p>
        </w:tc>
        <w:tc>
          <w:tcPr>
            <w:tcW w:w="0" w:type="auto"/>
            <w:gridSpan w:val="3"/>
            <w:shd w:val="clear" w:color="auto" w:fill="auto"/>
            <w:vAlign w:val="bottom"/>
          </w:tcPr>
          <w:p w14:paraId="71D42BAE" w14:textId="77777777" w:rsidR="006A3667" w:rsidRDefault="006A3667">
            <w:pPr>
              <w:rPr>
                <w:rFonts w:ascii="宋体"/>
                <w:vanish/>
              </w:rPr>
            </w:pPr>
          </w:p>
        </w:tc>
        <w:tc>
          <w:tcPr>
            <w:tcW w:w="0" w:type="auto"/>
            <w:gridSpan w:val="3"/>
            <w:shd w:val="clear" w:color="auto" w:fill="auto"/>
            <w:vAlign w:val="bottom"/>
          </w:tcPr>
          <w:p w14:paraId="71D42BAF" w14:textId="77777777" w:rsidR="006A3667" w:rsidRDefault="006A3667">
            <w:pPr>
              <w:rPr>
                <w:rFonts w:ascii="宋体"/>
                <w:vanish/>
              </w:rPr>
            </w:pPr>
          </w:p>
        </w:tc>
        <w:tc>
          <w:tcPr>
            <w:tcW w:w="0" w:type="auto"/>
            <w:gridSpan w:val="3"/>
            <w:shd w:val="clear" w:color="auto" w:fill="auto"/>
            <w:vAlign w:val="bottom"/>
          </w:tcPr>
          <w:p w14:paraId="71D42BB0" w14:textId="77777777" w:rsidR="006A3667" w:rsidRDefault="006A3667">
            <w:pPr>
              <w:rPr>
                <w:rFonts w:ascii="宋体"/>
                <w:vanish/>
              </w:rPr>
            </w:pPr>
          </w:p>
        </w:tc>
        <w:tc>
          <w:tcPr>
            <w:tcW w:w="0" w:type="auto"/>
            <w:gridSpan w:val="3"/>
            <w:shd w:val="clear" w:color="auto" w:fill="auto"/>
            <w:vAlign w:val="bottom"/>
          </w:tcPr>
          <w:p w14:paraId="71D42BB1" w14:textId="77777777" w:rsidR="006A3667" w:rsidRDefault="006A3667">
            <w:pPr>
              <w:rPr>
                <w:rFonts w:ascii="宋体"/>
                <w:vanish/>
              </w:rPr>
            </w:pPr>
          </w:p>
        </w:tc>
        <w:tc>
          <w:tcPr>
            <w:tcW w:w="0" w:type="auto"/>
            <w:gridSpan w:val="3"/>
            <w:shd w:val="clear" w:color="auto" w:fill="auto"/>
            <w:vAlign w:val="bottom"/>
          </w:tcPr>
          <w:p w14:paraId="71D42BB2" w14:textId="77777777" w:rsidR="006A3667" w:rsidRDefault="006A3667">
            <w:pPr>
              <w:rPr>
                <w:rFonts w:ascii="宋体"/>
                <w:vanish/>
              </w:rPr>
            </w:pPr>
          </w:p>
        </w:tc>
        <w:tc>
          <w:tcPr>
            <w:tcW w:w="0" w:type="auto"/>
            <w:gridSpan w:val="3"/>
            <w:shd w:val="clear" w:color="auto" w:fill="auto"/>
            <w:vAlign w:val="bottom"/>
          </w:tcPr>
          <w:p w14:paraId="71D42BB3" w14:textId="77777777" w:rsidR="006A3667" w:rsidRDefault="006A3667">
            <w:pPr>
              <w:rPr>
                <w:rFonts w:ascii="宋体"/>
                <w:vanish/>
              </w:rPr>
            </w:pPr>
          </w:p>
        </w:tc>
        <w:tc>
          <w:tcPr>
            <w:tcW w:w="0" w:type="auto"/>
            <w:gridSpan w:val="3"/>
            <w:shd w:val="clear" w:color="auto" w:fill="auto"/>
            <w:vAlign w:val="bottom"/>
          </w:tcPr>
          <w:p w14:paraId="71D42BB4" w14:textId="77777777" w:rsidR="006A3667" w:rsidRDefault="006A3667">
            <w:pPr>
              <w:rPr>
                <w:rFonts w:ascii="宋体"/>
                <w:vanish/>
              </w:rPr>
            </w:pPr>
          </w:p>
        </w:tc>
        <w:tc>
          <w:tcPr>
            <w:tcW w:w="0" w:type="auto"/>
            <w:gridSpan w:val="3"/>
            <w:shd w:val="clear" w:color="auto" w:fill="auto"/>
            <w:vAlign w:val="bottom"/>
          </w:tcPr>
          <w:p w14:paraId="71D42BB5" w14:textId="77777777" w:rsidR="006A3667" w:rsidRDefault="006A3667">
            <w:pPr>
              <w:rPr>
                <w:rFonts w:ascii="宋体"/>
                <w:vanish/>
              </w:rPr>
            </w:pPr>
          </w:p>
        </w:tc>
        <w:tc>
          <w:tcPr>
            <w:tcW w:w="0" w:type="auto"/>
            <w:gridSpan w:val="3"/>
            <w:shd w:val="clear" w:color="auto" w:fill="auto"/>
            <w:vAlign w:val="bottom"/>
          </w:tcPr>
          <w:p w14:paraId="71D42BB6" w14:textId="77777777" w:rsidR="006A3667" w:rsidRDefault="006A3667">
            <w:pPr>
              <w:rPr>
                <w:rFonts w:ascii="宋体"/>
                <w:vanish/>
              </w:rPr>
            </w:pPr>
          </w:p>
        </w:tc>
        <w:tc>
          <w:tcPr>
            <w:tcW w:w="0" w:type="auto"/>
            <w:gridSpan w:val="3"/>
            <w:shd w:val="clear" w:color="auto" w:fill="auto"/>
            <w:vAlign w:val="bottom"/>
          </w:tcPr>
          <w:p w14:paraId="71D42BB7" w14:textId="77777777" w:rsidR="006A3667" w:rsidRDefault="006A3667">
            <w:pPr>
              <w:rPr>
                <w:rFonts w:ascii="宋体"/>
                <w:vanish/>
              </w:rPr>
            </w:pPr>
          </w:p>
        </w:tc>
        <w:tc>
          <w:tcPr>
            <w:tcW w:w="0" w:type="auto"/>
            <w:gridSpan w:val="3"/>
            <w:shd w:val="clear" w:color="auto" w:fill="auto"/>
            <w:vAlign w:val="bottom"/>
          </w:tcPr>
          <w:p w14:paraId="71D42BB8" w14:textId="77777777" w:rsidR="006A3667" w:rsidRDefault="006A3667">
            <w:pPr>
              <w:rPr>
                <w:rFonts w:ascii="宋体"/>
                <w:vanish/>
              </w:rPr>
            </w:pPr>
          </w:p>
        </w:tc>
        <w:tc>
          <w:tcPr>
            <w:tcW w:w="0" w:type="auto"/>
            <w:gridSpan w:val="3"/>
            <w:shd w:val="clear" w:color="auto" w:fill="auto"/>
            <w:vAlign w:val="bottom"/>
          </w:tcPr>
          <w:p w14:paraId="71D42BB9" w14:textId="77777777" w:rsidR="006A3667" w:rsidRDefault="006A3667">
            <w:pPr>
              <w:rPr>
                <w:rFonts w:ascii="宋体"/>
                <w:vanish/>
              </w:rPr>
            </w:pPr>
          </w:p>
        </w:tc>
        <w:tc>
          <w:tcPr>
            <w:tcW w:w="0" w:type="auto"/>
            <w:gridSpan w:val="3"/>
            <w:shd w:val="clear" w:color="auto" w:fill="auto"/>
            <w:vAlign w:val="bottom"/>
          </w:tcPr>
          <w:p w14:paraId="71D42BBA" w14:textId="77777777" w:rsidR="006A3667" w:rsidRDefault="006A3667">
            <w:pPr>
              <w:rPr>
                <w:rFonts w:ascii="宋体"/>
                <w:vanish/>
              </w:rPr>
            </w:pPr>
          </w:p>
        </w:tc>
        <w:tc>
          <w:tcPr>
            <w:tcW w:w="0" w:type="auto"/>
            <w:gridSpan w:val="3"/>
            <w:shd w:val="clear" w:color="auto" w:fill="auto"/>
            <w:vAlign w:val="bottom"/>
          </w:tcPr>
          <w:p w14:paraId="71D42BBB" w14:textId="77777777" w:rsidR="006A3667" w:rsidRDefault="006A3667">
            <w:pPr>
              <w:rPr>
                <w:rFonts w:ascii="宋体"/>
                <w:vanish/>
              </w:rPr>
            </w:pPr>
          </w:p>
        </w:tc>
        <w:tc>
          <w:tcPr>
            <w:tcW w:w="0" w:type="auto"/>
            <w:gridSpan w:val="3"/>
            <w:shd w:val="clear" w:color="auto" w:fill="auto"/>
            <w:vAlign w:val="bottom"/>
          </w:tcPr>
          <w:p w14:paraId="71D42BBC" w14:textId="77777777" w:rsidR="006A3667" w:rsidRDefault="006A3667">
            <w:pPr>
              <w:rPr>
                <w:rFonts w:ascii="宋体"/>
                <w:vanish/>
              </w:rPr>
            </w:pPr>
          </w:p>
        </w:tc>
      </w:tr>
      <w:tr w:rsidR="006A3667" w14:paraId="71D42BD0" w14:textId="77777777">
        <w:trPr>
          <w:jc w:val="center"/>
        </w:trPr>
        <w:tc>
          <w:tcPr>
            <w:tcW w:w="0" w:type="auto"/>
            <w:gridSpan w:val="3"/>
            <w:shd w:val="clear" w:color="auto" w:fill="FFFFFF"/>
            <w:tcMar>
              <w:top w:w="40" w:type="dxa"/>
              <w:left w:w="20" w:type="dxa"/>
              <w:bottom w:w="40" w:type="dxa"/>
              <w:right w:w="20" w:type="dxa"/>
            </w:tcMar>
            <w:vAlign w:val="bottom"/>
          </w:tcPr>
          <w:p w14:paraId="71D42BBE" w14:textId="77777777" w:rsidR="006A3667" w:rsidRDefault="00045F32">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71D42BB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CF" w14:textId="77777777" w:rsidR="006A3667" w:rsidRDefault="006A3667">
            <w:pPr>
              <w:rPr>
                <w:rFonts w:ascii="宋体"/>
              </w:rPr>
            </w:pPr>
          </w:p>
        </w:tc>
      </w:tr>
      <w:tr w:rsidR="006A3667" w14:paraId="71D42BE5" w14:textId="77777777">
        <w:trPr>
          <w:jc w:val="center"/>
        </w:trPr>
        <w:tc>
          <w:tcPr>
            <w:tcW w:w="0" w:type="auto"/>
            <w:gridSpan w:val="3"/>
            <w:shd w:val="clear" w:color="auto" w:fill="CCEEFF"/>
            <w:tcMar>
              <w:top w:w="40" w:type="dxa"/>
              <w:left w:w="20" w:type="dxa"/>
              <w:bottom w:w="40" w:type="dxa"/>
              <w:right w:w="20" w:type="dxa"/>
            </w:tcMar>
            <w:vAlign w:val="bottom"/>
          </w:tcPr>
          <w:p w14:paraId="71D42BD1" w14:textId="77777777" w:rsidR="006A3667" w:rsidRDefault="00045F32">
            <w:pPr>
              <w:textAlignment w:val="bottom"/>
            </w:pPr>
            <w:r>
              <w:rPr>
                <w:rFonts w:ascii="Arial" w:eastAsia="宋体" w:hAnsi="Arial" w:cs="Arial"/>
                <w:color w:val="000000"/>
                <w:sz w:val="15"/>
                <w:szCs w:val="15"/>
              </w:rPr>
              <w:t>Common stock -$0.52 per share</w:t>
            </w:r>
          </w:p>
        </w:tc>
        <w:tc>
          <w:tcPr>
            <w:tcW w:w="0" w:type="auto"/>
            <w:gridSpan w:val="3"/>
            <w:shd w:val="clear" w:color="auto" w:fill="CCEEFF"/>
            <w:tcMar>
              <w:top w:w="0" w:type="dxa"/>
              <w:left w:w="20" w:type="dxa"/>
              <w:bottom w:w="0" w:type="dxa"/>
              <w:right w:w="20" w:type="dxa"/>
            </w:tcMar>
            <w:vAlign w:val="bottom"/>
          </w:tcPr>
          <w:p w14:paraId="71D42BD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DA" w14:textId="77777777" w:rsidR="006A3667" w:rsidRDefault="00045F32">
            <w:pPr>
              <w:jc w:val="right"/>
              <w:textAlignment w:val="bottom"/>
            </w:pPr>
            <w:r>
              <w:rPr>
                <w:rFonts w:ascii="Arial" w:eastAsia="宋体" w:hAnsi="Arial" w:cs="Arial"/>
                <w:color w:val="000000"/>
                <w:sz w:val="15"/>
                <w:szCs w:val="15"/>
              </w:rPr>
              <w:t>(179)</w:t>
            </w:r>
          </w:p>
        </w:tc>
        <w:tc>
          <w:tcPr>
            <w:tcW w:w="0" w:type="auto"/>
            <w:shd w:val="clear" w:color="auto" w:fill="CCEEFF"/>
            <w:tcMar>
              <w:top w:w="40" w:type="dxa"/>
              <w:left w:w="0" w:type="dxa"/>
              <w:bottom w:w="40" w:type="dxa"/>
              <w:right w:w="20" w:type="dxa"/>
            </w:tcMar>
            <w:vAlign w:val="bottom"/>
          </w:tcPr>
          <w:p w14:paraId="71D42B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BD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D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E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E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E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BE3" w14:textId="77777777" w:rsidR="006A3667" w:rsidRDefault="00045F32">
            <w:pPr>
              <w:jc w:val="right"/>
              <w:textAlignment w:val="bottom"/>
            </w:pPr>
            <w:r>
              <w:rPr>
                <w:rFonts w:ascii="Arial" w:eastAsia="宋体" w:hAnsi="Arial" w:cs="Arial"/>
                <w:color w:val="000000"/>
                <w:sz w:val="15"/>
                <w:szCs w:val="15"/>
              </w:rPr>
              <w:t>(179)</w:t>
            </w:r>
          </w:p>
        </w:tc>
        <w:tc>
          <w:tcPr>
            <w:tcW w:w="0" w:type="auto"/>
            <w:shd w:val="clear" w:color="auto" w:fill="CCEEFF"/>
            <w:tcMar>
              <w:top w:w="40" w:type="dxa"/>
              <w:left w:w="0" w:type="dxa"/>
              <w:bottom w:w="40" w:type="dxa"/>
              <w:right w:w="20" w:type="dxa"/>
            </w:tcMar>
            <w:vAlign w:val="bottom"/>
          </w:tcPr>
          <w:p w14:paraId="71D42BE4" w14:textId="77777777" w:rsidR="006A3667" w:rsidRDefault="006A3667">
            <w:pPr>
              <w:jc w:val="right"/>
              <w:rPr>
                <w:rFonts w:ascii="宋体"/>
              </w:rPr>
            </w:pPr>
          </w:p>
        </w:tc>
      </w:tr>
      <w:tr w:rsidR="006A3667" w14:paraId="71D42BFA" w14:textId="77777777">
        <w:trPr>
          <w:jc w:val="center"/>
        </w:trPr>
        <w:tc>
          <w:tcPr>
            <w:tcW w:w="0" w:type="auto"/>
            <w:gridSpan w:val="3"/>
            <w:shd w:val="clear" w:color="auto" w:fill="FFFFFF"/>
            <w:tcMar>
              <w:top w:w="40" w:type="dxa"/>
              <w:left w:w="140" w:type="dxa"/>
              <w:bottom w:w="40" w:type="dxa"/>
              <w:right w:w="20" w:type="dxa"/>
            </w:tcMar>
            <w:vAlign w:val="bottom"/>
          </w:tcPr>
          <w:p w14:paraId="71D42BE6" w14:textId="77777777" w:rsidR="006A3667" w:rsidRDefault="00045F32">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71D42BE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E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E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E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E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E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E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E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EF" w14:textId="77777777" w:rsidR="006A3667" w:rsidRDefault="00045F32">
            <w:pPr>
              <w:jc w:val="right"/>
              <w:textAlignment w:val="bottom"/>
            </w:pPr>
            <w:r>
              <w:rPr>
                <w:rFonts w:ascii="Arial" w:eastAsia="宋体" w:hAnsi="Arial" w:cs="Arial"/>
                <w:color w:val="000000"/>
                <w:sz w:val="15"/>
                <w:szCs w:val="15"/>
              </w:rPr>
              <w:t>(34)</w:t>
            </w:r>
          </w:p>
        </w:tc>
        <w:tc>
          <w:tcPr>
            <w:tcW w:w="0" w:type="auto"/>
            <w:shd w:val="clear" w:color="auto" w:fill="FFFFFF"/>
            <w:tcMar>
              <w:top w:w="40" w:type="dxa"/>
              <w:left w:w="0" w:type="dxa"/>
              <w:bottom w:w="40" w:type="dxa"/>
              <w:right w:w="20" w:type="dxa"/>
            </w:tcMar>
            <w:vAlign w:val="bottom"/>
          </w:tcPr>
          <w:p w14:paraId="71D42BF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BF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F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F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F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F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F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BF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BF8" w14:textId="77777777" w:rsidR="006A3667" w:rsidRDefault="00045F32">
            <w:pPr>
              <w:jc w:val="right"/>
              <w:textAlignment w:val="bottom"/>
            </w:pPr>
            <w:r>
              <w:rPr>
                <w:rFonts w:ascii="Arial" w:eastAsia="宋体" w:hAnsi="Arial" w:cs="Arial"/>
                <w:color w:val="000000"/>
                <w:sz w:val="15"/>
                <w:szCs w:val="15"/>
              </w:rPr>
              <w:t>(34)</w:t>
            </w:r>
          </w:p>
        </w:tc>
        <w:tc>
          <w:tcPr>
            <w:tcW w:w="0" w:type="auto"/>
            <w:shd w:val="clear" w:color="auto" w:fill="FFFFFF"/>
            <w:tcMar>
              <w:top w:w="40" w:type="dxa"/>
              <w:left w:w="0" w:type="dxa"/>
              <w:bottom w:w="40" w:type="dxa"/>
              <w:right w:w="20" w:type="dxa"/>
            </w:tcMar>
            <w:vAlign w:val="bottom"/>
          </w:tcPr>
          <w:p w14:paraId="71D42BF9" w14:textId="77777777" w:rsidR="006A3667" w:rsidRDefault="006A3667">
            <w:pPr>
              <w:jc w:val="right"/>
              <w:rPr>
                <w:rFonts w:ascii="宋体"/>
              </w:rPr>
            </w:pPr>
          </w:p>
        </w:tc>
      </w:tr>
      <w:tr w:rsidR="006A3667" w14:paraId="71D42C10" w14:textId="77777777">
        <w:trPr>
          <w:jc w:val="center"/>
        </w:trPr>
        <w:tc>
          <w:tcPr>
            <w:tcW w:w="0" w:type="auto"/>
            <w:gridSpan w:val="3"/>
            <w:shd w:val="clear" w:color="auto" w:fill="CCEEFF"/>
            <w:tcMar>
              <w:top w:w="40" w:type="dxa"/>
              <w:left w:w="20" w:type="dxa"/>
              <w:bottom w:w="40" w:type="dxa"/>
              <w:right w:w="20" w:type="dxa"/>
            </w:tcMar>
            <w:vAlign w:val="bottom"/>
          </w:tcPr>
          <w:p w14:paraId="71D42BFB" w14:textId="77777777" w:rsidR="006A3667" w:rsidRDefault="00045F32">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71D42BF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F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F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BF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0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0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0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0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0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0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0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08" w14:textId="77777777" w:rsidR="006A3667" w:rsidRDefault="00045F32">
            <w:pPr>
              <w:jc w:val="right"/>
              <w:textAlignment w:val="bottom"/>
            </w:pPr>
            <w:r>
              <w:rPr>
                <w:rFonts w:ascii="Arial" w:eastAsia="宋体" w:hAnsi="Arial" w:cs="Arial"/>
                <w:color w:val="000000"/>
                <w:sz w:val="15"/>
                <w:szCs w:val="15"/>
              </w:rPr>
              <w:t>5,017 </w:t>
            </w:r>
          </w:p>
        </w:tc>
        <w:tc>
          <w:tcPr>
            <w:tcW w:w="0" w:type="auto"/>
            <w:shd w:val="clear" w:color="auto" w:fill="CCEEFF"/>
            <w:tcMar>
              <w:top w:w="40" w:type="dxa"/>
              <w:left w:w="0" w:type="dxa"/>
              <w:bottom w:w="40" w:type="dxa"/>
              <w:right w:w="20" w:type="dxa"/>
            </w:tcMar>
            <w:vAlign w:val="bottom"/>
          </w:tcPr>
          <w:p w14:paraId="71D42C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C0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0B" w14:textId="77777777" w:rsidR="006A3667" w:rsidRDefault="00045F32">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71D42C0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C0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0E" w14:textId="77777777" w:rsidR="006A3667" w:rsidRDefault="00045F32">
            <w:pPr>
              <w:jc w:val="right"/>
              <w:textAlignment w:val="bottom"/>
            </w:pPr>
            <w:r>
              <w:rPr>
                <w:rFonts w:ascii="Arial" w:eastAsia="宋体" w:hAnsi="Arial" w:cs="Arial"/>
                <w:color w:val="000000"/>
                <w:sz w:val="15"/>
                <w:szCs w:val="15"/>
              </w:rPr>
              <w:t>(425)</w:t>
            </w:r>
          </w:p>
        </w:tc>
        <w:tc>
          <w:tcPr>
            <w:tcW w:w="0" w:type="auto"/>
            <w:shd w:val="clear" w:color="auto" w:fill="CCEEFF"/>
            <w:tcMar>
              <w:top w:w="40" w:type="dxa"/>
              <w:left w:w="0" w:type="dxa"/>
              <w:bottom w:w="40" w:type="dxa"/>
              <w:right w:w="20" w:type="dxa"/>
            </w:tcMar>
            <w:vAlign w:val="bottom"/>
          </w:tcPr>
          <w:p w14:paraId="71D42C0F" w14:textId="77777777" w:rsidR="006A3667" w:rsidRDefault="006A3667">
            <w:pPr>
              <w:jc w:val="right"/>
              <w:rPr>
                <w:rFonts w:ascii="宋体"/>
              </w:rPr>
            </w:pPr>
          </w:p>
        </w:tc>
      </w:tr>
      <w:tr w:rsidR="006A3667" w14:paraId="71D42C27" w14:textId="77777777">
        <w:trPr>
          <w:jc w:val="center"/>
        </w:trPr>
        <w:tc>
          <w:tcPr>
            <w:tcW w:w="0" w:type="auto"/>
            <w:gridSpan w:val="3"/>
            <w:shd w:val="clear" w:color="auto" w:fill="FFFFFF"/>
            <w:tcMar>
              <w:top w:w="40" w:type="dxa"/>
              <w:left w:w="20" w:type="dxa"/>
              <w:bottom w:w="40" w:type="dxa"/>
              <w:right w:w="20" w:type="dxa"/>
            </w:tcMar>
            <w:vAlign w:val="bottom"/>
          </w:tcPr>
          <w:p w14:paraId="71D42C11" w14:textId="77777777" w:rsidR="006A3667" w:rsidRDefault="00045F32">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71D42C1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18" w14:textId="77777777" w:rsidR="006A3667" w:rsidRDefault="00045F32">
            <w:pPr>
              <w:jc w:val="right"/>
              <w:textAlignment w:val="bottom"/>
            </w:pPr>
            <w:r>
              <w:rPr>
                <w:rFonts w:ascii="Arial" w:eastAsia="宋体" w:hAnsi="Arial" w:cs="Arial"/>
                <w:color w:val="000000"/>
                <w:sz w:val="15"/>
                <w:szCs w:val="15"/>
              </w:rPr>
              <w:t>19 </w:t>
            </w:r>
          </w:p>
        </w:tc>
        <w:tc>
          <w:tcPr>
            <w:tcW w:w="0" w:type="auto"/>
            <w:shd w:val="clear" w:color="auto" w:fill="FFFFFF"/>
            <w:tcMar>
              <w:top w:w="40" w:type="dxa"/>
              <w:left w:w="0" w:type="dxa"/>
              <w:bottom w:w="40" w:type="dxa"/>
              <w:right w:w="20" w:type="dxa"/>
            </w:tcMar>
            <w:vAlign w:val="bottom"/>
          </w:tcPr>
          <w:p w14:paraId="71D42C1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1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1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1F" w14:textId="77777777" w:rsidR="006A3667" w:rsidRDefault="00045F32">
            <w:pPr>
              <w:jc w:val="right"/>
              <w:textAlignment w:val="bottom"/>
            </w:pPr>
            <w:r>
              <w:rPr>
                <w:rFonts w:ascii="Arial" w:eastAsia="宋体" w:hAnsi="Arial" w:cs="Arial"/>
                <w:color w:val="000000"/>
                <w:sz w:val="15"/>
                <w:szCs w:val="15"/>
              </w:rPr>
              <w:t>(487)</w:t>
            </w:r>
          </w:p>
        </w:tc>
        <w:tc>
          <w:tcPr>
            <w:tcW w:w="0" w:type="auto"/>
            <w:shd w:val="clear" w:color="auto" w:fill="FFFFFF"/>
            <w:tcMar>
              <w:top w:w="40" w:type="dxa"/>
              <w:left w:w="0" w:type="dxa"/>
              <w:bottom w:w="40" w:type="dxa"/>
              <w:right w:w="20" w:type="dxa"/>
            </w:tcMar>
            <w:vAlign w:val="bottom"/>
          </w:tcPr>
          <w:p w14:paraId="71D42C2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2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22" w14:textId="77777777" w:rsidR="006A3667" w:rsidRDefault="00045F32">
            <w:pPr>
              <w:jc w:val="right"/>
              <w:textAlignment w:val="bottom"/>
            </w:pPr>
            <w:r>
              <w:rPr>
                <w:rFonts w:ascii="Arial" w:eastAsia="宋体" w:hAnsi="Arial" w:cs="Arial"/>
                <w:color w:val="000000"/>
                <w:sz w:val="15"/>
                <w:szCs w:val="15"/>
              </w:rPr>
              <w:t>23 </w:t>
            </w:r>
          </w:p>
        </w:tc>
        <w:tc>
          <w:tcPr>
            <w:tcW w:w="0" w:type="auto"/>
            <w:shd w:val="clear" w:color="auto" w:fill="FFFFFF"/>
            <w:tcMar>
              <w:top w:w="40" w:type="dxa"/>
              <w:left w:w="0" w:type="dxa"/>
              <w:bottom w:w="40" w:type="dxa"/>
              <w:right w:w="20" w:type="dxa"/>
            </w:tcMar>
            <w:vAlign w:val="bottom"/>
          </w:tcPr>
          <w:p w14:paraId="71D42C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2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25" w14:textId="77777777" w:rsidR="006A3667" w:rsidRDefault="00045F32">
            <w:pPr>
              <w:jc w:val="right"/>
              <w:textAlignment w:val="bottom"/>
            </w:pPr>
            <w:r>
              <w:rPr>
                <w:rFonts w:ascii="Arial" w:eastAsia="宋体" w:hAnsi="Arial" w:cs="Arial"/>
                <w:color w:val="000000"/>
                <w:sz w:val="15"/>
                <w:szCs w:val="15"/>
              </w:rPr>
              <w:t>42 </w:t>
            </w:r>
          </w:p>
        </w:tc>
        <w:tc>
          <w:tcPr>
            <w:tcW w:w="0" w:type="auto"/>
            <w:shd w:val="clear" w:color="auto" w:fill="FFFFFF"/>
            <w:tcMar>
              <w:top w:w="40" w:type="dxa"/>
              <w:left w:w="0" w:type="dxa"/>
              <w:bottom w:w="40" w:type="dxa"/>
              <w:right w:w="20" w:type="dxa"/>
            </w:tcMar>
            <w:vAlign w:val="bottom"/>
          </w:tcPr>
          <w:p w14:paraId="71D42C26" w14:textId="77777777" w:rsidR="006A3667" w:rsidRDefault="006A3667">
            <w:pPr>
              <w:jc w:val="right"/>
              <w:rPr>
                <w:rFonts w:ascii="宋体"/>
              </w:rPr>
            </w:pPr>
          </w:p>
        </w:tc>
      </w:tr>
      <w:tr w:rsidR="006A3667" w14:paraId="71D42C3C" w14:textId="77777777">
        <w:trPr>
          <w:jc w:val="center"/>
        </w:trPr>
        <w:tc>
          <w:tcPr>
            <w:tcW w:w="0" w:type="auto"/>
            <w:gridSpan w:val="3"/>
            <w:shd w:val="clear" w:color="auto" w:fill="CCEEFF"/>
            <w:tcMar>
              <w:top w:w="40" w:type="dxa"/>
              <w:left w:w="20" w:type="dxa"/>
              <w:bottom w:w="40" w:type="dxa"/>
              <w:right w:w="20" w:type="dxa"/>
            </w:tcMar>
            <w:vAlign w:val="bottom"/>
          </w:tcPr>
          <w:p w14:paraId="71D42C28" w14:textId="77777777" w:rsidR="006A3667" w:rsidRDefault="00045F32">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71D42C2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2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2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2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2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2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2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31"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1D42C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C3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3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3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3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3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3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3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3A"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1D42C3B" w14:textId="77777777" w:rsidR="006A3667" w:rsidRDefault="006A3667">
            <w:pPr>
              <w:jc w:val="right"/>
              <w:rPr>
                <w:rFonts w:ascii="宋体"/>
              </w:rPr>
            </w:pPr>
          </w:p>
        </w:tc>
      </w:tr>
      <w:tr w:rsidR="00045F32" w14:paraId="71D42C5F" w14:textId="77777777">
        <w:trPr>
          <w:jc w:val="center"/>
        </w:trPr>
        <w:tc>
          <w:tcPr>
            <w:tcW w:w="0" w:type="auto"/>
            <w:gridSpan w:val="3"/>
            <w:shd w:val="clear" w:color="auto" w:fill="FFFFFF"/>
            <w:tcMar>
              <w:top w:w="40" w:type="dxa"/>
              <w:left w:w="20" w:type="dxa"/>
              <w:bottom w:w="40" w:type="dxa"/>
              <w:right w:w="20" w:type="dxa"/>
            </w:tcMar>
            <w:vAlign w:val="bottom"/>
          </w:tcPr>
          <w:p w14:paraId="71D42C3D" w14:textId="77777777" w:rsidR="006A3667" w:rsidRDefault="00045F32">
            <w:pPr>
              <w:textAlignment w:val="bottom"/>
            </w:pPr>
            <w:r>
              <w:rPr>
                <w:rFonts w:ascii="Arial" w:eastAsia="宋体" w:hAnsi="Arial" w:cs="Arial"/>
                <w:b/>
                <w:bCs/>
                <w:color w:val="000000"/>
                <w:sz w:val="15"/>
                <w:szCs w:val="15"/>
              </w:rPr>
              <w:t>Balance at June 30, 2021</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2C3E"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C3F" w14:textId="77777777" w:rsidR="006A3667" w:rsidRDefault="00045F32">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4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4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C42" w14:textId="77777777" w:rsidR="006A3667" w:rsidRDefault="00045F32">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4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C45"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C46" w14:textId="77777777" w:rsidR="006A3667" w:rsidRDefault="00045F32">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4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C49"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C4A" w14:textId="77777777" w:rsidR="006A3667" w:rsidRDefault="00045F32">
            <w:pPr>
              <w:jc w:val="right"/>
              <w:textAlignment w:val="bottom"/>
            </w:pPr>
            <w:r>
              <w:rPr>
                <w:rFonts w:ascii="Arial" w:eastAsia="宋体" w:hAnsi="Arial" w:cs="Arial"/>
                <w:color w:val="000000"/>
                <w:sz w:val="15"/>
                <w:szCs w:val="15"/>
              </w:rPr>
              <w:t>10,246 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4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C4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C4E" w14:textId="77777777" w:rsidR="006A3667" w:rsidRDefault="00045F32">
            <w:pPr>
              <w:jc w:val="right"/>
              <w:textAlignment w:val="bottom"/>
            </w:pPr>
            <w:r>
              <w:rPr>
                <w:rFonts w:ascii="Arial" w:eastAsia="宋体" w:hAnsi="Arial" w:cs="Arial"/>
                <w:color w:val="000000"/>
                <w:sz w:val="15"/>
                <w:szCs w:val="15"/>
              </w:rPr>
              <w:t>24,300 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5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C51"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C52" w14:textId="77777777" w:rsidR="006A3667" w:rsidRDefault="00045F32">
            <w:pPr>
              <w:jc w:val="right"/>
              <w:textAlignment w:val="bottom"/>
            </w:pPr>
            <w:r>
              <w:rPr>
                <w:rFonts w:ascii="Arial" w:eastAsia="宋体" w:hAnsi="Arial" w:cs="Arial"/>
                <w:color w:val="000000"/>
                <w:sz w:val="15"/>
                <w:szCs w:val="15"/>
              </w:rPr>
              <w:t>(422)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5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C55" w14:textId="77777777" w:rsidR="006A3667" w:rsidRDefault="00045F32">
            <w:pPr>
              <w:jc w:val="right"/>
              <w:textAlignment w:val="bottom"/>
            </w:pPr>
            <w:r>
              <w:rPr>
                <w:rFonts w:ascii="Arial" w:eastAsia="宋体" w:hAnsi="Arial" w:cs="Arial"/>
                <w:color w:val="000000"/>
                <w:sz w:val="15"/>
                <w:szCs w:val="15"/>
              </w:rPr>
              <w:t>160,377 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57"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C58"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C59" w14:textId="77777777" w:rsidR="006A3667" w:rsidRDefault="00045F32">
            <w:pPr>
              <w:jc w:val="right"/>
              <w:textAlignment w:val="bottom"/>
            </w:pPr>
            <w:r>
              <w:rPr>
                <w:rFonts w:ascii="Arial" w:eastAsia="宋体" w:hAnsi="Arial" w:cs="Arial"/>
                <w:color w:val="000000"/>
                <w:sz w:val="15"/>
                <w:szCs w:val="15"/>
              </w:rPr>
              <w:t>(11,437)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5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5B"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C5C"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C5D" w14:textId="77777777" w:rsidR="006A3667" w:rsidRDefault="00045F32">
            <w:pPr>
              <w:jc w:val="right"/>
              <w:textAlignment w:val="bottom"/>
            </w:pPr>
            <w:r>
              <w:rPr>
                <w:rFonts w:ascii="Arial" w:eastAsia="宋体" w:hAnsi="Arial" w:cs="Arial"/>
                <w:color w:val="000000"/>
                <w:sz w:val="15"/>
                <w:szCs w:val="15"/>
              </w:rPr>
              <w:t>25,167 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C5E" w14:textId="77777777" w:rsidR="006A3667" w:rsidRDefault="006A3667">
            <w:pPr>
              <w:jc w:val="right"/>
              <w:rPr>
                <w:rFonts w:ascii="宋体"/>
              </w:rPr>
            </w:pPr>
          </w:p>
        </w:tc>
      </w:tr>
      <w:tr w:rsidR="006A3667" w14:paraId="71D42C74" w14:textId="77777777">
        <w:trPr>
          <w:jc w:val="center"/>
        </w:trPr>
        <w:tc>
          <w:tcPr>
            <w:tcW w:w="0" w:type="auto"/>
            <w:gridSpan w:val="3"/>
            <w:shd w:val="clear" w:color="auto" w:fill="CCEEFF"/>
            <w:tcMar>
              <w:top w:w="40" w:type="dxa"/>
              <w:left w:w="20" w:type="dxa"/>
              <w:bottom w:w="40" w:type="dxa"/>
              <w:right w:w="20" w:type="dxa"/>
            </w:tcMar>
            <w:vAlign w:val="bottom"/>
          </w:tcPr>
          <w:p w14:paraId="71D42C60" w14:textId="77777777" w:rsidR="006A3667" w:rsidRDefault="00045F32">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CCEEFF"/>
            <w:tcMar>
              <w:top w:w="0" w:type="dxa"/>
              <w:left w:w="20" w:type="dxa"/>
              <w:bottom w:w="0" w:type="dxa"/>
              <w:right w:w="20" w:type="dxa"/>
            </w:tcMar>
            <w:vAlign w:val="bottom"/>
          </w:tcPr>
          <w:p w14:paraId="71D42C6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69" w14:textId="77777777" w:rsidR="006A3667" w:rsidRDefault="00045F32">
            <w:pPr>
              <w:jc w:val="right"/>
              <w:textAlignment w:val="bottom"/>
            </w:pPr>
            <w:r>
              <w:rPr>
                <w:rFonts w:ascii="Arial" w:eastAsia="宋体" w:hAnsi="Arial" w:cs="Arial"/>
                <w:color w:val="000000"/>
                <w:sz w:val="15"/>
                <w:szCs w:val="15"/>
              </w:rPr>
              <w:t>714 </w:t>
            </w:r>
          </w:p>
        </w:tc>
        <w:tc>
          <w:tcPr>
            <w:tcW w:w="0" w:type="auto"/>
            <w:shd w:val="clear" w:color="auto" w:fill="CCEEFF"/>
            <w:tcMar>
              <w:top w:w="40" w:type="dxa"/>
              <w:left w:w="0" w:type="dxa"/>
              <w:bottom w:w="40" w:type="dxa"/>
              <w:right w:w="20" w:type="dxa"/>
            </w:tcMar>
            <w:vAlign w:val="bottom"/>
          </w:tcPr>
          <w:p w14:paraId="71D42C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C6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6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7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7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72" w14:textId="77777777" w:rsidR="006A3667" w:rsidRDefault="00045F32">
            <w:pPr>
              <w:jc w:val="right"/>
              <w:textAlignment w:val="bottom"/>
            </w:pPr>
            <w:r>
              <w:rPr>
                <w:rFonts w:ascii="Arial" w:eastAsia="宋体" w:hAnsi="Arial" w:cs="Arial"/>
                <w:color w:val="000000"/>
                <w:sz w:val="15"/>
                <w:szCs w:val="15"/>
              </w:rPr>
              <w:t>714 </w:t>
            </w:r>
          </w:p>
        </w:tc>
        <w:tc>
          <w:tcPr>
            <w:tcW w:w="0" w:type="auto"/>
            <w:shd w:val="clear" w:color="auto" w:fill="CCEEFF"/>
            <w:tcMar>
              <w:top w:w="40" w:type="dxa"/>
              <w:left w:w="0" w:type="dxa"/>
              <w:bottom w:w="40" w:type="dxa"/>
              <w:right w:w="20" w:type="dxa"/>
            </w:tcMar>
            <w:vAlign w:val="bottom"/>
          </w:tcPr>
          <w:p w14:paraId="71D42C73" w14:textId="77777777" w:rsidR="006A3667" w:rsidRDefault="006A3667">
            <w:pPr>
              <w:jc w:val="right"/>
              <w:rPr>
                <w:rFonts w:ascii="宋体"/>
              </w:rPr>
            </w:pPr>
          </w:p>
        </w:tc>
      </w:tr>
      <w:tr w:rsidR="006A3667" w14:paraId="71D42C89" w14:textId="77777777">
        <w:trPr>
          <w:jc w:val="center"/>
        </w:trPr>
        <w:tc>
          <w:tcPr>
            <w:tcW w:w="0" w:type="auto"/>
            <w:gridSpan w:val="3"/>
            <w:shd w:val="clear" w:color="auto" w:fill="FFFFFF"/>
            <w:tcMar>
              <w:top w:w="40" w:type="dxa"/>
              <w:left w:w="20" w:type="dxa"/>
              <w:bottom w:w="40" w:type="dxa"/>
              <w:right w:w="20" w:type="dxa"/>
            </w:tcMar>
            <w:vAlign w:val="bottom"/>
          </w:tcPr>
          <w:p w14:paraId="71D42C75" w14:textId="77777777" w:rsidR="006A3667" w:rsidRDefault="00045F32">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71D42C7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7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80" w14:textId="77777777" w:rsidR="006A3667" w:rsidRDefault="00045F32">
            <w:pPr>
              <w:jc w:val="right"/>
              <w:textAlignment w:val="bottom"/>
            </w:pPr>
            <w:r>
              <w:rPr>
                <w:rFonts w:ascii="Arial" w:eastAsia="宋体" w:hAnsi="Arial" w:cs="Arial"/>
                <w:color w:val="000000"/>
                <w:sz w:val="15"/>
                <w:szCs w:val="15"/>
              </w:rPr>
              <w:t>(260)</w:t>
            </w:r>
          </w:p>
        </w:tc>
        <w:tc>
          <w:tcPr>
            <w:tcW w:w="0" w:type="auto"/>
            <w:shd w:val="clear" w:color="auto" w:fill="FFFFFF"/>
            <w:tcMar>
              <w:top w:w="40" w:type="dxa"/>
              <w:left w:w="0" w:type="dxa"/>
              <w:bottom w:w="40" w:type="dxa"/>
              <w:right w:w="20" w:type="dxa"/>
            </w:tcMar>
            <w:vAlign w:val="bottom"/>
          </w:tcPr>
          <w:p w14:paraId="71D42C8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8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8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8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8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8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87" w14:textId="77777777" w:rsidR="006A3667" w:rsidRDefault="00045F32">
            <w:pPr>
              <w:jc w:val="right"/>
              <w:textAlignment w:val="bottom"/>
            </w:pPr>
            <w:r>
              <w:rPr>
                <w:rFonts w:ascii="Arial" w:eastAsia="宋体" w:hAnsi="Arial" w:cs="Arial"/>
                <w:color w:val="000000"/>
                <w:sz w:val="15"/>
                <w:szCs w:val="15"/>
              </w:rPr>
              <w:t>(260)</w:t>
            </w:r>
          </w:p>
        </w:tc>
        <w:tc>
          <w:tcPr>
            <w:tcW w:w="0" w:type="auto"/>
            <w:shd w:val="clear" w:color="auto" w:fill="FFFFFF"/>
            <w:tcMar>
              <w:top w:w="40" w:type="dxa"/>
              <w:left w:w="0" w:type="dxa"/>
              <w:bottom w:w="40" w:type="dxa"/>
              <w:right w:w="20" w:type="dxa"/>
            </w:tcMar>
            <w:vAlign w:val="bottom"/>
          </w:tcPr>
          <w:p w14:paraId="71D42C88" w14:textId="77777777" w:rsidR="006A3667" w:rsidRDefault="006A3667">
            <w:pPr>
              <w:jc w:val="right"/>
              <w:rPr>
                <w:rFonts w:ascii="宋体"/>
              </w:rPr>
            </w:pPr>
          </w:p>
        </w:tc>
      </w:tr>
      <w:tr w:rsidR="006A3667" w14:paraId="71D42CA0" w14:textId="77777777">
        <w:trPr>
          <w:jc w:val="center"/>
        </w:trPr>
        <w:tc>
          <w:tcPr>
            <w:tcW w:w="0" w:type="auto"/>
            <w:gridSpan w:val="3"/>
            <w:shd w:val="clear" w:color="auto" w:fill="CCEEFF"/>
            <w:tcMar>
              <w:top w:w="40" w:type="dxa"/>
              <w:left w:w="20" w:type="dxa"/>
              <w:bottom w:w="40" w:type="dxa"/>
              <w:right w:w="20" w:type="dxa"/>
            </w:tcMar>
            <w:vAlign w:val="bottom"/>
          </w:tcPr>
          <w:p w14:paraId="71D42C8A" w14:textId="77777777" w:rsidR="006A3667" w:rsidRDefault="00045F32">
            <w:pPr>
              <w:textAlignment w:val="bottom"/>
            </w:pPr>
            <w:r>
              <w:rPr>
                <w:rFonts w:ascii="Arial" w:eastAsia="宋体" w:hAnsi="Arial" w:cs="Arial"/>
                <w:color w:val="000000"/>
                <w:sz w:val="15"/>
                <w:szCs w:val="15"/>
              </w:rPr>
              <w:t>Common stock issued</w:t>
            </w:r>
          </w:p>
        </w:tc>
        <w:tc>
          <w:tcPr>
            <w:tcW w:w="0" w:type="auto"/>
            <w:gridSpan w:val="3"/>
            <w:shd w:val="clear" w:color="auto" w:fill="CCEEFF"/>
            <w:tcMar>
              <w:top w:w="0" w:type="dxa"/>
              <w:left w:w="20" w:type="dxa"/>
              <w:bottom w:w="0" w:type="dxa"/>
              <w:right w:w="20" w:type="dxa"/>
            </w:tcMar>
            <w:vAlign w:val="bottom"/>
          </w:tcPr>
          <w:p w14:paraId="71D42C8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8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8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8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8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9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91" w14:textId="77777777" w:rsidR="006A3667" w:rsidRDefault="00045F32">
            <w:pPr>
              <w:jc w:val="right"/>
              <w:textAlignment w:val="bottom"/>
            </w:pPr>
            <w:r>
              <w:rPr>
                <w:rFonts w:ascii="Arial" w:eastAsia="宋体" w:hAnsi="Arial" w:cs="Arial"/>
                <w:color w:val="000000"/>
                <w:sz w:val="15"/>
                <w:szCs w:val="15"/>
              </w:rPr>
              <w:t>516 </w:t>
            </w:r>
          </w:p>
        </w:tc>
        <w:tc>
          <w:tcPr>
            <w:tcW w:w="0" w:type="auto"/>
            <w:shd w:val="clear" w:color="auto" w:fill="CCEEFF"/>
            <w:tcMar>
              <w:top w:w="40" w:type="dxa"/>
              <w:left w:w="0" w:type="dxa"/>
              <w:bottom w:w="40" w:type="dxa"/>
              <w:right w:w="20" w:type="dxa"/>
            </w:tcMar>
            <w:vAlign w:val="bottom"/>
          </w:tcPr>
          <w:p w14:paraId="71D42C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C9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9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9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9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9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98" w14:textId="77777777" w:rsidR="006A3667" w:rsidRDefault="00045F32">
            <w:pPr>
              <w:jc w:val="right"/>
              <w:textAlignment w:val="bottom"/>
            </w:pPr>
            <w:r>
              <w:rPr>
                <w:rFonts w:ascii="Arial" w:eastAsia="宋体" w:hAnsi="Arial" w:cs="Arial"/>
                <w:color w:val="000000"/>
                <w:sz w:val="15"/>
                <w:szCs w:val="15"/>
              </w:rPr>
              <w:t>(21,724)</w:t>
            </w:r>
          </w:p>
        </w:tc>
        <w:tc>
          <w:tcPr>
            <w:tcW w:w="0" w:type="auto"/>
            <w:shd w:val="clear" w:color="auto" w:fill="CCEEFF"/>
            <w:tcMar>
              <w:top w:w="40" w:type="dxa"/>
              <w:left w:w="0" w:type="dxa"/>
              <w:bottom w:w="40" w:type="dxa"/>
              <w:right w:w="20" w:type="dxa"/>
            </w:tcMar>
            <w:vAlign w:val="bottom"/>
          </w:tcPr>
          <w:p w14:paraId="71D42C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C9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9B" w14:textId="77777777" w:rsidR="006A3667" w:rsidRDefault="00045F32">
            <w:pPr>
              <w:jc w:val="right"/>
              <w:textAlignment w:val="bottom"/>
            </w:pPr>
            <w:r>
              <w:rPr>
                <w:rFonts w:ascii="Arial" w:eastAsia="宋体" w:hAnsi="Arial" w:cs="Arial"/>
                <w:color w:val="000000"/>
                <w:sz w:val="15"/>
                <w:szCs w:val="15"/>
              </w:rPr>
              <w:t>1,384 </w:t>
            </w:r>
          </w:p>
        </w:tc>
        <w:tc>
          <w:tcPr>
            <w:tcW w:w="0" w:type="auto"/>
            <w:shd w:val="clear" w:color="auto" w:fill="CCEEFF"/>
            <w:tcMar>
              <w:top w:w="40" w:type="dxa"/>
              <w:left w:w="0" w:type="dxa"/>
              <w:bottom w:w="40" w:type="dxa"/>
              <w:right w:w="20" w:type="dxa"/>
            </w:tcMar>
            <w:vAlign w:val="bottom"/>
          </w:tcPr>
          <w:p w14:paraId="71D42C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C9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9E" w14:textId="77777777" w:rsidR="006A3667" w:rsidRDefault="00045F32">
            <w:pPr>
              <w:jc w:val="right"/>
              <w:textAlignment w:val="bottom"/>
            </w:pPr>
            <w:r>
              <w:rPr>
                <w:rFonts w:ascii="Arial" w:eastAsia="宋体" w:hAnsi="Arial" w:cs="Arial"/>
                <w:color w:val="000000"/>
                <w:sz w:val="15"/>
                <w:szCs w:val="15"/>
              </w:rPr>
              <w:t>1,900 </w:t>
            </w:r>
          </w:p>
        </w:tc>
        <w:tc>
          <w:tcPr>
            <w:tcW w:w="0" w:type="auto"/>
            <w:shd w:val="clear" w:color="auto" w:fill="CCEEFF"/>
            <w:tcMar>
              <w:top w:w="40" w:type="dxa"/>
              <w:left w:w="0" w:type="dxa"/>
              <w:bottom w:w="40" w:type="dxa"/>
              <w:right w:w="20" w:type="dxa"/>
            </w:tcMar>
            <w:vAlign w:val="bottom"/>
          </w:tcPr>
          <w:p w14:paraId="71D42C9F" w14:textId="77777777" w:rsidR="006A3667" w:rsidRDefault="006A3667">
            <w:pPr>
              <w:jc w:val="right"/>
              <w:rPr>
                <w:rFonts w:ascii="宋体"/>
              </w:rPr>
            </w:pPr>
          </w:p>
        </w:tc>
      </w:tr>
      <w:tr w:rsidR="006A3667" w14:paraId="71D42CB3" w14:textId="77777777">
        <w:trPr>
          <w:jc w:val="center"/>
        </w:trPr>
        <w:tc>
          <w:tcPr>
            <w:tcW w:w="0" w:type="auto"/>
            <w:gridSpan w:val="3"/>
            <w:shd w:val="clear" w:color="auto" w:fill="FFFFFF"/>
            <w:tcMar>
              <w:top w:w="40" w:type="dxa"/>
              <w:left w:w="20" w:type="dxa"/>
              <w:bottom w:w="40" w:type="dxa"/>
              <w:right w:w="20" w:type="dxa"/>
            </w:tcMar>
            <w:vAlign w:val="bottom"/>
          </w:tcPr>
          <w:p w14:paraId="71D42CA1" w14:textId="77777777" w:rsidR="006A3667" w:rsidRDefault="00045F32">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71D42CA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A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B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B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B2" w14:textId="77777777" w:rsidR="006A3667" w:rsidRDefault="006A3667">
            <w:pPr>
              <w:rPr>
                <w:rFonts w:ascii="宋体"/>
              </w:rPr>
            </w:pPr>
          </w:p>
        </w:tc>
      </w:tr>
      <w:tr w:rsidR="006A3667" w14:paraId="71D42CC8" w14:textId="77777777">
        <w:trPr>
          <w:jc w:val="center"/>
        </w:trPr>
        <w:tc>
          <w:tcPr>
            <w:tcW w:w="0" w:type="auto"/>
            <w:gridSpan w:val="3"/>
            <w:shd w:val="clear" w:color="auto" w:fill="CCEEFF"/>
            <w:tcMar>
              <w:top w:w="40" w:type="dxa"/>
              <w:left w:w="20" w:type="dxa"/>
              <w:bottom w:w="40" w:type="dxa"/>
              <w:right w:w="20" w:type="dxa"/>
            </w:tcMar>
            <w:vAlign w:val="bottom"/>
          </w:tcPr>
          <w:p w14:paraId="71D42CB4" w14:textId="77777777" w:rsidR="006A3667" w:rsidRDefault="00045F32">
            <w:pPr>
              <w:textAlignment w:val="bottom"/>
            </w:pPr>
            <w:r>
              <w:rPr>
                <w:rFonts w:ascii="Arial" w:eastAsia="宋体" w:hAnsi="Arial" w:cs="Arial"/>
                <w:color w:val="000000"/>
                <w:sz w:val="15"/>
                <w:szCs w:val="15"/>
              </w:rPr>
              <w:t>Common stock - $0.57 per share</w:t>
            </w:r>
          </w:p>
        </w:tc>
        <w:tc>
          <w:tcPr>
            <w:tcW w:w="0" w:type="auto"/>
            <w:gridSpan w:val="3"/>
            <w:shd w:val="clear" w:color="auto" w:fill="CCEEFF"/>
            <w:tcMar>
              <w:top w:w="0" w:type="dxa"/>
              <w:left w:w="20" w:type="dxa"/>
              <w:bottom w:w="0" w:type="dxa"/>
              <w:right w:w="20" w:type="dxa"/>
            </w:tcMar>
            <w:vAlign w:val="bottom"/>
          </w:tcPr>
          <w:p w14:paraId="71D42CB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B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B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B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B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B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B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B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BD" w14:textId="77777777" w:rsidR="006A3667" w:rsidRDefault="00045F32">
            <w:pPr>
              <w:jc w:val="right"/>
              <w:textAlignment w:val="bottom"/>
            </w:pPr>
            <w:r>
              <w:rPr>
                <w:rFonts w:ascii="Arial" w:eastAsia="宋体" w:hAnsi="Arial" w:cs="Arial"/>
                <w:color w:val="000000"/>
                <w:sz w:val="15"/>
                <w:szCs w:val="15"/>
              </w:rPr>
              <w:t>(209)</w:t>
            </w:r>
          </w:p>
        </w:tc>
        <w:tc>
          <w:tcPr>
            <w:tcW w:w="0" w:type="auto"/>
            <w:shd w:val="clear" w:color="auto" w:fill="CCEEFF"/>
            <w:tcMar>
              <w:top w:w="40" w:type="dxa"/>
              <w:left w:w="0" w:type="dxa"/>
              <w:bottom w:w="40" w:type="dxa"/>
              <w:right w:w="20" w:type="dxa"/>
            </w:tcMar>
            <w:vAlign w:val="bottom"/>
          </w:tcPr>
          <w:p w14:paraId="71D42C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CB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C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C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C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C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C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C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C6" w14:textId="77777777" w:rsidR="006A3667" w:rsidRDefault="00045F32">
            <w:pPr>
              <w:jc w:val="right"/>
              <w:textAlignment w:val="bottom"/>
            </w:pPr>
            <w:r>
              <w:rPr>
                <w:rFonts w:ascii="Arial" w:eastAsia="宋体" w:hAnsi="Arial" w:cs="Arial"/>
                <w:color w:val="000000"/>
                <w:sz w:val="15"/>
                <w:szCs w:val="15"/>
              </w:rPr>
              <w:t>(209)</w:t>
            </w:r>
          </w:p>
        </w:tc>
        <w:tc>
          <w:tcPr>
            <w:tcW w:w="0" w:type="auto"/>
            <w:shd w:val="clear" w:color="auto" w:fill="CCEEFF"/>
            <w:tcMar>
              <w:top w:w="40" w:type="dxa"/>
              <w:left w:w="0" w:type="dxa"/>
              <w:bottom w:w="40" w:type="dxa"/>
              <w:right w:w="20" w:type="dxa"/>
            </w:tcMar>
            <w:vAlign w:val="bottom"/>
          </w:tcPr>
          <w:p w14:paraId="71D42CC7" w14:textId="77777777" w:rsidR="006A3667" w:rsidRDefault="006A3667">
            <w:pPr>
              <w:jc w:val="right"/>
              <w:rPr>
                <w:rFonts w:ascii="宋体"/>
              </w:rPr>
            </w:pPr>
          </w:p>
        </w:tc>
      </w:tr>
      <w:tr w:rsidR="006A3667" w14:paraId="71D42CDD" w14:textId="77777777">
        <w:trPr>
          <w:jc w:val="center"/>
        </w:trPr>
        <w:tc>
          <w:tcPr>
            <w:tcW w:w="0" w:type="auto"/>
            <w:gridSpan w:val="3"/>
            <w:shd w:val="clear" w:color="auto" w:fill="FFFFFF"/>
            <w:tcMar>
              <w:top w:w="40" w:type="dxa"/>
              <w:left w:w="140" w:type="dxa"/>
              <w:bottom w:w="40" w:type="dxa"/>
              <w:right w:w="20" w:type="dxa"/>
            </w:tcMar>
            <w:vAlign w:val="bottom"/>
          </w:tcPr>
          <w:p w14:paraId="71D42CC9" w14:textId="77777777" w:rsidR="006A3667" w:rsidRDefault="00045F32">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71D42C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C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D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D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D2" w14:textId="77777777" w:rsidR="006A3667" w:rsidRDefault="00045F32">
            <w:pPr>
              <w:jc w:val="right"/>
              <w:textAlignment w:val="bottom"/>
            </w:pPr>
            <w:r>
              <w:rPr>
                <w:rFonts w:ascii="Arial" w:eastAsia="宋体" w:hAnsi="Arial" w:cs="Arial"/>
                <w:color w:val="000000"/>
                <w:sz w:val="15"/>
                <w:szCs w:val="15"/>
              </w:rPr>
              <w:t>(20)</w:t>
            </w:r>
          </w:p>
        </w:tc>
        <w:tc>
          <w:tcPr>
            <w:tcW w:w="0" w:type="auto"/>
            <w:shd w:val="clear" w:color="auto" w:fill="FFFFFF"/>
            <w:tcMar>
              <w:top w:w="40" w:type="dxa"/>
              <w:left w:w="0" w:type="dxa"/>
              <w:bottom w:w="40" w:type="dxa"/>
              <w:right w:w="20" w:type="dxa"/>
            </w:tcMar>
            <w:vAlign w:val="bottom"/>
          </w:tcPr>
          <w:p w14:paraId="71D42C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D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D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D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D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D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D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D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DB" w14:textId="77777777" w:rsidR="006A3667" w:rsidRDefault="00045F32">
            <w:pPr>
              <w:jc w:val="right"/>
              <w:textAlignment w:val="bottom"/>
            </w:pPr>
            <w:r>
              <w:rPr>
                <w:rFonts w:ascii="Arial" w:eastAsia="宋体" w:hAnsi="Arial" w:cs="Arial"/>
                <w:color w:val="000000"/>
                <w:sz w:val="15"/>
                <w:szCs w:val="15"/>
              </w:rPr>
              <w:t>(20)</w:t>
            </w:r>
          </w:p>
        </w:tc>
        <w:tc>
          <w:tcPr>
            <w:tcW w:w="0" w:type="auto"/>
            <w:shd w:val="clear" w:color="auto" w:fill="FFFFFF"/>
            <w:tcMar>
              <w:top w:w="40" w:type="dxa"/>
              <w:left w:w="0" w:type="dxa"/>
              <w:bottom w:w="40" w:type="dxa"/>
              <w:right w:w="20" w:type="dxa"/>
            </w:tcMar>
            <w:vAlign w:val="bottom"/>
          </w:tcPr>
          <w:p w14:paraId="71D42CDC" w14:textId="77777777" w:rsidR="006A3667" w:rsidRDefault="006A3667">
            <w:pPr>
              <w:jc w:val="right"/>
              <w:rPr>
                <w:rFonts w:ascii="宋体"/>
              </w:rPr>
            </w:pPr>
          </w:p>
        </w:tc>
      </w:tr>
      <w:tr w:rsidR="006A3667" w14:paraId="71D42CF1" w14:textId="77777777">
        <w:trPr>
          <w:jc w:val="center"/>
        </w:trPr>
        <w:tc>
          <w:tcPr>
            <w:tcW w:w="0" w:type="auto"/>
            <w:gridSpan w:val="3"/>
            <w:shd w:val="clear" w:color="auto" w:fill="CCEEFF"/>
            <w:tcMar>
              <w:top w:w="40" w:type="dxa"/>
              <w:left w:w="20" w:type="dxa"/>
              <w:bottom w:w="40" w:type="dxa"/>
              <w:right w:w="20" w:type="dxa"/>
            </w:tcMar>
            <w:vAlign w:val="bottom"/>
          </w:tcPr>
          <w:p w14:paraId="71D42CDE" w14:textId="77777777" w:rsidR="006A3667" w:rsidRDefault="00045F32">
            <w:pPr>
              <w:textAlignment w:val="bottom"/>
            </w:pPr>
            <w:r>
              <w:rPr>
                <w:rFonts w:ascii="Arial" w:eastAsia="宋体" w:hAnsi="Arial" w:cs="Arial"/>
                <w:color w:val="000000"/>
                <w:sz w:val="15"/>
                <w:szCs w:val="15"/>
              </w:rPr>
              <w:t>Common stock acquired</w:t>
            </w:r>
          </w:p>
        </w:tc>
        <w:tc>
          <w:tcPr>
            <w:tcW w:w="0" w:type="auto"/>
            <w:gridSpan w:val="3"/>
            <w:shd w:val="clear" w:color="auto" w:fill="CCEEFF"/>
            <w:tcMar>
              <w:top w:w="0" w:type="dxa"/>
              <w:left w:w="20" w:type="dxa"/>
              <w:bottom w:w="0" w:type="dxa"/>
              <w:right w:w="20" w:type="dxa"/>
            </w:tcMar>
            <w:vAlign w:val="bottom"/>
          </w:tcPr>
          <w:p w14:paraId="71D42CD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CE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CEF"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2CF0" w14:textId="77777777" w:rsidR="006A3667" w:rsidRDefault="006A3667">
            <w:pPr>
              <w:jc w:val="right"/>
              <w:rPr>
                <w:rFonts w:ascii="宋体"/>
              </w:rPr>
            </w:pPr>
          </w:p>
        </w:tc>
      </w:tr>
      <w:tr w:rsidR="006A3667" w14:paraId="71D42D08" w14:textId="77777777">
        <w:trPr>
          <w:jc w:val="center"/>
        </w:trPr>
        <w:tc>
          <w:tcPr>
            <w:tcW w:w="0" w:type="auto"/>
            <w:gridSpan w:val="3"/>
            <w:shd w:val="clear" w:color="auto" w:fill="FFFFFF"/>
            <w:tcMar>
              <w:top w:w="40" w:type="dxa"/>
              <w:left w:w="20" w:type="dxa"/>
              <w:bottom w:w="40" w:type="dxa"/>
              <w:right w:w="20" w:type="dxa"/>
            </w:tcMar>
            <w:vAlign w:val="bottom"/>
          </w:tcPr>
          <w:p w14:paraId="71D42CF2" w14:textId="77777777" w:rsidR="006A3667" w:rsidRDefault="00045F32">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71D42CF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CF9" w14:textId="77777777" w:rsidR="006A3667" w:rsidRDefault="00045F32">
            <w:pPr>
              <w:jc w:val="right"/>
              <w:textAlignment w:val="bottom"/>
            </w:pPr>
            <w:r>
              <w:rPr>
                <w:rFonts w:ascii="Arial" w:eastAsia="宋体" w:hAnsi="Arial" w:cs="Arial"/>
                <w:color w:val="000000"/>
                <w:sz w:val="15"/>
                <w:szCs w:val="15"/>
              </w:rPr>
              <w:t>8 </w:t>
            </w:r>
          </w:p>
        </w:tc>
        <w:tc>
          <w:tcPr>
            <w:tcW w:w="0" w:type="auto"/>
            <w:shd w:val="clear" w:color="auto" w:fill="FFFFFF"/>
            <w:tcMar>
              <w:top w:w="40" w:type="dxa"/>
              <w:left w:w="0" w:type="dxa"/>
              <w:bottom w:w="40" w:type="dxa"/>
              <w:right w:w="20" w:type="dxa"/>
            </w:tcMar>
            <w:vAlign w:val="bottom"/>
          </w:tcPr>
          <w:p w14:paraId="71D42CF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CF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CF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00" w14:textId="77777777" w:rsidR="006A3667" w:rsidRDefault="00045F32">
            <w:pPr>
              <w:jc w:val="right"/>
              <w:textAlignment w:val="bottom"/>
            </w:pPr>
            <w:r>
              <w:rPr>
                <w:rFonts w:ascii="Arial" w:eastAsia="宋体" w:hAnsi="Arial" w:cs="Arial"/>
                <w:color w:val="000000"/>
                <w:sz w:val="15"/>
                <w:szCs w:val="15"/>
              </w:rPr>
              <w:t>(399)</w:t>
            </w:r>
          </w:p>
        </w:tc>
        <w:tc>
          <w:tcPr>
            <w:tcW w:w="0" w:type="auto"/>
            <w:shd w:val="clear" w:color="auto" w:fill="FFFFFF"/>
            <w:tcMar>
              <w:top w:w="40" w:type="dxa"/>
              <w:left w:w="0" w:type="dxa"/>
              <w:bottom w:w="40" w:type="dxa"/>
              <w:right w:w="20" w:type="dxa"/>
            </w:tcMar>
            <w:vAlign w:val="bottom"/>
          </w:tcPr>
          <w:p w14:paraId="71D42D0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0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03" w14:textId="77777777" w:rsidR="006A3667" w:rsidRDefault="00045F32">
            <w:pPr>
              <w:jc w:val="right"/>
              <w:textAlignment w:val="bottom"/>
            </w:pPr>
            <w:r>
              <w:rPr>
                <w:rFonts w:ascii="Arial" w:eastAsia="宋体" w:hAnsi="Arial" w:cs="Arial"/>
                <w:color w:val="000000"/>
                <w:sz w:val="15"/>
                <w:szCs w:val="15"/>
              </w:rPr>
              <w:t>20 </w:t>
            </w:r>
          </w:p>
        </w:tc>
        <w:tc>
          <w:tcPr>
            <w:tcW w:w="0" w:type="auto"/>
            <w:shd w:val="clear" w:color="auto" w:fill="FFFFFF"/>
            <w:tcMar>
              <w:top w:w="40" w:type="dxa"/>
              <w:left w:w="0" w:type="dxa"/>
              <w:bottom w:w="40" w:type="dxa"/>
              <w:right w:w="20" w:type="dxa"/>
            </w:tcMar>
            <w:vAlign w:val="bottom"/>
          </w:tcPr>
          <w:p w14:paraId="71D42D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06" w14:textId="77777777" w:rsidR="006A3667" w:rsidRDefault="00045F32">
            <w:pPr>
              <w:jc w:val="right"/>
              <w:textAlignment w:val="bottom"/>
            </w:pPr>
            <w:r>
              <w:rPr>
                <w:rFonts w:ascii="Arial" w:eastAsia="宋体" w:hAnsi="Arial" w:cs="Arial"/>
                <w:color w:val="000000"/>
                <w:sz w:val="15"/>
                <w:szCs w:val="15"/>
              </w:rPr>
              <w:t>28 </w:t>
            </w:r>
          </w:p>
        </w:tc>
        <w:tc>
          <w:tcPr>
            <w:tcW w:w="0" w:type="auto"/>
            <w:shd w:val="clear" w:color="auto" w:fill="FFFFFF"/>
            <w:tcMar>
              <w:top w:w="40" w:type="dxa"/>
              <w:left w:w="0" w:type="dxa"/>
              <w:bottom w:w="40" w:type="dxa"/>
              <w:right w:w="20" w:type="dxa"/>
            </w:tcMar>
            <w:vAlign w:val="bottom"/>
          </w:tcPr>
          <w:p w14:paraId="71D42D07" w14:textId="77777777" w:rsidR="006A3667" w:rsidRDefault="006A3667">
            <w:pPr>
              <w:jc w:val="right"/>
              <w:rPr>
                <w:rFonts w:ascii="宋体"/>
              </w:rPr>
            </w:pPr>
          </w:p>
        </w:tc>
      </w:tr>
      <w:tr w:rsidR="006A3667" w14:paraId="71D42D1F" w14:textId="77777777">
        <w:trPr>
          <w:jc w:val="center"/>
        </w:trPr>
        <w:tc>
          <w:tcPr>
            <w:tcW w:w="0" w:type="auto"/>
            <w:gridSpan w:val="3"/>
            <w:shd w:val="clear" w:color="auto" w:fill="CCEEFF"/>
            <w:tcMar>
              <w:top w:w="40" w:type="dxa"/>
              <w:left w:w="20" w:type="dxa"/>
              <w:bottom w:w="40" w:type="dxa"/>
              <w:right w:w="20" w:type="dxa"/>
            </w:tcMar>
            <w:vAlign w:val="bottom"/>
          </w:tcPr>
          <w:p w14:paraId="71D42D09" w14:textId="77777777" w:rsidR="006A3667" w:rsidRDefault="00045F32">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71D42D0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0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0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0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0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0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D10" w14:textId="77777777" w:rsidR="006A3667" w:rsidRDefault="00045F32">
            <w:pPr>
              <w:jc w:val="right"/>
              <w:textAlignment w:val="bottom"/>
            </w:pPr>
            <w:r>
              <w:rPr>
                <w:rFonts w:ascii="Arial" w:eastAsia="宋体" w:hAnsi="Arial" w:cs="Arial"/>
                <w:color w:val="000000"/>
                <w:sz w:val="15"/>
                <w:szCs w:val="15"/>
              </w:rPr>
              <w:t>(7)</w:t>
            </w:r>
          </w:p>
        </w:tc>
        <w:tc>
          <w:tcPr>
            <w:tcW w:w="0" w:type="auto"/>
            <w:shd w:val="clear" w:color="auto" w:fill="CCEEFF"/>
            <w:tcMar>
              <w:top w:w="40" w:type="dxa"/>
              <w:left w:w="0" w:type="dxa"/>
              <w:bottom w:w="40" w:type="dxa"/>
              <w:right w:w="20" w:type="dxa"/>
            </w:tcMar>
            <w:vAlign w:val="bottom"/>
          </w:tcPr>
          <w:p w14:paraId="71D42D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D1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1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1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1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1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D17" w14:textId="77777777" w:rsidR="006A3667" w:rsidRDefault="00045F32">
            <w:pPr>
              <w:jc w:val="right"/>
              <w:textAlignment w:val="bottom"/>
            </w:pPr>
            <w:r>
              <w:rPr>
                <w:rFonts w:ascii="Arial" w:eastAsia="宋体" w:hAnsi="Arial" w:cs="Arial"/>
                <w:color w:val="000000"/>
                <w:sz w:val="15"/>
                <w:szCs w:val="15"/>
              </w:rPr>
              <w:t>(4)</w:t>
            </w:r>
          </w:p>
        </w:tc>
        <w:tc>
          <w:tcPr>
            <w:tcW w:w="0" w:type="auto"/>
            <w:shd w:val="clear" w:color="auto" w:fill="CCEEFF"/>
            <w:tcMar>
              <w:top w:w="40" w:type="dxa"/>
              <w:left w:w="0" w:type="dxa"/>
              <w:bottom w:w="40" w:type="dxa"/>
              <w:right w:w="20" w:type="dxa"/>
            </w:tcMar>
            <w:vAlign w:val="bottom"/>
          </w:tcPr>
          <w:p w14:paraId="71D42D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D1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D1A" w14:textId="77777777" w:rsidR="006A3667" w:rsidRDefault="00045F32">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1D42D1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D1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D1D" w14:textId="77777777" w:rsidR="006A3667" w:rsidRDefault="00045F32">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71D42D1E" w14:textId="77777777" w:rsidR="006A3667" w:rsidRDefault="006A3667">
            <w:pPr>
              <w:jc w:val="right"/>
              <w:rPr>
                <w:rFonts w:ascii="宋体"/>
              </w:rPr>
            </w:pPr>
          </w:p>
        </w:tc>
      </w:tr>
      <w:tr w:rsidR="00045F32" w14:paraId="71D42D42" w14:textId="77777777">
        <w:trPr>
          <w:jc w:val="center"/>
        </w:trPr>
        <w:tc>
          <w:tcPr>
            <w:tcW w:w="0" w:type="auto"/>
            <w:gridSpan w:val="3"/>
            <w:shd w:val="clear" w:color="auto" w:fill="FFFFFF"/>
            <w:tcMar>
              <w:top w:w="40" w:type="dxa"/>
              <w:left w:w="20" w:type="dxa"/>
              <w:bottom w:w="40" w:type="dxa"/>
              <w:right w:w="20" w:type="dxa"/>
            </w:tcMar>
            <w:vAlign w:val="bottom"/>
          </w:tcPr>
          <w:p w14:paraId="71D42D20" w14:textId="77777777" w:rsidR="006A3667" w:rsidRDefault="00045F32">
            <w:pPr>
              <w:textAlignment w:val="bottom"/>
            </w:pPr>
            <w:r>
              <w:rPr>
                <w:rFonts w:ascii="Arial" w:eastAsia="宋体" w:hAnsi="Arial" w:cs="Arial"/>
                <w:b/>
                <w:bCs/>
                <w:color w:val="000000"/>
                <w:sz w:val="15"/>
                <w:szCs w:val="15"/>
              </w:rPr>
              <w:t>Balance at September 30, 2021</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2D21"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D22" w14:textId="77777777" w:rsidR="006A3667" w:rsidRDefault="00045F32">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2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D25" w14:textId="77777777" w:rsidR="006A3667" w:rsidRDefault="00045F32">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27"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D28"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D29" w14:textId="77777777" w:rsidR="006A3667" w:rsidRDefault="00045F32">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2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2B"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D2C"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D2D" w14:textId="77777777" w:rsidR="006A3667" w:rsidRDefault="00045F32">
            <w:pPr>
              <w:jc w:val="right"/>
              <w:textAlignment w:val="bottom"/>
            </w:pPr>
            <w:r>
              <w:rPr>
                <w:rFonts w:ascii="Arial" w:eastAsia="宋体" w:hAnsi="Arial" w:cs="Arial"/>
                <w:color w:val="000000"/>
                <w:sz w:val="15"/>
                <w:szCs w:val="15"/>
              </w:rPr>
              <w:t>10,763 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2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2F"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D30"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D31" w14:textId="77777777" w:rsidR="006A3667" w:rsidRDefault="00045F32">
            <w:pPr>
              <w:jc w:val="right"/>
              <w:textAlignment w:val="bottom"/>
            </w:pPr>
            <w:r>
              <w:rPr>
                <w:rFonts w:ascii="Arial" w:eastAsia="宋体" w:hAnsi="Arial" w:cs="Arial"/>
                <w:color w:val="000000"/>
                <w:sz w:val="15"/>
                <w:szCs w:val="15"/>
              </w:rPr>
              <w:t>24,785 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3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33"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D34"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D35" w14:textId="77777777" w:rsidR="006A3667" w:rsidRDefault="00045F32">
            <w:pPr>
              <w:jc w:val="right"/>
              <w:textAlignment w:val="bottom"/>
            </w:pPr>
            <w:r>
              <w:rPr>
                <w:rFonts w:ascii="Arial" w:eastAsia="宋体" w:hAnsi="Arial" w:cs="Arial"/>
                <w:color w:val="000000"/>
                <w:sz w:val="15"/>
                <w:szCs w:val="15"/>
              </w:rPr>
              <w:t>(682)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3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D38" w14:textId="77777777" w:rsidR="006A3667" w:rsidRDefault="00045F32">
            <w:pPr>
              <w:jc w:val="right"/>
              <w:textAlignment w:val="bottom"/>
            </w:pPr>
            <w:r>
              <w:rPr>
                <w:rFonts w:ascii="Arial" w:eastAsia="宋体" w:hAnsi="Arial" w:cs="Arial"/>
                <w:color w:val="000000"/>
                <w:sz w:val="15"/>
                <w:szCs w:val="15"/>
              </w:rPr>
              <w:t>138,250 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3A"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D3B"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D3C" w14:textId="77777777" w:rsidR="006A3667" w:rsidRDefault="00045F32">
            <w:pPr>
              <w:jc w:val="right"/>
              <w:textAlignment w:val="bottom"/>
            </w:pPr>
            <w:r>
              <w:rPr>
                <w:rFonts w:ascii="Arial" w:eastAsia="宋体" w:hAnsi="Arial" w:cs="Arial"/>
                <w:color w:val="000000"/>
                <w:sz w:val="15"/>
                <w:szCs w:val="15"/>
              </w:rPr>
              <w:t>(10,032)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3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3E"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D3F"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D40" w14:textId="77777777" w:rsidR="006A3667" w:rsidRDefault="00045F32">
            <w:pPr>
              <w:jc w:val="right"/>
              <w:textAlignment w:val="bottom"/>
            </w:pPr>
            <w:r>
              <w:rPr>
                <w:rFonts w:ascii="Arial" w:eastAsia="宋体" w:hAnsi="Arial" w:cs="Arial"/>
                <w:color w:val="000000"/>
                <w:sz w:val="15"/>
                <w:szCs w:val="15"/>
              </w:rPr>
              <w:t>27,314 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D41" w14:textId="77777777" w:rsidR="006A3667" w:rsidRDefault="006A3667">
            <w:pPr>
              <w:jc w:val="right"/>
              <w:rPr>
                <w:rFonts w:ascii="宋体"/>
              </w:rPr>
            </w:pPr>
          </w:p>
        </w:tc>
      </w:tr>
      <w:tr w:rsidR="006A3667" w14:paraId="71D42D55" w14:textId="77777777">
        <w:trPr>
          <w:trHeight w:val="220"/>
          <w:jc w:val="center"/>
        </w:trPr>
        <w:tc>
          <w:tcPr>
            <w:tcW w:w="0" w:type="auto"/>
            <w:gridSpan w:val="3"/>
            <w:shd w:val="clear" w:color="auto" w:fill="CCEEFF"/>
            <w:tcMar>
              <w:top w:w="0" w:type="dxa"/>
              <w:left w:w="20" w:type="dxa"/>
              <w:bottom w:w="0" w:type="dxa"/>
              <w:right w:w="20" w:type="dxa"/>
            </w:tcMar>
            <w:vAlign w:val="bottom"/>
          </w:tcPr>
          <w:p w14:paraId="71D42D43"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4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45"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4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47"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4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49"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4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4B"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4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4D"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4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4F"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5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51"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5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53"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2D54" w14:textId="77777777" w:rsidR="006A3667" w:rsidRDefault="006A3667">
            <w:pPr>
              <w:rPr>
                <w:rFonts w:ascii="宋体"/>
              </w:rPr>
            </w:pPr>
          </w:p>
        </w:tc>
      </w:tr>
      <w:tr w:rsidR="00045F32" w14:paraId="71D42D77" w14:textId="77777777">
        <w:trPr>
          <w:jc w:val="center"/>
        </w:trPr>
        <w:tc>
          <w:tcPr>
            <w:tcW w:w="0" w:type="auto"/>
            <w:gridSpan w:val="3"/>
            <w:shd w:val="clear" w:color="auto" w:fill="FFFFFF"/>
            <w:tcMar>
              <w:top w:w="40" w:type="dxa"/>
              <w:left w:w="20" w:type="dxa"/>
              <w:bottom w:w="40" w:type="dxa"/>
              <w:right w:w="20" w:type="dxa"/>
            </w:tcMar>
            <w:vAlign w:val="bottom"/>
          </w:tcPr>
          <w:p w14:paraId="71D42D56" w14:textId="77777777" w:rsidR="006A3667" w:rsidRDefault="00045F32">
            <w:pPr>
              <w:textAlignment w:val="bottom"/>
            </w:pPr>
            <w:r>
              <w:rPr>
                <w:rFonts w:ascii="Arial" w:eastAsia="宋体" w:hAnsi="Arial" w:cs="Arial"/>
                <w:b/>
                <w:bCs/>
                <w:color w:val="000000"/>
                <w:sz w:val="15"/>
                <w:szCs w:val="15"/>
              </w:rPr>
              <w:t>Balance at December 31, 2021</w:t>
            </w:r>
          </w:p>
        </w:tc>
        <w:tc>
          <w:tcPr>
            <w:tcW w:w="0" w:type="auto"/>
            <w:shd w:val="clear" w:color="auto" w:fill="FFFFFF"/>
            <w:tcMar>
              <w:top w:w="40" w:type="dxa"/>
              <w:left w:w="20" w:type="dxa"/>
              <w:bottom w:w="40" w:type="dxa"/>
              <w:right w:w="0" w:type="dxa"/>
            </w:tcMar>
            <w:vAlign w:val="bottom"/>
          </w:tcPr>
          <w:p w14:paraId="71D42D57" w14:textId="77777777" w:rsidR="006A3667" w:rsidRDefault="00045F32">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71D42D58" w14:textId="77777777" w:rsidR="006A3667" w:rsidRDefault="00045F32">
            <w:pPr>
              <w:jc w:val="right"/>
              <w:textAlignment w:val="bottom"/>
            </w:pPr>
            <w:r>
              <w:rPr>
                <w:rFonts w:ascii="Arial" w:eastAsia="宋体" w:hAnsi="Arial" w:cs="Arial"/>
                <w:color w:val="000000"/>
                <w:sz w:val="15"/>
                <w:szCs w:val="15"/>
              </w:rPr>
              <w:t>1,976 </w:t>
            </w:r>
          </w:p>
        </w:tc>
        <w:tc>
          <w:tcPr>
            <w:tcW w:w="0" w:type="auto"/>
            <w:shd w:val="clear" w:color="auto" w:fill="FFFFFF"/>
            <w:tcMar>
              <w:top w:w="40" w:type="dxa"/>
              <w:left w:w="0" w:type="dxa"/>
              <w:bottom w:w="40" w:type="dxa"/>
              <w:right w:w="20" w:type="dxa"/>
            </w:tcMar>
            <w:vAlign w:val="bottom"/>
          </w:tcPr>
          <w:p w14:paraId="71D42D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5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5B" w14:textId="77777777" w:rsidR="006A3667" w:rsidRDefault="00045F32">
            <w:pPr>
              <w:jc w:val="right"/>
              <w:textAlignment w:val="bottom"/>
            </w:pPr>
            <w:r>
              <w:rPr>
                <w:rFonts w:ascii="Arial" w:eastAsia="宋体" w:hAnsi="Arial" w:cs="Arial"/>
                <w:color w:val="000000"/>
                <w:sz w:val="15"/>
                <w:szCs w:val="15"/>
              </w:rPr>
              <w:t>503,880 </w:t>
            </w:r>
          </w:p>
        </w:tc>
        <w:tc>
          <w:tcPr>
            <w:tcW w:w="0" w:type="auto"/>
            <w:shd w:val="clear" w:color="auto" w:fill="FFFFFF"/>
            <w:tcMar>
              <w:top w:w="40" w:type="dxa"/>
              <w:left w:w="0" w:type="dxa"/>
              <w:bottom w:w="40" w:type="dxa"/>
              <w:right w:w="20" w:type="dxa"/>
            </w:tcMar>
            <w:vAlign w:val="bottom"/>
          </w:tcPr>
          <w:p w14:paraId="71D42D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5D"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D5E" w14:textId="77777777" w:rsidR="006A3667" w:rsidRDefault="00045F32">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71D42D5F" w14:textId="77777777" w:rsidR="006A3667" w:rsidRDefault="00045F32">
            <w:pPr>
              <w:jc w:val="right"/>
              <w:textAlignment w:val="bottom"/>
            </w:pPr>
            <w:r>
              <w:rPr>
                <w:rFonts w:ascii="Arial" w:eastAsia="宋体" w:hAnsi="Arial" w:cs="Arial"/>
                <w:color w:val="000000"/>
                <w:sz w:val="15"/>
                <w:szCs w:val="15"/>
              </w:rPr>
              <w:t>504 </w:t>
            </w:r>
          </w:p>
        </w:tc>
        <w:tc>
          <w:tcPr>
            <w:tcW w:w="0" w:type="auto"/>
            <w:shd w:val="clear" w:color="auto" w:fill="FFFFFF"/>
            <w:tcMar>
              <w:top w:w="40" w:type="dxa"/>
              <w:left w:w="0" w:type="dxa"/>
              <w:bottom w:w="40" w:type="dxa"/>
              <w:right w:w="20" w:type="dxa"/>
            </w:tcMar>
            <w:vAlign w:val="bottom"/>
          </w:tcPr>
          <w:p w14:paraId="71D42D6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61"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D62" w14:textId="77777777" w:rsidR="006A3667" w:rsidRDefault="00045F32">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71D42D63" w14:textId="77777777" w:rsidR="006A3667" w:rsidRDefault="00045F32">
            <w:pPr>
              <w:jc w:val="right"/>
              <w:textAlignment w:val="bottom"/>
            </w:pPr>
            <w:r>
              <w:rPr>
                <w:rFonts w:ascii="Arial" w:eastAsia="宋体" w:hAnsi="Arial" w:cs="Arial"/>
                <w:color w:val="000000"/>
                <w:sz w:val="15"/>
                <w:szCs w:val="15"/>
              </w:rPr>
              <w:t>10,787 </w:t>
            </w:r>
          </w:p>
        </w:tc>
        <w:tc>
          <w:tcPr>
            <w:tcW w:w="0" w:type="auto"/>
            <w:shd w:val="clear" w:color="auto" w:fill="FFFFFF"/>
            <w:tcMar>
              <w:top w:w="40" w:type="dxa"/>
              <w:left w:w="0" w:type="dxa"/>
              <w:bottom w:w="40" w:type="dxa"/>
              <w:right w:w="20" w:type="dxa"/>
            </w:tcMar>
            <w:vAlign w:val="bottom"/>
          </w:tcPr>
          <w:p w14:paraId="71D42D6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65"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D66" w14:textId="77777777" w:rsidR="006A3667" w:rsidRDefault="00045F32">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71D42D67" w14:textId="77777777" w:rsidR="006A3667" w:rsidRDefault="00045F32">
            <w:pPr>
              <w:jc w:val="right"/>
              <w:textAlignment w:val="bottom"/>
            </w:pPr>
            <w:r>
              <w:rPr>
                <w:rFonts w:ascii="Arial" w:eastAsia="宋体" w:hAnsi="Arial" w:cs="Arial"/>
                <w:color w:val="000000"/>
                <w:sz w:val="15"/>
                <w:szCs w:val="15"/>
              </w:rPr>
              <w:t>25,238 </w:t>
            </w:r>
          </w:p>
        </w:tc>
        <w:tc>
          <w:tcPr>
            <w:tcW w:w="0" w:type="auto"/>
            <w:shd w:val="clear" w:color="auto" w:fill="FFFFFF"/>
            <w:tcMar>
              <w:top w:w="40" w:type="dxa"/>
              <w:left w:w="0" w:type="dxa"/>
              <w:bottom w:w="40" w:type="dxa"/>
              <w:right w:w="20" w:type="dxa"/>
            </w:tcMar>
            <w:vAlign w:val="bottom"/>
          </w:tcPr>
          <w:p w14:paraId="71D42D6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69"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D6A" w14:textId="77777777" w:rsidR="006A3667" w:rsidRDefault="00045F32">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71D42D6B" w14:textId="77777777" w:rsidR="006A3667" w:rsidRDefault="00045F32">
            <w:pPr>
              <w:jc w:val="right"/>
              <w:textAlignment w:val="bottom"/>
            </w:pPr>
            <w:r>
              <w:rPr>
                <w:rFonts w:ascii="Arial" w:eastAsia="宋体" w:hAnsi="Arial" w:cs="Arial"/>
                <w:color w:val="000000"/>
                <w:sz w:val="15"/>
                <w:szCs w:val="15"/>
              </w:rPr>
              <w:t>(1,133)</w:t>
            </w:r>
          </w:p>
        </w:tc>
        <w:tc>
          <w:tcPr>
            <w:tcW w:w="0" w:type="auto"/>
            <w:shd w:val="clear" w:color="auto" w:fill="FFFFFF"/>
            <w:tcMar>
              <w:top w:w="40" w:type="dxa"/>
              <w:left w:w="0" w:type="dxa"/>
              <w:bottom w:w="40" w:type="dxa"/>
              <w:right w:w="20" w:type="dxa"/>
            </w:tcMar>
            <w:vAlign w:val="bottom"/>
          </w:tcPr>
          <w:p w14:paraId="71D42D6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6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6E" w14:textId="77777777" w:rsidR="006A3667" w:rsidRDefault="00045F32">
            <w:pPr>
              <w:jc w:val="right"/>
              <w:textAlignment w:val="bottom"/>
            </w:pPr>
            <w:r>
              <w:rPr>
                <w:rFonts w:ascii="Arial" w:eastAsia="宋体" w:hAnsi="Arial" w:cs="Arial"/>
                <w:color w:val="000000"/>
                <w:sz w:val="15"/>
                <w:szCs w:val="15"/>
              </w:rPr>
              <w:t>137,897 </w:t>
            </w:r>
          </w:p>
        </w:tc>
        <w:tc>
          <w:tcPr>
            <w:tcW w:w="0" w:type="auto"/>
            <w:shd w:val="clear" w:color="auto" w:fill="FFFFFF"/>
            <w:tcMar>
              <w:top w:w="40" w:type="dxa"/>
              <w:left w:w="0" w:type="dxa"/>
              <w:bottom w:w="40" w:type="dxa"/>
              <w:right w:w="20" w:type="dxa"/>
            </w:tcMar>
            <w:vAlign w:val="bottom"/>
          </w:tcPr>
          <w:p w14:paraId="71D42D6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70"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2D71" w14:textId="77777777" w:rsidR="006A3667" w:rsidRDefault="00045F32">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71D42D72" w14:textId="77777777" w:rsidR="006A3667" w:rsidRDefault="00045F32">
            <w:pPr>
              <w:jc w:val="right"/>
              <w:textAlignment w:val="bottom"/>
            </w:pPr>
            <w:r>
              <w:rPr>
                <w:rFonts w:ascii="Arial" w:eastAsia="宋体" w:hAnsi="Arial" w:cs="Arial"/>
                <w:color w:val="000000"/>
                <w:sz w:val="15"/>
                <w:szCs w:val="15"/>
              </w:rPr>
              <w:t>(10,009)</w:t>
            </w:r>
          </w:p>
        </w:tc>
        <w:tc>
          <w:tcPr>
            <w:tcW w:w="0" w:type="auto"/>
            <w:shd w:val="clear" w:color="auto" w:fill="FFFFFF"/>
            <w:tcMar>
              <w:top w:w="40" w:type="dxa"/>
              <w:left w:w="0" w:type="dxa"/>
              <w:bottom w:w="40" w:type="dxa"/>
              <w:right w:w="20" w:type="dxa"/>
            </w:tcMar>
            <w:vAlign w:val="bottom"/>
          </w:tcPr>
          <w:p w14:paraId="71D42D7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7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75" w14:textId="77777777" w:rsidR="006A3667" w:rsidRDefault="00045F32">
            <w:pPr>
              <w:jc w:val="right"/>
              <w:textAlignment w:val="bottom"/>
            </w:pPr>
            <w:r>
              <w:rPr>
                <w:rFonts w:ascii="Arial" w:eastAsia="宋体" w:hAnsi="Arial" w:cs="Arial"/>
                <w:color w:val="000000"/>
                <w:sz w:val="15"/>
                <w:szCs w:val="15"/>
              </w:rPr>
              <w:t>27,363 </w:t>
            </w:r>
          </w:p>
        </w:tc>
        <w:tc>
          <w:tcPr>
            <w:tcW w:w="0" w:type="auto"/>
            <w:shd w:val="clear" w:color="auto" w:fill="FFFFFF"/>
            <w:tcMar>
              <w:top w:w="40" w:type="dxa"/>
              <w:left w:w="0" w:type="dxa"/>
              <w:bottom w:w="40" w:type="dxa"/>
              <w:right w:w="20" w:type="dxa"/>
            </w:tcMar>
            <w:vAlign w:val="bottom"/>
          </w:tcPr>
          <w:p w14:paraId="71D42D76" w14:textId="77777777" w:rsidR="006A3667" w:rsidRDefault="006A3667">
            <w:pPr>
              <w:jc w:val="right"/>
              <w:rPr>
                <w:rFonts w:ascii="宋体"/>
              </w:rPr>
            </w:pPr>
          </w:p>
        </w:tc>
      </w:tr>
      <w:tr w:rsidR="006A3667" w14:paraId="71D42D8C" w14:textId="77777777">
        <w:trPr>
          <w:jc w:val="center"/>
        </w:trPr>
        <w:tc>
          <w:tcPr>
            <w:tcW w:w="0" w:type="auto"/>
            <w:gridSpan w:val="3"/>
            <w:shd w:val="clear" w:color="auto" w:fill="CCEEFF"/>
            <w:tcMar>
              <w:top w:w="40" w:type="dxa"/>
              <w:left w:w="20" w:type="dxa"/>
              <w:bottom w:w="40" w:type="dxa"/>
              <w:right w:w="20" w:type="dxa"/>
            </w:tcMar>
            <w:vAlign w:val="bottom"/>
          </w:tcPr>
          <w:p w14:paraId="71D42D78" w14:textId="77777777" w:rsidR="006A3667" w:rsidRDefault="00045F32">
            <w:pPr>
              <w:textAlignment w:val="bottom"/>
            </w:pPr>
            <w:r>
              <w:rPr>
                <w:rFonts w:ascii="Arial" w:eastAsia="宋体" w:hAnsi="Arial" w:cs="Arial"/>
                <w:color w:val="000000"/>
                <w:sz w:val="15"/>
                <w:szCs w:val="15"/>
              </w:rPr>
              <w:t>Net income</w:t>
            </w:r>
          </w:p>
        </w:tc>
        <w:tc>
          <w:tcPr>
            <w:tcW w:w="0" w:type="auto"/>
            <w:gridSpan w:val="3"/>
            <w:shd w:val="clear" w:color="auto" w:fill="CCEEFF"/>
            <w:tcMar>
              <w:top w:w="0" w:type="dxa"/>
              <w:left w:w="20" w:type="dxa"/>
              <w:bottom w:w="0" w:type="dxa"/>
              <w:right w:w="20" w:type="dxa"/>
            </w:tcMar>
            <w:vAlign w:val="bottom"/>
          </w:tcPr>
          <w:p w14:paraId="71D42D7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7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7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7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7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7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7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8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D81" w14:textId="77777777" w:rsidR="006A3667" w:rsidRDefault="00045F32">
            <w:pPr>
              <w:jc w:val="right"/>
              <w:textAlignment w:val="bottom"/>
            </w:pPr>
            <w:r>
              <w:rPr>
                <w:rFonts w:ascii="Arial" w:eastAsia="宋体" w:hAnsi="Arial" w:cs="Arial"/>
                <w:color w:val="000000"/>
                <w:sz w:val="15"/>
                <w:szCs w:val="15"/>
              </w:rPr>
              <w:t>604 </w:t>
            </w:r>
          </w:p>
        </w:tc>
        <w:tc>
          <w:tcPr>
            <w:tcW w:w="0" w:type="auto"/>
            <w:shd w:val="clear" w:color="auto" w:fill="CCEEFF"/>
            <w:tcMar>
              <w:top w:w="40" w:type="dxa"/>
              <w:left w:w="0" w:type="dxa"/>
              <w:bottom w:w="40" w:type="dxa"/>
              <w:right w:w="20" w:type="dxa"/>
            </w:tcMar>
            <w:vAlign w:val="bottom"/>
          </w:tcPr>
          <w:p w14:paraId="71D42D8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D8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8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8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8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8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8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8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D8A" w14:textId="77777777" w:rsidR="006A3667" w:rsidRDefault="00045F32">
            <w:pPr>
              <w:jc w:val="right"/>
              <w:textAlignment w:val="bottom"/>
            </w:pPr>
            <w:r>
              <w:rPr>
                <w:rFonts w:ascii="Arial" w:eastAsia="宋体" w:hAnsi="Arial" w:cs="Arial"/>
                <w:color w:val="000000"/>
                <w:sz w:val="15"/>
                <w:szCs w:val="15"/>
              </w:rPr>
              <w:t>604 </w:t>
            </w:r>
          </w:p>
        </w:tc>
        <w:tc>
          <w:tcPr>
            <w:tcW w:w="0" w:type="auto"/>
            <w:shd w:val="clear" w:color="auto" w:fill="CCEEFF"/>
            <w:tcMar>
              <w:top w:w="40" w:type="dxa"/>
              <w:left w:w="0" w:type="dxa"/>
              <w:bottom w:w="40" w:type="dxa"/>
              <w:right w:w="20" w:type="dxa"/>
            </w:tcMar>
            <w:vAlign w:val="bottom"/>
          </w:tcPr>
          <w:p w14:paraId="71D42D8B" w14:textId="77777777" w:rsidR="006A3667" w:rsidRDefault="006A3667">
            <w:pPr>
              <w:jc w:val="right"/>
              <w:rPr>
                <w:rFonts w:ascii="宋体"/>
              </w:rPr>
            </w:pPr>
          </w:p>
        </w:tc>
      </w:tr>
      <w:tr w:rsidR="006A3667" w14:paraId="71D42DA1" w14:textId="77777777">
        <w:trPr>
          <w:jc w:val="center"/>
        </w:trPr>
        <w:tc>
          <w:tcPr>
            <w:tcW w:w="0" w:type="auto"/>
            <w:gridSpan w:val="3"/>
            <w:shd w:val="clear" w:color="auto" w:fill="FFFFFF"/>
            <w:tcMar>
              <w:top w:w="40" w:type="dxa"/>
              <w:left w:w="20" w:type="dxa"/>
              <w:bottom w:w="40" w:type="dxa"/>
              <w:right w:w="20" w:type="dxa"/>
            </w:tcMar>
            <w:vAlign w:val="bottom"/>
          </w:tcPr>
          <w:p w14:paraId="71D42D8D" w14:textId="77777777" w:rsidR="006A3667" w:rsidRDefault="00045F32">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71D42D8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8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98" w14:textId="77777777" w:rsidR="006A3667" w:rsidRDefault="00045F32">
            <w:pPr>
              <w:jc w:val="right"/>
              <w:textAlignment w:val="bottom"/>
            </w:pPr>
            <w:r>
              <w:rPr>
                <w:rFonts w:ascii="Arial" w:eastAsia="宋体" w:hAnsi="Arial" w:cs="Arial"/>
                <w:color w:val="000000"/>
                <w:sz w:val="15"/>
                <w:szCs w:val="15"/>
              </w:rPr>
              <w:t>(1,565)</w:t>
            </w:r>
          </w:p>
        </w:tc>
        <w:tc>
          <w:tcPr>
            <w:tcW w:w="0" w:type="auto"/>
            <w:shd w:val="clear" w:color="auto" w:fill="FFFFFF"/>
            <w:tcMar>
              <w:top w:w="40" w:type="dxa"/>
              <w:left w:w="0" w:type="dxa"/>
              <w:bottom w:w="40" w:type="dxa"/>
              <w:right w:w="20" w:type="dxa"/>
            </w:tcMar>
            <w:vAlign w:val="bottom"/>
          </w:tcPr>
          <w:p w14:paraId="71D42D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9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9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9F" w14:textId="77777777" w:rsidR="006A3667" w:rsidRDefault="00045F32">
            <w:pPr>
              <w:jc w:val="right"/>
              <w:textAlignment w:val="bottom"/>
            </w:pPr>
            <w:r>
              <w:rPr>
                <w:rFonts w:ascii="Arial" w:eastAsia="宋体" w:hAnsi="Arial" w:cs="Arial"/>
                <w:color w:val="000000"/>
                <w:sz w:val="15"/>
                <w:szCs w:val="15"/>
              </w:rPr>
              <w:t>(1,565)</w:t>
            </w:r>
          </w:p>
        </w:tc>
        <w:tc>
          <w:tcPr>
            <w:tcW w:w="0" w:type="auto"/>
            <w:shd w:val="clear" w:color="auto" w:fill="FFFFFF"/>
            <w:tcMar>
              <w:top w:w="40" w:type="dxa"/>
              <w:left w:w="0" w:type="dxa"/>
              <w:bottom w:w="40" w:type="dxa"/>
              <w:right w:w="20" w:type="dxa"/>
            </w:tcMar>
            <w:vAlign w:val="bottom"/>
          </w:tcPr>
          <w:p w14:paraId="71D42DA0" w14:textId="77777777" w:rsidR="006A3667" w:rsidRDefault="006A3667">
            <w:pPr>
              <w:jc w:val="right"/>
              <w:rPr>
                <w:rFonts w:ascii="宋体"/>
              </w:rPr>
            </w:pPr>
          </w:p>
        </w:tc>
      </w:tr>
      <w:tr w:rsidR="006A3667" w14:paraId="71D42DB4" w14:textId="77777777">
        <w:trPr>
          <w:jc w:val="center"/>
          <w:hidden/>
        </w:trPr>
        <w:tc>
          <w:tcPr>
            <w:tcW w:w="0" w:type="auto"/>
            <w:gridSpan w:val="3"/>
            <w:shd w:val="clear" w:color="auto" w:fill="auto"/>
            <w:vAlign w:val="bottom"/>
          </w:tcPr>
          <w:p w14:paraId="71D42DA2" w14:textId="77777777" w:rsidR="006A3667" w:rsidRDefault="006A3667">
            <w:pPr>
              <w:rPr>
                <w:rFonts w:ascii="宋体"/>
                <w:vanish/>
              </w:rPr>
            </w:pPr>
          </w:p>
        </w:tc>
        <w:tc>
          <w:tcPr>
            <w:tcW w:w="0" w:type="auto"/>
            <w:gridSpan w:val="3"/>
            <w:shd w:val="clear" w:color="auto" w:fill="auto"/>
            <w:vAlign w:val="bottom"/>
          </w:tcPr>
          <w:p w14:paraId="71D42DA3" w14:textId="77777777" w:rsidR="006A3667" w:rsidRDefault="006A3667">
            <w:pPr>
              <w:rPr>
                <w:rFonts w:ascii="宋体"/>
                <w:vanish/>
              </w:rPr>
            </w:pPr>
          </w:p>
        </w:tc>
        <w:tc>
          <w:tcPr>
            <w:tcW w:w="0" w:type="auto"/>
            <w:gridSpan w:val="3"/>
            <w:shd w:val="clear" w:color="auto" w:fill="auto"/>
            <w:vAlign w:val="bottom"/>
          </w:tcPr>
          <w:p w14:paraId="71D42DA4" w14:textId="77777777" w:rsidR="006A3667" w:rsidRDefault="006A3667">
            <w:pPr>
              <w:rPr>
                <w:rFonts w:ascii="宋体"/>
                <w:vanish/>
              </w:rPr>
            </w:pPr>
          </w:p>
        </w:tc>
        <w:tc>
          <w:tcPr>
            <w:tcW w:w="0" w:type="auto"/>
            <w:gridSpan w:val="3"/>
            <w:shd w:val="clear" w:color="auto" w:fill="auto"/>
            <w:vAlign w:val="bottom"/>
          </w:tcPr>
          <w:p w14:paraId="71D42DA5" w14:textId="77777777" w:rsidR="006A3667" w:rsidRDefault="006A3667">
            <w:pPr>
              <w:rPr>
                <w:rFonts w:ascii="宋体"/>
                <w:vanish/>
              </w:rPr>
            </w:pPr>
          </w:p>
        </w:tc>
        <w:tc>
          <w:tcPr>
            <w:tcW w:w="0" w:type="auto"/>
            <w:gridSpan w:val="3"/>
            <w:shd w:val="clear" w:color="auto" w:fill="auto"/>
            <w:vAlign w:val="bottom"/>
          </w:tcPr>
          <w:p w14:paraId="71D42DA6" w14:textId="77777777" w:rsidR="006A3667" w:rsidRDefault="006A3667">
            <w:pPr>
              <w:rPr>
                <w:rFonts w:ascii="宋体"/>
                <w:vanish/>
              </w:rPr>
            </w:pPr>
          </w:p>
        </w:tc>
        <w:tc>
          <w:tcPr>
            <w:tcW w:w="0" w:type="auto"/>
            <w:gridSpan w:val="3"/>
            <w:shd w:val="clear" w:color="auto" w:fill="auto"/>
            <w:vAlign w:val="bottom"/>
          </w:tcPr>
          <w:p w14:paraId="71D42DA7" w14:textId="77777777" w:rsidR="006A3667" w:rsidRDefault="006A3667">
            <w:pPr>
              <w:rPr>
                <w:rFonts w:ascii="宋体"/>
                <w:vanish/>
              </w:rPr>
            </w:pPr>
          </w:p>
        </w:tc>
        <w:tc>
          <w:tcPr>
            <w:tcW w:w="0" w:type="auto"/>
            <w:gridSpan w:val="3"/>
            <w:shd w:val="clear" w:color="auto" w:fill="auto"/>
            <w:vAlign w:val="bottom"/>
          </w:tcPr>
          <w:p w14:paraId="71D42DA8" w14:textId="77777777" w:rsidR="006A3667" w:rsidRDefault="006A3667">
            <w:pPr>
              <w:rPr>
                <w:rFonts w:ascii="宋体"/>
                <w:vanish/>
              </w:rPr>
            </w:pPr>
          </w:p>
        </w:tc>
        <w:tc>
          <w:tcPr>
            <w:tcW w:w="0" w:type="auto"/>
            <w:gridSpan w:val="3"/>
            <w:shd w:val="clear" w:color="auto" w:fill="auto"/>
            <w:vAlign w:val="bottom"/>
          </w:tcPr>
          <w:p w14:paraId="71D42DA9" w14:textId="77777777" w:rsidR="006A3667" w:rsidRDefault="006A3667">
            <w:pPr>
              <w:rPr>
                <w:rFonts w:ascii="宋体"/>
                <w:vanish/>
              </w:rPr>
            </w:pPr>
          </w:p>
        </w:tc>
        <w:tc>
          <w:tcPr>
            <w:tcW w:w="0" w:type="auto"/>
            <w:gridSpan w:val="3"/>
            <w:shd w:val="clear" w:color="auto" w:fill="auto"/>
            <w:vAlign w:val="bottom"/>
          </w:tcPr>
          <w:p w14:paraId="71D42DAA" w14:textId="77777777" w:rsidR="006A3667" w:rsidRDefault="006A3667">
            <w:pPr>
              <w:rPr>
                <w:rFonts w:ascii="宋体"/>
                <w:vanish/>
              </w:rPr>
            </w:pPr>
          </w:p>
        </w:tc>
        <w:tc>
          <w:tcPr>
            <w:tcW w:w="0" w:type="auto"/>
            <w:gridSpan w:val="3"/>
            <w:shd w:val="clear" w:color="auto" w:fill="auto"/>
            <w:vAlign w:val="bottom"/>
          </w:tcPr>
          <w:p w14:paraId="71D42DAB" w14:textId="77777777" w:rsidR="006A3667" w:rsidRDefault="006A3667">
            <w:pPr>
              <w:rPr>
                <w:rFonts w:ascii="宋体"/>
                <w:vanish/>
              </w:rPr>
            </w:pPr>
          </w:p>
        </w:tc>
        <w:tc>
          <w:tcPr>
            <w:tcW w:w="0" w:type="auto"/>
            <w:gridSpan w:val="3"/>
            <w:shd w:val="clear" w:color="auto" w:fill="auto"/>
            <w:vAlign w:val="bottom"/>
          </w:tcPr>
          <w:p w14:paraId="71D42DAC" w14:textId="77777777" w:rsidR="006A3667" w:rsidRDefault="006A3667">
            <w:pPr>
              <w:rPr>
                <w:rFonts w:ascii="宋体"/>
                <w:vanish/>
              </w:rPr>
            </w:pPr>
          </w:p>
        </w:tc>
        <w:tc>
          <w:tcPr>
            <w:tcW w:w="0" w:type="auto"/>
            <w:gridSpan w:val="3"/>
            <w:shd w:val="clear" w:color="auto" w:fill="auto"/>
            <w:vAlign w:val="bottom"/>
          </w:tcPr>
          <w:p w14:paraId="71D42DAD" w14:textId="77777777" w:rsidR="006A3667" w:rsidRDefault="006A3667">
            <w:pPr>
              <w:rPr>
                <w:rFonts w:ascii="宋体"/>
                <w:vanish/>
              </w:rPr>
            </w:pPr>
          </w:p>
        </w:tc>
        <w:tc>
          <w:tcPr>
            <w:tcW w:w="0" w:type="auto"/>
            <w:gridSpan w:val="3"/>
            <w:shd w:val="clear" w:color="auto" w:fill="auto"/>
            <w:vAlign w:val="bottom"/>
          </w:tcPr>
          <w:p w14:paraId="71D42DAE" w14:textId="77777777" w:rsidR="006A3667" w:rsidRDefault="006A3667">
            <w:pPr>
              <w:rPr>
                <w:rFonts w:ascii="宋体"/>
                <w:vanish/>
              </w:rPr>
            </w:pPr>
          </w:p>
        </w:tc>
        <w:tc>
          <w:tcPr>
            <w:tcW w:w="0" w:type="auto"/>
            <w:gridSpan w:val="3"/>
            <w:shd w:val="clear" w:color="auto" w:fill="auto"/>
            <w:vAlign w:val="bottom"/>
          </w:tcPr>
          <w:p w14:paraId="71D42DAF" w14:textId="77777777" w:rsidR="006A3667" w:rsidRDefault="006A3667">
            <w:pPr>
              <w:rPr>
                <w:rFonts w:ascii="宋体"/>
                <w:vanish/>
              </w:rPr>
            </w:pPr>
          </w:p>
        </w:tc>
        <w:tc>
          <w:tcPr>
            <w:tcW w:w="0" w:type="auto"/>
            <w:gridSpan w:val="3"/>
            <w:shd w:val="clear" w:color="auto" w:fill="auto"/>
            <w:vAlign w:val="bottom"/>
          </w:tcPr>
          <w:p w14:paraId="71D42DB0" w14:textId="77777777" w:rsidR="006A3667" w:rsidRDefault="006A3667">
            <w:pPr>
              <w:rPr>
                <w:rFonts w:ascii="宋体"/>
                <w:vanish/>
              </w:rPr>
            </w:pPr>
          </w:p>
        </w:tc>
        <w:tc>
          <w:tcPr>
            <w:tcW w:w="0" w:type="auto"/>
            <w:gridSpan w:val="3"/>
            <w:shd w:val="clear" w:color="auto" w:fill="auto"/>
            <w:vAlign w:val="bottom"/>
          </w:tcPr>
          <w:p w14:paraId="71D42DB1" w14:textId="77777777" w:rsidR="006A3667" w:rsidRDefault="006A3667">
            <w:pPr>
              <w:rPr>
                <w:rFonts w:ascii="宋体"/>
                <w:vanish/>
              </w:rPr>
            </w:pPr>
          </w:p>
        </w:tc>
        <w:tc>
          <w:tcPr>
            <w:tcW w:w="0" w:type="auto"/>
            <w:gridSpan w:val="3"/>
            <w:shd w:val="clear" w:color="auto" w:fill="auto"/>
            <w:vAlign w:val="bottom"/>
          </w:tcPr>
          <w:p w14:paraId="71D42DB2" w14:textId="77777777" w:rsidR="006A3667" w:rsidRDefault="006A3667">
            <w:pPr>
              <w:rPr>
                <w:rFonts w:ascii="宋体"/>
                <w:vanish/>
              </w:rPr>
            </w:pPr>
          </w:p>
        </w:tc>
        <w:tc>
          <w:tcPr>
            <w:tcW w:w="0" w:type="auto"/>
            <w:gridSpan w:val="3"/>
            <w:shd w:val="clear" w:color="auto" w:fill="auto"/>
            <w:vAlign w:val="bottom"/>
          </w:tcPr>
          <w:p w14:paraId="71D42DB3" w14:textId="77777777" w:rsidR="006A3667" w:rsidRDefault="006A3667">
            <w:pPr>
              <w:rPr>
                <w:rFonts w:ascii="宋体"/>
                <w:vanish/>
              </w:rPr>
            </w:pPr>
          </w:p>
        </w:tc>
      </w:tr>
      <w:tr w:rsidR="006A3667" w14:paraId="71D42DC7" w14:textId="77777777">
        <w:trPr>
          <w:jc w:val="center"/>
        </w:trPr>
        <w:tc>
          <w:tcPr>
            <w:tcW w:w="0" w:type="auto"/>
            <w:gridSpan w:val="3"/>
            <w:shd w:val="clear" w:color="auto" w:fill="CCEEFF"/>
            <w:tcMar>
              <w:top w:w="40" w:type="dxa"/>
              <w:left w:w="20" w:type="dxa"/>
              <w:bottom w:w="40" w:type="dxa"/>
              <w:right w:w="20" w:type="dxa"/>
            </w:tcMar>
            <w:vAlign w:val="bottom"/>
          </w:tcPr>
          <w:p w14:paraId="71D42DB5" w14:textId="77777777" w:rsidR="006A3667" w:rsidRDefault="00045F32">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71D42DB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B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C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C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C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C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C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C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C6" w14:textId="77777777" w:rsidR="006A3667" w:rsidRDefault="006A3667">
            <w:pPr>
              <w:rPr>
                <w:rFonts w:ascii="宋体"/>
              </w:rPr>
            </w:pPr>
          </w:p>
        </w:tc>
      </w:tr>
      <w:tr w:rsidR="006A3667" w14:paraId="71D42DDC" w14:textId="77777777">
        <w:trPr>
          <w:jc w:val="center"/>
        </w:trPr>
        <w:tc>
          <w:tcPr>
            <w:tcW w:w="0" w:type="auto"/>
            <w:gridSpan w:val="3"/>
            <w:shd w:val="clear" w:color="auto" w:fill="FFFFFF"/>
            <w:tcMar>
              <w:top w:w="40" w:type="dxa"/>
              <w:left w:w="20" w:type="dxa"/>
              <w:bottom w:w="40" w:type="dxa"/>
              <w:right w:w="20" w:type="dxa"/>
            </w:tcMar>
            <w:vAlign w:val="bottom"/>
          </w:tcPr>
          <w:p w14:paraId="71D42DC8" w14:textId="77777777" w:rsidR="006A3667" w:rsidRDefault="00045F32">
            <w:pPr>
              <w:textAlignment w:val="bottom"/>
            </w:pPr>
            <w:r>
              <w:rPr>
                <w:rFonts w:ascii="Arial" w:eastAsia="宋体" w:hAnsi="Arial" w:cs="Arial"/>
                <w:color w:val="000000"/>
                <w:sz w:val="15"/>
                <w:szCs w:val="15"/>
              </w:rPr>
              <w:t>Common stock - $0.57 per share</w:t>
            </w:r>
          </w:p>
        </w:tc>
        <w:tc>
          <w:tcPr>
            <w:tcW w:w="0" w:type="auto"/>
            <w:gridSpan w:val="3"/>
            <w:shd w:val="clear" w:color="auto" w:fill="FFFFFF"/>
            <w:tcMar>
              <w:top w:w="0" w:type="dxa"/>
              <w:left w:w="20" w:type="dxa"/>
              <w:bottom w:w="0" w:type="dxa"/>
              <w:right w:w="20" w:type="dxa"/>
            </w:tcMar>
            <w:vAlign w:val="bottom"/>
          </w:tcPr>
          <w:p w14:paraId="71D42DC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C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D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D1" w14:textId="77777777" w:rsidR="006A3667" w:rsidRDefault="00045F32">
            <w:pPr>
              <w:jc w:val="right"/>
              <w:textAlignment w:val="bottom"/>
            </w:pPr>
            <w:r>
              <w:rPr>
                <w:rFonts w:ascii="Arial" w:eastAsia="宋体" w:hAnsi="Arial" w:cs="Arial"/>
                <w:color w:val="000000"/>
                <w:sz w:val="15"/>
                <w:szCs w:val="15"/>
              </w:rPr>
              <w:t>(209)</w:t>
            </w:r>
          </w:p>
        </w:tc>
        <w:tc>
          <w:tcPr>
            <w:tcW w:w="0" w:type="auto"/>
            <w:shd w:val="clear" w:color="auto" w:fill="FFFFFF"/>
            <w:tcMar>
              <w:top w:w="40" w:type="dxa"/>
              <w:left w:w="0" w:type="dxa"/>
              <w:bottom w:w="40" w:type="dxa"/>
              <w:right w:w="20" w:type="dxa"/>
            </w:tcMar>
            <w:vAlign w:val="bottom"/>
          </w:tcPr>
          <w:p w14:paraId="71D42DD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DD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D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D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D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D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D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DD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DDA" w14:textId="77777777" w:rsidR="006A3667" w:rsidRDefault="00045F32">
            <w:pPr>
              <w:jc w:val="right"/>
              <w:textAlignment w:val="bottom"/>
            </w:pPr>
            <w:r>
              <w:rPr>
                <w:rFonts w:ascii="Arial" w:eastAsia="宋体" w:hAnsi="Arial" w:cs="Arial"/>
                <w:color w:val="000000"/>
                <w:sz w:val="15"/>
                <w:szCs w:val="15"/>
              </w:rPr>
              <w:t>(209)</w:t>
            </w:r>
          </w:p>
        </w:tc>
        <w:tc>
          <w:tcPr>
            <w:tcW w:w="0" w:type="auto"/>
            <w:shd w:val="clear" w:color="auto" w:fill="FFFFFF"/>
            <w:tcMar>
              <w:top w:w="40" w:type="dxa"/>
              <w:left w:w="0" w:type="dxa"/>
              <w:bottom w:w="40" w:type="dxa"/>
              <w:right w:w="20" w:type="dxa"/>
            </w:tcMar>
            <w:vAlign w:val="bottom"/>
          </w:tcPr>
          <w:p w14:paraId="71D42DDB" w14:textId="77777777" w:rsidR="006A3667" w:rsidRDefault="006A3667">
            <w:pPr>
              <w:jc w:val="right"/>
              <w:rPr>
                <w:rFonts w:ascii="宋体"/>
              </w:rPr>
            </w:pPr>
          </w:p>
        </w:tc>
      </w:tr>
      <w:tr w:rsidR="006A3667" w14:paraId="71D42DF1" w14:textId="77777777">
        <w:trPr>
          <w:jc w:val="center"/>
        </w:trPr>
        <w:tc>
          <w:tcPr>
            <w:tcW w:w="0" w:type="auto"/>
            <w:gridSpan w:val="3"/>
            <w:shd w:val="clear" w:color="auto" w:fill="CCEEFF"/>
            <w:tcMar>
              <w:top w:w="40" w:type="dxa"/>
              <w:left w:w="140" w:type="dxa"/>
              <w:bottom w:w="40" w:type="dxa"/>
              <w:right w:w="20" w:type="dxa"/>
            </w:tcMar>
            <w:vAlign w:val="bottom"/>
          </w:tcPr>
          <w:p w14:paraId="71D42DDD" w14:textId="77777777" w:rsidR="006A3667" w:rsidRDefault="00045F32">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71D42DD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D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DE6" w14:textId="77777777" w:rsidR="006A3667" w:rsidRDefault="00045F32">
            <w:pPr>
              <w:jc w:val="right"/>
              <w:textAlignment w:val="bottom"/>
            </w:pPr>
            <w:r>
              <w:rPr>
                <w:rFonts w:ascii="Arial" w:eastAsia="宋体" w:hAnsi="Arial" w:cs="Arial"/>
                <w:color w:val="000000"/>
                <w:sz w:val="15"/>
                <w:szCs w:val="15"/>
              </w:rPr>
              <w:t>(20)</w:t>
            </w:r>
          </w:p>
        </w:tc>
        <w:tc>
          <w:tcPr>
            <w:tcW w:w="0" w:type="auto"/>
            <w:shd w:val="clear" w:color="auto" w:fill="CCEEFF"/>
            <w:tcMar>
              <w:top w:w="40" w:type="dxa"/>
              <w:left w:w="0" w:type="dxa"/>
              <w:bottom w:w="40" w:type="dxa"/>
              <w:right w:w="20" w:type="dxa"/>
            </w:tcMar>
            <w:vAlign w:val="bottom"/>
          </w:tcPr>
          <w:p w14:paraId="71D42D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DE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DE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DEF" w14:textId="77777777" w:rsidR="006A3667" w:rsidRDefault="00045F32">
            <w:pPr>
              <w:jc w:val="right"/>
              <w:textAlignment w:val="bottom"/>
            </w:pPr>
            <w:r>
              <w:rPr>
                <w:rFonts w:ascii="Arial" w:eastAsia="宋体" w:hAnsi="Arial" w:cs="Arial"/>
                <w:color w:val="000000"/>
                <w:sz w:val="15"/>
                <w:szCs w:val="15"/>
              </w:rPr>
              <w:t>(20)</w:t>
            </w:r>
          </w:p>
        </w:tc>
        <w:tc>
          <w:tcPr>
            <w:tcW w:w="0" w:type="auto"/>
            <w:shd w:val="clear" w:color="auto" w:fill="CCEEFF"/>
            <w:tcMar>
              <w:top w:w="40" w:type="dxa"/>
              <w:left w:w="0" w:type="dxa"/>
              <w:bottom w:w="40" w:type="dxa"/>
              <w:right w:w="20" w:type="dxa"/>
            </w:tcMar>
            <w:vAlign w:val="bottom"/>
          </w:tcPr>
          <w:p w14:paraId="71D42DF0" w14:textId="77777777" w:rsidR="006A3667" w:rsidRDefault="006A3667">
            <w:pPr>
              <w:jc w:val="right"/>
              <w:rPr>
                <w:rFonts w:ascii="宋体"/>
              </w:rPr>
            </w:pPr>
          </w:p>
        </w:tc>
      </w:tr>
      <w:tr w:rsidR="006A3667" w14:paraId="71D42E04" w14:textId="77777777">
        <w:trPr>
          <w:jc w:val="center"/>
          <w:hidden/>
        </w:trPr>
        <w:tc>
          <w:tcPr>
            <w:tcW w:w="0" w:type="auto"/>
            <w:gridSpan w:val="3"/>
            <w:shd w:val="clear" w:color="auto" w:fill="auto"/>
            <w:vAlign w:val="bottom"/>
          </w:tcPr>
          <w:p w14:paraId="71D42DF2" w14:textId="77777777" w:rsidR="006A3667" w:rsidRDefault="006A3667">
            <w:pPr>
              <w:rPr>
                <w:rFonts w:ascii="宋体"/>
                <w:vanish/>
              </w:rPr>
            </w:pPr>
          </w:p>
        </w:tc>
        <w:tc>
          <w:tcPr>
            <w:tcW w:w="0" w:type="auto"/>
            <w:gridSpan w:val="3"/>
            <w:shd w:val="clear" w:color="auto" w:fill="auto"/>
            <w:vAlign w:val="bottom"/>
          </w:tcPr>
          <w:p w14:paraId="71D42DF3" w14:textId="77777777" w:rsidR="006A3667" w:rsidRDefault="006A3667">
            <w:pPr>
              <w:rPr>
                <w:rFonts w:ascii="宋体"/>
                <w:vanish/>
              </w:rPr>
            </w:pPr>
          </w:p>
        </w:tc>
        <w:tc>
          <w:tcPr>
            <w:tcW w:w="0" w:type="auto"/>
            <w:gridSpan w:val="3"/>
            <w:shd w:val="clear" w:color="auto" w:fill="auto"/>
            <w:vAlign w:val="bottom"/>
          </w:tcPr>
          <w:p w14:paraId="71D42DF4" w14:textId="77777777" w:rsidR="006A3667" w:rsidRDefault="006A3667">
            <w:pPr>
              <w:rPr>
                <w:rFonts w:ascii="宋体"/>
                <w:vanish/>
              </w:rPr>
            </w:pPr>
          </w:p>
        </w:tc>
        <w:tc>
          <w:tcPr>
            <w:tcW w:w="0" w:type="auto"/>
            <w:gridSpan w:val="3"/>
            <w:shd w:val="clear" w:color="auto" w:fill="auto"/>
            <w:vAlign w:val="bottom"/>
          </w:tcPr>
          <w:p w14:paraId="71D42DF5" w14:textId="77777777" w:rsidR="006A3667" w:rsidRDefault="006A3667">
            <w:pPr>
              <w:rPr>
                <w:rFonts w:ascii="宋体"/>
                <w:vanish/>
              </w:rPr>
            </w:pPr>
          </w:p>
        </w:tc>
        <w:tc>
          <w:tcPr>
            <w:tcW w:w="0" w:type="auto"/>
            <w:gridSpan w:val="3"/>
            <w:shd w:val="clear" w:color="auto" w:fill="auto"/>
            <w:vAlign w:val="bottom"/>
          </w:tcPr>
          <w:p w14:paraId="71D42DF6" w14:textId="77777777" w:rsidR="006A3667" w:rsidRDefault="006A3667">
            <w:pPr>
              <w:rPr>
                <w:rFonts w:ascii="宋体"/>
                <w:vanish/>
              </w:rPr>
            </w:pPr>
          </w:p>
        </w:tc>
        <w:tc>
          <w:tcPr>
            <w:tcW w:w="0" w:type="auto"/>
            <w:gridSpan w:val="3"/>
            <w:shd w:val="clear" w:color="auto" w:fill="auto"/>
            <w:vAlign w:val="bottom"/>
          </w:tcPr>
          <w:p w14:paraId="71D42DF7" w14:textId="77777777" w:rsidR="006A3667" w:rsidRDefault="006A3667">
            <w:pPr>
              <w:rPr>
                <w:rFonts w:ascii="宋体"/>
                <w:vanish/>
              </w:rPr>
            </w:pPr>
          </w:p>
        </w:tc>
        <w:tc>
          <w:tcPr>
            <w:tcW w:w="0" w:type="auto"/>
            <w:gridSpan w:val="3"/>
            <w:shd w:val="clear" w:color="auto" w:fill="auto"/>
            <w:vAlign w:val="bottom"/>
          </w:tcPr>
          <w:p w14:paraId="71D42DF8" w14:textId="77777777" w:rsidR="006A3667" w:rsidRDefault="006A3667">
            <w:pPr>
              <w:rPr>
                <w:rFonts w:ascii="宋体"/>
                <w:vanish/>
              </w:rPr>
            </w:pPr>
          </w:p>
        </w:tc>
        <w:tc>
          <w:tcPr>
            <w:tcW w:w="0" w:type="auto"/>
            <w:gridSpan w:val="3"/>
            <w:shd w:val="clear" w:color="auto" w:fill="auto"/>
            <w:vAlign w:val="bottom"/>
          </w:tcPr>
          <w:p w14:paraId="71D42DF9" w14:textId="77777777" w:rsidR="006A3667" w:rsidRDefault="006A3667">
            <w:pPr>
              <w:rPr>
                <w:rFonts w:ascii="宋体"/>
                <w:vanish/>
              </w:rPr>
            </w:pPr>
          </w:p>
        </w:tc>
        <w:tc>
          <w:tcPr>
            <w:tcW w:w="0" w:type="auto"/>
            <w:gridSpan w:val="3"/>
            <w:shd w:val="clear" w:color="auto" w:fill="auto"/>
            <w:vAlign w:val="bottom"/>
          </w:tcPr>
          <w:p w14:paraId="71D42DFA" w14:textId="77777777" w:rsidR="006A3667" w:rsidRDefault="006A3667">
            <w:pPr>
              <w:rPr>
                <w:rFonts w:ascii="宋体"/>
                <w:vanish/>
              </w:rPr>
            </w:pPr>
          </w:p>
        </w:tc>
        <w:tc>
          <w:tcPr>
            <w:tcW w:w="0" w:type="auto"/>
            <w:gridSpan w:val="3"/>
            <w:shd w:val="clear" w:color="auto" w:fill="auto"/>
            <w:vAlign w:val="bottom"/>
          </w:tcPr>
          <w:p w14:paraId="71D42DFB" w14:textId="77777777" w:rsidR="006A3667" w:rsidRDefault="006A3667">
            <w:pPr>
              <w:rPr>
                <w:rFonts w:ascii="宋体"/>
                <w:vanish/>
              </w:rPr>
            </w:pPr>
          </w:p>
        </w:tc>
        <w:tc>
          <w:tcPr>
            <w:tcW w:w="0" w:type="auto"/>
            <w:gridSpan w:val="3"/>
            <w:shd w:val="clear" w:color="auto" w:fill="auto"/>
            <w:vAlign w:val="bottom"/>
          </w:tcPr>
          <w:p w14:paraId="71D42DFC" w14:textId="77777777" w:rsidR="006A3667" w:rsidRDefault="006A3667">
            <w:pPr>
              <w:rPr>
                <w:rFonts w:ascii="宋体"/>
                <w:vanish/>
              </w:rPr>
            </w:pPr>
          </w:p>
        </w:tc>
        <w:tc>
          <w:tcPr>
            <w:tcW w:w="0" w:type="auto"/>
            <w:gridSpan w:val="3"/>
            <w:shd w:val="clear" w:color="auto" w:fill="auto"/>
            <w:vAlign w:val="bottom"/>
          </w:tcPr>
          <w:p w14:paraId="71D42DFD" w14:textId="77777777" w:rsidR="006A3667" w:rsidRDefault="006A3667">
            <w:pPr>
              <w:rPr>
                <w:rFonts w:ascii="宋体"/>
                <w:vanish/>
              </w:rPr>
            </w:pPr>
          </w:p>
        </w:tc>
        <w:tc>
          <w:tcPr>
            <w:tcW w:w="0" w:type="auto"/>
            <w:gridSpan w:val="3"/>
            <w:shd w:val="clear" w:color="auto" w:fill="auto"/>
            <w:vAlign w:val="bottom"/>
          </w:tcPr>
          <w:p w14:paraId="71D42DFE" w14:textId="77777777" w:rsidR="006A3667" w:rsidRDefault="006A3667">
            <w:pPr>
              <w:rPr>
                <w:rFonts w:ascii="宋体"/>
                <w:vanish/>
              </w:rPr>
            </w:pPr>
          </w:p>
        </w:tc>
        <w:tc>
          <w:tcPr>
            <w:tcW w:w="0" w:type="auto"/>
            <w:gridSpan w:val="3"/>
            <w:shd w:val="clear" w:color="auto" w:fill="auto"/>
            <w:vAlign w:val="bottom"/>
          </w:tcPr>
          <w:p w14:paraId="71D42DFF" w14:textId="77777777" w:rsidR="006A3667" w:rsidRDefault="006A3667">
            <w:pPr>
              <w:rPr>
                <w:rFonts w:ascii="宋体"/>
                <w:vanish/>
              </w:rPr>
            </w:pPr>
          </w:p>
        </w:tc>
        <w:tc>
          <w:tcPr>
            <w:tcW w:w="0" w:type="auto"/>
            <w:gridSpan w:val="3"/>
            <w:shd w:val="clear" w:color="auto" w:fill="auto"/>
            <w:vAlign w:val="bottom"/>
          </w:tcPr>
          <w:p w14:paraId="71D42E00" w14:textId="77777777" w:rsidR="006A3667" w:rsidRDefault="006A3667">
            <w:pPr>
              <w:rPr>
                <w:rFonts w:ascii="宋体"/>
                <w:vanish/>
              </w:rPr>
            </w:pPr>
          </w:p>
        </w:tc>
        <w:tc>
          <w:tcPr>
            <w:tcW w:w="0" w:type="auto"/>
            <w:gridSpan w:val="3"/>
            <w:shd w:val="clear" w:color="auto" w:fill="auto"/>
            <w:vAlign w:val="bottom"/>
          </w:tcPr>
          <w:p w14:paraId="71D42E01" w14:textId="77777777" w:rsidR="006A3667" w:rsidRDefault="006A3667">
            <w:pPr>
              <w:rPr>
                <w:rFonts w:ascii="宋体"/>
                <w:vanish/>
              </w:rPr>
            </w:pPr>
          </w:p>
        </w:tc>
        <w:tc>
          <w:tcPr>
            <w:tcW w:w="0" w:type="auto"/>
            <w:gridSpan w:val="3"/>
            <w:shd w:val="clear" w:color="auto" w:fill="auto"/>
            <w:vAlign w:val="bottom"/>
          </w:tcPr>
          <w:p w14:paraId="71D42E02" w14:textId="77777777" w:rsidR="006A3667" w:rsidRDefault="006A3667">
            <w:pPr>
              <w:rPr>
                <w:rFonts w:ascii="宋体"/>
                <w:vanish/>
              </w:rPr>
            </w:pPr>
          </w:p>
        </w:tc>
        <w:tc>
          <w:tcPr>
            <w:tcW w:w="0" w:type="auto"/>
            <w:gridSpan w:val="3"/>
            <w:shd w:val="clear" w:color="auto" w:fill="auto"/>
            <w:vAlign w:val="bottom"/>
          </w:tcPr>
          <w:p w14:paraId="71D42E03" w14:textId="77777777" w:rsidR="006A3667" w:rsidRDefault="006A3667">
            <w:pPr>
              <w:rPr>
                <w:rFonts w:ascii="宋体"/>
                <w:vanish/>
              </w:rPr>
            </w:pPr>
          </w:p>
        </w:tc>
      </w:tr>
      <w:tr w:rsidR="006A3667" w14:paraId="71D42E1B" w14:textId="77777777">
        <w:trPr>
          <w:jc w:val="center"/>
        </w:trPr>
        <w:tc>
          <w:tcPr>
            <w:tcW w:w="0" w:type="auto"/>
            <w:gridSpan w:val="3"/>
            <w:shd w:val="clear" w:color="auto" w:fill="FFFFFF"/>
            <w:tcMar>
              <w:top w:w="40" w:type="dxa"/>
              <w:left w:w="20" w:type="dxa"/>
              <w:bottom w:w="40" w:type="dxa"/>
              <w:right w:w="20" w:type="dxa"/>
            </w:tcMar>
            <w:vAlign w:val="bottom"/>
          </w:tcPr>
          <w:p w14:paraId="71D42E05" w14:textId="77777777" w:rsidR="006A3667" w:rsidRDefault="00045F32">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71D42E0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0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0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0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0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0C" w14:textId="77777777" w:rsidR="006A3667" w:rsidRDefault="00045F32">
            <w:pPr>
              <w:jc w:val="right"/>
              <w:textAlignment w:val="bottom"/>
            </w:pPr>
            <w:r>
              <w:rPr>
                <w:rFonts w:ascii="Arial" w:eastAsia="宋体" w:hAnsi="Arial" w:cs="Arial"/>
                <w:color w:val="000000"/>
                <w:sz w:val="15"/>
                <w:szCs w:val="15"/>
              </w:rPr>
              <w:t>(11)</w:t>
            </w:r>
          </w:p>
        </w:tc>
        <w:tc>
          <w:tcPr>
            <w:tcW w:w="0" w:type="auto"/>
            <w:shd w:val="clear" w:color="auto" w:fill="FFFFFF"/>
            <w:tcMar>
              <w:top w:w="40" w:type="dxa"/>
              <w:left w:w="0" w:type="dxa"/>
              <w:bottom w:w="40" w:type="dxa"/>
              <w:right w:w="20" w:type="dxa"/>
            </w:tcMar>
            <w:vAlign w:val="bottom"/>
          </w:tcPr>
          <w:p w14:paraId="71D42E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0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0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1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1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1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13" w14:textId="77777777" w:rsidR="006A3667" w:rsidRDefault="00045F32">
            <w:pPr>
              <w:jc w:val="right"/>
              <w:textAlignment w:val="bottom"/>
            </w:pPr>
            <w:r>
              <w:rPr>
                <w:rFonts w:ascii="Arial" w:eastAsia="宋体" w:hAnsi="Arial" w:cs="Arial"/>
                <w:color w:val="000000"/>
                <w:sz w:val="15"/>
                <w:szCs w:val="15"/>
              </w:rPr>
              <w:t>(1,132)</w:t>
            </w:r>
          </w:p>
        </w:tc>
        <w:tc>
          <w:tcPr>
            <w:tcW w:w="0" w:type="auto"/>
            <w:shd w:val="clear" w:color="auto" w:fill="FFFFFF"/>
            <w:tcMar>
              <w:top w:w="40" w:type="dxa"/>
              <w:left w:w="0" w:type="dxa"/>
              <w:bottom w:w="40" w:type="dxa"/>
              <w:right w:w="20" w:type="dxa"/>
            </w:tcMar>
            <w:vAlign w:val="bottom"/>
          </w:tcPr>
          <w:p w14:paraId="71D42E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1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16" w14:textId="77777777" w:rsidR="006A3667" w:rsidRDefault="00045F32">
            <w:pPr>
              <w:jc w:val="right"/>
              <w:textAlignment w:val="bottom"/>
            </w:pPr>
            <w:r>
              <w:rPr>
                <w:rFonts w:ascii="Arial" w:eastAsia="宋体" w:hAnsi="Arial" w:cs="Arial"/>
                <w:color w:val="000000"/>
                <w:sz w:val="15"/>
                <w:szCs w:val="15"/>
              </w:rPr>
              <w:t>77 </w:t>
            </w:r>
          </w:p>
        </w:tc>
        <w:tc>
          <w:tcPr>
            <w:tcW w:w="0" w:type="auto"/>
            <w:shd w:val="clear" w:color="auto" w:fill="FFFFFF"/>
            <w:tcMar>
              <w:top w:w="40" w:type="dxa"/>
              <w:left w:w="0" w:type="dxa"/>
              <w:bottom w:w="40" w:type="dxa"/>
              <w:right w:w="20" w:type="dxa"/>
            </w:tcMar>
            <w:vAlign w:val="bottom"/>
          </w:tcPr>
          <w:p w14:paraId="71D42E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1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19" w14:textId="77777777" w:rsidR="006A3667" w:rsidRDefault="00045F32">
            <w:pPr>
              <w:jc w:val="right"/>
              <w:textAlignment w:val="bottom"/>
            </w:pPr>
            <w:r>
              <w:rPr>
                <w:rFonts w:ascii="Arial" w:eastAsia="宋体" w:hAnsi="Arial" w:cs="Arial"/>
                <w:color w:val="000000"/>
                <w:sz w:val="15"/>
                <w:szCs w:val="15"/>
              </w:rPr>
              <w:t>66 </w:t>
            </w:r>
          </w:p>
        </w:tc>
        <w:tc>
          <w:tcPr>
            <w:tcW w:w="0" w:type="auto"/>
            <w:shd w:val="clear" w:color="auto" w:fill="FFFFFF"/>
            <w:tcMar>
              <w:top w:w="40" w:type="dxa"/>
              <w:left w:w="0" w:type="dxa"/>
              <w:bottom w:w="40" w:type="dxa"/>
              <w:right w:w="20" w:type="dxa"/>
            </w:tcMar>
            <w:vAlign w:val="bottom"/>
          </w:tcPr>
          <w:p w14:paraId="71D42E1A" w14:textId="77777777" w:rsidR="006A3667" w:rsidRDefault="006A3667">
            <w:pPr>
              <w:jc w:val="right"/>
              <w:rPr>
                <w:rFonts w:ascii="宋体"/>
              </w:rPr>
            </w:pPr>
          </w:p>
        </w:tc>
      </w:tr>
      <w:tr w:rsidR="006A3667" w14:paraId="71D42E32" w14:textId="77777777">
        <w:trPr>
          <w:jc w:val="center"/>
        </w:trPr>
        <w:tc>
          <w:tcPr>
            <w:tcW w:w="0" w:type="auto"/>
            <w:gridSpan w:val="3"/>
            <w:shd w:val="clear" w:color="auto" w:fill="CCEEFF"/>
            <w:tcMar>
              <w:top w:w="40" w:type="dxa"/>
              <w:left w:w="20" w:type="dxa"/>
              <w:bottom w:w="40" w:type="dxa"/>
              <w:right w:w="20" w:type="dxa"/>
            </w:tcMar>
            <w:vAlign w:val="bottom"/>
          </w:tcPr>
          <w:p w14:paraId="71D42E1C" w14:textId="77777777" w:rsidR="006A3667" w:rsidRDefault="00045F32">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71D42E1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1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1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2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2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2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E23" w14:textId="77777777" w:rsidR="006A3667" w:rsidRDefault="00045F32">
            <w:pPr>
              <w:jc w:val="right"/>
              <w:textAlignment w:val="bottom"/>
            </w:pPr>
            <w:r>
              <w:rPr>
                <w:rFonts w:ascii="Arial" w:eastAsia="宋体" w:hAnsi="Arial" w:cs="Arial"/>
                <w:color w:val="000000"/>
                <w:sz w:val="15"/>
                <w:szCs w:val="15"/>
              </w:rPr>
              <w:t>(14)</w:t>
            </w:r>
          </w:p>
        </w:tc>
        <w:tc>
          <w:tcPr>
            <w:tcW w:w="0" w:type="auto"/>
            <w:shd w:val="clear" w:color="auto" w:fill="CCEEFF"/>
            <w:tcMar>
              <w:top w:w="40" w:type="dxa"/>
              <w:left w:w="0" w:type="dxa"/>
              <w:bottom w:w="40" w:type="dxa"/>
              <w:right w:w="20" w:type="dxa"/>
            </w:tcMar>
            <w:vAlign w:val="bottom"/>
          </w:tcPr>
          <w:p w14:paraId="71D42E2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E2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E26" w14:textId="77777777" w:rsidR="006A3667" w:rsidRDefault="00045F32">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71D42E2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E2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2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2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E2B"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2E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E2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2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2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E30" w14:textId="77777777" w:rsidR="006A3667" w:rsidRDefault="00045F32">
            <w:pPr>
              <w:jc w:val="right"/>
              <w:textAlignment w:val="bottom"/>
            </w:pPr>
            <w:r>
              <w:rPr>
                <w:rFonts w:ascii="Arial" w:eastAsia="宋体" w:hAnsi="Arial" w:cs="Arial"/>
                <w:color w:val="000000"/>
                <w:sz w:val="15"/>
                <w:szCs w:val="15"/>
              </w:rPr>
              <w:t>(15)</w:t>
            </w:r>
          </w:p>
        </w:tc>
        <w:tc>
          <w:tcPr>
            <w:tcW w:w="0" w:type="auto"/>
            <w:shd w:val="clear" w:color="auto" w:fill="CCEEFF"/>
            <w:tcMar>
              <w:top w:w="40" w:type="dxa"/>
              <w:left w:w="0" w:type="dxa"/>
              <w:bottom w:w="40" w:type="dxa"/>
              <w:right w:w="20" w:type="dxa"/>
            </w:tcMar>
            <w:vAlign w:val="bottom"/>
          </w:tcPr>
          <w:p w14:paraId="71D42E31" w14:textId="77777777" w:rsidR="006A3667" w:rsidRDefault="006A3667">
            <w:pPr>
              <w:jc w:val="right"/>
              <w:rPr>
                <w:rFonts w:ascii="宋体"/>
              </w:rPr>
            </w:pPr>
          </w:p>
        </w:tc>
      </w:tr>
      <w:tr w:rsidR="00045F32" w14:paraId="71D42E55" w14:textId="77777777">
        <w:trPr>
          <w:jc w:val="center"/>
        </w:trPr>
        <w:tc>
          <w:tcPr>
            <w:tcW w:w="0" w:type="auto"/>
            <w:gridSpan w:val="3"/>
            <w:shd w:val="clear" w:color="auto" w:fill="FFFFFF"/>
            <w:tcMar>
              <w:top w:w="40" w:type="dxa"/>
              <w:left w:w="20" w:type="dxa"/>
              <w:bottom w:w="40" w:type="dxa"/>
              <w:right w:w="20" w:type="dxa"/>
            </w:tcMar>
            <w:vAlign w:val="bottom"/>
          </w:tcPr>
          <w:p w14:paraId="71D42E33" w14:textId="77777777" w:rsidR="006A3667" w:rsidRDefault="00045F32">
            <w:pPr>
              <w:textAlignment w:val="bottom"/>
            </w:pPr>
            <w:r>
              <w:rPr>
                <w:rFonts w:ascii="Arial" w:eastAsia="宋体" w:hAnsi="Arial" w:cs="Arial"/>
                <w:b/>
                <w:bCs/>
                <w:color w:val="000000"/>
                <w:sz w:val="15"/>
                <w:szCs w:val="15"/>
              </w:rPr>
              <w:t>Balance at March 31, 2022</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2E34"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E35" w14:textId="77777777" w:rsidR="006A3667" w:rsidRDefault="00045F32">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3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E38" w14:textId="77777777" w:rsidR="006A3667" w:rsidRDefault="00045F32">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3A"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E3B"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E3C" w14:textId="77777777" w:rsidR="006A3667" w:rsidRDefault="00045F32">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3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3E"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E3F"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E40" w14:textId="77777777" w:rsidR="006A3667" w:rsidRDefault="00045F32">
            <w:pPr>
              <w:jc w:val="right"/>
              <w:textAlignment w:val="bottom"/>
            </w:pPr>
            <w:r>
              <w:rPr>
                <w:rFonts w:ascii="Arial" w:eastAsia="宋体" w:hAnsi="Arial" w:cs="Arial"/>
                <w:color w:val="000000"/>
                <w:sz w:val="15"/>
                <w:szCs w:val="15"/>
              </w:rPr>
              <w:t>10,762 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4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4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E43"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E44" w14:textId="77777777" w:rsidR="006A3667" w:rsidRDefault="00045F32">
            <w:pPr>
              <w:jc w:val="right"/>
              <w:textAlignment w:val="bottom"/>
            </w:pPr>
            <w:r>
              <w:rPr>
                <w:rFonts w:ascii="Arial" w:eastAsia="宋体" w:hAnsi="Arial" w:cs="Arial"/>
                <w:color w:val="000000"/>
                <w:sz w:val="15"/>
                <w:szCs w:val="15"/>
              </w:rPr>
              <w:t>25,612 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46"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E47"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E48" w14:textId="77777777" w:rsidR="006A3667" w:rsidRDefault="00045F32">
            <w:pPr>
              <w:jc w:val="right"/>
              <w:textAlignment w:val="bottom"/>
            </w:pPr>
            <w:r>
              <w:rPr>
                <w:rFonts w:ascii="Arial" w:eastAsia="宋体" w:hAnsi="Arial" w:cs="Arial"/>
                <w:color w:val="000000"/>
                <w:sz w:val="15"/>
                <w:szCs w:val="15"/>
              </w:rPr>
              <w:t>(2,698)</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4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4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E4B" w14:textId="77777777" w:rsidR="006A3667" w:rsidRDefault="00045F32">
            <w:pPr>
              <w:jc w:val="right"/>
              <w:textAlignment w:val="bottom"/>
            </w:pPr>
            <w:r>
              <w:rPr>
                <w:rFonts w:ascii="Arial" w:eastAsia="宋体" w:hAnsi="Arial" w:cs="Arial"/>
                <w:color w:val="000000"/>
                <w:sz w:val="15"/>
                <w:szCs w:val="15"/>
              </w:rPr>
              <w:t>136,765 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4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4D"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E4E"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E4F" w14:textId="77777777" w:rsidR="006A3667" w:rsidRDefault="00045F32">
            <w:pPr>
              <w:jc w:val="right"/>
              <w:textAlignment w:val="bottom"/>
            </w:pPr>
            <w:r>
              <w:rPr>
                <w:rFonts w:ascii="Arial" w:eastAsia="宋体" w:hAnsi="Arial" w:cs="Arial"/>
                <w:color w:val="000000"/>
                <w:sz w:val="15"/>
                <w:szCs w:val="15"/>
              </w:rPr>
              <w:t>(9,932)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5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51"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E52"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E53" w14:textId="77777777" w:rsidR="006A3667" w:rsidRDefault="00045F32">
            <w:pPr>
              <w:jc w:val="right"/>
              <w:textAlignment w:val="bottom"/>
            </w:pPr>
            <w:r>
              <w:rPr>
                <w:rFonts w:ascii="Arial" w:eastAsia="宋体" w:hAnsi="Arial" w:cs="Arial"/>
                <w:color w:val="000000"/>
                <w:sz w:val="15"/>
                <w:szCs w:val="15"/>
              </w:rPr>
              <w:t>26,224 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E54" w14:textId="77777777" w:rsidR="006A3667" w:rsidRDefault="006A3667">
            <w:pPr>
              <w:jc w:val="right"/>
              <w:rPr>
                <w:rFonts w:ascii="宋体"/>
              </w:rPr>
            </w:pPr>
          </w:p>
        </w:tc>
      </w:tr>
      <w:tr w:rsidR="006A3667" w14:paraId="71D42E6A" w14:textId="77777777">
        <w:trPr>
          <w:jc w:val="center"/>
        </w:trPr>
        <w:tc>
          <w:tcPr>
            <w:tcW w:w="0" w:type="auto"/>
            <w:gridSpan w:val="3"/>
            <w:shd w:val="clear" w:color="auto" w:fill="CCEEFF"/>
            <w:tcMar>
              <w:top w:w="40" w:type="dxa"/>
              <w:left w:w="20" w:type="dxa"/>
              <w:bottom w:w="40" w:type="dxa"/>
              <w:right w:w="20" w:type="dxa"/>
            </w:tcMar>
            <w:vAlign w:val="bottom"/>
          </w:tcPr>
          <w:p w14:paraId="71D42E56" w14:textId="77777777" w:rsidR="006A3667" w:rsidRDefault="00045F32">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CCEEFF"/>
            <w:tcMar>
              <w:top w:w="0" w:type="dxa"/>
              <w:left w:w="20" w:type="dxa"/>
              <w:bottom w:w="0" w:type="dxa"/>
              <w:right w:w="20" w:type="dxa"/>
            </w:tcMar>
            <w:vAlign w:val="bottom"/>
          </w:tcPr>
          <w:p w14:paraId="71D42E5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5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5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5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5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5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5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5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E5F" w14:textId="77777777" w:rsidR="006A3667" w:rsidRDefault="00045F32">
            <w:pPr>
              <w:jc w:val="right"/>
              <w:textAlignment w:val="bottom"/>
            </w:pPr>
            <w:r>
              <w:rPr>
                <w:rFonts w:ascii="Arial" w:eastAsia="宋体" w:hAnsi="Arial" w:cs="Arial"/>
                <w:color w:val="000000"/>
                <w:sz w:val="15"/>
                <w:szCs w:val="15"/>
              </w:rPr>
              <w:t>747 </w:t>
            </w:r>
          </w:p>
        </w:tc>
        <w:tc>
          <w:tcPr>
            <w:tcW w:w="0" w:type="auto"/>
            <w:shd w:val="clear" w:color="auto" w:fill="CCEEFF"/>
            <w:tcMar>
              <w:top w:w="40" w:type="dxa"/>
              <w:left w:w="0" w:type="dxa"/>
              <w:bottom w:w="40" w:type="dxa"/>
              <w:right w:w="20" w:type="dxa"/>
            </w:tcMar>
            <w:vAlign w:val="bottom"/>
          </w:tcPr>
          <w:p w14:paraId="71D42E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E6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6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6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6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6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6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6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E68" w14:textId="77777777" w:rsidR="006A3667" w:rsidRDefault="00045F32">
            <w:pPr>
              <w:jc w:val="right"/>
              <w:textAlignment w:val="bottom"/>
            </w:pPr>
            <w:r>
              <w:rPr>
                <w:rFonts w:ascii="Arial" w:eastAsia="宋体" w:hAnsi="Arial" w:cs="Arial"/>
                <w:color w:val="000000"/>
                <w:sz w:val="15"/>
                <w:szCs w:val="15"/>
              </w:rPr>
              <w:t>747 </w:t>
            </w:r>
          </w:p>
        </w:tc>
        <w:tc>
          <w:tcPr>
            <w:tcW w:w="0" w:type="auto"/>
            <w:shd w:val="clear" w:color="auto" w:fill="CCEEFF"/>
            <w:tcMar>
              <w:top w:w="40" w:type="dxa"/>
              <w:left w:w="0" w:type="dxa"/>
              <w:bottom w:w="40" w:type="dxa"/>
              <w:right w:w="20" w:type="dxa"/>
            </w:tcMar>
            <w:vAlign w:val="bottom"/>
          </w:tcPr>
          <w:p w14:paraId="71D42E69" w14:textId="77777777" w:rsidR="006A3667" w:rsidRDefault="006A3667">
            <w:pPr>
              <w:jc w:val="right"/>
              <w:rPr>
                <w:rFonts w:ascii="宋体"/>
              </w:rPr>
            </w:pPr>
          </w:p>
        </w:tc>
      </w:tr>
      <w:tr w:rsidR="006A3667" w14:paraId="71D42E7F" w14:textId="77777777">
        <w:trPr>
          <w:jc w:val="center"/>
        </w:trPr>
        <w:tc>
          <w:tcPr>
            <w:tcW w:w="0" w:type="auto"/>
            <w:gridSpan w:val="3"/>
            <w:shd w:val="clear" w:color="auto" w:fill="FFFFFF"/>
            <w:tcMar>
              <w:top w:w="40" w:type="dxa"/>
              <w:left w:w="20" w:type="dxa"/>
              <w:bottom w:w="40" w:type="dxa"/>
              <w:right w:w="20" w:type="dxa"/>
            </w:tcMar>
            <w:vAlign w:val="bottom"/>
          </w:tcPr>
          <w:p w14:paraId="71D42E6B" w14:textId="77777777" w:rsidR="006A3667" w:rsidRDefault="00045F32">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71D42E6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6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6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6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76" w14:textId="77777777" w:rsidR="006A3667" w:rsidRDefault="00045F32">
            <w:pPr>
              <w:jc w:val="right"/>
              <w:textAlignment w:val="bottom"/>
            </w:pPr>
            <w:r>
              <w:rPr>
                <w:rFonts w:ascii="Arial" w:eastAsia="宋体" w:hAnsi="Arial" w:cs="Arial"/>
                <w:color w:val="000000"/>
                <w:sz w:val="15"/>
                <w:szCs w:val="15"/>
              </w:rPr>
              <w:t>(989)</w:t>
            </w:r>
          </w:p>
        </w:tc>
        <w:tc>
          <w:tcPr>
            <w:tcW w:w="0" w:type="auto"/>
            <w:shd w:val="clear" w:color="auto" w:fill="FFFFFF"/>
            <w:tcMar>
              <w:top w:w="40" w:type="dxa"/>
              <w:left w:w="0" w:type="dxa"/>
              <w:bottom w:w="40" w:type="dxa"/>
              <w:right w:w="20" w:type="dxa"/>
            </w:tcMar>
            <w:vAlign w:val="bottom"/>
          </w:tcPr>
          <w:p w14:paraId="71D42E7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7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7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7D" w14:textId="77777777" w:rsidR="006A3667" w:rsidRDefault="00045F32">
            <w:pPr>
              <w:jc w:val="right"/>
              <w:textAlignment w:val="bottom"/>
            </w:pPr>
            <w:r>
              <w:rPr>
                <w:rFonts w:ascii="Arial" w:eastAsia="宋体" w:hAnsi="Arial" w:cs="Arial"/>
                <w:color w:val="000000"/>
                <w:sz w:val="15"/>
                <w:szCs w:val="15"/>
              </w:rPr>
              <w:t>(989)</w:t>
            </w:r>
          </w:p>
        </w:tc>
        <w:tc>
          <w:tcPr>
            <w:tcW w:w="0" w:type="auto"/>
            <w:shd w:val="clear" w:color="auto" w:fill="FFFFFF"/>
            <w:tcMar>
              <w:top w:w="40" w:type="dxa"/>
              <w:left w:w="0" w:type="dxa"/>
              <w:bottom w:w="40" w:type="dxa"/>
              <w:right w:w="20" w:type="dxa"/>
            </w:tcMar>
            <w:vAlign w:val="bottom"/>
          </w:tcPr>
          <w:p w14:paraId="71D42E7E" w14:textId="77777777" w:rsidR="006A3667" w:rsidRDefault="006A3667">
            <w:pPr>
              <w:jc w:val="right"/>
              <w:rPr>
                <w:rFonts w:ascii="宋体"/>
              </w:rPr>
            </w:pPr>
          </w:p>
        </w:tc>
      </w:tr>
      <w:tr w:rsidR="006A3667" w14:paraId="71D42E92" w14:textId="77777777">
        <w:trPr>
          <w:jc w:val="center"/>
          <w:hidden/>
        </w:trPr>
        <w:tc>
          <w:tcPr>
            <w:tcW w:w="0" w:type="auto"/>
            <w:gridSpan w:val="3"/>
            <w:shd w:val="clear" w:color="auto" w:fill="auto"/>
            <w:vAlign w:val="bottom"/>
          </w:tcPr>
          <w:p w14:paraId="71D42E80" w14:textId="77777777" w:rsidR="006A3667" w:rsidRDefault="006A3667">
            <w:pPr>
              <w:rPr>
                <w:rFonts w:ascii="宋体"/>
                <w:vanish/>
              </w:rPr>
            </w:pPr>
          </w:p>
        </w:tc>
        <w:tc>
          <w:tcPr>
            <w:tcW w:w="0" w:type="auto"/>
            <w:gridSpan w:val="3"/>
            <w:shd w:val="clear" w:color="auto" w:fill="auto"/>
            <w:vAlign w:val="bottom"/>
          </w:tcPr>
          <w:p w14:paraId="71D42E81" w14:textId="77777777" w:rsidR="006A3667" w:rsidRDefault="006A3667">
            <w:pPr>
              <w:rPr>
                <w:rFonts w:ascii="宋体"/>
                <w:vanish/>
              </w:rPr>
            </w:pPr>
          </w:p>
        </w:tc>
        <w:tc>
          <w:tcPr>
            <w:tcW w:w="0" w:type="auto"/>
            <w:gridSpan w:val="3"/>
            <w:shd w:val="clear" w:color="auto" w:fill="auto"/>
            <w:vAlign w:val="bottom"/>
          </w:tcPr>
          <w:p w14:paraId="71D42E82" w14:textId="77777777" w:rsidR="006A3667" w:rsidRDefault="006A3667">
            <w:pPr>
              <w:rPr>
                <w:rFonts w:ascii="宋体"/>
                <w:vanish/>
              </w:rPr>
            </w:pPr>
          </w:p>
        </w:tc>
        <w:tc>
          <w:tcPr>
            <w:tcW w:w="0" w:type="auto"/>
            <w:gridSpan w:val="3"/>
            <w:shd w:val="clear" w:color="auto" w:fill="auto"/>
            <w:vAlign w:val="bottom"/>
          </w:tcPr>
          <w:p w14:paraId="71D42E83" w14:textId="77777777" w:rsidR="006A3667" w:rsidRDefault="006A3667">
            <w:pPr>
              <w:rPr>
                <w:rFonts w:ascii="宋体"/>
                <w:vanish/>
              </w:rPr>
            </w:pPr>
          </w:p>
        </w:tc>
        <w:tc>
          <w:tcPr>
            <w:tcW w:w="0" w:type="auto"/>
            <w:gridSpan w:val="3"/>
            <w:shd w:val="clear" w:color="auto" w:fill="auto"/>
            <w:vAlign w:val="bottom"/>
          </w:tcPr>
          <w:p w14:paraId="71D42E84" w14:textId="77777777" w:rsidR="006A3667" w:rsidRDefault="006A3667">
            <w:pPr>
              <w:rPr>
                <w:rFonts w:ascii="宋体"/>
                <w:vanish/>
              </w:rPr>
            </w:pPr>
          </w:p>
        </w:tc>
        <w:tc>
          <w:tcPr>
            <w:tcW w:w="0" w:type="auto"/>
            <w:gridSpan w:val="3"/>
            <w:shd w:val="clear" w:color="auto" w:fill="auto"/>
            <w:vAlign w:val="bottom"/>
          </w:tcPr>
          <w:p w14:paraId="71D42E85" w14:textId="77777777" w:rsidR="006A3667" w:rsidRDefault="006A3667">
            <w:pPr>
              <w:rPr>
                <w:rFonts w:ascii="宋体"/>
                <w:vanish/>
              </w:rPr>
            </w:pPr>
          </w:p>
        </w:tc>
        <w:tc>
          <w:tcPr>
            <w:tcW w:w="0" w:type="auto"/>
            <w:gridSpan w:val="3"/>
            <w:shd w:val="clear" w:color="auto" w:fill="auto"/>
            <w:vAlign w:val="bottom"/>
          </w:tcPr>
          <w:p w14:paraId="71D42E86" w14:textId="77777777" w:rsidR="006A3667" w:rsidRDefault="006A3667">
            <w:pPr>
              <w:rPr>
                <w:rFonts w:ascii="宋体"/>
                <w:vanish/>
              </w:rPr>
            </w:pPr>
          </w:p>
        </w:tc>
        <w:tc>
          <w:tcPr>
            <w:tcW w:w="0" w:type="auto"/>
            <w:gridSpan w:val="3"/>
            <w:shd w:val="clear" w:color="auto" w:fill="auto"/>
            <w:vAlign w:val="bottom"/>
          </w:tcPr>
          <w:p w14:paraId="71D42E87" w14:textId="77777777" w:rsidR="006A3667" w:rsidRDefault="006A3667">
            <w:pPr>
              <w:rPr>
                <w:rFonts w:ascii="宋体"/>
                <w:vanish/>
              </w:rPr>
            </w:pPr>
          </w:p>
        </w:tc>
        <w:tc>
          <w:tcPr>
            <w:tcW w:w="0" w:type="auto"/>
            <w:gridSpan w:val="3"/>
            <w:shd w:val="clear" w:color="auto" w:fill="auto"/>
            <w:vAlign w:val="bottom"/>
          </w:tcPr>
          <w:p w14:paraId="71D42E88" w14:textId="77777777" w:rsidR="006A3667" w:rsidRDefault="006A3667">
            <w:pPr>
              <w:rPr>
                <w:rFonts w:ascii="宋体"/>
                <w:vanish/>
              </w:rPr>
            </w:pPr>
          </w:p>
        </w:tc>
        <w:tc>
          <w:tcPr>
            <w:tcW w:w="0" w:type="auto"/>
            <w:gridSpan w:val="3"/>
            <w:shd w:val="clear" w:color="auto" w:fill="auto"/>
            <w:vAlign w:val="bottom"/>
          </w:tcPr>
          <w:p w14:paraId="71D42E89" w14:textId="77777777" w:rsidR="006A3667" w:rsidRDefault="006A3667">
            <w:pPr>
              <w:rPr>
                <w:rFonts w:ascii="宋体"/>
                <w:vanish/>
              </w:rPr>
            </w:pPr>
          </w:p>
        </w:tc>
        <w:tc>
          <w:tcPr>
            <w:tcW w:w="0" w:type="auto"/>
            <w:gridSpan w:val="3"/>
            <w:shd w:val="clear" w:color="auto" w:fill="auto"/>
            <w:vAlign w:val="bottom"/>
          </w:tcPr>
          <w:p w14:paraId="71D42E8A" w14:textId="77777777" w:rsidR="006A3667" w:rsidRDefault="006A3667">
            <w:pPr>
              <w:rPr>
                <w:rFonts w:ascii="宋体"/>
                <w:vanish/>
              </w:rPr>
            </w:pPr>
          </w:p>
        </w:tc>
        <w:tc>
          <w:tcPr>
            <w:tcW w:w="0" w:type="auto"/>
            <w:gridSpan w:val="3"/>
            <w:shd w:val="clear" w:color="auto" w:fill="auto"/>
            <w:vAlign w:val="bottom"/>
          </w:tcPr>
          <w:p w14:paraId="71D42E8B" w14:textId="77777777" w:rsidR="006A3667" w:rsidRDefault="006A3667">
            <w:pPr>
              <w:rPr>
                <w:rFonts w:ascii="宋体"/>
                <w:vanish/>
              </w:rPr>
            </w:pPr>
          </w:p>
        </w:tc>
        <w:tc>
          <w:tcPr>
            <w:tcW w:w="0" w:type="auto"/>
            <w:gridSpan w:val="3"/>
            <w:shd w:val="clear" w:color="auto" w:fill="auto"/>
            <w:vAlign w:val="bottom"/>
          </w:tcPr>
          <w:p w14:paraId="71D42E8C" w14:textId="77777777" w:rsidR="006A3667" w:rsidRDefault="006A3667">
            <w:pPr>
              <w:rPr>
                <w:rFonts w:ascii="宋体"/>
                <w:vanish/>
              </w:rPr>
            </w:pPr>
          </w:p>
        </w:tc>
        <w:tc>
          <w:tcPr>
            <w:tcW w:w="0" w:type="auto"/>
            <w:gridSpan w:val="3"/>
            <w:shd w:val="clear" w:color="auto" w:fill="auto"/>
            <w:vAlign w:val="bottom"/>
          </w:tcPr>
          <w:p w14:paraId="71D42E8D" w14:textId="77777777" w:rsidR="006A3667" w:rsidRDefault="006A3667">
            <w:pPr>
              <w:rPr>
                <w:rFonts w:ascii="宋体"/>
                <w:vanish/>
              </w:rPr>
            </w:pPr>
          </w:p>
        </w:tc>
        <w:tc>
          <w:tcPr>
            <w:tcW w:w="0" w:type="auto"/>
            <w:gridSpan w:val="3"/>
            <w:shd w:val="clear" w:color="auto" w:fill="auto"/>
            <w:vAlign w:val="bottom"/>
          </w:tcPr>
          <w:p w14:paraId="71D42E8E" w14:textId="77777777" w:rsidR="006A3667" w:rsidRDefault="006A3667">
            <w:pPr>
              <w:rPr>
                <w:rFonts w:ascii="宋体"/>
                <w:vanish/>
              </w:rPr>
            </w:pPr>
          </w:p>
        </w:tc>
        <w:tc>
          <w:tcPr>
            <w:tcW w:w="0" w:type="auto"/>
            <w:gridSpan w:val="3"/>
            <w:shd w:val="clear" w:color="auto" w:fill="auto"/>
            <w:vAlign w:val="bottom"/>
          </w:tcPr>
          <w:p w14:paraId="71D42E8F" w14:textId="77777777" w:rsidR="006A3667" w:rsidRDefault="006A3667">
            <w:pPr>
              <w:rPr>
                <w:rFonts w:ascii="宋体"/>
                <w:vanish/>
              </w:rPr>
            </w:pPr>
          </w:p>
        </w:tc>
        <w:tc>
          <w:tcPr>
            <w:tcW w:w="0" w:type="auto"/>
            <w:gridSpan w:val="3"/>
            <w:shd w:val="clear" w:color="auto" w:fill="auto"/>
            <w:vAlign w:val="bottom"/>
          </w:tcPr>
          <w:p w14:paraId="71D42E90" w14:textId="77777777" w:rsidR="006A3667" w:rsidRDefault="006A3667">
            <w:pPr>
              <w:rPr>
                <w:rFonts w:ascii="宋体"/>
                <w:vanish/>
              </w:rPr>
            </w:pPr>
          </w:p>
        </w:tc>
        <w:tc>
          <w:tcPr>
            <w:tcW w:w="0" w:type="auto"/>
            <w:gridSpan w:val="3"/>
            <w:shd w:val="clear" w:color="auto" w:fill="auto"/>
            <w:vAlign w:val="bottom"/>
          </w:tcPr>
          <w:p w14:paraId="71D42E91" w14:textId="77777777" w:rsidR="006A3667" w:rsidRDefault="006A3667">
            <w:pPr>
              <w:rPr>
                <w:rFonts w:ascii="宋体"/>
                <w:vanish/>
              </w:rPr>
            </w:pPr>
          </w:p>
        </w:tc>
      </w:tr>
      <w:tr w:rsidR="006A3667" w14:paraId="71D42EA5" w14:textId="77777777">
        <w:trPr>
          <w:jc w:val="center"/>
        </w:trPr>
        <w:tc>
          <w:tcPr>
            <w:tcW w:w="0" w:type="auto"/>
            <w:gridSpan w:val="3"/>
            <w:shd w:val="clear" w:color="auto" w:fill="CCEEFF"/>
            <w:tcMar>
              <w:top w:w="40" w:type="dxa"/>
              <w:left w:w="20" w:type="dxa"/>
              <w:bottom w:w="40" w:type="dxa"/>
              <w:right w:w="20" w:type="dxa"/>
            </w:tcMar>
            <w:vAlign w:val="bottom"/>
          </w:tcPr>
          <w:p w14:paraId="71D42E93" w14:textId="77777777" w:rsidR="006A3667" w:rsidRDefault="00045F32">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71D42E9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9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A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A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A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A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A4" w14:textId="77777777" w:rsidR="006A3667" w:rsidRDefault="006A3667">
            <w:pPr>
              <w:rPr>
                <w:rFonts w:ascii="宋体"/>
              </w:rPr>
            </w:pPr>
          </w:p>
        </w:tc>
      </w:tr>
      <w:tr w:rsidR="006A3667" w14:paraId="71D42EBA" w14:textId="77777777">
        <w:trPr>
          <w:jc w:val="center"/>
        </w:trPr>
        <w:tc>
          <w:tcPr>
            <w:tcW w:w="0" w:type="auto"/>
            <w:gridSpan w:val="3"/>
            <w:shd w:val="clear" w:color="auto" w:fill="FFFFFF"/>
            <w:tcMar>
              <w:top w:w="40" w:type="dxa"/>
              <w:left w:w="20" w:type="dxa"/>
              <w:bottom w:w="40" w:type="dxa"/>
              <w:right w:w="20" w:type="dxa"/>
            </w:tcMar>
            <w:vAlign w:val="bottom"/>
          </w:tcPr>
          <w:p w14:paraId="71D42EA6" w14:textId="77777777" w:rsidR="006A3667" w:rsidRDefault="00045F32">
            <w:pPr>
              <w:textAlignment w:val="bottom"/>
            </w:pPr>
            <w:r>
              <w:rPr>
                <w:rFonts w:ascii="Arial" w:eastAsia="宋体" w:hAnsi="Arial" w:cs="Arial"/>
                <w:color w:val="000000"/>
                <w:sz w:val="15"/>
                <w:szCs w:val="15"/>
              </w:rPr>
              <w:t>Common stock - $0.57 per share</w:t>
            </w:r>
          </w:p>
        </w:tc>
        <w:tc>
          <w:tcPr>
            <w:tcW w:w="0" w:type="auto"/>
            <w:gridSpan w:val="3"/>
            <w:shd w:val="clear" w:color="auto" w:fill="FFFFFF"/>
            <w:tcMar>
              <w:top w:w="0" w:type="dxa"/>
              <w:left w:w="20" w:type="dxa"/>
              <w:bottom w:w="0" w:type="dxa"/>
              <w:right w:w="20" w:type="dxa"/>
            </w:tcMar>
            <w:vAlign w:val="bottom"/>
          </w:tcPr>
          <w:p w14:paraId="71D42EA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A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A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A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A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A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A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AF" w14:textId="77777777" w:rsidR="006A3667" w:rsidRDefault="00045F32">
            <w:pPr>
              <w:jc w:val="right"/>
              <w:textAlignment w:val="bottom"/>
            </w:pPr>
            <w:r>
              <w:rPr>
                <w:rFonts w:ascii="Arial" w:eastAsia="宋体" w:hAnsi="Arial" w:cs="Arial"/>
                <w:color w:val="000000"/>
                <w:sz w:val="15"/>
                <w:szCs w:val="15"/>
              </w:rPr>
              <w:t>(210)</w:t>
            </w:r>
          </w:p>
        </w:tc>
        <w:tc>
          <w:tcPr>
            <w:tcW w:w="0" w:type="auto"/>
            <w:shd w:val="clear" w:color="auto" w:fill="FFFFFF"/>
            <w:tcMar>
              <w:top w:w="40" w:type="dxa"/>
              <w:left w:w="0" w:type="dxa"/>
              <w:bottom w:w="40" w:type="dxa"/>
              <w:right w:w="20" w:type="dxa"/>
            </w:tcMar>
            <w:vAlign w:val="bottom"/>
          </w:tcPr>
          <w:p w14:paraId="71D42EB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B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B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B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B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B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B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B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B8" w14:textId="77777777" w:rsidR="006A3667" w:rsidRDefault="00045F32">
            <w:pPr>
              <w:jc w:val="right"/>
              <w:textAlignment w:val="bottom"/>
            </w:pPr>
            <w:r>
              <w:rPr>
                <w:rFonts w:ascii="Arial" w:eastAsia="宋体" w:hAnsi="Arial" w:cs="Arial"/>
                <w:color w:val="000000"/>
                <w:sz w:val="15"/>
                <w:szCs w:val="15"/>
              </w:rPr>
              <w:t>(210)</w:t>
            </w:r>
          </w:p>
        </w:tc>
        <w:tc>
          <w:tcPr>
            <w:tcW w:w="0" w:type="auto"/>
            <w:shd w:val="clear" w:color="auto" w:fill="FFFFFF"/>
            <w:tcMar>
              <w:top w:w="40" w:type="dxa"/>
              <w:left w:w="0" w:type="dxa"/>
              <w:bottom w:w="40" w:type="dxa"/>
              <w:right w:w="20" w:type="dxa"/>
            </w:tcMar>
            <w:vAlign w:val="bottom"/>
          </w:tcPr>
          <w:p w14:paraId="71D42EB9" w14:textId="77777777" w:rsidR="006A3667" w:rsidRDefault="006A3667">
            <w:pPr>
              <w:jc w:val="right"/>
              <w:rPr>
                <w:rFonts w:ascii="宋体"/>
              </w:rPr>
            </w:pPr>
          </w:p>
        </w:tc>
      </w:tr>
      <w:tr w:rsidR="006A3667" w14:paraId="71D42ECF" w14:textId="77777777">
        <w:trPr>
          <w:jc w:val="center"/>
        </w:trPr>
        <w:tc>
          <w:tcPr>
            <w:tcW w:w="0" w:type="auto"/>
            <w:gridSpan w:val="3"/>
            <w:shd w:val="clear" w:color="auto" w:fill="CCEEFF"/>
            <w:tcMar>
              <w:top w:w="40" w:type="dxa"/>
              <w:left w:w="140" w:type="dxa"/>
              <w:bottom w:w="40" w:type="dxa"/>
              <w:right w:w="20" w:type="dxa"/>
            </w:tcMar>
            <w:vAlign w:val="bottom"/>
          </w:tcPr>
          <w:p w14:paraId="71D42EBB" w14:textId="77777777" w:rsidR="006A3667" w:rsidRDefault="00045F32">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71D42EB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B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B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B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EC4" w14:textId="77777777" w:rsidR="006A3667" w:rsidRDefault="00045F32">
            <w:pPr>
              <w:jc w:val="right"/>
              <w:textAlignment w:val="bottom"/>
            </w:pPr>
            <w:r>
              <w:rPr>
                <w:rFonts w:ascii="Arial" w:eastAsia="宋体" w:hAnsi="Arial" w:cs="Arial"/>
                <w:color w:val="000000"/>
                <w:sz w:val="15"/>
                <w:szCs w:val="15"/>
              </w:rPr>
              <w:t>(35)</w:t>
            </w:r>
          </w:p>
        </w:tc>
        <w:tc>
          <w:tcPr>
            <w:tcW w:w="0" w:type="auto"/>
            <w:shd w:val="clear" w:color="auto" w:fill="CCEEFF"/>
            <w:tcMar>
              <w:top w:w="40" w:type="dxa"/>
              <w:left w:w="0" w:type="dxa"/>
              <w:bottom w:w="40" w:type="dxa"/>
              <w:right w:w="20" w:type="dxa"/>
            </w:tcMar>
            <w:vAlign w:val="bottom"/>
          </w:tcPr>
          <w:p w14:paraId="71D42E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EC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C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ECD" w14:textId="77777777" w:rsidR="006A3667" w:rsidRDefault="00045F32">
            <w:pPr>
              <w:jc w:val="right"/>
              <w:textAlignment w:val="bottom"/>
            </w:pPr>
            <w:r>
              <w:rPr>
                <w:rFonts w:ascii="Arial" w:eastAsia="宋体" w:hAnsi="Arial" w:cs="Arial"/>
                <w:color w:val="000000"/>
                <w:sz w:val="15"/>
                <w:szCs w:val="15"/>
              </w:rPr>
              <w:t>(35)</w:t>
            </w:r>
          </w:p>
        </w:tc>
        <w:tc>
          <w:tcPr>
            <w:tcW w:w="0" w:type="auto"/>
            <w:shd w:val="clear" w:color="auto" w:fill="CCEEFF"/>
            <w:tcMar>
              <w:top w:w="40" w:type="dxa"/>
              <w:left w:w="0" w:type="dxa"/>
              <w:bottom w:w="40" w:type="dxa"/>
              <w:right w:w="20" w:type="dxa"/>
            </w:tcMar>
            <w:vAlign w:val="bottom"/>
          </w:tcPr>
          <w:p w14:paraId="71D42ECE" w14:textId="77777777" w:rsidR="006A3667" w:rsidRDefault="006A3667">
            <w:pPr>
              <w:jc w:val="right"/>
              <w:rPr>
                <w:rFonts w:ascii="宋体"/>
              </w:rPr>
            </w:pPr>
          </w:p>
        </w:tc>
      </w:tr>
      <w:tr w:rsidR="006A3667" w14:paraId="71D42EE2" w14:textId="77777777">
        <w:trPr>
          <w:jc w:val="center"/>
          <w:hidden/>
        </w:trPr>
        <w:tc>
          <w:tcPr>
            <w:tcW w:w="0" w:type="auto"/>
            <w:gridSpan w:val="3"/>
            <w:shd w:val="clear" w:color="auto" w:fill="auto"/>
            <w:vAlign w:val="bottom"/>
          </w:tcPr>
          <w:p w14:paraId="71D42ED0" w14:textId="77777777" w:rsidR="006A3667" w:rsidRDefault="006A3667">
            <w:pPr>
              <w:rPr>
                <w:rFonts w:ascii="宋体"/>
                <w:vanish/>
              </w:rPr>
            </w:pPr>
          </w:p>
        </w:tc>
        <w:tc>
          <w:tcPr>
            <w:tcW w:w="0" w:type="auto"/>
            <w:gridSpan w:val="3"/>
            <w:shd w:val="clear" w:color="auto" w:fill="auto"/>
            <w:vAlign w:val="bottom"/>
          </w:tcPr>
          <w:p w14:paraId="71D42ED1" w14:textId="77777777" w:rsidR="006A3667" w:rsidRDefault="006A3667">
            <w:pPr>
              <w:rPr>
                <w:rFonts w:ascii="宋体"/>
                <w:vanish/>
              </w:rPr>
            </w:pPr>
          </w:p>
        </w:tc>
        <w:tc>
          <w:tcPr>
            <w:tcW w:w="0" w:type="auto"/>
            <w:gridSpan w:val="3"/>
            <w:shd w:val="clear" w:color="auto" w:fill="auto"/>
            <w:vAlign w:val="bottom"/>
          </w:tcPr>
          <w:p w14:paraId="71D42ED2" w14:textId="77777777" w:rsidR="006A3667" w:rsidRDefault="006A3667">
            <w:pPr>
              <w:rPr>
                <w:rFonts w:ascii="宋体"/>
                <w:vanish/>
              </w:rPr>
            </w:pPr>
          </w:p>
        </w:tc>
        <w:tc>
          <w:tcPr>
            <w:tcW w:w="0" w:type="auto"/>
            <w:gridSpan w:val="3"/>
            <w:shd w:val="clear" w:color="auto" w:fill="auto"/>
            <w:vAlign w:val="bottom"/>
          </w:tcPr>
          <w:p w14:paraId="71D42ED3" w14:textId="77777777" w:rsidR="006A3667" w:rsidRDefault="006A3667">
            <w:pPr>
              <w:rPr>
                <w:rFonts w:ascii="宋体"/>
                <w:vanish/>
              </w:rPr>
            </w:pPr>
          </w:p>
        </w:tc>
        <w:tc>
          <w:tcPr>
            <w:tcW w:w="0" w:type="auto"/>
            <w:gridSpan w:val="3"/>
            <w:shd w:val="clear" w:color="auto" w:fill="auto"/>
            <w:vAlign w:val="bottom"/>
          </w:tcPr>
          <w:p w14:paraId="71D42ED4" w14:textId="77777777" w:rsidR="006A3667" w:rsidRDefault="006A3667">
            <w:pPr>
              <w:rPr>
                <w:rFonts w:ascii="宋体"/>
                <w:vanish/>
              </w:rPr>
            </w:pPr>
          </w:p>
        </w:tc>
        <w:tc>
          <w:tcPr>
            <w:tcW w:w="0" w:type="auto"/>
            <w:gridSpan w:val="3"/>
            <w:shd w:val="clear" w:color="auto" w:fill="auto"/>
            <w:vAlign w:val="bottom"/>
          </w:tcPr>
          <w:p w14:paraId="71D42ED5" w14:textId="77777777" w:rsidR="006A3667" w:rsidRDefault="006A3667">
            <w:pPr>
              <w:rPr>
                <w:rFonts w:ascii="宋体"/>
                <w:vanish/>
              </w:rPr>
            </w:pPr>
          </w:p>
        </w:tc>
        <w:tc>
          <w:tcPr>
            <w:tcW w:w="0" w:type="auto"/>
            <w:gridSpan w:val="3"/>
            <w:shd w:val="clear" w:color="auto" w:fill="auto"/>
            <w:vAlign w:val="bottom"/>
          </w:tcPr>
          <w:p w14:paraId="71D42ED6" w14:textId="77777777" w:rsidR="006A3667" w:rsidRDefault="006A3667">
            <w:pPr>
              <w:rPr>
                <w:rFonts w:ascii="宋体"/>
                <w:vanish/>
              </w:rPr>
            </w:pPr>
          </w:p>
        </w:tc>
        <w:tc>
          <w:tcPr>
            <w:tcW w:w="0" w:type="auto"/>
            <w:gridSpan w:val="3"/>
            <w:shd w:val="clear" w:color="auto" w:fill="auto"/>
            <w:vAlign w:val="bottom"/>
          </w:tcPr>
          <w:p w14:paraId="71D42ED7" w14:textId="77777777" w:rsidR="006A3667" w:rsidRDefault="006A3667">
            <w:pPr>
              <w:rPr>
                <w:rFonts w:ascii="宋体"/>
                <w:vanish/>
              </w:rPr>
            </w:pPr>
          </w:p>
        </w:tc>
        <w:tc>
          <w:tcPr>
            <w:tcW w:w="0" w:type="auto"/>
            <w:gridSpan w:val="3"/>
            <w:shd w:val="clear" w:color="auto" w:fill="auto"/>
            <w:vAlign w:val="bottom"/>
          </w:tcPr>
          <w:p w14:paraId="71D42ED8" w14:textId="77777777" w:rsidR="006A3667" w:rsidRDefault="006A3667">
            <w:pPr>
              <w:rPr>
                <w:rFonts w:ascii="宋体"/>
                <w:vanish/>
              </w:rPr>
            </w:pPr>
          </w:p>
        </w:tc>
        <w:tc>
          <w:tcPr>
            <w:tcW w:w="0" w:type="auto"/>
            <w:gridSpan w:val="3"/>
            <w:shd w:val="clear" w:color="auto" w:fill="auto"/>
            <w:vAlign w:val="bottom"/>
          </w:tcPr>
          <w:p w14:paraId="71D42ED9" w14:textId="77777777" w:rsidR="006A3667" w:rsidRDefault="006A3667">
            <w:pPr>
              <w:rPr>
                <w:rFonts w:ascii="宋体"/>
                <w:vanish/>
              </w:rPr>
            </w:pPr>
          </w:p>
        </w:tc>
        <w:tc>
          <w:tcPr>
            <w:tcW w:w="0" w:type="auto"/>
            <w:gridSpan w:val="3"/>
            <w:shd w:val="clear" w:color="auto" w:fill="auto"/>
            <w:vAlign w:val="bottom"/>
          </w:tcPr>
          <w:p w14:paraId="71D42EDA" w14:textId="77777777" w:rsidR="006A3667" w:rsidRDefault="006A3667">
            <w:pPr>
              <w:rPr>
                <w:rFonts w:ascii="宋体"/>
                <w:vanish/>
              </w:rPr>
            </w:pPr>
          </w:p>
        </w:tc>
        <w:tc>
          <w:tcPr>
            <w:tcW w:w="0" w:type="auto"/>
            <w:gridSpan w:val="3"/>
            <w:shd w:val="clear" w:color="auto" w:fill="auto"/>
            <w:vAlign w:val="bottom"/>
          </w:tcPr>
          <w:p w14:paraId="71D42EDB" w14:textId="77777777" w:rsidR="006A3667" w:rsidRDefault="006A3667">
            <w:pPr>
              <w:rPr>
                <w:rFonts w:ascii="宋体"/>
                <w:vanish/>
              </w:rPr>
            </w:pPr>
          </w:p>
        </w:tc>
        <w:tc>
          <w:tcPr>
            <w:tcW w:w="0" w:type="auto"/>
            <w:gridSpan w:val="3"/>
            <w:shd w:val="clear" w:color="auto" w:fill="auto"/>
            <w:vAlign w:val="bottom"/>
          </w:tcPr>
          <w:p w14:paraId="71D42EDC" w14:textId="77777777" w:rsidR="006A3667" w:rsidRDefault="006A3667">
            <w:pPr>
              <w:rPr>
                <w:rFonts w:ascii="宋体"/>
                <w:vanish/>
              </w:rPr>
            </w:pPr>
          </w:p>
        </w:tc>
        <w:tc>
          <w:tcPr>
            <w:tcW w:w="0" w:type="auto"/>
            <w:gridSpan w:val="3"/>
            <w:shd w:val="clear" w:color="auto" w:fill="auto"/>
            <w:vAlign w:val="bottom"/>
          </w:tcPr>
          <w:p w14:paraId="71D42EDD" w14:textId="77777777" w:rsidR="006A3667" w:rsidRDefault="006A3667">
            <w:pPr>
              <w:rPr>
                <w:rFonts w:ascii="宋体"/>
                <w:vanish/>
              </w:rPr>
            </w:pPr>
          </w:p>
        </w:tc>
        <w:tc>
          <w:tcPr>
            <w:tcW w:w="0" w:type="auto"/>
            <w:gridSpan w:val="3"/>
            <w:shd w:val="clear" w:color="auto" w:fill="auto"/>
            <w:vAlign w:val="bottom"/>
          </w:tcPr>
          <w:p w14:paraId="71D42EDE" w14:textId="77777777" w:rsidR="006A3667" w:rsidRDefault="006A3667">
            <w:pPr>
              <w:rPr>
                <w:rFonts w:ascii="宋体"/>
                <w:vanish/>
              </w:rPr>
            </w:pPr>
          </w:p>
        </w:tc>
        <w:tc>
          <w:tcPr>
            <w:tcW w:w="0" w:type="auto"/>
            <w:gridSpan w:val="3"/>
            <w:shd w:val="clear" w:color="auto" w:fill="auto"/>
            <w:vAlign w:val="bottom"/>
          </w:tcPr>
          <w:p w14:paraId="71D42EDF" w14:textId="77777777" w:rsidR="006A3667" w:rsidRDefault="006A3667">
            <w:pPr>
              <w:rPr>
                <w:rFonts w:ascii="宋体"/>
                <w:vanish/>
              </w:rPr>
            </w:pPr>
          </w:p>
        </w:tc>
        <w:tc>
          <w:tcPr>
            <w:tcW w:w="0" w:type="auto"/>
            <w:gridSpan w:val="3"/>
            <w:shd w:val="clear" w:color="auto" w:fill="auto"/>
            <w:vAlign w:val="bottom"/>
          </w:tcPr>
          <w:p w14:paraId="71D42EE0" w14:textId="77777777" w:rsidR="006A3667" w:rsidRDefault="006A3667">
            <w:pPr>
              <w:rPr>
                <w:rFonts w:ascii="宋体"/>
                <w:vanish/>
              </w:rPr>
            </w:pPr>
          </w:p>
        </w:tc>
        <w:tc>
          <w:tcPr>
            <w:tcW w:w="0" w:type="auto"/>
            <w:gridSpan w:val="3"/>
            <w:shd w:val="clear" w:color="auto" w:fill="auto"/>
            <w:vAlign w:val="bottom"/>
          </w:tcPr>
          <w:p w14:paraId="71D42EE1" w14:textId="77777777" w:rsidR="006A3667" w:rsidRDefault="006A3667">
            <w:pPr>
              <w:rPr>
                <w:rFonts w:ascii="宋体"/>
                <w:vanish/>
              </w:rPr>
            </w:pPr>
          </w:p>
        </w:tc>
      </w:tr>
      <w:tr w:rsidR="006A3667" w14:paraId="71D42EF9" w14:textId="77777777">
        <w:trPr>
          <w:jc w:val="center"/>
        </w:trPr>
        <w:tc>
          <w:tcPr>
            <w:tcW w:w="0" w:type="auto"/>
            <w:gridSpan w:val="3"/>
            <w:shd w:val="clear" w:color="auto" w:fill="FFFFFF"/>
            <w:tcMar>
              <w:top w:w="40" w:type="dxa"/>
              <w:left w:w="20" w:type="dxa"/>
              <w:bottom w:w="40" w:type="dxa"/>
              <w:right w:w="20" w:type="dxa"/>
            </w:tcMar>
            <w:vAlign w:val="bottom"/>
          </w:tcPr>
          <w:p w14:paraId="71D42EE3" w14:textId="77777777" w:rsidR="006A3667" w:rsidRDefault="00045F32">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71D42EE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E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E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E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E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E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EA" w14:textId="77777777" w:rsidR="006A3667" w:rsidRDefault="00045F32">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71D42EE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E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E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E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E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EF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F1" w14:textId="77777777" w:rsidR="006A3667" w:rsidRDefault="00045F32">
            <w:pPr>
              <w:jc w:val="right"/>
              <w:textAlignment w:val="bottom"/>
            </w:pPr>
            <w:r>
              <w:rPr>
                <w:rFonts w:ascii="Arial" w:eastAsia="宋体" w:hAnsi="Arial" w:cs="Arial"/>
                <w:color w:val="000000"/>
                <w:sz w:val="15"/>
                <w:szCs w:val="15"/>
              </w:rPr>
              <w:t>(505)</w:t>
            </w:r>
          </w:p>
        </w:tc>
        <w:tc>
          <w:tcPr>
            <w:tcW w:w="0" w:type="auto"/>
            <w:shd w:val="clear" w:color="auto" w:fill="FFFFFF"/>
            <w:tcMar>
              <w:top w:w="40" w:type="dxa"/>
              <w:left w:w="0" w:type="dxa"/>
              <w:bottom w:w="40" w:type="dxa"/>
              <w:right w:w="20" w:type="dxa"/>
            </w:tcMar>
            <w:vAlign w:val="bottom"/>
          </w:tcPr>
          <w:p w14:paraId="71D42E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F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F4" w14:textId="77777777" w:rsidR="006A3667" w:rsidRDefault="00045F32">
            <w:pPr>
              <w:jc w:val="right"/>
              <w:textAlignment w:val="bottom"/>
            </w:pPr>
            <w:r>
              <w:rPr>
                <w:rFonts w:ascii="Arial" w:eastAsia="宋体" w:hAnsi="Arial" w:cs="Arial"/>
                <w:color w:val="000000"/>
                <w:sz w:val="15"/>
                <w:szCs w:val="15"/>
              </w:rPr>
              <w:t>34 </w:t>
            </w:r>
          </w:p>
        </w:tc>
        <w:tc>
          <w:tcPr>
            <w:tcW w:w="0" w:type="auto"/>
            <w:shd w:val="clear" w:color="auto" w:fill="FFFFFF"/>
            <w:tcMar>
              <w:top w:w="40" w:type="dxa"/>
              <w:left w:w="0" w:type="dxa"/>
              <w:bottom w:w="40" w:type="dxa"/>
              <w:right w:w="20" w:type="dxa"/>
            </w:tcMar>
            <w:vAlign w:val="bottom"/>
          </w:tcPr>
          <w:p w14:paraId="71D42E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EF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EF7" w14:textId="77777777" w:rsidR="006A3667" w:rsidRDefault="00045F32">
            <w:pPr>
              <w:jc w:val="right"/>
              <w:textAlignment w:val="bottom"/>
            </w:pPr>
            <w:r>
              <w:rPr>
                <w:rFonts w:ascii="Arial" w:eastAsia="宋体" w:hAnsi="Arial" w:cs="Arial"/>
                <w:color w:val="000000"/>
                <w:sz w:val="15"/>
                <w:szCs w:val="15"/>
              </w:rPr>
              <w:t>29 </w:t>
            </w:r>
          </w:p>
        </w:tc>
        <w:tc>
          <w:tcPr>
            <w:tcW w:w="0" w:type="auto"/>
            <w:shd w:val="clear" w:color="auto" w:fill="FFFFFF"/>
            <w:tcMar>
              <w:top w:w="40" w:type="dxa"/>
              <w:left w:w="0" w:type="dxa"/>
              <w:bottom w:w="40" w:type="dxa"/>
              <w:right w:w="20" w:type="dxa"/>
            </w:tcMar>
            <w:vAlign w:val="bottom"/>
          </w:tcPr>
          <w:p w14:paraId="71D42EF8" w14:textId="77777777" w:rsidR="006A3667" w:rsidRDefault="006A3667">
            <w:pPr>
              <w:jc w:val="right"/>
              <w:rPr>
                <w:rFonts w:ascii="宋体"/>
              </w:rPr>
            </w:pPr>
          </w:p>
        </w:tc>
      </w:tr>
      <w:tr w:rsidR="006A3667" w14:paraId="71D42F0E" w14:textId="77777777">
        <w:trPr>
          <w:jc w:val="center"/>
        </w:trPr>
        <w:tc>
          <w:tcPr>
            <w:tcW w:w="0" w:type="auto"/>
            <w:gridSpan w:val="3"/>
            <w:shd w:val="clear" w:color="auto" w:fill="CCEEFF"/>
            <w:tcMar>
              <w:top w:w="40" w:type="dxa"/>
              <w:left w:w="20" w:type="dxa"/>
              <w:bottom w:w="40" w:type="dxa"/>
              <w:right w:w="20" w:type="dxa"/>
            </w:tcMar>
            <w:vAlign w:val="bottom"/>
          </w:tcPr>
          <w:p w14:paraId="71D42EFA" w14:textId="77777777" w:rsidR="006A3667" w:rsidRDefault="00045F32">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71D42EF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F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F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F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EF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F03" w14:textId="77777777" w:rsidR="006A3667" w:rsidRDefault="00045F32">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1D42F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F0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0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F0C" w14:textId="77777777" w:rsidR="006A3667" w:rsidRDefault="00045F32">
            <w:pPr>
              <w:jc w:val="right"/>
              <w:textAlignment w:val="bottom"/>
            </w:pPr>
            <w:r>
              <w:rPr>
                <w:rFonts w:ascii="Arial" w:eastAsia="宋体" w:hAnsi="Arial" w:cs="Arial"/>
                <w:color w:val="000000"/>
                <w:sz w:val="15"/>
                <w:szCs w:val="15"/>
              </w:rPr>
              <w:t>1 </w:t>
            </w:r>
          </w:p>
        </w:tc>
        <w:tc>
          <w:tcPr>
            <w:tcW w:w="0" w:type="auto"/>
            <w:shd w:val="clear" w:color="auto" w:fill="CCEEFF"/>
            <w:tcMar>
              <w:top w:w="40" w:type="dxa"/>
              <w:left w:w="0" w:type="dxa"/>
              <w:bottom w:w="40" w:type="dxa"/>
              <w:right w:w="20" w:type="dxa"/>
            </w:tcMar>
            <w:vAlign w:val="bottom"/>
          </w:tcPr>
          <w:p w14:paraId="71D42F0D" w14:textId="77777777" w:rsidR="006A3667" w:rsidRDefault="006A3667">
            <w:pPr>
              <w:jc w:val="right"/>
              <w:rPr>
                <w:rFonts w:ascii="宋体"/>
              </w:rPr>
            </w:pPr>
          </w:p>
        </w:tc>
      </w:tr>
      <w:tr w:rsidR="00045F32" w14:paraId="71D42F31" w14:textId="77777777">
        <w:trPr>
          <w:jc w:val="center"/>
        </w:trPr>
        <w:tc>
          <w:tcPr>
            <w:tcW w:w="0" w:type="auto"/>
            <w:gridSpan w:val="3"/>
            <w:shd w:val="clear" w:color="auto" w:fill="FFFFFF"/>
            <w:tcMar>
              <w:top w:w="40" w:type="dxa"/>
              <w:left w:w="20" w:type="dxa"/>
              <w:bottom w:w="40" w:type="dxa"/>
              <w:right w:w="20" w:type="dxa"/>
            </w:tcMar>
            <w:vAlign w:val="bottom"/>
          </w:tcPr>
          <w:p w14:paraId="71D42F0F" w14:textId="77777777" w:rsidR="006A3667" w:rsidRDefault="00045F32">
            <w:pPr>
              <w:textAlignment w:val="bottom"/>
            </w:pPr>
            <w:r>
              <w:rPr>
                <w:rFonts w:ascii="Arial" w:eastAsia="宋体" w:hAnsi="Arial" w:cs="Arial"/>
                <w:b/>
                <w:bCs/>
                <w:color w:val="000000"/>
                <w:sz w:val="15"/>
                <w:szCs w:val="15"/>
              </w:rPr>
              <w:t>Balance at June 30, 2022</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2F10"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F11" w14:textId="77777777" w:rsidR="006A3667" w:rsidRDefault="00045F32">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1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F14" w14:textId="77777777" w:rsidR="006A3667" w:rsidRDefault="00045F32">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16"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F17"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F18" w14:textId="77777777" w:rsidR="006A3667" w:rsidRDefault="00045F32">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1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1A"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F1B"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F1C" w14:textId="77777777" w:rsidR="006A3667" w:rsidRDefault="00045F32">
            <w:pPr>
              <w:jc w:val="right"/>
              <w:textAlignment w:val="bottom"/>
            </w:pPr>
            <w:r>
              <w:rPr>
                <w:rFonts w:ascii="Arial" w:eastAsia="宋体" w:hAnsi="Arial" w:cs="Arial"/>
                <w:color w:val="000000"/>
                <w:sz w:val="15"/>
                <w:szCs w:val="15"/>
              </w:rPr>
              <w:t>10,757 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1E"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F1F"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F20" w14:textId="77777777" w:rsidR="006A3667" w:rsidRDefault="00045F32">
            <w:pPr>
              <w:jc w:val="right"/>
              <w:textAlignment w:val="bottom"/>
            </w:pPr>
            <w:r>
              <w:rPr>
                <w:rFonts w:ascii="Arial" w:eastAsia="宋体" w:hAnsi="Arial" w:cs="Arial"/>
                <w:color w:val="000000"/>
                <w:sz w:val="15"/>
                <w:szCs w:val="15"/>
              </w:rPr>
              <w:t>26,115 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2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F23"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F24" w14:textId="77777777" w:rsidR="006A3667" w:rsidRDefault="00045F32">
            <w:pPr>
              <w:jc w:val="right"/>
              <w:textAlignment w:val="bottom"/>
            </w:pPr>
            <w:r>
              <w:rPr>
                <w:rFonts w:ascii="Arial" w:eastAsia="宋体" w:hAnsi="Arial" w:cs="Arial"/>
                <w:color w:val="000000"/>
                <w:sz w:val="15"/>
                <w:szCs w:val="15"/>
              </w:rPr>
              <w:t>(3,687)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2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2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2F27" w14:textId="77777777" w:rsidR="006A3667" w:rsidRDefault="00045F32">
            <w:pPr>
              <w:jc w:val="right"/>
              <w:textAlignment w:val="bottom"/>
            </w:pPr>
            <w:r>
              <w:rPr>
                <w:rFonts w:ascii="Arial" w:eastAsia="宋体" w:hAnsi="Arial" w:cs="Arial"/>
                <w:color w:val="000000"/>
                <w:sz w:val="15"/>
                <w:szCs w:val="15"/>
              </w:rPr>
              <w:t>136,260 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2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29"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F2A"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F2B" w14:textId="77777777" w:rsidR="006A3667" w:rsidRDefault="00045F32">
            <w:pPr>
              <w:jc w:val="right"/>
              <w:textAlignment w:val="bottom"/>
            </w:pPr>
            <w:r>
              <w:rPr>
                <w:rFonts w:ascii="Arial" w:eastAsia="宋体" w:hAnsi="Arial" w:cs="Arial"/>
                <w:color w:val="000000"/>
                <w:sz w:val="15"/>
                <w:szCs w:val="15"/>
              </w:rPr>
              <w:t>(9,898)</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2D"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2F2E"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2F2F" w14:textId="77777777" w:rsidR="006A3667" w:rsidRDefault="00045F32">
            <w:pPr>
              <w:jc w:val="right"/>
              <w:textAlignment w:val="bottom"/>
            </w:pPr>
            <w:r>
              <w:rPr>
                <w:rFonts w:ascii="Arial" w:eastAsia="宋体" w:hAnsi="Arial" w:cs="Arial"/>
                <w:color w:val="000000"/>
                <w:sz w:val="15"/>
                <w:szCs w:val="15"/>
              </w:rPr>
              <w:t>25,767 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2F30" w14:textId="77777777" w:rsidR="006A3667" w:rsidRDefault="006A3667">
            <w:pPr>
              <w:jc w:val="right"/>
              <w:rPr>
                <w:rFonts w:ascii="宋体"/>
              </w:rPr>
            </w:pPr>
          </w:p>
        </w:tc>
      </w:tr>
      <w:tr w:rsidR="006A3667" w14:paraId="71D42F46" w14:textId="77777777">
        <w:trPr>
          <w:jc w:val="center"/>
        </w:trPr>
        <w:tc>
          <w:tcPr>
            <w:tcW w:w="0" w:type="auto"/>
            <w:gridSpan w:val="3"/>
            <w:shd w:val="clear" w:color="auto" w:fill="CCEEFF"/>
            <w:tcMar>
              <w:top w:w="40" w:type="dxa"/>
              <w:left w:w="20" w:type="dxa"/>
              <w:bottom w:w="40" w:type="dxa"/>
              <w:right w:w="20" w:type="dxa"/>
            </w:tcMar>
            <w:vAlign w:val="bottom"/>
          </w:tcPr>
          <w:p w14:paraId="71D42F32" w14:textId="77777777" w:rsidR="006A3667" w:rsidRDefault="00045F32">
            <w:pPr>
              <w:textAlignment w:val="bottom"/>
            </w:pPr>
            <w:r>
              <w:rPr>
                <w:rFonts w:ascii="Arial" w:eastAsia="宋体" w:hAnsi="Arial" w:cs="Arial"/>
                <w:color w:val="000000"/>
                <w:sz w:val="15"/>
                <w:szCs w:val="15"/>
              </w:rPr>
              <w:t>Net i</w:t>
            </w:r>
            <w:r>
              <w:rPr>
                <w:rFonts w:ascii="Arial" w:eastAsia="宋体" w:hAnsi="Arial" w:cs="Arial"/>
                <w:color w:val="000000"/>
                <w:sz w:val="15"/>
                <w:szCs w:val="15"/>
              </w:rPr>
              <w:t>ncome</w:t>
            </w:r>
          </w:p>
        </w:tc>
        <w:tc>
          <w:tcPr>
            <w:tcW w:w="0" w:type="auto"/>
            <w:gridSpan w:val="3"/>
            <w:shd w:val="clear" w:color="auto" w:fill="CCEEFF"/>
            <w:tcMar>
              <w:top w:w="0" w:type="dxa"/>
              <w:left w:w="20" w:type="dxa"/>
              <w:bottom w:w="0" w:type="dxa"/>
              <w:right w:w="20" w:type="dxa"/>
            </w:tcMar>
            <w:vAlign w:val="bottom"/>
          </w:tcPr>
          <w:p w14:paraId="71D42F3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F3B" w14:textId="77777777" w:rsidR="006A3667" w:rsidRDefault="00045F32">
            <w:pPr>
              <w:jc w:val="right"/>
              <w:textAlignment w:val="bottom"/>
            </w:pPr>
            <w:r>
              <w:rPr>
                <w:rFonts w:ascii="Arial" w:eastAsia="宋体" w:hAnsi="Arial" w:cs="Arial"/>
                <w:b/>
                <w:bCs/>
                <w:color w:val="000000"/>
                <w:sz w:val="15"/>
                <w:szCs w:val="15"/>
              </w:rPr>
              <w:t>690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2F3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F3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3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4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4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4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4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F44" w14:textId="77777777" w:rsidR="006A3667" w:rsidRDefault="00045F32">
            <w:pPr>
              <w:jc w:val="right"/>
              <w:textAlignment w:val="bottom"/>
            </w:pPr>
            <w:r>
              <w:rPr>
                <w:rFonts w:ascii="Arial" w:eastAsia="宋体" w:hAnsi="Arial" w:cs="Arial"/>
                <w:b/>
                <w:bCs/>
                <w:color w:val="000000"/>
                <w:sz w:val="15"/>
                <w:szCs w:val="15"/>
              </w:rPr>
              <w:t>690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2F45" w14:textId="77777777" w:rsidR="006A3667" w:rsidRDefault="006A3667">
            <w:pPr>
              <w:jc w:val="right"/>
              <w:rPr>
                <w:rFonts w:ascii="宋体"/>
              </w:rPr>
            </w:pPr>
          </w:p>
        </w:tc>
      </w:tr>
      <w:tr w:rsidR="006A3667" w14:paraId="71D42F5B" w14:textId="77777777">
        <w:trPr>
          <w:jc w:val="center"/>
        </w:trPr>
        <w:tc>
          <w:tcPr>
            <w:tcW w:w="0" w:type="auto"/>
            <w:gridSpan w:val="3"/>
            <w:shd w:val="clear" w:color="auto" w:fill="FFFFFF"/>
            <w:tcMar>
              <w:top w:w="40" w:type="dxa"/>
              <w:left w:w="20" w:type="dxa"/>
              <w:bottom w:w="40" w:type="dxa"/>
              <w:right w:w="20" w:type="dxa"/>
            </w:tcMar>
            <w:vAlign w:val="bottom"/>
          </w:tcPr>
          <w:p w14:paraId="71D42F47" w14:textId="77777777" w:rsidR="006A3667" w:rsidRDefault="00045F32">
            <w:pPr>
              <w:textAlignment w:val="bottom"/>
            </w:pPr>
            <w:r>
              <w:rPr>
                <w:rFonts w:ascii="Arial" w:eastAsia="宋体" w:hAnsi="Arial" w:cs="Arial"/>
                <w:color w:val="000000"/>
                <w:sz w:val="15"/>
                <w:szCs w:val="15"/>
              </w:rPr>
              <w:t>Other comprehensive income (loss)</w:t>
            </w:r>
          </w:p>
        </w:tc>
        <w:tc>
          <w:tcPr>
            <w:tcW w:w="0" w:type="auto"/>
            <w:gridSpan w:val="3"/>
            <w:shd w:val="clear" w:color="auto" w:fill="FFFFFF"/>
            <w:tcMar>
              <w:top w:w="0" w:type="dxa"/>
              <w:left w:w="20" w:type="dxa"/>
              <w:bottom w:w="0" w:type="dxa"/>
              <w:right w:w="20" w:type="dxa"/>
            </w:tcMar>
            <w:vAlign w:val="bottom"/>
          </w:tcPr>
          <w:p w14:paraId="71D42F4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4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4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4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4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4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4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5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5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F52" w14:textId="77777777" w:rsidR="006A3667" w:rsidRDefault="00045F32">
            <w:pPr>
              <w:jc w:val="right"/>
              <w:textAlignment w:val="bottom"/>
            </w:pPr>
            <w:r>
              <w:rPr>
                <w:rFonts w:ascii="Arial" w:eastAsia="宋体" w:hAnsi="Arial" w:cs="Arial"/>
                <w:b/>
                <w:bCs/>
                <w:color w:val="000000"/>
                <w:sz w:val="15"/>
                <w:szCs w:val="15"/>
              </w:rPr>
              <w:t>(581)</w:t>
            </w:r>
          </w:p>
        </w:tc>
        <w:tc>
          <w:tcPr>
            <w:tcW w:w="0" w:type="auto"/>
            <w:shd w:val="clear" w:color="auto" w:fill="FFFFFF"/>
            <w:tcMar>
              <w:top w:w="40" w:type="dxa"/>
              <w:left w:w="0" w:type="dxa"/>
              <w:bottom w:w="40" w:type="dxa"/>
              <w:right w:w="20" w:type="dxa"/>
            </w:tcMar>
            <w:vAlign w:val="bottom"/>
          </w:tcPr>
          <w:p w14:paraId="71D42F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5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5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5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5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5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F59" w14:textId="77777777" w:rsidR="006A3667" w:rsidRDefault="00045F32">
            <w:pPr>
              <w:jc w:val="right"/>
              <w:textAlignment w:val="bottom"/>
            </w:pPr>
            <w:r>
              <w:rPr>
                <w:rFonts w:ascii="Arial" w:eastAsia="宋体" w:hAnsi="Arial" w:cs="Arial"/>
                <w:b/>
                <w:bCs/>
                <w:color w:val="000000"/>
                <w:sz w:val="15"/>
                <w:szCs w:val="15"/>
              </w:rPr>
              <w:t>(581)</w:t>
            </w:r>
          </w:p>
        </w:tc>
        <w:tc>
          <w:tcPr>
            <w:tcW w:w="0" w:type="auto"/>
            <w:shd w:val="clear" w:color="auto" w:fill="FFFFFF"/>
            <w:tcMar>
              <w:top w:w="40" w:type="dxa"/>
              <w:left w:w="0" w:type="dxa"/>
              <w:bottom w:w="40" w:type="dxa"/>
              <w:right w:w="20" w:type="dxa"/>
            </w:tcMar>
            <w:vAlign w:val="bottom"/>
          </w:tcPr>
          <w:p w14:paraId="71D42F5A" w14:textId="77777777" w:rsidR="006A3667" w:rsidRDefault="006A3667">
            <w:pPr>
              <w:jc w:val="right"/>
              <w:rPr>
                <w:rFonts w:ascii="宋体"/>
              </w:rPr>
            </w:pPr>
          </w:p>
        </w:tc>
      </w:tr>
      <w:tr w:rsidR="006A3667" w14:paraId="71D42F6E" w14:textId="77777777">
        <w:trPr>
          <w:jc w:val="center"/>
          <w:hidden/>
        </w:trPr>
        <w:tc>
          <w:tcPr>
            <w:tcW w:w="0" w:type="auto"/>
            <w:gridSpan w:val="3"/>
            <w:shd w:val="clear" w:color="auto" w:fill="auto"/>
            <w:vAlign w:val="bottom"/>
          </w:tcPr>
          <w:p w14:paraId="71D42F5C" w14:textId="77777777" w:rsidR="006A3667" w:rsidRDefault="006A3667">
            <w:pPr>
              <w:rPr>
                <w:rFonts w:ascii="宋体"/>
                <w:vanish/>
              </w:rPr>
            </w:pPr>
          </w:p>
        </w:tc>
        <w:tc>
          <w:tcPr>
            <w:tcW w:w="0" w:type="auto"/>
            <w:gridSpan w:val="3"/>
            <w:shd w:val="clear" w:color="auto" w:fill="auto"/>
            <w:vAlign w:val="bottom"/>
          </w:tcPr>
          <w:p w14:paraId="71D42F5D" w14:textId="77777777" w:rsidR="006A3667" w:rsidRDefault="006A3667">
            <w:pPr>
              <w:rPr>
                <w:rFonts w:ascii="宋体"/>
                <w:vanish/>
              </w:rPr>
            </w:pPr>
          </w:p>
        </w:tc>
        <w:tc>
          <w:tcPr>
            <w:tcW w:w="0" w:type="auto"/>
            <w:gridSpan w:val="3"/>
            <w:shd w:val="clear" w:color="auto" w:fill="auto"/>
            <w:vAlign w:val="bottom"/>
          </w:tcPr>
          <w:p w14:paraId="71D42F5E" w14:textId="77777777" w:rsidR="006A3667" w:rsidRDefault="006A3667">
            <w:pPr>
              <w:rPr>
                <w:rFonts w:ascii="宋体"/>
                <w:vanish/>
              </w:rPr>
            </w:pPr>
          </w:p>
        </w:tc>
        <w:tc>
          <w:tcPr>
            <w:tcW w:w="0" w:type="auto"/>
            <w:gridSpan w:val="3"/>
            <w:shd w:val="clear" w:color="auto" w:fill="auto"/>
            <w:vAlign w:val="bottom"/>
          </w:tcPr>
          <w:p w14:paraId="71D42F5F" w14:textId="77777777" w:rsidR="006A3667" w:rsidRDefault="006A3667">
            <w:pPr>
              <w:rPr>
                <w:rFonts w:ascii="宋体"/>
                <w:vanish/>
              </w:rPr>
            </w:pPr>
          </w:p>
        </w:tc>
        <w:tc>
          <w:tcPr>
            <w:tcW w:w="0" w:type="auto"/>
            <w:gridSpan w:val="3"/>
            <w:shd w:val="clear" w:color="auto" w:fill="auto"/>
            <w:vAlign w:val="bottom"/>
          </w:tcPr>
          <w:p w14:paraId="71D42F60" w14:textId="77777777" w:rsidR="006A3667" w:rsidRDefault="006A3667">
            <w:pPr>
              <w:rPr>
                <w:rFonts w:ascii="宋体"/>
                <w:vanish/>
              </w:rPr>
            </w:pPr>
          </w:p>
        </w:tc>
        <w:tc>
          <w:tcPr>
            <w:tcW w:w="0" w:type="auto"/>
            <w:gridSpan w:val="3"/>
            <w:shd w:val="clear" w:color="auto" w:fill="auto"/>
            <w:vAlign w:val="bottom"/>
          </w:tcPr>
          <w:p w14:paraId="71D42F61" w14:textId="77777777" w:rsidR="006A3667" w:rsidRDefault="006A3667">
            <w:pPr>
              <w:rPr>
                <w:rFonts w:ascii="宋体"/>
                <w:vanish/>
              </w:rPr>
            </w:pPr>
          </w:p>
        </w:tc>
        <w:tc>
          <w:tcPr>
            <w:tcW w:w="0" w:type="auto"/>
            <w:gridSpan w:val="3"/>
            <w:shd w:val="clear" w:color="auto" w:fill="auto"/>
            <w:vAlign w:val="bottom"/>
          </w:tcPr>
          <w:p w14:paraId="71D42F62" w14:textId="77777777" w:rsidR="006A3667" w:rsidRDefault="006A3667">
            <w:pPr>
              <w:rPr>
                <w:rFonts w:ascii="宋体"/>
                <w:vanish/>
              </w:rPr>
            </w:pPr>
          </w:p>
        </w:tc>
        <w:tc>
          <w:tcPr>
            <w:tcW w:w="0" w:type="auto"/>
            <w:gridSpan w:val="3"/>
            <w:shd w:val="clear" w:color="auto" w:fill="auto"/>
            <w:vAlign w:val="bottom"/>
          </w:tcPr>
          <w:p w14:paraId="71D42F63" w14:textId="77777777" w:rsidR="006A3667" w:rsidRDefault="006A3667">
            <w:pPr>
              <w:rPr>
                <w:rFonts w:ascii="宋体"/>
                <w:vanish/>
              </w:rPr>
            </w:pPr>
          </w:p>
        </w:tc>
        <w:tc>
          <w:tcPr>
            <w:tcW w:w="0" w:type="auto"/>
            <w:gridSpan w:val="3"/>
            <w:shd w:val="clear" w:color="auto" w:fill="auto"/>
            <w:vAlign w:val="bottom"/>
          </w:tcPr>
          <w:p w14:paraId="71D42F64" w14:textId="77777777" w:rsidR="006A3667" w:rsidRDefault="006A3667">
            <w:pPr>
              <w:rPr>
                <w:rFonts w:ascii="宋体"/>
                <w:vanish/>
              </w:rPr>
            </w:pPr>
          </w:p>
        </w:tc>
        <w:tc>
          <w:tcPr>
            <w:tcW w:w="0" w:type="auto"/>
            <w:gridSpan w:val="3"/>
            <w:shd w:val="clear" w:color="auto" w:fill="auto"/>
            <w:vAlign w:val="bottom"/>
          </w:tcPr>
          <w:p w14:paraId="71D42F65" w14:textId="77777777" w:rsidR="006A3667" w:rsidRDefault="006A3667">
            <w:pPr>
              <w:rPr>
                <w:rFonts w:ascii="宋体"/>
                <w:vanish/>
              </w:rPr>
            </w:pPr>
          </w:p>
        </w:tc>
        <w:tc>
          <w:tcPr>
            <w:tcW w:w="0" w:type="auto"/>
            <w:gridSpan w:val="3"/>
            <w:shd w:val="clear" w:color="auto" w:fill="auto"/>
            <w:vAlign w:val="bottom"/>
          </w:tcPr>
          <w:p w14:paraId="71D42F66" w14:textId="77777777" w:rsidR="006A3667" w:rsidRDefault="006A3667">
            <w:pPr>
              <w:rPr>
                <w:rFonts w:ascii="宋体"/>
                <w:vanish/>
              </w:rPr>
            </w:pPr>
          </w:p>
        </w:tc>
        <w:tc>
          <w:tcPr>
            <w:tcW w:w="0" w:type="auto"/>
            <w:gridSpan w:val="3"/>
            <w:shd w:val="clear" w:color="auto" w:fill="auto"/>
            <w:vAlign w:val="bottom"/>
          </w:tcPr>
          <w:p w14:paraId="71D42F67" w14:textId="77777777" w:rsidR="006A3667" w:rsidRDefault="006A3667">
            <w:pPr>
              <w:rPr>
                <w:rFonts w:ascii="宋体"/>
                <w:vanish/>
              </w:rPr>
            </w:pPr>
          </w:p>
        </w:tc>
        <w:tc>
          <w:tcPr>
            <w:tcW w:w="0" w:type="auto"/>
            <w:gridSpan w:val="3"/>
            <w:shd w:val="clear" w:color="auto" w:fill="auto"/>
            <w:vAlign w:val="bottom"/>
          </w:tcPr>
          <w:p w14:paraId="71D42F68" w14:textId="77777777" w:rsidR="006A3667" w:rsidRDefault="006A3667">
            <w:pPr>
              <w:rPr>
                <w:rFonts w:ascii="宋体"/>
                <w:vanish/>
              </w:rPr>
            </w:pPr>
          </w:p>
        </w:tc>
        <w:tc>
          <w:tcPr>
            <w:tcW w:w="0" w:type="auto"/>
            <w:gridSpan w:val="3"/>
            <w:shd w:val="clear" w:color="auto" w:fill="auto"/>
            <w:vAlign w:val="bottom"/>
          </w:tcPr>
          <w:p w14:paraId="71D42F69" w14:textId="77777777" w:rsidR="006A3667" w:rsidRDefault="006A3667">
            <w:pPr>
              <w:rPr>
                <w:rFonts w:ascii="宋体"/>
                <w:vanish/>
              </w:rPr>
            </w:pPr>
          </w:p>
        </w:tc>
        <w:tc>
          <w:tcPr>
            <w:tcW w:w="0" w:type="auto"/>
            <w:gridSpan w:val="3"/>
            <w:shd w:val="clear" w:color="auto" w:fill="auto"/>
            <w:vAlign w:val="bottom"/>
          </w:tcPr>
          <w:p w14:paraId="71D42F6A" w14:textId="77777777" w:rsidR="006A3667" w:rsidRDefault="006A3667">
            <w:pPr>
              <w:rPr>
                <w:rFonts w:ascii="宋体"/>
                <w:vanish/>
              </w:rPr>
            </w:pPr>
          </w:p>
        </w:tc>
        <w:tc>
          <w:tcPr>
            <w:tcW w:w="0" w:type="auto"/>
            <w:gridSpan w:val="3"/>
            <w:shd w:val="clear" w:color="auto" w:fill="auto"/>
            <w:vAlign w:val="bottom"/>
          </w:tcPr>
          <w:p w14:paraId="71D42F6B" w14:textId="77777777" w:rsidR="006A3667" w:rsidRDefault="006A3667">
            <w:pPr>
              <w:rPr>
                <w:rFonts w:ascii="宋体"/>
                <w:vanish/>
              </w:rPr>
            </w:pPr>
          </w:p>
        </w:tc>
        <w:tc>
          <w:tcPr>
            <w:tcW w:w="0" w:type="auto"/>
            <w:gridSpan w:val="3"/>
            <w:shd w:val="clear" w:color="auto" w:fill="auto"/>
            <w:vAlign w:val="bottom"/>
          </w:tcPr>
          <w:p w14:paraId="71D42F6C" w14:textId="77777777" w:rsidR="006A3667" w:rsidRDefault="006A3667">
            <w:pPr>
              <w:rPr>
                <w:rFonts w:ascii="宋体"/>
                <w:vanish/>
              </w:rPr>
            </w:pPr>
          </w:p>
        </w:tc>
        <w:tc>
          <w:tcPr>
            <w:tcW w:w="0" w:type="auto"/>
            <w:gridSpan w:val="3"/>
            <w:shd w:val="clear" w:color="auto" w:fill="auto"/>
            <w:vAlign w:val="bottom"/>
          </w:tcPr>
          <w:p w14:paraId="71D42F6D" w14:textId="77777777" w:rsidR="006A3667" w:rsidRDefault="006A3667">
            <w:pPr>
              <w:rPr>
                <w:rFonts w:ascii="宋体"/>
                <w:vanish/>
              </w:rPr>
            </w:pPr>
          </w:p>
        </w:tc>
      </w:tr>
      <w:tr w:rsidR="006A3667" w14:paraId="71D42F81" w14:textId="77777777">
        <w:trPr>
          <w:jc w:val="center"/>
        </w:trPr>
        <w:tc>
          <w:tcPr>
            <w:tcW w:w="0" w:type="auto"/>
            <w:gridSpan w:val="3"/>
            <w:shd w:val="clear" w:color="auto" w:fill="CCEEFF"/>
            <w:tcMar>
              <w:top w:w="40" w:type="dxa"/>
              <w:left w:w="20" w:type="dxa"/>
              <w:bottom w:w="40" w:type="dxa"/>
              <w:right w:w="20" w:type="dxa"/>
            </w:tcMar>
            <w:vAlign w:val="bottom"/>
          </w:tcPr>
          <w:p w14:paraId="71D42F6F" w14:textId="77777777" w:rsidR="006A3667" w:rsidRDefault="00045F32">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71D42F7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7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80" w14:textId="77777777" w:rsidR="006A3667" w:rsidRDefault="006A3667">
            <w:pPr>
              <w:rPr>
                <w:rFonts w:ascii="宋体"/>
              </w:rPr>
            </w:pPr>
          </w:p>
        </w:tc>
      </w:tr>
      <w:tr w:rsidR="006A3667" w14:paraId="71D42F96" w14:textId="77777777">
        <w:trPr>
          <w:jc w:val="center"/>
        </w:trPr>
        <w:tc>
          <w:tcPr>
            <w:tcW w:w="0" w:type="auto"/>
            <w:gridSpan w:val="3"/>
            <w:shd w:val="clear" w:color="auto" w:fill="FFFFFF"/>
            <w:tcMar>
              <w:top w:w="40" w:type="dxa"/>
              <w:left w:w="20" w:type="dxa"/>
              <w:bottom w:w="40" w:type="dxa"/>
              <w:right w:w="20" w:type="dxa"/>
            </w:tcMar>
            <w:vAlign w:val="bottom"/>
          </w:tcPr>
          <w:p w14:paraId="71D42F82" w14:textId="77777777" w:rsidR="006A3667" w:rsidRDefault="00045F32">
            <w:pPr>
              <w:textAlignment w:val="bottom"/>
            </w:pPr>
            <w:r>
              <w:rPr>
                <w:rFonts w:ascii="Arial" w:eastAsia="宋体" w:hAnsi="Arial" w:cs="Arial"/>
                <w:color w:val="000000"/>
                <w:sz w:val="15"/>
                <w:szCs w:val="15"/>
              </w:rPr>
              <w:t>Common stock - $0.63 per share</w:t>
            </w:r>
          </w:p>
        </w:tc>
        <w:tc>
          <w:tcPr>
            <w:tcW w:w="0" w:type="auto"/>
            <w:gridSpan w:val="3"/>
            <w:shd w:val="clear" w:color="auto" w:fill="FFFFFF"/>
            <w:tcMar>
              <w:top w:w="0" w:type="dxa"/>
              <w:left w:w="20" w:type="dxa"/>
              <w:bottom w:w="0" w:type="dxa"/>
              <w:right w:w="20" w:type="dxa"/>
            </w:tcMar>
            <w:vAlign w:val="bottom"/>
          </w:tcPr>
          <w:p w14:paraId="71D42F8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F8B" w14:textId="77777777" w:rsidR="006A3667" w:rsidRDefault="00045F32">
            <w:pPr>
              <w:jc w:val="right"/>
              <w:textAlignment w:val="bottom"/>
            </w:pPr>
            <w:r>
              <w:rPr>
                <w:rFonts w:ascii="Arial" w:eastAsia="宋体" w:hAnsi="Arial" w:cs="Arial"/>
                <w:b/>
                <w:bCs/>
                <w:color w:val="000000"/>
                <w:sz w:val="15"/>
                <w:szCs w:val="15"/>
              </w:rPr>
              <w:t>(232)</w:t>
            </w:r>
          </w:p>
        </w:tc>
        <w:tc>
          <w:tcPr>
            <w:tcW w:w="0" w:type="auto"/>
            <w:shd w:val="clear" w:color="auto" w:fill="FFFFFF"/>
            <w:tcMar>
              <w:top w:w="40" w:type="dxa"/>
              <w:left w:w="0" w:type="dxa"/>
              <w:bottom w:w="40" w:type="dxa"/>
              <w:right w:w="20" w:type="dxa"/>
            </w:tcMar>
            <w:vAlign w:val="bottom"/>
          </w:tcPr>
          <w:p w14:paraId="71D42F8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8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8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9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9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9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9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F94" w14:textId="77777777" w:rsidR="006A3667" w:rsidRDefault="00045F32">
            <w:pPr>
              <w:jc w:val="right"/>
              <w:textAlignment w:val="bottom"/>
            </w:pPr>
            <w:r>
              <w:rPr>
                <w:rFonts w:ascii="Arial" w:eastAsia="宋体" w:hAnsi="Arial" w:cs="Arial"/>
                <w:b/>
                <w:bCs/>
                <w:color w:val="000000"/>
                <w:sz w:val="15"/>
                <w:szCs w:val="15"/>
              </w:rPr>
              <w:t>(232)</w:t>
            </w:r>
          </w:p>
        </w:tc>
        <w:tc>
          <w:tcPr>
            <w:tcW w:w="0" w:type="auto"/>
            <w:shd w:val="clear" w:color="auto" w:fill="FFFFFF"/>
            <w:tcMar>
              <w:top w:w="40" w:type="dxa"/>
              <w:left w:w="0" w:type="dxa"/>
              <w:bottom w:w="40" w:type="dxa"/>
              <w:right w:w="20" w:type="dxa"/>
            </w:tcMar>
            <w:vAlign w:val="bottom"/>
          </w:tcPr>
          <w:p w14:paraId="71D42F95" w14:textId="77777777" w:rsidR="006A3667" w:rsidRDefault="006A3667">
            <w:pPr>
              <w:jc w:val="right"/>
              <w:rPr>
                <w:rFonts w:ascii="宋体"/>
              </w:rPr>
            </w:pPr>
          </w:p>
        </w:tc>
      </w:tr>
      <w:tr w:rsidR="006A3667" w14:paraId="71D42FAB" w14:textId="77777777">
        <w:trPr>
          <w:jc w:val="center"/>
        </w:trPr>
        <w:tc>
          <w:tcPr>
            <w:tcW w:w="0" w:type="auto"/>
            <w:gridSpan w:val="3"/>
            <w:shd w:val="clear" w:color="auto" w:fill="CCEEFF"/>
            <w:tcMar>
              <w:top w:w="40" w:type="dxa"/>
              <w:left w:w="140" w:type="dxa"/>
              <w:bottom w:w="40" w:type="dxa"/>
              <w:right w:w="20" w:type="dxa"/>
            </w:tcMar>
            <w:vAlign w:val="bottom"/>
          </w:tcPr>
          <w:p w14:paraId="71D42F97" w14:textId="77777777" w:rsidR="006A3667" w:rsidRDefault="00045F32">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71D42F9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9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9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9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9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9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9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9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FA0" w14:textId="77777777" w:rsidR="006A3667" w:rsidRDefault="00045F32">
            <w:pPr>
              <w:jc w:val="right"/>
              <w:textAlignment w:val="bottom"/>
            </w:pPr>
            <w:r>
              <w:rPr>
                <w:rFonts w:ascii="Arial" w:eastAsia="宋体" w:hAnsi="Arial" w:cs="Arial"/>
                <w:b/>
                <w:bCs/>
                <w:color w:val="000000"/>
                <w:sz w:val="15"/>
                <w:szCs w:val="15"/>
              </w:rPr>
              <w:t>(21)</w:t>
            </w:r>
          </w:p>
        </w:tc>
        <w:tc>
          <w:tcPr>
            <w:tcW w:w="0" w:type="auto"/>
            <w:shd w:val="clear" w:color="auto" w:fill="CCEEFF"/>
            <w:tcMar>
              <w:top w:w="40" w:type="dxa"/>
              <w:left w:w="0" w:type="dxa"/>
              <w:bottom w:w="40" w:type="dxa"/>
              <w:right w:w="20" w:type="dxa"/>
            </w:tcMar>
            <w:vAlign w:val="bottom"/>
          </w:tcPr>
          <w:p w14:paraId="71D42FA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FA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A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A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A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A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A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2F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2FA9" w14:textId="77777777" w:rsidR="006A3667" w:rsidRDefault="00045F32">
            <w:pPr>
              <w:jc w:val="right"/>
              <w:textAlignment w:val="bottom"/>
            </w:pPr>
            <w:r>
              <w:rPr>
                <w:rFonts w:ascii="Arial" w:eastAsia="宋体" w:hAnsi="Arial" w:cs="Arial"/>
                <w:b/>
                <w:bCs/>
                <w:color w:val="000000"/>
                <w:sz w:val="15"/>
                <w:szCs w:val="15"/>
              </w:rPr>
              <w:t>(21)</w:t>
            </w:r>
          </w:p>
        </w:tc>
        <w:tc>
          <w:tcPr>
            <w:tcW w:w="0" w:type="auto"/>
            <w:shd w:val="clear" w:color="auto" w:fill="CCEEFF"/>
            <w:tcMar>
              <w:top w:w="40" w:type="dxa"/>
              <w:left w:w="0" w:type="dxa"/>
              <w:bottom w:w="40" w:type="dxa"/>
              <w:right w:w="20" w:type="dxa"/>
            </w:tcMar>
            <w:vAlign w:val="bottom"/>
          </w:tcPr>
          <w:p w14:paraId="71D42FAA" w14:textId="77777777" w:rsidR="006A3667" w:rsidRDefault="006A3667">
            <w:pPr>
              <w:jc w:val="right"/>
              <w:rPr>
                <w:rFonts w:ascii="宋体"/>
              </w:rPr>
            </w:pPr>
          </w:p>
        </w:tc>
      </w:tr>
      <w:tr w:rsidR="006A3667" w14:paraId="71D42FBE" w14:textId="77777777">
        <w:trPr>
          <w:jc w:val="center"/>
          <w:hidden/>
        </w:trPr>
        <w:tc>
          <w:tcPr>
            <w:tcW w:w="0" w:type="auto"/>
            <w:gridSpan w:val="3"/>
            <w:shd w:val="clear" w:color="auto" w:fill="auto"/>
            <w:vAlign w:val="bottom"/>
          </w:tcPr>
          <w:p w14:paraId="71D42FAC" w14:textId="77777777" w:rsidR="006A3667" w:rsidRDefault="006A3667">
            <w:pPr>
              <w:rPr>
                <w:rFonts w:ascii="宋体"/>
                <w:vanish/>
              </w:rPr>
            </w:pPr>
          </w:p>
        </w:tc>
        <w:tc>
          <w:tcPr>
            <w:tcW w:w="0" w:type="auto"/>
            <w:gridSpan w:val="3"/>
            <w:shd w:val="clear" w:color="auto" w:fill="auto"/>
            <w:vAlign w:val="bottom"/>
          </w:tcPr>
          <w:p w14:paraId="71D42FAD" w14:textId="77777777" w:rsidR="006A3667" w:rsidRDefault="006A3667">
            <w:pPr>
              <w:rPr>
                <w:rFonts w:ascii="宋体"/>
                <w:vanish/>
              </w:rPr>
            </w:pPr>
          </w:p>
        </w:tc>
        <w:tc>
          <w:tcPr>
            <w:tcW w:w="0" w:type="auto"/>
            <w:gridSpan w:val="3"/>
            <w:shd w:val="clear" w:color="auto" w:fill="auto"/>
            <w:vAlign w:val="bottom"/>
          </w:tcPr>
          <w:p w14:paraId="71D42FAE" w14:textId="77777777" w:rsidR="006A3667" w:rsidRDefault="006A3667">
            <w:pPr>
              <w:rPr>
                <w:rFonts w:ascii="宋体"/>
                <w:vanish/>
              </w:rPr>
            </w:pPr>
          </w:p>
        </w:tc>
        <w:tc>
          <w:tcPr>
            <w:tcW w:w="0" w:type="auto"/>
            <w:gridSpan w:val="3"/>
            <w:shd w:val="clear" w:color="auto" w:fill="auto"/>
            <w:vAlign w:val="bottom"/>
          </w:tcPr>
          <w:p w14:paraId="71D42FAF" w14:textId="77777777" w:rsidR="006A3667" w:rsidRDefault="006A3667">
            <w:pPr>
              <w:rPr>
                <w:rFonts w:ascii="宋体"/>
                <w:vanish/>
              </w:rPr>
            </w:pPr>
          </w:p>
        </w:tc>
        <w:tc>
          <w:tcPr>
            <w:tcW w:w="0" w:type="auto"/>
            <w:gridSpan w:val="3"/>
            <w:shd w:val="clear" w:color="auto" w:fill="auto"/>
            <w:vAlign w:val="bottom"/>
          </w:tcPr>
          <w:p w14:paraId="71D42FB0" w14:textId="77777777" w:rsidR="006A3667" w:rsidRDefault="006A3667">
            <w:pPr>
              <w:rPr>
                <w:rFonts w:ascii="宋体"/>
                <w:vanish/>
              </w:rPr>
            </w:pPr>
          </w:p>
        </w:tc>
        <w:tc>
          <w:tcPr>
            <w:tcW w:w="0" w:type="auto"/>
            <w:gridSpan w:val="3"/>
            <w:shd w:val="clear" w:color="auto" w:fill="auto"/>
            <w:vAlign w:val="bottom"/>
          </w:tcPr>
          <w:p w14:paraId="71D42FB1" w14:textId="77777777" w:rsidR="006A3667" w:rsidRDefault="006A3667">
            <w:pPr>
              <w:rPr>
                <w:rFonts w:ascii="宋体"/>
                <w:vanish/>
              </w:rPr>
            </w:pPr>
          </w:p>
        </w:tc>
        <w:tc>
          <w:tcPr>
            <w:tcW w:w="0" w:type="auto"/>
            <w:gridSpan w:val="3"/>
            <w:shd w:val="clear" w:color="auto" w:fill="auto"/>
            <w:vAlign w:val="bottom"/>
          </w:tcPr>
          <w:p w14:paraId="71D42FB2" w14:textId="77777777" w:rsidR="006A3667" w:rsidRDefault="006A3667">
            <w:pPr>
              <w:rPr>
                <w:rFonts w:ascii="宋体"/>
                <w:vanish/>
              </w:rPr>
            </w:pPr>
          </w:p>
        </w:tc>
        <w:tc>
          <w:tcPr>
            <w:tcW w:w="0" w:type="auto"/>
            <w:gridSpan w:val="3"/>
            <w:shd w:val="clear" w:color="auto" w:fill="auto"/>
            <w:vAlign w:val="bottom"/>
          </w:tcPr>
          <w:p w14:paraId="71D42FB3" w14:textId="77777777" w:rsidR="006A3667" w:rsidRDefault="006A3667">
            <w:pPr>
              <w:rPr>
                <w:rFonts w:ascii="宋体"/>
                <w:vanish/>
              </w:rPr>
            </w:pPr>
          </w:p>
        </w:tc>
        <w:tc>
          <w:tcPr>
            <w:tcW w:w="0" w:type="auto"/>
            <w:gridSpan w:val="3"/>
            <w:shd w:val="clear" w:color="auto" w:fill="auto"/>
            <w:vAlign w:val="bottom"/>
          </w:tcPr>
          <w:p w14:paraId="71D42FB4" w14:textId="77777777" w:rsidR="006A3667" w:rsidRDefault="006A3667">
            <w:pPr>
              <w:rPr>
                <w:rFonts w:ascii="宋体"/>
                <w:vanish/>
              </w:rPr>
            </w:pPr>
          </w:p>
        </w:tc>
        <w:tc>
          <w:tcPr>
            <w:tcW w:w="0" w:type="auto"/>
            <w:gridSpan w:val="3"/>
            <w:shd w:val="clear" w:color="auto" w:fill="auto"/>
            <w:vAlign w:val="bottom"/>
          </w:tcPr>
          <w:p w14:paraId="71D42FB5" w14:textId="77777777" w:rsidR="006A3667" w:rsidRDefault="006A3667">
            <w:pPr>
              <w:rPr>
                <w:rFonts w:ascii="宋体"/>
                <w:vanish/>
              </w:rPr>
            </w:pPr>
          </w:p>
        </w:tc>
        <w:tc>
          <w:tcPr>
            <w:tcW w:w="0" w:type="auto"/>
            <w:gridSpan w:val="3"/>
            <w:shd w:val="clear" w:color="auto" w:fill="auto"/>
            <w:vAlign w:val="bottom"/>
          </w:tcPr>
          <w:p w14:paraId="71D42FB6" w14:textId="77777777" w:rsidR="006A3667" w:rsidRDefault="006A3667">
            <w:pPr>
              <w:rPr>
                <w:rFonts w:ascii="宋体"/>
                <w:vanish/>
              </w:rPr>
            </w:pPr>
          </w:p>
        </w:tc>
        <w:tc>
          <w:tcPr>
            <w:tcW w:w="0" w:type="auto"/>
            <w:gridSpan w:val="3"/>
            <w:shd w:val="clear" w:color="auto" w:fill="auto"/>
            <w:vAlign w:val="bottom"/>
          </w:tcPr>
          <w:p w14:paraId="71D42FB7" w14:textId="77777777" w:rsidR="006A3667" w:rsidRDefault="006A3667">
            <w:pPr>
              <w:rPr>
                <w:rFonts w:ascii="宋体"/>
                <w:vanish/>
              </w:rPr>
            </w:pPr>
          </w:p>
        </w:tc>
        <w:tc>
          <w:tcPr>
            <w:tcW w:w="0" w:type="auto"/>
            <w:gridSpan w:val="3"/>
            <w:shd w:val="clear" w:color="auto" w:fill="auto"/>
            <w:vAlign w:val="bottom"/>
          </w:tcPr>
          <w:p w14:paraId="71D42FB8" w14:textId="77777777" w:rsidR="006A3667" w:rsidRDefault="006A3667">
            <w:pPr>
              <w:rPr>
                <w:rFonts w:ascii="宋体"/>
                <w:vanish/>
              </w:rPr>
            </w:pPr>
          </w:p>
        </w:tc>
        <w:tc>
          <w:tcPr>
            <w:tcW w:w="0" w:type="auto"/>
            <w:gridSpan w:val="3"/>
            <w:shd w:val="clear" w:color="auto" w:fill="auto"/>
            <w:vAlign w:val="bottom"/>
          </w:tcPr>
          <w:p w14:paraId="71D42FB9" w14:textId="77777777" w:rsidR="006A3667" w:rsidRDefault="006A3667">
            <w:pPr>
              <w:rPr>
                <w:rFonts w:ascii="宋体"/>
                <w:vanish/>
              </w:rPr>
            </w:pPr>
          </w:p>
        </w:tc>
        <w:tc>
          <w:tcPr>
            <w:tcW w:w="0" w:type="auto"/>
            <w:gridSpan w:val="3"/>
            <w:shd w:val="clear" w:color="auto" w:fill="auto"/>
            <w:vAlign w:val="bottom"/>
          </w:tcPr>
          <w:p w14:paraId="71D42FBA" w14:textId="77777777" w:rsidR="006A3667" w:rsidRDefault="006A3667">
            <w:pPr>
              <w:rPr>
                <w:rFonts w:ascii="宋体"/>
                <w:vanish/>
              </w:rPr>
            </w:pPr>
          </w:p>
        </w:tc>
        <w:tc>
          <w:tcPr>
            <w:tcW w:w="0" w:type="auto"/>
            <w:gridSpan w:val="3"/>
            <w:shd w:val="clear" w:color="auto" w:fill="auto"/>
            <w:vAlign w:val="bottom"/>
          </w:tcPr>
          <w:p w14:paraId="71D42FBB" w14:textId="77777777" w:rsidR="006A3667" w:rsidRDefault="006A3667">
            <w:pPr>
              <w:rPr>
                <w:rFonts w:ascii="宋体"/>
                <w:vanish/>
              </w:rPr>
            </w:pPr>
          </w:p>
        </w:tc>
        <w:tc>
          <w:tcPr>
            <w:tcW w:w="0" w:type="auto"/>
            <w:gridSpan w:val="3"/>
            <w:shd w:val="clear" w:color="auto" w:fill="auto"/>
            <w:vAlign w:val="bottom"/>
          </w:tcPr>
          <w:p w14:paraId="71D42FBC" w14:textId="77777777" w:rsidR="006A3667" w:rsidRDefault="006A3667">
            <w:pPr>
              <w:rPr>
                <w:rFonts w:ascii="宋体"/>
                <w:vanish/>
              </w:rPr>
            </w:pPr>
          </w:p>
        </w:tc>
        <w:tc>
          <w:tcPr>
            <w:tcW w:w="0" w:type="auto"/>
            <w:gridSpan w:val="3"/>
            <w:shd w:val="clear" w:color="auto" w:fill="auto"/>
            <w:vAlign w:val="bottom"/>
          </w:tcPr>
          <w:p w14:paraId="71D42FBD" w14:textId="77777777" w:rsidR="006A3667" w:rsidRDefault="006A3667">
            <w:pPr>
              <w:rPr>
                <w:rFonts w:ascii="宋体"/>
                <w:vanish/>
              </w:rPr>
            </w:pPr>
          </w:p>
        </w:tc>
      </w:tr>
      <w:tr w:rsidR="006A3667" w14:paraId="71D42FD5" w14:textId="77777777">
        <w:trPr>
          <w:jc w:val="center"/>
        </w:trPr>
        <w:tc>
          <w:tcPr>
            <w:tcW w:w="0" w:type="auto"/>
            <w:gridSpan w:val="3"/>
            <w:shd w:val="clear" w:color="auto" w:fill="FFFFFF"/>
            <w:tcMar>
              <w:top w:w="40" w:type="dxa"/>
              <w:left w:w="20" w:type="dxa"/>
              <w:bottom w:w="40" w:type="dxa"/>
              <w:right w:w="20" w:type="dxa"/>
            </w:tcMar>
            <w:vAlign w:val="bottom"/>
          </w:tcPr>
          <w:p w14:paraId="71D42FBF" w14:textId="77777777" w:rsidR="006A3667" w:rsidRDefault="00045F32">
            <w:pPr>
              <w:textAlignment w:val="bottom"/>
            </w:pPr>
            <w:r>
              <w:rPr>
                <w:rFonts w:ascii="Arial" w:eastAsia="宋体" w:hAnsi="Arial" w:cs="Arial"/>
                <w:color w:val="000000"/>
                <w:sz w:val="15"/>
                <w:szCs w:val="15"/>
              </w:rPr>
              <w:t>Common stock awards exercised</w:t>
            </w:r>
          </w:p>
        </w:tc>
        <w:tc>
          <w:tcPr>
            <w:tcW w:w="0" w:type="auto"/>
            <w:gridSpan w:val="3"/>
            <w:shd w:val="clear" w:color="auto" w:fill="FFFFFF"/>
            <w:tcMar>
              <w:top w:w="0" w:type="dxa"/>
              <w:left w:w="20" w:type="dxa"/>
              <w:bottom w:w="0" w:type="dxa"/>
              <w:right w:w="20" w:type="dxa"/>
            </w:tcMar>
            <w:vAlign w:val="bottom"/>
          </w:tcPr>
          <w:p w14:paraId="71D42FC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FC6" w14:textId="77777777" w:rsidR="006A3667" w:rsidRDefault="00045F32">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2F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C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2F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FCD" w14:textId="77777777" w:rsidR="006A3667" w:rsidRDefault="00045F32">
            <w:pPr>
              <w:jc w:val="right"/>
              <w:textAlignment w:val="bottom"/>
            </w:pPr>
            <w:r>
              <w:rPr>
                <w:rFonts w:ascii="Arial" w:eastAsia="宋体" w:hAnsi="Arial" w:cs="Arial"/>
                <w:b/>
                <w:bCs/>
                <w:color w:val="000000"/>
                <w:sz w:val="15"/>
                <w:szCs w:val="15"/>
              </w:rPr>
              <w:t>(348)</w:t>
            </w:r>
          </w:p>
        </w:tc>
        <w:tc>
          <w:tcPr>
            <w:tcW w:w="0" w:type="auto"/>
            <w:shd w:val="clear" w:color="auto" w:fill="FFFFFF"/>
            <w:tcMar>
              <w:top w:w="40" w:type="dxa"/>
              <w:left w:w="0" w:type="dxa"/>
              <w:bottom w:w="40" w:type="dxa"/>
              <w:right w:w="20" w:type="dxa"/>
            </w:tcMar>
            <w:vAlign w:val="bottom"/>
          </w:tcPr>
          <w:p w14:paraId="71D42F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FD0" w14:textId="77777777" w:rsidR="006A3667" w:rsidRDefault="00045F32">
            <w:pPr>
              <w:jc w:val="right"/>
              <w:textAlignment w:val="bottom"/>
            </w:pPr>
            <w:r>
              <w:rPr>
                <w:rFonts w:ascii="Arial" w:eastAsia="宋体" w:hAnsi="Arial" w:cs="Arial"/>
                <w:b/>
                <w:bCs/>
                <w:color w:val="000000"/>
                <w:sz w:val="15"/>
                <w:szCs w:val="15"/>
              </w:rPr>
              <w:t>22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2F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2FD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2FD3" w14:textId="77777777" w:rsidR="006A3667" w:rsidRDefault="00045F32">
            <w:pPr>
              <w:jc w:val="right"/>
              <w:textAlignment w:val="bottom"/>
            </w:pPr>
            <w:r>
              <w:rPr>
                <w:rFonts w:ascii="Arial" w:eastAsia="宋体" w:hAnsi="Arial" w:cs="Arial"/>
                <w:b/>
                <w:bCs/>
                <w:color w:val="000000"/>
                <w:sz w:val="15"/>
                <w:szCs w:val="15"/>
              </w:rPr>
              <w:t>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2FD4" w14:textId="77777777" w:rsidR="006A3667" w:rsidRDefault="006A3667">
            <w:pPr>
              <w:jc w:val="right"/>
              <w:rPr>
                <w:rFonts w:ascii="宋体"/>
              </w:rPr>
            </w:pPr>
          </w:p>
        </w:tc>
      </w:tr>
      <w:tr w:rsidR="006A3667" w14:paraId="71D42FE8" w14:textId="77777777">
        <w:trPr>
          <w:jc w:val="center"/>
          <w:hidden/>
        </w:trPr>
        <w:tc>
          <w:tcPr>
            <w:tcW w:w="0" w:type="auto"/>
            <w:gridSpan w:val="3"/>
            <w:shd w:val="clear" w:color="auto" w:fill="auto"/>
            <w:vAlign w:val="bottom"/>
          </w:tcPr>
          <w:p w14:paraId="71D42FD6" w14:textId="77777777" w:rsidR="006A3667" w:rsidRDefault="006A3667">
            <w:pPr>
              <w:rPr>
                <w:rFonts w:ascii="宋体"/>
                <w:vanish/>
              </w:rPr>
            </w:pPr>
          </w:p>
        </w:tc>
        <w:tc>
          <w:tcPr>
            <w:tcW w:w="0" w:type="auto"/>
            <w:gridSpan w:val="3"/>
            <w:shd w:val="clear" w:color="auto" w:fill="auto"/>
            <w:vAlign w:val="bottom"/>
          </w:tcPr>
          <w:p w14:paraId="71D42FD7" w14:textId="77777777" w:rsidR="006A3667" w:rsidRDefault="006A3667">
            <w:pPr>
              <w:rPr>
                <w:rFonts w:ascii="宋体"/>
                <w:vanish/>
              </w:rPr>
            </w:pPr>
          </w:p>
        </w:tc>
        <w:tc>
          <w:tcPr>
            <w:tcW w:w="0" w:type="auto"/>
            <w:gridSpan w:val="3"/>
            <w:shd w:val="clear" w:color="auto" w:fill="auto"/>
            <w:vAlign w:val="bottom"/>
          </w:tcPr>
          <w:p w14:paraId="71D42FD8" w14:textId="77777777" w:rsidR="006A3667" w:rsidRDefault="006A3667">
            <w:pPr>
              <w:rPr>
                <w:rFonts w:ascii="宋体"/>
                <w:vanish/>
              </w:rPr>
            </w:pPr>
          </w:p>
        </w:tc>
        <w:tc>
          <w:tcPr>
            <w:tcW w:w="0" w:type="auto"/>
            <w:gridSpan w:val="3"/>
            <w:shd w:val="clear" w:color="auto" w:fill="auto"/>
            <w:vAlign w:val="bottom"/>
          </w:tcPr>
          <w:p w14:paraId="71D42FD9" w14:textId="77777777" w:rsidR="006A3667" w:rsidRDefault="006A3667">
            <w:pPr>
              <w:rPr>
                <w:rFonts w:ascii="宋体"/>
                <w:vanish/>
              </w:rPr>
            </w:pPr>
          </w:p>
        </w:tc>
        <w:tc>
          <w:tcPr>
            <w:tcW w:w="0" w:type="auto"/>
            <w:gridSpan w:val="3"/>
            <w:shd w:val="clear" w:color="auto" w:fill="auto"/>
            <w:vAlign w:val="bottom"/>
          </w:tcPr>
          <w:p w14:paraId="71D42FDA" w14:textId="77777777" w:rsidR="006A3667" w:rsidRDefault="006A3667">
            <w:pPr>
              <w:rPr>
                <w:rFonts w:ascii="宋体"/>
                <w:vanish/>
              </w:rPr>
            </w:pPr>
          </w:p>
        </w:tc>
        <w:tc>
          <w:tcPr>
            <w:tcW w:w="0" w:type="auto"/>
            <w:gridSpan w:val="3"/>
            <w:shd w:val="clear" w:color="auto" w:fill="auto"/>
            <w:vAlign w:val="bottom"/>
          </w:tcPr>
          <w:p w14:paraId="71D42FDB" w14:textId="77777777" w:rsidR="006A3667" w:rsidRDefault="006A3667">
            <w:pPr>
              <w:rPr>
                <w:rFonts w:ascii="宋体"/>
                <w:vanish/>
              </w:rPr>
            </w:pPr>
          </w:p>
        </w:tc>
        <w:tc>
          <w:tcPr>
            <w:tcW w:w="0" w:type="auto"/>
            <w:gridSpan w:val="3"/>
            <w:shd w:val="clear" w:color="auto" w:fill="auto"/>
            <w:vAlign w:val="bottom"/>
          </w:tcPr>
          <w:p w14:paraId="71D42FDC" w14:textId="77777777" w:rsidR="006A3667" w:rsidRDefault="006A3667">
            <w:pPr>
              <w:rPr>
                <w:rFonts w:ascii="宋体"/>
                <w:vanish/>
              </w:rPr>
            </w:pPr>
          </w:p>
        </w:tc>
        <w:tc>
          <w:tcPr>
            <w:tcW w:w="0" w:type="auto"/>
            <w:gridSpan w:val="3"/>
            <w:shd w:val="clear" w:color="auto" w:fill="auto"/>
            <w:vAlign w:val="bottom"/>
          </w:tcPr>
          <w:p w14:paraId="71D42FDD" w14:textId="77777777" w:rsidR="006A3667" w:rsidRDefault="006A3667">
            <w:pPr>
              <w:rPr>
                <w:rFonts w:ascii="宋体"/>
                <w:vanish/>
              </w:rPr>
            </w:pPr>
          </w:p>
        </w:tc>
        <w:tc>
          <w:tcPr>
            <w:tcW w:w="0" w:type="auto"/>
            <w:gridSpan w:val="3"/>
            <w:shd w:val="clear" w:color="auto" w:fill="auto"/>
            <w:vAlign w:val="bottom"/>
          </w:tcPr>
          <w:p w14:paraId="71D42FDE" w14:textId="77777777" w:rsidR="006A3667" w:rsidRDefault="006A3667">
            <w:pPr>
              <w:rPr>
                <w:rFonts w:ascii="宋体"/>
                <w:vanish/>
              </w:rPr>
            </w:pPr>
          </w:p>
        </w:tc>
        <w:tc>
          <w:tcPr>
            <w:tcW w:w="0" w:type="auto"/>
            <w:gridSpan w:val="3"/>
            <w:shd w:val="clear" w:color="auto" w:fill="auto"/>
            <w:vAlign w:val="bottom"/>
          </w:tcPr>
          <w:p w14:paraId="71D42FDF" w14:textId="77777777" w:rsidR="006A3667" w:rsidRDefault="006A3667">
            <w:pPr>
              <w:rPr>
                <w:rFonts w:ascii="宋体"/>
                <w:vanish/>
              </w:rPr>
            </w:pPr>
          </w:p>
        </w:tc>
        <w:tc>
          <w:tcPr>
            <w:tcW w:w="0" w:type="auto"/>
            <w:gridSpan w:val="3"/>
            <w:shd w:val="clear" w:color="auto" w:fill="auto"/>
            <w:vAlign w:val="bottom"/>
          </w:tcPr>
          <w:p w14:paraId="71D42FE0" w14:textId="77777777" w:rsidR="006A3667" w:rsidRDefault="006A3667">
            <w:pPr>
              <w:rPr>
                <w:rFonts w:ascii="宋体"/>
                <w:vanish/>
              </w:rPr>
            </w:pPr>
          </w:p>
        </w:tc>
        <w:tc>
          <w:tcPr>
            <w:tcW w:w="0" w:type="auto"/>
            <w:gridSpan w:val="3"/>
            <w:shd w:val="clear" w:color="auto" w:fill="auto"/>
            <w:vAlign w:val="bottom"/>
          </w:tcPr>
          <w:p w14:paraId="71D42FE1" w14:textId="77777777" w:rsidR="006A3667" w:rsidRDefault="006A3667">
            <w:pPr>
              <w:rPr>
                <w:rFonts w:ascii="宋体"/>
                <w:vanish/>
              </w:rPr>
            </w:pPr>
          </w:p>
        </w:tc>
        <w:tc>
          <w:tcPr>
            <w:tcW w:w="0" w:type="auto"/>
            <w:gridSpan w:val="3"/>
            <w:shd w:val="clear" w:color="auto" w:fill="auto"/>
            <w:vAlign w:val="bottom"/>
          </w:tcPr>
          <w:p w14:paraId="71D42FE2" w14:textId="77777777" w:rsidR="006A3667" w:rsidRDefault="006A3667">
            <w:pPr>
              <w:rPr>
                <w:rFonts w:ascii="宋体"/>
                <w:vanish/>
              </w:rPr>
            </w:pPr>
          </w:p>
        </w:tc>
        <w:tc>
          <w:tcPr>
            <w:tcW w:w="0" w:type="auto"/>
            <w:gridSpan w:val="3"/>
            <w:shd w:val="clear" w:color="auto" w:fill="auto"/>
            <w:vAlign w:val="bottom"/>
          </w:tcPr>
          <w:p w14:paraId="71D42FE3" w14:textId="77777777" w:rsidR="006A3667" w:rsidRDefault="006A3667">
            <w:pPr>
              <w:rPr>
                <w:rFonts w:ascii="宋体"/>
                <w:vanish/>
              </w:rPr>
            </w:pPr>
          </w:p>
        </w:tc>
        <w:tc>
          <w:tcPr>
            <w:tcW w:w="0" w:type="auto"/>
            <w:gridSpan w:val="3"/>
            <w:shd w:val="clear" w:color="auto" w:fill="auto"/>
            <w:vAlign w:val="bottom"/>
          </w:tcPr>
          <w:p w14:paraId="71D42FE4" w14:textId="77777777" w:rsidR="006A3667" w:rsidRDefault="006A3667">
            <w:pPr>
              <w:rPr>
                <w:rFonts w:ascii="宋体"/>
                <w:vanish/>
              </w:rPr>
            </w:pPr>
          </w:p>
        </w:tc>
        <w:tc>
          <w:tcPr>
            <w:tcW w:w="0" w:type="auto"/>
            <w:gridSpan w:val="3"/>
            <w:shd w:val="clear" w:color="auto" w:fill="auto"/>
            <w:vAlign w:val="bottom"/>
          </w:tcPr>
          <w:p w14:paraId="71D42FE5" w14:textId="77777777" w:rsidR="006A3667" w:rsidRDefault="006A3667">
            <w:pPr>
              <w:rPr>
                <w:rFonts w:ascii="宋体"/>
                <w:vanish/>
              </w:rPr>
            </w:pPr>
          </w:p>
        </w:tc>
        <w:tc>
          <w:tcPr>
            <w:tcW w:w="0" w:type="auto"/>
            <w:gridSpan w:val="3"/>
            <w:shd w:val="clear" w:color="auto" w:fill="auto"/>
            <w:vAlign w:val="bottom"/>
          </w:tcPr>
          <w:p w14:paraId="71D42FE6" w14:textId="77777777" w:rsidR="006A3667" w:rsidRDefault="006A3667">
            <w:pPr>
              <w:rPr>
                <w:rFonts w:ascii="宋体"/>
                <w:vanish/>
              </w:rPr>
            </w:pPr>
          </w:p>
        </w:tc>
        <w:tc>
          <w:tcPr>
            <w:tcW w:w="0" w:type="auto"/>
            <w:gridSpan w:val="3"/>
            <w:shd w:val="clear" w:color="auto" w:fill="auto"/>
            <w:vAlign w:val="bottom"/>
          </w:tcPr>
          <w:p w14:paraId="71D42FE7" w14:textId="77777777" w:rsidR="006A3667" w:rsidRDefault="006A3667">
            <w:pPr>
              <w:rPr>
                <w:rFonts w:ascii="宋体"/>
                <w:vanish/>
              </w:rPr>
            </w:pPr>
          </w:p>
        </w:tc>
      </w:tr>
      <w:tr w:rsidR="00045F32" w14:paraId="71D4300B" w14:textId="77777777">
        <w:trPr>
          <w:jc w:val="center"/>
        </w:trPr>
        <w:tc>
          <w:tcPr>
            <w:tcW w:w="0" w:type="auto"/>
            <w:gridSpan w:val="3"/>
            <w:shd w:val="clear" w:color="auto" w:fill="CCEEFF"/>
            <w:tcMar>
              <w:top w:w="40" w:type="dxa"/>
              <w:left w:w="20" w:type="dxa"/>
              <w:bottom w:w="40" w:type="dxa"/>
              <w:right w:w="20" w:type="dxa"/>
            </w:tcMar>
            <w:vAlign w:val="bottom"/>
          </w:tcPr>
          <w:p w14:paraId="71D42FE9" w14:textId="77777777" w:rsidR="006A3667" w:rsidRDefault="00045F32">
            <w:pPr>
              <w:textAlignment w:val="bottom"/>
            </w:pPr>
            <w:r>
              <w:rPr>
                <w:rFonts w:ascii="Arial" w:eastAsia="宋体" w:hAnsi="Arial" w:cs="Arial"/>
                <w:b/>
                <w:bCs/>
                <w:color w:val="000000"/>
                <w:sz w:val="15"/>
                <w:szCs w:val="15"/>
              </w:rPr>
              <w:t>Balance at September 30, 2022</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2FEA"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FEB" w14:textId="77777777" w:rsidR="006A3667" w:rsidRDefault="00045F32">
            <w:pPr>
              <w:jc w:val="right"/>
              <w:textAlignment w:val="bottom"/>
            </w:pPr>
            <w:r>
              <w:rPr>
                <w:rFonts w:ascii="Arial" w:eastAsia="宋体" w:hAnsi="Arial" w:cs="Arial"/>
                <w:b/>
                <w:bCs/>
                <w:color w:val="000000"/>
                <w:sz w:val="15"/>
                <w:szCs w:val="15"/>
              </w:rPr>
              <w:t>1,976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FE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FE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2FEE" w14:textId="77777777" w:rsidR="006A3667" w:rsidRDefault="00045F32">
            <w:pPr>
              <w:jc w:val="right"/>
              <w:textAlignment w:val="bottom"/>
            </w:pPr>
            <w:r>
              <w:rPr>
                <w:rFonts w:ascii="Arial" w:eastAsia="宋体" w:hAnsi="Arial" w:cs="Arial"/>
                <w:b/>
                <w:bCs/>
                <w:color w:val="000000"/>
                <w:sz w:val="15"/>
                <w:szCs w:val="15"/>
              </w:rPr>
              <w:t>503,880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F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FF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FF1"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FF2" w14:textId="77777777" w:rsidR="006A3667" w:rsidRDefault="00045F32">
            <w:pPr>
              <w:jc w:val="right"/>
              <w:textAlignment w:val="bottom"/>
            </w:pPr>
            <w:r>
              <w:rPr>
                <w:rFonts w:ascii="Arial" w:eastAsia="宋体" w:hAnsi="Arial" w:cs="Arial"/>
                <w:b/>
                <w:bCs/>
                <w:color w:val="000000"/>
                <w:sz w:val="15"/>
                <w:szCs w:val="15"/>
              </w:rPr>
              <w:t>504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FF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FF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FF5"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FF6" w14:textId="77777777" w:rsidR="006A3667" w:rsidRDefault="00045F32">
            <w:pPr>
              <w:jc w:val="right"/>
              <w:textAlignment w:val="bottom"/>
            </w:pPr>
            <w:r>
              <w:rPr>
                <w:rFonts w:ascii="Arial" w:eastAsia="宋体" w:hAnsi="Arial" w:cs="Arial"/>
                <w:b/>
                <w:bCs/>
                <w:color w:val="000000"/>
                <w:sz w:val="15"/>
                <w:szCs w:val="15"/>
              </w:rPr>
              <w:t>10,760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F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FF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FF9"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FFA" w14:textId="77777777" w:rsidR="006A3667" w:rsidRDefault="00045F32">
            <w:pPr>
              <w:jc w:val="right"/>
              <w:textAlignment w:val="bottom"/>
            </w:pPr>
            <w:r>
              <w:rPr>
                <w:rFonts w:ascii="Arial" w:eastAsia="宋体" w:hAnsi="Arial" w:cs="Arial"/>
                <w:b/>
                <w:bCs/>
                <w:color w:val="000000"/>
                <w:sz w:val="15"/>
                <w:szCs w:val="15"/>
              </w:rPr>
              <w:t>26,552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F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2FF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2FFD"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2FFE" w14:textId="77777777" w:rsidR="006A3667" w:rsidRDefault="00045F32">
            <w:pPr>
              <w:jc w:val="right"/>
              <w:textAlignment w:val="bottom"/>
            </w:pPr>
            <w:r>
              <w:rPr>
                <w:rFonts w:ascii="Arial" w:eastAsia="宋体" w:hAnsi="Arial" w:cs="Arial"/>
                <w:b/>
                <w:bCs/>
                <w:color w:val="000000"/>
                <w:sz w:val="15"/>
                <w:szCs w:val="15"/>
              </w:rPr>
              <w:t>(4,268)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2FF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0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001" w14:textId="77777777" w:rsidR="006A3667" w:rsidRDefault="00045F32">
            <w:pPr>
              <w:jc w:val="right"/>
              <w:textAlignment w:val="bottom"/>
            </w:pPr>
            <w:r>
              <w:rPr>
                <w:rFonts w:ascii="Arial" w:eastAsia="宋体" w:hAnsi="Arial" w:cs="Arial"/>
                <w:b/>
                <w:bCs/>
                <w:color w:val="000000"/>
                <w:sz w:val="15"/>
                <w:szCs w:val="15"/>
              </w:rPr>
              <w:t>135,912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0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0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004"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005" w14:textId="77777777" w:rsidR="006A3667" w:rsidRDefault="00045F32">
            <w:pPr>
              <w:jc w:val="right"/>
              <w:textAlignment w:val="bottom"/>
            </w:pPr>
            <w:r>
              <w:rPr>
                <w:rFonts w:ascii="Arial" w:eastAsia="宋体" w:hAnsi="Arial" w:cs="Arial"/>
                <w:b/>
                <w:bCs/>
                <w:color w:val="000000"/>
                <w:sz w:val="15"/>
                <w:szCs w:val="15"/>
              </w:rPr>
              <w:t>(9,876)</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0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0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008"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009" w14:textId="77777777" w:rsidR="006A3667" w:rsidRDefault="00045F32">
            <w:pPr>
              <w:jc w:val="right"/>
              <w:textAlignment w:val="bottom"/>
            </w:pPr>
            <w:r>
              <w:rPr>
                <w:rFonts w:ascii="Arial" w:eastAsia="宋体" w:hAnsi="Arial" w:cs="Arial"/>
                <w:b/>
                <w:bCs/>
                <w:color w:val="000000"/>
                <w:sz w:val="15"/>
                <w:szCs w:val="15"/>
              </w:rPr>
              <w:t>25,648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00A" w14:textId="77777777" w:rsidR="006A3667" w:rsidRDefault="006A3667">
            <w:pPr>
              <w:jc w:val="right"/>
              <w:rPr>
                <w:rFonts w:ascii="宋体"/>
              </w:rPr>
            </w:pPr>
          </w:p>
        </w:tc>
      </w:tr>
      <w:tr w:rsidR="006A3667" w14:paraId="71D4301E" w14:textId="77777777">
        <w:trPr>
          <w:trHeight w:val="220"/>
          <w:jc w:val="center"/>
        </w:trPr>
        <w:tc>
          <w:tcPr>
            <w:tcW w:w="0" w:type="auto"/>
            <w:gridSpan w:val="3"/>
            <w:shd w:val="clear" w:color="auto" w:fill="FFFFFF"/>
            <w:tcMar>
              <w:top w:w="0" w:type="dxa"/>
              <w:left w:w="20" w:type="dxa"/>
              <w:bottom w:w="0" w:type="dxa"/>
              <w:right w:w="20" w:type="dxa"/>
            </w:tcMar>
            <w:vAlign w:val="bottom"/>
          </w:tcPr>
          <w:p w14:paraId="71D4300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0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0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0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1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1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12"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1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1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1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16"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1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18"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1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1A"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1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1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01D" w14:textId="77777777" w:rsidR="006A3667" w:rsidRDefault="006A3667">
            <w:pPr>
              <w:rPr>
                <w:rFonts w:ascii="宋体"/>
              </w:rPr>
            </w:pPr>
          </w:p>
        </w:tc>
      </w:tr>
    </w:tbl>
    <w:p w14:paraId="71D4301F" w14:textId="77777777" w:rsidR="006A3667" w:rsidRDefault="006A3667">
      <w:pPr>
        <w:spacing w:before="90"/>
        <w:jc w:val="both"/>
      </w:pPr>
    </w:p>
    <w:p w14:paraId="71D43020" w14:textId="77777777" w:rsidR="006A3667" w:rsidRDefault="006A3667">
      <w:pPr>
        <w:spacing w:before="90"/>
        <w:jc w:val="both"/>
      </w:pPr>
    </w:p>
    <w:p w14:paraId="71D43021" w14:textId="77777777" w:rsidR="006A3667" w:rsidRDefault="006A3667">
      <w:pPr>
        <w:spacing w:before="90"/>
        <w:jc w:val="both"/>
      </w:pPr>
    </w:p>
    <w:p w14:paraId="71D43022" w14:textId="77777777" w:rsidR="006A3667" w:rsidRDefault="00045F32">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1D43023" w14:textId="77777777" w:rsidR="006A3667" w:rsidRDefault="00045F32">
      <w:pPr>
        <w:ind w:firstLine="450"/>
        <w:jc w:val="right"/>
      </w:pPr>
      <w:r>
        <w:rPr>
          <w:rFonts w:ascii="Arial" w:eastAsia="宋体" w:hAnsi="Arial" w:cs="Arial"/>
          <w:color w:val="000000"/>
          <w:sz w:val="18"/>
          <w:szCs w:val="18"/>
        </w:rPr>
        <w:t>State Street Corporation | 57</w:t>
      </w:r>
    </w:p>
    <w:p w14:paraId="71D43024" w14:textId="77777777" w:rsidR="006A3667" w:rsidRDefault="006A3667">
      <w:pPr>
        <w:ind w:firstLine="450"/>
        <w:jc w:val="center"/>
      </w:pPr>
    </w:p>
    <w:p w14:paraId="71D43025" w14:textId="77777777" w:rsidR="006A3667" w:rsidRDefault="00045F32">
      <w:r>
        <w:pict w14:anchorId="71D4AC4D">
          <v:rect id="_x0000_i1081" style="width:415.3pt;height:1.5pt" o:hralign="center" o:hrstd="t" o:hr="t" fillcolor="#a0a0a0" stroked="f"/>
        </w:pict>
      </w:r>
    </w:p>
    <w:p w14:paraId="71D43026" w14:textId="77777777" w:rsidR="006A3667" w:rsidRDefault="006A3667">
      <w:pPr>
        <w:ind w:firstLine="450"/>
      </w:pPr>
    </w:p>
    <w:p w14:paraId="71D43027" w14:textId="77777777" w:rsidR="006A3667" w:rsidRDefault="00045F32">
      <w:pPr>
        <w:ind w:firstLine="450"/>
        <w:jc w:val="center"/>
      </w:pPr>
      <w:r>
        <w:rPr>
          <w:rFonts w:ascii="Arial" w:eastAsia="宋体" w:hAnsi="Arial" w:cs="Arial"/>
          <w:b/>
          <w:bCs/>
          <w:color w:val="000000"/>
          <w:sz w:val="20"/>
          <w:szCs w:val="20"/>
        </w:rPr>
        <w:t>STATE STREET CORPORATION</w:t>
      </w:r>
    </w:p>
    <w:p w14:paraId="71D43028" w14:textId="77777777" w:rsidR="006A3667" w:rsidRDefault="00045F32">
      <w:pPr>
        <w:ind w:firstLine="450"/>
        <w:jc w:val="center"/>
      </w:pPr>
      <w:r>
        <w:rPr>
          <w:rFonts w:ascii="Arial" w:eastAsia="宋体" w:hAnsi="Arial" w:cs="Arial"/>
          <w:b/>
          <w:bCs/>
          <w:color w:val="000000"/>
          <w:sz w:val="20"/>
          <w:szCs w:val="20"/>
        </w:rPr>
        <w:t xml:space="preserve">CONSOLIDATED STATEMENT OF CASH FLOWS </w:t>
      </w:r>
    </w:p>
    <w:p w14:paraId="71D43029" w14:textId="77777777" w:rsidR="006A3667" w:rsidRDefault="00045F32">
      <w:pPr>
        <w:ind w:firstLine="450"/>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39"/>
        <w:gridCol w:w="40"/>
        <w:gridCol w:w="105"/>
        <w:gridCol w:w="976"/>
        <w:gridCol w:w="36"/>
        <w:gridCol w:w="36"/>
        <w:gridCol w:w="36"/>
        <w:gridCol w:w="36"/>
        <w:gridCol w:w="105"/>
        <w:gridCol w:w="932"/>
        <w:gridCol w:w="36"/>
        <w:gridCol w:w="36"/>
        <w:gridCol w:w="36"/>
        <w:gridCol w:w="36"/>
        <w:gridCol w:w="36"/>
        <w:gridCol w:w="36"/>
        <w:gridCol w:w="36"/>
      </w:tblGrid>
      <w:tr w:rsidR="006A3667" w14:paraId="71D43038" w14:textId="77777777">
        <w:trPr>
          <w:jc w:val="center"/>
        </w:trPr>
        <w:tc>
          <w:tcPr>
            <w:tcW w:w="50" w:type="pct"/>
            <w:shd w:val="clear" w:color="auto" w:fill="auto"/>
            <w:vAlign w:val="bottom"/>
          </w:tcPr>
          <w:p w14:paraId="71D4302A" w14:textId="77777777" w:rsidR="006A3667" w:rsidRDefault="006A3667">
            <w:pPr>
              <w:rPr>
                <w:rFonts w:ascii="宋体"/>
              </w:rPr>
            </w:pPr>
          </w:p>
        </w:tc>
        <w:tc>
          <w:tcPr>
            <w:tcW w:w="3556" w:type="pct"/>
            <w:shd w:val="clear" w:color="auto" w:fill="auto"/>
            <w:vAlign w:val="bottom"/>
          </w:tcPr>
          <w:p w14:paraId="71D4302B" w14:textId="77777777" w:rsidR="006A3667" w:rsidRDefault="006A3667">
            <w:pPr>
              <w:rPr>
                <w:rFonts w:ascii="宋体"/>
              </w:rPr>
            </w:pPr>
          </w:p>
        </w:tc>
        <w:tc>
          <w:tcPr>
            <w:tcW w:w="5" w:type="pct"/>
            <w:shd w:val="clear" w:color="auto" w:fill="auto"/>
            <w:vAlign w:val="bottom"/>
          </w:tcPr>
          <w:p w14:paraId="71D4302C" w14:textId="77777777" w:rsidR="006A3667" w:rsidRDefault="006A3667">
            <w:pPr>
              <w:rPr>
                <w:rFonts w:ascii="宋体"/>
              </w:rPr>
            </w:pPr>
          </w:p>
        </w:tc>
        <w:tc>
          <w:tcPr>
            <w:tcW w:w="50" w:type="pct"/>
            <w:shd w:val="clear" w:color="auto" w:fill="auto"/>
            <w:vAlign w:val="bottom"/>
          </w:tcPr>
          <w:p w14:paraId="71D4302D" w14:textId="77777777" w:rsidR="006A3667" w:rsidRDefault="006A3667">
            <w:pPr>
              <w:rPr>
                <w:rFonts w:ascii="宋体"/>
              </w:rPr>
            </w:pPr>
          </w:p>
        </w:tc>
        <w:tc>
          <w:tcPr>
            <w:tcW w:w="624" w:type="pct"/>
            <w:shd w:val="clear" w:color="auto" w:fill="auto"/>
            <w:vAlign w:val="bottom"/>
          </w:tcPr>
          <w:p w14:paraId="71D4302E" w14:textId="77777777" w:rsidR="006A3667" w:rsidRDefault="006A3667">
            <w:pPr>
              <w:rPr>
                <w:rFonts w:ascii="宋体"/>
              </w:rPr>
            </w:pPr>
          </w:p>
        </w:tc>
        <w:tc>
          <w:tcPr>
            <w:tcW w:w="5" w:type="pct"/>
            <w:shd w:val="clear" w:color="auto" w:fill="auto"/>
            <w:vAlign w:val="bottom"/>
          </w:tcPr>
          <w:p w14:paraId="71D4302F" w14:textId="77777777" w:rsidR="006A3667" w:rsidRDefault="006A3667">
            <w:pPr>
              <w:rPr>
                <w:rFonts w:ascii="宋体"/>
              </w:rPr>
            </w:pPr>
          </w:p>
        </w:tc>
        <w:tc>
          <w:tcPr>
            <w:tcW w:w="5" w:type="pct"/>
            <w:shd w:val="clear" w:color="auto" w:fill="auto"/>
            <w:vAlign w:val="bottom"/>
          </w:tcPr>
          <w:p w14:paraId="71D43030" w14:textId="77777777" w:rsidR="006A3667" w:rsidRDefault="006A3667">
            <w:pPr>
              <w:rPr>
                <w:rFonts w:ascii="宋体"/>
              </w:rPr>
            </w:pPr>
          </w:p>
        </w:tc>
        <w:tc>
          <w:tcPr>
            <w:tcW w:w="26" w:type="pct"/>
            <w:shd w:val="clear" w:color="auto" w:fill="auto"/>
            <w:vAlign w:val="bottom"/>
          </w:tcPr>
          <w:p w14:paraId="71D43031" w14:textId="77777777" w:rsidR="006A3667" w:rsidRDefault="006A3667">
            <w:pPr>
              <w:rPr>
                <w:rFonts w:ascii="宋体"/>
              </w:rPr>
            </w:pPr>
          </w:p>
        </w:tc>
        <w:tc>
          <w:tcPr>
            <w:tcW w:w="5" w:type="pct"/>
            <w:shd w:val="clear" w:color="auto" w:fill="auto"/>
            <w:vAlign w:val="bottom"/>
          </w:tcPr>
          <w:p w14:paraId="71D43032" w14:textId="77777777" w:rsidR="006A3667" w:rsidRDefault="006A3667">
            <w:pPr>
              <w:rPr>
                <w:rFonts w:ascii="宋体"/>
              </w:rPr>
            </w:pPr>
          </w:p>
        </w:tc>
        <w:tc>
          <w:tcPr>
            <w:tcW w:w="50" w:type="pct"/>
            <w:shd w:val="clear" w:color="auto" w:fill="auto"/>
            <w:vAlign w:val="bottom"/>
          </w:tcPr>
          <w:p w14:paraId="71D43033" w14:textId="77777777" w:rsidR="006A3667" w:rsidRDefault="006A3667">
            <w:pPr>
              <w:rPr>
                <w:rFonts w:ascii="宋体"/>
              </w:rPr>
            </w:pPr>
          </w:p>
        </w:tc>
        <w:tc>
          <w:tcPr>
            <w:tcW w:w="617" w:type="pct"/>
            <w:shd w:val="clear" w:color="auto" w:fill="auto"/>
            <w:vAlign w:val="bottom"/>
          </w:tcPr>
          <w:p w14:paraId="71D43034" w14:textId="77777777" w:rsidR="006A3667" w:rsidRDefault="006A3667">
            <w:pPr>
              <w:rPr>
                <w:rFonts w:ascii="宋体"/>
              </w:rPr>
            </w:pPr>
          </w:p>
        </w:tc>
        <w:tc>
          <w:tcPr>
            <w:tcW w:w="5" w:type="pct"/>
            <w:shd w:val="clear" w:color="auto" w:fill="auto"/>
            <w:vAlign w:val="bottom"/>
          </w:tcPr>
          <w:p w14:paraId="71D43035" w14:textId="77777777" w:rsidR="006A3667" w:rsidRDefault="006A3667">
            <w:pPr>
              <w:rPr>
                <w:rFonts w:ascii="宋体"/>
              </w:rPr>
            </w:pPr>
          </w:p>
        </w:tc>
        <w:tc>
          <w:tcPr>
            <w:tcW w:w="0" w:type="auto"/>
            <w:gridSpan w:val="3"/>
            <w:shd w:val="clear" w:color="auto" w:fill="auto"/>
            <w:vAlign w:val="bottom"/>
          </w:tcPr>
          <w:p w14:paraId="71D43036" w14:textId="77777777" w:rsidR="006A3667" w:rsidRDefault="006A3667">
            <w:pPr>
              <w:rPr>
                <w:rFonts w:ascii="宋体"/>
                <w:vanish/>
              </w:rPr>
            </w:pPr>
          </w:p>
        </w:tc>
        <w:tc>
          <w:tcPr>
            <w:tcW w:w="0" w:type="auto"/>
            <w:gridSpan w:val="3"/>
            <w:shd w:val="clear" w:color="auto" w:fill="auto"/>
            <w:vAlign w:val="bottom"/>
          </w:tcPr>
          <w:p w14:paraId="71D43037" w14:textId="77777777" w:rsidR="006A3667" w:rsidRDefault="006A3667">
            <w:pPr>
              <w:rPr>
                <w:rFonts w:ascii="宋体"/>
                <w:vanish/>
              </w:rPr>
            </w:pPr>
          </w:p>
        </w:tc>
      </w:tr>
      <w:tr w:rsidR="006A3667" w14:paraId="71D43041" w14:textId="77777777">
        <w:trPr>
          <w:jc w:val="center"/>
        </w:trPr>
        <w:tc>
          <w:tcPr>
            <w:tcW w:w="0" w:type="auto"/>
            <w:gridSpan w:val="3"/>
            <w:shd w:val="clear" w:color="auto" w:fill="auto"/>
            <w:tcMar>
              <w:top w:w="0" w:type="dxa"/>
              <w:left w:w="20" w:type="dxa"/>
              <w:bottom w:w="0" w:type="dxa"/>
              <w:right w:w="20" w:type="dxa"/>
            </w:tcMar>
            <w:vAlign w:val="bottom"/>
          </w:tcPr>
          <w:p w14:paraId="71D43039"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303A" w14:textId="77777777" w:rsidR="006A3667" w:rsidRDefault="00045F32">
            <w:pPr>
              <w:jc w:val="center"/>
              <w:textAlignment w:val="bottom"/>
            </w:pPr>
            <w:r>
              <w:rPr>
                <w:rFonts w:ascii="Arial" w:eastAsia="宋体" w:hAnsi="Arial" w:cs="Arial"/>
                <w:b/>
                <w:bCs/>
                <w:color w:val="000000"/>
                <w:sz w:val="15"/>
                <w:szCs w:val="15"/>
              </w:rPr>
              <w:t xml:space="preserve">Nine Months Ended </w:t>
            </w:r>
            <w:r>
              <w:rPr>
                <w:rFonts w:ascii="Arial" w:eastAsia="宋体" w:hAnsi="Arial" w:cs="Arial"/>
                <w:b/>
                <w:bCs/>
                <w:color w:val="000000"/>
                <w:sz w:val="15"/>
                <w:szCs w:val="15"/>
              </w:rPr>
              <w:t>September 30,</w:t>
            </w:r>
          </w:p>
        </w:tc>
        <w:tc>
          <w:tcPr>
            <w:tcW w:w="0" w:type="auto"/>
            <w:shd w:val="clear" w:color="auto" w:fill="auto"/>
            <w:vAlign w:val="bottom"/>
          </w:tcPr>
          <w:p w14:paraId="71D4303B" w14:textId="77777777" w:rsidR="006A3667" w:rsidRDefault="006A3667">
            <w:pPr>
              <w:rPr>
                <w:rFonts w:ascii="宋体"/>
              </w:rPr>
            </w:pPr>
          </w:p>
        </w:tc>
        <w:tc>
          <w:tcPr>
            <w:tcW w:w="0" w:type="auto"/>
            <w:shd w:val="clear" w:color="auto" w:fill="auto"/>
            <w:vAlign w:val="bottom"/>
          </w:tcPr>
          <w:p w14:paraId="71D4303C" w14:textId="77777777" w:rsidR="006A3667" w:rsidRDefault="006A3667">
            <w:pPr>
              <w:rPr>
                <w:rFonts w:ascii="宋体"/>
              </w:rPr>
            </w:pPr>
          </w:p>
        </w:tc>
        <w:tc>
          <w:tcPr>
            <w:tcW w:w="0" w:type="auto"/>
            <w:shd w:val="clear" w:color="auto" w:fill="auto"/>
            <w:vAlign w:val="bottom"/>
          </w:tcPr>
          <w:p w14:paraId="71D4303D" w14:textId="77777777" w:rsidR="006A3667" w:rsidRDefault="006A3667">
            <w:pPr>
              <w:rPr>
                <w:rFonts w:ascii="宋体"/>
              </w:rPr>
            </w:pPr>
          </w:p>
        </w:tc>
        <w:tc>
          <w:tcPr>
            <w:tcW w:w="0" w:type="auto"/>
            <w:shd w:val="clear" w:color="auto" w:fill="auto"/>
            <w:vAlign w:val="bottom"/>
          </w:tcPr>
          <w:p w14:paraId="71D4303E" w14:textId="77777777" w:rsidR="006A3667" w:rsidRDefault="006A3667">
            <w:pPr>
              <w:rPr>
                <w:rFonts w:ascii="宋体"/>
              </w:rPr>
            </w:pPr>
          </w:p>
        </w:tc>
        <w:tc>
          <w:tcPr>
            <w:tcW w:w="0" w:type="auto"/>
            <w:shd w:val="clear" w:color="auto" w:fill="auto"/>
            <w:vAlign w:val="bottom"/>
          </w:tcPr>
          <w:p w14:paraId="71D4303F" w14:textId="77777777" w:rsidR="006A3667" w:rsidRDefault="006A3667">
            <w:pPr>
              <w:rPr>
                <w:rFonts w:ascii="宋体"/>
              </w:rPr>
            </w:pPr>
          </w:p>
        </w:tc>
        <w:tc>
          <w:tcPr>
            <w:tcW w:w="0" w:type="auto"/>
            <w:shd w:val="clear" w:color="auto" w:fill="auto"/>
            <w:vAlign w:val="bottom"/>
          </w:tcPr>
          <w:p w14:paraId="71D43040" w14:textId="77777777" w:rsidR="006A3667" w:rsidRDefault="006A3667">
            <w:pPr>
              <w:rPr>
                <w:rFonts w:ascii="宋体"/>
              </w:rPr>
            </w:pPr>
          </w:p>
        </w:tc>
      </w:tr>
      <w:tr w:rsidR="006A3667" w14:paraId="71D43048" w14:textId="77777777">
        <w:trPr>
          <w:jc w:val="center"/>
        </w:trPr>
        <w:tc>
          <w:tcPr>
            <w:tcW w:w="0" w:type="auto"/>
            <w:gridSpan w:val="3"/>
            <w:shd w:val="clear" w:color="auto" w:fill="auto"/>
            <w:tcMar>
              <w:top w:w="40" w:type="dxa"/>
              <w:left w:w="20" w:type="dxa"/>
              <w:bottom w:w="40" w:type="dxa"/>
              <w:right w:w="20" w:type="dxa"/>
            </w:tcMar>
            <w:vAlign w:val="bottom"/>
          </w:tcPr>
          <w:p w14:paraId="71D43042" w14:textId="77777777" w:rsidR="006A3667" w:rsidRDefault="00045F32">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043"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04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045" w14:textId="77777777" w:rsidR="006A3667" w:rsidRDefault="00045F32">
            <w:pPr>
              <w:jc w:val="center"/>
              <w:textAlignment w:val="bottom"/>
            </w:pPr>
            <w:r>
              <w:rPr>
                <w:rFonts w:ascii="Arial" w:eastAsia="宋体" w:hAnsi="Arial" w:cs="Arial"/>
                <w:b/>
                <w:bCs/>
                <w:color w:val="000000"/>
                <w:sz w:val="15"/>
                <w:szCs w:val="15"/>
              </w:rPr>
              <w:t>2021</w:t>
            </w:r>
          </w:p>
        </w:tc>
        <w:tc>
          <w:tcPr>
            <w:tcW w:w="0" w:type="auto"/>
            <w:gridSpan w:val="3"/>
            <w:shd w:val="clear" w:color="auto" w:fill="auto"/>
            <w:vAlign w:val="bottom"/>
          </w:tcPr>
          <w:p w14:paraId="71D43046" w14:textId="77777777" w:rsidR="006A3667" w:rsidRDefault="006A3667">
            <w:pPr>
              <w:rPr>
                <w:rFonts w:ascii="宋体"/>
                <w:vanish/>
              </w:rPr>
            </w:pPr>
          </w:p>
        </w:tc>
        <w:tc>
          <w:tcPr>
            <w:tcW w:w="0" w:type="auto"/>
            <w:gridSpan w:val="3"/>
            <w:shd w:val="clear" w:color="auto" w:fill="auto"/>
            <w:vAlign w:val="bottom"/>
          </w:tcPr>
          <w:p w14:paraId="71D43047" w14:textId="77777777" w:rsidR="006A3667" w:rsidRDefault="006A3667">
            <w:pPr>
              <w:rPr>
                <w:rFonts w:ascii="宋体"/>
                <w:vanish/>
              </w:rPr>
            </w:pPr>
          </w:p>
        </w:tc>
      </w:tr>
      <w:tr w:rsidR="006A3667" w14:paraId="71D4304F" w14:textId="77777777">
        <w:trPr>
          <w:jc w:val="center"/>
        </w:trPr>
        <w:tc>
          <w:tcPr>
            <w:tcW w:w="0" w:type="auto"/>
            <w:gridSpan w:val="3"/>
            <w:shd w:val="clear" w:color="auto" w:fill="auto"/>
            <w:tcMar>
              <w:top w:w="40" w:type="dxa"/>
              <w:left w:w="20" w:type="dxa"/>
              <w:bottom w:w="40" w:type="dxa"/>
              <w:right w:w="20" w:type="dxa"/>
            </w:tcMar>
            <w:vAlign w:val="bottom"/>
          </w:tcPr>
          <w:p w14:paraId="71D43049" w14:textId="77777777" w:rsidR="006A3667" w:rsidRDefault="00045F32">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04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04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04C" w14:textId="77777777" w:rsidR="006A3667" w:rsidRDefault="006A3667">
            <w:pPr>
              <w:rPr>
                <w:rFonts w:ascii="宋体"/>
              </w:rPr>
            </w:pPr>
          </w:p>
        </w:tc>
        <w:tc>
          <w:tcPr>
            <w:tcW w:w="0" w:type="auto"/>
            <w:gridSpan w:val="3"/>
            <w:shd w:val="clear" w:color="auto" w:fill="auto"/>
            <w:vAlign w:val="bottom"/>
          </w:tcPr>
          <w:p w14:paraId="71D4304D" w14:textId="77777777" w:rsidR="006A3667" w:rsidRDefault="006A3667">
            <w:pPr>
              <w:rPr>
                <w:rFonts w:ascii="宋体"/>
                <w:vanish/>
              </w:rPr>
            </w:pPr>
          </w:p>
        </w:tc>
        <w:tc>
          <w:tcPr>
            <w:tcW w:w="0" w:type="auto"/>
            <w:gridSpan w:val="3"/>
            <w:shd w:val="clear" w:color="auto" w:fill="auto"/>
            <w:vAlign w:val="bottom"/>
          </w:tcPr>
          <w:p w14:paraId="71D4304E" w14:textId="77777777" w:rsidR="006A3667" w:rsidRDefault="006A3667">
            <w:pPr>
              <w:rPr>
                <w:rFonts w:ascii="宋体"/>
                <w:vanish/>
              </w:rPr>
            </w:pPr>
          </w:p>
        </w:tc>
      </w:tr>
      <w:tr w:rsidR="006A3667" w14:paraId="71D4305A" w14:textId="77777777">
        <w:trPr>
          <w:jc w:val="center"/>
        </w:trPr>
        <w:tc>
          <w:tcPr>
            <w:tcW w:w="0" w:type="auto"/>
            <w:gridSpan w:val="3"/>
            <w:shd w:val="clear" w:color="auto" w:fill="CCEEFF"/>
            <w:tcMar>
              <w:top w:w="40" w:type="dxa"/>
              <w:left w:w="20" w:type="dxa"/>
              <w:bottom w:w="40" w:type="dxa"/>
              <w:right w:w="20" w:type="dxa"/>
            </w:tcMar>
            <w:vAlign w:val="bottom"/>
          </w:tcPr>
          <w:p w14:paraId="71D43050" w14:textId="77777777" w:rsidR="006A3667" w:rsidRDefault="00045F32">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right w:w="0" w:type="dxa"/>
            </w:tcMar>
            <w:vAlign w:val="bottom"/>
          </w:tcPr>
          <w:p w14:paraId="71D43051"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3052" w14:textId="77777777" w:rsidR="006A3667" w:rsidRDefault="00045F32">
            <w:pPr>
              <w:jc w:val="right"/>
              <w:textAlignment w:val="bottom"/>
            </w:pPr>
            <w:r>
              <w:rPr>
                <w:rFonts w:ascii="Arial" w:eastAsia="宋体" w:hAnsi="Arial" w:cs="Arial"/>
                <w:b/>
                <w:bCs/>
                <w:color w:val="000000"/>
                <w:sz w:val="15"/>
                <w:szCs w:val="15"/>
              </w:rPr>
              <w:t>2,041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05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5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055"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3056" w14:textId="77777777" w:rsidR="006A3667" w:rsidRDefault="00045F32">
            <w:pPr>
              <w:jc w:val="right"/>
              <w:textAlignment w:val="bottom"/>
            </w:pPr>
            <w:r>
              <w:rPr>
                <w:rFonts w:ascii="Arial" w:eastAsia="宋体" w:hAnsi="Arial" w:cs="Arial"/>
                <w:color w:val="000000"/>
                <w:sz w:val="15"/>
                <w:szCs w:val="15"/>
              </w:rPr>
              <w:t>1,996 </w:t>
            </w:r>
          </w:p>
        </w:tc>
        <w:tc>
          <w:tcPr>
            <w:tcW w:w="0" w:type="auto"/>
            <w:shd w:val="clear" w:color="auto" w:fill="CCEEFF"/>
            <w:tcMar>
              <w:top w:w="40" w:type="dxa"/>
              <w:left w:w="0" w:type="dxa"/>
              <w:bottom w:w="40" w:type="dxa"/>
              <w:right w:w="20" w:type="dxa"/>
            </w:tcMar>
            <w:vAlign w:val="bottom"/>
          </w:tcPr>
          <w:p w14:paraId="71D43057" w14:textId="77777777" w:rsidR="006A3667" w:rsidRDefault="006A3667">
            <w:pPr>
              <w:jc w:val="right"/>
              <w:rPr>
                <w:rFonts w:ascii="宋体"/>
              </w:rPr>
            </w:pPr>
          </w:p>
        </w:tc>
        <w:tc>
          <w:tcPr>
            <w:tcW w:w="0" w:type="auto"/>
            <w:gridSpan w:val="3"/>
            <w:shd w:val="clear" w:color="auto" w:fill="auto"/>
            <w:vAlign w:val="bottom"/>
          </w:tcPr>
          <w:p w14:paraId="71D43058" w14:textId="77777777" w:rsidR="006A3667" w:rsidRDefault="006A3667">
            <w:pPr>
              <w:rPr>
                <w:rFonts w:ascii="宋体"/>
                <w:vanish/>
              </w:rPr>
            </w:pPr>
          </w:p>
        </w:tc>
        <w:tc>
          <w:tcPr>
            <w:tcW w:w="0" w:type="auto"/>
            <w:gridSpan w:val="3"/>
            <w:shd w:val="clear" w:color="auto" w:fill="auto"/>
            <w:vAlign w:val="bottom"/>
          </w:tcPr>
          <w:p w14:paraId="71D43059" w14:textId="77777777" w:rsidR="006A3667" w:rsidRDefault="006A3667">
            <w:pPr>
              <w:rPr>
                <w:rFonts w:ascii="宋体"/>
                <w:vanish/>
              </w:rPr>
            </w:pPr>
          </w:p>
        </w:tc>
      </w:tr>
      <w:tr w:rsidR="006A3667" w14:paraId="71D43061" w14:textId="77777777">
        <w:trPr>
          <w:jc w:val="center"/>
        </w:trPr>
        <w:tc>
          <w:tcPr>
            <w:tcW w:w="0" w:type="auto"/>
            <w:gridSpan w:val="3"/>
            <w:shd w:val="clear" w:color="auto" w:fill="FFFFFF"/>
            <w:tcMar>
              <w:top w:w="40" w:type="dxa"/>
              <w:left w:w="20" w:type="dxa"/>
              <w:bottom w:w="40" w:type="dxa"/>
              <w:right w:w="20" w:type="dxa"/>
            </w:tcMar>
            <w:vAlign w:val="bottom"/>
          </w:tcPr>
          <w:p w14:paraId="71D4305B" w14:textId="77777777" w:rsidR="006A3667" w:rsidRDefault="00045F32">
            <w:pPr>
              <w:textAlignment w:val="bottom"/>
            </w:pPr>
            <w:r>
              <w:rPr>
                <w:rFonts w:ascii="Arial" w:eastAsia="宋体" w:hAnsi="Arial" w:cs="Arial"/>
                <w:color w:val="000000"/>
                <w:sz w:val="15"/>
                <w:szCs w:val="15"/>
              </w:rPr>
              <w:t>Adjustments to reconcile net income to net cash provided by operating activities:</w:t>
            </w:r>
          </w:p>
        </w:tc>
        <w:tc>
          <w:tcPr>
            <w:tcW w:w="0" w:type="auto"/>
            <w:gridSpan w:val="3"/>
            <w:shd w:val="clear" w:color="auto" w:fill="FFFFFF"/>
            <w:tcMar>
              <w:top w:w="0" w:type="dxa"/>
              <w:left w:w="20" w:type="dxa"/>
              <w:bottom w:w="0" w:type="dxa"/>
              <w:right w:w="20" w:type="dxa"/>
            </w:tcMar>
            <w:vAlign w:val="bottom"/>
          </w:tcPr>
          <w:p w14:paraId="71D4305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5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5E" w14:textId="77777777" w:rsidR="006A3667" w:rsidRDefault="006A3667">
            <w:pPr>
              <w:rPr>
                <w:rFonts w:ascii="宋体"/>
              </w:rPr>
            </w:pPr>
          </w:p>
        </w:tc>
        <w:tc>
          <w:tcPr>
            <w:tcW w:w="0" w:type="auto"/>
            <w:gridSpan w:val="3"/>
            <w:shd w:val="clear" w:color="auto" w:fill="auto"/>
            <w:vAlign w:val="bottom"/>
          </w:tcPr>
          <w:p w14:paraId="71D4305F" w14:textId="77777777" w:rsidR="006A3667" w:rsidRDefault="006A3667">
            <w:pPr>
              <w:rPr>
                <w:rFonts w:ascii="宋体"/>
                <w:vanish/>
              </w:rPr>
            </w:pPr>
          </w:p>
        </w:tc>
        <w:tc>
          <w:tcPr>
            <w:tcW w:w="0" w:type="auto"/>
            <w:gridSpan w:val="3"/>
            <w:shd w:val="clear" w:color="auto" w:fill="auto"/>
            <w:vAlign w:val="bottom"/>
          </w:tcPr>
          <w:p w14:paraId="71D43060" w14:textId="77777777" w:rsidR="006A3667" w:rsidRDefault="006A3667">
            <w:pPr>
              <w:rPr>
                <w:rFonts w:ascii="宋体"/>
                <w:vanish/>
              </w:rPr>
            </w:pPr>
          </w:p>
        </w:tc>
      </w:tr>
      <w:tr w:rsidR="006A3667" w14:paraId="71D4306A" w14:textId="77777777">
        <w:trPr>
          <w:jc w:val="center"/>
        </w:trPr>
        <w:tc>
          <w:tcPr>
            <w:tcW w:w="0" w:type="auto"/>
            <w:gridSpan w:val="3"/>
            <w:shd w:val="clear" w:color="auto" w:fill="CCEEFF"/>
            <w:tcMar>
              <w:top w:w="40" w:type="dxa"/>
              <w:left w:w="20" w:type="dxa"/>
              <w:bottom w:w="40" w:type="dxa"/>
              <w:right w:w="20" w:type="dxa"/>
            </w:tcMar>
            <w:vAlign w:val="bottom"/>
          </w:tcPr>
          <w:p w14:paraId="71D43062" w14:textId="77777777" w:rsidR="006A3667" w:rsidRDefault="00045F32">
            <w:pPr>
              <w:textAlignment w:val="bottom"/>
            </w:pPr>
            <w:r>
              <w:rPr>
                <w:rFonts w:ascii="Arial" w:eastAsia="宋体" w:hAnsi="Arial" w:cs="Arial"/>
                <w:color w:val="000000"/>
                <w:sz w:val="15"/>
                <w:szCs w:val="15"/>
              </w:rPr>
              <w:t>Deferred income tax (benefit)</w:t>
            </w:r>
          </w:p>
        </w:tc>
        <w:tc>
          <w:tcPr>
            <w:tcW w:w="0" w:type="auto"/>
            <w:gridSpan w:val="2"/>
            <w:shd w:val="clear" w:color="auto" w:fill="CCEEFF"/>
            <w:tcMar>
              <w:top w:w="40" w:type="dxa"/>
              <w:left w:w="20" w:type="dxa"/>
              <w:bottom w:w="40" w:type="dxa"/>
              <w:right w:w="0" w:type="dxa"/>
            </w:tcMar>
            <w:vAlign w:val="bottom"/>
          </w:tcPr>
          <w:p w14:paraId="71D43063" w14:textId="77777777" w:rsidR="006A3667" w:rsidRDefault="00045F32">
            <w:pPr>
              <w:jc w:val="right"/>
              <w:textAlignment w:val="bottom"/>
            </w:pPr>
            <w:r>
              <w:rPr>
                <w:rFonts w:ascii="Arial" w:eastAsia="宋体" w:hAnsi="Arial" w:cs="Arial"/>
                <w:b/>
                <w:bCs/>
                <w:color w:val="000000"/>
                <w:sz w:val="15"/>
                <w:szCs w:val="15"/>
              </w:rPr>
              <w:t>(6)</w:t>
            </w:r>
          </w:p>
        </w:tc>
        <w:tc>
          <w:tcPr>
            <w:tcW w:w="0" w:type="auto"/>
            <w:shd w:val="clear" w:color="auto" w:fill="CCEEFF"/>
            <w:tcMar>
              <w:top w:w="40" w:type="dxa"/>
              <w:left w:w="0" w:type="dxa"/>
              <w:bottom w:w="40" w:type="dxa"/>
              <w:right w:w="20" w:type="dxa"/>
            </w:tcMar>
            <w:vAlign w:val="bottom"/>
          </w:tcPr>
          <w:p w14:paraId="71D4306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6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066" w14:textId="77777777" w:rsidR="006A3667" w:rsidRDefault="00045F32">
            <w:pPr>
              <w:jc w:val="right"/>
              <w:textAlignment w:val="bottom"/>
            </w:pPr>
            <w:r>
              <w:rPr>
                <w:rFonts w:ascii="Arial" w:eastAsia="宋体" w:hAnsi="Arial" w:cs="Arial"/>
                <w:color w:val="000000"/>
                <w:sz w:val="15"/>
                <w:szCs w:val="15"/>
              </w:rPr>
              <w:t>(52)</w:t>
            </w:r>
          </w:p>
        </w:tc>
        <w:tc>
          <w:tcPr>
            <w:tcW w:w="0" w:type="auto"/>
            <w:shd w:val="clear" w:color="auto" w:fill="CCEEFF"/>
            <w:tcMar>
              <w:top w:w="40" w:type="dxa"/>
              <w:left w:w="0" w:type="dxa"/>
              <w:bottom w:w="40" w:type="dxa"/>
              <w:right w:w="20" w:type="dxa"/>
            </w:tcMar>
            <w:vAlign w:val="bottom"/>
          </w:tcPr>
          <w:p w14:paraId="71D43067" w14:textId="77777777" w:rsidR="006A3667" w:rsidRDefault="006A3667">
            <w:pPr>
              <w:jc w:val="right"/>
              <w:rPr>
                <w:rFonts w:ascii="宋体"/>
              </w:rPr>
            </w:pPr>
          </w:p>
        </w:tc>
        <w:tc>
          <w:tcPr>
            <w:tcW w:w="0" w:type="auto"/>
            <w:gridSpan w:val="3"/>
            <w:shd w:val="clear" w:color="auto" w:fill="auto"/>
            <w:vAlign w:val="bottom"/>
          </w:tcPr>
          <w:p w14:paraId="71D43068" w14:textId="77777777" w:rsidR="006A3667" w:rsidRDefault="006A3667">
            <w:pPr>
              <w:rPr>
                <w:rFonts w:ascii="宋体"/>
                <w:vanish/>
              </w:rPr>
            </w:pPr>
          </w:p>
        </w:tc>
        <w:tc>
          <w:tcPr>
            <w:tcW w:w="0" w:type="auto"/>
            <w:gridSpan w:val="3"/>
            <w:shd w:val="clear" w:color="auto" w:fill="auto"/>
            <w:vAlign w:val="bottom"/>
          </w:tcPr>
          <w:p w14:paraId="71D43069" w14:textId="77777777" w:rsidR="006A3667" w:rsidRDefault="006A3667">
            <w:pPr>
              <w:rPr>
                <w:rFonts w:ascii="宋体"/>
                <w:vanish/>
              </w:rPr>
            </w:pPr>
          </w:p>
        </w:tc>
      </w:tr>
      <w:tr w:rsidR="006A3667" w14:paraId="71D43073" w14:textId="77777777">
        <w:trPr>
          <w:jc w:val="center"/>
        </w:trPr>
        <w:tc>
          <w:tcPr>
            <w:tcW w:w="0" w:type="auto"/>
            <w:gridSpan w:val="3"/>
            <w:shd w:val="clear" w:color="auto" w:fill="FFFFFF"/>
            <w:tcMar>
              <w:top w:w="40" w:type="dxa"/>
              <w:left w:w="20" w:type="dxa"/>
              <w:bottom w:w="40" w:type="dxa"/>
              <w:right w:w="20" w:type="dxa"/>
            </w:tcMar>
            <w:vAlign w:val="bottom"/>
          </w:tcPr>
          <w:p w14:paraId="71D4306B" w14:textId="77777777" w:rsidR="006A3667" w:rsidRDefault="00045F32">
            <w:pPr>
              <w:textAlignment w:val="bottom"/>
            </w:pPr>
            <w:r>
              <w:rPr>
                <w:rFonts w:ascii="Arial" w:eastAsia="宋体" w:hAnsi="Arial" w:cs="Arial"/>
                <w:color w:val="000000"/>
                <w:sz w:val="15"/>
                <w:szCs w:val="15"/>
              </w:rPr>
              <w:t>Amortization of other intangible assets</w:t>
            </w:r>
          </w:p>
        </w:tc>
        <w:tc>
          <w:tcPr>
            <w:tcW w:w="0" w:type="auto"/>
            <w:gridSpan w:val="2"/>
            <w:shd w:val="clear" w:color="auto" w:fill="FFFFFF"/>
            <w:tcMar>
              <w:top w:w="40" w:type="dxa"/>
              <w:left w:w="20" w:type="dxa"/>
              <w:bottom w:w="40" w:type="dxa"/>
              <w:right w:w="0" w:type="dxa"/>
            </w:tcMar>
            <w:vAlign w:val="bottom"/>
          </w:tcPr>
          <w:p w14:paraId="71D4306C" w14:textId="77777777" w:rsidR="006A3667" w:rsidRDefault="00045F32">
            <w:pPr>
              <w:jc w:val="right"/>
              <w:textAlignment w:val="bottom"/>
            </w:pPr>
            <w:r>
              <w:rPr>
                <w:rFonts w:ascii="Arial" w:eastAsia="宋体" w:hAnsi="Arial" w:cs="Arial"/>
                <w:b/>
                <w:bCs/>
                <w:color w:val="000000"/>
                <w:sz w:val="15"/>
                <w:szCs w:val="15"/>
              </w:rPr>
              <w:t>179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06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06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06F" w14:textId="77777777" w:rsidR="006A3667" w:rsidRDefault="00045F32">
            <w:pPr>
              <w:jc w:val="right"/>
              <w:textAlignment w:val="bottom"/>
            </w:pPr>
            <w:r>
              <w:rPr>
                <w:rFonts w:ascii="Arial" w:eastAsia="宋体" w:hAnsi="Arial" w:cs="Arial"/>
                <w:color w:val="000000"/>
                <w:sz w:val="15"/>
                <w:szCs w:val="15"/>
              </w:rPr>
              <w:t>183 </w:t>
            </w:r>
          </w:p>
        </w:tc>
        <w:tc>
          <w:tcPr>
            <w:tcW w:w="0" w:type="auto"/>
            <w:shd w:val="clear" w:color="auto" w:fill="FFFFFF"/>
            <w:tcMar>
              <w:top w:w="40" w:type="dxa"/>
              <w:left w:w="0" w:type="dxa"/>
              <w:bottom w:w="40" w:type="dxa"/>
              <w:right w:w="20" w:type="dxa"/>
            </w:tcMar>
            <w:vAlign w:val="bottom"/>
          </w:tcPr>
          <w:p w14:paraId="71D43070" w14:textId="77777777" w:rsidR="006A3667" w:rsidRDefault="006A3667">
            <w:pPr>
              <w:jc w:val="right"/>
              <w:rPr>
                <w:rFonts w:ascii="宋体"/>
              </w:rPr>
            </w:pPr>
          </w:p>
        </w:tc>
        <w:tc>
          <w:tcPr>
            <w:tcW w:w="0" w:type="auto"/>
            <w:gridSpan w:val="3"/>
            <w:shd w:val="clear" w:color="auto" w:fill="auto"/>
            <w:vAlign w:val="bottom"/>
          </w:tcPr>
          <w:p w14:paraId="71D43071" w14:textId="77777777" w:rsidR="006A3667" w:rsidRDefault="006A3667">
            <w:pPr>
              <w:rPr>
                <w:rFonts w:ascii="宋体"/>
                <w:vanish/>
              </w:rPr>
            </w:pPr>
          </w:p>
        </w:tc>
        <w:tc>
          <w:tcPr>
            <w:tcW w:w="0" w:type="auto"/>
            <w:gridSpan w:val="3"/>
            <w:shd w:val="clear" w:color="auto" w:fill="auto"/>
            <w:vAlign w:val="bottom"/>
          </w:tcPr>
          <w:p w14:paraId="71D43072" w14:textId="77777777" w:rsidR="006A3667" w:rsidRDefault="006A3667">
            <w:pPr>
              <w:rPr>
                <w:rFonts w:ascii="宋体"/>
                <w:vanish/>
              </w:rPr>
            </w:pPr>
          </w:p>
        </w:tc>
      </w:tr>
      <w:tr w:rsidR="006A3667" w14:paraId="71D4307C" w14:textId="77777777">
        <w:trPr>
          <w:jc w:val="center"/>
        </w:trPr>
        <w:tc>
          <w:tcPr>
            <w:tcW w:w="0" w:type="auto"/>
            <w:gridSpan w:val="3"/>
            <w:shd w:val="clear" w:color="auto" w:fill="CCEEFF"/>
            <w:tcMar>
              <w:top w:w="40" w:type="dxa"/>
              <w:left w:w="20" w:type="dxa"/>
              <w:bottom w:w="40" w:type="dxa"/>
              <w:right w:w="20" w:type="dxa"/>
            </w:tcMar>
            <w:vAlign w:val="bottom"/>
          </w:tcPr>
          <w:p w14:paraId="71D43074" w14:textId="77777777" w:rsidR="006A3667" w:rsidRDefault="00045F32">
            <w:pPr>
              <w:textAlignment w:val="bottom"/>
            </w:pPr>
            <w:r>
              <w:rPr>
                <w:rFonts w:ascii="Arial" w:eastAsia="宋体" w:hAnsi="Arial" w:cs="Arial"/>
                <w:color w:val="000000"/>
                <w:sz w:val="15"/>
                <w:szCs w:val="15"/>
              </w:rPr>
              <w:t>Other non-cash adjustments for depreciation, amortization and accretion, net</w:t>
            </w:r>
          </w:p>
        </w:tc>
        <w:tc>
          <w:tcPr>
            <w:tcW w:w="0" w:type="auto"/>
            <w:gridSpan w:val="2"/>
            <w:shd w:val="clear" w:color="auto" w:fill="CCEEFF"/>
            <w:tcMar>
              <w:top w:w="40" w:type="dxa"/>
              <w:left w:w="20" w:type="dxa"/>
              <w:bottom w:w="40" w:type="dxa"/>
              <w:right w:w="0" w:type="dxa"/>
            </w:tcMar>
            <w:vAlign w:val="bottom"/>
          </w:tcPr>
          <w:p w14:paraId="71D43075" w14:textId="77777777" w:rsidR="006A3667" w:rsidRDefault="00045F32">
            <w:pPr>
              <w:jc w:val="right"/>
              <w:textAlignment w:val="bottom"/>
            </w:pPr>
            <w:r>
              <w:rPr>
                <w:rFonts w:ascii="Arial" w:eastAsia="宋体" w:hAnsi="Arial" w:cs="Arial"/>
                <w:b/>
                <w:bCs/>
                <w:color w:val="000000"/>
                <w:sz w:val="15"/>
                <w:szCs w:val="15"/>
              </w:rPr>
              <w:t>558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0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7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078" w14:textId="77777777" w:rsidR="006A3667" w:rsidRDefault="00045F32">
            <w:pPr>
              <w:jc w:val="right"/>
              <w:textAlignment w:val="bottom"/>
            </w:pPr>
            <w:r>
              <w:rPr>
                <w:rFonts w:ascii="Arial" w:eastAsia="宋体" w:hAnsi="Arial" w:cs="Arial"/>
                <w:color w:val="000000"/>
                <w:sz w:val="15"/>
                <w:szCs w:val="15"/>
              </w:rPr>
              <w:t>1,015 </w:t>
            </w:r>
          </w:p>
        </w:tc>
        <w:tc>
          <w:tcPr>
            <w:tcW w:w="0" w:type="auto"/>
            <w:shd w:val="clear" w:color="auto" w:fill="CCEEFF"/>
            <w:tcMar>
              <w:top w:w="40" w:type="dxa"/>
              <w:left w:w="0" w:type="dxa"/>
              <w:bottom w:w="40" w:type="dxa"/>
              <w:right w:w="20" w:type="dxa"/>
            </w:tcMar>
            <w:vAlign w:val="bottom"/>
          </w:tcPr>
          <w:p w14:paraId="71D43079" w14:textId="77777777" w:rsidR="006A3667" w:rsidRDefault="006A3667">
            <w:pPr>
              <w:jc w:val="right"/>
              <w:rPr>
                <w:rFonts w:ascii="宋体"/>
              </w:rPr>
            </w:pPr>
          </w:p>
        </w:tc>
        <w:tc>
          <w:tcPr>
            <w:tcW w:w="0" w:type="auto"/>
            <w:gridSpan w:val="3"/>
            <w:shd w:val="clear" w:color="auto" w:fill="auto"/>
            <w:vAlign w:val="bottom"/>
          </w:tcPr>
          <w:p w14:paraId="71D4307A" w14:textId="77777777" w:rsidR="006A3667" w:rsidRDefault="006A3667">
            <w:pPr>
              <w:rPr>
                <w:rFonts w:ascii="宋体"/>
                <w:vanish/>
              </w:rPr>
            </w:pPr>
          </w:p>
        </w:tc>
        <w:tc>
          <w:tcPr>
            <w:tcW w:w="0" w:type="auto"/>
            <w:gridSpan w:val="3"/>
            <w:shd w:val="clear" w:color="auto" w:fill="auto"/>
            <w:vAlign w:val="bottom"/>
          </w:tcPr>
          <w:p w14:paraId="71D4307B" w14:textId="77777777" w:rsidR="006A3667" w:rsidRDefault="006A3667">
            <w:pPr>
              <w:rPr>
                <w:rFonts w:ascii="宋体"/>
                <w:vanish/>
              </w:rPr>
            </w:pPr>
          </w:p>
        </w:tc>
      </w:tr>
      <w:tr w:rsidR="006A3667" w14:paraId="71D43085" w14:textId="77777777">
        <w:trPr>
          <w:jc w:val="center"/>
        </w:trPr>
        <w:tc>
          <w:tcPr>
            <w:tcW w:w="0" w:type="auto"/>
            <w:gridSpan w:val="3"/>
            <w:shd w:val="clear" w:color="auto" w:fill="FFFFFF"/>
            <w:tcMar>
              <w:top w:w="40" w:type="dxa"/>
              <w:left w:w="20" w:type="dxa"/>
              <w:bottom w:w="40" w:type="dxa"/>
              <w:right w:w="20" w:type="dxa"/>
            </w:tcMar>
            <w:vAlign w:val="bottom"/>
          </w:tcPr>
          <w:p w14:paraId="71D4307D" w14:textId="77777777" w:rsidR="006A3667" w:rsidRDefault="00045F32">
            <w:pPr>
              <w:textAlignment w:val="bottom"/>
            </w:pPr>
            <w:r>
              <w:rPr>
                <w:rFonts w:ascii="Arial" w:eastAsia="宋体" w:hAnsi="Arial" w:cs="Arial"/>
                <w:color w:val="000000"/>
                <w:sz w:val="15"/>
                <w:szCs w:val="15"/>
              </w:rPr>
              <w:t>Losses (gains) related to investment securities, net</w:t>
            </w:r>
          </w:p>
        </w:tc>
        <w:tc>
          <w:tcPr>
            <w:tcW w:w="0" w:type="auto"/>
            <w:gridSpan w:val="2"/>
            <w:shd w:val="clear" w:color="auto" w:fill="FFFFFF"/>
            <w:tcMar>
              <w:top w:w="40" w:type="dxa"/>
              <w:left w:w="20" w:type="dxa"/>
              <w:bottom w:w="40" w:type="dxa"/>
              <w:right w:w="0" w:type="dxa"/>
            </w:tcMar>
            <w:vAlign w:val="bottom"/>
          </w:tcPr>
          <w:p w14:paraId="71D4307E" w14:textId="77777777" w:rsidR="006A3667" w:rsidRDefault="00045F32">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07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08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081" w14:textId="77777777" w:rsidR="006A3667" w:rsidRDefault="00045F32">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1D43082" w14:textId="77777777" w:rsidR="006A3667" w:rsidRDefault="006A3667">
            <w:pPr>
              <w:jc w:val="right"/>
              <w:rPr>
                <w:rFonts w:ascii="宋体"/>
              </w:rPr>
            </w:pPr>
          </w:p>
        </w:tc>
        <w:tc>
          <w:tcPr>
            <w:tcW w:w="0" w:type="auto"/>
            <w:gridSpan w:val="3"/>
            <w:shd w:val="clear" w:color="auto" w:fill="auto"/>
            <w:vAlign w:val="bottom"/>
          </w:tcPr>
          <w:p w14:paraId="71D43083" w14:textId="77777777" w:rsidR="006A3667" w:rsidRDefault="006A3667">
            <w:pPr>
              <w:rPr>
                <w:rFonts w:ascii="宋体"/>
                <w:vanish/>
              </w:rPr>
            </w:pPr>
          </w:p>
        </w:tc>
        <w:tc>
          <w:tcPr>
            <w:tcW w:w="0" w:type="auto"/>
            <w:gridSpan w:val="3"/>
            <w:shd w:val="clear" w:color="auto" w:fill="auto"/>
            <w:vAlign w:val="bottom"/>
          </w:tcPr>
          <w:p w14:paraId="71D43084" w14:textId="77777777" w:rsidR="006A3667" w:rsidRDefault="006A3667">
            <w:pPr>
              <w:rPr>
                <w:rFonts w:ascii="宋体"/>
                <w:vanish/>
              </w:rPr>
            </w:pPr>
          </w:p>
        </w:tc>
      </w:tr>
      <w:tr w:rsidR="006A3667" w14:paraId="71D4308E" w14:textId="77777777">
        <w:trPr>
          <w:jc w:val="center"/>
        </w:trPr>
        <w:tc>
          <w:tcPr>
            <w:tcW w:w="0" w:type="auto"/>
            <w:gridSpan w:val="3"/>
            <w:shd w:val="clear" w:color="auto" w:fill="CCEEFF"/>
            <w:tcMar>
              <w:top w:w="40" w:type="dxa"/>
              <w:left w:w="20" w:type="dxa"/>
              <w:bottom w:w="40" w:type="dxa"/>
              <w:right w:w="20" w:type="dxa"/>
            </w:tcMar>
            <w:vAlign w:val="bottom"/>
          </w:tcPr>
          <w:p w14:paraId="71D43086" w14:textId="77777777" w:rsidR="006A3667" w:rsidRDefault="00045F32">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71D43087" w14:textId="77777777" w:rsidR="006A3667" w:rsidRDefault="00045F32">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0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8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08A" w14:textId="77777777" w:rsidR="006A3667" w:rsidRDefault="00045F32">
            <w:pPr>
              <w:jc w:val="right"/>
              <w:textAlignment w:val="bottom"/>
            </w:pPr>
            <w:r>
              <w:rPr>
                <w:rFonts w:ascii="Arial" w:eastAsia="宋体" w:hAnsi="Arial" w:cs="Arial"/>
                <w:color w:val="000000"/>
                <w:sz w:val="15"/>
                <w:szCs w:val="15"/>
              </w:rPr>
              <w:t>(26)</w:t>
            </w:r>
          </w:p>
        </w:tc>
        <w:tc>
          <w:tcPr>
            <w:tcW w:w="0" w:type="auto"/>
            <w:shd w:val="clear" w:color="auto" w:fill="CCEEFF"/>
            <w:tcMar>
              <w:top w:w="40" w:type="dxa"/>
              <w:left w:w="0" w:type="dxa"/>
              <w:bottom w:w="40" w:type="dxa"/>
              <w:right w:w="20" w:type="dxa"/>
            </w:tcMar>
            <w:vAlign w:val="bottom"/>
          </w:tcPr>
          <w:p w14:paraId="71D4308B" w14:textId="77777777" w:rsidR="006A3667" w:rsidRDefault="006A3667">
            <w:pPr>
              <w:jc w:val="right"/>
              <w:rPr>
                <w:rFonts w:ascii="宋体"/>
              </w:rPr>
            </w:pPr>
          </w:p>
        </w:tc>
        <w:tc>
          <w:tcPr>
            <w:tcW w:w="0" w:type="auto"/>
            <w:gridSpan w:val="3"/>
            <w:shd w:val="clear" w:color="auto" w:fill="auto"/>
            <w:vAlign w:val="bottom"/>
          </w:tcPr>
          <w:p w14:paraId="71D4308C" w14:textId="77777777" w:rsidR="006A3667" w:rsidRDefault="006A3667">
            <w:pPr>
              <w:rPr>
                <w:rFonts w:ascii="宋体"/>
                <w:vanish/>
              </w:rPr>
            </w:pPr>
          </w:p>
        </w:tc>
        <w:tc>
          <w:tcPr>
            <w:tcW w:w="0" w:type="auto"/>
            <w:gridSpan w:val="3"/>
            <w:shd w:val="clear" w:color="auto" w:fill="auto"/>
            <w:vAlign w:val="bottom"/>
          </w:tcPr>
          <w:p w14:paraId="71D4308D" w14:textId="77777777" w:rsidR="006A3667" w:rsidRDefault="006A3667">
            <w:pPr>
              <w:rPr>
                <w:rFonts w:ascii="宋体"/>
                <w:vanish/>
              </w:rPr>
            </w:pPr>
          </w:p>
        </w:tc>
      </w:tr>
      <w:tr w:rsidR="006A3667" w14:paraId="71D43097" w14:textId="77777777">
        <w:trPr>
          <w:jc w:val="center"/>
        </w:trPr>
        <w:tc>
          <w:tcPr>
            <w:tcW w:w="0" w:type="auto"/>
            <w:gridSpan w:val="3"/>
            <w:shd w:val="clear" w:color="auto" w:fill="FFFFFF"/>
            <w:tcMar>
              <w:top w:w="40" w:type="dxa"/>
              <w:left w:w="20" w:type="dxa"/>
              <w:bottom w:w="40" w:type="dxa"/>
              <w:right w:w="20" w:type="dxa"/>
            </w:tcMar>
            <w:vAlign w:val="bottom"/>
          </w:tcPr>
          <w:p w14:paraId="71D4308F" w14:textId="77777777" w:rsidR="006A3667" w:rsidRDefault="00045F32">
            <w:pPr>
              <w:textAlignment w:val="bottom"/>
            </w:pPr>
            <w:r>
              <w:rPr>
                <w:rFonts w:ascii="Arial" w:eastAsia="宋体" w:hAnsi="Arial" w:cs="Arial"/>
                <w:color w:val="000000"/>
                <w:sz w:val="15"/>
                <w:szCs w:val="15"/>
              </w:rPr>
              <w:t>Change in trading account assets, net</w:t>
            </w:r>
          </w:p>
        </w:tc>
        <w:tc>
          <w:tcPr>
            <w:tcW w:w="0" w:type="auto"/>
            <w:gridSpan w:val="2"/>
            <w:shd w:val="clear" w:color="auto" w:fill="FFFFFF"/>
            <w:tcMar>
              <w:top w:w="40" w:type="dxa"/>
              <w:left w:w="20" w:type="dxa"/>
              <w:bottom w:w="40" w:type="dxa"/>
              <w:right w:w="0" w:type="dxa"/>
            </w:tcMar>
            <w:vAlign w:val="bottom"/>
          </w:tcPr>
          <w:p w14:paraId="71D43090" w14:textId="77777777" w:rsidR="006A3667" w:rsidRDefault="00045F32">
            <w:pPr>
              <w:jc w:val="right"/>
              <w:textAlignment w:val="bottom"/>
            </w:pPr>
            <w:r>
              <w:rPr>
                <w:rFonts w:ascii="Arial" w:eastAsia="宋体" w:hAnsi="Arial" w:cs="Arial"/>
                <w:b/>
                <w:bCs/>
                <w:color w:val="000000"/>
                <w:sz w:val="15"/>
                <w:szCs w:val="15"/>
              </w:rPr>
              <w:t>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09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09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093" w14:textId="77777777" w:rsidR="006A3667" w:rsidRDefault="00045F32">
            <w:pPr>
              <w:jc w:val="right"/>
              <w:textAlignment w:val="bottom"/>
            </w:pPr>
            <w:r>
              <w:rPr>
                <w:rFonts w:ascii="Arial" w:eastAsia="宋体" w:hAnsi="Arial" w:cs="Arial"/>
                <w:color w:val="000000"/>
                <w:sz w:val="15"/>
                <w:szCs w:val="15"/>
              </w:rPr>
              <w:t>94 </w:t>
            </w:r>
          </w:p>
        </w:tc>
        <w:tc>
          <w:tcPr>
            <w:tcW w:w="0" w:type="auto"/>
            <w:shd w:val="clear" w:color="auto" w:fill="FFFFFF"/>
            <w:tcMar>
              <w:top w:w="40" w:type="dxa"/>
              <w:left w:w="0" w:type="dxa"/>
              <w:bottom w:w="40" w:type="dxa"/>
              <w:right w:w="20" w:type="dxa"/>
            </w:tcMar>
            <w:vAlign w:val="bottom"/>
          </w:tcPr>
          <w:p w14:paraId="71D43094" w14:textId="77777777" w:rsidR="006A3667" w:rsidRDefault="006A3667">
            <w:pPr>
              <w:jc w:val="right"/>
              <w:rPr>
                <w:rFonts w:ascii="宋体"/>
              </w:rPr>
            </w:pPr>
          </w:p>
        </w:tc>
        <w:tc>
          <w:tcPr>
            <w:tcW w:w="0" w:type="auto"/>
            <w:gridSpan w:val="3"/>
            <w:shd w:val="clear" w:color="auto" w:fill="auto"/>
            <w:vAlign w:val="bottom"/>
          </w:tcPr>
          <w:p w14:paraId="71D43095" w14:textId="77777777" w:rsidR="006A3667" w:rsidRDefault="006A3667">
            <w:pPr>
              <w:rPr>
                <w:rFonts w:ascii="宋体"/>
                <w:vanish/>
              </w:rPr>
            </w:pPr>
          </w:p>
        </w:tc>
        <w:tc>
          <w:tcPr>
            <w:tcW w:w="0" w:type="auto"/>
            <w:gridSpan w:val="3"/>
            <w:shd w:val="clear" w:color="auto" w:fill="auto"/>
            <w:vAlign w:val="bottom"/>
          </w:tcPr>
          <w:p w14:paraId="71D43096" w14:textId="77777777" w:rsidR="006A3667" w:rsidRDefault="006A3667">
            <w:pPr>
              <w:rPr>
                <w:rFonts w:ascii="宋体"/>
                <w:vanish/>
              </w:rPr>
            </w:pPr>
          </w:p>
        </w:tc>
      </w:tr>
      <w:tr w:rsidR="006A3667" w14:paraId="71D430A0" w14:textId="77777777">
        <w:trPr>
          <w:jc w:val="center"/>
        </w:trPr>
        <w:tc>
          <w:tcPr>
            <w:tcW w:w="0" w:type="auto"/>
            <w:gridSpan w:val="3"/>
            <w:shd w:val="clear" w:color="auto" w:fill="CCEEFF"/>
            <w:tcMar>
              <w:top w:w="40" w:type="dxa"/>
              <w:left w:w="20" w:type="dxa"/>
              <w:bottom w:w="40" w:type="dxa"/>
              <w:right w:w="20" w:type="dxa"/>
            </w:tcMar>
            <w:vAlign w:val="bottom"/>
          </w:tcPr>
          <w:p w14:paraId="71D43098" w14:textId="77777777" w:rsidR="006A3667" w:rsidRDefault="00045F32">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CCEEFF"/>
            <w:tcMar>
              <w:top w:w="40" w:type="dxa"/>
              <w:left w:w="20" w:type="dxa"/>
              <w:bottom w:w="40" w:type="dxa"/>
              <w:right w:w="0" w:type="dxa"/>
            </w:tcMar>
            <w:vAlign w:val="bottom"/>
          </w:tcPr>
          <w:p w14:paraId="71D43099" w14:textId="77777777" w:rsidR="006A3667" w:rsidRDefault="00045F32">
            <w:pPr>
              <w:jc w:val="right"/>
              <w:textAlignment w:val="bottom"/>
            </w:pPr>
            <w:r>
              <w:rPr>
                <w:rFonts w:ascii="Arial" w:eastAsia="宋体" w:hAnsi="Arial" w:cs="Arial"/>
                <w:b/>
                <w:bCs/>
                <w:color w:val="000000"/>
                <w:sz w:val="15"/>
                <w:szCs w:val="15"/>
              </w:rPr>
              <w:t>(248)</w:t>
            </w:r>
          </w:p>
        </w:tc>
        <w:tc>
          <w:tcPr>
            <w:tcW w:w="0" w:type="auto"/>
            <w:shd w:val="clear" w:color="auto" w:fill="CCEEFF"/>
            <w:tcMar>
              <w:top w:w="40" w:type="dxa"/>
              <w:left w:w="0" w:type="dxa"/>
              <w:bottom w:w="40" w:type="dxa"/>
              <w:right w:w="20" w:type="dxa"/>
            </w:tcMar>
            <w:vAlign w:val="bottom"/>
          </w:tcPr>
          <w:p w14:paraId="71D4309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9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09C" w14:textId="77777777" w:rsidR="006A3667" w:rsidRDefault="00045F32">
            <w:pPr>
              <w:jc w:val="right"/>
              <w:textAlignment w:val="bottom"/>
            </w:pPr>
            <w:r>
              <w:rPr>
                <w:rFonts w:ascii="Arial" w:eastAsia="宋体" w:hAnsi="Arial" w:cs="Arial"/>
                <w:color w:val="000000"/>
                <w:sz w:val="15"/>
                <w:szCs w:val="15"/>
              </w:rPr>
              <w:t>(302)</w:t>
            </w:r>
          </w:p>
        </w:tc>
        <w:tc>
          <w:tcPr>
            <w:tcW w:w="0" w:type="auto"/>
            <w:shd w:val="clear" w:color="auto" w:fill="CCEEFF"/>
            <w:tcMar>
              <w:top w:w="40" w:type="dxa"/>
              <w:left w:w="0" w:type="dxa"/>
              <w:bottom w:w="40" w:type="dxa"/>
              <w:right w:w="20" w:type="dxa"/>
            </w:tcMar>
            <w:vAlign w:val="bottom"/>
          </w:tcPr>
          <w:p w14:paraId="71D4309D" w14:textId="77777777" w:rsidR="006A3667" w:rsidRDefault="006A3667">
            <w:pPr>
              <w:jc w:val="right"/>
              <w:rPr>
                <w:rFonts w:ascii="宋体"/>
              </w:rPr>
            </w:pPr>
          </w:p>
        </w:tc>
        <w:tc>
          <w:tcPr>
            <w:tcW w:w="0" w:type="auto"/>
            <w:gridSpan w:val="3"/>
            <w:shd w:val="clear" w:color="auto" w:fill="auto"/>
            <w:vAlign w:val="bottom"/>
          </w:tcPr>
          <w:p w14:paraId="71D4309E" w14:textId="77777777" w:rsidR="006A3667" w:rsidRDefault="006A3667">
            <w:pPr>
              <w:rPr>
                <w:rFonts w:ascii="宋体"/>
                <w:vanish/>
              </w:rPr>
            </w:pPr>
          </w:p>
        </w:tc>
        <w:tc>
          <w:tcPr>
            <w:tcW w:w="0" w:type="auto"/>
            <w:gridSpan w:val="3"/>
            <w:shd w:val="clear" w:color="auto" w:fill="auto"/>
            <w:vAlign w:val="bottom"/>
          </w:tcPr>
          <w:p w14:paraId="71D4309F" w14:textId="77777777" w:rsidR="006A3667" w:rsidRDefault="006A3667">
            <w:pPr>
              <w:rPr>
                <w:rFonts w:ascii="宋体"/>
                <w:vanish/>
              </w:rPr>
            </w:pPr>
          </w:p>
        </w:tc>
      </w:tr>
      <w:tr w:rsidR="006A3667" w14:paraId="71D430A9" w14:textId="77777777">
        <w:trPr>
          <w:jc w:val="center"/>
        </w:trPr>
        <w:tc>
          <w:tcPr>
            <w:tcW w:w="0" w:type="auto"/>
            <w:gridSpan w:val="3"/>
            <w:shd w:val="clear" w:color="auto" w:fill="FFFFFF"/>
            <w:tcMar>
              <w:top w:w="40" w:type="dxa"/>
              <w:left w:w="20" w:type="dxa"/>
              <w:bottom w:w="40" w:type="dxa"/>
              <w:right w:w="20" w:type="dxa"/>
            </w:tcMar>
            <w:vAlign w:val="bottom"/>
          </w:tcPr>
          <w:p w14:paraId="71D430A1" w14:textId="77777777" w:rsidR="006A3667" w:rsidRDefault="00045F32">
            <w:pPr>
              <w:textAlignment w:val="bottom"/>
            </w:pPr>
            <w:r>
              <w:rPr>
                <w:rFonts w:ascii="Arial" w:eastAsia="宋体" w:hAnsi="Arial" w:cs="Arial"/>
                <w:color w:val="000000"/>
                <w:sz w:val="15"/>
                <w:szCs w:val="15"/>
              </w:rPr>
              <w:t>Change in collateral deposits, net</w:t>
            </w:r>
          </w:p>
        </w:tc>
        <w:tc>
          <w:tcPr>
            <w:tcW w:w="0" w:type="auto"/>
            <w:gridSpan w:val="2"/>
            <w:shd w:val="clear" w:color="auto" w:fill="FFFFFF"/>
            <w:tcMar>
              <w:top w:w="40" w:type="dxa"/>
              <w:left w:w="20" w:type="dxa"/>
              <w:bottom w:w="40" w:type="dxa"/>
              <w:right w:w="0" w:type="dxa"/>
            </w:tcMar>
            <w:vAlign w:val="bottom"/>
          </w:tcPr>
          <w:p w14:paraId="71D430A2" w14:textId="77777777" w:rsidR="006A3667" w:rsidRDefault="00045F32">
            <w:pPr>
              <w:jc w:val="right"/>
              <w:textAlignment w:val="bottom"/>
            </w:pPr>
            <w:r>
              <w:rPr>
                <w:rFonts w:ascii="Arial" w:eastAsia="宋体" w:hAnsi="Arial" w:cs="Arial"/>
                <w:b/>
                <w:bCs/>
                <w:color w:val="000000"/>
                <w:sz w:val="15"/>
                <w:szCs w:val="15"/>
              </w:rPr>
              <w:t>4,761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0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0A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0A5" w14:textId="77777777" w:rsidR="006A3667" w:rsidRDefault="00045F32">
            <w:pPr>
              <w:jc w:val="right"/>
              <w:textAlignment w:val="bottom"/>
            </w:pPr>
            <w:r>
              <w:rPr>
                <w:rFonts w:ascii="Arial" w:eastAsia="宋体" w:hAnsi="Arial" w:cs="Arial"/>
                <w:color w:val="000000"/>
                <w:sz w:val="15"/>
                <w:szCs w:val="15"/>
              </w:rPr>
              <w:t>(7,723)</w:t>
            </w:r>
          </w:p>
        </w:tc>
        <w:tc>
          <w:tcPr>
            <w:tcW w:w="0" w:type="auto"/>
            <w:shd w:val="clear" w:color="auto" w:fill="FFFFFF"/>
            <w:tcMar>
              <w:top w:w="40" w:type="dxa"/>
              <w:left w:w="0" w:type="dxa"/>
              <w:bottom w:w="40" w:type="dxa"/>
              <w:right w:w="20" w:type="dxa"/>
            </w:tcMar>
            <w:vAlign w:val="bottom"/>
          </w:tcPr>
          <w:p w14:paraId="71D430A6" w14:textId="77777777" w:rsidR="006A3667" w:rsidRDefault="006A3667">
            <w:pPr>
              <w:jc w:val="right"/>
              <w:rPr>
                <w:rFonts w:ascii="宋体"/>
              </w:rPr>
            </w:pPr>
          </w:p>
        </w:tc>
        <w:tc>
          <w:tcPr>
            <w:tcW w:w="0" w:type="auto"/>
            <w:gridSpan w:val="3"/>
            <w:shd w:val="clear" w:color="auto" w:fill="auto"/>
            <w:vAlign w:val="bottom"/>
          </w:tcPr>
          <w:p w14:paraId="71D430A7" w14:textId="77777777" w:rsidR="006A3667" w:rsidRDefault="006A3667">
            <w:pPr>
              <w:rPr>
                <w:rFonts w:ascii="宋体"/>
                <w:vanish/>
              </w:rPr>
            </w:pPr>
          </w:p>
        </w:tc>
        <w:tc>
          <w:tcPr>
            <w:tcW w:w="0" w:type="auto"/>
            <w:gridSpan w:val="3"/>
            <w:shd w:val="clear" w:color="auto" w:fill="auto"/>
            <w:vAlign w:val="bottom"/>
          </w:tcPr>
          <w:p w14:paraId="71D430A8" w14:textId="77777777" w:rsidR="006A3667" w:rsidRDefault="006A3667">
            <w:pPr>
              <w:rPr>
                <w:rFonts w:ascii="宋体"/>
                <w:vanish/>
              </w:rPr>
            </w:pPr>
          </w:p>
        </w:tc>
      </w:tr>
      <w:tr w:rsidR="006A3667" w14:paraId="71D430B2" w14:textId="77777777">
        <w:trPr>
          <w:jc w:val="center"/>
        </w:trPr>
        <w:tc>
          <w:tcPr>
            <w:tcW w:w="0" w:type="auto"/>
            <w:gridSpan w:val="3"/>
            <w:shd w:val="clear" w:color="auto" w:fill="CCEEFF"/>
            <w:tcMar>
              <w:top w:w="40" w:type="dxa"/>
              <w:left w:w="20" w:type="dxa"/>
              <w:bottom w:w="40" w:type="dxa"/>
              <w:right w:w="20" w:type="dxa"/>
            </w:tcMar>
            <w:vAlign w:val="bottom"/>
          </w:tcPr>
          <w:p w14:paraId="71D430AA" w14:textId="77777777" w:rsidR="006A3667" w:rsidRDefault="00045F32">
            <w:pPr>
              <w:textAlignment w:val="bottom"/>
            </w:pPr>
            <w:r>
              <w:rPr>
                <w:rFonts w:ascii="Arial" w:eastAsia="宋体" w:hAnsi="Arial" w:cs="Arial"/>
                <w:color w:val="000000"/>
                <w:sz w:val="15"/>
                <w:szCs w:val="15"/>
              </w:rPr>
              <w:t xml:space="preserve">Change in unrealized losses (gains) on foreign exchange </w:t>
            </w:r>
            <w:r>
              <w:rPr>
                <w:rFonts w:ascii="Arial" w:eastAsia="宋体" w:hAnsi="Arial" w:cs="Arial"/>
                <w:color w:val="000000"/>
                <w:sz w:val="15"/>
                <w:szCs w:val="15"/>
              </w:rPr>
              <w:t>derivatives, net</w:t>
            </w:r>
          </w:p>
        </w:tc>
        <w:tc>
          <w:tcPr>
            <w:tcW w:w="0" w:type="auto"/>
            <w:gridSpan w:val="2"/>
            <w:shd w:val="clear" w:color="auto" w:fill="CCEEFF"/>
            <w:tcMar>
              <w:top w:w="40" w:type="dxa"/>
              <w:left w:w="20" w:type="dxa"/>
              <w:bottom w:w="40" w:type="dxa"/>
              <w:right w:w="0" w:type="dxa"/>
            </w:tcMar>
            <w:vAlign w:val="bottom"/>
          </w:tcPr>
          <w:p w14:paraId="71D430AB" w14:textId="77777777" w:rsidR="006A3667" w:rsidRDefault="00045F32">
            <w:pPr>
              <w:jc w:val="right"/>
              <w:textAlignment w:val="bottom"/>
            </w:pPr>
            <w:r>
              <w:rPr>
                <w:rFonts w:ascii="Arial" w:eastAsia="宋体" w:hAnsi="Arial" w:cs="Arial"/>
                <w:b/>
                <w:bCs/>
                <w:color w:val="000000"/>
                <w:sz w:val="15"/>
                <w:szCs w:val="15"/>
              </w:rPr>
              <w:t>(5,155)</w:t>
            </w:r>
          </w:p>
        </w:tc>
        <w:tc>
          <w:tcPr>
            <w:tcW w:w="0" w:type="auto"/>
            <w:shd w:val="clear" w:color="auto" w:fill="CCEEFF"/>
            <w:tcMar>
              <w:top w:w="40" w:type="dxa"/>
              <w:left w:w="0" w:type="dxa"/>
              <w:bottom w:w="40" w:type="dxa"/>
              <w:right w:w="20" w:type="dxa"/>
            </w:tcMar>
            <w:vAlign w:val="bottom"/>
          </w:tcPr>
          <w:p w14:paraId="71D430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A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0AE" w14:textId="77777777" w:rsidR="006A3667" w:rsidRDefault="00045F32">
            <w:pPr>
              <w:jc w:val="right"/>
              <w:textAlignment w:val="bottom"/>
            </w:pPr>
            <w:r>
              <w:rPr>
                <w:rFonts w:ascii="Arial" w:eastAsia="宋体" w:hAnsi="Arial" w:cs="Arial"/>
                <w:color w:val="000000"/>
                <w:sz w:val="15"/>
                <w:szCs w:val="15"/>
              </w:rPr>
              <w:t>(8,131)</w:t>
            </w:r>
          </w:p>
        </w:tc>
        <w:tc>
          <w:tcPr>
            <w:tcW w:w="0" w:type="auto"/>
            <w:shd w:val="clear" w:color="auto" w:fill="CCEEFF"/>
            <w:tcMar>
              <w:top w:w="40" w:type="dxa"/>
              <w:left w:w="0" w:type="dxa"/>
              <w:bottom w:w="40" w:type="dxa"/>
              <w:right w:w="20" w:type="dxa"/>
            </w:tcMar>
            <w:vAlign w:val="bottom"/>
          </w:tcPr>
          <w:p w14:paraId="71D430AF" w14:textId="77777777" w:rsidR="006A3667" w:rsidRDefault="006A3667">
            <w:pPr>
              <w:jc w:val="right"/>
              <w:rPr>
                <w:rFonts w:ascii="宋体"/>
              </w:rPr>
            </w:pPr>
          </w:p>
        </w:tc>
        <w:tc>
          <w:tcPr>
            <w:tcW w:w="0" w:type="auto"/>
            <w:gridSpan w:val="3"/>
            <w:shd w:val="clear" w:color="auto" w:fill="auto"/>
            <w:vAlign w:val="bottom"/>
          </w:tcPr>
          <w:p w14:paraId="71D430B0" w14:textId="77777777" w:rsidR="006A3667" w:rsidRDefault="006A3667">
            <w:pPr>
              <w:rPr>
                <w:rFonts w:ascii="宋体"/>
                <w:vanish/>
              </w:rPr>
            </w:pPr>
          </w:p>
        </w:tc>
        <w:tc>
          <w:tcPr>
            <w:tcW w:w="0" w:type="auto"/>
            <w:gridSpan w:val="3"/>
            <w:shd w:val="clear" w:color="auto" w:fill="auto"/>
            <w:vAlign w:val="bottom"/>
          </w:tcPr>
          <w:p w14:paraId="71D430B1" w14:textId="77777777" w:rsidR="006A3667" w:rsidRDefault="006A3667">
            <w:pPr>
              <w:rPr>
                <w:rFonts w:ascii="宋体"/>
                <w:vanish/>
              </w:rPr>
            </w:pPr>
          </w:p>
        </w:tc>
      </w:tr>
      <w:tr w:rsidR="006A3667" w14:paraId="71D430BB" w14:textId="77777777">
        <w:trPr>
          <w:jc w:val="center"/>
        </w:trPr>
        <w:tc>
          <w:tcPr>
            <w:tcW w:w="0" w:type="auto"/>
            <w:gridSpan w:val="3"/>
            <w:shd w:val="clear" w:color="auto" w:fill="FFFFFF"/>
            <w:tcMar>
              <w:top w:w="40" w:type="dxa"/>
              <w:left w:w="20" w:type="dxa"/>
              <w:bottom w:w="40" w:type="dxa"/>
              <w:right w:w="20" w:type="dxa"/>
            </w:tcMar>
            <w:vAlign w:val="bottom"/>
          </w:tcPr>
          <w:p w14:paraId="71D430B3" w14:textId="77777777" w:rsidR="006A3667" w:rsidRDefault="00045F32">
            <w:pPr>
              <w:textAlignment w:val="bottom"/>
            </w:pPr>
            <w:r>
              <w:rPr>
                <w:rFonts w:ascii="Arial" w:eastAsia="宋体" w:hAnsi="Arial" w:cs="Arial"/>
                <w:color w:val="000000"/>
                <w:sz w:val="15"/>
                <w:szCs w:val="15"/>
              </w:rPr>
              <w:t>Change in other assets, net</w:t>
            </w:r>
          </w:p>
        </w:tc>
        <w:tc>
          <w:tcPr>
            <w:tcW w:w="0" w:type="auto"/>
            <w:gridSpan w:val="2"/>
            <w:shd w:val="clear" w:color="auto" w:fill="FFFFFF"/>
            <w:tcMar>
              <w:top w:w="40" w:type="dxa"/>
              <w:left w:w="20" w:type="dxa"/>
              <w:bottom w:w="40" w:type="dxa"/>
              <w:right w:w="0" w:type="dxa"/>
            </w:tcMar>
            <w:vAlign w:val="bottom"/>
          </w:tcPr>
          <w:p w14:paraId="71D430B4" w14:textId="77777777" w:rsidR="006A3667" w:rsidRDefault="00045F32">
            <w:pPr>
              <w:jc w:val="right"/>
              <w:textAlignment w:val="bottom"/>
            </w:pPr>
            <w:r>
              <w:rPr>
                <w:rFonts w:ascii="Arial" w:eastAsia="宋体" w:hAnsi="Arial" w:cs="Arial"/>
                <w:b/>
                <w:bCs/>
                <w:color w:val="000000"/>
                <w:sz w:val="15"/>
                <w:szCs w:val="15"/>
              </w:rPr>
              <w:t>1,644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0B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0B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0B7" w14:textId="77777777" w:rsidR="006A3667" w:rsidRDefault="00045F32">
            <w:pPr>
              <w:jc w:val="right"/>
              <w:textAlignment w:val="bottom"/>
            </w:pPr>
            <w:r>
              <w:rPr>
                <w:rFonts w:ascii="Arial" w:eastAsia="宋体" w:hAnsi="Arial" w:cs="Arial"/>
                <w:color w:val="000000"/>
                <w:sz w:val="15"/>
                <w:szCs w:val="15"/>
              </w:rPr>
              <w:t>279 </w:t>
            </w:r>
          </w:p>
        </w:tc>
        <w:tc>
          <w:tcPr>
            <w:tcW w:w="0" w:type="auto"/>
            <w:shd w:val="clear" w:color="auto" w:fill="FFFFFF"/>
            <w:tcMar>
              <w:top w:w="40" w:type="dxa"/>
              <w:left w:w="0" w:type="dxa"/>
              <w:bottom w:w="40" w:type="dxa"/>
              <w:right w:w="20" w:type="dxa"/>
            </w:tcMar>
            <w:vAlign w:val="bottom"/>
          </w:tcPr>
          <w:p w14:paraId="71D430B8" w14:textId="77777777" w:rsidR="006A3667" w:rsidRDefault="006A3667">
            <w:pPr>
              <w:jc w:val="right"/>
              <w:rPr>
                <w:rFonts w:ascii="宋体"/>
              </w:rPr>
            </w:pPr>
          </w:p>
        </w:tc>
        <w:tc>
          <w:tcPr>
            <w:tcW w:w="0" w:type="auto"/>
            <w:gridSpan w:val="3"/>
            <w:shd w:val="clear" w:color="auto" w:fill="auto"/>
            <w:vAlign w:val="bottom"/>
          </w:tcPr>
          <w:p w14:paraId="71D430B9" w14:textId="77777777" w:rsidR="006A3667" w:rsidRDefault="006A3667">
            <w:pPr>
              <w:rPr>
                <w:rFonts w:ascii="宋体"/>
                <w:vanish/>
              </w:rPr>
            </w:pPr>
          </w:p>
        </w:tc>
        <w:tc>
          <w:tcPr>
            <w:tcW w:w="0" w:type="auto"/>
            <w:gridSpan w:val="3"/>
            <w:shd w:val="clear" w:color="auto" w:fill="auto"/>
            <w:vAlign w:val="bottom"/>
          </w:tcPr>
          <w:p w14:paraId="71D430BA" w14:textId="77777777" w:rsidR="006A3667" w:rsidRDefault="006A3667">
            <w:pPr>
              <w:rPr>
                <w:rFonts w:ascii="宋体"/>
                <w:vanish/>
              </w:rPr>
            </w:pPr>
          </w:p>
        </w:tc>
      </w:tr>
      <w:tr w:rsidR="006A3667" w14:paraId="71D430C2" w14:textId="77777777">
        <w:trPr>
          <w:jc w:val="center"/>
          <w:hidden/>
        </w:trPr>
        <w:tc>
          <w:tcPr>
            <w:tcW w:w="0" w:type="auto"/>
            <w:gridSpan w:val="3"/>
            <w:shd w:val="clear" w:color="auto" w:fill="auto"/>
            <w:vAlign w:val="bottom"/>
          </w:tcPr>
          <w:p w14:paraId="71D430BC" w14:textId="77777777" w:rsidR="006A3667" w:rsidRDefault="006A3667">
            <w:pPr>
              <w:rPr>
                <w:rFonts w:ascii="宋体"/>
                <w:vanish/>
              </w:rPr>
            </w:pPr>
          </w:p>
        </w:tc>
        <w:tc>
          <w:tcPr>
            <w:tcW w:w="0" w:type="auto"/>
            <w:gridSpan w:val="3"/>
            <w:shd w:val="clear" w:color="auto" w:fill="auto"/>
            <w:vAlign w:val="bottom"/>
          </w:tcPr>
          <w:p w14:paraId="71D430BD" w14:textId="77777777" w:rsidR="006A3667" w:rsidRDefault="006A3667">
            <w:pPr>
              <w:rPr>
                <w:rFonts w:ascii="宋体"/>
                <w:vanish/>
              </w:rPr>
            </w:pPr>
          </w:p>
        </w:tc>
        <w:tc>
          <w:tcPr>
            <w:tcW w:w="0" w:type="auto"/>
            <w:gridSpan w:val="3"/>
            <w:shd w:val="clear" w:color="auto" w:fill="auto"/>
            <w:vAlign w:val="bottom"/>
          </w:tcPr>
          <w:p w14:paraId="71D430BE" w14:textId="77777777" w:rsidR="006A3667" w:rsidRDefault="006A3667">
            <w:pPr>
              <w:rPr>
                <w:rFonts w:ascii="宋体"/>
                <w:vanish/>
              </w:rPr>
            </w:pPr>
          </w:p>
        </w:tc>
        <w:tc>
          <w:tcPr>
            <w:tcW w:w="0" w:type="auto"/>
            <w:gridSpan w:val="3"/>
            <w:shd w:val="clear" w:color="auto" w:fill="auto"/>
            <w:vAlign w:val="bottom"/>
          </w:tcPr>
          <w:p w14:paraId="71D430BF" w14:textId="77777777" w:rsidR="006A3667" w:rsidRDefault="006A3667">
            <w:pPr>
              <w:rPr>
                <w:rFonts w:ascii="宋体"/>
                <w:vanish/>
              </w:rPr>
            </w:pPr>
          </w:p>
        </w:tc>
        <w:tc>
          <w:tcPr>
            <w:tcW w:w="0" w:type="auto"/>
            <w:gridSpan w:val="3"/>
            <w:shd w:val="clear" w:color="auto" w:fill="auto"/>
            <w:vAlign w:val="bottom"/>
          </w:tcPr>
          <w:p w14:paraId="71D430C0" w14:textId="77777777" w:rsidR="006A3667" w:rsidRDefault="006A3667">
            <w:pPr>
              <w:rPr>
                <w:rFonts w:ascii="宋体"/>
                <w:vanish/>
              </w:rPr>
            </w:pPr>
          </w:p>
        </w:tc>
        <w:tc>
          <w:tcPr>
            <w:tcW w:w="0" w:type="auto"/>
            <w:gridSpan w:val="3"/>
            <w:shd w:val="clear" w:color="auto" w:fill="auto"/>
            <w:vAlign w:val="bottom"/>
          </w:tcPr>
          <w:p w14:paraId="71D430C1" w14:textId="77777777" w:rsidR="006A3667" w:rsidRDefault="006A3667">
            <w:pPr>
              <w:rPr>
                <w:rFonts w:ascii="宋体"/>
                <w:vanish/>
              </w:rPr>
            </w:pPr>
          </w:p>
        </w:tc>
      </w:tr>
      <w:tr w:rsidR="006A3667" w14:paraId="71D430CB" w14:textId="77777777">
        <w:trPr>
          <w:jc w:val="center"/>
        </w:trPr>
        <w:tc>
          <w:tcPr>
            <w:tcW w:w="0" w:type="auto"/>
            <w:gridSpan w:val="3"/>
            <w:shd w:val="clear" w:color="auto" w:fill="CCEEFF"/>
            <w:tcMar>
              <w:top w:w="40" w:type="dxa"/>
              <w:left w:w="20" w:type="dxa"/>
              <w:bottom w:w="40" w:type="dxa"/>
              <w:right w:w="20" w:type="dxa"/>
            </w:tcMar>
            <w:vAlign w:val="bottom"/>
          </w:tcPr>
          <w:p w14:paraId="71D430C3" w14:textId="77777777" w:rsidR="006A3667" w:rsidRDefault="00045F32">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CCEEFF"/>
            <w:tcMar>
              <w:top w:w="40" w:type="dxa"/>
              <w:left w:w="20" w:type="dxa"/>
              <w:bottom w:w="40" w:type="dxa"/>
              <w:right w:w="0" w:type="dxa"/>
            </w:tcMar>
            <w:vAlign w:val="bottom"/>
          </w:tcPr>
          <w:p w14:paraId="71D430C4" w14:textId="77777777" w:rsidR="006A3667" w:rsidRDefault="00045F32">
            <w:pPr>
              <w:jc w:val="right"/>
              <w:textAlignment w:val="bottom"/>
            </w:pPr>
            <w:r>
              <w:rPr>
                <w:rFonts w:ascii="Arial" w:eastAsia="宋体" w:hAnsi="Arial" w:cs="Arial"/>
                <w:b/>
                <w:bCs/>
                <w:color w:val="000000"/>
                <w:sz w:val="15"/>
                <w:szCs w:val="15"/>
              </w:rPr>
              <w:t>700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0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C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0C7" w14:textId="77777777" w:rsidR="006A3667" w:rsidRDefault="00045F32">
            <w:pPr>
              <w:jc w:val="right"/>
              <w:textAlignment w:val="bottom"/>
            </w:pPr>
            <w:r>
              <w:rPr>
                <w:rFonts w:ascii="Arial" w:eastAsia="宋体" w:hAnsi="Arial" w:cs="Arial"/>
                <w:color w:val="000000"/>
                <w:sz w:val="15"/>
                <w:szCs w:val="15"/>
              </w:rPr>
              <w:t>1,468 </w:t>
            </w:r>
          </w:p>
        </w:tc>
        <w:tc>
          <w:tcPr>
            <w:tcW w:w="0" w:type="auto"/>
            <w:shd w:val="clear" w:color="auto" w:fill="CCEEFF"/>
            <w:tcMar>
              <w:top w:w="40" w:type="dxa"/>
              <w:left w:w="0" w:type="dxa"/>
              <w:bottom w:w="40" w:type="dxa"/>
              <w:right w:w="20" w:type="dxa"/>
            </w:tcMar>
            <w:vAlign w:val="bottom"/>
          </w:tcPr>
          <w:p w14:paraId="71D430C8" w14:textId="77777777" w:rsidR="006A3667" w:rsidRDefault="006A3667">
            <w:pPr>
              <w:jc w:val="right"/>
              <w:rPr>
                <w:rFonts w:ascii="宋体"/>
              </w:rPr>
            </w:pPr>
          </w:p>
        </w:tc>
        <w:tc>
          <w:tcPr>
            <w:tcW w:w="0" w:type="auto"/>
            <w:gridSpan w:val="3"/>
            <w:shd w:val="clear" w:color="auto" w:fill="auto"/>
            <w:vAlign w:val="bottom"/>
          </w:tcPr>
          <w:p w14:paraId="71D430C9" w14:textId="77777777" w:rsidR="006A3667" w:rsidRDefault="006A3667">
            <w:pPr>
              <w:rPr>
                <w:rFonts w:ascii="宋体"/>
                <w:vanish/>
              </w:rPr>
            </w:pPr>
          </w:p>
        </w:tc>
        <w:tc>
          <w:tcPr>
            <w:tcW w:w="0" w:type="auto"/>
            <w:gridSpan w:val="3"/>
            <w:shd w:val="clear" w:color="auto" w:fill="auto"/>
            <w:vAlign w:val="bottom"/>
          </w:tcPr>
          <w:p w14:paraId="71D430CA" w14:textId="77777777" w:rsidR="006A3667" w:rsidRDefault="006A3667">
            <w:pPr>
              <w:rPr>
                <w:rFonts w:ascii="宋体"/>
                <w:vanish/>
              </w:rPr>
            </w:pPr>
          </w:p>
        </w:tc>
      </w:tr>
      <w:tr w:rsidR="006A3667" w14:paraId="71D430D2" w14:textId="77777777">
        <w:trPr>
          <w:jc w:val="center"/>
          <w:hidden/>
        </w:trPr>
        <w:tc>
          <w:tcPr>
            <w:tcW w:w="0" w:type="auto"/>
            <w:gridSpan w:val="3"/>
            <w:shd w:val="clear" w:color="auto" w:fill="auto"/>
            <w:vAlign w:val="bottom"/>
          </w:tcPr>
          <w:p w14:paraId="71D430CC" w14:textId="77777777" w:rsidR="006A3667" w:rsidRDefault="006A3667">
            <w:pPr>
              <w:rPr>
                <w:rFonts w:ascii="宋体"/>
                <w:vanish/>
              </w:rPr>
            </w:pPr>
          </w:p>
        </w:tc>
        <w:tc>
          <w:tcPr>
            <w:tcW w:w="0" w:type="auto"/>
            <w:gridSpan w:val="3"/>
            <w:shd w:val="clear" w:color="auto" w:fill="auto"/>
            <w:vAlign w:val="bottom"/>
          </w:tcPr>
          <w:p w14:paraId="71D430CD" w14:textId="77777777" w:rsidR="006A3667" w:rsidRDefault="006A3667">
            <w:pPr>
              <w:rPr>
                <w:rFonts w:ascii="宋体"/>
                <w:vanish/>
              </w:rPr>
            </w:pPr>
          </w:p>
        </w:tc>
        <w:tc>
          <w:tcPr>
            <w:tcW w:w="0" w:type="auto"/>
            <w:gridSpan w:val="3"/>
            <w:shd w:val="clear" w:color="auto" w:fill="auto"/>
            <w:vAlign w:val="bottom"/>
          </w:tcPr>
          <w:p w14:paraId="71D430CE" w14:textId="77777777" w:rsidR="006A3667" w:rsidRDefault="006A3667">
            <w:pPr>
              <w:rPr>
                <w:rFonts w:ascii="宋体"/>
                <w:vanish/>
              </w:rPr>
            </w:pPr>
          </w:p>
        </w:tc>
        <w:tc>
          <w:tcPr>
            <w:tcW w:w="0" w:type="auto"/>
            <w:gridSpan w:val="3"/>
            <w:shd w:val="clear" w:color="auto" w:fill="auto"/>
            <w:vAlign w:val="bottom"/>
          </w:tcPr>
          <w:p w14:paraId="71D430CF" w14:textId="77777777" w:rsidR="006A3667" w:rsidRDefault="006A3667">
            <w:pPr>
              <w:rPr>
                <w:rFonts w:ascii="宋体"/>
                <w:vanish/>
              </w:rPr>
            </w:pPr>
          </w:p>
        </w:tc>
        <w:tc>
          <w:tcPr>
            <w:tcW w:w="0" w:type="auto"/>
            <w:gridSpan w:val="3"/>
            <w:shd w:val="clear" w:color="auto" w:fill="auto"/>
            <w:vAlign w:val="bottom"/>
          </w:tcPr>
          <w:p w14:paraId="71D430D0" w14:textId="77777777" w:rsidR="006A3667" w:rsidRDefault="006A3667">
            <w:pPr>
              <w:rPr>
                <w:rFonts w:ascii="宋体"/>
                <w:vanish/>
              </w:rPr>
            </w:pPr>
          </w:p>
        </w:tc>
        <w:tc>
          <w:tcPr>
            <w:tcW w:w="0" w:type="auto"/>
            <w:gridSpan w:val="3"/>
            <w:shd w:val="clear" w:color="auto" w:fill="auto"/>
            <w:vAlign w:val="bottom"/>
          </w:tcPr>
          <w:p w14:paraId="71D430D1" w14:textId="77777777" w:rsidR="006A3667" w:rsidRDefault="006A3667">
            <w:pPr>
              <w:rPr>
                <w:rFonts w:ascii="宋体"/>
                <w:vanish/>
              </w:rPr>
            </w:pPr>
          </w:p>
        </w:tc>
      </w:tr>
      <w:tr w:rsidR="006A3667" w14:paraId="71D430DB" w14:textId="77777777">
        <w:trPr>
          <w:jc w:val="center"/>
        </w:trPr>
        <w:tc>
          <w:tcPr>
            <w:tcW w:w="0" w:type="auto"/>
            <w:gridSpan w:val="3"/>
            <w:shd w:val="clear" w:color="auto" w:fill="FFFFFF"/>
            <w:tcMar>
              <w:top w:w="40" w:type="dxa"/>
              <w:left w:w="20" w:type="dxa"/>
              <w:bottom w:w="40" w:type="dxa"/>
              <w:right w:w="20" w:type="dxa"/>
            </w:tcMar>
            <w:vAlign w:val="bottom"/>
          </w:tcPr>
          <w:p w14:paraId="71D430D3" w14:textId="77777777" w:rsidR="006A3667" w:rsidRDefault="00045F32">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71D430D4" w14:textId="77777777" w:rsidR="006A3667" w:rsidRDefault="00045F32">
            <w:pPr>
              <w:jc w:val="right"/>
              <w:textAlignment w:val="bottom"/>
            </w:pPr>
            <w:r>
              <w:rPr>
                <w:rFonts w:ascii="Arial" w:eastAsia="宋体" w:hAnsi="Arial" w:cs="Arial"/>
                <w:b/>
                <w:bCs/>
                <w:color w:val="000000"/>
                <w:sz w:val="15"/>
                <w:szCs w:val="15"/>
              </w:rPr>
              <w:t>359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0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0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0D7" w14:textId="77777777" w:rsidR="006A3667" w:rsidRDefault="00045F32">
            <w:pPr>
              <w:jc w:val="right"/>
              <w:textAlignment w:val="bottom"/>
            </w:pPr>
            <w:r>
              <w:rPr>
                <w:rFonts w:ascii="Arial" w:eastAsia="宋体" w:hAnsi="Arial" w:cs="Arial"/>
                <w:color w:val="000000"/>
                <w:sz w:val="15"/>
                <w:szCs w:val="15"/>
              </w:rPr>
              <w:t>261 </w:t>
            </w:r>
          </w:p>
        </w:tc>
        <w:tc>
          <w:tcPr>
            <w:tcW w:w="0" w:type="auto"/>
            <w:shd w:val="clear" w:color="auto" w:fill="FFFFFF"/>
            <w:tcMar>
              <w:top w:w="40" w:type="dxa"/>
              <w:left w:w="0" w:type="dxa"/>
              <w:bottom w:w="40" w:type="dxa"/>
              <w:right w:w="20" w:type="dxa"/>
            </w:tcMar>
            <w:vAlign w:val="bottom"/>
          </w:tcPr>
          <w:p w14:paraId="71D430D8" w14:textId="77777777" w:rsidR="006A3667" w:rsidRDefault="006A3667">
            <w:pPr>
              <w:jc w:val="right"/>
              <w:rPr>
                <w:rFonts w:ascii="宋体"/>
              </w:rPr>
            </w:pPr>
          </w:p>
        </w:tc>
        <w:tc>
          <w:tcPr>
            <w:tcW w:w="0" w:type="auto"/>
            <w:gridSpan w:val="3"/>
            <w:shd w:val="clear" w:color="auto" w:fill="auto"/>
            <w:vAlign w:val="bottom"/>
          </w:tcPr>
          <w:p w14:paraId="71D430D9" w14:textId="77777777" w:rsidR="006A3667" w:rsidRDefault="006A3667">
            <w:pPr>
              <w:rPr>
                <w:rFonts w:ascii="宋体"/>
                <w:vanish/>
              </w:rPr>
            </w:pPr>
          </w:p>
        </w:tc>
        <w:tc>
          <w:tcPr>
            <w:tcW w:w="0" w:type="auto"/>
            <w:gridSpan w:val="3"/>
            <w:shd w:val="clear" w:color="auto" w:fill="auto"/>
            <w:vAlign w:val="bottom"/>
          </w:tcPr>
          <w:p w14:paraId="71D430DA" w14:textId="77777777" w:rsidR="006A3667" w:rsidRDefault="006A3667">
            <w:pPr>
              <w:rPr>
                <w:rFonts w:ascii="宋体"/>
                <w:vanish/>
              </w:rPr>
            </w:pPr>
          </w:p>
        </w:tc>
      </w:tr>
      <w:tr w:rsidR="006A3667" w14:paraId="71D430E4" w14:textId="77777777">
        <w:trPr>
          <w:jc w:val="center"/>
        </w:trPr>
        <w:tc>
          <w:tcPr>
            <w:tcW w:w="0" w:type="auto"/>
            <w:gridSpan w:val="3"/>
            <w:shd w:val="clear" w:color="auto" w:fill="CCEEFF"/>
            <w:tcMar>
              <w:top w:w="40" w:type="dxa"/>
              <w:left w:w="20" w:type="dxa"/>
              <w:bottom w:w="40" w:type="dxa"/>
              <w:right w:w="20" w:type="dxa"/>
            </w:tcMar>
            <w:vAlign w:val="bottom"/>
          </w:tcPr>
          <w:p w14:paraId="71D430DC" w14:textId="77777777" w:rsidR="006A3667" w:rsidRDefault="00045F32">
            <w:pPr>
              <w:textAlignment w:val="bottom"/>
            </w:pPr>
            <w:r>
              <w:rPr>
                <w:rFonts w:ascii="Arial" w:eastAsia="宋体" w:hAnsi="Arial" w:cs="Arial"/>
                <w:color w:val="000000"/>
                <w:sz w:val="15"/>
                <w:szCs w:val="15"/>
              </w:rPr>
              <w:t xml:space="preserve">Net cash provided by (used in) operating </w:t>
            </w:r>
            <w:r>
              <w:rPr>
                <w:rFonts w:ascii="Arial" w:eastAsia="宋体" w:hAnsi="Arial" w:cs="Arial"/>
                <w:color w:val="000000"/>
                <w:sz w:val="15"/>
                <w:szCs w:val="15"/>
              </w:rPr>
              <w:t>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0DD" w14:textId="77777777" w:rsidR="006A3667" w:rsidRDefault="00045F32">
            <w:pPr>
              <w:jc w:val="right"/>
              <w:textAlignment w:val="bottom"/>
            </w:pPr>
            <w:r>
              <w:rPr>
                <w:rFonts w:ascii="Arial" w:eastAsia="宋体" w:hAnsi="Arial" w:cs="Arial"/>
                <w:b/>
                <w:bCs/>
                <w:color w:val="000000"/>
                <w:sz w:val="15"/>
                <w:szCs w:val="15"/>
              </w:rPr>
              <w:t>4,918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0D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D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0E0" w14:textId="77777777" w:rsidR="006A3667" w:rsidRDefault="00045F32">
            <w:pPr>
              <w:jc w:val="right"/>
              <w:textAlignment w:val="bottom"/>
            </w:pPr>
            <w:r>
              <w:rPr>
                <w:rFonts w:ascii="Arial" w:eastAsia="宋体" w:hAnsi="Arial" w:cs="Arial"/>
                <w:color w:val="000000"/>
                <w:sz w:val="15"/>
                <w:szCs w:val="15"/>
              </w:rPr>
              <w:t>(10,937)</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0E1" w14:textId="77777777" w:rsidR="006A3667" w:rsidRDefault="006A3667">
            <w:pPr>
              <w:jc w:val="right"/>
              <w:rPr>
                <w:rFonts w:ascii="宋体"/>
              </w:rPr>
            </w:pPr>
          </w:p>
        </w:tc>
        <w:tc>
          <w:tcPr>
            <w:tcW w:w="0" w:type="auto"/>
            <w:gridSpan w:val="3"/>
            <w:shd w:val="clear" w:color="auto" w:fill="auto"/>
            <w:vAlign w:val="bottom"/>
          </w:tcPr>
          <w:p w14:paraId="71D430E2" w14:textId="77777777" w:rsidR="006A3667" w:rsidRDefault="006A3667">
            <w:pPr>
              <w:rPr>
                <w:rFonts w:ascii="宋体"/>
                <w:vanish/>
              </w:rPr>
            </w:pPr>
          </w:p>
        </w:tc>
        <w:tc>
          <w:tcPr>
            <w:tcW w:w="0" w:type="auto"/>
            <w:gridSpan w:val="3"/>
            <w:shd w:val="clear" w:color="auto" w:fill="auto"/>
            <w:vAlign w:val="bottom"/>
          </w:tcPr>
          <w:p w14:paraId="71D430E3" w14:textId="77777777" w:rsidR="006A3667" w:rsidRDefault="006A3667">
            <w:pPr>
              <w:rPr>
                <w:rFonts w:ascii="宋体"/>
                <w:vanish/>
              </w:rPr>
            </w:pPr>
          </w:p>
        </w:tc>
      </w:tr>
      <w:tr w:rsidR="006A3667" w14:paraId="71D430EB" w14:textId="77777777">
        <w:trPr>
          <w:jc w:val="center"/>
        </w:trPr>
        <w:tc>
          <w:tcPr>
            <w:tcW w:w="0" w:type="auto"/>
            <w:gridSpan w:val="3"/>
            <w:shd w:val="clear" w:color="auto" w:fill="FFFFFF"/>
            <w:tcMar>
              <w:top w:w="40" w:type="dxa"/>
              <w:left w:w="20" w:type="dxa"/>
              <w:bottom w:w="40" w:type="dxa"/>
              <w:right w:w="20" w:type="dxa"/>
            </w:tcMar>
            <w:vAlign w:val="bottom"/>
          </w:tcPr>
          <w:p w14:paraId="71D430E5" w14:textId="77777777" w:rsidR="006A3667" w:rsidRDefault="00045F32">
            <w:pPr>
              <w:textAlignment w:val="bottom"/>
            </w:pPr>
            <w:r>
              <w:rPr>
                <w:rFonts w:ascii="Arial" w:eastAsia="宋体" w:hAnsi="Arial" w:cs="Arial"/>
                <w:b/>
                <w:bCs/>
                <w:color w:val="000000"/>
                <w:sz w:val="15"/>
                <w:szCs w:val="15"/>
              </w:rPr>
              <w:t>Investing Activities:</w:t>
            </w:r>
          </w:p>
        </w:tc>
        <w:tc>
          <w:tcPr>
            <w:tcW w:w="0" w:type="auto"/>
            <w:gridSpan w:val="3"/>
            <w:shd w:val="clear" w:color="auto" w:fill="FFFFFF"/>
            <w:tcMar>
              <w:top w:w="0" w:type="dxa"/>
              <w:left w:w="20" w:type="dxa"/>
              <w:bottom w:w="0" w:type="dxa"/>
              <w:right w:w="20" w:type="dxa"/>
            </w:tcMar>
            <w:vAlign w:val="bottom"/>
          </w:tcPr>
          <w:p w14:paraId="71D430E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E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0E8" w14:textId="77777777" w:rsidR="006A3667" w:rsidRDefault="006A3667">
            <w:pPr>
              <w:rPr>
                <w:rFonts w:ascii="宋体"/>
              </w:rPr>
            </w:pPr>
          </w:p>
        </w:tc>
        <w:tc>
          <w:tcPr>
            <w:tcW w:w="0" w:type="auto"/>
            <w:gridSpan w:val="3"/>
            <w:shd w:val="clear" w:color="auto" w:fill="auto"/>
            <w:vAlign w:val="bottom"/>
          </w:tcPr>
          <w:p w14:paraId="71D430E9" w14:textId="77777777" w:rsidR="006A3667" w:rsidRDefault="006A3667">
            <w:pPr>
              <w:rPr>
                <w:rFonts w:ascii="宋体"/>
                <w:vanish/>
              </w:rPr>
            </w:pPr>
          </w:p>
        </w:tc>
        <w:tc>
          <w:tcPr>
            <w:tcW w:w="0" w:type="auto"/>
            <w:gridSpan w:val="3"/>
            <w:shd w:val="clear" w:color="auto" w:fill="auto"/>
            <w:vAlign w:val="bottom"/>
          </w:tcPr>
          <w:p w14:paraId="71D430EA" w14:textId="77777777" w:rsidR="006A3667" w:rsidRDefault="006A3667">
            <w:pPr>
              <w:rPr>
                <w:rFonts w:ascii="宋体"/>
                <w:vanish/>
              </w:rPr>
            </w:pPr>
          </w:p>
        </w:tc>
      </w:tr>
      <w:tr w:rsidR="006A3667" w14:paraId="71D430F4" w14:textId="77777777">
        <w:trPr>
          <w:jc w:val="center"/>
        </w:trPr>
        <w:tc>
          <w:tcPr>
            <w:tcW w:w="0" w:type="auto"/>
            <w:gridSpan w:val="3"/>
            <w:shd w:val="clear" w:color="auto" w:fill="CCEEFF"/>
            <w:tcMar>
              <w:top w:w="40" w:type="dxa"/>
              <w:left w:w="20" w:type="dxa"/>
              <w:bottom w:w="40" w:type="dxa"/>
              <w:right w:w="20" w:type="dxa"/>
            </w:tcMar>
            <w:vAlign w:val="bottom"/>
          </w:tcPr>
          <w:p w14:paraId="71D430EC" w14:textId="77777777" w:rsidR="006A3667" w:rsidRDefault="00045F32">
            <w:pPr>
              <w:textAlignment w:val="bottom"/>
            </w:pPr>
            <w:r>
              <w:rPr>
                <w:rFonts w:ascii="Arial" w:eastAsia="宋体" w:hAnsi="Arial" w:cs="Arial"/>
                <w:color w:val="000000"/>
                <w:sz w:val="15"/>
                <w:szCs w:val="15"/>
              </w:rPr>
              <w:t>Net decrease in interest-bearing deposits with banks</w:t>
            </w:r>
          </w:p>
        </w:tc>
        <w:tc>
          <w:tcPr>
            <w:tcW w:w="0" w:type="auto"/>
            <w:gridSpan w:val="2"/>
            <w:shd w:val="clear" w:color="auto" w:fill="CCEEFF"/>
            <w:tcMar>
              <w:top w:w="40" w:type="dxa"/>
              <w:left w:w="20" w:type="dxa"/>
              <w:bottom w:w="40" w:type="dxa"/>
              <w:right w:w="0" w:type="dxa"/>
            </w:tcMar>
            <w:vAlign w:val="bottom"/>
          </w:tcPr>
          <w:p w14:paraId="71D430ED" w14:textId="77777777" w:rsidR="006A3667" w:rsidRDefault="00045F32">
            <w:pPr>
              <w:jc w:val="right"/>
              <w:textAlignment w:val="bottom"/>
            </w:pPr>
            <w:r>
              <w:rPr>
                <w:rFonts w:ascii="Arial" w:eastAsia="宋体" w:hAnsi="Arial" w:cs="Arial"/>
                <w:b/>
                <w:bCs/>
                <w:color w:val="000000"/>
                <w:sz w:val="15"/>
                <w:szCs w:val="15"/>
              </w:rPr>
              <w:t>7,160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0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0E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0F0" w14:textId="77777777" w:rsidR="006A3667" w:rsidRDefault="00045F32">
            <w:pPr>
              <w:jc w:val="right"/>
              <w:textAlignment w:val="bottom"/>
            </w:pPr>
            <w:r>
              <w:rPr>
                <w:rFonts w:ascii="Arial" w:eastAsia="宋体" w:hAnsi="Arial" w:cs="Arial"/>
                <w:color w:val="000000"/>
                <w:sz w:val="15"/>
                <w:szCs w:val="15"/>
              </w:rPr>
              <w:t>9,407 </w:t>
            </w:r>
          </w:p>
        </w:tc>
        <w:tc>
          <w:tcPr>
            <w:tcW w:w="0" w:type="auto"/>
            <w:shd w:val="clear" w:color="auto" w:fill="CCEEFF"/>
            <w:tcMar>
              <w:top w:w="40" w:type="dxa"/>
              <w:left w:w="0" w:type="dxa"/>
              <w:bottom w:w="40" w:type="dxa"/>
              <w:right w:w="20" w:type="dxa"/>
            </w:tcMar>
            <w:vAlign w:val="bottom"/>
          </w:tcPr>
          <w:p w14:paraId="71D430F1" w14:textId="77777777" w:rsidR="006A3667" w:rsidRDefault="006A3667">
            <w:pPr>
              <w:jc w:val="right"/>
              <w:rPr>
                <w:rFonts w:ascii="宋体"/>
              </w:rPr>
            </w:pPr>
          </w:p>
        </w:tc>
        <w:tc>
          <w:tcPr>
            <w:tcW w:w="0" w:type="auto"/>
            <w:gridSpan w:val="3"/>
            <w:shd w:val="clear" w:color="auto" w:fill="auto"/>
            <w:vAlign w:val="bottom"/>
          </w:tcPr>
          <w:p w14:paraId="71D430F2" w14:textId="77777777" w:rsidR="006A3667" w:rsidRDefault="006A3667">
            <w:pPr>
              <w:rPr>
                <w:rFonts w:ascii="宋体"/>
                <w:vanish/>
              </w:rPr>
            </w:pPr>
          </w:p>
        </w:tc>
        <w:tc>
          <w:tcPr>
            <w:tcW w:w="0" w:type="auto"/>
            <w:gridSpan w:val="3"/>
            <w:shd w:val="clear" w:color="auto" w:fill="auto"/>
            <w:vAlign w:val="bottom"/>
          </w:tcPr>
          <w:p w14:paraId="71D430F3" w14:textId="77777777" w:rsidR="006A3667" w:rsidRDefault="006A3667">
            <w:pPr>
              <w:rPr>
                <w:rFonts w:ascii="宋体"/>
                <w:vanish/>
              </w:rPr>
            </w:pPr>
          </w:p>
        </w:tc>
      </w:tr>
      <w:tr w:rsidR="006A3667" w14:paraId="71D430FD" w14:textId="77777777">
        <w:trPr>
          <w:jc w:val="center"/>
        </w:trPr>
        <w:tc>
          <w:tcPr>
            <w:tcW w:w="0" w:type="auto"/>
            <w:gridSpan w:val="3"/>
            <w:shd w:val="clear" w:color="auto" w:fill="FFFFFF"/>
            <w:tcMar>
              <w:top w:w="40" w:type="dxa"/>
              <w:left w:w="20" w:type="dxa"/>
              <w:bottom w:w="40" w:type="dxa"/>
              <w:right w:w="20" w:type="dxa"/>
            </w:tcMar>
            <w:vAlign w:val="bottom"/>
          </w:tcPr>
          <w:p w14:paraId="71D430F5" w14:textId="77777777" w:rsidR="006A3667" w:rsidRDefault="00045F32">
            <w:pPr>
              <w:textAlignment w:val="bottom"/>
            </w:pPr>
            <w:r>
              <w:rPr>
                <w:rFonts w:ascii="Arial" w:eastAsia="宋体" w:hAnsi="Arial" w:cs="Arial"/>
                <w:color w:val="000000"/>
                <w:sz w:val="15"/>
                <w:szCs w:val="15"/>
              </w:rPr>
              <w:t>Net decrease in securities purchased under resale agreements</w:t>
            </w:r>
          </w:p>
        </w:tc>
        <w:tc>
          <w:tcPr>
            <w:tcW w:w="0" w:type="auto"/>
            <w:gridSpan w:val="2"/>
            <w:shd w:val="clear" w:color="auto" w:fill="FFFFFF"/>
            <w:tcMar>
              <w:top w:w="40" w:type="dxa"/>
              <w:left w:w="20" w:type="dxa"/>
              <w:bottom w:w="40" w:type="dxa"/>
              <w:right w:w="0" w:type="dxa"/>
            </w:tcMar>
            <w:vAlign w:val="bottom"/>
          </w:tcPr>
          <w:p w14:paraId="71D430F6" w14:textId="77777777" w:rsidR="006A3667" w:rsidRDefault="00045F32">
            <w:pPr>
              <w:jc w:val="right"/>
              <w:textAlignment w:val="bottom"/>
            </w:pPr>
            <w:r>
              <w:rPr>
                <w:rFonts w:ascii="Arial" w:eastAsia="宋体" w:hAnsi="Arial" w:cs="Arial"/>
                <w:b/>
                <w:bCs/>
                <w:color w:val="000000"/>
                <w:sz w:val="15"/>
                <w:szCs w:val="15"/>
              </w:rPr>
              <w:t>1,704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0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0F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0F9" w14:textId="77777777" w:rsidR="006A3667" w:rsidRDefault="00045F32">
            <w:pPr>
              <w:jc w:val="right"/>
              <w:textAlignment w:val="bottom"/>
            </w:pPr>
            <w:r>
              <w:rPr>
                <w:rFonts w:ascii="Arial" w:eastAsia="宋体" w:hAnsi="Arial" w:cs="Arial"/>
                <w:color w:val="000000"/>
                <w:sz w:val="15"/>
                <w:szCs w:val="15"/>
              </w:rPr>
              <w:t>259 </w:t>
            </w:r>
          </w:p>
        </w:tc>
        <w:tc>
          <w:tcPr>
            <w:tcW w:w="0" w:type="auto"/>
            <w:shd w:val="clear" w:color="auto" w:fill="FFFFFF"/>
            <w:tcMar>
              <w:top w:w="40" w:type="dxa"/>
              <w:left w:w="0" w:type="dxa"/>
              <w:bottom w:w="40" w:type="dxa"/>
              <w:right w:w="20" w:type="dxa"/>
            </w:tcMar>
            <w:vAlign w:val="bottom"/>
          </w:tcPr>
          <w:p w14:paraId="71D430FA" w14:textId="77777777" w:rsidR="006A3667" w:rsidRDefault="006A3667">
            <w:pPr>
              <w:jc w:val="right"/>
              <w:rPr>
                <w:rFonts w:ascii="宋体"/>
              </w:rPr>
            </w:pPr>
          </w:p>
        </w:tc>
        <w:tc>
          <w:tcPr>
            <w:tcW w:w="0" w:type="auto"/>
            <w:gridSpan w:val="3"/>
            <w:shd w:val="clear" w:color="auto" w:fill="auto"/>
            <w:vAlign w:val="bottom"/>
          </w:tcPr>
          <w:p w14:paraId="71D430FB" w14:textId="77777777" w:rsidR="006A3667" w:rsidRDefault="006A3667">
            <w:pPr>
              <w:rPr>
                <w:rFonts w:ascii="宋体"/>
                <w:vanish/>
              </w:rPr>
            </w:pPr>
          </w:p>
        </w:tc>
        <w:tc>
          <w:tcPr>
            <w:tcW w:w="0" w:type="auto"/>
            <w:gridSpan w:val="3"/>
            <w:shd w:val="clear" w:color="auto" w:fill="auto"/>
            <w:vAlign w:val="bottom"/>
          </w:tcPr>
          <w:p w14:paraId="71D430FC" w14:textId="77777777" w:rsidR="006A3667" w:rsidRDefault="006A3667">
            <w:pPr>
              <w:rPr>
                <w:rFonts w:ascii="宋体"/>
                <w:vanish/>
              </w:rPr>
            </w:pPr>
          </w:p>
        </w:tc>
      </w:tr>
      <w:tr w:rsidR="006A3667" w14:paraId="71D43106" w14:textId="77777777">
        <w:trPr>
          <w:jc w:val="center"/>
        </w:trPr>
        <w:tc>
          <w:tcPr>
            <w:tcW w:w="0" w:type="auto"/>
            <w:gridSpan w:val="3"/>
            <w:shd w:val="clear" w:color="auto" w:fill="CCEEFF"/>
            <w:tcMar>
              <w:top w:w="40" w:type="dxa"/>
              <w:left w:w="20" w:type="dxa"/>
              <w:bottom w:w="40" w:type="dxa"/>
              <w:right w:w="20" w:type="dxa"/>
            </w:tcMar>
            <w:vAlign w:val="bottom"/>
          </w:tcPr>
          <w:p w14:paraId="71D430FE" w14:textId="77777777" w:rsidR="006A3667" w:rsidRDefault="00045F32">
            <w:pPr>
              <w:textAlignment w:val="bottom"/>
            </w:pPr>
            <w:r>
              <w:rPr>
                <w:rFonts w:ascii="Arial" w:eastAsia="宋体" w:hAnsi="Arial" w:cs="Arial"/>
                <w:color w:val="000000"/>
                <w:sz w:val="15"/>
                <w:szCs w:val="15"/>
              </w:rPr>
              <w:t xml:space="preserve">Proceeds from sales of </w:t>
            </w:r>
            <w:r>
              <w:rPr>
                <w:rFonts w:ascii="Arial" w:eastAsia="宋体" w:hAnsi="Arial" w:cs="Arial"/>
                <w:color w:val="000000"/>
                <w:sz w:val="15"/>
                <w:szCs w:val="15"/>
              </w:rPr>
              <w:t>available-for-sale securities</w:t>
            </w:r>
          </w:p>
        </w:tc>
        <w:tc>
          <w:tcPr>
            <w:tcW w:w="0" w:type="auto"/>
            <w:gridSpan w:val="2"/>
            <w:shd w:val="clear" w:color="auto" w:fill="CCEEFF"/>
            <w:tcMar>
              <w:top w:w="40" w:type="dxa"/>
              <w:left w:w="20" w:type="dxa"/>
              <w:bottom w:w="40" w:type="dxa"/>
              <w:right w:w="0" w:type="dxa"/>
            </w:tcMar>
            <w:vAlign w:val="bottom"/>
          </w:tcPr>
          <w:p w14:paraId="71D430FF" w14:textId="77777777" w:rsidR="006A3667" w:rsidRDefault="00045F32">
            <w:pPr>
              <w:jc w:val="right"/>
              <w:textAlignment w:val="bottom"/>
            </w:pPr>
            <w:r>
              <w:rPr>
                <w:rFonts w:ascii="Arial" w:eastAsia="宋体" w:hAnsi="Arial" w:cs="Arial"/>
                <w:b/>
                <w:bCs/>
                <w:color w:val="000000"/>
                <w:sz w:val="15"/>
                <w:szCs w:val="15"/>
              </w:rPr>
              <w:t>4,545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0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02" w14:textId="77777777" w:rsidR="006A3667" w:rsidRDefault="00045F32">
            <w:pPr>
              <w:jc w:val="right"/>
              <w:textAlignment w:val="bottom"/>
            </w:pPr>
            <w:r>
              <w:rPr>
                <w:rFonts w:ascii="Arial" w:eastAsia="宋体" w:hAnsi="Arial" w:cs="Arial"/>
                <w:color w:val="000000"/>
                <w:sz w:val="15"/>
                <w:szCs w:val="15"/>
              </w:rPr>
              <w:t>9,252 </w:t>
            </w:r>
          </w:p>
        </w:tc>
        <w:tc>
          <w:tcPr>
            <w:tcW w:w="0" w:type="auto"/>
            <w:shd w:val="clear" w:color="auto" w:fill="CCEEFF"/>
            <w:tcMar>
              <w:top w:w="40" w:type="dxa"/>
              <w:left w:w="0" w:type="dxa"/>
              <w:bottom w:w="40" w:type="dxa"/>
              <w:right w:w="20" w:type="dxa"/>
            </w:tcMar>
            <w:vAlign w:val="bottom"/>
          </w:tcPr>
          <w:p w14:paraId="71D43103" w14:textId="77777777" w:rsidR="006A3667" w:rsidRDefault="006A3667">
            <w:pPr>
              <w:jc w:val="right"/>
              <w:rPr>
                <w:rFonts w:ascii="宋体"/>
              </w:rPr>
            </w:pPr>
          </w:p>
        </w:tc>
        <w:tc>
          <w:tcPr>
            <w:tcW w:w="0" w:type="auto"/>
            <w:gridSpan w:val="3"/>
            <w:shd w:val="clear" w:color="auto" w:fill="auto"/>
            <w:vAlign w:val="bottom"/>
          </w:tcPr>
          <w:p w14:paraId="71D43104" w14:textId="77777777" w:rsidR="006A3667" w:rsidRDefault="006A3667">
            <w:pPr>
              <w:rPr>
                <w:rFonts w:ascii="宋体"/>
                <w:vanish/>
              </w:rPr>
            </w:pPr>
          </w:p>
        </w:tc>
        <w:tc>
          <w:tcPr>
            <w:tcW w:w="0" w:type="auto"/>
            <w:gridSpan w:val="3"/>
            <w:shd w:val="clear" w:color="auto" w:fill="auto"/>
            <w:vAlign w:val="bottom"/>
          </w:tcPr>
          <w:p w14:paraId="71D43105" w14:textId="77777777" w:rsidR="006A3667" w:rsidRDefault="006A3667">
            <w:pPr>
              <w:rPr>
                <w:rFonts w:ascii="宋体"/>
                <w:vanish/>
              </w:rPr>
            </w:pPr>
          </w:p>
        </w:tc>
      </w:tr>
      <w:tr w:rsidR="006A3667" w14:paraId="71D4310F" w14:textId="77777777">
        <w:trPr>
          <w:jc w:val="center"/>
        </w:trPr>
        <w:tc>
          <w:tcPr>
            <w:tcW w:w="0" w:type="auto"/>
            <w:gridSpan w:val="3"/>
            <w:shd w:val="clear" w:color="auto" w:fill="FFFFFF"/>
            <w:tcMar>
              <w:top w:w="40" w:type="dxa"/>
              <w:left w:w="20" w:type="dxa"/>
              <w:bottom w:w="40" w:type="dxa"/>
              <w:right w:w="20" w:type="dxa"/>
            </w:tcMar>
            <w:vAlign w:val="bottom"/>
          </w:tcPr>
          <w:p w14:paraId="71D43107" w14:textId="77777777" w:rsidR="006A3667" w:rsidRDefault="00045F32">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FFFFFF"/>
            <w:tcMar>
              <w:top w:w="40" w:type="dxa"/>
              <w:left w:w="20" w:type="dxa"/>
              <w:bottom w:w="40" w:type="dxa"/>
              <w:right w:w="0" w:type="dxa"/>
            </w:tcMar>
            <w:vAlign w:val="bottom"/>
          </w:tcPr>
          <w:p w14:paraId="71D43108" w14:textId="77777777" w:rsidR="006A3667" w:rsidRDefault="00045F32">
            <w:pPr>
              <w:jc w:val="right"/>
              <w:textAlignment w:val="bottom"/>
            </w:pPr>
            <w:r>
              <w:rPr>
                <w:rFonts w:ascii="Arial" w:eastAsia="宋体" w:hAnsi="Arial" w:cs="Arial"/>
                <w:b/>
                <w:bCs/>
                <w:color w:val="000000"/>
                <w:sz w:val="15"/>
                <w:szCs w:val="15"/>
              </w:rPr>
              <w:t>14,952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1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0B" w14:textId="77777777" w:rsidR="006A3667" w:rsidRDefault="00045F32">
            <w:pPr>
              <w:jc w:val="right"/>
              <w:textAlignment w:val="bottom"/>
            </w:pPr>
            <w:r>
              <w:rPr>
                <w:rFonts w:ascii="Arial" w:eastAsia="宋体" w:hAnsi="Arial" w:cs="Arial"/>
                <w:color w:val="000000"/>
                <w:sz w:val="15"/>
                <w:szCs w:val="15"/>
              </w:rPr>
              <w:t>16,281 </w:t>
            </w:r>
          </w:p>
        </w:tc>
        <w:tc>
          <w:tcPr>
            <w:tcW w:w="0" w:type="auto"/>
            <w:shd w:val="clear" w:color="auto" w:fill="FFFFFF"/>
            <w:tcMar>
              <w:top w:w="40" w:type="dxa"/>
              <w:left w:w="0" w:type="dxa"/>
              <w:bottom w:w="40" w:type="dxa"/>
              <w:right w:w="20" w:type="dxa"/>
            </w:tcMar>
            <w:vAlign w:val="bottom"/>
          </w:tcPr>
          <w:p w14:paraId="71D4310C" w14:textId="77777777" w:rsidR="006A3667" w:rsidRDefault="006A3667">
            <w:pPr>
              <w:jc w:val="right"/>
              <w:rPr>
                <w:rFonts w:ascii="宋体"/>
              </w:rPr>
            </w:pPr>
          </w:p>
        </w:tc>
        <w:tc>
          <w:tcPr>
            <w:tcW w:w="0" w:type="auto"/>
            <w:gridSpan w:val="3"/>
            <w:shd w:val="clear" w:color="auto" w:fill="auto"/>
            <w:vAlign w:val="bottom"/>
          </w:tcPr>
          <w:p w14:paraId="71D4310D" w14:textId="77777777" w:rsidR="006A3667" w:rsidRDefault="006A3667">
            <w:pPr>
              <w:rPr>
                <w:rFonts w:ascii="宋体"/>
                <w:vanish/>
              </w:rPr>
            </w:pPr>
          </w:p>
        </w:tc>
        <w:tc>
          <w:tcPr>
            <w:tcW w:w="0" w:type="auto"/>
            <w:gridSpan w:val="3"/>
            <w:shd w:val="clear" w:color="auto" w:fill="auto"/>
            <w:vAlign w:val="bottom"/>
          </w:tcPr>
          <w:p w14:paraId="71D4310E" w14:textId="77777777" w:rsidR="006A3667" w:rsidRDefault="006A3667">
            <w:pPr>
              <w:rPr>
                <w:rFonts w:ascii="宋体"/>
                <w:vanish/>
              </w:rPr>
            </w:pPr>
          </w:p>
        </w:tc>
      </w:tr>
      <w:tr w:rsidR="006A3667" w14:paraId="71D43118" w14:textId="77777777">
        <w:trPr>
          <w:jc w:val="center"/>
        </w:trPr>
        <w:tc>
          <w:tcPr>
            <w:tcW w:w="0" w:type="auto"/>
            <w:gridSpan w:val="3"/>
            <w:shd w:val="clear" w:color="auto" w:fill="CCEEFF"/>
            <w:tcMar>
              <w:top w:w="40" w:type="dxa"/>
              <w:left w:w="20" w:type="dxa"/>
              <w:bottom w:w="40" w:type="dxa"/>
              <w:right w:w="20" w:type="dxa"/>
            </w:tcMar>
            <w:vAlign w:val="bottom"/>
          </w:tcPr>
          <w:p w14:paraId="71D43110" w14:textId="77777777" w:rsidR="006A3667" w:rsidRDefault="00045F32">
            <w:pPr>
              <w:textAlignment w:val="bottom"/>
            </w:pPr>
            <w:r>
              <w:rPr>
                <w:rFonts w:ascii="Arial" w:eastAsia="宋体" w:hAnsi="Arial" w:cs="Arial"/>
                <w:color w:val="000000"/>
                <w:sz w:val="15"/>
                <w:szCs w:val="15"/>
              </w:rPr>
              <w:t>Purchases of available-for-sale securities</w:t>
            </w:r>
          </w:p>
        </w:tc>
        <w:tc>
          <w:tcPr>
            <w:tcW w:w="0" w:type="auto"/>
            <w:gridSpan w:val="2"/>
            <w:shd w:val="clear" w:color="auto" w:fill="CCEEFF"/>
            <w:tcMar>
              <w:top w:w="40" w:type="dxa"/>
              <w:left w:w="20" w:type="dxa"/>
              <w:bottom w:w="40" w:type="dxa"/>
              <w:right w:w="0" w:type="dxa"/>
            </w:tcMar>
            <w:vAlign w:val="bottom"/>
          </w:tcPr>
          <w:p w14:paraId="71D43111" w14:textId="77777777" w:rsidR="006A3667" w:rsidRDefault="00045F32">
            <w:pPr>
              <w:jc w:val="right"/>
              <w:textAlignment w:val="bottom"/>
            </w:pPr>
            <w:r>
              <w:rPr>
                <w:rFonts w:ascii="Arial" w:eastAsia="宋体" w:hAnsi="Arial" w:cs="Arial"/>
                <w:b/>
                <w:bCs/>
                <w:color w:val="000000"/>
                <w:sz w:val="15"/>
                <w:szCs w:val="15"/>
              </w:rPr>
              <w:t>(15,777)</w:t>
            </w:r>
          </w:p>
        </w:tc>
        <w:tc>
          <w:tcPr>
            <w:tcW w:w="0" w:type="auto"/>
            <w:shd w:val="clear" w:color="auto" w:fill="CCEEFF"/>
            <w:tcMar>
              <w:top w:w="40" w:type="dxa"/>
              <w:left w:w="0" w:type="dxa"/>
              <w:bottom w:w="40" w:type="dxa"/>
              <w:right w:w="20" w:type="dxa"/>
            </w:tcMar>
            <w:vAlign w:val="bottom"/>
          </w:tcPr>
          <w:p w14:paraId="71D431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1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14" w14:textId="77777777" w:rsidR="006A3667" w:rsidRDefault="00045F32">
            <w:pPr>
              <w:jc w:val="right"/>
              <w:textAlignment w:val="bottom"/>
            </w:pPr>
            <w:r>
              <w:rPr>
                <w:rFonts w:ascii="Arial" w:eastAsia="宋体" w:hAnsi="Arial" w:cs="Arial"/>
                <w:color w:val="000000"/>
                <w:sz w:val="15"/>
                <w:szCs w:val="15"/>
              </w:rPr>
              <w:t>(39,972)</w:t>
            </w:r>
          </w:p>
        </w:tc>
        <w:tc>
          <w:tcPr>
            <w:tcW w:w="0" w:type="auto"/>
            <w:shd w:val="clear" w:color="auto" w:fill="CCEEFF"/>
            <w:tcMar>
              <w:top w:w="40" w:type="dxa"/>
              <w:left w:w="0" w:type="dxa"/>
              <w:bottom w:w="40" w:type="dxa"/>
              <w:right w:w="20" w:type="dxa"/>
            </w:tcMar>
            <w:vAlign w:val="bottom"/>
          </w:tcPr>
          <w:p w14:paraId="71D43115" w14:textId="77777777" w:rsidR="006A3667" w:rsidRDefault="006A3667">
            <w:pPr>
              <w:jc w:val="right"/>
              <w:rPr>
                <w:rFonts w:ascii="宋体"/>
              </w:rPr>
            </w:pPr>
          </w:p>
        </w:tc>
        <w:tc>
          <w:tcPr>
            <w:tcW w:w="0" w:type="auto"/>
            <w:gridSpan w:val="3"/>
            <w:shd w:val="clear" w:color="auto" w:fill="auto"/>
            <w:vAlign w:val="bottom"/>
          </w:tcPr>
          <w:p w14:paraId="71D43116" w14:textId="77777777" w:rsidR="006A3667" w:rsidRDefault="006A3667">
            <w:pPr>
              <w:rPr>
                <w:rFonts w:ascii="宋体"/>
                <w:vanish/>
              </w:rPr>
            </w:pPr>
          </w:p>
        </w:tc>
        <w:tc>
          <w:tcPr>
            <w:tcW w:w="0" w:type="auto"/>
            <w:gridSpan w:val="3"/>
            <w:shd w:val="clear" w:color="auto" w:fill="auto"/>
            <w:vAlign w:val="bottom"/>
          </w:tcPr>
          <w:p w14:paraId="71D43117" w14:textId="77777777" w:rsidR="006A3667" w:rsidRDefault="006A3667">
            <w:pPr>
              <w:rPr>
                <w:rFonts w:ascii="宋体"/>
                <w:vanish/>
              </w:rPr>
            </w:pPr>
          </w:p>
        </w:tc>
      </w:tr>
      <w:tr w:rsidR="006A3667" w14:paraId="71D4311F" w14:textId="77777777">
        <w:trPr>
          <w:jc w:val="center"/>
          <w:hidden/>
        </w:trPr>
        <w:tc>
          <w:tcPr>
            <w:tcW w:w="0" w:type="auto"/>
            <w:gridSpan w:val="3"/>
            <w:shd w:val="clear" w:color="auto" w:fill="auto"/>
            <w:vAlign w:val="bottom"/>
          </w:tcPr>
          <w:p w14:paraId="71D43119" w14:textId="77777777" w:rsidR="006A3667" w:rsidRDefault="006A3667">
            <w:pPr>
              <w:rPr>
                <w:rFonts w:ascii="宋体"/>
                <w:vanish/>
              </w:rPr>
            </w:pPr>
          </w:p>
        </w:tc>
        <w:tc>
          <w:tcPr>
            <w:tcW w:w="0" w:type="auto"/>
            <w:gridSpan w:val="3"/>
            <w:shd w:val="clear" w:color="auto" w:fill="auto"/>
            <w:vAlign w:val="bottom"/>
          </w:tcPr>
          <w:p w14:paraId="71D4311A" w14:textId="77777777" w:rsidR="006A3667" w:rsidRDefault="006A3667">
            <w:pPr>
              <w:rPr>
                <w:rFonts w:ascii="宋体"/>
                <w:vanish/>
              </w:rPr>
            </w:pPr>
          </w:p>
        </w:tc>
        <w:tc>
          <w:tcPr>
            <w:tcW w:w="0" w:type="auto"/>
            <w:gridSpan w:val="3"/>
            <w:shd w:val="clear" w:color="auto" w:fill="auto"/>
            <w:vAlign w:val="bottom"/>
          </w:tcPr>
          <w:p w14:paraId="71D4311B" w14:textId="77777777" w:rsidR="006A3667" w:rsidRDefault="006A3667">
            <w:pPr>
              <w:rPr>
                <w:rFonts w:ascii="宋体"/>
                <w:vanish/>
              </w:rPr>
            </w:pPr>
          </w:p>
        </w:tc>
        <w:tc>
          <w:tcPr>
            <w:tcW w:w="0" w:type="auto"/>
            <w:gridSpan w:val="3"/>
            <w:shd w:val="clear" w:color="auto" w:fill="auto"/>
            <w:vAlign w:val="bottom"/>
          </w:tcPr>
          <w:p w14:paraId="71D4311C" w14:textId="77777777" w:rsidR="006A3667" w:rsidRDefault="006A3667">
            <w:pPr>
              <w:rPr>
                <w:rFonts w:ascii="宋体"/>
                <w:vanish/>
              </w:rPr>
            </w:pPr>
          </w:p>
        </w:tc>
        <w:tc>
          <w:tcPr>
            <w:tcW w:w="0" w:type="auto"/>
            <w:gridSpan w:val="3"/>
            <w:shd w:val="clear" w:color="auto" w:fill="auto"/>
            <w:vAlign w:val="bottom"/>
          </w:tcPr>
          <w:p w14:paraId="71D4311D" w14:textId="77777777" w:rsidR="006A3667" w:rsidRDefault="006A3667">
            <w:pPr>
              <w:rPr>
                <w:rFonts w:ascii="宋体"/>
                <w:vanish/>
              </w:rPr>
            </w:pPr>
          </w:p>
        </w:tc>
        <w:tc>
          <w:tcPr>
            <w:tcW w:w="0" w:type="auto"/>
            <w:gridSpan w:val="3"/>
            <w:shd w:val="clear" w:color="auto" w:fill="auto"/>
            <w:vAlign w:val="bottom"/>
          </w:tcPr>
          <w:p w14:paraId="71D4311E" w14:textId="77777777" w:rsidR="006A3667" w:rsidRDefault="006A3667">
            <w:pPr>
              <w:rPr>
                <w:rFonts w:ascii="宋体"/>
                <w:vanish/>
              </w:rPr>
            </w:pPr>
          </w:p>
        </w:tc>
      </w:tr>
      <w:tr w:rsidR="006A3667" w14:paraId="71D43126" w14:textId="77777777">
        <w:trPr>
          <w:jc w:val="center"/>
          <w:hidden/>
        </w:trPr>
        <w:tc>
          <w:tcPr>
            <w:tcW w:w="0" w:type="auto"/>
            <w:gridSpan w:val="3"/>
            <w:shd w:val="clear" w:color="auto" w:fill="auto"/>
            <w:vAlign w:val="bottom"/>
          </w:tcPr>
          <w:p w14:paraId="71D43120" w14:textId="77777777" w:rsidR="006A3667" w:rsidRDefault="006A3667">
            <w:pPr>
              <w:rPr>
                <w:rFonts w:ascii="宋体"/>
                <w:vanish/>
              </w:rPr>
            </w:pPr>
          </w:p>
        </w:tc>
        <w:tc>
          <w:tcPr>
            <w:tcW w:w="0" w:type="auto"/>
            <w:gridSpan w:val="3"/>
            <w:shd w:val="clear" w:color="auto" w:fill="auto"/>
            <w:vAlign w:val="bottom"/>
          </w:tcPr>
          <w:p w14:paraId="71D43121" w14:textId="77777777" w:rsidR="006A3667" w:rsidRDefault="006A3667">
            <w:pPr>
              <w:rPr>
                <w:rFonts w:ascii="宋体"/>
                <w:vanish/>
              </w:rPr>
            </w:pPr>
          </w:p>
        </w:tc>
        <w:tc>
          <w:tcPr>
            <w:tcW w:w="0" w:type="auto"/>
            <w:gridSpan w:val="3"/>
            <w:shd w:val="clear" w:color="auto" w:fill="auto"/>
            <w:vAlign w:val="bottom"/>
          </w:tcPr>
          <w:p w14:paraId="71D43122" w14:textId="77777777" w:rsidR="006A3667" w:rsidRDefault="006A3667">
            <w:pPr>
              <w:rPr>
                <w:rFonts w:ascii="宋体"/>
                <w:vanish/>
              </w:rPr>
            </w:pPr>
          </w:p>
        </w:tc>
        <w:tc>
          <w:tcPr>
            <w:tcW w:w="0" w:type="auto"/>
            <w:gridSpan w:val="3"/>
            <w:shd w:val="clear" w:color="auto" w:fill="auto"/>
            <w:vAlign w:val="bottom"/>
          </w:tcPr>
          <w:p w14:paraId="71D43123" w14:textId="77777777" w:rsidR="006A3667" w:rsidRDefault="006A3667">
            <w:pPr>
              <w:rPr>
                <w:rFonts w:ascii="宋体"/>
                <w:vanish/>
              </w:rPr>
            </w:pPr>
          </w:p>
        </w:tc>
        <w:tc>
          <w:tcPr>
            <w:tcW w:w="0" w:type="auto"/>
            <w:gridSpan w:val="3"/>
            <w:shd w:val="clear" w:color="auto" w:fill="auto"/>
            <w:vAlign w:val="bottom"/>
          </w:tcPr>
          <w:p w14:paraId="71D43124" w14:textId="77777777" w:rsidR="006A3667" w:rsidRDefault="006A3667">
            <w:pPr>
              <w:rPr>
                <w:rFonts w:ascii="宋体"/>
                <w:vanish/>
              </w:rPr>
            </w:pPr>
          </w:p>
        </w:tc>
        <w:tc>
          <w:tcPr>
            <w:tcW w:w="0" w:type="auto"/>
            <w:gridSpan w:val="3"/>
            <w:shd w:val="clear" w:color="auto" w:fill="auto"/>
            <w:vAlign w:val="bottom"/>
          </w:tcPr>
          <w:p w14:paraId="71D43125" w14:textId="77777777" w:rsidR="006A3667" w:rsidRDefault="006A3667">
            <w:pPr>
              <w:rPr>
                <w:rFonts w:ascii="宋体"/>
                <w:vanish/>
              </w:rPr>
            </w:pPr>
          </w:p>
        </w:tc>
      </w:tr>
      <w:tr w:rsidR="006A3667" w14:paraId="71D4312D" w14:textId="77777777">
        <w:trPr>
          <w:jc w:val="center"/>
          <w:hidden/>
        </w:trPr>
        <w:tc>
          <w:tcPr>
            <w:tcW w:w="0" w:type="auto"/>
            <w:gridSpan w:val="3"/>
            <w:shd w:val="clear" w:color="auto" w:fill="auto"/>
            <w:vAlign w:val="bottom"/>
          </w:tcPr>
          <w:p w14:paraId="71D43127" w14:textId="77777777" w:rsidR="006A3667" w:rsidRDefault="006A3667">
            <w:pPr>
              <w:rPr>
                <w:rFonts w:ascii="宋体"/>
                <w:vanish/>
              </w:rPr>
            </w:pPr>
          </w:p>
        </w:tc>
        <w:tc>
          <w:tcPr>
            <w:tcW w:w="0" w:type="auto"/>
            <w:gridSpan w:val="3"/>
            <w:shd w:val="clear" w:color="auto" w:fill="auto"/>
            <w:vAlign w:val="bottom"/>
          </w:tcPr>
          <w:p w14:paraId="71D43128" w14:textId="77777777" w:rsidR="006A3667" w:rsidRDefault="006A3667">
            <w:pPr>
              <w:rPr>
                <w:rFonts w:ascii="宋体"/>
                <w:vanish/>
              </w:rPr>
            </w:pPr>
          </w:p>
        </w:tc>
        <w:tc>
          <w:tcPr>
            <w:tcW w:w="0" w:type="auto"/>
            <w:gridSpan w:val="3"/>
            <w:shd w:val="clear" w:color="auto" w:fill="auto"/>
            <w:vAlign w:val="bottom"/>
          </w:tcPr>
          <w:p w14:paraId="71D43129" w14:textId="77777777" w:rsidR="006A3667" w:rsidRDefault="006A3667">
            <w:pPr>
              <w:rPr>
                <w:rFonts w:ascii="宋体"/>
                <w:vanish/>
              </w:rPr>
            </w:pPr>
          </w:p>
        </w:tc>
        <w:tc>
          <w:tcPr>
            <w:tcW w:w="0" w:type="auto"/>
            <w:gridSpan w:val="3"/>
            <w:shd w:val="clear" w:color="auto" w:fill="auto"/>
            <w:vAlign w:val="bottom"/>
          </w:tcPr>
          <w:p w14:paraId="71D4312A" w14:textId="77777777" w:rsidR="006A3667" w:rsidRDefault="006A3667">
            <w:pPr>
              <w:rPr>
                <w:rFonts w:ascii="宋体"/>
                <w:vanish/>
              </w:rPr>
            </w:pPr>
          </w:p>
        </w:tc>
        <w:tc>
          <w:tcPr>
            <w:tcW w:w="0" w:type="auto"/>
            <w:gridSpan w:val="3"/>
            <w:shd w:val="clear" w:color="auto" w:fill="auto"/>
            <w:vAlign w:val="bottom"/>
          </w:tcPr>
          <w:p w14:paraId="71D4312B" w14:textId="77777777" w:rsidR="006A3667" w:rsidRDefault="006A3667">
            <w:pPr>
              <w:rPr>
                <w:rFonts w:ascii="宋体"/>
                <w:vanish/>
              </w:rPr>
            </w:pPr>
          </w:p>
        </w:tc>
        <w:tc>
          <w:tcPr>
            <w:tcW w:w="0" w:type="auto"/>
            <w:gridSpan w:val="3"/>
            <w:shd w:val="clear" w:color="auto" w:fill="auto"/>
            <w:vAlign w:val="bottom"/>
          </w:tcPr>
          <w:p w14:paraId="71D4312C" w14:textId="77777777" w:rsidR="006A3667" w:rsidRDefault="006A3667">
            <w:pPr>
              <w:rPr>
                <w:rFonts w:ascii="宋体"/>
                <w:vanish/>
              </w:rPr>
            </w:pPr>
          </w:p>
        </w:tc>
      </w:tr>
      <w:tr w:rsidR="006A3667" w14:paraId="71D43136" w14:textId="77777777">
        <w:trPr>
          <w:jc w:val="center"/>
        </w:trPr>
        <w:tc>
          <w:tcPr>
            <w:tcW w:w="0" w:type="auto"/>
            <w:gridSpan w:val="3"/>
            <w:shd w:val="clear" w:color="auto" w:fill="FFFFFF"/>
            <w:tcMar>
              <w:top w:w="40" w:type="dxa"/>
              <w:left w:w="20" w:type="dxa"/>
              <w:bottom w:w="40" w:type="dxa"/>
              <w:right w:w="20" w:type="dxa"/>
            </w:tcMar>
            <w:vAlign w:val="bottom"/>
          </w:tcPr>
          <w:p w14:paraId="71D4312E" w14:textId="77777777" w:rsidR="006A3667" w:rsidRDefault="00045F32">
            <w:pPr>
              <w:textAlignment w:val="bottom"/>
            </w:pPr>
            <w:r>
              <w:rPr>
                <w:rFonts w:ascii="Arial" w:eastAsia="宋体" w:hAnsi="Arial" w:cs="Arial"/>
                <w:color w:val="000000"/>
                <w:sz w:val="15"/>
                <w:szCs w:val="15"/>
              </w:rPr>
              <w:t xml:space="preserve">Proceeds from maturities of </w:t>
            </w:r>
            <w:r>
              <w:rPr>
                <w:rFonts w:ascii="Arial" w:eastAsia="宋体" w:hAnsi="Arial" w:cs="Arial"/>
                <w:color w:val="000000"/>
                <w:sz w:val="15"/>
                <w:szCs w:val="15"/>
              </w:rPr>
              <w:t>held-to-maturity securities under the MMLF program</w:t>
            </w:r>
          </w:p>
        </w:tc>
        <w:tc>
          <w:tcPr>
            <w:tcW w:w="0" w:type="auto"/>
            <w:gridSpan w:val="2"/>
            <w:shd w:val="clear" w:color="auto" w:fill="FFFFFF"/>
            <w:tcMar>
              <w:top w:w="40" w:type="dxa"/>
              <w:left w:w="20" w:type="dxa"/>
              <w:bottom w:w="40" w:type="dxa"/>
              <w:right w:w="0" w:type="dxa"/>
            </w:tcMar>
            <w:vAlign w:val="bottom"/>
          </w:tcPr>
          <w:p w14:paraId="71D4312F"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13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3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32" w14:textId="77777777" w:rsidR="006A3667" w:rsidRDefault="00045F32">
            <w:pPr>
              <w:jc w:val="right"/>
              <w:textAlignment w:val="bottom"/>
            </w:pPr>
            <w:r>
              <w:rPr>
                <w:rFonts w:ascii="Arial" w:eastAsia="宋体" w:hAnsi="Arial" w:cs="Arial"/>
                <w:color w:val="000000"/>
                <w:sz w:val="15"/>
                <w:szCs w:val="15"/>
              </w:rPr>
              <w:t>3,299 </w:t>
            </w:r>
          </w:p>
        </w:tc>
        <w:tc>
          <w:tcPr>
            <w:tcW w:w="0" w:type="auto"/>
            <w:shd w:val="clear" w:color="auto" w:fill="FFFFFF"/>
            <w:tcMar>
              <w:top w:w="40" w:type="dxa"/>
              <w:left w:w="0" w:type="dxa"/>
              <w:bottom w:w="40" w:type="dxa"/>
              <w:right w:w="20" w:type="dxa"/>
            </w:tcMar>
            <w:vAlign w:val="bottom"/>
          </w:tcPr>
          <w:p w14:paraId="71D43133" w14:textId="77777777" w:rsidR="006A3667" w:rsidRDefault="006A3667">
            <w:pPr>
              <w:jc w:val="right"/>
              <w:rPr>
                <w:rFonts w:ascii="宋体"/>
              </w:rPr>
            </w:pPr>
          </w:p>
        </w:tc>
        <w:tc>
          <w:tcPr>
            <w:tcW w:w="0" w:type="auto"/>
            <w:gridSpan w:val="3"/>
            <w:shd w:val="clear" w:color="auto" w:fill="auto"/>
            <w:vAlign w:val="bottom"/>
          </w:tcPr>
          <w:p w14:paraId="71D43134" w14:textId="77777777" w:rsidR="006A3667" w:rsidRDefault="006A3667">
            <w:pPr>
              <w:rPr>
                <w:rFonts w:ascii="宋体"/>
                <w:vanish/>
              </w:rPr>
            </w:pPr>
          </w:p>
        </w:tc>
        <w:tc>
          <w:tcPr>
            <w:tcW w:w="0" w:type="auto"/>
            <w:gridSpan w:val="3"/>
            <w:shd w:val="clear" w:color="auto" w:fill="auto"/>
            <w:vAlign w:val="bottom"/>
          </w:tcPr>
          <w:p w14:paraId="71D43135" w14:textId="77777777" w:rsidR="006A3667" w:rsidRDefault="006A3667">
            <w:pPr>
              <w:rPr>
                <w:rFonts w:ascii="宋体"/>
                <w:vanish/>
              </w:rPr>
            </w:pPr>
          </w:p>
        </w:tc>
      </w:tr>
      <w:tr w:rsidR="006A3667" w14:paraId="71D4313F" w14:textId="77777777">
        <w:trPr>
          <w:jc w:val="center"/>
        </w:trPr>
        <w:tc>
          <w:tcPr>
            <w:tcW w:w="0" w:type="auto"/>
            <w:gridSpan w:val="3"/>
            <w:shd w:val="clear" w:color="auto" w:fill="CCEEFF"/>
            <w:tcMar>
              <w:top w:w="40" w:type="dxa"/>
              <w:left w:w="20" w:type="dxa"/>
              <w:bottom w:w="40" w:type="dxa"/>
              <w:right w:w="20" w:type="dxa"/>
            </w:tcMar>
            <w:vAlign w:val="bottom"/>
          </w:tcPr>
          <w:p w14:paraId="71D43137" w14:textId="77777777" w:rsidR="006A3667" w:rsidRDefault="00045F32">
            <w:pPr>
              <w:textAlignment w:val="bottom"/>
            </w:pPr>
            <w:r>
              <w:rPr>
                <w:rFonts w:ascii="Arial" w:eastAsia="宋体" w:hAnsi="Arial" w:cs="Arial"/>
                <w:color w:val="000000"/>
                <w:sz w:val="15"/>
                <w:szCs w:val="15"/>
              </w:rPr>
              <w:t>Proceeds from maturities of held-to-maturity securities</w:t>
            </w:r>
          </w:p>
        </w:tc>
        <w:tc>
          <w:tcPr>
            <w:tcW w:w="0" w:type="auto"/>
            <w:gridSpan w:val="2"/>
            <w:shd w:val="clear" w:color="auto" w:fill="CCEEFF"/>
            <w:tcMar>
              <w:top w:w="40" w:type="dxa"/>
              <w:left w:w="20" w:type="dxa"/>
              <w:bottom w:w="40" w:type="dxa"/>
              <w:right w:w="0" w:type="dxa"/>
            </w:tcMar>
            <w:vAlign w:val="bottom"/>
          </w:tcPr>
          <w:p w14:paraId="71D43138" w14:textId="77777777" w:rsidR="006A3667" w:rsidRDefault="00045F32">
            <w:pPr>
              <w:jc w:val="right"/>
              <w:textAlignment w:val="bottom"/>
            </w:pPr>
            <w:r>
              <w:rPr>
                <w:rFonts w:ascii="Arial" w:eastAsia="宋体" w:hAnsi="Arial" w:cs="Arial"/>
                <w:b/>
                <w:bCs/>
                <w:color w:val="000000"/>
                <w:sz w:val="15"/>
                <w:szCs w:val="15"/>
              </w:rPr>
              <w:t>8,098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3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3B" w14:textId="77777777" w:rsidR="006A3667" w:rsidRDefault="00045F32">
            <w:pPr>
              <w:jc w:val="right"/>
              <w:textAlignment w:val="bottom"/>
            </w:pPr>
            <w:r>
              <w:rPr>
                <w:rFonts w:ascii="Arial" w:eastAsia="宋体" w:hAnsi="Arial" w:cs="Arial"/>
                <w:color w:val="000000"/>
                <w:sz w:val="15"/>
                <w:szCs w:val="15"/>
              </w:rPr>
              <w:t>12,564 </w:t>
            </w:r>
          </w:p>
        </w:tc>
        <w:tc>
          <w:tcPr>
            <w:tcW w:w="0" w:type="auto"/>
            <w:shd w:val="clear" w:color="auto" w:fill="CCEEFF"/>
            <w:tcMar>
              <w:top w:w="40" w:type="dxa"/>
              <w:left w:w="0" w:type="dxa"/>
              <w:bottom w:w="40" w:type="dxa"/>
              <w:right w:w="20" w:type="dxa"/>
            </w:tcMar>
            <w:vAlign w:val="bottom"/>
          </w:tcPr>
          <w:p w14:paraId="71D4313C" w14:textId="77777777" w:rsidR="006A3667" w:rsidRDefault="006A3667">
            <w:pPr>
              <w:jc w:val="right"/>
              <w:rPr>
                <w:rFonts w:ascii="宋体"/>
              </w:rPr>
            </w:pPr>
          </w:p>
        </w:tc>
        <w:tc>
          <w:tcPr>
            <w:tcW w:w="0" w:type="auto"/>
            <w:gridSpan w:val="3"/>
            <w:shd w:val="clear" w:color="auto" w:fill="auto"/>
            <w:vAlign w:val="bottom"/>
          </w:tcPr>
          <w:p w14:paraId="71D4313D" w14:textId="77777777" w:rsidR="006A3667" w:rsidRDefault="006A3667">
            <w:pPr>
              <w:rPr>
                <w:rFonts w:ascii="宋体"/>
                <w:vanish/>
              </w:rPr>
            </w:pPr>
          </w:p>
        </w:tc>
        <w:tc>
          <w:tcPr>
            <w:tcW w:w="0" w:type="auto"/>
            <w:gridSpan w:val="3"/>
            <w:shd w:val="clear" w:color="auto" w:fill="auto"/>
            <w:vAlign w:val="bottom"/>
          </w:tcPr>
          <w:p w14:paraId="71D4313E" w14:textId="77777777" w:rsidR="006A3667" w:rsidRDefault="006A3667">
            <w:pPr>
              <w:rPr>
                <w:rFonts w:ascii="宋体"/>
                <w:vanish/>
              </w:rPr>
            </w:pPr>
          </w:p>
        </w:tc>
      </w:tr>
      <w:tr w:rsidR="006A3667" w14:paraId="71D43148" w14:textId="77777777">
        <w:trPr>
          <w:jc w:val="center"/>
        </w:trPr>
        <w:tc>
          <w:tcPr>
            <w:tcW w:w="0" w:type="auto"/>
            <w:gridSpan w:val="3"/>
            <w:shd w:val="clear" w:color="auto" w:fill="FFFFFF"/>
            <w:tcMar>
              <w:top w:w="40" w:type="dxa"/>
              <w:left w:w="20" w:type="dxa"/>
              <w:bottom w:w="40" w:type="dxa"/>
              <w:right w:w="20" w:type="dxa"/>
            </w:tcMar>
            <w:vAlign w:val="bottom"/>
          </w:tcPr>
          <w:p w14:paraId="71D43140" w14:textId="77777777" w:rsidR="006A3667" w:rsidRDefault="00045F32">
            <w:pPr>
              <w:textAlignment w:val="bottom"/>
            </w:pPr>
            <w:r>
              <w:rPr>
                <w:rFonts w:ascii="Arial" w:eastAsia="宋体" w:hAnsi="Arial" w:cs="Arial"/>
                <w:color w:val="000000"/>
                <w:sz w:val="15"/>
                <w:szCs w:val="15"/>
              </w:rPr>
              <w:t>Purchases of held-to-maturity securities</w:t>
            </w:r>
          </w:p>
        </w:tc>
        <w:tc>
          <w:tcPr>
            <w:tcW w:w="0" w:type="auto"/>
            <w:gridSpan w:val="2"/>
            <w:shd w:val="clear" w:color="auto" w:fill="FFFFFF"/>
            <w:tcMar>
              <w:top w:w="40" w:type="dxa"/>
              <w:left w:w="20" w:type="dxa"/>
              <w:bottom w:w="40" w:type="dxa"/>
              <w:right w:w="0" w:type="dxa"/>
            </w:tcMar>
            <w:vAlign w:val="bottom"/>
          </w:tcPr>
          <w:p w14:paraId="71D43141" w14:textId="77777777" w:rsidR="006A3667" w:rsidRDefault="00045F32">
            <w:pPr>
              <w:jc w:val="right"/>
              <w:textAlignment w:val="bottom"/>
            </w:pPr>
            <w:r>
              <w:rPr>
                <w:rFonts w:ascii="Arial" w:eastAsia="宋体" w:hAnsi="Arial" w:cs="Arial"/>
                <w:b/>
                <w:bCs/>
                <w:color w:val="000000"/>
                <w:sz w:val="15"/>
                <w:szCs w:val="15"/>
              </w:rPr>
              <w:t>(7,755)</w:t>
            </w:r>
          </w:p>
        </w:tc>
        <w:tc>
          <w:tcPr>
            <w:tcW w:w="0" w:type="auto"/>
            <w:shd w:val="clear" w:color="auto" w:fill="FFFFFF"/>
            <w:tcMar>
              <w:top w:w="40" w:type="dxa"/>
              <w:left w:w="0" w:type="dxa"/>
              <w:bottom w:w="40" w:type="dxa"/>
              <w:right w:w="20" w:type="dxa"/>
            </w:tcMar>
            <w:vAlign w:val="bottom"/>
          </w:tcPr>
          <w:p w14:paraId="71D431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4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44" w14:textId="77777777" w:rsidR="006A3667" w:rsidRDefault="00045F32">
            <w:pPr>
              <w:jc w:val="right"/>
              <w:textAlignment w:val="bottom"/>
            </w:pPr>
            <w:r>
              <w:rPr>
                <w:rFonts w:ascii="Arial" w:eastAsia="宋体" w:hAnsi="Arial" w:cs="Arial"/>
                <w:color w:val="000000"/>
                <w:sz w:val="15"/>
                <w:szCs w:val="15"/>
              </w:rPr>
              <w:t>(5,984)</w:t>
            </w:r>
          </w:p>
        </w:tc>
        <w:tc>
          <w:tcPr>
            <w:tcW w:w="0" w:type="auto"/>
            <w:shd w:val="clear" w:color="auto" w:fill="FFFFFF"/>
            <w:tcMar>
              <w:top w:w="40" w:type="dxa"/>
              <w:left w:w="0" w:type="dxa"/>
              <w:bottom w:w="40" w:type="dxa"/>
              <w:right w:w="20" w:type="dxa"/>
            </w:tcMar>
            <w:vAlign w:val="bottom"/>
          </w:tcPr>
          <w:p w14:paraId="71D43145" w14:textId="77777777" w:rsidR="006A3667" w:rsidRDefault="006A3667">
            <w:pPr>
              <w:jc w:val="right"/>
              <w:rPr>
                <w:rFonts w:ascii="宋体"/>
              </w:rPr>
            </w:pPr>
          </w:p>
        </w:tc>
        <w:tc>
          <w:tcPr>
            <w:tcW w:w="0" w:type="auto"/>
            <w:gridSpan w:val="3"/>
            <w:shd w:val="clear" w:color="auto" w:fill="auto"/>
            <w:vAlign w:val="bottom"/>
          </w:tcPr>
          <w:p w14:paraId="71D43146" w14:textId="77777777" w:rsidR="006A3667" w:rsidRDefault="006A3667">
            <w:pPr>
              <w:rPr>
                <w:rFonts w:ascii="宋体"/>
                <w:vanish/>
              </w:rPr>
            </w:pPr>
          </w:p>
        </w:tc>
        <w:tc>
          <w:tcPr>
            <w:tcW w:w="0" w:type="auto"/>
            <w:gridSpan w:val="3"/>
            <w:shd w:val="clear" w:color="auto" w:fill="auto"/>
            <w:vAlign w:val="bottom"/>
          </w:tcPr>
          <w:p w14:paraId="71D43147" w14:textId="77777777" w:rsidR="006A3667" w:rsidRDefault="006A3667">
            <w:pPr>
              <w:rPr>
                <w:rFonts w:ascii="宋体"/>
                <w:vanish/>
              </w:rPr>
            </w:pPr>
          </w:p>
        </w:tc>
      </w:tr>
      <w:tr w:rsidR="006A3667" w14:paraId="71D43151" w14:textId="77777777">
        <w:trPr>
          <w:jc w:val="center"/>
        </w:trPr>
        <w:tc>
          <w:tcPr>
            <w:tcW w:w="0" w:type="auto"/>
            <w:gridSpan w:val="3"/>
            <w:shd w:val="clear" w:color="auto" w:fill="CCEEFF"/>
            <w:tcMar>
              <w:top w:w="40" w:type="dxa"/>
              <w:left w:w="20" w:type="dxa"/>
              <w:bottom w:w="40" w:type="dxa"/>
              <w:right w:w="20" w:type="dxa"/>
            </w:tcMar>
            <w:vAlign w:val="bottom"/>
          </w:tcPr>
          <w:p w14:paraId="71D43149" w14:textId="77777777" w:rsidR="006A3667" w:rsidRDefault="00045F32">
            <w:pPr>
              <w:textAlignment w:val="bottom"/>
            </w:pPr>
            <w:r>
              <w:rPr>
                <w:rFonts w:ascii="Arial" w:eastAsia="宋体" w:hAnsi="Arial" w:cs="Arial"/>
                <w:color w:val="000000"/>
                <w:sz w:val="15"/>
                <w:szCs w:val="15"/>
              </w:rPr>
              <w:t>Sale of loans</w:t>
            </w:r>
          </w:p>
        </w:tc>
        <w:tc>
          <w:tcPr>
            <w:tcW w:w="0" w:type="auto"/>
            <w:gridSpan w:val="2"/>
            <w:shd w:val="clear" w:color="auto" w:fill="CCEEFF"/>
            <w:tcMar>
              <w:top w:w="40" w:type="dxa"/>
              <w:left w:w="20" w:type="dxa"/>
              <w:bottom w:w="40" w:type="dxa"/>
              <w:right w:w="0" w:type="dxa"/>
            </w:tcMar>
            <w:vAlign w:val="bottom"/>
          </w:tcPr>
          <w:p w14:paraId="71D4314A" w14:textId="77777777" w:rsidR="006A3667" w:rsidRDefault="00045F32">
            <w:pPr>
              <w:jc w:val="right"/>
              <w:textAlignment w:val="bottom"/>
            </w:pPr>
            <w:r>
              <w:rPr>
                <w:rFonts w:ascii="Arial" w:eastAsia="宋体" w:hAnsi="Arial" w:cs="Arial"/>
                <w:b/>
                <w:bCs/>
                <w:color w:val="000000"/>
                <w:sz w:val="15"/>
                <w:szCs w:val="15"/>
              </w:rPr>
              <w:t>1,739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4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4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4D" w14:textId="77777777" w:rsidR="006A3667" w:rsidRDefault="00045F32">
            <w:pPr>
              <w:jc w:val="right"/>
              <w:textAlignment w:val="bottom"/>
            </w:pPr>
            <w:r>
              <w:rPr>
                <w:rFonts w:ascii="Arial" w:eastAsia="宋体" w:hAnsi="Arial" w:cs="Arial"/>
                <w:color w:val="000000"/>
                <w:sz w:val="15"/>
                <w:szCs w:val="15"/>
              </w:rPr>
              <w:t>64 </w:t>
            </w:r>
          </w:p>
        </w:tc>
        <w:tc>
          <w:tcPr>
            <w:tcW w:w="0" w:type="auto"/>
            <w:shd w:val="clear" w:color="auto" w:fill="CCEEFF"/>
            <w:tcMar>
              <w:top w:w="40" w:type="dxa"/>
              <w:left w:w="0" w:type="dxa"/>
              <w:bottom w:w="40" w:type="dxa"/>
              <w:right w:w="20" w:type="dxa"/>
            </w:tcMar>
            <w:vAlign w:val="bottom"/>
          </w:tcPr>
          <w:p w14:paraId="71D4314E" w14:textId="77777777" w:rsidR="006A3667" w:rsidRDefault="006A3667">
            <w:pPr>
              <w:jc w:val="right"/>
              <w:rPr>
                <w:rFonts w:ascii="宋体"/>
              </w:rPr>
            </w:pPr>
          </w:p>
        </w:tc>
        <w:tc>
          <w:tcPr>
            <w:tcW w:w="0" w:type="auto"/>
            <w:gridSpan w:val="3"/>
            <w:shd w:val="clear" w:color="auto" w:fill="auto"/>
            <w:vAlign w:val="bottom"/>
          </w:tcPr>
          <w:p w14:paraId="71D4314F" w14:textId="77777777" w:rsidR="006A3667" w:rsidRDefault="006A3667">
            <w:pPr>
              <w:rPr>
                <w:rFonts w:ascii="宋体"/>
                <w:vanish/>
              </w:rPr>
            </w:pPr>
          </w:p>
        </w:tc>
        <w:tc>
          <w:tcPr>
            <w:tcW w:w="0" w:type="auto"/>
            <w:gridSpan w:val="3"/>
            <w:shd w:val="clear" w:color="auto" w:fill="auto"/>
            <w:vAlign w:val="bottom"/>
          </w:tcPr>
          <w:p w14:paraId="71D43150" w14:textId="77777777" w:rsidR="006A3667" w:rsidRDefault="006A3667">
            <w:pPr>
              <w:rPr>
                <w:rFonts w:ascii="宋体"/>
                <w:vanish/>
              </w:rPr>
            </w:pPr>
          </w:p>
        </w:tc>
      </w:tr>
      <w:tr w:rsidR="006A3667" w14:paraId="71D4315A" w14:textId="77777777">
        <w:trPr>
          <w:jc w:val="center"/>
        </w:trPr>
        <w:tc>
          <w:tcPr>
            <w:tcW w:w="0" w:type="auto"/>
            <w:gridSpan w:val="3"/>
            <w:shd w:val="clear" w:color="auto" w:fill="FFFFFF"/>
            <w:tcMar>
              <w:top w:w="40" w:type="dxa"/>
              <w:left w:w="20" w:type="dxa"/>
              <w:bottom w:w="40" w:type="dxa"/>
              <w:right w:w="20" w:type="dxa"/>
            </w:tcMar>
            <w:vAlign w:val="bottom"/>
          </w:tcPr>
          <w:p w14:paraId="71D43152" w14:textId="77777777" w:rsidR="006A3667" w:rsidRDefault="00045F32">
            <w:pPr>
              <w:textAlignment w:val="bottom"/>
            </w:pPr>
            <w:r>
              <w:rPr>
                <w:rFonts w:ascii="Arial" w:eastAsia="宋体" w:hAnsi="Arial" w:cs="Arial"/>
                <w:color w:val="000000"/>
                <w:sz w:val="15"/>
                <w:szCs w:val="15"/>
              </w:rPr>
              <w:t xml:space="preserve">Net </w:t>
            </w:r>
            <w:r>
              <w:rPr>
                <w:rFonts w:ascii="Arial" w:eastAsia="宋体" w:hAnsi="Arial" w:cs="Arial"/>
                <w:color w:val="000000"/>
                <w:sz w:val="15"/>
                <w:szCs w:val="15"/>
              </w:rPr>
              <w:t>(increase) in loans</w:t>
            </w:r>
          </w:p>
        </w:tc>
        <w:tc>
          <w:tcPr>
            <w:tcW w:w="0" w:type="auto"/>
            <w:gridSpan w:val="2"/>
            <w:shd w:val="clear" w:color="auto" w:fill="FFFFFF"/>
            <w:tcMar>
              <w:top w:w="40" w:type="dxa"/>
              <w:left w:w="20" w:type="dxa"/>
              <w:bottom w:w="40" w:type="dxa"/>
              <w:right w:w="0" w:type="dxa"/>
            </w:tcMar>
            <w:vAlign w:val="bottom"/>
          </w:tcPr>
          <w:p w14:paraId="71D43153" w14:textId="77777777" w:rsidR="006A3667" w:rsidRDefault="00045F32">
            <w:pPr>
              <w:jc w:val="right"/>
              <w:textAlignment w:val="bottom"/>
            </w:pPr>
            <w:r>
              <w:rPr>
                <w:rFonts w:ascii="Arial" w:eastAsia="宋体" w:hAnsi="Arial" w:cs="Arial"/>
                <w:b/>
                <w:bCs/>
                <w:color w:val="000000"/>
                <w:sz w:val="15"/>
                <w:szCs w:val="15"/>
              </w:rPr>
              <w:t>(6,134)</w:t>
            </w:r>
          </w:p>
        </w:tc>
        <w:tc>
          <w:tcPr>
            <w:tcW w:w="0" w:type="auto"/>
            <w:shd w:val="clear" w:color="auto" w:fill="FFFFFF"/>
            <w:tcMar>
              <w:top w:w="40" w:type="dxa"/>
              <w:left w:w="0" w:type="dxa"/>
              <w:bottom w:w="40" w:type="dxa"/>
              <w:right w:w="20" w:type="dxa"/>
            </w:tcMar>
            <w:vAlign w:val="bottom"/>
          </w:tcPr>
          <w:p w14:paraId="71D431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56" w14:textId="77777777" w:rsidR="006A3667" w:rsidRDefault="00045F32">
            <w:pPr>
              <w:jc w:val="right"/>
              <w:textAlignment w:val="bottom"/>
            </w:pPr>
            <w:r>
              <w:rPr>
                <w:rFonts w:ascii="Arial" w:eastAsia="宋体" w:hAnsi="Arial" w:cs="Arial"/>
                <w:color w:val="000000"/>
                <w:sz w:val="15"/>
                <w:szCs w:val="15"/>
              </w:rPr>
              <w:t>(4,873)</w:t>
            </w:r>
          </w:p>
        </w:tc>
        <w:tc>
          <w:tcPr>
            <w:tcW w:w="0" w:type="auto"/>
            <w:shd w:val="clear" w:color="auto" w:fill="FFFFFF"/>
            <w:tcMar>
              <w:top w:w="40" w:type="dxa"/>
              <w:left w:w="0" w:type="dxa"/>
              <w:bottom w:w="40" w:type="dxa"/>
              <w:right w:w="20" w:type="dxa"/>
            </w:tcMar>
            <w:vAlign w:val="bottom"/>
          </w:tcPr>
          <w:p w14:paraId="71D43157" w14:textId="77777777" w:rsidR="006A3667" w:rsidRDefault="006A3667">
            <w:pPr>
              <w:jc w:val="right"/>
              <w:rPr>
                <w:rFonts w:ascii="宋体"/>
              </w:rPr>
            </w:pPr>
          </w:p>
        </w:tc>
        <w:tc>
          <w:tcPr>
            <w:tcW w:w="0" w:type="auto"/>
            <w:gridSpan w:val="3"/>
            <w:shd w:val="clear" w:color="auto" w:fill="auto"/>
            <w:vAlign w:val="bottom"/>
          </w:tcPr>
          <w:p w14:paraId="71D43158" w14:textId="77777777" w:rsidR="006A3667" w:rsidRDefault="006A3667">
            <w:pPr>
              <w:rPr>
                <w:rFonts w:ascii="宋体"/>
                <w:vanish/>
              </w:rPr>
            </w:pPr>
          </w:p>
        </w:tc>
        <w:tc>
          <w:tcPr>
            <w:tcW w:w="0" w:type="auto"/>
            <w:gridSpan w:val="3"/>
            <w:shd w:val="clear" w:color="auto" w:fill="auto"/>
            <w:vAlign w:val="bottom"/>
          </w:tcPr>
          <w:p w14:paraId="71D43159" w14:textId="77777777" w:rsidR="006A3667" w:rsidRDefault="006A3667">
            <w:pPr>
              <w:rPr>
                <w:rFonts w:ascii="宋体"/>
                <w:vanish/>
              </w:rPr>
            </w:pPr>
          </w:p>
        </w:tc>
      </w:tr>
      <w:tr w:rsidR="006A3667" w14:paraId="71D43163" w14:textId="77777777">
        <w:trPr>
          <w:jc w:val="center"/>
        </w:trPr>
        <w:tc>
          <w:tcPr>
            <w:tcW w:w="0" w:type="auto"/>
            <w:gridSpan w:val="3"/>
            <w:shd w:val="clear" w:color="auto" w:fill="CCEEFF"/>
            <w:tcMar>
              <w:top w:w="40" w:type="dxa"/>
              <w:left w:w="20" w:type="dxa"/>
              <w:bottom w:w="40" w:type="dxa"/>
              <w:right w:w="20" w:type="dxa"/>
            </w:tcMar>
            <w:vAlign w:val="bottom"/>
          </w:tcPr>
          <w:p w14:paraId="71D4315B" w14:textId="77777777" w:rsidR="006A3667" w:rsidRDefault="00045F32">
            <w:pPr>
              <w:textAlignment w:val="bottom"/>
            </w:pPr>
            <w:r>
              <w:rPr>
                <w:rFonts w:ascii="Arial" w:eastAsia="宋体" w:hAnsi="Arial" w:cs="Arial"/>
                <w:color w:val="000000"/>
                <w:sz w:val="15"/>
                <w:szCs w:val="15"/>
              </w:rPr>
              <w:t>Business acquisitions, net of cash acquired</w:t>
            </w:r>
          </w:p>
        </w:tc>
        <w:tc>
          <w:tcPr>
            <w:tcW w:w="0" w:type="auto"/>
            <w:gridSpan w:val="2"/>
            <w:shd w:val="clear" w:color="auto" w:fill="CCEEFF"/>
            <w:tcMar>
              <w:top w:w="40" w:type="dxa"/>
              <w:left w:w="20" w:type="dxa"/>
              <w:bottom w:w="40" w:type="dxa"/>
              <w:right w:w="0" w:type="dxa"/>
            </w:tcMar>
            <w:vAlign w:val="bottom"/>
          </w:tcPr>
          <w:p w14:paraId="71D4315C"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5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5F" w14:textId="77777777" w:rsidR="006A3667" w:rsidRDefault="00045F32">
            <w:pPr>
              <w:jc w:val="right"/>
              <w:textAlignment w:val="bottom"/>
            </w:pPr>
            <w:r>
              <w:rPr>
                <w:rFonts w:ascii="Arial" w:eastAsia="宋体" w:hAnsi="Arial" w:cs="Arial"/>
                <w:color w:val="000000"/>
                <w:sz w:val="15"/>
                <w:szCs w:val="15"/>
              </w:rPr>
              <w:t>(346)</w:t>
            </w:r>
          </w:p>
        </w:tc>
        <w:tc>
          <w:tcPr>
            <w:tcW w:w="0" w:type="auto"/>
            <w:shd w:val="clear" w:color="auto" w:fill="CCEEFF"/>
            <w:tcMar>
              <w:top w:w="40" w:type="dxa"/>
              <w:left w:w="0" w:type="dxa"/>
              <w:bottom w:w="40" w:type="dxa"/>
              <w:right w:w="20" w:type="dxa"/>
            </w:tcMar>
            <w:vAlign w:val="bottom"/>
          </w:tcPr>
          <w:p w14:paraId="71D43160" w14:textId="77777777" w:rsidR="006A3667" w:rsidRDefault="006A3667">
            <w:pPr>
              <w:jc w:val="right"/>
              <w:rPr>
                <w:rFonts w:ascii="宋体"/>
              </w:rPr>
            </w:pPr>
          </w:p>
        </w:tc>
        <w:tc>
          <w:tcPr>
            <w:tcW w:w="0" w:type="auto"/>
            <w:gridSpan w:val="3"/>
            <w:shd w:val="clear" w:color="auto" w:fill="auto"/>
            <w:vAlign w:val="bottom"/>
          </w:tcPr>
          <w:p w14:paraId="71D43161" w14:textId="77777777" w:rsidR="006A3667" w:rsidRDefault="006A3667">
            <w:pPr>
              <w:rPr>
                <w:rFonts w:ascii="宋体"/>
                <w:vanish/>
              </w:rPr>
            </w:pPr>
          </w:p>
        </w:tc>
        <w:tc>
          <w:tcPr>
            <w:tcW w:w="0" w:type="auto"/>
            <w:gridSpan w:val="3"/>
            <w:shd w:val="clear" w:color="auto" w:fill="auto"/>
            <w:vAlign w:val="bottom"/>
          </w:tcPr>
          <w:p w14:paraId="71D43162" w14:textId="77777777" w:rsidR="006A3667" w:rsidRDefault="006A3667">
            <w:pPr>
              <w:rPr>
                <w:rFonts w:ascii="宋体"/>
                <w:vanish/>
              </w:rPr>
            </w:pPr>
          </w:p>
        </w:tc>
      </w:tr>
      <w:tr w:rsidR="006A3667" w14:paraId="71D4316C" w14:textId="77777777">
        <w:trPr>
          <w:jc w:val="center"/>
        </w:trPr>
        <w:tc>
          <w:tcPr>
            <w:tcW w:w="0" w:type="auto"/>
            <w:gridSpan w:val="3"/>
            <w:shd w:val="clear" w:color="auto" w:fill="FFFFFF"/>
            <w:tcMar>
              <w:top w:w="40" w:type="dxa"/>
              <w:left w:w="20" w:type="dxa"/>
              <w:bottom w:w="40" w:type="dxa"/>
              <w:right w:w="20" w:type="dxa"/>
            </w:tcMar>
            <w:vAlign w:val="bottom"/>
          </w:tcPr>
          <w:p w14:paraId="71D43164" w14:textId="77777777" w:rsidR="006A3667" w:rsidRDefault="00045F32">
            <w:pPr>
              <w:textAlignment w:val="bottom"/>
            </w:pPr>
            <w:r>
              <w:rPr>
                <w:rFonts w:ascii="Arial" w:eastAsia="宋体" w:hAnsi="Arial" w:cs="Arial"/>
                <w:color w:val="000000"/>
                <w:sz w:val="15"/>
                <w:szCs w:val="15"/>
              </w:rPr>
              <w:t>Divestitures</w:t>
            </w:r>
          </w:p>
        </w:tc>
        <w:tc>
          <w:tcPr>
            <w:tcW w:w="0" w:type="auto"/>
            <w:gridSpan w:val="2"/>
            <w:shd w:val="clear" w:color="auto" w:fill="FFFFFF"/>
            <w:tcMar>
              <w:top w:w="40" w:type="dxa"/>
              <w:left w:w="20" w:type="dxa"/>
              <w:bottom w:w="40" w:type="dxa"/>
              <w:right w:w="0" w:type="dxa"/>
            </w:tcMar>
            <w:vAlign w:val="bottom"/>
          </w:tcPr>
          <w:p w14:paraId="71D43165"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16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6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68" w14:textId="77777777" w:rsidR="006A3667" w:rsidRDefault="00045F32">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71D43169" w14:textId="77777777" w:rsidR="006A3667" w:rsidRDefault="006A3667">
            <w:pPr>
              <w:jc w:val="right"/>
              <w:rPr>
                <w:rFonts w:ascii="宋体"/>
              </w:rPr>
            </w:pPr>
          </w:p>
        </w:tc>
        <w:tc>
          <w:tcPr>
            <w:tcW w:w="0" w:type="auto"/>
            <w:gridSpan w:val="3"/>
            <w:shd w:val="clear" w:color="auto" w:fill="auto"/>
            <w:vAlign w:val="bottom"/>
          </w:tcPr>
          <w:p w14:paraId="71D4316A" w14:textId="77777777" w:rsidR="006A3667" w:rsidRDefault="006A3667">
            <w:pPr>
              <w:rPr>
                <w:rFonts w:ascii="宋体"/>
                <w:vanish/>
              </w:rPr>
            </w:pPr>
          </w:p>
        </w:tc>
        <w:tc>
          <w:tcPr>
            <w:tcW w:w="0" w:type="auto"/>
            <w:gridSpan w:val="3"/>
            <w:shd w:val="clear" w:color="auto" w:fill="auto"/>
            <w:vAlign w:val="bottom"/>
          </w:tcPr>
          <w:p w14:paraId="71D4316B" w14:textId="77777777" w:rsidR="006A3667" w:rsidRDefault="006A3667">
            <w:pPr>
              <w:rPr>
                <w:rFonts w:ascii="宋体"/>
                <w:vanish/>
              </w:rPr>
            </w:pPr>
          </w:p>
        </w:tc>
      </w:tr>
      <w:tr w:rsidR="006A3667" w14:paraId="71D43175" w14:textId="77777777">
        <w:trPr>
          <w:jc w:val="center"/>
        </w:trPr>
        <w:tc>
          <w:tcPr>
            <w:tcW w:w="0" w:type="auto"/>
            <w:gridSpan w:val="3"/>
            <w:shd w:val="clear" w:color="auto" w:fill="CCEEFF"/>
            <w:tcMar>
              <w:top w:w="40" w:type="dxa"/>
              <w:left w:w="20" w:type="dxa"/>
              <w:bottom w:w="40" w:type="dxa"/>
              <w:right w:w="20" w:type="dxa"/>
            </w:tcMar>
            <w:vAlign w:val="bottom"/>
          </w:tcPr>
          <w:p w14:paraId="71D4316D" w14:textId="77777777" w:rsidR="006A3667" w:rsidRDefault="00045F32">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CCEEFF"/>
            <w:tcMar>
              <w:top w:w="40" w:type="dxa"/>
              <w:left w:w="20" w:type="dxa"/>
              <w:bottom w:w="40" w:type="dxa"/>
              <w:right w:w="0" w:type="dxa"/>
            </w:tcMar>
            <w:vAlign w:val="bottom"/>
          </w:tcPr>
          <w:p w14:paraId="71D4316E" w14:textId="77777777" w:rsidR="006A3667" w:rsidRDefault="00045F32">
            <w:pPr>
              <w:jc w:val="right"/>
              <w:textAlignment w:val="bottom"/>
            </w:pPr>
            <w:r>
              <w:rPr>
                <w:rFonts w:ascii="Arial" w:eastAsia="宋体" w:hAnsi="Arial" w:cs="Arial"/>
                <w:b/>
                <w:bCs/>
                <w:color w:val="000000"/>
                <w:sz w:val="15"/>
                <w:szCs w:val="15"/>
              </w:rPr>
              <w:t>(193)</w:t>
            </w:r>
          </w:p>
        </w:tc>
        <w:tc>
          <w:tcPr>
            <w:tcW w:w="0" w:type="auto"/>
            <w:shd w:val="clear" w:color="auto" w:fill="CCEEFF"/>
            <w:tcMar>
              <w:top w:w="40" w:type="dxa"/>
              <w:left w:w="0" w:type="dxa"/>
              <w:bottom w:w="40" w:type="dxa"/>
              <w:right w:w="20" w:type="dxa"/>
            </w:tcMar>
            <w:vAlign w:val="bottom"/>
          </w:tcPr>
          <w:p w14:paraId="71D431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7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71" w14:textId="77777777" w:rsidR="006A3667" w:rsidRDefault="00045F32">
            <w:pPr>
              <w:jc w:val="right"/>
              <w:textAlignment w:val="bottom"/>
            </w:pPr>
            <w:r>
              <w:rPr>
                <w:rFonts w:ascii="Arial" w:eastAsia="宋体" w:hAnsi="Arial" w:cs="Arial"/>
                <w:color w:val="000000"/>
                <w:sz w:val="15"/>
                <w:szCs w:val="15"/>
              </w:rPr>
              <w:t>(122)</w:t>
            </w:r>
          </w:p>
        </w:tc>
        <w:tc>
          <w:tcPr>
            <w:tcW w:w="0" w:type="auto"/>
            <w:shd w:val="clear" w:color="auto" w:fill="CCEEFF"/>
            <w:tcMar>
              <w:top w:w="40" w:type="dxa"/>
              <w:left w:w="0" w:type="dxa"/>
              <w:bottom w:w="40" w:type="dxa"/>
              <w:right w:w="20" w:type="dxa"/>
            </w:tcMar>
            <w:vAlign w:val="bottom"/>
          </w:tcPr>
          <w:p w14:paraId="71D43172" w14:textId="77777777" w:rsidR="006A3667" w:rsidRDefault="006A3667">
            <w:pPr>
              <w:jc w:val="right"/>
              <w:rPr>
                <w:rFonts w:ascii="宋体"/>
              </w:rPr>
            </w:pPr>
          </w:p>
        </w:tc>
        <w:tc>
          <w:tcPr>
            <w:tcW w:w="0" w:type="auto"/>
            <w:gridSpan w:val="3"/>
            <w:shd w:val="clear" w:color="auto" w:fill="auto"/>
            <w:vAlign w:val="bottom"/>
          </w:tcPr>
          <w:p w14:paraId="71D43173" w14:textId="77777777" w:rsidR="006A3667" w:rsidRDefault="006A3667">
            <w:pPr>
              <w:rPr>
                <w:rFonts w:ascii="宋体"/>
                <w:vanish/>
              </w:rPr>
            </w:pPr>
          </w:p>
        </w:tc>
        <w:tc>
          <w:tcPr>
            <w:tcW w:w="0" w:type="auto"/>
            <w:gridSpan w:val="3"/>
            <w:shd w:val="clear" w:color="auto" w:fill="auto"/>
            <w:vAlign w:val="bottom"/>
          </w:tcPr>
          <w:p w14:paraId="71D43174" w14:textId="77777777" w:rsidR="006A3667" w:rsidRDefault="006A3667">
            <w:pPr>
              <w:rPr>
                <w:rFonts w:ascii="宋体"/>
                <w:vanish/>
              </w:rPr>
            </w:pPr>
          </w:p>
        </w:tc>
      </w:tr>
      <w:tr w:rsidR="006A3667" w14:paraId="71D4317E" w14:textId="77777777">
        <w:trPr>
          <w:jc w:val="center"/>
        </w:trPr>
        <w:tc>
          <w:tcPr>
            <w:tcW w:w="0" w:type="auto"/>
            <w:gridSpan w:val="3"/>
            <w:shd w:val="clear" w:color="auto" w:fill="FFFFFF"/>
            <w:tcMar>
              <w:top w:w="40" w:type="dxa"/>
              <w:left w:w="20" w:type="dxa"/>
              <w:bottom w:w="40" w:type="dxa"/>
              <w:right w:w="20" w:type="dxa"/>
            </w:tcMar>
            <w:vAlign w:val="bottom"/>
          </w:tcPr>
          <w:p w14:paraId="71D43176" w14:textId="77777777" w:rsidR="006A3667" w:rsidRDefault="00045F32">
            <w:pPr>
              <w:textAlignment w:val="bottom"/>
            </w:pPr>
            <w:r>
              <w:rPr>
                <w:rFonts w:ascii="Arial" w:eastAsia="宋体" w:hAnsi="Arial" w:cs="Arial"/>
                <w:color w:val="000000"/>
                <w:sz w:val="15"/>
                <w:szCs w:val="15"/>
              </w:rPr>
              <w:t>Purchases of premises and equipment, net</w:t>
            </w:r>
          </w:p>
        </w:tc>
        <w:tc>
          <w:tcPr>
            <w:tcW w:w="0" w:type="auto"/>
            <w:gridSpan w:val="2"/>
            <w:shd w:val="clear" w:color="auto" w:fill="FFFFFF"/>
            <w:tcMar>
              <w:top w:w="40" w:type="dxa"/>
              <w:left w:w="20" w:type="dxa"/>
              <w:bottom w:w="40" w:type="dxa"/>
              <w:right w:w="0" w:type="dxa"/>
            </w:tcMar>
            <w:vAlign w:val="bottom"/>
          </w:tcPr>
          <w:p w14:paraId="71D43177" w14:textId="77777777" w:rsidR="006A3667" w:rsidRDefault="00045F32">
            <w:pPr>
              <w:jc w:val="right"/>
              <w:textAlignment w:val="bottom"/>
            </w:pPr>
            <w:r>
              <w:rPr>
                <w:rFonts w:ascii="Arial" w:eastAsia="宋体" w:hAnsi="Arial" w:cs="Arial"/>
                <w:b/>
                <w:bCs/>
                <w:color w:val="000000"/>
                <w:sz w:val="15"/>
                <w:szCs w:val="15"/>
              </w:rPr>
              <w:t>(530)</w:t>
            </w:r>
          </w:p>
        </w:tc>
        <w:tc>
          <w:tcPr>
            <w:tcW w:w="0" w:type="auto"/>
            <w:shd w:val="clear" w:color="auto" w:fill="FFFFFF"/>
            <w:tcMar>
              <w:top w:w="40" w:type="dxa"/>
              <w:left w:w="0" w:type="dxa"/>
              <w:bottom w:w="40" w:type="dxa"/>
              <w:right w:w="20" w:type="dxa"/>
            </w:tcMar>
            <w:vAlign w:val="bottom"/>
          </w:tcPr>
          <w:p w14:paraId="71D4317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7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7A" w14:textId="77777777" w:rsidR="006A3667" w:rsidRDefault="00045F32">
            <w:pPr>
              <w:jc w:val="right"/>
              <w:textAlignment w:val="bottom"/>
            </w:pPr>
            <w:r>
              <w:rPr>
                <w:rFonts w:ascii="Arial" w:eastAsia="宋体" w:hAnsi="Arial" w:cs="Arial"/>
                <w:color w:val="000000"/>
                <w:sz w:val="15"/>
                <w:szCs w:val="15"/>
              </w:rPr>
              <w:t>(556)</w:t>
            </w:r>
          </w:p>
        </w:tc>
        <w:tc>
          <w:tcPr>
            <w:tcW w:w="0" w:type="auto"/>
            <w:shd w:val="clear" w:color="auto" w:fill="FFFFFF"/>
            <w:tcMar>
              <w:top w:w="40" w:type="dxa"/>
              <w:left w:w="0" w:type="dxa"/>
              <w:bottom w:w="40" w:type="dxa"/>
              <w:right w:w="20" w:type="dxa"/>
            </w:tcMar>
            <w:vAlign w:val="bottom"/>
          </w:tcPr>
          <w:p w14:paraId="71D4317B" w14:textId="77777777" w:rsidR="006A3667" w:rsidRDefault="006A3667">
            <w:pPr>
              <w:jc w:val="right"/>
              <w:rPr>
                <w:rFonts w:ascii="宋体"/>
              </w:rPr>
            </w:pPr>
          </w:p>
        </w:tc>
        <w:tc>
          <w:tcPr>
            <w:tcW w:w="0" w:type="auto"/>
            <w:gridSpan w:val="3"/>
            <w:shd w:val="clear" w:color="auto" w:fill="auto"/>
            <w:vAlign w:val="bottom"/>
          </w:tcPr>
          <w:p w14:paraId="71D4317C" w14:textId="77777777" w:rsidR="006A3667" w:rsidRDefault="006A3667">
            <w:pPr>
              <w:rPr>
                <w:rFonts w:ascii="宋体"/>
                <w:vanish/>
              </w:rPr>
            </w:pPr>
          </w:p>
        </w:tc>
        <w:tc>
          <w:tcPr>
            <w:tcW w:w="0" w:type="auto"/>
            <w:gridSpan w:val="3"/>
            <w:shd w:val="clear" w:color="auto" w:fill="auto"/>
            <w:vAlign w:val="bottom"/>
          </w:tcPr>
          <w:p w14:paraId="71D4317D" w14:textId="77777777" w:rsidR="006A3667" w:rsidRDefault="006A3667">
            <w:pPr>
              <w:rPr>
                <w:rFonts w:ascii="宋体"/>
                <w:vanish/>
              </w:rPr>
            </w:pPr>
          </w:p>
        </w:tc>
      </w:tr>
      <w:tr w:rsidR="006A3667" w14:paraId="71D43185" w14:textId="77777777">
        <w:trPr>
          <w:jc w:val="center"/>
          <w:hidden/>
        </w:trPr>
        <w:tc>
          <w:tcPr>
            <w:tcW w:w="0" w:type="auto"/>
            <w:gridSpan w:val="3"/>
            <w:shd w:val="clear" w:color="auto" w:fill="auto"/>
            <w:vAlign w:val="bottom"/>
          </w:tcPr>
          <w:p w14:paraId="71D4317F" w14:textId="77777777" w:rsidR="006A3667" w:rsidRDefault="006A3667">
            <w:pPr>
              <w:rPr>
                <w:rFonts w:ascii="宋体"/>
                <w:vanish/>
              </w:rPr>
            </w:pPr>
          </w:p>
        </w:tc>
        <w:tc>
          <w:tcPr>
            <w:tcW w:w="0" w:type="auto"/>
            <w:gridSpan w:val="3"/>
            <w:shd w:val="clear" w:color="auto" w:fill="auto"/>
            <w:vAlign w:val="bottom"/>
          </w:tcPr>
          <w:p w14:paraId="71D43180" w14:textId="77777777" w:rsidR="006A3667" w:rsidRDefault="006A3667">
            <w:pPr>
              <w:rPr>
                <w:rFonts w:ascii="宋体"/>
                <w:vanish/>
              </w:rPr>
            </w:pPr>
          </w:p>
        </w:tc>
        <w:tc>
          <w:tcPr>
            <w:tcW w:w="0" w:type="auto"/>
            <w:gridSpan w:val="3"/>
            <w:shd w:val="clear" w:color="auto" w:fill="auto"/>
            <w:vAlign w:val="bottom"/>
          </w:tcPr>
          <w:p w14:paraId="71D43181" w14:textId="77777777" w:rsidR="006A3667" w:rsidRDefault="006A3667">
            <w:pPr>
              <w:rPr>
                <w:rFonts w:ascii="宋体"/>
                <w:vanish/>
              </w:rPr>
            </w:pPr>
          </w:p>
        </w:tc>
        <w:tc>
          <w:tcPr>
            <w:tcW w:w="0" w:type="auto"/>
            <w:gridSpan w:val="3"/>
            <w:shd w:val="clear" w:color="auto" w:fill="auto"/>
            <w:vAlign w:val="bottom"/>
          </w:tcPr>
          <w:p w14:paraId="71D43182" w14:textId="77777777" w:rsidR="006A3667" w:rsidRDefault="006A3667">
            <w:pPr>
              <w:rPr>
                <w:rFonts w:ascii="宋体"/>
                <w:vanish/>
              </w:rPr>
            </w:pPr>
          </w:p>
        </w:tc>
        <w:tc>
          <w:tcPr>
            <w:tcW w:w="0" w:type="auto"/>
            <w:gridSpan w:val="3"/>
            <w:shd w:val="clear" w:color="auto" w:fill="auto"/>
            <w:vAlign w:val="bottom"/>
          </w:tcPr>
          <w:p w14:paraId="71D43183" w14:textId="77777777" w:rsidR="006A3667" w:rsidRDefault="006A3667">
            <w:pPr>
              <w:rPr>
                <w:rFonts w:ascii="宋体"/>
                <w:vanish/>
              </w:rPr>
            </w:pPr>
          </w:p>
        </w:tc>
        <w:tc>
          <w:tcPr>
            <w:tcW w:w="0" w:type="auto"/>
            <w:gridSpan w:val="3"/>
            <w:shd w:val="clear" w:color="auto" w:fill="auto"/>
            <w:vAlign w:val="bottom"/>
          </w:tcPr>
          <w:p w14:paraId="71D43184" w14:textId="77777777" w:rsidR="006A3667" w:rsidRDefault="006A3667">
            <w:pPr>
              <w:rPr>
                <w:rFonts w:ascii="宋体"/>
                <w:vanish/>
              </w:rPr>
            </w:pPr>
          </w:p>
        </w:tc>
      </w:tr>
      <w:tr w:rsidR="006A3667" w14:paraId="71D4318E" w14:textId="77777777">
        <w:trPr>
          <w:jc w:val="center"/>
        </w:trPr>
        <w:tc>
          <w:tcPr>
            <w:tcW w:w="0" w:type="auto"/>
            <w:gridSpan w:val="3"/>
            <w:shd w:val="clear" w:color="auto" w:fill="CCEEFF"/>
            <w:tcMar>
              <w:top w:w="40" w:type="dxa"/>
              <w:left w:w="20" w:type="dxa"/>
              <w:bottom w:w="40" w:type="dxa"/>
              <w:right w:w="20" w:type="dxa"/>
            </w:tcMar>
            <w:vAlign w:val="bottom"/>
          </w:tcPr>
          <w:p w14:paraId="71D43186" w14:textId="77777777" w:rsidR="006A3667" w:rsidRDefault="00045F32">
            <w:pPr>
              <w:textAlignment w:val="bottom"/>
            </w:pPr>
            <w:r>
              <w:rPr>
                <w:rFonts w:ascii="Arial" w:eastAsia="宋体" w:hAnsi="Arial" w:cs="Arial"/>
                <w:color w:val="000000"/>
                <w:sz w:val="15"/>
                <w:szCs w:val="15"/>
              </w:rPr>
              <w:t>Other, net</w:t>
            </w:r>
          </w:p>
        </w:tc>
        <w:tc>
          <w:tcPr>
            <w:tcW w:w="0" w:type="auto"/>
            <w:gridSpan w:val="2"/>
            <w:shd w:val="clear" w:color="auto" w:fill="CCEEFF"/>
            <w:tcMar>
              <w:top w:w="40" w:type="dxa"/>
              <w:left w:w="20" w:type="dxa"/>
              <w:bottom w:w="40" w:type="dxa"/>
              <w:right w:w="0" w:type="dxa"/>
            </w:tcMar>
            <w:vAlign w:val="bottom"/>
          </w:tcPr>
          <w:p w14:paraId="71D43187" w14:textId="77777777" w:rsidR="006A3667" w:rsidRDefault="00045F32">
            <w:pPr>
              <w:jc w:val="right"/>
              <w:textAlignment w:val="bottom"/>
            </w:pPr>
            <w:r>
              <w:rPr>
                <w:rFonts w:ascii="Arial" w:eastAsia="宋体" w:hAnsi="Arial" w:cs="Arial"/>
                <w:b/>
                <w:bCs/>
                <w:color w:val="000000"/>
                <w:sz w:val="15"/>
                <w:szCs w:val="15"/>
              </w:rPr>
              <w:t>102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8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8A" w14:textId="77777777" w:rsidR="006A3667" w:rsidRDefault="00045F32">
            <w:pPr>
              <w:jc w:val="right"/>
              <w:textAlignment w:val="bottom"/>
            </w:pPr>
            <w:r>
              <w:rPr>
                <w:rFonts w:ascii="Arial" w:eastAsia="宋体" w:hAnsi="Arial" w:cs="Arial"/>
                <w:color w:val="000000"/>
                <w:sz w:val="15"/>
                <w:szCs w:val="15"/>
              </w:rPr>
              <w:t>236 </w:t>
            </w:r>
          </w:p>
        </w:tc>
        <w:tc>
          <w:tcPr>
            <w:tcW w:w="0" w:type="auto"/>
            <w:shd w:val="clear" w:color="auto" w:fill="CCEEFF"/>
            <w:tcMar>
              <w:top w:w="40" w:type="dxa"/>
              <w:left w:w="0" w:type="dxa"/>
              <w:bottom w:w="40" w:type="dxa"/>
              <w:right w:w="20" w:type="dxa"/>
            </w:tcMar>
            <w:vAlign w:val="bottom"/>
          </w:tcPr>
          <w:p w14:paraId="71D4318B" w14:textId="77777777" w:rsidR="006A3667" w:rsidRDefault="006A3667">
            <w:pPr>
              <w:jc w:val="right"/>
              <w:rPr>
                <w:rFonts w:ascii="宋体"/>
              </w:rPr>
            </w:pPr>
          </w:p>
        </w:tc>
        <w:tc>
          <w:tcPr>
            <w:tcW w:w="0" w:type="auto"/>
            <w:gridSpan w:val="3"/>
            <w:shd w:val="clear" w:color="auto" w:fill="auto"/>
            <w:vAlign w:val="bottom"/>
          </w:tcPr>
          <w:p w14:paraId="71D4318C" w14:textId="77777777" w:rsidR="006A3667" w:rsidRDefault="006A3667">
            <w:pPr>
              <w:rPr>
                <w:rFonts w:ascii="宋体"/>
                <w:vanish/>
              </w:rPr>
            </w:pPr>
          </w:p>
        </w:tc>
        <w:tc>
          <w:tcPr>
            <w:tcW w:w="0" w:type="auto"/>
            <w:gridSpan w:val="3"/>
            <w:shd w:val="clear" w:color="auto" w:fill="auto"/>
            <w:vAlign w:val="bottom"/>
          </w:tcPr>
          <w:p w14:paraId="71D4318D" w14:textId="77777777" w:rsidR="006A3667" w:rsidRDefault="006A3667">
            <w:pPr>
              <w:rPr>
                <w:rFonts w:ascii="宋体"/>
                <w:vanish/>
              </w:rPr>
            </w:pPr>
          </w:p>
        </w:tc>
      </w:tr>
      <w:tr w:rsidR="006A3667" w14:paraId="71D43197" w14:textId="77777777">
        <w:trPr>
          <w:jc w:val="center"/>
        </w:trPr>
        <w:tc>
          <w:tcPr>
            <w:tcW w:w="0" w:type="auto"/>
            <w:gridSpan w:val="3"/>
            <w:shd w:val="clear" w:color="auto" w:fill="FFFFFF"/>
            <w:tcMar>
              <w:top w:w="40" w:type="dxa"/>
              <w:left w:w="20" w:type="dxa"/>
              <w:bottom w:w="40" w:type="dxa"/>
              <w:right w:w="20" w:type="dxa"/>
            </w:tcMar>
            <w:vAlign w:val="bottom"/>
          </w:tcPr>
          <w:p w14:paraId="71D4318F" w14:textId="77777777" w:rsidR="006A3667" w:rsidRDefault="00045F32">
            <w:pPr>
              <w:textAlignment w:val="bottom"/>
            </w:pPr>
            <w:r>
              <w:rPr>
                <w:rFonts w:ascii="Arial" w:eastAsia="宋体" w:hAnsi="Arial" w:cs="Arial"/>
                <w:color w:val="000000"/>
                <w:sz w:val="15"/>
                <w:szCs w:val="15"/>
              </w:rPr>
              <w:t>Net cash provided by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190" w14:textId="77777777" w:rsidR="006A3667" w:rsidRDefault="00045F32">
            <w:pPr>
              <w:jc w:val="right"/>
              <w:textAlignment w:val="bottom"/>
            </w:pPr>
            <w:r>
              <w:rPr>
                <w:rFonts w:ascii="Arial" w:eastAsia="宋体" w:hAnsi="Arial" w:cs="Arial"/>
                <w:b/>
                <w:bCs/>
                <w:color w:val="000000"/>
                <w:sz w:val="15"/>
                <w:szCs w:val="15"/>
              </w:rPr>
              <w:t>7,911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19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9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193" w14:textId="77777777" w:rsidR="006A3667" w:rsidRDefault="00045F32">
            <w:pPr>
              <w:jc w:val="right"/>
              <w:textAlignment w:val="bottom"/>
            </w:pPr>
            <w:r>
              <w:rPr>
                <w:rFonts w:ascii="Arial" w:eastAsia="宋体" w:hAnsi="Arial" w:cs="Arial"/>
                <w:color w:val="000000"/>
                <w:sz w:val="15"/>
                <w:szCs w:val="15"/>
              </w:rPr>
              <w:t>(478)</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194" w14:textId="77777777" w:rsidR="006A3667" w:rsidRDefault="006A3667">
            <w:pPr>
              <w:jc w:val="right"/>
              <w:rPr>
                <w:rFonts w:ascii="宋体"/>
              </w:rPr>
            </w:pPr>
          </w:p>
        </w:tc>
        <w:tc>
          <w:tcPr>
            <w:tcW w:w="0" w:type="auto"/>
            <w:gridSpan w:val="3"/>
            <w:shd w:val="clear" w:color="auto" w:fill="auto"/>
            <w:vAlign w:val="bottom"/>
          </w:tcPr>
          <w:p w14:paraId="71D43195" w14:textId="77777777" w:rsidR="006A3667" w:rsidRDefault="006A3667">
            <w:pPr>
              <w:rPr>
                <w:rFonts w:ascii="宋体"/>
                <w:vanish/>
              </w:rPr>
            </w:pPr>
          </w:p>
        </w:tc>
        <w:tc>
          <w:tcPr>
            <w:tcW w:w="0" w:type="auto"/>
            <w:gridSpan w:val="3"/>
            <w:shd w:val="clear" w:color="auto" w:fill="auto"/>
            <w:vAlign w:val="bottom"/>
          </w:tcPr>
          <w:p w14:paraId="71D43196" w14:textId="77777777" w:rsidR="006A3667" w:rsidRDefault="006A3667">
            <w:pPr>
              <w:rPr>
                <w:rFonts w:ascii="宋体"/>
                <w:vanish/>
              </w:rPr>
            </w:pPr>
          </w:p>
        </w:tc>
      </w:tr>
      <w:tr w:rsidR="006A3667" w14:paraId="71D4319E" w14:textId="77777777">
        <w:trPr>
          <w:jc w:val="center"/>
        </w:trPr>
        <w:tc>
          <w:tcPr>
            <w:tcW w:w="0" w:type="auto"/>
            <w:gridSpan w:val="3"/>
            <w:shd w:val="clear" w:color="auto" w:fill="CCEEFF"/>
            <w:tcMar>
              <w:top w:w="40" w:type="dxa"/>
              <w:left w:w="20" w:type="dxa"/>
              <w:bottom w:w="40" w:type="dxa"/>
              <w:right w:w="20" w:type="dxa"/>
            </w:tcMar>
            <w:vAlign w:val="bottom"/>
          </w:tcPr>
          <w:p w14:paraId="71D43198" w14:textId="77777777" w:rsidR="006A3667" w:rsidRDefault="00045F32">
            <w:pPr>
              <w:textAlignment w:val="bottom"/>
            </w:pPr>
            <w:r>
              <w:rPr>
                <w:rFonts w:ascii="Arial" w:eastAsia="宋体" w:hAnsi="Arial" w:cs="Arial"/>
                <w:b/>
                <w:bCs/>
                <w:color w:val="000000"/>
                <w:sz w:val="15"/>
                <w:szCs w:val="15"/>
              </w:rPr>
              <w:t>Financing Activities:</w:t>
            </w:r>
          </w:p>
        </w:tc>
        <w:tc>
          <w:tcPr>
            <w:tcW w:w="0" w:type="auto"/>
            <w:gridSpan w:val="3"/>
            <w:shd w:val="clear" w:color="auto" w:fill="CCEEFF"/>
            <w:tcMar>
              <w:top w:w="0" w:type="dxa"/>
              <w:left w:w="20" w:type="dxa"/>
              <w:bottom w:w="0" w:type="dxa"/>
              <w:right w:w="20" w:type="dxa"/>
            </w:tcMar>
            <w:vAlign w:val="bottom"/>
          </w:tcPr>
          <w:p w14:paraId="71D4319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19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19B" w14:textId="77777777" w:rsidR="006A3667" w:rsidRDefault="006A3667">
            <w:pPr>
              <w:rPr>
                <w:rFonts w:ascii="宋体"/>
              </w:rPr>
            </w:pPr>
          </w:p>
        </w:tc>
        <w:tc>
          <w:tcPr>
            <w:tcW w:w="0" w:type="auto"/>
            <w:gridSpan w:val="3"/>
            <w:shd w:val="clear" w:color="auto" w:fill="auto"/>
            <w:vAlign w:val="bottom"/>
          </w:tcPr>
          <w:p w14:paraId="71D4319C" w14:textId="77777777" w:rsidR="006A3667" w:rsidRDefault="006A3667">
            <w:pPr>
              <w:rPr>
                <w:rFonts w:ascii="宋体"/>
                <w:vanish/>
              </w:rPr>
            </w:pPr>
          </w:p>
        </w:tc>
        <w:tc>
          <w:tcPr>
            <w:tcW w:w="0" w:type="auto"/>
            <w:gridSpan w:val="3"/>
            <w:shd w:val="clear" w:color="auto" w:fill="auto"/>
            <w:vAlign w:val="bottom"/>
          </w:tcPr>
          <w:p w14:paraId="71D4319D" w14:textId="77777777" w:rsidR="006A3667" w:rsidRDefault="006A3667">
            <w:pPr>
              <w:rPr>
                <w:rFonts w:ascii="宋体"/>
                <w:vanish/>
              </w:rPr>
            </w:pPr>
          </w:p>
        </w:tc>
      </w:tr>
      <w:tr w:rsidR="006A3667" w14:paraId="71D431A7" w14:textId="77777777">
        <w:trPr>
          <w:jc w:val="center"/>
        </w:trPr>
        <w:tc>
          <w:tcPr>
            <w:tcW w:w="0" w:type="auto"/>
            <w:gridSpan w:val="3"/>
            <w:shd w:val="clear" w:color="auto" w:fill="FFFFFF"/>
            <w:tcMar>
              <w:top w:w="40" w:type="dxa"/>
              <w:left w:w="20" w:type="dxa"/>
              <w:bottom w:w="40" w:type="dxa"/>
              <w:right w:w="20" w:type="dxa"/>
            </w:tcMar>
            <w:vAlign w:val="bottom"/>
          </w:tcPr>
          <w:p w14:paraId="71D4319F" w14:textId="77777777" w:rsidR="006A3667" w:rsidRDefault="00045F32">
            <w:pPr>
              <w:textAlignment w:val="bottom"/>
            </w:pPr>
            <w:r>
              <w:rPr>
                <w:rFonts w:ascii="Arial" w:eastAsia="宋体" w:hAnsi="Arial" w:cs="Arial"/>
                <w:color w:val="000000"/>
                <w:sz w:val="15"/>
                <w:szCs w:val="15"/>
              </w:rPr>
              <w:t>Net (decrease) in time deposits</w:t>
            </w:r>
          </w:p>
        </w:tc>
        <w:tc>
          <w:tcPr>
            <w:tcW w:w="0" w:type="auto"/>
            <w:gridSpan w:val="2"/>
            <w:shd w:val="clear" w:color="auto" w:fill="FFFFFF"/>
            <w:tcMar>
              <w:top w:w="40" w:type="dxa"/>
              <w:left w:w="20" w:type="dxa"/>
              <w:bottom w:w="40" w:type="dxa"/>
              <w:right w:w="0" w:type="dxa"/>
            </w:tcMar>
            <w:vAlign w:val="bottom"/>
          </w:tcPr>
          <w:p w14:paraId="71D431A0" w14:textId="77777777" w:rsidR="006A3667" w:rsidRDefault="00045F32">
            <w:pPr>
              <w:jc w:val="right"/>
              <w:textAlignment w:val="bottom"/>
            </w:pPr>
            <w:r>
              <w:rPr>
                <w:rFonts w:ascii="Arial" w:eastAsia="宋体" w:hAnsi="Arial" w:cs="Arial"/>
                <w:b/>
                <w:bCs/>
                <w:color w:val="000000"/>
                <w:sz w:val="15"/>
                <w:szCs w:val="15"/>
              </w:rPr>
              <w:t>(709)</w:t>
            </w:r>
          </w:p>
        </w:tc>
        <w:tc>
          <w:tcPr>
            <w:tcW w:w="0" w:type="auto"/>
            <w:shd w:val="clear" w:color="auto" w:fill="FFFFFF"/>
            <w:tcMar>
              <w:top w:w="40" w:type="dxa"/>
              <w:left w:w="0" w:type="dxa"/>
              <w:bottom w:w="40" w:type="dxa"/>
              <w:right w:w="20" w:type="dxa"/>
            </w:tcMar>
            <w:vAlign w:val="bottom"/>
          </w:tcPr>
          <w:p w14:paraId="71D431A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A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A3" w14:textId="77777777" w:rsidR="006A3667" w:rsidRDefault="00045F32">
            <w:pPr>
              <w:jc w:val="right"/>
              <w:textAlignment w:val="bottom"/>
            </w:pPr>
            <w:r>
              <w:rPr>
                <w:rFonts w:ascii="Arial" w:eastAsia="宋体" w:hAnsi="Arial" w:cs="Arial"/>
                <w:color w:val="000000"/>
                <w:sz w:val="15"/>
                <w:szCs w:val="15"/>
              </w:rPr>
              <w:t>(1,643)</w:t>
            </w:r>
          </w:p>
        </w:tc>
        <w:tc>
          <w:tcPr>
            <w:tcW w:w="0" w:type="auto"/>
            <w:shd w:val="clear" w:color="auto" w:fill="FFFFFF"/>
            <w:tcMar>
              <w:top w:w="40" w:type="dxa"/>
              <w:left w:w="0" w:type="dxa"/>
              <w:bottom w:w="40" w:type="dxa"/>
              <w:right w:w="20" w:type="dxa"/>
            </w:tcMar>
            <w:vAlign w:val="bottom"/>
          </w:tcPr>
          <w:p w14:paraId="71D431A4" w14:textId="77777777" w:rsidR="006A3667" w:rsidRDefault="006A3667">
            <w:pPr>
              <w:jc w:val="right"/>
              <w:rPr>
                <w:rFonts w:ascii="宋体"/>
              </w:rPr>
            </w:pPr>
          </w:p>
        </w:tc>
        <w:tc>
          <w:tcPr>
            <w:tcW w:w="0" w:type="auto"/>
            <w:gridSpan w:val="3"/>
            <w:shd w:val="clear" w:color="auto" w:fill="auto"/>
            <w:vAlign w:val="bottom"/>
          </w:tcPr>
          <w:p w14:paraId="71D431A5" w14:textId="77777777" w:rsidR="006A3667" w:rsidRDefault="006A3667">
            <w:pPr>
              <w:rPr>
                <w:rFonts w:ascii="宋体"/>
                <w:vanish/>
              </w:rPr>
            </w:pPr>
          </w:p>
        </w:tc>
        <w:tc>
          <w:tcPr>
            <w:tcW w:w="0" w:type="auto"/>
            <w:gridSpan w:val="3"/>
            <w:shd w:val="clear" w:color="auto" w:fill="auto"/>
            <w:vAlign w:val="bottom"/>
          </w:tcPr>
          <w:p w14:paraId="71D431A6" w14:textId="77777777" w:rsidR="006A3667" w:rsidRDefault="006A3667">
            <w:pPr>
              <w:rPr>
                <w:rFonts w:ascii="宋体"/>
                <w:vanish/>
              </w:rPr>
            </w:pPr>
          </w:p>
        </w:tc>
      </w:tr>
      <w:tr w:rsidR="006A3667" w14:paraId="71D431B0" w14:textId="77777777">
        <w:trPr>
          <w:jc w:val="center"/>
        </w:trPr>
        <w:tc>
          <w:tcPr>
            <w:tcW w:w="0" w:type="auto"/>
            <w:gridSpan w:val="3"/>
            <w:shd w:val="clear" w:color="auto" w:fill="CCEEFF"/>
            <w:tcMar>
              <w:top w:w="40" w:type="dxa"/>
              <w:left w:w="20" w:type="dxa"/>
              <w:bottom w:w="40" w:type="dxa"/>
              <w:right w:w="20" w:type="dxa"/>
            </w:tcMar>
            <w:vAlign w:val="bottom"/>
          </w:tcPr>
          <w:p w14:paraId="71D431A8" w14:textId="77777777" w:rsidR="006A3667" w:rsidRDefault="00045F32">
            <w:pPr>
              <w:textAlignment w:val="bottom"/>
            </w:pPr>
            <w:r>
              <w:rPr>
                <w:rFonts w:ascii="Arial" w:eastAsia="宋体" w:hAnsi="Arial" w:cs="Arial"/>
                <w:color w:val="000000"/>
                <w:sz w:val="15"/>
                <w:szCs w:val="15"/>
              </w:rPr>
              <w:t>Net (decrease) increase in all other deposits</w:t>
            </w:r>
          </w:p>
        </w:tc>
        <w:tc>
          <w:tcPr>
            <w:tcW w:w="0" w:type="auto"/>
            <w:gridSpan w:val="2"/>
            <w:shd w:val="clear" w:color="auto" w:fill="CCEEFF"/>
            <w:tcMar>
              <w:top w:w="40" w:type="dxa"/>
              <w:left w:w="20" w:type="dxa"/>
              <w:bottom w:w="40" w:type="dxa"/>
              <w:right w:w="0" w:type="dxa"/>
            </w:tcMar>
            <w:vAlign w:val="bottom"/>
          </w:tcPr>
          <w:p w14:paraId="71D431A9" w14:textId="77777777" w:rsidR="006A3667" w:rsidRDefault="00045F32">
            <w:pPr>
              <w:jc w:val="right"/>
              <w:textAlignment w:val="bottom"/>
            </w:pPr>
            <w:r>
              <w:rPr>
                <w:rFonts w:ascii="Arial" w:eastAsia="宋体" w:hAnsi="Arial" w:cs="Arial"/>
                <w:b/>
                <w:bCs/>
                <w:color w:val="000000"/>
                <w:sz w:val="15"/>
                <w:szCs w:val="15"/>
              </w:rPr>
              <w:t>(16,086)</w:t>
            </w:r>
          </w:p>
        </w:tc>
        <w:tc>
          <w:tcPr>
            <w:tcW w:w="0" w:type="auto"/>
            <w:shd w:val="clear" w:color="auto" w:fill="CCEEFF"/>
            <w:tcMar>
              <w:top w:w="40" w:type="dxa"/>
              <w:left w:w="0" w:type="dxa"/>
              <w:bottom w:w="40" w:type="dxa"/>
              <w:right w:w="20" w:type="dxa"/>
            </w:tcMar>
            <w:vAlign w:val="bottom"/>
          </w:tcPr>
          <w:p w14:paraId="71D431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A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AC" w14:textId="77777777" w:rsidR="006A3667" w:rsidRDefault="00045F32">
            <w:pPr>
              <w:jc w:val="right"/>
              <w:textAlignment w:val="bottom"/>
            </w:pPr>
            <w:r>
              <w:rPr>
                <w:rFonts w:ascii="Arial" w:eastAsia="宋体" w:hAnsi="Arial" w:cs="Arial"/>
                <w:color w:val="000000"/>
                <w:sz w:val="15"/>
                <w:szCs w:val="15"/>
              </w:rPr>
              <w:t>21,227 </w:t>
            </w:r>
          </w:p>
        </w:tc>
        <w:tc>
          <w:tcPr>
            <w:tcW w:w="0" w:type="auto"/>
            <w:shd w:val="clear" w:color="auto" w:fill="CCEEFF"/>
            <w:tcMar>
              <w:top w:w="40" w:type="dxa"/>
              <w:left w:w="0" w:type="dxa"/>
              <w:bottom w:w="40" w:type="dxa"/>
              <w:right w:w="20" w:type="dxa"/>
            </w:tcMar>
            <w:vAlign w:val="bottom"/>
          </w:tcPr>
          <w:p w14:paraId="71D431AD" w14:textId="77777777" w:rsidR="006A3667" w:rsidRDefault="006A3667">
            <w:pPr>
              <w:jc w:val="right"/>
              <w:rPr>
                <w:rFonts w:ascii="宋体"/>
              </w:rPr>
            </w:pPr>
          </w:p>
        </w:tc>
        <w:tc>
          <w:tcPr>
            <w:tcW w:w="0" w:type="auto"/>
            <w:gridSpan w:val="3"/>
            <w:shd w:val="clear" w:color="auto" w:fill="auto"/>
            <w:vAlign w:val="bottom"/>
          </w:tcPr>
          <w:p w14:paraId="71D431AE" w14:textId="77777777" w:rsidR="006A3667" w:rsidRDefault="006A3667">
            <w:pPr>
              <w:rPr>
                <w:rFonts w:ascii="宋体"/>
                <w:vanish/>
              </w:rPr>
            </w:pPr>
          </w:p>
        </w:tc>
        <w:tc>
          <w:tcPr>
            <w:tcW w:w="0" w:type="auto"/>
            <w:gridSpan w:val="3"/>
            <w:shd w:val="clear" w:color="auto" w:fill="auto"/>
            <w:vAlign w:val="bottom"/>
          </w:tcPr>
          <w:p w14:paraId="71D431AF" w14:textId="77777777" w:rsidR="006A3667" w:rsidRDefault="006A3667">
            <w:pPr>
              <w:rPr>
                <w:rFonts w:ascii="宋体"/>
                <w:vanish/>
              </w:rPr>
            </w:pPr>
          </w:p>
        </w:tc>
      </w:tr>
      <w:tr w:rsidR="006A3667" w14:paraId="71D431B9" w14:textId="77777777">
        <w:trPr>
          <w:jc w:val="center"/>
        </w:trPr>
        <w:tc>
          <w:tcPr>
            <w:tcW w:w="0" w:type="auto"/>
            <w:gridSpan w:val="3"/>
            <w:shd w:val="clear" w:color="auto" w:fill="FFFFFF"/>
            <w:tcMar>
              <w:top w:w="40" w:type="dxa"/>
              <w:left w:w="20" w:type="dxa"/>
              <w:bottom w:w="40" w:type="dxa"/>
              <w:right w:w="20" w:type="dxa"/>
            </w:tcMar>
            <w:vAlign w:val="bottom"/>
          </w:tcPr>
          <w:p w14:paraId="71D431B1" w14:textId="77777777" w:rsidR="006A3667" w:rsidRDefault="00045F32">
            <w:pPr>
              <w:textAlignment w:val="bottom"/>
            </w:pPr>
            <w:r>
              <w:rPr>
                <w:rFonts w:ascii="Arial" w:eastAsia="宋体" w:hAnsi="Arial" w:cs="Arial"/>
                <w:color w:val="000000"/>
                <w:sz w:val="15"/>
                <w:szCs w:val="15"/>
              </w:rPr>
              <w:t>Net increase (decrease) in securities sold under repurchase agreements</w:t>
            </w:r>
          </w:p>
        </w:tc>
        <w:tc>
          <w:tcPr>
            <w:tcW w:w="0" w:type="auto"/>
            <w:gridSpan w:val="2"/>
            <w:shd w:val="clear" w:color="auto" w:fill="FFFFFF"/>
            <w:tcMar>
              <w:top w:w="40" w:type="dxa"/>
              <w:left w:w="20" w:type="dxa"/>
              <w:bottom w:w="40" w:type="dxa"/>
              <w:right w:w="0" w:type="dxa"/>
            </w:tcMar>
            <w:vAlign w:val="bottom"/>
          </w:tcPr>
          <w:p w14:paraId="71D431B2" w14:textId="77777777" w:rsidR="006A3667" w:rsidRDefault="00045F32">
            <w:pPr>
              <w:jc w:val="right"/>
              <w:textAlignment w:val="bottom"/>
            </w:pPr>
            <w:r>
              <w:rPr>
                <w:rFonts w:ascii="Arial" w:eastAsia="宋体" w:hAnsi="Arial" w:cs="Arial"/>
                <w:b/>
                <w:bCs/>
                <w:color w:val="000000"/>
                <w:sz w:val="15"/>
                <w:szCs w:val="15"/>
              </w:rPr>
              <w:t>2,675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1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B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B5" w14:textId="77777777" w:rsidR="006A3667" w:rsidRDefault="00045F32">
            <w:pPr>
              <w:jc w:val="right"/>
              <w:textAlignment w:val="bottom"/>
            </w:pPr>
            <w:r>
              <w:rPr>
                <w:rFonts w:ascii="Arial" w:eastAsia="宋体" w:hAnsi="Arial" w:cs="Arial"/>
                <w:color w:val="000000"/>
                <w:sz w:val="15"/>
                <w:szCs w:val="15"/>
              </w:rPr>
              <w:t>(2,776)</w:t>
            </w:r>
          </w:p>
        </w:tc>
        <w:tc>
          <w:tcPr>
            <w:tcW w:w="0" w:type="auto"/>
            <w:shd w:val="clear" w:color="auto" w:fill="FFFFFF"/>
            <w:tcMar>
              <w:top w:w="40" w:type="dxa"/>
              <w:left w:w="0" w:type="dxa"/>
              <w:bottom w:w="40" w:type="dxa"/>
              <w:right w:w="20" w:type="dxa"/>
            </w:tcMar>
            <w:vAlign w:val="bottom"/>
          </w:tcPr>
          <w:p w14:paraId="71D431B6" w14:textId="77777777" w:rsidR="006A3667" w:rsidRDefault="006A3667">
            <w:pPr>
              <w:jc w:val="right"/>
              <w:rPr>
                <w:rFonts w:ascii="宋体"/>
              </w:rPr>
            </w:pPr>
          </w:p>
        </w:tc>
        <w:tc>
          <w:tcPr>
            <w:tcW w:w="0" w:type="auto"/>
            <w:gridSpan w:val="3"/>
            <w:shd w:val="clear" w:color="auto" w:fill="auto"/>
            <w:vAlign w:val="bottom"/>
          </w:tcPr>
          <w:p w14:paraId="71D431B7" w14:textId="77777777" w:rsidR="006A3667" w:rsidRDefault="006A3667">
            <w:pPr>
              <w:rPr>
                <w:rFonts w:ascii="宋体"/>
                <w:vanish/>
              </w:rPr>
            </w:pPr>
          </w:p>
        </w:tc>
        <w:tc>
          <w:tcPr>
            <w:tcW w:w="0" w:type="auto"/>
            <w:gridSpan w:val="3"/>
            <w:shd w:val="clear" w:color="auto" w:fill="auto"/>
            <w:vAlign w:val="bottom"/>
          </w:tcPr>
          <w:p w14:paraId="71D431B8" w14:textId="77777777" w:rsidR="006A3667" w:rsidRDefault="006A3667">
            <w:pPr>
              <w:rPr>
                <w:rFonts w:ascii="宋体"/>
                <w:vanish/>
              </w:rPr>
            </w:pPr>
          </w:p>
        </w:tc>
      </w:tr>
      <w:tr w:rsidR="006A3667" w14:paraId="71D431C2" w14:textId="77777777">
        <w:trPr>
          <w:jc w:val="center"/>
        </w:trPr>
        <w:tc>
          <w:tcPr>
            <w:tcW w:w="0" w:type="auto"/>
            <w:gridSpan w:val="3"/>
            <w:shd w:val="clear" w:color="auto" w:fill="CCEEFF"/>
            <w:tcMar>
              <w:top w:w="40" w:type="dxa"/>
              <w:left w:w="20" w:type="dxa"/>
              <w:bottom w:w="40" w:type="dxa"/>
              <w:right w:w="20" w:type="dxa"/>
            </w:tcMar>
            <w:vAlign w:val="bottom"/>
          </w:tcPr>
          <w:p w14:paraId="71D431BA" w14:textId="77777777" w:rsidR="006A3667" w:rsidRDefault="00045F32">
            <w:pPr>
              <w:textAlignment w:val="bottom"/>
            </w:pPr>
            <w:r>
              <w:rPr>
                <w:rFonts w:ascii="Arial" w:eastAsia="宋体" w:hAnsi="Arial" w:cs="Arial"/>
                <w:color w:val="000000"/>
                <w:sz w:val="15"/>
                <w:szCs w:val="15"/>
              </w:rPr>
              <w:t>Net (decrease) in 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71D431BB"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B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B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BE" w14:textId="77777777" w:rsidR="006A3667" w:rsidRDefault="00045F32">
            <w:pPr>
              <w:jc w:val="right"/>
              <w:textAlignment w:val="bottom"/>
            </w:pPr>
            <w:r>
              <w:rPr>
                <w:rFonts w:ascii="Arial" w:eastAsia="宋体" w:hAnsi="Arial" w:cs="Arial"/>
                <w:color w:val="000000"/>
                <w:sz w:val="15"/>
                <w:szCs w:val="15"/>
              </w:rPr>
              <w:t>(3,302)</w:t>
            </w:r>
          </w:p>
        </w:tc>
        <w:tc>
          <w:tcPr>
            <w:tcW w:w="0" w:type="auto"/>
            <w:shd w:val="clear" w:color="auto" w:fill="CCEEFF"/>
            <w:tcMar>
              <w:top w:w="40" w:type="dxa"/>
              <w:left w:w="0" w:type="dxa"/>
              <w:bottom w:w="40" w:type="dxa"/>
              <w:right w:w="20" w:type="dxa"/>
            </w:tcMar>
            <w:vAlign w:val="bottom"/>
          </w:tcPr>
          <w:p w14:paraId="71D431BF" w14:textId="77777777" w:rsidR="006A3667" w:rsidRDefault="006A3667">
            <w:pPr>
              <w:jc w:val="right"/>
              <w:rPr>
                <w:rFonts w:ascii="宋体"/>
              </w:rPr>
            </w:pPr>
          </w:p>
        </w:tc>
        <w:tc>
          <w:tcPr>
            <w:tcW w:w="0" w:type="auto"/>
            <w:gridSpan w:val="3"/>
            <w:shd w:val="clear" w:color="auto" w:fill="auto"/>
            <w:vAlign w:val="bottom"/>
          </w:tcPr>
          <w:p w14:paraId="71D431C0" w14:textId="77777777" w:rsidR="006A3667" w:rsidRDefault="006A3667">
            <w:pPr>
              <w:rPr>
                <w:rFonts w:ascii="宋体"/>
                <w:vanish/>
              </w:rPr>
            </w:pPr>
          </w:p>
        </w:tc>
        <w:tc>
          <w:tcPr>
            <w:tcW w:w="0" w:type="auto"/>
            <w:gridSpan w:val="3"/>
            <w:shd w:val="clear" w:color="auto" w:fill="auto"/>
            <w:vAlign w:val="bottom"/>
          </w:tcPr>
          <w:p w14:paraId="71D431C1" w14:textId="77777777" w:rsidR="006A3667" w:rsidRDefault="006A3667">
            <w:pPr>
              <w:rPr>
                <w:rFonts w:ascii="宋体"/>
                <w:vanish/>
              </w:rPr>
            </w:pPr>
          </w:p>
        </w:tc>
      </w:tr>
      <w:tr w:rsidR="006A3667" w14:paraId="71D431CB" w14:textId="77777777">
        <w:trPr>
          <w:jc w:val="center"/>
        </w:trPr>
        <w:tc>
          <w:tcPr>
            <w:tcW w:w="0" w:type="auto"/>
            <w:gridSpan w:val="3"/>
            <w:shd w:val="clear" w:color="auto" w:fill="FFFFFF"/>
            <w:tcMar>
              <w:top w:w="40" w:type="dxa"/>
              <w:left w:w="20" w:type="dxa"/>
              <w:bottom w:w="40" w:type="dxa"/>
              <w:right w:w="20" w:type="dxa"/>
            </w:tcMar>
            <w:vAlign w:val="bottom"/>
          </w:tcPr>
          <w:p w14:paraId="71D431C3" w14:textId="77777777" w:rsidR="006A3667" w:rsidRDefault="00045F32">
            <w:pPr>
              <w:textAlignment w:val="bottom"/>
            </w:pPr>
            <w:r>
              <w:rPr>
                <w:rFonts w:ascii="Arial" w:eastAsia="宋体" w:hAnsi="Arial" w:cs="Arial"/>
                <w:color w:val="000000"/>
                <w:sz w:val="15"/>
                <w:szCs w:val="15"/>
              </w:rPr>
              <w:t xml:space="preserve">Net (decrease) in other short-term borrowings </w:t>
            </w:r>
          </w:p>
        </w:tc>
        <w:tc>
          <w:tcPr>
            <w:tcW w:w="0" w:type="auto"/>
            <w:gridSpan w:val="2"/>
            <w:shd w:val="clear" w:color="auto" w:fill="FFFFFF"/>
            <w:tcMar>
              <w:top w:w="40" w:type="dxa"/>
              <w:left w:w="20" w:type="dxa"/>
              <w:bottom w:w="40" w:type="dxa"/>
              <w:right w:w="0" w:type="dxa"/>
            </w:tcMar>
            <w:vAlign w:val="bottom"/>
          </w:tcPr>
          <w:p w14:paraId="71D431C4" w14:textId="77777777" w:rsidR="006A3667" w:rsidRDefault="00045F32">
            <w:pPr>
              <w:jc w:val="right"/>
              <w:textAlignment w:val="bottom"/>
            </w:pPr>
            <w:r>
              <w:rPr>
                <w:rFonts w:ascii="Arial" w:eastAsia="宋体" w:hAnsi="Arial" w:cs="Arial"/>
                <w:b/>
                <w:bCs/>
                <w:color w:val="000000"/>
                <w:sz w:val="15"/>
                <w:szCs w:val="15"/>
              </w:rPr>
              <w:t>(20)</w:t>
            </w:r>
          </w:p>
        </w:tc>
        <w:tc>
          <w:tcPr>
            <w:tcW w:w="0" w:type="auto"/>
            <w:shd w:val="clear" w:color="auto" w:fill="FFFFFF"/>
            <w:tcMar>
              <w:top w:w="40" w:type="dxa"/>
              <w:left w:w="0" w:type="dxa"/>
              <w:bottom w:w="40" w:type="dxa"/>
              <w:right w:w="20" w:type="dxa"/>
            </w:tcMar>
            <w:vAlign w:val="bottom"/>
          </w:tcPr>
          <w:p w14:paraId="71D431C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C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C7" w14:textId="77777777" w:rsidR="006A3667" w:rsidRDefault="00045F32">
            <w:pPr>
              <w:jc w:val="right"/>
              <w:textAlignment w:val="bottom"/>
            </w:pPr>
            <w:r>
              <w:rPr>
                <w:rFonts w:ascii="Arial" w:eastAsia="宋体" w:hAnsi="Arial" w:cs="Arial"/>
                <w:color w:val="000000"/>
                <w:sz w:val="15"/>
                <w:szCs w:val="15"/>
              </w:rPr>
              <w:t>(137)</w:t>
            </w:r>
          </w:p>
        </w:tc>
        <w:tc>
          <w:tcPr>
            <w:tcW w:w="0" w:type="auto"/>
            <w:shd w:val="clear" w:color="auto" w:fill="FFFFFF"/>
            <w:tcMar>
              <w:top w:w="40" w:type="dxa"/>
              <w:left w:w="0" w:type="dxa"/>
              <w:bottom w:w="40" w:type="dxa"/>
              <w:right w:w="20" w:type="dxa"/>
            </w:tcMar>
            <w:vAlign w:val="bottom"/>
          </w:tcPr>
          <w:p w14:paraId="71D431C8" w14:textId="77777777" w:rsidR="006A3667" w:rsidRDefault="006A3667">
            <w:pPr>
              <w:jc w:val="right"/>
              <w:rPr>
                <w:rFonts w:ascii="宋体"/>
              </w:rPr>
            </w:pPr>
          </w:p>
        </w:tc>
        <w:tc>
          <w:tcPr>
            <w:tcW w:w="0" w:type="auto"/>
            <w:gridSpan w:val="3"/>
            <w:shd w:val="clear" w:color="auto" w:fill="auto"/>
            <w:vAlign w:val="bottom"/>
          </w:tcPr>
          <w:p w14:paraId="71D431C9" w14:textId="77777777" w:rsidR="006A3667" w:rsidRDefault="006A3667">
            <w:pPr>
              <w:rPr>
                <w:rFonts w:ascii="宋体"/>
                <w:vanish/>
              </w:rPr>
            </w:pPr>
          </w:p>
        </w:tc>
        <w:tc>
          <w:tcPr>
            <w:tcW w:w="0" w:type="auto"/>
            <w:gridSpan w:val="3"/>
            <w:shd w:val="clear" w:color="auto" w:fill="auto"/>
            <w:vAlign w:val="bottom"/>
          </w:tcPr>
          <w:p w14:paraId="71D431CA" w14:textId="77777777" w:rsidR="006A3667" w:rsidRDefault="006A3667">
            <w:pPr>
              <w:rPr>
                <w:rFonts w:ascii="宋体"/>
                <w:vanish/>
              </w:rPr>
            </w:pPr>
          </w:p>
        </w:tc>
      </w:tr>
      <w:tr w:rsidR="006A3667" w14:paraId="71D431D4" w14:textId="77777777">
        <w:trPr>
          <w:jc w:val="center"/>
        </w:trPr>
        <w:tc>
          <w:tcPr>
            <w:tcW w:w="0" w:type="auto"/>
            <w:gridSpan w:val="3"/>
            <w:shd w:val="clear" w:color="auto" w:fill="CCEEFF"/>
            <w:tcMar>
              <w:top w:w="40" w:type="dxa"/>
              <w:left w:w="20" w:type="dxa"/>
              <w:bottom w:w="40" w:type="dxa"/>
              <w:right w:w="20" w:type="dxa"/>
            </w:tcMar>
            <w:vAlign w:val="bottom"/>
          </w:tcPr>
          <w:p w14:paraId="71D431CC" w14:textId="77777777" w:rsidR="006A3667" w:rsidRDefault="00045F32">
            <w:pPr>
              <w:textAlignment w:val="bottom"/>
            </w:pPr>
            <w:r>
              <w:rPr>
                <w:rFonts w:ascii="Arial" w:eastAsia="宋体" w:hAnsi="Arial" w:cs="Arial"/>
                <w:color w:val="000000"/>
                <w:sz w:val="15"/>
                <w:szCs w:val="15"/>
              </w:rPr>
              <w:t>Proceeds from issuance of long-term debt, net of issuance costs</w:t>
            </w:r>
          </w:p>
        </w:tc>
        <w:tc>
          <w:tcPr>
            <w:tcW w:w="0" w:type="auto"/>
            <w:gridSpan w:val="2"/>
            <w:shd w:val="clear" w:color="auto" w:fill="CCEEFF"/>
            <w:tcMar>
              <w:top w:w="40" w:type="dxa"/>
              <w:left w:w="20" w:type="dxa"/>
              <w:bottom w:w="40" w:type="dxa"/>
              <w:right w:w="0" w:type="dxa"/>
            </w:tcMar>
            <w:vAlign w:val="bottom"/>
          </w:tcPr>
          <w:p w14:paraId="71D431CD" w14:textId="77777777" w:rsidR="006A3667" w:rsidRDefault="00045F32">
            <w:pPr>
              <w:jc w:val="right"/>
              <w:textAlignment w:val="bottom"/>
            </w:pPr>
            <w:r>
              <w:rPr>
                <w:rFonts w:ascii="Arial" w:eastAsia="宋体" w:hAnsi="Arial" w:cs="Arial"/>
                <w:b/>
                <w:bCs/>
                <w:color w:val="000000"/>
                <w:sz w:val="15"/>
                <w:szCs w:val="15"/>
              </w:rPr>
              <w:t>2,735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C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D0" w14:textId="77777777" w:rsidR="006A3667" w:rsidRDefault="00045F32">
            <w:pPr>
              <w:jc w:val="right"/>
              <w:textAlignment w:val="bottom"/>
            </w:pPr>
            <w:r>
              <w:rPr>
                <w:rFonts w:ascii="Arial" w:eastAsia="宋体" w:hAnsi="Arial" w:cs="Arial"/>
                <w:color w:val="000000"/>
                <w:sz w:val="15"/>
                <w:szCs w:val="15"/>
              </w:rPr>
              <w:t>844 </w:t>
            </w:r>
          </w:p>
        </w:tc>
        <w:tc>
          <w:tcPr>
            <w:tcW w:w="0" w:type="auto"/>
            <w:shd w:val="clear" w:color="auto" w:fill="CCEEFF"/>
            <w:tcMar>
              <w:top w:w="40" w:type="dxa"/>
              <w:left w:w="0" w:type="dxa"/>
              <w:bottom w:w="40" w:type="dxa"/>
              <w:right w:w="20" w:type="dxa"/>
            </w:tcMar>
            <w:vAlign w:val="bottom"/>
          </w:tcPr>
          <w:p w14:paraId="71D431D1" w14:textId="77777777" w:rsidR="006A3667" w:rsidRDefault="006A3667">
            <w:pPr>
              <w:jc w:val="right"/>
              <w:rPr>
                <w:rFonts w:ascii="宋体"/>
              </w:rPr>
            </w:pPr>
          </w:p>
        </w:tc>
        <w:tc>
          <w:tcPr>
            <w:tcW w:w="0" w:type="auto"/>
            <w:gridSpan w:val="3"/>
            <w:shd w:val="clear" w:color="auto" w:fill="auto"/>
            <w:vAlign w:val="bottom"/>
          </w:tcPr>
          <w:p w14:paraId="71D431D2" w14:textId="77777777" w:rsidR="006A3667" w:rsidRDefault="006A3667">
            <w:pPr>
              <w:rPr>
                <w:rFonts w:ascii="宋体"/>
                <w:vanish/>
              </w:rPr>
            </w:pPr>
          </w:p>
        </w:tc>
        <w:tc>
          <w:tcPr>
            <w:tcW w:w="0" w:type="auto"/>
            <w:gridSpan w:val="3"/>
            <w:shd w:val="clear" w:color="auto" w:fill="auto"/>
            <w:vAlign w:val="bottom"/>
          </w:tcPr>
          <w:p w14:paraId="71D431D3" w14:textId="77777777" w:rsidR="006A3667" w:rsidRDefault="006A3667">
            <w:pPr>
              <w:rPr>
                <w:rFonts w:ascii="宋体"/>
                <w:vanish/>
              </w:rPr>
            </w:pPr>
          </w:p>
        </w:tc>
      </w:tr>
      <w:tr w:rsidR="006A3667" w14:paraId="71D431DD" w14:textId="77777777">
        <w:trPr>
          <w:jc w:val="center"/>
        </w:trPr>
        <w:tc>
          <w:tcPr>
            <w:tcW w:w="0" w:type="auto"/>
            <w:gridSpan w:val="3"/>
            <w:shd w:val="clear" w:color="auto" w:fill="FFFFFF"/>
            <w:tcMar>
              <w:top w:w="40" w:type="dxa"/>
              <w:left w:w="20" w:type="dxa"/>
              <w:bottom w:w="40" w:type="dxa"/>
              <w:right w:w="20" w:type="dxa"/>
            </w:tcMar>
            <w:vAlign w:val="bottom"/>
          </w:tcPr>
          <w:p w14:paraId="71D431D5" w14:textId="77777777" w:rsidR="006A3667" w:rsidRDefault="00045F32">
            <w:pPr>
              <w:textAlignment w:val="bottom"/>
            </w:pPr>
            <w:r>
              <w:rPr>
                <w:rFonts w:ascii="Arial" w:eastAsia="宋体" w:hAnsi="Arial" w:cs="Arial"/>
                <w:color w:val="000000"/>
                <w:sz w:val="15"/>
                <w:szCs w:val="15"/>
              </w:rPr>
              <w:t>Payments for long-term debt and obligations under finance leases</w:t>
            </w:r>
          </w:p>
        </w:tc>
        <w:tc>
          <w:tcPr>
            <w:tcW w:w="0" w:type="auto"/>
            <w:gridSpan w:val="2"/>
            <w:shd w:val="clear" w:color="auto" w:fill="FFFFFF"/>
            <w:tcMar>
              <w:top w:w="40" w:type="dxa"/>
              <w:left w:w="20" w:type="dxa"/>
              <w:bottom w:w="40" w:type="dxa"/>
              <w:right w:w="0" w:type="dxa"/>
            </w:tcMar>
            <w:vAlign w:val="bottom"/>
          </w:tcPr>
          <w:p w14:paraId="71D431D6" w14:textId="77777777" w:rsidR="006A3667" w:rsidRDefault="00045F32">
            <w:pPr>
              <w:jc w:val="right"/>
              <w:textAlignment w:val="bottom"/>
            </w:pPr>
            <w:r>
              <w:rPr>
                <w:rFonts w:ascii="Arial" w:eastAsia="宋体" w:hAnsi="Arial" w:cs="Arial"/>
                <w:b/>
                <w:bCs/>
                <w:color w:val="000000"/>
                <w:sz w:val="15"/>
                <w:szCs w:val="15"/>
              </w:rPr>
              <w:t>(1,507)</w:t>
            </w:r>
          </w:p>
        </w:tc>
        <w:tc>
          <w:tcPr>
            <w:tcW w:w="0" w:type="auto"/>
            <w:shd w:val="clear" w:color="auto" w:fill="FFFFFF"/>
            <w:tcMar>
              <w:top w:w="40" w:type="dxa"/>
              <w:left w:w="0" w:type="dxa"/>
              <w:bottom w:w="40" w:type="dxa"/>
              <w:right w:w="20" w:type="dxa"/>
            </w:tcMar>
            <w:vAlign w:val="bottom"/>
          </w:tcPr>
          <w:p w14:paraId="71D431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D9" w14:textId="77777777" w:rsidR="006A3667" w:rsidRDefault="00045F32">
            <w:pPr>
              <w:jc w:val="right"/>
              <w:textAlignment w:val="bottom"/>
            </w:pPr>
            <w:r>
              <w:rPr>
                <w:rFonts w:ascii="Arial" w:eastAsia="宋体" w:hAnsi="Arial" w:cs="Arial"/>
                <w:color w:val="000000"/>
                <w:sz w:val="15"/>
                <w:szCs w:val="15"/>
              </w:rPr>
              <w:t>(1,530)</w:t>
            </w:r>
          </w:p>
        </w:tc>
        <w:tc>
          <w:tcPr>
            <w:tcW w:w="0" w:type="auto"/>
            <w:shd w:val="clear" w:color="auto" w:fill="FFFFFF"/>
            <w:tcMar>
              <w:top w:w="40" w:type="dxa"/>
              <w:left w:w="0" w:type="dxa"/>
              <w:bottom w:w="40" w:type="dxa"/>
              <w:right w:w="20" w:type="dxa"/>
            </w:tcMar>
            <w:vAlign w:val="bottom"/>
          </w:tcPr>
          <w:p w14:paraId="71D431DA" w14:textId="77777777" w:rsidR="006A3667" w:rsidRDefault="006A3667">
            <w:pPr>
              <w:jc w:val="right"/>
              <w:rPr>
                <w:rFonts w:ascii="宋体"/>
              </w:rPr>
            </w:pPr>
          </w:p>
        </w:tc>
        <w:tc>
          <w:tcPr>
            <w:tcW w:w="0" w:type="auto"/>
            <w:gridSpan w:val="3"/>
            <w:shd w:val="clear" w:color="auto" w:fill="auto"/>
            <w:vAlign w:val="bottom"/>
          </w:tcPr>
          <w:p w14:paraId="71D431DB" w14:textId="77777777" w:rsidR="006A3667" w:rsidRDefault="006A3667">
            <w:pPr>
              <w:rPr>
                <w:rFonts w:ascii="宋体"/>
                <w:vanish/>
              </w:rPr>
            </w:pPr>
          </w:p>
        </w:tc>
        <w:tc>
          <w:tcPr>
            <w:tcW w:w="0" w:type="auto"/>
            <w:gridSpan w:val="3"/>
            <w:shd w:val="clear" w:color="auto" w:fill="auto"/>
            <w:vAlign w:val="bottom"/>
          </w:tcPr>
          <w:p w14:paraId="71D431DC" w14:textId="77777777" w:rsidR="006A3667" w:rsidRDefault="006A3667">
            <w:pPr>
              <w:rPr>
                <w:rFonts w:ascii="宋体"/>
                <w:vanish/>
              </w:rPr>
            </w:pPr>
          </w:p>
        </w:tc>
      </w:tr>
      <w:tr w:rsidR="006A3667" w14:paraId="71D431E6" w14:textId="77777777">
        <w:trPr>
          <w:jc w:val="center"/>
        </w:trPr>
        <w:tc>
          <w:tcPr>
            <w:tcW w:w="0" w:type="auto"/>
            <w:gridSpan w:val="3"/>
            <w:shd w:val="clear" w:color="auto" w:fill="CCEEFF"/>
            <w:tcMar>
              <w:top w:w="40" w:type="dxa"/>
              <w:left w:w="20" w:type="dxa"/>
              <w:bottom w:w="40" w:type="dxa"/>
              <w:right w:w="20" w:type="dxa"/>
            </w:tcMar>
            <w:vAlign w:val="bottom"/>
          </w:tcPr>
          <w:p w14:paraId="71D431DE" w14:textId="77777777" w:rsidR="006A3667" w:rsidRDefault="00045F32">
            <w:pPr>
              <w:textAlignment w:val="bottom"/>
            </w:pPr>
            <w:r>
              <w:rPr>
                <w:rFonts w:ascii="Arial" w:eastAsia="宋体" w:hAnsi="Arial" w:cs="Arial"/>
                <w:color w:val="000000"/>
                <w:sz w:val="15"/>
                <w:szCs w:val="15"/>
              </w:rPr>
              <w:t xml:space="preserve">Payments for </w:t>
            </w:r>
            <w:r>
              <w:rPr>
                <w:rFonts w:ascii="Arial" w:eastAsia="宋体" w:hAnsi="Arial" w:cs="Arial"/>
                <w:color w:val="000000"/>
                <w:sz w:val="15"/>
                <w:szCs w:val="15"/>
              </w:rPr>
              <w:t>redemption of preferred stock</w:t>
            </w:r>
          </w:p>
        </w:tc>
        <w:tc>
          <w:tcPr>
            <w:tcW w:w="0" w:type="auto"/>
            <w:gridSpan w:val="2"/>
            <w:shd w:val="clear" w:color="auto" w:fill="CCEEFF"/>
            <w:tcMar>
              <w:top w:w="40" w:type="dxa"/>
              <w:left w:w="20" w:type="dxa"/>
              <w:bottom w:w="40" w:type="dxa"/>
              <w:right w:w="0" w:type="dxa"/>
            </w:tcMar>
            <w:vAlign w:val="bottom"/>
          </w:tcPr>
          <w:p w14:paraId="71D431DF"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E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E2" w14:textId="77777777" w:rsidR="006A3667" w:rsidRDefault="00045F32">
            <w:pPr>
              <w:jc w:val="right"/>
              <w:textAlignment w:val="bottom"/>
            </w:pPr>
            <w:r>
              <w:rPr>
                <w:rFonts w:ascii="Arial" w:eastAsia="宋体" w:hAnsi="Arial" w:cs="Arial"/>
                <w:color w:val="000000"/>
                <w:sz w:val="15"/>
                <w:szCs w:val="15"/>
              </w:rPr>
              <w:t>(500)</w:t>
            </w:r>
          </w:p>
        </w:tc>
        <w:tc>
          <w:tcPr>
            <w:tcW w:w="0" w:type="auto"/>
            <w:shd w:val="clear" w:color="auto" w:fill="CCEEFF"/>
            <w:tcMar>
              <w:top w:w="40" w:type="dxa"/>
              <w:left w:w="0" w:type="dxa"/>
              <w:bottom w:w="40" w:type="dxa"/>
              <w:right w:w="20" w:type="dxa"/>
            </w:tcMar>
            <w:vAlign w:val="bottom"/>
          </w:tcPr>
          <w:p w14:paraId="71D431E3" w14:textId="77777777" w:rsidR="006A3667" w:rsidRDefault="006A3667">
            <w:pPr>
              <w:jc w:val="right"/>
              <w:rPr>
                <w:rFonts w:ascii="宋体"/>
              </w:rPr>
            </w:pPr>
          </w:p>
        </w:tc>
        <w:tc>
          <w:tcPr>
            <w:tcW w:w="0" w:type="auto"/>
            <w:gridSpan w:val="3"/>
            <w:shd w:val="clear" w:color="auto" w:fill="auto"/>
            <w:vAlign w:val="bottom"/>
          </w:tcPr>
          <w:p w14:paraId="71D431E4" w14:textId="77777777" w:rsidR="006A3667" w:rsidRDefault="006A3667">
            <w:pPr>
              <w:rPr>
                <w:rFonts w:ascii="宋体"/>
                <w:vanish/>
              </w:rPr>
            </w:pPr>
          </w:p>
        </w:tc>
        <w:tc>
          <w:tcPr>
            <w:tcW w:w="0" w:type="auto"/>
            <w:gridSpan w:val="3"/>
            <w:shd w:val="clear" w:color="auto" w:fill="auto"/>
            <w:vAlign w:val="bottom"/>
          </w:tcPr>
          <w:p w14:paraId="71D431E5" w14:textId="77777777" w:rsidR="006A3667" w:rsidRDefault="006A3667">
            <w:pPr>
              <w:rPr>
                <w:rFonts w:ascii="宋体"/>
                <w:vanish/>
              </w:rPr>
            </w:pPr>
          </w:p>
        </w:tc>
      </w:tr>
      <w:tr w:rsidR="006A3667" w14:paraId="71D431ED" w14:textId="77777777">
        <w:trPr>
          <w:jc w:val="center"/>
          <w:hidden/>
        </w:trPr>
        <w:tc>
          <w:tcPr>
            <w:tcW w:w="0" w:type="auto"/>
            <w:gridSpan w:val="3"/>
            <w:shd w:val="clear" w:color="auto" w:fill="auto"/>
            <w:vAlign w:val="bottom"/>
          </w:tcPr>
          <w:p w14:paraId="71D431E7" w14:textId="77777777" w:rsidR="006A3667" w:rsidRDefault="006A3667">
            <w:pPr>
              <w:rPr>
                <w:rFonts w:ascii="宋体"/>
                <w:vanish/>
              </w:rPr>
            </w:pPr>
          </w:p>
        </w:tc>
        <w:tc>
          <w:tcPr>
            <w:tcW w:w="0" w:type="auto"/>
            <w:gridSpan w:val="3"/>
            <w:shd w:val="clear" w:color="auto" w:fill="auto"/>
            <w:vAlign w:val="bottom"/>
          </w:tcPr>
          <w:p w14:paraId="71D431E8" w14:textId="77777777" w:rsidR="006A3667" w:rsidRDefault="006A3667">
            <w:pPr>
              <w:rPr>
                <w:rFonts w:ascii="宋体"/>
                <w:vanish/>
              </w:rPr>
            </w:pPr>
          </w:p>
        </w:tc>
        <w:tc>
          <w:tcPr>
            <w:tcW w:w="0" w:type="auto"/>
            <w:gridSpan w:val="3"/>
            <w:shd w:val="clear" w:color="auto" w:fill="auto"/>
            <w:vAlign w:val="bottom"/>
          </w:tcPr>
          <w:p w14:paraId="71D431E9" w14:textId="77777777" w:rsidR="006A3667" w:rsidRDefault="006A3667">
            <w:pPr>
              <w:rPr>
                <w:rFonts w:ascii="宋体"/>
                <w:vanish/>
              </w:rPr>
            </w:pPr>
          </w:p>
        </w:tc>
        <w:tc>
          <w:tcPr>
            <w:tcW w:w="0" w:type="auto"/>
            <w:gridSpan w:val="3"/>
            <w:shd w:val="clear" w:color="auto" w:fill="auto"/>
            <w:vAlign w:val="bottom"/>
          </w:tcPr>
          <w:p w14:paraId="71D431EA" w14:textId="77777777" w:rsidR="006A3667" w:rsidRDefault="006A3667">
            <w:pPr>
              <w:rPr>
                <w:rFonts w:ascii="宋体"/>
                <w:vanish/>
              </w:rPr>
            </w:pPr>
          </w:p>
        </w:tc>
        <w:tc>
          <w:tcPr>
            <w:tcW w:w="0" w:type="auto"/>
            <w:gridSpan w:val="3"/>
            <w:shd w:val="clear" w:color="auto" w:fill="auto"/>
            <w:vAlign w:val="bottom"/>
          </w:tcPr>
          <w:p w14:paraId="71D431EB" w14:textId="77777777" w:rsidR="006A3667" w:rsidRDefault="006A3667">
            <w:pPr>
              <w:rPr>
                <w:rFonts w:ascii="宋体"/>
                <w:vanish/>
              </w:rPr>
            </w:pPr>
          </w:p>
        </w:tc>
        <w:tc>
          <w:tcPr>
            <w:tcW w:w="0" w:type="auto"/>
            <w:gridSpan w:val="3"/>
            <w:shd w:val="clear" w:color="auto" w:fill="auto"/>
            <w:vAlign w:val="bottom"/>
          </w:tcPr>
          <w:p w14:paraId="71D431EC" w14:textId="77777777" w:rsidR="006A3667" w:rsidRDefault="006A3667">
            <w:pPr>
              <w:rPr>
                <w:rFonts w:ascii="宋体"/>
                <w:vanish/>
              </w:rPr>
            </w:pPr>
          </w:p>
        </w:tc>
      </w:tr>
      <w:tr w:rsidR="006A3667" w14:paraId="71D431F6" w14:textId="77777777">
        <w:trPr>
          <w:jc w:val="center"/>
        </w:trPr>
        <w:tc>
          <w:tcPr>
            <w:tcW w:w="0" w:type="auto"/>
            <w:gridSpan w:val="3"/>
            <w:shd w:val="clear" w:color="auto" w:fill="FFFFFF"/>
            <w:tcMar>
              <w:top w:w="40" w:type="dxa"/>
              <w:left w:w="20" w:type="dxa"/>
              <w:bottom w:w="40" w:type="dxa"/>
              <w:right w:w="20" w:type="dxa"/>
            </w:tcMar>
            <w:vAlign w:val="bottom"/>
          </w:tcPr>
          <w:p w14:paraId="71D431EE" w14:textId="77777777" w:rsidR="006A3667" w:rsidRDefault="00045F32">
            <w:pPr>
              <w:textAlignment w:val="bottom"/>
            </w:pPr>
            <w:r>
              <w:rPr>
                <w:rFonts w:ascii="Arial" w:eastAsia="宋体" w:hAnsi="Arial" w:cs="Arial"/>
                <w:color w:val="000000"/>
                <w:sz w:val="15"/>
                <w:szCs w:val="15"/>
              </w:rPr>
              <w:t>Proceeds from issuance of common stock, net of issuance costs</w:t>
            </w:r>
          </w:p>
        </w:tc>
        <w:tc>
          <w:tcPr>
            <w:tcW w:w="0" w:type="auto"/>
            <w:gridSpan w:val="2"/>
            <w:shd w:val="clear" w:color="auto" w:fill="FFFFFF"/>
            <w:tcMar>
              <w:top w:w="40" w:type="dxa"/>
              <w:left w:w="20" w:type="dxa"/>
              <w:bottom w:w="40" w:type="dxa"/>
              <w:right w:w="0" w:type="dxa"/>
            </w:tcMar>
            <w:vAlign w:val="bottom"/>
          </w:tcPr>
          <w:p w14:paraId="71D431EF"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1F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1F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1F2" w14:textId="77777777" w:rsidR="006A3667" w:rsidRDefault="00045F32">
            <w:pPr>
              <w:jc w:val="right"/>
              <w:textAlignment w:val="bottom"/>
            </w:pPr>
            <w:r>
              <w:rPr>
                <w:rFonts w:ascii="Arial" w:eastAsia="宋体" w:hAnsi="Arial" w:cs="Arial"/>
                <w:color w:val="000000"/>
                <w:sz w:val="15"/>
                <w:szCs w:val="15"/>
              </w:rPr>
              <w:t>1,900 </w:t>
            </w:r>
          </w:p>
        </w:tc>
        <w:tc>
          <w:tcPr>
            <w:tcW w:w="0" w:type="auto"/>
            <w:shd w:val="clear" w:color="auto" w:fill="FFFFFF"/>
            <w:tcMar>
              <w:top w:w="40" w:type="dxa"/>
              <w:left w:w="0" w:type="dxa"/>
              <w:bottom w:w="40" w:type="dxa"/>
              <w:right w:w="20" w:type="dxa"/>
            </w:tcMar>
            <w:vAlign w:val="bottom"/>
          </w:tcPr>
          <w:p w14:paraId="71D431F3" w14:textId="77777777" w:rsidR="006A3667" w:rsidRDefault="006A3667">
            <w:pPr>
              <w:jc w:val="right"/>
              <w:rPr>
                <w:rFonts w:ascii="宋体"/>
              </w:rPr>
            </w:pPr>
          </w:p>
        </w:tc>
        <w:tc>
          <w:tcPr>
            <w:tcW w:w="0" w:type="auto"/>
            <w:gridSpan w:val="3"/>
            <w:shd w:val="clear" w:color="auto" w:fill="auto"/>
            <w:vAlign w:val="bottom"/>
          </w:tcPr>
          <w:p w14:paraId="71D431F4" w14:textId="77777777" w:rsidR="006A3667" w:rsidRDefault="006A3667">
            <w:pPr>
              <w:rPr>
                <w:rFonts w:ascii="宋体"/>
                <w:vanish/>
              </w:rPr>
            </w:pPr>
          </w:p>
        </w:tc>
        <w:tc>
          <w:tcPr>
            <w:tcW w:w="0" w:type="auto"/>
            <w:gridSpan w:val="3"/>
            <w:shd w:val="clear" w:color="auto" w:fill="auto"/>
            <w:vAlign w:val="bottom"/>
          </w:tcPr>
          <w:p w14:paraId="71D431F5" w14:textId="77777777" w:rsidR="006A3667" w:rsidRDefault="006A3667">
            <w:pPr>
              <w:rPr>
                <w:rFonts w:ascii="宋体"/>
                <w:vanish/>
              </w:rPr>
            </w:pPr>
          </w:p>
        </w:tc>
      </w:tr>
      <w:tr w:rsidR="006A3667" w14:paraId="71D431FF" w14:textId="77777777">
        <w:trPr>
          <w:jc w:val="center"/>
        </w:trPr>
        <w:tc>
          <w:tcPr>
            <w:tcW w:w="0" w:type="auto"/>
            <w:gridSpan w:val="3"/>
            <w:shd w:val="clear" w:color="auto" w:fill="CCEEFF"/>
            <w:tcMar>
              <w:top w:w="40" w:type="dxa"/>
              <w:left w:w="20" w:type="dxa"/>
              <w:bottom w:w="40" w:type="dxa"/>
              <w:right w:w="20" w:type="dxa"/>
            </w:tcMar>
            <w:vAlign w:val="bottom"/>
          </w:tcPr>
          <w:p w14:paraId="71D431F7" w14:textId="77777777" w:rsidR="006A3667" w:rsidRDefault="00045F32">
            <w:pPr>
              <w:textAlignment w:val="bottom"/>
            </w:pPr>
            <w:r>
              <w:rPr>
                <w:rFonts w:ascii="Arial" w:eastAsia="宋体" w:hAnsi="Arial" w:cs="Arial"/>
                <w:color w:val="000000"/>
                <w:sz w:val="15"/>
                <w:szCs w:val="15"/>
              </w:rPr>
              <w:t>Repurchases of common stock</w:t>
            </w:r>
          </w:p>
        </w:tc>
        <w:tc>
          <w:tcPr>
            <w:tcW w:w="0" w:type="auto"/>
            <w:gridSpan w:val="2"/>
            <w:shd w:val="clear" w:color="auto" w:fill="CCEEFF"/>
            <w:tcMar>
              <w:top w:w="40" w:type="dxa"/>
              <w:left w:w="20" w:type="dxa"/>
              <w:bottom w:w="40" w:type="dxa"/>
              <w:right w:w="0" w:type="dxa"/>
            </w:tcMar>
            <w:vAlign w:val="bottom"/>
          </w:tcPr>
          <w:p w14:paraId="71D431F8"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31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1F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1FB" w14:textId="77777777" w:rsidR="006A3667" w:rsidRDefault="00045F32">
            <w:pPr>
              <w:jc w:val="right"/>
              <w:textAlignment w:val="bottom"/>
            </w:pPr>
            <w:r>
              <w:rPr>
                <w:rFonts w:ascii="Arial" w:eastAsia="宋体" w:hAnsi="Arial" w:cs="Arial"/>
                <w:color w:val="000000"/>
                <w:sz w:val="15"/>
                <w:szCs w:val="15"/>
              </w:rPr>
              <w:t>(900)</w:t>
            </w:r>
          </w:p>
        </w:tc>
        <w:tc>
          <w:tcPr>
            <w:tcW w:w="0" w:type="auto"/>
            <w:shd w:val="clear" w:color="auto" w:fill="CCEEFF"/>
            <w:tcMar>
              <w:top w:w="40" w:type="dxa"/>
              <w:left w:w="0" w:type="dxa"/>
              <w:bottom w:w="40" w:type="dxa"/>
              <w:right w:w="20" w:type="dxa"/>
            </w:tcMar>
            <w:vAlign w:val="bottom"/>
          </w:tcPr>
          <w:p w14:paraId="71D431FC" w14:textId="77777777" w:rsidR="006A3667" w:rsidRDefault="006A3667">
            <w:pPr>
              <w:jc w:val="right"/>
              <w:rPr>
                <w:rFonts w:ascii="宋体"/>
              </w:rPr>
            </w:pPr>
          </w:p>
        </w:tc>
        <w:tc>
          <w:tcPr>
            <w:tcW w:w="0" w:type="auto"/>
            <w:gridSpan w:val="3"/>
            <w:shd w:val="clear" w:color="auto" w:fill="auto"/>
            <w:vAlign w:val="bottom"/>
          </w:tcPr>
          <w:p w14:paraId="71D431FD" w14:textId="77777777" w:rsidR="006A3667" w:rsidRDefault="006A3667">
            <w:pPr>
              <w:rPr>
                <w:rFonts w:ascii="宋体"/>
                <w:vanish/>
              </w:rPr>
            </w:pPr>
          </w:p>
        </w:tc>
        <w:tc>
          <w:tcPr>
            <w:tcW w:w="0" w:type="auto"/>
            <w:gridSpan w:val="3"/>
            <w:shd w:val="clear" w:color="auto" w:fill="auto"/>
            <w:vAlign w:val="bottom"/>
          </w:tcPr>
          <w:p w14:paraId="71D431FE" w14:textId="77777777" w:rsidR="006A3667" w:rsidRDefault="006A3667">
            <w:pPr>
              <w:rPr>
                <w:rFonts w:ascii="宋体"/>
                <w:vanish/>
              </w:rPr>
            </w:pPr>
          </w:p>
        </w:tc>
      </w:tr>
      <w:tr w:rsidR="006A3667" w14:paraId="71D43206" w14:textId="77777777">
        <w:trPr>
          <w:jc w:val="center"/>
          <w:hidden/>
        </w:trPr>
        <w:tc>
          <w:tcPr>
            <w:tcW w:w="0" w:type="auto"/>
            <w:gridSpan w:val="3"/>
            <w:shd w:val="clear" w:color="auto" w:fill="auto"/>
            <w:vAlign w:val="bottom"/>
          </w:tcPr>
          <w:p w14:paraId="71D43200" w14:textId="77777777" w:rsidR="006A3667" w:rsidRDefault="006A3667">
            <w:pPr>
              <w:rPr>
                <w:rFonts w:ascii="宋体"/>
                <w:vanish/>
              </w:rPr>
            </w:pPr>
          </w:p>
        </w:tc>
        <w:tc>
          <w:tcPr>
            <w:tcW w:w="0" w:type="auto"/>
            <w:gridSpan w:val="3"/>
            <w:shd w:val="clear" w:color="auto" w:fill="auto"/>
            <w:vAlign w:val="bottom"/>
          </w:tcPr>
          <w:p w14:paraId="71D43201" w14:textId="77777777" w:rsidR="006A3667" w:rsidRDefault="006A3667">
            <w:pPr>
              <w:rPr>
                <w:rFonts w:ascii="宋体"/>
                <w:vanish/>
              </w:rPr>
            </w:pPr>
          </w:p>
        </w:tc>
        <w:tc>
          <w:tcPr>
            <w:tcW w:w="0" w:type="auto"/>
            <w:gridSpan w:val="3"/>
            <w:shd w:val="clear" w:color="auto" w:fill="auto"/>
            <w:vAlign w:val="bottom"/>
          </w:tcPr>
          <w:p w14:paraId="71D43202" w14:textId="77777777" w:rsidR="006A3667" w:rsidRDefault="006A3667">
            <w:pPr>
              <w:rPr>
                <w:rFonts w:ascii="宋体"/>
                <w:vanish/>
              </w:rPr>
            </w:pPr>
          </w:p>
        </w:tc>
        <w:tc>
          <w:tcPr>
            <w:tcW w:w="0" w:type="auto"/>
            <w:gridSpan w:val="3"/>
            <w:shd w:val="clear" w:color="auto" w:fill="auto"/>
            <w:vAlign w:val="bottom"/>
          </w:tcPr>
          <w:p w14:paraId="71D43203" w14:textId="77777777" w:rsidR="006A3667" w:rsidRDefault="006A3667">
            <w:pPr>
              <w:rPr>
                <w:rFonts w:ascii="宋体"/>
                <w:vanish/>
              </w:rPr>
            </w:pPr>
          </w:p>
        </w:tc>
        <w:tc>
          <w:tcPr>
            <w:tcW w:w="0" w:type="auto"/>
            <w:gridSpan w:val="3"/>
            <w:shd w:val="clear" w:color="auto" w:fill="auto"/>
            <w:vAlign w:val="bottom"/>
          </w:tcPr>
          <w:p w14:paraId="71D43204" w14:textId="77777777" w:rsidR="006A3667" w:rsidRDefault="006A3667">
            <w:pPr>
              <w:rPr>
                <w:rFonts w:ascii="宋体"/>
                <w:vanish/>
              </w:rPr>
            </w:pPr>
          </w:p>
        </w:tc>
        <w:tc>
          <w:tcPr>
            <w:tcW w:w="0" w:type="auto"/>
            <w:gridSpan w:val="3"/>
            <w:shd w:val="clear" w:color="auto" w:fill="auto"/>
            <w:vAlign w:val="bottom"/>
          </w:tcPr>
          <w:p w14:paraId="71D43205" w14:textId="77777777" w:rsidR="006A3667" w:rsidRDefault="006A3667">
            <w:pPr>
              <w:rPr>
                <w:rFonts w:ascii="宋体"/>
                <w:vanish/>
              </w:rPr>
            </w:pPr>
          </w:p>
        </w:tc>
      </w:tr>
      <w:tr w:rsidR="006A3667" w14:paraId="71D4320F" w14:textId="77777777">
        <w:trPr>
          <w:jc w:val="center"/>
        </w:trPr>
        <w:tc>
          <w:tcPr>
            <w:tcW w:w="0" w:type="auto"/>
            <w:gridSpan w:val="3"/>
            <w:shd w:val="clear" w:color="auto" w:fill="FFFFFF"/>
            <w:tcMar>
              <w:top w:w="40" w:type="dxa"/>
              <w:left w:w="20" w:type="dxa"/>
              <w:bottom w:w="40" w:type="dxa"/>
              <w:right w:w="20" w:type="dxa"/>
            </w:tcMar>
            <w:vAlign w:val="bottom"/>
          </w:tcPr>
          <w:p w14:paraId="71D43207" w14:textId="77777777" w:rsidR="006A3667" w:rsidRDefault="00045F32">
            <w:pPr>
              <w:textAlignment w:val="bottom"/>
            </w:pPr>
            <w:r>
              <w:rPr>
                <w:rFonts w:ascii="Arial" w:eastAsia="宋体" w:hAnsi="Arial" w:cs="Arial"/>
                <w:color w:val="000000"/>
                <w:sz w:val="15"/>
                <w:szCs w:val="15"/>
              </w:rPr>
              <w:t>Repurchases of common stock for employee tax withholding</w:t>
            </w:r>
          </w:p>
        </w:tc>
        <w:tc>
          <w:tcPr>
            <w:tcW w:w="0" w:type="auto"/>
            <w:gridSpan w:val="2"/>
            <w:shd w:val="clear" w:color="auto" w:fill="FFFFFF"/>
            <w:tcMar>
              <w:top w:w="40" w:type="dxa"/>
              <w:left w:w="20" w:type="dxa"/>
              <w:bottom w:w="40" w:type="dxa"/>
              <w:right w:w="0" w:type="dxa"/>
            </w:tcMar>
            <w:vAlign w:val="bottom"/>
          </w:tcPr>
          <w:p w14:paraId="71D43208" w14:textId="77777777" w:rsidR="006A3667" w:rsidRDefault="00045F32">
            <w:pPr>
              <w:jc w:val="right"/>
              <w:textAlignment w:val="bottom"/>
            </w:pPr>
            <w:r>
              <w:rPr>
                <w:rFonts w:ascii="Arial" w:eastAsia="宋体" w:hAnsi="Arial" w:cs="Arial"/>
                <w:b/>
                <w:bCs/>
                <w:color w:val="000000"/>
                <w:sz w:val="15"/>
                <w:szCs w:val="15"/>
              </w:rPr>
              <w:t>(96)</w:t>
            </w:r>
          </w:p>
        </w:tc>
        <w:tc>
          <w:tcPr>
            <w:tcW w:w="0" w:type="auto"/>
            <w:shd w:val="clear" w:color="auto" w:fill="FFFFFF"/>
            <w:tcMar>
              <w:top w:w="40" w:type="dxa"/>
              <w:left w:w="0" w:type="dxa"/>
              <w:bottom w:w="40" w:type="dxa"/>
              <w:right w:w="20" w:type="dxa"/>
            </w:tcMar>
            <w:vAlign w:val="bottom"/>
          </w:tcPr>
          <w:p w14:paraId="71D432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2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20B" w14:textId="77777777" w:rsidR="006A3667" w:rsidRDefault="00045F32">
            <w:pPr>
              <w:jc w:val="right"/>
              <w:textAlignment w:val="bottom"/>
            </w:pPr>
            <w:r>
              <w:rPr>
                <w:rFonts w:ascii="Arial" w:eastAsia="宋体" w:hAnsi="Arial" w:cs="Arial"/>
                <w:color w:val="000000"/>
                <w:sz w:val="15"/>
                <w:szCs w:val="15"/>
              </w:rPr>
              <w:t>(6)</w:t>
            </w:r>
          </w:p>
        </w:tc>
        <w:tc>
          <w:tcPr>
            <w:tcW w:w="0" w:type="auto"/>
            <w:shd w:val="clear" w:color="auto" w:fill="FFFFFF"/>
            <w:tcMar>
              <w:top w:w="40" w:type="dxa"/>
              <w:left w:w="0" w:type="dxa"/>
              <w:bottom w:w="40" w:type="dxa"/>
              <w:right w:w="20" w:type="dxa"/>
            </w:tcMar>
            <w:vAlign w:val="bottom"/>
          </w:tcPr>
          <w:p w14:paraId="71D4320C" w14:textId="77777777" w:rsidR="006A3667" w:rsidRDefault="006A3667">
            <w:pPr>
              <w:jc w:val="right"/>
              <w:rPr>
                <w:rFonts w:ascii="宋体"/>
              </w:rPr>
            </w:pPr>
          </w:p>
        </w:tc>
        <w:tc>
          <w:tcPr>
            <w:tcW w:w="0" w:type="auto"/>
            <w:gridSpan w:val="3"/>
            <w:shd w:val="clear" w:color="auto" w:fill="auto"/>
            <w:vAlign w:val="bottom"/>
          </w:tcPr>
          <w:p w14:paraId="71D4320D" w14:textId="77777777" w:rsidR="006A3667" w:rsidRDefault="006A3667">
            <w:pPr>
              <w:rPr>
                <w:rFonts w:ascii="宋体"/>
                <w:vanish/>
              </w:rPr>
            </w:pPr>
          </w:p>
        </w:tc>
        <w:tc>
          <w:tcPr>
            <w:tcW w:w="0" w:type="auto"/>
            <w:gridSpan w:val="3"/>
            <w:shd w:val="clear" w:color="auto" w:fill="auto"/>
            <w:vAlign w:val="bottom"/>
          </w:tcPr>
          <w:p w14:paraId="71D4320E" w14:textId="77777777" w:rsidR="006A3667" w:rsidRDefault="006A3667">
            <w:pPr>
              <w:rPr>
                <w:rFonts w:ascii="宋体"/>
                <w:vanish/>
              </w:rPr>
            </w:pPr>
          </w:p>
        </w:tc>
      </w:tr>
      <w:tr w:rsidR="006A3667" w14:paraId="71D43218" w14:textId="77777777">
        <w:trPr>
          <w:jc w:val="center"/>
        </w:trPr>
        <w:tc>
          <w:tcPr>
            <w:tcW w:w="0" w:type="auto"/>
            <w:gridSpan w:val="3"/>
            <w:shd w:val="clear" w:color="auto" w:fill="CCEEFF"/>
            <w:tcMar>
              <w:top w:w="40" w:type="dxa"/>
              <w:left w:w="20" w:type="dxa"/>
              <w:bottom w:w="40" w:type="dxa"/>
              <w:right w:w="20" w:type="dxa"/>
            </w:tcMar>
            <w:vAlign w:val="bottom"/>
          </w:tcPr>
          <w:p w14:paraId="71D43210" w14:textId="77777777" w:rsidR="006A3667" w:rsidRDefault="00045F32">
            <w:pPr>
              <w:textAlignment w:val="bottom"/>
            </w:pPr>
            <w:r>
              <w:rPr>
                <w:rFonts w:ascii="Arial" w:eastAsia="宋体" w:hAnsi="Arial" w:cs="Arial"/>
                <w:color w:val="000000"/>
                <w:sz w:val="15"/>
                <w:szCs w:val="15"/>
              </w:rPr>
              <w:t>Payments for cash dividends</w:t>
            </w:r>
          </w:p>
        </w:tc>
        <w:tc>
          <w:tcPr>
            <w:tcW w:w="0" w:type="auto"/>
            <w:gridSpan w:val="2"/>
            <w:shd w:val="clear" w:color="auto" w:fill="CCEEFF"/>
            <w:tcMar>
              <w:top w:w="40" w:type="dxa"/>
              <w:left w:w="20" w:type="dxa"/>
              <w:bottom w:w="40" w:type="dxa"/>
              <w:right w:w="0" w:type="dxa"/>
            </w:tcMar>
            <w:vAlign w:val="bottom"/>
          </w:tcPr>
          <w:p w14:paraId="71D43211" w14:textId="77777777" w:rsidR="006A3667" w:rsidRDefault="00045F32">
            <w:pPr>
              <w:jc w:val="right"/>
              <w:textAlignment w:val="bottom"/>
            </w:pPr>
            <w:r>
              <w:rPr>
                <w:rFonts w:ascii="Arial" w:eastAsia="宋体" w:hAnsi="Arial" w:cs="Arial"/>
                <w:b/>
                <w:bCs/>
                <w:color w:val="000000"/>
                <w:sz w:val="15"/>
                <w:szCs w:val="15"/>
              </w:rPr>
              <w:t>(704)</w:t>
            </w:r>
          </w:p>
        </w:tc>
        <w:tc>
          <w:tcPr>
            <w:tcW w:w="0" w:type="auto"/>
            <w:shd w:val="clear" w:color="auto" w:fill="CCEEFF"/>
            <w:tcMar>
              <w:top w:w="40" w:type="dxa"/>
              <w:left w:w="0" w:type="dxa"/>
              <w:bottom w:w="40" w:type="dxa"/>
              <w:right w:w="20" w:type="dxa"/>
            </w:tcMar>
            <w:vAlign w:val="bottom"/>
          </w:tcPr>
          <w:p w14:paraId="71D432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21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214" w14:textId="77777777" w:rsidR="006A3667" w:rsidRDefault="00045F32">
            <w:pPr>
              <w:jc w:val="right"/>
              <w:textAlignment w:val="bottom"/>
            </w:pPr>
            <w:r>
              <w:rPr>
                <w:rFonts w:ascii="Arial" w:eastAsia="宋体" w:hAnsi="Arial" w:cs="Arial"/>
                <w:color w:val="000000"/>
                <w:sz w:val="15"/>
                <w:szCs w:val="15"/>
              </w:rPr>
              <w:t>(623)</w:t>
            </w:r>
          </w:p>
        </w:tc>
        <w:tc>
          <w:tcPr>
            <w:tcW w:w="0" w:type="auto"/>
            <w:shd w:val="clear" w:color="auto" w:fill="CCEEFF"/>
            <w:tcMar>
              <w:top w:w="40" w:type="dxa"/>
              <w:left w:w="0" w:type="dxa"/>
              <w:bottom w:w="40" w:type="dxa"/>
              <w:right w:w="20" w:type="dxa"/>
            </w:tcMar>
            <w:vAlign w:val="bottom"/>
          </w:tcPr>
          <w:p w14:paraId="71D43215" w14:textId="77777777" w:rsidR="006A3667" w:rsidRDefault="006A3667">
            <w:pPr>
              <w:jc w:val="right"/>
              <w:rPr>
                <w:rFonts w:ascii="宋体"/>
              </w:rPr>
            </w:pPr>
          </w:p>
        </w:tc>
        <w:tc>
          <w:tcPr>
            <w:tcW w:w="0" w:type="auto"/>
            <w:gridSpan w:val="3"/>
            <w:shd w:val="clear" w:color="auto" w:fill="auto"/>
            <w:vAlign w:val="bottom"/>
          </w:tcPr>
          <w:p w14:paraId="71D43216" w14:textId="77777777" w:rsidR="006A3667" w:rsidRDefault="006A3667">
            <w:pPr>
              <w:rPr>
                <w:rFonts w:ascii="宋体"/>
                <w:vanish/>
              </w:rPr>
            </w:pPr>
          </w:p>
        </w:tc>
        <w:tc>
          <w:tcPr>
            <w:tcW w:w="0" w:type="auto"/>
            <w:gridSpan w:val="3"/>
            <w:shd w:val="clear" w:color="auto" w:fill="auto"/>
            <w:vAlign w:val="bottom"/>
          </w:tcPr>
          <w:p w14:paraId="71D43217" w14:textId="77777777" w:rsidR="006A3667" w:rsidRDefault="006A3667">
            <w:pPr>
              <w:rPr>
                <w:rFonts w:ascii="宋体"/>
                <w:vanish/>
              </w:rPr>
            </w:pPr>
          </w:p>
        </w:tc>
      </w:tr>
      <w:tr w:rsidR="006A3667" w14:paraId="71D4321F" w14:textId="77777777">
        <w:trPr>
          <w:jc w:val="center"/>
          <w:hidden/>
        </w:trPr>
        <w:tc>
          <w:tcPr>
            <w:tcW w:w="0" w:type="auto"/>
            <w:gridSpan w:val="3"/>
            <w:shd w:val="clear" w:color="auto" w:fill="auto"/>
            <w:vAlign w:val="bottom"/>
          </w:tcPr>
          <w:p w14:paraId="71D43219" w14:textId="77777777" w:rsidR="006A3667" w:rsidRDefault="006A3667">
            <w:pPr>
              <w:rPr>
                <w:rFonts w:ascii="宋体"/>
                <w:vanish/>
              </w:rPr>
            </w:pPr>
          </w:p>
        </w:tc>
        <w:tc>
          <w:tcPr>
            <w:tcW w:w="0" w:type="auto"/>
            <w:gridSpan w:val="3"/>
            <w:shd w:val="clear" w:color="auto" w:fill="auto"/>
            <w:vAlign w:val="bottom"/>
          </w:tcPr>
          <w:p w14:paraId="71D4321A" w14:textId="77777777" w:rsidR="006A3667" w:rsidRDefault="006A3667">
            <w:pPr>
              <w:rPr>
                <w:rFonts w:ascii="宋体"/>
                <w:vanish/>
              </w:rPr>
            </w:pPr>
          </w:p>
        </w:tc>
        <w:tc>
          <w:tcPr>
            <w:tcW w:w="0" w:type="auto"/>
            <w:gridSpan w:val="3"/>
            <w:shd w:val="clear" w:color="auto" w:fill="auto"/>
            <w:vAlign w:val="bottom"/>
          </w:tcPr>
          <w:p w14:paraId="71D4321B" w14:textId="77777777" w:rsidR="006A3667" w:rsidRDefault="006A3667">
            <w:pPr>
              <w:rPr>
                <w:rFonts w:ascii="宋体"/>
                <w:vanish/>
              </w:rPr>
            </w:pPr>
          </w:p>
        </w:tc>
        <w:tc>
          <w:tcPr>
            <w:tcW w:w="0" w:type="auto"/>
            <w:gridSpan w:val="3"/>
            <w:shd w:val="clear" w:color="auto" w:fill="auto"/>
            <w:vAlign w:val="bottom"/>
          </w:tcPr>
          <w:p w14:paraId="71D4321C" w14:textId="77777777" w:rsidR="006A3667" w:rsidRDefault="006A3667">
            <w:pPr>
              <w:rPr>
                <w:rFonts w:ascii="宋体"/>
                <w:vanish/>
              </w:rPr>
            </w:pPr>
          </w:p>
        </w:tc>
        <w:tc>
          <w:tcPr>
            <w:tcW w:w="0" w:type="auto"/>
            <w:gridSpan w:val="3"/>
            <w:shd w:val="clear" w:color="auto" w:fill="auto"/>
            <w:vAlign w:val="bottom"/>
          </w:tcPr>
          <w:p w14:paraId="71D4321D" w14:textId="77777777" w:rsidR="006A3667" w:rsidRDefault="006A3667">
            <w:pPr>
              <w:rPr>
                <w:rFonts w:ascii="宋体"/>
                <w:vanish/>
              </w:rPr>
            </w:pPr>
          </w:p>
        </w:tc>
        <w:tc>
          <w:tcPr>
            <w:tcW w:w="0" w:type="auto"/>
            <w:gridSpan w:val="3"/>
            <w:shd w:val="clear" w:color="auto" w:fill="auto"/>
            <w:vAlign w:val="bottom"/>
          </w:tcPr>
          <w:p w14:paraId="71D4321E" w14:textId="77777777" w:rsidR="006A3667" w:rsidRDefault="006A3667">
            <w:pPr>
              <w:rPr>
                <w:rFonts w:ascii="宋体"/>
                <w:vanish/>
              </w:rPr>
            </w:pPr>
          </w:p>
        </w:tc>
      </w:tr>
      <w:tr w:rsidR="006A3667" w14:paraId="71D43228" w14:textId="77777777">
        <w:trPr>
          <w:jc w:val="center"/>
        </w:trPr>
        <w:tc>
          <w:tcPr>
            <w:tcW w:w="0" w:type="auto"/>
            <w:gridSpan w:val="3"/>
            <w:shd w:val="clear" w:color="auto" w:fill="FFFFFF"/>
            <w:tcMar>
              <w:top w:w="40" w:type="dxa"/>
              <w:left w:w="20" w:type="dxa"/>
              <w:bottom w:w="40" w:type="dxa"/>
              <w:right w:w="20" w:type="dxa"/>
            </w:tcMar>
            <w:vAlign w:val="bottom"/>
          </w:tcPr>
          <w:p w14:paraId="71D43220" w14:textId="77777777" w:rsidR="006A3667" w:rsidRDefault="00045F32">
            <w:pPr>
              <w:textAlignment w:val="bottom"/>
            </w:pPr>
            <w:r>
              <w:rPr>
                <w:rFonts w:ascii="Arial" w:eastAsia="宋体" w:hAnsi="Arial" w:cs="Arial"/>
                <w:color w:val="000000"/>
                <w:sz w:val="15"/>
                <w:szCs w:val="15"/>
              </w:rPr>
              <w:t>Net cash (used in) provided by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221" w14:textId="77777777" w:rsidR="006A3667" w:rsidRDefault="00045F32">
            <w:pPr>
              <w:jc w:val="right"/>
              <w:textAlignment w:val="bottom"/>
            </w:pPr>
            <w:r>
              <w:rPr>
                <w:rFonts w:ascii="Arial" w:eastAsia="宋体" w:hAnsi="Arial" w:cs="Arial"/>
                <w:b/>
                <w:bCs/>
                <w:color w:val="000000"/>
                <w:sz w:val="15"/>
                <w:szCs w:val="15"/>
              </w:rPr>
              <w:t>(13,712)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22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22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224" w14:textId="77777777" w:rsidR="006A3667" w:rsidRDefault="00045F32">
            <w:pPr>
              <w:jc w:val="right"/>
              <w:textAlignment w:val="bottom"/>
            </w:pPr>
            <w:r>
              <w:rPr>
                <w:rFonts w:ascii="Arial" w:eastAsia="宋体" w:hAnsi="Arial" w:cs="Arial"/>
                <w:color w:val="000000"/>
                <w:sz w:val="15"/>
                <w:szCs w:val="15"/>
              </w:rPr>
              <w:t>12,554 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225" w14:textId="77777777" w:rsidR="006A3667" w:rsidRDefault="006A3667">
            <w:pPr>
              <w:jc w:val="right"/>
              <w:rPr>
                <w:rFonts w:ascii="宋体"/>
              </w:rPr>
            </w:pPr>
          </w:p>
        </w:tc>
        <w:tc>
          <w:tcPr>
            <w:tcW w:w="0" w:type="auto"/>
            <w:gridSpan w:val="3"/>
            <w:shd w:val="clear" w:color="auto" w:fill="auto"/>
            <w:vAlign w:val="bottom"/>
          </w:tcPr>
          <w:p w14:paraId="71D43226" w14:textId="77777777" w:rsidR="006A3667" w:rsidRDefault="006A3667">
            <w:pPr>
              <w:rPr>
                <w:rFonts w:ascii="宋体"/>
                <w:vanish/>
              </w:rPr>
            </w:pPr>
          </w:p>
        </w:tc>
        <w:tc>
          <w:tcPr>
            <w:tcW w:w="0" w:type="auto"/>
            <w:gridSpan w:val="3"/>
            <w:shd w:val="clear" w:color="auto" w:fill="auto"/>
            <w:vAlign w:val="bottom"/>
          </w:tcPr>
          <w:p w14:paraId="71D43227" w14:textId="77777777" w:rsidR="006A3667" w:rsidRDefault="006A3667">
            <w:pPr>
              <w:rPr>
                <w:rFonts w:ascii="宋体"/>
                <w:vanish/>
              </w:rPr>
            </w:pPr>
          </w:p>
        </w:tc>
      </w:tr>
      <w:tr w:rsidR="006A3667" w14:paraId="71D43231" w14:textId="77777777">
        <w:trPr>
          <w:jc w:val="center"/>
        </w:trPr>
        <w:tc>
          <w:tcPr>
            <w:tcW w:w="0" w:type="auto"/>
            <w:gridSpan w:val="3"/>
            <w:shd w:val="clear" w:color="auto" w:fill="CCEEFF"/>
            <w:tcMar>
              <w:top w:w="40" w:type="dxa"/>
              <w:left w:w="20" w:type="dxa"/>
              <w:bottom w:w="40" w:type="dxa"/>
              <w:right w:w="20" w:type="dxa"/>
            </w:tcMar>
            <w:vAlign w:val="bottom"/>
          </w:tcPr>
          <w:p w14:paraId="71D43229" w14:textId="77777777" w:rsidR="006A3667" w:rsidRDefault="00045F32">
            <w:pPr>
              <w:textAlignment w:val="bottom"/>
            </w:pPr>
            <w:r>
              <w:rPr>
                <w:rFonts w:ascii="Arial" w:eastAsia="宋体" w:hAnsi="Arial" w:cs="Arial"/>
                <w:color w:val="000000"/>
                <w:sz w:val="15"/>
                <w:szCs w:val="15"/>
              </w:rPr>
              <w:t>Net (decrease) increase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22A" w14:textId="77777777" w:rsidR="006A3667" w:rsidRDefault="00045F32">
            <w:pPr>
              <w:jc w:val="right"/>
              <w:textAlignment w:val="bottom"/>
            </w:pPr>
            <w:r>
              <w:rPr>
                <w:rFonts w:ascii="Arial" w:eastAsia="宋体" w:hAnsi="Arial" w:cs="Arial"/>
                <w:b/>
                <w:bCs/>
                <w:color w:val="000000"/>
                <w:sz w:val="15"/>
                <w:szCs w:val="15"/>
              </w:rPr>
              <w:t>(883)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2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22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22D" w14:textId="77777777" w:rsidR="006A3667" w:rsidRDefault="00045F32">
            <w:pPr>
              <w:jc w:val="right"/>
              <w:textAlignment w:val="bottom"/>
            </w:pPr>
            <w:r>
              <w:rPr>
                <w:rFonts w:ascii="Arial" w:eastAsia="宋体" w:hAnsi="Arial" w:cs="Arial"/>
                <w:color w:val="000000"/>
                <w:sz w:val="15"/>
                <w:szCs w:val="15"/>
              </w:rPr>
              <w:t>1,139 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22E" w14:textId="77777777" w:rsidR="006A3667" w:rsidRDefault="006A3667">
            <w:pPr>
              <w:jc w:val="right"/>
              <w:rPr>
                <w:rFonts w:ascii="宋体"/>
              </w:rPr>
            </w:pPr>
          </w:p>
        </w:tc>
        <w:tc>
          <w:tcPr>
            <w:tcW w:w="0" w:type="auto"/>
            <w:gridSpan w:val="3"/>
            <w:shd w:val="clear" w:color="auto" w:fill="auto"/>
            <w:vAlign w:val="bottom"/>
          </w:tcPr>
          <w:p w14:paraId="71D4322F" w14:textId="77777777" w:rsidR="006A3667" w:rsidRDefault="006A3667">
            <w:pPr>
              <w:rPr>
                <w:rFonts w:ascii="宋体"/>
                <w:vanish/>
              </w:rPr>
            </w:pPr>
          </w:p>
        </w:tc>
        <w:tc>
          <w:tcPr>
            <w:tcW w:w="0" w:type="auto"/>
            <w:gridSpan w:val="3"/>
            <w:shd w:val="clear" w:color="auto" w:fill="auto"/>
            <w:vAlign w:val="bottom"/>
          </w:tcPr>
          <w:p w14:paraId="71D43230" w14:textId="77777777" w:rsidR="006A3667" w:rsidRDefault="006A3667">
            <w:pPr>
              <w:rPr>
                <w:rFonts w:ascii="宋体"/>
                <w:vanish/>
              </w:rPr>
            </w:pPr>
          </w:p>
        </w:tc>
      </w:tr>
      <w:tr w:rsidR="006A3667" w14:paraId="71D4323A" w14:textId="77777777">
        <w:trPr>
          <w:jc w:val="center"/>
        </w:trPr>
        <w:tc>
          <w:tcPr>
            <w:tcW w:w="0" w:type="auto"/>
            <w:gridSpan w:val="3"/>
            <w:shd w:val="clear" w:color="auto" w:fill="FFFFFF"/>
            <w:tcMar>
              <w:top w:w="40" w:type="dxa"/>
              <w:left w:w="20" w:type="dxa"/>
              <w:bottom w:w="40" w:type="dxa"/>
              <w:right w:w="20" w:type="dxa"/>
            </w:tcMar>
            <w:vAlign w:val="bottom"/>
          </w:tcPr>
          <w:p w14:paraId="71D43232" w14:textId="77777777" w:rsidR="006A3667" w:rsidRDefault="00045F32">
            <w:pPr>
              <w:textAlignment w:val="bottom"/>
            </w:pPr>
            <w:r>
              <w:rPr>
                <w:rFonts w:ascii="Arial" w:eastAsia="宋体" w:hAnsi="Arial" w:cs="Arial"/>
                <w:color w:val="000000"/>
                <w:sz w:val="15"/>
                <w:szCs w:val="15"/>
              </w:rPr>
              <w:t>Cash and due from banks at beginning of period</w:t>
            </w:r>
          </w:p>
        </w:tc>
        <w:tc>
          <w:tcPr>
            <w:tcW w:w="0" w:type="auto"/>
            <w:gridSpan w:val="2"/>
            <w:shd w:val="clear" w:color="auto" w:fill="FFFFFF"/>
            <w:tcMar>
              <w:top w:w="40" w:type="dxa"/>
              <w:left w:w="20" w:type="dxa"/>
              <w:bottom w:w="40" w:type="dxa"/>
              <w:right w:w="0" w:type="dxa"/>
            </w:tcMar>
            <w:vAlign w:val="bottom"/>
          </w:tcPr>
          <w:p w14:paraId="71D43233" w14:textId="77777777" w:rsidR="006A3667" w:rsidRDefault="00045F32">
            <w:pPr>
              <w:jc w:val="right"/>
              <w:textAlignment w:val="bottom"/>
            </w:pPr>
            <w:r>
              <w:rPr>
                <w:rFonts w:ascii="Arial" w:eastAsia="宋体" w:hAnsi="Arial" w:cs="Arial"/>
                <w:b/>
                <w:bCs/>
                <w:color w:val="000000"/>
                <w:sz w:val="15"/>
                <w:szCs w:val="15"/>
              </w:rPr>
              <w:t>3,631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323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23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236" w14:textId="77777777" w:rsidR="006A3667" w:rsidRDefault="00045F32">
            <w:pPr>
              <w:jc w:val="right"/>
              <w:textAlignment w:val="bottom"/>
            </w:pPr>
            <w:r>
              <w:rPr>
                <w:rFonts w:ascii="Arial" w:eastAsia="宋体" w:hAnsi="Arial" w:cs="Arial"/>
                <w:color w:val="000000"/>
                <w:sz w:val="15"/>
                <w:szCs w:val="15"/>
              </w:rPr>
              <w:t>3,467 </w:t>
            </w:r>
          </w:p>
        </w:tc>
        <w:tc>
          <w:tcPr>
            <w:tcW w:w="0" w:type="auto"/>
            <w:shd w:val="clear" w:color="auto" w:fill="FFFFFF"/>
            <w:tcMar>
              <w:top w:w="40" w:type="dxa"/>
              <w:left w:w="0" w:type="dxa"/>
              <w:bottom w:w="40" w:type="dxa"/>
              <w:right w:w="20" w:type="dxa"/>
            </w:tcMar>
            <w:vAlign w:val="bottom"/>
          </w:tcPr>
          <w:p w14:paraId="71D43237" w14:textId="77777777" w:rsidR="006A3667" w:rsidRDefault="006A3667">
            <w:pPr>
              <w:jc w:val="right"/>
              <w:rPr>
                <w:rFonts w:ascii="宋体"/>
              </w:rPr>
            </w:pPr>
          </w:p>
        </w:tc>
        <w:tc>
          <w:tcPr>
            <w:tcW w:w="0" w:type="auto"/>
            <w:gridSpan w:val="3"/>
            <w:shd w:val="clear" w:color="auto" w:fill="auto"/>
            <w:vAlign w:val="bottom"/>
          </w:tcPr>
          <w:p w14:paraId="71D43238" w14:textId="77777777" w:rsidR="006A3667" w:rsidRDefault="006A3667">
            <w:pPr>
              <w:rPr>
                <w:rFonts w:ascii="宋体"/>
                <w:vanish/>
              </w:rPr>
            </w:pPr>
          </w:p>
        </w:tc>
        <w:tc>
          <w:tcPr>
            <w:tcW w:w="0" w:type="auto"/>
            <w:gridSpan w:val="3"/>
            <w:shd w:val="clear" w:color="auto" w:fill="auto"/>
            <w:vAlign w:val="bottom"/>
          </w:tcPr>
          <w:p w14:paraId="71D43239" w14:textId="77777777" w:rsidR="006A3667" w:rsidRDefault="006A3667">
            <w:pPr>
              <w:rPr>
                <w:rFonts w:ascii="宋体"/>
                <w:vanish/>
              </w:rPr>
            </w:pPr>
          </w:p>
        </w:tc>
      </w:tr>
      <w:tr w:rsidR="006A3667" w14:paraId="71D43245" w14:textId="77777777">
        <w:trPr>
          <w:jc w:val="center"/>
        </w:trPr>
        <w:tc>
          <w:tcPr>
            <w:tcW w:w="0" w:type="auto"/>
            <w:gridSpan w:val="3"/>
            <w:shd w:val="clear" w:color="auto" w:fill="CCEEFF"/>
            <w:tcMar>
              <w:top w:w="40" w:type="dxa"/>
              <w:left w:w="20" w:type="dxa"/>
              <w:bottom w:w="40" w:type="dxa"/>
              <w:right w:w="20" w:type="dxa"/>
            </w:tcMar>
            <w:vAlign w:val="bottom"/>
          </w:tcPr>
          <w:p w14:paraId="71D4323B" w14:textId="77777777" w:rsidR="006A3667" w:rsidRDefault="00045F32">
            <w:pPr>
              <w:textAlignment w:val="bottom"/>
            </w:pPr>
            <w:r>
              <w:rPr>
                <w:rFonts w:ascii="Arial" w:eastAsia="宋体" w:hAnsi="Arial" w:cs="Arial"/>
                <w:color w:val="000000"/>
                <w:sz w:val="15"/>
                <w:szCs w:val="15"/>
              </w:rPr>
              <w:t xml:space="preserve">Cash and due </w:t>
            </w:r>
            <w:r>
              <w:rPr>
                <w:rFonts w:ascii="Arial" w:eastAsia="宋体" w:hAnsi="Arial" w:cs="Arial"/>
                <w:color w:val="000000"/>
                <w:sz w:val="15"/>
                <w:szCs w:val="15"/>
              </w:rPr>
              <w:t>from banks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323C"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23D" w14:textId="77777777" w:rsidR="006A3667" w:rsidRDefault="00045F32">
            <w:pPr>
              <w:jc w:val="right"/>
              <w:textAlignment w:val="bottom"/>
            </w:pPr>
            <w:r>
              <w:rPr>
                <w:rFonts w:ascii="Arial" w:eastAsia="宋体" w:hAnsi="Arial" w:cs="Arial"/>
                <w:b/>
                <w:bCs/>
                <w:color w:val="000000"/>
                <w:sz w:val="15"/>
                <w:szCs w:val="15"/>
              </w:rPr>
              <w:t>2,748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2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23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240"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241" w14:textId="77777777" w:rsidR="006A3667" w:rsidRDefault="00045F32">
            <w:pPr>
              <w:jc w:val="right"/>
              <w:textAlignment w:val="bottom"/>
            </w:pPr>
            <w:r>
              <w:rPr>
                <w:rFonts w:ascii="Arial" w:eastAsia="宋体" w:hAnsi="Arial" w:cs="Arial"/>
                <w:color w:val="000000"/>
                <w:sz w:val="15"/>
                <w:szCs w:val="15"/>
              </w:rPr>
              <w:t>4,606 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242" w14:textId="77777777" w:rsidR="006A3667" w:rsidRDefault="006A3667">
            <w:pPr>
              <w:jc w:val="right"/>
              <w:rPr>
                <w:rFonts w:ascii="宋体"/>
              </w:rPr>
            </w:pPr>
          </w:p>
        </w:tc>
        <w:tc>
          <w:tcPr>
            <w:tcW w:w="0" w:type="auto"/>
            <w:gridSpan w:val="3"/>
            <w:shd w:val="clear" w:color="auto" w:fill="auto"/>
            <w:vAlign w:val="bottom"/>
          </w:tcPr>
          <w:p w14:paraId="71D43243" w14:textId="77777777" w:rsidR="006A3667" w:rsidRDefault="006A3667">
            <w:pPr>
              <w:rPr>
                <w:rFonts w:ascii="宋体"/>
                <w:vanish/>
              </w:rPr>
            </w:pPr>
          </w:p>
        </w:tc>
        <w:tc>
          <w:tcPr>
            <w:tcW w:w="0" w:type="auto"/>
            <w:gridSpan w:val="3"/>
            <w:shd w:val="clear" w:color="auto" w:fill="auto"/>
            <w:vAlign w:val="bottom"/>
          </w:tcPr>
          <w:p w14:paraId="71D43244" w14:textId="77777777" w:rsidR="006A3667" w:rsidRDefault="006A3667">
            <w:pPr>
              <w:rPr>
                <w:rFonts w:ascii="宋体"/>
                <w:vanish/>
              </w:rPr>
            </w:pPr>
          </w:p>
        </w:tc>
      </w:tr>
      <w:tr w:rsidR="006A3667" w14:paraId="71D4324C" w14:textId="77777777">
        <w:trPr>
          <w:trHeight w:val="60"/>
          <w:jc w:val="center"/>
        </w:trPr>
        <w:tc>
          <w:tcPr>
            <w:tcW w:w="0" w:type="auto"/>
            <w:gridSpan w:val="3"/>
            <w:shd w:val="clear" w:color="auto" w:fill="auto"/>
            <w:tcMar>
              <w:top w:w="0" w:type="dxa"/>
              <w:left w:w="20" w:type="dxa"/>
              <w:bottom w:w="0" w:type="dxa"/>
              <w:right w:w="20" w:type="dxa"/>
            </w:tcMar>
            <w:vAlign w:val="bottom"/>
          </w:tcPr>
          <w:p w14:paraId="71D43246"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32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4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3249" w14:textId="77777777" w:rsidR="006A3667" w:rsidRDefault="006A3667">
            <w:pPr>
              <w:rPr>
                <w:rFonts w:ascii="宋体"/>
              </w:rPr>
            </w:pPr>
          </w:p>
        </w:tc>
        <w:tc>
          <w:tcPr>
            <w:tcW w:w="0" w:type="auto"/>
            <w:gridSpan w:val="3"/>
            <w:shd w:val="clear" w:color="auto" w:fill="auto"/>
            <w:vAlign w:val="bottom"/>
          </w:tcPr>
          <w:p w14:paraId="71D4324A" w14:textId="77777777" w:rsidR="006A3667" w:rsidRDefault="006A3667">
            <w:pPr>
              <w:rPr>
                <w:rFonts w:ascii="宋体"/>
                <w:vanish/>
              </w:rPr>
            </w:pPr>
          </w:p>
        </w:tc>
        <w:tc>
          <w:tcPr>
            <w:tcW w:w="0" w:type="auto"/>
            <w:gridSpan w:val="3"/>
            <w:shd w:val="clear" w:color="auto" w:fill="auto"/>
            <w:vAlign w:val="bottom"/>
          </w:tcPr>
          <w:p w14:paraId="71D4324B" w14:textId="77777777" w:rsidR="006A3667" w:rsidRDefault="006A3667">
            <w:pPr>
              <w:rPr>
                <w:rFonts w:ascii="宋体"/>
                <w:vanish/>
              </w:rPr>
            </w:pPr>
          </w:p>
        </w:tc>
      </w:tr>
      <w:tr w:rsidR="006A3667" w14:paraId="71D43253" w14:textId="77777777">
        <w:trPr>
          <w:jc w:val="center"/>
          <w:hidden/>
        </w:trPr>
        <w:tc>
          <w:tcPr>
            <w:tcW w:w="0" w:type="auto"/>
            <w:gridSpan w:val="3"/>
            <w:shd w:val="clear" w:color="auto" w:fill="auto"/>
            <w:vAlign w:val="bottom"/>
          </w:tcPr>
          <w:p w14:paraId="71D4324D" w14:textId="77777777" w:rsidR="006A3667" w:rsidRDefault="006A3667">
            <w:pPr>
              <w:rPr>
                <w:rFonts w:ascii="宋体"/>
                <w:vanish/>
              </w:rPr>
            </w:pPr>
          </w:p>
        </w:tc>
        <w:tc>
          <w:tcPr>
            <w:tcW w:w="0" w:type="auto"/>
            <w:gridSpan w:val="3"/>
            <w:shd w:val="clear" w:color="auto" w:fill="auto"/>
            <w:vAlign w:val="bottom"/>
          </w:tcPr>
          <w:p w14:paraId="71D4324E" w14:textId="77777777" w:rsidR="006A3667" w:rsidRDefault="006A3667">
            <w:pPr>
              <w:rPr>
                <w:rFonts w:ascii="宋体"/>
                <w:vanish/>
              </w:rPr>
            </w:pPr>
          </w:p>
        </w:tc>
        <w:tc>
          <w:tcPr>
            <w:tcW w:w="0" w:type="auto"/>
            <w:gridSpan w:val="3"/>
            <w:shd w:val="clear" w:color="auto" w:fill="auto"/>
            <w:vAlign w:val="bottom"/>
          </w:tcPr>
          <w:p w14:paraId="71D4324F" w14:textId="77777777" w:rsidR="006A3667" w:rsidRDefault="006A3667">
            <w:pPr>
              <w:rPr>
                <w:rFonts w:ascii="宋体"/>
                <w:vanish/>
              </w:rPr>
            </w:pPr>
          </w:p>
        </w:tc>
        <w:tc>
          <w:tcPr>
            <w:tcW w:w="0" w:type="auto"/>
            <w:gridSpan w:val="3"/>
            <w:shd w:val="clear" w:color="auto" w:fill="auto"/>
            <w:vAlign w:val="bottom"/>
          </w:tcPr>
          <w:p w14:paraId="71D43250" w14:textId="77777777" w:rsidR="006A3667" w:rsidRDefault="006A3667">
            <w:pPr>
              <w:rPr>
                <w:rFonts w:ascii="宋体"/>
                <w:vanish/>
              </w:rPr>
            </w:pPr>
          </w:p>
        </w:tc>
        <w:tc>
          <w:tcPr>
            <w:tcW w:w="0" w:type="auto"/>
            <w:gridSpan w:val="3"/>
            <w:shd w:val="clear" w:color="auto" w:fill="auto"/>
            <w:vAlign w:val="bottom"/>
          </w:tcPr>
          <w:p w14:paraId="71D43251" w14:textId="77777777" w:rsidR="006A3667" w:rsidRDefault="006A3667">
            <w:pPr>
              <w:rPr>
                <w:rFonts w:ascii="宋体"/>
                <w:vanish/>
              </w:rPr>
            </w:pPr>
          </w:p>
        </w:tc>
        <w:tc>
          <w:tcPr>
            <w:tcW w:w="0" w:type="auto"/>
            <w:gridSpan w:val="3"/>
            <w:shd w:val="clear" w:color="auto" w:fill="auto"/>
            <w:vAlign w:val="bottom"/>
          </w:tcPr>
          <w:p w14:paraId="71D43252" w14:textId="77777777" w:rsidR="006A3667" w:rsidRDefault="006A3667">
            <w:pPr>
              <w:rPr>
                <w:rFonts w:ascii="宋体"/>
                <w:vanish/>
              </w:rPr>
            </w:pPr>
          </w:p>
        </w:tc>
      </w:tr>
      <w:tr w:rsidR="006A3667" w14:paraId="71D4325A" w14:textId="77777777">
        <w:trPr>
          <w:jc w:val="center"/>
          <w:hidden/>
        </w:trPr>
        <w:tc>
          <w:tcPr>
            <w:tcW w:w="0" w:type="auto"/>
            <w:gridSpan w:val="3"/>
            <w:shd w:val="clear" w:color="auto" w:fill="auto"/>
            <w:vAlign w:val="bottom"/>
          </w:tcPr>
          <w:p w14:paraId="71D43254" w14:textId="77777777" w:rsidR="006A3667" w:rsidRDefault="006A3667">
            <w:pPr>
              <w:rPr>
                <w:rFonts w:ascii="宋体"/>
                <w:vanish/>
              </w:rPr>
            </w:pPr>
          </w:p>
        </w:tc>
        <w:tc>
          <w:tcPr>
            <w:tcW w:w="0" w:type="auto"/>
            <w:gridSpan w:val="3"/>
            <w:shd w:val="clear" w:color="auto" w:fill="auto"/>
            <w:vAlign w:val="bottom"/>
          </w:tcPr>
          <w:p w14:paraId="71D43255" w14:textId="77777777" w:rsidR="006A3667" w:rsidRDefault="006A3667">
            <w:pPr>
              <w:rPr>
                <w:rFonts w:ascii="宋体"/>
                <w:vanish/>
              </w:rPr>
            </w:pPr>
          </w:p>
        </w:tc>
        <w:tc>
          <w:tcPr>
            <w:tcW w:w="0" w:type="auto"/>
            <w:gridSpan w:val="3"/>
            <w:shd w:val="clear" w:color="auto" w:fill="auto"/>
            <w:vAlign w:val="bottom"/>
          </w:tcPr>
          <w:p w14:paraId="71D43256" w14:textId="77777777" w:rsidR="006A3667" w:rsidRDefault="006A3667">
            <w:pPr>
              <w:rPr>
                <w:rFonts w:ascii="宋体"/>
                <w:vanish/>
              </w:rPr>
            </w:pPr>
          </w:p>
        </w:tc>
        <w:tc>
          <w:tcPr>
            <w:tcW w:w="0" w:type="auto"/>
            <w:gridSpan w:val="3"/>
            <w:shd w:val="clear" w:color="auto" w:fill="auto"/>
            <w:vAlign w:val="bottom"/>
          </w:tcPr>
          <w:p w14:paraId="71D43257" w14:textId="77777777" w:rsidR="006A3667" w:rsidRDefault="006A3667">
            <w:pPr>
              <w:rPr>
                <w:rFonts w:ascii="宋体"/>
                <w:vanish/>
              </w:rPr>
            </w:pPr>
          </w:p>
        </w:tc>
        <w:tc>
          <w:tcPr>
            <w:tcW w:w="0" w:type="auto"/>
            <w:gridSpan w:val="3"/>
            <w:shd w:val="clear" w:color="auto" w:fill="auto"/>
            <w:vAlign w:val="bottom"/>
          </w:tcPr>
          <w:p w14:paraId="71D43258" w14:textId="77777777" w:rsidR="006A3667" w:rsidRDefault="006A3667">
            <w:pPr>
              <w:rPr>
                <w:rFonts w:ascii="宋体"/>
                <w:vanish/>
              </w:rPr>
            </w:pPr>
          </w:p>
        </w:tc>
        <w:tc>
          <w:tcPr>
            <w:tcW w:w="0" w:type="auto"/>
            <w:gridSpan w:val="3"/>
            <w:shd w:val="clear" w:color="auto" w:fill="auto"/>
            <w:vAlign w:val="bottom"/>
          </w:tcPr>
          <w:p w14:paraId="71D43259" w14:textId="77777777" w:rsidR="006A3667" w:rsidRDefault="006A3667">
            <w:pPr>
              <w:rPr>
                <w:rFonts w:ascii="宋体"/>
                <w:vanish/>
              </w:rPr>
            </w:pPr>
          </w:p>
        </w:tc>
      </w:tr>
      <w:tr w:rsidR="006A3667" w14:paraId="71D43261" w14:textId="77777777">
        <w:trPr>
          <w:jc w:val="center"/>
          <w:hidden/>
        </w:trPr>
        <w:tc>
          <w:tcPr>
            <w:tcW w:w="0" w:type="auto"/>
            <w:gridSpan w:val="3"/>
            <w:shd w:val="clear" w:color="auto" w:fill="auto"/>
            <w:vAlign w:val="bottom"/>
          </w:tcPr>
          <w:p w14:paraId="71D4325B" w14:textId="77777777" w:rsidR="006A3667" w:rsidRDefault="006A3667">
            <w:pPr>
              <w:rPr>
                <w:rFonts w:ascii="宋体"/>
                <w:vanish/>
              </w:rPr>
            </w:pPr>
          </w:p>
        </w:tc>
        <w:tc>
          <w:tcPr>
            <w:tcW w:w="0" w:type="auto"/>
            <w:gridSpan w:val="3"/>
            <w:shd w:val="clear" w:color="auto" w:fill="auto"/>
            <w:vAlign w:val="bottom"/>
          </w:tcPr>
          <w:p w14:paraId="71D4325C" w14:textId="77777777" w:rsidR="006A3667" w:rsidRDefault="006A3667">
            <w:pPr>
              <w:rPr>
                <w:rFonts w:ascii="宋体"/>
                <w:vanish/>
              </w:rPr>
            </w:pPr>
          </w:p>
        </w:tc>
        <w:tc>
          <w:tcPr>
            <w:tcW w:w="0" w:type="auto"/>
            <w:gridSpan w:val="3"/>
            <w:shd w:val="clear" w:color="auto" w:fill="auto"/>
            <w:vAlign w:val="bottom"/>
          </w:tcPr>
          <w:p w14:paraId="71D4325D" w14:textId="77777777" w:rsidR="006A3667" w:rsidRDefault="006A3667">
            <w:pPr>
              <w:rPr>
                <w:rFonts w:ascii="宋体"/>
                <w:vanish/>
              </w:rPr>
            </w:pPr>
          </w:p>
        </w:tc>
        <w:tc>
          <w:tcPr>
            <w:tcW w:w="0" w:type="auto"/>
            <w:gridSpan w:val="3"/>
            <w:shd w:val="clear" w:color="auto" w:fill="auto"/>
            <w:vAlign w:val="bottom"/>
          </w:tcPr>
          <w:p w14:paraId="71D4325E" w14:textId="77777777" w:rsidR="006A3667" w:rsidRDefault="006A3667">
            <w:pPr>
              <w:rPr>
                <w:rFonts w:ascii="宋体"/>
                <w:vanish/>
              </w:rPr>
            </w:pPr>
          </w:p>
        </w:tc>
        <w:tc>
          <w:tcPr>
            <w:tcW w:w="0" w:type="auto"/>
            <w:gridSpan w:val="3"/>
            <w:shd w:val="clear" w:color="auto" w:fill="auto"/>
            <w:vAlign w:val="bottom"/>
          </w:tcPr>
          <w:p w14:paraId="71D4325F" w14:textId="77777777" w:rsidR="006A3667" w:rsidRDefault="006A3667">
            <w:pPr>
              <w:rPr>
                <w:rFonts w:ascii="宋体"/>
                <w:vanish/>
              </w:rPr>
            </w:pPr>
          </w:p>
        </w:tc>
        <w:tc>
          <w:tcPr>
            <w:tcW w:w="0" w:type="auto"/>
            <w:gridSpan w:val="3"/>
            <w:shd w:val="clear" w:color="auto" w:fill="auto"/>
            <w:vAlign w:val="bottom"/>
          </w:tcPr>
          <w:p w14:paraId="71D43260" w14:textId="77777777" w:rsidR="006A3667" w:rsidRDefault="006A3667">
            <w:pPr>
              <w:rPr>
                <w:rFonts w:ascii="宋体"/>
                <w:vanish/>
              </w:rPr>
            </w:pPr>
          </w:p>
        </w:tc>
      </w:tr>
    </w:tbl>
    <w:p w14:paraId="71D43262" w14:textId="77777777" w:rsidR="006A3667" w:rsidRDefault="006A3667">
      <w:pPr>
        <w:ind w:firstLine="450"/>
      </w:pPr>
    </w:p>
    <w:p w14:paraId="71D43263" w14:textId="77777777" w:rsidR="006A3667" w:rsidRDefault="006A3667">
      <w:pPr>
        <w:ind w:firstLine="450"/>
      </w:pPr>
    </w:p>
    <w:p w14:paraId="71D43264" w14:textId="77777777" w:rsidR="006A3667" w:rsidRDefault="006A3667">
      <w:pPr>
        <w:ind w:firstLine="450"/>
      </w:pPr>
    </w:p>
    <w:p w14:paraId="71D43265" w14:textId="77777777" w:rsidR="006A3667" w:rsidRDefault="006A3667">
      <w:pPr>
        <w:ind w:firstLine="450"/>
      </w:pPr>
    </w:p>
    <w:p w14:paraId="71D43266" w14:textId="77777777" w:rsidR="006A3667" w:rsidRDefault="006A3667">
      <w:pPr>
        <w:ind w:firstLine="450"/>
      </w:pPr>
    </w:p>
    <w:p w14:paraId="71D43267" w14:textId="77777777" w:rsidR="006A3667" w:rsidRDefault="006A3667">
      <w:pPr>
        <w:ind w:firstLine="450"/>
      </w:pPr>
    </w:p>
    <w:p w14:paraId="71D43268" w14:textId="77777777" w:rsidR="006A3667" w:rsidRDefault="00045F32">
      <w:pPr>
        <w:spacing w:after="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71D43269" w14:textId="77777777" w:rsidR="006A3667" w:rsidRDefault="00045F32">
      <w:pPr>
        <w:ind w:firstLine="450"/>
        <w:jc w:val="right"/>
      </w:pPr>
      <w:r>
        <w:rPr>
          <w:rFonts w:ascii="Arial" w:eastAsia="宋体" w:hAnsi="Arial" w:cs="Arial"/>
          <w:color w:val="000000"/>
          <w:sz w:val="18"/>
          <w:szCs w:val="18"/>
        </w:rPr>
        <w:t>State Street Corporation | 58</w:t>
      </w:r>
    </w:p>
    <w:p w14:paraId="71D4326A" w14:textId="77777777" w:rsidR="006A3667" w:rsidRDefault="006A3667">
      <w:pPr>
        <w:ind w:firstLine="450"/>
        <w:jc w:val="center"/>
      </w:pPr>
    </w:p>
    <w:p w14:paraId="71D4326B" w14:textId="77777777" w:rsidR="006A3667" w:rsidRDefault="00045F32">
      <w:r>
        <w:pict w14:anchorId="71D4AC4E">
          <v:rect id="_x0000_i1082" style="width:415.3pt;height:1.5pt" o:hralign="center" o:hrstd="t" o:hr="t" fillcolor="#a0a0a0" stroked="f"/>
        </w:pict>
      </w:r>
    </w:p>
    <w:p w14:paraId="71D4326C" w14:textId="77777777" w:rsidR="006A3667" w:rsidRDefault="00045F32">
      <w:pPr>
        <w:ind w:firstLine="450"/>
        <w:jc w:val="center"/>
      </w:pPr>
      <w:r>
        <w:rPr>
          <w:rFonts w:ascii="Arial" w:eastAsia="宋体" w:hAnsi="Arial" w:cs="Arial"/>
          <w:b/>
          <w:bCs/>
          <w:color w:val="000000"/>
          <w:sz w:val="20"/>
          <w:szCs w:val="20"/>
        </w:rPr>
        <w:t>STATE STREET CORPORATION</w:t>
      </w:r>
    </w:p>
    <w:p w14:paraId="71D4326D"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326E" w14:textId="77777777" w:rsidR="006A3667" w:rsidRDefault="00045F32">
      <w:pPr>
        <w:ind w:firstLine="450"/>
        <w:jc w:val="center"/>
      </w:pPr>
      <w:r>
        <w:rPr>
          <w:rFonts w:ascii="Arial" w:eastAsia="宋体" w:hAnsi="Arial" w:cs="Arial"/>
          <w:b/>
          <w:bCs/>
          <w:color w:val="000000"/>
          <w:sz w:val="20"/>
          <w:szCs w:val="20"/>
        </w:rPr>
        <w:t>(UNAUDITED)</w:t>
      </w:r>
    </w:p>
    <w:p w14:paraId="71D4326F" w14:textId="77777777" w:rsidR="006A3667" w:rsidRDefault="00045F32">
      <w:pPr>
        <w:spacing w:before="90"/>
        <w:jc w:val="both"/>
      </w:pPr>
      <w:r>
        <w:rPr>
          <w:rFonts w:ascii="Arial" w:eastAsia="宋体" w:hAnsi="Arial" w:cs="Arial"/>
          <w:b/>
          <w:bCs/>
          <w:color w:val="000000"/>
          <w:sz w:val="20"/>
          <w:szCs w:val="20"/>
        </w:rPr>
        <w:t xml:space="preserve">Note 1.    Summary of Significant </w:t>
      </w:r>
      <w:r>
        <w:rPr>
          <w:rFonts w:ascii="Arial" w:eastAsia="宋体" w:hAnsi="Arial" w:cs="Arial"/>
          <w:b/>
          <w:bCs/>
          <w:color w:val="000000"/>
          <w:sz w:val="20"/>
          <w:szCs w:val="20"/>
        </w:rPr>
        <w:t>Accounting Policies</w:t>
      </w:r>
    </w:p>
    <w:p w14:paraId="71D43270" w14:textId="77777777" w:rsidR="006A3667" w:rsidRDefault="00045F32">
      <w:pPr>
        <w:spacing w:before="60"/>
        <w:jc w:val="both"/>
      </w:pPr>
      <w:r>
        <w:rPr>
          <w:rFonts w:ascii="Arial" w:eastAsia="宋体" w:hAnsi="Arial" w:cs="Arial"/>
          <w:b/>
          <w:bCs/>
          <w:i/>
          <w:iCs/>
          <w:color w:val="000000"/>
          <w:sz w:val="20"/>
          <w:szCs w:val="20"/>
        </w:rPr>
        <w:t>Basis of Presentation</w:t>
      </w:r>
    </w:p>
    <w:p w14:paraId="71D43271" w14:textId="77777777" w:rsidR="006A3667" w:rsidRDefault="00045F32">
      <w:pPr>
        <w:spacing w:before="60"/>
        <w:ind w:firstLine="450"/>
        <w:jc w:val="both"/>
      </w:pPr>
      <w:r>
        <w:rPr>
          <w:rFonts w:ascii="Arial" w:eastAsia="宋体" w:hAnsi="Arial" w:cs="Arial"/>
          <w:color w:val="000000"/>
          <w:sz w:val="20"/>
          <w:szCs w:val="20"/>
        </w:rPr>
        <w:t xml:space="preserve">The accounting and financial reporting policies of State Street Corporation conform to U.S. GAAP. State Street Corporation, the Parent Company, is a financial holding company headquartered in Boston, </w:t>
      </w:r>
      <w:r>
        <w:rPr>
          <w:rFonts w:ascii="Arial" w:eastAsia="宋体" w:hAnsi="Arial" w:cs="Arial"/>
          <w:color w:val="000000"/>
          <w:sz w:val="20"/>
          <w:szCs w:val="20"/>
        </w:rPr>
        <w:t>Massachusetts. Unless otherwise indicated or unless the context requires otherwise, all references in these notes to consolidated financial statements to “State Street,” “we,” “us,” “our” or similar references mean State Street Corporation and its subsidia</w:t>
      </w:r>
      <w:r>
        <w:rPr>
          <w:rFonts w:ascii="Arial" w:eastAsia="宋体" w:hAnsi="Arial" w:cs="Arial"/>
          <w:color w:val="000000"/>
          <w:sz w:val="20"/>
          <w:szCs w:val="20"/>
        </w:rPr>
        <w:t>ries on a consolidated basis, including our principal banking subsidiary, State Street Bank.</w:t>
      </w:r>
    </w:p>
    <w:p w14:paraId="71D43272" w14:textId="77777777" w:rsidR="006A3667" w:rsidRDefault="00045F32">
      <w:pPr>
        <w:spacing w:before="60"/>
        <w:ind w:firstLine="450"/>
        <w:jc w:val="both"/>
      </w:pPr>
      <w:r>
        <w:rPr>
          <w:rFonts w:ascii="Arial" w:eastAsia="宋体" w:hAnsi="Arial" w:cs="Arial"/>
          <w:color w:val="000000"/>
          <w:sz w:val="20"/>
          <w:szCs w:val="20"/>
        </w:rPr>
        <w:t>The accompanying consolidated financial statements should be read in conjunction with the financial and risk factor information included in our 2021 Form 10-K, whi</w:t>
      </w:r>
      <w:r>
        <w:rPr>
          <w:rFonts w:ascii="Arial" w:eastAsia="宋体" w:hAnsi="Arial" w:cs="Arial"/>
          <w:color w:val="000000"/>
          <w:sz w:val="20"/>
          <w:szCs w:val="20"/>
        </w:rPr>
        <w:t>ch we previously filed with the SEC.</w:t>
      </w:r>
    </w:p>
    <w:p w14:paraId="71D43273" w14:textId="77777777" w:rsidR="006A3667" w:rsidRDefault="00045F32">
      <w:pPr>
        <w:spacing w:before="60"/>
        <w:ind w:firstLine="450"/>
        <w:jc w:val="both"/>
      </w:pPr>
      <w:r>
        <w:rPr>
          <w:rFonts w:ascii="Arial" w:eastAsia="宋体" w:hAnsi="Arial" w:cs="Arial"/>
          <w:color w:val="000000"/>
          <w:sz w:val="20"/>
          <w:szCs w:val="20"/>
        </w:rPr>
        <w:t>The consolidated financial statements accompanying these condensed notes are unaudited. In the opinion of management, all adjustments, consisting only of normal recurring adjustments, which are necessary for a fair stat</w:t>
      </w:r>
      <w:r>
        <w:rPr>
          <w:rFonts w:ascii="Arial" w:eastAsia="宋体" w:hAnsi="Arial" w:cs="Arial"/>
          <w:color w:val="000000"/>
          <w:sz w:val="20"/>
          <w:szCs w:val="20"/>
        </w:rPr>
        <w:t xml:space="preserve">ement of the consolidated results of operations in these financial statements, have been made. Certain previously reported amounts presented in this Form 10-Q have been reclassified to conform to current-period presentation. Events occurring subsequent to </w:t>
      </w:r>
      <w:r>
        <w:rPr>
          <w:rFonts w:ascii="Arial" w:eastAsia="宋体" w:hAnsi="Arial" w:cs="Arial"/>
          <w:color w:val="000000"/>
          <w:sz w:val="20"/>
          <w:szCs w:val="20"/>
        </w:rPr>
        <w:t>the date of our consolidated statement of condition were evaluated for potential recognition or disclosure in our consolidated financial statements through the date we filed this Form 10-Q with the SEC.</w:t>
      </w:r>
    </w:p>
    <w:p w14:paraId="71D43274" w14:textId="77777777" w:rsidR="006A3667" w:rsidRDefault="00045F32">
      <w:pPr>
        <w:spacing w:before="60"/>
        <w:ind w:firstLine="450"/>
        <w:jc w:val="both"/>
      </w:pPr>
      <w:r>
        <w:rPr>
          <w:rFonts w:ascii="Arial" w:eastAsia="宋体" w:hAnsi="Arial" w:cs="Arial"/>
          <w:color w:val="000000"/>
          <w:sz w:val="20"/>
          <w:szCs w:val="20"/>
        </w:rPr>
        <w:t xml:space="preserve">The preparation of consolidated financial statements </w:t>
      </w:r>
      <w:r>
        <w:rPr>
          <w:rFonts w:ascii="Arial" w:eastAsia="宋体" w:hAnsi="Arial" w:cs="Arial"/>
          <w:color w:val="000000"/>
          <w:sz w:val="20"/>
          <w:szCs w:val="20"/>
        </w:rPr>
        <w:t>in conformity with U.S. GAAP requires management to make estimates and assumptions in the application of certain of our significant accounting policies that may materially affect the reported amounts of assets, liabilities, equity, revenue and expenses. As</w:t>
      </w:r>
      <w:r>
        <w:rPr>
          <w:rFonts w:ascii="Arial" w:eastAsia="宋体" w:hAnsi="Arial" w:cs="Arial"/>
          <w:color w:val="000000"/>
          <w:sz w:val="20"/>
          <w:szCs w:val="20"/>
        </w:rPr>
        <w:t xml:space="preserve"> a result of unanticipated events or circumstances, actual results could differ from those estimates. These accounting estimates reflect the best judgment of management, but actual results could differ.</w:t>
      </w:r>
    </w:p>
    <w:p w14:paraId="71D43275" w14:textId="77777777" w:rsidR="006A3667" w:rsidRDefault="00045F32">
      <w:pPr>
        <w:spacing w:before="60"/>
        <w:ind w:firstLine="450"/>
        <w:jc w:val="both"/>
      </w:pPr>
      <w:r>
        <w:rPr>
          <w:rFonts w:ascii="Arial" w:eastAsia="宋体" w:hAnsi="Arial" w:cs="Arial"/>
          <w:color w:val="000000"/>
          <w:sz w:val="20"/>
          <w:szCs w:val="20"/>
        </w:rPr>
        <w:t>Our consolidated statement of condition as of Decembe</w:t>
      </w:r>
      <w:r>
        <w:rPr>
          <w:rFonts w:ascii="Arial" w:eastAsia="宋体" w:hAnsi="Arial" w:cs="Arial"/>
          <w:color w:val="000000"/>
          <w:sz w:val="20"/>
          <w:szCs w:val="20"/>
        </w:rPr>
        <w:t>r 31, 2021 included in the accompanying consolidated financial statements was derived from the audited financial statements as of that date, but does not include all notes required by U.S. GAAP for a complete set of consolidated financial statements.</w:t>
      </w:r>
    </w:p>
    <w:p w14:paraId="71D43276" w14:textId="77777777" w:rsidR="006A3667" w:rsidRDefault="00045F32">
      <w:pPr>
        <w:spacing w:before="60"/>
        <w:ind w:firstLine="450"/>
        <w:jc w:val="both"/>
      </w:pPr>
      <w:r>
        <w:rPr>
          <w:rFonts w:ascii="Arial" w:eastAsia="宋体" w:hAnsi="Arial" w:cs="Arial"/>
          <w:color w:val="000000"/>
          <w:sz w:val="20"/>
          <w:szCs w:val="20"/>
        </w:rPr>
        <w:t>In Se</w:t>
      </w:r>
      <w:r>
        <w:rPr>
          <w:rFonts w:ascii="Arial" w:eastAsia="宋体" w:hAnsi="Arial" w:cs="Arial"/>
          <w:color w:val="000000"/>
          <w:sz w:val="20"/>
          <w:szCs w:val="20"/>
        </w:rPr>
        <w:t>ptember 2021, we announced that we had entered into a definitive agreement to acquire the BBH Investor Services business for $3.5 billion in cash.</w:t>
      </w:r>
    </w:p>
    <w:p w14:paraId="71D43277" w14:textId="77777777" w:rsidR="006A3667" w:rsidRDefault="00045F32">
      <w:pPr>
        <w:spacing w:before="60"/>
        <w:jc w:val="both"/>
      </w:pPr>
      <w:r>
        <w:rPr>
          <w:rFonts w:ascii="Arial" w:eastAsia="宋体" w:hAnsi="Arial" w:cs="Arial"/>
          <w:b/>
          <w:bCs/>
          <w:i/>
          <w:iCs/>
          <w:color w:val="000000"/>
          <w:sz w:val="20"/>
          <w:szCs w:val="20"/>
        </w:rPr>
        <w:t>Recent Accounting Developments</w:t>
      </w:r>
    </w:p>
    <w:p w14:paraId="71D43278" w14:textId="77777777" w:rsidR="006A3667" w:rsidRDefault="00045F32">
      <w:pPr>
        <w:spacing w:before="60"/>
        <w:ind w:firstLine="450"/>
        <w:jc w:val="both"/>
      </w:pPr>
      <w:r>
        <w:rPr>
          <w:rFonts w:ascii="Arial" w:eastAsia="宋体" w:hAnsi="Arial" w:cs="Arial"/>
          <w:color w:val="000000"/>
          <w:sz w:val="20"/>
          <w:szCs w:val="20"/>
        </w:rPr>
        <w:t>In March 2022, the SEC staff released Staff Accounting Bulletin No. 121 (SAB 1</w:t>
      </w:r>
      <w:r>
        <w:rPr>
          <w:rFonts w:ascii="Arial" w:eastAsia="宋体" w:hAnsi="Arial" w:cs="Arial"/>
          <w:color w:val="000000"/>
          <w:sz w:val="20"/>
          <w:szCs w:val="20"/>
        </w:rPr>
        <w:t>21). SAB 121 expresses the views of the SEC staff regarding the accounting for obligations to safeguard crypto-assets. The guidance requires an entity that has obligations to safeguard crypto-assets held for their platform users to recognize a liability on</w:t>
      </w:r>
      <w:r>
        <w:rPr>
          <w:rFonts w:ascii="Arial" w:eastAsia="宋体" w:hAnsi="Arial" w:cs="Arial"/>
          <w:color w:val="000000"/>
          <w:sz w:val="20"/>
          <w:szCs w:val="20"/>
        </w:rPr>
        <w:t xml:space="preserve"> its balance sheet, along with a corresponding asset, and provide extensive disclosures on the nature and amount of crypto-assets under custody. This guidance was adopted in the second quarter of 2022 and had no financial statement impact. We continue to e</w:t>
      </w:r>
      <w:r>
        <w:rPr>
          <w:rFonts w:ascii="Arial" w:eastAsia="宋体" w:hAnsi="Arial" w:cs="Arial"/>
          <w:color w:val="000000"/>
          <w:sz w:val="20"/>
          <w:szCs w:val="20"/>
        </w:rPr>
        <w:t>valuate the potential impact of the guidance on State Street Digital products and services currently in development.</w:t>
      </w:r>
    </w:p>
    <w:p w14:paraId="71D43279" w14:textId="77777777" w:rsidR="006A3667" w:rsidRDefault="00045F32">
      <w:pPr>
        <w:spacing w:before="60"/>
        <w:ind w:firstLine="450"/>
        <w:jc w:val="both"/>
      </w:pPr>
      <w:r>
        <w:rPr>
          <w:rFonts w:ascii="Arial" w:eastAsia="宋体" w:hAnsi="Arial" w:cs="Arial"/>
          <w:color w:val="000000"/>
          <w:sz w:val="20"/>
          <w:szCs w:val="20"/>
        </w:rPr>
        <w:t xml:space="preserve">We did not adopt any other new accounting standards in the third quarter of 2022 that had a material impact to our financial statements. </w:t>
      </w:r>
    </w:p>
    <w:p w14:paraId="71D4327A" w14:textId="77777777" w:rsidR="006A3667" w:rsidRDefault="00045F32">
      <w:pPr>
        <w:spacing w:before="90"/>
      </w:pPr>
      <w:r>
        <w:rPr>
          <w:rFonts w:ascii="Arial" w:eastAsia="宋体" w:hAnsi="Arial" w:cs="Arial"/>
          <w:i/>
          <w:iCs/>
          <w:color w:val="000000"/>
          <w:sz w:val="20"/>
          <w:szCs w:val="20"/>
        </w:rPr>
        <w:t>Relevant standards that were recently issued but not yet adopted</w:t>
      </w:r>
    </w:p>
    <w:tbl>
      <w:tblPr>
        <w:tblW w:w="5000" w:type="pct"/>
        <w:tblCellMar>
          <w:top w:w="15" w:type="dxa"/>
          <w:left w:w="15" w:type="dxa"/>
          <w:bottom w:w="15" w:type="dxa"/>
          <w:right w:w="15" w:type="dxa"/>
        </w:tblCellMar>
        <w:tblLook w:val="04A0" w:firstRow="1" w:lastRow="0" w:firstColumn="1" w:lastColumn="0" w:noHBand="0" w:noVBand="1"/>
      </w:tblPr>
      <w:tblGrid>
        <w:gridCol w:w="85"/>
        <w:gridCol w:w="1192"/>
        <w:gridCol w:w="36"/>
        <w:gridCol w:w="61"/>
        <w:gridCol w:w="2884"/>
        <w:gridCol w:w="37"/>
        <w:gridCol w:w="62"/>
        <w:gridCol w:w="1264"/>
        <w:gridCol w:w="36"/>
        <w:gridCol w:w="62"/>
        <w:gridCol w:w="2580"/>
        <w:gridCol w:w="37"/>
      </w:tblGrid>
      <w:tr w:rsidR="006A3667" w14:paraId="71D43287" w14:textId="77777777">
        <w:tc>
          <w:tcPr>
            <w:tcW w:w="50" w:type="pct"/>
            <w:shd w:val="clear" w:color="auto" w:fill="auto"/>
            <w:vAlign w:val="bottom"/>
          </w:tcPr>
          <w:p w14:paraId="71D4327B" w14:textId="77777777" w:rsidR="006A3667" w:rsidRDefault="006A3667">
            <w:pPr>
              <w:rPr>
                <w:rFonts w:ascii="宋体"/>
              </w:rPr>
            </w:pPr>
          </w:p>
        </w:tc>
        <w:tc>
          <w:tcPr>
            <w:tcW w:w="705" w:type="pct"/>
            <w:shd w:val="clear" w:color="auto" w:fill="auto"/>
            <w:vAlign w:val="bottom"/>
          </w:tcPr>
          <w:p w14:paraId="71D4327C" w14:textId="77777777" w:rsidR="006A3667" w:rsidRDefault="006A3667">
            <w:pPr>
              <w:rPr>
                <w:rFonts w:ascii="宋体"/>
              </w:rPr>
            </w:pPr>
          </w:p>
        </w:tc>
        <w:tc>
          <w:tcPr>
            <w:tcW w:w="5" w:type="pct"/>
            <w:shd w:val="clear" w:color="auto" w:fill="auto"/>
            <w:vAlign w:val="bottom"/>
          </w:tcPr>
          <w:p w14:paraId="71D4327D" w14:textId="77777777" w:rsidR="006A3667" w:rsidRDefault="006A3667">
            <w:pPr>
              <w:rPr>
                <w:rFonts w:ascii="宋体"/>
              </w:rPr>
            </w:pPr>
          </w:p>
        </w:tc>
        <w:tc>
          <w:tcPr>
            <w:tcW w:w="50" w:type="pct"/>
            <w:shd w:val="clear" w:color="auto" w:fill="auto"/>
            <w:vAlign w:val="bottom"/>
          </w:tcPr>
          <w:p w14:paraId="71D4327E" w14:textId="77777777" w:rsidR="006A3667" w:rsidRDefault="006A3667">
            <w:pPr>
              <w:rPr>
                <w:rFonts w:ascii="宋体"/>
              </w:rPr>
            </w:pPr>
          </w:p>
        </w:tc>
        <w:tc>
          <w:tcPr>
            <w:tcW w:w="1743" w:type="pct"/>
            <w:shd w:val="clear" w:color="auto" w:fill="auto"/>
            <w:vAlign w:val="bottom"/>
          </w:tcPr>
          <w:p w14:paraId="71D4327F" w14:textId="77777777" w:rsidR="006A3667" w:rsidRDefault="006A3667">
            <w:pPr>
              <w:rPr>
                <w:rFonts w:ascii="宋体"/>
              </w:rPr>
            </w:pPr>
          </w:p>
        </w:tc>
        <w:tc>
          <w:tcPr>
            <w:tcW w:w="5" w:type="pct"/>
            <w:shd w:val="clear" w:color="auto" w:fill="auto"/>
            <w:vAlign w:val="bottom"/>
          </w:tcPr>
          <w:p w14:paraId="71D43280" w14:textId="77777777" w:rsidR="006A3667" w:rsidRDefault="006A3667">
            <w:pPr>
              <w:rPr>
                <w:rFonts w:ascii="宋体"/>
              </w:rPr>
            </w:pPr>
          </w:p>
        </w:tc>
        <w:tc>
          <w:tcPr>
            <w:tcW w:w="50" w:type="pct"/>
            <w:shd w:val="clear" w:color="auto" w:fill="auto"/>
            <w:vAlign w:val="bottom"/>
          </w:tcPr>
          <w:p w14:paraId="71D43281" w14:textId="77777777" w:rsidR="006A3667" w:rsidRDefault="006A3667">
            <w:pPr>
              <w:rPr>
                <w:rFonts w:ascii="宋体"/>
              </w:rPr>
            </w:pPr>
          </w:p>
        </w:tc>
        <w:tc>
          <w:tcPr>
            <w:tcW w:w="771" w:type="pct"/>
            <w:shd w:val="clear" w:color="auto" w:fill="auto"/>
            <w:vAlign w:val="bottom"/>
          </w:tcPr>
          <w:p w14:paraId="71D43282" w14:textId="77777777" w:rsidR="006A3667" w:rsidRDefault="006A3667">
            <w:pPr>
              <w:rPr>
                <w:rFonts w:ascii="宋体"/>
              </w:rPr>
            </w:pPr>
          </w:p>
        </w:tc>
        <w:tc>
          <w:tcPr>
            <w:tcW w:w="5" w:type="pct"/>
            <w:shd w:val="clear" w:color="auto" w:fill="auto"/>
            <w:vAlign w:val="bottom"/>
          </w:tcPr>
          <w:p w14:paraId="71D43283" w14:textId="77777777" w:rsidR="006A3667" w:rsidRDefault="006A3667">
            <w:pPr>
              <w:rPr>
                <w:rFonts w:ascii="宋体"/>
              </w:rPr>
            </w:pPr>
          </w:p>
        </w:tc>
        <w:tc>
          <w:tcPr>
            <w:tcW w:w="50" w:type="pct"/>
            <w:shd w:val="clear" w:color="auto" w:fill="auto"/>
            <w:vAlign w:val="bottom"/>
          </w:tcPr>
          <w:p w14:paraId="71D43284" w14:textId="77777777" w:rsidR="006A3667" w:rsidRDefault="006A3667">
            <w:pPr>
              <w:rPr>
                <w:rFonts w:ascii="宋体"/>
              </w:rPr>
            </w:pPr>
          </w:p>
        </w:tc>
        <w:tc>
          <w:tcPr>
            <w:tcW w:w="1560" w:type="pct"/>
            <w:shd w:val="clear" w:color="auto" w:fill="auto"/>
            <w:vAlign w:val="bottom"/>
          </w:tcPr>
          <w:p w14:paraId="71D43285" w14:textId="77777777" w:rsidR="006A3667" w:rsidRDefault="006A3667">
            <w:pPr>
              <w:rPr>
                <w:rFonts w:ascii="宋体"/>
              </w:rPr>
            </w:pPr>
          </w:p>
        </w:tc>
        <w:tc>
          <w:tcPr>
            <w:tcW w:w="5" w:type="pct"/>
            <w:shd w:val="clear" w:color="auto" w:fill="auto"/>
            <w:vAlign w:val="bottom"/>
          </w:tcPr>
          <w:p w14:paraId="71D43286" w14:textId="77777777" w:rsidR="006A3667" w:rsidRDefault="006A3667">
            <w:pPr>
              <w:rPr>
                <w:rFonts w:ascii="宋体"/>
              </w:rPr>
            </w:pPr>
          </w:p>
        </w:tc>
      </w:tr>
      <w:tr w:rsidR="006A3667" w14:paraId="71D4328C" w14:textId="77777777">
        <w:tc>
          <w:tcPr>
            <w:tcW w:w="0" w:type="auto"/>
            <w:gridSpan w:val="3"/>
            <w:shd w:val="clear" w:color="auto" w:fill="auto"/>
            <w:tcMar>
              <w:top w:w="40" w:type="dxa"/>
              <w:left w:w="20" w:type="dxa"/>
              <w:bottom w:w="40" w:type="dxa"/>
              <w:right w:w="20" w:type="dxa"/>
            </w:tcMar>
            <w:vAlign w:val="bottom"/>
          </w:tcPr>
          <w:p w14:paraId="71D43288" w14:textId="77777777" w:rsidR="006A3667" w:rsidRDefault="00045F32">
            <w:pPr>
              <w:jc w:val="center"/>
              <w:textAlignment w:val="bottom"/>
            </w:pPr>
            <w:r>
              <w:rPr>
                <w:rFonts w:ascii="Arial" w:eastAsia="宋体" w:hAnsi="Arial" w:cs="Arial"/>
                <w:b/>
                <w:bCs/>
                <w:color w:val="000000"/>
                <w:sz w:val="14"/>
                <w:szCs w:val="14"/>
              </w:rPr>
              <w:t>Standard</w:t>
            </w:r>
          </w:p>
        </w:tc>
        <w:tc>
          <w:tcPr>
            <w:tcW w:w="0" w:type="auto"/>
            <w:gridSpan w:val="3"/>
            <w:shd w:val="clear" w:color="auto" w:fill="auto"/>
            <w:tcMar>
              <w:top w:w="40" w:type="dxa"/>
              <w:left w:w="20" w:type="dxa"/>
              <w:bottom w:w="40" w:type="dxa"/>
              <w:right w:w="20" w:type="dxa"/>
            </w:tcMar>
            <w:vAlign w:val="bottom"/>
          </w:tcPr>
          <w:p w14:paraId="71D43289" w14:textId="77777777" w:rsidR="006A3667" w:rsidRDefault="00045F32">
            <w:pPr>
              <w:jc w:val="center"/>
              <w:textAlignment w:val="bottom"/>
            </w:pPr>
            <w:r>
              <w:rPr>
                <w:rFonts w:ascii="Arial" w:eastAsia="宋体" w:hAnsi="Arial" w:cs="Arial"/>
                <w:b/>
                <w:bCs/>
                <w:color w:val="000000"/>
                <w:sz w:val="14"/>
                <w:szCs w:val="14"/>
              </w:rPr>
              <w:t>Description</w:t>
            </w:r>
          </w:p>
        </w:tc>
        <w:tc>
          <w:tcPr>
            <w:tcW w:w="0" w:type="auto"/>
            <w:gridSpan w:val="3"/>
            <w:shd w:val="clear" w:color="auto" w:fill="auto"/>
            <w:tcMar>
              <w:top w:w="40" w:type="dxa"/>
              <w:left w:w="20" w:type="dxa"/>
              <w:bottom w:w="40" w:type="dxa"/>
              <w:right w:w="20" w:type="dxa"/>
            </w:tcMar>
            <w:vAlign w:val="bottom"/>
          </w:tcPr>
          <w:p w14:paraId="71D4328A" w14:textId="77777777" w:rsidR="006A3667" w:rsidRDefault="00045F32">
            <w:pPr>
              <w:jc w:val="center"/>
              <w:textAlignment w:val="bottom"/>
            </w:pPr>
            <w:r>
              <w:rPr>
                <w:rFonts w:ascii="Arial" w:eastAsia="宋体" w:hAnsi="Arial" w:cs="Arial"/>
                <w:b/>
                <w:bCs/>
                <w:color w:val="000000"/>
                <w:sz w:val="14"/>
                <w:szCs w:val="14"/>
              </w:rPr>
              <w:t>Date of Adoption</w:t>
            </w:r>
          </w:p>
        </w:tc>
        <w:tc>
          <w:tcPr>
            <w:tcW w:w="0" w:type="auto"/>
            <w:gridSpan w:val="3"/>
            <w:shd w:val="clear" w:color="auto" w:fill="auto"/>
            <w:tcMar>
              <w:top w:w="40" w:type="dxa"/>
              <w:left w:w="20" w:type="dxa"/>
              <w:bottom w:w="40" w:type="dxa"/>
              <w:right w:w="20" w:type="dxa"/>
            </w:tcMar>
            <w:vAlign w:val="bottom"/>
          </w:tcPr>
          <w:p w14:paraId="71D4328B" w14:textId="77777777" w:rsidR="006A3667" w:rsidRDefault="00045F32">
            <w:pPr>
              <w:jc w:val="center"/>
              <w:textAlignment w:val="bottom"/>
            </w:pPr>
            <w:r>
              <w:rPr>
                <w:rFonts w:ascii="Arial" w:eastAsia="宋体" w:hAnsi="Arial" w:cs="Arial"/>
                <w:b/>
                <w:bCs/>
                <w:color w:val="000000"/>
                <w:sz w:val="14"/>
                <w:szCs w:val="14"/>
              </w:rPr>
              <w:t>Effects on the financial statements or other significant matters</w:t>
            </w:r>
          </w:p>
        </w:tc>
      </w:tr>
      <w:tr w:rsidR="006A3667" w14:paraId="71D43291"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71D4328D" w14:textId="77777777" w:rsidR="006A3667" w:rsidRDefault="00045F32">
            <w:pPr>
              <w:jc w:val="both"/>
              <w:textAlignment w:val="top"/>
            </w:pPr>
            <w:r>
              <w:rPr>
                <w:rFonts w:ascii="Arial" w:eastAsia="宋体" w:hAnsi="Arial" w:cs="Arial"/>
                <w:color w:val="000000"/>
                <w:sz w:val="14"/>
                <w:szCs w:val="14"/>
              </w:rPr>
              <w:t xml:space="preserve">ASU 2022-02, Financial Instruments—Credit Losses (Topic 326): </w:t>
            </w:r>
            <w:r>
              <w:rPr>
                <w:rFonts w:ascii="Arial" w:eastAsia="宋体" w:hAnsi="Arial" w:cs="Arial"/>
                <w:color w:val="000000"/>
                <w:sz w:val="14"/>
                <w:szCs w:val="14"/>
              </w:rPr>
              <w:t>Troubled Debt Restructurings and Vintage Disclosures</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71D4328E" w14:textId="77777777" w:rsidR="006A3667" w:rsidRDefault="00045F32">
            <w:pPr>
              <w:jc w:val="both"/>
              <w:textAlignment w:val="top"/>
            </w:pPr>
            <w:r>
              <w:rPr>
                <w:rFonts w:ascii="Arial" w:eastAsia="宋体" w:hAnsi="Arial" w:cs="Arial"/>
                <w:color w:val="000000"/>
                <w:sz w:val="14"/>
                <w:szCs w:val="14"/>
              </w:rPr>
              <w:t>The standard addresses two topics: 1) eliminates the accounting guidance for TDRs, now requiring an entity to determine whether a modification results in a new loan or a continuation of an existing loan,</w:t>
            </w:r>
            <w:r>
              <w:rPr>
                <w:rFonts w:ascii="Arial" w:eastAsia="宋体" w:hAnsi="Arial" w:cs="Arial"/>
                <w:color w:val="000000"/>
                <w:sz w:val="14"/>
                <w:szCs w:val="14"/>
              </w:rPr>
              <w:t xml:space="preserve"> as well as expanding disclosures related to modifications and 2) requires disclosure of current period gross write-offs of financing receivables within the vintage disclosures table.</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71D4328F" w14:textId="77777777" w:rsidR="006A3667" w:rsidRDefault="00045F32">
            <w:pPr>
              <w:jc w:val="both"/>
              <w:textAlignment w:val="top"/>
            </w:pPr>
            <w:r>
              <w:rPr>
                <w:rFonts w:ascii="Arial" w:eastAsia="宋体" w:hAnsi="Arial" w:cs="Arial"/>
                <w:color w:val="000000"/>
                <w:sz w:val="14"/>
                <w:szCs w:val="14"/>
              </w:rPr>
              <w:t>January 1, 2023, early adoption permitted</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71D43290" w14:textId="77777777" w:rsidR="006A3667" w:rsidRDefault="00045F32">
            <w:pPr>
              <w:jc w:val="both"/>
              <w:textAlignment w:val="top"/>
            </w:pPr>
            <w:r>
              <w:rPr>
                <w:rFonts w:ascii="Arial" w:eastAsia="宋体" w:hAnsi="Arial" w:cs="Arial"/>
                <w:color w:val="000000"/>
                <w:sz w:val="14"/>
                <w:szCs w:val="14"/>
              </w:rPr>
              <w:t>We do not expect the new stand</w:t>
            </w:r>
            <w:r>
              <w:rPr>
                <w:rFonts w:ascii="Arial" w:eastAsia="宋体" w:hAnsi="Arial" w:cs="Arial"/>
                <w:color w:val="000000"/>
                <w:sz w:val="14"/>
                <w:szCs w:val="14"/>
              </w:rPr>
              <w:t>ard to have a significant impact as, to date, no loans have been modified in troubled debt restructurings and write-offs of financing receivables are insignificant.</w:t>
            </w:r>
          </w:p>
        </w:tc>
      </w:tr>
      <w:tr w:rsidR="006A3667" w14:paraId="71D43296"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71D43292" w14:textId="77777777" w:rsidR="006A3667" w:rsidRDefault="00045F32">
            <w:pPr>
              <w:jc w:val="both"/>
              <w:textAlignment w:val="top"/>
            </w:pPr>
            <w:r>
              <w:rPr>
                <w:rFonts w:ascii="Arial" w:eastAsia="宋体" w:hAnsi="Arial" w:cs="Arial"/>
                <w:color w:val="000000"/>
                <w:sz w:val="14"/>
                <w:szCs w:val="14"/>
              </w:rPr>
              <w:t>ASU 2022-01, Derivatives and Hedging (Topic 815): Fair Value Hedging—Portfolio Layer Metho</w:t>
            </w:r>
            <w:r>
              <w:rPr>
                <w:rFonts w:ascii="Arial" w:eastAsia="宋体" w:hAnsi="Arial" w:cs="Arial"/>
                <w:color w:val="000000"/>
                <w:sz w:val="14"/>
                <w:szCs w:val="14"/>
              </w:rPr>
              <w:t>d</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71D43293" w14:textId="77777777" w:rsidR="006A3667" w:rsidRDefault="00045F32">
            <w:pPr>
              <w:jc w:val="both"/>
              <w:textAlignment w:val="top"/>
            </w:pPr>
            <w:r>
              <w:rPr>
                <w:rFonts w:ascii="Arial" w:eastAsia="宋体" w:hAnsi="Arial" w:cs="Arial"/>
                <w:color w:val="000000"/>
                <w:sz w:val="14"/>
                <w:szCs w:val="14"/>
              </w:rPr>
              <w:t>The standard makes targeted amendments to 1) expand the existing last-of-layer method to allow multiple hedging layers of a single closed portfolio (now renamed portfolio layer method), 2) expand the scope of the portfolio layer method to include nonprepay</w:t>
            </w:r>
            <w:r>
              <w:rPr>
                <w:rFonts w:ascii="Arial" w:eastAsia="宋体" w:hAnsi="Arial" w:cs="Arial"/>
                <w:color w:val="000000"/>
                <w:sz w:val="14"/>
                <w:szCs w:val="14"/>
              </w:rPr>
              <w:t>able financial assets, 3) clarify which hedging instruments are eligible for designation in a portfolio layer hedge, 4) provide additional guidance on the accounting for, and disclosure of, hedge basis adjustments that are applicable to the portfolio layer</w:t>
            </w:r>
            <w:r>
              <w:rPr>
                <w:rFonts w:ascii="Arial" w:eastAsia="宋体" w:hAnsi="Arial" w:cs="Arial"/>
                <w:color w:val="000000"/>
                <w:sz w:val="14"/>
                <w:szCs w:val="14"/>
              </w:rPr>
              <w:t xml:space="preserve"> method and 5) define how hedge basis adjustments should be considered when determining credit losses for the assets included in the closed portfolio. </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71D43294" w14:textId="77777777" w:rsidR="006A3667" w:rsidRDefault="00045F32">
            <w:pPr>
              <w:jc w:val="both"/>
              <w:textAlignment w:val="top"/>
            </w:pPr>
            <w:r>
              <w:rPr>
                <w:rFonts w:ascii="Arial" w:eastAsia="宋体" w:hAnsi="Arial" w:cs="Arial"/>
                <w:color w:val="000000"/>
                <w:sz w:val="14"/>
                <w:szCs w:val="14"/>
              </w:rPr>
              <w:t>January 1, 2023, early adoption permitted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tcPr>
          <w:p w14:paraId="71D43295" w14:textId="77777777" w:rsidR="006A3667" w:rsidRDefault="00045F32">
            <w:pPr>
              <w:jc w:val="both"/>
              <w:textAlignment w:val="top"/>
            </w:pPr>
            <w:r>
              <w:rPr>
                <w:rFonts w:ascii="Arial" w:eastAsia="宋体" w:hAnsi="Arial" w:cs="Arial"/>
                <w:color w:val="000000"/>
                <w:sz w:val="14"/>
                <w:szCs w:val="14"/>
              </w:rPr>
              <w:t>We are currently evaluating the impact of the new standard and</w:t>
            </w:r>
            <w:r>
              <w:rPr>
                <w:rFonts w:ascii="Arial" w:eastAsia="宋体" w:hAnsi="Arial" w:cs="Arial"/>
                <w:color w:val="000000"/>
                <w:sz w:val="14"/>
                <w:szCs w:val="14"/>
              </w:rPr>
              <w:t xml:space="preserve"> the early adoption provisions.</w:t>
            </w:r>
          </w:p>
        </w:tc>
      </w:tr>
    </w:tbl>
    <w:p w14:paraId="71D43297" w14:textId="77777777" w:rsidR="006A3667" w:rsidRDefault="00045F32">
      <w:pPr>
        <w:ind w:firstLine="450"/>
        <w:jc w:val="right"/>
      </w:pPr>
      <w:r>
        <w:rPr>
          <w:rFonts w:ascii="Arial" w:eastAsia="宋体" w:hAnsi="Arial" w:cs="Arial"/>
          <w:color w:val="000000"/>
          <w:sz w:val="18"/>
          <w:szCs w:val="18"/>
        </w:rPr>
        <w:t>State Street Corporation | 59</w:t>
      </w:r>
    </w:p>
    <w:p w14:paraId="71D43298" w14:textId="77777777" w:rsidR="006A3667" w:rsidRDefault="006A3667">
      <w:pPr>
        <w:ind w:firstLine="450"/>
        <w:jc w:val="center"/>
      </w:pPr>
    </w:p>
    <w:p w14:paraId="71D43299" w14:textId="77777777" w:rsidR="006A3667" w:rsidRDefault="00045F32">
      <w:r>
        <w:pict w14:anchorId="71D4AC4F">
          <v:rect id="_x0000_i1083" style="width:415.3pt;height:1.5pt" o:hralign="center" o:hrstd="t" o:hr="t" fillcolor="#a0a0a0" stroked="f"/>
        </w:pict>
      </w:r>
    </w:p>
    <w:p w14:paraId="71D4329A" w14:textId="77777777" w:rsidR="006A3667" w:rsidRDefault="00045F32">
      <w:pPr>
        <w:ind w:firstLine="450"/>
        <w:jc w:val="center"/>
      </w:pPr>
      <w:r>
        <w:rPr>
          <w:rFonts w:ascii="Arial" w:eastAsia="宋体" w:hAnsi="Arial" w:cs="Arial"/>
          <w:b/>
          <w:bCs/>
          <w:color w:val="000000"/>
          <w:sz w:val="20"/>
          <w:szCs w:val="20"/>
        </w:rPr>
        <w:t>STATE STREET CORPORATION</w:t>
      </w:r>
    </w:p>
    <w:p w14:paraId="71D4329B"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329C" w14:textId="77777777" w:rsidR="006A3667" w:rsidRDefault="00045F32">
      <w:pPr>
        <w:ind w:firstLine="450"/>
        <w:jc w:val="center"/>
      </w:pPr>
      <w:r>
        <w:rPr>
          <w:rFonts w:ascii="Arial" w:eastAsia="宋体" w:hAnsi="Arial" w:cs="Arial"/>
          <w:b/>
          <w:bCs/>
          <w:color w:val="000000"/>
          <w:sz w:val="20"/>
          <w:szCs w:val="20"/>
        </w:rPr>
        <w:t>(UNAUDITED)</w:t>
      </w:r>
    </w:p>
    <w:p w14:paraId="71D4329D" w14:textId="77777777" w:rsidR="006A3667" w:rsidRDefault="00045F32">
      <w:pPr>
        <w:spacing w:before="180"/>
      </w:pPr>
      <w:r>
        <w:rPr>
          <w:rFonts w:ascii="Arial" w:eastAsia="宋体" w:hAnsi="Arial" w:cs="Arial"/>
          <w:b/>
          <w:bCs/>
          <w:color w:val="000000"/>
          <w:sz w:val="20"/>
          <w:szCs w:val="20"/>
        </w:rPr>
        <w:t>Note 2.    Fair Value</w:t>
      </w:r>
    </w:p>
    <w:p w14:paraId="71D4329E" w14:textId="77777777" w:rsidR="006A3667" w:rsidRDefault="00045F32">
      <w:pPr>
        <w:spacing w:before="60"/>
        <w:jc w:val="both"/>
      </w:pPr>
      <w:r>
        <w:rPr>
          <w:rFonts w:ascii="Arial" w:eastAsia="宋体" w:hAnsi="Arial" w:cs="Arial"/>
          <w:b/>
          <w:bCs/>
          <w:i/>
          <w:iCs/>
          <w:color w:val="000000"/>
          <w:sz w:val="20"/>
          <w:szCs w:val="20"/>
        </w:rPr>
        <w:t>Fair Value Measurements</w:t>
      </w:r>
    </w:p>
    <w:p w14:paraId="71D4329F" w14:textId="77777777" w:rsidR="006A3667" w:rsidRDefault="00045F32">
      <w:pPr>
        <w:spacing w:before="20"/>
        <w:ind w:firstLine="450"/>
        <w:jc w:val="both"/>
      </w:pPr>
      <w:r>
        <w:rPr>
          <w:rFonts w:ascii="Arial" w:eastAsia="宋体" w:hAnsi="Arial" w:cs="Arial"/>
          <w:color w:val="000000"/>
          <w:sz w:val="20"/>
          <w:szCs w:val="20"/>
        </w:rPr>
        <w:t xml:space="preserve">We carry trading account assets and </w:t>
      </w:r>
      <w:r>
        <w:rPr>
          <w:rFonts w:ascii="Arial" w:eastAsia="宋体" w:hAnsi="Arial" w:cs="Arial"/>
          <w:color w:val="000000"/>
          <w:sz w:val="20"/>
          <w:szCs w:val="20"/>
        </w:rPr>
        <w:t>liabilities, AFS debt securities, certain equity securities and various types of derivative financial instruments, at fair value in our consolidated statement of condition on a recurring basis. Changes in the fair values of these financial assets and liabi</w:t>
      </w:r>
      <w:r>
        <w:rPr>
          <w:rFonts w:ascii="Arial" w:eastAsia="宋体" w:hAnsi="Arial" w:cs="Arial"/>
          <w:color w:val="000000"/>
          <w:sz w:val="20"/>
          <w:szCs w:val="20"/>
        </w:rPr>
        <w:t>lities are recorded either as components of our consolidated statement of income or as components of AOCI within shareholders' equity in our consolidated statement of condition.</w:t>
      </w:r>
    </w:p>
    <w:p w14:paraId="71D432A0" w14:textId="77777777" w:rsidR="006A3667" w:rsidRDefault="00045F32">
      <w:pPr>
        <w:spacing w:before="20"/>
        <w:ind w:firstLine="450"/>
        <w:jc w:val="both"/>
      </w:pPr>
      <w:r>
        <w:rPr>
          <w:rFonts w:ascii="Arial" w:eastAsia="宋体" w:hAnsi="Arial" w:cs="Arial"/>
          <w:color w:val="000000"/>
          <w:sz w:val="20"/>
          <w:szCs w:val="20"/>
        </w:rPr>
        <w:t>We measure fair value for the above-described financial assets and liabilities</w:t>
      </w:r>
      <w:r>
        <w:rPr>
          <w:rFonts w:ascii="Arial" w:eastAsia="宋体" w:hAnsi="Arial" w:cs="Arial"/>
          <w:color w:val="000000"/>
          <w:sz w:val="20"/>
          <w:szCs w:val="20"/>
        </w:rPr>
        <w:t xml:space="preserve"> in conformity with U.S. GAAP that governs the measurement of the fair value of financial instruments. Management believes that its valuation techniques and underlying assumptions used to measure fair value conform to the provisions of U.S. GAAP. We catego</w:t>
      </w:r>
      <w:r>
        <w:rPr>
          <w:rFonts w:ascii="Arial" w:eastAsia="宋体" w:hAnsi="Arial" w:cs="Arial"/>
          <w:color w:val="000000"/>
          <w:sz w:val="20"/>
          <w:szCs w:val="20"/>
        </w:rPr>
        <w:t>rize the financial assets and liabilities that we carry at fair value based on a prescribed three-level valuation hierarchy. For information about our valuation techniques for financial assets and financial liabilities measured at fair value and the fair v</w:t>
      </w:r>
      <w:r>
        <w:rPr>
          <w:rFonts w:ascii="Arial" w:eastAsia="宋体" w:hAnsi="Arial" w:cs="Arial"/>
          <w:color w:val="000000"/>
          <w:sz w:val="20"/>
          <w:szCs w:val="20"/>
        </w:rPr>
        <w:t>alue hierarchy, refer to pages 137 to 143 in Note 2 to the consolidated financial statements included under Item 8, Financial Statements and Supplementary Data, in our 2021 Form 10-K.</w:t>
      </w:r>
    </w:p>
    <w:p w14:paraId="71D432A1" w14:textId="77777777" w:rsidR="006A3667" w:rsidRDefault="00045F32">
      <w:pPr>
        <w:spacing w:before="20"/>
        <w:ind w:firstLine="450"/>
      </w:pPr>
      <w:r>
        <w:rPr>
          <w:rFonts w:ascii="Arial" w:eastAsia="宋体" w:hAnsi="Arial" w:cs="Arial"/>
          <w:color w:val="000000"/>
          <w:sz w:val="20"/>
          <w:szCs w:val="20"/>
        </w:rPr>
        <w:t>The following tables present information with respect to our financial a</w:t>
      </w:r>
      <w:r>
        <w:rPr>
          <w:rFonts w:ascii="Arial" w:eastAsia="宋体" w:hAnsi="Arial" w:cs="Arial"/>
          <w:color w:val="000000"/>
          <w:sz w:val="20"/>
          <w:szCs w:val="20"/>
        </w:rPr>
        <w:t>ssets and liabilities carried at fair value in our consolidated statement of condition on a recurring basis as of the dates indicated:</w:t>
      </w:r>
    </w:p>
    <w:p w14:paraId="71D432A2" w14:textId="77777777" w:rsidR="006A3667" w:rsidRDefault="00045F32">
      <w:pPr>
        <w:ind w:firstLine="450"/>
        <w:jc w:val="right"/>
      </w:pPr>
      <w:r>
        <w:rPr>
          <w:rFonts w:ascii="Arial" w:eastAsia="宋体" w:hAnsi="Arial" w:cs="Arial"/>
          <w:color w:val="000000"/>
          <w:sz w:val="18"/>
          <w:szCs w:val="18"/>
        </w:rPr>
        <w:t>State Street Corporation | 60</w:t>
      </w:r>
    </w:p>
    <w:p w14:paraId="71D432A3" w14:textId="77777777" w:rsidR="006A3667" w:rsidRDefault="006A3667">
      <w:pPr>
        <w:ind w:firstLine="450"/>
        <w:jc w:val="center"/>
      </w:pPr>
    </w:p>
    <w:p w14:paraId="71D432A4" w14:textId="77777777" w:rsidR="006A3667" w:rsidRDefault="00045F32">
      <w:r>
        <w:pict w14:anchorId="71D4AC50">
          <v:rect id="_x0000_i1084" style="width:415.3pt;height:1.5pt" o:hralign="center" o:hrstd="t" o:hr="t" fillcolor="#a0a0a0" stroked="f"/>
        </w:pict>
      </w:r>
    </w:p>
    <w:p w14:paraId="71D432A5" w14:textId="77777777" w:rsidR="006A3667" w:rsidRDefault="00045F32">
      <w:pPr>
        <w:ind w:firstLine="450"/>
        <w:jc w:val="center"/>
      </w:pPr>
      <w:r>
        <w:rPr>
          <w:rFonts w:ascii="Arial" w:eastAsia="宋体" w:hAnsi="Arial" w:cs="Arial"/>
          <w:b/>
          <w:bCs/>
          <w:color w:val="000000"/>
          <w:sz w:val="20"/>
          <w:szCs w:val="20"/>
        </w:rPr>
        <w:t>STATE STREET CORPORATION</w:t>
      </w:r>
    </w:p>
    <w:p w14:paraId="71D432A6"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32A7" w14:textId="77777777" w:rsidR="006A3667" w:rsidRDefault="00045F32">
      <w:pPr>
        <w:ind w:firstLine="450"/>
        <w:jc w:val="center"/>
      </w:pPr>
      <w:r>
        <w:rPr>
          <w:rFonts w:ascii="Arial" w:eastAsia="宋体" w:hAnsi="Arial" w:cs="Arial"/>
          <w:b/>
          <w:bCs/>
          <w:color w:val="000000"/>
          <w:sz w:val="20"/>
          <w:szCs w:val="20"/>
        </w:rPr>
        <w:t>(UNAUDITED</w:t>
      </w:r>
      <w:r>
        <w:rPr>
          <w:rFonts w:ascii="Arial" w:eastAsia="宋体" w:hAnsi="Arial" w:cs="Arial"/>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2623"/>
        <w:gridCol w:w="40"/>
        <w:gridCol w:w="99"/>
        <w:gridCol w:w="981"/>
        <w:gridCol w:w="36"/>
        <w:gridCol w:w="36"/>
        <w:gridCol w:w="36"/>
        <w:gridCol w:w="36"/>
        <w:gridCol w:w="99"/>
        <w:gridCol w:w="1023"/>
        <w:gridCol w:w="36"/>
        <w:gridCol w:w="36"/>
        <w:gridCol w:w="36"/>
        <w:gridCol w:w="36"/>
        <w:gridCol w:w="99"/>
        <w:gridCol w:w="1023"/>
        <w:gridCol w:w="36"/>
        <w:gridCol w:w="36"/>
        <w:gridCol w:w="36"/>
        <w:gridCol w:w="36"/>
        <w:gridCol w:w="99"/>
        <w:gridCol w:w="563"/>
        <w:gridCol w:w="36"/>
        <w:gridCol w:w="36"/>
        <w:gridCol w:w="36"/>
        <w:gridCol w:w="36"/>
        <w:gridCol w:w="99"/>
        <w:gridCol w:w="933"/>
        <w:gridCol w:w="36"/>
      </w:tblGrid>
      <w:tr w:rsidR="006A3667" w14:paraId="71D432C6" w14:textId="77777777">
        <w:tc>
          <w:tcPr>
            <w:tcW w:w="50" w:type="pct"/>
            <w:shd w:val="clear" w:color="auto" w:fill="auto"/>
            <w:vAlign w:val="bottom"/>
          </w:tcPr>
          <w:p w14:paraId="71D432A8" w14:textId="77777777" w:rsidR="006A3667" w:rsidRDefault="006A3667">
            <w:pPr>
              <w:rPr>
                <w:rFonts w:ascii="宋体"/>
              </w:rPr>
            </w:pPr>
          </w:p>
        </w:tc>
        <w:tc>
          <w:tcPr>
            <w:tcW w:w="2116" w:type="pct"/>
            <w:shd w:val="clear" w:color="auto" w:fill="auto"/>
            <w:vAlign w:val="bottom"/>
          </w:tcPr>
          <w:p w14:paraId="71D432A9" w14:textId="77777777" w:rsidR="006A3667" w:rsidRDefault="006A3667">
            <w:pPr>
              <w:rPr>
                <w:rFonts w:ascii="宋体"/>
              </w:rPr>
            </w:pPr>
          </w:p>
        </w:tc>
        <w:tc>
          <w:tcPr>
            <w:tcW w:w="5" w:type="pct"/>
            <w:shd w:val="clear" w:color="auto" w:fill="auto"/>
            <w:vAlign w:val="bottom"/>
          </w:tcPr>
          <w:p w14:paraId="71D432AA" w14:textId="77777777" w:rsidR="006A3667" w:rsidRDefault="006A3667">
            <w:pPr>
              <w:rPr>
                <w:rFonts w:ascii="宋体"/>
              </w:rPr>
            </w:pPr>
          </w:p>
        </w:tc>
        <w:tc>
          <w:tcPr>
            <w:tcW w:w="50" w:type="pct"/>
            <w:shd w:val="clear" w:color="auto" w:fill="auto"/>
            <w:vAlign w:val="bottom"/>
          </w:tcPr>
          <w:p w14:paraId="71D432AB" w14:textId="77777777" w:rsidR="006A3667" w:rsidRDefault="006A3667">
            <w:pPr>
              <w:rPr>
                <w:rFonts w:ascii="宋体"/>
              </w:rPr>
            </w:pPr>
          </w:p>
        </w:tc>
        <w:tc>
          <w:tcPr>
            <w:tcW w:w="529" w:type="pct"/>
            <w:shd w:val="clear" w:color="auto" w:fill="auto"/>
            <w:vAlign w:val="bottom"/>
          </w:tcPr>
          <w:p w14:paraId="71D432AC" w14:textId="77777777" w:rsidR="006A3667" w:rsidRDefault="006A3667">
            <w:pPr>
              <w:rPr>
                <w:rFonts w:ascii="宋体"/>
              </w:rPr>
            </w:pPr>
          </w:p>
        </w:tc>
        <w:tc>
          <w:tcPr>
            <w:tcW w:w="5" w:type="pct"/>
            <w:shd w:val="clear" w:color="auto" w:fill="auto"/>
            <w:vAlign w:val="bottom"/>
          </w:tcPr>
          <w:p w14:paraId="71D432AD" w14:textId="77777777" w:rsidR="006A3667" w:rsidRDefault="006A3667">
            <w:pPr>
              <w:rPr>
                <w:rFonts w:ascii="宋体"/>
              </w:rPr>
            </w:pPr>
          </w:p>
        </w:tc>
        <w:tc>
          <w:tcPr>
            <w:tcW w:w="5" w:type="pct"/>
            <w:shd w:val="clear" w:color="auto" w:fill="auto"/>
            <w:vAlign w:val="bottom"/>
          </w:tcPr>
          <w:p w14:paraId="71D432AE" w14:textId="77777777" w:rsidR="006A3667" w:rsidRDefault="006A3667">
            <w:pPr>
              <w:rPr>
                <w:rFonts w:ascii="宋体"/>
              </w:rPr>
            </w:pPr>
          </w:p>
        </w:tc>
        <w:tc>
          <w:tcPr>
            <w:tcW w:w="19" w:type="pct"/>
            <w:shd w:val="clear" w:color="auto" w:fill="auto"/>
            <w:vAlign w:val="bottom"/>
          </w:tcPr>
          <w:p w14:paraId="71D432AF" w14:textId="77777777" w:rsidR="006A3667" w:rsidRDefault="006A3667">
            <w:pPr>
              <w:rPr>
                <w:rFonts w:ascii="宋体"/>
              </w:rPr>
            </w:pPr>
          </w:p>
        </w:tc>
        <w:tc>
          <w:tcPr>
            <w:tcW w:w="5" w:type="pct"/>
            <w:shd w:val="clear" w:color="auto" w:fill="auto"/>
            <w:vAlign w:val="bottom"/>
          </w:tcPr>
          <w:p w14:paraId="71D432B0" w14:textId="77777777" w:rsidR="006A3667" w:rsidRDefault="006A3667">
            <w:pPr>
              <w:rPr>
                <w:rFonts w:ascii="宋体"/>
              </w:rPr>
            </w:pPr>
          </w:p>
        </w:tc>
        <w:tc>
          <w:tcPr>
            <w:tcW w:w="50" w:type="pct"/>
            <w:shd w:val="clear" w:color="auto" w:fill="auto"/>
            <w:vAlign w:val="bottom"/>
          </w:tcPr>
          <w:p w14:paraId="71D432B1" w14:textId="77777777" w:rsidR="006A3667" w:rsidRDefault="006A3667">
            <w:pPr>
              <w:rPr>
                <w:rFonts w:ascii="宋体"/>
              </w:rPr>
            </w:pPr>
          </w:p>
        </w:tc>
        <w:tc>
          <w:tcPr>
            <w:tcW w:w="529" w:type="pct"/>
            <w:shd w:val="clear" w:color="auto" w:fill="auto"/>
            <w:vAlign w:val="bottom"/>
          </w:tcPr>
          <w:p w14:paraId="71D432B2" w14:textId="77777777" w:rsidR="006A3667" w:rsidRDefault="006A3667">
            <w:pPr>
              <w:rPr>
                <w:rFonts w:ascii="宋体"/>
              </w:rPr>
            </w:pPr>
          </w:p>
        </w:tc>
        <w:tc>
          <w:tcPr>
            <w:tcW w:w="5" w:type="pct"/>
            <w:shd w:val="clear" w:color="auto" w:fill="auto"/>
            <w:vAlign w:val="bottom"/>
          </w:tcPr>
          <w:p w14:paraId="71D432B3" w14:textId="77777777" w:rsidR="006A3667" w:rsidRDefault="006A3667">
            <w:pPr>
              <w:rPr>
                <w:rFonts w:ascii="宋体"/>
              </w:rPr>
            </w:pPr>
          </w:p>
        </w:tc>
        <w:tc>
          <w:tcPr>
            <w:tcW w:w="5" w:type="pct"/>
            <w:shd w:val="clear" w:color="auto" w:fill="auto"/>
            <w:vAlign w:val="bottom"/>
          </w:tcPr>
          <w:p w14:paraId="71D432B4" w14:textId="77777777" w:rsidR="006A3667" w:rsidRDefault="006A3667">
            <w:pPr>
              <w:rPr>
                <w:rFonts w:ascii="宋体"/>
              </w:rPr>
            </w:pPr>
          </w:p>
        </w:tc>
        <w:tc>
          <w:tcPr>
            <w:tcW w:w="19" w:type="pct"/>
            <w:shd w:val="clear" w:color="auto" w:fill="auto"/>
            <w:vAlign w:val="bottom"/>
          </w:tcPr>
          <w:p w14:paraId="71D432B5" w14:textId="77777777" w:rsidR="006A3667" w:rsidRDefault="006A3667">
            <w:pPr>
              <w:rPr>
                <w:rFonts w:ascii="宋体"/>
              </w:rPr>
            </w:pPr>
          </w:p>
        </w:tc>
        <w:tc>
          <w:tcPr>
            <w:tcW w:w="5" w:type="pct"/>
            <w:shd w:val="clear" w:color="auto" w:fill="auto"/>
            <w:vAlign w:val="bottom"/>
          </w:tcPr>
          <w:p w14:paraId="71D432B6" w14:textId="77777777" w:rsidR="006A3667" w:rsidRDefault="006A3667">
            <w:pPr>
              <w:rPr>
                <w:rFonts w:ascii="宋体"/>
              </w:rPr>
            </w:pPr>
          </w:p>
        </w:tc>
        <w:tc>
          <w:tcPr>
            <w:tcW w:w="50" w:type="pct"/>
            <w:shd w:val="clear" w:color="auto" w:fill="auto"/>
            <w:vAlign w:val="bottom"/>
          </w:tcPr>
          <w:p w14:paraId="71D432B7" w14:textId="77777777" w:rsidR="006A3667" w:rsidRDefault="006A3667">
            <w:pPr>
              <w:rPr>
                <w:rFonts w:ascii="宋体"/>
              </w:rPr>
            </w:pPr>
          </w:p>
        </w:tc>
        <w:tc>
          <w:tcPr>
            <w:tcW w:w="529" w:type="pct"/>
            <w:shd w:val="clear" w:color="auto" w:fill="auto"/>
            <w:vAlign w:val="bottom"/>
          </w:tcPr>
          <w:p w14:paraId="71D432B8" w14:textId="77777777" w:rsidR="006A3667" w:rsidRDefault="006A3667">
            <w:pPr>
              <w:rPr>
                <w:rFonts w:ascii="宋体"/>
              </w:rPr>
            </w:pPr>
          </w:p>
        </w:tc>
        <w:tc>
          <w:tcPr>
            <w:tcW w:w="5" w:type="pct"/>
            <w:shd w:val="clear" w:color="auto" w:fill="auto"/>
            <w:vAlign w:val="bottom"/>
          </w:tcPr>
          <w:p w14:paraId="71D432B9" w14:textId="77777777" w:rsidR="006A3667" w:rsidRDefault="006A3667">
            <w:pPr>
              <w:rPr>
                <w:rFonts w:ascii="宋体"/>
              </w:rPr>
            </w:pPr>
          </w:p>
        </w:tc>
        <w:tc>
          <w:tcPr>
            <w:tcW w:w="5" w:type="pct"/>
            <w:shd w:val="clear" w:color="auto" w:fill="auto"/>
            <w:vAlign w:val="bottom"/>
          </w:tcPr>
          <w:p w14:paraId="71D432BA" w14:textId="77777777" w:rsidR="006A3667" w:rsidRDefault="006A3667">
            <w:pPr>
              <w:rPr>
                <w:rFonts w:ascii="宋体"/>
              </w:rPr>
            </w:pPr>
          </w:p>
        </w:tc>
        <w:tc>
          <w:tcPr>
            <w:tcW w:w="19" w:type="pct"/>
            <w:shd w:val="clear" w:color="auto" w:fill="auto"/>
            <w:vAlign w:val="bottom"/>
          </w:tcPr>
          <w:p w14:paraId="71D432BB" w14:textId="77777777" w:rsidR="006A3667" w:rsidRDefault="006A3667">
            <w:pPr>
              <w:rPr>
                <w:rFonts w:ascii="宋体"/>
              </w:rPr>
            </w:pPr>
          </w:p>
        </w:tc>
        <w:tc>
          <w:tcPr>
            <w:tcW w:w="5" w:type="pct"/>
            <w:shd w:val="clear" w:color="auto" w:fill="auto"/>
            <w:vAlign w:val="bottom"/>
          </w:tcPr>
          <w:p w14:paraId="71D432BC" w14:textId="77777777" w:rsidR="006A3667" w:rsidRDefault="006A3667">
            <w:pPr>
              <w:rPr>
                <w:rFonts w:ascii="宋体"/>
              </w:rPr>
            </w:pPr>
          </w:p>
        </w:tc>
        <w:tc>
          <w:tcPr>
            <w:tcW w:w="50" w:type="pct"/>
            <w:shd w:val="clear" w:color="auto" w:fill="auto"/>
            <w:vAlign w:val="bottom"/>
          </w:tcPr>
          <w:p w14:paraId="71D432BD" w14:textId="77777777" w:rsidR="006A3667" w:rsidRDefault="006A3667">
            <w:pPr>
              <w:rPr>
                <w:rFonts w:ascii="宋体"/>
              </w:rPr>
            </w:pPr>
          </w:p>
        </w:tc>
        <w:tc>
          <w:tcPr>
            <w:tcW w:w="317" w:type="pct"/>
            <w:shd w:val="clear" w:color="auto" w:fill="auto"/>
            <w:vAlign w:val="bottom"/>
          </w:tcPr>
          <w:p w14:paraId="71D432BE" w14:textId="77777777" w:rsidR="006A3667" w:rsidRDefault="006A3667">
            <w:pPr>
              <w:rPr>
                <w:rFonts w:ascii="宋体"/>
              </w:rPr>
            </w:pPr>
          </w:p>
        </w:tc>
        <w:tc>
          <w:tcPr>
            <w:tcW w:w="5" w:type="pct"/>
            <w:shd w:val="clear" w:color="auto" w:fill="auto"/>
            <w:vAlign w:val="bottom"/>
          </w:tcPr>
          <w:p w14:paraId="71D432BF" w14:textId="77777777" w:rsidR="006A3667" w:rsidRDefault="006A3667">
            <w:pPr>
              <w:rPr>
                <w:rFonts w:ascii="宋体"/>
              </w:rPr>
            </w:pPr>
          </w:p>
        </w:tc>
        <w:tc>
          <w:tcPr>
            <w:tcW w:w="5" w:type="pct"/>
            <w:shd w:val="clear" w:color="auto" w:fill="auto"/>
            <w:vAlign w:val="bottom"/>
          </w:tcPr>
          <w:p w14:paraId="71D432C0" w14:textId="77777777" w:rsidR="006A3667" w:rsidRDefault="006A3667">
            <w:pPr>
              <w:rPr>
                <w:rFonts w:ascii="宋体"/>
              </w:rPr>
            </w:pPr>
          </w:p>
        </w:tc>
        <w:tc>
          <w:tcPr>
            <w:tcW w:w="19" w:type="pct"/>
            <w:shd w:val="clear" w:color="auto" w:fill="auto"/>
            <w:vAlign w:val="bottom"/>
          </w:tcPr>
          <w:p w14:paraId="71D432C1" w14:textId="77777777" w:rsidR="006A3667" w:rsidRDefault="006A3667">
            <w:pPr>
              <w:rPr>
                <w:rFonts w:ascii="宋体"/>
              </w:rPr>
            </w:pPr>
          </w:p>
        </w:tc>
        <w:tc>
          <w:tcPr>
            <w:tcW w:w="5" w:type="pct"/>
            <w:shd w:val="clear" w:color="auto" w:fill="auto"/>
            <w:vAlign w:val="bottom"/>
          </w:tcPr>
          <w:p w14:paraId="71D432C2" w14:textId="77777777" w:rsidR="006A3667" w:rsidRDefault="006A3667">
            <w:pPr>
              <w:rPr>
                <w:rFonts w:ascii="宋体"/>
              </w:rPr>
            </w:pPr>
          </w:p>
        </w:tc>
        <w:tc>
          <w:tcPr>
            <w:tcW w:w="50" w:type="pct"/>
            <w:shd w:val="clear" w:color="auto" w:fill="auto"/>
            <w:vAlign w:val="bottom"/>
          </w:tcPr>
          <w:p w14:paraId="71D432C3" w14:textId="77777777" w:rsidR="006A3667" w:rsidRDefault="006A3667">
            <w:pPr>
              <w:rPr>
                <w:rFonts w:ascii="宋体"/>
              </w:rPr>
            </w:pPr>
          </w:p>
        </w:tc>
        <w:tc>
          <w:tcPr>
            <w:tcW w:w="530" w:type="pct"/>
            <w:shd w:val="clear" w:color="auto" w:fill="auto"/>
            <w:vAlign w:val="bottom"/>
          </w:tcPr>
          <w:p w14:paraId="71D432C4" w14:textId="77777777" w:rsidR="006A3667" w:rsidRDefault="006A3667">
            <w:pPr>
              <w:rPr>
                <w:rFonts w:ascii="宋体"/>
              </w:rPr>
            </w:pPr>
          </w:p>
        </w:tc>
        <w:tc>
          <w:tcPr>
            <w:tcW w:w="5" w:type="pct"/>
            <w:shd w:val="clear" w:color="auto" w:fill="auto"/>
            <w:vAlign w:val="bottom"/>
          </w:tcPr>
          <w:p w14:paraId="71D432C5" w14:textId="77777777" w:rsidR="006A3667" w:rsidRDefault="006A3667">
            <w:pPr>
              <w:rPr>
                <w:rFonts w:ascii="宋体"/>
              </w:rPr>
            </w:pPr>
          </w:p>
        </w:tc>
      </w:tr>
      <w:tr w:rsidR="006A3667" w14:paraId="71D432C9" w14:textId="77777777">
        <w:tc>
          <w:tcPr>
            <w:tcW w:w="0" w:type="auto"/>
            <w:gridSpan w:val="3"/>
            <w:shd w:val="clear" w:color="auto" w:fill="auto"/>
            <w:tcMar>
              <w:top w:w="0" w:type="dxa"/>
              <w:left w:w="20" w:type="dxa"/>
              <w:bottom w:w="0" w:type="dxa"/>
              <w:right w:w="20" w:type="dxa"/>
            </w:tcMar>
            <w:vAlign w:val="bottom"/>
          </w:tcPr>
          <w:p w14:paraId="71D432C7" w14:textId="77777777" w:rsidR="006A3667" w:rsidRDefault="006A3667">
            <w:pPr>
              <w:rPr>
                <w:rFonts w:ascii="宋体"/>
              </w:rPr>
            </w:pPr>
          </w:p>
        </w:tc>
        <w:tc>
          <w:tcPr>
            <w:tcW w:w="0" w:type="auto"/>
            <w:gridSpan w:val="27"/>
            <w:shd w:val="clear" w:color="auto" w:fill="auto"/>
            <w:tcMar>
              <w:top w:w="40" w:type="dxa"/>
              <w:left w:w="20" w:type="dxa"/>
              <w:bottom w:w="40" w:type="dxa"/>
              <w:right w:w="20" w:type="dxa"/>
            </w:tcMar>
            <w:vAlign w:val="bottom"/>
          </w:tcPr>
          <w:p w14:paraId="71D432C8" w14:textId="77777777" w:rsidR="006A3667" w:rsidRDefault="00045F32">
            <w:pPr>
              <w:jc w:val="center"/>
              <w:textAlignment w:val="bottom"/>
            </w:pPr>
            <w:r>
              <w:rPr>
                <w:rFonts w:ascii="Arial" w:eastAsia="宋体" w:hAnsi="Arial" w:cs="Arial"/>
                <w:b/>
                <w:bCs/>
                <w:color w:val="000000"/>
                <w:sz w:val="14"/>
                <w:szCs w:val="14"/>
              </w:rPr>
              <w:t>Fair Value Measurements on a Recurring Basis</w:t>
            </w:r>
          </w:p>
        </w:tc>
      </w:tr>
      <w:tr w:rsidR="006A3667" w14:paraId="71D432CC" w14:textId="77777777">
        <w:tc>
          <w:tcPr>
            <w:tcW w:w="0" w:type="auto"/>
            <w:gridSpan w:val="3"/>
            <w:shd w:val="clear" w:color="auto" w:fill="auto"/>
            <w:tcMar>
              <w:top w:w="0" w:type="dxa"/>
              <w:left w:w="20" w:type="dxa"/>
              <w:bottom w:w="0" w:type="dxa"/>
              <w:right w:w="20" w:type="dxa"/>
            </w:tcMar>
            <w:vAlign w:val="bottom"/>
          </w:tcPr>
          <w:p w14:paraId="71D432CA" w14:textId="77777777" w:rsidR="006A3667" w:rsidRDefault="006A3667">
            <w:pPr>
              <w:rPr>
                <w:rFonts w:ascii="宋体"/>
              </w:rPr>
            </w:pPr>
          </w:p>
        </w:tc>
        <w:tc>
          <w:tcPr>
            <w:tcW w:w="0" w:type="auto"/>
            <w:gridSpan w:val="27"/>
            <w:shd w:val="clear" w:color="auto" w:fill="auto"/>
            <w:tcMar>
              <w:top w:w="40" w:type="dxa"/>
              <w:left w:w="20" w:type="dxa"/>
              <w:bottom w:w="40" w:type="dxa"/>
              <w:right w:w="20" w:type="dxa"/>
            </w:tcMar>
            <w:vAlign w:val="bottom"/>
          </w:tcPr>
          <w:p w14:paraId="71D432CB" w14:textId="77777777" w:rsidR="006A3667" w:rsidRDefault="00045F32">
            <w:pPr>
              <w:jc w:val="center"/>
              <w:textAlignment w:val="bottom"/>
            </w:pPr>
            <w:r>
              <w:rPr>
                <w:rFonts w:ascii="Arial" w:eastAsia="宋体" w:hAnsi="Arial" w:cs="Arial"/>
                <w:b/>
                <w:bCs/>
                <w:color w:val="000000"/>
                <w:sz w:val="14"/>
                <w:szCs w:val="14"/>
              </w:rPr>
              <w:t>As of September 30, 2022</w:t>
            </w:r>
          </w:p>
        </w:tc>
      </w:tr>
      <w:tr w:rsidR="006A3667" w14:paraId="71D432D7" w14:textId="77777777">
        <w:tc>
          <w:tcPr>
            <w:tcW w:w="0" w:type="auto"/>
            <w:gridSpan w:val="3"/>
            <w:shd w:val="clear" w:color="auto" w:fill="auto"/>
            <w:tcMar>
              <w:top w:w="40" w:type="dxa"/>
              <w:left w:w="20" w:type="dxa"/>
              <w:bottom w:w="40" w:type="dxa"/>
              <w:right w:w="20" w:type="dxa"/>
            </w:tcMar>
            <w:vAlign w:val="bottom"/>
          </w:tcPr>
          <w:p w14:paraId="71D432CD"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2CE" w14:textId="77777777" w:rsidR="006A3667" w:rsidRDefault="00045F32">
            <w:pPr>
              <w:jc w:val="center"/>
              <w:textAlignment w:val="bottom"/>
            </w:pPr>
            <w:r>
              <w:rPr>
                <w:rFonts w:ascii="Arial" w:eastAsia="宋体" w:hAnsi="Arial" w:cs="Arial"/>
                <w:b/>
                <w:bCs/>
                <w:color w:val="000000"/>
                <w:sz w:val="14"/>
                <w:szCs w:val="14"/>
              </w:rPr>
              <w:t>Quoted Market</w:t>
            </w:r>
            <w:r>
              <w:rPr>
                <w:rFonts w:ascii="Arial" w:eastAsia="宋体" w:hAnsi="Arial" w:cs="Arial"/>
                <w:b/>
                <w:bCs/>
                <w:color w:val="000000"/>
                <w:sz w:val="14"/>
                <w:szCs w:val="14"/>
              </w:rPr>
              <w:br/>
              <w:t>Prices in Active</w:t>
            </w:r>
            <w:r>
              <w:rPr>
                <w:rFonts w:ascii="Arial" w:eastAsia="宋体" w:hAnsi="Arial" w:cs="Arial"/>
                <w:b/>
                <w:bCs/>
                <w:color w:val="000000"/>
                <w:sz w:val="14"/>
                <w:szCs w:val="14"/>
              </w:rPr>
              <w:br/>
              <w:t>Markets</w:t>
            </w:r>
            <w:r>
              <w:rPr>
                <w:rFonts w:ascii="Arial" w:eastAsia="宋体" w:hAnsi="Arial" w:cs="Arial"/>
                <w:b/>
                <w:bCs/>
                <w:color w:val="000000"/>
                <w:sz w:val="14"/>
                <w:szCs w:val="14"/>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C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2D0" w14:textId="77777777" w:rsidR="006A3667" w:rsidRDefault="00045F32">
            <w:pPr>
              <w:jc w:val="center"/>
              <w:textAlignment w:val="bottom"/>
            </w:pPr>
            <w:r>
              <w:rPr>
                <w:rFonts w:ascii="Arial" w:eastAsia="宋体" w:hAnsi="Arial" w:cs="Arial"/>
                <w:b/>
                <w:bCs/>
                <w:color w:val="000000"/>
                <w:sz w:val="14"/>
                <w:szCs w:val="14"/>
              </w:rPr>
              <w:t>Pricing Methods</w:t>
            </w:r>
            <w:r>
              <w:rPr>
                <w:rFonts w:ascii="Arial" w:eastAsia="宋体" w:hAnsi="Arial" w:cs="Arial"/>
                <w:b/>
                <w:bCs/>
                <w:color w:val="000000"/>
                <w:sz w:val="14"/>
                <w:szCs w:val="14"/>
              </w:rPr>
              <w:br/>
              <w:t>with Significant</w:t>
            </w:r>
            <w:r>
              <w:rPr>
                <w:rFonts w:ascii="Arial" w:eastAsia="宋体" w:hAnsi="Arial" w:cs="Arial"/>
                <w:b/>
                <w:bCs/>
                <w:color w:val="000000"/>
                <w:sz w:val="14"/>
                <w:szCs w:val="14"/>
              </w:rPr>
              <w:br/>
              <w:t>Observable</w:t>
            </w:r>
            <w:r>
              <w:rPr>
                <w:rFonts w:ascii="Arial" w:eastAsia="宋体" w:hAnsi="Arial" w:cs="Arial"/>
                <w:b/>
                <w:bCs/>
                <w:color w:val="000000"/>
                <w:sz w:val="14"/>
                <w:szCs w:val="14"/>
              </w:rPr>
              <w:br/>
              <w:t>Market Inputs</w:t>
            </w:r>
            <w:r>
              <w:rPr>
                <w:rFonts w:ascii="Arial" w:eastAsia="宋体" w:hAnsi="Arial" w:cs="Arial"/>
                <w:b/>
                <w:bCs/>
                <w:color w:val="000000"/>
                <w:sz w:val="14"/>
                <w:szCs w:val="14"/>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D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2D2" w14:textId="77777777" w:rsidR="006A3667" w:rsidRDefault="00045F32">
            <w:pPr>
              <w:jc w:val="center"/>
              <w:textAlignment w:val="bottom"/>
            </w:pPr>
            <w:r>
              <w:rPr>
                <w:rFonts w:ascii="Arial" w:eastAsia="宋体" w:hAnsi="Arial" w:cs="Arial"/>
                <w:b/>
                <w:bCs/>
                <w:color w:val="000000"/>
                <w:sz w:val="14"/>
                <w:szCs w:val="14"/>
              </w:rPr>
              <w:t>Pricing Methods</w:t>
            </w:r>
            <w:r>
              <w:rPr>
                <w:rFonts w:ascii="Arial" w:eastAsia="宋体" w:hAnsi="Arial" w:cs="Arial"/>
                <w:b/>
                <w:bCs/>
                <w:color w:val="000000"/>
                <w:sz w:val="14"/>
                <w:szCs w:val="14"/>
              </w:rPr>
              <w:br/>
              <w:t>with Significant</w:t>
            </w:r>
            <w:r>
              <w:rPr>
                <w:rFonts w:ascii="Arial" w:eastAsia="宋体" w:hAnsi="Arial" w:cs="Arial"/>
                <w:b/>
                <w:bCs/>
                <w:color w:val="000000"/>
                <w:sz w:val="14"/>
                <w:szCs w:val="14"/>
              </w:rPr>
              <w:br/>
              <w:t>Unobservable</w:t>
            </w:r>
            <w:r>
              <w:rPr>
                <w:rFonts w:ascii="Arial" w:eastAsia="宋体" w:hAnsi="Arial" w:cs="Arial"/>
                <w:b/>
                <w:bCs/>
                <w:color w:val="000000"/>
                <w:sz w:val="14"/>
                <w:szCs w:val="14"/>
              </w:rPr>
              <w:br/>
              <w:t>Market Inputs</w:t>
            </w:r>
            <w:r>
              <w:rPr>
                <w:rFonts w:ascii="Arial" w:eastAsia="宋体" w:hAnsi="Arial" w:cs="Arial"/>
                <w:b/>
                <w:bCs/>
                <w:color w:val="000000"/>
                <w:sz w:val="14"/>
                <w:szCs w:val="14"/>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D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2D4" w14:textId="77777777" w:rsidR="006A3667" w:rsidRDefault="00045F32">
            <w:pPr>
              <w:jc w:val="center"/>
              <w:textAlignment w:val="bottom"/>
            </w:pPr>
            <w:r>
              <w:rPr>
                <w:rFonts w:ascii="Arial" w:eastAsia="宋体" w:hAnsi="Arial" w:cs="Arial"/>
                <w:b/>
                <w:bCs/>
                <w:color w:val="000000"/>
                <w:sz w:val="14"/>
                <w:szCs w:val="14"/>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D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2D6" w14:textId="77777777" w:rsidR="006A3667" w:rsidRDefault="00045F32">
            <w:pPr>
              <w:jc w:val="center"/>
              <w:textAlignment w:val="bottom"/>
            </w:pPr>
            <w:r>
              <w:rPr>
                <w:rFonts w:ascii="Arial" w:eastAsia="宋体" w:hAnsi="Arial" w:cs="Arial"/>
                <w:b/>
                <w:bCs/>
                <w:color w:val="000000"/>
                <w:sz w:val="14"/>
                <w:szCs w:val="14"/>
              </w:rPr>
              <w:t>Total Net</w:t>
            </w:r>
            <w:r>
              <w:rPr>
                <w:rFonts w:ascii="Arial" w:eastAsia="宋体" w:hAnsi="Arial" w:cs="Arial"/>
                <w:b/>
                <w:bCs/>
                <w:color w:val="000000"/>
                <w:sz w:val="14"/>
                <w:szCs w:val="14"/>
              </w:rPr>
              <w:br/>
              <w:t>Carrying Value</w:t>
            </w:r>
            <w:r>
              <w:rPr>
                <w:rFonts w:ascii="Arial" w:eastAsia="宋体" w:hAnsi="Arial" w:cs="Arial"/>
                <w:b/>
                <w:bCs/>
                <w:color w:val="000000"/>
                <w:sz w:val="14"/>
                <w:szCs w:val="14"/>
              </w:rPr>
              <w:br/>
              <w:t>in Consolidated</w:t>
            </w:r>
            <w:r>
              <w:rPr>
                <w:rFonts w:ascii="Arial" w:eastAsia="宋体" w:hAnsi="Arial" w:cs="Arial"/>
                <w:b/>
                <w:bCs/>
                <w:color w:val="000000"/>
                <w:sz w:val="14"/>
                <w:szCs w:val="14"/>
              </w:rPr>
              <w:br/>
              <w:t>Statement of</w:t>
            </w:r>
            <w:r>
              <w:rPr>
                <w:rFonts w:ascii="Arial" w:eastAsia="宋体" w:hAnsi="Arial" w:cs="Arial"/>
                <w:b/>
                <w:bCs/>
                <w:color w:val="000000"/>
                <w:sz w:val="14"/>
                <w:szCs w:val="14"/>
              </w:rPr>
              <w:br/>
              <w:t>Condition</w:t>
            </w:r>
          </w:p>
        </w:tc>
      </w:tr>
      <w:tr w:rsidR="006A3667" w14:paraId="71D432E2" w14:textId="77777777">
        <w:tc>
          <w:tcPr>
            <w:tcW w:w="0" w:type="auto"/>
            <w:gridSpan w:val="3"/>
            <w:shd w:val="clear" w:color="auto" w:fill="auto"/>
            <w:tcMar>
              <w:top w:w="40" w:type="dxa"/>
              <w:left w:w="20" w:type="dxa"/>
              <w:bottom w:w="40" w:type="dxa"/>
              <w:right w:w="20" w:type="dxa"/>
            </w:tcMar>
            <w:vAlign w:val="bottom"/>
          </w:tcPr>
          <w:p w14:paraId="71D432D8" w14:textId="77777777" w:rsidR="006A3667" w:rsidRDefault="00045F32">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D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D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D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D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D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D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D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2E1" w14:textId="77777777" w:rsidR="006A3667" w:rsidRDefault="006A3667">
            <w:pPr>
              <w:rPr>
                <w:rFonts w:ascii="宋体"/>
              </w:rPr>
            </w:pPr>
          </w:p>
        </w:tc>
      </w:tr>
      <w:tr w:rsidR="006A3667" w14:paraId="71D432ED" w14:textId="77777777">
        <w:tc>
          <w:tcPr>
            <w:tcW w:w="0" w:type="auto"/>
            <w:gridSpan w:val="3"/>
            <w:shd w:val="clear" w:color="auto" w:fill="auto"/>
            <w:tcMar>
              <w:top w:w="40" w:type="dxa"/>
              <w:left w:w="20" w:type="dxa"/>
              <w:bottom w:w="40" w:type="dxa"/>
              <w:right w:w="20" w:type="dxa"/>
            </w:tcMar>
            <w:vAlign w:val="bottom"/>
          </w:tcPr>
          <w:p w14:paraId="71D432E3" w14:textId="77777777" w:rsidR="006A3667" w:rsidRDefault="00045F32">
            <w:pPr>
              <w:textAlignment w:val="bottom"/>
            </w:pPr>
            <w:r>
              <w:rPr>
                <w:rFonts w:ascii="Arial" w:eastAsia="宋体" w:hAnsi="Arial" w:cs="Arial"/>
                <w:color w:val="000000"/>
                <w:sz w:val="14"/>
                <w:szCs w:val="14"/>
              </w:rPr>
              <w:t>Trading account assets:</w:t>
            </w:r>
          </w:p>
        </w:tc>
        <w:tc>
          <w:tcPr>
            <w:tcW w:w="0" w:type="auto"/>
            <w:gridSpan w:val="3"/>
            <w:shd w:val="clear" w:color="auto" w:fill="auto"/>
            <w:tcMar>
              <w:top w:w="0" w:type="dxa"/>
              <w:left w:w="20" w:type="dxa"/>
              <w:bottom w:w="0" w:type="dxa"/>
              <w:right w:w="20" w:type="dxa"/>
            </w:tcMar>
            <w:vAlign w:val="bottom"/>
          </w:tcPr>
          <w:p w14:paraId="71D432E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2EC" w14:textId="77777777" w:rsidR="006A3667" w:rsidRDefault="006A3667">
            <w:pPr>
              <w:rPr>
                <w:rFonts w:ascii="宋体"/>
              </w:rPr>
            </w:pPr>
          </w:p>
        </w:tc>
      </w:tr>
      <w:tr w:rsidR="006A3667" w14:paraId="71D43300" w14:textId="77777777">
        <w:tc>
          <w:tcPr>
            <w:tcW w:w="0" w:type="auto"/>
            <w:gridSpan w:val="3"/>
            <w:shd w:val="clear" w:color="auto" w:fill="CCEEFF"/>
            <w:tcMar>
              <w:top w:w="40" w:type="dxa"/>
              <w:left w:w="245" w:type="dxa"/>
              <w:bottom w:w="40" w:type="dxa"/>
              <w:right w:w="20" w:type="dxa"/>
            </w:tcMar>
            <w:vAlign w:val="bottom"/>
          </w:tcPr>
          <w:p w14:paraId="71D432EE" w14:textId="77777777" w:rsidR="006A3667" w:rsidRDefault="00045F32">
            <w:pPr>
              <w:textAlignment w:val="bottom"/>
            </w:pPr>
            <w:r>
              <w:rPr>
                <w:rFonts w:ascii="Arial" w:eastAsia="宋体" w:hAnsi="Arial" w:cs="Arial"/>
                <w:color w:val="000000"/>
                <w:sz w:val="14"/>
                <w:szCs w:val="14"/>
              </w:rPr>
              <w:t>U.S. government securities</w:t>
            </w:r>
          </w:p>
        </w:tc>
        <w:tc>
          <w:tcPr>
            <w:tcW w:w="0" w:type="auto"/>
            <w:shd w:val="clear" w:color="auto" w:fill="CCEEFF"/>
            <w:tcMar>
              <w:top w:w="40" w:type="dxa"/>
              <w:left w:w="20" w:type="dxa"/>
              <w:bottom w:w="40" w:type="dxa"/>
              <w:right w:w="0" w:type="dxa"/>
            </w:tcMar>
            <w:vAlign w:val="bottom"/>
          </w:tcPr>
          <w:p w14:paraId="71D432EF"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2F0" w14:textId="77777777" w:rsidR="006A3667" w:rsidRDefault="00045F32">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2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2F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2F3"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2F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2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2F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2F7"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2F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2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2F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2F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2F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2FD"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2FE" w14:textId="77777777" w:rsidR="006A3667" w:rsidRDefault="00045F32">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2FF" w14:textId="77777777" w:rsidR="006A3667" w:rsidRDefault="006A3667">
            <w:pPr>
              <w:jc w:val="right"/>
              <w:rPr>
                <w:rFonts w:ascii="宋体"/>
              </w:rPr>
            </w:pPr>
          </w:p>
        </w:tc>
      </w:tr>
      <w:tr w:rsidR="006A3667" w14:paraId="71D4330F" w14:textId="77777777">
        <w:tc>
          <w:tcPr>
            <w:tcW w:w="0" w:type="auto"/>
            <w:gridSpan w:val="3"/>
            <w:shd w:val="clear" w:color="auto" w:fill="FFFFFF"/>
            <w:tcMar>
              <w:top w:w="40" w:type="dxa"/>
              <w:left w:w="245" w:type="dxa"/>
              <w:bottom w:w="40" w:type="dxa"/>
              <w:right w:w="20" w:type="dxa"/>
            </w:tcMar>
            <w:vAlign w:val="bottom"/>
          </w:tcPr>
          <w:p w14:paraId="71D43301" w14:textId="77777777" w:rsidR="006A3667" w:rsidRDefault="00045F32">
            <w:pPr>
              <w:textAlignment w:val="bottom"/>
            </w:pPr>
            <w:r>
              <w:rPr>
                <w:rFonts w:ascii="Arial" w:eastAsia="宋体" w:hAnsi="Arial" w:cs="Arial"/>
                <w:color w:val="000000"/>
                <w:sz w:val="14"/>
                <w:szCs w:val="14"/>
              </w:rPr>
              <w:t>Non-U.S. government securities</w:t>
            </w:r>
          </w:p>
        </w:tc>
        <w:tc>
          <w:tcPr>
            <w:tcW w:w="0" w:type="auto"/>
            <w:gridSpan w:val="2"/>
            <w:shd w:val="clear" w:color="auto" w:fill="FFFFFF"/>
            <w:tcMar>
              <w:top w:w="40" w:type="dxa"/>
              <w:left w:w="20" w:type="dxa"/>
              <w:bottom w:w="40" w:type="dxa"/>
              <w:right w:w="0" w:type="dxa"/>
            </w:tcMar>
            <w:vAlign w:val="bottom"/>
          </w:tcPr>
          <w:p w14:paraId="71D4330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0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05" w14:textId="77777777" w:rsidR="006A3667" w:rsidRDefault="00045F32">
            <w:pPr>
              <w:jc w:val="right"/>
              <w:textAlignment w:val="bottom"/>
            </w:pPr>
            <w:r>
              <w:rPr>
                <w:rFonts w:ascii="Arial" w:eastAsia="宋体" w:hAnsi="Arial" w:cs="Arial"/>
                <w:b/>
                <w:bCs/>
                <w:color w:val="000000"/>
                <w:sz w:val="14"/>
                <w:szCs w:val="14"/>
              </w:rPr>
              <w:t>118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0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0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0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0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0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0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0D" w14:textId="77777777" w:rsidR="006A3667" w:rsidRDefault="00045F32">
            <w:pPr>
              <w:jc w:val="right"/>
              <w:textAlignment w:val="bottom"/>
            </w:pPr>
            <w:r>
              <w:rPr>
                <w:rFonts w:ascii="Arial" w:eastAsia="宋体" w:hAnsi="Arial" w:cs="Arial"/>
                <w:b/>
                <w:bCs/>
                <w:color w:val="000000"/>
                <w:sz w:val="14"/>
                <w:szCs w:val="14"/>
              </w:rPr>
              <w:t>118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0E" w14:textId="77777777" w:rsidR="006A3667" w:rsidRDefault="006A3667">
            <w:pPr>
              <w:jc w:val="right"/>
              <w:rPr>
                <w:rFonts w:ascii="宋体"/>
              </w:rPr>
            </w:pPr>
          </w:p>
        </w:tc>
      </w:tr>
      <w:tr w:rsidR="006A3667" w14:paraId="71D4331E" w14:textId="77777777">
        <w:tc>
          <w:tcPr>
            <w:tcW w:w="0" w:type="auto"/>
            <w:gridSpan w:val="3"/>
            <w:shd w:val="clear" w:color="auto" w:fill="CCEEFF"/>
            <w:tcMar>
              <w:top w:w="40" w:type="dxa"/>
              <w:left w:w="245" w:type="dxa"/>
              <w:bottom w:w="40" w:type="dxa"/>
              <w:right w:w="20" w:type="dxa"/>
            </w:tcMar>
            <w:vAlign w:val="bottom"/>
          </w:tcPr>
          <w:p w14:paraId="71D43310"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71D4331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1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14" w14:textId="77777777" w:rsidR="006A3667" w:rsidRDefault="00045F32">
            <w:pPr>
              <w:jc w:val="right"/>
              <w:textAlignment w:val="bottom"/>
            </w:pPr>
            <w:r>
              <w:rPr>
                <w:rFonts w:ascii="Arial" w:eastAsia="宋体" w:hAnsi="Arial" w:cs="Arial"/>
                <w:b/>
                <w:bCs/>
                <w:color w:val="000000"/>
                <w:sz w:val="14"/>
                <w:szCs w:val="14"/>
              </w:rPr>
              <w:t>528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1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1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1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1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1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1C" w14:textId="77777777" w:rsidR="006A3667" w:rsidRDefault="00045F32">
            <w:pPr>
              <w:jc w:val="right"/>
              <w:textAlignment w:val="bottom"/>
            </w:pPr>
            <w:r>
              <w:rPr>
                <w:rFonts w:ascii="Arial" w:eastAsia="宋体" w:hAnsi="Arial" w:cs="Arial"/>
                <w:b/>
                <w:bCs/>
                <w:color w:val="000000"/>
                <w:sz w:val="14"/>
                <w:szCs w:val="14"/>
              </w:rPr>
              <w:t>528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1D" w14:textId="77777777" w:rsidR="006A3667" w:rsidRDefault="006A3667">
            <w:pPr>
              <w:jc w:val="right"/>
              <w:rPr>
                <w:rFonts w:ascii="宋体"/>
              </w:rPr>
            </w:pPr>
          </w:p>
        </w:tc>
      </w:tr>
      <w:tr w:rsidR="006A3667" w14:paraId="71D43329" w14:textId="77777777">
        <w:trPr>
          <w:hidden/>
        </w:trPr>
        <w:tc>
          <w:tcPr>
            <w:tcW w:w="0" w:type="auto"/>
            <w:gridSpan w:val="3"/>
            <w:shd w:val="clear" w:color="auto" w:fill="auto"/>
            <w:vAlign w:val="bottom"/>
          </w:tcPr>
          <w:p w14:paraId="71D4331F" w14:textId="77777777" w:rsidR="006A3667" w:rsidRDefault="006A3667">
            <w:pPr>
              <w:rPr>
                <w:rFonts w:ascii="宋体"/>
                <w:vanish/>
              </w:rPr>
            </w:pPr>
          </w:p>
        </w:tc>
        <w:tc>
          <w:tcPr>
            <w:tcW w:w="0" w:type="auto"/>
            <w:gridSpan w:val="3"/>
            <w:shd w:val="clear" w:color="auto" w:fill="auto"/>
            <w:vAlign w:val="bottom"/>
          </w:tcPr>
          <w:p w14:paraId="71D43320" w14:textId="77777777" w:rsidR="006A3667" w:rsidRDefault="006A3667">
            <w:pPr>
              <w:rPr>
                <w:rFonts w:ascii="宋体"/>
                <w:vanish/>
              </w:rPr>
            </w:pPr>
          </w:p>
        </w:tc>
        <w:tc>
          <w:tcPr>
            <w:tcW w:w="0" w:type="auto"/>
            <w:gridSpan w:val="3"/>
            <w:shd w:val="clear" w:color="auto" w:fill="auto"/>
            <w:vAlign w:val="bottom"/>
          </w:tcPr>
          <w:p w14:paraId="71D43321" w14:textId="77777777" w:rsidR="006A3667" w:rsidRDefault="006A3667">
            <w:pPr>
              <w:rPr>
                <w:rFonts w:ascii="宋体"/>
                <w:vanish/>
              </w:rPr>
            </w:pPr>
          </w:p>
        </w:tc>
        <w:tc>
          <w:tcPr>
            <w:tcW w:w="0" w:type="auto"/>
            <w:gridSpan w:val="3"/>
            <w:shd w:val="clear" w:color="auto" w:fill="auto"/>
            <w:vAlign w:val="bottom"/>
          </w:tcPr>
          <w:p w14:paraId="71D43322" w14:textId="77777777" w:rsidR="006A3667" w:rsidRDefault="006A3667">
            <w:pPr>
              <w:rPr>
                <w:rFonts w:ascii="宋体"/>
                <w:vanish/>
              </w:rPr>
            </w:pPr>
          </w:p>
        </w:tc>
        <w:tc>
          <w:tcPr>
            <w:tcW w:w="0" w:type="auto"/>
            <w:gridSpan w:val="3"/>
            <w:shd w:val="clear" w:color="auto" w:fill="auto"/>
            <w:vAlign w:val="bottom"/>
          </w:tcPr>
          <w:p w14:paraId="71D43323" w14:textId="77777777" w:rsidR="006A3667" w:rsidRDefault="006A3667">
            <w:pPr>
              <w:rPr>
                <w:rFonts w:ascii="宋体"/>
                <w:vanish/>
              </w:rPr>
            </w:pPr>
          </w:p>
        </w:tc>
        <w:tc>
          <w:tcPr>
            <w:tcW w:w="0" w:type="auto"/>
            <w:gridSpan w:val="3"/>
            <w:shd w:val="clear" w:color="auto" w:fill="auto"/>
            <w:vAlign w:val="bottom"/>
          </w:tcPr>
          <w:p w14:paraId="71D43324" w14:textId="77777777" w:rsidR="006A3667" w:rsidRDefault="006A3667">
            <w:pPr>
              <w:rPr>
                <w:rFonts w:ascii="宋体"/>
                <w:vanish/>
              </w:rPr>
            </w:pPr>
          </w:p>
        </w:tc>
        <w:tc>
          <w:tcPr>
            <w:tcW w:w="0" w:type="auto"/>
            <w:gridSpan w:val="3"/>
            <w:shd w:val="clear" w:color="auto" w:fill="auto"/>
            <w:vAlign w:val="bottom"/>
          </w:tcPr>
          <w:p w14:paraId="71D43325" w14:textId="77777777" w:rsidR="006A3667" w:rsidRDefault="006A3667">
            <w:pPr>
              <w:rPr>
                <w:rFonts w:ascii="宋体"/>
                <w:vanish/>
              </w:rPr>
            </w:pPr>
          </w:p>
        </w:tc>
        <w:tc>
          <w:tcPr>
            <w:tcW w:w="0" w:type="auto"/>
            <w:gridSpan w:val="3"/>
            <w:shd w:val="clear" w:color="auto" w:fill="auto"/>
            <w:vAlign w:val="bottom"/>
          </w:tcPr>
          <w:p w14:paraId="71D43326" w14:textId="77777777" w:rsidR="006A3667" w:rsidRDefault="006A3667">
            <w:pPr>
              <w:rPr>
                <w:rFonts w:ascii="宋体"/>
                <w:vanish/>
              </w:rPr>
            </w:pPr>
          </w:p>
        </w:tc>
        <w:tc>
          <w:tcPr>
            <w:tcW w:w="0" w:type="auto"/>
            <w:gridSpan w:val="3"/>
            <w:shd w:val="clear" w:color="auto" w:fill="auto"/>
            <w:vAlign w:val="bottom"/>
          </w:tcPr>
          <w:p w14:paraId="71D43327" w14:textId="77777777" w:rsidR="006A3667" w:rsidRDefault="006A3667">
            <w:pPr>
              <w:rPr>
                <w:rFonts w:ascii="宋体"/>
                <w:vanish/>
              </w:rPr>
            </w:pPr>
          </w:p>
        </w:tc>
        <w:tc>
          <w:tcPr>
            <w:tcW w:w="0" w:type="auto"/>
            <w:gridSpan w:val="3"/>
            <w:shd w:val="clear" w:color="auto" w:fill="auto"/>
            <w:vAlign w:val="bottom"/>
          </w:tcPr>
          <w:p w14:paraId="71D43328" w14:textId="77777777" w:rsidR="006A3667" w:rsidRDefault="006A3667">
            <w:pPr>
              <w:rPr>
                <w:rFonts w:ascii="宋体"/>
                <w:vanish/>
              </w:rPr>
            </w:pPr>
          </w:p>
        </w:tc>
      </w:tr>
      <w:tr w:rsidR="006A3667" w14:paraId="71D43338" w14:textId="77777777">
        <w:tc>
          <w:tcPr>
            <w:tcW w:w="0" w:type="auto"/>
            <w:gridSpan w:val="3"/>
            <w:shd w:val="clear" w:color="auto" w:fill="FFFFFF"/>
            <w:tcMar>
              <w:top w:w="40" w:type="dxa"/>
              <w:left w:w="740" w:type="dxa"/>
              <w:bottom w:w="40" w:type="dxa"/>
              <w:right w:w="20" w:type="dxa"/>
            </w:tcMar>
            <w:vAlign w:val="bottom"/>
          </w:tcPr>
          <w:p w14:paraId="71D4332A" w14:textId="77777777" w:rsidR="006A3667" w:rsidRDefault="00045F32">
            <w:pPr>
              <w:textAlignment w:val="bottom"/>
            </w:pPr>
            <w:r>
              <w:rPr>
                <w:rFonts w:ascii="Arial" w:eastAsia="宋体" w:hAnsi="Arial" w:cs="Arial"/>
                <w:color w:val="000000"/>
                <w:sz w:val="14"/>
                <w:szCs w:val="14"/>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32B" w14:textId="77777777" w:rsidR="006A3667" w:rsidRDefault="00045F32">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3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2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32E" w14:textId="77777777" w:rsidR="006A3667" w:rsidRDefault="00045F32">
            <w:pPr>
              <w:jc w:val="right"/>
              <w:textAlignment w:val="bottom"/>
            </w:pPr>
            <w:r>
              <w:rPr>
                <w:rFonts w:ascii="Arial" w:eastAsia="宋体" w:hAnsi="Arial" w:cs="Arial"/>
                <w:b/>
                <w:bCs/>
                <w:color w:val="000000"/>
                <w:sz w:val="14"/>
                <w:szCs w:val="14"/>
              </w:rPr>
              <w:t>646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3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3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33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33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3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3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3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336" w14:textId="77777777" w:rsidR="006A3667" w:rsidRDefault="00045F32">
            <w:pPr>
              <w:jc w:val="right"/>
              <w:textAlignment w:val="bottom"/>
            </w:pPr>
            <w:r>
              <w:rPr>
                <w:rFonts w:ascii="Arial" w:eastAsia="宋体" w:hAnsi="Arial" w:cs="Arial"/>
                <w:b/>
                <w:bCs/>
                <w:color w:val="000000"/>
                <w:sz w:val="14"/>
                <w:szCs w:val="14"/>
              </w:rPr>
              <w:t>685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337" w14:textId="77777777" w:rsidR="006A3667" w:rsidRDefault="006A3667">
            <w:pPr>
              <w:jc w:val="right"/>
              <w:rPr>
                <w:rFonts w:ascii="宋体"/>
              </w:rPr>
            </w:pPr>
          </w:p>
        </w:tc>
      </w:tr>
      <w:tr w:rsidR="006A3667" w14:paraId="71D43343" w14:textId="77777777">
        <w:tc>
          <w:tcPr>
            <w:tcW w:w="0" w:type="auto"/>
            <w:gridSpan w:val="3"/>
            <w:shd w:val="clear" w:color="auto" w:fill="CCEEFF"/>
            <w:tcMar>
              <w:top w:w="40" w:type="dxa"/>
              <w:left w:w="20" w:type="dxa"/>
              <w:bottom w:w="40" w:type="dxa"/>
              <w:right w:w="20" w:type="dxa"/>
            </w:tcMar>
            <w:vAlign w:val="bottom"/>
          </w:tcPr>
          <w:p w14:paraId="71D43339" w14:textId="77777777" w:rsidR="006A3667" w:rsidRDefault="00045F32">
            <w:pPr>
              <w:textAlignment w:val="bottom"/>
            </w:pPr>
            <w:r>
              <w:rPr>
                <w:rFonts w:ascii="Arial" w:eastAsia="宋体" w:hAnsi="Arial" w:cs="Arial"/>
                <w:color w:val="000000"/>
                <w:sz w:val="14"/>
                <w:szCs w:val="14"/>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33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3B"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33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3D"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33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3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4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41"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342" w14:textId="77777777" w:rsidR="006A3667" w:rsidRDefault="006A3667">
            <w:pPr>
              <w:rPr>
                <w:rFonts w:ascii="宋体"/>
              </w:rPr>
            </w:pPr>
          </w:p>
        </w:tc>
      </w:tr>
      <w:tr w:rsidR="006A3667" w14:paraId="71D4334E" w14:textId="77777777">
        <w:tc>
          <w:tcPr>
            <w:tcW w:w="0" w:type="auto"/>
            <w:gridSpan w:val="3"/>
            <w:shd w:val="clear" w:color="auto" w:fill="FFFFFF"/>
            <w:tcMar>
              <w:top w:w="40" w:type="dxa"/>
              <w:left w:w="245" w:type="dxa"/>
              <w:bottom w:w="40" w:type="dxa"/>
              <w:right w:w="20" w:type="dxa"/>
            </w:tcMar>
            <w:vAlign w:val="bottom"/>
          </w:tcPr>
          <w:p w14:paraId="71D43344" w14:textId="77777777" w:rsidR="006A3667" w:rsidRDefault="00045F32">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71D4334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4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4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4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4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4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4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4D" w14:textId="77777777" w:rsidR="006A3667" w:rsidRDefault="006A3667">
            <w:pPr>
              <w:rPr>
                <w:rFonts w:ascii="宋体"/>
              </w:rPr>
            </w:pPr>
          </w:p>
        </w:tc>
      </w:tr>
      <w:tr w:rsidR="006A3667" w14:paraId="71D4335D" w14:textId="77777777">
        <w:tc>
          <w:tcPr>
            <w:tcW w:w="0" w:type="auto"/>
            <w:gridSpan w:val="3"/>
            <w:shd w:val="clear" w:color="auto" w:fill="CCEEFF"/>
            <w:tcMar>
              <w:top w:w="40" w:type="dxa"/>
              <w:left w:w="515" w:type="dxa"/>
              <w:bottom w:w="40" w:type="dxa"/>
              <w:right w:w="20" w:type="dxa"/>
            </w:tcMar>
            <w:vAlign w:val="bottom"/>
          </w:tcPr>
          <w:p w14:paraId="71D4334F" w14:textId="77777777" w:rsidR="006A3667" w:rsidRDefault="00045F32">
            <w:pPr>
              <w:textAlignment w:val="bottom"/>
            </w:pPr>
            <w:r>
              <w:rPr>
                <w:rFonts w:ascii="Arial" w:eastAsia="宋体" w:hAnsi="Arial" w:cs="Arial"/>
                <w:color w:val="000000"/>
                <w:sz w:val="14"/>
                <w:szCs w:val="14"/>
              </w:rPr>
              <w:t>Direct obligations</w:t>
            </w:r>
          </w:p>
        </w:tc>
        <w:tc>
          <w:tcPr>
            <w:tcW w:w="0" w:type="auto"/>
            <w:gridSpan w:val="2"/>
            <w:shd w:val="clear" w:color="auto" w:fill="CCEEFF"/>
            <w:tcMar>
              <w:top w:w="40" w:type="dxa"/>
              <w:left w:w="20" w:type="dxa"/>
              <w:bottom w:w="40" w:type="dxa"/>
              <w:right w:w="0" w:type="dxa"/>
            </w:tcMar>
            <w:vAlign w:val="bottom"/>
          </w:tcPr>
          <w:p w14:paraId="71D43350" w14:textId="77777777" w:rsidR="006A3667" w:rsidRDefault="00045F32">
            <w:pPr>
              <w:jc w:val="right"/>
              <w:textAlignment w:val="bottom"/>
            </w:pPr>
            <w:r>
              <w:rPr>
                <w:rFonts w:ascii="Arial" w:eastAsia="宋体" w:hAnsi="Arial" w:cs="Arial"/>
                <w:b/>
                <w:bCs/>
                <w:color w:val="000000"/>
                <w:sz w:val="14"/>
                <w:szCs w:val="14"/>
              </w:rPr>
              <w:t>7,856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5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5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5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5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5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5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5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5B" w14:textId="77777777" w:rsidR="006A3667" w:rsidRDefault="00045F32">
            <w:pPr>
              <w:jc w:val="right"/>
              <w:textAlignment w:val="bottom"/>
            </w:pPr>
            <w:r>
              <w:rPr>
                <w:rFonts w:ascii="Arial" w:eastAsia="宋体" w:hAnsi="Arial" w:cs="Arial"/>
                <w:b/>
                <w:bCs/>
                <w:color w:val="000000"/>
                <w:sz w:val="14"/>
                <w:szCs w:val="14"/>
              </w:rPr>
              <w:t>7,856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5C" w14:textId="77777777" w:rsidR="006A3667" w:rsidRDefault="006A3667">
            <w:pPr>
              <w:jc w:val="right"/>
              <w:rPr>
                <w:rFonts w:ascii="宋体"/>
              </w:rPr>
            </w:pPr>
          </w:p>
        </w:tc>
      </w:tr>
      <w:tr w:rsidR="006A3667" w14:paraId="71D4336C" w14:textId="77777777">
        <w:tc>
          <w:tcPr>
            <w:tcW w:w="0" w:type="auto"/>
            <w:gridSpan w:val="3"/>
            <w:shd w:val="clear" w:color="auto" w:fill="FFFFFF"/>
            <w:tcMar>
              <w:top w:w="40" w:type="dxa"/>
              <w:left w:w="515" w:type="dxa"/>
              <w:bottom w:w="40" w:type="dxa"/>
              <w:right w:w="20" w:type="dxa"/>
            </w:tcMar>
            <w:vAlign w:val="bottom"/>
          </w:tcPr>
          <w:p w14:paraId="71D4335E" w14:textId="77777777" w:rsidR="006A3667" w:rsidRDefault="00045F32">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71D4335F"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6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6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62" w14:textId="77777777" w:rsidR="006A3667" w:rsidRDefault="00045F32">
            <w:pPr>
              <w:jc w:val="right"/>
              <w:textAlignment w:val="bottom"/>
            </w:pPr>
            <w:r>
              <w:rPr>
                <w:rFonts w:ascii="Arial" w:eastAsia="宋体" w:hAnsi="Arial" w:cs="Arial"/>
                <w:b/>
                <w:bCs/>
                <w:color w:val="000000"/>
                <w:sz w:val="14"/>
                <w:szCs w:val="14"/>
              </w:rPr>
              <w:t>9,403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6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6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6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6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6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6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6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6A" w14:textId="77777777" w:rsidR="006A3667" w:rsidRDefault="00045F32">
            <w:pPr>
              <w:jc w:val="right"/>
              <w:textAlignment w:val="bottom"/>
            </w:pPr>
            <w:r>
              <w:rPr>
                <w:rFonts w:ascii="Arial" w:eastAsia="宋体" w:hAnsi="Arial" w:cs="Arial"/>
                <w:b/>
                <w:bCs/>
                <w:color w:val="000000"/>
                <w:sz w:val="14"/>
                <w:szCs w:val="14"/>
              </w:rPr>
              <w:t>9,403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6B" w14:textId="77777777" w:rsidR="006A3667" w:rsidRDefault="006A3667">
            <w:pPr>
              <w:jc w:val="right"/>
              <w:rPr>
                <w:rFonts w:ascii="宋体"/>
              </w:rPr>
            </w:pPr>
          </w:p>
        </w:tc>
      </w:tr>
      <w:tr w:rsidR="006A3667" w14:paraId="71D4337B" w14:textId="77777777">
        <w:tc>
          <w:tcPr>
            <w:tcW w:w="0" w:type="auto"/>
            <w:gridSpan w:val="3"/>
            <w:shd w:val="clear" w:color="auto" w:fill="CCEEFF"/>
            <w:tcMar>
              <w:top w:w="40" w:type="dxa"/>
              <w:left w:w="740" w:type="dxa"/>
              <w:bottom w:w="40" w:type="dxa"/>
              <w:right w:w="20" w:type="dxa"/>
            </w:tcMar>
            <w:vAlign w:val="bottom"/>
          </w:tcPr>
          <w:p w14:paraId="71D4336D" w14:textId="77777777" w:rsidR="006A3667" w:rsidRDefault="00045F32">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36E" w14:textId="77777777" w:rsidR="006A3667" w:rsidRDefault="00045F32">
            <w:pPr>
              <w:jc w:val="right"/>
              <w:textAlignment w:val="bottom"/>
            </w:pPr>
            <w:r>
              <w:rPr>
                <w:rFonts w:ascii="Arial" w:eastAsia="宋体" w:hAnsi="Arial" w:cs="Arial"/>
                <w:b/>
                <w:bCs/>
                <w:color w:val="000000"/>
                <w:sz w:val="14"/>
                <w:szCs w:val="14"/>
              </w:rPr>
              <w:t>7,856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3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7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371" w14:textId="77777777" w:rsidR="006A3667" w:rsidRDefault="00045F32">
            <w:pPr>
              <w:jc w:val="right"/>
              <w:textAlignment w:val="bottom"/>
            </w:pPr>
            <w:r>
              <w:rPr>
                <w:rFonts w:ascii="Arial" w:eastAsia="宋体" w:hAnsi="Arial" w:cs="Arial"/>
                <w:b/>
                <w:bCs/>
                <w:color w:val="000000"/>
                <w:sz w:val="14"/>
                <w:szCs w:val="14"/>
              </w:rPr>
              <w:t>9,403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3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7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37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3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7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7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7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379" w14:textId="77777777" w:rsidR="006A3667" w:rsidRDefault="00045F32">
            <w:pPr>
              <w:jc w:val="right"/>
              <w:textAlignment w:val="bottom"/>
            </w:pPr>
            <w:r>
              <w:rPr>
                <w:rFonts w:ascii="Arial" w:eastAsia="宋体" w:hAnsi="Arial" w:cs="Arial"/>
                <w:b/>
                <w:bCs/>
                <w:color w:val="000000"/>
                <w:sz w:val="14"/>
                <w:szCs w:val="14"/>
              </w:rPr>
              <w:t>17,259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37A" w14:textId="77777777" w:rsidR="006A3667" w:rsidRDefault="006A3667">
            <w:pPr>
              <w:jc w:val="right"/>
              <w:rPr>
                <w:rFonts w:ascii="宋体"/>
              </w:rPr>
            </w:pPr>
          </w:p>
        </w:tc>
      </w:tr>
      <w:tr w:rsidR="006A3667" w14:paraId="71D43386" w14:textId="77777777">
        <w:tc>
          <w:tcPr>
            <w:tcW w:w="0" w:type="auto"/>
            <w:gridSpan w:val="3"/>
            <w:shd w:val="clear" w:color="auto" w:fill="FFFFFF"/>
            <w:tcMar>
              <w:top w:w="40" w:type="dxa"/>
              <w:left w:w="245" w:type="dxa"/>
              <w:bottom w:w="40" w:type="dxa"/>
              <w:right w:w="20" w:type="dxa"/>
            </w:tcMar>
            <w:vAlign w:val="bottom"/>
          </w:tcPr>
          <w:p w14:paraId="71D4337C" w14:textId="77777777" w:rsidR="006A3667" w:rsidRDefault="00045F32">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71D4337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7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7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8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8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8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8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8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85" w14:textId="77777777" w:rsidR="006A3667" w:rsidRDefault="006A3667">
            <w:pPr>
              <w:rPr>
                <w:rFonts w:ascii="宋体"/>
              </w:rPr>
            </w:pPr>
          </w:p>
        </w:tc>
      </w:tr>
      <w:tr w:rsidR="006A3667" w14:paraId="71D43395" w14:textId="77777777">
        <w:tc>
          <w:tcPr>
            <w:tcW w:w="0" w:type="auto"/>
            <w:gridSpan w:val="3"/>
            <w:shd w:val="clear" w:color="auto" w:fill="CCEEFF"/>
            <w:tcMar>
              <w:top w:w="40" w:type="dxa"/>
              <w:left w:w="515" w:type="dxa"/>
              <w:bottom w:w="40" w:type="dxa"/>
              <w:right w:w="20" w:type="dxa"/>
            </w:tcMar>
            <w:vAlign w:val="bottom"/>
          </w:tcPr>
          <w:p w14:paraId="71D43387" w14:textId="77777777" w:rsidR="006A3667" w:rsidRDefault="00045F32">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71D4338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8B" w14:textId="77777777" w:rsidR="006A3667" w:rsidRDefault="00045F32">
            <w:pPr>
              <w:jc w:val="right"/>
              <w:textAlignment w:val="bottom"/>
            </w:pPr>
            <w:r>
              <w:rPr>
                <w:rFonts w:ascii="Arial" w:eastAsia="宋体" w:hAnsi="Arial" w:cs="Arial"/>
                <w:b/>
                <w:bCs/>
                <w:color w:val="000000"/>
                <w:sz w:val="14"/>
                <w:szCs w:val="14"/>
              </w:rPr>
              <w:t>1,662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8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9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9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9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93" w14:textId="77777777" w:rsidR="006A3667" w:rsidRDefault="00045F32">
            <w:pPr>
              <w:jc w:val="right"/>
              <w:textAlignment w:val="bottom"/>
            </w:pPr>
            <w:r>
              <w:rPr>
                <w:rFonts w:ascii="Arial" w:eastAsia="宋体" w:hAnsi="Arial" w:cs="Arial"/>
                <w:b/>
                <w:bCs/>
                <w:color w:val="000000"/>
                <w:sz w:val="14"/>
                <w:szCs w:val="14"/>
              </w:rPr>
              <w:t>1,662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94" w14:textId="77777777" w:rsidR="006A3667" w:rsidRDefault="006A3667">
            <w:pPr>
              <w:jc w:val="right"/>
              <w:rPr>
                <w:rFonts w:ascii="宋体"/>
              </w:rPr>
            </w:pPr>
          </w:p>
        </w:tc>
      </w:tr>
      <w:tr w:rsidR="006A3667" w14:paraId="71D433A4" w14:textId="77777777">
        <w:tc>
          <w:tcPr>
            <w:tcW w:w="0" w:type="auto"/>
            <w:gridSpan w:val="3"/>
            <w:shd w:val="clear" w:color="auto" w:fill="FFFFFF"/>
            <w:tcMar>
              <w:top w:w="40" w:type="dxa"/>
              <w:left w:w="515" w:type="dxa"/>
              <w:bottom w:w="40" w:type="dxa"/>
              <w:right w:w="20" w:type="dxa"/>
            </w:tcMar>
            <w:vAlign w:val="bottom"/>
          </w:tcPr>
          <w:p w14:paraId="71D43396"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71D4339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9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9A" w14:textId="77777777" w:rsidR="006A3667" w:rsidRDefault="00045F32">
            <w:pPr>
              <w:jc w:val="right"/>
              <w:textAlignment w:val="bottom"/>
            </w:pPr>
            <w:r>
              <w:rPr>
                <w:rFonts w:ascii="Arial" w:eastAsia="宋体" w:hAnsi="Arial" w:cs="Arial"/>
                <w:b/>
                <w:bCs/>
                <w:color w:val="000000"/>
                <w:sz w:val="14"/>
                <w:szCs w:val="14"/>
              </w:rPr>
              <w:t>1,640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9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9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9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9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A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A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A2" w14:textId="77777777" w:rsidR="006A3667" w:rsidRDefault="00045F32">
            <w:pPr>
              <w:jc w:val="right"/>
              <w:textAlignment w:val="bottom"/>
            </w:pPr>
            <w:r>
              <w:rPr>
                <w:rFonts w:ascii="Arial" w:eastAsia="宋体" w:hAnsi="Arial" w:cs="Arial"/>
                <w:b/>
                <w:bCs/>
                <w:color w:val="000000"/>
                <w:sz w:val="14"/>
                <w:szCs w:val="14"/>
              </w:rPr>
              <w:t>1,640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A3" w14:textId="77777777" w:rsidR="006A3667" w:rsidRDefault="006A3667">
            <w:pPr>
              <w:jc w:val="right"/>
              <w:rPr>
                <w:rFonts w:ascii="宋体"/>
              </w:rPr>
            </w:pPr>
          </w:p>
        </w:tc>
      </w:tr>
      <w:tr w:rsidR="006A3667" w14:paraId="71D433B3" w14:textId="77777777">
        <w:tc>
          <w:tcPr>
            <w:tcW w:w="0" w:type="auto"/>
            <w:gridSpan w:val="3"/>
            <w:shd w:val="clear" w:color="auto" w:fill="CCEEFF"/>
            <w:tcMar>
              <w:top w:w="40" w:type="dxa"/>
              <w:left w:w="515" w:type="dxa"/>
              <w:bottom w:w="40" w:type="dxa"/>
              <w:right w:w="20" w:type="dxa"/>
            </w:tcMar>
            <w:vAlign w:val="bottom"/>
          </w:tcPr>
          <w:p w14:paraId="71D433A5" w14:textId="77777777" w:rsidR="006A3667" w:rsidRDefault="00045F32">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33A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A9" w14:textId="77777777" w:rsidR="006A3667" w:rsidRDefault="00045F32">
            <w:pPr>
              <w:jc w:val="right"/>
              <w:textAlignment w:val="bottom"/>
            </w:pPr>
            <w:r>
              <w:rPr>
                <w:rFonts w:ascii="Arial" w:eastAsia="宋体" w:hAnsi="Arial" w:cs="Arial"/>
                <w:b/>
                <w:bCs/>
                <w:color w:val="000000"/>
                <w:sz w:val="14"/>
                <w:szCs w:val="14"/>
              </w:rPr>
              <w:t>13,674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A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A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A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A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B1" w14:textId="77777777" w:rsidR="006A3667" w:rsidRDefault="00045F32">
            <w:pPr>
              <w:jc w:val="right"/>
              <w:textAlignment w:val="bottom"/>
            </w:pPr>
            <w:r>
              <w:rPr>
                <w:rFonts w:ascii="Arial" w:eastAsia="宋体" w:hAnsi="Arial" w:cs="Arial"/>
                <w:b/>
                <w:bCs/>
                <w:color w:val="000000"/>
                <w:sz w:val="14"/>
                <w:szCs w:val="14"/>
              </w:rPr>
              <w:t>13,674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B2" w14:textId="77777777" w:rsidR="006A3667" w:rsidRDefault="006A3667">
            <w:pPr>
              <w:jc w:val="right"/>
              <w:rPr>
                <w:rFonts w:ascii="宋体"/>
              </w:rPr>
            </w:pPr>
          </w:p>
        </w:tc>
      </w:tr>
      <w:tr w:rsidR="006A3667" w14:paraId="71D433C2" w14:textId="77777777">
        <w:tc>
          <w:tcPr>
            <w:tcW w:w="0" w:type="auto"/>
            <w:gridSpan w:val="3"/>
            <w:shd w:val="clear" w:color="auto" w:fill="FFFFFF"/>
            <w:tcMar>
              <w:top w:w="40" w:type="dxa"/>
              <w:left w:w="515" w:type="dxa"/>
              <w:bottom w:w="40" w:type="dxa"/>
              <w:right w:w="20" w:type="dxa"/>
            </w:tcMar>
            <w:vAlign w:val="bottom"/>
          </w:tcPr>
          <w:p w14:paraId="71D433B4"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33B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B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B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B8" w14:textId="77777777" w:rsidR="006A3667" w:rsidRDefault="00045F32">
            <w:pPr>
              <w:jc w:val="right"/>
              <w:textAlignment w:val="bottom"/>
            </w:pPr>
            <w:r>
              <w:rPr>
                <w:rFonts w:ascii="Arial" w:eastAsia="宋体" w:hAnsi="Arial" w:cs="Arial"/>
                <w:b/>
                <w:bCs/>
                <w:color w:val="000000"/>
                <w:sz w:val="14"/>
                <w:szCs w:val="14"/>
              </w:rPr>
              <w:t>2,084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B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B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B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B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3B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B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3C0" w14:textId="77777777" w:rsidR="006A3667" w:rsidRDefault="00045F32">
            <w:pPr>
              <w:jc w:val="right"/>
              <w:textAlignment w:val="bottom"/>
            </w:pPr>
            <w:r>
              <w:rPr>
                <w:rFonts w:ascii="Arial" w:eastAsia="宋体" w:hAnsi="Arial" w:cs="Arial"/>
                <w:b/>
                <w:bCs/>
                <w:color w:val="000000"/>
                <w:sz w:val="14"/>
                <w:szCs w:val="14"/>
              </w:rPr>
              <w:t>2,084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3C1" w14:textId="77777777" w:rsidR="006A3667" w:rsidRDefault="006A3667">
            <w:pPr>
              <w:jc w:val="right"/>
              <w:rPr>
                <w:rFonts w:ascii="宋体"/>
              </w:rPr>
            </w:pPr>
          </w:p>
        </w:tc>
      </w:tr>
      <w:tr w:rsidR="006A3667" w14:paraId="71D433D1" w14:textId="77777777">
        <w:tc>
          <w:tcPr>
            <w:tcW w:w="0" w:type="auto"/>
            <w:gridSpan w:val="3"/>
            <w:shd w:val="clear" w:color="auto" w:fill="CCEEFF"/>
            <w:tcMar>
              <w:top w:w="40" w:type="dxa"/>
              <w:left w:w="740" w:type="dxa"/>
              <w:bottom w:w="40" w:type="dxa"/>
              <w:right w:w="20" w:type="dxa"/>
            </w:tcMar>
            <w:vAlign w:val="bottom"/>
          </w:tcPr>
          <w:p w14:paraId="71D433C3" w14:textId="77777777" w:rsidR="006A3667" w:rsidRDefault="00045F32">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3C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3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C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3C7" w14:textId="77777777" w:rsidR="006A3667" w:rsidRDefault="00045F32">
            <w:pPr>
              <w:jc w:val="right"/>
              <w:textAlignment w:val="bottom"/>
            </w:pPr>
            <w:r>
              <w:rPr>
                <w:rFonts w:ascii="Arial" w:eastAsia="宋体" w:hAnsi="Arial" w:cs="Arial"/>
                <w:b/>
                <w:bCs/>
                <w:color w:val="000000"/>
                <w:sz w:val="14"/>
                <w:szCs w:val="14"/>
              </w:rPr>
              <w:t>19,060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3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C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3C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3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C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C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C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3CF" w14:textId="77777777" w:rsidR="006A3667" w:rsidRDefault="00045F32">
            <w:pPr>
              <w:jc w:val="right"/>
              <w:textAlignment w:val="bottom"/>
            </w:pPr>
            <w:r>
              <w:rPr>
                <w:rFonts w:ascii="Arial" w:eastAsia="宋体" w:hAnsi="Arial" w:cs="Arial"/>
                <w:b/>
                <w:bCs/>
                <w:color w:val="000000"/>
                <w:sz w:val="14"/>
                <w:szCs w:val="14"/>
              </w:rPr>
              <w:t>19,060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3D0" w14:textId="77777777" w:rsidR="006A3667" w:rsidRDefault="006A3667">
            <w:pPr>
              <w:jc w:val="right"/>
              <w:rPr>
                <w:rFonts w:ascii="宋体"/>
              </w:rPr>
            </w:pPr>
          </w:p>
        </w:tc>
      </w:tr>
      <w:tr w:rsidR="006A3667" w14:paraId="71D433DC" w14:textId="77777777">
        <w:tc>
          <w:tcPr>
            <w:tcW w:w="0" w:type="auto"/>
            <w:gridSpan w:val="3"/>
            <w:shd w:val="clear" w:color="auto" w:fill="FFFFFF"/>
            <w:tcMar>
              <w:top w:w="40" w:type="dxa"/>
              <w:left w:w="245" w:type="dxa"/>
              <w:bottom w:w="40" w:type="dxa"/>
              <w:right w:w="20" w:type="dxa"/>
            </w:tcMar>
            <w:vAlign w:val="bottom"/>
          </w:tcPr>
          <w:p w14:paraId="71D433D2"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33D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D4"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33D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D6"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33D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D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D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3DA"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33DB" w14:textId="77777777" w:rsidR="006A3667" w:rsidRDefault="006A3667">
            <w:pPr>
              <w:rPr>
                <w:rFonts w:ascii="宋体"/>
              </w:rPr>
            </w:pPr>
          </w:p>
        </w:tc>
      </w:tr>
      <w:tr w:rsidR="006A3667" w14:paraId="71D433EB" w14:textId="77777777">
        <w:tc>
          <w:tcPr>
            <w:tcW w:w="0" w:type="auto"/>
            <w:gridSpan w:val="3"/>
            <w:shd w:val="clear" w:color="auto" w:fill="CCEEFF"/>
            <w:tcMar>
              <w:top w:w="40" w:type="dxa"/>
              <w:left w:w="515" w:type="dxa"/>
              <w:bottom w:w="40" w:type="dxa"/>
              <w:right w:w="20" w:type="dxa"/>
            </w:tcMar>
            <w:vAlign w:val="bottom"/>
          </w:tcPr>
          <w:p w14:paraId="71D433DD" w14:textId="77777777" w:rsidR="006A3667" w:rsidRDefault="00045F32">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71D433D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E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E1" w14:textId="77777777" w:rsidR="006A3667" w:rsidRDefault="00045F32">
            <w:pPr>
              <w:jc w:val="right"/>
              <w:textAlignment w:val="bottom"/>
            </w:pPr>
            <w:r>
              <w:rPr>
                <w:rFonts w:ascii="Arial" w:eastAsia="宋体" w:hAnsi="Arial" w:cs="Arial"/>
                <w:b/>
                <w:bCs/>
                <w:color w:val="000000"/>
                <w:sz w:val="14"/>
                <w:szCs w:val="14"/>
              </w:rPr>
              <w:t>133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E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E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3E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E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3E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3E9" w14:textId="77777777" w:rsidR="006A3667" w:rsidRDefault="00045F32">
            <w:pPr>
              <w:jc w:val="right"/>
              <w:textAlignment w:val="bottom"/>
            </w:pPr>
            <w:r>
              <w:rPr>
                <w:rFonts w:ascii="Arial" w:eastAsia="宋体" w:hAnsi="Arial" w:cs="Arial"/>
                <w:b/>
                <w:bCs/>
                <w:color w:val="000000"/>
                <w:sz w:val="14"/>
                <w:szCs w:val="14"/>
              </w:rPr>
              <w:t>133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3EA" w14:textId="77777777" w:rsidR="006A3667" w:rsidRDefault="006A3667">
            <w:pPr>
              <w:jc w:val="right"/>
              <w:rPr>
                <w:rFonts w:ascii="宋体"/>
              </w:rPr>
            </w:pPr>
          </w:p>
        </w:tc>
      </w:tr>
      <w:tr w:rsidR="006A3667" w14:paraId="71D433F6" w14:textId="77777777">
        <w:trPr>
          <w:hidden/>
        </w:trPr>
        <w:tc>
          <w:tcPr>
            <w:tcW w:w="0" w:type="auto"/>
            <w:gridSpan w:val="3"/>
            <w:shd w:val="clear" w:color="auto" w:fill="auto"/>
            <w:vAlign w:val="bottom"/>
          </w:tcPr>
          <w:p w14:paraId="71D433EC" w14:textId="77777777" w:rsidR="006A3667" w:rsidRDefault="006A3667">
            <w:pPr>
              <w:rPr>
                <w:rFonts w:ascii="宋体"/>
                <w:vanish/>
              </w:rPr>
            </w:pPr>
          </w:p>
        </w:tc>
        <w:tc>
          <w:tcPr>
            <w:tcW w:w="0" w:type="auto"/>
            <w:gridSpan w:val="3"/>
            <w:shd w:val="clear" w:color="auto" w:fill="auto"/>
            <w:vAlign w:val="bottom"/>
          </w:tcPr>
          <w:p w14:paraId="71D433ED" w14:textId="77777777" w:rsidR="006A3667" w:rsidRDefault="006A3667">
            <w:pPr>
              <w:rPr>
                <w:rFonts w:ascii="宋体"/>
                <w:vanish/>
              </w:rPr>
            </w:pPr>
          </w:p>
        </w:tc>
        <w:tc>
          <w:tcPr>
            <w:tcW w:w="0" w:type="auto"/>
            <w:gridSpan w:val="3"/>
            <w:shd w:val="clear" w:color="auto" w:fill="auto"/>
            <w:vAlign w:val="bottom"/>
          </w:tcPr>
          <w:p w14:paraId="71D433EE" w14:textId="77777777" w:rsidR="006A3667" w:rsidRDefault="006A3667">
            <w:pPr>
              <w:rPr>
                <w:rFonts w:ascii="宋体"/>
                <w:vanish/>
              </w:rPr>
            </w:pPr>
          </w:p>
        </w:tc>
        <w:tc>
          <w:tcPr>
            <w:tcW w:w="0" w:type="auto"/>
            <w:gridSpan w:val="3"/>
            <w:shd w:val="clear" w:color="auto" w:fill="auto"/>
            <w:vAlign w:val="bottom"/>
          </w:tcPr>
          <w:p w14:paraId="71D433EF" w14:textId="77777777" w:rsidR="006A3667" w:rsidRDefault="006A3667">
            <w:pPr>
              <w:rPr>
                <w:rFonts w:ascii="宋体"/>
                <w:vanish/>
              </w:rPr>
            </w:pPr>
          </w:p>
        </w:tc>
        <w:tc>
          <w:tcPr>
            <w:tcW w:w="0" w:type="auto"/>
            <w:gridSpan w:val="3"/>
            <w:shd w:val="clear" w:color="auto" w:fill="auto"/>
            <w:vAlign w:val="bottom"/>
          </w:tcPr>
          <w:p w14:paraId="71D433F0" w14:textId="77777777" w:rsidR="006A3667" w:rsidRDefault="006A3667">
            <w:pPr>
              <w:rPr>
                <w:rFonts w:ascii="宋体"/>
                <w:vanish/>
              </w:rPr>
            </w:pPr>
          </w:p>
        </w:tc>
        <w:tc>
          <w:tcPr>
            <w:tcW w:w="0" w:type="auto"/>
            <w:gridSpan w:val="3"/>
            <w:shd w:val="clear" w:color="auto" w:fill="auto"/>
            <w:vAlign w:val="bottom"/>
          </w:tcPr>
          <w:p w14:paraId="71D433F1" w14:textId="77777777" w:rsidR="006A3667" w:rsidRDefault="006A3667">
            <w:pPr>
              <w:rPr>
                <w:rFonts w:ascii="宋体"/>
                <w:vanish/>
              </w:rPr>
            </w:pPr>
          </w:p>
        </w:tc>
        <w:tc>
          <w:tcPr>
            <w:tcW w:w="0" w:type="auto"/>
            <w:gridSpan w:val="3"/>
            <w:shd w:val="clear" w:color="auto" w:fill="auto"/>
            <w:vAlign w:val="bottom"/>
          </w:tcPr>
          <w:p w14:paraId="71D433F2" w14:textId="77777777" w:rsidR="006A3667" w:rsidRDefault="006A3667">
            <w:pPr>
              <w:rPr>
                <w:rFonts w:ascii="宋体"/>
                <w:vanish/>
              </w:rPr>
            </w:pPr>
          </w:p>
        </w:tc>
        <w:tc>
          <w:tcPr>
            <w:tcW w:w="0" w:type="auto"/>
            <w:gridSpan w:val="3"/>
            <w:shd w:val="clear" w:color="auto" w:fill="auto"/>
            <w:vAlign w:val="bottom"/>
          </w:tcPr>
          <w:p w14:paraId="71D433F3" w14:textId="77777777" w:rsidR="006A3667" w:rsidRDefault="006A3667">
            <w:pPr>
              <w:rPr>
                <w:rFonts w:ascii="宋体"/>
                <w:vanish/>
              </w:rPr>
            </w:pPr>
          </w:p>
        </w:tc>
        <w:tc>
          <w:tcPr>
            <w:tcW w:w="0" w:type="auto"/>
            <w:gridSpan w:val="3"/>
            <w:shd w:val="clear" w:color="auto" w:fill="auto"/>
            <w:vAlign w:val="bottom"/>
          </w:tcPr>
          <w:p w14:paraId="71D433F4" w14:textId="77777777" w:rsidR="006A3667" w:rsidRDefault="006A3667">
            <w:pPr>
              <w:rPr>
                <w:rFonts w:ascii="宋体"/>
                <w:vanish/>
              </w:rPr>
            </w:pPr>
          </w:p>
        </w:tc>
        <w:tc>
          <w:tcPr>
            <w:tcW w:w="0" w:type="auto"/>
            <w:gridSpan w:val="3"/>
            <w:shd w:val="clear" w:color="auto" w:fill="auto"/>
            <w:vAlign w:val="bottom"/>
          </w:tcPr>
          <w:p w14:paraId="71D433F5" w14:textId="77777777" w:rsidR="006A3667" w:rsidRDefault="006A3667">
            <w:pPr>
              <w:rPr>
                <w:rFonts w:ascii="宋体"/>
                <w:vanish/>
              </w:rPr>
            </w:pPr>
          </w:p>
        </w:tc>
      </w:tr>
      <w:tr w:rsidR="006A3667" w14:paraId="71D43401" w14:textId="77777777">
        <w:trPr>
          <w:hidden/>
        </w:trPr>
        <w:tc>
          <w:tcPr>
            <w:tcW w:w="0" w:type="auto"/>
            <w:gridSpan w:val="3"/>
            <w:shd w:val="clear" w:color="auto" w:fill="auto"/>
            <w:vAlign w:val="bottom"/>
          </w:tcPr>
          <w:p w14:paraId="71D433F7" w14:textId="77777777" w:rsidR="006A3667" w:rsidRDefault="006A3667">
            <w:pPr>
              <w:rPr>
                <w:rFonts w:ascii="宋体"/>
                <w:vanish/>
              </w:rPr>
            </w:pPr>
          </w:p>
        </w:tc>
        <w:tc>
          <w:tcPr>
            <w:tcW w:w="0" w:type="auto"/>
            <w:gridSpan w:val="3"/>
            <w:shd w:val="clear" w:color="auto" w:fill="auto"/>
            <w:vAlign w:val="bottom"/>
          </w:tcPr>
          <w:p w14:paraId="71D433F8" w14:textId="77777777" w:rsidR="006A3667" w:rsidRDefault="006A3667">
            <w:pPr>
              <w:rPr>
                <w:rFonts w:ascii="宋体"/>
                <w:vanish/>
              </w:rPr>
            </w:pPr>
          </w:p>
        </w:tc>
        <w:tc>
          <w:tcPr>
            <w:tcW w:w="0" w:type="auto"/>
            <w:gridSpan w:val="3"/>
            <w:shd w:val="clear" w:color="auto" w:fill="auto"/>
            <w:vAlign w:val="bottom"/>
          </w:tcPr>
          <w:p w14:paraId="71D433F9" w14:textId="77777777" w:rsidR="006A3667" w:rsidRDefault="006A3667">
            <w:pPr>
              <w:rPr>
                <w:rFonts w:ascii="宋体"/>
                <w:vanish/>
              </w:rPr>
            </w:pPr>
          </w:p>
        </w:tc>
        <w:tc>
          <w:tcPr>
            <w:tcW w:w="0" w:type="auto"/>
            <w:gridSpan w:val="3"/>
            <w:shd w:val="clear" w:color="auto" w:fill="auto"/>
            <w:vAlign w:val="bottom"/>
          </w:tcPr>
          <w:p w14:paraId="71D433FA" w14:textId="77777777" w:rsidR="006A3667" w:rsidRDefault="006A3667">
            <w:pPr>
              <w:rPr>
                <w:rFonts w:ascii="宋体"/>
                <w:vanish/>
              </w:rPr>
            </w:pPr>
          </w:p>
        </w:tc>
        <w:tc>
          <w:tcPr>
            <w:tcW w:w="0" w:type="auto"/>
            <w:gridSpan w:val="3"/>
            <w:shd w:val="clear" w:color="auto" w:fill="auto"/>
            <w:vAlign w:val="bottom"/>
          </w:tcPr>
          <w:p w14:paraId="71D433FB" w14:textId="77777777" w:rsidR="006A3667" w:rsidRDefault="006A3667">
            <w:pPr>
              <w:rPr>
                <w:rFonts w:ascii="宋体"/>
                <w:vanish/>
              </w:rPr>
            </w:pPr>
          </w:p>
        </w:tc>
        <w:tc>
          <w:tcPr>
            <w:tcW w:w="0" w:type="auto"/>
            <w:gridSpan w:val="3"/>
            <w:shd w:val="clear" w:color="auto" w:fill="auto"/>
            <w:vAlign w:val="bottom"/>
          </w:tcPr>
          <w:p w14:paraId="71D433FC" w14:textId="77777777" w:rsidR="006A3667" w:rsidRDefault="006A3667">
            <w:pPr>
              <w:rPr>
                <w:rFonts w:ascii="宋体"/>
                <w:vanish/>
              </w:rPr>
            </w:pPr>
          </w:p>
        </w:tc>
        <w:tc>
          <w:tcPr>
            <w:tcW w:w="0" w:type="auto"/>
            <w:gridSpan w:val="3"/>
            <w:shd w:val="clear" w:color="auto" w:fill="auto"/>
            <w:vAlign w:val="bottom"/>
          </w:tcPr>
          <w:p w14:paraId="71D433FD" w14:textId="77777777" w:rsidR="006A3667" w:rsidRDefault="006A3667">
            <w:pPr>
              <w:rPr>
                <w:rFonts w:ascii="宋体"/>
                <w:vanish/>
              </w:rPr>
            </w:pPr>
          </w:p>
        </w:tc>
        <w:tc>
          <w:tcPr>
            <w:tcW w:w="0" w:type="auto"/>
            <w:gridSpan w:val="3"/>
            <w:shd w:val="clear" w:color="auto" w:fill="auto"/>
            <w:vAlign w:val="bottom"/>
          </w:tcPr>
          <w:p w14:paraId="71D433FE" w14:textId="77777777" w:rsidR="006A3667" w:rsidRDefault="006A3667">
            <w:pPr>
              <w:rPr>
                <w:rFonts w:ascii="宋体"/>
                <w:vanish/>
              </w:rPr>
            </w:pPr>
          </w:p>
        </w:tc>
        <w:tc>
          <w:tcPr>
            <w:tcW w:w="0" w:type="auto"/>
            <w:gridSpan w:val="3"/>
            <w:shd w:val="clear" w:color="auto" w:fill="auto"/>
            <w:vAlign w:val="bottom"/>
          </w:tcPr>
          <w:p w14:paraId="71D433FF" w14:textId="77777777" w:rsidR="006A3667" w:rsidRDefault="006A3667">
            <w:pPr>
              <w:rPr>
                <w:rFonts w:ascii="宋体"/>
                <w:vanish/>
              </w:rPr>
            </w:pPr>
          </w:p>
        </w:tc>
        <w:tc>
          <w:tcPr>
            <w:tcW w:w="0" w:type="auto"/>
            <w:gridSpan w:val="3"/>
            <w:shd w:val="clear" w:color="auto" w:fill="auto"/>
            <w:vAlign w:val="bottom"/>
          </w:tcPr>
          <w:p w14:paraId="71D43400" w14:textId="77777777" w:rsidR="006A3667" w:rsidRDefault="006A3667">
            <w:pPr>
              <w:rPr>
                <w:rFonts w:ascii="宋体"/>
                <w:vanish/>
              </w:rPr>
            </w:pPr>
          </w:p>
        </w:tc>
      </w:tr>
      <w:tr w:rsidR="006A3667" w14:paraId="71D4340C" w14:textId="77777777">
        <w:trPr>
          <w:hidden/>
        </w:trPr>
        <w:tc>
          <w:tcPr>
            <w:tcW w:w="0" w:type="auto"/>
            <w:gridSpan w:val="3"/>
            <w:shd w:val="clear" w:color="auto" w:fill="auto"/>
            <w:vAlign w:val="bottom"/>
          </w:tcPr>
          <w:p w14:paraId="71D43402" w14:textId="77777777" w:rsidR="006A3667" w:rsidRDefault="006A3667">
            <w:pPr>
              <w:rPr>
                <w:rFonts w:ascii="宋体"/>
                <w:vanish/>
              </w:rPr>
            </w:pPr>
          </w:p>
        </w:tc>
        <w:tc>
          <w:tcPr>
            <w:tcW w:w="0" w:type="auto"/>
            <w:gridSpan w:val="3"/>
            <w:shd w:val="clear" w:color="auto" w:fill="auto"/>
            <w:vAlign w:val="bottom"/>
          </w:tcPr>
          <w:p w14:paraId="71D43403" w14:textId="77777777" w:rsidR="006A3667" w:rsidRDefault="006A3667">
            <w:pPr>
              <w:rPr>
                <w:rFonts w:ascii="宋体"/>
                <w:vanish/>
              </w:rPr>
            </w:pPr>
          </w:p>
        </w:tc>
        <w:tc>
          <w:tcPr>
            <w:tcW w:w="0" w:type="auto"/>
            <w:gridSpan w:val="3"/>
            <w:shd w:val="clear" w:color="auto" w:fill="auto"/>
            <w:vAlign w:val="bottom"/>
          </w:tcPr>
          <w:p w14:paraId="71D43404" w14:textId="77777777" w:rsidR="006A3667" w:rsidRDefault="006A3667">
            <w:pPr>
              <w:rPr>
                <w:rFonts w:ascii="宋体"/>
                <w:vanish/>
              </w:rPr>
            </w:pPr>
          </w:p>
        </w:tc>
        <w:tc>
          <w:tcPr>
            <w:tcW w:w="0" w:type="auto"/>
            <w:gridSpan w:val="3"/>
            <w:shd w:val="clear" w:color="auto" w:fill="auto"/>
            <w:vAlign w:val="bottom"/>
          </w:tcPr>
          <w:p w14:paraId="71D43405" w14:textId="77777777" w:rsidR="006A3667" w:rsidRDefault="006A3667">
            <w:pPr>
              <w:rPr>
                <w:rFonts w:ascii="宋体"/>
                <w:vanish/>
              </w:rPr>
            </w:pPr>
          </w:p>
        </w:tc>
        <w:tc>
          <w:tcPr>
            <w:tcW w:w="0" w:type="auto"/>
            <w:gridSpan w:val="3"/>
            <w:shd w:val="clear" w:color="auto" w:fill="auto"/>
            <w:vAlign w:val="bottom"/>
          </w:tcPr>
          <w:p w14:paraId="71D43406" w14:textId="77777777" w:rsidR="006A3667" w:rsidRDefault="006A3667">
            <w:pPr>
              <w:rPr>
                <w:rFonts w:ascii="宋体"/>
                <w:vanish/>
              </w:rPr>
            </w:pPr>
          </w:p>
        </w:tc>
        <w:tc>
          <w:tcPr>
            <w:tcW w:w="0" w:type="auto"/>
            <w:gridSpan w:val="3"/>
            <w:shd w:val="clear" w:color="auto" w:fill="auto"/>
            <w:vAlign w:val="bottom"/>
          </w:tcPr>
          <w:p w14:paraId="71D43407" w14:textId="77777777" w:rsidR="006A3667" w:rsidRDefault="006A3667">
            <w:pPr>
              <w:rPr>
                <w:rFonts w:ascii="宋体"/>
                <w:vanish/>
              </w:rPr>
            </w:pPr>
          </w:p>
        </w:tc>
        <w:tc>
          <w:tcPr>
            <w:tcW w:w="0" w:type="auto"/>
            <w:gridSpan w:val="3"/>
            <w:shd w:val="clear" w:color="auto" w:fill="auto"/>
            <w:vAlign w:val="bottom"/>
          </w:tcPr>
          <w:p w14:paraId="71D43408" w14:textId="77777777" w:rsidR="006A3667" w:rsidRDefault="006A3667">
            <w:pPr>
              <w:rPr>
                <w:rFonts w:ascii="宋体"/>
                <w:vanish/>
              </w:rPr>
            </w:pPr>
          </w:p>
        </w:tc>
        <w:tc>
          <w:tcPr>
            <w:tcW w:w="0" w:type="auto"/>
            <w:gridSpan w:val="3"/>
            <w:shd w:val="clear" w:color="auto" w:fill="auto"/>
            <w:vAlign w:val="bottom"/>
          </w:tcPr>
          <w:p w14:paraId="71D43409" w14:textId="77777777" w:rsidR="006A3667" w:rsidRDefault="006A3667">
            <w:pPr>
              <w:rPr>
                <w:rFonts w:ascii="宋体"/>
                <w:vanish/>
              </w:rPr>
            </w:pPr>
          </w:p>
        </w:tc>
        <w:tc>
          <w:tcPr>
            <w:tcW w:w="0" w:type="auto"/>
            <w:gridSpan w:val="3"/>
            <w:shd w:val="clear" w:color="auto" w:fill="auto"/>
            <w:vAlign w:val="bottom"/>
          </w:tcPr>
          <w:p w14:paraId="71D4340A" w14:textId="77777777" w:rsidR="006A3667" w:rsidRDefault="006A3667">
            <w:pPr>
              <w:rPr>
                <w:rFonts w:ascii="宋体"/>
                <w:vanish/>
              </w:rPr>
            </w:pPr>
          </w:p>
        </w:tc>
        <w:tc>
          <w:tcPr>
            <w:tcW w:w="0" w:type="auto"/>
            <w:gridSpan w:val="3"/>
            <w:shd w:val="clear" w:color="auto" w:fill="auto"/>
            <w:vAlign w:val="bottom"/>
          </w:tcPr>
          <w:p w14:paraId="71D4340B" w14:textId="77777777" w:rsidR="006A3667" w:rsidRDefault="006A3667">
            <w:pPr>
              <w:rPr>
                <w:rFonts w:ascii="宋体"/>
                <w:vanish/>
              </w:rPr>
            </w:pPr>
          </w:p>
        </w:tc>
      </w:tr>
      <w:tr w:rsidR="006A3667" w14:paraId="71D4341B" w14:textId="77777777">
        <w:tc>
          <w:tcPr>
            <w:tcW w:w="0" w:type="auto"/>
            <w:gridSpan w:val="3"/>
            <w:shd w:val="clear" w:color="auto" w:fill="FFFFFF"/>
            <w:tcMar>
              <w:top w:w="40" w:type="dxa"/>
              <w:left w:w="515" w:type="dxa"/>
              <w:bottom w:w="40" w:type="dxa"/>
              <w:right w:w="20" w:type="dxa"/>
            </w:tcMar>
            <w:vAlign w:val="bottom"/>
          </w:tcPr>
          <w:p w14:paraId="71D4340D" w14:textId="77777777" w:rsidR="006A3667" w:rsidRDefault="00045F32">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71D4340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11" w14:textId="77777777" w:rsidR="006A3667" w:rsidRDefault="00045F32">
            <w:pPr>
              <w:jc w:val="right"/>
              <w:textAlignment w:val="bottom"/>
            </w:pPr>
            <w:r>
              <w:rPr>
                <w:rFonts w:ascii="Arial" w:eastAsia="宋体" w:hAnsi="Arial" w:cs="Arial"/>
                <w:b/>
                <w:bCs/>
                <w:color w:val="000000"/>
                <w:sz w:val="14"/>
                <w:szCs w:val="14"/>
              </w:rPr>
              <w:t>2,317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1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1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41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41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19" w14:textId="77777777" w:rsidR="006A3667" w:rsidRDefault="00045F32">
            <w:pPr>
              <w:jc w:val="right"/>
              <w:textAlignment w:val="bottom"/>
            </w:pPr>
            <w:r>
              <w:rPr>
                <w:rFonts w:ascii="Arial" w:eastAsia="宋体" w:hAnsi="Arial" w:cs="Arial"/>
                <w:b/>
                <w:bCs/>
                <w:color w:val="000000"/>
                <w:sz w:val="14"/>
                <w:szCs w:val="14"/>
              </w:rPr>
              <w:t>2,317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1A" w14:textId="77777777" w:rsidR="006A3667" w:rsidRDefault="006A3667">
            <w:pPr>
              <w:jc w:val="right"/>
              <w:rPr>
                <w:rFonts w:ascii="宋体"/>
              </w:rPr>
            </w:pPr>
          </w:p>
        </w:tc>
      </w:tr>
      <w:tr w:rsidR="006A3667" w14:paraId="71D4342A" w14:textId="77777777">
        <w:tc>
          <w:tcPr>
            <w:tcW w:w="0" w:type="auto"/>
            <w:gridSpan w:val="3"/>
            <w:shd w:val="clear" w:color="auto" w:fill="CCEEFF"/>
            <w:tcMar>
              <w:top w:w="40" w:type="dxa"/>
              <w:left w:w="20" w:type="dxa"/>
              <w:bottom w:w="40" w:type="dxa"/>
              <w:right w:w="20" w:type="dxa"/>
            </w:tcMar>
            <w:vAlign w:val="bottom"/>
          </w:tcPr>
          <w:p w14:paraId="71D4341C" w14:textId="77777777" w:rsidR="006A3667" w:rsidRDefault="00045F32">
            <w:pP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341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4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1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420" w14:textId="77777777" w:rsidR="006A3667" w:rsidRDefault="00045F32">
            <w:pPr>
              <w:jc w:val="right"/>
              <w:textAlignment w:val="bottom"/>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42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2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42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42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2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2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428" w14:textId="77777777" w:rsidR="006A3667" w:rsidRDefault="00045F32">
            <w:pPr>
              <w:jc w:val="right"/>
              <w:textAlignment w:val="bottom"/>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429" w14:textId="77777777" w:rsidR="006A3667" w:rsidRDefault="006A3667">
            <w:pPr>
              <w:jc w:val="right"/>
              <w:rPr>
                <w:rFonts w:ascii="宋体"/>
              </w:rPr>
            </w:pPr>
          </w:p>
        </w:tc>
      </w:tr>
      <w:tr w:rsidR="006A3667" w14:paraId="71D43439" w14:textId="77777777">
        <w:tc>
          <w:tcPr>
            <w:tcW w:w="0" w:type="auto"/>
            <w:gridSpan w:val="3"/>
            <w:shd w:val="clear" w:color="auto" w:fill="FFFFFF"/>
            <w:tcMar>
              <w:top w:w="40" w:type="dxa"/>
              <w:left w:w="515" w:type="dxa"/>
              <w:bottom w:w="40" w:type="dxa"/>
              <w:right w:w="20" w:type="dxa"/>
            </w:tcMar>
            <w:vAlign w:val="bottom"/>
          </w:tcPr>
          <w:p w14:paraId="71D4342B"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342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2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2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2F" w14:textId="77777777" w:rsidR="006A3667" w:rsidRDefault="00045F32">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3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3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3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3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3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43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43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37" w14:textId="77777777" w:rsidR="006A3667" w:rsidRDefault="00045F32">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38" w14:textId="77777777" w:rsidR="006A3667" w:rsidRDefault="006A3667">
            <w:pPr>
              <w:jc w:val="right"/>
              <w:rPr>
                <w:rFonts w:ascii="宋体"/>
              </w:rPr>
            </w:pPr>
          </w:p>
        </w:tc>
      </w:tr>
      <w:tr w:rsidR="006A3667" w14:paraId="71D43448" w14:textId="77777777">
        <w:tc>
          <w:tcPr>
            <w:tcW w:w="0" w:type="auto"/>
            <w:gridSpan w:val="3"/>
            <w:shd w:val="clear" w:color="auto" w:fill="CCEEFF"/>
            <w:tcMar>
              <w:top w:w="40" w:type="dxa"/>
              <w:left w:w="740" w:type="dxa"/>
              <w:bottom w:w="40" w:type="dxa"/>
              <w:right w:w="20" w:type="dxa"/>
            </w:tcMar>
            <w:vAlign w:val="bottom"/>
          </w:tcPr>
          <w:p w14:paraId="71D4343A" w14:textId="77777777" w:rsidR="006A3667" w:rsidRDefault="00045F32">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43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43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3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43E" w14:textId="77777777" w:rsidR="006A3667" w:rsidRDefault="00045F32">
            <w:pPr>
              <w:jc w:val="right"/>
              <w:textAlignment w:val="bottom"/>
            </w:pPr>
            <w:r>
              <w:rPr>
                <w:rFonts w:ascii="Arial" w:eastAsia="宋体" w:hAnsi="Arial" w:cs="Arial"/>
                <w:b/>
                <w:bCs/>
                <w:color w:val="000000"/>
                <w:sz w:val="14"/>
                <w:szCs w:val="14"/>
              </w:rPr>
              <w:t>2,753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43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4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44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4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4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4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4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446" w14:textId="77777777" w:rsidR="006A3667" w:rsidRDefault="00045F32">
            <w:pPr>
              <w:jc w:val="right"/>
              <w:textAlignment w:val="bottom"/>
            </w:pPr>
            <w:r>
              <w:rPr>
                <w:rFonts w:ascii="Arial" w:eastAsia="宋体" w:hAnsi="Arial" w:cs="Arial"/>
                <w:b/>
                <w:bCs/>
                <w:color w:val="000000"/>
                <w:sz w:val="14"/>
                <w:szCs w:val="14"/>
              </w:rPr>
              <w:t>2,753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447" w14:textId="77777777" w:rsidR="006A3667" w:rsidRDefault="006A3667">
            <w:pPr>
              <w:jc w:val="right"/>
              <w:rPr>
                <w:rFonts w:ascii="宋体"/>
              </w:rPr>
            </w:pPr>
          </w:p>
        </w:tc>
      </w:tr>
      <w:tr w:rsidR="006A3667" w14:paraId="71D43453" w14:textId="77777777">
        <w:trPr>
          <w:hidden/>
        </w:trPr>
        <w:tc>
          <w:tcPr>
            <w:tcW w:w="0" w:type="auto"/>
            <w:gridSpan w:val="3"/>
            <w:shd w:val="clear" w:color="auto" w:fill="auto"/>
            <w:vAlign w:val="bottom"/>
          </w:tcPr>
          <w:p w14:paraId="71D43449" w14:textId="77777777" w:rsidR="006A3667" w:rsidRDefault="006A3667">
            <w:pPr>
              <w:rPr>
                <w:rFonts w:ascii="宋体"/>
                <w:vanish/>
              </w:rPr>
            </w:pPr>
          </w:p>
        </w:tc>
        <w:tc>
          <w:tcPr>
            <w:tcW w:w="0" w:type="auto"/>
            <w:gridSpan w:val="3"/>
            <w:shd w:val="clear" w:color="auto" w:fill="auto"/>
            <w:vAlign w:val="bottom"/>
          </w:tcPr>
          <w:p w14:paraId="71D4344A" w14:textId="77777777" w:rsidR="006A3667" w:rsidRDefault="006A3667">
            <w:pPr>
              <w:rPr>
                <w:rFonts w:ascii="宋体"/>
                <w:vanish/>
              </w:rPr>
            </w:pPr>
          </w:p>
        </w:tc>
        <w:tc>
          <w:tcPr>
            <w:tcW w:w="0" w:type="auto"/>
            <w:gridSpan w:val="3"/>
            <w:shd w:val="clear" w:color="auto" w:fill="auto"/>
            <w:vAlign w:val="bottom"/>
          </w:tcPr>
          <w:p w14:paraId="71D4344B" w14:textId="77777777" w:rsidR="006A3667" w:rsidRDefault="006A3667">
            <w:pPr>
              <w:rPr>
                <w:rFonts w:ascii="宋体"/>
                <w:vanish/>
              </w:rPr>
            </w:pPr>
          </w:p>
        </w:tc>
        <w:tc>
          <w:tcPr>
            <w:tcW w:w="0" w:type="auto"/>
            <w:gridSpan w:val="3"/>
            <w:shd w:val="clear" w:color="auto" w:fill="auto"/>
            <w:vAlign w:val="bottom"/>
          </w:tcPr>
          <w:p w14:paraId="71D4344C" w14:textId="77777777" w:rsidR="006A3667" w:rsidRDefault="006A3667">
            <w:pPr>
              <w:rPr>
                <w:rFonts w:ascii="宋体"/>
                <w:vanish/>
              </w:rPr>
            </w:pPr>
          </w:p>
        </w:tc>
        <w:tc>
          <w:tcPr>
            <w:tcW w:w="0" w:type="auto"/>
            <w:gridSpan w:val="3"/>
            <w:shd w:val="clear" w:color="auto" w:fill="auto"/>
            <w:vAlign w:val="bottom"/>
          </w:tcPr>
          <w:p w14:paraId="71D4344D" w14:textId="77777777" w:rsidR="006A3667" w:rsidRDefault="006A3667">
            <w:pPr>
              <w:rPr>
                <w:rFonts w:ascii="宋体"/>
                <w:vanish/>
              </w:rPr>
            </w:pPr>
          </w:p>
        </w:tc>
        <w:tc>
          <w:tcPr>
            <w:tcW w:w="0" w:type="auto"/>
            <w:gridSpan w:val="3"/>
            <w:shd w:val="clear" w:color="auto" w:fill="auto"/>
            <w:vAlign w:val="bottom"/>
          </w:tcPr>
          <w:p w14:paraId="71D4344E" w14:textId="77777777" w:rsidR="006A3667" w:rsidRDefault="006A3667">
            <w:pPr>
              <w:rPr>
                <w:rFonts w:ascii="宋体"/>
                <w:vanish/>
              </w:rPr>
            </w:pPr>
          </w:p>
        </w:tc>
        <w:tc>
          <w:tcPr>
            <w:tcW w:w="0" w:type="auto"/>
            <w:gridSpan w:val="3"/>
            <w:shd w:val="clear" w:color="auto" w:fill="auto"/>
            <w:vAlign w:val="bottom"/>
          </w:tcPr>
          <w:p w14:paraId="71D4344F" w14:textId="77777777" w:rsidR="006A3667" w:rsidRDefault="006A3667">
            <w:pPr>
              <w:rPr>
                <w:rFonts w:ascii="宋体"/>
                <w:vanish/>
              </w:rPr>
            </w:pPr>
          </w:p>
        </w:tc>
        <w:tc>
          <w:tcPr>
            <w:tcW w:w="0" w:type="auto"/>
            <w:gridSpan w:val="3"/>
            <w:shd w:val="clear" w:color="auto" w:fill="auto"/>
            <w:vAlign w:val="bottom"/>
          </w:tcPr>
          <w:p w14:paraId="71D43450" w14:textId="77777777" w:rsidR="006A3667" w:rsidRDefault="006A3667">
            <w:pPr>
              <w:rPr>
                <w:rFonts w:ascii="宋体"/>
                <w:vanish/>
              </w:rPr>
            </w:pPr>
          </w:p>
        </w:tc>
        <w:tc>
          <w:tcPr>
            <w:tcW w:w="0" w:type="auto"/>
            <w:gridSpan w:val="3"/>
            <w:shd w:val="clear" w:color="auto" w:fill="auto"/>
            <w:vAlign w:val="bottom"/>
          </w:tcPr>
          <w:p w14:paraId="71D43451" w14:textId="77777777" w:rsidR="006A3667" w:rsidRDefault="006A3667">
            <w:pPr>
              <w:rPr>
                <w:rFonts w:ascii="宋体"/>
                <w:vanish/>
              </w:rPr>
            </w:pPr>
          </w:p>
        </w:tc>
        <w:tc>
          <w:tcPr>
            <w:tcW w:w="0" w:type="auto"/>
            <w:gridSpan w:val="3"/>
            <w:shd w:val="clear" w:color="auto" w:fill="auto"/>
            <w:vAlign w:val="bottom"/>
          </w:tcPr>
          <w:p w14:paraId="71D43452" w14:textId="77777777" w:rsidR="006A3667" w:rsidRDefault="006A3667">
            <w:pPr>
              <w:rPr>
                <w:rFonts w:ascii="宋体"/>
                <w:vanish/>
              </w:rPr>
            </w:pPr>
          </w:p>
        </w:tc>
      </w:tr>
      <w:tr w:rsidR="006A3667" w14:paraId="71D4345E" w14:textId="77777777">
        <w:trPr>
          <w:hidden/>
        </w:trPr>
        <w:tc>
          <w:tcPr>
            <w:tcW w:w="0" w:type="auto"/>
            <w:gridSpan w:val="3"/>
            <w:shd w:val="clear" w:color="auto" w:fill="auto"/>
            <w:vAlign w:val="bottom"/>
          </w:tcPr>
          <w:p w14:paraId="71D43454" w14:textId="77777777" w:rsidR="006A3667" w:rsidRDefault="006A3667">
            <w:pPr>
              <w:rPr>
                <w:rFonts w:ascii="宋体"/>
                <w:vanish/>
              </w:rPr>
            </w:pPr>
          </w:p>
        </w:tc>
        <w:tc>
          <w:tcPr>
            <w:tcW w:w="0" w:type="auto"/>
            <w:gridSpan w:val="3"/>
            <w:shd w:val="clear" w:color="auto" w:fill="auto"/>
            <w:vAlign w:val="bottom"/>
          </w:tcPr>
          <w:p w14:paraId="71D43455" w14:textId="77777777" w:rsidR="006A3667" w:rsidRDefault="006A3667">
            <w:pPr>
              <w:rPr>
                <w:rFonts w:ascii="宋体"/>
                <w:vanish/>
              </w:rPr>
            </w:pPr>
          </w:p>
        </w:tc>
        <w:tc>
          <w:tcPr>
            <w:tcW w:w="0" w:type="auto"/>
            <w:gridSpan w:val="3"/>
            <w:shd w:val="clear" w:color="auto" w:fill="auto"/>
            <w:vAlign w:val="bottom"/>
          </w:tcPr>
          <w:p w14:paraId="71D43456" w14:textId="77777777" w:rsidR="006A3667" w:rsidRDefault="006A3667">
            <w:pPr>
              <w:rPr>
                <w:rFonts w:ascii="宋体"/>
                <w:vanish/>
              </w:rPr>
            </w:pPr>
          </w:p>
        </w:tc>
        <w:tc>
          <w:tcPr>
            <w:tcW w:w="0" w:type="auto"/>
            <w:gridSpan w:val="3"/>
            <w:shd w:val="clear" w:color="auto" w:fill="auto"/>
            <w:vAlign w:val="bottom"/>
          </w:tcPr>
          <w:p w14:paraId="71D43457" w14:textId="77777777" w:rsidR="006A3667" w:rsidRDefault="006A3667">
            <w:pPr>
              <w:rPr>
                <w:rFonts w:ascii="宋体"/>
                <w:vanish/>
              </w:rPr>
            </w:pPr>
          </w:p>
        </w:tc>
        <w:tc>
          <w:tcPr>
            <w:tcW w:w="0" w:type="auto"/>
            <w:gridSpan w:val="3"/>
            <w:shd w:val="clear" w:color="auto" w:fill="auto"/>
            <w:vAlign w:val="bottom"/>
          </w:tcPr>
          <w:p w14:paraId="71D43458" w14:textId="77777777" w:rsidR="006A3667" w:rsidRDefault="006A3667">
            <w:pPr>
              <w:rPr>
                <w:rFonts w:ascii="宋体"/>
                <w:vanish/>
              </w:rPr>
            </w:pPr>
          </w:p>
        </w:tc>
        <w:tc>
          <w:tcPr>
            <w:tcW w:w="0" w:type="auto"/>
            <w:gridSpan w:val="3"/>
            <w:shd w:val="clear" w:color="auto" w:fill="auto"/>
            <w:vAlign w:val="bottom"/>
          </w:tcPr>
          <w:p w14:paraId="71D43459" w14:textId="77777777" w:rsidR="006A3667" w:rsidRDefault="006A3667">
            <w:pPr>
              <w:rPr>
                <w:rFonts w:ascii="宋体"/>
                <w:vanish/>
              </w:rPr>
            </w:pPr>
          </w:p>
        </w:tc>
        <w:tc>
          <w:tcPr>
            <w:tcW w:w="0" w:type="auto"/>
            <w:gridSpan w:val="3"/>
            <w:shd w:val="clear" w:color="auto" w:fill="auto"/>
            <w:vAlign w:val="bottom"/>
          </w:tcPr>
          <w:p w14:paraId="71D4345A" w14:textId="77777777" w:rsidR="006A3667" w:rsidRDefault="006A3667">
            <w:pPr>
              <w:rPr>
                <w:rFonts w:ascii="宋体"/>
                <w:vanish/>
              </w:rPr>
            </w:pPr>
          </w:p>
        </w:tc>
        <w:tc>
          <w:tcPr>
            <w:tcW w:w="0" w:type="auto"/>
            <w:gridSpan w:val="3"/>
            <w:shd w:val="clear" w:color="auto" w:fill="auto"/>
            <w:vAlign w:val="bottom"/>
          </w:tcPr>
          <w:p w14:paraId="71D4345B" w14:textId="77777777" w:rsidR="006A3667" w:rsidRDefault="006A3667">
            <w:pPr>
              <w:rPr>
                <w:rFonts w:ascii="宋体"/>
                <w:vanish/>
              </w:rPr>
            </w:pPr>
          </w:p>
        </w:tc>
        <w:tc>
          <w:tcPr>
            <w:tcW w:w="0" w:type="auto"/>
            <w:gridSpan w:val="3"/>
            <w:shd w:val="clear" w:color="auto" w:fill="auto"/>
            <w:vAlign w:val="bottom"/>
          </w:tcPr>
          <w:p w14:paraId="71D4345C" w14:textId="77777777" w:rsidR="006A3667" w:rsidRDefault="006A3667">
            <w:pPr>
              <w:rPr>
                <w:rFonts w:ascii="宋体"/>
                <w:vanish/>
              </w:rPr>
            </w:pPr>
          </w:p>
        </w:tc>
        <w:tc>
          <w:tcPr>
            <w:tcW w:w="0" w:type="auto"/>
            <w:gridSpan w:val="3"/>
            <w:shd w:val="clear" w:color="auto" w:fill="auto"/>
            <w:vAlign w:val="bottom"/>
          </w:tcPr>
          <w:p w14:paraId="71D4345D" w14:textId="77777777" w:rsidR="006A3667" w:rsidRDefault="006A3667">
            <w:pPr>
              <w:rPr>
                <w:rFonts w:ascii="宋体"/>
                <w:vanish/>
              </w:rPr>
            </w:pPr>
          </w:p>
        </w:tc>
      </w:tr>
      <w:tr w:rsidR="006A3667" w14:paraId="71D43469" w14:textId="77777777">
        <w:trPr>
          <w:hidden/>
        </w:trPr>
        <w:tc>
          <w:tcPr>
            <w:tcW w:w="0" w:type="auto"/>
            <w:gridSpan w:val="3"/>
            <w:shd w:val="clear" w:color="auto" w:fill="auto"/>
            <w:vAlign w:val="bottom"/>
          </w:tcPr>
          <w:p w14:paraId="71D4345F" w14:textId="77777777" w:rsidR="006A3667" w:rsidRDefault="006A3667">
            <w:pPr>
              <w:rPr>
                <w:rFonts w:ascii="宋体"/>
                <w:vanish/>
              </w:rPr>
            </w:pPr>
          </w:p>
        </w:tc>
        <w:tc>
          <w:tcPr>
            <w:tcW w:w="0" w:type="auto"/>
            <w:gridSpan w:val="3"/>
            <w:shd w:val="clear" w:color="auto" w:fill="auto"/>
            <w:vAlign w:val="bottom"/>
          </w:tcPr>
          <w:p w14:paraId="71D43460" w14:textId="77777777" w:rsidR="006A3667" w:rsidRDefault="006A3667">
            <w:pPr>
              <w:rPr>
                <w:rFonts w:ascii="宋体"/>
                <w:vanish/>
              </w:rPr>
            </w:pPr>
          </w:p>
        </w:tc>
        <w:tc>
          <w:tcPr>
            <w:tcW w:w="0" w:type="auto"/>
            <w:gridSpan w:val="3"/>
            <w:shd w:val="clear" w:color="auto" w:fill="auto"/>
            <w:vAlign w:val="bottom"/>
          </w:tcPr>
          <w:p w14:paraId="71D43461" w14:textId="77777777" w:rsidR="006A3667" w:rsidRDefault="006A3667">
            <w:pPr>
              <w:rPr>
                <w:rFonts w:ascii="宋体"/>
                <w:vanish/>
              </w:rPr>
            </w:pPr>
          </w:p>
        </w:tc>
        <w:tc>
          <w:tcPr>
            <w:tcW w:w="0" w:type="auto"/>
            <w:gridSpan w:val="3"/>
            <w:shd w:val="clear" w:color="auto" w:fill="auto"/>
            <w:vAlign w:val="bottom"/>
          </w:tcPr>
          <w:p w14:paraId="71D43462" w14:textId="77777777" w:rsidR="006A3667" w:rsidRDefault="006A3667">
            <w:pPr>
              <w:rPr>
                <w:rFonts w:ascii="宋体"/>
                <w:vanish/>
              </w:rPr>
            </w:pPr>
          </w:p>
        </w:tc>
        <w:tc>
          <w:tcPr>
            <w:tcW w:w="0" w:type="auto"/>
            <w:gridSpan w:val="3"/>
            <w:shd w:val="clear" w:color="auto" w:fill="auto"/>
            <w:vAlign w:val="bottom"/>
          </w:tcPr>
          <w:p w14:paraId="71D43463" w14:textId="77777777" w:rsidR="006A3667" w:rsidRDefault="006A3667">
            <w:pPr>
              <w:rPr>
                <w:rFonts w:ascii="宋体"/>
                <w:vanish/>
              </w:rPr>
            </w:pPr>
          </w:p>
        </w:tc>
        <w:tc>
          <w:tcPr>
            <w:tcW w:w="0" w:type="auto"/>
            <w:gridSpan w:val="3"/>
            <w:shd w:val="clear" w:color="auto" w:fill="auto"/>
            <w:vAlign w:val="bottom"/>
          </w:tcPr>
          <w:p w14:paraId="71D43464" w14:textId="77777777" w:rsidR="006A3667" w:rsidRDefault="006A3667">
            <w:pPr>
              <w:rPr>
                <w:rFonts w:ascii="宋体"/>
                <w:vanish/>
              </w:rPr>
            </w:pPr>
          </w:p>
        </w:tc>
        <w:tc>
          <w:tcPr>
            <w:tcW w:w="0" w:type="auto"/>
            <w:gridSpan w:val="3"/>
            <w:shd w:val="clear" w:color="auto" w:fill="auto"/>
            <w:vAlign w:val="bottom"/>
          </w:tcPr>
          <w:p w14:paraId="71D43465" w14:textId="77777777" w:rsidR="006A3667" w:rsidRDefault="006A3667">
            <w:pPr>
              <w:rPr>
                <w:rFonts w:ascii="宋体"/>
                <w:vanish/>
              </w:rPr>
            </w:pPr>
          </w:p>
        </w:tc>
        <w:tc>
          <w:tcPr>
            <w:tcW w:w="0" w:type="auto"/>
            <w:gridSpan w:val="3"/>
            <w:shd w:val="clear" w:color="auto" w:fill="auto"/>
            <w:vAlign w:val="bottom"/>
          </w:tcPr>
          <w:p w14:paraId="71D43466" w14:textId="77777777" w:rsidR="006A3667" w:rsidRDefault="006A3667">
            <w:pPr>
              <w:rPr>
                <w:rFonts w:ascii="宋体"/>
                <w:vanish/>
              </w:rPr>
            </w:pPr>
          </w:p>
        </w:tc>
        <w:tc>
          <w:tcPr>
            <w:tcW w:w="0" w:type="auto"/>
            <w:gridSpan w:val="3"/>
            <w:shd w:val="clear" w:color="auto" w:fill="auto"/>
            <w:vAlign w:val="bottom"/>
          </w:tcPr>
          <w:p w14:paraId="71D43467" w14:textId="77777777" w:rsidR="006A3667" w:rsidRDefault="006A3667">
            <w:pPr>
              <w:rPr>
                <w:rFonts w:ascii="宋体"/>
                <w:vanish/>
              </w:rPr>
            </w:pPr>
          </w:p>
        </w:tc>
        <w:tc>
          <w:tcPr>
            <w:tcW w:w="0" w:type="auto"/>
            <w:gridSpan w:val="3"/>
            <w:shd w:val="clear" w:color="auto" w:fill="auto"/>
            <w:vAlign w:val="bottom"/>
          </w:tcPr>
          <w:p w14:paraId="71D43468" w14:textId="77777777" w:rsidR="006A3667" w:rsidRDefault="006A3667">
            <w:pPr>
              <w:rPr>
                <w:rFonts w:ascii="宋体"/>
                <w:vanish/>
              </w:rPr>
            </w:pPr>
          </w:p>
        </w:tc>
      </w:tr>
      <w:tr w:rsidR="006A3667" w14:paraId="71D43474" w14:textId="77777777">
        <w:trPr>
          <w:hidden/>
        </w:trPr>
        <w:tc>
          <w:tcPr>
            <w:tcW w:w="0" w:type="auto"/>
            <w:gridSpan w:val="3"/>
            <w:shd w:val="clear" w:color="auto" w:fill="auto"/>
            <w:vAlign w:val="bottom"/>
          </w:tcPr>
          <w:p w14:paraId="71D4346A" w14:textId="77777777" w:rsidR="006A3667" w:rsidRDefault="006A3667">
            <w:pPr>
              <w:rPr>
                <w:rFonts w:ascii="宋体"/>
                <w:vanish/>
              </w:rPr>
            </w:pPr>
          </w:p>
        </w:tc>
        <w:tc>
          <w:tcPr>
            <w:tcW w:w="0" w:type="auto"/>
            <w:gridSpan w:val="3"/>
            <w:shd w:val="clear" w:color="auto" w:fill="auto"/>
            <w:vAlign w:val="bottom"/>
          </w:tcPr>
          <w:p w14:paraId="71D4346B" w14:textId="77777777" w:rsidR="006A3667" w:rsidRDefault="006A3667">
            <w:pPr>
              <w:rPr>
                <w:rFonts w:ascii="宋体"/>
                <w:vanish/>
              </w:rPr>
            </w:pPr>
          </w:p>
        </w:tc>
        <w:tc>
          <w:tcPr>
            <w:tcW w:w="0" w:type="auto"/>
            <w:gridSpan w:val="3"/>
            <w:shd w:val="clear" w:color="auto" w:fill="auto"/>
            <w:vAlign w:val="bottom"/>
          </w:tcPr>
          <w:p w14:paraId="71D4346C" w14:textId="77777777" w:rsidR="006A3667" w:rsidRDefault="006A3667">
            <w:pPr>
              <w:rPr>
                <w:rFonts w:ascii="宋体"/>
                <w:vanish/>
              </w:rPr>
            </w:pPr>
          </w:p>
        </w:tc>
        <w:tc>
          <w:tcPr>
            <w:tcW w:w="0" w:type="auto"/>
            <w:gridSpan w:val="3"/>
            <w:shd w:val="clear" w:color="auto" w:fill="auto"/>
            <w:vAlign w:val="bottom"/>
          </w:tcPr>
          <w:p w14:paraId="71D4346D" w14:textId="77777777" w:rsidR="006A3667" w:rsidRDefault="006A3667">
            <w:pPr>
              <w:rPr>
                <w:rFonts w:ascii="宋体"/>
                <w:vanish/>
              </w:rPr>
            </w:pPr>
          </w:p>
        </w:tc>
        <w:tc>
          <w:tcPr>
            <w:tcW w:w="0" w:type="auto"/>
            <w:gridSpan w:val="3"/>
            <w:shd w:val="clear" w:color="auto" w:fill="auto"/>
            <w:vAlign w:val="bottom"/>
          </w:tcPr>
          <w:p w14:paraId="71D4346E" w14:textId="77777777" w:rsidR="006A3667" w:rsidRDefault="006A3667">
            <w:pPr>
              <w:rPr>
                <w:rFonts w:ascii="宋体"/>
                <w:vanish/>
              </w:rPr>
            </w:pPr>
          </w:p>
        </w:tc>
        <w:tc>
          <w:tcPr>
            <w:tcW w:w="0" w:type="auto"/>
            <w:gridSpan w:val="3"/>
            <w:shd w:val="clear" w:color="auto" w:fill="auto"/>
            <w:vAlign w:val="bottom"/>
          </w:tcPr>
          <w:p w14:paraId="71D4346F" w14:textId="77777777" w:rsidR="006A3667" w:rsidRDefault="006A3667">
            <w:pPr>
              <w:rPr>
                <w:rFonts w:ascii="宋体"/>
                <w:vanish/>
              </w:rPr>
            </w:pPr>
          </w:p>
        </w:tc>
        <w:tc>
          <w:tcPr>
            <w:tcW w:w="0" w:type="auto"/>
            <w:gridSpan w:val="3"/>
            <w:shd w:val="clear" w:color="auto" w:fill="auto"/>
            <w:vAlign w:val="bottom"/>
          </w:tcPr>
          <w:p w14:paraId="71D43470" w14:textId="77777777" w:rsidR="006A3667" w:rsidRDefault="006A3667">
            <w:pPr>
              <w:rPr>
                <w:rFonts w:ascii="宋体"/>
                <w:vanish/>
              </w:rPr>
            </w:pPr>
          </w:p>
        </w:tc>
        <w:tc>
          <w:tcPr>
            <w:tcW w:w="0" w:type="auto"/>
            <w:gridSpan w:val="3"/>
            <w:shd w:val="clear" w:color="auto" w:fill="auto"/>
            <w:vAlign w:val="bottom"/>
          </w:tcPr>
          <w:p w14:paraId="71D43471" w14:textId="77777777" w:rsidR="006A3667" w:rsidRDefault="006A3667">
            <w:pPr>
              <w:rPr>
                <w:rFonts w:ascii="宋体"/>
                <w:vanish/>
              </w:rPr>
            </w:pPr>
          </w:p>
        </w:tc>
        <w:tc>
          <w:tcPr>
            <w:tcW w:w="0" w:type="auto"/>
            <w:gridSpan w:val="3"/>
            <w:shd w:val="clear" w:color="auto" w:fill="auto"/>
            <w:vAlign w:val="bottom"/>
          </w:tcPr>
          <w:p w14:paraId="71D43472" w14:textId="77777777" w:rsidR="006A3667" w:rsidRDefault="006A3667">
            <w:pPr>
              <w:rPr>
                <w:rFonts w:ascii="宋体"/>
                <w:vanish/>
              </w:rPr>
            </w:pPr>
          </w:p>
        </w:tc>
        <w:tc>
          <w:tcPr>
            <w:tcW w:w="0" w:type="auto"/>
            <w:gridSpan w:val="3"/>
            <w:shd w:val="clear" w:color="auto" w:fill="auto"/>
            <w:vAlign w:val="bottom"/>
          </w:tcPr>
          <w:p w14:paraId="71D43473" w14:textId="77777777" w:rsidR="006A3667" w:rsidRDefault="006A3667">
            <w:pPr>
              <w:rPr>
                <w:rFonts w:ascii="宋体"/>
                <w:vanish/>
              </w:rPr>
            </w:pPr>
          </w:p>
        </w:tc>
      </w:tr>
      <w:tr w:rsidR="006A3667" w14:paraId="71D4347F" w14:textId="77777777">
        <w:trPr>
          <w:hidden/>
        </w:trPr>
        <w:tc>
          <w:tcPr>
            <w:tcW w:w="0" w:type="auto"/>
            <w:gridSpan w:val="3"/>
            <w:shd w:val="clear" w:color="auto" w:fill="auto"/>
            <w:vAlign w:val="bottom"/>
          </w:tcPr>
          <w:p w14:paraId="71D43475" w14:textId="77777777" w:rsidR="006A3667" w:rsidRDefault="006A3667">
            <w:pPr>
              <w:rPr>
                <w:rFonts w:ascii="宋体"/>
                <w:vanish/>
              </w:rPr>
            </w:pPr>
          </w:p>
        </w:tc>
        <w:tc>
          <w:tcPr>
            <w:tcW w:w="0" w:type="auto"/>
            <w:gridSpan w:val="3"/>
            <w:shd w:val="clear" w:color="auto" w:fill="auto"/>
            <w:vAlign w:val="bottom"/>
          </w:tcPr>
          <w:p w14:paraId="71D43476" w14:textId="77777777" w:rsidR="006A3667" w:rsidRDefault="006A3667">
            <w:pPr>
              <w:rPr>
                <w:rFonts w:ascii="宋体"/>
                <w:vanish/>
              </w:rPr>
            </w:pPr>
          </w:p>
        </w:tc>
        <w:tc>
          <w:tcPr>
            <w:tcW w:w="0" w:type="auto"/>
            <w:gridSpan w:val="3"/>
            <w:shd w:val="clear" w:color="auto" w:fill="auto"/>
            <w:vAlign w:val="bottom"/>
          </w:tcPr>
          <w:p w14:paraId="71D43477" w14:textId="77777777" w:rsidR="006A3667" w:rsidRDefault="006A3667">
            <w:pPr>
              <w:rPr>
                <w:rFonts w:ascii="宋体"/>
                <w:vanish/>
              </w:rPr>
            </w:pPr>
          </w:p>
        </w:tc>
        <w:tc>
          <w:tcPr>
            <w:tcW w:w="0" w:type="auto"/>
            <w:gridSpan w:val="3"/>
            <w:shd w:val="clear" w:color="auto" w:fill="auto"/>
            <w:vAlign w:val="bottom"/>
          </w:tcPr>
          <w:p w14:paraId="71D43478" w14:textId="77777777" w:rsidR="006A3667" w:rsidRDefault="006A3667">
            <w:pPr>
              <w:rPr>
                <w:rFonts w:ascii="宋体"/>
                <w:vanish/>
              </w:rPr>
            </w:pPr>
          </w:p>
        </w:tc>
        <w:tc>
          <w:tcPr>
            <w:tcW w:w="0" w:type="auto"/>
            <w:gridSpan w:val="3"/>
            <w:shd w:val="clear" w:color="auto" w:fill="auto"/>
            <w:vAlign w:val="bottom"/>
          </w:tcPr>
          <w:p w14:paraId="71D43479" w14:textId="77777777" w:rsidR="006A3667" w:rsidRDefault="006A3667">
            <w:pPr>
              <w:rPr>
                <w:rFonts w:ascii="宋体"/>
                <w:vanish/>
              </w:rPr>
            </w:pPr>
          </w:p>
        </w:tc>
        <w:tc>
          <w:tcPr>
            <w:tcW w:w="0" w:type="auto"/>
            <w:gridSpan w:val="3"/>
            <w:shd w:val="clear" w:color="auto" w:fill="auto"/>
            <w:vAlign w:val="bottom"/>
          </w:tcPr>
          <w:p w14:paraId="71D4347A" w14:textId="77777777" w:rsidR="006A3667" w:rsidRDefault="006A3667">
            <w:pPr>
              <w:rPr>
                <w:rFonts w:ascii="宋体"/>
                <w:vanish/>
              </w:rPr>
            </w:pPr>
          </w:p>
        </w:tc>
        <w:tc>
          <w:tcPr>
            <w:tcW w:w="0" w:type="auto"/>
            <w:gridSpan w:val="3"/>
            <w:shd w:val="clear" w:color="auto" w:fill="auto"/>
            <w:vAlign w:val="bottom"/>
          </w:tcPr>
          <w:p w14:paraId="71D4347B" w14:textId="77777777" w:rsidR="006A3667" w:rsidRDefault="006A3667">
            <w:pPr>
              <w:rPr>
                <w:rFonts w:ascii="宋体"/>
                <w:vanish/>
              </w:rPr>
            </w:pPr>
          </w:p>
        </w:tc>
        <w:tc>
          <w:tcPr>
            <w:tcW w:w="0" w:type="auto"/>
            <w:gridSpan w:val="3"/>
            <w:shd w:val="clear" w:color="auto" w:fill="auto"/>
            <w:vAlign w:val="bottom"/>
          </w:tcPr>
          <w:p w14:paraId="71D4347C" w14:textId="77777777" w:rsidR="006A3667" w:rsidRDefault="006A3667">
            <w:pPr>
              <w:rPr>
                <w:rFonts w:ascii="宋体"/>
                <w:vanish/>
              </w:rPr>
            </w:pPr>
          </w:p>
        </w:tc>
        <w:tc>
          <w:tcPr>
            <w:tcW w:w="0" w:type="auto"/>
            <w:gridSpan w:val="3"/>
            <w:shd w:val="clear" w:color="auto" w:fill="auto"/>
            <w:vAlign w:val="bottom"/>
          </w:tcPr>
          <w:p w14:paraId="71D4347D" w14:textId="77777777" w:rsidR="006A3667" w:rsidRDefault="006A3667">
            <w:pPr>
              <w:rPr>
                <w:rFonts w:ascii="宋体"/>
                <w:vanish/>
              </w:rPr>
            </w:pPr>
          </w:p>
        </w:tc>
        <w:tc>
          <w:tcPr>
            <w:tcW w:w="0" w:type="auto"/>
            <w:gridSpan w:val="3"/>
            <w:shd w:val="clear" w:color="auto" w:fill="auto"/>
            <w:vAlign w:val="bottom"/>
          </w:tcPr>
          <w:p w14:paraId="71D4347E" w14:textId="77777777" w:rsidR="006A3667" w:rsidRDefault="006A3667">
            <w:pPr>
              <w:rPr>
                <w:rFonts w:ascii="宋体"/>
                <w:vanish/>
              </w:rPr>
            </w:pPr>
          </w:p>
        </w:tc>
      </w:tr>
      <w:tr w:rsidR="006A3667" w14:paraId="71D4348A" w14:textId="77777777">
        <w:trPr>
          <w:hidden/>
        </w:trPr>
        <w:tc>
          <w:tcPr>
            <w:tcW w:w="0" w:type="auto"/>
            <w:gridSpan w:val="3"/>
            <w:shd w:val="clear" w:color="auto" w:fill="auto"/>
            <w:vAlign w:val="bottom"/>
          </w:tcPr>
          <w:p w14:paraId="71D43480" w14:textId="77777777" w:rsidR="006A3667" w:rsidRDefault="006A3667">
            <w:pPr>
              <w:rPr>
                <w:rFonts w:ascii="宋体"/>
                <w:vanish/>
              </w:rPr>
            </w:pPr>
          </w:p>
        </w:tc>
        <w:tc>
          <w:tcPr>
            <w:tcW w:w="0" w:type="auto"/>
            <w:gridSpan w:val="3"/>
            <w:shd w:val="clear" w:color="auto" w:fill="auto"/>
            <w:vAlign w:val="bottom"/>
          </w:tcPr>
          <w:p w14:paraId="71D43481" w14:textId="77777777" w:rsidR="006A3667" w:rsidRDefault="006A3667">
            <w:pPr>
              <w:rPr>
                <w:rFonts w:ascii="宋体"/>
                <w:vanish/>
              </w:rPr>
            </w:pPr>
          </w:p>
        </w:tc>
        <w:tc>
          <w:tcPr>
            <w:tcW w:w="0" w:type="auto"/>
            <w:gridSpan w:val="3"/>
            <w:shd w:val="clear" w:color="auto" w:fill="auto"/>
            <w:vAlign w:val="bottom"/>
          </w:tcPr>
          <w:p w14:paraId="71D43482" w14:textId="77777777" w:rsidR="006A3667" w:rsidRDefault="006A3667">
            <w:pPr>
              <w:rPr>
                <w:rFonts w:ascii="宋体"/>
                <w:vanish/>
              </w:rPr>
            </w:pPr>
          </w:p>
        </w:tc>
        <w:tc>
          <w:tcPr>
            <w:tcW w:w="0" w:type="auto"/>
            <w:gridSpan w:val="3"/>
            <w:shd w:val="clear" w:color="auto" w:fill="auto"/>
            <w:vAlign w:val="bottom"/>
          </w:tcPr>
          <w:p w14:paraId="71D43483" w14:textId="77777777" w:rsidR="006A3667" w:rsidRDefault="006A3667">
            <w:pPr>
              <w:rPr>
                <w:rFonts w:ascii="宋体"/>
                <w:vanish/>
              </w:rPr>
            </w:pPr>
          </w:p>
        </w:tc>
        <w:tc>
          <w:tcPr>
            <w:tcW w:w="0" w:type="auto"/>
            <w:gridSpan w:val="3"/>
            <w:shd w:val="clear" w:color="auto" w:fill="auto"/>
            <w:vAlign w:val="bottom"/>
          </w:tcPr>
          <w:p w14:paraId="71D43484" w14:textId="77777777" w:rsidR="006A3667" w:rsidRDefault="006A3667">
            <w:pPr>
              <w:rPr>
                <w:rFonts w:ascii="宋体"/>
                <w:vanish/>
              </w:rPr>
            </w:pPr>
          </w:p>
        </w:tc>
        <w:tc>
          <w:tcPr>
            <w:tcW w:w="0" w:type="auto"/>
            <w:gridSpan w:val="3"/>
            <w:shd w:val="clear" w:color="auto" w:fill="auto"/>
            <w:vAlign w:val="bottom"/>
          </w:tcPr>
          <w:p w14:paraId="71D43485" w14:textId="77777777" w:rsidR="006A3667" w:rsidRDefault="006A3667">
            <w:pPr>
              <w:rPr>
                <w:rFonts w:ascii="宋体"/>
                <w:vanish/>
              </w:rPr>
            </w:pPr>
          </w:p>
        </w:tc>
        <w:tc>
          <w:tcPr>
            <w:tcW w:w="0" w:type="auto"/>
            <w:gridSpan w:val="3"/>
            <w:shd w:val="clear" w:color="auto" w:fill="auto"/>
            <w:vAlign w:val="bottom"/>
          </w:tcPr>
          <w:p w14:paraId="71D43486" w14:textId="77777777" w:rsidR="006A3667" w:rsidRDefault="006A3667">
            <w:pPr>
              <w:rPr>
                <w:rFonts w:ascii="宋体"/>
                <w:vanish/>
              </w:rPr>
            </w:pPr>
          </w:p>
        </w:tc>
        <w:tc>
          <w:tcPr>
            <w:tcW w:w="0" w:type="auto"/>
            <w:gridSpan w:val="3"/>
            <w:shd w:val="clear" w:color="auto" w:fill="auto"/>
            <w:vAlign w:val="bottom"/>
          </w:tcPr>
          <w:p w14:paraId="71D43487" w14:textId="77777777" w:rsidR="006A3667" w:rsidRDefault="006A3667">
            <w:pPr>
              <w:rPr>
                <w:rFonts w:ascii="宋体"/>
                <w:vanish/>
              </w:rPr>
            </w:pPr>
          </w:p>
        </w:tc>
        <w:tc>
          <w:tcPr>
            <w:tcW w:w="0" w:type="auto"/>
            <w:gridSpan w:val="3"/>
            <w:shd w:val="clear" w:color="auto" w:fill="auto"/>
            <w:vAlign w:val="bottom"/>
          </w:tcPr>
          <w:p w14:paraId="71D43488" w14:textId="77777777" w:rsidR="006A3667" w:rsidRDefault="006A3667">
            <w:pPr>
              <w:rPr>
                <w:rFonts w:ascii="宋体"/>
                <w:vanish/>
              </w:rPr>
            </w:pPr>
          </w:p>
        </w:tc>
        <w:tc>
          <w:tcPr>
            <w:tcW w:w="0" w:type="auto"/>
            <w:gridSpan w:val="3"/>
            <w:shd w:val="clear" w:color="auto" w:fill="auto"/>
            <w:vAlign w:val="bottom"/>
          </w:tcPr>
          <w:p w14:paraId="71D43489" w14:textId="77777777" w:rsidR="006A3667" w:rsidRDefault="006A3667">
            <w:pPr>
              <w:rPr>
                <w:rFonts w:ascii="宋体"/>
                <w:vanish/>
              </w:rPr>
            </w:pPr>
          </w:p>
        </w:tc>
      </w:tr>
      <w:tr w:rsidR="006A3667" w14:paraId="71D43499" w14:textId="77777777">
        <w:tc>
          <w:tcPr>
            <w:tcW w:w="0" w:type="auto"/>
            <w:gridSpan w:val="3"/>
            <w:shd w:val="clear" w:color="auto" w:fill="FFFFFF"/>
            <w:tcMar>
              <w:top w:w="40" w:type="dxa"/>
              <w:left w:w="245" w:type="dxa"/>
              <w:bottom w:w="40" w:type="dxa"/>
              <w:right w:w="20" w:type="dxa"/>
            </w:tcMar>
            <w:vAlign w:val="bottom"/>
          </w:tcPr>
          <w:p w14:paraId="71D4348B" w14:textId="77777777" w:rsidR="006A3667" w:rsidRDefault="00045F32">
            <w:pPr>
              <w:textAlignment w:val="bottom"/>
            </w:pPr>
            <w:r>
              <w:rPr>
                <w:rFonts w:ascii="Arial" w:eastAsia="宋体" w:hAnsi="Arial" w:cs="Arial"/>
                <w:color w:val="000000"/>
                <w:sz w:val="14"/>
                <w:szCs w:val="14"/>
              </w:rPr>
              <w:t>State and political subdivisions</w:t>
            </w:r>
          </w:p>
        </w:tc>
        <w:tc>
          <w:tcPr>
            <w:tcW w:w="0" w:type="auto"/>
            <w:gridSpan w:val="2"/>
            <w:shd w:val="clear" w:color="auto" w:fill="FFFFFF"/>
            <w:tcMar>
              <w:top w:w="40" w:type="dxa"/>
              <w:left w:w="20" w:type="dxa"/>
              <w:bottom w:w="40" w:type="dxa"/>
              <w:right w:w="0" w:type="dxa"/>
            </w:tcMar>
            <w:vAlign w:val="bottom"/>
          </w:tcPr>
          <w:p w14:paraId="71D4348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8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8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8F" w14:textId="77777777" w:rsidR="006A3667" w:rsidRDefault="00045F32">
            <w:pPr>
              <w:jc w:val="right"/>
              <w:textAlignment w:val="bottom"/>
            </w:pPr>
            <w:r>
              <w:rPr>
                <w:rFonts w:ascii="Arial" w:eastAsia="宋体" w:hAnsi="Arial" w:cs="Arial"/>
                <w:b/>
                <w:bCs/>
                <w:color w:val="000000"/>
                <w:sz w:val="14"/>
                <w:szCs w:val="14"/>
              </w:rPr>
              <w:t>924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9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9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9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9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49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49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497" w14:textId="77777777" w:rsidR="006A3667" w:rsidRDefault="00045F32">
            <w:pPr>
              <w:jc w:val="right"/>
              <w:textAlignment w:val="bottom"/>
            </w:pPr>
            <w:r>
              <w:rPr>
                <w:rFonts w:ascii="Arial" w:eastAsia="宋体" w:hAnsi="Arial" w:cs="Arial"/>
                <w:b/>
                <w:bCs/>
                <w:color w:val="000000"/>
                <w:sz w:val="14"/>
                <w:szCs w:val="14"/>
              </w:rPr>
              <w:t>924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498" w14:textId="77777777" w:rsidR="006A3667" w:rsidRDefault="006A3667">
            <w:pPr>
              <w:jc w:val="right"/>
              <w:rPr>
                <w:rFonts w:ascii="宋体"/>
              </w:rPr>
            </w:pPr>
          </w:p>
        </w:tc>
      </w:tr>
      <w:tr w:rsidR="006A3667" w14:paraId="71D434A4" w14:textId="77777777">
        <w:trPr>
          <w:hidden/>
        </w:trPr>
        <w:tc>
          <w:tcPr>
            <w:tcW w:w="0" w:type="auto"/>
            <w:gridSpan w:val="3"/>
            <w:shd w:val="clear" w:color="auto" w:fill="auto"/>
            <w:vAlign w:val="bottom"/>
          </w:tcPr>
          <w:p w14:paraId="71D4349A" w14:textId="77777777" w:rsidR="006A3667" w:rsidRDefault="006A3667">
            <w:pPr>
              <w:rPr>
                <w:rFonts w:ascii="宋体"/>
                <w:vanish/>
              </w:rPr>
            </w:pPr>
          </w:p>
        </w:tc>
        <w:tc>
          <w:tcPr>
            <w:tcW w:w="0" w:type="auto"/>
            <w:gridSpan w:val="3"/>
            <w:shd w:val="clear" w:color="auto" w:fill="auto"/>
            <w:vAlign w:val="bottom"/>
          </w:tcPr>
          <w:p w14:paraId="71D4349B" w14:textId="77777777" w:rsidR="006A3667" w:rsidRDefault="006A3667">
            <w:pPr>
              <w:rPr>
                <w:rFonts w:ascii="宋体"/>
                <w:vanish/>
              </w:rPr>
            </w:pPr>
          </w:p>
        </w:tc>
        <w:tc>
          <w:tcPr>
            <w:tcW w:w="0" w:type="auto"/>
            <w:gridSpan w:val="3"/>
            <w:shd w:val="clear" w:color="auto" w:fill="auto"/>
            <w:vAlign w:val="bottom"/>
          </w:tcPr>
          <w:p w14:paraId="71D4349C" w14:textId="77777777" w:rsidR="006A3667" w:rsidRDefault="006A3667">
            <w:pPr>
              <w:rPr>
                <w:rFonts w:ascii="宋体"/>
                <w:vanish/>
              </w:rPr>
            </w:pPr>
          </w:p>
        </w:tc>
        <w:tc>
          <w:tcPr>
            <w:tcW w:w="0" w:type="auto"/>
            <w:gridSpan w:val="3"/>
            <w:shd w:val="clear" w:color="auto" w:fill="auto"/>
            <w:vAlign w:val="bottom"/>
          </w:tcPr>
          <w:p w14:paraId="71D4349D" w14:textId="77777777" w:rsidR="006A3667" w:rsidRDefault="006A3667">
            <w:pPr>
              <w:rPr>
                <w:rFonts w:ascii="宋体"/>
                <w:vanish/>
              </w:rPr>
            </w:pPr>
          </w:p>
        </w:tc>
        <w:tc>
          <w:tcPr>
            <w:tcW w:w="0" w:type="auto"/>
            <w:gridSpan w:val="3"/>
            <w:shd w:val="clear" w:color="auto" w:fill="auto"/>
            <w:vAlign w:val="bottom"/>
          </w:tcPr>
          <w:p w14:paraId="71D4349E" w14:textId="77777777" w:rsidR="006A3667" w:rsidRDefault="006A3667">
            <w:pPr>
              <w:rPr>
                <w:rFonts w:ascii="宋体"/>
                <w:vanish/>
              </w:rPr>
            </w:pPr>
          </w:p>
        </w:tc>
        <w:tc>
          <w:tcPr>
            <w:tcW w:w="0" w:type="auto"/>
            <w:gridSpan w:val="3"/>
            <w:shd w:val="clear" w:color="auto" w:fill="auto"/>
            <w:vAlign w:val="bottom"/>
          </w:tcPr>
          <w:p w14:paraId="71D4349F" w14:textId="77777777" w:rsidR="006A3667" w:rsidRDefault="006A3667">
            <w:pPr>
              <w:rPr>
                <w:rFonts w:ascii="宋体"/>
                <w:vanish/>
              </w:rPr>
            </w:pPr>
          </w:p>
        </w:tc>
        <w:tc>
          <w:tcPr>
            <w:tcW w:w="0" w:type="auto"/>
            <w:gridSpan w:val="3"/>
            <w:shd w:val="clear" w:color="auto" w:fill="auto"/>
            <w:vAlign w:val="bottom"/>
          </w:tcPr>
          <w:p w14:paraId="71D434A0" w14:textId="77777777" w:rsidR="006A3667" w:rsidRDefault="006A3667">
            <w:pPr>
              <w:rPr>
                <w:rFonts w:ascii="宋体"/>
                <w:vanish/>
              </w:rPr>
            </w:pPr>
          </w:p>
        </w:tc>
        <w:tc>
          <w:tcPr>
            <w:tcW w:w="0" w:type="auto"/>
            <w:gridSpan w:val="3"/>
            <w:shd w:val="clear" w:color="auto" w:fill="auto"/>
            <w:vAlign w:val="bottom"/>
          </w:tcPr>
          <w:p w14:paraId="71D434A1" w14:textId="77777777" w:rsidR="006A3667" w:rsidRDefault="006A3667">
            <w:pPr>
              <w:rPr>
                <w:rFonts w:ascii="宋体"/>
                <w:vanish/>
              </w:rPr>
            </w:pPr>
          </w:p>
        </w:tc>
        <w:tc>
          <w:tcPr>
            <w:tcW w:w="0" w:type="auto"/>
            <w:gridSpan w:val="3"/>
            <w:shd w:val="clear" w:color="auto" w:fill="auto"/>
            <w:vAlign w:val="bottom"/>
          </w:tcPr>
          <w:p w14:paraId="71D434A2" w14:textId="77777777" w:rsidR="006A3667" w:rsidRDefault="006A3667">
            <w:pPr>
              <w:rPr>
                <w:rFonts w:ascii="宋体"/>
                <w:vanish/>
              </w:rPr>
            </w:pPr>
          </w:p>
        </w:tc>
        <w:tc>
          <w:tcPr>
            <w:tcW w:w="0" w:type="auto"/>
            <w:gridSpan w:val="3"/>
            <w:shd w:val="clear" w:color="auto" w:fill="auto"/>
            <w:vAlign w:val="bottom"/>
          </w:tcPr>
          <w:p w14:paraId="71D434A3" w14:textId="77777777" w:rsidR="006A3667" w:rsidRDefault="006A3667">
            <w:pPr>
              <w:rPr>
                <w:rFonts w:ascii="宋体"/>
                <w:vanish/>
              </w:rPr>
            </w:pPr>
          </w:p>
        </w:tc>
      </w:tr>
      <w:tr w:rsidR="006A3667" w14:paraId="71D434B3" w14:textId="77777777">
        <w:tc>
          <w:tcPr>
            <w:tcW w:w="0" w:type="auto"/>
            <w:gridSpan w:val="3"/>
            <w:shd w:val="clear" w:color="auto" w:fill="CCEEFF"/>
            <w:tcMar>
              <w:top w:w="40" w:type="dxa"/>
              <w:left w:w="245" w:type="dxa"/>
              <w:bottom w:w="40" w:type="dxa"/>
              <w:right w:w="20" w:type="dxa"/>
            </w:tcMar>
            <w:vAlign w:val="bottom"/>
          </w:tcPr>
          <w:p w14:paraId="71D434A5" w14:textId="77777777" w:rsidR="006A3667" w:rsidRDefault="00045F32">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71D434A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4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4A9" w14:textId="77777777" w:rsidR="006A3667" w:rsidRDefault="00045F32">
            <w:pPr>
              <w:jc w:val="right"/>
              <w:textAlignment w:val="bottom"/>
            </w:pPr>
            <w:r>
              <w:rPr>
                <w:rFonts w:ascii="Arial" w:eastAsia="宋体" w:hAnsi="Arial" w:cs="Arial"/>
                <w:b/>
                <w:bCs/>
                <w:color w:val="000000"/>
                <w:sz w:val="14"/>
                <w:szCs w:val="14"/>
              </w:rPr>
              <w:t>990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4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A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4A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4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4A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A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4B1" w14:textId="77777777" w:rsidR="006A3667" w:rsidRDefault="00045F32">
            <w:pPr>
              <w:jc w:val="right"/>
              <w:textAlignment w:val="bottom"/>
            </w:pPr>
            <w:r>
              <w:rPr>
                <w:rFonts w:ascii="Arial" w:eastAsia="宋体" w:hAnsi="Arial" w:cs="Arial"/>
                <w:b/>
                <w:bCs/>
                <w:color w:val="000000"/>
                <w:sz w:val="14"/>
                <w:szCs w:val="14"/>
              </w:rPr>
              <w:t>990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4B2" w14:textId="77777777" w:rsidR="006A3667" w:rsidRDefault="006A3667">
            <w:pPr>
              <w:jc w:val="right"/>
              <w:rPr>
                <w:rFonts w:ascii="宋体"/>
              </w:rPr>
            </w:pPr>
          </w:p>
        </w:tc>
      </w:tr>
      <w:tr w:rsidR="006A3667" w14:paraId="71D434BE" w14:textId="77777777">
        <w:trPr>
          <w:hidden/>
        </w:trPr>
        <w:tc>
          <w:tcPr>
            <w:tcW w:w="0" w:type="auto"/>
            <w:gridSpan w:val="3"/>
            <w:shd w:val="clear" w:color="auto" w:fill="auto"/>
            <w:vAlign w:val="bottom"/>
          </w:tcPr>
          <w:p w14:paraId="71D434B4" w14:textId="77777777" w:rsidR="006A3667" w:rsidRDefault="006A3667">
            <w:pPr>
              <w:rPr>
                <w:rFonts w:ascii="宋体"/>
                <w:vanish/>
              </w:rPr>
            </w:pPr>
          </w:p>
        </w:tc>
        <w:tc>
          <w:tcPr>
            <w:tcW w:w="0" w:type="auto"/>
            <w:gridSpan w:val="3"/>
            <w:shd w:val="clear" w:color="auto" w:fill="auto"/>
            <w:vAlign w:val="bottom"/>
          </w:tcPr>
          <w:p w14:paraId="71D434B5" w14:textId="77777777" w:rsidR="006A3667" w:rsidRDefault="006A3667">
            <w:pPr>
              <w:rPr>
                <w:rFonts w:ascii="宋体"/>
                <w:vanish/>
              </w:rPr>
            </w:pPr>
          </w:p>
        </w:tc>
        <w:tc>
          <w:tcPr>
            <w:tcW w:w="0" w:type="auto"/>
            <w:gridSpan w:val="3"/>
            <w:shd w:val="clear" w:color="auto" w:fill="auto"/>
            <w:vAlign w:val="bottom"/>
          </w:tcPr>
          <w:p w14:paraId="71D434B6" w14:textId="77777777" w:rsidR="006A3667" w:rsidRDefault="006A3667">
            <w:pPr>
              <w:rPr>
                <w:rFonts w:ascii="宋体"/>
                <w:vanish/>
              </w:rPr>
            </w:pPr>
          </w:p>
        </w:tc>
        <w:tc>
          <w:tcPr>
            <w:tcW w:w="0" w:type="auto"/>
            <w:gridSpan w:val="3"/>
            <w:shd w:val="clear" w:color="auto" w:fill="auto"/>
            <w:vAlign w:val="bottom"/>
          </w:tcPr>
          <w:p w14:paraId="71D434B7" w14:textId="77777777" w:rsidR="006A3667" w:rsidRDefault="006A3667">
            <w:pPr>
              <w:rPr>
                <w:rFonts w:ascii="宋体"/>
                <w:vanish/>
              </w:rPr>
            </w:pPr>
          </w:p>
        </w:tc>
        <w:tc>
          <w:tcPr>
            <w:tcW w:w="0" w:type="auto"/>
            <w:gridSpan w:val="3"/>
            <w:shd w:val="clear" w:color="auto" w:fill="auto"/>
            <w:vAlign w:val="bottom"/>
          </w:tcPr>
          <w:p w14:paraId="71D434B8" w14:textId="77777777" w:rsidR="006A3667" w:rsidRDefault="006A3667">
            <w:pPr>
              <w:rPr>
                <w:rFonts w:ascii="宋体"/>
                <w:vanish/>
              </w:rPr>
            </w:pPr>
          </w:p>
        </w:tc>
        <w:tc>
          <w:tcPr>
            <w:tcW w:w="0" w:type="auto"/>
            <w:gridSpan w:val="3"/>
            <w:shd w:val="clear" w:color="auto" w:fill="auto"/>
            <w:vAlign w:val="bottom"/>
          </w:tcPr>
          <w:p w14:paraId="71D434B9" w14:textId="77777777" w:rsidR="006A3667" w:rsidRDefault="006A3667">
            <w:pPr>
              <w:rPr>
                <w:rFonts w:ascii="宋体"/>
                <w:vanish/>
              </w:rPr>
            </w:pPr>
          </w:p>
        </w:tc>
        <w:tc>
          <w:tcPr>
            <w:tcW w:w="0" w:type="auto"/>
            <w:gridSpan w:val="3"/>
            <w:shd w:val="clear" w:color="auto" w:fill="auto"/>
            <w:vAlign w:val="bottom"/>
          </w:tcPr>
          <w:p w14:paraId="71D434BA" w14:textId="77777777" w:rsidR="006A3667" w:rsidRDefault="006A3667">
            <w:pPr>
              <w:rPr>
                <w:rFonts w:ascii="宋体"/>
                <w:vanish/>
              </w:rPr>
            </w:pPr>
          </w:p>
        </w:tc>
        <w:tc>
          <w:tcPr>
            <w:tcW w:w="0" w:type="auto"/>
            <w:gridSpan w:val="3"/>
            <w:shd w:val="clear" w:color="auto" w:fill="auto"/>
            <w:vAlign w:val="bottom"/>
          </w:tcPr>
          <w:p w14:paraId="71D434BB" w14:textId="77777777" w:rsidR="006A3667" w:rsidRDefault="006A3667">
            <w:pPr>
              <w:rPr>
                <w:rFonts w:ascii="宋体"/>
                <w:vanish/>
              </w:rPr>
            </w:pPr>
          </w:p>
        </w:tc>
        <w:tc>
          <w:tcPr>
            <w:tcW w:w="0" w:type="auto"/>
            <w:gridSpan w:val="3"/>
            <w:shd w:val="clear" w:color="auto" w:fill="auto"/>
            <w:vAlign w:val="bottom"/>
          </w:tcPr>
          <w:p w14:paraId="71D434BC" w14:textId="77777777" w:rsidR="006A3667" w:rsidRDefault="006A3667">
            <w:pPr>
              <w:rPr>
                <w:rFonts w:ascii="宋体"/>
                <w:vanish/>
              </w:rPr>
            </w:pPr>
          </w:p>
        </w:tc>
        <w:tc>
          <w:tcPr>
            <w:tcW w:w="0" w:type="auto"/>
            <w:gridSpan w:val="3"/>
            <w:shd w:val="clear" w:color="auto" w:fill="auto"/>
            <w:vAlign w:val="bottom"/>
          </w:tcPr>
          <w:p w14:paraId="71D434BD" w14:textId="77777777" w:rsidR="006A3667" w:rsidRDefault="006A3667">
            <w:pPr>
              <w:rPr>
                <w:rFonts w:ascii="宋体"/>
                <w:vanish/>
              </w:rPr>
            </w:pPr>
          </w:p>
        </w:tc>
      </w:tr>
      <w:tr w:rsidR="006A3667" w14:paraId="71D434C9" w14:textId="77777777">
        <w:trPr>
          <w:hidden/>
        </w:trPr>
        <w:tc>
          <w:tcPr>
            <w:tcW w:w="0" w:type="auto"/>
            <w:gridSpan w:val="3"/>
            <w:shd w:val="clear" w:color="auto" w:fill="auto"/>
            <w:vAlign w:val="bottom"/>
          </w:tcPr>
          <w:p w14:paraId="71D434BF" w14:textId="77777777" w:rsidR="006A3667" w:rsidRDefault="006A3667">
            <w:pPr>
              <w:rPr>
                <w:rFonts w:ascii="宋体"/>
                <w:vanish/>
              </w:rPr>
            </w:pPr>
          </w:p>
        </w:tc>
        <w:tc>
          <w:tcPr>
            <w:tcW w:w="0" w:type="auto"/>
            <w:gridSpan w:val="3"/>
            <w:shd w:val="clear" w:color="auto" w:fill="auto"/>
            <w:vAlign w:val="bottom"/>
          </w:tcPr>
          <w:p w14:paraId="71D434C0" w14:textId="77777777" w:rsidR="006A3667" w:rsidRDefault="006A3667">
            <w:pPr>
              <w:rPr>
                <w:rFonts w:ascii="宋体"/>
                <w:vanish/>
              </w:rPr>
            </w:pPr>
          </w:p>
        </w:tc>
        <w:tc>
          <w:tcPr>
            <w:tcW w:w="0" w:type="auto"/>
            <w:gridSpan w:val="3"/>
            <w:shd w:val="clear" w:color="auto" w:fill="auto"/>
            <w:vAlign w:val="bottom"/>
          </w:tcPr>
          <w:p w14:paraId="71D434C1" w14:textId="77777777" w:rsidR="006A3667" w:rsidRDefault="006A3667">
            <w:pPr>
              <w:rPr>
                <w:rFonts w:ascii="宋体"/>
                <w:vanish/>
              </w:rPr>
            </w:pPr>
          </w:p>
        </w:tc>
        <w:tc>
          <w:tcPr>
            <w:tcW w:w="0" w:type="auto"/>
            <w:gridSpan w:val="3"/>
            <w:shd w:val="clear" w:color="auto" w:fill="auto"/>
            <w:vAlign w:val="bottom"/>
          </w:tcPr>
          <w:p w14:paraId="71D434C2" w14:textId="77777777" w:rsidR="006A3667" w:rsidRDefault="006A3667">
            <w:pPr>
              <w:rPr>
                <w:rFonts w:ascii="宋体"/>
                <w:vanish/>
              </w:rPr>
            </w:pPr>
          </w:p>
        </w:tc>
        <w:tc>
          <w:tcPr>
            <w:tcW w:w="0" w:type="auto"/>
            <w:gridSpan w:val="3"/>
            <w:shd w:val="clear" w:color="auto" w:fill="auto"/>
            <w:vAlign w:val="bottom"/>
          </w:tcPr>
          <w:p w14:paraId="71D434C3" w14:textId="77777777" w:rsidR="006A3667" w:rsidRDefault="006A3667">
            <w:pPr>
              <w:rPr>
                <w:rFonts w:ascii="宋体"/>
                <w:vanish/>
              </w:rPr>
            </w:pPr>
          </w:p>
        </w:tc>
        <w:tc>
          <w:tcPr>
            <w:tcW w:w="0" w:type="auto"/>
            <w:gridSpan w:val="3"/>
            <w:shd w:val="clear" w:color="auto" w:fill="auto"/>
            <w:vAlign w:val="bottom"/>
          </w:tcPr>
          <w:p w14:paraId="71D434C4" w14:textId="77777777" w:rsidR="006A3667" w:rsidRDefault="006A3667">
            <w:pPr>
              <w:rPr>
                <w:rFonts w:ascii="宋体"/>
                <w:vanish/>
              </w:rPr>
            </w:pPr>
          </w:p>
        </w:tc>
        <w:tc>
          <w:tcPr>
            <w:tcW w:w="0" w:type="auto"/>
            <w:gridSpan w:val="3"/>
            <w:shd w:val="clear" w:color="auto" w:fill="auto"/>
            <w:vAlign w:val="bottom"/>
          </w:tcPr>
          <w:p w14:paraId="71D434C5" w14:textId="77777777" w:rsidR="006A3667" w:rsidRDefault="006A3667">
            <w:pPr>
              <w:rPr>
                <w:rFonts w:ascii="宋体"/>
                <w:vanish/>
              </w:rPr>
            </w:pPr>
          </w:p>
        </w:tc>
        <w:tc>
          <w:tcPr>
            <w:tcW w:w="0" w:type="auto"/>
            <w:gridSpan w:val="3"/>
            <w:shd w:val="clear" w:color="auto" w:fill="auto"/>
            <w:vAlign w:val="bottom"/>
          </w:tcPr>
          <w:p w14:paraId="71D434C6" w14:textId="77777777" w:rsidR="006A3667" w:rsidRDefault="006A3667">
            <w:pPr>
              <w:rPr>
                <w:rFonts w:ascii="宋体"/>
                <w:vanish/>
              </w:rPr>
            </w:pPr>
          </w:p>
        </w:tc>
        <w:tc>
          <w:tcPr>
            <w:tcW w:w="0" w:type="auto"/>
            <w:gridSpan w:val="3"/>
            <w:shd w:val="clear" w:color="auto" w:fill="auto"/>
            <w:vAlign w:val="bottom"/>
          </w:tcPr>
          <w:p w14:paraId="71D434C7" w14:textId="77777777" w:rsidR="006A3667" w:rsidRDefault="006A3667">
            <w:pPr>
              <w:rPr>
                <w:rFonts w:ascii="宋体"/>
                <w:vanish/>
              </w:rPr>
            </w:pPr>
          </w:p>
        </w:tc>
        <w:tc>
          <w:tcPr>
            <w:tcW w:w="0" w:type="auto"/>
            <w:gridSpan w:val="3"/>
            <w:shd w:val="clear" w:color="auto" w:fill="auto"/>
            <w:vAlign w:val="bottom"/>
          </w:tcPr>
          <w:p w14:paraId="71D434C8" w14:textId="77777777" w:rsidR="006A3667" w:rsidRDefault="006A3667">
            <w:pPr>
              <w:rPr>
                <w:rFonts w:ascii="宋体"/>
                <w:vanish/>
              </w:rPr>
            </w:pPr>
          </w:p>
        </w:tc>
      </w:tr>
      <w:tr w:rsidR="006A3667" w14:paraId="71D434D4" w14:textId="77777777">
        <w:trPr>
          <w:hidden/>
        </w:trPr>
        <w:tc>
          <w:tcPr>
            <w:tcW w:w="0" w:type="auto"/>
            <w:gridSpan w:val="3"/>
            <w:shd w:val="clear" w:color="auto" w:fill="auto"/>
            <w:vAlign w:val="bottom"/>
          </w:tcPr>
          <w:p w14:paraId="71D434CA" w14:textId="77777777" w:rsidR="006A3667" w:rsidRDefault="006A3667">
            <w:pPr>
              <w:rPr>
                <w:rFonts w:ascii="宋体"/>
                <w:vanish/>
              </w:rPr>
            </w:pPr>
          </w:p>
        </w:tc>
        <w:tc>
          <w:tcPr>
            <w:tcW w:w="0" w:type="auto"/>
            <w:gridSpan w:val="3"/>
            <w:shd w:val="clear" w:color="auto" w:fill="auto"/>
            <w:vAlign w:val="bottom"/>
          </w:tcPr>
          <w:p w14:paraId="71D434CB" w14:textId="77777777" w:rsidR="006A3667" w:rsidRDefault="006A3667">
            <w:pPr>
              <w:rPr>
                <w:rFonts w:ascii="宋体"/>
                <w:vanish/>
              </w:rPr>
            </w:pPr>
          </w:p>
        </w:tc>
        <w:tc>
          <w:tcPr>
            <w:tcW w:w="0" w:type="auto"/>
            <w:gridSpan w:val="3"/>
            <w:shd w:val="clear" w:color="auto" w:fill="auto"/>
            <w:vAlign w:val="bottom"/>
          </w:tcPr>
          <w:p w14:paraId="71D434CC" w14:textId="77777777" w:rsidR="006A3667" w:rsidRDefault="006A3667">
            <w:pPr>
              <w:rPr>
                <w:rFonts w:ascii="宋体"/>
                <w:vanish/>
              </w:rPr>
            </w:pPr>
          </w:p>
        </w:tc>
        <w:tc>
          <w:tcPr>
            <w:tcW w:w="0" w:type="auto"/>
            <w:gridSpan w:val="3"/>
            <w:shd w:val="clear" w:color="auto" w:fill="auto"/>
            <w:vAlign w:val="bottom"/>
          </w:tcPr>
          <w:p w14:paraId="71D434CD" w14:textId="77777777" w:rsidR="006A3667" w:rsidRDefault="006A3667">
            <w:pPr>
              <w:rPr>
                <w:rFonts w:ascii="宋体"/>
                <w:vanish/>
              </w:rPr>
            </w:pPr>
          </w:p>
        </w:tc>
        <w:tc>
          <w:tcPr>
            <w:tcW w:w="0" w:type="auto"/>
            <w:gridSpan w:val="3"/>
            <w:shd w:val="clear" w:color="auto" w:fill="auto"/>
            <w:vAlign w:val="bottom"/>
          </w:tcPr>
          <w:p w14:paraId="71D434CE" w14:textId="77777777" w:rsidR="006A3667" w:rsidRDefault="006A3667">
            <w:pPr>
              <w:rPr>
                <w:rFonts w:ascii="宋体"/>
                <w:vanish/>
              </w:rPr>
            </w:pPr>
          </w:p>
        </w:tc>
        <w:tc>
          <w:tcPr>
            <w:tcW w:w="0" w:type="auto"/>
            <w:gridSpan w:val="3"/>
            <w:shd w:val="clear" w:color="auto" w:fill="auto"/>
            <w:vAlign w:val="bottom"/>
          </w:tcPr>
          <w:p w14:paraId="71D434CF" w14:textId="77777777" w:rsidR="006A3667" w:rsidRDefault="006A3667">
            <w:pPr>
              <w:rPr>
                <w:rFonts w:ascii="宋体"/>
                <w:vanish/>
              </w:rPr>
            </w:pPr>
          </w:p>
        </w:tc>
        <w:tc>
          <w:tcPr>
            <w:tcW w:w="0" w:type="auto"/>
            <w:gridSpan w:val="3"/>
            <w:shd w:val="clear" w:color="auto" w:fill="auto"/>
            <w:vAlign w:val="bottom"/>
          </w:tcPr>
          <w:p w14:paraId="71D434D0" w14:textId="77777777" w:rsidR="006A3667" w:rsidRDefault="006A3667">
            <w:pPr>
              <w:rPr>
                <w:rFonts w:ascii="宋体"/>
                <w:vanish/>
              </w:rPr>
            </w:pPr>
          </w:p>
        </w:tc>
        <w:tc>
          <w:tcPr>
            <w:tcW w:w="0" w:type="auto"/>
            <w:gridSpan w:val="3"/>
            <w:shd w:val="clear" w:color="auto" w:fill="auto"/>
            <w:vAlign w:val="bottom"/>
          </w:tcPr>
          <w:p w14:paraId="71D434D1" w14:textId="77777777" w:rsidR="006A3667" w:rsidRDefault="006A3667">
            <w:pPr>
              <w:rPr>
                <w:rFonts w:ascii="宋体"/>
                <w:vanish/>
              </w:rPr>
            </w:pPr>
          </w:p>
        </w:tc>
        <w:tc>
          <w:tcPr>
            <w:tcW w:w="0" w:type="auto"/>
            <w:gridSpan w:val="3"/>
            <w:shd w:val="clear" w:color="auto" w:fill="auto"/>
            <w:vAlign w:val="bottom"/>
          </w:tcPr>
          <w:p w14:paraId="71D434D2" w14:textId="77777777" w:rsidR="006A3667" w:rsidRDefault="006A3667">
            <w:pPr>
              <w:rPr>
                <w:rFonts w:ascii="宋体"/>
                <w:vanish/>
              </w:rPr>
            </w:pPr>
          </w:p>
        </w:tc>
        <w:tc>
          <w:tcPr>
            <w:tcW w:w="0" w:type="auto"/>
            <w:gridSpan w:val="3"/>
            <w:shd w:val="clear" w:color="auto" w:fill="auto"/>
            <w:vAlign w:val="bottom"/>
          </w:tcPr>
          <w:p w14:paraId="71D434D3" w14:textId="77777777" w:rsidR="006A3667" w:rsidRDefault="006A3667">
            <w:pPr>
              <w:rPr>
                <w:rFonts w:ascii="宋体"/>
                <w:vanish/>
              </w:rPr>
            </w:pPr>
          </w:p>
        </w:tc>
      </w:tr>
      <w:tr w:rsidR="006A3667" w14:paraId="71D434DF" w14:textId="77777777">
        <w:trPr>
          <w:hidden/>
        </w:trPr>
        <w:tc>
          <w:tcPr>
            <w:tcW w:w="0" w:type="auto"/>
            <w:gridSpan w:val="3"/>
            <w:shd w:val="clear" w:color="auto" w:fill="auto"/>
            <w:vAlign w:val="bottom"/>
          </w:tcPr>
          <w:p w14:paraId="71D434D5" w14:textId="77777777" w:rsidR="006A3667" w:rsidRDefault="006A3667">
            <w:pPr>
              <w:rPr>
                <w:rFonts w:ascii="宋体"/>
                <w:vanish/>
              </w:rPr>
            </w:pPr>
          </w:p>
        </w:tc>
        <w:tc>
          <w:tcPr>
            <w:tcW w:w="0" w:type="auto"/>
            <w:gridSpan w:val="3"/>
            <w:shd w:val="clear" w:color="auto" w:fill="auto"/>
            <w:vAlign w:val="bottom"/>
          </w:tcPr>
          <w:p w14:paraId="71D434D6" w14:textId="77777777" w:rsidR="006A3667" w:rsidRDefault="006A3667">
            <w:pPr>
              <w:rPr>
                <w:rFonts w:ascii="宋体"/>
                <w:vanish/>
              </w:rPr>
            </w:pPr>
          </w:p>
        </w:tc>
        <w:tc>
          <w:tcPr>
            <w:tcW w:w="0" w:type="auto"/>
            <w:gridSpan w:val="3"/>
            <w:shd w:val="clear" w:color="auto" w:fill="auto"/>
            <w:vAlign w:val="bottom"/>
          </w:tcPr>
          <w:p w14:paraId="71D434D7" w14:textId="77777777" w:rsidR="006A3667" w:rsidRDefault="006A3667">
            <w:pPr>
              <w:rPr>
                <w:rFonts w:ascii="宋体"/>
                <w:vanish/>
              </w:rPr>
            </w:pPr>
          </w:p>
        </w:tc>
        <w:tc>
          <w:tcPr>
            <w:tcW w:w="0" w:type="auto"/>
            <w:gridSpan w:val="3"/>
            <w:shd w:val="clear" w:color="auto" w:fill="auto"/>
            <w:vAlign w:val="bottom"/>
          </w:tcPr>
          <w:p w14:paraId="71D434D8" w14:textId="77777777" w:rsidR="006A3667" w:rsidRDefault="006A3667">
            <w:pPr>
              <w:rPr>
                <w:rFonts w:ascii="宋体"/>
                <w:vanish/>
              </w:rPr>
            </w:pPr>
          </w:p>
        </w:tc>
        <w:tc>
          <w:tcPr>
            <w:tcW w:w="0" w:type="auto"/>
            <w:gridSpan w:val="3"/>
            <w:shd w:val="clear" w:color="auto" w:fill="auto"/>
            <w:vAlign w:val="bottom"/>
          </w:tcPr>
          <w:p w14:paraId="71D434D9" w14:textId="77777777" w:rsidR="006A3667" w:rsidRDefault="006A3667">
            <w:pPr>
              <w:rPr>
                <w:rFonts w:ascii="宋体"/>
                <w:vanish/>
              </w:rPr>
            </w:pPr>
          </w:p>
        </w:tc>
        <w:tc>
          <w:tcPr>
            <w:tcW w:w="0" w:type="auto"/>
            <w:gridSpan w:val="3"/>
            <w:shd w:val="clear" w:color="auto" w:fill="auto"/>
            <w:vAlign w:val="bottom"/>
          </w:tcPr>
          <w:p w14:paraId="71D434DA" w14:textId="77777777" w:rsidR="006A3667" w:rsidRDefault="006A3667">
            <w:pPr>
              <w:rPr>
                <w:rFonts w:ascii="宋体"/>
                <w:vanish/>
              </w:rPr>
            </w:pPr>
          </w:p>
        </w:tc>
        <w:tc>
          <w:tcPr>
            <w:tcW w:w="0" w:type="auto"/>
            <w:gridSpan w:val="3"/>
            <w:shd w:val="clear" w:color="auto" w:fill="auto"/>
            <w:vAlign w:val="bottom"/>
          </w:tcPr>
          <w:p w14:paraId="71D434DB" w14:textId="77777777" w:rsidR="006A3667" w:rsidRDefault="006A3667">
            <w:pPr>
              <w:rPr>
                <w:rFonts w:ascii="宋体"/>
                <w:vanish/>
              </w:rPr>
            </w:pPr>
          </w:p>
        </w:tc>
        <w:tc>
          <w:tcPr>
            <w:tcW w:w="0" w:type="auto"/>
            <w:gridSpan w:val="3"/>
            <w:shd w:val="clear" w:color="auto" w:fill="auto"/>
            <w:vAlign w:val="bottom"/>
          </w:tcPr>
          <w:p w14:paraId="71D434DC" w14:textId="77777777" w:rsidR="006A3667" w:rsidRDefault="006A3667">
            <w:pPr>
              <w:rPr>
                <w:rFonts w:ascii="宋体"/>
                <w:vanish/>
              </w:rPr>
            </w:pPr>
          </w:p>
        </w:tc>
        <w:tc>
          <w:tcPr>
            <w:tcW w:w="0" w:type="auto"/>
            <w:gridSpan w:val="3"/>
            <w:shd w:val="clear" w:color="auto" w:fill="auto"/>
            <w:vAlign w:val="bottom"/>
          </w:tcPr>
          <w:p w14:paraId="71D434DD" w14:textId="77777777" w:rsidR="006A3667" w:rsidRDefault="006A3667">
            <w:pPr>
              <w:rPr>
                <w:rFonts w:ascii="宋体"/>
                <w:vanish/>
              </w:rPr>
            </w:pPr>
          </w:p>
        </w:tc>
        <w:tc>
          <w:tcPr>
            <w:tcW w:w="0" w:type="auto"/>
            <w:gridSpan w:val="3"/>
            <w:shd w:val="clear" w:color="auto" w:fill="auto"/>
            <w:vAlign w:val="bottom"/>
          </w:tcPr>
          <w:p w14:paraId="71D434DE" w14:textId="77777777" w:rsidR="006A3667" w:rsidRDefault="006A3667">
            <w:pPr>
              <w:rPr>
                <w:rFonts w:ascii="宋体"/>
                <w:vanish/>
              </w:rPr>
            </w:pPr>
          </w:p>
        </w:tc>
      </w:tr>
      <w:tr w:rsidR="006A3667" w14:paraId="71D434EA" w14:textId="77777777">
        <w:trPr>
          <w:hidden/>
        </w:trPr>
        <w:tc>
          <w:tcPr>
            <w:tcW w:w="0" w:type="auto"/>
            <w:gridSpan w:val="3"/>
            <w:shd w:val="clear" w:color="auto" w:fill="auto"/>
            <w:vAlign w:val="bottom"/>
          </w:tcPr>
          <w:p w14:paraId="71D434E0" w14:textId="77777777" w:rsidR="006A3667" w:rsidRDefault="006A3667">
            <w:pPr>
              <w:rPr>
                <w:rFonts w:ascii="宋体"/>
                <w:vanish/>
              </w:rPr>
            </w:pPr>
          </w:p>
        </w:tc>
        <w:tc>
          <w:tcPr>
            <w:tcW w:w="0" w:type="auto"/>
            <w:gridSpan w:val="3"/>
            <w:shd w:val="clear" w:color="auto" w:fill="auto"/>
            <w:vAlign w:val="bottom"/>
          </w:tcPr>
          <w:p w14:paraId="71D434E1" w14:textId="77777777" w:rsidR="006A3667" w:rsidRDefault="006A3667">
            <w:pPr>
              <w:rPr>
                <w:rFonts w:ascii="宋体"/>
                <w:vanish/>
              </w:rPr>
            </w:pPr>
          </w:p>
        </w:tc>
        <w:tc>
          <w:tcPr>
            <w:tcW w:w="0" w:type="auto"/>
            <w:gridSpan w:val="3"/>
            <w:shd w:val="clear" w:color="auto" w:fill="auto"/>
            <w:vAlign w:val="bottom"/>
          </w:tcPr>
          <w:p w14:paraId="71D434E2" w14:textId="77777777" w:rsidR="006A3667" w:rsidRDefault="006A3667">
            <w:pPr>
              <w:rPr>
                <w:rFonts w:ascii="宋体"/>
                <w:vanish/>
              </w:rPr>
            </w:pPr>
          </w:p>
        </w:tc>
        <w:tc>
          <w:tcPr>
            <w:tcW w:w="0" w:type="auto"/>
            <w:gridSpan w:val="3"/>
            <w:shd w:val="clear" w:color="auto" w:fill="auto"/>
            <w:vAlign w:val="bottom"/>
          </w:tcPr>
          <w:p w14:paraId="71D434E3" w14:textId="77777777" w:rsidR="006A3667" w:rsidRDefault="006A3667">
            <w:pPr>
              <w:rPr>
                <w:rFonts w:ascii="宋体"/>
                <w:vanish/>
              </w:rPr>
            </w:pPr>
          </w:p>
        </w:tc>
        <w:tc>
          <w:tcPr>
            <w:tcW w:w="0" w:type="auto"/>
            <w:gridSpan w:val="3"/>
            <w:shd w:val="clear" w:color="auto" w:fill="auto"/>
            <w:vAlign w:val="bottom"/>
          </w:tcPr>
          <w:p w14:paraId="71D434E4" w14:textId="77777777" w:rsidR="006A3667" w:rsidRDefault="006A3667">
            <w:pPr>
              <w:rPr>
                <w:rFonts w:ascii="宋体"/>
                <w:vanish/>
              </w:rPr>
            </w:pPr>
          </w:p>
        </w:tc>
        <w:tc>
          <w:tcPr>
            <w:tcW w:w="0" w:type="auto"/>
            <w:gridSpan w:val="3"/>
            <w:shd w:val="clear" w:color="auto" w:fill="auto"/>
            <w:vAlign w:val="bottom"/>
          </w:tcPr>
          <w:p w14:paraId="71D434E5" w14:textId="77777777" w:rsidR="006A3667" w:rsidRDefault="006A3667">
            <w:pPr>
              <w:rPr>
                <w:rFonts w:ascii="宋体"/>
                <w:vanish/>
              </w:rPr>
            </w:pPr>
          </w:p>
        </w:tc>
        <w:tc>
          <w:tcPr>
            <w:tcW w:w="0" w:type="auto"/>
            <w:gridSpan w:val="3"/>
            <w:shd w:val="clear" w:color="auto" w:fill="auto"/>
            <w:vAlign w:val="bottom"/>
          </w:tcPr>
          <w:p w14:paraId="71D434E6" w14:textId="77777777" w:rsidR="006A3667" w:rsidRDefault="006A3667">
            <w:pPr>
              <w:rPr>
                <w:rFonts w:ascii="宋体"/>
                <w:vanish/>
              </w:rPr>
            </w:pPr>
          </w:p>
        </w:tc>
        <w:tc>
          <w:tcPr>
            <w:tcW w:w="0" w:type="auto"/>
            <w:gridSpan w:val="3"/>
            <w:shd w:val="clear" w:color="auto" w:fill="auto"/>
            <w:vAlign w:val="bottom"/>
          </w:tcPr>
          <w:p w14:paraId="71D434E7" w14:textId="77777777" w:rsidR="006A3667" w:rsidRDefault="006A3667">
            <w:pPr>
              <w:rPr>
                <w:rFonts w:ascii="宋体"/>
                <w:vanish/>
              </w:rPr>
            </w:pPr>
          </w:p>
        </w:tc>
        <w:tc>
          <w:tcPr>
            <w:tcW w:w="0" w:type="auto"/>
            <w:gridSpan w:val="3"/>
            <w:shd w:val="clear" w:color="auto" w:fill="auto"/>
            <w:vAlign w:val="bottom"/>
          </w:tcPr>
          <w:p w14:paraId="71D434E8" w14:textId="77777777" w:rsidR="006A3667" w:rsidRDefault="006A3667">
            <w:pPr>
              <w:rPr>
                <w:rFonts w:ascii="宋体"/>
                <w:vanish/>
              </w:rPr>
            </w:pPr>
          </w:p>
        </w:tc>
        <w:tc>
          <w:tcPr>
            <w:tcW w:w="0" w:type="auto"/>
            <w:gridSpan w:val="3"/>
            <w:shd w:val="clear" w:color="auto" w:fill="auto"/>
            <w:vAlign w:val="bottom"/>
          </w:tcPr>
          <w:p w14:paraId="71D434E9" w14:textId="77777777" w:rsidR="006A3667" w:rsidRDefault="006A3667">
            <w:pPr>
              <w:rPr>
                <w:rFonts w:ascii="宋体"/>
                <w:vanish/>
              </w:rPr>
            </w:pPr>
          </w:p>
        </w:tc>
      </w:tr>
      <w:tr w:rsidR="006A3667" w14:paraId="71D434F9" w14:textId="77777777">
        <w:tc>
          <w:tcPr>
            <w:tcW w:w="0" w:type="auto"/>
            <w:gridSpan w:val="3"/>
            <w:shd w:val="clear" w:color="auto" w:fill="FFFFFF"/>
            <w:tcMar>
              <w:top w:w="40" w:type="dxa"/>
              <w:left w:w="740" w:type="dxa"/>
              <w:bottom w:w="40" w:type="dxa"/>
              <w:right w:w="20" w:type="dxa"/>
            </w:tcMar>
            <w:vAlign w:val="bottom"/>
          </w:tcPr>
          <w:p w14:paraId="71D434EB" w14:textId="77777777" w:rsidR="006A3667" w:rsidRDefault="00045F32">
            <w:pPr>
              <w:textAlignment w:val="bottom"/>
            </w:pPr>
            <w:r>
              <w:rPr>
                <w:rFonts w:ascii="Arial" w:eastAsia="宋体" w:hAnsi="Arial" w:cs="Arial"/>
                <w:color w:val="000000"/>
                <w:sz w:val="14"/>
                <w:szCs w:val="14"/>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4EC" w14:textId="77777777" w:rsidR="006A3667" w:rsidRDefault="00045F32">
            <w:pPr>
              <w:jc w:val="right"/>
              <w:textAlignment w:val="bottom"/>
            </w:pPr>
            <w:r>
              <w:rPr>
                <w:rFonts w:ascii="Arial" w:eastAsia="宋体" w:hAnsi="Arial" w:cs="Arial"/>
                <w:b/>
                <w:bCs/>
                <w:color w:val="000000"/>
                <w:sz w:val="14"/>
                <w:szCs w:val="14"/>
              </w:rPr>
              <w:t>7,856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4E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E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4EF" w14:textId="77777777" w:rsidR="006A3667" w:rsidRDefault="00045F32">
            <w:pPr>
              <w:jc w:val="right"/>
              <w:textAlignment w:val="bottom"/>
            </w:pPr>
            <w:r>
              <w:rPr>
                <w:rFonts w:ascii="Arial" w:eastAsia="宋体" w:hAnsi="Arial" w:cs="Arial"/>
                <w:b/>
                <w:bCs/>
                <w:color w:val="000000"/>
                <w:sz w:val="14"/>
                <w:szCs w:val="14"/>
              </w:rPr>
              <w:t>33,130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4F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F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4F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4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4F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4F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4F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4F7" w14:textId="77777777" w:rsidR="006A3667" w:rsidRDefault="00045F32">
            <w:pPr>
              <w:jc w:val="right"/>
              <w:textAlignment w:val="bottom"/>
            </w:pPr>
            <w:r>
              <w:rPr>
                <w:rFonts w:ascii="Arial" w:eastAsia="宋体" w:hAnsi="Arial" w:cs="Arial"/>
                <w:b/>
                <w:bCs/>
                <w:color w:val="000000"/>
                <w:sz w:val="14"/>
                <w:szCs w:val="14"/>
              </w:rPr>
              <w:t>40,986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4F8" w14:textId="77777777" w:rsidR="006A3667" w:rsidRDefault="006A3667">
            <w:pPr>
              <w:jc w:val="right"/>
              <w:rPr>
                <w:rFonts w:ascii="宋体"/>
              </w:rPr>
            </w:pPr>
          </w:p>
        </w:tc>
      </w:tr>
      <w:tr w:rsidR="006A3667" w14:paraId="71D43504" w14:textId="77777777">
        <w:tc>
          <w:tcPr>
            <w:tcW w:w="0" w:type="auto"/>
            <w:gridSpan w:val="3"/>
            <w:shd w:val="clear" w:color="auto" w:fill="CCEEFF"/>
            <w:tcMar>
              <w:top w:w="40" w:type="dxa"/>
              <w:left w:w="20" w:type="dxa"/>
              <w:bottom w:w="40" w:type="dxa"/>
              <w:right w:w="20" w:type="dxa"/>
            </w:tcMar>
            <w:vAlign w:val="bottom"/>
          </w:tcPr>
          <w:p w14:paraId="71D434FA" w14:textId="77777777" w:rsidR="006A3667" w:rsidRDefault="00045F32">
            <w:pPr>
              <w:textAlignment w:val="bottom"/>
            </w:pPr>
            <w:r>
              <w:rPr>
                <w:rFonts w:ascii="Arial" w:eastAsia="宋体" w:hAnsi="Arial" w:cs="Arial"/>
                <w:color w:val="000000"/>
                <w:sz w:val="14"/>
                <w:szCs w:val="14"/>
              </w:rPr>
              <w:t>Other assets:</w:t>
            </w:r>
          </w:p>
        </w:tc>
        <w:tc>
          <w:tcPr>
            <w:tcW w:w="0" w:type="auto"/>
            <w:gridSpan w:val="3"/>
            <w:shd w:val="clear" w:color="auto" w:fill="CCEEFF"/>
            <w:tcMar>
              <w:top w:w="0" w:type="dxa"/>
              <w:left w:w="20" w:type="dxa"/>
              <w:bottom w:w="0" w:type="dxa"/>
              <w:right w:w="20" w:type="dxa"/>
            </w:tcMar>
            <w:vAlign w:val="bottom"/>
          </w:tcPr>
          <w:p w14:paraId="71D434F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F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F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F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4F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0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0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0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03" w14:textId="77777777" w:rsidR="006A3667" w:rsidRDefault="006A3667">
            <w:pPr>
              <w:rPr>
                <w:rFonts w:ascii="宋体"/>
              </w:rPr>
            </w:pPr>
          </w:p>
        </w:tc>
      </w:tr>
      <w:tr w:rsidR="006A3667" w14:paraId="71D4350F" w14:textId="77777777">
        <w:tc>
          <w:tcPr>
            <w:tcW w:w="0" w:type="auto"/>
            <w:gridSpan w:val="3"/>
            <w:shd w:val="clear" w:color="auto" w:fill="FFFFFF"/>
            <w:tcMar>
              <w:top w:w="40" w:type="dxa"/>
              <w:left w:w="245" w:type="dxa"/>
              <w:bottom w:w="40" w:type="dxa"/>
              <w:right w:w="20" w:type="dxa"/>
            </w:tcMar>
            <w:vAlign w:val="bottom"/>
          </w:tcPr>
          <w:p w14:paraId="71D43505" w14:textId="77777777" w:rsidR="006A3667" w:rsidRDefault="00045F32">
            <w:pPr>
              <w:textAlignment w:val="bottom"/>
            </w:pPr>
            <w:r>
              <w:rPr>
                <w:rFonts w:ascii="Arial" w:eastAsia="宋体" w:hAnsi="Arial" w:cs="Arial"/>
                <w:color w:val="000000"/>
                <w:sz w:val="14"/>
                <w:szCs w:val="14"/>
              </w:rPr>
              <w:t>Derivative instruments:</w:t>
            </w:r>
          </w:p>
        </w:tc>
        <w:tc>
          <w:tcPr>
            <w:tcW w:w="0" w:type="auto"/>
            <w:gridSpan w:val="3"/>
            <w:shd w:val="clear" w:color="auto" w:fill="FFFFFF"/>
            <w:tcMar>
              <w:top w:w="0" w:type="dxa"/>
              <w:left w:w="20" w:type="dxa"/>
              <w:bottom w:w="0" w:type="dxa"/>
              <w:right w:w="20" w:type="dxa"/>
            </w:tcMar>
            <w:vAlign w:val="bottom"/>
          </w:tcPr>
          <w:p w14:paraId="71D4350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0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0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0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0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0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0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0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0E" w14:textId="77777777" w:rsidR="006A3667" w:rsidRDefault="006A3667">
            <w:pPr>
              <w:rPr>
                <w:rFonts w:ascii="宋体"/>
              </w:rPr>
            </w:pPr>
          </w:p>
        </w:tc>
      </w:tr>
      <w:tr w:rsidR="006A3667" w14:paraId="71D43520" w14:textId="77777777">
        <w:tc>
          <w:tcPr>
            <w:tcW w:w="0" w:type="auto"/>
            <w:gridSpan w:val="3"/>
            <w:shd w:val="clear" w:color="auto" w:fill="CCEEFF"/>
            <w:tcMar>
              <w:top w:w="40" w:type="dxa"/>
              <w:left w:w="515" w:type="dxa"/>
              <w:bottom w:w="40" w:type="dxa"/>
              <w:right w:w="20" w:type="dxa"/>
            </w:tcMar>
            <w:vAlign w:val="bottom"/>
          </w:tcPr>
          <w:p w14:paraId="71D43510" w14:textId="77777777" w:rsidR="006A3667" w:rsidRDefault="00045F32">
            <w:pPr>
              <w:textAlignment w:val="bottom"/>
            </w:pPr>
            <w:r>
              <w:rPr>
                <w:rFonts w:ascii="Arial" w:eastAsia="宋体" w:hAnsi="Arial" w:cs="Arial"/>
                <w:color w:val="000000"/>
                <w:sz w:val="14"/>
                <w:szCs w:val="14"/>
              </w:rPr>
              <w:t>Foreign exchange contracts</w:t>
            </w:r>
          </w:p>
        </w:tc>
        <w:tc>
          <w:tcPr>
            <w:tcW w:w="0" w:type="auto"/>
            <w:gridSpan w:val="2"/>
            <w:shd w:val="clear" w:color="auto" w:fill="CCEEFF"/>
            <w:tcMar>
              <w:top w:w="40" w:type="dxa"/>
              <w:left w:w="20" w:type="dxa"/>
              <w:bottom w:w="40" w:type="dxa"/>
              <w:right w:w="0" w:type="dxa"/>
            </w:tcMar>
            <w:vAlign w:val="bottom"/>
          </w:tcPr>
          <w:p w14:paraId="71D43511"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1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514" w14:textId="77777777" w:rsidR="006A3667" w:rsidRDefault="00045F32">
            <w:pPr>
              <w:jc w:val="right"/>
              <w:textAlignment w:val="bottom"/>
            </w:pPr>
            <w:r>
              <w:rPr>
                <w:rFonts w:ascii="Arial" w:eastAsia="宋体" w:hAnsi="Arial" w:cs="Arial"/>
                <w:b/>
                <w:bCs/>
                <w:color w:val="000000"/>
                <w:sz w:val="14"/>
                <w:szCs w:val="14"/>
              </w:rPr>
              <w:t>30,117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1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517" w14:textId="77777777" w:rsidR="006A3667" w:rsidRDefault="00045F32">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1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51A"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51B" w14:textId="77777777" w:rsidR="006A3667" w:rsidRDefault="00045F32">
            <w:pPr>
              <w:jc w:val="right"/>
              <w:textAlignment w:val="bottom"/>
            </w:pPr>
            <w:r>
              <w:rPr>
                <w:rFonts w:ascii="Arial" w:eastAsia="宋体" w:hAnsi="Arial" w:cs="Arial"/>
                <w:b/>
                <w:bCs/>
                <w:color w:val="000000"/>
                <w:sz w:val="14"/>
                <w:szCs w:val="14"/>
              </w:rPr>
              <w:t>(18,950)</w:t>
            </w:r>
          </w:p>
        </w:tc>
        <w:tc>
          <w:tcPr>
            <w:tcW w:w="0" w:type="auto"/>
            <w:shd w:val="clear" w:color="auto" w:fill="CCEEFF"/>
            <w:tcMar>
              <w:top w:w="40" w:type="dxa"/>
              <w:left w:w="0" w:type="dxa"/>
              <w:bottom w:w="40" w:type="dxa"/>
              <w:right w:w="20" w:type="dxa"/>
            </w:tcMar>
            <w:vAlign w:val="bottom"/>
          </w:tcPr>
          <w:p w14:paraId="71D435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1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51E" w14:textId="77777777" w:rsidR="006A3667" w:rsidRDefault="00045F32">
            <w:pPr>
              <w:jc w:val="right"/>
              <w:textAlignment w:val="bottom"/>
            </w:pPr>
            <w:r>
              <w:rPr>
                <w:rFonts w:ascii="Arial" w:eastAsia="宋体" w:hAnsi="Arial" w:cs="Arial"/>
                <w:b/>
                <w:bCs/>
                <w:color w:val="000000"/>
                <w:sz w:val="14"/>
                <w:szCs w:val="14"/>
              </w:rPr>
              <w:t>11,184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1F" w14:textId="77777777" w:rsidR="006A3667" w:rsidRDefault="006A3667">
            <w:pPr>
              <w:jc w:val="right"/>
              <w:rPr>
                <w:rFonts w:ascii="宋体"/>
              </w:rPr>
            </w:pPr>
          </w:p>
        </w:tc>
      </w:tr>
      <w:tr w:rsidR="006A3667" w14:paraId="71D43530" w14:textId="77777777">
        <w:tc>
          <w:tcPr>
            <w:tcW w:w="0" w:type="auto"/>
            <w:gridSpan w:val="3"/>
            <w:shd w:val="clear" w:color="auto" w:fill="FFFFFF"/>
            <w:tcMar>
              <w:top w:w="40" w:type="dxa"/>
              <w:left w:w="515" w:type="dxa"/>
              <w:bottom w:w="40" w:type="dxa"/>
              <w:right w:w="20" w:type="dxa"/>
            </w:tcMar>
            <w:vAlign w:val="bottom"/>
          </w:tcPr>
          <w:p w14:paraId="71D43521" w14:textId="77777777" w:rsidR="006A3667" w:rsidRDefault="00045F32">
            <w:pPr>
              <w:textAlignment w:val="bottom"/>
            </w:pPr>
            <w:r>
              <w:rPr>
                <w:rFonts w:ascii="Arial" w:eastAsia="宋体" w:hAnsi="Arial" w:cs="Arial"/>
                <w:color w:val="000000"/>
                <w:sz w:val="14"/>
                <w:szCs w:val="14"/>
              </w:rPr>
              <w:t>Interest rate contracts</w:t>
            </w:r>
          </w:p>
        </w:tc>
        <w:tc>
          <w:tcPr>
            <w:tcW w:w="0" w:type="auto"/>
            <w:gridSpan w:val="2"/>
            <w:shd w:val="clear" w:color="auto" w:fill="FFFFFF"/>
            <w:tcMar>
              <w:top w:w="40" w:type="dxa"/>
              <w:left w:w="20" w:type="dxa"/>
              <w:bottom w:w="40" w:type="dxa"/>
              <w:right w:w="0" w:type="dxa"/>
            </w:tcMar>
            <w:vAlign w:val="bottom"/>
          </w:tcPr>
          <w:p w14:paraId="71D4352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2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2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2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2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2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2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2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2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2F" w14:textId="77777777" w:rsidR="006A3667" w:rsidRDefault="006A3667">
            <w:pPr>
              <w:jc w:val="right"/>
              <w:rPr>
                <w:rFonts w:ascii="宋体"/>
              </w:rPr>
            </w:pPr>
          </w:p>
        </w:tc>
      </w:tr>
      <w:tr w:rsidR="006A3667" w14:paraId="71D4353B" w14:textId="77777777">
        <w:trPr>
          <w:hidden/>
        </w:trPr>
        <w:tc>
          <w:tcPr>
            <w:tcW w:w="0" w:type="auto"/>
            <w:gridSpan w:val="3"/>
            <w:shd w:val="clear" w:color="auto" w:fill="auto"/>
            <w:vAlign w:val="bottom"/>
          </w:tcPr>
          <w:p w14:paraId="71D43531" w14:textId="77777777" w:rsidR="006A3667" w:rsidRDefault="006A3667">
            <w:pPr>
              <w:rPr>
                <w:rFonts w:ascii="宋体"/>
                <w:vanish/>
              </w:rPr>
            </w:pPr>
          </w:p>
        </w:tc>
        <w:tc>
          <w:tcPr>
            <w:tcW w:w="0" w:type="auto"/>
            <w:gridSpan w:val="3"/>
            <w:shd w:val="clear" w:color="auto" w:fill="auto"/>
            <w:vAlign w:val="bottom"/>
          </w:tcPr>
          <w:p w14:paraId="71D43532" w14:textId="77777777" w:rsidR="006A3667" w:rsidRDefault="006A3667">
            <w:pPr>
              <w:rPr>
                <w:rFonts w:ascii="宋体"/>
                <w:vanish/>
              </w:rPr>
            </w:pPr>
          </w:p>
        </w:tc>
        <w:tc>
          <w:tcPr>
            <w:tcW w:w="0" w:type="auto"/>
            <w:gridSpan w:val="3"/>
            <w:shd w:val="clear" w:color="auto" w:fill="auto"/>
            <w:vAlign w:val="bottom"/>
          </w:tcPr>
          <w:p w14:paraId="71D43533" w14:textId="77777777" w:rsidR="006A3667" w:rsidRDefault="006A3667">
            <w:pPr>
              <w:rPr>
                <w:rFonts w:ascii="宋体"/>
                <w:vanish/>
              </w:rPr>
            </w:pPr>
          </w:p>
        </w:tc>
        <w:tc>
          <w:tcPr>
            <w:tcW w:w="0" w:type="auto"/>
            <w:gridSpan w:val="3"/>
            <w:shd w:val="clear" w:color="auto" w:fill="auto"/>
            <w:vAlign w:val="bottom"/>
          </w:tcPr>
          <w:p w14:paraId="71D43534" w14:textId="77777777" w:rsidR="006A3667" w:rsidRDefault="006A3667">
            <w:pPr>
              <w:rPr>
                <w:rFonts w:ascii="宋体"/>
                <w:vanish/>
              </w:rPr>
            </w:pPr>
          </w:p>
        </w:tc>
        <w:tc>
          <w:tcPr>
            <w:tcW w:w="0" w:type="auto"/>
            <w:gridSpan w:val="3"/>
            <w:shd w:val="clear" w:color="auto" w:fill="auto"/>
            <w:vAlign w:val="bottom"/>
          </w:tcPr>
          <w:p w14:paraId="71D43535" w14:textId="77777777" w:rsidR="006A3667" w:rsidRDefault="006A3667">
            <w:pPr>
              <w:rPr>
                <w:rFonts w:ascii="宋体"/>
                <w:vanish/>
              </w:rPr>
            </w:pPr>
          </w:p>
        </w:tc>
        <w:tc>
          <w:tcPr>
            <w:tcW w:w="0" w:type="auto"/>
            <w:gridSpan w:val="3"/>
            <w:shd w:val="clear" w:color="auto" w:fill="auto"/>
            <w:vAlign w:val="bottom"/>
          </w:tcPr>
          <w:p w14:paraId="71D43536" w14:textId="77777777" w:rsidR="006A3667" w:rsidRDefault="006A3667">
            <w:pPr>
              <w:rPr>
                <w:rFonts w:ascii="宋体"/>
                <w:vanish/>
              </w:rPr>
            </w:pPr>
          </w:p>
        </w:tc>
        <w:tc>
          <w:tcPr>
            <w:tcW w:w="0" w:type="auto"/>
            <w:gridSpan w:val="3"/>
            <w:shd w:val="clear" w:color="auto" w:fill="auto"/>
            <w:vAlign w:val="bottom"/>
          </w:tcPr>
          <w:p w14:paraId="71D43537" w14:textId="77777777" w:rsidR="006A3667" w:rsidRDefault="006A3667">
            <w:pPr>
              <w:rPr>
                <w:rFonts w:ascii="宋体"/>
                <w:vanish/>
              </w:rPr>
            </w:pPr>
          </w:p>
        </w:tc>
        <w:tc>
          <w:tcPr>
            <w:tcW w:w="0" w:type="auto"/>
            <w:gridSpan w:val="3"/>
            <w:shd w:val="clear" w:color="auto" w:fill="auto"/>
            <w:vAlign w:val="bottom"/>
          </w:tcPr>
          <w:p w14:paraId="71D43538" w14:textId="77777777" w:rsidR="006A3667" w:rsidRDefault="006A3667">
            <w:pPr>
              <w:rPr>
                <w:rFonts w:ascii="宋体"/>
                <w:vanish/>
              </w:rPr>
            </w:pPr>
          </w:p>
        </w:tc>
        <w:tc>
          <w:tcPr>
            <w:tcW w:w="0" w:type="auto"/>
            <w:gridSpan w:val="3"/>
            <w:shd w:val="clear" w:color="auto" w:fill="auto"/>
            <w:vAlign w:val="bottom"/>
          </w:tcPr>
          <w:p w14:paraId="71D43539" w14:textId="77777777" w:rsidR="006A3667" w:rsidRDefault="006A3667">
            <w:pPr>
              <w:rPr>
                <w:rFonts w:ascii="宋体"/>
                <w:vanish/>
              </w:rPr>
            </w:pPr>
          </w:p>
        </w:tc>
        <w:tc>
          <w:tcPr>
            <w:tcW w:w="0" w:type="auto"/>
            <w:gridSpan w:val="3"/>
            <w:shd w:val="clear" w:color="auto" w:fill="auto"/>
            <w:vAlign w:val="bottom"/>
          </w:tcPr>
          <w:p w14:paraId="71D4353A" w14:textId="77777777" w:rsidR="006A3667" w:rsidRDefault="006A3667">
            <w:pPr>
              <w:rPr>
                <w:rFonts w:ascii="宋体"/>
                <w:vanish/>
              </w:rPr>
            </w:pPr>
          </w:p>
        </w:tc>
      </w:tr>
      <w:tr w:rsidR="006A3667" w14:paraId="71D4354B" w14:textId="77777777">
        <w:tc>
          <w:tcPr>
            <w:tcW w:w="0" w:type="auto"/>
            <w:gridSpan w:val="3"/>
            <w:shd w:val="clear" w:color="auto" w:fill="CCEEFF"/>
            <w:tcMar>
              <w:top w:w="40" w:type="dxa"/>
              <w:left w:w="740" w:type="dxa"/>
              <w:bottom w:w="40" w:type="dxa"/>
              <w:right w:w="20" w:type="dxa"/>
            </w:tcMar>
            <w:vAlign w:val="bottom"/>
          </w:tcPr>
          <w:p w14:paraId="71D4353C" w14:textId="77777777" w:rsidR="006A3667" w:rsidRDefault="00045F32">
            <w:pPr>
              <w:textAlignment w:val="bottom"/>
            </w:pPr>
            <w:r>
              <w:rPr>
                <w:rFonts w:ascii="Arial" w:eastAsia="宋体" w:hAnsi="Arial" w:cs="Arial"/>
                <w:color w:val="000000"/>
                <w:sz w:val="14"/>
                <w:szCs w:val="14"/>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53D"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3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540" w14:textId="77777777" w:rsidR="006A3667" w:rsidRDefault="00045F32">
            <w:pPr>
              <w:jc w:val="right"/>
              <w:textAlignment w:val="bottom"/>
            </w:pPr>
            <w:r>
              <w:rPr>
                <w:rFonts w:ascii="Arial" w:eastAsia="宋体" w:hAnsi="Arial" w:cs="Arial"/>
                <w:b/>
                <w:bCs/>
                <w:color w:val="000000"/>
                <w:sz w:val="14"/>
                <w:szCs w:val="14"/>
              </w:rPr>
              <w:t>30,117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4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543" w14:textId="77777777" w:rsidR="006A3667" w:rsidRDefault="00045F32">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4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546" w14:textId="77777777" w:rsidR="006A3667" w:rsidRDefault="00045F32">
            <w:pPr>
              <w:jc w:val="right"/>
              <w:textAlignment w:val="bottom"/>
            </w:pPr>
            <w:r>
              <w:rPr>
                <w:rFonts w:ascii="Arial" w:eastAsia="宋体" w:hAnsi="Arial" w:cs="Arial"/>
                <w:b/>
                <w:bCs/>
                <w:color w:val="000000"/>
                <w:sz w:val="14"/>
                <w:szCs w:val="14"/>
              </w:rPr>
              <w:t>(18,950)</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4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4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549" w14:textId="77777777" w:rsidR="006A3667" w:rsidRDefault="00045F32">
            <w:pPr>
              <w:jc w:val="right"/>
              <w:textAlignment w:val="bottom"/>
            </w:pPr>
            <w:r>
              <w:rPr>
                <w:rFonts w:ascii="Arial" w:eastAsia="宋体" w:hAnsi="Arial" w:cs="Arial"/>
                <w:b/>
                <w:bCs/>
                <w:color w:val="000000"/>
                <w:sz w:val="14"/>
                <w:szCs w:val="14"/>
              </w:rPr>
              <w:t>11,184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4A" w14:textId="77777777" w:rsidR="006A3667" w:rsidRDefault="006A3667">
            <w:pPr>
              <w:jc w:val="right"/>
              <w:rPr>
                <w:rFonts w:ascii="宋体"/>
              </w:rPr>
            </w:pPr>
          </w:p>
        </w:tc>
      </w:tr>
      <w:tr w:rsidR="006A3667" w14:paraId="71D43556" w14:textId="77777777">
        <w:trPr>
          <w:hidden/>
        </w:trPr>
        <w:tc>
          <w:tcPr>
            <w:tcW w:w="0" w:type="auto"/>
            <w:gridSpan w:val="3"/>
            <w:shd w:val="clear" w:color="auto" w:fill="auto"/>
            <w:vAlign w:val="bottom"/>
          </w:tcPr>
          <w:p w14:paraId="71D4354C" w14:textId="77777777" w:rsidR="006A3667" w:rsidRDefault="006A3667">
            <w:pPr>
              <w:rPr>
                <w:rFonts w:ascii="宋体"/>
                <w:vanish/>
              </w:rPr>
            </w:pPr>
          </w:p>
        </w:tc>
        <w:tc>
          <w:tcPr>
            <w:tcW w:w="0" w:type="auto"/>
            <w:gridSpan w:val="3"/>
            <w:shd w:val="clear" w:color="auto" w:fill="auto"/>
            <w:vAlign w:val="bottom"/>
          </w:tcPr>
          <w:p w14:paraId="71D4354D" w14:textId="77777777" w:rsidR="006A3667" w:rsidRDefault="006A3667">
            <w:pPr>
              <w:rPr>
                <w:rFonts w:ascii="宋体"/>
                <w:vanish/>
              </w:rPr>
            </w:pPr>
          </w:p>
        </w:tc>
        <w:tc>
          <w:tcPr>
            <w:tcW w:w="0" w:type="auto"/>
            <w:gridSpan w:val="3"/>
            <w:shd w:val="clear" w:color="auto" w:fill="auto"/>
            <w:vAlign w:val="bottom"/>
          </w:tcPr>
          <w:p w14:paraId="71D4354E" w14:textId="77777777" w:rsidR="006A3667" w:rsidRDefault="006A3667">
            <w:pPr>
              <w:rPr>
                <w:rFonts w:ascii="宋体"/>
                <w:vanish/>
              </w:rPr>
            </w:pPr>
          </w:p>
        </w:tc>
        <w:tc>
          <w:tcPr>
            <w:tcW w:w="0" w:type="auto"/>
            <w:gridSpan w:val="3"/>
            <w:shd w:val="clear" w:color="auto" w:fill="auto"/>
            <w:vAlign w:val="bottom"/>
          </w:tcPr>
          <w:p w14:paraId="71D4354F" w14:textId="77777777" w:rsidR="006A3667" w:rsidRDefault="006A3667">
            <w:pPr>
              <w:rPr>
                <w:rFonts w:ascii="宋体"/>
                <w:vanish/>
              </w:rPr>
            </w:pPr>
          </w:p>
        </w:tc>
        <w:tc>
          <w:tcPr>
            <w:tcW w:w="0" w:type="auto"/>
            <w:gridSpan w:val="3"/>
            <w:shd w:val="clear" w:color="auto" w:fill="auto"/>
            <w:vAlign w:val="bottom"/>
          </w:tcPr>
          <w:p w14:paraId="71D43550" w14:textId="77777777" w:rsidR="006A3667" w:rsidRDefault="006A3667">
            <w:pPr>
              <w:rPr>
                <w:rFonts w:ascii="宋体"/>
                <w:vanish/>
              </w:rPr>
            </w:pPr>
          </w:p>
        </w:tc>
        <w:tc>
          <w:tcPr>
            <w:tcW w:w="0" w:type="auto"/>
            <w:gridSpan w:val="3"/>
            <w:shd w:val="clear" w:color="auto" w:fill="auto"/>
            <w:vAlign w:val="bottom"/>
          </w:tcPr>
          <w:p w14:paraId="71D43551" w14:textId="77777777" w:rsidR="006A3667" w:rsidRDefault="006A3667">
            <w:pPr>
              <w:rPr>
                <w:rFonts w:ascii="宋体"/>
                <w:vanish/>
              </w:rPr>
            </w:pPr>
          </w:p>
        </w:tc>
        <w:tc>
          <w:tcPr>
            <w:tcW w:w="0" w:type="auto"/>
            <w:gridSpan w:val="3"/>
            <w:shd w:val="clear" w:color="auto" w:fill="auto"/>
            <w:vAlign w:val="bottom"/>
          </w:tcPr>
          <w:p w14:paraId="71D43552" w14:textId="77777777" w:rsidR="006A3667" w:rsidRDefault="006A3667">
            <w:pPr>
              <w:rPr>
                <w:rFonts w:ascii="宋体"/>
                <w:vanish/>
              </w:rPr>
            </w:pPr>
          </w:p>
        </w:tc>
        <w:tc>
          <w:tcPr>
            <w:tcW w:w="0" w:type="auto"/>
            <w:gridSpan w:val="3"/>
            <w:shd w:val="clear" w:color="auto" w:fill="auto"/>
            <w:vAlign w:val="bottom"/>
          </w:tcPr>
          <w:p w14:paraId="71D43553" w14:textId="77777777" w:rsidR="006A3667" w:rsidRDefault="006A3667">
            <w:pPr>
              <w:rPr>
                <w:rFonts w:ascii="宋体"/>
                <w:vanish/>
              </w:rPr>
            </w:pPr>
          </w:p>
        </w:tc>
        <w:tc>
          <w:tcPr>
            <w:tcW w:w="0" w:type="auto"/>
            <w:gridSpan w:val="3"/>
            <w:shd w:val="clear" w:color="auto" w:fill="auto"/>
            <w:vAlign w:val="bottom"/>
          </w:tcPr>
          <w:p w14:paraId="71D43554" w14:textId="77777777" w:rsidR="006A3667" w:rsidRDefault="006A3667">
            <w:pPr>
              <w:rPr>
                <w:rFonts w:ascii="宋体"/>
                <w:vanish/>
              </w:rPr>
            </w:pPr>
          </w:p>
        </w:tc>
        <w:tc>
          <w:tcPr>
            <w:tcW w:w="0" w:type="auto"/>
            <w:gridSpan w:val="3"/>
            <w:shd w:val="clear" w:color="auto" w:fill="auto"/>
            <w:vAlign w:val="bottom"/>
          </w:tcPr>
          <w:p w14:paraId="71D43555" w14:textId="77777777" w:rsidR="006A3667" w:rsidRDefault="006A3667">
            <w:pPr>
              <w:rPr>
                <w:rFonts w:ascii="宋体"/>
                <w:vanish/>
              </w:rPr>
            </w:pPr>
          </w:p>
        </w:tc>
      </w:tr>
      <w:tr w:rsidR="006A3667" w14:paraId="71D43561" w14:textId="77777777">
        <w:trPr>
          <w:hidden/>
        </w:trPr>
        <w:tc>
          <w:tcPr>
            <w:tcW w:w="0" w:type="auto"/>
            <w:gridSpan w:val="3"/>
            <w:shd w:val="clear" w:color="auto" w:fill="auto"/>
            <w:vAlign w:val="bottom"/>
          </w:tcPr>
          <w:p w14:paraId="71D43557" w14:textId="77777777" w:rsidR="006A3667" w:rsidRDefault="006A3667">
            <w:pPr>
              <w:rPr>
                <w:rFonts w:ascii="宋体"/>
                <w:vanish/>
              </w:rPr>
            </w:pPr>
          </w:p>
        </w:tc>
        <w:tc>
          <w:tcPr>
            <w:tcW w:w="0" w:type="auto"/>
            <w:gridSpan w:val="3"/>
            <w:shd w:val="clear" w:color="auto" w:fill="auto"/>
            <w:vAlign w:val="bottom"/>
          </w:tcPr>
          <w:p w14:paraId="71D43558" w14:textId="77777777" w:rsidR="006A3667" w:rsidRDefault="006A3667">
            <w:pPr>
              <w:rPr>
                <w:rFonts w:ascii="宋体"/>
                <w:vanish/>
              </w:rPr>
            </w:pPr>
          </w:p>
        </w:tc>
        <w:tc>
          <w:tcPr>
            <w:tcW w:w="0" w:type="auto"/>
            <w:gridSpan w:val="3"/>
            <w:shd w:val="clear" w:color="auto" w:fill="auto"/>
            <w:vAlign w:val="bottom"/>
          </w:tcPr>
          <w:p w14:paraId="71D43559" w14:textId="77777777" w:rsidR="006A3667" w:rsidRDefault="006A3667">
            <w:pPr>
              <w:rPr>
                <w:rFonts w:ascii="宋体"/>
                <w:vanish/>
              </w:rPr>
            </w:pPr>
          </w:p>
        </w:tc>
        <w:tc>
          <w:tcPr>
            <w:tcW w:w="0" w:type="auto"/>
            <w:gridSpan w:val="3"/>
            <w:shd w:val="clear" w:color="auto" w:fill="auto"/>
            <w:vAlign w:val="bottom"/>
          </w:tcPr>
          <w:p w14:paraId="71D4355A" w14:textId="77777777" w:rsidR="006A3667" w:rsidRDefault="006A3667">
            <w:pPr>
              <w:rPr>
                <w:rFonts w:ascii="宋体"/>
                <w:vanish/>
              </w:rPr>
            </w:pPr>
          </w:p>
        </w:tc>
        <w:tc>
          <w:tcPr>
            <w:tcW w:w="0" w:type="auto"/>
            <w:gridSpan w:val="3"/>
            <w:shd w:val="clear" w:color="auto" w:fill="auto"/>
            <w:vAlign w:val="bottom"/>
          </w:tcPr>
          <w:p w14:paraId="71D4355B" w14:textId="77777777" w:rsidR="006A3667" w:rsidRDefault="006A3667">
            <w:pPr>
              <w:rPr>
                <w:rFonts w:ascii="宋体"/>
                <w:vanish/>
              </w:rPr>
            </w:pPr>
          </w:p>
        </w:tc>
        <w:tc>
          <w:tcPr>
            <w:tcW w:w="0" w:type="auto"/>
            <w:gridSpan w:val="3"/>
            <w:shd w:val="clear" w:color="auto" w:fill="auto"/>
            <w:vAlign w:val="bottom"/>
          </w:tcPr>
          <w:p w14:paraId="71D4355C" w14:textId="77777777" w:rsidR="006A3667" w:rsidRDefault="006A3667">
            <w:pPr>
              <w:rPr>
                <w:rFonts w:ascii="宋体"/>
                <w:vanish/>
              </w:rPr>
            </w:pPr>
          </w:p>
        </w:tc>
        <w:tc>
          <w:tcPr>
            <w:tcW w:w="0" w:type="auto"/>
            <w:gridSpan w:val="3"/>
            <w:shd w:val="clear" w:color="auto" w:fill="auto"/>
            <w:vAlign w:val="bottom"/>
          </w:tcPr>
          <w:p w14:paraId="71D4355D" w14:textId="77777777" w:rsidR="006A3667" w:rsidRDefault="006A3667">
            <w:pPr>
              <w:rPr>
                <w:rFonts w:ascii="宋体"/>
                <w:vanish/>
              </w:rPr>
            </w:pPr>
          </w:p>
        </w:tc>
        <w:tc>
          <w:tcPr>
            <w:tcW w:w="0" w:type="auto"/>
            <w:gridSpan w:val="3"/>
            <w:shd w:val="clear" w:color="auto" w:fill="auto"/>
            <w:vAlign w:val="bottom"/>
          </w:tcPr>
          <w:p w14:paraId="71D4355E" w14:textId="77777777" w:rsidR="006A3667" w:rsidRDefault="006A3667">
            <w:pPr>
              <w:rPr>
                <w:rFonts w:ascii="宋体"/>
                <w:vanish/>
              </w:rPr>
            </w:pPr>
          </w:p>
        </w:tc>
        <w:tc>
          <w:tcPr>
            <w:tcW w:w="0" w:type="auto"/>
            <w:gridSpan w:val="3"/>
            <w:shd w:val="clear" w:color="auto" w:fill="auto"/>
            <w:vAlign w:val="bottom"/>
          </w:tcPr>
          <w:p w14:paraId="71D4355F" w14:textId="77777777" w:rsidR="006A3667" w:rsidRDefault="006A3667">
            <w:pPr>
              <w:rPr>
                <w:rFonts w:ascii="宋体"/>
                <w:vanish/>
              </w:rPr>
            </w:pPr>
          </w:p>
        </w:tc>
        <w:tc>
          <w:tcPr>
            <w:tcW w:w="0" w:type="auto"/>
            <w:gridSpan w:val="3"/>
            <w:shd w:val="clear" w:color="auto" w:fill="auto"/>
            <w:vAlign w:val="bottom"/>
          </w:tcPr>
          <w:p w14:paraId="71D43560" w14:textId="77777777" w:rsidR="006A3667" w:rsidRDefault="006A3667">
            <w:pPr>
              <w:rPr>
                <w:rFonts w:ascii="宋体"/>
                <w:vanish/>
              </w:rPr>
            </w:pPr>
          </w:p>
        </w:tc>
      </w:tr>
      <w:tr w:rsidR="006A3667" w14:paraId="71D43571" w14:textId="77777777">
        <w:tc>
          <w:tcPr>
            <w:tcW w:w="0" w:type="auto"/>
            <w:gridSpan w:val="3"/>
            <w:shd w:val="clear" w:color="auto" w:fill="FFFFFF"/>
            <w:tcMar>
              <w:top w:w="40" w:type="dxa"/>
              <w:left w:w="245" w:type="dxa"/>
              <w:bottom w:w="40" w:type="dxa"/>
              <w:right w:w="20" w:type="dxa"/>
            </w:tcMar>
            <w:vAlign w:val="bottom"/>
          </w:tcPr>
          <w:p w14:paraId="71D43562"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3563" w14:textId="77777777" w:rsidR="006A3667" w:rsidRDefault="00045F32">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6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6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66" w14:textId="77777777" w:rsidR="006A3667" w:rsidRDefault="00045F32">
            <w:pPr>
              <w:jc w:val="right"/>
              <w:textAlignment w:val="bottom"/>
            </w:pPr>
            <w:r>
              <w:rPr>
                <w:rFonts w:ascii="Arial" w:eastAsia="宋体" w:hAnsi="Arial" w:cs="Arial"/>
                <w:b/>
                <w:bCs/>
                <w:color w:val="000000"/>
                <w:sz w:val="14"/>
                <w:szCs w:val="14"/>
              </w:rPr>
              <w:t>662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6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6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6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6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6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6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6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6F" w14:textId="77777777" w:rsidR="006A3667" w:rsidRDefault="00045F32">
            <w:pPr>
              <w:jc w:val="right"/>
              <w:textAlignment w:val="bottom"/>
            </w:pPr>
            <w:r>
              <w:rPr>
                <w:rFonts w:ascii="Arial" w:eastAsia="宋体" w:hAnsi="Arial" w:cs="Arial"/>
                <w:b/>
                <w:bCs/>
                <w:color w:val="000000"/>
                <w:sz w:val="14"/>
                <w:szCs w:val="14"/>
              </w:rPr>
              <w:t>669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70" w14:textId="77777777" w:rsidR="006A3667" w:rsidRDefault="006A3667">
            <w:pPr>
              <w:jc w:val="right"/>
              <w:rPr>
                <w:rFonts w:ascii="宋体"/>
              </w:rPr>
            </w:pPr>
          </w:p>
        </w:tc>
      </w:tr>
      <w:tr w:rsidR="006A3667" w14:paraId="71D43586" w14:textId="77777777">
        <w:tc>
          <w:tcPr>
            <w:tcW w:w="0" w:type="auto"/>
            <w:gridSpan w:val="3"/>
            <w:shd w:val="clear" w:color="auto" w:fill="CCEEFF"/>
            <w:tcMar>
              <w:top w:w="40" w:type="dxa"/>
              <w:left w:w="20" w:type="dxa"/>
              <w:bottom w:w="40" w:type="dxa"/>
              <w:right w:w="20" w:type="dxa"/>
            </w:tcMar>
            <w:vAlign w:val="bottom"/>
          </w:tcPr>
          <w:p w14:paraId="71D43572" w14:textId="77777777" w:rsidR="006A3667" w:rsidRDefault="00045F32">
            <w:pPr>
              <w:textAlignment w:val="bottom"/>
            </w:pPr>
            <w:r>
              <w:rPr>
                <w:rFonts w:ascii="Arial" w:eastAsia="宋体" w:hAnsi="Arial" w:cs="Arial"/>
                <w:color w:val="000000"/>
                <w:sz w:val="14"/>
                <w:szCs w:val="14"/>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3573"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574" w14:textId="77777777" w:rsidR="006A3667" w:rsidRDefault="00045F32">
            <w:pPr>
              <w:jc w:val="right"/>
              <w:textAlignment w:val="bottom"/>
            </w:pPr>
            <w:r>
              <w:rPr>
                <w:rFonts w:ascii="Arial" w:eastAsia="宋体" w:hAnsi="Arial" w:cs="Arial"/>
                <w:b/>
                <w:bCs/>
                <w:color w:val="000000"/>
                <w:sz w:val="14"/>
                <w:szCs w:val="14"/>
              </w:rPr>
              <w:t>7,904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7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577"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578" w14:textId="77777777" w:rsidR="006A3667" w:rsidRDefault="00045F32">
            <w:pPr>
              <w:jc w:val="right"/>
              <w:textAlignment w:val="bottom"/>
            </w:pPr>
            <w:r>
              <w:rPr>
                <w:rFonts w:ascii="Arial" w:eastAsia="宋体" w:hAnsi="Arial" w:cs="Arial"/>
                <w:b/>
                <w:bCs/>
                <w:color w:val="000000"/>
                <w:sz w:val="14"/>
                <w:szCs w:val="14"/>
              </w:rPr>
              <w:t>64,555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7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57B"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57C" w14:textId="77777777" w:rsidR="006A3667" w:rsidRDefault="00045F32">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7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57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580" w14:textId="77777777" w:rsidR="006A3667" w:rsidRDefault="00045F32">
            <w:pPr>
              <w:jc w:val="right"/>
              <w:textAlignment w:val="bottom"/>
            </w:pPr>
            <w:r>
              <w:rPr>
                <w:rFonts w:ascii="Arial" w:eastAsia="宋体" w:hAnsi="Arial" w:cs="Arial"/>
                <w:b/>
                <w:bCs/>
                <w:color w:val="000000"/>
                <w:sz w:val="14"/>
                <w:szCs w:val="14"/>
              </w:rPr>
              <w:t>(18,950)</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8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583"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584" w14:textId="77777777" w:rsidR="006A3667" w:rsidRDefault="00045F32">
            <w:pPr>
              <w:jc w:val="right"/>
              <w:textAlignment w:val="bottom"/>
            </w:pPr>
            <w:r>
              <w:rPr>
                <w:rFonts w:ascii="Arial" w:eastAsia="宋体" w:hAnsi="Arial" w:cs="Arial"/>
                <w:b/>
                <w:bCs/>
                <w:color w:val="000000"/>
                <w:sz w:val="14"/>
                <w:szCs w:val="14"/>
              </w:rPr>
              <w:t>53,524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585" w14:textId="77777777" w:rsidR="006A3667" w:rsidRDefault="006A3667">
            <w:pPr>
              <w:jc w:val="right"/>
              <w:rPr>
                <w:rFonts w:ascii="宋体"/>
              </w:rPr>
            </w:pPr>
          </w:p>
        </w:tc>
      </w:tr>
      <w:tr w:rsidR="006A3667" w14:paraId="71D43591" w14:textId="77777777">
        <w:tc>
          <w:tcPr>
            <w:tcW w:w="0" w:type="auto"/>
            <w:gridSpan w:val="3"/>
            <w:shd w:val="clear" w:color="auto" w:fill="FFFFFF"/>
            <w:tcMar>
              <w:top w:w="40" w:type="dxa"/>
              <w:left w:w="20" w:type="dxa"/>
              <w:bottom w:w="40" w:type="dxa"/>
              <w:right w:w="20" w:type="dxa"/>
            </w:tcMar>
            <w:vAlign w:val="bottom"/>
          </w:tcPr>
          <w:p w14:paraId="71D43587" w14:textId="77777777" w:rsidR="006A3667" w:rsidRDefault="00045F32">
            <w:pPr>
              <w:textAlignment w:val="bottom"/>
            </w:pPr>
            <w:r>
              <w:rPr>
                <w:rFonts w:ascii="Arial" w:eastAsia="宋体" w:hAnsi="Arial" w:cs="Arial"/>
                <w:b/>
                <w:bCs/>
                <w:color w:val="000000"/>
                <w:sz w:val="14"/>
                <w:szCs w:val="14"/>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58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89"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58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8B"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58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8D"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58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8F"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590" w14:textId="77777777" w:rsidR="006A3667" w:rsidRDefault="006A3667">
            <w:pPr>
              <w:rPr>
                <w:rFonts w:ascii="宋体"/>
              </w:rPr>
            </w:pPr>
          </w:p>
        </w:tc>
      </w:tr>
      <w:tr w:rsidR="006A3667" w14:paraId="71D4359C" w14:textId="77777777">
        <w:tc>
          <w:tcPr>
            <w:tcW w:w="0" w:type="auto"/>
            <w:gridSpan w:val="3"/>
            <w:shd w:val="clear" w:color="auto" w:fill="CCEEFF"/>
            <w:tcMar>
              <w:top w:w="40" w:type="dxa"/>
              <w:left w:w="20" w:type="dxa"/>
              <w:bottom w:w="40" w:type="dxa"/>
              <w:right w:w="20" w:type="dxa"/>
            </w:tcMar>
            <w:vAlign w:val="bottom"/>
          </w:tcPr>
          <w:p w14:paraId="71D43592" w14:textId="77777777" w:rsidR="006A3667" w:rsidRDefault="00045F32">
            <w:pPr>
              <w:textAlignment w:val="bottom"/>
            </w:pPr>
            <w:r>
              <w:rPr>
                <w:rFonts w:ascii="Arial" w:eastAsia="宋体" w:hAnsi="Arial" w:cs="Arial"/>
                <w:color w:val="000000"/>
                <w:sz w:val="14"/>
                <w:szCs w:val="14"/>
              </w:rPr>
              <w:t xml:space="preserve">Accrued expenses and other </w:t>
            </w:r>
            <w:r>
              <w:rPr>
                <w:rFonts w:ascii="Arial" w:eastAsia="宋体" w:hAnsi="Arial" w:cs="Arial"/>
                <w:color w:val="000000"/>
                <w:sz w:val="14"/>
                <w:szCs w:val="14"/>
              </w:rPr>
              <w:t>liabilities:</w:t>
            </w:r>
          </w:p>
        </w:tc>
        <w:tc>
          <w:tcPr>
            <w:tcW w:w="0" w:type="auto"/>
            <w:gridSpan w:val="3"/>
            <w:shd w:val="clear" w:color="auto" w:fill="CCEEFF"/>
            <w:tcMar>
              <w:top w:w="0" w:type="dxa"/>
              <w:left w:w="20" w:type="dxa"/>
              <w:bottom w:w="0" w:type="dxa"/>
              <w:right w:w="20" w:type="dxa"/>
            </w:tcMar>
            <w:vAlign w:val="bottom"/>
          </w:tcPr>
          <w:p w14:paraId="71D4359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9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9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9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9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9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9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9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59B" w14:textId="77777777" w:rsidR="006A3667" w:rsidRDefault="006A3667">
            <w:pPr>
              <w:rPr>
                <w:rFonts w:ascii="宋体"/>
              </w:rPr>
            </w:pPr>
          </w:p>
        </w:tc>
      </w:tr>
      <w:tr w:rsidR="006A3667" w14:paraId="71D435A7" w14:textId="77777777">
        <w:trPr>
          <w:hidden/>
        </w:trPr>
        <w:tc>
          <w:tcPr>
            <w:tcW w:w="0" w:type="auto"/>
            <w:gridSpan w:val="3"/>
            <w:shd w:val="clear" w:color="auto" w:fill="auto"/>
            <w:vAlign w:val="bottom"/>
          </w:tcPr>
          <w:p w14:paraId="71D4359D" w14:textId="77777777" w:rsidR="006A3667" w:rsidRDefault="006A3667">
            <w:pPr>
              <w:rPr>
                <w:rFonts w:ascii="宋体"/>
                <w:vanish/>
              </w:rPr>
            </w:pPr>
          </w:p>
        </w:tc>
        <w:tc>
          <w:tcPr>
            <w:tcW w:w="0" w:type="auto"/>
            <w:gridSpan w:val="3"/>
            <w:shd w:val="clear" w:color="auto" w:fill="auto"/>
            <w:vAlign w:val="bottom"/>
          </w:tcPr>
          <w:p w14:paraId="71D4359E" w14:textId="77777777" w:rsidR="006A3667" w:rsidRDefault="006A3667">
            <w:pPr>
              <w:rPr>
                <w:rFonts w:ascii="宋体"/>
                <w:vanish/>
              </w:rPr>
            </w:pPr>
          </w:p>
        </w:tc>
        <w:tc>
          <w:tcPr>
            <w:tcW w:w="0" w:type="auto"/>
            <w:gridSpan w:val="3"/>
            <w:shd w:val="clear" w:color="auto" w:fill="auto"/>
            <w:vAlign w:val="bottom"/>
          </w:tcPr>
          <w:p w14:paraId="71D4359F" w14:textId="77777777" w:rsidR="006A3667" w:rsidRDefault="006A3667">
            <w:pPr>
              <w:rPr>
                <w:rFonts w:ascii="宋体"/>
                <w:vanish/>
              </w:rPr>
            </w:pPr>
          </w:p>
        </w:tc>
        <w:tc>
          <w:tcPr>
            <w:tcW w:w="0" w:type="auto"/>
            <w:gridSpan w:val="3"/>
            <w:shd w:val="clear" w:color="auto" w:fill="auto"/>
            <w:vAlign w:val="bottom"/>
          </w:tcPr>
          <w:p w14:paraId="71D435A0" w14:textId="77777777" w:rsidR="006A3667" w:rsidRDefault="006A3667">
            <w:pPr>
              <w:rPr>
                <w:rFonts w:ascii="宋体"/>
                <w:vanish/>
              </w:rPr>
            </w:pPr>
          </w:p>
        </w:tc>
        <w:tc>
          <w:tcPr>
            <w:tcW w:w="0" w:type="auto"/>
            <w:gridSpan w:val="3"/>
            <w:shd w:val="clear" w:color="auto" w:fill="auto"/>
            <w:vAlign w:val="bottom"/>
          </w:tcPr>
          <w:p w14:paraId="71D435A1" w14:textId="77777777" w:rsidR="006A3667" w:rsidRDefault="006A3667">
            <w:pPr>
              <w:rPr>
                <w:rFonts w:ascii="宋体"/>
                <w:vanish/>
              </w:rPr>
            </w:pPr>
          </w:p>
        </w:tc>
        <w:tc>
          <w:tcPr>
            <w:tcW w:w="0" w:type="auto"/>
            <w:gridSpan w:val="3"/>
            <w:shd w:val="clear" w:color="auto" w:fill="auto"/>
            <w:vAlign w:val="bottom"/>
          </w:tcPr>
          <w:p w14:paraId="71D435A2" w14:textId="77777777" w:rsidR="006A3667" w:rsidRDefault="006A3667">
            <w:pPr>
              <w:rPr>
                <w:rFonts w:ascii="宋体"/>
                <w:vanish/>
              </w:rPr>
            </w:pPr>
          </w:p>
        </w:tc>
        <w:tc>
          <w:tcPr>
            <w:tcW w:w="0" w:type="auto"/>
            <w:gridSpan w:val="3"/>
            <w:shd w:val="clear" w:color="auto" w:fill="auto"/>
            <w:vAlign w:val="bottom"/>
          </w:tcPr>
          <w:p w14:paraId="71D435A3" w14:textId="77777777" w:rsidR="006A3667" w:rsidRDefault="006A3667">
            <w:pPr>
              <w:rPr>
                <w:rFonts w:ascii="宋体"/>
                <w:vanish/>
              </w:rPr>
            </w:pPr>
          </w:p>
        </w:tc>
        <w:tc>
          <w:tcPr>
            <w:tcW w:w="0" w:type="auto"/>
            <w:gridSpan w:val="3"/>
            <w:shd w:val="clear" w:color="auto" w:fill="auto"/>
            <w:vAlign w:val="bottom"/>
          </w:tcPr>
          <w:p w14:paraId="71D435A4" w14:textId="77777777" w:rsidR="006A3667" w:rsidRDefault="006A3667">
            <w:pPr>
              <w:rPr>
                <w:rFonts w:ascii="宋体"/>
                <w:vanish/>
              </w:rPr>
            </w:pPr>
          </w:p>
        </w:tc>
        <w:tc>
          <w:tcPr>
            <w:tcW w:w="0" w:type="auto"/>
            <w:gridSpan w:val="3"/>
            <w:shd w:val="clear" w:color="auto" w:fill="auto"/>
            <w:vAlign w:val="bottom"/>
          </w:tcPr>
          <w:p w14:paraId="71D435A5" w14:textId="77777777" w:rsidR="006A3667" w:rsidRDefault="006A3667">
            <w:pPr>
              <w:rPr>
                <w:rFonts w:ascii="宋体"/>
                <w:vanish/>
              </w:rPr>
            </w:pPr>
          </w:p>
        </w:tc>
        <w:tc>
          <w:tcPr>
            <w:tcW w:w="0" w:type="auto"/>
            <w:gridSpan w:val="3"/>
            <w:shd w:val="clear" w:color="auto" w:fill="auto"/>
            <w:vAlign w:val="bottom"/>
          </w:tcPr>
          <w:p w14:paraId="71D435A6" w14:textId="77777777" w:rsidR="006A3667" w:rsidRDefault="006A3667">
            <w:pPr>
              <w:rPr>
                <w:rFonts w:ascii="宋体"/>
                <w:vanish/>
              </w:rPr>
            </w:pPr>
          </w:p>
        </w:tc>
      </w:tr>
      <w:tr w:rsidR="006A3667" w14:paraId="71D435B2" w14:textId="77777777">
        <w:trPr>
          <w:hidden/>
        </w:trPr>
        <w:tc>
          <w:tcPr>
            <w:tcW w:w="0" w:type="auto"/>
            <w:gridSpan w:val="3"/>
            <w:shd w:val="clear" w:color="auto" w:fill="auto"/>
            <w:vAlign w:val="bottom"/>
          </w:tcPr>
          <w:p w14:paraId="71D435A8" w14:textId="77777777" w:rsidR="006A3667" w:rsidRDefault="006A3667">
            <w:pPr>
              <w:rPr>
                <w:rFonts w:ascii="宋体"/>
                <w:vanish/>
              </w:rPr>
            </w:pPr>
          </w:p>
        </w:tc>
        <w:tc>
          <w:tcPr>
            <w:tcW w:w="0" w:type="auto"/>
            <w:gridSpan w:val="3"/>
            <w:shd w:val="clear" w:color="auto" w:fill="auto"/>
            <w:vAlign w:val="bottom"/>
          </w:tcPr>
          <w:p w14:paraId="71D435A9" w14:textId="77777777" w:rsidR="006A3667" w:rsidRDefault="006A3667">
            <w:pPr>
              <w:rPr>
                <w:rFonts w:ascii="宋体"/>
                <w:vanish/>
              </w:rPr>
            </w:pPr>
          </w:p>
        </w:tc>
        <w:tc>
          <w:tcPr>
            <w:tcW w:w="0" w:type="auto"/>
            <w:gridSpan w:val="3"/>
            <w:shd w:val="clear" w:color="auto" w:fill="auto"/>
            <w:vAlign w:val="bottom"/>
          </w:tcPr>
          <w:p w14:paraId="71D435AA" w14:textId="77777777" w:rsidR="006A3667" w:rsidRDefault="006A3667">
            <w:pPr>
              <w:rPr>
                <w:rFonts w:ascii="宋体"/>
                <w:vanish/>
              </w:rPr>
            </w:pPr>
          </w:p>
        </w:tc>
        <w:tc>
          <w:tcPr>
            <w:tcW w:w="0" w:type="auto"/>
            <w:gridSpan w:val="3"/>
            <w:shd w:val="clear" w:color="auto" w:fill="auto"/>
            <w:vAlign w:val="bottom"/>
          </w:tcPr>
          <w:p w14:paraId="71D435AB" w14:textId="77777777" w:rsidR="006A3667" w:rsidRDefault="006A3667">
            <w:pPr>
              <w:rPr>
                <w:rFonts w:ascii="宋体"/>
                <w:vanish/>
              </w:rPr>
            </w:pPr>
          </w:p>
        </w:tc>
        <w:tc>
          <w:tcPr>
            <w:tcW w:w="0" w:type="auto"/>
            <w:gridSpan w:val="3"/>
            <w:shd w:val="clear" w:color="auto" w:fill="auto"/>
            <w:vAlign w:val="bottom"/>
          </w:tcPr>
          <w:p w14:paraId="71D435AC" w14:textId="77777777" w:rsidR="006A3667" w:rsidRDefault="006A3667">
            <w:pPr>
              <w:rPr>
                <w:rFonts w:ascii="宋体"/>
                <w:vanish/>
              </w:rPr>
            </w:pPr>
          </w:p>
        </w:tc>
        <w:tc>
          <w:tcPr>
            <w:tcW w:w="0" w:type="auto"/>
            <w:gridSpan w:val="3"/>
            <w:shd w:val="clear" w:color="auto" w:fill="auto"/>
            <w:vAlign w:val="bottom"/>
          </w:tcPr>
          <w:p w14:paraId="71D435AD" w14:textId="77777777" w:rsidR="006A3667" w:rsidRDefault="006A3667">
            <w:pPr>
              <w:rPr>
                <w:rFonts w:ascii="宋体"/>
                <w:vanish/>
              </w:rPr>
            </w:pPr>
          </w:p>
        </w:tc>
        <w:tc>
          <w:tcPr>
            <w:tcW w:w="0" w:type="auto"/>
            <w:gridSpan w:val="3"/>
            <w:shd w:val="clear" w:color="auto" w:fill="auto"/>
            <w:vAlign w:val="bottom"/>
          </w:tcPr>
          <w:p w14:paraId="71D435AE" w14:textId="77777777" w:rsidR="006A3667" w:rsidRDefault="006A3667">
            <w:pPr>
              <w:rPr>
                <w:rFonts w:ascii="宋体"/>
                <w:vanish/>
              </w:rPr>
            </w:pPr>
          </w:p>
        </w:tc>
        <w:tc>
          <w:tcPr>
            <w:tcW w:w="0" w:type="auto"/>
            <w:gridSpan w:val="3"/>
            <w:shd w:val="clear" w:color="auto" w:fill="auto"/>
            <w:vAlign w:val="bottom"/>
          </w:tcPr>
          <w:p w14:paraId="71D435AF" w14:textId="77777777" w:rsidR="006A3667" w:rsidRDefault="006A3667">
            <w:pPr>
              <w:rPr>
                <w:rFonts w:ascii="宋体"/>
                <w:vanish/>
              </w:rPr>
            </w:pPr>
          </w:p>
        </w:tc>
        <w:tc>
          <w:tcPr>
            <w:tcW w:w="0" w:type="auto"/>
            <w:gridSpan w:val="3"/>
            <w:shd w:val="clear" w:color="auto" w:fill="auto"/>
            <w:vAlign w:val="bottom"/>
          </w:tcPr>
          <w:p w14:paraId="71D435B0" w14:textId="77777777" w:rsidR="006A3667" w:rsidRDefault="006A3667">
            <w:pPr>
              <w:rPr>
                <w:rFonts w:ascii="宋体"/>
                <w:vanish/>
              </w:rPr>
            </w:pPr>
          </w:p>
        </w:tc>
        <w:tc>
          <w:tcPr>
            <w:tcW w:w="0" w:type="auto"/>
            <w:gridSpan w:val="3"/>
            <w:shd w:val="clear" w:color="auto" w:fill="auto"/>
            <w:vAlign w:val="bottom"/>
          </w:tcPr>
          <w:p w14:paraId="71D435B1" w14:textId="77777777" w:rsidR="006A3667" w:rsidRDefault="006A3667">
            <w:pPr>
              <w:rPr>
                <w:rFonts w:ascii="宋体"/>
                <w:vanish/>
              </w:rPr>
            </w:pPr>
          </w:p>
        </w:tc>
      </w:tr>
      <w:tr w:rsidR="006A3667" w14:paraId="71D435BD" w14:textId="77777777">
        <w:trPr>
          <w:hidden/>
        </w:trPr>
        <w:tc>
          <w:tcPr>
            <w:tcW w:w="0" w:type="auto"/>
            <w:gridSpan w:val="3"/>
            <w:shd w:val="clear" w:color="auto" w:fill="auto"/>
            <w:vAlign w:val="bottom"/>
          </w:tcPr>
          <w:p w14:paraId="71D435B3" w14:textId="77777777" w:rsidR="006A3667" w:rsidRDefault="006A3667">
            <w:pPr>
              <w:rPr>
                <w:rFonts w:ascii="宋体"/>
                <w:vanish/>
              </w:rPr>
            </w:pPr>
          </w:p>
        </w:tc>
        <w:tc>
          <w:tcPr>
            <w:tcW w:w="0" w:type="auto"/>
            <w:gridSpan w:val="3"/>
            <w:shd w:val="clear" w:color="auto" w:fill="auto"/>
            <w:vAlign w:val="bottom"/>
          </w:tcPr>
          <w:p w14:paraId="71D435B4" w14:textId="77777777" w:rsidR="006A3667" w:rsidRDefault="006A3667">
            <w:pPr>
              <w:rPr>
                <w:rFonts w:ascii="宋体"/>
                <w:vanish/>
              </w:rPr>
            </w:pPr>
          </w:p>
        </w:tc>
        <w:tc>
          <w:tcPr>
            <w:tcW w:w="0" w:type="auto"/>
            <w:gridSpan w:val="3"/>
            <w:shd w:val="clear" w:color="auto" w:fill="auto"/>
            <w:vAlign w:val="bottom"/>
          </w:tcPr>
          <w:p w14:paraId="71D435B5" w14:textId="77777777" w:rsidR="006A3667" w:rsidRDefault="006A3667">
            <w:pPr>
              <w:rPr>
                <w:rFonts w:ascii="宋体"/>
                <w:vanish/>
              </w:rPr>
            </w:pPr>
          </w:p>
        </w:tc>
        <w:tc>
          <w:tcPr>
            <w:tcW w:w="0" w:type="auto"/>
            <w:gridSpan w:val="3"/>
            <w:shd w:val="clear" w:color="auto" w:fill="auto"/>
            <w:vAlign w:val="bottom"/>
          </w:tcPr>
          <w:p w14:paraId="71D435B6" w14:textId="77777777" w:rsidR="006A3667" w:rsidRDefault="006A3667">
            <w:pPr>
              <w:rPr>
                <w:rFonts w:ascii="宋体"/>
                <w:vanish/>
              </w:rPr>
            </w:pPr>
          </w:p>
        </w:tc>
        <w:tc>
          <w:tcPr>
            <w:tcW w:w="0" w:type="auto"/>
            <w:gridSpan w:val="3"/>
            <w:shd w:val="clear" w:color="auto" w:fill="auto"/>
            <w:vAlign w:val="bottom"/>
          </w:tcPr>
          <w:p w14:paraId="71D435B7" w14:textId="77777777" w:rsidR="006A3667" w:rsidRDefault="006A3667">
            <w:pPr>
              <w:rPr>
                <w:rFonts w:ascii="宋体"/>
                <w:vanish/>
              </w:rPr>
            </w:pPr>
          </w:p>
        </w:tc>
        <w:tc>
          <w:tcPr>
            <w:tcW w:w="0" w:type="auto"/>
            <w:gridSpan w:val="3"/>
            <w:shd w:val="clear" w:color="auto" w:fill="auto"/>
            <w:vAlign w:val="bottom"/>
          </w:tcPr>
          <w:p w14:paraId="71D435B8" w14:textId="77777777" w:rsidR="006A3667" w:rsidRDefault="006A3667">
            <w:pPr>
              <w:rPr>
                <w:rFonts w:ascii="宋体"/>
                <w:vanish/>
              </w:rPr>
            </w:pPr>
          </w:p>
        </w:tc>
        <w:tc>
          <w:tcPr>
            <w:tcW w:w="0" w:type="auto"/>
            <w:gridSpan w:val="3"/>
            <w:shd w:val="clear" w:color="auto" w:fill="auto"/>
            <w:vAlign w:val="bottom"/>
          </w:tcPr>
          <w:p w14:paraId="71D435B9" w14:textId="77777777" w:rsidR="006A3667" w:rsidRDefault="006A3667">
            <w:pPr>
              <w:rPr>
                <w:rFonts w:ascii="宋体"/>
                <w:vanish/>
              </w:rPr>
            </w:pPr>
          </w:p>
        </w:tc>
        <w:tc>
          <w:tcPr>
            <w:tcW w:w="0" w:type="auto"/>
            <w:gridSpan w:val="3"/>
            <w:shd w:val="clear" w:color="auto" w:fill="auto"/>
            <w:vAlign w:val="bottom"/>
          </w:tcPr>
          <w:p w14:paraId="71D435BA" w14:textId="77777777" w:rsidR="006A3667" w:rsidRDefault="006A3667">
            <w:pPr>
              <w:rPr>
                <w:rFonts w:ascii="宋体"/>
                <w:vanish/>
              </w:rPr>
            </w:pPr>
          </w:p>
        </w:tc>
        <w:tc>
          <w:tcPr>
            <w:tcW w:w="0" w:type="auto"/>
            <w:gridSpan w:val="3"/>
            <w:shd w:val="clear" w:color="auto" w:fill="auto"/>
            <w:vAlign w:val="bottom"/>
          </w:tcPr>
          <w:p w14:paraId="71D435BB" w14:textId="77777777" w:rsidR="006A3667" w:rsidRDefault="006A3667">
            <w:pPr>
              <w:rPr>
                <w:rFonts w:ascii="宋体"/>
                <w:vanish/>
              </w:rPr>
            </w:pPr>
          </w:p>
        </w:tc>
        <w:tc>
          <w:tcPr>
            <w:tcW w:w="0" w:type="auto"/>
            <w:gridSpan w:val="3"/>
            <w:shd w:val="clear" w:color="auto" w:fill="auto"/>
            <w:vAlign w:val="bottom"/>
          </w:tcPr>
          <w:p w14:paraId="71D435BC" w14:textId="77777777" w:rsidR="006A3667" w:rsidRDefault="006A3667">
            <w:pPr>
              <w:rPr>
                <w:rFonts w:ascii="宋体"/>
                <w:vanish/>
              </w:rPr>
            </w:pPr>
          </w:p>
        </w:tc>
      </w:tr>
      <w:tr w:rsidR="006A3667" w14:paraId="71D435C8" w14:textId="77777777">
        <w:trPr>
          <w:hidden/>
        </w:trPr>
        <w:tc>
          <w:tcPr>
            <w:tcW w:w="0" w:type="auto"/>
            <w:gridSpan w:val="3"/>
            <w:shd w:val="clear" w:color="auto" w:fill="auto"/>
            <w:vAlign w:val="bottom"/>
          </w:tcPr>
          <w:p w14:paraId="71D435BE" w14:textId="77777777" w:rsidR="006A3667" w:rsidRDefault="006A3667">
            <w:pPr>
              <w:rPr>
                <w:rFonts w:ascii="宋体"/>
                <w:vanish/>
              </w:rPr>
            </w:pPr>
          </w:p>
        </w:tc>
        <w:tc>
          <w:tcPr>
            <w:tcW w:w="0" w:type="auto"/>
            <w:gridSpan w:val="3"/>
            <w:shd w:val="clear" w:color="auto" w:fill="auto"/>
            <w:vAlign w:val="bottom"/>
          </w:tcPr>
          <w:p w14:paraId="71D435BF" w14:textId="77777777" w:rsidR="006A3667" w:rsidRDefault="006A3667">
            <w:pPr>
              <w:rPr>
                <w:rFonts w:ascii="宋体"/>
                <w:vanish/>
              </w:rPr>
            </w:pPr>
          </w:p>
        </w:tc>
        <w:tc>
          <w:tcPr>
            <w:tcW w:w="0" w:type="auto"/>
            <w:gridSpan w:val="3"/>
            <w:shd w:val="clear" w:color="auto" w:fill="auto"/>
            <w:vAlign w:val="bottom"/>
          </w:tcPr>
          <w:p w14:paraId="71D435C0" w14:textId="77777777" w:rsidR="006A3667" w:rsidRDefault="006A3667">
            <w:pPr>
              <w:rPr>
                <w:rFonts w:ascii="宋体"/>
                <w:vanish/>
              </w:rPr>
            </w:pPr>
          </w:p>
        </w:tc>
        <w:tc>
          <w:tcPr>
            <w:tcW w:w="0" w:type="auto"/>
            <w:gridSpan w:val="3"/>
            <w:shd w:val="clear" w:color="auto" w:fill="auto"/>
            <w:vAlign w:val="bottom"/>
          </w:tcPr>
          <w:p w14:paraId="71D435C1" w14:textId="77777777" w:rsidR="006A3667" w:rsidRDefault="006A3667">
            <w:pPr>
              <w:rPr>
                <w:rFonts w:ascii="宋体"/>
                <w:vanish/>
              </w:rPr>
            </w:pPr>
          </w:p>
        </w:tc>
        <w:tc>
          <w:tcPr>
            <w:tcW w:w="0" w:type="auto"/>
            <w:gridSpan w:val="3"/>
            <w:shd w:val="clear" w:color="auto" w:fill="auto"/>
            <w:vAlign w:val="bottom"/>
          </w:tcPr>
          <w:p w14:paraId="71D435C2" w14:textId="77777777" w:rsidR="006A3667" w:rsidRDefault="006A3667">
            <w:pPr>
              <w:rPr>
                <w:rFonts w:ascii="宋体"/>
                <w:vanish/>
              </w:rPr>
            </w:pPr>
          </w:p>
        </w:tc>
        <w:tc>
          <w:tcPr>
            <w:tcW w:w="0" w:type="auto"/>
            <w:gridSpan w:val="3"/>
            <w:shd w:val="clear" w:color="auto" w:fill="auto"/>
            <w:vAlign w:val="bottom"/>
          </w:tcPr>
          <w:p w14:paraId="71D435C3" w14:textId="77777777" w:rsidR="006A3667" w:rsidRDefault="006A3667">
            <w:pPr>
              <w:rPr>
                <w:rFonts w:ascii="宋体"/>
                <w:vanish/>
              </w:rPr>
            </w:pPr>
          </w:p>
        </w:tc>
        <w:tc>
          <w:tcPr>
            <w:tcW w:w="0" w:type="auto"/>
            <w:gridSpan w:val="3"/>
            <w:shd w:val="clear" w:color="auto" w:fill="auto"/>
            <w:vAlign w:val="bottom"/>
          </w:tcPr>
          <w:p w14:paraId="71D435C4" w14:textId="77777777" w:rsidR="006A3667" w:rsidRDefault="006A3667">
            <w:pPr>
              <w:rPr>
                <w:rFonts w:ascii="宋体"/>
                <w:vanish/>
              </w:rPr>
            </w:pPr>
          </w:p>
        </w:tc>
        <w:tc>
          <w:tcPr>
            <w:tcW w:w="0" w:type="auto"/>
            <w:gridSpan w:val="3"/>
            <w:shd w:val="clear" w:color="auto" w:fill="auto"/>
            <w:vAlign w:val="bottom"/>
          </w:tcPr>
          <w:p w14:paraId="71D435C5" w14:textId="77777777" w:rsidR="006A3667" w:rsidRDefault="006A3667">
            <w:pPr>
              <w:rPr>
                <w:rFonts w:ascii="宋体"/>
                <w:vanish/>
              </w:rPr>
            </w:pPr>
          </w:p>
        </w:tc>
        <w:tc>
          <w:tcPr>
            <w:tcW w:w="0" w:type="auto"/>
            <w:gridSpan w:val="3"/>
            <w:shd w:val="clear" w:color="auto" w:fill="auto"/>
            <w:vAlign w:val="bottom"/>
          </w:tcPr>
          <w:p w14:paraId="71D435C6" w14:textId="77777777" w:rsidR="006A3667" w:rsidRDefault="006A3667">
            <w:pPr>
              <w:rPr>
                <w:rFonts w:ascii="宋体"/>
                <w:vanish/>
              </w:rPr>
            </w:pPr>
          </w:p>
        </w:tc>
        <w:tc>
          <w:tcPr>
            <w:tcW w:w="0" w:type="auto"/>
            <w:gridSpan w:val="3"/>
            <w:shd w:val="clear" w:color="auto" w:fill="auto"/>
            <w:vAlign w:val="bottom"/>
          </w:tcPr>
          <w:p w14:paraId="71D435C7" w14:textId="77777777" w:rsidR="006A3667" w:rsidRDefault="006A3667">
            <w:pPr>
              <w:rPr>
                <w:rFonts w:ascii="宋体"/>
                <w:vanish/>
              </w:rPr>
            </w:pPr>
          </w:p>
        </w:tc>
      </w:tr>
      <w:tr w:rsidR="006A3667" w14:paraId="71D435D3" w14:textId="77777777">
        <w:tc>
          <w:tcPr>
            <w:tcW w:w="0" w:type="auto"/>
            <w:gridSpan w:val="3"/>
            <w:shd w:val="clear" w:color="auto" w:fill="FFFFFF"/>
            <w:tcMar>
              <w:top w:w="40" w:type="dxa"/>
              <w:left w:w="245" w:type="dxa"/>
              <w:bottom w:w="40" w:type="dxa"/>
              <w:right w:w="20" w:type="dxa"/>
            </w:tcMar>
            <w:vAlign w:val="bottom"/>
          </w:tcPr>
          <w:p w14:paraId="71D435C9" w14:textId="77777777" w:rsidR="006A3667" w:rsidRDefault="00045F32">
            <w:pPr>
              <w:textAlignment w:val="bottom"/>
            </w:pPr>
            <w:r>
              <w:rPr>
                <w:rFonts w:ascii="Arial" w:eastAsia="宋体" w:hAnsi="Arial" w:cs="Arial"/>
                <w:color w:val="000000"/>
                <w:sz w:val="14"/>
                <w:szCs w:val="14"/>
              </w:rPr>
              <w:t>Derivative instruments:</w:t>
            </w:r>
          </w:p>
        </w:tc>
        <w:tc>
          <w:tcPr>
            <w:tcW w:w="0" w:type="auto"/>
            <w:gridSpan w:val="3"/>
            <w:shd w:val="clear" w:color="auto" w:fill="FFFFFF"/>
            <w:tcMar>
              <w:top w:w="0" w:type="dxa"/>
              <w:left w:w="20" w:type="dxa"/>
              <w:bottom w:w="0" w:type="dxa"/>
              <w:right w:w="20" w:type="dxa"/>
            </w:tcMar>
            <w:vAlign w:val="bottom"/>
          </w:tcPr>
          <w:p w14:paraId="71D435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C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D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D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5D2" w14:textId="77777777" w:rsidR="006A3667" w:rsidRDefault="006A3667">
            <w:pPr>
              <w:rPr>
                <w:rFonts w:ascii="宋体"/>
              </w:rPr>
            </w:pPr>
          </w:p>
        </w:tc>
      </w:tr>
      <w:tr w:rsidR="006A3667" w14:paraId="71D435E8" w14:textId="77777777">
        <w:tc>
          <w:tcPr>
            <w:tcW w:w="0" w:type="auto"/>
            <w:gridSpan w:val="3"/>
            <w:shd w:val="clear" w:color="auto" w:fill="CCEEFF"/>
            <w:tcMar>
              <w:top w:w="40" w:type="dxa"/>
              <w:left w:w="515" w:type="dxa"/>
              <w:bottom w:w="40" w:type="dxa"/>
              <w:right w:w="20" w:type="dxa"/>
            </w:tcMar>
            <w:vAlign w:val="bottom"/>
          </w:tcPr>
          <w:p w14:paraId="71D435D4" w14:textId="77777777" w:rsidR="006A3667" w:rsidRDefault="00045F32">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71D435D5"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5D6" w14:textId="77777777" w:rsidR="006A3667" w:rsidRDefault="00045F32">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D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5D9"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5DA" w14:textId="77777777" w:rsidR="006A3667" w:rsidRDefault="00045F32">
            <w:pPr>
              <w:jc w:val="right"/>
              <w:textAlignment w:val="bottom"/>
            </w:pPr>
            <w:r>
              <w:rPr>
                <w:rFonts w:ascii="Arial" w:eastAsia="宋体" w:hAnsi="Arial" w:cs="Arial"/>
                <w:b/>
                <w:bCs/>
                <w:color w:val="000000"/>
                <w:sz w:val="14"/>
                <w:szCs w:val="14"/>
              </w:rPr>
              <w:t>30,404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D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5DD"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5DE" w14:textId="77777777" w:rsidR="006A3667" w:rsidRDefault="00045F32">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E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5E1"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5E2" w14:textId="77777777" w:rsidR="006A3667" w:rsidRDefault="00045F32">
            <w:pPr>
              <w:jc w:val="right"/>
              <w:textAlignment w:val="bottom"/>
            </w:pPr>
            <w:r>
              <w:rPr>
                <w:rFonts w:ascii="Arial" w:eastAsia="宋体" w:hAnsi="Arial" w:cs="Arial"/>
                <w:b/>
                <w:bCs/>
                <w:color w:val="000000"/>
                <w:sz w:val="14"/>
                <w:szCs w:val="14"/>
              </w:rPr>
              <w:t>(22,346)</w:t>
            </w:r>
          </w:p>
        </w:tc>
        <w:tc>
          <w:tcPr>
            <w:tcW w:w="0" w:type="auto"/>
            <w:shd w:val="clear" w:color="auto" w:fill="CCEEFF"/>
            <w:tcMar>
              <w:top w:w="40" w:type="dxa"/>
              <w:left w:w="0" w:type="dxa"/>
              <w:bottom w:w="40" w:type="dxa"/>
              <w:right w:w="20" w:type="dxa"/>
            </w:tcMar>
            <w:vAlign w:val="bottom"/>
          </w:tcPr>
          <w:p w14:paraId="71D435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E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5E5"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35E6" w14:textId="77777777" w:rsidR="006A3667" w:rsidRDefault="00045F32">
            <w:pPr>
              <w:jc w:val="right"/>
              <w:textAlignment w:val="bottom"/>
            </w:pPr>
            <w:r>
              <w:rPr>
                <w:rFonts w:ascii="Arial" w:eastAsia="宋体" w:hAnsi="Arial" w:cs="Arial"/>
                <w:b/>
                <w:bCs/>
                <w:color w:val="000000"/>
                <w:sz w:val="14"/>
                <w:szCs w:val="14"/>
              </w:rPr>
              <w:t>8,070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E7" w14:textId="77777777" w:rsidR="006A3667" w:rsidRDefault="006A3667">
            <w:pPr>
              <w:jc w:val="right"/>
              <w:rPr>
                <w:rFonts w:ascii="宋体"/>
              </w:rPr>
            </w:pPr>
          </w:p>
        </w:tc>
      </w:tr>
      <w:tr w:rsidR="006A3667" w14:paraId="71D435F8" w14:textId="77777777">
        <w:tc>
          <w:tcPr>
            <w:tcW w:w="0" w:type="auto"/>
            <w:gridSpan w:val="3"/>
            <w:shd w:val="clear" w:color="auto" w:fill="FFFFFF"/>
            <w:tcMar>
              <w:top w:w="40" w:type="dxa"/>
              <w:left w:w="515" w:type="dxa"/>
              <w:bottom w:w="40" w:type="dxa"/>
              <w:right w:w="20" w:type="dxa"/>
            </w:tcMar>
            <w:vAlign w:val="bottom"/>
          </w:tcPr>
          <w:p w14:paraId="71D435E9" w14:textId="77777777" w:rsidR="006A3667" w:rsidRDefault="00045F32">
            <w:pPr>
              <w:textAlignment w:val="bottom"/>
            </w:pPr>
            <w:r>
              <w:rPr>
                <w:rFonts w:ascii="Arial" w:eastAsia="宋体" w:hAnsi="Arial" w:cs="Arial"/>
                <w:color w:val="000000"/>
                <w:sz w:val="14"/>
                <w:szCs w:val="14"/>
              </w:rPr>
              <w:t>Interest rate contracts</w:t>
            </w:r>
          </w:p>
        </w:tc>
        <w:tc>
          <w:tcPr>
            <w:tcW w:w="0" w:type="auto"/>
            <w:gridSpan w:val="2"/>
            <w:shd w:val="clear" w:color="auto" w:fill="FFFFFF"/>
            <w:tcMar>
              <w:top w:w="40" w:type="dxa"/>
              <w:left w:w="20" w:type="dxa"/>
              <w:bottom w:w="40" w:type="dxa"/>
              <w:right w:w="0" w:type="dxa"/>
            </w:tcMar>
            <w:vAlign w:val="bottom"/>
          </w:tcPr>
          <w:p w14:paraId="71D435EA" w14:textId="77777777" w:rsidR="006A3667" w:rsidRDefault="00045F32">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E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E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E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E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F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F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F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5F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5F6" w14:textId="77777777" w:rsidR="006A3667" w:rsidRDefault="00045F32">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5F7" w14:textId="77777777" w:rsidR="006A3667" w:rsidRDefault="006A3667">
            <w:pPr>
              <w:jc w:val="right"/>
              <w:rPr>
                <w:rFonts w:ascii="宋体"/>
              </w:rPr>
            </w:pPr>
          </w:p>
        </w:tc>
      </w:tr>
      <w:tr w:rsidR="006A3667" w14:paraId="71D43608" w14:textId="77777777">
        <w:tc>
          <w:tcPr>
            <w:tcW w:w="0" w:type="auto"/>
            <w:gridSpan w:val="3"/>
            <w:shd w:val="clear" w:color="auto" w:fill="CCEEFF"/>
            <w:tcMar>
              <w:top w:w="40" w:type="dxa"/>
              <w:left w:w="515" w:type="dxa"/>
              <w:bottom w:w="40" w:type="dxa"/>
              <w:right w:w="20" w:type="dxa"/>
            </w:tcMar>
            <w:vAlign w:val="bottom"/>
          </w:tcPr>
          <w:p w14:paraId="71D435F9" w14:textId="77777777" w:rsidR="006A3667" w:rsidRDefault="00045F32">
            <w:pPr>
              <w:textAlignment w:val="bottom"/>
            </w:pPr>
            <w:r>
              <w:rPr>
                <w:rFonts w:ascii="Arial" w:eastAsia="宋体" w:hAnsi="Arial" w:cs="Arial"/>
                <w:color w:val="000000"/>
                <w:sz w:val="14"/>
                <w:szCs w:val="14"/>
              </w:rPr>
              <w:t>Other derivative contracts</w:t>
            </w:r>
          </w:p>
        </w:tc>
        <w:tc>
          <w:tcPr>
            <w:tcW w:w="0" w:type="auto"/>
            <w:gridSpan w:val="2"/>
            <w:shd w:val="clear" w:color="auto" w:fill="CCEEFF"/>
            <w:tcMar>
              <w:top w:w="40" w:type="dxa"/>
              <w:left w:w="20" w:type="dxa"/>
              <w:bottom w:w="40" w:type="dxa"/>
              <w:right w:w="0" w:type="dxa"/>
            </w:tcMar>
            <w:vAlign w:val="bottom"/>
          </w:tcPr>
          <w:p w14:paraId="71D435F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F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5FD" w14:textId="77777777" w:rsidR="006A3667" w:rsidRDefault="00045F32">
            <w:pPr>
              <w:jc w:val="right"/>
              <w:textAlignment w:val="bottom"/>
            </w:pPr>
            <w:r>
              <w:rPr>
                <w:rFonts w:ascii="Arial" w:eastAsia="宋体" w:hAnsi="Arial" w:cs="Arial"/>
                <w:b/>
                <w:bCs/>
                <w:color w:val="000000"/>
                <w:sz w:val="14"/>
                <w:szCs w:val="14"/>
              </w:rPr>
              <w:t>245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5F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5F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0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0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0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0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06" w14:textId="77777777" w:rsidR="006A3667" w:rsidRDefault="00045F32">
            <w:pPr>
              <w:jc w:val="right"/>
              <w:textAlignment w:val="bottom"/>
            </w:pPr>
            <w:r>
              <w:rPr>
                <w:rFonts w:ascii="Arial" w:eastAsia="宋体" w:hAnsi="Arial" w:cs="Arial"/>
                <w:b/>
                <w:bCs/>
                <w:color w:val="000000"/>
                <w:sz w:val="14"/>
                <w:szCs w:val="14"/>
              </w:rPr>
              <w:t>245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07" w14:textId="77777777" w:rsidR="006A3667" w:rsidRDefault="006A3667">
            <w:pPr>
              <w:jc w:val="right"/>
              <w:rPr>
                <w:rFonts w:ascii="宋体"/>
              </w:rPr>
            </w:pPr>
          </w:p>
        </w:tc>
      </w:tr>
      <w:tr w:rsidR="006A3667" w14:paraId="71D43618" w14:textId="77777777">
        <w:tc>
          <w:tcPr>
            <w:tcW w:w="0" w:type="auto"/>
            <w:gridSpan w:val="3"/>
            <w:shd w:val="clear" w:color="auto" w:fill="FFFFFF"/>
            <w:tcMar>
              <w:top w:w="40" w:type="dxa"/>
              <w:left w:w="740" w:type="dxa"/>
              <w:bottom w:w="40" w:type="dxa"/>
              <w:right w:w="20" w:type="dxa"/>
            </w:tcMar>
            <w:vAlign w:val="bottom"/>
          </w:tcPr>
          <w:p w14:paraId="71D43609" w14:textId="77777777" w:rsidR="006A3667" w:rsidRDefault="00045F32">
            <w:pPr>
              <w:textAlignment w:val="bottom"/>
            </w:pPr>
            <w:r>
              <w:rPr>
                <w:rFonts w:ascii="Arial" w:eastAsia="宋体" w:hAnsi="Arial" w:cs="Arial"/>
                <w:color w:val="000000"/>
                <w:sz w:val="14"/>
                <w:szCs w:val="14"/>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0A" w14:textId="77777777" w:rsidR="006A3667" w:rsidRDefault="00045F32">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0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0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0D" w14:textId="77777777" w:rsidR="006A3667" w:rsidRDefault="00045F32">
            <w:pPr>
              <w:jc w:val="right"/>
              <w:textAlignment w:val="bottom"/>
            </w:pPr>
            <w:r>
              <w:rPr>
                <w:rFonts w:ascii="Arial" w:eastAsia="宋体" w:hAnsi="Arial" w:cs="Arial"/>
                <w:b/>
                <w:bCs/>
                <w:color w:val="000000"/>
                <w:sz w:val="14"/>
                <w:szCs w:val="14"/>
              </w:rPr>
              <w:t>30,649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0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0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10" w14:textId="77777777" w:rsidR="006A3667" w:rsidRDefault="00045F32">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1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13" w14:textId="77777777" w:rsidR="006A3667" w:rsidRDefault="00045F32">
            <w:pPr>
              <w:jc w:val="right"/>
              <w:textAlignment w:val="bottom"/>
            </w:pPr>
            <w:r>
              <w:rPr>
                <w:rFonts w:ascii="Arial" w:eastAsia="宋体" w:hAnsi="Arial" w:cs="Arial"/>
                <w:b/>
                <w:bCs/>
                <w:color w:val="000000"/>
                <w:sz w:val="14"/>
                <w:szCs w:val="14"/>
              </w:rPr>
              <w:t>(22,346)</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1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16" w14:textId="77777777" w:rsidR="006A3667" w:rsidRDefault="00045F32">
            <w:pPr>
              <w:jc w:val="right"/>
              <w:textAlignment w:val="bottom"/>
            </w:pPr>
            <w:r>
              <w:rPr>
                <w:rFonts w:ascii="Arial" w:eastAsia="宋体" w:hAnsi="Arial" w:cs="Arial"/>
                <w:b/>
                <w:bCs/>
                <w:color w:val="000000"/>
                <w:sz w:val="14"/>
                <w:szCs w:val="14"/>
              </w:rPr>
              <w:t>8,319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17" w14:textId="77777777" w:rsidR="006A3667" w:rsidRDefault="006A3667">
            <w:pPr>
              <w:jc w:val="right"/>
              <w:rPr>
                <w:rFonts w:ascii="宋体"/>
              </w:rPr>
            </w:pPr>
          </w:p>
        </w:tc>
      </w:tr>
      <w:tr w:rsidR="006A3667" w14:paraId="71D43623" w14:textId="77777777">
        <w:trPr>
          <w:hidden/>
        </w:trPr>
        <w:tc>
          <w:tcPr>
            <w:tcW w:w="0" w:type="auto"/>
            <w:gridSpan w:val="3"/>
            <w:shd w:val="clear" w:color="auto" w:fill="auto"/>
            <w:vAlign w:val="bottom"/>
          </w:tcPr>
          <w:p w14:paraId="71D43619" w14:textId="77777777" w:rsidR="006A3667" w:rsidRDefault="006A3667">
            <w:pPr>
              <w:rPr>
                <w:rFonts w:ascii="宋体"/>
                <w:vanish/>
              </w:rPr>
            </w:pPr>
          </w:p>
        </w:tc>
        <w:tc>
          <w:tcPr>
            <w:tcW w:w="0" w:type="auto"/>
            <w:gridSpan w:val="3"/>
            <w:shd w:val="clear" w:color="auto" w:fill="auto"/>
            <w:vAlign w:val="bottom"/>
          </w:tcPr>
          <w:p w14:paraId="71D4361A" w14:textId="77777777" w:rsidR="006A3667" w:rsidRDefault="006A3667">
            <w:pPr>
              <w:rPr>
                <w:rFonts w:ascii="宋体"/>
                <w:vanish/>
              </w:rPr>
            </w:pPr>
          </w:p>
        </w:tc>
        <w:tc>
          <w:tcPr>
            <w:tcW w:w="0" w:type="auto"/>
            <w:gridSpan w:val="3"/>
            <w:shd w:val="clear" w:color="auto" w:fill="auto"/>
            <w:vAlign w:val="bottom"/>
          </w:tcPr>
          <w:p w14:paraId="71D4361B" w14:textId="77777777" w:rsidR="006A3667" w:rsidRDefault="006A3667">
            <w:pPr>
              <w:rPr>
                <w:rFonts w:ascii="宋体"/>
                <w:vanish/>
              </w:rPr>
            </w:pPr>
          </w:p>
        </w:tc>
        <w:tc>
          <w:tcPr>
            <w:tcW w:w="0" w:type="auto"/>
            <w:gridSpan w:val="3"/>
            <w:shd w:val="clear" w:color="auto" w:fill="auto"/>
            <w:vAlign w:val="bottom"/>
          </w:tcPr>
          <w:p w14:paraId="71D4361C" w14:textId="77777777" w:rsidR="006A3667" w:rsidRDefault="006A3667">
            <w:pPr>
              <w:rPr>
                <w:rFonts w:ascii="宋体"/>
                <w:vanish/>
              </w:rPr>
            </w:pPr>
          </w:p>
        </w:tc>
        <w:tc>
          <w:tcPr>
            <w:tcW w:w="0" w:type="auto"/>
            <w:gridSpan w:val="3"/>
            <w:shd w:val="clear" w:color="auto" w:fill="auto"/>
            <w:vAlign w:val="bottom"/>
          </w:tcPr>
          <w:p w14:paraId="71D4361D" w14:textId="77777777" w:rsidR="006A3667" w:rsidRDefault="006A3667">
            <w:pPr>
              <w:rPr>
                <w:rFonts w:ascii="宋体"/>
                <w:vanish/>
              </w:rPr>
            </w:pPr>
          </w:p>
        </w:tc>
        <w:tc>
          <w:tcPr>
            <w:tcW w:w="0" w:type="auto"/>
            <w:gridSpan w:val="3"/>
            <w:shd w:val="clear" w:color="auto" w:fill="auto"/>
            <w:vAlign w:val="bottom"/>
          </w:tcPr>
          <w:p w14:paraId="71D4361E" w14:textId="77777777" w:rsidR="006A3667" w:rsidRDefault="006A3667">
            <w:pPr>
              <w:rPr>
                <w:rFonts w:ascii="宋体"/>
                <w:vanish/>
              </w:rPr>
            </w:pPr>
          </w:p>
        </w:tc>
        <w:tc>
          <w:tcPr>
            <w:tcW w:w="0" w:type="auto"/>
            <w:gridSpan w:val="3"/>
            <w:shd w:val="clear" w:color="auto" w:fill="auto"/>
            <w:vAlign w:val="bottom"/>
          </w:tcPr>
          <w:p w14:paraId="71D4361F" w14:textId="77777777" w:rsidR="006A3667" w:rsidRDefault="006A3667">
            <w:pPr>
              <w:rPr>
                <w:rFonts w:ascii="宋体"/>
                <w:vanish/>
              </w:rPr>
            </w:pPr>
          </w:p>
        </w:tc>
        <w:tc>
          <w:tcPr>
            <w:tcW w:w="0" w:type="auto"/>
            <w:gridSpan w:val="3"/>
            <w:shd w:val="clear" w:color="auto" w:fill="auto"/>
            <w:vAlign w:val="bottom"/>
          </w:tcPr>
          <w:p w14:paraId="71D43620" w14:textId="77777777" w:rsidR="006A3667" w:rsidRDefault="006A3667">
            <w:pPr>
              <w:rPr>
                <w:rFonts w:ascii="宋体"/>
                <w:vanish/>
              </w:rPr>
            </w:pPr>
          </w:p>
        </w:tc>
        <w:tc>
          <w:tcPr>
            <w:tcW w:w="0" w:type="auto"/>
            <w:gridSpan w:val="3"/>
            <w:shd w:val="clear" w:color="auto" w:fill="auto"/>
            <w:vAlign w:val="bottom"/>
          </w:tcPr>
          <w:p w14:paraId="71D43621" w14:textId="77777777" w:rsidR="006A3667" w:rsidRDefault="006A3667">
            <w:pPr>
              <w:rPr>
                <w:rFonts w:ascii="宋体"/>
                <w:vanish/>
              </w:rPr>
            </w:pPr>
          </w:p>
        </w:tc>
        <w:tc>
          <w:tcPr>
            <w:tcW w:w="0" w:type="auto"/>
            <w:gridSpan w:val="3"/>
            <w:shd w:val="clear" w:color="auto" w:fill="auto"/>
            <w:vAlign w:val="bottom"/>
          </w:tcPr>
          <w:p w14:paraId="71D43622" w14:textId="77777777" w:rsidR="006A3667" w:rsidRDefault="006A3667">
            <w:pPr>
              <w:rPr>
                <w:rFonts w:ascii="宋体"/>
                <w:vanish/>
              </w:rPr>
            </w:pPr>
          </w:p>
        </w:tc>
      </w:tr>
      <w:tr w:rsidR="006A3667" w14:paraId="71D43638" w14:textId="77777777">
        <w:tc>
          <w:tcPr>
            <w:tcW w:w="0" w:type="auto"/>
            <w:gridSpan w:val="3"/>
            <w:shd w:val="clear" w:color="auto" w:fill="CCEEFF"/>
            <w:tcMar>
              <w:top w:w="40" w:type="dxa"/>
              <w:left w:w="20" w:type="dxa"/>
              <w:bottom w:w="40" w:type="dxa"/>
              <w:right w:w="20" w:type="dxa"/>
            </w:tcMar>
            <w:vAlign w:val="bottom"/>
          </w:tcPr>
          <w:p w14:paraId="71D43624" w14:textId="77777777" w:rsidR="006A3667" w:rsidRDefault="00045F32">
            <w:pPr>
              <w:textAlignment w:val="bottom"/>
            </w:pPr>
            <w:r>
              <w:rPr>
                <w:rFonts w:ascii="Arial" w:eastAsia="宋体" w:hAnsi="Arial" w:cs="Arial"/>
                <w:color w:val="000000"/>
                <w:sz w:val="14"/>
                <w:szCs w:val="14"/>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62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626" w14:textId="77777777" w:rsidR="006A3667" w:rsidRDefault="00045F32">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62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28"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62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62A" w14:textId="77777777" w:rsidR="006A3667" w:rsidRDefault="00045F32">
            <w:pPr>
              <w:jc w:val="right"/>
              <w:textAlignment w:val="bottom"/>
            </w:pPr>
            <w:r>
              <w:rPr>
                <w:rFonts w:ascii="Arial" w:eastAsia="宋体" w:hAnsi="Arial" w:cs="Arial"/>
                <w:b/>
                <w:bCs/>
                <w:color w:val="000000"/>
                <w:sz w:val="14"/>
                <w:szCs w:val="14"/>
              </w:rPr>
              <w:t>30,649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6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2C"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62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62E" w14:textId="77777777" w:rsidR="006A3667" w:rsidRDefault="00045F32">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6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30"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63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632" w14:textId="77777777" w:rsidR="006A3667" w:rsidRDefault="00045F32">
            <w:pPr>
              <w:jc w:val="right"/>
              <w:textAlignment w:val="bottom"/>
            </w:pPr>
            <w:r>
              <w:rPr>
                <w:rFonts w:ascii="Arial" w:eastAsia="宋体" w:hAnsi="Arial" w:cs="Arial"/>
                <w:b/>
                <w:bCs/>
                <w:color w:val="000000"/>
                <w:sz w:val="14"/>
                <w:szCs w:val="14"/>
              </w:rPr>
              <w:t>(22,346)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63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3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63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636" w14:textId="77777777" w:rsidR="006A3667" w:rsidRDefault="00045F32">
            <w:pPr>
              <w:jc w:val="right"/>
              <w:textAlignment w:val="bottom"/>
            </w:pPr>
            <w:r>
              <w:rPr>
                <w:rFonts w:ascii="Arial" w:eastAsia="宋体" w:hAnsi="Arial" w:cs="Arial"/>
                <w:b/>
                <w:bCs/>
                <w:color w:val="000000"/>
                <w:sz w:val="14"/>
                <w:szCs w:val="14"/>
              </w:rPr>
              <w:t>8,319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637" w14:textId="77777777" w:rsidR="006A3667" w:rsidRDefault="006A3667">
            <w:pPr>
              <w:jc w:val="right"/>
              <w:rPr>
                <w:rFonts w:ascii="宋体"/>
              </w:rPr>
            </w:pPr>
          </w:p>
        </w:tc>
      </w:tr>
    </w:tbl>
    <w:p w14:paraId="71D43639"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6A3667" w14:paraId="71D43646" w14:textId="77777777">
        <w:tc>
          <w:tcPr>
            <w:tcW w:w="50" w:type="pct"/>
            <w:shd w:val="clear" w:color="auto" w:fill="auto"/>
            <w:vAlign w:val="bottom"/>
          </w:tcPr>
          <w:p w14:paraId="71D4363A" w14:textId="77777777" w:rsidR="006A3667" w:rsidRDefault="006A3667">
            <w:pPr>
              <w:rPr>
                <w:rFonts w:ascii="宋体"/>
              </w:rPr>
            </w:pPr>
          </w:p>
        </w:tc>
        <w:tc>
          <w:tcPr>
            <w:tcW w:w="1348" w:type="pct"/>
            <w:shd w:val="clear" w:color="auto" w:fill="auto"/>
            <w:vAlign w:val="bottom"/>
          </w:tcPr>
          <w:p w14:paraId="71D4363B" w14:textId="77777777" w:rsidR="006A3667" w:rsidRDefault="006A3667">
            <w:pPr>
              <w:rPr>
                <w:rFonts w:ascii="宋体"/>
              </w:rPr>
            </w:pPr>
          </w:p>
        </w:tc>
        <w:tc>
          <w:tcPr>
            <w:tcW w:w="5" w:type="pct"/>
            <w:shd w:val="clear" w:color="auto" w:fill="auto"/>
            <w:vAlign w:val="bottom"/>
          </w:tcPr>
          <w:p w14:paraId="71D4363C" w14:textId="77777777" w:rsidR="006A3667" w:rsidRDefault="006A3667">
            <w:pPr>
              <w:rPr>
                <w:rFonts w:ascii="宋体"/>
              </w:rPr>
            </w:pPr>
          </w:p>
        </w:tc>
        <w:tc>
          <w:tcPr>
            <w:tcW w:w="50" w:type="pct"/>
            <w:shd w:val="clear" w:color="auto" w:fill="auto"/>
            <w:vAlign w:val="bottom"/>
          </w:tcPr>
          <w:p w14:paraId="71D4363D" w14:textId="77777777" w:rsidR="006A3667" w:rsidRDefault="006A3667">
            <w:pPr>
              <w:rPr>
                <w:rFonts w:ascii="宋体"/>
              </w:rPr>
            </w:pPr>
          </w:p>
        </w:tc>
        <w:tc>
          <w:tcPr>
            <w:tcW w:w="668" w:type="pct"/>
            <w:shd w:val="clear" w:color="auto" w:fill="auto"/>
            <w:vAlign w:val="bottom"/>
          </w:tcPr>
          <w:p w14:paraId="71D4363E" w14:textId="77777777" w:rsidR="006A3667" w:rsidRDefault="006A3667">
            <w:pPr>
              <w:rPr>
                <w:rFonts w:ascii="宋体"/>
              </w:rPr>
            </w:pPr>
          </w:p>
        </w:tc>
        <w:tc>
          <w:tcPr>
            <w:tcW w:w="5" w:type="pct"/>
            <w:shd w:val="clear" w:color="auto" w:fill="auto"/>
            <w:vAlign w:val="bottom"/>
          </w:tcPr>
          <w:p w14:paraId="71D4363F" w14:textId="77777777" w:rsidR="006A3667" w:rsidRDefault="006A3667">
            <w:pPr>
              <w:rPr>
                <w:rFonts w:ascii="宋体"/>
              </w:rPr>
            </w:pPr>
          </w:p>
        </w:tc>
        <w:tc>
          <w:tcPr>
            <w:tcW w:w="50" w:type="pct"/>
            <w:shd w:val="clear" w:color="auto" w:fill="auto"/>
            <w:vAlign w:val="bottom"/>
          </w:tcPr>
          <w:p w14:paraId="71D43640" w14:textId="77777777" w:rsidR="006A3667" w:rsidRDefault="006A3667">
            <w:pPr>
              <w:rPr>
                <w:rFonts w:ascii="宋体"/>
              </w:rPr>
            </w:pPr>
          </w:p>
        </w:tc>
        <w:tc>
          <w:tcPr>
            <w:tcW w:w="909" w:type="pct"/>
            <w:shd w:val="clear" w:color="auto" w:fill="auto"/>
            <w:vAlign w:val="bottom"/>
          </w:tcPr>
          <w:p w14:paraId="71D43641" w14:textId="77777777" w:rsidR="006A3667" w:rsidRDefault="006A3667">
            <w:pPr>
              <w:rPr>
                <w:rFonts w:ascii="宋体"/>
              </w:rPr>
            </w:pPr>
          </w:p>
        </w:tc>
        <w:tc>
          <w:tcPr>
            <w:tcW w:w="5" w:type="pct"/>
            <w:shd w:val="clear" w:color="auto" w:fill="auto"/>
            <w:vAlign w:val="bottom"/>
          </w:tcPr>
          <w:p w14:paraId="71D43642" w14:textId="77777777" w:rsidR="006A3667" w:rsidRDefault="006A3667">
            <w:pPr>
              <w:rPr>
                <w:rFonts w:ascii="宋体"/>
              </w:rPr>
            </w:pPr>
          </w:p>
        </w:tc>
        <w:tc>
          <w:tcPr>
            <w:tcW w:w="50" w:type="pct"/>
            <w:shd w:val="clear" w:color="auto" w:fill="auto"/>
            <w:vAlign w:val="bottom"/>
          </w:tcPr>
          <w:p w14:paraId="71D43643" w14:textId="77777777" w:rsidR="006A3667" w:rsidRDefault="006A3667">
            <w:pPr>
              <w:rPr>
                <w:rFonts w:ascii="宋体"/>
              </w:rPr>
            </w:pPr>
          </w:p>
        </w:tc>
        <w:tc>
          <w:tcPr>
            <w:tcW w:w="1852" w:type="pct"/>
            <w:shd w:val="clear" w:color="auto" w:fill="auto"/>
            <w:vAlign w:val="bottom"/>
          </w:tcPr>
          <w:p w14:paraId="71D43644" w14:textId="77777777" w:rsidR="006A3667" w:rsidRDefault="006A3667">
            <w:pPr>
              <w:rPr>
                <w:rFonts w:ascii="宋体"/>
              </w:rPr>
            </w:pPr>
          </w:p>
        </w:tc>
        <w:tc>
          <w:tcPr>
            <w:tcW w:w="5" w:type="pct"/>
            <w:shd w:val="clear" w:color="auto" w:fill="auto"/>
            <w:vAlign w:val="bottom"/>
          </w:tcPr>
          <w:p w14:paraId="71D43645" w14:textId="77777777" w:rsidR="006A3667" w:rsidRDefault="006A3667">
            <w:pPr>
              <w:rPr>
                <w:rFonts w:ascii="宋体"/>
              </w:rPr>
            </w:pPr>
          </w:p>
        </w:tc>
      </w:tr>
      <w:tr w:rsidR="006A3667" w14:paraId="71D4364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36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4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4A" w14:textId="77777777" w:rsidR="006A3667" w:rsidRDefault="006A3667">
            <w:pPr>
              <w:rPr>
                <w:rFonts w:ascii="宋体"/>
              </w:rPr>
            </w:pPr>
          </w:p>
        </w:tc>
      </w:tr>
    </w:tbl>
    <w:p w14:paraId="71D4364C" w14:textId="77777777" w:rsidR="006A3667" w:rsidRDefault="00045F32">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Represents counterparty netting against level 2 financial assets and liabilities where a legally enforceable master netting agreement exists between us and the counterparty. Netting also reflects asset and liability reductions of $2.41 billion and $5.8</w:t>
      </w:r>
      <w:r>
        <w:rPr>
          <w:rFonts w:ascii="Arial" w:eastAsia="宋体" w:hAnsi="Arial" w:cs="Arial"/>
          <w:color w:val="000000"/>
          <w:sz w:val="12"/>
          <w:szCs w:val="12"/>
        </w:rPr>
        <w:t>1 billion, respectively, for cash collateral received from and provided to derivative counterparties.</w:t>
      </w:r>
    </w:p>
    <w:p w14:paraId="71D4364D" w14:textId="77777777" w:rsidR="006A3667" w:rsidRDefault="00045F32">
      <w:pPr>
        <w:spacing w:before="60"/>
      </w:pPr>
      <w:r>
        <w:rPr>
          <w:rFonts w:ascii="Arial" w:eastAsia="宋体" w:hAnsi="Arial" w:cs="Arial"/>
          <w:color w:val="000000"/>
          <w:sz w:val="7"/>
          <w:szCs w:val="7"/>
        </w:rPr>
        <w:t>(2)</w:t>
      </w:r>
      <w:r>
        <w:rPr>
          <w:rFonts w:ascii="Arial" w:eastAsia="宋体" w:hAnsi="Arial" w:cs="Arial"/>
          <w:color w:val="000000"/>
          <w:sz w:val="12"/>
          <w:szCs w:val="12"/>
        </w:rPr>
        <w:t xml:space="preserve"> Consists entirely of non-agency CMBS.</w:t>
      </w:r>
    </w:p>
    <w:p w14:paraId="71D4364E" w14:textId="77777777" w:rsidR="006A3667" w:rsidRDefault="00045F32">
      <w:pPr>
        <w:ind w:firstLine="450"/>
        <w:jc w:val="right"/>
      </w:pPr>
      <w:r>
        <w:rPr>
          <w:rFonts w:ascii="Arial" w:eastAsia="宋体" w:hAnsi="Arial" w:cs="Arial"/>
          <w:color w:val="000000"/>
          <w:sz w:val="18"/>
          <w:szCs w:val="18"/>
        </w:rPr>
        <w:t>State Street Corporation | 61</w:t>
      </w:r>
    </w:p>
    <w:p w14:paraId="71D4364F" w14:textId="77777777" w:rsidR="006A3667" w:rsidRDefault="006A3667">
      <w:pPr>
        <w:ind w:firstLine="450"/>
        <w:jc w:val="center"/>
      </w:pPr>
    </w:p>
    <w:p w14:paraId="71D43650" w14:textId="77777777" w:rsidR="006A3667" w:rsidRDefault="00045F32">
      <w:r>
        <w:pict w14:anchorId="71D4AC51">
          <v:rect id="_x0000_i1085" style="width:415.3pt;height:1.5pt" o:hralign="center" o:hrstd="t" o:hr="t" fillcolor="#a0a0a0" stroked="f"/>
        </w:pict>
      </w:r>
    </w:p>
    <w:p w14:paraId="71D43651" w14:textId="77777777" w:rsidR="006A3667" w:rsidRDefault="00045F32">
      <w:pPr>
        <w:ind w:firstLine="450"/>
        <w:jc w:val="center"/>
      </w:pPr>
      <w:r>
        <w:rPr>
          <w:rFonts w:ascii="Arial" w:eastAsia="宋体" w:hAnsi="Arial" w:cs="Arial"/>
          <w:b/>
          <w:bCs/>
          <w:color w:val="000000"/>
          <w:sz w:val="20"/>
          <w:szCs w:val="20"/>
        </w:rPr>
        <w:t>STATE STREET CORPORATION</w:t>
      </w:r>
    </w:p>
    <w:p w14:paraId="71D43652" w14:textId="77777777" w:rsidR="006A3667" w:rsidRDefault="00045F32">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71D43653" w14:textId="77777777" w:rsidR="006A3667" w:rsidRDefault="00045F32">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4"/>
        <w:gridCol w:w="2239"/>
        <w:gridCol w:w="40"/>
        <w:gridCol w:w="99"/>
        <w:gridCol w:w="1062"/>
        <w:gridCol w:w="36"/>
        <w:gridCol w:w="36"/>
        <w:gridCol w:w="36"/>
        <w:gridCol w:w="36"/>
        <w:gridCol w:w="99"/>
        <w:gridCol w:w="1107"/>
        <w:gridCol w:w="36"/>
        <w:gridCol w:w="36"/>
        <w:gridCol w:w="36"/>
        <w:gridCol w:w="36"/>
        <w:gridCol w:w="99"/>
        <w:gridCol w:w="1107"/>
        <w:gridCol w:w="36"/>
        <w:gridCol w:w="36"/>
        <w:gridCol w:w="36"/>
        <w:gridCol w:w="36"/>
        <w:gridCol w:w="99"/>
        <w:gridCol w:w="612"/>
        <w:gridCol w:w="36"/>
        <w:gridCol w:w="36"/>
        <w:gridCol w:w="36"/>
        <w:gridCol w:w="36"/>
        <w:gridCol w:w="99"/>
        <w:gridCol w:w="1008"/>
        <w:gridCol w:w="36"/>
      </w:tblGrid>
      <w:tr w:rsidR="006A3667" w14:paraId="71D43672" w14:textId="77777777">
        <w:tc>
          <w:tcPr>
            <w:tcW w:w="50" w:type="pct"/>
            <w:shd w:val="clear" w:color="auto" w:fill="auto"/>
            <w:vAlign w:val="bottom"/>
          </w:tcPr>
          <w:p w14:paraId="71D43654" w14:textId="77777777" w:rsidR="006A3667" w:rsidRDefault="006A3667">
            <w:pPr>
              <w:rPr>
                <w:rFonts w:ascii="宋体"/>
              </w:rPr>
            </w:pPr>
          </w:p>
        </w:tc>
        <w:tc>
          <w:tcPr>
            <w:tcW w:w="1728" w:type="pct"/>
            <w:shd w:val="clear" w:color="auto" w:fill="auto"/>
            <w:vAlign w:val="bottom"/>
          </w:tcPr>
          <w:p w14:paraId="71D43655" w14:textId="77777777" w:rsidR="006A3667" w:rsidRDefault="006A3667">
            <w:pPr>
              <w:rPr>
                <w:rFonts w:ascii="宋体"/>
              </w:rPr>
            </w:pPr>
          </w:p>
        </w:tc>
        <w:tc>
          <w:tcPr>
            <w:tcW w:w="5" w:type="pct"/>
            <w:shd w:val="clear" w:color="auto" w:fill="auto"/>
            <w:vAlign w:val="bottom"/>
          </w:tcPr>
          <w:p w14:paraId="71D43656" w14:textId="77777777" w:rsidR="006A3667" w:rsidRDefault="006A3667">
            <w:pPr>
              <w:rPr>
                <w:rFonts w:ascii="宋体"/>
              </w:rPr>
            </w:pPr>
          </w:p>
        </w:tc>
        <w:tc>
          <w:tcPr>
            <w:tcW w:w="50" w:type="pct"/>
            <w:shd w:val="clear" w:color="auto" w:fill="auto"/>
            <w:vAlign w:val="bottom"/>
          </w:tcPr>
          <w:p w14:paraId="71D43657" w14:textId="77777777" w:rsidR="006A3667" w:rsidRDefault="006A3667">
            <w:pPr>
              <w:rPr>
                <w:rFonts w:ascii="宋体"/>
              </w:rPr>
            </w:pPr>
          </w:p>
        </w:tc>
        <w:tc>
          <w:tcPr>
            <w:tcW w:w="610" w:type="pct"/>
            <w:shd w:val="clear" w:color="auto" w:fill="auto"/>
            <w:vAlign w:val="bottom"/>
          </w:tcPr>
          <w:p w14:paraId="71D43658" w14:textId="77777777" w:rsidR="006A3667" w:rsidRDefault="006A3667">
            <w:pPr>
              <w:rPr>
                <w:rFonts w:ascii="宋体"/>
              </w:rPr>
            </w:pPr>
          </w:p>
        </w:tc>
        <w:tc>
          <w:tcPr>
            <w:tcW w:w="5" w:type="pct"/>
            <w:shd w:val="clear" w:color="auto" w:fill="auto"/>
            <w:vAlign w:val="bottom"/>
          </w:tcPr>
          <w:p w14:paraId="71D43659" w14:textId="77777777" w:rsidR="006A3667" w:rsidRDefault="006A3667">
            <w:pPr>
              <w:rPr>
                <w:rFonts w:ascii="宋体"/>
              </w:rPr>
            </w:pPr>
          </w:p>
        </w:tc>
        <w:tc>
          <w:tcPr>
            <w:tcW w:w="5" w:type="pct"/>
            <w:shd w:val="clear" w:color="auto" w:fill="auto"/>
            <w:vAlign w:val="bottom"/>
          </w:tcPr>
          <w:p w14:paraId="71D4365A" w14:textId="77777777" w:rsidR="006A3667" w:rsidRDefault="006A3667">
            <w:pPr>
              <w:rPr>
                <w:rFonts w:ascii="宋体"/>
              </w:rPr>
            </w:pPr>
          </w:p>
        </w:tc>
        <w:tc>
          <w:tcPr>
            <w:tcW w:w="26" w:type="pct"/>
            <w:shd w:val="clear" w:color="auto" w:fill="auto"/>
            <w:vAlign w:val="bottom"/>
          </w:tcPr>
          <w:p w14:paraId="71D4365B" w14:textId="77777777" w:rsidR="006A3667" w:rsidRDefault="006A3667">
            <w:pPr>
              <w:rPr>
                <w:rFonts w:ascii="宋体"/>
              </w:rPr>
            </w:pPr>
          </w:p>
        </w:tc>
        <w:tc>
          <w:tcPr>
            <w:tcW w:w="5" w:type="pct"/>
            <w:shd w:val="clear" w:color="auto" w:fill="auto"/>
            <w:vAlign w:val="bottom"/>
          </w:tcPr>
          <w:p w14:paraId="71D4365C" w14:textId="77777777" w:rsidR="006A3667" w:rsidRDefault="006A3667">
            <w:pPr>
              <w:rPr>
                <w:rFonts w:ascii="宋体"/>
              </w:rPr>
            </w:pPr>
          </w:p>
        </w:tc>
        <w:tc>
          <w:tcPr>
            <w:tcW w:w="50" w:type="pct"/>
            <w:shd w:val="clear" w:color="auto" w:fill="auto"/>
            <w:vAlign w:val="bottom"/>
          </w:tcPr>
          <w:p w14:paraId="71D4365D" w14:textId="77777777" w:rsidR="006A3667" w:rsidRDefault="006A3667">
            <w:pPr>
              <w:rPr>
                <w:rFonts w:ascii="宋体"/>
              </w:rPr>
            </w:pPr>
          </w:p>
        </w:tc>
        <w:tc>
          <w:tcPr>
            <w:tcW w:w="610" w:type="pct"/>
            <w:shd w:val="clear" w:color="auto" w:fill="auto"/>
            <w:vAlign w:val="bottom"/>
          </w:tcPr>
          <w:p w14:paraId="71D4365E" w14:textId="77777777" w:rsidR="006A3667" w:rsidRDefault="006A3667">
            <w:pPr>
              <w:rPr>
                <w:rFonts w:ascii="宋体"/>
              </w:rPr>
            </w:pPr>
          </w:p>
        </w:tc>
        <w:tc>
          <w:tcPr>
            <w:tcW w:w="5" w:type="pct"/>
            <w:shd w:val="clear" w:color="auto" w:fill="auto"/>
            <w:vAlign w:val="bottom"/>
          </w:tcPr>
          <w:p w14:paraId="71D4365F" w14:textId="77777777" w:rsidR="006A3667" w:rsidRDefault="006A3667">
            <w:pPr>
              <w:rPr>
                <w:rFonts w:ascii="宋体"/>
              </w:rPr>
            </w:pPr>
          </w:p>
        </w:tc>
        <w:tc>
          <w:tcPr>
            <w:tcW w:w="5" w:type="pct"/>
            <w:shd w:val="clear" w:color="auto" w:fill="auto"/>
            <w:vAlign w:val="bottom"/>
          </w:tcPr>
          <w:p w14:paraId="71D43660" w14:textId="77777777" w:rsidR="006A3667" w:rsidRDefault="006A3667">
            <w:pPr>
              <w:rPr>
                <w:rFonts w:ascii="宋体"/>
              </w:rPr>
            </w:pPr>
          </w:p>
        </w:tc>
        <w:tc>
          <w:tcPr>
            <w:tcW w:w="26" w:type="pct"/>
            <w:shd w:val="clear" w:color="auto" w:fill="auto"/>
            <w:vAlign w:val="bottom"/>
          </w:tcPr>
          <w:p w14:paraId="71D43661" w14:textId="77777777" w:rsidR="006A3667" w:rsidRDefault="006A3667">
            <w:pPr>
              <w:rPr>
                <w:rFonts w:ascii="宋体"/>
              </w:rPr>
            </w:pPr>
          </w:p>
        </w:tc>
        <w:tc>
          <w:tcPr>
            <w:tcW w:w="5" w:type="pct"/>
            <w:shd w:val="clear" w:color="auto" w:fill="auto"/>
            <w:vAlign w:val="bottom"/>
          </w:tcPr>
          <w:p w14:paraId="71D43662" w14:textId="77777777" w:rsidR="006A3667" w:rsidRDefault="006A3667">
            <w:pPr>
              <w:rPr>
                <w:rFonts w:ascii="宋体"/>
              </w:rPr>
            </w:pPr>
          </w:p>
        </w:tc>
        <w:tc>
          <w:tcPr>
            <w:tcW w:w="50" w:type="pct"/>
            <w:shd w:val="clear" w:color="auto" w:fill="auto"/>
            <w:vAlign w:val="bottom"/>
          </w:tcPr>
          <w:p w14:paraId="71D43663" w14:textId="77777777" w:rsidR="006A3667" w:rsidRDefault="006A3667">
            <w:pPr>
              <w:rPr>
                <w:rFonts w:ascii="宋体"/>
              </w:rPr>
            </w:pPr>
          </w:p>
        </w:tc>
        <w:tc>
          <w:tcPr>
            <w:tcW w:w="610" w:type="pct"/>
            <w:shd w:val="clear" w:color="auto" w:fill="auto"/>
            <w:vAlign w:val="bottom"/>
          </w:tcPr>
          <w:p w14:paraId="71D43664" w14:textId="77777777" w:rsidR="006A3667" w:rsidRDefault="006A3667">
            <w:pPr>
              <w:rPr>
                <w:rFonts w:ascii="宋体"/>
              </w:rPr>
            </w:pPr>
          </w:p>
        </w:tc>
        <w:tc>
          <w:tcPr>
            <w:tcW w:w="5" w:type="pct"/>
            <w:shd w:val="clear" w:color="auto" w:fill="auto"/>
            <w:vAlign w:val="bottom"/>
          </w:tcPr>
          <w:p w14:paraId="71D43665" w14:textId="77777777" w:rsidR="006A3667" w:rsidRDefault="006A3667">
            <w:pPr>
              <w:rPr>
                <w:rFonts w:ascii="宋体"/>
              </w:rPr>
            </w:pPr>
          </w:p>
        </w:tc>
        <w:tc>
          <w:tcPr>
            <w:tcW w:w="5" w:type="pct"/>
            <w:shd w:val="clear" w:color="auto" w:fill="auto"/>
            <w:vAlign w:val="bottom"/>
          </w:tcPr>
          <w:p w14:paraId="71D43666" w14:textId="77777777" w:rsidR="006A3667" w:rsidRDefault="006A3667">
            <w:pPr>
              <w:rPr>
                <w:rFonts w:ascii="宋体"/>
              </w:rPr>
            </w:pPr>
          </w:p>
        </w:tc>
        <w:tc>
          <w:tcPr>
            <w:tcW w:w="26" w:type="pct"/>
            <w:shd w:val="clear" w:color="auto" w:fill="auto"/>
            <w:vAlign w:val="bottom"/>
          </w:tcPr>
          <w:p w14:paraId="71D43667" w14:textId="77777777" w:rsidR="006A3667" w:rsidRDefault="006A3667">
            <w:pPr>
              <w:rPr>
                <w:rFonts w:ascii="宋体"/>
              </w:rPr>
            </w:pPr>
          </w:p>
        </w:tc>
        <w:tc>
          <w:tcPr>
            <w:tcW w:w="5" w:type="pct"/>
            <w:shd w:val="clear" w:color="auto" w:fill="auto"/>
            <w:vAlign w:val="bottom"/>
          </w:tcPr>
          <w:p w14:paraId="71D43668" w14:textId="77777777" w:rsidR="006A3667" w:rsidRDefault="006A3667">
            <w:pPr>
              <w:rPr>
                <w:rFonts w:ascii="宋体"/>
              </w:rPr>
            </w:pPr>
          </w:p>
        </w:tc>
        <w:tc>
          <w:tcPr>
            <w:tcW w:w="50" w:type="pct"/>
            <w:shd w:val="clear" w:color="auto" w:fill="auto"/>
            <w:vAlign w:val="bottom"/>
          </w:tcPr>
          <w:p w14:paraId="71D43669" w14:textId="77777777" w:rsidR="006A3667" w:rsidRDefault="006A3667">
            <w:pPr>
              <w:rPr>
                <w:rFonts w:ascii="宋体"/>
              </w:rPr>
            </w:pPr>
          </w:p>
        </w:tc>
        <w:tc>
          <w:tcPr>
            <w:tcW w:w="354" w:type="pct"/>
            <w:shd w:val="clear" w:color="auto" w:fill="auto"/>
            <w:vAlign w:val="bottom"/>
          </w:tcPr>
          <w:p w14:paraId="71D4366A" w14:textId="77777777" w:rsidR="006A3667" w:rsidRDefault="006A3667">
            <w:pPr>
              <w:rPr>
                <w:rFonts w:ascii="宋体"/>
              </w:rPr>
            </w:pPr>
          </w:p>
        </w:tc>
        <w:tc>
          <w:tcPr>
            <w:tcW w:w="5" w:type="pct"/>
            <w:shd w:val="clear" w:color="auto" w:fill="auto"/>
            <w:vAlign w:val="bottom"/>
          </w:tcPr>
          <w:p w14:paraId="71D4366B" w14:textId="77777777" w:rsidR="006A3667" w:rsidRDefault="006A3667">
            <w:pPr>
              <w:rPr>
                <w:rFonts w:ascii="宋体"/>
              </w:rPr>
            </w:pPr>
          </w:p>
        </w:tc>
        <w:tc>
          <w:tcPr>
            <w:tcW w:w="5" w:type="pct"/>
            <w:shd w:val="clear" w:color="auto" w:fill="auto"/>
            <w:vAlign w:val="bottom"/>
          </w:tcPr>
          <w:p w14:paraId="71D4366C" w14:textId="77777777" w:rsidR="006A3667" w:rsidRDefault="006A3667">
            <w:pPr>
              <w:rPr>
                <w:rFonts w:ascii="宋体"/>
              </w:rPr>
            </w:pPr>
          </w:p>
        </w:tc>
        <w:tc>
          <w:tcPr>
            <w:tcW w:w="26" w:type="pct"/>
            <w:shd w:val="clear" w:color="auto" w:fill="auto"/>
            <w:vAlign w:val="bottom"/>
          </w:tcPr>
          <w:p w14:paraId="71D4366D" w14:textId="77777777" w:rsidR="006A3667" w:rsidRDefault="006A3667">
            <w:pPr>
              <w:rPr>
                <w:rFonts w:ascii="宋体"/>
              </w:rPr>
            </w:pPr>
          </w:p>
        </w:tc>
        <w:tc>
          <w:tcPr>
            <w:tcW w:w="5" w:type="pct"/>
            <w:shd w:val="clear" w:color="auto" w:fill="auto"/>
            <w:vAlign w:val="bottom"/>
          </w:tcPr>
          <w:p w14:paraId="71D4366E" w14:textId="77777777" w:rsidR="006A3667" w:rsidRDefault="006A3667">
            <w:pPr>
              <w:rPr>
                <w:rFonts w:ascii="宋体"/>
              </w:rPr>
            </w:pPr>
          </w:p>
        </w:tc>
        <w:tc>
          <w:tcPr>
            <w:tcW w:w="50" w:type="pct"/>
            <w:shd w:val="clear" w:color="auto" w:fill="auto"/>
            <w:vAlign w:val="bottom"/>
          </w:tcPr>
          <w:p w14:paraId="71D4366F" w14:textId="77777777" w:rsidR="006A3667" w:rsidRDefault="006A3667">
            <w:pPr>
              <w:rPr>
                <w:rFonts w:ascii="宋体"/>
              </w:rPr>
            </w:pPr>
          </w:p>
        </w:tc>
        <w:tc>
          <w:tcPr>
            <w:tcW w:w="610" w:type="pct"/>
            <w:shd w:val="clear" w:color="auto" w:fill="auto"/>
            <w:vAlign w:val="bottom"/>
          </w:tcPr>
          <w:p w14:paraId="71D43670" w14:textId="77777777" w:rsidR="006A3667" w:rsidRDefault="006A3667">
            <w:pPr>
              <w:rPr>
                <w:rFonts w:ascii="宋体"/>
              </w:rPr>
            </w:pPr>
          </w:p>
        </w:tc>
        <w:tc>
          <w:tcPr>
            <w:tcW w:w="5" w:type="pct"/>
            <w:shd w:val="clear" w:color="auto" w:fill="auto"/>
            <w:vAlign w:val="bottom"/>
          </w:tcPr>
          <w:p w14:paraId="71D43671" w14:textId="77777777" w:rsidR="006A3667" w:rsidRDefault="006A3667">
            <w:pPr>
              <w:rPr>
                <w:rFonts w:ascii="宋体"/>
              </w:rPr>
            </w:pPr>
          </w:p>
        </w:tc>
      </w:tr>
      <w:tr w:rsidR="006A3667" w14:paraId="71D43675" w14:textId="77777777">
        <w:tc>
          <w:tcPr>
            <w:tcW w:w="0" w:type="auto"/>
            <w:gridSpan w:val="3"/>
            <w:shd w:val="clear" w:color="auto" w:fill="auto"/>
            <w:tcMar>
              <w:top w:w="0" w:type="dxa"/>
              <w:left w:w="20" w:type="dxa"/>
              <w:bottom w:w="0" w:type="dxa"/>
              <w:right w:w="20" w:type="dxa"/>
            </w:tcMar>
            <w:vAlign w:val="bottom"/>
          </w:tcPr>
          <w:p w14:paraId="71D43673" w14:textId="77777777" w:rsidR="006A3667" w:rsidRDefault="006A3667">
            <w:pPr>
              <w:rPr>
                <w:rFonts w:ascii="宋体"/>
              </w:rPr>
            </w:pPr>
          </w:p>
        </w:tc>
        <w:tc>
          <w:tcPr>
            <w:tcW w:w="0" w:type="auto"/>
            <w:gridSpan w:val="27"/>
            <w:shd w:val="clear" w:color="auto" w:fill="auto"/>
            <w:tcMar>
              <w:top w:w="40" w:type="dxa"/>
              <w:left w:w="20" w:type="dxa"/>
              <w:bottom w:w="40" w:type="dxa"/>
              <w:right w:w="20" w:type="dxa"/>
            </w:tcMar>
            <w:vAlign w:val="bottom"/>
          </w:tcPr>
          <w:p w14:paraId="71D43674" w14:textId="77777777" w:rsidR="006A3667" w:rsidRDefault="00045F32">
            <w:pPr>
              <w:jc w:val="center"/>
              <w:textAlignment w:val="bottom"/>
            </w:pPr>
            <w:r>
              <w:rPr>
                <w:rFonts w:ascii="Arial" w:eastAsia="宋体" w:hAnsi="Arial" w:cs="Arial"/>
                <w:b/>
                <w:bCs/>
                <w:color w:val="000000"/>
                <w:sz w:val="15"/>
                <w:szCs w:val="15"/>
              </w:rPr>
              <w:t>Fair Value Measurements on a Recurring Basis</w:t>
            </w:r>
          </w:p>
        </w:tc>
      </w:tr>
      <w:tr w:rsidR="006A3667" w14:paraId="71D43678" w14:textId="77777777">
        <w:tc>
          <w:tcPr>
            <w:tcW w:w="0" w:type="auto"/>
            <w:gridSpan w:val="3"/>
            <w:shd w:val="clear" w:color="auto" w:fill="auto"/>
            <w:tcMar>
              <w:top w:w="0" w:type="dxa"/>
              <w:left w:w="20" w:type="dxa"/>
              <w:bottom w:w="0" w:type="dxa"/>
              <w:right w:w="20" w:type="dxa"/>
            </w:tcMar>
            <w:vAlign w:val="bottom"/>
          </w:tcPr>
          <w:p w14:paraId="71D43676" w14:textId="77777777" w:rsidR="006A3667" w:rsidRDefault="006A3667">
            <w:pPr>
              <w:rPr>
                <w:rFonts w:ascii="宋体"/>
              </w:rPr>
            </w:pPr>
          </w:p>
        </w:tc>
        <w:tc>
          <w:tcPr>
            <w:tcW w:w="0" w:type="auto"/>
            <w:gridSpan w:val="27"/>
            <w:shd w:val="clear" w:color="auto" w:fill="auto"/>
            <w:tcMar>
              <w:top w:w="40" w:type="dxa"/>
              <w:left w:w="20" w:type="dxa"/>
              <w:bottom w:w="40" w:type="dxa"/>
              <w:right w:w="20" w:type="dxa"/>
            </w:tcMar>
            <w:vAlign w:val="bottom"/>
          </w:tcPr>
          <w:p w14:paraId="71D43677" w14:textId="77777777" w:rsidR="006A3667" w:rsidRDefault="00045F32">
            <w:pPr>
              <w:jc w:val="center"/>
              <w:textAlignment w:val="bottom"/>
            </w:pPr>
            <w:r>
              <w:rPr>
                <w:rFonts w:ascii="Arial" w:eastAsia="宋体" w:hAnsi="Arial" w:cs="Arial"/>
                <w:b/>
                <w:bCs/>
                <w:color w:val="000000"/>
                <w:sz w:val="15"/>
                <w:szCs w:val="15"/>
              </w:rPr>
              <w:t>As of December 31, 2021</w:t>
            </w:r>
          </w:p>
        </w:tc>
      </w:tr>
      <w:tr w:rsidR="006A3667" w14:paraId="71D43683" w14:textId="77777777">
        <w:tc>
          <w:tcPr>
            <w:tcW w:w="0" w:type="auto"/>
            <w:gridSpan w:val="3"/>
            <w:shd w:val="clear" w:color="auto" w:fill="auto"/>
            <w:tcMar>
              <w:top w:w="40" w:type="dxa"/>
              <w:left w:w="20" w:type="dxa"/>
              <w:bottom w:w="40" w:type="dxa"/>
              <w:right w:w="20" w:type="dxa"/>
            </w:tcMar>
            <w:vAlign w:val="bottom"/>
          </w:tcPr>
          <w:p w14:paraId="71D43679" w14:textId="77777777" w:rsidR="006A3667" w:rsidRDefault="00045F32">
            <w:pPr>
              <w:textAlignment w:val="bottom"/>
            </w:pPr>
            <w:r>
              <w:rPr>
                <w:rFonts w:ascii="Arial" w:eastAsia="宋体" w:hAnsi="Arial" w:cs="Arial"/>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67A" w14:textId="77777777" w:rsidR="006A3667" w:rsidRDefault="00045F32">
            <w:pPr>
              <w:jc w:val="center"/>
              <w:textAlignment w:val="bottom"/>
            </w:pPr>
            <w:r>
              <w:rPr>
                <w:rFonts w:ascii="Arial" w:eastAsia="宋体" w:hAnsi="Arial" w:cs="Arial"/>
                <w:b/>
                <w:bCs/>
                <w:color w:val="000000"/>
                <w:sz w:val="15"/>
                <w:szCs w:val="15"/>
              </w:rPr>
              <w:t>Quoted Market</w:t>
            </w:r>
            <w:r>
              <w:rPr>
                <w:rFonts w:ascii="Arial" w:eastAsia="宋体" w:hAnsi="Arial" w:cs="Arial"/>
                <w:b/>
                <w:bCs/>
                <w:color w:val="000000"/>
                <w:sz w:val="15"/>
                <w:szCs w:val="15"/>
              </w:rPr>
              <w:br/>
              <w:t>Prices in Active</w:t>
            </w:r>
            <w:r>
              <w:rPr>
                <w:rFonts w:ascii="Arial" w:eastAsia="宋体" w:hAnsi="Arial" w:cs="Arial"/>
                <w:b/>
                <w:bCs/>
                <w:color w:val="000000"/>
                <w:sz w:val="15"/>
                <w:szCs w:val="15"/>
              </w:rPr>
              <w:br/>
              <w:t>Markets</w:t>
            </w:r>
            <w:r>
              <w:rPr>
                <w:rFonts w:ascii="Arial" w:eastAsia="宋体" w:hAnsi="Arial" w:cs="Arial"/>
                <w:b/>
                <w:bCs/>
                <w:color w:val="000000"/>
                <w:sz w:val="15"/>
                <w:szCs w:val="15"/>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7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67C" w14:textId="77777777" w:rsidR="006A3667" w:rsidRDefault="00045F32">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7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67E" w14:textId="77777777" w:rsidR="006A3667" w:rsidRDefault="00045F32">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Unobservable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7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680" w14:textId="77777777" w:rsidR="006A3667" w:rsidRDefault="00045F32">
            <w:pP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8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682" w14:textId="77777777" w:rsidR="006A3667" w:rsidRDefault="00045F32">
            <w:pPr>
              <w:jc w:val="center"/>
              <w:textAlignment w:val="bottom"/>
            </w:pPr>
            <w:r>
              <w:rPr>
                <w:rFonts w:ascii="Arial" w:eastAsia="宋体" w:hAnsi="Arial" w:cs="Arial"/>
                <w:b/>
                <w:bCs/>
                <w:color w:val="000000"/>
                <w:sz w:val="15"/>
                <w:szCs w:val="15"/>
              </w:rPr>
              <w:t>Total Net</w:t>
            </w:r>
            <w:r>
              <w:rPr>
                <w:rFonts w:ascii="Arial" w:eastAsia="宋体" w:hAnsi="Arial" w:cs="Arial"/>
                <w:b/>
                <w:bCs/>
                <w:color w:val="000000"/>
                <w:sz w:val="15"/>
                <w:szCs w:val="15"/>
              </w:rPr>
              <w:br/>
              <w:t>Carrying Value</w:t>
            </w:r>
            <w:r>
              <w:rPr>
                <w:rFonts w:ascii="Arial" w:eastAsia="宋体" w:hAnsi="Arial" w:cs="Arial"/>
                <w:b/>
                <w:bCs/>
                <w:color w:val="000000"/>
                <w:sz w:val="15"/>
                <w:szCs w:val="15"/>
              </w:rPr>
              <w:br/>
              <w:t>in Consolidated</w:t>
            </w:r>
            <w:r>
              <w:rPr>
                <w:rFonts w:ascii="Arial" w:eastAsia="宋体" w:hAnsi="Arial" w:cs="Arial"/>
                <w:b/>
                <w:bCs/>
                <w:color w:val="000000"/>
                <w:sz w:val="15"/>
                <w:szCs w:val="15"/>
              </w:rPr>
              <w:br/>
              <w:t>Statement of</w:t>
            </w:r>
            <w:r>
              <w:rPr>
                <w:rFonts w:ascii="Arial" w:eastAsia="宋体" w:hAnsi="Arial" w:cs="Arial"/>
                <w:b/>
                <w:bCs/>
                <w:color w:val="000000"/>
                <w:sz w:val="15"/>
                <w:szCs w:val="15"/>
              </w:rPr>
              <w:br/>
              <w:t>Condition</w:t>
            </w:r>
          </w:p>
        </w:tc>
      </w:tr>
      <w:tr w:rsidR="006A3667" w14:paraId="71D4368E" w14:textId="77777777">
        <w:tc>
          <w:tcPr>
            <w:tcW w:w="0" w:type="auto"/>
            <w:gridSpan w:val="3"/>
            <w:shd w:val="clear" w:color="auto" w:fill="auto"/>
            <w:tcMar>
              <w:top w:w="40" w:type="dxa"/>
              <w:left w:w="20" w:type="dxa"/>
              <w:bottom w:w="40" w:type="dxa"/>
              <w:right w:w="20" w:type="dxa"/>
            </w:tcMar>
            <w:vAlign w:val="bottom"/>
          </w:tcPr>
          <w:p w14:paraId="71D43684" w14:textId="77777777" w:rsidR="006A3667" w:rsidRDefault="00045F32">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8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8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8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8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8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8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8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8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68D" w14:textId="77777777" w:rsidR="006A3667" w:rsidRDefault="006A3667">
            <w:pPr>
              <w:rPr>
                <w:rFonts w:ascii="宋体"/>
              </w:rPr>
            </w:pPr>
          </w:p>
        </w:tc>
      </w:tr>
      <w:tr w:rsidR="006A3667" w14:paraId="71D43699" w14:textId="77777777">
        <w:tc>
          <w:tcPr>
            <w:tcW w:w="0" w:type="auto"/>
            <w:gridSpan w:val="3"/>
            <w:shd w:val="clear" w:color="auto" w:fill="auto"/>
            <w:tcMar>
              <w:top w:w="40" w:type="dxa"/>
              <w:left w:w="20" w:type="dxa"/>
              <w:bottom w:w="40" w:type="dxa"/>
              <w:right w:w="20" w:type="dxa"/>
            </w:tcMar>
            <w:vAlign w:val="bottom"/>
          </w:tcPr>
          <w:p w14:paraId="71D4368F" w14:textId="77777777" w:rsidR="006A3667" w:rsidRDefault="00045F32">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71D4369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9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9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9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9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9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9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9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698" w14:textId="77777777" w:rsidR="006A3667" w:rsidRDefault="006A3667">
            <w:pPr>
              <w:rPr>
                <w:rFonts w:ascii="宋体"/>
              </w:rPr>
            </w:pPr>
          </w:p>
        </w:tc>
      </w:tr>
      <w:tr w:rsidR="006A3667" w14:paraId="71D436AC" w14:textId="77777777">
        <w:tc>
          <w:tcPr>
            <w:tcW w:w="0" w:type="auto"/>
            <w:gridSpan w:val="3"/>
            <w:shd w:val="clear" w:color="auto" w:fill="CCEEFF"/>
            <w:tcMar>
              <w:top w:w="40" w:type="dxa"/>
              <w:left w:w="245" w:type="dxa"/>
              <w:bottom w:w="40" w:type="dxa"/>
              <w:right w:w="20" w:type="dxa"/>
            </w:tcMar>
            <w:vAlign w:val="bottom"/>
          </w:tcPr>
          <w:p w14:paraId="71D4369A" w14:textId="77777777" w:rsidR="006A3667" w:rsidRDefault="00045F32">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71D4369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369C" w14:textId="77777777" w:rsidR="006A3667" w:rsidRDefault="00045F32">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71D4369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9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69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36A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A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A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6A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36A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A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A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A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6A9"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36AA" w14:textId="77777777" w:rsidR="006A3667" w:rsidRDefault="00045F32">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71D436AB" w14:textId="77777777" w:rsidR="006A3667" w:rsidRDefault="006A3667">
            <w:pPr>
              <w:jc w:val="right"/>
              <w:rPr>
                <w:rFonts w:ascii="宋体"/>
              </w:rPr>
            </w:pPr>
          </w:p>
        </w:tc>
      </w:tr>
      <w:tr w:rsidR="006A3667" w14:paraId="71D436BB" w14:textId="77777777">
        <w:tc>
          <w:tcPr>
            <w:tcW w:w="0" w:type="auto"/>
            <w:gridSpan w:val="3"/>
            <w:shd w:val="clear" w:color="auto" w:fill="FFFFFF"/>
            <w:tcMar>
              <w:top w:w="40" w:type="dxa"/>
              <w:left w:w="245" w:type="dxa"/>
              <w:bottom w:w="40" w:type="dxa"/>
              <w:right w:w="20" w:type="dxa"/>
            </w:tcMar>
            <w:vAlign w:val="bottom"/>
          </w:tcPr>
          <w:p w14:paraId="71D436AD" w14:textId="77777777" w:rsidR="006A3667" w:rsidRDefault="00045F32">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71D436A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6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B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6B1" w14:textId="77777777" w:rsidR="006A3667" w:rsidRDefault="00045F32">
            <w:pPr>
              <w:jc w:val="right"/>
              <w:textAlignment w:val="bottom"/>
            </w:pPr>
            <w:r>
              <w:rPr>
                <w:rFonts w:ascii="Arial" w:eastAsia="宋体" w:hAnsi="Arial" w:cs="Arial"/>
                <w:color w:val="000000"/>
                <w:sz w:val="14"/>
                <w:szCs w:val="14"/>
              </w:rPr>
              <w:t>134 </w:t>
            </w:r>
          </w:p>
        </w:tc>
        <w:tc>
          <w:tcPr>
            <w:tcW w:w="0" w:type="auto"/>
            <w:shd w:val="clear" w:color="auto" w:fill="FFFFFF"/>
            <w:tcMar>
              <w:top w:w="40" w:type="dxa"/>
              <w:left w:w="0" w:type="dxa"/>
              <w:bottom w:w="40" w:type="dxa"/>
              <w:right w:w="20" w:type="dxa"/>
            </w:tcMar>
            <w:vAlign w:val="bottom"/>
          </w:tcPr>
          <w:p w14:paraId="71D436B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B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6B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6B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B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B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B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6B9" w14:textId="77777777" w:rsidR="006A3667" w:rsidRDefault="00045F32">
            <w:pPr>
              <w:jc w:val="right"/>
              <w:textAlignment w:val="bottom"/>
            </w:pPr>
            <w:r>
              <w:rPr>
                <w:rFonts w:ascii="Arial" w:eastAsia="宋体" w:hAnsi="Arial" w:cs="Arial"/>
                <w:color w:val="000000"/>
                <w:sz w:val="14"/>
                <w:szCs w:val="14"/>
              </w:rPr>
              <w:t>134 </w:t>
            </w:r>
          </w:p>
        </w:tc>
        <w:tc>
          <w:tcPr>
            <w:tcW w:w="0" w:type="auto"/>
            <w:shd w:val="clear" w:color="auto" w:fill="FFFFFF"/>
            <w:tcMar>
              <w:top w:w="40" w:type="dxa"/>
              <w:left w:w="0" w:type="dxa"/>
              <w:bottom w:w="40" w:type="dxa"/>
              <w:right w:w="20" w:type="dxa"/>
            </w:tcMar>
            <w:vAlign w:val="bottom"/>
          </w:tcPr>
          <w:p w14:paraId="71D436BA" w14:textId="77777777" w:rsidR="006A3667" w:rsidRDefault="006A3667">
            <w:pPr>
              <w:jc w:val="right"/>
              <w:rPr>
                <w:rFonts w:ascii="宋体"/>
              </w:rPr>
            </w:pPr>
          </w:p>
        </w:tc>
      </w:tr>
      <w:tr w:rsidR="006A3667" w14:paraId="71D436CA" w14:textId="77777777">
        <w:tc>
          <w:tcPr>
            <w:tcW w:w="0" w:type="auto"/>
            <w:gridSpan w:val="3"/>
            <w:shd w:val="clear" w:color="auto" w:fill="CCEEFF"/>
            <w:tcMar>
              <w:top w:w="40" w:type="dxa"/>
              <w:left w:w="245" w:type="dxa"/>
              <w:bottom w:w="40" w:type="dxa"/>
              <w:right w:w="20" w:type="dxa"/>
            </w:tcMar>
            <w:vAlign w:val="bottom"/>
          </w:tcPr>
          <w:p w14:paraId="71D436BC" w14:textId="77777777" w:rsidR="006A3667" w:rsidRDefault="00045F32">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71D436B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B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C0" w14:textId="77777777" w:rsidR="006A3667" w:rsidRDefault="00045F32">
            <w:pPr>
              <w:jc w:val="right"/>
              <w:textAlignment w:val="bottom"/>
            </w:pPr>
            <w:r>
              <w:rPr>
                <w:rFonts w:ascii="Arial" w:eastAsia="宋体" w:hAnsi="Arial" w:cs="Arial"/>
                <w:color w:val="000000"/>
                <w:sz w:val="14"/>
                <w:szCs w:val="14"/>
              </w:rPr>
              <w:t>585 </w:t>
            </w:r>
          </w:p>
        </w:tc>
        <w:tc>
          <w:tcPr>
            <w:tcW w:w="0" w:type="auto"/>
            <w:shd w:val="clear" w:color="auto" w:fill="CCEEFF"/>
            <w:tcMar>
              <w:top w:w="40" w:type="dxa"/>
              <w:left w:w="0" w:type="dxa"/>
              <w:bottom w:w="40" w:type="dxa"/>
              <w:right w:w="20" w:type="dxa"/>
            </w:tcMar>
            <w:vAlign w:val="bottom"/>
          </w:tcPr>
          <w:p w14:paraId="71D436C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C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C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C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C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C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C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C8" w14:textId="77777777" w:rsidR="006A3667" w:rsidRDefault="00045F32">
            <w:pPr>
              <w:jc w:val="right"/>
              <w:textAlignment w:val="bottom"/>
            </w:pPr>
            <w:r>
              <w:rPr>
                <w:rFonts w:ascii="Arial" w:eastAsia="宋体" w:hAnsi="Arial" w:cs="Arial"/>
                <w:color w:val="000000"/>
                <w:sz w:val="14"/>
                <w:szCs w:val="14"/>
              </w:rPr>
              <w:t>585 </w:t>
            </w:r>
          </w:p>
        </w:tc>
        <w:tc>
          <w:tcPr>
            <w:tcW w:w="0" w:type="auto"/>
            <w:shd w:val="clear" w:color="auto" w:fill="CCEEFF"/>
            <w:tcMar>
              <w:top w:w="40" w:type="dxa"/>
              <w:left w:w="0" w:type="dxa"/>
              <w:bottom w:w="40" w:type="dxa"/>
              <w:right w:w="20" w:type="dxa"/>
            </w:tcMar>
            <w:vAlign w:val="bottom"/>
          </w:tcPr>
          <w:p w14:paraId="71D436C9" w14:textId="77777777" w:rsidR="006A3667" w:rsidRDefault="006A3667">
            <w:pPr>
              <w:jc w:val="right"/>
              <w:rPr>
                <w:rFonts w:ascii="宋体"/>
              </w:rPr>
            </w:pPr>
          </w:p>
        </w:tc>
      </w:tr>
      <w:tr w:rsidR="006A3667" w14:paraId="71D436D9" w14:textId="77777777">
        <w:tc>
          <w:tcPr>
            <w:tcW w:w="0" w:type="auto"/>
            <w:gridSpan w:val="3"/>
            <w:shd w:val="clear" w:color="auto" w:fill="FFFFFF"/>
            <w:tcMar>
              <w:top w:w="40" w:type="dxa"/>
              <w:left w:w="740" w:type="dxa"/>
              <w:bottom w:w="40" w:type="dxa"/>
              <w:right w:w="20" w:type="dxa"/>
            </w:tcMar>
            <w:vAlign w:val="bottom"/>
          </w:tcPr>
          <w:p w14:paraId="71D436CB" w14:textId="77777777" w:rsidR="006A3667" w:rsidRDefault="00045F32">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CC" w14:textId="77777777" w:rsidR="006A3667" w:rsidRDefault="00045F32">
            <w:pPr>
              <w:jc w:val="right"/>
              <w:textAlignment w:val="bottom"/>
            </w:pPr>
            <w:r>
              <w:rPr>
                <w:rFonts w:ascii="Arial" w:eastAsia="宋体" w:hAnsi="Arial" w:cs="Arial"/>
                <w:color w:val="000000"/>
                <w:sz w:val="14"/>
                <w:szCs w:val="14"/>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C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CF" w14:textId="77777777" w:rsidR="006A3667" w:rsidRDefault="00045F32">
            <w:pPr>
              <w:jc w:val="right"/>
              <w:textAlignment w:val="bottom"/>
            </w:pPr>
            <w:r>
              <w:rPr>
                <w:rFonts w:ascii="Arial" w:eastAsia="宋体" w:hAnsi="Arial" w:cs="Arial"/>
                <w:color w:val="000000"/>
                <w:sz w:val="14"/>
                <w:szCs w:val="14"/>
              </w:rPr>
              <w:t>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D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D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D2"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6D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D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D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6D7" w14:textId="77777777" w:rsidR="006A3667" w:rsidRDefault="00045F32">
            <w:pPr>
              <w:jc w:val="right"/>
              <w:textAlignment w:val="bottom"/>
            </w:pPr>
            <w:r>
              <w:rPr>
                <w:rFonts w:ascii="Arial" w:eastAsia="宋体" w:hAnsi="Arial" w:cs="Arial"/>
                <w:color w:val="000000"/>
                <w:sz w:val="14"/>
                <w:szCs w:val="14"/>
              </w:rPr>
              <w:t>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6D8" w14:textId="77777777" w:rsidR="006A3667" w:rsidRDefault="006A3667">
            <w:pPr>
              <w:jc w:val="right"/>
              <w:rPr>
                <w:rFonts w:ascii="宋体"/>
              </w:rPr>
            </w:pPr>
          </w:p>
        </w:tc>
      </w:tr>
      <w:tr w:rsidR="006A3667" w14:paraId="71D436E4" w14:textId="77777777">
        <w:tc>
          <w:tcPr>
            <w:tcW w:w="0" w:type="auto"/>
            <w:gridSpan w:val="3"/>
            <w:shd w:val="clear" w:color="auto" w:fill="CCEEFF"/>
            <w:tcMar>
              <w:top w:w="40" w:type="dxa"/>
              <w:left w:w="20" w:type="dxa"/>
              <w:bottom w:w="40" w:type="dxa"/>
              <w:right w:w="20" w:type="dxa"/>
            </w:tcMar>
            <w:vAlign w:val="bottom"/>
          </w:tcPr>
          <w:p w14:paraId="71D436DA" w14:textId="77777777" w:rsidR="006A3667" w:rsidRDefault="00045F32">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6D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DC"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6D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DE"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6D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E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E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E2"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6E3" w14:textId="77777777" w:rsidR="006A3667" w:rsidRDefault="006A3667">
            <w:pPr>
              <w:rPr>
                <w:rFonts w:ascii="宋体"/>
              </w:rPr>
            </w:pPr>
          </w:p>
        </w:tc>
      </w:tr>
      <w:tr w:rsidR="006A3667" w14:paraId="71D436EF" w14:textId="77777777">
        <w:tc>
          <w:tcPr>
            <w:tcW w:w="0" w:type="auto"/>
            <w:gridSpan w:val="3"/>
            <w:shd w:val="clear" w:color="auto" w:fill="FFFFFF"/>
            <w:tcMar>
              <w:top w:w="40" w:type="dxa"/>
              <w:left w:w="245" w:type="dxa"/>
              <w:bottom w:w="40" w:type="dxa"/>
              <w:right w:w="20" w:type="dxa"/>
            </w:tcMar>
            <w:vAlign w:val="bottom"/>
          </w:tcPr>
          <w:p w14:paraId="71D436E5" w14:textId="77777777" w:rsidR="006A3667" w:rsidRDefault="00045F32">
            <w:pPr>
              <w:textAlignment w:val="bottom"/>
            </w:pPr>
            <w:r>
              <w:rPr>
                <w:rFonts w:ascii="Arial" w:eastAsia="宋体" w:hAnsi="Arial" w:cs="Arial"/>
                <w:color w:val="000000"/>
                <w:sz w:val="15"/>
                <w:szCs w:val="15"/>
              </w:rPr>
              <w:t xml:space="preserve">U.S. Treasury and federal </w:t>
            </w:r>
            <w:r>
              <w:rPr>
                <w:rFonts w:ascii="Arial" w:eastAsia="宋体" w:hAnsi="Arial" w:cs="Arial"/>
                <w:color w:val="000000"/>
                <w:sz w:val="15"/>
                <w:szCs w:val="15"/>
              </w:rPr>
              <w:t>agencies:</w:t>
            </w:r>
          </w:p>
        </w:tc>
        <w:tc>
          <w:tcPr>
            <w:tcW w:w="0" w:type="auto"/>
            <w:gridSpan w:val="3"/>
            <w:shd w:val="clear" w:color="auto" w:fill="FFFFFF"/>
            <w:tcMar>
              <w:top w:w="0" w:type="dxa"/>
              <w:left w:w="20" w:type="dxa"/>
              <w:bottom w:w="0" w:type="dxa"/>
              <w:right w:w="20" w:type="dxa"/>
            </w:tcMar>
            <w:vAlign w:val="bottom"/>
          </w:tcPr>
          <w:p w14:paraId="71D436E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E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E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E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E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E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E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E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6EE" w14:textId="77777777" w:rsidR="006A3667" w:rsidRDefault="006A3667">
            <w:pPr>
              <w:rPr>
                <w:rFonts w:ascii="宋体"/>
              </w:rPr>
            </w:pPr>
          </w:p>
        </w:tc>
      </w:tr>
      <w:tr w:rsidR="006A3667" w14:paraId="71D436FE" w14:textId="77777777">
        <w:tc>
          <w:tcPr>
            <w:tcW w:w="0" w:type="auto"/>
            <w:gridSpan w:val="3"/>
            <w:shd w:val="clear" w:color="auto" w:fill="CCEEFF"/>
            <w:tcMar>
              <w:top w:w="40" w:type="dxa"/>
              <w:left w:w="515" w:type="dxa"/>
              <w:bottom w:w="40" w:type="dxa"/>
              <w:right w:w="20" w:type="dxa"/>
            </w:tcMar>
            <w:vAlign w:val="bottom"/>
          </w:tcPr>
          <w:p w14:paraId="71D436F0" w14:textId="77777777" w:rsidR="006A3667" w:rsidRDefault="00045F32">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71D436F1" w14:textId="77777777" w:rsidR="006A3667" w:rsidRDefault="00045F32">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71D436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F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F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F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F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6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6F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F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6F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6FC" w14:textId="77777777" w:rsidR="006A3667" w:rsidRDefault="00045F32">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71D436FD" w14:textId="77777777" w:rsidR="006A3667" w:rsidRDefault="006A3667">
            <w:pPr>
              <w:jc w:val="right"/>
              <w:rPr>
                <w:rFonts w:ascii="宋体"/>
              </w:rPr>
            </w:pPr>
          </w:p>
        </w:tc>
      </w:tr>
      <w:tr w:rsidR="006A3667" w14:paraId="71D4370D" w14:textId="77777777">
        <w:tc>
          <w:tcPr>
            <w:tcW w:w="0" w:type="auto"/>
            <w:gridSpan w:val="3"/>
            <w:shd w:val="clear" w:color="auto" w:fill="FFFFFF"/>
            <w:tcMar>
              <w:top w:w="40" w:type="dxa"/>
              <w:left w:w="515" w:type="dxa"/>
              <w:bottom w:w="40" w:type="dxa"/>
              <w:right w:w="20" w:type="dxa"/>
            </w:tcMar>
            <w:vAlign w:val="bottom"/>
          </w:tcPr>
          <w:p w14:paraId="71D436FF" w14:textId="77777777" w:rsidR="006A3667" w:rsidRDefault="00045F32">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71D4370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0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0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03" w14:textId="77777777" w:rsidR="006A3667" w:rsidRDefault="00045F32">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71D437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0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0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0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0B" w14:textId="77777777" w:rsidR="006A3667" w:rsidRDefault="00045F32">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71D4370C" w14:textId="77777777" w:rsidR="006A3667" w:rsidRDefault="006A3667">
            <w:pPr>
              <w:jc w:val="right"/>
              <w:rPr>
                <w:rFonts w:ascii="宋体"/>
              </w:rPr>
            </w:pPr>
          </w:p>
        </w:tc>
      </w:tr>
      <w:tr w:rsidR="006A3667" w14:paraId="71D4371C" w14:textId="77777777">
        <w:tc>
          <w:tcPr>
            <w:tcW w:w="0" w:type="auto"/>
            <w:gridSpan w:val="3"/>
            <w:shd w:val="clear" w:color="auto" w:fill="CCEEFF"/>
            <w:tcMar>
              <w:top w:w="40" w:type="dxa"/>
              <w:left w:w="740" w:type="dxa"/>
              <w:bottom w:w="40" w:type="dxa"/>
              <w:right w:w="20" w:type="dxa"/>
            </w:tcMar>
            <w:vAlign w:val="bottom"/>
          </w:tcPr>
          <w:p w14:paraId="71D4370E" w14:textId="77777777" w:rsidR="006A3667" w:rsidRDefault="00045F32">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0F" w14:textId="77777777" w:rsidR="006A3667" w:rsidRDefault="00045F32">
            <w:pPr>
              <w:jc w:val="right"/>
              <w:textAlignment w:val="bottom"/>
            </w:pPr>
            <w:r>
              <w:rPr>
                <w:rFonts w:ascii="Arial" w:eastAsia="宋体" w:hAnsi="Arial" w:cs="Arial"/>
                <w:color w:val="000000"/>
                <w:sz w:val="14"/>
                <w:szCs w:val="14"/>
              </w:rPr>
              <w:t>17,939 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1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12" w14:textId="77777777" w:rsidR="006A3667" w:rsidRDefault="00045F32">
            <w:pPr>
              <w:jc w:val="right"/>
              <w:textAlignment w:val="bottom"/>
            </w:pPr>
            <w:r>
              <w:rPr>
                <w:rFonts w:ascii="Arial" w:eastAsia="宋体" w:hAnsi="Arial" w:cs="Arial"/>
                <w:color w:val="000000"/>
                <w:sz w:val="14"/>
                <w:szCs w:val="14"/>
              </w:rPr>
              <w:t>18,208 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1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15"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1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1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1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1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1A" w14:textId="77777777" w:rsidR="006A3667" w:rsidRDefault="00045F32">
            <w:pPr>
              <w:jc w:val="right"/>
              <w:textAlignment w:val="bottom"/>
            </w:pPr>
            <w:r>
              <w:rPr>
                <w:rFonts w:ascii="Arial" w:eastAsia="宋体" w:hAnsi="Arial" w:cs="Arial"/>
                <w:color w:val="000000"/>
                <w:sz w:val="14"/>
                <w:szCs w:val="14"/>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1B" w14:textId="77777777" w:rsidR="006A3667" w:rsidRDefault="006A3667">
            <w:pPr>
              <w:jc w:val="right"/>
              <w:rPr>
                <w:rFonts w:ascii="宋体"/>
              </w:rPr>
            </w:pPr>
          </w:p>
        </w:tc>
      </w:tr>
      <w:tr w:rsidR="006A3667" w14:paraId="71D43727" w14:textId="77777777">
        <w:tc>
          <w:tcPr>
            <w:tcW w:w="0" w:type="auto"/>
            <w:gridSpan w:val="3"/>
            <w:shd w:val="clear" w:color="auto" w:fill="FFFFFF"/>
            <w:tcMar>
              <w:top w:w="40" w:type="dxa"/>
              <w:left w:w="245" w:type="dxa"/>
              <w:bottom w:w="40" w:type="dxa"/>
              <w:right w:w="20" w:type="dxa"/>
            </w:tcMar>
            <w:vAlign w:val="bottom"/>
          </w:tcPr>
          <w:p w14:paraId="71D4371D" w14:textId="77777777" w:rsidR="006A3667" w:rsidRDefault="00045F32">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vAlign w:val="bottom"/>
          </w:tcPr>
          <w:p w14:paraId="71D4371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1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2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2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2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2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2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2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26" w14:textId="77777777" w:rsidR="006A3667" w:rsidRDefault="006A3667">
            <w:pPr>
              <w:rPr>
                <w:rFonts w:ascii="宋体"/>
              </w:rPr>
            </w:pPr>
          </w:p>
        </w:tc>
      </w:tr>
      <w:tr w:rsidR="006A3667" w14:paraId="71D43736" w14:textId="77777777">
        <w:tc>
          <w:tcPr>
            <w:tcW w:w="0" w:type="auto"/>
            <w:gridSpan w:val="3"/>
            <w:shd w:val="clear" w:color="auto" w:fill="CCEEFF"/>
            <w:tcMar>
              <w:top w:w="40" w:type="dxa"/>
              <w:left w:w="515" w:type="dxa"/>
              <w:bottom w:w="40" w:type="dxa"/>
              <w:right w:w="20" w:type="dxa"/>
            </w:tcMar>
            <w:vAlign w:val="bottom"/>
          </w:tcPr>
          <w:p w14:paraId="71D43728" w14:textId="77777777" w:rsidR="006A3667" w:rsidRDefault="00045F32">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71D4372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7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2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2C" w14:textId="77777777" w:rsidR="006A3667" w:rsidRDefault="00045F32">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71D437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2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2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7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3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3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3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34" w14:textId="77777777" w:rsidR="006A3667" w:rsidRDefault="00045F32">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71D43735" w14:textId="77777777" w:rsidR="006A3667" w:rsidRDefault="006A3667">
            <w:pPr>
              <w:jc w:val="right"/>
              <w:rPr>
                <w:rFonts w:ascii="宋体"/>
              </w:rPr>
            </w:pPr>
          </w:p>
        </w:tc>
      </w:tr>
      <w:tr w:rsidR="006A3667" w14:paraId="71D43745" w14:textId="77777777">
        <w:tc>
          <w:tcPr>
            <w:tcW w:w="0" w:type="auto"/>
            <w:gridSpan w:val="3"/>
            <w:shd w:val="clear" w:color="auto" w:fill="FFFFFF"/>
            <w:tcMar>
              <w:top w:w="40" w:type="dxa"/>
              <w:left w:w="515" w:type="dxa"/>
              <w:bottom w:w="40" w:type="dxa"/>
              <w:right w:w="20" w:type="dxa"/>
            </w:tcMar>
            <w:vAlign w:val="bottom"/>
          </w:tcPr>
          <w:p w14:paraId="71D43737" w14:textId="77777777" w:rsidR="006A3667" w:rsidRDefault="00045F32">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71D4373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3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3B" w14:textId="77777777" w:rsidR="006A3667" w:rsidRDefault="00045F32">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71D4373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3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3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3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4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4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4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43" w14:textId="77777777" w:rsidR="006A3667" w:rsidRDefault="00045F32">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71D43744" w14:textId="77777777" w:rsidR="006A3667" w:rsidRDefault="006A3667">
            <w:pPr>
              <w:jc w:val="right"/>
              <w:rPr>
                <w:rFonts w:ascii="宋体"/>
              </w:rPr>
            </w:pPr>
          </w:p>
        </w:tc>
      </w:tr>
      <w:tr w:rsidR="006A3667" w14:paraId="71D43754" w14:textId="77777777">
        <w:tc>
          <w:tcPr>
            <w:tcW w:w="0" w:type="auto"/>
            <w:gridSpan w:val="3"/>
            <w:shd w:val="clear" w:color="auto" w:fill="CCEEFF"/>
            <w:tcMar>
              <w:top w:w="40" w:type="dxa"/>
              <w:left w:w="515" w:type="dxa"/>
              <w:bottom w:w="40" w:type="dxa"/>
              <w:right w:w="20" w:type="dxa"/>
            </w:tcMar>
            <w:vAlign w:val="bottom"/>
          </w:tcPr>
          <w:p w14:paraId="71D43746" w14:textId="77777777" w:rsidR="006A3667" w:rsidRDefault="00045F32">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374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74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4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4A" w14:textId="77777777" w:rsidR="006A3667" w:rsidRDefault="00045F32">
            <w:pPr>
              <w:jc w:val="right"/>
              <w:textAlignment w:val="bottom"/>
            </w:pPr>
            <w:r>
              <w:rPr>
                <w:rFonts w:ascii="Arial" w:eastAsia="宋体" w:hAnsi="Arial" w:cs="Arial"/>
                <w:color w:val="000000"/>
                <w:sz w:val="15"/>
                <w:szCs w:val="15"/>
              </w:rPr>
              <w:t>23,547 </w:t>
            </w:r>
          </w:p>
        </w:tc>
        <w:tc>
          <w:tcPr>
            <w:tcW w:w="0" w:type="auto"/>
            <w:shd w:val="clear" w:color="auto" w:fill="CCEEFF"/>
            <w:tcMar>
              <w:top w:w="40" w:type="dxa"/>
              <w:left w:w="0" w:type="dxa"/>
              <w:bottom w:w="40" w:type="dxa"/>
              <w:right w:w="20" w:type="dxa"/>
            </w:tcMar>
            <w:vAlign w:val="bottom"/>
          </w:tcPr>
          <w:p w14:paraId="71D4374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4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4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7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4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5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5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52" w14:textId="77777777" w:rsidR="006A3667" w:rsidRDefault="00045F32">
            <w:pPr>
              <w:jc w:val="right"/>
              <w:textAlignment w:val="bottom"/>
            </w:pPr>
            <w:r>
              <w:rPr>
                <w:rFonts w:ascii="Arial" w:eastAsia="宋体" w:hAnsi="Arial" w:cs="Arial"/>
                <w:color w:val="000000"/>
                <w:sz w:val="14"/>
                <w:szCs w:val="14"/>
              </w:rPr>
              <w:t>23,547 </w:t>
            </w:r>
          </w:p>
        </w:tc>
        <w:tc>
          <w:tcPr>
            <w:tcW w:w="0" w:type="auto"/>
            <w:shd w:val="clear" w:color="auto" w:fill="CCEEFF"/>
            <w:tcMar>
              <w:top w:w="40" w:type="dxa"/>
              <w:left w:w="0" w:type="dxa"/>
              <w:bottom w:w="40" w:type="dxa"/>
              <w:right w:w="20" w:type="dxa"/>
            </w:tcMar>
            <w:vAlign w:val="bottom"/>
          </w:tcPr>
          <w:p w14:paraId="71D43753" w14:textId="77777777" w:rsidR="006A3667" w:rsidRDefault="006A3667">
            <w:pPr>
              <w:jc w:val="right"/>
              <w:rPr>
                <w:rFonts w:ascii="宋体"/>
              </w:rPr>
            </w:pPr>
          </w:p>
        </w:tc>
      </w:tr>
      <w:tr w:rsidR="006A3667" w14:paraId="71D43763" w14:textId="77777777">
        <w:tc>
          <w:tcPr>
            <w:tcW w:w="0" w:type="auto"/>
            <w:gridSpan w:val="3"/>
            <w:shd w:val="clear" w:color="auto" w:fill="FFFFFF"/>
            <w:tcMar>
              <w:top w:w="40" w:type="dxa"/>
              <w:left w:w="515" w:type="dxa"/>
              <w:bottom w:w="40" w:type="dxa"/>
              <w:right w:w="20" w:type="dxa"/>
            </w:tcMar>
            <w:vAlign w:val="bottom"/>
          </w:tcPr>
          <w:p w14:paraId="71D43755" w14:textId="77777777" w:rsidR="006A3667" w:rsidRDefault="00045F32">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1D4375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5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59" w14:textId="77777777" w:rsidR="006A3667" w:rsidRDefault="00045F32">
            <w:pPr>
              <w:jc w:val="right"/>
              <w:textAlignment w:val="bottom"/>
            </w:pPr>
            <w:r>
              <w:rPr>
                <w:rFonts w:ascii="Arial" w:eastAsia="宋体" w:hAnsi="Arial" w:cs="Arial"/>
                <w:color w:val="000000"/>
                <w:sz w:val="15"/>
                <w:szCs w:val="15"/>
              </w:rPr>
              <w:t>3,098 </w:t>
            </w:r>
          </w:p>
        </w:tc>
        <w:tc>
          <w:tcPr>
            <w:tcW w:w="0" w:type="auto"/>
            <w:shd w:val="clear" w:color="auto" w:fill="FFFFFF"/>
            <w:tcMar>
              <w:top w:w="40" w:type="dxa"/>
              <w:left w:w="0" w:type="dxa"/>
              <w:bottom w:w="40" w:type="dxa"/>
              <w:right w:w="20" w:type="dxa"/>
            </w:tcMar>
            <w:vAlign w:val="bottom"/>
          </w:tcPr>
          <w:p w14:paraId="71D4375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5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5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5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5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5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61" w14:textId="77777777" w:rsidR="006A3667" w:rsidRDefault="00045F32">
            <w:pPr>
              <w:jc w:val="right"/>
              <w:textAlignment w:val="bottom"/>
            </w:pPr>
            <w:r>
              <w:rPr>
                <w:rFonts w:ascii="Arial" w:eastAsia="宋体" w:hAnsi="Arial" w:cs="Arial"/>
                <w:color w:val="000000"/>
                <w:sz w:val="14"/>
                <w:szCs w:val="14"/>
              </w:rPr>
              <w:t>3,098 </w:t>
            </w:r>
          </w:p>
        </w:tc>
        <w:tc>
          <w:tcPr>
            <w:tcW w:w="0" w:type="auto"/>
            <w:shd w:val="clear" w:color="auto" w:fill="FFFFFF"/>
            <w:tcMar>
              <w:top w:w="40" w:type="dxa"/>
              <w:left w:w="0" w:type="dxa"/>
              <w:bottom w:w="40" w:type="dxa"/>
              <w:right w:w="20" w:type="dxa"/>
            </w:tcMar>
            <w:vAlign w:val="bottom"/>
          </w:tcPr>
          <w:p w14:paraId="71D43762" w14:textId="77777777" w:rsidR="006A3667" w:rsidRDefault="006A3667">
            <w:pPr>
              <w:jc w:val="right"/>
              <w:rPr>
                <w:rFonts w:ascii="宋体"/>
              </w:rPr>
            </w:pPr>
          </w:p>
        </w:tc>
      </w:tr>
      <w:tr w:rsidR="006A3667" w14:paraId="71D43772" w14:textId="77777777">
        <w:tc>
          <w:tcPr>
            <w:tcW w:w="0" w:type="auto"/>
            <w:gridSpan w:val="3"/>
            <w:shd w:val="clear" w:color="auto" w:fill="CCEEFF"/>
            <w:tcMar>
              <w:top w:w="40" w:type="dxa"/>
              <w:left w:w="740" w:type="dxa"/>
              <w:bottom w:w="40" w:type="dxa"/>
              <w:right w:w="20" w:type="dxa"/>
            </w:tcMar>
            <w:vAlign w:val="bottom"/>
          </w:tcPr>
          <w:p w14:paraId="71D43764" w14:textId="77777777" w:rsidR="006A3667" w:rsidRDefault="00045F32">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65"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6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68" w14:textId="77777777" w:rsidR="006A3667" w:rsidRDefault="00045F32">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6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6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6B"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6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6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6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6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70" w14:textId="77777777" w:rsidR="006A3667" w:rsidRDefault="00045F32">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71" w14:textId="77777777" w:rsidR="006A3667" w:rsidRDefault="006A3667">
            <w:pPr>
              <w:jc w:val="right"/>
              <w:rPr>
                <w:rFonts w:ascii="宋体"/>
              </w:rPr>
            </w:pPr>
          </w:p>
        </w:tc>
      </w:tr>
      <w:tr w:rsidR="006A3667" w14:paraId="71D4377D" w14:textId="77777777">
        <w:tc>
          <w:tcPr>
            <w:tcW w:w="0" w:type="auto"/>
            <w:gridSpan w:val="3"/>
            <w:shd w:val="clear" w:color="auto" w:fill="FFFFFF"/>
            <w:tcMar>
              <w:top w:w="40" w:type="dxa"/>
              <w:left w:w="245" w:type="dxa"/>
              <w:bottom w:w="40" w:type="dxa"/>
              <w:right w:w="20" w:type="dxa"/>
            </w:tcMar>
            <w:vAlign w:val="bottom"/>
          </w:tcPr>
          <w:p w14:paraId="71D43773" w14:textId="77777777" w:rsidR="006A3667" w:rsidRDefault="00045F32">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377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75"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377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77"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377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7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7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7B"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377C" w14:textId="77777777" w:rsidR="006A3667" w:rsidRDefault="006A3667">
            <w:pPr>
              <w:rPr>
                <w:rFonts w:ascii="宋体"/>
              </w:rPr>
            </w:pPr>
          </w:p>
        </w:tc>
      </w:tr>
      <w:tr w:rsidR="006A3667" w14:paraId="71D4378C" w14:textId="77777777">
        <w:tc>
          <w:tcPr>
            <w:tcW w:w="0" w:type="auto"/>
            <w:gridSpan w:val="3"/>
            <w:shd w:val="clear" w:color="auto" w:fill="CCEEFF"/>
            <w:tcMar>
              <w:top w:w="40" w:type="dxa"/>
              <w:left w:w="515" w:type="dxa"/>
              <w:bottom w:w="40" w:type="dxa"/>
              <w:right w:w="20" w:type="dxa"/>
            </w:tcMar>
            <w:vAlign w:val="bottom"/>
          </w:tcPr>
          <w:p w14:paraId="71D4377E" w14:textId="77777777" w:rsidR="006A3667" w:rsidRDefault="00045F32">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71D4377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7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8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82" w14:textId="77777777" w:rsidR="006A3667" w:rsidRDefault="00045F32">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71D4378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8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8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7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8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8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8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8A" w14:textId="77777777" w:rsidR="006A3667" w:rsidRDefault="00045F32">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71D4378B" w14:textId="77777777" w:rsidR="006A3667" w:rsidRDefault="006A3667">
            <w:pPr>
              <w:jc w:val="right"/>
              <w:rPr>
                <w:rFonts w:ascii="宋体"/>
              </w:rPr>
            </w:pPr>
          </w:p>
        </w:tc>
      </w:tr>
      <w:tr w:rsidR="006A3667" w14:paraId="71D43797" w14:textId="77777777">
        <w:trPr>
          <w:hidden/>
        </w:trPr>
        <w:tc>
          <w:tcPr>
            <w:tcW w:w="0" w:type="auto"/>
            <w:gridSpan w:val="3"/>
            <w:shd w:val="clear" w:color="auto" w:fill="auto"/>
            <w:vAlign w:val="bottom"/>
          </w:tcPr>
          <w:p w14:paraId="71D4378D" w14:textId="77777777" w:rsidR="006A3667" w:rsidRDefault="006A3667">
            <w:pPr>
              <w:rPr>
                <w:rFonts w:ascii="宋体"/>
                <w:vanish/>
              </w:rPr>
            </w:pPr>
          </w:p>
        </w:tc>
        <w:tc>
          <w:tcPr>
            <w:tcW w:w="0" w:type="auto"/>
            <w:gridSpan w:val="3"/>
            <w:shd w:val="clear" w:color="auto" w:fill="auto"/>
            <w:vAlign w:val="bottom"/>
          </w:tcPr>
          <w:p w14:paraId="71D4378E" w14:textId="77777777" w:rsidR="006A3667" w:rsidRDefault="006A3667">
            <w:pPr>
              <w:rPr>
                <w:rFonts w:ascii="宋体"/>
                <w:vanish/>
              </w:rPr>
            </w:pPr>
          </w:p>
        </w:tc>
        <w:tc>
          <w:tcPr>
            <w:tcW w:w="0" w:type="auto"/>
            <w:gridSpan w:val="3"/>
            <w:shd w:val="clear" w:color="auto" w:fill="auto"/>
            <w:vAlign w:val="bottom"/>
          </w:tcPr>
          <w:p w14:paraId="71D4378F" w14:textId="77777777" w:rsidR="006A3667" w:rsidRDefault="006A3667">
            <w:pPr>
              <w:rPr>
                <w:rFonts w:ascii="宋体"/>
                <w:vanish/>
              </w:rPr>
            </w:pPr>
          </w:p>
        </w:tc>
        <w:tc>
          <w:tcPr>
            <w:tcW w:w="0" w:type="auto"/>
            <w:gridSpan w:val="3"/>
            <w:shd w:val="clear" w:color="auto" w:fill="auto"/>
            <w:vAlign w:val="bottom"/>
          </w:tcPr>
          <w:p w14:paraId="71D43790" w14:textId="77777777" w:rsidR="006A3667" w:rsidRDefault="006A3667">
            <w:pPr>
              <w:rPr>
                <w:rFonts w:ascii="宋体"/>
                <w:vanish/>
              </w:rPr>
            </w:pPr>
          </w:p>
        </w:tc>
        <w:tc>
          <w:tcPr>
            <w:tcW w:w="0" w:type="auto"/>
            <w:gridSpan w:val="3"/>
            <w:shd w:val="clear" w:color="auto" w:fill="auto"/>
            <w:vAlign w:val="bottom"/>
          </w:tcPr>
          <w:p w14:paraId="71D43791" w14:textId="77777777" w:rsidR="006A3667" w:rsidRDefault="006A3667">
            <w:pPr>
              <w:rPr>
                <w:rFonts w:ascii="宋体"/>
                <w:vanish/>
              </w:rPr>
            </w:pPr>
          </w:p>
        </w:tc>
        <w:tc>
          <w:tcPr>
            <w:tcW w:w="0" w:type="auto"/>
            <w:gridSpan w:val="3"/>
            <w:shd w:val="clear" w:color="auto" w:fill="auto"/>
            <w:vAlign w:val="bottom"/>
          </w:tcPr>
          <w:p w14:paraId="71D43792" w14:textId="77777777" w:rsidR="006A3667" w:rsidRDefault="006A3667">
            <w:pPr>
              <w:rPr>
                <w:rFonts w:ascii="宋体"/>
                <w:vanish/>
              </w:rPr>
            </w:pPr>
          </w:p>
        </w:tc>
        <w:tc>
          <w:tcPr>
            <w:tcW w:w="0" w:type="auto"/>
            <w:gridSpan w:val="3"/>
            <w:shd w:val="clear" w:color="auto" w:fill="auto"/>
            <w:vAlign w:val="bottom"/>
          </w:tcPr>
          <w:p w14:paraId="71D43793" w14:textId="77777777" w:rsidR="006A3667" w:rsidRDefault="006A3667">
            <w:pPr>
              <w:rPr>
                <w:rFonts w:ascii="宋体"/>
                <w:vanish/>
              </w:rPr>
            </w:pPr>
          </w:p>
        </w:tc>
        <w:tc>
          <w:tcPr>
            <w:tcW w:w="0" w:type="auto"/>
            <w:gridSpan w:val="3"/>
            <w:shd w:val="clear" w:color="auto" w:fill="auto"/>
            <w:vAlign w:val="bottom"/>
          </w:tcPr>
          <w:p w14:paraId="71D43794" w14:textId="77777777" w:rsidR="006A3667" w:rsidRDefault="006A3667">
            <w:pPr>
              <w:rPr>
                <w:rFonts w:ascii="宋体"/>
                <w:vanish/>
              </w:rPr>
            </w:pPr>
          </w:p>
        </w:tc>
        <w:tc>
          <w:tcPr>
            <w:tcW w:w="0" w:type="auto"/>
            <w:gridSpan w:val="3"/>
            <w:shd w:val="clear" w:color="auto" w:fill="auto"/>
            <w:vAlign w:val="bottom"/>
          </w:tcPr>
          <w:p w14:paraId="71D43795" w14:textId="77777777" w:rsidR="006A3667" w:rsidRDefault="006A3667">
            <w:pPr>
              <w:rPr>
                <w:rFonts w:ascii="宋体"/>
                <w:vanish/>
              </w:rPr>
            </w:pPr>
          </w:p>
        </w:tc>
        <w:tc>
          <w:tcPr>
            <w:tcW w:w="0" w:type="auto"/>
            <w:gridSpan w:val="3"/>
            <w:shd w:val="clear" w:color="auto" w:fill="auto"/>
            <w:vAlign w:val="bottom"/>
          </w:tcPr>
          <w:p w14:paraId="71D43796" w14:textId="77777777" w:rsidR="006A3667" w:rsidRDefault="006A3667">
            <w:pPr>
              <w:rPr>
                <w:rFonts w:ascii="宋体"/>
                <w:vanish/>
              </w:rPr>
            </w:pPr>
          </w:p>
        </w:tc>
      </w:tr>
      <w:tr w:rsidR="006A3667" w14:paraId="71D437A2" w14:textId="77777777">
        <w:trPr>
          <w:hidden/>
        </w:trPr>
        <w:tc>
          <w:tcPr>
            <w:tcW w:w="0" w:type="auto"/>
            <w:gridSpan w:val="3"/>
            <w:shd w:val="clear" w:color="auto" w:fill="auto"/>
            <w:vAlign w:val="bottom"/>
          </w:tcPr>
          <w:p w14:paraId="71D43798" w14:textId="77777777" w:rsidR="006A3667" w:rsidRDefault="006A3667">
            <w:pPr>
              <w:rPr>
                <w:rFonts w:ascii="宋体"/>
                <w:vanish/>
              </w:rPr>
            </w:pPr>
          </w:p>
        </w:tc>
        <w:tc>
          <w:tcPr>
            <w:tcW w:w="0" w:type="auto"/>
            <w:gridSpan w:val="3"/>
            <w:shd w:val="clear" w:color="auto" w:fill="auto"/>
            <w:vAlign w:val="bottom"/>
          </w:tcPr>
          <w:p w14:paraId="71D43799" w14:textId="77777777" w:rsidR="006A3667" w:rsidRDefault="006A3667">
            <w:pPr>
              <w:rPr>
                <w:rFonts w:ascii="宋体"/>
                <w:vanish/>
              </w:rPr>
            </w:pPr>
          </w:p>
        </w:tc>
        <w:tc>
          <w:tcPr>
            <w:tcW w:w="0" w:type="auto"/>
            <w:gridSpan w:val="3"/>
            <w:shd w:val="clear" w:color="auto" w:fill="auto"/>
            <w:vAlign w:val="bottom"/>
          </w:tcPr>
          <w:p w14:paraId="71D4379A" w14:textId="77777777" w:rsidR="006A3667" w:rsidRDefault="006A3667">
            <w:pPr>
              <w:rPr>
                <w:rFonts w:ascii="宋体"/>
                <w:vanish/>
              </w:rPr>
            </w:pPr>
          </w:p>
        </w:tc>
        <w:tc>
          <w:tcPr>
            <w:tcW w:w="0" w:type="auto"/>
            <w:gridSpan w:val="3"/>
            <w:shd w:val="clear" w:color="auto" w:fill="auto"/>
            <w:vAlign w:val="bottom"/>
          </w:tcPr>
          <w:p w14:paraId="71D4379B" w14:textId="77777777" w:rsidR="006A3667" w:rsidRDefault="006A3667">
            <w:pPr>
              <w:rPr>
                <w:rFonts w:ascii="宋体"/>
                <w:vanish/>
              </w:rPr>
            </w:pPr>
          </w:p>
        </w:tc>
        <w:tc>
          <w:tcPr>
            <w:tcW w:w="0" w:type="auto"/>
            <w:gridSpan w:val="3"/>
            <w:shd w:val="clear" w:color="auto" w:fill="auto"/>
            <w:vAlign w:val="bottom"/>
          </w:tcPr>
          <w:p w14:paraId="71D4379C" w14:textId="77777777" w:rsidR="006A3667" w:rsidRDefault="006A3667">
            <w:pPr>
              <w:rPr>
                <w:rFonts w:ascii="宋体"/>
                <w:vanish/>
              </w:rPr>
            </w:pPr>
          </w:p>
        </w:tc>
        <w:tc>
          <w:tcPr>
            <w:tcW w:w="0" w:type="auto"/>
            <w:gridSpan w:val="3"/>
            <w:shd w:val="clear" w:color="auto" w:fill="auto"/>
            <w:vAlign w:val="bottom"/>
          </w:tcPr>
          <w:p w14:paraId="71D4379D" w14:textId="77777777" w:rsidR="006A3667" w:rsidRDefault="006A3667">
            <w:pPr>
              <w:rPr>
                <w:rFonts w:ascii="宋体"/>
                <w:vanish/>
              </w:rPr>
            </w:pPr>
          </w:p>
        </w:tc>
        <w:tc>
          <w:tcPr>
            <w:tcW w:w="0" w:type="auto"/>
            <w:gridSpan w:val="3"/>
            <w:shd w:val="clear" w:color="auto" w:fill="auto"/>
            <w:vAlign w:val="bottom"/>
          </w:tcPr>
          <w:p w14:paraId="71D4379E" w14:textId="77777777" w:rsidR="006A3667" w:rsidRDefault="006A3667">
            <w:pPr>
              <w:rPr>
                <w:rFonts w:ascii="宋体"/>
                <w:vanish/>
              </w:rPr>
            </w:pPr>
          </w:p>
        </w:tc>
        <w:tc>
          <w:tcPr>
            <w:tcW w:w="0" w:type="auto"/>
            <w:gridSpan w:val="3"/>
            <w:shd w:val="clear" w:color="auto" w:fill="auto"/>
            <w:vAlign w:val="bottom"/>
          </w:tcPr>
          <w:p w14:paraId="71D4379F" w14:textId="77777777" w:rsidR="006A3667" w:rsidRDefault="006A3667">
            <w:pPr>
              <w:rPr>
                <w:rFonts w:ascii="宋体"/>
                <w:vanish/>
              </w:rPr>
            </w:pPr>
          </w:p>
        </w:tc>
        <w:tc>
          <w:tcPr>
            <w:tcW w:w="0" w:type="auto"/>
            <w:gridSpan w:val="3"/>
            <w:shd w:val="clear" w:color="auto" w:fill="auto"/>
            <w:vAlign w:val="bottom"/>
          </w:tcPr>
          <w:p w14:paraId="71D437A0" w14:textId="77777777" w:rsidR="006A3667" w:rsidRDefault="006A3667">
            <w:pPr>
              <w:rPr>
                <w:rFonts w:ascii="宋体"/>
                <w:vanish/>
              </w:rPr>
            </w:pPr>
          </w:p>
        </w:tc>
        <w:tc>
          <w:tcPr>
            <w:tcW w:w="0" w:type="auto"/>
            <w:gridSpan w:val="3"/>
            <w:shd w:val="clear" w:color="auto" w:fill="auto"/>
            <w:vAlign w:val="bottom"/>
          </w:tcPr>
          <w:p w14:paraId="71D437A1" w14:textId="77777777" w:rsidR="006A3667" w:rsidRDefault="006A3667">
            <w:pPr>
              <w:rPr>
                <w:rFonts w:ascii="宋体"/>
                <w:vanish/>
              </w:rPr>
            </w:pPr>
          </w:p>
        </w:tc>
      </w:tr>
      <w:tr w:rsidR="006A3667" w14:paraId="71D437B1" w14:textId="77777777">
        <w:tc>
          <w:tcPr>
            <w:tcW w:w="0" w:type="auto"/>
            <w:gridSpan w:val="3"/>
            <w:shd w:val="clear" w:color="auto" w:fill="FFFFFF"/>
            <w:tcMar>
              <w:top w:w="40" w:type="dxa"/>
              <w:left w:w="515" w:type="dxa"/>
              <w:bottom w:w="40" w:type="dxa"/>
              <w:right w:w="20" w:type="dxa"/>
            </w:tcMar>
            <w:vAlign w:val="bottom"/>
          </w:tcPr>
          <w:p w14:paraId="71D437A3" w14:textId="77777777" w:rsidR="006A3667" w:rsidRDefault="00045F32">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71D437A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A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A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A7" w14:textId="77777777" w:rsidR="006A3667" w:rsidRDefault="00045F32">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71D437A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A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A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A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A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A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A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AF" w14:textId="77777777" w:rsidR="006A3667" w:rsidRDefault="00045F32">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71D437B0" w14:textId="77777777" w:rsidR="006A3667" w:rsidRDefault="006A3667">
            <w:pPr>
              <w:jc w:val="right"/>
              <w:rPr>
                <w:rFonts w:ascii="宋体"/>
              </w:rPr>
            </w:pPr>
          </w:p>
        </w:tc>
      </w:tr>
      <w:tr w:rsidR="006A3667" w14:paraId="71D437C0" w14:textId="77777777">
        <w:tc>
          <w:tcPr>
            <w:tcW w:w="0" w:type="auto"/>
            <w:gridSpan w:val="3"/>
            <w:shd w:val="clear" w:color="auto" w:fill="CCEEFF"/>
            <w:tcMar>
              <w:top w:w="40" w:type="dxa"/>
              <w:left w:w="20" w:type="dxa"/>
              <w:bottom w:w="40" w:type="dxa"/>
              <w:right w:w="20" w:type="dxa"/>
            </w:tcMar>
            <w:vAlign w:val="bottom"/>
          </w:tcPr>
          <w:p w14:paraId="71D437B2" w14:textId="77777777" w:rsidR="006A3667" w:rsidRDefault="00045F32">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37B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7B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B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B6" w14:textId="77777777" w:rsidR="006A3667" w:rsidRDefault="00045F32">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71D437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B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B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7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B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B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B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7BE" w14:textId="77777777" w:rsidR="006A3667" w:rsidRDefault="00045F32">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71D437BF" w14:textId="77777777" w:rsidR="006A3667" w:rsidRDefault="006A3667">
            <w:pPr>
              <w:jc w:val="right"/>
              <w:rPr>
                <w:rFonts w:ascii="宋体"/>
              </w:rPr>
            </w:pPr>
          </w:p>
        </w:tc>
      </w:tr>
      <w:tr w:rsidR="006A3667" w14:paraId="71D437CF" w14:textId="77777777">
        <w:tc>
          <w:tcPr>
            <w:tcW w:w="0" w:type="auto"/>
            <w:gridSpan w:val="3"/>
            <w:shd w:val="clear" w:color="auto" w:fill="FFFFFF"/>
            <w:tcMar>
              <w:top w:w="40" w:type="dxa"/>
              <w:left w:w="515" w:type="dxa"/>
              <w:bottom w:w="40" w:type="dxa"/>
              <w:right w:w="20" w:type="dxa"/>
            </w:tcMar>
            <w:vAlign w:val="bottom"/>
          </w:tcPr>
          <w:p w14:paraId="71D437C1" w14:textId="77777777" w:rsidR="006A3667" w:rsidRDefault="00045F32">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1D437C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C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C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C5" w14:textId="77777777" w:rsidR="006A3667" w:rsidRDefault="00045F32">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71D437C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C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C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7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7C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C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7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7CD" w14:textId="77777777" w:rsidR="006A3667" w:rsidRDefault="00045F32">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71D437CE" w14:textId="77777777" w:rsidR="006A3667" w:rsidRDefault="006A3667">
            <w:pPr>
              <w:jc w:val="right"/>
              <w:rPr>
                <w:rFonts w:ascii="宋体"/>
              </w:rPr>
            </w:pPr>
          </w:p>
        </w:tc>
      </w:tr>
      <w:tr w:rsidR="006A3667" w14:paraId="71D437DE" w14:textId="77777777">
        <w:tc>
          <w:tcPr>
            <w:tcW w:w="0" w:type="auto"/>
            <w:gridSpan w:val="3"/>
            <w:shd w:val="clear" w:color="auto" w:fill="CCEEFF"/>
            <w:tcMar>
              <w:top w:w="40" w:type="dxa"/>
              <w:left w:w="740" w:type="dxa"/>
              <w:bottom w:w="40" w:type="dxa"/>
              <w:right w:w="20" w:type="dxa"/>
            </w:tcMar>
            <w:vAlign w:val="bottom"/>
          </w:tcPr>
          <w:p w14:paraId="71D437D0" w14:textId="77777777" w:rsidR="006A3667" w:rsidRDefault="00045F32">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D1"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D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D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D4" w14:textId="77777777" w:rsidR="006A3667" w:rsidRDefault="00045F32">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D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D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D7"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7D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D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7D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7DC" w14:textId="77777777" w:rsidR="006A3667" w:rsidRDefault="00045F32">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7DD" w14:textId="77777777" w:rsidR="006A3667" w:rsidRDefault="006A3667">
            <w:pPr>
              <w:jc w:val="right"/>
              <w:rPr>
                <w:rFonts w:ascii="宋体"/>
              </w:rPr>
            </w:pPr>
          </w:p>
        </w:tc>
      </w:tr>
      <w:tr w:rsidR="006A3667" w14:paraId="71D437E9" w14:textId="77777777">
        <w:trPr>
          <w:hidden/>
        </w:trPr>
        <w:tc>
          <w:tcPr>
            <w:tcW w:w="0" w:type="auto"/>
            <w:gridSpan w:val="3"/>
            <w:shd w:val="clear" w:color="auto" w:fill="auto"/>
            <w:vAlign w:val="bottom"/>
          </w:tcPr>
          <w:p w14:paraId="71D437DF" w14:textId="77777777" w:rsidR="006A3667" w:rsidRDefault="006A3667">
            <w:pPr>
              <w:rPr>
                <w:rFonts w:ascii="宋体"/>
                <w:vanish/>
              </w:rPr>
            </w:pPr>
          </w:p>
        </w:tc>
        <w:tc>
          <w:tcPr>
            <w:tcW w:w="0" w:type="auto"/>
            <w:gridSpan w:val="3"/>
            <w:shd w:val="clear" w:color="auto" w:fill="auto"/>
            <w:vAlign w:val="bottom"/>
          </w:tcPr>
          <w:p w14:paraId="71D437E0" w14:textId="77777777" w:rsidR="006A3667" w:rsidRDefault="006A3667">
            <w:pPr>
              <w:rPr>
                <w:rFonts w:ascii="宋体"/>
                <w:vanish/>
              </w:rPr>
            </w:pPr>
          </w:p>
        </w:tc>
        <w:tc>
          <w:tcPr>
            <w:tcW w:w="0" w:type="auto"/>
            <w:gridSpan w:val="3"/>
            <w:shd w:val="clear" w:color="auto" w:fill="auto"/>
            <w:vAlign w:val="bottom"/>
          </w:tcPr>
          <w:p w14:paraId="71D437E1" w14:textId="77777777" w:rsidR="006A3667" w:rsidRDefault="006A3667">
            <w:pPr>
              <w:rPr>
                <w:rFonts w:ascii="宋体"/>
                <w:vanish/>
              </w:rPr>
            </w:pPr>
          </w:p>
        </w:tc>
        <w:tc>
          <w:tcPr>
            <w:tcW w:w="0" w:type="auto"/>
            <w:gridSpan w:val="3"/>
            <w:shd w:val="clear" w:color="auto" w:fill="auto"/>
            <w:vAlign w:val="bottom"/>
          </w:tcPr>
          <w:p w14:paraId="71D437E2" w14:textId="77777777" w:rsidR="006A3667" w:rsidRDefault="006A3667">
            <w:pPr>
              <w:rPr>
                <w:rFonts w:ascii="宋体"/>
                <w:vanish/>
              </w:rPr>
            </w:pPr>
          </w:p>
        </w:tc>
        <w:tc>
          <w:tcPr>
            <w:tcW w:w="0" w:type="auto"/>
            <w:gridSpan w:val="3"/>
            <w:shd w:val="clear" w:color="auto" w:fill="auto"/>
            <w:vAlign w:val="bottom"/>
          </w:tcPr>
          <w:p w14:paraId="71D437E3" w14:textId="77777777" w:rsidR="006A3667" w:rsidRDefault="006A3667">
            <w:pPr>
              <w:rPr>
                <w:rFonts w:ascii="宋体"/>
                <w:vanish/>
              </w:rPr>
            </w:pPr>
          </w:p>
        </w:tc>
        <w:tc>
          <w:tcPr>
            <w:tcW w:w="0" w:type="auto"/>
            <w:gridSpan w:val="3"/>
            <w:shd w:val="clear" w:color="auto" w:fill="auto"/>
            <w:vAlign w:val="bottom"/>
          </w:tcPr>
          <w:p w14:paraId="71D437E4" w14:textId="77777777" w:rsidR="006A3667" w:rsidRDefault="006A3667">
            <w:pPr>
              <w:rPr>
                <w:rFonts w:ascii="宋体"/>
                <w:vanish/>
              </w:rPr>
            </w:pPr>
          </w:p>
        </w:tc>
        <w:tc>
          <w:tcPr>
            <w:tcW w:w="0" w:type="auto"/>
            <w:gridSpan w:val="3"/>
            <w:shd w:val="clear" w:color="auto" w:fill="auto"/>
            <w:vAlign w:val="bottom"/>
          </w:tcPr>
          <w:p w14:paraId="71D437E5" w14:textId="77777777" w:rsidR="006A3667" w:rsidRDefault="006A3667">
            <w:pPr>
              <w:rPr>
                <w:rFonts w:ascii="宋体"/>
                <w:vanish/>
              </w:rPr>
            </w:pPr>
          </w:p>
        </w:tc>
        <w:tc>
          <w:tcPr>
            <w:tcW w:w="0" w:type="auto"/>
            <w:gridSpan w:val="3"/>
            <w:shd w:val="clear" w:color="auto" w:fill="auto"/>
            <w:vAlign w:val="bottom"/>
          </w:tcPr>
          <w:p w14:paraId="71D437E6" w14:textId="77777777" w:rsidR="006A3667" w:rsidRDefault="006A3667">
            <w:pPr>
              <w:rPr>
                <w:rFonts w:ascii="宋体"/>
                <w:vanish/>
              </w:rPr>
            </w:pPr>
          </w:p>
        </w:tc>
        <w:tc>
          <w:tcPr>
            <w:tcW w:w="0" w:type="auto"/>
            <w:gridSpan w:val="3"/>
            <w:shd w:val="clear" w:color="auto" w:fill="auto"/>
            <w:vAlign w:val="bottom"/>
          </w:tcPr>
          <w:p w14:paraId="71D437E7" w14:textId="77777777" w:rsidR="006A3667" w:rsidRDefault="006A3667">
            <w:pPr>
              <w:rPr>
                <w:rFonts w:ascii="宋体"/>
                <w:vanish/>
              </w:rPr>
            </w:pPr>
          </w:p>
        </w:tc>
        <w:tc>
          <w:tcPr>
            <w:tcW w:w="0" w:type="auto"/>
            <w:gridSpan w:val="3"/>
            <w:shd w:val="clear" w:color="auto" w:fill="auto"/>
            <w:vAlign w:val="bottom"/>
          </w:tcPr>
          <w:p w14:paraId="71D437E8" w14:textId="77777777" w:rsidR="006A3667" w:rsidRDefault="006A3667">
            <w:pPr>
              <w:rPr>
                <w:rFonts w:ascii="宋体"/>
                <w:vanish/>
              </w:rPr>
            </w:pPr>
          </w:p>
        </w:tc>
      </w:tr>
      <w:tr w:rsidR="006A3667" w14:paraId="71D437F4" w14:textId="77777777">
        <w:trPr>
          <w:hidden/>
        </w:trPr>
        <w:tc>
          <w:tcPr>
            <w:tcW w:w="0" w:type="auto"/>
            <w:gridSpan w:val="3"/>
            <w:shd w:val="clear" w:color="auto" w:fill="auto"/>
            <w:vAlign w:val="bottom"/>
          </w:tcPr>
          <w:p w14:paraId="71D437EA" w14:textId="77777777" w:rsidR="006A3667" w:rsidRDefault="006A3667">
            <w:pPr>
              <w:rPr>
                <w:rFonts w:ascii="宋体"/>
                <w:vanish/>
              </w:rPr>
            </w:pPr>
          </w:p>
        </w:tc>
        <w:tc>
          <w:tcPr>
            <w:tcW w:w="0" w:type="auto"/>
            <w:gridSpan w:val="3"/>
            <w:shd w:val="clear" w:color="auto" w:fill="auto"/>
            <w:vAlign w:val="bottom"/>
          </w:tcPr>
          <w:p w14:paraId="71D437EB" w14:textId="77777777" w:rsidR="006A3667" w:rsidRDefault="006A3667">
            <w:pPr>
              <w:rPr>
                <w:rFonts w:ascii="宋体"/>
                <w:vanish/>
              </w:rPr>
            </w:pPr>
          </w:p>
        </w:tc>
        <w:tc>
          <w:tcPr>
            <w:tcW w:w="0" w:type="auto"/>
            <w:gridSpan w:val="3"/>
            <w:shd w:val="clear" w:color="auto" w:fill="auto"/>
            <w:vAlign w:val="bottom"/>
          </w:tcPr>
          <w:p w14:paraId="71D437EC" w14:textId="77777777" w:rsidR="006A3667" w:rsidRDefault="006A3667">
            <w:pPr>
              <w:rPr>
                <w:rFonts w:ascii="宋体"/>
                <w:vanish/>
              </w:rPr>
            </w:pPr>
          </w:p>
        </w:tc>
        <w:tc>
          <w:tcPr>
            <w:tcW w:w="0" w:type="auto"/>
            <w:gridSpan w:val="3"/>
            <w:shd w:val="clear" w:color="auto" w:fill="auto"/>
            <w:vAlign w:val="bottom"/>
          </w:tcPr>
          <w:p w14:paraId="71D437ED" w14:textId="77777777" w:rsidR="006A3667" w:rsidRDefault="006A3667">
            <w:pPr>
              <w:rPr>
                <w:rFonts w:ascii="宋体"/>
                <w:vanish/>
              </w:rPr>
            </w:pPr>
          </w:p>
        </w:tc>
        <w:tc>
          <w:tcPr>
            <w:tcW w:w="0" w:type="auto"/>
            <w:gridSpan w:val="3"/>
            <w:shd w:val="clear" w:color="auto" w:fill="auto"/>
            <w:vAlign w:val="bottom"/>
          </w:tcPr>
          <w:p w14:paraId="71D437EE" w14:textId="77777777" w:rsidR="006A3667" w:rsidRDefault="006A3667">
            <w:pPr>
              <w:rPr>
                <w:rFonts w:ascii="宋体"/>
                <w:vanish/>
              </w:rPr>
            </w:pPr>
          </w:p>
        </w:tc>
        <w:tc>
          <w:tcPr>
            <w:tcW w:w="0" w:type="auto"/>
            <w:gridSpan w:val="3"/>
            <w:shd w:val="clear" w:color="auto" w:fill="auto"/>
            <w:vAlign w:val="bottom"/>
          </w:tcPr>
          <w:p w14:paraId="71D437EF" w14:textId="77777777" w:rsidR="006A3667" w:rsidRDefault="006A3667">
            <w:pPr>
              <w:rPr>
                <w:rFonts w:ascii="宋体"/>
                <w:vanish/>
              </w:rPr>
            </w:pPr>
          </w:p>
        </w:tc>
        <w:tc>
          <w:tcPr>
            <w:tcW w:w="0" w:type="auto"/>
            <w:gridSpan w:val="3"/>
            <w:shd w:val="clear" w:color="auto" w:fill="auto"/>
            <w:vAlign w:val="bottom"/>
          </w:tcPr>
          <w:p w14:paraId="71D437F0" w14:textId="77777777" w:rsidR="006A3667" w:rsidRDefault="006A3667">
            <w:pPr>
              <w:rPr>
                <w:rFonts w:ascii="宋体"/>
                <w:vanish/>
              </w:rPr>
            </w:pPr>
          </w:p>
        </w:tc>
        <w:tc>
          <w:tcPr>
            <w:tcW w:w="0" w:type="auto"/>
            <w:gridSpan w:val="3"/>
            <w:shd w:val="clear" w:color="auto" w:fill="auto"/>
            <w:vAlign w:val="bottom"/>
          </w:tcPr>
          <w:p w14:paraId="71D437F1" w14:textId="77777777" w:rsidR="006A3667" w:rsidRDefault="006A3667">
            <w:pPr>
              <w:rPr>
                <w:rFonts w:ascii="宋体"/>
                <w:vanish/>
              </w:rPr>
            </w:pPr>
          </w:p>
        </w:tc>
        <w:tc>
          <w:tcPr>
            <w:tcW w:w="0" w:type="auto"/>
            <w:gridSpan w:val="3"/>
            <w:shd w:val="clear" w:color="auto" w:fill="auto"/>
            <w:vAlign w:val="bottom"/>
          </w:tcPr>
          <w:p w14:paraId="71D437F2" w14:textId="77777777" w:rsidR="006A3667" w:rsidRDefault="006A3667">
            <w:pPr>
              <w:rPr>
                <w:rFonts w:ascii="宋体"/>
                <w:vanish/>
              </w:rPr>
            </w:pPr>
          </w:p>
        </w:tc>
        <w:tc>
          <w:tcPr>
            <w:tcW w:w="0" w:type="auto"/>
            <w:gridSpan w:val="3"/>
            <w:shd w:val="clear" w:color="auto" w:fill="auto"/>
            <w:vAlign w:val="bottom"/>
          </w:tcPr>
          <w:p w14:paraId="71D437F3" w14:textId="77777777" w:rsidR="006A3667" w:rsidRDefault="006A3667">
            <w:pPr>
              <w:rPr>
                <w:rFonts w:ascii="宋体"/>
                <w:vanish/>
              </w:rPr>
            </w:pPr>
          </w:p>
        </w:tc>
      </w:tr>
      <w:tr w:rsidR="006A3667" w14:paraId="71D437FF" w14:textId="77777777">
        <w:trPr>
          <w:hidden/>
        </w:trPr>
        <w:tc>
          <w:tcPr>
            <w:tcW w:w="0" w:type="auto"/>
            <w:gridSpan w:val="3"/>
            <w:shd w:val="clear" w:color="auto" w:fill="auto"/>
            <w:vAlign w:val="bottom"/>
          </w:tcPr>
          <w:p w14:paraId="71D437F5" w14:textId="77777777" w:rsidR="006A3667" w:rsidRDefault="006A3667">
            <w:pPr>
              <w:rPr>
                <w:rFonts w:ascii="宋体"/>
                <w:vanish/>
              </w:rPr>
            </w:pPr>
          </w:p>
        </w:tc>
        <w:tc>
          <w:tcPr>
            <w:tcW w:w="0" w:type="auto"/>
            <w:gridSpan w:val="3"/>
            <w:shd w:val="clear" w:color="auto" w:fill="auto"/>
            <w:vAlign w:val="bottom"/>
          </w:tcPr>
          <w:p w14:paraId="71D437F6" w14:textId="77777777" w:rsidR="006A3667" w:rsidRDefault="006A3667">
            <w:pPr>
              <w:rPr>
                <w:rFonts w:ascii="宋体"/>
                <w:vanish/>
              </w:rPr>
            </w:pPr>
          </w:p>
        </w:tc>
        <w:tc>
          <w:tcPr>
            <w:tcW w:w="0" w:type="auto"/>
            <w:gridSpan w:val="3"/>
            <w:shd w:val="clear" w:color="auto" w:fill="auto"/>
            <w:vAlign w:val="bottom"/>
          </w:tcPr>
          <w:p w14:paraId="71D437F7" w14:textId="77777777" w:rsidR="006A3667" w:rsidRDefault="006A3667">
            <w:pPr>
              <w:rPr>
                <w:rFonts w:ascii="宋体"/>
                <w:vanish/>
              </w:rPr>
            </w:pPr>
          </w:p>
        </w:tc>
        <w:tc>
          <w:tcPr>
            <w:tcW w:w="0" w:type="auto"/>
            <w:gridSpan w:val="3"/>
            <w:shd w:val="clear" w:color="auto" w:fill="auto"/>
            <w:vAlign w:val="bottom"/>
          </w:tcPr>
          <w:p w14:paraId="71D437F8" w14:textId="77777777" w:rsidR="006A3667" w:rsidRDefault="006A3667">
            <w:pPr>
              <w:rPr>
                <w:rFonts w:ascii="宋体"/>
                <w:vanish/>
              </w:rPr>
            </w:pPr>
          </w:p>
        </w:tc>
        <w:tc>
          <w:tcPr>
            <w:tcW w:w="0" w:type="auto"/>
            <w:gridSpan w:val="3"/>
            <w:shd w:val="clear" w:color="auto" w:fill="auto"/>
            <w:vAlign w:val="bottom"/>
          </w:tcPr>
          <w:p w14:paraId="71D437F9" w14:textId="77777777" w:rsidR="006A3667" w:rsidRDefault="006A3667">
            <w:pPr>
              <w:rPr>
                <w:rFonts w:ascii="宋体"/>
                <w:vanish/>
              </w:rPr>
            </w:pPr>
          </w:p>
        </w:tc>
        <w:tc>
          <w:tcPr>
            <w:tcW w:w="0" w:type="auto"/>
            <w:gridSpan w:val="3"/>
            <w:shd w:val="clear" w:color="auto" w:fill="auto"/>
            <w:vAlign w:val="bottom"/>
          </w:tcPr>
          <w:p w14:paraId="71D437FA" w14:textId="77777777" w:rsidR="006A3667" w:rsidRDefault="006A3667">
            <w:pPr>
              <w:rPr>
                <w:rFonts w:ascii="宋体"/>
                <w:vanish/>
              </w:rPr>
            </w:pPr>
          </w:p>
        </w:tc>
        <w:tc>
          <w:tcPr>
            <w:tcW w:w="0" w:type="auto"/>
            <w:gridSpan w:val="3"/>
            <w:shd w:val="clear" w:color="auto" w:fill="auto"/>
            <w:vAlign w:val="bottom"/>
          </w:tcPr>
          <w:p w14:paraId="71D437FB" w14:textId="77777777" w:rsidR="006A3667" w:rsidRDefault="006A3667">
            <w:pPr>
              <w:rPr>
                <w:rFonts w:ascii="宋体"/>
                <w:vanish/>
              </w:rPr>
            </w:pPr>
          </w:p>
        </w:tc>
        <w:tc>
          <w:tcPr>
            <w:tcW w:w="0" w:type="auto"/>
            <w:gridSpan w:val="3"/>
            <w:shd w:val="clear" w:color="auto" w:fill="auto"/>
            <w:vAlign w:val="bottom"/>
          </w:tcPr>
          <w:p w14:paraId="71D437FC" w14:textId="77777777" w:rsidR="006A3667" w:rsidRDefault="006A3667">
            <w:pPr>
              <w:rPr>
                <w:rFonts w:ascii="宋体"/>
                <w:vanish/>
              </w:rPr>
            </w:pPr>
          </w:p>
        </w:tc>
        <w:tc>
          <w:tcPr>
            <w:tcW w:w="0" w:type="auto"/>
            <w:gridSpan w:val="3"/>
            <w:shd w:val="clear" w:color="auto" w:fill="auto"/>
            <w:vAlign w:val="bottom"/>
          </w:tcPr>
          <w:p w14:paraId="71D437FD" w14:textId="77777777" w:rsidR="006A3667" w:rsidRDefault="006A3667">
            <w:pPr>
              <w:rPr>
                <w:rFonts w:ascii="宋体"/>
                <w:vanish/>
              </w:rPr>
            </w:pPr>
          </w:p>
        </w:tc>
        <w:tc>
          <w:tcPr>
            <w:tcW w:w="0" w:type="auto"/>
            <w:gridSpan w:val="3"/>
            <w:shd w:val="clear" w:color="auto" w:fill="auto"/>
            <w:vAlign w:val="bottom"/>
          </w:tcPr>
          <w:p w14:paraId="71D437FE" w14:textId="77777777" w:rsidR="006A3667" w:rsidRDefault="006A3667">
            <w:pPr>
              <w:rPr>
                <w:rFonts w:ascii="宋体"/>
                <w:vanish/>
              </w:rPr>
            </w:pPr>
          </w:p>
        </w:tc>
      </w:tr>
      <w:tr w:rsidR="006A3667" w14:paraId="71D4380A" w14:textId="77777777">
        <w:trPr>
          <w:hidden/>
        </w:trPr>
        <w:tc>
          <w:tcPr>
            <w:tcW w:w="0" w:type="auto"/>
            <w:gridSpan w:val="3"/>
            <w:shd w:val="clear" w:color="auto" w:fill="auto"/>
            <w:vAlign w:val="bottom"/>
          </w:tcPr>
          <w:p w14:paraId="71D43800" w14:textId="77777777" w:rsidR="006A3667" w:rsidRDefault="006A3667">
            <w:pPr>
              <w:rPr>
                <w:rFonts w:ascii="宋体"/>
                <w:vanish/>
              </w:rPr>
            </w:pPr>
          </w:p>
        </w:tc>
        <w:tc>
          <w:tcPr>
            <w:tcW w:w="0" w:type="auto"/>
            <w:gridSpan w:val="3"/>
            <w:shd w:val="clear" w:color="auto" w:fill="auto"/>
            <w:vAlign w:val="bottom"/>
          </w:tcPr>
          <w:p w14:paraId="71D43801" w14:textId="77777777" w:rsidR="006A3667" w:rsidRDefault="006A3667">
            <w:pPr>
              <w:rPr>
                <w:rFonts w:ascii="宋体"/>
                <w:vanish/>
              </w:rPr>
            </w:pPr>
          </w:p>
        </w:tc>
        <w:tc>
          <w:tcPr>
            <w:tcW w:w="0" w:type="auto"/>
            <w:gridSpan w:val="3"/>
            <w:shd w:val="clear" w:color="auto" w:fill="auto"/>
            <w:vAlign w:val="bottom"/>
          </w:tcPr>
          <w:p w14:paraId="71D43802" w14:textId="77777777" w:rsidR="006A3667" w:rsidRDefault="006A3667">
            <w:pPr>
              <w:rPr>
                <w:rFonts w:ascii="宋体"/>
                <w:vanish/>
              </w:rPr>
            </w:pPr>
          </w:p>
        </w:tc>
        <w:tc>
          <w:tcPr>
            <w:tcW w:w="0" w:type="auto"/>
            <w:gridSpan w:val="3"/>
            <w:shd w:val="clear" w:color="auto" w:fill="auto"/>
            <w:vAlign w:val="bottom"/>
          </w:tcPr>
          <w:p w14:paraId="71D43803" w14:textId="77777777" w:rsidR="006A3667" w:rsidRDefault="006A3667">
            <w:pPr>
              <w:rPr>
                <w:rFonts w:ascii="宋体"/>
                <w:vanish/>
              </w:rPr>
            </w:pPr>
          </w:p>
        </w:tc>
        <w:tc>
          <w:tcPr>
            <w:tcW w:w="0" w:type="auto"/>
            <w:gridSpan w:val="3"/>
            <w:shd w:val="clear" w:color="auto" w:fill="auto"/>
            <w:vAlign w:val="bottom"/>
          </w:tcPr>
          <w:p w14:paraId="71D43804" w14:textId="77777777" w:rsidR="006A3667" w:rsidRDefault="006A3667">
            <w:pPr>
              <w:rPr>
                <w:rFonts w:ascii="宋体"/>
                <w:vanish/>
              </w:rPr>
            </w:pPr>
          </w:p>
        </w:tc>
        <w:tc>
          <w:tcPr>
            <w:tcW w:w="0" w:type="auto"/>
            <w:gridSpan w:val="3"/>
            <w:shd w:val="clear" w:color="auto" w:fill="auto"/>
            <w:vAlign w:val="bottom"/>
          </w:tcPr>
          <w:p w14:paraId="71D43805" w14:textId="77777777" w:rsidR="006A3667" w:rsidRDefault="006A3667">
            <w:pPr>
              <w:rPr>
                <w:rFonts w:ascii="宋体"/>
                <w:vanish/>
              </w:rPr>
            </w:pPr>
          </w:p>
        </w:tc>
        <w:tc>
          <w:tcPr>
            <w:tcW w:w="0" w:type="auto"/>
            <w:gridSpan w:val="3"/>
            <w:shd w:val="clear" w:color="auto" w:fill="auto"/>
            <w:vAlign w:val="bottom"/>
          </w:tcPr>
          <w:p w14:paraId="71D43806" w14:textId="77777777" w:rsidR="006A3667" w:rsidRDefault="006A3667">
            <w:pPr>
              <w:rPr>
                <w:rFonts w:ascii="宋体"/>
                <w:vanish/>
              </w:rPr>
            </w:pPr>
          </w:p>
        </w:tc>
        <w:tc>
          <w:tcPr>
            <w:tcW w:w="0" w:type="auto"/>
            <w:gridSpan w:val="3"/>
            <w:shd w:val="clear" w:color="auto" w:fill="auto"/>
            <w:vAlign w:val="bottom"/>
          </w:tcPr>
          <w:p w14:paraId="71D43807" w14:textId="77777777" w:rsidR="006A3667" w:rsidRDefault="006A3667">
            <w:pPr>
              <w:rPr>
                <w:rFonts w:ascii="宋体"/>
                <w:vanish/>
              </w:rPr>
            </w:pPr>
          </w:p>
        </w:tc>
        <w:tc>
          <w:tcPr>
            <w:tcW w:w="0" w:type="auto"/>
            <w:gridSpan w:val="3"/>
            <w:shd w:val="clear" w:color="auto" w:fill="auto"/>
            <w:vAlign w:val="bottom"/>
          </w:tcPr>
          <w:p w14:paraId="71D43808" w14:textId="77777777" w:rsidR="006A3667" w:rsidRDefault="006A3667">
            <w:pPr>
              <w:rPr>
                <w:rFonts w:ascii="宋体"/>
                <w:vanish/>
              </w:rPr>
            </w:pPr>
          </w:p>
        </w:tc>
        <w:tc>
          <w:tcPr>
            <w:tcW w:w="0" w:type="auto"/>
            <w:gridSpan w:val="3"/>
            <w:shd w:val="clear" w:color="auto" w:fill="auto"/>
            <w:vAlign w:val="bottom"/>
          </w:tcPr>
          <w:p w14:paraId="71D43809" w14:textId="77777777" w:rsidR="006A3667" w:rsidRDefault="006A3667">
            <w:pPr>
              <w:rPr>
                <w:rFonts w:ascii="宋体"/>
                <w:vanish/>
              </w:rPr>
            </w:pPr>
          </w:p>
        </w:tc>
      </w:tr>
      <w:tr w:rsidR="006A3667" w14:paraId="71D43815" w14:textId="77777777">
        <w:trPr>
          <w:hidden/>
        </w:trPr>
        <w:tc>
          <w:tcPr>
            <w:tcW w:w="0" w:type="auto"/>
            <w:gridSpan w:val="3"/>
            <w:shd w:val="clear" w:color="auto" w:fill="auto"/>
            <w:vAlign w:val="bottom"/>
          </w:tcPr>
          <w:p w14:paraId="71D4380B" w14:textId="77777777" w:rsidR="006A3667" w:rsidRDefault="006A3667">
            <w:pPr>
              <w:rPr>
                <w:rFonts w:ascii="宋体"/>
                <w:vanish/>
              </w:rPr>
            </w:pPr>
          </w:p>
        </w:tc>
        <w:tc>
          <w:tcPr>
            <w:tcW w:w="0" w:type="auto"/>
            <w:gridSpan w:val="3"/>
            <w:shd w:val="clear" w:color="auto" w:fill="auto"/>
            <w:vAlign w:val="bottom"/>
          </w:tcPr>
          <w:p w14:paraId="71D4380C" w14:textId="77777777" w:rsidR="006A3667" w:rsidRDefault="006A3667">
            <w:pPr>
              <w:rPr>
                <w:rFonts w:ascii="宋体"/>
                <w:vanish/>
              </w:rPr>
            </w:pPr>
          </w:p>
        </w:tc>
        <w:tc>
          <w:tcPr>
            <w:tcW w:w="0" w:type="auto"/>
            <w:gridSpan w:val="3"/>
            <w:shd w:val="clear" w:color="auto" w:fill="auto"/>
            <w:vAlign w:val="bottom"/>
          </w:tcPr>
          <w:p w14:paraId="71D4380D" w14:textId="77777777" w:rsidR="006A3667" w:rsidRDefault="006A3667">
            <w:pPr>
              <w:rPr>
                <w:rFonts w:ascii="宋体"/>
                <w:vanish/>
              </w:rPr>
            </w:pPr>
          </w:p>
        </w:tc>
        <w:tc>
          <w:tcPr>
            <w:tcW w:w="0" w:type="auto"/>
            <w:gridSpan w:val="3"/>
            <w:shd w:val="clear" w:color="auto" w:fill="auto"/>
            <w:vAlign w:val="bottom"/>
          </w:tcPr>
          <w:p w14:paraId="71D4380E" w14:textId="77777777" w:rsidR="006A3667" w:rsidRDefault="006A3667">
            <w:pPr>
              <w:rPr>
                <w:rFonts w:ascii="宋体"/>
                <w:vanish/>
              </w:rPr>
            </w:pPr>
          </w:p>
        </w:tc>
        <w:tc>
          <w:tcPr>
            <w:tcW w:w="0" w:type="auto"/>
            <w:gridSpan w:val="3"/>
            <w:shd w:val="clear" w:color="auto" w:fill="auto"/>
            <w:vAlign w:val="bottom"/>
          </w:tcPr>
          <w:p w14:paraId="71D4380F" w14:textId="77777777" w:rsidR="006A3667" w:rsidRDefault="006A3667">
            <w:pPr>
              <w:rPr>
                <w:rFonts w:ascii="宋体"/>
                <w:vanish/>
              </w:rPr>
            </w:pPr>
          </w:p>
        </w:tc>
        <w:tc>
          <w:tcPr>
            <w:tcW w:w="0" w:type="auto"/>
            <w:gridSpan w:val="3"/>
            <w:shd w:val="clear" w:color="auto" w:fill="auto"/>
            <w:vAlign w:val="bottom"/>
          </w:tcPr>
          <w:p w14:paraId="71D43810" w14:textId="77777777" w:rsidR="006A3667" w:rsidRDefault="006A3667">
            <w:pPr>
              <w:rPr>
                <w:rFonts w:ascii="宋体"/>
                <w:vanish/>
              </w:rPr>
            </w:pPr>
          </w:p>
        </w:tc>
        <w:tc>
          <w:tcPr>
            <w:tcW w:w="0" w:type="auto"/>
            <w:gridSpan w:val="3"/>
            <w:shd w:val="clear" w:color="auto" w:fill="auto"/>
            <w:vAlign w:val="bottom"/>
          </w:tcPr>
          <w:p w14:paraId="71D43811" w14:textId="77777777" w:rsidR="006A3667" w:rsidRDefault="006A3667">
            <w:pPr>
              <w:rPr>
                <w:rFonts w:ascii="宋体"/>
                <w:vanish/>
              </w:rPr>
            </w:pPr>
          </w:p>
        </w:tc>
        <w:tc>
          <w:tcPr>
            <w:tcW w:w="0" w:type="auto"/>
            <w:gridSpan w:val="3"/>
            <w:shd w:val="clear" w:color="auto" w:fill="auto"/>
            <w:vAlign w:val="bottom"/>
          </w:tcPr>
          <w:p w14:paraId="71D43812" w14:textId="77777777" w:rsidR="006A3667" w:rsidRDefault="006A3667">
            <w:pPr>
              <w:rPr>
                <w:rFonts w:ascii="宋体"/>
                <w:vanish/>
              </w:rPr>
            </w:pPr>
          </w:p>
        </w:tc>
        <w:tc>
          <w:tcPr>
            <w:tcW w:w="0" w:type="auto"/>
            <w:gridSpan w:val="3"/>
            <w:shd w:val="clear" w:color="auto" w:fill="auto"/>
            <w:vAlign w:val="bottom"/>
          </w:tcPr>
          <w:p w14:paraId="71D43813" w14:textId="77777777" w:rsidR="006A3667" w:rsidRDefault="006A3667">
            <w:pPr>
              <w:rPr>
                <w:rFonts w:ascii="宋体"/>
                <w:vanish/>
              </w:rPr>
            </w:pPr>
          </w:p>
        </w:tc>
        <w:tc>
          <w:tcPr>
            <w:tcW w:w="0" w:type="auto"/>
            <w:gridSpan w:val="3"/>
            <w:shd w:val="clear" w:color="auto" w:fill="auto"/>
            <w:vAlign w:val="bottom"/>
          </w:tcPr>
          <w:p w14:paraId="71D43814" w14:textId="77777777" w:rsidR="006A3667" w:rsidRDefault="006A3667">
            <w:pPr>
              <w:rPr>
                <w:rFonts w:ascii="宋体"/>
                <w:vanish/>
              </w:rPr>
            </w:pPr>
          </w:p>
        </w:tc>
      </w:tr>
      <w:tr w:rsidR="006A3667" w14:paraId="71D43820" w14:textId="77777777">
        <w:trPr>
          <w:hidden/>
        </w:trPr>
        <w:tc>
          <w:tcPr>
            <w:tcW w:w="0" w:type="auto"/>
            <w:gridSpan w:val="3"/>
            <w:shd w:val="clear" w:color="auto" w:fill="auto"/>
            <w:vAlign w:val="bottom"/>
          </w:tcPr>
          <w:p w14:paraId="71D43816" w14:textId="77777777" w:rsidR="006A3667" w:rsidRDefault="006A3667">
            <w:pPr>
              <w:rPr>
                <w:rFonts w:ascii="宋体"/>
                <w:vanish/>
              </w:rPr>
            </w:pPr>
          </w:p>
        </w:tc>
        <w:tc>
          <w:tcPr>
            <w:tcW w:w="0" w:type="auto"/>
            <w:gridSpan w:val="3"/>
            <w:shd w:val="clear" w:color="auto" w:fill="auto"/>
            <w:vAlign w:val="bottom"/>
          </w:tcPr>
          <w:p w14:paraId="71D43817" w14:textId="77777777" w:rsidR="006A3667" w:rsidRDefault="006A3667">
            <w:pPr>
              <w:rPr>
                <w:rFonts w:ascii="宋体"/>
                <w:vanish/>
              </w:rPr>
            </w:pPr>
          </w:p>
        </w:tc>
        <w:tc>
          <w:tcPr>
            <w:tcW w:w="0" w:type="auto"/>
            <w:gridSpan w:val="3"/>
            <w:shd w:val="clear" w:color="auto" w:fill="auto"/>
            <w:vAlign w:val="bottom"/>
          </w:tcPr>
          <w:p w14:paraId="71D43818" w14:textId="77777777" w:rsidR="006A3667" w:rsidRDefault="006A3667">
            <w:pPr>
              <w:rPr>
                <w:rFonts w:ascii="宋体"/>
                <w:vanish/>
              </w:rPr>
            </w:pPr>
          </w:p>
        </w:tc>
        <w:tc>
          <w:tcPr>
            <w:tcW w:w="0" w:type="auto"/>
            <w:gridSpan w:val="3"/>
            <w:shd w:val="clear" w:color="auto" w:fill="auto"/>
            <w:vAlign w:val="bottom"/>
          </w:tcPr>
          <w:p w14:paraId="71D43819" w14:textId="77777777" w:rsidR="006A3667" w:rsidRDefault="006A3667">
            <w:pPr>
              <w:rPr>
                <w:rFonts w:ascii="宋体"/>
                <w:vanish/>
              </w:rPr>
            </w:pPr>
          </w:p>
        </w:tc>
        <w:tc>
          <w:tcPr>
            <w:tcW w:w="0" w:type="auto"/>
            <w:gridSpan w:val="3"/>
            <w:shd w:val="clear" w:color="auto" w:fill="auto"/>
            <w:vAlign w:val="bottom"/>
          </w:tcPr>
          <w:p w14:paraId="71D4381A" w14:textId="77777777" w:rsidR="006A3667" w:rsidRDefault="006A3667">
            <w:pPr>
              <w:rPr>
                <w:rFonts w:ascii="宋体"/>
                <w:vanish/>
              </w:rPr>
            </w:pPr>
          </w:p>
        </w:tc>
        <w:tc>
          <w:tcPr>
            <w:tcW w:w="0" w:type="auto"/>
            <w:gridSpan w:val="3"/>
            <w:shd w:val="clear" w:color="auto" w:fill="auto"/>
            <w:vAlign w:val="bottom"/>
          </w:tcPr>
          <w:p w14:paraId="71D4381B" w14:textId="77777777" w:rsidR="006A3667" w:rsidRDefault="006A3667">
            <w:pPr>
              <w:rPr>
                <w:rFonts w:ascii="宋体"/>
                <w:vanish/>
              </w:rPr>
            </w:pPr>
          </w:p>
        </w:tc>
        <w:tc>
          <w:tcPr>
            <w:tcW w:w="0" w:type="auto"/>
            <w:gridSpan w:val="3"/>
            <w:shd w:val="clear" w:color="auto" w:fill="auto"/>
            <w:vAlign w:val="bottom"/>
          </w:tcPr>
          <w:p w14:paraId="71D4381C" w14:textId="77777777" w:rsidR="006A3667" w:rsidRDefault="006A3667">
            <w:pPr>
              <w:rPr>
                <w:rFonts w:ascii="宋体"/>
                <w:vanish/>
              </w:rPr>
            </w:pPr>
          </w:p>
        </w:tc>
        <w:tc>
          <w:tcPr>
            <w:tcW w:w="0" w:type="auto"/>
            <w:gridSpan w:val="3"/>
            <w:shd w:val="clear" w:color="auto" w:fill="auto"/>
            <w:vAlign w:val="bottom"/>
          </w:tcPr>
          <w:p w14:paraId="71D4381D" w14:textId="77777777" w:rsidR="006A3667" w:rsidRDefault="006A3667">
            <w:pPr>
              <w:rPr>
                <w:rFonts w:ascii="宋体"/>
                <w:vanish/>
              </w:rPr>
            </w:pPr>
          </w:p>
        </w:tc>
        <w:tc>
          <w:tcPr>
            <w:tcW w:w="0" w:type="auto"/>
            <w:gridSpan w:val="3"/>
            <w:shd w:val="clear" w:color="auto" w:fill="auto"/>
            <w:vAlign w:val="bottom"/>
          </w:tcPr>
          <w:p w14:paraId="71D4381E" w14:textId="77777777" w:rsidR="006A3667" w:rsidRDefault="006A3667">
            <w:pPr>
              <w:rPr>
                <w:rFonts w:ascii="宋体"/>
                <w:vanish/>
              </w:rPr>
            </w:pPr>
          </w:p>
        </w:tc>
        <w:tc>
          <w:tcPr>
            <w:tcW w:w="0" w:type="auto"/>
            <w:gridSpan w:val="3"/>
            <w:shd w:val="clear" w:color="auto" w:fill="auto"/>
            <w:vAlign w:val="bottom"/>
          </w:tcPr>
          <w:p w14:paraId="71D4381F" w14:textId="77777777" w:rsidR="006A3667" w:rsidRDefault="006A3667">
            <w:pPr>
              <w:rPr>
                <w:rFonts w:ascii="宋体"/>
                <w:vanish/>
              </w:rPr>
            </w:pPr>
          </w:p>
        </w:tc>
      </w:tr>
      <w:tr w:rsidR="006A3667" w14:paraId="71D4382F" w14:textId="77777777">
        <w:tc>
          <w:tcPr>
            <w:tcW w:w="0" w:type="auto"/>
            <w:gridSpan w:val="3"/>
            <w:shd w:val="clear" w:color="auto" w:fill="FFFFFF"/>
            <w:tcMar>
              <w:top w:w="40" w:type="dxa"/>
              <w:left w:w="245" w:type="dxa"/>
              <w:bottom w:w="40" w:type="dxa"/>
              <w:right w:w="20" w:type="dxa"/>
            </w:tcMar>
            <w:vAlign w:val="bottom"/>
          </w:tcPr>
          <w:p w14:paraId="71D43821" w14:textId="77777777" w:rsidR="006A3667" w:rsidRDefault="00045F32">
            <w:pPr>
              <w:textAlignment w:val="bottom"/>
            </w:pPr>
            <w:r>
              <w:rPr>
                <w:rFonts w:ascii="Arial" w:eastAsia="宋体" w:hAnsi="Arial" w:cs="Arial"/>
                <w:color w:val="000000"/>
                <w:sz w:val="15"/>
                <w:szCs w:val="15"/>
              </w:rPr>
              <w:t>State and political subdivisions</w:t>
            </w:r>
          </w:p>
        </w:tc>
        <w:tc>
          <w:tcPr>
            <w:tcW w:w="0" w:type="auto"/>
            <w:gridSpan w:val="2"/>
            <w:shd w:val="clear" w:color="auto" w:fill="FFFFFF"/>
            <w:tcMar>
              <w:top w:w="40" w:type="dxa"/>
              <w:left w:w="20" w:type="dxa"/>
              <w:bottom w:w="40" w:type="dxa"/>
              <w:right w:w="0" w:type="dxa"/>
            </w:tcMar>
            <w:vAlign w:val="bottom"/>
          </w:tcPr>
          <w:p w14:paraId="71D4382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8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2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25" w14:textId="77777777" w:rsidR="006A3667" w:rsidRDefault="00045F32">
            <w:pPr>
              <w:jc w:val="right"/>
              <w:textAlignment w:val="bottom"/>
            </w:pPr>
            <w:r>
              <w:rPr>
                <w:rFonts w:ascii="Arial" w:eastAsia="宋体" w:hAnsi="Arial" w:cs="Arial"/>
                <w:color w:val="000000"/>
                <w:sz w:val="14"/>
                <w:szCs w:val="14"/>
              </w:rPr>
              <w:t>1,272 </w:t>
            </w:r>
          </w:p>
        </w:tc>
        <w:tc>
          <w:tcPr>
            <w:tcW w:w="0" w:type="auto"/>
            <w:shd w:val="clear" w:color="auto" w:fill="FFFFFF"/>
            <w:tcMar>
              <w:top w:w="40" w:type="dxa"/>
              <w:left w:w="0" w:type="dxa"/>
              <w:bottom w:w="40" w:type="dxa"/>
              <w:right w:w="20" w:type="dxa"/>
            </w:tcMar>
            <w:vAlign w:val="bottom"/>
          </w:tcPr>
          <w:p w14:paraId="71D438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2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2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8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2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2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2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2D" w14:textId="77777777" w:rsidR="006A3667" w:rsidRDefault="00045F32">
            <w:pPr>
              <w:jc w:val="right"/>
              <w:textAlignment w:val="bottom"/>
            </w:pPr>
            <w:r>
              <w:rPr>
                <w:rFonts w:ascii="Arial" w:eastAsia="宋体" w:hAnsi="Arial" w:cs="Arial"/>
                <w:color w:val="000000"/>
                <w:sz w:val="14"/>
                <w:szCs w:val="14"/>
              </w:rPr>
              <w:t>1,272 </w:t>
            </w:r>
          </w:p>
        </w:tc>
        <w:tc>
          <w:tcPr>
            <w:tcW w:w="0" w:type="auto"/>
            <w:shd w:val="clear" w:color="auto" w:fill="FFFFFF"/>
            <w:tcMar>
              <w:top w:w="40" w:type="dxa"/>
              <w:left w:w="0" w:type="dxa"/>
              <w:bottom w:w="40" w:type="dxa"/>
              <w:right w:w="20" w:type="dxa"/>
            </w:tcMar>
            <w:vAlign w:val="bottom"/>
          </w:tcPr>
          <w:p w14:paraId="71D4382E" w14:textId="77777777" w:rsidR="006A3667" w:rsidRDefault="006A3667">
            <w:pPr>
              <w:jc w:val="right"/>
              <w:rPr>
                <w:rFonts w:ascii="宋体"/>
              </w:rPr>
            </w:pPr>
          </w:p>
        </w:tc>
      </w:tr>
      <w:tr w:rsidR="006A3667" w14:paraId="71D4383A" w14:textId="77777777">
        <w:trPr>
          <w:hidden/>
        </w:trPr>
        <w:tc>
          <w:tcPr>
            <w:tcW w:w="0" w:type="auto"/>
            <w:gridSpan w:val="3"/>
            <w:shd w:val="clear" w:color="auto" w:fill="auto"/>
            <w:vAlign w:val="bottom"/>
          </w:tcPr>
          <w:p w14:paraId="71D43830" w14:textId="77777777" w:rsidR="006A3667" w:rsidRDefault="006A3667">
            <w:pPr>
              <w:rPr>
                <w:rFonts w:ascii="宋体"/>
                <w:vanish/>
              </w:rPr>
            </w:pPr>
          </w:p>
        </w:tc>
        <w:tc>
          <w:tcPr>
            <w:tcW w:w="0" w:type="auto"/>
            <w:gridSpan w:val="3"/>
            <w:shd w:val="clear" w:color="auto" w:fill="auto"/>
            <w:vAlign w:val="bottom"/>
          </w:tcPr>
          <w:p w14:paraId="71D43831" w14:textId="77777777" w:rsidR="006A3667" w:rsidRDefault="006A3667">
            <w:pPr>
              <w:rPr>
                <w:rFonts w:ascii="宋体"/>
                <w:vanish/>
              </w:rPr>
            </w:pPr>
          </w:p>
        </w:tc>
        <w:tc>
          <w:tcPr>
            <w:tcW w:w="0" w:type="auto"/>
            <w:gridSpan w:val="3"/>
            <w:shd w:val="clear" w:color="auto" w:fill="auto"/>
            <w:vAlign w:val="bottom"/>
          </w:tcPr>
          <w:p w14:paraId="71D43832" w14:textId="77777777" w:rsidR="006A3667" w:rsidRDefault="006A3667">
            <w:pPr>
              <w:rPr>
                <w:rFonts w:ascii="宋体"/>
                <w:vanish/>
              </w:rPr>
            </w:pPr>
          </w:p>
        </w:tc>
        <w:tc>
          <w:tcPr>
            <w:tcW w:w="0" w:type="auto"/>
            <w:gridSpan w:val="3"/>
            <w:shd w:val="clear" w:color="auto" w:fill="auto"/>
            <w:vAlign w:val="bottom"/>
          </w:tcPr>
          <w:p w14:paraId="71D43833" w14:textId="77777777" w:rsidR="006A3667" w:rsidRDefault="006A3667">
            <w:pPr>
              <w:rPr>
                <w:rFonts w:ascii="宋体"/>
                <w:vanish/>
              </w:rPr>
            </w:pPr>
          </w:p>
        </w:tc>
        <w:tc>
          <w:tcPr>
            <w:tcW w:w="0" w:type="auto"/>
            <w:gridSpan w:val="3"/>
            <w:shd w:val="clear" w:color="auto" w:fill="auto"/>
            <w:vAlign w:val="bottom"/>
          </w:tcPr>
          <w:p w14:paraId="71D43834" w14:textId="77777777" w:rsidR="006A3667" w:rsidRDefault="006A3667">
            <w:pPr>
              <w:rPr>
                <w:rFonts w:ascii="宋体"/>
                <w:vanish/>
              </w:rPr>
            </w:pPr>
          </w:p>
        </w:tc>
        <w:tc>
          <w:tcPr>
            <w:tcW w:w="0" w:type="auto"/>
            <w:gridSpan w:val="3"/>
            <w:shd w:val="clear" w:color="auto" w:fill="auto"/>
            <w:vAlign w:val="bottom"/>
          </w:tcPr>
          <w:p w14:paraId="71D43835" w14:textId="77777777" w:rsidR="006A3667" w:rsidRDefault="006A3667">
            <w:pPr>
              <w:rPr>
                <w:rFonts w:ascii="宋体"/>
                <w:vanish/>
              </w:rPr>
            </w:pPr>
          </w:p>
        </w:tc>
        <w:tc>
          <w:tcPr>
            <w:tcW w:w="0" w:type="auto"/>
            <w:gridSpan w:val="3"/>
            <w:shd w:val="clear" w:color="auto" w:fill="auto"/>
            <w:vAlign w:val="bottom"/>
          </w:tcPr>
          <w:p w14:paraId="71D43836" w14:textId="77777777" w:rsidR="006A3667" w:rsidRDefault="006A3667">
            <w:pPr>
              <w:rPr>
                <w:rFonts w:ascii="宋体"/>
                <w:vanish/>
              </w:rPr>
            </w:pPr>
          </w:p>
        </w:tc>
        <w:tc>
          <w:tcPr>
            <w:tcW w:w="0" w:type="auto"/>
            <w:gridSpan w:val="3"/>
            <w:shd w:val="clear" w:color="auto" w:fill="auto"/>
            <w:vAlign w:val="bottom"/>
          </w:tcPr>
          <w:p w14:paraId="71D43837" w14:textId="77777777" w:rsidR="006A3667" w:rsidRDefault="006A3667">
            <w:pPr>
              <w:rPr>
                <w:rFonts w:ascii="宋体"/>
                <w:vanish/>
              </w:rPr>
            </w:pPr>
          </w:p>
        </w:tc>
        <w:tc>
          <w:tcPr>
            <w:tcW w:w="0" w:type="auto"/>
            <w:gridSpan w:val="3"/>
            <w:shd w:val="clear" w:color="auto" w:fill="auto"/>
            <w:vAlign w:val="bottom"/>
          </w:tcPr>
          <w:p w14:paraId="71D43838" w14:textId="77777777" w:rsidR="006A3667" w:rsidRDefault="006A3667">
            <w:pPr>
              <w:rPr>
                <w:rFonts w:ascii="宋体"/>
                <w:vanish/>
              </w:rPr>
            </w:pPr>
          </w:p>
        </w:tc>
        <w:tc>
          <w:tcPr>
            <w:tcW w:w="0" w:type="auto"/>
            <w:gridSpan w:val="3"/>
            <w:shd w:val="clear" w:color="auto" w:fill="auto"/>
            <w:vAlign w:val="bottom"/>
          </w:tcPr>
          <w:p w14:paraId="71D43839" w14:textId="77777777" w:rsidR="006A3667" w:rsidRDefault="006A3667">
            <w:pPr>
              <w:rPr>
                <w:rFonts w:ascii="宋体"/>
                <w:vanish/>
              </w:rPr>
            </w:pPr>
          </w:p>
        </w:tc>
      </w:tr>
      <w:tr w:rsidR="006A3667" w14:paraId="71D43849" w14:textId="77777777">
        <w:tc>
          <w:tcPr>
            <w:tcW w:w="0" w:type="auto"/>
            <w:gridSpan w:val="3"/>
            <w:shd w:val="clear" w:color="auto" w:fill="CCEEFF"/>
            <w:tcMar>
              <w:top w:w="40" w:type="dxa"/>
              <w:left w:w="245" w:type="dxa"/>
              <w:bottom w:w="40" w:type="dxa"/>
              <w:right w:w="20" w:type="dxa"/>
            </w:tcMar>
            <w:vAlign w:val="bottom"/>
          </w:tcPr>
          <w:p w14:paraId="71D4383B" w14:textId="77777777" w:rsidR="006A3667" w:rsidRDefault="00045F32">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71D4383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8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83F" w14:textId="77777777" w:rsidR="006A3667" w:rsidRDefault="00045F32">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71D438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4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84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8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4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84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84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847" w14:textId="77777777" w:rsidR="006A3667" w:rsidRDefault="00045F32">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71D43848" w14:textId="77777777" w:rsidR="006A3667" w:rsidRDefault="006A3667">
            <w:pPr>
              <w:jc w:val="right"/>
              <w:rPr>
                <w:rFonts w:ascii="宋体"/>
              </w:rPr>
            </w:pPr>
          </w:p>
        </w:tc>
      </w:tr>
      <w:tr w:rsidR="006A3667" w14:paraId="71D43854" w14:textId="77777777">
        <w:trPr>
          <w:hidden/>
        </w:trPr>
        <w:tc>
          <w:tcPr>
            <w:tcW w:w="0" w:type="auto"/>
            <w:gridSpan w:val="3"/>
            <w:shd w:val="clear" w:color="auto" w:fill="auto"/>
            <w:vAlign w:val="bottom"/>
          </w:tcPr>
          <w:p w14:paraId="71D4384A" w14:textId="77777777" w:rsidR="006A3667" w:rsidRDefault="006A3667">
            <w:pPr>
              <w:rPr>
                <w:rFonts w:ascii="宋体"/>
                <w:vanish/>
              </w:rPr>
            </w:pPr>
          </w:p>
        </w:tc>
        <w:tc>
          <w:tcPr>
            <w:tcW w:w="0" w:type="auto"/>
            <w:gridSpan w:val="3"/>
            <w:shd w:val="clear" w:color="auto" w:fill="auto"/>
            <w:vAlign w:val="bottom"/>
          </w:tcPr>
          <w:p w14:paraId="71D4384B" w14:textId="77777777" w:rsidR="006A3667" w:rsidRDefault="006A3667">
            <w:pPr>
              <w:rPr>
                <w:rFonts w:ascii="宋体"/>
                <w:vanish/>
              </w:rPr>
            </w:pPr>
          </w:p>
        </w:tc>
        <w:tc>
          <w:tcPr>
            <w:tcW w:w="0" w:type="auto"/>
            <w:gridSpan w:val="3"/>
            <w:shd w:val="clear" w:color="auto" w:fill="auto"/>
            <w:vAlign w:val="bottom"/>
          </w:tcPr>
          <w:p w14:paraId="71D4384C" w14:textId="77777777" w:rsidR="006A3667" w:rsidRDefault="006A3667">
            <w:pPr>
              <w:rPr>
                <w:rFonts w:ascii="宋体"/>
                <w:vanish/>
              </w:rPr>
            </w:pPr>
          </w:p>
        </w:tc>
        <w:tc>
          <w:tcPr>
            <w:tcW w:w="0" w:type="auto"/>
            <w:gridSpan w:val="3"/>
            <w:shd w:val="clear" w:color="auto" w:fill="auto"/>
            <w:vAlign w:val="bottom"/>
          </w:tcPr>
          <w:p w14:paraId="71D4384D" w14:textId="77777777" w:rsidR="006A3667" w:rsidRDefault="006A3667">
            <w:pPr>
              <w:rPr>
                <w:rFonts w:ascii="宋体"/>
                <w:vanish/>
              </w:rPr>
            </w:pPr>
          </w:p>
        </w:tc>
        <w:tc>
          <w:tcPr>
            <w:tcW w:w="0" w:type="auto"/>
            <w:gridSpan w:val="3"/>
            <w:shd w:val="clear" w:color="auto" w:fill="auto"/>
            <w:vAlign w:val="bottom"/>
          </w:tcPr>
          <w:p w14:paraId="71D4384E" w14:textId="77777777" w:rsidR="006A3667" w:rsidRDefault="006A3667">
            <w:pPr>
              <w:rPr>
                <w:rFonts w:ascii="宋体"/>
                <w:vanish/>
              </w:rPr>
            </w:pPr>
          </w:p>
        </w:tc>
        <w:tc>
          <w:tcPr>
            <w:tcW w:w="0" w:type="auto"/>
            <w:gridSpan w:val="3"/>
            <w:shd w:val="clear" w:color="auto" w:fill="auto"/>
            <w:vAlign w:val="bottom"/>
          </w:tcPr>
          <w:p w14:paraId="71D4384F" w14:textId="77777777" w:rsidR="006A3667" w:rsidRDefault="006A3667">
            <w:pPr>
              <w:rPr>
                <w:rFonts w:ascii="宋体"/>
                <w:vanish/>
              </w:rPr>
            </w:pPr>
          </w:p>
        </w:tc>
        <w:tc>
          <w:tcPr>
            <w:tcW w:w="0" w:type="auto"/>
            <w:gridSpan w:val="3"/>
            <w:shd w:val="clear" w:color="auto" w:fill="auto"/>
            <w:vAlign w:val="bottom"/>
          </w:tcPr>
          <w:p w14:paraId="71D43850" w14:textId="77777777" w:rsidR="006A3667" w:rsidRDefault="006A3667">
            <w:pPr>
              <w:rPr>
                <w:rFonts w:ascii="宋体"/>
                <w:vanish/>
              </w:rPr>
            </w:pPr>
          </w:p>
        </w:tc>
        <w:tc>
          <w:tcPr>
            <w:tcW w:w="0" w:type="auto"/>
            <w:gridSpan w:val="3"/>
            <w:shd w:val="clear" w:color="auto" w:fill="auto"/>
            <w:vAlign w:val="bottom"/>
          </w:tcPr>
          <w:p w14:paraId="71D43851" w14:textId="77777777" w:rsidR="006A3667" w:rsidRDefault="006A3667">
            <w:pPr>
              <w:rPr>
                <w:rFonts w:ascii="宋体"/>
                <w:vanish/>
              </w:rPr>
            </w:pPr>
          </w:p>
        </w:tc>
        <w:tc>
          <w:tcPr>
            <w:tcW w:w="0" w:type="auto"/>
            <w:gridSpan w:val="3"/>
            <w:shd w:val="clear" w:color="auto" w:fill="auto"/>
            <w:vAlign w:val="bottom"/>
          </w:tcPr>
          <w:p w14:paraId="71D43852" w14:textId="77777777" w:rsidR="006A3667" w:rsidRDefault="006A3667">
            <w:pPr>
              <w:rPr>
                <w:rFonts w:ascii="宋体"/>
                <w:vanish/>
              </w:rPr>
            </w:pPr>
          </w:p>
        </w:tc>
        <w:tc>
          <w:tcPr>
            <w:tcW w:w="0" w:type="auto"/>
            <w:gridSpan w:val="3"/>
            <w:shd w:val="clear" w:color="auto" w:fill="auto"/>
            <w:vAlign w:val="bottom"/>
          </w:tcPr>
          <w:p w14:paraId="71D43853" w14:textId="77777777" w:rsidR="006A3667" w:rsidRDefault="006A3667">
            <w:pPr>
              <w:rPr>
                <w:rFonts w:ascii="宋体"/>
                <w:vanish/>
              </w:rPr>
            </w:pPr>
          </w:p>
        </w:tc>
      </w:tr>
      <w:tr w:rsidR="006A3667" w14:paraId="71D4385F" w14:textId="77777777">
        <w:trPr>
          <w:hidden/>
        </w:trPr>
        <w:tc>
          <w:tcPr>
            <w:tcW w:w="0" w:type="auto"/>
            <w:gridSpan w:val="3"/>
            <w:shd w:val="clear" w:color="auto" w:fill="auto"/>
            <w:vAlign w:val="bottom"/>
          </w:tcPr>
          <w:p w14:paraId="71D43855" w14:textId="77777777" w:rsidR="006A3667" w:rsidRDefault="006A3667">
            <w:pPr>
              <w:rPr>
                <w:rFonts w:ascii="宋体"/>
                <w:vanish/>
              </w:rPr>
            </w:pPr>
          </w:p>
        </w:tc>
        <w:tc>
          <w:tcPr>
            <w:tcW w:w="0" w:type="auto"/>
            <w:gridSpan w:val="3"/>
            <w:shd w:val="clear" w:color="auto" w:fill="auto"/>
            <w:vAlign w:val="bottom"/>
          </w:tcPr>
          <w:p w14:paraId="71D43856" w14:textId="77777777" w:rsidR="006A3667" w:rsidRDefault="006A3667">
            <w:pPr>
              <w:rPr>
                <w:rFonts w:ascii="宋体"/>
                <w:vanish/>
              </w:rPr>
            </w:pPr>
          </w:p>
        </w:tc>
        <w:tc>
          <w:tcPr>
            <w:tcW w:w="0" w:type="auto"/>
            <w:gridSpan w:val="3"/>
            <w:shd w:val="clear" w:color="auto" w:fill="auto"/>
            <w:vAlign w:val="bottom"/>
          </w:tcPr>
          <w:p w14:paraId="71D43857" w14:textId="77777777" w:rsidR="006A3667" w:rsidRDefault="006A3667">
            <w:pPr>
              <w:rPr>
                <w:rFonts w:ascii="宋体"/>
                <w:vanish/>
              </w:rPr>
            </w:pPr>
          </w:p>
        </w:tc>
        <w:tc>
          <w:tcPr>
            <w:tcW w:w="0" w:type="auto"/>
            <w:gridSpan w:val="3"/>
            <w:shd w:val="clear" w:color="auto" w:fill="auto"/>
            <w:vAlign w:val="bottom"/>
          </w:tcPr>
          <w:p w14:paraId="71D43858" w14:textId="77777777" w:rsidR="006A3667" w:rsidRDefault="006A3667">
            <w:pPr>
              <w:rPr>
                <w:rFonts w:ascii="宋体"/>
                <w:vanish/>
              </w:rPr>
            </w:pPr>
          </w:p>
        </w:tc>
        <w:tc>
          <w:tcPr>
            <w:tcW w:w="0" w:type="auto"/>
            <w:gridSpan w:val="3"/>
            <w:shd w:val="clear" w:color="auto" w:fill="auto"/>
            <w:vAlign w:val="bottom"/>
          </w:tcPr>
          <w:p w14:paraId="71D43859" w14:textId="77777777" w:rsidR="006A3667" w:rsidRDefault="006A3667">
            <w:pPr>
              <w:rPr>
                <w:rFonts w:ascii="宋体"/>
                <w:vanish/>
              </w:rPr>
            </w:pPr>
          </w:p>
        </w:tc>
        <w:tc>
          <w:tcPr>
            <w:tcW w:w="0" w:type="auto"/>
            <w:gridSpan w:val="3"/>
            <w:shd w:val="clear" w:color="auto" w:fill="auto"/>
            <w:vAlign w:val="bottom"/>
          </w:tcPr>
          <w:p w14:paraId="71D4385A" w14:textId="77777777" w:rsidR="006A3667" w:rsidRDefault="006A3667">
            <w:pPr>
              <w:rPr>
                <w:rFonts w:ascii="宋体"/>
                <w:vanish/>
              </w:rPr>
            </w:pPr>
          </w:p>
        </w:tc>
        <w:tc>
          <w:tcPr>
            <w:tcW w:w="0" w:type="auto"/>
            <w:gridSpan w:val="3"/>
            <w:shd w:val="clear" w:color="auto" w:fill="auto"/>
            <w:vAlign w:val="bottom"/>
          </w:tcPr>
          <w:p w14:paraId="71D4385B" w14:textId="77777777" w:rsidR="006A3667" w:rsidRDefault="006A3667">
            <w:pPr>
              <w:rPr>
                <w:rFonts w:ascii="宋体"/>
                <w:vanish/>
              </w:rPr>
            </w:pPr>
          </w:p>
        </w:tc>
        <w:tc>
          <w:tcPr>
            <w:tcW w:w="0" w:type="auto"/>
            <w:gridSpan w:val="3"/>
            <w:shd w:val="clear" w:color="auto" w:fill="auto"/>
            <w:vAlign w:val="bottom"/>
          </w:tcPr>
          <w:p w14:paraId="71D4385C" w14:textId="77777777" w:rsidR="006A3667" w:rsidRDefault="006A3667">
            <w:pPr>
              <w:rPr>
                <w:rFonts w:ascii="宋体"/>
                <w:vanish/>
              </w:rPr>
            </w:pPr>
          </w:p>
        </w:tc>
        <w:tc>
          <w:tcPr>
            <w:tcW w:w="0" w:type="auto"/>
            <w:gridSpan w:val="3"/>
            <w:shd w:val="clear" w:color="auto" w:fill="auto"/>
            <w:vAlign w:val="bottom"/>
          </w:tcPr>
          <w:p w14:paraId="71D4385D" w14:textId="77777777" w:rsidR="006A3667" w:rsidRDefault="006A3667">
            <w:pPr>
              <w:rPr>
                <w:rFonts w:ascii="宋体"/>
                <w:vanish/>
              </w:rPr>
            </w:pPr>
          </w:p>
        </w:tc>
        <w:tc>
          <w:tcPr>
            <w:tcW w:w="0" w:type="auto"/>
            <w:gridSpan w:val="3"/>
            <w:shd w:val="clear" w:color="auto" w:fill="auto"/>
            <w:vAlign w:val="bottom"/>
          </w:tcPr>
          <w:p w14:paraId="71D4385E" w14:textId="77777777" w:rsidR="006A3667" w:rsidRDefault="006A3667">
            <w:pPr>
              <w:rPr>
                <w:rFonts w:ascii="宋体"/>
                <w:vanish/>
              </w:rPr>
            </w:pPr>
          </w:p>
        </w:tc>
      </w:tr>
      <w:tr w:rsidR="006A3667" w14:paraId="71D4386A" w14:textId="77777777">
        <w:trPr>
          <w:hidden/>
        </w:trPr>
        <w:tc>
          <w:tcPr>
            <w:tcW w:w="0" w:type="auto"/>
            <w:gridSpan w:val="3"/>
            <w:shd w:val="clear" w:color="auto" w:fill="auto"/>
            <w:vAlign w:val="bottom"/>
          </w:tcPr>
          <w:p w14:paraId="71D43860" w14:textId="77777777" w:rsidR="006A3667" w:rsidRDefault="006A3667">
            <w:pPr>
              <w:rPr>
                <w:rFonts w:ascii="宋体"/>
                <w:vanish/>
              </w:rPr>
            </w:pPr>
          </w:p>
        </w:tc>
        <w:tc>
          <w:tcPr>
            <w:tcW w:w="0" w:type="auto"/>
            <w:gridSpan w:val="3"/>
            <w:shd w:val="clear" w:color="auto" w:fill="auto"/>
            <w:vAlign w:val="bottom"/>
          </w:tcPr>
          <w:p w14:paraId="71D43861" w14:textId="77777777" w:rsidR="006A3667" w:rsidRDefault="006A3667">
            <w:pPr>
              <w:rPr>
                <w:rFonts w:ascii="宋体"/>
                <w:vanish/>
              </w:rPr>
            </w:pPr>
          </w:p>
        </w:tc>
        <w:tc>
          <w:tcPr>
            <w:tcW w:w="0" w:type="auto"/>
            <w:gridSpan w:val="3"/>
            <w:shd w:val="clear" w:color="auto" w:fill="auto"/>
            <w:vAlign w:val="bottom"/>
          </w:tcPr>
          <w:p w14:paraId="71D43862" w14:textId="77777777" w:rsidR="006A3667" w:rsidRDefault="006A3667">
            <w:pPr>
              <w:rPr>
                <w:rFonts w:ascii="宋体"/>
                <w:vanish/>
              </w:rPr>
            </w:pPr>
          </w:p>
        </w:tc>
        <w:tc>
          <w:tcPr>
            <w:tcW w:w="0" w:type="auto"/>
            <w:gridSpan w:val="3"/>
            <w:shd w:val="clear" w:color="auto" w:fill="auto"/>
            <w:vAlign w:val="bottom"/>
          </w:tcPr>
          <w:p w14:paraId="71D43863" w14:textId="77777777" w:rsidR="006A3667" w:rsidRDefault="006A3667">
            <w:pPr>
              <w:rPr>
                <w:rFonts w:ascii="宋体"/>
                <w:vanish/>
              </w:rPr>
            </w:pPr>
          </w:p>
        </w:tc>
        <w:tc>
          <w:tcPr>
            <w:tcW w:w="0" w:type="auto"/>
            <w:gridSpan w:val="3"/>
            <w:shd w:val="clear" w:color="auto" w:fill="auto"/>
            <w:vAlign w:val="bottom"/>
          </w:tcPr>
          <w:p w14:paraId="71D43864" w14:textId="77777777" w:rsidR="006A3667" w:rsidRDefault="006A3667">
            <w:pPr>
              <w:rPr>
                <w:rFonts w:ascii="宋体"/>
                <w:vanish/>
              </w:rPr>
            </w:pPr>
          </w:p>
        </w:tc>
        <w:tc>
          <w:tcPr>
            <w:tcW w:w="0" w:type="auto"/>
            <w:gridSpan w:val="3"/>
            <w:shd w:val="clear" w:color="auto" w:fill="auto"/>
            <w:vAlign w:val="bottom"/>
          </w:tcPr>
          <w:p w14:paraId="71D43865" w14:textId="77777777" w:rsidR="006A3667" w:rsidRDefault="006A3667">
            <w:pPr>
              <w:rPr>
                <w:rFonts w:ascii="宋体"/>
                <w:vanish/>
              </w:rPr>
            </w:pPr>
          </w:p>
        </w:tc>
        <w:tc>
          <w:tcPr>
            <w:tcW w:w="0" w:type="auto"/>
            <w:gridSpan w:val="3"/>
            <w:shd w:val="clear" w:color="auto" w:fill="auto"/>
            <w:vAlign w:val="bottom"/>
          </w:tcPr>
          <w:p w14:paraId="71D43866" w14:textId="77777777" w:rsidR="006A3667" w:rsidRDefault="006A3667">
            <w:pPr>
              <w:rPr>
                <w:rFonts w:ascii="宋体"/>
                <w:vanish/>
              </w:rPr>
            </w:pPr>
          </w:p>
        </w:tc>
        <w:tc>
          <w:tcPr>
            <w:tcW w:w="0" w:type="auto"/>
            <w:gridSpan w:val="3"/>
            <w:shd w:val="clear" w:color="auto" w:fill="auto"/>
            <w:vAlign w:val="bottom"/>
          </w:tcPr>
          <w:p w14:paraId="71D43867" w14:textId="77777777" w:rsidR="006A3667" w:rsidRDefault="006A3667">
            <w:pPr>
              <w:rPr>
                <w:rFonts w:ascii="宋体"/>
                <w:vanish/>
              </w:rPr>
            </w:pPr>
          </w:p>
        </w:tc>
        <w:tc>
          <w:tcPr>
            <w:tcW w:w="0" w:type="auto"/>
            <w:gridSpan w:val="3"/>
            <w:shd w:val="clear" w:color="auto" w:fill="auto"/>
            <w:vAlign w:val="bottom"/>
          </w:tcPr>
          <w:p w14:paraId="71D43868" w14:textId="77777777" w:rsidR="006A3667" w:rsidRDefault="006A3667">
            <w:pPr>
              <w:rPr>
                <w:rFonts w:ascii="宋体"/>
                <w:vanish/>
              </w:rPr>
            </w:pPr>
          </w:p>
        </w:tc>
        <w:tc>
          <w:tcPr>
            <w:tcW w:w="0" w:type="auto"/>
            <w:gridSpan w:val="3"/>
            <w:shd w:val="clear" w:color="auto" w:fill="auto"/>
            <w:vAlign w:val="bottom"/>
          </w:tcPr>
          <w:p w14:paraId="71D43869" w14:textId="77777777" w:rsidR="006A3667" w:rsidRDefault="006A3667">
            <w:pPr>
              <w:rPr>
                <w:rFonts w:ascii="宋体"/>
                <w:vanish/>
              </w:rPr>
            </w:pPr>
          </w:p>
        </w:tc>
      </w:tr>
      <w:tr w:rsidR="006A3667" w14:paraId="71D43875" w14:textId="77777777">
        <w:trPr>
          <w:hidden/>
        </w:trPr>
        <w:tc>
          <w:tcPr>
            <w:tcW w:w="0" w:type="auto"/>
            <w:gridSpan w:val="3"/>
            <w:shd w:val="clear" w:color="auto" w:fill="auto"/>
            <w:vAlign w:val="bottom"/>
          </w:tcPr>
          <w:p w14:paraId="71D4386B" w14:textId="77777777" w:rsidR="006A3667" w:rsidRDefault="006A3667">
            <w:pPr>
              <w:rPr>
                <w:rFonts w:ascii="宋体"/>
                <w:vanish/>
              </w:rPr>
            </w:pPr>
          </w:p>
        </w:tc>
        <w:tc>
          <w:tcPr>
            <w:tcW w:w="0" w:type="auto"/>
            <w:gridSpan w:val="3"/>
            <w:shd w:val="clear" w:color="auto" w:fill="auto"/>
            <w:vAlign w:val="bottom"/>
          </w:tcPr>
          <w:p w14:paraId="71D4386C" w14:textId="77777777" w:rsidR="006A3667" w:rsidRDefault="006A3667">
            <w:pPr>
              <w:rPr>
                <w:rFonts w:ascii="宋体"/>
                <w:vanish/>
              </w:rPr>
            </w:pPr>
          </w:p>
        </w:tc>
        <w:tc>
          <w:tcPr>
            <w:tcW w:w="0" w:type="auto"/>
            <w:gridSpan w:val="3"/>
            <w:shd w:val="clear" w:color="auto" w:fill="auto"/>
            <w:vAlign w:val="bottom"/>
          </w:tcPr>
          <w:p w14:paraId="71D4386D" w14:textId="77777777" w:rsidR="006A3667" w:rsidRDefault="006A3667">
            <w:pPr>
              <w:rPr>
                <w:rFonts w:ascii="宋体"/>
                <w:vanish/>
              </w:rPr>
            </w:pPr>
          </w:p>
        </w:tc>
        <w:tc>
          <w:tcPr>
            <w:tcW w:w="0" w:type="auto"/>
            <w:gridSpan w:val="3"/>
            <w:shd w:val="clear" w:color="auto" w:fill="auto"/>
            <w:vAlign w:val="bottom"/>
          </w:tcPr>
          <w:p w14:paraId="71D4386E" w14:textId="77777777" w:rsidR="006A3667" w:rsidRDefault="006A3667">
            <w:pPr>
              <w:rPr>
                <w:rFonts w:ascii="宋体"/>
                <w:vanish/>
              </w:rPr>
            </w:pPr>
          </w:p>
        </w:tc>
        <w:tc>
          <w:tcPr>
            <w:tcW w:w="0" w:type="auto"/>
            <w:gridSpan w:val="3"/>
            <w:shd w:val="clear" w:color="auto" w:fill="auto"/>
            <w:vAlign w:val="bottom"/>
          </w:tcPr>
          <w:p w14:paraId="71D4386F" w14:textId="77777777" w:rsidR="006A3667" w:rsidRDefault="006A3667">
            <w:pPr>
              <w:rPr>
                <w:rFonts w:ascii="宋体"/>
                <w:vanish/>
              </w:rPr>
            </w:pPr>
          </w:p>
        </w:tc>
        <w:tc>
          <w:tcPr>
            <w:tcW w:w="0" w:type="auto"/>
            <w:gridSpan w:val="3"/>
            <w:shd w:val="clear" w:color="auto" w:fill="auto"/>
            <w:vAlign w:val="bottom"/>
          </w:tcPr>
          <w:p w14:paraId="71D43870" w14:textId="77777777" w:rsidR="006A3667" w:rsidRDefault="006A3667">
            <w:pPr>
              <w:rPr>
                <w:rFonts w:ascii="宋体"/>
                <w:vanish/>
              </w:rPr>
            </w:pPr>
          </w:p>
        </w:tc>
        <w:tc>
          <w:tcPr>
            <w:tcW w:w="0" w:type="auto"/>
            <w:gridSpan w:val="3"/>
            <w:shd w:val="clear" w:color="auto" w:fill="auto"/>
            <w:vAlign w:val="bottom"/>
          </w:tcPr>
          <w:p w14:paraId="71D43871" w14:textId="77777777" w:rsidR="006A3667" w:rsidRDefault="006A3667">
            <w:pPr>
              <w:rPr>
                <w:rFonts w:ascii="宋体"/>
                <w:vanish/>
              </w:rPr>
            </w:pPr>
          </w:p>
        </w:tc>
        <w:tc>
          <w:tcPr>
            <w:tcW w:w="0" w:type="auto"/>
            <w:gridSpan w:val="3"/>
            <w:shd w:val="clear" w:color="auto" w:fill="auto"/>
            <w:vAlign w:val="bottom"/>
          </w:tcPr>
          <w:p w14:paraId="71D43872" w14:textId="77777777" w:rsidR="006A3667" w:rsidRDefault="006A3667">
            <w:pPr>
              <w:rPr>
                <w:rFonts w:ascii="宋体"/>
                <w:vanish/>
              </w:rPr>
            </w:pPr>
          </w:p>
        </w:tc>
        <w:tc>
          <w:tcPr>
            <w:tcW w:w="0" w:type="auto"/>
            <w:gridSpan w:val="3"/>
            <w:shd w:val="clear" w:color="auto" w:fill="auto"/>
            <w:vAlign w:val="bottom"/>
          </w:tcPr>
          <w:p w14:paraId="71D43873" w14:textId="77777777" w:rsidR="006A3667" w:rsidRDefault="006A3667">
            <w:pPr>
              <w:rPr>
                <w:rFonts w:ascii="宋体"/>
                <w:vanish/>
              </w:rPr>
            </w:pPr>
          </w:p>
        </w:tc>
        <w:tc>
          <w:tcPr>
            <w:tcW w:w="0" w:type="auto"/>
            <w:gridSpan w:val="3"/>
            <w:shd w:val="clear" w:color="auto" w:fill="auto"/>
            <w:vAlign w:val="bottom"/>
          </w:tcPr>
          <w:p w14:paraId="71D43874" w14:textId="77777777" w:rsidR="006A3667" w:rsidRDefault="006A3667">
            <w:pPr>
              <w:rPr>
                <w:rFonts w:ascii="宋体"/>
                <w:vanish/>
              </w:rPr>
            </w:pPr>
          </w:p>
        </w:tc>
      </w:tr>
      <w:tr w:rsidR="006A3667" w14:paraId="71D43884" w14:textId="77777777">
        <w:tc>
          <w:tcPr>
            <w:tcW w:w="0" w:type="auto"/>
            <w:gridSpan w:val="3"/>
            <w:shd w:val="clear" w:color="auto" w:fill="FFFFFF"/>
            <w:tcMar>
              <w:top w:w="40" w:type="dxa"/>
              <w:left w:w="740" w:type="dxa"/>
              <w:bottom w:w="40" w:type="dxa"/>
              <w:right w:w="20" w:type="dxa"/>
            </w:tcMar>
            <w:vAlign w:val="bottom"/>
          </w:tcPr>
          <w:p w14:paraId="71D43876" w14:textId="77777777" w:rsidR="006A3667" w:rsidRDefault="00045F32">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877" w14:textId="77777777" w:rsidR="006A3667" w:rsidRDefault="00045F32">
            <w:pPr>
              <w:jc w:val="right"/>
              <w:textAlignment w:val="bottom"/>
            </w:pPr>
            <w:r>
              <w:rPr>
                <w:rFonts w:ascii="Arial" w:eastAsia="宋体" w:hAnsi="Arial" w:cs="Arial"/>
                <w:color w:val="000000"/>
                <w:sz w:val="14"/>
                <w:szCs w:val="14"/>
              </w:rPr>
              <w:t>17,939 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87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7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87A" w14:textId="77777777" w:rsidR="006A3667" w:rsidRDefault="00045F32">
            <w:pPr>
              <w:jc w:val="right"/>
              <w:textAlignment w:val="bottom"/>
            </w:pPr>
            <w:r>
              <w:rPr>
                <w:rFonts w:ascii="Arial" w:eastAsia="宋体" w:hAnsi="Arial" w:cs="Arial"/>
                <w:color w:val="000000"/>
                <w:sz w:val="14"/>
                <w:szCs w:val="14"/>
              </w:rPr>
              <w:t>55,460 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87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7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87D"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8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7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8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8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882" w14:textId="77777777" w:rsidR="006A3667" w:rsidRDefault="00045F32">
            <w:pPr>
              <w:jc w:val="right"/>
              <w:textAlignment w:val="bottom"/>
            </w:pPr>
            <w:r>
              <w:rPr>
                <w:rFonts w:ascii="Arial" w:eastAsia="宋体" w:hAnsi="Arial" w:cs="Arial"/>
                <w:color w:val="000000"/>
                <w:sz w:val="14"/>
                <w:szCs w:val="14"/>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883" w14:textId="77777777" w:rsidR="006A3667" w:rsidRDefault="006A3667">
            <w:pPr>
              <w:jc w:val="right"/>
              <w:rPr>
                <w:rFonts w:ascii="宋体"/>
              </w:rPr>
            </w:pPr>
          </w:p>
        </w:tc>
      </w:tr>
      <w:tr w:rsidR="006A3667" w14:paraId="71D4388F" w14:textId="77777777">
        <w:tc>
          <w:tcPr>
            <w:tcW w:w="0" w:type="auto"/>
            <w:gridSpan w:val="3"/>
            <w:shd w:val="clear" w:color="auto" w:fill="CCEEFF"/>
            <w:tcMar>
              <w:top w:w="40" w:type="dxa"/>
              <w:left w:w="20" w:type="dxa"/>
              <w:bottom w:w="40" w:type="dxa"/>
              <w:right w:w="20" w:type="dxa"/>
            </w:tcMar>
            <w:vAlign w:val="bottom"/>
          </w:tcPr>
          <w:p w14:paraId="71D43885" w14:textId="77777777" w:rsidR="006A3667" w:rsidRDefault="00045F32">
            <w:pPr>
              <w:textAlignment w:val="bottom"/>
            </w:pPr>
            <w:r>
              <w:rPr>
                <w:rFonts w:ascii="Arial" w:eastAsia="宋体" w:hAnsi="Arial" w:cs="Arial"/>
                <w:color w:val="000000"/>
                <w:sz w:val="15"/>
                <w:szCs w:val="15"/>
              </w:rPr>
              <w:t>Other 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88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887"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88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889"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88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88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88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88D"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388E" w14:textId="77777777" w:rsidR="006A3667" w:rsidRDefault="006A3667">
            <w:pPr>
              <w:rPr>
                <w:rFonts w:ascii="宋体"/>
              </w:rPr>
            </w:pPr>
          </w:p>
        </w:tc>
      </w:tr>
      <w:tr w:rsidR="006A3667" w14:paraId="71D4389A" w14:textId="77777777">
        <w:tc>
          <w:tcPr>
            <w:tcW w:w="0" w:type="auto"/>
            <w:gridSpan w:val="3"/>
            <w:shd w:val="clear" w:color="auto" w:fill="FFFFFF"/>
            <w:tcMar>
              <w:top w:w="40" w:type="dxa"/>
              <w:left w:w="245" w:type="dxa"/>
              <w:bottom w:w="40" w:type="dxa"/>
              <w:right w:w="20" w:type="dxa"/>
            </w:tcMar>
            <w:vAlign w:val="bottom"/>
          </w:tcPr>
          <w:p w14:paraId="71D43890" w14:textId="77777777" w:rsidR="006A3667" w:rsidRDefault="00045F32">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71D4389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9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9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9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9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9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9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9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99" w14:textId="77777777" w:rsidR="006A3667" w:rsidRDefault="006A3667">
            <w:pPr>
              <w:rPr>
                <w:rFonts w:ascii="宋体"/>
              </w:rPr>
            </w:pPr>
          </w:p>
        </w:tc>
      </w:tr>
      <w:tr w:rsidR="006A3667" w14:paraId="71D438AB" w14:textId="77777777">
        <w:tc>
          <w:tcPr>
            <w:tcW w:w="0" w:type="auto"/>
            <w:gridSpan w:val="3"/>
            <w:shd w:val="clear" w:color="auto" w:fill="CCEEFF"/>
            <w:tcMar>
              <w:top w:w="40" w:type="dxa"/>
              <w:left w:w="515" w:type="dxa"/>
              <w:bottom w:w="40" w:type="dxa"/>
              <w:right w:w="20" w:type="dxa"/>
            </w:tcMar>
            <w:vAlign w:val="bottom"/>
          </w:tcPr>
          <w:p w14:paraId="71D4389B" w14:textId="77777777" w:rsidR="006A3667" w:rsidRDefault="00045F32">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71D4389C"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389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9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89F" w14:textId="77777777" w:rsidR="006A3667" w:rsidRDefault="00045F32">
            <w:pPr>
              <w:jc w:val="right"/>
              <w:textAlignment w:val="bottom"/>
            </w:pPr>
            <w:r>
              <w:rPr>
                <w:rFonts w:ascii="Arial" w:eastAsia="宋体" w:hAnsi="Arial" w:cs="Arial"/>
                <w:color w:val="000000"/>
                <w:sz w:val="14"/>
                <w:szCs w:val="14"/>
              </w:rPr>
              <w:t>15,183 </w:t>
            </w:r>
          </w:p>
        </w:tc>
        <w:tc>
          <w:tcPr>
            <w:tcW w:w="0" w:type="auto"/>
            <w:shd w:val="clear" w:color="auto" w:fill="CCEEFF"/>
            <w:tcMar>
              <w:top w:w="40" w:type="dxa"/>
              <w:left w:w="0" w:type="dxa"/>
              <w:bottom w:w="40" w:type="dxa"/>
              <w:right w:w="20" w:type="dxa"/>
            </w:tcMar>
            <w:vAlign w:val="bottom"/>
          </w:tcPr>
          <w:p w14:paraId="71D438A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A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8A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8A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A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38A5"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38A6" w14:textId="77777777" w:rsidR="006A3667" w:rsidRDefault="00045F32">
            <w:pPr>
              <w:jc w:val="right"/>
              <w:textAlignment w:val="bottom"/>
            </w:pPr>
            <w:r>
              <w:rPr>
                <w:rFonts w:ascii="Arial" w:eastAsia="宋体" w:hAnsi="Arial" w:cs="Arial"/>
                <w:color w:val="000000"/>
                <w:sz w:val="14"/>
                <w:szCs w:val="14"/>
              </w:rPr>
              <w:t>(11,079)</w:t>
            </w:r>
          </w:p>
        </w:tc>
        <w:tc>
          <w:tcPr>
            <w:tcW w:w="0" w:type="auto"/>
            <w:shd w:val="clear" w:color="auto" w:fill="CCEEFF"/>
            <w:tcMar>
              <w:top w:w="40" w:type="dxa"/>
              <w:left w:w="0" w:type="dxa"/>
              <w:bottom w:w="40" w:type="dxa"/>
              <w:right w:w="20" w:type="dxa"/>
            </w:tcMar>
            <w:vAlign w:val="bottom"/>
          </w:tcPr>
          <w:p w14:paraId="71D438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8A9" w14:textId="77777777" w:rsidR="006A3667" w:rsidRDefault="00045F32">
            <w:pPr>
              <w:jc w:val="right"/>
              <w:textAlignment w:val="bottom"/>
            </w:pPr>
            <w:r>
              <w:rPr>
                <w:rFonts w:ascii="Arial" w:eastAsia="宋体" w:hAnsi="Arial" w:cs="Arial"/>
                <w:color w:val="000000"/>
                <w:sz w:val="14"/>
                <w:szCs w:val="14"/>
              </w:rPr>
              <w:t>4,106 </w:t>
            </w:r>
          </w:p>
        </w:tc>
        <w:tc>
          <w:tcPr>
            <w:tcW w:w="0" w:type="auto"/>
            <w:shd w:val="clear" w:color="auto" w:fill="CCEEFF"/>
            <w:tcMar>
              <w:top w:w="40" w:type="dxa"/>
              <w:left w:w="0" w:type="dxa"/>
              <w:bottom w:w="40" w:type="dxa"/>
              <w:right w:w="20" w:type="dxa"/>
            </w:tcMar>
            <w:vAlign w:val="bottom"/>
          </w:tcPr>
          <w:p w14:paraId="71D438AA" w14:textId="77777777" w:rsidR="006A3667" w:rsidRDefault="006A3667">
            <w:pPr>
              <w:jc w:val="right"/>
              <w:rPr>
                <w:rFonts w:ascii="宋体"/>
              </w:rPr>
            </w:pPr>
          </w:p>
        </w:tc>
      </w:tr>
      <w:tr w:rsidR="006A3667" w14:paraId="71D438BB" w14:textId="77777777">
        <w:tc>
          <w:tcPr>
            <w:tcW w:w="0" w:type="auto"/>
            <w:gridSpan w:val="3"/>
            <w:shd w:val="clear" w:color="auto" w:fill="FFFFFF"/>
            <w:tcMar>
              <w:top w:w="40" w:type="dxa"/>
              <w:left w:w="515" w:type="dxa"/>
              <w:bottom w:w="40" w:type="dxa"/>
              <w:right w:w="20" w:type="dxa"/>
            </w:tcMar>
            <w:vAlign w:val="bottom"/>
          </w:tcPr>
          <w:p w14:paraId="71D438AC" w14:textId="77777777" w:rsidR="006A3667" w:rsidRDefault="00045F32">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71D438AD"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1D438A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A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B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8B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B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B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8B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B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B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8B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B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B9"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1D438BA" w14:textId="77777777" w:rsidR="006A3667" w:rsidRDefault="006A3667">
            <w:pPr>
              <w:jc w:val="right"/>
              <w:rPr>
                <w:rFonts w:ascii="宋体"/>
              </w:rPr>
            </w:pPr>
          </w:p>
        </w:tc>
      </w:tr>
      <w:tr w:rsidR="006A3667" w14:paraId="71D438C6" w14:textId="77777777">
        <w:trPr>
          <w:hidden/>
        </w:trPr>
        <w:tc>
          <w:tcPr>
            <w:tcW w:w="0" w:type="auto"/>
            <w:gridSpan w:val="3"/>
            <w:shd w:val="clear" w:color="auto" w:fill="auto"/>
            <w:vAlign w:val="bottom"/>
          </w:tcPr>
          <w:p w14:paraId="71D438BC" w14:textId="77777777" w:rsidR="006A3667" w:rsidRDefault="006A3667">
            <w:pPr>
              <w:rPr>
                <w:rFonts w:ascii="宋体"/>
                <w:vanish/>
              </w:rPr>
            </w:pPr>
          </w:p>
        </w:tc>
        <w:tc>
          <w:tcPr>
            <w:tcW w:w="0" w:type="auto"/>
            <w:gridSpan w:val="3"/>
            <w:shd w:val="clear" w:color="auto" w:fill="auto"/>
            <w:vAlign w:val="bottom"/>
          </w:tcPr>
          <w:p w14:paraId="71D438BD" w14:textId="77777777" w:rsidR="006A3667" w:rsidRDefault="006A3667">
            <w:pPr>
              <w:rPr>
                <w:rFonts w:ascii="宋体"/>
                <w:vanish/>
              </w:rPr>
            </w:pPr>
          </w:p>
        </w:tc>
        <w:tc>
          <w:tcPr>
            <w:tcW w:w="0" w:type="auto"/>
            <w:gridSpan w:val="3"/>
            <w:shd w:val="clear" w:color="auto" w:fill="auto"/>
            <w:vAlign w:val="bottom"/>
          </w:tcPr>
          <w:p w14:paraId="71D438BE" w14:textId="77777777" w:rsidR="006A3667" w:rsidRDefault="006A3667">
            <w:pPr>
              <w:rPr>
                <w:rFonts w:ascii="宋体"/>
                <w:vanish/>
              </w:rPr>
            </w:pPr>
          </w:p>
        </w:tc>
        <w:tc>
          <w:tcPr>
            <w:tcW w:w="0" w:type="auto"/>
            <w:gridSpan w:val="3"/>
            <w:shd w:val="clear" w:color="auto" w:fill="auto"/>
            <w:vAlign w:val="bottom"/>
          </w:tcPr>
          <w:p w14:paraId="71D438BF" w14:textId="77777777" w:rsidR="006A3667" w:rsidRDefault="006A3667">
            <w:pPr>
              <w:rPr>
                <w:rFonts w:ascii="宋体"/>
                <w:vanish/>
              </w:rPr>
            </w:pPr>
          </w:p>
        </w:tc>
        <w:tc>
          <w:tcPr>
            <w:tcW w:w="0" w:type="auto"/>
            <w:gridSpan w:val="3"/>
            <w:shd w:val="clear" w:color="auto" w:fill="auto"/>
            <w:vAlign w:val="bottom"/>
          </w:tcPr>
          <w:p w14:paraId="71D438C0" w14:textId="77777777" w:rsidR="006A3667" w:rsidRDefault="006A3667">
            <w:pPr>
              <w:rPr>
                <w:rFonts w:ascii="宋体"/>
                <w:vanish/>
              </w:rPr>
            </w:pPr>
          </w:p>
        </w:tc>
        <w:tc>
          <w:tcPr>
            <w:tcW w:w="0" w:type="auto"/>
            <w:gridSpan w:val="3"/>
            <w:shd w:val="clear" w:color="auto" w:fill="auto"/>
            <w:vAlign w:val="bottom"/>
          </w:tcPr>
          <w:p w14:paraId="71D438C1" w14:textId="77777777" w:rsidR="006A3667" w:rsidRDefault="006A3667">
            <w:pPr>
              <w:rPr>
                <w:rFonts w:ascii="宋体"/>
                <w:vanish/>
              </w:rPr>
            </w:pPr>
          </w:p>
        </w:tc>
        <w:tc>
          <w:tcPr>
            <w:tcW w:w="0" w:type="auto"/>
            <w:gridSpan w:val="3"/>
            <w:shd w:val="clear" w:color="auto" w:fill="auto"/>
            <w:vAlign w:val="bottom"/>
          </w:tcPr>
          <w:p w14:paraId="71D438C2" w14:textId="77777777" w:rsidR="006A3667" w:rsidRDefault="006A3667">
            <w:pPr>
              <w:rPr>
                <w:rFonts w:ascii="宋体"/>
                <w:vanish/>
              </w:rPr>
            </w:pPr>
          </w:p>
        </w:tc>
        <w:tc>
          <w:tcPr>
            <w:tcW w:w="0" w:type="auto"/>
            <w:gridSpan w:val="3"/>
            <w:shd w:val="clear" w:color="auto" w:fill="auto"/>
            <w:vAlign w:val="bottom"/>
          </w:tcPr>
          <w:p w14:paraId="71D438C3" w14:textId="77777777" w:rsidR="006A3667" w:rsidRDefault="006A3667">
            <w:pPr>
              <w:rPr>
                <w:rFonts w:ascii="宋体"/>
                <w:vanish/>
              </w:rPr>
            </w:pPr>
          </w:p>
        </w:tc>
        <w:tc>
          <w:tcPr>
            <w:tcW w:w="0" w:type="auto"/>
            <w:gridSpan w:val="3"/>
            <w:shd w:val="clear" w:color="auto" w:fill="auto"/>
            <w:vAlign w:val="bottom"/>
          </w:tcPr>
          <w:p w14:paraId="71D438C4" w14:textId="77777777" w:rsidR="006A3667" w:rsidRDefault="006A3667">
            <w:pPr>
              <w:rPr>
                <w:rFonts w:ascii="宋体"/>
                <w:vanish/>
              </w:rPr>
            </w:pPr>
          </w:p>
        </w:tc>
        <w:tc>
          <w:tcPr>
            <w:tcW w:w="0" w:type="auto"/>
            <w:gridSpan w:val="3"/>
            <w:shd w:val="clear" w:color="auto" w:fill="auto"/>
            <w:vAlign w:val="bottom"/>
          </w:tcPr>
          <w:p w14:paraId="71D438C5" w14:textId="77777777" w:rsidR="006A3667" w:rsidRDefault="006A3667">
            <w:pPr>
              <w:rPr>
                <w:rFonts w:ascii="宋体"/>
                <w:vanish/>
              </w:rPr>
            </w:pPr>
          </w:p>
        </w:tc>
      </w:tr>
      <w:tr w:rsidR="006A3667" w14:paraId="71D438D6" w14:textId="77777777">
        <w:tc>
          <w:tcPr>
            <w:tcW w:w="0" w:type="auto"/>
            <w:gridSpan w:val="3"/>
            <w:shd w:val="clear" w:color="auto" w:fill="CCEEFF"/>
            <w:tcMar>
              <w:top w:w="40" w:type="dxa"/>
              <w:left w:w="740" w:type="dxa"/>
              <w:bottom w:w="40" w:type="dxa"/>
              <w:right w:w="20" w:type="dxa"/>
            </w:tcMar>
            <w:vAlign w:val="bottom"/>
          </w:tcPr>
          <w:p w14:paraId="71D438C7" w14:textId="77777777" w:rsidR="006A3667" w:rsidRDefault="00045F32">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8C8" w14:textId="77777777" w:rsidR="006A3667" w:rsidRDefault="00045F32">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C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C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8CB" w14:textId="77777777" w:rsidR="006A3667" w:rsidRDefault="00045F32">
            <w:pPr>
              <w:jc w:val="right"/>
              <w:textAlignment w:val="bottom"/>
            </w:pPr>
            <w:r>
              <w:rPr>
                <w:rFonts w:ascii="Arial" w:eastAsia="宋体" w:hAnsi="Arial" w:cs="Arial"/>
                <w:color w:val="000000"/>
                <w:sz w:val="14"/>
                <w:szCs w:val="14"/>
              </w:rPr>
              <w:t>15,183 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C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C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8CE"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C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D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8D1" w14:textId="77777777" w:rsidR="006A3667" w:rsidRDefault="00045F32">
            <w:pPr>
              <w:jc w:val="right"/>
              <w:textAlignment w:val="bottom"/>
            </w:pPr>
            <w:r>
              <w:rPr>
                <w:rFonts w:ascii="Arial" w:eastAsia="宋体" w:hAnsi="Arial" w:cs="Arial"/>
                <w:color w:val="000000"/>
                <w:sz w:val="14"/>
                <w:szCs w:val="14"/>
              </w:rPr>
              <w:t>(11,079)</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D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D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38D4" w14:textId="77777777" w:rsidR="006A3667" w:rsidRDefault="00045F32">
            <w:pPr>
              <w:jc w:val="right"/>
              <w:textAlignment w:val="bottom"/>
            </w:pPr>
            <w:r>
              <w:rPr>
                <w:rFonts w:ascii="Arial" w:eastAsia="宋体" w:hAnsi="Arial" w:cs="Arial"/>
                <w:color w:val="000000"/>
                <w:sz w:val="14"/>
                <w:szCs w:val="14"/>
              </w:rPr>
              <w:t>4,108 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D5" w14:textId="77777777" w:rsidR="006A3667" w:rsidRDefault="006A3667">
            <w:pPr>
              <w:jc w:val="right"/>
              <w:rPr>
                <w:rFonts w:ascii="宋体"/>
              </w:rPr>
            </w:pPr>
          </w:p>
        </w:tc>
      </w:tr>
      <w:tr w:rsidR="006A3667" w14:paraId="71D438E6" w14:textId="77777777">
        <w:tc>
          <w:tcPr>
            <w:tcW w:w="0" w:type="auto"/>
            <w:gridSpan w:val="3"/>
            <w:shd w:val="clear" w:color="auto" w:fill="FFFFFF"/>
            <w:tcMar>
              <w:top w:w="40" w:type="dxa"/>
              <w:left w:w="245" w:type="dxa"/>
              <w:bottom w:w="40" w:type="dxa"/>
              <w:right w:w="20" w:type="dxa"/>
            </w:tcMar>
            <w:vAlign w:val="bottom"/>
          </w:tcPr>
          <w:p w14:paraId="71D438D7" w14:textId="77777777" w:rsidR="006A3667" w:rsidRDefault="00045F32">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1D438D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8D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D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DB" w14:textId="77777777" w:rsidR="006A3667" w:rsidRDefault="00045F32">
            <w:pPr>
              <w:jc w:val="right"/>
              <w:textAlignment w:val="bottom"/>
            </w:pPr>
            <w:r>
              <w:rPr>
                <w:rFonts w:ascii="Arial" w:eastAsia="宋体" w:hAnsi="Arial" w:cs="Arial"/>
                <w:color w:val="000000"/>
                <w:sz w:val="14"/>
                <w:szCs w:val="14"/>
              </w:rPr>
              <w:t>667 </w:t>
            </w:r>
          </w:p>
        </w:tc>
        <w:tc>
          <w:tcPr>
            <w:tcW w:w="0" w:type="auto"/>
            <w:shd w:val="clear" w:color="auto" w:fill="FFFFFF"/>
            <w:tcMar>
              <w:top w:w="40" w:type="dxa"/>
              <w:left w:w="0" w:type="dxa"/>
              <w:bottom w:w="40" w:type="dxa"/>
              <w:right w:w="20" w:type="dxa"/>
            </w:tcMar>
            <w:vAlign w:val="bottom"/>
          </w:tcPr>
          <w:p w14:paraId="71D438D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D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D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8D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E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E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8E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8E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8E4" w14:textId="77777777" w:rsidR="006A3667" w:rsidRDefault="00045F32">
            <w:pPr>
              <w:jc w:val="right"/>
              <w:textAlignment w:val="bottom"/>
            </w:pPr>
            <w:r>
              <w:rPr>
                <w:rFonts w:ascii="Arial" w:eastAsia="宋体" w:hAnsi="Arial" w:cs="Arial"/>
                <w:color w:val="000000"/>
                <w:sz w:val="14"/>
                <w:szCs w:val="14"/>
              </w:rPr>
              <w:t>667 </w:t>
            </w:r>
          </w:p>
        </w:tc>
        <w:tc>
          <w:tcPr>
            <w:tcW w:w="0" w:type="auto"/>
            <w:shd w:val="clear" w:color="auto" w:fill="FFFFFF"/>
            <w:tcMar>
              <w:top w:w="40" w:type="dxa"/>
              <w:left w:w="0" w:type="dxa"/>
              <w:bottom w:w="40" w:type="dxa"/>
              <w:right w:w="20" w:type="dxa"/>
            </w:tcMar>
            <w:vAlign w:val="bottom"/>
          </w:tcPr>
          <w:p w14:paraId="71D438E5" w14:textId="77777777" w:rsidR="006A3667" w:rsidRDefault="006A3667">
            <w:pPr>
              <w:jc w:val="right"/>
              <w:rPr>
                <w:rFonts w:ascii="宋体"/>
              </w:rPr>
            </w:pPr>
          </w:p>
        </w:tc>
      </w:tr>
      <w:tr w:rsidR="006A3667" w14:paraId="71D438FB" w14:textId="77777777">
        <w:tc>
          <w:tcPr>
            <w:tcW w:w="0" w:type="auto"/>
            <w:gridSpan w:val="3"/>
            <w:shd w:val="clear" w:color="auto" w:fill="CCEEFF"/>
            <w:tcMar>
              <w:top w:w="40" w:type="dxa"/>
              <w:left w:w="245" w:type="dxa"/>
              <w:bottom w:w="40" w:type="dxa"/>
              <w:right w:w="20" w:type="dxa"/>
            </w:tcMar>
            <w:vAlign w:val="bottom"/>
          </w:tcPr>
          <w:p w14:paraId="71D438E7" w14:textId="77777777" w:rsidR="006A3667" w:rsidRDefault="00045F32">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38E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8E9" w14:textId="77777777" w:rsidR="006A3667" w:rsidRDefault="00045F32">
            <w:pPr>
              <w:jc w:val="right"/>
              <w:textAlignment w:val="bottom"/>
            </w:pPr>
            <w:r>
              <w:rPr>
                <w:rFonts w:ascii="Arial" w:eastAsia="宋体" w:hAnsi="Arial" w:cs="Arial"/>
                <w:color w:val="000000"/>
                <w:sz w:val="14"/>
                <w:szCs w:val="14"/>
              </w:rPr>
              <w:t>17,982 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E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8E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8ED" w14:textId="77777777" w:rsidR="006A3667" w:rsidRDefault="00045F32">
            <w:pPr>
              <w:jc w:val="right"/>
              <w:textAlignment w:val="bottom"/>
            </w:pPr>
            <w:r>
              <w:rPr>
                <w:rFonts w:ascii="Arial" w:eastAsia="宋体" w:hAnsi="Arial" w:cs="Arial"/>
                <w:color w:val="000000"/>
                <w:sz w:val="14"/>
                <w:szCs w:val="14"/>
              </w:rPr>
              <w:t>72,029 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E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8F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8F1"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F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8F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8F5" w14:textId="77777777" w:rsidR="006A3667" w:rsidRDefault="00045F32">
            <w:pPr>
              <w:jc w:val="right"/>
              <w:textAlignment w:val="bottom"/>
            </w:pPr>
            <w:r>
              <w:rPr>
                <w:rFonts w:ascii="Arial" w:eastAsia="宋体" w:hAnsi="Arial" w:cs="Arial"/>
                <w:color w:val="000000"/>
                <w:sz w:val="14"/>
                <w:szCs w:val="14"/>
              </w:rPr>
              <w:t>(11,079)</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8F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38F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38F9" w14:textId="77777777" w:rsidR="006A3667" w:rsidRDefault="00045F32">
            <w:pPr>
              <w:jc w:val="right"/>
              <w:textAlignment w:val="bottom"/>
            </w:pPr>
            <w:r>
              <w:rPr>
                <w:rFonts w:ascii="Arial" w:eastAsia="宋体" w:hAnsi="Arial" w:cs="Arial"/>
                <w:color w:val="000000"/>
                <w:sz w:val="14"/>
                <w:szCs w:val="14"/>
              </w:rPr>
              <w:t>78,932 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38FA" w14:textId="77777777" w:rsidR="006A3667" w:rsidRDefault="006A3667">
            <w:pPr>
              <w:jc w:val="right"/>
              <w:rPr>
                <w:rFonts w:ascii="宋体"/>
              </w:rPr>
            </w:pPr>
          </w:p>
        </w:tc>
      </w:tr>
      <w:tr w:rsidR="006A3667" w14:paraId="71D43906" w14:textId="77777777">
        <w:tc>
          <w:tcPr>
            <w:tcW w:w="0" w:type="auto"/>
            <w:gridSpan w:val="3"/>
            <w:shd w:val="clear" w:color="auto" w:fill="FFFFFF"/>
            <w:tcMar>
              <w:top w:w="40" w:type="dxa"/>
              <w:left w:w="20" w:type="dxa"/>
              <w:bottom w:w="40" w:type="dxa"/>
              <w:right w:w="20" w:type="dxa"/>
            </w:tcMar>
            <w:vAlign w:val="bottom"/>
          </w:tcPr>
          <w:p w14:paraId="71D438FC" w14:textId="77777777" w:rsidR="006A3667" w:rsidRDefault="00045F32">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8F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8F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8F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0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90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02"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90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0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3905" w14:textId="77777777" w:rsidR="006A3667" w:rsidRDefault="006A3667">
            <w:pPr>
              <w:rPr>
                <w:rFonts w:ascii="宋体"/>
              </w:rPr>
            </w:pPr>
          </w:p>
        </w:tc>
      </w:tr>
      <w:tr w:rsidR="006A3667" w14:paraId="71D43911" w14:textId="77777777">
        <w:tc>
          <w:tcPr>
            <w:tcW w:w="0" w:type="auto"/>
            <w:gridSpan w:val="3"/>
            <w:shd w:val="clear" w:color="auto" w:fill="CCEEFF"/>
            <w:tcMar>
              <w:top w:w="40" w:type="dxa"/>
              <w:left w:w="20" w:type="dxa"/>
              <w:bottom w:w="40" w:type="dxa"/>
              <w:right w:w="20" w:type="dxa"/>
            </w:tcMar>
            <w:vAlign w:val="bottom"/>
          </w:tcPr>
          <w:p w14:paraId="71D43907" w14:textId="77777777" w:rsidR="006A3667" w:rsidRDefault="00045F32">
            <w:pPr>
              <w:textAlignment w:val="bottom"/>
            </w:pPr>
            <w:r>
              <w:rPr>
                <w:rFonts w:ascii="Arial" w:eastAsia="宋体" w:hAnsi="Arial" w:cs="Arial"/>
                <w:color w:val="000000"/>
                <w:sz w:val="15"/>
                <w:szCs w:val="15"/>
              </w:rPr>
              <w:t xml:space="preserve">Accrued expenses and </w:t>
            </w:r>
            <w:r>
              <w:rPr>
                <w:rFonts w:ascii="Arial" w:eastAsia="宋体" w:hAnsi="Arial" w:cs="Arial"/>
                <w:color w:val="000000"/>
                <w:sz w:val="15"/>
                <w:szCs w:val="15"/>
              </w:rPr>
              <w:t>other liabilities:</w:t>
            </w:r>
          </w:p>
        </w:tc>
        <w:tc>
          <w:tcPr>
            <w:tcW w:w="0" w:type="auto"/>
            <w:gridSpan w:val="3"/>
            <w:shd w:val="clear" w:color="auto" w:fill="CCEEFF"/>
            <w:tcMar>
              <w:top w:w="0" w:type="dxa"/>
              <w:left w:w="20" w:type="dxa"/>
              <w:bottom w:w="0" w:type="dxa"/>
              <w:right w:w="20" w:type="dxa"/>
            </w:tcMar>
            <w:vAlign w:val="bottom"/>
          </w:tcPr>
          <w:p w14:paraId="71D4390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0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0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0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0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0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0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0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10" w14:textId="77777777" w:rsidR="006A3667" w:rsidRDefault="006A3667">
            <w:pPr>
              <w:rPr>
                <w:rFonts w:ascii="宋体"/>
              </w:rPr>
            </w:pPr>
          </w:p>
        </w:tc>
      </w:tr>
      <w:tr w:rsidR="006A3667" w14:paraId="71D4391C" w14:textId="77777777">
        <w:tc>
          <w:tcPr>
            <w:tcW w:w="0" w:type="auto"/>
            <w:gridSpan w:val="3"/>
            <w:shd w:val="clear" w:color="auto" w:fill="FFFFFF"/>
            <w:tcMar>
              <w:top w:w="40" w:type="dxa"/>
              <w:left w:w="245" w:type="dxa"/>
              <w:bottom w:w="40" w:type="dxa"/>
              <w:right w:w="20" w:type="dxa"/>
            </w:tcMar>
            <w:vAlign w:val="bottom"/>
          </w:tcPr>
          <w:p w14:paraId="71D43912" w14:textId="77777777" w:rsidR="006A3667" w:rsidRDefault="00045F32">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vAlign w:val="bottom"/>
          </w:tcPr>
          <w:p w14:paraId="71D4391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1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1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1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1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1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1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1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91B" w14:textId="77777777" w:rsidR="006A3667" w:rsidRDefault="006A3667">
            <w:pPr>
              <w:rPr>
                <w:rFonts w:ascii="宋体"/>
              </w:rPr>
            </w:pPr>
          </w:p>
        </w:tc>
      </w:tr>
      <w:tr w:rsidR="006A3667" w14:paraId="71D43927" w14:textId="77777777">
        <w:trPr>
          <w:hidden/>
        </w:trPr>
        <w:tc>
          <w:tcPr>
            <w:tcW w:w="0" w:type="auto"/>
            <w:gridSpan w:val="3"/>
            <w:shd w:val="clear" w:color="auto" w:fill="auto"/>
            <w:vAlign w:val="bottom"/>
          </w:tcPr>
          <w:p w14:paraId="71D4391D" w14:textId="77777777" w:rsidR="006A3667" w:rsidRDefault="006A3667">
            <w:pPr>
              <w:rPr>
                <w:rFonts w:ascii="宋体"/>
                <w:vanish/>
              </w:rPr>
            </w:pPr>
          </w:p>
        </w:tc>
        <w:tc>
          <w:tcPr>
            <w:tcW w:w="0" w:type="auto"/>
            <w:gridSpan w:val="3"/>
            <w:shd w:val="clear" w:color="auto" w:fill="auto"/>
            <w:vAlign w:val="bottom"/>
          </w:tcPr>
          <w:p w14:paraId="71D4391E" w14:textId="77777777" w:rsidR="006A3667" w:rsidRDefault="006A3667">
            <w:pPr>
              <w:rPr>
                <w:rFonts w:ascii="宋体"/>
                <w:vanish/>
              </w:rPr>
            </w:pPr>
          </w:p>
        </w:tc>
        <w:tc>
          <w:tcPr>
            <w:tcW w:w="0" w:type="auto"/>
            <w:gridSpan w:val="3"/>
            <w:shd w:val="clear" w:color="auto" w:fill="auto"/>
            <w:vAlign w:val="bottom"/>
          </w:tcPr>
          <w:p w14:paraId="71D4391F" w14:textId="77777777" w:rsidR="006A3667" w:rsidRDefault="006A3667">
            <w:pPr>
              <w:rPr>
                <w:rFonts w:ascii="宋体"/>
                <w:vanish/>
              </w:rPr>
            </w:pPr>
          </w:p>
        </w:tc>
        <w:tc>
          <w:tcPr>
            <w:tcW w:w="0" w:type="auto"/>
            <w:gridSpan w:val="3"/>
            <w:shd w:val="clear" w:color="auto" w:fill="auto"/>
            <w:vAlign w:val="bottom"/>
          </w:tcPr>
          <w:p w14:paraId="71D43920" w14:textId="77777777" w:rsidR="006A3667" w:rsidRDefault="006A3667">
            <w:pPr>
              <w:rPr>
                <w:rFonts w:ascii="宋体"/>
                <w:vanish/>
              </w:rPr>
            </w:pPr>
          </w:p>
        </w:tc>
        <w:tc>
          <w:tcPr>
            <w:tcW w:w="0" w:type="auto"/>
            <w:gridSpan w:val="3"/>
            <w:shd w:val="clear" w:color="auto" w:fill="auto"/>
            <w:vAlign w:val="bottom"/>
          </w:tcPr>
          <w:p w14:paraId="71D43921" w14:textId="77777777" w:rsidR="006A3667" w:rsidRDefault="006A3667">
            <w:pPr>
              <w:rPr>
                <w:rFonts w:ascii="宋体"/>
                <w:vanish/>
              </w:rPr>
            </w:pPr>
          </w:p>
        </w:tc>
        <w:tc>
          <w:tcPr>
            <w:tcW w:w="0" w:type="auto"/>
            <w:gridSpan w:val="3"/>
            <w:shd w:val="clear" w:color="auto" w:fill="auto"/>
            <w:vAlign w:val="bottom"/>
          </w:tcPr>
          <w:p w14:paraId="71D43922" w14:textId="77777777" w:rsidR="006A3667" w:rsidRDefault="006A3667">
            <w:pPr>
              <w:rPr>
                <w:rFonts w:ascii="宋体"/>
                <w:vanish/>
              </w:rPr>
            </w:pPr>
          </w:p>
        </w:tc>
        <w:tc>
          <w:tcPr>
            <w:tcW w:w="0" w:type="auto"/>
            <w:gridSpan w:val="3"/>
            <w:shd w:val="clear" w:color="auto" w:fill="auto"/>
            <w:vAlign w:val="bottom"/>
          </w:tcPr>
          <w:p w14:paraId="71D43923" w14:textId="77777777" w:rsidR="006A3667" w:rsidRDefault="006A3667">
            <w:pPr>
              <w:rPr>
                <w:rFonts w:ascii="宋体"/>
                <w:vanish/>
              </w:rPr>
            </w:pPr>
          </w:p>
        </w:tc>
        <w:tc>
          <w:tcPr>
            <w:tcW w:w="0" w:type="auto"/>
            <w:gridSpan w:val="3"/>
            <w:shd w:val="clear" w:color="auto" w:fill="auto"/>
            <w:vAlign w:val="bottom"/>
          </w:tcPr>
          <w:p w14:paraId="71D43924" w14:textId="77777777" w:rsidR="006A3667" w:rsidRDefault="006A3667">
            <w:pPr>
              <w:rPr>
                <w:rFonts w:ascii="宋体"/>
                <w:vanish/>
              </w:rPr>
            </w:pPr>
          </w:p>
        </w:tc>
        <w:tc>
          <w:tcPr>
            <w:tcW w:w="0" w:type="auto"/>
            <w:gridSpan w:val="3"/>
            <w:shd w:val="clear" w:color="auto" w:fill="auto"/>
            <w:vAlign w:val="bottom"/>
          </w:tcPr>
          <w:p w14:paraId="71D43925" w14:textId="77777777" w:rsidR="006A3667" w:rsidRDefault="006A3667">
            <w:pPr>
              <w:rPr>
                <w:rFonts w:ascii="宋体"/>
                <w:vanish/>
              </w:rPr>
            </w:pPr>
          </w:p>
        </w:tc>
        <w:tc>
          <w:tcPr>
            <w:tcW w:w="0" w:type="auto"/>
            <w:gridSpan w:val="3"/>
            <w:shd w:val="clear" w:color="auto" w:fill="auto"/>
            <w:vAlign w:val="bottom"/>
          </w:tcPr>
          <w:p w14:paraId="71D43926" w14:textId="77777777" w:rsidR="006A3667" w:rsidRDefault="006A3667">
            <w:pPr>
              <w:rPr>
                <w:rFonts w:ascii="宋体"/>
                <w:vanish/>
              </w:rPr>
            </w:pPr>
          </w:p>
        </w:tc>
      </w:tr>
      <w:tr w:rsidR="006A3667" w14:paraId="71D43932" w14:textId="77777777">
        <w:trPr>
          <w:hidden/>
        </w:trPr>
        <w:tc>
          <w:tcPr>
            <w:tcW w:w="0" w:type="auto"/>
            <w:gridSpan w:val="3"/>
            <w:shd w:val="clear" w:color="auto" w:fill="auto"/>
            <w:vAlign w:val="bottom"/>
          </w:tcPr>
          <w:p w14:paraId="71D43928" w14:textId="77777777" w:rsidR="006A3667" w:rsidRDefault="006A3667">
            <w:pPr>
              <w:rPr>
                <w:rFonts w:ascii="宋体"/>
                <w:vanish/>
              </w:rPr>
            </w:pPr>
          </w:p>
        </w:tc>
        <w:tc>
          <w:tcPr>
            <w:tcW w:w="0" w:type="auto"/>
            <w:gridSpan w:val="3"/>
            <w:shd w:val="clear" w:color="auto" w:fill="auto"/>
            <w:vAlign w:val="bottom"/>
          </w:tcPr>
          <w:p w14:paraId="71D43929" w14:textId="77777777" w:rsidR="006A3667" w:rsidRDefault="006A3667">
            <w:pPr>
              <w:rPr>
                <w:rFonts w:ascii="宋体"/>
                <w:vanish/>
              </w:rPr>
            </w:pPr>
          </w:p>
        </w:tc>
        <w:tc>
          <w:tcPr>
            <w:tcW w:w="0" w:type="auto"/>
            <w:gridSpan w:val="3"/>
            <w:shd w:val="clear" w:color="auto" w:fill="auto"/>
            <w:vAlign w:val="bottom"/>
          </w:tcPr>
          <w:p w14:paraId="71D4392A" w14:textId="77777777" w:rsidR="006A3667" w:rsidRDefault="006A3667">
            <w:pPr>
              <w:rPr>
                <w:rFonts w:ascii="宋体"/>
                <w:vanish/>
              </w:rPr>
            </w:pPr>
          </w:p>
        </w:tc>
        <w:tc>
          <w:tcPr>
            <w:tcW w:w="0" w:type="auto"/>
            <w:gridSpan w:val="3"/>
            <w:shd w:val="clear" w:color="auto" w:fill="auto"/>
            <w:vAlign w:val="bottom"/>
          </w:tcPr>
          <w:p w14:paraId="71D4392B" w14:textId="77777777" w:rsidR="006A3667" w:rsidRDefault="006A3667">
            <w:pPr>
              <w:rPr>
                <w:rFonts w:ascii="宋体"/>
                <w:vanish/>
              </w:rPr>
            </w:pPr>
          </w:p>
        </w:tc>
        <w:tc>
          <w:tcPr>
            <w:tcW w:w="0" w:type="auto"/>
            <w:gridSpan w:val="3"/>
            <w:shd w:val="clear" w:color="auto" w:fill="auto"/>
            <w:vAlign w:val="bottom"/>
          </w:tcPr>
          <w:p w14:paraId="71D4392C" w14:textId="77777777" w:rsidR="006A3667" w:rsidRDefault="006A3667">
            <w:pPr>
              <w:rPr>
                <w:rFonts w:ascii="宋体"/>
                <w:vanish/>
              </w:rPr>
            </w:pPr>
          </w:p>
        </w:tc>
        <w:tc>
          <w:tcPr>
            <w:tcW w:w="0" w:type="auto"/>
            <w:gridSpan w:val="3"/>
            <w:shd w:val="clear" w:color="auto" w:fill="auto"/>
            <w:vAlign w:val="bottom"/>
          </w:tcPr>
          <w:p w14:paraId="71D4392D" w14:textId="77777777" w:rsidR="006A3667" w:rsidRDefault="006A3667">
            <w:pPr>
              <w:rPr>
                <w:rFonts w:ascii="宋体"/>
                <w:vanish/>
              </w:rPr>
            </w:pPr>
          </w:p>
        </w:tc>
        <w:tc>
          <w:tcPr>
            <w:tcW w:w="0" w:type="auto"/>
            <w:gridSpan w:val="3"/>
            <w:shd w:val="clear" w:color="auto" w:fill="auto"/>
            <w:vAlign w:val="bottom"/>
          </w:tcPr>
          <w:p w14:paraId="71D4392E" w14:textId="77777777" w:rsidR="006A3667" w:rsidRDefault="006A3667">
            <w:pPr>
              <w:rPr>
                <w:rFonts w:ascii="宋体"/>
                <w:vanish/>
              </w:rPr>
            </w:pPr>
          </w:p>
        </w:tc>
        <w:tc>
          <w:tcPr>
            <w:tcW w:w="0" w:type="auto"/>
            <w:gridSpan w:val="3"/>
            <w:shd w:val="clear" w:color="auto" w:fill="auto"/>
            <w:vAlign w:val="bottom"/>
          </w:tcPr>
          <w:p w14:paraId="71D4392F" w14:textId="77777777" w:rsidR="006A3667" w:rsidRDefault="006A3667">
            <w:pPr>
              <w:rPr>
                <w:rFonts w:ascii="宋体"/>
                <w:vanish/>
              </w:rPr>
            </w:pPr>
          </w:p>
        </w:tc>
        <w:tc>
          <w:tcPr>
            <w:tcW w:w="0" w:type="auto"/>
            <w:gridSpan w:val="3"/>
            <w:shd w:val="clear" w:color="auto" w:fill="auto"/>
            <w:vAlign w:val="bottom"/>
          </w:tcPr>
          <w:p w14:paraId="71D43930" w14:textId="77777777" w:rsidR="006A3667" w:rsidRDefault="006A3667">
            <w:pPr>
              <w:rPr>
                <w:rFonts w:ascii="宋体"/>
                <w:vanish/>
              </w:rPr>
            </w:pPr>
          </w:p>
        </w:tc>
        <w:tc>
          <w:tcPr>
            <w:tcW w:w="0" w:type="auto"/>
            <w:gridSpan w:val="3"/>
            <w:shd w:val="clear" w:color="auto" w:fill="auto"/>
            <w:vAlign w:val="bottom"/>
          </w:tcPr>
          <w:p w14:paraId="71D43931" w14:textId="77777777" w:rsidR="006A3667" w:rsidRDefault="006A3667">
            <w:pPr>
              <w:rPr>
                <w:rFonts w:ascii="宋体"/>
                <w:vanish/>
              </w:rPr>
            </w:pPr>
          </w:p>
        </w:tc>
      </w:tr>
      <w:tr w:rsidR="006A3667" w14:paraId="71D4393D" w14:textId="77777777">
        <w:trPr>
          <w:hidden/>
        </w:trPr>
        <w:tc>
          <w:tcPr>
            <w:tcW w:w="0" w:type="auto"/>
            <w:gridSpan w:val="3"/>
            <w:shd w:val="clear" w:color="auto" w:fill="auto"/>
            <w:vAlign w:val="bottom"/>
          </w:tcPr>
          <w:p w14:paraId="71D43933" w14:textId="77777777" w:rsidR="006A3667" w:rsidRDefault="006A3667">
            <w:pPr>
              <w:rPr>
                <w:rFonts w:ascii="宋体"/>
                <w:vanish/>
              </w:rPr>
            </w:pPr>
          </w:p>
        </w:tc>
        <w:tc>
          <w:tcPr>
            <w:tcW w:w="0" w:type="auto"/>
            <w:gridSpan w:val="3"/>
            <w:shd w:val="clear" w:color="auto" w:fill="auto"/>
            <w:vAlign w:val="bottom"/>
          </w:tcPr>
          <w:p w14:paraId="71D43934" w14:textId="77777777" w:rsidR="006A3667" w:rsidRDefault="006A3667">
            <w:pPr>
              <w:rPr>
                <w:rFonts w:ascii="宋体"/>
                <w:vanish/>
              </w:rPr>
            </w:pPr>
          </w:p>
        </w:tc>
        <w:tc>
          <w:tcPr>
            <w:tcW w:w="0" w:type="auto"/>
            <w:gridSpan w:val="3"/>
            <w:shd w:val="clear" w:color="auto" w:fill="auto"/>
            <w:vAlign w:val="bottom"/>
          </w:tcPr>
          <w:p w14:paraId="71D43935" w14:textId="77777777" w:rsidR="006A3667" w:rsidRDefault="006A3667">
            <w:pPr>
              <w:rPr>
                <w:rFonts w:ascii="宋体"/>
                <w:vanish/>
              </w:rPr>
            </w:pPr>
          </w:p>
        </w:tc>
        <w:tc>
          <w:tcPr>
            <w:tcW w:w="0" w:type="auto"/>
            <w:gridSpan w:val="3"/>
            <w:shd w:val="clear" w:color="auto" w:fill="auto"/>
            <w:vAlign w:val="bottom"/>
          </w:tcPr>
          <w:p w14:paraId="71D43936" w14:textId="77777777" w:rsidR="006A3667" w:rsidRDefault="006A3667">
            <w:pPr>
              <w:rPr>
                <w:rFonts w:ascii="宋体"/>
                <w:vanish/>
              </w:rPr>
            </w:pPr>
          </w:p>
        </w:tc>
        <w:tc>
          <w:tcPr>
            <w:tcW w:w="0" w:type="auto"/>
            <w:gridSpan w:val="3"/>
            <w:shd w:val="clear" w:color="auto" w:fill="auto"/>
            <w:vAlign w:val="bottom"/>
          </w:tcPr>
          <w:p w14:paraId="71D43937" w14:textId="77777777" w:rsidR="006A3667" w:rsidRDefault="006A3667">
            <w:pPr>
              <w:rPr>
                <w:rFonts w:ascii="宋体"/>
                <w:vanish/>
              </w:rPr>
            </w:pPr>
          </w:p>
        </w:tc>
        <w:tc>
          <w:tcPr>
            <w:tcW w:w="0" w:type="auto"/>
            <w:gridSpan w:val="3"/>
            <w:shd w:val="clear" w:color="auto" w:fill="auto"/>
            <w:vAlign w:val="bottom"/>
          </w:tcPr>
          <w:p w14:paraId="71D43938" w14:textId="77777777" w:rsidR="006A3667" w:rsidRDefault="006A3667">
            <w:pPr>
              <w:rPr>
                <w:rFonts w:ascii="宋体"/>
                <w:vanish/>
              </w:rPr>
            </w:pPr>
          </w:p>
        </w:tc>
        <w:tc>
          <w:tcPr>
            <w:tcW w:w="0" w:type="auto"/>
            <w:gridSpan w:val="3"/>
            <w:shd w:val="clear" w:color="auto" w:fill="auto"/>
            <w:vAlign w:val="bottom"/>
          </w:tcPr>
          <w:p w14:paraId="71D43939" w14:textId="77777777" w:rsidR="006A3667" w:rsidRDefault="006A3667">
            <w:pPr>
              <w:rPr>
                <w:rFonts w:ascii="宋体"/>
                <w:vanish/>
              </w:rPr>
            </w:pPr>
          </w:p>
        </w:tc>
        <w:tc>
          <w:tcPr>
            <w:tcW w:w="0" w:type="auto"/>
            <w:gridSpan w:val="3"/>
            <w:shd w:val="clear" w:color="auto" w:fill="auto"/>
            <w:vAlign w:val="bottom"/>
          </w:tcPr>
          <w:p w14:paraId="71D4393A" w14:textId="77777777" w:rsidR="006A3667" w:rsidRDefault="006A3667">
            <w:pPr>
              <w:rPr>
                <w:rFonts w:ascii="宋体"/>
                <w:vanish/>
              </w:rPr>
            </w:pPr>
          </w:p>
        </w:tc>
        <w:tc>
          <w:tcPr>
            <w:tcW w:w="0" w:type="auto"/>
            <w:gridSpan w:val="3"/>
            <w:shd w:val="clear" w:color="auto" w:fill="auto"/>
            <w:vAlign w:val="bottom"/>
          </w:tcPr>
          <w:p w14:paraId="71D4393B" w14:textId="77777777" w:rsidR="006A3667" w:rsidRDefault="006A3667">
            <w:pPr>
              <w:rPr>
                <w:rFonts w:ascii="宋体"/>
                <w:vanish/>
              </w:rPr>
            </w:pPr>
          </w:p>
        </w:tc>
        <w:tc>
          <w:tcPr>
            <w:tcW w:w="0" w:type="auto"/>
            <w:gridSpan w:val="3"/>
            <w:shd w:val="clear" w:color="auto" w:fill="auto"/>
            <w:vAlign w:val="bottom"/>
          </w:tcPr>
          <w:p w14:paraId="71D4393C" w14:textId="77777777" w:rsidR="006A3667" w:rsidRDefault="006A3667">
            <w:pPr>
              <w:rPr>
                <w:rFonts w:ascii="宋体"/>
                <w:vanish/>
              </w:rPr>
            </w:pPr>
          </w:p>
        </w:tc>
      </w:tr>
      <w:tr w:rsidR="006A3667" w14:paraId="71D43948" w14:textId="77777777">
        <w:tc>
          <w:tcPr>
            <w:tcW w:w="0" w:type="auto"/>
            <w:gridSpan w:val="3"/>
            <w:shd w:val="clear" w:color="auto" w:fill="CCEEFF"/>
            <w:tcMar>
              <w:top w:w="40" w:type="dxa"/>
              <w:left w:w="245" w:type="dxa"/>
              <w:bottom w:w="40" w:type="dxa"/>
              <w:right w:w="20" w:type="dxa"/>
            </w:tcMar>
            <w:vAlign w:val="bottom"/>
          </w:tcPr>
          <w:p w14:paraId="71D4393E" w14:textId="77777777" w:rsidR="006A3667" w:rsidRDefault="00045F32">
            <w:pPr>
              <w:textAlignment w:val="bottom"/>
            </w:pPr>
            <w:r>
              <w:rPr>
                <w:rFonts w:ascii="Arial" w:eastAsia="宋体" w:hAnsi="Arial" w:cs="Arial"/>
                <w:color w:val="000000"/>
                <w:sz w:val="15"/>
                <w:szCs w:val="15"/>
              </w:rPr>
              <w:t>Derivative instruments:</w:t>
            </w:r>
          </w:p>
        </w:tc>
        <w:tc>
          <w:tcPr>
            <w:tcW w:w="0" w:type="auto"/>
            <w:gridSpan w:val="3"/>
            <w:shd w:val="clear" w:color="auto" w:fill="CCEEFF"/>
            <w:tcMar>
              <w:top w:w="0" w:type="dxa"/>
              <w:left w:w="20" w:type="dxa"/>
              <w:bottom w:w="0" w:type="dxa"/>
              <w:right w:w="20" w:type="dxa"/>
            </w:tcMar>
            <w:vAlign w:val="bottom"/>
          </w:tcPr>
          <w:p w14:paraId="71D4393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4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4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4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4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4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4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4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947" w14:textId="77777777" w:rsidR="006A3667" w:rsidRDefault="006A3667">
            <w:pPr>
              <w:rPr>
                <w:rFonts w:ascii="宋体"/>
              </w:rPr>
            </w:pPr>
          </w:p>
        </w:tc>
      </w:tr>
      <w:tr w:rsidR="006A3667" w14:paraId="71D43958" w14:textId="77777777">
        <w:tc>
          <w:tcPr>
            <w:tcW w:w="0" w:type="auto"/>
            <w:gridSpan w:val="3"/>
            <w:shd w:val="clear" w:color="auto" w:fill="FFFFFF"/>
            <w:tcMar>
              <w:top w:w="40" w:type="dxa"/>
              <w:left w:w="515" w:type="dxa"/>
              <w:bottom w:w="40" w:type="dxa"/>
              <w:right w:w="20" w:type="dxa"/>
            </w:tcMar>
            <w:vAlign w:val="bottom"/>
          </w:tcPr>
          <w:p w14:paraId="71D43949" w14:textId="77777777" w:rsidR="006A3667" w:rsidRDefault="00045F32">
            <w:pPr>
              <w:textAlignment w:val="bottom"/>
            </w:pPr>
            <w:r>
              <w:rPr>
                <w:rFonts w:ascii="Arial" w:eastAsia="宋体" w:hAnsi="Arial" w:cs="Arial"/>
                <w:color w:val="000000"/>
                <w:sz w:val="15"/>
                <w:szCs w:val="15"/>
              </w:rPr>
              <w:t>Foreign exchange contracts</w:t>
            </w:r>
          </w:p>
        </w:tc>
        <w:tc>
          <w:tcPr>
            <w:tcW w:w="0" w:type="auto"/>
            <w:gridSpan w:val="2"/>
            <w:shd w:val="clear" w:color="auto" w:fill="FFFFFF"/>
            <w:tcMar>
              <w:top w:w="40" w:type="dxa"/>
              <w:left w:w="20" w:type="dxa"/>
              <w:bottom w:w="40" w:type="dxa"/>
              <w:right w:w="0" w:type="dxa"/>
            </w:tcMar>
            <w:vAlign w:val="bottom"/>
          </w:tcPr>
          <w:p w14:paraId="71D4394A"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1D439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9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94D" w14:textId="77777777" w:rsidR="006A3667" w:rsidRDefault="00045F32">
            <w:pPr>
              <w:jc w:val="right"/>
              <w:textAlignment w:val="bottom"/>
            </w:pPr>
            <w:r>
              <w:rPr>
                <w:rFonts w:ascii="Arial" w:eastAsia="宋体" w:hAnsi="Arial" w:cs="Arial"/>
                <w:color w:val="000000"/>
                <w:sz w:val="14"/>
                <w:szCs w:val="14"/>
              </w:rPr>
              <w:t>15,824 </w:t>
            </w:r>
          </w:p>
        </w:tc>
        <w:tc>
          <w:tcPr>
            <w:tcW w:w="0" w:type="auto"/>
            <w:shd w:val="clear" w:color="auto" w:fill="FFFFFF"/>
            <w:tcMar>
              <w:top w:w="40" w:type="dxa"/>
              <w:left w:w="0" w:type="dxa"/>
              <w:bottom w:w="40" w:type="dxa"/>
              <w:right w:w="20" w:type="dxa"/>
            </w:tcMar>
            <w:vAlign w:val="bottom"/>
          </w:tcPr>
          <w:p w14:paraId="71D439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9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95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395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95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953" w14:textId="77777777" w:rsidR="006A3667" w:rsidRDefault="00045F32">
            <w:pPr>
              <w:jc w:val="right"/>
              <w:textAlignment w:val="bottom"/>
            </w:pPr>
            <w:r>
              <w:rPr>
                <w:rFonts w:ascii="Arial" w:eastAsia="宋体" w:hAnsi="Arial" w:cs="Arial"/>
                <w:color w:val="000000"/>
                <w:sz w:val="14"/>
                <w:szCs w:val="14"/>
              </w:rPr>
              <w:t>(10,395)</w:t>
            </w:r>
          </w:p>
        </w:tc>
        <w:tc>
          <w:tcPr>
            <w:tcW w:w="0" w:type="auto"/>
            <w:shd w:val="clear" w:color="auto" w:fill="FFFFFF"/>
            <w:tcMar>
              <w:top w:w="40" w:type="dxa"/>
              <w:left w:w="0" w:type="dxa"/>
              <w:bottom w:w="40" w:type="dxa"/>
              <w:right w:w="20" w:type="dxa"/>
            </w:tcMar>
            <w:vAlign w:val="bottom"/>
          </w:tcPr>
          <w:p w14:paraId="71D439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9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3956" w14:textId="77777777" w:rsidR="006A3667" w:rsidRDefault="00045F32">
            <w:pPr>
              <w:jc w:val="right"/>
              <w:textAlignment w:val="bottom"/>
            </w:pPr>
            <w:r>
              <w:rPr>
                <w:rFonts w:ascii="Arial" w:eastAsia="宋体" w:hAnsi="Arial" w:cs="Arial"/>
                <w:color w:val="000000"/>
                <w:sz w:val="14"/>
                <w:szCs w:val="14"/>
              </w:rPr>
              <w:t>5,430 </w:t>
            </w:r>
          </w:p>
        </w:tc>
        <w:tc>
          <w:tcPr>
            <w:tcW w:w="0" w:type="auto"/>
            <w:shd w:val="clear" w:color="auto" w:fill="FFFFFF"/>
            <w:tcMar>
              <w:top w:w="40" w:type="dxa"/>
              <w:left w:w="0" w:type="dxa"/>
              <w:bottom w:w="40" w:type="dxa"/>
              <w:right w:w="20" w:type="dxa"/>
            </w:tcMar>
            <w:vAlign w:val="bottom"/>
          </w:tcPr>
          <w:p w14:paraId="71D43957" w14:textId="77777777" w:rsidR="006A3667" w:rsidRDefault="006A3667">
            <w:pPr>
              <w:jc w:val="right"/>
              <w:rPr>
                <w:rFonts w:ascii="宋体"/>
              </w:rPr>
            </w:pPr>
          </w:p>
        </w:tc>
      </w:tr>
      <w:tr w:rsidR="006A3667" w14:paraId="71D43963" w14:textId="77777777">
        <w:trPr>
          <w:hidden/>
        </w:trPr>
        <w:tc>
          <w:tcPr>
            <w:tcW w:w="0" w:type="auto"/>
            <w:gridSpan w:val="3"/>
            <w:shd w:val="clear" w:color="auto" w:fill="auto"/>
            <w:vAlign w:val="bottom"/>
          </w:tcPr>
          <w:p w14:paraId="71D43959" w14:textId="77777777" w:rsidR="006A3667" w:rsidRDefault="006A3667">
            <w:pPr>
              <w:rPr>
                <w:rFonts w:ascii="宋体"/>
                <w:vanish/>
              </w:rPr>
            </w:pPr>
          </w:p>
        </w:tc>
        <w:tc>
          <w:tcPr>
            <w:tcW w:w="0" w:type="auto"/>
            <w:gridSpan w:val="3"/>
            <w:shd w:val="clear" w:color="auto" w:fill="auto"/>
            <w:vAlign w:val="bottom"/>
          </w:tcPr>
          <w:p w14:paraId="71D4395A" w14:textId="77777777" w:rsidR="006A3667" w:rsidRDefault="006A3667">
            <w:pPr>
              <w:rPr>
                <w:rFonts w:ascii="宋体"/>
                <w:vanish/>
              </w:rPr>
            </w:pPr>
          </w:p>
        </w:tc>
        <w:tc>
          <w:tcPr>
            <w:tcW w:w="0" w:type="auto"/>
            <w:gridSpan w:val="3"/>
            <w:shd w:val="clear" w:color="auto" w:fill="auto"/>
            <w:vAlign w:val="bottom"/>
          </w:tcPr>
          <w:p w14:paraId="71D4395B" w14:textId="77777777" w:rsidR="006A3667" w:rsidRDefault="006A3667">
            <w:pPr>
              <w:rPr>
                <w:rFonts w:ascii="宋体"/>
                <w:vanish/>
              </w:rPr>
            </w:pPr>
          </w:p>
        </w:tc>
        <w:tc>
          <w:tcPr>
            <w:tcW w:w="0" w:type="auto"/>
            <w:gridSpan w:val="3"/>
            <w:shd w:val="clear" w:color="auto" w:fill="auto"/>
            <w:vAlign w:val="bottom"/>
          </w:tcPr>
          <w:p w14:paraId="71D4395C" w14:textId="77777777" w:rsidR="006A3667" w:rsidRDefault="006A3667">
            <w:pPr>
              <w:rPr>
                <w:rFonts w:ascii="宋体"/>
                <w:vanish/>
              </w:rPr>
            </w:pPr>
          </w:p>
        </w:tc>
        <w:tc>
          <w:tcPr>
            <w:tcW w:w="0" w:type="auto"/>
            <w:gridSpan w:val="3"/>
            <w:shd w:val="clear" w:color="auto" w:fill="auto"/>
            <w:vAlign w:val="bottom"/>
          </w:tcPr>
          <w:p w14:paraId="71D4395D" w14:textId="77777777" w:rsidR="006A3667" w:rsidRDefault="006A3667">
            <w:pPr>
              <w:rPr>
                <w:rFonts w:ascii="宋体"/>
                <w:vanish/>
              </w:rPr>
            </w:pPr>
          </w:p>
        </w:tc>
        <w:tc>
          <w:tcPr>
            <w:tcW w:w="0" w:type="auto"/>
            <w:gridSpan w:val="3"/>
            <w:shd w:val="clear" w:color="auto" w:fill="auto"/>
            <w:vAlign w:val="bottom"/>
          </w:tcPr>
          <w:p w14:paraId="71D4395E" w14:textId="77777777" w:rsidR="006A3667" w:rsidRDefault="006A3667">
            <w:pPr>
              <w:rPr>
                <w:rFonts w:ascii="宋体"/>
                <w:vanish/>
              </w:rPr>
            </w:pPr>
          </w:p>
        </w:tc>
        <w:tc>
          <w:tcPr>
            <w:tcW w:w="0" w:type="auto"/>
            <w:gridSpan w:val="3"/>
            <w:shd w:val="clear" w:color="auto" w:fill="auto"/>
            <w:vAlign w:val="bottom"/>
          </w:tcPr>
          <w:p w14:paraId="71D4395F" w14:textId="77777777" w:rsidR="006A3667" w:rsidRDefault="006A3667">
            <w:pPr>
              <w:rPr>
                <w:rFonts w:ascii="宋体"/>
                <w:vanish/>
              </w:rPr>
            </w:pPr>
          </w:p>
        </w:tc>
        <w:tc>
          <w:tcPr>
            <w:tcW w:w="0" w:type="auto"/>
            <w:gridSpan w:val="3"/>
            <w:shd w:val="clear" w:color="auto" w:fill="auto"/>
            <w:vAlign w:val="bottom"/>
          </w:tcPr>
          <w:p w14:paraId="71D43960" w14:textId="77777777" w:rsidR="006A3667" w:rsidRDefault="006A3667">
            <w:pPr>
              <w:rPr>
                <w:rFonts w:ascii="宋体"/>
                <w:vanish/>
              </w:rPr>
            </w:pPr>
          </w:p>
        </w:tc>
        <w:tc>
          <w:tcPr>
            <w:tcW w:w="0" w:type="auto"/>
            <w:gridSpan w:val="3"/>
            <w:shd w:val="clear" w:color="auto" w:fill="auto"/>
            <w:vAlign w:val="bottom"/>
          </w:tcPr>
          <w:p w14:paraId="71D43961" w14:textId="77777777" w:rsidR="006A3667" w:rsidRDefault="006A3667">
            <w:pPr>
              <w:rPr>
                <w:rFonts w:ascii="宋体"/>
                <w:vanish/>
              </w:rPr>
            </w:pPr>
          </w:p>
        </w:tc>
        <w:tc>
          <w:tcPr>
            <w:tcW w:w="0" w:type="auto"/>
            <w:gridSpan w:val="3"/>
            <w:shd w:val="clear" w:color="auto" w:fill="auto"/>
            <w:vAlign w:val="bottom"/>
          </w:tcPr>
          <w:p w14:paraId="71D43962" w14:textId="77777777" w:rsidR="006A3667" w:rsidRDefault="006A3667">
            <w:pPr>
              <w:rPr>
                <w:rFonts w:ascii="宋体"/>
                <w:vanish/>
              </w:rPr>
            </w:pPr>
          </w:p>
        </w:tc>
      </w:tr>
      <w:tr w:rsidR="006A3667" w14:paraId="71D43973" w14:textId="77777777">
        <w:tc>
          <w:tcPr>
            <w:tcW w:w="0" w:type="auto"/>
            <w:gridSpan w:val="3"/>
            <w:shd w:val="clear" w:color="auto" w:fill="CCEEFF"/>
            <w:tcMar>
              <w:top w:w="40" w:type="dxa"/>
              <w:left w:w="515" w:type="dxa"/>
              <w:bottom w:w="40" w:type="dxa"/>
              <w:right w:w="20" w:type="dxa"/>
            </w:tcMar>
            <w:vAlign w:val="bottom"/>
          </w:tcPr>
          <w:p w14:paraId="71D43964" w14:textId="77777777" w:rsidR="006A3667" w:rsidRDefault="00045F32">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71D4396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9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96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968" w14:textId="77777777" w:rsidR="006A3667" w:rsidRDefault="00045F32">
            <w:pPr>
              <w:jc w:val="right"/>
              <w:textAlignment w:val="bottom"/>
            </w:pPr>
            <w:r>
              <w:rPr>
                <w:rFonts w:ascii="Arial" w:eastAsia="宋体" w:hAnsi="Arial" w:cs="Arial"/>
                <w:color w:val="000000"/>
                <w:sz w:val="14"/>
                <w:szCs w:val="14"/>
              </w:rPr>
              <w:t>301 </w:t>
            </w:r>
          </w:p>
        </w:tc>
        <w:tc>
          <w:tcPr>
            <w:tcW w:w="0" w:type="auto"/>
            <w:shd w:val="clear" w:color="auto" w:fill="CCEEFF"/>
            <w:tcMar>
              <w:top w:w="40" w:type="dxa"/>
              <w:left w:w="0" w:type="dxa"/>
              <w:bottom w:w="40" w:type="dxa"/>
              <w:right w:w="20" w:type="dxa"/>
            </w:tcMar>
            <w:vAlign w:val="bottom"/>
          </w:tcPr>
          <w:p w14:paraId="71D4396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96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96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96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96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96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39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97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3971" w14:textId="77777777" w:rsidR="006A3667" w:rsidRDefault="00045F32">
            <w:pPr>
              <w:jc w:val="right"/>
              <w:textAlignment w:val="bottom"/>
            </w:pPr>
            <w:r>
              <w:rPr>
                <w:rFonts w:ascii="Arial" w:eastAsia="宋体" w:hAnsi="Arial" w:cs="Arial"/>
                <w:color w:val="000000"/>
                <w:sz w:val="14"/>
                <w:szCs w:val="14"/>
              </w:rPr>
              <w:t>301 </w:t>
            </w:r>
          </w:p>
        </w:tc>
        <w:tc>
          <w:tcPr>
            <w:tcW w:w="0" w:type="auto"/>
            <w:shd w:val="clear" w:color="auto" w:fill="CCEEFF"/>
            <w:tcMar>
              <w:top w:w="40" w:type="dxa"/>
              <w:left w:w="0" w:type="dxa"/>
              <w:bottom w:w="40" w:type="dxa"/>
              <w:right w:w="20" w:type="dxa"/>
            </w:tcMar>
            <w:vAlign w:val="bottom"/>
          </w:tcPr>
          <w:p w14:paraId="71D43972" w14:textId="77777777" w:rsidR="006A3667" w:rsidRDefault="006A3667">
            <w:pPr>
              <w:jc w:val="right"/>
              <w:rPr>
                <w:rFonts w:ascii="宋体"/>
              </w:rPr>
            </w:pPr>
          </w:p>
        </w:tc>
      </w:tr>
      <w:tr w:rsidR="006A3667" w14:paraId="71D43983" w14:textId="77777777">
        <w:tc>
          <w:tcPr>
            <w:tcW w:w="0" w:type="auto"/>
            <w:gridSpan w:val="3"/>
            <w:shd w:val="clear" w:color="auto" w:fill="FFFFFF"/>
            <w:tcMar>
              <w:top w:w="40" w:type="dxa"/>
              <w:left w:w="740" w:type="dxa"/>
              <w:bottom w:w="40" w:type="dxa"/>
              <w:right w:w="20" w:type="dxa"/>
            </w:tcMar>
            <w:vAlign w:val="bottom"/>
          </w:tcPr>
          <w:p w14:paraId="71D43974" w14:textId="77777777" w:rsidR="006A3667" w:rsidRDefault="00045F32">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975" w14:textId="77777777" w:rsidR="006A3667" w:rsidRDefault="00045F32">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97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97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978" w14:textId="77777777" w:rsidR="006A3667" w:rsidRDefault="00045F32">
            <w:pPr>
              <w:jc w:val="right"/>
              <w:textAlignment w:val="bottom"/>
            </w:pPr>
            <w:r>
              <w:rPr>
                <w:rFonts w:ascii="Arial" w:eastAsia="宋体" w:hAnsi="Arial" w:cs="Arial"/>
                <w:color w:val="000000"/>
                <w:sz w:val="14"/>
                <w:szCs w:val="14"/>
              </w:rPr>
              <w:t>16,125 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97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97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97B"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97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97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97E" w14:textId="77777777" w:rsidR="006A3667" w:rsidRDefault="00045F32">
            <w:pPr>
              <w:jc w:val="right"/>
              <w:textAlignment w:val="bottom"/>
            </w:pPr>
            <w:r>
              <w:rPr>
                <w:rFonts w:ascii="Arial" w:eastAsia="宋体" w:hAnsi="Arial" w:cs="Arial"/>
                <w:color w:val="000000"/>
                <w:sz w:val="14"/>
                <w:szCs w:val="14"/>
              </w:rPr>
              <w:t>(10,395)</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97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98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3981" w14:textId="77777777" w:rsidR="006A3667" w:rsidRDefault="00045F32">
            <w:pPr>
              <w:jc w:val="right"/>
              <w:textAlignment w:val="bottom"/>
            </w:pPr>
            <w:r>
              <w:rPr>
                <w:rFonts w:ascii="Arial" w:eastAsia="宋体" w:hAnsi="Arial" w:cs="Arial"/>
                <w:color w:val="000000"/>
                <w:sz w:val="14"/>
                <w:szCs w:val="14"/>
              </w:rPr>
              <w:t>5,731 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3982" w14:textId="77777777" w:rsidR="006A3667" w:rsidRDefault="006A3667">
            <w:pPr>
              <w:jc w:val="right"/>
              <w:rPr>
                <w:rFonts w:ascii="宋体"/>
              </w:rPr>
            </w:pPr>
          </w:p>
        </w:tc>
      </w:tr>
      <w:tr w:rsidR="006A3667" w14:paraId="71D4398E" w14:textId="77777777">
        <w:trPr>
          <w:hidden/>
        </w:trPr>
        <w:tc>
          <w:tcPr>
            <w:tcW w:w="0" w:type="auto"/>
            <w:gridSpan w:val="3"/>
            <w:shd w:val="clear" w:color="auto" w:fill="auto"/>
            <w:vAlign w:val="bottom"/>
          </w:tcPr>
          <w:p w14:paraId="71D43984" w14:textId="77777777" w:rsidR="006A3667" w:rsidRDefault="006A3667">
            <w:pPr>
              <w:rPr>
                <w:rFonts w:ascii="宋体"/>
                <w:vanish/>
              </w:rPr>
            </w:pPr>
          </w:p>
        </w:tc>
        <w:tc>
          <w:tcPr>
            <w:tcW w:w="0" w:type="auto"/>
            <w:gridSpan w:val="3"/>
            <w:shd w:val="clear" w:color="auto" w:fill="auto"/>
            <w:vAlign w:val="bottom"/>
          </w:tcPr>
          <w:p w14:paraId="71D43985" w14:textId="77777777" w:rsidR="006A3667" w:rsidRDefault="006A3667">
            <w:pPr>
              <w:rPr>
                <w:rFonts w:ascii="宋体"/>
                <w:vanish/>
              </w:rPr>
            </w:pPr>
          </w:p>
        </w:tc>
        <w:tc>
          <w:tcPr>
            <w:tcW w:w="0" w:type="auto"/>
            <w:gridSpan w:val="3"/>
            <w:shd w:val="clear" w:color="auto" w:fill="auto"/>
            <w:vAlign w:val="bottom"/>
          </w:tcPr>
          <w:p w14:paraId="71D43986" w14:textId="77777777" w:rsidR="006A3667" w:rsidRDefault="006A3667">
            <w:pPr>
              <w:rPr>
                <w:rFonts w:ascii="宋体"/>
                <w:vanish/>
              </w:rPr>
            </w:pPr>
          </w:p>
        </w:tc>
        <w:tc>
          <w:tcPr>
            <w:tcW w:w="0" w:type="auto"/>
            <w:gridSpan w:val="3"/>
            <w:shd w:val="clear" w:color="auto" w:fill="auto"/>
            <w:vAlign w:val="bottom"/>
          </w:tcPr>
          <w:p w14:paraId="71D43987" w14:textId="77777777" w:rsidR="006A3667" w:rsidRDefault="006A3667">
            <w:pPr>
              <w:rPr>
                <w:rFonts w:ascii="宋体"/>
                <w:vanish/>
              </w:rPr>
            </w:pPr>
          </w:p>
        </w:tc>
        <w:tc>
          <w:tcPr>
            <w:tcW w:w="0" w:type="auto"/>
            <w:gridSpan w:val="3"/>
            <w:shd w:val="clear" w:color="auto" w:fill="auto"/>
            <w:vAlign w:val="bottom"/>
          </w:tcPr>
          <w:p w14:paraId="71D43988" w14:textId="77777777" w:rsidR="006A3667" w:rsidRDefault="006A3667">
            <w:pPr>
              <w:rPr>
                <w:rFonts w:ascii="宋体"/>
                <w:vanish/>
              </w:rPr>
            </w:pPr>
          </w:p>
        </w:tc>
        <w:tc>
          <w:tcPr>
            <w:tcW w:w="0" w:type="auto"/>
            <w:gridSpan w:val="3"/>
            <w:shd w:val="clear" w:color="auto" w:fill="auto"/>
            <w:vAlign w:val="bottom"/>
          </w:tcPr>
          <w:p w14:paraId="71D43989" w14:textId="77777777" w:rsidR="006A3667" w:rsidRDefault="006A3667">
            <w:pPr>
              <w:rPr>
                <w:rFonts w:ascii="宋体"/>
                <w:vanish/>
              </w:rPr>
            </w:pPr>
          </w:p>
        </w:tc>
        <w:tc>
          <w:tcPr>
            <w:tcW w:w="0" w:type="auto"/>
            <w:gridSpan w:val="3"/>
            <w:shd w:val="clear" w:color="auto" w:fill="auto"/>
            <w:vAlign w:val="bottom"/>
          </w:tcPr>
          <w:p w14:paraId="71D4398A" w14:textId="77777777" w:rsidR="006A3667" w:rsidRDefault="006A3667">
            <w:pPr>
              <w:rPr>
                <w:rFonts w:ascii="宋体"/>
                <w:vanish/>
              </w:rPr>
            </w:pPr>
          </w:p>
        </w:tc>
        <w:tc>
          <w:tcPr>
            <w:tcW w:w="0" w:type="auto"/>
            <w:gridSpan w:val="3"/>
            <w:shd w:val="clear" w:color="auto" w:fill="auto"/>
            <w:vAlign w:val="bottom"/>
          </w:tcPr>
          <w:p w14:paraId="71D4398B" w14:textId="77777777" w:rsidR="006A3667" w:rsidRDefault="006A3667">
            <w:pPr>
              <w:rPr>
                <w:rFonts w:ascii="宋体"/>
                <w:vanish/>
              </w:rPr>
            </w:pPr>
          </w:p>
        </w:tc>
        <w:tc>
          <w:tcPr>
            <w:tcW w:w="0" w:type="auto"/>
            <w:gridSpan w:val="3"/>
            <w:shd w:val="clear" w:color="auto" w:fill="auto"/>
            <w:vAlign w:val="bottom"/>
          </w:tcPr>
          <w:p w14:paraId="71D4398C" w14:textId="77777777" w:rsidR="006A3667" w:rsidRDefault="006A3667">
            <w:pPr>
              <w:rPr>
                <w:rFonts w:ascii="宋体"/>
                <w:vanish/>
              </w:rPr>
            </w:pPr>
          </w:p>
        </w:tc>
        <w:tc>
          <w:tcPr>
            <w:tcW w:w="0" w:type="auto"/>
            <w:gridSpan w:val="3"/>
            <w:shd w:val="clear" w:color="auto" w:fill="auto"/>
            <w:vAlign w:val="bottom"/>
          </w:tcPr>
          <w:p w14:paraId="71D4398D" w14:textId="77777777" w:rsidR="006A3667" w:rsidRDefault="006A3667">
            <w:pPr>
              <w:rPr>
                <w:rFonts w:ascii="宋体"/>
                <w:vanish/>
              </w:rPr>
            </w:pPr>
          </w:p>
        </w:tc>
      </w:tr>
      <w:tr w:rsidR="006A3667" w14:paraId="71D439A3" w14:textId="77777777">
        <w:tc>
          <w:tcPr>
            <w:tcW w:w="0" w:type="auto"/>
            <w:gridSpan w:val="3"/>
            <w:shd w:val="clear" w:color="auto" w:fill="CCEEFF"/>
            <w:tcMar>
              <w:top w:w="40" w:type="dxa"/>
              <w:left w:w="20" w:type="dxa"/>
              <w:bottom w:w="40" w:type="dxa"/>
              <w:right w:w="20" w:type="dxa"/>
            </w:tcMar>
            <w:vAlign w:val="bottom"/>
          </w:tcPr>
          <w:p w14:paraId="71D4398F" w14:textId="77777777" w:rsidR="006A3667" w:rsidRDefault="00045F32">
            <w:pPr>
              <w:textAlignment w:val="bottom"/>
            </w:pPr>
            <w:r>
              <w:rPr>
                <w:rFonts w:ascii="Arial" w:eastAsia="宋体" w:hAnsi="Arial" w:cs="Arial"/>
                <w:color w:val="000000"/>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99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991" w14:textId="77777777" w:rsidR="006A3667" w:rsidRDefault="00045F32">
            <w:pPr>
              <w:jc w:val="right"/>
              <w:textAlignment w:val="bottom"/>
            </w:pPr>
            <w:r>
              <w:rPr>
                <w:rFonts w:ascii="Arial" w:eastAsia="宋体" w:hAnsi="Arial" w:cs="Arial"/>
                <w:color w:val="000000"/>
                <w:sz w:val="14"/>
                <w:szCs w:val="14"/>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9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99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99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995" w14:textId="77777777" w:rsidR="006A3667" w:rsidRDefault="00045F32">
            <w:pPr>
              <w:jc w:val="right"/>
              <w:textAlignment w:val="bottom"/>
            </w:pPr>
            <w:r>
              <w:rPr>
                <w:rFonts w:ascii="Arial" w:eastAsia="宋体" w:hAnsi="Arial" w:cs="Arial"/>
                <w:color w:val="000000"/>
                <w:sz w:val="14"/>
                <w:szCs w:val="14"/>
              </w:rPr>
              <w:t>16,125 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9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99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99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999"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99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99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99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99D" w14:textId="77777777" w:rsidR="006A3667" w:rsidRDefault="00045F32">
            <w:pPr>
              <w:jc w:val="right"/>
              <w:textAlignment w:val="bottom"/>
            </w:pPr>
            <w:r>
              <w:rPr>
                <w:rFonts w:ascii="Arial" w:eastAsia="宋体" w:hAnsi="Arial" w:cs="Arial"/>
                <w:color w:val="000000"/>
                <w:sz w:val="14"/>
                <w:szCs w:val="14"/>
              </w:rPr>
              <w:t>(10,395)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9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99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39A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39A1" w14:textId="77777777" w:rsidR="006A3667" w:rsidRDefault="00045F32">
            <w:pPr>
              <w:jc w:val="right"/>
              <w:textAlignment w:val="bottom"/>
            </w:pPr>
            <w:r>
              <w:rPr>
                <w:rFonts w:ascii="Arial" w:eastAsia="宋体" w:hAnsi="Arial" w:cs="Arial"/>
                <w:color w:val="000000"/>
                <w:sz w:val="14"/>
                <w:szCs w:val="14"/>
              </w:rPr>
              <w:t>5,731 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39A2" w14:textId="77777777" w:rsidR="006A3667" w:rsidRDefault="006A3667">
            <w:pPr>
              <w:jc w:val="right"/>
              <w:rPr>
                <w:rFonts w:ascii="宋体"/>
              </w:rPr>
            </w:pPr>
          </w:p>
        </w:tc>
      </w:tr>
    </w:tbl>
    <w:p w14:paraId="71D439A4"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6A3667" w14:paraId="71D439B4" w14:textId="77777777">
        <w:tc>
          <w:tcPr>
            <w:tcW w:w="50" w:type="pct"/>
            <w:shd w:val="clear" w:color="auto" w:fill="auto"/>
            <w:vAlign w:val="bottom"/>
          </w:tcPr>
          <w:p w14:paraId="71D439A5" w14:textId="77777777" w:rsidR="006A3667" w:rsidRDefault="006A3667">
            <w:pPr>
              <w:rPr>
                <w:rFonts w:ascii="宋体"/>
              </w:rPr>
            </w:pPr>
          </w:p>
        </w:tc>
        <w:tc>
          <w:tcPr>
            <w:tcW w:w="1311" w:type="pct"/>
            <w:shd w:val="clear" w:color="auto" w:fill="auto"/>
            <w:vAlign w:val="bottom"/>
          </w:tcPr>
          <w:p w14:paraId="71D439A6" w14:textId="77777777" w:rsidR="006A3667" w:rsidRDefault="006A3667">
            <w:pPr>
              <w:rPr>
                <w:rFonts w:ascii="宋体"/>
              </w:rPr>
            </w:pPr>
          </w:p>
        </w:tc>
        <w:tc>
          <w:tcPr>
            <w:tcW w:w="5" w:type="pct"/>
            <w:shd w:val="clear" w:color="auto" w:fill="auto"/>
            <w:vAlign w:val="bottom"/>
          </w:tcPr>
          <w:p w14:paraId="71D439A7" w14:textId="77777777" w:rsidR="006A3667" w:rsidRDefault="006A3667">
            <w:pPr>
              <w:rPr>
                <w:rFonts w:ascii="宋体"/>
              </w:rPr>
            </w:pPr>
          </w:p>
        </w:tc>
        <w:tc>
          <w:tcPr>
            <w:tcW w:w="50" w:type="pct"/>
            <w:shd w:val="clear" w:color="auto" w:fill="auto"/>
            <w:vAlign w:val="bottom"/>
          </w:tcPr>
          <w:p w14:paraId="71D439A8" w14:textId="77777777" w:rsidR="006A3667" w:rsidRDefault="006A3667">
            <w:pPr>
              <w:rPr>
                <w:rFonts w:ascii="宋体"/>
              </w:rPr>
            </w:pPr>
          </w:p>
        </w:tc>
        <w:tc>
          <w:tcPr>
            <w:tcW w:w="1582" w:type="pct"/>
            <w:shd w:val="clear" w:color="auto" w:fill="auto"/>
            <w:vAlign w:val="bottom"/>
          </w:tcPr>
          <w:p w14:paraId="71D439A9" w14:textId="77777777" w:rsidR="006A3667" w:rsidRDefault="006A3667">
            <w:pPr>
              <w:rPr>
                <w:rFonts w:ascii="宋体"/>
              </w:rPr>
            </w:pPr>
          </w:p>
        </w:tc>
        <w:tc>
          <w:tcPr>
            <w:tcW w:w="5" w:type="pct"/>
            <w:shd w:val="clear" w:color="auto" w:fill="auto"/>
            <w:vAlign w:val="bottom"/>
          </w:tcPr>
          <w:p w14:paraId="71D439AA" w14:textId="77777777" w:rsidR="006A3667" w:rsidRDefault="006A3667">
            <w:pPr>
              <w:rPr>
                <w:rFonts w:ascii="宋体"/>
              </w:rPr>
            </w:pPr>
          </w:p>
        </w:tc>
        <w:tc>
          <w:tcPr>
            <w:tcW w:w="50" w:type="pct"/>
            <w:shd w:val="clear" w:color="auto" w:fill="auto"/>
            <w:vAlign w:val="bottom"/>
          </w:tcPr>
          <w:p w14:paraId="71D439AB" w14:textId="77777777" w:rsidR="006A3667" w:rsidRDefault="006A3667">
            <w:pPr>
              <w:rPr>
                <w:rFonts w:ascii="宋体"/>
              </w:rPr>
            </w:pPr>
          </w:p>
        </w:tc>
        <w:tc>
          <w:tcPr>
            <w:tcW w:w="537" w:type="pct"/>
            <w:shd w:val="clear" w:color="auto" w:fill="auto"/>
            <w:vAlign w:val="bottom"/>
          </w:tcPr>
          <w:p w14:paraId="71D439AC" w14:textId="77777777" w:rsidR="006A3667" w:rsidRDefault="006A3667">
            <w:pPr>
              <w:rPr>
                <w:rFonts w:ascii="宋体"/>
              </w:rPr>
            </w:pPr>
          </w:p>
        </w:tc>
        <w:tc>
          <w:tcPr>
            <w:tcW w:w="5" w:type="pct"/>
            <w:shd w:val="clear" w:color="auto" w:fill="auto"/>
            <w:vAlign w:val="bottom"/>
          </w:tcPr>
          <w:p w14:paraId="71D439AD" w14:textId="77777777" w:rsidR="006A3667" w:rsidRDefault="006A3667">
            <w:pPr>
              <w:rPr>
                <w:rFonts w:ascii="宋体"/>
              </w:rPr>
            </w:pPr>
          </w:p>
        </w:tc>
        <w:tc>
          <w:tcPr>
            <w:tcW w:w="50" w:type="pct"/>
            <w:shd w:val="clear" w:color="auto" w:fill="auto"/>
            <w:vAlign w:val="bottom"/>
          </w:tcPr>
          <w:p w14:paraId="71D439AE" w14:textId="77777777" w:rsidR="006A3667" w:rsidRDefault="006A3667">
            <w:pPr>
              <w:rPr>
                <w:rFonts w:ascii="宋体"/>
              </w:rPr>
            </w:pPr>
          </w:p>
        </w:tc>
        <w:tc>
          <w:tcPr>
            <w:tcW w:w="376" w:type="pct"/>
            <w:shd w:val="clear" w:color="auto" w:fill="auto"/>
            <w:vAlign w:val="bottom"/>
          </w:tcPr>
          <w:p w14:paraId="71D439AF" w14:textId="77777777" w:rsidR="006A3667" w:rsidRDefault="006A3667">
            <w:pPr>
              <w:rPr>
                <w:rFonts w:ascii="宋体"/>
              </w:rPr>
            </w:pPr>
          </w:p>
        </w:tc>
        <w:tc>
          <w:tcPr>
            <w:tcW w:w="5" w:type="pct"/>
            <w:shd w:val="clear" w:color="auto" w:fill="auto"/>
            <w:vAlign w:val="bottom"/>
          </w:tcPr>
          <w:p w14:paraId="71D439B0" w14:textId="77777777" w:rsidR="006A3667" w:rsidRDefault="006A3667">
            <w:pPr>
              <w:rPr>
                <w:rFonts w:ascii="宋体"/>
              </w:rPr>
            </w:pPr>
          </w:p>
        </w:tc>
        <w:tc>
          <w:tcPr>
            <w:tcW w:w="50" w:type="pct"/>
            <w:shd w:val="clear" w:color="auto" w:fill="auto"/>
            <w:vAlign w:val="bottom"/>
          </w:tcPr>
          <w:p w14:paraId="71D439B1" w14:textId="77777777" w:rsidR="006A3667" w:rsidRDefault="006A3667">
            <w:pPr>
              <w:rPr>
                <w:rFonts w:ascii="宋体"/>
              </w:rPr>
            </w:pPr>
          </w:p>
        </w:tc>
        <w:tc>
          <w:tcPr>
            <w:tcW w:w="917" w:type="pct"/>
            <w:shd w:val="clear" w:color="auto" w:fill="auto"/>
            <w:vAlign w:val="bottom"/>
          </w:tcPr>
          <w:p w14:paraId="71D439B2" w14:textId="77777777" w:rsidR="006A3667" w:rsidRDefault="006A3667">
            <w:pPr>
              <w:rPr>
                <w:rFonts w:ascii="宋体"/>
              </w:rPr>
            </w:pPr>
          </w:p>
        </w:tc>
        <w:tc>
          <w:tcPr>
            <w:tcW w:w="5" w:type="pct"/>
            <w:shd w:val="clear" w:color="auto" w:fill="auto"/>
            <w:vAlign w:val="bottom"/>
          </w:tcPr>
          <w:p w14:paraId="71D439B3" w14:textId="77777777" w:rsidR="006A3667" w:rsidRDefault="006A3667">
            <w:pPr>
              <w:rPr>
                <w:rFonts w:ascii="宋体"/>
              </w:rPr>
            </w:pPr>
          </w:p>
        </w:tc>
      </w:tr>
      <w:tr w:rsidR="006A3667" w14:paraId="71D439B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39B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9B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9B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9B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9B9" w14:textId="77777777" w:rsidR="006A3667" w:rsidRDefault="006A3667">
            <w:pPr>
              <w:rPr>
                <w:rFonts w:ascii="宋体"/>
              </w:rPr>
            </w:pPr>
          </w:p>
        </w:tc>
      </w:tr>
    </w:tbl>
    <w:p w14:paraId="71D439BB" w14:textId="77777777" w:rsidR="006A3667" w:rsidRDefault="00045F32">
      <w:pPr>
        <w:jc w:val="both"/>
      </w:pPr>
      <w:r>
        <w:rPr>
          <w:rFonts w:ascii="Arial" w:eastAsia="宋体" w:hAnsi="Arial" w:cs="Arial"/>
          <w:color w:val="000000"/>
          <w:sz w:val="9"/>
          <w:szCs w:val="9"/>
        </w:rPr>
        <w:t xml:space="preserve">(1) </w:t>
      </w:r>
      <w:r>
        <w:rPr>
          <w:rFonts w:ascii="Arial" w:eastAsia="宋体" w:hAnsi="Arial" w:cs="Arial"/>
          <w:color w:val="000000"/>
          <w:sz w:val="12"/>
          <w:szCs w:val="12"/>
        </w:rPr>
        <w:t xml:space="preserve">Represents counterparty netting against level 2 financial assets and liabilities where a legally enforceable master netting agreement exists between us and the counterparty. Netting also reflects asset and liability reductions of $1.97 billion and </w:t>
      </w:r>
      <w:r>
        <w:rPr>
          <w:rFonts w:ascii="Arial" w:eastAsia="宋体" w:hAnsi="Arial" w:cs="Arial"/>
          <w:color w:val="000000"/>
          <w:sz w:val="12"/>
          <w:szCs w:val="12"/>
        </w:rPr>
        <w:t>$1.28 billion, respectively, for cash collateral received from and provided to derivative counterparties.</w:t>
      </w:r>
    </w:p>
    <w:p w14:paraId="71D439BC" w14:textId="77777777" w:rsidR="006A3667" w:rsidRDefault="00045F32">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Consists entirely of non-agency CMBS.</w:t>
      </w:r>
    </w:p>
    <w:p w14:paraId="71D439BD" w14:textId="77777777" w:rsidR="006A3667" w:rsidRDefault="00045F32">
      <w:pPr>
        <w:ind w:firstLine="450"/>
        <w:jc w:val="right"/>
      </w:pPr>
      <w:r>
        <w:rPr>
          <w:rFonts w:ascii="Arial" w:eastAsia="宋体" w:hAnsi="Arial" w:cs="Arial"/>
          <w:color w:val="000000"/>
          <w:sz w:val="18"/>
          <w:szCs w:val="18"/>
        </w:rPr>
        <w:t>State Street Corporation | 62</w:t>
      </w:r>
    </w:p>
    <w:p w14:paraId="71D439BE" w14:textId="77777777" w:rsidR="006A3667" w:rsidRDefault="006A3667">
      <w:pPr>
        <w:ind w:firstLine="450"/>
        <w:jc w:val="center"/>
      </w:pPr>
    </w:p>
    <w:p w14:paraId="71D439BF" w14:textId="77777777" w:rsidR="006A3667" w:rsidRDefault="00045F32">
      <w:r>
        <w:pict w14:anchorId="71D4AC52">
          <v:rect id="_x0000_i1086" style="width:415.3pt;height:1.5pt" o:hralign="center" o:hrstd="t" o:hr="t" fillcolor="#a0a0a0" stroked="f"/>
        </w:pict>
      </w:r>
    </w:p>
    <w:p w14:paraId="71D439C0" w14:textId="77777777" w:rsidR="006A3667" w:rsidRDefault="00045F32">
      <w:pPr>
        <w:ind w:firstLine="450"/>
        <w:jc w:val="center"/>
      </w:pPr>
      <w:r>
        <w:rPr>
          <w:rFonts w:ascii="Arial" w:eastAsia="宋体" w:hAnsi="Arial" w:cs="Arial"/>
          <w:b/>
          <w:bCs/>
          <w:color w:val="000000"/>
          <w:sz w:val="20"/>
          <w:szCs w:val="20"/>
        </w:rPr>
        <w:t>STATE STREET CORPORATION</w:t>
      </w:r>
    </w:p>
    <w:p w14:paraId="71D439C1" w14:textId="77777777" w:rsidR="006A3667" w:rsidRDefault="00045F32">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71D439C2" w14:textId="77777777" w:rsidR="006A3667" w:rsidRDefault="00045F32">
      <w:pPr>
        <w:ind w:firstLine="450"/>
        <w:jc w:val="center"/>
      </w:pPr>
      <w:r>
        <w:rPr>
          <w:rFonts w:ascii="Arial" w:eastAsia="宋体" w:hAnsi="Arial" w:cs="Arial"/>
          <w:b/>
          <w:bCs/>
          <w:color w:val="000000"/>
          <w:sz w:val="20"/>
          <w:szCs w:val="20"/>
        </w:rPr>
        <w:t>(UNAUDITED)</w:t>
      </w:r>
    </w:p>
    <w:p w14:paraId="71D439C3" w14:textId="77777777" w:rsidR="006A3667" w:rsidRDefault="00045F32">
      <w:pPr>
        <w:spacing w:before="120"/>
        <w:ind w:firstLine="450"/>
        <w:jc w:val="both"/>
      </w:pPr>
      <w:r>
        <w:rPr>
          <w:rFonts w:ascii="Arial" w:eastAsia="宋体" w:hAnsi="Arial" w:cs="Arial"/>
          <w:color w:val="000000"/>
          <w:sz w:val="20"/>
          <w:szCs w:val="20"/>
        </w:rPr>
        <w:t>The following tables present activity related to our level 3 financial assets during the three and nine months ended September 30, 2022 and 2021, respectively. Transfers into and out of level 3 are reported as of the beginning of the period presented. Duri</w:t>
      </w:r>
      <w:r>
        <w:rPr>
          <w:rFonts w:ascii="Arial" w:eastAsia="宋体" w:hAnsi="Arial" w:cs="Arial"/>
          <w:color w:val="000000"/>
          <w:sz w:val="20"/>
          <w:szCs w:val="20"/>
        </w:rPr>
        <w:t xml:space="preserve">ng both the three and nine months ended September 30, 2022, there were no transfers into and out of level 3. During the three months ended September 30, 2021, there were no transfers into level 3. During the nine months ended September 30, 2021, transfers </w:t>
      </w:r>
      <w:r>
        <w:rPr>
          <w:rFonts w:ascii="Arial" w:eastAsia="宋体" w:hAnsi="Arial" w:cs="Arial"/>
          <w:color w:val="000000"/>
          <w:sz w:val="20"/>
          <w:szCs w:val="20"/>
        </w:rPr>
        <w:t>into level 3 were primarily related to a U.S. corporate bond, for which fair value was measured using information obtained from third party sources, including non-binding broker/dealer quotes. During the three and nine months ended September 30, 2021, tran</w:t>
      </w:r>
      <w:r>
        <w:rPr>
          <w:rFonts w:ascii="Arial" w:eastAsia="宋体" w:hAnsi="Arial" w:cs="Arial"/>
          <w:color w:val="000000"/>
          <w:sz w:val="20"/>
          <w:szCs w:val="20"/>
        </w:rPr>
        <w:t xml:space="preserve">sfers out of level 3 were primarily related to collateralized loan obligations and a U.S. corporate bond, for which fair value was measured using prices for which observable market information became available. </w:t>
      </w:r>
    </w:p>
    <w:tbl>
      <w:tblPr>
        <w:tblW w:w="5000" w:type="pct"/>
        <w:tblCellMar>
          <w:top w:w="15" w:type="dxa"/>
          <w:left w:w="15" w:type="dxa"/>
          <w:bottom w:w="15" w:type="dxa"/>
          <w:right w:w="15" w:type="dxa"/>
        </w:tblCellMar>
        <w:tblLook w:val="04A0" w:firstRow="1" w:lastRow="0" w:firstColumn="1" w:lastColumn="0" w:noHBand="0" w:noVBand="1"/>
      </w:tblPr>
      <w:tblGrid>
        <w:gridCol w:w="42"/>
        <w:gridCol w:w="693"/>
        <w:gridCol w:w="37"/>
        <w:gridCol w:w="88"/>
        <w:gridCol w:w="308"/>
        <w:gridCol w:w="36"/>
        <w:gridCol w:w="36"/>
        <w:gridCol w:w="36"/>
        <w:gridCol w:w="36"/>
        <w:gridCol w:w="89"/>
        <w:gridCol w:w="562"/>
        <w:gridCol w:w="37"/>
        <w:gridCol w:w="37"/>
        <w:gridCol w:w="37"/>
        <w:gridCol w:w="37"/>
        <w:gridCol w:w="88"/>
        <w:gridCol w:w="819"/>
        <w:gridCol w:w="36"/>
        <w:gridCol w:w="36"/>
        <w:gridCol w:w="36"/>
        <w:gridCol w:w="36"/>
        <w:gridCol w:w="91"/>
        <w:gridCol w:w="548"/>
        <w:gridCol w:w="36"/>
        <w:gridCol w:w="36"/>
        <w:gridCol w:w="36"/>
        <w:gridCol w:w="36"/>
        <w:gridCol w:w="36"/>
        <w:gridCol w:w="36"/>
        <w:gridCol w:w="88"/>
        <w:gridCol w:w="278"/>
        <w:gridCol w:w="36"/>
        <w:gridCol w:w="36"/>
        <w:gridCol w:w="36"/>
        <w:gridCol w:w="36"/>
        <w:gridCol w:w="90"/>
        <w:gridCol w:w="623"/>
        <w:gridCol w:w="36"/>
        <w:gridCol w:w="36"/>
        <w:gridCol w:w="36"/>
        <w:gridCol w:w="36"/>
        <w:gridCol w:w="90"/>
        <w:gridCol w:w="489"/>
        <w:gridCol w:w="36"/>
        <w:gridCol w:w="36"/>
        <w:gridCol w:w="36"/>
        <w:gridCol w:w="36"/>
        <w:gridCol w:w="90"/>
        <w:gridCol w:w="489"/>
        <w:gridCol w:w="36"/>
        <w:gridCol w:w="36"/>
        <w:gridCol w:w="36"/>
        <w:gridCol w:w="36"/>
        <w:gridCol w:w="88"/>
        <w:gridCol w:w="583"/>
        <w:gridCol w:w="36"/>
        <w:gridCol w:w="36"/>
        <w:gridCol w:w="36"/>
        <w:gridCol w:w="727"/>
      </w:tblGrid>
      <w:tr w:rsidR="006A3667" w14:paraId="71D439FF" w14:textId="77777777">
        <w:tc>
          <w:tcPr>
            <w:tcW w:w="50" w:type="pct"/>
            <w:shd w:val="clear" w:color="auto" w:fill="auto"/>
            <w:vAlign w:val="bottom"/>
          </w:tcPr>
          <w:p w14:paraId="71D439C4" w14:textId="77777777" w:rsidR="006A3667" w:rsidRDefault="006A3667">
            <w:pPr>
              <w:rPr>
                <w:rFonts w:ascii="宋体"/>
              </w:rPr>
            </w:pPr>
          </w:p>
        </w:tc>
        <w:tc>
          <w:tcPr>
            <w:tcW w:w="785" w:type="pct"/>
            <w:shd w:val="clear" w:color="auto" w:fill="auto"/>
            <w:vAlign w:val="bottom"/>
          </w:tcPr>
          <w:p w14:paraId="71D439C5" w14:textId="77777777" w:rsidR="006A3667" w:rsidRDefault="006A3667">
            <w:pPr>
              <w:rPr>
                <w:rFonts w:ascii="宋体"/>
              </w:rPr>
            </w:pPr>
          </w:p>
        </w:tc>
        <w:tc>
          <w:tcPr>
            <w:tcW w:w="5" w:type="pct"/>
            <w:shd w:val="clear" w:color="auto" w:fill="auto"/>
            <w:vAlign w:val="bottom"/>
          </w:tcPr>
          <w:p w14:paraId="71D439C6" w14:textId="77777777" w:rsidR="006A3667" w:rsidRDefault="006A3667">
            <w:pPr>
              <w:rPr>
                <w:rFonts w:ascii="宋体"/>
              </w:rPr>
            </w:pPr>
          </w:p>
        </w:tc>
        <w:tc>
          <w:tcPr>
            <w:tcW w:w="50" w:type="pct"/>
            <w:shd w:val="clear" w:color="auto" w:fill="auto"/>
            <w:vAlign w:val="bottom"/>
          </w:tcPr>
          <w:p w14:paraId="71D439C7" w14:textId="77777777" w:rsidR="006A3667" w:rsidRDefault="006A3667">
            <w:pPr>
              <w:rPr>
                <w:rFonts w:ascii="宋体"/>
              </w:rPr>
            </w:pPr>
          </w:p>
        </w:tc>
        <w:tc>
          <w:tcPr>
            <w:tcW w:w="317" w:type="pct"/>
            <w:shd w:val="clear" w:color="auto" w:fill="auto"/>
            <w:vAlign w:val="bottom"/>
          </w:tcPr>
          <w:p w14:paraId="71D439C8" w14:textId="77777777" w:rsidR="006A3667" w:rsidRDefault="006A3667">
            <w:pPr>
              <w:rPr>
                <w:rFonts w:ascii="宋体"/>
              </w:rPr>
            </w:pPr>
          </w:p>
        </w:tc>
        <w:tc>
          <w:tcPr>
            <w:tcW w:w="5" w:type="pct"/>
            <w:shd w:val="clear" w:color="auto" w:fill="auto"/>
            <w:vAlign w:val="bottom"/>
          </w:tcPr>
          <w:p w14:paraId="71D439C9" w14:textId="77777777" w:rsidR="006A3667" w:rsidRDefault="006A3667">
            <w:pPr>
              <w:rPr>
                <w:rFonts w:ascii="宋体"/>
              </w:rPr>
            </w:pPr>
          </w:p>
        </w:tc>
        <w:tc>
          <w:tcPr>
            <w:tcW w:w="5" w:type="pct"/>
            <w:shd w:val="clear" w:color="auto" w:fill="auto"/>
            <w:vAlign w:val="bottom"/>
          </w:tcPr>
          <w:p w14:paraId="71D439CA" w14:textId="77777777" w:rsidR="006A3667" w:rsidRDefault="006A3667">
            <w:pPr>
              <w:rPr>
                <w:rFonts w:ascii="宋体"/>
              </w:rPr>
            </w:pPr>
          </w:p>
        </w:tc>
        <w:tc>
          <w:tcPr>
            <w:tcW w:w="19" w:type="pct"/>
            <w:shd w:val="clear" w:color="auto" w:fill="auto"/>
            <w:vAlign w:val="bottom"/>
          </w:tcPr>
          <w:p w14:paraId="71D439CB" w14:textId="77777777" w:rsidR="006A3667" w:rsidRDefault="006A3667">
            <w:pPr>
              <w:rPr>
                <w:rFonts w:ascii="宋体"/>
              </w:rPr>
            </w:pPr>
          </w:p>
        </w:tc>
        <w:tc>
          <w:tcPr>
            <w:tcW w:w="5" w:type="pct"/>
            <w:shd w:val="clear" w:color="auto" w:fill="auto"/>
            <w:vAlign w:val="bottom"/>
          </w:tcPr>
          <w:p w14:paraId="71D439CC" w14:textId="77777777" w:rsidR="006A3667" w:rsidRDefault="006A3667">
            <w:pPr>
              <w:rPr>
                <w:rFonts w:ascii="宋体"/>
              </w:rPr>
            </w:pPr>
          </w:p>
        </w:tc>
        <w:tc>
          <w:tcPr>
            <w:tcW w:w="50" w:type="pct"/>
            <w:shd w:val="clear" w:color="auto" w:fill="auto"/>
            <w:vAlign w:val="bottom"/>
          </w:tcPr>
          <w:p w14:paraId="71D439CD" w14:textId="77777777" w:rsidR="006A3667" w:rsidRDefault="006A3667">
            <w:pPr>
              <w:rPr>
                <w:rFonts w:ascii="宋体"/>
              </w:rPr>
            </w:pPr>
          </w:p>
        </w:tc>
        <w:tc>
          <w:tcPr>
            <w:tcW w:w="317" w:type="pct"/>
            <w:shd w:val="clear" w:color="auto" w:fill="auto"/>
            <w:vAlign w:val="bottom"/>
          </w:tcPr>
          <w:p w14:paraId="71D439CE" w14:textId="77777777" w:rsidR="006A3667" w:rsidRDefault="006A3667">
            <w:pPr>
              <w:rPr>
                <w:rFonts w:ascii="宋体"/>
              </w:rPr>
            </w:pPr>
          </w:p>
        </w:tc>
        <w:tc>
          <w:tcPr>
            <w:tcW w:w="5" w:type="pct"/>
            <w:shd w:val="clear" w:color="auto" w:fill="auto"/>
            <w:vAlign w:val="bottom"/>
          </w:tcPr>
          <w:p w14:paraId="71D439CF" w14:textId="77777777" w:rsidR="006A3667" w:rsidRDefault="006A3667">
            <w:pPr>
              <w:rPr>
                <w:rFonts w:ascii="宋体"/>
              </w:rPr>
            </w:pPr>
          </w:p>
        </w:tc>
        <w:tc>
          <w:tcPr>
            <w:tcW w:w="5" w:type="pct"/>
            <w:shd w:val="clear" w:color="auto" w:fill="auto"/>
            <w:vAlign w:val="bottom"/>
          </w:tcPr>
          <w:p w14:paraId="71D439D0" w14:textId="77777777" w:rsidR="006A3667" w:rsidRDefault="006A3667">
            <w:pPr>
              <w:rPr>
                <w:rFonts w:ascii="宋体"/>
              </w:rPr>
            </w:pPr>
          </w:p>
        </w:tc>
        <w:tc>
          <w:tcPr>
            <w:tcW w:w="19" w:type="pct"/>
            <w:shd w:val="clear" w:color="auto" w:fill="auto"/>
            <w:vAlign w:val="bottom"/>
          </w:tcPr>
          <w:p w14:paraId="71D439D1" w14:textId="77777777" w:rsidR="006A3667" w:rsidRDefault="006A3667">
            <w:pPr>
              <w:rPr>
                <w:rFonts w:ascii="宋体"/>
              </w:rPr>
            </w:pPr>
          </w:p>
        </w:tc>
        <w:tc>
          <w:tcPr>
            <w:tcW w:w="5" w:type="pct"/>
            <w:shd w:val="clear" w:color="auto" w:fill="auto"/>
            <w:vAlign w:val="bottom"/>
          </w:tcPr>
          <w:p w14:paraId="71D439D2" w14:textId="77777777" w:rsidR="006A3667" w:rsidRDefault="006A3667">
            <w:pPr>
              <w:rPr>
                <w:rFonts w:ascii="宋体"/>
              </w:rPr>
            </w:pPr>
          </w:p>
        </w:tc>
        <w:tc>
          <w:tcPr>
            <w:tcW w:w="50" w:type="pct"/>
            <w:shd w:val="clear" w:color="auto" w:fill="auto"/>
            <w:vAlign w:val="bottom"/>
          </w:tcPr>
          <w:p w14:paraId="71D439D3" w14:textId="77777777" w:rsidR="006A3667" w:rsidRDefault="006A3667">
            <w:pPr>
              <w:rPr>
                <w:rFonts w:ascii="宋体"/>
              </w:rPr>
            </w:pPr>
          </w:p>
        </w:tc>
        <w:tc>
          <w:tcPr>
            <w:tcW w:w="463" w:type="pct"/>
            <w:shd w:val="clear" w:color="auto" w:fill="auto"/>
            <w:vAlign w:val="bottom"/>
          </w:tcPr>
          <w:p w14:paraId="71D439D4" w14:textId="77777777" w:rsidR="006A3667" w:rsidRDefault="006A3667">
            <w:pPr>
              <w:rPr>
                <w:rFonts w:ascii="宋体"/>
              </w:rPr>
            </w:pPr>
          </w:p>
        </w:tc>
        <w:tc>
          <w:tcPr>
            <w:tcW w:w="5" w:type="pct"/>
            <w:shd w:val="clear" w:color="auto" w:fill="auto"/>
            <w:vAlign w:val="bottom"/>
          </w:tcPr>
          <w:p w14:paraId="71D439D5" w14:textId="77777777" w:rsidR="006A3667" w:rsidRDefault="006A3667">
            <w:pPr>
              <w:rPr>
                <w:rFonts w:ascii="宋体"/>
              </w:rPr>
            </w:pPr>
          </w:p>
        </w:tc>
        <w:tc>
          <w:tcPr>
            <w:tcW w:w="5" w:type="pct"/>
            <w:shd w:val="clear" w:color="auto" w:fill="auto"/>
            <w:vAlign w:val="bottom"/>
          </w:tcPr>
          <w:p w14:paraId="71D439D6" w14:textId="77777777" w:rsidR="006A3667" w:rsidRDefault="006A3667">
            <w:pPr>
              <w:rPr>
                <w:rFonts w:ascii="宋体"/>
              </w:rPr>
            </w:pPr>
          </w:p>
        </w:tc>
        <w:tc>
          <w:tcPr>
            <w:tcW w:w="19" w:type="pct"/>
            <w:shd w:val="clear" w:color="auto" w:fill="auto"/>
            <w:vAlign w:val="bottom"/>
          </w:tcPr>
          <w:p w14:paraId="71D439D7" w14:textId="77777777" w:rsidR="006A3667" w:rsidRDefault="006A3667">
            <w:pPr>
              <w:rPr>
                <w:rFonts w:ascii="宋体"/>
              </w:rPr>
            </w:pPr>
          </w:p>
        </w:tc>
        <w:tc>
          <w:tcPr>
            <w:tcW w:w="5" w:type="pct"/>
            <w:shd w:val="clear" w:color="auto" w:fill="auto"/>
            <w:vAlign w:val="bottom"/>
          </w:tcPr>
          <w:p w14:paraId="71D439D8" w14:textId="77777777" w:rsidR="006A3667" w:rsidRDefault="006A3667">
            <w:pPr>
              <w:rPr>
                <w:rFonts w:ascii="宋体"/>
              </w:rPr>
            </w:pPr>
          </w:p>
        </w:tc>
        <w:tc>
          <w:tcPr>
            <w:tcW w:w="50" w:type="pct"/>
            <w:shd w:val="clear" w:color="auto" w:fill="auto"/>
            <w:vAlign w:val="bottom"/>
          </w:tcPr>
          <w:p w14:paraId="71D439D9" w14:textId="77777777" w:rsidR="006A3667" w:rsidRDefault="006A3667">
            <w:pPr>
              <w:rPr>
                <w:rFonts w:ascii="宋体"/>
              </w:rPr>
            </w:pPr>
          </w:p>
        </w:tc>
        <w:tc>
          <w:tcPr>
            <w:tcW w:w="303" w:type="pct"/>
            <w:shd w:val="clear" w:color="auto" w:fill="auto"/>
            <w:vAlign w:val="bottom"/>
          </w:tcPr>
          <w:p w14:paraId="71D439DA" w14:textId="77777777" w:rsidR="006A3667" w:rsidRDefault="006A3667">
            <w:pPr>
              <w:rPr>
                <w:rFonts w:ascii="宋体"/>
              </w:rPr>
            </w:pPr>
          </w:p>
        </w:tc>
        <w:tc>
          <w:tcPr>
            <w:tcW w:w="5" w:type="pct"/>
            <w:shd w:val="clear" w:color="auto" w:fill="auto"/>
            <w:vAlign w:val="bottom"/>
          </w:tcPr>
          <w:p w14:paraId="71D439DB" w14:textId="77777777" w:rsidR="006A3667" w:rsidRDefault="006A3667">
            <w:pPr>
              <w:rPr>
                <w:rFonts w:ascii="宋体"/>
              </w:rPr>
            </w:pPr>
          </w:p>
        </w:tc>
        <w:tc>
          <w:tcPr>
            <w:tcW w:w="5" w:type="pct"/>
            <w:shd w:val="clear" w:color="auto" w:fill="auto"/>
            <w:vAlign w:val="bottom"/>
          </w:tcPr>
          <w:p w14:paraId="71D439DC" w14:textId="77777777" w:rsidR="006A3667" w:rsidRDefault="006A3667">
            <w:pPr>
              <w:rPr>
                <w:rFonts w:ascii="宋体"/>
              </w:rPr>
            </w:pPr>
          </w:p>
        </w:tc>
        <w:tc>
          <w:tcPr>
            <w:tcW w:w="19" w:type="pct"/>
            <w:shd w:val="clear" w:color="auto" w:fill="auto"/>
            <w:vAlign w:val="bottom"/>
          </w:tcPr>
          <w:p w14:paraId="71D439DD" w14:textId="77777777" w:rsidR="006A3667" w:rsidRDefault="006A3667">
            <w:pPr>
              <w:rPr>
                <w:rFonts w:ascii="宋体"/>
              </w:rPr>
            </w:pPr>
          </w:p>
        </w:tc>
        <w:tc>
          <w:tcPr>
            <w:tcW w:w="5" w:type="pct"/>
            <w:shd w:val="clear" w:color="auto" w:fill="auto"/>
            <w:vAlign w:val="bottom"/>
          </w:tcPr>
          <w:p w14:paraId="71D439DE" w14:textId="77777777" w:rsidR="006A3667" w:rsidRDefault="006A3667">
            <w:pPr>
              <w:rPr>
                <w:rFonts w:ascii="宋体"/>
              </w:rPr>
            </w:pPr>
          </w:p>
        </w:tc>
        <w:tc>
          <w:tcPr>
            <w:tcW w:w="0" w:type="auto"/>
            <w:shd w:val="clear" w:color="auto" w:fill="auto"/>
            <w:vAlign w:val="bottom"/>
          </w:tcPr>
          <w:p w14:paraId="71D439DF" w14:textId="77777777" w:rsidR="006A3667" w:rsidRDefault="006A3667">
            <w:pPr>
              <w:rPr>
                <w:rFonts w:ascii="宋体"/>
                <w:vanish/>
              </w:rPr>
            </w:pPr>
          </w:p>
        </w:tc>
        <w:tc>
          <w:tcPr>
            <w:tcW w:w="0" w:type="auto"/>
            <w:shd w:val="clear" w:color="auto" w:fill="auto"/>
            <w:vAlign w:val="bottom"/>
          </w:tcPr>
          <w:p w14:paraId="71D439E0" w14:textId="77777777" w:rsidR="006A3667" w:rsidRDefault="006A3667">
            <w:pPr>
              <w:rPr>
                <w:rFonts w:ascii="宋体"/>
                <w:vanish/>
              </w:rPr>
            </w:pPr>
          </w:p>
        </w:tc>
        <w:tc>
          <w:tcPr>
            <w:tcW w:w="50" w:type="pct"/>
            <w:shd w:val="clear" w:color="auto" w:fill="auto"/>
            <w:vAlign w:val="bottom"/>
          </w:tcPr>
          <w:p w14:paraId="71D439E1" w14:textId="77777777" w:rsidR="006A3667" w:rsidRDefault="006A3667">
            <w:pPr>
              <w:rPr>
                <w:rFonts w:ascii="宋体"/>
              </w:rPr>
            </w:pPr>
          </w:p>
        </w:tc>
        <w:tc>
          <w:tcPr>
            <w:tcW w:w="200" w:type="pct"/>
            <w:shd w:val="clear" w:color="auto" w:fill="auto"/>
            <w:vAlign w:val="bottom"/>
          </w:tcPr>
          <w:p w14:paraId="71D439E2" w14:textId="77777777" w:rsidR="006A3667" w:rsidRDefault="006A3667">
            <w:pPr>
              <w:rPr>
                <w:rFonts w:ascii="宋体"/>
              </w:rPr>
            </w:pPr>
          </w:p>
        </w:tc>
        <w:tc>
          <w:tcPr>
            <w:tcW w:w="5" w:type="pct"/>
            <w:shd w:val="clear" w:color="auto" w:fill="auto"/>
            <w:vAlign w:val="bottom"/>
          </w:tcPr>
          <w:p w14:paraId="71D439E3" w14:textId="77777777" w:rsidR="006A3667" w:rsidRDefault="006A3667">
            <w:pPr>
              <w:rPr>
                <w:rFonts w:ascii="宋体"/>
              </w:rPr>
            </w:pPr>
          </w:p>
        </w:tc>
        <w:tc>
          <w:tcPr>
            <w:tcW w:w="5" w:type="pct"/>
            <w:shd w:val="clear" w:color="auto" w:fill="auto"/>
            <w:vAlign w:val="bottom"/>
          </w:tcPr>
          <w:p w14:paraId="71D439E4" w14:textId="77777777" w:rsidR="006A3667" w:rsidRDefault="006A3667">
            <w:pPr>
              <w:rPr>
                <w:rFonts w:ascii="宋体"/>
              </w:rPr>
            </w:pPr>
          </w:p>
        </w:tc>
        <w:tc>
          <w:tcPr>
            <w:tcW w:w="19" w:type="pct"/>
            <w:shd w:val="clear" w:color="auto" w:fill="auto"/>
            <w:vAlign w:val="bottom"/>
          </w:tcPr>
          <w:p w14:paraId="71D439E5" w14:textId="77777777" w:rsidR="006A3667" w:rsidRDefault="006A3667">
            <w:pPr>
              <w:rPr>
                <w:rFonts w:ascii="宋体"/>
              </w:rPr>
            </w:pPr>
          </w:p>
        </w:tc>
        <w:tc>
          <w:tcPr>
            <w:tcW w:w="5" w:type="pct"/>
            <w:shd w:val="clear" w:color="auto" w:fill="auto"/>
            <w:vAlign w:val="bottom"/>
          </w:tcPr>
          <w:p w14:paraId="71D439E6" w14:textId="77777777" w:rsidR="006A3667" w:rsidRDefault="006A3667">
            <w:pPr>
              <w:rPr>
                <w:rFonts w:ascii="宋体"/>
              </w:rPr>
            </w:pPr>
          </w:p>
        </w:tc>
        <w:tc>
          <w:tcPr>
            <w:tcW w:w="50" w:type="pct"/>
            <w:shd w:val="clear" w:color="auto" w:fill="auto"/>
            <w:vAlign w:val="bottom"/>
          </w:tcPr>
          <w:p w14:paraId="71D439E7" w14:textId="77777777" w:rsidR="006A3667" w:rsidRDefault="006A3667">
            <w:pPr>
              <w:rPr>
                <w:rFonts w:ascii="宋体"/>
              </w:rPr>
            </w:pPr>
          </w:p>
        </w:tc>
        <w:tc>
          <w:tcPr>
            <w:tcW w:w="347" w:type="pct"/>
            <w:shd w:val="clear" w:color="auto" w:fill="auto"/>
            <w:vAlign w:val="bottom"/>
          </w:tcPr>
          <w:p w14:paraId="71D439E8" w14:textId="77777777" w:rsidR="006A3667" w:rsidRDefault="006A3667">
            <w:pPr>
              <w:rPr>
                <w:rFonts w:ascii="宋体"/>
              </w:rPr>
            </w:pPr>
          </w:p>
        </w:tc>
        <w:tc>
          <w:tcPr>
            <w:tcW w:w="5" w:type="pct"/>
            <w:shd w:val="clear" w:color="auto" w:fill="auto"/>
            <w:vAlign w:val="bottom"/>
          </w:tcPr>
          <w:p w14:paraId="71D439E9" w14:textId="77777777" w:rsidR="006A3667" w:rsidRDefault="006A3667">
            <w:pPr>
              <w:rPr>
                <w:rFonts w:ascii="宋体"/>
              </w:rPr>
            </w:pPr>
          </w:p>
        </w:tc>
        <w:tc>
          <w:tcPr>
            <w:tcW w:w="5" w:type="pct"/>
            <w:shd w:val="clear" w:color="auto" w:fill="auto"/>
            <w:vAlign w:val="bottom"/>
          </w:tcPr>
          <w:p w14:paraId="71D439EA" w14:textId="77777777" w:rsidR="006A3667" w:rsidRDefault="006A3667">
            <w:pPr>
              <w:rPr>
                <w:rFonts w:ascii="宋体"/>
              </w:rPr>
            </w:pPr>
          </w:p>
        </w:tc>
        <w:tc>
          <w:tcPr>
            <w:tcW w:w="19" w:type="pct"/>
            <w:shd w:val="clear" w:color="auto" w:fill="auto"/>
            <w:vAlign w:val="bottom"/>
          </w:tcPr>
          <w:p w14:paraId="71D439EB" w14:textId="77777777" w:rsidR="006A3667" w:rsidRDefault="006A3667">
            <w:pPr>
              <w:rPr>
                <w:rFonts w:ascii="宋体"/>
              </w:rPr>
            </w:pPr>
          </w:p>
        </w:tc>
        <w:tc>
          <w:tcPr>
            <w:tcW w:w="5" w:type="pct"/>
            <w:shd w:val="clear" w:color="auto" w:fill="auto"/>
            <w:vAlign w:val="bottom"/>
          </w:tcPr>
          <w:p w14:paraId="71D439EC" w14:textId="77777777" w:rsidR="006A3667" w:rsidRDefault="006A3667">
            <w:pPr>
              <w:rPr>
                <w:rFonts w:ascii="宋体"/>
              </w:rPr>
            </w:pPr>
          </w:p>
        </w:tc>
        <w:tc>
          <w:tcPr>
            <w:tcW w:w="50" w:type="pct"/>
            <w:shd w:val="clear" w:color="auto" w:fill="auto"/>
            <w:vAlign w:val="bottom"/>
          </w:tcPr>
          <w:p w14:paraId="71D439ED" w14:textId="77777777" w:rsidR="006A3667" w:rsidRDefault="006A3667">
            <w:pPr>
              <w:rPr>
                <w:rFonts w:ascii="宋体"/>
              </w:rPr>
            </w:pPr>
          </w:p>
        </w:tc>
        <w:tc>
          <w:tcPr>
            <w:tcW w:w="273" w:type="pct"/>
            <w:shd w:val="clear" w:color="auto" w:fill="auto"/>
            <w:vAlign w:val="bottom"/>
          </w:tcPr>
          <w:p w14:paraId="71D439EE" w14:textId="77777777" w:rsidR="006A3667" w:rsidRDefault="006A3667">
            <w:pPr>
              <w:rPr>
                <w:rFonts w:ascii="宋体"/>
              </w:rPr>
            </w:pPr>
          </w:p>
        </w:tc>
        <w:tc>
          <w:tcPr>
            <w:tcW w:w="5" w:type="pct"/>
            <w:shd w:val="clear" w:color="auto" w:fill="auto"/>
            <w:vAlign w:val="bottom"/>
          </w:tcPr>
          <w:p w14:paraId="71D439EF" w14:textId="77777777" w:rsidR="006A3667" w:rsidRDefault="006A3667">
            <w:pPr>
              <w:rPr>
                <w:rFonts w:ascii="宋体"/>
              </w:rPr>
            </w:pPr>
          </w:p>
        </w:tc>
        <w:tc>
          <w:tcPr>
            <w:tcW w:w="5" w:type="pct"/>
            <w:shd w:val="clear" w:color="auto" w:fill="auto"/>
            <w:vAlign w:val="bottom"/>
          </w:tcPr>
          <w:p w14:paraId="71D439F0" w14:textId="77777777" w:rsidR="006A3667" w:rsidRDefault="006A3667">
            <w:pPr>
              <w:rPr>
                <w:rFonts w:ascii="宋体"/>
              </w:rPr>
            </w:pPr>
          </w:p>
        </w:tc>
        <w:tc>
          <w:tcPr>
            <w:tcW w:w="19" w:type="pct"/>
            <w:shd w:val="clear" w:color="auto" w:fill="auto"/>
            <w:vAlign w:val="bottom"/>
          </w:tcPr>
          <w:p w14:paraId="71D439F1" w14:textId="77777777" w:rsidR="006A3667" w:rsidRDefault="006A3667">
            <w:pPr>
              <w:rPr>
                <w:rFonts w:ascii="宋体"/>
              </w:rPr>
            </w:pPr>
          </w:p>
        </w:tc>
        <w:tc>
          <w:tcPr>
            <w:tcW w:w="5" w:type="pct"/>
            <w:shd w:val="clear" w:color="auto" w:fill="auto"/>
            <w:vAlign w:val="bottom"/>
          </w:tcPr>
          <w:p w14:paraId="71D439F2" w14:textId="77777777" w:rsidR="006A3667" w:rsidRDefault="006A3667">
            <w:pPr>
              <w:rPr>
                <w:rFonts w:ascii="宋体"/>
              </w:rPr>
            </w:pPr>
          </w:p>
        </w:tc>
        <w:tc>
          <w:tcPr>
            <w:tcW w:w="50" w:type="pct"/>
            <w:shd w:val="clear" w:color="auto" w:fill="auto"/>
            <w:vAlign w:val="bottom"/>
          </w:tcPr>
          <w:p w14:paraId="71D439F3" w14:textId="77777777" w:rsidR="006A3667" w:rsidRDefault="006A3667">
            <w:pPr>
              <w:rPr>
                <w:rFonts w:ascii="宋体"/>
              </w:rPr>
            </w:pPr>
          </w:p>
        </w:tc>
        <w:tc>
          <w:tcPr>
            <w:tcW w:w="273" w:type="pct"/>
            <w:shd w:val="clear" w:color="auto" w:fill="auto"/>
            <w:vAlign w:val="bottom"/>
          </w:tcPr>
          <w:p w14:paraId="71D439F4" w14:textId="77777777" w:rsidR="006A3667" w:rsidRDefault="006A3667">
            <w:pPr>
              <w:rPr>
                <w:rFonts w:ascii="宋体"/>
              </w:rPr>
            </w:pPr>
          </w:p>
        </w:tc>
        <w:tc>
          <w:tcPr>
            <w:tcW w:w="5" w:type="pct"/>
            <w:shd w:val="clear" w:color="auto" w:fill="auto"/>
            <w:vAlign w:val="bottom"/>
          </w:tcPr>
          <w:p w14:paraId="71D439F5" w14:textId="77777777" w:rsidR="006A3667" w:rsidRDefault="006A3667">
            <w:pPr>
              <w:rPr>
                <w:rFonts w:ascii="宋体"/>
              </w:rPr>
            </w:pPr>
          </w:p>
        </w:tc>
        <w:tc>
          <w:tcPr>
            <w:tcW w:w="5" w:type="pct"/>
            <w:shd w:val="clear" w:color="auto" w:fill="auto"/>
            <w:vAlign w:val="bottom"/>
          </w:tcPr>
          <w:p w14:paraId="71D439F6" w14:textId="77777777" w:rsidR="006A3667" w:rsidRDefault="006A3667">
            <w:pPr>
              <w:rPr>
                <w:rFonts w:ascii="宋体"/>
              </w:rPr>
            </w:pPr>
          </w:p>
        </w:tc>
        <w:tc>
          <w:tcPr>
            <w:tcW w:w="19" w:type="pct"/>
            <w:shd w:val="clear" w:color="auto" w:fill="auto"/>
            <w:vAlign w:val="bottom"/>
          </w:tcPr>
          <w:p w14:paraId="71D439F7" w14:textId="77777777" w:rsidR="006A3667" w:rsidRDefault="006A3667">
            <w:pPr>
              <w:rPr>
                <w:rFonts w:ascii="宋体"/>
              </w:rPr>
            </w:pPr>
          </w:p>
        </w:tc>
        <w:tc>
          <w:tcPr>
            <w:tcW w:w="5" w:type="pct"/>
            <w:shd w:val="clear" w:color="auto" w:fill="auto"/>
            <w:vAlign w:val="bottom"/>
          </w:tcPr>
          <w:p w14:paraId="71D439F8" w14:textId="77777777" w:rsidR="006A3667" w:rsidRDefault="006A3667">
            <w:pPr>
              <w:rPr>
                <w:rFonts w:ascii="宋体"/>
              </w:rPr>
            </w:pPr>
          </w:p>
        </w:tc>
        <w:tc>
          <w:tcPr>
            <w:tcW w:w="50" w:type="pct"/>
            <w:shd w:val="clear" w:color="auto" w:fill="auto"/>
            <w:vAlign w:val="bottom"/>
          </w:tcPr>
          <w:p w14:paraId="71D439F9" w14:textId="77777777" w:rsidR="006A3667" w:rsidRDefault="006A3667">
            <w:pPr>
              <w:rPr>
                <w:rFonts w:ascii="宋体"/>
              </w:rPr>
            </w:pPr>
          </w:p>
        </w:tc>
        <w:tc>
          <w:tcPr>
            <w:tcW w:w="412" w:type="pct"/>
            <w:shd w:val="clear" w:color="auto" w:fill="auto"/>
            <w:vAlign w:val="bottom"/>
          </w:tcPr>
          <w:p w14:paraId="71D439FA" w14:textId="77777777" w:rsidR="006A3667" w:rsidRDefault="006A3667">
            <w:pPr>
              <w:rPr>
                <w:rFonts w:ascii="宋体"/>
              </w:rPr>
            </w:pPr>
          </w:p>
        </w:tc>
        <w:tc>
          <w:tcPr>
            <w:tcW w:w="5" w:type="pct"/>
            <w:shd w:val="clear" w:color="auto" w:fill="auto"/>
            <w:vAlign w:val="bottom"/>
          </w:tcPr>
          <w:p w14:paraId="71D439FB" w14:textId="77777777" w:rsidR="006A3667" w:rsidRDefault="006A3667">
            <w:pPr>
              <w:rPr>
                <w:rFonts w:ascii="宋体"/>
              </w:rPr>
            </w:pPr>
          </w:p>
        </w:tc>
        <w:tc>
          <w:tcPr>
            <w:tcW w:w="5" w:type="pct"/>
            <w:shd w:val="clear" w:color="auto" w:fill="auto"/>
            <w:vAlign w:val="bottom"/>
          </w:tcPr>
          <w:p w14:paraId="71D439FC" w14:textId="77777777" w:rsidR="006A3667" w:rsidRDefault="006A3667">
            <w:pPr>
              <w:rPr>
                <w:rFonts w:ascii="宋体"/>
              </w:rPr>
            </w:pPr>
          </w:p>
        </w:tc>
        <w:tc>
          <w:tcPr>
            <w:tcW w:w="19" w:type="pct"/>
            <w:shd w:val="clear" w:color="auto" w:fill="auto"/>
            <w:vAlign w:val="bottom"/>
          </w:tcPr>
          <w:p w14:paraId="71D439FD" w14:textId="77777777" w:rsidR="006A3667" w:rsidRDefault="006A3667">
            <w:pPr>
              <w:rPr>
                <w:rFonts w:ascii="宋体"/>
              </w:rPr>
            </w:pPr>
          </w:p>
        </w:tc>
        <w:tc>
          <w:tcPr>
            <w:tcW w:w="5" w:type="pct"/>
            <w:shd w:val="clear" w:color="auto" w:fill="auto"/>
            <w:vAlign w:val="bottom"/>
          </w:tcPr>
          <w:p w14:paraId="71D439FE" w14:textId="77777777" w:rsidR="006A3667" w:rsidRDefault="006A3667">
            <w:pPr>
              <w:rPr>
                <w:rFonts w:ascii="宋体"/>
              </w:rPr>
            </w:pPr>
          </w:p>
        </w:tc>
      </w:tr>
      <w:tr w:rsidR="006A3667" w14:paraId="71D43A05" w14:textId="77777777">
        <w:tc>
          <w:tcPr>
            <w:tcW w:w="0" w:type="auto"/>
            <w:gridSpan w:val="3"/>
            <w:shd w:val="clear" w:color="auto" w:fill="auto"/>
            <w:tcMar>
              <w:top w:w="0" w:type="dxa"/>
              <w:left w:w="20" w:type="dxa"/>
              <w:bottom w:w="0" w:type="dxa"/>
              <w:right w:w="20" w:type="dxa"/>
            </w:tcMar>
            <w:vAlign w:val="bottom"/>
          </w:tcPr>
          <w:p w14:paraId="71D43A00" w14:textId="77777777" w:rsidR="006A3667" w:rsidRDefault="006A3667">
            <w:pPr>
              <w:rPr>
                <w:rFonts w:ascii="宋体"/>
              </w:rPr>
            </w:pPr>
          </w:p>
        </w:tc>
        <w:tc>
          <w:tcPr>
            <w:tcW w:w="0" w:type="auto"/>
            <w:gridSpan w:val="53"/>
            <w:shd w:val="clear" w:color="auto" w:fill="auto"/>
            <w:tcMar>
              <w:top w:w="40" w:type="dxa"/>
              <w:left w:w="20" w:type="dxa"/>
              <w:bottom w:w="40" w:type="dxa"/>
              <w:right w:w="20" w:type="dxa"/>
            </w:tcMar>
            <w:vAlign w:val="bottom"/>
          </w:tcPr>
          <w:p w14:paraId="71D43A01" w14:textId="77777777" w:rsidR="006A3667" w:rsidRDefault="00045F32">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71D43A02" w14:textId="77777777" w:rsidR="006A3667" w:rsidRDefault="006A3667">
            <w:pPr>
              <w:rPr>
                <w:rFonts w:ascii="宋体"/>
              </w:rPr>
            </w:pPr>
          </w:p>
        </w:tc>
        <w:tc>
          <w:tcPr>
            <w:tcW w:w="0" w:type="auto"/>
            <w:shd w:val="clear" w:color="auto" w:fill="auto"/>
            <w:vAlign w:val="bottom"/>
          </w:tcPr>
          <w:p w14:paraId="71D43A03" w14:textId="77777777" w:rsidR="006A3667" w:rsidRDefault="006A3667">
            <w:pPr>
              <w:rPr>
                <w:rFonts w:ascii="宋体"/>
              </w:rPr>
            </w:pPr>
          </w:p>
        </w:tc>
        <w:tc>
          <w:tcPr>
            <w:tcW w:w="0" w:type="auto"/>
            <w:shd w:val="clear" w:color="auto" w:fill="auto"/>
            <w:vAlign w:val="bottom"/>
          </w:tcPr>
          <w:p w14:paraId="71D43A04" w14:textId="77777777" w:rsidR="006A3667" w:rsidRDefault="006A3667">
            <w:pPr>
              <w:rPr>
                <w:rFonts w:ascii="宋体"/>
              </w:rPr>
            </w:pPr>
          </w:p>
        </w:tc>
      </w:tr>
      <w:tr w:rsidR="006A3667" w14:paraId="71D43A0B" w14:textId="77777777">
        <w:tc>
          <w:tcPr>
            <w:tcW w:w="0" w:type="auto"/>
            <w:gridSpan w:val="3"/>
            <w:shd w:val="clear" w:color="auto" w:fill="auto"/>
            <w:tcMar>
              <w:top w:w="40" w:type="dxa"/>
              <w:left w:w="20" w:type="dxa"/>
              <w:bottom w:w="40" w:type="dxa"/>
              <w:right w:w="20" w:type="dxa"/>
            </w:tcMar>
            <w:vAlign w:val="bottom"/>
          </w:tcPr>
          <w:p w14:paraId="71D43A06" w14:textId="77777777" w:rsidR="006A3667" w:rsidRDefault="00045F32">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71D43A07" w14:textId="77777777" w:rsidR="006A3667" w:rsidRDefault="00045F32">
            <w:pPr>
              <w:jc w:val="center"/>
              <w:textAlignment w:val="bottom"/>
            </w:pPr>
            <w:r>
              <w:rPr>
                <w:rFonts w:ascii="Arial" w:eastAsia="宋体" w:hAnsi="Arial" w:cs="Arial"/>
                <w:b/>
                <w:bCs/>
                <w:color w:val="000000"/>
                <w:sz w:val="12"/>
                <w:szCs w:val="12"/>
              </w:rPr>
              <w:t>Three Months Ended September 30, 2022</w:t>
            </w:r>
          </w:p>
        </w:tc>
        <w:tc>
          <w:tcPr>
            <w:tcW w:w="0" w:type="auto"/>
            <w:shd w:val="clear" w:color="auto" w:fill="auto"/>
            <w:vAlign w:val="bottom"/>
          </w:tcPr>
          <w:p w14:paraId="71D43A08" w14:textId="77777777" w:rsidR="006A3667" w:rsidRDefault="006A3667">
            <w:pPr>
              <w:rPr>
                <w:rFonts w:ascii="宋体"/>
              </w:rPr>
            </w:pPr>
          </w:p>
        </w:tc>
        <w:tc>
          <w:tcPr>
            <w:tcW w:w="0" w:type="auto"/>
            <w:shd w:val="clear" w:color="auto" w:fill="auto"/>
            <w:vAlign w:val="bottom"/>
          </w:tcPr>
          <w:p w14:paraId="71D43A09" w14:textId="77777777" w:rsidR="006A3667" w:rsidRDefault="006A3667">
            <w:pPr>
              <w:rPr>
                <w:rFonts w:ascii="宋体"/>
              </w:rPr>
            </w:pPr>
          </w:p>
        </w:tc>
        <w:tc>
          <w:tcPr>
            <w:tcW w:w="0" w:type="auto"/>
            <w:shd w:val="clear" w:color="auto" w:fill="auto"/>
            <w:vAlign w:val="bottom"/>
          </w:tcPr>
          <w:p w14:paraId="71D43A0A" w14:textId="77777777" w:rsidR="006A3667" w:rsidRDefault="006A3667">
            <w:pPr>
              <w:rPr>
                <w:rFonts w:ascii="宋体"/>
              </w:rPr>
            </w:pPr>
          </w:p>
        </w:tc>
      </w:tr>
      <w:tr w:rsidR="006A3667" w14:paraId="71D43A24" w14:textId="77777777">
        <w:trPr>
          <w:trHeight w:val="400"/>
        </w:trPr>
        <w:tc>
          <w:tcPr>
            <w:tcW w:w="0" w:type="auto"/>
            <w:gridSpan w:val="3"/>
            <w:shd w:val="clear" w:color="auto" w:fill="auto"/>
            <w:tcMar>
              <w:top w:w="40" w:type="dxa"/>
              <w:left w:w="20" w:type="dxa"/>
              <w:bottom w:w="40" w:type="dxa"/>
              <w:right w:w="20" w:type="dxa"/>
            </w:tcMar>
            <w:vAlign w:val="bottom"/>
          </w:tcPr>
          <w:p w14:paraId="71D43A0C" w14:textId="77777777" w:rsidR="006A3667" w:rsidRDefault="00045F32">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A0D" w14:textId="77777777" w:rsidR="006A3667" w:rsidRDefault="00045F32">
            <w:pPr>
              <w:jc w:val="center"/>
              <w:textAlignment w:val="bottom"/>
            </w:pPr>
            <w:r>
              <w:rPr>
                <w:rFonts w:ascii="Arial" w:eastAsia="宋体" w:hAnsi="Arial" w:cs="Arial"/>
                <w:b/>
                <w:bCs/>
                <w:color w:val="000000"/>
                <w:sz w:val="12"/>
                <w:szCs w:val="12"/>
              </w:rPr>
              <w:t>Fair Value as of June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0E"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3A0F" w14:textId="77777777" w:rsidR="006A3667" w:rsidRDefault="00045F32">
            <w:pPr>
              <w:jc w:val="center"/>
              <w:textAlignment w:val="bottom"/>
            </w:pPr>
            <w:r>
              <w:rPr>
                <w:rFonts w:ascii="Arial" w:eastAsia="宋体" w:hAnsi="Arial" w:cs="Arial"/>
                <w:b/>
                <w:bCs/>
                <w:color w:val="000000"/>
                <w:sz w:val="12"/>
                <w:szCs w:val="12"/>
              </w:rPr>
              <w:t>Total Realized and</w:t>
            </w:r>
          </w:p>
          <w:p w14:paraId="71D43A10" w14:textId="77777777" w:rsidR="006A3667" w:rsidRDefault="00045F32">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11"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A12" w14:textId="77777777" w:rsidR="006A3667" w:rsidRDefault="00045F32">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13" w14:textId="77777777" w:rsidR="006A3667" w:rsidRDefault="006A3667">
            <w:pPr>
              <w:rPr>
                <w:rFonts w:ascii="宋体"/>
              </w:rPr>
            </w:pPr>
          </w:p>
        </w:tc>
        <w:tc>
          <w:tcPr>
            <w:tcW w:w="0" w:type="auto"/>
            <w:shd w:val="clear" w:color="auto" w:fill="auto"/>
            <w:vAlign w:val="bottom"/>
          </w:tcPr>
          <w:p w14:paraId="71D43A14" w14:textId="77777777" w:rsidR="006A3667" w:rsidRDefault="006A3667">
            <w:pPr>
              <w:rPr>
                <w:rFonts w:ascii="宋体"/>
                <w:vanish/>
              </w:rPr>
            </w:pPr>
          </w:p>
        </w:tc>
        <w:tc>
          <w:tcPr>
            <w:tcW w:w="0" w:type="auto"/>
            <w:shd w:val="clear" w:color="auto" w:fill="auto"/>
            <w:vAlign w:val="bottom"/>
          </w:tcPr>
          <w:p w14:paraId="71D43A15" w14:textId="77777777" w:rsidR="006A3667" w:rsidRDefault="006A3667">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A16" w14:textId="77777777" w:rsidR="006A3667" w:rsidRDefault="00045F32">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17"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A18" w14:textId="77777777" w:rsidR="006A3667" w:rsidRDefault="00045F32">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19"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A1A" w14:textId="77777777" w:rsidR="006A3667" w:rsidRDefault="00045F32">
            <w:pPr>
              <w:jc w:val="center"/>
              <w:textAlignment w:val="bottom"/>
            </w:pPr>
            <w:r>
              <w:rPr>
                <w:rFonts w:ascii="Arial" w:eastAsia="宋体" w:hAnsi="Arial" w:cs="Arial"/>
                <w:b/>
                <w:bCs/>
                <w:color w:val="000000"/>
                <w:sz w:val="12"/>
                <w:szCs w:val="12"/>
              </w:rPr>
              <w:t xml:space="preserve">Transfers into </w:t>
            </w:r>
          </w:p>
          <w:p w14:paraId="71D43A1B" w14:textId="77777777" w:rsidR="006A3667" w:rsidRDefault="00045F32">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1C"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A1D" w14:textId="77777777" w:rsidR="006A3667" w:rsidRDefault="00045F32">
            <w:pPr>
              <w:jc w:val="center"/>
              <w:textAlignment w:val="bottom"/>
            </w:pPr>
            <w:r>
              <w:rPr>
                <w:rFonts w:ascii="Arial" w:eastAsia="宋体" w:hAnsi="Arial" w:cs="Arial"/>
                <w:b/>
                <w:bCs/>
                <w:color w:val="000000"/>
                <w:sz w:val="12"/>
                <w:szCs w:val="12"/>
              </w:rPr>
              <w:t xml:space="preserve">Transfers </w:t>
            </w:r>
          </w:p>
          <w:p w14:paraId="71D43A1E" w14:textId="77777777" w:rsidR="006A3667" w:rsidRDefault="00045F32">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1F"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A20" w14:textId="77777777" w:rsidR="006A3667" w:rsidRDefault="00045F32">
            <w:pPr>
              <w:jc w:val="center"/>
              <w:textAlignment w:val="bottom"/>
            </w:pPr>
            <w:r>
              <w:rPr>
                <w:rFonts w:ascii="Arial" w:eastAsia="宋体" w:hAnsi="Arial" w:cs="Arial"/>
                <w:b/>
                <w:bCs/>
                <w:color w:val="000000"/>
                <w:sz w:val="12"/>
                <w:szCs w:val="12"/>
              </w:rPr>
              <w:t>Fair Value </w:t>
            </w:r>
          </w:p>
          <w:p w14:paraId="71D43A21" w14:textId="77777777" w:rsidR="006A3667" w:rsidRDefault="00045F32">
            <w:pPr>
              <w:jc w:val="center"/>
              <w:textAlignment w:val="bottom"/>
            </w:pPr>
            <w:r>
              <w:rPr>
                <w:rFonts w:ascii="Arial" w:eastAsia="宋体" w:hAnsi="Arial" w:cs="Arial"/>
                <w:b/>
                <w:bCs/>
                <w:color w:val="000000"/>
                <w:sz w:val="12"/>
                <w:szCs w:val="12"/>
              </w:rPr>
              <w:t>as of September 30, 2022</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3A22" w14:textId="77777777" w:rsidR="006A3667" w:rsidRDefault="006A3667">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1D43A23" w14:textId="77777777" w:rsidR="006A3667" w:rsidRDefault="00045F32">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September 30, 2022</w:t>
            </w:r>
          </w:p>
        </w:tc>
      </w:tr>
      <w:tr w:rsidR="006A3667" w14:paraId="71D43A3A" w14:textId="77777777">
        <w:trPr>
          <w:trHeight w:val="720"/>
        </w:trPr>
        <w:tc>
          <w:tcPr>
            <w:tcW w:w="0" w:type="auto"/>
            <w:gridSpan w:val="3"/>
            <w:shd w:val="clear" w:color="auto" w:fill="auto"/>
            <w:tcMar>
              <w:top w:w="40" w:type="dxa"/>
              <w:left w:w="20" w:type="dxa"/>
              <w:bottom w:w="40" w:type="dxa"/>
              <w:right w:w="20" w:type="dxa"/>
            </w:tcMar>
            <w:vAlign w:val="bottom"/>
          </w:tcPr>
          <w:p w14:paraId="71D43A25" w14:textId="77777777" w:rsidR="006A3667" w:rsidRDefault="00045F32">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3A26"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3A2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A28" w14:textId="77777777" w:rsidR="006A3667" w:rsidRDefault="00045F32">
            <w:pPr>
              <w:jc w:val="center"/>
              <w:textAlignment w:val="bottom"/>
            </w:pPr>
            <w:r>
              <w:rPr>
                <w:rFonts w:ascii="Arial" w:eastAsia="宋体" w:hAnsi="Arial" w:cs="Arial"/>
                <w:b/>
                <w:bCs/>
                <w:color w:val="000000"/>
                <w:sz w:val="12"/>
                <w:szCs w:val="12"/>
              </w:rPr>
              <w:t>Recorded i</w:t>
            </w:r>
            <w:r>
              <w:rPr>
                <w:rFonts w:ascii="Arial" w:eastAsia="宋体" w:hAnsi="Arial" w:cs="Arial"/>
                <w:b/>
                <w:bCs/>
                <w:color w:val="000000"/>
                <w:sz w:val="12"/>
                <w:szCs w:val="12"/>
              </w:rPr>
              <w:t>n 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2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3A2A" w14:textId="77777777" w:rsidR="006A3667" w:rsidRDefault="00045F32">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1D43A2B"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3A2C"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3A2D" w14:textId="77777777" w:rsidR="006A3667" w:rsidRDefault="006A3667">
            <w:pPr>
              <w:rPr>
                <w:rFonts w:ascii="宋体"/>
              </w:rPr>
            </w:pPr>
          </w:p>
        </w:tc>
        <w:tc>
          <w:tcPr>
            <w:tcW w:w="0" w:type="auto"/>
            <w:shd w:val="clear" w:color="auto" w:fill="auto"/>
            <w:vAlign w:val="bottom"/>
          </w:tcPr>
          <w:p w14:paraId="71D43A2E" w14:textId="77777777" w:rsidR="006A3667" w:rsidRDefault="006A3667">
            <w:pPr>
              <w:rPr>
                <w:rFonts w:ascii="宋体"/>
                <w:vanish/>
              </w:rPr>
            </w:pPr>
          </w:p>
        </w:tc>
        <w:tc>
          <w:tcPr>
            <w:tcW w:w="0" w:type="auto"/>
            <w:shd w:val="clear" w:color="auto" w:fill="auto"/>
            <w:vAlign w:val="bottom"/>
          </w:tcPr>
          <w:p w14:paraId="71D43A2F" w14:textId="77777777" w:rsidR="006A3667" w:rsidRDefault="006A3667">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3A30"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3A31"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3A32"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3A33"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3A3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35"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3A3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37"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3A3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39" w14:textId="77777777" w:rsidR="006A3667" w:rsidRDefault="006A3667">
            <w:pPr>
              <w:rPr>
                <w:rFonts w:ascii="宋体"/>
              </w:rPr>
            </w:pPr>
          </w:p>
        </w:tc>
      </w:tr>
      <w:tr w:rsidR="006A3667" w14:paraId="71D43A51" w14:textId="77777777">
        <w:tc>
          <w:tcPr>
            <w:tcW w:w="0" w:type="auto"/>
            <w:gridSpan w:val="3"/>
            <w:shd w:val="clear" w:color="auto" w:fill="auto"/>
            <w:tcMar>
              <w:top w:w="40" w:type="dxa"/>
              <w:left w:w="20" w:type="dxa"/>
              <w:bottom w:w="40" w:type="dxa"/>
              <w:right w:w="20" w:type="dxa"/>
            </w:tcMar>
            <w:vAlign w:val="center"/>
          </w:tcPr>
          <w:p w14:paraId="71D43A3B" w14:textId="77777777" w:rsidR="006A3667" w:rsidRDefault="00045F32">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3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3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3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3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4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4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4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43" w14:textId="77777777" w:rsidR="006A3667" w:rsidRDefault="006A3667">
            <w:pPr>
              <w:rPr>
                <w:rFonts w:ascii="宋体"/>
              </w:rPr>
            </w:pPr>
          </w:p>
        </w:tc>
        <w:tc>
          <w:tcPr>
            <w:tcW w:w="0" w:type="auto"/>
            <w:shd w:val="clear" w:color="auto" w:fill="auto"/>
            <w:vAlign w:val="bottom"/>
          </w:tcPr>
          <w:p w14:paraId="71D43A44" w14:textId="77777777" w:rsidR="006A3667" w:rsidRDefault="006A3667">
            <w:pPr>
              <w:rPr>
                <w:rFonts w:ascii="宋体"/>
                <w:vanish/>
              </w:rPr>
            </w:pPr>
          </w:p>
        </w:tc>
        <w:tc>
          <w:tcPr>
            <w:tcW w:w="0" w:type="auto"/>
            <w:shd w:val="clear" w:color="auto" w:fill="auto"/>
            <w:vAlign w:val="bottom"/>
          </w:tcPr>
          <w:p w14:paraId="71D43A45"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4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4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4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4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4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4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A4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A4E"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3A4F" w14:textId="77777777" w:rsidR="006A3667" w:rsidRDefault="006A3667">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1D43A50" w14:textId="77777777" w:rsidR="006A3667" w:rsidRDefault="006A3667">
            <w:pPr>
              <w:rPr>
                <w:rFonts w:ascii="宋体"/>
              </w:rPr>
            </w:pPr>
          </w:p>
        </w:tc>
      </w:tr>
      <w:tr w:rsidR="006A3667" w14:paraId="71D43A68" w14:textId="77777777">
        <w:trPr>
          <w:hidden/>
        </w:trPr>
        <w:tc>
          <w:tcPr>
            <w:tcW w:w="0" w:type="auto"/>
            <w:gridSpan w:val="3"/>
            <w:shd w:val="clear" w:color="auto" w:fill="auto"/>
            <w:vAlign w:val="bottom"/>
          </w:tcPr>
          <w:p w14:paraId="71D43A52" w14:textId="77777777" w:rsidR="006A3667" w:rsidRDefault="006A3667">
            <w:pPr>
              <w:rPr>
                <w:rFonts w:ascii="宋体"/>
                <w:vanish/>
              </w:rPr>
            </w:pPr>
          </w:p>
        </w:tc>
        <w:tc>
          <w:tcPr>
            <w:tcW w:w="0" w:type="auto"/>
            <w:gridSpan w:val="3"/>
            <w:shd w:val="clear" w:color="auto" w:fill="auto"/>
            <w:vAlign w:val="bottom"/>
          </w:tcPr>
          <w:p w14:paraId="71D43A53" w14:textId="77777777" w:rsidR="006A3667" w:rsidRDefault="006A3667">
            <w:pPr>
              <w:rPr>
                <w:rFonts w:ascii="宋体"/>
                <w:vanish/>
              </w:rPr>
            </w:pPr>
          </w:p>
        </w:tc>
        <w:tc>
          <w:tcPr>
            <w:tcW w:w="0" w:type="auto"/>
            <w:gridSpan w:val="3"/>
            <w:shd w:val="clear" w:color="auto" w:fill="auto"/>
            <w:vAlign w:val="bottom"/>
          </w:tcPr>
          <w:p w14:paraId="71D43A54" w14:textId="77777777" w:rsidR="006A3667" w:rsidRDefault="006A3667">
            <w:pPr>
              <w:rPr>
                <w:rFonts w:ascii="宋体"/>
                <w:vanish/>
              </w:rPr>
            </w:pPr>
          </w:p>
        </w:tc>
        <w:tc>
          <w:tcPr>
            <w:tcW w:w="0" w:type="auto"/>
            <w:gridSpan w:val="3"/>
            <w:shd w:val="clear" w:color="auto" w:fill="auto"/>
            <w:vAlign w:val="bottom"/>
          </w:tcPr>
          <w:p w14:paraId="71D43A55" w14:textId="77777777" w:rsidR="006A3667" w:rsidRDefault="006A3667">
            <w:pPr>
              <w:rPr>
                <w:rFonts w:ascii="宋体"/>
                <w:vanish/>
              </w:rPr>
            </w:pPr>
          </w:p>
        </w:tc>
        <w:tc>
          <w:tcPr>
            <w:tcW w:w="0" w:type="auto"/>
            <w:gridSpan w:val="3"/>
            <w:shd w:val="clear" w:color="auto" w:fill="auto"/>
            <w:vAlign w:val="bottom"/>
          </w:tcPr>
          <w:p w14:paraId="71D43A56" w14:textId="77777777" w:rsidR="006A3667" w:rsidRDefault="006A3667">
            <w:pPr>
              <w:rPr>
                <w:rFonts w:ascii="宋体"/>
                <w:vanish/>
              </w:rPr>
            </w:pPr>
          </w:p>
        </w:tc>
        <w:tc>
          <w:tcPr>
            <w:tcW w:w="0" w:type="auto"/>
            <w:gridSpan w:val="3"/>
            <w:shd w:val="clear" w:color="auto" w:fill="auto"/>
            <w:vAlign w:val="bottom"/>
          </w:tcPr>
          <w:p w14:paraId="71D43A57" w14:textId="77777777" w:rsidR="006A3667" w:rsidRDefault="006A3667">
            <w:pPr>
              <w:rPr>
                <w:rFonts w:ascii="宋体"/>
                <w:vanish/>
              </w:rPr>
            </w:pPr>
          </w:p>
        </w:tc>
        <w:tc>
          <w:tcPr>
            <w:tcW w:w="0" w:type="auto"/>
            <w:gridSpan w:val="3"/>
            <w:shd w:val="clear" w:color="auto" w:fill="auto"/>
            <w:vAlign w:val="bottom"/>
          </w:tcPr>
          <w:p w14:paraId="71D43A58" w14:textId="77777777" w:rsidR="006A3667" w:rsidRDefault="006A3667">
            <w:pPr>
              <w:rPr>
                <w:rFonts w:ascii="宋体"/>
                <w:vanish/>
              </w:rPr>
            </w:pPr>
          </w:p>
        </w:tc>
        <w:tc>
          <w:tcPr>
            <w:tcW w:w="0" w:type="auto"/>
            <w:gridSpan w:val="3"/>
            <w:shd w:val="clear" w:color="auto" w:fill="auto"/>
            <w:vAlign w:val="bottom"/>
          </w:tcPr>
          <w:p w14:paraId="71D43A59" w14:textId="77777777" w:rsidR="006A3667" w:rsidRDefault="006A3667">
            <w:pPr>
              <w:rPr>
                <w:rFonts w:ascii="宋体"/>
                <w:vanish/>
              </w:rPr>
            </w:pPr>
          </w:p>
        </w:tc>
        <w:tc>
          <w:tcPr>
            <w:tcW w:w="0" w:type="auto"/>
            <w:gridSpan w:val="3"/>
            <w:shd w:val="clear" w:color="auto" w:fill="auto"/>
            <w:vAlign w:val="bottom"/>
          </w:tcPr>
          <w:p w14:paraId="71D43A5A" w14:textId="77777777" w:rsidR="006A3667" w:rsidRDefault="006A3667">
            <w:pPr>
              <w:rPr>
                <w:rFonts w:ascii="宋体"/>
                <w:vanish/>
              </w:rPr>
            </w:pPr>
          </w:p>
        </w:tc>
        <w:tc>
          <w:tcPr>
            <w:tcW w:w="0" w:type="auto"/>
            <w:shd w:val="clear" w:color="auto" w:fill="auto"/>
            <w:vAlign w:val="bottom"/>
          </w:tcPr>
          <w:p w14:paraId="71D43A5B" w14:textId="77777777" w:rsidR="006A3667" w:rsidRDefault="006A3667">
            <w:pPr>
              <w:rPr>
                <w:rFonts w:ascii="宋体"/>
                <w:vanish/>
              </w:rPr>
            </w:pPr>
          </w:p>
        </w:tc>
        <w:tc>
          <w:tcPr>
            <w:tcW w:w="0" w:type="auto"/>
            <w:shd w:val="clear" w:color="auto" w:fill="auto"/>
            <w:vAlign w:val="bottom"/>
          </w:tcPr>
          <w:p w14:paraId="71D43A5C" w14:textId="77777777" w:rsidR="006A3667" w:rsidRDefault="006A3667">
            <w:pPr>
              <w:rPr>
                <w:rFonts w:ascii="宋体"/>
                <w:vanish/>
              </w:rPr>
            </w:pPr>
          </w:p>
        </w:tc>
        <w:tc>
          <w:tcPr>
            <w:tcW w:w="0" w:type="auto"/>
            <w:gridSpan w:val="3"/>
            <w:shd w:val="clear" w:color="auto" w:fill="auto"/>
            <w:vAlign w:val="bottom"/>
          </w:tcPr>
          <w:p w14:paraId="71D43A5D" w14:textId="77777777" w:rsidR="006A3667" w:rsidRDefault="006A3667">
            <w:pPr>
              <w:rPr>
                <w:rFonts w:ascii="宋体"/>
                <w:vanish/>
              </w:rPr>
            </w:pPr>
          </w:p>
        </w:tc>
        <w:tc>
          <w:tcPr>
            <w:tcW w:w="0" w:type="auto"/>
            <w:gridSpan w:val="3"/>
            <w:shd w:val="clear" w:color="auto" w:fill="auto"/>
            <w:vAlign w:val="bottom"/>
          </w:tcPr>
          <w:p w14:paraId="71D43A5E" w14:textId="77777777" w:rsidR="006A3667" w:rsidRDefault="006A3667">
            <w:pPr>
              <w:rPr>
                <w:rFonts w:ascii="宋体"/>
                <w:vanish/>
              </w:rPr>
            </w:pPr>
          </w:p>
        </w:tc>
        <w:tc>
          <w:tcPr>
            <w:tcW w:w="0" w:type="auto"/>
            <w:gridSpan w:val="3"/>
            <w:shd w:val="clear" w:color="auto" w:fill="auto"/>
            <w:vAlign w:val="bottom"/>
          </w:tcPr>
          <w:p w14:paraId="71D43A5F" w14:textId="77777777" w:rsidR="006A3667" w:rsidRDefault="006A3667">
            <w:pPr>
              <w:rPr>
                <w:rFonts w:ascii="宋体"/>
                <w:vanish/>
              </w:rPr>
            </w:pPr>
          </w:p>
        </w:tc>
        <w:tc>
          <w:tcPr>
            <w:tcW w:w="0" w:type="auto"/>
            <w:gridSpan w:val="3"/>
            <w:shd w:val="clear" w:color="auto" w:fill="auto"/>
            <w:vAlign w:val="bottom"/>
          </w:tcPr>
          <w:p w14:paraId="71D43A60" w14:textId="77777777" w:rsidR="006A3667" w:rsidRDefault="006A3667">
            <w:pPr>
              <w:rPr>
                <w:rFonts w:ascii="宋体"/>
                <w:vanish/>
              </w:rPr>
            </w:pPr>
          </w:p>
        </w:tc>
        <w:tc>
          <w:tcPr>
            <w:tcW w:w="0" w:type="auto"/>
            <w:gridSpan w:val="3"/>
            <w:shd w:val="clear" w:color="auto" w:fill="auto"/>
            <w:vAlign w:val="bottom"/>
          </w:tcPr>
          <w:p w14:paraId="71D43A61" w14:textId="77777777" w:rsidR="006A3667" w:rsidRDefault="006A3667">
            <w:pPr>
              <w:rPr>
                <w:rFonts w:ascii="宋体"/>
                <w:vanish/>
              </w:rPr>
            </w:pPr>
          </w:p>
        </w:tc>
        <w:tc>
          <w:tcPr>
            <w:tcW w:w="0" w:type="auto"/>
            <w:gridSpan w:val="3"/>
            <w:shd w:val="clear" w:color="auto" w:fill="auto"/>
            <w:vAlign w:val="bottom"/>
          </w:tcPr>
          <w:p w14:paraId="71D43A62" w14:textId="77777777" w:rsidR="006A3667" w:rsidRDefault="006A3667">
            <w:pPr>
              <w:rPr>
                <w:rFonts w:ascii="宋体"/>
                <w:vanish/>
              </w:rPr>
            </w:pPr>
          </w:p>
        </w:tc>
        <w:tc>
          <w:tcPr>
            <w:tcW w:w="0" w:type="auto"/>
            <w:gridSpan w:val="3"/>
            <w:shd w:val="clear" w:color="auto" w:fill="auto"/>
            <w:vAlign w:val="bottom"/>
          </w:tcPr>
          <w:p w14:paraId="71D43A63" w14:textId="77777777" w:rsidR="006A3667" w:rsidRDefault="006A3667">
            <w:pPr>
              <w:rPr>
                <w:rFonts w:ascii="宋体"/>
                <w:vanish/>
              </w:rPr>
            </w:pPr>
          </w:p>
        </w:tc>
        <w:tc>
          <w:tcPr>
            <w:tcW w:w="0" w:type="auto"/>
            <w:gridSpan w:val="3"/>
            <w:shd w:val="clear" w:color="auto" w:fill="auto"/>
            <w:vAlign w:val="bottom"/>
          </w:tcPr>
          <w:p w14:paraId="71D43A64" w14:textId="77777777" w:rsidR="006A3667" w:rsidRDefault="006A3667">
            <w:pPr>
              <w:rPr>
                <w:rFonts w:ascii="宋体"/>
                <w:vanish/>
              </w:rPr>
            </w:pPr>
          </w:p>
        </w:tc>
        <w:tc>
          <w:tcPr>
            <w:tcW w:w="0" w:type="auto"/>
            <w:gridSpan w:val="3"/>
            <w:shd w:val="clear" w:color="auto" w:fill="auto"/>
            <w:vAlign w:val="bottom"/>
          </w:tcPr>
          <w:p w14:paraId="71D43A65" w14:textId="77777777" w:rsidR="006A3667" w:rsidRDefault="006A3667">
            <w:pPr>
              <w:rPr>
                <w:rFonts w:ascii="宋体"/>
                <w:vanish/>
              </w:rPr>
            </w:pPr>
          </w:p>
        </w:tc>
        <w:tc>
          <w:tcPr>
            <w:tcW w:w="0" w:type="auto"/>
            <w:gridSpan w:val="2"/>
            <w:shd w:val="clear" w:color="auto" w:fill="auto"/>
            <w:vAlign w:val="bottom"/>
          </w:tcPr>
          <w:p w14:paraId="71D43A66" w14:textId="77777777" w:rsidR="006A3667" w:rsidRDefault="006A3667">
            <w:pPr>
              <w:rPr>
                <w:rFonts w:ascii="宋体"/>
                <w:vanish/>
              </w:rPr>
            </w:pPr>
          </w:p>
        </w:tc>
        <w:tc>
          <w:tcPr>
            <w:tcW w:w="0" w:type="auto"/>
            <w:shd w:val="clear" w:color="auto" w:fill="auto"/>
            <w:vAlign w:val="bottom"/>
          </w:tcPr>
          <w:p w14:paraId="71D43A67" w14:textId="77777777" w:rsidR="006A3667" w:rsidRDefault="006A3667">
            <w:pPr>
              <w:rPr>
                <w:rFonts w:ascii="宋体"/>
                <w:vanish/>
              </w:rPr>
            </w:pPr>
          </w:p>
        </w:tc>
      </w:tr>
      <w:tr w:rsidR="006A3667" w14:paraId="71D43A7F" w14:textId="77777777">
        <w:trPr>
          <w:hidden/>
        </w:trPr>
        <w:tc>
          <w:tcPr>
            <w:tcW w:w="0" w:type="auto"/>
            <w:gridSpan w:val="3"/>
            <w:shd w:val="clear" w:color="auto" w:fill="auto"/>
            <w:vAlign w:val="bottom"/>
          </w:tcPr>
          <w:p w14:paraId="71D43A69" w14:textId="77777777" w:rsidR="006A3667" w:rsidRDefault="006A3667">
            <w:pPr>
              <w:rPr>
                <w:rFonts w:ascii="宋体"/>
                <w:vanish/>
              </w:rPr>
            </w:pPr>
          </w:p>
        </w:tc>
        <w:tc>
          <w:tcPr>
            <w:tcW w:w="0" w:type="auto"/>
            <w:gridSpan w:val="3"/>
            <w:shd w:val="clear" w:color="auto" w:fill="auto"/>
            <w:vAlign w:val="bottom"/>
          </w:tcPr>
          <w:p w14:paraId="71D43A6A" w14:textId="77777777" w:rsidR="006A3667" w:rsidRDefault="006A3667">
            <w:pPr>
              <w:rPr>
                <w:rFonts w:ascii="宋体"/>
                <w:vanish/>
              </w:rPr>
            </w:pPr>
          </w:p>
        </w:tc>
        <w:tc>
          <w:tcPr>
            <w:tcW w:w="0" w:type="auto"/>
            <w:gridSpan w:val="3"/>
            <w:shd w:val="clear" w:color="auto" w:fill="auto"/>
            <w:vAlign w:val="bottom"/>
          </w:tcPr>
          <w:p w14:paraId="71D43A6B" w14:textId="77777777" w:rsidR="006A3667" w:rsidRDefault="006A3667">
            <w:pPr>
              <w:rPr>
                <w:rFonts w:ascii="宋体"/>
                <w:vanish/>
              </w:rPr>
            </w:pPr>
          </w:p>
        </w:tc>
        <w:tc>
          <w:tcPr>
            <w:tcW w:w="0" w:type="auto"/>
            <w:gridSpan w:val="3"/>
            <w:shd w:val="clear" w:color="auto" w:fill="auto"/>
            <w:vAlign w:val="bottom"/>
          </w:tcPr>
          <w:p w14:paraId="71D43A6C" w14:textId="77777777" w:rsidR="006A3667" w:rsidRDefault="006A3667">
            <w:pPr>
              <w:rPr>
                <w:rFonts w:ascii="宋体"/>
                <w:vanish/>
              </w:rPr>
            </w:pPr>
          </w:p>
        </w:tc>
        <w:tc>
          <w:tcPr>
            <w:tcW w:w="0" w:type="auto"/>
            <w:gridSpan w:val="3"/>
            <w:shd w:val="clear" w:color="auto" w:fill="auto"/>
            <w:vAlign w:val="bottom"/>
          </w:tcPr>
          <w:p w14:paraId="71D43A6D" w14:textId="77777777" w:rsidR="006A3667" w:rsidRDefault="006A3667">
            <w:pPr>
              <w:rPr>
                <w:rFonts w:ascii="宋体"/>
                <w:vanish/>
              </w:rPr>
            </w:pPr>
          </w:p>
        </w:tc>
        <w:tc>
          <w:tcPr>
            <w:tcW w:w="0" w:type="auto"/>
            <w:gridSpan w:val="3"/>
            <w:shd w:val="clear" w:color="auto" w:fill="auto"/>
            <w:vAlign w:val="bottom"/>
          </w:tcPr>
          <w:p w14:paraId="71D43A6E" w14:textId="77777777" w:rsidR="006A3667" w:rsidRDefault="006A3667">
            <w:pPr>
              <w:rPr>
                <w:rFonts w:ascii="宋体"/>
                <w:vanish/>
              </w:rPr>
            </w:pPr>
          </w:p>
        </w:tc>
        <w:tc>
          <w:tcPr>
            <w:tcW w:w="0" w:type="auto"/>
            <w:gridSpan w:val="3"/>
            <w:shd w:val="clear" w:color="auto" w:fill="auto"/>
            <w:vAlign w:val="bottom"/>
          </w:tcPr>
          <w:p w14:paraId="71D43A6F" w14:textId="77777777" w:rsidR="006A3667" w:rsidRDefault="006A3667">
            <w:pPr>
              <w:rPr>
                <w:rFonts w:ascii="宋体"/>
                <w:vanish/>
              </w:rPr>
            </w:pPr>
          </w:p>
        </w:tc>
        <w:tc>
          <w:tcPr>
            <w:tcW w:w="0" w:type="auto"/>
            <w:gridSpan w:val="3"/>
            <w:shd w:val="clear" w:color="auto" w:fill="auto"/>
            <w:vAlign w:val="bottom"/>
          </w:tcPr>
          <w:p w14:paraId="71D43A70" w14:textId="77777777" w:rsidR="006A3667" w:rsidRDefault="006A3667">
            <w:pPr>
              <w:rPr>
                <w:rFonts w:ascii="宋体"/>
                <w:vanish/>
              </w:rPr>
            </w:pPr>
          </w:p>
        </w:tc>
        <w:tc>
          <w:tcPr>
            <w:tcW w:w="0" w:type="auto"/>
            <w:gridSpan w:val="3"/>
            <w:shd w:val="clear" w:color="auto" w:fill="auto"/>
            <w:vAlign w:val="bottom"/>
          </w:tcPr>
          <w:p w14:paraId="71D43A71" w14:textId="77777777" w:rsidR="006A3667" w:rsidRDefault="006A3667">
            <w:pPr>
              <w:rPr>
                <w:rFonts w:ascii="宋体"/>
                <w:vanish/>
              </w:rPr>
            </w:pPr>
          </w:p>
        </w:tc>
        <w:tc>
          <w:tcPr>
            <w:tcW w:w="0" w:type="auto"/>
            <w:shd w:val="clear" w:color="auto" w:fill="auto"/>
            <w:vAlign w:val="bottom"/>
          </w:tcPr>
          <w:p w14:paraId="71D43A72" w14:textId="77777777" w:rsidR="006A3667" w:rsidRDefault="006A3667">
            <w:pPr>
              <w:rPr>
                <w:rFonts w:ascii="宋体"/>
                <w:vanish/>
              </w:rPr>
            </w:pPr>
          </w:p>
        </w:tc>
        <w:tc>
          <w:tcPr>
            <w:tcW w:w="0" w:type="auto"/>
            <w:shd w:val="clear" w:color="auto" w:fill="auto"/>
            <w:vAlign w:val="bottom"/>
          </w:tcPr>
          <w:p w14:paraId="71D43A73" w14:textId="77777777" w:rsidR="006A3667" w:rsidRDefault="006A3667">
            <w:pPr>
              <w:rPr>
                <w:rFonts w:ascii="宋体"/>
                <w:vanish/>
              </w:rPr>
            </w:pPr>
          </w:p>
        </w:tc>
        <w:tc>
          <w:tcPr>
            <w:tcW w:w="0" w:type="auto"/>
            <w:gridSpan w:val="3"/>
            <w:shd w:val="clear" w:color="auto" w:fill="auto"/>
            <w:vAlign w:val="bottom"/>
          </w:tcPr>
          <w:p w14:paraId="71D43A74" w14:textId="77777777" w:rsidR="006A3667" w:rsidRDefault="006A3667">
            <w:pPr>
              <w:rPr>
                <w:rFonts w:ascii="宋体"/>
                <w:vanish/>
              </w:rPr>
            </w:pPr>
          </w:p>
        </w:tc>
        <w:tc>
          <w:tcPr>
            <w:tcW w:w="0" w:type="auto"/>
            <w:gridSpan w:val="3"/>
            <w:shd w:val="clear" w:color="auto" w:fill="auto"/>
            <w:vAlign w:val="bottom"/>
          </w:tcPr>
          <w:p w14:paraId="71D43A75" w14:textId="77777777" w:rsidR="006A3667" w:rsidRDefault="006A3667">
            <w:pPr>
              <w:rPr>
                <w:rFonts w:ascii="宋体"/>
                <w:vanish/>
              </w:rPr>
            </w:pPr>
          </w:p>
        </w:tc>
        <w:tc>
          <w:tcPr>
            <w:tcW w:w="0" w:type="auto"/>
            <w:gridSpan w:val="3"/>
            <w:shd w:val="clear" w:color="auto" w:fill="auto"/>
            <w:vAlign w:val="bottom"/>
          </w:tcPr>
          <w:p w14:paraId="71D43A76" w14:textId="77777777" w:rsidR="006A3667" w:rsidRDefault="006A3667">
            <w:pPr>
              <w:rPr>
                <w:rFonts w:ascii="宋体"/>
                <w:vanish/>
              </w:rPr>
            </w:pPr>
          </w:p>
        </w:tc>
        <w:tc>
          <w:tcPr>
            <w:tcW w:w="0" w:type="auto"/>
            <w:gridSpan w:val="3"/>
            <w:shd w:val="clear" w:color="auto" w:fill="auto"/>
            <w:vAlign w:val="bottom"/>
          </w:tcPr>
          <w:p w14:paraId="71D43A77" w14:textId="77777777" w:rsidR="006A3667" w:rsidRDefault="006A3667">
            <w:pPr>
              <w:rPr>
                <w:rFonts w:ascii="宋体"/>
                <w:vanish/>
              </w:rPr>
            </w:pPr>
          </w:p>
        </w:tc>
        <w:tc>
          <w:tcPr>
            <w:tcW w:w="0" w:type="auto"/>
            <w:gridSpan w:val="3"/>
            <w:shd w:val="clear" w:color="auto" w:fill="auto"/>
            <w:vAlign w:val="bottom"/>
          </w:tcPr>
          <w:p w14:paraId="71D43A78" w14:textId="77777777" w:rsidR="006A3667" w:rsidRDefault="006A3667">
            <w:pPr>
              <w:rPr>
                <w:rFonts w:ascii="宋体"/>
                <w:vanish/>
              </w:rPr>
            </w:pPr>
          </w:p>
        </w:tc>
        <w:tc>
          <w:tcPr>
            <w:tcW w:w="0" w:type="auto"/>
            <w:gridSpan w:val="3"/>
            <w:shd w:val="clear" w:color="auto" w:fill="auto"/>
            <w:vAlign w:val="bottom"/>
          </w:tcPr>
          <w:p w14:paraId="71D43A79" w14:textId="77777777" w:rsidR="006A3667" w:rsidRDefault="006A3667">
            <w:pPr>
              <w:rPr>
                <w:rFonts w:ascii="宋体"/>
                <w:vanish/>
              </w:rPr>
            </w:pPr>
          </w:p>
        </w:tc>
        <w:tc>
          <w:tcPr>
            <w:tcW w:w="0" w:type="auto"/>
            <w:gridSpan w:val="3"/>
            <w:shd w:val="clear" w:color="auto" w:fill="auto"/>
            <w:vAlign w:val="bottom"/>
          </w:tcPr>
          <w:p w14:paraId="71D43A7A" w14:textId="77777777" w:rsidR="006A3667" w:rsidRDefault="006A3667">
            <w:pPr>
              <w:rPr>
                <w:rFonts w:ascii="宋体"/>
                <w:vanish/>
              </w:rPr>
            </w:pPr>
          </w:p>
        </w:tc>
        <w:tc>
          <w:tcPr>
            <w:tcW w:w="0" w:type="auto"/>
            <w:gridSpan w:val="3"/>
            <w:shd w:val="clear" w:color="auto" w:fill="auto"/>
            <w:vAlign w:val="bottom"/>
          </w:tcPr>
          <w:p w14:paraId="71D43A7B" w14:textId="77777777" w:rsidR="006A3667" w:rsidRDefault="006A3667">
            <w:pPr>
              <w:rPr>
                <w:rFonts w:ascii="宋体"/>
                <w:vanish/>
              </w:rPr>
            </w:pPr>
          </w:p>
        </w:tc>
        <w:tc>
          <w:tcPr>
            <w:tcW w:w="0" w:type="auto"/>
            <w:gridSpan w:val="3"/>
            <w:shd w:val="clear" w:color="auto" w:fill="auto"/>
            <w:vAlign w:val="bottom"/>
          </w:tcPr>
          <w:p w14:paraId="71D43A7C" w14:textId="77777777" w:rsidR="006A3667" w:rsidRDefault="006A3667">
            <w:pPr>
              <w:rPr>
                <w:rFonts w:ascii="宋体"/>
                <w:vanish/>
              </w:rPr>
            </w:pPr>
          </w:p>
        </w:tc>
        <w:tc>
          <w:tcPr>
            <w:tcW w:w="0" w:type="auto"/>
            <w:gridSpan w:val="2"/>
            <w:shd w:val="clear" w:color="auto" w:fill="auto"/>
            <w:vAlign w:val="bottom"/>
          </w:tcPr>
          <w:p w14:paraId="71D43A7D" w14:textId="77777777" w:rsidR="006A3667" w:rsidRDefault="006A3667">
            <w:pPr>
              <w:rPr>
                <w:rFonts w:ascii="宋体"/>
                <w:vanish/>
              </w:rPr>
            </w:pPr>
          </w:p>
        </w:tc>
        <w:tc>
          <w:tcPr>
            <w:tcW w:w="0" w:type="auto"/>
            <w:shd w:val="clear" w:color="auto" w:fill="auto"/>
            <w:vAlign w:val="bottom"/>
          </w:tcPr>
          <w:p w14:paraId="71D43A7E" w14:textId="77777777" w:rsidR="006A3667" w:rsidRDefault="006A3667">
            <w:pPr>
              <w:rPr>
                <w:rFonts w:ascii="宋体"/>
                <w:vanish/>
              </w:rPr>
            </w:pPr>
          </w:p>
        </w:tc>
      </w:tr>
      <w:tr w:rsidR="006A3667" w14:paraId="71D43A96" w14:textId="77777777">
        <w:trPr>
          <w:hidden/>
        </w:trPr>
        <w:tc>
          <w:tcPr>
            <w:tcW w:w="0" w:type="auto"/>
            <w:gridSpan w:val="3"/>
            <w:shd w:val="clear" w:color="auto" w:fill="auto"/>
            <w:vAlign w:val="bottom"/>
          </w:tcPr>
          <w:p w14:paraId="71D43A80" w14:textId="77777777" w:rsidR="006A3667" w:rsidRDefault="006A3667">
            <w:pPr>
              <w:rPr>
                <w:rFonts w:ascii="宋体"/>
                <w:vanish/>
              </w:rPr>
            </w:pPr>
          </w:p>
        </w:tc>
        <w:tc>
          <w:tcPr>
            <w:tcW w:w="0" w:type="auto"/>
            <w:gridSpan w:val="3"/>
            <w:shd w:val="clear" w:color="auto" w:fill="auto"/>
            <w:vAlign w:val="bottom"/>
          </w:tcPr>
          <w:p w14:paraId="71D43A81" w14:textId="77777777" w:rsidR="006A3667" w:rsidRDefault="006A3667">
            <w:pPr>
              <w:rPr>
                <w:rFonts w:ascii="宋体"/>
                <w:vanish/>
              </w:rPr>
            </w:pPr>
          </w:p>
        </w:tc>
        <w:tc>
          <w:tcPr>
            <w:tcW w:w="0" w:type="auto"/>
            <w:gridSpan w:val="3"/>
            <w:shd w:val="clear" w:color="auto" w:fill="auto"/>
            <w:vAlign w:val="bottom"/>
          </w:tcPr>
          <w:p w14:paraId="71D43A82" w14:textId="77777777" w:rsidR="006A3667" w:rsidRDefault="006A3667">
            <w:pPr>
              <w:rPr>
                <w:rFonts w:ascii="宋体"/>
                <w:vanish/>
              </w:rPr>
            </w:pPr>
          </w:p>
        </w:tc>
        <w:tc>
          <w:tcPr>
            <w:tcW w:w="0" w:type="auto"/>
            <w:gridSpan w:val="3"/>
            <w:shd w:val="clear" w:color="auto" w:fill="auto"/>
            <w:vAlign w:val="bottom"/>
          </w:tcPr>
          <w:p w14:paraId="71D43A83" w14:textId="77777777" w:rsidR="006A3667" w:rsidRDefault="006A3667">
            <w:pPr>
              <w:rPr>
                <w:rFonts w:ascii="宋体"/>
                <w:vanish/>
              </w:rPr>
            </w:pPr>
          </w:p>
        </w:tc>
        <w:tc>
          <w:tcPr>
            <w:tcW w:w="0" w:type="auto"/>
            <w:gridSpan w:val="3"/>
            <w:shd w:val="clear" w:color="auto" w:fill="auto"/>
            <w:vAlign w:val="bottom"/>
          </w:tcPr>
          <w:p w14:paraId="71D43A84" w14:textId="77777777" w:rsidR="006A3667" w:rsidRDefault="006A3667">
            <w:pPr>
              <w:rPr>
                <w:rFonts w:ascii="宋体"/>
                <w:vanish/>
              </w:rPr>
            </w:pPr>
          </w:p>
        </w:tc>
        <w:tc>
          <w:tcPr>
            <w:tcW w:w="0" w:type="auto"/>
            <w:gridSpan w:val="3"/>
            <w:shd w:val="clear" w:color="auto" w:fill="auto"/>
            <w:vAlign w:val="bottom"/>
          </w:tcPr>
          <w:p w14:paraId="71D43A85" w14:textId="77777777" w:rsidR="006A3667" w:rsidRDefault="006A3667">
            <w:pPr>
              <w:rPr>
                <w:rFonts w:ascii="宋体"/>
                <w:vanish/>
              </w:rPr>
            </w:pPr>
          </w:p>
        </w:tc>
        <w:tc>
          <w:tcPr>
            <w:tcW w:w="0" w:type="auto"/>
            <w:gridSpan w:val="3"/>
            <w:shd w:val="clear" w:color="auto" w:fill="auto"/>
            <w:vAlign w:val="bottom"/>
          </w:tcPr>
          <w:p w14:paraId="71D43A86" w14:textId="77777777" w:rsidR="006A3667" w:rsidRDefault="006A3667">
            <w:pPr>
              <w:rPr>
                <w:rFonts w:ascii="宋体"/>
                <w:vanish/>
              </w:rPr>
            </w:pPr>
          </w:p>
        </w:tc>
        <w:tc>
          <w:tcPr>
            <w:tcW w:w="0" w:type="auto"/>
            <w:gridSpan w:val="3"/>
            <w:shd w:val="clear" w:color="auto" w:fill="auto"/>
            <w:vAlign w:val="bottom"/>
          </w:tcPr>
          <w:p w14:paraId="71D43A87" w14:textId="77777777" w:rsidR="006A3667" w:rsidRDefault="006A3667">
            <w:pPr>
              <w:rPr>
                <w:rFonts w:ascii="宋体"/>
                <w:vanish/>
              </w:rPr>
            </w:pPr>
          </w:p>
        </w:tc>
        <w:tc>
          <w:tcPr>
            <w:tcW w:w="0" w:type="auto"/>
            <w:gridSpan w:val="3"/>
            <w:shd w:val="clear" w:color="auto" w:fill="auto"/>
            <w:vAlign w:val="bottom"/>
          </w:tcPr>
          <w:p w14:paraId="71D43A88" w14:textId="77777777" w:rsidR="006A3667" w:rsidRDefault="006A3667">
            <w:pPr>
              <w:rPr>
                <w:rFonts w:ascii="宋体"/>
                <w:vanish/>
              </w:rPr>
            </w:pPr>
          </w:p>
        </w:tc>
        <w:tc>
          <w:tcPr>
            <w:tcW w:w="0" w:type="auto"/>
            <w:shd w:val="clear" w:color="auto" w:fill="auto"/>
            <w:vAlign w:val="bottom"/>
          </w:tcPr>
          <w:p w14:paraId="71D43A89" w14:textId="77777777" w:rsidR="006A3667" w:rsidRDefault="006A3667">
            <w:pPr>
              <w:rPr>
                <w:rFonts w:ascii="宋体"/>
                <w:vanish/>
              </w:rPr>
            </w:pPr>
          </w:p>
        </w:tc>
        <w:tc>
          <w:tcPr>
            <w:tcW w:w="0" w:type="auto"/>
            <w:shd w:val="clear" w:color="auto" w:fill="auto"/>
            <w:vAlign w:val="bottom"/>
          </w:tcPr>
          <w:p w14:paraId="71D43A8A" w14:textId="77777777" w:rsidR="006A3667" w:rsidRDefault="006A3667">
            <w:pPr>
              <w:rPr>
                <w:rFonts w:ascii="宋体"/>
                <w:vanish/>
              </w:rPr>
            </w:pPr>
          </w:p>
        </w:tc>
        <w:tc>
          <w:tcPr>
            <w:tcW w:w="0" w:type="auto"/>
            <w:gridSpan w:val="3"/>
            <w:shd w:val="clear" w:color="auto" w:fill="auto"/>
            <w:vAlign w:val="bottom"/>
          </w:tcPr>
          <w:p w14:paraId="71D43A8B" w14:textId="77777777" w:rsidR="006A3667" w:rsidRDefault="006A3667">
            <w:pPr>
              <w:rPr>
                <w:rFonts w:ascii="宋体"/>
                <w:vanish/>
              </w:rPr>
            </w:pPr>
          </w:p>
        </w:tc>
        <w:tc>
          <w:tcPr>
            <w:tcW w:w="0" w:type="auto"/>
            <w:gridSpan w:val="3"/>
            <w:shd w:val="clear" w:color="auto" w:fill="auto"/>
            <w:vAlign w:val="bottom"/>
          </w:tcPr>
          <w:p w14:paraId="71D43A8C" w14:textId="77777777" w:rsidR="006A3667" w:rsidRDefault="006A3667">
            <w:pPr>
              <w:rPr>
                <w:rFonts w:ascii="宋体"/>
                <w:vanish/>
              </w:rPr>
            </w:pPr>
          </w:p>
        </w:tc>
        <w:tc>
          <w:tcPr>
            <w:tcW w:w="0" w:type="auto"/>
            <w:gridSpan w:val="3"/>
            <w:shd w:val="clear" w:color="auto" w:fill="auto"/>
            <w:vAlign w:val="bottom"/>
          </w:tcPr>
          <w:p w14:paraId="71D43A8D" w14:textId="77777777" w:rsidR="006A3667" w:rsidRDefault="006A3667">
            <w:pPr>
              <w:rPr>
                <w:rFonts w:ascii="宋体"/>
                <w:vanish/>
              </w:rPr>
            </w:pPr>
          </w:p>
        </w:tc>
        <w:tc>
          <w:tcPr>
            <w:tcW w:w="0" w:type="auto"/>
            <w:gridSpan w:val="3"/>
            <w:shd w:val="clear" w:color="auto" w:fill="auto"/>
            <w:vAlign w:val="bottom"/>
          </w:tcPr>
          <w:p w14:paraId="71D43A8E" w14:textId="77777777" w:rsidR="006A3667" w:rsidRDefault="006A3667">
            <w:pPr>
              <w:rPr>
                <w:rFonts w:ascii="宋体"/>
                <w:vanish/>
              </w:rPr>
            </w:pPr>
          </w:p>
        </w:tc>
        <w:tc>
          <w:tcPr>
            <w:tcW w:w="0" w:type="auto"/>
            <w:gridSpan w:val="3"/>
            <w:shd w:val="clear" w:color="auto" w:fill="auto"/>
            <w:vAlign w:val="bottom"/>
          </w:tcPr>
          <w:p w14:paraId="71D43A8F" w14:textId="77777777" w:rsidR="006A3667" w:rsidRDefault="006A3667">
            <w:pPr>
              <w:rPr>
                <w:rFonts w:ascii="宋体"/>
                <w:vanish/>
              </w:rPr>
            </w:pPr>
          </w:p>
        </w:tc>
        <w:tc>
          <w:tcPr>
            <w:tcW w:w="0" w:type="auto"/>
            <w:gridSpan w:val="3"/>
            <w:shd w:val="clear" w:color="auto" w:fill="auto"/>
            <w:vAlign w:val="bottom"/>
          </w:tcPr>
          <w:p w14:paraId="71D43A90" w14:textId="77777777" w:rsidR="006A3667" w:rsidRDefault="006A3667">
            <w:pPr>
              <w:rPr>
                <w:rFonts w:ascii="宋体"/>
                <w:vanish/>
              </w:rPr>
            </w:pPr>
          </w:p>
        </w:tc>
        <w:tc>
          <w:tcPr>
            <w:tcW w:w="0" w:type="auto"/>
            <w:gridSpan w:val="3"/>
            <w:shd w:val="clear" w:color="auto" w:fill="auto"/>
            <w:vAlign w:val="bottom"/>
          </w:tcPr>
          <w:p w14:paraId="71D43A91" w14:textId="77777777" w:rsidR="006A3667" w:rsidRDefault="006A3667">
            <w:pPr>
              <w:rPr>
                <w:rFonts w:ascii="宋体"/>
                <w:vanish/>
              </w:rPr>
            </w:pPr>
          </w:p>
        </w:tc>
        <w:tc>
          <w:tcPr>
            <w:tcW w:w="0" w:type="auto"/>
            <w:gridSpan w:val="3"/>
            <w:shd w:val="clear" w:color="auto" w:fill="auto"/>
            <w:vAlign w:val="bottom"/>
          </w:tcPr>
          <w:p w14:paraId="71D43A92" w14:textId="77777777" w:rsidR="006A3667" w:rsidRDefault="006A3667">
            <w:pPr>
              <w:rPr>
                <w:rFonts w:ascii="宋体"/>
                <w:vanish/>
              </w:rPr>
            </w:pPr>
          </w:p>
        </w:tc>
        <w:tc>
          <w:tcPr>
            <w:tcW w:w="0" w:type="auto"/>
            <w:gridSpan w:val="3"/>
            <w:shd w:val="clear" w:color="auto" w:fill="auto"/>
            <w:vAlign w:val="bottom"/>
          </w:tcPr>
          <w:p w14:paraId="71D43A93" w14:textId="77777777" w:rsidR="006A3667" w:rsidRDefault="006A3667">
            <w:pPr>
              <w:rPr>
                <w:rFonts w:ascii="宋体"/>
                <w:vanish/>
              </w:rPr>
            </w:pPr>
          </w:p>
        </w:tc>
        <w:tc>
          <w:tcPr>
            <w:tcW w:w="0" w:type="auto"/>
            <w:gridSpan w:val="2"/>
            <w:shd w:val="clear" w:color="auto" w:fill="auto"/>
            <w:vAlign w:val="bottom"/>
          </w:tcPr>
          <w:p w14:paraId="71D43A94" w14:textId="77777777" w:rsidR="006A3667" w:rsidRDefault="006A3667">
            <w:pPr>
              <w:rPr>
                <w:rFonts w:ascii="宋体"/>
                <w:vanish/>
              </w:rPr>
            </w:pPr>
          </w:p>
        </w:tc>
        <w:tc>
          <w:tcPr>
            <w:tcW w:w="0" w:type="auto"/>
            <w:shd w:val="clear" w:color="auto" w:fill="auto"/>
            <w:vAlign w:val="bottom"/>
          </w:tcPr>
          <w:p w14:paraId="71D43A95" w14:textId="77777777" w:rsidR="006A3667" w:rsidRDefault="006A3667">
            <w:pPr>
              <w:rPr>
                <w:rFonts w:ascii="宋体"/>
                <w:vanish/>
              </w:rPr>
            </w:pPr>
          </w:p>
        </w:tc>
      </w:tr>
      <w:tr w:rsidR="006A3667" w14:paraId="71D43AAD" w14:textId="77777777">
        <w:trPr>
          <w:hidden/>
        </w:trPr>
        <w:tc>
          <w:tcPr>
            <w:tcW w:w="0" w:type="auto"/>
            <w:gridSpan w:val="3"/>
            <w:shd w:val="clear" w:color="auto" w:fill="auto"/>
            <w:vAlign w:val="bottom"/>
          </w:tcPr>
          <w:p w14:paraId="71D43A97" w14:textId="77777777" w:rsidR="006A3667" w:rsidRDefault="006A3667">
            <w:pPr>
              <w:rPr>
                <w:rFonts w:ascii="宋体"/>
                <w:vanish/>
              </w:rPr>
            </w:pPr>
          </w:p>
        </w:tc>
        <w:tc>
          <w:tcPr>
            <w:tcW w:w="0" w:type="auto"/>
            <w:gridSpan w:val="3"/>
            <w:shd w:val="clear" w:color="auto" w:fill="auto"/>
            <w:vAlign w:val="bottom"/>
          </w:tcPr>
          <w:p w14:paraId="71D43A98" w14:textId="77777777" w:rsidR="006A3667" w:rsidRDefault="006A3667">
            <w:pPr>
              <w:rPr>
                <w:rFonts w:ascii="宋体"/>
                <w:vanish/>
              </w:rPr>
            </w:pPr>
          </w:p>
        </w:tc>
        <w:tc>
          <w:tcPr>
            <w:tcW w:w="0" w:type="auto"/>
            <w:gridSpan w:val="3"/>
            <w:shd w:val="clear" w:color="auto" w:fill="auto"/>
            <w:vAlign w:val="bottom"/>
          </w:tcPr>
          <w:p w14:paraId="71D43A99" w14:textId="77777777" w:rsidR="006A3667" w:rsidRDefault="006A3667">
            <w:pPr>
              <w:rPr>
                <w:rFonts w:ascii="宋体"/>
                <w:vanish/>
              </w:rPr>
            </w:pPr>
          </w:p>
        </w:tc>
        <w:tc>
          <w:tcPr>
            <w:tcW w:w="0" w:type="auto"/>
            <w:gridSpan w:val="3"/>
            <w:shd w:val="clear" w:color="auto" w:fill="auto"/>
            <w:vAlign w:val="bottom"/>
          </w:tcPr>
          <w:p w14:paraId="71D43A9A" w14:textId="77777777" w:rsidR="006A3667" w:rsidRDefault="006A3667">
            <w:pPr>
              <w:rPr>
                <w:rFonts w:ascii="宋体"/>
                <w:vanish/>
              </w:rPr>
            </w:pPr>
          </w:p>
        </w:tc>
        <w:tc>
          <w:tcPr>
            <w:tcW w:w="0" w:type="auto"/>
            <w:gridSpan w:val="3"/>
            <w:shd w:val="clear" w:color="auto" w:fill="auto"/>
            <w:vAlign w:val="bottom"/>
          </w:tcPr>
          <w:p w14:paraId="71D43A9B" w14:textId="77777777" w:rsidR="006A3667" w:rsidRDefault="006A3667">
            <w:pPr>
              <w:rPr>
                <w:rFonts w:ascii="宋体"/>
                <w:vanish/>
              </w:rPr>
            </w:pPr>
          </w:p>
        </w:tc>
        <w:tc>
          <w:tcPr>
            <w:tcW w:w="0" w:type="auto"/>
            <w:gridSpan w:val="3"/>
            <w:shd w:val="clear" w:color="auto" w:fill="auto"/>
            <w:vAlign w:val="bottom"/>
          </w:tcPr>
          <w:p w14:paraId="71D43A9C" w14:textId="77777777" w:rsidR="006A3667" w:rsidRDefault="006A3667">
            <w:pPr>
              <w:rPr>
                <w:rFonts w:ascii="宋体"/>
                <w:vanish/>
              </w:rPr>
            </w:pPr>
          </w:p>
        </w:tc>
        <w:tc>
          <w:tcPr>
            <w:tcW w:w="0" w:type="auto"/>
            <w:gridSpan w:val="3"/>
            <w:shd w:val="clear" w:color="auto" w:fill="auto"/>
            <w:vAlign w:val="bottom"/>
          </w:tcPr>
          <w:p w14:paraId="71D43A9D" w14:textId="77777777" w:rsidR="006A3667" w:rsidRDefault="006A3667">
            <w:pPr>
              <w:rPr>
                <w:rFonts w:ascii="宋体"/>
                <w:vanish/>
              </w:rPr>
            </w:pPr>
          </w:p>
        </w:tc>
        <w:tc>
          <w:tcPr>
            <w:tcW w:w="0" w:type="auto"/>
            <w:gridSpan w:val="3"/>
            <w:shd w:val="clear" w:color="auto" w:fill="auto"/>
            <w:vAlign w:val="bottom"/>
          </w:tcPr>
          <w:p w14:paraId="71D43A9E" w14:textId="77777777" w:rsidR="006A3667" w:rsidRDefault="006A3667">
            <w:pPr>
              <w:rPr>
                <w:rFonts w:ascii="宋体"/>
                <w:vanish/>
              </w:rPr>
            </w:pPr>
          </w:p>
        </w:tc>
        <w:tc>
          <w:tcPr>
            <w:tcW w:w="0" w:type="auto"/>
            <w:gridSpan w:val="3"/>
            <w:shd w:val="clear" w:color="auto" w:fill="auto"/>
            <w:vAlign w:val="bottom"/>
          </w:tcPr>
          <w:p w14:paraId="71D43A9F" w14:textId="77777777" w:rsidR="006A3667" w:rsidRDefault="006A3667">
            <w:pPr>
              <w:rPr>
                <w:rFonts w:ascii="宋体"/>
                <w:vanish/>
              </w:rPr>
            </w:pPr>
          </w:p>
        </w:tc>
        <w:tc>
          <w:tcPr>
            <w:tcW w:w="0" w:type="auto"/>
            <w:shd w:val="clear" w:color="auto" w:fill="auto"/>
            <w:vAlign w:val="bottom"/>
          </w:tcPr>
          <w:p w14:paraId="71D43AA0" w14:textId="77777777" w:rsidR="006A3667" w:rsidRDefault="006A3667">
            <w:pPr>
              <w:rPr>
                <w:rFonts w:ascii="宋体"/>
                <w:vanish/>
              </w:rPr>
            </w:pPr>
          </w:p>
        </w:tc>
        <w:tc>
          <w:tcPr>
            <w:tcW w:w="0" w:type="auto"/>
            <w:shd w:val="clear" w:color="auto" w:fill="auto"/>
            <w:vAlign w:val="bottom"/>
          </w:tcPr>
          <w:p w14:paraId="71D43AA1" w14:textId="77777777" w:rsidR="006A3667" w:rsidRDefault="006A3667">
            <w:pPr>
              <w:rPr>
                <w:rFonts w:ascii="宋体"/>
                <w:vanish/>
              </w:rPr>
            </w:pPr>
          </w:p>
        </w:tc>
        <w:tc>
          <w:tcPr>
            <w:tcW w:w="0" w:type="auto"/>
            <w:gridSpan w:val="3"/>
            <w:shd w:val="clear" w:color="auto" w:fill="auto"/>
            <w:vAlign w:val="bottom"/>
          </w:tcPr>
          <w:p w14:paraId="71D43AA2" w14:textId="77777777" w:rsidR="006A3667" w:rsidRDefault="006A3667">
            <w:pPr>
              <w:rPr>
                <w:rFonts w:ascii="宋体"/>
                <w:vanish/>
              </w:rPr>
            </w:pPr>
          </w:p>
        </w:tc>
        <w:tc>
          <w:tcPr>
            <w:tcW w:w="0" w:type="auto"/>
            <w:gridSpan w:val="3"/>
            <w:shd w:val="clear" w:color="auto" w:fill="auto"/>
            <w:vAlign w:val="bottom"/>
          </w:tcPr>
          <w:p w14:paraId="71D43AA3" w14:textId="77777777" w:rsidR="006A3667" w:rsidRDefault="006A3667">
            <w:pPr>
              <w:rPr>
                <w:rFonts w:ascii="宋体"/>
                <w:vanish/>
              </w:rPr>
            </w:pPr>
          </w:p>
        </w:tc>
        <w:tc>
          <w:tcPr>
            <w:tcW w:w="0" w:type="auto"/>
            <w:gridSpan w:val="3"/>
            <w:shd w:val="clear" w:color="auto" w:fill="auto"/>
            <w:vAlign w:val="bottom"/>
          </w:tcPr>
          <w:p w14:paraId="71D43AA4" w14:textId="77777777" w:rsidR="006A3667" w:rsidRDefault="006A3667">
            <w:pPr>
              <w:rPr>
                <w:rFonts w:ascii="宋体"/>
                <w:vanish/>
              </w:rPr>
            </w:pPr>
          </w:p>
        </w:tc>
        <w:tc>
          <w:tcPr>
            <w:tcW w:w="0" w:type="auto"/>
            <w:gridSpan w:val="3"/>
            <w:shd w:val="clear" w:color="auto" w:fill="auto"/>
            <w:vAlign w:val="bottom"/>
          </w:tcPr>
          <w:p w14:paraId="71D43AA5" w14:textId="77777777" w:rsidR="006A3667" w:rsidRDefault="006A3667">
            <w:pPr>
              <w:rPr>
                <w:rFonts w:ascii="宋体"/>
                <w:vanish/>
              </w:rPr>
            </w:pPr>
          </w:p>
        </w:tc>
        <w:tc>
          <w:tcPr>
            <w:tcW w:w="0" w:type="auto"/>
            <w:gridSpan w:val="3"/>
            <w:shd w:val="clear" w:color="auto" w:fill="auto"/>
            <w:vAlign w:val="bottom"/>
          </w:tcPr>
          <w:p w14:paraId="71D43AA6" w14:textId="77777777" w:rsidR="006A3667" w:rsidRDefault="006A3667">
            <w:pPr>
              <w:rPr>
                <w:rFonts w:ascii="宋体"/>
                <w:vanish/>
              </w:rPr>
            </w:pPr>
          </w:p>
        </w:tc>
        <w:tc>
          <w:tcPr>
            <w:tcW w:w="0" w:type="auto"/>
            <w:gridSpan w:val="3"/>
            <w:shd w:val="clear" w:color="auto" w:fill="auto"/>
            <w:vAlign w:val="bottom"/>
          </w:tcPr>
          <w:p w14:paraId="71D43AA7" w14:textId="77777777" w:rsidR="006A3667" w:rsidRDefault="006A3667">
            <w:pPr>
              <w:rPr>
                <w:rFonts w:ascii="宋体"/>
                <w:vanish/>
              </w:rPr>
            </w:pPr>
          </w:p>
        </w:tc>
        <w:tc>
          <w:tcPr>
            <w:tcW w:w="0" w:type="auto"/>
            <w:gridSpan w:val="3"/>
            <w:shd w:val="clear" w:color="auto" w:fill="auto"/>
            <w:vAlign w:val="bottom"/>
          </w:tcPr>
          <w:p w14:paraId="71D43AA8" w14:textId="77777777" w:rsidR="006A3667" w:rsidRDefault="006A3667">
            <w:pPr>
              <w:rPr>
                <w:rFonts w:ascii="宋体"/>
                <w:vanish/>
              </w:rPr>
            </w:pPr>
          </w:p>
        </w:tc>
        <w:tc>
          <w:tcPr>
            <w:tcW w:w="0" w:type="auto"/>
            <w:gridSpan w:val="3"/>
            <w:shd w:val="clear" w:color="auto" w:fill="auto"/>
            <w:vAlign w:val="bottom"/>
          </w:tcPr>
          <w:p w14:paraId="71D43AA9" w14:textId="77777777" w:rsidR="006A3667" w:rsidRDefault="006A3667">
            <w:pPr>
              <w:rPr>
                <w:rFonts w:ascii="宋体"/>
                <w:vanish/>
              </w:rPr>
            </w:pPr>
          </w:p>
        </w:tc>
        <w:tc>
          <w:tcPr>
            <w:tcW w:w="0" w:type="auto"/>
            <w:gridSpan w:val="3"/>
            <w:shd w:val="clear" w:color="auto" w:fill="auto"/>
            <w:vAlign w:val="bottom"/>
          </w:tcPr>
          <w:p w14:paraId="71D43AAA" w14:textId="77777777" w:rsidR="006A3667" w:rsidRDefault="006A3667">
            <w:pPr>
              <w:rPr>
                <w:rFonts w:ascii="宋体"/>
                <w:vanish/>
              </w:rPr>
            </w:pPr>
          </w:p>
        </w:tc>
        <w:tc>
          <w:tcPr>
            <w:tcW w:w="0" w:type="auto"/>
            <w:gridSpan w:val="2"/>
            <w:shd w:val="clear" w:color="auto" w:fill="auto"/>
            <w:vAlign w:val="bottom"/>
          </w:tcPr>
          <w:p w14:paraId="71D43AAB" w14:textId="77777777" w:rsidR="006A3667" w:rsidRDefault="006A3667">
            <w:pPr>
              <w:rPr>
                <w:rFonts w:ascii="宋体"/>
                <w:vanish/>
              </w:rPr>
            </w:pPr>
          </w:p>
        </w:tc>
        <w:tc>
          <w:tcPr>
            <w:tcW w:w="0" w:type="auto"/>
            <w:shd w:val="clear" w:color="auto" w:fill="auto"/>
            <w:vAlign w:val="bottom"/>
          </w:tcPr>
          <w:p w14:paraId="71D43AAC" w14:textId="77777777" w:rsidR="006A3667" w:rsidRDefault="006A3667">
            <w:pPr>
              <w:rPr>
                <w:rFonts w:ascii="宋体"/>
                <w:vanish/>
              </w:rPr>
            </w:pPr>
          </w:p>
        </w:tc>
      </w:tr>
      <w:tr w:rsidR="006A3667" w14:paraId="71D43AC4" w14:textId="77777777">
        <w:trPr>
          <w:hidden/>
        </w:trPr>
        <w:tc>
          <w:tcPr>
            <w:tcW w:w="0" w:type="auto"/>
            <w:gridSpan w:val="3"/>
            <w:shd w:val="clear" w:color="auto" w:fill="auto"/>
            <w:vAlign w:val="bottom"/>
          </w:tcPr>
          <w:p w14:paraId="71D43AAE" w14:textId="77777777" w:rsidR="006A3667" w:rsidRDefault="006A3667">
            <w:pPr>
              <w:rPr>
                <w:rFonts w:ascii="宋体"/>
                <w:vanish/>
              </w:rPr>
            </w:pPr>
          </w:p>
        </w:tc>
        <w:tc>
          <w:tcPr>
            <w:tcW w:w="0" w:type="auto"/>
            <w:gridSpan w:val="3"/>
            <w:shd w:val="clear" w:color="auto" w:fill="auto"/>
            <w:vAlign w:val="bottom"/>
          </w:tcPr>
          <w:p w14:paraId="71D43AAF" w14:textId="77777777" w:rsidR="006A3667" w:rsidRDefault="006A3667">
            <w:pPr>
              <w:rPr>
                <w:rFonts w:ascii="宋体"/>
                <w:vanish/>
              </w:rPr>
            </w:pPr>
          </w:p>
        </w:tc>
        <w:tc>
          <w:tcPr>
            <w:tcW w:w="0" w:type="auto"/>
            <w:gridSpan w:val="3"/>
            <w:shd w:val="clear" w:color="auto" w:fill="auto"/>
            <w:vAlign w:val="bottom"/>
          </w:tcPr>
          <w:p w14:paraId="71D43AB0" w14:textId="77777777" w:rsidR="006A3667" w:rsidRDefault="006A3667">
            <w:pPr>
              <w:rPr>
                <w:rFonts w:ascii="宋体"/>
                <w:vanish/>
              </w:rPr>
            </w:pPr>
          </w:p>
        </w:tc>
        <w:tc>
          <w:tcPr>
            <w:tcW w:w="0" w:type="auto"/>
            <w:gridSpan w:val="3"/>
            <w:shd w:val="clear" w:color="auto" w:fill="auto"/>
            <w:vAlign w:val="bottom"/>
          </w:tcPr>
          <w:p w14:paraId="71D43AB1" w14:textId="77777777" w:rsidR="006A3667" w:rsidRDefault="006A3667">
            <w:pPr>
              <w:rPr>
                <w:rFonts w:ascii="宋体"/>
                <w:vanish/>
              </w:rPr>
            </w:pPr>
          </w:p>
        </w:tc>
        <w:tc>
          <w:tcPr>
            <w:tcW w:w="0" w:type="auto"/>
            <w:gridSpan w:val="3"/>
            <w:shd w:val="clear" w:color="auto" w:fill="auto"/>
            <w:vAlign w:val="bottom"/>
          </w:tcPr>
          <w:p w14:paraId="71D43AB2" w14:textId="77777777" w:rsidR="006A3667" w:rsidRDefault="006A3667">
            <w:pPr>
              <w:rPr>
                <w:rFonts w:ascii="宋体"/>
                <w:vanish/>
              </w:rPr>
            </w:pPr>
          </w:p>
        </w:tc>
        <w:tc>
          <w:tcPr>
            <w:tcW w:w="0" w:type="auto"/>
            <w:gridSpan w:val="3"/>
            <w:shd w:val="clear" w:color="auto" w:fill="auto"/>
            <w:vAlign w:val="bottom"/>
          </w:tcPr>
          <w:p w14:paraId="71D43AB3" w14:textId="77777777" w:rsidR="006A3667" w:rsidRDefault="006A3667">
            <w:pPr>
              <w:rPr>
                <w:rFonts w:ascii="宋体"/>
                <w:vanish/>
              </w:rPr>
            </w:pPr>
          </w:p>
        </w:tc>
        <w:tc>
          <w:tcPr>
            <w:tcW w:w="0" w:type="auto"/>
            <w:gridSpan w:val="3"/>
            <w:shd w:val="clear" w:color="auto" w:fill="auto"/>
            <w:vAlign w:val="bottom"/>
          </w:tcPr>
          <w:p w14:paraId="71D43AB4" w14:textId="77777777" w:rsidR="006A3667" w:rsidRDefault="006A3667">
            <w:pPr>
              <w:rPr>
                <w:rFonts w:ascii="宋体"/>
                <w:vanish/>
              </w:rPr>
            </w:pPr>
          </w:p>
        </w:tc>
        <w:tc>
          <w:tcPr>
            <w:tcW w:w="0" w:type="auto"/>
            <w:gridSpan w:val="3"/>
            <w:shd w:val="clear" w:color="auto" w:fill="auto"/>
            <w:vAlign w:val="bottom"/>
          </w:tcPr>
          <w:p w14:paraId="71D43AB5" w14:textId="77777777" w:rsidR="006A3667" w:rsidRDefault="006A3667">
            <w:pPr>
              <w:rPr>
                <w:rFonts w:ascii="宋体"/>
                <w:vanish/>
              </w:rPr>
            </w:pPr>
          </w:p>
        </w:tc>
        <w:tc>
          <w:tcPr>
            <w:tcW w:w="0" w:type="auto"/>
            <w:gridSpan w:val="3"/>
            <w:shd w:val="clear" w:color="auto" w:fill="auto"/>
            <w:vAlign w:val="bottom"/>
          </w:tcPr>
          <w:p w14:paraId="71D43AB6" w14:textId="77777777" w:rsidR="006A3667" w:rsidRDefault="006A3667">
            <w:pPr>
              <w:rPr>
                <w:rFonts w:ascii="宋体"/>
                <w:vanish/>
              </w:rPr>
            </w:pPr>
          </w:p>
        </w:tc>
        <w:tc>
          <w:tcPr>
            <w:tcW w:w="0" w:type="auto"/>
            <w:shd w:val="clear" w:color="auto" w:fill="auto"/>
            <w:vAlign w:val="bottom"/>
          </w:tcPr>
          <w:p w14:paraId="71D43AB7" w14:textId="77777777" w:rsidR="006A3667" w:rsidRDefault="006A3667">
            <w:pPr>
              <w:rPr>
                <w:rFonts w:ascii="宋体"/>
                <w:vanish/>
              </w:rPr>
            </w:pPr>
          </w:p>
        </w:tc>
        <w:tc>
          <w:tcPr>
            <w:tcW w:w="0" w:type="auto"/>
            <w:shd w:val="clear" w:color="auto" w:fill="auto"/>
            <w:vAlign w:val="bottom"/>
          </w:tcPr>
          <w:p w14:paraId="71D43AB8" w14:textId="77777777" w:rsidR="006A3667" w:rsidRDefault="006A3667">
            <w:pPr>
              <w:rPr>
                <w:rFonts w:ascii="宋体"/>
                <w:vanish/>
              </w:rPr>
            </w:pPr>
          </w:p>
        </w:tc>
        <w:tc>
          <w:tcPr>
            <w:tcW w:w="0" w:type="auto"/>
            <w:gridSpan w:val="3"/>
            <w:shd w:val="clear" w:color="auto" w:fill="auto"/>
            <w:vAlign w:val="bottom"/>
          </w:tcPr>
          <w:p w14:paraId="71D43AB9" w14:textId="77777777" w:rsidR="006A3667" w:rsidRDefault="006A3667">
            <w:pPr>
              <w:rPr>
                <w:rFonts w:ascii="宋体"/>
                <w:vanish/>
              </w:rPr>
            </w:pPr>
          </w:p>
        </w:tc>
        <w:tc>
          <w:tcPr>
            <w:tcW w:w="0" w:type="auto"/>
            <w:gridSpan w:val="3"/>
            <w:shd w:val="clear" w:color="auto" w:fill="auto"/>
            <w:vAlign w:val="bottom"/>
          </w:tcPr>
          <w:p w14:paraId="71D43ABA" w14:textId="77777777" w:rsidR="006A3667" w:rsidRDefault="006A3667">
            <w:pPr>
              <w:rPr>
                <w:rFonts w:ascii="宋体"/>
                <w:vanish/>
              </w:rPr>
            </w:pPr>
          </w:p>
        </w:tc>
        <w:tc>
          <w:tcPr>
            <w:tcW w:w="0" w:type="auto"/>
            <w:gridSpan w:val="3"/>
            <w:shd w:val="clear" w:color="auto" w:fill="auto"/>
            <w:vAlign w:val="bottom"/>
          </w:tcPr>
          <w:p w14:paraId="71D43ABB" w14:textId="77777777" w:rsidR="006A3667" w:rsidRDefault="006A3667">
            <w:pPr>
              <w:rPr>
                <w:rFonts w:ascii="宋体"/>
                <w:vanish/>
              </w:rPr>
            </w:pPr>
          </w:p>
        </w:tc>
        <w:tc>
          <w:tcPr>
            <w:tcW w:w="0" w:type="auto"/>
            <w:gridSpan w:val="3"/>
            <w:shd w:val="clear" w:color="auto" w:fill="auto"/>
            <w:vAlign w:val="bottom"/>
          </w:tcPr>
          <w:p w14:paraId="71D43ABC" w14:textId="77777777" w:rsidR="006A3667" w:rsidRDefault="006A3667">
            <w:pPr>
              <w:rPr>
                <w:rFonts w:ascii="宋体"/>
                <w:vanish/>
              </w:rPr>
            </w:pPr>
          </w:p>
        </w:tc>
        <w:tc>
          <w:tcPr>
            <w:tcW w:w="0" w:type="auto"/>
            <w:gridSpan w:val="3"/>
            <w:shd w:val="clear" w:color="auto" w:fill="auto"/>
            <w:vAlign w:val="bottom"/>
          </w:tcPr>
          <w:p w14:paraId="71D43ABD" w14:textId="77777777" w:rsidR="006A3667" w:rsidRDefault="006A3667">
            <w:pPr>
              <w:rPr>
                <w:rFonts w:ascii="宋体"/>
                <w:vanish/>
              </w:rPr>
            </w:pPr>
          </w:p>
        </w:tc>
        <w:tc>
          <w:tcPr>
            <w:tcW w:w="0" w:type="auto"/>
            <w:gridSpan w:val="3"/>
            <w:shd w:val="clear" w:color="auto" w:fill="auto"/>
            <w:vAlign w:val="bottom"/>
          </w:tcPr>
          <w:p w14:paraId="71D43ABE" w14:textId="77777777" w:rsidR="006A3667" w:rsidRDefault="006A3667">
            <w:pPr>
              <w:rPr>
                <w:rFonts w:ascii="宋体"/>
                <w:vanish/>
              </w:rPr>
            </w:pPr>
          </w:p>
        </w:tc>
        <w:tc>
          <w:tcPr>
            <w:tcW w:w="0" w:type="auto"/>
            <w:gridSpan w:val="3"/>
            <w:shd w:val="clear" w:color="auto" w:fill="auto"/>
            <w:vAlign w:val="bottom"/>
          </w:tcPr>
          <w:p w14:paraId="71D43ABF" w14:textId="77777777" w:rsidR="006A3667" w:rsidRDefault="006A3667">
            <w:pPr>
              <w:rPr>
                <w:rFonts w:ascii="宋体"/>
                <w:vanish/>
              </w:rPr>
            </w:pPr>
          </w:p>
        </w:tc>
        <w:tc>
          <w:tcPr>
            <w:tcW w:w="0" w:type="auto"/>
            <w:gridSpan w:val="3"/>
            <w:shd w:val="clear" w:color="auto" w:fill="auto"/>
            <w:vAlign w:val="bottom"/>
          </w:tcPr>
          <w:p w14:paraId="71D43AC0" w14:textId="77777777" w:rsidR="006A3667" w:rsidRDefault="006A3667">
            <w:pPr>
              <w:rPr>
                <w:rFonts w:ascii="宋体"/>
                <w:vanish/>
              </w:rPr>
            </w:pPr>
          </w:p>
        </w:tc>
        <w:tc>
          <w:tcPr>
            <w:tcW w:w="0" w:type="auto"/>
            <w:gridSpan w:val="3"/>
            <w:shd w:val="clear" w:color="auto" w:fill="auto"/>
            <w:vAlign w:val="bottom"/>
          </w:tcPr>
          <w:p w14:paraId="71D43AC1" w14:textId="77777777" w:rsidR="006A3667" w:rsidRDefault="006A3667">
            <w:pPr>
              <w:rPr>
                <w:rFonts w:ascii="宋体"/>
                <w:vanish/>
              </w:rPr>
            </w:pPr>
          </w:p>
        </w:tc>
        <w:tc>
          <w:tcPr>
            <w:tcW w:w="0" w:type="auto"/>
            <w:gridSpan w:val="2"/>
            <w:shd w:val="clear" w:color="auto" w:fill="auto"/>
            <w:vAlign w:val="bottom"/>
          </w:tcPr>
          <w:p w14:paraId="71D43AC2" w14:textId="77777777" w:rsidR="006A3667" w:rsidRDefault="006A3667">
            <w:pPr>
              <w:rPr>
                <w:rFonts w:ascii="宋体"/>
                <w:vanish/>
              </w:rPr>
            </w:pPr>
          </w:p>
        </w:tc>
        <w:tc>
          <w:tcPr>
            <w:tcW w:w="0" w:type="auto"/>
            <w:shd w:val="clear" w:color="auto" w:fill="auto"/>
            <w:vAlign w:val="bottom"/>
          </w:tcPr>
          <w:p w14:paraId="71D43AC3" w14:textId="77777777" w:rsidR="006A3667" w:rsidRDefault="006A3667">
            <w:pPr>
              <w:rPr>
                <w:rFonts w:ascii="宋体"/>
                <w:vanish/>
              </w:rPr>
            </w:pPr>
          </w:p>
        </w:tc>
      </w:tr>
      <w:tr w:rsidR="006A3667" w14:paraId="71D43ADB" w14:textId="77777777">
        <w:trPr>
          <w:hidden/>
        </w:trPr>
        <w:tc>
          <w:tcPr>
            <w:tcW w:w="0" w:type="auto"/>
            <w:gridSpan w:val="3"/>
            <w:shd w:val="clear" w:color="auto" w:fill="auto"/>
            <w:vAlign w:val="bottom"/>
          </w:tcPr>
          <w:p w14:paraId="71D43AC5" w14:textId="77777777" w:rsidR="006A3667" w:rsidRDefault="006A3667">
            <w:pPr>
              <w:rPr>
                <w:rFonts w:ascii="宋体"/>
                <w:vanish/>
              </w:rPr>
            </w:pPr>
          </w:p>
        </w:tc>
        <w:tc>
          <w:tcPr>
            <w:tcW w:w="0" w:type="auto"/>
            <w:gridSpan w:val="3"/>
            <w:shd w:val="clear" w:color="auto" w:fill="auto"/>
            <w:vAlign w:val="bottom"/>
          </w:tcPr>
          <w:p w14:paraId="71D43AC6" w14:textId="77777777" w:rsidR="006A3667" w:rsidRDefault="006A3667">
            <w:pPr>
              <w:rPr>
                <w:rFonts w:ascii="宋体"/>
                <w:vanish/>
              </w:rPr>
            </w:pPr>
          </w:p>
        </w:tc>
        <w:tc>
          <w:tcPr>
            <w:tcW w:w="0" w:type="auto"/>
            <w:gridSpan w:val="3"/>
            <w:shd w:val="clear" w:color="auto" w:fill="auto"/>
            <w:vAlign w:val="bottom"/>
          </w:tcPr>
          <w:p w14:paraId="71D43AC7" w14:textId="77777777" w:rsidR="006A3667" w:rsidRDefault="006A3667">
            <w:pPr>
              <w:rPr>
                <w:rFonts w:ascii="宋体"/>
                <w:vanish/>
              </w:rPr>
            </w:pPr>
          </w:p>
        </w:tc>
        <w:tc>
          <w:tcPr>
            <w:tcW w:w="0" w:type="auto"/>
            <w:gridSpan w:val="3"/>
            <w:shd w:val="clear" w:color="auto" w:fill="auto"/>
            <w:vAlign w:val="bottom"/>
          </w:tcPr>
          <w:p w14:paraId="71D43AC8" w14:textId="77777777" w:rsidR="006A3667" w:rsidRDefault="006A3667">
            <w:pPr>
              <w:rPr>
                <w:rFonts w:ascii="宋体"/>
                <w:vanish/>
              </w:rPr>
            </w:pPr>
          </w:p>
        </w:tc>
        <w:tc>
          <w:tcPr>
            <w:tcW w:w="0" w:type="auto"/>
            <w:gridSpan w:val="3"/>
            <w:shd w:val="clear" w:color="auto" w:fill="auto"/>
            <w:vAlign w:val="bottom"/>
          </w:tcPr>
          <w:p w14:paraId="71D43AC9" w14:textId="77777777" w:rsidR="006A3667" w:rsidRDefault="006A3667">
            <w:pPr>
              <w:rPr>
                <w:rFonts w:ascii="宋体"/>
                <w:vanish/>
              </w:rPr>
            </w:pPr>
          </w:p>
        </w:tc>
        <w:tc>
          <w:tcPr>
            <w:tcW w:w="0" w:type="auto"/>
            <w:gridSpan w:val="3"/>
            <w:shd w:val="clear" w:color="auto" w:fill="auto"/>
            <w:vAlign w:val="bottom"/>
          </w:tcPr>
          <w:p w14:paraId="71D43ACA" w14:textId="77777777" w:rsidR="006A3667" w:rsidRDefault="006A3667">
            <w:pPr>
              <w:rPr>
                <w:rFonts w:ascii="宋体"/>
                <w:vanish/>
              </w:rPr>
            </w:pPr>
          </w:p>
        </w:tc>
        <w:tc>
          <w:tcPr>
            <w:tcW w:w="0" w:type="auto"/>
            <w:gridSpan w:val="3"/>
            <w:shd w:val="clear" w:color="auto" w:fill="auto"/>
            <w:vAlign w:val="bottom"/>
          </w:tcPr>
          <w:p w14:paraId="71D43ACB" w14:textId="77777777" w:rsidR="006A3667" w:rsidRDefault="006A3667">
            <w:pPr>
              <w:rPr>
                <w:rFonts w:ascii="宋体"/>
                <w:vanish/>
              </w:rPr>
            </w:pPr>
          </w:p>
        </w:tc>
        <w:tc>
          <w:tcPr>
            <w:tcW w:w="0" w:type="auto"/>
            <w:gridSpan w:val="3"/>
            <w:shd w:val="clear" w:color="auto" w:fill="auto"/>
            <w:vAlign w:val="bottom"/>
          </w:tcPr>
          <w:p w14:paraId="71D43ACC" w14:textId="77777777" w:rsidR="006A3667" w:rsidRDefault="006A3667">
            <w:pPr>
              <w:rPr>
                <w:rFonts w:ascii="宋体"/>
                <w:vanish/>
              </w:rPr>
            </w:pPr>
          </w:p>
        </w:tc>
        <w:tc>
          <w:tcPr>
            <w:tcW w:w="0" w:type="auto"/>
            <w:gridSpan w:val="3"/>
            <w:shd w:val="clear" w:color="auto" w:fill="auto"/>
            <w:vAlign w:val="bottom"/>
          </w:tcPr>
          <w:p w14:paraId="71D43ACD" w14:textId="77777777" w:rsidR="006A3667" w:rsidRDefault="006A3667">
            <w:pPr>
              <w:rPr>
                <w:rFonts w:ascii="宋体"/>
                <w:vanish/>
              </w:rPr>
            </w:pPr>
          </w:p>
        </w:tc>
        <w:tc>
          <w:tcPr>
            <w:tcW w:w="0" w:type="auto"/>
            <w:shd w:val="clear" w:color="auto" w:fill="auto"/>
            <w:vAlign w:val="bottom"/>
          </w:tcPr>
          <w:p w14:paraId="71D43ACE" w14:textId="77777777" w:rsidR="006A3667" w:rsidRDefault="006A3667">
            <w:pPr>
              <w:rPr>
                <w:rFonts w:ascii="宋体"/>
                <w:vanish/>
              </w:rPr>
            </w:pPr>
          </w:p>
        </w:tc>
        <w:tc>
          <w:tcPr>
            <w:tcW w:w="0" w:type="auto"/>
            <w:shd w:val="clear" w:color="auto" w:fill="auto"/>
            <w:vAlign w:val="bottom"/>
          </w:tcPr>
          <w:p w14:paraId="71D43ACF" w14:textId="77777777" w:rsidR="006A3667" w:rsidRDefault="006A3667">
            <w:pPr>
              <w:rPr>
                <w:rFonts w:ascii="宋体"/>
                <w:vanish/>
              </w:rPr>
            </w:pPr>
          </w:p>
        </w:tc>
        <w:tc>
          <w:tcPr>
            <w:tcW w:w="0" w:type="auto"/>
            <w:gridSpan w:val="3"/>
            <w:shd w:val="clear" w:color="auto" w:fill="auto"/>
            <w:vAlign w:val="bottom"/>
          </w:tcPr>
          <w:p w14:paraId="71D43AD0" w14:textId="77777777" w:rsidR="006A3667" w:rsidRDefault="006A3667">
            <w:pPr>
              <w:rPr>
                <w:rFonts w:ascii="宋体"/>
                <w:vanish/>
              </w:rPr>
            </w:pPr>
          </w:p>
        </w:tc>
        <w:tc>
          <w:tcPr>
            <w:tcW w:w="0" w:type="auto"/>
            <w:gridSpan w:val="3"/>
            <w:shd w:val="clear" w:color="auto" w:fill="auto"/>
            <w:vAlign w:val="bottom"/>
          </w:tcPr>
          <w:p w14:paraId="71D43AD1" w14:textId="77777777" w:rsidR="006A3667" w:rsidRDefault="006A3667">
            <w:pPr>
              <w:rPr>
                <w:rFonts w:ascii="宋体"/>
                <w:vanish/>
              </w:rPr>
            </w:pPr>
          </w:p>
        </w:tc>
        <w:tc>
          <w:tcPr>
            <w:tcW w:w="0" w:type="auto"/>
            <w:gridSpan w:val="3"/>
            <w:shd w:val="clear" w:color="auto" w:fill="auto"/>
            <w:vAlign w:val="bottom"/>
          </w:tcPr>
          <w:p w14:paraId="71D43AD2" w14:textId="77777777" w:rsidR="006A3667" w:rsidRDefault="006A3667">
            <w:pPr>
              <w:rPr>
                <w:rFonts w:ascii="宋体"/>
                <w:vanish/>
              </w:rPr>
            </w:pPr>
          </w:p>
        </w:tc>
        <w:tc>
          <w:tcPr>
            <w:tcW w:w="0" w:type="auto"/>
            <w:gridSpan w:val="3"/>
            <w:shd w:val="clear" w:color="auto" w:fill="auto"/>
            <w:vAlign w:val="bottom"/>
          </w:tcPr>
          <w:p w14:paraId="71D43AD3" w14:textId="77777777" w:rsidR="006A3667" w:rsidRDefault="006A3667">
            <w:pPr>
              <w:rPr>
                <w:rFonts w:ascii="宋体"/>
                <w:vanish/>
              </w:rPr>
            </w:pPr>
          </w:p>
        </w:tc>
        <w:tc>
          <w:tcPr>
            <w:tcW w:w="0" w:type="auto"/>
            <w:gridSpan w:val="3"/>
            <w:shd w:val="clear" w:color="auto" w:fill="auto"/>
            <w:vAlign w:val="bottom"/>
          </w:tcPr>
          <w:p w14:paraId="71D43AD4" w14:textId="77777777" w:rsidR="006A3667" w:rsidRDefault="006A3667">
            <w:pPr>
              <w:rPr>
                <w:rFonts w:ascii="宋体"/>
                <w:vanish/>
              </w:rPr>
            </w:pPr>
          </w:p>
        </w:tc>
        <w:tc>
          <w:tcPr>
            <w:tcW w:w="0" w:type="auto"/>
            <w:gridSpan w:val="3"/>
            <w:shd w:val="clear" w:color="auto" w:fill="auto"/>
            <w:vAlign w:val="bottom"/>
          </w:tcPr>
          <w:p w14:paraId="71D43AD5" w14:textId="77777777" w:rsidR="006A3667" w:rsidRDefault="006A3667">
            <w:pPr>
              <w:rPr>
                <w:rFonts w:ascii="宋体"/>
                <w:vanish/>
              </w:rPr>
            </w:pPr>
          </w:p>
        </w:tc>
        <w:tc>
          <w:tcPr>
            <w:tcW w:w="0" w:type="auto"/>
            <w:gridSpan w:val="3"/>
            <w:shd w:val="clear" w:color="auto" w:fill="auto"/>
            <w:vAlign w:val="bottom"/>
          </w:tcPr>
          <w:p w14:paraId="71D43AD6" w14:textId="77777777" w:rsidR="006A3667" w:rsidRDefault="006A3667">
            <w:pPr>
              <w:rPr>
                <w:rFonts w:ascii="宋体"/>
                <w:vanish/>
              </w:rPr>
            </w:pPr>
          </w:p>
        </w:tc>
        <w:tc>
          <w:tcPr>
            <w:tcW w:w="0" w:type="auto"/>
            <w:gridSpan w:val="3"/>
            <w:shd w:val="clear" w:color="auto" w:fill="auto"/>
            <w:vAlign w:val="bottom"/>
          </w:tcPr>
          <w:p w14:paraId="71D43AD7" w14:textId="77777777" w:rsidR="006A3667" w:rsidRDefault="006A3667">
            <w:pPr>
              <w:rPr>
                <w:rFonts w:ascii="宋体"/>
                <w:vanish/>
              </w:rPr>
            </w:pPr>
          </w:p>
        </w:tc>
        <w:tc>
          <w:tcPr>
            <w:tcW w:w="0" w:type="auto"/>
            <w:gridSpan w:val="3"/>
            <w:shd w:val="clear" w:color="auto" w:fill="auto"/>
            <w:vAlign w:val="bottom"/>
          </w:tcPr>
          <w:p w14:paraId="71D43AD8" w14:textId="77777777" w:rsidR="006A3667" w:rsidRDefault="006A3667">
            <w:pPr>
              <w:rPr>
                <w:rFonts w:ascii="宋体"/>
                <w:vanish/>
              </w:rPr>
            </w:pPr>
          </w:p>
        </w:tc>
        <w:tc>
          <w:tcPr>
            <w:tcW w:w="0" w:type="auto"/>
            <w:gridSpan w:val="2"/>
            <w:shd w:val="clear" w:color="auto" w:fill="auto"/>
            <w:vAlign w:val="bottom"/>
          </w:tcPr>
          <w:p w14:paraId="71D43AD9" w14:textId="77777777" w:rsidR="006A3667" w:rsidRDefault="006A3667">
            <w:pPr>
              <w:rPr>
                <w:rFonts w:ascii="宋体"/>
                <w:vanish/>
              </w:rPr>
            </w:pPr>
          </w:p>
        </w:tc>
        <w:tc>
          <w:tcPr>
            <w:tcW w:w="0" w:type="auto"/>
            <w:shd w:val="clear" w:color="auto" w:fill="auto"/>
            <w:vAlign w:val="bottom"/>
          </w:tcPr>
          <w:p w14:paraId="71D43ADA" w14:textId="77777777" w:rsidR="006A3667" w:rsidRDefault="006A3667">
            <w:pPr>
              <w:rPr>
                <w:rFonts w:ascii="宋体"/>
                <w:vanish/>
              </w:rPr>
            </w:pPr>
          </w:p>
        </w:tc>
      </w:tr>
      <w:tr w:rsidR="006A3667" w14:paraId="71D43AF2" w14:textId="77777777">
        <w:trPr>
          <w:hidden/>
        </w:trPr>
        <w:tc>
          <w:tcPr>
            <w:tcW w:w="0" w:type="auto"/>
            <w:gridSpan w:val="3"/>
            <w:shd w:val="clear" w:color="auto" w:fill="auto"/>
            <w:vAlign w:val="bottom"/>
          </w:tcPr>
          <w:p w14:paraId="71D43ADC" w14:textId="77777777" w:rsidR="006A3667" w:rsidRDefault="006A3667">
            <w:pPr>
              <w:rPr>
                <w:rFonts w:ascii="宋体"/>
                <w:vanish/>
              </w:rPr>
            </w:pPr>
          </w:p>
        </w:tc>
        <w:tc>
          <w:tcPr>
            <w:tcW w:w="0" w:type="auto"/>
            <w:gridSpan w:val="3"/>
            <w:shd w:val="clear" w:color="auto" w:fill="auto"/>
            <w:vAlign w:val="bottom"/>
          </w:tcPr>
          <w:p w14:paraId="71D43ADD" w14:textId="77777777" w:rsidR="006A3667" w:rsidRDefault="006A3667">
            <w:pPr>
              <w:rPr>
                <w:rFonts w:ascii="宋体"/>
                <w:vanish/>
              </w:rPr>
            </w:pPr>
          </w:p>
        </w:tc>
        <w:tc>
          <w:tcPr>
            <w:tcW w:w="0" w:type="auto"/>
            <w:gridSpan w:val="3"/>
            <w:shd w:val="clear" w:color="auto" w:fill="auto"/>
            <w:vAlign w:val="bottom"/>
          </w:tcPr>
          <w:p w14:paraId="71D43ADE" w14:textId="77777777" w:rsidR="006A3667" w:rsidRDefault="006A3667">
            <w:pPr>
              <w:rPr>
                <w:rFonts w:ascii="宋体"/>
                <w:vanish/>
              </w:rPr>
            </w:pPr>
          </w:p>
        </w:tc>
        <w:tc>
          <w:tcPr>
            <w:tcW w:w="0" w:type="auto"/>
            <w:gridSpan w:val="3"/>
            <w:shd w:val="clear" w:color="auto" w:fill="auto"/>
            <w:vAlign w:val="bottom"/>
          </w:tcPr>
          <w:p w14:paraId="71D43ADF" w14:textId="77777777" w:rsidR="006A3667" w:rsidRDefault="006A3667">
            <w:pPr>
              <w:rPr>
                <w:rFonts w:ascii="宋体"/>
                <w:vanish/>
              </w:rPr>
            </w:pPr>
          </w:p>
        </w:tc>
        <w:tc>
          <w:tcPr>
            <w:tcW w:w="0" w:type="auto"/>
            <w:gridSpan w:val="3"/>
            <w:shd w:val="clear" w:color="auto" w:fill="auto"/>
            <w:vAlign w:val="bottom"/>
          </w:tcPr>
          <w:p w14:paraId="71D43AE0" w14:textId="77777777" w:rsidR="006A3667" w:rsidRDefault="006A3667">
            <w:pPr>
              <w:rPr>
                <w:rFonts w:ascii="宋体"/>
                <w:vanish/>
              </w:rPr>
            </w:pPr>
          </w:p>
        </w:tc>
        <w:tc>
          <w:tcPr>
            <w:tcW w:w="0" w:type="auto"/>
            <w:gridSpan w:val="3"/>
            <w:shd w:val="clear" w:color="auto" w:fill="auto"/>
            <w:vAlign w:val="bottom"/>
          </w:tcPr>
          <w:p w14:paraId="71D43AE1" w14:textId="77777777" w:rsidR="006A3667" w:rsidRDefault="006A3667">
            <w:pPr>
              <w:rPr>
                <w:rFonts w:ascii="宋体"/>
                <w:vanish/>
              </w:rPr>
            </w:pPr>
          </w:p>
        </w:tc>
        <w:tc>
          <w:tcPr>
            <w:tcW w:w="0" w:type="auto"/>
            <w:gridSpan w:val="3"/>
            <w:shd w:val="clear" w:color="auto" w:fill="auto"/>
            <w:vAlign w:val="bottom"/>
          </w:tcPr>
          <w:p w14:paraId="71D43AE2" w14:textId="77777777" w:rsidR="006A3667" w:rsidRDefault="006A3667">
            <w:pPr>
              <w:rPr>
                <w:rFonts w:ascii="宋体"/>
                <w:vanish/>
              </w:rPr>
            </w:pPr>
          </w:p>
        </w:tc>
        <w:tc>
          <w:tcPr>
            <w:tcW w:w="0" w:type="auto"/>
            <w:gridSpan w:val="3"/>
            <w:shd w:val="clear" w:color="auto" w:fill="auto"/>
            <w:vAlign w:val="bottom"/>
          </w:tcPr>
          <w:p w14:paraId="71D43AE3" w14:textId="77777777" w:rsidR="006A3667" w:rsidRDefault="006A3667">
            <w:pPr>
              <w:rPr>
                <w:rFonts w:ascii="宋体"/>
                <w:vanish/>
              </w:rPr>
            </w:pPr>
          </w:p>
        </w:tc>
        <w:tc>
          <w:tcPr>
            <w:tcW w:w="0" w:type="auto"/>
            <w:gridSpan w:val="3"/>
            <w:shd w:val="clear" w:color="auto" w:fill="auto"/>
            <w:vAlign w:val="bottom"/>
          </w:tcPr>
          <w:p w14:paraId="71D43AE4" w14:textId="77777777" w:rsidR="006A3667" w:rsidRDefault="006A3667">
            <w:pPr>
              <w:rPr>
                <w:rFonts w:ascii="宋体"/>
                <w:vanish/>
              </w:rPr>
            </w:pPr>
          </w:p>
        </w:tc>
        <w:tc>
          <w:tcPr>
            <w:tcW w:w="0" w:type="auto"/>
            <w:shd w:val="clear" w:color="auto" w:fill="auto"/>
            <w:vAlign w:val="bottom"/>
          </w:tcPr>
          <w:p w14:paraId="71D43AE5" w14:textId="77777777" w:rsidR="006A3667" w:rsidRDefault="006A3667">
            <w:pPr>
              <w:rPr>
                <w:rFonts w:ascii="宋体"/>
                <w:vanish/>
              </w:rPr>
            </w:pPr>
          </w:p>
        </w:tc>
        <w:tc>
          <w:tcPr>
            <w:tcW w:w="0" w:type="auto"/>
            <w:shd w:val="clear" w:color="auto" w:fill="auto"/>
            <w:vAlign w:val="bottom"/>
          </w:tcPr>
          <w:p w14:paraId="71D43AE6" w14:textId="77777777" w:rsidR="006A3667" w:rsidRDefault="006A3667">
            <w:pPr>
              <w:rPr>
                <w:rFonts w:ascii="宋体"/>
                <w:vanish/>
              </w:rPr>
            </w:pPr>
          </w:p>
        </w:tc>
        <w:tc>
          <w:tcPr>
            <w:tcW w:w="0" w:type="auto"/>
            <w:gridSpan w:val="3"/>
            <w:shd w:val="clear" w:color="auto" w:fill="auto"/>
            <w:vAlign w:val="bottom"/>
          </w:tcPr>
          <w:p w14:paraId="71D43AE7" w14:textId="77777777" w:rsidR="006A3667" w:rsidRDefault="006A3667">
            <w:pPr>
              <w:rPr>
                <w:rFonts w:ascii="宋体"/>
                <w:vanish/>
              </w:rPr>
            </w:pPr>
          </w:p>
        </w:tc>
        <w:tc>
          <w:tcPr>
            <w:tcW w:w="0" w:type="auto"/>
            <w:gridSpan w:val="3"/>
            <w:shd w:val="clear" w:color="auto" w:fill="auto"/>
            <w:vAlign w:val="bottom"/>
          </w:tcPr>
          <w:p w14:paraId="71D43AE8" w14:textId="77777777" w:rsidR="006A3667" w:rsidRDefault="006A3667">
            <w:pPr>
              <w:rPr>
                <w:rFonts w:ascii="宋体"/>
                <w:vanish/>
              </w:rPr>
            </w:pPr>
          </w:p>
        </w:tc>
        <w:tc>
          <w:tcPr>
            <w:tcW w:w="0" w:type="auto"/>
            <w:gridSpan w:val="3"/>
            <w:shd w:val="clear" w:color="auto" w:fill="auto"/>
            <w:vAlign w:val="bottom"/>
          </w:tcPr>
          <w:p w14:paraId="71D43AE9" w14:textId="77777777" w:rsidR="006A3667" w:rsidRDefault="006A3667">
            <w:pPr>
              <w:rPr>
                <w:rFonts w:ascii="宋体"/>
                <w:vanish/>
              </w:rPr>
            </w:pPr>
          </w:p>
        </w:tc>
        <w:tc>
          <w:tcPr>
            <w:tcW w:w="0" w:type="auto"/>
            <w:gridSpan w:val="3"/>
            <w:shd w:val="clear" w:color="auto" w:fill="auto"/>
            <w:vAlign w:val="bottom"/>
          </w:tcPr>
          <w:p w14:paraId="71D43AEA" w14:textId="77777777" w:rsidR="006A3667" w:rsidRDefault="006A3667">
            <w:pPr>
              <w:rPr>
                <w:rFonts w:ascii="宋体"/>
                <w:vanish/>
              </w:rPr>
            </w:pPr>
          </w:p>
        </w:tc>
        <w:tc>
          <w:tcPr>
            <w:tcW w:w="0" w:type="auto"/>
            <w:gridSpan w:val="3"/>
            <w:shd w:val="clear" w:color="auto" w:fill="auto"/>
            <w:vAlign w:val="bottom"/>
          </w:tcPr>
          <w:p w14:paraId="71D43AEB" w14:textId="77777777" w:rsidR="006A3667" w:rsidRDefault="006A3667">
            <w:pPr>
              <w:rPr>
                <w:rFonts w:ascii="宋体"/>
                <w:vanish/>
              </w:rPr>
            </w:pPr>
          </w:p>
        </w:tc>
        <w:tc>
          <w:tcPr>
            <w:tcW w:w="0" w:type="auto"/>
            <w:gridSpan w:val="3"/>
            <w:shd w:val="clear" w:color="auto" w:fill="auto"/>
            <w:vAlign w:val="bottom"/>
          </w:tcPr>
          <w:p w14:paraId="71D43AEC" w14:textId="77777777" w:rsidR="006A3667" w:rsidRDefault="006A3667">
            <w:pPr>
              <w:rPr>
                <w:rFonts w:ascii="宋体"/>
                <w:vanish/>
              </w:rPr>
            </w:pPr>
          </w:p>
        </w:tc>
        <w:tc>
          <w:tcPr>
            <w:tcW w:w="0" w:type="auto"/>
            <w:gridSpan w:val="3"/>
            <w:shd w:val="clear" w:color="auto" w:fill="auto"/>
            <w:vAlign w:val="bottom"/>
          </w:tcPr>
          <w:p w14:paraId="71D43AED" w14:textId="77777777" w:rsidR="006A3667" w:rsidRDefault="006A3667">
            <w:pPr>
              <w:rPr>
                <w:rFonts w:ascii="宋体"/>
                <w:vanish/>
              </w:rPr>
            </w:pPr>
          </w:p>
        </w:tc>
        <w:tc>
          <w:tcPr>
            <w:tcW w:w="0" w:type="auto"/>
            <w:gridSpan w:val="3"/>
            <w:shd w:val="clear" w:color="auto" w:fill="auto"/>
            <w:vAlign w:val="bottom"/>
          </w:tcPr>
          <w:p w14:paraId="71D43AEE" w14:textId="77777777" w:rsidR="006A3667" w:rsidRDefault="006A3667">
            <w:pPr>
              <w:rPr>
                <w:rFonts w:ascii="宋体"/>
                <w:vanish/>
              </w:rPr>
            </w:pPr>
          </w:p>
        </w:tc>
        <w:tc>
          <w:tcPr>
            <w:tcW w:w="0" w:type="auto"/>
            <w:gridSpan w:val="3"/>
            <w:shd w:val="clear" w:color="auto" w:fill="auto"/>
            <w:vAlign w:val="bottom"/>
          </w:tcPr>
          <w:p w14:paraId="71D43AEF" w14:textId="77777777" w:rsidR="006A3667" w:rsidRDefault="006A3667">
            <w:pPr>
              <w:rPr>
                <w:rFonts w:ascii="宋体"/>
                <w:vanish/>
              </w:rPr>
            </w:pPr>
          </w:p>
        </w:tc>
        <w:tc>
          <w:tcPr>
            <w:tcW w:w="0" w:type="auto"/>
            <w:gridSpan w:val="2"/>
            <w:shd w:val="clear" w:color="auto" w:fill="auto"/>
            <w:vAlign w:val="bottom"/>
          </w:tcPr>
          <w:p w14:paraId="71D43AF0" w14:textId="77777777" w:rsidR="006A3667" w:rsidRDefault="006A3667">
            <w:pPr>
              <w:rPr>
                <w:rFonts w:ascii="宋体"/>
                <w:vanish/>
              </w:rPr>
            </w:pPr>
          </w:p>
        </w:tc>
        <w:tc>
          <w:tcPr>
            <w:tcW w:w="0" w:type="auto"/>
            <w:shd w:val="clear" w:color="auto" w:fill="auto"/>
            <w:vAlign w:val="bottom"/>
          </w:tcPr>
          <w:p w14:paraId="71D43AF1" w14:textId="77777777" w:rsidR="006A3667" w:rsidRDefault="006A3667">
            <w:pPr>
              <w:rPr>
                <w:rFonts w:ascii="宋体"/>
                <w:vanish/>
              </w:rPr>
            </w:pPr>
          </w:p>
        </w:tc>
      </w:tr>
      <w:tr w:rsidR="006A3667" w14:paraId="71D43B09" w14:textId="77777777">
        <w:trPr>
          <w:hidden/>
        </w:trPr>
        <w:tc>
          <w:tcPr>
            <w:tcW w:w="0" w:type="auto"/>
            <w:gridSpan w:val="3"/>
            <w:shd w:val="clear" w:color="auto" w:fill="auto"/>
            <w:vAlign w:val="bottom"/>
          </w:tcPr>
          <w:p w14:paraId="71D43AF3" w14:textId="77777777" w:rsidR="006A3667" w:rsidRDefault="006A3667">
            <w:pPr>
              <w:rPr>
                <w:rFonts w:ascii="宋体"/>
                <w:vanish/>
              </w:rPr>
            </w:pPr>
          </w:p>
        </w:tc>
        <w:tc>
          <w:tcPr>
            <w:tcW w:w="0" w:type="auto"/>
            <w:gridSpan w:val="3"/>
            <w:shd w:val="clear" w:color="auto" w:fill="auto"/>
            <w:vAlign w:val="bottom"/>
          </w:tcPr>
          <w:p w14:paraId="71D43AF4" w14:textId="77777777" w:rsidR="006A3667" w:rsidRDefault="006A3667">
            <w:pPr>
              <w:rPr>
                <w:rFonts w:ascii="宋体"/>
                <w:vanish/>
              </w:rPr>
            </w:pPr>
          </w:p>
        </w:tc>
        <w:tc>
          <w:tcPr>
            <w:tcW w:w="0" w:type="auto"/>
            <w:gridSpan w:val="3"/>
            <w:shd w:val="clear" w:color="auto" w:fill="auto"/>
            <w:vAlign w:val="bottom"/>
          </w:tcPr>
          <w:p w14:paraId="71D43AF5" w14:textId="77777777" w:rsidR="006A3667" w:rsidRDefault="006A3667">
            <w:pPr>
              <w:rPr>
                <w:rFonts w:ascii="宋体"/>
                <w:vanish/>
              </w:rPr>
            </w:pPr>
          </w:p>
        </w:tc>
        <w:tc>
          <w:tcPr>
            <w:tcW w:w="0" w:type="auto"/>
            <w:gridSpan w:val="3"/>
            <w:shd w:val="clear" w:color="auto" w:fill="auto"/>
            <w:vAlign w:val="bottom"/>
          </w:tcPr>
          <w:p w14:paraId="71D43AF6" w14:textId="77777777" w:rsidR="006A3667" w:rsidRDefault="006A3667">
            <w:pPr>
              <w:rPr>
                <w:rFonts w:ascii="宋体"/>
                <w:vanish/>
              </w:rPr>
            </w:pPr>
          </w:p>
        </w:tc>
        <w:tc>
          <w:tcPr>
            <w:tcW w:w="0" w:type="auto"/>
            <w:gridSpan w:val="3"/>
            <w:shd w:val="clear" w:color="auto" w:fill="auto"/>
            <w:vAlign w:val="bottom"/>
          </w:tcPr>
          <w:p w14:paraId="71D43AF7" w14:textId="77777777" w:rsidR="006A3667" w:rsidRDefault="006A3667">
            <w:pPr>
              <w:rPr>
                <w:rFonts w:ascii="宋体"/>
                <w:vanish/>
              </w:rPr>
            </w:pPr>
          </w:p>
        </w:tc>
        <w:tc>
          <w:tcPr>
            <w:tcW w:w="0" w:type="auto"/>
            <w:gridSpan w:val="3"/>
            <w:shd w:val="clear" w:color="auto" w:fill="auto"/>
            <w:vAlign w:val="bottom"/>
          </w:tcPr>
          <w:p w14:paraId="71D43AF8" w14:textId="77777777" w:rsidR="006A3667" w:rsidRDefault="006A3667">
            <w:pPr>
              <w:rPr>
                <w:rFonts w:ascii="宋体"/>
                <w:vanish/>
              </w:rPr>
            </w:pPr>
          </w:p>
        </w:tc>
        <w:tc>
          <w:tcPr>
            <w:tcW w:w="0" w:type="auto"/>
            <w:gridSpan w:val="3"/>
            <w:shd w:val="clear" w:color="auto" w:fill="auto"/>
            <w:vAlign w:val="bottom"/>
          </w:tcPr>
          <w:p w14:paraId="71D43AF9" w14:textId="77777777" w:rsidR="006A3667" w:rsidRDefault="006A3667">
            <w:pPr>
              <w:rPr>
                <w:rFonts w:ascii="宋体"/>
                <w:vanish/>
              </w:rPr>
            </w:pPr>
          </w:p>
        </w:tc>
        <w:tc>
          <w:tcPr>
            <w:tcW w:w="0" w:type="auto"/>
            <w:gridSpan w:val="3"/>
            <w:shd w:val="clear" w:color="auto" w:fill="auto"/>
            <w:vAlign w:val="bottom"/>
          </w:tcPr>
          <w:p w14:paraId="71D43AFA" w14:textId="77777777" w:rsidR="006A3667" w:rsidRDefault="006A3667">
            <w:pPr>
              <w:rPr>
                <w:rFonts w:ascii="宋体"/>
                <w:vanish/>
              </w:rPr>
            </w:pPr>
          </w:p>
        </w:tc>
        <w:tc>
          <w:tcPr>
            <w:tcW w:w="0" w:type="auto"/>
            <w:gridSpan w:val="3"/>
            <w:shd w:val="clear" w:color="auto" w:fill="auto"/>
            <w:vAlign w:val="bottom"/>
          </w:tcPr>
          <w:p w14:paraId="71D43AFB" w14:textId="77777777" w:rsidR="006A3667" w:rsidRDefault="006A3667">
            <w:pPr>
              <w:rPr>
                <w:rFonts w:ascii="宋体"/>
                <w:vanish/>
              </w:rPr>
            </w:pPr>
          </w:p>
        </w:tc>
        <w:tc>
          <w:tcPr>
            <w:tcW w:w="0" w:type="auto"/>
            <w:shd w:val="clear" w:color="auto" w:fill="auto"/>
            <w:vAlign w:val="bottom"/>
          </w:tcPr>
          <w:p w14:paraId="71D43AFC" w14:textId="77777777" w:rsidR="006A3667" w:rsidRDefault="006A3667">
            <w:pPr>
              <w:rPr>
                <w:rFonts w:ascii="宋体"/>
                <w:vanish/>
              </w:rPr>
            </w:pPr>
          </w:p>
        </w:tc>
        <w:tc>
          <w:tcPr>
            <w:tcW w:w="0" w:type="auto"/>
            <w:shd w:val="clear" w:color="auto" w:fill="auto"/>
            <w:vAlign w:val="bottom"/>
          </w:tcPr>
          <w:p w14:paraId="71D43AFD" w14:textId="77777777" w:rsidR="006A3667" w:rsidRDefault="006A3667">
            <w:pPr>
              <w:rPr>
                <w:rFonts w:ascii="宋体"/>
                <w:vanish/>
              </w:rPr>
            </w:pPr>
          </w:p>
        </w:tc>
        <w:tc>
          <w:tcPr>
            <w:tcW w:w="0" w:type="auto"/>
            <w:gridSpan w:val="3"/>
            <w:shd w:val="clear" w:color="auto" w:fill="auto"/>
            <w:vAlign w:val="bottom"/>
          </w:tcPr>
          <w:p w14:paraId="71D43AFE" w14:textId="77777777" w:rsidR="006A3667" w:rsidRDefault="006A3667">
            <w:pPr>
              <w:rPr>
                <w:rFonts w:ascii="宋体"/>
                <w:vanish/>
              </w:rPr>
            </w:pPr>
          </w:p>
        </w:tc>
        <w:tc>
          <w:tcPr>
            <w:tcW w:w="0" w:type="auto"/>
            <w:gridSpan w:val="3"/>
            <w:shd w:val="clear" w:color="auto" w:fill="auto"/>
            <w:vAlign w:val="bottom"/>
          </w:tcPr>
          <w:p w14:paraId="71D43AFF" w14:textId="77777777" w:rsidR="006A3667" w:rsidRDefault="006A3667">
            <w:pPr>
              <w:rPr>
                <w:rFonts w:ascii="宋体"/>
                <w:vanish/>
              </w:rPr>
            </w:pPr>
          </w:p>
        </w:tc>
        <w:tc>
          <w:tcPr>
            <w:tcW w:w="0" w:type="auto"/>
            <w:gridSpan w:val="3"/>
            <w:shd w:val="clear" w:color="auto" w:fill="auto"/>
            <w:vAlign w:val="bottom"/>
          </w:tcPr>
          <w:p w14:paraId="71D43B00" w14:textId="77777777" w:rsidR="006A3667" w:rsidRDefault="006A3667">
            <w:pPr>
              <w:rPr>
                <w:rFonts w:ascii="宋体"/>
                <w:vanish/>
              </w:rPr>
            </w:pPr>
          </w:p>
        </w:tc>
        <w:tc>
          <w:tcPr>
            <w:tcW w:w="0" w:type="auto"/>
            <w:gridSpan w:val="3"/>
            <w:shd w:val="clear" w:color="auto" w:fill="auto"/>
            <w:vAlign w:val="bottom"/>
          </w:tcPr>
          <w:p w14:paraId="71D43B01" w14:textId="77777777" w:rsidR="006A3667" w:rsidRDefault="006A3667">
            <w:pPr>
              <w:rPr>
                <w:rFonts w:ascii="宋体"/>
                <w:vanish/>
              </w:rPr>
            </w:pPr>
          </w:p>
        </w:tc>
        <w:tc>
          <w:tcPr>
            <w:tcW w:w="0" w:type="auto"/>
            <w:gridSpan w:val="3"/>
            <w:shd w:val="clear" w:color="auto" w:fill="auto"/>
            <w:vAlign w:val="bottom"/>
          </w:tcPr>
          <w:p w14:paraId="71D43B02" w14:textId="77777777" w:rsidR="006A3667" w:rsidRDefault="006A3667">
            <w:pPr>
              <w:rPr>
                <w:rFonts w:ascii="宋体"/>
                <w:vanish/>
              </w:rPr>
            </w:pPr>
          </w:p>
        </w:tc>
        <w:tc>
          <w:tcPr>
            <w:tcW w:w="0" w:type="auto"/>
            <w:gridSpan w:val="3"/>
            <w:shd w:val="clear" w:color="auto" w:fill="auto"/>
            <w:vAlign w:val="bottom"/>
          </w:tcPr>
          <w:p w14:paraId="71D43B03" w14:textId="77777777" w:rsidR="006A3667" w:rsidRDefault="006A3667">
            <w:pPr>
              <w:rPr>
                <w:rFonts w:ascii="宋体"/>
                <w:vanish/>
              </w:rPr>
            </w:pPr>
          </w:p>
        </w:tc>
        <w:tc>
          <w:tcPr>
            <w:tcW w:w="0" w:type="auto"/>
            <w:gridSpan w:val="3"/>
            <w:shd w:val="clear" w:color="auto" w:fill="auto"/>
            <w:vAlign w:val="bottom"/>
          </w:tcPr>
          <w:p w14:paraId="71D43B04" w14:textId="77777777" w:rsidR="006A3667" w:rsidRDefault="006A3667">
            <w:pPr>
              <w:rPr>
                <w:rFonts w:ascii="宋体"/>
                <w:vanish/>
              </w:rPr>
            </w:pPr>
          </w:p>
        </w:tc>
        <w:tc>
          <w:tcPr>
            <w:tcW w:w="0" w:type="auto"/>
            <w:gridSpan w:val="3"/>
            <w:shd w:val="clear" w:color="auto" w:fill="auto"/>
            <w:vAlign w:val="bottom"/>
          </w:tcPr>
          <w:p w14:paraId="71D43B05" w14:textId="77777777" w:rsidR="006A3667" w:rsidRDefault="006A3667">
            <w:pPr>
              <w:rPr>
                <w:rFonts w:ascii="宋体"/>
                <w:vanish/>
              </w:rPr>
            </w:pPr>
          </w:p>
        </w:tc>
        <w:tc>
          <w:tcPr>
            <w:tcW w:w="0" w:type="auto"/>
            <w:gridSpan w:val="3"/>
            <w:shd w:val="clear" w:color="auto" w:fill="auto"/>
            <w:vAlign w:val="bottom"/>
          </w:tcPr>
          <w:p w14:paraId="71D43B06" w14:textId="77777777" w:rsidR="006A3667" w:rsidRDefault="006A3667">
            <w:pPr>
              <w:rPr>
                <w:rFonts w:ascii="宋体"/>
                <w:vanish/>
              </w:rPr>
            </w:pPr>
          </w:p>
        </w:tc>
        <w:tc>
          <w:tcPr>
            <w:tcW w:w="0" w:type="auto"/>
            <w:gridSpan w:val="2"/>
            <w:shd w:val="clear" w:color="auto" w:fill="auto"/>
            <w:vAlign w:val="bottom"/>
          </w:tcPr>
          <w:p w14:paraId="71D43B07" w14:textId="77777777" w:rsidR="006A3667" w:rsidRDefault="006A3667">
            <w:pPr>
              <w:rPr>
                <w:rFonts w:ascii="宋体"/>
                <w:vanish/>
              </w:rPr>
            </w:pPr>
          </w:p>
        </w:tc>
        <w:tc>
          <w:tcPr>
            <w:tcW w:w="0" w:type="auto"/>
            <w:shd w:val="clear" w:color="auto" w:fill="auto"/>
            <w:vAlign w:val="bottom"/>
          </w:tcPr>
          <w:p w14:paraId="71D43B08" w14:textId="77777777" w:rsidR="006A3667" w:rsidRDefault="006A3667">
            <w:pPr>
              <w:rPr>
                <w:rFonts w:ascii="宋体"/>
                <w:vanish/>
              </w:rPr>
            </w:pPr>
          </w:p>
        </w:tc>
      </w:tr>
      <w:tr w:rsidR="006A3667" w14:paraId="71D43B20" w14:textId="77777777">
        <w:trPr>
          <w:hidden/>
        </w:trPr>
        <w:tc>
          <w:tcPr>
            <w:tcW w:w="0" w:type="auto"/>
            <w:gridSpan w:val="3"/>
            <w:shd w:val="clear" w:color="auto" w:fill="auto"/>
            <w:vAlign w:val="bottom"/>
          </w:tcPr>
          <w:p w14:paraId="71D43B0A" w14:textId="77777777" w:rsidR="006A3667" w:rsidRDefault="006A3667">
            <w:pPr>
              <w:rPr>
                <w:rFonts w:ascii="宋体"/>
                <w:vanish/>
              </w:rPr>
            </w:pPr>
          </w:p>
        </w:tc>
        <w:tc>
          <w:tcPr>
            <w:tcW w:w="0" w:type="auto"/>
            <w:gridSpan w:val="3"/>
            <w:shd w:val="clear" w:color="auto" w:fill="auto"/>
            <w:vAlign w:val="bottom"/>
          </w:tcPr>
          <w:p w14:paraId="71D43B0B" w14:textId="77777777" w:rsidR="006A3667" w:rsidRDefault="006A3667">
            <w:pPr>
              <w:rPr>
                <w:rFonts w:ascii="宋体"/>
                <w:vanish/>
              </w:rPr>
            </w:pPr>
          </w:p>
        </w:tc>
        <w:tc>
          <w:tcPr>
            <w:tcW w:w="0" w:type="auto"/>
            <w:gridSpan w:val="3"/>
            <w:shd w:val="clear" w:color="auto" w:fill="auto"/>
            <w:vAlign w:val="bottom"/>
          </w:tcPr>
          <w:p w14:paraId="71D43B0C" w14:textId="77777777" w:rsidR="006A3667" w:rsidRDefault="006A3667">
            <w:pPr>
              <w:rPr>
                <w:rFonts w:ascii="宋体"/>
                <w:vanish/>
              </w:rPr>
            </w:pPr>
          </w:p>
        </w:tc>
        <w:tc>
          <w:tcPr>
            <w:tcW w:w="0" w:type="auto"/>
            <w:gridSpan w:val="3"/>
            <w:shd w:val="clear" w:color="auto" w:fill="auto"/>
            <w:vAlign w:val="bottom"/>
          </w:tcPr>
          <w:p w14:paraId="71D43B0D" w14:textId="77777777" w:rsidR="006A3667" w:rsidRDefault="006A3667">
            <w:pPr>
              <w:rPr>
                <w:rFonts w:ascii="宋体"/>
                <w:vanish/>
              </w:rPr>
            </w:pPr>
          </w:p>
        </w:tc>
        <w:tc>
          <w:tcPr>
            <w:tcW w:w="0" w:type="auto"/>
            <w:gridSpan w:val="3"/>
            <w:shd w:val="clear" w:color="auto" w:fill="auto"/>
            <w:vAlign w:val="bottom"/>
          </w:tcPr>
          <w:p w14:paraId="71D43B0E" w14:textId="77777777" w:rsidR="006A3667" w:rsidRDefault="006A3667">
            <w:pPr>
              <w:rPr>
                <w:rFonts w:ascii="宋体"/>
                <w:vanish/>
              </w:rPr>
            </w:pPr>
          </w:p>
        </w:tc>
        <w:tc>
          <w:tcPr>
            <w:tcW w:w="0" w:type="auto"/>
            <w:gridSpan w:val="3"/>
            <w:shd w:val="clear" w:color="auto" w:fill="auto"/>
            <w:vAlign w:val="bottom"/>
          </w:tcPr>
          <w:p w14:paraId="71D43B0F" w14:textId="77777777" w:rsidR="006A3667" w:rsidRDefault="006A3667">
            <w:pPr>
              <w:rPr>
                <w:rFonts w:ascii="宋体"/>
                <w:vanish/>
              </w:rPr>
            </w:pPr>
          </w:p>
        </w:tc>
        <w:tc>
          <w:tcPr>
            <w:tcW w:w="0" w:type="auto"/>
            <w:gridSpan w:val="3"/>
            <w:shd w:val="clear" w:color="auto" w:fill="auto"/>
            <w:vAlign w:val="bottom"/>
          </w:tcPr>
          <w:p w14:paraId="71D43B10" w14:textId="77777777" w:rsidR="006A3667" w:rsidRDefault="006A3667">
            <w:pPr>
              <w:rPr>
                <w:rFonts w:ascii="宋体"/>
                <w:vanish/>
              </w:rPr>
            </w:pPr>
          </w:p>
        </w:tc>
        <w:tc>
          <w:tcPr>
            <w:tcW w:w="0" w:type="auto"/>
            <w:gridSpan w:val="3"/>
            <w:shd w:val="clear" w:color="auto" w:fill="auto"/>
            <w:vAlign w:val="bottom"/>
          </w:tcPr>
          <w:p w14:paraId="71D43B11" w14:textId="77777777" w:rsidR="006A3667" w:rsidRDefault="006A3667">
            <w:pPr>
              <w:rPr>
                <w:rFonts w:ascii="宋体"/>
                <w:vanish/>
              </w:rPr>
            </w:pPr>
          </w:p>
        </w:tc>
        <w:tc>
          <w:tcPr>
            <w:tcW w:w="0" w:type="auto"/>
            <w:gridSpan w:val="3"/>
            <w:shd w:val="clear" w:color="auto" w:fill="auto"/>
            <w:vAlign w:val="bottom"/>
          </w:tcPr>
          <w:p w14:paraId="71D43B12" w14:textId="77777777" w:rsidR="006A3667" w:rsidRDefault="006A3667">
            <w:pPr>
              <w:rPr>
                <w:rFonts w:ascii="宋体"/>
                <w:vanish/>
              </w:rPr>
            </w:pPr>
          </w:p>
        </w:tc>
        <w:tc>
          <w:tcPr>
            <w:tcW w:w="0" w:type="auto"/>
            <w:shd w:val="clear" w:color="auto" w:fill="auto"/>
            <w:vAlign w:val="bottom"/>
          </w:tcPr>
          <w:p w14:paraId="71D43B13" w14:textId="77777777" w:rsidR="006A3667" w:rsidRDefault="006A3667">
            <w:pPr>
              <w:rPr>
                <w:rFonts w:ascii="宋体"/>
                <w:vanish/>
              </w:rPr>
            </w:pPr>
          </w:p>
        </w:tc>
        <w:tc>
          <w:tcPr>
            <w:tcW w:w="0" w:type="auto"/>
            <w:shd w:val="clear" w:color="auto" w:fill="auto"/>
            <w:vAlign w:val="bottom"/>
          </w:tcPr>
          <w:p w14:paraId="71D43B14" w14:textId="77777777" w:rsidR="006A3667" w:rsidRDefault="006A3667">
            <w:pPr>
              <w:rPr>
                <w:rFonts w:ascii="宋体"/>
                <w:vanish/>
              </w:rPr>
            </w:pPr>
          </w:p>
        </w:tc>
        <w:tc>
          <w:tcPr>
            <w:tcW w:w="0" w:type="auto"/>
            <w:gridSpan w:val="3"/>
            <w:shd w:val="clear" w:color="auto" w:fill="auto"/>
            <w:vAlign w:val="bottom"/>
          </w:tcPr>
          <w:p w14:paraId="71D43B15" w14:textId="77777777" w:rsidR="006A3667" w:rsidRDefault="006A3667">
            <w:pPr>
              <w:rPr>
                <w:rFonts w:ascii="宋体"/>
                <w:vanish/>
              </w:rPr>
            </w:pPr>
          </w:p>
        </w:tc>
        <w:tc>
          <w:tcPr>
            <w:tcW w:w="0" w:type="auto"/>
            <w:gridSpan w:val="3"/>
            <w:shd w:val="clear" w:color="auto" w:fill="auto"/>
            <w:vAlign w:val="bottom"/>
          </w:tcPr>
          <w:p w14:paraId="71D43B16" w14:textId="77777777" w:rsidR="006A3667" w:rsidRDefault="006A3667">
            <w:pPr>
              <w:rPr>
                <w:rFonts w:ascii="宋体"/>
                <w:vanish/>
              </w:rPr>
            </w:pPr>
          </w:p>
        </w:tc>
        <w:tc>
          <w:tcPr>
            <w:tcW w:w="0" w:type="auto"/>
            <w:gridSpan w:val="3"/>
            <w:shd w:val="clear" w:color="auto" w:fill="auto"/>
            <w:vAlign w:val="bottom"/>
          </w:tcPr>
          <w:p w14:paraId="71D43B17" w14:textId="77777777" w:rsidR="006A3667" w:rsidRDefault="006A3667">
            <w:pPr>
              <w:rPr>
                <w:rFonts w:ascii="宋体"/>
                <w:vanish/>
              </w:rPr>
            </w:pPr>
          </w:p>
        </w:tc>
        <w:tc>
          <w:tcPr>
            <w:tcW w:w="0" w:type="auto"/>
            <w:gridSpan w:val="3"/>
            <w:shd w:val="clear" w:color="auto" w:fill="auto"/>
            <w:vAlign w:val="bottom"/>
          </w:tcPr>
          <w:p w14:paraId="71D43B18" w14:textId="77777777" w:rsidR="006A3667" w:rsidRDefault="006A3667">
            <w:pPr>
              <w:rPr>
                <w:rFonts w:ascii="宋体"/>
                <w:vanish/>
              </w:rPr>
            </w:pPr>
          </w:p>
        </w:tc>
        <w:tc>
          <w:tcPr>
            <w:tcW w:w="0" w:type="auto"/>
            <w:gridSpan w:val="3"/>
            <w:shd w:val="clear" w:color="auto" w:fill="auto"/>
            <w:vAlign w:val="bottom"/>
          </w:tcPr>
          <w:p w14:paraId="71D43B19" w14:textId="77777777" w:rsidR="006A3667" w:rsidRDefault="006A3667">
            <w:pPr>
              <w:rPr>
                <w:rFonts w:ascii="宋体"/>
                <w:vanish/>
              </w:rPr>
            </w:pPr>
          </w:p>
        </w:tc>
        <w:tc>
          <w:tcPr>
            <w:tcW w:w="0" w:type="auto"/>
            <w:gridSpan w:val="3"/>
            <w:shd w:val="clear" w:color="auto" w:fill="auto"/>
            <w:vAlign w:val="bottom"/>
          </w:tcPr>
          <w:p w14:paraId="71D43B1A" w14:textId="77777777" w:rsidR="006A3667" w:rsidRDefault="006A3667">
            <w:pPr>
              <w:rPr>
                <w:rFonts w:ascii="宋体"/>
                <w:vanish/>
              </w:rPr>
            </w:pPr>
          </w:p>
        </w:tc>
        <w:tc>
          <w:tcPr>
            <w:tcW w:w="0" w:type="auto"/>
            <w:gridSpan w:val="3"/>
            <w:shd w:val="clear" w:color="auto" w:fill="auto"/>
            <w:vAlign w:val="bottom"/>
          </w:tcPr>
          <w:p w14:paraId="71D43B1B" w14:textId="77777777" w:rsidR="006A3667" w:rsidRDefault="006A3667">
            <w:pPr>
              <w:rPr>
                <w:rFonts w:ascii="宋体"/>
                <w:vanish/>
              </w:rPr>
            </w:pPr>
          </w:p>
        </w:tc>
        <w:tc>
          <w:tcPr>
            <w:tcW w:w="0" w:type="auto"/>
            <w:gridSpan w:val="3"/>
            <w:shd w:val="clear" w:color="auto" w:fill="auto"/>
            <w:vAlign w:val="bottom"/>
          </w:tcPr>
          <w:p w14:paraId="71D43B1C" w14:textId="77777777" w:rsidR="006A3667" w:rsidRDefault="006A3667">
            <w:pPr>
              <w:rPr>
                <w:rFonts w:ascii="宋体"/>
                <w:vanish/>
              </w:rPr>
            </w:pPr>
          </w:p>
        </w:tc>
        <w:tc>
          <w:tcPr>
            <w:tcW w:w="0" w:type="auto"/>
            <w:gridSpan w:val="3"/>
            <w:shd w:val="clear" w:color="auto" w:fill="auto"/>
            <w:vAlign w:val="bottom"/>
          </w:tcPr>
          <w:p w14:paraId="71D43B1D" w14:textId="77777777" w:rsidR="006A3667" w:rsidRDefault="006A3667">
            <w:pPr>
              <w:rPr>
                <w:rFonts w:ascii="宋体"/>
                <w:vanish/>
              </w:rPr>
            </w:pPr>
          </w:p>
        </w:tc>
        <w:tc>
          <w:tcPr>
            <w:tcW w:w="0" w:type="auto"/>
            <w:gridSpan w:val="2"/>
            <w:shd w:val="clear" w:color="auto" w:fill="auto"/>
            <w:vAlign w:val="bottom"/>
          </w:tcPr>
          <w:p w14:paraId="71D43B1E" w14:textId="77777777" w:rsidR="006A3667" w:rsidRDefault="006A3667">
            <w:pPr>
              <w:rPr>
                <w:rFonts w:ascii="宋体"/>
                <w:vanish/>
              </w:rPr>
            </w:pPr>
          </w:p>
        </w:tc>
        <w:tc>
          <w:tcPr>
            <w:tcW w:w="0" w:type="auto"/>
            <w:shd w:val="clear" w:color="auto" w:fill="auto"/>
            <w:vAlign w:val="bottom"/>
          </w:tcPr>
          <w:p w14:paraId="71D43B1F" w14:textId="77777777" w:rsidR="006A3667" w:rsidRDefault="006A3667">
            <w:pPr>
              <w:rPr>
                <w:rFonts w:ascii="宋体"/>
                <w:vanish/>
              </w:rPr>
            </w:pPr>
          </w:p>
        </w:tc>
      </w:tr>
      <w:tr w:rsidR="006A3667" w14:paraId="71D43B37" w14:textId="77777777">
        <w:trPr>
          <w:hidden/>
        </w:trPr>
        <w:tc>
          <w:tcPr>
            <w:tcW w:w="0" w:type="auto"/>
            <w:gridSpan w:val="3"/>
            <w:shd w:val="clear" w:color="auto" w:fill="auto"/>
            <w:vAlign w:val="bottom"/>
          </w:tcPr>
          <w:p w14:paraId="71D43B21" w14:textId="77777777" w:rsidR="006A3667" w:rsidRDefault="006A3667">
            <w:pPr>
              <w:rPr>
                <w:rFonts w:ascii="宋体"/>
                <w:vanish/>
              </w:rPr>
            </w:pPr>
          </w:p>
        </w:tc>
        <w:tc>
          <w:tcPr>
            <w:tcW w:w="0" w:type="auto"/>
            <w:gridSpan w:val="3"/>
            <w:shd w:val="clear" w:color="auto" w:fill="auto"/>
            <w:vAlign w:val="bottom"/>
          </w:tcPr>
          <w:p w14:paraId="71D43B22" w14:textId="77777777" w:rsidR="006A3667" w:rsidRDefault="006A3667">
            <w:pPr>
              <w:rPr>
                <w:rFonts w:ascii="宋体"/>
                <w:vanish/>
              </w:rPr>
            </w:pPr>
          </w:p>
        </w:tc>
        <w:tc>
          <w:tcPr>
            <w:tcW w:w="0" w:type="auto"/>
            <w:gridSpan w:val="3"/>
            <w:shd w:val="clear" w:color="auto" w:fill="auto"/>
            <w:vAlign w:val="bottom"/>
          </w:tcPr>
          <w:p w14:paraId="71D43B23" w14:textId="77777777" w:rsidR="006A3667" w:rsidRDefault="006A3667">
            <w:pPr>
              <w:rPr>
                <w:rFonts w:ascii="宋体"/>
                <w:vanish/>
              </w:rPr>
            </w:pPr>
          </w:p>
        </w:tc>
        <w:tc>
          <w:tcPr>
            <w:tcW w:w="0" w:type="auto"/>
            <w:gridSpan w:val="3"/>
            <w:shd w:val="clear" w:color="auto" w:fill="auto"/>
            <w:vAlign w:val="bottom"/>
          </w:tcPr>
          <w:p w14:paraId="71D43B24" w14:textId="77777777" w:rsidR="006A3667" w:rsidRDefault="006A3667">
            <w:pPr>
              <w:rPr>
                <w:rFonts w:ascii="宋体"/>
                <w:vanish/>
              </w:rPr>
            </w:pPr>
          </w:p>
        </w:tc>
        <w:tc>
          <w:tcPr>
            <w:tcW w:w="0" w:type="auto"/>
            <w:gridSpan w:val="3"/>
            <w:shd w:val="clear" w:color="auto" w:fill="auto"/>
            <w:vAlign w:val="bottom"/>
          </w:tcPr>
          <w:p w14:paraId="71D43B25" w14:textId="77777777" w:rsidR="006A3667" w:rsidRDefault="006A3667">
            <w:pPr>
              <w:rPr>
                <w:rFonts w:ascii="宋体"/>
                <w:vanish/>
              </w:rPr>
            </w:pPr>
          </w:p>
        </w:tc>
        <w:tc>
          <w:tcPr>
            <w:tcW w:w="0" w:type="auto"/>
            <w:gridSpan w:val="3"/>
            <w:shd w:val="clear" w:color="auto" w:fill="auto"/>
            <w:vAlign w:val="bottom"/>
          </w:tcPr>
          <w:p w14:paraId="71D43B26" w14:textId="77777777" w:rsidR="006A3667" w:rsidRDefault="006A3667">
            <w:pPr>
              <w:rPr>
                <w:rFonts w:ascii="宋体"/>
                <w:vanish/>
              </w:rPr>
            </w:pPr>
          </w:p>
        </w:tc>
        <w:tc>
          <w:tcPr>
            <w:tcW w:w="0" w:type="auto"/>
            <w:gridSpan w:val="3"/>
            <w:shd w:val="clear" w:color="auto" w:fill="auto"/>
            <w:vAlign w:val="bottom"/>
          </w:tcPr>
          <w:p w14:paraId="71D43B27" w14:textId="77777777" w:rsidR="006A3667" w:rsidRDefault="006A3667">
            <w:pPr>
              <w:rPr>
                <w:rFonts w:ascii="宋体"/>
                <w:vanish/>
              </w:rPr>
            </w:pPr>
          </w:p>
        </w:tc>
        <w:tc>
          <w:tcPr>
            <w:tcW w:w="0" w:type="auto"/>
            <w:gridSpan w:val="3"/>
            <w:shd w:val="clear" w:color="auto" w:fill="auto"/>
            <w:vAlign w:val="bottom"/>
          </w:tcPr>
          <w:p w14:paraId="71D43B28" w14:textId="77777777" w:rsidR="006A3667" w:rsidRDefault="006A3667">
            <w:pPr>
              <w:rPr>
                <w:rFonts w:ascii="宋体"/>
                <w:vanish/>
              </w:rPr>
            </w:pPr>
          </w:p>
        </w:tc>
        <w:tc>
          <w:tcPr>
            <w:tcW w:w="0" w:type="auto"/>
            <w:gridSpan w:val="3"/>
            <w:shd w:val="clear" w:color="auto" w:fill="auto"/>
            <w:vAlign w:val="bottom"/>
          </w:tcPr>
          <w:p w14:paraId="71D43B29" w14:textId="77777777" w:rsidR="006A3667" w:rsidRDefault="006A3667">
            <w:pPr>
              <w:rPr>
                <w:rFonts w:ascii="宋体"/>
                <w:vanish/>
              </w:rPr>
            </w:pPr>
          </w:p>
        </w:tc>
        <w:tc>
          <w:tcPr>
            <w:tcW w:w="0" w:type="auto"/>
            <w:shd w:val="clear" w:color="auto" w:fill="auto"/>
            <w:vAlign w:val="bottom"/>
          </w:tcPr>
          <w:p w14:paraId="71D43B2A" w14:textId="77777777" w:rsidR="006A3667" w:rsidRDefault="006A3667">
            <w:pPr>
              <w:rPr>
                <w:rFonts w:ascii="宋体"/>
                <w:vanish/>
              </w:rPr>
            </w:pPr>
          </w:p>
        </w:tc>
        <w:tc>
          <w:tcPr>
            <w:tcW w:w="0" w:type="auto"/>
            <w:shd w:val="clear" w:color="auto" w:fill="auto"/>
            <w:vAlign w:val="bottom"/>
          </w:tcPr>
          <w:p w14:paraId="71D43B2B" w14:textId="77777777" w:rsidR="006A3667" w:rsidRDefault="006A3667">
            <w:pPr>
              <w:rPr>
                <w:rFonts w:ascii="宋体"/>
                <w:vanish/>
              </w:rPr>
            </w:pPr>
          </w:p>
        </w:tc>
        <w:tc>
          <w:tcPr>
            <w:tcW w:w="0" w:type="auto"/>
            <w:gridSpan w:val="3"/>
            <w:shd w:val="clear" w:color="auto" w:fill="auto"/>
            <w:vAlign w:val="bottom"/>
          </w:tcPr>
          <w:p w14:paraId="71D43B2C" w14:textId="77777777" w:rsidR="006A3667" w:rsidRDefault="006A3667">
            <w:pPr>
              <w:rPr>
                <w:rFonts w:ascii="宋体"/>
                <w:vanish/>
              </w:rPr>
            </w:pPr>
          </w:p>
        </w:tc>
        <w:tc>
          <w:tcPr>
            <w:tcW w:w="0" w:type="auto"/>
            <w:gridSpan w:val="3"/>
            <w:shd w:val="clear" w:color="auto" w:fill="auto"/>
            <w:vAlign w:val="bottom"/>
          </w:tcPr>
          <w:p w14:paraId="71D43B2D" w14:textId="77777777" w:rsidR="006A3667" w:rsidRDefault="006A3667">
            <w:pPr>
              <w:rPr>
                <w:rFonts w:ascii="宋体"/>
                <w:vanish/>
              </w:rPr>
            </w:pPr>
          </w:p>
        </w:tc>
        <w:tc>
          <w:tcPr>
            <w:tcW w:w="0" w:type="auto"/>
            <w:gridSpan w:val="3"/>
            <w:shd w:val="clear" w:color="auto" w:fill="auto"/>
            <w:vAlign w:val="bottom"/>
          </w:tcPr>
          <w:p w14:paraId="71D43B2E" w14:textId="77777777" w:rsidR="006A3667" w:rsidRDefault="006A3667">
            <w:pPr>
              <w:rPr>
                <w:rFonts w:ascii="宋体"/>
                <w:vanish/>
              </w:rPr>
            </w:pPr>
          </w:p>
        </w:tc>
        <w:tc>
          <w:tcPr>
            <w:tcW w:w="0" w:type="auto"/>
            <w:gridSpan w:val="3"/>
            <w:shd w:val="clear" w:color="auto" w:fill="auto"/>
            <w:vAlign w:val="bottom"/>
          </w:tcPr>
          <w:p w14:paraId="71D43B2F" w14:textId="77777777" w:rsidR="006A3667" w:rsidRDefault="006A3667">
            <w:pPr>
              <w:rPr>
                <w:rFonts w:ascii="宋体"/>
                <w:vanish/>
              </w:rPr>
            </w:pPr>
          </w:p>
        </w:tc>
        <w:tc>
          <w:tcPr>
            <w:tcW w:w="0" w:type="auto"/>
            <w:gridSpan w:val="3"/>
            <w:shd w:val="clear" w:color="auto" w:fill="auto"/>
            <w:vAlign w:val="bottom"/>
          </w:tcPr>
          <w:p w14:paraId="71D43B30" w14:textId="77777777" w:rsidR="006A3667" w:rsidRDefault="006A3667">
            <w:pPr>
              <w:rPr>
                <w:rFonts w:ascii="宋体"/>
                <w:vanish/>
              </w:rPr>
            </w:pPr>
          </w:p>
        </w:tc>
        <w:tc>
          <w:tcPr>
            <w:tcW w:w="0" w:type="auto"/>
            <w:gridSpan w:val="3"/>
            <w:shd w:val="clear" w:color="auto" w:fill="auto"/>
            <w:vAlign w:val="bottom"/>
          </w:tcPr>
          <w:p w14:paraId="71D43B31" w14:textId="77777777" w:rsidR="006A3667" w:rsidRDefault="006A3667">
            <w:pPr>
              <w:rPr>
                <w:rFonts w:ascii="宋体"/>
                <w:vanish/>
              </w:rPr>
            </w:pPr>
          </w:p>
        </w:tc>
        <w:tc>
          <w:tcPr>
            <w:tcW w:w="0" w:type="auto"/>
            <w:gridSpan w:val="3"/>
            <w:shd w:val="clear" w:color="auto" w:fill="auto"/>
            <w:vAlign w:val="bottom"/>
          </w:tcPr>
          <w:p w14:paraId="71D43B32" w14:textId="77777777" w:rsidR="006A3667" w:rsidRDefault="006A3667">
            <w:pPr>
              <w:rPr>
                <w:rFonts w:ascii="宋体"/>
                <w:vanish/>
              </w:rPr>
            </w:pPr>
          </w:p>
        </w:tc>
        <w:tc>
          <w:tcPr>
            <w:tcW w:w="0" w:type="auto"/>
            <w:gridSpan w:val="3"/>
            <w:shd w:val="clear" w:color="auto" w:fill="auto"/>
            <w:vAlign w:val="bottom"/>
          </w:tcPr>
          <w:p w14:paraId="71D43B33" w14:textId="77777777" w:rsidR="006A3667" w:rsidRDefault="006A3667">
            <w:pPr>
              <w:rPr>
                <w:rFonts w:ascii="宋体"/>
                <w:vanish/>
              </w:rPr>
            </w:pPr>
          </w:p>
        </w:tc>
        <w:tc>
          <w:tcPr>
            <w:tcW w:w="0" w:type="auto"/>
            <w:gridSpan w:val="3"/>
            <w:shd w:val="clear" w:color="auto" w:fill="auto"/>
            <w:vAlign w:val="bottom"/>
          </w:tcPr>
          <w:p w14:paraId="71D43B34" w14:textId="77777777" w:rsidR="006A3667" w:rsidRDefault="006A3667">
            <w:pPr>
              <w:rPr>
                <w:rFonts w:ascii="宋体"/>
                <w:vanish/>
              </w:rPr>
            </w:pPr>
          </w:p>
        </w:tc>
        <w:tc>
          <w:tcPr>
            <w:tcW w:w="0" w:type="auto"/>
            <w:gridSpan w:val="2"/>
            <w:shd w:val="clear" w:color="auto" w:fill="auto"/>
            <w:vAlign w:val="bottom"/>
          </w:tcPr>
          <w:p w14:paraId="71D43B35" w14:textId="77777777" w:rsidR="006A3667" w:rsidRDefault="006A3667">
            <w:pPr>
              <w:rPr>
                <w:rFonts w:ascii="宋体"/>
                <w:vanish/>
              </w:rPr>
            </w:pPr>
          </w:p>
        </w:tc>
        <w:tc>
          <w:tcPr>
            <w:tcW w:w="0" w:type="auto"/>
            <w:shd w:val="clear" w:color="auto" w:fill="auto"/>
            <w:vAlign w:val="bottom"/>
          </w:tcPr>
          <w:p w14:paraId="71D43B36" w14:textId="77777777" w:rsidR="006A3667" w:rsidRDefault="006A3667">
            <w:pPr>
              <w:rPr>
                <w:rFonts w:ascii="宋体"/>
                <w:vanish/>
              </w:rPr>
            </w:pPr>
          </w:p>
        </w:tc>
      </w:tr>
      <w:tr w:rsidR="006A3667" w14:paraId="71D43B4E" w14:textId="77777777">
        <w:trPr>
          <w:hidden/>
        </w:trPr>
        <w:tc>
          <w:tcPr>
            <w:tcW w:w="0" w:type="auto"/>
            <w:gridSpan w:val="3"/>
            <w:shd w:val="clear" w:color="auto" w:fill="auto"/>
            <w:vAlign w:val="bottom"/>
          </w:tcPr>
          <w:p w14:paraId="71D43B38" w14:textId="77777777" w:rsidR="006A3667" w:rsidRDefault="006A3667">
            <w:pPr>
              <w:rPr>
                <w:rFonts w:ascii="宋体"/>
                <w:vanish/>
              </w:rPr>
            </w:pPr>
          </w:p>
        </w:tc>
        <w:tc>
          <w:tcPr>
            <w:tcW w:w="0" w:type="auto"/>
            <w:gridSpan w:val="3"/>
            <w:shd w:val="clear" w:color="auto" w:fill="auto"/>
            <w:vAlign w:val="bottom"/>
          </w:tcPr>
          <w:p w14:paraId="71D43B39" w14:textId="77777777" w:rsidR="006A3667" w:rsidRDefault="006A3667">
            <w:pPr>
              <w:rPr>
                <w:rFonts w:ascii="宋体"/>
                <w:vanish/>
              </w:rPr>
            </w:pPr>
          </w:p>
        </w:tc>
        <w:tc>
          <w:tcPr>
            <w:tcW w:w="0" w:type="auto"/>
            <w:gridSpan w:val="3"/>
            <w:shd w:val="clear" w:color="auto" w:fill="auto"/>
            <w:vAlign w:val="bottom"/>
          </w:tcPr>
          <w:p w14:paraId="71D43B3A" w14:textId="77777777" w:rsidR="006A3667" w:rsidRDefault="006A3667">
            <w:pPr>
              <w:rPr>
                <w:rFonts w:ascii="宋体"/>
                <w:vanish/>
              </w:rPr>
            </w:pPr>
          </w:p>
        </w:tc>
        <w:tc>
          <w:tcPr>
            <w:tcW w:w="0" w:type="auto"/>
            <w:gridSpan w:val="3"/>
            <w:shd w:val="clear" w:color="auto" w:fill="auto"/>
            <w:vAlign w:val="bottom"/>
          </w:tcPr>
          <w:p w14:paraId="71D43B3B" w14:textId="77777777" w:rsidR="006A3667" w:rsidRDefault="006A3667">
            <w:pPr>
              <w:rPr>
                <w:rFonts w:ascii="宋体"/>
                <w:vanish/>
              </w:rPr>
            </w:pPr>
          </w:p>
        </w:tc>
        <w:tc>
          <w:tcPr>
            <w:tcW w:w="0" w:type="auto"/>
            <w:gridSpan w:val="3"/>
            <w:shd w:val="clear" w:color="auto" w:fill="auto"/>
            <w:vAlign w:val="bottom"/>
          </w:tcPr>
          <w:p w14:paraId="71D43B3C" w14:textId="77777777" w:rsidR="006A3667" w:rsidRDefault="006A3667">
            <w:pPr>
              <w:rPr>
                <w:rFonts w:ascii="宋体"/>
                <w:vanish/>
              </w:rPr>
            </w:pPr>
          </w:p>
        </w:tc>
        <w:tc>
          <w:tcPr>
            <w:tcW w:w="0" w:type="auto"/>
            <w:gridSpan w:val="3"/>
            <w:shd w:val="clear" w:color="auto" w:fill="auto"/>
            <w:vAlign w:val="bottom"/>
          </w:tcPr>
          <w:p w14:paraId="71D43B3D" w14:textId="77777777" w:rsidR="006A3667" w:rsidRDefault="006A3667">
            <w:pPr>
              <w:rPr>
                <w:rFonts w:ascii="宋体"/>
                <w:vanish/>
              </w:rPr>
            </w:pPr>
          </w:p>
        </w:tc>
        <w:tc>
          <w:tcPr>
            <w:tcW w:w="0" w:type="auto"/>
            <w:gridSpan w:val="3"/>
            <w:shd w:val="clear" w:color="auto" w:fill="auto"/>
            <w:vAlign w:val="bottom"/>
          </w:tcPr>
          <w:p w14:paraId="71D43B3E" w14:textId="77777777" w:rsidR="006A3667" w:rsidRDefault="006A3667">
            <w:pPr>
              <w:rPr>
                <w:rFonts w:ascii="宋体"/>
                <w:vanish/>
              </w:rPr>
            </w:pPr>
          </w:p>
        </w:tc>
        <w:tc>
          <w:tcPr>
            <w:tcW w:w="0" w:type="auto"/>
            <w:gridSpan w:val="3"/>
            <w:shd w:val="clear" w:color="auto" w:fill="auto"/>
            <w:vAlign w:val="bottom"/>
          </w:tcPr>
          <w:p w14:paraId="71D43B3F" w14:textId="77777777" w:rsidR="006A3667" w:rsidRDefault="006A3667">
            <w:pPr>
              <w:rPr>
                <w:rFonts w:ascii="宋体"/>
                <w:vanish/>
              </w:rPr>
            </w:pPr>
          </w:p>
        </w:tc>
        <w:tc>
          <w:tcPr>
            <w:tcW w:w="0" w:type="auto"/>
            <w:gridSpan w:val="3"/>
            <w:shd w:val="clear" w:color="auto" w:fill="auto"/>
            <w:vAlign w:val="bottom"/>
          </w:tcPr>
          <w:p w14:paraId="71D43B40" w14:textId="77777777" w:rsidR="006A3667" w:rsidRDefault="006A3667">
            <w:pPr>
              <w:rPr>
                <w:rFonts w:ascii="宋体"/>
                <w:vanish/>
              </w:rPr>
            </w:pPr>
          </w:p>
        </w:tc>
        <w:tc>
          <w:tcPr>
            <w:tcW w:w="0" w:type="auto"/>
            <w:shd w:val="clear" w:color="auto" w:fill="auto"/>
            <w:vAlign w:val="bottom"/>
          </w:tcPr>
          <w:p w14:paraId="71D43B41" w14:textId="77777777" w:rsidR="006A3667" w:rsidRDefault="006A3667">
            <w:pPr>
              <w:rPr>
                <w:rFonts w:ascii="宋体"/>
                <w:vanish/>
              </w:rPr>
            </w:pPr>
          </w:p>
        </w:tc>
        <w:tc>
          <w:tcPr>
            <w:tcW w:w="0" w:type="auto"/>
            <w:shd w:val="clear" w:color="auto" w:fill="auto"/>
            <w:vAlign w:val="bottom"/>
          </w:tcPr>
          <w:p w14:paraId="71D43B42" w14:textId="77777777" w:rsidR="006A3667" w:rsidRDefault="006A3667">
            <w:pPr>
              <w:rPr>
                <w:rFonts w:ascii="宋体"/>
                <w:vanish/>
              </w:rPr>
            </w:pPr>
          </w:p>
        </w:tc>
        <w:tc>
          <w:tcPr>
            <w:tcW w:w="0" w:type="auto"/>
            <w:gridSpan w:val="3"/>
            <w:shd w:val="clear" w:color="auto" w:fill="auto"/>
            <w:vAlign w:val="bottom"/>
          </w:tcPr>
          <w:p w14:paraId="71D43B43" w14:textId="77777777" w:rsidR="006A3667" w:rsidRDefault="006A3667">
            <w:pPr>
              <w:rPr>
                <w:rFonts w:ascii="宋体"/>
                <w:vanish/>
              </w:rPr>
            </w:pPr>
          </w:p>
        </w:tc>
        <w:tc>
          <w:tcPr>
            <w:tcW w:w="0" w:type="auto"/>
            <w:gridSpan w:val="3"/>
            <w:shd w:val="clear" w:color="auto" w:fill="auto"/>
            <w:vAlign w:val="bottom"/>
          </w:tcPr>
          <w:p w14:paraId="71D43B44" w14:textId="77777777" w:rsidR="006A3667" w:rsidRDefault="006A3667">
            <w:pPr>
              <w:rPr>
                <w:rFonts w:ascii="宋体"/>
                <w:vanish/>
              </w:rPr>
            </w:pPr>
          </w:p>
        </w:tc>
        <w:tc>
          <w:tcPr>
            <w:tcW w:w="0" w:type="auto"/>
            <w:gridSpan w:val="3"/>
            <w:shd w:val="clear" w:color="auto" w:fill="auto"/>
            <w:vAlign w:val="bottom"/>
          </w:tcPr>
          <w:p w14:paraId="71D43B45" w14:textId="77777777" w:rsidR="006A3667" w:rsidRDefault="006A3667">
            <w:pPr>
              <w:rPr>
                <w:rFonts w:ascii="宋体"/>
                <w:vanish/>
              </w:rPr>
            </w:pPr>
          </w:p>
        </w:tc>
        <w:tc>
          <w:tcPr>
            <w:tcW w:w="0" w:type="auto"/>
            <w:gridSpan w:val="3"/>
            <w:shd w:val="clear" w:color="auto" w:fill="auto"/>
            <w:vAlign w:val="bottom"/>
          </w:tcPr>
          <w:p w14:paraId="71D43B46" w14:textId="77777777" w:rsidR="006A3667" w:rsidRDefault="006A3667">
            <w:pPr>
              <w:rPr>
                <w:rFonts w:ascii="宋体"/>
                <w:vanish/>
              </w:rPr>
            </w:pPr>
          </w:p>
        </w:tc>
        <w:tc>
          <w:tcPr>
            <w:tcW w:w="0" w:type="auto"/>
            <w:gridSpan w:val="3"/>
            <w:shd w:val="clear" w:color="auto" w:fill="auto"/>
            <w:vAlign w:val="bottom"/>
          </w:tcPr>
          <w:p w14:paraId="71D43B47" w14:textId="77777777" w:rsidR="006A3667" w:rsidRDefault="006A3667">
            <w:pPr>
              <w:rPr>
                <w:rFonts w:ascii="宋体"/>
                <w:vanish/>
              </w:rPr>
            </w:pPr>
          </w:p>
        </w:tc>
        <w:tc>
          <w:tcPr>
            <w:tcW w:w="0" w:type="auto"/>
            <w:gridSpan w:val="3"/>
            <w:shd w:val="clear" w:color="auto" w:fill="auto"/>
            <w:vAlign w:val="bottom"/>
          </w:tcPr>
          <w:p w14:paraId="71D43B48" w14:textId="77777777" w:rsidR="006A3667" w:rsidRDefault="006A3667">
            <w:pPr>
              <w:rPr>
                <w:rFonts w:ascii="宋体"/>
                <w:vanish/>
              </w:rPr>
            </w:pPr>
          </w:p>
        </w:tc>
        <w:tc>
          <w:tcPr>
            <w:tcW w:w="0" w:type="auto"/>
            <w:gridSpan w:val="3"/>
            <w:shd w:val="clear" w:color="auto" w:fill="auto"/>
            <w:vAlign w:val="bottom"/>
          </w:tcPr>
          <w:p w14:paraId="71D43B49" w14:textId="77777777" w:rsidR="006A3667" w:rsidRDefault="006A3667">
            <w:pPr>
              <w:rPr>
                <w:rFonts w:ascii="宋体"/>
                <w:vanish/>
              </w:rPr>
            </w:pPr>
          </w:p>
        </w:tc>
        <w:tc>
          <w:tcPr>
            <w:tcW w:w="0" w:type="auto"/>
            <w:gridSpan w:val="3"/>
            <w:shd w:val="clear" w:color="auto" w:fill="auto"/>
            <w:vAlign w:val="bottom"/>
          </w:tcPr>
          <w:p w14:paraId="71D43B4A" w14:textId="77777777" w:rsidR="006A3667" w:rsidRDefault="006A3667">
            <w:pPr>
              <w:rPr>
                <w:rFonts w:ascii="宋体"/>
                <w:vanish/>
              </w:rPr>
            </w:pPr>
          </w:p>
        </w:tc>
        <w:tc>
          <w:tcPr>
            <w:tcW w:w="0" w:type="auto"/>
            <w:gridSpan w:val="3"/>
            <w:shd w:val="clear" w:color="auto" w:fill="auto"/>
            <w:vAlign w:val="bottom"/>
          </w:tcPr>
          <w:p w14:paraId="71D43B4B" w14:textId="77777777" w:rsidR="006A3667" w:rsidRDefault="006A3667">
            <w:pPr>
              <w:rPr>
                <w:rFonts w:ascii="宋体"/>
                <w:vanish/>
              </w:rPr>
            </w:pPr>
          </w:p>
        </w:tc>
        <w:tc>
          <w:tcPr>
            <w:tcW w:w="0" w:type="auto"/>
            <w:gridSpan w:val="2"/>
            <w:shd w:val="clear" w:color="auto" w:fill="auto"/>
            <w:vAlign w:val="bottom"/>
          </w:tcPr>
          <w:p w14:paraId="71D43B4C" w14:textId="77777777" w:rsidR="006A3667" w:rsidRDefault="006A3667">
            <w:pPr>
              <w:rPr>
                <w:rFonts w:ascii="宋体"/>
                <w:vanish/>
              </w:rPr>
            </w:pPr>
          </w:p>
        </w:tc>
        <w:tc>
          <w:tcPr>
            <w:tcW w:w="0" w:type="auto"/>
            <w:shd w:val="clear" w:color="auto" w:fill="auto"/>
            <w:vAlign w:val="bottom"/>
          </w:tcPr>
          <w:p w14:paraId="71D43B4D" w14:textId="77777777" w:rsidR="006A3667" w:rsidRDefault="006A3667">
            <w:pPr>
              <w:rPr>
                <w:rFonts w:ascii="宋体"/>
                <w:vanish/>
              </w:rPr>
            </w:pPr>
          </w:p>
        </w:tc>
      </w:tr>
      <w:tr w:rsidR="006A3667" w14:paraId="71D43B65" w14:textId="77777777">
        <w:trPr>
          <w:hidden/>
        </w:trPr>
        <w:tc>
          <w:tcPr>
            <w:tcW w:w="0" w:type="auto"/>
            <w:gridSpan w:val="3"/>
            <w:shd w:val="clear" w:color="auto" w:fill="auto"/>
            <w:vAlign w:val="bottom"/>
          </w:tcPr>
          <w:p w14:paraId="71D43B4F" w14:textId="77777777" w:rsidR="006A3667" w:rsidRDefault="006A3667">
            <w:pPr>
              <w:rPr>
                <w:rFonts w:ascii="宋体"/>
                <w:vanish/>
              </w:rPr>
            </w:pPr>
          </w:p>
        </w:tc>
        <w:tc>
          <w:tcPr>
            <w:tcW w:w="0" w:type="auto"/>
            <w:gridSpan w:val="3"/>
            <w:shd w:val="clear" w:color="auto" w:fill="auto"/>
            <w:vAlign w:val="bottom"/>
          </w:tcPr>
          <w:p w14:paraId="71D43B50" w14:textId="77777777" w:rsidR="006A3667" w:rsidRDefault="006A3667">
            <w:pPr>
              <w:rPr>
                <w:rFonts w:ascii="宋体"/>
                <w:vanish/>
              </w:rPr>
            </w:pPr>
          </w:p>
        </w:tc>
        <w:tc>
          <w:tcPr>
            <w:tcW w:w="0" w:type="auto"/>
            <w:gridSpan w:val="3"/>
            <w:shd w:val="clear" w:color="auto" w:fill="auto"/>
            <w:vAlign w:val="bottom"/>
          </w:tcPr>
          <w:p w14:paraId="71D43B51" w14:textId="77777777" w:rsidR="006A3667" w:rsidRDefault="006A3667">
            <w:pPr>
              <w:rPr>
                <w:rFonts w:ascii="宋体"/>
                <w:vanish/>
              </w:rPr>
            </w:pPr>
          </w:p>
        </w:tc>
        <w:tc>
          <w:tcPr>
            <w:tcW w:w="0" w:type="auto"/>
            <w:gridSpan w:val="3"/>
            <w:shd w:val="clear" w:color="auto" w:fill="auto"/>
            <w:vAlign w:val="bottom"/>
          </w:tcPr>
          <w:p w14:paraId="71D43B52" w14:textId="77777777" w:rsidR="006A3667" w:rsidRDefault="006A3667">
            <w:pPr>
              <w:rPr>
                <w:rFonts w:ascii="宋体"/>
                <w:vanish/>
              </w:rPr>
            </w:pPr>
          </w:p>
        </w:tc>
        <w:tc>
          <w:tcPr>
            <w:tcW w:w="0" w:type="auto"/>
            <w:gridSpan w:val="3"/>
            <w:shd w:val="clear" w:color="auto" w:fill="auto"/>
            <w:vAlign w:val="bottom"/>
          </w:tcPr>
          <w:p w14:paraId="71D43B53" w14:textId="77777777" w:rsidR="006A3667" w:rsidRDefault="006A3667">
            <w:pPr>
              <w:rPr>
                <w:rFonts w:ascii="宋体"/>
                <w:vanish/>
              </w:rPr>
            </w:pPr>
          </w:p>
        </w:tc>
        <w:tc>
          <w:tcPr>
            <w:tcW w:w="0" w:type="auto"/>
            <w:gridSpan w:val="3"/>
            <w:shd w:val="clear" w:color="auto" w:fill="auto"/>
            <w:vAlign w:val="bottom"/>
          </w:tcPr>
          <w:p w14:paraId="71D43B54" w14:textId="77777777" w:rsidR="006A3667" w:rsidRDefault="006A3667">
            <w:pPr>
              <w:rPr>
                <w:rFonts w:ascii="宋体"/>
                <w:vanish/>
              </w:rPr>
            </w:pPr>
          </w:p>
        </w:tc>
        <w:tc>
          <w:tcPr>
            <w:tcW w:w="0" w:type="auto"/>
            <w:gridSpan w:val="3"/>
            <w:shd w:val="clear" w:color="auto" w:fill="auto"/>
            <w:vAlign w:val="bottom"/>
          </w:tcPr>
          <w:p w14:paraId="71D43B55" w14:textId="77777777" w:rsidR="006A3667" w:rsidRDefault="006A3667">
            <w:pPr>
              <w:rPr>
                <w:rFonts w:ascii="宋体"/>
                <w:vanish/>
              </w:rPr>
            </w:pPr>
          </w:p>
        </w:tc>
        <w:tc>
          <w:tcPr>
            <w:tcW w:w="0" w:type="auto"/>
            <w:gridSpan w:val="3"/>
            <w:shd w:val="clear" w:color="auto" w:fill="auto"/>
            <w:vAlign w:val="bottom"/>
          </w:tcPr>
          <w:p w14:paraId="71D43B56" w14:textId="77777777" w:rsidR="006A3667" w:rsidRDefault="006A3667">
            <w:pPr>
              <w:rPr>
                <w:rFonts w:ascii="宋体"/>
                <w:vanish/>
              </w:rPr>
            </w:pPr>
          </w:p>
        </w:tc>
        <w:tc>
          <w:tcPr>
            <w:tcW w:w="0" w:type="auto"/>
            <w:gridSpan w:val="3"/>
            <w:shd w:val="clear" w:color="auto" w:fill="auto"/>
            <w:vAlign w:val="bottom"/>
          </w:tcPr>
          <w:p w14:paraId="71D43B57" w14:textId="77777777" w:rsidR="006A3667" w:rsidRDefault="006A3667">
            <w:pPr>
              <w:rPr>
                <w:rFonts w:ascii="宋体"/>
                <w:vanish/>
              </w:rPr>
            </w:pPr>
          </w:p>
        </w:tc>
        <w:tc>
          <w:tcPr>
            <w:tcW w:w="0" w:type="auto"/>
            <w:shd w:val="clear" w:color="auto" w:fill="auto"/>
            <w:vAlign w:val="bottom"/>
          </w:tcPr>
          <w:p w14:paraId="71D43B58" w14:textId="77777777" w:rsidR="006A3667" w:rsidRDefault="006A3667">
            <w:pPr>
              <w:rPr>
                <w:rFonts w:ascii="宋体"/>
                <w:vanish/>
              </w:rPr>
            </w:pPr>
          </w:p>
        </w:tc>
        <w:tc>
          <w:tcPr>
            <w:tcW w:w="0" w:type="auto"/>
            <w:shd w:val="clear" w:color="auto" w:fill="auto"/>
            <w:vAlign w:val="bottom"/>
          </w:tcPr>
          <w:p w14:paraId="71D43B59" w14:textId="77777777" w:rsidR="006A3667" w:rsidRDefault="006A3667">
            <w:pPr>
              <w:rPr>
                <w:rFonts w:ascii="宋体"/>
                <w:vanish/>
              </w:rPr>
            </w:pPr>
          </w:p>
        </w:tc>
        <w:tc>
          <w:tcPr>
            <w:tcW w:w="0" w:type="auto"/>
            <w:gridSpan w:val="3"/>
            <w:shd w:val="clear" w:color="auto" w:fill="auto"/>
            <w:vAlign w:val="bottom"/>
          </w:tcPr>
          <w:p w14:paraId="71D43B5A" w14:textId="77777777" w:rsidR="006A3667" w:rsidRDefault="006A3667">
            <w:pPr>
              <w:rPr>
                <w:rFonts w:ascii="宋体"/>
                <w:vanish/>
              </w:rPr>
            </w:pPr>
          </w:p>
        </w:tc>
        <w:tc>
          <w:tcPr>
            <w:tcW w:w="0" w:type="auto"/>
            <w:gridSpan w:val="3"/>
            <w:shd w:val="clear" w:color="auto" w:fill="auto"/>
            <w:vAlign w:val="bottom"/>
          </w:tcPr>
          <w:p w14:paraId="71D43B5B" w14:textId="77777777" w:rsidR="006A3667" w:rsidRDefault="006A3667">
            <w:pPr>
              <w:rPr>
                <w:rFonts w:ascii="宋体"/>
                <w:vanish/>
              </w:rPr>
            </w:pPr>
          </w:p>
        </w:tc>
        <w:tc>
          <w:tcPr>
            <w:tcW w:w="0" w:type="auto"/>
            <w:gridSpan w:val="3"/>
            <w:shd w:val="clear" w:color="auto" w:fill="auto"/>
            <w:vAlign w:val="bottom"/>
          </w:tcPr>
          <w:p w14:paraId="71D43B5C" w14:textId="77777777" w:rsidR="006A3667" w:rsidRDefault="006A3667">
            <w:pPr>
              <w:rPr>
                <w:rFonts w:ascii="宋体"/>
                <w:vanish/>
              </w:rPr>
            </w:pPr>
          </w:p>
        </w:tc>
        <w:tc>
          <w:tcPr>
            <w:tcW w:w="0" w:type="auto"/>
            <w:gridSpan w:val="3"/>
            <w:shd w:val="clear" w:color="auto" w:fill="auto"/>
            <w:vAlign w:val="bottom"/>
          </w:tcPr>
          <w:p w14:paraId="71D43B5D" w14:textId="77777777" w:rsidR="006A3667" w:rsidRDefault="006A3667">
            <w:pPr>
              <w:rPr>
                <w:rFonts w:ascii="宋体"/>
                <w:vanish/>
              </w:rPr>
            </w:pPr>
          </w:p>
        </w:tc>
        <w:tc>
          <w:tcPr>
            <w:tcW w:w="0" w:type="auto"/>
            <w:gridSpan w:val="3"/>
            <w:shd w:val="clear" w:color="auto" w:fill="auto"/>
            <w:vAlign w:val="bottom"/>
          </w:tcPr>
          <w:p w14:paraId="71D43B5E" w14:textId="77777777" w:rsidR="006A3667" w:rsidRDefault="006A3667">
            <w:pPr>
              <w:rPr>
                <w:rFonts w:ascii="宋体"/>
                <w:vanish/>
              </w:rPr>
            </w:pPr>
          </w:p>
        </w:tc>
        <w:tc>
          <w:tcPr>
            <w:tcW w:w="0" w:type="auto"/>
            <w:gridSpan w:val="3"/>
            <w:shd w:val="clear" w:color="auto" w:fill="auto"/>
            <w:vAlign w:val="bottom"/>
          </w:tcPr>
          <w:p w14:paraId="71D43B5F" w14:textId="77777777" w:rsidR="006A3667" w:rsidRDefault="006A3667">
            <w:pPr>
              <w:rPr>
                <w:rFonts w:ascii="宋体"/>
                <w:vanish/>
              </w:rPr>
            </w:pPr>
          </w:p>
        </w:tc>
        <w:tc>
          <w:tcPr>
            <w:tcW w:w="0" w:type="auto"/>
            <w:gridSpan w:val="3"/>
            <w:shd w:val="clear" w:color="auto" w:fill="auto"/>
            <w:vAlign w:val="bottom"/>
          </w:tcPr>
          <w:p w14:paraId="71D43B60" w14:textId="77777777" w:rsidR="006A3667" w:rsidRDefault="006A3667">
            <w:pPr>
              <w:rPr>
                <w:rFonts w:ascii="宋体"/>
                <w:vanish/>
              </w:rPr>
            </w:pPr>
          </w:p>
        </w:tc>
        <w:tc>
          <w:tcPr>
            <w:tcW w:w="0" w:type="auto"/>
            <w:gridSpan w:val="3"/>
            <w:shd w:val="clear" w:color="auto" w:fill="auto"/>
            <w:vAlign w:val="bottom"/>
          </w:tcPr>
          <w:p w14:paraId="71D43B61" w14:textId="77777777" w:rsidR="006A3667" w:rsidRDefault="006A3667">
            <w:pPr>
              <w:rPr>
                <w:rFonts w:ascii="宋体"/>
                <w:vanish/>
              </w:rPr>
            </w:pPr>
          </w:p>
        </w:tc>
        <w:tc>
          <w:tcPr>
            <w:tcW w:w="0" w:type="auto"/>
            <w:gridSpan w:val="3"/>
            <w:shd w:val="clear" w:color="auto" w:fill="auto"/>
            <w:vAlign w:val="bottom"/>
          </w:tcPr>
          <w:p w14:paraId="71D43B62" w14:textId="77777777" w:rsidR="006A3667" w:rsidRDefault="006A3667">
            <w:pPr>
              <w:rPr>
                <w:rFonts w:ascii="宋体"/>
                <w:vanish/>
              </w:rPr>
            </w:pPr>
          </w:p>
        </w:tc>
        <w:tc>
          <w:tcPr>
            <w:tcW w:w="0" w:type="auto"/>
            <w:gridSpan w:val="2"/>
            <w:shd w:val="clear" w:color="auto" w:fill="auto"/>
            <w:vAlign w:val="bottom"/>
          </w:tcPr>
          <w:p w14:paraId="71D43B63" w14:textId="77777777" w:rsidR="006A3667" w:rsidRDefault="006A3667">
            <w:pPr>
              <w:rPr>
                <w:rFonts w:ascii="宋体"/>
                <w:vanish/>
              </w:rPr>
            </w:pPr>
          </w:p>
        </w:tc>
        <w:tc>
          <w:tcPr>
            <w:tcW w:w="0" w:type="auto"/>
            <w:shd w:val="clear" w:color="auto" w:fill="auto"/>
            <w:vAlign w:val="bottom"/>
          </w:tcPr>
          <w:p w14:paraId="71D43B64" w14:textId="77777777" w:rsidR="006A3667" w:rsidRDefault="006A3667">
            <w:pPr>
              <w:rPr>
                <w:rFonts w:ascii="宋体"/>
                <w:vanish/>
              </w:rPr>
            </w:pPr>
          </w:p>
        </w:tc>
      </w:tr>
      <w:tr w:rsidR="006A3667" w14:paraId="71D43B7C" w14:textId="77777777">
        <w:trPr>
          <w:hidden/>
        </w:trPr>
        <w:tc>
          <w:tcPr>
            <w:tcW w:w="0" w:type="auto"/>
            <w:gridSpan w:val="3"/>
            <w:shd w:val="clear" w:color="auto" w:fill="auto"/>
            <w:vAlign w:val="bottom"/>
          </w:tcPr>
          <w:p w14:paraId="71D43B66" w14:textId="77777777" w:rsidR="006A3667" w:rsidRDefault="006A3667">
            <w:pPr>
              <w:rPr>
                <w:rFonts w:ascii="宋体"/>
                <w:vanish/>
              </w:rPr>
            </w:pPr>
          </w:p>
        </w:tc>
        <w:tc>
          <w:tcPr>
            <w:tcW w:w="0" w:type="auto"/>
            <w:gridSpan w:val="3"/>
            <w:shd w:val="clear" w:color="auto" w:fill="auto"/>
            <w:vAlign w:val="bottom"/>
          </w:tcPr>
          <w:p w14:paraId="71D43B67" w14:textId="77777777" w:rsidR="006A3667" w:rsidRDefault="006A3667">
            <w:pPr>
              <w:rPr>
                <w:rFonts w:ascii="宋体"/>
                <w:vanish/>
              </w:rPr>
            </w:pPr>
          </w:p>
        </w:tc>
        <w:tc>
          <w:tcPr>
            <w:tcW w:w="0" w:type="auto"/>
            <w:gridSpan w:val="3"/>
            <w:shd w:val="clear" w:color="auto" w:fill="auto"/>
            <w:vAlign w:val="bottom"/>
          </w:tcPr>
          <w:p w14:paraId="71D43B68" w14:textId="77777777" w:rsidR="006A3667" w:rsidRDefault="006A3667">
            <w:pPr>
              <w:rPr>
                <w:rFonts w:ascii="宋体"/>
                <w:vanish/>
              </w:rPr>
            </w:pPr>
          </w:p>
        </w:tc>
        <w:tc>
          <w:tcPr>
            <w:tcW w:w="0" w:type="auto"/>
            <w:gridSpan w:val="3"/>
            <w:shd w:val="clear" w:color="auto" w:fill="auto"/>
            <w:vAlign w:val="bottom"/>
          </w:tcPr>
          <w:p w14:paraId="71D43B69" w14:textId="77777777" w:rsidR="006A3667" w:rsidRDefault="006A3667">
            <w:pPr>
              <w:rPr>
                <w:rFonts w:ascii="宋体"/>
                <w:vanish/>
              </w:rPr>
            </w:pPr>
          </w:p>
        </w:tc>
        <w:tc>
          <w:tcPr>
            <w:tcW w:w="0" w:type="auto"/>
            <w:gridSpan w:val="3"/>
            <w:shd w:val="clear" w:color="auto" w:fill="auto"/>
            <w:vAlign w:val="bottom"/>
          </w:tcPr>
          <w:p w14:paraId="71D43B6A" w14:textId="77777777" w:rsidR="006A3667" w:rsidRDefault="006A3667">
            <w:pPr>
              <w:rPr>
                <w:rFonts w:ascii="宋体"/>
                <w:vanish/>
              </w:rPr>
            </w:pPr>
          </w:p>
        </w:tc>
        <w:tc>
          <w:tcPr>
            <w:tcW w:w="0" w:type="auto"/>
            <w:gridSpan w:val="3"/>
            <w:shd w:val="clear" w:color="auto" w:fill="auto"/>
            <w:vAlign w:val="bottom"/>
          </w:tcPr>
          <w:p w14:paraId="71D43B6B" w14:textId="77777777" w:rsidR="006A3667" w:rsidRDefault="006A3667">
            <w:pPr>
              <w:rPr>
                <w:rFonts w:ascii="宋体"/>
                <w:vanish/>
              </w:rPr>
            </w:pPr>
          </w:p>
        </w:tc>
        <w:tc>
          <w:tcPr>
            <w:tcW w:w="0" w:type="auto"/>
            <w:gridSpan w:val="3"/>
            <w:shd w:val="clear" w:color="auto" w:fill="auto"/>
            <w:vAlign w:val="bottom"/>
          </w:tcPr>
          <w:p w14:paraId="71D43B6C" w14:textId="77777777" w:rsidR="006A3667" w:rsidRDefault="006A3667">
            <w:pPr>
              <w:rPr>
                <w:rFonts w:ascii="宋体"/>
                <w:vanish/>
              </w:rPr>
            </w:pPr>
          </w:p>
        </w:tc>
        <w:tc>
          <w:tcPr>
            <w:tcW w:w="0" w:type="auto"/>
            <w:gridSpan w:val="3"/>
            <w:shd w:val="clear" w:color="auto" w:fill="auto"/>
            <w:vAlign w:val="bottom"/>
          </w:tcPr>
          <w:p w14:paraId="71D43B6D" w14:textId="77777777" w:rsidR="006A3667" w:rsidRDefault="006A3667">
            <w:pPr>
              <w:rPr>
                <w:rFonts w:ascii="宋体"/>
                <w:vanish/>
              </w:rPr>
            </w:pPr>
          </w:p>
        </w:tc>
        <w:tc>
          <w:tcPr>
            <w:tcW w:w="0" w:type="auto"/>
            <w:gridSpan w:val="3"/>
            <w:shd w:val="clear" w:color="auto" w:fill="auto"/>
            <w:vAlign w:val="bottom"/>
          </w:tcPr>
          <w:p w14:paraId="71D43B6E" w14:textId="77777777" w:rsidR="006A3667" w:rsidRDefault="006A3667">
            <w:pPr>
              <w:rPr>
                <w:rFonts w:ascii="宋体"/>
                <w:vanish/>
              </w:rPr>
            </w:pPr>
          </w:p>
        </w:tc>
        <w:tc>
          <w:tcPr>
            <w:tcW w:w="0" w:type="auto"/>
            <w:shd w:val="clear" w:color="auto" w:fill="auto"/>
            <w:vAlign w:val="bottom"/>
          </w:tcPr>
          <w:p w14:paraId="71D43B6F" w14:textId="77777777" w:rsidR="006A3667" w:rsidRDefault="006A3667">
            <w:pPr>
              <w:rPr>
                <w:rFonts w:ascii="宋体"/>
                <w:vanish/>
              </w:rPr>
            </w:pPr>
          </w:p>
        </w:tc>
        <w:tc>
          <w:tcPr>
            <w:tcW w:w="0" w:type="auto"/>
            <w:shd w:val="clear" w:color="auto" w:fill="auto"/>
            <w:vAlign w:val="bottom"/>
          </w:tcPr>
          <w:p w14:paraId="71D43B70" w14:textId="77777777" w:rsidR="006A3667" w:rsidRDefault="006A3667">
            <w:pPr>
              <w:rPr>
                <w:rFonts w:ascii="宋体"/>
                <w:vanish/>
              </w:rPr>
            </w:pPr>
          </w:p>
        </w:tc>
        <w:tc>
          <w:tcPr>
            <w:tcW w:w="0" w:type="auto"/>
            <w:gridSpan w:val="3"/>
            <w:shd w:val="clear" w:color="auto" w:fill="auto"/>
            <w:vAlign w:val="bottom"/>
          </w:tcPr>
          <w:p w14:paraId="71D43B71" w14:textId="77777777" w:rsidR="006A3667" w:rsidRDefault="006A3667">
            <w:pPr>
              <w:rPr>
                <w:rFonts w:ascii="宋体"/>
                <w:vanish/>
              </w:rPr>
            </w:pPr>
          </w:p>
        </w:tc>
        <w:tc>
          <w:tcPr>
            <w:tcW w:w="0" w:type="auto"/>
            <w:gridSpan w:val="3"/>
            <w:shd w:val="clear" w:color="auto" w:fill="auto"/>
            <w:vAlign w:val="bottom"/>
          </w:tcPr>
          <w:p w14:paraId="71D43B72" w14:textId="77777777" w:rsidR="006A3667" w:rsidRDefault="006A3667">
            <w:pPr>
              <w:rPr>
                <w:rFonts w:ascii="宋体"/>
                <w:vanish/>
              </w:rPr>
            </w:pPr>
          </w:p>
        </w:tc>
        <w:tc>
          <w:tcPr>
            <w:tcW w:w="0" w:type="auto"/>
            <w:gridSpan w:val="3"/>
            <w:shd w:val="clear" w:color="auto" w:fill="auto"/>
            <w:vAlign w:val="bottom"/>
          </w:tcPr>
          <w:p w14:paraId="71D43B73" w14:textId="77777777" w:rsidR="006A3667" w:rsidRDefault="006A3667">
            <w:pPr>
              <w:rPr>
                <w:rFonts w:ascii="宋体"/>
                <w:vanish/>
              </w:rPr>
            </w:pPr>
          </w:p>
        </w:tc>
        <w:tc>
          <w:tcPr>
            <w:tcW w:w="0" w:type="auto"/>
            <w:gridSpan w:val="3"/>
            <w:shd w:val="clear" w:color="auto" w:fill="auto"/>
            <w:vAlign w:val="bottom"/>
          </w:tcPr>
          <w:p w14:paraId="71D43B74" w14:textId="77777777" w:rsidR="006A3667" w:rsidRDefault="006A3667">
            <w:pPr>
              <w:rPr>
                <w:rFonts w:ascii="宋体"/>
                <w:vanish/>
              </w:rPr>
            </w:pPr>
          </w:p>
        </w:tc>
        <w:tc>
          <w:tcPr>
            <w:tcW w:w="0" w:type="auto"/>
            <w:gridSpan w:val="3"/>
            <w:shd w:val="clear" w:color="auto" w:fill="auto"/>
            <w:vAlign w:val="bottom"/>
          </w:tcPr>
          <w:p w14:paraId="71D43B75" w14:textId="77777777" w:rsidR="006A3667" w:rsidRDefault="006A3667">
            <w:pPr>
              <w:rPr>
                <w:rFonts w:ascii="宋体"/>
                <w:vanish/>
              </w:rPr>
            </w:pPr>
          </w:p>
        </w:tc>
        <w:tc>
          <w:tcPr>
            <w:tcW w:w="0" w:type="auto"/>
            <w:gridSpan w:val="3"/>
            <w:shd w:val="clear" w:color="auto" w:fill="auto"/>
            <w:vAlign w:val="bottom"/>
          </w:tcPr>
          <w:p w14:paraId="71D43B76" w14:textId="77777777" w:rsidR="006A3667" w:rsidRDefault="006A3667">
            <w:pPr>
              <w:rPr>
                <w:rFonts w:ascii="宋体"/>
                <w:vanish/>
              </w:rPr>
            </w:pPr>
          </w:p>
        </w:tc>
        <w:tc>
          <w:tcPr>
            <w:tcW w:w="0" w:type="auto"/>
            <w:gridSpan w:val="3"/>
            <w:shd w:val="clear" w:color="auto" w:fill="auto"/>
            <w:vAlign w:val="bottom"/>
          </w:tcPr>
          <w:p w14:paraId="71D43B77" w14:textId="77777777" w:rsidR="006A3667" w:rsidRDefault="006A3667">
            <w:pPr>
              <w:rPr>
                <w:rFonts w:ascii="宋体"/>
                <w:vanish/>
              </w:rPr>
            </w:pPr>
          </w:p>
        </w:tc>
        <w:tc>
          <w:tcPr>
            <w:tcW w:w="0" w:type="auto"/>
            <w:gridSpan w:val="3"/>
            <w:shd w:val="clear" w:color="auto" w:fill="auto"/>
            <w:vAlign w:val="bottom"/>
          </w:tcPr>
          <w:p w14:paraId="71D43B78" w14:textId="77777777" w:rsidR="006A3667" w:rsidRDefault="006A3667">
            <w:pPr>
              <w:rPr>
                <w:rFonts w:ascii="宋体"/>
                <w:vanish/>
              </w:rPr>
            </w:pPr>
          </w:p>
        </w:tc>
        <w:tc>
          <w:tcPr>
            <w:tcW w:w="0" w:type="auto"/>
            <w:gridSpan w:val="3"/>
            <w:shd w:val="clear" w:color="auto" w:fill="auto"/>
            <w:vAlign w:val="bottom"/>
          </w:tcPr>
          <w:p w14:paraId="71D43B79" w14:textId="77777777" w:rsidR="006A3667" w:rsidRDefault="006A3667">
            <w:pPr>
              <w:rPr>
                <w:rFonts w:ascii="宋体"/>
                <w:vanish/>
              </w:rPr>
            </w:pPr>
          </w:p>
        </w:tc>
        <w:tc>
          <w:tcPr>
            <w:tcW w:w="0" w:type="auto"/>
            <w:gridSpan w:val="2"/>
            <w:shd w:val="clear" w:color="auto" w:fill="auto"/>
            <w:vAlign w:val="bottom"/>
          </w:tcPr>
          <w:p w14:paraId="71D43B7A" w14:textId="77777777" w:rsidR="006A3667" w:rsidRDefault="006A3667">
            <w:pPr>
              <w:rPr>
                <w:rFonts w:ascii="宋体"/>
                <w:vanish/>
              </w:rPr>
            </w:pPr>
          </w:p>
        </w:tc>
        <w:tc>
          <w:tcPr>
            <w:tcW w:w="0" w:type="auto"/>
            <w:shd w:val="clear" w:color="auto" w:fill="auto"/>
            <w:vAlign w:val="bottom"/>
          </w:tcPr>
          <w:p w14:paraId="71D43B7B" w14:textId="77777777" w:rsidR="006A3667" w:rsidRDefault="006A3667">
            <w:pPr>
              <w:rPr>
                <w:rFonts w:ascii="宋体"/>
                <w:vanish/>
              </w:rPr>
            </w:pPr>
          </w:p>
        </w:tc>
      </w:tr>
      <w:tr w:rsidR="006A3667" w14:paraId="71D43B93" w14:textId="77777777">
        <w:trPr>
          <w:hidden/>
        </w:trPr>
        <w:tc>
          <w:tcPr>
            <w:tcW w:w="0" w:type="auto"/>
            <w:gridSpan w:val="3"/>
            <w:shd w:val="clear" w:color="auto" w:fill="auto"/>
            <w:vAlign w:val="bottom"/>
          </w:tcPr>
          <w:p w14:paraId="71D43B7D" w14:textId="77777777" w:rsidR="006A3667" w:rsidRDefault="006A3667">
            <w:pPr>
              <w:rPr>
                <w:rFonts w:ascii="宋体"/>
                <w:vanish/>
              </w:rPr>
            </w:pPr>
          </w:p>
        </w:tc>
        <w:tc>
          <w:tcPr>
            <w:tcW w:w="0" w:type="auto"/>
            <w:gridSpan w:val="3"/>
            <w:shd w:val="clear" w:color="auto" w:fill="auto"/>
            <w:vAlign w:val="bottom"/>
          </w:tcPr>
          <w:p w14:paraId="71D43B7E" w14:textId="77777777" w:rsidR="006A3667" w:rsidRDefault="006A3667">
            <w:pPr>
              <w:rPr>
                <w:rFonts w:ascii="宋体"/>
                <w:vanish/>
              </w:rPr>
            </w:pPr>
          </w:p>
        </w:tc>
        <w:tc>
          <w:tcPr>
            <w:tcW w:w="0" w:type="auto"/>
            <w:gridSpan w:val="3"/>
            <w:shd w:val="clear" w:color="auto" w:fill="auto"/>
            <w:vAlign w:val="bottom"/>
          </w:tcPr>
          <w:p w14:paraId="71D43B7F" w14:textId="77777777" w:rsidR="006A3667" w:rsidRDefault="006A3667">
            <w:pPr>
              <w:rPr>
                <w:rFonts w:ascii="宋体"/>
                <w:vanish/>
              </w:rPr>
            </w:pPr>
          </w:p>
        </w:tc>
        <w:tc>
          <w:tcPr>
            <w:tcW w:w="0" w:type="auto"/>
            <w:gridSpan w:val="3"/>
            <w:shd w:val="clear" w:color="auto" w:fill="auto"/>
            <w:vAlign w:val="bottom"/>
          </w:tcPr>
          <w:p w14:paraId="71D43B80" w14:textId="77777777" w:rsidR="006A3667" w:rsidRDefault="006A3667">
            <w:pPr>
              <w:rPr>
                <w:rFonts w:ascii="宋体"/>
                <w:vanish/>
              </w:rPr>
            </w:pPr>
          </w:p>
        </w:tc>
        <w:tc>
          <w:tcPr>
            <w:tcW w:w="0" w:type="auto"/>
            <w:gridSpan w:val="3"/>
            <w:shd w:val="clear" w:color="auto" w:fill="auto"/>
            <w:vAlign w:val="bottom"/>
          </w:tcPr>
          <w:p w14:paraId="71D43B81" w14:textId="77777777" w:rsidR="006A3667" w:rsidRDefault="006A3667">
            <w:pPr>
              <w:rPr>
                <w:rFonts w:ascii="宋体"/>
                <w:vanish/>
              </w:rPr>
            </w:pPr>
          </w:p>
        </w:tc>
        <w:tc>
          <w:tcPr>
            <w:tcW w:w="0" w:type="auto"/>
            <w:gridSpan w:val="3"/>
            <w:shd w:val="clear" w:color="auto" w:fill="auto"/>
            <w:vAlign w:val="bottom"/>
          </w:tcPr>
          <w:p w14:paraId="71D43B82" w14:textId="77777777" w:rsidR="006A3667" w:rsidRDefault="006A3667">
            <w:pPr>
              <w:rPr>
                <w:rFonts w:ascii="宋体"/>
                <w:vanish/>
              </w:rPr>
            </w:pPr>
          </w:p>
        </w:tc>
        <w:tc>
          <w:tcPr>
            <w:tcW w:w="0" w:type="auto"/>
            <w:gridSpan w:val="3"/>
            <w:shd w:val="clear" w:color="auto" w:fill="auto"/>
            <w:vAlign w:val="bottom"/>
          </w:tcPr>
          <w:p w14:paraId="71D43B83" w14:textId="77777777" w:rsidR="006A3667" w:rsidRDefault="006A3667">
            <w:pPr>
              <w:rPr>
                <w:rFonts w:ascii="宋体"/>
                <w:vanish/>
              </w:rPr>
            </w:pPr>
          </w:p>
        </w:tc>
        <w:tc>
          <w:tcPr>
            <w:tcW w:w="0" w:type="auto"/>
            <w:gridSpan w:val="3"/>
            <w:shd w:val="clear" w:color="auto" w:fill="auto"/>
            <w:vAlign w:val="bottom"/>
          </w:tcPr>
          <w:p w14:paraId="71D43B84" w14:textId="77777777" w:rsidR="006A3667" w:rsidRDefault="006A3667">
            <w:pPr>
              <w:rPr>
                <w:rFonts w:ascii="宋体"/>
                <w:vanish/>
              </w:rPr>
            </w:pPr>
          </w:p>
        </w:tc>
        <w:tc>
          <w:tcPr>
            <w:tcW w:w="0" w:type="auto"/>
            <w:gridSpan w:val="3"/>
            <w:shd w:val="clear" w:color="auto" w:fill="auto"/>
            <w:vAlign w:val="bottom"/>
          </w:tcPr>
          <w:p w14:paraId="71D43B85" w14:textId="77777777" w:rsidR="006A3667" w:rsidRDefault="006A3667">
            <w:pPr>
              <w:rPr>
                <w:rFonts w:ascii="宋体"/>
                <w:vanish/>
              </w:rPr>
            </w:pPr>
          </w:p>
        </w:tc>
        <w:tc>
          <w:tcPr>
            <w:tcW w:w="0" w:type="auto"/>
            <w:shd w:val="clear" w:color="auto" w:fill="auto"/>
            <w:vAlign w:val="bottom"/>
          </w:tcPr>
          <w:p w14:paraId="71D43B86" w14:textId="77777777" w:rsidR="006A3667" w:rsidRDefault="006A3667">
            <w:pPr>
              <w:rPr>
                <w:rFonts w:ascii="宋体"/>
                <w:vanish/>
              </w:rPr>
            </w:pPr>
          </w:p>
        </w:tc>
        <w:tc>
          <w:tcPr>
            <w:tcW w:w="0" w:type="auto"/>
            <w:shd w:val="clear" w:color="auto" w:fill="auto"/>
            <w:vAlign w:val="bottom"/>
          </w:tcPr>
          <w:p w14:paraId="71D43B87" w14:textId="77777777" w:rsidR="006A3667" w:rsidRDefault="006A3667">
            <w:pPr>
              <w:rPr>
                <w:rFonts w:ascii="宋体"/>
                <w:vanish/>
              </w:rPr>
            </w:pPr>
          </w:p>
        </w:tc>
        <w:tc>
          <w:tcPr>
            <w:tcW w:w="0" w:type="auto"/>
            <w:gridSpan w:val="3"/>
            <w:shd w:val="clear" w:color="auto" w:fill="auto"/>
            <w:vAlign w:val="bottom"/>
          </w:tcPr>
          <w:p w14:paraId="71D43B88" w14:textId="77777777" w:rsidR="006A3667" w:rsidRDefault="006A3667">
            <w:pPr>
              <w:rPr>
                <w:rFonts w:ascii="宋体"/>
                <w:vanish/>
              </w:rPr>
            </w:pPr>
          </w:p>
        </w:tc>
        <w:tc>
          <w:tcPr>
            <w:tcW w:w="0" w:type="auto"/>
            <w:gridSpan w:val="3"/>
            <w:shd w:val="clear" w:color="auto" w:fill="auto"/>
            <w:vAlign w:val="bottom"/>
          </w:tcPr>
          <w:p w14:paraId="71D43B89" w14:textId="77777777" w:rsidR="006A3667" w:rsidRDefault="006A3667">
            <w:pPr>
              <w:rPr>
                <w:rFonts w:ascii="宋体"/>
                <w:vanish/>
              </w:rPr>
            </w:pPr>
          </w:p>
        </w:tc>
        <w:tc>
          <w:tcPr>
            <w:tcW w:w="0" w:type="auto"/>
            <w:gridSpan w:val="3"/>
            <w:shd w:val="clear" w:color="auto" w:fill="auto"/>
            <w:vAlign w:val="bottom"/>
          </w:tcPr>
          <w:p w14:paraId="71D43B8A" w14:textId="77777777" w:rsidR="006A3667" w:rsidRDefault="006A3667">
            <w:pPr>
              <w:rPr>
                <w:rFonts w:ascii="宋体"/>
                <w:vanish/>
              </w:rPr>
            </w:pPr>
          </w:p>
        </w:tc>
        <w:tc>
          <w:tcPr>
            <w:tcW w:w="0" w:type="auto"/>
            <w:gridSpan w:val="3"/>
            <w:shd w:val="clear" w:color="auto" w:fill="auto"/>
            <w:vAlign w:val="bottom"/>
          </w:tcPr>
          <w:p w14:paraId="71D43B8B" w14:textId="77777777" w:rsidR="006A3667" w:rsidRDefault="006A3667">
            <w:pPr>
              <w:rPr>
                <w:rFonts w:ascii="宋体"/>
                <w:vanish/>
              </w:rPr>
            </w:pPr>
          </w:p>
        </w:tc>
        <w:tc>
          <w:tcPr>
            <w:tcW w:w="0" w:type="auto"/>
            <w:gridSpan w:val="3"/>
            <w:shd w:val="clear" w:color="auto" w:fill="auto"/>
            <w:vAlign w:val="bottom"/>
          </w:tcPr>
          <w:p w14:paraId="71D43B8C" w14:textId="77777777" w:rsidR="006A3667" w:rsidRDefault="006A3667">
            <w:pPr>
              <w:rPr>
                <w:rFonts w:ascii="宋体"/>
                <w:vanish/>
              </w:rPr>
            </w:pPr>
          </w:p>
        </w:tc>
        <w:tc>
          <w:tcPr>
            <w:tcW w:w="0" w:type="auto"/>
            <w:gridSpan w:val="3"/>
            <w:shd w:val="clear" w:color="auto" w:fill="auto"/>
            <w:vAlign w:val="bottom"/>
          </w:tcPr>
          <w:p w14:paraId="71D43B8D" w14:textId="77777777" w:rsidR="006A3667" w:rsidRDefault="006A3667">
            <w:pPr>
              <w:rPr>
                <w:rFonts w:ascii="宋体"/>
                <w:vanish/>
              </w:rPr>
            </w:pPr>
          </w:p>
        </w:tc>
        <w:tc>
          <w:tcPr>
            <w:tcW w:w="0" w:type="auto"/>
            <w:gridSpan w:val="3"/>
            <w:shd w:val="clear" w:color="auto" w:fill="auto"/>
            <w:vAlign w:val="bottom"/>
          </w:tcPr>
          <w:p w14:paraId="71D43B8E" w14:textId="77777777" w:rsidR="006A3667" w:rsidRDefault="006A3667">
            <w:pPr>
              <w:rPr>
                <w:rFonts w:ascii="宋体"/>
                <w:vanish/>
              </w:rPr>
            </w:pPr>
          </w:p>
        </w:tc>
        <w:tc>
          <w:tcPr>
            <w:tcW w:w="0" w:type="auto"/>
            <w:gridSpan w:val="3"/>
            <w:shd w:val="clear" w:color="auto" w:fill="auto"/>
            <w:vAlign w:val="bottom"/>
          </w:tcPr>
          <w:p w14:paraId="71D43B8F" w14:textId="77777777" w:rsidR="006A3667" w:rsidRDefault="006A3667">
            <w:pPr>
              <w:rPr>
                <w:rFonts w:ascii="宋体"/>
                <w:vanish/>
              </w:rPr>
            </w:pPr>
          </w:p>
        </w:tc>
        <w:tc>
          <w:tcPr>
            <w:tcW w:w="0" w:type="auto"/>
            <w:gridSpan w:val="3"/>
            <w:shd w:val="clear" w:color="auto" w:fill="auto"/>
            <w:vAlign w:val="bottom"/>
          </w:tcPr>
          <w:p w14:paraId="71D43B90" w14:textId="77777777" w:rsidR="006A3667" w:rsidRDefault="006A3667">
            <w:pPr>
              <w:rPr>
                <w:rFonts w:ascii="宋体"/>
                <w:vanish/>
              </w:rPr>
            </w:pPr>
          </w:p>
        </w:tc>
        <w:tc>
          <w:tcPr>
            <w:tcW w:w="0" w:type="auto"/>
            <w:gridSpan w:val="2"/>
            <w:shd w:val="clear" w:color="auto" w:fill="auto"/>
            <w:vAlign w:val="bottom"/>
          </w:tcPr>
          <w:p w14:paraId="71D43B91" w14:textId="77777777" w:rsidR="006A3667" w:rsidRDefault="006A3667">
            <w:pPr>
              <w:rPr>
                <w:rFonts w:ascii="宋体"/>
                <w:vanish/>
              </w:rPr>
            </w:pPr>
          </w:p>
        </w:tc>
        <w:tc>
          <w:tcPr>
            <w:tcW w:w="0" w:type="auto"/>
            <w:shd w:val="clear" w:color="auto" w:fill="auto"/>
            <w:vAlign w:val="bottom"/>
          </w:tcPr>
          <w:p w14:paraId="71D43B92" w14:textId="77777777" w:rsidR="006A3667" w:rsidRDefault="006A3667">
            <w:pPr>
              <w:rPr>
                <w:rFonts w:ascii="宋体"/>
                <w:vanish/>
              </w:rPr>
            </w:pPr>
          </w:p>
        </w:tc>
      </w:tr>
      <w:tr w:rsidR="006A3667" w14:paraId="71D43BAA" w14:textId="77777777">
        <w:trPr>
          <w:hidden/>
        </w:trPr>
        <w:tc>
          <w:tcPr>
            <w:tcW w:w="0" w:type="auto"/>
            <w:gridSpan w:val="3"/>
            <w:shd w:val="clear" w:color="auto" w:fill="auto"/>
            <w:vAlign w:val="bottom"/>
          </w:tcPr>
          <w:p w14:paraId="71D43B94" w14:textId="77777777" w:rsidR="006A3667" w:rsidRDefault="006A3667">
            <w:pPr>
              <w:rPr>
                <w:rFonts w:ascii="宋体"/>
                <w:vanish/>
              </w:rPr>
            </w:pPr>
          </w:p>
        </w:tc>
        <w:tc>
          <w:tcPr>
            <w:tcW w:w="0" w:type="auto"/>
            <w:gridSpan w:val="3"/>
            <w:shd w:val="clear" w:color="auto" w:fill="auto"/>
            <w:vAlign w:val="bottom"/>
          </w:tcPr>
          <w:p w14:paraId="71D43B95" w14:textId="77777777" w:rsidR="006A3667" w:rsidRDefault="006A3667">
            <w:pPr>
              <w:rPr>
                <w:rFonts w:ascii="宋体"/>
                <w:vanish/>
              </w:rPr>
            </w:pPr>
          </w:p>
        </w:tc>
        <w:tc>
          <w:tcPr>
            <w:tcW w:w="0" w:type="auto"/>
            <w:gridSpan w:val="3"/>
            <w:shd w:val="clear" w:color="auto" w:fill="auto"/>
            <w:vAlign w:val="bottom"/>
          </w:tcPr>
          <w:p w14:paraId="71D43B96" w14:textId="77777777" w:rsidR="006A3667" w:rsidRDefault="006A3667">
            <w:pPr>
              <w:rPr>
                <w:rFonts w:ascii="宋体"/>
                <w:vanish/>
              </w:rPr>
            </w:pPr>
          </w:p>
        </w:tc>
        <w:tc>
          <w:tcPr>
            <w:tcW w:w="0" w:type="auto"/>
            <w:gridSpan w:val="3"/>
            <w:shd w:val="clear" w:color="auto" w:fill="auto"/>
            <w:vAlign w:val="bottom"/>
          </w:tcPr>
          <w:p w14:paraId="71D43B97" w14:textId="77777777" w:rsidR="006A3667" w:rsidRDefault="006A3667">
            <w:pPr>
              <w:rPr>
                <w:rFonts w:ascii="宋体"/>
                <w:vanish/>
              </w:rPr>
            </w:pPr>
          </w:p>
        </w:tc>
        <w:tc>
          <w:tcPr>
            <w:tcW w:w="0" w:type="auto"/>
            <w:gridSpan w:val="3"/>
            <w:shd w:val="clear" w:color="auto" w:fill="auto"/>
            <w:vAlign w:val="bottom"/>
          </w:tcPr>
          <w:p w14:paraId="71D43B98" w14:textId="77777777" w:rsidR="006A3667" w:rsidRDefault="006A3667">
            <w:pPr>
              <w:rPr>
                <w:rFonts w:ascii="宋体"/>
                <w:vanish/>
              </w:rPr>
            </w:pPr>
          </w:p>
        </w:tc>
        <w:tc>
          <w:tcPr>
            <w:tcW w:w="0" w:type="auto"/>
            <w:gridSpan w:val="3"/>
            <w:shd w:val="clear" w:color="auto" w:fill="auto"/>
            <w:vAlign w:val="bottom"/>
          </w:tcPr>
          <w:p w14:paraId="71D43B99" w14:textId="77777777" w:rsidR="006A3667" w:rsidRDefault="006A3667">
            <w:pPr>
              <w:rPr>
                <w:rFonts w:ascii="宋体"/>
                <w:vanish/>
              </w:rPr>
            </w:pPr>
          </w:p>
        </w:tc>
        <w:tc>
          <w:tcPr>
            <w:tcW w:w="0" w:type="auto"/>
            <w:gridSpan w:val="3"/>
            <w:shd w:val="clear" w:color="auto" w:fill="auto"/>
            <w:vAlign w:val="bottom"/>
          </w:tcPr>
          <w:p w14:paraId="71D43B9A" w14:textId="77777777" w:rsidR="006A3667" w:rsidRDefault="006A3667">
            <w:pPr>
              <w:rPr>
                <w:rFonts w:ascii="宋体"/>
                <w:vanish/>
              </w:rPr>
            </w:pPr>
          </w:p>
        </w:tc>
        <w:tc>
          <w:tcPr>
            <w:tcW w:w="0" w:type="auto"/>
            <w:gridSpan w:val="3"/>
            <w:shd w:val="clear" w:color="auto" w:fill="auto"/>
            <w:vAlign w:val="bottom"/>
          </w:tcPr>
          <w:p w14:paraId="71D43B9B" w14:textId="77777777" w:rsidR="006A3667" w:rsidRDefault="006A3667">
            <w:pPr>
              <w:rPr>
                <w:rFonts w:ascii="宋体"/>
                <w:vanish/>
              </w:rPr>
            </w:pPr>
          </w:p>
        </w:tc>
        <w:tc>
          <w:tcPr>
            <w:tcW w:w="0" w:type="auto"/>
            <w:gridSpan w:val="3"/>
            <w:shd w:val="clear" w:color="auto" w:fill="auto"/>
            <w:vAlign w:val="bottom"/>
          </w:tcPr>
          <w:p w14:paraId="71D43B9C" w14:textId="77777777" w:rsidR="006A3667" w:rsidRDefault="006A3667">
            <w:pPr>
              <w:rPr>
                <w:rFonts w:ascii="宋体"/>
                <w:vanish/>
              </w:rPr>
            </w:pPr>
          </w:p>
        </w:tc>
        <w:tc>
          <w:tcPr>
            <w:tcW w:w="0" w:type="auto"/>
            <w:shd w:val="clear" w:color="auto" w:fill="auto"/>
            <w:vAlign w:val="bottom"/>
          </w:tcPr>
          <w:p w14:paraId="71D43B9D" w14:textId="77777777" w:rsidR="006A3667" w:rsidRDefault="006A3667">
            <w:pPr>
              <w:rPr>
                <w:rFonts w:ascii="宋体"/>
                <w:vanish/>
              </w:rPr>
            </w:pPr>
          </w:p>
        </w:tc>
        <w:tc>
          <w:tcPr>
            <w:tcW w:w="0" w:type="auto"/>
            <w:shd w:val="clear" w:color="auto" w:fill="auto"/>
            <w:vAlign w:val="bottom"/>
          </w:tcPr>
          <w:p w14:paraId="71D43B9E" w14:textId="77777777" w:rsidR="006A3667" w:rsidRDefault="006A3667">
            <w:pPr>
              <w:rPr>
                <w:rFonts w:ascii="宋体"/>
                <w:vanish/>
              </w:rPr>
            </w:pPr>
          </w:p>
        </w:tc>
        <w:tc>
          <w:tcPr>
            <w:tcW w:w="0" w:type="auto"/>
            <w:gridSpan w:val="3"/>
            <w:shd w:val="clear" w:color="auto" w:fill="auto"/>
            <w:vAlign w:val="bottom"/>
          </w:tcPr>
          <w:p w14:paraId="71D43B9F" w14:textId="77777777" w:rsidR="006A3667" w:rsidRDefault="006A3667">
            <w:pPr>
              <w:rPr>
                <w:rFonts w:ascii="宋体"/>
                <w:vanish/>
              </w:rPr>
            </w:pPr>
          </w:p>
        </w:tc>
        <w:tc>
          <w:tcPr>
            <w:tcW w:w="0" w:type="auto"/>
            <w:gridSpan w:val="3"/>
            <w:shd w:val="clear" w:color="auto" w:fill="auto"/>
            <w:vAlign w:val="bottom"/>
          </w:tcPr>
          <w:p w14:paraId="71D43BA0" w14:textId="77777777" w:rsidR="006A3667" w:rsidRDefault="006A3667">
            <w:pPr>
              <w:rPr>
                <w:rFonts w:ascii="宋体"/>
                <w:vanish/>
              </w:rPr>
            </w:pPr>
          </w:p>
        </w:tc>
        <w:tc>
          <w:tcPr>
            <w:tcW w:w="0" w:type="auto"/>
            <w:gridSpan w:val="3"/>
            <w:shd w:val="clear" w:color="auto" w:fill="auto"/>
            <w:vAlign w:val="bottom"/>
          </w:tcPr>
          <w:p w14:paraId="71D43BA1" w14:textId="77777777" w:rsidR="006A3667" w:rsidRDefault="006A3667">
            <w:pPr>
              <w:rPr>
                <w:rFonts w:ascii="宋体"/>
                <w:vanish/>
              </w:rPr>
            </w:pPr>
          </w:p>
        </w:tc>
        <w:tc>
          <w:tcPr>
            <w:tcW w:w="0" w:type="auto"/>
            <w:gridSpan w:val="3"/>
            <w:shd w:val="clear" w:color="auto" w:fill="auto"/>
            <w:vAlign w:val="bottom"/>
          </w:tcPr>
          <w:p w14:paraId="71D43BA2" w14:textId="77777777" w:rsidR="006A3667" w:rsidRDefault="006A3667">
            <w:pPr>
              <w:rPr>
                <w:rFonts w:ascii="宋体"/>
                <w:vanish/>
              </w:rPr>
            </w:pPr>
          </w:p>
        </w:tc>
        <w:tc>
          <w:tcPr>
            <w:tcW w:w="0" w:type="auto"/>
            <w:gridSpan w:val="3"/>
            <w:shd w:val="clear" w:color="auto" w:fill="auto"/>
            <w:vAlign w:val="bottom"/>
          </w:tcPr>
          <w:p w14:paraId="71D43BA3" w14:textId="77777777" w:rsidR="006A3667" w:rsidRDefault="006A3667">
            <w:pPr>
              <w:rPr>
                <w:rFonts w:ascii="宋体"/>
                <w:vanish/>
              </w:rPr>
            </w:pPr>
          </w:p>
        </w:tc>
        <w:tc>
          <w:tcPr>
            <w:tcW w:w="0" w:type="auto"/>
            <w:gridSpan w:val="3"/>
            <w:shd w:val="clear" w:color="auto" w:fill="auto"/>
            <w:vAlign w:val="bottom"/>
          </w:tcPr>
          <w:p w14:paraId="71D43BA4" w14:textId="77777777" w:rsidR="006A3667" w:rsidRDefault="006A3667">
            <w:pPr>
              <w:rPr>
                <w:rFonts w:ascii="宋体"/>
                <w:vanish/>
              </w:rPr>
            </w:pPr>
          </w:p>
        </w:tc>
        <w:tc>
          <w:tcPr>
            <w:tcW w:w="0" w:type="auto"/>
            <w:gridSpan w:val="3"/>
            <w:shd w:val="clear" w:color="auto" w:fill="auto"/>
            <w:vAlign w:val="bottom"/>
          </w:tcPr>
          <w:p w14:paraId="71D43BA5" w14:textId="77777777" w:rsidR="006A3667" w:rsidRDefault="006A3667">
            <w:pPr>
              <w:rPr>
                <w:rFonts w:ascii="宋体"/>
                <w:vanish/>
              </w:rPr>
            </w:pPr>
          </w:p>
        </w:tc>
        <w:tc>
          <w:tcPr>
            <w:tcW w:w="0" w:type="auto"/>
            <w:gridSpan w:val="3"/>
            <w:shd w:val="clear" w:color="auto" w:fill="auto"/>
            <w:vAlign w:val="bottom"/>
          </w:tcPr>
          <w:p w14:paraId="71D43BA6" w14:textId="77777777" w:rsidR="006A3667" w:rsidRDefault="006A3667">
            <w:pPr>
              <w:rPr>
                <w:rFonts w:ascii="宋体"/>
                <w:vanish/>
              </w:rPr>
            </w:pPr>
          </w:p>
        </w:tc>
        <w:tc>
          <w:tcPr>
            <w:tcW w:w="0" w:type="auto"/>
            <w:gridSpan w:val="3"/>
            <w:shd w:val="clear" w:color="auto" w:fill="auto"/>
            <w:vAlign w:val="bottom"/>
          </w:tcPr>
          <w:p w14:paraId="71D43BA7" w14:textId="77777777" w:rsidR="006A3667" w:rsidRDefault="006A3667">
            <w:pPr>
              <w:rPr>
                <w:rFonts w:ascii="宋体"/>
                <w:vanish/>
              </w:rPr>
            </w:pPr>
          </w:p>
        </w:tc>
        <w:tc>
          <w:tcPr>
            <w:tcW w:w="0" w:type="auto"/>
            <w:gridSpan w:val="2"/>
            <w:shd w:val="clear" w:color="auto" w:fill="auto"/>
            <w:vAlign w:val="bottom"/>
          </w:tcPr>
          <w:p w14:paraId="71D43BA8" w14:textId="77777777" w:rsidR="006A3667" w:rsidRDefault="006A3667">
            <w:pPr>
              <w:rPr>
                <w:rFonts w:ascii="宋体"/>
                <w:vanish/>
              </w:rPr>
            </w:pPr>
          </w:p>
        </w:tc>
        <w:tc>
          <w:tcPr>
            <w:tcW w:w="0" w:type="auto"/>
            <w:shd w:val="clear" w:color="auto" w:fill="auto"/>
            <w:vAlign w:val="bottom"/>
          </w:tcPr>
          <w:p w14:paraId="71D43BA9" w14:textId="77777777" w:rsidR="006A3667" w:rsidRDefault="006A3667">
            <w:pPr>
              <w:rPr>
                <w:rFonts w:ascii="宋体"/>
                <w:vanish/>
              </w:rPr>
            </w:pPr>
          </w:p>
        </w:tc>
      </w:tr>
      <w:tr w:rsidR="006A3667" w14:paraId="71D43BC1" w14:textId="77777777">
        <w:tc>
          <w:tcPr>
            <w:tcW w:w="0" w:type="auto"/>
            <w:gridSpan w:val="3"/>
            <w:shd w:val="clear" w:color="auto" w:fill="CCEEFF"/>
            <w:tcMar>
              <w:top w:w="40" w:type="dxa"/>
              <w:left w:w="20" w:type="dxa"/>
              <w:bottom w:w="40" w:type="dxa"/>
              <w:right w:w="20" w:type="dxa"/>
            </w:tcMar>
            <w:vAlign w:val="center"/>
          </w:tcPr>
          <w:p w14:paraId="71D43BAB" w14:textId="77777777" w:rsidR="006A3667" w:rsidRDefault="00045F32">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71D43BA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A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A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A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3" w14:textId="77777777" w:rsidR="006A3667" w:rsidRDefault="006A3667">
            <w:pPr>
              <w:rPr>
                <w:rFonts w:ascii="宋体"/>
              </w:rPr>
            </w:pPr>
          </w:p>
        </w:tc>
        <w:tc>
          <w:tcPr>
            <w:tcW w:w="0" w:type="auto"/>
            <w:shd w:val="clear" w:color="auto" w:fill="auto"/>
            <w:vAlign w:val="bottom"/>
          </w:tcPr>
          <w:p w14:paraId="71D43BB4" w14:textId="77777777" w:rsidR="006A3667" w:rsidRDefault="006A3667">
            <w:pPr>
              <w:rPr>
                <w:rFonts w:ascii="宋体"/>
                <w:vanish/>
              </w:rPr>
            </w:pPr>
          </w:p>
        </w:tc>
        <w:tc>
          <w:tcPr>
            <w:tcW w:w="0" w:type="auto"/>
            <w:shd w:val="clear" w:color="auto" w:fill="auto"/>
            <w:vAlign w:val="bottom"/>
          </w:tcPr>
          <w:p w14:paraId="71D43BB5"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3BB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3BBE" w14:textId="77777777" w:rsidR="006A3667" w:rsidRDefault="006A3667">
            <w:pPr>
              <w:rPr>
                <w:rFonts w:ascii="宋体"/>
              </w:rPr>
            </w:pPr>
          </w:p>
        </w:tc>
        <w:tc>
          <w:tcPr>
            <w:tcW w:w="0" w:type="auto"/>
            <w:gridSpan w:val="2"/>
            <w:shd w:val="clear" w:color="auto" w:fill="CCEEFF"/>
            <w:tcMar>
              <w:top w:w="0" w:type="dxa"/>
              <w:left w:w="20" w:type="dxa"/>
              <w:bottom w:w="0" w:type="dxa"/>
              <w:right w:w="20" w:type="dxa"/>
            </w:tcMar>
            <w:vAlign w:val="bottom"/>
          </w:tcPr>
          <w:p w14:paraId="71D43BBF" w14:textId="77777777" w:rsidR="006A3667" w:rsidRDefault="006A3667">
            <w:pPr>
              <w:rPr>
                <w:rFonts w:ascii="宋体"/>
              </w:rPr>
            </w:pPr>
          </w:p>
        </w:tc>
        <w:tc>
          <w:tcPr>
            <w:tcW w:w="0" w:type="auto"/>
            <w:shd w:val="clear" w:color="auto" w:fill="CCEEFF"/>
            <w:tcMar>
              <w:top w:w="0" w:type="dxa"/>
              <w:left w:w="20" w:type="dxa"/>
              <w:bottom w:w="0" w:type="dxa"/>
              <w:right w:w="20" w:type="dxa"/>
            </w:tcMar>
            <w:vAlign w:val="bottom"/>
          </w:tcPr>
          <w:p w14:paraId="71D43BC0" w14:textId="77777777" w:rsidR="006A3667" w:rsidRDefault="006A3667">
            <w:pPr>
              <w:rPr>
                <w:rFonts w:ascii="宋体"/>
              </w:rPr>
            </w:pPr>
          </w:p>
        </w:tc>
      </w:tr>
      <w:tr w:rsidR="006A3667" w14:paraId="71D43BD8" w14:textId="77777777">
        <w:tc>
          <w:tcPr>
            <w:tcW w:w="0" w:type="auto"/>
            <w:gridSpan w:val="3"/>
            <w:shd w:val="clear" w:color="auto" w:fill="FFFFFF"/>
            <w:tcMar>
              <w:top w:w="40" w:type="dxa"/>
              <w:left w:w="20" w:type="dxa"/>
              <w:bottom w:w="40" w:type="dxa"/>
              <w:right w:w="20" w:type="dxa"/>
            </w:tcMar>
            <w:vAlign w:val="center"/>
          </w:tcPr>
          <w:p w14:paraId="71D43BC2" w14:textId="77777777" w:rsidR="006A3667" w:rsidRDefault="00045F32">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71D43BC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A" w14:textId="77777777" w:rsidR="006A3667" w:rsidRDefault="006A3667">
            <w:pPr>
              <w:rPr>
                <w:rFonts w:ascii="宋体"/>
              </w:rPr>
            </w:pPr>
          </w:p>
        </w:tc>
        <w:tc>
          <w:tcPr>
            <w:tcW w:w="0" w:type="auto"/>
            <w:shd w:val="clear" w:color="auto" w:fill="auto"/>
            <w:vAlign w:val="bottom"/>
          </w:tcPr>
          <w:p w14:paraId="71D43BCB" w14:textId="77777777" w:rsidR="006A3667" w:rsidRDefault="006A3667">
            <w:pPr>
              <w:rPr>
                <w:rFonts w:ascii="宋体"/>
                <w:vanish/>
              </w:rPr>
            </w:pPr>
          </w:p>
        </w:tc>
        <w:tc>
          <w:tcPr>
            <w:tcW w:w="0" w:type="auto"/>
            <w:shd w:val="clear" w:color="auto" w:fill="auto"/>
            <w:vAlign w:val="bottom"/>
          </w:tcPr>
          <w:p w14:paraId="71D43BCC"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3B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C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D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D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D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D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D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3BD5" w14:textId="77777777" w:rsidR="006A3667" w:rsidRDefault="006A3667">
            <w:pPr>
              <w:rPr>
                <w:rFonts w:ascii="宋体"/>
              </w:rPr>
            </w:pPr>
          </w:p>
        </w:tc>
        <w:tc>
          <w:tcPr>
            <w:tcW w:w="0" w:type="auto"/>
            <w:gridSpan w:val="2"/>
            <w:shd w:val="clear" w:color="auto" w:fill="FFFFFF"/>
            <w:tcMar>
              <w:top w:w="0" w:type="dxa"/>
              <w:left w:w="20" w:type="dxa"/>
              <w:bottom w:w="0" w:type="dxa"/>
              <w:right w:w="20" w:type="dxa"/>
            </w:tcMar>
            <w:vAlign w:val="bottom"/>
          </w:tcPr>
          <w:p w14:paraId="71D43BD6" w14:textId="77777777" w:rsidR="006A3667" w:rsidRDefault="006A3667">
            <w:pPr>
              <w:rPr>
                <w:rFonts w:ascii="宋体"/>
              </w:rPr>
            </w:pPr>
          </w:p>
        </w:tc>
        <w:tc>
          <w:tcPr>
            <w:tcW w:w="0" w:type="auto"/>
            <w:shd w:val="clear" w:color="auto" w:fill="FFFFFF"/>
            <w:tcMar>
              <w:top w:w="0" w:type="dxa"/>
              <w:left w:w="20" w:type="dxa"/>
              <w:bottom w:w="0" w:type="dxa"/>
              <w:right w:w="20" w:type="dxa"/>
            </w:tcMar>
            <w:vAlign w:val="bottom"/>
          </w:tcPr>
          <w:p w14:paraId="71D43BD7" w14:textId="77777777" w:rsidR="006A3667" w:rsidRDefault="006A3667">
            <w:pPr>
              <w:rPr>
                <w:rFonts w:ascii="宋体"/>
              </w:rPr>
            </w:pPr>
          </w:p>
        </w:tc>
      </w:tr>
      <w:tr w:rsidR="00045F32" w14:paraId="71D43C02" w14:textId="77777777">
        <w:tc>
          <w:tcPr>
            <w:tcW w:w="0" w:type="auto"/>
            <w:gridSpan w:val="3"/>
            <w:shd w:val="clear" w:color="auto" w:fill="CCEEFF"/>
            <w:tcMar>
              <w:top w:w="40" w:type="dxa"/>
              <w:left w:w="155" w:type="dxa"/>
              <w:bottom w:w="40" w:type="dxa"/>
              <w:right w:w="20" w:type="dxa"/>
            </w:tcMar>
            <w:vAlign w:val="center"/>
          </w:tcPr>
          <w:p w14:paraId="71D43BD9" w14:textId="77777777" w:rsidR="006A3667" w:rsidRDefault="00045F32">
            <w:pPr>
              <w:textAlignment w:val="center"/>
            </w:pPr>
            <w:r>
              <w:rPr>
                <w:rFonts w:ascii="Arial" w:eastAsia="宋体" w:hAnsi="Arial" w:cs="Arial"/>
                <w:color w:val="000000"/>
                <w:sz w:val="12"/>
                <w:szCs w:val="12"/>
              </w:rPr>
              <w:t xml:space="preserve">Foreign exchange </w:t>
            </w:r>
            <w:r>
              <w:rPr>
                <w:rFonts w:ascii="Arial" w:eastAsia="宋体" w:hAnsi="Arial" w:cs="Arial"/>
                <w:color w:val="000000"/>
                <w:sz w:val="12"/>
                <w:szCs w:val="12"/>
              </w:rPr>
              <w:t>contracts</w:t>
            </w:r>
          </w:p>
        </w:tc>
        <w:tc>
          <w:tcPr>
            <w:tcW w:w="0" w:type="auto"/>
            <w:shd w:val="clear" w:color="auto" w:fill="CCEEFF"/>
            <w:tcMar>
              <w:top w:w="40" w:type="dxa"/>
              <w:left w:w="20" w:type="dxa"/>
              <w:bottom w:w="40" w:type="dxa"/>
              <w:right w:w="0" w:type="dxa"/>
            </w:tcMar>
            <w:vAlign w:val="center"/>
          </w:tcPr>
          <w:p w14:paraId="71D43BDA"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DB"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3B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BDD"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3BDE"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DF" w14:textId="77777777" w:rsidR="006A3667" w:rsidRDefault="00045F32">
            <w:pPr>
              <w:jc w:val="right"/>
              <w:textAlignment w:val="center"/>
            </w:pPr>
            <w:r>
              <w:rPr>
                <w:rFonts w:ascii="Arial" w:eastAsia="宋体" w:hAnsi="Arial" w:cs="Arial"/>
                <w:b/>
                <w:bCs/>
                <w:color w:val="000000"/>
                <w:sz w:val="12"/>
                <w:szCs w:val="12"/>
              </w:rPr>
              <w:t>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3B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BE1"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3BE2"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E3"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3B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BE5"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3BE6"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E7" w14:textId="77777777" w:rsidR="006A3667" w:rsidRDefault="00045F32">
            <w:pPr>
              <w:jc w:val="right"/>
              <w:textAlignment w:val="center"/>
            </w:pPr>
            <w:r>
              <w:rPr>
                <w:rFonts w:ascii="Arial" w:eastAsia="宋体" w:hAnsi="Arial" w:cs="Arial"/>
                <w:b/>
                <w:bCs/>
                <w:color w:val="000000"/>
                <w:sz w:val="12"/>
                <w:szCs w:val="12"/>
              </w:rPr>
              <w:t>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3B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BE9" w14:textId="77777777" w:rsidR="006A3667" w:rsidRDefault="006A3667">
            <w:pPr>
              <w:rPr>
                <w:rFonts w:ascii="宋体"/>
              </w:rPr>
            </w:pPr>
          </w:p>
        </w:tc>
        <w:tc>
          <w:tcPr>
            <w:tcW w:w="0" w:type="auto"/>
            <w:shd w:val="clear" w:color="auto" w:fill="auto"/>
            <w:vAlign w:val="bottom"/>
          </w:tcPr>
          <w:p w14:paraId="71D43BEA" w14:textId="77777777" w:rsidR="006A3667" w:rsidRDefault="006A3667">
            <w:pPr>
              <w:rPr>
                <w:rFonts w:ascii="宋体"/>
                <w:vanish/>
              </w:rPr>
            </w:pPr>
          </w:p>
        </w:tc>
        <w:tc>
          <w:tcPr>
            <w:tcW w:w="0" w:type="auto"/>
            <w:shd w:val="clear" w:color="auto" w:fill="auto"/>
            <w:vAlign w:val="bottom"/>
          </w:tcPr>
          <w:p w14:paraId="71D43BEB"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center"/>
          </w:tcPr>
          <w:p w14:paraId="71D43BEC"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ED"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3B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BEF"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3BF0"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F1" w14:textId="77777777" w:rsidR="006A3667" w:rsidRDefault="00045F32">
            <w:pPr>
              <w:jc w:val="right"/>
              <w:textAlignment w:val="center"/>
            </w:pPr>
            <w:r>
              <w:rPr>
                <w:rFonts w:ascii="Arial" w:eastAsia="宋体" w:hAnsi="Arial" w:cs="Arial"/>
                <w:b/>
                <w:bCs/>
                <w:color w:val="000000"/>
                <w:sz w:val="12"/>
                <w:szCs w:val="12"/>
              </w:rPr>
              <w:t>(12)</w:t>
            </w:r>
          </w:p>
        </w:tc>
        <w:tc>
          <w:tcPr>
            <w:tcW w:w="0" w:type="auto"/>
            <w:shd w:val="clear" w:color="auto" w:fill="CCEEFF"/>
            <w:tcMar>
              <w:top w:w="40" w:type="dxa"/>
              <w:left w:w="0" w:type="dxa"/>
              <w:bottom w:w="40" w:type="dxa"/>
              <w:right w:w="20" w:type="dxa"/>
            </w:tcMar>
            <w:vAlign w:val="center"/>
          </w:tcPr>
          <w:p w14:paraId="71D43B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BF3"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3BF4"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F5"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3B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BF7"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3BF8"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F9"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3B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BFB"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3BFC"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3BFD"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3BFE"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3BFF"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3C00" w14:textId="77777777" w:rsidR="006A3667" w:rsidRDefault="00045F32">
            <w:pPr>
              <w:textAlignment w:val="center"/>
            </w:pPr>
            <w:r>
              <w:rPr>
                <w:rFonts w:ascii="Arial" w:eastAsia="宋体" w:hAnsi="Arial" w:cs="Arial"/>
                <w:b/>
                <w:bCs/>
                <w:color w:val="000000"/>
                <w:sz w:val="12"/>
                <w:szCs w:val="12"/>
              </w:rPr>
              <w:t>$</w:t>
            </w:r>
          </w:p>
          <w:p w14:paraId="71D43C01" w14:textId="77777777" w:rsidR="006A3667" w:rsidRDefault="00045F32">
            <w:pPr>
              <w:jc w:val="right"/>
              <w:textAlignment w:val="center"/>
            </w:pPr>
            <w:r>
              <w:rPr>
                <w:rFonts w:ascii="Arial" w:eastAsia="宋体" w:hAnsi="Arial" w:cs="Arial"/>
                <w:b/>
                <w:bCs/>
                <w:color w:val="000000"/>
                <w:sz w:val="12"/>
                <w:szCs w:val="12"/>
              </w:rPr>
              <w:t>8</w:t>
            </w:r>
            <w:r>
              <w:rPr>
                <w:rFonts w:ascii="Arial" w:eastAsia="宋体" w:hAnsi="Arial" w:cs="Arial"/>
                <w:color w:val="000000"/>
                <w:sz w:val="12"/>
                <w:szCs w:val="12"/>
              </w:rPr>
              <w:t> </w:t>
            </w:r>
          </w:p>
        </w:tc>
      </w:tr>
      <w:tr w:rsidR="006A3667" w14:paraId="71D43C19" w14:textId="77777777">
        <w:trPr>
          <w:hidden/>
        </w:trPr>
        <w:tc>
          <w:tcPr>
            <w:tcW w:w="0" w:type="auto"/>
            <w:gridSpan w:val="3"/>
            <w:shd w:val="clear" w:color="auto" w:fill="auto"/>
            <w:vAlign w:val="bottom"/>
          </w:tcPr>
          <w:p w14:paraId="71D43C03" w14:textId="77777777" w:rsidR="006A3667" w:rsidRDefault="006A3667">
            <w:pPr>
              <w:rPr>
                <w:rFonts w:ascii="宋体"/>
                <w:vanish/>
              </w:rPr>
            </w:pPr>
          </w:p>
        </w:tc>
        <w:tc>
          <w:tcPr>
            <w:tcW w:w="0" w:type="auto"/>
            <w:gridSpan w:val="3"/>
            <w:shd w:val="clear" w:color="auto" w:fill="auto"/>
            <w:vAlign w:val="bottom"/>
          </w:tcPr>
          <w:p w14:paraId="71D43C04" w14:textId="77777777" w:rsidR="006A3667" w:rsidRDefault="006A3667">
            <w:pPr>
              <w:rPr>
                <w:rFonts w:ascii="宋体"/>
                <w:vanish/>
              </w:rPr>
            </w:pPr>
          </w:p>
        </w:tc>
        <w:tc>
          <w:tcPr>
            <w:tcW w:w="0" w:type="auto"/>
            <w:gridSpan w:val="3"/>
            <w:shd w:val="clear" w:color="auto" w:fill="auto"/>
            <w:vAlign w:val="bottom"/>
          </w:tcPr>
          <w:p w14:paraId="71D43C05" w14:textId="77777777" w:rsidR="006A3667" w:rsidRDefault="006A3667">
            <w:pPr>
              <w:rPr>
                <w:rFonts w:ascii="宋体"/>
                <w:vanish/>
              </w:rPr>
            </w:pPr>
          </w:p>
        </w:tc>
        <w:tc>
          <w:tcPr>
            <w:tcW w:w="0" w:type="auto"/>
            <w:gridSpan w:val="3"/>
            <w:shd w:val="clear" w:color="auto" w:fill="auto"/>
            <w:vAlign w:val="bottom"/>
          </w:tcPr>
          <w:p w14:paraId="71D43C06" w14:textId="77777777" w:rsidR="006A3667" w:rsidRDefault="006A3667">
            <w:pPr>
              <w:rPr>
                <w:rFonts w:ascii="宋体"/>
                <w:vanish/>
              </w:rPr>
            </w:pPr>
          </w:p>
        </w:tc>
        <w:tc>
          <w:tcPr>
            <w:tcW w:w="0" w:type="auto"/>
            <w:gridSpan w:val="3"/>
            <w:shd w:val="clear" w:color="auto" w:fill="auto"/>
            <w:vAlign w:val="bottom"/>
          </w:tcPr>
          <w:p w14:paraId="71D43C07" w14:textId="77777777" w:rsidR="006A3667" w:rsidRDefault="006A3667">
            <w:pPr>
              <w:rPr>
                <w:rFonts w:ascii="宋体"/>
                <w:vanish/>
              </w:rPr>
            </w:pPr>
          </w:p>
        </w:tc>
        <w:tc>
          <w:tcPr>
            <w:tcW w:w="0" w:type="auto"/>
            <w:gridSpan w:val="3"/>
            <w:shd w:val="clear" w:color="auto" w:fill="auto"/>
            <w:vAlign w:val="bottom"/>
          </w:tcPr>
          <w:p w14:paraId="71D43C08" w14:textId="77777777" w:rsidR="006A3667" w:rsidRDefault="006A3667">
            <w:pPr>
              <w:rPr>
                <w:rFonts w:ascii="宋体"/>
                <w:vanish/>
              </w:rPr>
            </w:pPr>
          </w:p>
        </w:tc>
        <w:tc>
          <w:tcPr>
            <w:tcW w:w="0" w:type="auto"/>
            <w:gridSpan w:val="3"/>
            <w:shd w:val="clear" w:color="auto" w:fill="auto"/>
            <w:vAlign w:val="bottom"/>
          </w:tcPr>
          <w:p w14:paraId="71D43C09" w14:textId="77777777" w:rsidR="006A3667" w:rsidRDefault="006A3667">
            <w:pPr>
              <w:rPr>
                <w:rFonts w:ascii="宋体"/>
                <w:vanish/>
              </w:rPr>
            </w:pPr>
          </w:p>
        </w:tc>
        <w:tc>
          <w:tcPr>
            <w:tcW w:w="0" w:type="auto"/>
            <w:gridSpan w:val="3"/>
            <w:shd w:val="clear" w:color="auto" w:fill="auto"/>
            <w:vAlign w:val="bottom"/>
          </w:tcPr>
          <w:p w14:paraId="71D43C0A" w14:textId="77777777" w:rsidR="006A3667" w:rsidRDefault="006A3667">
            <w:pPr>
              <w:rPr>
                <w:rFonts w:ascii="宋体"/>
                <w:vanish/>
              </w:rPr>
            </w:pPr>
          </w:p>
        </w:tc>
        <w:tc>
          <w:tcPr>
            <w:tcW w:w="0" w:type="auto"/>
            <w:gridSpan w:val="3"/>
            <w:shd w:val="clear" w:color="auto" w:fill="auto"/>
            <w:vAlign w:val="bottom"/>
          </w:tcPr>
          <w:p w14:paraId="71D43C0B" w14:textId="77777777" w:rsidR="006A3667" w:rsidRDefault="006A3667">
            <w:pPr>
              <w:rPr>
                <w:rFonts w:ascii="宋体"/>
                <w:vanish/>
              </w:rPr>
            </w:pPr>
          </w:p>
        </w:tc>
        <w:tc>
          <w:tcPr>
            <w:tcW w:w="0" w:type="auto"/>
            <w:shd w:val="clear" w:color="auto" w:fill="auto"/>
            <w:vAlign w:val="bottom"/>
          </w:tcPr>
          <w:p w14:paraId="71D43C0C" w14:textId="77777777" w:rsidR="006A3667" w:rsidRDefault="006A3667">
            <w:pPr>
              <w:rPr>
                <w:rFonts w:ascii="宋体"/>
                <w:vanish/>
              </w:rPr>
            </w:pPr>
          </w:p>
        </w:tc>
        <w:tc>
          <w:tcPr>
            <w:tcW w:w="0" w:type="auto"/>
            <w:shd w:val="clear" w:color="auto" w:fill="auto"/>
            <w:vAlign w:val="bottom"/>
          </w:tcPr>
          <w:p w14:paraId="71D43C0D" w14:textId="77777777" w:rsidR="006A3667" w:rsidRDefault="006A3667">
            <w:pPr>
              <w:rPr>
                <w:rFonts w:ascii="宋体"/>
                <w:vanish/>
              </w:rPr>
            </w:pPr>
          </w:p>
        </w:tc>
        <w:tc>
          <w:tcPr>
            <w:tcW w:w="0" w:type="auto"/>
            <w:gridSpan w:val="3"/>
            <w:shd w:val="clear" w:color="auto" w:fill="auto"/>
            <w:vAlign w:val="bottom"/>
          </w:tcPr>
          <w:p w14:paraId="71D43C0E" w14:textId="77777777" w:rsidR="006A3667" w:rsidRDefault="006A3667">
            <w:pPr>
              <w:rPr>
                <w:rFonts w:ascii="宋体"/>
                <w:vanish/>
              </w:rPr>
            </w:pPr>
          </w:p>
        </w:tc>
        <w:tc>
          <w:tcPr>
            <w:tcW w:w="0" w:type="auto"/>
            <w:gridSpan w:val="3"/>
            <w:shd w:val="clear" w:color="auto" w:fill="auto"/>
            <w:vAlign w:val="bottom"/>
          </w:tcPr>
          <w:p w14:paraId="71D43C0F" w14:textId="77777777" w:rsidR="006A3667" w:rsidRDefault="006A3667">
            <w:pPr>
              <w:rPr>
                <w:rFonts w:ascii="宋体"/>
                <w:vanish/>
              </w:rPr>
            </w:pPr>
          </w:p>
        </w:tc>
        <w:tc>
          <w:tcPr>
            <w:tcW w:w="0" w:type="auto"/>
            <w:gridSpan w:val="3"/>
            <w:shd w:val="clear" w:color="auto" w:fill="auto"/>
            <w:vAlign w:val="bottom"/>
          </w:tcPr>
          <w:p w14:paraId="71D43C10" w14:textId="77777777" w:rsidR="006A3667" w:rsidRDefault="006A3667">
            <w:pPr>
              <w:rPr>
                <w:rFonts w:ascii="宋体"/>
                <w:vanish/>
              </w:rPr>
            </w:pPr>
          </w:p>
        </w:tc>
        <w:tc>
          <w:tcPr>
            <w:tcW w:w="0" w:type="auto"/>
            <w:gridSpan w:val="3"/>
            <w:shd w:val="clear" w:color="auto" w:fill="auto"/>
            <w:vAlign w:val="bottom"/>
          </w:tcPr>
          <w:p w14:paraId="71D43C11" w14:textId="77777777" w:rsidR="006A3667" w:rsidRDefault="006A3667">
            <w:pPr>
              <w:rPr>
                <w:rFonts w:ascii="宋体"/>
                <w:vanish/>
              </w:rPr>
            </w:pPr>
          </w:p>
        </w:tc>
        <w:tc>
          <w:tcPr>
            <w:tcW w:w="0" w:type="auto"/>
            <w:gridSpan w:val="3"/>
            <w:shd w:val="clear" w:color="auto" w:fill="auto"/>
            <w:vAlign w:val="bottom"/>
          </w:tcPr>
          <w:p w14:paraId="71D43C12" w14:textId="77777777" w:rsidR="006A3667" w:rsidRDefault="006A3667">
            <w:pPr>
              <w:rPr>
                <w:rFonts w:ascii="宋体"/>
                <w:vanish/>
              </w:rPr>
            </w:pPr>
          </w:p>
        </w:tc>
        <w:tc>
          <w:tcPr>
            <w:tcW w:w="0" w:type="auto"/>
            <w:gridSpan w:val="3"/>
            <w:shd w:val="clear" w:color="auto" w:fill="auto"/>
            <w:vAlign w:val="bottom"/>
          </w:tcPr>
          <w:p w14:paraId="71D43C13" w14:textId="77777777" w:rsidR="006A3667" w:rsidRDefault="006A3667">
            <w:pPr>
              <w:rPr>
                <w:rFonts w:ascii="宋体"/>
                <w:vanish/>
              </w:rPr>
            </w:pPr>
          </w:p>
        </w:tc>
        <w:tc>
          <w:tcPr>
            <w:tcW w:w="0" w:type="auto"/>
            <w:gridSpan w:val="3"/>
            <w:shd w:val="clear" w:color="auto" w:fill="auto"/>
            <w:vAlign w:val="bottom"/>
          </w:tcPr>
          <w:p w14:paraId="71D43C14" w14:textId="77777777" w:rsidR="006A3667" w:rsidRDefault="006A3667">
            <w:pPr>
              <w:rPr>
                <w:rFonts w:ascii="宋体"/>
                <w:vanish/>
              </w:rPr>
            </w:pPr>
          </w:p>
        </w:tc>
        <w:tc>
          <w:tcPr>
            <w:tcW w:w="0" w:type="auto"/>
            <w:gridSpan w:val="3"/>
            <w:shd w:val="clear" w:color="auto" w:fill="auto"/>
            <w:vAlign w:val="bottom"/>
          </w:tcPr>
          <w:p w14:paraId="71D43C15" w14:textId="77777777" w:rsidR="006A3667" w:rsidRDefault="006A3667">
            <w:pPr>
              <w:rPr>
                <w:rFonts w:ascii="宋体"/>
                <w:vanish/>
              </w:rPr>
            </w:pPr>
          </w:p>
        </w:tc>
        <w:tc>
          <w:tcPr>
            <w:tcW w:w="0" w:type="auto"/>
            <w:gridSpan w:val="3"/>
            <w:shd w:val="clear" w:color="auto" w:fill="auto"/>
            <w:vAlign w:val="bottom"/>
          </w:tcPr>
          <w:p w14:paraId="71D43C16" w14:textId="77777777" w:rsidR="006A3667" w:rsidRDefault="006A3667">
            <w:pPr>
              <w:rPr>
                <w:rFonts w:ascii="宋体"/>
                <w:vanish/>
              </w:rPr>
            </w:pPr>
          </w:p>
        </w:tc>
        <w:tc>
          <w:tcPr>
            <w:tcW w:w="0" w:type="auto"/>
            <w:gridSpan w:val="2"/>
            <w:shd w:val="clear" w:color="auto" w:fill="auto"/>
            <w:vAlign w:val="bottom"/>
          </w:tcPr>
          <w:p w14:paraId="71D43C17" w14:textId="77777777" w:rsidR="006A3667" w:rsidRDefault="006A3667">
            <w:pPr>
              <w:rPr>
                <w:rFonts w:ascii="宋体"/>
                <w:vanish/>
              </w:rPr>
            </w:pPr>
          </w:p>
        </w:tc>
        <w:tc>
          <w:tcPr>
            <w:tcW w:w="0" w:type="auto"/>
            <w:shd w:val="clear" w:color="auto" w:fill="auto"/>
            <w:vAlign w:val="bottom"/>
          </w:tcPr>
          <w:p w14:paraId="71D43C18" w14:textId="77777777" w:rsidR="006A3667" w:rsidRDefault="006A3667">
            <w:pPr>
              <w:rPr>
                <w:rFonts w:ascii="宋体"/>
                <w:vanish/>
              </w:rPr>
            </w:pPr>
          </w:p>
        </w:tc>
      </w:tr>
      <w:tr w:rsidR="006A3667" w14:paraId="71D43C30" w14:textId="77777777">
        <w:trPr>
          <w:hidden/>
        </w:trPr>
        <w:tc>
          <w:tcPr>
            <w:tcW w:w="0" w:type="auto"/>
            <w:gridSpan w:val="3"/>
            <w:shd w:val="clear" w:color="auto" w:fill="auto"/>
            <w:vAlign w:val="bottom"/>
          </w:tcPr>
          <w:p w14:paraId="71D43C1A" w14:textId="77777777" w:rsidR="006A3667" w:rsidRDefault="006A3667">
            <w:pPr>
              <w:rPr>
                <w:rFonts w:ascii="宋体"/>
                <w:vanish/>
              </w:rPr>
            </w:pPr>
          </w:p>
        </w:tc>
        <w:tc>
          <w:tcPr>
            <w:tcW w:w="0" w:type="auto"/>
            <w:gridSpan w:val="3"/>
            <w:shd w:val="clear" w:color="auto" w:fill="auto"/>
            <w:vAlign w:val="bottom"/>
          </w:tcPr>
          <w:p w14:paraId="71D43C1B" w14:textId="77777777" w:rsidR="006A3667" w:rsidRDefault="006A3667">
            <w:pPr>
              <w:rPr>
                <w:rFonts w:ascii="宋体"/>
                <w:vanish/>
              </w:rPr>
            </w:pPr>
          </w:p>
        </w:tc>
        <w:tc>
          <w:tcPr>
            <w:tcW w:w="0" w:type="auto"/>
            <w:gridSpan w:val="3"/>
            <w:shd w:val="clear" w:color="auto" w:fill="auto"/>
            <w:vAlign w:val="bottom"/>
          </w:tcPr>
          <w:p w14:paraId="71D43C1C" w14:textId="77777777" w:rsidR="006A3667" w:rsidRDefault="006A3667">
            <w:pPr>
              <w:rPr>
                <w:rFonts w:ascii="宋体"/>
                <w:vanish/>
              </w:rPr>
            </w:pPr>
          </w:p>
        </w:tc>
        <w:tc>
          <w:tcPr>
            <w:tcW w:w="0" w:type="auto"/>
            <w:gridSpan w:val="3"/>
            <w:shd w:val="clear" w:color="auto" w:fill="auto"/>
            <w:vAlign w:val="bottom"/>
          </w:tcPr>
          <w:p w14:paraId="71D43C1D" w14:textId="77777777" w:rsidR="006A3667" w:rsidRDefault="006A3667">
            <w:pPr>
              <w:rPr>
                <w:rFonts w:ascii="宋体"/>
                <w:vanish/>
              </w:rPr>
            </w:pPr>
          </w:p>
        </w:tc>
        <w:tc>
          <w:tcPr>
            <w:tcW w:w="0" w:type="auto"/>
            <w:gridSpan w:val="3"/>
            <w:shd w:val="clear" w:color="auto" w:fill="auto"/>
            <w:vAlign w:val="bottom"/>
          </w:tcPr>
          <w:p w14:paraId="71D43C1E" w14:textId="77777777" w:rsidR="006A3667" w:rsidRDefault="006A3667">
            <w:pPr>
              <w:rPr>
                <w:rFonts w:ascii="宋体"/>
                <w:vanish/>
              </w:rPr>
            </w:pPr>
          </w:p>
        </w:tc>
        <w:tc>
          <w:tcPr>
            <w:tcW w:w="0" w:type="auto"/>
            <w:gridSpan w:val="3"/>
            <w:shd w:val="clear" w:color="auto" w:fill="auto"/>
            <w:vAlign w:val="bottom"/>
          </w:tcPr>
          <w:p w14:paraId="71D43C1F" w14:textId="77777777" w:rsidR="006A3667" w:rsidRDefault="006A3667">
            <w:pPr>
              <w:rPr>
                <w:rFonts w:ascii="宋体"/>
                <w:vanish/>
              </w:rPr>
            </w:pPr>
          </w:p>
        </w:tc>
        <w:tc>
          <w:tcPr>
            <w:tcW w:w="0" w:type="auto"/>
            <w:gridSpan w:val="3"/>
            <w:shd w:val="clear" w:color="auto" w:fill="auto"/>
            <w:vAlign w:val="bottom"/>
          </w:tcPr>
          <w:p w14:paraId="71D43C20" w14:textId="77777777" w:rsidR="006A3667" w:rsidRDefault="006A3667">
            <w:pPr>
              <w:rPr>
                <w:rFonts w:ascii="宋体"/>
                <w:vanish/>
              </w:rPr>
            </w:pPr>
          </w:p>
        </w:tc>
        <w:tc>
          <w:tcPr>
            <w:tcW w:w="0" w:type="auto"/>
            <w:gridSpan w:val="3"/>
            <w:shd w:val="clear" w:color="auto" w:fill="auto"/>
            <w:vAlign w:val="bottom"/>
          </w:tcPr>
          <w:p w14:paraId="71D43C21" w14:textId="77777777" w:rsidR="006A3667" w:rsidRDefault="006A3667">
            <w:pPr>
              <w:rPr>
                <w:rFonts w:ascii="宋体"/>
                <w:vanish/>
              </w:rPr>
            </w:pPr>
          </w:p>
        </w:tc>
        <w:tc>
          <w:tcPr>
            <w:tcW w:w="0" w:type="auto"/>
            <w:gridSpan w:val="3"/>
            <w:shd w:val="clear" w:color="auto" w:fill="auto"/>
            <w:vAlign w:val="bottom"/>
          </w:tcPr>
          <w:p w14:paraId="71D43C22" w14:textId="77777777" w:rsidR="006A3667" w:rsidRDefault="006A3667">
            <w:pPr>
              <w:rPr>
                <w:rFonts w:ascii="宋体"/>
                <w:vanish/>
              </w:rPr>
            </w:pPr>
          </w:p>
        </w:tc>
        <w:tc>
          <w:tcPr>
            <w:tcW w:w="0" w:type="auto"/>
            <w:shd w:val="clear" w:color="auto" w:fill="auto"/>
            <w:vAlign w:val="bottom"/>
          </w:tcPr>
          <w:p w14:paraId="71D43C23" w14:textId="77777777" w:rsidR="006A3667" w:rsidRDefault="006A3667">
            <w:pPr>
              <w:rPr>
                <w:rFonts w:ascii="宋体"/>
                <w:vanish/>
              </w:rPr>
            </w:pPr>
          </w:p>
        </w:tc>
        <w:tc>
          <w:tcPr>
            <w:tcW w:w="0" w:type="auto"/>
            <w:shd w:val="clear" w:color="auto" w:fill="auto"/>
            <w:vAlign w:val="bottom"/>
          </w:tcPr>
          <w:p w14:paraId="71D43C24" w14:textId="77777777" w:rsidR="006A3667" w:rsidRDefault="006A3667">
            <w:pPr>
              <w:rPr>
                <w:rFonts w:ascii="宋体"/>
                <w:vanish/>
              </w:rPr>
            </w:pPr>
          </w:p>
        </w:tc>
        <w:tc>
          <w:tcPr>
            <w:tcW w:w="0" w:type="auto"/>
            <w:gridSpan w:val="3"/>
            <w:shd w:val="clear" w:color="auto" w:fill="auto"/>
            <w:vAlign w:val="bottom"/>
          </w:tcPr>
          <w:p w14:paraId="71D43C25" w14:textId="77777777" w:rsidR="006A3667" w:rsidRDefault="006A3667">
            <w:pPr>
              <w:rPr>
                <w:rFonts w:ascii="宋体"/>
                <w:vanish/>
              </w:rPr>
            </w:pPr>
          </w:p>
        </w:tc>
        <w:tc>
          <w:tcPr>
            <w:tcW w:w="0" w:type="auto"/>
            <w:gridSpan w:val="3"/>
            <w:shd w:val="clear" w:color="auto" w:fill="auto"/>
            <w:vAlign w:val="bottom"/>
          </w:tcPr>
          <w:p w14:paraId="71D43C26" w14:textId="77777777" w:rsidR="006A3667" w:rsidRDefault="006A3667">
            <w:pPr>
              <w:rPr>
                <w:rFonts w:ascii="宋体"/>
                <w:vanish/>
              </w:rPr>
            </w:pPr>
          </w:p>
        </w:tc>
        <w:tc>
          <w:tcPr>
            <w:tcW w:w="0" w:type="auto"/>
            <w:gridSpan w:val="3"/>
            <w:shd w:val="clear" w:color="auto" w:fill="auto"/>
            <w:vAlign w:val="bottom"/>
          </w:tcPr>
          <w:p w14:paraId="71D43C27" w14:textId="77777777" w:rsidR="006A3667" w:rsidRDefault="006A3667">
            <w:pPr>
              <w:rPr>
                <w:rFonts w:ascii="宋体"/>
                <w:vanish/>
              </w:rPr>
            </w:pPr>
          </w:p>
        </w:tc>
        <w:tc>
          <w:tcPr>
            <w:tcW w:w="0" w:type="auto"/>
            <w:gridSpan w:val="3"/>
            <w:shd w:val="clear" w:color="auto" w:fill="auto"/>
            <w:vAlign w:val="bottom"/>
          </w:tcPr>
          <w:p w14:paraId="71D43C28" w14:textId="77777777" w:rsidR="006A3667" w:rsidRDefault="006A3667">
            <w:pPr>
              <w:rPr>
                <w:rFonts w:ascii="宋体"/>
                <w:vanish/>
              </w:rPr>
            </w:pPr>
          </w:p>
        </w:tc>
        <w:tc>
          <w:tcPr>
            <w:tcW w:w="0" w:type="auto"/>
            <w:gridSpan w:val="3"/>
            <w:shd w:val="clear" w:color="auto" w:fill="auto"/>
            <w:vAlign w:val="bottom"/>
          </w:tcPr>
          <w:p w14:paraId="71D43C29" w14:textId="77777777" w:rsidR="006A3667" w:rsidRDefault="006A3667">
            <w:pPr>
              <w:rPr>
                <w:rFonts w:ascii="宋体"/>
                <w:vanish/>
              </w:rPr>
            </w:pPr>
          </w:p>
        </w:tc>
        <w:tc>
          <w:tcPr>
            <w:tcW w:w="0" w:type="auto"/>
            <w:gridSpan w:val="3"/>
            <w:shd w:val="clear" w:color="auto" w:fill="auto"/>
            <w:vAlign w:val="bottom"/>
          </w:tcPr>
          <w:p w14:paraId="71D43C2A" w14:textId="77777777" w:rsidR="006A3667" w:rsidRDefault="006A3667">
            <w:pPr>
              <w:rPr>
                <w:rFonts w:ascii="宋体"/>
                <w:vanish/>
              </w:rPr>
            </w:pPr>
          </w:p>
        </w:tc>
        <w:tc>
          <w:tcPr>
            <w:tcW w:w="0" w:type="auto"/>
            <w:gridSpan w:val="3"/>
            <w:shd w:val="clear" w:color="auto" w:fill="auto"/>
            <w:vAlign w:val="bottom"/>
          </w:tcPr>
          <w:p w14:paraId="71D43C2B" w14:textId="77777777" w:rsidR="006A3667" w:rsidRDefault="006A3667">
            <w:pPr>
              <w:rPr>
                <w:rFonts w:ascii="宋体"/>
                <w:vanish/>
              </w:rPr>
            </w:pPr>
          </w:p>
        </w:tc>
        <w:tc>
          <w:tcPr>
            <w:tcW w:w="0" w:type="auto"/>
            <w:gridSpan w:val="3"/>
            <w:shd w:val="clear" w:color="auto" w:fill="auto"/>
            <w:vAlign w:val="bottom"/>
          </w:tcPr>
          <w:p w14:paraId="71D43C2C" w14:textId="77777777" w:rsidR="006A3667" w:rsidRDefault="006A3667">
            <w:pPr>
              <w:rPr>
                <w:rFonts w:ascii="宋体"/>
                <w:vanish/>
              </w:rPr>
            </w:pPr>
          </w:p>
        </w:tc>
        <w:tc>
          <w:tcPr>
            <w:tcW w:w="0" w:type="auto"/>
            <w:gridSpan w:val="3"/>
            <w:shd w:val="clear" w:color="auto" w:fill="auto"/>
            <w:vAlign w:val="bottom"/>
          </w:tcPr>
          <w:p w14:paraId="71D43C2D" w14:textId="77777777" w:rsidR="006A3667" w:rsidRDefault="006A3667">
            <w:pPr>
              <w:rPr>
                <w:rFonts w:ascii="宋体"/>
                <w:vanish/>
              </w:rPr>
            </w:pPr>
          </w:p>
        </w:tc>
        <w:tc>
          <w:tcPr>
            <w:tcW w:w="0" w:type="auto"/>
            <w:gridSpan w:val="2"/>
            <w:shd w:val="clear" w:color="auto" w:fill="auto"/>
            <w:vAlign w:val="bottom"/>
          </w:tcPr>
          <w:p w14:paraId="71D43C2E" w14:textId="77777777" w:rsidR="006A3667" w:rsidRDefault="006A3667">
            <w:pPr>
              <w:rPr>
                <w:rFonts w:ascii="宋体"/>
                <w:vanish/>
              </w:rPr>
            </w:pPr>
          </w:p>
        </w:tc>
        <w:tc>
          <w:tcPr>
            <w:tcW w:w="0" w:type="auto"/>
            <w:shd w:val="clear" w:color="auto" w:fill="auto"/>
            <w:vAlign w:val="bottom"/>
          </w:tcPr>
          <w:p w14:paraId="71D43C2F" w14:textId="77777777" w:rsidR="006A3667" w:rsidRDefault="006A3667">
            <w:pPr>
              <w:rPr>
                <w:rFonts w:ascii="宋体"/>
                <w:vanish/>
              </w:rPr>
            </w:pPr>
          </w:p>
        </w:tc>
      </w:tr>
      <w:tr w:rsidR="006A3667" w14:paraId="71D43C50" w14:textId="77777777">
        <w:tc>
          <w:tcPr>
            <w:tcW w:w="0" w:type="auto"/>
            <w:gridSpan w:val="3"/>
            <w:shd w:val="clear" w:color="auto" w:fill="FFFFFF"/>
            <w:tcMar>
              <w:top w:w="40" w:type="dxa"/>
              <w:left w:w="20" w:type="dxa"/>
              <w:bottom w:w="40" w:type="dxa"/>
              <w:right w:w="20" w:type="dxa"/>
            </w:tcMar>
            <w:vAlign w:val="center"/>
          </w:tcPr>
          <w:p w14:paraId="71D43C31" w14:textId="77777777" w:rsidR="006A3667" w:rsidRDefault="00045F32">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32"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3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C3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35" w14:textId="77777777" w:rsidR="006A3667" w:rsidRDefault="00045F32">
            <w:pPr>
              <w:jc w:val="right"/>
              <w:textAlignment w:val="center"/>
            </w:pPr>
            <w:r>
              <w:rPr>
                <w:rFonts w:ascii="Arial" w:eastAsia="宋体" w:hAnsi="Arial" w:cs="Arial"/>
                <w:b/>
                <w:bCs/>
                <w:color w:val="000000"/>
                <w:sz w:val="12"/>
                <w:szCs w:val="12"/>
              </w:rPr>
              <w:t>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C3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38"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C3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3B" w14:textId="77777777" w:rsidR="006A3667" w:rsidRDefault="00045F32">
            <w:pPr>
              <w:jc w:val="right"/>
              <w:textAlignment w:val="center"/>
            </w:pPr>
            <w:r>
              <w:rPr>
                <w:rFonts w:ascii="Arial" w:eastAsia="宋体" w:hAnsi="Arial" w:cs="Arial"/>
                <w:b/>
                <w:bCs/>
                <w:color w:val="000000"/>
                <w:sz w:val="12"/>
                <w:szCs w:val="12"/>
              </w:rPr>
              <w:t>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3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C3D" w14:textId="77777777" w:rsidR="006A3667" w:rsidRDefault="006A3667">
            <w:pPr>
              <w:rPr>
                <w:rFonts w:ascii="宋体"/>
              </w:rPr>
            </w:pPr>
          </w:p>
        </w:tc>
        <w:tc>
          <w:tcPr>
            <w:tcW w:w="0" w:type="auto"/>
            <w:shd w:val="clear" w:color="auto" w:fill="auto"/>
            <w:vAlign w:val="bottom"/>
          </w:tcPr>
          <w:p w14:paraId="71D43C3E" w14:textId="77777777" w:rsidR="006A3667" w:rsidRDefault="006A3667">
            <w:pPr>
              <w:rPr>
                <w:rFonts w:ascii="宋体"/>
                <w:vanish/>
              </w:rPr>
            </w:pPr>
          </w:p>
        </w:tc>
        <w:tc>
          <w:tcPr>
            <w:tcW w:w="0" w:type="auto"/>
            <w:shd w:val="clear" w:color="auto" w:fill="auto"/>
            <w:vAlign w:val="bottom"/>
          </w:tcPr>
          <w:p w14:paraId="71D43C3F"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40"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4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C4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43" w14:textId="77777777" w:rsidR="006A3667" w:rsidRDefault="00045F32">
            <w:pPr>
              <w:jc w:val="right"/>
              <w:textAlignment w:val="center"/>
            </w:pPr>
            <w:r>
              <w:rPr>
                <w:rFonts w:ascii="Arial" w:eastAsia="宋体" w:hAnsi="Arial" w:cs="Arial"/>
                <w:b/>
                <w:bCs/>
                <w:color w:val="000000"/>
                <w:sz w:val="12"/>
                <w:szCs w:val="12"/>
              </w:rPr>
              <w:t>(12)</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4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C4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46"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C4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49"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4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3C4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3C4C"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3C4D"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3C4E"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1D43C4F" w14:textId="77777777" w:rsidR="006A3667" w:rsidRDefault="00045F32">
            <w:pPr>
              <w:jc w:val="right"/>
              <w:textAlignment w:val="center"/>
            </w:pPr>
            <w:r>
              <w:rPr>
                <w:rFonts w:ascii="Arial" w:eastAsia="宋体" w:hAnsi="Arial" w:cs="Arial"/>
                <w:b/>
                <w:bCs/>
                <w:color w:val="000000"/>
                <w:sz w:val="12"/>
                <w:szCs w:val="12"/>
              </w:rPr>
              <w:t>8</w:t>
            </w:r>
            <w:r>
              <w:rPr>
                <w:rFonts w:ascii="Arial" w:eastAsia="宋体" w:hAnsi="Arial" w:cs="Arial"/>
                <w:color w:val="000000"/>
                <w:sz w:val="12"/>
                <w:szCs w:val="12"/>
              </w:rPr>
              <w:t> </w:t>
            </w:r>
          </w:p>
        </w:tc>
      </w:tr>
      <w:tr w:rsidR="00045F32" w14:paraId="71D43C7A" w14:textId="77777777">
        <w:tc>
          <w:tcPr>
            <w:tcW w:w="0" w:type="auto"/>
            <w:gridSpan w:val="3"/>
            <w:shd w:val="clear" w:color="auto" w:fill="CCEEFF"/>
            <w:tcMar>
              <w:top w:w="40" w:type="dxa"/>
              <w:left w:w="20" w:type="dxa"/>
              <w:bottom w:w="40" w:type="dxa"/>
              <w:right w:w="20" w:type="dxa"/>
            </w:tcMar>
            <w:vAlign w:val="center"/>
          </w:tcPr>
          <w:p w14:paraId="71D43C51" w14:textId="77777777" w:rsidR="006A3667" w:rsidRDefault="00045F32">
            <w:pPr>
              <w:textAlignment w:val="center"/>
            </w:pPr>
            <w:r>
              <w:rPr>
                <w:rFonts w:ascii="Arial" w:eastAsia="宋体" w:hAnsi="Arial" w:cs="Arial"/>
                <w:color w:val="000000"/>
                <w:sz w:val="12"/>
                <w:szCs w:val="12"/>
              </w:rPr>
              <w:t>Total assets c</w:t>
            </w:r>
            <w:r>
              <w:rPr>
                <w:rFonts w:ascii="Arial" w:eastAsia="宋体" w:hAnsi="Arial" w:cs="Arial"/>
                <w:color w:val="000000"/>
                <w:sz w:val="12"/>
                <w:szCs w:val="12"/>
              </w:rPr>
              <w:t>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52"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53"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C55"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56"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57" w14:textId="77777777" w:rsidR="006A3667" w:rsidRDefault="00045F32">
            <w:pPr>
              <w:jc w:val="right"/>
              <w:textAlignment w:val="center"/>
            </w:pPr>
            <w:r>
              <w:rPr>
                <w:rFonts w:ascii="Arial" w:eastAsia="宋体" w:hAnsi="Arial" w:cs="Arial"/>
                <w:b/>
                <w:bCs/>
                <w:color w:val="000000"/>
                <w:sz w:val="12"/>
                <w:szCs w:val="12"/>
              </w:rPr>
              <w:t>7</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C59"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5A"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5B"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C5D"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5E"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5F" w14:textId="77777777" w:rsidR="006A3667" w:rsidRDefault="00045F32">
            <w:pPr>
              <w:jc w:val="right"/>
              <w:textAlignment w:val="center"/>
            </w:pPr>
            <w:r>
              <w:rPr>
                <w:rFonts w:ascii="Arial" w:eastAsia="宋体" w:hAnsi="Arial" w:cs="Arial"/>
                <w:b/>
                <w:bCs/>
                <w:color w:val="000000"/>
                <w:sz w:val="12"/>
                <w:szCs w:val="12"/>
              </w:rPr>
              <w:t>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C61" w14:textId="77777777" w:rsidR="006A3667" w:rsidRDefault="006A3667">
            <w:pPr>
              <w:rPr>
                <w:rFonts w:ascii="宋体"/>
              </w:rPr>
            </w:pPr>
          </w:p>
        </w:tc>
        <w:tc>
          <w:tcPr>
            <w:tcW w:w="0" w:type="auto"/>
            <w:shd w:val="clear" w:color="auto" w:fill="auto"/>
            <w:vAlign w:val="bottom"/>
          </w:tcPr>
          <w:p w14:paraId="71D43C62" w14:textId="77777777" w:rsidR="006A3667" w:rsidRDefault="006A3667">
            <w:pPr>
              <w:rPr>
                <w:rFonts w:ascii="宋体"/>
                <w:vanish/>
              </w:rPr>
            </w:pPr>
          </w:p>
        </w:tc>
        <w:tc>
          <w:tcPr>
            <w:tcW w:w="0" w:type="auto"/>
            <w:shd w:val="clear" w:color="auto" w:fill="auto"/>
            <w:vAlign w:val="bottom"/>
          </w:tcPr>
          <w:p w14:paraId="71D43C63" w14:textId="77777777" w:rsidR="006A3667" w:rsidRDefault="006A3667">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64"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65"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C6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68"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69" w14:textId="77777777" w:rsidR="006A3667" w:rsidRDefault="00045F32">
            <w:pPr>
              <w:jc w:val="right"/>
              <w:textAlignment w:val="center"/>
            </w:pPr>
            <w:r>
              <w:rPr>
                <w:rFonts w:ascii="Arial" w:eastAsia="宋体" w:hAnsi="Arial" w:cs="Arial"/>
                <w:b/>
                <w:bCs/>
                <w:color w:val="000000"/>
                <w:sz w:val="12"/>
                <w:szCs w:val="12"/>
              </w:rPr>
              <w:t>(12)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C6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6C"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6D"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C6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70"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71"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3C7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74"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3C75"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3C76"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3C7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3C78" w14:textId="77777777" w:rsidR="006A3667" w:rsidRDefault="00045F32">
            <w:pPr>
              <w:textAlignment w:val="center"/>
            </w:pPr>
            <w:r>
              <w:rPr>
                <w:rFonts w:ascii="Arial" w:eastAsia="宋体" w:hAnsi="Arial" w:cs="Arial"/>
                <w:b/>
                <w:bCs/>
                <w:color w:val="000000"/>
                <w:sz w:val="12"/>
                <w:szCs w:val="12"/>
              </w:rPr>
              <w:t>$</w:t>
            </w:r>
          </w:p>
          <w:p w14:paraId="71D43C79" w14:textId="77777777" w:rsidR="006A3667" w:rsidRDefault="00045F32">
            <w:pPr>
              <w:jc w:val="right"/>
              <w:textAlignment w:val="center"/>
            </w:pPr>
            <w:r>
              <w:rPr>
                <w:rFonts w:ascii="Arial" w:eastAsia="宋体" w:hAnsi="Arial" w:cs="Arial"/>
                <w:b/>
                <w:bCs/>
                <w:color w:val="000000"/>
                <w:sz w:val="12"/>
                <w:szCs w:val="12"/>
              </w:rPr>
              <w:t>8</w:t>
            </w:r>
            <w:r>
              <w:rPr>
                <w:rFonts w:ascii="Arial" w:eastAsia="宋体" w:hAnsi="Arial" w:cs="Arial"/>
                <w:color w:val="000000"/>
                <w:sz w:val="12"/>
                <w:szCs w:val="12"/>
              </w:rPr>
              <w:t> </w:t>
            </w:r>
          </w:p>
        </w:tc>
      </w:tr>
    </w:tbl>
    <w:p w14:paraId="71D43C7B"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6A3667" w14:paraId="71D43C88" w14:textId="77777777">
        <w:tc>
          <w:tcPr>
            <w:tcW w:w="50" w:type="pct"/>
            <w:shd w:val="clear" w:color="auto" w:fill="auto"/>
            <w:vAlign w:val="bottom"/>
          </w:tcPr>
          <w:p w14:paraId="71D43C7C" w14:textId="77777777" w:rsidR="006A3667" w:rsidRDefault="006A3667">
            <w:pPr>
              <w:rPr>
                <w:rFonts w:ascii="宋体"/>
              </w:rPr>
            </w:pPr>
          </w:p>
        </w:tc>
        <w:tc>
          <w:tcPr>
            <w:tcW w:w="1348" w:type="pct"/>
            <w:shd w:val="clear" w:color="auto" w:fill="auto"/>
            <w:vAlign w:val="bottom"/>
          </w:tcPr>
          <w:p w14:paraId="71D43C7D" w14:textId="77777777" w:rsidR="006A3667" w:rsidRDefault="006A3667">
            <w:pPr>
              <w:rPr>
                <w:rFonts w:ascii="宋体"/>
              </w:rPr>
            </w:pPr>
          </w:p>
        </w:tc>
        <w:tc>
          <w:tcPr>
            <w:tcW w:w="5" w:type="pct"/>
            <w:shd w:val="clear" w:color="auto" w:fill="auto"/>
            <w:vAlign w:val="bottom"/>
          </w:tcPr>
          <w:p w14:paraId="71D43C7E" w14:textId="77777777" w:rsidR="006A3667" w:rsidRDefault="006A3667">
            <w:pPr>
              <w:rPr>
                <w:rFonts w:ascii="宋体"/>
              </w:rPr>
            </w:pPr>
          </w:p>
        </w:tc>
        <w:tc>
          <w:tcPr>
            <w:tcW w:w="50" w:type="pct"/>
            <w:shd w:val="clear" w:color="auto" w:fill="auto"/>
            <w:vAlign w:val="bottom"/>
          </w:tcPr>
          <w:p w14:paraId="71D43C7F" w14:textId="77777777" w:rsidR="006A3667" w:rsidRDefault="006A3667">
            <w:pPr>
              <w:rPr>
                <w:rFonts w:ascii="宋体"/>
              </w:rPr>
            </w:pPr>
          </w:p>
        </w:tc>
        <w:tc>
          <w:tcPr>
            <w:tcW w:w="668" w:type="pct"/>
            <w:shd w:val="clear" w:color="auto" w:fill="auto"/>
            <w:vAlign w:val="bottom"/>
          </w:tcPr>
          <w:p w14:paraId="71D43C80" w14:textId="77777777" w:rsidR="006A3667" w:rsidRDefault="006A3667">
            <w:pPr>
              <w:rPr>
                <w:rFonts w:ascii="宋体"/>
              </w:rPr>
            </w:pPr>
          </w:p>
        </w:tc>
        <w:tc>
          <w:tcPr>
            <w:tcW w:w="5" w:type="pct"/>
            <w:shd w:val="clear" w:color="auto" w:fill="auto"/>
            <w:vAlign w:val="bottom"/>
          </w:tcPr>
          <w:p w14:paraId="71D43C81" w14:textId="77777777" w:rsidR="006A3667" w:rsidRDefault="006A3667">
            <w:pPr>
              <w:rPr>
                <w:rFonts w:ascii="宋体"/>
              </w:rPr>
            </w:pPr>
          </w:p>
        </w:tc>
        <w:tc>
          <w:tcPr>
            <w:tcW w:w="50" w:type="pct"/>
            <w:shd w:val="clear" w:color="auto" w:fill="auto"/>
            <w:vAlign w:val="bottom"/>
          </w:tcPr>
          <w:p w14:paraId="71D43C82" w14:textId="77777777" w:rsidR="006A3667" w:rsidRDefault="006A3667">
            <w:pPr>
              <w:rPr>
                <w:rFonts w:ascii="宋体"/>
              </w:rPr>
            </w:pPr>
          </w:p>
        </w:tc>
        <w:tc>
          <w:tcPr>
            <w:tcW w:w="909" w:type="pct"/>
            <w:shd w:val="clear" w:color="auto" w:fill="auto"/>
            <w:vAlign w:val="bottom"/>
          </w:tcPr>
          <w:p w14:paraId="71D43C83" w14:textId="77777777" w:rsidR="006A3667" w:rsidRDefault="006A3667">
            <w:pPr>
              <w:rPr>
                <w:rFonts w:ascii="宋体"/>
              </w:rPr>
            </w:pPr>
          </w:p>
        </w:tc>
        <w:tc>
          <w:tcPr>
            <w:tcW w:w="5" w:type="pct"/>
            <w:shd w:val="clear" w:color="auto" w:fill="auto"/>
            <w:vAlign w:val="bottom"/>
          </w:tcPr>
          <w:p w14:paraId="71D43C84" w14:textId="77777777" w:rsidR="006A3667" w:rsidRDefault="006A3667">
            <w:pPr>
              <w:rPr>
                <w:rFonts w:ascii="宋体"/>
              </w:rPr>
            </w:pPr>
          </w:p>
        </w:tc>
        <w:tc>
          <w:tcPr>
            <w:tcW w:w="50" w:type="pct"/>
            <w:shd w:val="clear" w:color="auto" w:fill="auto"/>
            <w:vAlign w:val="bottom"/>
          </w:tcPr>
          <w:p w14:paraId="71D43C85" w14:textId="77777777" w:rsidR="006A3667" w:rsidRDefault="006A3667">
            <w:pPr>
              <w:rPr>
                <w:rFonts w:ascii="宋体"/>
              </w:rPr>
            </w:pPr>
          </w:p>
        </w:tc>
        <w:tc>
          <w:tcPr>
            <w:tcW w:w="1852" w:type="pct"/>
            <w:shd w:val="clear" w:color="auto" w:fill="auto"/>
            <w:vAlign w:val="bottom"/>
          </w:tcPr>
          <w:p w14:paraId="71D43C86" w14:textId="77777777" w:rsidR="006A3667" w:rsidRDefault="006A3667">
            <w:pPr>
              <w:rPr>
                <w:rFonts w:ascii="宋体"/>
              </w:rPr>
            </w:pPr>
          </w:p>
        </w:tc>
        <w:tc>
          <w:tcPr>
            <w:tcW w:w="5" w:type="pct"/>
            <w:shd w:val="clear" w:color="auto" w:fill="auto"/>
            <w:vAlign w:val="bottom"/>
          </w:tcPr>
          <w:p w14:paraId="71D43C87" w14:textId="77777777" w:rsidR="006A3667" w:rsidRDefault="006A3667">
            <w:pPr>
              <w:rPr>
                <w:rFonts w:ascii="宋体"/>
              </w:rPr>
            </w:pPr>
          </w:p>
        </w:tc>
      </w:tr>
      <w:tr w:rsidR="006A3667" w14:paraId="71D43C8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3C8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8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8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8C" w14:textId="77777777" w:rsidR="006A3667" w:rsidRDefault="006A3667">
            <w:pPr>
              <w:rPr>
                <w:rFonts w:ascii="宋体"/>
              </w:rPr>
            </w:pPr>
          </w:p>
        </w:tc>
      </w:tr>
    </w:tbl>
    <w:p w14:paraId="71D43C8E" w14:textId="77777777" w:rsidR="006A3667" w:rsidRDefault="00045F32">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derivative instruments are included within foreign exchange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51"/>
        <w:gridCol w:w="1253"/>
        <w:gridCol w:w="36"/>
        <w:gridCol w:w="51"/>
        <w:gridCol w:w="607"/>
        <w:gridCol w:w="36"/>
        <w:gridCol w:w="36"/>
        <w:gridCol w:w="36"/>
        <w:gridCol w:w="36"/>
        <w:gridCol w:w="51"/>
        <w:gridCol w:w="473"/>
        <w:gridCol w:w="36"/>
        <w:gridCol w:w="36"/>
        <w:gridCol w:w="36"/>
        <w:gridCol w:w="36"/>
        <w:gridCol w:w="51"/>
        <w:gridCol w:w="692"/>
        <w:gridCol w:w="36"/>
        <w:gridCol w:w="36"/>
        <w:gridCol w:w="36"/>
        <w:gridCol w:w="36"/>
        <w:gridCol w:w="51"/>
        <w:gridCol w:w="460"/>
        <w:gridCol w:w="36"/>
        <w:gridCol w:w="36"/>
        <w:gridCol w:w="36"/>
        <w:gridCol w:w="36"/>
        <w:gridCol w:w="116"/>
        <w:gridCol w:w="117"/>
        <w:gridCol w:w="117"/>
        <w:gridCol w:w="117"/>
        <w:gridCol w:w="117"/>
        <w:gridCol w:w="117"/>
        <w:gridCol w:w="52"/>
        <w:gridCol w:w="302"/>
        <w:gridCol w:w="36"/>
        <w:gridCol w:w="36"/>
        <w:gridCol w:w="36"/>
        <w:gridCol w:w="36"/>
        <w:gridCol w:w="52"/>
        <w:gridCol w:w="523"/>
        <w:gridCol w:w="36"/>
        <w:gridCol w:w="36"/>
        <w:gridCol w:w="36"/>
        <w:gridCol w:w="36"/>
        <w:gridCol w:w="52"/>
        <w:gridCol w:w="412"/>
        <w:gridCol w:w="36"/>
        <w:gridCol w:w="36"/>
        <w:gridCol w:w="36"/>
        <w:gridCol w:w="36"/>
        <w:gridCol w:w="52"/>
        <w:gridCol w:w="412"/>
        <w:gridCol w:w="36"/>
        <w:gridCol w:w="36"/>
        <w:gridCol w:w="36"/>
        <w:gridCol w:w="36"/>
        <w:gridCol w:w="52"/>
        <w:gridCol w:w="644"/>
        <w:gridCol w:w="36"/>
        <w:gridCol w:w="36"/>
        <w:gridCol w:w="36"/>
        <w:gridCol w:w="46"/>
      </w:tblGrid>
      <w:tr w:rsidR="006A3667" w14:paraId="71D43CCA" w14:textId="77777777">
        <w:tc>
          <w:tcPr>
            <w:tcW w:w="50" w:type="pct"/>
            <w:shd w:val="clear" w:color="auto" w:fill="auto"/>
            <w:vAlign w:val="bottom"/>
          </w:tcPr>
          <w:p w14:paraId="71D43C8F" w14:textId="77777777" w:rsidR="006A3667" w:rsidRDefault="006A3667">
            <w:pPr>
              <w:rPr>
                <w:rFonts w:ascii="宋体"/>
              </w:rPr>
            </w:pPr>
          </w:p>
        </w:tc>
        <w:tc>
          <w:tcPr>
            <w:tcW w:w="771" w:type="pct"/>
            <w:shd w:val="clear" w:color="auto" w:fill="auto"/>
            <w:vAlign w:val="bottom"/>
          </w:tcPr>
          <w:p w14:paraId="71D43C90" w14:textId="77777777" w:rsidR="006A3667" w:rsidRDefault="006A3667">
            <w:pPr>
              <w:rPr>
                <w:rFonts w:ascii="宋体"/>
              </w:rPr>
            </w:pPr>
          </w:p>
        </w:tc>
        <w:tc>
          <w:tcPr>
            <w:tcW w:w="5" w:type="pct"/>
            <w:shd w:val="clear" w:color="auto" w:fill="auto"/>
            <w:vAlign w:val="bottom"/>
          </w:tcPr>
          <w:p w14:paraId="71D43C91" w14:textId="77777777" w:rsidR="006A3667" w:rsidRDefault="006A3667">
            <w:pPr>
              <w:rPr>
                <w:rFonts w:ascii="宋体"/>
              </w:rPr>
            </w:pPr>
          </w:p>
        </w:tc>
        <w:tc>
          <w:tcPr>
            <w:tcW w:w="50" w:type="pct"/>
            <w:shd w:val="clear" w:color="auto" w:fill="auto"/>
            <w:vAlign w:val="bottom"/>
          </w:tcPr>
          <w:p w14:paraId="71D43C92" w14:textId="77777777" w:rsidR="006A3667" w:rsidRDefault="006A3667">
            <w:pPr>
              <w:rPr>
                <w:rFonts w:ascii="宋体"/>
              </w:rPr>
            </w:pPr>
          </w:p>
        </w:tc>
        <w:tc>
          <w:tcPr>
            <w:tcW w:w="383" w:type="pct"/>
            <w:shd w:val="clear" w:color="auto" w:fill="auto"/>
            <w:vAlign w:val="bottom"/>
          </w:tcPr>
          <w:p w14:paraId="71D43C93" w14:textId="77777777" w:rsidR="006A3667" w:rsidRDefault="006A3667">
            <w:pPr>
              <w:rPr>
                <w:rFonts w:ascii="宋体"/>
              </w:rPr>
            </w:pPr>
          </w:p>
        </w:tc>
        <w:tc>
          <w:tcPr>
            <w:tcW w:w="5" w:type="pct"/>
            <w:shd w:val="clear" w:color="auto" w:fill="auto"/>
            <w:vAlign w:val="bottom"/>
          </w:tcPr>
          <w:p w14:paraId="71D43C94" w14:textId="77777777" w:rsidR="006A3667" w:rsidRDefault="006A3667">
            <w:pPr>
              <w:rPr>
                <w:rFonts w:ascii="宋体"/>
              </w:rPr>
            </w:pPr>
          </w:p>
        </w:tc>
        <w:tc>
          <w:tcPr>
            <w:tcW w:w="5" w:type="pct"/>
            <w:shd w:val="clear" w:color="auto" w:fill="auto"/>
            <w:vAlign w:val="bottom"/>
          </w:tcPr>
          <w:p w14:paraId="71D43C95" w14:textId="77777777" w:rsidR="006A3667" w:rsidRDefault="006A3667">
            <w:pPr>
              <w:rPr>
                <w:rFonts w:ascii="宋体"/>
              </w:rPr>
            </w:pPr>
          </w:p>
        </w:tc>
        <w:tc>
          <w:tcPr>
            <w:tcW w:w="19" w:type="pct"/>
            <w:shd w:val="clear" w:color="auto" w:fill="auto"/>
            <w:vAlign w:val="bottom"/>
          </w:tcPr>
          <w:p w14:paraId="71D43C96" w14:textId="77777777" w:rsidR="006A3667" w:rsidRDefault="006A3667">
            <w:pPr>
              <w:rPr>
                <w:rFonts w:ascii="宋体"/>
              </w:rPr>
            </w:pPr>
          </w:p>
        </w:tc>
        <w:tc>
          <w:tcPr>
            <w:tcW w:w="5" w:type="pct"/>
            <w:shd w:val="clear" w:color="auto" w:fill="auto"/>
            <w:vAlign w:val="bottom"/>
          </w:tcPr>
          <w:p w14:paraId="71D43C97" w14:textId="77777777" w:rsidR="006A3667" w:rsidRDefault="006A3667">
            <w:pPr>
              <w:rPr>
                <w:rFonts w:ascii="宋体"/>
              </w:rPr>
            </w:pPr>
          </w:p>
        </w:tc>
        <w:tc>
          <w:tcPr>
            <w:tcW w:w="50" w:type="pct"/>
            <w:shd w:val="clear" w:color="auto" w:fill="auto"/>
            <w:vAlign w:val="bottom"/>
          </w:tcPr>
          <w:p w14:paraId="71D43C98" w14:textId="77777777" w:rsidR="006A3667" w:rsidRDefault="006A3667">
            <w:pPr>
              <w:rPr>
                <w:rFonts w:ascii="宋体"/>
              </w:rPr>
            </w:pPr>
          </w:p>
        </w:tc>
        <w:tc>
          <w:tcPr>
            <w:tcW w:w="303" w:type="pct"/>
            <w:shd w:val="clear" w:color="auto" w:fill="auto"/>
            <w:vAlign w:val="bottom"/>
          </w:tcPr>
          <w:p w14:paraId="71D43C99" w14:textId="77777777" w:rsidR="006A3667" w:rsidRDefault="006A3667">
            <w:pPr>
              <w:rPr>
                <w:rFonts w:ascii="宋体"/>
              </w:rPr>
            </w:pPr>
          </w:p>
        </w:tc>
        <w:tc>
          <w:tcPr>
            <w:tcW w:w="5" w:type="pct"/>
            <w:shd w:val="clear" w:color="auto" w:fill="auto"/>
            <w:vAlign w:val="bottom"/>
          </w:tcPr>
          <w:p w14:paraId="71D43C9A" w14:textId="77777777" w:rsidR="006A3667" w:rsidRDefault="006A3667">
            <w:pPr>
              <w:rPr>
                <w:rFonts w:ascii="宋体"/>
              </w:rPr>
            </w:pPr>
          </w:p>
        </w:tc>
        <w:tc>
          <w:tcPr>
            <w:tcW w:w="5" w:type="pct"/>
            <w:shd w:val="clear" w:color="auto" w:fill="auto"/>
            <w:vAlign w:val="bottom"/>
          </w:tcPr>
          <w:p w14:paraId="71D43C9B" w14:textId="77777777" w:rsidR="006A3667" w:rsidRDefault="006A3667">
            <w:pPr>
              <w:rPr>
                <w:rFonts w:ascii="宋体"/>
              </w:rPr>
            </w:pPr>
          </w:p>
        </w:tc>
        <w:tc>
          <w:tcPr>
            <w:tcW w:w="19" w:type="pct"/>
            <w:shd w:val="clear" w:color="auto" w:fill="auto"/>
            <w:vAlign w:val="bottom"/>
          </w:tcPr>
          <w:p w14:paraId="71D43C9C" w14:textId="77777777" w:rsidR="006A3667" w:rsidRDefault="006A3667">
            <w:pPr>
              <w:rPr>
                <w:rFonts w:ascii="宋体"/>
              </w:rPr>
            </w:pPr>
          </w:p>
        </w:tc>
        <w:tc>
          <w:tcPr>
            <w:tcW w:w="5" w:type="pct"/>
            <w:shd w:val="clear" w:color="auto" w:fill="auto"/>
            <w:vAlign w:val="bottom"/>
          </w:tcPr>
          <w:p w14:paraId="71D43C9D" w14:textId="77777777" w:rsidR="006A3667" w:rsidRDefault="006A3667">
            <w:pPr>
              <w:rPr>
                <w:rFonts w:ascii="宋体"/>
              </w:rPr>
            </w:pPr>
          </w:p>
        </w:tc>
        <w:tc>
          <w:tcPr>
            <w:tcW w:w="50" w:type="pct"/>
            <w:shd w:val="clear" w:color="auto" w:fill="auto"/>
            <w:vAlign w:val="bottom"/>
          </w:tcPr>
          <w:p w14:paraId="71D43C9E" w14:textId="77777777" w:rsidR="006A3667" w:rsidRDefault="006A3667">
            <w:pPr>
              <w:rPr>
                <w:rFonts w:ascii="宋体"/>
              </w:rPr>
            </w:pPr>
          </w:p>
        </w:tc>
        <w:tc>
          <w:tcPr>
            <w:tcW w:w="434" w:type="pct"/>
            <w:shd w:val="clear" w:color="auto" w:fill="auto"/>
            <w:vAlign w:val="bottom"/>
          </w:tcPr>
          <w:p w14:paraId="71D43C9F" w14:textId="77777777" w:rsidR="006A3667" w:rsidRDefault="006A3667">
            <w:pPr>
              <w:rPr>
                <w:rFonts w:ascii="宋体"/>
              </w:rPr>
            </w:pPr>
          </w:p>
        </w:tc>
        <w:tc>
          <w:tcPr>
            <w:tcW w:w="5" w:type="pct"/>
            <w:shd w:val="clear" w:color="auto" w:fill="auto"/>
            <w:vAlign w:val="bottom"/>
          </w:tcPr>
          <w:p w14:paraId="71D43CA0" w14:textId="77777777" w:rsidR="006A3667" w:rsidRDefault="006A3667">
            <w:pPr>
              <w:rPr>
                <w:rFonts w:ascii="宋体"/>
              </w:rPr>
            </w:pPr>
          </w:p>
        </w:tc>
        <w:tc>
          <w:tcPr>
            <w:tcW w:w="5" w:type="pct"/>
            <w:shd w:val="clear" w:color="auto" w:fill="auto"/>
            <w:vAlign w:val="bottom"/>
          </w:tcPr>
          <w:p w14:paraId="71D43CA1" w14:textId="77777777" w:rsidR="006A3667" w:rsidRDefault="006A3667">
            <w:pPr>
              <w:rPr>
                <w:rFonts w:ascii="宋体"/>
              </w:rPr>
            </w:pPr>
          </w:p>
        </w:tc>
        <w:tc>
          <w:tcPr>
            <w:tcW w:w="19" w:type="pct"/>
            <w:shd w:val="clear" w:color="auto" w:fill="auto"/>
            <w:vAlign w:val="bottom"/>
          </w:tcPr>
          <w:p w14:paraId="71D43CA2" w14:textId="77777777" w:rsidR="006A3667" w:rsidRDefault="006A3667">
            <w:pPr>
              <w:rPr>
                <w:rFonts w:ascii="宋体"/>
              </w:rPr>
            </w:pPr>
          </w:p>
        </w:tc>
        <w:tc>
          <w:tcPr>
            <w:tcW w:w="5" w:type="pct"/>
            <w:shd w:val="clear" w:color="auto" w:fill="auto"/>
            <w:vAlign w:val="bottom"/>
          </w:tcPr>
          <w:p w14:paraId="71D43CA3" w14:textId="77777777" w:rsidR="006A3667" w:rsidRDefault="006A3667">
            <w:pPr>
              <w:rPr>
                <w:rFonts w:ascii="宋体"/>
              </w:rPr>
            </w:pPr>
          </w:p>
        </w:tc>
        <w:tc>
          <w:tcPr>
            <w:tcW w:w="50" w:type="pct"/>
            <w:shd w:val="clear" w:color="auto" w:fill="auto"/>
            <w:vAlign w:val="bottom"/>
          </w:tcPr>
          <w:p w14:paraId="71D43CA4" w14:textId="77777777" w:rsidR="006A3667" w:rsidRDefault="006A3667">
            <w:pPr>
              <w:rPr>
                <w:rFonts w:ascii="宋体"/>
              </w:rPr>
            </w:pPr>
          </w:p>
        </w:tc>
        <w:tc>
          <w:tcPr>
            <w:tcW w:w="295" w:type="pct"/>
            <w:shd w:val="clear" w:color="auto" w:fill="auto"/>
            <w:vAlign w:val="bottom"/>
          </w:tcPr>
          <w:p w14:paraId="71D43CA5" w14:textId="77777777" w:rsidR="006A3667" w:rsidRDefault="006A3667">
            <w:pPr>
              <w:rPr>
                <w:rFonts w:ascii="宋体"/>
              </w:rPr>
            </w:pPr>
          </w:p>
        </w:tc>
        <w:tc>
          <w:tcPr>
            <w:tcW w:w="5" w:type="pct"/>
            <w:shd w:val="clear" w:color="auto" w:fill="auto"/>
            <w:vAlign w:val="bottom"/>
          </w:tcPr>
          <w:p w14:paraId="71D43CA6" w14:textId="77777777" w:rsidR="006A3667" w:rsidRDefault="006A3667">
            <w:pPr>
              <w:rPr>
                <w:rFonts w:ascii="宋体"/>
              </w:rPr>
            </w:pPr>
          </w:p>
        </w:tc>
        <w:tc>
          <w:tcPr>
            <w:tcW w:w="5" w:type="pct"/>
            <w:shd w:val="clear" w:color="auto" w:fill="auto"/>
            <w:vAlign w:val="bottom"/>
          </w:tcPr>
          <w:p w14:paraId="71D43CA7" w14:textId="77777777" w:rsidR="006A3667" w:rsidRDefault="006A3667">
            <w:pPr>
              <w:rPr>
                <w:rFonts w:ascii="宋体"/>
              </w:rPr>
            </w:pPr>
          </w:p>
        </w:tc>
        <w:tc>
          <w:tcPr>
            <w:tcW w:w="19" w:type="pct"/>
            <w:shd w:val="clear" w:color="auto" w:fill="auto"/>
            <w:vAlign w:val="bottom"/>
          </w:tcPr>
          <w:p w14:paraId="71D43CA8" w14:textId="77777777" w:rsidR="006A3667" w:rsidRDefault="006A3667">
            <w:pPr>
              <w:rPr>
                <w:rFonts w:ascii="宋体"/>
              </w:rPr>
            </w:pPr>
          </w:p>
        </w:tc>
        <w:tc>
          <w:tcPr>
            <w:tcW w:w="5" w:type="pct"/>
            <w:shd w:val="clear" w:color="auto" w:fill="auto"/>
            <w:vAlign w:val="bottom"/>
          </w:tcPr>
          <w:p w14:paraId="71D43CA9" w14:textId="77777777" w:rsidR="006A3667" w:rsidRDefault="006A3667">
            <w:pPr>
              <w:rPr>
                <w:rFonts w:ascii="宋体"/>
              </w:rPr>
            </w:pPr>
          </w:p>
        </w:tc>
        <w:tc>
          <w:tcPr>
            <w:tcW w:w="0" w:type="auto"/>
            <w:gridSpan w:val="3"/>
            <w:shd w:val="clear" w:color="auto" w:fill="auto"/>
            <w:vAlign w:val="bottom"/>
          </w:tcPr>
          <w:p w14:paraId="71D43CAA" w14:textId="77777777" w:rsidR="006A3667" w:rsidRDefault="006A3667">
            <w:pPr>
              <w:rPr>
                <w:rFonts w:ascii="宋体"/>
                <w:vanish/>
              </w:rPr>
            </w:pPr>
          </w:p>
        </w:tc>
        <w:tc>
          <w:tcPr>
            <w:tcW w:w="0" w:type="auto"/>
            <w:gridSpan w:val="3"/>
            <w:shd w:val="clear" w:color="auto" w:fill="auto"/>
            <w:vAlign w:val="bottom"/>
          </w:tcPr>
          <w:p w14:paraId="71D43CAB" w14:textId="77777777" w:rsidR="006A3667" w:rsidRDefault="006A3667">
            <w:pPr>
              <w:rPr>
                <w:rFonts w:ascii="宋体"/>
                <w:vanish/>
              </w:rPr>
            </w:pPr>
          </w:p>
        </w:tc>
        <w:tc>
          <w:tcPr>
            <w:tcW w:w="50" w:type="pct"/>
            <w:shd w:val="clear" w:color="auto" w:fill="auto"/>
            <w:vAlign w:val="bottom"/>
          </w:tcPr>
          <w:p w14:paraId="71D43CAC" w14:textId="77777777" w:rsidR="006A3667" w:rsidRDefault="006A3667">
            <w:pPr>
              <w:rPr>
                <w:rFonts w:ascii="宋体"/>
              </w:rPr>
            </w:pPr>
          </w:p>
        </w:tc>
        <w:tc>
          <w:tcPr>
            <w:tcW w:w="200" w:type="pct"/>
            <w:shd w:val="clear" w:color="auto" w:fill="auto"/>
            <w:vAlign w:val="bottom"/>
          </w:tcPr>
          <w:p w14:paraId="71D43CAD" w14:textId="77777777" w:rsidR="006A3667" w:rsidRDefault="006A3667">
            <w:pPr>
              <w:rPr>
                <w:rFonts w:ascii="宋体"/>
              </w:rPr>
            </w:pPr>
          </w:p>
        </w:tc>
        <w:tc>
          <w:tcPr>
            <w:tcW w:w="5" w:type="pct"/>
            <w:shd w:val="clear" w:color="auto" w:fill="auto"/>
            <w:vAlign w:val="bottom"/>
          </w:tcPr>
          <w:p w14:paraId="71D43CAE" w14:textId="77777777" w:rsidR="006A3667" w:rsidRDefault="006A3667">
            <w:pPr>
              <w:rPr>
                <w:rFonts w:ascii="宋体"/>
              </w:rPr>
            </w:pPr>
          </w:p>
        </w:tc>
        <w:tc>
          <w:tcPr>
            <w:tcW w:w="5" w:type="pct"/>
            <w:shd w:val="clear" w:color="auto" w:fill="auto"/>
            <w:vAlign w:val="bottom"/>
          </w:tcPr>
          <w:p w14:paraId="71D43CAF" w14:textId="77777777" w:rsidR="006A3667" w:rsidRDefault="006A3667">
            <w:pPr>
              <w:rPr>
                <w:rFonts w:ascii="宋体"/>
              </w:rPr>
            </w:pPr>
          </w:p>
        </w:tc>
        <w:tc>
          <w:tcPr>
            <w:tcW w:w="19" w:type="pct"/>
            <w:shd w:val="clear" w:color="auto" w:fill="auto"/>
            <w:vAlign w:val="bottom"/>
          </w:tcPr>
          <w:p w14:paraId="71D43CB0" w14:textId="77777777" w:rsidR="006A3667" w:rsidRDefault="006A3667">
            <w:pPr>
              <w:rPr>
                <w:rFonts w:ascii="宋体"/>
              </w:rPr>
            </w:pPr>
          </w:p>
        </w:tc>
        <w:tc>
          <w:tcPr>
            <w:tcW w:w="5" w:type="pct"/>
            <w:shd w:val="clear" w:color="auto" w:fill="auto"/>
            <w:vAlign w:val="bottom"/>
          </w:tcPr>
          <w:p w14:paraId="71D43CB1" w14:textId="77777777" w:rsidR="006A3667" w:rsidRDefault="006A3667">
            <w:pPr>
              <w:rPr>
                <w:rFonts w:ascii="宋体"/>
              </w:rPr>
            </w:pPr>
          </w:p>
        </w:tc>
        <w:tc>
          <w:tcPr>
            <w:tcW w:w="50" w:type="pct"/>
            <w:shd w:val="clear" w:color="auto" w:fill="auto"/>
            <w:vAlign w:val="bottom"/>
          </w:tcPr>
          <w:p w14:paraId="71D43CB2" w14:textId="77777777" w:rsidR="006A3667" w:rsidRDefault="006A3667">
            <w:pPr>
              <w:rPr>
                <w:rFonts w:ascii="宋体"/>
              </w:rPr>
            </w:pPr>
          </w:p>
        </w:tc>
        <w:tc>
          <w:tcPr>
            <w:tcW w:w="332" w:type="pct"/>
            <w:shd w:val="clear" w:color="auto" w:fill="auto"/>
            <w:vAlign w:val="bottom"/>
          </w:tcPr>
          <w:p w14:paraId="71D43CB3" w14:textId="77777777" w:rsidR="006A3667" w:rsidRDefault="006A3667">
            <w:pPr>
              <w:rPr>
                <w:rFonts w:ascii="宋体"/>
              </w:rPr>
            </w:pPr>
          </w:p>
        </w:tc>
        <w:tc>
          <w:tcPr>
            <w:tcW w:w="5" w:type="pct"/>
            <w:shd w:val="clear" w:color="auto" w:fill="auto"/>
            <w:vAlign w:val="bottom"/>
          </w:tcPr>
          <w:p w14:paraId="71D43CB4" w14:textId="77777777" w:rsidR="006A3667" w:rsidRDefault="006A3667">
            <w:pPr>
              <w:rPr>
                <w:rFonts w:ascii="宋体"/>
              </w:rPr>
            </w:pPr>
          </w:p>
        </w:tc>
        <w:tc>
          <w:tcPr>
            <w:tcW w:w="5" w:type="pct"/>
            <w:shd w:val="clear" w:color="auto" w:fill="auto"/>
            <w:vAlign w:val="bottom"/>
          </w:tcPr>
          <w:p w14:paraId="71D43CB5" w14:textId="77777777" w:rsidR="006A3667" w:rsidRDefault="006A3667">
            <w:pPr>
              <w:rPr>
                <w:rFonts w:ascii="宋体"/>
              </w:rPr>
            </w:pPr>
          </w:p>
        </w:tc>
        <w:tc>
          <w:tcPr>
            <w:tcW w:w="19" w:type="pct"/>
            <w:shd w:val="clear" w:color="auto" w:fill="auto"/>
            <w:vAlign w:val="bottom"/>
          </w:tcPr>
          <w:p w14:paraId="71D43CB6" w14:textId="77777777" w:rsidR="006A3667" w:rsidRDefault="006A3667">
            <w:pPr>
              <w:rPr>
                <w:rFonts w:ascii="宋体"/>
              </w:rPr>
            </w:pPr>
          </w:p>
        </w:tc>
        <w:tc>
          <w:tcPr>
            <w:tcW w:w="5" w:type="pct"/>
            <w:shd w:val="clear" w:color="auto" w:fill="auto"/>
            <w:vAlign w:val="bottom"/>
          </w:tcPr>
          <w:p w14:paraId="71D43CB7" w14:textId="77777777" w:rsidR="006A3667" w:rsidRDefault="006A3667">
            <w:pPr>
              <w:rPr>
                <w:rFonts w:ascii="宋体"/>
              </w:rPr>
            </w:pPr>
          </w:p>
        </w:tc>
        <w:tc>
          <w:tcPr>
            <w:tcW w:w="50" w:type="pct"/>
            <w:shd w:val="clear" w:color="auto" w:fill="auto"/>
            <w:vAlign w:val="bottom"/>
          </w:tcPr>
          <w:p w14:paraId="71D43CB8" w14:textId="77777777" w:rsidR="006A3667" w:rsidRDefault="006A3667">
            <w:pPr>
              <w:rPr>
                <w:rFonts w:ascii="宋体"/>
              </w:rPr>
            </w:pPr>
          </w:p>
        </w:tc>
        <w:tc>
          <w:tcPr>
            <w:tcW w:w="266" w:type="pct"/>
            <w:shd w:val="clear" w:color="auto" w:fill="auto"/>
            <w:vAlign w:val="bottom"/>
          </w:tcPr>
          <w:p w14:paraId="71D43CB9" w14:textId="77777777" w:rsidR="006A3667" w:rsidRDefault="006A3667">
            <w:pPr>
              <w:rPr>
                <w:rFonts w:ascii="宋体"/>
              </w:rPr>
            </w:pPr>
          </w:p>
        </w:tc>
        <w:tc>
          <w:tcPr>
            <w:tcW w:w="5" w:type="pct"/>
            <w:shd w:val="clear" w:color="auto" w:fill="auto"/>
            <w:vAlign w:val="bottom"/>
          </w:tcPr>
          <w:p w14:paraId="71D43CBA" w14:textId="77777777" w:rsidR="006A3667" w:rsidRDefault="006A3667">
            <w:pPr>
              <w:rPr>
                <w:rFonts w:ascii="宋体"/>
              </w:rPr>
            </w:pPr>
          </w:p>
        </w:tc>
        <w:tc>
          <w:tcPr>
            <w:tcW w:w="5" w:type="pct"/>
            <w:shd w:val="clear" w:color="auto" w:fill="auto"/>
            <w:vAlign w:val="bottom"/>
          </w:tcPr>
          <w:p w14:paraId="71D43CBB" w14:textId="77777777" w:rsidR="006A3667" w:rsidRDefault="006A3667">
            <w:pPr>
              <w:rPr>
                <w:rFonts w:ascii="宋体"/>
              </w:rPr>
            </w:pPr>
          </w:p>
        </w:tc>
        <w:tc>
          <w:tcPr>
            <w:tcW w:w="19" w:type="pct"/>
            <w:shd w:val="clear" w:color="auto" w:fill="auto"/>
            <w:vAlign w:val="bottom"/>
          </w:tcPr>
          <w:p w14:paraId="71D43CBC" w14:textId="77777777" w:rsidR="006A3667" w:rsidRDefault="006A3667">
            <w:pPr>
              <w:rPr>
                <w:rFonts w:ascii="宋体"/>
              </w:rPr>
            </w:pPr>
          </w:p>
        </w:tc>
        <w:tc>
          <w:tcPr>
            <w:tcW w:w="5" w:type="pct"/>
            <w:shd w:val="clear" w:color="auto" w:fill="auto"/>
            <w:vAlign w:val="bottom"/>
          </w:tcPr>
          <w:p w14:paraId="71D43CBD" w14:textId="77777777" w:rsidR="006A3667" w:rsidRDefault="006A3667">
            <w:pPr>
              <w:rPr>
                <w:rFonts w:ascii="宋体"/>
              </w:rPr>
            </w:pPr>
          </w:p>
        </w:tc>
        <w:tc>
          <w:tcPr>
            <w:tcW w:w="50" w:type="pct"/>
            <w:shd w:val="clear" w:color="auto" w:fill="auto"/>
            <w:vAlign w:val="bottom"/>
          </w:tcPr>
          <w:p w14:paraId="71D43CBE" w14:textId="77777777" w:rsidR="006A3667" w:rsidRDefault="006A3667">
            <w:pPr>
              <w:rPr>
                <w:rFonts w:ascii="宋体"/>
              </w:rPr>
            </w:pPr>
          </w:p>
        </w:tc>
        <w:tc>
          <w:tcPr>
            <w:tcW w:w="266" w:type="pct"/>
            <w:shd w:val="clear" w:color="auto" w:fill="auto"/>
            <w:vAlign w:val="bottom"/>
          </w:tcPr>
          <w:p w14:paraId="71D43CBF" w14:textId="77777777" w:rsidR="006A3667" w:rsidRDefault="006A3667">
            <w:pPr>
              <w:rPr>
                <w:rFonts w:ascii="宋体"/>
              </w:rPr>
            </w:pPr>
          </w:p>
        </w:tc>
        <w:tc>
          <w:tcPr>
            <w:tcW w:w="5" w:type="pct"/>
            <w:shd w:val="clear" w:color="auto" w:fill="auto"/>
            <w:vAlign w:val="bottom"/>
          </w:tcPr>
          <w:p w14:paraId="71D43CC0" w14:textId="77777777" w:rsidR="006A3667" w:rsidRDefault="006A3667">
            <w:pPr>
              <w:rPr>
                <w:rFonts w:ascii="宋体"/>
              </w:rPr>
            </w:pPr>
          </w:p>
        </w:tc>
        <w:tc>
          <w:tcPr>
            <w:tcW w:w="5" w:type="pct"/>
            <w:shd w:val="clear" w:color="auto" w:fill="auto"/>
            <w:vAlign w:val="bottom"/>
          </w:tcPr>
          <w:p w14:paraId="71D43CC1" w14:textId="77777777" w:rsidR="006A3667" w:rsidRDefault="006A3667">
            <w:pPr>
              <w:rPr>
                <w:rFonts w:ascii="宋体"/>
              </w:rPr>
            </w:pPr>
          </w:p>
        </w:tc>
        <w:tc>
          <w:tcPr>
            <w:tcW w:w="19" w:type="pct"/>
            <w:shd w:val="clear" w:color="auto" w:fill="auto"/>
            <w:vAlign w:val="bottom"/>
          </w:tcPr>
          <w:p w14:paraId="71D43CC2" w14:textId="77777777" w:rsidR="006A3667" w:rsidRDefault="006A3667">
            <w:pPr>
              <w:rPr>
                <w:rFonts w:ascii="宋体"/>
              </w:rPr>
            </w:pPr>
          </w:p>
        </w:tc>
        <w:tc>
          <w:tcPr>
            <w:tcW w:w="5" w:type="pct"/>
            <w:shd w:val="clear" w:color="auto" w:fill="auto"/>
            <w:vAlign w:val="bottom"/>
          </w:tcPr>
          <w:p w14:paraId="71D43CC3" w14:textId="77777777" w:rsidR="006A3667" w:rsidRDefault="006A3667">
            <w:pPr>
              <w:rPr>
                <w:rFonts w:ascii="宋体"/>
              </w:rPr>
            </w:pPr>
          </w:p>
        </w:tc>
        <w:tc>
          <w:tcPr>
            <w:tcW w:w="50" w:type="pct"/>
            <w:shd w:val="clear" w:color="auto" w:fill="auto"/>
            <w:vAlign w:val="bottom"/>
          </w:tcPr>
          <w:p w14:paraId="71D43CC4" w14:textId="77777777" w:rsidR="006A3667" w:rsidRDefault="006A3667">
            <w:pPr>
              <w:rPr>
                <w:rFonts w:ascii="宋体"/>
              </w:rPr>
            </w:pPr>
          </w:p>
        </w:tc>
        <w:tc>
          <w:tcPr>
            <w:tcW w:w="405" w:type="pct"/>
            <w:shd w:val="clear" w:color="auto" w:fill="auto"/>
            <w:vAlign w:val="bottom"/>
          </w:tcPr>
          <w:p w14:paraId="71D43CC5" w14:textId="77777777" w:rsidR="006A3667" w:rsidRDefault="006A3667">
            <w:pPr>
              <w:rPr>
                <w:rFonts w:ascii="宋体"/>
              </w:rPr>
            </w:pPr>
          </w:p>
        </w:tc>
        <w:tc>
          <w:tcPr>
            <w:tcW w:w="5" w:type="pct"/>
            <w:shd w:val="clear" w:color="auto" w:fill="auto"/>
            <w:vAlign w:val="bottom"/>
          </w:tcPr>
          <w:p w14:paraId="71D43CC6" w14:textId="77777777" w:rsidR="006A3667" w:rsidRDefault="006A3667">
            <w:pPr>
              <w:rPr>
                <w:rFonts w:ascii="宋体"/>
              </w:rPr>
            </w:pPr>
          </w:p>
        </w:tc>
        <w:tc>
          <w:tcPr>
            <w:tcW w:w="5" w:type="pct"/>
            <w:shd w:val="clear" w:color="auto" w:fill="auto"/>
            <w:vAlign w:val="bottom"/>
          </w:tcPr>
          <w:p w14:paraId="71D43CC7" w14:textId="77777777" w:rsidR="006A3667" w:rsidRDefault="006A3667">
            <w:pPr>
              <w:rPr>
                <w:rFonts w:ascii="宋体"/>
              </w:rPr>
            </w:pPr>
          </w:p>
        </w:tc>
        <w:tc>
          <w:tcPr>
            <w:tcW w:w="19" w:type="pct"/>
            <w:shd w:val="clear" w:color="auto" w:fill="auto"/>
            <w:vAlign w:val="bottom"/>
          </w:tcPr>
          <w:p w14:paraId="71D43CC8" w14:textId="77777777" w:rsidR="006A3667" w:rsidRDefault="006A3667">
            <w:pPr>
              <w:rPr>
                <w:rFonts w:ascii="宋体"/>
              </w:rPr>
            </w:pPr>
          </w:p>
        </w:tc>
        <w:tc>
          <w:tcPr>
            <w:tcW w:w="5" w:type="pct"/>
            <w:shd w:val="clear" w:color="auto" w:fill="auto"/>
            <w:vAlign w:val="bottom"/>
          </w:tcPr>
          <w:p w14:paraId="71D43CC9" w14:textId="77777777" w:rsidR="006A3667" w:rsidRDefault="006A3667">
            <w:pPr>
              <w:rPr>
                <w:rFonts w:ascii="宋体"/>
              </w:rPr>
            </w:pPr>
          </w:p>
        </w:tc>
      </w:tr>
      <w:tr w:rsidR="006A3667" w14:paraId="71D43CE1" w14:textId="77777777">
        <w:trPr>
          <w:trHeight w:val="60"/>
        </w:trPr>
        <w:tc>
          <w:tcPr>
            <w:tcW w:w="0" w:type="auto"/>
            <w:gridSpan w:val="3"/>
            <w:shd w:val="clear" w:color="auto" w:fill="auto"/>
            <w:tcMar>
              <w:top w:w="0" w:type="dxa"/>
              <w:left w:w="20" w:type="dxa"/>
              <w:bottom w:w="0" w:type="dxa"/>
              <w:right w:w="20" w:type="dxa"/>
            </w:tcMar>
            <w:vAlign w:val="bottom"/>
          </w:tcPr>
          <w:p w14:paraId="71D43CC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C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C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C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C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3" w14:textId="77777777" w:rsidR="006A3667" w:rsidRDefault="006A3667">
            <w:pPr>
              <w:rPr>
                <w:rFonts w:ascii="宋体"/>
              </w:rPr>
            </w:pPr>
          </w:p>
        </w:tc>
        <w:tc>
          <w:tcPr>
            <w:tcW w:w="0" w:type="auto"/>
            <w:gridSpan w:val="3"/>
            <w:shd w:val="clear" w:color="auto" w:fill="auto"/>
            <w:vAlign w:val="bottom"/>
          </w:tcPr>
          <w:p w14:paraId="71D43CD4" w14:textId="77777777" w:rsidR="006A3667" w:rsidRDefault="006A3667">
            <w:pPr>
              <w:rPr>
                <w:rFonts w:ascii="宋体"/>
                <w:vanish/>
              </w:rPr>
            </w:pPr>
          </w:p>
        </w:tc>
        <w:tc>
          <w:tcPr>
            <w:tcW w:w="0" w:type="auto"/>
            <w:gridSpan w:val="3"/>
            <w:shd w:val="clear" w:color="auto" w:fill="auto"/>
            <w:vAlign w:val="bottom"/>
          </w:tcPr>
          <w:p w14:paraId="71D43CD5"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3CD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3CDE"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3CDF" w14:textId="77777777" w:rsidR="006A3667" w:rsidRDefault="006A3667">
            <w:pPr>
              <w:rPr>
                <w:rFonts w:ascii="宋体"/>
              </w:rPr>
            </w:pPr>
          </w:p>
        </w:tc>
        <w:tc>
          <w:tcPr>
            <w:tcW w:w="0" w:type="auto"/>
            <w:shd w:val="clear" w:color="auto" w:fill="auto"/>
            <w:tcMar>
              <w:top w:w="0" w:type="dxa"/>
              <w:left w:w="20" w:type="dxa"/>
              <w:bottom w:w="0" w:type="dxa"/>
              <w:right w:w="20" w:type="dxa"/>
            </w:tcMar>
            <w:vAlign w:val="bottom"/>
          </w:tcPr>
          <w:p w14:paraId="71D43CE0" w14:textId="77777777" w:rsidR="006A3667" w:rsidRDefault="006A3667">
            <w:pPr>
              <w:rPr>
                <w:rFonts w:ascii="宋体"/>
              </w:rPr>
            </w:pPr>
          </w:p>
        </w:tc>
      </w:tr>
      <w:tr w:rsidR="006A3667" w14:paraId="71D43D1D" w14:textId="77777777">
        <w:trPr>
          <w:hidden/>
        </w:trPr>
        <w:tc>
          <w:tcPr>
            <w:tcW w:w="0" w:type="auto"/>
            <w:gridSpan w:val="3"/>
            <w:shd w:val="clear" w:color="auto" w:fill="auto"/>
            <w:vAlign w:val="bottom"/>
          </w:tcPr>
          <w:p w14:paraId="71D43CE2" w14:textId="77777777" w:rsidR="006A3667" w:rsidRDefault="006A3667">
            <w:pPr>
              <w:rPr>
                <w:rFonts w:ascii="宋体"/>
                <w:vanish/>
              </w:rPr>
            </w:pPr>
          </w:p>
        </w:tc>
        <w:tc>
          <w:tcPr>
            <w:tcW w:w="0" w:type="auto"/>
            <w:gridSpan w:val="3"/>
            <w:shd w:val="clear" w:color="auto" w:fill="auto"/>
            <w:vAlign w:val="bottom"/>
          </w:tcPr>
          <w:p w14:paraId="71D43CE3" w14:textId="77777777" w:rsidR="006A3667" w:rsidRDefault="006A3667">
            <w:pPr>
              <w:rPr>
                <w:rFonts w:ascii="宋体"/>
                <w:vanish/>
              </w:rPr>
            </w:pPr>
          </w:p>
        </w:tc>
        <w:tc>
          <w:tcPr>
            <w:tcW w:w="0" w:type="auto"/>
            <w:shd w:val="clear" w:color="auto" w:fill="auto"/>
            <w:vAlign w:val="bottom"/>
          </w:tcPr>
          <w:p w14:paraId="71D43CE4" w14:textId="77777777" w:rsidR="006A3667" w:rsidRDefault="006A3667">
            <w:pPr>
              <w:rPr>
                <w:rFonts w:ascii="宋体"/>
              </w:rPr>
            </w:pPr>
          </w:p>
        </w:tc>
        <w:tc>
          <w:tcPr>
            <w:tcW w:w="0" w:type="auto"/>
            <w:shd w:val="clear" w:color="auto" w:fill="auto"/>
            <w:vAlign w:val="bottom"/>
          </w:tcPr>
          <w:p w14:paraId="71D43CE5" w14:textId="77777777" w:rsidR="006A3667" w:rsidRDefault="006A3667">
            <w:pPr>
              <w:rPr>
                <w:rFonts w:ascii="宋体"/>
              </w:rPr>
            </w:pPr>
          </w:p>
        </w:tc>
        <w:tc>
          <w:tcPr>
            <w:tcW w:w="0" w:type="auto"/>
            <w:shd w:val="clear" w:color="auto" w:fill="auto"/>
            <w:vAlign w:val="bottom"/>
          </w:tcPr>
          <w:p w14:paraId="71D43CE6" w14:textId="77777777" w:rsidR="006A3667" w:rsidRDefault="006A3667">
            <w:pPr>
              <w:rPr>
                <w:rFonts w:ascii="宋体"/>
              </w:rPr>
            </w:pPr>
          </w:p>
        </w:tc>
        <w:tc>
          <w:tcPr>
            <w:tcW w:w="0" w:type="auto"/>
            <w:shd w:val="clear" w:color="auto" w:fill="auto"/>
            <w:vAlign w:val="bottom"/>
          </w:tcPr>
          <w:p w14:paraId="71D43CE7" w14:textId="77777777" w:rsidR="006A3667" w:rsidRDefault="006A3667">
            <w:pPr>
              <w:rPr>
                <w:rFonts w:ascii="宋体"/>
              </w:rPr>
            </w:pPr>
          </w:p>
        </w:tc>
        <w:tc>
          <w:tcPr>
            <w:tcW w:w="0" w:type="auto"/>
            <w:shd w:val="clear" w:color="auto" w:fill="auto"/>
            <w:vAlign w:val="bottom"/>
          </w:tcPr>
          <w:p w14:paraId="71D43CE8" w14:textId="77777777" w:rsidR="006A3667" w:rsidRDefault="006A3667">
            <w:pPr>
              <w:rPr>
                <w:rFonts w:ascii="宋体"/>
              </w:rPr>
            </w:pPr>
          </w:p>
        </w:tc>
        <w:tc>
          <w:tcPr>
            <w:tcW w:w="0" w:type="auto"/>
            <w:shd w:val="clear" w:color="auto" w:fill="auto"/>
            <w:vAlign w:val="bottom"/>
          </w:tcPr>
          <w:p w14:paraId="71D43CE9" w14:textId="77777777" w:rsidR="006A3667" w:rsidRDefault="006A3667">
            <w:pPr>
              <w:rPr>
                <w:rFonts w:ascii="宋体"/>
              </w:rPr>
            </w:pPr>
          </w:p>
        </w:tc>
        <w:tc>
          <w:tcPr>
            <w:tcW w:w="0" w:type="auto"/>
            <w:shd w:val="clear" w:color="auto" w:fill="auto"/>
            <w:vAlign w:val="bottom"/>
          </w:tcPr>
          <w:p w14:paraId="71D43CEA" w14:textId="77777777" w:rsidR="006A3667" w:rsidRDefault="006A3667">
            <w:pPr>
              <w:rPr>
                <w:rFonts w:ascii="宋体"/>
              </w:rPr>
            </w:pPr>
          </w:p>
        </w:tc>
        <w:tc>
          <w:tcPr>
            <w:tcW w:w="0" w:type="auto"/>
            <w:shd w:val="clear" w:color="auto" w:fill="auto"/>
            <w:vAlign w:val="bottom"/>
          </w:tcPr>
          <w:p w14:paraId="71D43CEB" w14:textId="77777777" w:rsidR="006A3667" w:rsidRDefault="006A3667">
            <w:pPr>
              <w:rPr>
                <w:rFonts w:ascii="宋体"/>
              </w:rPr>
            </w:pPr>
          </w:p>
        </w:tc>
        <w:tc>
          <w:tcPr>
            <w:tcW w:w="0" w:type="auto"/>
            <w:shd w:val="clear" w:color="auto" w:fill="auto"/>
            <w:vAlign w:val="bottom"/>
          </w:tcPr>
          <w:p w14:paraId="71D43CEC" w14:textId="77777777" w:rsidR="006A3667" w:rsidRDefault="006A3667">
            <w:pPr>
              <w:rPr>
                <w:rFonts w:ascii="宋体"/>
              </w:rPr>
            </w:pPr>
          </w:p>
        </w:tc>
        <w:tc>
          <w:tcPr>
            <w:tcW w:w="0" w:type="auto"/>
            <w:shd w:val="clear" w:color="auto" w:fill="auto"/>
            <w:vAlign w:val="bottom"/>
          </w:tcPr>
          <w:p w14:paraId="71D43CED" w14:textId="77777777" w:rsidR="006A3667" w:rsidRDefault="006A3667">
            <w:pPr>
              <w:rPr>
                <w:rFonts w:ascii="宋体"/>
              </w:rPr>
            </w:pPr>
          </w:p>
        </w:tc>
        <w:tc>
          <w:tcPr>
            <w:tcW w:w="0" w:type="auto"/>
            <w:shd w:val="clear" w:color="auto" w:fill="auto"/>
            <w:vAlign w:val="bottom"/>
          </w:tcPr>
          <w:p w14:paraId="71D43CEE" w14:textId="77777777" w:rsidR="006A3667" w:rsidRDefault="006A3667">
            <w:pPr>
              <w:rPr>
                <w:rFonts w:ascii="宋体"/>
              </w:rPr>
            </w:pPr>
          </w:p>
        </w:tc>
        <w:tc>
          <w:tcPr>
            <w:tcW w:w="0" w:type="auto"/>
            <w:shd w:val="clear" w:color="auto" w:fill="auto"/>
            <w:vAlign w:val="bottom"/>
          </w:tcPr>
          <w:p w14:paraId="71D43CEF" w14:textId="77777777" w:rsidR="006A3667" w:rsidRDefault="006A3667">
            <w:pPr>
              <w:rPr>
                <w:rFonts w:ascii="宋体"/>
              </w:rPr>
            </w:pPr>
          </w:p>
        </w:tc>
        <w:tc>
          <w:tcPr>
            <w:tcW w:w="0" w:type="auto"/>
            <w:shd w:val="clear" w:color="auto" w:fill="auto"/>
            <w:vAlign w:val="bottom"/>
          </w:tcPr>
          <w:p w14:paraId="71D43CF0" w14:textId="77777777" w:rsidR="006A3667" w:rsidRDefault="006A3667">
            <w:pPr>
              <w:rPr>
                <w:rFonts w:ascii="宋体"/>
              </w:rPr>
            </w:pPr>
          </w:p>
        </w:tc>
        <w:tc>
          <w:tcPr>
            <w:tcW w:w="0" w:type="auto"/>
            <w:shd w:val="clear" w:color="auto" w:fill="auto"/>
            <w:vAlign w:val="bottom"/>
          </w:tcPr>
          <w:p w14:paraId="71D43CF1" w14:textId="77777777" w:rsidR="006A3667" w:rsidRDefault="006A3667">
            <w:pPr>
              <w:rPr>
                <w:rFonts w:ascii="宋体"/>
              </w:rPr>
            </w:pPr>
          </w:p>
        </w:tc>
        <w:tc>
          <w:tcPr>
            <w:tcW w:w="0" w:type="auto"/>
            <w:shd w:val="clear" w:color="auto" w:fill="auto"/>
            <w:vAlign w:val="bottom"/>
          </w:tcPr>
          <w:p w14:paraId="71D43CF2" w14:textId="77777777" w:rsidR="006A3667" w:rsidRDefault="006A3667">
            <w:pPr>
              <w:rPr>
                <w:rFonts w:ascii="宋体"/>
              </w:rPr>
            </w:pPr>
          </w:p>
        </w:tc>
        <w:tc>
          <w:tcPr>
            <w:tcW w:w="0" w:type="auto"/>
            <w:shd w:val="clear" w:color="auto" w:fill="auto"/>
            <w:vAlign w:val="bottom"/>
          </w:tcPr>
          <w:p w14:paraId="71D43CF3" w14:textId="77777777" w:rsidR="006A3667" w:rsidRDefault="006A3667">
            <w:pPr>
              <w:rPr>
                <w:rFonts w:ascii="宋体"/>
              </w:rPr>
            </w:pPr>
          </w:p>
        </w:tc>
        <w:tc>
          <w:tcPr>
            <w:tcW w:w="0" w:type="auto"/>
            <w:shd w:val="clear" w:color="auto" w:fill="auto"/>
            <w:vAlign w:val="bottom"/>
          </w:tcPr>
          <w:p w14:paraId="71D43CF4" w14:textId="77777777" w:rsidR="006A3667" w:rsidRDefault="006A3667">
            <w:pPr>
              <w:rPr>
                <w:rFonts w:ascii="宋体"/>
              </w:rPr>
            </w:pPr>
          </w:p>
        </w:tc>
        <w:tc>
          <w:tcPr>
            <w:tcW w:w="0" w:type="auto"/>
            <w:shd w:val="clear" w:color="auto" w:fill="auto"/>
            <w:vAlign w:val="bottom"/>
          </w:tcPr>
          <w:p w14:paraId="71D43CF5" w14:textId="77777777" w:rsidR="006A3667" w:rsidRDefault="006A3667">
            <w:pPr>
              <w:rPr>
                <w:rFonts w:ascii="宋体"/>
              </w:rPr>
            </w:pPr>
          </w:p>
        </w:tc>
        <w:tc>
          <w:tcPr>
            <w:tcW w:w="0" w:type="auto"/>
            <w:shd w:val="clear" w:color="auto" w:fill="auto"/>
            <w:vAlign w:val="bottom"/>
          </w:tcPr>
          <w:p w14:paraId="71D43CF6" w14:textId="77777777" w:rsidR="006A3667" w:rsidRDefault="006A3667">
            <w:pPr>
              <w:rPr>
                <w:rFonts w:ascii="宋体"/>
              </w:rPr>
            </w:pPr>
          </w:p>
        </w:tc>
        <w:tc>
          <w:tcPr>
            <w:tcW w:w="0" w:type="auto"/>
            <w:shd w:val="clear" w:color="auto" w:fill="auto"/>
            <w:vAlign w:val="bottom"/>
          </w:tcPr>
          <w:p w14:paraId="71D43CF7" w14:textId="77777777" w:rsidR="006A3667" w:rsidRDefault="006A3667">
            <w:pPr>
              <w:rPr>
                <w:rFonts w:ascii="宋体"/>
              </w:rPr>
            </w:pPr>
          </w:p>
        </w:tc>
        <w:tc>
          <w:tcPr>
            <w:tcW w:w="0" w:type="auto"/>
            <w:shd w:val="clear" w:color="auto" w:fill="auto"/>
            <w:vAlign w:val="bottom"/>
          </w:tcPr>
          <w:p w14:paraId="71D43CF8" w14:textId="77777777" w:rsidR="006A3667" w:rsidRDefault="006A3667">
            <w:pPr>
              <w:rPr>
                <w:rFonts w:ascii="宋体"/>
              </w:rPr>
            </w:pPr>
          </w:p>
        </w:tc>
        <w:tc>
          <w:tcPr>
            <w:tcW w:w="0" w:type="auto"/>
            <w:shd w:val="clear" w:color="auto" w:fill="auto"/>
            <w:vAlign w:val="bottom"/>
          </w:tcPr>
          <w:p w14:paraId="71D43CF9" w14:textId="77777777" w:rsidR="006A3667" w:rsidRDefault="006A3667">
            <w:pPr>
              <w:rPr>
                <w:rFonts w:ascii="宋体"/>
              </w:rPr>
            </w:pPr>
          </w:p>
        </w:tc>
        <w:tc>
          <w:tcPr>
            <w:tcW w:w="0" w:type="auto"/>
            <w:shd w:val="clear" w:color="auto" w:fill="auto"/>
            <w:vAlign w:val="bottom"/>
          </w:tcPr>
          <w:p w14:paraId="71D43CFA" w14:textId="77777777" w:rsidR="006A3667" w:rsidRDefault="006A3667">
            <w:pPr>
              <w:rPr>
                <w:rFonts w:ascii="宋体"/>
              </w:rPr>
            </w:pPr>
          </w:p>
        </w:tc>
        <w:tc>
          <w:tcPr>
            <w:tcW w:w="0" w:type="auto"/>
            <w:shd w:val="clear" w:color="auto" w:fill="auto"/>
            <w:vAlign w:val="bottom"/>
          </w:tcPr>
          <w:p w14:paraId="71D43CFB" w14:textId="77777777" w:rsidR="006A3667" w:rsidRDefault="006A3667">
            <w:pPr>
              <w:rPr>
                <w:rFonts w:ascii="宋体"/>
              </w:rPr>
            </w:pPr>
          </w:p>
        </w:tc>
        <w:tc>
          <w:tcPr>
            <w:tcW w:w="0" w:type="auto"/>
            <w:shd w:val="clear" w:color="auto" w:fill="auto"/>
            <w:vAlign w:val="bottom"/>
          </w:tcPr>
          <w:p w14:paraId="71D43CFC" w14:textId="77777777" w:rsidR="006A3667" w:rsidRDefault="006A3667">
            <w:pPr>
              <w:rPr>
                <w:rFonts w:ascii="宋体"/>
              </w:rPr>
            </w:pPr>
          </w:p>
        </w:tc>
        <w:tc>
          <w:tcPr>
            <w:tcW w:w="0" w:type="auto"/>
            <w:shd w:val="clear" w:color="auto" w:fill="auto"/>
            <w:vAlign w:val="bottom"/>
          </w:tcPr>
          <w:p w14:paraId="71D43CFD" w14:textId="77777777" w:rsidR="006A3667" w:rsidRDefault="006A3667">
            <w:pPr>
              <w:rPr>
                <w:rFonts w:ascii="宋体"/>
              </w:rPr>
            </w:pPr>
          </w:p>
        </w:tc>
        <w:tc>
          <w:tcPr>
            <w:tcW w:w="0" w:type="auto"/>
            <w:shd w:val="clear" w:color="auto" w:fill="auto"/>
            <w:vAlign w:val="bottom"/>
          </w:tcPr>
          <w:p w14:paraId="71D43CFE" w14:textId="77777777" w:rsidR="006A3667" w:rsidRDefault="006A3667">
            <w:pPr>
              <w:rPr>
                <w:rFonts w:ascii="宋体"/>
              </w:rPr>
            </w:pPr>
          </w:p>
        </w:tc>
        <w:tc>
          <w:tcPr>
            <w:tcW w:w="0" w:type="auto"/>
            <w:shd w:val="clear" w:color="auto" w:fill="auto"/>
            <w:vAlign w:val="bottom"/>
          </w:tcPr>
          <w:p w14:paraId="71D43CFF" w14:textId="77777777" w:rsidR="006A3667" w:rsidRDefault="006A3667">
            <w:pPr>
              <w:rPr>
                <w:rFonts w:ascii="宋体"/>
              </w:rPr>
            </w:pPr>
          </w:p>
        </w:tc>
        <w:tc>
          <w:tcPr>
            <w:tcW w:w="0" w:type="auto"/>
            <w:shd w:val="clear" w:color="auto" w:fill="auto"/>
            <w:vAlign w:val="bottom"/>
          </w:tcPr>
          <w:p w14:paraId="71D43D00" w14:textId="77777777" w:rsidR="006A3667" w:rsidRDefault="006A3667">
            <w:pPr>
              <w:rPr>
                <w:rFonts w:ascii="宋体"/>
              </w:rPr>
            </w:pPr>
          </w:p>
        </w:tc>
        <w:tc>
          <w:tcPr>
            <w:tcW w:w="0" w:type="auto"/>
            <w:shd w:val="clear" w:color="auto" w:fill="auto"/>
            <w:vAlign w:val="bottom"/>
          </w:tcPr>
          <w:p w14:paraId="71D43D01" w14:textId="77777777" w:rsidR="006A3667" w:rsidRDefault="006A3667">
            <w:pPr>
              <w:rPr>
                <w:rFonts w:ascii="宋体"/>
              </w:rPr>
            </w:pPr>
          </w:p>
        </w:tc>
        <w:tc>
          <w:tcPr>
            <w:tcW w:w="0" w:type="auto"/>
            <w:shd w:val="clear" w:color="auto" w:fill="auto"/>
            <w:vAlign w:val="bottom"/>
          </w:tcPr>
          <w:p w14:paraId="71D43D02" w14:textId="77777777" w:rsidR="006A3667" w:rsidRDefault="006A3667">
            <w:pPr>
              <w:rPr>
                <w:rFonts w:ascii="宋体"/>
              </w:rPr>
            </w:pPr>
          </w:p>
        </w:tc>
        <w:tc>
          <w:tcPr>
            <w:tcW w:w="0" w:type="auto"/>
            <w:shd w:val="clear" w:color="auto" w:fill="auto"/>
            <w:vAlign w:val="bottom"/>
          </w:tcPr>
          <w:p w14:paraId="71D43D03" w14:textId="77777777" w:rsidR="006A3667" w:rsidRDefault="006A3667">
            <w:pPr>
              <w:rPr>
                <w:rFonts w:ascii="宋体"/>
              </w:rPr>
            </w:pPr>
          </w:p>
        </w:tc>
        <w:tc>
          <w:tcPr>
            <w:tcW w:w="0" w:type="auto"/>
            <w:shd w:val="clear" w:color="auto" w:fill="auto"/>
            <w:vAlign w:val="bottom"/>
          </w:tcPr>
          <w:p w14:paraId="71D43D04" w14:textId="77777777" w:rsidR="006A3667" w:rsidRDefault="006A3667">
            <w:pPr>
              <w:rPr>
                <w:rFonts w:ascii="宋体"/>
              </w:rPr>
            </w:pPr>
          </w:p>
        </w:tc>
        <w:tc>
          <w:tcPr>
            <w:tcW w:w="0" w:type="auto"/>
            <w:shd w:val="clear" w:color="auto" w:fill="auto"/>
            <w:vAlign w:val="bottom"/>
          </w:tcPr>
          <w:p w14:paraId="71D43D05" w14:textId="77777777" w:rsidR="006A3667" w:rsidRDefault="006A3667">
            <w:pPr>
              <w:rPr>
                <w:rFonts w:ascii="宋体"/>
              </w:rPr>
            </w:pPr>
          </w:p>
        </w:tc>
        <w:tc>
          <w:tcPr>
            <w:tcW w:w="0" w:type="auto"/>
            <w:shd w:val="clear" w:color="auto" w:fill="auto"/>
            <w:vAlign w:val="bottom"/>
          </w:tcPr>
          <w:p w14:paraId="71D43D06" w14:textId="77777777" w:rsidR="006A3667" w:rsidRDefault="006A3667">
            <w:pPr>
              <w:rPr>
                <w:rFonts w:ascii="宋体"/>
              </w:rPr>
            </w:pPr>
          </w:p>
        </w:tc>
        <w:tc>
          <w:tcPr>
            <w:tcW w:w="0" w:type="auto"/>
            <w:shd w:val="clear" w:color="auto" w:fill="auto"/>
            <w:vAlign w:val="bottom"/>
          </w:tcPr>
          <w:p w14:paraId="71D43D07" w14:textId="77777777" w:rsidR="006A3667" w:rsidRDefault="006A3667">
            <w:pPr>
              <w:rPr>
                <w:rFonts w:ascii="宋体"/>
              </w:rPr>
            </w:pPr>
          </w:p>
        </w:tc>
        <w:tc>
          <w:tcPr>
            <w:tcW w:w="0" w:type="auto"/>
            <w:shd w:val="clear" w:color="auto" w:fill="auto"/>
            <w:vAlign w:val="bottom"/>
          </w:tcPr>
          <w:p w14:paraId="71D43D08" w14:textId="77777777" w:rsidR="006A3667" w:rsidRDefault="006A3667">
            <w:pPr>
              <w:rPr>
                <w:rFonts w:ascii="宋体"/>
              </w:rPr>
            </w:pPr>
          </w:p>
        </w:tc>
        <w:tc>
          <w:tcPr>
            <w:tcW w:w="0" w:type="auto"/>
            <w:shd w:val="clear" w:color="auto" w:fill="auto"/>
            <w:vAlign w:val="bottom"/>
          </w:tcPr>
          <w:p w14:paraId="71D43D09" w14:textId="77777777" w:rsidR="006A3667" w:rsidRDefault="006A3667">
            <w:pPr>
              <w:rPr>
                <w:rFonts w:ascii="宋体"/>
              </w:rPr>
            </w:pPr>
          </w:p>
        </w:tc>
        <w:tc>
          <w:tcPr>
            <w:tcW w:w="0" w:type="auto"/>
            <w:shd w:val="clear" w:color="auto" w:fill="auto"/>
            <w:vAlign w:val="bottom"/>
          </w:tcPr>
          <w:p w14:paraId="71D43D0A" w14:textId="77777777" w:rsidR="006A3667" w:rsidRDefault="006A3667">
            <w:pPr>
              <w:rPr>
                <w:rFonts w:ascii="宋体"/>
              </w:rPr>
            </w:pPr>
          </w:p>
        </w:tc>
        <w:tc>
          <w:tcPr>
            <w:tcW w:w="0" w:type="auto"/>
            <w:shd w:val="clear" w:color="auto" w:fill="auto"/>
            <w:vAlign w:val="bottom"/>
          </w:tcPr>
          <w:p w14:paraId="71D43D0B" w14:textId="77777777" w:rsidR="006A3667" w:rsidRDefault="006A3667">
            <w:pPr>
              <w:rPr>
                <w:rFonts w:ascii="宋体"/>
              </w:rPr>
            </w:pPr>
          </w:p>
        </w:tc>
        <w:tc>
          <w:tcPr>
            <w:tcW w:w="0" w:type="auto"/>
            <w:shd w:val="clear" w:color="auto" w:fill="auto"/>
            <w:vAlign w:val="bottom"/>
          </w:tcPr>
          <w:p w14:paraId="71D43D0C" w14:textId="77777777" w:rsidR="006A3667" w:rsidRDefault="006A3667">
            <w:pPr>
              <w:rPr>
                <w:rFonts w:ascii="宋体"/>
              </w:rPr>
            </w:pPr>
          </w:p>
        </w:tc>
        <w:tc>
          <w:tcPr>
            <w:tcW w:w="0" w:type="auto"/>
            <w:shd w:val="clear" w:color="auto" w:fill="auto"/>
            <w:vAlign w:val="bottom"/>
          </w:tcPr>
          <w:p w14:paraId="71D43D0D" w14:textId="77777777" w:rsidR="006A3667" w:rsidRDefault="006A3667">
            <w:pPr>
              <w:rPr>
                <w:rFonts w:ascii="宋体"/>
              </w:rPr>
            </w:pPr>
          </w:p>
        </w:tc>
        <w:tc>
          <w:tcPr>
            <w:tcW w:w="0" w:type="auto"/>
            <w:shd w:val="clear" w:color="auto" w:fill="auto"/>
            <w:vAlign w:val="bottom"/>
          </w:tcPr>
          <w:p w14:paraId="71D43D0E" w14:textId="77777777" w:rsidR="006A3667" w:rsidRDefault="006A3667">
            <w:pPr>
              <w:rPr>
                <w:rFonts w:ascii="宋体"/>
              </w:rPr>
            </w:pPr>
          </w:p>
        </w:tc>
        <w:tc>
          <w:tcPr>
            <w:tcW w:w="0" w:type="auto"/>
            <w:shd w:val="clear" w:color="auto" w:fill="auto"/>
            <w:vAlign w:val="bottom"/>
          </w:tcPr>
          <w:p w14:paraId="71D43D0F" w14:textId="77777777" w:rsidR="006A3667" w:rsidRDefault="006A3667">
            <w:pPr>
              <w:rPr>
                <w:rFonts w:ascii="宋体"/>
              </w:rPr>
            </w:pPr>
          </w:p>
        </w:tc>
        <w:tc>
          <w:tcPr>
            <w:tcW w:w="0" w:type="auto"/>
            <w:shd w:val="clear" w:color="auto" w:fill="auto"/>
            <w:vAlign w:val="bottom"/>
          </w:tcPr>
          <w:p w14:paraId="71D43D10" w14:textId="77777777" w:rsidR="006A3667" w:rsidRDefault="006A3667">
            <w:pPr>
              <w:rPr>
                <w:rFonts w:ascii="宋体"/>
              </w:rPr>
            </w:pPr>
          </w:p>
        </w:tc>
        <w:tc>
          <w:tcPr>
            <w:tcW w:w="0" w:type="auto"/>
            <w:shd w:val="clear" w:color="auto" w:fill="auto"/>
            <w:vAlign w:val="bottom"/>
          </w:tcPr>
          <w:p w14:paraId="71D43D11" w14:textId="77777777" w:rsidR="006A3667" w:rsidRDefault="006A3667">
            <w:pPr>
              <w:rPr>
                <w:rFonts w:ascii="宋体"/>
              </w:rPr>
            </w:pPr>
          </w:p>
        </w:tc>
        <w:tc>
          <w:tcPr>
            <w:tcW w:w="0" w:type="auto"/>
            <w:shd w:val="clear" w:color="auto" w:fill="auto"/>
            <w:vAlign w:val="bottom"/>
          </w:tcPr>
          <w:p w14:paraId="71D43D12" w14:textId="77777777" w:rsidR="006A3667" w:rsidRDefault="006A3667">
            <w:pPr>
              <w:rPr>
                <w:rFonts w:ascii="宋体"/>
              </w:rPr>
            </w:pPr>
          </w:p>
        </w:tc>
        <w:tc>
          <w:tcPr>
            <w:tcW w:w="0" w:type="auto"/>
            <w:shd w:val="clear" w:color="auto" w:fill="auto"/>
            <w:vAlign w:val="bottom"/>
          </w:tcPr>
          <w:p w14:paraId="71D43D13" w14:textId="77777777" w:rsidR="006A3667" w:rsidRDefault="006A3667">
            <w:pPr>
              <w:rPr>
                <w:rFonts w:ascii="宋体"/>
              </w:rPr>
            </w:pPr>
          </w:p>
        </w:tc>
        <w:tc>
          <w:tcPr>
            <w:tcW w:w="0" w:type="auto"/>
            <w:shd w:val="clear" w:color="auto" w:fill="auto"/>
            <w:vAlign w:val="bottom"/>
          </w:tcPr>
          <w:p w14:paraId="71D43D14" w14:textId="77777777" w:rsidR="006A3667" w:rsidRDefault="006A3667">
            <w:pPr>
              <w:rPr>
                <w:rFonts w:ascii="宋体"/>
              </w:rPr>
            </w:pPr>
          </w:p>
        </w:tc>
        <w:tc>
          <w:tcPr>
            <w:tcW w:w="0" w:type="auto"/>
            <w:shd w:val="clear" w:color="auto" w:fill="auto"/>
            <w:vAlign w:val="bottom"/>
          </w:tcPr>
          <w:p w14:paraId="71D43D15" w14:textId="77777777" w:rsidR="006A3667" w:rsidRDefault="006A3667">
            <w:pPr>
              <w:rPr>
                <w:rFonts w:ascii="宋体"/>
              </w:rPr>
            </w:pPr>
          </w:p>
        </w:tc>
        <w:tc>
          <w:tcPr>
            <w:tcW w:w="0" w:type="auto"/>
            <w:shd w:val="clear" w:color="auto" w:fill="auto"/>
            <w:vAlign w:val="bottom"/>
          </w:tcPr>
          <w:p w14:paraId="71D43D16" w14:textId="77777777" w:rsidR="006A3667" w:rsidRDefault="006A3667">
            <w:pPr>
              <w:rPr>
                <w:rFonts w:ascii="宋体"/>
              </w:rPr>
            </w:pPr>
          </w:p>
        </w:tc>
        <w:tc>
          <w:tcPr>
            <w:tcW w:w="0" w:type="auto"/>
            <w:shd w:val="clear" w:color="auto" w:fill="auto"/>
            <w:vAlign w:val="bottom"/>
          </w:tcPr>
          <w:p w14:paraId="71D43D17" w14:textId="77777777" w:rsidR="006A3667" w:rsidRDefault="006A3667">
            <w:pPr>
              <w:rPr>
                <w:rFonts w:ascii="宋体"/>
              </w:rPr>
            </w:pPr>
          </w:p>
        </w:tc>
        <w:tc>
          <w:tcPr>
            <w:tcW w:w="0" w:type="auto"/>
            <w:shd w:val="clear" w:color="auto" w:fill="auto"/>
            <w:vAlign w:val="bottom"/>
          </w:tcPr>
          <w:p w14:paraId="71D43D18" w14:textId="77777777" w:rsidR="006A3667" w:rsidRDefault="006A3667">
            <w:pPr>
              <w:rPr>
                <w:rFonts w:ascii="宋体"/>
              </w:rPr>
            </w:pPr>
          </w:p>
        </w:tc>
        <w:tc>
          <w:tcPr>
            <w:tcW w:w="0" w:type="auto"/>
            <w:shd w:val="clear" w:color="auto" w:fill="auto"/>
            <w:vAlign w:val="bottom"/>
          </w:tcPr>
          <w:p w14:paraId="71D43D19" w14:textId="77777777" w:rsidR="006A3667" w:rsidRDefault="006A3667">
            <w:pPr>
              <w:rPr>
                <w:rFonts w:ascii="宋体"/>
              </w:rPr>
            </w:pPr>
          </w:p>
        </w:tc>
        <w:tc>
          <w:tcPr>
            <w:tcW w:w="0" w:type="auto"/>
            <w:shd w:val="clear" w:color="auto" w:fill="auto"/>
            <w:vAlign w:val="bottom"/>
          </w:tcPr>
          <w:p w14:paraId="71D43D1A" w14:textId="77777777" w:rsidR="006A3667" w:rsidRDefault="006A3667">
            <w:pPr>
              <w:rPr>
                <w:rFonts w:ascii="宋体"/>
              </w:rPr>
            </w:pPr>
          </w:p>
        </w:tc>
        <w:tc>
          <w:tcPr>
            <w:tcW w:w="0" w:type="auto"/>
            <w:shd w:val="clear" w:color="auto" w:fill="auto"/>
            <w:vAlign w:val="bottom"/>
          </w:tcPr>
          <w:p w14:paraId="71D43D1B" w14:textId="77777777" w:rsidR="006A3667" w:rsidRDefault="006A3667">
            <w:pPr>
              <w:rPr>
                <w:rFonts w:ascii="宋体"/>
              </w:rPr>
            </w:pPr>
          </w:p>
        </w:tc>
        <w:tc>
          <w:tcPr>
            <w:tcW w:w="0" w:type="auto"/>
            <w:shd w:val="clear" w:color="auto" w:fill="auto"/>
            <w:vAlign w:val="bottom"/>
          </w:tcPr>
          <w:p w14:paraId="71D43D1C" w14:textId="77777777" w:rsidR="006A3667" w:rsidRDefault="006A3667">
            <w:pPr>
              <w:rPr>
                <w:rFonts w:ascii="宋体"/>
              </w:rPr>
            </w:pPr>
          </w:p>
        </w:tc>
      </w:tr>
      <w:tr w:rsidR="006A3667" w14:paraId="71D43D59" w14:textId="77777777">
        <w:trPr>
          <w:hidden/>
        </w:trPr>
        <w:tc>
          <w:tcPr>
            <w:tcW w:w="0" w:type="auto"/>
            <w:gridSpan w:val="3"/>
            <w:shd w:val="clear" w:color="auto" w:fill="auto"/>
            <w:vAlign w:val="bottom"/>
          </w:tcPr>
          <w:p w14:paraId="71D43D1E" w14:textId="77777777" w:rsidR="006A3667" w:rsidRDefault="006A3667">
            <w:pPr>
              <w:rPr>
                <w:rFonts w:ascii="宋体"/>
                <w:vanish/>
              </w:rPr>
            </w:pPr>
          </w:p>
        </w:tc>
        <w:tc>
          <w:tcPr>
            <w:tcW w:w="0" w:type="auto"/>
            <w:gridSpan w:val="3"/>
            <w:shd w:val="clear" w:color="auto" w:fill="auto"/>
            <w:vAlign w:val="bottom"/>
          </w:tcPr>
          <w:p w14:paraId="71D43D1F" w14:textId="77777777" w:rsidR="006A3667" w:rsidRDefault="006A3667">
            <w:pPr>
              <w:rPr>
                <w:rFonts w:ascii="宋体"/>
                <w:vanish/>
              </w:rPr>
            </w:pPr>
          </w:p>
        </w:tc>
        <w:tc>
          <w:tcPr>
            <w:tcW w:w="0" w:type="auto"/>
            <w:shd w:val="clear" w:color="auto" w:fill="auto"/>
            <w:vAlign w:val="bottom"/>
          </w:tcPr>
          <w:p w14:paraId="71D43D20" w14:textId="77777777" w:rsidR="006A3667" w:rsidRDefault="006A3667">
            <w:pPr>
              <w:rPr>
                <w:rFonts w:ascii="宋体"/>
              </w:rPr>
            </w:pPr>
          </w:p>
        </w:tc>
        <w:tc>
          <w:tcPr>
            <w:tcW w:w="0" w:type="auto"/>
            <w:shd w:val="clear" w:color="auto" w:fill="auto"/>
            <w:vAlign w:val="bottom"/>
          </w:tcPr>
          <w:p w14:paraId="71D43D21" w14:textId="77777777" w:rsidR="006A3667" w:rsidRDefault="006A3667">
            <w:pPr>
              <w:rPr>
                <w:rFonts w:ascii="宋体"/>
              </w:rPr>
            </w:pPr>
          </w:p>
        </w:tc>
        <w:tc>
          <w:tcPr>
            <w:tcW w:w="0" w:type="auto"/>
            <w:shd w:val="clear" w:color="auto" w:fill="auto"/>
            <w:vAlign w:val="bottom"/>
          </w:tcPr>
          <w:p w14:paraId="71D43D22" w14:textId="77777777" w:rsidR="006A3667" w:rsidRDefault="006A3667">
            <w:pPr>
              <w:rPr>
                <w:rFonts w:ascii="宋体"/>
              </w:rPr>
            </w:pPr>
          </w:p>
        </w:tc>
        <w:tc>
          <w:tcPr>
            <w:tcW w:w="0" w:type="auto"/>
            <w:shd w:val="clear" w:color="auto" w:fill="auto"/>
            <w:vAlign w:val="bottom"/>
          </w:tcPr>
          <w:p w14:paraId="71D43D23" w14:textId="77777777" w:rsidR="006A3667" w:rsidRDefault="006A3667">
            <w:pPr>
              <w:rPr>
                <w:rFonts w:ascii="宋体"/>
              </w:rPr>
            </w:pPr>
          </w:p>
        </w:tc>
        <w:tc>
          <w:tcPr>
            <w:tcW w:w="0" w:type="auto"/>
            <w:shd w:val="clear" w:color="auto" w:fill="auto"/>
            <w:vAlign w:val="bottom"/>
          </w:tcPr>
          <w:p w14:paraId="71D43D24" w14:textId="77777777" w:rsidR="006A3667" w:rsidRDefault="006A3667">
            <w:pPr>
              <w:rPr>
                <w:rFonts w:ascii="宋体"/>
              </w:rPr>
            </w:pPr>
          </w:p>
        </w:tc>
        <w:tc>
          <w:tcPr>
            <w:tcW w:w="0" w:type="auto"/>
            <w:shd w:val="clear" w:color="auto" w:fill="auto"/>
            <w:vAlign w:val="bottom"/>
          </w:tcPr>
          <w:p w14:paraId="71D43D25" w14:textId="77777777" w:rsidR="006A3667" w:rsidRDefault="006A3667">
            <w:pPr>
              <w:rPr>
                <w:rFonts w:ascii="宋体"/>
              </w:rPr>
            </w:pPr>
          </w:p>
        </w:tc>
        <w:tc>
          <w:tcPr>
            <w:tcW w:w="0" w:type="auto"/>
            <w:shd w:val="clear" w:color="auto" w:fill="auto"/>
            <w:vAlign w:val="bottom"/>
          </w:tcPr>
          <w:p w14:paraId="71D43D26" w14:textId="77777777" w:rsidR="006A3667" w:rsidRDefault="006A3667">
            <w:pPr>
              <w:rPr>
                <w:rFonts w:ascii="宋体"/>
              </w:rPr>
            </w:pPr>
          </w:p>
        </w:tc>
        <w:tc>
          <w:tcPr>
            <w:tcW w:w="0" w:type="auto"/>
            <w:shd w:val="clear" w:color="auto" w:fill="auto"/>
            <w:vAlign w:val="bottom"/>
          </w:tcPr>
          <w:p w14:paraId="71D43D27" w14:textId="77777777" w:rsidR="006A3667" w:rsidRDefault="006A3667">
            <w:pPr>
              <w:rPr>
                <w:rFonts w:ascii="宋体"/>
              </w:rPr>
            </w:pPr>
          </w:p>
        </w:tc>
        <w:tc>
          <w:tcPr>
            <w:tcW w:w="0" w:type="auto"/>
            <w:shd w:val="clear" w:color="auto" w:fill="auto"/>
            <w:vAlign w:val="bottom"/>
          </w:tcPr>
          <w:p w14:paraId="71D43D28" w14:textId="77777777" w:rsidR="006A3667" w:rsidRDefault="006A3667">
            <w:pPr>
              <w:rPr>
                <w:rFonts w:ascii="宋体"/>
              </w:rPr>
            </w:pPr>
          </w:p>
        </w:tc>
        <w:tc>
          <w:tcPr>
            <w:tcW w:w="0" w:type="auto"/>
            <w:shd w:val="clear" w:color="auto" w:fill="auto"/>
            <w:vAlign w:val="bottom"/>
          </w:tcPr>
          <w:p w14:paraId="71D43D29" w14:textId="77777777" w:rsidR="006A3667" w:rsidRDefault="006A3667">
            <w:pPr>
              <w:rPr>
                <w:rFonts w:ascii="宋体"/>
              </w:rPr>
            </w:pPr>
          </w:p>
        </w:tc>
        <w:tc>
          <w:tcPr>
            <w:tcW w:w="0" w:type="auto"/>
            <w:shd w:val="clear" w:color="auto" w:fill="auto"/>
            <w:vAlign w:val="bottom"/>
          </w:tcPr>
          <w:p w14:paraId="71D43D2A" w14:textId="77777777" w:rsidR="006A3667" w:rsidRDefault="006A3667">
            <w:pPr>
              <w:rPr>
                <w:rFonts w:ascii="宋体"/>
              </w:rPr>
            </w:pPr>
          </w:p>
        </w:tc>
        <w:tc>
          <w:tcPr>
            <w:tcW w:w="0" w:type="auto"/>
            <w:shd w:val="clear" w:color="auto" w:fill="auto"/>
            <w:vAlign w:val="bottom"/>
          </w:tcPr>
          <w:p w14:paraId="71D43D2B" w14:textId="77777777" w:rsidR="006A3667" w:rsidRDefault="006A3667">
            <w:pPr>
              <w:rPr>
                <w:rFonts w:ascii="宋体"/>
              </w:rPr>
            </w:pPr>
          </w:p>
        </w:tc>
        <w:tc>
          <w:tcPr>
            <w:tcW w:w="0" w:type="auto"/>
            <w:shd w:val="clear" w:color="auto" w:fill="auto"/>
            <w:vAlign w:val="bottom"/>
          </w:tcPr>
          <w:p w14:paraId="71D43D2C" w14:textId="77777777" w:rsidR="006A3667" w:rsidRDefault="006A3667">
            <w:pPr>
              <w:rPr>
                <w:rFonts w:ascii="宋体"/>
              </w:rPr>
            </w:pPr>
          </w:p>
        </w:tc>
        <w:tc>
          <w:tcPr>
            <w:tcW w:w="0" w:type="auto"/>
            <w:shd w:val="clear" w:color="auto" w:fill="auto"/>
            <w:vAlign w:val="bottom"/>
          </w:tcPr>
          <w:p w14:paraId="71D43D2D" w14:textId="77777777" w:rsidR="006A3667" w:rsidRDefault="006A3667">
            <w:pPr>
              <w:rPr>
                <w:rFonts w:ascii="宋体"/>
              </w:rPr>
            </w:pPr>
          </w:p>
        </w:tc>
        <w:tc>
          <w:tcPr>
            <w:tcW w:w="0" w:type="auto"/>
            <w:shd w:val="clear" w:color="auto" w:fill="auto"/>
            <w:vAlign w:val="bottom"/>
          </w:tcPr>
          <w:p w14:paraId="71D43D2E" w14:textId="77777777" w:rsidR="006A3667" w:rsidRDefault="006A3667">
            <w:pPr>
              <w:rPr>
                <w:rFonts w:ascii="宋体"/>
              </w:rPr>
            </w:pPr>
          </w:p>
        </w:tc>
        <w:tc>
          <w:tcPr>
            <w:tcW w:w="0" w:type="auto"/>
            <w:shd w:val="clear" w:color="auto" w:fill="auto"/>
            <w:vAlign w:val="bottom"/>
          </w:tcPr>
          <w:p w14:paraId="71D43D2F" w14:textId="77777777" w:rsidR="006A3667" w:rsidRDefault="006A3667">
            <w:pPr>
              <w:rPr>
                <w:rFonts w:ascii="宋体"/>
              </w:rPr>
            </w:pPr>
          </w:p>
        </w:tc>
        <w:tc>
          <w:tcPr>
            <w:tcW w:w="0" w:type="auto"/>
            <w:shd w:val="clear" w:color="auto" w:fill="auto"/>
            <w:vAlign w:val="bottom"/>
          </w:tcPr>
          <w:p w14:paraId="71D43D30" w14:textId="77777777" w:rsidR="006A3667" w:rsidRDefault="006A3667">
            <w:pPr>
              <w:rPr>
                <w:rFonts w:ascii="宋体"/>
              </w:rPr>
            </w:pPr>
          </w:p>
        </w:tc>
        <w:tc>
          <w:tcPr>
            <w:tcW w:w="0" w:type="auto"/>
            <w:shd w:val="clear" w:color="auto" w:fill="auto"/>
            <w:vAlign w:val="bottom"/>
          </w:tcPr>
          <w:p w14:paraId="71D43D31" w14:textId="77777777" w:rsidR="006A3667" w:rsidRDefault="006A3667">
            <w:pPr>
              <w:rPr>
                <w:rFonts w:ascii="宋体"/>
              </w:rPr>
            </w:pPr>
          </w:p>
        </w:tc>
        <w:tc>
          <w:tcPr>
            <w:tcW w:w="0" w:type="auto"/>
            <w:shd w:val="clear" w:color="auto" w:fill="auto"/>
            <w:vAlign w:val="bottom"/>
          </w:tcPr>
          <w:p w14:paraId="71D43D32" w14:textId="77777777" w:rsidR="006A3667" w:rsidRDefault="006A3667">
            <w:pPr>
              <w:rPr>
                <w:rFonts w:ascii="宋体"/>
              </w:rPr>
            </w:pPr>
          </w:p>
        </w:tc>
        <w:tc>
          <w:tcPr>
            <w:tcW w:w="0" w:type="auto"/>
            <w:shd w:val="clear" w:color="auto" w:fill="auto"/>
            <w:vAlign w:val="bottom"/>
          </w:tcPr>
          <w:p w14:paraId="71D43D33" w14:textId="77777777" w:rsidR="006A3667" w:rsidRDefault="006A3667">
            <w:pPr>
              <w:rPr>
                <w:rFonts w:ascii="宋体"/>
              </w:rPr>
            </w:pPr>
          </w:p>
        </w:tc>
        <w:tc>
          <w:tcPr>
            <w:tcW w:w="0" w:type="auto"/>
            <w:shd w:val="clear" w:color="auto" w:fill="auto"/>
            <w:vAlign w:val="bottom"/>
          </w:tcPr>
          <w:p w14:paraId="71D43D34" w14:textId="77777777" w:rsidR="006A3667" w:rsidRDefault="006A3667">
            <w:pPr>
              <w:rPr>
                <w:rFonts w:ascii="宋体"/>
              </w:rPr>
            </w:pPr>
          </w:p>
        </w:tc>
        <w:tc>
          <w:tcPr>
            <w:tcW w:w="0" w:type="auto"/>
            <w:shd w:val="clear" w:color="auto" w:fill="auto"/>
            <w:vAlign w:val="bottom"/>
          </w:tcPr>
          <w:p w14:paraId="71D43D35" w14:textId="77777777" w:rsidR="006A3667" w:rsidRDefault="006A3667">
            <w:pPr>
              <w:rPr>
                <w:rFonts w:ascii="宋体"/>
              </w:rPr>
            </w:pPr>
          </w:p>
        </w:tc>
        <w:tc>
          <w:tcPr>
            <w:tcW w:w="0" w:type="auto"/>
            <w:shd w:val="clear" w:color="auto" w:fill="auto"/>
            <w:vAlign w:val="bottom"/>
          </w:tcPr>
          <w:p w14:paraId="71D43D36" w14:textId="77777777" w:rsidR="006A3667" w:rsidRDefault="006A3667">
            <w:pPr>
              <w:rPr>
                <w:rFonts w:ascii="宋体"/>
              </w:rPr>
            </w:pPr>
          </w:p>
        </w:tc>
        <w:tc>
          <w:tcPr>
            <w:tcW w:w="0" w:type="auto"/>
            <w:shd w:val="clear" w:color="auto" w:fill="auto"/>
            <w:vAlign w:val="bottom"/>
          </w:tcPr>
          <w:p w14:paraId="71D43D37" w14:textId="77777777" w:rsidR="006A3667" w:rsidRDefault="006A3667">
            <w:pPr>
              <w:rPr>
                <w:rFonts w:ascii="宋体"/>
              </w:rPr>
            </w:pPr>
          </w:p>
        </w:tc>
        <w:tc>
          <w:tcPr>
            <w:tcW w:w="0" w:type="auto"/>
            <w:shd w:val="clear" w:color="auto" w:fill="auto"/>
            <w:vAlign w:val="bottom"/>
          </w:tcPr>
          <w:p w14:paraId="71D43D38" w14:textId="77777777" w:rsidR="006A3667" w:rsidRDefault="006A3667">
            <w:pPr>
              <w:rPr>
                <w:rFonts w:ascii="宋体"/>
              </w:rPr>
            </w:pPr>
          </w:p>
        </w:tc>
        <w:tc>
          <w:tcPr>
            <w:tcW w:w="0" w:type="auto"/>
            <w:shd w:val="clear" w:color="auto" w:fill="auto"/>
            <w:vAlign w:val="bottom"/>
          </w:tcPr>
          <w:p w14:paraId="71D43D39" w14:textId="77777777" w:rsidR="006A3667" w:rsidRDefault="006A3667">
            <w:pPr>
              <w:rPr>
                <w:rFonts w:ascii="宋体"/>
              </w:rPr>
            </w:pPr>
          </w:p>
        </w:tc>
        <w:tc>
          <w:tcPr>
            <w:tcW w:w="0" w:type="auto"/>
            <w:shd w:val="clear" w:color="auto" w:fill="auto"/>
            <w:vAlign w:val="bottom"/>
          </w:tcPr>
          <w:p w14:paraId="71D43D3A" w14:textId="77777777" w:rsidR="006A3667" w:rsidRDefault="006A3667">
            <w:pPr>
              <w:rPr>
                <w:rFonts w:ascii="宋体"/>
              </w:rPr>
            </w:pPr>
          </w:p>
        </w:tc>
        <w:tc>
          <w:tcPr>
            <w:tcW w:w="0" w:type="auto"/>
            <w:shd w:val="clear" w:color="auto" w:fill="auto"/>
            <w:vAlign w:val="bottom"/>
          </w:tcPr>
          <w:p w14:paraId="71D43D3B" w14:textId="77777777" w:rsidR="006A3667" w:rsidRDefault="006A3667">
            <w:pPr>
              <w:rPr>
                <w:rFonts w:ascii="宋体"/>
              </w:rPr>
            </w:pPr>
          </w:p>
        </w:tc>
        <w:tc>
          <w:tcPr>
            <w:tcW w:w="0" w:type="auto"/>
            <w:shd w:val="clear" w:color="auto" w:fill="auto"/>
            <w:vAlign w:val="bottom"/>
          </w:tcPr>
          <w:p w14:paraId="71D43D3C" w14:textId="77777777" w:rsidR="006A3667" w:rsidRDefault="006A3667">
            <w:pPr>
              <w:rPr>
                <w:rFonts w:ascii="宋体"/>
              </w:rPr>
            </w:pPr>
          </w:p>
        </w:tc>
        <w:tc>
          <w:tcPr>
            <w:tcW w:w="0" w:type="auto"/>
            <w:shd w:val="clear" w:color="auto" w:fill="auto"/>
            <w:vAlign w:val="bottom"/>
          </w:tcPr>
          <w:p w14:paraId="71D43D3D" w14:textId="77777777" w:rsidR="006A3667" w:rsidRDefault="006A3667">
            <w:pPr>
              <w:rPr>
                <w:rFonts w:ascii="宋体"/>
              </w:rPr>
            </w:pPr>
          </w:p>
        </w:tc>
        <w:tc>
          <w:tcPr>
            <w:tcW w:w="0" w:type="auto"/>
            <w:shd w:val="clear" w:color="auto" w:fill="auto"/>
            <w:vAlign w:val="bottom"/>
          </w:tcPr>
          <w:p w14:paraId="71D43D3E" w14:textId="77777777" w:rsidR="006A3667" w:rsidRDefault="006A3667">
            <w:pPr>
              <w:rPr>
                <w:rFonts w:ascii="宋体"/>
              </w:rPr>
            </w:pPr>
          </w:p>
        </w:tc>
        <w:tc>
          <w:tcPr>
            <w:tcW w:w="0" w:type="auto"/>
            <w:shd w:val="clear" w:color="auto" w:fill="auto"/>
            <w:vAlign w:val="bottom"/>
          </w:tcPr>
          <w:p w14:paraId="71D43D3F" w14:textId="77777777" w:rsidR="006A3667" w:rsidRDefault="006A3667">
            <w:pPr>
              <w:rPr>
                <w:rFonts w:ascii="宋体"/>
              </w:rPr>
            </w:pPr>
          </w:p>
        </w:tc>
        <w:tc>
          <w:tcPr>
            <w:tcW w:w="0" w:type="auto"/>
            <w:shd w:val="clear" w:color="auto" w:fill="auto"/>
            <w:vAlign w:val="bottom"/>
          </w:tcPr>
          <w:p w14:paraId="71D43D40" w14:textId="77777777" w:rsidR="006A3667" w:rsidRDefault="006A3667">
            <w:pPr>
              <w:rPr>
                <w:rFonts w:ascii="宋体"/>
              </w:rPr>
            </w:pPr>
          </w:p>
        </w:tc>
        <w:tc>
          <w:tcPr>
            <w:tcW w:w="0" w:type="auto"/>
            <w:shd w:val="clear" w:color="auto" w:fill="auto"/>
            <w:vAlign w:val="bottom"/>
          </w:tcPr>
          <w:p w14:paraId="71D43D41" w14:textId="77777777" w:rsidR="006A3667" w:rsidRDefault="006A3667">
            <w:pPr>
              <w:rPr>
                <w:rFonts w:ascii="宋体"/>
              </w:rPr>
            </w:pPr>
          </w:p>
        </w:tc>
        <w:tc>
          <w:tcPr>
            <w:tcW w:w="0" w:type="auto"/>
            <w:shd w:val="clear" w:color="auto" w:fill="auto"/>
            <w:vAlign w:val="bottom"/>
          </w:tcPr>
          <w:p w14:paraId="71D43D42" w14:textId="77777777" w:rsidR="006A3667" w:rsidRDefault="006A3667">
            <w:pPr>
              <w:rPr>
                <w:rFonts w:ascii="宋体"/>
              </w:rPr>
            </w:pPr>
          </w:p>
        </w:tc>
        <w:tc>
          <w:tcPr>
            <w:tcW w:w="0" w:type="auto"/>
            <w:shd w:val="clear" w:color="auto" w:fill="auto"/>
            <w:vAlign w:val="bottom"/>
          </w:tcPr>
          <w:p w14:paraId="71D43D43" w14:textId="77777777" w:rsidR="006A3667" w:rsidRDefault="006A3667">
            <w:pPr>
              <w:rPr>
                <w:rFonts w:ascii="宋体"/>
              </w:rPr>
            </w:pPr>
          </w:p>
        </w:tc>
        <w:tc>
          <w:tcPr>
            <w:tcW w:w="0" w:type="auto"/>
            <w:shd w:val="clear" w:color="auto" w:fill="auto"/>
            <w:vAlign w:val="bottom"/>
          </w:tcPr>
          <w:p w14:paraId="71D43D44" w14:textId="77777777" w:rsidR="006A3667" w:rsidRDefault="006A3667">
            <w:pPr>
              <w:rPr>
                <w:rFonts w:ascii="宋体"/>
              </w:rPr>
            </w:pPr>
          </w:p>
        </w:tc>
        <w:tc>
          <w:tcPr>
            <w:tcW w:w="0" w:type="auto"/>
            <w:shd w:val="clear" w:color="auto" w:fill="auto"/>
            <w:vAlign w:val="bottom"/>
          </w:tcPr>
          <w:p w14:paraId="71D43D45" w14:textId="77777777" w:rsidR="006A3667" w:rsidRDefault="006A3667">
            <w:pPr>
              <w:rPr>
                <w:rFonts w:ascii="宋体"/>
              </w:rPr>
            </w:pPr>
          </w:p>
        </w:tc>
        <w:tc>
          <w:tcPr>
            <w:tcW w:w="0" w:type="auto"/>
            <w:shd w:val="clear" w:color="auto" w:fill="auto"/>
            <w:vAlign w:val="bottom"/>
          </w:tcPr>
          <w:p w14:paraId="71D43D46" w14:textId="77777777" w:rsidR="006A3667" w:rsidRDefault="006A3667">
            <w:pPr>
              <w:rPr>
                <w:rFonts w:ascii="宋体"/>
              </w:rPr>
            </w:pPr>
          </w:p>
        </w:tc>
        <w:tc>
          <w:tcPr>
            <w:tcW w:w="0" w:type="auto"/>
            <w:shd w:val="clear" w:color="auto" w:fill="auto"/>
            <w:vAlign w:val="bottom"/>
          </w:tcPr>
          <w:p w14:paraId="71D43D47" w14:textId="77777777" w:rsidR="006A3667" w:rsidRDefault="006A3667">
            <w:pPr>
              <w:rPr>
                <w:rFonts w:ascii="宋体"/>
              </w:rPr>
            </w:pPr>
          </w:p>
        </w:tc>
        <w:tc>
          <w:tcPr>
            <w:tcW w:w="0" w:type="auto"/>
            <w:shd w:val="clear" w:color="auto" w:fill="auto"/>
            <w:vAlign w:val="bottom"/>
          </w:tcPr>
          <w:p w14:paraId="71D43D48" w14:textId="77777777" w:rsidR="006A3667" w:rsidRDefault="006A3667">
            <w:pPr>
              <w:rPr>
                <w:rFonts w:ascii="宋体"/>
              </w:rPr>
            </w:pPr>
          </w:p>
        </w:tc>
        <w:tc>
          <w:tcPr>
            <w:tcW w:w="0" w:type="auto"/>
            <w:shd w:val="clear" w:color="auto" w:fill="auto"/>
            <w:vAlign w:val="bottom"/>
          </w:tcPr>
          <w:p w14:paraId="71D43D49" w14:textId="77777777" w:rsidR="006A3667" w:rsidRDefault="006A3667">
            <w:pPr>
              <w:rPr>
                <w:rFonts w:ascii="宋体"/>
              </w:rPr>
            </w:pPr>
          </w:p>
        </w:tc>
        <w:tc>
          <w:tcPr>
            <w:tcW w:w="0" w:type="auto"/>
            <w:shd w:val="clear" w:color="auto" w:fill="auto"/>
            <w:vAlign w:val="bottom"/>
          </w:tcPr>
          <w:p w14:paraId="71D43D4A" w14:textId="77777777" w:rsidR="006A3667" w:rsidRDefault="006A3667">
            <w:pPr>
              <w:rPr>
                <w:rFonts w:ascii="宋体"/>
              </w:rPr>
            </w:pPr>
          </w:p>
        </w:tc>
        <w:tc>
          <w:tcPr>
            <w:tcW w:w="0" w:type="auto"/>
            <w:shd w:val="clear" w:color="auto" w:fill="auto"/>
            <w:vAlign w:val="bottom"/>
          </w:tcPr>
          <w:p w14:paraId="71D43D4B" w14:textId="77777777" w:rsidR="006A3667" w:rsidRDefault="006A3667">
            <w:pPr>
              <w:rPr>
                <w:rFonts w:ascii="宋体"/>
              </w:rPr>
            </w:pPr>
          </w:p>
        </w:tc>
        <w:tc>
          <w:tcPr>
            <w:tcW w:w="0" w:type="auto"/>
            <w:shd w:val="clear" w:color="auto" w:fill="auto"/>
            <w:vAlign w:val="bottom"/>
          </w:tcPr>
          <w:p w14:paraId="71D43D4C" w14:textId="77777777" w:rsidR="006A3667" w:rsidRDefault="006A3667">
            <w:pPr>
              <w:rPr>
                <w:rFonts w:ascii="宋体"/>
              </w:rPr>
            </w:pPr>
          </w:p>
        </w:tc>
        <w:tc>
          <w:tcPr>
            <w:tcW w:w="0" w:type="auto"/>
            <w:shd w:val="clear" w:color="auto" w:fill="auto"/>
            <w:vAlign w:val="bottom"/>
          </w:tcPr>
          <w:p w14:paraId="71D43D4D" w14:textId="77777777" w:rsidR="006A3667" w:rsidRDefault="006A3667">
            <w:pPr>
              <w:rPr>
                <w:rFonts w:ascii="宋体"/>
              </w:rPr>
            </w:pPr>
          </w:p>
        </w:tc>
        <w:tc>
          <w:tcPr>
            <w:tcW w:w="0" w:type="auto"/>
            <w:shd w:val="clear" w:color="auto" w:fill="auto"/>
            <w:vAlign w:val="bottom"/>
          </w:tcPr>
          <w:p w14:paraId="71D43D4E" w14:textId="77777777" w:rsidR="006A3667" w:rsidRDefault="006A3667">
            <w:pPr>
              <w:rPr>
                <w:rFonts w:ascii="宋体"/>
              </w:rPr>
            </w:pPr>
          </w:p>
        </w:tc>
        <w:tc>
          <w:tcPr>
            <w:tcW w:w="0" w:type="auto"/>
            <w:shd w:val="clear" w:color="auto" w:fill="auto"/>
            <w:vAlign w:val="bottom"/>
          </w:tcPr>
          <w:p w14:paraId="71D43D4F" w14:textId="77777777" w:rsidR="006A3667" w:rsidRDefault="006A3667">
            <w:pPr>
              <w:rPr>
                <w:rFonts w:ascii="宋体"/>
              </w:rPr>
            </w:pPr>
          </w:p>
        </w:tc>
        <w:tc>
          <w:tcPr>
            <w:tcW w:w="0" w:type="auto"/>
            <w:shd w:val="clear" w:color="auto" w:fill="auto"/>
            <w:vAlign w:val="bottom"/>
          </w:tcPr>
          <w:p w14:paraId="71D43D50" w14:textId="77777777" w:rsidR="006A3667" w:rsidRDefault="006A3667">
            <w:pPr>
              <w:rPr>
                <w:rFonts w:ascii="宋体"/>
              </w:rPr>
            </w:pPr>
          </w:p>
        </w:tc>
        <w:tc>
          <w:tcPr>
            <w:tcW w:w="0" w:type="auto"/>
            <w:shd w:val="clear" w:color="auto" w:fill="auto"/>
            <w:vAlign w:val="bottom"/>
          </w:tcPr>
          <w:p w14:paraId="71D43D51" w14:textId="77777777" w:rsidR="006A3667" w:rsidRDefault="006A3667">
            <w:pPr>
              <w:rPr>
                <w:rFonts w:ascii="宋体"/>
              </w:rPr>
            </w:pPr>
          </w:p>
        </w:tc>
        <w:tc>
          <w:tcPr>
            <w:tcW w:w="0" w:type="auto"/>
            <w:shd w:val="clear" w:color="auto" w:fill="auto"/>
            <w:vAlign w:val="bottom"/>
          </w:tcPr>
          <w:p w14:paraId="71D43D52" w14:textId="77777777" w:rsidR="006A3667" w:rsidRDefault="006A3667">
            <w:pPr>
              <w:rPr>
                <w:rFonts w:ascii="宋体"/>
              </w:rPr>
            </w:pPr>
          </w:p>
        </w:tc>
        <w:tc>
          <w:tcPr>
            <w:tcW w:w="0" w:type="auto"/>
            <w:shd w:val="clear" w:color="auto" w:fill="auto"/>
            <w:vAlign w:val="bottom"/>
          </w:tcPr>
          <w:p w14:paraId="71D43D53" w14:textId="77777777" w:rsidR="006A3667" w:rsidRDefault="006A3667">
            <w:pPr>
              <w:rPr>
                <w:rFonts w:ascii="宋体"/>
              </w:rPr>
            </w:pPr>
          </w:p>
        </w:tc>
        <w:tc>
          <w:tcPr>
            <w:tcW w:w="0" w:type="auto"/>
            <w:shd w:val="clear" w:color="auto" w:fill="auto"/>
            <w:vAlign w:val="bottom"/>
          </w:tcPr>
          <w:p w14:paraId="71D43D54" w14:textId="77777777" w:rsidR="006A3667" w:rsidRDefault="006A3667">
            <w:pPr>
              <w:rPr>
                <w:rFonts w:ascii="宋体"/>
              </w:rPr>
            </w:pPr>
          </w:p>
        </w:tc>
        <w:tc>
          <w:tcPr>
            <w:tcW w:w="0" w:type="auto"/>
            <w:shd w:val="clear" w:color="auto" w:fill="auto"/>
            <w:vAlign w:val="bottom"/>
          </w:tcPr>
          <w:p w14:paraId="71D43D55" w14:textId="77777777" w:rsidR="006A3667" w:rsidRDefault="006A3667">
            <w:pPr>
              <w:rPr>
                <w:rFonts w:ascii="宋体"/>
              </w:rPr>
            </w:pPr>
          </w:p>
        </w:tc>
        <w:tc>
          <w:tcPr>
            <w:tcW w:w="0" w:type="auto"/>
            <w:shd w:val="clear" w:color="auto" w:fill="auto"/>
            <w:vAlign w:val="bottom"/>
          </w:tcPr>
          <w:p w14:paraId="71D43D56" w14:textId="77777777" w:rsidR="006A3667" w:rsidRDefault="006A3667">
            <w:pPr>
              <w:rPr>
                <w:rFonts w:ascii="宋体"/>
              </w:rPr>
            </w:pPr>
          </w:p>
        </w:tc>
        <w:tc>
          <w:tcPr>
            <w:tcW w:w="0" w:type="auto"/>
            <w:shd w:val="clear" w:color="auto" w:fill="auto"/>
            <w:vAlign w:val="bottom"/>
          </w:tcPr>
          <w:p w14:paraId="71D43D57" w14:textId="77777777" w:rsidR="006A3667" w:rsidRDefault="006A3667">
            <w:pPr>
              <w:rPr>
                <w:rFonts w:ascii="宋体"/>
              </w:rPr>
            </w:pPr>
          </w:p>
        </w:tc>
        <w:tc>
          <w:tcPr>
            <w:tcW w:w="0" w:type="auto"/>
            <w:shd w:val="clear" w:color="auto" w:fill="auto"/>
            <w:vAlign w:val="bottom"/>
          </w:tcPr>
          <w:p w14:paraId="71D43D58" w14:textId="77777777" w:rsidR="006A3667" w:rsidRDefault="006A3667">
            <w:pPr>
              <w:rPr>
                <w:rFonts w:ascii="宋体"/>
              </w:rPr>
            </w:pPr>
          </w:p>
        </w:tc>
      </w:tr>
      <w:tr w:rsidR="006A3667" w14:paraId="71D43D71" w14:textId="77777777">
        <w:trPr>
          <w:hidden/>
        </w:trPr>
        <w:tc>
          <w:tcPr>
            <w:tcW w:w="0" w:type="auto"/>
            <w:gridSpan w:val="3"/>
            <w:shd w:val="clear" w:color="auto" w:fill="auto"/>
            <w:vAlign w:val="bottom"/>
          </w:tcPr>
          <w:p w14:paraId="71D43D5A" w14:textId="77777777" w:rsidR="006A3667" w:rsidRDefault="006A3667">
            <w:pPr>
              <w:rPr>
                <w:rFonts w:ascii="宋体"/>
                <w:vanish/>
              </w:rPr>
            </w:pPr>
          </w:p>
        </w:tc>
        <w:tc>
          <w:tcPr>
            <w:tcW w:w="0" w:type="auto"/>
            <w:gridSpan w:val="3"/>
            <w:shd w:val="clear" w:color="auto" w:fill="auto"/>
            <w:vAlign w:val="bottom"/>
          </w:tcPr>
          <w:p w14:paraId="71D43D5B" w14:textId="77777777" w:rsidR="006A3667" w:rsidRDefault="006A3667">
            <w:pPr>
              <w:rPr>
                <w:rFonts w:ascii="宋体"/>
                <w:vanish/>
              </w:rPr>
            </w:pPr>
          </w:p>
        </w:tc>
        <w:tc>
          <w:tcPr>
            <w:tcW w:w="0" w:type="auto"/>
            <w:gridSpan w:val="3"/>
            <w:shd w:val="clear" w:color="auto" w:fill="auto"/>
            <w:vAlign w:val="bottom"/>
          </w:tcPr>
          <w:p w14:paraId="71D43D5C" w14:textId="77777777" w:rsidR="006A3667" w:rsidRDefault="006A3667">
            <w:pPr>
              <w:rPr>
                <w:rFonts w:ascii="宋体"/>
                <w:vanish/>
              </w:rPr>
            </w:pPr>
          </w:p>
        </w:tc>
        <w:tc>
          <w:tcPr>
            <w:tcW w:w="0" w:type="auto"/>
            <w:gridSpan w:val="3"/>
            <w:shd w:val="clear" w:color="auto" w:fill="auto"/>
            <w:vAlign w:val="bottom"/>
          </w:tcPr>
          <w:p w14:paraId="71D43D5D" w14:textId="77777777" w:rsidR="006A3667" w:rsidRDefault="006A3667">
            <w:pPr>
              <w:rPr>
                <w:rFonts w:ascii="宋体"/>
                <w:vanish/>
              </w:rPr>
            </w:pPr>
          </w:p>
        </w:tc>
        <w:tc>
          <w:tcPr>
            <w:tcW w:w="0" w:type="auto"/>
            <w:gridSpan w:val="3"/>
            <w:shd w:val="clear" w:color="auto" w:fill="auto"/>
            <w:vAlign w:val="bottom"/>
          </w:tcPr>
          <w:p w14:paraId="71D43D5E" w14:textId="77777777" w:rsidR="006A3667" w:rsidRDefault="006A3667">
            <w:pPr>
              <w:rPr>
                <w:rFonts w:ascii="宋体"/>
                <w:vanish/>
              </w:rPr>
            </w:pPr>
          </w:p>
        </w:tc>
        <w:tc>
          <w:tcPr>
            <w:tcW w:w="0" w:type="auto"/>
            <w:gridSpan w:val="3"/>
            <w:shd w:val="clear" w:color="auto" w:fill="auto"/>
            <w:vAlign w:val="bottom"/>
          </w:tcPr>
          <w:p w14:paraId="71D43D5F" w14:textId="77777777" w:rsidR="006A3667" w:rsidRDefault="006A3667">
            <w:pPr>
              <w:rPr>
                <w:rFonts w:ascii="宋体"/>
                <w:vanish/>
              </w:rPr>
            </w:pPr>
          </w:p>
        </w:tc>
        <w:tc>
          <w:tcPr>
            <w:tcW w:w="0" w:type="auto"/>
            <w:gridSpan w:val="3"/>
            <w:shd w:val="clear" w:color="auto" w:fill="auto"/>
            <w:vAlign w:val="bottom"/>
          </w:tcPr>
          <w:p w14:paraId="71D43D60" w14:textId="77777777" w:rsidR="006A3667" w:rsidRDefault="006A3667">
            <w:pPr>
              <w:rPr>
                <w:rFonts w:ascii="宋体"/>
                <w:vanish/>
              </w:rPr>
            </w:pPr>
          </w:p>
        </w:tc>
        <w:tc>
          <w:tcPr>
            <w:tcW w:w="0" w:type="auto"/>
            <w:gridSpan w:val="3"/>
            <w:shd w:val="clear" w:color="auto" w:fill="auto"/>
            <w:vAlign w:val="bottom"/>
          </w:tcPr>
          <w:p w14:paraId="71D43D61" w14:textId="77777777" w:rsidR="006A3667" w:rsidRDefault="006A3667">
            <w:pPr>
              <w:rPr>
                <w:rFonts w:ascii="宋体"/>
                <w:vanish/>
              </w:rPr>
            </w:pPr>
          </w:p>
        </w:tc>
        <w:tc>
          <w:tcPr>
            <w:tcW w:w="0" w:type="auto"/>
            <w:gridSpan w:val="3"/>
            <w:shd w:val="clear" w:color="auto" w:fill="auto"/>
            <w:vAlign w:val="bottom"/>
          </w:tcPr>
          <w:p w14:paraId="71D43D62" w14:textId="77777777" w:rsidR="006A3667" w:rsidRDefault="006A3667">
            <w:pPr>
              <w:rPr>
                <w:rFonts w:ascii="宋体"/>
                <w:vanish/>
              </w:rPr>
            </w:pPr>
          </w:p>
        </w:tc>
        <w:tc>
          <w:tcPr>
            <w:tcW w:w="0" w:type="auto"/>
            <w:gridSpan w:val="3"/>
            <w:shd w:val="clear" w:color="auto" w:fill="auto"/>
            <w:vAlign w:val="bottom"/>
          </w:tcPr>
          <w:p w14:paraId="71D43D63" w14:textId="77777777" w:rsidR="006A3667" w:rsidRDefault="006A3667">
            <w:pPr>
              <w:rPr>
                <w:rFonts w:ascii="宋体"/>
                <w:vanish/>
              </w:rPr>
            </w:pPr>
          </w:p>
        </w:tc>
        <w:tc>
          <w:tcPr>
            <w:tcW w:w="0" w:type="auto"/>
            <w:gridSpan w:val="3"/>
            <w:shd w:val="clear" w:color="auto" w:fill="auto"/>
            <w:vAlign w:val="bottom"/>
          </w:tcPr>
          <w:p w14:paraId="71D43D64" w14:textId="77777777" w:rsidR="006A3667" w:rsidRDefault="006A3667">
            <w:pPr>
              <w:rPr>
                <w:rFonts w:ascii="宋体"/>
                <w:vanish/>
              </w:rPr>
            </w:pPr>
          </w:p>
        </w:tc>
        <w:tc>
          <w:tcPr>
            <w:tcW w:w="0" w:type="auto"/>
            <w:gridSpan w:val="3"/>
            <w:shd w:val="clear" w:color="auto" w:fill="auto"/>
            <w:vAlign w:val="bottom"/>
          </w:tcPr>
          <w:p w14:paraId="71D43D65" w14:textId="77777777" w:rsidR="006A3667" w:rsidRDefault="006A3667">
            <w:pPr>
              <w:rPr>
                <w:rFonts w:ascii="宋体"/>
                <w:vanish/>
              </w:rPr>
            </w:pPr>
          </w:p>
        </w:tc>
        <w:tc>
          <w:tcPr>
            <w:tcW w:w="0" w:type="auto"/>
            <w:gridSpan w:val="3"/>
            <w:shd w:val="clear" w:color="auto" w:fill="auto"/>
            <w:vAlign w:val="bottom"/>
          </w:tcPr>
          <w:p w14:paraId="71D43D66" w14:textId="77777777" w:rsidR="006A3667" w:rsidRDefault="006A3667">
            <w:pPr>
              <w:rPr>
                <w:rFonts w:ascii="宋体"/>
                <w:vanish/>
              </w:rPr>
            </w:pPr>
          </w:p>
        </w:tc>
        <w:tc>
          <w:tcPr>
            <w:tcW w:w="0" w:type="auto"/>
            <w:gridSpan w:val="3"/>
            <w:shd w:val="clear" w:color="auto" w:fill="auto"/>
            <w:vAlign w:val="bottom"/>
          </w:tcPr>
          <w:p w14:paraId="71D43D67" w14:textId="77777777" w:rsidR="006A3667" w:rsidRDefault="006A3667">
            <w:pPr>
              <w:rPr>
                <w:rFonts w:ascii="宋体"/>
                <w:vanish/>
              </w:rPr>
            </w:pPr>
          </w:p>
        </w:tc>
        <w:tc>
          <w:tcPr>
            <w:tcW w:w="0" w:type="auto"/>
            <w:gridSpan w:val="3"/>
            <w:shd w:val="clear" w:color="auto" w:fill="auto"/>
            <w:vAlign w:val="bottom"/>
          </w:tcPr>
          <w:p w14:paraId="71D43D68" w14:textId="77777777" w:rsidR="006A3667" w:rsidRDefault="006A3667">
            <w:pPr>
              <w:rPr>
                <w:rFonts w:ascii="宋体"/>
                <w:vanish/>
              </w:rPr>
            </w:pPr>
          </w:p>
        </w:tc>
        <w:tc>
          <w:tcPr>
            <w:tcW w:w="0" w:type="auto"/>
            <w:gridSpan w:val="3"/>
            <w:shd w:val="clear" w:color="auto" w:fill="auto"/>
            <w:vAlign w:val="bottom"/>
          </w:tcPr>
          <w:p w14:paraId="71D43D69" w14:textId="77777777" w:rsidR="006A3667" w:rsidRDefault="006A3667">
            <w:pPr>
              <w:rPr>
                <w:rFonts w:ascii="宋体"/>
                <w:vanish/>
              </w:rPr>
            </w:pPr>
          </w:p>
        </w:tc>
        <w:tc>
          <w:tcPr>
            <w:tcW w:w="0" w:type="auto"/>
            <w:gridSpan w:val="3"/>
            <w:shd w:val="clear" w:color="auto" w:fill="auto"/>
            <w:vAlign w:val="bottom"/>
          </w:tcPr>
          <w:p w14:paraId="71D43D6A" w14:textId="77777777" w:rsidR="006A3667" w:rsidRDefault="006A3667">
            <w:pPr>
              <w:rPr>
                <w:rFonts w:ascii="宋体"/>
                <w:vanish/>
              </w:rPr>
            </w:pPr>
          </w:p>
        </w:tc>
        <w:tc>
          <w:tcPr>
            <w:tcW w:w="0" w:type="auto"/>
            <w:gridSpan w:val="3"/>
            <w:shd w:val="clear" w:color="auto" w:fill="auto"/>
            <w:vAlign w:val="bottom"/>
          </w:tcPr>
          <w:p w14:paraId="71D43D6B" w14:textId="77777777" w:rsidR="006A3667" w:rsidRDefault="006A3667">
            <w:pPr>
              <w:rPr>
                <w:rFonts w:ascii="宋体"/>
                <w:vanish/>
              </w:rPr>
            </w:pPr>
          </w:p>
        </w:tc>
        <w:tc>
          <w:tcPr>
            <w:tcW w:w="0" w:type="auto"/>
            <w:gridSpan w:val="3"/>
            <w:shd w:val="clear" w:color="auto" w:fill="auto"/>
            <w:vAlign w:val="bottom"/>
          </w:tcPr>
          <w:p w14:paraId="71D43D6C" w14:textId="77777777" w:rsidR="006A3667" w:rsidRDefault="006A3667">
            <w:pPr>
              <w:rPr>
                <w:rFonts w:ascii="宋体"/>
                <w:vanish/>
              </w:rPr>
            </w:pPr>
          </w:p>
        </w:tc>
        <w:tc>
          <w:tcPr>
            <w:tcW w:w="0" w:type="auto"/>
            <w:gridSpan w:val="3"/>
            <w:shd w:val="clear" w:color="auto" w:fill="auto"/>
            <w:vAlign w:val="bottom"/>
          </w:tcPr>
          <w:p w14:paraId="71D43D6D" w14:textId="77777777" w:rsidR="006A3667" w:rsidRDefault="006A3667">
            <w:pPr>
              <w:rPr>
                <w:rFonts w:ascii="宋体"/>
                <w:vanish/>
              </w:rPr>
            </w:pPr>
          </w:p>
        </w:tc>
        <w:tc>
          <w:tcPr>
            <w:tcW w:w="0" w:type="auto"/>
            <w:shd w:val="clear" w:color="auto" w:fill="auto"/>
            <w:vAlign w:val="bottom"/>
          </w:tcPr>
          <w:p w14:paraId="71D43D6E" w14:textId="77777777" w:rsidR="006A3667" w:rsidRDefault="006A3667">
            <w:pPr>
              <w:rPr>
                <w:rFonts w:ascii="宋体"/>
              </w:rPr>
            </w:pPr>
          </w:p>
        </w:tc>
        <w:tc>
          <w:tcPr>
            <w:tcW w:w="0" w:type="auto"/>
            <w:shd w:val="clear" w:color="auto" w:fill="auto"/>
            <w:vAlign w:val="bottom"/>
          </w:tcPr>
          <w:p w14:paraId="71D43D6F" w14:textId="77777777" w:rsidR="006A3667" w:rsidRDefault="006A3667">
            <w:pPr>
              <w:rPr>
                <w:rFonts w:ascii="宋体"/>
              </w:rPr>
            </w:pPr>
          </w:p>
        </w:tc>
        <w:tc>
          <w:tcPr>
            <w:tcW w:w="0" w:type="auto"/>
            <w:shd w:val="clear" w:color="auto" w:fill="auto"/>
            <w:vAlign w:val="bottom"/>
          </w:tcPr>
          <w:p w14:paraId="71D43D70" w14:textId="77777777" w:rsidR="006A3667" w:rsidRDefault="006A3667">
            <w:pPr>
              <w:rPr>
                <w:rFonts w:ascii="宋体"/>
              </w:rPr>
            </w:pPr>
          </w:p>
        </w:tc>
      </w:tr>
      <w:tr w:rsidR="006A3667" w14:paraId="71D43D95" w14:textId="77777777">
        <w:trPr>
          <w:hidden/>
        </w:trPr>
        <w:tc>
          <w:tcPr>
            <w:tcW w:w="0" w:type="auto"/>
            <w:gridSpan w:val="3"/>
            <w:shd w:val="clear" w:color="auto" w:fill="auto"/>
            <w:vAlign w:val="bottom"/>
          </w:tcPr>
          <w:p w14:paraId="71D43D72" w14:textId="77777777" w:rsidR="006A3667" w:rsidRDefault="006A3667">
            <w:pPr>
              <w:rPr>
                <w:rFonts w:ascii="宋体"/>
                <w:vanish/>
              </w:rPr>
            </w:pPr>
          </w:p>
        </w:tc>
        <w:tc>
          <w:tcPr>
            <w:tcW w:w="0" w:type="auto"/>
            <w:gridSpan w:val="3"/>
            <w:shd w:val="clear" w:color="auto" w:fill="auto"/>
            <w:vAlign w:val="bottom"/>
          </w:tcPr>
          <w:p w14:paraId="71D43D73" w14:textId="77777777" w:rsidR="006A3667" w:rsidRDefault="006A3667">
            <w:pPr>
              <w:rPr>
                <w:rFonts w:ascii="宋体"/>
                <w:vanish/>
              </w:rPr>
            </w:pPr>
          </w:p>
        </w:tc>
        <w:tc>
          <w:tcPr>
            <w:tcW w:w="0" w:type="auto"/>
            <w:gridSpan w:val="3"/>
            <w:shd w:val="clear" w:color="auto" w:fill="auto"/>
            <w:vAlign w:val="bottom"/>
          </w:tcPr>
          <w:p w14:paraId="71D43D74" w14:textId="77777777" w:rsidR="006A3667" w:rsidRDefault="006A3667">
            <w:pPr>
              <w:rPr>
                <w:rFonts w:ascii="宋体"/>
                <w:vanish/>
              </w:rPr>
            </w:pPr>
          </w:p>
        </w:tc>
        <w:tc>
          <w:tcPr>
            <w:tcW w:w="0" w:type="auto"/>
            <w:gridSpan w:val="3"/>
            <w:shd w:val="clear" w:color="auto" w:fill="auto"/>
            <w:vAlign w:val="bottom"/>
          </w:tcPr>
          <w:p w14:paraId="71D43D75" w14:textId="77777777" w:rsidR="006A3667" w:rsidRDefault="006A3667">
            <w:pPr>
              <w:rPr>
                <w:rFonts w:ascii="宋体"/>
                <w:vanish/>
              </w:rPr>
            </w:pPr>
          </w:p>
        </w:tc>
        <w:tc>
          <w:tcPr>
            <w:tcW w:w="0" w:type="auto"/>
            <w:gridSpan w:val="3"/>
            <w:shd w:val="clear" w:color="auto" w:fill="auto"/>
            <w:vAlign w:val="bottom"/>
          </w:tcPr>
          <w:p w14:paraId="71D43D76" w14:textId="77777777" w:rsidR="006A3667" w:rsidRDefault="006A3667">
            <w:pPr>
              <w:rPr>
                <w:rFonts w:ascii="宋体"/>
                <w:vanish/>
              </w:rPr>
            </w:pPr>
          </w:p>
        </w:tc>
        <w:tc>
          <w:tcPr>
            <w:tcW w:w="0" w:type="auto"/>
            <w:gridSpan w:val="3"/>
            <w:shd w:val="clear" w:color="auto" w:fill="auto"/>
            <w:vAlign w:val="bottom"/>
          </w:tcPr>
          <w:p w14:paraId="71D43D77" w14:textId="77777777" w:rsidR="006A3667" w:rsidRDefault="006A3667">
            <w:pPr>
              <w:rPr>
                <w:rFonts w:ascii="宋体"/>
                <w:vanish/>
              </w:rPr>
            </w:pPr>
          </w:p>
        </w:tc>
        <w:tc>
          <w:tcPr>
            <w:tcW w:w="0" w:type="auto"/>
            <w:gridSpan w:val="3"/>
            <w:shd w:val="clear" w:color="auto" w:fill="auto"/>
            <w:vAlign w:val="bottom"/>
          </w:tcPr>
          <w:p w14:paraId="71D43D78" w14:textId="77777777" w:rsidR="006A3667" w:rsidRDefault="006A3667">
            <w:pPr>
              <w:rPr>
                <w:rFonts w:ascii="宋体"/>
                <w:vanish/>
              </w:rPr>
            </w:pPr>
          </w:p>
        </w:tc>
        <w:tc>
          <w:tcPr>
            <w:tcW w:w="0" w:type="auto"/>
            <w:gridSpan w:val="3"/>
            <w:shd w:val="clear" w:color="auto" w:fill="auto"/>
            <w:vAlign w:val="bottom"/>
          </w:tcPr>
          <w:p w14:paraId="71D43D79" w14:textId="77777777" w:rsidR="006A3667" w:rsidRDefault="006A3667">
            <w:pPr>
              <w:rPr>
                <w:rFonts w:ascii="宋体"/>
                <w:vanish/>
              </w:rPr>
            </w:pPr>
          </w:p>
        </w:tc>
        <w:tc>
          <w:tcPr>
            <w:tcW w:w="0" w:type="auto"/>
            <w:gridSpan w:val="3"/>
            <w:shd w:val="clear" w:color="auto" w:fill="auto"/>
            <w:vAlign w:val="bottom"/>
          </w:tcPr>
          <w:p w14:paraId="71D43D7A" w14:textId="77777777" w:rsidR="006A3667" w:rsidRDefault="006A3667">
            <w:pPr>
              <w:rPr>
                <w:rFonts w:ascii="宋体"/>
                <w:vanish/>
              </w:rPr>
            </w:pPr>
          </w:p>
        </w:tc>
        <w:tc>
          <w:tcPr>
            <w:tcW w:w="0" w:type="auto"/>
            <w:gridSpan w:val="3"/>
            <w:shd w:val="clear" w:color="auto" w:fill="auto"/>
            <w:vAlign w:val="bottom"/>
          </w:tcPr>
          <w:p w14:paraId="71D43D7B" w14:textId="77777777" w:rsidR="006A3667" w:rsidRDefault="006A3667">
            <w:pPr>
              <w:rPr>
                <w:rFonts w:ascii="宋体"/>
                <w:vanish/>
              </w:rPr>
            </w:pPr>
          </w:p>
        </w:tc>
        <w:tc>
          <w:tcPr>
            <w:tcW w:w="0" w:type="auto"/>
            <w:gridSpan w:val="3"/>
            <w:shd w:val="clear" w:color="auto" w:fill="auto"/>
            <w:vAlign w:val="bottom"/>
          </w:tcPr>
          <w:p w14:paraId="71D43D7C" w14:textId="77777777" w:rsidR="006A3667" w:rsidRDefault="006A3667">
            <w:pPr>
              <w:rPr>
                <w:rFonts w:ascii="宋体"/>
                <w:vanish/>
              </w:rPr>
            </w:pPr>
          </w:p>
        </w:tc>
        <w:tc>
          <w:tcPr>
            <w:tcW w:w="0" w:type="auto"/>
            <w:gridSpan w:val="3"/>
            <w:shd w:val="clear" w:color="auto" w:fill="auto"/>
            <w:vAlign w:val="bottom"/>
          </w:tcPr>
          <w:p w14:paraId="71D43D7D" w14:textId="77777777" w:rsidR="006A3667" w:rsidRDefault="006A3667">
            <w:pPr>
              <w:rPr>
                <w:rFonts w:ascii="宋体"/>
                <w:vanish/>
              </w:rPr>
            </w:pPr>
          </w:p>
        </w:tc>
        <w:tc>
          <w:tcPr>
            <w:tcW w:w="0" w:type="auto"/>
            <w:gridSpan w:val="3"/>
            <w:shd w:val="clear" w:color="auto" w:fill="auto"/>
            <w:vAlign w:val="bottom"/>
          </w:tcPr>
          <w:p w14:paraId="71D43D7E" w14:textId="77777777" w:rsidR="006A3667" w:rsidRDefault="006A3667">
            <w:pPr>
              <w:rPr>
                <w:rFonts w:ascii="宋体"/>
                <w:vanish/>
              </w:rPr>
            </w:pPr>
          </w:p>
        </w:tc>
        <w:tc>
          <w:tcPr>
            <w:tcW w:w="0" w:type="auto"/>
            <w:gridSpan w:val="3"/>
            <w:shd w:val="clear" w:color="auto" w:fill="auto"/>
            <w:vAlign w:val="bottom"/>
          </w:tcPr>
          <w:p w14:paraId="71D43D7F" w14:textId="77777777" w:rsidR="006A3667" w:rsidRDefault="006A3667">
            <w:pPr>
              <w:rPr>
                <w:rFonts w:ascii="宋体"/>
                <w:vanish/>
              </w:rPr>
            </w:pPr>
          </w:p>
        </w:tc>
        <w:tc>
          <w:tcPr>
            <w:tcW w:w="0" w:type="auto"/>
            <w:shd w:val="clear" w:color="auto" w:fill="auto"/>
            <w:vAlign w:val="bottom"/>
          </w:tcPr>
          <w:p w14:paraId="71D43D80" w14:textId="77777777" w:rsidR="006A3667" w:rsidRDefault="006A3667">
            <w:pPr>
              <w:rPr>
                <w:rFonts w:ascii="宋体"/>
              </w:rPr>
            </w:pPr>
          </w:p>
        </w:tc>
        <w:tc>
          <w:tcPr>
            <w:tcW w:w="0" w:type="auto"/>
            <w:shd w:val="clear" w:color="auto" w:fill="auto"/>
            <w:vAlign w:val="bottom"/>
          </w:tcPr>
          <w:p w14:paraId="71D43D81" w14:textId="77777777" w:rsidR="006A3667" w:rsidRDefault="006A3667">
            <w:pPr>
              <w:rPr>
                <w:rFonts w:ascii="宋体"/>
              </w:rPr>
            </w:pPr>
          </w:p>
        </w:tc>
        <w:tc>
          <w:tcPr>
            <w:tcW w:w="0" w:type="auto"/>
            <w:shd w:val="clear" w:color="auto" w:fill="auto"/>
            <w:vAlign w:val="bottom"/>
          </w:tcPr>
          <w:p w14:paraId="71D43D82" w14:textId="77777777" w:rsidR="006A3667" w:rsidRDefault="006A3667">
            <w:pPr>
              <w:rPr>
                <w:rFonts w:ascii="宋体"/>
              </w:rPr>
            </w:pPr>
          </w:p>
        </w:tc>
        <w:tc>
          <w:tcPr>
            <w:tcW w:w="0" w:type="auto"/>
            <w:shd w:val="clear" w:color="auto" w:fill="auto"/>
            <w:vAlign w:val="bottom"/>
          </w:tcPr>
          <w:p w14:paraId="71D43D83" w14:textId="77777777" w:rsidR="006A3667" w:rsidRDefault="006A3667">
            <w:pPr>
              <w:rPr>
                <w:rFonts w:ascii="宋体"/>
              </w:rPr>
            </w:pPr>
          </w:p>
        </w:tc>
        <w:tc>
          <w:tcPr>
            <w:tcW w:w="0" w:type="auto"/>
            <w:shd w:val="clear" w:color="auto" w:fill="auto"/>
            <w:vAlign w:val="bottom"/>
          </w:tcPr>
          <w:p w14:paraId="71D43D84" w14:textId="77777777" w:rsidR="006A3667" w:rsidRDefault="006A3667">
            <w:pPr>
              <w:rPr>
                <w:rFonts w:ascii="宋体"/>
              </w:rPr>
            </w:pPr>
          </w:p>
        </w:tc>
        <w:tc>
          <w:tcPr>
            <w:tcW w:w="0" w:type="auto"/>
            <w:shd w:val="clear" w:color="auto" w:fill="auto"/>
            <w:vAlign w:val="bottom"/>
          </w:tcPr>
          <w:p w14:paraId="71D43D85" w14:textId="77777777" w:rsidR="006A3667" w:rsidRDefault="006A3667">
            <w:pPr>
              <w:rPr>
                <w:rFonts w:ascii="宋体"/>
              </w:rPr>
            </w:pPr>
          </w:p>
        </w:tc>
        <w:tc>
          <w:tcPr>
            <w:tcW w:w="0" w:type="auto"/>
            <w:shd w:val="clear" w:color="auto" w:fill="auto"/>
            <w:vAlign w:val="bottom"/>
          </w:tcPr>
          <w:p w14:paraId="71D43D86" w14:textId="77777777" w:rsidR="006A3667" w:rsidRDefault="006A3667">
            <w:pPr>
              <w:rPr>
                <w:rFonts w:ascii="宋体"/>
              </w:rPr>
            </w:pPr>
          </w:p>
        </w:tc>
        <w:tc>
          <w:tcPr>
            <w:tcW w:w="0" w:type="auto"/>
            <w:shd w:val="clear" w:color="auto" w:fill="auto"/>
            <w:vAlign w:val="bottom"/>
          </w:tcPr>
          <w:p w14:paraId="71D43D87" w14:textId="77777777" w:rsidR="006A3667" w:rsidRDefault="006A3667">
            <w:pPr>
              <w:rPr>
                <w:rFonts w:ascii="宋体"/>
              </w:rPr>
            </w:pPr>
          </w:p>
        </w:tc>
        <w:tc>
          <w:tcPr>
            <w:tcW w:w="0" w:type="auto"/>
            <w:shd w:val="clear" w:color="auto" w:fill="auto"/>
            <w:vAlign w:val="bottom"/>
          </w:tcPr>
          <w:p w14:paraId="71D43D88" w14:textId="77777777" w:rsidR="006A3667" w:rsidRDefault="006A3667">
            <w:pPr>
              <w:rPr>
                <w:rFonts w:ascii="宋体"/>
              </w:rPr>
            </w:pPr>
          </w:p>
        </w:tc>
        <w:tc>
          <w:tcPr>
            <w:tcW w:w="0" w:type="auto"/>
            <w:shd w:val="clear" w:color="auto" w:fill="auto"/>
            <w:vAlign w:val="bottom"/>
          </w:tcPr>
          <w:p w14:paraId="71D43D89" w14:textId="77777777" w:rsidR="006A3667" w:rsidRDefault="006A3667">
            <w:pPr>
              <w:rPr>
                <w:rFonts w:ascii="宋体"/>
              </w:rPr>
            </w:pPr>
          </w:p>
        </w:tc>
        <w:tc>
          <w:tcPr>
            <w:tcW w:w="0" w:type="auto"/>
            <w:shd w:val="clear" w:color="auto" w:fill="auto"/>
            <w:vAlign w:val="bottom"/>
          </w:tcPr>
          <w:p w14:paraId="71D43D8A" w14:textId="77777777" w:rsidR="006A3667" w:rsidRDefault="006A3667">
            <w:pPr>
              <w:rPr>
                <w:rFonts w:ascii="宋体"/>
              </w:rPr>
            </w:pPr>
          </w:p>
        </w:tc>
        <w:tc>
          <w:tcPr>
            <w:tcW w:w="0" w:type="auto"/>
            <w:shd w:val="clear" w:color="auto" w:fill="auto"/>
            <w:vAlign w:val="bottom"/>
          </w:tcPr>
          <w:p w14:paraId="71D43D8B" w14:textId="77777777" w:rsidR="006A3667" w:rsidRDefault="006A3667">
            <w:pPr>
              <w:rPr>
                <w:rFonts w:ascii="宋体"/>
              </w:rPr>
            </w:pPr>
          </w:p>
        </w:tc>
        <w:tc>
          <w:tcPr>
            <w:tcW w:w="0" w:type="auto"/>
            <w:shd w:val="clear" w:color="auto" w:fill="auto"/>
            <w:vAlign w:val="bottom"/>
          </w:tcPr>
          <w:p w14:paraId="71D43D8C" w14:textId="77777777" w:rsidR="006A3667" w:rsidRDefault="006A3667">
            <w:pPr>
              <w:rPr>
                <w:rFonts w:ascii="宋体"/>
              </w:rPr>
            </w:pPr>
          </w:p>
        </w:tc>
        <w:tc>
          <w:tcPr>
            <w:tcW w:w="0" w:type="auto"/>
            <w:shd w:val="clear" w:color="auto" w:fill="auto"/>
            <w:vAlign w:val="bottom"/>
          </w:tcPr>
          <w:p w14:paraId="71D43D8D" w14:textId="77777777" w:rsidR="006A3667" w:rsidRDefault="006A3667">
            <w:pPr>
              <w:rPr>
                <w:rFonts w:ascii="宋体"/>
              </w:rPr>
            </w:pPr>
          </w:p>
        </w:tc>
        <w:tc>
          <w:tcPr>
            <w:tcW w:w="0" w:type="auto"/>
            <w:shd w:val="clear" w:color="auto" w:fill="auto"/>
            <w:vAlign w:val="bottom"/>
          </w:tcPr>
          <w:p w14:paraId="71D43D8E" w14:textId="77777777" w:rsidR="006A3667" w:rsidRDefault="006A3667">
            <w:pPr>
              <w:rPr>
                <w:rFonts w:ascii="宋体"/>
              </w:rPr>
            </w:pPr>
          </w:p>
        </w:tc>
        <w:tc>
          <w:tcPr>
            <w:tcW w:w="0" w:type="auto"/>
            <w:shd w:val="clear" w:color="auto" w:fill="auto"/>
            <w:vAlign w:val="bottom"/>
          </w:tcPr>
          <w:p w14:paraId="71D43D8F" w14:textId="77777777" w:rsidR="006A3667" w:rsidRDefault="006A3667">
            <w:pPr>
              <w:rPr>
                <w:rFonts w:ascii="宋体"/>
              </w:rPr>
            </w:pPr>
          </w:p>
        </w:tc>
        <w:tc>
          <w:tcPr>
            <w:tcW w:w="0" w:type="auto"/>
            <w:shd w:val="clear" w:color="auto" w:fill="auto"/>
            <w:vAlign w:val="bottom"/>
          </w:tcPr>
          <w:p w14:paraId="71D43D90" w14:textId="77777777" w:rsidR="006A3667" w:rsidRDefault="006A3667">
            <w:pPr>
              <w:rPr>
                <w:rFonts w:ascii="宋体"/>
              </w:rPr>
            </w:pPr>
          </w:p>
        </w:tc>
        <w:tc>
          <w:tcPr>
            <w:tcW w:w="0" w:type="auto"/>
            <w:shd w:val="clear" w:color="auto" w:fill="auto"/>
            <w:vAlign w:val="bottom"/>
          </w:tcPr>
          <w:p w14:paraId="71D43D91" w14:textId="77777777" w:rsidR="006A3667" w:rsidRDefault="006A3667">
            <w:pPr>
              <w:rPr>
                <w:rFonts w:ascii="宋体"/>
              </w:rPr>
            </w:pPr>
          </w:p>
        </w:tc>
        <w:tc>
          <w:tcPr>
            <w:tcW w:w="0" w:type="auto"/>
            <w:shd w:val="clear" w:color="auto" w:fill="auto"/>
            <w:vAlign w:val="bottom"/>
          </w:tcPr>
          <w:p w14:paraId="71D43D92" w14:textId="77777777" w:rsidR="006A3667" w:rsidRDefault="006A3667">
            <w:pPr>
              <w:rPr>
                <w:rFonts w:ascii="宋体"/>
              </w:rPr>
            </w:pPr>
          </w:p>
        </w:tc>
        <w:tc>
          <w:tcPr>
            <w:tcW w:w="0" w:type="auto"/>
            <w:shd w:val="clear" w:color="auto" w:fill="auto"/>
            <w:vAlign w:val="bottom"/>
          </w:tcPr>
          <w:p w14:paraId="71D43D93" w14:textId="77777777" w:rsidR="006A3667" w:rsidRDefault="006A3667">
            <w:pPr>
              <w:rPr>
                <w:rFonts w:ascii="宋体"/>
              </w:rPr>
            </w:pPr>
          </w:p>
        </w:tc>
        <w:tc>
          <w:tcPr>
            <w:tcW w:w="0" w:type="auto"/>
            <w:shd w:val="clear" w:color="auto" w:fill="auto"/>
            <w:vAlign w:val="bottom"/>
          </w:tcPr>
          <w:p w14:paraId="71D43D94" w14:textId="77777777" w:rsidR="006A3667" w:rsidRDefault="006A3667">
            <w:pPr>
              <w:rPr>
                <w:rFonts w:ascii="宋体"/>
              </w:rPr>
            </w:pPr>
          </w:p>
        </w:tc>
      </w:tr>
      <w:tr w:rsidR="006A3667" w14:paraId="71D43DAC" w14:textId="77777777">
        <w:trPr>
          <w:hidden/>
        </w:trPr>
        <w:tc>
          <w:tcPr>
            <w:tcW w:w="0" w:type="auto"/>
            <w:gridSpan w:val="3"/>
            <w:shd w:val="clear" w:color="auto" w:fill="auto"/>
            <w:vAlign w:val="bottom"/>
          </w:tcPr>
          <w:p w14:paraId="71D43D96" w14:textId="77777777" w:rsidR="006A3667" w:rsidRDefault="006A3667">
            <w:pPr>
              <w:rPr>
                <w:rFonts w:ascii="宋体"/>
                <w:vanish/>
              </w:rPr>
            </w:pPr>
          </w:p>
        </w:tc>
        <w:tc>
          <w:tcPr>
            <w:tcW w:w="0" w:type="auto"/>
            <w:gridSpan w:val="3"/>
            <w:shd w:val="clear" w:color="auto" w:fill="auto"/>
            <w:vAlign w:val="bottom"/>
          </w:tcPr>
          <w:p w14:paraId="71D43D97" w14:textId="77777777" w:rsidR="006A3667" w:rsidRDefault="006A3667">
            <w:pPr>
              <w:rPr>
                <w:rFonts w:ascii="宋体"/>
                <w:vanish/>
              </w:rPr>
            </w:pPr>
          </w:p>
        </w:tc>
        <w:tc>
          <w:tcPr>
            <w:tcW w:w="0" w:type="auto"/>
            <w:gridSpan w:val="3"/>
            <w:shd w:val="clear" w:color="auto" w:fill="auto"/>
            <w:vAlign w:val="bottom"/>
          </w:tcPr>
          <w:p w14:paraId="71D43D98" w14:textId="77777777" w:rsidR="006A3667" w:rsidRDefault="006A3667">
            <w:pPr>
              <w:rPr>
                <w:rFonts w:ascii="宋体"/>
                <w:vanish/>
              </w:rPr>
            </w:pPr>
          </w:p>
        </w:tc>
        <w:tc>
          <w:tcPr>
            <w:tcW w:w="0" w:type="auto"/>
            <w:gridSpan w:val="3"/>
            <w:shd w:val="clear" w:color="auto" w:fill="auto"/>
            <w:vAlign w:val="bottom"/>
          </w:tcPr>
          <w:p w14:paraId="71D43D99" w14:textId="77777777" w:rsidR="006A3667" w:rsidRDefault="006A3667">
            <w:pPr>
              <w:rPr>
                <w:rFonts w:ascii="宋体"/>
                <w:vanish/>
              </w:rPr>
            </w:pPr>
          </w:p>
        </w:tc>
        <w:tc>
          <w:tcPr>
            <w:tcW w:w="0" w:type="auto"/>
            <w:gridSpan w:val="3"/>
            <w:shd w:val="clear" w:color="auto" w:fill="auto"/>
            <w:vAlign w:val="bottom"/>
          </w:tcPr>
          <w:p w14:paraId="71D43D9A" w14:textId="77777777" w:rsidR="006A3667" w:rsidRDefault="006A3667">
            <w:pPr>
              <w:rPr>
                <w:rFonts w:ascii="宋体"/>
                <w:vanish/>
              </w:rPr>
            </w:pPr>
          </w:p>
        </w:tc>
        <w:tc>
          <w:tcPr>
            <w:tcW w:w="0" w:type="auto"/>
            <w:gridSpan w:val="3"/>
            <w:shd w:val="clear" w:color="auto" w:fill="auto"/>
            <w:vAlign w:val="bottom"/>
          </w:tcPr>
          <w:p w14:paraId="71D43D9B" w14:textId="77777777" w:rsidR="006A3667" w:rsidRDefault="006A3667">
            <w:pPr>
              <w:rPr>
                <w:rFonts w:ascii="宋体"/>
                <w:vanish/>
              </w:rPr>
            </w:pPr>
          </w:p>
        </w:tc>
        <w:tc>
          <w:tcPr>
            <w:tcW w:w="0" w:type="auto"/>
            <w:gridSpan w:val="3"/>
            <w:shd w:val="clear" w:color="auto" w:fill="auto"/>
            <w:vAlign w:val="bottom"/>
          </w:tcPr>
          <w:p w14:paraId="71D43D9C" w14:textId="77777777" w:rsidR="006A3667" w:rsidRDefault="006A3667">
            <w:pPr>
              <w:rPr>
                <w:rFonts w:ascii="宋体"/>
                <w:vanish/>
              </w:rPr>
            </w:pPr>
          </w:p>
        </w:tc>
        <w:tc>
          <w:tcPr>
            <w:tcW w:w="0" w:type="auto"/>
            <w:gridSpan w:val="3"/>
            <w:shd w:val="clear" w:color="auto" w:fill="auto"/>
            <w:vAlign w:val="bottom"/>
          </w:tcPr>
          <w:p w14:paraId="71D43D9D" w14:textId="77777777" w:rsidR="006A3667" w:rsidRDefault="006A3667">
            <w:pPr>
              <w:rPr>
                <w:rFonts w:ascii="宋体"/>
                <w:vanish/>
              </w:rPr>
            </w:pPr>
          </w:p>
        </w:tc>
        <w:tc>
          <w:tcPr>
            <w:tcW w:w="0" w:type="auto"/>
            <w:gridSpan w:val="3"/>
            <w:shd w:val="clear" w:color="auto" w:fill="auto"/>
            <w:vAlign w:val="bottom"/>
          </w:tcPr>
          <w:p w14:paraId="71D43D9E" w14:textId="77777777" w:rsidR="006A3667" w:rsidRDefault="006A3667">
            <w:pPr>
              <w:rPr>
                <w:rFonts w:ascii="宋体"/>
                <w:vanish/>
              </w:rPr>
            </w:pPr>
          </w:p>
        </w:tc>
        <w:tc>
          <w:tcPr>
            <w:tcW w:w="0" w:type="auto"/>
            <w:gridSpan w:val="3"/>
            <w:shd w:val="clear" w:color="auto" w:fill="auto"/>
            <w:vAlign w:val="bottom"/>
          </w:tcPr>
          <w:p w14:paraId="71D43D9F" w14:textId="77777777" w:rsidR="006A3667" w:rsidRDefault="006A3667">
            <w:pPr>
              <w:rPr>
                <w:rFonts w:ascii="宋体"/>
                <w:vanish/>
              </w:rPr>
            </w:pPr>
          </w:p>
        </w:tc>
        <w:tc>
          <w:tcPr>
            <w:tcW w:w="0" w:type="auto"/>
            <w:gridSpan w:val="3"/>
            <w:shd w:val="clear" w:color="auto" w:fill="auto"/>
            <w:vAlign w:val="bottom"/>
          </w:tcPr>
          <w:p w14:paraId="71D43DA0" w14:textId="77777777" w:rsidR="006A3667" w:rsidRDefault="006A3667">
            <w:pPr>
              <w:rPr>
                <w:rFonts w:ascii="宋体"/>
                <w:vanish/>
              </w:rPr>
            </w:pPr>
          </w:p>
        </w:tc>
        <w:tc>
          <w:tcPr>
            <w:tcW w:w="0" w:type="auto"/>
            <w:gridSpan w:val="3"/>
            <w:shd w:val="clear" w:color="auto" w:fill="auto"/>
            <w:vAlign w:val="bottom"/>
          </w:tcPr>
          <w:p w14:paraId="71D43DA1" w14:textId="77777777" w:rsidR="006A3667" w:rsidRDefault="006A3667">
            <w:pPr>
              <w:rPr>
                <w:rFonts w:ascii="宋体"/>
                <w:vanish/>
              </w:rPr>
            </w:pPr>
          </w:p>
        </w:tc>
        <w:tc>
          <w:tcPr>
            <w:tcW w:w="0" w:type="auto"/>
            <w:gridSpan w:val="3"/>
            <w:shd w:val="clear" w:color="auto" w:fill="auto"/>
            <w:vAlign w:val="bottom"/>
          </w:tcPr>
          <w:p w14:paraId="71D43DA2" w14:textId="77777777" w:rsidR="006A3667" w:rsidRDefault="006A3667">
            <w:pPr>
              <w:rPr>
                <w:rFonts w:ascii="宋体"/>
                <w:vanish/>
              </w:rPr>
            </w:pPr>
          </w:p>
        </w:tc>
        <w:tc>
          <w:tcPr>
            <w:tcW w:w="0" w:type="auto"/>
            <w:gridSpan w:val="3"/>
            <w:shd w:val="clear" w:color="auto" w:fill="auto"/>
            <w:vAlign w:val="bottom"/>
          </w:tcPr>
          <w:p w14:paraId="71D43DA3" w14:textId="77777777" w:rsidR="006A3667" w:rsidRDefault="006A3667">
            <w:pPr>
              <w:rPr>
                <w:rFonts w:ascii="宋体"/>
                <w:vanish/>
              </w:rPr>
            </w:pPr>
          </w:p>
        </w:tc>
        <w:tc>
          <w:tcPr>
            <w:tcW w:w="0" w:type="auto"/>
            <w:gridSpan w:val="3"/>
            <w:shd w:val="clear" w:color="auto" w:fill="auto"/>
            <w:vAlign w:val="bottom"/>
          </w:tcPr>
          <w:p w14:paraId="71D43DA4" w14:textId="77777777" w:rsidR="006A3667" w:rsidRDefault="006A3667">
            <w:pPr>
              <w:rPr>
                <w:rFonts w:ascii="宋体"/>
                <w:vanish/>
              </w:rPr>
            </w:pPr>
          </w:p>
        </w:tc>
        <w:tc>
          <w:tcPr>
            <w:tcW w:w="0" w:type="auto"/>
            <w:gridSpan w:val="3"/>
            <w:shd w:val="clear" w:color="auto" w:fill="auto"/>
            <w:vAlign w:val="bottom"/>
          </w:tcPr>
          <w:p w14:paraId="71D43DA5" w14:textId="77777777" w:rsidR="006A3667" w:rsidRDefault="006A3667">
            <w:pPr>
              <w:rPr>
                <w:rFonts w:ascii="宋体"/>
                <w:vanish/>
              </w:rPr>
            </w:pPr>
          </w:p>
        </w:tc>
        <w:tc>
          <w:tcPr>
            <w:tcW w:w="0" w:type="auto"/>
            <w:gridSpan w:val="3"/>
            <w:shd w:val="clear" w:color="auto" w:fill="auto"/>
            <w:vAlign w:val="bottom"/>
          </w:tcPr>
          <w:p w14:paraId="71D43DA6" w14:textId="77777777" w:rsidR="006A3667" w:rsidRDefault="006A3667">
            <w:pPr>
              <w:rPr>
                <w:rFonts w:ascii="宋体"/>
                <w:vanish/>
              </w:rPr>
            </w:pPr>
          </w:p>
        </w:tc>
        <w:tc>
          <w:tcPr>
            <w:tcW w:w="0" w:type="auto"/>
            <w:gridSpan w:val="3"/>
            <w:shd w:val="clear" w:color="auto" w:fill="auto"/>
            <w:vAlign w:val="bottom"/>
          </w:tcPr>
          <w:p w14:paraId="71D43DA7" w14:textId="77777777" w:rsidR="006A3667" w:rsidRDefault="006A3667">
            <w:pPr>
              <w:rPr>
                <w:rFonts w:ascii="宋体"/>
                <w:vanish/>
              </w:rPr>
            </w:pPr>
          </w:p>
        </w:tc>
        <w:tc>
          <w:tcPr>
            <w:tcW w:w="0" w:type="auto"/>
            <w:gridSpan w:val="3"/>
            <w:shd w:val="clear" w:color="auto" w:fill="auto"/>
            <w:vAlign w:val="bottom"/>
          </w:tcPr>
          <w:p w14:paraId="71D43DA8" w14:textId="77777777" w:rsidR="006A3667" w:rsidRDefault="006A3667">
            <w:pPr>
              <w:rPr>
                <w:rFonts w:ascii="宋体"/>
                <w:vanish/>
              </w:rPr>
            </w:pPr>
          </w:p>
        </w:tc>
        <w:tc>
          <w:tcPr>
            <w:tcW w:w="0" w:type="auto"/>
            <w:gridSpan w:val="3"/>
            <w:shd w:val="clear" w:color="auto" w:fill="auto"/>
            <w:vAlign w:val="bottom"/>
          </w:tcPr>
          <w:p w14:paraId="71D43DA9" w14:textId="77777777" w:rsidR="006A3667" w:rsidRDefault="006A3667">
            <w:pPr>
              <w:rPr>
                <w:rFonts w:ascii="宋体"/>
                <w:vanish/>
              </w:rPr>
            </w:pPr>
          </w:p>
        </w:tc>
        <w:tc>
          <w:tcPr>
            <w:tcW w:w="0" w:type="auto"/>
            <w:gridSpan w:val="2"/>
            <w:shd w:val="clear" w:color="auto" w:fill="auto"/>
            <w:vAlign w:val="bottom"/>
          </w:tcPr>
          <w:p w14:paraId="71D43DAA" w14:textId="77777777" w:rsidR="006A3667" w:rsidRDefault="006A3667">
            <w:pPr>
              <w:rPr>
                <w:rFonts w:ascii="宋体"/>
                <w:vanish/>
              </w:rPr>
            </w:pPr>
          </w:p>
        </w:tc>
        <w:tc>
          <w:tcPr>
            <w:tcW w:w="0" w:type="auto"/>
            <w:shd w:val="clear" w:color="auto" w:fill="auto"/>
            <w:vAlign w:val="bottom"/>
          </w:tcPr>
          <w:p w14:paraId="71D43DAB" w14:textId="77777777" w:rsidR="006A3667" w:rsidRDefault="006A3667">
            <w:pPr>
              <w:rPr>
                <w:rFonts w:ascii="宋体"/>
                <w:vanish/>
              </w:rPr>
            </w:pPr>
          </w:p>
        </w:tc>
      </w:tr>
      <w:tr w:rsidR="006A3667" w14:paraId="71D43DC3" w14:textId="77777777">
        <w:trPr>
          <w:hidden/>
        </w:trPr>
        <w:tc>
          <w:tcPr>
            <w:tcW w:w="0" w:type="auto"/>
            <w:gridSpan w:val="3"/>
            <w:shd w:val="clear" w:color="auto" w:fill="auto"/>
            <w:vAlign w:val="bottom"/>
          </w:tcPr>
          <w:p w14:paraId="71D43DAD" w14:textId="77777777" w:rsidR="006A3667" w:rsidRDefault="006A3667">
            <w:pPr>
              <w:rPr>
                <w:rFonts w:ascii="宋体"/>
                <w:vanish/>
              </w:rPr>
            </w:pPr>
          </w:p>
        </w:tc>
        <w:tc>
          <w:tcPr>
            <w:tcW w:w="0" w:type="auto"/>
            <w:gridSpan w:val="3"/>
            <w:shd w:val="clear" w:color="auto" w:fill="auto"/>
            <w:vAlign w:val="bottom"/>
          </w:tcPr>
          <w:p w14:paraId="71D43DAE" w14:textId="77777777" w:rsidR="006A3667" w:rsidRDefault="006A3667">
            <w:pPr>
              <w:rPr>
                <w:rFonts w:ascii="宋体"/>
                <w:vanish/>
              </w:rPr>
            </w:pPr>
          </w:p>
        </w:tc>
        <w:tc>
          <w:tcPr>
            <w:tcW w:w="0" w:type="auto"/>
            <w:gridSpan w:val="3"/>
            <w:shd w:val="clear" w:color="auto" w:fill="auto"/>
            <w:vAlign w:val="bottom"/>
          </w:tcPr>
          <w:p w14:paraId="71D43DAF" w14:textId="77777777" w:rsidR="006A3667" w:rsidRDefault="006A3667">
            <w:pPr>
              <w:rPr>
                <w:rFonts w:ascii="宋体"/>
                <w:vanish/>
              </w:rPr>
            </w:pPr>
          </w:p>
        </w:tc>
        <w:tc>
          <w:tcPr>
            <w:tcW w:w="0" w:type="auto"/>
            <w:gridSpan w:val="3"/>
            <w:shd w:val="clear" w:color="auto" w:fill="auto"/>
            <w:vAlign w:val="bottom"/>
          </w:tcPr>
          <w:p w14:paraId="71D43DB0" w14:textId="77777777" w:rsidR="006A3667" w:rsidRDefault="006A3667">
            <w:pPr>
              <w:rPr>
                <w:rFonts w:ascii="宋体"/>
                <w:vanish/>
              </w:rPr>
            </w:pPr>
          </w:p>
        </w:tc>
        <w:tc>
          <w:tcPr>
            <w:tcW w:w="0" w:type="auto"/>
            <w:gridSpan w:val="3"/>
            <w:shd w:val="clear" w:color="auto" w:fill="auto"/>
            <w:vAlign w:val="bottom"/>
          </w:tcPr>
          <w:p w14:paraId="71D43DB1" w14:textId="77777777" w:rsidR="006A3667" w:rsidRDefault="006A3667">
            <w:pPr>
              <w:rPr>
                <w:rFonts w:ascii="宋体"/>
                <w:vanish/>
              </w:rPr>
            </w:pPr>
          </w:p>
        </w:tc>
        <w:tc>
          <w:tcPr>
            <w:tcW w:w="0" w:type="auto"/>
            <w:gridSpan w:val="3"/>
            <w:shd w:val="clear" w:color="auto" w:fill="auto"/>
            <w:vAlign w:val="bottom"/>
          </w:tcPr>
          <w:p w14:paraId="71D43DB2" w14:textId="77777777" w:rsidR="006A3667" w:rsidRDefault="006A3667">
            <w:pPr>
              <w:rPr>
                <w:rFonts w:ascii="宋体"/>
                <w:vanish/>
              </w:rPr>
            </w:pPr>
          </w:p>
        </w:tc>
        <w:tc>
          <w:tcPr>
            <w:tcW w:w="0" w:type="auto"/>
            <w:gridSpan w:val="3"/>
            <w:shd w:val="clear" w:color="auto" w:fill="auto"/>
            <w:vAlign w:val="bottom"/>
          </w:tcPr>
          <w:p w14:paraId="71D43DB3" w14:textId="77777777" w:rsidR="006A3667" w:rsidRDefault="006A3667">
            <w:pPr>
              <w:rPr>
                <w:rFonts w:ascii="宋体"/>
                <w:vanish/>
              </w:rPr>
            </w:pPr>
          </w:p>
        </w:tc>
        <w:tc>
          <w:tcPr>
            <w:tcW w:w="0" w:type="auto"/>
            <w:gridSpan w:val="3"/>
            <w:shd w:val="clear" w:color="auto" w:fill="auto"/>
            <w:vAlign w:val="bottom"/>
          </w:tcPr>
          <w:p w14:paraId="71D43DB4" w14:textId="77777777" w:rsidR="006A3667" w:rsidRDefault="006A3667">
            <w:pPr>
              <w:rPr>
                <w:rFonts w:ascii="宋体"/>
                <w:vanish/>
              </w:rPr>
            </w:pPr>
          </w:p>
        </w:tc>
        <w:tc>
          <w:tcPr>
            <w:tcW w:w="0" w:type="auto"/>
            <w:gridSpan w:val="3"/>
            <w:shd w:val="clear" w:color="auto" w:fill="auto"/>
            <w:vAlign w:val="bottom"/>
          </w:tcPr>
          <w:p w14:paraId="71D43DB5" w14:textId="77777777" w:rsidR="006A3667" w:rsidRDefault="006A3667">
            <w:pPr>
              <w:rPr>
                <w:rFonts w:ascii="宋体"/>
                <w:vanish/>
              </w:rPr>
            </w:pPr>
          </w:p>
        </w:tc>
        <w:tc>
          <w:tcPr>
            <w:tcW w:w="0" w:type="auto"/>
            <w:gridSpan w:val="3"/>
            <w:shd w:val="clear" w:color="auto" w:fill="auto"/>
            <w:vAlign w:val="bottom"/>
          </w:tcPr>
          <w:p w14:paraId="71D43DB6" w14:textId="77777777" w:rsidR="006A3667" w:rsidRDefault="006A3667">
            <w:pPr>
              <w:rPr>
                <w:rFonts w:ascii="宋体"/>
                <w:vanish/>
              </w:rPr>
            </w:pPr>
          </w:p>
        </w:tc>
        <w:tc>
          <w:tcPr>
            <w:tcW w:w="0" w:type="auto"/>
            <w:gridSpan w:val="3"/>
            <w:shd w:val="clear" w:color="auto" w:fill="auto"/>
            <w:vAlign w:val="bottom"/>
          </w:tcPr>
          <w:p w14:paraId="71D43DB7" w14:textId="77777777" w:rsidR="006A3667" w:rsidRDefault="006A3667">
            <w:pPr>
              <w:rPr>
                <w:rFonts w:ascii="宋体"/>
                <w:vanish/>
              </w:rPr>
            </w:pPr>
          </w:p>
        </w:tc>
        <w:tc>
          <w:tcPr>
            <w:tcW w:w="0" w:type="auto"/>
            <w:gridSpan w:val="3"/>
            <w:shd w:val="clear" w:color="auto" w:fill="auto"/>
            <w:vAlign w:val="bottom"/>
          </w:tcPr>
          <w:p w14:paraId="71D43DB8" w14:textId="77777777" w:rsidR="006A3667" w:rsidRDefault="006A3667">
            <w:pPr>
              <w:rPr>
                <w:rFonts w:ascii="宋体"/>
                <w:vanish/>
              </w:rPr>
            </w:pPr>
          </w:p>
        </w:tc>
        <w:tc>
          <w:tcPr>
            <w:tcW w:w="0" w:type="auto"/>
            <w:gridSpan w:val="3"/>
            <w:shd w:val="clear" w:color="auto" w:fill="auto"/>
            <w:vAlign w:val="bottom"/>
          </w:tcPr>
          <w:p w14:paraId="71D43DB9" w14:textId="77777777" w:rsidR="006A3667" w:rsidRDefault="006A3667">
            <w:pPr>
              <w:rPr>
                <w:rFonts w:ascii="宋体"/>
                <w:vanish/>
              </w:rPr>
            </w:pPr>
          </w:p>
        </w:tc>
        <w:tc>
          <w:tcPr>
            <w:tcW w:w="0" w:type="auto"/>
            <w:gridSpan w:val="3"/>
            <w:shd w:val="clear" w:color="auto" w:fill="auto"/>
            <w:vAlign w:val="bottom"/>
          </w:tcPr>
          <w:p w14:paraId="71D43DBA" w14:textId="77777777" w:rsidR="006A3667" w:rsidRDefault="006A3667">
            <w:pPr>
              <w:rPr>
                <w:rFonts w:ascii="宋体"/>
                <w:vanish/>
              </w:rPr>
            </w:pPr>
          </w:p>
        </w:tc>
        <w:tc>
          <w:tcPr>
            <w:tcW w:w="0" w:type="auto"/>
            <w:gridSpan w:val="3"/>
            <w:shd w:val="clear" w:color="auto" w:fill="auto"/>
            <w:vAlign w:val="bottom"/>
          </w:tcPr>
          <w:p w14:paraId="71D43DBB" w14:textId="77777777" w:rsidR="006A3667" w:rsidRDefault="006A3667">
            <w:pPr>
              <w:rPr>
                <w:rFonts w:ascii="宋体"/>
                <w:vanish/>
              </w:rPr>
            </w:pPr>
          </w:p>
        </w:tc>
        <w:tc>
          <w:tcPr>
            <w:tcW w:w="0" w:type="auto"/>
            <w:gridSpan w:val="3"/>
            <w:shd w:val="clear" w:color="auto" w:fill="auto"/>
            <w:vAlign w:val="bottom"/>
          </w:tcPr>
          <w:p w14:paraId="71D43DBC" w14:textId="77777777" w:rsidR="006A3667" w:rsidRDefault="006A3667">
            <w:pPr>
              <w:rPr>
                <w:rFonts w:ascii="宋体"/>
                <w:vanish/>
              </w:rPr>
            </w:pPr>
          </w:p>
        </w:tc>
        <w:tc>
          <w:tcPr>
            <w:tcW w:w="0" w:type="auto"/>
            <w:gridSpan w:val="3"/>
            <w:shd w:val="clear" w:color="auto" w:fill="auto"/>
            <w:vAlign w:val="bottom"/>
          </w:tcPr>
          <w:p w14:paraId="71D43DBD" w14:textId="77777777" w:rsidR="006A3667" w:rsidRDefault="006A3667">
            <w:pPr>
              <w:rPr>
                <w:rFonts w:ascii="宋体"/>
                <w:vanish/>
              </w:rPr>
            </w:pPr>
          </w:p>
        </w:tc>
        <w:tc>
          <w:tcPr>
            <w:tcW w:w="0" w:type="auto"/>
            <w:gridSpan w:val="3"/>
            <w:shd w:val="clear" w:color="auto" w:fill="auto"/>
            <w:vAlign w:val="bottom"/>
          </w:tcPr>
          <w:p w14:paraId="71D43DBE" w14:textId="77777777" w:rsidR="006A3667" w:rsidRDefault="006A3667">
            <w:pPr>
              <w:rPr>
                <w:rFonts w:ascii="宋体"/>
                <w:vanish/>
              </w:rPr>
            </w:pPr>
          </w:p>
        </w:tc>
        <w:tc>
          <w:tcPr>
            <w:tcW w:w="0" w:type="auto"/>
            <w:gridSpan w:val="3"/>
            <w:shd w:val="clear" w:color="auto" w:fill="auto"/>
            <w:vAlign w:val="bottom"/>
          </w:tcPr>
          <w:p w14:paraId="71D43DBF" w14:textId="77777777" w:rsidR="006A3667" w:rsidRDefault="006A3667">
            <w:pPr>
              <w:rPr>
                <w:rFonts w:ascii="宋体"/>
                <w:vanish/>
              </w:rPr>
            </w:pPr>
          </w:p>
        </w:tc>
        <w:tc>
          <w:tcPr>
            <w:tcW w:w="0" w:type="auto"/>
            <w:gridSpan w:val="3"/>
            <w:shd w:val="clear" w:color="auto" w:fill="auto"/>
            <w:vAlign w:val="bottom"/>
          </w:tcPr>
          <w:p w14:paraId="71D43DC0" w14:textId="77777777" w:rsidR="006A3667" w:rsidRDefault="006A3667">
            <w:pPr>
              <w:rPr>
                <w:rFonts w:ascii="宋体"/>
                <w:vanish/>
              </w:rPr>
            </w:pPr>
          </w:p>
        </w:tc>
        <w:tc>
          <w:tcPr>
            <w:tcW w:w="0" w:type="auto"/>
            <w:gridSpan w:val="2"/>
            <w:shd w:val="clear" w:color="auto" w:fill="auto"/>
            <w:vAlign w:val="bottom"/>
          </w:tcPr>
          <w:p w14:paraId="71D43DC1" w14:textId="77777777" w:rsidR="006A3667" w:rsidRDefault="006A3667">
            <w:pPr>
              <w:rPr>
                <w:rFonts w:ascii="宋体"/>
                <w:vanish/>
              </w:rPr>
            </w:pPr>
          </w:p>
        </w:tc>
        <w:tc>
          <w:tcPr>
            <w:tcW w:w="0" w:type="auto"/>
            <w:shd w:val="clear" w:color="auto" w:fill="auto"/>
            <w:vAlign w:val="bottom"/>
          </w:tcPr>
          <w:p w14:paraId="71D43DC2" w14:textId="77777777" w:rsidR="006A3667" w:rsidRDefault="006A3667">
            <w:pPr>
              <w:rPr>
                <w:rFonts w:ascii="宋体"/>
                <w:vanish/>
              </w:rPr>
            </w:pPr>
          </w:p>
        </w:tc>
      </w:tr>
      <w:tr w:rsidR="006A3667" w14:paraId="71D43DDA" w14:textId="77777777">
        <w:trPr>
          <w:hidden/>
        </w:trPr>
        <w:tc>
          <w:tcPr>
            <w:tcW w:w="0" w:type="auto"/>
            <w:gridSpan w:val="3"/>
            <w:shd w:val="clear" w:color="auto" w:fill="auto"/>
            <w:vAlign w:val="bottom"/>
          </w:tcPr>
          <w:p w14:paraId="71D43DC4" w14:textId="77777777" w:rsidR="006A3667" w:rsidRDefault="006A3667">
            <w:pPr>
              <w:rPr>
                <w:rFonts w:ascii="宋体"/>
                <w:vanish/>
              </w:rPr>
            </w:pPr>
          </w:p>
        </w:tc>
        <w:tc>
          <w:tcPr>
            <w:tcW w:w="0" w:type="auto"/>
            <w:gridSpan w:val="3"/>
            <w:shd w:val="clear" w:color="auto" w:fill="auto"/>
            <w:vAlign w:val="bottom"/>
          </w:tcPr>
          <w:p w14:paraId="71D43DC5" w14:textId="77777777" w:rsidR="006A3667" w:rsidRDefault="006A3667">
            <w:pPr>
              <w:rPr>
                <w:rFonts w:ascii="宋体"/>
                <w:vanish/>
              </w:rPr>
            </w:pPr>
          </w:p>
        </w:tc>
        <w:tc>
          <w:tcPr>
            <w:tcW w:w="0" w:type="auto"/>
            <w:gridSpan w:val="3"/>
            <w:shd w:val="clear" w:color="auto" w:fill="auto"/>
            <w:vAlign w:val="bottom"/>
          </w:tcPr>
          <w:p w14:paraId="71D43DC6" w14:textId="77777777" w:rsidR="006A3667" w:rsidRDefault="006A3667">
            <w:pPr>
              <w:rPr>
                <w:rFonts w:ascii="宋体"/>
                <w:vanish/>
              </w:rPr>
            </w:pPr>
          </w:p>
        </w:tc>
        <w:tc>
          <w:tcPr>
            <w:tcW w:w="0" w:type="auto"/>
            <w:gridSpan w:val="3"/>
            <w:shd w:val="clear" w:color="auto" w:fill="auto"/>
            <w:vAlign w:val="bottom"/>
          </w:tcPr>
          <w:p w14:paraId="71D43DC7" w14:textId="77777777" w:rsidR="006A3667" w:rsidRDefault="006A3667">
            <w:pPr>
              <w:rPr>
                <w:rFonts w:ascii="宋体"/>
                <w:vanish/>
              </w:rPr>
            </w:pPr>
          </w:p>
        </w:tc>
        <w:tc>
          <w:tcPr>
            <w:tcW w:w="0" w:type="auto"/>
            <w:gridSpan w:val="3"/>
            <w:shd w:val="clear" w:color="auto" w:fill="auto"/>
            <w:vAlign w:val="bottom"/>
          </w:tcPr>
          <w:p w14:paraId="71D43DC8" w14:textId="77777777" w:rsidR="006A3667" w:rsidRDefault="006A3667">
            <w:pPr>
              <w:rPr>
                <w:rFonts w:ascii="宋体"/>
                <w:vanish/>
              </w:rPr>
            </w:pPr>
          </w:p>
        </w:tc>
        <w:tc>
          <w:tcPr>
            <w:tcW w:w="0" w:type="auto"/>
            <w:gridSpan w:val="3"/>
            <w:shd w:val="clear" w:color="auto" w:fill="auto"/>
            <w:vAlign w:val="bottom"/>
          </w:tcPr>
          <w:p w14:paraId="71D43DC9" w14:textId="77777777" w:rsidR="006A3667" w:rsidRDefault="006A3667">
            <w:pPr>
              <w:rPr>
                <w:rFonts w:ascii="宋体"/>
                <w:vanish/>
              </w:rPr>
            </w:pPr>
          </w:p>
        </w:tc>
        <w:tc>
          <w:tcPr>
            <w:tcW w:w="0" w:type="auto"/>
            <w:gridSpan w:val="3"/>
            <w:shd w:val="clear" w:color="auto" w:fill="auto"/>
            <w:vAlign w:val="bottom"/>
          </w:tcPr>
          <w:p w14:paraId="71D43DCA" w14:textId="77777777" w:rsidR="006A3667" w:rsidRDefault="006A3667">
            <w:pPr>
              <w:rPr>
                <w:rFonts w:ascii="宋体"/>
                <w:vanish/>
              </w:rPr>
            </w:pPr>
          </w:p>
        </w:tc>
        <w:tc>
          <w:tcPr>
            <w:tcW w:w="0" w:type="auto"/>
            <w:gridSpan w:val="3"/>
            <w:shd w:val="clear" w:color="auto" w:fill="auto"/>
            <w:vAlign w:val="bottom"/>
          </w:tcPr>
          <w:p w14:paraId="71D43DCB" w14:textId="77777777" w:rsidR="006A3667" w:rsidRDefault="006A3667">
            <w:pPr>
              <w:rPr>
                <w:rFonts w:ascii="宋体"/>
                <w:vanish/>
              </w:rPr>
            </w:pPr>
          </w:p>
        </w:tc>
        <w:tc>
          <w:tcPr>
            <w:tcW w:w="0" w:type="auto"/>
            <w:gridSpan w:val="3"/>
            <w:shd w:val="clear" w:color="auto" w:fill="auto"/>
            <w:vAlign w:val="bottom"/>
          </w:tcPr>
          <w:p w14:paraId="71D43DCC" w14:textId="77777777" w:rsidR="006A3667" w:rsidRDefault="006A3667">
            <w:pPr>
              <w:rPr>
                <w:rFonts w:ascii="宋体"/>
                <w:vanish/>
              </w:rPr>
            </w:pPr>
          </w:p>
        </w:tc>
        <w:tc>
          <w:tcPr>
            <w:tcW w:w="0" w:type="auto"/>
            <w:gridSpan w:val="3"/>
            <w:shd w:val="clear" w:color="auto" w:fill="auto"/>
            <w:vAlign w:val="bottom"/>
          </w:tcPr>
          <w:p w14:paraId="71D43DCD" w14:textId="77777777" w:rsidR="006A3667" w:rsidRDefault="006A3667">
            <w:pPr>
              <w:rPr>
                <w:rFonts w:ascii="宋体"/>
                <w:vanish/>
              </w:rPr>
            </w:pPr>
          </w:p>
        </w:tc>
        <w:tc>
          <w:tcPr>
            <w:tcW w:w="0" w:type="auto"/>
            <w:gridSpan w:val="3"/>
            <w:shd w:val="clear" w:color="auto" w:fill="auto"/>
            <w:vAlign w:val="bottom"/>
          </w:tcPr>
          <w:p w14:paraId="71D43DCE" w14:textId="77777777" w:rsidR="006A3667" w:rsidRDefault="006A3667">
            <w:pPr>
              <w:rPr>
                <w:rFonts w:ascii="宋体"/>
                <w:vanish/>
              </w:rPr>
            </w:pPr>
          </w:p>
        </w:tc>
        <w:tc>
          <w:tcPr>
            <w:tcW w:w="0" w:type="auto"/>
            <w:gridSpan w:val="3"/>
            <w:shd w:val="clear" w:color="auto" w:fill="auto"/>
            <w:vAlign w:val="bottom"/>
          </w:tcPr>
          <w:p w14:paraId="71D43DCF" w14:textId="77777777" w:rsidR="006A3667" w:rsidRDefault="006A3667">
            <w:pPr>
              <w:rPr>
                <w:rFonts w:ascii="宋体"/>
                <w:vanish/>
              </w:rPr>
            </w:pPr>
          </w:p>
        </w:tc>
        <w:tc>
          <w:tcPr>
            <w:tcW w:w="0" w:type="auto"/>
            <w:gridSpan w:val="3"/>
            <w:shd w:val="clear" w:color="auto" w:fill="auto"/>
            <w:vAlign w:val="bottom"/>
          </w:tcPr>
          <w:p w14:paraId="71D43DD0" w14:textId="77777777" w:rsidR="006A3667" w:rsidRDefault="006A3667">
            <w:pPr>
              <w:rPr>
                <w:rFonts w:ascii="宋体"/>
                <w:vanish/>
              </w:rPr>
            </w:pPr>
          </w:p>
        </w:tc>
        <w:tc>
          <w:tcPr>
            <w:tcW w:w="0" w:type="auto"/>
            <w:gridSpan w:val="3"/>
            <w:shd w:val="clear" w:color="auto" w:fill="auto"/>
            <w:vAlign w:val="bottom"/>
          </w:tcPr>
          <w:p w14:paraId="71D43DD1" w14:textId="77777777" w:rsidR="006A3667" w:rsidRDefault="006A3667">
            <w:pPr>
              <w:rPr>
                <w:rFonts w:ascii="宋体"/>
                <w:vanish/>
              </w:rPr>
            </w:pPr>
          </w:p>
        </w:tc>
        <w:tc>
          <w:tcPr>
            <w:tcW w:w="0" w:type="auto"/>
            <w:gridSpan w:val="3"/>
            <w:shd w:val="clear" w:color="auto" w:fill="auto"/>
            <w:vAlign w:val="bottom"/>
          </w:tcPr>
          <w:p w14:paraId="71D43DD2" w14:textId="77777777" w:rsidR="006A3667" w:rsidRDefault="006A3667">
            <w:pPr>
              <w:rPr>
                <w:rFonts w:ascii="宋体"/>
                <w:vanish/>
              </w:rPr>
            </w:pPr>
          </w:p>
        </w:tc>
        <w:tc>
          <w:tcPr>
            <w:tcW w:w="0" w:type="auto"/>
            <w:gridSpan w:val="3"/>
            <w:shd w:val="clear" w:color="auto" w:fill="auto"/>
            <w:vAlign w:val="bottom"/>
          </w:tcPr>
          <w:p w14:paraId="71D43DD3" w14:textId="77777777" w:rsidR="006A3667" w:rsidRDefault="006A3667">
            <w:pPr>
              <w:rPr>
                <w:rFonts w:ascii="宋体"/>
                <w:vanish/>
              </w:rPr>
            </w:pPr>
          </w:p>
        </w:tc>
        <w:tc>
          <w:tcPr>
            <w:tcW w:w="0" w:type="auto"/>
            <w:gridSpan w:val="3"/>
            <w:shd w:val="clear" w:color="auto" w:fill="auto"/>
            <w:vAlign w:val="bottom"/>
          </w:tcPr>
          <w:p w14:paraId="71D43DD4" w14:textId="77777777" w:rsidR="006A3667" w:rsidRDefault="006A3667">
            <w:pPr>
              <w:rPr>
                <w:rFonts w:ascii="宋体"/>
                <w:vanish/>
              </w:rPr>
            </w:pPr>
          </w:p>
        </w:tc>
        <w:tc>
          <w:tcPr>
            <w:tcW w:w="0" w:type="auto"/>
            <w:gridSpan w:val="3"/>
            <w:shd w:val="clear" w:color="auto" w:fill="auto"/>
            <w:vAlign w:val="bottom"/>
          </w:tcPr>
          <w:p w14:paraId="71D43DD5" w14:textId="77777777" w:rsidR="006A3667" w:rsidRDefault="006A3667">
            <w:pPr>
              <w:rPr>
                <w:rFonts w:ascii="宋体"/>
                <w:vanish/>
              </w:rPr>
            </w:pPr>
          </w:p>
        </w:tc>
        <w:tc>
          <w:tcPr>
            <w:tcW w:w="0" w:type="auto"/>
            <w:gridSpan w:val="3"/>
            <w:shd w:val="clear" w:color="auto" w:fill="auto"/>
            <w:vAlign w:val="bottom"/>
          </w:tcPr>
          <w:p w14:paraId="71D43DD6" w14:textId="77777777" w:rsidR="006A3667" w:rsidRDefault="006A3667">
            <w:pPr>
              <w:rPr>
                <w:rFonts w:ascii="宋体"/>
                <w:vanish/>
              </w:rPr>
            </w:pPr>
          </w:p>
        </w:tc>
        <w:tc>
          <w:tcPr>
            <w:tcW w:w="0" w:type="auto"/>
            <w:gridSpan w:val="3"/>
            <w:shd w:val="clear" w:color="auto" w:fill="auto"/>
            <w:vAlign w:val="bottom"/>
          </w:tcPr>
          <w:p w14:paraId="71D43DD7" w14:textId="77777777" w:rsidR="006A3667" w:rsidRDefault="006A3667">
            <w:pPr>
              <w:rPr>
                <w:rFonts w:ascii="宋体"/>
                <w:vanish/>
              </w:rPr>
            </w:pPr>
          </w:p>
        </w:tc>
        <w:tc>
          <w:tcPr>
            <w:tcW w:w="0" w:type="auto"/>
            <w:gridSpan w:val="2"/>
            <w:shd w:val="clear" w:color="auto" w:fill="auto"/>
            <w:vAlign w:val="bottom"/>
          </w:tcPr>
          <w:p w14:paraId="71D43DD8" w14:textId="77777777" w:rsidR="006A3667" w:rsidRDefault="006A3667">
            <w:pPr>
              <w:rPr>
                <w:rFonts w:ascii="宋体"/>
                <w:vanish/>
              </w:rPr>
            </w:pPr>
          </w:p>
        </w:tc>
        <w:tc>
          <w:tcPr>
            <w:tcW w:w="0" w:type="auto"/>
            <w:shd w:val="clear" w:color="auto" w:fill="auto"/>
            <w:vAlign w:val="bottom"/>
          </w:tcPr>
          <w:p w14:paraId="71D43DD9" w14:textId="77777777" w:rsidR="006A3667" w:rsidRDefault="006A3667">
            <w:pPr>
              <w:rPr>
                <w:rFonts w:ascii="宋体"/>
                <w:vanish/>
              </w:rPr>
            </w:pPr>
          </w:p>
        </w:tc>
      </w:tr>
      <w:tr w:rsidR="006A3667" w14:paraId="71D43DF1" w14:textId="77777777">
        <w:trPr>
          <w:hidden/>
        </w:trPr>
        <w:tc>
          <w:tcPr>
            <w:tcW w:w="0" w:type="auto"/>
            <w:gridSpan w:val="3"/>
            <w:shd w:val="clear" w:color="auto" w:fill="auto"/>
            <w:vAlign w:val="bottom"/>
          </w:tcPr>
          <w:p w14:paraId="71D43DDB" w14:textId="77777777" w:rsidR="006A3667" w:rsidRDefault="006A3667">
            <w:pPr>
              <w:rPr>
                <w:rFonts w:ascii="宋体"/>
                <w:vanish/>
              </w:rPr>
            </w:pPr>
          </w:p>
        </w:tc>
        <w:tc>
          <w:tcPr>
            <w:tcW w:w="0" w:type="auto"/>
            <w:gridSpan w:val="3"/>
            <w:shd w:val="clear" w:color="auto" w:fill="auto"/>
            <w:vAlign w:val="bottom"/>
          </w:tcPr>
          <w:p w14:paraId="71D43DDC" w14:textId="77777777" w:rsidR="006A3667" w:rsidRDefault="006A3667">
            <w:pPr>
              <w:rPr>
                <w:rFonts w:ascii="宋体"/>
                <w:vanish/>
              </w:rPr>
            </w:pPr>
          </w:p>
        </w:tc>
        <w:tc>
          <w:tcPr>
            <w:tcW w:w="0" w:type="auto"/>
            <w:gridSpan w:val="3"/>
            <w:shd w:val="clear" w:color="auto" w:fill="auto"/>
            <w:vAlign w:val="bottom"/>
          </w:tcPr>
          <w:p w14:paraId="71D43DDD" w14:textId="77777777" w:rsidR="006A3667" w:rsidRDefault="006A3667">
            <w:pPr>
              <w:rPr>
                <w:rFonts w:ascii="宋体"/>
                <w:vanish/>
              </w:rPr>
            </w:pPr>
          </w:p>
        </w:tc>
        <w:tc>
          <w:tcPr>
            <w:tcW w:w="0" w:type="auto"/>
            <w:gridSpan w:val="3"/>
            <w:shd w:val="clear" w:color="auto" w:fill="auto"/>
            <w:vAlign w:val="bottom"/>
          </w:tcPr>
          <w:p w14:paraId="71D43DDE" w14:textId="77777777" w:rsidR="006A3667" w:rsidRDefault="006A3667">
            <w:pPr>
              <w:rPr>
                <w:rFonts w:ascii="宋体"/>
                <w:vanish/>
              </w:rPr>
            </w:pPr>
          </w:p>
        </w:tc>
        <w:tc>
          <w:tcPr>
            <w:tcW w:w="0" w:type="auto"/>
            <w:gridSpan w:val="3"/>
            <w:shd w:val="clear" w:color="auto" w:fill="auto"/>
            <w:vAlign w:val="bottom"/>
          </w:tcPr>
          <w:p w14:paraId="71D43DDF" w14:textId="77777777" w:rsidR="006A3667" w:rsidRDefault="006A3667">
            <w:pPr>
              <w:rPr>
                <w:rFonts w:ascii="宋体"/>
                <w:vanish/>
              </w:rPr>
            </w:pPr>
          </w:p>
        </w:tc>
        <w:tc>
          <w:tcPr>
            <w:tcW w:w="0" w:type="auto"/>
            <w:gridSpan w:val="3"/>
            <w:shd w:val="clear" w:color="auto" w:fill="auto"/>
            <w:vAlign w:val="bottom"/>
          </w:tcPr>
          <w:p w14:paraId="71D43DE0" w14:textId="77777777" w:rsidR="006A3667" w:rsidRDefault="006A3667">
            <w:pPr>
              <w:rPr>
                <w:rFonts w:ascii="宋体"/>
                <w:vanish/>
              </w:rPr>
            </w:pPr>
          </w:p>
        </w:tc>
        <w:tc>
          <w:tcPr>
            <w:tcW w:w="0" w:type="auto"/>
            <w:gridSpan w:val="3"/>
            <w:shd w:val="clear" w:color="auto" w:fill="auto"/>
            <w:vAlign w:val="bottom"/>
          </w:tcPr>
          <w:p w14:paraId="71D43DE1" w14:textId="77777777" w:rsidR="006A3667" w:rsidRDefault="006A3667">
            <w:pPr>
              <w:rPr>
                <w:rFonts w:ascii="宋体"/>
                <w:vanish/>
              </w:rPr>
            </w:pPr>
          </w:p>
        </w:tc>
        <w:tc>
          <w:tcPr>
            <w:tcW w:w="0" w:type="auto"/>
            <w:gridSpan w:val="3"/>
            <w:shd w:val="clear" w:color="auto" w:fill="auto"/>
            <w:vAlign w:val="bottom"/>
          </w:tcPr>
          <w:p w14:paraId="71D43DE2" w14:textId="77777777" w:rsidR="006A3667" w:rsidRDefault="006A3667">
            <w:pPr>
              <w:rPr>
                <w:rFonts w:ascii="宋体"/>
                <w:vanish/>
              </w:rPr>
            </w:pPr>
          </w:p>
        </w:tc>
        <w:tc>
          <w:tcPr>
            <w:tcW w:w="0" w:type="auto"/>
            <w:gridSpan w:val="3"/>
            <w:shd w:val="clear" w:color="auto" w:fill="auto"/>
            <w:vAlign w:val="bottom"/>
          </w:tcPr>
          <w:p w14:paraId="71D43DE3" w14:textId="77777777" w:rsidR="006A3667" w:rsidRDefault="006A3667">
            <w:pPr>
              <w:rPr>
                <w:rFonts w:ascii="宋体"/>
                <w:vanish/>
              </w:rPr>
            </w:pPr>
          </w:p>
        </w:tc>
        <w:tc>
          <w:tcPr>
            <w:tcW w:w="0" w:type="auto"/>
            <w:gridSpan w:val="3"/>
            <w:shd w:val="clear" w:color="auto" w:fill="auto"/>
            <w:vAlign w:val="bottom"/>
          </w:tcPr>
          <w:p w14:paraId="71D43DE4" w14:textId="77777777" w:rsidR="006A3667" w:rsidRDefault="006A3667">
            <w:pPr>
              <w:rPr>
                <w:rFonts w:ascii="宋体"/>
                <w:vanish/>
              </w:rPr>
            </w:pPr>
          </w:p>
        </w:tc>
        <w:tc>
          <w:tcPr>
            <w:tcW w:w="0" w:type="auto"/>
            <w:gridSpan w:val="3"/>
            <w:shd w:val="clear" w:color="auto" w:fill="auto"/>
            <w:vAlign w:val="bottom"/>
          </w:tcPr>
          <w:p w14:paraId="71D43DE5" w14:textId="77777777" w:rsidR="006A3667" w:rsidRDefault="006A3667">
            <w:pPr>
              <w:rPr>
                <w:rFonts w:ascii="宋体"/>
                <w:vanish/>
              </w:rPr>
            </w:pPr>
          </w:p>
        </w:tc>
        <w:tc>
          <w:tcPr>
            <w:tcW w:w="0" w:type="auto"/>
            <w:gridSpan w:val="3"/>
            <w:shd w:val="clear" w:color="auto" w:fill="auto"/>
            <w:vAlign w:val="bottom"/>
          </w:tcPr>
          <w:p w14:paraId="71D43DE6" w14:textId="77777777" w:rsidR="006A3667" w:rsidRDefault="006A3667">
            <w:pPr>
              <w:rPr>
                <w:rFonts w:ascii="宋体"/>
                <w:vanish/>
              </w:rPr>
            </w:pPr>
          </w:p>
        </w:tc>
        <w:tc>
          <w:tcPr>
            <w:tcW w:w="0" w:type="auto"/>
            <w:gridSpan w:val="3"/>
            <w:shd w:val="clear" w:color="auto" w:fill="auto"/>
            <w:vAlign w:val="bottom"/>
          </w:tcPr>
          <w:p w14:paraId="71D43DE7" w14:textId="77777777" w:rsidR="006A3667" w:rsidRDefault="006A3667">
            <w:pPr>
              <w:rPr>
                <w:rFonts w:ascii="宋体"/>
                <w:vanish/>
              </w:rPr>
            </w:pPr>
          </w:p>
        </w:tc>
        <w:tc>
          <w:tcPr>
            <w:tcW w:w="0" w:type="auto"/>
            <w:gridSpan w:val="3"/>
            <w:shd w:val="clear" w:color="auto" w:fill="auto"/>
            <w:vAlign w:val="bottom"/>
          </w:tcPr>
          <w:p w14:paraId="71D43DE8" w14:textId="77777777" w:rsidR="006A3667" w:rsidRDefault="006A3667">
            <w:pPr>
              <w:rPr>
                <w:rFonts w:ascii="宋体"/>
                <w:vanish/>
              </w:rPr>
            </w:pPr>
          </w:p>
        </w:tc>
        <w:tc>
          <w:tcPr>
            <w:tcW w:w="0" w:type="auto"/>
            <w:gridSpan w:val="3"/>
            <w:shd w:val="clear" w:color="auto" w:fill="auto"/>
            <w:vAlign w:val="bottom"/>
          </w:tcPr>
          <w:p w14:paraId="71D43DE9" w14:textId="77777777" w:rsidR="006A3667" w:rsidRDefault="006A3667">
            <w:pPr>
              <w:rPr>
                <w:rFonts w:ascii="宋体"/>
                <w:vanish/>
              </w:rPr>
            </w:pPr>
          </w:p>
        </w:tc>
        <w:tc>
          <w:tcPr>
            <w:tcW w:w="0" w:type="auto"/>
            <w:gridSpan w:val="3"/>
            <w:shd w:val="clear" w:color="auto" w:fill="auto"/>
            <w:vAlign w:val="bottom"/>
          </w:tcPr>
          <w:p w14:paraId="71D43DEA" w14:textId="77777777" w:rsidR="006A3667" w:rsidRDefault="006A3667">
            <w:pPr>
              <w:rPr>
                <w:rFonts w:ascii="宋体"/>
                <w:vanish/>
              </w:rPr>
            </w:pPr>
          </w:p>
        </w:tc>
        <w:tc>
          <w:tcPr>
            <w:tcW w:w="0" w:type="auto"/>
            <w:gridSpan w:val="3"/>
            <w:shd w:val="clear" w:color="auto" w:fill="auto"/>
            <w:vAlign w:val="bottom"/>
          </w:tcPr>
          <w:p w14:paraId="71D43DEB" w14:textId="77777777" w:rsidR="006A3667" w:rsidRDefault="006A3667">
            <w:pPr>
              <w:rPr>
                <w:rFonts w:ascii="宋体"/>
                <w:vanish/>
              </w:rPr>
            </w:pPr>
          </w:p>
        </w:tc>
        <w:tc>
          <w:tcPr>
            <w:tcW w:w="0" w:type="auto"/>
            <w:gridSpan w:val="3"/>
            <w:shd w:val="clear" w:color="auto" w:fill="auto"/>
            <w:vAlign w:val="bottom"/>
          </w:tcPr>
          <w:p w14:paraId="71D43DEC" w14:textId="77777777" w:rsidR="006A3667" w:rsidRDefault="006A3667">
            <w:pPr>
              <w:rPr>
                <w:rFonts w:ascii="宋体"/>
                <w:vanish/>
              </w:rPr>
            </w:pPr>
          </w:p>
        </w:tc>
        <w:tc>
          <w:tcPr>
            <w:tcW w:w="0" w:type="auto"/>
            <w:gridSpan w:val="3"/>
            <w:shd w:val="clear" w:color="auto" w:fill="auto"/>
            <w:vAlign w:val="bottom"/>
          </w:tcPr>
          <w:p w14:paraId="71D43DED" w14:textId="77777777" w:rsidR="006A3667" w:rsidRDefault="006A3667">
            <w:pPr>
              <w:rPr>
                <w:rFonts w:ascii="宋体"/>
                <w:vanish/>
              </w:rPr>
            </w:pPr>
          </w:p>
        </w:tc>
        <w:tc>
          <w:tcPr>
            <w:tcW w:w="0" w:type="auto"/>
            <w:gridSpan w:val="3"/>
            <w:shd w:val="clear" w:color="auto" w:fill="auto"/>
            <w:vAlign w:val="bottom"/>
          </w:tcPr>
          <w:p w14:paraId="71D43DEE" w14:textId="77777777" w:rsidR="006A3667" w:rsidRDefault="006A3667">
            <w:pPr>
              <w:rPr>
                <w:rFonts w:ascii="宋体"/>
                <w:vanish/>
              </w:rPr>
            </w:pPr>
          </w:p>
        </w:tc>
        <w:tc>
          <w:tcPr>
            <w:tcW w:w="0" w:type="auto"/>
            <w:gridSpan w:val="2"/>
            <w:shd w:val="clear" w:color="auto" w:fill="auto"/>
            <w:vAlign w:val="bottom"/>
          </w:tcPr>
          <w:p w14:paraId="71D43DEF" w14:textId="77777777" w:rsidR="006A3667" w:rsidRDefault="006A3667">
            <w:pPr>
              <w:rPr>
                <w:rFonts w:ascii="宋体"/>
                <w:vanish/>
              </w:rPr>
            </w:pPr>
          </w:p>
        </w:tc>
        <w:tc>
          <w:tcPr>
            <w:tcW w:w="0" w:type="auto"/>
            <w:shd w:val="clear" w:color="auto" w:fill="auto"/>
            <w:vAlign w:val="bottom"/>
          </w:tcPr>
          <w:p w14:paraId="71D43DF0" w14:textId="77777777" w:rsidR="006A3667" w:rsidRDefault="006A3667">
            <w:pPr>
              <w:rPr>
                <w:rFonts w:ascii="宋体"/>
                <w:vanish/>
              </w:rPr>
            </w:pPr>
          </w:p>
        </w:tc>
      </w:tr>
      <w:tr w:rsidR="006A3667" w14:paraId="71D43E08" w14:textId="77777777">
        <w:trPr>
          <w:hidden/>
        </w:trPr>
        <w:tc>
          <w:tcPr>
            <w:tcW w:w="0" w:type="auto"/>
            <w:gridSpan w:val="3"/>
            <w:shd w:val="clear" w:color="auto" w:fill="auto"/>
            <w:vAlign w:val="bottom"/>
          </w:tcPr>
          <w:p w14:paraId="71D43DF2" w14:textId="77777777" w:rsidR="006A3667" w:rsidRDefault="006A3667">
            <w:pPr>
              <w:rPr>
                <w:rFonts w:ascii="宋体"/>
                <w:vanish/>
              </w:rPr>
            </w:pPr>
          </w:p>
        </w:tc>
        <w:tc>
          <w:tcPr>
            <w:tcW w:w="0" w:type="auto"/>
            <w:gridSpan w:val="3"/>
            <w:shd w:val="clear" w:color="auto" w:fill="auto"/>
            <w:vAlign w:val="bottom"/>
          </w:tcPr>
          <w:p w14:paraId="71D43DF3" w14:textId="77777777" w:rsidR="006A3667" w:rsidRDefault="006A3667">
            <w:pPr>
              <w:rPr>
                <w:rFonts w:ascii="宋体"/>
                <w:vanish/>
              </w:rPr>
            </w:pPr>
          </w:p>
        </w:tc>
        <w:tc>
          <w:tcPr>
            <w:tcW w:w="0" w:type="auto"/>
            <w:gridSpan w:val="3"/>
            <w:shd w:val="clear" w:color="auto" w:fill="auto"/>
            <w:vAlign w:val="bottom"/>
          </w:tcPr>
          <w:p w14:paraId="71D43DF4" w14:textId="77777777" w:rsidR="006A3667" w:rsidRDefault="006A3667">
            <w:pPr>
              <w:rPr>
                <w:rFonts w:ascii="宋体"/>
                <w:vanish/>
              </w:rPr>
            </w:pPr>
          </w:p>
        </w:tc>
        <w:tc>
          <w:tcPr>
            <w:tcW w:w="0" w:type="auto"/>
            <w:gridSpan w:val="3"/>
            <w:shd w:val="clear" w:color="auto" w:fill="auto"/>
            <w:vAlign w:val="bottom"/>
          </w:tcPr>
          <w:p w14:paraId="71D43DF5" w14:textId="77777777" w:rsidR="006A3667" w:rsidRDefault="006A3667">
            <w:pPr>
              <w:rPr>
                <w:rFonts w:ascii="宋体"/>
                <w:vanish/>
              </w:rPr>
            </w:pPr>
          </w:p>
        </w:tc>
        <w:tc>
          <w:tcPr>
            <w:tcW w:w="0" w:type="auto"/>
            <w:gridSpan w:val="3"/>
            <w:shd w:val="clear" w:color="auto" w:fill="auto"/>
            <w:vAlign w:val="bottom"/>
          </w:tcPr>
          <w:p w14:paraId="71D43DF6" w14:textId="77777777" w:rsidR="006A3667" w:rsidRDefault="006A3667">
            <w:pPr>
              <w:rPr>
                <w:rFonts w:ascii="宋体"/>
                <w:vanish/>
              </w:rPr>
            </w:pPr>
          </w:p>
        </w:tc>
        <w:tc>
          <w:tcPr>
            <w:tcW w:w="0" w:type="auto"/>
            <w:gridSpan w:val="3"/>
            <w:shd w:val="clear" w:color="auto" w:fill="auto"/>
            <w:vAlign w:val="bottom"/>
          </w:tcPr>
          <w:p w14:paraId="71D43DF7" w14:textId="77777777" w:rsidR="006A3667" w:rsidRDefault="006A3667">
            <w:pPr>
              <w:rPr>
                <w:rFonts w:ascii="宋体"/>
                <w:vanish/>
              </w:rPr>
            </w:pPr>
          </w:p>
        </w:tc>
        <w:tc>
          <w:tcPr>
            <w:tcW w:w="0" w:type="auto"/>
            <w:gridSpan w:val="3"/>
            <w:shd w:val="clear" w:color="auto" w:fill="auto"/>
            <w:vAlign w:val="bottom"/>
          </w:tcPr>
          <w:p w14:paraId="71D43DF8" w14:textId="77777777" w:rsidR="006A3667" w:rsidRDefault="006A3667">
            <w:pPr>
              <w:rPr>
                <w:rFonts w:ascii="宋体"/>
                <w:vanish/>
              </w:rPr>
            </w:pPr>
          </w:p>
        </w:tc>
        <w:tc>
          <w:tcPr>
            <w:tcW w:w="0" w:type="auto"/>
            <w:gridSpan w:val="3"/>
            <w:shd w:val="clear" w:color="auto" w:fill="auto"/>
            <w:vAlign w:val="bottom"/>
          </w:tcPr>
          <w:p w14:paraId="71D43DF9" w14:textId="77777777" w:rsidR="006A3667" w:rsidRDefault="006A3667">
            <w:pPr>
              <w:rPr>
                <w:rFonts w:ascii="宋体"/>
                <w:vanish/>
              </w:rPr>
            </w:pPr>
          </w:p>
        </w:tc>
        <w:tc>
          <w:tcPr>
            <w:tcW w:w="0" w:type="auto"/>
            <w:gridSpan w:val="3"/>
            <w:shd w:val="clear" w:color="auto" w:fill="auto"/>
            <w:vAlign w:val="bottom"/>
          </w:tcPr>
          <w:p w14:paraId="71D43DFA" w14:textId="77777777" w:rsidR="006A3667" w:rsidRDefault="006A3667">
            <w:pPr>
              <w:rPr>
                <w:rFonts w:ascii="宋体"/>
                <w:vanish/>
              </w:rPr>
            </w:pPr>
          </w:p>
        </w:tc>
        <w:tc>
          <w:tcPr>
            <w:tcW w:w="0" w:type="auto"/>
            <w:gridSpan w:val="3"/>
            <w:shd w:val="clear" w:color="auto" w:fill="auto"/>
            <w:vAlign w:val="bottom"/>
          </w:tcPr>
          <w:p w14:paraId="71D43DFB" w14:textId="77777777" w:rsidR="006A3667" w:rsidRDefault="006A3667">
            <w:pPr>
              <w:rPr>
                <w:rFonts w:ascii="宋体"/>
                <w:vanish/>
              </w:rPr>
            </w:pPr>
          </w:p>
        </w:tc>
        <w:tc>
          <w:tcPr>
            <w:tcW w:w="0" w:type="auto"/>
            <w:gridSpan w:val="3"/>
            <w:shd w:val="clear" w:color="auto" w:fill="auto"/>
            <w:vAlign w:val="bottom"/>
          </w:tcPr>
          <w:p w14:paraId="71D43DFC" w14:textId="77777777" w:rsidR="006A3667" w:rsidRDefault="006A3667">
            <w:pPr>
              <w:rPr>
                <w:rFonts w:ascii="宋体"/>
                <w:vanish/>
              </w:rPr>
            </w:pPr>
          </w:p>
        </w:tc>
        <w:tc>
          <w:tcPr>
            <w:tcW w:w="0" w:type="auto"/>
            <w:gridSpan w:val="3"/>
            <w:shd w:val="clear" w:color="auto" w:fill="auto"/>
            <w:vAlign w:val="bottom"/>
          </w:tcPr>
          <w:p w14:paraId="71D43DFD" w14:textId="77777777" w:rsidR="006A3667" w:rsidRDefault="006A3667">
            <w:pPr>
              <w:rPr>
                <w:rFonts w:ascii="宋体"/>
                <w:vanish/>
              </w:rPr>
            </w:pPr>
          </w:p>
        </w:tc>
        <w:tc>
          <w:tcPr>
            <w:tcW w:w="0" w:type="auto"/>
            <w:gridSpan w:val="3"/>
            <w:shd w:val="clear" w:color="auto" w:fill="auto"/>
            <w:vAlign w:val="bottom"/>
          </w:tcPr>
          <w:p w14:paraId="71D43DFE" w14:textId="77777777" w:rsidR="006A3667" w:rsidRDefault="006A3667">
            <w:pPr>
              <w:rPr>
                <w:rFonts w:ascii="宋体"/>
                <w:vanish/>
              </w:rPr>
            </w:pPr>
          </w:p>
        </w:tc>
        <w:tc>
          <w:tcPr>
            <w:tcW w:w="0" w:type="auto"/>
            <w:gridSpan w:val="3"/>
            <w:shd w:val="clear" w:color="auto" w:fill="auto"/>
            <w:vAlign w:val="bottom"/>
          </w:tcPr>
          <w:p w14:paraId="71D43DFF" w14:textId="77777777" w:rsidR="006A3667" w:rsidRDefault="006A3667">
            <w:pPr>
              <w:rPr>
                <w:rFonts w:ascii="宋体"/>
                <w:vanish/>
              </w:rPr>
            </w:pPr>
          </w:p>
        </w:tc>
        <w:tc>
          <w:tcPr>
            <w:tcW w:w="0" w:type="auto"/>
            <w:gridSpan w:val="3"/>
            <w:shd w:val="clear" w:color="auto" w:fill="auto"/>
            <w:vAlign w:val="bottom"/>
          </w:tcPr>
          <w:p w14:paraId="71D43E00" w14:textId="77777777" w:rsidR="006A3667" w:rsidRDefault="006A3667">
            <w:pPr>
              <w:rPr>
                <w:rFonts w:ascii="宋体"/>
                <w:vanish/>
              </w:rPr>
            </w:pPr>
          </w:p>
        </w:tc>
        <w:tc>
          <w:tcPr>
            <w:tcW w:w="0" w:type="auto"/>
            <w:gridSpan w:val="3"/>
            <w:shd w:val="clear" w:color="auto" w:fill="auto"/>
            <w:vAlign w:val="bottom"/>
          </w:tcPr>
          <w:p w14:paraId="71D43E01" w14:textId="77777777" w:rsidR="006A3667" w:rsidRDefault="006A3667">
            <w:pPr>
              <w:rPr>
                <w:rFonts w:ascii="宋体"/>
                <w:vanish/>
              </w:rPr>
            </w:pPr>
          </w:p>
        </w:tc>
        <w:tc>
          <w:tcPr>
            <w:tcW w:w="0" w:type="auto"/>
            <w:gridSpan w:val="3"/>
            <w:shd w:val="clear" w:color="auto" w:fill="auto"/>
            <w:vAlign w:val="bottom"/>
          </w:tcPr>
          <w:p w14:paraId="71D43E02" w14:textId="77777777" w:rsidR="006A3667" w:rsidRDefault="006A3667">
            <w:pPr>
              <w:rPr>
                <w:rFonts w:ascii="宋体"/>
                <w:vanish/>
              </w:rPr>
            </w:pPr>
          </w:p>
        </w:tc>
        <w:tc>
          <w:tcPr>
            <w:tcW w:w="0" w:type="auto"/>
            <w:gridSpan w:val="3"/>
            <w:shd w:val="clear" w:color="auto" w:fill="auto"/>
            <w:vAlign w:val="bottom"/>
          </w:tcPr>
          <w:p w14:paraId="71D43E03" w14:textId="77777777" w:rsidR="006A3667" w:rsidRDefault="006A3667">
            <w:pPr>
              <w:rPr>
                <w:rFonts w:ascii="宋体"/>
                <w:vanish/>
              </w:rPr>
            </w:pPr>
          </w:p>
        </w:tc>
        <w:tc>
          <w:tcPr>
            <w:tcW w:w="0" w:type="auto"/>
            <w:gridSpan w:val="3"/>
            <w:shd w:val="clear" w:color="auto" w:fill="auto"/>
            <w:vAlign w:val="bottom"/>
          </w:tcPr>
          <w:p w14:paraId="71D43E04" w14:textId="77777777" w:rsidR="006A3667" w:rsidRDefault="006A3667">
            <w:pPr>
              <w:rPr>
                <w:rFonts w:ascii="宋体"/>
                <w:vanish/>
              </w:rPr>
            </w:pPr>
          </w:p>
        </w:tc>
        <w:tc>
          <w:tcPr>
            <w:tcW w:w="0" w:type="auto"/>
            <w:gridSpan w:val="3"/>
            <w:shd w:val="clear" w:color="auto" w:fill="auto"/>
            <w:vAlign w:val="bottom"/>
          </w:tcPr>
          <w:p w14:paraId="71D43E05" w14:textId="77777777" w:rsidR="006A3667" w:rsidRDefault="006A3667">
            <w:pPr>
              <w:rPr>
                <w:rFonts w:ascii="宋体"/>
                <w:vanish/>
              </w:rPr>
            </w:pPr>
          </w:p>
        </w:tc>
        <w:tc>
          <w:tcPr>
            <w:tcW w:w="0" w:type="auto"/>
            <w:gridSpan w:val="2"/>
            <w:shd w:val="clear" w:color="auto" w:fill="auto"/>
            <w:vAlign w:val="bottom"/>
          </w:tcPr>
          <w:p w14:paraId="71D43E06" w14:textId="77777777" w:rsidR="006A3667" w:rsidRDefault="006A3667">
            <w:pPr>
              <w:rPr>
                <w:rFonts w:ascii="宋体"/>
                <w:vanish/>
              </w:rPr>
            </w:pPr>
          </w:p>
        </w:tc>
        <w:tc>
          <w:tcPr>
            <w:tcW w:w="0" w:type="auto"/>
            <w:shd w:val="clear" w:color="auto" w:fill="auto"/>
            <w:vAlign w:val="bottom"/>
          </w:tcPr>
          <w:p w14:paraId="71D43E07" w14:textId="77777777" w:rsidR="006A3667" w:rsidRDefault="006A3667">
            <w:pPr>
              <w:rPr>
                <w:rFonts w:ascii="宋体"/>
                <w:vanish/>
              </w:rPr>
            </w:pPr>
          </w:p>
        </w:tc>
      </w:tr>
      <w:tr w:rsidR="006A3667" w14:paraId="71D43E1F" w14:textId="77777777">
        <w:trPr>
          <w:hidden/>
        </w:trPr>
        <w:tc>
          <w:tcPr>
            <w:tcW w:w="0" w:type="auto"/>
            <w:gridSpan w:val="3"/>
            <w:shd w:val="clear" w:color="auto" w:fill="auto"/>
            <w:vAlign w:val="bottom"/>
          </w:tcPr>
          <w:p w14:paraId="71D43E09" w14:textId="77777777" w:rsidR="006A3667" w:rsidRDefault="006A3667">
            <w:pPr>
              <w:rPr>
                <w:rFonts w:ascii="宋体"/>
                <w:vanish/>
              </w:rPr>
            </w:pPr>
          </w:p>
        </w:tc>
        <w:tc>
          <w:tcPr>
            <w:tcW w:w="0" w:type="auto"/>
            <w:gridSpan w:val="3"/>
            <w:shd w:val="clear" w:color="auto" w:fill="auto"/>
            <w:vAlign w:val="bottom"/>
          </w:tcPr>
          <w:p w14:paraId="71D43E0A" w14:textId="77777777" w:rsidR="006A3667" w:rsidRDefault="006A3667">
            <w:pPr>
              <w:rPr>
                <w:rFonts w:ascii="宋体"/>
                <w:vanish/>
              </w:rPr>
            </w:pPr>
          </w:p>
        </w:tc>
        <w:tc>
          <w:tcPr>
            <w:tcW w:w="0" w:type="auto"/>
            <w:gridSpan w:val="3"/>
            <w:shd w:val="clear" w:color="auto" w:fill="auto"/>
            <w:vAlign w:val="bottom"/>
          </w:tcPr>
          <w:p w14:paraId="71D43E0B" w14:textId="77777777" w:rsidR="006A3667" w:rsidRDefault="006A3667">
            <w:pPr>
              <w:rPr>
                <w:rFonts w:ascii="宋体"/>
                <w:vanish/>
              </w:rPr>
            </w:pPr>
          </w:p>
        </w:tc>
        <w:tc>
          <w:tcPr>
            <w:tcW w:w="0" w:type="auto"/>
            <w:gridSpan w:val="3"/>
            <w:shd w:val="clear" w:color="auto" w:fill="auto"/>
            <w:vAlign w:val="bottom"/>
          </w:tcPr>
          <w:p w14:paraId="71D43E0C" w14:textId="77777777" w:rsidR="006A3667" w:rsidRDefault="006A3667">
            <w:pPr>
              <w:rPr>
                <w:rFonts w:ascii="宋体"/>
                <w:vanish/>
              </w:rPr>
            </w:pPr>
          </w:p>
        </w:tc>
        <w:tc>
          <w:tcPr>
            <w:tcW w:w="0" w:type="auto"/>
            <w:gridSpan w:val="3"/>
            <w:shd w:val="clear" w:color="auto" w:fill="auto"/>
            <w:vAlign w:val="bottom"/>
          </w:tcPr>
          <w:p w14:paraId="71D43E0D" w14:textId="77777777" w:rsidR="006A3667" w:rsidRDefault="006A3667">
            <w:pPr>
              <w:rPr>
                <w:rFonts w:ascii="宋体"/>
                <w:vanish/>
              </w:rPr>
            </w:pPr>
          </w:p>
        </w:tc>
        <w:tc>
          <w:tcPr>
            <w:tcW w:w="0" w:type="auto"/>
            <w:gridSpan w:val="3"/>
            <w:shd w:val="clear" w:color="auto" w:fill="auto"/>
            <w:vAlign w:val="bottom"/>
          </w:tcPr>
          <w:p w14:paraId="71D43E0E" w14:textId="77777777" w:rsidR="006A3667" w:rsidRDefault="006A3667">
            <w:pPr>
              <w:rPr>
                <w:rFonts w:ascii="宋体"/>
                <w:vanish/>
              </w:rPr>
            </w:pPr>
          </w:p>
        </w:tc>
        <w:tc>
          <w:tcPr>
            <w:tcW w:w="0" w:type="auto"/>
            <w:gridSpan w:val="3"/>
            <w:shd w:val="clear" w:color="auto" w:fill="auto"/>
            <w:vAlign w:val="bottom"/>
          </w:tcPr>
          <w:p w14:paraId="71D43E0F" w14:textId="77777777" w:rsidR="006A3667" w:rsidRDefault="006A3667">
            <w:pPr>
              <w:rPr>
                <w:rFonts w:ascii="宋体"/>
                <w:vanish/>
              </w:rPr>
            </w:pPr>
          </w:p>
        </w:tc>
        <w:tc>
          <w:tcPr>
            <w:tcW w:w="0" w:type="auto"/>
            <w:gridSpan w:val="3"/>
            <w:shd w:val="clear" w:color="auto" w:fill="auto"/>
            <w:vAlign w:val="bottom"/>
          </w:tcPr>
          <w:p w14:paraId="71D43E10" w14:textId="77777777" w:rsidR="006A3667" w:rsidRDefault="006A3667">
            <w:pPr>
              <w:rPr>
                <w:rFonts w:ascii="宋体"/>
                <w:vanish/>
              </w:rPr>
            </w:pPr>
          </w:p>
        </w:tc>
        <w:tc>
          <w:tcPr>
            <w:tcW w:w="0" w:type="auto"/>
            <w:gridSpan w:val="3"/>
            <w:shd w:val="clear" w:color="auto" w:fill="auto"/>
            <w:vAlign w:val="bottom"/>
          </w:tcPr>
          <w:p w14:paraId="71D43E11" w14:textId="77777777" w:rsidR="006A3667" w:rsidRDefault="006A3667">
            <w:pPr>
              <w:rPr>
                <w:rFonts w:ascii="宋体"/>
                <w:vanish/>
              </w:rPr>
            </w:pPr>
          </w:p>
        </w:tc>
        <w:tc>
          <w:tcPr>
            <w:tcW w:w="0" w:type="auto"/>
            <w:gridSpan w:val="3"/>
            <w:shd w:val="clear" w:color="auto" w:fill="auto"/>
            <w:vAlign w:val="bottom"/>
          </w:tcPr>
          <w:p w14:paraId="71D43E12" w14:textId="77777777" w:rsidR="006A3667" w:rsidRDefault="006A3667">
            <w:pPr>
              <w:rPr>
                <w:rFonts w:ascii="宋体"/>
                <w:vanish/>
              </w:rPr>
            </w:pPr>
          </w:p>
        </w:tc>
        <w:tc>
          <w:tcPr>
            <w:tcW w:w="0" w:type="auto"/>
            <w:gridSpan w:val="3"/>
            <w:shd w:val="clear" w:color="auto" w:fill="auto"/>
            <w:vAlign w:val="bottom"/>
          </w:tcPr>
          <w:p w14:paraId="71D43E13" w14:textId="77777777" w:rsidR="006A3667" w:rsidRDefault="006A3667">
            <w:pPr>
              <w:rPr>
                <w:rFonts w:ascii="宋体"/>
                <w:vanish/>
              </w:rPr>
            </w:pPr>
          </w:p>
        </w:tc>
        <w:tc>
          <w:tcPr>
            <w:tcW w:w="0" w:type="auto"/>
            <w:gridSpan w:val="3"/>
            <w:shd w:val="clear" w:color="auto" w:fill="auto"/>
            <w:vAlign w:val="bottom"/>
          </w:tcPr>
          <w:p w14:paraId="71D43E14" w14:textId="77777777" w:rsidR="006A3667" w:rsidRDefault="006A3667">
            <w:pPr>
              <w:rPr>
                <w:rFonts w:ascii="宋体"/>
                <w:vanish/>
              </w:rPr>
            </w:pPr>
          </w:p>
        </w:tc>
        <w:tc>
          <w:tcPr>
            <w:tcW w:w="0" w:type="auto"/>
            <w:gridSpan w:val="3"/>
            <w:shd w:val="clear" w:color="auto" w:fill="auto"/>
            <w:vAlign w:val="bottom"/>
          </w:tcPr>
          <w:p w14:paraId="71D43E15" w14:textId="77777777" w:rsidR="006A3667" w:rsidRDefault="006A3667">
            <w:pPr>
              <w:rPr>
                <w:rFonts w:ascii="宋体"/>
                <w:vanish/>
              </w:rPr>
            </w:pPr>
          </w:p>
        </w:tc>
        <w:tc>
          <w:tcPr>
            <w:tcW w:w="0" w:type="auto"/>
            <w:gridSpan w:val="3"/>
            <w:shd w:val="clear" w:color="auto" w:fill="auto"/>
            <w:vAlign w:val="bottom"/>
          </w:tcPr>
          <w:p w14:paraId="71D43E16" w14:textId="77777777" w:rsidR="006A3667" w:rsidRDefault="006A3667">
            <w:pPr>
              <w:rPr>
                <w:rFonts w:ascii="宋体"/>
                <w:vanish/>
              </w:rPr>
            </w:pPr>
          </w:p>
        </w:tc>
        <w:tc>
          <w:tcPr>
            <w:tcW w:w="0" w:type="auto"/>
            <w:gridSpan w:val="3"/>
            <w:shd w:val="clear" w:color="auto" w:fill="auto"/>
            <w:vAlign w:val="bottom"/>
          </w:tcPr>
          <w:p w14:paraId="71D43E17" w14:textId="77777777" w:rsidR="006A3667" w:rsidRDefault="006A3667">
            <w:pPr>
              <w:rPr>
                <w:rFonts w:ascii="宋体"/>
                <w:vanish/>
              </w:rPr>
            </w:pPr>
          </w:p>
        </w:tc>
        <w:tc>
          <w:tcPr>
            <w:tcW w:w="0" w:type="auto"/>
            <w:gridSpan w:val="3"/>
            <w:shd w:val="clear" w:color="auto" w:fill="auto"/>
            <w:vAlign w:val="bottom"/>
          </w:tcPr>
          <w:p w14:paraId="71D43E18" w14:textId="77777777" w:rsidR="006A3667" w:rsidRDefault="006A3667">
            <w:pPr>
              <w:rPr>
                <w:rFonts w:ascii="宋体"/>
                <w:vanish/>
              </w:rPr>
            </w:pPr>
          </w:p>
        </w:tc>
        <w:tc>
          <w:tcPr>
            <w:tcW w:w="0" w:type="auto"/>
            <w:gridSpan w:val="3"/>
            <w:shd w:val="clear" w:color="auto" w:fill="auto"/>
            <w:vAlign w:val="bottom"/>
          </w:tcPr>
          <w:p w14:paraId="71D43E19" w14:textId="77777777" w:rsidR="006A3667" w:rsidRDefault="006A3667">
            <w:pPr>
              <w:rPr>
                <w:rFonts w:ascii="宋体"/>
                <w:vanish/>
              </w:rPr>
            </w:pPr>
          </w:p>
        </w:tc>
        <w:tc>
          <w:tcPr>
            <w:tcW w:w="0" w:type="auto"/>
            <w:gridSpan w:val="3"/>
            <w:shd w:val="clear" w:color="auto" w:fill="auto"/>
            <w:vAlign w:val="bottom"/>
          </w:tcPr>
          <w:p w14:paraId="71D43E1A" w14:textId="77777777" w:rsidR="006A3667" w:rsidRDefault="006A3667">
            <w:pPr>
              <w:rPr>
                <w:rFonts w:ascii="宋体"/>
                <w:vanish/>
              </w:rPr>
            </w:pPr>
          </w:p>
        </w:tc>
        <w:tc>
          <w:tcPr>
            <w:tcW w:w="0" w:type="auto"/>
            <w:gridSpan w:val="3"/>
            <w:shd w:val="clear" w:color="auto" w:fill="auto"/>
            <w:vAlign w:val="bottom"/>
          </w:tcPr>
          <w:p w14:paraId="71D43E1B" w14:textId="77777777" w:rsidR="006A3667" w:rsidRDefault="006A3667">
            <w:pPr>
              <w:rPr>
                <w:rFonts w:ascii="宋体"/>
                <w:vanish/>
              </w:rPr>
            </w:pPr>
          </w:p>
        </w:tc>
        <w:tc>
          <w:tcPr>
            <w:tcW w:w="0" w:type="auto"/>
            <w:gridSpan w:val="3"/>
            <w:shd w:val="clear" w:color="auto" w:fill="auto"/>
            <w:vAlign w:val="bottom"/>
          </w:tcPr>
          <w:p w14:paraId="71D43E1C" w14:textId="77777777" w:rsidR="006A3667" w:rsidRDefault="006A3667">
            <w:pPr>
              <w:rPr>
                <w:rFonts w:ascii="宋体"/>
                <w:vanish/>
              </w:rPr>
            </w:pPr>
          </w:p>
        </w:tc>
        <w:tc>
          <w:tcPr>
            <w:tcW w:w="0" w:type="auto"/>
            <w:gridSpan w:val="2"/>
            <w:shd w:val="clear" w:color="auto" w:fill="auto"/>
            <w:vAlign w:val="bottom"/>
          </w:tcPr>
          <w:p w14:paraId="71D43E1D" w14:textId="77777777" w:rsidR="006A3667" w:rsidRDefault="006A3667">
            <w:pPr>
              <w:rPr>
                <w:rFonts w:ascii="宋体"/>
                <w:vanish/>
              </w:rPr>
            </w:pPr>
          </w:p>
        </w:tc>
        <w:tc>
          <w:tcPr>
            <w:tcW w:w="0" w:type="auto"/>
            <w:shd w:val="clear" w:color="auto" w:fill="auto"/>
            <w:vAlign w:val="bottom"/>
          </w:tcPr>
          <w:p w14:paraId="71D43E1E" w14:textId="77777777" w:rsidR="006A3667" w:rsidRDefault="006A3667">
            <w:pPr>
              <w:rPr>
                <w:rFonts w:ascii="宋体"/>
                <w:vanish/>
              </w:rPr>
            </w:pPr>
          </w:p>
        </w:tc>
      </w:tr>
      <w:tr w:rsidR="006A3667" w14:paraId="71D43E36" w14:textId="77777777">
        <w:trPr>
          <w:hidden/>
        </w:trPr>
        <w:tc>
          <w:tcPr>
            <w:tcW w:w="0" w:type="auto"/>
            <w:gridSpan w:val="3"/>
            <w:shd w:val="clear" w:color="auto" w:fill="auto"/>
            <w:vAlign w:val="bottom"/>
          </w:tcPr>
          <w:p w14:paraId="71D43E20" w14:textId="77777777" w:rsidR="006A3667" w:rsidRDefault="006A3667">
            <w:pPr>
              <w:rPr>
                <w:rFonts w:ascii="宋体"/>
                <w:vanish/>
              </w:rPr>
            </w:pPr>
          </w:p>
        </w:tc>
        <w:tc>
          <w:tcPr>
            <w:tcW w:w="0" w:type="auto"/>
            <w:gridSpan w:val="3"/>
            <w:shd w:val="clear" w:color="auto" w:fill="auto"/>
            <w:vAlign w:val="bottom"/>
          </w:tcPr>
          <w:p w14:paraId="71D43E21" w14:textId="77777777" w:rsidR="006A3667" w:rsidRDefault="006A3667">
            <w:pPr>
              <w:rPr>
                <w:rFonts w:ascii="宋体"/>
                <w:vanish/>
              </w:rPr>
            </w:pPr>
          </w:p>
        </w:tc>
        <w:tc>
          <w:tcPr>
            <w:tcW w:w="0" w:type="auto"/>
            <w:gridSpan w:val="3"/>
            <w:shd w:val="clear" w:color="auto" w:fill="auto"/>
            <w:vAlign w:val="bottom"/>
          </w:tcPr>
          <w:p w14:paraId="71D43E22" w14:textId="77777777" w:rsidR="006A3667" w:rsidRDefault="006A3667">
            <w:pPr>
              <w:rPr>
                <w:rFonts w:ascii="宋体"/>
                <w:vanish/>
              </w:rPr>
            </w:pPr>
          </w:p>
        </w:tc>
        <w:tc>
          <w:tcPr>
            <w:tcW w:w="0" w:type="auto"/>
            <w:gridSpan w:val="3"/>
            <w:shd w:val="clear" w:color="auto" w:fill="auto"/>
            <w:vAlign w:val="bottom"/>
          </w:tcPr>
          <w:p w14:paraId="71D43E23" w14:textId="77777777" w:rsidR="006A3667" w:rsidRDefault="006A3667">
            <w:pPr>
              <w:rPr>
                <w:rFonts w:ascii="宋体"/>
                <w:vanish/>
              </w:rPr>
            </w:pPr>
          </w:p>
        </w:tc>
        <w:tc>
          <w:tcPr>
            <w:tcW w:w="0" w:type="auto"/>
            <w:gridSpan w:val="3"/>
            <w:shd w:val="clear" w:color="auto" w:fill="auto"/>
            <w:vAlign w:val="bottom"/>
          </w:tcPr>
          <w:p w14:paraId="71D43E24" w14:textId="77777777" w:rsidR="006A3667" w:rsidRDefault="006A3667">
            <w:pPr>
              <w:rPr>
                <w:rFonts w:ascii="宋体"/>
                <w:vanish/>
              </w:rPr>
            </w:pPr>
          </w:p>
        </w:tc>
        <w:tc>
          <w:tcPr>
            <w:tcW w:w="0" w:type="auto"/>
            <w:gridSpan w:val="3"/>
            <w:shd w:val="clear" w:color="auto" w:fill="auto"/>
            <w:vAlign w:val="bottom"/>
          </w:tcPr>
          <w:p w14:paraId="71D43E25" w14:textId="77777777" w:rsidR="006A3667" w:rsidRDefault="006A3667">
            <w:pPr>
              <w:rPr>
                <w:rFonts w:ascii="宋体"/>
                <w:vanish/>
              </w:rPr>
            </w:pPr>
          </w:p>
        </w:tc>
        <w:tc>
          <w:tcPr>
            <w:tcW w:w="0" w:type="auto"/>
            <w:gridSpan w:val="3"/>
            <w:shd w:val="clear" w:color="auto" w:fill="auto"/>
            <w:vAlign w:val="bottom"/>
          </w:tcPr>
          <w:p w14:paraId="71D43E26" w14:textId="77777777" w:rsidR="006A3667" w:rsidRDefault="006A3667">
            <w:pPr>
              <w:rPr>
                <w:rFonts w:ascii="宋体"/>
                <w:vanish/>
              </w:rPr>
            </w:pPr>
          </w:p>
        </w:tc>
        <w:tc>
          <w:tcPr>
            <w:tcW w:w="0" w:type="auto"/>
            <w:gridSpan w:val="3"/>
            <w:shd w:val="clear" w:color="auto" w:fill="auto"/>
            <w:vAlign w:val="bottom"/>
          </w:tcPr>
          <w:p w14:paraId="71D43E27" w14:textId="77777777" w:rsidR="006A3667" w:rsidRDefault="006A3667">
            <w:pPr>
              <w:rPr>
                <w:rFonts w:ascii="宋体"/>
                <w:vanish/>
              </w:rPr>
            </w:pPr>
          </w:p>
        </w:tc>
        <w:tc>
          <w:tcPr>
            <w:tcW w:w="0" w:type="auto"/>
            <w:gridSpan w:val="3"/>
            <w:shd w:val="clear" w:color="auto" w:fill="auto"/>
            <w:vAlign w:val="bottom"/>
          </w:tcPr>
          <w:p w14:paraId="71D43E28" w14:textId="77777777" w:rsidR="006A3667" w:rsidRDefault="006A3667">
            <w:pPr>
              <w:rPr>
                <w:rFonts w:ascii="宋体"/>
                <w:vanish/>
              </w:rPr>
            </w:pPr>
          </w:p>
        </w:tc>
        <w:tc>
          <w:tcPr>
            <w:tcW w:w="0" w:type="auto"/>
            <w:gridSpan w:val="3"/>
            <w:shd w:val="clear" w:color="auto" w:fill="auto"/>
            <w:vAlign w:val="bottom"/>
          </w:tcPr>
          <w:p w14:paraId="71D43E29" w14:textId="77777777" w:rsidR="006A3667" w:rsidRDefault="006A3667">
            <w:pPr>
              <w:rPr>
                <w:rFonts w:ascii="宋体"/>
                <w:vanish/>
              </w:rPr>
            </w:pPr>
          </w:p>
        </w:tc>
        <w:tc>
          <w:tcPr>
            <w:tcW w:w="0" w:type="auto"/>
            <w:gridSpan w:val="3"/>
            <w:shd w:val="clear" w:color="auto" w:fill="auto"/>
            <w:vAlign w:val="bottom"/>
          </w:tcPr>
          <w:p w14:paraId="71D43E2A" w14:textId="77777777" w:rsidR="006A3667" w:rsidRDefault="006A3667">
            <w:pPr>
              <w:rPr>
                <w:rFonts w:ascii="宋体"/>
                <w:vanish/>
              </w:rPr>
            </w:pPr>
          </w:p>
        </w:tc>
        <w:tc>
          <w:tcPr>
            <w:tcW w:w="0" w:type="auto"/>
            <w:gridSpan w:val="3"/>
            <w:shd w:val="clear" w:color="auto" w:fill="auto"/>
            <w:vAlign w:val="bottom"/>
          </w:tcPr>
          <w:p w14:paraId="71D43E2B" w14:textId="77777777" w:rsidR="006A3667" w:rsidRDefault="006A3667">
            <w:pPr>
              <w:rPr>
                <w:rFonts w:ascii="宋体"/>
                <w:vanish/>
              </w:rPr>
            </w:pPr>
          </w:p>
        </w:tc>
        <w:tc>
          <w:tcPr>
            <w:tcW w:w="0" w:type="auto"/>
            <w:gridSpan w:val="3"/>
            <w:shd w:val="clear" w:color="auto" w:fill="auto"/>
            <w:vAlign w:val="bottom"/>
          </w:tcPr>
          <w:p w14:paraId="71D43E2C" w14:textId="77777777" w:rsidR="006A3667" w:rsidRDefault="006A3667">
            <w:pPr>
              <w:rPr>
                <w:rFonts w:ascii="宋体"/>
                <w:vanish/>
              </w:rPr>
            </w:pPr>
          </w:p>
        </w:tc>
        <w:tc>
          <w:tcPr>
            <w:tcW w:w="0" w:type="auto"/>
            <w:gridSpan w:val="3"/>
            <w:shd w:val="clear" w:color="auto" w:fill="auto"/>
            <w:vAlign w:val="bottom"/>
          </w:tcPr>
          <w:p w14:paraId="71D43E2D" w14:textId="77777777" w:rsidR="006A3667" w:rsidRDefault="006A3667">
            <w:pPr>
              <w:rPr>
                <w:rFonts w:ascii="宋体"/>
                <w:vanish/>
              </w:rPr>
            </w:pPr>
          </w:p>
        </w:tc>
        <w:tc>
          <w:tcPr>
            <w:tcW w:w="0" w:type="auto"/>
            <w:gridSpan w:val="3"/>
            <w:shd w:val="clear" w:color="auto" w:fill="auto"/>
            <w:vAlign w:val="bottom"/>
          </w:tcPr>
          <w:p w14:paraId="71D43E2E" w14:textId="77777777" w:rsidR="006A3667" w:rsidRDefault="006A3667">
            <w:pPr>
              <w:rPr>
                <w:rFonts w:ascii="宋体"/>
                <w:vanish/>
              </w:rPr>
            </w:pPr>
          </w:p>
        </w:tc>
        <w:tc>
          <w:tcPr>
            <w:tcW w:w="0" w:type="auto"/>
            <w:gridSpan w:val="3"/>
            <w:shd w:val="clear" w:color="auto" w:fill="auto"/>
            <w:vAlign w:val="bottom"/>
          </w:tcPr>
          <w:p w14:paraId="71D43E2F" w14:textId="77777777" w:rsidR="006A3667" w:rsidRDefault="006A3667">
            <w:pPr>
              <w:rPr>
                <w:rFonts w:ascii="宋体"/>
                <w:vanish/>
              </w:rPr>
            </w:pPr>
          </w:p>
        </w:tc>
        <w:tc>
          <w:tcPr>
            <w:tcW w:w="0" w:type="auto"/>
            <w:gridSpan w:val="3"/>
            <w:shd w:val="clear" w:color="auto" w:fill="auto"/>
            <w:vAlign w:val="bottom"/>
          </w:tcPr>
          <w:p w14:paraId="71D43E30" w14:textId="77777777" w:rsidR="006A3667" w:rsidRDefault="006A3667">
            <w:pPr>
              <w:rPr>
                <w:rFonts w:ascii="宋体"/>
                <w:vanish/>
              </w:rPr>
            </w:pPr>
          </w:p>
        </w:tc>
        <w:tc>
          <w:tcPr>
            <w:tcW w:w="0" w:type="auto"/>
            <w:gridSpan w:val="3"/>
            <w:shd w:val="clear" w:color="auto" w:fill="auto"/>
            <w:vAlign w:val="bottom"/>
          </w:tcPr>
          <w:p w14:paraId="71D43E31" w14:textId="77777777" w:rsidR="006A3667" w:rsidRDefault="006A3667">
            <w:pPr>
              <w:rPr>
                <w:rFonts w:ascii="宋体"/>
                <w:vanish/>
              </w:rPr>
            </w:pPr>
          </w:p>
        </w:tc>
        <w:tc>
          <w:tcPr>
            <w:tcW w:w="0" w:type="auto"/>
            <w:gridSpan w:val="3"/>
            <w:shd w:val="clear" w:color="auto" w:fill="auto"/>
            <w:vAlign w:val="bottom"/>
          </w:tcPr>
          <w:p w14:paraId="71D43E32" w14:textId="77777777" w:rsidR="006A3667" w:rsidRDefault="006A3667">
            <w:pPr>
              <w:rPr>
                <w:rFonts w:ascii="宋体"/>
                <w:vanish/>
              </w:rPr>
            </w:pPr>
          </w:p>
        </w:tc>
        <w:tc>
          <w:tcPr>
            <w:tcW w:w="0" w:type="auto"/>
            <w:gridSpan w:val="3"/>
            <w:shd w:val="clear" w:color="auto" w:fill="auto"/>
            <w:vAlign w:val="bottom"/>
          </w:tcPr>
          <w:p w14:paraId="71D43E33" w14:textId="77777777" w:rsidR="006A3667" w:rsidRDefault="006A3667">
            <w:pPr>
              <w:rPr>
                <w:rFonts w:ascii="宋体"/>
                <w:vanish/>
              </w:rPr>
            </w:pPr>
          </w:p>
        </w:tc>
        <w:tc>
          <w:tcPr>
            <w:tcW w:w="0" w:type="auto"/>
            <w:gridSpan w:val="2"/>
            <w:shd w:val="clear" w:color="auto" w:fill="auto"/>
            <w:vAlign w:val="bottom"/>
          </w:tcPr>
          <w:p w14:paraId="71D43E34" w14:textId="77777777" w:rsidR="006A3667" w:rsidRDefault="006A3667">
            <w:pPr>
              <w:rPr>
                <w:rFonts w:ascii="宋体"/>
                <w:vanish/>
              </w:rPr>
            </w:pPr>
          </w:p>
        </w:tc>
        <w:tc>
          <w:tcPr>
            <w:tcW w:w="0" w:type="auto"/>
            <w:shd w:val="clear" w:color="auto" w:fill="auto"/>
            <w:vAlign w:val="bottom"/>
          </w:tcPr>
          <w:p w14:paraId="71D43E35" w14:textId="77777777" w:rsidR="006A3667" w:rsidRDefault="006A3667">
            <w:pPr>
              <w:rPr>
                <w:rFonts w:ascii="宋体"/>
                <w:vanish/>
              </w:rPr>
            </w:pPr>
          </w:p>
        </w:tc>
      </w:tr>
      <w:tr w:rsidR="006A3667" w14:paraId="71D43E4D" w14:textId="77777777">
        <w:trPr>
          <w:hidden/>
        </w:trPr>
        <w:tc>
          <w:tcPr>
            <w:tcW w:w="0" w:type="auto"/>
            <w:gridSpan w:val="3"/>
            <w:shd w:val="clear" w:color="auto" w:fill="auto"/>
            <w:vAlign w:val="bottom"/>
          </w:tcPr>
          <w:p w14:paraId="71D43E37" w14:textId="77777777" w:rsidR="006A3667" w:rsidRDefault="006A3667">
            <w:pPr>
              <w:rPr>
                <w:rFonts w:ascii="宋体"/>
                <w:vanish/>
              </w:rPr>
            </w:pPr>
          </w:p>
        </w:tc>
        <w:tc>
          <w:tcPr>
            <w:tcW w:w="0" w:type="auto"/>
            <w:gridSpan w:val="3"/>
            <w:shd w:val="clear" w:color="auto" w:fill="auto"/>
            <w:vAlign w:val="bottom"/>
          </w:tcPr>
          <w:p w14:paraId="71D43E38" w14:textId="77777777" w:rsidR="006A3667" w:rsidRDefault="006A3667">
            <w:pPr>
              <w:rPr>
                <w:rFonts w:ascii="宋体"/>
                <w:vanish/>
              </w:rPr>
            </w:pPr>
          </w:p>
        </w:tc>
        <w:tc>
          <w:tcPr>
            <w:tcW w:w="0" w:type="auto"/>
            <w:gridSpan w:val="3"/>
            <w:shd w:val="clear" w:color="auto" w:fill="auto"/>
            <w:vAlign w:val="bottom"/>
          </w:tcPr>
          <w:p w14:paraId="71D43E39" w14:textId="77777777" w:rsidR="006A3667" w:rsidRDefault="006A3667">
            <w:pPr>
              <w:rPr>
                <w:rFonts w:ascii="宋体"/>
                <w:vanish/>
              </w:rPr>
            </w:pPr>
          </w:p>
        </w:tc>
        <w:tc>
          <w:tcPr>
            <w:tcW w:w="0" w:type="auto"/>
            <w:gridSpan w:val="3"/>
            <w:shd w:val="clear" w:color="auto" w:fill="auto"/>
            <w:vAlign w:val="bottom"/>
          </w:tcPr>
          <w:p w14:paraId="71D43E3A" w14:textId="77777777" w:rsidR="006A3667" w:rsidRDefault="006A3667">
            <w:pPr>
              <w:rPr>
                <w:rFonts w:ascii="宋体"/>
                <w:vanish/>
              </w:rPr>
            </w:pPr>
          </w:p>
        </w:tc>
        <w:tc>
          <w:tcPr>
            <w:tcW w:w="0" w:type="auto"/>
            <w:gridSpan w:val="3"/>
            <w:shd w:val="clear" w:color="auto" w:fill="auto"/>
            <w:vAlign w:val="bottom"/>
          </w:tcPr>
          <w:p w14:paraId="71D43E3B" w14:textId="77777777" w:rsidR="006A3667" w:rsidRDefault="006A3667">
            <w:pPr>
              <w:rPr>
                <w:rFonts w:ascii="宋体"/>
                <w:vanish/>
              </w:rPr>
            </w:pPr>
          </w:p>
        </w:tc>
        <w:tc>
          <w:tcPr>
            <w:tcW w:w="0" w:type="auto"/>
            <w:gridSpan w:val="3"/>
            <w:shd w:val="clear" w:color="auto" w:fill="auto"/>
            <w:vAlign w:val="bottom"/>
          </w:tcPr>
          <w:p w14:paraId="71D43E3C" w14:textId="77777777" w:rsidR="006A3667" w:rsidRDefault="006A3667">
            <w:pPr>
              <w:rPr>
                <w:rFonts w:ascii="宋体"/>
                <w:vanish/>
              </w:rPr>
            </w:pPr>
          </w:p>
        </w:tc>
        <w:tc>
          <w:tcPr>
            <w:tcW w:w="0" w:type="auto"/>
            <w:gridSpan w:val="3"/>
            <w:shd w:val="clear" w:color="auto" w:fill="auto"/>
            <w:vAlign w:val="bottom"/>
          </w:tcPr>
          <w:p w14:paraId="71D43E3D" w14:textId="77777777" w:rsidR="006A3667" w:rsidRDefault="006A3667">
            <w:pPr>
              <w:rPr>
                <w:rFonts w:ascii="宋体"/>
                <w:vanish/>
              </w:rPr>
            </w:pPr>
          </w:p>
        </w:tc>
        <w:tc>
          <w:tcPr>
            <w:tcW w:w="0" w:type="auto"/>
            <w:gridSpan w:val="3"/>
            <w:shd w:val="clear" w:color="auto" w:fill="auto"/>
            <w:vAlign w:val="bottom"/>
          </w:tcPr>
          <w:p w14:paraId="71D43E3E" w14:textId="77777777" w:rsidR="006A3667" w:rsidRDefault="006A3667">
            <w:pPr>
              <w:rPr>
                <w:rFonts w:ascii="宋体"/>
                <w:vanish/>
              </w:rPr>
            </w:pPr>
          </w:p>
        </w:tc>
        <w:tc>
          <w:tcPr>
            <w:tcW w:w="0" w:type="auto"/>
            <w:gridSpan w:val="3"/>
            <w:shd w:val="clear" w:color="auto" w:fill="auto"/>
            <w:vAlign w:val="bottom"/>
          </w:tcPr>
          <w:p w14:paraId="71D43E3F" w14:textId="77777777" w:rsidR="006A3667" w:rsidRDefault="006A3667">
            <w:pPr>
              <w:rPr>
                <w:rFonts w:ascii="宋体"/>
                <w:vanish/>
              </w:rPr>
            </w:pPr>
          </w:p>
        </w:tc>
        <w:tc>
          <w:tcPr>
            <w:tcW w:w="0" w:type="auto"/>
            <w:gridSpan w:val="3"/>
            <w:shd w:val="clear" w:color="auto" w:fill="auto"/>
            <w:vAlign w:val="bottom"/>
          </w:tcPr>
          <w:p w14:paraId="71D43E40" w14:textId="77777777" w:rsidR="006A3667" w:rsidRDefault="006A3667">
            <w:pPr>
              <w:rPr>
                <w:rFonts w:ascii="宋体"/>
                <w:vanish/>
              </w:rPr>
            </w:pPr>
          </w:p>
        </w:tc>
        <w:tc>
          <w:tcPr>
            <w:tcW w:w="0" w:type="auto"/>
            <w:gridSpan w:val="3"/>
            <w:shd w:val="clear" w:color="auto" w:fill="auto"/>
            <w:vAlign w:val="bottom"/>
          </w:tcPr>
          <w:p w14:paraId="71D43E41" w14:textId="77777777" w:rsidR="006A3667" w:rsidRDefault="006A3667">
            <w:pPr>
              <w:rPr>
                <w:rFonts w:ascii="宋体"/>
                <w:vanish/>
              </w:rPr>
            </w:pPr>
          </w:p>
        </w:tc>
        <w:tc>
          <w:tcPr>
            <w:tcW w:w="0" w:type="auto"/>
            <w:gridSpan w:val="3"/>
            <w:shd w:val="clear" w:color="auto" w:fill="auto"/>
            <w:vAlign w:val="bottom"/>
          </w:tcPr>
          <w:p w14:paraId="71D43E42" w14:textId="77777777" w:rsidR="006A3667" w:rsidRDefault="006A3667">
            <w:pPr>
              <w:rPr>
                <w:rFonts w:ascii="宋体"/>
                <w:vanish/>
              </w:rPr>
            </w:pPr>
          </w:p>
        </w:tc>
        <w:tc>
          <w:tcPr>
            <w:tcW w:w="0" w:type="auto"/>
            <w:gridSpan w:val="3"/>
            <w:shd w:val="clear" w:color="auto" w:fill="auto"/>
            <w:vAlign w:val="bottom"/>
          </w:tcPr>
          <w:p w14:paraId="71D43E43" w14:textId="77777777" w:rsidR="006A3667" w:rsidRDefault="006A3667">
            <w:pPr>
              <w:rPr>
                <w:rFonts w:ascii="宋体"/>
                <w:vanish/>
              </w:rPr>
            </w:pPr>
          </w:p>
        </w:tc>
        <w:tc>
          <w:tcPr>
            <w:tcW w:w="0" w:type="auto"/>
            <w:gridSpan w:val="3"/>
            <w:shd w:val="clear" w:color="auto" w:fill="auto"/>
            <w:vAlign w:val="bottom"/>
          </w:tcPr>
          <w:p w14:paraId="71D43E44" w14:textId="77777777" w:rsidR="006A3667" w:rsidRDefault="006A3667">
            <w:pPr>
              <w:rPr>
                <w:rFonts w:ascii="宋体"/>
                <w:vanish/>
              </w:rPr>
            </w:pPr>
          </w:p>
        </w:tc>
        <w:tc>
          <w:tcPr>
            <w:tcW w:w="0" w:type="auto"/>
            <w:gridSpan w:val="3"/>
            <w:shd w:val="clear" w:color="auto" w:fill="auto"/>
            <w:vAlign w:val="bottom"/>
          </w:tcPr>
          <w:p w14:paraId="71D43E45" w14:textId="77777777" w:rsidR="006A3667" w:rsidRDefault="006A3667">
            <w:pPr>
              <w:rPr>
                <w:rFonts w:ascii="宋体"/>
                <w:vanish/>
              </w:rPr>
            </w:pPr>
          </w:p>
        </w:tc>
        <w:tc>
          <w:tcPr>
            <w:tcW w:w="0" w:type="auto"/>
            <w:gridSpan w:val="3"/>
            <w:shd w:val="clear" w:color="auto" w:fill="auto"/>
            <w:vAlign w:val="bottom"/>
          </w:tcPr>
          <w:p w14:paraId="71D43E46" w14:textId="77777777" w:rsidR="006A3667" w:rsidRDefault="006A3667">
            <w:pPr>
              <w:rPr>
                <w:rFonts w:ascii="宋体"/>
                <w:vanish/>
              </w:rPr>
            </w:pPr>
          </w:p>
        </w:tc>
        <w:tc>
          <w:tcPr>
            <w:tcW w:w="0" w:type="auto"/>
            <w:gridSpan w:val="3"/>
            <w:shd w:val="clear" w:color="auto" w:fill="auto"/>
            <w:vAlign w:val="bottom"/>
          </w:tcPr>
          <w:p w14:paraId="71D43E47" w14:textId="77777777" w:rsidR="006A3667" w:rsidRDefault="006A3667">
            <w:pPr>
              <w:rPr>
                <w:rFonts w:ascii="宋体"/>
                <w:vanish/>
              </w:rPr>
            </w:pPr>
          </w:p>
        </w:tc>
        <w:tc>
          <w:tcPr>
            <w:tcW w:w="0" w:type="auto"/>
            <w:gridSpan w:val="3"/>
            <w:shd w:val="clear" w:color="auto" w:fill="auto"/>
            <w:vAlign w:val="bottom"/>
          </w:tcPr>
          <w:p w14:paraId="71D43E48" w14:textId="77777777" w:rsidR="006A3667" w:rsidRDefault="006A3667">
            <w:pPr>
              <w:rPr>
                <w:rFonts w:ascii="宋体"/>
                <w:vanish/>
              </w:rPr>
            </w:pPr>
          </w:p>
        </w:tc>
        <w:tc>
          <w:tcPr>
            <w:tcW w:w="0" w:type="auto"/>
            <w:gridSpan w:val="3"/>
            <w:shd w:val="clear" w:color="auto" w:fill="auto"/>
            <w:vAlign w:val="bottom"/>
          </w:tcPr>
          <w:p w14:paraId="71D43E49" w14:textId="77777777" w:rsidR="006A3667" w:rsidRDefault="006A3667">
            <w:pPr>
              <w:rPr>
                <w:rFonts w:ascii="宋体"/>
                <w:vanish/>
              </w:rPr>
            </w:pPr>
          </w:p>
        </w:tc>
        <w:tc>
          <w:tcPr>
            <w:tcW w:w="0" w:type="auto"/>
            <w:gridSpan w:val="3"/>
            <w:shd w:val="clear" w:color="auto" w:fill="auto"/>
            <w:vAlign w:val="bottom"/>
          </w:tcPr>
          <w:p w14:paraId="71D43E4A" w14:textId="77777777" w:rsidR="006A3667" w:rsidRDefault="006A3667">
            <w:pPr>
              <w:rPr>
                <w:rFonts w:ascii="宋体"/>
                <w:vanish/>
              </w:rPr>
            </w:pPr>
          </w:p>
        </w:tc>
        <w:tc>
          <w:tcPr>
            <w:tcW w:w="0" w:type="auto"/>
            <w:gridSpan w:val="2"/>
            <w:shd w:val="clear" w:color="auto" w:fill="auto"/>
            <w:vAlign w:val="bottom"/>
          </w:tcPr>
          <w:p w14:paraId="71D43E4B" w14:textId="77777777" w:rsidR="006A3667" w:rsidRDefault="006A3667">
            <w:pPr>
              <w:rPr>
                <w:rFonts w:ascii="宋体"/>
                <w:vanish/>
              </w:rPr>
            </w:pPr>
          </w:p>
        </w:tc>
        <w:tc>
          <w:tcPr>
            <w:tcW w:w="0" w:type="auto"/>
            <w:shd w:val="clear" w:color="auto" w:fill="auto"/>
            <w:vAlign w:val="bottom"/>
          </w:tcPr>
          <w:p w14:paraId="71D43E4C" w14:textId="77777777" w:rsidR="006A3667" w:rsidRDefault="006A3667">
            <w:pPr>
              <w:rPr>
                <w:rFonts w:ascii="宋体"/>
                <w:vanish/>
              </w:rPr>
            </w:pPr>
          </w:p>
        </w:tc>
      </w:tr>
      <w:tr w:rsidR="006A3667" w14:paraId="71D43E64" w14:textId="77777777">
        <w:trPr>
          <w:hidden/>
        </w:trPr>
        <w:tc>
          <w:tcPr>
            <w:tcW w:w="0" w:type="auto"/>
            <w:gridSpan w:val="3"/>
            <w:shd w:val="clear" w:color="auto" w:fill="auto"/>
            <w:vAlign w:val="bottom"/>
          </w:tcPr>
          <w:p w14:paraId="71D43E4E" w14:textId="77777777" w:rsidR="006A3667" w:rsidRDefault="006A3667">
            <w:pPr>
              <w:rPr>
                <w:rFonts w:ascii="宋体"/>
                <w:vanish/>
              </w:rPr>
            </w:pPr>
          </w:p>
        </w:tc>
        <w:tc>
          <w:tcPr>
            <w:tcW w:w="0" w:type="auto"/>
            <w:gridSpan w:val="3"/>
            <w:shd w:val="clear" w:color="auto" w:fill="auto"/>
            <w:vAlign w:val="bottom"/>
          </w:tcPr>
          <w:p w14:paraId="71D43E4F" w14:textId="77777777" w:rsidR="006A3667" w:rsidRDefault="006A3667">
            <w:pPr>
              <w:rPr>
                <w:rFonts w:ascii="宋体"/>
                <w:vanish/>
              </w:rPr>
            </w:pPr>
          </w:p>
        </w:tc>
        <w:tc>
          <w:tcPr>
            <w:tcW w:w="0" w:type="auto"/>
            <w:gridSpan w:val="3"/>
            <w:shd w:val="clear" w:color="auto" w:fill="auto"/>
            <w:vAlign w:val="bottom"/>
          </w:tcPr>
          <w:p w14:paraId="71D43E50" w14:textId="77777777" w:rsidR="006A3667" w:rsidRDefault="006A3667">
            <w:pPr>
              <w:rPr>
                <w:rFonts w:ascii="宋体"/>
                <w:vanish/>
              </w:rPr>
            </w:pPr>
          </w:p>
        </w:tc>
        <w:tc>
          <w:tcPr>
            <w:tcW w:w="0" w:type="auto"/>
            <w:gridSpan w:val="3"/>
            <w:shd w:val="clear" w:color="auto" w:fill="auto"/>
            <w:vAlign w:val="bottom"/>
          </w:tcPr>
          <w:p w14:paraId="71D43E51" w14:textId="77777777" w:rsidR="006A3667" w:rsidRDefault="006A3667">
            <w:pPr>
              <w:rPr>
                <w:rFonts w:ascii="宋体"/>
                <w:vanish/>
              </w:rPr>
            </w:pPr>
          </w:p>
        </w:tc>
        <w:tc>
          <w:tcPr>
            <w:tcW w:w="0" w:type="auto"/>
            <w:gridSpan w:val="3"/>
            <w:shd w:val="clear" w:color="auto" w:fill="auto"/>
            <w:vAlign w:val="bottom"/>
          </w:tcPr>
          <w:p w14:paraId="71D43E52" w14:textId="77777777" w:rsidR="006A3667" w:rsidRDefault="006A3667">
            <w:pPr>
              <w:rPr>
                <w:rFonts w:ascii="宋体"/>
                <w:vanish/>
              </w:rPr>
            </w:pPr>
          </w:p>
        </w:tc>
        <w:tc>
          <w:tcPr>
            <w:tcW w:w="0" w:type="auto"/>
            <w:gridSpan w:val="3"/>
            <w:shd w:val="clear" w:color="auto" w:fill="auto"/>
            <w:vAlign w:val="bottom"/>
          </w:tcPr>
          <w:p w14:paraId="71D43E53" w14:textId="77777777" w:rsidR="006A3667" w:rsidRDefault="006A3667">
            <w:pPr>
              <w:rPr>
                <w:rFonts w:ascii="宋体"/>
                <w:vanish/>
              </w:rPr>
            </w:pPr>
          </w:p>
        </w:tc>
        <w:tc>
          <w:tcPr>
            <w:tcW w:w="0" w:type="auto"/>
            <w:gridSpan w:val="3"/>
            <w:shd w:val="clear" w:color="auto" w:fill="auto"/>
            <w:vAlign w:val="bottom"/>
          </w:tcPr>
          <w:p w14:paraId="71D43E54" w14:textId="77777777" w:rsidR="006A3667" w:rsidRDefault="006A3667">
            <w:pPr>
              <w:rPr>
                <w:rFonts w:ascii="宋体"/>
                <w:vanish/>
              </w:rPr>
            </w:pPr>
          </w:p>
        </w:tc>
        <w:tc>
          <w:tcPr>
            <w:tcW w:w="0" w:type="auto"/>
            <w:gridSpan w:val="3"/>
            <w:shd w:val="clear" w:color="auto" w:fill="auto"/>
            <w:vAlign w:val="bottom"/>
          </w:tcPr>
          <w:p w14:paraId="71D43E55" w14:textId="77777777" w:rsidR="006A3667" w:rsidRDefault="006A3667">
            <w:pPr>
              <w:rPr>
                <w:rFonts w:ascii="宋体"/>
                <w:vanish/>
              </w:rPr>
            </w:pPr>
          </w:p>
        </w:tc>
        <w:tc>
          <w:tcPr>
            <w:tcW w:w="0" w:type="auto"/>
            <w:gridSpan w:val="3"/>
            <w:shd w:val="clear" w:color="auto" w:fill="auto"/>
            <w:vAlign w:val="bottom"/>
          </w:tcPr>
          <w:p w14:paraId="71D43E56" w14:textId="77777777" w:rsidR="006A3667" w:rsidRDefault="006A3667">
            <w:pPr>
              <w:rPr>
                <w:rFonts w:ascii="宋体"/>
                <w:vanish/>
              </w:rPr>
            </w:pPr>
          </w:p>
        </w:tc>
        <w:tc>
          <w:tcPr>
            <w:tcW w:w="0" w:type="auto"/>
            <w:gridSpan w:val="3"/>
            <w:shd w:val="clear" w:color="auto" w:fill="auto"/>
            <w:vAlign w:val="bottom"/>
          </w:tcPr>
          <w:p w14:paraId="71D43E57" w14:textId="77777777" w:rsidR="006A3667" w:rsidRDefault="006A3667">
            <w:pPr>
              <w:rPr>
                <w:rFonts w:ascii="宋体"/>
                <w:vanish/>
              </w:rPr>
            </w:pPr>
          </w:p>
        </w:tc>
        <w:tc>
          <w:tcPr>
            <w:tcW w:w="0" w:type="auto"/>
            <w:gridSpan w:val="3"/>
            <w:shd w:val="clear" w:color="auto" w:fill="auto"/>
            <w:vAlign w:val="bottom"/>
          </w:tcPr>
          <w:p w14:paraId="71D43E58" w14:textId="77777777" w:rsidR="006A3667" w:rsidRDefault="006A3667">
            <w:pPr>
              <w:rPr>
                <w:rFonts w:ascii="宋体"/>
                <w:vanish/>
              </w:rPr>
            </w:pPr>
          </w:p>
        </w:tc>
        <w:tc>
          <w:tcPr>
            <w:tcW w:w="0" w:type="auto"/>
            <w:gridSpan w:val="3"/>
            <w:shd w:val="clear" w:color="auto" w:fill="auto"/>
            <w:vAlign w:val="bottom"/>
          </w:tcPr>
          <w:p w14:paraId="71D43E59" w14:textId="77777777" w:rsidR="006A3667" w:rsidRDefault="006A3667">
            <w:pPr>
              <w:rPr>
                <w:rFonts w:ascii="宋体"/>
                <w:vanish/>
              </w:rPr>
            </w:pPr>
          </w:p>
        </w:tc>
        <w:tc>
          <w:tcPr>
            <w:tcW w:w="0" w:type="auto"/>
            <w:gridSpan w:val="3"/>
            <w:shd w:val="clear" w:color="auto" w:fill="auto"/>
            <w:vAlign w:val="bottom"/>
          </w:tcPr>
          <w:p w14:paraId="71D43E5A" w14:textId="77777777" w:rsidR="006A3667" w:rsidRDefault="006A3667">
            <w:pPr>
              <w:rPr>
                <w:rFonts w:ascii="宋体"/>
                <w:vanish/>
              </w:rPr>
            </w:pPr>
          </w:p>
        </w:tc>
        <w:tc>
          <w:tcPr>
            <w:tcW w:w="0" w:type="auto"/>
            <w:gridSpan w:val="3"/>
            <w:shd w:val="clear" w:color="auto" w:fill="auto"/>
            <w:vAlign w:val="bottom"/>
          </w:tcPr>
          <w:p w14:paraId="71D43E5B" w14:textId="77777777" w:rsidR="006A3667" w:rsidRDefault="006A3667">
            <w:pPr>
              <w:rPr>
                <w:rFonts w:ascii="宋体"/>
                <w:vanish/>
              </w:rPr>
            </w:pPr>
          </w:p>
        </w:tc>
        <w:tc>
          <w:tcPr>
            <w:tcW w:w="0" w:type="auto"/>
            <w:gridSpan w:val="3"/>
            <w:shd w:val="clear" w:color="auto" w:fill="auto"/>
            <w:vAlign w:val="bottom"/>
          </w:tcPr>
          <w:p w14:paraId="71D43E5C" w14:textId="77777777" w:rsidR="006A3667" w:rsidRDefault="006A3667">
            <w:pPr>
              <w:rPr>
                <w:rFonts w:ascii="宋体"/>
                <w:vanish/>
              </w:rPr>
            </w:pPr>
          </w:p>
        </w:tc>
        <w:tc>
          <w:tcPr>
            <w:tcW w:w="0" w:type="auto"/>
            <w:gridSpan w:val="3"/>
            <w:shd w:val="clear" w:color="auto" w:fill="auto"/>
            <w:vAlign w:val="bottom"/>
          </w:tcPr>
          <w:p w14:paraId="71D43E5D" w14:textId="77777777" w:rsidR="006A3667" w:rsidRDefault="006A3667">
            <w:pPr>
              <w:rPr>
                <w:rFonts w:ascii="宋体"/>
                <w:vanish/>
              </w:rPr>
            </w:pPr>
          </w:p>
        </w:tc>
        <w:tc>
          <w:tcPr>
            <w:tcW w:w="0" w:type="auto"/>
            <w:gridSpan w:val="3"/>
            <w:shd w:val="clear" w:color="auto" w:fill="auto"/>
            <w:vAlign w:val="bottom"/>
          </w:tcPr>
          <w:p w14:paraId="71D43E5E" w14:textId="77777777" w:rsidR="006A3667" w:rsidRDefault="006A3667">
            <w:pPr>
              <w:rPr>
                <w:rFonts w:ascii="宋体"/>
                <w:vanish/>
              </w:rPr>
            </w:pPr>
          </w:p>
        </w:tc>
        <w:tc>
          <w:tcPr>
            <w:tcW w:w="0" w:type="auto"/>
            <w:gridSpan w:val="3"/>
            <w:shd w:val="clear" w:color="auto" w:fill="auto"/>
            <w:vAlign w:val="bottom"/>
          </w:tcPr>
          <w:p w14:paraId="71D43E5F" w14:textId="77777777" w:rsidR="006A3667" w:rsidRDefault="006A3667">
            <w:pPr>
              <w:rPr>
                <w:rFonts w:ascii="宋体"/>
                <w:vanish/>
              </w:rPr>
            </w:pPr>
          </w:p>
        </w:tc>
        <w:tc>
          <w:tcPr>
            <w:tcW w:w="0" w:type="auto"/>
            <w:gridSpan w:val="3"/>
            <w:shd w:val="clear" w:color="auto" w:fill="auto"/>
            <w:vAlign w:val="bottom"/>
          </w:tcPr>
          <w:p w14:paraId="71D43E60" w14:textId="77777777" w:rsidR="006A3667" w:rsidRDefault="006A3667">
            <w:pPr>
              <w:rPr>
                <w:rFonts w:ascii="宋体"/>
                <w:vanish/>
              </w:rPr>
            </w:pPr>
          </w:p>
        </w:tc>
        <w:tc>
          <w:tcPr>
            <w:tcW w:w="0" w:type="auto"/>
            <w:gridSpan w:val="3"/>
            <w:shd w:val="clear" w:color="auto" w:fill="auto"/>
            <w:vAlign w:val="bottom"/>
          </w:tcPr>
          <w:p w14:paraId="71D43E61" w14:textId="77777777" w:rsidR="006A3667" w:rsidRDefault="006A3667">
            <w:pPr>
              <w:rPr>
                <w:rFonts w:ascii="宋体"/>
                <w:vanish/>
              </w:rPr>
            </w:pPr>
          </w:p>
        </w:tc>
        <w:tc>
          <w:tcPr>
            <w:tcW w:w="0" w:type="auto"/>
            <w:gridSpan w:val="2"/>
            <w:shd w:val="clear" w:color="auto" w:fill="auto"/>
            <w:vAlign w:val="bottom"/>
          </w:tcPr>
          <w:p w14:paraId="71D43E62" w14:textId="77777777" w:rsidR="006A3667" w:rsidRDefault="006A3667">
            <w:pPr>
              <w:rPr>
                <w:rFonts w:ascii="宋体"/>
                <w:vanish/>
              </w:rPr>
            </w:pPr>
          </w:p>
        </w:tc>
        <w:tc>
          <w:tcPr>
            <w:tcW w:w="0" w:type="auto"/>
            <w:shd w:val="clear" w:color="auto" w:fill="auto"/>
            <w:vAlign w:val="bottom"/>
          </w:tcPr>
          <w:p w14:paraId="71D43E63" w14:textId="77777777" w:rsidR="006A3667" w:rsidRDefault="006A3667">
            <w:pPr>
              <w:rPr>
                <w:rFonts w:ascii="宋体"/>
                <w:vanish/>
              </w:rPr>
            </w:pPr>
          </w:p>
        </w:tc>
      </w:tr>
      <w:tr w:rsidR="006A3667" w14:paraId="71D43E7B" w14:textId="77777777">
        <w:trPr>
          <w:hidden/>
        </w:trPr>
        <w:tc>
          <w:tcPr>
            <w:tcW w:w="0" w:type="auto"/>
            <w:gridSpan w:val="3"/>
            <w:shd w:val="clear" w:color="auto" w:fill="auto"/>
            <w:vAlign w:val="bottom"/>
          </w:tcPr>
          <w:p w14:paraId="71D43E65" w14:textId="77777777" w:rsidR="006A3667" w:rsidRDefault="006A3667">
            <w:pPr>
              <w:rPr>
                <w:rFonts w:ascii="宋体"/>
                <w:vanish/>
              </w:rPr>
            </w:pPr>
          </w:p>
        </w:tc>
        <w:tc>
          <w:tcPr>
            <w:tcW w:w="0" w:type="auto"/>
            <w:gridSpan w:val="3"/>
            <w:shd w:val="clear" w:color="auto" w:fill="auto"/>
            <w:vAlign w:val="bottom"/>
          </w:tcPr>
          <w:p w14:paraId="71D43E66" w14:textId="77777777" w:rsidR="006A3667" w:rsidRDefault="006A3667">
            <w:pPr>
              <w:rPr>
                <w:rFonts w:ascii="宋体"/>
                <w:vanish/>
              </w:rPr>
            </w:pPr>
          </w:p>
        </w:tc>
        <w:tc>
          <w:tcPr>
            <w:tcW w:w="0" w:type="auto"/>
            <w:gridSpan w:val="3"/>
            <w:shd w:val="clear" w:color="auto" w:fill="auto"/>
            <w:vAlign w:val="bottom"/>
          </w:tcPr>
          <w:p w14:paraId="71D43E67" w14:textId="77777777" w:rsidR="006A3667" w:rsidRDefault="006A3667">
            <w:pPr>
              <w:rPr>
                <w:rFonts w:ascii="宋体"/>
                <w:vanish/>
              </w:rPr>
            </w:pPr>
          </w:p>
        </w:tc>
        <w:tc>
          <w:tcPr>
            <w:tcW w:w="0" w:type="auto"/>
            <w:gridSpan w:val="3"/>
            <w:shd w:val="clear" w:color="auto" w:fill="auto"/>
            <w:vAlign w:val="bottom"/>
          </w:tcPr>
          <w:p w14:paraId="71D43E68" w14:textId="77777777" w:rsidR="006A3667" w:rsidRDefault="006A3667">
            <w:pPr>
              <w:rPr>
                <w:rFonts w:ascii="宋体"/>
                <w:vanish/>
              </w:rPr>
            </w:pPr>
          </w:p>
        </w:tc>
        <w:tc>
          <w:tcPr>
            <w:tcW w:w="0" w:type="auto"/>
            <w:gridSpan w:val="3"/>
            <w:shd w:val="clear" w:color="auto" w:fill="auto"/>
            <w:vAlign w:val="bottom"/>
          </w:tcPr>
          <w:p w14:paraId="71D43E69" w14:textId="77777777" w:rsidR="006A3667" w:rsidRDefault="006A3667">
            <w:pPr>
              <w:rPr>
                <w:rFonts w:ascii="宋体"/>
                <w:vanish/>
              </w:rPr>
            </w:pPr>
          </w:p>
        </w:tc>
        <w:tc>
          <w:tcPr>
            <w:tcW w:w="0" w:type="auto"/>
            <w:gridSpan w:val="3"/>
            <w:shd w:val="clear" w:color="auto" w:fill="auto"/>
            <w:vAlign w:val="bottom"/>
          </w:tcPr>
          <w:p w14:paraId="71D43E6A" w14:textId="77777777" w:rsidR="006A3667" w:rsidRDefault="006A3667">
            <w:pPr>
              <w:rPr>
                <w:rFonts w:ascii="宋体"/>
                <w:vanish/>
              </w:rPr>
            </w:pPr>
          </w:p>
        </w:tc>
        <w:tc>
          <w:tcPr>
            <w:tcW w:w="0" w:type="auto"/>
            <w:gridSpan w:val="3"/>
            <w:shd w:val="clear" w:color="auto" w:fill="auto"/>
            <w:vAlign w:val="bottom"/>
          </w:tcPr>
          <w:p w14:paraId="71D43E6B" w14:textId="77777777" w:rsidR="006A3667" w:rsidRDefault="006A3667">
            <w:pPr>
              <w:rPr>
                <w:rFonts w:ascii="宋体"/>
                <w:vanish/>
              </w:rPr>
            </w:pPr>
          </w:p>
        </w:tc>
        <w:tc>
          <w:tcPr>
            <w:tcW w:w="0" w:type="auto"/>
            <w:gridSpan w:val="3"/>
            <w:shd w:val="clear" w:color="auto" w:fill="auto"/>
            <w:vAlign w:val="bottom"/>
          </w:tcPr>
          <w:p w14:paraId="71D43E6C" w14:textId="77777777" w:rsidR="006A3667" w:rsidRDefault="006A3667">
            <w:pPr>
              <w:rPr>
                <w:rFonts w:ascii="宋体"/>
                <w:vanish/>
              </w:rPr>
            </w:pPr>
          </w:p>
        </w:tc>
        <w:tc>
          <w:tcPr>
            <w:tcW w:w="0" w:type="auto"/>
            <w:gridSpan w:val="3"/>
            <w:shd w:val="clear" w:color="auto" w:fill="auto"/>
            <w:vAlign w:val="bottom"/>
          </w:tcPr>
          <w:p w14:paraId="71D43E6D" w14:textId="77777777" w:rsidR="006A3667" w:rsidRDefault="006A3667">
            <w:pPr>
              <w:rPr>
                <w:rFonts w:ascii="宋体"/>
                <w:vanish/>
              </w:rPr>
            </w:pPr>
          </w:p>
        </w:tc>
        <w:tc>
          <w:tcPr>
            <w:tcW w:w="0" w:type="auto"/>
            <w:gridSpan w:val="3"/>
            <w:shd w:val="clear" w:color="auto" w:fill="auto"/>
            <w:vAlign w:val="bottom"/>
          </w:tcPr>
          <w:p w14:paraId="71D43E6E" w14:textId="77777777" w:rsidR="006A3667" w:rsidRDefault="006A3667">
            <w:pPr>
              <w:rPr>
                <w:rFonts w:ascii="宋体"/>
                <w:vanish/>
              </w:rPr>
            </w:pPr>
          </w:p>
        </w:tc>
        <w:tc>
          <w:tcPr>
            <w:tcW w:w="0" w:type="auto"/>
            <w:gridSpan w:val="3"/>
            <w:shd w:val="clear" w:color="auto" w:fill="auto"/>
            <w:vAlign w:val="bottom"/>
          </w:tcPr>
          <w:p w14:paraId="71D43E6F" w14:textId="77777777" w:rsidR="006A3667" w:rsidRDefault="006A3667">
            <w:pPr>
              <w:rPr>
                <w:rFonts w:ascii="宋体"/>
                <w:vanish/>
              </w:rPr>
            </w:pPr>
          </w:p>
        </w:tc>
        <w:tc>
          <w:tcPr>
            <w:tcW w:w="0" w:type="auto"/>
            <w:gridSpan w:val="3"/>
            <w:shd w:val="clear" w:color="auto" w:fill="auto"/>
            <w:vAlign w:val="bottom"/>
          </w:tcPr>
          <w:p w14:paraId="71D43E70" w14:textId="77777777" w:rsidR="006A3667" w:rsidRDefault="006A3667">
            <w:pPr>
              <w:rPr>
                <w:rFonts w:ascii="宋体"/>
                <w:vanish/>
              </w:rPr>
            </w:pPr>
          </w:p>
        </w:tc>
        <w:tc>
          <w:tcPr>
            <w:tcW w:w="0" w:type="auto"/>
            <w:gridSpan w:val="3"/>
            <w:shd w:val="clear" w:color="auto" w:fill="auto"/>
            <w:vAlign w:val="bottom"/>
          </w:tcPr>
          <w:p w14:paraId="71D43E71" w14:textId="77777777" w:rsidR="006A3667" w:rsidRDefault="006A3667">
            <w:pPr>
              <w:rPr>
                <w:rFonts w:ascii="宋体"/>
                <w:vanish/>
              </w:rPr>
            </w:pPr>
          </w:p>
        </w:tc>
        <w:tc>
          <w:tcPr>
            <w:tcW w:w="0" w:type="auto"/>
            <w:gridSpan w:val="3"/>
            <w:shd w:val="clear" w:color="auto" w:fill="auto"/>
            <w:vAlign w:val="bottom"/>
          </w:tcPr>
          <w:p w14:paraId="71D43E72" w14:textId="77777777" w:rsidR="006A3667" w:rsidRDefault="006A3667">
            <w:pPr>
              <w:rPr>
                <w:rFonts w:ascii="宋体"/>
                <w:vanish/>
              </w:rPr>
            </w:pPr>
          </w:p>
        </w:tc>
        <w:tc>
          <w:tcPr>
            <w:tcW w:w="0" w:type="auto"/>
            <w:gridSpan w:val="3"/>
            <w:shd w:val="clear" w:color="auto" w:fill="auto"/>
            <w:vAlign w:val="bottom"/>
          </w:tcPr>
          <w:p w14:paraId="71D43E73" w14:textId="77777777" w:rsidR="006A3667" w:rsidRDefault="006A3667">
            <w:pPr>
              <w:rPr>
                <w:rFonts w:ascii="宋体"/>
                <w:vanish/>
              </w:rPr>
            </w:pPr>
          </w:p>
        </w:tc>
        <w:tc>
          <w:tcPr>
            <w:tcW w:w="0" w:type="auto"/>
            <w:gridSpan w:val="3"/>
            <w:shd w:val="clear" w:color="auto" w:fill="auto"/>
            <w:vAlign w:val="bottom"/>
          </w:tcPr>
          <w:p w14:paraId="71D43E74" w14:textId="77777777" w:rsidR="006A3667" w:rsidRDefault="006A3667">
            <w:pPr>
              <w:rPr>
                <w:rFonts w:ascii="宋体"/>
                <w:vanish/>
              </w:rPr>
            </w:pPr>
          </w:p>
        </w:tc>
        <w:tc>
          <w:tcPr>
            <w:tcW w:w="0" w:type="auto"/>
            <w:gridSpan w:val="3"/>
            <w:shd w:val="clear" w:color="auto" w:fill="auto"/>
            <w:vAlign w:val="bottom"/>
          </w:tcPr>
          <w:p w14:paraId="71D43E75" w14:textId="77777777" w:rsidR="006A3667" w:rsidRDefault="006A3667">
            <w:pPr>
              <w:rPr>
                <w:rFonts w:ascii="宋体"/>
                <w:vanish/>
              </w:rPr>
            </w:pPr>
          </w:p>
        </w:tc>
        <w:tc>
          <w:tcPr>
            <w:tcW w:w="0" w:type="auto"/>
            <w:gridSpan w:val="3"/>
            <w:shd w:val="clear" w:color="auto" w:fill="auto"/>
            <w:vAlign w:val="bottom"/>
          </w:tcPr>
          <w:p w14:paraId="71D43E76" w14:textId="77777777" w:rsidR="006A3667" w:rsidRDefault="006A3667">
            <w:pPr>
              <w:rPr>
                <w:rFonts w:ascii="宋体"/>
                <w:vanish/>
              </w:rPr>
            </w:pPr>
          </w:p>
        </w:tc>
        <w:tc>
          <w:tcPr>
            <w:tcW w:w="0" w:type="auto"/>
            <w:gridSpan w:val="3"/>
            <w:shd w:val="clear" w:color="auto" w:fill="auto"/>
            <w:vAlign w:val="bottom"/>
          </w:tcPr>
          <w:p w14:paraId="71D43E77" w14:textId="77777777" w:rsidR="006A3667" w:rsidRDefault="006A3667">
            <w:pPr>
              <w:rPr>
                <w:rFonts w:ascii="宋体"/>
                <w:vanish/>
              </w:rPr>
            </w:pPr>
          </w:p>
        </w:tc>
        <w:tc>
          <w:tcPr>
            <w:tcW w:w="0" w:type="auto"/>
            <w:gridSpan w:val="3"/>
            <w:shd w:val="clear" w:color="auto" w:fill="auto"/>
            <w:vAlign w:val="bottom"/>
          </w:tcPr>
          <w:p w14:paraId="71D43E78" w14:textId="77777777" w:rsidR="006A3667" w:rsidRDefault="006A3667">
            <w:pPr>
              <w:rPr>
                <w:rFonts w:ascii="宋体"/>
                <w:vanish/>
              </w:rPr>
            </w:pPr>
          </w:p>
        </w:tc>
        <w:tc>
          <w:tcPr>
            <w:tcW w:w="0" w:type="auto"/>
            <w:gridSpan w:val="2"/>
            <w:shd w:val="clear" w:color="auto" w:fill="auto"/>
            <w:vAlign w:val="bottom"/>
          </w:tcPr>
          <w:p w14:paraId="71D43E79" w14:textId="77777777" w:rsidR="006A3667" w:rsidRDefault="006A3667">
            <w:pPr>
              <w:rPr>
                <w:rFonts w:ascii="宋体"/>
                <w:vanish/>
              </w:rPr>
            </w:pPr>
          </w:p>
        </w:tc>
        <w:tc>
          <w:tcPr>
            <w:tcW w:w="0" w:type="auto"/>
            <w:shd w:val="clear" w:color="auto" w:fill="auto"/>
            <w:vAlign w:val="bottom"/>
          </w:tcPr>
          <w:p w14:paraId="71D43E7A" w14:textId="77777777" w:rsidR="006A3667" w:rsidRDefault="006A3667">
            <w:pPr>
              <w:rPr>
                <w:rFonts w:ascii="宋体"/>
                <w:vanish/>
              </w:rPr>
            </w:pPr>
          </w:p>
        </w:tc>
      </w:tr>
      <w:tr w:rsidR="006A3667" w14:paraId="71D43E92" w14:textId="77777777">
        <w:trPr>
          <w:hidden/>
        </w:trPr>
        <w:tc>
          <w:tcPr>
            <w:tcW w:w="0" w:type="auto"/>
            <w:gridSpan w:val="3"/>
            <w:shd w:val="clear" w:color="auto" w:fill="auto"/>
            <w:vAlign w:val="bottom"/>
          </w:tcPr>
          <w:p w14:paraId="71D43E7C" w14:textId="77777777" w:rsidR="006A3667" w:rsidRDefault="006A3667">
            <w:pPr>
              <w:rPr>
                <w:rFonts w:ascii="宋体"/>
                <w:vanish/>
              </w:rPr>
            </w:pPr>
          </w:p>
        </w:tc>
        <w:tc>
          <w:tcPr>
            <w:tcW w:w="0" w:type="auto"/>
            <w:gridSpan w:val="3"/>
            <w:shd w:val="clear" w:color="auto" w:fill="auto"/>
            <w:vAlign w:val="bottom"/>
          </w:tcPr>
          <w:p w14:paraId="71D43E7D" w14:textId="77777777" w:rsidR="006A3667" w:rsidRDefault="006A3667">
            <w:pPr>
              <w:rPr>
                <w:rFonts w:ascii="宋体"/>
                <w:vanish/>
              </w:rPr>
            </w:pPr>
          </w:p>
        </w:tc>
        <w:tc>
          <w:tcPr>
            <w:tcW w:w="0" w:type="auto"/>
            <w:gridSpan w:val="3"/>
            <w:shd w:val="clear" w:color="auto" w:fill="auto"/>
            <w:vAlign w:val="bottom"/>
          </w:tcPr>
          <w:p w14:paraId="71D43E7E" w14:textId="77777777" w:rsidR="006A3667" w:rsidRDefault="006A3667">
            <w:pPr>
              <w:rPr>
                <w:rFonts w:ascii="宋体"/>
                <w:vanish/>
              </w:rPr>
            </w:pPr>
          </w:p>
        </w:tc>
        <w:tc>
          <w:tcPr>
            <w:tcW w:w="0" w:type="auto"/>
            <w:gridSpan w:val="3"/>
            <w:shd w:val="clear" w:color="auto" w:fill="auto"/>
            <w:vAlign w:val="bottom"/>
          </w:tcPr>
          <w:p w14:paraId="71D43E7F" w14:textId="77777777" w:rsidR="006A3667" w:rsidRDefault="006A3667">
            <w:pPr>
              <w:rPr>
                <w:rFonts w:ascii="宋体"/>
                <w:vanish/>
              </w:rPr>
            </w:pPr>
          </w:p>
        </w:tc>
        <w:tc>
          <w:tcPr>
            <w:tcW w:w="0" w:type="auto"/>
            <w:gridSpan w:val="3"/>
            <w:shd w:val="clear" w:color="auto" w:fill="auto"/>
            <w:vAlign w:val="bottom"/>
          </w:tcPr>
          <w:p w14:paraId="71D43E80" w14:textId="77777777" w:rsidR="006A3667" w:rsidRDefault="006A3667">
            <w:pPr>
              <w:rPr>
                <w:rFonts w:ascii="宋体"/>
                <w:vanish/>
              </w:rPr>
            </w:pPr>
          </w:p>
        </w:tc>
        <w:tc>
          <w:tcPr>
            <w:tcW w:w="0" w:type="auto"/>
            <w:gridSpan w:val="3"/>
            <w:shd w:val="clear" w:color="auto" w:fill="auto"/>
            <w:vAlign w:val="bottom"/>
          </w:tcPr>
          <w:p w14:paraId="71D43E81" w14:textId="77777777" w:rsidR="006A3667" w:rsidRDefault="006A3667">
            <w:pPr>
              <w:rPr>
                <w:rFonts w:ascii="宋体"/>
                <w:vanish/>
              </w:rPr>
            </w:pPr>
          </w:p>
        </w:tc>
        <w:tc>
          <w:tcPr>
            <w:tcW w:w="0" w:type="auto"/>
            <w:gridSpan w:val="3"/>
            <w:shd w:val="clear" w:color="auto" w:fill="auto"/>
            <w:vAlign w:val="bottom"/>
          </w:tcPr>
          <w:p w14:paraId="71D43E82" w14:textId="77777777" w:rsidR="006A3667" w:rsidRDefault="006A3667">
            <w:pPr>
              <w:rPr>
                <w:rFonts w:ascii="宋体"/>
                <w:vanish/>
              </w:rPr>
            </w:pPr>
          </w:p>
        </w:tc>
        <w:tc>
          <w:tcPr>
            <w:tcW w:w="0" w:type="auto"/>
            <w:gridSpan w:val="3"/>
            <w:shd w:val="clear" w:color="auto" w:fill="auto"/>
            <w:vAlign w:val="bottom"/>
          </w:tcPr>
          <w:p w14:paraId="71D43E83" w14:textId="77777777" w:rsidR="006A3667" w:rsidRDefault="006A3667">
            <w:pPr>
              <w:rPr>
                <w:rFonts w:ascii="宋体"/>
                <w:vanish/>
              </w:rPr>
            </w:pPr>
          </w:p>
        </w:tc>
        <w:tc>
          <w:tcPr>
            <w:tcW w:w="0" w:type="auto"/>
            <w:gridSpan w:val="3"/>
            <w:shd w:val="clear" w:color="auto" w:fill="auto"/>
            <w:vAlign w:val="bottom"/>
          </w:tcPr>
          <w:p w14:paraId="71D43E84" w14:textId="77777777" w:rsidR="006A3667" w:rsidRDefault="006A3667">
            <w:pPr>
              <w:rPr>
                <w:rFonts w:ascii="宋体"/>
                <w:vanish/>
              </w:rPr>
            </w:pPr>
          </w:p>
        </w:tc>
        <w:tc>
          <w:tcPr>
            <w:tcW w:w="0" w:type="auto"/>
            <w:gridSpan w:val="3"/>
            <w:shd w:val="clear" w:color="auto" w:fill="auto"/>
            <w:vAlign w:val="bottom"/>
          </w:tcPr>
          <w:p w14:paraId="71D43E85" w14:textId="77777777" w:rsidR="006A3667" w:rsidRDefault="006A3667">
            <w:pPr>
              <w:rPr>
                <w:rFonts w:ascii="宋体"/>
                <w:vanish/>
              </w:rPr>
            </w:pPr>
          </w:p>
        </w:tc>
        <w:tc>
          <w:tcPr>
            <w:tcW w:w="0" w:type="auto"/>
            <w:gridSpan w:val="3"/>
            <w:shd w:val="clear" w:color="auto" w:fill="auto"/>
            <w:vAlign w:val="bottom"/>
          </w:tcPr>
          <w:p w14:paraId="71D43E86" w14:textId="77777777" w:rsidR="006A3667" w:rsidRDefault="006A3667">
            <w:pPr>
              <w:rPr>
                <w:rFonts w:ascii="宋体"/>
                <w:vanish/>
              </w:rPr>
            </w:pPr>
          </w:p>
        </w:tc>
        <w:tc>
          <w:tcPr>
            <w:tcW w:w="0" w:type="auto"/>
            <w:gridSpan w:val="3"/>
            <w:shd w:val="clear" w:color="auto" w:fill="auto"/>
            <w:vAlign w:val="bottom"/>
          </w:tcPr>
          <w:p w14:paraId="71D43E87" w14:textId="77777777" w:rsidR="006A3667" w:rsidRDefault="006A3667">
            <w:pPr>
              <w:rPr>
                <w:rFonts w:ascii="宋体"/>
                <w:vanish/>
              </w:rPr>
            </w:pPr>
          </w:p>
        </w:tc>
        <w:tc>
          <w:tcPr>
            <w:tcW w:w="0" w:type="auto"/>
            <w:gridSpan w:val="3"/>
            <w:shd w:val="clear" w:color="auto" w:fill="auto"/>
            <w:vAlign w:val="bottom"/>
          </w:tcPr>
          <w:p w14:paraId="71D43E88" w14:textId="77777777" w:rsidR="006A3667" w:rsidRDefault="006A3667">
            <w:pPr>
              <w:rPr>
                <w:rFonts w:ascii="宋体"/>
                <w:vanish/>
              </w:rPr>
            </w:pPr>
          </w:p>
        </w:tc>
        <w:tc>
          <w:tcPr>
            <w:tcW w:w="0" w:type="auto"/>
            <w:gridSpan w:val="3"/>
            <w:shd w:val="clear" w:color="auto" w:fill="auto"/>
            <w:vAlign w:val="bottom"/>
          </w:tcPr>
          <w:p w14:paraId="71D43E89" w14:textId="77777777" w:rsidR="006A3667" w:rsidRDefault="006A3667">
            <w:pPr>
              <w:rPr>
                <w:rFonts w:ascii="宋体"/>
                <w:vanish/>
              </w:rPr>
            </w:pPr>
          </w:p>
        </w:tc>
        <w:tc>
          <w:tcPr>
            <w:tcW w:w="0" w:type="auto"/>
            <w:gridSpan w:val="3"/>
            <w:shd w:val="clear" w:color="auto" w:fill="auto"/>
            <w:vAlign w:val="bottom"/>
          </w:tcPr>
          <w:p w14:paraId="71D43E8A" w14:textId="77777777" w:rsidR="006A3667" w:rsidRDefault="006A3667">
            <w:pPr>
              <w:rPr>
                <w:rFonts w:ascii="宋体"/>
                <w:vanish/>
              </w:rPr>
            </w:pPr>
          </w:p>
        </w:tc>
        <w:tc>
          <w:tcPr>
            <w:tcW w:w="0" w:type="auto"/>
            <w:gridSpan w:val="3"/>
            <w:shd w:val="clear" w:color="auto" w:fill="auto"/>
            <w:vAlign w:val="bottom"/>
          </w:tcPr>
          <w:p w14:paraId="71D43E8B" w14:textId="77777777" w:rsidR="006A3667" w:rsidRDefault="006A3667">
            <w:pPr>
              <w:rPr>
                <w:rFonts w:ascii="宋体"/>
                <w:vanish/>
              </w:rPr>
            </w:pPr>
          </w:p>
        </w:tc>
        <w:tc>
          <w:tcPr>
            <w:tcW w:w="0" w:type="auto"/>
            <w:gridSpan w:val="3"/>
            <w:shd w:val="clear" w:color="auto" w:fill="auto"/>
            <w:vAlign w:val="bottom"/>
          </w:tcPr>
          <w:p w14:paraId="71D43E8C" w14:textId="77777777" w:rsidR="006A3667" w:rsidRDefault="006A3667">
            <w:pPr>
              <w:rPr>
                <w:rFonts w:ascii="宋体"/>
                <w:vanish/>
              </w:rPr>
            </w:pPr>
          </w:p>
        </w:tc>
        <w:tc>
          <w:tcPr>
            <w:tcW w:w="0" w:type="auto"/>
            <w:gridSpan w:val="3"/>
            <w:shd w:val="clear" w:color="auto" w:fill="auto"/>
            <w:vAlign w:val="bottom"/>
          </w:tcPr>
          <w:p w14:paraId="71D43E8D" w14:textId="77777777" w:rsidR="006A3667" w:rsidRDefault="006A3667">
            <w:pPr>
              <w:rPr>
                <w:rFonts w:ascii="宋体"/>
                <w:vanish/>
              </w:rPr>
            </w:pPr>
          </w:p>
        </w:tc>
        <w:tc>
          <w:tcPr>
            <w:tcW w:w="0" w:type="auto"/>
            <w:gridSpan w:val="3"/>
            <w:shd w:val="clear" w:color="auto" w:fill="auto"/>
            <w:vAlign w:val="bottom"/>
          </w:tcPr>
          <w:p w14:paraId="71D43E8E" w14:textId="77777777" w:rsidR="006A3667" w:rsidRDefault="006A3667">
            <w:pPr>
              <w:rPr>
                <w:rFonts w:ascii="宋体"/>
                <w:vanish/>
              </w:rPr>
            </w:pPr>
          </w:p>
        </w:tc>
        <w:tc>
          <w:tcPr>
            <w:tcW w:w="0" w:type="auto"/>
            <w:gridSpan w:val="3"/>
            <w:shd w:val="clear" w:color="auto" w:fill="auto"/>
            <w:vAlign w:val="bottom"/>
          </w:tcPr>
          <w:p w14:paraId="71D43E8F" w14:textId="77777777" w:rsidR="006A3667" w:rsidRDefault="006A3667">
            <w:pPr>
              <w:rPr>
                <w:rFonts w:ascii="宋体"/>
                <w:vanish/>
              </w:rPr>
            </w:pPr>
          </w:p>
        </w:tc>
        <w:tc>
          <w:tcPr>
            <w:tcW w:w="0" w:type="auto"/>
            <w:gridSpan w:val="2"/>
            <w:shd w:val="clear" w:color="auto" w:fill="auto"/>
            <w:vAlign w:val="bottom"/>
          </w:tcPr>
          <w:p w14:paraId="71D43E90" w14:textId="77777777" w:rsidR="006A3667" w:rsidRDefault="006A3667">
            <w:pPr>
              <w:rPr>
                <w:rFonts w:ascii="宋体"/>
                <w:vanish/>
              </w:rPr>
            </w:pPr>
          </w:p>
        </w:tc>
        <w:tc>
          <w:tcPr>
            <w:tcW w:w="0" w:type="auto"/>
            <w:shd w:val="clear" w:color="auto" w:fill="auto"/>
            <w:vAlign w:val="bottom"/>
          </w:tcPr>
          <w:p w14:paraId="71D43E91" w14:textId="77777777" w:rsidR="006A3667" w:rsidRDefault="006A3667">
            <w:pPr>
              <w:rPr>
                <w:rFonts w:ascii="宋体"/>
                <w:vanish/>
              </w:rPr>
            </w:pPr>
          </w:p>
        </w:tc>
      </w:tr>
      <w:tr w:rsidR="006A3667" w14:paraId="71D43EA9" w14:textId="77777777">
        <w:trPr>
          <w:hidden/>
        </w:trPr>
        <w:tc>
          <w:tcPr>
            <w:tcW w:w="0" w:type="auto"/>
            <w:gridSpan w:val="3"/>
            <w:shd w:val="clear" w:color="auto" w:fill="auto"/>
            <w:vAlign w:val="bottom"/>
          </w:tcPr>
          <w:p w14:paraId="71D43E93" w14:textId="77777777" w:rsidR="006A3667" w:rsidRDefault="006A3667">
            <w:pPr>
              <w:rPr>
                <w:rFonts w:ascii="宋体"/>
                <w:vanish/>
              </w:rPr>
            </w:pPr>
          </w:p>
        </w:tc>
        <w:tc>
          <w:tcPr>
            <w:tcW w:w="0" w:type="auto"/>
            <w:gridSpan w:val="3"/>
            <w:shd w:val="clear" w:color="auto" w:fill="auto"/>
            <w:vAlign w:val="bottom"/>
          </w:tcPr>
          <w:p w14:paraId="71D43E94" w14:textId="77777777" w:rsidR="006A3667" w:rsidRDefault="006A3667">
            <w:pPr>
              <w:rPr>
                <w:rFonts w:ascii="宋体"/>
                <w:vanish/>
              </w:rPr>
            </w:pPr>
          </w:p>
        </w:tc>
        <w:tc>
          <w:tcPr>
            <w:tcW w:w="0" w:type="auto"/>
            <w:gridSpan w:val="3"/>
            <w:shd w:val="clear" w:color="auto" w:fill="auto"/>
            <w:vAlign w:val="bottom"/>
          </w:tcPr>
          <w:p w14:paraId="71D43E95" w14:textId="77777777" w:rsidR="006A3667" w:rsidRDefault="006A3667">
            <w:pPr>
              <w:rPr>
                <w:rFonts w:ascii="宋体"/>
                <w:vanish/>
              </w:rPr>
            </w:pPr>
          </w:p>
        </w:tc>
        <w:tc>
          <w:tcPr>
            <w:tcW w:w="0" w:type="auto"/>
            <w:gridSpan w:val="3"/>
            <w:shd w:val="clear" w:color="auto" w:fill="auto"/>
            <w:vAlign w:val="bottom"/>
          </w:tcPr>
          <w:p w14:paraId="71D43E96" w14:textId="77777777" w:rsidR="006A3667" w:rsidRDefault="006A3667">
            <w:pPr>
              <w:rPr>
                <w:rFonts w:ascii="宋体"/>
                <w:vanish/>
              </w:rPr>
            </w:pPr>
          </w:p>
        </w:tc>
        <w:tc>
          <w:tcPr>
            <w:tcW w:w="0" w:type="auto"/>
            <w:gridSpan w:val="3"/>
            <w:shd w:val="clear" w:color="auto" w:fill="auto"/>
            <w:vAlign w:val="bottom"/>
          </w:tcPr>
          <w:p w14:paraId="71D43E97" w14:textId="77777777" w:rsidR="006A3667" w:rsidRDefault="006A3667">
            <w:pPr>
              <w:rPr>
                <w:rFonts w:ascii="宋体"/>
                <w:vanish/>
              </w:rPr>
            </w:pPr>
          </w:p>
        </w:tc>
        <w:tc>
          <w:tcPr>
            <w:tcW w:w="0" w:type="auto"/>
            <w:gridSpan w:val="3"/>
            <w:shd w:val="clear" w:color="auto" w:fill="auto"/>
            <w:vAlign w:val="bottom"/>
          </w:tcPr>
          <w:p w14:paraId="71D43E98" w14:textId="77777777" w:rsidR="006A3667" w:rsidRDefault="006A3667">
            <w:pPr>
              <w:rPr>
                <w:rFonts w:ascii="宋体"/>
                <w:vanish/>
              </w:rPr>
            </w:pPr>
          </w:p>
        </w:tc>
        <w:tc>
          <w:tcPr>
            <w:tcW w:w="0" w:type="auto"/>
            <w:gridSpan w:val="3"/>
            <w:shd w:val="clear" w:color="auto" w:fill="auto"/>
            <w:vAlign w:val="bottom"/>
          </w:tcPr>
          <w:p w14:paraId="71D43E99" w14:textId="77777777" w:rsidR="006A3667" w:rsidRDefault="006A3667">
            <w:pPr>
              <w:rPr>
                <w:rFonts w:ascii="宋体"/>
                <w:vanish/>
              </w:rPr>
            </w:pPr>
          </w:p>
        </w:tc>
        <w:tc>
          <w:tcPr>
            <w:tcW w:w="0" w:type="auto"/>
            <w:gridSpan w:val="3"/>
            <w:shd w:val="clear" w:color="auto" w:fill="auto"/>
            <w:vAlign w:val="bottom"/>
          </w:tcPr>
          <w:p w14:paraId="71D43E9A" w14:textId="77777777" w:rsidR="006A3667" w:rsidRDefault="006A3667">
            <w:pPr>
              <w:rPr>
                <w:rFonts w:ascii="宋体"/>
                <w:vanish/>
              </w:rPr>
            </w:pPr>
          </w:p>
        </w:tc>
        <w:tc>
          <w:tcPr>
            <w:tcW w:w="0" w:type="auto"/>
            <w:gridSpan w:val="3"/>
            <w:shd w:val="clear" w:color="auto" w:fill="auto"/>
            <w:vAlign w:val="bottom"/>
          </w:tcPr>
          <w:p w14:paraId="71D43E9B" w14:textId="77777777" w:rsidR="006A3667" w:rsidRDefault="006A3667">
            <w:pPr>
              <w:rPr>
                <w:rFonts w:ascii="宋体"/>
                <w:vanish/>
              </w:rPr>
            </w:pPr>
          </w:p>
        </w:tc>
        <w:tc>
          <w:tcPr>
            <w:tcW w:w="0" w:type="auto"/>
            <w:gridSpan w:val="3"/>
            <w:shd w:val="clear" w:color="auto" w:fill="auto"/>
            <w:vAlign w:val="bottom"/>
          </w:tcPr>
          <w:p w14:paraId="71D43E9C" w14:textId="77777777" w:rsidR="006A3667" w:rsidRDefault="006A3667">
            <w:pPr>
              <w:rPr>
                <w:rFonts w:ascii="宋体"/>
                <w:vanish/>
              </w:rPr>
            </w:pPr>
          </w:p>
        </w:tc>
        <w:tc>
          <w:tcPr>
            <w:tcW w:w="0" w:type="auto"/>
            <w:gridSpan w:val="3"/>
            <w:shd w:val="clear" w:color="auto" w:fill="auto"/>
            <w:vAlign w:val="bottom"/>
          </w:tcPr>
          <w:p w14:paraId="71D43E9D" w14:textId="77777777" w:rsidR="006A3667" w:rsidRDefault="006A3667">
            <w:pPr>
              <w:rPr>
                <w:rFonts w:ascii="宋体"/>
                <w:vanish/>
              </w:rPr>
            </w:pPr>
          </w:p>
        </w:tc>
        <w:tc>
          <w:tcPr>
            <w:tcW w:w="0" w:type="auto"/>
            <w:gridSpan w:val="3"/>
            <w:shd w:val="clear" w:color="auto" w:fill="auto"/>
            <w:vAlign w:val="bottom"/>
          </w:tcPr>
          <w:p w14:paraId="71D43E9E" w14:textId="77777777" w:rsidR="006A3667" w:rsidRDefault="006A3667">
            <w:pPr>
              <w:rPr>
                <w:rFonts w:ascii="宋体"/>
                <w:vanish/>
              </w:rPr>
            </w:pPr>
          </w:p>
        </w:tc>
        <w:tc>
          <w:tcPr>
            <w:tcW w:w="0" w:type="auto"/>
            <w:gridSpan w:val="3"/>
            <w:shd w:val="clear" w:color="auto" w:fill="auto"/>
            <w:vAlign w:val="bottom"/>
          </w:tcPr>
          <w:p w14:paraId="71D43E9F" w14:textId="77777777" w:rsidR="006A3667" w:rsidRDefault="006A3667">
            <w:pPr>
              <w:rPr>
                <w:rFonts w:ascii="宋体"/>
                <w:vanish/>
              </w:rPr>
            </w:pPr>
          </w:p>
        </w:tc>
        <w:tc>
          <w:tcPr>
            <w:tcW w:w="0" w:type="auto"/>
            <w:gridSpan w:val="3"/>
            <w:shd w:val="clear" w:color="auto" w:fill="auto"/>
            <w:vAlign w:val="bottom"/>
          </w:tcPr>
          <w:p w14:paraId="71D43EA0" w14:textId="77777777" w:rsidR="006A3667" w:rsidRDefault="006A3667">
            <w:pPr>
              <w:rPr>
                <w:rFonts w:ascii="宋体"/>
                <w:vanish/>
              </w:rPr>
            </w:pPr>
          </w:p>
        </w:tc>
        <w:tc>
          <w:tcPr>
            <w:tcW w:w="0" w:type="auto"/>
            <w:gridSpan w:val="3"/>
            <w:shd w:val="clear" w:color="auto" w:fill="auto"/>
            <w:vAlign w:val="bottom"/>
          </w:tcPr>
          <w:p w14:paraId="71D43EA1" w14:textId="77777777" w:rsidR="006A3667" w:rsidRDefault="006A3667">
            <w:pPr>
              <w:rPr>
                <w:rFonts w:ascii="宋体"/>
                <w:vanish/>
              </w:rPr>
            </w:pPr>
          </w:p>
        </w:tc>
        <w:tc>
          <w:tcPr>
            <w:tcW w:w="0" w:type="auto"/>
            <w:gridSpan w:val="3"/>
            <w:shd w:val="clear" w:color="auto" w:fill="auto"/>
            <w:vAlign w:val="bottom"/>
          </w:tcPr>
          <w:p w14:paraId="71D43EA2" w14:textId="77777777" w:rsidR="006A3667" w:rsidRDefault="006A3667">
            <w:pPr>
              <w:rPr>
                <w:rFonts w:ascii="宋体"/>
                <w:vanish/>
              </w:rPr>
            </w:pPr>
          </w:p>
        </w:tc>
        <w:tc>
          <w:tcPr>
            <w:tcW w:w="0" w:type="auto"/>
            <w:gridSpan w:val="3"/>
            <w:shd w:val="clear" w:color="auto" w:fill="auto"/>
            <w:vAlign w:val="bottom"/>
          </w:tcPr>
          <w:p w14:paraId="71D43EA3" w14:textId="77777777" w:rsidR="006A3667" w:rsidRDefault="006A3667">
            <w:pPr>
              <w:rPr>
                <w:rFonts w:ascii="宋体"/>
                <w:vanish/>
              </w:rPr>
            </w:pPr>
          </w:p>
        </w:tc>
        <w:tc>
          <w:tcPr>
            <w:tcW w:w="0" w:type="auto"/>
            <w:gridSpan w:val="3"/>
            <w:shd w:val="clear" w:color="auto" w:fill="auto"/>
            <w:vAlign w:val="bottom"/>
          </w:tcPr>
          <w:p w14:paraId="71D43EA4" w14:textId="77777777" w:rsidR="006A3667" w:rsidRDefault="006A3667">
            <w:pPr>
              <w:rPr>
                <w:rFonts w:ascii="宋体"/>
                <w:vanish/>
              </w:rPr>
            </w:pPr>
          </w:p>
        </w:tc>
        <w:tc>
          <w:tcPr>
            <w:tcW w:w="0" w:type="auto"/>
            <w:gridSpan w:val="3"/>
            <w:shd w:val="clear" w:color="auto" w:fill="auto"/>
            <w:vAlign w:val="bottom"/>
          </w:tcPr>
          <w:p w14:paraId="71D43EA5" w14:textId="77777777" w:rsidR="006A3667" w:rsidRDefault="006A3667">
            <w:pPr>
              <w:rPr>
                <w:rFonts w:ascii="宋体"/>
                <w:vanish/>
              </w:rPr>
            </w:pPr>
          </w:p>
        </w:tc>
        <w:tc>
          <w:tcPr>
            <w:tcW w:w="0" w:type="auto"/>
            <w:gridSpan w:val="3"/>
            <w:shd w:val="clear" w:color="auto" w:fill="auto"/>
            <w:vAlign w:val="bottom"/>
          </w:tcPr>
          <w:p w14:paraId="71D43EA6" w14:textId="77777777" w:rsidR="006A3667" w:rsidRDefault="006A3667">
            <w:pPr>
              <w:rPr>
                <w:rFonts w:ascii="宋体"/>
                <w:vanish/>
              </w:rPr>
            </w:pPr>
          </w:p>
        </w:tc>
        <w:tc>
          <w:tcPr>
            <w:tcW w:w="0" w:type="auto"/>
            <w:gridSpan w:val="2"/>
            <w:shd w:val="clear" w:color="auto" w:fill="auto"/>
            <w:vAlign w:val="bottom"/>
          </w:tcPr>
          <w:p w14:paraId="71D43EA7" w14:textId="77777777" w:rsidR="006A3667" w:rsidRDefault="006A3667">
            <w:pPr>
              <w:rPr>
                <w:rFonts w:ascii="宋体"/>
                <w:vanish/>
              </w:rPr>
            </w:pPr>
          </w:p>
        </w:tc>
        <w:tc>
          <w:tcPr>
            <w:tcW w:w="0" w:type="auto"/>
            <w:shd w:val="clear" w:color="auto" w:fill="auto"/>
            <w:vAlign w:val="bottom"/>
          </w:tcPr>
          <w:p w14:paraId="71D43EA8" w14:textId="77777777" w:rsidR="006A3667" w:rsidRDefault="006A3667">
            <w:pPr>
              <w:rPr>
                <w:rFonts w:ascii="宋体"/>
                <w:vanish/>
              </w:rPr>
            </w:pPr>
          </w:p>
        </w:tc>
      </w:tr>
      <w:tr w:rsidR="006A3667" w14:paraId="71D43EC0" w14:textId="77777777">
        <w:trPr>
          <w:hidden/>
        </w:trPr>
        <w:tc>
          <w:tcPr>
            <w:tcW w:w="0" w:type="auto"/>
            <w:gridSpan w:val="3"/>
            <w:shd w:val="clear" w:color="auto" w:fill="auto"/>
            <w:vAlign w:val="bottom"/>
          </w:tcPr>
          <w:p w14:paraId="71D43EAA" w14:textId="77777777" w:rsidR="006A3667" w:rsidRDefault="006A3667">
            <w:pPr>
              <w:rPr>
                <w:rFonts w:ascii="宋体"/>
                <w:vanish/>
              </w:rPr>
            </w:pPr>
          </w:p>
        </w:tc>
        <w:tc>
          <w:tcPr>
            <w:tcW w:w="0" w:type="auto"/>
            <w:gridSpan w:val="3"/>
            <w:shd w:val="clear" w:color="auto" w:fill="auto"/>
            <w:vAlign w:val="bottom"/>
          </w:tcPr>
          <w:p w14:paraId="71D43EAB" w14:textId="77777777" w:rsidR="006A3667" w:rsidRDefault="006A3667">
            <w:pPr>
              <w:rPr>
                <w:rFonts w:ascii="宋体"/>
                <w:vanish/>
              </w:rPr>
            </w:pPr>
          </w:p>
        </w:tc>
        <w:tc>
          <w:tcPr>
            <w:tcW w:w="0" w:type="auto"/>
            <w:gridSpan w:val="3"/>
            <w:shd w:val="clear" w:color="auto" w:fill="auto"/>
            <w:vAlign w:val="bottom"/>
          </w:tcPr>
          <w:p w14:paraId="71D43EAC" w14:textId="77777777" w:rsidR="006A3667" w:rsidRDefault="006A3667">
            <w:pPr>
              <w:rPr>
                <w:rFonts w:ascii="宋体"/>
                <w:vanish/>
              </w:rPr>
            </w:pPr>
          </w:p>
        </w:tc>
        <w:tc>
          <w:tcPr>
            <w:tcW w:w="0" w:type="auto"/>
            <w:gridSpan w:val="3"/>
            <w:shd w:val="clear" w:color="auto" w:fill="auto"/>
            <w:vAlign w:val="bottom"/>
          </w:tcPr>
          <w:p w14:paraId="71D43EAD" w14:textId="77777777" w:rsidR="006A3667" w:rsidRDefault="006A3667">
            <w:pPr>
              <w:rPr>
                <w:rFonts w:ascii="宋体"/>
                <w:vanish/>
              </w:rPr>
            </w:pPr>
          </w:p>
        </w:tc>
        <w:tc>
          <w:tcPr>
            <w:tcW w:w="0" w:type="auto"/>
            <w:gridSpan w:val="3"/>
            <w:shd w:val="clear" w:color="auto" w:fill="auto"/>
            <w:vAlign w:val="bottom"/>
          </w:tcPr>
          <w:p w14:paraId="71D43EAE" w14:textId="77777777" w:rsidR="006A3667" w:rsidRDefault="006A3667">
            <w:pPr>
              <w:rPr>
                <w:rFonts w:ascii="宋体"/>
                <w:vanish/>
              </w:rPr>
            </w:pPr>
          </w:p>
        </w:tc>
        <w:tc>
          <w:tcPr>
            <w:tcW w:w="0" w:type="auto"/>
            <w:gridSpan w:val="3"/>
            <w:shd w:val="clear" w:color="auto" w:fill="auto"/>
            <w:vAlign w:val="bottom"/>
          </w:tcPr>
          <w:p w14:paraId="71D43EAF" w14:textId="77777777" w:rsidR="006A3667" w:rsidRDefault="006A3667">
            <w:pPr>
              <w:rPr>
                <w:rFonts w:ascii="宋体"/>
                <w:vanish/>
              </w:rPr>
            </w:pPr>
          </w:p>
        </w:tc>
        <w:tc>
          <w:tcPr>
            <w:tcW w:w="0" w:type="auto"/>
            <w:gridSpan w:val="3"/>
            <w:shd w:val="clear" w:color="auto" w:fill="auto"/>
            <w:vAlign w:val="bottom"/>
          </w:tcPr>
          <w:p w14:paraId="71D43EB0" w14:textId="77777777" w:rsidR="006A3667" w:rsidRDefault="006A3667">
            <w:pPr>
              <w:rPr>
                <w:rFonts w:ascii="宋体"/>
                <w:vanish/>
              </w:rPr>
            </w:pPr>
          </w:p>
        </w:tc>
        <w:tc>
          <w:tcPr>
            <w:tcW w:w="0" w:type="auto"/>
            <w:gridSpan w:val="3"/>
            <w:shd w:val="clear" w:color="auto" w:fill="auto"/>
            <w:vAlign w:val="bottom"/>
          </w:tcPr>
          <w:p w14:paraId="71D43EB1" w14:textId="77777777" w:rsidR="006A3667" w:rsidRDefault="006A3667">
            <w:pPr>
              <w:rPr>
                <w:rFonts w:ascii="宋体"/>
                <w:vanish/>
              </w:rPr>
            </w:pPr>
          </w:p>
        </w:tc>
        <w:tc>
          <w:tcPr>
            <w:tcW w:w="0" w:type="auto"/>
            <w:gridSpan w:val="3"/>
            <w:shd w:val="clear" w:color="auto" w:fill="auto"/>
            <w:vAlign w:val="bottom"/>
          </w:tcPr>
          <w:p w14:paraId="71D43EB2" w14:textId="77777777" w:rsidR="006A3667" w:rsidRDefault="006A3667">
            <w:pPr>
              <w:rPr>
                <w:rFonts w:ascii="宋体"/>
                <w:vanish/>
              </w:rPr>
            </w:pPr>
          </w:p>
        </w:tc>
        <w:tc>
          <w:tcPr>
            <w:tcW w:w="0" w:type="auto"/>
            <w:gridSpan w:val="3"/>
            <w:shd w:val="clear" w:color="auto" w:fill="auto"/>
            <w:vAlign w:val="bottom"/>
          </w:tcPr>
          <w:p w14:paraId="71D43EB3" w14:textId="77777777" w:rsidR="006A3667" w:rsidRDefault="006A3667">
            <w:pPr>
              <w:rPr>
                <w:rFonts w:ascii="宋体"/>
                <w:vanish/>
              </w:rPr>
            </w:pPr>
          </w:p>
        </w:tc>
        <w:tc>
          <w:tcPr>
            <w:tcW w:w="0" w:type="auto"/>
            <w:gridSpan w:val="3"/>
            <w:shd w:val="clear" w:color="auto" w:fill="auto"/>
            <w:vAlign w:val="bottom"/>
          </w:tcPr>
          <w:p w14:paraId="71D43EB4" w14:textId="77777777" w:rsidR="006A3667" w:rsidRDefault="006A3667">
            <w:pPr>
              <w:rPr>
                <w:rFonts w:ascii="宋体"/>
                <w:vanish/>
              </w:rPr>
            </w:pPr>
          </w:p>
        </w:tc>
        <w:tc>
          <w:tcPr>
            <w:tcW w:w="0" w:type="auto"/>
            <w:gridSpan w:val="3"/>
            <w:shd w:val="clear" w:color="auto" w:fill="auto"/>
            <w:vAlign w:val="bottom"/>
          </w:tcPr>
          <w:p w14:paraId="71D43EB5" w14:textId="77777777" w:rsidR="006A3667" w:rsidRDefault="006A3667">
            <w:pPr>
              <w:rPr>
                <w:rFonts w:ascii="宋体"/>
                <w:vanish/>
              </w:rPr>
            </w:pPr>
          </w:p>
        </w:tc>
        <w:tc>
          <w:tcPr>
            <w:tcW w:w="0" w:type="auto"/>
            <w:gridSpan w:val="3"/>
            <w:shd w:val="clear" w:color="auto" w:fill="auto"/>
            <w:vAlign w:val="bottom"/>
          </w:tcPr>
          <w:p w14:paraId="71D43EB6" w14:textId="77777777" w:rsidR="006A3667" w:rsidRDefault="006A3667">
            <w:pPr>
              <w:rPr>
                <w:rFonts w:ascii="宋体"/>
                <w:vanish/>
              </w:rPr>
            </w:pPr>
          </w:p>
        </w:tc>
        <w:tc>
          <w:tcPr>
            <w:tcW w:w="0" w:type="auto"/>
            <w:gridSpan w:val="3"/>
            <w:shd w:val="clear" w:color="auto" w:fill="auto"/>
            <w:vAlign w:val="bottom"/>
          </w:tcPr>
          <w:p w14:paraId="71D43EB7" w14:textId="77777777" w:rsidR="006A3667" w:rsidRDefault="006A3667">
            <w:pPr>
              <w:rPr>
                <w:rFonts w:ascii="宋体"/>
                <w:vanish/>
              </w:rPr>
            </w:pPr>
          </w:p>
        </w:tc>
        <w:tc>
          <w:tcPr>
            <w:tcW w:w="0" w:type="auto"/>
            <w:gridSpan w:val="3"/>
            <w:shd w:val="clear" w:color="auto" w:fill="auto"/>
            <w:vAlign w:val="bottom"/>
          </w:tcPr>
          <w:p w14:paraId="71D43EB8" w14:textId="77777777" w:rsidR="006A3667" w:rsidRDefault="006A3667">
            <w:pPr>
              <w:rPr>
                <w:rFonts w:ascii="宋体"/>
                <w:vanish/>
              </w:rPr>
            </w:pPr>
          </w:p>
        </w:tc>
        <w:tc>
          <w:tcPr>
            <w:tcW w:w="0" w:type="auto"/>
            <w:gridSpan w:val="3"/>
            <w:shd w:val="clear" w:color="auto" w:fill="auto"/>
            <w:vAlign w:val="bottom"/>
          </w:tcPr>
          <w:p w14:paraId="71D43EB9" w14:textId="77777777" w:rsidR="006A3667" w:rsidRDefault="006A3667">
            <w:pPr>
              <w:rPr>
                <w:rFonts w:ascii="宋体"/>
                <w:vanish/>
              </w:rPr>
            </w:pPr>
          </w:p>
        </w:tc>
        <w:tc>
          <w:tcPr>
            <w:tcW w:w="0" w:type="auto"/>
            <w:gridSpan w:val="3"/>
            <w:shd w:val="clear" w:color="auto" w:fill="auto"/>
            <w:vAlign w:val="bottom"/>
          </w:tcPr>
          <w:p w14:paraId="71D43EBA" w14:textId="77777777" w:rsidR="006A3667" w:rsidRDefault="006A3667">
            <w:pPr>
              <w:rPr>
                <w:rFonts w:ascii="宋体"/>
                <w:vanish/>
              </w:rPr>
            </w:pPr>
          </w:p>
        </w:tc>
        <w:tc>
          <w:tcPr>
            <w:tcW w:w="0" w:type="auto"/>
            <w:gridSpan w:val="3"/>
            <w:shd w:val="clear" w:color="auto" w:fill="auto"/>
            <w:vAlign w:val="bottom"/>
          </w:tcPr>
          <w:p w14:paraId="71D43EBB" w14:textId="77777777" w:rsidR="006A3667" w:rsidRDefault="006A3667">
            <w:pPr>
              <w:rPr>
                <w:rFonts w:ascii="宋体"/>
                <w:vanish/>
              </w:rPr>
            </w:pPr>
          </w:p>
        </w:tc>
        <w:tc>
          <w:tcPr>
            <w:tcW w:w="0" w:type="auto"/>
            <w:gridSpan w:val="3"/>
            <w:shd w:val="clear" w:color="auto" w:fill="auto"/>
            <w:vAlign w:val="bottom"/>
          </w:tcPr>
          <w:p w14:paraId="71D43EBC" w14:textId="77777777" w:rsidR="006A3667" w:rsidRDefault="006A3667">
            <w:pPr>
              <w:rPr>
                <w:rFonts w:ascii="宋体"/>
                <w:vanish/>
              </w:rPr>
            </w:pPr>
          </w:p>
        </w:tc>
        <w:tc>
          <w:tcPr>
            <w:tcW w:w="0" w:type="auto"/>
            <w:gridSpan w:val="3"/>
            <w:shd w:val="clear" w:color="auto" w:fill="auto"/>
            <w:vAlign w:val="bottom"/>
          </w:tcPr>
          <w:p w14:paraId="71D43EBD" w14:textId="77777777" w:rsidR="006A3667" w:rsidRDefault="006A3667">
            <w:pPr>
              <w:rPr>
                <w:rFonts w:ascii="宋体"/>
                <w:vanish/>
              </w:rPr>
            </w:pPr>
          </w:p>
        </w:tc>
        <w:tc>
          <w:tcPr>
            <w:tcW w:w="0" w:type="auto"/>
            <w:gridSpan w:val="2"/>
            <w:shd w:val="clear" w:color="auto" w:fill="auto"/>
            <w:vAlign w:val="bottom"/>
          </w:tcPr>
          <w:p w14:paraId="71D43EBE" w14:textId="77777777" w:rsidR="006A3667" w:rsidRDefault="006A3667">
            <w:pPr>
              <w:rPr>
                <w:rFonts w:ascii="宋体"/>
                <w:vanish/>
              </w:rPr>
            </w:pPr>
          </w:p>
        </w:tc>
        <w:tc>
          <w:tcPr>
            <w:tcW w:w="0" w:type="auto"/>
            <w:shd w:val="clear" w:color="auto" w:fill="auto"/>
            <w:vAlign w:val="bottom"/>
          </w:tcPr>
          <w:p w14:paraId="71D43EBF" w14:textId="77777777" w:rsidR="006A3667" w:rsidRDefault="006A3667">
            <w:pPr>
              <w:rPr>
                <w:rFonts w:ascii="宋体"/>
                <w:vanish/>
              </w:rPr>
            </w:pPr>
          </w:p>
        </w:tc>
      </w:tr>
      <w:tr w:rsidR="006A3667" w14:paraId="71D43ED7" w14:textId="77777777">
        <w:trPr>
          <w:hidden/>
        </w:trPr>
        <w:tc>
          <w:tcPr>
            <w:tcW w:w="0" w:type="auto"/>
            <w:gridSpan w:val="3"/>
            <w:shd w:val="clear" w:color="auto" w:fill="auto"/>
            <w:vAlign w:val="bottom"/>
          </w:tcPr>
          <w:p w14:paraId="71D43EC1" w14:textId="77777777" w:rsidR="006A3667" w:rsidRDefault="006A3667">
            <w:pPr>
              <w:rPr>
                <w:rFonts w:ascii="宋体"/>
                <w:vanish/>
              </w:rPr>
            </w:pPr>
          </w:p>
        </w:tc>
        <w:tc>
          <w:tcPr>
            <w:tcW w:w="0" w:type="auto"/>
            <w:gridSpan w:val="3"/>
            <w:shd w:val="clear" w:color="auto" w:fill="auto"/>
            <w:vAlign w:val="bottom"/>
          </w:tcPr>
          <w:p w14:paraId="71D43EC2" w14:textId="77777777" w:rsidR="006A3667" w:rsidRDefault="006A3667">
            <w:pPr>
              <w:rPr>
                <w:rFonts w:ascii="宋体"/>
                <w:vanish/>
              </w:rPr>
            </w:pPr>
          </w:p>
        </w:tc>
        <w:tc>
          <w:tcPr>
            <w:tcW w:w="0" w:type="auto"/>
            <w:gridSpan w:val="3"/>
            <w:shd w:val="clear" w:color="auto" w:fill="auto"/>
            <w:vAlign w:val="bottom"/>
          </w:tcPr>
          <w:p w14:paraId="71D43EC3" w14:textId="77777777" w:rsidR="006A3667" w:rsidRDefault="006A3667">
            <w:pPr>
              <w:rPr>
                <w:rFonts w:ascii="宋体"/>
                <w:vanish/>
              </w:rPr>
            </w:pPr>
          </w:p>
        </w:tc>
        <w:tc>
          <w:tcPr>
            <w:tcW w:w="0" w:type="auto"/>
            <w:gridSpan w:val="3"/>
            <w:shd w:val="clear" w:color="auto" w:fill="auto"/>
            <w:vAlign w:val="bottom"/>
          </w:tcPr>
          <w:p w14:paraId="71D43EC4" w14:textId="77777777" w:rsidR="006A3667" w:rsidRDefault="006A3667">
            <w:pPr>
              <w:rPr>
                <w:rFonts w:ascii="宋体"/>
                <w:vanish/>
              </w:rPr>
            </w:pPr>
          </w:p>
        </w:tc>
        <w:tc>
          <w:tcPr>
            <w:tcW w:w="0" w:type="auto"/>
            <w:gridSpan w:val="3"/>
            <w:shd w:val="clear" w:color="auto" w:fill="auto"/>
            <w:vAlign w:val="bottom"/>
          </w:tcPr>
          <w:p w14:paraId="71D43EC5" w14:textId="77777777" w:rsidR="006A3667" w:rsidRDefault="006A3667">
            <w:pPr>
              <w:rPr>
                <w:rFonts w:ascii="宋体"/>
                <w:vanish/>
              </w:rPr>
            </w:pPr>
          </w:p>
        </w:tc>
        <w:tc>
          <w:tcPr>
            <w:tcW w:w="0" w:type="auto"/>
            <w:gridSpan w:val="3"/>
            <w:shd w:val="clear" w:color="auto" w:fill="auto"/>
            <w:vAlign w:val="bottom"/>
          </w:tcPr>
          <w:p w14:paraId="71D43EC6" w14:textId="77777777" w:rsidR="006A3667" w:rsidRDefault="006A3667">
            <w:pPr>
              <w:rPr>
                <w:rFonts w:ascii="宋体"/>
                <w:vanish/>
              </w:rPr>
            </w:pPr>
          </w:p>
        </w:tc>
        <w:tc>
          <w:tcPr>
            <w:tcW w:w="0" w:type="auto"/>
            <w:gridSpan w:val="3"/>
            <w:shd w:val="clear" w:color="auto" w:fill="auto"/>
            <w:vAlign w:val="bottom"/>
          </w:tcPr>
          <w:p w14:paraId="71D43EC7" w14:textId="77777777" w:rsidR="006A3667" w:rsidRDefault="006A3667">
            <w:pPr>
              <w:rPr>
                <w:rFonts w:ascii="宋体"/>
                <w:vanish/>
              </w:rPr>
            </w:pPr>
          </w:p>
        </w:tc>
        <w:tc>
          <w:tcPr>
            <w:tcW w:w="0" w:type="auto"/>
            <w:gridSpan w:val="3"/>
            <w:shd w:val="clear" w:color="auto" w:fill="auto"/>
            <w:vAlign w:val="bottom"/>
          </w:tcPr>
          <w:p w14:paraId="71D43EC8" w14:textId="77777777" w:rsidR="006A3667" w:rsidRDefault="006A3667">
            <w:pPr>
              <w:rPr>
                <w:rFonts w:ascii="宋体"/>
                <w:vanish/>
              </w:rPr>
            </w:pPr>
          </w:p>
        </w:tc>
        <w:tc>
          <w:tcPr>
            <w:tcW w:w="0" w:type="auto"/>
            <w:gridSpan w:val="3"/>
            <w:shd w:val="clear" w:color="auto" w:fill="auto"/>
            <w:vAlign w:val="bottom"/>
          </w:tcPr>
          <w:p w14:paraId="71D43EC9" w14:textId="77777777" w:rsidR="006A3667" w:rsidRDefault="006A3667">
            <w:pPr>
              <w:rPr>
                <w:rFonts w:ascii="宋体"/>
                <w:vanish/>
              </w:rPr>
            </w:pPr>
          </w:p>
        </w:tc>
        <w:tc>
          <w:tcPr>
            <w:tcW w:w="0" w:type="auto"/>
            <w:gridSpan w:val="3"/>
            <w:shd w:val="clear" w:color="auto" w:fill="auto"/>
            <w:vAlign w:val="bottom"/>
          </w:tcPr>
          <w:p w14:paraId="71D43ECA" w14:textId="77777777" w:rsidR="006A3667" w:rsidRDefault="006A3667">
            <w:pPr>
              <w:rPr>
                <w:rFonts w:ascii="宋体"/>
                <w:vanish/>
              </w:rPr>
            </w:pPr>
          </w:p>
        </w:tc>
        <w:tc>
          <w:tcPr>
            <w:tcW w:w="0" w:type="auto"/>
            <w:gridSpan w:val="3"/>
            <w:shd w:val="clear" w:color="auto" w:fill="auto"/>
            <w:vAlign w:val="bottom"/>
          </w:tcPr>
          <w:p w14:paraId="71D43ECB" w14:textId="77777777" w:rsidR="006A3667" w:rsidRDefault="006A3667">
            <w:pPr>
              <w:rPr>
                <w:rFonts w:ascii="宋体"/>
                <w:vanish/>
              </w:rPr>
            </w:pPr>
          </w:p>
        </w:tc>
        <w:tc>
          <w:tcPr>
            <w:tcW w:w="0" w:type="auto"/>
            <w:gridSpan w:val="3"/>
            <w:shd w:val="clear" w:color="auto" w:fill="auto"/>
            <w:vAlign w:val="bottom"/>
          </w:tcPr>
          <w:p w14:paraId="71D43ECC" w14:textId="77777777" w:rsidR="006A3667" w:rsidRDefault="006A3667">
            <w:pPr>
              <w:rPr>
                <w:rFonts w:ascii="宋体"/>
                <w:vanish/>
              </w:rPr>
            </w:pPr>
          </w:p>
        </w:tc>
        <w:tc>
          <w:tcPr>
            <w:tcW w:w="0" w:type="auto"/>
            <w:gridSpan w:val="3"/>
            <w:shd w:val="clear" w:color="auto" w:fill="auto"/>
            <w:vAlign w:val="bottom"/>
          </w:tcPr>
          <w:p w14:paraId="71D43ECD" w14:textId="77777777" w:rsidR="006A3667" w:rsidRDefault="006A3667">
            <w:pPr>
              <w:rPr>
                <w:rFonts w:ascii="宋体"/>
                <w:vanish/>
              </w:rPr>
            </w:pPr>
          </w:p>
        </w:tc>
        <w:tc>
          <w:tcPr>
            <w:tcW w:w="0" w:type="auto"/>
            <w:gridSpan w:val="3"/>
            <w:shd w:val="clear" w:color="auto" w:fill="auto"/>
            <w:vAlign w:val="bottom"/>
          </w:tcPr>
          <w:p w14:paraId="71D43ECE" w14:textId="77777777" w:rsidR="006A3667" w:rsidRDefault="006A3667">
            <w:pPr>
              <w:rPr>
                <w:rFonts w:ascii="宋体"/>
                <w:vanish/>
              </w:rPr>
            </w:pPr>
          </w:p>
        </w:tc>
        <w:tc>
          <w:tcPr>
            <w:tcW w:w="0" w:type="auto"/>
            <w:gridSpan w:val="3"/>
            <w:shd w:val="clear" w:color="auto" w:fill="auto"/>
            <w:vAlign w:val="bottom"/>
          </w:tcPr>
          <w:p w14:paraId="71D43ECF" w14:textId="77777777" w:rsidR="006A3667" w:rsidRDefault="006A3667">
            <w:pPr>
              <w:rPr>
                <w:rFonts w:ascii="宋体"/>
                <w:vanish/>
              </w:rPr>
            </w:pPr>
          </w:p>
        </w:tc>
        <w:tc>
          <w:tcPr>
            <w:tcW w:w="0" w:type="auto"/>
            <w:gridSpan w:val="3"/>
            <w:shd w:val="clear" w:color="auto" w:fill="auto"/>
            <w:vAlign w:val="bottom"/>
          </w:tcPr>
          <w:p w14:paraId="71D43ED0" w14:textId="77777777" w:rsidR="006A3667" w:rsidRDefault="006A3667">
            <w:pPr>
              <w:rPr>
                <w:rFonts w:ascii="宋体"/>
                <w:vanish/>
              </w:rPr>
            </w:pPr>
          </w:p>
        </w:tc>
        <w:tc>
          <w:tcPr>
            <w:tcW w:w="0" w:type="auto"/>
            <w:gridSpan w:val="3"/>
            <w:shd w:val="clear" w:color="auto" w:fill="auto"/>
            <w:vAlign w:val="bottom"/>
          </w:tcPr>
          <w:p w14:paraId="71D43ED1" w14:textId="77777777" w:rsidR="006A3667" w:rsidRDefault="006A3667">
            <w:pPr>
              <w:rPr>
                <w:rFonts w:ascii="宋体"/>
                <w:vanish/>
              </w:rPr>
            </w:pPr>
          </w:p>
        </w:tc>
        <w:tc>
          <w:tcPr>
            <w:tcW w:w="0" w:type="auto"/>
            <w:gridSpan w:val="3"/>
            <w:shd w:val="clear" w:color="auto" w:fill="auto"/>
            <w:vAlign w:val="bottom"/>
          </w:tcPr>
          <w:p w14:paraId="71D43ED2" w14:textId="77777777" w:rsidR="006A3667" w:rsidRDefault="006A3667">
            <w:pPr>
              <w:rPr>
                <w:rFonts w:ascii="宋体"/>
                <w:vanish/>
              </w:rPr>
            </w:pPr>
          </w:p>
        </w:tc>
        <w:tc>
          <w:tcPr>
            <w:tcW w:w="0" w:type="auto"/>
            <w:gridSpan w:val="3"/>
            <w:shd w:val="clear" w:color="auto" w:fill="auto"/>
            <w:vAlign w:val="bottom"/>
          </w:tcPr>
          <w:p w14:paraId="71D43ED3" w14:textId="77777777" w:rsidR="006A3667" w:rsidRDefault="006A3667">
            <w:pPr>
              <w:rPr>
                <w:rFonts w:ascii="宋体"/>
                <w:vanish/>
              </w:rPr>
            </w:pPr>
          </w:p>
        </w:tc>
        <w:tc>
          <w:tcPr>
            <w:tcW w:w="0" w:type="auto"/>
            <w:gridSpan w:val="3"/>
            <w:shd w:val="clear" w:color="auto" w:fill="auto"/>
            <w:vAlign w:val="bottom"/>
          </w:tcPr>
          <w:p w14:paraId="71D43ED4" w14:textId="77777777" w:rsidR="006A3667" w:rsidRDefault="006A3667">
            <w:pPr>
              <w:rPr>
                <w:rFonts w:ascii="宋体"/>
                <w:vanish/>
              </w:rPr>
            </w:pPr>
          </w:p>
        </w:tc>
        <w:tc>
          <w:tcPr>
            <w:tcW w:w="0" w:type="auto"/>
            <w:gridSpan w:val="2"/>
            <w:shd w:val="clear" w:color="auto" w:fill="auto"/>
            <w:vAlign w:val="bottom"/>
          </w:tcPr>
          <w:p w14:paraId="71D43ED5" w14:textId="77777777" w:rsidR="006A3667" w:rsidRDefault="006A3667">
            <w:pPr>
              <w:rPr>
                <w:rFonts w:ascii="宋体"/>
                <w:vanish/>
              </w:rPr>
            </w:pPr>
          </w:p>
        </w:tc>
        <w:tc>
          <w:tcPr>
            <w:tcW w:w="0" w:type="auto"/>
            <w:shd w:val="clear" w:color="auto" w:fill="auto"/>
            <w:vAlign w:val="bottom"/>
          </w:tcPr>
          <w:p w14:paraId="71D43ED6" w14:textId="77777777" w:rsidR="006A3667" w:rsidRDefault="006A3667">
            <w:pPr>
              <w:rPr>
                <w:rFonts w:ascii="宋体"/>
                <w:vanish/>
              </w:rPr>
            </w:pPr>
          </w:p>
        </w:tc>
      </w:tr>
      <w:tr w:rsidR="006A3667" w14:paraId="71D43EEE" w14:textId="77777777">
        <w:trPr>
          <w:hidden/>
        </w:trPr>
        <w:tc>
          <w:tcPr>
            <w:tcW w:w="0" w:type="auto"/>
            <w:gridSpan w:val="3"/>
            <w:shd w:val="clear" w:color="auto" w:fill="auto"/>
            <w:vAlign w:val="bottom"/>
          </w:tcPr>
          <w:p w14:paraId="71D43ED8" w14:textId="77777777" w:rsidR="006A3667" w:rsidRDefault="006A3667">
            <w:pPr>
              <w:rPr>
                <w:rFonts w:ascii="宋体"/>
                <w:vanish/>
              </w:rPr>
            </w:pPr>
          </w:p>
        </w:tc>
        <w:tc>
          <w:tcPr>
            <w:tcW w:w="0" w:type="auto"/>
            <w:gridSpan w:val="3"/>
            <w:shd w:val="clear" w:color="auto" w:fill="auto"/>
            <w:vAlign w:val="bottom"/>
          </w:tcPr>
          <w:p w14:paraId="71D43ED9" w14:textId="77777777" w:rsidR="006A3667" w:rsidRDefault="006A3667">
            <w:pPr>
              <w:rPr>
                <w:rFonts w:ascii="宋体"/>
                <w:vanish/>
              </w:rPr>
            </w:pPr>
          </w:p>
        </w:tc>
        <w:tc>
          <w:tcPr>
            <w:tcW w:w="0" w:type="auto"/>
            <w:gridSpan w:val="3"/>
            <w:shd w:val="clear" w:color="auto" w:fill="auto"/>
            <w:vAlign w:val="bottom"/>
          </w:tcPr>
          <w:p w14:paraId="71D43EDA" w14:textId="77777777" w:rsidR="006A3667" w:rsidRDefault="006A3667">
            <w:pPr>
              <w:rPr>
                <w:rFonts w:ascii="宋体"/>
                <w:vanish/>
              </w:rPr>
            </w:pPr>
          </w:p>
        </w:tc>
        <w:tc>
          <w:tcPr>
            <w:tcW w:w="0" w:type="auto"/>
            <w:gridSpan w:val="3"/>
            <w:shd w:val="clear" w:color="auto" w:fill="auto"/>
            <w:vAlign w:val="bottom"/>
          </w:tcPr>
          <w:p w14:paraId="71D43EDB" w14:textId="77777777" w:rsidR="006A3667" w:rsidRDefault="006A3667">
            <w:pPr>
              <w:rPr>
                <w:rFonts w:ascii="宋体"/>
                <w:vanish/>
              </w:rPr>
            </w:pPr>
          </w:p>
        </w:tc>
        <w:tc>
          <w:tcPr>
            <w:tcW w:w="0" w:type="auto"/>
            <w:gridSpan w:val="3"/>
            <w:shd w:val="clear" w:color="auto" w:fill="auto"/>
            <w:vAlign w:val="bottom"/>
          </w:tcPr>
          <w:p w14:paraId="71D43EDC" w14:textId="77777777" w:rsidR="006A3667" w:rsidRDefault="006A3667">
            <w:pPr>
              <w:rPr>
                <w:rFonts w:ascii="宋体"/>
                <w:vanish/>
              </w:rPr>
            </w:pPr>
          </w:p>
        </w:tc>
        <w:tc>
          <w:tcPr>
            <w:tcW w:w="0" w:type="auto"/>
            <w:gridSpan w:val="3"/>
            <w:shd w:val="clear" w:color="auto" w:fill="auto"/>
            <w:vAlign w:val="bottom"/>
          </w:tcPr>
          <w:p w14:paraId="71D43EDD" w14:textId="77777777" w:rsidR="006A3667" w:rsidRDefault="006A3667">
            <w:pPr>
              <w:rPr>
                <w:rFonts w:ascii="宋体"/>
                <w:vanish/>
              </w:rPr>
            </w:pPr>
          </w:p>
        </w:tc>
        <w:tc>
          <w:tcPr>
            <w:tcW w:w="0" w:type="auto"/>
            <w:gridSpan w:val="3"/>
            <w:shd w:val="clear" w:color="auto" w:fill="auto"/>
            <w:vAlign w:val="bottom"/>
          </w:tcPr>
          <w:p w14:paraId="71D43EDE" w14:textId="77777777" w:rsidR="006A3667" w:rsidRDefault="006A3667">
            <w:pPr>
              <w:rPr>
                <w:rFonts w:ascii="宋体"/>
                <w:vanish/>
              </w:rPr>
            </w:pPr>
          </w:p>
        </w:tc>
        <w:tc>
          <w:tcPr>
            <w:tcW w:w="0" w:type="auto"/>
            <w:gridSpan w:val="3"/>
            <w:shd w:val="clear" w:color="auto" w:fill="auto"/>
            <w:vAlign w:val="bottom"/>
          </w:tcPr>
          <w:p w14:paraId="71D43EDF" w14:textId="77777777" w:rsidR="006A3667" w:rsidRDefault="006A3667">
            <w:pPr>
              <w:rPr>
                <w:rFonts w:ascii="宋体"/>
                <w:vanish/>
              </w:rPr>
            </w:pPr>
          </w:p>
        </w:tc>
        <w:tc>
          <w:tcPr>
            <w:tcW w:w="0" w:type="auto"/>
            <w:gridSpan w:val="3"/>
            <w:shd w:val="clear" w:color="auto" w:fill="auto"/>
            <w:vAlign w:val="bottom"/>
          </w:tcPr>
          <w:p w14:paraId="71D43EE0" w14:textId="77777777" w:rsidR="006A3667" w:rsidRDefault="006A3667">
            <w:pPr>
              <w:rPr>
                <w:rFonts w:ascii="宋体"/>
                <w:vanish/>
              </w:rPr>
            </w:pPr>
          </w:p>
        </w:tc>
        <w:tc>
          <w:tcPr>
            <w:tcW w:w="0" w:type="auto"/>
            <w:gridSpan w:val="3"/>
            <w:shd w:val="clear" w:color="auto" w:fill="auto"/>
            <w:vAlign w:val="bottom"/>
          </w:tcPr>
          <w:p w14:paraId="71D43EE1" w14:textId="77777777" w:rsidR="006A3667" w:rsidRDefault="006A3667">
            <w:pPr>
              <w:rPr>
                <w:rFonts w:ascii="宋体"/>
                <w:vanish/>
              </w:rPr>
            </w:pPr>
          </w:p>
        </w:tc>
        <w:tc>
          <w:tcPr>
            <w:tcW w:w="0" w:type="auto"/>
            <w:gridSpan w:val="3"/>
            <w:shd w:val="clear" w:color="auto" w:fill="auto"/>
            <w:vAlign w:val="bottom"/>
          </w:tcPr>
          <w:p w14:paraId="71D43EE2" w14:textId="77777777" w:rsidR="006A3667" w:rsidRDefault="006A3667">
            <w:pPr>
              <w:rPr>
                <w:rFonts w:ascii="宋体"/>
                <w:vanish/>
              </w:rPr>
            </w:pPr>
          </w:p>
        </w:tc>
        <w:tc>
          <w:tcPr>
            <w:tcW w:w="0" w:type="auto"/>
            <w:gridSpan w:val="3"/>
            <w:shd w:val="clear" w:color="auto" w:fill="auto"/>
            <w:vAlign w:val="bottom"/>
          </w:tcPr>
          <w:p w14:paraId="71D43EE3" w14:textId="77777777" w:rsidR="006A3667" w:rsidRDefault="006A3667">
            <w:pPr>
              <w:rPr>
                <w:rFonts w:ascii="宋体"/>
                <w:vanish/>
              </w:rPr>
            </w:pPr>
          </w:p>
        </w:tc>
        <w:tc>
          <w:tcPr>
            <w:tcW w:w="0" w:type="auto"/>
            <w:gridSpan w:val="3"/>
            <w:shd w:val="clear" w:color="auto" w:fill="auto"/>
            <w:vAlign w:val="bottom"/>
          </w:tcPr>
          <w:p w14:paraId="71D43EE4" w14:textId="77777777" w:rsidR="006A3667" w:rsidRDefault="006A3667">
            <w:pPr>
              <w:rPr>
                <w:rFonts w:ascii="宋体"/>
                <w:vanish/>
              </w:rPr>
            </w:pPr>
          </w:p>
        </w:tc>
        <w:tc>
          <w:tcPr>
            <w:tcW w:w="0" w:type="auto"/>
            <w:gridSpan w:val="3"/>
            <w:shd w:val="clear" w:color="auto" w:fill="auto"/>
            <w:vAlign w:val="bottom"/>
          </w:tcPr>
          <w:p w14:paraId="71D43EE5" w14:textId="77777777" w:rsidR="006A3667" w:rsidRDefault="006A3667">
            <w:pPr>
              <w:rPr>
                <w:rFonts w:ascii="宋体"/>
                <w:vanish/>
              </w:rPr>
            </w:pPr>
          </w:p>
        </w:tc>
        <w:tc>
          <w:tcPr>
            <w:tcW w:w="0" w:type="auto"/>
            <w:gridSpan w:val="3"/>
            <w:shd w:val="clear" w:color="auto" w:fill="auto"/>
            <w:vAlign w:val="bottom"/>
          </w:tcPr>
          <w:p w14:paraId="71D43EE6" w14:textId="77777777" w:rsidR="006A3667" w:rsidRDefault="006A3667">
            <w:pPr>
              <w:rPr>
                <w:rFonts w:ascii="宋体"/>
                <w:vanish/>
              </w:rPr>
            </w:pPr>
          </w:p>
        </w:tc>
        <w:tc>
          <w:tcPr>
            <w:tcW w:w="0" w:type="auto"/>
            <w:gridSpan w:val="3"/>
            <w:shd w:val="clear" w:color="auto" w:fill="auto"/>
            <w:vAlign w:val="bottom"/>
          </w:tcPr>
          <w:p w14:paraId="71D43EE7" w14:textId="77777777" w:rsidR="006A3667" w:rsidRDefault="006A3667">
            <w:pPr>
              <w:rPr>
                <w:rFonts w:ascii="宋体"/>
                <w:vanish/>
              </w:rPr>
            </w:pPr>
          </w:p>
        </w:tc>
        <w:tc>
          <w:tcPr>
            <w:tcW w:w="0" w:type="auto"/>
            <w:gridSpan w:val="3"/>
            <w:shd w:val="clear" w:color="auto" w:fill="auto"/>
            <w:vAlign w:val="bottom"/>
          </w:tcPr>
          <w:p w14:paraId="71D43EE8" w14:textId="77777777" w:rsidR="006A3667" w:rsidRDefault="006A3667">
            <w:pPr>
              <w:rPr>
                <w:rFonts w:ascii="宋体"/>
                <w:vanish/>
              </w:rPr>
            </w:pPr>
          </w:p>
        </w:tc>
        <w:tc>
          <w:tcPr>
            <w:tcW w:w="0" w:type="auto"/>
            <w:gridSpan w:val="3"/>
            <w:shd w:val="clear" w:color="auto" w:fill="auto"/>
            <w:vAlign w:val="bottom"/>
          </w:tcPr>
          <w:p w14:paraId="71D43EE9" w14:textId="77777777" w:rsidR="006A3667" w:rsidRDefault="006A3667">
            <w:pPr>
              <w:rPr>
                <w:rFonts w:ascii="宋体"/>
                <w:vanish/>
              </w:rPr>
            </w:pPr>
          </w:p>
        </w:tc>
        <w:tc>
          <w:tcPr>
            <w:tcW w:w="0" w:type="auto"/>
            <w:gridSpan w:val="3"/>
            <w:shd w:val="clear" w:color="auto" w:fill="auto"/>
            <w:vAlign w:val="bottom"/>
          </w:tcPr>
          <w:p w14:paraId="71D43EEA" w14:textId="77777777" w:rsidR="006A3667" w:rsidRDefault="006A3667">
            <w:pPr>
              <w:rPr>
                <w:rFonts w:ascii="宋体"/>
                <w:vanish/>
              </w:rPr>
            </w:pPr>
          </w:p>
        </w:tc>
        <w:tc>
          <w:tcPr>
            <w:tcW w:w="0" w:type="auto"/>
            <w:gridSpan w:val="3"/>
            <w:shd w:val="clear" w:color="auto" w:fill="auto"/>
            <w:vAlign w:val="bottom"/>
          </w:tcPr>
          <w:p w14:paraId="71D43EEB" w14:textId="77777777" w:rsidR="006A3667" w:rsidRDefault="006A3667">
            <w:pPr>
              <w:rPr>
                <w:rFonts w:ascii="宋体"/>
                <w:vanish/>
              </w:rPr>
            </w:pPr>
          </w:p>
        </w:tc>
        <w:tc>
          <w:tcPr>
            <w:tcW w:w="0" w:type="auto"/>
            <w:gridSpan w:val="2"/>
            <w:shd w:val="clear" w:color="auto" w:fill="auto"/>
            <w:vAlign w:val="bottom"/>
          </w:tcPr>
          <w:p w14:paraId="71D43EEC" w14:textId="77777777" w:rsidR="006A3667" w:rsidRDefault="006A3667">
            <w:pPr>
              <w:rPr>
                <w:rFonts w:ascii="宋体"/>
                <w:vanish/>
              </w:rPr>
            </w:pPr>
          </w:p>
        </w:tc>
        <w:tc>
          <w:tcPr>
            <w:tcW w:w="0" w:type="auto"/>
            <w:shd w:val="clear" w:color="auto" w:fill="auto"/>
            <w:vAlign w:val="bottom"/>
          </w:tcPr>
          <w:p w14:paraId="71D43EED" w14:textId="77777777" w:rsidR="006A3667" w:rsidRDefault="006A3667">
            <w:pPr>
              <w:rPr>
                <w:rFonts w:ascii="宋体"/>
                <w:vanish/>
              </w:rPr>
            </w:pPr>
          </w:p>
        </w:tc>
      </w:tr>
      <w:tr w:rsidR="006A3667" w14:paraId="71D43F05" w14:textId="77777777">
        <w:trPr>
          <w:hidden/>
        </w:trPr>
        <w:tc>
          <w:tcPr>
            <w:tcW w:w="0" w:type="auto"/>
            <w:gridSpan w:val="3"/>
            <w:shd w:val="clear" w:color="auto" w:fill="auto"/>
            <w:vAlign w:val="bottom"/>
          </w:tcPr>
          <w:p w14:paraId="71D43EEF" w14:textId="77777777" w:rsidR="006A3667" w:rsidRDefault="006A3667">
            <w:pPr>
              <w:rPr>
                <w:rFonts w:ascii="宋体"/>
                <w:vanish/>
              </w:rPr>
            </w:pPr>
          </w:p>
        </w:tc>
        <w:tc>
          <w:tcPr>
            <w:tcW w:w="0" w:type="auto"/>
            <w:gridSpan w:val="3"/>
            <w:shd w:val="clear" w:color="auto" w:fill="auto"/>
            <w:vAlign w:val="bottom"/>
          </w:tcPr>
          <w:p w14:paraId="71D43EF0" w14:textId="77777777" w:rsidR="006A3667" w:rsidRDefault="006A3667">
            <w:pPr>
              <w:rPr>
                <w:rFonts w:ascii="宋体"/>
                <w:vanish/>
              </w:rPr>
            </w:pPr>
          </w:p>
        </w:tc>
        <w:tc>
          <w:tcPr>
            <w:tcW w:w="0" w:type="auto"/>
            <w:gridSpan w:val="3"/>
            <w:shd w:val="clear" w:color="auto" w:fill="auto"/>
            <w:vAlign w:val="bottom"/>
          </w:tcPr>
          <w:p w14:paraId="71D43EF1" w14:textId="77777777" w:rsidR="006A3667" w:rsidRDefault="006A3667">
            <w:pPr>
              <w:rPr>
                <w:rFonts w:ascii="宋体"/>
                <w:vanish/>
              </w:rPr>
            </w:pPr>
          </w:p>
        </w:tc>
        <w:tc>
          <w:tcPr>
            <w:tcW w:w="0" w:type="auto"/>
            <w:gridSpan w:val="3"/>
            <w:shd w:val="clear" w:color="auto" w:fill="auto"/>
            <w:vAlign w:val="bottom"/>
          </w:tcPr>
          <w:p w14:paraId="71D43EF2" w14:textId="77777777" w:rsidR="006A3667" w:rsidRDefault="006A3667">
            <w:pPr>
              <w:rPr>
                <w:rFonts w:ascii="宋体"/>
                <w:vanish/>
              </w:rPr>
            </w:pPr>
          </w:p>
        </w:tc>
        <w:tc>
          <w:tcPr>
            <w:tcW w:w="0" w:type="auto"/>
            <w:gridSpan w:val="3"/>
            <w:shd w:val="clear" w:color="auto" w:fill="auto"/>
            <w:vAlign w:val="bottom"/>
          </w:tcPr>
          <w:p w14:paraId="71D43EF3" w14:textId="77777777" w:rsidR="006A3667" w:rsidRDefault="006A3667">
            <w:pPr>
              <w:rPr>
                <w:rFonts w:ascii="宋体"/>
                <w:vanish/>
              </w:rPr>
            </w:pPr>
          </w:p>
        </w:tc>
        <w:tc>
          <w:tcPr>
            <w:tcW w:w="0" w:type="auto"/>
            <w:gridSpan w:val="3"/>
            <w:shd w:val="clear" w:color="auto" w:fill="auto"/>
            <w:vAlign w:val="bottom"/>
          </w:tcPr>
          <w:p w14:paraId="71D43EF4" w14:textId="77777777" w:rsidR="006A3667" w:rsidRDefault="006A3667">
            <w:pPr>
              <w:rPr>
                <w:rFonts w:ascii="宋体"/>
                <w:vanish/>
              </w:rPr>
            </w:pPr>
          </w:p>
        </w:tc>
        <w:tc>
          <w:tcPr>
            <w:tcW w:w="0" w:type="auto"/>
            <w:gridSpan w:val="3"/>
            <w:shd w:val="clear" w:color="auto" w:fill="auto"/>
            <w:vAlign w:val="bottom"/>
          </w:tcPr>
          <w:p w14:paraId="71D43EF5" w14:textId="77777777" w:rsidR="006A3667" w:rsidRDefault="006A3667">
            <w:pPr>
              <w:rPr>
                <w:rFonts w:ascii="宋体"/>
                <w:vanish/>
              </w:rPr>
            </w:pPr>
          </w:p>
        </w:tc>
        <w:tc>
          <w:tcPr>
            <w:tcW w:w="0" w:type="auto"/>
            <w:gridSpan w:val="3"/>
            <w:shd w:val="clear" w:color="auto" w:fill="auto"/>
            <w:vAlign w:val="bottom"/>
          </w:tcPr>
          <w:p w14:paraId="71D43EF6" w14:textId="77777777" w:rsidR="006A3667" w:rsidRDefault="006A3667">
            <w:pPr>
              <w:rPr>
                <w:rFonts w:ascii="宋体"/>
                <w:vanish/>
              </w:rPr>
            </w:pPr>
          </w:p>
        </w:tc>
        <w:tc>
          <w:tcPr>
            <w:tcW w:w="0" w:type="auto"/>
            <w:gridSpan w:val="3"/>
            <w:shd w:val="clear" w:color="auto" w:fill="auto"/>
            <w:vAlign w:val="bottom"/>
          </w:tcPr>
          <w:p w14:paraId="71D43EF7" w14:textId="77777777" w:rsidR="006A3667" w:rsidRDefault="006A3667">
            <w:pPr>
              <w:rPr>
                <w:rFonts w:ascii="宋体"/>
                <w:vanish/>
              </w:rPr>
            </w:pPr>
          </w:p>
        </w:tc>
        <w:tc>
          <w:tcPr>
            <w:tcW w:w="0" w:type="auto"/>
            <w:gridSpan w:val="3"/>
            <w:shd w:val="clear" w:color="auto" w:fill="auto"/>
            <w:vAlign w:val="bottom"/>
          </w:tcPr>
          <w:p w14:paraId="71D43EF8" w14:textId="77777777" w:rsidR="006A3667" w:rsidRDefault="006A3667">
            <w:pPr>
              <w:rPr>
                <w:rFonts w:ascii="宋体"/>
                <w:vanish/>
              </w:rPr>
            </w:pPr>
          </w:p>
        </w:tc>
        <w:tc>
          <w:tcPr>
            <w:tcW w:w="0" w:type="auto"/>
            <w:gridSpan w:val="3"/>
            <w:shd w:val="clear" w:color="auto" w:fill="auto"/>
            <w:vAlign w:val="bottom"/>
          </w:tcPr>
          <w:p w14:paraId="71D43EF9" w14:textId="77777777" w:rsidR="006A3667" w:rsidRDefault="006A3667">
            <w:pPr>
              <w:rPr>
                <w:rFonts w:ascii="宋体"/>
                <w:vanish/>
              </w:rPr>
            </w:pPr>
          </w:p>
        </w:tc>
        <w:tc>
          <w:tcPr>
            <w:tcW w:w="0" w:type="auto"/>
            <w:gridSpan w:val="3"/>
            <w:shd w:val="clear" w:color="auto" w:fill="auto"/>
            <w:vAlign w:val="bottom"/>
          </w:tcPr>
          <w:p w14:paraId="71D43EFA" w14:textId="77777777" w:rsidR="006A3667" w:rsidRDefault="006A3667">
            <w:pPr>
              <w:rPr>
                <w:rFonts w:ascii="宋体"/>
                <w:vanish/>
              </w:rPr>
            </w:pPr>
          </w:p>
        </w:tc>
        <w:tc>
          <w:tcPr>
            <w:tcW w:w="0" w:type="auto"/>
            <w:gridSpan w:val="3"/>
            <w:shd w:val="clear" w:color="auto" w:fill="auto"/>
            <w:vAlign w:val="bottom"/>
          </w:tcPr>
          <w:p w14:paraId="71D43EFB" w14:textId="77777777" w:rsidR="006A3667" w:rsidRDefault="006A3667">
            <w:pPr>
              <w:rPr>
                <w:rFonts w:ascii="宋体"/>
                <w:vanish/>
              </w:rPr>
            </w:pPr>
          </w:p>
        </w:tc>
        <w:tc>
          <w:tcPr>
            <w:tcW w:w="0" w:type="auto"/>
            <w:gridSpan w:val="3"/>
            <w:shd w:val="clear" w:color="auto" w:fill="auto"/>
            <w:vAlign w:val="bottom"/>
          </w:tcPr>
          <w:p w14:paraId="71D43EFC" w14:textId="77777777" w:rsidR="006A3667" w:rsidRDefault="006A3667">
            <w:pPr>
              <w:rPr>
                <w:rFonts w:ascii="宋体"/>
                <w:vanish/>
              </w:rPr>
            </w:pPr>
          </w:p>
        </w:tc>
        <w:tc>
          <w:tcPr>
            <w:tcW w:w="0" w:type="auto"/>
            <w:gridSpan w:val="3"/>
            <w:shd w:val="clear" w:color="auto" w:fill="auto"/>
            <w:vAlign w:val="bottom"/>
          </w:tcPr>
          <w:p w14:paraId="71D43EFD" w14:textId="77777777" w:rsidR="006A3667" w:rsidRDefault="006A3667">
            <w:pPr>
              <w:rPr>
                <w:rFonts w:ascii="宋体"/>
                <w:vanish/>
              </w:rPr>
            </w:pPr>
          </w:p>
        </w:tc>
        <w:tc>
          <w:tcPr>
            <w:tcW w:w="0" w:type="auto"/>
            <w:gridSpan w:val="3"/>
            <w:shd w:val="clear" w:color="auto" w:fill="auto"/>
            <w:vAlign w:val="bottom"/>
          </w:tcPr>
          <w:p w14:paraId="71D43EFE" w14:textId="77777777" w:rsidR="006A3667" w:rsidRDefault="006A3667">
            <w:pPr>
              <w:rPr>
                <w:rFonts w:ascii="宋体"/>
                <w:vanish/>
              </w:rPr>
            </w:pPr>
          </w:p>
        </w:tc>
        <w:tc>
          <w:tcPr>
            <w:tcW w:w="0" w:type="auto"/>
            <w:gridSpan w:val="3"/>
            <w:shd w:val="clear" w:color="auto" w:fill="auto"/>
            <w:vAlign w:val="bottom"/>
          </w:tcPr>
          <w:p w14:paraId="71D43EFF" w14:textId="77777777" w:rsidR="006A3667" w:rsidRDefault="006A3667">
            <w:pPr>
              <w:rPr>
                <w:rFonts w:ascii="宋体"/>
                <w:vanish/>
              </w:rPr>
            </w:pPr>
          </w:p>
        </w:tc>
        <w:tc>
          <w:tcPr>
            <w:tcW w:w="0" w:type="auto"/>
            <w:gridSpan w:val="3"/>
            <w:shd w:val="clear" w:color="auto" w:fill="auto"/>
            <w:vAlign w:val="bottom"/>
          </w:tcPr>
          <w:p w14:paraId="71D43F00" w14:textId="77777777" w:rsidR="006A3667" w:rsidRDefault="006A3667">
            <w:pPr>
              <w:rPr>
                <w:rFonts w:ascii="宋体"/>
                <w:vanish/>
              </w:rPr>
            </w:pPr>
          </w:p>
        </w:tc>
        <w:tc>
          <w:tcPr>
            <w:tcW w:w="0" w:type="auto"/>
            <w:gridSpan w:val="3"/>
            <w:shd w:val="clear" w:color="auto" w:fill="auto"/>
            <w:vAlign w:val="bottom"/>
          </w:tcPr>
          <w:p w14:paraId="71D43F01" w14:textId="77777777" w:rsidR="006A3667" w:rsidRDefault="006A3667">
            <w:pPr>
              <w:rPr>
                <w:rFonts w:ascii="宋体"/>
                <w:vanish/>
              </w:rPr>
            </w:pPr>
          </w:p>
        </w:tc>
        <w:tc>
          <w:tcPr>
            <w:tcW w:w="0" w:type="auto"/>
            <w:gridSpan w:val="3"/>
            <w:shd w:val="clear" w:color="auto" w:fill="auto"/>
            <w:vAlign w:val="bottom"/>
          </w:tcPr>
          <w:p w14:paraId="71D43F02" w14:textId="77777777" w:rsidR="006A3667" w:rsidRDefault="006A3667">
            <w:pPr>
              <w:rPr>
                <w:rFonts w:ascii="宋体"/>
                <w:vanish/>
              </w:rPr>
            </w:pPr>
          </w:p>
        </w:tc>
        <w:tc>
          <w:tcPr>
            <w:tcW w:w="0" w:type="auto"/>
            <w:gridSpan w:val="2"/>
            <w:shd w:val="clear" w:color="auto" w:fill="auto"/>
            <w:vAlign w:val="bottom"/>
          </w:tcPr>
          <w:p w14:paraId="71D43F03" w14:textId="77777777" w:rsidR="006A3667" w:rsidRDefault="006A3667">
            <w:pPr>
              <w:rPr>
                <w:rFonts w:ascii="宋体"/>
                <w:vanish/>
              </w:rPr>
            </w:pPr>
          </w:p>
        </w:tc>
        <w:tc>
          <w:tcPr>
            <w:tcW w:w="0" w:type="auto"/>
            <w:shd w:val="clear" w:color="auto" w:fill="auto"/>
            <w:vAlign w:val="bottom"/>
          </w:tcPr>
          <w:p w14:paraId="71D43F04" w14:textId="77777777" w:rsidR="006A3667" w:rsidRDefault="006A3667">
            <w:pPr>
              <w:rPr>
                <w:rFonts w:ascii="宋体"/>
                <w:vanish/>
              </w:rPr>
            </w:pPr>
          </w:p>
        </w:tc>
      </w:tr>
      <w:tr w:rsidR="006A3667" w14:paraId="71D43F1C" w14:textId="77777777">
        <w:trPr>
          <w:hidden/>
        </w:trPr>
        <w:tc>
          <w:tcPr>
            <w:tcW w:w="0" w:type="auto"/>
            <w:gridSpan w:val="3"/>
            <w:shd w:val="clear" w:color="auto" w:fill="auto"/>
            <w:vAlign w:val="bottom"/>
          </w:tcPr>
          <w:p w14:paraId="71D43F06" w14:textId="77777777" w:rsidR="006A3667" w:rsidRDefault="006A3667">
            <w:pPr>
              <w:rPr>
                <w:rFonts w:ascii="宋体"/>
                <w:vanish/>
              </w:rPr>
            </w:pPr>
          </w:p>
        </w:tc>
        <w:tc>
          <w:tcPr>
            <w:tcW w:w="0" w:type="auto"/>
            <w:gridSpan w:val="3"/>
            <w:shd w:val="clear" w:color="auto" w:fill="auto"/>
            <w:vAlign w:val="bottom"/>
          </w:tcPr>
          <w:p w14:paraId="71D43F07" w14:textId="77777777" w:rsidR="006A3667" w:rsidRDefault="006A3667">
            <w:pPr>
              <w:rPr>
                <w:rFonts w:ascii="宋体"/>
                <w:vanish/>
              </w:rPr>
            </w:pPr>
          </w:p>
        </w:tc>
        <w:tc>
          <w:tcPr>
            <w:tcW w:w="0" w:type="auto"/>
            <w:gridSpan w:val="3"/>
            <w:shd w:val="clear" w:color="auto" w:fill="auto"/>
            <w:vAlign w:val="bottom"/>
          </w:tcPr>
          <w:p w14:paraId="71D43F08" w14:textId="77777777" w:rsidR="006A3667" w:rsidRDefault="006A3667">
            <w:pPr>
              <w:rPr>
                <w:rFonts w:ascii="宋体"/>
                <w:vanish/>
              </w:rPr>
            </w:pPr>
          </w:p>
        </w:tc>
        <w:tc>
          <w:tcPr>
            <w:tcW w:w="0" w:type="auto"/>
            <w:gridSpan w:val="3"/>
            <w:shd w:val="clear" w:color="auto" w:fill="auto"/>
            <w:vAlign w:val="bottom"/>
          </w:tcPr>
          <w:p w14:paraId="71D43F09" w14:textId="77777777" w:rsidR="006A3667" w:rsidRDefault="006A3667">
            <w:pPr>
              <w:rPr>
                <w:rFonts w:ascii="宋体"/>
                <w:vanish/>
              </w:rPr>
            </w:pPr>
          </w:p>
        </w:tc>
        <w:tc>
          <w:tcPr>
            <w:tcW w:w="0" w:type="auto"/>
            <w:gridSpan w:val="3"/>
            <w:shd w:val="clear" w:color="auto" w:fill="auto"/>
            <w:vAlign w:val="bottom"/>
          </w:tcPr>
          <w:p w14:paraId="71D43F0A" w14:textId="77777777" w:rsidR="006A3667" w:rsidRDefault="006A3667">
            <w:pPr>
              <w:rPr>
                <w:rFonts w:ascii="宋体"/>
                <w:vanish/>
              </w:rPr>
            </w:pPr>
          </w:p>
        </w:tc>
        <w:tc>
          <w:tcPr>
            <w:tcW w:w="0" w:type="auto"/>
            <w:gridSpan w:val="3"/>
            <w:shd w:val="clear" w:color="auto" w:fill="auto"/>
            <w:vAlign w:val="bottom"/>
          </w:tcPr>
          <w:p w14:paraId="71D43F0B" w14:textId="77777777" w:rsidR="006A3667" w:rsidRDefault="006A3667">
            <w:pPr>
              <w:rPr>
                <w:rFonts w:ascii="宋体"/>
                <w:vanish/>
              </w:rPr>
            </w:pPr>
          </w:p>
        </w:tc>
        <w:tc>
          <w:tcPr>
            <w:tcW w:w="0" w:type="auto"/>
            <w:gridSpan w:val="3"/>
            <w:shd w:val="clear" w:color="auto" w:fill="auto"/>
            <w:vAlign w:val="bottom"/>
          </w:tcPr>
          <w:p w14:paraId="71D43F0C" w14:textId="77777777" w:rsidR="006A3667" w:rsidRDefault="006A3667">
            <w:pPr>
              <w:rPr>
                <w:rFonts w:ascii="宋体"/>
                <w:vanish/>
              </w:rPr>
            </w:pPr>
          </w:p>
        </w:tc>
        <w:tc>
          <w:tcPr>
            <w:tcW w:w="0" w:type="auto"/>
            <w:gridSpan w:val="3"/>
            <w:shd w:val="clear" w:color="auto" w:fill="auto"/>
            <w:vAlign w:val="bottom"/>
          </w:tcPr>
          <w:p w14:paraId="71D43F0D" w14:textId="77777777" w:rsidR="006A3667" w:rsidRDefault="006A3667">
            <w:pPr>
              <w:rPr>
                <w:rFonts w:ascii="宋体"/>
                <w:vanish/>
              </w:rPr>
            </w:pPr>
          </w:p>
        </w:tc>
        <w:tc>
          <w:tcPr>
            <w:tcW w:w="0" w:type="auto"/>
            <w:gridSpan w:val="3"/>
            <w:shd w:val="clear" w:color="auto" w:fill="auto"/>
            <w:vAlign w:val="bottom"/>
          </w:tcPr>
          <w:p w14:paraId="71D43F0E" w14:textId="77777777" w:rsidR="006A3667" w:rsidRDefault="006A3667">
            <w:pPr>
              <w:rPr>
                <w:rFonts w:ascii="宋体"/>
                <w:vanish/>
              </w:rPr>
            </w:pPr>
          </w:p>
        </w:tc>
        <w:tc>
          <w:tcPr>
            <w:tcW w:w="0" w:type="auto"/>
            <w:gridSpan w:val="3"/>
            <w:shd w:val="clear" w:color="auto" w:fill="auto"/>
            <w:vAlign w:val="bottom"/>
          </w:tcPr>
          <w:p w14:paraId="71D43F0F" w14:textId="77777777" w:rsidR="006A3667" w:rsidRDefault="006A3667">
            <w:pPr>
              <w:rPr>
                <w:rFonts w:ascii="宋体"/>
                <w:vanish/>
              </w:rPr>
            </w:pPr>
          </w:p>
        </w:tc>
        <w:tc>
          <w:tcPr>
            <w:tcW w:w="0" w:type="auto"/>
            <w:gridSpan w:val="3"/>
            <w:shd w:val="clear" w:color="auto" w:fill="auto"/>
            <w:vAlign w:val="bottom"/>
          </w:tcPr>
          <w:p w14:paraId="71D43F10" w14:textId="77777777" w:rsidR="006A3667" w:rsidRDefault="006A3667">
            <w:pPr>
              <w:rPr>
                <w:rFonts w:ascii="宋体"/>
                <w:vanish/>
              </w:rPr>
            </w:pPr>
          </w:p>
        </w:tc>
        <w:tc>
          <w:tcPr>
            <w:tcW w:w="0" w:type="auto"/>
            <w:gridSpan w:val="3"/>
            <w:shd w:val="clear" w:color="auto" w:fill="auto"/>
            <w:vAlign w:val="bottom"/>
          </w:tcPr>
          <w:p w14:paraId="71D43F11" w14:textId="77777777" w:rsidR="006A3667" w:rsidRDefault="006A3667">
            <w:pPr>
              <w:rPr>
                <w:rFonts w:ascii="宋体"/>
                <w:vanish/>
              </w:rPr>
            </w:pPr>
          </w:p>
        </w:tc>
        <w:tc>
          <w:tcPr>
            <w:tcW w:w="0" w:type="auto"/>
            <w:gridSpan w:val="3"/>
            <w:shd w:val="clear" w:color="auto" w:fill="auto"/>
            <w:vAlign w:val="bottom"/>
          </w:tcPr>
          <w:p w14:paraId="71D43F12" w14:textId="77777777" w:rsidR="006A3667" w:rsidRDefault="006A3667">
            <w:pPr>
              <w:rPr>
                <w:rFonts w:ascii="宋体"/>
                <w:vanish/>
              </w:rPr>
            </w:pPr>
          </w:p>
        </w:tc>
        <w:tc>
          <w:tcPr>
            <w:tcW w:w="0" w:type="auto"/>
            <w:gridSpan w:val="3"/>
            <w:shd w:val="clear" w:color="auto" w:fill="auto"/>
            <w:vAlign w:val="bottom"/>
          </w:tcPr>
          <w:p w14:paraId="71D43F13" w14:textId="77777777" w:rsidR="006A3667" w:rsidRDefault="006A3667">
            <w:pPr>
              <w:rPr>
                <w:rFonts w:ascii="宋体"/>
                <w:vanish/>
              </w:rPr>
            </w:pPr>
          </w:p>
        </w:tc>
        <w:tc>
          <w:tcPr>
            <w:tcW w:w="0" w:type="auto"/>
            <w:gridSpan w:val="3"/>
            <w:shd w:val="clear" w:color="auto" w:fill="auto"/>
            <w:vAlign w:val="bottom"/>
          </w:tcPr>
          <w:p w14:paraId="71D43F14" w14:textId="77777777" w:rsidR="006A3667" w:rsidRDefault="006A3667">
            <w:pPr>
              <w:rPr>
                <w:rFonts w:ascii="宋体"/>
                <w:vanish/>
              </w:rPr>
            </w:pPr>
          </w:p>
        </w:tc>
        <w:tc>
          <w:tcPr>
            <w:tcW w:w="0" w:type="auto"/>
            <w:gridSpan w:val="3"/>
            <w:shd w:val="clear" w:color="auto" w:fill="auto"/>
            <w:vAlign w:val="bottom"/>
          </w:tcPr>
          <w:p w14:paraId="71D43F15" w14:textId="77777777" w:rsidR="006A3667" w:rsidRDefault="006A3667">
            <w:pPr>
              <w:rPr>
                <w:rFonts w:ascii="宋体"/>
                <w:vanish/>
              </w:rPr>
            </w:pPr>
          </w:p>
        </w:tc>
        <w:tc>
          <w:tcPr>
            <w:tcW w:w="0" w:type="auto"/>
            <w:gridSpan w:val="3"/>
            <w:shd w:val="clear" w:color="auto" w:fill="auto"/>
            <w:vAlign w:val="bottom"/>
          </w:tcPr>
          <w:p w14:paraId="71D43F16" w14:textId="77777777" w:rsidR="006A3667" w:rsidRDefault="006A3667">
            <w:pPr>
              <w:rPr>
                <w:rFonts w:ascii="宋体"/>
                <w:vanish/>
              </w:rPr>
            </w:pPr>
          </w:p>
        </w:tc>
        <w:tc>
          <w:tcPr>
            <w:tcW w:w="0" w:type="auto"/>
            <w:gridSpan w:val="3"/>
            <w:shd w:val="clear" w:color="auto" w:fill="auto"/>
            <w:vAlign w:val="bottom"/>
          </w:tcPr>
          <w:p w14:paraId="71D43F17" w14:textId="77777777" w:rsidR="006A3667" w:rsidRDefault="006A3667">
            <w:pPr>
              <w:rPr>
                <w:rFonts w:ascii="宋体"/>
                <w:vanish/>
              </w:rPr>
            </w:pPr>
          </w:p>
        </w:tc>
        <w:tc>
          <w:tcPr>
            <w:tcW w:w="0" w:type="auto"/>
            <w:gridSpan w:val="3"/>
            <w:shd w:val="clear" w:color="auto" w:fill="auto"/>
            <w:vAlign w:val="bottom"/>
          </w:tcPr>
          <w:p w14:paraId="71D43F18" w14:textId="77777777" w:rsidR="006A3667" w:rsidRDefault="006A3667">
            <w:pPr>
              <w:rPr>
                <w:rFonts w:ascii="宋体"/>
                <w:vanish/>
              </w:rPr>
            </w:pPr>
          </w:p>
        </w:tc>
        <w:tc>
          <w:tcPr>
            <w:tcW w:w="0" w:type="auto"/>
            <w:gridSpan w:val="3"/>
            <w:shd w:val="clear" w:color="auto" w:fill="auto"/>
            <w:vAlign w:val="bottom"/>
          </w:tcPr>
          <w:p w14:paraId="71D43F19" w14:textId="77777777" w:rsidR="006A3667" w:rsidRDefault="006A3667">
            <w:pPr>
              <w:rPr>
                <w:rFonts w:ascii="宋体"/>
                <w:vanish/>
              </w:rPr>
            </w:pPr>
          </w:p>
        </w:tc>
        <w:tc>
          <w:tcPr>
            <w:tcW w:w="0" w:type="auto"/>
            <w:gridSpan w:val="2"/>
            <w:shd w:val="clear" w:color="auto" w:fill="auto"/>
            <w:vAlign w:val="bottom"/>
          </w:tcPr>
          <w:p w14:paraId="71D43F1A" w14:textId="77777777" w:rsidR="006A3667" w:rsidRDefault="006A3667">
            <w:pPr>
              <w:rPr>
                <w:rFonts w:ascii="宋体"/>
                <w:vanish/>
              </w:rPr>
            </w:pPr>
          </w:p>
        </w:tc>
        <w:tc>
          <w:tcPr>
            <w:tcW w:w="0" w:type="auto"/>
            <w:shd w:val="clear" w:color="auto" w:fill="auto"/>
            <w:vAlign w:val="bottom"/>
          </w:tcPr>
          <w:p w14:paraId="71D43F1B" w14:textId="77777777" w:rsidR="006A3667" w:rsidRDefault="006A3667">
            <w:pPr>
              <w:rPr>
                <w:rFonts w:ascii="宋体"/>
                <w:vanish/>
              </w:rPr>
            </w:pPr>
          </w:p>
        </w:tc>
      </w:tr>
      <w:tr w:rsidR="006A3667" w14:paraId="71D43F33" w14:textId="77777777">
        <w:trPr>
          <w:hidden/>
        </w:trPr>
        <w:tc>
          <w:tcPr>
            <w:tcW w:w="0" w:type="auto"/>
            <w:gridSpan w:val="3"/>
            <w:shd w:val="clear" w:color="auto" w:fill="auto"/>
            <w:vAlign w:val="bottom"/>
          </w:tcPr>
          <w:p w14:paraId="71D43F1D" w14:textId="77777777" w:rsidR="006A3667" w:rsidRDefault="006A3667">
            <w:pPr>
              <w:rPr>
                <w:rFonts w:ascii="宋体"/>
                <w:vanish/>
              </w:rPr>
            </w:pPr>
          </w:p>
        </w:tc>
        <w:tc>
          <w:tcPr>
            <w:tcW w:w="0" w:type="auto"/>
            <w:gridSpan w:val="3"/>
            <w:shd w:val="clear" w:color="auto" w:fill="auto"/>
            <w:vAlign w:val="bottom"/>
          </w:tcPr>
          <w:p w14:paraId="71D43F1E" w14:textId="77777777" w:rsidR="006A3667" w:rsidRDefault="006A3667">
            <w:pPr>
              <w:rPr>
                <w:rFonts w:ascii="宋体"/>
                <w:vanish/>
              </w:rPr>
            </w:pPr>
          </w:p>
        </w:tc>
        <w:tc>
          <w:tcPr>
            <w:tcW w:w="0" w:type="auto"/>
            <w:gridSpan w:val="3"/>
            <w:shd w:val="clear" w:color="auto" w:fill="auto"/>
            <w:vAlign w:val="bottom"/>
          </w:tcPr>
          <w:p w14:paraId="71D43F1F" w14:textId="77777777" w:rsidR="006A3667" w:rsidRDefault="006A3667">
            <w:pPr>
              <w:rPr>
                <w:rFonts w:ascii="宋体"/>
                <w:vanish/>
              </w:rPr>
            </w:pPr>
          </w:p>
        </w:tc>
        <w:tc>
          <w:tcPr>
            <w:tcW w:w="0" w:type="auto"/>
            <w:gridSpan w:val="3"/>
            <w:shd w:val="clear" w:color="auto" w:fill="auto"/>
            <w:vAlign w:val="bottom"/>
          </w:tcPr>
          <w:p w14:paraId="71D43F20" w14:textId="77777777" w:rsidR="006A3667" w:rsidRDefault="006A3667">
            <w:pPr>
              <w:rPr>
                <w:rFonts w:ascii="宋体"/>
                <w:vanish/>
              </w:rPr>
            </w:pPr>
          </w:p>
        </w:tc>
        <w:tc>
          <w:tcPr>
            <w:tcW w:w="0" w:type="auto"/>
            <w:gridSpan w:val="3"/>
            <w:shd w:val="clear" w:color="auto" w:fill="auto"/>
            <w:vAlign w:val="bottom"/>
          </w:tcPr>
          <w:p w14:paraId="71D43F21" w14:textId="77777777" w:rsidR="006A3667" w:rsidRDefault="006A3667">
            <w:pPr>
              <w:rPr>
                <w:rFonts w:ascii="宋体"/>
                <w:vanish/>
              </w:rPr>
            </w:pPr>
          </w:p>
        </w:tc>
        <w:tc>
          <w:tcPr>
            <w:tcW w:w="0" w:type="auto"/>
            <w:gridSpan w:val="3"/>
            <w:shd w:val="clear" w:color="auto" w:fill="auto"/>
            <w:vAlign w:val="bottom"/>
          </w:tcPr>
          <w:p w14:paraId="71D43F22" w14:textId="77777777" w:rsidR="006A3667" w:rsidRDefault="006A3667">
            <w:pPr>
              <w:rPr>
                <w:rFonts w:ascii="宋体"/>
                <w:vanish/>
              </w:rPr>
            </w:pPr>
          </w:p>
        </w:tc>
        <w:tc>
          <w:tcPr>
            <w:tcW w:w="0" w:type="auto"/>
            <w:gridSpan w:val="3"/>
            <w:shd w:val="clear" w:color="auto" w:fill="auto"/>
            <w:vAlign w:val="bottom"/>
          </w:tcPr>
          <w:p w14:paraId="71D43F23" w14:textId="77777777" w:rsidR="006A3667" w:rsidRDefault="006A3667">
            <w:pPr>
              <w:rPr>
                <w:rFonts w:ascii="宋体"/>
                <w:vanish/>
              </w:rPr>
            </w:pPr>
          </w:p>
        </w:tc>
        <w:tc>
          <w:tcPr>
            <w:tcW w:w="0" w:type="auto"/>
            <w:gridSpan w:val="3"/>
            <w:shd w:val="clear" w:color="auto" w:fill="auto"/>
            <w:vAlign w:val="bottom"/>
          </w:tcPr>
          <w:p w14:paraId="71D43F24" w14:textId="77777777" w:rsidR="006A3667" w:rsidRDefault="006A3667">
            <w:pPr>
              <w:rPr>
                <w:rFonts w:ascii="宋体"/>
                <w:vanish/>
              </w:rPr>
            </w:pPr>
          </w:p>
        </w:tc>
        <w:tc>
          <w:tcPr>
            <w:tcW w:w="0" w:type="auto"/>
            <w:gridSpan w:val="3"/>
            <w:shd w:val="clear" w:color="auto" w:fill="auto"/>
            <w:vAlign w:val="bottom"/>
          </w:tcPr>
          <w:p w14:paraId="71D43F25" w14:textId="77777777" w:rsidR="006A3667" w:rsidRDefault="006A3667">
            <w:pPr>
              <w:rPr>
                <w:rFonts w:ascii="宋体"/>
                <w:vanish/>
              </w:rPr>
            </w:pPr>
          </w:p>
        </w:tc>
        <w:tc>
          <w:tcPr>
            <w:tcW w:w="0" w:type="auto"/>
            <w:gridSpan w:val="3"/>
            <w:shd w:val="clear" w:color="auto" w:fill="auto"/>
            <w:vAlign w:val="bottom"/>
          </w:tcPr>
          <w:p w14:paraId="71D43F26" w14:textId="77777777" w:rsidR="006A3667" w:rsidRDefault="006A3667">
            <w:pPr>
              <w:rPr>
                <w:rFonts w:ascii="宋体"/>
                <w:vanish/>
              </w:rPr>
            </w:pPr>
          </w:p>
        </w:tc>
        <w:tc>
          <w:tcPr>
            <w:tcW w:w="0" w:type="auto"/>
            <w:gridSpan w:val="3"/>
            <w:shd w:val="clear" w:color="auto" w:fill="auto"/>
            <w:vAlign w:val="bottom"/>
          </w:tcPr>
          <w:p w14:paraId="71D43F27" w14:textId="77777777" w:rsidR="006A3667" w:rsidRDefault="006A3667">
            <w:pPr>
              <w:rPr>
                <w:rFonts w:ascii="宋体"/>
                <w:vanish/>
              </w:rPr>
            </w:pPr>
          </w:p>
        </w:tc>
        <w:tc>
          <w:tcPr>
            <w:tcW w:w="0" w:type="auto"/>
            <w:gridSpan w:val="3"/>
            <w:shd w:val="clear" w:color="auto" w:fill="auto"/>
            <w:vAlign w:val="bottom"/>
          </w:tcPr>
          <w:p w14:paraId="71D43F28" w14:textId="77777777" w:rsidR="006A3667" w:rsidRDefault="006A3667">
            <w:pPr>
              <w:rPr>
                <w:rFonts w:ascii="宋体"/>
                <w:vanish/>
              </w:rPr>
            </w:pPr>
          </w:p>
        </w:tc>
        <w:tc>
          <w:tcPr>
            <w:tcW w:w="0" w:type="auto"/>
            <w:gridSpan w:val="3"/>
            <w:shd w:val="clear" w:color="auto" w:fill="auto"/>
            <w:vAlign w:val="bottom"/>
          </w:tcPr>
          <w:p w14:paraId="71D43F29" w14:textId="77777777" w:rsidR="006A3667" w:rsidRDefault="006A3667">
            <w:pPr>
              <w:rPr>
                <w:rFonts w:ascii="宋体"/>
                <w:vanish/>
              </w:rPr>
            </w:pPr>
          </w:p>
        </w:tc>
        <w:tc>
          <w:tcPr>
            <w:tcW w:w="0" w:type="auto"/>
            <w:gridSpan w:val="3"/>
            <w:shd w:val="clear" w:color="auto" w:fill="auto"/>
            <w:vAlign w:val="bottom"/>
          </w:tcPr>
          <w:p w14:paraId="71D43F2A" w14:textId="77777777" w:rsidR="006A3667" w:rsidRDefault="006A3667">
            <w:pPr>
              <w:rPr>
                <w:rFonts w:ascii="宋体"/>
                <w:vanish/>
              </w:rPr>
            </w:pPr>
          </w:p>
        </w:tc>
        <w:tc>
          <w:tcPr>
            <w:tcW w:w="0" w:type="auto"/>
            <w:gridSpan w:val="3"/>
            <w:shd w:val="clear" w:color="auto" w:fill="auto"/>
            <w:vAlign w:val="bottom"/>
          </w:tcPr>
          <w:p w14:paraId="71D43F2B" w14:textId="77777777" w:rsidR="006A3667" w:rsidRDefault="006A3667">
            <w:pPr>
              <w:rPr>
                <w:rFonts w:ascii="宋体"/>
                <w:vanish/>
              </w:rPr>
            </w:pPr>
          </w:p>
        </w:tc>
        <w:tc>
          <w:tcPr>
            <w:tcW w:w="0" w:type="auto"/>
            <w:gridSpan w:val="3"/>
            <w:shd w:val="clear" w:color="auto" w:fill="auto"/>
            <w:vAlign w:val="bottom"/>
          </w:tcPr>
          <w:p w14:paraId="71D43F2C" w14:textId="77777777" w:rsidR="006A3667" w:rsidRDefault="006A3667">
            <w:pPr>
              <w:rPr>
                <w:rFonts w:ascii="宋体"/>
                <w:vanish/>
              </w:rPr>
            </w:pPr>
          </w:p>
        </w:tc>
        <w:tc>
          <w:tcPr>
            <w:tcW w:w="0" w:type="auto"/>
            <w:gridSpan w:val="3"/>
            <w:shd w:val="clear" w:color="auto" w:fill="auto"/>
            <w:vAlign w:val="bottom"/>
          </w:tcPr>
          <w:p w14:paraId="71D43F2D" w14:textId="77777777" w:rsidR="006A3667" w:rsidRDefault="006A3667">
            <w:pPr>
              <w:rPr>
                <w:rFonts w:ascii="宋体"/>
                <w:vanish/>
              </w:rPr>
            </w:pPr>
          </w:p>
        </w:tc>
        <w:tc>
          <w:tcPr>
            <w:tcW w:w="0" w:type="auto"/>
            <w:gridSpan w:val="3"/>
            <w:shd w:val="clear" w:color="auto" w:fill="auto"/>
            <w:vAlign w:val="bottom"/>
          </w:tcPr>
          <w:p w14:paraId="71D43F2E" w14:textId="77777777" w:rsidR="006A3667" w:rsidRDefault="006A3667">
            <w:pPr>
              <w:rPr>
                <w:rFonts w:ascii="宋体"/>
                <w:vanish/>
              </w:rPr>
            </w:pPr>
          </w:p>
        </w:tc>
        <w:tc>
          <w:tcPr>
            <w:tcW w:w="0" w:type="auto"/>
            <w:gridSpan w:val="3"/>
            <w:shd w:val="clear" w:color="auto" w:fill="auto"/>
            <w:vAlign w:val="bottom"/>
          </w:tcPr>
          <w:p w14:paraId="71D43F2F" w14:textId="77777777" w:rsidR="006A3667" w:rsidRDefault="006A3667">
            <w:pPr>
              <w:rPr>
                <w:rFonts w:ascii="宋体"/>
                <w:vanish/>
              </w:rPr>
            </w:pPr>
          </w:p>
        </w:tc>
        <w:tc>
          <w:tcPr>
            <w:tcW w:w="0" w:type="auto"/>
            <w:gridSpan w:val="3"/>
            <w:shd w:val="clear" w:color="auto" w:fill="auto"/>
            <w:vAlign w:val="bottom"/>
          </w:tcPr>
          <w:p w14:paraId="71D43F30" w14:textId="77777777" w:rsidR="006A3667" w:rsidRDefault="006A3667">
            <w:pPr>
              <w:rPr>
                <w:rFonts w:ascii="宋体"/>
                <w:vanish/>
              </w:rPr>
            </w:pPr>
          </w:p>
        </w:tc>
        <w:tc>
          <w:tcPr>
            <w:tcW w:w="0" w:type="auto"/>
            <w:gridSpan w:val="2"/>
            <w:shd w:val="clear" w:color="auto" w:fill="auto"/>
            <w:vAlign w:val="bottom"/>
          </w:tcPr>
          <w:p w14:paraId="71D43F31" w14:textId="77777777" w:rsidR="006A3667" w:rsidRDefault="006A3667">
            <w:pPr>
              <w:rPr>
                <w:rFonts w:ascii="宋体"/>
                <w:vanish/>
              </w:rPr>
            </w:pPr>
          </w:p>
        </w:tc>
        <w:tc>
          <w:tcPr>
            <w:tcW w:w="0" w:type="auto"/>
            <w:shd w:val="clear" w:color="auto" w:fill="auto"/>
            <w:vAlign w:val="bottom"/>
          </w:tcPr>
          <w:p w14:paraId="71D43F32" w14:textId="77777777" w:rsidR="006A3667" w:rsidRDefault="006A3667">
            <w:pPr>
              <w:rPr>
                <w:rFonts w:ascii="宋体"/>
                <w:vanish/>
              </w:rPr>
            </w:pPr>
          </w:p>
        </w:tc>
      </w:tr>
      <w:tr w:rsidR="006A3667" w14:paraId="71D43F4A" w14:textId="77777777">
        <w:trPr>
          <w:hidden/>
        </w:trPr>
        <w:tc>
          <w:tcPr>
            <w:tcW w:w="0" w:type="auto"/>
            <w:gridSpan w:val="3"/>
            <w:shd w:val="clear" w:color="auto" w:fill="auto"/>
            <w:vAlign w:val="bottom"/>
          </w:tcPr>
          <w:p w14:paraId="71D43F34" w14:textId="77777777" w:rsidR="006A3667" w:rsidRDefault="006A3667">
            <w:pPr>
              <w:rPr>
                <w:rFonts w:ascii="宋体"/>
                <w:vanish/>
              </w:rPr>
            </w:pPr>
          </w:p>
        </w:tc>
        <w:tc>
          <w:tcPr>
            <w:tcW w:w="0" w:type="auto"/>
            <w:gridSpan w:val="3"/>
            <w:shd w:val="clear" w:color="auto" w:fill="auto"/>
            <w:vAlign w:val="bottom"/>
          </w:tcPr>
          <w:p w14:paraId="71D43F35" w14:textId="77777777" w:rsidR="006A3667" w:rsidRDefault="006A3667">
            <w:pPr>
              <w:rPr>
                <w:rFonts w:ascii="宋体"/>
                <w:vanish/>
              </w:rPr>
            </w:pPr>
          </w:p>
        </w:tc>
        <w:tc>
          <w:tcPr>
            <w:tcW w:w="0" w:type="auto"/>
            <w:gridSpan w:val="3"/>
            <w:shd w:val="clear" w:color="auto" w:fill="auto"/>
            <w:vAlign w:val="bottom"/>
          </w:tcPr>
          <w:p w14:paraId="71D43F36" w14:textId="77777777" w:rsidR="006A3667" w:rsidRDefault="006A3667">
            <w:pPr>
              <w:rPr>
                <w:rFonts w:ascii="宋体"/>
                <w:vanish/>
              </w:rPr>
            </w:pPr>
          </w:p>
        </w:tc>
        <w:tc>
          <w:tcPr>
            <w:tcW w:w="0" w:type="auto"/>
            <w:gridSpan w:val="3"/>
            <w:shd w:val="clear" w:color="auto" w:fill="auto"/>
            <w:vAlign w:val="bottom"/>
          </w:tcPr>
          <w:p w14:paraId="71D43F37" w14:textId="77777777" w:rsidR="006A3667" w:rsidRDefault="006A3667">
            <w:pPr>
              <w:rPr>
                <w:rFonts w:ascii="宋体"/>
                <w:vanish/>
              </w:rPr>
            </w:pPr>
          </w:p>
        </w:tc>
        <w:tc>
          <w:tcPr>
            <w:tcW w:w="0" w:type="auto"/>
            <w:gridSpan w:val="3"/>
            <w:shd w:val="clear" w:color="auto" w:fill="auto"/>
            <w:vAlign w:val="bottom"/>
          </w:tcPr>
          <w:p w14:paraId="71D43F38" w14:textId="77777777" w:rsidR="006A3667" w:rsidRDefault="006A3667">
            <w:pPr>
              <w:rPr>
                <w:rFonts w:ascii="宋体"/>
                <w:vanish/>
              </w:rPr>
            </w:pPr>
          </w:p>
        </w:tc>
        <w:tc>
          <w:tcPr>
            <w:tcW w:w="0" w:type="auto"/>
            <w:gridSpan w:val="3"/>
            <w:shd w:val="clear" w:color="auto" w:fill="auto"/>
            <w:vAlign w:val="bottom"/>
          </w:tcPr>
          <w:p w14:paraId="71D43F39" w14:textId="77777777" w:rsidR="006A3667" w:rsidRDefault="006A3667">
            <w:pPr>
              <w:rPr>
                <w:rFonts w:ascii="宋体"/>
                <w:vanish/>
              </w:rPr>
            </w:pPr>
          </w:p>
        </w:tc>
        <w:tc>
          <w:tcPr>
            <w:tcW w:w="0" w:type="auto"/>
            <w:gridSpan w:val="3"/>
            <w:shd w:val="clear" w:color="auto" w:fill="auto"/>
            <w:vAlign w:val="bottom"/>
          </w:tcPr>
          <w:p w14:paraId="71D43F3A" w14:textId="77777777" w:rsidR="006A3667" w:rsidRDefault="006A3667">
            <w:pPr>
              <w:rPr>
                <w:rFonts w:ascii="宋体"/>
                <w:vanish/>
              </w:rPr>
            </w:pPr>
          </w:p>
        </w:tc>
        <w:tc>
          <w:tcPr>
            <w:tcW w:w="0" w:type="auto"/>
            <w:gridSpan w:val="3"/>
            <w:shd w:val="clear" w:color="auto" w:fill="auto"/>
            <w:vAlign w:val="bottom"/>
          </w:tcPr>
          <w:p w14:paraId="71D43F3B" w14:textId="77777777" w:rsidR="006A3667" w:rsidRDefault="006A3667">
            <w:pPr>
              <w:rPr>
                <w:rFonts w:ascii="宋体"/>
                <w:vanish/>
              </w:rPr>
            </w:pPr>
          </w:p>
        </w:tc>
        <w:tc>
          <w:tcPr>
            <w:tcW w:w="0" w:type="auto"/>
            <w:gridSpan w:val="3"/>
            <w:shd w:val="clear" w:color="auto" w:fill="auto"/>
            <w:vAlign w:val="bottom"/>
          </w:tcPr>
          <w:p w14:paraId="71D43F3C" w14:textId="77777777" w:rsidR="006A3667" w:rsidRDefault="006A3667">
            <w:pPr>
              <w:rPr>
                <w:rFonts w:ascii="宋体"/>
                <w:vanish/>
              </w:rPr>
            </w:pPr>
          </w:p>
        </w:tc>
        <w:tc>
          <w:tcPr>
            <w:tcW w:w="0" w:type="auto"/>
            <w:gridSpan w:val="3"/>
            <w:shd w:val="clear" w:color="auto" w:fill="auto"/>
            <w:vAlign w:val="bottom"/>
          </w:tcPr>
          <w:p w14:paraId="71D43F3D" w14:textId="77777777" w:rsidR="006A3667" w:rsidRDefault="006A3667">
            <w:pPr>
              <w:rPr>
                <w:rFonts w:ascii="宋体"/>
                <w:vanish/>
              </w:rPr>
            </w:pPr>
          </w:p>
        </w:tc>
        <w:tc>
          <w:tcPr>
            <w:tcW w:w="0" w:type="auto"/>
            <w:gridSpan w:val="3"/>
            <w:shd w:val="clear" w:color="auto" w:fill="auto"/>
            <w:vAlign w:val="bottom"/>
          </w:tcPr>
          <w:p w14:paraId="71D43F3E" w14:textId="77777777" w:rsidR="006A3667" w:rsidRDefault="006A3667">
            <w:pPr>
              <w:rPr>
                <w:rFonts w:ascii="宋体"/>
                <w:vanish/>
              </w:rPr>
            </w:pPr>
          </w:p>
        </w:tc>
        <w:tc>
          <w:tcPr>
            <w:tcW w:w="0" w:type="auto"/>
            <w:gridSpan w:val="3"/>
            <w:shd w:val="clear" w:color="auto" w:fill="auto"/>
            <w:vAlign w:val="bottom"/>
          </w:tcPr>
          <w:p w14:paraId="71D43F3F" w14:textId="77777777" w:rsidR="006A3667" w:rsidRDefault="006A3667">
            <w:pPr>
              <w:rPr>
                <w:rFonts w:ascii="宋体"/>
                <w:vanish/>
              </w:rPr>
            </w:pPr>
          </w:p>
        </w:tc>
        <w:tc>
          <w:tcPr>
            <w:tcW w:w="0" w:type="auto"/>
            <w:gridSpan w:val="3"/>
            <w:shd w:val="clear" w:color="auto" w:fill="auto"/>
            <w:vAlign w:val="bottom"/>
          </w:tcPr>
          <w:p w14:paraId="71D43F40" w14:textId="77777777" w:rsidR="006A3667" w:rsidRDefault="006A3667">
            <w:pPr>
              <w:rPr>
                <w:rFonts w:ascii="宋体"/>
                <w:vanish/>
              </w:rPr>
            </w:pPr>
          </w:p>
        </w:tc>
        <w:tc>
          <w:tcPr>
            <w:tcW w:w="0" w:type="auto"/>
            <w:gridSpan w:val="3"/>
            <w:shd w:val="clear" w:color="auto" w:fill="auto"/>
            <w:vAlign w:val="bottom"/>
          </w:tcPr>
          <w:p w14:paraId="71D43F41" w14:textId="77777777" w:rsidR="006A3667" w:rsidRDefault="006A3667">
            <w:pPr>
              <w:rPr>
                <w:rFonts w:ascii="宋体"/>
                <w:vanish/>
              </w:rPr>
            </w:pPr>
          </w:p>
        </w:tc>
        <w:tc>
          <w:tcPr>
            <w:tcW w:w="0" w:type="auto"/>
            <w:gridSpan w:val="3"/>
            <w:shd w:val="clear" w:color="auto" w:fill="auto"/>
            <w:vAlign w:val="bottom"/>
          </w:tcPr>
          <w:p w14:paraId="71D43F42" w14:textId="77777777" w:rsidR="006A3667" w:rsidRDefault="006A3667">
            <w:pPr>
              <w:rPr>
                <w:rFonts w:ascii="宋体"/>
                <w:vanish/>
              </w:rPr>
            </w:pPr>
          </w:p>
        </w:tc>
        <w:tc>
          <w:tcPr>
            <w:tcW w:w="0" w:type="auto"/>
            <w:gridSpan w:val="3"/>
            <w:shd w:val="clear" w:color="auto" w:fill="auto"/>
            <w:vAlign w:val="bottom"/>
          </w:tcPr>
          <w:p w14:paraId="71D43F43" w14:textId="77777777" w:rsidR="006A3667" w:rsidRDefault="006A3667">
            <w:pPr>
              <w:rPr>
                <w:rFonts w:ascii="宋体"/>
                <w:vanish/>
              </w:rPr>
            </w:pPr>
          </w:p>
        </w:tc>
        <w:tc>
          <w:tcPr>
            <w:tcW w:w="0" w:type="auto"/>
            <w:gridSpan w:val="3"/>
            <w:shd w:val="clear" w:color="auto" w:fill="auto"/>
            <w:vAlign w:val="bottom"/>
          </w:tcPr>
          <w:p w14:paraId="71D43F44" w14:textId="77777777" w:rsidR="006A3667" w:rsidRDefault="006A3667">
            <w:pPr>
              <w:rPr>
                <w:rFonts w:ascii="宋体"/>
                <w:vanish/>
              </w:rPr>
            </w:pPr>
          </w:p>
        </w:tc>
        <w:tc>
          <w:tcPr>
            <w:tcW w:w="0" w:type="auto"/>
            <w:gridSpan w:val="3"/>
            <w:shd w:val="clear" w:color="auto" w:fill="auto"/>
            <w:vAlign w:val="bottom"/>
          </w:tcPr>
          <w:p w14:paraId="71D43F45" w14:textId="77777777" w:rsidR="006A3667" w:rsidRDefault="006A3667">
            <w:pPr>
              <w:rPr>
                <w:rFonts w:ascii="宋体"/>
                <w:vanish/>
              </w:rPr>
            </w:pPr>
          </w:p>
        </w:tc>
        <w:tc>
          <w:tcPr>
            <w:tcW w:w="0" w:type="auto"/>
            <w:gridSpan w:val="3"/>
            <w:shd w:val="clear" w:color="auto" w:fill="auto"/>
            <w:vAlign w:val="bottom"/>
          </w:tcPr>
          <w:p w14:paraId="71D43F46" w14:textId="77777777" w:rsidR="006A3667" w:rsidRDefault="006A3667">
            <w:pPr>
              <w:rPr>
                <w:rFonts w:ascii="宋体"/>
                <w:vanish/>
              </w:rPr>
            </w:pPr>
          </w:p>
        </w:tc>
        <w:tc>
          <w:tcPr>
            <w:tcW w:w="0" w:type="auto"/>
            <w:gridSpan w:val="3"/>
            <w:shd w:val="clear" w:color="auto" w:fill="auto"/>
            <w:vAlign w:val="bottom"/>
          </w:tcPr>
          <w:p w14:paraId="71D43F47" w14:textId="77777777" w:rsidR="006A3667" w:rsidRDefault="006A3667">
            <w:pPr>
              <w:rPr>
                <w:rFonts w:ascii="宋体"/>
                <w:vanish/>
              </w:rPr>
            </w:pPr>
          </w:p>
        </w:tc>
        <w:tc>
          <w:tcPr>
            <w:tcW w:w="0" w:type="auto"/>
            <w:gridSpan w:val="2"/>
            <w:shd w:val="clear" w:color="auto" w:fill="auto"/>
            <w:vAlign w:val="bottom"/>
          </w:tcPr>
          <w:p w14:paraId="71D43F48" w14:textId="77777777" w:rsidR="006A3667" w:rsidRDefault="006A3667">
            <w:pPr>
              <w:rPr>
                <w:rFonts w:ascii="宋体"/>
                <w:vanish/>
              </w:rPr>
            </w:pPr>
          </w:p>
        </w:tc>
        <w:tc>
          <w:tcPr>
            <w:tcW w:w="0" w:type="auto"/>
            <w:shd w:val="clear" w:color="auto" w:fill="auto"/>
            <w:vAlign w:val="bottom"/>
          </w:tcPr>
          <w:p w14:paraId="71D43F49" w14:textId="77777777" w:rsidR="006A3667" w:rsidRDefault="006A3667">
            <w:pPr>
              <w:rPr>
                <w:rFonts w:ascii="宋体"/>
                <w:vanish/>
              </w:rPr>
            </w:pPr>
          </w:p>
        </w:tc>
      </w:tr>
      <w:tr w:rsidR="006A3667" w14:paraId="71D43F61" w14:textId="77777777">
        <w:trPr>
          <w:hidden/>
        </w:trPr>
        <w:tc>
          <w:tcPr>
            <w:tcW w:w="0" w:type="auto"/>
            <w:gridSpan w:val="3"/>
            <w:shd w:val="clear" w:color="auto" w:fill="auto"/>
            <w:vAlign w:val="bottom"/>
          </w:tcPr>
          <w:p w14:paraId="71D43F4B" w14:textId="77777777" w:rsidR="006A3667" w:rsidRDefault="006A3667">
            <w:pPr>
              <w:rPr>
                <w:rFonts w:ascii="宋体"/>
                <w:vanish/>
              </w:rPr>
            </w:pPr>
          </w:p>
        </w:tc>
        <w:tc>
          <w:tcPr>
            <w:tcW w:w="0" w:type="auto"/>
            <w:gridSpan w:val="3"/>
            <w:shd w:val="clear" w:color="auto" w:fill="auto"/>
            <w:vAlign w:val="bottom"/>
          </w:tcPr>
          <w:p w14:paraId="71D43F4C" w14:textId="77777777" w:rsidR="006A3667" w:rsidRDefault="006A3667">
            <w:pPr>
              <w:rPr>
                <w:rFonts w:ascii="宋体"/>
                <w:vanish/>
              </w:rPr>
            </w:pPr>
          </w:p>
        </w:tc>
        <w:tc>
          <w:tcPr>
            <w:tcW w:w="0" w:type="auto"/>
            <w:gridSpan w:val="3"/>
            <w:shd w:val="clear" w:color="auto" w:fill="auto"/>
            <w:vAlign w:val="bottom"/>
          </w:tcPr>
          <w:p w14:paraId="71D43F4D" w14:textId="77777777" w:rsidR="006A3667" w:rsidRDefault="006A3667">
            <w:pPr>
              <w:rPr>
                <w:rFonts w:ascii="宋体"/>
                <w:vanish/>
              </w:rPr>
            </w:pPr>
          </w:p>
        </w:tc>
        <w:tc>
          <w:tcPr>
            <w:tcW w:w="0" w:type="auto"/>
            <w:gridSpan w:val="3"/>
            <w:shd w:val="clear" w:color="auto" w:fill="auto"/>
            <w:vAlign w:val="bottom"/>
          </w:tcPr>
          <w:p w14:paraId="71D43F4E" w14:textId="77777777" w:rsidR="006A3667" w:rsidRDefault="006A3667">
            <w:pPr>
              <w:rPr>
                <w:rFonts w:ascii="宋体"/>
                <w:vanish/>
              </w:rPr>
            </w:pPr>
          </w:p>
        </w:tc>
        <w:tc>
          <w:tcPr>
            <w:tcW w:w="0" w:type="auto"/>
            <w:gridSpan w:val="3"/>
            <w:shd w:val="clear" w:color="auto" w:fill="auto"/>
            <w:vAlign w:val="bottom"/>
          </w:tcPr>
          <w:p w14:paraId="71D43F4F" w14:textId="77777777" w:rsidR="006A3667" w:rsidRDefault="006A3667">
            <w:pPr>
              <w:rPr>
                <w:rFonts w:ascii="宋体"/>
                <w:vanish/>
              </w:rPr>
            </w:pPr>
          </w:p>
        </w:tc>
        <w:tc>
          <w:tcPr>
            <w:tcW w:w="0" w:type="auto"/>
            <w:gridSpan w:val="3"/>
            <w:shd w:val="clear" w:color="auto" w:fill="auto"/>
            <w:vAlign w:val="bottom"/>
          </w:tcPr>
          <w:p w14:paraId="71D43F50" w14:textId="77777777" w:rsidR="006A3667" w:rsidRDefault="006A3667">
            <w:pPr>
              <w:rPr>
                <w:rFonts w:ascii="宋体"/>
                <w:vanish/>
              </w:rPr>
            </w:pPr>
          </w:p>
        </w:tc>
        <w:tc>
          <w:tcPr>
            <w:tcW w:w="0" w:type="auto"/>
            <w:gridSpan w:val="3"/>
            <w:shd w:val="clear" w:color="auto" w:fill="auto"/>
            <w:vAlign w:val="bottom"/>
          </w:tcPr>
          <w:p w14:paraId="71D43F51" w14:textId="77777777" w:rsidR="006A3667" w:rsidRDefault="006A3667">
            <w:pPr>
              <w:rPr>
                <w:rFonts w:ascii="宋体"/>
                <w:vanish/>
              </w:rPr>
            </w:pPr>
          </w:p>
        </w:tc>
        <w:tc>
          <w:tcPr>
            <w:tcW w:w="0" w:type="auto"/>
            <w:gridSpan w:val="3"/>
            <w:shd w:val="clear" w:color="auto" w:fill="auto"/>
            <w:vAlign w:val="bottom"/>
          </w:tcPr>
          <w:p w14:paraId="71D43F52" w14:textId="77777777" w:rsidR="006A3667" w:rsidRDefault="006A3667">
            <w:pPr>
              <w:rPr>
                <w:rFonts w:ascii="宋体"/>
                <w:vanish/>
              </w:rPr>
            </w:pPr>
          </w:p>
        </w:tc>
        <w:tc>
          <w:tcPr>
            <w:tcW w:w="0" w:type="auto"/>
            <w:gridSpan w:val="3"/>
            <w:shd w:val="clear" w:color="auto" w:fill="auto"/>
            <w:vAlign w:val="bottom"/>
          </w:tcPr>
          <w:p w14:paraId="71D43F53" w14:textId="77777777" w:rsidR="006A3667" w:rsidRDefault="006A3667">
            <w:pPr>
              <w:rPr>
                <w:rFonts w:ascii="宋体"/>
                <w:vanish/>
              </w:rPr>
            </w:pPr>
          </w:p>
        </w:tc>
        <w:tc>
          <w:tcPr>
            <w:tcW w:w="0" w:type="auto"/>
            <w:gridSpan w:val="3"/>
            <w:shd w:val="clear" w:color="auto" w:fill="auto"/>
            <w:vAlign w:val="bottom"/>
          </w:tcPr>
          <w:p w14:paraId="71D43F54" w14:textId="77777777" w:rsidR="006A3667" w:rsidRDefault="006A3667">
            <w:pPr>
              <w:rPr>
                <w:rFonts w:ascii="宋体"/>
                <w:vanish/>
              </w:rPr>
            </w:pPr>
          </w:p>
        </w:tc>
        <w:tc>
          <w:tcPr>
            <w:tcW w:w="0" w:type="auto"/>
            <w:gridSpan w:val="3"/>
            <w:shd w:val="clear" w:color="auto" w:fill="auto"/>
            <w:vAlign w:val="bottom"/>
          </w:tcPr>
          <w:p w14:paraId="71D43F55" w14:textId="77777777" w:rsidR="006A3667" w:rsidRDefault="006A3667">
            <w:pPr>
              <w:rPr>
                <w:rFonts w:ascii="宋体"/>
                <w:vanish/>
              </w:rPr>
            </w:pPr>
          </w:p>
        </w:tc>
        <w:tc>
          <w:tcPr>
            <w:tcW w:w="0" w:type="auto"/>
            <w:gridSpan w:val="3"/>
            <w:shd w:val="clear" w:color="auto" w:fill="auto"/>
            <w:vAlign w:val="bottom"/>
          </w:tcPr>
          <w:p w14:paraId="71D43F56" w14:textId="77777777" w:rsidR="006A3667" w:rsidRDefault="006A3667">
            <w:pPr>
              <w:rPr>
                <w:rFonts w:ascii="宋体"/>
                <w:vanish/>
              </w:rPr>
            </w:pPr>
          </w:p>
        </w:tc>
        <w:tc>
          <w:tcPr>
            <w:tcW w:w="0" w:type="auto"/>
            <w:gridSpan w:val="3"/>
            <w:shd w:val="clear" w:color="auto" w:fill="auto"/>
            <w:vAlign w:val="bottom"/>
          </w:tcPr>
          <w:p w14:paraId="71D43F57" w14:textId="77777777" w:rsidR="006A3667" w:rsidRDefault="006A3667">
            <w:pPr>
              <w:rPr>
                <w:rFonts w:ascii="宋体"/>
                <w:vanish/>
              </w:rPr>
            </w:pPr>
          </w:p>
        </w:tc>
        <w:tc>
          <w:tcPr>
            <w:tcW w:w="0" w:type="auto"/>
            <w:gridSpan w:val="3"/>
            <w:shd w:val="clear" w:color="auto" w:fill="auto"/>
            <w:vAlign w:val="bottom"/>
          </w:tcPr>
          <w:p w14:paraId="71D43F58" w14:textId="77777777" w:rsidR="006A3667" w:rsidRDefault="006A3667">
            <w:pPr>
              <w:rPr>
                <w:rFonts w:ascii="宋体"/>
                <w:vanish/>
              </w:rPr>
            </w:pPr>
          </w:p>
        </w:tc>
        <w:tc>
          <w:tcPr>
            <w:tcW w:w="0" w:type="auto"/>
            <w:gridSpan w:val="3"/>
            <w:shd w:val="clear" w:color="auto" w:fill="auto"/>
            <w:vAlign w:val="bottom"/>
          </w:tcPr>
          <w:p w14:paraId="71D43F59" w14:textId="77777777" w:rsidR="006A3667" w:rsidRDefault="006A3667">
            <w:pPr>
              <w:rPr>
                <w:rFonts w:ascii="宋体"/>
                <w:vanish/>
              </w:rPr>
            </w:pPr>
          </w:p>
        </w:tc>
        <w:tc>
          <w:tcPr>
            <w:tcW w:w="0" w:type="auto"/>
            <w:gridSpan w:val="3"/>
            <w:shd w:val="clear" w:color="auto" w:fill="auto"/>
            <w:vAlign w:val="bottom"/>
          </w:tcPr>
          <w:p w14:paraId="71D43F5A" w14:textId="77777777" w:rsidR="006A3667" w:rsidRDefault="006A3667">
            <w:pPr>
              <w:rPr>
                <w:rFonts w:ascii="宋体"/>
                <w:vanish/>
              </w:rPr>
            </w:pPr>
          </w:p>
        </w:tc>
        <w:tc>
          <w:tcPr>
            <w:tcW w:w="0" w:type="auto"/>
            <w:gridSpan w:val="3"/>
            <w:shd w:val="clear" w:color="auto" w:fill="auto"/>
            <w:vAlign w:val="bottom"/>
          </w:tcPr>
          <w:p w14:paraId="71D43F5B" w14:textId="77777777" w:rsidR="006A3667" w:rsidRDefault="006A3667">
            <w:pPr>
              <w:rPr>
                <w:rFonts w:ascii="宋体"/>
                <w:vanish/>
              </w:rPr>
            </w:pPr>
          </w:p>
        </w:tc>
        <w:tc>
          <w:tcPr>
            <w:tcW w:w="0" w:type="auto"/>
            <w:gridSpan w:val="3"/>
            <w:shd w:val="clear" w:color="auto" w:fill="auto"/>
            <w:vAlign w:val="bottom"/>
          </w:tcPr>
          <w:p w14:paraId="71D43F5C" w14:textId="77777777" w:rsidR="006A3667" w:rsidRDefault="006A3667">
            <w:pPr>
              <w:rPr>
                <w:rFonts w:ascii="宋体"/>
                <w:vanish/>
              </w:rPr>
            </w:pPr>
          </w:p>
        </w:tc>
        <w:tc>
          <w:tcPr>
            <w:tcW w:w="0" w:type="auto"/>
            <w:gridSpan w:val="3"/>
            <w:shd w:val="clear" w:color="auto" w:fill="auto"/>
            <w:vAlign w:val="bottom"/>
          </w:tcPr>
          <w:p w14:paraId="71D43F5D" w14:textId="77777777" w:rsidR="006A3667" w:rsidRDefault="006A3667">
            <w:pPr>
              <w:rPr>
                <w:rFonts w:ascii="宋体"/>
                <w:vanish/>
              </w:rPr>
            </w:pPr>
          </w:p>
        </w:tc>
        <w:tc>
          <w:tcPr>
            <w:tcW w:w="0" w:type="auto"/>
            <w:gridSpan w:val="3"/>
            <w:shd w:val="clear" w:color="auto" w:fill="auto"/>
            <w:vAlign w:val="bottom"/>
          </w:tcPr>
          <w:p w14:paraId="71D43F5E" w14:textId="77777777" w:rsidR="006A3667" w:rsidRDefault="006A3667">
            <w:pPr>
              <w:rPr>
                <w:rFonts w:ascii="宋体"/>
                <w:vanish/>
              </w:rPr>
            </w:pPr>
          </w:p>
        </w:tc>
        <w:tc>
          <w:tcPr>
            <w:tcW w:w="0" w:type="auto"/>
            <w:gridSpan w:val="2"/>
            <w:shd w:val="clear" w:color="auto" w:fill="auto"/>
            <w:vAlign w:val="bottom"/>
          </w:tcPr>
          <w:p w14:paraId="71D43F5F" w14:textId="77777777" w:rsidR="006A3667" w:rsidRDefault="006A3667">
            <w:pPr>
              <w:rPr>
                <w:rFonts w:ascii="宋体"/>
                <w:vanish/>
              </w:rPr>
            </w:pPr>
          </w:p>
        </w:tc>
        <w:tc>
          <w:tcPr>
            <w:tcW w:w="0" w:type="auto"/>
            <w:shd w:val="clear" w:color="auto" w:fill="auto"/>
            <w:vAlign w:val="bottom"/>
          </w:tcPr>
          <w:p w14:paraId="71D43F60" w14:textId="77777777" w:rsidR="006A3667" w:rsidRDefault="006A3667">
            <w:pPr>
              <w:rPr>
                <w:rFonts w:ascii="宋体"/>
                <w:vanish/>
              </w:rPr>
            </w:pPr>
          </w:p>
        </w:tc>
      </w:tr>
      <w:tr w:rsidR="006A3667" w14:paraId="71D43F78" w14:textId="77777777">
        <w:trPr>
          <w:hidden/>
        </w:trPr>
        <w:tc>
          <w:tcPr>
            <w:tcW w:w="0" w:type="auto"/>
            <w:gridSpan w:val="3"/>
            <w:shd w:val="clear" w:color="auto" w:fill="auto"/>
            <w:vAlign w:val="bottom"/>
          </w:tcPr>
          <w:p w14:paraId="71D43F62" w14:textId="77777777" w:rsidR="006A3667" w:rsidRDefault="006A3667">
            <w:pPr>
              <w:rPr>
                <w:rFonts w:ascii="宋体"/>
                <w:vanish/>
              </w:rPr>
            </w:pPr>
          </w:p>
        </w:tc>
        <w:tc>
          <w:tcPr>
            <w:tcW w:w="0" w:type="auto"/>
            <w:gridSpan w:val="3"/>
            <w:shd w:val="clear" w:color="auto" w:fill="auto"/>
            <w:vAlign w:val="bottom"/>
          </w:tcPr>
          <w:p w14:paraId="71D43F63" w14:textId="77777777" w:rsidR="006A3667" w:rsidRDefault="006A3667">
            <w:pPr>
              <w:rPr>
                <w:rFonts w:ascii="宋体"/>
                <w:vanish/>
              </w:rPr>
            </w:pPr>
          </w:p>
        </w:tc>
        <w:tc>
          <w:tcPr>
            <w:tcW w:w="0" w:type="auto"/>
            <w:gridSpan w:val="3"/>
            <w:shd w:val="clear" w:color="auto" w:fill="auto"/>
            <w:vAlign w:val="bottom"/>
          </w:tcPr>
          <w:p w14:paraId="71D43F64" w14:textId="77777777" w:rsidR="006A3667" w:rsidRDefault="006A3667">
            <w:pPr>
              <w:rPr>
                <w:rFonts w:ascii="宋体"/>
                <w:vanish/>
              </w:rPr>
            </w:pPr>
          </w:p>
        </w:tc>
        <w:tc>
          <w:tcPr>
            <w:tcW w:w="0" w:type="auto"/>
            <w:gridSpan w:val="3"/>
            <w:shd w:val="clear" w:color="auto" w:fill="auto"/>
            <w:vAlign w:val="bottom"/>
          </w:tcPr>
          <w:p w14:paraId="71D43F65" w14:textId="77777777" w:rsidR="006A3667" w:rsidRDefault="006A3667">
            <w:pPr>
              <w:rPr>
                <w:rFonts w:ascii="宋体"/>
                <w:vanish/>
              </w:rPr>
            </w:pPr>
          </w:p>
        </w:tc>
        <w:tc>
          <w:tcPr>
            <w:tcW w:w="0" w:type="auto"/>
            <w:gridSpan w:val="3"/>
            <w:shd w:val="clear" w:color="auto" w:fill="auto"/>
            <w:vAlign w:val="bottom"/>
          </w:tcPr>
          <w:p w14:paraId="71D43F66" w14:textId="77777777" w:rsidR="006A3667" w:rsidRDefault="006A3667">
            <w:pPr>
              <w:rPr>
                <w:rFonts w:ascii="宋体"/>
                <w:vanish/>
              </w:rPr>
            </w:pPr>
          </w:p>
        </w:tc>
        <w:tc>
          <w:tcPr>
            <w:tcW w:w="0" w:type="auto"/>
            <w:gridSpan w:val="3"/>
            <w:shd w:val="clear" w:color="auto" w:fill="auto"/>
            <w:vAlign w:val="bottom"/>
          </w:tcPr>
          <w:p w14:paraId="71D43F67" w14:textId="77777777" w:rsidR="006A3667" w:rsidRDefault="006A3667">
            <w:pPr>
              <w:rPr>
                <w:rFonts w:ascii="宋体"/>
                <w:vanish/>
              </w:rPr>
            </w:pPr>
          </w:p>
        </w:tc>
        <w:tc>
          <w:tcPr>
            <w:tcW w:w="0" w:type="auto"/>
            <w:gridSpan w:val="3"/>
            <w:shd w:val="clear" w:color="auto" w:fill="auto"/>
            <w:vAlign w:val="bottom"/>
          </w:tcPr>
          <w:p w14:paraId="71D43F68" w14:textId="77777777" w:rsidR="006A3667" w:rsidRDefault="006A3667">
            <w:pPr>
              <w:rPr>
                <w:rFonts w:ascii="宋体"/>
                <w:vanish/>
              </w:rPr>
            </w:pPr>
          </w:p>
        </w:tc>
        <w:tc>
          <w:tcPr>
            <w:tcW w:w="0" w:type="auto"/>
            <w:gridSpan w:val="3"/>
            <w:shd w:val="clear" w:color="auto" w:fill="auto"/>
            <w:vAlign w:val="bottom"/>
          </w:tcPr>
          <w:p w14:paraId="71D43F69" w14:textId="77777777" w:rsidR="006A3667" w:rsidRDefault="006A3667">
            <w:pPr>
              <w:rPr>
                <w:rFonts w:ascii="宋体"/>
                <w:vanish/>
              </w:rPr>
            </w:pPr>
          </w:p>
        </w:tc>
        <w:tc>
          <w:tcPr>
            <w:tcW w:w="0" w:type="auto"/>
            <w:gridSpan w:val="3"/>
            <w:shd w:val="clear" w:color="auto" w:fill="auto"/>
            <w:vAlign w:val="bottom"/>
          </w:tcPr>
          <w:p w14:paraId="71D43F6A" w14:textId="77777777" w:rsidR="006A3667" w:rsidRDefault="006A3667">
            <w:pPr>
              <w:rPr>
                <w:rFonts w:ascii="宋体"/>
                <w:vanish/>
              </w:rPr>
            </w:pPr>
          </w:p>
        </w:tc>
        <w:tc>
          <w:tcPr>
            <w:tcW w:w="0" w:type="auto"/>
            <w:gridSpan w:val="3"/>
            <w:shd w:val="clear" w:color="auto" w:fill="auto"/>
            <w:vAlign w:val="bottom"/>
          </w:tcPr>
          <w:p w14:paraId="71D43F6B" w14:textId="77777777" w:rsidR="006A3667" w:rsidRDefault="006A3667">
            <w:pPr>
              <w:rPr>
                <w:rFonts w:ascii="宋体"/>
                <w:vanish/>
              </w:rPr>
            </w:pPr>
          </w:p>
        </w:tc>
        <w:tc>
          <w:tcPr>
            <w:tcW w:w="0" w:type="auto"/>
            <w:gridSpan w:val="3"/>
            <w:shd w:val="clear" w:color="auto" w:fill="auto"/>
            <w:vAlign w:val="bottom"/>
          </w:tcPr>
          <w:p w14:paraId="71D43F6C" w14:textId="77777777" w:rsidR="006A3667" w:rsidRDefault="006A3667">
            <w:pPr>
              <w:rPr>
                <w:rFonts w:ascii="宋体"/>
                <w:vanish/>
              </w:rPr>
            </w:pPr>
          </w:p>
        </w:tc>
        <w:tc>
          <w:tcPr>
            <w:tcW w:w="0" w:type="auto"/>
            <w:gridSpan w:val="3"/>
            <w:shd w:val="clear" w:color="auto" w:fill="auto"/>
            <w:vAlign w:val="bottom"/>
          </w:tcPr>
          <w:p w14:paraId="71D43F6D" w14:textId="77777777" w:rsidR="006A3667" w:rsidRDefault="006A3667">
            <w:pPr>
              <w:rPr>
                <w:rFonts w:ascii="宋体"/>
                <w:vanish/>
              </w:rPr>
            </w:pPr>
          </w:p>
        </w:tc>
        <w:tc>
          <w:tcPr>
            <w:tcW w:w="0" w:type="auto"/>
            <w:gridSpan w:val="3"/>
            <w:shd w:val="clear" w:color="auto" w:fill="auto"/>
            <w:vAlign w:val="bottom"/>
          </w:tcPr>
          <w:p w14:paraId="71D43F6E" w14:textId="77777777" w:rsidR="006A3667" w:rsidRDefault="006A3667">
            <w:pPr>
              <w:rPr>
                <w:rFonts w:ascii="宋体"/>
                <w:vanish/>
              </w:rPr>
            </w:pPr>
          </w:p>
        </w:tc>
        <w:tc>
          <w:tcPr>
            <w:tcW w:w="0" w:type="auto"/>
            <w:gridSpan w:val="3"/>
            <w:shd w:val="clear" w:color="auto" w:fill="auto"/>
            <w:vAlign w:val="bottom"/>
          </w:tcPr>
          <w:p w14:paraId="71D43F6F" w14:textId="77777777" w:rsidR="006A3667" w:rsidRDefault="006A3667">
            <w:pPr>
              <w:rPr>
                <w:rFonts w:ascii="宋体"/>
                <w:vanish/>
              </w:rPr>
            </w:pPr>
          </w:p>
        </w:tc>
        <w:tc>
          <w:tcPr>
            <w:tcW w:w="0" w:type="auto"/>
            <w:gridSpan w:val="3"/>
            <w:shd w:val="clear" w:color="auto" w:fill="auto"/>
            <w:vAlign w:val="bottom"/>
          </w:tcPr>
          <w:p w14:paraId="71D43F70" w14:textId="77777777" w:rsidR="006A3667" w:rsidRDefault="006A3667">
            <w:pPr>
              <w:rPr>
                <w:rFonts w:ascii="宋体"/>
                <w:vanish/>
              </w:rPr>
            </w:pPr>
          </w:p>
        </w:tc>
        <w:tc>
          <w:tcPr>
            <w:tcW w:w="0" w:type="auto"/>
            <w:gridSpan w:val="3"/>
            <w:shd w:val="clear" w:color="auto" w:fill="auto"/>
            <w:vAlign w:val="bottom"/>
          </w:tcPr>
          <w:p w14:paraId="71D43F71" w14:textId="77777777" w:rsidR="006A3667" w:rsidRDefault="006A3667">
            <w:pPr>
              <w:rPr>
                <w:rFonts w:ascii="宋体"/>
                <w:vanish/>
              </w:rPr>
            </w:pPr>
          </w:p>
        </w:tc>
        <w:tc>
          <w:tcPr>
            <w:tcW w:w="0" w:type="auto"/>
            <w:gridSpan w:val="3"/>
            <w:shd w:val="clear" w:color="auto" w:fill="auto"/>
            <w:vAlign w:val="bottom"/>
          </w:tcPr>
          <w:p w14:paraId="71D43F72" w14:textId="77777777" w:rsidR="006A3667" w:rsidRDefault="006A3667">
            <w:pPr>
              <w:rPr>
                <w:rFonts w:ascii="宋体"/>
                <w:vanish/>
              </w:rPr>
            </w:pPr>
          </w:p>
        </w:tc>
        <w:tc>
          <w:tcPr>
            <w:tcW w:w="0" w:type="auto"/>
            <w:gridSpan w:val="3"/>
            <w:shd w:val="clear" w:color="auto" w:fill="auto"/>
            <w:vAlign w:val="bottom"/>
          </w:tcPr>
          <w:p w14:paraId="71D43F73" w14:textId="77777777" w:rsidR="006A3667" w:rsidRDefault="006A3667">
            <w:pPr>
              <w:rPr>
                <w:rFonts w:ascii="宋体"/>
                <w:vanish/>
              </w:rPr>
            </w:pPr>
          </w:p>
        </w:tc>
        <w:tc>
          <w:tcPr>
            <w:tcW w:w="0" w:type="auto"/>
            <w:gridSpan w:val="3"/>
            <w:shd w:val="clear" w:color="auto" w:fill="auto"/>
            <w:vAlign w:val="bottom"/>
          </w:tcPr>
          <w:p w14:paraId="71D43F74" w14:textId="77777777" w:rsidR="006A3667" w:rsidRDefault="006A3667">
            <w:pPr>
              <w:rPr>
                <w:rFonts w:ascii="宋体"/>
                <w:vanish/>
              </w:rPr>
            </w:pPr>
          </w:p>
        </w:tc>
        <w:tc>
          <w:tcPr>
            <w:tcW w:w="0" w:type="auto"/>
            <w:gridSpan w:val="3"/>
            <w:shd w:val="clear" w:color="auto" w:fill="auto"/>
            <w:vAlign w:val="bottom"/>
          </w:tcPr>
          <w:p w14:paraId="71D43F75" w14:textId="77777777" w:rsidR="006A3667" w:rsidRDefault="006A3667">
            <w:pPr>
              <w:rPr>
                <w:rFonts w:ascii="宋体"/>
                <w:vanish/>
              </w:rPr>
            </w:pPr>
          </w:p>
        </w:tc>
        <w:tc>
          <w:tcPr>
            <w:tcW w:w="0" w:type="auto"/>
            <w:gridSpan w:val="2"/>
            <w:shd w:val="clear" w:color="auto" w:fill="auto"/>
            <w:vAlign w:val="bottom"/>
          </w:tcPr>
          <w:p w14:paraId="71D43F76" w14:textId="77777777" w:rsidR="006A3667" w:rsidRDefault="006A3667">
            <w:pPr>
              <w:rPr>
                <w:rFonts w:ascii="宋体"/>
                <w:vanish/>
              </w:rPr>
            </w:pPr>
          </w:p>
        </w:tc>
        <w:tc>
          <w:tcPr>
            <w:tcW w:w="0" w:type="auto"/>
            <w:shd w:val="clear" w:color="auto" w:fill="auto"/>
            <w:vAlign w:val="bottom"/>
          </w:tcPr>
          <w:p w14:paraId="71D43F77" w14:textId="77777777" w:rsidR="006A3667" w:rsidRDefault="006A3667">
            <w:pPr>
              <w:rPr>
                <w:rFonts w:ascii="宋体"/>
                <w:vanish/>
              </w:rPr>
            </w:pPr>
          </w:p>
        </w:tc>
      </w:tr>
      <w:tr w:rsidR="006A3667" w14:paraId="71D43F8F" w14:textId="77777777">
        <w:trPr>
          <w:hidden/>
        </w:trPr>
        <w:tc>
          <w:tcPr>
            <w:tcW w:w="0" w:type="auto"/>
            <w:gridSpan w:val="3"/>
            <w:shd w:val="clear" w:color="auto" w:fill="auto"/>
            <w:vAlign w:val="bottom"/>
          </w:tcPr>
          <w:p w14:paraId="71D43F79" w14:textId="77777777" w:rsidR="006A3667" w:rsidRDefault="006A3667">
            <w:pPr>
              <w:rPr>
                <w:rFonts w:ascii="宋体"/>
                <w:vanish/>
              </w:rPr>
            </w:pPr>
          </w:p>
        </w:tc>
        <w:tc>
          <w:tcPr>
            <w:tcW w:w="0" w:type="auto"/>
            <w:gridSpan w:val="3"/>
            <w:shd w:val="clear" w:color="auto" w:fill="auto"/>
            <w:vAlign w:val="bottom"/>
          </w:tcPr>
          <w:p w14:paraId="71D43F7A" w14:textId="77777777" w:rsidR="006A3667" w:rsidRDefault="006A3667">
            <w:pPr>
              <w:rPr>
                <w:rFonts w:ascii="宋体"/>
                <w:vanish/>
              </w:rPr>
            </w:pPr>
          </w:p>
        </w:tc>
        <w:tc>
          <w:tcPr>
            <w:tcW w:w="0" w:type="auto"/>
            <w:gridSpan w:val="3"/>
            <w:shd w:val="clear" w:color="auto" w:fill="auto"/>
            <w:vAlign w:val="bottom"/>
          </w:tcPr>
          <w:p w14:paraId="71D43F7B" w14:textId="77777777" w:rsidR="006A3667" w:rsidRDefault="006A3667">
            <w:pPr>
              <w:rPr>
                <w:rFonts w:ascii="宋体"/>
                <w:vanish/>
              </w:rPr>
            </w:pPr>
          </w:p>
        </w:tc>
        <w:tc>
          <w:tcPr>
            <w:tcW w:w="0" w:type="auto"/>
            <w:gridSpan w:val="3"/>
            <w:shd w:val="clear" w:color="auto" w:fill="auto"/>
            <w:vAlign w:val="bottom"/>
          </w:tcPr>
          <w:p w14:paraId="71D43F7C" w14:textId="77777777" w:rsidR="006A3667" w:rsidRDefault="006A3667">
            <w:pPr>
              <w:rPr>
                <w:rFonts w:ascii="宋体"/>
                <w:vanish/>
              </w:rPr>
            </w:pPr>
          </w:p>
        </w:tc>
        <w:tc>
          <w:tcPr>
            <w:tcW w:w="0" w:type="auto"/>
            <w:gridSpan w:val="3"/>
            <w:shd w:val="clear" w:color="auto" w:fill="auto"/>
            <w:vAlign w:val="bottom"/>
          </w:tcPr>
          <w:p w14:paraId="71D43F7D" w14:textId="77777777" w:rsidR="006A3667" w:rsidRDefault="006A3667">
            <w:pPr>
              <w:rPr>
                <w:rFonts w:ascii="宋体"/>
                <w:vanish/>
              </w:rPr>
            </w:pPr>
          </w:p>
        </w:tc>
        <w:tc>
          <w:tcPr>
            <w:tcW w:w="0" w:type="auto"/>
            <w:gridSpan w:val="3"/>
            <w:shd w:val="clear" w:color="auto" w:fill="auto"/>
            <w:vAlign w:val="bottom"/>
          </w:tcPr>
          <w:p w14:paraId="71D43F7E" w14:textId="77777777" w:rsidR="006A3667" w:rsidRDefault="006A3667">
            <w:pPr>
              <w:rPr>
                <w:rFonts w:ascii="宋体"/>
                <w:vanish/>
              </w:rPr>
            </w:pPr>
          </w:p>
        </w:tc>
        <w:tc>
          <w:tcPr>
            <w:tcW w:w="0" w:type="auto"/>
            <w:gridSpan w:val="3"/>
            <w:shd w:val="clear" w:color="auto" w:fill="auto"/>
            <w:vAlign w:val="bottom"/>
          </w:tcPr>
          <w:p w14:paraId="71D43F7F" w14:textId="77777777" w:rsidR="006A3667" w:rsidRDefault="006A3667">
            <w:pPr>
              <w:rPr>
                <w:rFonts w:ascii="宋体"/>
                <w:vanish/>
              </w:rPr>
            </w:pPr>
          </w:p>
        </w:tc>
        <w:tc>
          <w:tcPr>
            <w:tcW w:w="0" w:type="auto"/>
            <w:gridSpan w:val="3"/>
            <w:shd w:val="clear" w:color="auto" w:fill="auto"/>
            <w:vAlign w:val="bottom"/>
          </w:tcPr>
          <w:p w14:paraId="71D43F80" w14:textId="77777777" w:rsidR="006A3667" w:rsidRDefault="006A3667">
            <w:pPr>
              <w:rPr>
                <w:rFonts w:ascii="宋体"/>
                <w:vanish/>
              </w:rPr>
            </w:pPr>
          </w:p>
        </w:tc>
        <w:tc>
          <w:tcPr>
            <w:tcW w:w="0" w:type="auto"/>
            <w:gridSpan w:val="3"/>
            <w:shd w:val="clear" w:color="auto" w:fill="auto"/>
            <w:vAlign w:val="bottom"/>
          </w:tcPr>
          <w:p w14:paraId="71D43F81" w14:textId="77777777" w:rsidR="006A3667" w:rsidRDefault="006A3667">
            <w:pPr>
              <w:rPr>
                <w:rFonts w:ascii="宋体"/>
                <w:vanish/>
              </w:rPr>
            </w:pPr>
          </w:p>
        </w:tc>
        <w:tc>
          <w:tcPr>
            <w:tcW w:w="0" w:type="auto"/>
            <w:gridSpan w:val="3"/>
            <w:shd w:val="clear" w:color="auto" w:fill="auto"/>
            <w:vAlign w:val="bottom"/>
          </w:tcPr>
          <w:p w14:paraId="71D43F82" w14:textId="77777777" w:rsidR="006A3667" w:rsidRDefault="006A3667">
            <w:pPr>
              <w:rPr>
                <w:rFonts w:ascii="宋体"/>
                <w:vanish/>
              </w:rPr>
            </w:pPr>
          </w:p>
        </w:tc>
        <w:tc>
          <w:tcPr>
            <w:tcW w:w="0" w:type="auto"/>
            <w:gridSpan w:val="3"/>
            <w:shd w:val="clear" w:color="auto" w:fill="auto"/>
            <w:vAlign w:val="bottom"/>
          </w:tcPr>
          <w:p w14:paraId="71D43F83" w14:textId="77777777" w:rsidR="006A3667" w:rsidRDefault="006A3667">
            <w:pPr>
              <w:rPr>
                <w:rFonts w:ascii="宋体"/>
                <w:vanish/>
              </w:rPr>
            </w:pPr>
          </w:p>
        </w:tc>
        <w:tc>
          <w:tcPr>
            <w:tcW w:w="0" w:type="auto"/>
            <w:gridSpan w:val="3"/>
            <w:shd w:val="clear" w:color="auto" w:fill="auto"/>
            <w:vAlign w:val="bottom"/>
          </w:tcPr>
          <w:p w14:paraId="71D43F84" w14:textId="77777777" w:rsidR="006A3667" w:rsidRDefault="006A3667">
            <w:pPr>
              <w:rPr>
                <w:rFonts w:ascii="宋体"/>
                <w:vanish/>
              </w:rPr>
            </w:pPr>
          </w:p>
        </w:tc>
        <w:tc>
          <w:tcPr>
            <w:tcW w:w="0" w:type="auto"/>
            <w:gridSpan w:val="3"/>
            <w:shd w:val="clear" w:color="auto" w:fill="auto"/>
            <w:vAlign w:val="bottom"/>
          </w:tcPr>
          <w:p w14:paraId="71D43F85" w14:textId="77777777" w:rsidR="006A3667" w:rsidRDefault="006A3667">
            <w:pPr>
              <w:rPr>
                <w:rFonts w:ascii="宋体"/>
                <w:vanish/>
              </w:rPr>
            </w:pPr>
          </w:p>
        </w:tc>
        <w:tc>
          <w:tcPr>
            <w:tcW w:w="0" w:type="auto"/>
            <w:gridSpan w:val="3"/>
            <w:shd w:val="clear" w:color="auto" w:fill="auto"/>
            <w:vAlign w:val="bottom"/>
          </w:tcPr>
          <w:p w14:paraId="71D43F86" w14:textId="77777777" w:rsidR="006A3667" w:rsidRDefault="006A3667">
            <w:pPr>
              <w:rPr>
                <w:rFonts w:ascii="宋体"/>
                <w:vanish/>
              </w:rPr>
            </w:pPr>
          </w:p>
        </w:tc>
        <w:tc>
          <w:tcPr>
            <w:tcW w:w="0" w:type="auto"/>
            <w:gridSpan w:val="3"/>
            <w:shd w:val="clear" w:color="auto" w:fill="auto"/>
            <w:vAlign w:val="bottom"/>
          </w:tcPr>
          <w:p w14:paraId="71D43F87" w14:textId="77777777" w:rsidR="006A3667" w:rsidRDefault="006A3667">
            <w:pPr>
              <w:rPr>
                <w:rFonts w:ascii="宋体"/>
                <w:vanish/>
              </w:rPr>
            </w:pPr>
          </w:p>
        </w:tc>
        <w:tc>
          <w:tcPr>
            <w:tcW w:w="0" w:type="auto"/>
            <w:gridSpan w:val="3"/>
            <w:shd w:val="clear" w:color="auto" w:fill="auto"/>
            <w:vAlign w:val="bottom"/>
          </w:tcPr>
          <w:p w14:paraId="71D43F88" w14:textId="77777777" w:rsidR="006A3667" w:rsidRDefault="006A3667">
            <w:pPr>
              <w:rPr>
                <w:rFonts w:ascii="宋体"/>
                <w:vanish/>
              </w:rPr>
            </w:pPr>
          </w:p>
        </w:tc>
        <w:tc>
          <w:tcPr>
            <w:tcW w:w="0" w:type="auto"/>
            <w:gridSpan w:val="3"/>
            <w:shd w:val="clear" w:color="auto" w:fill="auto"/>
            <w:vAlign w:val="bottom"/>
          </w:tcPr>
          <w:p w14:paraId="71D43F89" w14:textId="77777777" w:rsidR="006A3667" w:rsidRDefault="006A3667">
            <w:pPr>
              <w:rPr>
                <w:rFonts w:ascii="宋体"/>
                <w:vanish/>
              </w:rPr>
            </w:pPr>
          </w:p>
        </w:tc>
        <w:tc>
          <w:tcPr>
            <w:tcW w:w="0" w:type="auto"/>
            <w:gridSpan w:val="3"/>
            <w:shd w:val="clear" w:color="auto" w:fill="auto"/>
            <w:vAlign w:val="bottom"/>
          </w:tcPr>
          <w:p w14:paraId="71D43F8A" w14:textId="77777777" w:rsidR="006A3667" w:rsidRDefault="006A3667">
            <w:pPr>
              <w:rPr>
                <w:rFonts w:ascii="宋体"/>
                <w:vanish/>
              </w:rPr>
            </w:pPr>
          </w:p>
        </w:tc>
        <w:tc>
          <w:tcPr>
            <w:tcW w:w="0" w:type="auto"/>
            <w:gridSpan w:val="3"/>
            <w:shd w:val="clear" w:color="auto" w:fill="auto"/>
            <w:vAlign w:val="bottom"/>
          </w:tcPr>
          <w:p w14:paraId="71D43F8B" w14:textId="77777777" w:rsidR="006A3667" w:rsidRDefault="006A3667">
            <w:pPr>
              <w:rPr>
                <w:rFonts w:ascii="宋体"/>
                <w:vanish/>
              </w:rPr>
            </w:pPr>
          </w:p>
        </w:tc>
        <w:tc>
          <w:tcPr>
            <w:tcW w:w="0" w:type="auto"/>
            <w:gridSpan w:val="3"/>
            <w:shd w:val="clear" w:color="auto" w:fill="auto"/>
            <w:vAlign w:val="bottom"/>
          </w:tcPr>
          <w:p w14:paraId="71D43F8C" w14:textId="77777777" w:rsidR="006A3667" w:rsidRDefault="006A3667">
            <w:pPr>
              <w:rPr>
                <w:rFonts w:ascii="宋体"/>
                <w:vanish/>
              </w:rPr>
            </w:pPr>
          </w:p>
        </w:tc>
        <w:tc>
          <w:tcPr>
            <w:tcW w:w="0" w:type="auto"/>
            <w:gridSpan w:val="2"/>
            <w:shd w:val="clear" w:color="auto" w:fill="auto"/>
            <w:vAlign w:val="bottom"/>
          </w:tcPr>
          <w:p w14:paraId="71D43F8D" w14:textId="77777777" w:rsidR="006A3667" w:rsidRDefault="006A3667">
            <w:pPr>
              <w:rPr>
                <w:rFonts w:ascii="宋体"/>
                <w:vanish/>
              </w:rPr>
            </w:pPr>
          </w:p>
        </w:tc>
        <w:tc>
          <w:tcPr>
            <w:tcW w:w="0" w:type="auto"/>
            <w:shd w:val="clear" w:color="auto" w:fill="auto"/>
            <w:vAlign w:val="bottom"/>
          </w:tcPr>
          <w:p w14:paraId="71D43F8E" w14:textId="77777777" w:rsidR="006A3667" w:rsidRDefault="006A3667">
            <w:pPr>
              <w:rPr>
                <w:rFonts w:ascii="宋体"/>
                <w:vanish/>
              </w:rPr>
            </w:pPr>
          </w:p>
        </w:tc>
      </w:tr>
      <w:tr w:rsidR="006A3667" w14:paraId="71D43FA6" w14:textId="77777777">
        <w:trPr>
          <w:hidden/>
        </w:trPr>
        <w:tc>
          <w:tcPr>
            <w:tcW w:w="0" w:type="auto"/>
            <w:gridSpan w:val="3"/>
            <w:shd w:val="clear" w:color="auto" w:fill="auto"/>
            <w:vAlign w:val="bottom"/>
          </w:tcPr>
          <w:p w14:paraId="71D43F90" w14:textId="77777777" w:rsidR="006A3667" w:rsidRDefault="006A3667">
            <w:pPr>
              <w:rPr>
                <w:rFonts w:ascii="宋体"/>
                <w:vanish/>
              </w:rPr>
            </w:pPr>
          </w:p>
        </w:tc>
        <w:tc>
          <w:tcPr>
            <w:tcW w:w="0" w:type="auto"/>
            <w:gridSpan w:val="3"/>
            <w:shd w:val="clear" w:color="auto" w:fill="auto"/>
            <w:vAlign w:val="bottom"/>
          </w:tcPr>
          <w:p w14:paraId="71D43F91" w14:textId="77777777" w:rsidR="006A3667" w:rsidRDefault="006A3667">
            <w:pPr>
              <w:rPr>
                <w:rFonts w:ascii="宋体"/>
                <w:vanish/>
              </w:rPr>
            </w:pPr>
          </w:p>
        </w:tc>
        <w:tc>
          <w:tcPr>
            <w:tcW w:w="0" w:type="auto"/>
            <w:gridSpan w:val="3"/>
            <w:shd w:val="clear" w:color="auto" w:fill="auto"/>
            <w:vAlign w:val="bottom"/>
          </w:tcPr>
          <w:p w14:paraId="71D43F92" w14:textId="77777777" w:rsidR="006A3667" w:rsidRDefault="006A3667">
            <w:pPr>
              <w:rPr>
                <w:rFonts w:ascii="宋体"/>
                <w:vanish/>
              </w:rPr>
            </w:pPr>
          </w:p>
        </w:tc>
        <w:tc>
          <w:tcPr>
            <w:tcW w:w="0" w:type="auto"/>
            <w:gridSpan w:val="3"/>
            <w:shd w:val="clear" w:color="auto" w:fill="auto"/>
            <w:vAlign w:val="bottom"/>
          </w:tcPr>
          <w:p w14:paraId="71D43F93" w14:textId="77777777" w:rsidR="006A3667" w:rsidRDefault="006A3667">
            <w:pPr>
              <w:rPr>
                <w:rFonts w:ascii="宋体"/>
                <w:vanish/>
              </w:rPr>
            </w:pPr>
          </w:p>
        </w:tc>
        <w:tc>
          <w:tcPr>
            <w:tcW w:w="0" w:type="auto"/>
            <w:gridSpan w:val="3"/>
            <w:shd w:val="clear" w:color="auto" w:fill="auto"/>
            <w:vAlign w:val="bottom"/>
          </w:tcPr>
          <w:p w14:paraId="71D43F94" w14:textId="77777777" w:rsidR="006A3667" w:rsidRDefault="006A3667">
            <w:pPr>
              <w:rPr>
                <w:rFonts w:ascii="宋体"/>
                <w:vanish/>
              </w:rPr>
            </w:pPr>
          </w:p>
        </w:tc>
        <w:tc>
          <w:tcPr>
            <w:tcW w:w="0" w:type="auto"/>
            <w:gridSpan w:val="3"/>
            <w:shd w:val="clear" w:color="auto" w:fill="auto"/>
            <w:vAlign w:val="bottom"/>
          </w:tcPr>
          <w:p w14:paraId="71D43F95" w14:textId="77777777" w:rsidR="006A3667" w:rsidRDefault="006A3667">
            <w:pPr>
              <w:rPr>
                <w:rFonts w:ascii="宋体"/>
                <w:vanish/>
              </w:rPr>
            </w:pPr>
          </w:p>
        </w:tc>
        <w:tc>
          <w:tcPr>
            <w:tcW w:w="0" w:type="auto"/>
            <w:gridSpan w:val="3"/>
            <w:shd w:val="clear" w:color="auto" w:fill="auto"/>
            <w:vAlign w:val="bottom"/>
          </w:tcPr>
          <w:p w14:paraId="71D43F96" w14:textId="77777777" w:rsidR="006A3667" w:rsidRDefault="006A3667">
            <w:pPr>
              <w:rPr>
                <w:rFonts w:ascii="宋体"/>
                <w:vanish/>
              </w:rPr>
            </w:pPr>
          </w:p>
        </w:tc>
        <w:tc>
          <w:tcPr>
            <w:tcW w:w="0" w:type="auto"/>
            <w:gridSpan w:val="3"/>
            <w:shd w:val="clear" w:color="auto" w:fill="auto"/>
            <w:vAlign w:val="bottom"/>
          </w:tcPr>
          <w:p w14:paraId="71D43F97" w14:textId="77777777" w:rsidR="006A3667" w:rsidRDefault="006A3667">
            <w:pPr>
              <w:rPr>
                <w:rFonts w:ascii="宋体"/>
                <w:vanish/>
              </w:rPr>
            </w:pPr>
          </w:p>
        </w:tc>
        <w:tc>
          <w:tcPr>
            <w:tcW w:w="0" w:type="auto"/>
            <w:gridSpan w:val="3"/>
            <w:shd w:val="clear" w:color="auto" w:fill="auto"/>
            <w:vAlign w:val="bottom"/>
          </w:tcPr>
          <w:p w14:paraId="71D43F98" w14:textId="77777777" w:rsidR="006A3667" w:rsidRDefault="006A3667">
            <w:pPr>
              <w:rPr>
                <w:rFonts w:ascii="宋体"/>
                <w:vanish/>
              </w:rPr>
            </w:pPr>
          </w:p>
        </w:tc>
        <w:tc>
          <w:tcPr>
            <w:tcW w:w="0" w:type="auto"/>
            <w:gridSpan w:val="3"/>
            <w:shd w:val="clear" w:color="auto" w:fill="auto"/>
            <w:vAlign w:val="bottom"/>
          </w:tcPr>
          <w:p w14:paraId="71D43F99" w14:textId="77777777" w:rsidR="006A3667" w:rsidRDefault="006A3667">
            <w:pPr>
              <w:rPr>
                <w:rFonts w:ascii="宋体"/>
                <w:vanish/>
              </w:rPr>
            </w:pPr>
          </w:p>
        </w:tc>
        <w:tc>
          <w:tcPr>
            <w:tcW w:w="0" w:type="auto"/>
            <w:gridSpan w:val="3"/>
            <w:shd w:val="clear" w:color="auto" w:fill="auto"/>
            <w:vAlign w:val="bottom"/>
          </w:tcPr>
          <w:p w14:paraId="71D43F9A" w14:textId="77777777" w:rsidR="006A3667" w:rsidRDefault="006A3667">
            <w:pPr>
              <w:rPr>
                <w:rFonts w:ascii="宋体"/>
                <w:vanish/>
              </w:rPr>
            </w:pPr>
          </w:p>
        </w:tc>
        <w:tc>
          <w:tcPr>
            <w:tcW w:w="0" w:type="auto"/>
            <w:gridSpan w:val="3"/>
            <w:shd w:val="clear" w:color="auto" w:fill="auto"/>
            <w:vAlign w:val="bottom"/>
          </w:tcPr>
          <w:p w14:paraId="71D43F9B" w14:textId="77777777" w:rsidR="006A3667" w:rsidRDefault="006A3667">
            <w:pPr>
              <w:rPr>
                <w:rFonts w:ascii="宋体"/>
                <w:vanish/>
              </w:rPr>
            </w:pPr>
          </w:p>
        </w:tc>
        <w:tc>
          <w:tcPr>
            <w:tcW w:w="0" w:type="auto"/>
            <w:gridSpan w:val="3"/>
            <w:shd w:val="clear" w:color="auto" w:fill="auto"/>
            <w:vAlign w:val="bottom"/>
          </w:tcPr>
          <w:p w14:paraId="71D43F9C" w14:textId="77777777" w:rsidR="006A3667" w:rsidRDefault="006A3667">
            <w:pPr>
              <w:rPr>
                <w:rFonts w:ascii="宋体"/>
                <w:vanish/>
              </w:rPr>
            </w:pPr>
          </w:p>
        </w:tc>
        <w:tc>
          <w:tcPr>
            <w:tcW w:w="0" w:type="auto"/>
            <w:gridSpan w:val="3"/>
            <w:shd w:val="clear" w:color="auto" w:fill="auto"/>
            <w:vAlign w:val="bottom"/>
          </w:tcPr>
          <w:p w14:paraId="71D43F9D" w14:textId="77777777" w:rsidR="006A3667" w:rsidRDefault="006A3667">
            <w:pPr>
              <w:rPr>
                <w:rFonts w:ascii="宋体"/>
                <w:vanish/>
              </w:rPr>
            </w:pPr>
          </w:p>
        </w:tc>
        <w:tc>
          <w:tcPr>
            <w:tcW w:w="0" w:type="auto"/>
            <w:gridSpan w:val="3"/>
            <w:shd w:val="clear" w:color="auto" w:fill="auto"/>
            <w:vAlign w:val="bottom"/>
          </w:tcPr>
          <w:p w14:paraId="71D43F9E" w14:textId="77777777" w:rsidR="006A3667" w:rsidRDefault="006A3667">
            <w:pPr>
              <w:rPr>
                <w:rFonts w:ascii="宋体"/>
                <w:vanish/>
              </w:rPr>
            </w:pPr>
          </w:p>
        </w:tc>
        <w:tc>
          <w:tcPr>
            <w:tcW w:w="0" w:type="auto"/>
            <w:gridSpan w:val="3"/>
            <w:shd w:val="clear" w:color="auto" w:fill="auto"/>
            <w:vAlign w:val="bottom"/>
          </w:tcPr>
          <w:p w14:paraId="71D43F9F" w14:textId="77777777" w:rsidR="006A3667" w:rsidRDefault="006A3667">
            <w:pPr>
              <w:rPr>
                <w:rFonts w:ascii="宋体"/>
                <w:vanish/>
              </w:rPr>
            </w:pPr>
          </w:p>
        </w:tc>
        <w:tc>
          <w:tcPr>
            <w:tcW w:w="0" w:type="auto"/>
            <w:gridSpan w:val="3"/>
            <w:shd w:val="clear" w:color="auto" w:fill="auto"/>
            <w:vAlign w:val="bottom"/>
          </w:tcPr>
          <w:p w14:paraId="71D43FA0" w14:textId="77777777" w:rsidR="006A3667" w:rsidRDefault="006A3667">
            <w:pPr>
              <w:rPr>
                <w:rFonts w:ascii="宋体"/>
                <w:vanish/>
              </w:rPr>
            </w:pPr>
          </w:p>
        </w:tc>
        <w:tc>
          <w:tcPr>
            <w:tcW w:w="0" w:type="auto"/>
            <w:gridSpan w:val="3"/>
            <w:shd w:val="clear" w:color="auto" w:fill="auto"/>
            <w:vAlign w:val="bottom"/>
          </w:tcPr>
          <w:p w14:paraId="71D43FA1" w14:textId="77777777" w:rsidR="006A3667" w:rsidRDefault="006A3667">
            <w:pPr>
              <w:rPr>
                <w:rFonts w:ascii="宋体"/>
                <w:vanish/>
              </w:rPr>
            </w:pPr>
          </w:p>
        </w:tc>
        <w:tc>
          <w:tcPr>
            <w:tcW w:w="0" w:type="auto"/>
            <w:gridSpan w:val="3"/>
            <w:shd w:val="clear" w:color="auto" w:fill="auto"/>
            <w:vAlign w:val="bottom"/>
          </w:tcPr>
          <w:p w14:paraId="71D43FA2" w14:textId="77777777" w:rsidR="006A3667" w:rsidRDefault="006A3667">
            <w:pPr>
              <w:rPr>
                <w:rFonts w:ascii="宋体"/>
                <w:vanish/>
              </w:rPr>
            </w:pPr>
          </w:p>
        </w:tc>
        <w:tc>
          <w:tcPr>
            <w:tcW w:w="0" w:type="auto"/>
            <w:gridSpan w:val="3"/>
            <w:shd w:val="clear" w:color="auto" w:fill="auto"/>
            <w:vAlign w:val="bottom"/>
          </w:tcPr>
          <w:p w14:paraId="71D43FA3" w14:textId="77777777" w:rsidR="006A3667" w:rsidRDefault="006A3667">
            <w:pPr>
              <w:rPr>
                <w:rFonts w:ascii="宋体"/>
                <w:vanish/>
              </w:rPr>
            </w:pPr>
          </w:p>
        </w:tc>
        <w:tc>
          <w:tcPr>
            <w:tcW w:w="0" w:type="auto"/>
            <w:gridSpan w:val="2"/>
            <w:shd w:val="clear" w:color="auto" w:fill="auto"/>
            <w:vAlign w:val="bottom"/>
          </w:tcPr>
          <w:p w14:paraId="71D43FA4" w14:textId="77777777" w:rsidR="006A3667" w:rsidRDefault="006A3667">
            <w:pPr>
              <w:rPr>
                <w:rFonts w:ascii="宋体"/>
                <w:vanish/>
              </w:rPr>
            </w:pPr>
          </w:p>
        </w:tc>
        <w:tc>
          <w:tcPr>
            <w:tcW w:w="0" w:type="auto"/>
            <w:shd w:val="clear" w:color="auto" w:fill="auto"/>
            <w:vAlign w:val="bottom"/>
          </w:tcPr>
          <w:p w14:paraId="71D43FA5" w14:textId="77777777" w:rsidR="006A3667" w:rsidRDefault="006A3667">
            <w:pPr>
              <w:rPr>
                <w:rFonts w:ascii="宋体"/>
                <w:vanish/>
              </w:rPr>
            </w:pPr>
          </w:p>
        </w:tc>
      </w:tr>
    </w:tbl>
    <w:p w14:paraId="71D43FA7"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631"/>
        <w:gridCol w:w="36"/>
        <w:gridCol w:w="86"/>
        <w:gridCol w:w="514"/>
        <w:gridCol w:w="35"/>
        <w:gridCol w:w="36"/>
        <w:gridCol w:w="35"/>
        <w:gridCol w:w="35"/>
        <w:gridCol w:w="88"/>
        <w:gridCol w:w="547"/>
        <w:gridCol w:w="37"/>
        <w:gridCol w:w="37"/>
        <w:gridCol w:w="37"/>
        <w:gridCol w:w="37"/>
        <w:gridCol w:w="87"/>
        <w:gridCol w:w="797"/>
        <w:gridCol w:w="36"/>
        <w:gridCol w:w="36"/>
        <w:gridCol w:w="36"/>
        <w:gridCol w:w="36"/>
        <w:gridCol w:w="90"/>
        <w:gridCol w:w="534"/>
        <w:gridCol w:w="36"/>
        <w:gridCol w:w="36"/>
        <w:gridCol w:w="36"/>
        <w:gridCol w:w="36"/>
        <w:gridCol w:w="36"/>
        <w:gridCol w:w="36"/>
        <w:gridCol w:w="87"/>
        <w:gridCol w:w="271"/>
        <w:gridCol w:w="36"/>
        <w:gridCol w:w="36"/>
        <w:gridCol w:w="36"/>
        <w:gridCol w:w="36"/>
        <w:gridCol w:w="89"/>
        <w:gridCol w:w="607"/>
        <w:gridCol w:w="36"/>
        <w:gridCol w:w="36"/>
        <w:gridCol w:w="36"/>
        <w:gridCol w:w="36"/>
        <w:gridCol w:w="89"/>
        <w:gridCol w:w="476"/>
        <w:gridCol w:w="36"/>
        <w:gridCol w:w="36"/>
        <w:gridCol w:w="36"/>
        <w:gridCol w:w="36"/>
        <w:gridCol w:w="89"/>
        <w:gridCol w:w="476"/>
        <w:gridCol w:w="36"/>
        <w:gridCol w:w="36"/>
        <w:gridCol w:w="36"/>
        <w:gridCol w:w="36"/>
        <w:gridCol w:w="87"/>
        <w:gridCol w:w="568"/>
        <w:gridCol w:w="36"/>
        <w:gridCol w:w="36"/>
        <w:gridCol w:w="36"/>
        <w:gridCol w:w="708"/>
      </w:tblGrid>
      <w:tr w:rsidR="006A3667" w14:paraId="71D43FE3" w14:textId="77777777">
        <w:tc>
          <w:tcPr>
            <w:tcW w:w="50" w:type="pct"/>
            <w:shd w:val="clear" w:color="auto" w:fill="auto"/>
            <w:vAlign w:val="bottom"/>
          </w:tcPr>
          <w:p w14:paraId="71D43FA8" w14:textId="77777777" w:rsidR="006A3667" w:rsidRDefault="006A3667">
            <w:pPr>
              <w:rPr>
                <w:rFonts w:ascii="宋体"/>
              </w:rPr>
            </w:pPr>
          </w:p>
        </w:tc>
        <w:tc>
          <w:tcPr>
            <w:tcW w:w="785" w:type="pct"/>
            <w:shd w:val="clear" w:color="auto" w:fill="auto"/>
            <w:vAlign w:val="bottom"/>
          </w:tcPr>
          <w:p w14:paraId="71D43FA9" w14:textId="77777777" w:rsidR="006A3667" w:rsidRDefault="006A3667">
            <w:pPr>
              <w:rPr>
                <w:rFonts w:ascii="宋体"/>
              </w:rPr>
            </w:pPr>
          </w:p>
        </w:tc>
        <w:tc>
          <w:tcPr>
            <w:tcW w:w="5" w:type="pct"/>
            <w:shd w:val="clear" w:color="auto" w:fill="auto"/>
            <w:vAlign w:val="bottom"/>
          </w:tcPr>
          <w:p w14:paraId="71D43FAA" w14:textId="77777777" w:rsidR="006A3667" w:rsidRDefault="006A3667">
            <w:pPr>
              <w:rPr>
                <w:rFonts w:ascii="宋体"/>
              </w:rPr>
            </w:pPr>
          </w:p>
        </w:tc>
        <w:tc>
          <w:tcPr>
            <w:tcW w:w="50" w:type="pct"/>
            <w:shd w:val="clear" w:color="auto" w:fill="auto"/>
            <w:vAlign w:val="bottom"/>
          </w:tcPr>
          <w:p w14:paraId="71D43FAB" w14:textId="77777777" w:rsidR="006A3667" w:rsidRDefault="006A3667">
            <w:pPr>
              <w:rPr>
                <w:rFonts w:ascii="宋体"/>
              </w:rPr>
            </w:pPr>
          </w:p>
        </w:tc>
        <w:tc>
          <w:tcPr>
            <w:tcW w:w="317" w:type="pct"/>
            <w:shd w:val="clear" w:color="auto" w:fill="auto"/>
            <w:vAlign w:val="bottom"/>
          </w:tcPr>
          <w:p w14:paraId="71D43FAC" w14:textId="77777777" w:rsidR="006A3667" w:rsidRDefault="006A3667">
            <w:pPr>
              <w:rPr>
                <w:rFonts w:ascii="宋体"/>
              </w:rPr>
            </w:pPr>
          </w:p>
        </w:tc>
        <w:tc>
          <w:tcPr>
            <w:tcW w:w="5" w:type="pct"/>
            <w:shd w:val="clear" w:color="auto" w:fill="auto"/>
            <w:vAlign w:val="bottom"/>
          </w:tcPr>
          <w:p w14:paraId="71D43FAD" w14:textId="77777777" w:rsidR="006A3667" w:rsidRDefault="006A3667">
            <w:pPr>
              <w:rPr>
                <w:rFonts w:ascii="宋体"/>
              </w:rPr>
            </w:pPr>
          </w:p>
        </w:tc>
        <w:tc>
          <w:tcPr>
            <w:tcW w:w="5" w:type="pct"/>
            <w:shd w:val="clear" w:color="auto" w:fill="auto"/>
            <w:vAlign w:val="bottom"/>
          </w:tcPr>
          <w:p w14:paraId="71D43FAE" w14:textId="77777777" w:rsidR="006A3667" w:rsidRDefault="006A3667">
            <w:pPr>
              <w:rPr>
                <w:rFonts w:ascii="宋体"/>
              </w:rPr>
            </w:pPr>
          </w:p>
        </w:tc>
        <w:tc>
          <w:tcPr>
            <w:tcW w:w="19" w:type="pct"/>
            <w:shd w:val="clear" w:color="auto" w:fill="auto"/>
            <w:vAlign w:val="bottom"/>
          </w:tcPr>
          <w:p w14:paraId="71D43FAF" w14:textId="77777777" w:rsidR="006A3667" w:rsidRDefault="006A3667">
            <w:pPr>
              <w:rPr>
                <w:rFonts w:ascii="宋体"/>
              </w:rPr>
            </w:pPr>
          </w:p>
        </w:tc>
        <w:tc>
          <w:tcPr>
            <w:tcW w:w="5" w:type="pct"/>
            <w:shd w:val="clear" w:color="auto" w:fill="auto"/>
            <w:vAlign w:val="bottom"/>
          </w:tcPr>
          <w:p w14:paraId="71D43FB0" w14:textId="77777777" w:rsidR="006A3667" w:rsidRDefault="006A3667">
            <w:pPr>
              <w:rPr>
                <w:rFonts w:ascii="宋体"/>
              </w:rPr>
            </w:pPr>
          </w:p>
        </w:tc>
        <w:tc>
          <w:tcPr>
            <w:tcW w:w="50" w:type="pct"/>
            <w:shd w:val="clear" w:color="auto" w:fill="auto"/>
            <w:vAlign w:val="bottom"/>
          </w:tcPr>
          <w:p w14:paraId="71D43FB1" w14:textId="77777777" w:rsidR="006A3667" w:rsidRDefault="006A3667">
            <w:pPr>
              <w:rPr>
                <w:rFonts w:ascii="宋体"/>
              </w:rPr>
            </w:pPr>
          </w:p>
        </w:tc>
        <w:tc>
          <w:tcPr>
            <w:tcW w:w="317" w:type="pct"/>
            <w:shd w:val="clear" w:color="auto" w:fill="auto"/>
            <w:vAlign w:val="bottom"/>
          </w:tcPr>
          <w:p w14:paraId="71D43FB2" w14:textId="77777777" w:rsidR="006A3667" w:rsidRDefault="006A3667">
            <w:pPr>
              <w:rPr>
                <w:rFonts w:ascii="宋体"/>
              </w:rPr>
            </w:pPr>
          </w:p>
        </w:tc>
        <w:tc>
          <w:tcPr>
            <w:tcW w:w="5" w:type="pct"/>
            <w:shd w:val="clear" w:color="auto" w:fill="auto"/>
            <w:vAlign w:val="bottom"/>
          </w:tcPr>
          <w:p w14:paraId="71D43FB3" w14:textId="77777777" w:rsidR="006A3667" w:rsidRDefault="006A3667">
            <w:pPr>
              <w:rPr>
                <w:rFonts w:ascii="宋体"/>
              </w:rPr>
            </w:pPr>
          </w:p>
        </w:tc>
        <w:tc>
          <w:tcPr>
            <w:tcW w:w="5" w:type="pct"/>
            <w:shd w:val="clear" w:color="auto" w:fill="auto"/>
            <w:vAlign w:val="bottom"/>
          </w:tcPr>
          <w:p w14:paraId="71D43FB4" w14:textId="77777777" w:rsidR="006A3667" w:rsidRDefault="006A3667">
            <w:pPr>
              <w:rPr>
                <w:rFonts w:ascii="宋体"/>
              </w:rPr>
            </w:pPr>
          </w:p>
        </w:tc>
        <w:tc>
          <w:tcPr>
            <w:tcW w:w="19" w:type="pct"/>
            <w:shd w:val="clear" w:color="auto" w:fill="auto"/>
            <w:vAlign w:val="bottom"/>
          </w:tcPr>
          <w:p w14:paraId="71D43FB5" w14:textId="77777777" w:rsidR="006A3667" w:rsidRDefault="006A3667">
            <w:pPr>
              <w:rPr>
                <w:rFonts w:ascii="宋体"/>
              </w:rPr>
            </w:pPr>
          </w:p>
        </w:tc>
        <w:tc>
          <w:tcPr>
            <w:tcW w:w="5" w:type="pct"/>
            <w:shd w:val="clear" w:color="auto" w:fill="auto"/>
            <w:vAlign w:val="bottom"/>
          </w:tcPr>
          <w:p w14:paraId="71D43FB6" w14:textId="77777777" w:rsidR="006A3667" w:rsidRDefault="006A3667">
            <w:pPr>
              <w:rPr>
                <w:rFonts w:ascii="宋体"/>
              </w:rPr>
            </w:pPr>
          </w:p>
        </w:tc>
        <w:tc>
          <w:tcPr>
            <w:tcW w:w="50" w:type="pct"/>
            <w:shd w:val="clear" w:color="auto" w:fill="auto"/>
            <w:vAlign w:val="bottom"/>
          </w:tcPr>
          <w:p w14:paraId="71D43FB7" w14:textId="77777777" w:rsidR="006A3667" w:rsidRDefault="006A3667">
            <w:pPr>
              <w:rPr>
                <w:rFonts w:ascii="宋体"/>
              </w:rPr>
            </w:pPr>
          </w:p>
        </w:tc>
        <w:tc>
          <w:tcPr>
            <w:tcW w:w="463" w:type="pct"/>
            <w:shd w:val="clear" w:color="auto" w:fill="auto"/>
            <w:vAlign w:val="bottom"/>
          </w:tcPr>
          <w:p w14:paraId="71D43FB8" w14:textId="77777777" w:rsidR="006A3667" w:rsidRDefault="006A3667">
            <w:pPr>
              <w:rPr>
                <w:rFonts w:ascii="宋体"/>
              </w:rPr>
            </w:pPr>
          </w:p>
        </w:tc>
        <w:tc>
          <w:tcPr>
            <w:tcW w:w="5" w:type="pct"/>
            <w:shd w:val="clear" w:color="auto" w:fill="auto"/>
            <w:vAlign w:val="bottom"/>
          </w:tcPr>
          <w:p w14:paraId="71D43FB9" w14:textId="77777777" w:rsidR="006A3667" w:rsidRDefault="006A3667">
            <w:pPr>
              <w:rPr>
                <w:rFonts w:ascii="宋体"/>
              </w:rPr>
            </w:pPr>
          </w:p>
        </w:tc>
        <w:tc>
          <w:tcPr>
            <w:tcW w:w="5" w:type="pct"/>
            <w:shd w:val="clear" w:color="auto" w:fill="auto"/>
            <w:vAlign w:val="bottom"/>
          </w:tcPr>
          <w:p w14:paraId="71D43FBA" w14:textId="77777777" w:rsidR="006A3667" w:rsidRDefault="006A3667">
            <w:pPr>
              <w:rPr>
                <w:rFonts w:ascii="宋体"/>
              </w:rPr>
            </w:pPr>
          </w:p>
        </w:tc>
        <w:tc>
          <w:tcPr>
            <w:tcW w:w="19" w:type="pct"/>
            <w:shd w:val="clear" w:color="auto" w:fill="auto"/>
            <w:vAlign w:val="bottom"/>
          </w:tcPr>
          <w:p w14:paraId="71D43FBB" w14:textId="77777777" w:rsidR="006A3667" w:rsidRDefault="006A3667">
            <w:pPr>
              <w:rPr>
                <w:rFonts w:ascii="宋体"/>
              </w:rPr>
            </w:pPr>
          </w:p>
        </w:tc>
        <w:tc>
          <w:tcPr>
            <w:tcW w:w="5" w:type="pct"/>
            <w:shd w:val="clear" w:color="auto" w:fill="auto"/>
            <w:vAlign w:val="bottom"/>
          </w:tcPr>
          <w:p w14:paraId="71D43FBC" w14:textId="77777777" w:rsidR="006A3667" w:rsidRDefault="006A3667">
            <w:pPr>
              <w:rPr>
                <w:rFonts w:ascii="宋体"/>
              </w:rPr>
            </w:pPr>
          </w:p>
        </w:tc>
        <w:tc>
          <w:tcPr>
            <w:tcW w:w="50" w:type="pct"/>
            <w:shd w:val="clear" w:color="auto" w:fill="auto"/>
            <w:vAlign w:val="bottom"/>
          </w:tcPr>
          <w:p w14:paraId="71D43FBD" w14:textId="77777777" w:rsidR="006A3667" w:rsidRDefault="006A3667">
            <w:pPr>
              <w:rPr>
                <w:rFonts w:ascii="宋体"/>
              </w:rPr>
            </w:pPr>
          </w:p>
        </w:tc>
        <w:tc>
          <w:tcPr>
            <w:tcW w:w="303" w:type="pct"/>
            <w:shd w:val="clear" w:color="auto" w:fill="auto"/>
            <w:vAlign w:val="bottom"/>
          </w:tcPr>
          <w:p w14:paraId="71D43FBE" w14:textId="77777777" w:rsidR="006A3667" w:rsidRDefault="006A3667">
            <w:pPr>
              <w:rPr>
                <w:rFonts w:ascii="宋体"/>
              </w:rPr>
            </w:pPr>
          </w:p>
        </w:tc>
        <w:tc>
          <w:tcPr>
            <w:tcW w:w="5" w:type="pct"/>
            <w:shd w:val="clear" w:color="auto" w:fill="auto"/>
            <w:vAlign w:val="bottom"/>
          </w:tcPr>
          <w:p w14:paraId="71D43FBF" w14:textId="77777777" w:rsidR="006A3667" w:rsidRDefault="006A3667">
            <w:pPr>
              <w:rPr>
                <w:rFonts w:ascii="宋体"/>
              </w:rPr>
            </w:pPr>
          </w:p>
        </w:tc>
        <w:tc>
          <w:tcPr>
            <w:tcW w:w="5" w:type="pct"/>
            <w:shd w:val="clear" w:color="auto" w:fill="auto"/>
            <w:vAlign w:val="bottom"/>
          </w:tcPr>
          <w:p w14:paraId="71D43FC0" w14:textId="77777777" w:rsidR="006A3667" w:rsidRDefault="006A3667">
            <w:pPr>
              <w:rPr>
                <w:rFonts w:ascii="宋体"/>
              </w:rPr>
            </w:pPr>
          </w:p>
        </w:tc>
        <w:tc>
          <w:tcPr>
            <w:tcW w:w="19" w:type="pct"/>
            <w:shd w:val="clear" w:color="auto" w:fill="auto"/>
            <w:vAlign w:val="bottom"/>
          </w:tcPr>
          <w:p w14:paraId="71D43FC1" w14:textId="77777777" w:rsidR="006A3667" w:rsidRDefault="006A3667">
            <w:pPr>
              <w:rPr>
                <w:rFonts w:ascii="宋体"/>
              </w:rPr>
            </w:pPr>
          </w:p>
        </w:tc>
        <w:tc>
          <w:tcPr>
            <w:tcW w:w="5" w:type="pct"/>
            <w:shd w:val="clear" w:color="auto" w:fill="auto"/>
            <w:vAlign w:val="bottom"/>
          </w:tcPr>
          <w:p w14:paraId="71D43FC2" w14:textId="77777777" w:rsidR="006A3667" w:rsidRDefault="006A3667">
            <w:pPr>
              <w:rPr>
                <w:rFonts w:ascii="宋体"/>
              </w:rPr>
            </w:pPr>
          </w:p>
        </w:tc>
        <w:tc>
          <w:tcPr>
            <w:tcW w:w="0" w:type="auto"/>
            <w:shd w:val="clear" w:color="auto" w:fill="auto"/>
            <w:vAlign w:val="bottom"/>
          </w:tcPr>
          <w:p w14:paraId="71D43FC3" w14:textId="77777777" w:rsidR="006A3667" w:rsidRDefault="006A3667">
            <w:pPr>
              <w:rPr>
                <w:rFonts w:ascii="宋体"/>
                <w:vanish/>
              </w:rPr>
            </w:pPr>
          </w:p>
        </w:tc>
        <w:tc>
          <w:tcPr>
            <w:tcW w:w="0" w:type="auto"/>
            <w:shd w:val="clear" w:color="auto" w:fill="auto"/>
            <w:vAlign w:val="bottom"/>
          </w:tcPr>
          <w:p w14:paraId="71D43FC4" w14:textId="77777777" w:rsidR="006A3667" w:rsidRDefault="006A3667">
            <w:pPr>
              <w:rPr>
                <w:rFonts w:ascii="宋体"/>
                <w:vanish/>
              </w:rPr>
            </w:pPr>
          </w:p>
        </w:tc>
        <w:tc>
          <w:tcPr>
            <w:tcW w:w="50" w:type="pct"/>
            <w:shd w:val="clear" w:color="auto" w:fill="auto"/>
            <w:vAlign w:val="bottom"/>
          </w:tcPr>
          <w:p w14:paraId="71D43FC5" w14:textId="77777777" w:rsidR="006A3667" w:rsidRDefault="006A3667">
            <w:pPr>
              <w:rPr>
                <w:rFonts w:ascii="宋体"/>
              </w:rPr>
            </w:pPr>
          </w:p>
        </w:tc>
        <w:tc>
          <w:tcPr>
            <w:tcW w:w="200" w:type="pct"/>
            <w:shd w:val="clear" w:color="auto" w:fill="auto"/>
            <w:vAlign w:val="bottom"/>
          </w:tcPr>
          <w:p w14:paraId="71D43FC6" w14:textId="77777777" w:rsidR="006A3667" w:rsidRDefault="006A3667">
            <w:pPr>
              <w:rPr>
                <w:rFonts w:ascii="宋体"/>
              </w:rPr>
            </w:pPr>
          </w:p>
        </w:tc>
        <w:tc>
          <w:tcPr>
            <w:tcW w:w="5" w:type="pct"/>
            <w:shd w:val="clear" w:color="auto" w:fill="auto"/>
            <w:vAlign w:val="bottom"/>
          </w:tcPr>
          <w:p w14:paraId="71D43FC7" w14:textId="77777777" w:rsidR="006A3667" w:rsidRDefault="006A3667">
            <w:pPr>
              <w:rPr>
                <w:rFonts w:ascii="宋体"/>
              </w:rPr>
            </w:pPr>
          </w:p>
        </w:tc>
        <w:tc>
          <w:tcPr>
            <w:tcW w:w="5" w:type="pct"/>
            <w:shd w:val="clear" w:color="auto" w:fill="auto"/>
            <w:vAlign w:val="bottom"/>
          </w:tcPr>
          <w:p w14:paraId="71D43FC8" w14:textId="77777777" w:rsidR="006A3667" w:rsidRDefault="006A3667">
            <w:pPr>
              <w:rPr>
                <w:rFonts w:ascii="宋体"/>
              </w:rPr>
            </w:pPr>
          </w:p>
        </w:tc>
        <w:tc>
          <w:tcPr>
            <w:tcW w:w="19" w:type="pct"/>
            <w:shd w:val="clear" w:color="auto" w:fill="auto"/>
            <w:vAlign w:val="bottom"/>
          </w:tcPr>
          <w:p w14:paraId="71D43FC9" w14:textId="77777777" w:rsidR="006A3667" w:rsidRDefault="006A3667">
            <w:pPr>
              <w:rPr>
                <w:rFonts w:ascii="宋体"/>
              </w:rPr>
            </w:pPr>
          </w:p>
        </w:tc>
        <w:tc>
          <w:tcPr>
            <w:tcW w:w="5" w:type="pct"/>
            <w:shd w:val="clear" w:color="auto" w:fill="auto"/>
            <w:vAlign w:val="bottom"/>
          </w:tcPr>
          <w:p w14:paraId="71D43FCA" w14:textId="77777777" w:rsidR="006A3667" w:rsidRDefault="006A3667">
            <w:pPr>
              <w:rPr>
                <w:rFonts w:ascii="宋体"/>
              </w:rPr>
            </w:pPr>
          </w:p>
        </w:tc>
        <w:tc>
          <w:tcPr>
            <w:tcW w:w="50" w:type="pct"/>
            <w:shd w:val="clear" w:color="auto" w:fill="auto"/>
            <w:vAlign w:val="bottom"/>
          </w:tcPr>
          <w:p w14:paraId="71D43FCB" w14:textId="77777777" w:rsidR="006A3667" w:rsidRDefault="006A3667">
            <w:pPr>
              <w:rPr>
                <w:rFonts w:ascii="宋体"/>
              </w:rPr>
            </w:pPr>
          </w:p>
        </w:tc>
        <w:tc>
          <w:tcPr>
            <w:tcW w:w="347" w:type="pct"/>
            <w:shd w:val="clear" w:color="auto" w:fill="auto"/>
            <w:vAlign w:val="bottom"/>
          </w:tcPr>
          <w:p w14:paraId="71D43FCC" w14:textId="77777777" w:rsidR="006A3667" w:rsidRDefault="006A3667">
            <w:pPr>
              <w:rPr>
                <w:rFonts w:ascii="宋体"/>
              </w:rPr>
            </w:pPr>
          </w:p>
        </w:tc>
        <w:tc>
          <w:tcPr>
            <w:tcW w:w="5" w:type="pct"/>
            <w:shd w:val="clear" w:color="auto" w:fill="auto"/>
            <w:vAlign w:val="bottom"/>
          </w:tcPr>
          <w:p w14:paraId="71D43FCD" w14:textId="77777777" w:rsidR="006A3667" w:rsidRDefault="006A3667">
            <w:pPr>
              <w:rPr>
                <w:rFonts w:ascii="宋体"/>
              </w:rPr>
            </w:pPr>
          </w:p>
        </w:tc>
        <w:tc>
          <w:tcPr>
            <w:tcW w:w="5" w:type="pct"/>
            <w:shd w:val="clear" w:color="auto" w:fill="auto"/>
            <w:vAlign w:val="bottom"/>
          </w:tcPr>
          <w:p w14:paraId="71D43FCE" w14:textId="77777777" w:rsidR="006A3667" w:rsidRDefault="006A3667">
            <w:pPr>
              <w:rPr>
                <w:rFonts w:ascii="宋体"/>
              </w:rPr>
            </w:pPr>
          </w:p>
        </w:tc>
        <w:tc>
          <w:tcPr>
            <w:tcW w:w="19" w:type="pct"/>
            <w:shd w:val="clear" w:color="auto" w:fill="auto"/>
            <w:vAlign w:val="bottom"/>
          </w:tcPr>
          <w:p w14:paraId="71D43FCF" w14:textId="77777777" w:rsidR="006A3667" w:rsidRDefault="006A3667">
            <w:pPr>
              <w:rPr>
                <w:rFonts w:ascii="宋体"/>
              </w:rPr>
            </w:pPr>
          </w:p>
        </w:tc>
        <w:tc>
          <w:tcPr>
            <w:tcW w:w="5" w:type="pct"/>
            <w:shd w:val="clear" w:color="auto" w:fill="auto"/>
            <w:vAlign w:val="bottom"/>
          </w:tcPr>
          <w:p w14:paraId="71D43FD0" w14:textId="77777777" w:rsidR="006A3667" w:rsidRDefault="006A3667">
            <w:pPr>
              <w:rPr>
                <w:rFonts w:ascii="宋体"/>
              </w:rPr>
            </w:pPr>
          </w:p>
        </w:tc>
        <w:tc>
          <w:tcPr>
            <w:tcW w:w="50" w:type="pct"/>
            <w:shd w:val="clear" w:color="auto" w:fill="auto"/>
            <w:vAlign w:val="bottom"/>
          </w:tcPr>
          <w:p w14:paraId="71D43FD1" w14:textId="77777777" w:rsidR="006A3667" w:rsidRDefault="006A3667">
            <w:pPr>
              <w:rPr>
                <w:rFonts w:ascii="宋体"/>
              </w:rPr>
            </w:pPr>
          </w:p>
        </w:tc>
        <w:tc>
          <w:tcPr>
            <w:tcW w:w="273" w:type="pct"/>
            <w:shd w:val="clear" w:color="auto" w:fill="auto"/>
            <w:vAlign w:val="bottom"/>
          </w:tcPr>
          <w:p w14:paraId="71D43FD2" w14:textId="77777777" w:rsidR="006A3667" w:rsidRDefault="006A3667">
            <w:pPr>
              <w:rPr>
                <w:rFonts w:ascii="宋体"/>
              </w:rPr>
            </w:pPr>
          </w:p>
        </w:tc>
        <w:tc>
          <w:tcPr>
            <w:tcW w:w="5" w:type="pct"/>
            <w:shd w:val="clear" w:color="auto" w:fill="auto"/>
            <w:vAlign w:val="bottom"/>
          </w:tcPr>
          <w:p w14:paraId="71D43FD3" w14:textId="77777777" w:rsidR="006A3667" w:rsidRDefault="006A3667">
            <w:pPr>
              <w:rPr>
                <w:rFonts w:ascii="宋体"/>
              </w:rPr>
            </w:pPr>
          </w:p>
        </w:tc>
        <w:tc>
          <w:tcPr>
            <w:tcW w:w="5" w:type="pct"/>
            <w:shd w:val="clear" w:color="auto" w:fill="auto"/>
            <w:vAlign w:val="bottom"/>
          </w:tcPr>
          <w:p w14:paraId="71D43FD4" w14:textId="77777777" w:rsidR="006A3667" w:rsidRDefault="006A3667">
            <w:pPr>
              <w:rPr>
                <w:rFonts w:ascii="宋体"/>
              </w:rPr>
            </w:pPr>
          </w:p>
        </w:tc>
        <w:tc>
          <w:tcPr>
            <w:tcW w:w="19" w:type="pct"/>
            <w:shd w:val="clear" w:color="auto" w:fill="auto"/>
            <w:vAlign w:val="bottom"/>
          </w:tcPr>
          <w:p w14:paraId="71D43FD5" w14:textId="77777777" w:rsidR="006A3667" w:rsidRDefault="006A3667">
            <w:pPr>
              <w:rPr>
                <w:rFonts w:ascii="宋体"/>
              </w:rPr>
            </w:pPr>
          </w:p>
        </w:tc>
        <w:tc>
          <w:tcPr>
            <w:tcW w:w="5" w:type="pct"/>
            <w:shd w:val="clear" w:color="auto" w:fill="auto"/>
            <w:vAlign w:val="bottom"/>
          </w:tcPr>
          <w:p w14:paraId="71D43FD6" w14:textId="77777777" w:rsidR="006A3667" w:rsidRDefault="006A3667">
            <w:pPr>
              <w:rPr>
                <w:rFonts w:ascii="宋体"/>
              </w:rPr>
            </w:pPr>
          </w:p>
        </w:tc>
        <w:tc>
          <w:tcPr>
            <w:tcW w:w="50" w:type="pct"/>
            <w:shd w:val="clear" w:color="auto" w:fill="auto"/>
            <w:vAlign w:val="bottom"/>
          </w:tcPr>
          <w:p w14:paraId="71D43FD7" w14:textId="77777777" w:rsidR="006A3667" w:rsidRDefault="006A3667">
            <w:pPr>
              <w:rPr>
                <w:rFonts w:ascii="宋体"/>
              </w:rPr>
            </w:pPr>
          </w:p>
        </w:tc>
        <w:tc>
          <w:tcPr>
            <w:tcW w:w="273" w:type="pct"/>
            <w:shd w:val="clear" w:color="auto" w:fill="auto"/>
            <w:vAlign w:val="bottom"/>
          </w:tcPr>
          <w:p w14:paraId="71D43FD8" w14:textId="77777777" w:rsidR="006A3667" w:rsidRDefault="006A3667">
            <w:pPr>
              <w:rPr>
                <w:rFonts w:ascii="宋体"/>
              </w:rPr>
            </w:pPr>
          </w:p>
        </w:tc>
        <w:tc>
          <w:tcPr>
            <w:tcW w:w="5" w:type="pct"/>
            <w:shd w:val="clear" w:color="auto" w:fill="auto"/>
            <w:vAlign w:val="bottom"/>
          </w:tcPr>
          <w:p w14:paraId="71D43FD9" w14:textId="77777777" w:rsidR="006A3667" w:rsidRDefault="006A3667">
            <w:pPr>
              <w:rPr>
                <w:rFonts w:ascii="宋体"/>
              </w:rPr>
            </w:pPr>
          </w:p>
        </w:tc>
        <w:tc>
          <w:tcPr>
            <w:tcW w:w="5" w:type="pct"/>
            <w:shd w:val="clear" w:color="auto" w:fill="auto"/>
            <w:vAlign w:val="bottom"/>
          </w:tcPr>
          <w:p w14:paraId="71D43FDA" w14:textId="77777777" w:rsidR="006A3667" w:rsidRDefault="006A3667">
            <w:pPr>
              <w:rPr>
                <w:rFonts w:ascii="宋体"/>
              </w:rPr>
            </w:pPr>
          </w:p>
        </w:tc>
        <w:tc>
          <w:tcPr>
            <w:tcW w:w="19" w:type="pct"/>
            <w:shd w:val="clear" w:color="auto" w:fill="auto"/>
            <w:vAlign w:val="bottom"/>
          </w:tcPr>
          <w:p w14:paraId="71D43FDB" w14:textId="77777777" w:rsidR="006A3667" w:rsidRDefault="006A3667">
            <w:pPr>
              <w:rPr>
                <w:rFonts w:ascii="宋体"/>
              </w:rPr>
            </w:pPr>
          </w:p>
        </w:tc>
        <w:tc>
          <w:tcPr>
            <w:tcW w:w="5" w:type="pct"/>
            <w:shd w:val="clear" w:color="auto" w:fill="auto"/>
            <w:vAlign w:val="bottom"/>
          </w:tcPr>
          <w:p w14:paraId="71D43FDC" w14:textId="77777777" w:rsidR="006A3667" w:rsidRDefault="006A3667">
            <w:pPr>
              <w:rPr>
                <w:rFonts w:ascii="宋体"/>
              </w:rPr>
            </w:pPr>
          </w:p>
        </w:tc>
        <w:tc>
          <w:tcPr>
            <w:tcW w:w="50" w:type="pct"/>
            <w:shd w:val="clear" w:color="auto" w:fill="auto"/>
            <w:vAlign w:val="bottom"/>
          </w:tcPr>
          <w:p w14:paraId="71D43FDD" w14:textId="77777777" w:rsidR="006A3667" w:rsidRDefault="006A3667">
            <w:pPr>
              <w:rPr>
                <w:rFonts w:ascii="宋体"/>
              </w:rPr>
            </w:pPr>
          </w:p>
        </w:tc>
        <w:tc>
          <w:tcPr>
            <w:tcW w:w="412" w:type="pct"/>
            <w:shd w:val="clear" w:color="auto" w:fill="auto"/>
            <w:vAlign w:val="bottom"/>
          </w:tcPr>
          <w:p w14:paraId="71D43FDE" w14:textId="77777777" w:rsidR="006A3667" w:rsidRDefault="006A3667">
            <w:pPr>
              <w:rPr>
                <w:rFonts w:ascii="宋体"/>
              </w:rPr>
            </w:pPr>
          </w:p>
        </w:tc>
        <w:tc>
          <w:tcPr>
            <w:tcW w:w="5" w:type="pct"/>
            <w:shd w:val="clear" w:color="auto" w:fill="auto"/>
            <w:vAlign w:val="bottom"/>
          </w:tcPr>
          <w:p w14:paraId="71D43FDF" w14:textId="77777777" w:rsidR="006A3667" w:rsidRDefault="006A3667">
            <w:pPr>
              <w:rPr>
                <w:rFonts w:ascii="宋体"/>
              </w:rPr>
            </w:pPr>
          </w:p>
        </w:tc>
        <w:tc>
          <w:tcPr>
            <w:tcW w:w="5" w:type="pct"/>
            <w:shd w:val="clear" w:color="auto" w:fill="auto"/>
            <w:vAlign w:val="bottom"/>
          </w:tcPr>
          <w:p w14:paraId="71D43FE0" w14:textId="77777777" w:rsidR="006A3667" w:rsidRDefault="006A3667">
            <w:pPr>
              <w:rPr>
                <w:rFonts w:ascii="宋体"/>
              </w:rPr>
            </w:pPr>
          </w:p>
        </w:tc>
        <w:tc>
          <w:tcPr>
            <w:tcW w:w="19" w:type="pct"/>
            <w:shd w:val="clear" w:color="auto" w:fill="auto"/>
            <w:vAlign w:val="bottom"/>
          </w:tcPr>
          <w:p w14:paraId="71D43FE1" w14:textId="77777777" w:rsidR="006A3667" w:rsidRDefault="006A3667">
            <w:pPr>
              <w:rPr>
                <w:rFonts w:ascii="宋体"/>
              </w:rPr>
            </w:pPr>
          </w:p>
        </w:tc>
        <w:tc>
          <w:tcPr>
            <w:tcW w:w="5" w:type="pct"/>
            <w:shd w:val="clear" w:color="auto" w:fill="auto"/>
            <w:vAlign w:val="bottom"/>
          </w:tcPr>
          <w:p w14:paraId="71D43FE2" w14:textId="77777777" w:rsidR="006A3667" w:rsidRDefault="006A3667">
            <w:pPr>
              <w:rPr>
                <w:rFonts w:ascii="宋体"/>
              </w:rPr>
            </w:pPr>
          </w:p>
        </w:tc>
      </w:tr>
      <w:tr w:rsidR="006A3667" w14:paraId="71D43FE9" w14:textId="77777777">
        <w:tc>
          <w:tcPr>
            <w:tcW w:w="0" w:type="auto"/>
            <w:gridSpan w:val="3"/>
            <w:shd w:val="clear" w:color="auto" w:fill="auto"/>
            <w:tcMar>
              <w:top w:w="0" w:type="dxa"/>
              <w:left w:w="20" w:type="dxa"/>
              <w:bottom w:w="0" w:type="dxa"/>
              <w:right w:w="20" w:type="dxa"/>
            </w:tcMar>
            <w:vAlign w:val="bottom"/>
          </w:tcPr>
          <w:p w14:paraId="71D43FE4" w14:textId="77777777" w:rsidR="006A3667" w:rsidRDefault="006A3667">
            <w:pPr>
              <w:rPr>
                <w:rFonts w:ascii="宋体"/>
              </w:rPr>
            </w:pPr>
          </w:p>
        </w:tc>
        <w:tc>
          <w:tcPr>
            <w:tcW w:w="0" w:type="auto"/>
            <w:gridSpan w:val="53"/>
            <w:shd w:val="clear" w:color="auto" w:fill="auto"/>
            <w:tcMar>
              <w:top w:w="40" w:type="dxa"/>
              <w:left w:w="20" w:type="dxa"/>
              <w:bottom w:w="40" w:type="dxa"/>
              <w:right w:w="20" w:type="dxa"/>
            </w:tcMar>
            <w:vAlign w:val="bottom"/>
          </w:tcPr>
          <w:p w14:paraId="71D43FE5" w14:textId="77777777" w:rsidR="006A3667" w:rsidRDefault="00045F32">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71D43FE6" w14:textId="77777777" w:rsidR="006A3667" w:rsidRDefault="006A3667">
            <w:pPr>
              <w:rPr>
                <w:rFonts w:ascii="宋体"/>
              </w:rPr>
            </w:pPr>
          </w:p>
        </w:tc>
        <w:tc>
          <w:tcPr>
            <w:tcW w:w="0" w:type="auto"/>
            <w:shd w:val="clear" w:color="auto" w:fill="auto"/>
            <w:vAlign w:val="bottom"/>
          </w:tcPr>
          <w:p w14:paraId="71D43FE7" w14:textId="77777777" w:rsidR="006A3667" w:rsidRDefault="006A3667">
            <w:pPr>
              <w:rPr>
                <w:rFonts w:ascii="宋体"/>
              </w:rPr>
            </w:pPr>
          </w:p>
        </w:tc>
        <w:tc>
          <w:tcPr>
            <w:tcW w:w="0" w:type="auto"/>
            <w:shd w:val="clear" w:color="auto" w:fill="auto"/>
            <w:vAlign w:val="bottom"/>
          </w:tcPr>
          <w:p w14:paraId="71D43FE8" w14:textId="77777777" w:rsidR="006A3667" w:rsidRDefault="006A3667">
            <w:pPr>
              <w:rPr>
                <w:rFonts w:ascii="宋体"/>
              </w:rPr>
            </w:pPr>
          </w:p>
        </w:tc>
      </w:tr>
      <w:tr w:rsidR="006A3667" w14:paraId="71D43FEF" w14:textId="77777777">
        <w:tc>
          <w:tcPr>
            <w:tcW w:w="0" w:type="auto"/>
            <w:gridSpan w:val="3"/>
            <w:shd w:val="clear" w:color="auto" w:fill="auto"/>
            <w:tcMar>
              <w:top w:w="40" w:type="dxa"/>
              <w:left w:w="20" w:type="dxa"/>
              <w:bottom w:w="40" w:type="dxa"/>
              <w:right w:w="20" w:type="dxa"/>
            </w:tcMar>
            <w:vAlign w:val="bottom"/>
          </w:tcPr>
          <w:p w14:paraId="71D43FEA" w14:textId="77777777" w:rsidR="006A3667" w:rsidRDefault="00045F32">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71D43FEB" w14:textId="77777777" w:rsidR="006A3667" w:rsidRDefault="00045F32">
            <w:pPr>
              <w:jc w:val="center"/>
              <w:textAlignment w:val="bottom"/>
            </w:pPr>
            <w:r>
              <w:rPr>
                <w:rFonts w:ascii="Arial" w:eastAsia="宋体" w:hAnsi="Arial" w:cs="Arial"/>
                <w:b/>
                <w:bCs/>
                <w:color w:val="000000"/>
                <w:sz w:val="12"/>
                <w:szCs w:val="12"/>
              </w:rPr>
              <w:t>Nine Months Ended September 30, 2022</w:t>
            </w:r>
          </w:p>
        </w:tc>
        <w:tc>
          <w:tcPr>
            <w:tcW w:w="0" w:type="auto"/>
            <w:shd w:val="clear" w:color="auto" w:fill="auto"/>
            <w:vAlign w:val="bottom"/>
          </w:tcPr>
          <w:p w14:paraId="71D43FEC" w14:textId="77777777" w:rsidR="006A3667" w:rsidRDefault="006A3667">
            <w:pPr>
              <w:rPr>
                <w:rFonts w:ascii="宋体"/>
              </w:rPr>
            </w:pPr>
          </w:p>
        </w:tc>
        <w:tc>
          <w:tcPr>
            <w:tcW w:w="0" w:type="auto"/>
            <w:shd w:val="clear" w:color="auto" w:fill="auto"/>
            <w:vAlign w:val="bottom"/>
          </w:tcPr>
          <w:p w14:paraId="71D43FED" w14:textId="77777777" w:rsidR="006A3667" w:rsidRDefault="006A3667">
            <w:pPr>
              <w:rPr>
                <w:rFonts w:ascii="宋体"/>
              </w:rPr>
            </w:pPr>
          </w:p>
        </w:tc>
        <w:tc>
          <w:tcPr>
            <w:tcW w:w="0" w:type="auto"/>
            <w:shd w:val="clear" w:color="auto" w:fill="auto"/>
            <w:vAlign w:val="bottom"/>
          </w:tcPr>
          <w:p w14:paraId="71D43FEE" w14:textId="77777777" w:rsidR="006A3667" w:rsidRDefault="006A3667">
            <w:pPr>
              <w:rPr>
                <w:rFonts w:ascii="宋体"/>
              </w:rPr>
            </w:pPr>
          </w:p>
        </w:tc>
      </w:tr>
      <w:tr w:rsidR="006A3667" w14:paraId="71D44008" w14:textId="77777777">
        <w:trPr>
          <w:trHeight w:val="400"/>
        </w:trPr>
        <w:tc>
          <w:tcPr>
            <w:tcW w:w="0" w:type="auto"/>
            <w:gridSpan w:val="3"/>
            <w:shd w:val="clear" w:color="auto" w:fill="auto"/>
            <w:tcMar>
              <w:top w:w="40" w:type="dxa"/>
              <w:left w:w="20" w:type="dxa"/>
              <w:bottom w:w="40" w:type="dxa"/>
              <w:right w:w="20" w:type="dxa"/>
            </w:tcMar>
            <w:vAlign w:val="bottom"/>
          </w:tcPr>
          <w:p w14:paraId="71D43FF0" w14:textId="77777777" w:rsidR="006A3667" w:rsidRDefault="00045F32">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FF1" w14:textId="77777777" w:rsidR="006A3667" w:rsidRDefault="00045F32">
            <w:pPr>
              <w:jc w:val="center"/>
              <w:textAlignment w:val="bottom"/>
            </w:pPr>
            <w:r>
              <w:rPr>
                <w:rFonts w:ascii="Arial" w:eastAsia="宋体" w:hAnsi="Arial" w:cs="Arial"/>
                <w:b/>
                <w:bCs/>
                <w:color w:val="000000"/>
                <w:sz w:val="12"/>
                <w:szCs w:val="12"/>
              </w:rPr>
              <w:t xml:space="preserve">Fair Value as of December 31, </w:t>
            </w: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FF2"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3FF3" w14:textId="77777777" w:rsidR="006A3667" w:rsidRDefault="00045F32">
            <w:pPr>
              <w:jc w:val="center"/>
              <w:textAlignment w:val="bottom"/>
            </w:pPr>
            <w:r>
              <w:rPr>
                <w:rFonts w:ascii="Arial" w:eastAsia="宋体" w:hAnsi="Arial" w:cs="Arial"/>
                <w:b/>
                <w:bCs/>
                <w:color w:val="000000"/>
                <w:sz w:val="12"/>
                <w:szCs w:val="12"/>
              </w:rPr>
              <w:t>Total Realized and</w:t>
            </w:r>
          </w:p>
          <w:p w14:paraId="71D43FF4" w14:textId="77777777" w:rsidR="006A3667" w:rsidRDefault="00045F32">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FF5"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FF6" w14:textId="77777777" w:rsidR="006A3667" w:rsidRDefault="00045F32">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FF7" w14:textId="77777777" w:rsidR="006A3667" w:rsidRDefault="006A3667">
            <w:pPr>
              <w:rPr>
                <w:rFonts w:ascii="宋体"/>
              </w:rPr>
            </w:pPr>
          </w:p>
        </w:tc>
        <w:tc>
          <w:tcPr>
            <w:tcW w:w="0" w:type="auto"/>
            <w:shd w:val="clear" w:color="auto" w:fill="auto"/>
            <w:vAlign w:val="bottom"/>
          </w:tcPr>
          <w:p w14:paraId="71D43FF8" w14:textId="77777777" w:rsidR="006A3667" w:rsidRDefault="006A3667">
            <w:pPr>
              <w:rPr>
                <w:rFonts w:ascii="宋体"/>
                <w:vanish/>
              </w:rPr>
            </w:pPr>
          </w:p>
        </w:tc>
        <w:tc>
          <w:tcPr>
            <w:tcW w:w="0" w:type="auto"/>
            <w:shd w:val="clear" w:color="auto" w:fill="auto"/>
            <w:vAlign w:val="bottom"/>
          </w:tcPr>
          <w:p w14:paraId="71D43FF9" w14:textId="77777777" w:rsidR="006A3667" w:rsidRDefault="006A3667">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FFA" w14:textId="77777777" w:rsidR="006A3667" w:rsidRDefault="00045F32">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FFB"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FFC" w14:textId="77777777" w:rsidR="006A3667" w:rsidRDefault="00045F32">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3FFD"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3FFE" w14:textId="77777777" w:rsidR="006A3667" w:rsidRDefault="00045F32">
            <w:pPr>
              <w:jc w:val="center"/>
              <w:textAlignment w:val="bottom"/>
            </w:pPr>
            <w:r>
              <w:rPr>
                <w:rFonts w:ascii="Arial" w:eastAsia="宋体" w:hAnsi="Arial" w:cs="Arial"/>
                <w:b/>
                <w:bCs/>
                <w:color w:val="000000"/>
                <w:sz w:val="12"/>
                <w:szCs w:val="12"/>
              </w:rPr>
              <w:t xml:space="preserve">Transfers into </w:t>
            </w:r>
          </w:p>
          <w:p w14:paraId="71D43FFF" w14:textId="77777777" w:rsidR="006A3667" w:rsidRDefault="00045F32">
            <w:pP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00"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001" w14:textId="77777777" w:rsidR="006A3667" w:rsidRDefault="00045F32">
            <w:pPr>
              <w:jc w:val="center"/>
              <w:textAlignment w:val="bottom"/>
            </w:pPr>
            <w:r>
              <w:rPr>
                <w:rFonts w:ascii="Arial" w:eastAsia="宋体" w:hAnsi="Arial" w:cs="Arial"/>
                <w:b/>
                <w:bCs/>
                <w:color w:val="000000"/>
                <w:sz w:val="12"/>
                <w:szCs w:val="12"/>
              </w:rPr>
              <w:t xml:space="preserve">Transfers </w:t>
            </w:r>
          </w:p>
          <w:p w14:paraId="71D44002" w14:textId="77777777" w:rsidR="006A3667" w:rsidRDefault="00045F32">
            <w:pP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03"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004" w14:textId="77777777" w:rsidR="006A3667" w:rsidRDefault="00045F32">
            <w:pPr>
              <w:jc w:val="center"/>
              <w:textAlignment w:val="bottom"/>
            </w:pPr>
            <w:r>
              <w:rPr>
                <w:rFonts w:ascii="Arial" w:eastAsia="宋体" w:hAnsi="Arial" w:cs="Arial"/>
                <w:b/>
                <w:bCs/>
                <w:color w:val="000000"/>
                <w:sz w:val="12"/>
                <w:szCs w:val="12"/>
              </w:rPr>
              <w:t>Fair Value </w:t>
            </w:r>
          </w:p>
          <w:p w14:paraId="71D44005" w14:textId="77777777" w:rsidR="006A3667" w:rsidRDefault="00045F32">
            <w:pPr>
              <w:jc w:val="center"/>
              <w:textAlignment w:val="bottom"/>
            </w:pPr>
            <w:r>
              <w:rPr>
                <w:rFonts w:ascii="Arial" w:eastAsia="宋体" w:hAnsi="Arial" w:cs="Arial"/>
                <w:b/>
                <w:bCs/>
                <w:color w:val="000000"/>
                <w:sz w:val="12"/>
                <w:szCs w:val="12"/>
              </w:rPr>
              <w:t>as of September 30, 2022</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4006" w14:textId="77777777" w:rsidR="006A3667" w:rsidRDefault="006A3667">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1D44007" w14:textId="77777777" w:rsidR="006A3667" w:rsidRDefault="00045F32">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September 30, 2022</w:t>
            </w:r>
          </w:p>
        </w:tc>
      </w:tr>
      <w:tr w:rsidR="006A3667" w14:paraId="71D4401E" w14:textId="77777777">
        <w:trPr>
          <w:trHeight w:val="720"/>
        </w:trPr>
        <w:tc>
          <w:tcPr>
            <w:tcW w:w="0" w:type="auto"/>
            <w:gridSpan w:val="3"/>
            <w:shd w:val="clear" w:color="auto" w:fill="auto"/>
            <w:tcMar>
              <w:top w:w="40" w:type="dxa"/>
              <w:left w:w="20" w:type="dxa"/>
              <w:bottom w:w="40" w:type="dxa"/>
              <w:right w:w="20" w:type="dxa"/>
            </w:tcMar>
            <w:vAlign w:val="bottom"/>
          </w:tcPr>
          <w:p w14:paraId="71D44009" w14:textId="77777777" w:rsidR="006A3667" w:rsidRDefault="00045F32">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00A"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00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00C" w14:textId="77777777" w:rsidR="006A3667" w:rsidRDefault="00045F32">
            <w:pPr>
              <w:jc w:val="center"/>
              <w:textAlignment w:val="bottom"/>
            </w:pPr>
            <w:r>
              <w:rPr>
                <w:rFonts w:ascii="Arial" w:eastAsia="宋体" w:hAnsi="Arial" w:cs="Arial"/>
                <w:b/>
                <w:bCs/>
                <w:color w:val="000000"/>
                <w:sz w:val="12"/>
                <w:szCs w:val="12"/>
              </w:rPr>
              <w:t>Recorded i</w:t>
            </w:r>
            <w:r>
              <w:rPr>
                <w:rFonts w:ascii="Arial" w:eastAsia="宋体" w:hAnsi="Arial" w:cs="Arial"/>
                <w:b/>
                <w:bCs/>
                <w:color w:val="000000"/>
                <w:sz w:val="12"/>
                <w:szCs w:val="12"/>
              </w:rPr>
              <w:t>n 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0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00E" w14:textId="77777777" w:rsidR="006A3667" w:rsidRDefault="00045F32">
            <w:pP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1D4400F"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010"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011" w14:textId="77777777" w:rsidR="006A3667" w:rsidRDefault="006A3667">
            <w:pPr>
              <w:rPr>
                <w:rFonts w:ascii="宋体"/>
              </w:rPr>
            </w:pPr>
          </w:p>
        </w:tc>
        <w:tc>
          <w:tcPr>
            <w:tcW w:w="0" w:type="auto"/>
            <w:shd w:val="clear" w:color="auto" w:fill="auto"/>
            <w:vAlign w:val="bottom"/>
          </w:tcPr>
          <w:p w14:paraId="71D44012" w14:textId="77777777" w:rsidR="006A3667" w:rsidRDefault="006A3667">
            <w:pPr>
              <w:rPr>
                <w:rFonts w:ascii="宋体"/>
                <w:vanish/>
              </w:rPr>
            </w:pPr>
          </w:p>
        </w:tc>
        <w:tc>
          <w:tcPr>
            <w:tcW w:w="0" w:type="auto"/>
            <w:shd w:val="clear" w:color="auto" w:fill="auto"/>
            <w:vAlign w:val="bottom"/>
          </w:tcPr>
          <w:p w14:paraId="71D44013" w14:textId="77777777" w:rsidR="006A3667" w:rsidRDefault="006A3667">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014"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015"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016"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017"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01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19"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01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1B"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01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1D" w14:textId="77777777" w:rsidR="006A3667" w:rsidRDefault="006A3667">
            <w:pPr>
              <w:rPr>
                <w:rFonts w:ascii="宋体"/>
              </w:rPr>
            </w:pPr>
          </w:p>
        </w:tc>
      </w:tr>
      <w:tr w:rsidR="006A3667" w14:paraId="71D44035" w14:textId="77777777">
        <w:tc>
          <w:tcPr>
            <w:tcW w:w="0" w:type="auto"/>
            <w:gridSpan w:val="3"/>
            <w:shd w:val="clear" w:color="auto" w:fill="auto"/>
            <w:tcMar>
              <w:top w:w="40" w:type="dxa"/>
              <w:left w:w="20" w:type="dxa"/>
              <w:bottom w:w="40" w:type="dxa"/>
              <w:right w:w="20" w:type="dxa"/>
            </w:tcMar>
            <w:vAlign w:val="center"/>
          </w:tcPr>
          <w:p w14:paraId="71D4401F" w14:textId="77777777" w:rsidR="006A3667" w:rsidRDefault="00045F32">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2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2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2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2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2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2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2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27" w14:textId="77777777" w:rsidR="006A3667" w:rsidRDefault="006A3667">
            <w:pPr>
              <w:rPr>
                <w:rFonts w:ascii="宋体"/>
              </w:rPr>
            </w:pPr>
          </w:p>
        </w:tc>
        <w:tc>
          <w:tcPr>
            <w:tcW w:w="0" w:type="auto"/>
            <w:shd w:val="clear" w:color="auto" w:fill="auto"/>
            <w:vAlign w:val="bottom"/>
          </w:tcPr>
          <w:p w14:paraId="71D44028" w14:textId="77777777" w:rsidR="006A3667" w:rsidRDefault="006A3667">
            <w:pPr>
              <w:rPr>
                <w:rFonts w:ascii="宋体"/>
                <w:vanish/>
              </w:rPr>
            </w:pPr>
          </w:p>
        </w:tc>
        <w:tc>
          <w:tcPr>
            <w:tcW w:w="0" w:type="auto"/>
            <w:shd w:val="clear" w:color="auto" w:fill="auto"/>
            <w:vAlign w:val="bottom"/>
          </w:tcPr>
          <w:p w14:paraId="71D44029"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2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2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2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2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2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3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03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032"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4033" w14:textId="77777777" w:rsidR="006A3667" w:rsidRDefault="006A3667">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1D44034" w14:textId="77777777" w:rsidR="006A3667" w:rsidRDefault="006A3667">
            <w:pPr>
              <w:rPr>
                <w:rFonts w:ascii="宋体"/>
              </w:rPr>
            </w:pPr>
          </w:p>
        </w:tc>
      </w:tr>
      <w:tr w:rsidR="006A3667" w14:paraId="71D4404C" w14:textId="77777777">
        <w:trPr>
          <w:hidden/>
        </w:trPr>
        <w:tc>
          <w:tcPr>
            <w:tcW w:w="0" w:type="auto"/>
            <w:gridSpan w:val="3"/>
            <w:shd w:val="clear" w:color="auto" w:fill="auto"/>
            <w:vAlign w:val="bottom"/>
          </w:tcPr>
          <w:p w14:paraId="71D44036" w14:textId="77777777" w:rsidR="006A3667" w:rsidRDefault="006A3667">
            <w:pPr>
              <w:rPr>
                <w:rFonts w:ascii="宋体"/>
                <w:vanish/>
              </w:rPr>
            </w:pPr>
          </w:p>
        </w:tc>
        <w:tc>
          <w:tcPr>
            <w:tcW w:w="0" w:type="auto"/>
            <w:gridSpan w:val="3"/>
            <w:shd w:val="clear" w:color="auto" w:fill="auto"/>
            <w:vAlign w:val="bottom"/>
          </w:tcPr>
          <w:p w14:paraId="71D44037" w14:textId="77777777" w:rsidR="006A3667" w:rsidRDefault="006A3667">
            <w:pPr>
              <w:rPr>
                <w:rFonts w:ascii="宋体"/>
                <w:vanish/>
              </w:rPr>
            </w:pPr>
          </w:p>
        </w:tc>
        <w:tc>
          <w:tcPr>
            <w:tcW w:w="0" w:type="auto"/>
            <w:gridSpan w:val="3"/>
            <w:shd w:val="clear" w:color="auto" w:fill="auto"/>
            <w:vAlign w:val="bottom"/>
          </w:tcPr>
          <w:p w14:paraId="71D44038" w14:textId="77777777" w:rsidR="006A3667" w:rsidRDefault="006A3667">
            <w:pPr>
              <w:rPr>
                <w:rFonts w:ascii="宋体"/>
                <w:vanish/>
              </w:rPr>
            </w:pPr>
          </w:p>
        </w:tc>
        <w:tc>
          <w:tcPr>
            <w:tcW w:w="0" w:type="auto"/>
            <w:gridSpan w:val="3"/>
            <w:shd w:val="clear" w:color="auto" w:fill="auto"/>
            <w:vAlign w:val="bottom"/>
          </w:tcPr>
          <w:p w14:paraId="71D44039" w14:textId="77777777" w:rsidR="006A3667" w:rsidRDefault="006A3667">
            <w:pPr>
              <w:rPr>
                <w:rFonts w:ascii="宋体"/>
                <w:vanish/>
              </w:rPr>
            </w:pPr>
          </w:p>
        </w:tc>
        <w:tc>
          <w:tcPr>
            <w:tcW w:w="0" w:type="auto"/>
            <w:gridSpan w:val="3"/>
            <w:shd w:val="clear" w:color="auto" w:fill="auto"/>
            <w:vAlign w:val="bottom"/>
          </w:tcPr>
          <w:p w14:paraId="71D4403A" w14:textId="77777777" w:rsidR="006A3667" w:rsidRDefault="006A3667">
            <w:pPr>
              <w:rPr>
                <w:rFonts w:ascii="宋体"/>
                <w:vanish/>
              </w:rPr>
            </w:pPr>
          </w:p>
        </w:tc>
        <w:tc>
          <w:tcPr>
            <w:tcW w:w="0" w:type="auto"/>
            <w:gridSpan w:val="3"/>
            <w:shd w:val="clear" w:color="auto" w:fill="auto"/>
            <w:vAlign w:val="bottom"/>
          </w:tcPr>
          <w:p w14:paraId="71D4403B" w14:textId="77777777" w:rsidR="006A3667" w:rsidRDefault="006A3667">
            <w:pPr>
              <w:rPr>
                <w:rFonts w:ascii="宋体"/>
                <w:vanish/>
              </w:rPr>
            </w:pPr>
          </w:p>
        </w:tc>
        <w:tc>
          <w:tcPr>
            <w:tcW w:w="0" w:type="auto"/>
            <w:gridSpan w:val="3"/>
            <w:shd w:val="clear" w:color="auto" w:fill="auto"/>
            <w:vAlign w:val="bottom"/>
          </w:tcPr>
          <w:p w14:paraId="71D4403C" w14:textId="77777777" w:rsidR="006A3667" w:rsidRDefault="006A3667">
            <w:pPr>
              <w:rPr>
                <w:rFonts w:ascii="宋体"/>
                <w:vanish/>
              </w:rPr>
            </w:pPr>
          </w:p>
        </w:tc>
        <w:tc>
          <w:tcPr>
            <w:tcW w:w="0" w:type="auto"/>
            <w:gridSpan w:val="3"/>
            <w:shd w:val="clear" w:color="auto" w:fill="auto"/>
            <w:vAlign w:val="bottom"/>
          </w:tcPr>
          <w:p w14:paraId="71D4403D" w14:textId="77777777" w:rsidR="006A3667" w:rsidRDefault="006A3667">
            <w:pPr>
              <w:rPr>
                <w:rFonts w:ascii="宋体"/>
                <w:vanish/>
              </w:rPr>
            </w:pPr>
          </w:p>
        </w:tc>
        <w:tc>
          <w:tcPr>
            <w:tcW w:w="0" w:type="auto"/>
            <w:gridSpan w:val="3"/>
            <w:shd w:val="clear" w:color="auto" w:fill="auto"/>
            <w:vAlign w:val="bottom"/>
          </w:tcPr>
          <w:p w14:paraId="71D4403E" w14:textId="77777777" w:rsidR="006A3667" w:rsidRDefault="006A3667">
            <w:pPr>
              <w:rPr>
                <w:rFonts w:ascii="宋体"/>
                <w:vanish/>
              </w:rPr>
            </w:pPr>
          </w:p>
        </w:tc>
        <w:tc>
          <w:tcPr>
            <w:tcW w:w="0" w:type="auto"/>
            <w:shd w:val="clear" w:color="auto" w:fill="auto"/>
            <w:vAlign w:val="bottom"/>
          </w:tcPr>
          <w:p w14:paraId="71D4403F" w14:textId="77777777" w:rsidR="006A3667" w:rsidRDefault="006A3667">
            <w:pPr>
              <w:rPr>
                <w:rFonts w:ascii="宋体"/>
                <w:vanish/>
              </w:rPr>
            </w:pPr>
          </w:p>
        </w:tc>
        <w:tc>
          <w:tcPr>
            <w:tcW w:w="0" w:type="auto"/>
            <w:shd w:val="clear" w:color="auto" w:fill="auto"/>
            <w:vAlign w:val="bottom"/>
          </w:tcPr>
          <w:p w14:paraId="71D44040" w14:textId="77777777" w:rsidR="006A3667" w:rsidRDefault="006A3667">
            <w:pPr>
              <w:rPr>
                <w:rFonts w:ascii="宋体"/>
                <w:vanish/>
              </w:rPr>
            </w:pPr>
          </w:p>
        </w:tc>
        <w:tc>
          <w:tcPr>
            <w:tcW w:w="0" w:type="auto"/>
            <w:gridSpan w:val="3"/>
            <w:shd w:val="clear" w:color="auto" w:fill="auto"/>
            <w:vAlign w:val="bottom"/>
          </w:tcPr>
          <w:p w14:paraId="71D44041" w14:textId="77777777" w:rsidR="006A3667" w:rsidRDefault="006A3667">
            <w:pPr>
              <w:rPr>
                <w:rFonts w:ascii="宋体"/>
                <w:vanish/>
              </w:rPr>
            </w:pPr>
          </w:p>
        </w:tc>
        <w:tc>
          <w:tcPr>
            <w:tcW w:w="0" w:type="auto"/>
            <w:gridSpan w:val="3"/>
            <w:shd w:val="clear" w:color="auto" w:fill="auto"/>
            <w:vAlign w:val="bottom"/>
          </w:tcPr>
          <w:p w14:paraId="71D44042" w14:textId="77777777" w:rsidR="006A3667" w:rsidRDefault="006A3667">
            <w:pPr>
              <w:rPr>
                <w:rFonts w:ascii="宋体"/>
                <w:vanish/>
              </w:rPr>
            </w:pPr>
          </w:p>
        </w:tc>
        <w:tc>
          <w:tcPr>
            <w:tcW w:w="0" w:type="auto"/>
            <w:gridSpan w:val="3"/>
            <w:shd w:val="clear" w:color="auto" w:fill="auto"/>
            <w:vAlign w:val="bottom"/>
          </w:tcPr>
          <w:p w14:paraId="71D44043" w14:textId="77777777" w:rsidR="006A3667" w:rsidRDefault="006A3667">
            <w:pPr>
              <w:rPr>
                <w:rFonts w:ascii="宋体"/>
                <w:vanish/>
              </w:rPr>
            </w:pPr>
          </w:p>
        </w:tc>
        <w:tc>
          <w:tcPr>
            <w:tcW w:w="0" w:type="auto"/>
            <w:gridSpan w:val="3"/>
            <w:shd w:val="clear" w:color="auto" w:fill="auto"/>
            <w:vAlign w:val="bottom"/>
          </w:tcPr>
          <w:p w14:paraId="71D44044" w14:textId="77777777" w:rsidR="006A3667" w:rsidRDefault="006A3667">
            <w:pPr>
              <w:rPr>
                <w:rFonts w:ascii="宋体"/>
                <w:vanish/>
              </w:rPr>
            </w:pPr>
          </w:p>
        </w:tc>
        <w:tc>
          <w:tcPr>
            <w:tcW w:w="0" w:type="auto"/>
            <w:gridSpan w:val="3"/>
            <w:shd w:val="clear" w:color="auto" w:fill="auto"/>
            <w:vAlign w:val="bottom"/>
          </w:tcPr>
          <w:p w14:paraId="71D44045" w14:textId="77777777" w:rsidR="006A3667" w:rsidRDefault="006A3667">
            <w:pPr>
              <w:rPr>
                <w:rFonts w:ascii="宋体"/>
                <w:vanish/>
              </w:rPr>
            </w:pPr>
          </w:p>
        </w:tc>
        <w:tc>
          <w:tcPr>
            <w:tcW w:w="0" w:type="auto"/>
            <w:gridSpan w:val="3"/>
            <w:shd w:val="clear" w:color="auto" w:fill="auto"/>
            <w:vAlign w:val="bottom"/>
          </w:tcPr>
          <w:p w14:paraId="71D44046" w14:textId="77777777" w:rsidR="006A3667" w:rsidRDefault="006A3667">
            <w:pPr>
              <w:rPr>
                <w:rFonts w:ascii="宋体"/>
                <w:vanish/>
              </w:rPr>
            </w:pPr>
          </w:p>
        </w:tc>
        <w:tc>
          <w:tcPr>
            <w:tcW w:w="0" w:type="auto"/>
            <w:gridSpan w:val="3"/>
            <w:shd w:val="clear" w:color="auto" w:fill="auto"/>
            <w:vAlign w:val="bottom"/>
          </w:tcPr>
          <w:p w14:paraId="71D44047" w14:textId="77777777" w:rsidR="006A3667" w:rsidRDefault="006A3667">
            <w:pPr>
              <w:rPr>
                <w:rFonts w:ascii="宋体"/>
                <w:vanish/>
              </w:rPr>
            </w:pPr>
          </w:p>
        </w:tc>
        <w:tc>
          <w:tcPr>
            <w:tcW w:w="0" w:type="auto"/>
            <w:gridSpan w:val="3"/>
            <w:shd w:val="clear" w:color="auto" w:fill="auto"/>
            <w:vAlign w:val="bottom"/>
          </w:tcPr>
          <w:p w14:paraId="71D44048" w14:textId="77777777" w:rsidR="006A3667" w:rsidRDefault="006A3667">
            <w:pPr>
              <w:rPr>
                <w:rFonts w:ascii="宋体"/>
                <w:vanish/>
              </w:rPr>
            </w:pPr>
          </w:p>
        </w:tc>
        <w:tc>
          <w:tcPr>
            <w:tcW w:w="0" w:type="auto"/>
            <w:gridSpan w:val="3"/>
            <w:shd w:val="clear" w:color="auto" w:fill="auto"/>
            <w:vAlign w:val="bottom"/>
          </w:tcPr>
          <w:p w14:paraId="71D44049" w14:textId="77777777" w:rsidR="006A3667" w:rsidRDefault="006A3667">
            <w:pPr>
              <w:rPr>
                <w:rFonts w:ascii="宋体"/>
                <w:vanish/>
              </w:rPr>
            </w:pPr>
          </w:p>
        </w:tc>
        <w:tc>
          <w:tcPr>
            <w:tcW w:w="0" w:type="auto"/>
            <w:gridSpan w:val="2"/>
            <w:shd w:val="clear" w:color="auto" w:fill="auto"/>
            <w:vAlign w:val="bottom"/>
          </w:tcPr>
          <w:p w14:paraId="71D4404A" w14:textId="77777777" w:rsidR="006A3667" w:rsidRDefault="006A3667">
            <w:pPr>
              <w:rPr>
                <w:rFonts w:ascii="宋体"/>
                <w:vanish/>
              </w:rPr>
            </w:pPr>
          </w:p>
        </w:tc>
        <w:tc>
          <w:tcPr>
            <w:tcW w:w="0" w:type="auto"/>
            <w:shd w:val="clear" w:color="auto" w:fill="auto"/>
            <w:vAlign w:val="bottom"/>
          </w:tcPr>
          <w:p w14:paraId="71D4404B" w14:textId="77777777" w:rsidR="006A3667" w:rsidRDefault="006A3667">
            <w:pPr>
              <w:rPr>
                <w:rFonts w:ascii="宋体"/>
                <w:vanish/>
              </w:rPr>
            </w:pPr>
          </w:p>
        </w:tc>
      </w:tr>
      <w:tr w:rsidR="006A3667" w14:paraId="71D44063" w14:textId="77777777">
        <w:trPr>
          <w:hidden/>
        </w:trPr>
        <w:tc>
          <w:tcPr>
            <w:tcW w:w="0" w:type="auto"/>
            <w:gridSpan w:val="3"/>
            <w:shd w:val="clear" w:color="auto" w:fill="auto"/>
            <w:vAlign w:val="bottom"/>
          </w:tcPr>
          <w:p w14:paraId="71D4404D" w14:textId="77777777" w:rsidR="006A3667" w:rsidRDefault="006A3667">
            <w:pPr>
              <w:rPr>
                <w:rFonts w:ascii="宋体"/>
                <w:vanish/>
              </w:rPr>
            </w:pPr>
          </w:p>
        </w:tc>
        <w:tc>
          <w:tcPr>
            <w:tcW w:w="0" w:type="auto"/>
            <w:gridSpan w:val="3"/>
            <w:shd w:val="clear" w:color="auto" w:fill="auto"/>
            <w:vAlign w:val="bottom"/>
          </w:tcPr>
          <w:p w14:paraId="71D4404E" w14:textId="77777777" w:rsidR="006A3667" w:rsidRDefault="006A3667">
            <w:pPr>
              <w:rPr>
                <w:rFonts w:ascii="宋体"/>
                <w:vanish/>
              </w:rPr>
            </w:pPr>
          </w:p>
        </w:tc>
        <w:tc>
          <w:tcPr>
            <w:tcW w:w="0" w:type="auto"/>
            <w:gridSpan w:val="3"/>
            <w:shd w:val="clear" w:color="auto" w:fill="auto"/>
            <w:vAlign w:val="bottom"/>
          </w:tcPr>
          <w:p w14:paraId="71D4404F" w14:textId="77777777" w:rsidR="006A3667" w:rsidRDefault="006A3667">
            <w:pPr>
              <w:rPr>
                <w:rFonts w:ascii="宋体"/>
                <w:vanish/>
              </w:rPr>
            </w:pPr>
          </w:p>
        </w:tc>
        <w:tc>
          <w:tcPr>
            <w:tcW w:w="0" w:type="auto"/>
            <w:gridSpan w:val="3"/>
            <w:shd w:val="clear" w:color="auto" w:fill="auto"/>
            <w:vAlign w:val="bottom"/>
          </w:tcPr>
          <w:p w14:paraId="71D44050" w14:textId="77777777" w:rsidR="006A3667" w:rsidRDefault="006A3667">
            <w:pPr>
              <w:rPr>
                <w:rFonts w:ascii="宋体"/>
                <w:vanish/>
              </w:rPr>
            </w:pPr>
          </w:p>
        </w:tc>
        <w:tc>
          <w:tcPr>
            <w:tcW w:w="0" w:type="auto"/>
            <w:gridSpan w:val="3"/>
            <w:shd w:val="clear" w:color="auto" w:fill="auto"/>
            <w:vAlign w:val="bottom"/>
          </w:tcPr>
          <w:p w14:paraId="71D44051" w14:textId="77777777" w:rsidR="006A3667" w:rsidRDefault="006A3667">
            <w:pPr>
              <w:rPr>
                <w:rFonts w:ascii="宋体"/>
                <w:vanish/>
              </w:rPr>
            </w:pPr>
          </w:p>
        </w:tc>
        <w:tc>
          <w:tcPr>
            <w:tcW w:w="0" w:type="auto"/>
            <w:gridSpan w:val="3"/>
            <w:shd w:val="clear" w:color="auto" w:fill="auto"/>
            <w:vAlign w:val="bottom"/>
          </w:tcPr>
          <w:p w14:paraId="71D44052" w14:textId="77777777" w:rsidR="006A3667" w:rsidRDefault="006A3667">
            <w:pPr>
              <w:rPr>
                <w:rFonts w:ascii="宋体"/>
                <w:vanish/>
              </w:rPr>
            </w:pPr>
          </w:p>
        </w:tc>
        <w:tc>
          <w:tcPr>
            <w:tcW w:w="0" w:type="auto"/>
            <w:gridSpan w:val="3"/>
            <w:shd w:val="clear" w:color="auto" w:fill="auto"/>
            <w:vAlign w:val="bottom"/>
          </w:tcPr>
          <w:p w14:paraId="71D44053" w14:textId="77777777" w:rsidR="006A3667" w:rsidRDefault="006A3667">
            <w:pPr>
              <w:rPr>
                <w:rFonts w:ascii="宋体"/>
                <w:vanish/>
              </w:rPr>
            </w:pPr>
          </w:p>
        </w:tc>
        <w:tc>
          <w:tcPr>
            <w:tcW w:w="0" w:type="auto"/>
            <w:gridSpan w:val="3"/>
            <w:shd w:val="clear" w:color="auto" w:fill="auto"/>
            <w:vAlign w:val="bottom"/>
          </w:tcPr>
          <w:p w14:paraId="71D44054" w14:textId="77777777" w:rsidR="006A3667" w:rsidRDefault="006A3667">
            <w:pPr>
              <w:rPr>
                <w:rFonts w:ascii="宋体"/>
                <w:vanish/>
              </w:rPr>
            </w:pPr>
          </w:p>
        </w:tc>
        <w:tc>
          <w:tcPr>
            <w:tcW w:w="0" w:type="auto"/>
            <w:gridSpan w:val="3"/>
            <w:shd w:val="clear" w:color="auto" w:fill="auto"/>
            <w:vAlign w:val="bottom"/>
          </w:tcPr>
          <w:p w14:paraId="71D44055" w14:textId="77777777" w:rsidR="006A3667" w:rsidRDefault="006A3667">
            <w:pPr>
              <w:rPr>
                <w:rFonts w:ascii="宋体"/>
                <w:vanish/>
              </w:rPr>
            </w:pPr>
          </w:p>
        </w:tc>
        <w:tc>
          <w:tcPr>
            <w:tcW w:w="0" w:type="auto"/>
            <w:shd w:val="clear" w:color="auto" w:fill="auto"/>
            <w:vAlign w:val="bottom"/>
          </w:tcPr>
          <w:p w14:paraId="71D44056" w14:textId="77777777" w:rsidR="006A3667" w:rsidRDefault="006A3667">
            <w:pPr>
              <w:rPr>
                <w:rFonts w:ascii="宋体"/>
                <w:vanish/>
              </w:rPr>
            </w:pPr>
          </w:p>
        </w:tc>
        <w:tc>
          <w:tcPr>
            <w:tcW w:w="0" w:type="auto"/>
            <w:shd w:val="clear" w:color="auto" w:fill="auto"/>
            <w:vAlign w:val="bottom"/>
          </w:tcPr>
          <w:p w14:paraId="71D44057" w14:textId="77777777" w:rsidR="006A3667" w:rsidRDefault="006A3667">
            <w:pPr>
              <w:rPr>
                <w:rFonts w:ascii="宋体"/>
                <w:vanish/>
              </w:rPr>
            </w:pPr>
          </w:p>
        </w:tc>
        <w:tc>
          <w:tcPr>
            <w:tcW w:w="0" w:type="auto"/>
            <w:gridSpan w:val="3"/>
            <w:shd w:val="clear" w:color="auto" w:fill="auto"/>
            <w:vAlign w:val="bottom"/>
          </w:tcPr>
          <w:p w14:paraId="71D44058" w14:textId="77777777" w:rsidR="006A3667" w:rsidRDefault="006A3667">
            <w:pPr>
              <w:rPr>
                <w:rFonts w:ascii="宋体"/>
                <w:vanish/>
              </w:rPr>
            </w:pPr>
          </w:p>
        </w:tc>
        <w:tc>
          <w:tcPr>
            <w:tcW w:w="0" w:type="auto"/>
            <w:gridSpan w:val="3"/>
            <w:shd w:val="clear" w:color="auto" w:fill="auto"/>
            <w:vAlign w:val="bottom"/>
          </w:tcPr>
          <w:p w14:paraId="71D44059" w14:textId="77777777" w:rsidR="006A3667" w:rsidRDefault="006A3667">
            <w:pPr>
              <w:rPr>
                <w:rFonts w:ascii="宋体"/>
                <w:vanish/>
              </w:rPr>
            </w:pPr>
          </w:p>
        </w:tc>
        <w:tc>
          <w:tcPr>
            <w:tcW w:w="0" w:type="auto"/>
            <w:gridSpan w:val="3"/>
            <w:shd w:val="clear" w:color="auto" w:fill="auto"/>
            <w:vAlign w:val="bottom"/>
          </w:tcPr>
          <w:p w14:paraId="71D4405A" w14:textId="77777777" w:rsidR="006A3667" w:rsidRDefault="006A3667">
            <w:pPr>
              <w:rPr>
                <w:rFonts w:ascii="宋体"/>
                <w:vanish/>
              </w:rPr>
            </w:pPr>
          </w:p>
        </w:tc>
        <w:tc>
          <w:tcPr>
            <w:tcW w:w="0" w:type="auto"/>
            <w:gridSpan w:val="3"/>
            <w:shd w:val="clear" w:color="auto" w:fill="auto"/>
            <w:vAlign w:val="bottom"/>
          </w:tcPr>
          <w:p w14:paraId="71D4405B" w14:textId="77777777" w:rsidR="006A3667" w:rsidRDefault="006A3667">
            <w:pPr>
              <w:rPr>
                <w:rFonts w:ascii="宋体"/>
                <w:vanish/>
              </w:rPr>
            </w:pPr>
          </w:p>
        </w:tc>
        <w:tc>
          <w:tcPr>
            <w:tcW w:w="0" w:type="auto"/>
            <w:gridSpan w:val="3"/>
            <w:shd w:val="clear" w:color="auto" w:fill="auto"/>
            <w:vAlign w:val="bottom"/>
          </w:tcPr>
          <w:p w14:paraId="71D4405C" w14:textId="77777777" w:rsidR="006A3667" w:rsidRDefault="006A3667">
            <w:pPr>
              <w:rPr>
                <w:rFonts w:ascii="宋体"/>
                <w:vanish/>
              </w:rPr>
            </w:pPr>
          </w:p>
        </w:tc>
        <w:tc>
          <w:tcPr>
            <w:tcW w:w="0" w:type="auto"/>
            <w:gridSpan w:val="3"/>
            <w:shd w:val="clear" w:color="auto" w:fill="auto"/>
            <w:vAlign w:val="bottom"/>
          </w:tcPr>
          <w:p w14:paraId="71D4405D" w14:textId="77777777" w:rsidR="006A3667" w:rsidRDefault="006A3667">
            <w:pPr>
              <w:rPr>
                <w:rFonts w:ascii="宋体"/>
                <w:vanish/>
              </w:rPr>
            </w:pPr>
          </w:p>
        </w:tc>
        <w:tc>
          <w:tcPr>
            <w:tcW w:w="0" w:type="auto"/>
            <w:gridSpan w:val="3"/>
            <w:shd w:val="clear" w:color="auto" w:fill="auto"/>
            <w:vAlign w:val="bottom"/>
          </w:tcPr>
          <w:p w14:paraId="71D4405E" w14:textId="77777777" w:rsidR="006A3667" w:rsidRDefault="006A3667">
            <w:pPr>
              <w:rPr>
                <w:rFonts w:ascii="宋体"/>
                <w:vanish/>
              </w:rPr>
            </w:pPr>
          </w:p>
        </w:tc>
        <w:tc>
          <w:tcPr>
            <w:tcW w:w="0" w:type="auto"/>
            <w:gridSpan w:val="3"/>
            <w:shd w:val="clear" w:color="auto" w:fill="auto"/>
            <w:vAlign w:val="bottom"/>
          </w:tcPr>
          <w:p w14:paraId="71D4405F" w14:textId="77777777" w:rsidR="006A3667" w:rsidRDefault="006A3667">
            <w:pPr>
              <w:rPr>
                <w:rFonts w:ascii="宋体"/>
                <w:vanish/>
              </w:rPr>
            </w:pPr>
          </w:p>
        </w:tc>
        <w:tc>
          <w:tcPr>
            <w:tcW w:w="0" w:type="auto"/>
            <w:gridSpan w:val="3"/>
            <w:shd w:val="clear" w:color="auto" w:fill="auto"/>
            <w:vAlign w:val="bottom"/>
          </w:tcPr>
          <w:p w14:paraId="71D44060" w14:textId="77777777" w:rsidR="006A3667" w:rsidRDefault="006A3667">
            <w:pPr>
              <w:rPr>
                <w:rFonts w:ascii="宋体"/>
                <w:vanish/>
              </w:rPr>
            </w:pPr>
          </w:p>
        </w:tc>
        <w:tc>
          <w:tcPr>
            <w:tcW w:w="0" w:type="auto"/>
            <w:gridSpan w:val="2"/>
            <w:shd w:val="clear" w:color="auto" w:fill="auto"/>
            <w:vAlign w:val="bottom"/>
          </w:tcPr>
          <w:p w14:paraId="71D44061" w14:textId="77777777" w:rsidR="006A3667" w:rsidRDefault="006A3667">
            <w:pPr>
              <w:rPr>
                <w:rFonts w:ascii="宋体"/>
                <w:vanish/>
              </w:rPr>
            </w:pPr>
          </w:p>
        </w:tc>
        <w:tc>
          <w:tcPr>
            <w:tcW w:w="0" w:type="auto"/>
            <w:shd w:val="clear" w:color="auto" w:fill="auto"/>
            <w:vAlign w:val="bottom"/>
          </w:tcPr>
          <w:p w14:paraId="71D44062" w14:textId="77777777" w:rsidR="006A3667" w:rsidRDefault="006A3667">
            <w:pPr>
              <w:rPr>
                <w:rFonts w:ascii="宋体"/>
                <w:vanish/>
              </w:rPr>
            </w:pPr>
          </w:p>
        </w:tc>
      </w:tr>
      <w:tr w:rsidR="006A3667" w14:paraId="71D4407A" w14:textId="77777777">
        <w:trPr>
          <w:hidden/>
        </w:trPr>
        <w:tc>
          <w:tcPr>
            <w:tcW w:w="0" w:type="auto"/>
            <w:gridSpan w:val="3"/>
            <w:shd w:val="clear" w:color="auto" w:fill="auto"/>
            <w:vAlign w:val="bottom"/>
          </w:tcPr>
          <w:p w14:paraId="71D44064" w14:textId="77777777" w:rsidR="006A3667" w:rsidRDefault="006A3667">
            <w:pPr>
              <w:rPr>
                <w:rFonts w:ascii="宋体"/>
                <w:vanish/>
              </w:rPr>
            </w:pPr>
          </w:p>
        </w:tc>
        <w:tc>
          <w:tcPr>
            <w:tcW w:w="0" w:type="auto"/>
            <w:gridSpan w:val="3"/>
            <w:shd w:val="clear" w:color="auto" w:fill="auto"/>
            <w:vAlign w:val="bottom"/>
          </w:tcPr>
          <w:p w14:paraId="71D44065" w14:textId="77777777" w:rsidR="006A3667" w:rsidRDefault="006A3667">
            <w:pPr>
              <w:rPr>
                <w:rFonts w:ascii="宋体"/>
                <w:vanish/>
              </w:rPr>
            </w:pPr>
          </w:p>
        </w:tc>
        <w:tc>
          <w:tcPr>
            <w:tcW w:w="0" w:type="auto"/>
            <w:gridSpan w:val="3"/>
            <w:shd w:val="clear" w:color="auto" w:fill="auto"/>
            <w:vAlign w:val="bottom"/>
          </w:tcPr>
          <w:p w14:paraId="71D44066" w14:textId="77777777" w:rsidR="006A3667" w:rsidRDefault="006A3667">
            <w:pPr>
              <w:rPr>
                <w:rFonts w:ascii="宋体"/>
                <w:vanish/>
              </w:rPr>
            </w:pPr>
          </w:p>
        </w:tc>
        <w:tc>
          <w:tcPr>
            <w:tcW w:w="0" w:type="auto"/>
            <w:gridSpan w:val="3"/>
            <w:shd w:val="clear" w:color="auto" w:fill="auto"/>
            <w:vAlign w:val="bottom"/>
          </w:tcPr>
          <w:p w14:paraId="71D44067" w14:textId="77777777" w:rsidR="006A3667" w:rsidRDefault="006A3667">
            <w:pPr>
              <w:rPr>
                <w:rFonts w:ascii="宋体"/>
                <w:vanish/>
              </w:rPr>
            </w:pPr>
          </w:p>
        </w:tc>
        <w:tc>
          <w:tcPr>
            <w:tcW w:w="0" w:type="auto"/>
            <w:gridSpan w:val="3"/>
            <w:shd w:val="clear" w:color="auto" w:fill="auto"/>
            <w:vAlign w:val="bottom"/>
          </w:tcPr>
          <w:p w14:paraId="71D44068" w14:textId="77777777" w:rsidR="006A3667" w:rsidRDefault="006A3667">
            <w:pPr>
              <w:rPr>
                <w:rFonts w:ascii="宋体"/>
                <w:vanish/>
              </w:rPr>
            </w:pPr>
          </w:p>
        </w:tc>
        <w:tc>
          <w:tcPr>
            <w:tcW w:w="0" w:type="auto"/>
            <w:gridSpan w:val="3"/>
            <w:shd w:val="clear" w:color="auto" w:fill="auto"/>
            <w:vAlign w:val="bottom"/>
          </w:tcPr>
          <w:p w14:paraId="71D44069" w14:textId="77777777" w:rsidR="006A3667" w:rsidRDefault="006A3667">
            <w:pPr>
              <w:rPr>
                <w:rFonts w:ascii="宋体"/>
                <w:vanish/>
              </w:rPr>
            </w:pPr>
          </w:p>
        </w:tc>
        <w:tc>
          <w:tcPr>
            <w:tcW w:w="0" w:type="auto"/>
            <w:gridSpan w:val="3"/>
            <w:shd w:val="clear" w:color="auto" w:fill="auto"/>
            <w:vAlign w:val="bottom"/>
          </w:tcPr>
          <w:p w14:paraId="71D4406A" w14:textId="77777777" w:rsidR="006A3667" w:rsidRDefault="006A3667">
            <w:pPr>
              <w:rPr>
                <w:rFonts w:ascii="宋体"/>
                <w:vanish/>
              </w:rPr>
            </w:pPr>
          </w:p>
        </w:tc>
        <w:tc>
          <w:tcPr>
            <w:tcW w:w="0" w:type="auto"/>
            <w:gridSpan w:val="3"/>
            <w:shd w:val="clear" w:color="auto" w:fill="auto"/>
            <w:vAlign w:val="bottom"/>
          </w:tcPr>
          <w:p w14:paraId="71D4406B" w14:textId="77777777" w:rsidR="006A3667" w:rsidRDefault="006A3667">
            <w:pPr>
              <w:rPr>
                <w:rFonts w:ascii="宋体"/>
                <w:vanish/>
              </w:rPr>
            </w:pPr>
          </w:p>
        </w:tc>
        <w:tc>
          <w:tcPr>
            <w:tcW w:w="0" w:type="auto"/>
            <w:gridSpan w:val="3"/>
            <w:shd w:val="clear" w:color="auto" w:fill="auto"/>
            <w:vAlign w:val="bottom"/>
          </w:tcPr>
          <w:p w14:paraId="71D4406C" w14:textId="77777777" w:rsidR="006A3667" w:rsidRDefault="006A3667">
            <w:pPr>
              <w:rPr>
                <w:rFonts w:ascii="宋体"/>
                <w:vanish/>
              </w:rPr>
            </w:pPr>
          </w:p>
        </w:tc>
        <w:tc>
          <w:tcPr>
            <w:tcW w:w="0" w:type="auto"/>
            <w:shd w:val="clear" w:color="auto" w:fill="auto"/>
            <w:vAlign w:val="bottom"/>
          </w:tcPr>
          <w:p w14:paraId="71D4406D" w14:textId="77777777" w:rsidR="006A3667" w:rsidRDefault="006A3667">
            <w:pPr>
              <w:rPr>
                <w:rFonts w:ascii="宋体"/>
                <w:vanish/>
              </w:rPr>
            </w:pPr>
          </w:p>
        </w:tc>
        <w:tc>
          <w:tcPr>
            <w:tcW w:w="0" w:type="auto"/>
            <w:shd w:val="clear" w:color="auto" w:fill="auto"/>
            <w:vAlign w:val="bottom"/>
          </w:tcPr>
          <w:p w14:paraId="71D4406E" w14:textId="77777777" w:rsidR="006A3667" w:rsidRDefault="006A3667">
            <w:pPr>
              <w:rPr>
                <w:rFonts w:ascii="宋体"/>
                <w:vanish/>
              </w:rPr>
            </w:pPr>
          </w:p>
        </w:tc>
        <w:tc>
          <w:tcPr>
            <w:tcW w:w="0" w:type="auto"/>
            <w:gridSpan w:val="3"/>
            <w:shd w:val="clear" w:color="auto" w:fill="auto"/>
            <w:vAlign w:val="bottom"/>
          </w:tcPr>
          <w:p w14:paraId="71D4406F" w14:textId="77777777" w:rsidR="006A3667" w:rsidRDefault="006A3667">
            <w:pPr>
              <w:rPr>
                <w:rFonts w:ascii="宋体"/>
                <w:vanish/>
              </w:rPr>
            </w:pPr>
          </w:p>
        </w:tc>
        <w:tc>
          <w:tcPr>
            <w:tcW w:w="0" w:type="auto"/>
            <w:gridSpan w:val="3"/>
            <w:shd w:val="clear" w:color="auto" w:fill="auto"/>
            <w:vAlign w:val="bottom"/>
          </w:tcPr>
          <w:p w14:paraId="71D44070" w14:textId="77777777" w:rsidR="006A3667" w:rsidRDefault="006A3667">
            <w:pPr>
              <w:rPr>
                <w:rFonts w:ascii="宋体"/>
                <w:vanish/>
              </w:rPr>
            </w:pPr>
          </w:p>
        </w:tc>
        <w:tc>
          <w:tcPr>
            <w:tcW w:w="0" w:type="auto"/>
            <w:gridSpan w:val="3"/>
            <w:shd w:val="clear" w:color="auto" w:fill="auto"/>
            <w:vAlign w:val="bottom"/>
          </w:tcPr>
          <w:p w14:paraId="71D44071" w14:textId="77777777" w:rsidR="006A3667" w:rsidRDefault="006A3667">
            <w:pPr>
              <w:rPr>
                <w:rFonts w:ascii="宋体"/>
                <w:vanish/>
              </w:rPr>
            </w:pPr>
          </w:p>
        </w:tc>
        <w:tc>
          <w:tcPr>
            <w:tcW w:w="0" w:type="auto"/>
            <w:gridSpan w:val="3"/>
            <w:shd w:val="clear" w:color="auto" w:fill="auto"/>
            <w:vAlign w:val="bottom"/>
          </w:tcPr>
          <w:p w14:paraId="71D44072" w14:textId="77777777" w:rsidR="006A3667" w:rsidRDefault="006A3667">
            <w:pPr>
              <w:rPr>
                <w:rFonts w:ascii="宋体"/>
                <w:vanish/>
              </w:rPr>
            </w:pPr>
          </w:p>
        </w:tc>
        <w:tc>
          <w:tcPr>
            <w:tcW w:w="0" w:type="auto"/>
            <w:gridSpan w:val="3"/>
            <w:shd w:val="clear" w:color="auto" w:fill="auto"/>
            <w:vAlign w:val="bottom"/>
          </w:tcPr>
          <w:p w14:paraId="71D44073" w14:textId="77777777" w:rsidR="006A3667" w:rsidRDefault="006A3667">
            <w:pPr>
              <w:rPr>
                <w:rFonts w:ascii="宋体"/>
                <w:vanish/>
              </w:rPr>
            </w:pPr>
          </w:p>
        </w:tc>
        <w:tc>
          <w:tcPr>
            <w:tcW w:w="0" w:type="auto"/>
            <w:gridSpan w:val="3"/>
            <w:shd w:val="clear" w:color="auto" w:fill="auto"/>
            <w:vAlign w:val="bottom"/>
          </w:tcPr>
          <w:p w14:paraId="71D44074" w14:textId="77777777" w:rsidR="006A3667" w:rsidRDefault="006A3667">
            <w:pPr>
              <w:rPr>
                <w:rFonts w:ascii="宋体"/>
                <w:vanish/>
              </w:rPr>
            </w:pPr>
          </w:p>
        </w:tc>
        <w:tc>
          <w:tcPr>
            <w:tcW w:w="0" w:type="auto"/>
            <w:gridSpan w:val="3"/>
            <w:shd w:val="clear" w:color="auto" w:fill="auto"/>
            <w:vAlign w:val="bottom"/>
          </w:tcPr>
          <w:p w14:paraId="71D44075" w14:textId="77777777" w:rsidR="006A3667" w:rsidRDefault="006A3667">
            <w:pPr>
              <w:rPr>
                <w:rFonts w:ascii="宋体"/>
                <w:vanish/>
              </w:rPr>
            </w:pPr>
          </w:p>
        </w:tc>
        <w:tc>
          <w:tcPr>
            <w:tcW w:w="0" w:type="auto"/>
            <w:gridSpan w:val="3"/>
            <w:shd w:val="clear" w:color="auto" w:fill="auto"/>
            <w:vAlign w:val="bottom"/>
          </w:tcPr>
          <w:p w14:paraId="71D44076" w14:textId="77777777" w:rsidR="006A3667" w:rsidRDefault="006A3667">
            <w:pPr>
              <w:rPr>
                <w:rFonts w:ascii="宋体"/>
                <w:vanish/>
              </w:rPr>
            </w:pPr>
          </w:p>
        </w:tc>
        <w:tc>
          <w:tcPr>
            <w:tcW w:w="0" w:type="auto"/>
            <w:gridSpan w:val="3"/>
            <w:shd w:val="clear" w:color="auto" w:fill="auto"/>
            <w:vAlign w:val="bottom"/>
          </w:tcPr>
          <w:p w14:paraId="71D44077" w14:textId="77777777" w:rsidR="006A3667" w:rsidRDefault="006A3667">
            <w:pPr>
              <w:rPr>
                <w:rFonts w:ascii="宋体"/>
                <w:vanish/>
              </w:rPr>
            </w:pPr>
          </w:p>
        </w:tc>
        <w:tc>
          <w:tcPr>
            <w:tcW w:w="0" w:type="auto"/>
            <w:gridSpan w:val="2"/>
            <w:shd w:val="clear" w:color="auto" w:fill="auto"/>
            <w:vAlign w:val="bottom"/>
          </w:tcPr>
          <w:p w14:paraId="71D44078" w14:textId="77777777" w:rsidR="006A3667" w:rsidRDefault="006A3667">
            <w:pPr>
              <w:rPr>
                <w:rFonts w:ascii="宋体"/>
                <w:vanish/>
              </w:rPr>
            </w:pPr>
          </w:p>
        </w:tc>
        <w:tc>
          <w:tcPr>
            <w:tcW w:w="0" w:type="auto"/>
            <w:shd w:val="clear" w:color="auto" w:fill="auto"/>
            <w:vAlign w:val="bottom"/>
          </w:tcPr>
          <w:p w14:paraId="71D44079" w14:textId="77777777" w:rsidR="006A3667" w:rsidRDefault="006A3667">
            <w:pPr>
              <w:rPr>
                <w:rFonts w:ascii="宋体"/>
                <w:vanish/>
              </w:rPr>
            </w:pPr>
          </w:p>
        </w:tc>
      </w:tr>
      <w:tr w:rsidR="006A3667" w14:paraId="71D44091" w14:textId="77777777">
        <w:trPr>
          <w:hidden/>
        </w:trPr>
        <w:tc>
          <w:tcPr>
            <w:tcW w:w="0" w:type="auto"/>
            <w:gridSpan w:val="3"/>
            <w:shd w:val="clear" w:color="auto" w:fill="auto"/>
            <w:vAlign w:val="bottom"/>
          </w:tcPr>
          <w:p w14:paraId="71D4407B" w14:textId="77777777" w:rsidR="006A3667" w:rsidRDefault="006A3667">
            <w:pPr>
              <w:rPr>
                <w:rFonts w:ascii="宋体"/>
                <w:vanish/>
              </w:rPr>
            </w:pPr>
          </w:p>
        </w:tc>
        <w:tc>
          <w:tcPr>
            <w:tcW w:w="0" w:type="auto"/>
            <w:gridSpan w:val="3"/>
            <w:shd w:val="clear" w:color="auto" w:fill="auto"/>
            <w:vAlign w:val="bottom"/>
          </w:tcPr>
          <w:p w14:paraId="71D4407C" w14:textId="77777777" w:rsidR="006A3667" w:rsidRDefault="006A3667">
            <w:pPr>
              <w:rPr>
                <w:rFonts w:ascii="宋体"/>
                <w:vanish/>
              </w:rPr>
            </w:pPr>
          </w:p>
        </w:tc>
        <w:tc>
          <w:tcPr>
            <w:tcW w:w="0" w:type="auto"/>
            <w:gridSpan w:val="3"/>
            <w:shd w:val="clear" w:color="auto" w:fill="auto"/>
            <w:vAlign w:val="bottom"/>
          </w:tcPr>
          <w:p w14:paraId="71D4407D" w14:textId="77777777" w:rsidR="006A3667" w:rsidRDefault="006A3667">
            <w:pPr>
              <w:rPr>
                <w:rFonts w:ascii="宋体"/>
                <w:vanish/>
              </w:rPr>
            </w:pPr>
          </w:p>
        </w:tc>
        <w:tc>
          <w:tcPr>
            <w:tcW w:w="0" w:type="auto"/>
            <w:gridSpan w:val="3"/>
            <w:shd w:val="clear" w:color="auto" w:fill="auto"/>
            <w:vAlign w:val="bottom"/>
          </w:tcPr>
          <w:p w14:paraId="71D4407E" w14:textId="77777777" w:rsidR="006A3667" w:rsidRDefault="006A3667">
            <w:pPr>
              <w:rPr>
                <w:rFonts w:ascii="宋体"/>
                <w:vanish/>
              </w:rPr>
            </w:pPr>
          </w:p>
        </w:tc>
        <w:tc>
          <w:tcPr>
            <w:tcW w:w="0" w:type="auto"/>
            <w:gridSpan w:val="3"/>
            <w:shd w:val="clear" w:color="auto" w:fill="auto"/>
            <w:vAlign w:val="bottom"/>
          </w:tcPr>
          <w:p w14:paraId="71D4407F" w14:textId="77777777" w:rsidR="006A3667" w:rsidRDefault="006A3667">
            <w:pPr>
              <w:rPr>
                <w:rFonts w:ascii="宋体"/>
                <w:vanish/>
              </w:rPr>
            </w:pPr>
          </w:p>
        </w:tc>
        <w:tc>
          <w:tcPr>
            <w:tcW w:w="0" w:type="auto"/>
            <w:gridSpan w:val="3"/>
            <w:shd w:val="clear" w:color="auto" w:fill="auto"/>
            <w:vAlign w:val="bottom"/>
          </w:tcPr>
          <w:p w14:paraId="71D44080" w14:textId="77777777" w:rsidR="006A3667" w:rsidRDefault="006A3667">
            <w:pPr>
              <w:rPr>
                <w:rFonts w:ascii="宋体"/>
                <w:vanish/>
              </w:rPr>
            </w:pPr>
          </w:p>
        </w:tc>
        <w:tc>
          <w:tcPr>
            <w:tcW w:w="0" w:type="auto"/>
            <w:gridSpan w:val="3"/>
            <w:shd w:val="clear" w:color="auto" w:fill="auto"/>
            <w:vAlign w:val="bottom"/>
          </w:tcPr>
          <w:p w14:paraId="71D44081" w14:textId="77777777" w:rsidR="006A3667" w:rsidRDefault="006A3667">
            <w:pPr>
              <w:rPr>
                <w:rFonts w:ascii="宋体"/>
                <w:vanish/>
              </w:rPr>
            </w:pPr>
          </w:p>
        </w:tc>
        <w:tc>
          <w:tcPr>
            <w:tcW w:w="0" w:type="auto"/>
            <w:gridSpan w:val="3"/>
            <w:shd w:val="clear" w:color="auto" w:fill="auto"/>
            <w:vAlign w:val="bottom"/>
          </w:tcPr>
          <w:p w14:paraId="71D44082" w14:textId="77777777" w:rsidR="006A3667" w:rsidRDefault="006A3667">
            <w:pPr>
              <w:rPr>
                <w:rFonts w:ascii="宋体"/>
                <w:vanish/>
              </w:rPr>
            </w:pPr>
          </w:p>
        </w:tc>
        <w:tc>
          <w:tcPr>
            <w:tcW w:w="0" w:type="auto"/>
            <w:gridSpan w:val="3"/>
            <w:shd w:val="clear" w:color="auto" w:fill="auto"/>
            <w:vAlign w:val="bottom"/>
          </w:tcPr>
          <w:p w14:paraId="71D44083" w14:textId="77777777" w:rsidR="006A3667" w:rsidRDefault="006A3667">
            <w:pPr>
              <w:rPr>
                <w:rFonts w:ascii="宋体"/>
                <w:vanish/>
              </w:rPr>
            </w:pPr>
          </w:p>
        </w:tc>
        <w:tc>
          <w:tcPr>
            <w:tcW w:w="0" w:type="auto"/>
            <w:shd w:val="clear" w:color="auto" w:fill="auto"/>
            <w:vAlign w:val="bottom"/>
          </w:tcPr>
          <w:p w14:paraId="71D44084" w14:textId="77777777" w:rsidR="006A3667" w:rsidRDefault="006A3667">
            <w:pPr>
              <w:rPr>
                <w:rFonts w:ascii="宋体"/>
                <w:vanish/>
              </w:rPr>
            </w:pPr>
          </w:p>
        </w:tc>
        <w:tc>
          <w:tcPr>
            <w:tcW w:w="0" w:type="auto"/>
            <w:shd w:val="clear" w:color="auto" w:fill="auto"/>
            <w:vAlign w:val="bottom"/>
          </w:tcPr>
          <w:p w14:paraId="71D44085" w14:textId="77777777" w:rsidR="006A3667" w:rsidRDefault="006A3667">
            <w:pPr>
              <w:rPr>
                <w:rFonts w:ascii="宋体"/>
                <w:vanish/>
              </w:rPr>
            </w:pPr>
          </w:p>
        </w:tc>
        <w:tc>
          <w:tcPr>
            <w:tcW w:w="0" w:type="auto"/>
            <w:gridSpan w:val="3"/>
            <w:shd w:val="clear" w:color="auto" w:fill="auto"/>
            <w:vAlign w:val="bottom"/>
          </w:tcPr>
          <w:p w14:paraId="71D44086" w14:textId="77777777" w:rsidR="006A3667" w:rsidRDefault="006A3667">
            <w:pPr>
              <w:rPr>
                <w:rFonts w:ascii="宋体"/>
                <w:vanish/>
              </w:rPr>
            </w:pPr>
          </w:p>
        </w:tc>
        <w:tc>
          <w:tcPr>
            <w:tcW w:w="0" w:type="auto"/>
            <w:gridSpan w:val="3"/>
            <w:shd w:val="clear" w:color="auto" w:fill="auto"/>
            <w:vAlign w:val="bottom"/>
          </w:tcPr>
          <w:p w14:paraId="71D44087" w14:textId="77777777" w:rsidR="006A3667" w:rsidRDefault="006A3667">
            <w:pPr>
              <w:rPr>
                <w:rFonts w:ascii="宋体"/>
                <w:vanish/>
              </w:rPr>
            </w:pPr>
          </w:p>
        </w:tc>
        <w:tc>
          <w:tcPr>
            <w:tcW w:w="0" w:type="auto"/>
            <w:gridSpan w:val="3"/>
            <w:shd w:val="clear" w:color="auto" w:fill="auto"/>
            <w:vAlign w:val="bottom"/>
          </w:tcPr>
          <w:p w14:paraId="71D44088" w14:textId="77777777" w:rsidR="006A3667" w:rsidRDefault="006A3667">
            <w:pPr>
              <w:rPr>
                <w:rFonts w:ascii="宋体"/>
                <w:vanish/>
              </w:rPr>
            </w:pPr>
          </w:p>
        </w:tc>
        <w:tc>
          <w:tcPr>
            <w:tcW w:w="0" w:type="auto"/>
            <w:gridSpan w:val="3"/>
            <w:shd w:val="clear" w:color="auto" w:fill="auto"/>
            <w:vAlign w:val="bottom"/>
          </w:tcPr>
          <w:p w14:paraId="71D44089" w14:textId="77777777" w:rsidR="006A3667" w:rsidRDefault="006A3667">
            <w:pPr>
              <w:rPr>
                <w:rFonts w:ascii="宋体"/>
                <w:vanish/>
              </w:rPr>
            </w:pPr>
          </w:p>
        </w:tc>
        <w:tc>
          <w:tcPr>
            <w:tcW w:w="0" w:type="auto"/>
            <w:gridSpan w:val="3"/>
            <w:shd w:val="clear" w:color="auto" w:fill="auto"/>
            <w:vAlign w:val="bottom"/>
          </w:tcPr>
          <w:p w14:paraId="71D4408A" w14:textId="77777777" w:rsidR="006A3667" w:rsidRDefault="006A3667">
            <w:pPr>
              <w:rPr>
                <w:rFonts w:ascii="宋体"/>
                <w:vanish/>
              </w:rPr>
            </w:pPr>
          </w:p>
        </w:tc>
        <w:tc>
          <w:tcPr>
            <w:tcW w:w="0" w:type="auto"/>
            <w:gridSpan w:val="3"/>
            <w:shd w:val="clear" w:color="auto" w:fill="auto"/>
            <w:vAlign w:val="bottom"/>
          </w:tcPr>
          <w:p w14:paraId="71D4408B" w14:textId="77777777" w:rsidR="006A3667" w:rsidRDefault="006A3667">
            <w:pPr>
              <w:rPr>
                <w:rFonts w:ascii="宋体"/>
                <w:vanish/>
              </w:rPr>
            </w:pPr>
          </w:p>
        </w:tc>
        <w:tc>
          <w:tcPr>
            <w:tcW w:w="0" w:type="auto"/>
            <w:gridSpan w:val="3"/>
            <w:shd w:val="clear" w:color="auto" w:fill="auto"/>
            <w:vAlign w:val="bottom"/>
          </w:tcPr>
          <w:p w14:paraId="71D4408C" w14:textId="77777777" w:rsidR="006A3667" w:rsidRDefault="006A3667">
            <w:pPr>
              <w:rPr>
                <w:rFonts w:ascii="宋体"/>
                <w:vanish/>
              </w:rPr>
            </w:pPr>
          </w:p>
        </w:tc>
        <w:tc>
          <w:tcPr>
            <w:tcW w:w="0" w:type="auto"/>
            <w:gridSpan w:val="3"/>
            <w:shd w:val="clear" w:color="auto" w:fill="auto"/>
            <w:vAlign w:val="bottom"/>
          </w:tcPr>
          <w:p w14:paraId="71D4408D" w14:textId="77777777" w:rsidR="006A3667" w:rsidRDefault="006A3667">
            <w:pPr>
              <w:rPr>
                <w:rFonts w:ascii="宋体"/>
                <w:vanish/>
              </w:rPr>
            </w:pPr>
          </w:p>
        </w:tc>
        <w:tc>
          <w:tcPr>
            <w:tcW w:w="0" w:type="auto"/>
            <w:gridSpan w:val="3"/>
            <w:shd w:val="clear" w:color="auto" w:fill="auto"/>
            <w:vAlign w:val="bottom"/>
          </w:tcPr>
          <w:p w14:paraId="71D4408E" w14:textId="77777777" w:rsidR="006A3667" w:rsidRDefault="006A3667">
            <w:pPr>
              <w:rPr>
                <w:rFonts w:ascii="宋体"/>
                <w:vanish/>
              </w:rPr>
            </w:pPr>
          </w:p>
        </w:tc>
        <w:tc>
          <w:tcPr>
            <w:tcW w:w="0" w:type="auto"/>
            <w:gridSpan w:val="2"/>
            <w:shd w:val="clear" w:color="auto" w:fill="auto"/>
            <w:vAlign w:val="bottom"/>
          </w:tcPr>
          <w:p w14:paraId="71D4408F" w14:textId="77777777" w:rsidR="006A3667" w:rsidRDefault="006A3667">
            <w:pPr>
              <w:rPr>
                <w:rFonts w:ascii="宋体"/>
                <w:vanish/>
              </w:rPr>
            </w:pPr>
          </w:p>
        </w:tc>
        <w:tc>
          <w:tcPr>
            <w:tcW w:w="0" w:type="auto"/>
            <w:shd w:val="clear" w:color="auto" w:fill="auto"/>
            <w:vAlign w:val="bottom"/>
          </w:tcPr>
          <w:p w14:paraId="71D44090" w14:textId="77777777" w:rsidR="006A3667" w:rsidRDefault="006A3667">
            <w:pPr>
              <w:rPr>
                <w:rFonts w:ascii="宋体"/>
                <w:vanish/>
              </w:rPr>
            </w:pPr>
          </w:p>
        </w:tc>
      </w:tr>
      <w:tr w:rsidR="006A3667" w14:paraId="71D440A8" w14:textId="77777777">
        <w:trPr>
          <w:hidden/>
        </w:trPr>
        <w:tc>
          <w:tcPr>
            <w:tcW w:w="0" w:type="auto"/>
            <w:gridSpan w:val="3"/>
            <w:shd w:val="clear" w:color="auto" w:fill="auto"/>
            <w:vAlign w:val="bottom"/>
          </w:tcPr>
          <w:p w14:paraId="71D44092" w14:textId="77777777" w:rsidR="006A3667" w:rsidRDefault="006A3667">
            <w:pPr>
              <w:rPr>
                <w:rFonts w:ascii="宋体"/>
                <w:vanish/>
              </w:rPr>
            </w:pPr>
          </w:p>
        </w:tc>
        <w:tc>
          <w:tcPr>
            <w:tcW w:w="0" w:type="auto"/>
            <w:gridSpan w:val="3"/>
            <w:shd w:val="clear" w:color="auto" w:fill="auto"/>
            <w:vAlign w:val="bottom"/>
          </w:tcPr>
          <w:p w14:paraId="71D44093" w14:textId="77777777" w:rsidR="006A3667" w:rsidRDefault="006A3667">
            <w:pPr>
              <w:rPr>
                <w:rFonts w:ascii="宋体"/>
                <w:vanish/>
              </w:rPr>
            </w:pPr>
          </w:p>
        </w:tc>
        <w:tc>
          <w:tcPr>
            <w:tcW w:w="0" w:type="auto"/>
            <w:gridSpan w:val="3"/>
            <w:shd w:val="clear" w:color="auto" w:fill="auto"/>
            <w:vAlign w:val="bottom"/>
          </w:tcPr>
          <w:p w14:paraId="71D44094" w14:textId="77777777" w:rsidR="006A3667" w:rsidRDefault="006A3667">
            <w:pPr>
              <w:rPr>
                <w:rFonts w:ascii="宋体"/>
                <w:vanish/>
              </w:rPr>
            </w:pPr>
          </w:p>
        </w:tc>
        <w:tc>
          <w:tcPr>
            <w:tcW w:w="0" w:type="auto"/>
            <w:gridSpan w:val="3"/>
            <w:shd w:val="clear" w:color="auto" w:fill="auto"/>
            <w:vAlign w:val="bottom"/>
          </w:tcPr>
          <w:p w14:paraId="71D44095" w14:textId="77777777" w:rsidR="006A3667" w:rsidRDefault="006A3667">
            <w:pPr>
              <w:rPr>
                <w:rFonts w:ascii="宋体"/>
                <w:vanish/>
              </w:rPr>
            </w:pPr>
          </w:p>
        </w:tc>
        <w:tc>
          <w:tcPr>
            <w:tcW w:w="0" w:type="auto"/>
            <w:gridSpan w:val="3"/>
            <w:shd w:val="clear" w:color="auto" w:fill="auto"/>
            <w:vAlign w:val="bottom"/>
          </w:tcPr>
          <w:p w14:paraId="71D44096" w14:textId="77777777" w:rsidR="006A3667" w:rsidRDefault="006A3667">
            <w:pPr>
              <w:rPr>
                <w:rFonts w:ascii="宋体"/>
                <w:vanish/>
              </w:rPr>
            </w:pPr>
          </w:p>
        </w:tc>
        <w:tc>
          <w:tcPr>
            <w:tcW w:w="0" w:type="auto"/>
            <w:gridSpan w:val="3"/>
            <w:shd w:val="clear" w:color="auto" w:fill="auto"/>
            <w:vAlign w:val="bottom"/>
          </w:tcPr>
          <w:p w14:paraId="71D44097" w14:textId="77777777" w:rsidR="006A3667" w:rsidRDefault="006A3667">
            <w:pPr>
              <w:rPr>
                <w:rFonts w:ascii="宋体"/>
                <w:vanish/>
              </w:rPr>
            </w:pPr>
          </w:p>
        </w:tc>
        <w:tc>
          <w:tcPr>
            <w:tcW w:w="0" w:type="auto"/>
            <w:gridSpan w:val="3"/>
            <w:shd w:val="clear" w:color="auto" w:fill="auto"/>
            <w:vAlign w:val="bottom"/>
          </w:tcPr>
          <w:p w14:paraId="71D44098" w14:textId="77777777" w:rsidR="006A3667" w:rsidRDefault="006A3667">
            <w:pPr>
              <w:rPr>
                <w:rFonts w:ascii="宋体"/>
                <w:vanish/>
              </w:rPr>
            </w:pPr>
          </w:p>
        </w:tc>
        <w:tc>
          <w:tcPr>
            <w:tcW w:w="0" w:type="auto"/>
            <w:gridSpan w:val="3"/>
            <w:shd w:val="clear" w:color="auto" w:fill="auto"/>
            <w:vAlign w:val="bottom"/>
          </w:tcPr>
          <w:p w14:paraId="71D44099" w14:textId="77777777" w:rsidR="006A3667" w:rsidRDefault="006A3667">
            <w:pPr>
              <w:rPr>
                <w:rFonts w:ascii="宋体"/>
                <w:vanish/>
              </w:rPr>
            </w:pPr>
          </w:p>
        </w:tc>
        <w:tc>
          <w:tcPr>
            <w:tcW w:w="0" w:type="auto"/>
            <w:gridSpan w:val="3"/>
            <w:shd w:val="clear" w:color="auto" w:fill="auto"/>
            <w:vAlign w:val="bottom"/>
          </w:tcPr>
          <w:p w14:paraId="71D4409A" w14:textId="77777777" w:rsidR="006A3667" w:rsidRDefault="006A3667">
            <w:pPr>
              <w:rPr>
                <w:rFonts w:ascii="宋体"/>
                <w:vanish/>
              </w:rPr>
            </w:pPr>
          </w:p>
        </w:tc>
        <w:tc>
          <w:tcPr>
            <w:tcW w:w="0" w:type="auto"/>
            <w:shd w:val="clear" w:color="auto" w:fill="auto"/>
            <w:vAlign w:val="bottom"/>
          </w:tcPr>
          <w:p w14:paraId="71D4409B" w14:textId="77777777" w:rsidR="006A3667" w:rsidRDefault="006A3667">
            <w:pPr>
              <w:rPr>
                <w:rFonts w:ascii="宋体"/>
                <w:vanish/>
              </w:rPr>
            </w:pPr>
          </w:p>
        </w:tc>
        <w:tc>
          <w:tcPr>
            <w:tcW w:w="0" w:type="auto"/>
            <w:shd w:val="clear" w:color="auto" w:fill="auto"/>
            <w:vAlign w:val="bottom"/>
          </w:tcPr>
          <w:p w14:paraId="71D4409C" w14:textId="77777777" w:rsidR="006A3667" w:rsidRDefault="006A3667">
            <w:pPr>
              <w:rPr>
                <w:rFonts w:ascii="宋体"/>
                <w:vanish/>
              </w:rPr>
            </w:pPr>
          </w:p>
        </w:tc>
        <w:tc>
          <w:tcPr>
            <w:tcW w:w="0" w:type="auto"/>
            <w:gridSpan w:val="3"/>
            <w:shd w:val="clear" w:color="auto" w:fill="auto"/>
            <w:vAlign w:val="bottom"/>
          </w:tcPr>
          <w:p w14:paraId="71D4409D" w14:textId="77777777" w:rsidR="006A3667" w:rsidRDefault="006A3667">
            <w:pPr>
              <w:rPr>
                <w:rFonts w:ascii="宋体"/>
                <w:vanish/>
              </w:rPr>
            </w:pPr>
          </w:p>
        </w:tc>
        <w:tc>
          <w:tcPr>
            <w:tcW w:w="0" w:type="auto"/>
            <w:gridSpan w:val="3"/>
            <w:shd w:val="clear" w:color="auto" w:fill="auto"/>
            <w:vAlign w:val="bottom"/>
          </w:tcPr>
          <w:p w14:paraId="71D4409E" w14:textId="77777777" w:rsidR="006A3667" w:rsidRDefault="006A3667">
            <w:pPr>
              <w:rPr>
                <w:rFonts w:ascii="宋体"/>
                <w:vanish/>
              </w:rPr>
            </w:pPr>
          </w:p>
        </w:tc>
        <w:tc>
          <w:tcPr>
            <w:tcW w:w="0" w:type="auto"/>
            <w:gridSpan w:val="3"/>
            <w:shd w:val="clear" w:color="auto" w:fill="auto"/>
            <w:vAlign w:val="bottom"/>
          </w:tcPr>
          <w:p w14:paraId="71D4409F" w14:textId="77777777" w:rsidR="006A3667" w:rsidRDefault="006A3667">
            <w:pPr>
              <w:rPr>
                <w:rFonts w:ascii="宋体"/>
                <w:vanish/>
              </w:rPr>
            </w:pPr>
          </w:p>
        </w:tc>
        <w:tc>
          <w:tcPr>
            <w:tcW w:w="0" w:type="auto"/>
            <w:gridSpan w:val="3"/>
            <w:shd w:val="clear" w:color="auto" w:fill="auto"/>
            <w:vAlign w:val="bottom"/>
          </w:tcPr>
          <w:p w14:paraId="71D440A0" w14:textId="77777777" w:rsidR="006A3667" w:rsidRDefault="006A3667">
            <w:pPr>
              <w:rPr>
                <w:rFonts w:ascii="宋体"/>
                <w:vanish/>
              </w:rPr>
            </w:pPr>
          </w:p>
        </w:tc>
        <w:tc>
          <w:tcPr>
            <w:tcW w:w="0" w:type="auto"/>
            <w:gridSpan w:val="3"/>
            <w:shd w:val="clear" w:color="auto" w:fill="auto"/>
            <w:vAlign w:val="bottom"/>
          </w:tcPr>
          <w:p w14:paraId="71D440A1" w14:textId="77777777" w:rsidR="006A3667" w:rsidRDefault="006A3667">
            <w:pPr>
              <w:rPr>
                <w:rFonts w:ascii="宋体"/>
                <w:vanish/>
              </w:rPr>
            </w:pPr>
          </w:p>
        </w:tc>
        <w:tc>
          <w:tcPr>
            <w:tcW w:w="0" w:type="auto"/>
            <w:gridSpan w:val="3"/>
            <w:shd w:val="clear" w:color="auto" w:fill="auto"/>
            <w:vAlign w:val="bottom"/>
          </w:tcPr>
          <w:p w14:paraId="71D440A2" w14:textId="77777777" w:rsidR="006A3667" w:rsidRDefault="006A3667">
            <w:pPr>
              <w:rPr>
                <w:rFonts w:ascii="宋体"/>
                <w:vanish/>
              </w:rPr>
            </w:pPr>
          </w:p>
        </w:tc>
        <w:tc>
          <w:tcPr>
            <w:tcW w:w="0" w:type="auto"/>
            <w:gridSpan w:val="3"/>
            <w:shd w:val="clear" w:color="auto" w:fill="auto"/>
            <w:vAlign w:val="bottom"/>
          </w:tcPr>
          <w:p w14:paraId="71D440A3" w14:textId="77777777" w:rsidR="006A3667" w:rsidRDefault="006A3667">
            <w:pPr>
              <w:rPr>
                <w:rFonts w:ascii="宋体"/>
                <w:vanish/>
              </w:rPr>
            </w:pPr>
          </w:p>
        </w:tc>
        <w:tc>
          <w:tcPr>
            <w:tcW w:w="0" w:type="auto"/>
            <w:gridSpan w:val="3"/>
            <w:shd w:val="clear" w:color="auto" w:fill="auto"/>
            <w:vAlign w:val="bottom"/>
          </w:tcPr>
          <w:p w14:paraId="71D440A4" w14:textId="77777777" w:rsidR="006A3667" w:rsidRDefault="006A3667">
            <w:pPr>
              <w:rPr>
                <w:rFonts w:ascii="宋体"/>
                <w:vanish/>
              </w:rPr>
            </w:pPr>
          </w:p>
        </w:tc>
        <w:tc>
          <w:tcPr>
            <w:tcW w:w="0" w:type="auto"/>
            <w:gridSpan w:val="3"/>
            <w:shd w:val="clear" w:color="auto" w:fill="auto"/>
            <w:vAlign w:val="bottom"/>
          </w:tcPr>
          <w:p w14:paraId="71D440A5" w14:textId="77777777" w:rsidR="006A3667" w:rsidRDefault="006A3667">
            <w:pPr>
              <w:rPr>
                <w:rFonts w:ascii="宋体"/>
                <w:vanish/>
              </w:rPr>
            </w:pPr>
          </w:p>
        </w:tc>
        <w:tc>
          <w:tcPr>
            <w:tcW w:w="0" w:type="auto"/>
            <w:gridSpan w:val="2"/>
            <w:shd w:val="clear" w:color="auto" w:fill="auto"/>
            <w:vAlign w:val="bottom"/>
          </w:tcPr>
          <w:p w14:paraId="71D440A6" w14:textId="77777777" w:rsidR="006A3667" w:rsidRDefault="006A3667">
            <w:pPr>
              <w:rPr>
                <w:rFonts w:ascii="宋体"/>
                <w:vanish/>
              </w:rPr>
            </w:pPr>
          </w:p>
        </w:tc>
        <w:tc>
          <w:tcPr>
            <w:tcW w:w="0" w:type="auto"/>
            <w:shd w:val="clear" w:color="auto" w:fill="auto"/>
            <w:vAlign w:val="bottom"/>
          </w:tcPr>
          <w:p w14:paraId="71D440A7" w14:textId="77777777" w:rsidR="006A3667" w:rsidRDefault="006A3667">
            <w:pPr>
              <w:rPr>
                <w:rFonts w:ascii="宋体"/>
                <w:vanish/>
              </w:rPr>
            </w:pPr>
          </w:p>
        </w:tc>
      </w:tr>
      <w:tr w:rsidR="006A3667" w14:paraId="71D440BF" w14:textId="77777777">
        <w:trPr>
          <w:hidden/>
        </w:trPr>
        <w:tc>
          <w:tcPr>
            <w:tcW w:w="0" w:type="auto"/>
            <w:gridSpan w:val="3"/>
            <w:shd w:val="clear" w:color="auto" w:fill="auto"/>
            <w:vAlign w:val="bottom"/>
          </w:tcPr>
          <w:p w14:paraId="71D440A9" w14:textId="77777777" w:rsidR="006A3667" w:rsidRDefault="006A3667">
            <w:pPr>
              <w:rPr>
                <w:rFonts w:ascii="宋体"/>
                <w:vanish/>
              </w:rPr>
            </w:pPr>
          </w:p>
        </w:tc>
        <w:tc>
          <w:tcPr>
            <w:tcW w:w="0" w:type="auto"/>
            <w:gridSpan w:val="3"/>
            <w:shd w:val="clear" w:color="auto" w:fill="auto"/>
            <w:vAlign w:val="bottom"/>
          </w:tcPr>
          <w:p w14:paraId="71D440AA" w14:textId="77777777" w:rsidR="006A3667" w:rsidRDefault="006A3667">
            <w:pPr>
              <w:rPr>
                <w:rFonts w:ascii="宋体"/>
                <w:vanish/>
              </w:rPr>
            </w:pPr>
          </w:p>
        </w:tc>
        <w:tc>
          <w:tcPr>
            <w:tcW w:w="0" w:type="auto"/>
            <w:gridSpan w:val="3"/>
            <w:shd w:val="clear" w:color="auto" w:fill="auto"/>
            <w:vAlign w:val="bottom"/>
          </w:tcPr>
          <w:p w14:paraId="71D440AB" w14:textId="77777777" w:rsidR="006A3667" w:rsidRDefault="006A3667">
            <w:pPr>
              <w:rPr>
                <w:rFonts w:ascii="宋体"/>
                <w:vanish/>
              </w:rPr>
            </w:pPr>
          </w:p>
        </w:tc>
        <w:tc>
          <w:tcPr>
            <w:tcW w:w="0" w:type="auto"/>
            <w:gridSpan w:val="3"/>
            <w:shd w:val="clear" w:color="auto" w:fill="auto"/>
            <w:vAlign w:val="bottom"/>
          </w:tcPr>
          <w:p w14:paraId="71D440AC" w14:textId="77777777" w:rsidR="006A3667" w:rsidRDefault="006A3667">
            <w:pPr>
              <w:rPr>
                <w:rFonts w:ascii="宋体"/>
                <w:vanish/>
              </w:rPr>
            </w:pPr>
          </w:p>
        </w:tc>
        <w:tc>
          <w:tcPr>
            <w:tcW w:w="0" w:type="auto"/>
            <w:gridSpan w:val="3"/>
            <w:shd w:val="clear" w:color="auto" w:fill="auto"/>
            <w:vAlign w:val="bottom"/>
          </w:tcPr>
          <w:p w14:paraId="71D440AD" w14:textId="77777777" w:rsidR="006A3667" w:rsidRDefault="006A3667">
            <w:pPr>
              <w:rPr>
                <w:rFonts w:ascii="宋体"/>
                <w:vanish/>
              </w:rPr>
            </w:pPr>
          </w:p>
        </w:tc>
        <w:tc>
          <w:tcPr>
            <w:tcW w:w="0" w:type="auto"/>
            <w:gridSpan w:val="3"/>
            <w:shd w:val="clear" w:color="auto" w:fill="auto"/>
            <w:vAlign w:val="bottom"/>
          </w:tcPr>
          <w:p w14:paraId="71D440AE" w14:textId="77777777" w:rsidR="006A3667" w:rsidRDefault="006A3667">
            <w:pPr>
              <w:rPr>
                <w:rFonts w:ascii="宋体"/>
                <w:vanish/>
              </w:rPr>
            </w:pPr>
          </w:p>
        </w:tc>
        <w:tc>
          <w:tcPr>
            <w:tcW w:w="0" w:type="auto"/>
            <w:gridSpan w:val="3"/>
            <w:shd w:val="clear" w:color="auto" w:fill="auto"/>
            <w:vAlign w:val="bottom"/>
          </w:tcPr>
          <w:p w14:paraId="71D440AF" w14:textId="77777777" w:rsidR="006A3667" w:rsidRDefault="006A3667">
            <w:pPr>
              <w:rPr>
                <w:rFonts w:ascii="宋体"/>
                <w:vanish/>
              </w:rPr>
            </w:pPr>
          </w:p>
        </w:tc>
        <w:tc>
          <w:tcPr>
            <w:tcW w:w="0" w:type="auto"/>
            <w:gridSpan w:val="3"/>
            <w:shd w:val="clear" w:color="auto" w:fill="auto"/>
            <w:vAlign w:val="bottom"/>
          </w:tcPr>
          <w:p w14:paraId="71D440B0" w14:textId="77777777" w:rsidR="006A3667" w:rsidRDefault="006A3667">
            <w:pPr>
              <w:rPr>
                <w:rFonts w:ascii="宋体"/>
                <w:vanish/>
              </w:rPr>
            </w:pPr>
          </w:p>
        </w:tc>
        <w:tc>
          <w:tcPr>
            <w:tcW w:w="0" w:type="auto"/>
            <w:gridSpan w:val="3"/>
            <w:shd w:val="clear" w:color="auto" w:fill="auto"/>
            <w:vAlign w:val="bottom"/>
          </w:tcPr>
          <w:p w14:paraId="71D440B1" w14:textId="77777777" w:rsidR="006A3667" w:rsidRDefault="006A3667">
            <w:pPr>
              <w:rPr>
                <w:rFonts w:ascii="宋体"/>
                <w:vanish/>
              </w:rPr>
            </w:pPr>
          </w:p>
        </w:tc>
        <w:tc>
          <w:tcPr>
            <w:tcW w:w="0" w:type="auto"/>
            <w:shd w:val="clear" w:color="auto" w:fill="auto"/>
            <w:vAlign w:val="bottom"/>
          </w:tcPr>
          <w:p w14:paraId="71D440B2" w14:textId="77777777" w:rsidR="006A3667" w:rsidRDefault="006A3667">
            <w:pPr>
              <w:rPr>
                <w:rFonts w:ascii="宋体"/>
                <w:vanish/>
              </w:rPr>
            </w:pPr>
          </w:p>
        </w:tc>
        <w:tc>
          <w:tcPr>
            <w:tcW w:w="0" w:type="auto"/>
            <w:shd w:val="clear" w:color="auto" w:fill="auto"/>
            <w:vAlign w:val="bottom"/>
          </w:tcPr>
          <w:p w14:paraId="71D440B3" w14:textId="77777777" w:rsidR="006A3667" w:rsidRDefault="006A3667">
            <w:pPr>
              <w:rPr>
                <w:rFonts w:ascii="宋体"/>
                <w:vanish/>
              </w:rPr>
            </w:pPr>
          </w:p>
        </w:tc>
        <w:tc>
          <w:tcPr>
            <w:tcW w:w="0" w:type="auto"/>
            <w:gridSpan w:val="3"/>
            <w:shd w:val="clear" w:color="auto" w:fill="auto"/>
            <w:vAlign w:val="bottom"/>
          </w:tcPr>
          <w:p w14:paraId="71D440B4" w14:textId="77777777" w:rsidR="006A3667" w:rsidRDefault="006A3667">
            <w:pPr>
              <w:rPr>
                <w:rFonts w:ascii="宋体"/>
                <w:vanish/>
              </w:rPr>
            </w:pPr>
          </w:p>
        </w:tc>
        <w:tc>
          <w:tcPr>
            <w:tcW w:w="0" w:type="auto"/>
            <w:gridSpan w:val="3"/>
            <w:shd w:val="clear" w:color="auto" w:fill="auto"/>
            <w:vAlign w:val="bottom"/>
          </w:tcPr>
          <w:p w14:paraId="71D440B5" w14:textId="77777777" w:rsidR="006A3667" w:rsidRDefault="006A3667">
            <w:pPr>
              <w:rPr>
                <w:rFonts w:ascii="宋体"/>
                <w:vanish/>
              </w:rPr>
            </w:pPr>
          </w:p>
        </w:tc>
        <w:tc>
          <w:tcPr>
            <w:tcW w:w="0" w:type="auto"/>
            <w:gridSpan w:val="3"/>
            <w:shd w:val="clear" w:color="auto" w:fill="auto"/>
            <w:vAlign w:val="bottom"/>
          </w:tcPr>
          <w:p w14:paraId="71D440B6" w14:textId="77777777" w:rsidR="006A3667" w:rsidRDefault="006A3667">
            <w:pPr>
              <w:rPr>
                <w:rFonts w:ascii="宋体"/>
                <w:vanish/>
              </w:rPr>
            </w:pPr>
          </w:p>
        </w:tc>
        <w:tc>
          <w:tcPr>
            <w:tcW w:w="0" w:type="auto"/>
            <w:gridSpan w:val="3"/>
            <w:shd w:val="clear" w:color="auto" w:fill="auto"/>
            <w:vAlign w:val="bottom"/>
          </w:tcPr>
          <w:p w14:paraId="71D440B7" w14:textId="77777777" w:rsidR="006A3667" w:rsidRDefault="006A3667">
            <w:pPr>
              <w:rPr>
                <w:rFonts w:ascii="宋体"/>
                <w:vanish/>
              </w:rPr>
            </w:pPr>
          </w:p>
        </w:tc>
        <w:tc>
          <w:tcPr>
            <w:tcW w:w="0" w:type="auto"/>
            <w:gridSpan w:val="3"/>
            <w:shd w:val="clear" w:color="auto" w:fill="auto"/>
            <w:vAlign w:val="bottom"/>
          </w:tcPr>
          <w:p w14:paraId="71D440B8" w14:textId="77777777" w:rsidR="006A3667" w:rsidRDefault="006A3667">
            <w:pPr>
              <w:rPr>
                <w:rFonts w:ascii="宋体"/>
                <w:vanish/>
              </w:rPr>
            </w:pPr>
          </w:p>
        </w:tc>
        <w:tc>
          <w:tcPr>
            <w:tcW w:w="0" w:type="auto"/>
            <w:gridSpan w:val="3"/>
            <w:shd w:val="clear" w:color="auto" w:fill="auto"/>
            <w:vAlign w:val="bottom"/>
          </w:tcPr>
          <w:p w14:paraId="71D440B9" w14:textId="77777777" w:rsidR="006A3667" w:rsidRDefault="006A3667">
            <w:pPr>
              <w:rPr>
                <w:rFonts w:ascii="宋体"/>
                <w:vanish/>
              </w:rPr>
            </w:pPr>
          </w:p>
        </w:tc>
        <w:tc>
          <w:tcPr>
            <w:tcW w:w="0" w:type="auto"/>
            <w:gridSpan w:val="3"/>
            <w:shd w:val="clear" w:color="auto" w:fill="auto"/>
            <w:vAlign w:val="bottom"/>
          </w:tcPr>
          <w:p w14:paraId="71D440BA" w14:textId="77777777" w:rsidR="006A3667" w:rsidRDefault="006A3667">
            <w:pPr>
              <w:rPr>
                <w:rFonts w:ascii="宋体"/>
                <w:vanish/>
              </w:rPr>
            </w:pPr>
          </w:p>
        </w:tc>
        <w:tc>
          <w:tcPr>
            <w:tcW w:w="0" w:type="auto"/>
            <w:gridSpan w:val="3"/>
            <w:shd w:val="clear" w:color="auto" w:fill="auto"/>
            <w:vAlign w:val="bottom"/>
          </w:tcPr>
          <w:p w14:paraId="71D440BB" w14:textId="77777777" w:rsidR="006A3667" w:rsidRDefault="006A3667">
            <w:pPr>
              <w:rPr>
                <w:rFonts w:ascii="宋体"/>
                <w:vanish/>
              </w:rPr>
            </w:pPr>
          </w:p>
        </w:tc>
        <w:tc>
          <w:tcPr>
            <w:tcW w:w="0" w:type="auto"/>
            <w:gridSpan w:val="3"/>
            <w:shd w:val="clear" w:color="auto" w:fill="auto"/>
            <w:vAlign w:val="bottom"/>
          </w:tcPr>
          <w:p w14:paraId="71D440BC" w14:textId="77777777" w:rsidR="006A3667" w:rsidRDefault="006A3667">
            <w:pPr>
              <w:rPr>
                <w:rFonts w:ascii="宋体"/>
                <w:vanish/>
              </w:rPr>
            </w:pPr>
          </w:p>
        </w:tc>
        <w:tc>
          <w:tcPr>
            <w:tcW w:w="0" w:type="auto"/>
            <w:gridSpan w:val="2"/>
            <w:shd w:val="clear" w:color="auto" w:fill="auto"/>
            <w:vAlign w:val="bottom"/>
          </w:tcPr>
          <w:p w14:paraId="71D440BD" w14:textId="77777777" w:rsidR="006A3667" w:rsidRDefault="006A3667">
            <w:pPr>
              <w:rPr>
                <w:rFonts w:ascii="宋体"/>
                <w:vanish/>
              </w:rPr>
            </w:pPr>
          </w:p>
        </w:tc>
        <w:tc>
          <w:tcPr>
            <w:tcW w:w="0" w:type="auto"/>
            <w:shd w:val="clear" w:color="auto" w:fill="auto"/>
            <w:vAlign w:val="bottom"/>
          </w:tcPr>
          <w:p w14:paraId="71D440BE" w14:textId="77777777" w:rsidR="006A3667" w:rsidRDefault="006A3667">
            <w:pPr>
              <w:rPr>
                <w:rFonts w:ascii="宋体"/>
                <w:vanish/>
              </w:rPr>
            </w:pPr>
          </w:p>
        </w:tc>
      </w:tr>
      <w:tr w:rsidR="006A3667" w14:paraId="71D440D6" w14:textId="77777777">
        <w:trPr>
          <w:hidden/>
        </w:trPr>
        <w:tc>
          <w:tcPr>
            <w:tcW w:w="0" w:type="auto"/>
            <w:gridSpan w:val="3"/>
            <w:shd w:val="clear" w:color="auto" w:fill="auto"/>
            <w:vAlign w:val="bottom"/>
          </w:tcPr>
          <w:p w14:paraId="71D440C0" w14:textId="77777777" w:rsidR="006A3667" w:rsidRDefault="006A3667">
            <w:pPr>
              <w:rPr>
                <w:rFonts w:ascii="宋体"/>
                <w:vanish/>
              </w:rPr>
            </w:pPr>
          </w:p>
        </w:tc>
        <w:tc>
          <w:tcPr>
            <w:tcW w:w="0" w:type="auto"/>
            <w:gridSpan w:val="3"/>
            <w:shd w:val="clear" w:color="auto" w:fill="auto"/>
            <w:vAlign w:val="bottom"/>
          </w:tcPr>
          <w:p w14:paraId="71D440C1" w14:textId="77777777" w:rsidR="006A3667" w:rsidRDefault="006A3667">
            <w:pPr>
              <w:rPr>
                <w:rFonts w:ascii="宋体"/>
                <w:vanish/>
              </w:rPr>
            </w:pPr>
          </w:p>
        </w:tc>
        <w:tc>
          <w:tcPr>
            <w:tcW w:w="0" w:type="auto"/>
            <w:gridSpan w:val="3"/>
            <w:shd w:val="clear" w:color="auto" w:fill="auto"/>
            <w:vAlign w:val="bottom"/>
          </w:tcPr>
          <w:p w14:paraId="71D440C2" w14:textId="77777777" w:rsidR="006A3667" w:rsidRDefault="006A3667">
            <w:pPr>
              <w:rPr>
                <w:rFonts w:ascii="宋体"/>
                <w:vanish/>
              </w:rPr>
            </w:pPr>
          </w:p>
        </w:tc>
        <w:tc>
          <w:tcPr>
            <w:tcW w:w="0" w:type="auto"/>
            <w:gridSpan w:val="3"/>
            <w:shd w:val="clear" w:color="auto" w:fill="auto"/>
            <w:vAlign w:val="bottom"/>
          </w:tcPr>
          <w:p w14:paraId="71D440C3" w14:textId="77777777" w:rsidR="006A3667" w:rsidRDefault="006A3667">
            <w:pPr>
              <w:rPr>
                <w:rFonts w:ascii="宋体"/>
                <w:vanish/>
              </w:rPr>
            </w:pPr>
          </w:p>
        </w:tc>
        <w:tc>
          <w:tcPr>
            <w:tcW w:w="0" w:type="auto"/>
            <w:gridSpan w:val="3"/>
            <w:shd w:val="clear" w:color="auto" w:fill="auto"/>
            <w:vAlign w:val="bottom"/>
          </w:tcPr>
          <w:p w14:paraId="71D440C4" w14:textId="77777777" w:rsidR="006A3667" w:rsidRDefault="006A3667">
            <w:pPr>
              <w:rPr>
                <w:rFonts w:ascii="宋体"/>
                <w:vanish/>
              </w:rPr>
            </w:pPr>
          </w:p>
        </w:tc>
        <w:tc>
          <w:tcPr>
            <w:tcW w:w="0" w:type="auto"/>
            <w:gridSpan w:val="3"/>
            <w:shd w:val="clear" w:color="auto" w:fill="auto"/>
            <w:vAlign w:val="bottom"/>
          </w:tcPr>
          <w:p w14:paraId="71D440C5" w14:textId="77777777" w:rsidR="006A3667" w:rsidRDefault="006A3667">
            <w:pPr>
              <w:rPr>
                <w:rFonts w:ascii="宋体"/>
                <w:vanish/>
              </w:rPr>
            </w:pPr>
          </w:p>
        </w:tc>
        <w:tc>
          <w:tcPr>
            <w:tcW w:w="0" w:type="auto"/>
            <w:gridSpan w:val="3"/>
            <w:shd w:val="clear" w:color="auto" w:fill="auto"/>
            <w:vAlign w:val="bottom"/>
          </w:tcPr>
          <w:p w14:paraId="71D440C6" w14:textId="77777777" w:rsidR="006A3667" w:rsidRDefault="006A3667">
            <w:pPr>
              <w:rPr>
                <w:rFonts w:ascii="宋体"/>
                <w:vanish/>
              </w:rPr>
            </w:pPr>
          </w:p>
        </w:tc>
        <w:tc>
          <w:tcPr>
            <w:tcW w:w="0" w:type="auto"/>
            <w:gridSpan w:val="3"/>
            <w:shd w:val="clear" w:color="auto" w:fill="auto"/>
            <w:vAlign w:val="bottom"/>
          </w:tcPr>
          <w:p w14:paraId="71D440C7" w14:textId="77777777" w:rsidR="006A3667" w:rsidRDefault="006A3667">
            <w:pPr>
              <w:rPr>
                <w:rFonts w:ascii="宋体"/>
                <w:vanish/>
              </w:rPr>
            </w:pPr>
          </w:p>
        </w:tc>
        <w:tc>
          <w:tcPr>
            <w:tcW w:w="0" w:type="auto"/>
            <w:gridSpan w:val="3"/>
            <w:shd w:val="clear" w:color="auto" w:fill="auto"/>
            <w:vAlign w:val="bottom"/>
          </w:tcPr>
          <w:p w14:paraId="71D440C8" w14:textId="77777777" w:rsidR="006A3667" w:rsidRDefault="006A3667">
            <w:pPr>
              <w:rPr>
                <w:rFonts w:ascii="宋体"/>
                <w:vanish/>
              </w:rPr>
            </w:pPr>
          </w:p>
        </w:tc>
        <w:tc>
          <w:tcPr>
            <w:tcW w:w="0" w:type="auto"/>
            <w:shd w:val="clear" w:color="auto" w:fill="auto"/>
            <w:vAlign w:val="bottom"/>
          </w:tcPr>
          <w:p w14:paraId="71D440C9" w14:textId="77777777" w:rsidR="006A3667" w:rsidRDefault="006A3667">
            <w:pPr>
              <w:rPr>
                <w:rFonts w:ascii="宋体"/>
                <w:vanish/>
              </w:rPr>
            </w:pPr>
          </w:p>
        </w:tc>
        <w:tc>
          <w:tcPr>
            <w:tcW w:w="0" w:type="auto"/>
            <w:shd w:val="clear" w:color="auto" w:fill="auto"/>
            <w:vAlign w:val="bottom"/>
          </w:tcPr>
          <w:p w14:paraId="71D440CA" w14:textId="77777777" w:rsidR="006A3667" w:rsidRDefault="006A3667">
            <w:pPr>
              <w:rPr>
                <w:rFonts w:ascii="宋体"/>
                <w:vanish/>
              </w:rPr>
            </w:pPr>
          </w:p>
        </w:tc>
        <w:tc>
          <w:tcPr>
            <w:tcW w:w="0" w:type="auto"/>
            <w:gridSpan w:val="3"/>
            <w:shd w:val="clear" w:color="auto" w:fill="auto"/>
            <w:vAlign w:val="bottom"/>
          </w:tcPr>
          <w:p w14:paraId="71D440CB" w14:textId="77777777" w:rsidR="006A3667" w:rsidRDefault="006A3667">
            <w:pPr>
              <w:rPr>
                <w:rFonts w:ascii="宋体"/>
                <w:vanish/>
              </w:rPr>
            </w:pPr>
          </w:p>
        </w:tc>
        <w:tc>
          <w:tcPr>
            <w:tcW w:w="0" w:type="auto"/>
            <w:gridSpan w:val="3"/>
            <w:shd w:val="clear" w:color="auto" w:fill="auto"/>
            <w:vAlign w:val="bottom"/>
          </w:tcPr>
          <w:p w14:paraId="71D440CC" w14:textId="77777777" w:rsidR="006A3667" w:rsidRDefault="006A3667">
            <w:pPr>
              <w:rPr>
                <w:rFonts w:ascii="宋体"/>
                <w:vanish/>
              </w:rPr>
            </w:pPr>
          </w:p>
        </w:tc>
        <w:tc>
          <w:tcPr>
            <w:tcW w:w="0" w:type="auto"/>
            <w:gridSpan w:val="3"/>
            <w:shd w:val="clear" w:color="auto" w:fill="auto"/>
            <w:vAlign w:val="bottom"/>
          </w:tcPr>
          <w:p w14:paraId="71D440CD" w14:textId="77777777" w:rsidR="006A3667" w:rsidRDefault="006A3667">
            <w:pPr>
              <w:rPr>
                <w:rFonts w:ascii="宋体"/>
                <w:vanish/>
              </w:rPr>
            </w:pPr>
          </w:p>
        </w:tc>
        <w:tc>
          <w:tcPr>
            <w:tcW w:w="0" w:type="auto"/>
            <w:gridSpan w:val="3"/>
            <w:shd w:val="clear" w:color="auto" w:fill="auto"/>
            <w:vAlign w:val="bottom"/>
          </w:tcPr>
          <w:p w14:paraId="71D440CE" w14:textId="77777777" w:rsidR="006A3667" w:rsidRDefault="006A3667">
            <w:pPr>
              <w:rPr>
                <w:rFonts w:ascii="宋体"/>
                <w:vanish/>
              </w:rPr>
            </w:pPr>
          </w:p>
        </w:tc>
        <w:tc>
          <w:tcPr>
            <w:tcW w:w="0" w:type="auto"/>
            <w:gridSpan w:val="3"/>
            <w:shd w:val="clear" w:color="auto" w:fill="auto"/>
            <w:vAlign w:val="bottom"/>
          </w:tcPr>
          <w:p w14:paraId="71D440CF" w14:textId="77777777" w:rsidR="006A3667" w:rsidRDefault="006A3667">
            <w:pPr>
              <w:rPr>
                <w:rFonts w:ascii="宋体"/>
                <w:vanish/>
              </w:rPr>
            </w:pPr>
          </w:p>
        </w:tc>
        <w:tc>
          <w:tcPr>
            <w:tcW w:w="0" w:type="auto"/>
            <w:gridSpan w:val="3"/>
            <w:shd w:val="clear" w:color="auto" w:fill="auto"/>
            <w:vAlign w:val="bottom"/>
          </w:tcPr>
          <w:p w14:paraId="71D440D0" w14:textId="77777777" w:rsidR="006A3667" w:rsidRDefault="006A3667">
            <w:pPr>
              <w:rPr>
                <w:rFonts w:ascii="宋体"/>
                <w:vanish/>
              </w:rPr>
            </w:pPr>
          </w:p>
        </w:tc>
        <w:tc>
          <w:tcPr>
            <w:tcW w:w="0" w:type="auto"/>
            <w:gridSpan w:val="3"/>
            <w:shd w:val="clear" w:color="auto" w:fill="auto"/>
            <w:vAlign w:val="bottom"/>
          </w:tcPr>
          <w:p w14:paraId="71D440D1" w14:textId="77777777" w:rsidR="006A3667" w:rsidRDefault="006A3667">
            <w:pPr>
              <w:rPr>
                <w:rFonts w:ascii="宋体"/>
                <w:vanish/>
              </w:rPr>
            </w:pPr>
          </w:p>
        </w:tc>
        <w:tc>
          <w:tcPr>
            <w:tcW w:w="0" w:type="auto"/>
            <w:gridSpan w:val="3"/>
            <w:shd w:val="clear" w:color="auto" w:fill="auto"/>
            <w:vAlign w:val="bottom"/>
          </w:tcPr>
          <w:p w14:paraId="71D440D2" w14:textId="77777777" w:rsidR="006A3667" w:rsidRDefault="006A3667">
            <w:pPr>
              <w:rPr>
                <w:rFonts w:ascii="宋体"/>
                <w:vanish/>
              </w:rPr>
            </w:pPr>
          </w:p>
        </w:tc>
        <w:tc>
          <w:tcPr>
            <w:tcW w:w="0" w:type="auto"/>
            <w:gridSpan w:val="3"/>
            <w:shd w:val="clear" w:color="auto" w:fill="auto"/>
            <w:vAlign w:val="bottom"/>
          </w:tcPr>
          <w:p w14:paraId="71D440D3" w14:textId="77777777" w:rsidR="006A3667" w:rsidRDefault="006A3667">
            <w:pPr>
              <w:rPr>
                <w:rFonts w:ascii="宋体"/>
                <w:vanish/>
              </w:rPr>
            </w:pPr>
          </w:p>
        </w:tc>
        <w:tc>
          <w:tcPr>
            <w:tcW w:w="0" w:type="auto"/>
            <w:gridSpan w:val="2"/>
            <w:shd w:val="clear" w:color="auto" w:fill="auto"/>
            <w:vAlign w:val="bottom"/>
          </w:tcPr>
          <w:p w14:paraId="71D440D4" w14:textId="77777777" w:rsidR="006A3667" w:rsidRDefault="006A3667">
            <w:pPr>
              <w:rPr>
                <w:rFonts w:ascii="宋体"/>
                <w:vanish/>
              </w:rPr>
            </w:pPr>
          </w:p>
        </w:tc>
        <w:tc>
          <w:tcPr>
            <w:tcW w:w="0" w:type="auto"/>
            <w:shd w:val="clear" w:color="auto" w:fill="auto"/>
            <w:vAlign w:val="bottom"/>
          </w:tcPr>
          <w:p w14:paraId="71D440D5" w14:textId="77777777" w:rsidR="006A3667" w:rsidRDefault="006A3667">
            <w:pPr>
              <w:rPr>
                <w:rFonts w:ascii="宋体"/>
                <w:vanish/>
              </w:rPr>
            </w:pPr>
          </w:p>
        </w:tc>
      </w:tr>
      <w:tr w:rsidR="006A3667" w14:paraId="71D440ED" w14:textId="77777777">
        <w:trPr>
          <w:hidden/>
        </w:trPr>
        <w:tc>
          <w:tcPr>
            <w:tcW w:w="0" w:type="auto"/>
            <w:gridSpan w:val="3"/>
            <w:shd w:val="clear" w:color="auto" w:fill="auto"/>
            <w:vAlign w:val="bottom"/>
          </w:tcPr>
          <w:p w14:paraId="71D440D7" w14:textId="77777777" w:rsidR="006A3667" w:rsidRDefault="006A3667">
            <w:pPr>
              <w:rPr>
                <w:rFonts w:ascii="宋体"/>
                <w:vanish/>
              </w:rPr>
            </w:pPr>
          </w:p>
        </w:tc>
        <w:tc>
          <w:tcPr>
            <w:tcW w:w="0" w:type="auto"/>
            <w:gridSpan w:val="3"/>
            <w:shd w:val="clear" w:color="auto" w:fill="auto"/>
            <w:vAlign w:val="bottom"/>
          </w:tcPr>
          <w:p w14:paraId="71D440D8" w14:textId="77777777" w:rsidR="006A3667" w:rsidRDefault="006A3667">
            <w:pPr>
              <w:rPr>
                <w:rFonts w:ascii="宋体"/>
                <w:vanish/>
              </w:rPr>
            </w:pPr>
          </w:p>
        </w:tc>
        <w:tc>
          <w:tcPr>
            <w:tcW w:w="0" w:type="auto"/>
            <w:gridSpan w:val="3"/>
            <w:shd w:val="clear" w:color="auto" w:fill="auto"/>
            <w:vAlign w:val="bottom"/>
          </w:tcPr>
          <w:p w14:paraId="71D440D9" w14:textId="77777777" w:rsidR="006A3667" w:rsidRDefault="006A3667">
            <w:pPr>
              <w:rPr>
                <w:rFonts w:ascii="宋体"/>
                <w:vanish/>
              </w:rPr>
            </w:pPr>
          </w:p>
        </w:tc>
        <w:tc>
          <w:tcPr>
            <w:tcW w:w="0" w:type="auto"/>
            <w:gridSpan w:val="3"/>
            <w:shd w:val="clear" w:color="auto" w:fill="auto"/>
            <w:vAlign w:val="bottom"/>
          </w:tcPr>
          <w:p w14:paraId="71D440DA" w14:textId="77777777" w:rsidR="006A3667" w:rsidRDefault="006A3667">
            <w:pPr>
              <w:rPr>
                <w:rFonts w:ascii="宋体"/>
                <w:vanish/>
              </w:rPr>
            </w:pPr>
          </w:p>
        </w:tc>
        <w:tc>
          <w:tcPr>
            <w:tcW w:w="0" w:type="auto"/>
            <w:gridSpan w:val="3"/>
            <w:shd w:val="clear" w:color="auto" w:fill="auto"/>
            <w:vAlign w:val="bottom"/>
          </w:tcPr>
          <w:p w14:paraId="71D440DB" w14:textId="77777777" w:rsidR="006A3667" w:rsidRDefault="006A3667">
            <w:pPr>
              <w:rPr>
                <w:rFonts w:ascii="宋体"/>
                <w:vanish/>
              </w:rPr>
            </w:pPr>
          </w:p>
        </w:tc>
        <w:tc>
          <w:tcPr>
            <w:tcW w:w="0" w:type="auto"/>
            <w:gridSpan w:val="3"/>
            <w:shd w:val="clear" w:color="auto" w:fill="auto"/>
            <w:vAlign w:val="bottom"/>
          </w:tcPr>
          <w:p w14:paraId="71D440DC" w14:textId="77777777" w:rsidR="006A3667" w:rsidRDefault="006A3667">
            <w:pPr>
              <w:rPr>
                <w:rFonts w:ascii="宋体"/>
                <w:vanish/>
              </w:rPr>
            </w:pPr>
          </w:p>
        </w:tc>
        <w:tc>
          <w:tcPr>
            <w:tcW w:w="0" w:type="auto"/>
            <w:gridSpan w:val="3"/>
            <w:shd w:val="clear" w:color="auto" w:fill="auto"/>
            <w:vAlign w:val="bottom"/>
          </w:tcPr>
          <w:p w14:paraId="71D440DD" w14:textId="77777777" w:rsidR="006A3667" w:rsidRDefault="006A3667">
            <w:pPr>
              <w:rPr>
                <w:rFonts w:ascii="宋体"/>
                <w:vanish/>
              </w:rPr>
            </w:pPr>
          </w:p>
        </w:tc>
        <w:tc>
          <w:tcPr>
            <w:tcW w:w="0" w:type="auto"/>
            <w:gridSpan w:val="3"/>
            <w:shd w:val="clear" w:color="auto" w:fill="auto"/>
            <w:vAlign w:val="bottom"/>
          </w:tcPr>
          <w:p w14:paraId="71D440DE" w14:textId="77777777" w:rsidR="006A3667" w:rsidRDefault="006A3667">
            <w:pPr>
              <w:rPr>
                <w:rFonts w:ascii="宋体"/>
                <w:vanish/>
              </w:rPr>
            </w:pPr>
          </w:p>
        </w:tc>
        <w:tc>
          <w:tcPr>
            <w:tcW w:w="0" w:type="auto"/>
            <w:gridSpan w:val="3"/>
            <w:shd w:val="clear" w:color="auto" w:fill="auto"/>
            <w:vAlign w:val="bottom"/>
          </w:tcPr>
          <w:p w14:paraId="71D440DF" w14:textId="77777777" w:rsidR="006A3667" w:rsidRDefault="006A3667">
            <w:pPr>
              <w:rPr>
                <w:rFonts w:ascii="宋体"/>
                <w:vanish/>
              </w:rPr>
            </w:pPr>
          </w:p>
        </w:tc>
        <w:tc>
          <w:tcPr>
            <w:tcW w:w="0" w:type="auto"/>
            <w:shd w:val="clear" w:color="auto" w:fill="auto"/>
            <w:vAlign w:val="bottom"/>
          </w:tcPr>
          <w:p w14:paraId="71D440E0" w14:textId="77777777" w:rsidR="006A3667" w:rsidRDefault="006A3667">
            <w:pPr>
              <w:rPr>
                <w:rFonts w:ascii="宋体"/>
                <w:vanish/>
              </w:rPr>
            </w:pPr>
          </w:p>
        </w:tc>
        <w:tc>
          <w:tcPr>
            <w:tcW w:w="0" w:type="auto"/>
            <w:shd w:val="clear" w:color="auto" w:fill="auto"/>
            <w:vAlign w:val="bottom"/>
          </w:tcPr>
          <w:p w14:paraId="71D440E1" w14:textId="77777777" w:rsidR="006A3667" w:rsidRDefault="006A3667">
            <w:pPr>
              <w:rPr>
                <w:rFonts w:ascii="宋体"/>
                <w:vanish/>
              </w:rPr>
            </w:pPr>
          </w:p>
        </w:tc>
        <w:tc>
          <w:tcPr>
            <w:tcW w:w="0" w:type="auto"/>
            <w:gridSpan w:val="3"/>
            <w:shd w:val="clear" w:color="auto" w:fill="auto"/>
            <w:vAlign w:val="bottom"/>
          </w:tcPr>
          <w:p w14:paraId="71D440E2" w14:textId="77777777" w:rsidR="006A3667" w:rsidRDefault="006A3667">
            <w:pPr>
              <w:rPr>
                <w:rFonts w:ascii="宋体"/>
                <w:vanish/>
              </w:rPr>
            </w:pPr>
          </w:p>
        </w:tc>
        <w:tc>
          <w:tcPr>
            <w:tcW w:w="0" w:type="auto"/>
            <w:gridSpan w:val="3"/>
            <w:shd w:val="clear" w:color="auto" w:fill="auto"/>
            <w:vAlign w:val="bottom"/>
          </w:tcPr>
          <w:p w14:paraId="71D440E3" w14:textId="77777777" w:rsidR="006A3667" w:rsidRDefault="006A3667">
            <w:pPr>
              <w:rPr>
                <w:rFonts w:ascii="宋体"/>
                <w:vanish/>
              </w:rPr>
            </w:pPr>
          </w:p>
        </w:tc>
        <w:tc>
          <w:tcPr>
            <w:tcW w:w="0" w:type="auto"/>
            <w:gridSpan w:val="3"/>
            <w:shd w:val="clear" w:color="auto" w:fill="auto"/>
            <w:vAlign w:val="bottom"/>
          </w:tcPr>
          <w:p w14:paraId="71D440E4" w14:textId="77777777" w:rsidR="006A3667" w:rsidRDefault="006A3667">
            <w:pPr>
              <w:rPr>
                <w:rFonts w:ascii="宋体"/>
                <w:vanish/>
              </w:rPr>
            </w:pPr>
          </w:p>
        </w:tc>
        <w:tc>
          <w:tcPr>
            <w:tcW w:w="0" w:type="auto"/>
            <w:gridSpan w:val="3"/>
            <w:shd w:val="clear" w:color="auto" w:fill="auto"/>
            <w:vAlign w:val="bottom"/>
          </w:tcPr>
          <w:p w14:paraId="71D440E5" w14:textId="77777777" w:rsidR="006A3667" w:rsidRDefault="006A3667">
            <w:pPr>
              <w:rPr>
                <w:rFonts w:ascii="宋体"/>
                <w:vanish/>
              </w:rPr>
            </w:pPr>
          </w:p>
        </w:tc>
        <w:tc>
          <w:tcPr>
            <w:tcW w:w="0" w:type="auto"/>
            <w:gridSpan w:val="3"/>
            <w:shd w:val="clear" w:color="auto" w:fill="auto"/>
            <w:vAlign w:val="bottom"/>
          </w:tcPr>
          <w:p w14:paraId="71D440E6" w14:textId="77777777" w:rsidR="006A3667" w:rsidRDefault="006A3667">
            <w:pPr>
              <w:rPr>
                <w:rFonts w:ascii="宋体"/>
                <w:vanish/>
              </w:rPr>
            </w:pPr>
          </w:p>
        </w:tc>
        <w:tc>
          <w:tcPr>
            <w:tcW w:w="0" w:type="auto"/>
            <w:gridSpan w:val="3"/>
            <w:shd w:val="clear" w:color="auto" w:fill="auto"/>
            <w:vAlign w:val="bottom"/>
          </w:tcPr>
          <w:p w14:paraId="71D440E7" w14:textId="77777777" w:rsidR="006A3667" w:rsidRDefault="006A3667">
            <w:pPr>
              <w:rPr>
                <w:rFonts w:ascii="宋体"/>
                <w:vanish/>
              </w:rPr>
            </w:pPr>
          </w:p>
        </w:tc>
        <w:tc>
          <w:tcPr>
            <w:tcW w:w="0" w:type="auto"/>
            <w:gridSpan w:val="3"/>
            <w:shd w:val="clear" w:color="auto" w:fill="auto"/>
            <w:vAlign w:val="bottom"/>
          </w:tcPr>
          <w:p w14:paraId="71D440E8" w14:textId="77777777" w:rsidR="006A3667" w:rsidRDefault="006A3667">
            <w:pPr>
              <w:rPr>
                <w:rFonts w:ascii="宋体"/>
                <w:vanish/>
              </w:rPr>
            </w:pPr>
          </w:p>
        </w:tc>
        <w:tc>
          <w:tcPr>
            <w:tcW w:w="0" w:type="auto"/>
            <w:gridSpan w:val="3"/>
            <w:shd w:val="clear" w:color="auto" w:fill="auto"/>
            <w:vAlign w:val="bottom"/>
          </w:tcPr>
          <w:p w14:paraId="71D440E9" w14:textId="77777777" w:rsidR="006A3667" w:rsidRDefault="006A3667">
            <w:pPr>
              <w:rPr>
                <w:rFonts w:ascii="宋体"/>
                <w:vanish/>
              </w:rPr>
            </w:pPr>
          </w:p>
        </w:tc>
        <w:tc>
          <w:tcPr>
            <w:tcW w:w="0" w:type="auto"/>
            <w:gridSpan w:val="3"/>
            <w:shd w:val="clear" w:color="auto" w:fill="auto"/>
            <w:vAlign w:val="bottom"/>
          </w:tcPr>
          <w:p w14:paraId="71D440EA" w14:textId="77777777" w:rsidR="006A3667" w:rsidRDefault="006A3667">
            <w:pPr>
              <w:rPr>
                <w:rFonts w:ascii="宋体"/>
                <w:vanish/>
              </w:rPr>
            </w:pPr>
          </w:p>
        </w:tc>
        <w:tc>
          <w:tcPr>
            <w:tcW w:w="0" w:type="auto"/>
            <w:gridSpan w:val="2"/>
            <w:shd w:val="clear" w:color="auto" w:fill="auto"/>
            <w:vAlign w:val="bottom"/>
          </w:tcPr>
          <w:p w14:paraId="71D440EB" w14:textId="77777777" w:rsidR="006A3667" w:rsidRDefault="006A3667">
            <w:pPr>
              <w:rPr>
                <w:rFonts w:ascii="宋体"/>
                <w:vanish/>
              </w:rPr>
            </w:pPr>
          </w:p>
        </w:tc>
        <w:tc>
          <w:tcPr>
            <w:tcW w:w="0" w:type="auto"/>
            <w:shd w:val="clear" w:color="auto" w:fill="auto"/>
            <w:vAlign w:val="bottom"/>
          </w:tcPr>
          <w:p w14:paraId="71D440EC" w14:textId="77777777" w:rsidR="006A3667" w:rsidRDefault="006A3667">
            <w:pPr>
              <w:rPr>
                <w:rFonts w:ascii="宋体"/>
                <w:vanish/>
              </w:rPr>
            </w:pPr>
          </w:p>
        </w:tc>
      </w:tr>
      <w:tr w:rsidR="006A3667" w14:paraId="71D44104" w14:textId="77777777">
        <w:trPr>
          <w:hidden/>
        </w:trPr>
        <w:tc>
          <w:tcPr>
            <w:tcW w:w="0" w:type="auto"/>
            <w:gridSpan w:val="3"/>
            <w:shd w:val="clear" w:color="auto" w:fill="auto"/>
            <w:vAlign w:val="bottom"/>
          </w:tcPr>
          <w:p w14:paraId="71D440EE" w14:textId="77777777" w:rsidR="006A3667" w:rsidRDefault="006A3667">
            <w:pPr>
              <w:rPr>
                <w:rFonts w:ascii="宋体"/>
                <w:vanish/>
              </w:rPr>
            </w:pPr>
          </w:p>
        </w:tc>
        <w:tc>
          <w:tcPr>
            <w:tcW w:w="0" w:type="auto"/>
            <w:gridSpan w:val="3"/>
            <w:shd w:val="clear" w:color="auto" w:fill="auto"/>
            <w:vAlign w:val="bottom"/>
          </w:tcPr>
          <w:p w14:paraId="71D440EF" w14:textId="77777777" w:rsidR="006A3667" w:rsidRDefault="006A3667">
            <w:pPr>
              <w:rPr>
                <w:rFonts w:ascii="宋体"/>
                <w:vanish/>
              </w:rPr>
            </w:pPr>
          </w:p>
        </w:tc>
        <w:tc>
          <w:tcPr>
            <w:tcW w:w="0" w:type="auto"/>
            <w:gridSpan w:val="3"/>
            <w:shd w:val="clear" w:color="auto" w:fill="auto"/>
            <w:vAlign w:val="bottom"/>
          </w:tcPr>
          <w:p w14:paraId="71D440F0" w14:textId="77777777" w:rsidR="006A3667" w:rsidRDefault="006A3667">
            <w:pPr>
              <w:rPr>
                <w:rFonts w:ascii="宋体"/>
                <w:vanish/>
              </w:rPr>
            </w:pPr>
          </w:p>
        </w:tc>
        <w:tc>
          <w:tcPr>
            <w:tcW w:w="0" w:type="auto"/>
            <w:gridSpan w:val="3"/>
            <w:shd w:val="clear" w:color="auto" w:fill="auto"/>
            <w:vAlign w:val="bottom"/>
          </w:tcPr>
          <w:p w14:paraId="71D440F1" w14:textId="77777777" w:rsidR="006A3667" w:rsidRDefault="006A3667">
            <w:pPr>
              <w:rPr>
                <w:rFonts w:ascii="宋体"/>
                <w:vanish/>
              </w:rPr>
            </w:pPr>
          </w:p>
        </w:tc>
        <w:tc>
          <w:tcPr>
            <w:tcW w:w="0" w:type="auto"/>
            <w:gridSpan w:val="3"/>
            <w:shd w:val="clear" w:color="auto" w:fill="auto"/>
            <w:vAlign w:val="bottom"/>
          </w:tcPr>
          <w:p w14:paraId="71D440F2" w14:textId="77777777" w:rsidR="006A3667" w:rsidRDefault="006A3667">
            <w:pPr>
              <w:rPr>
                <w:rFonts w:ascii="宋体"/>
                <w:vanish/>
              </w:rPr>
            </w:pPr>
          </w:p>
        </w:tc>
        <w:tc>
          <w:tcPr>
            <w:tcW w:w="0" w:type="auto"/>
            <w:gridSpan w:val="3"/>
            <w:shd w:val="clear" w:color="auto" w:fill="auto"/>
            <w:vAlign w:val="bottom"/>
          </w:tcPr>
          <w:p w14:paraId="71D440F3" w14:textId="77777777" w:rsidR="006A3667" w:rsidRDefault="006A3667">
            <w:pPr>
              <w:rPr>
                <w:rFonts w:ascii="宋体"/>
                <w:vanish/>
              </w:rPr>
            </w:pPr>
          </w:p>
        </w:tc>
        <w:tc>
          <w:tcPr>
            <w:tcW w:w="0" w:type="auto"/>
            <w:gridSpan w:val="3"/>
            <w:shd w:val="clear" w:color="auto" w:fill="auto"/>
            <w:vAlign w:val="bottom"/>
          </w:tcPr>
          <w:p w14:paraId="71D440F4" w14:textId="77777777" w:rsidR="006A3667" w:rsidRDefault="006A3667">
            <w:pPr>
              <w:rPr>
                <w:rFonts w:ascii="宋体"/>
                <w:vanish/>
              </w:rPr>
            </w:pPr>
          </w:p>
        </w:tc>
        <w:tc>
          <w:tcPr>
            <w:tcW w:w="0" w:type="auto"/>
            <w:gridSpan w:val="3"/>
            <w:shd w:val="clear" w:color="auto" w:fill="auto"/>
            <w:vAlign w:val="bottom"/>
          </w:tcPr>
          <w:p w14:paraId="71D440F5" w14:textId="77777777" w:rsidR="006A3667" w:rsidRDefault="006A3667">
            <w:pPr>
              <w:rPr>
                <w:rFonts w:ascii="宋体"/>
                <w:vanish/>
              </w:rPr>
            </w:pPr>
          </w:p>
        </w:tc>
        <w:tc>
          <w:tcPr>
            <w:tcW w:w="0" w:type="auto"/>
            <w:gridSpan w:val="3"/>
            <w:shd w:val="clear" w:color="auto" w:fill="auto"/>
            <w:vAlign w:val="bottom"/>
          </w:tcPr>
          <w:p w14:paraId="71D440F6" w14:textId="77777777" w:rsidR="006A3667" w:rsidRDefault="006A3667">
            <w:pPr>
              <w:rPr>
                <w:rFonts w:ascii="宋体"/>
                <w:vanish/>
              </w:rPr>
            </w:pPr>
          </w:p>
        </w:tc>
        <w:tc>
          <w:tcPr>
            <w:tcW w:w="0" w:type="auto"/>
            <w:shd w:val="clear" w:color="auto" w:fill="auto"/>
            <w:vAlign w:val="bottom"/>
          </w:tcPr>
          <w:p w14:paraId="71D440F7" w14:textId="77777777" w:rsidR="006A3667" w:rsidRDefault="006A3667">
            <w:pPr>
              <w:rPr>
                <w:rFonts w:ascii="宋体"/>
                <w:vanish/>
              </w:rPr>
            </w:pPr>
          </w:p>
        </w:tc>
        <w:tc>
          <w:tcPr>
            <w:tcW w:w="0" w:type="auto"/>
            <w:shd w:val="clear" w:color="auto" w:fill="auto"/>
            <w:vAlign w:val="bottom"/>
          </w:tcPr>
          <w:p w14:paraId="71D440F8" w14:textId="77777777" w:rsidR="006A3667" w:rsidRDefault="006A3667">
            <w:pPr>
              <w:rPr>
                <w:rFonts w:ascii="宋体"/>
                <w:vanish/>
              </w:rPr>
            </w:pPr>
          </w:p>
        </w:tc>
        <w:tc>
          <w:tcPr>
            <w:tcW w:w="0" w:type="auto"/>
            <w:gridSpan w:val="3"/>
            <w:shd w:val="clear" w:color="auto" w:fill="auto"/>
            <w:vAlign w:val="bottom"/>
          </w:tcPr>
          <w:p w14:paraId="71D440F9" w14:textId="77777777" w:rsidR="006A3667" w:rsidRDefault="006A3667">
            <w:pPr>
              <w:rPr>
                <w:rFonts w:ascii="宋体"/>
                <w:vanish/>
              </w:rPr>
            </w:pPr>
          </w:p>
        </w:tc>
        <w:tc>
          <w:tcPr>
            <w:tcW w:w="0" w:type="auto"/>
            <w:gridSpan w:val="3"/>
            <w:shd w:val="clear" w:color="auto" w:fill="auto"/>
            <w:vAlign w:val="bottom"/>
          </w:tcPr>
          <w:p w14:paraId="71D440FA" w14:textId="77777777" w:rsidR="006A3667" w:rsidRDefault="006A3667">
            <w:pPr>
              <w:rPr>
                <w:rFonts w:ascii="宋体"/>
                <w:vanish/>
              </w:rPr>
            </w:pPr>
          </w:p>
        </w:tc>
        <w:tc>
          <w:tcPr>
            <w:tcW w:w="0" w:type="auto"/>
            <w:gridSpan w:val="3"/>
            <w:shd w:val="clear" w:color="auto" w:fill="auto"/>
            <w:vAlign w:val="bottom"/>
          </w:tcPr>
          <w:p w14:paraId="71D440FB" w14:textId="77777777" w:rsidR="006A3667" w:rsidRDefault="006A3667">
            <w:pPr>
              <w:rPr>
                <w:rFonts w:ascii="宋体"/>
                <w:vanish/>
              </w:rPr>
            </w:pPr>
          </w:p>
        </w:tc>
        <w:tc>
          <w:tcPr>
            <w:tcW w:w="0" w:type="auto"/>
            <w:gridSpan w:val="3"/>
            <w:shd w:val="clear" w:color="auto" w:fill="auto"/>
            <w:vAlign w:val="bottom"/>
          </w:tcPr>
          <w:p w14:paraId="71D440FC" w14:textId="77777777" w:rsidR="006A3667" w:rsidRDefault="006A3667">
            <w:pPr>
              <w:rPr>
                <w:rFonts w:ascii="宋体"/>
                <w:vanish/>
              </w:rPr>
            </w:pPr>
          </w:p>
        </w:tc>
        <w:tc>
          <w:tcPr>
            <w:tcW w:w="0" w:type="auto"/>
            <w:gridSpan w:val="3"/>
            <w:shd w:val="clear" w:color="auto" w:fill="auto"/>
            <w:vAlign w:val="bottom"/>
          </w:tcPr>
          <w:p w14:paraId="71D440FD" w14:textId="77777777" w:rsidR="006A3667" w:rsidRDefault="006A3667">
            <w:pPr>
              <w:rPr>
                <w:rFonts w:ascii="宋体"/>
                <w:vanish/>
              </w:rPr>
            </w:pPr>
          </w:p>
        </w:tc>
        <w:tc>
          <w:tcPr>
            <w:tcW w:w="0" w:type="auto"/>
            <w:gridSpan w:val="3"/>
            <w:shd w:val="clear" w:color="auto" w:fill="auto"/>
            <w:vAlign w:val="bottom"/>
          </w:tcPr>
          <w:p w14:paraId="71D440FE" w14:textId="77777777" w:rsidR="006A3667" w:rsidRDefault="006A3667">
            <w:pPr>
              <w:rPr>
                <w:rFonts w:ascii="宋体"/>
                <w:vanish/>
              </w:rPr>
            </w:pPr>
          </w:p>
        </w:tc>
        <w:tc>
          <w:tcPr>
            <w:tcW w:w="0" w:type="auto"/>
            <w:gridSpan w:val="3"/>
            <w:shd w:val="clear" w:color="auto" w:fill="auto"/>
            <w:vAlign w:val="bottom"/>
          </w:tcPr>
          <w:p w14:paraId="71D440FF" w14:textId="77777777" w:rsidR="006A3667" w:rsidRDefault="006A3667">
            <w:pPr>
              <w:rPr>
                <w:rFonts w:ascii="宋体"/>
                <w:vanish/>
              </w:rPr>
            </w:pPr>
          </w:p>
        </w:tc>
        <w:tc>
          <w:tcPr>
            <w:tcW w:w="0" w:type="auto"/>
            <w:gridSpan w:val="3"/>
            <w:shd w:val="clear" w:color="auto" w:fill="auto"/>
            <w:vAlign w:val="bottom"/>
          </w:tcPr>
          <w:p w14:paraId="71D44100" w14:textId="77777777" w:rsidR="006A3667" w:rsidRDefault="006A3667">
            <w:pPr>
              <w:rPr>
                <w:rFonts w:ascii="宋体"/>
                <w:vanish/>
              </w:rPr>
            </w:pPr>
          </w:p>
        </w:tc>
        <w:tc>
          <w:tcPr>
            <w:tcW w:w="0" w:type="auto"/>
            <w:gridSpan w:val="3"/>
            <w:shd w:val="clear" w:color="auto" w:fill="auto"/>
            <w:vAlign w:val="bottom"/>
          </w:tcPr>
          <w:p w14:paraId="71D44101" w14:textId="77777777" w:rsidR="006A3667" w:rsidRDefault="006A3667">
            <w:pPr>
              <w:rPr>
                <w:rFonts w:ascii="宋体"/>
                <w:vanish/>
              </w:rPr>
            </w:pPr>
          </w:p>
        </w:tc>
        <w:tc>
          <w:tcPr>
            <w:tcW w:w="0" w:type="auto"/>
            <w:gridSpan w:val="2"/>
            <w:shd w:val="clear" w:color="auto" w:fill="auto"/>
            <w:vAlign w:val="bottom"/>
          </w:tcPr>
          <w:p w14:paraId="71D44102" w14:textId="77777777" w:rsidR="006A3667" w:rsidRDefault="006A3667">
            <w:pPr>
              <w:rPr>
                <w:rFonts w:ascii="宋体"/>
                <w:vanish/>
              </w:rPr>
            </w:pPr>
          </w:p>
        </w:tc>
        <w:tc>
          <w:tcPr>
            <w:tcW w:w="0" w:type="auto"/>
            <w:shd w:val="clear" w:color="auto" w:fill="auto"/>
            <w:vAlign w:val="bottom"/>
          </w:tcPr>
          <w:p w14:paraId="71D44103" w14:textId="77777777" w:rsidR="006A3667" w:rsidRDefault="006A3667">
            <w:pPr>
              <w:rPr>
                <w:rFonts w:ascii="宋体"/>
                <w:vanish/>
              </w:rPr>
            </w:pPr>
          </w:p>
        </w:tc>
      </w:tr>
      <w:tr w:rsidR="006A3667" w14:paraId="71D4411B" w14:textId="77777777">
        <w:trPr>
          <w:hidden/>
        </w:trPr>
        <w:tc>
          <w:tcPr>
            <w:tcW w:w="0" w:type="auto"/>
            <w:gridSpan w:val="3"/>
            <w:shd w:val="clear" w:color="auto" w:fill="auto"/>
            <w:vAlign w:val="bottom"/>
          </w:tcPr>
          <w:p w14:paraId="71D44105" w14:textId="77777777" w:rsidR="006A3667" w:rsidRDefault="006A3667">
            <w:pPr>
              <w:rPr>
                <w:rFonts w:ascii="宋体"/>
                <w:vanish/>
              </w:rPr>
            </w:pPr>
          </w:p>
        </w:tc>
        <w:tc>
          <w:tcPr>
            <w:tcW w:w="0" w:type="auto"/>
            <w:gridSpan w:val="3"/>
            <w:shd w:val="clear" w:color="auto" w:fill="auto"/>
            <w:vAlign w:val="bottom"/>
          </w:tcPr>
          <w:p w14:paraId="71D44106" w14:textId="77777777" w:rsidR="006A3667" w:rsidRDefault="006A3667">
            <w:pPr>
              <w:rPr>
                <w:rFonts w:ascii="宋体"/>
                <w:vanish/>
              </w:rPr>
            </w:pPr>
          </w:p>
        </w:tc>
        <w:tc>
          <w:tcPr>
            <w:tcW w:w="0" w:type="auto"/>
            <w:gridSpan w:val="3"/>
            <w:shd w:val="clear" w:color="auto" w:fill="auto"/>
            <w:vAlign w:val="bottom"/>
          </w:tcPr>
          <w:p w14:paraId="71D44107" w14:textId="77777777" w:rsidR="006A3667" w:rsidRDefault="006A3667">
            <w:pPr>
              <w:rPr>
                <w:rFonts w:ascii="宋体"/>
                <w:vanish/>
              </w:rPr>
            </w:pPr>
          </w:p>
        </w:tc>
        <w:tc>
          <w:tcPr>
            <w:tcW w:w="0" w:type="auto"/>
            <w:gridSpan w:val="3"/>
            <w:shd w:val="clear" w:color="auto" w:fill="auto"/>
            <w:vAlign w:val="bottom"/>
          </w:tcPr>
          <w:p w14:paraId="71D44108" w14:textId="77777777" w:rsidR="006A3667" w:rsidRDefault="006A3667">
            <w:pPr>
              <w:rPr>
                <w:rFonts w:ascii="宋体"/>
                <w:vanish/>
              </w:rPr>
            </w:pPr>
          </w:p>
        </w:tc>
        <w:tc>
          <w:tcPr>
            <w:tcW w:w="0" w:type="auto"/>
            <w:gridSpan w:val="3"/>
            <w:shd w:val="clear" w:color="auto" w:fill="auto"/>
            <w:vAlign w:val="bottom"/>
          </w:tcPr>
          <w:p w14:paraId="71D44109" w14:textId="77777777" w:rsidR="006A3667" w:rsidRDefault="006A3667">
            <w:pPr>
              <w:rPr>
                <w:rFonts w:ascii="宋体"/>
                <w:vanish/>
              </w:rPr>
            </w:pPr>
          </w:p>
        </w:tc>
        <w:tc>
          <w:tcPr>
            <w:tcW w:w="0" w:type="auto"/>
            <w:gridSpan w:val="3"/>
            <w:shd w:val="clear" w:color="auto" w:fill="auto"/>
            <w:vAlign w:val="bottom"/>
          </w:tcPr>
          <w:p w14:paraId="71D4410A" w14:textId="77777777" w:rsidR="006A3667" w:rsidRDefault="006A3667">
            <w:pPr>
              <w:rPr>
                <w:rFonts w:ascii="宋体"/>
                <w:vanish/>
              </w:rPr>
            </w:pPr>
          </w:p>
        </w:tc>
        <w:tc>
          <w:tcPr>
            <w:tcW w:w="0" w:type="auto"/>
            <w:gridSpan w:val="3"/>
            <w:shd w:val="clear" w:color="auto" w:fill="auto"/>
            <w:vAlign w:val="bottom"/>
          </w:tcPr>
          <w:p w14:paraId="71D4410B" w14:textId="77777777" w:rsidR="006A3667" w:rsidRDefault="006A3667">
            <w:pPr>
              <w:rPr>
                <w:rFonts w:ascii="宋体"/>
                <w:vanish/>
              </w:rPr>
            </w:pPr>
          </w:p>
        </w:tc>
        <w:tc>
          <w:tcPr>
            <w:tcW w:w="0" w:type="auto"/>
            <w:gridSpan w:val="3"/>
            <w:shd w:val="clear" w:color="auto" w:fill="auto"/>
            <w:vAlign w:val="bottom"/>
          </w:tcPr>
          <w:p w14:paraId="71D4410C" w14:textId="77777777" w:rsidR="006A3667" w:rsidRDefault="006A3667">
            <w:pPr>
              <w:rPr>
                <w:rFonts w:ascii="宋体"/>
                <w:vanish/>
              </w:rPr>
            </w:pPr>
          </w:p>
        </w:tc>
        <w:tc>
          <w:tcPr>
            <w:tcW w:w="0" w:type="auto"/>
            <w:gridSpan w:val="3"/>
            <w:shd w:val="clear" w:color="auto" w:fill="auto"/>
            <w:vAlign w:val="bottom"/>
          </w:tcPr>
          <w:p w14:paraId="71D4410D" w14:textId="77777777" w:rsidR="006A3667" w:rsidRDefault="006A3667">
            <w:pPr>
              <w:rPr>
                <w:rFonts w:ascii="宋体"/>
                <w:vanish/>
              </w:rPr>
            </w:pPr>
          </w:p>
        </w:tc>
        <w:tc>
          <w:tcPr>
            <w:tcW w:w="0" w:type="auto"/>
            <w:shd w:val="clear" w:color="auto" w:fill="auto"/>
            <w:vAlign w:val="bottom"/>
          </w:tcPr>
          <w:p w14:paraId="71D4410E" w14:textId="77777777" w:rsidR="006A3667" w:rsidRDefault="006A3667">
            <w:pPr>
              <w:rPr>
                <w:rFonts w:ascii="宋体"/>
                <w:vanish/>
              </w:rPr>
            </w:pPr>
          </w:p>
        </w:tc>
        <w:tc>
          <w:tcPr>
            <w:tcW w:w="0" w:type="auto"/>
            <w:shd w:val="clear" w:color="auto" w:fill="auto"/>
            <w:vAlign w:val="bottom"/>
          </w:tcPr>
          <w:p w14:paraId="71D4410F" w14:textId="77777777" w:rsidR="006A3667" w:rsidRDefault="006A3667">
            <w:pPr>
              <w:rPr>
                <w:rFonts w:ascii="宋体"/>
                <w:vanish/>
              </w:rPr>
            </w:pPr>
          </w:p>
        </w:tc>
        <w:tc>
          <w:tcPr>
            <w:tcW w:w="0" w:type="auto"/>
            <w:gridSpan w:val="3"/>
            <w:shd w:val="clear" w:color="auto" w:fill="auto"/>
            <w:vAlign w:val="bottom"/>
          </w:tcPr>
          <w:p w14:paraId="71D44110" w14:textId="77777777" w:rsidR="006A3667" w:rsidRDefault="006A3667">
            <w:pPr>
              <w:rPr>
                <w:rFonts w:ascii="宋体"/>
                <w:vanish/>
              </w:rPr>
            </w:pPr>
          </w:p>
        </w:tc>
        <w:tc>
          <w:tcPr>
            <w:tcW w:w="0" w:type="auto"/>
            <w:gridSpan w:val="3"/>
            <w:shd w:val="clear" w:color="auto" w:fill="auto"/>
            <w:vAlign w:val="bottom"/>
          </w:tcPr>
          <w:p w14:paraId="71D44111" w14:textId="77777777" w:rsidR="006A3667" w:rsidRDefault="006A3667">
            <w:pPr>
              <w:rPr>
                <w:rFonts w:ascii="宋体"/>
                <w:vanish/>
              </w:rPr>
            </w:pPr>
          </w:p>
        </w:tc>
        <w:tc>
          <w:tcPr>
            <w:tcW w:w="0" w:type="auto"/>
            <w:gridSpan w:val="3"/>
            <w:shd w:val="clear" w:color="auto" w:fill="auto"/>
            <w:vAlign w:val="bottom"/>
          </w:tcPr>
          <w:p w14:paraId="71D44112" w14:textId="77777777" w:rsidR="006A3667" w:rsidRDefault="006A3667">
            <w:pPr>
              <w:rPr>
                <w:rFonts w:ascii="宋体"/>
                <w:vanish/>
              </w:rPr>
            </w:pPr>
          </w:p>
        </w:tc>
        <w:tc>
          <w:tcPr>
            <w:tcW w:w="0" w:type="auto"/>
            <w:gridSpan w:val="3"/>
            <w:shd w:val="clear" w:color="auto" w:fill="auto"/>
            <w:vAlign w:val="bottom"/>
          </w:tcPr>
          <w:p w14:paraId="71D44113" w14:textId="77777777" w:rsidR="006A3667" w:rsidRDefault="006A3667">
            <w:pPr>
              <w:rPr>
                <w:rFonts w:ascii="宋体"/>
                <w:vanish/>
              </w:rPr>
            </w:pPr>
          </w:p>
        </w:tc>
        <w:tc>
          <w:tcPr>
            <w:tcW w:w="0" w:type="auto"/>
            <w:gridSpan w:val="3"/>
            <w:shd w:val="clear" w:color="auto" w:fill="auto"/>
            <w:vAlign w:val="bottom"/>
          </w:tcPr>
          <w:p w14:paraId="71D44114" w14:textId="77777777" w:rsidR="006A3667" w:rsidRDefault="006A3667">
            <w:pPr>
              <w:rPr>
                <w:rFonts w:ascii="宋体"/>
                <w:vanish/>
              </w:rPr>
            </w:pPr>
          </w:p>
        </w:tc>
        <w:tc>
          <w:tcPr>
            <w:tcW w:w="0" w:type="auto"/>
            <w:gridSpan w:val="3"/>
            <w:shd w:val="clear" w:color="auto" w:fill="auto"/>
            <w:vAlign w:val="bottom"/>
          </w:tcPr>
          <w:p w14:paraId="71D44115" w14:textId="77777777" w:rsidR="006A3667" w:rsidRDefault="006A3667">
            <w:pPr>
              <w:rPr>
                <w:rFonts w:ascii="宋体"/>
                <w:vanish/>
              </w:rPr>
            </w:pPr>
          </w:p>
        </w:tc>
        <w:tc>
          <w:tcPr>
            <w:tcW w:w="0" w:type="auto"/>
            <w:gridSpan w:val="3"/>
            <w:shd w:val="clear" w:color="auto" w:fill="auto"/>
            <w:vAlign w:val="bottom"/>
          </w:tcPr>
          <w:p w14:paraId="71D44116" w14:textId="77777777" w:rsidR="006A3667" w:rsidRDefault="006A3667">
            <w:pPr>
              <w:rPr>
                <w:rFonts w:ascii="宋体"/>
                <w:vanish/>
              </w:rPr>
            </w:pPr>
          </w:p>
        </w:tc>
        <w:tc>
          <w:tcPr>
            <w:tcW w:w="0" w:type="auto"/>
            <w:gridSpan w:val="3"/>
            <w:shd w:val="clear" w:color="auto" w:fill="auto"/>
            <w:vAlign w:val="bottom"/>
          </w:tcPr>
          <w:p w14:paraId="71D44117" w14:textId="77777777" w:rsidR="006A3667" w:rsidRDefault="006A3667">
            <w:pPr>
              <w:rPr>
                <w:rFonts w:ascii="宋体"/>
                <w:vanish/>
              </w:rPr>
            </w:pPr>
          </w:p>
        </w:tc>
        <w:tc>
          <w:tcPr>
            <w:tcW w:w="0" w:type="auto"/>
            <w:gridSpan w:val="3"/>
            <w:shd w:val="clear" w:color="auto" w:fill="auto"/>
            <w:vAlign w:val="bottom"/>
          </w:tcPr>
          <w:p w14:paraId="71D44118" w14:textId="77777777" w:rsidR="006A3667" w:rsidRDefault="006A3667">
            <w:pPr>
              <w:rPr>
                <w:rFonts w:ascii="宋体"/>
                <w:vanish/>
              </w:rPr>
            </w:pPr>
          </w:p>
        </w:tc>
        <w:tc>
          <w:tcPr>
            <w:tcW w:w="0" w:type="auto"/>
            <w:gridSpan w:val="2"/>
            <w:shd w:val="clear" w:color="auto" w:fill="auto"/>
            <w:vAlign w:val="bottom"/>
          </w:tcPr>
          <w:p w14:paraId="71D44119" w14:textId="77777777" w:rsidR="006A3667" w:rsidRDefault="006A3667">
            <w:pPr>
              <w:rPr>
                <w:rFonts w:ascii="宋体"/>
                <w:vanish/>
              </w:rPr>
            </w:pPr>
          </w:p>
        </w:tc>
        <w:tc>
          <w:tcPr>
            <w:tcW w:w="0" w:type="auto"/>
            <w:shd w:val="clear" w:color="auto" w:fill="auto"/>
            <w:vAlign w:val="bottom"/>
          </w:tcPr>
          <w:p w14:paraId="71D4411A" w14:textId="77777777" w:rsidR="006A3667" w:rsidRDefault="006A3667">
            <w:pPr>
              <w:rPr>
                <w:rFonts w:ascii="宋体"/>
                <w:vanish/>
              </w:rPr>
            </w:pPr>
          </w:p>
        </w:tc>
      </w:tr>
      <w:tr w:rsidR="006A3667" w14:paraId="71D44132" w14:textId="77777777">
        <w:trPr>
          <w:hidden/>
        </w:trPr>
        <w:tc>
          <w:tcPr>
            <w:tcW w:w="0" w:type="auto"/>
            <w:gridSpan w:val="3"/>
            <w:shd w:val="clear" w:color="auto" w:fill="auto"/>
            <w:vAlign w:val="bottom"/>
          </w:tcPr>
          <w:p w14:paraId="71D4411C" w14:textId="77777777" w:rsidR="006A3667" w:rsidRDefault="006A3667">
            <w:pPr>
              <w:rPr>
                <w:rFonts w:ascii="宋体"/>
                <w:vanish/>
              </w:rPr>
            </w:pPr>
          </w:p>
        </w:tc>
        <w:tc>
          <w:tcPr>
            <w:tcW w:w="0" w:type="auto"/>
            <w:gridSpan w:val="3"/>
            <w:shd w:val="clear" w:color="auto" w:fill="auto"/>
            <w:vAlign w:val="bottom"/>
          </w:tcPr>
          <w:p w14:paraId="71D4411D" w14:textId="77777777" w:rsidR="006A3667" w:rsidRDefault="006A3667">
            <w:pPr>
              <w:rPr>
                <w:rFonts w:ascii="宋体"/>
                <w:vanish/>
              </w:rPr>
            </w:pPr>
          </w:p>
        </w:tc>
        <w:tc>
          <w:tcPr>
            <w:tcW w:w="0" w:type="auto"/>
            <w:gridSpan w:val="3"/>
            <w:shd w:val="clear" w:color="auto" w:fill="auto"/>
            <w:vAlign w:val="bottom"/>
          </w:tcPr>
          <w:p w14:paraId="71D4411E" w14:textId="77777777" w:rsidR="006A3667" w:rsidRDefault="006A3667">
            <w:pPr>
              <w:rPr>
                <w:rFonts w:ascii="宋体"/>
                <w:vanish/>
              </w:rPr>
            </w:pPr>
          </w:p>
        </w:tc>
        <w:tc>
          <w:tcPr>
            <w:tcW w:w="0" w:type="auto"/>
            <w:gridSpan w:val="3"/>
            <w:shd w:val="clear" w:color="auto" w:fill="auto"/>
            <w:vAlign w:val="bottom"/>
          </w:tcPr>
          <w:p w14:paraId="71D4411F" w14:textId="77777777" w:rsidR="006A3667" w:rsidRDefault="006A3667">
            <w:pPr>
              <w:rPr>
                <w:rFonts w:ascii="宋体"/>
                <w:vanish/>
              </w:rPr>
            </w:pPr>
          </w:p>
        </w:tc>
        <w:tc>
          <w:tcPr>
            <w:tcW w:w="0" w:type="auto"/>
            <w:gridSpan w:val="3"/>
            <w:shd w:val="clear" w:color="auto" w:fill="auto"/>
            <w:vAlign w:val="bottom"/>
          </w:tcPr>
          <w:p w14:paraId="71D44120" w14:textId="77777777" w:rsidR="006A3667" w:rsidRDefault="006A3667">
            <w:pPr>
              <w:rPr>
                <w:rFonts w:ascii="宋体"/>
                <w:vanish/>
              </w:rPr>
            </w:pPr>
          </w:p>
        </w:tc>
        <w:tc>
          <w:tcPr>
            <w:tcW w:w="0" w:type="auto"/>
            <w:gridSpan w:val="3"/>
            <w:shd w:val="clear" w:color="auto" w:fill="auto"/>
            <w:vAlign w:val="bottom"/>
          </w:tcPr>
          <w:p w14:paraId="71D44121" w14:textId="77777777" w:rsidR="006A3667" w:rsidRDefault="006A3667">
            <w:pPr>
              <w:rPr>
                <w:rFonts w:ascii="宋体"/>
                <w:vanish/>
              </w:rPr>
            </w:pPr>
          </w:p>
        </w:tc>
        <w:tc>
          <w:tcPr>
            <w:tcW w:w="0" w:type="auto"/>
            <w:gridSpan w:val="3"/>
            <w:shd w:val="clear" w:color="auto" w:fill="auto"/>
            <w:vAlign w:val="bottom"/>
          </w:tcPr>
          <w:p w14:paraId="71D44122" w14:textId="77777777" w:rsidR="006A3667" w:rsidRDefault="006A3667">
            <w:pPr>
              <w:rPr>
                <w:rFonts w:ascii="宋体"/>
                <w:vanish/>
              </w:rPr>
            </w:pPr>
          </w:p>
        </w:tc>
        <w:tc>
          <w:tcPr>
            <w:tcW w:w="0" w:type="auto"/>
            <w:gridSpan w:val="3"/>
            <w:shd w:val="clear" w:color="auto" w:fill="auto"/>
            <w:vAlign w:val="bottom"/>
          </w:tcPr>
          <w:p w14:paraId="71D44123" w14:textId="77777777" w:rsidR="006A3667" w:rsidRDefault="006A3667">
            <w:pPr>
              <w:rPr>
                <w:rFonts w:ascii="宋体"/>
                <w:vanish/>
              </w:rPr>
            </w:pPr>
          </w:p>
        </w:tc>
        <w:tc>
          <w:tcPr>
            <w:tcW w:w="0" w:type="auto"/>
            <w:gridSpan w:val="3"/>
            <w:shd w:val="clear" w:color="auto" w:fill="auto"/>
            <w:vAlign w:val="bottom"/>
          </w:tcPr>
          <w:p w14:paraId="71D44124" w14:textId="77777777" w:rsidR="006A3667" w:rsidRDefault="006A3667">
            <w:pPr>
              <w:rPr>
                <w:rFonts w:ascii="宋体"/>
                <w:vanish/>
              </w:rPr>
            </w:pPr>
          </w:p>
        </w:tc>
        <w:tc>
          <w:tcPr>
            <w:tcW w:w="0" w:type="auto"/>
            <w:shd w:val="clear" w:color="auto" w:fill="auto"/>
            <w:vAlign w:val="bottom"/>
          </w:tcPr>
          <w:p w14:paraId="71D44125" w14:textId="77777777" w:rsidR="006A3667" w:rsidRDefault="006A3667">
            <w:pPr>
              <w:rPr>
                <w:rFonts w:ascii="宋体"/>
                <w:vanish/>
              </w:rPr>
            </w:pPr>
          </w:p>
        </w:tc>
        <w:tc>
          <w:tcPr>
            <w:tcW w:w="0" w:type="auto"/>
            <w:shd w:val="clear" w:color="auto" w:fill="auto"/>
            <w:vAlign w:val="bottom"/>
          </w:tcPr>
          <w:p w14:paraId="71D44126" w14:textId="77777777" w:rsidR="006A3667" w:rsidRDefault="006A3667">
            <w:pPr>
              <w:rPr>
                <w:rFonts w:ascii="宋体"/>
                <w:vanish/>
              </w:rPr>
            </w:pPr>
          </w:p>
        </w:tc>
        <w:tc>
          <w:tcPr>
            <w:tcW w:w="0" w:type="auto"/>
            <w:gridSpan w:val="3"/>
            <w:shd w:val="clear" w:color="auto" w:fill="auto"/>
            <w:vAlign w:val="bottom"/>
          </w:tcPr>
          <w:p w14:paraId="71D44127" w14:textId="77777777" w:rsidR="006A3667" w:rsidRDefault="006A3667">
            <w:pPr>
              <w:rPr>
                <w:rFonts w:ascii="宋体"/>
                <w:vanish/>
              </w:rPr>
            </w:pPr>
          </w:p>
        </w:tc>
        <w:tc>
          <w:tcPr>
            <w:tcW w:w="0" w:type="auto"/>
            <w:gridSpan w:val="3"/>
            <w:shd w:val="clear" w:color="auto" w:fill="auto"/>
            <w:vAlign w:val="bottom"/>
          </w:tcPr>
          <w:p w14:paraId="71D44128" w14:textId="77777777" w:rsidR="006A3667" w:rsidRDefault="006A3667">
            <w:pPr>
              <w:rPr>
                <w:rFonts w:ascii="宋体"/>
                <w:vanish/>
              </w:rPr>
            </w:pPr>
          </w:p>
        </w:tc>
        <w:tc>
          <w:tcPr>
            <w:tcW w:w="0" w:type="auto"/>
            <w:gridSpan w:val="3"/>
            <w:shd w:val="clear" w:color="auto" w:fill="auto"/>
            <w:vAlign w:val="bottom"/>
          </w:tcPr>
          <w:p w14:paraId="71D44129" w14:textId="77777777" w:rsidR="006A3667" w:rsidRDefault="006A3667">
            <w:pPr>
              <w:rPr>
                <w:rFonts w:ascii="宋体"/>
                <w:vanish/>
              </w:rPr>
            </w:pPr>
          </w:p>
        </w:tc>
        <w:tc>
          <w:tcPr>
            <w:tcW w:w="0" w:type="auto"/>
            <w:gridSpan w:val="3"/>
            <w:shd w:val="clear" w:color="auto" w:fill="auto"/>
            <w:vAlign w:val="bottom"/>
          </w:tcPr>
          <w:p w14:paraId="71D4412A" w14:textId="77777777" w:rsidR="006A3667" w:rsidRDefault="006A3667">
            <w:pPr>
              <w:rPr>
                <w:rFonts w:ascii="宋体"/>
                <w:vanish/>
              </w:rPr>
            </w:pPr>
          </w:p>
        </w:tc>
        <w:tc>
          <w:tcPr>
            <w:tcW w:w="0" w:type="auto"/>
            <w:gridSpan w:val="3"/>
            <w:shd w:val="clear" w:color="auto" w:fill="auto"/>
            <w:vAlign w:val="bottom"/>
          </w:tcPr>
          <w:p w14:paraId="71D4412B" w14:textId="77777777" w:rsidR="006A3667" w:rsidRDefault="006A3667">
            <w:pPr>
              <w:rPr>
                <w:rFonts w:ascii="宋体"/>
                <w:vanish/>
              </w:rPr>
            </w:pPr>
          </w:p>
        </w:tc>
        <w:tc>
          <w:tcPr>
            <w:tcW w:w="0" w:type="auto"/>
            <w:gridSpan w:val="3"/>
            <w:shd w:val="clear" w:color="auto" w:fill="auto"/>
            <w:vAlign w:val="bottom"/>
          </w:tcPr>
          <w:p w14:paraId="71D4412C" w14:textId="77777777" w:rsidR="006A3667" w:rsidRDefault="006A3667">
            <w:pPr>
              <w:rPr>
                <w:rFonts w:ascii="宋体"/>
                <w:vanish/>
              </w:rPr>
            </w:pPr>
          </w:p>
        </w:tc>
        <w:tc>
          <w:tcPr>
            <w:tcW w:w="0" w:type="auto"/>
            <w:gridSpan w:val="3"/>
            <w:shd w:val="clear" w:color="auto" w:fill="auto"/>
            <w:vAlign w:val="bottom"/>
          </w:tcPr>
          <w:p w14:paraId="71D4412D" w14:textId="77777777" w:rsidR="006A3667" w:rsidRDefault="006A3667">
            <w:pPr>
              <w:rPr>
                <w:rFonts w:ascii="宋体"/>
                <w:vanish/>
              </w:rPr>
            </w:pPr>
          </w:p>
        </w:tc>
        <w:tc>
          <w:tcPr>
            <w:tcW w:w="0" w:type="auto"/>
            <w:gridSpan w:val="3"/>
            <w:shd w:val="clear" w:color="auto" w:fill="auto"/>
            <w:vAlign w:val="bottom"/>
          </w:tcPr>
          <w:p w14:paraId="71D4412E" w14:textId="77777777" w:rsidR="006A3667" w:rsidRDefault="006A3667">
            <w:pPr>
              <w:rPr>
                <w:rFonts w:ascii="宋体"/>
                <w:vanish/>
              </w:rPr>
            </w:pPr>
          </w:p>
        </w:tc>
        <w:tc>
          <w:tcPr>
            <w:tcW w:w="0" w:type="auto"/>
            <w:gridSpan w:val="3"/>
            <w:shd w:val="clear" w:color="auto" w:fill="auto"/>
            <w:vAlign w:val="bottom"/>
          </w:tcPr>
          <w:p w14:paraId="71D4412F" w14:textId="77777777" w:rsidR="006A3667" w:rsidRDefault="006A3667">
            <w:pPr>
              <w:rPr>
                <w:rFonts w:ascii="宋体"/>
                <w:vanish/>
              </w:rPr>
            </w:pPr>
          </w:p>
        </w:tc>
        <w:tc>
          <w:tcPr>
            <w:tcW w:w="0" w:type="auto"/>
            <w:gridSpan w:val="2"/>
            <w:shd w:val="clear" w:color="auto" w:fill="auto"/>
            <w:vAlign w:val="bottom"/>
          </w:tcPr>
          <w:p w14:paraId="71D44130" w14:textId="77777777" w:rsidR="006A3667" w:rsidRDefault="006A3667">
            <w:pPr>
              <w:rPr>
                <w:rFonts w:ascii="宋体"/>
                <w:vanish/>
              </w:rPr>
            </w:pPr>
          </w:p>
        </w:tc>
        <w:tc>
          <w:tcPr>
            <w:tcW w:w="0" w:type="auto"/>
            <w:shd w:val="clear" w:color="auto" w:fill="auto"/>
            <w:vAlign w:val="bottom"/>
          </w:tcPr>
          <w:p w14:paraId="71D44131" w14:textId="77777777" w:rsidR="006A3667" w:rsidRDefault="006A3667">
            <w:pPr>
              <w:rPr>
                <w:rFonts w:ascii="宋体"/>
                <w:vanish/>
              </w:rPr>
            </w:pPr>
          </w:p>
        </w:tc>
      </w:tr>
      <w:tr w:rsidR="006A3667" w14:paraId="71D44149" w14:textId="77777777">
        <w:trPr>
          <w:hidden/>
        </w:trPr>
        <w:tc>
          <w:tcPr>
            <w:tcW w:w="0" w:type="auto"/>
            <w:gridSpan w:val="3"/>
            <w:shd w:val="clear" w:color="auto" w:fill="auto"/>
            <w:vAlign w:val="bottom"/>
          </w:tcPr>
          <w:p w14:paraId="71D44133" w14:textId="77777777" w:rsidR="006A3667" w:rsidRDefault="006A3667">
            <w:pPr>
              <w:rPr>
                <w:rFonts w:ascii="宋体"/>
                <w:vanish/>
              </w:rPr>
            </w:pPr>
          </w:p>
        </w:tc>
        <w:tc>
          <w:tcPr>
            <w:tcW w:w="0" w:type="auto"/>
            <w:gridSpan w:val="3"/>
            <w:shd w:val="clear" w:color="auto" w:fill="auto"/>
            <w:vAlign w:val="bottom"/>
          </w:tcPr>
          <w:p w14:paraId="71D44134" w14:textId="77777777" w:rsidR="006A3667" w:rsidRDefault="006A3667">
            <w:pPr>
              <w:rPr>
                <w:rFonts w:ascii="宋体"/>
                <w:vanish/>
              </w:rPr>
            </w:pPr>
          </w:p>
        </w:tc>
        <w:tc>
          <w:tcPr>
            <w:tcW w:w="0" w:type="auto"/>
            <w:gridSpan w:val="3"/>
            <w:shd w:val="clear" w:color="auto" w:fill="auto"/>
            <w:vAlign w:val="bottom"/>
          </w:tcPr>
          <w:p w14:paraId="71D44135" w14:textId="77777777" w:rsidR="006A3667" w:rsidRDefault="006A3667">
            <w:pPr>
              <w:rPr>
                <w:rFonts w:ascii="宋体"/>
                <w:vanish/>
              </w:rPr>
            </w:pPr>
          </w:p>
        </w:tc>
        <w:tc>
          <w:tcPr>
            <w:tcW w:w="0" w:type="auto"/>
            <w:gridSpan w:val="3"/>
            <w:shd w:val="clear" w:color="auto" w:fill="auto"/>
            <w:vAlign w:val="bottom"/>
          </w:tcPr>
          <w:p w14:paraId="71D44136" w14:textId="77777777" w:rsidR="006A3667" w:rsidRDefault="006A3667">
            <w:pPr>
              <w:rPr>
                <w:rFonts w:ascii="宋体"/>
                <w:vanish/>
              </w:rPr>
            </w:pPr>
          </w:p>
        </w:tc>
        <w:tc>
          <w:tcPr>
            <w:tcW w:w="0" w:type="auto"/>
            <w:gridSpan w:val="3"/>
            <w:shd w:val="clear" w:color="auto" w:fill="auto"/>
            <w:vAlign w:val="bottom"/>
          </w:tcPr>
          <w:p w14:paraId="71D44137" w14:textId="77777777" w:rsidR="006A3667" w:rsidRDefault="006A3667">
            <w:pPr>
              <w:rPr>
                <w:rFonts w:ascii="宋体"/>
                <w:vanish/>
              </w:rPr>
            </w:pPr>
          </w:p>
        </w:tc>
        <w:tc>
          <w:tcPr>
            <w:tcW w:w="0" w:type="auto"/>
            <w:gridSpan w:val="3"/>
            <w:shd w:val="clear" w:color="auto" w:fill="auto"/>
            <w:vAlign w:val="bottom"/>
          </w:tcPr>
          <w:p w14:paraId="71D44138" w14:textId="77777777" w:rsidR="006A3667" w:rsidRDefault="006A3667">
            <w:pPr>
              <w:rPr>
                <w:rFonts w:ascii="宋体"/>
                <w:vanish/>
              </w:rPr>
            </w:pPr>
          </w:p>
        </w:tc>
        <w:tc>
          <w:tcPr>
            <w:tcW w:w="0" w:type="auto"/>
            <w:gridSpan w:val="3"/>
            <w:shd w:val="clear" w:color="auto" w:fill="auto"/>
            <w:vAlign w:val="bottom"/>
          </w:tcPr>
          <w:p w14:paraId="71D44139" w14:textId="77777777" w:rsidR="006A3667" w:rsidRDefault="006A3667">
            <w:pPr>
              <w:rPr>
                <w:rFonts w:ascii="宋体"/>
                <w:vanish/>
              </w:rPr>
            </w:pPr>
          </w:p>
        </w:tc>
        <w:tc>
          <w:tcPr>
            <w:tcW w:w="0" w:type="auto"/>
            <w:gridSpan w:val="3"/>
            <w:shd w:val="clear" w:color="auto" w:fill="auto"/>
            <w:vAlign w:val="bottom"/>
          </w:tcPr>
          <w:p w14:paraId="71D4413A" w14:textId="77777777" w:rsidR="006A3667" w:rsidRDefault="006A3667">
            <w:pPr>
              <w:rPr>
                <w:rFonts w:ascii="宋体"/>
                <w:vanish/>
              </w:rPr>
            </w:pPr>
          </w:p>
        </w:tc>
        <w:tc>
          <w:tcPr>
            <w:tcW w:w="0" w:type="auto"/>
            <w:gridSpan w:val="3"/>
            <w:shd w:val="clear" w:color="auto" w:fill="auto"/>
            <w:vAlign w:val="bottom"/>
          </w:tcPr>
          <w:p w14:paraId="71D4413B" w14:textId="77777777" w:rsidR="006A3667" w:rsidRDefault="006A3667">
            <w:pPr>
              <w:rPr>
                <w:rFonts w:ascii="宋体"/>
                <w:vanish/>
              </w:rPr>
            </w:pPr>
          </w:p>
        </w:tc>
        <w:tc>
          <w:tcPr>
            <w:tcW w:w="0" w:type="auto"/>
            <w:shd w:val="clear" w:color="auto" w:fill="auto"/>
            <w:vAlign w:val="bottom"/>
          </w:tcPr>
          <w:p w14:paraId="71D4413C" w14:textId="77777777" w:rsidR="006A3667" w:rsidRDefault="006A3667">
            <w:pPr>
              <w:rPr>
                <w:rFonts w:ascii="宋体"/>
                <w:vanish/>
              </w:rPr>
            </w:pPr>
          </w:p>
        </w:tc>
        <w:tc>
          <w:tcPr>
            <w:tcW w:w="0" w:type="auto"/>
            <w:shd w:val="clear" w:color="auto" w:fill="auto"/>
            <w:vAlign w:val="bottom"/>
          </w:tcPr>
          <w:p w14:paraId="71D4413D" w14:textId="77777777" w:rsidR="006A3667" w:rsidRDefault="006A3667">
            <w:pPr>
              <w:rPr>
                <w:rFonts w:ascii="宋体"/>
                <w:vanish/>
              </w:rPr>
            </w:pPr>
          </w:p>
        </w:tc>
        <w:tc>
          <w:tcPr>
            <w:tcW w:w="0" w:type="auto"/>
            <w:gridSpan w:val="3"/>
            <w:shd w:val="clear" w:color="auto" w:fill="auto"/>
            <w:vAlign w:val="bottom"/>
          </w:tcPr>
          <w:p w14:paraId="71D4413E" w14:textId="77777777" w:rsidR="006A3667" w:rsidRDefault="006A3667">
            <w:pPr>
              <w:rPr>
                <w:rFonts w:ascii="宋体"/>
                <w:vanish/>
              </w:rPr>
            </w:pPr>
          </w:p>
        </w:tc>
        <w:tc>
          <w:tcPr>
            <w:tcW w:w="0" w:type="auto"/>
            <w:gridSpan w:val="3"/>
            <w:shd w:val="clear" w:color="auto" w:fill="auto"/>
            <w:vAlign w:val="bottom"/>
          </w:tcPr>
          <w:p w14:paraId="71D4413F" w14:textId="77777777" w:rsidR="006A3667" w:rsidRDefault="006A3667">
            <w:pPr>
              <w:rPr>
                <w:rFonts w:ascii="宋体"/>
                <w:vanish/>
              </w:rPr>
            </w:pPr>
          </w:p>
        </w:tc>
        <w:tc>
          <w:tcPr>
            <w:tcW w:w="0" w:type="auto"/>
            <w:gridSpan w:val="3"/>
            <w:shd w:val="clear" w:color="auto" w:fill="auto"/>
            <w:vAlign w:val="bottom"/>
          </w:tcPr>
          <w:p w14:paraId="71D44140" w14:textId="77777777" w:rsidR="006A3667" w:rsidRDefault="006A3667">
            <w:pPr>
              <w:rPr>
                <w:rFonts w:ascii="宋体"/>
                <w:vanish/>
              </w:rPr>
            </w:pPr>
          </w:p>
        </w:tc>
        <w:tc>
          <w:tcPr>
            <w:tcW w:w="0" w:type="auto"/>
            <w:gridSpan w:val="3"/>
            <w:shd w:val="clear" w:color="auto" w:fill="auto"/>
            <w:vAlign w:val="bottom"/>
          </w:tcPr>
          <w:p w14:paraId="71D44141" w14:textId="77777777" w:rsidR="006A3667" w:rsidRDefault="006A3667">
            <w:pPr>
              <w:rPr>
                <w:rFonts w:ascii="宋体"/>
                <w:vanish/>
              </w:rPr>
            </w:pPr>
          </w:p>
        </w:tc>
        <w:tc>
          <w:tcPr>
            <w:tcW w:w="0" w:type="auto"/>
            <w:gridSpan w:val="3"/>
            <w:shd w:val="clear" w:color="auto" w:fill="auto"/>
            <w:vAlign w:val="bottom"/>
          </w:tcPr>
          <w:p w14:paraId="71D44142" w14:textId="77777777" w:rsidR="006A3667" w:rsidRDefault="006A3667">
            <w:pPr>
              <w:rPr>
                <w:rFonts w:ascii="宋体"/>
                <w:vanish/>
              </w:rPr>
            </w:pPr>
          </w:p>
        </w:tc>
        <w:tc>
          <w:tcPr>
            <w:tcW w:w="0" w:type="auto"/>
            <w:gridSpan w:val="3"/>
            <w:shd w:val="clear" w:color="auto" w:fill="auto"/>
            <w:vAlign w:val="bottom"/>
          </w:tcPr>
          <w:p w14:paraId="71D44143" w14:textId="77777777" w:rsidR="006A3667" w:rsidRDefault="006A3667">
            <w:pPr>
              <w:rPr>
                <w:rFonts w:ascii="宋体"/>
                <w:vanish/>
              </w:rPr>
            </w:pPr>
          </w:p>
        </w:tc>
        <w:tc>
          <w:tcPr>
            <w:tcW w:w="0" w:type="auto"/>
            <w:gridSpan w:val="3"/>
            <w:shd w:val="clear" w:color="auto" w:fill="auto"/>
            <w:vAlign w:val="bottom"/>
          </w:tcPr>
          <w:p w14:paraId="71D44144" w14:textId="77777777" w:rsidR="006A3667" w:rsidRDefault="006A3667">
            <w:pPr>
              <w:rPr>
                <w:rFonts w:ascii="宋体"/>
                <w:vanish/>
              </w:rPr>
            </w:pPr>
          </w:p>
        </w:tc>
        <w:tc>
          <w:tcPr>
            <w:tcW w:w="0" w:type="auto"/>
            <w:gridSpan w:val="3"/>
            <w:shd w:val="clear" w:color="auto" w:fill="auto"/>
            <w:vAlign w:val="bottom"/>
          </w:tcPr>
          <w:p w14:paraId="71D44145" w14:textId="77777777" w:rsidR="006A3667" w:rsidRDefault="006A3667">
            <w:pPr>
              <w:rPr>
                <w:rFonts w:ascii="宋体"/>
                <w:vanish/>
              </w:rPr>
            </w:pPr>
          </w:p>
        </w:tc>
        <w:tc>
          <w:tcPr>
            <w:tcW w:w="0" w:type="auto"/>
            <w:gridSpan w:val="3"/>
            <w:shd w:val="clear" w:color="auto" w:fill="auto"/>
            <w:vAlign w:val="bottom"/>
          </w:tcPr>
          <w:p w14:paraId="71D44146" w14:textId="77777777" w:rsidR="006A3667" w:rsidRDefault="006A3667">
            <w:pPr>
              <w:rPr>
                <w:rFonts w:ascii="宋体"/>
                <w:vanish/>
              </w:rPr>
            </w:pPr>
          </w:p>
        </w:tc>
        <w:tc>
          <w:tcPr>
            <w:tcW w:w="0" w:type="auto"/>
            <w:gridSpan w:val="2"/>
            <w:shd w:val="clear" w:color="auto" w:fill="auto"/>
            <w:vAlign w:val="bottom"/>
          </w:tcPr>
          <w:p w14:paraId="71D44147" w14:textId="77777777" w:rsidR="006A3667" w:rsidRDefault="006A3667">
            <w:pPr>
              <w:rPr>
                <w:rFonts w:ascii="宋体"/>
                <w:vanish/>
              </w:rPr>
            </w:pPr>
          </w:p>
        </w:tc>
        <w:tc>
          <w:tcPr>
            <w:tcW w:w="0" w:type="auto"/>
            <w:shd w:val="clear" w:color="auto" w:fill="auto"/>
            <w:vAlign w:val="bottom"/>
          </w:tcPr>
          <w:p w14:paraId="71D44148" w14:textId="77777777" w:rsidR="006A3667" w:rsidRDefault="006A3667">
            <w:pPr>
              <w:rPr>
                <w:rFonts w:ascii="宋体"/>
                <w:vanish/>
              </w:rPr>
            </w:pPr>
          </w:p>
        </w:tc>
      </w:tr>
      <w:tr w:rsidR="006A3667" w14:paraId="71D44160" w14:textId="77777777">
        <w:trPr>
          <w:hidden/>
        </w:trPr>
        <w:tc>
          <w:tcPr>
            <w:tcW w:w="0" w:type="auto"/>
            <w:gridSpan w:val="3"/>
            <w:shd w:val="clear" w:color="auto" w:fill="auto"/>
            <w:vAlign w:val="bottom"/>
          </w:tcPr>
          <w:p w14:paraId="71D4414A" w14:textId="77777777" w:rsidR="006A3667" w:rsidRDefault="006A3667">
            <w:pPr>
              <w:rPr>
                <w:rFonts w:ascii="宋体"/>
                <w:vanish/>
              </w:rPr>
            </w:pPr>
          </w:p>
        </w:tc>
        <w:tc>
          <w:tcPr>
            <w:tcW w:w="0" w:type="auto"/>
            <w:gridSpan w:val="3"/>
            <w:shd w:val="clear" w:color="auto" w:fill="auto"/>
            <w:vAlign w:val="bottom"/>
          </w:tcPr>
          <w:p w14:paraId="71D4414B" w14:textId="77777777" w:rsidR="006A3667" w:rsidRDefault="006A3667">
            <w:pPr>
              <w:rPr>
                <w:rFonts w:ascii="宋体"/>
                <w:vanish/>
              </w:rPr>
            </w:pPr>
          </w:p>
        </w:tc>
        <w:tc>
          <w:tcPr>
            <w:tcW w:w="0" w:type="auto"/>
            <w:gridSpan w:val="3"/>
            <w:shd w:val="clear" w:color="auto" w:fill="auto"/>
            <w:vAlign w:val="bottom"/>
          </w:tcPr>
          <w:p w14:paraId="71D4414C" w14:textId="77777777" w:rsidR="006A3667" w:rsidRDefault="006A3667">
            <w:pPr>
              <w:rPr>
                <w:rFonts w:ascii="宋体"/>
                <w:vanish/>
              </w:rPr>
            </w:pPr>
          </w:p>
        </w:tc>
        <w:tc>
          <w:tcPr>
            <w:tcW w:w="0" w:type="auto"/>
            <w:gridSpan w:val="3"/>
            <w:shd w:val="clear" w:color="auto" w:fill="auto"/>
            <w:vAlign w:val="bottom"/>
          </w:tcPr>
          <w:p w14:paraId="71D4414D" w14:textId="77777777" w:rsidR="006A3667" w:rsidRDefault="006A3667">
            <w:pPr>
              <w:rPr>
                <w:rFonts w:ascii="宋体"/>
                <w:vanish/>
              </w:rPr>
            </w:pPr>
          </w:p>
        </w:tc>
        <w:tc>
          <w:tcPr>
            <w:tcW w:w="0" w:type="auto"/>
            <w:gridSpan w:val="3"/>
            <w:shd w:val="clear" w:color="auto" w:fill="auto"/>
            <w:vAlign w:val="bottom"/>
          </w:tcPr>
          <w:p w14:paraId="71D4414E" w14:textId="77777777" w:rsidR="006A3667" w:rsidRDefault="006A3667">
            <w:pPr>
              <w:rPr>
                <w:rFonts w:ascii="宋体"/>
                <w:vanish/>
              </w:rPr>
            </w:pPr>
          </w:p>
        </w:tc>
        <w:tc>
          <w:tcPr>
            <w:tcW w:w="0" w:type="auto"/>
            <w:gridSpan w:val="3"/>
            <w:shd w:val="clear" w:color="auto" w:fill="auto"/>
            <w:vAlign w:val="bottom"/>
          </w:tcPr>
          <w:p w14:paraId="71D4414F" w14:textId="77777777" w:rsidR="006A3667" w:rsidRDefault="006A3667">
            <w:pPr>
              <w:rPr>
                <w:rFonts w:ascii="宋体"/>
                <w:vanish/>
              </w:rPr>
            </w:pPr>
          </w:p>
        </w:tc>
        <w:tc>
          <w:tcPr>
            <w:tcW w:w="0" w:type="auto"/>
            <w:gridSpan w:val="3"/>
            <w:shd w:val="clear" w:color="auto" w:fill="auto"/>
            <w:vAlign w:val="bottom"/>
          </w:tcPr>
          <w:p w14:paraId="71D44150" w14:textId="77777777" w:rsidR="006A3667" w:rsidRDefault="006A3667">
            <w:pPr>
              <w:rPr>
                <w:rFonts w:ascii="宋体"/>
                <w:vanish/>
              </w:rPr>
            </w:pPr>
          </w:p>
        </w:tc>
        <w:tc>
          <w:tcPr>
            <w:tcW w:w="0" w:type="auto"/>
            <w:gridSpan w:val="3"/>
            <w:shd w:val="clear" w:color="auto" w:fill="auto"/>
            <w:vAlign w:val="bottom"/>
          </w:tcPr>
          <w:p w14:paraId="71D44151" w14:textId="77777777" w:rsidR="006A3667" w:rsidRDefault="006A3667">
            <w:pPr>
              <w:rPr>
                <w:rFonts w:ascii="宋体"/>
                <w:vanish/>
              </w:rPr>
            </w:pPr>
          </w:p>
        </w:tc>
        <w:tc>
          <w:tcPr>
            <w:tcW w:w="0" w:type="auto"/>
            <w:gridSpan w:val="3"/>
            <w:shd w:val="clear" w:color="auto" w:fill="auto"/>
            <w:vAlign w:val="bottom"/>
          </w:tcPr>
          <w:p w14:paraId="71D44152" w14:textId="77777777" w:rsidR="006A3667" w:rsidRDefault="006A3667">
            <w:pPr>
              <w:rPr>
                <w:rFonts w:ascii="宋体"/>
                <w:vanish/>
              </w:rPr>
            </w:pPr>
          </w:p>
        </w:tc>
        <w:tc>
          <w:tcPr>
            <w:tcW w:w="0" w:type="auto"/>
            <w:shd w:val="clear" w:color="auto" w:fill="auto"/>
            <w:vAlign w:val="bottom"/>
          </w:tcPr>
          <w:p w14:paraId="71D44153" w14:textId="77777777" w:rsidR="006A3667" w:rsidRDefault="006A3667">
            <w:pPr>
              <w:rPr>
                <w:rFonts w:ascii="宋体"/>
                <w:vanish/>
              </w:rPr>
            </w:pPr>
          </w:p>
        </w:tc>
        <w:tc>
          <w:tcPr>
            <w:tcW w:w="0" w:type="auto"/>
            <w:shd w:val="clear" w:color="auto" w:fill="auto"/>
            <w:vAlign w:val="bottom"/>
          </w:tcPr>
          <w:p w14:paraId="71D44154" w14:textId="77777777" w:rsidR="006A3667" w:rsidRDefault="006A3667">
            <w:pPr>
              <w:rPr>
                <w:rFonts w:ascii="宋体"/>
                <w:vanish/>
              </w:rPr>
            </w:pPr>
          </w:p>
        </w:tc>
        <w:tc>
          <w:tcPr>
            <w:tcW w:w="0" w:type="auto"/>
            <w:gridSpan w:val="3"/>
            <w:shd w:val="clear" w:color="auto" w:fill="auto"/>
            <w:vAlign w:val="bottom"/>
          </w:tcPr>
          <w:p w14:paraId="71D44155" w14:textId="77777777" w:rsidR="006A3667" w:rsidRDefault="006A3667">
            <w:pPr>
              <w:rPr>
                <w:rFonts w:ascii="宋体"/>
                <w:vanish/>
              </w:rPr>
            </w:pPr>
          </w:p>
        </w:tc>
        <w:tc>
          <w:tcPr>
            <w:tcW w:w="0" w:type="auto"/>
            <w:gridSpan w:val="3"/>
            <w:shd w:val="clear" w:color="auto" w:fill="auto"/>
            <w:vAlign w:val="bottom"/>
          </w:tcPr>
          <w:p w14:paraId="71D44156" w14:textId="77777777" w:rsidR="006A3667" w:rsidRDefault="006A3667">
            <w:pPr>
              <w:rPr>
                <w:rFonts w:ascii="宋体"/>
                <w:vanish/>
              </w:rPr>
            </w:pPr>
          </w:p>
        </w:tc>
        <w:tc>
          <w:tcPr>
            <w:tcW w:w="0" w:type="auto"/>
            <w:gridSpan w:val="3"/>
            <w:shd w:val="clear" w:color="auto" w:fill="auto"/>
            <w:vAlign w:val="bottom"/>
          </w:tcPr>
          <w:p w14:paraId="71D44157" w14:textId="77777777" w:rsidR="006A3667" w:rsidRDefault="006A3667">
            <w:pPr>
              <w:rPr>
                <w:rFonts w:ascii="宋体"/>
                <w:vanish/>
              </w:rPr>
            </w:pPr>
          </w:p>
        </w:tc>
        <w:tc>
          <w:tcPr>
            <w:tcW w:w="0" w:type="auto"/>
            <w:gridSpan w:val="3"/>
            <w:shd w:val="clear" w:color="auto" w:fill="auto"/>
            <w:vAlign w:val="bottom"/>
          </w:tcPr>
          <w:p w14:paraId="71D44158" w14:textId="77777777" w:rsidR="006A3667" w:rsidRDefault="006A3667">
            <w:pPr>
              <w:rPr>
                <w:rFonts w:ascii="宋体"/>
                <w:vanish/>
              </w:rPr>
            </w:pPr>
          </w:p>
        </w:tc>
        <w:tc>
          <w:tcPr>
            <w:tcW w:w="0" w:type="auto"/>
            <w:gridSpan w:val="3"/>
            <w:shd w:val="clear" w:color="auto" w:fill="auto"/>
            <w:vAlign w:val="bottom"/>
          </w:tcPr>
          <w:p w14:paraId="71D44159" w14:textId="77777777" w:rsidR="006A3667" w:rsidRDefault="006A3667">
            <w:pPr>
              <w:rPr>
                <w:rFonts w:ascii="宋体"/>
                <w:vanish/>
              </w:rPr>
            </w:pPr>
          </w:p>
        </w:tc>
        <w:tc>
          <w:tcPr>
            <w:tcW w:w="0" w:type="auto"/>
            <w:gridSpan w:val="3"/>
            <w:shd w:val="clear" w:color="auto" w:fill="auto"/>
            <w:vAlign w:val="bottom"/>
          </w:tcPr>
          <w:p w14:paraId="71D4415A" w14:textId="77777777" w:rsidR="006A3667" w:rsidRDefault="006A3667">
            <w:pPr>
              <w:rPr>
                <w:rFonts w:ascii="宋体"/>
                <w:vanish/>
              </w:rPr>
            </w:pPr>
          </w:p>
        </w:tc>
        <w:tc>
          <w:tcPr>
            <w:tcW w:w="0" w:type="auto"/>
            <w:gridSpan w:val="3"/>
            <w:shd w:val="clear" w:color="auto" w:fill="auto"/>
            <w:vAlign w:val="bottom"/>
          </w:tcPr>
          <w:p w14:paraId="71D4415B" w14:textId="77777777" w:rsidR="006A3667" w:rsidRDefault="006A3667">
            <w:pPr>
              <w:rPr>
                <w:rFonts w:ascii="宋体"/>
                <w:vanish/>
              </w:rPr>
            </w:pPr>
          </w:p>
        </w:tc>
        <w:tc>
          <w:tcPr>
            <w:tcW w:w="0" w:type="auto"/>
            <w:gridSpan w:val="3"/>
            <w:shd w:val="clear" w:color="auto" w:fill="auto"/>
            <w:vAlign w:val="bottom"/>
          </w:tcPr>
          <w:p w14:paraId="71D4415C" w14:textId="77777777" w:rsidR="006A3667" w:rsidRDefault="006A3667">
            <w:pPr>
              <w:rPr>
                <w:rFonts w:ascii="宋体"/>
                <w:vanish/>
              </w:rPr>
            </w:pPr>
          </w:p>
        </w:tc>
        <w:tc>
          <w:tcPr>
            <w:tcW w:w="0" w:type="auto"/>
            <w:gridSpan w:val="3"/>
            <w:shd w:val="clear" w:color="auto" w:fill="auto"/>
            <w:vAlign w:val="bottom"/>
          </w:tcPr>
          <w:p w14:paraId="71D4415D" w14:textId="77777777" w:rsidR="006A3667" w:rsidRDefault="006A3667">
            <w:pPr>
              <w:rPr>
                <w:rFonts w:ascii="宋体"/>
                <w:vanish/>
              </w:rPr>
            </w:pPr>
          </w:p>
        </w:tc>
        <w:tc>
          <w:tcPr>
            <w:tcW w:w="0" w:type="auto"/>
            <w:gridSpan w:val="2"/>
            <w:shd w:val="clear" w:color="auto" w:fill="auto"/>
            <w:vAlign w:val="bottom"/>
          </w:tcPr>
          <w:p w14:paraId="71D4415E" w14:textId="77777777" w:rsidR="006A3667" w:rsidRDefault="006A3667">
            <w:pPr>
              <w:rPr>
                <w:rFonts w:ascii="宋体"/>
                <w:vanish/>
              </w:rPr>
            </w:pPr>
          </w:p>
        </w:tc>
        <w:tc>
          <w:tcPr>
            <w:tcW w:w="0" w:type="auto"/>
            <w:shd w:val="clear" w:color="auto" w:fill="auto"/>
            <w:vAlign w:val="bottom"/>
          </w:tcPr>
          <w:p w14:paraId="71D4415F" w14:textId="77777777" w:rsidR="006A3667" w:rsidRDefault="006A3667">
            <w:pPr>
              <w:rPr>
                <w:rFonts w:ascii="宋体"/>
                <w:vanish/>
              </w:rPr>
            </w:pPr>
          </w:p>
        </w:tc>
      </w:tr>
      <w:tr w:rsidR="006A3667" w14:paraId="71D44177" w14:textId="77777777">
        <w:trPr>
          <w:hidden/>
        </w:trPr>
        <w:tc>
          <w:tcPr>
            <w:tcW w:w="0" w:type="auto"/>
            <w:gridSpan w:val="3"/>
            <w:shd w:val="clear" w:color="auto" w:fill="auto"/>
            <w:vAlign w:val="bottom"/>
          </w:tcPr>
          <w:p w14:paraId="71D44161" w14:textId="77777777" w:rsidR="006A3667" w:rsidRDefault="006A3667">
            <w:pPr>
              <w:rPr>
                <w:rFonts w:ascii="宋体"/>
                <w:vanish/>
              </w:rPr>
            </w:pPr>
          </w:p>
        </w:tc>
        <w:tc>
          <w:tcPr>
            <w:tcW w:w="0" w:type="auto"/>
            <w:gridSpan w:val="3"/>
            <w:shd w:val="clear" w:color="auto" w:fill="auto"/>
            <w:vAlign w:val="bottom"/>
          </w:tcPr>
          <w:p w14:paraId="71D44162" w14:textId="77777777" w:rsidR="006A3667" w:rsidRDefault="006A3667">
            <w:pPr>
              <w:rPr>
                <w:rFonts w:ascii="宋体"/>
                <w:vanish/>
              </w:rPr>
            </w:pPr>
          </w:p>
        </w:tc>
        <w:tc>
          <w:tcPr>
            <w:tcW w:w="0" w:type="auto"/>
            <w:gridSpan w:val="3"/>
            <w:shd w:val="clear" w:color="auto" w:fill="auto"/>
            <w:vAlign w:val="bottom"/>
          </w:tcPr>
          <w:p w14:paraId="71D44163" w14:textId="77777777" w:rsidR="006A3667" w:rsidRDefault="006A3667">
            <w:pPr>
              <w:rPr>
                <w:rFonts w:ascii="宋体"/>
                <w:vanish/>
              </w:rPr>
            </w:pPr>
          </w:p>
        </w:tc>
        <w:tc>
          <w:tcPr>
            <w:tcW w:w="0" w:type="auto"/>
            <w:gridSpan w:val="3"/>
            <w:shd w:val="clear" w:color="auto" w:fill="auto"/>
            <w:vAlign w:val="bottom"/>
          </w:tcPr>
          <w:p w14:paraId="71D44164" w14:textId="77777777" w:rsidR="006A3667" w:rsidRDefault="006A3667">
            <w:pPr>
              <w:rPr>
                <w:rFonts w:ascii="宋体"/>
                <w:vanish/>
              </w:rPr>
            </w:pPr>
          </w:p>
        </w:tc>
        <w:tc>
          <w:tcPr>
            <w:tcW w:w="0" w:type="auto"/>
            <w:gridSpan w:val="3"/>
            <w:shd w:val="clear" w:color="auto" w:fill="auto"/>
            <w:vAlign w:val="bottom"/>
          </w:tcPr>
          <w:p w14:paraId="71D44165" w14:textId="77777777" w:rsidR="006A3667" w:rsidRDefault="006A3667">
            <w:pPr>
              <w:rPr>
                <w:rFonts w:ascii="宋体"/>
                <w:vanish/>
              </w:rPr>
            </w:pPr>
          </w:p>
        </w:tc>
        <w:tc>
          <w:tcPr>
            <w:tcW w:w="0" w:type="auto"/>
            <w:gridSpan w:val="3"/>
            <w:shd w:val="clear" w:color="auto" w:fill="auto"/>
            <w:vAlign w:val="bottom"/>
          </w:tcPr>
          <w:p w14:paraId="71D44166" w14:textId="77777777" w:rsidR="006A3667" w:rsidRDefault="006A3667">
            <w:pPr>
              <w:rPr>
                <w:rFonts w:ascii="宋体"/>
                <w:vanish/>
              </w:rPr>
            </w:pPr>
          </w:p>
        </w:tc>
        <w:tc>
          <w:tcPr>
            <w:tcW w:w="0" w:type="auto"/>
            <w:gridSpan w:val="3"/>
            <w:shd w:val="clear" w:color="auto" w:fill="auto"/>
            <w:vAlign w:val="bottom"/>
          </w:tcPr>
          <w:p w14:paraId="71D44167" w14:textId="77777777" w:rsidR="006A3667" w:rsidRDefault="006A3667">
            <w:pPr>
              <w:rPr>
                <w:rFonts w:ascii="宋体"/>
                <w:vanish/>
              </w:rPr>
            </w:pPr>
          </w:p>
        </w:tc>
        <w:tc>
          <w:tcPr>
            <w:tcW w:w="0" w:type="auto"/>
            <w:gridSpan w:val="3"/>
            <w:shd w:val="clear" w:color="auto" w:fill="auto"/>
            <w:vAlign w:val="bottom"/>
          </w:tcPr>
          <w:p w14:paraId="71D44168" w14:textId="77777777" w:rsidR="006A3667" w:rsidRDefault="006A3667">
            <w:pPr>
              <w:rPr>
                <w:rFonts w:ascii="宋体"/>
                <w:vanish/>
              </w:rPr>
            </w:pPr>
          </w:p>
        </w:tc>
        <w:tc>
          <w:tcPr>
            <w:tcW w:w="0" w:type="auto"/>
            <w:gridSpan w:val="3"/>
            <w:shd w:val="clear" w:color="auto" w:fill="auto"/>
            <w:vAlign w:val="bottom"/>
          </w:tcPr>
          <w:p w14:paraId="71D44169" w14:textId="77777777" w:rsidR="006A3667" w:rsidRDefault="006A3667">
            <w:pPr>
              <w:rPr>
                <w:rFonts w:ascii="宋体"/>
                <w:vanish/>
              </w:rPr>
            </w:pPr>
          </w:p>
        </w:tc>
        <w:tc>
          <w:tcPr>
            <w:tcW w:w="0" w:type="auto"/>
            <w:shd w:val="clear" w:color="auto" w:fill="auto"/>
            <w:vAlign w:val="bottom"/>
          </w:tcPr>
          <w:p w14:paraId="71D4416A" w14:textId="77777777" w:rsidR="006A3667" w:rsidRDefault="006A3667">
            <w:pPr>
              <w:rPr>
                <w:rFonts w:ascii="宋体"/>
                <w:vanish/>
              </w:rPr>
            </w:pPr>
          </w:p>
        </w:tc>
        <w:tc>
          <w:tcPr>
            <w:tcW w:w="0" w:type="auto"/>
            <w:shd w:val="clear" w:color="auto" w:fill="auto"/>
            <w:vAlign w:val="bottom"/>
          </w:tcPr>
          <w:p w14:paraId="71D4416B" w14:textId="77777777" w:rsidR="006A3667" w:rsidRDefault="006A3667">
            <w:pPr>
              <w:rPr>
                <w:rFonts w:ascii="宋体"/>
                <w:vanish/>
              </w:rPr>
            </w:pPr>
          </w:p>
        </w:tc>
        <w:tc>
          <w:tcPr>
            <w:tcW w:w="0" w:type="auto"/>
            <w:gridSpan w:val="3"/>
            <w:shd w:val="clear" w:color="auto" w:fill="auto"/>
            <w:vAlign w:val="bottom"/>
          </w:tcPr>
          <w:p w14:paraId="71D4416C" w14:textId="77777777" w:rsidR="006A3667" w:rsidRDefault="006A3667">
            <w:pPr>
              <w:rPr>
                <w:rFonts w:ascii="宋体"/>
                <w:vanish/>
              </w:rPr>
            </w:pPr>
          </w:p>
        </w:tc>
        <w:tc>
          <w:tcPr>
            <w:tcW w:w="0" w:type="auto"/>
            <w:gridSpan w:val="3"/>
            <w:shd w:val="clear" w:color="auto" w:fill="auto"/>
            <w:vAlign w:val="bottom"/>
          </w:tcPr>
          <w:p w14:paraId="71D4416D" w14:textId="77777777" w:rsidR="006A3667" w:rsidRDefault="006A3667">
            <w:pPr>
              <w:rPr>
                <w:rFonts w:ascii="宋体"/>
                <w:vanish/>
              </w:rPr>
            </w:pPr>
          </w:p>
        </w:tc>
        <w:tc>
          <w:tcPr>
            <w:tcW w:w="0" w:type="auto"/>
            <w:gridSpan w:val="3"/>
            <w:shd w:val="clear" w:color="auto" w:fill="auto"/>
            <w:vAlign w:val="bottom"/>
          </w:tcPr>
          <w:p w14:paraId="71D4416E" w14:textId="77777777" w:rsidR="006A3667" w:rsidRDefault="006A3667">
            <w:pPr>
              <w:rPr>
                <w:rFonts w:ascii="宋体"/>
                <w:vanish/>
              </w:rPr>
            </w:pPr>
          </w:p>
        </w:tc>
        <w:tc>
          <w:tcPr>
            <w:tcW w:w="0" w:type="auto"/>
            <w:gridSpan w:val="3"/>
            <w:shd w:val="clear" w:color="auto" w:fill="auto"/>
            <w:vAlign w:val="bottom"/>
          </w:tcPr>
          <w:p w14:paraId="71D4416F" w14:textId="77777777" w:rsidR="006A3667" w:rsidRDefault="006A3667">
            <w:pPr>
              <w:rPr>
                <w:rFonts w:ascii="宋体"/>
                <w:vanish/>
              </w:rPr>
            </w:pPr>
          </w:p>
        </w:tc>
        <w:tc>
          <w:tcPr>
            <w:tcW w:w="0" w:type="auto"/>
            <w:gridSpan w:val="3"/>
            <w:shd w:val="clear" w:color="auto" w:fill="auto"/>
            <w:vAlign w:val="bottom"/>
          </w:tcPr>
          <w:p w14:paraId="71D44170" w14:textId="77777777" w:rsidR="006A3667" w:rsidRDefault="006A3667">
            <w:pPr>
              <w:rPr>
                <w:rFonts w:ascii="宋体"/>
                <w:vanish/>
              </w:rPr>
            </w:pPr>
          </w:p>
        </w:tc>
        <w:tc>
          <w:tcPr>
            <w:tcW w:w="0" w:type="auto"/>
            <w:gridSpan w:val="3"/>
            <w:shd w:val="clear" w:color="auto" w:fill="auto"/>
            <w:vAlign w:val="bottom"/>
          </w:tcPr>
          <w:p w14:paraId="71D44171" w14:textId="77777777" w:rsidR="006A3667" w:rsidRDefault="006A3667">
            <w:pPr>
              <w:rPr>
                <w:rFonts w:ascii="宋体"/>
                <w:vanish/>
              </w:rPr>
            </w:pPr>
          </w:p>
        </w:tc>
        <w:tc>
          <w:tcPr>
            <w:tcW w:w="0" w:type="auto"/>
            <w:gridSpan w:val="3"/>
            <w:shd w:val="clear" w:color="auto" w:fill="auto"/>
            <w:vAlign w:val="bottom"/>
          </w:tcPr>
          <w:p w14:paraId="71D44172" w14:textId="77777777" w:rsidR="006A3667" w:rsidRDefault="006A3667">
            <w:pPr>
              <w:rPr>
                <w:rFonts w:ascii="宋体"/>
                <w:vanish/>
              </w:rPr>
            </w:pPr>
          </w:p>
        </w:tc>
        <w:tc>
          <w:tcPr>
            <w:tcW w:w="0" w:type="auto"/>
            <w:gridSpan w:val="3"/>
            <w:shd w:val="clear" w:color="auto" w:fill="auto"/>
            <w:vAlign w:val="bottom"/>
          </w:tcPr>
          <w:p w14:paraId="71D44173" w14:textId="77777777" w:rsidR="006A3667" w:rsidRDefault="006A3667">
            <w:pPr>
              <w:rPr>
                <w:rFonts w:ascii="宋体"/>
                <w:vanish/>
              </w:rPr>
            </w:pPr>
          </w:p>
        </w:tc>
        <w:tc>
          <w:tcPr>
            <w:tcW w:w="0" w:type="auto"/>
            <w:gridSpan w:val="3"/>
            <w:shd w:val="clear" w:color="auto" w:fill="auto"/>
            <w:vAlign w:val="bottom"/>
          </w:tcPr>
          <w:p w14:paraId="71D44174" w14:textId="77777777" w:rsidR="006A3667" w:rsidRDefault="006A3667">
            <w:pPr>
              <w:rPr>
                <w:rFonts w:ascii="宋体"/>
                <w:vanish/>
              </w:rPr>
            </w:pPr>
          </w:p>
        </w:tc>
        <w:tc>
          <w:tcPr>
            <w:tcW w:w="0" w:type="auto"/>
            <w:gridSpan w:val="2"/>
            <w:shd w:val="clear" w:color="auto" w:fill="auto"/>
            <w:vAlign w:val="bottom"/>
          </w:tcPr>
          <w:p w14:paraId="71D44175" w14:textId="77777777" w:rsidR="006A3667" w:rsidRDefault="006A3667">
            <w:pPr>
              <w:rPr>
                <w:rFonts w:ascii="宋体"/>
                <w:vanish/>
              </w:rPr>
            </w:pPr>
          </w:p>
        </w:tc>
        <w:tc>
          <w:tcPr>
            <w:tcW w:w="0" w:type="auto"/>
            <w:shd w:val="clear" w:color="auto" w:fill="auto"/>
            <w:vAlign w:val="bottom"/>
          </w:tcPr>
          <w:p w14:paraId="71D44176" w14:textId="77777777" w:rsidR="006A3667" w:rsidRDefault="006A3667">
            <w:pPr>
              <w:rPr>
                <w:rFonts w:ascii="宋体"/>
                <w:vanish/>
              </w:rPr>
            </w:pPr>
          </w:p>
        </w:tc>
      </w:tr>
      <w:tr w:rsidR="006A3667" w14:paraId="71D4418E" w14:textId="77777777">
        <w:trPr>
          <w:hidden/>
        </w:trPr>
        <w:tc>
          <w:tcPr>
            <w:tcW w:w="0" w:type="auto"/>
            <w:gridSpan w:val="3"/>
            <w:shd w:val="clear" w:color="auto" w:fill="auto"/>
            <w:vAlign w:val="bottom"/>
          </w:tcPr>
          <w:p w14:paraId="71D44178" w14:textId="77777777" w:rsidR="006A3667" w:rsidRDefault="006A3667">
            <w:pPr>
              <w:rPr>
                <w:rFonts w:ascii="宋体"/>
                <w:vanish/>
              </w:rPr>
            </w:pPr>
          </w:p>
        </w:tc>
        <w:tc>
          <w:tcPr>
            <w:tcW w:w="0" w:type="auto"/>
            <w:gridSpan w:val="3"/>
            <w:shd w:val="clear" w:color="auto" w:fill="auto"/>
            <w:vAlign w:val="bottom"/>
          </w:tcPr>
          <w:p w14:paraId="71D44179" w14:textId="77777777" w:rsidR="006A3667" w:rsidRDefault="006A3667">
            <w:pPr>
              <w:rPr>
                <w:rFonts w:ascii="宋体"/>
                <w:vanish/>
              </w:rPr>
            </w:pPr>
          </w:p>
        </w:tc>
        <w:tc>
          <w:tcPr>
            <w:tcW w:w="0" w:type="auto"/>
            <w:gridSpan w:val="3"/>
            <w:shd w:val="clear" w:color="auto" w:fill="auto"/>
            <w:vAlign w:val="bottom"/>
          </w:tcPr>
          <w:p w14:paraId="71D4417A" w14:textId="77777777" w:rsidR="006A3667" w:rsidRDefault="006A3667">
            <w:pPr>
              <w:rPr>
                <w:rFonts w:ascii="宋体"/>
                <w:vanish/>
              </w:rPr>
            </w:pPr>
          </w:p>
        </w:tc>
        <w:tc>
          <w:tcPr>
            <w:tcW w:w="0" w:type="auto"/>
            <w:gridSpan w:val="3"/>
            <w:shd w:val="clear" w:color="auto" w:fill="auto"/>
            <w:vAlign w:val="bottom"/>
          </w:tcPr>
          <w:p w14:paraId="71D4417B" w14:textId="77777777" w:rsidR="006A3667" w:rsidRDefault="006A3667">
            <w:pPr>
              <w:rPr>
                <w:rFonts w:ascii="宋体"/>
                <w:vanish/>
              </w:rPr>
            </w:pPr>
          </w:p>
        </w:tc>
        <w:tc>
          <w:tcPr>
            <w:tcW w:w="0" w:type="auto"/>
            <w:gridSpan w:val="3"/>
            <w:shd w:val="clear" w:color="auto" w:fill="auto"/>
            <w:vAlign w:val="bottom"/>
          </w:tcPr>
          <w:p w14:paraId="71D4417C" w14:textId="77777777" w:rsidR="006A3667" w:rsidRDefault="006A3667">
            <w:pPr>
              <w:rPr>
                <w:rFonts w:ascii="宋体"/>
                <w:vanish/>
              </w:rPr>
            </w:pPr>
          </w:p>
        </w:tc>
        <w:tc>
          <w:tcPr>
            <w:tcW w:w="0" w:type="auto"/>
            <w:gridSpan w:val="3"/>
            <w:shd w:val="clear" w:color="auto" w:fill="auto"/>
            <w:vAlign w:val="bottom"/>
          </w:tcPr>
          <w:p w14:paraId="71D4417D" w14:textId="77777777" w:rsidR="006A3667" w:rsidRDefault="006A3667">
            <w:pPr>
              <w:rPr>
                <w:rFonts w:ascii="宋体"/>
                <w:vanish/>
              </w:rPr>
            </w:pPr>
          </w:p>
        </w:tc>
        <w:tc>
          <w:tcPr>
            <w:tcW w:w="0" w:type="auto"/>
            <w:gridSpan w:val="3"/>
            <w:shd w:val="clear" w:color="auto" w:fill="auto"/>
            <w:vAlign w:val="bottom"/>
          </w:tcPr>
          <w:p w14:paraId="71D4417E" w14:textId="77777777" w:rsidR="006A3667" w:rsidRDefault="006A3667">
            <w:pPr>
              <w:rPr>
                <w:rFonts w:ascii="宋体"/>
                <w:vanish/>
              </w:rPr>
            </w:pPr>
          </w:p>
        </w:tc>
        <w:tc>
          <w:tcPr>
            <w:tcW w:w="0" w:type="auto"/>
            <w:gridSpan w:val="3"/>
            <w:shd w:val="clear" w:color="auto" w:fill="auto"/>
            <w:vAlign w:val="bottom"/>
          </w:tcPr>
          <w:p w14:paraId="71D4417F" w14:textId="77777777" w:rsidR="006A3667" w:rsidRDefault="006A3667">
            <w:pPr>
              <w:rPr>
                <w:rFonts w:ascii="宋体"/>
                <w:vanish/>
              </w:rPr>
            </w:pPr>
          </w:p>
        </w:tc>
        <w:tc>
          <w:tcPr>
            <w:tcW w:w="0" w:type="auto"/>
            <w:gridSpan w:val="3"/>
            <w:shd w:val="clear" w:color="auto" w:fill="auto"/>
            <w:vAlign w:val="bottom"/>
          </w:tcPr>
          <w:p w14:paraId="71D44180" w14:textId="77777777" w:rsidR="006A3667" w:rsidRDefault="006A3667">
            <w:pPr>
              <w:rPr>
                <w:rFonts w:ascii="宋体"/>
                <w:vanish/>
              </w:rPr>
            </w:pPr>
          </w:p>
        </w:tc>
        <w:tc>
          <w:tcPr>
            <w:tcW w:w="0" w:type="auto"/>
            <w:shd w:val="clear" w:color="auto" w:fill="auto"/>
            <w:vAlign w:val="bottom"/>
          </w:tcPr>
          <w:p w14:paraId="71D44181" w14:textId="77777777" w:rsidR="006A3667" w:rsidRDefault="006A3667">
            <w:pPr>
              <w:rPr>
                <w:rFonts w:ascii="宋体"/>
                <w:vanish/>
              </w:rPr>
            </w:pPr>
          </w:p>
        </w:tc>
        <w:tc>
          <w:tcPr>
            <w:tcW w:w="0" w:type="auto"/>
            <w:shd w:val="clear" w:color="auto" w:fill="auto"/>
            <w:vAlign w:val="bottom"/>
          </w:tcPr>
          <w:p w14:paraId="71D44182" w14:textId="77777777" w:rsidR="006A3667" w:rsidRDefault="006A3667">
            <w:pPr>
              <w:rPr>
                <w:rFonts w:ascii="宋体"/>
                <w:vanish/>
              </w:rPr>
            </w:pPr>
          </w:p>
        </w:tc>
        <w:tc>
          <w:tcPr>
            <w:tcW w:w="0" w:type="auto"/>
            <w:gridSpan w:val="3"/>
            <w:shd w:val="clear" w:color="auto" w:fill="auto"/>
            <w:vAlign w:val="bottom"/>
          </w:tcPr>
          <w:p w14:paraId="71D44183" w14:textId="77777777" w:rsidR="006A3667" w:rsidRDefault="006A3667">
            <w:pPr>
              <w:rPr>
                <w:rFonts w:ascii="宋体"/>
                <w:vanish/>
              </w:rPr>
            </w:pPr>
          </w:p>
        </w:tc>
        <w:tc>
          <w:tcPr>
            <w:tcW w:w="0" w:type="auto"/>
            <w:gridSpan w:val="3"/>
            <w:shd w:val="clear" w:color="auto" w:fill="auto"/>
            <w:vAlign w:val="bottom"/>
          </w:tcPr>
          <w:p w14:paraId="71D44184" w14:textId="77777777" w:rsidR="006A3667" w:rsidRDefault="006A3667">
            <w:pPr>
              <w:rPr>
                <w:rFonts w:ascii="宋体"/>
                <w:vanish/>
              </w:rPr>
            </w:pPr>
          </w:p>
        </w:tc>
        <w:tc>
          <w:tcPr>
            <w:tcW w:w="0" w:type="auto"/>
            <w:gridSpan w:val="3"/>
            <w:shd w:val="clear" w:color="auto" w:fill="auto"/>
            <w:vAlign w:val="bottom"/>
          </w:tcPr>
          <w:p w14:paraId="71D44185" w14:textId="77777777" w:rsidR="006A3667" w:rsidRDefault="006A3667">
            <w:pPr>
              <w:rPr>
                <w:rFonts w:ascii="宋体"/>
                <w:vanish/>
              </w:rPr>
            </w:pPr>
          </w:p>
        </w:tc>
        <w:tc>
          <w:tcPr>
            <w:tcW w:w="0" w:type="auto"/>
            <w:gridSpan w:val="3"/>
            <w:shd w:val="clear" w:color="auto" w:fill="auto"/>
            <w:vAlign w:val="bottom"/>
          </w:tcPr>
          <w:p w14:paraId="71D44186" w14:textId="77777777" w:rsidR="006A3667" w:rsidRDefault="006A3667">
            <w:pPr>
              <w:rPr>
                <w:rFonts w:ascii="宋体"/>
                <w:vanish/>
              </w:rPr>
            </w:pPr>
          </w:p>
        </w:tc>
        <w:tc>
          <w:tcPr>
            <w:tcW w:w="0" w:type="auto"/>
            <w:gridSpan w:val="3"/>
            <w:shd w:val="clear" w:color="auto" w:fill="auto"/>
            <w:vAlign w:val="bottom"/>
          </w:tcPr>
          <w:p w14:paraId="71D44187" w14:textId="77777777" w:rsidR="006A3667" w:rsidRDefault="006A3667">
            <w:pPr>
              <w:rPr>
                <w:rFonts w:ascii="宋体"/>
                <w:vanish/>
              </w:rPr>
            </w:pPr>
          </w:p>
        </w:tc>
        <w:tc>
          <w:tcPr>
            <w:tcW w:w="0" w:type="auto"/>
            <w:gridSpan w:val="3"/>
            <w:shd w:val="clear" w:color="auto" w:fill="auto"/>
            <w:vAlign w:val="bottom"/>
          </w:tcPr>
          <w:p w14:paraId="71D44188" w14:textId="77777777" w:rsidR="006A3667" w:rsidRDefault="006A3667">
            <w:pPr>
              <w:rPr>
                <w:rFonts w:ascii="宋体"/>
                <w:vanish/>
              </w:rPr>
            </w:pPr>
          </w:p>
        </w:tc>
        <w:tc>
          <w:tcPr>
            <w:tcW w:w="0" w:type="auto"/>
            <w:gridSpan w:val="3"/>
            <w:shd w:val="clear" w:color="auto" w:fill="auto"/>
            <w:vAlign w:val="bottom"/>
          </w:tcPr>
          <w:p w14:paraId="71D44189" w14:textId="77777777" w:rsidR="006A3667" w:rsidRDefault="006A3667">
            <w:pPr>
              <w:rPr>
                <w:rFonts w:ascii="宋体"/>
                <w:vanish/>
              </w:rPr>
            </w:pPr>
          </w:p>
        </w:tc>
        <w:tc>
          <w:tcPr>
            <w:tcW w:w="0" w:type="auto"/>
            <w:gridSpan w:val="3"/>
            <w:shd w:val="clear" w:color="auto" w:fill="auto"/>
            <w:vAlign w:val="bottom"/>
          </w:tcPr>
          <w:p w14:paraId="71D4418A" w14:textId="77777777" w:rsidR="006A3667" w:rsidRDefault="006A3667">
            <w:pPr>
              <w:rPr>
                <w:rFonts w:ascii="宋体"/>
                <w:vanish/>
              </w:rPr>
            </w:pPr>
          </w:p>
        </w:tc>
        <w:tc>
          <w:tcPr>
            <w:tcW w:w="0" w:type="auto"/>
            <w:gridSpan w:val="3"/>
            <w:shd w:val="clear" w:color="auto" w:fill="auto"/>
            <w:vAlign w:val="bottom"/>
          </w:tcPr>
          <w:p w14:paraId="71D4418B" w14:textId="77777777" w:rsidR="006A3667" w:rsidRDefault="006A3667">
            <w:pPr>
              <w:rPr>
                <w:rFonts w:ascii="宋体"/>
                <w:vanish/>
              </w:rPr>
            </w:pPr>
          </w:p>
        </w:tc>
        <w:tc>
          <w:tcPr>
            <w:tcW w:w="0" w:type="auto"/>
            <w:gridSpan w:val="2"/>
            <w:shd w:val="clear" w:color="auto" w:fill="auto"/>
            <w:vAlign w:val="bottom"/>
          </w:tcPr>
          <w:p w14:paraId="71D4418C" w14:textId="77777777" w:rsidR="006A3667" w:rsidRDefault="006A3667">
            <w:pPr>
              <w:rPr>
                <w:rFonts w:ascii="宋体"/>
                <w:vanish/>
              </w:rPr>
            </w:pPr>
          </w:p>
        </w:tc>
        <w:tc>
          <w:tcPr>
            <w:tcW w:w="0" w:type="auto"/>
            <w:shd w:val="clear" w:color="auto" w:fill="auto"/>
            <w:vAlign w:val="bottom"/>
          </w:tcPr>
          <w:p w14:paraId="71D4418D" w14:textId="77777777" w:rsidR="006A3667" w:rsidRDefault="006A3667">
            <w:pPr>
              <w:rPr>
                <w:rFonts w:ascii="宋体"/>
                <w:vanish/>
              </w:rPr>
            </w:pPr>
          </w:p>
        </w:tc>
      </w:tr>
      <w:tr w:rsidR="006A3667" w14:paraId="71D441A5" w14:textId="77777777">
        <w:tc>
          <w:tcPr>
            <w:tcW w:w="0" w:type="auto"/>
            <w:gridSpan w:val="3"/>
            <w:shd w:val="clear" w:color="auto" w:fill="CCEEFF"/>
            <w:tcMar>
              <w:top w:w="40" w:type="dxa"/>
              <w:left w:w="20" w:type="dxa"/>
              <w:bottom w:w="40" w:type="dxa"/>
              <w:right w:w="20" w:type="dxa"/>
            </w:tcMar>
            <w:vAlign w:val="center"/>
          </w:tcPr>
          <w:p w14:paraId="71D4418F" w14:textId="77777777" w:rsidR="006A3667" w:rsidRDefault="00045F32">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71D4419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7" w14:textId="77777777" w:rsidR="006A3667" w:rsidRDefault="006A3667">
            <w:pPr>
              <w:rPr>
                <w:rFonts w:ascii="宋体"/>
              </w:rPr>
            </w:pPr>
          </w:p>
        </w:tc>
        <w:tc>
          <w:tcPr>
            <w:tcW w:w="0" w:type="auto"/>
            <w:shd w:val="clear" w:color="auto" w:fill="auto"/>
            <w:vAlign w:val="bottom"/>
          </w:tcPr>
          <w:p w14:paraId="71D44198" w14:textId="77777777" w:rsidR="006A3667" w:rsidRDefault="006A3667">
            <w:pPr>
              <w:rPr>
                <w:rFonts w:ascii="宋体"/>
                <w:vanish/>
              </w:rPr>
            </w:pPr>
          </w:p>
        </w:tc>
        <w:tc>
          <w:tcPr>
            <w:tcW w:w="0" w:type="auto"/>
            <w:shd w:val="clear" w:color="auto" w:fill="auto"/>
            <w:vAlign w:val="bottom"/>
          </w:tcPr>
          <w:p w14:paraId="71D44199"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19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9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A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A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1A2" w14:textId="77777777" w:rsidR="006A3667" w:rsidRDefault="006A3667">
            <w:pPr>
              <w:rPr>
                <w:rFonts w:ascii="宋体"/>
              </w:rPr>
            </w:pPr>
          </w:p>
        </w:tc>
        <w:tc>
          <w:tcPr>
            <w:tcW w:w="0" w:type="auto"/>
            <w:gridSpan w:val="2"/>
            <w:shd w:val="clear" w:color="auto" w:fill="CCEEFF"/>
            <w:tcMar>
              <w:top w:w="0" w:type="dxa"/>
              <w:left w:w="20" w:type="dxa"/>
              <w:bottom w:w="0" w:type="dxa"/>
              <w:right w:w="20" w:type="dxa"/>
            </w:tcMar>
            <w:vAlign w:val="bottom"/>
          </w:tcPr>
          <w:p w14:paraId="71D441A3" w14:textId="77777777" w:rsidR="006A3667" w:rsidRDefault="006A3667">
            <w:pPr>
              <w:rPr>
                <w:rFonts w:ascii="宋体"/>
              </w:rPr>
            </w:pPr>
          </w:p>
        </w:tc>
        <w:tc>
          <w:tcPr>
            <w:tcW w:w="0" w:type="auto"/>
            <w:shd w:val="clear" w:color="auto" w:fill="CCEEFF"/>
            <w:tcMar>
              <w:top w:w="0" w:type="dxa"/>
              <w:left w:w="20" w:type="dxa"/>
              <w:bottom w:w="0" w:type="dxa"/>
              <w:right w:w="20" w:type="dxa"/>
            </w:tcMar>
            <w:vAlign w:val="bottom"/>
          </w:tcPr>
          <w:p w14:paraId="71D441A4" w14:textId="77777777" w:rsidR="006A3667" w:rsidRDefault="006A3667">
            <w:pPr>
              <w:rPr>
                <w:rFonts w:ascii="宋体"/>
              </w:rPr>
            </w:pPr>
          </w:p>
        </w:tc>
      </w:tr>
      <w:tr w:rsidR="006A3667" w14:paraId="71D441BC" w14:textId="77777777">
        <w:tc>
          <w:tcPr>
            <w:tcW w:w="0" w:type="auto"/>
            <w:gridSpan w:val="3"/>
            <w:shd w:val="clear" w:color="auto" w:fill="FFFFFF"/>
            <w:tcMar>
              <w:top w:w="40" w:type="dxa"/>
              <w:left w:w="20" w:type="dxa"/>
              <w:bottom w:w="40" w:type="dxa"/>
              <w:right w:w="20" w:type="dxa"/>
            </w:tcMar>
            <w:vAlign w:val="center"/>
          </w:tcPr>
          <w:p w14:paraId="71D441A6" w14:textId="77777777" w:rsidR="006A3667" w:rsidRDefault="00045F32">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71D441A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A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A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A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A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A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AE" w14:textId="77777777" w:rsidR="006A3667" w:rsidRDefault="006A3667">
            <w:pPr>
              <w:rPr>
                <w:rFonts w:ascii="宋体"/>
              </w:rPr>
            </w:pPr>
          </w:p>
        </w:tc>
        <w:tc>
          <w:tcPr>
            <w:tcW w:w="0" w:type="auto"/>
            <w:shd w:val="clear" w:color="auto" w:fill="auto"/>
            <w:vAlign w:val="bottom"/>
          </w:tcPr>
          <w:p w14:paraId="71D441AF" w14:textId="77777777" w:rsidR="006A3667" w:rsidRDefault="006A3667">
            <w:pPr>
              <w:rPr>
                <w:rFonts w:ascii="宋体"/>
                <w:vanish/>
              </w:rPr>
            </w:pPr>
          </w:p>
        </w:tc>
        <w:tc>
          <w:tcPr>
            <w:tcW w:w="0" w:type="auto"/>
            <w:shd w:val="clear" w:color="auto" w:fill="auto"/>
            <w:vAlign w:val="bottom"/>
          </w:tcPr>
          <w:p w14:paraId="71D441B0"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41B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B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B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B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B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B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B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B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1B9" w14:textId="77777777" w:rsidR="006A3667" w:rsidRDefault="006A3667">
            <w:pPr>
              <w:rPr>
                <w:rFonts w:ascii="宋体"/>
              </w:rPr>
            </w:pPr>
          </w:p>
        </w:tc>
        <w:tc>
          <w:tcPr>
            <w:tcW w:w="0" w:type="auto"/>
            <w:gridSpan w:val="2"/>
            <w:shd w:val="clear" w:color="auto" w:fill="FFFFFF"/>
            <w:tcMar>
              <w:top w:w="0" w:type="dxa"/>
              <w:left w:w="20" w:type="dxa"/>
              <w:bottom w:w="0" w:type="dxa"/>
              <w:right w:w="20" w:type="dxa"/>
            </w:tcMar>
            <w:vAlign w:val="bottom"/>
          </w:tcPr>
          <w:p w14:paraId="71D441BA" w14:textId="77777777" w:rsidR="006A3667" w:rsidRDefault="006A3667">
            <w:pPr>
              <w:rPr>
                <w:rFonts w:ascii="宋体"/>
              </w:rPr>
            </w:pPr>
          </w:p>
        </w:tc>
        <w:tc>
          <w:tcPr>
            <w:tcW w:w="0" w:type="auto"/>
            <w:shd w:val="clear" w:color="auto" w:fill="FFFFFF"/>
            <w:tcMar>
              <w:top w:w="0" w:type="dxa"/>
              <w:left w:w="20" w:type="dxa"/>
              <w:bottom w:w="0" w:type="dxa"/>
              <w:right w:w="20" w:type="dxa"/>
            </w:tcMar>
            <w:vAlign w:val="bottom"/>
          </w:tcPr>
          <w:p w14:paraId="71D441BB" w14:textId="77777777" w:rsidR="006A3667" w:rsidRDefault="006A3667">
            <w:pPr>
              <w:rPr>
                <w:rFonts w:ascii="宋体"/>
              </w:rPr>
            </w:pPr>
          </w:p>
        </w:tc>
      </w:tr>
      <w:tr w:rsidR="00045F32" w14:paraId="71D441E6" w14:textId="77777777">
        <w:tc>
          <w:tcPr>
            <w:tcW w:w="0" w:type="auto"/>
            <w:gridSpan w:val="3"/>
            <w:shd w:val="clear" w:color="auto" w:fill="CCEEFF"/>
            <w:tcMar>
              <w:top w:w="40" w:type="dxa"/>
              <w:left w:w="155" w:type="dxa"/>
              <w:bottom w:w="40" w:type="dxa"/>
              <w:right w:w="20" w:type="dxa"/>
            </w:tcMar>
            <w:vAlign w:val="center"/>
          </w:tcPr>
          <w:p w14:paraId="71D441BD" w14:textId="77777777" w:rsidR="006A3667" w:rsidRDefault="00045F32">
            <w:pPr>
              <w:textAlignment w:val="center"/>
            </w:pPr>
            <w:r>
              <w:rPr>
                <w:rFonts w:ascii="Arial" w:eastAsia="宋体" w:hAnsi="Arial" w:cs="Arial"/>
                <w:color w:val="000000"/>
                <w:sz w:val="12"/>
                <w:szCs w:val="12"/>
              </w:rPr>
              <w:t xml:space="preserve">Foreign exchange </w:t>
            </w:r>
            <w:r>
              <w:rPr>
                <w:rFonts w:ascii="Arial" w:eastAsia="宋体" w:hAnsi="Arial" w:cs="Arial"/>
                <w:color w:val="000000"/>
                <w:sz w:val="12"/>
                <w:szCs w:val="12"/>
              </w:rPr>
              <w:t>contracts</w:t>
            </w:r>
          </w:p>
        </w:tc>
        <w:tc>
          <w:tcPr>
            <w:tcW w:w="0" w:type="auto"/>
            <w:shd w:val="clear" w:color="auto" w:fill="CCEEFF"/>
            <w:tcMar>
              <w:top w:w="40" w:type="dxa"/>
              <w:left w:w="20" w:type="dxa"/>
              <w:bottom w:w="40" w:type="dxa"/>
              <w:right w:w="0" w:type="dxa"/>
            </w:tcMar>
            <w:vAlign w:val="center"/>
          </w:tcPr>
          <w:p w14:paraId="71D441BE"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BF"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C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1C1"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1C2"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C3" w14:textId="77777777" w:rsidR="006A3667" w:rsidRDefault="00045F32">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C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1C5"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1C6"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C7"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1C9"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1CA"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CB" w14:textId="77777777" w:rsidR="006A3667" w:rsidRDefault="00045F32">
            <w:pPr>
              <w:jc w:val="right"/>
              <w:textAlignment w:val="center"/>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C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1CD" w14:textId="77777777" w:rsidR="006A3667" w:rsidRDefault="006A3667">
            <w:pPr>
              <w:rPr>
                <w:rFonts w:ascii="宋体"/>
              </w:rPr>
            </w:pPr>
          </w:p>
        </w:tc>
        <w:tc>
          <w:tcPr>
            <w:tcW w:w="0" w:type="auto"/>
            <w:shd w:val="clear" w:color="auto" w:fill="auto"/>
            <w:vAlign w:val="bottom"/>
          </w:tcPr>
          <w:p w14:paraId="71D441CE" w14:textId="77777777" w:rsidR="006A3667" w:rsidRDefault="006A3667">
            <w:pPr>
              <w:rPr>
                <w:rFonts w:ascii="宋体"/>
                <w:vanish/>
              </w:rPr>
            </w:pPr>
          </w:p>
        </w:tc>
        <w:tc>
          <w:tcPr>
            <w:tcW w:w="0" w:type="auto"/>
            <w:shd w:val="clear" w:color="auto" w:fill="auto"/>
            <w:vAlign w:val="bottom"/>
          </w:tcPr>
          <w:p w14:paraId="71D441CF"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center"/>
          </w:tcPr>
          <w:p w14:paraId="71D441D0"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D1"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D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1D3"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1D4"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D5"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D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1D7"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1D8"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D9"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1DB"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1DC"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DD"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D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1DF"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1E0" w14:textId="77777777" w:rsidR="006A3667" w:rsidRDefault="00045F32">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71D441E1"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1E2"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41E3"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1E4" w14:textId="77777777" w:rsidR="006A3667" w:rsidRDefault="00045F32">
            <w:pPr>
              <w:textAlignment w:val="center"/>
            </w:pPr>
            <w:r>
              <w:rPr>
                <w:rFonts w:ascii="Arial" w:eastAsia="宋体" w:hAnsi="Arial" w:cs="Arial"/>
                <w:b/>
                <w:bCs/>
                <w:color w:val="000000"/>
                <w:sz w:val="12"/>
                <w:szCs w:val="12"/>
              </w:rPr>
              <w:t>$</w:t>
            </w:r>
          </w:p>
          <w:p w14:paraId="71D441E5" w14:textId="77777777" w:rsidR="006A3667" w:rsidRDefault="00045F32">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r>
      <w:tr w:rsidR="006A3667" w14:paraId="71D441FD" w14:textId="77777777">
        <w:trPr>
          <w:hidden/>
        </w:trPr>
        <w:tc>
          <w:tcPr>
            <w:tcW w:w="0" w:type="auto"/>
            <w:gridSpan w:val="3"/>
            <w:shd w:val="clear" w:color="auto" w:fill="auto"/>
            <w:vAlign w:val="bottom"/>
          </w:tcPr>
          <w:p w14:paraId="71D441E7" w14:textId="77777777" w:rsidR="006A3667" w:rsidRDefault="006A3667">
            <w:pPr>
              <w:rPr>
                <w:rFonts w:ascii="宋体"/>
                <w:vanish/>
              </w:rPr>
            </w:pPr>
          </w:p>
        </w:tc>
        <w:tc>
          <w:tcPr>
            <w:tcW w:w="0" w:type="auto"/>
            <w:gridSpan w:val="3"/>
            <w:shd w:val="clear" w:color="auto" w:fill="auto"/>
            <w:vAlign w:val="bottom"/>
          </w:tcPr>
          <w:p w14:paraId="71D441E8" w14:textId="77777777" w:rsidR="006A3667" w:rsidRDefault="006A3667">
            <w:pPr>
              <w:rPr>
                <w:rFonts w:ascii="宋体"/>
                <w:vanish/>
              </w:rPr>
            </w:pPr>
          </w:p>
        </w:tc>
        <w:tc>
          <w:tcPr>
            <w:tcW w:w="0" w:type="auto"/>
            <w:gridSpan w:val="3"/>
            <w:shd w:val="clear" w:color="auto" w:fill="auto"/>
            <w:vAlign w:val="bottom"/>
          </w:tcPr>
          <w:p w14:paraId="71D441E9" w14:textId="77777777" w:rsidR="006A3667" w:rsidRDefault="006A3667">
            <w:pPr>
              <w:rPr>
                <w:rFonts w:ascii="宋体"/>
                <w:vanish/>
              </w:rPr>
            </w:pPr>
          </w:p>
        </w:tc>
        <w:tc>
          <w:tcPr>
            <w:tcW w:w="0" w:type="auto"/>
            <w:gridSpan w:val="3"/>
            <w:shd w:val="clear" w:color="auto" w:fill="auto"/>
            <w:vAlign w:val="bottom"/>
          </w:tcPr>
          <w:p w14:paraId="71D441EA" w14:textId="77777777" w:rsidR="006A3667" w:rsidRDefault="006A3667">
            <w:pPr>
              <w:rPr>
                <w:rFonts w:ascii="宋体"/>
                <w:vanish/>
              </w:rPr>
            </w:pPr>
          </w:p>
        </w:tc>
        <w:tc>
          <w:tcPr>
            <w:tcW w:w="0" w:type="auto"/>
            <w:gridSpan w:val="3"/>
            <w:shd w:val="clear" w:color="auto" w:fill="auto"/>
            <w:vAlign w:val="bottom"/>
          </w:tcPr>
          <w:p w14:paraId="71D441EB" w14:textId="77777777" w:rsidR="006A3667" w:rsidRDefault="006A3667">
            <w:pPr>
              <w:rPr>
                <w:rFonts w:ascii="宋体"/>
                <w:vanish/>
              </w:rPr>
            </w:pPr>
          </w:p>
        </w:tc>
        <w:tc>
          <w:tcPr>
            <w:tcW w:w="0" w:type="auto"/>
            <w:gridSpan w:val="3"/>
            <w:shd w:val="clear" w:color="auto" w:fill="auto"/>
            <w:vAlign w:val="bottom"/>
          </w:tcPr>
          <w:p w14:paraId="71D441EC" w14:textId="77777777" w:rsidR="006A3667" w:rsidRDefault="006A3667">
            <w:pPr>
              <w:rPr>
                <w:rFonts w:ascii="宋体"/>
                <w:vanish/>
              </w:rPr>
            </w:pPr>
          </w:p>
        </w:tc>
        <w:tc>
          <w:tcPr>
            <w:tcW w:w="0" w:type="auto"/>
            <w:gridSpan w:val="3"/>
            <w:shd w:val="clear" w:color="auto" w:fill="auto"/>
            <w:vAlign w:val="bottom"/>
          </w:tcPr>
          <w:p w14:paraId="71D441ED" w14:textId="77777777" w:rsidR="006A3667" w:rsidRDefault="006A3667">
            <w:pPr>
              <w:rPr>
                <w:rFonts w:ascii="宋体"/>
                <w:vanish/>
              </w:rPr>
            </w:pPr>
          </w:p>
        </w:tc>
        <w:tc>
          <w:tcPr>
            <w:tcW w:w="0" w:type="auto"/>
            <w:gridSpan w:val="3"/>
            <w:shd w:val="clear" w:color="auto" w:fill="auto"/>
            <w:vAlign w:val="bottom"/>
          </w:tcPr>
          <w:p w14:paraId="71D441EE" w14:textId="77777777" w:rsidR="006A3667" w:rsidRDefault="006A3667">
            <w:pPr>
              <w:rPr>
                <w:rFonts w:ascii="宋体"/>
                <w:vanish/>
              </w:rPr>
            </w:pPr>
          </w:p>
        </w:tc>
        <w:tc>
          <w:tcPr>
            <w:tcW w:w="0" w:type="auto"/>
            <w:gridSpan w:val="3"/>
            <w:shd w:val="clear" w:color="auto" w:fill="auto"/>
            <w:vAlign w:val="bottom"/>
          </w:tcPr>
          <w:p w14:paraId="71D441EF" w14:textId="77777777" w:rsidR="006A3667" w:rsidRDefault="006A3667">
            <w:pPr>
              <w:rPr>
                <w:rFonts w:ascii="宋体"/>
                <w:vanish/>
              </w:rPr>
            </w:pPr>
          </w:p>
        </w:tc>
        <w:tc>
          <w:tcPr>
            <w:tcW w:w="0" w:type="auto"/>
            <w:shd w:val="clear" w:color="auto" w:fill="auto"/>
            <w:vAlign w:val="bottom"/>
          </w:tcPr>
          <w:p w14:paraId="71D441F0" w14:textId="77777777" w:rsidR="006A3667" w:rsidRDefault="006A3667">
            <w:pPr>
              <w:rPr>
                <w:rFonts w:ascii="宋体"/>
                <w:vanish/>
              </w:rPr>
            </w:pPr>
          </w:p>
        </w:tc>
        <w:tc>
          <w:tcPr>
            <w:tcW w:w="0" w:type="auto"/>
            <w:shd w:val="clear" w:color="auto" w:fill="auto"/>
            <w:vAlign w:val="bottom"/>
          </w:tcPr>
          <w:p w14:paraId="71D441F1" w14:textId="77777777" w:rsidR="006A3667" w:rsidRDefault="006A3667">
            <w:pPr>
              <w:rPr>
                <w:rFonts w:ascii="宋体"/>
                <w:vanish/>
              </w:rPr>
            </w:pPr>
          </w:p>
        </w:tc>
        <w:tc>
          <w:tcPr>
            <w:tcW w:w="0" w:type="auto"/>
            <w:gridSpan w:val="3"/>
            <w:shd w:val="clear" w:color="auto" w:fill="auto"/>
            <w:vAlign w:val="bottom"/>
          </w:tcPr>
          <w:p w14:paraId="71D441F2" w14:textId="77777777" w:rsidR="006A3667" w:rsidRDefault="006A3667">
            <w:pPr>
              <w:rPr>
                <w:rFonts w:ascii="宋体"/>
                <w:vanish/>
              </w:rPr>
            </w:pPr>
          </w:p>
        </w:tc>
        <w:tc>
          <w:tcPr>
            <w:tcW w:w="0" w:type="auto"/>
            <w:gridSpan w:val="3"/>
            <w:shd w:val="clear" w:color="auto" w:fill="auto"/>
            <w:vAlign w:val="bottom"/>
          </w:tcPr>
          <w:p w14:paraId="71D441F3" w14:textId="77777777" w:rsidR="006A3667" w:rsidRDefault="006A3667">
            <w:pPr>
              <w:rPr>
                <w:rFonts w:ascii="宋体"/>
                <w:vanish/>
              </w:rPr>
            </w:pPr>
          </w:p>
        </w:tc>
        <w:tc>
          <w:tcPr>
            <w:tcW w:w="0" w:type="auto"/>
            <w:gridSpan w:val="3"/>
            <w:shd w:val="clear" w:color="auto" w:fill="auto"/>
            <w:vAlign w:val="bottom"/>
          </w:tcPr>
          <w:p w14:paraId="71D441F4" w14:textId="77777777" w:rsidR="006A3667" w:rsidRDefault="006A3667">
            <w:pPr>
              <w:rPr>
                <w:rFonts w:ascii="宋体"/>
                <w:vanish/>
              </w:rPr>
            </w:pPr>
          </w:p>
        </w:tc>
        <w:tc>
          <w:tcPr>
            <w:tcW w:w="0" w:type="auto"/>
            <w:gridSpan w:val="3"/>
            <w:shd w:val="clear" w:color="auto" w:fill="auto"/>
            <w:vAlign w:val="bottom"/>
          </w:tcPr>
          <w:p w14:paraId="71D441F5" w14:textId="77777777" w:rsidR="006A3667" w:rsidRDefault="006A3667">
            <w:pPr>
              <w:rPr>
                <w:rFonts w:ascii="宋体"/>
                <w:vanish/>
              </w:rPr>
            </w:pPr>
          </w:p>
        </w:tc>
        <w:tc>
          <w:tcPr>
            <w:tcW w:w="0" w:type="auto"/>
            <w:gridSpan w:val="3"/>
            <w:shd w:val="clear" w:color="auto" w:fill="auto"/>
            <w:vAlign w:val="bottom"/>
          </w:tcPr>
          <w:p w14:paraId="71D441F6" w14:textId="77777777" w:rsidR="006A3667" w:rsidRDefault="006A3667">
            <w:pPr>
              <w:rPr>
                <w:rFonts w:ascii="宋体"/>
                <w:vanish/>
              </w:rPr>
            </w:pPr>
          </w:p>
        </w:tc>
        <w:tc>
          <w:tcPr>
            <w:tcW w:w="0" w:type="auto"/>
            <w:gridSpan w:val="3"/>
            <w:shd w:val="clear" w:color="auto" w:fill="auto"/>
            <w:vAlign w:val="bottom"/>
          </w:tcPr>
          <w:p w14:paraId="71D441F7" w14:textId="77777777" w:rsidR="006A3667" w:rsidRDefault="006A3667">
            <w:pPr>
              <w:rPr>
                <w:rFonts w:ascii="宋体"/>
                <w:vanish/>
              </w:rPr>
            </w:pPr>
          </w:p>
        </w:tc>
        <w:tc>
          <w:tcPr>
            <w:tcW w:w="0" w:type="auto"/>
            <w:gridSpan w:val="3"/>
            <w:shd w:val="clear" w:color="auto" w:fill="auto"/>
            <w:vAlign w:val="bottom"/>
          </w:tcPr>
          <w:p w14:paraId="71D441F8" w14:textId="77777777" w:rsidR="006A3667" w:rsidRDefault="006A3667">
            <w:pPr>
              <w:rPr>
                <w:rFonts w:ascii="宋体"/>
                <w:vanish/>
              </w:rPr>
            </w:pPr>
          </w:p>
        </w:tc>
        <w:tc>
          <w:tcPr>
            <w:tcW w:w="0" w:type="auto"/>
            <w:gridSpan w:val="3"/>
            <w:shd w:val="clear" w:color="auto" w:fill="auto"/>
            <w:vAlign w:val="bottom"/>
          </w:tcPr>
          <w:p w14:paraId="71D441F9" w14:textId="77777777" w:rsidR="006A3667" w:rsidRDefault="006A3667">
            <w:pPr>
              <w:rPr>
                <w:rFonts w:ascii="宋体"/>
                <w:vanish/>
              </w:rPr>
            </w:pPr>
          </w:p>
        </w:tc>
        <w:tc>
          <w:tcPr>
            <w:tcW w:w="0" w:type="auto"/>
            <w:gridSpan w:val="3"/>
            <w:shd w:val="clear" w:color="auto" w:fill="auto"/>
            <w:vAlign w:val="bottom"/>
          </w:tcPr>
          <w:p w14:paraId="71D441FA" w14:textId="77777777" w:rsidR="006A3667" w:rsidRDefault="006A3667">
            <w:pPr>
              <w:rPr>
                <w:rFonts w:ascii="宋体"/>
                <w:vanish/>
              </w:rPr>
            </w:pPr>
          </w:p>
        </w:tc>
        <w:tc>
          <w:tcPr>
            <w:tcW w:w="0" w:type="auto"/>
            <w:gridSpan w:val="2"/>
            <w:shd w:val="clear" w:color="auto" w:fill="auto"/>
            <w:vAlign w:val="bottom"/>
          </w:tcPr>
          <w:p w14:paraId="71D441FB" w14:textId="77777777" w:rsidR="006A3667" w:rsidRDefault="006A3667">
            <w:pPr>
              <w:rPr>
                <w:rFonts w:ascii="宋体"/>
                <w:vanish/>
              </w:rPr>
            </w:pPr>
          </w:p>
        </w:tc>
        <w:tc>
          <w:tcPr>
            <w:tcW w:w="0" w:type="auto"/>
            <w:shd w:val="clear" w:color="auto" w:fill="auto"/>
            <w:vAlign w:val="bottom"/>
          </w:tcPr>
          <w:p w14:paraId="71D441FC" w14:textId="77777777" w:rsidR="006A3667" w:rsidRDefault="006A3667">
            <w:pPr>
              <w:rPr>
                <w:rFonts w:ascii="宋体"/>
                <w:vanish/>
              </w:rPr>
            </w:pPr>
          </w:p>
        </w:tc>
      </w:tr>
      <w:tr w:rsidR="006A3667" w14:paraId="71D44214" w14:textId="77777777">
        <w:trPr>
          <w:hidden/>
        </w:trPr>
        <w:tc>
          <w:tcPr>
            <w:tcW w:w="0" w:type="auto"/>
            <w:gridSpan w:val="3"/>
            <w:shd w:val="clear" w:color="auto" w:fill="auto"/>
            <w:vAlign w:val="bottom"/>
          </w:tcPr>
          <w:p w14:paraId="71D441FE" w14:textId="77777777" w:rsidR="006A3667" w:rsidRDefault="006A3667">
            <w:pPr>
              <w:rPr>
                <w:rFonts w:ascii="宋体"/>
                <w:vanish/>
              </w:rPr>
            </w:pPr>
          </w:p>
        </w:tc>
        <w:tc>
          <w:tcPr>
            <w:tcW w:w="0" w:type="auto"/>
            <w:gridSpan w:val="3"/>
            <w:shd w:val="clear" w:color="auto" w:fill="auto"/>
            <w:vAlign w:val="bottom"/>
          </w:tcPr>
          <w:p w14:paraId="71D441FF" w14:textId="77777777" w:rsidR="006A3667" w:rsidRDefault="006A3667">
            <w:pPr>
              <w:rPr>
                <w:rFonts w:ascii="宋体"/>
                <w:vanish/>
              </w:rPr>
            </w:pPr>
          </w:p>
        </w:tc>
        <w:tc>
          <w:tcPr>
            <w:tcW w:w="0" w:type="auto"/>
            <w:gridSpan w:val="3"/>
            <w:shd w:val="clear" w:color="auto" w:fill="auto"/>
            <w:vAlign w:val="bottom"/>
          </w:tcPr>
          <w:p w14:paraId="71D44200" w14:textId="77777777" w:rsidR="006A3667" w:rsidRDefault="006A3667">
            <w:pPr>
              <w:rPr>
                <w:rFonts w:ascii="宋体"/>
                <w:vanish/>
              </w:rPr>
            </w:pPr>
          </w:p>
        </w:tc>
        <w:tc>
          <w:tcPr>
            <w:tcW w:w="0" w:type="auto"/>
            <w:gridSpan w:val="3"/>
            <w:shd w:val="clear" w:color="auto" w:fill="auto"/>
            <w:vAlign w:val="bottom"/>
          </w:tcPr>
          <w:p w14:paraId="71D44201" w14:textId="77777777" w:rsidR="006A3667" w:rsidRDefault="006A3667">
            <w:pPr>
              <w:rPr>
                <w:rFonts w:ascii="宋体"/>
                <w:vanish/>
              </w:rPr>
            </w:pPr>
          </w:p>
        </w:tc>
        <w:tc>
          <w:tcPr>
            <w:tcW w:w="0" w:type="auto"/>
            <w:gridSpan w:val="3"/>
            <w:shd w:val="clear" w:color="auto" w:fill="auto"/>
            <w:vAlign w:val="bottom"/>
          </w:tcPr>
          <w:p w14:paraId="71D44202" w14:textId="77777777" w:rsidR="006A3667" w:rsidRDefault="006A3667">
            <w:pPr>
              <w:rPr>
                <w:rFonts w:ascii="宋体"/>
                <w:vanish/>
              </w:rPr>
            </w:pPr>
          </w:p>
        </w:tc>
        <w:tc>
          <w:tcPr>
            <w:tcW w:w="0" w:type="auto"/>
            <w:gridSpan w:val="3"/>
            <w:shd w:val="clear" w:color="auto" w:fill="auto"/>
            <w:vAlign w:val="bottom"/>
          </w:tcPr>
          <w:p w14:paraId="71D44203" w14:textId="77777777" w:rsidR="006A3667" w:rsidRDefault="006A3667">
            <w:pPr>
              <w:rPr>
                <w:rFonts w:ascii="宋体"/>
                <w:vanish/>
              </w:rPr>
            </w:pPr>
          </w:p>
        </w:tc>
        <w:tc>
          <w:tcPr>
            <w:tcW w:w="0" w:type="auto"/>
            <w:gridSpan w:val="3"/>
            <w:shd w:val="clear" w:color="auto" w:fill="auto"/>
            <w:vAlign w:val="bottom"/>
          </w:tcPr>
          <w:p w14:paraId="71D44204" w14:textId="77777777" w:rsidR="006A3667" w:rsidRDefault="006A3667">
            <w:pPr>
              <w:rPr>
                <w:rFonts w:ascii="宋体"/>
                <w:vanish/>
              </w:rPr>
            </w:pPr>
          </w:p>
        </w:tc>
        <w:tc>
          <w:tcPr>
            <w:tcW w:w="0" w:type="auto"/>
            <w:gridSpan w:val="3"/>
            <w:shd w:val="clear" w:color="auto" w:fill="auto"/>
            <w:vAlign w:val="bottom"/>
          </w:tcPr>
          <w:p w14:paraId="71D44205" w14:textId="77777777" w:rsidR="006A3667" w:rsidRDefault="006A3667">
            <w:pPr>
              <w:rPr>
                <w:rFonts w:ascii="宋体"/>
                <w:vanish/>
              </w:rPr>
            </w:pPr>
          </w:p>
        </w:tc>
        <w:tc>
          <w:tcPr>
            <w:tcW w:w="0" w:type="auto"/>
            <w:gridSpan w:val="3"/>
            <w:shd w:val="clear" w:color="auto" w:fill="auto"/>
            <w:vAlign w:val="bottom"/>
          </w:tcPr>
          <w:p w14:paraId="71D44206" w14:textId="77777777" w:rsidR="006A3667" w:rsidRDefault="006A3667">
            <w:pPr>
              <w:rPr>
                <w:rFonts w:ascii="宋体"/>
                <w:vanish/>
              </w:rPr>
            </w:pPr>
          </w:p>
        </w:tc>
        <w:tc>
          <w:tcPr>
            <w:tcW w:w="0" w:type="auto"/>
            <w:shd w:val="clear" w:color="auto" w:fill="auto"/>
            <w:vAlign w:val="bottom"/>
          </w:tcPr>
          <w:p w14:paraId="71D44207" w14:textId="77777777" w:rsidR="006A3667" w:rsidRDefault="006A3667">
            <w:pPr>
              <w:rPr>
                <w:rFonts w:ascii="宋体"/>
                <w:vanish/>
              </w:rPr>
            </w:pPr>
          </w:p>
        </w:tc>
        <w:tc>
          <w:tcPr>
            <w:tcW w:w="0" w:type="auto"/>
            <w:shd w:val="clear" w:color="auto" w:fill="auto"/>
            <w:vAlign w:val="bottom"/>
          </w:tcPr>
          <w:p w14:paraId="71D44208" w14:textId="77777777" w:rsidR="006A3667" w:rsidRDefault="006A3667">
            <w:pPr>
              <w:rPr>
                <w:rFonts w:ascii="宋体"/>
                <w:vanish/>
              </w:rPr>
            </w:pPr>
          </w:p>
        </w:tc>
        <w:tc>
          <w:tcPr>
            <w:tcW w:w="0" w:type="auto"/>
            <w:gridSpan w:val="3"/>
            <w:shd w:val="clear" w:color="auto" w:fill="auto"/>
            <w:vAlign w:val="bottom"/>
          </w:tcPr>
          <w:p w14:paraId="71D44209" w14:textId="77777777" w:rsidR="006A3667" w:rsidRDefault="006A3667">
            <w:pPr>
              <w:rPr>
                <w:rFonts w:ascii="宋体"/>
                <w:vanish/>
              </w:rPr>
            </w:pPr>
          </w:p>
        </w:tc>
        <w:tc>
          <w:tcPr>
            <w:tcW w:w="0" w:type="auto"/>
            <w:gridSpan w:val="3"/>
            <w:shd w:val="clear" w:color="auto" w:fill="auto"/>
            <w:vAlign w:val="bottom"/>
          </w:tcPr>
          <w:p w14:paraId="71D4420A" w14:textId="77777777" w:rsidR="006A3667" w:rsidRDefault="006A3667">
            <w:pPr>
              <w:rPr>
                <w:rFonts w:ascii="宋体"/>
                <w:vanish/>
              </w:rPr>
            </w:pPr>
          </w:p>
        </w:tc>
        <w:tc>
          <w:tcPr>
            <w:tcW w:w="0" w:type="auto"/>
            <w:gridSpan w:val="3"/>
            <w:shd w:val="clear" w:color="auto" w:fill="auto"/>
            <w:vAlign w:val="bottom"/>
          </w:tcPr>
          <w:p w14:paraId="71D4420B" w14:textId="77777777" w:rsidR="006A3667" w:rsidRDefault="006A3667">
            <w:pPr>
              <w:rPr>
                <w:rFonts w:ascii="宋体"/>
                <w:vanish/>
              </w:rPr>
            </w:pPr>
          </w:p>
        </w:tc>
        <w:tc>
          <w:tcPr>
            <w:tcW w:w="0" w:type="auto"/>
            <w:gridSpan w:val="3"/>
            <w:shd w:val="clear" w:color="auto" w:fill="auto"/>
            <w:vAlign w:val="bottom"/>
          </w:tcPr>
          <w:p w14:paraId="71D4420C" w14:textId="77777777" w:rsidR="006A3667" w:rsidRDefault="006A3667">
            <w:pPr>
              <w:rPr>
                <w:rFonts w:ascii="宋体"/>
                <w:vanish/>
              </w:rPr>
            </w:pPr>
          </w:p>
        </w:tc>
        <w:tc>
          <w:tcPr>
            <w:tcW w:w="0" w:type="auto"/>
            <w:gridSpan w:val="3"/>
            <w:shd w:val="clear" w:color="auto" w:fill="auto"/>
            <w:vAlign w:val="bottom"/>
          </w:tcPr>
          <w:p w14:paraId="71D4420D" w14:textId="77777777" w:rsidR="006A3667" w:rsidRDefault="006A3667">
            <w:pPr>
              <w:rPr>
                <w:rFonts w:ascii="宋体"/>
                <w:vanish/>
              </w:rPr>
            </w:pPr>
          </w:p>
        </w:tc>
        <w:tc>
          <w:tcPr>
            <w:tcW w:w="0" w:type="auto"/>
            <w:gridSpan w:val="3"/>
            <w:shd w:val="clear" w:color="auto" w:fill="auto"/>
            <w:vAlign w:val="bottom"/>
          </w:tcPr>
          <w:p w14:paraId="71D4420E" w14:textId="77777777" w:rsidR="006A3667" w:rsidRDefault="006A3667">
            <w:pPr>
              <w:rPr>
                <w:rFonts w:ascii="宋体"/>
                <w:vanish/>
              </w:rPr>
            </w:pPr>
          </w:p>
        </w:tc>
        <w:tc>
          <w:tcPr>
            <w:tcW w:w="0" w:type="auto"/>
            <w:gridSpan w:val="3"/>
            <w:shd w:val="clear" w:color="auto" w:fill="auto"/>
            <w:vAlign w:val="bottom"/>
          </w:tcPr>
          <w:p w14:paraId="71D4420F" w14:textId="77777777" w:rsidR="006A3667" w:rsidRDefault="006A3667">
            <w:pPr>
              <w:rPr>
                <w:rFonts w:ascii="宋体"/>
                <w:vanish/>
              </w:rPr>
            </w:pPr>
          </w:p>
        </w:tc>
        <w:tc>
          <w:tcPr>
            <w:tcW w:w="0" w:type="auto"/>
            <w:gridSpan w:val="3"/>
            <w:shd w:val="clear" w:color="auto" w:fill="auto"/>
            <w:vAlign w:val="bottom"/>
          </w:tcPr>
          <w:p w14:paraId="71D44210" w14:textId="77777777" w:rsidR="006A3667" w:rsidRDefault="006A3667">
            <w:pPr>
              <w:rPr>
                <w:rFonts w:ascii="宋体"/>
                <w:vanish/>
              </w:rPr>
            </w:pPr>
          </w:p>
        </w:tc>
        <w:tc>
          <w:tcPr>
            <w:tcW w:w="0" w:type="auto"/>
            <w:gridSpan w:val="3"/>
            <w:shd w:val="clear" w:color="auto" w:fill="auto"/>
            <w:vAlign w:val="bottom"/>
          </w:tcPr>
          <w:p w14:paraId="71D44211" w14:textId="77777777" w:rsidR="006A3667" w:rsidRDefault="006A3667">
            <w:pPr>
              <w:rPr>
                <w:rFonts w:ascii="宋体"/>
                <w:vanish/>
              </w:rPr>
            </w:pPr>
          </w:p>
        </w:tc>
        <w:tc>
          <w:tcPr>
            <w:tcW w:w="0" w:type="auto"/>
            <w:gridSpan w:val="2"/>
            <w:shd w:val="clear" w:color="auto" w:fill="auto"/>
            <w:vAlign w:val="bottom"/>
          </w:tcPr>
          <w:p w14:paraId="71D44212" w14:textId="77777777" w:rsidR="006A3667" w:rsidRDefault="006A3667">
            <w:pPr>
              <w:rPr>
                <w:rFonts w:ascii="宋体"/>
                <w:vanish/>
              </w:rPr>
            </w:pPr>
          </w:p>
        </w:tc>
        <w:tc>
          <w:tcPr>
            <w:tcW w:w="0" w:type="auto"/>
            <w:shd w:val="clear" w:color="auto" w:fill="auto"/>
            <w:vAlign w:val="bottom"/>
          </w:tcPr>
          <w:p w14:paraId="71D44213" w14:textId="77777777" w:rsidR="006A3667" w:rsidRDefault="006A3667">
            <w:pPr>
              <w:rPr>
                <w:rFonts w:ascii="宋体"/>
                <w:vanish/>
              </w:rPr>
            </w:pPr>
          </w:p>
        </w:tc>
      </w:tr>
      <w:tr w:rsidR="006A3667" w14:paraId="71D44234" w14:textId="77777777">
        <w:tc>
          <w:tcPr>
            <w:tcW w:w="0" w:type="auto"/>
            <w:gridSpan w:val="3"/>
            <w:shd w:val="clear" w:color="auto" w:fill="FFFFFF"/>
            <w:tcMar>
              <w:top w:w="40" w:type="dxa"/>
              <w:left w:w="20" w:type="dxa"/>
              <w:bottom w:w="40" w:type="dxa"/>
              <w:right w:w="20" w:type="dxa"/>
            </w:tcMar>
            <w:vAlign w:val="center"/>
          </w:tcPr>
          <w:p w14:paraId="71D44215" w14:textId="77777777" w:rsidR="006A3667" w:rsidRDefault="00045F32">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16"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21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19" w14:textId="77777777" w:rsidR="006A3667" w:rsidRDefault="00045F32">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21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1C"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21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1F" w14:textId="77777777" w:rsidR="006A3667" w:rsidRDefault="00045F32">
            <w:pPr>
              <w:jc w:val="right"/>
              <w:textAlignment w:val="center"/>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2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221" w14:textId="77777777" w:rsidR="006A3667" w:rsidRDefault="006A3667">
            <w:pPr>
              <w:rPr>
                <w:rFonts w:ascii="宋体"/>
              </w:rPr>
            </w:pPr>
          </w:p>
        </w:tc>
        <w:tc>
          <w:tcPr>
            <w:tcW w:w="0" w:type="auto"/>
            <w:shd w:val="clear" w:color="auto" w:fill="auto"/>
            <w:vAlign w:val="bottom"/>
          </w:tcPr>
          <w:p w14:paraId="71D44222" w14:textId="77777777" w:rsidR="006A3667" w:rsidRDefault="006A3667">
            <w:pPr>
              <w:rPr>
                <w:rFonts w:ascii="宋体"/>
                <w:vanish/>
              </w:rPr>
            </w:pPr>
          </w:p>
        </w:tc>
        <w:tc>
          <w:tcPr>
            <w:tcW w:w="0" w:type="auto"/>
            <w:shd w:val="clear" w:color="auto" w:fill="auto"/>
            <w:vAlign w:val="bottom"/>
          </w:tcPr>
          <w:p w14:paraId="71D44223"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24"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2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22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27"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2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22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2A"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2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22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2D"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2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22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230"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231"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423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1D44233" w14:textId="77777777" w:rsidR="006A3667" w:rsidRDefault="00045F32">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r>
      <w:tr w:rsidR="00045F32" w14:paraId="71D4425E" w14:textId="77777777">
        <w:tc>
          <w:tcPr>
            <w:tcW w:w="0" w:type="auto"/>
            <w:gridSpan w:val="3"/>
            <w:shd w:val="clear" w:color="auto" w:fill="CCEEFF"/>
            <w:tcMar>
              <w:top w:w="40" w:type="dxa"/>
              <w:left w:w="20" w:type="dxa"/>
              <w:bottom w:w="40" w:type="dxa"/>
              <w:right w:w="20" w:type="dxa"/>
            </w:tcMar>
            <w:vAlign w:val="center"/>
          </w:tcPr>
          <w:p w14:paraId="71D44235" w14:textId="77777777" w:rsidR="006A3667" w:rsidRDefault="00045F32">
            <w:pPr>
              <w:textAlignment w:val="center"/>
            </w:pPr>
            <w:r>
              <w:rPr>
                <w:rFonts w:ascii="Arial" w:eastAsia="宋体" w:hAnsi="Arial" w:cs="Arial"/>
                <w:color w:val="000000"/>
                <w:sz w:val="12"/>
                <w:szCs w:val="12"/>
              </w:rPr>
              <w:t>Total assets c</w:t>
            </w:r>
            <w:r>
              <w:rPr>
                <w:rFonts w:ascii="Arial" w:eastAsia="宋体" w:hAnsi="Arial" w:cs="Arial"/>
                <w:color w:val="000000"/>
                <w:sz w:val="12"/>
                <w:szCs w:val="12"/>
              </w:rPr>
              <w:t>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36"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37"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239"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3A"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3B" w14:textId="77777777" w:rsidR="006A3667" w:rsidRDefault="00045F32">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3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23D"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3E"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3F"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241"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42"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43" w14:textId="77777777" w:rsidR="006A3667" w:rsidRDefault="00045F32">
            <w:pPr>
              <w:jc w:val="right"/>
              <w:textAlignment w:val="center"/>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245" w14:textId="77777777" w:rsidR="006A3667" w:rsidRDefault="006A3667">
            <w:pPr>
              <w:rPr>
                <w:rFonts w:ascii="宋体"/>
              </w:rPr>
            </w:pPr>
          </w:p>
        </w:tc>
        <w:tc>
          <w:tcPr>
            <w:tcW w:w="0" w:type="auto"/>
            <w:shd w:val="clear" w:color="auto" w:fill="auto"/>
            <w:vAlign w:val="bottom"/>
          </w:tcPr>
          <w:p w14:paraId="71D44246" w14:textId="77777777" w:rsidR="006A3667" w:rsidRDefault="006A3667">
            <w:pPr>
              <w:rPr>
                <w:rFonts w:ascii="宋体"/>
                <w:vanish/>
              </w:rPr>
            </w:pPr>
          </w:p>
        </w:tc>
        <w:tc>
          <w:tcPr>
            <w:tcW w:w="0" w:type="auto"/>
            <w:shd w:val="clear" w:color="auto" w:fill="auto"/>
            <w:vAlign w:val="bottom"/>
          </w:tcPr>
          <w:p w14:paraId="71D44247" w14:textId="77777777" w:rsidR="006A3667" w:rsidRDefault="006A3667">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48"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49"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4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24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4C"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4D"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24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50"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51"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5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25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54"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55" w14:textId="77777777" w:rsidR="006A3667" w:rsidRDefault="00045F32">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25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58" w14:textId="77777777" w:rsidR="006A3667" w:rsidRDefault="00045F32">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259" w14:textId="77777777" w:rsidR="006A3667" w:rsidRDefault="00045F32">
            <w:pPr>
              <w:jc w:val="right"/>
              <w:textAlignment w:val="center"/>
            </w:pPr>
            <w:r>
              <w:rPr>
                <w:rFonts w:ascii="Arial" w:eastAsia="宋体" w:hAnsi="Arial" w:cs="Arial"/>
                <w:b/>
                <w:bCs/>
                <w:color w:val="000000"/>
                <w:sz w:val="12"/>
                <w:szCs w:val="12"/>
              </w:rPr>
              <w:t>15</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25A"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425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25C" w14:textId="77777777" w:rsidR="006A3667" w:rsidRDefault="00045F32">
            <w:pPr>
              <w:textAlignment w:val="center"/>
            </w:pPr>
            <w:r>
              <w:rPr>
                <w:rFonts w:ascii="Arial" w:eastAsia="宋体" w:hAnsi="Arial" w:cs="Arial"/>
                <w:b/>
                <w:bCs/>
                <w:color w:val="000000"/>
                <w:sz w:val="12"/>
                <w:szCs w:val="12"/>
              </w:rPr>
              <w:t>$</w:t>
            </w:r>
          </w:p>
          <w:p w14:paraId="71D4425D" w14:textId="77777777" w:rsidR="006A3667" w:rsidRDefault="00045F32">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r>
    </w:tbl>
    <w:p w14:paraId="71D4425F"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6A3667" w14:paraId="71D4426C" w14:textId="77777777">
        <w:tc>
          <w:tcPr>
            <w:tcW w:w="50" w:type="pct"/>
            <w:shd w:val="clear" w:color="auto" w:fill="auto"/>
            <w:vAlign w:val="bottom"/>
          </w:tcPr>
          <w:p w14:paraId="71D44260" w14:textId="77777777" w:rsidR="006A3667" w:rsidRDefault="006A3667">
            <w:pPr>
              <w:rPr>
                <w:rFonts w:ascii="宋体"/>
              </w:rPr>
            </w:pPr>
          </w:p>
        </w:tc>
        <w:tc>
          <w:tcPr>
            <w:tcW w:w="1348" w:type="pct"/>
            <w:shd w:val="clear" w:color="auto" w:fill="auto"/>
            <w:vAlign w:val="bottom"/>
          </w:tcPr>
          <w:p w14:paraId="71D44261" w14:textId="77777777" w:rsidR="006A3667" w:rsidRDefault="006A3667">
            <w:pPr>
              <w:rPr>
                <w:rFonts w:ascii="宋体"/>
              </w:rPr>
            </w:pPr>
          </w:p>
        </w:tc>
        <w:tc>
          <w:tcPr>
            <w:tcW w:w="5" w:type="pct"/>
            <w:shd w:val="clear" w:color="auto" w:fill="auto"/>
            <w:vAlign w:val="bottom"/>
          </w:tcPr>
          <w:p w14:paraId="71D44262" w14:textId="77777777" w:rsidR="006A3667" w:rsidRDefault="006A3667">
            <w:pPr>
              <w:rPr>
                <w:rFonts w:ascii="宋体"/>
              </w:rPr>
            </w:pPr>
          </w:p>
        </w:tc>
        <w:tc>
          <w:tcPr>
            <w:tcW w:w="50" w:type="pct"/>
            <w:shd w:val="clear" w:color="auto" w:fill="auto"/>
            <w:vAlign w:val="bottom"/>
          </w:tcPr>
          <w:p w14:paraId="71D44263" w14:textId="77777777" w:rsidR="006A3667" w:rsidRDefault="006A3667">
            <w:pPr>
              <w:rPr>
                <w:rFonts w:ascii="宋体"/>
              </w:rPr>
            </w:pPr>
          </w:p>
        </w:tc>
        <w:tc>
          <w:tcPr>
            <w:tcW w:w="668" w:type="pct"/>
            <w:shd w:val="clear" w:color="auto" w:fill="auto"/>
            <w:vAlign w:val="bottom"/>
          </w:tcPr>
          <w:p w14:paraId="71D44264" w14:textId="77777777" w:rsidR="006A3667" w:rsidRDefault="006A3667">
            <w:pPr>
              <w:rPr>
                <w:rFonts w:ascii="宋体"/>
              </w:rPr>
            </w:pPr>
          </w:p>
        </w:tc>
        <w:tc>
          <w:tcPr>
            <w:tcW w:w="5" w:type="pct"/>
            <w:shd w:val="clear" w:color="auto" w:fill="auto"/>
            <w:vAlign w:val="bottom"/>
          </w:tcPr>
          <w:p w14:paraId="71D44265" w14:textId="77777777" w:rsidR="006A3667" w:rsidRDefault="006A3667">
            <w:pPr>
              <w:rPr>
                <w:rFonts w:ascii="宋体"/>
              </w:rPr>
            </w:pPr>
          </w:p>
        </w:tc>
        <w:tc>
          <w:tcPr>
            <w:tcW w:w="50" w:type="pct"/>
            <w:shd w:val="clear" w:color="auto" w:fill="auto"/>
            <w:vAlign w:val="bottom"/>
          </w:tcPr>
          <w:p w14:paraId="71D44266" w14:textId="77777777" w:rsidR="006A3667" w:rsidRDefault="006A3667">
            <w:pPr>
              <w:rPr>
                <w:rFonts w:ascii="宋体"/>
              </w:rPr>
            </w:pPr>
          </w:p>
        </w:tc>
        <w:tc>
          <w:tcPr>
            <w:tcW w:w="909" w:type="pct"/>
            <w:shd w:val="clear" w:color="auto" w:fill="auto"/>
            <w:vAlign w:val="bottom"/>
          </w:tcPr>
          <w:p w14:paraId="71D44267" w14:textId="77777777" w:rsidR="006A3667" w:rsidRDefault="006A3667">
            <w:pPr>
              <w:rPr>
                <w:rFonts w:ascii="宋体"/>
              </w:rPr>
            </w:pPr>
          </w:p>
        </w:tc>
        <w:tc>
          <w:tcPr>
            <w:tcW w:w="5" w:type="pct"/>
            <w:shd w:val="clear" w:color="auto" w:fill="auto"/>
            <w:vAlign w:val="bottom"/>
          </w:tcPr>
          <w:p w14:paraId="71D44268" w14:textId="77777777" w:rsidR="006A3667" w:rsidRDefault="006A3667">
            <w:pPr>
              <w:rPr>
                <w:rFonts w:ascii="宋体"/>
              </w:rPr>
            </w:pPr>
          </w:p>
        </w:tc>
        <w:tc>
          <w:tcPr>
            <w:tcW w:w="50" w:type="pct"/>
            <w:shd w:val="clear" w:color="auto" w:fill="auto"/>
            <w:vAlign w:val="bottom"/>
          </w:tcPr>
          <w:p w14:paraId="71D44269" w14:textId="77777777" w:rsidR="006A3667" w:rsidRDefault="006A3667">
            <w:pPr>
              <w:rPr>
                <w:rFonts w:ascii="宋体"/>
              </w:rPr>
            </w:pPr>
          </w:p>
        </w:tc>
        <w:tc>
          <w:tcPr>
            <w:tcW w:w="1852" w:type="pct"/>
            <w:shd w:val="clear" w:color="auto" w:fill="auto"/>
            <w:vAlign w:val="bottom"/>
          </w:tcPr>
          <w:p w14:paraId="71D4426A" w14:textId="77777777" w:rsidR="006A3667" w:rsidRDefault="006A3667">
            <w:pPr>
              <w:rPr>
                <w:rFonts w:ascii="宋体"/>
              </w:rPr>
            </w:pPr>
          </w:p>
        </w:tc>
        <w:tc>
          <w:tcPr>
            <w:tcW w:w="5" w:type="pct"/>
            <w:shd w:val="clear" w:color="auto" w:fill="auto"/>
            <w:vAlign w:val="bottom"/>
          </w:tcPr>
          <w:p w14:paraId="71D4426B" w14:textId="77777777" w:rsidR="006A3667" w:rsidRDefault="006A3667">
            <w:pPr>
              <w:rPr>
                <w:rFonts w:ascii="宋体"/>
              </w:rPr>
            </w:pPr>
          </w:p>
        </w:tc>
      </w:tr>
      <w:tr w:rsidR="006A3667" w14:paraId="71D4427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42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6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70" w14:textId="77777777" w:rsidR="006A3667" w:rsidRDefault="006A3667">
            <w:pPr>
              <w:rPr>
                <w:rFonts w:ascii="宋体"/>
              </w:rPr>
            </w:pPr>
          </w:p>
        </w:tc>
      </w:tr>
    </w:tbl>
    <w:p w14:paraId="71D44272" w14:textId="77777777" w:rsidR="006A3667" w:rsidRDefault="00045F32">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derivative instruments are included within foreign exchange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44"/>
        <w:gridCol w:w="650"/>
        <w:gridCol w:w="37"/>
        <w:gridCol w:w="88"/>
        <w:gridCol w:w="312"/>
        <w:gridCol w:w="36"/>
        <w:gridCol w:w="36"/>
        <w:gridCol w:w="36"/>
        <w:gridCol w:w="36"/>
        <w:gridCol w:w="90"/>
        <w:gridCol w:w="570"/>
        <w:gridCol w:w="37"/>
        <w:gridCol w:w="37"/>
        <w:gridCol w:w="37"/>
        <w:gridCol w:w="37"/>
        <w:gridCol w:w="94"/>
        <w:gridCol w:w="838"/>
        <w:gridCol w:w="37"/>
        <w:gridCol w:w="36"/>
        <w:gridCol w:w="36"/>
        <w:gridCol w:w="36"/>
        <w:gridCol w:w="91"/>
        <w:gridCol w:w="548"/>
        <w:gridCol w:w="36"/>
        <w:gridCol w:w="36"/>
        <w:gridCol w:w="36"/>
        <w:gridCol w:w="36"/>
        <w:gridCol w:w="36"/>
        <w:gridCol w:w="36"/>
        <w:gridCol w:w="88"/>
        <w:gridCol w:w="278"/>
        <w:gridCol w:w="36"/>
        <w:gridCol w:w="36"/>
        <w:gridCol w:w="36"/>
        <w:gridCol w:w="36"/>
        <w:gridCol w:w="90"/>
        <w:gridCol w:w="623"/>
        <w:gridCol w:w="36"/>
        <w:gridCol w:w="36"/>
        <w:gridCol w:w="36"/>
        <w:gridCol w:w="36"/>
        <w:gridCol w:w="90"/>
        <w:gridCol w:w="489"/>
        <w:gridCol w:w="36"/>
        <w:gridCol w:w="36"/>
        <w:gridCol w:w="36"/>
        <w:gridCol w:w="36"/>
        <w:gridCol w:w="90"/>
        <w:gridCol w:w="489"/>
        <w:gridCol w:w="36"/>
        <w:gridCol w:w="36"/>
        <w:gridCol w:w="36"/>
        <w:gridCol w:w="36"/>
        <w:gridCol w:w="88"/>
        <w:gridCol w:w="585"/>
        <w:gridCol w:w="36"/>
        <w:gridCol w:w="36"/>
        <w:gridCol w:w="36"/>
        <w:gridCol w:w="727"/>
      </w:tblGrid>
      <w:tr w:rsidR="006A3667" w14:paraId="71D442AE" w14:textId="77777777">
        <w:tc>
          <w:tcPr>
            <w:tcW w:w="50" w:type="pct"/>
            <w:shd w:val="clear" w:color="auto" w:fill="auto"/>
            <w:vAlign w:val="bottom"/>
          </w:tcPr>
          <w:p w14:paraId="71D44273" w14:textId="77777777" w:rsidR="006A3667" w:rsidRDefault="006A3667">
            <w:pPr>
              <w:rPr>
                <w:rFonts w:ascii="宋体"/>
              </w:rPr>
            </w:pPr>
          </w:p>
        </w:tc>
        <w:tc>
          <w:tcPr>
            <w:tcW w:w="734" w:type="pct"/>
            <w:shd w:val="clear" w:color="auto" w:fill="auto"/>
            <w:vAlign w:val="bottom"/>
          </w:tcPr>
          <w:p w14:paraId="71D44274" w14:textId="77777777" w:rsidR="006A3667" w:rsidRDefault="006A3667">
            <w:pPr>
              <w:rPr>
                <w:rFonts w:ascii="宋体"/>
              </w:rPr>
            </w:pPr>
          </w:p>
        </w:tc>
        <w:tc>
          <w:tcPr>
            <w:tcW w:w="5" w:type="pct"/>
            <w:shd w:val="clear" w:color="auto" w:fill="auto"/>
            <w:vAlign w:val="bottom"/>
          </w:tcPr>
          <w:p w14:paraId="71D44275" w14:textId="77777777" w:rsidR="006A3667" w:rsidRDefault="006A3667">
            <w:pPr>
              <w:rPr>
                <w:rFonts w:ascii="宋体"/>
              </w:rPr>
            </w:pPr>
          </w:p>
        </w:tc>
        <w:tc>
          <w:tcPr>
            <w:tcW w:w="50" w:type="pct"/>
            <w:shd w:val="clear" w:color="auto" w:fill="auto"/>
            <w:vAlign w:val="bottom"/>
          </w:tcPr>
          <w:p w14:paraId="71D44276" w14:textId="77777777" w:rsidR="006A3667" w:rsidRDefault="006A3667">
            <w:pPr>
              <w:rPr>
                <w:rFonts w:ascii="宋体"/>
              </w:rPr>
            </w:pPr>
          </w:p>
        </w:tc>
        <w:tc>
          <w:tcPr>
            <w:tcW w:w="354" w:type="pct"/>
            <w:shd w:val="clear" w:color="auto" w:fill="auto"/>
            <w:vAlign w:val="bottom"/>
          </w:tcPr>
          <w:p w14:paraId="71D44277" w14:textId="77777777" w:rsidR="006A3667" w:rsidRDefault="006A3667">
            <w:pPr>
              <w:rPr>
                <w:rFonts w:ascii="宋体"/>
              </w:rPr>
            </w:pPr>
          </w:p>
        </w:tc>
        <w:tc>
          <w:tcPr>
            <w:tcW w:w="5" w:type="pct"/>
            <w:shd w:val="clear" w:color="auto" w:fill="auto"/>
            <w:vAlign w:val="bottom"/>
          </w:tcPr>
          <w:p w14:paraId="71D44278" w14:textId="77777777" w:rsidR="006A3667" w:rsidRDefault="006A3667">
            <w:pPr>
              <w:rPr>
                <w:rFonts w:ascii="宋体"/>
              </w:rPr>
            </w:pPr>
          </w:p>
        </w:tc>
        <w:tc>
          <w:tcPr>
            <w:tcW w:w="5" w:type="pct"/>
            <w:shd w:val="clear" w:color="auto" w:fill="auto"/>
            <w:vAlign w:val="bottom"/>
          </w:tcPr>
          <w:p w14:paraId="71D44279" w14:textId="77777777" w:rsidR="006A3667" w:rsidRDefault="006A3667">
            <w:pPr>
              <w:rPr>
                <w:rFonts w:ascii="宋体"/>
              </w:rPr>
            </w:pPr>
          </w:p>
        </w:tc>
        <w:tc>
          <w:tcPr>
            <w:tcW w:w="19" w:type="pct"/>
            <w:shd w:val="clear" w:color="auto" w:fill="auto"/>
            <w:vAlign w:val="bottom"/>
          </w:tcPr>
          <w:p w14:paraId="71D4427A" w14:textId="77777777" w:rsidR="006A3667" w:rsidRDefault="006A3667">
            <w:pPr>
              <w:rPr>
                <w:rFonts w:ascii="宋体"/>
              </w:rPr>
            </w:pPr>
          </w:p>
        </w:tc>
        <w:tc>
          <w:tcPr>
            <w:tcW w:w="5" w:type="pct"/>
            <w:shd w:val="clear" w:color="auto" w:fill="auto"/>
            <w:vAlign w:val="bottom"/>
          </w:tcPr>
          <w:p w14:paraId="71D4427B" w14:textId="77777777" w:rsidR="006A3667" w:rsidRDefault="006A3667">
            <w:pPr>
              <w:rPr>
                <w:rFonts w:ascii="宋体"/>
              </w:rPr>
            </w:pPr>
          </w:p>
        </w:tc>
        <w:tc>
          <w:tcPr>
            <w:tcW w:w="50" w:type="pct"/>
            <w:shd w:val="clear" w:color="auto" w:fill="auto"/>
            <w:vAlign w:val="bottom"/>
          </w:tcPr>
          <w:p w14:paraId="71D4427C" w14:textId="77777777" w:rsidR="006A3667" w:rsidRDefault="006A3667">
            <w:pPr>
              <w:rPr>
                <w:rFonts w:ascii="宋体"/>
              </w:rPr>
            </w:pPr>
          </w:p>
        </w:tc>
        <w:tc>
          <w:tcPr>
            <w:tcW w:w="317" w:type="pct"/>
            <w:shd w:val="clear" w:color="auto" w:fill="auto"/>
            <w:vAlign w:val="bottom"/>
          </w:tcPr>
          <w:p w14:paraId="71D4427D" w14:textId="77777777" w:rsidR="006A3667" w:rsidRDefault="006A3667">
            <w:pPr>
              <w:rPr>
                <w:rFonts w:ascii="宋体"/>
              </w:rPr>
            </w:pPr>
          </w:p>
        </w:tc>
        <w:tc>
          <w:tcPr>
            <w:tcW w:w="5" w:type="pct"/>
            <w:shd w:val="clear" w:color="auto" w:fill="auto"/>
            <w:vAlign w:val="bottom"/>
          </w:tcPr>
          <w:p w14:paraId="71D4427E" w14:textId="77777777" w:rsidR="006A3667" w:rsidRDefault="006A3667">
            <w:pPr>
              <w:rPr>
                <w:rFonts w:ascii="宋体"/>
              </w:rPr>
            </w:pPr>
          </w:p>
        </w:tc>
        <w:tc>
          <w:tcPr>
            <w:tcW w:w="5" w:type="pct"/>
            <w:shd w:val="clear" w:color="auto" w:fill="auto"/>
            <w:vAlign w:val="bottom"/>
          </w:tcPr>
          <w:p w14:paraId="71D4427F" w14:textId="77777777" w:rsidR="006A3667" w:rsidRDefault="006A3667">
            <w:pPr>
              <w:rPr>
                <w:rFonts w:ascii="宋体"/>
              </w:rPr>
            </w:pPr>
          </w:p>
        </w:tc>
        <w:tc>
          <w:tcPr>
            <w:tcW w:w="19" w:type="pct"/>
            <w:shd w:val="clear" w:color="auto" w:fill="auto"/>
            <w:vAlign w:val="bottom"/>
          </w:tcPr>
          <w:p w14:paraId="71D44280" w14:textId="77777777" w:rsidR="006A3667" w:rsidRDefault="006A3667">
            <w:pPr>
              <w:rPr>
                <w:rFonts w:ascii="宋体"/>
              </w:rPr>
            </w:pPr>
          </w:p>
        </w:tc>
        <w:tc>
          <w:tcPr>
            <w:tcW w:w="5" w:type="pct"/>
            <w:shd w:val="clear" w:color="auto" w:fill="auto"/>
            <w:vAlign w:val="bottom"/>
          </w:tcPr>
          <w:p w14:paraId="71D44281" w14:textId="77777777" w:rsidR="006A3667" w:rsidRDefault="006A3667">
            <w:pPr>
              <w:rPr>
                <w:rFonts w:ascii="宋体"/>
              </w:rPr>
            </w:pPr>
          </w:p>
        </w:tc>
        <w:tc>
          <w:tcPr>
            <w:tcW w:w="50" w:type="pct"/>
            <w:shd w:val="clear" w:color="auto" w:fill="auto"/>
            <w:vAlign w:val="bottom"/>
          </w:tcPr>
          <w:p w14:paraId="71D44282" w14:textId="77777777" w:rsidR="006A3667" w:rsidRDefault="006A3667">
            <w:pPr>
              <w:rPr>
                <w:rFonts w:ascii="宋体"/>
              </w:rPr>
            </w:pPr>
          </w:p>
        </w:tc>
        <w:tc>
          <w:tcPr>
            <w:tcW w:w="449" w:type="pct"/>
            <w:shd w:val="clear" w:color="auto" w:fill="auto"/>
            <w:vAlign w:val="bottom"/>
          </w:tcPr>
          <w:p w14:paraId="71D44283" w14:textId="77777777" w:rsidR="006A3667" w:rsidRDefault="006A3667">
            <w:pPr>
              <w:rPr>
                <w:rFonts w:ascii="宋体"/>
              </w:rPr>
            </w:pPr>
          </w:p>
        </w:tc>
        <w:tc>
          <w:tcPr>
            <w:tcW w:w="5" w:type="pct"/>
            <w:shd w:val="clear" w:color="auto" w:fill="auto"/>
            <w:vAlign w:val="bottom"/>
          </w:tcPr>
          <w:p w14:paraId="71D44284" w14:textId="77777777" w:rsidR="006A3667" w:rsidRDefault="006A3667">
            <w:pPr>
              <w:rPr>
                <w:rFonts w:ascii="宋体"/>
              </w:rPr>
            </w:pPr>
          </w:p>
        </w:tc>
        <w:tc>
          <w:tcPr>
            <w:tcW w:w="5" w:type="pct"/>
            <w:shd w:val="clear" w:color="auto" w:fill="auto"/>
            <w:vAlign w:val="bottom"/>
          </w:tcPr>
          <w:p w14:paraId="71D44285" w14:textId="77777777" w:rsidR="006A3667" w:rsidRDefault="006A3667">
            <w:pPr>
              <w:rPr>
                <w:rFonts w:ascii="宋体"/>
              </w:rPr>
            </w:pPr>
          </w:p>
        </w:tc>
        <w:tc>
          <w:tcPr>
            <w:tcW w:w="19" w:type="pct"/>
            <w:shd w:val="clear" w:color="auto" w:fill="auto"/>
            <w:vAlign w:val="bottom"/>
          </w:tcPr>
          <w:p w14:paraId="71D44286" w14:textId="77777777" w:rsidR="006A3667" w:rsidRDefault="006A3667">
            <w:pPr>
              <w:rPr>
                <w:rFonts w:ascii="宋体"/>
              </w:rPr>
            </w:pPr>
          </w:p>
        </w:tc>
        <w:tc>
          <w:tcPr>
            <w:tcW w:w="5" w:type="pct"/>
            <w:shd w:val="clear" w:color="auto" w:fill="auto"/>
            <w:vAlign w:val="bottom"/>
          </w:tcPr>
          <w:p w14:paraId="71D44287" w14:textId="77777777" w:rsidR="006A3667" w:rsidRDefault="006A3667">
            <w:pPr>
              <w:rPr>
                <w:rFonts w:ascii="宋体"/>
              </w:rPr>
            </w:pPr>
          </w:p>
        </w:tc>
        <w:tc>
          <w:tcPr>
            <w:tcW w:w="50" w:type="pct"/>
            <w:shd w:val="clear" w:color="auto" w:fill="auto"/>
            <w:vAlign w:val="bottom"/>
          </w:tcPr>
          <w:p w14:paraId="71D44288" w14:textId="77777777" w:rsidR="006A3667" w:rsidRDefault="006A3667">
            <w:pPr>
              <w:rPr>
                <w:rFonts w:ascii="宋体"/>
              </w:rPr>
            </w:pPr>
          </w:p>
        </w:tc>
        <w:tc>
          <w:tcPr>
            <w:tcW w:w="303" w:type="pct"/>
            <w:shd w:val="clear" w:color="auto" w:fill="auto"/>
            <w:vAlign w:val="bottom"/>
          </w:tcPr>
          <w:p w14:paraId="71D44289" w14:textId="77777777" w:rsidR="006A3667" w:rsidRDefault="006A3667">
            <w:pPr>
              <w:rPr>
                <w:rFonts w:ascii="宋体"/>
              </w:rPr>
            </w:pPr>
          </w:p>
        </w:tc>
        <w:tc>
          <w:tcPr>
            <w:tcW w:w="5" w:type="pct"/>
            <w:shd w:val="clear" w:color="auto" w:fill="auto"/>
            <w:vAlign w:val="bottom"/>
          </w:tcPr>
          <w:p w14:paraId="71D4428A" w14:textId="77777777" w:rsidR="006A3667" w:rsidRDefault="006A3667">
            <w:pPr>
              <w:rPr>
                <w:rFonts w:ascii="宋体"/>
              </w:rPr>
            </w:pPr>
          </w:p>
        </w:tc>
        <w:tc>
          <w:tcPr>
            <w:tcW w:w="0" w:type="auto"/>
            <w:shd w:val="clear" w:color="auto" w:fill="auto"/>
            <w:vAlign w:val="bottom"/>
          </w:tcPr>
          <w:p w14:paraId="71D4428B" w14:textId="77777777" w:rsidR="006A3667" w:rsidRDefault="006A3667">
            <w:pPr>
              <w:rPr>
                <w:rFonts w:ascii="宋体"/>
                <w:vanish/>
              </w:rPr>
            </w:pPr>
          </w:p>
        </w:tc>
        <w:tc>
          <w:tcPr>
            <w:tcW w:w="0" w:type="auto"/>
            <w:shd w:val="clear" w:color="auto" w:fill="auto"/>
            <w:vAlign w:val="bottom"/>
          </w:tcPr>
          <w:p w14:paraId="71D4428C" w14:textId="77777777" w:rsidR="006A3667" w:rsidRDefault="006A3667">
            <w:pPr>
              <w:rPr>
                <w:rFonts w:ascii="宋体"/>
                <w:vanish/>
              </w:rPr>
            </w:pPr>
          </w:p>
        </w:tc>
        <w:tc>
          <w:tcPr>
            <w:tcW w:w="5" w:type="pct"/>
            <w:shd w:val="clear" w:color="auto" w:fill="auto"/>
            <w:vAlign w:val="bottom"/>
          </w:tcPr>
          <w:p w14:paraId="71D4428D" w14:textId="77777777" w:rsidR="006A3667" w:rsidRDefault="006A3667">
            <w:pPr>
              <w:rPr>
                <w:rFonts w:ascii="宋体"/>
              </w:rPr>
            </w:pPr>
          </w:p>
        </w:tc>
        <w:tc>
          <w:tcPr>
            <w:tcW w:w="19" w:type="pct"/>
            <w:shd w:val="clear" w:color="auto" w:fill="auto"/>
            <w:vAlign w:val="bottom"/>
          </w:tcPr>
          <w:p w14:paraId="71D4428E" w14:textId="77777777" w:rsidR="006A3667" w:rsidRDefault="006A3667">
            <w:pPr>
              <w:rPr>
                <w:rFonts w:ascii="宋体"/>
              </w:rPr>
            </w:pPr>
          </w:p>
        </w:tc>
        <w:tc>
          <w:tcPr>
            <w:tcW w:w="5" w:type="pct"/>
            <w:shd w:val="clear" w:color="auto" w:fill="auto"/>
            <w:vAlign w:val="bottom"/>
          </w:tcPr>
          <w:p w14:paraId="71D4428F" w14:textId="77777777" w:rsidR="006A3667" w:rsidRDefault="006A3667">
            <w:pPr>
              <w:rPr>
                <w:rFonts w:ascii="宋体"/>
              </w:rPr>
            </w:pPr>
          </w:p>
        </w:tc>
        <w:tc>
          <w:tcPr>
            <w:tcW w:w="50" w:type="pct"/>
            <w:shd w:val="clear" w:color="auto" w:fill="auto"/>
            <w:vAlign w:val="bottom"/>
          </w:tcPr>
          <w:p w14:paraId="71D44290" w14:textId="77777777" w:rsidR="006A3667" w:rsidRDefault="006A3667">
            <w:pPr>
              <w:rPr>
                <w:rFonts w:ascii="宋体"/>
              </w:rPr>
            </w:pPr>
          </w:p>
        </w:tc>
        <w:tc>
          <w:tcPr>
            <w:tcW w:w="200" w:type="pct"/>
            <w:shd w:val="clear" w:color="auto" w:fill="auto"/>
            <w:vAlign w:val="bottom"/>
          </w:tcPr>
          <w:p w14:paraId="71D44291" w14:textId="77777777" w:rsidR="006A3667" w:rsidRDefault="006A3667">
            <w:pPr>
              <w:rPr>
                <w:rFonts w:ascii="宋体"/>
              </w:rPr>
            </w:pPr>
          </w:p>
        </w:tc>
        <w:tc>
          <w:tcPr>
            <w:tcW w:w="5" w:type="pct"/>
            <w:shd w:val="clear" w:color="auto" w:fill="auto"/>
            <w:vAlign w:val="bottom"/>
          </w:tcPr>
          <w:p w14:paraId="71D44292" w14:textId="77777777" w:rsidR="006A3667" w:rsidRDefault="006A3667">
            <w:pPr>
              <w:rPr>
                <w:rFonts w:ascii="宋体"/>
              </w:rPr>
            </w:pPr>
          </w:p>
        </w:tc>
        <w:tc>
          <w:tcPr>
            <w:tcW w:w="5" w:type="pct"/>
            <w:shd w:val="clear" w:color="auto" w:fill="auto"/>
            <w:vAlign w:val="bottom"/>
          </w:tcPr>
          <w:p w14:paraId="71D44293" w14:textId="77777777" w:rsidR="006A3667" w:rsidRDefault="006A3667">
            <w:pPr>
              <w:rPr>
                <w:rFonts w:ascii="宋体"/>
              </w:rPr>
            </w:pPr>
          </w:p>
        </w:tc>
        <w:tc>
          <w:tcPr>
            <w:tcW w:w="19" w:type="pct"/>
            <w:shd w:val="clear" w:color="auto" w:fill="auto"/>
            <w:vAlign w:val="bottom"/>
          </w:tcPr>
          <w:p w14:paraId="71D44294" w14:textId="77777777" w:rsidR="006A3667" w:rsidRDefault="006A3667">
            <w:pPr>
              <w:rPr>
                <w:rFonts w:ascii="宋体"/>
              </w:rPr>
            </w:pPr>
          </w:p>
        </w:tc>
        <w:tc>
          <w:tcPr>
            <w:tcW w:w="5" w:type="pct"/>
            <w:shd w:val="clear" w:color="auto" w:fill="auto"/>
            <w:vAlign w:val="bottom"/>
          </w:tcPr>
          <w:p w14:paraId="71D44295" w14:textId="77777777" w:rsidR="006A3667" w:rsidRDefault="006A3667">
            <w:pPr>
              <w:rPr>
                <w:rFonts w:ascii="宋体"/>
              </w:rPr>
            </w:pPr>
          </w:p>
        </w:tc>
        <w:tc>
          <w:tcPr>
            <w:tcW w:w="50" w:type="pct"/>
            <w:shd w:val="clear" w:color="auto" w:fill="auto"/>
            <w:vAlign w:val="bottom"/>
          </w:tcPr>
          <w:p w14:paraId="71D44296" w14:textId="77777777" w:rsidR="006A3667" w:rsidRDefault="006A3667">
            <w:pPr>
              <w:rPr>
                <w:rFonts w:ascii="宋体"/>
              </w:rPr>
            </w:pPr>
          </w:p>
        </w:tc>
        <w:tc>
          <w:tcPr>
            <w:tcW w:w="347" w:type="pct"/>
            <w:shd w:val="clear" w:color="auto" w:fill="auto"/>
            <w:vAlign w:val="bottom"/>
          </w:tcPr>
          <w:p w14:paraId="71D44297" w14:textId="77777777" w:rsidR="006A3667" w:rsidRDefault="006A3667">
            <w:pPr>
              <w:rPr>
                <w:rFonts w:ascii="宋体"/>
              </w:rPr>
            </w:pPr>
          </w:p>
        </w:tc>
        <w:tc>
          <w:tcPr>
            <w:tcW w:w="5" w:type="pct"/>
            <w:shd w:val="clear" w:color="auto" w:fill="auto"/>
            <w:vAlign w:val="bottom"/>
          </w:tcPr>
          <w:p w14:paraId="71D44298" w14:textId="77777777" w:rsidR="006A3667" w:rsidRDefault="006A3667">
            <w:pPr>
              <w:rPr>
                <w:rFonts w:ascii="宋体"/>
              </w:rPr>
            </w:pPr>
          </w:p>
        </w:tc>
        <w:tc>
          <w:tcPr>
            <w:tcW w:w="5" w:type="pct"/>
            <w:shd w:val="clear" w:color="auto" w:fill="auto"/>
            <w:vAlign w:val="bottom"/>
          </w:tcPr>
          <w:p w14:paraId="71D44299" w14:textId="77777777" w:rsidR="006A3667" w:rsidRDefault="006A3667">
            <w:pPr>
              <w:rPr>
                <w:rFonts w:ascii="宋体"/>
              </w:rPr>
            </w:pPr>
          </w:p>
        </w:tc>
        <w:tc>
          <w:tcPr>
            <w:tcW w:w="19" w:type="pct"/>
            <w:shd w:val="clear" w:color="auto" w:fill="auto"/>
            <w:vAlign w:val="bottom"/>
          </w:tcPr>
          <w:p w14:paraId="71D4429A" w14:textId="77777777" w:rsidR="006A3667" w:rsidRDefault="006A3667">
            <w:pPr>
              <w:rPr>
                <w:rFonts w:ascii="宋体"/>
              </w:rPr>
            </w:pPr>
          </w:p>
        </w:tc>
        <w:tc>
          <w:tcPr>
            <w:tcW w:w="5" w:type="pct"/>
            <w:shd w:val="clear" w:color="auto" w:fill="auto"/>
            <w:vAlign w:val="bottom"/>
          </w:tcPr>
          <w:p w14:paraId="71D4429B" w14:textId="77777777" w:rsidR="006A3667" w:rsidRDefault="006A3667">
            <w:pPr>
              <w:rPr>
                <w:rFonts w:ascii="宋体"/>
              </w:rPr>
            </w:pPr>
          </w:p>
        </w:tc>
        <w:tc>
          <w:tcPr>
            <w:tcW w:w="50" w:type="pct"/>
            <w:shd w:val="clear" w:color="auto" w:fill="auto"/>
            <w:vAlign w:val="bottom"/>
          </w:tcPr>
          <w:p w14:paraId="71D4429C" w14:textId="77777777" w:rsidR="006A3667" w:rsidRDefault="006A3667">
            <w:pPr>
              <w:rPr>
                <w:rFonts w:ascii="宋体"/>
              </w:rPr>
            </w:pPr>
          </w:p>
        </w:tc>
        <w:tc>
          <w:tcPr>
            <w:tcW w:w="273" w:type="pct"/>
            <w:shd w:val="clear" w:color="auto" w:fill="auto"/>
            <w:vAlign w:val="bottom"/>
          </w:tcPr>
          <w:p w14:paraId="71D4429D" w14:textId="77777777" w:rsidR="006A3667" w:rsidRDefault="006A3667">
            <w:pPr>
              <w:rPr>
                <w:rFonts w:ascii="宋体"/>
              </w:rPr>
            </w:pPr>
          </w:p>
        </w:tc>
        <w:tc>
          <w:tcPr>
            <w:tcW w:w="5" w:type="pct"/>
            <w:shd w:val="clear" w:color="auto" w:fill="auto"/>
            <w:vAlign w:val="bottom"/>
          </w:tcPr>
          <w:p w14:paraId="71D4429E" w14:textId="77777777" w:rsidR="006A3667" w:rsidRDefault="006A3667">
            <w:pPr>
              <w:rPr>
                <w:rFonts w:ascii="宋体"/>
              </w:rPr>
            </w:pPr>
          </w:p>
        </w:tc>
        <w:tc>
          <w:tcPr>
            <w:tcW w:w="5" w:type="pct"/>
            <w:shd w:val="clear" w:color="auto" w:fill="auto"/>
            <w:vAlign w:val="bottom"/>
          </w:tcPr>
          <w:p w14:paraId="71D4429F" w14:textId="77777777" w:rsidR="006A3667" w:rsidRDefault="006A3667">
            <w:pPr>
              <w:rPr>
                <w:rFonts w:ascii="宋体"/>
              </w:rPr>
            </w:pPr>
          </w:p>
        </w:tc>
        <w:tc>
          <w:tcPr>
            <w:tcW w:w="19" w:type="pct"/>
            <w:shd w:val="clear" w:color="auto" w:fill="auto"/>
            <w:vAlign w:val="bottom"/>
          </w:tcPr>
          <w:p w14:paraId="71D442A0" w14:textId="77777777" w:rsidR="006A3667" w:rsidRDefault="006A3667">
            <w:pPr>
              <w:rPr>
                <w:rFonts w:ascii="宋体"/>
              </w:rPr>
            </w:pPr>
          </w:p>
        </w:tc>
        <w:tc>
          <w:tcPr>
            <w:tcW w:w="5" w:type="pct"/>
            <w:shd w:val="clear" w:color="auto" w:fill="auto"/>
            <w:vAlign w:val="bottom"/>
          </w:tcPr>
          <w:p w14:paraId="71D442A1" w14:textId="77777777" w:rsidR="006A3667" w:rsidRDefault="006A3667">
            <w:pPr>
              <w:rPr>
                <w:rFonts w:ascii="宋体"/>
              </w:rPr>
            </w:pPr>
          </w:p>
        </w:tc>
        <w:tc>
          <w:tcPr>
            <w:tcW w:w="50" w:type="pct"/>
            <w:shd w:val="clear" w:color="auto" w:fill="auto"/>
            <w:vAlign w:val="bottom"/>
          </w:tcPr>
          <w:p w14:paraId="71D442A2" w14:textId="77777777" w:rsidR="006A3667" w:rsidRDefault="006A3667">
            <w:pPr>
              <w:rPr>
                <w:rFonts w:ascii="宋体"/>
              </w:rPr>
            </w:pPr>
          </w:p>
        </w:tc>
        <w:tc>
          <w:tcPr>
            <w:tcW w:w="273" w:type="pct"/>
            <w:shd w:val="clear" w:color="auto" w:fill="auto"/>
            <w:vAlign w:val="bottom"/>
          </w:tcPr>
          <w:p w14:paraId="71D442A3" w14:textId="77777777" w:rsidR="006A3667" w:rsidRDefault="006A3667">
            <w:pPr>
              <w:rPr>
                <w:rFonts w:ascii="宋体"/>
              </w:rPr>
            </w:pPr>
          </w:p>
        </w:tc>
        <w:tc>
          <w:tcPr>
            <w:tcW w:w="5" w:type="pct"/>
            <w:shd w:val="clear" w:color="auto" w:fill="auto"/>
            <w:vAlign w:val="bottom"/>
          </w:tcPr>
          <w:p w14:paraId="71D442A4" w14:textId="77777777" w:rsidR="006A3667" w:rsidRDefault="006A3667">
            <w:pPr>
              <w:rPr>
                <w:rFonts w:ascii="宋体"/>
              </w:rPr>
            </w:pPr>
          </w:p>
        </w:tc>
        <w:tc>
          <w:tcPr>
            <w:tcW w:w="5" w:type="pct"/>
            <w:shd w:val="clear" w:color="auto" w:fill="auto"/>
            <w:vAlign w:val="bottom"/>
          </w:tcPr>
          <w:p w14:paraId="71D442A5" w14:textId="77777777" w:rsidR="006A3667" w:rsidRDefault="006A3667">
            <w:pPr>
              <w:rPr>
                <w:rFonts w:ascii="宋体"/>
              </w:rPr>
            </w:pPr>
          </w:p>
        </w:tc>
        <w:tc>
          <w:tcPr>
            <w:tcW w:w="19" w:type="pct"/>
            <w:shd w:val="clear" w:color="auto" w:fill="auto"/>
            <w:vAlign w:val="bottom"/>
          </w:tcPr>
          <w:p w14:paraId="71D442A6" w14:textId="77777777" w:rsidR="006A3667" w:rsidRDefault="006A3667">
            <w:pPr>
              <w:rPr>
                <w:rFonts w:ascii="宋体"/>
              </w:rPr>
            </w:pPr>
          </w:p>
        </w:tc>
        <w:tc>
          <w:tcPr>
            <w:tcW w:w="5" w:type="pct"/>
            <w:shd w:val="clear" w:color="auto" w:fill="auto"/>
            <w:vAlign w:val="bottom"/>
          </w:tcPr>
          <w:p w14:paraId="71D442A7" w14:textId="77777777" w:rsidR="006A3667" w:rsidRDefault="006A3667">
            <w:pPr>
              <w:rPr>
                <w:rFonts w:ascii="宋体"/>
              </w:rPr>
            </w:pPr>
          </w:p>
        </w:tc>
        <w:tc>
          <w:tcPr>
            <w:tcW w:w="50" w:type="pct"/>
            <w:shd w:val="clear" w:color="auto" w:fill="auto"/>
            <w:vAlign w:val="bottom"/>
          </w:tcPr>
          <w:p w14:paraId="71D442A8" w14:textId="77777777" w:rsidR="006A3667" w:rsidRDefault="006A3667">
            <w:pPr>
              <w:rPr>
                <w:rFonts w:ascii="宋体"/>
              </w:rPr>
            </w:pPr>
          </w:p>
        </w:tc>
        <w:tc>
          <w:tcPr>
            <w:tcW w:w="420" w:type="pct"/>
            <w:shd w:val="clear" w:color="auto" w:fill="auto"/>
            <w:vAlign w:val="bottom"/>
          </w:tcPr>
          <w:p w14:paraId="71D442A9" w14:textId="77777777" w:rsidR="006A3667" w:rsidRDefault="006A3667">
            <w:pPr>
              <w:rPr>
                <w:rFonts w:ascii="宋体"/>
              </w:rPr>
            </w:pPr>
          </w:p>
        </w:tc>
        <w:tc>
          <w:tcPr>
            <w:tcW w:w="5" w:type="pct"/>
            <w:shd w:val="clear" w:color="auto" w:fill="auto"/>
            <w:vAlign w:val="bottom"/>
          </w:tcPr>
          <w:p w14:paraId="71D442AA" w14:textId="77777777" w:rsidR="006A3667" w:rsidRDefault="006A3667">
            <w:pPr>
              <w:rPr>
                <w:rFonts w:ascii="宋体"/>
              </w:rPr>
            </w:pPr>
          </w:p>
        </w:tc>
        <w:tc>
          <w:tcPr>
            <w:tcW w:w="5" w:type="pct"/>
            <w:shd w:val="clear" w:color="auto" w:fill="auto"/>
            <w:vAlign w:val="bottom"/>
          </w:tcPr>
          <w:p w14:paraId="71D442AB" w14:textId="77777777" w:rsidR="006A3667" w:rsidRDefault="006A3667">
            <w:pPr>
              <w:rPr>
                <w:rFonts w:ascii="宋体"/>
              </w:rPr>
            </w:pPr>
          </w:p>
        </w:tc>
        <w:tc>
          <w:tcPr>
            <w:tcW w:w="19" w:type="pct"/>
            <w:shd w:val="clear" w:color="auto" w:fill="auto"/>
            <w:vAlign w:val="bottom"/>
          </w:tcPr>
          <w:p w14:paraId="71D442AC" w14:textId="77777777" w:rsidR="006A3667" w:rsidRDefault="006A3667">
            <w:pPr>
              <w:rPr>
                <w:rFonts w:ascii="宋体"/>
              </w:rPr>
            </w:pPr>
          </w:p>
        </w:tc>
        <w:tc>
          <w:tcPr>
            <w:tcW w:w="5" w:type="pct"/>
            <w:shd w:val="clear" w:color="auto" w:fill="auto"/>
            <w:vAlign w:val="bottom"/>
          </w:tcPr>
          <w:p w14:paraId="71D442AD" w14:textId="77777777" w:rsidR="006A3667" w:rsidRDefault="006A3667">
            <w:pPr>
              <w:rPr>
                <w:rFonts w:ascii="宋体"/>
              </w:rPr>
            </w:pPr>
          </w:p>
        </w:tc>
      </w:tr>
      <w:tr w:rsidR="006A3667" w14:paraId="71D442B4" w14:textId="77777777">
        <w:tc>
          <w:tcPr>
            <w:tcW w:w="0" w:type="auto"/>
            <w:gridSpan w:val="3"/>
            <w:shd w:val="clear" w:color="auto" w:fill="auto"/>
            <w:tcMar>
              <w:top w:w="0" w:type="dxa"/>
              <w:left w:w="20" w:type="dxa"/>
              <w:bottom w:w="0" w:type="dxa"/>
              <w:right w:w="20" w:type="dxa"/>
            </w:tcMar>
            <w:vAlign w:val="bottom"/>
          </w:tcPr>
          <w:p w14:paraId="71D442AF" w14:textId="77777777" w:rsidR="006A3667" w:rsidRDefault="006A3667">
            <w:pPr>
              <w:rPr>
                <w:rFonts w:ascii="宋体"/>
              </w:rPr>
            </w:pPr>
          </w:p>
        </w:tc>
        <w:tc>
          <w:tcPr>
            <w:tcW w:w="0" w:type="auto"/>
            <w:gridSpan w:val="53"/>
            <w:shd w:val="clear" w:color="auto" w:fill="auto"/>
            <w:tcMar>
              <w:top w:w="40" w:type="dxa"/>
              <w:left w:w="20" w:type="dxa"/>
              <w:bottom w:w="40" w:type="dxa"/>
              <w:right w:w="20" w:type="dxa"/>
            </w:tcMar>
            <w:vAlign w:val="bottom"/>
          </w:tcPr>
          <w:p w14:paraId="71D442B0" w14:textId="77777777" w:rsidR="006A3667" w:rsidRDefault="00045F32">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71D442B1" w14:textId="77777777" w:rsidR="006A3667" w:rsidRDefault="006A3667">
            <w:pPr>
              <w:rPr>
                <w:rFonts w:ascii="宋体"/>
              </w:rPr>
            </w:pPr>
          </w:p>
        </w:tc>
        <w:tc>
          <w:tcPr>
            <w:tcW w:w="0" w:type="auto"/>
            <w:shd w:val="clear" w:color="auto" w:fill="auto"/>
            <w:vAlign w:val="bottom"/>
          </w:tcPr>
          <w:p w14:paraId="71D442B2" w14:textId="77777777" w:rsidR="006A3667" w:rsidRDefault="006A3667">
            <w:pPr>
              <w:rPr>
                <w:rFonts w:ascii="宋体"/>
              </w:rPr>
            </w:pPr>
          </w:p>
        </w:tc>
        <w:tc>
          <w:tcPr>
            <w:tcW w:w="0" w:type="auto"/>
            <w:shd w:val="clear" w:color="auto" w:fill="auto"/>
            <w:vAlign w:val="bottom"/>
          </w:tcPr>
          <w:p w14:paraId="71D442B3" w14:textId="77777777" w:rsidR="006A3667" w:rsidRDefault="006A3667">
            <w:pPr>
              <w:rPr>
                <w:rFonts w:ascii="宋体"/>
              </w:rPr>
            </w:pPr>
          </w:p>
        </w:tc>
      </w:tr>
      <w:tr w:rsidR="006A3667" w14:paraId="71D442BA" w14:textId="77777777">
        <w:tc>
          <w:tcPr>
            <w:tcW w:w="0" w:type="auto"/>
            <w:gridSpan w:val="3"/>
            <w:shd w:val="clear" w:color="auto" w:fill="auto"/>
            <w:tcMar>
              <w:top w:w="40" w:type="dxa"/>
              <w:left w:w="20" w:type="dxa"/>
              <w:bottom w:w="40" w:type="dxa"/>
              <w:right w:w="20" w:type="dxa"/>
            </w:tcMar>
          </w:tcPr>
          <w:p w14:paraId="71D442B5" w14:textId="77777777" w:rsidR="006A3667" w:rsidRDefault="00045F32">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71D442B6" w14:textId="77777777" w:rsidR="006A3667" w:rsidRDefault="00045F32">
            <w:pPr>
              <w:jc w:val="center"/>
              <w:textAlignment w:val="bottom"/>
            </w:pPr>
            <w:r>
              <w:rPr>
                <w:rFonts w:ascii="Arial" w:eastAsia="宋体" w:hAnsi="Arial" w:cs="Arial"/>
                <w:b/>
                <w:bCs/>
                <w:color w:val="000000"/>
                <w:sz w:val="12"/>
                <w:szCs w:val="12"/>
              </w:rPr>
              <w:t>Three Months Ended September 30, 2021</w:t>
            </w:r>
          </w:p>
        </w:tc>
        <w:tc>
          <w:tcPr>
            <w:tcW w:w="0" w:type="auto"/>
            <w:shd w:val="clear" w:color="auto" w:fill="auto"/>
            <w:vAlign w:val="bottom"/>
          </w:tcPr>
          <w:p w14:paraId="71D442B7" w14:textId="77777777" w:rsidR="006A3667" w:rsidRDefault="006A3667">
            <w:pPr>
              <w:rPr>
                <w:rFonts w:ascii="宋体"/>
              </w:rPr>
            </w:pPr>
          </w:p>
        </w:tc>
        <w:tc>
          <w:tcPr>
            <w:tcW w:w="0" w:type="auto"/>
            <w:shd w:val="clear" w:color="auto" w:fill="auto"/>
            <w:vAlign w:val="bottom"/>
          </w:tcPr>
          <w:p w14:paraId="71D442B8" w14:textId="77777777" w:rsidR="006A3667" w:rsidRDefault="006A3667">
            <w:pPr>
              <w:rPr>
                <w:rFonts w:ascii="宋体"/>
              </w:rPr>
            </w:pPr>
          </w:p>
        </w:tc>
        <w:tc>
          <w:tcPr>
            <w:tcW w:w="0" w:type="auto"/>
            <w:shd w:val="clear" w:color="auto" w:fill="auto"/>
            <w:vAlign w:val="bottom"/>
          </w:tcPr>
          <w:p w14:paraId="71D442B9" w14:textId="77777777" w:rsidR="006A3667" w:rsidRDefault="006A3667">
            <w:pPr>
              <w:rPr>
                <w:rFonts w:ascii="宋体"/>
              </w:rPr>
            </w:pPr>
          </w:p>
        </w:tc>
      </w:tr>
      <w:tr w:rsidR="006A3667" w14:paraId="71D442D1" w14:textId="77777777">
        <w:trPr>
          <w:trHeight w:val="400"/>
        </w:trPr>
        <w:tc>
          <w:tcPr>
            <w:tcW w:w="0" w:type="auto"/>
            <w:gridSpan w:val="3"/>
            <w:shd w:val="clear" w:color="auto" w:fill="auto"/>
            <w:tcMar>
              <w:top w:w="40" w:type="dxa"/>
              <w:left w:w="20" w:type="dxa"/>
              <w:bottom w:w="40" w:type="dxa"/>
              <w:right w:w="20" w:type="dxa"/>
            </w:tcMar>
          </w:tcPr>
          <w:p w14:paraId="71D442BB" w14:textId="77777777" w:rsidR="006A3667" w:rsidRDefault="00045F32">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2BC" w14:textId="77777777" w:rsidR="006A3667" w:rsidRDefault="00045F32">
            <w:pPr>
              <w:jc w:val="center"/>
              <w:textAlignment w:val="bottom"/>
            </w:pPr>
            <w:r>
              <w:rPr>
                <w:rFonts w:ascii="Arial" w:eastAsia="宋体" w:hAnsi="Arial" w:cs="Arial"/>
                <w:b/>
                <w:bCs/>
                <w:color w:val="000000"/>
                <w:sz w:val="12"/>
                <w:szCs w:val="12"/>
              </w:rPr>
              <w:t xml:space="preserve">Fair Value as of June 30, </w:t>
            </w:r>
            <w:r>
              <w:rPr>
                <w:rFonts w:ascii="Arial" w:eastAsia="宋体" w:hAnsi="Arial" w:cs="Arial"/>
                <w:b/>
                <w:bCs/>
                <w:color w:val="000000"/>
                <w:sz w:val="12"/>
                <w:szCs w:val="12"/>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BD"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42BE" w14:textId="77777777" w:rsidR="006A3667" w:rsidRDefault="00045F32">
            <w:pPr>
              <w:jc w:val="center"/>
              <w:textAlignment w:val="bottom"/>
            </w:pPr>
            <w:r>
              <w:rPr>
                <w:rFonts w:ascii="Arial" w:eastAsia="宋体" w:hAnsi="Arial" w:cs="Arial"/>
                <w:b/>
                <w:bCs/>
                <w:color w:val="000000"/>
                <w:sz w:val="12"/>
                <w:szCs w:val="12"/>
              </w:rPr>
              <w:t>Total Realized and</w:t>
            </w:r>
          </w:p>
          <w:p w14:paraId="71D442BF" w14:textId="77777777" w:rsidR="006A3667" w:rsidRDefault="00045F32">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C0"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2C1" w14:textId="77777777" w:rsidR="006A3667" w:rsidRDefault="00045F32">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71D442C2" w14:textId="77777777" w:rsidR="006A3667" w:rsidRDefault="006A3667">
            <w:pPr>
              <w:rPr>
                <w:rFonts w:ascii="宋体"/>
                <w:vanish/>
              </w:rPr>
            </w:pPr>
          </w:p>
        </w:tc>
        <w:tc>
          <w:tcPr>
            <w:tcW w:w="0" w:type="auto"/>
            <w:shd w:val="clear" w:color="auto" w:fill="auto"/>
            <w:vAlign w:val="bottom"/>
          </w:tcPr>
          <w:p w14:paraId="71D442C3"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C4"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2C5" w14:textId="77777777" w:rsidR="006A3667" w:rsidRDefault="00045F32">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C6"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2C7" w14:textId="77777777" w:rsidR="006A3667" w:rsidRDefault="00045F32">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C8"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2C9" w14:textId="77777777" w:rsidR="006A3667" w:rsidRDefault="00045F32">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CA"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2CB" w14:textId="77777777" w:rsidR="006A3667" w:rsidRDefault="00045F32">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CC"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2CD" w14:textId="77777777" w:rsidR="006A3667" w:rsidRDefault="00045F32">
            <w:pPr>
              <w:jc w:val="center"/>
              <w:textAlignment w:val="bottom"/>
            </w:pPr>
            <w:r>
              <w:rPr>
                <w:rFonts w:ascii="Arial" w:eastAsia="宋体" w:hAnsi="Arial" w:cs="Arial"/>
                <w:b/>
                <w:bCs/>
                <w:color w:val="000000"/>
                <w:sz w:val="12"/>
                <w:szCs w:val="12"/>
              </w:rPr>
              <w:t>Fair Value </w:t>
            </w:r>
          </w:p>
          <w:p w14:paraId="71D442CE" w14:textId="77777777" w:rsidR="006A3667" w:rsidRDefault="00045F32">
            <w:pPr>
              <w:jc w:val="center"/>
              <w:textAlignment w:val="bottom"/>
            </w:pPr>
            <w:r>
              <w:rPr>
                <w:rFonts w:ascii="Arial" w:eastAsia="宋体" w:hAnsi="Arial" w:cs="Arial"/>
                <w:b/>
                <w:bCs/>
                <w:color w:val="000000"/>
                <w:sz w:val="12"/>
                <w:szCs w:val="12"/>
              </w:rPr>
              <w:t>as of September 30,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42CF" w14:textId="77777777" w:rsidR="006A3667" w:rsidRDefault="006A3667">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1D442D0" w14:textId="77777777" w:rsidR="006A3667" w:rsidRDefault="00045F32">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September 30, 2021</w:t>
            </w:r>
          </w:p>
        </w:tc>
      </w:tr>
      <w:tr w:rsidR="006A3667" w14:paraId="71D442E7" w14:textId="77777777">
        <w:trPr>
          <w:trHeight w:val="720"/>
        </w:trPr>
        <w:tc>
          <w:tcPr>
            <w:tcW w:w="0" w:type="auto"/>
            <w:gridSpan w:val="3"/>
            <w:shd w:val="clear" w:color="auto" w:fill="auto"/>
            <w:tcMar>
              <w:top w:w="40" w:type="dxa"/>
              <w:left w:w="20" w:type="dxa"/>
              <w:bottom w:w="40" w:type="dxa"/>
              <w:right w:w="20" w:type="dxa"/>
            </w:tcMar>
            <w:vAlign w:val="bottom"/>
          </w:tcPr>
          <w:p w14:paraId="71D442D2" w14:textId="77777777" w:rsidR="006A3667" w:rsidRDefault="00045F32">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2D3"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2D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2D5" w14:textId="77777777" w:rsidR="006A3667" w:rsidRDefault="00045F32">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w:t>
            </w:r>
            <w:r>
              <w:rPr>
                <w:rFonts w:ascii="Arial" w:eastAsia="宋体" w:hAnsi="Arial" w:cs="Arial"/>
                <w:b/>
                <w:bCs/>
                <w:color w:val="000000"/>
                <w:sz w:val="12"/>
                <w:szCs w:val="12"/>
              </w:rPr>
              <w:t>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D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2D7" w14:textId="77777777" w:rsidR="006A3667" w:rsidRDefault="00045F32">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1D442D8"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2D9" w14:textId="77777777" w:rsidR="006A3667" w:rsidRDefault="006A3667">
            <w:pPr>
              <w:jc w:val="center"/>
              <w:rPr>
                <w:rFonts w:ascii="宋体"/>
              </w:rPr>
            </w:pPr>
          </w:p>
        </w:tc>
        <w:tc>
          <w:tcPr>
            <w:tcW w:w="0" w:type="auto"/>
            <w:shd w:val="clear" w:color="auto" w:fill="auto"/>
            <w:vAlign w:val="bottom"/>
          </w:tcPr>
          <w:p w14:paraId="71D442DA" w14:textId="77777777" w:rsidR="006A3667" w:rsidRDefault="006A3667">
            <w:pPr>
              <w:rPr>
                <w:rFonts w:ascii="宋体"/>
                <w:vanish/>
              </w:rPr>
            </w:pPr>
          </w:p>
        </w:tc>
        <w:tc>
          <w:tcPr>
            <w:tcW w:w="0" w:type="auto"/>
            <w:shd w:val="clear" w:color="auto" w:fill="auto"/>
            <w:vAlign w:val="bottom"/>
          </w:tcPr>
          <w:p w14:paraId="71D442DB"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42DC"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2DD"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2DE"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2DF"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2E0"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2E1"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2E2"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2E3"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2E4"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2E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E6" w14:textId="77777777" w:rsidR="006A3667" w:rsidRDefault="006A3667">
            <w:pPr>
              <w:rPr>
                <w:rFonts w:ascii="宋体"/>
              </w:rPr>
            </w:pPr>
          </w:p>
        </w:tc>
      </w:tr>
      <w:tr w:rsidR="006A3667" w14:paraId="71D442FE" w14:textId="77777777">
        <w:tc>
          <w:tcPr>
            <w:tcW w:w="0" w:type="auto"/>
            <w:gridSpan w:val="3"/>
            <w:shd w:val="clear" w:color="auto" w:fill="auto"/>
            <w:tcMar>
              <w:top w:w="40" w:type="dxa"/>
              <w:left w:w="20" w:type="dxa"/>
              <w:bottom w:w="40" w:type="dxa"/>
              <w:right w:w="20" w:type="dxa"/>
            </w:tcMar>
            <w:vAlign w:val="center"/>
          </w:tcPr>
          <w:p w14:paraId="71D442E8" w14:textId="77777777" w:rsidR="006A3667" w:rsidRDefault="00045F32">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E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E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E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E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E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E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EF" w14:textId="77777777" w:rsidR="006A3667" w:rsidRDefault="006A3667">
            <w:pPr>
              <w:rPr>
                <w:rFonts w:ascii="宋体"/>
              </w:rPr>
            </w:pPr>
          </w:p>
        </w:tc>
        <w:tc>
          <w:tcPr>
            <w:tcW w:w="0" w:type="auto"/>
            <w:shd w:val="clear" w:color="auto" w:fill="auto"/>
            <w:vAlign w:val="bottom"/>
          </w:tcPr>
          <w:p w14:paraId="71D442F0" w14:textId="77777777" w:rsidR="006A3667" w:rsidRDefault="006A3667">
            <w:pPr>
              <w:rPr>
                <w:rFonts w:ascii="宋体"/>
                <w:vanish/>
              </w:rPr>
            </w:pPr>
          </w:p>
        </w:tc>
        <w:tc>
          <w:tcPr>
            <w:tcW w:w="0" w:type="auto"/>
            <w:shd w:val="clear" w:color="auto" w:fill="auto"/>
            <w:vAlign w:val="bottom"/>
          </w:tcPr>
          <w:p w14:paraId="71D442F1"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42F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F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F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F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F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F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F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F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2F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2FB"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42FC" w14:textId="77777777" w:rsidR="006A3667" w:rsidRDefault="006A3667">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1D442FD" w14:textId="77777777" w:rsidR="006A3667" w:rsidRDefault="006A3667">
            <w:pPr>
              <w:rPr>
                <w:rFonts w:ascii="宋体"/>
              </w:rPr>
            </w:pPr>
          </w:p>
        </w:tc>
      </w:tr>
      <w:tr w:rsidR="006A3667" w14:paraId="71D44315" w14:textId="77777777">
        <w:trPr>
          <w:hidden/>
        </w:trPr>
        <w:tc>
          <w:tcPr>
            <w:tcW w:w="0" w:type="auto"/>
            <w:gridSpan w:val="3"/>
            <w:shd w:val="clear" w:color="auto" w:fill="auto"/>
            <w:vAlign w:val="bottom"/>
          </w:tcPr>
          <w:p w14:paraId="71D442FF" w14:textId="77777777" w:rsidR="006A3667" w:rsidRDefault="006A3667">
            <w:pPr>
              <w:rPr>
                <w:rFonts w:ascii="宋体"/>
                <w:vanish/>
              </w:rPr>
            </w:pPr>
          </w:p>
        </w:tc>
        <w:tc>
          <w:tcPr>
            <w:tcW w:w="0" w:type="auto"/>
            <w:gridSpan w:val="3"/>
            <w:shd w:val="clear" w:color="auto" w:fill="auto"/>
            <w:vAlign w:val="bottom"/>
          </w:tcPr>
          <w:p w14:paraId="71D44300" w14:textId="77777777" w:rsidR="006A3667" w:rsidRDefault="006A3667">
            <w:pPr>
              <w:rPr>
                <w:rFonts w:ascii="宋体"/>
                <w:vanish/>
              </w:rPr>
            </w:pPr>
          </w:p>
        </w:tc>
        <w:tc>
          <w:tcPr>
            <w:tcW w:w="0" w:type="auto"/>
            <w:gridSpan w:val="3"/>
            <w:shd w:val="clear" w:color="auto" w:fill="auto"/>
            <w:vAlign w:val="bottom"/>
          </w:tcPr>
          <w:p w14:paraId="71D44301" w14:textId="77777777" w:rsidR="006A3667" w:rsidRDefault="006A3667">
            <w:pPr>
              <w:rPr>
                <w:rFonts w:ascii="宋体"/>
                <w:vanish/>
              </w:rPr>
            </w:pPr>
          </w:p>
        </w:tc>
        <w:tc>
          <w:tcPr>
            <w:tcW w:w="0" w:type="auto"/>
            <w:gridSpan w:val="3"/>
            <w:shd w:val="clear" w:color="auto" w:fill="auto"/>
            <w:vAlign w:val="bottom"/>
          </w:tcPr>
          <w:p w14:paraId="71D44302" w14:textId="77777777" w:rsidR="006A3667" w:rsidRDefault="006A3667">
            <w:pPr>
              <w:rPr>
                <w:rFonts w:ascii="宋体"/>
                <w:vanish/>
              </w:rPr>
            </w:pPr>
          </w:p>
        </w:tc>
        <w:tc>
          <w:tcPr>
            <w:tcW w:w="0" w:type="auto"/>
            <w:gridSpan w:val="3"/>
            <w:shd w:val="clear" w:color="auto" w:fill="auto"/>
            <w:vAlign w:val="bottom"/>
          </w:tcPr>
          <w:p w14:paraId="71D44303" w14:textId="77777777" w:rsidR="006A3667" w:rsidRDefault="006A3667">
            <w:pPr>
              <w:rPr>
                <w:rFonts w:ascii="宋体"/>
                <w:vanish/>
              </w:rPr>
            </w:pPr>
          </w:p>
        </w:tc>
        <w:tc>
          <w:tcPr>
            <w:tcW w:w="0" w:type="auto"/>
            <w:gridSpan w:val="3"/>
            <w:shd w:val="clear" w:color="auto" w:fill="auto"/>
            <w:vAlign w:val="bottom"/>
          </w:tcPr>
          <w:p w14:paraId="71D44304" w14:textId="77777777" w:rsidR="006A3667" w:rsidRDefault="006A3667">
            <w:pPr>
              <w:rPr>
                <w:rFonts w:ascii="宋体"/>
                <w:vanish/>
              </w:rPr>
            </w:pPr>
          </w:p>
        </w:tc>
        <w:tc>
          <w:tcPr>
            <w:tcW w:w="0" w:type="auto"/>
            <w:gridSpan w:val="3"/>
            <w:shd w:val="clear" w:color="auto" w:fill="auto"/>
            <w:vAlign w:val="bottom"/>
          </w:tcPr>
          <w:p w14:paraId="71D44305" w14:textId="77777777" w:rsidR="006A3667" w:rsidRDefault="006A3667">
            <w:pPr>
              <w:rPr>
                <w:rFonts w:ascii="宋体"/>
                <w:vanish/>
              </w:rPr>
            </w:pPr>
          </w:p>
        </w:tc>
        <w:tc>
          <w:tcPr>
            <w:tcW w:w="0" w:type="auto"/>
            <w:gridSpan w:val="3"/>
            <w:shd w:val="clear" w:color="auto" w:fill="auto"/>
            <w:vAlign w:val="bottom"/>
          </w:tcPr>
          <w:p w14:paraId="71D44306" w14:textId="77777777" w:rsidR="006A3667" w:rsidRDefault="006A3667">
            <w:pPr>
              <w:rPr>
                <w:rFonts w:ascii="宋体"/>
                <w:vanish/>
              </w:rPr>
            </w:pPr>
          </w:p>
        </w:tc>
        <w:tc>
          <w:tcPr>
            <w:tcW w:w="0" w:type="auto"/>
            <w:shd w:val="clear" w:color="auto" w:fill="auto"/>
            <w:vAlign w:val="bottom"/>
          </w:tcPr>
          <w:p w14:paraId="71D44307" w14:textId="77777777" w:rsidR="006A3667" w:rsidRDefault="006A3667">
            <w:pPr>
              <w:rPr>
                <w:rFonts w:ascii="宋体"/>
                <w:vanish/>
              </w:rPr>
            </w:pPr>
          </w:p>
        </w:tc>
        <w:tc>
          <w:tcPr>
            <w:tcW w:w="0" w:type="auto"/>
            <w:shd w:val="clear" w:color="auto" w:fill="auto"/>
            <w:vAlign w:val="bottom"/>
          </w:tcPr>
          <w:p w14:paraId="71D44308" w14:textId="77777777" w:rsidR="006A3667" w:rsidRDefault="006A3667">
            <w:pPr>
              <w:rPr>
                <w:rFonts w:ascii="宋体"/>
                <w:vanish/>
              </w:rPr>
            </w:pPr>
          </w:p>
        </w:tc>
        <w:tc>
          <w:tcPr>
            <w:tcW w:w="0" w:type="auto"/>
            <w:gridSpan w:val="3"/>
            <w:shd w:val="clear" w:color="auto" w:fill="auto"/>
            <w:vAlign w:val="bottom"/>
          </w:tcPr>
          <w:p w14:paraId="71D44309" w14:textId="77777777" w:rsidR="006A3667" w:rsidRDefault="006A3667">
            <w:pPr>
              <w:rPr>
                <w:rFonts w:ascii="宋体"/>
                <w:vanish/>
              </w:rPr>
            </w:pPr>
          </w:p>
        </w:tc>
        <w:tc>
          <w:tcPr>
            <w:tcW w:w="0" w:type="auto"/>
            <w:gridSpan w:val="3"/>
            <w:shd w:val="clear" w:color="auto" w:fill="auto"/>
            <w:vAlign w:val="bottom"/>
          </w:tcPr>
          <w:p w14:paraId="71D4430A" w14:textId="77777777" w:rsidR="006A3667" w:rsidRDefault="006A3667">
            <w:pPr>
              <w:rPr>
                <w:rFonts w:ascii="宋体"/>
                <w:vanish/>
              </w:rPr>
            </w:pPr>
          </w:p>
        </w:tc>
        <w:tc>
          <w:tcPr>
            <w:tcW w:w="0" w:type="auto"/>
            <w:gridSpan w:val="3"/>
            <w:shd w:val="clear" w:color="auto" w:fill="auto"/>
            <w:vAlign w:val="bottom"/>
          </w:tcPr>
          <w:p w14:paraId="71D4430B" w14:textId="77777777" w:rsidR="006A3667" w:rsidRDefault="006A3667">
            <w:pPr>
              <w:rPr>
                <w:rFonts w:ascii="宋体"/>
                <w:vanish/>
              </w:rPr>
            </w:pPr>
          </w:p>
        </w:tc>
        <w:tc>
          <w:tcPr>
            <w:tcW w:w="0" w:type="auto"/>
            <w:gridSpan w:val="3"/>
            <w:shd w:val="clear" w:color="auto" w:fill="auto"/>
            <w:vAlign w:val="bottom"/>
          </w:tcPr>
          <w:p w14:paraId="71D4430C" w14:textId="77777777" w:rsidR="006A3667" w:rsidRDefault="006A3667">
            <w:pPr>
              <w:rPr>
                <w:rFonts w:ascii="宋体"/>
                <w:vanish/>
              </w:rPr>
            </w:pPr>
          </w:p>
        </w:tc>
        <w:tc>
          <w:tcPr>
            <w:tcW w:w="0" w:type="auto"/>
            <w:gridSpan w:val="3"/>
            <w:shd w:val="clear" w:color="auto" w:fill="auto"/>
            <w:vAlign w:val="bottom"/>
          </w:tcPr>
          <w:p w14:paraId="71D4430D" w14:textId="77777777" w:rsidR="006A3667" w:rsidRDefault="006A3667">
            <w:pPr>
              <w:rPr>
                <w:rFonts w:ascii="宋体"/>
                <w:vanish/>
              </w:rPr>
            </w:pPr>
          </w:p>
        </w:tc>
        <w:tc>
          <w:tcPr>
            <w:tcW w:w="0" w:type="auto"/>
            <w:gridSpan w:val="3"/>
            <w:shd w:val="clear" w:color="auto" w:fill="auto"/>
            <w:vAlign w:val="bottom"/>
          </w:tcPr>
          <w:p w14:paraId="71D4430E" w14:textId="77777777" w:rsidR="006A3667" w:rsidRDefault="006A3667">
            <w:pPr>
              <w:rPr>
                <w:rFonts w:ascii="宋体"/>
                <w:vanish/>
              </w:rPr>
            </w:pPr>
          </w:p>
        </w:tc>
        <w:tc>
          <w:tcPr>
            <w:tcW w:w="0" w:type="auto"/>
            <w:gridSpan w:val="3"/>
            <w:shd w:val="clear" w:color="auto" w:fill="auto"/>
            <w:vAlign w:val="bottom"/>
          </w:tcPr>
          <w:p w14:paraId="71D4430F" w14:textId="77777777" w:rsidR="006A3667" w:rsidRDefault="006A3667">
            <w:pPr>
              <w:rPr>
                <w:rFonts w:ascii="宋体"/>
                <w:vanish/>
              </w:rPr>
            </w:pPr>
          </w:p>
        </w:tc>
        <w:tc>
          <w:tcPr>
            <w:tcW w:w="0" w:type="auto"/>
            <w:gridSpan w:val="3"/>
            <w:shd w:val="clear" w:color="auto" w:fill="auto"/>
            <w:vAlign w:val="bottom"/>
          </w:tcPr>
          <w:p w14:paraId="71D44310" w14:textId="77777777" w:rsidR="006A3667" w:rsidRDefault="006A3667">
            <w:pPr>
              <w:rPr>
                <w:rFonts w:ascii="宋体"/>
                <w:vanish/>
              </w:rPr>
            </w:pPr>
          </w:p>
        </w:tc>
        <w:tc>
          <w:tcPr>
            <w:tcW w:w="0" w:type="auto"/>
            <w:gridSpan w:val="3"/>
            <w:shd w:val="clear" w:color="auto" w:fill="auto"/>
            <w:vAlign w:val="bottom"/>
          </w:tcPr>
          <w:p w14:paraId="71D44311" w14:textId="77777777" w:rsidR="006A3667" w:rsidRDefault="006A3667">
            <w:pPr>
              <w:rPr>
                <w:rFonts w:ascii="宋体"/>
                <w:vanish/>
              </w:rPr>
            </w:pPr>
          </w:p>
        </w:tc>
        <w:tc>
          <w:tcPr>
            <w:tcW w:w="0" w:type="auto"/>
            <w:gridSpan w:val="3"/>
            <w:shd w:val="clear" w:color="auto" w:fill="auto"/>
            <w:vAlign w:val="bottom"/>
          </w:tcPr>
          <w:p w14:paraId="71D44312" w14:textId="77777777" w:rsidR="006A3667" w:rsidRDefault="006A3667">
            <w:pPr>
              <w:rPr>
                <w:rFonts w:ascii="宋体"/>
                <w:vanish/>
              </w:rPr>
            </w:pPr>
          </w:p>
        </w:tc>
        <w:tc>
          <w:tcPr>
            <w:tcW w:w="0" w:type="auto"/>
            <w:gridSpan w:val="2"/>
            <w:shd w:val="clear" w:color="auto" w:fill="auto"/>
            <w:vAlign w:val="bottom"/>
          </w:tcPr>
          <w:p w14:paraId="71D44313" w14:textId="77777777" w:rsidR="006A3667" w:rsidRDefault="006A3667">
            <w:pPr>
              <w:rPr>
                <w:rFonts w:ascii="宋体"/>
                <w:vanish/>
              </w:rPr>
            </w:pPr>
          </w:p>
        </w:tc>
        <w:tc>
          <w:tcPr>
            <w:tcW w:w="0" w:type="auto"/>
            <w:shd w:val="clear" w:color="auto" w:fill="auto"/>
            <w:vAlign w:val="bottom"/>
          </w:tcPr>
          <w:p w14:paraId="71D44314" w14:textId="77777777" w:rsidR="006A3667" w:rsidRDefault="006A3667">
            <w:pPr>
              <w:rPr>
                <w:rFonts w:ascii="宋体"/>
                <w:vanish/>
              </w:rPr>
            </w:pPr>
          </w:p>
        </w:tc>
      </w:tr>
      <w:tr w:rsidR="006A3667" w14:paraId="71D4432C" w14:textId="77777777">
        <w:trPr>
          <w:hidden/>
        </w:trPr>
        <w:tc>
          <w:tcPr>
            <w:tcW w:w="0" w:type="auto"/>
            <w:gridSpan w:val="3"/>
            <w:shd w:val="clear" w:color="auto" w:fill="auto"/>
            <w:vAlign w:val="bottom"/>
          </w:tcPr>
          <w:p w14:paraId="71D44316" w14:textId="77777777" w:rsidR="006A3667" w:rsidRDefault="006A3667">
            <w:pPr>
              <w:rPr>
                <w:rFonts w:ascii="宋体"/>
                <w:vanish/>
              </w:rPr>
            </w:pPr>
          </w:p>
        </w:tc>
        <w:tc>
          <w:tcPr>
            <w:tcW w:w="0" w:type="auto"/>
            <w:gridSpan w:val="3"/>
            <w:shd w:val="clear" w:color="auto" w:fill="auto"/>
            <w:vAlign w:val="bottom"/>
          </w:tcPr>
          <w:p w14:paraId="71D44317" w14:textId="77777777" w:rsidR="006A3667" w:rsidRDefault="006A3667">
            <w:pPr>
              <w:rPr>
                <w:rFonts w:ascii="宋体"/>
                <w:vanish/>
              </w:rPr>
            </w:pPr>
          </w:p>
        </w:tc>
        <w:tc>
          <w:tcPr>
            <w:tcW w:w="0" w:type="auto"/>
            <w:gridSpan w:val="3"/>
            <w:shd w:val="clear" w:color="auto" w:fill="auto"/>
            <w:vAlign w:val="bottom"/>
          </w:tcPr>
          <w:p w14:paraId="71D44318" w14:textId="77777777" w:rsidR="006A3667" w:rsidRDefault="006A3667">
            <w:pPr>
              <w:rPr>
                <w:rFonts w:ascii="宋体"/>
                <w:vanish/>
              </w:rPr>
            </w:pPr>
          </w:p>
        </w:tc>
        <w:tc>
          <w:tcPr>
            <w:tcW w:w="0" w:type="auto"/>
            <w:gridSpan w:val="3"/>
            <w:shd w:val="clear" w:color="auto" w:fill="auto"/>
            <w:vAlign w:val="bottom"/>
          </w:tcPr>
          <w:p w14:paraId="71D44319" w14:textId="77777777" w:rsidR="006A3667" w:rsidRDefault="006A3667">
            <w:pPr>
              <w:rPr>
                <w:rFonts w:ascii="宋体"/>
                <w:vanish/>
              </w:rPr>
            </w:pPr>
          </w:p>
        </w:tc>
        <w:tc>
          <w:tcPr>
            <w:tcW w:w="0" w:type="auto"/>
            <w:gridSpan w:val="3"/>
            <w:shd w:val="clear" w:color="auto" w:fill="auto"/>
            <w:vAlign w:val="bottom"/>
          </w:tcPr>
          <w:p w14:paraId="71D4431A" w14:textId="77777777" w:rsidR="006A3667" w:rsidRDefault="006A3667">
            <w:pPr>
              <w:rPr>
                <w:rFonts w:ascii="宋体"/>
                <w:vanish/>
              </w:rPr>
            </w:pPr>
          </w:p>
        </w:tc>
        <w:tc>
          <w:tcPr>
            <w:tcW w:w="0" w:type="auto"/>
            <w:gridSpan w:val="3"/>
            <w:shd w:val="clear" w:color="auto" w:fill="auto"/>
            <w:vAlign w:val="bottom"/>
          </w:tcPr>
          <w:p w14:paraId="71D4431B" w14:textId="77777777" w:rsidR="006A3667" w:rsidRDefault="006A3667">
            <w:pPr>
              <w:rPr>
                <w:rFonts w:ascii="宋体"/>
                <w:vanish/>
              </w:rPr>
            </w:pPr>
          </w:p>
        </w:tc>
        <w:tc>
          <w:tcPr>
            <w:tcW w:w="0" w:type="auto"/>
            <w:gridSpan w:val="3"/>
            <w:shd w:val="clear" w:color="auto" w:fill="auto"/>
            <w:vAlign w:val="bottom"/>
          </w:tcPr>
          <w:p w14:paraId="71D4431C" w14:textId="77777777" w:rsidR="006A3667" w:rsidRDefault="006A3667">
            <w:pPr>
              <w:rPr>
                <w:rFonts w:ascii="宋体"/>
                <w:vanish/>
              </w:rPr>
            </w:pPr>
          </w:p>
        </w:tc>
        <w:tc>
          <w:tcPr>
            <w:tcW w:w="0" w:type="auto"/>
            <w:gridSpan w:val="3"/>
            <w:shd w:val="clear" w:color="auto" w:fill="auto"/>
            <w:vAlign w:val="bottom"/>
          </w:tcPr>
          <w:p w14:paraId="71D4431D" w14:textId="77777777" w:rsidR="006A3667" w:rsidRDefault="006A3667">
            <w:pPr>
              <w:rPr>
                <w:rFonts w:ascii="宋体"/>
                <w:vanish/>
              </w:rPr>
            </w:pPr>
          </w:p>
        </w:tc>
        <w:tc>
          <w:tcPr>
            <w:tcW w:w="0" w:type="auto"/>
            <w:shd w:val="clear" w:color="auto" w:fill="auto"/>
            <w:vAlign w:val="bottom"/>
          </w:tcPr>
          <w:p w14:paraId="71D4431E" w14:textId="77777777" w:rsidR="006A3667" w:rsidRDefault="006A3667">
            <w:pPr>
              <w:rPr>
                <w:rFonts w:ascii="宋体"/>
                <w:vanish/>
              </w:rPr>
            </w:pPr>
          </w:p>
        </w:tc>
        <w:tc>
          <w:tcPr>
            <w:tcW w:w="0" w:type="auto"/>
            <w:shd w:val="clear" w:color="auto" w:fill="auto"/>
            <w:vAlign w:val="bottom"/>
          </w:tcPr>
          <w:p w14:paraId="71D4431F" w14:textId="77777777" w:rsidR="006A3667" w:rsidRDefault="006A3667">
            <w:pPr>
              <w:rPr>
                <w:rFonts w:ascii="宋体"/>
                <w:vanish/>
              </w:rPr>
            </w:pPr>
          </w:p>
        </w:tc>
        <w:tc>
          <w:tcPr>
            <w:tcW w:w="0" w:type="auto"/>
            <w:gridSpan w:val="3"/>
            <w:shd w:val="clear" w:color="auto" w:fill="auto"/>
            <w:vAlign w:val="bottom"/>
          </w:tcPr>
          <w:p w14:paraId="71D44320" w14:textId="77777777" w:rsidR="006A3667" w:rsidRDefault="006A3667">
            <w:pPr>
              <w:rPr>
                <w:rFonts w:ascii="宋体"/>
                <w:vanish/>
              </w:rPr>
            </w:pPr>
          </w:p>
        </w:tc>
        <w:tc>
          <w:tcPr>
            <w:tcW w:w="0" w:type="auto"/>
            <w:gridSpan w:val="3"/>
            <w:shd w:val="clear" w:color="auto" w:fill="auto"/>
            <w:vAlign w:val="bottom"/>
          </w:tcPr>
          <w:p w14:paraId="71D44321" w14:textId="77777777" w:rsidR="006A3667" w:rsidRDefault="006A3667">
            <w:pPr>
              <w:rPr>
                <w:rFonts w:ascii="宋体"/>
                <w:vanish/>
              </w:rPr>
            </w:pPr>
          </w:p>
        </w:tc>
        <w:tc>
          <w:tcPr>
            <w:tcW w:w="0" w:type="auto"/>
            <w:gridSpan w:val="3"/>
            <w:shd w:val="clear" w:color="auto" w:fill="auto"/>
            <w:vAlign w:val="bottom"/>
          </w:tcPr>
          <w:p w14:paraId="71D44322" w14:textId="77777777" w:rsidR="006A3667" w:rsidRDefault="006A3667">
            <w:pPr>
              <w:rPr>
                <w:rFonts w:ascii="宋体"/>
                <w:vanish/>
              </w:rPr>
            </w:pPr>
          </w:p>
        </w:tc>
        <w:tc>
          <w:tcPr>
            <w:tcW w:w="0" w:type="auto"/>
            <w:gridSpan w:val="3"/>
            <w:shd w:val="clear" w:color="auto" w:fill="auto"/>
            <w:vAlign w:val="bottom"/>
          </w:tcPr>
          <w:p w14:paraId="71D44323" w14:textId="77777777" w:rsidR="006A3667" w:rsidRDefault="006A3667">
            <w:pPr>
              <w:rPr>
                <w:rFonts w:ascii="宋体"/>
                <w:vanish/>
              </w:rPr>
            </w:pPr>
          </w:p>
        </w:tc>
        <w:tc>
          <w:tcPr>
            <w:tcW w:w="0" w:type="auto"/>
            <w:gridSpan w:val="3"/>
            <w:shd w:val="clear" w:color="auto" w:fill="auto"/>
            <w:vAlign w:val="bottom"/>
          </w:tcPr>
          <w:p w14:paraId="71D44324" w14:textId="77777777" w:rsidR="006A3667" w:rsidRDefault="006A3667">
            <w:pPr>
              <w:rPr>
                <w:rFonts w:ascii="宋体"/>
                <w:vanish/>
              </w:rPr>
            </w:pPr>
          </w:p>
        </w:tc>
        <w:tc>
          <w:tcPr>
            <w:tcW w:w="0" w:type="auto"/>
            <w:gridSpan w:val="3"/>
            <w:shd w:val="clear" w:color="auto" w:fill="auto"/>
            <w:vAlign w:val="bottom"/>
          </w:tcPr>
          <w:p w14:paraId="71D44325" w14:textId="77777777" w:rsidR="006A3667" w:rsidRDefault="006A3667">
            <w:pPr>
              <w:rPr>
                <w:rFonts w:ascii="宋体"/>
                <w:vanish/>
              </w:rPr>
            </w:pPr>
          </w:p>
        </w:tc>
        <w:tc>
          <w:tcPr>
            <w:tcW w:w="0" w:type="auto"/>
            <w:gridSpan w:val="3"/>
            <w:shd w:val="clear" w:color="auto" w:fill="auto"/>
            <w:vAlign w:val="bottom"/>
          </w:tcPr>
          <w:p w14:paraId="71D44326" w14:textId="77777777" w:rsidR="006A3667" w:rsidRDefault="006A3667">
            <w:pPr>
              <w:rPr>
                <w:rFonts w:ascii="宋体"/>
                <w:vanish/>
              </w:rPr>
            </w:pPr>
          </w:p>
        </w:tc>
        <w:tc>
          <w:tcPr>
            <w:tcW w:w="0" w:type="auto"/>
            <w:gridSpan w:val="3"/>
            <w:shd w:val="clear" w:color="auto" w:fill="auto"/>
            <w:vAlign w:val="bottom"/>
          </w:tcPr>
          <w:p w14:paraId="71D44327" w14:textId="77777777" w:rsidR="006A3667" w:rsidRDefault="006A3667">
            <w:pPr>
              <w:rPr>
                <w:rFonts w:ascii="宋体"/>
                <w:vanish/>
              </w:rPr>
            </w:pPr>
          </w:p>
        </w:tc>
        <w:tc>
          <w:tcPr>
            <w:tcW w:w="0" w:type="auto"/>
            <w:gridSpan w:val="3"/>
            <w:shd w:val="clear" w:color="auto" w:fill="auto"/>
            <w:vAlign w:val="bottom"/>
          </w:tcPr>
          <w:p w14:paraId="71D44328" w14:textId="77777777" w:rsidR="006A3667" w:rsidRDefault="006A3667">
            <w:pPr>
              <w:rPr>
                <w:rFonts w:ascii="宋体"/>
                <w:vanish/>
              </w:rPr>
            </w:pPr>
          </w:p>
        </w:tc>
        <w:tc>
          <w:tcPr>
            <w:tcW w:w="0" w:type="auto"/>
            <w:gridSpan w:val="3"/>
            <w:shd w:val="clear" w:color="auto" w:fill="auto"/>
            <w:vAlign w:val="bottom"/>
          </w:tcPr>
          <w:p w14:paraId="71D44329" w14:textId="77777777" w:rsidR="006A3667" w:rsidRDefault="006A3667">
            <w:pPr>
              <w:rPr>
                <w:rFonts w:ascii="宋体"/>
                <w:vanish/>
              </w:rPr>
            </w:pPr>
          </w:p>
        </w:tc>
        <w:tc>
          <w:tcPr>
            <w:tcW w:w="0" w:type="auto"/>
            <w:gridSpan w:val="2"/>
            <w:shd w:val="clear" w:color="auto" w:fill="auto"/>
            <w:vAlign w:val="bottom"/>
          </w:tcPr>
          <w:p w14:paraId="71D4432A" w14:textId="77777777" w:rsidR="006A3667" w:rsidRDefault="006A3667">
            <w:pPr>
              <w:rPr>
                <w:rFonts w:ascii="宋体"/>
                <w:vanish/>
              </w:rPr>
            </w:pPr>
          </w:p>
        </w:tc>
        <w:tc>
          <w:tcPr>
            <w:tcW w:w="0" w:type="auto"/>
            <w:shd w:val="clear" w:color="auto" w:fill="auto"/>
            <w:vAlign w:val="bottom"/>
          </w:tcPr>
          <w:p w14:paraId="71D4432B" w14:textId="77777777" w:rsidR="006A3667" w:rsidRDefault="006A3667">
            <w:pPr>
              <w:rPr>
                <w:rFonts w:ascii="宋体"/>
                <w:vanish/>
              </w:rPr>
            </w:pPr>
          </w:p>
        </w:tc>
      </w:tr>
      <w:tr w:rsidR="006A3667" w14:paraId="71D44343" w14:textId="77777777">
        <w:trPr>
          <w:hidden/>
        </w:trPr>
        <w:tc>
          <w:tcPr>
            <w:tcW w:w="0" w:type="auto"/>
            <w:gridSpan w:val="3"/>
            <w:shd w:val="clear" w:color="auto" w:fill="auto"/>
            <w:vAlign w:val="bottom"/>
          </w:tcPr>
          <w:p w14:paraId="71D4432D" w14:textId="77777777" w:rsidR="006A3667" w:rsidRDefault="006A3667">
            <w:pPr>
              <w:rPr>
                <w:rFonts w:ascii="宋体"/>
                <w:vanish/>
              </w:rPr>
            </w:pPr>
          </w:p>
        </w:tc>
        <w:tc>
          <w:tcPr>
            <w:tcW w:w="0" w:type="auto"/>
            <w:gridSpan w:val="3"/>
            <w:shd w:val="clear" w:color="auto" w:fill="auto"/>
            <w:vAlign w:val="bottom"/>
          </w:tcPr>
          <w:p w14:paraId="71D4432E" w14:textId="77777777" w:rsidR="006A3667" w:rsidRDefault="006A3667">
            <w:pPr>
              <w:rPr>
                <w:rFonts w:ascii="宋体"/>
                <w:vanish/>
              </w:rPr>
            </w:pPr>
          </w:p>
        </w:tc>
        <w:tc>
          <w:tcPr>
            <w:tcW w:w="0" w:type="auto"/>
            <w:gridSpan w:val="3"/>
            <w:shd w:val="clear" w:color="auto" w:fill="auto"/>
            <w:vAlign w:val="bottom"/>
          </w:tcPr>
          <w:p w14:paraId="71D4432F" w14:textId="77777777" w:rsidR="006A3667" w:rsidRDefault="006A3667">
            <w:pPr>
              <w:rPr>
                <w:rFonts w:ascii="宋体"/>
                <w:vanish/>
              </w:rPr>
            </w:pPr>
          </w:p>
        </w:tc>
        <w:tc>
          <w:tcPr>
            <w:tcW w:w="0" w:type="auto"/>
            <w:gridSpan w:val="3"/>
            <w:shd w:val="clear" w:color="auto" w:fill="auto"/>
            <w:vAlign w:val="bottom"/>
          </w:tcPr>
          <w:p w14:paraId="71D44330" w14:textId="77777777" w:rsidR="006A3667" w:rsidRDefault="006A3667">
            <w:pPr>
              <w:rPr>
                <w:rFonts w:ascii="宋体"/>
                <w:vanish/>
              </w:rPr>
            </w:pPr>
          </w:p>
        </w:tc>
        <w:tc>
          <w:tcPr>
            <w:tcW w:w="0" w:type="auto"/>
            <w:gridSpan w:val="3"/>
            <w:shd w:val="clear" w:color="auto" w:fill="auto"/>
            <w:vAlign w:val="bottom"/>
          </w:tcPr>
          <w:p w14:paraId="71D44331" w14:textId="77777777" w:rsidR="006A3667" w:rsidRDefault="006A3667">
            <w:pPr>
              <w:rPr>
                <w:rFonts w:ascii="宋体"/>
                <w:vanish/>
              </w:rPr>
            </w:pPr>
          </w:p>
        </w:tc>
        <w:tc>
          <w:tcPr>
            <w:tcW w:w="0" w:type="auto"/>
            <w:gridSpan w:val="3"/>
            <w:shd w:val="clear" w:color="auto" w:fill="auto"/>
            <w:vAlign w:val="bottom"/>
          </w:tcPr>
          <w:p w14:paraId="71D44332" w14:textId="77777777" w:rsidR="006A3667" w:rsidRDefault="006A3667">
            <w:pPr>
              <w:rPr>
                <w:rFonts w:ascii="宋体"/>
                <w:vanish/>
              </w:rPr>
            </w:pPr>
          </w:p>
        </w:tc>
        <w:tc>
          <w:tcPr>
            <w:tcW w:w="0" w:type="auto"/>
            <w:gridSpan w:val="3"/>
            <w:shd w:val="clear" w:color="auto" w:fill="auto"/>
            <w:vAlign w:val="bottom"/>
          </w:tcPr>
          <w:p w14:paraId="71D44333" w14:textId="77777777" w:rsidR="006A3667" w:rsidRDefault="006A3667">
            <w:pPr>
              <w:rPr>
                <w:rFonts w:ascii="宋体"/>
                <w:vanish/>
              </w:rPr>
            </w:pPr>
          </w:p>
        </w:tc>
        <w:tc>
          <w:tcPr>
            <w:tcW w:w="0" w:type="auto"/>
            <w:gridSpan w:val="3"/>
            <w:shd w:val="clear" w:color="auto" w:fill="auto"/>
            <w:vAlign w:val="bottom"/>
          </w:tcPr>
          <w:p w14:paraId="71D44334" w14:textId="77777777" w:rsidR="006A3667" w:rsidRDefault="006A3667">
            <w:pPr>
              <w:rPr>
                <w:rFonts w:ascii="宋体"/>
                <w:vanish/>
              </w:rPr>
            </w:pPr>
          </w:p>
        </w:tc>
        <w:tc>
          <w:tcPr>
            <w:tcW w:w="0" w:type="auto"/>
            <w:shd w:val="clear" w:color="auto" w:fill="auto"/>
            <w:vAlign w:val="bottom"/>
          </w:tcPr>
          <w:p w14:paraId="71D44335" w14:textId="77777777" w:rsidR="006A3667" w:rsidRDefault="006A3667">
            <w:pPr>
              <w:rPr>
                <w:rFonts w:ascii="宋体"/>
                <w:vanish/>
              </w:rPr>
            </w:pPr>
          </w:p>
        </w:tc>
        <w:tc>
          <w:tcPr>
            <w:tcW w:w="0" w:type="auto"/>
            <w:shd w:val="clear" w:color="auto" w:fill="auto"/>
            <w:vAlign w:val="bottom"/>
          </w:tcPr>
          <w:p w14:paraId="71D44336" w14:textId="77777777" w:rsidR="006A3667" w:rsidRDefault="006A3667">
            <w:pPr>
              <w:rPr>
                <w:rFonts w:ascii="宋体"/>
                <w:vanish/>
              </w:rPr>
            </w:pPr>
          </w:p>
        </w:tc>
        <w:tc>
          <w:tcPr>
            <w:tcW w:w="0" w:type="auto"/>
            <w:gridSpan w:val="3"/>
            <w:shd w:val="clear" w:color="auto" w:fill="auto"/>
            <w:vAlign w:val="bottom"/>
          </w:tcPr>
          <w:p w14:paraId="71D44337" w14:textId="77777777" w:rsidR="006A3667" w:rsidRDefault="006A3667">
            <w:pPr>
              <w:rPr>
                <w:rFonts w:ascii="宋体"/>
                <w:vanish/>
              </w:rPr>
            </w:pPr>
          </w:p>
        </w:tc>
        <w:tc>
          <w:tcPr>
            <w:tcW w:w="0" w:type="auto"/>
            <w:gridSpan w:val="3"/>
            <w:shd w:val="clear" w:color="auto" w:fill="auto"/>
            <w:vAlign w:val="bottom"/>
          </w:tcPr>
          <w:p w14:paraId="71D44338" w14:textId="77777777" w:rsidR="006A3667" w:rsidRDefault="006A3667">
            <w:pPr>
              <w:rPr>
                <w:rFonts w:ascii="宋体"/>
                <w:vanish/>
              </w:rPr>
            </w:pPr>
          </w:p>
        </w:tc>
        <w:tc>
          <w:tcPr>
            <w:tcW w:w="0" w:type="auto"/>
            <w:gridSpan w:val="3"/>
            <w:shd w:val="clear" w:color="auto" w:fill="auto"/>
            <w:vAlign w:val="bottom"/>
          </w:tcPr>
          <w:p w14:paraId="71D44339" w14:textId="77777777" w:rsidR="006A3667" w:rsidRDefault="006A3667">
            <w:pPr>
              <w:rPr>
                <w:rFonts w:ascii="宋体"/>
                <w:vanish/>
              </w:rPr>
            </w:pPr>
          </w:p>
        </w:tc>
        <w:tc>
          <w:tcPr>
            <w:tcW w:w="0" w:type="auto"/>
            <w:gridSpan w:val="3"/>
            <w:shd w:val="clear" w:color="auto" w:fill="auto"/>
            <w:vAlign w:val="bottom"/>
          </w:tcPr>
          <w:p w14:paraId="71D4433A" w14:textId="77777777" w:rsidR="006A3667" w:rsidRDefault="006A3667">
            <w:pPr>
              <w:rPr>
                <w:rFonts w:ascii="宋体"/>
                <w:vanish/>
              </w:rPr>
            </w:pPr>
          </w:p>
        </w:tc>
        <w:tc>
          <w:tcPr>
            <w:tcW w:w="0" w:type="auto"/>
            <w:gridSpan w:val="3"/>
            <w:shd w:val="clear" w:color="auto" w:fill="auto"/>
            <w:vAlign w:val="bottom"/>
          </w:tcPr>
          <w:p w14:paraId="71D4433B" w14:textId="77777777" w:rsidR="006A3667" w:rsidRDefault="006A3667">
            <w:pPr>
              <w:rPr>
                <w:rFonts w:ascii="宋体"/>
                <w:vanish/>
              </w:rPr>
            </w:pPr>
          </w:p>
        </w:tc>
        <w:tc>
          <w:tcPr>
            <w:tcW w:w="0" w:type="auto"/>
            <w:gridSpan w:val="3"/>
            <w:shd w:val="clear" w:color="auto" w:fill="auto"/>
            <w:vAlign w:val="bottom"/>
          </w:tcPr>
          <w:p w14:paraId="71D4433C" w14:textId="77777777" w:rsidR="006A3667" w:rsidRDefault="006A3667">
            <w:pPr>
              <w:rPr>
                <w:rFonts w:ascii="宋体"/>
                <w:vanish/>
              </w:rPr>
            </w:pPr>
          </w:p>
        </w:tc>
        <w:tc>
          <w:tcPr>
            <w:tcW w:w="0" w:type="auto"/>
            <w:gridSpan w:val="3"/>
            <w:shd w:val="clear" w:color="auto" w:fill="auto"/>
            <w:vAlign w:val="bottom"/>
          </w:tcPr>
          <w:p w14:paraId="71D4433D" w14:textId="77777777" w:rsidR="006A3667" w:rsidRDefault="006A3667">
            <w:pPr>
              <w:rPr>
                <w:rFonts w:ascii="宋体"/>
                <w:vanish/>
              </w:rPr>
            </w:pPr>
          </w:p>
        </w:tc>
        <w:tc>
          <w:tcPr>
            <w:tcW w:w="0" w:type="auto"/>
            <w:gridSpan w:val="3"/>
            <w:shd w:val="clear" w:color="auto" w:fill="auto"/>
            <w:vAlign w:val="bottom"/>
          </w:tcPr>
          <w:p w14:paraId="71D4433E" w14:textId="77777777" w:rsidR="006A3667" w:rsidRDefault="006A3667">
            <w:pPr>
              <w:rPr>
                <w:rFonts w:ascii="宋体"/>
                <w:vanish/>
              </w:rPr>
            </w:pPr>
          </w:p>
        </w:tc>
        <w:tc>
          <w:tcPr>
            <w:tcW w:w="0" w:type="auto"/>
            <w:gridSpan w:val="3"/>
            <w:shd w:val="clear" w:color="auto" w:fill="auto"/>
            <w:vAlign w:val="bottom"/>
          </w:tcPr>
          <w:p w14:paraId="71D4433F" w14:textId="77777777" w:rsidR="006A3667" w:rsidRDefault="006A3667">
            <w:pPr>
              <w:rPr>
                <w:rFonts w:ascii="宋体"/>
                <w:vanish/>
              </w:rPr>
            </w:pPr>
          </w:p>
        </w:tc>
        <w:tc>
          <w:tcPr>
            <w:tcW w:w="0" w:type="auto"/>
            <w:gridSpan w:val="3"/>
            <w:shd w:val="clear" w:color="auto" w:fill="auto"/>
            <w:vAlign w:val="bottom"/>
          </w:tcPr>
          <w:p w14:paraId="71D44340" w14:textId="77777777" w:rsidR="006A3667" w:rsidRDefault="006A3667">
            <w:pPr>
              <w:rPr>
                <w:rFonts w:ascii="宋体"/>
                <w:vanish/>
              </w:rPr>
            </w:pPr>
          </w:p>
        </w:tc>
        <w:tc>
          <w:tcPr>
            <w:tcW w:w="0" w:type="auto"/>
            <w:gridSpan w:val="2"/>
            <w:shd w:val="clear" w:color="auto" w:fill="auto"/>
            <w:vAlign w:val="bottom"/>
          </w:tcPr>
          <w:p w14:paraId="71D44341" w14:textId="77777777" w:rsidR="006A3667" w:rsidRDefault="006A3667">
            <w:pPr>
              <w:rPr>
                <w:rFonts w:ascii="宋体"/>
                <w:vanish/>
              </w:rPr>
            </w:pPr>
          </w:p>
        </w:tc>
        <w:tc>
          <w:tcPr>
            <w:tcW w:w="0" w:type="auto"/>
            <w:shd w:val="clear" w:color="auto" w:fill="auto"/>
            <w:vAlign w:val="bottom"/>
          </w:tcPr>
          <w:p w14:paraId="71D44342" w14:textId="77777777" w:rsidR="006A3667" w:rsidRDefault="006A3667">
            <w:pPr>
              <w:rPr>
                <w:rFonts w:ascii="宋体"/>
                <w:vanish/>
              </w:rPr>
            </w:pPr>
          </w:p>
        </w:tc>
      </w:tr>
      <w:tr w:rsidR="006A3667" w14:paraId="71D4435A" w14:textId="77777777">
        <w:trPr>
          <w:hidden/>
        </w:trPr>
        <w:tc>
          <w:tcPr>
            <w:tcW w:w="0" w:type="auto"/>
            <w:gridSpan w:val="3"/>
            <w:shd w:val="clear" w:color="auto" w:fill="auto"/>
            <w:vAlign w:val="bottom"/>
          </w:tcPr>
          <w:p w14:paraId="71D44344" w14:textId="77777777" w:rsidR="006A3667" w:rsidRDefault="006A3667">
            <w:pPr>
              <w:rPr>
                <w:rFonts w:ascii="宋体"/>
                <w:vanish/>
              </w:rPr>
            </w:pPr>
          </w:p>
        </w:tc>
        <w:tc>
          <w:tcPr>
            <w:tcW w:w="0" w:type="auto"/>
            <w:gridSpan w:val="3"/>
            <w:shd w:val="clear" w:color="auto" w:fill="auto"/>
            <w:vAlign w:val="bottom"/>
          </w:tcPr>
          <w:p w14:paraId="71D44345" w14:textId="77777777" w:rsidR="006A3667" w:rsidRDefault="006A3667">
            <w:pPr>
              <w:rPr>
                <w:rFonts w:ascii="宋体"/>
                <w:vanish/>
              </w:rPr>
            </w:pPr>
          </w:p>
        </w:tc>
        <w:tc>
          <w:tcPr>
            <w:tcW w:w="0" w:type="auto"/>
            <w:gridSpan w:val="3"/>
            <w:shd w:val="clear" w:color="auto" w:fill="auto"/>
            <w:vAlign w:val="bottom"/>
          </w:tcPr>
          <w:p w14:paraId="71D44346" w14:textId="77777777" w:rsidR="006A3667" w:rsidRDefault="006A3667">
            <w:pPr>
              <w:rPr>
                <w:rFonts w:ascii="宋体"/>
                <w:vanish/>
              </w:rPr>
            </w:pPr>
          </w:p>
        </w:tc>
        <w:tc>
          <w:tcPr>
            <w:tcW w:w="0" w:type="auto"/>
            <w:gridSpan w:val="3"/>
            <w:shd w:val="clear" w:color="auto" w:fill="auto"/>
            <w:vAlign w:val="bottom"/>
          </w:tcPr>
          <w:p w14:paraId="71D44347" w14:textId="77777777" w:rsidR="006A3667" w:rsidRDefault="006A3667">
            <w:pPr>
              <w:rPr>
                <w:rFonts w:ascii="宋体"/>
                <w:vanish/>
              </w:rPr>
            </w:pPr>
          </w:p>
        </w:tc>
        <w:tc>
          <w:tcPr>
            <w:tcW w:w="0" w:type="auto"/>
            <w:gridSpan w:val="3"/>
            <w:shd w:val="clear" w:color="auto" w:fill="auto"/>
            <w:vAlign w:val="bottom"/>
          </w:tcPr>
          <w:p w14:paraId="71D44348" w14:textId="77777777" w:rsidR="006A3667" w:rsidRDefault="006A3667">
            <w:pPr>
              <w:rPr>
                <w:rFonts w:ascii="宋体"/>
                <w:vanish/>
              </w:rPr>
            </w:pPr>
          </w:p>
        </w:tc>
        <w:tc>
          <w:tcPr>
            <w:tcW w:w="0" w:type="auto"/>
            <w:gridSpan w:val="3"/>
            <w:shd w:val="clear" w:color="auto" w:fill="auto"/>
            <w:vAlign w:val="bottom"/>
          </w:tcPr>
          <w:p w14:paraId="71D44349" w14:textId="77777777" w:rsidR="006A3667" w:rsidRDefault="006A3667">
            <w:pPr>
              <w:rPr>
                <w:rFonts w:ascii="宋体"/>
                <w:vanish/>
              </w:rPr>
            </w:pPr>
          </w:p>
        </w:tc>
        <w:tc>
          <w:tcPr>
            <w:tcW w:w="0" w:type="auto"/>
            <w:gridSpan w:val="3"/>
            <w:shd w:val="clear" w:color="auto" w:fill="auto"/>
            <w:vAlign w:val="bottom"/>
          </w:tcPr>
          <w:p w14:paraId="71D4434A" w14:textId="77777777" w:rsidR="006A3667" w:rsidRDefault="006A3667">
            <w:pPr>
              <w:rPr>
                <w:rFonts w:ascii="宋体"/>
                <w:vanish/>
              </w:rPr>
            </w:pPr>
          </w:p>
        </w:tc>
        <w:tc>
          <w:tcPr>
            <w:tcW w:w="0" w:type="auto"/>
            <w:gridSpan w:val="3"/>
            <w:shd w:val="clear" w:color="auto" w:fill="auto"/>
            <w:vAlign w:val="bottom"/>
          </w:tcPr>
          <w:p w14:paraId="71D4434B" w14:textId="77777777" w:rsidR="006A3667" w:rsidRDefault="006A3667">
            <w:pPr>
              <w:rPr>
                <w:rFonts w:ascii="宋体"/>
                <w:vanish/>
              </w:rPr>
            </w:pPr>
          </w:p>
        </w:tc>
        <w:tc>
          <w:tcPr>
            <w:tcW w:w="0" w:type="auto"/>
            <w:shd w:val="clear" w:color="auto" w:fill="auto"/>
            <w:vAlign w:val="bottom"/>
          </w:tcPr>
          <w:p w14:paraId="71D4434C" w14:textId="77777777" w:rsidR="006A3667" w:rsidRDefault="006A3667">
            <w:pPr>
              <w:rPr>
                <w:rFonts w:ascii="宋体"/>
                <w:vanish/>
              </w:rPr>
            </w:pPr>
          </w:p>
        </w:tc>
        <w:tc>
          <w:tcPr>
            <w:tcW w:w="0" w:type="auto"/>
            <w:shd w:val="clear" w:color="auto" w:fill="auto"/>
            <w:vAlign w:val="bottom"/>
          </w:tcPr>
          <w:p w14:paraId="71D4434D" w14:textId="77777777" w:rsidR="006A3667" w:rsidRDefault="006A3667">
            <w:pPr>
              <w:rPr>
                <w:rFonts w:ascii="宋体"/>
                <w:vanish/>
              </w:rPr>
            </w:pPr>
          </w:p>
        </w:tc>
        <w:tc>
          <w:tcPr>
            <w:tcW w:w="0" w:type="auto"/>
            <w:gridSpan w:val="3"/>
            <w:shd w:val="clear" w:color="auto" w:fill="auto"/>
            <w:vAlign w:val="bottom"/>
          </w:tcPr>
          <w:p w14:paraId="71D4434E" w14:textId="77777777" w:rsidR="006A3667" w:rsidRDefault="006A3667">
            <w:pPr>
              <w:rPr>
                <w:rFonts w:ascii="宋体"/>
                <w:vanish/>
              </w:rPr>
            </w:pPr>
          </w:p>
        </w:tc>
        <w:tc>
          <w:tcPr>
            <w:tcW w:w="0" w:type="auto"/>
            <w:gridSpan w:val="3"/>
            <w:shd w:val="clear" w:color="auto" w:fill="auto"/>
            <w:vAlign w:val="bottom"/>
          </w:tcPr>
          <w:p w14:paraId="71D4434F" w14:textId="77777777" w:rsidR="006A3667" w:rsidRDefault="006A3667">
            <w:pPr>
              <w:rPr>
                <w:rFonts w:ascii="宋体"/>
                <w:vanish/>
              </w:rPr>
            </w:pPr>
          </w:p>
        </w:tc>
        <w:tc>
          <w:tcPr>
            <w:tcW w:w="0" w:type="auto"/>
            <w:gridSpan w:val="3"/>
            <w:shd w:val="clear" w:color="auto" w:fill="auto"/>
            <w:vAlign w:val="bottom"/>
          </w:tcPr>
          <w:p w14:paraId="71D44350" w14:textId="77777777" w:rsidR="006A3667" w:rsidRDefault="006A3667">
            <w:pPr>
              <w:rPr>
                <w:rFonts w:ascii="宋体"/>
                <w:vanish/>
              </w:rPr>
            </w:pPr>
          </w:p>
        </w:tc>
        <w:tc>
          <w:tcPr>
            <w:tcW w:w="0" w:type="auto"/>
            <w:gridSpan w:val="3"/>
            <w:shd w:val="clear" w:color="auto" w:fill="auto"/>
            <w:vAlign w:val="bottom"/>
          </w:tcPr>
          <w:p w14:paraId="71D44351" w14:textId="77777777" w:rsidR="006A3667" w:rsidRDefault="006A3667">
            <w:pPr>
              <w:rPr>
                <w:rFonts w:ascii="宋体"/>
                <w:vanish/>
              </w:rPr>
            </w:pPr>
          </w:p>
        </w:tc>
        <w:tc>
          <w:tcPr>
            <w:tcW w:w="0" w:type="auto"/>
            <w:gridSpan w:val="3"/>
            <w:shd w:val="clear" w:color="auto" w:fill="auto"/>
            <w:vAlign w:val="bottom"/>
          </w:tcPr>
          <w:p w14:paraId="71D44352" w14:textId="77777777" w:rsidR="006A3667" w:rsidRDefault="006A3667">
            <w:pPr>
              <w:rPr>
                <w:rFonts w:ascii="宋体"/>
                <w:vanish/>
              </w:rPr>
            </w:pPr>
          </w:p>
        </w:tc>
        <w:tc>
          <w:tcPr>
            <w:tcW w:w="0" w:type="auto"/>
            <w:gridSpan w:val="3"/>
            <w:shd w:val="clear" w:color="auto" w:fill="auto"/>
            <w:vAlign w:val="bottom"/>
          </w:tcPr>
          <w:p w14:paraId="71D44353" w14:textId="77777777" w:rsidR="006A3667" w:rsidRDefault="006A3667">
            <w:pPr>
              <w:rPr>
                <w:rFonts w:ascii="宋体"/>
                <w:vanish/>
              </w:rPr>
            </w:pPr>
          </w:p>
        </w:tc>
        <w:tc>
          <w:tcPr>
            <w:tcW w:w="0" w:type="auto"/>
            <w:gridSpan w:val="3"/>
            <w:shd w:val="clear" w:color="auto" w:fill="auto"/>
            <w:vAlign w:val="bottom"/>
          </w:tcPr>
          <w:p w14:paraId="71D44354" w14:textId="77777777" w:rsidR="006A3667" w:rsidRDefault="006A3667">
            <w:pPr>
              <w:rPr>
                <w:rFonts w:ascii="宋体"/>
                <w:vanish/>
              </w:rPr>
            </w:pPr>
          </w:p>
        </w:tc>
        <w:tc>
          <w:tcPr>
            <w:tcW w:w="0" w:type="auto"/>
            <w:gridSpan w:val="3"/>
            <w:shd w:val="clear" w:color="auto" w:fill="auto"/>
            <w:vAlign w:val="bottom"/>
          </w:tcPr>
          <w:p w14:paraId="71D44355" w14:textId="77777777" w:rsidR="006A3667" w:rsidRDefault="006A3667">
            <w:pPr>
              <w:rPr>
                <w:rFonts w:ascii="宋体"/>
                <w:vanish/>
              </w:rPr>
            </w:pPr>
          </w:p>
        </w:tc>
        <w:tc>
          <w:tcPr>
            <w:tcW w:w="0" w:type="auto"/>
            <w:gridSpan w:val="3"/>
            <w:shd w:val="clear" w:color="auto" w:fill="auto"/>
            <w:vAlign w:val="bottom"/>
          </w:tcPr>
          <w:p w14:paraId="71D44356" w14:textId="77777777" w:rsidR="006A3667" w:rsidRDefault="006A3667">
            <w:pPr>
              <w:rPr>
                <w:rFonts w:ascii="宋体"/>
                <w:vanish/>
              </w:rPr>
            </w:pPr>
          </w:p>
        </w:tc>
        <w:tc>
          <w:tcPr>
            <w:tcW w:w="0" w:type="auto"/>
            <w:gridSpan w:val="3"/>
            <w:shd w:val="clear" w:color="auto" w:fill="auto"/>
            <w:vAlign w:val="bottom"/>
          </w:tcPr>
          <w:p w14:paraId="71D44357" w14:textId="77777777" w:rsidR="006A3667" w:rsidRDefault="006A3667">
            <w:pPr>
              <w:rPr>
                <w:rFonts w:ascii="宋体"/>
                <w:vanish/>
              </w:rPr>
            </w:pPr>
          </w:p>
        </w:tc>
        <w:tc>
          <w:tcPr>
            <w:tcW w:w="0" w:type="auto"/>
            <w:gridSpan w:val="2"/>
            <w:shd w:val="clear" w:color="auto" w:fill="auto"/>
            <w:vAlign w:val="bottom"/>
          </w:tcPr>
          <w:p w14:paraId="71D44358" w14:textId="77777777" w:rsidR="006A3667" w:rsidRDefault="006A3667">
            <w:pPr>
              <w:rPr>
                <w:rFonts w:ascii="宋体"/>
                <w:vanish/>
              </w:rPr>
            </w:pPr>
          </w:p>
        </w:tc>
        <w:tc>
          <w:tcPr>
            <w:tcW w:w="0" w:type="auto"/>
            <w:shd w:val="clear" w:color="auto" w:fill="auto"/>
            <w:vAlign w:val="bottom"/>
          </w:tcPr>
          <w:p w14:paraId="71D44359" w14:textId="77777777" w:rsidR="006A3667" w:rsidRDefault="006A3667">
            <w:pPr>
              <w:rPr>
                <w:rFonts w:ascii="宋体"/>
                <w:vanish/>
              </w:rPr>
            </w:pPr>
          </w:p>
        </w:tc>
      </w:tr>
      <w:tr w:rsidR="006A3667" w14:paraId="71D44371" w14:textId="77777777">
        <w:trPr>
          <w:hidden/>
        </w:trPr>
        <w:tc>
          <w:tcPr>
            <w:tcW w:w="0" w:type="auto"/>
            <w:gridSpan w:val="3"/>
            <w:shd w:val="clear" w:color="auto" w:fill="auto"/>
            <w:vAlign w:val="bottom"/>
          </w:tcPr>
          <w:p w14:paraId="71D4435B" w14:textId="77777777" w:rsidR="006A3667" w:rsidRDefault="006A3667">
            <w:pPr>
              <w:rPr>
                <w:rFonts w:ascii="宋体"/>
                <w:vanish/>
              </w:rPr>
            </w:pPr>
          </w:p>
        </w:tc>
        <w:tc>
          <w:tcPr>
            <w:tcW w:w="0" w:type="auto"/>
            <w:gridSpan w:val="3"/>
            <w:shd w:val="clear" w:color="auto" w:fill="auto"/>
            <w:vAlign w:val="bottom"/>
          </w:tcPr>
          <w:p w14:paraId="71D4435C" w14:textId="77777777" w:rsidR="006A3667" w:rsidRDefault="006A3667">
            <w:pPr>
              <w:rPr>
                <w:rFonts w:ascii="宋体"/>
                <w:vanish/>
              </w:rPr>
            </w:pPr>
          </w:p>
        </w:tc>
        <w:tc>
          <w:tcPr>
            <w:tcW w:w="0" w:type="auto"/>
            <w:gridSpan w:val="3"/>
            <w:shd w:val="clear" w:color="auto" w:fill="auto"/>
            <w:vAlign w:val="bottom"/>
          </w:tcPr>
          <w:p w14:paraId="71D4435D" w14:textId="77777777" w:rsidR="006A3667" w:rsidRDefault="006A3667">
            <w:pPr>
              <w:rPr>
                <w:rFonts w:ascii="宋体"/>
                <w:vanish/>
              </w:rPr>
            </w:pPr>
          </w:p>
        </w:tc>
        <w:tc>
          <w:tcPr>
            <w:tcW w:w="0" w:type="auto"/>
            <w:gridSpan w:val="3"/>
            <w:shd w:val="clear" w:color="auto" w:fill="auto"/>
            <w:vAlign w:val="bottom"/>
          </w:tcPr>
          <w:p w14:paraId="71D4435E" w14:textId="77777777" w:rsidR="006A3667" w:rsidRDefault="006A3667">
            <w:pPr>
              <w:rPr>
                <w:rFonts w:ascii="宋体"/>
                <w:vanish/>
              </w:rPr>
            </w:pPr>
          </w:p>
        </w:tc>
        <w:tc>
          <w:tcPr>
            <w:tcW w:w="0" w:type="auto"/>
            <w:gridSpan w:val="3"/>
            <w:shd w:val="clear" w:color="auto" w:fill="auto"/>
            <w:vAlign w:val="bottom"/>
          </w:tcPr>
          <w:p w14:paraId="71D4435F" w14:textId="77777777" w:rsidR="006A3667" w:rsidRDefault="006A3667">
            <w:pPr>
              <w:rPr>
                <w:rFonts w:ascii="宋体"/>
                <w:vanish/>
              </w:rPr>
            </w:pPr>
          </w:p>
        </w:tc>
        <w:tc>
          <w:tcPr>
            <w:tcW w:w="0" w:type="auto"/>
            <w:gridSpan w:val="3"/>
            <w:shd w:val="clear" w:color="auto" w:fill="auto"/>
            <w:vAlign w:val="bottom"/>
          </w:tcPr>
          <w:p w14:paraId="71D44360" w14:textId="77777777" w:rsidR="006A3667" w:rsidRDefault="006A3667">
            <w:pPr>
              <w:rPr>
                <w:rFonts w:ascii="宋体"/>
                <w:vanish/>
              </w:rPr>
            </w:pPr>
          </w:p>
        </w:tc>
        <w:tc>
          <w:tcPr>
            <w:tcW w:w="0" w:type="auto"/>
            <w:gridSpan w:val="3"/>
            <w:shd w:val="clear" w:color="auto" w:fill="auto"/>
            <w:vAlign w:val="bottom"/>
          </w:tcPr>
          <w:p w14:paraId="71D44361" w14:textId="77777777" w:rsidR="006A3667" w:rsidRDefault="006A3667">
            <w:pPr>
              <w:rPr>
                <w:rFonts w:ascii="宋体"/>
                <w:vanish/>
              </w:rPr>
            </w:pPr>
          </w:p>
        </w:tc>
        <w:tc>
          <w:tcPr>
            <w:tcW w:w="0" w:type="auto"/>
            <w:gridSpan w:val="3"/>
            <w:shd w:val="clear" w:color="auto" w:fill="auto"/>
            <w:vAlign w:val="bottom"/>
          </w:tcPr>
          <w:p w14:paraId="71D44362" w14:textId="77777777" w:rsidR="006A3667" w:rsidRDefault="006A3667">
            <w:pPr>
              <w:rPr>
                <w:rFonts w:ascii="宋体"/>
                <w:vanish/>
              </w:rPr>
            </w:pPr>
          </w:p>
        </w:tc>
        <w:tc>
          <w:tcPr>
            <w:tcW w:w="0" w:type="auto"/>
            <w:shd w:val="clear" w:color="auto" w:fill="auto"/>
            <w:vAlign w:val="bottom"/>
          </w:tcPr>
          <w:p w14:paraId="71D44363" w14:textId="77777777" w:rsidR="006A3667" w:rsidRDefault="006A3667">
            <w:pPr>
              <w:rPr>
                <w:rFonts w:ascii="宋体"/>
                <w:vanish/>
              </w:rPr>
            </w:pPr>
          </w:p>
        </w:tc>
        <w:tc>
          <w:tcPr>
            <w:tcW w:w="0" w:type="auto"/>
            <w:shd w:val="clear" w:color="auto" w:fill="auto"/>
            <w:vAlign w:val="bottom"/>
          </w:tcPr>
          <w:p w14:paraId="71D44364" w14:textId="77777777" w:rsidR="006A3667" w:rsidRDefault="006A3667">
            <w:pPr>
              <w:rPr>
                <w:rFonts w:ascii="宋体"/>
                <w:vanish/>
              </w:rPr>
            </w:pPr>
          </w:p>
        </w:tc>
        <w:tc>
          <w:tcPr>
            <w:tcW w:w="0" w:type="auto"/>
            <w:gridSpan w:val="3"/>
            <w:shd w:val="clear" w:color="auto" w:fill="auto"/>
            <w:vAlign w:val="bottom"/>
          </w:tcPr>
          <w:p w14:paraId="71D44365" w14:textId="77777777" w:rsidR="006A3667" w:rsidRDefault="006A3667">
            <w:pPr>
              <w:rPr>
                <w:rFonts w:ascii="宋体"/>
                <w:vanish/>
              </w:rPr>
            </w:pPr>
          </w:p>
        </w:tc>
        <w:tc>
          <w:tcPr>
            <w:tcW w:w="0" w:type="auto"/>
            <w:gridSpan w:val="3"/>
            <w:shd w:val="clear" w:color="auto" w:fill="auto"/>
            <w:vAlign w:val="bottom"/>
          </w:tcPr>
          <w:p w14:paraId="71D44366" w14:textId="77777777" w:rsidR="006A3667" w:rsidRDefault="006A3667">
            <w:pPr>
              <w:rPr>
                <w:rFonts w:ascii="宋体"/>
                <w:vanish/>
              </w:rPr>
            </w:pPr>
          </w:p>
        </w:tc>
        <w:tc>
          <w:tcPr>
            <w:tcW w:w="0" w:type="auto"/>
            <w:gridSpan w:val="3"/>
            <w:shd w:val="clear" w:color="auto" w:fill="auto"/>
            <w:vAlign w:val="bottom"/>
          </w:tcPr>
          <w:p w14:paraId="71D44367" w14:textId="77777777" w:rsidR="006A3667" w:rsidRDefault="006A3667">
            <w:pPr>
              <w:rPr>
                <w:rFonts w:ascii="宋体"/>
                <w:vanish/>
              </w:rPr>
            </w:pPr>
          </w:p>
        </w:tc>
        <w:tc>
          <w:tcPr>
            <w:tcW w:w="0" w:type="auto"/>
            <w:gridSpan w:val="3"/>
            <w:shd w:val="clear" w:color="auto" w:fill="auto"/>
            <w:vAlign w:val="bottom"/>
          </w:tcPr>
          <w:p w14:paraId="71D44368" w14:textId="77777777" w:rsidR="006A3667" w:rsidRDefault="006A3667">
            <w:pPr>
              <w:rPr>
                <w:rFonts w:ascii="宋体"/>
                <w:vanish/>
              </w:rPr>
            </w:pPr>
          </w:p>
        </w:tc>
        <w:tc>
          <w:tcPr>
            <w:tcW w:w="0" w:type="auto"/>
            <w:gridSpan w:val="3"/>
            <w:shd w:val="clear" w:color="auto" w:fill="auto"/>
            <w:vAlign w:val="bottom"/>
          </w:tcPr>
          <w:p w14:paraId="71D44369" w14:textId="77777777" w:rsidR="006A3667" w:rsidRDefault="006A3667">
            <w:pPr>
              <w:rPr>
                <w:rFonts w:ascii="宋体"/>
                <w:vanish/>
              </w:rPr>
            </w:pPr>
          </w:p>
        </w:tc>
        <w:tc>
          <w:tcPr>
            <w:tcW w:w="0" w:type="auto"/>
            <w:gridSpan w:val="3"/>
            <w:shd w:val="clear" w:color="auto" w:fill="auto"/>
            <w:vAlign w:val="bottom"/>
          </w:tcPr>
          <w:p w14:paraId="71D4436A" w14:textId="77777777" w:rsidR="006A3667" w:rsidRDefault="006A3667">
            <w:pPr>
              <w:rPr>
                <w:rFonts w:ascii="宋体"/>
                <w:vanish/>
              </w:rPr>
            </w:pPr>
          </w:p>
        </w:tc>
        <w:tc>
          <w:tcPr>
            <w:tcW w:w="0" w:type="auto"/>
            <w:gridSpan w:val="3"/>
            <w:shd w:val="clear" w:color="auto" w:fill="auto"/>
            <w:vAlign w:val="bottom"/>
          </w:tcPr>
          <w:p w14:paraId="71D4436B" w14:textId="77777777" w:rsidR="006A3667" w:rsidRDefault="006A3667">
            <w:pPr>
              <w:rPr>
                <w:rFonts w:ascii="宋体"/>
                <w:vanish/>
              </w:rPr>
            </w:pPr>
          </w:p>
        </w:tc>
        <w:tc>
          <w:tcPr>
            <w:tcW w:w="0" w:type="auto"/>
            <w:gridSpan w:val="3"/>
            <w:shd w:val="clear" w:color="auto" w:fill="auto"/>
            <w:vAlign w:val="bottom"/>
          </w:tcPr>
          <w:p w14:paraId="71D4436C" w14:textId="77777777" w:rsidR="006A3667" w:rsidRDefault="006A3667">
            <w:pPr>
              <w:rPr>
                <w:rFonts w:ascii="宋体"/>
                <w:vanish/>
              </w:rPr>
            </w:pPr>
          </w:p>
        </w:tc>
        <w:tc>
          <w:tcPr>
            <w:tcW w:w="0" w:type="auto"/>
            <w:gridSpan w:val="3"/>
            <w:shd w:val="clear" w:color="auto" w:fill="auto"/>
            <w:vAlign w:val="bottom"/>
          </w:tcPr>
          <w:p w14:paraId="71D4436D" w14:textId="77777777" w:rsidR="006A3667" w:rsidRDefault="006A3667">
            <w:pPr>
              <w:rPr>
                <w:rFonts w:ascii="宋体"/>
                <w:vanish/>
              </w:rPr>
            </w:pPr>
          </w:p>
        </w:tc>
        <w:tc>
          <w:tcPr>
            <w:tcW w:w="0" w:type="auto"/>
            <w:gridSpan w:val="3"/>
            <w:shd w:val="clear" w:color="auto" w:fill="auto"/>
            <w:vAlign w:val="bottom"/>
          </w:tcPr>
          <w:p w14:paraId="71D4436E" w14:textId="77777777" w:rsidR="006A3667" w:rsidRDefault="006A3667">
            <w:pPr>
              <w:rPr>
                <w:rFonts w:ascii="宋体"/>
                <w:vanish/>
              </w:rPr>
            </w:pPr>
          </w:p>
        </w:tc>
        <w:tc>
          <w:tcPr>
            <w:tcW w:w="0" w:type="auto"/>
            <w:gridSpan w:val="2"/>
            <w:shd w:val="clear" w:color="auto" w:fill="auto"/>
            <w:vAlign w:val="bottom"/>
          </w:tcPr>
          <w:p w14:paraId="71D4436F" w14:textId="77777777" w:rsidR="006A3667" w:rsidRDefault="006A3667">
            <w:pPr>
              <w:rPr>
                <w:rFonts w:ascii="宋体"/>
                <w:vanish/>
              </w:rPr>
            </w:pPr>
          </w:p>
        </w:tc>
        <w:tc>
          <w:tcPr>
            <w:tcW w:w="0" w:type="auto"/>
            <w:shd w:val="clear" w:color="auto" w:fill="auto"/>
            <w:vAlign w:val="bottom"/>
          </w:tcPr>
          <w:p w14:paraId="71D44370" w14:textId="77777777" w:rsidR="006A3667" w:rsidRDefault="006A3667">
            <w:pPr>
              <w:rPr>
                <w:rFonts w:ascii="宋体"/>
                <w:vanish/>
              </w:rPr>
            </w:pPr>
          </w:p>
        </w:tc>
      </w:tr>
      <w:tr w:rsidR="006A3667" w14:paraId="71D44388" w14:textId="77777777">
        <w:trPr>
          <w:hidden/>
        </w:trPr>
        <w:tc>
          <w:tcPr>
            <w:tcW w:w="0" w:type="auto"/>
            <w:gridSpan w:val="3"/>
            <w:shd w:val="clear" w:color="auto" w:fill="auto"/>
            <w:vAlign w:val="bottom"/>
          </w:tcPr>
          <w:p w14:paraId="71D44372" w14:textId="77777777" w:rsidR="006A3667" w:rsidRDefault="006A3667">
            <w:pPr>
              <w:rPr>
                <w:rFonts w:ascii="宋体"/>
                <w:vanish/>
              </w:rPr>
            </w:pPr>
          </w:p>
        </w:tc>
        <w:tc>
          <w:tcPr>
            <w:tcW w:w="0" w:type="auto"/>
            <w:gridSpan w:val="3"/>
            <w:shd w:val="clear" w:color="auto" w:fill="auto"/>
            <w:vAlign w:val="bottom"/>
          </w:tcPr>
          <w:p w14:paraId="71D44373" w14:textId="77777777" w:rsidR="006A3667" w:rsidRDefault="006A3667">
            <w:pPr>
              <w:rPr>
                <w:rFonts w:ascii="宋体"/>
                <w:vanish/>
              </w:rPr>
            </w:pPr>
          </w:p>
        </w:tc>
        <w:tc>
          <w:tcPr>
            <w:tcW w:w="0" w:type="auto"/>
            <w:gridSpan w:val="3"/>
            <w:shd w:val="clear" w:color="auto" w:fill="auto"/>
            <w:vAlign w:val="bottom"/>
          </w:tcPr>
          <w:p w14:paraId="71D44374" w14:textId="77777777" w:rsidR="006A3667" w:rsidRDefault="006A3667">
            <w:pPr>
              <w:rPr>
                <w:rFonts w:ascii="宋体"/>
                <w:vanish/>
              </w:rPr>
            </w:pPr>
          </w:p>
        </w:tc>
        <w:tc>
          <w:tcPr>
            <w:tcW w:w="0" w:type="auto"/>
            <w:gridSpan w:val="3"/>
            <w:shd w:val="clear" w:color="auto" w:fill="auto"/>
            <w:vAlign w:val="bottom"/>
          </w:tcPr>
          <w:p w14:paraId="71D44375" w14:textId="77777777" w:rsidR="006A3667" w:rsidRDefault="006A3667">
            <w:pPr>
              <w:rPr>
                <w:rFonts w:ascii="宋体"/>
                <w:vanish/>
              </w:rPr>
            </w:pPr>
          </w:p>
        </w:tc>
        <w:tc>
          <w:tcPr>
            <w:tcW w:w="0" w:type="auto"/>
            <w:gridSpan w:val="3"/>
            <w:shd w:val="clear" w:color="auto" w:fill="auto"/>
            <w:vAlign w:val="bottom"/>
          </w:tcPr>
          <w:p w14:paraId="71D44376" w14:textId="77777777" w:rsidR="006A3667" w:rsidRDefault="006A3667">
            <w:pPr>
              <w:rPr>
                <w:rFonts w:ascii="宋体"/>
                <w:vanish/>
              </w:rPr>
            </w:pPr>
          </w:p>
        </w:tc>
        <w:tc>
          <w:tcPr>
            <w:tcW w:w="0" w:type="auto"/>
            <w:gridSpan w:val="3"/>
            <w:shd w:val="clear" w:color="auto" w:fill="auto"/>
            <w:vAlign w:val="bottom"/>
          </w:tcPr>
          <w:p w14:paraId="71D44377" w14:textId="77777777" w:rsidR="006A3667" w:rsidRDefault="006A3667">
            <w:pPr>
              <w:rPr>
                <w:rFonts w:ascii="宋体"/>
                <w:vanish/>
              </w:rPr>
            </w:pPr>
          </w:p>
        </w:tc>
        <w:tc>
          <w:tcPr>
            <w:tcW w:w="0" w:type="auto"/>
            <w:gridSpan w:val="3"/>
            <w:shd w:val="clear" w:color="auto" w:fill="auto"/>
            <w:vAlign w:val="bottom"/>
          </w:tcPr>
          <w:p w14:paraId="71D44378" w14:textId="77777777" w:rsidR="006A3667" w:rsidRDefault="006A3667">
            <w:pPr>
              <w:rPr>
                <w:rFonts w:ascii="宋体"/>
                <w:vanish/>
              </w:rPr>
            </w:pPr>
          </w:p>
        </w:tc>
        <w:tc>
          <w:tcPr>
            <w:tcW w:w="0" w:type="auto"/>
            <w:gridSpan w:val="3"/>
            <w:shd w:val="clear" w:color="auto" w:fill="auto"/>
            <w:vAlign w:val="bottom"/>
          </w:tcPr>
          <w:p w14:paraId="71D44379" w14:textId="77777777" w:rsidR="006A3667" w:rsidRDefault="006A3667">
            <w:pPr>
              <w:rPr>
                <w:rFonts w:ascii="宋体"/>
                <w:vanish/>
              </w:rPr>
            </w:pPr>
          </w:p>
        </w:tc>
        <w:tc>
          <w:tcPr>
            <w:tcW w:w="0" w:type="auto"/>
            <w:shd w:val="clear" w:color="auto" w:fill="auto"/>
            <w:vAlign w:val="bottom"/>
          </w:tcPr>
          <w:p w14:paraId="71D4437A" w14:textId="77777777" w:rsidR="006A3667" w:rsidRDefault="006A3667">
            <w:pPr>
              <w:rPr>
                <w:rFonts w:ascii="宋体"/>
                <w:vanish/>
              </w:rPr>
            </w:pPr>
          </w:p>
        </w:tc>
        <w:tc>
          <w:tcPr>
            <w:tcW w:w="0" w:type="auto"/>
            <w:shd w:val="clear" w:color="auto" w:fill="auto"/>
            <w:vAlign w:val="bottom"/>
          </w:tcPr>
          <w:p w14:paraId="71D4437B" w14:textId="77777777" w:rsidR="006A3667" w:rsidRDefault="006A3667">
            <w:pPr>
              <w:rPr>
                <w:rFonts w:ascii="宋体"/>
                <w:vanish/>
              </w:rPr>
            </w:pPr>
          </w:p>
        </w:tc>
        <w:tc>
          <w:tcPr>
            <w:tcW w:w="0" w:type="auto"/>
            <w:gridSpan w:val="3"/>
            <w:shd w:val="clear" w:color="auto" w:fill="auto"/>
            <w:vAlign w:val="bottom"/>
          </w:tcPr>
          <w:p w14:paraId="71D4437C" w14:textId="77777777" w:rsidR="006A3667" w:rsidRDefault="006A3667">
            <w:pPr>
              <w:rPr>
                <w:rFonts w:ascii="宋体"/>
                <w:vanish/>
              </w:rPr>
            </w:pPr>
          </w:p>
        </w:tc>
        <w:tc>
          <w:tcPr>
            <w:tcW w:w="0" w:type="auto"/>
            <w:gridSpan w:val="3"/>
            <w:shd w:val="clear" w:color="auto" w:fill="auto"/>
            <w:vAlign w:val="bottom"/>
          </w:tcPr>
          <w:p w14:paraId="71D4437D" w14:textId="77777777" w:rsidR="006A3667" w:rsidRDefault="006A3667">
            <w:pPr>
              <w:rPr>
                <w:rFonts w:ascii="宋体"/>
                <w:vanish/>
              </w:rPr>
            </w:pPr>
          </w:p>
        </w:tc>
        <w:tc>
          <w:tcPr>
            <w:tcW w:w="0" w:type="auto"/>
            <w:gridSpan w:val="3"/>
            <w:shd w:val="clear" w:color="auto" w:fill="auto"/>
            <w:vAlign w:val="bottom"/>
          </w:tcPr>
          <w:p w14:paraId="71D4437E" w14:textId="77777777" w:rsidR="006A3667" w:rsidRDefault="006A3667">
            <w:pPr>
              <w:rPr>
                <w:rFonts w:ascii="宋体"/>
                <w:vanish/>
              </w:rPr>
            </w:pPr>
          </w:p>
        </w:tc>
        <w:tc>
          <w:tcPr>
            <w:tcW w:w="0" w:type="auto"/>
            <w:gridSpan w:val="3"/>
            <w:shd w:val="clear" w:color="auto" w:fill="auto"/>
            <w:vAlign w:val="bottom"/>
          </w:tcPr>
          <w:p w14:paraId="71D4437F" w14:textId="77777777" w:rsidR="006A3667" w:rsidRDefault="006A3667">
            <w:pPr>
              <w:rPr>
                <w:rFonts w:ascii="宋体"/>
                <w:vanish/>
              </w:rPr>
            </w:pPr>
          </w:p>
        </w:tc>
        <w:tc>
          <w:tcPr>
            <w:tcW w:w="0" w:type="auto"/>
            <w:gridSpan w:val="3"/>
            <w:shd w:val="clear" w:color="auto" w:fill="auto"/>
            <w:vAlign w:val="bottom"/>
          </w:tcPr>
          <w:p w14:paraId="71D44380" w14:textId="77777777" w:rsidR="006A3667" w:rsidRDefault="006A3667">
            <w:pPr>
              <w:rPr>
                <w:rFonts w:ascii="宋体"/>
                <w:vanish/>
              </w:rPr>
            </w:pPr>
          </w:p>
        </w:tc>
        <w:tc>
          <w:tcPr>
            <w:tcW w:w="0" w:type="auto"/>
            <w:gridSpan w:val="3"/>
            <w:shd w:val="clear" w:color="auto" w:fill="auto"/>
            <w:vAlign w:val="bottom"/>
          </w:tcPr>
          <w:p w14:paraId="71D44381" w14:textId="77777777" w:rsidR="006A3667" w:rsidRDefault="006A3667">
            <w:pPr>
              <w:rPr>
                <w:rFonts w:ascii="宋体"/>
                <w:vanish/>
              </w:rPr>
            </w:pPr>
          </w:p>
        </w:tc>
        <w:tc>
          <w:tcPr>
            <w:tcW w:w="0" w:type="auto"/>
            <w:gridSpan w:val="3"/>
            <w:shd w:val="clear" w:color="auto" w:fill="auto"/>
            <w:vAlign w:val="bottom"/>
          </w:tcPr>
          <w:p w14:paraId="71D44382" w14:textId="77777777" w:rsidR="006A3667" w:rsidRDefault="006A3667">
            <w:pPr>
              <w:rPr>
                <w:rFonts w:ascii="宋体"/>
                <w:vanish/>
              </w:rPr>
            </w:pPr>
          </w:p>
        </w:tc>
        <w:tc>
          <w:tcPr>
            <w:tcW w:w="0" w:type="auto"/>
            <w:gridSpan w:val="3"/>
            <w:shd w:val="clear" w:color="auto" w:fill="auto"/>
            <w:vAlign w:val="bottom"/>
          </w:tcPr>
          <w:p w14:paraId="71D44383" w14:textId="77777777" w:rsidR="006A3667" w:rsidRDefault="006A3667">
            <w:pPr>
              <w:rPr>
                <w:rFonts w:ascii="宋体"/>
                <w:vanish/>
              </w:rPr>
            </w:pPr>
          </w:p>
        </w:tc>
        <w:tc>
          <w:tcPr>
            <w:tcW w:w="0" w:type="auto"/>
            <w:gridSpan w:val="3"/>
            <w:shd w:val="clear" w:color="auto" w:fill="auto"/>
            <w:vAlign w:val="bottom"/>
          </w:tcPr>
          <w:p w14:paraId="71D44384" w14:textId="77777777" w:rsidR="006A3667" w:rsidRDefault="006A3667">
            <w:pPr>
              <w:rPr>
                <w:rFonts w:ascii="宋体"/>
                <w:vanish/>
              </w:rPr>
            </w:pPr>
          </w:p>
        </w:tc>
        <w:tc>
          <w:tcPr>
            <w:tcW w:w="0" w:type="auto"/>
            <w:gridSpan w:val="3"/>
            <w:shd w:val="clear" w:color="auto" w:fill="auto"/>
            <w:vAlign w:val="bottom"/>
          </w:tcPr>
          <w:p w14:paraId="71D44385" w14:textId="77777777" w:rsidR="006A3667" w:rsidRDefault="006A3667">
            <w:pPr>
              <w:rPr>
                <w:rFonts w:ascii="宋体"/>
                <w:vanish/>
              </w:rPr>
            </w:pPr>
          </w:p>
        </w:tc>
        <w:tc>
          <w:tcPr>
            <w:tcW w:w="0" w:type="auto"/>
            <w:gridSpan w:val="2"/>
            <w:shd w:val="clear" w:color="auto" w:fill="auto"/>
            <w:vAlign w:val="bottom"/>
          </w:tcPr>
          <w:p w14:paraId="71D44386" w14:textId="77777777" w:rsidR="006A3667" w:rsidRDefault="006A3667">
            <w:pPr>
              <w:rPr>
                <w:rFonts w:ascii="宋体"/>
                <w:vanish/>
              </w:rPr>
            </w:pPr>
          </w:p>
        </w:tc>
        <w:tc>
          <w:tcPr>
            <w:tcW w:w="0" w:type="auto"/>
            <w:shd w:val="clear" w:color="auto" w:fill="auto"/>
            <w:vAlign w:val="bottom"/>
          </w:tcPr>
          <w:p w14:paraId="71D44387" w14:textId="77777777" w:rsidR="006A3667" w:rsidRDefault="006A3667">
            <w:pPr>
              <w:rPr>
                <w:rFonts w:ascii="宋体"/>
                <w:vanish/>
              </w:rPr>
            </w:pPr>
          </w:p>
        </w:tc>
      </w:tr>
      <w:tr w:rsidR="006A3667" w14:paraId="71D4439F" w14:textId="77777777">
        <w:trPr>
          <w:hidden/>
        </w:trPr>
        <w:tc>
          <w:tcPr>
            <w:tcW w:w="0" w:type="auto"/>
            <w:gridSpan w:val="3"/>
            <w:shd w:val="clear" w:color="auto" w:fill="auto"/>
            <w:vAlign w:val="bottom"/>
          </w:tcPr>
          <w:p w14:paraId="71D44389" w14:textId="77777777" w:rsidR="006A3667" w:rsidRDefault="006A3667">
            <w:pPr>
              <w:rPr>
                <w:rFonts w:ascii="宋体"/>
                <w:vanish/>
              </w:rPr>
            </w:pPr>
          </w:p>
        </w:tc>
        <w:tc>
          <w:tcPr>
            <w:tcW w:w="0" w:type="auto"/>
            <w:gridSpan w:val="3"/>
            <w:shd w:val="clear" w:color="auto" w:fill="auto"/>
            <w:vAlign w:val="bottom"/>
          </w:tcPr>
          <w:p w14:paraId="71D4438A" w14:textId="77777777" w:rsidR="006A3667" w:rsidRDefault="006A3667">
            <w:pPr>
              <w:rPr>
                <w:rFonts w:ascii="宋体"/>
                <w:vanish/>
              </w:rPr>
            </w:pPr>
          </w:p>
        </w:tc>
        <w:tc>
          <w:tcPr>
            <w:tcW w:w="0" w:type="auto"/>
            <w:gridSpan w:val="3"/>
            <w:shd w:val="clear" w:color="auto" w:fill="auto"/>
            <w:vAlign w:val="bottom"/>
          </w:tcPr>
          <w:p w14:paraId="71D4438B" w14:textId="77777777" w:rsidR="006A3667" w:rsidRDefault="006A3667">
            <w:pPr>
              <w:rPr>
                <w:rFonts w:ascii="宋体"/>
                <w:vanish/>
              </w:rPr>
            </w:pPr>
          </w:p>
        </w:tc>
        <w:tc>
          <w:tcPr>
            <w:tcW w:w="0" w:type="auto"/>
            <w:gridSpan w:val="3"/>
            <w:shd w:val="clear" w:color="auto" w:fill="auto"/>
            <w:vAlign w:val="bottom"/>
          </w:tcPr>
          <w:p w14:paraId="71D4438C" w14:textId="77777777" w:rsidR="006A3667" w:rsidRDefault="006A3667">
            <w:pPr>
              <w:rPr>
                <w:rFonts w:ascii="宋体"/>
                <w:vanish/>
              </w:rPr>
            </w:pPr>
          </w:p>
        </w:tc>
        <w:tc>
          <w:tcPr>
            <w:tcW w:w="0" w:type="auto"/>
            <w:gridSpan w:val="3"/>
            <w:shd w:val="clear" w:color="auto" w:fill="auto"/>
            <w:vAlign w:val="bottom"/>
          </w:tcPr>
          <w:p w14:paraId="71D4438D" w14:textId="77777777" w:rsidR="006A3667" w:rsidRDefault="006A3667">
            <w:pPr>
              <w:rPr>
                <w:rFonts w:ascii="宋体"/>
                <w:vanish/>
              </w:rPr>
            </w:pPr>
          </w:p>
        </w:tc>
        <w:tc>
          <w:tcPr>
            <w:tcW w:w="0" w:type="auto"/>
            <w:gridSpan w:val="3"/>
            <w:shd w:val="clear" w:color="auto" w:fill="auto"/>
            <w:vAlign w:val="bottom"/>
          </w:tcPr>
          <w:p w14:paraId="71D4438E" w14:textId="77777777" w:rsidR="006A3667" w:rsidRDefault="006A3667">
            <w:pPr>
              <w:rPr>
                <w:rFonts w:ascii="宋体"/>
                <w:vanish/>
              </w:rPr>
            </w:pPr>
          </w:p>
        </w:tc>
        <w:tc>
          <w:tcPr>
            <w:tcW w:w="0" w:type="auto"/>
            <w:gridSpan w:val="3"/>
            <w:shd w:val="clear" w:color="auto" w:fill="auto"/>
            <w:vAlign w:val="bottom"/>
          </w:tcPr>
          <w:p w14:paraId="71D4438F" w14:textId="77777777" w:rsidR="006A3667" w:rsidRDefault="006A3667">
            <w:pPr>
              <w:rPr>
                <w:rFonts w:ascii="宋体"/>
                <w:vanish/>
              </w:rPr>
            </w:pPr>
          </w:p>
        </w:tc>
        <w:tc>
          <w:tcPr>
            <w:tcW w:w="0" w:type="auto"/>
            <w:gridSpan w:val="3"/>
            <w:shd w:val="clear" w:color="auto" w:fill="auto"/>
            <w:vAlign w:val="bottom"/>
          </w:tcPr>
          <w:p w14:paraId="71D44390" w14:textId="77777777" w:rsidR="006A3667" w:rsidRDefault="006A3667">
            <w:pPr>
              <w:rPr>
                <w:rFonts w:ascii="宋体"/>
                <w:vanish/>
              </w:rPr>
            </w:pPr>
          </w:p>
        </w:tc>
        <w:tc>
          <w:tcPr>
            <w:tcW w:w="0" w:type="auto"/>
            <w:shd w:val="clear" w:color="auto" w:fill="auto"/>
            <w:vAlign w:val="bottom"/>
          </w:tcPr>
          <w:p w14:paraId="71D44391" w14:textId="77777777" w:rsidR="006A3667" w:rsidRDefault="006A3667">
            <w:pPr>
              <w:rPr>
                <w:rFonts w:ascii="宋体"/>
                <w:vanish/>
              </w:rPr>
            </w:pPr>
          </w:p>
        </w:tc>
        <w:tc>
          <w:tcPr>
            <w:tcW w:w="0" w:type="auto"/>
            <w:shd w:val="clear" w:color="auto" w:fill="auto"/>
            <w:vAlign w:val="bottom"/>
          </w:tcPr>
          <w:p w14:paraId="71D44392" w14:textId="77777777" w:rsidR="006A3667" w:rsidRDefault="006A3667">
            <w:pPr>
              <w:rPr>
                <w:rFonts w:ascii="宋体"/>
                <w:vanish/>
              </w:rPr>
            </w:pPr>
          </w:p>
        </w:tc>
        <w:tc>
          <w:tcPr>
            <w:tcW w:w="0" w:type="auto"/>
            <w:gridSpan w:val="3"/>
            <w:shd w:val="clear" w:color="auto" w:fill="auto"/>
            <w:vAlign w:val="bottom"/>
          </w:tcPr>
          <w:p w14:paraId="71D44393" w14:textId="77777777" w:rsidR="006A3667" w:rsidRDefault="006A3667">
            <w:pPr>
              <w:rPr>
                <w:rFonts w:ascii="宋体"/>
                <w:vanish/>
              </w:rPr>
            </w:pPr>
          </w:p>
        </w:tc>
        <w:tc>
          <w:tcPr>
            <w:tcW w:w="0" w:type="auto"/>
            <w:gridSpan w:val="3"/>
            <w:shd w:val="clear" w:color="auto" w:fill="auto"/>
            <w:vAlign w:val="bottom"/>
          </w:tcPr>
          <w:p w14:paraId="71D44394" w14:textId="77777777" w:rsidR="006A3667" w:rsidRDefault="006A3667">
            <w:pPr>
              <w:rPr>
                <w:rFonts w:ascii="宋体"/>
                <w:vanish/>
              </w:rPr>
            </w:pPr>
          </w:p>
        </w:tc>
        <w:tc>
          <w:tcPr>
            <w:tcW w:w="0" w:type="auto"/>
            <w:gridSpan w:val="3"/>
            <w:shd w:val="clear" w:color="auto" w:fill="auto"/>
            <w:vAlign w:val="bottom"/>
          </w:tcPr>
          <w:p w14:paraId="71D44395" w14:textId="77777777" w:rsidR="006A3667" w:rsidRDefault="006A3667">
            <w:pPr>
              <w:rPr>
                <w:rFonts w:ascii="宋体"/>
                <w:vanish/>
              </w:rPr>
            </w:pPr>
          </w:p>
        </w:tc>
        <w:tc>
          <w:tcPr>
            <w:tcW w:w="0" w:type="auto"/>
            <w:gridSpan w:val="3"/>
            <w:shd w:val="clear" w:color="auto" w:fill="auto"/>
            <w:vAlign w:val="bottom"/>
          </w:tcPr>
          <w:p w14:paraId="71D44396" w14:textId="77777777" w:rsidR="006A3667" w:rsidRDefault="006A3667">
            <w:pPr>
              <w:rPr>
                <w:rFonts w:ascii="宋体"/>
                <w:vanish/>
              </w:rPr>
            </w:pPr>
          </w:p>
        </w:tc>
        <w:tc>
          <w:tcPr>
            <w:tcW w:w="0" w:type="auto"/>
            <w:gridSpan w:val="3"/>
            <w:shd w:val="clear" w:color="auto" w:fill="auto"/>
            <w:vAlign w:val="bottom"/>
          </w:tcPr>
          <w:p w14:paraId="71D44397" w14:textId="77777777" w:rsidR="006A3667" w:rsidRDefault="006A3667">
            <w:pPr>
              <w:rPr>
                <w:rFonts w:ascii="宋体"/>
                <w:vanish/>
              </w:rPr>
            </w:pPr>
          </w:p>
        </w:tc>
        <w:tc>
          <w:tcPr>
            <w:tcW w:w="0" w:type="auto"/>
            <w:gridSpan w:val="3"/>
            <w:shd w:val="clear" w:color="auto" w:fill="auto"/>
            <w:vAlign w:val="bottom"/>
          </w:tcPr>
          <w:p w14:paraId="71D44398" w14:textId="77777777" w:rsidR="006A3667" w:rsidRDefault="006A3667">
            <w:pPr>
              <w:rPr>
                <w:rFonts w:ascii="宋体"/>
                <w:vanish/>
              </w:rPr>
            </w:pPr>
          </w:p>
        </w:tc>
        <w:tc>
          <w:tcPr>
            <w:tcW w:w="0" w:type="auto"/>
            <w:gridSpan w:val="3"/>
            <w:shd w:val="clear" w:color="auto" w:fill="auto"/>
            <w:vAlign w:val="bottom"/>
          </w:tcPr>
          <w:p w14:paraId="71D44399" w14:textId="77777777" w:rsidR="006A3667" w:rsidRDefault="006A3667">
            <w:pPr>
              <w:rPr>
                <w:rFonts w:ascii="宋体"/>
                <w:vanish/>
              </w:rPr>
            </w:pPr>
          </w:p>
        </w:tc>
        <w:tc>
          <w:tcPr>
            <w:tcW w:w="0" w:type="auto"/>
            <w:gridSpan w:val="3"/>
            <w:shd w:val="clear" w:color="auto" w:fill="auto"/>
            <w:vAlign w:val="bottom"/>
          </w:tcPr>
          <w:p w14:paraId="71D4439A" w14:textId="77777777" w:rsidR="006A3667" w:rsidRDefault="006A3667">
            <w:pPr>
              <w:rPr>
                <w:rFonts w:ascii="宋体"/>
                <w:vanish/>
              </w:rPr>
            </w:pPr>
          </w:p>
        </w:tc>
        <w:tc>
          <w:tcPr>
            <w:tcW w:w="0" w:type="auto"/>
            <w:gridSpan w:val="3"/>
            <w:shd w:val="clear" w:color="auto" w:fill="auto"/>
            <w:vAlign w:val="bottom"/>
          </w:tcPr>
          <w:p w14:paraId="71D4439B" w14:textId="77777777" w:rsidR="006A3667" w:rsidRDefault="006A3667">
            <w:pPr>
              <w:rPr>
                <w:rFonts w:ascii="宋体"/>
                <w:vanish/>
              </w:rPr>
            </w:pPr>
          </w:p>
        </w:tc>
        <w:tc>
          <w:tcPr>
            <w:tcW w:w="0" w:type="auto"/>
            <w:gridSpan w:val="3"/>
            <w:shd w:val="clear" w:color="auto" w:fill="auto"/>
            <w:vAlign w:val="bottom"/>
          </w:tcPr>
          <w:p w14:paraId="71D4439C" w14:textId="77777777" w:rsidR="006A3667" w:rsidRDefault="006A3667">
            <w:pPr>
              <w:rPr>
                <w:rFonts w:ascii="宋体"/>
                <w:vanish/>
              </w:rPr>
            </w:pPr>
          </w:p>
        </w:tc>
        <w:tc>
          <w:tcPr>
            <w:tcW w:w="0" w:type="auto"/>
            <w:gridSpan w:val="2"/>
            <w:shd w:val="clear" w:color="auto" w:fill="auto"/>
            <w:vAlign w:val="bottom"/>
          </w:tcPr>
          <w:p w14:paraId="71D4439D" w14:textId="77777777" w:rsidR="006A3667" w:rsidRDefault="006A3667">
            <w:pPr>
              <w:rPr>
                <w:rFonts w:ascii="宋体"/>
                <w:vanish/>
              </w:rPr>
            </w:pPr>
          </w:p>
        </w:tc>
        <w:tc>
          <w:tcPr>
            <w:tcW w:w="0" w:type="auto"/>
            <w:shd w:val="clear" w:color="auto" w:fill="auto"/>
            <w:vAlign w:val="bottom"/>
          </w:tcPr>
          <w:p w14:paraId="71D4439E" w14:textId="77777777" w:rsidR="006A3667" w:rsidRDefault="006A3667">
            <w:pPr>
              <w:rPr>
                <w:rFonts w:ascii="宋体"/>
                <w:vanish/>
              </w:rPr>
            </w:pPr>
          </w:p>
        </w:tc>
      </w:tr>
      <w:tr w:rsidR="006A3667" w14:paraId="71D443B6" w14:textId="77777777">
        <w:trPr>
          <w:hidden/>
        </w:trPr>
        <w:tc>
          <w:tcPr>
            <w:tcW w:w="0" w:type="auto"/>
            <w:gridSpan w:val="3"/>
            <w:shd w:val="clear" w:color="auto" w:fill="auto"/>
            <w:vAlign w:val="bottom"/>
          </w:tcPr>
          <w:p w14:paraId="71D443A0" w14:textId="77777777" w:rsidR="006A3667" w:rsidRDefault="006A3667">
            <w:pPr>
              <w:rPr>
                <w:rFonts w:ascii="宋体"/>
                <w:vanish/>
              </w:rPr>
            </w:pPr>
          </w:p>
        </w:tc>
        <w:tc>
          <w:tcPr>
            <w:tcW w:w="0" w:type="auto"/>
            <w:gridSpan w:val="3"/>
            <w:shd w:val="clear" w:color="auto" w:fill="auto"/>
            <w:vAlign w:val="bottom"/>
          </w:tcPr>
          <w:p w14:paraId="71D443A1" w14:textId="77777777" w:rsidR="006A3667" w:rsidRDefault="006A3667">
            <w:pPr>
              <w:rPr>
                <w:rFonts w:ascii="宋体"/>
                <w:vanish/>
              </w:rPr>
            </w:pPr>
          </w:p>
        </w:tc>
        <w:tc>
          <w:tcPr>
            <w:tcW w:w="0" w:type="auto"/>
            <w:gridSpan w:val="3"/>
            <w:shd w:val="clear" w:color="auto" w:fill="auto"/>
            <w:vAlign w:val="bottom"/>
          </w:tcPr>
          <w:p w14:paraId="71D443A2" w14:textId="77777777" w:rsidR="006A3667" w:rsidRDefault="006A3667">
            <w:pPr>
              <w:rPr>
                <w:rFonts w:ascii="宋体"/>
                <w:vanish/>
              </w:rPr>
            </w:pPr>
          </w:p>
        </w:tc>
        <w:tc>
          <w:tcPr>
            <w:tcW w:w="0" w:type="auto"/>
            <w:gridSpan w:val="3"/>
            <w:shd w:val="clear" w:color="auto" w:fill="auto"/>
            <w:vAlign w:val="bottom"/>
          </w:tcPr>
          <w:p w14:paraId="71D443A3" w14:textId="77777777" w:rsidR="006A3667" w:rsidRDefault="006A3667">
            <w:pPr>
              <w:rPr>
                <w:rFonts w:ascii="宋体"/>
                <w:vanish/>
              </w:rPr>
            </w:pPr>
          </w:p>
        </w:tc>
        <w:tc>
          <w:tcPr>
            <w:tcW w:w="0" w:type="auto"/>
            <w:gridSpan w:val="3"/>
            <w:shd w:val="clear" w:color="auto" w:fill="auto"/>
            <w:vAlign w:val="bottom"/>
          </w:tcPr>
          <w:p w14:paraId="71D443A4" w14:textId="77777777" w:rsidR="006A3667" w:rsidRDefault="006A3667">
            <w:pPr>
              <w:rPr>
                <w:rFonts w:ascii="宋体"/>
                <w:vanish/>
              </w:rPr>
            </w:pPr>
          </w:p>
        </w:tc>
        <w:tc>
          <w:tcPr>
            <w:tcW w:w="0" w:type="auto"/>
            <w:gridSpan w:val="3"/>
            <w:shd w:val="clear" w:color="auto" w:fill="auto"/>
            <w:vAlign w:val="bottom"/>
          </w:tcPr>
          <w:p w14:paraId="71D443A5" w14:textId="77777777" w:rsidR="006A3667" w:rsidRDefault="006A3667">
            <w:pPr>
              <w:rPr>
                <w:rFonts w:ascii="宋体"/>
                <w:vanish/>
              </w:rPr>
            </w:pPr>
          </w:p>
        </w:tc>
        <w:tc>
          <w:tcPr>
            <w:tcW w:w="0" w:type="auto"/>
            <w:gridSpan w:val="3"/>
            <w:shd w:val="clear" w:color="auto" w:fill="auto"/>
            <w:vAlign w:val="bottom"/>
          </w:tcPr>
          <w:p w14:paraId="71D443A6" w14:textId="77777777" w:rsidR="006A3667" w:rsidRDefault="006A3667">
            <w:pPr>
              <w:rPr>
                <w:rFonts w:ascii="宋体"/>
                <w:vanish/>
              </w:rPr>
            </w:pPr>
          </w:p>
        </w:tc>
        <w:tc>
          <w:tcPr>
            <w:tcW w:w="0" w:type="auto"/>
            <w:gridSpan w:val="3"/>
            <w:shd w:val="clear" w:color="auto" w:fill="auto"/>
            <w:vAlign w:val="bottom"/>
          </w:tcPr>
          <w:p w14:paraId="71D443A7" w14:textId="77777777" w:rsidR="006A3667" w:rsidRDefault="006A3667">
            <w:pPr>
              <w:rPr>
                <w:rFonts w:ascii="宋体"/>
                <w:vanish/>
              </w:rPr>
            </w:pPr>
          </w:p>
        </w:tc>
        <w:tc>
          <w:tcPr>
            <w:tcW w:w="0" w:type="auto"/>
            <w:shd w:val="clear" w:color="auto" w:fill="auto"/>
            <w:vAlign w:val="bottom"/>
          </w:tcPr>
          <w:p w14:paraId="71D443A8" w14:textId="77777777" w:rsidR="006A3667" w:rsidRDefault="006A3667">
            <w:pPr>
              <w:rPr>
                <w:rFonts w:ascii="宋体"/>
                <w:vanish/>
              </w:rPr>
            </w:pPr>
          </w:p>
        </w:tc>
        <w:tc>
          <w:tcPr>
            <w:tcW w:w="0" w:type="auto"/>
            <w:shd w:val="clear" w:color="auto" w:fill="auto"/>
            <w:vAlign w:val="bottom"/>
          </w:tcPr>
          <w:p w14:paraId="71D443A9" w14:textId="77777777" w:rsidR="006A3667" w:rsidRDefault="006A3667">
            <w:pPr>
              <w:rPr>
                <w:rFonts w:ascii="宋体"/>
                <w:vanish/>
              </w:rPr>
            </w:pPr>
          </w:p>
        </w:tc>
        <w:tc>
          <w:tcPr>
            <w:tcW w:w="0" w:type="auto"/>
            <w:gridSpan w:val="3"/>
            <w:shd w:val="clear" w:color="auto" w:fill="auto"/>
            <w:vAlign w:val="bottom"/>
          </w:tcPr>
          <w:p w14:paraId="71D443AA" w14:textId="77777777" w:rsidR="006A3667" w:rsidRDefault="006A3667">
            <w:pPr>
              <w:rPr>
                <w:rFonts w:ascii="宋体"/>
                <w:vanish/>
              </w:rPr>
            </w:pPr>
          </w:p>
        </w:tc>
        <w:tc>
          <w:tcPr>
            <w:tcW w:w="0" w:type="auto"/>
            <w:gridSpan w:val="3"/>
            <w:shd w:val="clear" w:color="auto" w:fill="auto"/>
            <w:vAlign w:val="bottom"/>
          </w:tcPr>
          <w:p w14:paraId="71D443AB" w14:textId="77777777" w:rsidR="006A3667" w:rsidRDefault="006A3667">
            <w:pPr>
              <w:rPr>
                <w:rFonts w:ascii="宋体"/>
                <w:vanish/>
              </w:rPr>
            </w:pPr>
          </w:p>
        </w:tc>
        <w:tc>
          <w:tcPr>
            <w:tcW w:w="0" w:type="auto"/>
            <w:gridSpan w:val="3"/>
            <w:shd w:val="clear" w:color="auto" w:fill="auto"/>
            <w:vAlign w:val="bottom"/>
          </w:tcPr>
          <w:p w14:paraId="71D443AC" w14:textId="77777777" w:rsidR="006A3667" w:rsidRDefault="006A3667">
            <w:pPr>
              <w:rPr>
                <w:rFonts w:ascii="宋体"/>
                <w:vanish/>
              </w:rPr>
            </w:pPr>
          </w:p>
        </w:tc>
        <w:tc>
          <w:tcPr>
            <w:tcW w:w="0" w:type="auto"/>
            <w:gridSpan w:val="3"/>
            <w:shd w:val="clear" w:color="auto" w:fill="auto"/>
            <w:vAlign w:val="bottom"/>
          </w:tcPr>
          <w:p w14:paraId="71D443AD" w14:textId="77777777" w:rsidR="006A3667" w:rsidRDefault="006A3667">
            <w:pPr>
              <w:rPr>
                <w:rFonts w:ascii="宋体"/>
                <w:vanish/>
              </w:rPr>
            </w:pPr>
          </w:p>
        </w:tc>
        <w:tc>
          <w:tcPr>
            <w:tcW w:w="0" w:type="auto"/>
            <w:gridSpan w:val="3"/>
            <w:shd w:val="clear" w:color="auto" w:fill="auto"/>
            <w:vAlign w:val="bottom"/>
          </w:tcPr>
          <w:p w14:paraId="71D443AE" w14:textId="77777777" w:rsidR="006A3667" w:rsidRDefault="006A3667">
            <w:pPr>
              <w:rPr>
                <w:rFonts w:ascii="宋体"/>
                <w:vanish/>
              </w:rPr>
            </w:pPr>
          </w:p>
        </w:tc>
        <w:tc>
          <w:tcPr>
            <w:tcW w:w="0" w:type="auto"/>
            <w:gridSpan w:val="3"/>
            <w:shd w:val="clear" w:color="auto" w:fill="auto"/>
            <w:vAlign w:val="bottom"/>
          </w:tcPr>
          <w:p w14:paraId="71D443AF" w14:textId="77777777" w:rsidR="006A3667" w:rsidRDefault="006A3667">
            <w:pPr>
              <w:rPr>
                <w:rFonts w:ascii="宋体"/>
                <w:vanish/>
              </w:rPr>
            </w:pPr>
          </w:p>
        </w:tc>
        <w:tc>
          <w:tcPr>
            <w:tcW w:w="0" w:type="auto"/>
            <w:gridSpan w:val="3"/>
            <w:shd w:val="clear" w:color="auto" w:fill="auto"/>
            <w:vAlign w:val="bottom"/>
          </w:tcPr>
          <w:p w14:paraId="71D443B0" w14:textId="77777777" w:rsidR="006A3667" w:rsidRDefault="006A3667">
            <w:pPr>
              <w:rPr>
                <w:rFonts w:ascii="宋体"/>
                <w:vanish/>
              </w:rPr>
            </w:pPr>
          </w:p>
        </w:tc>
        <w:tc>
          <w:tcPr>
            <w:tcW w:w="0" w:type="auto"/>
            <w:gridSpan w:val="3"/>
            <w:shd w:val="clear" w:color="auto" w:fill="auto"/>
            <w:vAlign w:val="bottom"/>
          </w:tcPr>
          <w:p w14:paraId="71D443B1" w14:textId="77777777" w:rsidR="006A3667" w:rsidRDefault="006A3667">
            <w:pPr>
              <w:rPr>
                <w:rFonts w:ascii="宋体"/>
                <w:vanish/>
              </w:rPr>
            </w:pPr>
          </w:p>
        </w:tc>
        <w:tc>
          <w:tcPr>
            <w:tcW w:w="0" w:type="auto"/>
            <w:gridSpan w:val="3"/>
            <w:shd w:val="clear" w:color="auto" w:fill="auto"/>
            <w:vAlign w:val="bottom"/>
          </w:tcPr>
          <w:p w14:paraId="71D443B2" w14:textId="77777777" w:rsidR="006A3667" w:rsidRDefault="006A3667">
            <w:pPr>
              <w:rPr>
                <w:rFonts w:ascii="宋体"/>
                <w:vanish/>
              </w:rPr>
            </w:pPr>
          </w:p>
        </w:tc>
        <w:tc>
          <w:tcPr>
            <w:tcW w:w="0" w:type="auto"/>
            <w:gridSpan w:val="3"/>
            <w:shd w:val="clear" w:color="auto" w:fill="auto"/>
            <w:vAlign w:val="bottom"/>
          </w:tcPr>
          <w:p w14:paraId="71D443B3" w14:textId="77777777" w:rsidR="006A3667" w:rsidRDefault="006A3667">
            <w:pPr>
              <w:rPr>
                <w:rFonts w:ascii="宋体"/>
                <w:vanish/>
              </w:rPr>
            </w:pPr>
          </w:p>
        </w:tc>
        <w:tc>
          <w:tcPr>
            <w:tcW w:w="0" w:type="auto"/>
            <w:gridSpan w:val="2"/>
            <w:shd w:val="clear" w:color="auto" w:fill="auto"/>
            <w:vAlign w:val="bottom"/>
          </w:tcPr>
          <w:p w14:paraId="71D443B4" w14:textId="77777777" w:rsidR="006A3667" w:rsidRDefault="006A3667">
            <w:pPr>
              <w:rPr>
                <w:rFonts w:ascii="宋体"/>
                <w:vanish/>
              </w:rPr>
            </w:pPr>
          </w:p>
        </w:tc>
        <w:tc>
          <w:tcPr>
            <w:tcW w:w="0" w:type="auto"/>
            <w:shd w:val="clear" w:color="auto" w:fill="auto"/>
            <w:vAlign w:val="bottom"/>
          </w:tcPr>
          <w:p w14:paraId="71D443B5" w14:textId="77777777" w:rsidR="006A3667" w:rsidRDefault="006A3667">
            <w:pPr>
              <w:rPr>
                <w:rFonts w:ascii="宋体"/>
                <w:vanish/>
              </w:rPr>
            </w:pPr>
          </w:p>
        </w:tc>
      </w:tr>
      <w:tr w:rsidR="006A3667" w14:paraId="71D443CD" w14:textId="77777777">
        <w:trPr>
          <w:hidden/>
        </w:trPr>
        <w:tc>
          <w:tcPr>
            <w:tcW w:w="0" w:type="auto"/>
            <w:gridSpan w:val="3"/>
            <w:shd w:val="clear" w:color="auto" w:fill="auto"/>
            <w:vAlign w:val="bottom"/>
          </w:tcPr>
          <w:p w14:paraId="71D443B7" w14:textId="77777777" w:rsidR="006A3667" w:rsidRDefault="006A3667">
            <w:pPr>
              <w:rPr>
                <w:rFonts w:ascii="宋体"/>
                <w:vanish/>
              </w:rPr>
            </w:pPr>
          </w:p>
        </w:tc>
        <w:tc>
          <w:tcPr>
            <w:tcW w:w="0" w:type="auto"/>
            <w:gridSpan w:val="3"/>
            <w:shd w:val="clear" w:color="auto" w:fill="auto"/>
            <w:vAlign w:val="bottom"/>
          </w:tcPr>
          <w:p w14:paraId="71D443B8" w14:textId="77777777" w:rsidR="006A3667" w:rsidRDefault="006A3667">
            <w:pPr>
              <w:rPr>
                <w:rFonts w:ascii="宋体"/>
                <w:vanish/>
              </w:rPr>
            </w:pPr>
          </w:p>
        </w:tc>
        <w:tc>
          <w:tcPr>
            <w:tcW w:w="0" w:type="auto"/>
            <w:gridSpan w:val="3"/>
            <w:shd w:val="clear" w:color="auto" w:fill="auto"/>
            <w:vAlign w:val="bottom"/>
          </w:tcPr>
          <w:p w14:paraId="71D443B9" w14:textId="77777777" w:rsidR="006A3667" w:rsidRDefault="006A3667">
            <w:pPr>
              <w:rPr>
                <w:rFonts w:ascii="宋体"/>
                <w:vanish/>
              </w:rPr>
            </w:pPr>
          </w:p>
        </w:tc>
        <w:tc>
          <w:tcPr>
            <w:tcW w:w="0" w:type="auto"/>
            <w:gridSpan w:val="3"/>
            <w:shd w:val="clear" w:color="auto" w:fill="auto"/>
            <w:vAlign w:val="bottom"/>
          </w:tcPr>
          <w:p w14:paraId="71D443BA" w14:textId="77777777" w:rsidR="006A3667" w:rsidRDefault="006A3667">
            <w:pPr>
              <w:rPr>
                <w:rFonts w:ascii="宋体"/>
                <w:vanish/>
              </w:rPr>
            </w:pPr>
          </w:p>
        </w:tc>
        <w:tc>
          <w:tcPr>
            <w:tcW w:w="0" w:type="auto"/>
            <w:gridSpan w:val="3"/>
            <w:shd w:val="clear" w:color="auto" w:fill="auto"/>
            <w:vAlign w:val="bottom"/>
          </w:tcPr>
          <w:p w14:paraId="71D443BB" w14:textId="77777777" w:rsidR="006A3667" w:rsidRDefault="006A3667">
            <w:pPr>
              <w:rPr>
                <w:rFonts w:ascii="宋体"/>
                <w:vanish/>
              </w:rPr>
            </w:pPr>
          </w:p>
        </w:tc>
        <w:tc>
          <w:tcPr>
            <w:tcW w:w="0" w:type="auto"/>
            <w:gridSpan w:val="3"/>
            <w:shd w:val="clear" w:color="auto" w:fill="auto"/>
            <w:vAlign w:val="bottom"/>
          </w:tcPr>
          <w:p w14:paraId="71D443BC" w14:textId="77777777" w:rsidR="006A3667" w:rsidRDefault="006A3667">
            <w:pPr>
              <w:rPr>
                <w:rFonts w:ascii="宋体"/>
                <w:vanish/>
              </w:rPr>
            </w:pPr>
          </w:p>
        </w:tc>
        <w:tc>
          <w:tcPr>
            <w:tcW w:w="0" w:type="auto"/>
            <w:gridSpan w:val="3"/>
            <w:shd w:val="clear" w:color="auto" w:fill="auto"/>
            <w:vAlign w:val="bottom"/>
          </w:tcPr>
          <w:p w14:paraId="71D443BD" w14:textId="77777777" w:rsidR="006A3667" w:rsidRDefault="006A3667">
            <w:pPr>
              <w:rPr>
                <w:rFonts w:ascii="宋体"/>
                <w:vanish/>
              </w:rPr>
            </w:pPr>
          </w:p>
        </w:tc>
        <w:tc>
          <w:tcPr>
            <w:tcW w:w="0" w:type="auto"/>
            <w:gridSpan w:val="3"/>
            <w:shd w:val="clear" w:color="auto" w:fill="auto"/>
            <w:vAlign w:val="bottom"/>
          </w:tcPr>
          <w:p w14:paraId="71D443BE" w14:textId="77777777" w:rsidR="006A3667" w:rsidRDefault="006A3667">
            <w:pPr>
              <w:rPr>
                <w:rFonts w:ascii="宋体"/>
                <w:vanish/>
              </w:rPr>
            </w:pPr>
          </w:p>
        </w:tc>
        <w:tc>
          <w:tcPr>
            <w:tcW w:w="0" w:type="auto"/>
            <w:shd w:val="clear" w:color="auto" w:fill="auto"/>
            <w:vAlign w:val="bottom"/>
          </w:tcPr>
          <w:p w14:paraId="71D443BF" w14:textId="77777777" w:rsidR="006A3667" w:rsidRDefault="006A3667">
            <w:pPr>
              <w:rPr>
                <w:rFonts w:ascii="宋体"/>
                <w:vanish/>
              </w:rPr>
            </w:pPr>
          </w:p>
        </w:tc>
        <w:tc>
          <w:tcPr>
            <w:tcW w:w="0" w:type="auto"/>
            <w:shd w:val="clear" w:color="auto" w:fill="auto"/>
            <w:vAlign w:val="bottom"/>
          </w:tcPr>
          <w:p w14:paraId="71D443C0" w14:textId="77777777" w:rsidR="006A3667" w:rsidRDefault="006A3667">
            <w:pPr>
              <w:rPr>
                <w:rFonts w:ascii="宋体"/>
                <w:vanish/>
              </w:rPr>
            </w:pPr>
          </w:p>
        </w:tc>
        <w:tc>
          <w:tcPr>
            <w:tcW w:w="0" w:type="auto"/>
            <w:gridSpan w:val="3"/>
            <w:shd w:val="clear" w:color="auto" w:fill="auto"/>
            <w:vAlign w:val="bottom"/>
          </w:tcPr>
          <w:p w14:paraId="71D443C1" w14:textId="77777777" w:rsidR="006A3667" w:rsidRDefault="006A3667">
            <w:pPr>
              <w:rPr>
                <w:rFonts w:ascii="宋体"/>
                <w:vanish/>
              </w:rPr>
            </w:pPr>
          </w:p>
        </w:tc>
        <w:tc>
          <w:tcPr>
            <w:tcW w:w="0" w:type="auto"/>
            <w:gridSpan w:val="3"/>
            <w:shd w:val="clear" w:color="auto" w:fill="auto"/>
            <w:vAlign w:val="bottom"/>
          </w:tcPr>
          <w:p w14:paraId="71D443C2" w14:textId="77777777" w:rsidR="006A3667" w:rsidRDefault="006A3667">
            <w:pPr>
              <w:rPr>
                <w:rFonts w:ascii="宋体"/>
                <w:vanish/>
              </w:rPr>
            </w:pPr>
          </w:p>
        </w:tc>
        <w:tc>
          <w:tcPr>
            <w:tcW w:w="0" w:type="auto"/>
            <w:gridSpan w:val="3"/>
            <w:shd w:val="clear" w:color="auto" w:fill="auto"/>
            <w:vAlign w:val="bottom"/>
          </w:tcPr>
          <w:p w14:paraId="71D443C3" w14:textId="77777777" w:rsidR="006A3667" w:rsidRDefault="006A3667">
            <w:pPr>
              <w:rPr>
                <w:rFonts w:ascii="宋体"/>
                <w:vanish/>
              </w:rPr>
            </w:pPr>
          </w:p>
        </w:tc>
        <w:tc>
          <w:tcPr>
            <w:tcW w:w="0" w:type="auto"/>
            <w:gridSpan w:val="3"/>
            <w:shd w:val="clear" w:color="auto" w:fill="auto"/>
            <w:vAlign w:val="bottom"/>
          </w:tcPr>
          <w:p w14:paraId="71D443C4" w14:textId="77777777" w:rsidR="006A3667" w:rsidRDefault="006A3667">
            <w:pPr>
              <w:rPr>
                <w:rFonts w:ascii="宋体"/>
                <w:vanish/>
              </w:rPr>
            </w:pPr>
          </w:p>
        </w:tc>
        <w:tc>
          <w:tcPr>
            <w:tcW w:w="0" w:type="auto"/>
            <w:gridSpan w:val="3"/>
            <w:shd w:val="clear" w:color="auto" w:fill="auto"/>
            <w:vAlign w:val="bottom"/>
          </w:tcPr>
          <w:p w14:paraId="71D443C5" w14:textId="77777777" w:rsidR="006A3667" w:rsidRDefault="006A3667">
            <w:pPr>
              <w:rPr>
                <w:rFonts w:ascii="宋体"/>
                <w:vanish/>
              </w:rPr>
            </w:pPr>
          </w:p>
        </w:tc>
        <w:tc>
          <w:tcPr>
            <w:tcW w:w="0" w:type="auto"/>
            <w:gridSpan w:val="3"/>
            <w:shd w:val="clear" w:color="auto" w:fill="auto"/>
            <w:vAlign w:val="bottom"/>
          </w:tcPr>
          <w:p w14:paraId="71D443C6" w14:textId="77777777" w:rsidR="006A3667" w:rsidRDefault="006A3667">
            <w:pPr>
              <w:rPr>
                <w:rFonts w:ascii="宋体"/>
                <w:vanish/>
              </w:rPr>
            </w:pPr>
          </w:p>
        </w:tc>
        <w:tc>
          <w:tcPr>
            <w:tcW w:w="0" w:type="auto"/>
            <w:gridSpan w:val="3"/>
            <w:shd w:val="clear" w:color="auto" w:fill="auto"/>
            <w:vAlign w:val="bottom"/>
          </w:tcPr>
          <w:p w14:paraId="71D443C7" w14:textId="77777777" w:rsidR="006A3667" w:rsidRDefault="006A3667">
            <w:pPr>
              <w:rPr>
                <w:rFonts w:ascii="宋体"/>
                <w:vanish/>
              </w:rPr>
            </w:pPr>
          </w:p>
        </w:tc>
        <w:tc>
          <w:tcPr>
            <w:tcW w:w="0" w:type="auto"/>
            <w:gridSpan w:val="3"/>
            <w:shd w:val="clear" w:color="auto" w:fill="auto"/>
            <w:vAlign w:val="bottom"/>
          </w:tcPr>
          <w:p w14:paraId="71D443C8" w14:textId="77777777" w:rsidR="006A3667" w:rsidRDefault="006A3667">
            <w:pPr>
              <w:rPr>
                <w:rFonts w:ascii="宋体"/>
                <w:vanish/>
              </w:rPr>
            </w:pPr>
          </w:p>
        </w:tc>
        <w:tc>
          <w:tcPr>
            <w:tcW w:w="0" w:type="auto"/>
            <w:gridSpan w:val="3"/>
            <w:shd w:val="clear" w:color="auto" w:fill="auto"/>
            <w:vAlign w:val="bottom"/>
          </w:tcPr>
          <w:p w14:paraId="71D443C9" w14:textId="77777777" w:rsidR="006A3667" w:rsidRDefault="006A3667">
            <w:pPr>
              <w:rPr>
                <w:rFonts w:ascii="宋体"/>
                <w:vanish/>
              </w:rPr>
            </w:pPr>
          </w:p>
        </w:tc>
        <w:tc>
          <w:tcPr>
            <w:tcW w:w="0" w:type="auto"/>
            <w:gridSpan w:val="3"/>
            <w:shd w:val="clear" w:color="auto" w:fill="auto"/>
            <w:vAlign w:val="bottom"/>
          </w:tcPr>
          <w:p w14:paraId="71D443CA" w14:textId="77777777" w:rsidR="006A3667" w:rsidRDefault="006A3667">
            <w:pPr>
              <w:rPr>
                <w:rFonts w:ascii="宋体"/>
                <w:vanish/>
              </w:rPr>
            </w:pPr>
          </w:p>
        </w:tc>
        <w:tc>
          <w:tcPr>
            <w:tcW w:w="0" w:type="auto"/>
            <w:gridSpan w:val="2"/>
            <w:shd w:val="clear" w:color="auto" w:fill="auto"/>
            <w:vAlign w:val="bottom"/>
          </w:tcPr>
          <w:p w14:paraId="71D443CB" w14:textId="77777777" w:rsidR="006A3667" w:rsidRDefault="006A3667">
            <w:pPr>
              <w:rPr>
                <w:rFonts w:ascii="宋体"/>
                <w:vanish/>
              </w:rPr>
            </w:pPr>
          </w:p>
        </w:tc>
        <w:tc>
          <w:tcPr>
            <w:tcW w:w="0" w:type="auto"/>
            <w:shd w:val="clear" w:color="auto" w:fill="auto"/>
            <w:vAlign w:val="bottom"/>
          </w:tcPr>
          <w:p w14:paraId="71D443CC" w14:textId="77777777" w:rsidR="006A3667" w:rsidRDefault="006A3667">
            <w:pPr>
              <w:rPr>
                <w:rFonts w:ascii="宋体"/>
                <w:vanish/>
              </w:rPr>
            </w:pPr>
          </w:p>
        </w:tc>
      </w:tr>
      <w:tr w:rsidR="006A3667" w14:paraId="71D443E4" w14:textId="77777777">
        <w:trPr>
          <w:hidden/>
        </w:trPr>
        <w:tc>
          <w:tcPr>
            <w:tcW w:w="0" w:type="auto"/>
            <w:gridSpan w:val="3"/>
            <w:shd w:val="clear" w:color="auto" w:fill="auto"/>
            <w:vAlign w:val="bottom"/>
          </w:tcPr>
          <w:p w14:paraId="71D443CE" w14:textId="77777777" w:rsidR="006A3667" w:rsidRDefault="006A3667">
            <w:pPr>
              <w:rPr>
                <w:rFonts w:ascii="宋体"/>
                <w:vanish/>
              </w:rPr>
            </w:pPr>
          </w:p>
        </w:tc>
        <w:tc>
          <w:tcPr>
            <w:tcW w:w="0" w:type="auto"/>
            <w:gridSpan w:val="3"/>
            <w:shd w:val="clear" w:color="auto" w:fill="auto"/>
            <w:vAlign w:val="bottom"/>
          </w:tcPr>
          <w:p w14:paraId="71D443CF" w14:textId="77777777" w:rsidR="006A3667" w:rsidRDefault="006A3667">
            <w:pPr>
              <w:rPr>
                <w:rFonts w:ascii="宋体"/>
                <w:vanish/>
              </w:rPr>
            </w:pPr>
          </w:p>
        </w:tc>
        <w:tc>
          <w:tcPr>
            <w:tcW w:w="0" w:type="auto"/>
            <w:gridSpan w:val="3"/>
            <w:shd w:val="clear" w:color="auto" w:fill="auto"/>
            <w:vAlign w:val="bottom"/>
          </w:tcPr>
          <w:p w14:paraId="71D443D0" w14:textId="77777777" w:rsidR="006A3667" w:rsidRDefault="006A3667">
            <w:pPr>
              <w:rPr>
                <w:rFonts w:ascii="宋体"/>
                <w:vanish/>
              </w:rPr>
            </w:pPr>
          </w:p>
        </w:tc>
        <w:tc>
          <w:tcPr>
            <w:tcW w:w="0" w:type="auto"/>
            <w:gridSpan w:val="3"/>
            <w:shd w:val="clear" w:color="auto" w:fill="auto"/>
            <w:vAlign w:val="bottom"/>
          </w:tcPr>
          <w:p w14:paraId="71D443D1" w14:textId="77777777" w:rsidR="006A3667" w:rsidRDefault="006A3667">
            <w:pPr>
              <w:rPr>
                <w:rFonts w:ascii="宋体"/>
                <w:vanish/>
              </w:rPr>
            </w:pPr>
          </w:p>
        </w:tc>
        <w:tc>
          <w:tcPr>
            <w:tcW w:w="0" w:type="auto"/>
            <w:gridSpan w:val="3"/>
            <w:shd w:val="clear" w:color="auto" w:fill="auto"/>
            <w:vAlign w:val="bottom"/>
          </w:tcPr>
          <w:p w14:paraId="71D443D2" w14:textId="77777777" w:rsidR="006A3667" w:rsidRDefault="006A3667">
            <w:pPr>
              <w:rPr>
                <w:rFonts w:ascii="宋体"/>
                <w:vanish/>
              </w:rPr>
            </w:pPr>
          </w:p>
        </w:tc>
        <w:tc>
          <w:tcPr>
            <w:tcW w:w="0" w:type="auto"/>
            <w:gridSpan w:val="3"/>
            <w:shd w:val="clear" w:color="auto" w:fill="auto"/>
            <w:vAlign w:val="bottom"/>
          </w:tcPr>
          <w:p w14:paraId="71D443D3" w14:textId="77777777" w:rsidR="006A3667" w:rsidRDefault="006A3667">
            <w:pPr>
              <w:rPr>
                <w:rFonts w:ascii="宋体"/>
                <w:vanish/>
              </w:rPr>
            </w:pPr>
          </w:p>
        </w:tc>
        <w:tc>
          <w:tcPr>
            <w:tcW w:w="0" w:type="auto"/>
            <w:gridSpan w:val="3"/>
            <w:shd w:val="clear" w:color="auto" w:fill="auto"/>
            <w:vAlign w:val="bottom"/>
          </w:tcPr>
          <w:p w14:paraId="71D443D4" w14:textId="77777777" w:rsidR="006A3667" w:rsidRDefault="006A3667">
            <w:pPr>
              <w:rPr>
                <w:rFonts w:ascii="宋体"/>
                <w:vanish/>
              </w:rPr>
            </w:pPr>
          </w:p>
        </w:tc>
        <w:tc>
          <w:tcPr>
            <w:tcW w:w="0" w:type="auto"/>
            <w:gridSpan w:val="3"/>
            <w:shd w:val="clear" w:color="auto" w:fill="auto"/>
            <w:vAlign w:val="bottom"/>
          </w:tcPr>
          <w:p w14:paraId="71D443D5" w14:textId="77777777" w:rsidR="006A3667" w:rsidRDefault="006A3667">
            <w:pPr>
              <w:rPr>
                <w:rFonts w:ascii="宋体"/>
                <w:vanish/>
              </w:rPr>
            </w:pPr>
          </w:p>
        </w:tc>
        <w:tc>
          <w:tcPr>
            <w:tcW w:w="0" w:type="auto"/>
            <w:shd w:val="clear" w:color="auto" w:fill="auto"/>
            <w:vAlign w:val="bottom"/>
          </w:tcPr>
          <w:p w14:paraId="71D443D6" w14:textId="77777777" w:rsidR="006A3667" w:rsidRDefault="006A3667">
            <w:pPr>
              <w:rPr>
                <w:rFonts w:ascii="宋体"/>
                <w:vanish/>
              </w:rPr>
            </w:pPr>
          </w:p>
        </w:tc>
        <w:tc>
          <w:tcPr>
            <w:tcW w:w="0" w:type="auto"/>
            <w:shd w:val="clear" w:color="auto" w:fill="auto"/>
            <w:vAlign w:val="bottom"/>
          </w:tcPr>
          <w:p w14:paraId="71D443D7" w14:textId="77777777" w:rsidR="006A3667" w:rsidRDefault="006A3667">
            <w:pPr>
              <w:rPr>
                <w:rFonts w:ascii="宋体"/>
                <w:vanish/>
              </w:rPr>
            </w:pPr>
          </w:p>
        </w:tc>
        <w:tc>
          <w:tcPr>
            <w:tcW w:w="0" w:type="auto"/>
            <w:gridSpan w:val="3"/>
            <w:shd w:val="clear" w:color="auto" w:fill="auto"/>
            <w:vAlign w:val="bottom"/>
          </w:tcPr>
          <w:p w14:paraId="71D443D8" w14:textId="77777777" w:rsidR="006A3667" w:rsidRDefault="006A3667">
            <w:pPr>
              <w:rPr>
                <w:rFonts w:ascii="宋体"/>
                <w:vanish/>
              </w:rPr>
            </w:pPr>
          </w:p>
        </w:tc>
        <w:tc>
          <w:tcPr>
            <w:tcW w:w="0" w:type="auto"/>
            <w:gridSpan w:val="3"/>
            <w:shd w:val="clear" w:color="auto" w:fill="auto"/>
            <w:vAlign w:val="bottom"/>
          </w:tcPr>
          <w:p w14:paraId="71D443D9" w14:textId="77777777" w:rsidR="006A3667" w:rsidRDefault="006A3667">
            <w:pPr>
              <w:rPr>
                <w:rFonts w:ascii="宋体"/>
                <w:vanish/>
              </w:rPr>
            </w:pPr>
          </w:p>
        </w:tc>
        <w:tc>
          <w:tcPr>
            <w:tcW w:w="0" w:type="auto"/>
            <w:gridSpan w:val="3"/>
            <w:shd w:val="clear" w:color="auto" w:fill="auto"/>
            <w:vAlign w:val="bottom"/>
          </w:tcPr>
          <w:p w14:paraId="71D443DA" w14:textId="77777777" w:rsidR="006A3667" w:rsidRDefault="006A3667">
            <w:pPr>
              <w:rPr>
                <w:rFonts w:ascii="宋体"/>
                <w:vanish/>
              </w:rPr>
            </w:pPr>
          </w:p>
        </w:tc>
        <w:tc>
          <w:tcPr>
            <w:tcW w:w="0" w:type="auto"/>
            <w:gridSpan w:val="3"/>
            <w:shd w:val="clear" w:color="auto" w:fill="auto"/>
            <w:vAlign w:val="bottom"/>
          </w:tcPr>
          <w:p w14:paraId="71D443DB" w14:textId="77777777" w:rsidR="006A3667" w:rsidRDefault="006A3667">
            <w:pPr>
              <w:rPr>
                <w:rFonts w:ascii="宋体"/>
                <w:vanish/>
              </w:rPr>
            </w:pPr>
          </w:p>
        </w:tc>
        <w:tc>
          <w:tcPr>
            <w:tcW w:w="0" w:type="auto"/>
            <w:gridSpan w:val="3"/>
            <w:shd w:val="clear" w:color="auto" w:fill="auto"/>
            <w:vAlign w:val="bottom"/>
          </w:tcPr>
          <w:p w14:paraId="71D443DC" w14:textId="77777777" w:rsidR="006A3667" w:rsidRDefault="006A3667">
            <w:pPr>
              <w:rPr>
                <w:rFonts w:ascii="宋体"/>
                <w:vanish/>
              </w:rPr>
            </w:pPr>
          </w:p>
        </w:tc>
        <w:tc>
          <w:tcPr>
            <w:tcW w:w="0" w:type="auto"/>
            <w:gridSpan w:val="3"/>
            <w:shd w:val="clear" w:color="auto" w:fill="auto"/>
            <w:vAlign w:val="bottom"/>
          </w:tcPr>
          <w:p w14:paraId="71D443DD" w14:textId="77777777" w:rsidR="006A3667" w:rsidRDefault="006A3667">
            <w:pPr>
              <w:rPr>
                <w:rFonts w:ascii="宋体"/>
                <w:vanish/>
              </w:rPr>
            </w:pPr>
          </w:p>
        </w:tc>
        <w:tc>
          <w:tcPr>
            <w:tcW w:w="0" w:type="auto"/>
            <w:gridSpan w:val="3"/>
            <w:shd w:val="clear" w:color="auto" w:fill="auto"/>
            <w:vAlign w:val="bottom"/>
          </w:tcPr>
          <w:p w14:paraId="71D443DE" w14:textId="77777777" w:rsidR="006A3667" w:rsidRDefault="006A3667">
            <w:pPr>
              <w:rPr>
                <w:rFonts w:ascii="宋体"/>
                <w:vanish/>
              </w:rPr>
            </w:pPr>
          </w:p>
        </w:tc>
        <w:tc>
          <w:tcPr>
            <w:tcW w:w="0" w:type="auto"/>
            <w:gridSpan w:val="3"/>
            <w:shd w:val="clear" w:color="auto" w:fill="auto"/>
            <w:vAlign w:val="bottom"/>
          </w:tcPr>
          <w:p w14:paraId="71D443DF" w14:textId="77777777" w:rsidR="006A3667" w:rsidRDefault="006A3667">
            <w:pPr>
              <w:rPr>
                <w:rFonts w:ascii="宋体"/>
                <w:vanish/>
              </w:rPr>
            </w:pPr>
          </w:p>
        </w:tc>
        <w:tc>
          <w:tcPr>
            <w:tcW w:w="0" w:type="auto"/>
            <w:gridSpan w:val="3"/>
            <w:shd w:val="clear" w:color="auto" w:fill="auto"/>
            <w:vAlign w:val="bottom"/>
          </w:tcPr>
          <w:p w14:paraId="71D443E0" w14:textId="77777777" w:rsidR="006A3667" w:rsidRDefault="006A3667">
            <w:pPr>
              <w:rPr>
                <w:rFonts w:ascii="宋体"/>
                <w:vanish/>
              </w:rPr>
            </w:pPr>
          </w:p>
        </w:tc>
        <w:tc>
          <w:tcPr>
            <w:tcW w:w="0" w:type="auto"/>
            <w:gridSpan w:val="3"/>
            <w:shd w:val="clear" w:color="auto" w:fill="auto"/>
            <w:vAlign w:val="bottom"/>
          </w:tcPr>
          <w:p w14:paraId="71D443E1" w14:textId="77777777" w:rsidR="006A3667" w:rsidRDefault="006A3667">
            <w:pPr>
              <w:rPr>
                <w:rFonts w:ascii="宋体"/>
                <w:vanish/>
              </w:rPr>
            </w:pPr>
          </w:p>
        </w:tc>
        <w:tc>
          <w:tcPr>
            <w:tcW w:w="0" w:type="auto"/>
            <w:gridSpan w:val="2"/>
            <w:shd w:val="clear" w:color="auto" w:fill="auto"/>
            <w:vAlign w:val="bottom"/>
          </w:tcPr>
          <w:p w14:paraId="71D443E2" w14:textId="77777777" w:rsidR="006A3667" w:rsidRDefault="006A3667">
            <w:pPr>
              <w:rPr>
                <w:rFonts w:ascii="宋体"/>
                <w:vanish/>
              </w:rPr>
            </w:pPr>
          </w:p>
        </w:tc>
        <w:tc>
          <w:tcPr>
            <w:tcW w:w="0" w:type="auto"/>
            <w:shd w:val="clear" w:color="auto" w:fill="auto"/>
            <w:vAlign w:val="bottom"/>
          </w:tcPr>
          <w:p w14:paraId="71D443E3" w14:textId="77777777" w:rsidR="006A3667" w:rsidRDefault="006A3667">
            <w:pPr>
              <w:rPr>
                <w:rFonts w:ascii="宋体"/>
                <w:vanish/>
              </w:rPr>
            </w:pPr>
          </w:p>
        </w:tc>
      </w:tr>
      <w:tr w:rsidR="006A3667" w14:paraId="71D443FB" w14:textId="77777777">
        <w:trPr>
          <w:hidden/>
        </w:trPr>
        <w:tc>
          <w:tcPr>
            <w:tcW w:w="0" w:type="auto"/>
            <w:gridSpan w:val="3"/>
            <w:shd w:val="clear" w:color="auto" w:fill="auto"/>
            <w:vAlign w:val="bottom"/>
          </w:tcPr>
          <w:p w14:paraId="71D443E5" w14:textId="77777777" w:rsidR="006A3667" w:rsidRDefault="006A3667">
            <w:pPr>
              <w:rPr>
                <w:rFonts w:ascii="宋体"/>
                <w:vanish/>
              </w:rPr>
            </w:pPr>
          </w:p>
        </w:tc>
        <w:tc>
          <w:tcPr>
            <w:tcW w:w="0" w:type="auto"/>
            <w:gridSpan w:val="3"/>
            <w:shd w:val="clear" w:color="auto" w:fill="auto"/>
            <w:vAlign w:val="bottom"/>
          </w:tcPr>
          <w:p w14:paraId="71D443E6" w14:textId="77777777" w:rsidR="006A3667" w:rsidRDefault="006A3667">
            <w:pPr>
              <w:rPr>
                <w:rFonts w:ascii="宋体"/>
                <w:vanish/>
              </w:rPr>
            </w:pPr>
          </w:p>
        </w:tc>
        <w:tc>
          <w:tcPr>
            <w:tcW w:w="0" w:type="auto"/>
            <w:gridSpan w:val="3"/>
            <w:shd w:val="clear" w:color="auto" w:fill="auto"/>
            <w:vAlign w:val="bottom"/>
          </w:tcPr>
          <w:p w14:paraId="71D443E7" w14:textId="77777777" w:rsidR="006A3667" w:rsidRDefault="006A3667">
            <w:pPr>
              <w:rPr>
                <w:rFonts w:ascii="宋体"/>
                <w:vanish/>
              </w:rPr>
            </w:pPr>
          </w:p>
        </w:tc>
        <w:tc>
          <w:tcPr>
            <w:tcW w:w="0" w:type="auto"/>
            <w:gridSpan w:val="3"/>
            <w:shd w:val="clear" w:color="auto" w:fill="auto"/>
            <w:vAlign w:val="bottom"/>
          </w:tcPr>
          <w:p w14:paraId="71D443E8" w14:textId="77777777" w:rsidR="006A3667" w:rsidRDefault="006A3667">
            <w:pPr>
              <w:rPr>
                <w:rFonts w:ascii="宋体"/>
                <w:vanish/>
              </w:rPr>
            </w:pPr>
          </w:p>
        </w:tc>
        <w:tc>
          <w:tcPr>
            <w:tcW w:w="0" w:type="auto"/>
            <w:gridSpan w:val="3"/>
            <w:shd w:val="clear" w:color="auto" w:fill="auto"/>
            <w:vAlign w:val="bottom"/>
          </w:tcPr>
          <w:p w14:paraId="71D443E9" w14:textId="77777777" w:rsidR="006A3667" w:rsidRDefault="006A3667">
            <w:pPr>
              <w:rPr>
                <w:rFonts w:ascii="宋体"/>
                <w:vanish/>
              </w:rPr>
            </w:pPr>
          </w:p>
        </w:tc>
        <w:tc>
          <w:tcPr>
            <w:tcW w:w="0" w:type="auto"/>
            <w:gridSpan w:val="3"/>
            <w:shd w:val="clear" w:color="auto" w:fill="auto"/>
            <w:vAlign w:val="bottom"/>
          </w:tcPr>
          <w:p w14:paraId="71D443EA" w14:textId="77777777" w:rsidR="006A3667" w:rsidRDefault="006A3667">
            <w:pPr>
              <w:rPr>
                <w:rFonts w:ascii="宋体"/>
                <w:vanish/>
              </w:rPr>
            </w:pPr>
          </w:p>
        </w:tc>
        <w:tc>
          <w:tcPr>
            <w:tcW w:w="0" w:type="auto"/>
            <w:gridSpan w:val="3"/>
            <w:shd w:val="clear" w:color="auto" w:fill="auto"/>
            <w:vAlign w:val="bottom"/>
          </w:tcPr>
          <w:p w14:paraId="71D443EB" w14:textId="77777777" w:rsidR="006A3667" w:rsidRDefault="006A3667">
            <w:pPr>
              <w:rPr>
                <w:rFonts w:ascii="宋体"/>
                <w:vanish/>
              </w:rPr>
            </w:pPr>
          </w:p>
        </w:tc>
        <w:tc>
          <w:tcPr>
            <w:tcW w:w="0" w:type="auto"/>
            <w:gridSpan w:val="3"/>
            <w:shd w:val="clear" w:color="auto" w:fill="auto"/>
            <w:vAlign w:val="bottom"/>
          </w:tcPr>
          <w:p w14:paraId="71D443EC" w14:textId="77777777" w:rsidR="006A3667" w:rsidRDefault="006A3667">
            <w:pPr>
              <w:rPr>
                <w:rFonts w:ascii="宋体"/>
                <w:vanish/>
              </w:rPr>
            </w:pPr>
          </w:p>
        </w:tc>
        <w:tc>
          <w:tcPr>
            <w:tcW w:w="0" w:type="auto"/>
            <w:shd w:val="clear" w:color="auto" w:fill="auto"/>
            <w:vAlign w:val="bottom"/>
          </w:tcPr>
          <w:p w14:paraId="71D443ED" w14:textId="77777777" w:rsidR="006A3667" w:rsidRDefault="006A3667">
            <w:pPr>
              <w:rPr>
                <w:rFonts w:ascii="宋体"/>
                <w:vanish/>
              </w:rPr>
            </w:pPr>
          </w:p>
        </w:tc>
        <w:tc>
          <w:tcPr>
            <w:tcW w:w="0" w:type="auto"/>
            <w:shd w:val="clear" w:color="auto" w:fill="auto"/>
            <w:vAlign w:val="bottom"/>
          </w:tcPr>
          <w:p w14:paraId="71D443EE" w14:textId="77777777" w:rsidR="006A3667" w:rsidRDefault="006A3667">
            <w:pPr>
              <w:rPr>
                <w:rFonts w:ascii="宋体"/>
                <w:vanish/>
              </w:rPr>
            </w:pPr>
          </w:p>
        </w:tc>
        <w:tc>
          <w:tcPr>
            <w:tcW w:w="0" w:type="auto"/>
            <w:gridSpan w:val="3"/>
            <w:shd w:val="clear" w:color="auto" w:fill="auto"/>
            <w:vAlign w:val="bottom"/>
          </w:tcPr>
          <w:p w14:paraId="71D443EF" w14:textId="77777777" w:rsidR="006A3667" w:rsidRDefault="006A3667">
            <w:pPr>
              <w:rPr>
                <w:rFonts w:ascii="宋体"/>
                <w:vanish/>
              </w:rPr>
            </w:pPr>
          </w:p>
        </w:tc>
        <w:tc>
          <w:tcPr>
            <w:tcW w:w="0" w:type="auto"/>
            <w:gridSpan w:val="3"/>
            <w:shd w:val="clear" w:color="auto" w:fill="auto"/>
            <w:vAlign w:val="bottom"/>
          </w:tcPr>
          <w:p w14:paraId="71D443F0" w14:textId="77777777" w:rsidR="006A3667" w:rsidRDefault="006A3667">
            <w:pPr>
              <w:rPr>
                <w:rFonts w:ascii="宋体"/>
                <w:vanish/>
              </w:rPr>
            </w:pPr>
          </w:p>
        </w:tc>
        <w:tc>
          <w:tcPr>
            <w:tcW w:w="0" w:type="auto"/>
            <w:gridSpan w:val="3"/>
            <w:shd w:val="clear" w:color="auto" w:fill="auto"/>
            <w:vAlign w:val="bottom"/>
          </w:tcPr>
          <w:p w14:paraId="71D443F1" w14:textId="77777777" w:rsidR="006A3667" w:rsidRDefault="006A3667">
            <w:pPr>
              <w:rPr>
                <w:rFonts w:ascii="宋体"/>
                <w:vanish/>
              </w:rPr>
            </w:pPr>
          </w:p>
        </w:tc>
        <w:tc>
          <w:tcPr>
            <w:tcW w:w="0" w:type="auto"/>
            <w:gridSpan w:val="3"/>
            <w:shd w:val="clear" w:color="auto" w:fill="auto"/>
            <w:vAlign w:val="bottom"/>
          </w:tcPr>
          <w:p w14:paraId="71D443F2" w14:textId="77777777" w:rsidR="006A3667" w:rsidRDefault="006A3667">
            <w:pPr>
              <w:rPr>
                <w:rFonts w:ascii="宋体"/>
                <w:vanish/>
              </w:rPr>
            </w:pPr>
          </w:p>
        </w:tc>
        <w:tc>
          <w:tcPr>
            <w:tcW w:w="0" w:type="auto"/>
            <w:gridSpan w:val="3"/>
            <w:shd w:val="clear" w:color="auto" w:fill="auto"/>
            <w:vAlign w:val="bottom"/>
          </w:tcPr>
          <w:p w14:paraId="71D443F3" w14:textId="77777777" w:rsidR="006A3667" w:rsidRDefault="006A3667">
            <w:pPr>
              <w:rPr>
                <w:rFonts w:ascii="宋体"/>
                <w:vanish/>
              </w:rPr>
            </w:pPr>
          </w:p>
        </w:tc>
        <w:tc>
          <w:tcPr>
            <w:tcW w:w="0" w:type="auto"/>
            <w:gridSpan w:val="3"/>
            <w:shd w:val="clear" w:color="auto" w:fill="auto"/>
            <w:vAlign w:val="bottom"/>
          </w:tcPr>
          <w:p w14:paraId="71D443F4" w14:textId="77777777" w:rsidR="006A3667" w:rsidRDefault="006A3667">
            <w:pPr>
              <w:rPr>
                <w:rFonts w:ascii="宋体"/>
                <w:vanish/>
              </w:rPr>
            </w:pPr>
          </w:p>
        </w:tc>
        <w:tc>
          <w:tcPr>
            <w:tcW w:w="0" w:type="auto"/>
            <w:gridSpan w:val="3"/>
            <w:shd w:val="clear" w:color="auto" w:fill="auto"/>
            <w:vAlign w:val="bottom"/>
          </w:tcPr>
          <w:p w14:paraId="71D443F5" w14:textId="77777777" w:rsidR="006A3667" w:rsidRDefault="006A3667">
            <w:pPr>
              <w:rPr>
                <w:rFonts w:ascii="宋体"/>
                <w:vanish/>
              </w:rPr>
            </w:pPr>
          </w:p>
        </w:tc>
        <w:tc>
          <w:tcPr>
            <w:tcW w:w="0" w:type="auto"/>
            <w:gridSpan w:val="3"/>
            <w:shd w:val="clear" w:color="auto" w:fill="auto"/>
            <w:vAlign w:val="bottom"/>
          </w:tcPr>
          <w:p w14:paraId="71D443F6" w14:textId="77777777" w:rsidR="006A3667" w:rsidRDefault="006A3667">
            <w:pPr>
              <w:rPr>
                <w:rFonts w:ascii="宋体"/>
                <w:vanish/>
              </w:rPr>
            </w:pPr>
          </w:p>
        </w:tc>
        <w:tc>
          <w:tcPr>
            <w:tcW w:w="0" w:type="auto"/>
            <w:gridSpan w:val="3"/>
            <w:shd w:val="clear" w:color="auto" w:fill="auto"/>
            <w:vAlign w:val="bottom"/>
          </w:tcPr>
          <w:p w14:paraId="71D443F7" w14:textId="77777777" w:rsidR="006A3667" w:rsidRDefault="006A3667">
            <w:pPr>
              <w:rPr>
                <w:rFonts w:ascii="宋体"/>
                <w:vanish/>
              </w:rPr>
            </w:pPr>
          </w:p>
        </w:tc>
        <w:tc>
          <w:tcPr>
            <w:tcW w:w="0" w:type="auto"/>
            <w:gridSpan w:val="3"/>
            <w:shd w:val="clear" w:color="auto" w:fill="auto"/>
            <w:vAlign w:val="bottom"/>
          </w:tcPr>
          <w:p w14:paraId="71D443F8" w14:textId="77777777" w:rsidR="006A3667" w:rsidRDefault="006A3667">
            <w:pPr>
              <w:rPr>
                <w:rFonts w:ascii="宋体"/>
                <w:vanish/>
              </w:rPr>
            </w:pPr>
          </w:p>
        </w:tc>
        <w:tc>
          <w:tcPr>
            <w:tcW w:w="0" w:type="auto"/>
            <w:gridSpan w:val="2"/>
            <w:shd w:val="clear" w:color="auto" w:fill="auto"/>
            <w:vAlign w:val="bottom"/>
          </w:tcPr>
          <w:p w14:paraId="71D443F9" w14:textId="77777777" w:rsidR="006A3667" w:rsidRDefault="006A3667">
            <w:pPr>
              <w:rPr>
                <w:rFonts w:ascii="宋体"/>
                <w:vanish/>
              </w:rPr>
            </w:pPr>
          </w:p>
        </w:tc>
        <w:tc>
          <w:tcPr>
            <w:tcW w:w="0" w:type="auto"/>
            <w:shd w:val="clear" w:color="auto" w:fill="auto"/>
            <w:vAlign w:val="bottom"/>
          </w:tcPr>
          <w:p w14:paraId="71D443FA" w14:textId="77777777" w:rsidR="006A3667" w:rsidRDefault="006A3667">
            <w:pPr>
              <w:rPr>
                <w:rFonts w:ascii="宋体"/>
                <w:vanish/>
              </w:rPr>
            </w:pPr>
          </w:p>
        </w:tc>
      </w:tr>
      <w:tr w:rsidR="006A3667" w14:paraId="71D44412" w14:textId="77777777">
        <w:trPr>
          <w:hidden/>
        </w:trPr>
        <w:tc>
          <w:tcPr>
            <w:tcW w:w="0" w:type="auto"/>
            <w:gridSpan w:val="3"/>
            <w:shd w:val="clear" w:color="auto" w:fill="auto"/>
            <w:vAlign w:val="bottom"/>
          </w:tcPr>
          <w:p w14:paraId="71D443FC" w14:textId="77777777" w:rsidR="006A3667" w:rsidRDefault="006A3667">
            <w:pPr>
              <w:rPr>
                <w:rFonts w:ascii="宋体"/>
                <w:vanish/>
              </w:rPr>
            </w:pPr>
          </w:p>
        </w:tc>
        <w:tc>
          <w:tcPr>
            <w:tcW w:w="0" w:type="auto"/>
            <w:gridSpan w:val="3"/>
            <w:shd w:val="clear" w:color="auto" w:fill="auto"/>
            <w:vAlign w:val="bottom"/>
          </w:tcPr>
          <w:p w14:paraId="71D443FD" w14:textId="77777777" w:rsidR="006A3667" w:rsidRDefault="006A3667">
            <w:pPr>
              <w:rPr>
                <w:rFonts w:ascii="宋体"/>
                <w:vanish/>
              </w:rPr>
            </w:pPr>
          </w:p>
        </w:tc>
        <w:tc>
          <w:tcPr>
            <w:tcW w:w="0" w:type="auto"/>
            <w:gridSpan w:val="3"/>
            <w:shd w:val="clear" w:color="auto" w:fill="auto"/>
            <w:vAlign w:val="bottom"/>
          </w:tcPr>
          <w:p w14:paraId="71D443FE" w14:textId="77777777" w:rsidR="006A3667" w:rsidRDefault="006A3667">
            <w:pPr>
              <w:rPr>
                <w:rFonts w:ascii="宋体"/>
                <w:vanish/>
              </w:rPr>
            </w:pPr>
          </w:p>
        </w:tc>
        <w:tc>
          <w:tcPr>
            <w:tcW w:w="0" w:type="auto"/>
            <w:gridSpan w:val="3"/>
            <w:shd w:val="clear" w:color="auto" w:fill="auto"/>
            <w:vAlign w:val="bottom"/>
          </w:tcPr>
          <w:p w14:paraId="71D443FF" w14:textId="77777777" w:rsidR="006A3667" w:rsidRDefault="006A3667">
            <w:pPr>
              <w:rPr>
                <w:rFonts w:ascii="宋体"/>
                <w:vanish/>
              </w:rPr>
            </w:pPr>
          </w:p>
        </w:tc>
        <w:tc>
          <w:tcPr>
            <w:tcW w:w="0" w:type="auto"/>
            <w:gridSpan w:val="3"/>
            <w:shd w:val="clear" w:color="auto" w:fill="auto"/>
            <w:vAlign w:val="bottom"/>
          </w:tcPr>
          <w:p w14:paraId="71D44400" w14:textId="77777777" w:rsidR="006A3667" w:rsidRDefault="006A3667">
            <w:pPr>
              <w:rPr>
                <w:rFonts w:ascii="宋体"/>
                <w:vanish/>
              </w:rPr>
            </w:pPr>
          </w:p>
        </w:tc>
        <w:tc>
          <w:tcPr>
            <w:tcW w:w="0" w:type="auto"/>
            <w:gridSpan w:val="3"/>
            <w:shd w:val="clear" w:color="auto" w:fill="auto"/>
            <w:vAlign w:val="bottom"/>
          </w:tcPr>
          <w:p w14:paraId="71D44401" w14:textId="77777777" w:rsidR="006A3667" w:rsidRDefault="006A3667">
            <w:pPr>
              <w:rPr>
                <w:rFonts w:ascii="宋体"/>
                <w:vanish/>
              </w:rPr>
            </w:pPr>
          </w:p>
        </w:tc>
        <w:tc>
          <w:tcPr>
            <w:tcW w:w="0" w:type="auto"/>
            <w:gridSpan w:val="3"/>
            <w:shd w:val="clear" w:color="auto" w:fill="auto"/>
            <w:vAlign w:val="bottom"/>
          </w:tcPr>
          <w:p w14:paraId="71D44402" w14:textId="77777777" w:rsidR="006A3667" w:rsidRDefault="006A3667">
            <w:pPr>
              <w:rPr>
                <w:rFonts w:ascii="宋体"/>
                <w:vanish/>
              </w:rPr>
            </w:pPr>
          </w:p>
        </w:tc>
        <w:tc>
          <w:tcPr>
            <w:tcW w:w="0" w:type="auto"/>
            <w:gridSpan w:val="3"/>
            <w:shd w:val="clear" w:color="auto" w:fill="auto"/>
            <w:vAlign w:val="bottom"/>
          </w:tcPr>
          <w:p w14:paraId="71D44403" w14:textId="77777777" w:rsidR="006A3667" w:rsidRDefault="006A3667">
            <w:pPr>
              <w:rPr>
                <w:rFonts w:ascii="宋体"/>
                <w:vanish/>
              </w:rPr>
            </w:pPr>
          </w:p>
        </w:tc>
        <w:tc>
          <w:tcPr>
            <w:tcW w:w="0" w:type="auto"/>
            <w:shd w:val="clear" w:color="auto" w:fill="auto"/>
            <w:vAlign w:val="bottom"/>
          </w:tcPr>
          <w:p w14:paraId="71D44404" w14:textId="77777777" w:rsidR="006A3667" w:rsidRDefault="006A3667">
            <w:pPr>
              <w:rPr>
                <w:rFonts w:ascii="宋体"/>
                <w:vanish/>
              </w:rPr>
            </w:pPr>
          </w:p>
        </w:tc>
        <w:tc>
          <w:tcPr>
            <w:tcW w:w="0" w:type="auto"/>
            <w:shd w:val="clear" w:color="auto" w:fill="auto"/>
            <w:vAlign w:val="bottom"/>
          </w:tcPr>
          <w:p w14:paraId="71D44405" w14:textId="77777777" w:rsidR="006A3667" w:rsidRDefault="006A3667">
            <w:pPr>
              <w:rPr>
                <w:rFonts w:ascii="宋体"/>
                <w:vanish/>
              </w:rPr>
            </w:pPr>
          </w:p>
        </w:tc>
        <w:tc>
          <w:tcPr>
            <w:tcW w:w="0" w:type="auto"/>
            <w:gridSpan w:val="3"/>
            <w:shd w:val="clear" w:color="auto" w:fill="auto"/>
            <w:vAlign w:val="bottom"/>
          </w:tcPr>
          <w:p w14:paraId="71D44406" w14:textId="77777777" w:rsidR="006A3667" w:rsidRDefault="006A3667">
            <w:pPr>
              <w:rPr>
                <w:rFonts w:ascii="宋体"/>
                <w:vanish/>
              </w:rPr>
            </w:pPr>
          </w:p>
        </w:tc>
        <w:tc>
          <w:tcPr>
            <w:tcW w:w="0" w:type="auto"/>
            <w:gridSpan w:val="3"/>
            <w:shd w:val="clear" w:color="auto" w:fill="auto"/>
            <w:vAlign w:val="bottom"/>
          </w:tcPr>
          <w:p w14:paraId="71D44407" w14:textId="77777777" w:rsidR="006A3667" w:rsidRDefault="006A3667">
            <w:pPr>
              <w:rPr>
                <w:rFonts w:ascii="宋体"/>
                <w:vanish/>
              </w:rPr>
            </w:pPr>
          </w:p>
        </w:tc>
        <w:tc>
          <w:tcPr>
            <w:tcW w:w="0" w:type="auto"/>
            <w:gridSpan w:val="3"/>
            <w:shd w:val="clear" w:color="auto" w:fill="auto"/>
            <w:vAlign w:val="bottom"/>
          </w:tcPr>
          <w:p w14:paraId="71D44408" w14:textId="77777777" w:rsidR="006A3667" w:rsidRDefault="006A3667">
            <w:pPr>
              <w:rPr>
                <w:rFonts w:ascii="宋体"/>
                <w:vanish/>
              </w:rPr>
            </w:pPr>
          </w:p>
        </w:tc>
        <w:tc>
          <w:tcPr>
            <w:tcW w:w="0" w:type="auto"/>
            <w:gridSpan w:val="3"/>
            <w:shd w:val="clear" w:color="auto" w:fill="auto"/>
            <w:vAlign w:val="bottom"/>
          </w:tcPr>
          <w:p w14:paraId="71D44409" w14:textId="77777777" w:rsidR="006A3667" w:rsidRDefault="006A3667">
            <w:pPr>
              <w:rPr>
                <w:rFonts w:ascii="宋体"/>
                <w:vanish/>
              </w:rPr>
            </w:pPr>
          </w:p>
        </w:tc>
        <w:tc>
          <w:tcPr>
            <w:tcW w:w="0" w:type="auto"/>
            <w:gridSpan w:val="3"/>
            <w:shd w:val="clear" w:color="auto" w:fill="auto"/>
            <w:vAlign w:val="bottom"/>
          </w:tcPr>
          <w:p w14:paraId="71D4440A" w14:textId="77777777" w:rsidR="006A3667" w:rsidRDefault="006A3667">
            <w:pPr>
              <w:rPr>
                <w:rFonts w:ascii="宋体"/>
                <w:vanish/>
              </w:rPr>
            </w:pPr>
          </w:p>
        </w:tc>
        <w:tc>
          <w:tcPr>
            <w:tcW w:w="0" w:type="auto"/>
            <w:gridSpan w:val="3"/>
            <w:shd w:val="clear" w:color="auto" w:fill="auto"/>
            <w:vAlign w:val="bottom"/>
          </w:tcPr>
          <w:p w14:paraId="71D4440B" w14:textId="77777777" w:rsidR="006A3667" w:rsidRDefault="006A3667">
            <w:pPr>
              <w:rPr>
                <w:rFonts w:ascii="宋体"/>
                <w:vanish/>
              </w:rPr>
            </w:pPr>
          </w:p>
        </w:tc>
        <w:tc>
          <w:tcPr>
            <w:tcW w:w="0" w:type="auto"/>
            <w:gridSpan w:val="3"/>
            <w:shd w:val="clear" w:color="auto" w:fill="auto"/>
            <w:vAlign w:val="bottom"/>
          </w:tcPr>
          <w:p w14:paraId="71D4440C" w14:textId="77777777" w:rsidR="006A3667" w:rsidRDefault="006A3667">
            <w:pPr>
              <w:rPr>
                <w:rFonts w:ascii="宋体"/>
                <w:vanish/>
              </w:rPr>
            </w:pPr>
          </w:p>
        </w:tc>
        <w:tc>
          <w:tcPr>
            <w:tcW w:w="0" w:type="auto"/>
            <w:gridSpan w:val="3"/>
            <w:shd w:val="clear" w:color="auto" w:fill="auto"/>
            <w:vAlign w:val="bottom"/>
          </w:tcPr>
          <w:p w14:paraId="71D4440D" w14:textId="77777777" w:rsidR="006A3667" w:rsidRDefault="006A3667">
            <w:pPr>
              <w:rPr>
                <w:rFonts w:ascii="宋体"/>
                <w:vanish/>
              </w:rPr>
            </w:pPr>
          </w:p>
        </w:tc>
        <w:tc>
          <w:tcPr>
            <w:tcW w:w="0" w:type="auto"/>
            <w:gridSpan w:val="3"/>
            <w:shd w:val="clear" w:color="auto" w:fill="auto"/>
            <w:vAlign w:val="bottom"/>
          </w:tcPr>
          <w:p w14:paraId="71D4440E" w14:textId="77777777" w:rsidR="006A3667" w:rsidRDefault="006A3667">
            <w:pPr>
              <w:rPr>
                <w:rFonts w:ascii="宋体"/>
                <w:vanish/>
              </w:rPr>
            </w:pPr>
          </w:p>
        </w:tc>
        <w:tc>
          <w:tcPr>
            <w:tcW w:w="0" w:type="auto"/>
            <w:gridSpan w:val="3"/>
            <w:shd w:val="clear" w:color="auto" w:fill="auto"/>
            <w:vAlign w:val="bottom"/>
          </w:tcPr>
          <w:p w14:paraId="71D4440F" w14:textId="77777777" w:rsidR="006A3667" w:rsidRDefault="006A3667">
            <w:pPr>
              <w:rPr>
                <w:rFonts w:ascii="宋体"/>
                <w:vanish/>
              </w:rPr>
            </w:pPr>
          </w:p>
        </w:tc>
        <w:tc>
          <w:tcPr>
            <w:tcW w:w="0" w:type="auto"/>
            <w:gridSpan w:val="2"/>
            <w:shd w:val="clear" w:color="auto" w:fill="auto"/>
            <w:vAlign w:val="bottom"/>
          </w:tcPr>
          <w:p w14:paraId="71D44410" w14:textId="77777777" w:rsidR="006A3667" w:rsidRDefault="006A3667">
            <w:pPr>
              <w:rPr>
                <w:rFonts w:ascii="宋体"/>
                <w:vanish/>
              </w:rPr>
            </w:pPr>
          </w:p>
        </w:tc>
        <w:tc>
          <w:tcPr>
            <w:tcW w:w="0" w:type="auto"/>
            <w:shd w:val="clear" w:color="auto" w:fill="auto"/>
            <w:vAlign w:val="bottom"/>
          </w:tcPr>
          <w:p w14:paraId="71D44411" w14:textId="77777777" w:rsidR="006A3667" w:rsidRDefault="006A3667">
            <w:pPr>
              <w:rPr>
                <w:rFonts w:ascii="宋体"/>
                <w:vanish/>
              </w:rPr>
            </w:pPr>
          </w:p>
        </w:tc>
      </w:tr>
      <w:tr w:rsidR="006A3667" w14:paraId="71D44429" w14:textId="77777777">
        <w:trPr>
          <w:hidden/>
        </w:trPr>
        <w:tc>
          <w:tcPr>
            <w:tcW w:w="0" w:type="auto"/>
            <w:gridSpan w:val="3"/>
            <w:shd w:val="clear" w:color="auto" w:fill="auto"/>
            <w:vAlign w:val="bottom"/>
          </w:tcPr>
          <w:p w14:paraId="71D44413" w14:textId="77777777" w:rsidR="006A3667" w:rsidRDefault="006A3667">
            <w:pPr>
              <w:rPr>
                <w:rFonts w:ascii="宋体"/>
                <w:vanish/>
              </w:rPr>
            </w:pPr>
          </w:p>
        </w:tc>
        <w:tc>
          <w:tcPr>
            <w:tcW w:w="0" w:type="auto"/>
            <w:gridSpan w:val="3"/>
            <w:shd w:val="clear" w:color="auto" w:fill="auto"/>
            <w:vAlign w:val="bottom"/>
          </w:tcPr>
          <w:p w14:paraId="71D44414" w14:textId="77777777" w:rsidR="006A3667" w:rsidRDefault="006A3667">
            <w:pPr>
              <w:rPr>
                <w:rFonts w:ascii="宋体"/>
                <w:vanish/>
              </w:rPr>
            </w:pPr>
          </w:p>
        </w:tc>
        <w:tc>
          <w:tcPr>
            <w:tcW w:w="0" w:type="auto"/>
            <w:gridSpan w:val="3"/>
            <w:shd w:val="clear" w:color="auto" w:fill="auto"/>
            <w:vAlign w:val="bottom"/>
          </w:tcPr>
          <w:p w14:paraId="71D44415" w14:textId="77777777" w:rsidR="006A3667" w:rsidRDefault="006A3667">
            <w:pPr>
              <w:rPr>
                <w:rFonts w:ascii="宋体"/>
                <w:vanish/>
              </w:rPr>
            </w:pPr>
          </w:p>
        </w:tc>
        <w:tc>
          <w:tcPr>
            <w:tcW w:w="0" w:type="auto"/>
            <w:gridSpan w:val="3"/>
            <w:shd w:val="clear" w:color="auto" w:fill="auto"/>
            <w:vAlign w:val="bottom"/>
          </w:tcPr>
          <w:p w14:paraId="71D44416" w14:textId="77777777" w:rsidR="006A3667" w:rsidRDefault="006A3667">
            <w:pPr>
              <w:rPr>
                <w:rFonts w:ascii="宋体"/>
                <w:vanish/>
              </w:rPr>
            </w:pPr>
          </w:p>
        </w:tc>
        <w:tc>
          <w:tcPr>
            <w:tcW w:w="0" w:type="auto"/>
            <w:gridSpan w:val="3"/>
            <w:shd w:val="clear" w:color="auto" w:fill="auto"/>
            <w:vAlign w:val="bottom"/>
          </w:tcPr>
          <w:p w14:paraId="71D44417" w14:textId="77777777" w:rsidR="006A3667" w:rsidRDefault="006A3667">
            <w:pPr>
              <w:rPr>
                <w:rFonts w:ascii="宋体"/>
                <w:vanish/>
              </w:rPr>
            </w:pPr>
          </w:p>
        </w:tc>
        <w:tc>
          <w:tcPr>
            <w:tcW w:w="0" w:type="auto"/>
            <w:gridSpan w:val="3"/>
            <w:shd w:val="clear" w:color="auto" w:fill="auto"/>
            <w:vAlign w:val="bottom"/>
          </w:tcPr>
          <w:p w14:paraId="71D44418" w14:textId="77777777" w:rsidR="006A3667" w:rsidRDefault="006A3667">
            <w:pPr>
              <w:rPr>
                <w:rFonts w:ascii="宋体"/>
                <w:vanish/>
              </w:rPr>
            </w:pPr>
          </w:p>
        </w:tc>
        <w:tc>
          <w:tcPr>
            <w:tcW w:w="0" w:type="auto"/>
            <w:gridSpan w:val="3"/>
            <w:shd w:val="clear" w:color="auto" w:fill="auto"/>
            <w:vAlign w:val="bottom"/>
          </w:tcPr>
          <w:p w14:paraId="71D44419" w14:textId="77777777" w:rsidR="006A3667" w:rsidRDefault="006A3667">
            <w:pPr>
              <w:rPr>
                <w:rFonts w:ascii="宋体"/>
                <w:vanish/>
              </w:rPr>
            </w:pPr>
          </w:p>
        </w:tc>
        <w:tc>
          <w:tcPr>
            <w:tcW w:w="0" w:type="auto"/>
            <w:gridSpan w:val="3"/>
            <w:shd w:val="clear" w:color="auto" w:fill="auto"/>
            <w:vAlign w:val="bottom"/>
          </w:tcPr>
          <w:p w14:paraId="71D4441A" w14:textId="77777777" w:rsidR="006A3667" w:rsidRDefault="006A3667">
            <w:pPr>
              <w:rPr>
                <w:rFonts w:ascii="宋体"/>
                <w:vanish/>
              </w:rPr>
            </w:pPr>
          </w:p>
        </w:tc>
        <w:tc>
          <w:tcPr>
            <w:tcW w:w="0" w:type="auto"/>
            <w:shd w:val="clear" w:color="auto" w:fill="auto"/>
            <w:vAlign w:val="bottom"/>
          </w:tcPr>
          <w:p w14:paraId="71D4441B" w14:textId="77777777" w:rsidR="006A3667" w:rsidRDefault="006A3667">
            <w:pPr>
              <w:rPr>
                <w:rFonts w:ascii="宋体"/>
                <w:vanish/>
              </w:rPr>
            </w:pPr>
          </w:p>
        </w:tc>
        <w:tc>
          <w:tcPr>
            <w:tcW w:w="0" w:type="auto"/>
            <w:shd w:val="clear" w:color="auto" w:fill="auto"/>
            <w:vAlign w:val="bottom"/>
          </w:tcPr>
          <w:p w14:paraId="71D4441C" w14:textId="77777777" w:rsidR="006A3667" w:rsidRDefault="006A3667">
            <w:pPr>
              <w:rPr>
                <w:rFonts w:ascii="宋体"/>
                <w:vanish/>
              </w:rPr>
            </w:pPr>
          </w:p>
        </w:tc>
        <w:tc>
          <w:tcPr>
            <w:tcW w:w="0" w:type="auto"/>
            <w:gridSpan w:val="3"/>
            <w:shd w:val="clear" w:color="auto" w:fill="auto"/>
            <w:vAlign w:val="bottom"/>
          </w:tcPr>
          <w:p w14:paraId="71D4441D" w14:textId="77777777" w:rsidR="006A3667" w:rsidRDefault="006A3667">
            <w:pPr>
              <w:rPr>
                <w:rFonts w:ascii="宋体"/>
                <w:vanish/>
              </w:rPr>
            </w:pPr>
          </w:p>
        </w:tc>
        <w:tc>
          <w:tcPr>
            <w:tcW w:w="0" w:type="auto"/>
            <w:gridSpan w:val="3"/>
            <w:shd w:val="clear" w:color="auto" w:fill="auto"/>
            <w:vAlign w:val="bottom"/>
          </w:tcPr>
          <w:p w14:paraId="71D4441E" w14:textId="77777777" w:rsidR="006A3667" w:rsidRDefault="006A3667">
            <w:pPr>
              <w:rPr>
                <w:rFonts w:ascii="宋体"/>
                <w:vanish/>
              </w:rPr>
            </w:pPr>
          </w:p>
        </w:tc>
        <w:tc>
          <w:tcPr>
            <w:tcW w:w="0" w:type="auto"/>
            <w:gridSpan w:val="3"/>
            <w:shd w:val="clear" w:color="auto" w:fill="auto"/>
            <w:vAlign w:val="bottom"/>
          </w:tcPr>
          <w:p w14:paraId="71D4441F" w14:textId="77777777" w:rsidR="006A3667" w:rsidRDefault="006A3667">
            <w:pPr>
              <w:rPr>
                <w:rFonts w:ascii="宋体"/>
                <w:vanish/>
              </w:rPr>
            </w:pPr>
          </w:p>
        </w:tc>
        <w:tc>
          <w:tcPr>
            <w:tcW w:w="0" w:type="auto"/>
            <w:gridSpan w:val="3"/>
            <w:shd w:val="clear" w:color="auto" w:fill="auto"/>
            <w:vAlign w:val="bottom"/>
          </w:tcPr>
          <w:p w14:paraId="71D44420" w14:textId="77777777" w:rsidR="006A3667" w:rsidRDefault="006A3667">
            <w:pPr>
              <w:rPr>
                <w:rFonts w:ascii="宋体"/>
                <w:vanish/>
              </w:rPr>
            </w:pPr>
          </w:p>
        </w:tc>
        <w:tc>
          <w:tcPr>
            <w:tcW w:w="0" w:type="auto"/>
            <w:gridSpan w:val="3"/>
            <w:shd w:val="clear" w:color="auto" w:fill="auto"/>
            <w:vAlign w:val="bottom"/>
          </w:tcPr>
          <w:p w14:paraId="71D44421" w14:textId="77777777" w:rsidR="006A3667" w:rsidRDefault="006A3667">
            <w:pPr>
              <w:rPr>
                <w:rFonts w:ascii="宋体"/>
                <w:vanish/>
              </w:rPr>
            </w:pPr>
          </w:p>
        </w:tc>
        <w:tc>
          <w:tcPr>
            <w:tcW w:w="0" w:type="auto"/>
            <w:gridSpan w:val="3"/>
            <w:shd w:val="clear" w:color="auto" w:fill="auto"/>
            <w:vAlign w:val="bottom"/>
          </w:tcPr>
          <w:p w14:paraId="71D44422" w14:textId="77777777" w:rsidR="006A3667" w:rsidRDefault="006A3667">
            <w:pPr>
              <w:rPr>
                <w:rFonts w:ascii="宋体"/>
                <w:vanish/>
              </w:rPr>
            </w:pPr>
          </w:p>
        </w:tc>
        <w:tc>
          <w:tcPr>
            <w:tcW w:w="0" w:type="auto"/>
            <w:gridSpan w:val="3"/>
            <w:shd w:val="clear" w:color="auto" w:fill="auto"/>
            <w:vAlign w:val="bottom"/>
          </w:tcPr>
          <w:p w14:paraId="71D44423" w14:textId="77777777" w:rsidR="006A3667" w:rsidRDefault="006A3667">
            <w:pPr>
              <w:rPr>
                <w:rFonts w:ascii="宋体"/>
                <w:vanish/>
              </w:rPr>
            </w:pPr>
          </w:p>
        </w:tc>
        <w:tc>
          <w:tcPr>
            <w:tcW w:w="0" w:type="auto"/>
            <w:gridSpan w:val="3"/>
            <w:shd w:val="clear" w:color="auto" w:fill="auto"/>
            <w:vAlign w:val="bottom"/>
          </w:tcPr>
          <w:p w14:paraId="71D44424" w14:textId="77777777" w:rsidR="006A3667" w:rsidRDefault="006A3667">
            <w:pPr>
              <w:rPr>
                <w:rFonts w:ascii="宋体"/>
                <w:vanish/>
              </w:rPr>
            </w:pPr>
          </w:p>
        </w:tc>
        <w:tc>
          <w:tcPr>
            <w:tcW w:w="0" w:type="auto"/>
            <w:gridSpan w:val="3"/>
            <w:shd w:val="clear" w:color="auto" w:fill="auto"/>
            <w:vAlign w:val="bottom"/>
          </w:tcPr>
          <w:p w14:paraId="71D44425" w14:textId="77777777" w:rsidR="006A3667" w:rsidRDefault="006A3667">
            <w:pPr>
              <w:rPr>
                <w:rFonts w:ascii="宋体"/>
                <w:vanish/>
              </w:rPr>
            </w:pPr>
          </w:p>
        </w:tc>
        <w:tc>
          <w:tcPr>
            <w:tcW w:w="0" w:type="auto"/>
            <w:gridSpan w:val="3"/>
            <w:shd w:val="clear" w:color="auto" w:fill="auto"/>
            <w:vAlign w:val="bottom"/>
          </w:tcPr>
          <w:p w14:paraId="71D44426" w14:textId="77777777" w:rsidR="006A3667" w:rsidRDefault="006A3667">
            <w:pPr>
              <w:rPr>
                <w:rFonts w:ascii="宋体"/>
                <w:vanish/>
              </w:rPr>
            </w:pPr>
          </w:p>
        </w:tc>
        <w:tc>
          <w:tcPr>
            <w:tcW w:w="0" w:type="auto"/>
            <w:gridSpan w:val="2"/>
            <w:shd w:val="clear" w:color="auto" w:fill="auto"/>
            <w:vAlign w:val="bottom"/>
          </w:tcPr>
          <w:p w14:paraId="71D44427" w14:textId="77777777" w:rsidR="006A3667" w:rsidRDefault="006A3667">
            <w:pPr>
              <w:rPr>
                <w:rFonts w:ascii="宋体"/>
                <w:vanish/>
              </w:rPr>
            </w:pPr>
          </w:p>
        </w:tc>
        <w:tc>
          <w:tcPr>
            <w:tcW w:w="0" w:type="auto"/>
            <w:shd w:val="clear" w:color="auto" w:fill="auto"/>
            <w:vAlign w:val="bottom"/>
          </w:tcPr>
          <w:p w14:paraId="71D44428" w14:textId="77777777" w:rsidR="006A3667" w:rsidRDefault="006A3667">
            <w:pPr>
              <w:rPr>
                <w:rFonts w:ascii="宋体"/>
                <w:vanish/>
              </w:rPr>
            </w:pPr>
          </w:p>
        </w:tc>
      </w:tr>
      <w:tr w:rsidR="006A3667" w14:paraId="71D44440" w14:textId="77777777">
        <w:trPr>
          <w:hidden/>
        </w:trPr>
        <w:tc>
          <w:tcPr>
            <w:tcW w:w="0" w:type="auto"/>
            <w:gridSpan w:val="3"/>
            <w:shd w:val="clear" w:color="auto" w:fill="auto"/>
            <w:vAlign w:val="bottom"/>
          </w:tcPr>
          <w:p w14:paraId="71D4442A" w14:textId="77777777" w:rsidR="006A3667" w:rsidRDefault="006A3667">
            <w:pPr>
              <w:rPr>
                <w:rFonts w:ascii="宋体"/>
                <w:vanish/>
              </w:rPr>
            </w:pPr>
          </w:p>
        </w:tc>
        <w:tc>
          <w:tcPr>
            <w:tcW w:w="0" w:type="auto"/>
            <w:gridSpan w:val="3"/>
            <w:shd w:val="clear" w:color="auto" w:fill="auto"/>
            <w:vAlign w:val="bottom"/>
          </w:tcPr>
          <w:p w14:paraId="71D4442B" w14:textId="77777777" w:rsidR="006A3667" w:rsidRDefault="006A3667">
            <w:pPr>
              <w:rPr>
                <w:rFonts w:ascii="宋体"/>
                <w:vanish/>
              </w:rPr>
            </w:pPr>
          </w:p>
        </w:tc>
        <w:tc>
          <w:tcPr>
            <w:tcW w:w="0" w:type="auto"/>
            <w:gridSpan w:val="3"/>
            <w:shd w:val="clear" w:color="auto" w:fill="auto"/>
            <w:vAlign w:val="bottom"/>
          </w:tcPr>
          <w:p w14:paraId="71D4442C" w14:textId="77777777" w:rsidR="006A3667" w:rsidRDefault="006A3667">
            <w:pPr>
              <w:rPr>
                <w:rFonts w:ascii="宋体"/>
                <w:vanish/>
              </w:rPr>
            </w:pPr>
          </w:p>
        </w:tc>
        <w:tc>
          <w:tcPr>
            <w:tcW w:w="0" w:type="auto"/>
            <w:gridSpan w:val="3"/>
            <w:shd w:val="clear" w:color="auto" w:fill="auto"/>
            <w:vAlign w:val="bottom"/>
          </w:tcPr>
          <w:p w14:paraId="71D4442D" w14:textId="77777777" w:rsidR="006A3667" w:rsidRDefault="006A3667">
            <w:pPr>
              <w:rPr>
                <w:rFonts w:ascii="宋体"/>
                <w:vanish/>
              </w:rPr>
            </w:pPr>
          </w:p>
        </w:tc>
        <w:tc>
          <w:tcPr>
            <w:tcW w:w="0" w:type="auto"/>
            <w:gridSpan w:val="3"/>
            <w:shd w:val="clear" w:color="auto" w:fill="auto"/>
            <w:vAlign w:val="bottom"/>
          </w:tcPr>
          <w:p w14:paraId="71D4442E" w14:textId="77777777" w:rsidR="006A3667" w:rsidRDefault="006A3667">
            <w:pPr>
              <w:rPr>
                <w:rFonts w:ascii="宋体"/>
                <w:vanish/>
              </w:rPr>
            </w:pPr>
          </w:p>
        </w:tc>
        <w:tc>
          <w:tcPr>
            <w:tcW w:w="0" w:type="auto"/>
            <w:gridSpan w:val="3"/>
            <w:shd w:val="clear" w:color="auto" w:fill="auto"/>
            <w:vAlign w:val="bottom"/>
          </w:tcPr>
          <w:p w14:paraId="71D4442F" w14:textId="77777777" w:rsidR="006A3667" w:rsidRDefault="006A3667">
            <w:pPr>
              <w:rPr>
                <w:rFonts w:ascii="宋体"/>
                <w:vanish/>
              </w:rPr>
            </w:pPr>
          </w:p>
        </w:tc>
        <w:tc>
          <w:tcPr>
            <w:tcW w:w="0" w:type="auto"/>
            <w:gridSpan w:val="3"/>
            <w:shd w:val="clear" w:color="auto" w:fill="auto"/>
            <w:vAlign w:val="bottom"/>
          </w:tcPr>
          <w:p w14:paraId="71D44430" w14:textId="77777777" w:rsidR="006A3667" w:rsidRDefault="006A3667">
            <w:pPr>
              <w:rPr>
                <w:rFonts w:ascii="宋体"/>
                <w:vanish/>
              </w:rPr>
            </w:pPr>
          </w:p>
        </w:tc>
        <w:tc>
          <w:tcPr>
            <w:tcW w:w="0" w:type="auto"/>
            <w:gridSpan w:val="3"/>
            <w:shd w:val="clear" w:color="auto" w:fill="auto"/>
            <w:vAlign w:val="bottom"/>
          </w:tcPr>
          <w:p w14:paraId="71D44431" w14:textId="77777777" w:rsidR="006A3667" w:rsidRDefault="006A3667">
            <w:pPr>
              <w:rPr>
                <w:rFonts w:ascii="宋体"/>
                <w:vanish/>
              </w:rPr>
            </w:pPr>
          </w:p>
        </w:tc>
        <w:tc>
          <w:tcPr>
            <w:tcW w:w="0" w:type="auto"/>
            <w:shd w:val="clear" w:color="auto" w:fill="auto"/>
            <w:vAlign w:val="bottom"/>
          </w:tcPr>
          <w:p w14:paraId="71D44432" w14:textId="77777777" w:rsidR="006A3667" w:rsidRDefault="006A3667">
            <w:pPr>
              <w:rPr>
                <w:rFonts w:ascii="宋体"/>
                <w:vanish/>
              </w:rPr>
            </w:pPr>
          </w:p>
        </w:tc>
        <w:tc>
          <w:tcPr>
            <w:tcW w:w="0" w:type="auto"/>
            <w:shd w:val="clear" w:color="auto" w:fill="auto"/>
            <w:vAlign w:val="bottom"/>
          </w:tcPr>
          <w:p w14:paraId="71D44433" w14:textId="77777777" w:rsidR="006A3667" w:rsidRDefault="006A3667">
            <w:pPr>
              <w:rPr>
                <w:rFonts w:ascii="宋体"/>
                <w:vanish/>
              </w:rPr>
            </w:pPr>
          </w:p>
        </w:tc>
        <w:tc>
          <w:tcPr>
            <w:tcW w:w="0" w:type="auto"/>
            <w:gridSpan w:val="3"/>
            <w:shd w:val="clear" w:color="auto" w:fill="auto"/>
            <w:vAlign w:val="bottom"/>
          </w:tcPr>
          <w:p w14:paraId="71D44434" w14:textId="77777777" w:rsidR="006A3667" w:rsidRDefault="006A3667">
            <w:pPr>
              <w:rPr>
                <w:rFonts w:ascii="宋体"/>
                <w:vanish/>
              </w:rPr>
            </w:pPr>
          </w:p>
        </w:tc>
        <w:tc>
          <w:tcPr>
            <w:tcW w:w="0" w:type="auto"/>
            <w:gridSpan w:val="3"/>
            <w:shd w:val="clear" w:color="auto" w:fill="auto"/>
            <w:vAlign w:val="bottom"/>
          </w:tcPr>
          <w:p w14:paraId="71D44435" w14:textId="77777777" w:rsidR="006A3667" w:rsidRDefault="006A3667">
            <w:pPr>
              <w:rPr>
                <w:rFonts w:ascii="宋体"/>
                <w:vanish/>
              </w:rPr>
            </w:pPr>
          </w:p>
        </w:tc>
        <w:tc>
          <w:tcPr>
            <w:tcW w:w="0" w:type="auto"/>
            <w:gridSpan w:val="3"/>
            <w:shd w:val="clear" w:color="auto" w:fill="auto"/>
            <w:vAlign w:val="bottom"/>
          </w:tcPr>
          <w:p w14:paraId="71D44436" w14:textId="77777777" w:rsidR="006A3667" w:rsidRDefault="006A3667">
            <w:pPr>
              <w:rPr>
                <w:rFonts w:ascii="宋体"/>
                <w:vanish/>
              </w:rPr>
            </w:pPr>
          </w:p>
        </w:tc>
        <w:tc>
          <w:tcPr>
            <w:tcW w:w="0" w:type="auto"/>
            <w:gridSpan w:val="3"/>
            <w:shd w:val="clear" w:color="auto" w:fill="auto"/>
            <w:vAlign w:val="bottom"/>
          </w:tcPr>
          <w:p w14:paraId="71D44437" w14:textId="77777777" w:rsidR="006A3667" w:rsidRDefault="006A3667">
            <w:pPr>
              <w:rPr>
                <w:rFonts w:ascii="宋体"/>
                <w:vanish/>
              </w:rPr>
            </w:pPr>
          </w:p>
        </w:tc>
        <w:tc>
          <w:tcPr>
            <w:tcW w:w="0" w:type="auto"/>
            <w:gridSpan w:val="3"/>
            <w:shd w:val="clear" w:color="auto" w:fill="auto"/>
            <w:vAlign w:val="bottom"/>
          </w:tcPr>
          <w:p w14:paraId="71D44438" w14:textId="77777777" w:rsidR="006A3667" w:rsidRDefault="006A3667">
            <w:pPr>
              <w:rPr>
                <w:rFonts w:ascii="宋体"/>
                <w:vanish/>
              </w:rPr>
            </w:pPr>
          </w:p>
        </w:tc>
        <w:tc>
          <w:tcPr>
            <w:tcW w:w="0" w:type="auto"/>
            <w:gridSpan w:val="3"/>
            <w:shd w:val="clear" w:color="auto" w:fill="auto"/>
            <w:vAlign w:val="bottom"/>
          </w:tcPr>
          <w:p w14:paraId="71D44439" w14:textId="77777777" w:rsidR="006A3667" w:rsidRDefault="006A3667">
            <w:pPr>
              <w:rPr>
                <w:rFonts w:ascii="宋体"/>
                <w:vanish/>
              </w:rPr>
            </w:pPr>
          </w:p>
        </w:tc>
        <w:tc>
          <w:tcPr>
            <w:tcW w:w="0" w:type="auto"/>
            <w:gridSpan w:val="3"/>
            <w:shd w:val="clear" w:color="auto" w:fill="auto"/>
            <w:vAlign w:val="bottom"/>
          </w:tcPr>
          <w:p w14:paraId="71D4443A" w14:textId="77777777" w:rsidR="006A3667" w:rsidRDefault="006A3667">
            <w:pPr>
              <w:rPr>
                <w:rFonts w:ascii="宋体"/>
                <w:vanish/>
              </w:rPr>
            </w:pPr>
          </w:p>
        </w:tc>
        <w:tc>
          <w:tcPr>
            <w:tcW w:w="0" w:type="auto"/>
            <w:gridSpan w:val="3"/>
            <w:shd w:val="clear" w:color="auto" w:fill="auto"/>
            <w:vAlign w:val="bottom"/>
          </w:tcPr>
          <w:p w14:paraId="71D4443B" w14:textId="77777777" w:rsidR="006A3667" w:rsidRDefault="006A3667">
            <w:pPr>
              <w:rPr>
                <w:rFonts w:ascii="宋体"/>
                <w:vanish/>
              </w:rPr>
            </w:pPr>
          </w:p>
        </w:tc>
        <w:tc>
          <w:tcPr>
            <w:tcW w:w="0" w:type="auto"/>
            <w:gridSpan w:val="3"/>
            <w:shd w:val="clear" w:color="auto" w:fill="auto"/>
            <w:vAlign w:val="bottom"/>
          </w:tcPr>
          <w:p w14:paraId="71D4443C" w14:textId="77777777" w:rsidR="006A3667" w:rsidRDefault="006A3667">
            <w:pPr>
              <w:rPr>
                <w:rFonts w:ascii="宋体"/>
                <w:vanish/>
              </w:rPr>
            </w:pPr>
          </w:p>
        </w:tc>
        <w:tc>
          <w:tcPr>
            <w:tcW w:w="0" w:type="auto"/>
            <w:gridSpan w:val="3"/>
            <w:shd w:val="clear" w:color="auto" w:fill="auto"/>
            <w:vAlign w:val="bottom"/>
          </w:tcPr>
          <w:p w14:paraId="71D4443D" w14:textId="77777777" w:rsidR="006A3667" w:rsidRDefault="006A3667">
            <w:pPr>
              <w:rPr>
                <w:rFonts w:ascii="宋体"/>
                <w:vanish/>
              </w:rPr>
            </w:pPr>
          </w:p>
        </w:tc>
        <w:tc>
          <w:tcPr>
            <w:tcW w:w="0" w:type="auto"/>
            <w:gridSpan w:val="2"/>
            <w:shd w:val="clear" w:color="auto" w:fill="auto"/>
            <w:vAlign w:val="bottom"/>
          </w:tcPr>
          <w:p w14:paraId="71D4443E" w14:textId="77777777" w:rsidR="006A3667" w:rsidRDefault="006A3667">
            <w:pPr>
              <w:rPr>
                <w:rFonts w:ascii="宋体"/>
                <w:vanish/>
              </w:rPr>
            </w:pPr>
          </w:p>
        </w:tc>
        <w:tc>
          <w:tcPr>
            <w:tcW w:w="0" w:type="auto"/>
            <w:shd w:val="clear" w:color="auto" w:fill="auto"/>
            <w:vAlign w:val="bottom"/>
          </w:tcPr>
          <w:p w14:paraId="71D4443F" w14:textId="77777777" w:rsidR="006A3667" w:rsidRDefault="006A3667">
            <w:pPr>
              <w:rPr>
                <w:rFonts w:ascii="宋体"/>
                <w:vanish/>
              </w:rPr>
            </w:pPr>
          </w:p>
        </w:tc>
      </w:tr>
      <w:tr w:rsidR="006A3667" w14:paraId="71D44457" w14:textId="77777777">
        <w:trPr>
          <w:hidden/>
        </w:trPr>
        <w:tc>
          <w:tcPr>
            <w:tcW w:w="0" w:type="auto"/>
            <w:gridSpan w:val="3"/>
            <w:shd w:val="clear" w:color="auto" w:fill="auto"/>
            <w:vAlign w:val="bottom"/>
          </w:tcPr>
          <w:p w14:paraId="71D44441" w14:textId="77777777" w:rsidR="006A3667" w:rsidRDefault="006A3667">
            <w:pPr>
              <w:rPr>
                <w:rFonts w:ascii="宋体"/>
                <w:vanish/>
              </w:rPr>
            </w:pPr>
          </w:p>
        </w:tc>
        <w:tc>
          <w:tcPr>
            <w:tcW w:w="0" w:type="auto"/>
            <w:gridSpan w:val="3"/>
            <w:shd w:val="clear" w:color="auto" w:fill="auto"/>
            <w:vAlign w:val="bottom"/>
          </w:tcPr>
          <w:p w14:paraId="71D44442" w14:textId="77777777" w:rsidR="006A3667" w:rsidRDefault="006A3667">
            <w:pPr>
              <w:rPr>
                <w:rFonts w:ascii="宋体"/>
                <w:vanish/>
              </w:rPr>
            </w:pPr>
          </w:p>
        </w:tc>
        <w:tc>
          <w:tcPr>
            <w:tcW w:w="0" w:type="auto"/>
            <w:gridSpan w:val="3"/>
            <w:shd w:val="clear" w:color="auto" w:fill="auto"/>
            <w:vAlign w:val="bottom"/>
          </w:tcPr>
          <w:p w14:paraId="71D44443" w14:textId="77777777" w:rsidR="006A3667" w:rsidRDefault="006A3667">
            <w:pPr>
              <w:rPr>
                <w:rFonts w:ascii="宋体"/>
                <w:vanish/>
              </w:rPr>
            </w:pPr>
          </w:p>
        </w:tc>
        <w:tc>
          <w:tcPr>
            <w:tcW w:w="0" w:type="auto"/>
            <w:gridSpan w:val="3"/>
            <w:shd w:val="clear" w:color="auto" w:fill="auto"/>
            <w:vAlign w:val="bottom"/>
          </w:tcPr>
          <w:p w14:paraId="71D44444" w14:textId="77777777" w:rsidR="006A3667" w:rsidRDefault="006A3667">
            <w:pPr>
              <w:rPr>
                <w:rFonts w:ascii="宋体"/>
                <w:vanish/>
              </w:rPr>
            </w:pPr>
          </w:p>
        </w:tc>
        <w:tc>
          <w:tcPr>
            <w:tcW w:w="0" w:type="auto"/>
            <w:gridSpan w:val="3"/>
            <w:shd w:val="clear" w:color="auto" w:fill="auto"/>
            <w:vAlign w:val="bottom"/>
          </w:tcPr>
          <w:p w14:paraId="71D44445" w14:textId="77777777" w:rsidR="006A3667" w:rsidRDefault="006A3667">
            <w:pPr>
              <w:rPr>
                <w:rFonts w:ascii="宋体"/>
                <w:vanish/>
              </w:rPr>
            </w:pPr>
          </w:p>
        </w:tc>
        <w:tc>
          <w:tcPr>
            <w:tcW w:w="0" w:type="auto"/>
            <w:gridSpan w:val="3"/>
            <w:shd w:val="clear" w:color="auto" w:fill="auto"/>
            <w:vAlign w:val="bottom"/>
          </w:tcPr>
          <w:p w14:paraId="71D44446" w14:textId="77777777" w:rsidR="006A3667" w:rsidRDefault="006A3667">
            <w:pPr>
              <w:rPr>
                <w:rFonts w:ascii="宋体"/>
                <w:vanish/>
              </w:rPr>
            </w:pPr>
          </w:p>
        </w:tc>
        <w:tc>
          <w:tcPr>
            <w:tcW w:w="0" w:type="auto"/>
            <w:gridSpan w:val="3"/>
            <w:shd w:val="clear" w:color="auto" w:fill="auto"/>
            <w:vAlign w:val="bottom"/>
          </w:tcPr>
          <w:p w14:paraId="71D44447" w14:textId="77777777" w:rsidR="006A3667" w:rsidRDefault="006A3667">
            <w:pPr>
              <w:rPr>
                <w:rFonts w:ascii="宋体"/>
                <w:vanish/>
              </w:rPr>
            </w:pPr>
          </w:p>
        </w:tc>
        <w:tc>
          <w:tcPr>
            <w:tcW w:w="0" w:type="auto"/>
            <w:gridSpan w:val="3"/>
            <w:shd w:val="clear" w:color="auto" w:fill="auto"/>
            <w:vAlign w:val="bottom"/>
          </w:tcPr>
          <w:p w14:paraId="71D44448" w14:textId="77777777" w:rsidR="006A3667" w:rsidRDefault="006A3667">
            <w:pPr>
              <w:rPr>
                <w:rFonts w:ascii="宋体"/>
                <w:vanish/>
              </w:rPr>
            </w:pPr>
          </w:p>
        </w:tc>
        <w:tc>
          <w:tcPr>
            <w:tcW w:w="0" w:type="auto"/>
            <w:shd w:val="clear" w:color="auto" w:fill="auto"/>
            <w:vAlign w:val="bottom"/>
          </w:tcPr>
          <w:p w14:paraId="71D44449" w14:textId="77777777" w:rsidR="006A3667" w:rsidRDefault="006A3667">
            <w:pPr>
              <w:rPr>
                <w:rFonts w:ascii="宋体"/>
                <w:vanish/>
              </w:rPr>
            </w:pPr>
          </w:p>
        </w:tc>
        <w:tc>
          <w:tcPr>
            <w:tcW w:w="0" w:type="auto"/>
            <w:shd w:val="clear" w:color="auto" w:fill="auto"/>
            <w:vAlign w:val="bottom"/>
          </w:tcPr>
          <w:p w14:paraId="71D4444A" w14:textId="77777777" w:rsidR="006A3667" w:rsidRDefault="006A3667">
            <w:pPr>
              <w:rPr>
                <w:rFonts w:ascii="宋体"/>
                <w:vanish/>
              </w:rPr>
            </w:pPr>
          </w:p>
        </w:tc>
        <w:tc>
          <w:tcPr>
            <w:tcW w:w="0" w:type="auto"/>
            <w:gridSpan w:val="3"/>
            <w:shd w:val="clear" w:color="auto" w:fill="auto"/>
            <w:vAlign w:val="bottom"/>
          </w:tcPr>
          <w:p w14:paraId="71D4444B" w14:textId="77777777" w:rsidR="006A3667" w:rsidRDefault="006A3667">
            <w:pPr>
              <w:rPr>
                <w:rFonts w:ascii="宋体"/>
                <w:vanish/>
              </w:rPr>
            </w:pPr>
          </w:p>
        </w:tc>
        <w:tc>
          <w:tcPr>
            <w:tcW w:w="0" w:type="auto"/>
            <w:gridSpan w:val="3"/>
            <w:shd w:val="clear" w:color="auto" w:fill="auto"/>
            <w:vAlign w:val="bottom"/>
          </w:tcPr>
          <w:p w14:paraId="71D4444C" w14:textId="77777777" w:rsidR="006A3667" w:rsidRDefault="006A3667">
            <w:pPr>
              <w:rPr>
                <w:rFonts w:ascii="宋体"/>
                <w:vanish/>
              </w:rPr>
            </w:pPr>
          </w:p>
        </w:tc>
        <w:tc>
          <w:tcPr>
            <w:tcW w:w="0" w:type="auto"/>
            <w:gridSpan w:val="3"/>
            <w:shd w:val="clear" w:color="auto" w:fill="auto"/>
            <w:vAlign w:val="bottom"/>
          </w:tcPr>
          <w:p w14:paraId="71D4444D" w14:textId="77777777" w:rsidR="006A3667" w:rsidRDefault="006A3667">
            <w:pPr>
              <w:rPr>
                <w:rFonts w:ascii="宋体"/>
                <w:vanish/>
              </w:rPr>
            </w:pPr>
          </w:p>
        </w:tc>
        <w:tc>
          <w:tcPr>
            <w:tcW w:w="0" w:type="auto"/>
            <w:gridSpan w:val="3"/>
            <w:shd w:val="clear" w:color="auto" w:fill="auto"/>
            <w:vAlign w:val="bottom"/>
          </w:tcPr>
          <w:p w14:paraId="71D4444E" w14:textId="77777777" w:rsidR="006A3667" w:rsidRDefault="006A3667">
            <w:pPr>
              <w:rPr>
                <w:rFonts w:ascii="宋体"/>
                <w:vanish/>
              </w:rPr>
            </w:pPr>
          </w:p>
        </w:tc>
        <w:tc>
          <w:tcPr>
            <w:tcW w:w="0" w:type="auto"/>
            <w:gridSpan w:val="3"/>
            <w:shd w:val="clear" w:color="auto" w:fill="auto"/>
            <w:vAlign w:val="bottom"/>
          </w:tcPr>
          <w:p w14:paraId="71D4444F" w14:textId="77777777" w:rsidR="006A3667" w:rsidRDefault="006A3667">
            <w:pPr>
              <w:rPr>
                <w:rFonts w:ascii="宋体"/>
                <w:vanish/>
              </w:rPr>
            </w:pPr>
          </w:p>
        </w:tc>
        <w:tc>
          <w:tcPr>
            <w:tcW w:w="0" w:type="auto"/>
            <w:gridSpan w:val="3"/>
            <w:shd w:val="clear" w:color="auto" w:fill="auto"/>
            <w:vAlign w:val="bottom"/>
          </w:tcPr>
          <w:p w14:paraId="71D44450" w14:textId="77777777" w:rsidR="006A3667" w:rsidRDefault="006A3667">
            <w:pPr>
              <w:rPr>
                <w:rFonts w:ascii="宋体"/>
                <w:vanish/>
              </w:rPr>
            </w:pPr>
          </w:p>
        </w:tc>
        <w:tc>
          <w:tcPr>
            <w:tcW w:w="0" w:type="auto"/>
            <w:gridSpan w:val="3"/>
            <w:shd w:val="clear" w:color="auto" w:fill="auto"/>
            <w:vAlign w:val="bottom"/>
          </w:tcPr>
          <w:p w14:paraId="71D44451" w14:textId="77777777" w:rsidR="006A3667" w:rsidRDefault="006A3667">
            <w:pPr>
              <w:rPr>
                <w:rFonts w:ascii="宋体"/>
                <w:vanish/>
              </w:rPr>
            </w:pPr>
          </w:p>
        </w:tc>
        <w:tc>
          <w:tcPr>
            <w:tcW w:w="0" w:type="auto"/>
            <w:gridSpan w:val="3"/>
            <w:shd w:val="clear" w:color="auto" w:fill="auto"/>
            <w:vAlign w:val="bottom"/>
          </w:tcPr>
          <w:p w14:paraId="71D44452" w14:textId="77777777" w:rsidR="006A3667" w:rsidRDefault="006A3667">
            <w:pPr>
              <w:rPr>
                <w:rFonts w:ascii="宋体"/>
                <w:vanish/>
              </w:rPr>
            </w:pPr>
          </w:p>
        </w:tc>
        <w:tc>
          <w:tcPr>
            <w:tcW w:w="0" w:type="auto"/>
            <w:gridSpan w:val="3"/>
            <w:shd w:val="clear" w:color="auto" w:fill="auto"/>
            <w:vAlign w:val="bottom"/>
          </w:tcPr>
          <w:p w14:paraId="71D44453" w14:textId="77777777" w:rsidR="006A3667" w:rsidRDefault="006A3667">
            <w:pPr>
              <w:rPr>
                <w:rFonts w:ascii="宋体"/>
                <w:vanish/>
              </w:rPr>
            </w:pPr>
          </w:p>
        </w:tc>
        <w:tc>
          <w:tcPr>
            <w:tcW w:w="0" w:type="auto"/>
            <w:gridSpan w:val="3"/>
            <w:shd w:val="clear" w:color="auto" w:fill="auto"/>
            <w:vAlign w:val="bottom"/>
          </w:tcPr>
          <w:p w14:paraId="71D44454" w14:textId="77777777" w:rsidR="006A3667" w:rsidRDefault="006A3667">
            <w:pPr>
              <w:rPr>
                <w:rFonts w:ascii="宋体"/>
                <w:vanish/>
              </w:rPr>
            </w:pPr>
          </w:p>
        </w:tc>
        <w:tc>
          <w:tcPr>
            <w:tcW w:w="0" w:type="auto"/>
            <w:gridSpan w:val="2"/>
            <w:shd w:val="clear" w:color="auto" w:fill="auto"/>
            <w:vAlign w:val="bottom"/>
          </w:tcPr>
          <w:p w14:paraId="71D44455" w14:textId="77777777" w:rsidR="006A3667" w:rsidRDefault="006A3667">
            <w:pPr>
              <w:rPr>
                <w:rFonts w:ascii="宋体"/>
                <w:vanish/>
              </w:rPr>
            </w:pPr>
          </w:p>
        </w:tc>
        <w:tc>
          <w:tcPr>
            <w:tcW w:w="0" w:type="auto"/>
            <w:shd w:val="clear" w:color="auto" w:fill="auto"/>
            <w:vAlign w:val="bottom"/>
          </w:tcPr>
          <w:p w14:paraId="71D44456" w14:textId="77777777" w:rsidR="006A3667" w:rsidRDefault="006A3667">
            <w:pPr>
              <w:rPr>
                <w:rFonts w:ascii="宋体"/>
                <w:vanish/>
              </w:rPr>
            </w:pPr>
          </w:p>
        </w:tc>
      </w:tr>
      <w:tr w:rsidR="006A3667" w14:paraId="71D4446E" w14:textId="77777777">
        <w:trPr>
          <w:hidden/>
        </w:trPr>
        <w:tc>
          <w:tcPr>
            <w:tcW w:w="0" w:type="auto"/>
            <w:gridSpan w:val="3"/>
            <w:shd w:val="clear" w:color="auto" w:fill="auto"/>
            <w:vAlign w:val="bottom"/>
          </w:tcPr>
          <w:p w14:paraId="71D44458" w14:textId="77777777" w:rsidR="006A3667" w:rsidRDefault="006A3667">
            <w:pPr>
              <w:rPr>
                <w:rFonts w:ascii="宋体"/>
                <w:vanish/>
              </w:rPr>
            </w:pPr>
          </w:p>
        </w:tc>
        <w:tc>
          <w:tcPr>
            <w:tcW w:w="0" w:type="auto"/>
            <w:gridSpan w:val="3"/>
            <w:shd w:val="clear" w:color="auto" w:fill="auto"/>
            <w:vAlign w:val="bottom"/>
          </w:tcPr>
          <w:p w14:paraId="71D44459" w14:textId="77777777" w:rsidR="006A3667" w:rsidRDefault="006A3667">
            <w:pPr>
              <w:rPr>
                <w:rFonts w:ascii="宋体"/>
                <w:vanish/>
              </w:rPr>
            </w:pPr>
          </w:p>
        </w:tc>
        <w:tc>
          <w:tcPr>
            <w:tcW w:w="0" w:type="auto"/>
            <w:gridSpan w:val="3"/>
            <w:shd w:val="clear" w:color="auto" w:fill="auto"/>
            <w:vAlign w:val="bottom"/>
          </w:tcPr>
          <w:p w14:paraId="71D4445A" w14:textId="77777777" w:rsidR="006A3667" w:rsidRDefault="006A3667">
            <w:pPr>
              <w:rPr>
                <w:rFonts w:ascii="宋体"/>
                <w:vanish/>
              </w:rPr>
            </w:pPr>
          </w:p>
        </w:tc>
        <w:tc>
          <w:tcPr>
            <w:tcW w:w="0" w:type="auto"/>
            <w:gridSpan w:val="3"/>
            <w:shd w:val="clear" w:color="auto" w:fill="auto"/>
            <w:vAlign w:val="bottom"/>
          </w:tcPr>
          <w:p w14:paraId="71D4445B" w14:textId="77777777" w:rsidR="006A3667" w:rsidRDefault="006A3667">
            <w:pPr>
              <w:rPr>
                <w:rFonts w:ascii="宋体"/>
                <w:vanish/>
              </w:rPr>
            </w:pPr>
          </w:p>
        </w:tc>
        <w:tc>
          <w:tcPr>
            <w:tcW w:w="0" w:type="auto"/>
            <w:gridSpan w:val="3"/>
            <w:shd w:val="clear" w:color="auto" w:fill="auto"/>
            <w:vAlign w:val="bottom"/>
          </w:tcPr>
          <w:p w14:paraId="71D4445C" w14:textId="77777777" w:rsidR="006A3667" w:rsidRDefault="006A3667">
            <w:pPr>
              <w:rPr>
                <w:rFonts w:ascii="宋体"/>
                <w:vanish/>
              </w:rPr>
            </w:pPr>
          </w:p>
        </w:tc>
        <w:tc>
          <w:tcPr>
            <w:tcW w:w="0" w:type="auto"/>
            <w:gridSpan w:val="3"/>
            <w:shd w:val="clear" w:color="auto" w:fill="auto"/>
            <w:vAlign w:val="bottom"/>
          </w:tcPr>
          <w:p w14:paraId="71D4445D" w14:textId="77777777" w:rsidR="006A3667" w:rsidRDefault="006A3667">
            <w:pPr>
              <w:rPr>
                <w:rFonts w:ascii="宋体"/>
                <w:vanish/>
              </w:rPr>
            </w:pPr>
          </w:p>
        </w:tc>
        <w:tc>
          <w:tcPr>
            <w:tcW w:w="0" w:type="auto"/>
            <w:gridSpan w:val="3"/>
            <w:shd w:val="clear" w:color="auto" w:fill="auto"/>
            <w:vAlign w:val="bottom"/>
          </w:tcPr>
          <w:p w14:paraId="71D4445E" w14:textId="77777777" w:rsidR="006A3667" w:rsidRDefault="006A3667">
            <w:pPr>
              <w:rPr>
                <w:rFonts w:ascii="宋体"/>
                <w:vanish/>
              </w:rPr>
            </w:pPr>
          </w:p>
        </w:tc>
        <w:tc>
          <w:tcPr>
            <w:tcW w:w="0" w:type="auto"/>
            <w:gridSpan w:val="3"/>
            <w:shd w:val="clear" w:color="auto" w:fill="auto"/>
            <w:vAlign w:val="bottom"/>
          </w:tcPr>
          <w:p w14:paraId="71D4445F" w14:textId="77777777" w:rsidR="006A3667" w:rsidRDefault="006A3667">
            <w:pPr>
              <w:rPr>
                <w:rFonts w:ascii="宋体"/>
                <w:vanish/>
              </w:rPr>
            </w:pPr>
          </w:p>
        </w:tc>
        <w:tc>
          <w:tcPr>
            <w:tcW w:w="0" w:type="auto"/>
            <w:shd w:val="clear" w:color="auto" w:fill="auto"/>
            <w:vAlign w:val="bottom"/>
          </w:tcPr>
          <w:p w14:paraId="71D44460" w14:textId="77777777" w:rsidR="006A3667" w:rsidRDefault="006A3667">
            <w:pPr>
              <w:rPr>
                <w:rFonts w:ascii="宋体"/>
                <w:vanish/>
              </w:rPr>
            </w:pPr>
          </w:p>
        </w:tc>
        <w:tc>
          <w:tcPr>
            <w:tcW w:w="0" w:type="auto"/>
            <w:shd w:val="clear" w:color="auto" w:fill="auto"/>
            <w:vAlign w:val="bottom"/>
          </w:tcPr>
          <w:p w14:paraId="71D44461" w14:textId="77777777" w:rsidR="006A3667" w:rsidRDefault="006A3667">
            <w:pPr>
              <w:rPr>
                <w:rFonts w:ascii="宋体"/>
                <w:vanish/>
              </w:rPr>
            </w:pPr>
          </w:p>
        </w:tc>
        <w:tc>
          <w:tcPr>
            <w:tcW w:w="0" w:type="auto"/>
            <w:gridSpan w:val="3"/>
            <w:shd w:val="clear" w:color="auto" w:fill="auto"/>
            <w:vAlign w:val="bottom"/>
          </w:tcPr>
          <w:p w14:paraId="71D44462" w14:textId="77777777" w:rsidR="006A3667" w:rsidRDefault="006A3667">
            <w:pPr>
              <w:rPr>
                <w:rFonts w:ascii="宋体"/>
                <w:vanish/>
              </w:rPr>
            </w:pPr>
          </w:p>
        </w:tc>
        <w:tc>
          <w:tcPr>
            <w:tcW w:w="0" w:type="auto"/>
            <w:gridSpan w:val="3"/>
            <w:shd w:val="clear" w:color="auto" w:fill="auto"/>
            <w:vAlign w:val="bottom"/>
          </w:tcPr>
          <w:p w14:paraId="71D44463" w14:textId="77777777" w:rsidR="006A3667" w:rsidRDefault="006A3667">
            <w:pPr>
              <w:rPr>
                <w:rFonts w:ascii="宋体"/>
                <w:vanish/>
              </w:rPr>
            </w:pPr>
          </w:p>
        </w:tc>
        <w:tc>
          <w:tcPr>
            <w:tcW w:w="0" w:type="auto"/>
            <w:gridSpan w:val="3"/>
            <w:shd w:val="clear" w:color="auto" w:fill="auto"/>
            <w:vAlign w:val="bottom"/>
          </w:tcPr>
          <w:p w14:paraId="71D44464" w14:textId="77777777" w:rsidR="006A3667" w:rsidRDefault="006A3667">
            <w:pPr>
              <w:rPr>
                <w:rFonts w:ascii="宋体"/>
                <w:vanish/>
              </w:rPr>
            </w:pPr>
          </w:p>
        </w:tc>
        <w:tc>
          <w:tcPr>
            <w:tcW w:w="0" w:type="auto"/>
            <w:gridSpan w:val="3"/>
            <w:shd w:val="clear" w:color="auto" w:fill="auto"/>
            <w:vAlign w:val="bottom"/>
          </w:tcPr>
          <w:p w14:paraId="71D44465" w14:textId="77777777" w:rsidR="006A3667" w:rsidRDefault="006A3667">
            <w:pPr>
              <w:rPr>
                <w:rFonts w:ascii="宋体"/>
                <w:vanish/>
              </w:rPr>
            </w:pPr>
          </w:p>
        </w:tc>
        <w:tc>
          <w:tcPr>
            <w:tcW w:w="0" w:type="auto"/>
            <w:gridSpan w:val="3"/>
            <w:shd w:val="clear" w:color="auto" w:fill="auto"/>
            <w:vAlign w:val="bottom"/>
          </w:tcPr>
          <w:p w14:paraId="71D44466" w14:textId="77777777" w:rsidR="006A3667" w:rsidRDefault="006A3667">
            <w:pPr>
              <w:rPr>
                <w:rFonts w:ascii="宋体"/>
                <w:vanish/>
              </w:rPr>
            </w:pPr>
          </w:p>
        </w:tc>
        <w:tc>
          <w:tcPr>
            <w:tcW w:w="0" w:type="auto"/>
            <w:gridSpan w:val="3"/>
            <w:shd w:val="clear" w:color="auto" w:fill="auto"/>
            <w:vAlign w:val="bottom"/>
          </w:tcPr>
          <w:p w14:paraId="71D44467" w14:textId="77777777" w:rsidR="006A3667" w:rsidRDefault="006A3667">
            <w:pPr>
              <w:rPr>
                <w:rFonts w:ascii="宋体"/>
                <w:vanish/>
              </w:rPr>
            </w:pPr>
          </w:p>
        </w:tc>
        <w:tc>
          <w:tcPr>
            <w:tcW w:w="0" w:type="auto"/>
            <w:gridSpan w:val="3"/>
            <w:shd w:val="clear" w:color="auto" w:fill="auto"/>
            <w:vAlign w:val="bottom"/>
          </w:tcPr>
          <w:p w14:paraId="71D44468" w14:textId="77777777" w:rsidR="006A3667" w:rsidRDefault="006A3667">
            <w:pPr>
              <w:rPr>
                <w:rFonts w:ascii="宋体"/>
                <w:vanish/>
              </w:rPr>
            </w:pPr>
          </w:p>
        </w:tc>
        <w:tc>
          <w:tcPr>
            <w:tcW w:w="0" w:type="auto"/>
            <w:gridSpan w:val="3"/>
            <w:shd w:val="clear" w:color="auto" w:fill="auto"/>
            <w:vAlign w:val="bottom"/>
          </w:tcPr>
          <w:p w14:paraId="71D44469" w14:textId="77777777" w:rsidR="006A3667" w:rsidRDefault="006A3667">
            <w:pPr>
              <w:rPr>
                <w:rFonts w:ascii="宋体"/>
                <w:vanish/>
              </w:rPr>
            </w:pPr>
          </w:p>
        </w:tc>
        <w:tc>
          <w:tcPr>
            <w:tcW w:w="0" w:type="auto"/>
            <w:gridSpan w:val="3"/>
            <w:shd w:val="clear" w:color="auto" w:fill="auto"/>
            <w:vAlign w:val="bottom"/>
          </w:tcPr>
          <w:p w14:paraId="71D4446A" w14:textId="77777777" w:rsidR="006A3667" w:rsidRDefault="006A3667">
            <w:pPr>
              <w:rPr>
                <w:rFonts w:ascii="宋体"/>
                <w:vanish/>
              </w:rPr>
            </w:pPr>
          </w:p>
        </w:tc>
        <w:tc>
          <w:tcPr>
            <w:tcW w:w="0" w:type="auto"/>
            <w:gridSpan w:val="3"/>
            <w:shd w:val="clear" w:color="auto" w:fill="auto"/>
            <w:vAlign w:val="bottom"/>
          </w:tcPr>
          <w:p w14:paraId="71D4446B" w14:textId="77777777" w:rsidR="006A3667" w:rsidRDefault="006A3667">
            <w:pPr>
              <w:rPr>
                <w:rFonts w:ascii="宋体"/>
                <w:vanish/>
              </w:rPr>
            </w:pPr>
          </w:p>
        </w:tc>
        <w:tc>
          <w:tcPr>
            <w:tcW w:w="0" w:type="auto"/>
            <w:gridSpan w:val="2"/>
            <w:shd w:val="clear" w:color="auto" w:fill="auto"/>
            <w:vAlign w:val="bottom"/>
          </w:tcPr>
          <w:p w14:paraId="71D4446C" w14:textId="77777777" w:rsidR="006A3667" w:rsidRDefault="006A3667">
            <w:pPr>
              <w:rPr>
                <w:rFonts w:ascii="宋体"/>
                <w:vanish/>
              </w:rPr>
            </w:pPr>
          </w:p>
        </w:tc>
        <w:tc>
          <w:tcPr>
            <w:tcW w:w="0" w:type="auto"/>
            <w:shd w:val="clear" w:color="auto" w:fill="auto"/>
            <w:vAlign w:val="bottom"/>
          </w:tcPr>
          <w:p w14:paraId="71D4446D" w14:textId="77777777" w:rsidR="006A3667" w:rsidRDefault="006A3667">
            <w:pPr>
              <w:rPr>
                <w:rFonts w:ascii="宋体"/>
                <w:vanish/>
              </w:rPr>
            </w:pPr>
          </w:p>
        </w:tc>
      </w:tr>
      <w:tr w:rsidR="006A3667" w14:paraId="71D44485" w14:textId="77777777">
        <w:tc>
          <w:tcPr>
            <w:tcW w:w="0" w:type="auto"/>
            <w:gridSpan w:val="3"/>
            <w:shd w:val="clear" w:color="auto" w:fill="CCEEFF"/>
            <w:tcMar>
              <w:top w:w="40" w:type="dxa"/>
              <w:left w:w="20" w:type="dxa"/>
              <w:bottom w:w="40" w:type="dxa"/>
              <w:right w:w="20" w:type="dxa"/>
            </w:tcMar>
            <w:vAlign w:val="center"/>
          </w:tcPr>
          <w:p w14:paraId="71D4446F" w14:textId="77777777" w:rsidR="006A3667" w:rsidRDefault="00045F32">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71D4447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6" w14:textId="77777777" w:rsidR="006A3667" w:rsidRDefault="006A3667">
            <w:pPr>
              <w:rPr>
                <w:rFonts w:ascii="宋体"/>
              </w:rPr>
            </w:pPr>
          </w:p>
        </w:tc>
        <w:tc>
          <w:tcPr>
            <w:tcW w:w="0" w:type="auto"/>
            <w:shd w:val="clear" w:color="auto" w:fill="auto"/>
            <w:vAlign w:val="bottom"/>
          </w:tcPr>
          <w:p w14:paraId="71D44477" w14:textId="77777777" w:rsidR="006A3667" w:rsidRDefault="006A3667">
            <w:pPr>
              <w:rPr>
                <w:rFonts w:ascii="宋体"/>
                <w:vanish/>
              </w:rPr>
            </w:pPr>
          </w:p>
        </w:tc>
        <w:tc>
          <w:tcPr>
            <w:tcW w:w="0" w:type="auto"/>
            <w:shd w:val="clear" w:color="auto" w:fill="auto"/>
            <w:vAlign w:val="bottom"/>
          </w:tcPr>
          <w:p w14:paraId="71D44478"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47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7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8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8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482" w14:textId="77777777" w:rsidR="006A3667" w:rsidRDefault="006A3667">
            <w:pPr>
              <w:rPr>
                <w:rFonts w:ascii="宋体"/>
              </w:rPr>
            </w:pPr>
          </w:p>
        </w:tc>
        <w:tc>
          <w:tcPr>
            <w:tcW w:w="0" w:type="auto"/>
            <w:gridSpan w:val="2"/>
            <w:shd w:val="clear" w:color="auto" w:fill="CCEEFF"/>
            <w:tcMar>
              <w:top w:w="0" w:type="dxa"/>
              <w:left w:w="20" w:type="dxa"/>
              <w:bottom w:w="0" w:type="dxa"/>
              <w:right w:w="20" w:type="dxa"/>
            </w:tcMar>
            <w:vAlign w:val="bottom"/>
          </w:tcPr>
          <w:p w14:paraId="71D44483" w14:textId="77777777" w:rsidR="006A3667" w:rsidRDefault="006A3667">
            <w:pPr>
              <w:rPr>
                <w:rFonts w:ascii="宋体"/>
              </w:rPr>
            </w:pPr>
          </w:p>
        </w:tc>
        <w:tc>
          <w:tcPr>
            <w:tcW w:w="0" w:type="auto"/>
            <w:shd w:val="clear" w:color="auto" w:fill="CCEEFF"/>
            <w:tcMar>
              <w:top w:w="0" w:type="dxa"/>
              <w:left w:w="20" w:type="dxa"/>
              <w:bottom w:w="0" w:type="dxa"/>
              <w:right w:w="20" w:type="dxa"/>
            </w:tcMar>
            <w:vAlign w:val="bottom"/>
          </w:tcPr>
          <w:p w14:paraId="71D44484" w14:textId="77777777" w:rsidR="006A3667" w:rsidRDefault="006A3667">
            <w:pPr>
              <w:rPr>
                <w:rFonts w:ascii="宋体"/>
              </w:rPr>
            </w:pPr>
          </w:p>
        </w:tc>
      </w:tr>
      <w:tr w:rsidR="006A3667" w14:paraId="71D4449C" w14:textId="77777777">
        <w:tc>
          <w:tcPr>
            <w:tcW w:w="0" w:type="auto"/>
            <w:gridSpan w:val="3"/>
            <w:shd w:val="clear" w:color="auto" w:fill="FFFFFF"/>
            <w:tcMar>
              <w:top w:w="40" w:type="dxa"/>
              <w:left w:w="20" w:type="dxa"/>
              <w:bottom w:w="40" w:type="dxa"/>
              <w:right w:w="20" w:type="dxa"/>
            </w:tcMar>
            <w:vAlign w:val="center"/>
          </w:tcPr>
          <w:p w14:paraId="71D44486" w14:textId="77777777" w:rsidR="006A3667" w:rsidRDefault="00045F32">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71D4448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8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8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8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8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8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8D" w14:textId="77777777" w:rsidR="006A3667" w:rsidRDefault="006A3667">
            <w:pPr>
              <w:rPr>
                <w:rFonts w:ascii="宋体"/>
              </w:rPr>
            </w:pPr>
          </w:p>
        </w:tc>
        <w:tc>
          <w:tcPr>
            <w:tcW w:w="0" w:type="auto"/>
            <w:shd w:val="clear" w:color="auto" w:fill="auto"/>
            <w:vAlign w:val="bottom"/>
          </w:tcPr>
          <w:p w14:paraId="71D4448E" w14:textId="77777777" w:rsidR="006A3667" w:rsidRDefault="006A3667">
            <w:pPr>
              <w:rPr>
                <w:rFonts w:ascii="宋体"/>
                <w:vanish/>
              </w:rPr>
            </w:pPr>
          </w:p>
        </w:tc>
        <w:tc>
          <w:tcPr>
            <w:tcW w:w="0" w:type="auto"/>
            <w:shd w:val="clear" w:color="auto" w:fill="auto"/>
            <w:vAlign w:val="bottom"/>
          </w:tcPr>
          <w:p w14:paraId="71D4448F"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449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499" w14:textId="77777777" w:rsidR="006A3667" w:rsidRDefault="006A3667">
            <w:pPr>
              <w:rPr>
                <w:rFonts w:ascii="宋体"/>
              </w:rPr>
            </w:pPr>
          </w:p>
        </w:tc>
        <w:tc>
          <w:tcPr>
            <w:tcW w:w="0" w:type="auto"/>
            <w:gridSpan w:val="2"/>
            <w:shd w:val="clear" w:color="auto" w:fill="FFFFFF"/>
            <w:tcMar>
              <w:top w:w="0" w:type="dxa"/>
              <w:left w:w="20" w:type="dxa"/>
              <w:bottom w:w="0" w:type="dxa"/>
              <w:right w:w="20" w:type="dxa"/>
            </w:tcMar>
            <w:vAlign w:val="bottom"/>
          </w:tcPr>
          <w:p w14:paraId="71D4449A" w14:textId="77777777" w:rsidR="006A3667" w:rsidRDefault="006A3667">
            <w:pPr>
              <w:rPr>
                <w:rFonts w:ascii="宋体"/>
              </w:rPr>
            </w:pPr>
          </w:p>
        </w:tc>
        <w:tc>
          <w:tcPr>
            <w:tcW w:w="0" w:type="auto"/>
            <w:shd w:val="clear" w:color="auto" w:fill="FFFFFF"/>
            <w:tcMar>
              <w:top w:w="0" w:type="dxa"/>
              <w:left w:w="20" w:type="dxa"/>
              <w:bottom w:w="0" w:type="dxa"/>
              <w:right w:w="20" w:type="dxa"/>
            </w:tcMar>
            <w:vAlign w:val="bottom"/>
          </w:tcPr>
          <w:p w14:paraId="71D4449B" w14:textId="77777777" w:rsidR="006A3667" w:rsidRDefault="006A3667">
            <w:pPr>
              <w:rPr>
                <w:rFonts w:ascii="宋体"/>
              </w:rPr>
            </w:pPr>
          </w:p>
        </w:tc>
      </w:tr>
      <w:tr w:rsidR="00045F32" w14:paraId="71D444C6" w14:textId="77777777">
        <w:tc>
          <w:tcPr>
            <w:tcW w:w="0" w:type="auto"/>
            <w:gridSpan w:val="3"/>
            <w:shd w:val="clear" w:color="auto" w:fill="CCEEFF"/>
            <w:tcMar>
              <w:top w:w="40" w:type="dxa"/>
              <w:left w:w="155" w:type="dxa"/>
              <w:bottom w:w="40" w:type="dxa"/>
              <w:right w:w="20" w:type="dxa"/>
            </w:tcMar>
            <w:vAlign w:val="center"/>
          </w:tcPr>
          <w:p w14:paraId="71D4449D" w14:textId="77777777" w:rsidR="006A3667" w:rsidRDefault="00045F32">
            <w:pPr>
              <w:textAlignment w:val="center"/>
            </w:pPr>
            <w:r>
              <w:rPr>
                <w:rFonts w:ascii="Arial" w:eastAsia="宋体" w:hAnsi="Arial" w:cs="Arial"/>
                <w:color w:val="000000"/>
                <w:sz w:val="12"/>
                <w:szCs w:val="12"/>
              </w:rPr>
              <w:t>Foreign exchange contracts</w:t>
            </w:r>
          </w:p>
        </w:tc>
        <w:tc>
          <w:tcPr>
            <w:tcW w:w="0" w:type="auto"/>
            <w:shd w:val="clear" w:color="auto" w:fill="CCEEFF"/>
            <w:tcMar>
              <w:top w:w="40" w:type="dxa"/>
              <w:left w:w="20" w:type="dxa"/>
              <w:bottom w:w="40" w:type="dxa"/>
              <w:right w:w="0" w:type="dxa"/>
            </w:tcMar>
            <w:vAlign w:val="center"/>
          </w:tcPr>
          <w:p w14:paraId="71D4449E"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9F" w14:textId="77777777" w:rsidR="006A3667" w:rsidRDefault="00045F32">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71D444A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A1"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A2"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A3"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4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A5"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A6"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A7"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4A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A9"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AA"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AB" w14:textId="77777777" w:rsidR="006A3667" w:rsidRDefault="00045F32">
            <w:pPr>
              <w:jc w:val="right"/>
              <w:textAlignment w:val="center"/>
            </w:pPr>
            <w:r>
              <w:rPr>
                <w:rFonts w:ascii="Arial" w:eastAsia="宋体" w:hAnsi="Arial" w:cs="Arial"/>
                <w:color w:val="000000"/>
                <w:sz w:val="12"/>
                <w:szCs w:val="12"/>
              </w:rPr>
              <w:t>1 </w:t>
            </w:r>
          </w:p>
        </w:tc>
        <w:tc>
          <w:tcPr>
            <w:tcW w:w="0" w:type="auto"/>
            <w:shd w:val="clear" w:color="auto" w:fill="CCEEFF"/>
            <w:tcMar>
              <w:top w:w="40" w:type="dxa"/>
              <w:left w:w="0" w:type="dxa"/>
              <w:bottom w:w="40" w:type="dxa"/>
              <w:right w:w="20" w:type="dxa"/>
            </w:tcMar>
            <w:vAlign w:val="center"/>
          </w:tcPr>
          <w:p w14:paraId="71D444AC" w14:textId="77777777" w:rsidR="006A3667" w:rsidRDefault="006A3667">
            <w:pPr>
              <w:jc w:val="right"/>
              <w:rPr>
                <w:rFonts w:ascii="宋体"/>
              </w:rPr>
            </w:pPr>
          </w:p>
        </w:tc>
        <w:tc>
          <w:tcPr>
            <w:tcW w:w="0" w:type="auto"/>
            <w:shd w:val="clear" w:color="auto" w:fill="auto"/>
            <w:vAlign w:val="bottom"/>
          </w:tcPr>
          <w:p w14:paraId="71D444AD" w14:textId="77777777" w:rsidR="006A3667" w:rsidRDefault="006A3667">
            <w:pPr>
              <w:rPr>
                <w:rFonts w:ascii="宋体"/>
                <w:vanish/>
              </w:rPr>
            </w:pPr>
          </w:p>
        </w:tc>
        <w:tc>
          <w:tcPr>
            <w:tcW w:w="0" w:type="auto"/>
            <w:shd w:val="clear" w:color="auto" w:fill="auto"/>
            <w:vAlign w:val="bottom"/>
          </w:tcPr>
          <w:p w14:paraId="71D444AE"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4AF"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B0"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B1"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4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B3"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B4"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B5" w14:textId="77777777" w:rsidR="006A3667" w:rsidRDefault="00045F32">
            <w:pPr>
              <w:jc w:val="right"/>
              <w:textAlignment w:val="center"/>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center"/>
          </w:tcPr>
          <w:p w14:paraId="71D444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B7"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B8"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B9"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4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BB"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BC"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BD"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4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BF"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C0"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4C1" w14:textId="77777777" w:rsidR="006A3667" w:rsidRDefault="00045F32">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71D444C2"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44C3"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4C4" w14:textId="77777777" w:rsidR="006A3667" w:rsidRDefault="00045F32">
            <w:pPr>
              <w:textAlignment w:val="center"/>
            </w:pPr>
            <w:r>
              <w:rPr>
                <w:rFonts w:ascii="Arial" w:eastAsia="宋体" w:hAnsi="Arial" w:cs="Arial"/>
                <w:color w:val="000000"/>
                <w:sz w:val="12"/>
                <w:szCs w:val="12"/>
              </w:rPr>
              <w:t>$</w:t>
            </w:r>
          </w:p>
          <w:p w14:paraId="71D444C5" w14:textId="77777777" w:rsidR="006A3667" w:rsidRDefault="00045F32">
            <w:pPr>
              <w:jc w:val="right"/>
              <w:textAlignment w:val="center"/>
            </w:pPr>
            <w:r>
              <w:rPr>
                <w:rFonts w:ascii="Arial" w:eastAsia="宋体" w:hAnsi="Arial" w:cs="Arial"/>
                <w:color w:val="000000"/>
                <w:sz w:val="12"/>
                <w:szCs w:val="12"/>
              </w:rPr>
              <w:t>— </w:t>
            </w:r>
          </w:p>
        </w:tc>
      </w:tr>
      <w:tr w:rsidR="006A3667" w14:paraId="71D444E6" w14:textId="77777777">
        <w:tc>
          <w:tcPr>
            <w:tcW w:w="0" w:type="auto"/>
            <w:gridSpan w:val="3"/>
            <w:shd w:val="clear" w:color="auto" w:fill="FFFFFF"/>
            <w:tcMar>
              <w:top w:w="40" w:type="dxa"/>
              <w:left w:w="20" w:type="dxa"/>
              <w:bottom w:w="40" w:type="dxa"/>
              <w:right w:w="20" w:type="dxa"/>
            </w:tcMar>
            <w:vAlign w:val="center"/>
          </w:tcPr>
          <w:p w14:paraId="71D444C7" w14:textId="77777777" w:rsidR="006A3667" w:rsidRDefault="00045F32">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C8" w14:textId="77777777" w:rsidR="006A3667" w:rsidRDefault="00045F32">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4C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CB"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C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4C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CE"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4D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D1" w14:textId="77777777" w:rsidR="006A3667" w:rsidRDefault="00045F32">
            <w:pPr>
              <w:jc w:val="right"/>
              <w:textAlignment w:val="center"/>
            </w:pPr>
            <w:r>
              <w:rPr>
                <w:rFonts w:ascii="Arial" w:eastAsia="宋体" w:hAnsi="Arial" w:cs="Arial"/>
                <w:color w:val="000000"/>
                <w:sz w:val="12"/>
                <w:szCs w:val="12"/>
              </w:rPr>
              <w:t>1 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D2" w14:textId="77777777" w:rsidR="006A3667" w:rsidRDefault="006A3667">
            <w:pPr>
              <w:jc w:val="right"/>
              <w:rPr>
                <w:rFonts w:ascii="宋体"/>
              </w:rPr>
            </w:pPr>
          </w:p>
        </w:tc>
        <w:tc>
          <w:tcPr>
            <w:tcW w:w="0" w:type="auto"/>
            <w:shd w:val="clear" w:color="auto" w:fill="auto"/>
            <w:vAlign w:val="bottom"/>
          </w:tcPr>
          <w:p w14:paraId="71D444D3" w14:textId="77777777" w:rsidR="006A3667" w:rsidRDefault="006A3667">
            <w:pPr>
              <w:rPr>
                <w:rFonts w:ascii="宋体"/>
                <w:vanish/>
              </w:rPr>
            </w:pPr>
          </w:p>
        </w:tc>
        <w:tc>
          <w:tcPr>
            <w:tcW w:w="0" w:type="auto"/>
            <w:shd w:val="clear" w:color="auto" w:fill="auto"/>
            <w:vAlign w:val="bottom"/>
          </w:tcPr>
          <w:p w14:paraId="71D444D4"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44D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D6"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4D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D9" w14:textId="77777777" w:rsidR="006A3667" w:rsidRDefault="00045F32">
            <w:pPr>
              <w:jc w:val="right"/>
              <w:textAlignment w:val="center"/>
            </w:pPr>
            <w:r>
              <w:rPr>
                <w:rFonts w:ascii="Arial" w:eastAsia="宋体" w:hAnsi="Arial" w:cs="Arial"/>
                <w:color w:val="000000"/>
                <w:sz w:val="12"/>
                <w:szCs w:val="12"/>
              </w:rPr>
              <w:t>(1)</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4D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DC"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4D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DF"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E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4E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4E2" w14:textId="77777777" w:rsidR="006A3667" w:rsidRDefault="00045F32">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4E3"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44E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1D444E5" w14:textId="77777777" w:rsidR="006A3667" w:rsidRDefault="00045F32">
            <w:pPr>
              <w:jc w:val="right"/>
              <w:textAlignment w:val="center"/>
            </w:pPr>
            <w:r>
              <w:rPr>
                <w:rFonts w:ascii="Arial" w:eastAsia="宋体" w:hAnsi="Arial" w:cs="Arial"/>
                <w:color w:val="000000"/>
                <w:sz w:val="12"/>
                <w:szCs w:val="12"/>
              </w:rPr>
              <w:t>— </w:t>
            </w:r>
          </w:p>
        </w:tc>
      </w:tr>
      <w:tr w:rsidR="00045F32" w14:paraId="71D44510" w14:textId="77777777">
        <w:tc>
          <w:tcPr>
            <w:tcW w:w="0" w:type="auto"/>
            <w:gridSpan w:val="3"/>
            <w:shd w:val="clear" w:color="auto" w:fill="CCEEFF"/>
            <w:tcMar>
              <w:top w:w="40" w:type="dxa"/>
              <w:left w:w="20" w:type="dxa"/>
              <w:bottom w:w="40" w:type="dxa"/>
              <w:right w:w="20" w:type="dxa"/>
            </w:tcMar>
            <w:vAlign w:val="center"/>
          </w:tcPr>
          <w:p w14:paraId="71D444E7" w14:textId="77777777" w:rsidR="006A3667" w:rsidRDefault="00045F32">
            <w:pPr>
              <w:textAlignment w:val="center"/>
            </w:pPr>
            <w:r>
              <w:rPr>
                <w:rFonts w:ascii="Arial" w:eastAsia="宋体" w:hAnsi="Arial" w:cs="Arial"/>
                <w:color w:val="000000"/>
                <w:sz w:val="12"/>
                <w:szCs w:val="12"/>
              </w:rPr>
              <w:t>Total assets carr</w:t>
            </w:r>
            <w:r>
              <w:rPr>
                <w:rFonts w:ascii="Arial" w:eastAsia="宋体" w:hAnsi="Arial" w:cs="Arial"/>
                <w:color w:val="000000"/>
                <w:sz w:val="12"/>
                <w:szCs w:val="12"/>
              </w:rPr>
              <w:t>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4E8"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4E9" w14:textId="77777777" w:rsidR="006A3667" w:rsidRDefault="00045F32">
            <w:pPr>
              <w:jc w:val="right"/>
              <w:textAlignment w:val="center"/>
            </w:pPr>
            <w:r>
              <w:rPr>
                <w:rFonts w:ascii="Arial" w:eastAsia="宋体" w:hAnsi="Arial" w:cs="Arial"/>
                <w:color w:val="000000"/>
                <w:sz w:val="12"/>
                <w:szCs w:val="12"/>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4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E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4EC"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4ED"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4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E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4F0"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4F1"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4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F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4F4"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4F5" w14:textId="77777777" w:rsidR="006A3667" w:rsidRDefault="00045F32">
            <w:pPr>
              <w:jc w:val="right"/>
              <w:textAlignment w:val="center"/>
            </w:pPr>
            <w:r>
              <w:rPr>
                <w:rFonts w:ascii="Arial" w:eastAsia="宋体" w:hAnsi="Arial" w:cs="Arial"/>
                <w:color w:val="000000"/>
                <w:sz w:val="12"/>
                <w:szCs w:val="12"/>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4F6" w14:textId="77777777" w:rsidR="006A3667" w:rsidRDefault="006A3667">
            <w:pPr>
              <w:jc w:val="right"/>
              <w:rPr>
                <w:rFonts w:ascii="宋体"/>
              </w:rPr>
            </w:pPr>
          </w:p>
        </w:tc>
        <w:tc>
          <w:tcPr>
            <w:tcW w:w="0" w:type="auto"/>
            <w:shd w:val="clear" w:color="auto" w:fill="auto"/>
            <w:vAlign w:val="bottom"/>
          </w:tcPr>
          <w:p w14:paraId="71D444F7" w14:textId="77777777" w:rsidR="006A3667" w:rsidRDefault="006A3667">
            <w:pPr>
              <w:rPr>
                <w:rFonts w:ascii="宋体"/>
                <w:vanish/>
              </w:rPr>
            </w:pPr>
          </w:p>
        </w:tc>
        <w:tc>
          <w:tcPr>
            <w:tcW w:w="0" w:type="auto"/>
            <w:shd w:val="clear" w:color="auto" w:fill="auto"/>
            <w:vAlign w:val="bottom"/>
          </w:tcPr>
          <w:p w14:paraId="71D444F8"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4F9"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4FA"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4FB"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4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4FD"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4FE"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4FF" w14:textId="77777777" w:rsidR="006A3667" w:rsidRDefault="00045F32">
            <w:pPr>
              <w:jc w:val="right"/>
              <w:textAlignment w:val="center"/>
            </w:pPr>
            <w:r>
              <w:rPr>
                <w:rFonts w:ascii="Arial" w:eastAsia="宋体" w:hAnsi="Arial" w:cs="Arial"/>
                <w:color w:val="000000"/>
                <w:sz w:val="12"/>
                <w:szCs w:val="12"/>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5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501"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502"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503"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5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505"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506"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507"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5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509"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50A"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50B" w14:textId="77777777" w:rsidR="006A3667" w:rsidRDefault="00045F32">
            <w:pPr>
              <w:jc w:val="right"/>
              <w:textAlignment w:val="center"/>
            </w:pPr>
            <w:r>
              <w:rPr>
                <w:rFonts w:ascii="Arial" w:eastAsia="宋体" w:hAnsi="Arial" w:cs="Arial"/>
                <w:color w:val="000000"/>
                <w:sz w:val="12"/>
                <w:szCs w:val="12"/>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50C"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450D"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50E" w14:textId="77777777" w:rsidR="006A3667" w:rsidRDefault="00045F32">
            <w:pPr>
              <w:textAlignment w:val="center"/>
            </w:pPr>
            <w:r>
              <w:rPr>
                <w:rFonts w:ascii="Arial" w:eastAsia="宋体" w:hAnsi="Arial" w:cs="Arial"/>
                <w:color w:val="000000"/>
                <w:sz w:val="12"/>
                <w:szCs w:val="12"/>
              </w:rPr>
              <w:t>$</w:t>
            </w:r>
          </w:p>
          <w:p w14:paraId="71D4450F" w14:textId="77777777" w:rsidR="006A3667" w:rsidRDefault="00045F32">
            <w:pPr>
              <w:jc w:val="right"/>
              <w:textAlignment w:val="center"/>
            </w:pPr>
            <w:r>
              <w:rPr>
                <w:rFonts w:ascii="Arial" w:eastAsia="宋体" w:hAnsi="Arial" w:cs="Arial"/>
                <w:color w:val="000000"/>
                <w:sz w:val="12"/>
                <w:szCs w:val="12"/>
              </w:rPr>
              <w:t>— </w:t>
            </w:r>
          </w:p>
        </w:tc>
      </w:tr>
    </w:tbl>
    <w:p w14:paraId="71D44511" w14:textId="77777777" w:rsidR="006A3667" w:rsidRDefault="006A366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6A3667" w14:paraId="71D44521" w14:textId="77777777">
        <w:tc>
          <w:tcPr>
            <w:tcW w:w="50" w:type="pct"/>
            <w:shd w:val="clear" w:color="auto" w:fill="auto"/>
            <w:vAlign w:val="bottom"/>
          </w:tcPr>
          <w:p w14:paraId="71D44512" w14:textId="77777777" w:rsidR="006A3667" w:rsidRDefault="006A3667">
            <w:pPr>
              <w:rPr>
                <w:rFonts w:ascii="宋体"/>
              </w:rPr>
            </w:pPr>
          </w:p>
        </w:tc>
        <w:tc>
          <w:tcPr>
            <w:tcW w:w="1350" w:type="pct"/>
            <w:shd w:val="clear" w:color="auto" w:fill="auto"/>
            <w:vAlign w:val="bottom"/>
          </w:tcPr>
          <w:p w14:paraId="71D44513" w14:textId="77777777" w:rsidR="006A3667" w:rsidRDefault="006A3667">
            <w:pPr>
              <w:rPr>
                <w:rFonts w:ascii="宋体"/>
              </w:rPr>
            </w:pPr>
          </w:p>
        </w:tc>
        <w:tc>
          <w:tcPr>
            <w:tcW w:w="5" w:type="pct"/>
            <w:shd w:val="clear" w:color="auto" w:fill="auto"/>
            <w:vAlign w:val="bottom"/>
          </w:tcPr>
          <w:p w14:paraId="71D44514" w14:textId="77777777" w:rsidR="006A3667" w:rsidRDefault="006A3667">
            <w:pPr>
              <w:rPr>
                <w:rFonts w:ascii="宋体"/>
              </w:rPr>
            </w:pPr>
          </w:p>
        </w:tc>
        <w:tc>
          <w:tcPr>
            <w:tcW w:w="50" w:type="pct"/>
            <w:shd w:val="clear" w:color="auto" w:fill="auto"/>
            <w:vAlign w:val="bottom"/>
          </w:tcPr>
          <w:p w14:paraId="71D44515" w14:textId="77777777" w:rsidR="006A3667" w:rsidRDefault="006A3667">
            <w:pPr>
              <w:rPr>
                <w:rFonts w:ascii="宋体"/>
              </w:rPr>
            </w:pPr>
          </w:p>
        </w:tc>
        <w:tc>
          <w:tcPr>
            <w:tcW w:w="911" w:type="pct"/>
            <w:shd w:val="clear" w:color="auto" w:fill="auto"/>
            <w:vAlign w:val="bottom"/>
          </w:tcPr>
          <w:p w14:paraId="71D44516" w14:textId="77777777" w:rsidR="006A3667" w:rsidRDefault="006A3667">
            <w:pPr>
              <w:rPr>
                <w:rFonts w:ascii="宋体"/>
              </w:rPr>
            </w:pPr>
          </w:p>
        </w:tc>
        <w:tc>
          <w:tcPr>
            <w:tcW w:w="5" w:type="pct"/>
            <w:shd w:val="clear" w:color="auto" w:fill="auto"/>
            <w:vAlign w:val="bottom"/>
          </w:tcPr>
          <w:p w14:paraId="71D44517" w14:textId="77777777" w:rsidR="006A3667" w:rsidRDefault="006A3667">
            <w:pPr>
              <w:rPr>
                <w:rFonts w:ascii="宋体"/>
              </w:rPr>
            </w:pPr>
          </w:p>
        </w:tc>
        <w:tc>
          <w:tcPr>
            <w:tcW w:w="50" w:type="pct"/>
            <w:shd w:val="clear" w:color="auto" w:fill="auto"/>
            <w:vAlign w:val="bottom"/>
          </w:tcPr>
          <w:p w14:paraId="71D44518" w14:textId="77777777" w:rsidR="006A3667" w:rsidRDefault="006A3667">
            <w:pPr>
              <w:rPr>
                <w:rFonts w:ascii="宋体"/>
              </w:rPr>
            </w:pPr>
          </w:p>
        </w:tc>
        <w:tc>
          <w:tcPr>
            <w:tcW w:w="1562" w:type="pct"/>
            <w:shd w:val="clear" w:color="auto" w:fill="auto"/>
            <w:vAlign w:val="bottom"/>
          </w:tcPr>
          <w:p w14:paraId="71D44519" w14:textId="77777777" w:rsidR="006A3667" w:rsidRDefault="006A3667">
            <w:pPr>
              <w:rPr>
                <w:rFonts w:ascii="宋体"/>
              </w:rPr>
            </w:pPr>
          </w:p>
        </w:tc>
        <w:tc>
          <w:tcPr>
            <w:tcW w:w="5" w:type="pct"/>
            <w:shd w:val="clear" w:color="auto" w:fill="auto"/>
            <w:vAlign w:val="bottom"/>
          </w:tcPr>
          <w:p w14:paraId="71D4451A" w14:textId="77777777" w:rsidR="006A3667" w:rsidRDefault="006A3667">
            <w:pPr>
              <w:rPr>
                <w:rFonts w:ascii="宋体"/>
              </w:rPr>
            </w:pPr>
          </w:p>
        </w:tc>
        <w:tc>
          <w:tcPr>
            <w:tcW w:w="50" w:type="pct"/>
            <w:shd w:val="clear" w:color="auto" w:fill="auto"/>
            <w:vAlign w:val="bottom"/>
          </w:tcPr>
          <w:p w14:paraId="71D4451B" w14:textId="77777777" w:rsidR="006A3667" w:rsidRDefault="006A3667">
            <w:pPr>
              <w:rPr>
                <w:rFonts w:ascii="宋体"/>
              </w:rPr>
            </w:pPr>
          </w:p>
        </w:tc>
        <w:tc>
          <w:tcPr>
            <w:tcW w:w="918" w:type="pct"/>
            <w:shd w:val="clear" w:color="auto" w:fill="auto"/>
            <w:vAlign w:val="bottom"/>
          </w:tcPr>
          <w:p w14:paraId="71D4451C" w14:textId="77777777" w:rsidR="006A3667" w:rsidRDefault="006A3667">
            <w:pPr>
              <w:rPr>
                <w:rFonts w:ascii="宋体"/>
              </w:rPr>
            </w:pPr>
          </w:p>
        </w:tc>
        <w:tc>
          <w:tcPr>
            <w:tcW w:w="5" w:type="pct"/>
            <w:shd w:val="clear" w:color="auto" w:fill="auto"/>
            <w:vAlign w:val="bottom"/>
          </w:tcPr>
          <w:p w14:paraId="71D4451D" w14:textId="77777777" w:rsidR="006A3667" w:rsidRDefault="006A3667">
            <w:pPr>
              <w:rPr>
                <w:rFonts w:ascii="宋体"/>
              </w:rPr>
            </w:pPr>
          </w:p>
        </w:tc>
        <w:tc>
          <w:tcPr>
            <w:tcW w:w="5" w:type="pct"/>
            <w:shd w:val="clear" w:color="auto" w:fill="auto"/>
            <w:vAlign w:val="bottom"/>
          </w:tcPr>
          <w:p w14:paraId="71D4451E" w14:textId="77777777" w:rsidR="006A3667" w:rsidRDefault="006A3667">
            <w:pPr>
              <w:rPr>
                <w:rFonts w:ascii="宋体"/>
              </w:rPr>
            </w:pPr>
          </w:p>
        </w:tc>
        <w:tc>
          <w:tcPr>
            <w:tcW w:w="26" w:type="pct"/>
            <w:shd w:val="clear" w:color="auto" w:fill="auto"/>
            <w:vAlign w:val="bottom"/>
          </w:tcPr>
          <w:p w14:paraId="71D4451F" w14:textId="77777777" w:rsidR="006A3667" w:rsidRDefault="006A3667">
            <w:pPr>
              <w:rPr>
                <w:rFonts w:ascii="宋体"/>
              </w:rPr>
            </w:pPr>
          </w:p>
        </w:tc>
        <w:tc>
          <w:tcPr>
            <w:tcW w:w="5" w:type="pct"/>
            <w:shd w:val="clear" w:color="auto" w:fill="auto"/>
            <w:vAlign w:val="bottom"/>
          </w:tcPr>
          <w:p w14:paraId="71D44520" w14:textId="77777777" w:rsidR="006A3667" w:rsidRDefault="006A3667">
            <w:pPr>
              <w:rPr>
                <w:rFonts w:ascii="宋体"/>
              </w:rPr>
            </w:pPr>
          </w:p>
        </w:tc>
      </w:tr>
      <w:tr w:rsidR="006A3667" w14:paraId="71D4452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452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2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2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2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26" w14:textId="77777777" w:rsidR="006A3667" w:rsidRDefault="006A3667">
            <w:pPr>
              <w:rPr>
                <w:rFonts w:ascii="宋体"/>
              </w:rPr>
            </w:pPr>
          </w:p>
        </w:tc>
      </w:tr>
    </w:tbl>
    <w:p w14:paraId="71D44528" w14:textId="77777777" w:rsidR="006A3667" w:rsidRDefault="00045F32">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p w14:paraId="71D44529" w14:textId="77777777" w:rsidR="006A3667" w:rsidRDefault="00045F32">
      <w:pPr>
        <w:ind w:firstLine="450"/>
        <w:jc w:val="right"/>
      </w:pPr>
      <w:r>
        <w:rPr>
          <w:rFonts w:ascii="Arial" w:eastAsia="宋体" w:hAnsi="Arial" w:cs="Arial"/>
          <w:color w:val="000000"/>
          <w:sz w:val="18"/>
          <w:szCs w:val="18"/>
        </w:rPr>
        <w:t>State Street Corporation | 63</w:t>
      </w:r>
    </w:p>
    <w:p w14:paraId="71D4452A" w14:textId="77777777" w:rsidR="006A3667" w:rsidRDefault="006A3667">
      <w:pPr>
        <w:ind w:firstLine="450"/>
        <w:jc w:val="center"/>
      </w:pPr>
    </w:p>
    <w:p w14:paraId="71D4452B" w14:textId="77777777" w:rsidR="006A3667" w:rsidRDefault="00045F32">
      <w:r>
        <w:pict w14:anchorId="71D4AC53">
          <v:rect id="_x0000_i1087" style="width:415.3pt;height:1.5pt" o:hralign="center" o:hrstd="t" o:hr="t" fillcolor="#a0a0a0" stroked="f"/>
        </w:pict>
      </w:r>
    </w:p>
    <w:p w14:paraId="71D4452C" w14:textId="77777777" w:rsidR="006A3667" w:rsidRDefault="00045F32">
      <w:pPr>
        <w:ind w:firstLine="450"/>
        <w:jc w:val="center"/>
      </w:pPr>
      <w:r>
        <w:rPr>
          <w:rFonts w:ascii="Arial" w:eastAsia="宋体" w:hAnsi="Arial" w:cs="Arial"/>
          <w:b/>
          <w:bCs/>
          <w:color w:val="000000"/>
          <w:sz w:val="20"/>
          <w:szCs w:val="20"/>
        </w:rPr>
        <w:t>STATE STREET CORPORATION</w:t>
      </w:r>
    </w:p>
    <w:p w14:paraId="71D4452D"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452E" w14:textId="77777777" w:rsidR="006A3667" w:rsidRDefault="00045F32">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70"/>
        <w:gridCol w:w="835"/>
        <w:gridCol w:w="35"/>
        <w:gridCol w:w="83"/>
        <w:gridCol w:w="501"/>
        <w:gridCol w:w="36"/>
        <w:gridCol w:w="36"/>
        <w:gridCol w:w="36"/>
        <w:gridCol w:w="36"/>
        <w:gridCol w:w="86"/>
        <w:gridCol w:w="530"/>
        <w:gridCol w:w="36"/>
        <w:gridCol w:w="37"/>
        <w:gridCol w:w="36"/>
        <w:gridCol w:w="36"/>
        <w:gridCol w:w="90"/>
        <w:gridCol w:w="779"/>
        <w:gridCol w:w="36"/>
        <w:gridCol w:w="36"/>
        <w:gridCol w:w="36"/>
        <w:gridCol w:w="36"/>
        <w:gridCol w:w="87"/>
        <w:gridCol w:w="510"/>
        <w:gridCol w:w="36"/>
        <w:gridCol w:w="36"/>
        <w:gridCol w:w="36"/>
        <w:gridCol w:w="36"/>
        <w:gridCol w:w="36"/>
        <w:gridCol w:w="36"/>
        <w:gridCol w:w="84"/>
        <w:gridCol w:w="260"/>
        <w:gridCol w:w="36"/>
        <w:gridCol w:w="36"/>
        <w:gridCol w:w="36"/>
        <w:gridCol w:w="36"/>
        <w:gridCol w:w="86"/>
        <w:gridCol w:w="580"/>
        <w:gridCol w:w="36"/>
        <w:gridCol w:w="36"/>
        <w:gridCol w:w="36"/>
        <w:gridCol w:w="36"/>
        <w:gridCol w:w="86"/>
        <w:gridCol w:w="455"/>
        <w:gridCol w:w="36"/>
        <w:gridCol w:w="36"/>
        <w:gridCol w:w="36"/>
        <w:gridCol w:w="36"/>
        <w:gridCol w:w="86"/>
        <w:gridCol w:w="455"/>
        <w:gridCol w:w="36"/>
        <w:gridCol w:w="36"/>
        <w:gridCol w:w="36"/>
        <w:gridCol w:w="36"/>
        <w:gridCol w:w="84"/>
        <w:gridCol w:w="544"/>
        <w:gridCol w:w="36"/>
        <w:gridCol w:w="36"/>
        <w:gridCol w:w="36"/>
        <w:gridCol w:w="677"/>
      </w:tblGrid>
      <w:tr w:rsidR="006A3667" w14:paraId="71D4456A" w14:textId="77777777">
        <w:tc>
          <w:tcPr>
            <w:tcW w:w="50" w:type="pct"/>
            <w:shd w:val="clear" w:color="auto" w:fill="auto"/>
            <w:vAlign w:val="bottom"/>
          </w:tcPr>
          <w:p w14:paraId="71D4452F" w14:textId="77777777" w:rsidR="006A3667" w:rsidRDefault="006A3667">
            <w:pPr>
              <w:rPr>
                <w:rFonts w:ascii="宋体"/>
              </w:rPr>
            </w:pPr>
          </w:p>
        </w:tc>
        <w:tc>
          <w:tcPr>
            <w:tcW w:w="734" w:type="pct"/>
            <w:shd w:val="clear" w:color="auto" w:fill="auto"/>
            <w:vAlign w:val="bottom"/>
          </w:tcPr>
          <w:p w14:paraId="71D44530" w14:textId="77777777" w:rsidR="006A3667" w:rsidRDefault="006A3667">
            <w:pPr>
              <w:rPr>
                <w:rFonts w:ascii="宋体"/>
              </w:rPr>
            </w:pPr>
          </w:p>
        </w:tc>
        <w:tc>
          <w:tcPr>
            <w:tcW w:w="5" w:type="pct"/>
            <w:shd w:val="clear" w:color="auto" w:fill="auto"/>
            <w:vAlign w:val="bottom"/>
          </w:tcPr>
          <w:p w14:paraId="71D44531" w14:textId="77777777" w:rsidR="006A3667" w:rsidRDefault="006A3667">
            <w:pPr>
              <w:rPr>
                <w:rFonts w:ascii="宋体"/>
              </w:rPr>
            </w:pPr>
          </w:p>
        </w:tc>
        <w:tc>
          <w:tcPr>
            <w:tcW w:w="50" w:type="pct"/>
            <w:shd w:val="clear" w:color="auto" w:fill="auto"/>
            <w:vAlign w:val="bottom"/>
          </w:tcPr>
          <w:p w14:paraId="71D44532" w14:textId="77777777" w:rsidR="006A3667" w:rsidRDefault="006A3667">
            <w:pPr>
              <w:rPr>
                <w:rFonts w:ascii="宋体"/>
              </w:rPr>
            </w:pPr>
          </w:p>
        </w:tc>
        <w:tc>
          <w:tcPr>
            <w:tcW w:w="354" w:type="pct"/>
            <w:shd w:val="clear" w:color="auto" w:fill="auto"/>
            <w:vAlign w:val="bottom"/>
          </w:tcPr>
          <w:p w14:paraId="71D44533" w14:textId="77777777" w:rsidR="006A3667" w:rsidRDefault="006A3667">
            <w:pPr>
              <w:rPr>
                <w:rFonts w:ascii="宋体"/>
              </w:rPr>
            </w:pPr>
          </w:p>
        </w:tc>
        <w:tc>
          <w:tcPr>
            <w:tcW w:w="5" w:type="pct"/>
            <w:shd w:val="clear" w:color="auto" w:fill="auto"/>
            <w:vAlign w:val="bottom"/>
          </w:tcPr>
          <w:p w14:paraId="71D44534" w14:textId="77777777" w:rsidR="006A3667" w:rsidRDefault="006A3667">
            <w:pPr>
              <w:rPr>
                <w:rFonts w:ascii="宋体"/>
              </w:rPr>
            </w:pPr>
          </w:p>
        </w:tc>
        <w:tc>
          <w:tcPr>
            <w:tcW w:w="5" w:type="pct"/>
            <w:shd w:val="clear" w:color="auto" w:fill="auto"/>
            <w:vAlign w:val="bottom"/>
          </w:tcPr>
          <w:p w14:paraId="71D44535" w14:textId="77777777" w:rsidR="006A3667" w:rsidRDefault="006A3667">
            <w:pPr>
              <w:rPr>
                <w:rFonts w:ascii="宋体"/>
              </w:rPr>
            </w:pPr>
          </w:p>
        </w:tc>
        <w:tc>
          <w:tcPr>
            <w:tcW w:w="19" w:type="pct"/>
            <w:shd w:val="clear" w:color="auto" w:fill="auto"/>
            <w:vAlign w:val="bottom"/>
          </w:tcPr>
          <w:p w14:paraId="71D44536" w14:textId="77777777" w:rsidR="006A3667" w:rsidRDefault="006A3667">
            <w:pPr>
              <w:rPr>
                <w:rFonts w:ascii="宋体"/>
              </w:rPr>
            </w:pPr>
          </w:p>
        </w:tc>
        <w:tc>
          <w:tcPr>
            <w:tcW w:w="5" w:type="pct"/>
            <w:shd w:val="clear" w:color="auto" w:fill="auto"/>
            <w:vAlign w:val="bottom"/>
          </w:tcPr>
          <w:p w14:paraId="71D44537" w14:textId="77777777" w:rsidR="006A3667" w:rsidRDefault="006A3667">
            <w:pPr>
              <w:rPr>
                <w:rFonts w:ascii="宋体"/>
              </w:rPr>
            </w:pPr>
          </w:p>
        </w:tc>
        <w:tc>
          <w:tcPr>
            <w:tcW w:w="50" w:type="pct"/>
            <w:shd w:val="clear" w:color="auto" w:fill="auto"/>
            <w:vAlign w:val="bottom"/>
          </w:tcPr>
          <w:p w14:paraId="71D44538" w14:textId="77777777" w:rsidR="006A3667" w:rsidRDefault="006A3667">
            <w:pPr>
              <w:rPr>
                <w:rFonts w:ascii="宋体"/>
              </w:rPr>
            </w:pPr>
          </w:p>
        </w:tc>
        <w:tc>
          <w:tcPr>
            <w:tcW w:w="317" w:type="pct"/>
            <w:shd w:val="clear" w:color="auto" w:fill="auto"/>
            <w:vAlign w:val="bottom"/>
          </w:tcPr>
          <w:p w14:paraId="71D44539" w14:textId="77777777" w:rsidR="006A3667" w:rsidRDefault="006A3667">
            <w:pPr>
              <w:rPr>
                <w:rFonts w:ascii="宋体"/>
              </w:rPr>
            </w:pPr>
          </w:p>
        </w:tc>
        <w:tc>
          <w:tcPr>
            <w:tcW w:w="5" w:type="pct"/>
            <w:shd w:val="clear" w:color="auto" w:fill="auto"/>
            <w:vAlign w:val="bottom"/>
          </w:tcPr>
          <w:p w14:paraId="71D4453A" w14:textId="77777777" w:rsidR="006A3667" w:rsidRDefault="006A3667">
            <w:pPr>
              <w:rPr>
                <w:rFonts w:ascii="宋体"/>
              </w:rPr>
            </w:pPr>
          </w:p>
        </w:tc>
        <w:tc>
          <w:tcPr>
            <w:tcW w:w="5" w:type="pct"/>
            <w:shd w:val="clear" w:color="auto" w:fill="auto"/>
            <w:vAlign w:val="bottom"/>
          </w:tcPr>
          <w:p w14:paraId="71D4453B" w14:textId="77777777" w:rsidR="006A3667" w:rsidRDefault="006A3667">
            <w:pPr>
              <w:rPr>
                <w:rFonts w:ascii="宋体"/>
              </w:rPr>
            </w:pPr>
          </w:p>
        </w:tc>
        <w:tc>
          <w:tcPr>
            <w:tcW w:w="19" w:type="pct"/>
            <w:shd w:val="clear" w:color="auto" w:fill="auto"/>
            <w:vAlign w:val="bottom"/>
          </w:tcPr>
          <w:p w14:paraId="71D4453C" w14:textId="77777777" w:rsidR="006A3667" w:rsidRDefault="006A3667">
            <w:pPr>
              <w:rPr>
                <w:rFonts w:ascii="宋体"/>
              </w:rPr>
            </w:pPr>
          </w:p>
        </w:tc>
        <w:tc>
          <w:tcPr>
            <w:tcW w:w="5" w:type="pct"/>
            <w:shd w:val="clear" w:color="auto" w:fill="auto"/>
            <w:vAlign w:val="bottom"/>
          </w:tcPr>
          <w:p w14:paraId="71D4453D" w14:textId="77777777" w:rsidR="006A3667" w:rsidRDefault="006A3667">
            <w:pPr>
              <w:rPr>
                <w:rFonts w:ascii="宋体"/>
              </w:rPr>
            </w:pPr>
          </w:p>
        </w:tc>
        <w:tc>
          <w:tcPr>
            <w:tcW w:w="50" w:type="pct"/>
            <w:shd w:val="clear" w:color="auto" w:fill="auto"/>
            <w:vAlign w:val="bottom"/>
          </w:tcPr>
          <w:p w14:paraId="71D4453E" w14:textId="77777777" w:rsidR="006A3667" w:rsidRDefault="006A3667">
            <w:pPr>
              <w:rPr>
                <w:rFonts w:ascii="宋体"/>
              </w:rPr>
            </w:pPr>
          </w:p>
        </w:tc>
        <w:tc>
          <w:tcPr>
            <w:tcW w:w="449" w:type="pct"/>
            <w:shd w:val="clear" w:color="auto" w:fill="auto"/>
            <w:vAlign w:val="bottom"/>
          </w:tcPr>
          <w:p w14:paraId="71D4453F" w14:textId="77777777" w:rsidR="006A3667" w:rsidRDefault="006A3667">
            <w:pPr>
              <w:rPr>
                <w:rFonts w:ascii="宋体"/>
              </w:rPr>
            </w:pPr>
          </w:p>
        </w:tc>
        <w:tc>
          <w:tcPr>
            <w:tcW w:w="5" w:type="pct"/>
            <w:shd w:val="clear" w:color="auto" w:fill="auto"/>
            <w:vAlign w:val="bottom"/>
          </w:tcPr>
          <w:p w14:paraId="71D44540" w14:textId="77777777" w:rsidR="006A3667" w:rsidRDefault="006A3667">
            <w:pPr>
              <w:rPr>
                <w:rFonts w:ascii="宋体"/>
              </w:rPr>
            </w:pPr>
          </w:p>
        </w:tc>
        <w:tc>
          <w:tcPr>
            <w:tcW w:w="5" w:type="pct"/>
            <w:shd w:val="clear" w:color="auto" w:fill="auto"/>
            <w:vAlign w:val="bottom"/>
          </w:tcPr>
          <w:p w14:paraId="71D44541" w14:textId="77777777" w:rsidR="006A3667" w:rsidRDefault="006A3667">
            <w:pPr>
              <w:rPr>
                <w:rFonts w:ascii="宋体"/>
              </w:rPr>
            </w:pPr>
          </w:p>
        </w:tc>
        <w:tc>
          <w:tcPr>
            <w:tcW w:w="19" w:type="pct"/>
            <w:shd w:val="clear" w:color="auto" w:fill="auto"/>
            <w:vAlign w:val="bottom"/>
          </w:tcPr>
          <w:p w14:paraId="71D44542" w14:textId="77777777" w:rsidR="006A3667" w:rsidRDefault="006A3667">
            <w:pPr>
              <w:rPr>
                <w:rFonts w:ascii="宋体"/>
              </w:rPr>
            </w:pPr>
          </w:p>
        </w:tc>
        <w:tc>
          <w:tcPr>
            <w:tcW w:w="5" w:type="pct"/>
            <w:shd w:val="clear" w:color="auto" w:fill="auto"/>
            <w:vAlign w:val="bottom"/>
          </w:tcPr>
          <w:p w14:paraId="71D44543" w14:textId="77777777" w:rsidR="006A3667" w:rsidRDefault="006A3667">
            <w:pPr>
              <w:rPr>
                <w:rFonts w:ascii="宋体"/>
              </w:rPr>
            </w:pPr>
          </w:p>
        </w:tc>
        <w:tc>
          <w:tcPr>
            <w:tcW w:w="50" w:type="pct"/>
            <w:shd w:val="clear" w:color="auto" w:fill="auto"/>
            <w:vAlign w:val="bottom"/>
          </w:tcPr>
          <w:p w14:paraId="71D44544" w14:textId="77777777" w:rsidR="006A3667" w:rsidRDefault="006A3667">
            <w:pPr>
              <w:rPr>
                <w:rFonts w:ascii="宋体"/>
              </w:rPr>
            </w:pPr>
          </w:p>
        </w:tc>
        <w:tc>
          <w:tcPr>
            <w:tcW w:w="303" w:type="pct"/>
            <w:shd w:val="clear" w:color="auto" w:fill="auto"/>
            <w:vAlign w:val="bottom"/>
          </w:tcPr>
          <w:p w14:paraId="71D44545" w14:textId="77777777" w:rsidR="006A3667" w:rsidRDefault="006A3667">
            <w:pPr>
              <w:rPr>
                <w:rFonts w:ascii="宋体"/>
              </w:rPr>
            </w:pPr>
          </w:p>
        </w:tc>
        <w:tc>
          <w:tcPr>
            <w:tcW w:w="5" w:type="pct"/>
            <w:shd w:val="clear" w:color="auto" w:fill="auto"/>
            <w:vAlign w:val="bottom"/>
          </w:tcPr>
          <w:p w14:paraId="71D44546" w14:textId="77777777" w:rsidR="006A3667" w:rsidRDefault="006A3667">
            <w:pPr>
              <w:rPr>
                <w:rFonts w:ascii="宋体"/>
              </w:rPr>
            </w:pPr>
          </w:p>
        </w:tc>
        <w:tc>
          <w:tcPr>
            <w:tcW w:w="0" w:type="auto"/>
            <w:shd w:val="clear" w:color="auto" w:fill="auto"/>
            <w:vAlign w:val="bottom"/>
          </w:tcPr>
          <w:p w14:paraId="71D44547" w14:textId="77777777" w:rsidR="006A3667" w:rsidRDefault="006A3667">
            <w:pPr>
              <w:rPr>
                <w:rFonts w:ascii="宋体"/>
                <w:vanish/>
              </w:rPr>
            </w:pPr>
          </w:p>
        </w:tc>
        <w:tc>
          <w:tcPr>
            <w:tcW w:w="0" w:type="auto"/>
            <w:shd w:val="clear" w:color="auto" w:fill="auto"/>
            <w:vAlign w:val="bottom"/>
          </w:tcPr>
          <w:p w14:paraId="71D44548" w14:textId="77777777" w:rsidR="006A3667" w:rsidRDefault="006A3667">
            <w:pPr>
              <w:rPr>
                <w:rFonts w:ascii="宋体"/>
                <w:vanish/>
              </w:rPr>
            </w:pPr>
          </w:p>
        </w:tc>
        <w:tc>
          <w:tcPr>
            <w:tcW w:w="5" w:type="pct"/>
            <w:shd w:val="clear" w:color="auto" w:fill="auto"/>
            <w:vAlign w:val="bottom"/>
          </w:tcPr>
          <w:p w14:paraId="71D44549" w14:textId="77777777" w:rsidR="006A3667" w:rsidRDefault="006A3667">
            <w:pPr>
              <w:rPr>
                <w:rFonts w:ascii="宋体"/>
              </w:rPr>
            </w:pPr>
          </w:p>
        </w:tc>
        <w:tc>
          <w:tcPr>
            <w:tcW w:w="19" w:type="pct"/>
            <w:shd w:val="clear" w:color="auto" w:fill="auto"/>
            <w:vAlign w:val="bottom"/>
          </w:tcPr>
          <w:p w14:paraId="71D4454A" w14:textId="77777777" w:rsidR="006A3667" w:rsidRDefault="006A3667">
            <w:pPr>
              <w:rPr>
                <w:rFonts w:ascii="宋体"/>
              </w:rPr>
            </w:pPr>
          </w:p>
        </w:tc>
        <w:tc>
          <w:tcPr>
            <w:tcW w:w="5" w:type="pct"/>
            <w:shd w:val="clear" w:color="auto" w:fill="auto"/>
            <w:vAlign w:val="bottom"/>
          </w:tcPr>
          <w:p w14:paraId="71D4454B" w14:textId="77777777" w:rsidR="006A3667" w:rsidRDefault="006A3667">
            <w:pPr>
              <w:rPr>
                <w:rFonts w:ascii="宋体"/>
              </w:rPr>
            </w:pPr>
          </w:p>
        </w:tc>
        <w:tc>
          <w:tcPr>
            <w:tcW w:w="50" w:type="pct"/>
            <w:shd w:val="clear" w:color="auto" w:fill="auto"/>
            <w:vAlign w:val="bottom"/>
          </w:tcPr>
          <w:p w14:paraId="71D4454C" w14:textId="77777777" w:rsidR="006A3667" w:rsidRDefault="006A3667">
            <w:pPr>
              <w:rPr>
                <w:rFonts w:ascii="宋体"/>
              </w:rPr>
            </w:pPr>
          </w:p>
        </w:tc>
        <w:tc>
          <w:tcPr>
            <w:tcW w:w="200" w:type="pct"/>
            <w:shd w:val="clear" w:color="auto" w:fill="auto"/>
            <w:vAlign w:val="bottom"/>
          </w:tcPr>
          <w:p w14:paraId="71D4454D" w14:textId="77777777" w:rsidR="006A3667" w:rsidRDefault="006A3667">
            <w:pPr>
              <w:rPr>
                <w:rFonts w:ascii="宋体"/>
              </w:rPr>
            </w:pPr>
          </w:p>
        </w:tc>
        <w:tc>
          <w:tcPr>
            <w:tcW w:w="5" w:type="pct"/>
            <w:shd w:val="clear" w:color="auto" w:fill="auto"/>
            <w:vAlign w:val="bottom"/>
          </w:tcPr>
          <w:p w14:paraId="71D4454E" w14:textId="77777777" w:rsidR="006A3667" w:rsidRDefault="006A3667">
            <w:pPr>
              <w:rPr>
                <w:rFonts w:ascii="宋体"/>
              </w:rPr>
            </w:pPr>
          </w:p>
        </w:tc>
        <w:tc>
          <w:tcPr>
            <w:tcW w:w="5" w:type="pct"/>
            <w:shd w:val="clear" w:color="auto" w:fill="auto"/>
            <w:vAlign w:val="bottom"/>
          </w:tcPr>
          <w:p w14:paraId="71D4454F" w14:textId="77777777" w:rsidR="006A3667" w:rsidRDefault="006A3667">
            <w:pPr>
              <w:rPr>
                <w:rFonts w:ascii="宋体"/>
              </w:rPr>
            </w:pPr>
          </w:p>
        </w:tc>
        <w:tc>
          <w:tcPr>
            <w:tcW w:w="19" w:type="pct"/>
            <w:shd w:val="clear" w:color="auto" w:fill="auto"/>
            <w:vAlign w:val="bottom"/>
          </w:tcPr>
          <w:p w14:paraId="71D44550" w14:textId="77777777" w:rsidR="006A3667" w:rsidRDefault="006A3667">
            <w:pPr>
              <w:rPr>
                <w:rFonts w:ascii="宋体"/>
              </w:rPr>
            </w:pPr>
          </w:p>
        </w:tc>
        <w:tc>
          <w:tcPr>
            <w:tcW w:w="5" w:type="pct"/>
            <w:shd w:val="clear" w:color="auto" w:fill="auto"/>
            <w:vAlign w:val="bottom"/>
          </w:tcPr>
          <w:p w14:paraId="71D44551" w14:textId="77777777" w:rsidR="006A3667" w:rsidRDefault="006A3667">
            <w:pPr>
              <w:rPr>
                <w:rFonts w:ascii="宋体"/>
              </w:rPr>
            </w:pPr>
          </w:p>
        </w:tc>
        <w:tc>
          <w:tcPr>
            <w:tcW w:w="50" w:type="pct"/>
            <w:shd w:val="clear" w:color="auto" w:fill="auto"/>
            <w:vAlign w:val="bottom"/>
          </w:tcPr>
          <w:p w14:paraId="71D44552" w14:textId="77777777" w:rsidR="006A3667" w:rsidRDefault="006A3667">
            <w:pPr>
              <w:rPr>
                <w:rFonts w:ascii="宋体"/>
              </w:rPr>
            </w:pPr>
          </w:p>
        </w:tc>
        <w:tc>
          <w:tcPr>
            <w:tcW w:w="347" w:type="pct"/>
            <w:shd w:val="clear" w:color="auto" w:fill="auto"/>
            <w:vAlign w:val="bottom"/>
          </w:tcPr>
          <w:p w14:paraId="71D44553" w14:textId="77777777" w:rsidR="006A3667" w:rsidRDefault="006A3667">
            <w:pPr>
              <w:rPr>
                <w:rFonts w:ascii="宋体"/>
              </w:rPr>
            </w:pPr>
          </w:p>
        </w:tc>
        <w:tc>
          <w:tcPr>
            <w:tcW w:w="5" w:type="pct"/>
            <w:shd w:val="clear" w:color="auto" w:fill="auto"/>
            <w:vAlign w:val="bottom"/>
          </w:tcPr>
          <w:p w14:paraId="71D44554" w14:textId="77777777" w:rsidR="006A3667" w:rsidRDefault="006A3667">
            <w:pPr>
              <w:rPr>
                <w:rFonts w:ascii="宋体"/>
              </w:rPr>
            </w:pPr>
          </w:p>
        </w:tc>
        <w:tc>
          <w:tcPr>
            <w:tcW w:w="5" w:type="pct"/>
            <w:shd w:val="clear" w:color="auto" w:fill="auto"/>
            <w:vAlign w:val="bottom"/>
          </w:tcPr>
          <w:p w14:paraId="71D44555" w14:textId="77777777" w:rsidR="006A3667" w:rsidRDefault="006A3667">
            <w:pPr>
              <w:rPr>
                <w:rFonts w:ascii="宋体"/>
              </w:rPr>
            </w:pPr>
          </w:p>
        </w:tc>
        <w:tc>
          <w:tcPr>
            <w:tcW w:w="19" w:type="pct"/>
            <w:shd w:val="clear" w:color="auto" w:fill="auto"/>
            <w:vAlign w:val="bottom"/>
          </w:tcPr>
          <w:p w14:paraId="71D44556" w14:textId="77777777" w:rsidR="006A3667" w:rsidRDefault="006A3667">
            <w:pPr>
              <w:rPr>
                <w:rFonts w:ascii="宋体"/>
              </w:rPr>
            </w:pPr>
          </w:p>
        </w:tc>
        <w:tc>
          <w:tcPr>
            <w:tcW w:w="5" w:type="pct"/>
            <w:shd w:val="clear" w:color="auto" w:fill="auto"/>
            <w:vAlign w:val="bottom"/>
          </w:tcPr>
          <w:p w14:paraId="71D44557" w14:textId="77777777" w:rsidR="006A3667" w:rsidRDefault="006A3667">
            <w:pPr>
              <w:rPr>
                <w:rFonts w:ascii="宋体"/>
              </w:rPr>
            </w:pPr>
          </w:p>
        </w:tc>
        <w:tc>
          <w:tcPr>
            <w:tcW w:w="50" w:type="pct"/>
            <w:shd w:val="clear" w:color="auto" w:fill="auto"/>
            <w:vAlign w:val="bottom"/>
          </w:tcPr>
          <w:p w14:paraId="71D44558" w14:textId="77777777" w:rsidR="006A3667" w:rsidRDefault="006A3667">
            <w:pPr>
              <w:rPr>
                <w:rFonts w:ascii="宋体"/>
              </w:rPr>
            </w:pPr>
          </w:p>
        </w:tc>
        <w:tc>
          <w:tcPr>
            <w:tcW w:w="273" w:type="pct"/>
            <w:shd w:val="clear" w:color="auto" w:fill="auto"/>
            <w:vAlign w:val="bottom"/>
          </w:tcPr>
          <w:p w14:paraId="71D44559" w14:textId="77777777" w:rsidR="006A3667" w:rsidRDefault="006A3667">
            <w:pPr>
              <w:rPr>
                <w:rFonts w:ascii="宋体"/>
              </w:rPr>
            </w:pPr>
          </w:p>
        </w:tc>
        <w:tc>
          <w:tcPr>
            <w:tcW w:w="5" w:type="pct"/>
            <w:shd w:val="clear" w:color="auto" w:fill="auto"/>
            <w:vAlign w:val="bottom"/>
          </w:tcPr>
          <w:p w14:paraId="71D4455A" w14:textId="77777777" w:rsidR="006A3667" w:rsidRDefault="006A3667">
            <w:pPr>
              <w:rPr>
                <w:rFonts w:ascii="宋体"/>
              </w:rPr>
            </w:pPr>
          </w:p>
        </w:tc>
        <w:tc>
          <w:tcPr>
            <w:tcW w:w="5" w:type="pct"/>
            <w:shd w:val="clear" w:color="auto" w:fill="auto"/>
            <w:vAlign w:val="bottom"/>
          </w:tcPr>
          <w:p w14:paraId="71D4455B" w14:textId="77777777" w:rsidR="006A3667" w:rsidRDefault="006A3667">
            <w:pPr>
              <w:rPr>
                <w:rFonts w:ascii="宋体"/>
              </w:rPr>
            </w:pPr>
          </w:p>
        </w:tc>
        <w:tc>
          <w:tcPr>
            <w:tcW w:w="19" w:type="pct"/>
            <w:shd w:val="clear" w:color="auto" w:fill="auto"/>
            <w:vAlign w:val="bottom"/>
          </w:tcPr>
          <w:p w14:paraId="71D4455C" w14:textId="77777777" w:rsidR="006A3667" w:rsidRDefault="006A3667">
            <w:pPr>
              <w:rPr>
                <w:rFonts w:ascii="宋体"/>
              </w:rPr>
            </w:pPr>
          </w:p>
        </w:tc>
        <w:tc>
          <w:tcPr>
            <w:tcW w:w="5" w:type="pct"/>
            <w:shd w:val="clear" w:color="auto" w:fill="auto"/>
            <w:vAlign w:val="bottom"/>
          </w:tcPr>
          <w:p w14:paraId="71D4455D" w14:textId="77777777" w:rsidR="006A3667" w:rsidRDefault="006A3667">
            <w:pPr>
              <w:rPr>
                <w:rFonts w:ascii="宋体"/>
              </w:rPr>
            </w:pPr>
          </w:p>
        </w:tc>
        <w:tc>
          <w:tcPr>
            <w:tcW w:w="50" w:type="pct"/>
            <w:shd w:val="clear" w:color="auto" w:fill="auto"/>
            <w:vAlign w:val="bottom"/>
          </w:tcPr>
          <w:p w14:paraId="71D4455E" w14:textId="77777777" w:rsidR="006A3667" w:rsidRDefault="006A3667">
            <w:pPr>
              <w:rPr>
                <w:rFonts w:ascii="宋体"/>
              </w:rPr>
            </w:pPr>
          </w:p>
        </w:tc>
        <w:tc>
          <w:tcPr>
            <w:tcW w:w="273" w:type="pct"/>
            <w:shd w:val="clear" w:color="auto" w:fill="auto"/>
            <w:vAlign w:val="bottom"/>
          </w:tcPr>
          <w:p w14:paraId="71D4455F" w14:textId="77777777" w:rsidR="006A3667" w:rsidRDefault="006A3667">
            <w:pPr>
              <w:rPr>
                <w:rFonts w:ascii="宋体"/>
              </w:rPr>
            </w:pPr>
          </w:p>
        </w:tc>
        <w:tc>
          <w:tcPr>
            <w:tcW w:w="5" w:type="pct"/>
            <w:shd w:val="clear" w:color="auto" w:fill="auto"/>
            <w:vAlign w:val="bottom"/>
          </w:tcPr>
          <w:p w14:paraId="71D44560" w14:textId="77777777" w:rsidR="006A3667" w:rsidRDefault="006A3667">
            <w:pPr>
              <w:rPr>
                <w:rFonts w:ascii="宋体"/>
              </w:rPr>
            </w:pPr>
          </w:p>
        </w:tc>
        <w:tc>
          <w:tcPr>
            <w:tcW w:w="5" w:type="pct"/>
            <w:shd w:val="clear" w:color="auto" w:fill="auto"/>
            <w:vAlign w:val="bottom"/>
          </w:tcPr>
          <w:p w14:paraId="71D44561" w14:textId="77777777" w:rsidR="006A3667" w:rsidRDefault="006A3667">
            <w:pPr>
              <w:rPr>
                <w:rFonts w:ascii="宋体"/>
              </w:rPr>
            </w:pPr>
          </w:p>
        </w:tc>
        <w:tc>
          <w:tcPr>
            <w:tcW w:w="19" w:type="pct"/>
            <w:shd w:val="clear" w:color="auto" w:fill="auto"/>
            <w:vAlign w:val="bottom"/>
          </w:tcPr>
          <w:p w14:paraId="71D44562" w14:textId="77777777" w:rsidR="006A3667" w:rsidRDefault="006A3667">
            <w:pPr>
              <w:rPr>
                <w:rFonts w:ascii="宋体"/>
              </w:rPr>
            </w:pPr>
          </w:p>
        </w:tc>
        <w:tc>
          <w:tcPr>
            <w:tcW w:w="5" w:type="pct"/>
            <w:shd w:val="clear" w:color="auto" w:fill="auto"/>
            <w:vAlign w:val="bottom"/>
          </w:tcPr>
          <w:p w14:paraId="71D44563" w14:textId="77777777" w:rsidR="006A3667" w:rsidRDefault="006A3667">
            <w:pPr>
              <w:rPr>
                <w:rFonts w:ascii="宋体"/>
              </w:rPr>
            </w:pPr>
          </w:p>
        </w:tc>
        <w:tc>
          <w:tcPr>
            <w:tcW w:w="50" w:type="pct"/>
            <w:shd w:val="clear" w:color="auto" w:fill="auto"/>
            <w:vAlign w:val="bottom"/>
          </w:tcPr>
          <w:p w14:paraId="71D44564" w14:textId="77777777" w:rsidR="006A3667" w:rsidRDefault="006A3667">
            <w:pPr>
              <w:rPr>
                <w:rFonts w:ascii="宋体"/>
              </w:rPr>
            </w:pPr>
          </w:p>
        </w:tc>
        <w:tc>
          <w:tcPr>
            <w:tcW w:w="420" w:type="pct"/>
            <w:shd w:val="clear" w:color="auto" w:fill="auto"/>
            <w:vAlign w:val="bottom"/>
          </w:tcPr>
          <w:p w14:paraId="71D44565" w14:textId="77777777" w:rsidR="006A3667" w:rsidRDefault="006A3667">
            <w:pPr>
              <w:rPr>
                <w:rFonts w:ascii="宋体"/>
              </w:rPr>
            </w:pPr>
          </w:p>
        </w:tc>
        <w:tc>
          <w:tcPr>
            <w:tcW w:w="5" w:type="pct"/>
            <w:shd w:val="clear" w:color="auto" w:fill="auto"/>
            <w:vAlign w:val="bottom"/>
          </w:tcPr>
          <w:p w14:paraId="71D44566" w14:textId="77777777" w:rsidR="006A3667" w:rsidRDefault="006A3667">
            <w:pPr>
              <w:rPr>
                <w:rFonts w:ascii="宋体"/>
              </w:rPr>
            </w:pPr>
          </w:p>
        </w:tc>
        <w:tc>
          <w:tcPr>
            <w:tcW w:w="5" w:type="pct"/>
            <w:shd w:val="clear" w:color="auto" w:fill="auto"/>
            <w:vAlign w:val="bottom"/>
          </w:tcPr>
          <w:p w14:paraId="71D44567" w14:textId="77777777" w:rsidR="006A3667" w:rsidRDefault="006A3667">
            <w:pPr>
              <w:rPr>
                <w:rFonts w:ascii="宋体"/>
              </w:rPr>
            </w:pPr>
          </w:p>
        </w:tc>
        <w:tc>
          <w:tcPr>
            <w:tcW w:w="19" w:type="pct"/>
            <w:shd w:val="clear" w:color="auto" w:fill="auto"/>
            <w:vAlign w:val="bottom"/>
          </w:tcPr>
          <w:p w14:paraId="71D44568" w14:textId="77777777" w:rsidR="006A3667" w:rsidRDefault="006A3667">
            <w:pPr>
              <w:rPr>
                <w:rFonts w:ascii="宋体"/>
              </w:rPr>
            </w:pPr>
          </w:p>
        </w:tc>
        <w:tc>
          <w:tcPr>
            <w:tcW w:w="5" w:type="pct"/>
            <w:shd w:val="clear" w:color="auto" w:fill="auto"/>
            <w:vAlign w:val="bottom"/>
          </w:tcPr>
          <w:p w14:paraId="71D44569" w14:textId="77777777" w:rsidR="006A3667" w:rsidRDefault="006A3667">
            <w:pPr>
              <w:rPr>
                <w:rFonts w:ascii="宋体"/>
              </w:rPr>
            </w:pPr>
          </w:p>
        </w:tc>
      </w:tr>
      <w:tr w:rsidR="006A3667" w14:paraId="71D44570" w14:textId="77777777">
        <w:tc>
          <w:tcPr>
            <w:tcW w:w="0" w:type="auto"/>
            <w:gridSpan w:val="3"/>
            <w:shd w:val="clear" w:color="auto" w:fill="auto"/>
            <w:tcMar>
              <w:top w:w="0" w:type="dxa"/>
              <w:left w:w="20" w:type="dxa"/>
              <w:bottom w:w="0" w:type="dxa"/>
              <w:right w:w="20" w:type="dxa"/>
            </w:tcMar>
            <w:vAlign w:val="bottom"/>
          </w:tcPr>
          <w:p w14:paraId="71D4456B" w14:textId="77777777" w:rsidR="006A3667" w:rsidRDefault="006A3667">
            <w:pPr>
              <w:rPr>
                <w:rFonts w:ascii="宋体"/>
              </w:rPr>
            </w:pPr>
          </w:p>
        </w:tc>
        <w:tc>
          <w:tcPr>
            <w:tcW w:w="0" w:type="auto"/>
            <w:gridSpan w:val="53"/>
            <w:shd w:val="clear" w:color="auto" w:fill="auto"/>
            <w:tcMar>
              <w:top w:w="40" w:type="dxa"/>
              <w:left w:w="20" w:type="dxa"/>
              <w:bottom w:w="40" w:type="dxa"/>
              <w:right w:w="20" w:type="dxa"/>
            </w:tcMar>
            <w:vAlign w:val="bottom"/>
          </w:tcPr>
          <w:p w14:paraId="71D4456C" w14:textId="77777777" w:rsidR="006A3667" w:rsidRDefault="00045F32">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71D4456D" w14:textId="77777777" w:rsidR="006A3667" w:rsidRDefault="006A3667">
            <w:pPr>
              <w:rPr>
                <w:rFonts w:ascii="宋体"/>
              </w:rPr>
            </w:pPr>
          </w:p>
        </w:tc>
        <w:tc>
          <w:tcPr>
            <w:tcW w:w="0" w:type="auto"/>
            <w:shd w:val="clear" w:color="auto" w:fill="auto"/>
            <w:vAlign w:val="bottom"/>
          </w:tcPr>
          <w:p w14:paraId="71D4456E" w14:textId="77777777" w:rsidR="006A3667" w:rsidRDefault="006A3667">
            <w:pPr>
              <w:rPr>
                <w:rFonts w:ascii="宋体"/>
              </w:rPr>
            </w:pPr>
          </w:p>
        </w:tc>
        <w:tc>
          <w:tcPr>
            <w:tcW w:w="0" w:type="auto"/>
            <w:shd w:val="clear" w:color="auto" w:fill="auto"/>
            <w:vAlign w:val="bottom"/>
          </w:tcPr>
          <w:p w14:paraId="71D4456F" w14:textId="77777777" w:rsidR="006A3667" w:rsidRDefault="006A3667">
            <w:pPr>
              <w:rPr>
                <w:rFonts w:ascii="宋体"/>
              </w:rPr>
            </w:pPr>
          </w:p>
        </w:tc>
      </w:tr>
      <w:tr w:rsidR="006A3667" w14:paraId="71D44576" w14:textId="77777777">
        <w:tc>
          <w:tcPr>
            <w:tcW w:w="0" w:type="auto"/>
            <w:gridSpan w:val="3"/>
            <w:shd w:val="clear" w:color="auto" w:fill="auto"/>
            <w:tcMar>
              <w:top w:w="40" w:type="dxa"/>
              <w:left w:w="20" w:type="dxa"/>
              <w:bottom w:w="40" w:type="dxa"/>
              <w:right w:w="20" w:type="dxa"/>
            </w:tcMar>
          </w:tcPr>
          <w:p w14:paraId="71D44571" w14:textId="77777777" w:rsidR="006A3667" w:rsidRDefault="00045F32">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71D44572" w14:textId="77777777" w:rsidR="006A3667" w:rsidRDefault="00045F32">
            <w:pPr>
              <w:jc w:val="center"/>
              <w:textAlignment w:val="bottom"/>
            </w:pPr>
            <w:r>
              <w:rPr>
                <w:rFonts w:ascii="Arial" w:eastAsia="宋体" w:hAnsi="Arial" w:cs="Arial"/>
                <w:b/>
                <w:bCs/>
                <w:color w:val="000000"/>
                <w:sz w:val="12"/>
                <w:szCs w:val="12"/>
              </w:rPr>
              <w:t>Nine Months Ended September 30, 2021</w:t>
            </w:r>
          </w:p>
        </w:tc>
        <w:tc>
          <w:tcPr>
            <w:tcW w:w="0" w:type="auto"/>
            <w:shd w:val="clear" w:color="auto" w:fill="auto"/>
            <w:vAlign w:val="bottom"/>
          </w:tcPr>
          <w:p w14:paraId="71D44573" w14:textId="77777777" w:rsidR="006A3667" w:rsidRDefault="006A3667">
            <w:pPr>
              <w:rPr>
                <w:rFonts w:ascii="宋体"/>
              </w:rPr>
            </w:pPr>
          </w:p>
        </w:tc>
        <w:tc>
          <w:tcPr>
            <w:tcW w:w="0" w:type="auto"/>
            <w:shd w:val="clear" w:color="auto" w:fill="auto"/>
            <w:vAlign w:val="bottom"/>
          </w:tcPr>
          <w:p w14:paraId="71D44574" w14:textId="77777777" w:rsidR="006A3667" w:rsidRDefault="006A3667">
            <w:pPr>
              <w:rPr>
                <w:rFonts w:ascii="宋体"/>
              </w:rPr>
            </w:pPr>
          </w:p>
        </w:tc>
        <w:tc>
          <w:tcPr>
            <w:tcW w:w="0" w:type="auto"/>
            <w:shd w:val="clear" w:color="auto" w:fill="auto"/>
            <w:vAlign w:val="bottom"/>
          </w:tcPr>
          <w:p w14:paraId="71D44575" w14:textId="77777777" w:rsidR="006A3667" w:rsidRDefault="006A3667">
            <w:pPr>
              <w:rPr>
                <w:rFonts w:ascii="宋体"/>
              </w:rPr>
            </w:pPr>
          </w:p>
        </w:tc>
      </w:tr>
      <w:tr w:rsidR="006A3667" w14:paraId="71D4458D" w14:textId="77777777">
        <w:trPr>
          <w:trHeight w:val="400"/>
        </w:trPr>
        <w:tc>
          <w:tcPr>
            <w:tcW w:w="0" w:type="auto"/>
            <w:gridSpan w:val="3"/>
            <w:shd w:val="clear" w:color="auto" w:fill="auto"/>
            <w:tcMar>
              <w:top w:w="40" w:type="dxa"/>
              <w:left w:w="20" w:type="dxa"/>
              <w:bottom w:w="40" w:type="dxa"/>
              <w:right w:w="20" w:type="dxa"/>
            </w:tcMar>
          </w:tcPr>
          <w:p w14:paraId="71D44577" w14:textId="77777777" w:rsidR="006A3667" w:rsidRDefault="00045F32">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578" w14:textId="77777777" w:rsidR="006A3667" w:rsidRDefault="00045F32">
            <w:pPr>
              <w:jc w:val="center"/>
              <w:textAlignment w:val="bottom"/>
            </w:pPr>
            <w:r>
              <w:rPr>
                <w:rFonts w:ascii="Arial" w:eastAsia="宋体" w:hAnsi="Arial" w:cs="Arial"/>
                <w:b/>
                <w:bCs/>
                <w:color w:val="000000"/>
                <w:sz w:val="12"/>
                <w:szCs w:val="12"/>
              </w:rPr>
              <w:t xml:space="preserve">Fair Value as of </w:t>
            </w:r>
            <w:r>
              <w:rPr>
                <w:rFonts w:ascii="Arial" w:eastAsia="宋体" w:hAnsi="Arial" w:cs="Arial"/>
                <w:b/>
                <w:bCs/>
                <w:color w:val="000000"/>
                <w:sz w:val="12"/>
                <w:szCs w:val="12"/>
              </w:rPr>
              <w:t>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79"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457A" w14:textId="77777777" w:rsidR="006A3667" w:rsidRDefault="00045F32">
            <w:pPr>
              <w:jc w:val="center"/>
              <w:textAlignment w:val="bottom"/>
            </w:pPr>
            <w:r>
              <w:rPr>
                <w:rFonts w:ascii="Arial" w:eastAsia="宋体" w:hAnsi="Arial" w:cs="Arial"/>
                <w:b/>
                <w:bCs/>
                <w:color w:val="000000"/>
                <w:sz w:val="12"/>
                <w:szCs w:val="12"/>
              </w:rPr>
              <w:t>Total Realized and</w:t>
            </w:r>
          </w:p>
          <w:p w14:paraId="71D4457B" w14:textId="77777777" w:rsidR="006A3667" w:rsidRDefault="00045F32">
            <w:pP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7C"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57D" w14:textId="77777777" w:rsidR="006A3667" w:rsidRDefault="00045F32">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71D4457E" w14:textId="77777777" w:rsidR="006A3667" w:rsidRDefault="006A3667">
            <w:pPr>
              <w:rPr>
                <w:rFonts w:ascii="宋体"/>
                <w:vanish/>
              </w:rPr>
            </w:pPr>
          </w:p>
        </w:tc>
        <w:tc>
          <w:tcPr>
            <w:tcW w:w="0" w:type="auto"/>
            <w:shd w:val="clear" w:color="auto" w:fill="auto"/>
            <w:vAlign w:val="bottom"/>
          </w:tcPr>
          <w:p w14:paraId="71D4457F"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80"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581" w14:textId="77777777" w:rsidR="006A3667" w:rsidRDefault="00045F32">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82"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583" w14:textId="77777777" w:rsidR="006A3667" w:rsidRDefault="00045F32">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84"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585" w14:textId="77777777" w:rsidR="006A3667" w:rsidRDefault="00045F32">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86"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587" w14:textId="77777777" w:rsidR="006A3667" w:rsidRDefault="00045F32">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88"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589" w14:textId="77777777" w:rsidR="006A3667" w:rsidRDefault="00045F32">
            <w:pPr>
              <w:jc w:val="center"/>
              <w:textAlignment w:val="bottom"/>
            </w:pPr>
            <w:r>
              <w:rPr>
                <w:rFonts w:ascii="Arial" w:eastAsia="宋体" w:hAnsi="Arial" w:cs="Arial"/>
                <w:b/>
                <w:bCs/>
                <w:color w:val="000000"/>
                <w:sz w:val="12"/>
                <w:szCs w:val="12"/>
              </w:rPr>
              <w:t>Fair Value </w:t>
            </w:r>
          </w:p>
          <w:p w14:paraId="71D4458A" w14:textId="77777777" w:rsidR="006A3667" w:rsidRDefault="00045F32">
            <w:pPr>
              <w:jc w:val="center"/>
              <w:textAlignment w:val="bottom"/>
            </w:pPr>
            <w:r>
              <w:rPr>
                <w:rFonts w:ascii="Arial" w:eastAsia="宋体" w:hAnsi="Arial" w:cs="Arial"/>
                <w:b/>
                <w:bCs/>
                <w:color w:val="000000"/>
                <w:sz w:val="12"/>
                <w:szCs w:val="12"/>
              </w:rPr>
              <w:t>as of September 30,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458B" w14:textId="77777777" w:rsidR="006A3667" w:rsidRDefault="006A3667">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71D4458C" w14:textId="77777777" w:rsidR="006A3667" w:rsidRDefault="00045F32">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September 30, 2021</w:t>
            </w:r>
          </w:p>
        </w:tc>
      </w:tr>
      <w:tr w:rsidR="006A3667" w14:paraId="71D445A3" w14:textId="77777777">
        <w:trPr>
          <w:trHeight w:val="720"/>
        </w:trPr>
        <w:tc>
          <w:tcPr>
            <w:tcW w:w="0" w:type="auto"/>
            <w:gridSpan w:val="3"/>
            <w:shd w:val="clear" w:color="auto" w:fill="auto"/>
            <w:tcMar>
              <w:top w:w="40" w:type="dxa"/>
              <w:left w:w="20" w:type="dxa"/>
              <w:bottom w:w="40" w:type="dxa"/>
              <w:right w:w="20" w:type="dxa"/>
            </w:tcMar>
            <w:vAlign w:val="bottom"/>
          </w:tcPr>
          <w:p w14:paraId="71D4458E" w14:textId="77777777" w:rsidR="006A3667" w:rsidRDefault="00045F32">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58F"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59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591" w14:textId="77777777" w:rsidR="006A3667" w:rsidRDefault="00045F32">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w:t>
            </w:r>
            <w:r>
              <w:rPr>
                <w:rFonts w:ascii="Arial" w:eastAsia="宋体" w:hAnsi="Arial" w:cs="Arial"/>
                <w:b/>
                <w:bCs/>
                <w:color w:val="000000"/>
                <w:sz w:val="12"/>
                <w:szCs w:val="12"/>
              </w:rPr>
              <w:t>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9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593" w14:textId="77777777" w:rsidR="006A3667" w:rsidRDefault="00045F32">
            <w:pP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1D44594"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595" w14:textId="77777777" w:rsidR="006A3667" w:rsidRDefault="006A3667">
            <w:pPr>
              <w:jc w:val="center"/>
              <w:rPr>
                <w:rFonts w:ascii="宋体"/>
              </w:rPr>
            </w:pPr>
          </w:p>
        </w:tc>
        <w:tc>
          <w:tcPr>
            <w:tcW w:w="0" w:type="auto"/>
            <w:shd w:val="clear" w:color="auto" w:fill="auto"/>
            <w:vAlign w:val="bottom"/>
          </w:tcPr>
          <w:p w14:paraId="71D44596" w14:textId="77777777" w:rsidR="006A3667" w:rsidRDefault="006A3667">
            <w:pPr>
              <w:rPr>
                <w:rFonts w:ascii="宋体"/>
                <w:vanish/>
              </w:rPr>
            </w:pPr>
          </w:p>
        </w:tc>
        <w:tc>
          <w:tcPr>
            <w:tcW w:w="0" w:type="auto"/>
            <w:shd w:val="clear" w:color="auto" w:fill="auto"/>
            <w:vAlign w:val="bottom"/>
          </w:tcPr>
          <w:p w14:paraId="71D44597"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4598"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599"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59A"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59B"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59C"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59D"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59E"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59F"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45A0"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5A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A2" w14:textId="77777777" w:rsidR="006A3667" w:rsidRDefault="006A3667">
            <w:pPr>
              <w:rPr>
                <w:rFonts w:ascii="宋体"/>
              </w:rPr>
            </w:pPr>
          </w:p>
        </w:tc>
      </w:tr>
      <w:tr w:rsidR="006A3667" w14:paraId="71D445BA" w14:textId="77777777">
        <w:tc>
          <w:tcPr>
            <w:tcW w:w="0" w:type="auto"/>
            <w:gridSpan w:val="3"/>
            <w:shd w:val="clear" w:color="auto" w:fill="auto"/>
            <w:tcMar>
              <w:top w:w="40" w:type="dxa"/>
              <w:left w:w="20" w:type="dxa"/>
              <w:bottom w:w="40" w:type="dxa"/>
              <w:right w:w="20" w:type="dxa"/>
            </w:tcMar>
            <w:vAlign w:val="center"/>
          </w:tcPr>
          <w:p w14:paraId="71D445A4" w14:textId="77777777" w:rsidR="006A3667" w:rsidRDefault="00045F32">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A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A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A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A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A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A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AB" w14:textId="77777777" w:rsidR="006A3667" w:rsidRDefault="006A3667">
            <w:pPr>
              <w:rPr>
                <w:rFonts w:ascii="宋体"/>
              </w:rPr>
            </w:pPr>
          </w:p>
        </w:tc>
        <w:tc>
          <w:tcPr>
            <w:tcW w:w="0" w:type="auto"/>
            <w:shd w:val="clear" w:color="auto" w:fill="auto"/>
            <w:vAlign w:val="bottom"/>
          </w:tcPr>
          <w:p w14:paraId="71D445AC" w14:textId="77777777" w:rsidR="006A3667" w:rsidRDefault="006A3667">
            <w:pPr>
              <w:rPr>
                <w:rFonts w:ascii="宋体"/>
                <w:vanish/>
              </w:rPr>
            </w:pPr>
          </w:p>
        </w:tc>
        <w:tc>
          <w:tcPr>
            <w:tcW w:w="0" w:type="auto"/>
            <w:shd w:val="clear" w:color="auto" w:fill="auto"/>
            <w:vAlign w:val="bottom"/>
          </w:tcPr>
          <w:p w14:paraId="71D445AD"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45A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A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B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B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B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B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B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B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B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5B7"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45B8" w14:textId="77777777" w:rsidR="006A3667" w:rsidRDefault="006A3667">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71D445B9" w14:textId="77777777" w:rsidR="006A3667" w:rsidRDefault="006A3667">
            <w:pPr>
              <w:rPr>
                <w:rFonts w:ascii="宋体"/>
              </w:rPr>
            </w:pPr>
          </w:p>
        </w:tc>
      </w:tr>
      <w:tr w:rsidR="006A3667" w14:paraId="71D445D1" w14:textId="77777777">
        <w:tc>
          <w:tcPr>
            <w:tcW w:w="0" w:type="auto"/>
            <w:gridSpan w:val="3"/>
            <w:shd w:val="clear" w:color="auto" w:fill="auto"/>
            <w:tcMar>
              <w:top w:w="40" w:type="dxa"/>
              <w:left w:w="20" w:type="dxa"/>
              <w:bottom w:w="40" w:type="dxa"/>
              <w:right w:w="20" w:type="dxa"/>
            </w:tcMar>
            <w:vAlign w:val="center"/>
          </w:tcPr>
          <w:p w14:paraId="71D445BB" w14:textId="77777777" w:rsidR="006A3667" w:rsidRDefault="00045F32">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71D445B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B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B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B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2" w14:textId="77777777" w:rsidR="006A3667" w:rsidRDefault="006A3667">
            <w:pPr>
              <w:rPr>
                <w:rFonts w:ascii="宋体"/>
              </w:rPr>
            </w:pPr>
          </w:p>
        </w:tc>
        <w:tc>
          <w:tcPr>
            <w:tcW w:w="0" w:type="auto"/>
            <w:shd w:val="clear" w:color="auto" w:fill="auto"/>
            <w:vAlign w:val="bottom"/>
          </w:tcPr>
          <w:p w14:paraId="71D445C3" w14:textId="77777777" w:rsidR="006A3667" w:rsidRDefault="006A3667">
            <w:pPr>
              <w:rPr>
                <w:rFonts w:ascii="宋体"/>
                <w:vanish/>
              </w:rPr>
            </w:pPr>
          </w:p>
        </w:tc>
        <w:tc>
          <w:tcPr>
            <w:tcW w:w="0" w:type="auto"/>
            <w:shd w:val="clear" w:color="auto" w:fill="auto"/>
            <w:vAlign w:val="bottom"/>
          </w:tcPr>
          <w:p w14:paraId="71D445C4"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45C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CE"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45CF" w14:textId="77777777" w:rsidR="006A3667" w:rsidRDefault="006A3667">
            <w:pPr>
              <w:rPr>
                <w:rFonts w:ascii="宋体"/>
              </w:rPr>
            </w:pPr>
          </w:p>
        </w:tc>
        <w:tc>
          <w:tcPr>
            <w:tcW w:w="0" w:type="auto"/>
            <w:shd w:val="clear" w:color="auto" w:fill="auto"/>
            <w:tcMar>
              <w:top w:w="0" w:type="dxa"/>
              <w:left w:w="20" w:type="dxa"/>
              <w:bottom w:w="0" w:type="dxa"/>
              <w:right w:w="20" w:type="dxa"/>
            </w:tcMar>
            <w:vAlign w:val="bottom"/>
          </w:tcPr>
          <w:p w14:paraId="71D445D0" w14:textId="77777777" w:rsidR="006A3667" w:rsidRDefault="006A3667">
            <w:pPr>
              <w:rPr>
                <w:rFonts w:ascii="宋体"/>
              </w:rPr>
            </w:pPr>
          </w:p>
        </w:tc>
      </w:tr>
      <w:tr w:rsidR="006A3667" w14:paraId="71D445E8" w14:textId="77777777">
        <w:trPr>
          <w:hidden/>
        </w:trPr>
        <w:tc>
          <w:tcPr>
            <w:tcW w:w="0" w:type="auto"/>
            <w:gridSpan w:val="3"/>
            <w:shd w:val="clear" w:color="auto" w:fill="auto"/>
            <w:vAlign w:val="bottom"/>
          </w:tcPr>
          <w:p w14:paraId="71D445D2" w14:textId="77777777" w:rsidR="006A3667" w:rsidRDefault="006A3667">
            <w:pPr>
              <w:rPr>
                <w:rFonts w:ascii="宋体"/>
                <w:vanish/>
              </w:rPr>
            </w:pPr>
          </w:p>
        </w:tc>
        <w:tc>
          <w:tcPr>
            <w:tcW w:w="0" w:type="auto"/>
            <w:gridSpan w:val="3"/>
            <w:shd w:val="clear" w:color="auto" w:fill="auto"/>
            <w:vAlign w:val="bottom"/>
          </w:tcPr>
          <w:p w14:paraId="71D445D3" w14:textId="77777777" w:rsidR="006A3667" w:rsidRDefault="006A3667">
            <w:pPr>
              <w:rPr>
                <w:rFonts w:ascii="宋体"/>
                <w:vanish/>
              </w:rPr>
            </w:pPr>
          </w:p>
        </w:tc>
        <w:tc>
          <w:tcPr>
            <w:tcW w:w="0" w:type="auto"/>
            <w:gridSpan w:val="3"/>
            <w:shd w:val="clear" w:color="auto" w:fill="auto"/>
            <w:vAlign w:val="bottom"/>
          </w:tcPr>
          <w:p w14:paraId="71D445D4" w14:textId="77777777" w:rsidR="006A3667" w:rsidRDefault="006A3667">
            <w:pPr>
              <w:rPr>
                <w:rFonts w:ascii="宋体"/>
                <w:vanish/>
              </w:rPr>
            </w:pPr>
          </w:p>
        </w:tc>
        <w:tc>
          <w:tcPr>
            <w:tcW w:w="0" w:type="auto"/>
            <w:gridSpan w:val="3"/>
            <w:shd w:val="clear" w:color="auto" w:fill="auto"/>
            <w:vAlign w:val="bottom"/>
          </w:tcPr>
          <w:p w14:paraId="71D445D5" w14:textId="77777777" w:rsidR="006A3667" w:rsidRDefault="006A3667">
            <w:pPr>
              <w:rPr>
                <w:rFonts w:ascii="宋体"/>
                <w:vanish/>
              </w:rPr>
            </w:pPr>
          </w:p>
        </w:tc>
        <w:tc>
          <w:tcPr>
            <w:tcW w:w="0" w:type="auto"/>
            <w:gridSpan w:val="3"/>
            <w:shd w:val="clear" w:color="auto" w:fill="auto"/>
            <w:vAlign w:val="bottom"/>
          </w:tcPr>
          <w:p w14:paraId="71D445D6" w14:textId="77777777" w:rsidR="006A3667" w:rsidRDefault="006A3667">
            <w:pPr>
              <w:rPr>
                <w:rFonts w:ascii="宋体"/>
                <w:vanish/>
              </w:rPr>
            </w:pPr>
          </w:p>
        </w:tc>
        <w:tc>
          <w:tcPr>
            <w:tcW w:w="0" w:type="auto"/>
            <w:gridSpan w:val="3"/>
            <w:shd w:val="clear" w:color="auto" w:fill="auto"/>
            <w:vAlign w:val="bottom"/>
          </w:tcPr>
          <w:p w14:paraId="71D445D7" w14:textId="77777777" w:rsidR="006A3667" w:rsidRDefault="006A3667">
            <w:pPr>
              <w:rPr>
                <w:rFonts w:ascii="宋体"/>
                <w:vanish/>
              </w:rPr>
            </w:pPr>
          </w:p>
        </w:tc>
        <w:tc>
          <w:tcPr>
            <w:tcW w:w="0" w:type="auto"/>
            <w:gridSpan w:val="3"/>
            <w:shd w:val="clear" w:color="auto" w:fill="auto"/>
            <w:vAlign w:val="bottom"/>
          </w:tcPr>
          <w:p w14:paraId="71D445D8" w14:textId="77777777" w:rsidR="006A3667" w:rsidRDefault="006A3667">
            <w:pPr>
              <w:rPr>
                <w:rFonts w:ascii="宋体"/>
                <w:vanish/>
              </w:rPr>
            </w:pPr>
          </w:p>
        </w:tc>
        <w:tc>
          <w:tcPr>
            <w:tcW w:w="0" w:type="auto"/>
            <w:gridSpan w:val="3"/>
            <w:shd w:val="clear" w:color="auto" w:fill="auto"/>
            <w:vAlign w:val="bottom"/>
          </w:tcPr>
          <w:p w14:paraId="71D445D9" w14:textId="77777777" w:rsidR="006A3667" w:rsidRDefault="006A3667">
            <w:pPr>
              <w:rPr>
                <w:rFonts w:ascii="宋体"/>
                <w:vanish/>
              </w:rPr>
            </w:pPr>
          </w:p>
        </w:tc>
        <w:tc>
          <w:tcPr>
            <w:tcW w:w="0" w:type="auto"/>
            <w:shd w:val="clear" w:color="auto" w:fill="auto"/>
            <w:vAlign w:val="bottom"/>
          </w:tcPr>
          <w:p w14:paraId="71D445DA" w14:textId="77777777" w:rsidR="006A3667" w:rsidRDefault="006A3667">
            <w:pPr>
              <w:rPr>
                <w:rFonts w:ascii="宋体"/>
                <w:vanish/>
              </w:rPr>
            </w:pPr>
          </w:p>
        </w:tc>
        <w:tc>
          <w:tcPr>
            <w:tcW w:w="0" w:type="auto"/>
            <w:shd w:val="clear" w:color="auto" w:fill="auto"/>
            <w:vAlign w:val="bottom"/>
          </w:tcPr>
          <w:p w14:paraId="71D445DB" w14:textId="77777777" w:rsidR="006A3667" w:rsidRDefault="006A3667">
            <w:pPr>
              <w:rPr>
                <w:rFonts w:ascii="宋体"/>
                <w:vanish/>
              </w:rPr>
            </w:pPr>
          </w:p>
        </w:tc>
        <w:tc>
          <w:tcPr>
            <w:tcW w:w="0" w:type="auto"/>
            <w:gridSpan w:val="3"/>
            <w:shd w:val="clear" w:color="auto" w:fill="auto"/>
            <w:vAlign w:val="bottom"/>
          </w:tcPr>
          <w:p w14:paraId="71D445DC" w14:textId="77777777" w:rsidR="006A3667" w:rsidRDefault="006A3667">
            <w:pPr>
              <w:rPr>
                <w:rFonts w:ascii="宋体"/>
                <w:vanish/>
              </w:rPr>
            </w:pPr>
          </w:p>
        </w:tc>
        <w:tc>
          <w:tcPr>
            <w:tcW w:w="0" w:type="auto"/>
            <w:gridSpan w:val="3"/>
            <w:shd w:val="clear" w:color="auto" w:fill="auto"/>
            <w:vAlign w:val="bottom"/>
          </w:tcPr>
          <w:p w14:paraId="71D445DD" w14:textId="77777777" w:rsidR="006A3667" w:rsidRDefault="006A3667">
            <w:pPr>
              <w:rPr>
                <w:rFonts w:ascii="宋体"/>
                <w:vanish/>
              </w:rPr>
            </w:pPr>
          </w:p>
        </w:tc>
        <w:tc>
          <w:tcPr>
            <w:tcW w:w="0" w:type="auto"/>
            <w:gridSpan w:val="3"/>
            <w:shd w:val="clear" w:color="auto" w:fill="auto"/>
            <w:vAlign w:val="bottom"/>
          </w:tcPr>
          <w:p w14:paraId="71D445DE" w14:textId="77777777" w:rsidR="006A3667" w:rsidRDefault="006A3667">
            <w:pPr>
              <w:rPr>
                <w:rFonts w:ascii="宋体"/>
                <w:vanish/>
              </w:rPr>
            </w:pPr>
          </w:p>
        </w:tc>
        <w:tc>
          <w:tcPr>
            <w:tcW w:w="0" w:type="auto"/>
            <w:gridSpan w:val="3"/>
            <w:shd w:val="clear" w:color="auto" w:fill="auto"/>
            <w:vAlign w:val="bottom"/>
          </w:tcPr>
          <w:p w14:paraId="71D445DF" w14:textId="77777777" w:rsidR="006A3667" w:rsidRDefault="006A3667">
            <w:pPr>
              <w:rPr>
                <w:rFonts w:ascii="宋体"/>
                <w:vanish/>
              </w:rPr>
            </w:pPr>
          </w:p>
        </w:tc>
        <w:tc>
          <w:tcPr>
            <w:tcW w:w="0" w:type="auto"/>
            <w:gridSpan w:val="3"/>
            <w:shd w:val="clear" w:color="auto" w:fill="auto"/>
            <w:vAlign w:val="bottom"/>
          </w:tcPr>
          <w:p w14:paraId="71D445E0" w14:textId="77777777" w:rsidR="006A3667" w:rsidRDefault="006A3667">
            <w:pPr>
              <w:rPr>
                <w:rFonts w:ascii="宋体"/>
                <w:vanish/>
              </w:rPr>
            </w:pPr>
          </w:p>
        </w:tc>
        <w:tc>
          <w:tcPr>
            <w:tcW w:w="0" w:type="auto"/>
            <w:gridSpan w:val="3"/>
            <w:shd w:val="clear" w:color="auto" w:fill="auto"/>
            <w:vAlign w:val="bottom"/>
          </w:tcPr>
          <w:p w14:paraId="71D445E1" w14:textId="77777777" w:rsidR="006A3667" w:rsidRDefault="006A3667">
            <w:pPr>
              <w:rPr>
                <w:rFonts w:ascii="宋体"/>
                <w:vanish/>
              </w:rPr>
            </w:pPr>
          </w:p>
        </w:tc>
        <w:tc>
          <w:tcPr>
            <w:tcW w:w="0" w:type="auto"/>
            <w:gridSpan w:val="3"/>
            <w:shd w:val="clear" w:color="auto" w:fill="auto"/>
            <w:vAlign w:val="bottom"/>
          </w:tcPr>
          <w:p w14:paraId="71D445E2" w14:textId="77777777" w:rsidR="006A3667" w:rsidRDefault="006A3667">
            <w:pPr>
              <w:rPr>
                <w:rFonts w:ascii="宋体"/>
                <w:vanish/>
              </w:rPr>
            </w:pPr>
          </w:p>
        </w:tc>
        <w:tc>
          <w:tcPr>
            <w:tcW w:w="0" w:type="auto"/>
            <w:gridSpan w:val="3"/>
            <w:shd w:val="clear" w:color="auto" w:fill="auto"/>
            <w:vAlign w:val="bottom"/>
          </w:tcPr>
          <w:p w14:paraId="71D445E3" w14:textId="77777777" w:rsidR="006A3667" w:rsidRDefault="006A3667">
            <w:pPr>
              <w:rPr>
                <w:rFonts w:ascii="宋体"/>
                <w:vanish/>
              </w:rPr>
            </w:pPr>
          </w:p>
        </w:tc>
        <w:tc>
          <w:tcPr>
            <w:tcW w:w="0" w:type="auto"/>
            <w:gridSpan w:val="3"/>
            <w:shd w:val="clear" w:color="auto" w:fill="auto"/>
            <w:vAlign w:val="bottom"/>
          </w:tcPr>
          <w:p w14:paraId="71D445E4" w14:textId="77777777" w:rsidR="006A3667" w:rsidRDefault="006A3667">
            <w:pPr>
              <w:rPr>
                <w:rFonts w:ascii="宋体"/>
                <w:vanish/>
              </w:rPr>
            </w:pPr>
          </w:p>
        </w:tc>
        <w:tc>
          <w:tcPr>
            <w:tcW w:w="0" w:type="auto"/>
            <w:gridSpan w:val="3"/>
            <w:shd w:val="clear" w:color="auto" w:fill="auto"/>
            <w:vAlign w:val="bottom"/>
          </w:tcPr>
          <w:p w14:paraId="71D445E5" w14:textId="77777777" w:rsidR="006A3667" w:rsidRDefault="006A3667">
            <w:pPr>
              <w:rPr>
                <w:rFonts w:ascii="宋体"/>
                <w:vanish/>
              </w:rPr>
            </w:pPr>
          </w:p>
        </w:tc>
        <w:tc>
          <w:tcPr>
            <w:tcW w:w="0" w:type="auto"/>
            <w:gridSpan w:val="2"/>
            <w:shd w:val="clear" w:color="auto" w:fill="auto"/>
            <w:vAlign w:val="bottom"/>
          </w:tcPr>
          <w:p w14:paraId="71D445E6" w14:textId="77777777" w:rsidR="006A3667" w:rsidRDefault="006A3667">
            <w:pPr>
              <w:rPr>
                <w:rFonts w:ascii="宋体"/>
                <w:vanish/>
              </w:rPr>
            </w:pPr>
          </w:p>
        </w:tc>
        <w:tc>
          <w:tcPr>
            <w:tcW w:w="0" w:type="auto"/>
            <w:shd w:val="clear" w:color="auto" w:fill="auto"/>
            <w:vAlign w:val="bottom"/>
          </w:tcPr>
          <w:p w14:paraId="71D445E7" w14:textId="77777777" w:rsidR="006A3667" w:rsidRDefault="006A3667">
            <w:pPr>
              <w:rPr>
                <w:rFonts w:ascii="宋体"/>
                <w:vanish/>
              </w:rPr>
            </w:pPr>
          </w:p>
        </w:tc>
      </w:tr>
      <w:tr w:rsidR="006A3667" w14:paraId="71D445FF" w14:textId="77777777">
        <w:tc>
          <w:tcPr>
            <w:tcW w:w="0" w:type="auto"/>
            <w:gridSpan w:val="3"/>
            <w:shd w:val="clear" w:color="auto" w:fill="auto"/>
            <w:tcMar>
              <w:top w:w="40" w:type="dxa"/>
              <w:left w:w="20" w:type="dxa"/>
              <w:bottom w:w="40" w:type="dxa"/>
              <w:right w:w="20" w:type="dxa"/>
            </w:tcMar>
            <w:vAlign w:val="center"/>
          </w:tcPr>
          <w:p w14:paraId="71D445E9" w14:textId="77777777" w:rsidR="006A3667" w:rsidRDefault="00045F32">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71D445E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E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E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E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E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E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0" w14:textId="77777777" w:rsidR="006A3667" w:rsidRDefault="006A3667">
            <w:pPr>
              <w:rPr>
                <w:rFonts w:ascii="宋体"/>
              </w:rPr>
            </w:pPr>
          </w:p>
        </w:tc>
        <w:tc>
          <w:tcPr>
            <w:tcW w:w="0" w:type="auto"/>
            <w:shd w:val="clear" w:color="auto" w:fill="auto"/>
            <w:vAlign w:val="bottom"/>
          </w:tcPr>
          <w:p w14:paraId="71D445F1" w14:textId="77777777" w:rsidR="006A3667" w:rsidRDefault="006A3667">
            <w:pPr>
              <w:rPr>
                <w:rFonts w:ascii="宋体"/>
                <w:vanish/>
              </w:rPr>
            </w:pPr>
          </w:p>
        </w:tc>
        <w:tc>
          <w:tcPr>
            <w:tcW w:w="0" w:type="auto"/>
            <w:shd w:val="clear" w:color="auto" w:fill="auto"/>
            <w:vAlign w:val="bottom"/>
          </w:tcPr>
          <w:p w14:paraId="71D445F2"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45F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5FC"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45FD" w14:textId="77777777" w:rsidR="006A3667" w:rsidRDefault="006A3667">
            <w:pPr>
              <w:rPr>
                <w:rFonts w:ascii="宋体"/>
              </w:rPr>
            </w:pPr>
          </w:p>
        </w:tc>
        <w:tc>
          <w:tcPr>
            <w:tcW w:w="0" w:type="auto"/>
            <w:shd w:val="clear" w:color="auto" w:fill="auto"/>
            <w:tcMar>
              <w:top w:w="0" w:type="dxa"/>
              <w:left w:w="20" w:type="dxa"/>
              <w:bottom w:w="0" w:type="dxa"/>
              <w:right w:w="20" w:type="dxa"/>
            </w:tcMar>
            <w:vAlign w:val="bottom"/>
          </w:tcPr>
          <w:p w14:paraId="71D445FE" w14:textId="77777777" w:rsidR="006A3667" w:rsidRDefault="006A3667">
            <w:pPr>
              <w:rPr>
                <w:rFonts w:ascii="宋体"/>
              </w:rPr>
            </w:pPr>
          </w:p>
        </w:tc>
      </w:tr>
      <w:tr w:rsidR="00045F32" w14:paraId="71D44628" w14:textId="77777777">
        <w:tc>
          <w:tcPr>
            <w:tcW w:w="0" w:type="auto"/>
            <w:gridSpan w:val="3"/>
            <w:shd w:val="clear" w:color="auto" w:fill="CCEEFF"/>
            <w:tcMar>
              <w:top w:w="40" w:type="dxa"/>
              <w:left w:w="155" w:type="dxa"/>
              <w:bottom w:w="40" w:type="dxa"/>
              <w:right w:w="20" w:type="dxa"/>
            </w:tcMar>
            <w:vAlign w:val="center"/>
          </w:tcPr>
          <w:p w14:paraId="71D44600" w14:textId="77777777" w:rsidR="006A3667" w:rsidRDefault="00045F32">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71D44601"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02" w14:textId="77777777" w:rsidR="006A3667" w:rsidRDefault="00045F32">
            <w:pPr>
              <w:jc w:val="right"/>
              <w:textAlignment w:val="center"/>
            </w:pPr>
            <w:r>
              <w:rPr>
                <w:rFonts w:ascii="Arial" w:eastAsia="宋体" w:hAnsi="Arial" w:cs="Arial"/>
                <w:color w:val="000000"/>
                <w:sz w:val="12"/>
                <w:szCs w:val="12"/>
              </w:rPr>
              <w:t>14 </w:t>
            </w:r>
          </w:p>
        </w:tc>
        <w:tc>
          <w:tcPr>
            <w:tcW w:w="0" w:type="auto"/>
            <w:shd w:val="clear" w:color="auto" w:fill="CCEEFF"/>
            <w:tcMar>
              <w:top w:w="40" w:type="dxa"/>
              <w:left w:w="0" w:type="dxa"/>
              <w:bottom w:w="40" w:type="dxa"/>
              <w:right w:w="20" w:type="dxa"/>
            </w:tcMar>
            <w:vAlign w:val="center"/>
          </w:tcPr>
          <w:p w14:paraId="71D4460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604"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605"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06"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6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608"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609"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0A"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6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60C"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60D"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0E" w14:textId="77777777" w:rsidR="006A3667" w:rsidRDefault="00045F32">
            <w:pPr>
              <w:jc w:val="right"/>
              <w:textAlignment w:val="center"/>
            </w:pPr>
            <w:r>
              <w:rPr>
                <w:rFonts w:ascii="Arial" w:eastAsia="宋体" w:hAnsi="Arial" w:cs="Arial"/>
                <w:color w:val="000000"/>
                <w:sz w:val="12"/>
                <w:szCs w:val="12"/>
              </w:rPr>
              <w:t>106 </w:t>
            </w:r>
          </w:p>
        </w:tc>
        <w:tc>
          <w:tcPr>
            <w:tcW w:w="0" w:type="auto"/>
            <w:shd w:val="clear" w:color="auto" w:fill="CCEEFF"/>
            <w:tcMar>
              <w:top w:w="40" w:type="dxa"/>
              <w:left w:w="0" w:type="dxa"/>
              <w:bottom w:w="40" w:type="dxa"/>
              <w:right w:w="20" w:type="dxa"/>
            </w:tcMar>
            <w:vAlign w:val="center"/>
          </w:tcPr>
          <w:p w14:paraId="71D4460F" w14:textId="77777777" w:rsidR="006A3667" w:rsidRDefault="006A3667">
            <w:pPr>
              <w:jc w:val="right"/>
              <w:rPr>
                <w:rFonts w:ascii="宋体"/>
              </w:rPr>
            </w:pPr>
          </w:p>
        </w:tc>
        <w:tc>
          <w:tcPr>
            <w:tcW w:w="0" w:type="auto"/>
            <w:shd w:val="clear" w:color="auto" w:fill="auto"/>
            <w:vAlign w:val="bottom"/>
          </w:tcPr>
          <w:p w14:paraId="71D44610" w14:textId="77777777" w:rsidR="006A3667" w:rsidRDefault="006A3667">
            <w:pPr>
              <w:rPr>
                <w:rFonts w:ascii="宋体"/>
                <w:vanish/>
              </w:rPr>
            </w:pPr>
          </w:p>
        </w:tc>
        <w:tc>
          <w:tcPr>
            <w:tcW w:w="0" w:type="auto"/>
            <w:shd w:val="clear" w:color="auto" w:fill="auto"/>
            <w:vAlign w:val="bottom"/>
          </w:tcPr>
          <w:p w14:paraId="71D44611"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612"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613"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14"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6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616"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617"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18"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61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61A"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61B"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1C"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6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61E"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61F"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20" w14:textId="77777777" w:rsidR="006A3667" w:rsidRDefault="00045F32">
            <w:pPr>
              <w:jc w:val="right"/>
              <w:textAlignment w:val="center"/>
            </w:pPr>
            <w:r>
              <w:rPr>
                <w:rFonts w:ascii="Arial" w:eastAsia="宋体" w:hAnsi="Arial" w:cs="Arial"/>
                <w:color w:val="000000"/>
                <w:sz w:val="12"/>
                <w:szCs w:val="12"/>
              </w:rPr>
              <w:t>(120)</w:t>
            </w:r>
          </w:p>
        </w:tc>
        <w:tc>
          <w:tcPr>
            <w:tcW w:w="0" w:type="auto"/>
            <w:shd w:val="clear" w:color="auto" w:fill="CCEEFF"/>
            <w:tcMar>
              <w:top w:w="40" w:type="dxa"/>
              <w:left w:w="0" w:type="dxa"/>
              <w:bottom w:w="40" w:type="dxa"/>
              <w:right w:w="20" w:type="dxa"/>
            </w:tcMar>
            <w:vAlign w:val="center"/>
          </w:tcPr>
          <w:p w14:paraId="71D4462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622"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623" w14:textId="77777777" w:rsidR="006A3667" w:rsidRDefault="00045F32">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71D44624"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625"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4626" w14:textId="77777777" w:rsidR="006A3667" w:rsidRDefault="006A3667">
            <w:pPr>
              <w:rPr>
                <w:rFonts w:ascii="宋体"/>
              </w:rPr>
            </w:pPr>
          </w:p>
        </w:tc>
        <w:tc>
          <w:tcPr>
            <w:tcW w:w="0" w:type="auto"/>
            <w:shd w:val="clear" w:color="auto" w:fill="CCEEFF"/>
            <w:tcMar>
              <w:top w:w="0" w:type="dxa"/>
              <w:left w:w="20" w:type="dxa"/>
              <w:bottom w:w="0" w:type="dxa"/>
              <w:right w:w="20" w:type="dxa"/>
            </w:tcMar>
            <w:vAlign w:val="bottom"/>
          </w:tcPr>
          <w:p w14:paraId="71D44627" w14:textId="77777777" w:rsidR="006A3667" w:rsidRDefault="006A3667">
            <w:pPr>
              <w:rPr>
                <w:rFonts w:ascii="宋体"/>
              </w:rPr>
            </w:pPr>
          </w:p>
        </w:tc>
      </w:tr>
      <w:tr w:rsidR="006A3667" w14:paraId="71D4463F" w14:textId="77777777">
        <w:trPr>
          <w:hidden/>
        </w:trPr>
        <w:tc>
          <w:tcPr>
            <w:tcW w:w="0" w:type="auto"/>
            <w:gridSpan w:val="3"/>
            <w:shd w:val="clear" w:color="auto" w:fill="auto"/>
            <w:vAlign w:val="bottom"/>
          </w:tcPr>
          <w:p w14:paraId="71D44629" w14:textId="77777777" w:rsidR="006A3667" w:rsidRDefault="006A3667">
            <w:pPr>
              <w:rPr>
                <w:rFonts w:ascii="宋体"/>
                <w:vanish/>
              </w:rPr>
            </w:pPr>
          </w:p>
        </w:tc>
        <w:tc>
          <w:tcPr>
            <w:tcW w:w="0" w:type="auto"/>
            <w:gridSpan w:val="3"/>
            <w:shd w:val="clear" w:color="auto" w:fill="auto"/>
            <w:vAlign w:val="bottom"/>
          </w:tcPr>
          <w:p w14:paraId="71D4462A" w14:textId="77777777" w:rsidR="006A3667" w:rsidRDefault="006A3667">
            <w:pPr>
              <w:rPr>
                <w:rFonts w:ascii="宋体"/>
                <w:vanish/>
              </w:rPr>
            </w:pPr>
          </w:p>
        </w:tc>
        <w:tc>
          <w:tcPr>
            <w:tcW w:w="0" w:type="auto"/>
            <w:gridSpan w:val="3"/>
            <w:shd w:val="clear" w:color="auto" w:fill="auto"/>
            <w:vAlign w:val="bottom"/>
          </w:tcPr>
          <w:p w14:paraId="71D4462B" w14:textId="77777777" w:rsidR="006A3667" w:rsidRDefault="006A3667">
            <w:pPr>
              <w:rPr>
                <w:rFonts w:ascii="宋体"/>
                <w:vanish/>
              </w:rPr>
            </w:pPr>
          </w:p>
        </w:tc>
        <w:tc>
          <w:tcPr>
            <w:tcW w:w="0" w:type="auto"/>
            <w:gridSpan w:val="3"/>
            <w:shd w:val="clear" w:color="auto" w:fill="auto"/>
            <w:vAlign w:val="bottom"/>
          </w:tcPr>
          <w:p w14:paraId="71D4462C" w14:textId="77777777" w:rsidR="006A3667" w:rsidRDefault="006A3667">
            <w:pPr>
              <w:rPr>
                <w:rFonts w:ascii="宋体"/>
                <w:vanish/>
              </w:rPr>
            </w:pPr>
          </w:p>
        </w:tc>
        <w:tc>
          <w:tcPr>
            <w:tcW w:w="0" w:type="auto"/>
            <w:gridSpan w:val="3"/>
            <w:shd w:val="clear" w:color="auto" w:fill="auto"/>
            <w:vAlign w:val="bottom"/>
          </w:tcPr>
          <w:p w14:paraId="71D4462D" w14:textId="77777777" w:rsidR="006A3667" w:rsidRDefault="006A3667">
            <w:pPr>
              <w:rPr>
                <w:rFonts w:ascii="宋体"/>
                <w:vanish/>
              </w:rPr>
            </w:pPr>
          </w:p>
        </w:tc>
        <w:tc>
          <w:tcPr>
            <w:tcW w:w="0" w:type="auto"/>
            <w:gridSpan w:val="3"/>
            <w:shd w:val="clear" w:color="auto" w:fill="auto"/>
            <w:vAlign w:val="bottom"/>
          </w:tcPr>
          <w:p w14:paraId="71D4462E" w14:textId="77777777" w:rsidR="006A3667" w:rsidRDefault="006A3667">
            <w:pPr>
              <w:rPr>
                <w:rFonts w:ascii="宋体"/>
                <w:vanish/>
              </w:rPr>
            </w:pPr>
          </w:p>
        </w:tc>
        <w:tc>
          <w:tcPr>
            <w:tcW w:w="0" w:type="auto"/>
            <w:gridSpan w:val="3"/>
            <w:shd w:val="clear" w:color="auto" w:fill="auto"/>
            <w:vAlign w:val="bottom"/>
          </w:tcPr>
          <w:p w14:paraId="71D4462F" w14:textId="77777777" w:rsidR="006A3667" w:rsidRDefault="006A3667">
            <w:pPr>
              <w:rPr>
                <w:rFonts w:ascii="宋体"/>
                <w:vanish/>
              </w:rPr>
            </w:pPr>
          </w:p>
        </w:tc>
        <w:tc>
          <w:tcPr>
            <w:tcW w:w="0" w:type="auto"/>
            <w:gridSpan w:val="3"/>
            <w:shd w:val="clear" w:color="auto" w:fill="auto"/>
            <w:vAlign w:val="bottom"/>
          </w:tcPr>
          <w:p w14:paraId="71D44630" w14:textId="77777777" w:rsidR="006A3667" w:rsidRDefault="006A3667">
            <w:pPr>
              <w:rPr>
                <w:rFonts w:ascii="宋体"/>
                <w:vanish/>
              </w:rPr>
            </w:pPr>
          </w:p>
        </w:tc>
        <w:tc>
          <w:tcPr>
            <w:tcW w:w="0" w:type="auto"/>
            <w:shd w:val="clear" w:color="auto" w:fill="auto"/>
            <w:vAlign w:val="bottom"/>
          </w:tcPr>
          <w:p w14:paraId="71D44631" w14:textId="77777777" w:rsidR="006A3667" w:rsidRDefault="006A3667">
            <w:pPr>
              <w:rPr>
                <w:rFonts w:ascii="宋体"/>
                <w:vanish/>
              </w:rPr>
            </w:pPr>
          </w:p>
        </w:tc>
        <w:tc>
          <w:tcPr>
            <w:tcW w:w="0" w:type="auto"/>
            <w:shd w:val="clear" w:color="auto" w:fill="auto"/>
            <w:vAlign w:val="bottom"/>
          </w:tcPr>
          <w:p w14:paraId="71D44632" w14:textId="77777777" w:rsidR="006A3667" w:rsidRDefault="006A3667">
            <w:pPr>
              <w:rPr>
                <w:rFonts w:ascii="宋体"/>
                <w:vanish/>
              </w:rPr>
            </w:pPr>
          </w:p>
        </w:tc>
        <w:tc>
          <w:tcPr>
            <w:tcW w:w="0" w:type="auto"/>
            <w:gridSpan w:val="3"/>
            <w:shd w:val="clear" w:color="auto" w:fill="auto"/>
            <w:vAlign w:val="bottom"/>
          </w:tcPr>
          <w:p w14:paraId="71D44633" w14:textId="77777777" w:rsidR="006A3667" w:rsidRDefault="006A3667">
            <w:pPr>
              <w:rPr>
                <w:rFonts w:ascii="宋体"/>
                <w:vanish/>
              </w:rPr>
            </w:pPr>
          </w:p>
        </w:tc>
        <w:tc>
          <w:tcPr>
            <w:tcW w:w="0" w:type="auto"/>
            <w:gridSpan w:val="3"/>
            <w:shd w:val="clear" w:color="auto" w:fill="auto"/>
            <w:vAlign w:val="bottom"/>
          </w:tcPr>
          <w:p w14:paraId="71D44634" w14:textId="77777777" w:rsidR="006A3667" w:rsidRDefault="006A3667">
            <w:pPr>
              <w:rPr>
                <w:rFonts w:ascii="宋体"/>
                <w:vanish/>
              </w:rPr>
            </w:pPr>
          </w:p>
        </w:tc>
        <w:tc>
          <w:tcPr>
            <w:tcW w:w="0" w:type="auto"/>
            <w:gridSpan w:val="3"/>
            <w:shd w:val="clear" w:color="auto" w:fill="auto"/>
            <w:vAlign w:val="bottom"/>
          </w:tcPr>
          <w:p w14:paraId="71D44635" w14:textId="77777777" w:rsidR="006A3667" w:rsidRDefault="006A3667">
            <w:pPr>
              <w:rPr>
                <w:rFonts w:ascii="宋体"/>
                <w:vanish/>
              </w:rPr>
            </w:pPr>
          </w:p>
        </w:tc>
        <w:tc>
          <w:tcPr>
            <w:tcW w:w="0" w:type="auto"/>
            <w:gridSpan w:val="3"/>
            <w:shd w:val="clear" w:color="auto" w:fill="auto"/>
            <w:vAlign w:val="bottom"/>
          </w:tcPr>
          <w:p w14:paraId="71D44636" w14:textId="77777777" w:rsidR="006A3667" w:rsidRDefault="006A3667">
            <w:pPr>
              <w:rPr>
                <w:rFonts w:ascii="宋体"/>
                <w:vanish/>
              </w:rPr>
            </w:pPr>
          </w:p>
        </w:tc>
        <w:tc>
          <w:tcPr>
            <w:tcW w:w="0" w:type="auto"/>
            <w:gridSpan w:val="3"/>
            <w:shd w:val="clear" w:color="auto" w:fill="auto"/>
            <w:vAlign w:val="bottom"/>
          </w:tcPr>
          <w:p w14:paraId="71D44637" w14:textId="77777777" w:rsidR="006A3667" w:rsidRDefault="006A3667">
            <w:pPr>
              <w:rPr>
                <w:rFonts w:ascii="宋体"/>
                <w:vanish/>
              </w:rPr>
            </w:pPr>
          </w:p>
        </w:tc>
        <w:tc>
          <w:tcPr>
            <w:tcW w:w="0" w:type="auto"/>
            <w:gridSpan w:val="3"/>
            <w:shd w:val="clear" w:color="auto" w:fill="auto"/>
            <w:vAlign w:val="bottom"/>
          </w:tcPr>
          <w:p w14:paraId="71D44638" w14:textId="77777777" w:rsidR="006A3667" w:rsidRDefault="006A3667">
            <w:pPr>
              <w:rPr>
                <w:rFonts w:ascii="宋体"/>
                <w:vanish/>
              </w:rPr>
            </w:pPr>
          </w:p>
        </w:tc>
        <w:tc>
          <w:tcPr>
            <w:tcW w:w="0" w:type="auto"/>
            <w:gridSpan w:val="3"/>
            <w:shd w:val="clear" w:color="auto" w:fill="auto"/>
            <w:vAlign w:val="bottom"/>
          </w:tcPr>
          <w:p w14:paraId="71D44639" w14:textId="77777777" w:rsidR="006A3667" w:rsidRDefault="006A3667">
            <w:pPr>
              <w:rPr>
                <w:rFonts w:ascii="宋体"/>
                <w:vanish/>
              </w:rPr>
            </w:pPr>
          </w:p>
        </w:tc>
        <w:tc>
          <w:tcPr>
            <w:tcW w:w="0" w:type="auto"/>
            <w:gridSpan w:val="3"/>
            <w:shd w:val="clear" w:color="auto" w:fill="auto"/>
            <w:vAlign w:val="bottom"/>
          </w:tcPr>
          <w:p w14:paraId="71D4463A" w14:textId="77777777" w:rsidR="006A3667" w:rsidRDefault="006A3667">
            <w:pPr>
              <w:rPr>
                <w:rFonts w:ascii="宋体"/>
                <w:vanish/>
              </w:rPr>
            </w:pPr>
          </w:p>
        </w:tc>
        <w:tc>
          <w:tcPr>
            <w:tcW w:w="0" w:type="auto"/>
            <w:gridSpan w:val="3"/>
            <w:shd w:val="clear" w:color="auto" w:fill="auto"/>
            <w:vAlign w:val="bottom"/>
          </w:tcPr>
          <w:p w14:paraId="71D4463B" w14:textId="77777777" w:rsidR="006A3667" w:rsidRDefault="006A3667">
            <w:pPr>
              <w:rPr>
                <w:rFonts w:ascii="宋体"/>
                <w:vanish/>
              </w:rPr>
            </w:pPr>
          </w:p>
        </w:tc>
        <w:tc>
          <w:tcPr>
            <w:tcW w:w="0" w:type="auto"/>
            <w:gridSpan w:val="3"/>
            <w:shd w:val="clear" w:color="auto" w:fill="auto"/>
            <w:vAlign w:val="bottom"/>
          </w:tcPr>
          <w:p w14:paraId="71D4463C" w14:textId="77777777" w:rsidR="006A3667" w:rsidRDefault="006A3667">
            <w:pPr>
              <w:rPr>
                <w:rFonts w:ascii="宋体"/>
                <w:vanish/>
              </w:rPr>
            </w:pPr>
          </w:p>
        </w:tc>
        <w:tc>
          <w:tcPr>
            <w:tcW w:w="0" w:type="auto"/>
            <w:gridSpan w:val="2"/>
            <w:shd w:val="clear" w:color="auto" w:fill="auto"/>
            <w:vAlign w:val="bottom"/>
          </w:tcPr>
          <w:p w14:paraId="71D4463D" w14:textId="77777777" w:rsidR="006A3667" w:rsidRDefault="006A3667">
            <w:pPr>
              <w:rPr>
                <w:rFonts w:ascii="宋体"/>
                <w:vanish/>
              </w:rPr>
            </w:pPr>
          </w:p>
        </w:tc>
        <w:tc>
          <w:tcPr>
            <w:tcW w:w="0" w:type="auto"/>
            <w:shd w:val="clear" w:color="auto" w:fill="auto"/>
            <w:vAlign w:val="bottom"/>
          </w:tcPr>
          <w:p w14:paraId="71D4463E" w14:textId="77777777" w:rsidR="006A3667" w:rsidRDefault="006A3667">
            <w:pPr>
              <w:rPr>
                <w:rFonts w:ascii="宋体"/>
                <w:vanish/>
              </w:rPr>
            </w:pPr>
          </w:p>
        </w:tc>
      </w:tr>
      <w:tr w:rsidR="006A3667" w14:paraId="71D4465F" w14:textId="77777777">
        <w:tc>
          <w:tcPr>
            <w:tcW w:w="0" w:type="auto"/>
            <w:gridSpan w:val="3"/>
            <w:shd w:val="clear" w:color="auto" w:fill="FFFFFF"/>
            <w:tcMar>
              <w:top w:w="40" w:type="dxa"/>
              <w:left w:w="20" w:type="dxa"/>
              <w:bottom w:w="40" w:type="dxa"/>
              <w:right w:w="20" w:type="dxa"/>
            </w:tcMar>
            <w:vAlign w:val="center"/>
          </w:tcPr>
          <w:p w14:paraId="71D44640" w14:textId="77777777" w:rsidR="006A3667" w:rsidRDefault="00045F32">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41" w14:textId="77777777" w:rsidR="006A3667" w:rsidRDefault="00045F32">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64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44"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64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47"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64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4A" w14:textId="77777777" w:rsidR="006A3667" w:rsidRDefault="00045F32">
            <w:pPr>
              <w:jc w:val="right"/>
              <w:textAlignment w:val="center"/>
            </w:pPr>
            <w:r>
              <w:rPr>
                <w:rFonts w:ascii="Arial" w:eastAsia="宋体" w:hAnsi="Arial" w:cs="Arial"/>
                <w:color w:val="000000"/>
                <w:sz w:val="12"/>
                <w:szCs w:val="12"/>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4B" w14:textId="77777777" w:rsidR="006A3667" w:rsidRDefault="006A3667">
            <w:pPr>
              <w:jc w:val="right"/>
              <w:rPr>
                <w:rFonts w:ascii="宋体"/>
              </w:rPr>
            </w:pPr>
          </w:p>
        </w:tc>
        <w:tc>
          <w:tcPr>
            <w:tcW w:w="0" w:type="auto"/>
            <w:shd w:val="clear" w:color="auto" w:fill="auto"/>
            <w:vAlign w:val="bottom"/>
          </w:tcPr>
          <w:p w14:paraId="71D4464C" w14:textId="77777777" w:rsidR="006A3667" w:rsidRDefault="006A3667">
            <w:pPr>
              <w:rPr>
                <w:rFonts w:ascii="宋体"/>
                <w:vanish/>
              </w:rPr>
            </w:pPr>
          </w:p>
        </w:tc>
        <w:tc>
          <w:tcPr>
            <w:tcW w:w="0" w:type="auto"/>
            <w:shd w:val="clear" w:color="auto" w:fill="auto"/>
            <w:vAlign w:val="bottom"/>
          </w:tcPr>
          <w:p w14:paraId="71D4464D"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464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4F"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5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65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52"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65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55"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65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58" w14:textId="77777777" w:rsidR="006A3667" w:rsidRDefault="00045F32">
            <w:pPr>
              <w:jc w:val="right"/>
              <w:textAlignment w:val="center"/>
            </w:pPr>
            <w:r>
              <w:rPr>
                <w:rFonts w:ascii="Arial" w:eastAsia="宋体" w:hAnsi="Arial" w:cs="Arial"/>
                <w:color w:val="000000"/>
                <w:sz w:val="12"/>
                <w:szCs w:val="12"/>
              </w:rPr>
              <w:t>(120)</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65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65B"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65C"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465D" w14:textId="77777777" w:rsidR="006A3667" w:rsidRDefault="006A3667">
            <w:pPr>
              <w:rPr>
                <w:rFonts w:ascii="宋体"/>
              </w:rPr>
            </w:pPr>
          </w:p>
        </w:tc>
        <w:tc>
          <w:tcPr>
            <w:tcW w:w="0" w:type="auto"/>
            <w:shd w:val="clear" w:color="auto" w:fill="FFFFFF"/>
            <w:tcMar>
              <w:top w:w="0" w:type="dxa"/>
              <w:left w:w="20" w:type="dxa"/>
              <w:bottom w:w="0" w:type="dxa"/>
              <w:right w:w="20" w:type="dxa"/>
            </w:tcMar>
            <w:vAlign w:val="bottom"/>
          </w:tcPr>
          <w:p w14:paraId="71D4465E" w14:textId="77777777" w:rsidR="006A3667" w:rsidRDefault="006A3667">
            <w:pPr>
              <w:rPr>
                <w:rFonts w:ascii="宋体"/>
              </w:rPr>
            </w:pPr>
          </w:p>
        </w:tc>
      </w:tr>
      <w:tr w:rsidR="006A3667" w14:paraId="71D44676" w14:textId="77777777">
        <w:trPr>
          <w:hidden/>
        </w:trPr>
        <w:tc>
          <w:tcPr>
            <w:tcW w:w="0" w:type="auto"/>
            <w:gridSpan w:val="3"/>
            <w:shd w:val="clear" w:color="auto" w:fill="auto"/>
            <w:vAlign w:val="bottom"/>
          </w:tcPr>
          <w:p w14:paraId="71D44660" w14:textId="77777777" w:rsidR="006A3667" w:rsidRDefault="006A3667">
            <w:pPr>
              <w:rPr>
                <w:rFonts w:ascii="宋体"/>
                <w:vanish/>
              </w:rPr>
            </w:pPr>
          </w:p>
        </w:tc>
        <w:tc>
          <w:tcPr>
            <w:tcW w:w="0" w:type="auto"/>
            <w:gridSpan w:val="3"/>
            <w:shd w:val="clear" w:color="auto" w:fill="auto"/>
            <w:vAlign w:val="bottom"/>
          </w:tcPr>
          <w:p w14:paraId="71D44661" w14:textId="77777777" w:rsidR="006A3667" w:rsidRDefault="006A3667">
            <w:pPr>
              <w:rPr>
                <w:rFonts w:ascii="宋体"/>
                <w:vanish/>
              </w:rPr>
            </w:pPr>
          </w:p>
        </w:tc>
        <w:tc>
          <w:tcPr>
            <w:tcW w:w="0" w:type="auto"/>
            <w:gridSpan w:val="3"/>
            <w:shd w:val="clear" w:color="auto" w:fill="auto"/>
            <w:vAlign w:val="bottom"/>
          </w:tcPr>
          <w:p w14:paraId="71D44662" w14:textId="77777777" w:rsidR="006A3667" w:rsidRDefault="006A3667">
            <w:pPr>
              <w:rPr>
                <w:rFonts w:ascii="宋体"/>
                <w:vanish/>
              </w:rPr>
            </w:pPr>
          </w:p>
        </w:tc>
        <w:tc>
          <w:tcPr>
            <w:tcW w:w="0" w:type="auto"/>
            <w:gridSpan w:val="3"/>
            <w:shd w:val="clear" w:color="auto" w:fill="auto"/>
            <w:vAlign w:val="bottom"/>
          </w:tcPr>
          <w:p w14:paraId="71D44663" w14:textId="77777777" w:rsidR="006A3667" w:rsidRDefault="006A3667">
            <w:pPr>
              <w:rPr>
                <w:rFonts w:ascii="宋体"/>
                <w:vanish/>
              </w:rPr>
            </w:pPr>
          </w:p>
        </w:tc>
        <w:tc>
          <w:tcPr>
            <w:tcW w:w="0" w:type="auto"/>
            <w:gridSpan w:val="3"/>
            <w:shd w:val="clear" w:color="auto" w:fill="auto"/>
            <w:vAlign w:val="bottom"/>
          </w:tcPr>
          <w:p w14:paraId="71D44664" w14:textId="77777777" w:rsidR="006A3667" w:rsidRDefault="006A3667">
            <w:pPr>
              <w:rPr>
                <w:rFonts w:ascii="宋体"/>
                <w:vanish/>
              </w:rPr>
            </w:pPr>
          </w:p>
        </w:tc>
        <w:tc>
          <w:tcPr>
            <w:tcW w:w="0" w:type="auto"/>
            <w:gridSpan w:val="3"/>
            <w:shd w:val="clear" w:color="auto" w:fill="auto"/>
            <w:vAlign w:val="bottom"/>
          </w:tcPr>
          <w:p w14:paraId="71D44665" w14:textId="77777777" w:rsidR="006A3667" w:rsidRDefault="006A3667">
            <w:pPr>
              <w:rPr>
                <w:rFonts w:ascii="宋体"/>
                <w:vanish/>
              </w:rPr>
            </w:pPr>
          </w:p>
        </w:tc>
        <w:tc>
          <w:tcPr>
            <w:tcW w:w="0" w:type="auto"/>
            <w:gridSpan w:val="3"/>
            <w:shd w:val="clear" w:color="auto" w:fill="auto"/>
            <w:vAlign w:val="bottom"/>
          </w:tcPr>
          <w:p w14:paraId="71D44666" w14:textId="77777777" w:rsidR="006A3667" w:rsidRDefault="006A3667">
            <w:pPr>
              <w:rPr>
                <w:rFonts w:ascii="宋体"/>
                <w:vanish/>
              </w:rPr>
            </w:pPr>
          </w:p>
        </w:tc>
        <w:tc>
          <w:tcPr>
            <w:tcW w:w="0" w:type="auto"/>
            <w:gridSpan w:val="3"/>
            <w:shd w:val="clear" w:color="auto" w:fill="auto"/>
            <w:vAlign w:val="bottom"/>
          </w:tcPr>
          <w:p w14:paraId="71D44667" w14:textId="77777777" w:rsidR="006A3667" w:rsidRDefault="006A3667">
            <w:pPr>
              <w:rPr>
                <w:rFonts w:ascii="宋体"/>
                <w:vanish/>
              </w:rPr>
            </w:pPr>
          </w:p>
        </w:tc>
        <w:tc>
          <w:tcPr>
            <w:tcW w:w="0" w:type="auto"/>
            <w:shd w:val="clear" w:color="auto" w:fill="auto"/>
            <w:vAlign w:val="bottom"/>
          </w:tcPr>
          <w:p w14:paraId="71D44668" w14:textId="77777777" w:rsidR="006A3667" w:rsidRDefault="006A3667">
            <w:pPr>
              <w:rPr>
                <w:rFonts w:ascii="宋体"/>
                <w:vanish/>
              </w:rPr>
            </w:pPr>
          </w:p>
        </w:tc>
        <w:tc>
          <w:tcPr>
            <w:tcW w:w="0" w:type="auto"/>
            <w:shd w:val="clear" w:color="auto" w:fill="auto"/>
            <w:vAlign w:val="bottom"/>
          </w:tcPr>
          <w:p w14:paraId="71D44669" w14:textId="77777777" w:rsidR="006A3667" w:rsidRDefault="006A3667">
            <w:pPr>
              <w:rPr>
                <w:rFonts w:ascii="宋体"/>
                <w:vanish/>
              </w:rPr>
            </w:pPr>
          </w:p>
        </w:tc>
        <w:tc>
          <w:tcPr>
            <w:tcW w:w="0" w:type="auto"/>
            <w:gridSpan w:val="3"/>
            <w:shd w:val="clear" w:color="auto" w:fill="auto"/>
            <w:vAlign w:val="bottom"/>
          </w:tcPr>
          <w:p w14:paraId="71D4466A" w14:textId="77777777" w:rsidR="006A3667" w:rsidRDefault="006A3667">
            <w:pPr>
              <w:rPr>
                <w:rFonts w:ascii="宋体"/>
                <w:vanish/>
              </w:rPr>
            </w:pPr>
          </w:p>
        </w:tc>
        <w:tc>
          <w:tcPr>
            <w:tcW w:w="0" w:type="auto"/>
            <w:gridSpan w:val="3"/>
            <w:shd w:val="clear" w:color="auto" w:fill="auto"/>
            <w:vAlign w:val="bottom"/>
          </w:tcPr>
          <w:p w14:paraId="71D4466B" w14:textId="77777777" w:rsidR="006A3667" w:rsidRDefault="006A3667">
            <w:pPr>
              <w:rPr>
                <w:rFonts w:ascii="宋体"/>
                <w:vanish/>
              </w:rPr>
            </w:pPr>
          </w:p>
        </w:tc>
        <w:tc>
          <w:tcPr>
            <w:tcW w:w="0" w:type="auto"/>
            <w:gridSpan w:val="3"/>
            <w:shd w:val="clear" w:color="auto" w:fill="auto"/>
            <w:vAlign w:val="bottom"/>
          </w:tcPr>
          <w:p w14:paraId="71D4466C" w14:textId="77777777" w:rsidR="006A3667" w:rsidRDefault="006A3667">
            <w:pPr>
              <w:rPr>
                <w:rFonts w:ascii="宋体"/>
                <w:vanish/>
              </w:rPr>
            </w:pPr>
          </w:p>
        </w:tc>
        <w:tc>
          <w:tcPr>
            <w:tcW w:w="0" w:type="auto"/>
            <w:gridSpan w:val="3"/>
            <w:shd w:val="clear" w:color="auto" w:fill="auto"/>
            <w:vAlign w:val="bottom"/>
          </w:tcPr>
          <w:p w14:paraId="71D4466D" w14:textId="77777777" w:rsidR="006A3667" w:rsidRDefault="006A3667">
            <w:pPr>
              <w:rPr>
                <w:rFonts w:ascii="宋体"/>
                <w:vanish/>
              </w:rPr>
            </w:pPr>
          </w:p>
        </w:tc>
        <w:tc>
          <w:tcPr>
            <w:tcW w:w="0" w:type="auto"/>
            <w:gridSpan w:val="3"/>
            <w:shd w:val="clear" w:color="auto" w:fill="auto"/>
            <w:vAlign w:val="bottom"/>
          </w:tcPr>
          <w:p w14:paraId="71D4466E" w14:textId="77777777" w:rsidR="006A3667" w:rsidRDefault="006A3667">
            <w:pPr>
              <w:rPr>
                <w:rFonts w:ascii="宋体"/>
                <w:vanish/>
              </w:rPr>
            </w:pPr>
          </w:p>
        </w:tc>
        <w:tc>
          <w:tcPr>
            <w:tcW w:w="0" w:type="auto"/>
            <w:gridSpan w:val="3"/>
            <w:shd w:val="clear" w:color="auto" w:fill="auto"/>
            <w:vAlign w:val="bottom"/>
          </w:tcPr>
          <w:p w14:paraId="71D4466F" w14:textId="77777777" w:rsidR="006A3667" w:rsidRDefault="006A3667">
            <w:pPr>
              <w:rPr>
                <w:rFonts w:ascii="宋体"/>
                <w:vanish/>
              </w:rPr>
            </w:pPr>
          </w:p>
        </w:tc>
        <w:tc>
          <w:tcPr>
            <w:tcW w:w="0" w:type="auto"/>
            <w:gridSpan w:val="3"/>
            <w:shd w:val="clear" w:color="auto" w:fill="auto"/>
            <w:vAlign w:val="bottom"/>
          </w:tcPr>
          <w:p w14:paraId="71D44670" w14:textId="77777777" w:rsidR="006A3667" w:rsidRDefault="006A3667">
            <w:pPr>
              <w:rPr>
                <w:rFonts w:ascii="宋体"/>
                <w:vanish/>
              </w:rPr>
            </w:pPr>
          </w:p>
        </w:tc>
        <w:tc>
          <w:tcPr>
            <w:tcW w:w="0" w:type="auto"/>
            <w:gridSpan w:val="3"/>
            <w:shd w:val="clear" w:color="auto" w:fill="auto"/>
            <w:vAlign w:val="bottom"/>
          </w:tcPr>
          <w:p w14:paraId="71D44671" w14:textId="77777777" w:rsidR="006A3667" w:rsidRDefault="006A3667">
            <w:pPr>
              <w:rPr>
                <w:rFonts w:ascii="宋体"/>
                <w:vanish/>
              </w:rPr>
            </w:pPr>
          </w:p>
        </w:tc>
        <w:tc>
          <w:tcPr>
            <w:tcW w:w="0" w:type="auto"/>
            <w:gridSpan w:val="3"/>
            <w:shd w:val="clear" w:color="auto" w:fill="auto"/>
            <w:vAlign w:val="bottom"/>
          </w:tcPr>
          <w:p w14:paraId="71D44672" w14:textId="77777777" w:rsidR="006A3667" w:rsidRDefault="006A3667">
            <w:pPr>
              <w:rPr>
                <w:rFonts w:ascii="宋体"/>
                <w:vanish/>
              </w:rPr>
            </w:pPr>
          </w:p>
        </w:tc>
        <w:tc>
          <w:tcPr>
            <w:tcW w:w="0" w:type="auto"/>
            <w:gridSpan w:val="3"/>
            <w:shd w:val="clear" w:color="auto" w:fill="auto"/>
            <w:vAlign w:val="bottom"/>
          </w:tcPr>
          <w:p w14:paraId="71D44673" w14:textId="77777777" w:rsidR="006A3667" w:rsidRDefault="006A3667">
            <w:pPr>
              <w:rPr>
                <w:rFonts w:ascii="宋体"/>
                <w:vanish/>
              </w:rPr>
            </w:pPr>
          </w:p>
        </w:tc>
        <w:tc>
          <w:tcPr>
            <w:tcW w:w="0" w:type="auto"/>
            <w:gridSpan w:val="2"/>
            <w:shd w:val="clear" w:color="auto" w:fill="auto"/>
            <w:vAlign w:val="bottom"/>
          </w:tcPr>
          <w:p w14:paraId="71D44674" w14:textId="77777777" w:rsidR="006A3667" w:rsidRDefault="006A3667">
            <w:pPr>
              <w:rPr>
                <w:rFonts w:ascii="宋体"/>
                <w:vanish/>
              </w:rPr>
            </w:pPr>
          </w:p>
        </w:tc>
        <w:tc>
          <w:tcPr>
            <w:tcW w:w="0" w:type="auto"/>
            <w:shd w:val="clear" w:color="auto" w:fill="auto"/>
            <w:vAlign w:val="bottom"/>
          </w:tcPr>
          <w:p w14:paraId="71D44675" w14:textId="77777777" w:rsidR="006A3667" w:rsidRDefault="006A3667">
            <w:pPr>
              <w:rPr>
                <w:rFonts w:ascii="宋体"/>
                <w:vanish/>
              </w:rPr>
            </w:pPr>
          </w:p>
        </w:tc>
      </w:tr>
      <w:tr w:rsidR="006A3667" w14:paraId="71D4468D" w14:textId="77777777">
        <w:trPr>
          <w:hidden/>
        </w:trPr>
        <w:tc>
          <w:tcPr>
            <w:tcW w:w="0" w:type="auto"/>
            <w:gridSpan w:val="3"/>
            <w:shd w:val="clear" w:color="auto" w:fill="auto"/>
            <w:vAlign w:val="bottom"/>
          </w:tcPr>
          <w:p w14:paraId="71D44677" w14:textId="77777777" w:rsidR="006A3667" w:rsidRDefault="006A3667">
            <w:pPr>
              <w:rPr>
                <w:rFonts w:ascii="宋体"/>
                <w:vanish/>
              </w:rPr>
            </w:pPr>
          </w:p>
        </w:tc>
        <w:tc>
          <w:tcPr>
            <w:tcW w:w="0" w:type="auto"/>
            <w:gridSpan w:val="3"/>
            <w:shd w:val="clear" w:color="auto" w:fill="auto"/>
            <w:vAlign w:val="bottom"/>
          </w:tcPr>
          <w:p w14:paraId="71D44678" w14:textId="77777777" w:rsidR="006A3667" w:rsidRDefault="006A3667">
            <w:pPr>
              <w:rPr>
                <w:rFonts w:ascii="宋体"/>
                <w:vanish/>
              </w:rPr>
            </w:pPr>
          </w:p>
        </w:tc>
        <w:tc>
          <w:tcPr>
            <w:tcW w:w="0" w:type="auto"/>
            <w:gridSpan w:val="3"/>
            <w:shd w:val="clear" w:color="auto" w:fill="auto"/>
            <w:vAlign w:val="bottom"/>
          </w:tcPr>
          <w:p w14:paraId="71D44679" w14:textId="77777777" w:rsidR="006A3667" w:rsidRDefault="006A3667">
            <w:pPr>
              <w:rPr>
                <w:rFonts w:ascii="宋体"/>
                <w:vanish/>
              </w:rPr>
            </w:pPr>
          </w:p>
        </w:tc>
        <w:tc>
          <w:tcPr>
            <w:tcW w:w="0" w:type="auto"/>
            <w:gridSpan w:val="3"/>
            <w:shd w:val="clear" w:color="auto" w:fill="auto"/>
            <w:vAlign w:val="bottom"/>
          </w:tcPr>
          <w:p w14:paraId="71D4467A" w14:textId="77777777" w:rsidR="006A3667" w:rsidRDefault="006A3667">
            <w:pPr>
              <w:rPr>
                <w:rFonts w:ascii="宋体"/>
                <w:vanish/>
              </w:rPr>
            </w:pPr>
          </w:p>
        </w:tc>
        <w:tc>
          <w:tcPr>
            <w:tcW w:w="0" w:type="auto"/>
            <w:gridSpan w:val="3"/>
            <w:shd w:val="clear" w:color="auto" w:fill="auto"/>
            <w:vAlign w:val="bottom"/>
          </w:tcPr>
          <w:p w14:paraId="71D4467B" w14:textId="77777777" w:rsidR="006A3667" w:rsidRDefault="006A3667">
            <w:pPr>
              <w:rPr>
                <w:rFonts w:ascii="宋体"/>
                <w:vanish/>
              </w:rPr>
            </w:pPr>
          </w:p>
        </w:tc>
        <w:tc>
          <w:tcPr>
            <w:tcW w:w="0" w:type="auto"/>
            <w:gridSpan w:val="3"/>
            <w:shd w:val="clear" w:color="auto" w:fill="auto"/>
            <w:vAlign w:val="bottom"/>
          </w:tcPr>
          <w:p w14:paraId="71D4467C" w14:textId="77777777" w:rsidR="006A3667" w:rsidRDefault="006A3667">
            <w:pPr>
              <w:rPr>
                <w:rFonts w:ascii="宋体"/>
                <w:vanish/>
              </w:rPr>
            </w:pPr>
          </w:p>
        </w:tc>
        <w:tc>
          <w:tcPr>
            <w:tcW w:w="0" w:type="auto"/>
            <w:gridSpan w:val="3"/>
            <w:shd w:val="clear" w:color="auto" w:fill="auto"/>
            <w:vAlign w:val="bottom"/>
          </w:tcPr>
          <w:p w14:paraId="71D4467D" w14:textId="77777777" w:rsidR="006A3667" w:rsidRDefault="006A3667">
            <w:pPr>
              <w:rPr>
                <w:rFonts w:ascii="宋体"/>
                <w:vanish/>
              </w:rPr>
            </w:pPr>
          </w:p>
        </w:tc>
        <w:tc>
          <w:tcPr>
            <w:tcW w:w="0" w:type="auto"/>
            <w:gridSpan w:val="3"/>
            <w:shd w:val="clear" w:color="auto" w:fill="auto"/>
            <w:vAlign w:val="bottom"/>
          </w:tcPr>
          <w:p w14:paraId="71D4467E" w14:textId="77777777" w:rsidR="006A3667" w:rsidRDefault="006A3667">
            <w:pPr>
              <w:rPr>
                <w:rFonts w:ascii="宋体"/>
                <w:vanish/>
              </w:rPr>
            </w:pPr>
          </w:p>
        </w:tc>
        <w:tc>
          <w:tcPr>
            <w:tcW w:w="0" w:type="auto"/>
            <w:shd w:val="clear" w:color="auto" w:fill="auto"/>
            <w:vAlign w:val="bottom"/>
          </w:tcPr>
          <w:p w14:paraId="71D4467F" w14:textId="77777777" w:rsidR="006A3667" w:rsidRDefault="006A3667">
            <w:pPr>
              <w:rPr>
                <w:rFonts w:ascii="宋体"/>
                <w:vanish/>
              </w:rPr>
            </w:pPr>
          </w:p>
        </w:tc>
        <w:tc>
          <w:tcPr>
            <w:tcW w:w="0" w:type="auto"/>
            <w:shd w:val="clear" w:color="auto" w:fill="auto"/>
            <w:vAlign w:val="bottom"/>
          </w:tcPr>
          <w:p w14:paraId="71D44680" w14:textId="77777777" w:rsidR="006A3667" w:rsidRDefault="006A3667">
            <w:pPr>
              <w:rPr>
                <w:rFonts w:ascii="宋体"/>
                <w:vanish/>
              </w:rPr>
            </w:pPr>
          </w:p>
        </w:tc>
        <w:tc>
          <w:tcPr>
            <w:tcW w:w="0" w:type="auto"/>
            <w:gridSpan w:val="3"/>
            <w:shd w:val="clear" w:color="auto" w:fill="auto"/>
            <w:vAlign w:val="bottom"/>
          </w:tcPr>
          <w:p w14:paraId="71D44681" w14:textId="77777777" w:rsidR="006A3667" w:rsidRDefault="006A3667">
            <w:pPr>
              <w:rPr>
                <w:rFonts w:ascii="宋体"/>
                <w:vanish/>
              </w:rPr>
            </w:pPr>
          </w:p>
        </w:tc>
        <w:tc>
          <w:tcPr>
            <w:tcW w:w="0" w:type="auto"/>
            <w:gridSpan w:val="3"/>
            <w:shd w:val="clear" w:color="auto" w:fill="auto"/>
            <w:vAlign w:val="bottom"/>
          </w:tcPr>
          <w:p w14:paraId="71D44682" w14:textId="77777777" w:rsidR="006A3667" w:rsidRDefault="006A3667">
            <w:pPr>
              <w:rPr>
                <w:rFonts w:ascii="宋体"/>
                <w:vanish/>
              </w:rPr>
            </w:pPr>
          </w:p>
        </w:tc>
        <w:tc>
          <w:tcPr>
            <w:tcW w:w="0" w:type="auto"/>
            <w:gridSpan w:val="3"/>
            <w:shd w:val="clear" w:color="auto" w:fill="auto"/>
            <w:vAlign w:val="bottom"/>
          </w:tcPr>
          <w:p w14:paraId="71D44683" w14:textId="77777777" w:rsidR="006A3667" w:rsidRDefault="006A3667">
            <w:pPr>
              <w:rPr>
                <w:rFonts w:ascii="宋体"/>
                <w:vanish/>
              </w:rPr>
            </w:pPr>
          </w:p>
        </w:tc>
        <w:tc>
          <w:tcPr>
            <w:tcW w:w="0" w:type="auto"/>
            <w:gridSpan w:val="3"/>
            <w:shd w:val="clear" w:color="auto" w:fill="auto"/>
            <w:vAlign w:val="bottom"/>
          </w:tcPr>
          <w:p w14:paraId="71D44684" w14:textId="77777777" w:rsidR="006A3667" w:rsidRDefault="006A3667">
            <w:pPr>
              <w:rPr>
                <w:rFonts w:ascii="宋体"/>
                <w:vanish/>
              </w:rPr>
            </w:pPr>
          </w:p>
        </w:tc>
        <w:tc>
          <w:tcPr>
            <w:tcW w:w="0" w:type="auto"/>
            <w:gridSpan w:val="3"/>
            <w:shd w:val="clear" w:color="auto" w:fill="auto"/>
            <w:vAlign w:val="bottom"/>
          </w:tcPr>
          <w:p w14:paraId="71D44685" w14:textId="77777777" w:rsidR="006A3667" w:rsidRDefault="006A3667">
            <w:pPr>
              <w:rPr>
                <w:rFonts w:ascii="宋体"/>
                <w:vanish/>
              </w:rPr>
            </w:pPr>
          </w:p>
        </w:tc>
        <w:tc>
          <w:tcPr>
            <w:tcW w:w="0" w:type="auto"/>
            <w:gridSpan w:val="3"/>
            <w:shd w:val="clear" w:color="auto" w:fill="auto"/>
            <w:vAlign w:val="bottom"/>
          </w:tcPr>
          <w:p w14:paraId="71D44686" w14:textId="77777777" w:rsidR="006A3667" w:rsidRDefault="006A3667">
            <w:pPr>
              <w:rPr>
                <w:rFonts w:ascii="宋体"/>
                <w:vanish/>
              </w:rPr>
            </w:pPr>
          </w:p>
        </w:tc>
        <w:tc>
          <w:tcPr>
            <w:tcW w:w="0" w:type="auto"/>
            <w:gridSpan w:val="3"/>
            <w:shd w:val="clear" w:color="auto" w:fill="auto"/>
            <w:vAlign w:val="bottom"/>
          </w:tcPr>
          <w:p w14:paraId="71D44687" w14:textId="77777777" w:rsidR="006A3667" w:rsidRDefault="006A3667">
            <w:pPr>
              <w:rPr>
                <w:rFonts w:ascii="宋体"/>
                <w:vanish/>
              </w:rPr>
            </w:pPr>
          </w:p>
        </w:tc>
        <w:tc>
          <w:tcPr>
            <w:tcW w:w="0" w:type="auto"/>
            <w:gridSpan w:val="3"/>
            <w:shd w:val="clear" w:color="auto" w:fill="auto"/>
            <w:vAlign w:val="bottom"/>
          </w:tcPr>
          <w:p w14:paraId="71D44688" w14:textId="77777777" w:rsidR="006A3667" w:rsidRDefault="006A3667">
            <w:pPr>
              <w:rPr>
                <w:rFonts w:ascii="宋体"/>
                <w:vanish/>
              </w:rPr>
            </w:pPr>
          </w:p>
        </w:tc>
        <w:tc>
          <w:tcPr>
            <w:tcW w:w="0" w:type="auto"/>
            <w:gridSpan w:val="3"/>
            <w:shd w:val="clear" w:color="auto" w:fill="auto"/>
            <w:vAlign w:val="bottom"/>
          </w:tcPr>
          <w:p w14:paraId="71D44689" w14:textId="77777777" w:rsidR="006A3667" w:rsidRDefault="006A3667">
            <w:pPr>
              <w:rPr>
                <w:rFonts w:ascii="宋体"/>
                <w:vanish/>
              </w:rPr>
            </w:pPr>
          </w:p>
        </w:tc>
        <w:tc>
          <w:tcPr>
            <w:tcW w:w="0" w:type="auto"/>
            <w:gridSpan w:val="3"/>
            <w:shd w:val="clear" w:color="auto" w:fill="auto"/>
            <w:vAlign w:val="bottom"/>
          </w:tcPr>
          <w:p w14:paraId="71D4468A" w14:textId="77777777" w:rsidR="006A3667" w:rsidRDefault="006A3667">
            <w:pPr>
              <w:rPr>
                <w:rFonts w:ascii="宋体"/>
                <w:vanish/>
              </w:rPr>
            </w:pPr>
          </w:p>
        </w:tc>
        <w:tc>
          <w:tcPr>
            <w:tcW w:w="0" w:type="auto"/>
            <w:gridSpan w:val="2"/>
            <w:shd w:val="clear" w:color="auto" w:fill="auto"/>
            <w:vAlign w:val="bottom"/>
          </w:tcPr>
          <w:p w14:paraId="71D4468B" w14:textId="77777777" w:rsidR="006A3667" w:rsidRDefault="006A3667">
            <w:pPr>
              <w:rPr>
                <w:rFonts w:ascii="宋体"/>
                <w:vanish/>
              </w:rPr>
            </w:pPr>
          </w:p>
        </w:tc>
        <w:tc>
          <w:tcPr>
            <w:tcW w:w="0" w:type="auto"/>
            <w:shd w:val="clear" w:color="auto" w:fill="auto"/>
            <w:vAlign w:val="bottom"/>
          </w:tcPr>
          <w:p w14:paraId="71D4468C" w14:textId="77777777" w:rsidR="006A3667" w:rsidRDefault="006A3667">
            <w:pPr>
              <w:rPr>
                <w:rFonts w:ascii="宋体"/>
                <w:vanish/>
              </w:rPr>
            </w:pPr>
          </w:p>
        </w:tc>
      </w:tr>
      <w:tr w:rsidR="006A3667" w14:paraId="71D446A4" w14:textId="77777777">
        <w:trPr>
          <w:hidden/>
        </w:trPr>
        <w:tc>
          <w:tcPr>
            <w:tcW w:w="0" w:type="auto"/>
            <w:gridSpan w:val="3"/>
            <w:shd w:val="clear" w:color="auto" w:fill="auto"/>
            <w:vAlign w:val="bottom"/>
          </w:tcPr>
          <w:p w14:paraId="71D4468E" w14:textId="77777777" w:rsidR="006A3667" w:rsidRDefault="006A3667">
            <w:pPr>
              <w:rPr>
                <w:rFonts w:ascii="宋体"/>
                <w:vanish/>
              </w:rPr>
            </w:pPr>
          </w:p>
        </w:tc>
        <w:tc>
          <w:tcPr>
            <w:tcW w:w="0" w:type="auto"/>
            <w:gridSpan w:val="3"/>
            <w:shd w:val="clear" w:color="auto" w:fill="auto"/>
            <w:vAlign w:val="bottom"/>
          </w:tcPr>
          <w:p w14:paraId="71D4468F" w14:textId="77777777" w:rsidR="006A3667" w:rsidRDefault="006A3667">
            <w:pPr>
              <w:rPr>
                <w:rFonts w:ascii="宋体"/>
                <w:vanish/>
              </w:rPr>
            </w:pPr>
          </w:p>
        </w:tc>
        <w:tc>
          <w:tcPr>
            <w:tcW w:w="0" w:type="auto"/>
            <w:gridSpan w:val="3"/>
            <w:shd w:val="clear" w:color="auto" w:fill="auto"/>
            <w:vAlign w:val="bottom"/>
          </w:tcPr>
          <w:p w14:paraId="71D44690" w14:textId="77777777" w:rsidR="006A3667" w:rsidRDefault="006A3667">
            <w:pPr>
              <w:rPr>
                <w:rFonts w:ascii="宋体"/>
                <w:vanish/>
              </w:rPr>
            </w:pPr>
          </w:p>
        </w:tc>
        <w:tc>
          <w:tcPr>
            <w:tcW w:w="0" w:type="auto"/>
            <w:gridSpan w:val="3"/>
            <w:shd w:val="clear" w:color="auto" w:fill="auto"/>
            <w:vAlign w:val="bottom"/>
          </w:tcPr>
          <w:p w14:paraId="71D44691" w14:textId="77777777" w:rsidR="006A3667" w:rsidRDefault="006A3667">
            <w:pPr>
              <w:rPr>
                <w:rFonts w:ascii="宋体"/>
                <w:vanish/>
              </w:rPr>
            </w:pPr>
          </w:p>
        </w:tc>
        <w:tc>
          <w:tcPr>
            <w:tcW w:w="0" w:type="auto"/>
            <w:gridSpan w:val="3"/>
            <w:shd w:val="clear" w:color="auto" w:fill="auto"/>
            <w:vAlign w:val="bottom"/>
          </w:tcPr>
          <w:p w14:paraId="71D44692" w14:textId="77777777" w:rsidR="006A3667" w:rsidRDefault="006A3667">
            <w:pPr>
              <w:rPr>
                <w:rFonts w:ascii="宋体"/>
                <w:vanish/>
              </w:rPr>
            </w:pPr>
          </w:p>
        </w:tc>
        <w:tc>
          <w:tcPr>
            <w:tcW w:w="0" w:type="auto"/>
            <w:gridSpan w:val="3"/>
            <w:shd w:val="clear" w:color="auto" w:fill="auto"/>
            <w:vAlign w:val="bottom"/>
          </w:tcPr>
          <w:p w14:paraId="71D44693" w14:textId="77777777" w:rsidR="006A3667" w:rsidRDefault="006A3667">
            <w:pPr>
              <w:rPr>
                <w:rFonts w:ascii="宋体"/>
                <w:vanish/>
              </w:rPr>
            </w:pPr>
          </w:p>
        </w:tc>
        <w:tc>
          <w:tcPr>
            <w:tcW w:w="0" w:type="auto"/>
            <w:gridSpan w:val="3"/>
            <w:shd w:val="clear" w:color="auto" w:fill="auto"/>
            <w:vAlign w:val="bottom"/>
          </w:tcPr>
          <w:p w14:paraId="71D44694" w14:textId="77777777" w:rsidR="006A3667" w:rsidRDefault="006A3667">
            <w:pPr>
              <w:rPr>
                <w:rFonts w:ascii="宋体"/>
                <w:vanish/>
              </w:rPr>
            </w:pPr>
          </w:p>
        </w:tc>
        <w:tc>
          <w:tcPr>
            <w:tcW w:w="0" w:type="auto"/>
            <w:gridSpan w:val="3"/>
            <w:shd w:val="clear" w:color="auto" w:fill="auto"/>
            <w:vAlign w:val="bottom"/>
          </w:tcPr>
          <w:p w14:paraId="71D44695" w14:textId="77777777" w:rsidR="006A3667" w:rsidRDefault="006A3667">
            <w:pPr>
              <w:rPr>
                <w:rFonts w:ascii="宋体"/>
                <w:vanish/>
              </w:rPr>
            </w:pPr>
          </w:p>
        </w:tc>
        <w:tc>
          <w:tcPr>
            <w:tcW w:w="0" w:type="auto"/>
            <w:shd w:val="clear" w:color="auto" w:fill="auto"/>
            <w:vAlign w:val="bottom"/>
          </w:tcPr>
          <w:p w14:paraId="71D44696" w14:textId="77777777" w:rsidR="006A3667" w:rsidRDefault="006A3667">
            <w:pPr>
              <w:rPr>
                <w:rFonts w:ascii="宋体"/>
                <w:vanish/>
              </w:rPr>
            </w:pPr>
          </w:p>
        </w:tc>
        <w:tc>
          <w:tcPr>
            <w:tcW w:w="0" w:type="auto"/>
            <w:shd w:val="clear" w:color="auto" w:fill="auto"/>
            <w:vAlign w:val="bottom"/>
          </w:tcPr>
          <w:p w14:paraId="71D44697" w14:textId="77777777" w:rsidR="006A3667" w:rsidRDefault="006A3667">
            <w:pPr>
              <w:rPr>
                <w:rFonts w:ascii="宋体"/>
                <w:vanish/>
              </w:rPr>
            </w:pPr>
          </w:p>
        </w:tc>
        <w:tc>
          <w:tcPr>
            <w:tcW w:w="0" w:type="auto"/>
            <w:gridSpan w:val="3"/>
            <w:shd w:val="clear" w:color="auto" w:fill="auto"/>
            <w:vAlign w:val="bottom"/>
          </w:tcPr>
          <w:p w14:paraId="71D44698" w14:textId="77777777" w:rsidR="006A3667" w:rsidRDefault="006A3667">
            <w:pPr>
              <w:rPr>
                <w:rFonts w:ascii="宋体"/>
                <w:vanish/>
              </w:rPr>
            </w:pPr>
          </w:p>
        </w:tc>
        <w:tc>
          <w:tcPr>
            <w:tcW w:w="0" w:type="auto"/>
            <w:gridSpan w:val="3"/>
            <w:shd w:val="clear" w:color="auto" w:fill="auto"/>
            <w:vAlign w:val="bottom"/>
          </w:tcPr>
          <w:p w14:paraId="71D44699" w14:textId="77777777" w:rsidR="006A3667" w:rsidRDefault="006A3667">
            <w:pPr>
              <w:rPr>
                <w:rFonts w:ascii="宋体"/>
                <w:vanish/>
              </w:rPr>
            </w:pPr>
          </w:p>
        </w:tc>
        <w:tc>
          <w:tcPr>
            <w:tcW w:w="0" w:type="auto"/>
            <w:gridSpan w:val="3"/>
            <w:shd w:val="clear" w:color="auto" w:fill="auto"/>
            <w:vAlign w:val="bottom"/>
          </w:tcPr>
          <w:p w14:paraId="71D4469A" w14:textId="77777777" w:rsidR="006A3667" w:rsidRDefault="006A3667">
            <w:pPr>
              <w:rPr>
                <w:rFonts w:ascii="宋体"/>
                <w:vanish/>
              </w:rPr>
            </w:pPr>
          </w:p>
        </w:tc>
        <w:tc>
          <w:tcPr>
            <w:tcW w:w="0" w:type="auto"/>
            <w:gridSpan w:val="3"/>
            <w:shd w:val="clear" w:color="auto" w:fill="auto"/>
            <w:vAlign w:val="bottom"/>
          </w:tcPr>
          <w:p w14:paraId="71D4469B" w14:textId="77777777" w:rsidR="006A3667" w:rsidRDefault="006A3667">
            <w:pPr>
              <w:rPr>
                <w:rFonts w:ascii="宋体"/>
                <w:vanish/>
              </w:rPr>
            </w:pPr>
          </w:p>
        </w:tc>
        <w:tc>
          <w:tcPr>
            <w:tcW w:w="0" w:type="auto"/>
            <w:gridSpan w:val="3"/>
            <w:shd w:val="clear" w:color="auto" w:fill="auto"/>
            <w:vAlign w:val="bottom"/>
          </w:tcPr>
          <w:p w14:paraId="71D4469C" w14:textId="77777777" w:rsidR="006A3667" w:rsidRDefault="006A3667">
            <w:pPr>
              <w:rPr>
                <w:rFonts w:ascii="宋体"/>
                <w:vanish/>
              </w:rPr>
            </w:pPr>
          </w:p>
        </w:tc>
        <w:tc>
          <w:tcPr>
            <w:tcW w:w="0" w:type="auto"/>
            <w:gridSpan w:val="3"/>
            <w:shd w:val="clear" w:color="auto" w:fill="auto"/>
            <w:vAlign w:val="bottom"/>
          </w:tcPr>
          <w:p w14:paraId="71D4469D" w14:textId="77777777" w:rsidR="006A3667" w:rsidRDefault="006A3667">
            <w:pPr>
              <w:rPr>
                <w:rFonts w:ascii="宋体"/>
                <w:vanish/>
              </w:rPr>
            </w:pPr>
          </w:p>
        </w:tc>
        <w:tc>
          <w:tcPr>
            <w:tcW w:w="0" w:type="auto"/>
            <w:gridSpan w:val="3"/>
            <w:shd w:val="clear" w:color="auto" w:fill="auto"/>
            <w:vAlign w:val="bottom"/>
          </w:tcPr>
          <w:p w14:paraId="71D4469E" w14:textId="77777777" w:rsidR="006A3667" w:rsidRDefault="006A3667">
            <w:pPr>
              <w:rPr>
                <w:rFonts w:ascii="宋体"/>
                <w:vanish/>
              </w:rPr>
            </w:pPr>
          </w:p>
        </w:tc>
        <w:tc>
          <w:tcPr>
            <w:tcW w:w="0" w:type="auto"/>
            <w:gridSpan w:val="3"/>
            <w:shd w:val="clear" w:color="auto" w:fill="auto"/>
            <w:vAlign w:val="bottom"/>
          </w:tcPr>
          <w:p w14:paraId="71D4469F" w14:textId="77777777" w:rsidR="006A3667" w:rsidRDefault="006A3667">
            <w:pPr>
              <w:rPr>
                <w:rFonts w:ascii="宋体"/>
                <w:vanish/>
              </w:rPr>
            </w:pPr>
          </w:p>
        </w:tc>
        <w:tc>
          <w:tcPr>
            <w:tcW w:w="0" w:type="auto"/>
            <w:gridSpan w:val="3"/>
            <w:shd w:val="clear" w:color="auto" w:fill="auto"/>
            <w:vAlign w:val="bottom"/>
          </w:tcPr>
          <w:p w14:paraId="71D446A0" w14:textId="77777777" w:rsidR="006A3667" w:rsidRDefault="006A3667">
            <w:pPr>
              <w:rPr>
                <w:rFonts w:ascii="宋体"/>
                <w:vanish/>
              </w:rPr>
            </w:pPr>
          </w:p>
        </w:tc>
        <w:tc>
          <w:tcPr>
            <w:tcW w:w="0" w:type="auto"/>
            <w:gridSpan w:val="3"/>
            <w:shd w:val="clear" w:color="auto" w:fill="auto"/>
            <w:vAlign w:val="bottom"/>
          </w:tcPr>
          <w:p w14:paraId="71D446A1" w14:textId="77777777" w:rsidR="006A3667" w:rsidRDefault="006A3667">
            <w:pPr>
              <w:rPr>
                <w:rFonts w:ascii="宋体"/>
                <w:vanish/>
              </w:rPr>
            </w:pPr>
          </w:p>
        </w:tc>
        <w:tc>
          <w:tcPr>
            <w:tcW w:w="0" w:type="auto"/>
            <w:gridSpan w:val="2"/>
            <w:shd w:val="clear" w:color="auto" w:fill="auto"/>
            <w:vAlign w:val="bottom"/>
          </w:tcPr>
          <w:p w14:paraId="71D446A2" w14:textId="77777777" w:rsidR="006A3667" w:rsidRDefault="006A3667">
            <w:pPr>
              <w:rPr>
                <w:rFonts w:ascii="宋体"/>
                <w:vanish/>
              </w:rPr>
            </w:pPr>
          </w:p>
        </w:tc>
        <w:tc>
          <w:tcPr>
            <w:tcW w:w="0" w:type="auto"/>
            <w:shd w:val="clear" w:color="auto" w:fill="auto"/>
            <w:vAlign w:val="bottom"/>
          </w:tcPr>
          <w:p w14:paraId="71D446A3" w14:textId="77777777" w:rsidR="006A3667" w:rsidRDefault="006A3667">
            <w:pPr>
              <w:rPr>
                <w:rFonts w:ascii="宋体"/>
                <w:vanish/>
              </w:rPr>
            </w:pPr>
          </w:p>
        </w:tc>
      </w:tr>
      <w:tr w:rsidR="006A3667" w14:paraId="71D446BB" w14:textId="77777777">
        <w:trPr>
          <w:hidden/>
        </w:trPr>
        <w:tc>
          <w:tcPr>
            <w:tcW w:w="0" w:type="auto"/>
            <w:gridSpan w:val="3"/>
            <w:shd w:val="clear" w:color="auto" w:fill="auto"/>
            <w:vAlign w:val="bottom"/>
          </w:tcPr>
          <w:p w14:paraId="71D446A5" w14:textId="77777777" w:rsidR="006A3667" w:rsidRDefault="006A3667">
            <w:pPr>
              <w:rPr>
                <w:rFonts w:ascii="宋体"/>
                <w:vanish/>
              </w:rPr>
            </w:pPr>
          </w:p>
        </w:tc>
        <w:tc>
          <w:tcPr>
            <w:tcW w:w="0" w:type="auto"/>
            <w:gridSpan w:val="3"/>
            <w:shd w:val="clear" w:color="auto" w:fill="auto"/>
            <w:vAlign w:val="bottom"/>
          </w:tcPr>
          <w:p w14:paraId="71D446A6" w14:textId="77777777" w:rsidR="006A3667" w:rsidRDefault="006A3667">
            <w:pPr>
              <w:rPr>
                <w:rFonts w:ascii="宋体"/>
                <w:vanish/>
              </w:rPr>
            </w:pPr>
          </w:p>
        </w:tc>
        <w:tc>
          <w:tcPr>
            <w:tcW w:w="0" w:type="auto"/>
            <w:gridSpan w:val="3"/>
            <w:shd w:val="clear" w:color="auto" w:fill="auto"/>
            <w:vAlign w:val="bottom"/>
          </w:tcPr>
          <w:p w14:paraId="71D446A7" w14:textId="77777777" w:rsidR="006A3667" w:rsidRDefault="006A3667">
            <w:pPr>
              <w:rPr>
                <w:rFonts w:ascii="宋体"/>
                <w:vanish/>
              </w:rPr>
            </w:pPr>
          </w:p>
        </w:tc>
        <w:tc>
          <w:tcPr>
            <w:tcW w:w="0" w:type="auto"/>
            <w:gridSpan w:val="3"/>
            <w:shd w:val="clear" w:color="auto" w:fill="auto"/>
            <w:vAlign w:val="bottom"/>
          </w:tcPr>
          <w:p w14:paraId="71D446A8" w14:textId="77777777" w:rsidR="006A3667" w:rsidRDefault="006A3667">
            <w:pPr>
              <w:rPr>
                <w:rFonts w:ascii="宋体"/>
                <w:vanish/>
              </w:rPr>
            </w:pPr>
          </w:p>
        </w:tc>
        <w:tc>
          <w:tcPr>
            <w:tcW w:w="0" w:type="auto"/>
            <w:gridSpan w:val="3"/>
            <w:shd w:val="clear" w:color="auto" w:fill="auto"/>
            <w:vAlign w:val="bottom"/>
          </w:tcPr>
          <w:p w14:paraId="71D446A9" w14:textId="77777777" w:rsidR="006A3667" w:rsidRDefault="006A3667">
            <w:pPr>
              <w:rPr>
                <w:rFonts w:ascii="宋体"/>
                <w:vanish/>
              </w:rPr>
            </w:pPr>
          </w:p>
        </w:tc>
        <w:tc>
          <w:tcPr>
            <w:tcW w:w="0" w:type="auto"/>
            <w:gridSpan w:val="3"/>
            <w:shd w:val="clear" w:color="auto" w:fill="auto"/>
            <w:vAlign w:val="bottom"/>
          </w:tcPr>
          <w:p w14:paraId="71D446AA" w14:textId="77777777" w:rsidR="006A3667" w:rsidRDefault="006A3667">
            <w:pPr>
              <w:rPr>
                <w:rFonts w:ascii="宋体"/>
                <w:vanish/>
              </w:rPr>
            </w:pPr>
          </w:p>
        </w:tc>
        <w:tc>
          <w:tcPr>
            <w:tcW w:w="0" w:type="auto"/>
            <w:gridSpan w:val="3"/>
            <w:shd w:val="clear" w:color="auto" w:fill="auto"/>
            <w:vAlign w:val="bottom"/>
          </w:tcPr>
          <w:p w14:paraId="71D446AB" w14:textId="77777777" w:rsidR="006A3667" w:rsidRDefault="006A3667">
            <w:pPr>
              <w:rPr>
                <w:rFonts w:ascii="宋体"/>
                <w:vanish/>
              </w:rPr>
            </w:pPr>
          </w:p>
        </w:tc>
        <w:tc>
          <w:tcPr>
            <w:tcW w:w="0" w:type="auto"/>
            <w:gridSpan w:val="3"/>
            <w:shd w:val="clear" w:color="auto" w:fill="auto"/>
            <w:vAlign w:val="bottom"/>
          </w:tcPr>
          <w:p w14:paraId="71D446AC" w14:textId="77777777" w:rsidR="006A3667" w:rsidRDefault="006A3667">
            <w:pPr>
              <w:rPr>
                <w:rFonts w:ascii="宋体"/>
                <w:vanish/>
              </w:rPr>
            </w:pPr>
          </w:p>
        </w:tc>
        <w:tc>
          <w:tcPr>
            <w:tcW w:w="0" w:type="auto"/>
            <w:shd w:val="clear" w:color="auto" w:fill="auto"/>
            <w:vAlign w:val="bottom"/>
          </w:tcPr>
          <w:p w14:paraId="71D446AD" w14:textId="77777777" w:rsidR="006A3667" w:rsidRDefault="006A3667">
            <w:pPr>
              <w:rPr>
                <w:rFonts w:ascii="宋体"/>
                <w:vanish/>
              </w:rPr>
            </w:pPr>
          </w:p>
        </w:tc>
        <w:tc>
          <w:tcPr>
            <w:tcW w:w="0" w:type="auto"/>
            <w:shd w:val="clear" w:color="auto" w:fill="auto"/>
            <w:vAlign w:val="bottom"/>
          </w:tcPr>
          <w:p w14:paraId="71D446AE" w14:textId="77777777" w:rsidR="006A3667" w:rsidRDefault="006A3667">
            <w:pPr>
              <w:rPr>
                <w:rFonts w:ascii="宋体"/>
                <w:vanish/>
              </w:rPr>
            </w:pPr>
          </w:p>
        </w:tc>
        <w:tc>
          <w:tcPr>
            <w:tcW w:w="0" w:type="auto"/>
            <w:gridSpan w:val="3"/>
            <w:shd w:val="clear" w:color="auto" w:fill="auto"/>
            <w:vAlign w:val="bottom"/>
          </w:tcPr>
          <w:p w14:paraId="71D446AF" w14:textId="77777777" w:rsidR="006A3667" w:rsidRDefault="006A3667">
            <w:pPr>
              <w:rPr>
                <w:rFonts w:ascii="宋体"/>
                <w:vanish/>
              </w:rPr>
            </w:pPr>
          </w:p>
        </w:tc>
        <w:tc>
          <w:tcPr>
            <w:tcW w:w="0" w:type="auto"/>
            <w:gridSpan w:val="3"/>
            <w:shd w:val="clear" w:color="auto" w:fill="auto"/>
            <w:vAlign w:val="bottom"/>
          </w:tcPr>
          <w:p w14:paraId="71D446B0" w14:textId="77777777" w:rsidR="006A3667" w:rsidRDefault="006A3667">
            <w:pPr>
              <w:rPr>
                <w:rFonts w:ascii="宋体"/>
                <w:vanish/>
              </w:rPr>
            </w:pPr>
          </w:p>
        </w:tc>
        <w:tc>
          <w:tcPr>
            <w:tcW w:w="0" w:type="auto"/>
            <w:gridSpan w:val="3"/>
            <w:shd w:val="clear" w:color="auto" w:fill="auto"/>
            <w:vAlign w:val="bottom"/>
          </w:tcPr>
          <w:p w14:paraId="71D446B1" w14:textId="77777777" w:rsidR="006A3667" w:rsidRDefault="006A3667">
            <w:pPr>
              <w:rPr>
                <w:rFonts w:ascii="宋体"/>
                <w:vanish/>
              </w:rPr>
            </w:pPr>
          </w:p>
        </w:tc>
        <w:tc>
          <w:tcPr>
            <w:tcW w:w="0" w:type="auto"/>
            <w:gridSpan w:val="3"/>
            <w:shd w:val="clear" w:color="auto" w:fill="auto"/>
            <w:vAlign w:val="bottom"/>
          </w:tcPr>
          <w:p w14:paraId="71D446B2" w14:textId="77777777" w:rsidR="006A3667" w:rsidRDefault="006A3667">
            <w:pPr>
              <w:rPr>
                <w:rFonts w:ascii="宋体"/>
                <w:vanish/>
              </w:rPr>
            </w:pPr>
          </w:p>
        </w:tc>
        <w:tc>
          <w:tcPr>
            <w:tcW w:w="0" w:type="auto"/>
            <w:gridSpan w:val="3"/>
            <w:shd w:val="clear" w:color="auto" w:fill="auto"/>
            <w:vAlign w:val="bottom"/>
          </w:tcPr>
          <w:p w14:paraId="71D446B3" w14:textId="77777777" w:rsidR="006A3667" w:rsidRDefault="006A3667">
            <w:pPr>
              <w:rPr>
                <w:rFonts w:ascii="宋体"/>
                <w:vanish/>
              </w:rPr>
            </w:pPr>
          </w:p>
        </w:tc>
        <w:tc>
          <w:tcPr>
            <w:tcW w:w="0" w:type="auto"/>
            <w:gridSpan w:val="3"/>
            <w:shd w:val="clear" w:color="auto" w:fill="auto"/>
            <w:vAlign w:val="bottom"/>
          </w:tcPr>
          <w:p w14:paraId="71D446B4" w14:textId="77777777" w:rsidR="006A3667" w:rsidRDefault="006A3667">
            <w:pPr>
              <w:rPr>
                <w:rFonts w:ascii="宋体"/>
                <w:vanish/>
              </w:rPr>
            </w:pPr>
          </w:p>
        </w:tc>
        <w:tc>
          <w:tcPr>
            <w:tcW w:w="0" w:type="auto"/>
            <w:gridSpan w:val="3"/>
            <w:shd w:val="clear" w:color="auto" w:fill="auto"/>
            <w:vAlign w:val="bottom"/>
          </w:tcPr>
          <w:p w14:paraId="71D446B5" w14:textId="77777777" w:rsidR="006A3667" w:rsidRDefault="006A3667">
            <w:pPr>
              <w:rPr>
                <w:rFonts w:ascii="宋体"/>
                <w:vanish/>
              </w:rPr>
            </w:pPr>
          </w:p>
        </w:tc>
        <w:tc>
          <w:tcPr>
            <w:tcW w:w="0" w:type="auto"/>
            <w:gridSpan w:val="3"/>
            <w:shd w:val="clear" w:color="auto" w:fill="auto"/>
            <w:vAlign w:val="bottom"/>
          </w:tcPr>
          <w:p w14:paraId="71D446B6" w14:textId="77777777" w:rsidR="006A3667" w:rsidRDefault="006A3667">
            <w:pPr>
              <w:rPr>
                <w:rFonts w:ascii="宋体"/>
                <w:vanish/>
              </w:rPr>
            </w:pPr>
          </w:p>
        </w:tc>
        <w:tc>
          <w:tcPr>
            <w:tcW w:w="0" w:type="auto"/>
            <w:gridSpan w:val="3"/>
            <w:shd w:val="clear" w:color="auto" w:fill="auto"/>
            <w:vAlign w:val="bottom"/>
          </w:tcPr>
          <w:p w14:paraId="71D446B7" w14:textId="77777777" w:rsidR="006A3667" w:rsidRDefault="006A3667">
            <w:pPr>
              <w:rPr>
                <w:rFonts w:ascii="宋体"/>
                <w:vanish/>
              </w:rPr>
            </w:pPr>
          </w:p>
        </w:tc>
        <w:tc>
          <w:tcPr>
            <w:tcW w:w="0" w:type="auto"/>
            <w:gridSpan w:val="3"/>
            <w:shd w:val="clear" w:color="auto" w:fill="auto"/>
            <w:vAlign w:val="bottom"/>
          </w:tcPr>
          <w:p w14:paraId="71D446B8" w14:textId="77777777" w:rsidR="006A3667" w:rsidRDefault="006A3667">
            <w:pPr>
              <w:rPr>
                <w:rFonts w:ascii="宋体"/>
                <w:vanish/>
              </w:rPr>
            </w:pPr>
          </w:p>
        </w:tc>
        <w:tc>
          <w:tcPr>
            <w:tcW w:w="0" w:type="auto"/>
            <w:gridSpan w:val="2"/>
            <w:shd w:val="clear" w:color="auto" w:fill="auto"/>
            <w:vAlign w:val="bottom"/>
          </w:tcPr>
          <w:p w14:paraId="71D446B9" w14:textId="77777777" w:rsidR="006A3667" w:rsidRDefault="006A3667">
            <w:pPr>
              <w:rPr>
                <w:rFonts w:ascii="宋体"/>
                <w:vanish/>
              </w:rPr>
            </w:pPr>
          </w:p>
        </w:tc>
        <w:tc>
          <w:tcPr>
            <w:tcW w:w="0" w:type="auto"/>
            <w:shd w:val="clear" w:color="auto" w:fill="auto"/>
            <w:vAlign w:val="bottom"/>
          </w:tcPr>
          <w:p w14:paraId="71D446BA" w14:textId="77777777" w:rsidR="006A3667" w:rsidRDefault="006A3667">
            <w:pPr>
              <w:rPr>
                <w:rFonts w:ascii="宋体"/>
                <w:vanish/>
              </w:rPr>
            </w:pPr>
          </w:p>
        </w:tc>
      </w:tr>
      <w:tr w:rsidR="006A3667" w14:paraId="71D446D2" w14:textId="77777777">
        <w:trPr>
          <w:hidden/>
        </w:trPr>
        <w:tc>
          <w:tcPr>
            <w:tcW w:w="0" w:type="auto"/>
            <w:gridSpan w:val="3"/>
            <w:shd w:val="clear" w:color="auto" w:fill="auto"/>
            <w:vAlign w:val="bottom"/>
          </w:tcPr>
          <w:p w14:paraId="71D446BC" w14:textId="77777777" w:rsidR="006A3667" w:rsidRDefault="006A3667">
            <w:pPr>
              <w:rPr>
                <w:rFonts w:ascii="宋体"/>
                <w:vanish/>
              </w:rPr>
            </w:pPr>
          </w:p>
        </w:tc>
        <w:tc>
          <w:tcPr>
            <w:tcW w:w="0" w:type="auto"/>
            <w:gridSpan w:val="3"/>
            <w:shd w:val="clear" w:color="auto" w:fill="auto"/>
            <w:vAlign w:val="bottom"/>
          </w:tcPr>
          <w:p w14:paraId="71D446BD" w14:textId="77777777" w:rsidR="006A3667" w:rsidRDefault="006A3667">
            <w:pPr>
              <w:rPr>
                <w:rFonts w:ascii="宋体"/>
                <w:vanish/>
              </w:rPr>
            </w:pPr>
          </w:p>
        </w:tc>
        <w:tc>
          <w:tcPr>
            <w:tcW w:w="0" w:type="auto"/>
            <w:gridSpan w:val="3"/>
            <w:shd w:val="clear" w:color="auto" w:fill="auto"/>
            <w:vAlign w:val="bottom"/>
          </w:tcPr>
          <w:p w14:paraId="71D446BE" w14:textId="77777777" w:rsidR="006A3667" w:rsidRDefault="006A3667">
            <w:pPr>
              <w:rPr>
                <w:rFonts w:ascii="宋体"/>
                <w:vanish/>
              </w:rPr>
            </w:pPr>
          </w:p>
        </w:tc>
        <w:tc>
          <w:tcPr>
            <w:tcW w:w="0" w:type="auto"/>
            <w:gridSpan w:val="3"/>
            <w:shd w:val="clear" w:color="auto" w:fill="auto"/>
            <w:vAlign w:val="bottom"/>
          </w:tcPr>
          <w:p w14:paraId="71D446BF" w14:textId="77777777" w:rsidR="006A3667" w:rsidRDefault="006A3667">
            <w:pPr>
              <w:rPr>
                <w:rFonts w:ascii="宋体"/>
                <w:vanish/>
              </w:rPr>
            </w:pPr>
          </w:p>
        </w:tc>
        <w:tc>
          <w:tcPr>
            <w:tcW w:w="0" w:type="auto"/>
            <w:gridSpan w:val="3"/>
            <w:shd w:val="clear" w:color="auto" w:fill="auto"/>
            <w:vAlign w:val="bottom"/>
          </w:tcPr>
          <w:p w14:paraId="71D446C0" w14:textId="77777777" w:rsidR="006A3667" w:rsidRDefault="006A3667">
            <w:pPr>
              <w:rPr>
                <w:rFonts w:ascii="宋体"/>
                <w:vanish/>
              </w:rPr>
            </w:pPr>
          </w:p>
        </w:tc>
        <w:tc>
          <w:tcPr>
            <w:tcW w:w="0" w:type="auto"/>
            <w:gridSpan w:val="3"/>
            <w:shd w:val="clear" w:color="auto" w:fill="auto"/>
            <w:vAlign w:val="bottom"/>
          </w:tcPr>
          <w:p w14:paraId="71D446C1" w14:textId="77777777" w:rsidR="006A3667" w:rsidRDefault="006A3667">
            <w:pPr>
              <w:rPr>
                <w:rFonts w:ascii="宋体"/>
                <w:vanish/>
              </w:rPr>
            </w:pPr>
          </w:p>
        </w:tc>
        <w:tc>
          <w:tcPr>
            <w:tcW w:w="0" w:type="auto"/>
            <w:gridSpan w:val="3"/>
            <w:shd w:val="clear" w:color="auto" w:fill="auto"/>
            <w:vAlign w:val="bottom"/>
          </w:tcPr>
          <w:p w14:paraId="71D446C2" w14:textId="77777777" w:rsidR="006A3667" w:rsidRDefault="006A3667">
            <w:pPr>
              <w:rPr>
                <w:rFonts w:ascii="宋体"/>
                <w:vanish/>
              </w:rPr>
            </w:pPr>
          </w:p>
        </w:tc>
        <w:tc>
          <w:tcPr>
            <w:tcW w:w="0" w:type="auto"/>
            <w:gridSpan w:val="3"/>
            <w:shd w:val="clear" w:color="auto" w:fill="auto"/>
            <w:vAlign w:val="bottom"/>
          </w:tcPr>
          <w:p w14:paraId="71D446C3" w14:textId="77777777" w:rsidR="006A3667" w:rsidRDefault="006A3667">
            <w:pPr>
              <w:rPr>
                <w:rFonts w:ascii="宋体"/>
                <w:vanish/>
              </w:rPr>
            </w:pPr>
          </w:p>
        </w:tc>
        <w:tc>
          <w:tcPr>
            <w:tcW w:w="0" w:type="auto"/>
            <w:shd w:val="clear" w:color="auto" w:fill="auto"/>
            <w:vAlign w:val="bottom"/>
          </w:tcPr>
          <w:p w14:paraId="71D446C4" w14:textId="77777777" w:rsidR="006A3667" w:rsidRDefault="006A3667">
            <w:pPr>
              <w:rPr>
                <w:rFonts w:ascii="宋体"/>
                <w:vanish/>
              </w:rPr>
            </w:pPr>
          </w:p>
        </w:tc>
        <w:tc>
          <w:tcPr>
            <w:tcW w:w="0" w:type="auto"/>
            <w:shd w:val="clear" w:color="auto" w:fill="auto"/>
            <w:vAlign w:val="bottom"/>
          </w:tcPr>
          <w:p w14:paraId="71D446C5" w14:textId="77777777" w:rsidR="006A3667" w:rsidRDefault="006A3667">
            <w:pPr>
              <w:rPr>
                <w:rFonts w:ascii="宋体"/>
                <w:vanish/>
              </w:rPr>
            </w:pPr>
          </w:p>
        </w:tc>
        <w:tc>
          <w:tcPr>
            <w:tcW w:w="0" w:type="auto"/>
            <w:gridSpan w:val="3"/>
            <w:shd w:val="clear" w:color="auto" w:fill="auto"/>
            <w:vAlign w:val="bottom"/>
          </w:tcPr>
          <w:p w14:paraId="71D446C6" w14:textId="77777777" w:rsidR="006A3667" w:rsidRDefault="006A3667">
            <w:pPr>
              <w:rPr>
                <w:rFonts w:ascii="宋体"/>
                <w:vanish/>
              </w:rPr>
            </w:pPr>
          </w:p>
        </w:tc>
        <w:tc>
          <w:tcPr>
            <w:tcW w:w="0" w:type="auto"/>
            <w:gridSpan w:val="3"/>
            <w:shd w:val="clear" w:color="auto" w:fill="auto"/>
            <w:vAlign w:val="bottom"/>
          </w:tcPr>
          <w:p w14:paraId="71D446C7" w14:textId="77777777" w:rsidR="006A3667" w:rsidRDefault="006A3667">
            <w:pPr>
              <w:rPr>
                <w:rFonts w:ascii="宋体"/>
                <w:vanish/>
              </w:rPr>
            </w:pPr>
          </w:p>
        </w:tc>
        <w:tc>
          <w:tcPr>
            <w:tcW w:w="0" w:type="auto"/>
            <w:gridSpan w:val="3"/>
            <w:shd w:val="clear" w:color="auto" w:fill="auto"/>
            <w:vAlign w:val="bottom"/>
          </w:tcPr>
          <w:p w14:paraId="71D446C8" w14:textId="77777777" w:rsidR="006A3667" w:rsidRDefault="006A3667">
            <w:pPr>
              <w:rPr>
                <w:rFonts w:ascii="宋体"/>
                <w:vanish/>
              </w:rPr>
            </w:pPr>
          </w:p>
        </w:tc>
        <w:tc>
          <w:tcPr>
            <w:tcW w:w="0" w:type="auto"/>
            <w:gridSpan w:val="3"/>
            <w:shd w:val="clear" w:color="auto" w:fill="auto"/>
            <w:vAlign w:val="bottom"/>
          </w:tcPr>
          <w:p w14:paraId="71D446C9" w14:textId="77777777" w:rsidR="006A3667" w:rsidRDefault="006A3667">
            <w:pPr>
              <w:rPr>
                <w:rFonts w:ascii="宋体"/>
                <w:vanish/>
              </w:rPr>
            </w:pPr>
          </w:p>
        </w:tc>
        <w:tc>
          <w:tcPr>
            <w:tcW w:w="0" w:type="auto"/>
            <w:gridSpan w:val="3"/>
            <w:shd w:val="clear" w:color="auto" w:fill="auto"/>
            <w:vAlign w:val="bottom"/>
          </w:tcPr>
          <w:p w14:paraId="71D446CA" w14:textId="77777777" w:rsidR="006A3667" w:rsidRDefault="006A3667">
            <w:pPr>
              <w:rPr>
                <w:rFonts w:ascii="宋体"/>
                <w:vanish/>
              </w:rPr>
            </w:pPr>
          </w:p>
        </w:tc>
        <w:tc>
          <w:tcPr>
            <w:tcW w:w="0" w:type="auto"/>
            <w:gridSpan w:val="3"/>
            <w:shd w:val="clear" w:color="auto" w:fill="auto"/>
            <w:vAlign w:val="bottom"/>
          </w:tcPr>
          <w:p w14:paraId="71D446CB" w14:textId="77777777" w:rsidR="006A3667" w:rsidRDefault="006A3667">
            <w:pPr>
              <w:rPr>
                <w:rFonts w:ascii="宋体"/>
                <w:vanish/>
              </w:rPr>
            </w:pPr>
          </w:p>
        </w:tc>
        <w:tc>
          <w:tcPr>
            <w:tcW w:w="0" w:type="auto"/>
            <w:gridSpan w:val="3"/>
            <w:shd w:val="clear" w:color="auto" w:fill="auto"/>
            <w:vAlign w:val="bottom"/>
          </w:tcPr>
          <w:p w14:paraId="71D446CC" w14:textId="77777777" w:rsidR="006A3667" w:rsidRDefault="006A3667">
            <w:pPr>
              <w:rPr>
                <w:rFonts w:ascii="宋体"/>
                <w:vanish/>
              </w:rPr>
            </w:pPr>
          </w:p>
        </w:tc>
        <w:tc>
          <w:tcPr>
            <w:tcW w:w="0" w:type="auto"/>
            <w:gridSpan w:val="3"/>
            <w:shd w:val="clear" w:color="auto" w:fill="auto"/>
            <w:vAlign w:val="bottom"/>
          </w:tcPr>
          <w:p w14:paraId="71D446CD" w14:textId="77777777" w:rsidR="006A3667" w:rsidRDefault="006A3667">
            <w:pPr>
              <w:rPr>
                <w:rFonts w:ascii="宋体"/>
                <w:vanish/>
              </w:rPr>
            </w:pPr>
          </w:p>
        </w:tc>
        <w:tc>
          <w:tcPr>
            <w:tcW w:w="0" w:type="auto"/>
            <w:gridSpan w:val="3"/>
            <w:shd w:val="clear" w:color="auto" w:fill="auto"/>
            <w:vAlign w:val="bottom"/>
          </w:tcPr>
          <w:p w14:paraId="71D446CE" w14:textId="77777777" w:rsidR="006A3667" w:rsidRDefault="006A3667">
            <w:pPr>
              <w:rPr>
                <w:rFonts w:ascii="宋体"/>
                <w:vanish/>
              </w:rPr>
            </w:pPr>
          </w:p>
        </w:tc>
        <w:tc>
          <w:tcPr>
            <w:tcW w:w="0" w:type="auto"/>
            <w:gridSpan w:val="3"/>
            <w:shd w:val="clear" w:color="auto" w:fill="auto"/>
            <w:vAlign w:val="bottom"/>
          </w:tcPr>
          <w:p w14:paraId="71D446CF" w14:textId="77777777" w:rsidR="006A3667" w:rsidRDefault="006A3667">
            <w:pPr>
              <w:rPr>
                <w:rFonts w:ascii="宋体"/>
                <w:vanish/>
              </w:rPr>
            </w:pPr>
          </w:p>
        </w:tc>
        <w:tc>
          <w:tcPr>
            <w:tcW w:w="0" w:type="auto"/>
            <w:gridSpan w:val="2"/>
            <w:shd w:val="clear" w:color="auto" w:fill="auto"/>
            <w:vAlign w:val="bottom"/>
          </w:tcPr>
          <w:p w14:paraId="71D446D0" w14:textId="77777777" w:rsidR="006A3667" w:rsidRDefault="006A3667">
            <w:pPr>
              <w:rPr>
                <w:rFonts w:ascii="宋体"/>
                <w:vanish/>
              </w:rPr>
            </w:pPr>
          </w:p>
        </w:tc>
        <w:tc>
          <w:tcPr>
            <w:tcW w:w="0" w:type="auto"/>
            <w:shd w:val="clear" w:color="auto" w:fill="auto"/>
            <w:vAlign w:val="bottom"/>
          </w:tcPr>
          <w:p w14:paraId="71D446D1" w14:textId="77777777" w:rsidR="006A3667" w:rsidRDefault="006A3667">
            <w:pPr>
              <w:rPr>
                <w:rFonts w:ascii="宋体"/>
                <w:vanish/>
              </w:rPr>
            </w:pPr>
          </w:p>
        </w:tc>
      </w:tr>
      <w:tr w:rsidR="006A3667" w14:paraId="71D446E9" w14:textId="77777777">
        <w:trPr>
          <w:hidden/>
        </w:trPr>
        <w:tc>
          <w:tcPr>
            <w:tcW w:w="0" w:type="auto"/>
            <w:gridSpan w:val="3"/>
            <w:shd w:val="clear" w:color="auto" w:fill="auto"/>
            <w:vAlign w:val="bottom"/>
          </w:tcPr>
          <w:p w14:paraId="71D446D3" w14:textId="77777777" w:rsidR="006A3667" w:rsidRDefault="006A3667">
            <w:pPr>
              <w:rPr>
                <w:rFonts w:ascii="宋体"/>
                <w:vanish/>
              </w:rPr>
            </w:pPr>
          </w:p>
        </w:tc>
        <w:tc>
          <w:tcPr>
            <w:tcW w:w="0" w:type="auto"/>
            <w:gridSpan w:val="3"/>
            <w:shd w:val="clear" w:color="auto" w:fill="auto"/>
            <w:vAlign w:val="bottom"/>
          </w:tcPr>
          <w:p w14:paraId="71D446D4" w14:textId="77777777" w:rsidR="006A3667" w:rsidRDefault="006A3667">
            <w:pPr>
              <w:rPr>
                <w:rFonts w:ascii="宋体"/>
                <w:vanish/>
              </w:rPr>
            </w:pPr>
          </w:p>
        </w:tc>
        <w:tc>
          <w:tcPr>
            <w:tcW w:w="0" w:type="auto"/>
            <w:gridSpan w:val="3"/>
            <w:shd w:val="clear" w:color="auto" w:fill="auto"/>
            <w:vAlign w:val="bottom"/>
          </w:tcPr>
          <w:p w14:paraId="71D446D5" w14:textId="77777777" w:rsidR="006A3667" w:rsidRDefault="006A3667">
            <w:pPr>
              <w:rPr>
                <w:rFonts w:ascii="宋体"/>
                <w:vanish/>
              </w:rPr>
            </w:pPr>
          </w:p>
        </w:tc>
        <w:tc>
          <w:tcPr>
            <w:tcW w:w="0" w:type="auto"/>
            <w:gridSpan w:val="3"/>
            <w:shd w:val="clear" w:color="auto" w:fill="auto"/>
            <w:vAlign w:val="bottom"/>
          </w:tcPr>
          <w:p w14:paraId="71D446D6" w14:textId="77777777" w:rsidR="006A3667" w:rsidRDefault="006A3667">
            <w:pPr>
              <w:rPr>
                <w:rFonts w:ascii="宋体"/>
                <w:vanish/>
              </w:rPr>
            </w:pPr>
          </w:p>
        </w:tc>
        <w:tc>
          <w:tcPr>
            <w:tcW w:w="0" w:type="auto"/>
            <w:gridSpan w:val="3"/>
            <w:shd w:val="clear" w:color="auto" w:fill="auto"/>
            <w:vAlign w:val="bottom"/>
          </w:tcPr>
          <w:p w14:paraId="71D446D7" w14:textId="77777777" w:rsidR="006A3667" w:rsidRDefault="006A3667">
            <w:pPr>
              <w:rPr>
                <w:rFonts w:ascii="宋体"/>
                <w:vanish/>
              </w:rPr>
            </w:pPr>
          </w:p>
        </w:tc>
        <w:tc>
          <w:tcPr>
            <w:tcW w:w="0" w:type="auto"/>
            <w:gridSpan w:val="3"/>
            <w:shd w:val="clear" w:color="auto" w:fill="auto"/>
            <w:vAlign w:val="bottom"/>
          </w:tcPr>
          <w:p w14:paraId="71D446D8" w14:textId="77777777" w:rsidR="006A3667" w:rsidRDefault="006A3667">
            <w:pPr>
              <w:rPr>
                <w:rFonts w:ascii="宋体"/>
                <w:vanish/>
              </w:rPr>
            </w:pPr>
          </w:p>
        </w:tc>
        <w:tc>
          <w:tcPr>
            <w:tcW w:w="0" w:type="auto"/>
            <w:gridSpan w:val="3"/>
            <w:shd w:val="clear" w:color="auto" w:fill="auto"/>
            <w:vAlign w:val="bottom"/>
          </w:tcPr>
          <w:p w14:paraId="71D446D9" w14:textId="77777777" w:rsidR="006A3667" w:rsidRDefault="006A3667">
            <w:pPr>
              <w:rPr>
                <w:rFonts w:ascii="宋体"/>
                <w:vanish/>
              </w:rPr>
            </w:pPr>
          </w:p>
        </w:tc>
        <w:tc>
          <w:tcPr>
            <w:tcW w:w="0" w:type="auto"/>
            <w:gridSpan w:val="3"/>
            <w:shd w:val="clear" w:color="auto" w:fill="auto"/>
            <w:vAlign w:val="bottom"/>
          </w:tcPr>
          <w:p w14:paraId="71D446DA" w14:textId="77777777" w:rsidR="006A3667" w:rsidRDefault="006A3667">
            <w:pPr>
              <w:rPr>
                <w:rFonts w:ascii="宋体"/>
                <w:vanish/>
              </w:rPr>
            </w:pPr>
          </w:p>
        </w:tc>
        <w:tc>
          <w:tcPr>
            <w:tcW w:w="0" w:type="auto"/>
            <w:shd w:val="clear" w:color="auto" w:fill="auto"/>
            <w:vAlign w:val="bottom"/>
          </w:tcPr>
          <w:p w14:paraId="71D446DB" w14:textId="77777777" w:rsidR="006A3667" w:rsidRDefault="006A3667">
            <w:pPr>
              <w:rPr>
                <w:rFonts w:ascii="宋体"/>
                <w:vanish/>
              </w:rPr>
            </w:pPr>
          </w:p>
        </w:tc>
        <w:tc>
          <w:tcPr>
            <w:tcW w:w="0" w:type="auto"/>
            <w:shd w:val="clear" w:color="auto" w:fill="auto"/>
            <w:vAlign w:val="bottom"/>
          </w:tcPr>
          <w:p w14:paraId="71D446DC" w14:textId="77777777" w:rsidR="006A3667" w:rsidRDefault="006A3667">
            <w:pPr>
              <w:rPr>
                <w:rFonts w:ascii="宋体"/>
                <w:vanish/>
              </w:rPr>
            </w:pPr>
          </w:p>
        </w:tc>
        <w:tc>
          <w:tcPr>
            <w:tcW w:w="0" w:type="auto"/>
            <w:gridSpan w:val="3"/>
            <w:shd w:val="clear" w:color="auto" w:fill="auto"/>
            <w:vAlign w:val="bottom"/>
          </w:tcPr>
          <w:p w14:paraId="71D446DD" w14:textId="77777777" w:rsidR="006A3667" w:rsidRDefault="006A3667">
            <w:pPr>
              <w:rPr>
                <w:rFonts w:ascii="宋体"/>
                <w:vanish/>
              </w:rPr>
            </w:pPr>
          </w:p>
        </w:tc>
        <w:tc>
          <w:tcPr>
            <w:tcW w:w="0" w:type="auto"/>
            <w:gridSpan w:val="3"/>
            <w:shd w:val="clear" w:color="auto" w:fill="auto"/>
            <w:vAlign w:val="bottom"/>
          </w:tcPr>
          <w:p w14:paraId="71D446DE" w14:textId="77777777" w:rsidR="006A3667" w:rsidRDefault="006A3667">
            <w:pPr>
              <w:rPr>
                <w:rFonts w:ascii="宋体"/>
                <w:vanish/>
              </w:rPr>
            </w:pPr>
          </w:p>
        </w:tc>
        <w:tc>
          <w:tcPr>
            <w:tcW w:w="0" w:type="auto"/>
            <w:gridSpan w:val="3"/>
            <w:shd w:val="clear" w:color="auto" w:fill="auto"/>
            <w:vAlign w:val="bottom"/>
          </w:tcPr>
          <w:p w14:paraId="71D446DF" w14:textId="77777777" w:rsidR="006A3667" w:rsidRDefault="006A3667">
            <w:pPr>
              <w:rPr>
                <w:rFonts w:ascii="宋体"/>
                <w:vanish/>
              </w:rPr>
            </w:pPr>
          </w:p>
        </w:tc>
        <w:tc>
          <w:tcPr>
            <w:tcW w:w="0" w:type="auto"/>
            <w:gridSpan w:val="3"/>
            <w:shd w:val="clear" w:color="auto" w:fill="auto"/>
            <w:vAlign w:val="bottom"/>
          </w:tcPr>
          <w:p w14:paraId="71D446E0" w14:textId="77777777" w:rsidR="006A3667" w:rsidRDefault="006A3667">
            <w:pPr>
              <w:rPr>
                <w:rFonts w:ascii="宋体"/>
                <w:vanish/>
              </w:rPr>
            </w:pPr>
          </w:p>
        </w:tc>
        <w:tc>
          <w:tcPr>
            <w:tcW w:w="0" w:type="auto"/>
            <w:gridSpan w:val="3"/>
            <w:shd w:val="clear" w:color="auto" w:fill="auto"/>
            <w:vAlign w:val="bottom"/>
          </w:tcPr>
          <w:p w14:paraId="71D446E1" w14:textId="77777777" w:rsidR="006A3667" w:rsidRDefault="006A3667">
            <w:pPr>
              <w:rPr>
                <w:rFonts w:ascii="宋体"/>
                <w:vanish/>
              </w:rPr>
            </w:pPr>
          </w:p>
        </w:tc>
        <w:tc>
          <w:tcPr>
            <w:tcW w:w="0" w:type="auto"/>
            <w:gridSpan w:val="3"/>
            <w:shd w:val="clear" w:color="auto" w:fill="auto"/>
            <w:vAlign w:val="bottom"/>
          </w:tcPr>
          <w:p w14:paraId="71D446E2" w14:textId="77777777" w:rsidR="006A3667" w:rsidRDefault="006A3667">
            <w:pPr>
              <w:rPr>
                <w:rFonts w:ascii="宋体"/>
                <w:vanish/>
              </w:rPr>
            </w:pPr>
          </w:p>
        </w:tc>
        <w:tc>
          <w:tcPr>
            <w:tcW w:w="0" w:type="auto"/>
            <w:gridSpan w:val="3"/>
            <w:shd w:val="clear" w:color="auto" w:fill="auto"/>
            <w:vAlign w:val="bottom"/>
          </w:tcPr>
          <w:p w14:paraId="71D446E3" w14:textId="77777777" w:rsidR="006A3667" w:rsidRDefault="006A3667">
            <w:pPr>
              <w:rPr>
                <w:rFonts w:ascii="宋体"/>
                <w:vanish/>
              </w:rPr>
            </w:pPr>
          </w:p>
        </w:tc>
        <w:tc>
          <w:tcPr>
            <w:tcW w:w="0" w:type="auto"/>
            <w:gridSpan w:val="3"/>
            <w:shd w:val="clear" w:color="auto" w:fill="auto"/>
            <w:vAlign w:val="bottom"/>
          </w:tcPr>
          <w:p w14:paraId="71D446E4" w14:textId="77777777" w:rsidR="006A3667" w:rsidRDefault="006A3667">
            <w:pPr>
              <w:rPr>
                <w:rFonts w:ascii="宋体"/>
                <w:vanish/>
              </w:rPr>
            </w:pPr>
          </w:p>
        </w:tc>
        <w:tc>
          <w:tcPr>
            <w:tcW w:w="0" w:type="auto"/>
            <w:gridSpan w:val="3"/>
            <w:shd w:val="clear" w:color="auto" w:fill="auto"/>
            <w:vAlign w:val="bottom"/>
          </w:tcPr>
          <w:p w14:paraId="71D446E5" w14:textId="77777777" w:rsidR="006A3667" w:rsidRDefault="006A3667">
            <w:pPr>
              <w:rPr>
                <w:rFonts w:ascii="宋体"/>
                <w:vanish/>
              </w:rPr>
            </w:pPr>
          </w:p>
        </w:tc>
        <w:tc>
          <w:tcPr>
            <w:tcW w:w="0" w:type="auto"/>
            <w:gridSpan w:val="3"/>
            <w:shd w:val="clear" w:color="auto" w:fill="auto"/>
            <w:vAlign w:val="bottom"/>
          </w:tcPr>
          <w:p w14:paraId="71D446E6" w14:textId="77777777" w:rsidR="006A3667" w:rsidRDefault="006A3667">
            <w:pPr>
              <w:rPr>
                <w:rFonts w:ascii="宋体"/>
                <w:vanish/>
              </w:rPr>
            </w:pPr>
          </w:p>
        </w:tc>
        <w:tc>
          <w:tcPr>
            <w:tcW w:w="0" w:type="auto"/>
            <w:gridSpan w:val="2"/>
            <w:shd w:val="clear" w:color="auto" w:fill="auto"/>
            <w:vAlign w:val="bottom"/>
          </w:tcPr>
          <w:p w14:paraId="71D446E7" w14:textId="77777777" w:rsidR="006A3667" w:rsidRDefault="006A3667">
            <w:pPr>
              <w:rPr>
                <w:rFonts w:ascii="宋体"/>
                <w:vanish/>
              </w:rPr>
            </w:pPr>
          </w:p>
        </w:tc>
        <w:tc>
          <w:tcPr>
            <w:tcW w:w="0" w:type="auto"/>
            <w:shd w:val="clear" w:color="auto" w:fill="auto"/>
            <w:vAlign w:val="bottom"/>
          </w:tcPr>
          <w:p w14:paraId="71D446E8" w14:textId="77777777" w:rsidR="006A3667" w:rsidRDefault="006A3667">
            <w:pPr>
              <w:rPr>
                <w:rFonts w:ascii="宋体"/>
                <w:vanish/>
              </w:rPr>
            </w:pPr>
          </w:p>
        </w:tc>
      </w:tr>
      <w:tr w:rsidR="006A3667" w14:paraId="71D44700" w14:textId="77777777">
        <w:trPr>
          <w:hidden/>
        </w:trPr>
        <w:tc>
          <w:tcPr>
            <w:tcW w:w="0" w:type="auto"/>
            <w:gridSpan w:val="3"/>
            <w:shd w:val="clear" w:color="auto" w:fill="auto"/>
            <w:vAlign w:val="bottom"/>
          </w:tcPr>
          <w:p w14:paraId="71D446EA" w14:textId="77777777" w:rsidR="006A3667" w:rsidRDefault="006A3667">
            <w:pPr>
              <w:rPr>
                <w:rFonts w:ascii="宋体"/>
                <w:vanish/>
              </w:rPr>
            </w:pPr>
          </w:p>
        </w:tc>
        <w:tc>
          <w:tcPr>
            <w:tcW w:w="0" w:type="auto"/>
            <w:gridSpan w:val="3"/>
            <w:shd w:val="clear" w:color="auto" w:fill="auto"/>
            <w:vAlign w:val="bottom"/>
          </w:tcPr>
          <w:p w14:paraId="71D446EB" w14:textId="77777777" w:rsidR="006A3667" w:rsidRDefault="006A3667">
            <w:pPr>
              <w:rPr>
                <w:rFonts w:ascii="宋体"/>
                <w:vanish/>
              </w:rPr>
            </w:pPr>
          </w:p>
        </w:tc>
        <w:tc>
          <w:tcPr>
            <w:tcW w:w="0" w:type="auto"/>
            <w:gridSpan w:val="3"/>
            <w:shd w:val="clear" w:color="auto" w:fill="auto"/>
            <w:vAlign w:val="bottom"/>
          </w:tcPr>
          <w:p w14:paraId="71D446EC" w14:textId="77777777" w:rsidR="006A3667" w:rsidRDefault="006A3667">
            <w:pPr>
              <w:rPr>
                <w:rFonts w:ascii="宋体"/>
                <w:vanish/>
              </w:rPr>
            </w:pPr>
          </w:p>
        </w:tc>
        <w:tc>
          <w:tcPr>
            <w:tcW w:w="0" w:type="auto"/>
            <w:gridSpan w:val="3"/>
            <w:shd w:val="clear" w:color="auto" w:fill="auto"/>
            <w:vAlign w:val="bottom"/>
          </w:tcPr>
          <w:p w14:paraId="71D446ED" w14:textId="77777777" w:rsidR="006A3667" w:rsidRDefault="006A3667">
            <w:pPr>
              <w:rPr>
                <w:rFonts w:ascii="宋体"/>
                <w:vanish/>
              </w:rPr>
            </w:pPr>
          </w:p>
        </w:tc>
        <w:tc>
          <w:tcPr>
            <w:tcW w:w="0" w:type="auto"/>
            <w:gridSpan w:val="3"/>
            <w:shd w:val="clear" w:color="auto" w:fill="auto"/>
            <w:vAlign w:val="bottom"/>
          </w:tcPr>
          <w:p w14:paraId="71D446EE" w14:textId="77777777" w:rsidR="006A3667" w:rsidRDefault="006A3667">
            <w:pPr>
              <w:rPr>
                <w:rFonts w:ascii="宋体"/>
                <w:vanish/>
              </w:rPr>
            </w:pPr>
          </w:p>
        </w:tc>
        <w:tc>
          <w:tcPr>
            <w:tcW w:w="0" w:type="auto"/>
            <w:gridSpan w:val="3"/>
            <w:shd w:val="clear" w:color="auto" w:fill="auto"/>
            <w:vAlign w:val="bottom"/>
          </w:tcPr>
          <w:p w14:paraId="71D446EF" w14:textId="77777777" w:rsidR="006A3667" w:rsidRDefault="006A3667">
            <w:pPr>
              <w:rPr>
                <w:rFonts w:ascii="宋体"/>
                <w:vanish/>
              </w:rPr>
            </w:pPr>
          </w:p>
        </w:tc>
        <w:tc>
          <w:tcPr>
            <w:tcW w:w="0" w:type="auto"/>
            <w:gridSpan w:val="3"/>
            <w:shd w:val="clear" w:color="auto" w:fill="auto"/>
            <w:vAlign w:val="bottom"/>
          </w:tcPr>
          <w:p w14:paraId="71D446F0" w14:textId="77777777" w:rsidR="006A3667" w:rsidRDefault="006A3667">
            <w:pPr>
              <w:rPr>
                <w:rFonts w:ascii="宋体"/>
                <w:vanish/>
              </w:rPr>
            </w:pPr>
          </w:p>
        </w:tc>
        <w:tc>
          <w:tcPr>
            <w:tcW w:w="0" w:type="auto"/>
            <w:gridSpan w:val="3"/>
            <w:shd w:val="clear" w:color="auto" w:fill="auto"/>
            <w:vAlign w:val="bottom"/>
          </w:tcPr>
          <w:p w14:paraId="71D446F1" w14:textId="77777777" w:rsidR="006A3667" w:rsidRDefault="006A3667">
            <w:pPr>
              <w:rPr>
                <w:rFonts w:ascii="宋体"/>
                <w:vanish/>
              </w:rPr>
            </w:pPr>
          </w:p>
        </w:tc>
        <w:tc>
          <w:tcPr>
            <w:tcW w:w="0" w:type="auto"/>
            <w:shd w:val="clear" w:color="auto" w:fill="auto"/>
            <w:vAlign w:val="bottom"/>
          </w:tcPr>
          <w:p w14:paraId="71D446F2" w14:textId="77777777" w:rsidR="006A3667" w:rsidRDefault="006A3667">
            <w:pPr>
              <w:rPr>
                <w:rFonts w:ascii="宋体"/>
                <w:vanish/>
              </w:rPr>
            </w:pPr>
          </w:p>
        </w:tc>
        <w:tc>
          <w:tcPr>
            <w:tcW w:w="0" w:type="auto"/>
            <w:shd w:val="clear" w:color="auto" w:fill="auto"/>
            <w:vAlign w:val="bottom"/>
          </w:tcPr>
          <w:p w14:paraId="71D446F3" w14:textId="77777777" w:rsidR="006A3667" w:rsidRDefault="006A3667">
            <w:pPr>
              <w:rPr>
                <w:rFonts w:ascii="宋体"/>
                <w:vanish/>
              </w:rPr>
            </w:pPr>
          </w:p>
        </w:tc>
        <w:tc>
          <w:tcPr>
            <w:tcW w:w="0" w:type="auto"/>
            <w:gridSpan w:val="3"/>
            <w:shd w:val="clear" w:color="auto" w:fill="auto"/>
            <w:vAlign w:val="bottom"/>
          </w:tcPr>
          <w:p w14:paraId="71D446F4" w14:textId="77777777" w:rsidR="006A3667" w:rsidRDefault="006A3667">
            <w:pPr>
              <w:rPr>
                <w:rFonts w:ascii="宋体"/>
                <w:vanish/>
              </w:rPr>
            </w:pPr>
          </w:p>
        </w:tc>
        <w:tc>
          <w:tcPr>
            <w:tcW w:w="0" w:type="auto"/>
            <w:gridSpan w:val="3"/>
            <w:shd w:val="clear" w:color="auto" w:fill="auto"/>
            <w:vAlign w:val="bottom"/>
          </w:tcPr>
          <w:p w14:paraId="71D446F5" w14:textId="77777777" w:rsidR="006A3667" w:rsidRDefault="006A3667">
            <w:pPr>
              <w:rPr>
                <w:rFonts w:ascii="宋体"/>
                <w:vanish/>
              </w:rPr>
            </w:pPr>
          </w:p>
        </w:tc>
        <w:tc>
          <w:tcPr>
            <w:tcW w:w="0" w:type="auto"/>
            <w:gridSpan w:val="3"/>
            <w:shd w:val="clear" w:color="auto" w:fill="auto"/>
            <w:vAlign w:val="bottom"/>
          </w:tcPr>
          <w:p w14:paraId="71D446F6" w14:textId="77777777" w:rsidR="006A3667" w:rsidRDefault="006A3667">
            <w:pPr>
              <w:rPr>
                <w:rFonts w:ascii="宋体"/>
                <w:vanish/>
              </w:rPr>
            </w:pPr>
          </w:p>
        </w:tc>
        <w:tc>
          <w:tcPr>
            <w:tcW w:w="0" w:type="auto"/>
            <w:gridSpan w:val="3"/>
            <w:shd w:val="clear" w:color="auto" w:fill="auto"/>
            <w:vAlign w:val="bottom"/>
          </w:tcPr>
          <w:p w14:paraId="71D446F7" w14:textId="77777777" w:rsidR="006A3667" w:rsidRDefault="006A3667">
            <w:pPr>
              <w:rPr>
                <w:rFonts w:ascii="宋体"/>
                <w:vanish/>
              </w:rPr>
            </w:pPr>
          </w:p>
        </w:tc>
        <w:tc>
          <w:tcPr>
            <w:tcW w:w="0" w:type="auto"/>
            <w:gridSpan w:val="3"/>
            <w:shd w:val="clear" w:color="auto" w:fill="auto"/>
            <w:vAlign w:val="bottom"/>
          </w:tcPr>
          <w:p w14:paraId="71D446F8" w14:textId="77777777" w:rsidR="006A3667" w:rsidRDefault="006A3667">
            <w:pPr>
              <w:rPr>
                <w:rFonts w:ascii="宋体"/>
                <w:vanish/>
              </w:rPr>
            </w:pPr>
          </w:p>
        </w:tc>
        <w:tc>
          <w:tcPr>
            <w:tcW w:w="0" w:type="auto"/>
            <w:gridSpan w:val="3"/>
            <w:shd w:val="clear" w:color="auto" w:fill="auto"/>
            <w:vAlign w:val="bottom"/>
          </w:tcPr>
          <w:p w14:paraId="71D446F9" w14:textId="77777777" w:rsidR="006A3667" w:rsidRDefault="006A3667">
            <w:pPr>
              <w:rPr>
                <w:rFonts w:ascii="宋体"/>
                <w:vanish/>
              </w:rPr>
            </w:pPr>
          </w:p>
        </w:tc>
        <w:tc>
          <w:tcPr>
            <w:tcW w:w="0" w:type="auto"/>
            <w:gridSpan w:val="3"/>
            <w:shd w:val="clear" w:color="auto" w:fill="auto"/>
            <w:vAlign w:val="bottom"/>
          </w:tcPr>
          <w:p w14:paraId="71D446FA" w14:textId="77777777" w:rsidR="006A3667" w:rsidRDefault="006A3667">
            <w:pPr>
              <w:rPr>
                <w:rFonts w:ascii="宋体"/>
                <w:vanish/>
              </w:rPr>
            </w:pPr>
          </w:p>
        </w:tc>
        <w:tc>
          <w:tcPr>
            <w:tcW w:w="0" w:type="auto"/>
            <w:gridSpan w:val="3"/>
            <w:shd w:val="clear" w:color="auto" w:fill="auto"/>
            <w:vAlign w:val="bottom"/>
          </w:tcPr>
          <w:p w14:paraId="71D446FB" w14:textId="77777777" w:rsidR="006A3667" w:rsidRDefault="006A3667">
            <w:pPr>
              <w:rPr>
                <w:rFonts w:ascii="宋体"/>
                <w:vanish/>
              </w:rPr>
            </w:pPr>
          </w:p>
        </w:tc>
        <w:tc>
          <w:tcPr>
            <w:tcW w:w="0" w:type="auto"/>
            <w:gridSpan w:val="3"/>
            <w:shd w:val="clear" w:color="auto" w:fill="auto"/>
            <w:vAlign w:val="bottom"/>
          </w:tcPr>
          <w:p w14:paraId="71D446FC" w14:textId="77777777" w:rsidR="006A3667" w:rsidRDefault="006A3667">
            <w:pPr>
              <w:rPr>
                <w:rFonts w:ascii="宋体"/>
                <w:vanish/>
              </w:rPr>
            </w:pPr>
          </w:p>
        </w:tc>
        <w:tc>
          <w:tcPr>
            <w:tcW w:w="0" w:type="auto"/>
            <w:gridSpan w:val="3"/>
            <w:shd w:val="clear" w:color="auto" w:fill="auto"/>
            <w:vAlign w:val="bottom"/>
          </w:tcPr>
          <w:p w14:paraId="71D446FD" w14:textId="77777777" w:rsidR="006A3667" w:rsidRDefault="006A3667">
            <w:pPr>
              <w:rPr>
                <w:rFonts w:ascii="宋体"/>
                <w:vanish/>
              </w:rPr>
            </w:pPr>
          </w:p>
        </w:tc>
        <w:tc>
          <w:tcPr>
            <w:tcW w:w="0" w:type="auto"/>
            <w:gridSpan w:val="2"/>
            <w:shd w:val="clear" w:color="auto" w:fill="auto"/>
            <w:vAlign w:val="bottom"/>
          </w:tcPr>
          <w:p w14:paraId="71D446FE" w14:textId="77777777" w:rsidR="006A3667" w:rsidRDefault="006A3667">
            <w:pPr>
              <w:rPr>
                <w:rFonts w:ascii="宋体"/>
                <w:vanish/>
              </w:rPr>
            </w:pPr>
          </w:p>
        </w:tc>
        <w:tc>
          <w:tcPr>
            <w:tcW w:w="0" w:type="auto"/>
            <w:shd w:val="clear" w:color="auto" w:fill="auto"/>
            <w:vAlign w:val="bottom"/>
          </w:tcPr>
          <w:p w14:paraId="71D446FF" w14:textId="77777777" w:rsidR="006A3667" w:rsidRDefault="006A3667">
            <w:pPr>
              <w:rPr>
                <w:rFonts w:ascii="宋体"/>
                <w:vanish/>
              </w:rPr>
            </w:pPr>
          </w:p>
        </w:tc>
      </w:tr>
      <w:tr w:rsidR="006A3667" w14:paraId="71D44717" w14:textId="77777777">
        <w:trPr>
          <w:hidden/>
        </w:trPr>
        <w:tc>
          <w:tcPr>
            <w:tcW w:w="0" w:type="auto"/>
            <w:gridSpan w:val="3"/>
            <w:shd w:val="clear" w:color="auto" w:fill="auto"/>
            <w:vAlign w:val="bottom"/>
          </w:tcPr>
          <w:p w14:paraId="71D44701" w14:textId="77777777" w:rsidR="006A3667" w:rsidRDefault="006A3667">
            <w:pPr>
              <w:rPr>
                <w:rFonts w:ascii="宋体"/>
                <w:vanish/>
              </w:rPr>
            </w:pPr>
          </w:p>
        </w:tc>
        <w:tc>
          <w:tcPr>
            <w:tcW w:w="0" w:type="auto"/>
            <w:gridSpan w:val="3"/>
            <w:shd w:val="clear" w:color="auto" w:fill="auto"/>
            <w:vAlign w:val="bottom"/>
          </w:tcPr>
          <w:p w14:paraId="71D44702" w14:textId="77777777" w:rsidR="006A3667" w:rsidRDefault="006A3667">
            <w:pPr>
              <w:rPr>
                <w:rFonts w:ascii="宋体"/>
                <w:vanish/>
              </w:rPr>
            </w:pPr>
          </w:p>
        </w:tc>
        <w:tc>
          <w:tcPr>
            <w:tcW w:w="0" w:type="auto"/>
            <w:gridSpan w:val="3"/>
            <w:shd w:val="clear" w:color="auto" w:fill="auto"/>
            <w:vAlign w:val="bottom"/>
          </w:tcPr>
          <w:p w14:paraId="71D44703" w14:textId="77777777" w:rsidR="006A3667" w:rsidRDefault="006A3667">
            <w:pPr>
              <w:rPr>
                <w:rFonts w:ascii="宋体"/>
                <w:vanish/>
              </w:rPr>
            </w:pPr>
          </w:p>
        </w:tc>
        <w:tc>
          <w:tcPr>
            <w:tcW w:w="0" w:type="auto"/>
            <w:gridSpan w:val="3"/>
            <w:shd w:val="clear" w:color="auto" w:fill="auto"/>
            <w:vAlign w:val="bottom"/>
          </w:tcPr>
          <w:p w14:paraId="71D44704" w14:textId="77777777" w:rsidR="006A3667" w:rsidRDefault="006A3667">
            <w:pPr>
              <w:rPr>
                <w:rFonts w:ascii="宋体"/>
                <w:vanish/>
              </w:rPr>
            </w:pPr>
          </w:p>
        </w:tc>
        <w:tc>
          <w:tcPr>
            <w:tcW w:w="0" w:type="auto"/>
            <w:gridSpan w:val="3"/>
            <w:shd w:val="clear" w:color="auto" w:fill="auto"/>
            <w:vAlign w:val="bottom"/>
          </w:tcPr>
          <w:p w14:paraId="71D44705" w14:textId="77777777" w:rsidR="006A3667" w:rsidRDefault="006A3667">
            <w:pPr>
              <w:rPr>
                <w:rFonts w:ascii="宋体"/>
                <w:vanish/>
              </w:rPr>
            </w:pPr>
          </w:p>
        </w:tc>
        <w:tc>
          <w:tcPr>
            <w:tcW w:w="0" w:type="auto"/>
            <w:gridSpan w:val="3"/>
            <w:shd w:val="clear" w:color="auto" w:fill="auto"/>
            <w:vAlign w:val="bottom"/>
          </w:tcPr>
          <w:p w14:paraId="71D44706" w14:textId="77777777" w:rsidR="006A3667" w:rsidRDefault="006A3667">
            <w:pPr>
              <w:rPr>
                <w:rFonts w:ascii="宋体"/>
                <w:vanish/>
              </w:rPr>
            </w:pPr>
          </w:p>
        </w:tc>
        <w:tc>
          <w:tcPr>
            <w:tcW w:w="0" w:type="auto"/>
            <w:gridSpan w:val="3"/>
            <w:shd w:val="clear" w:color="auto" w:fill="auto"/>
            <w:vAlign w:val="bottom"/>
          </w:tcPr>
          <w:p w14:paraId="71D44707" w14:textId="77777777" w:rsidR="006A3667" w:rsidRDefault="006A3667">
            <w:pPr>
              <w:rPr>
                <w:rFonts w:ascii="宋体"/>
                <w:vanish/>
              </w:rPr>
            </w:pPr>
          </w:p>
        </w:tc>
        <w:tc>
          <w:tcPr>
            <w:tcW w:w="0" w:type="auto"/>
            <w:gridSpan w:val="3"/>
            <w:shd w:val="clear" w:color="auto" w:fill="auto"/>
            <w:vAlign w:val="bottom"/>
          </w:tcPr>
          <w:p w14:paraId="71D44708" w14:textId="77777777" w:rsidR="006A3667" w:rsidRDefault="006A3667">
            <w:pPr>
              <w:rPr>
                <w:rFonts w:ascii="宋体"/>
                <w:vanish/>
              </w:rPr>
            </w:pPr>
          </w:p>
        </w:tc>
        <w:tc>
          <w:tcPr>
            <w:tcW w:w="0" w:type="auto"/>
            <w:shd w:val="clear" w:color="auto" w:fill="auto"/>
            <w:vAlign w:val="bottom"/>
          </w:tcPr>
          <w:p w14:paraId="71D44709" w14:textId="77777777" w:rsidR="006A3667" w:rsidRDefault="006A3667">
            <w:pPr>
              <w:rPr>
                <w:rFonts w:ascii="宋体"/>
                <w:vanish/>
              </w:rPr>
            </w:pPr>
          </w:p>
        </w:tc>
        <w:tc>
          <w:tcPr>
            <w:tcW w:w="0" w:type="auto"/>
            <w:shd w:val="clear" w:color="auto" w:fill="auto"/>
            <w:vAlign w:val="bottom"/>
          </w:tcPr>
          <w:p w14:paraId="71D4470A" w14:textId="77777777" w:rsidR="006A3667" w:rsidRDefault="006A3667">
            <w:pPr>
              <w:rPr>
                <w:rFonts w:ascii="宋体"/>
                <w:vanish/>
              </w:rPr>
            </w:pPr>
          </w:p>
        </w:tc>
        <w:tc>
          <w:tcPr>
            <w:tcW w:w="0" w:type="auto"/>
            <w:gridSpan w:val="3"/>
            <w:shd w:val="clear" w:color="auto" w:fill="auto"/>
            <w:vAlign w:val="bottom"/>
          </w:tcPr>
          <w:p w14:paraId="71D4470B" w14:textId="77777777" w:rsidR="006A3667" w:rsidRDefault="006A3667">
            <w:pPr>
              <w:rPr>
                <w:rFonts w:ascii="宋体"/>
                <w:vanish/>
              </w:rPr>
            </w:pPr>
          </w:p>
        </w:tc>
        <w:tc>
          <w:tcPr>
            <w:tcW w:w="0" w:type="auto"/>
            <w:gridSpan w:val="3"/>
            <w:shd w:val="clear" w:color="auto" w:fill="auto"/>
            <w:vAlign w:val="bottom"/>
          </w:tcPr>
          <w:p w14:paraId="71D4470C" w14:textId="77777777" w:rsidR="006A3667" w:rsidRDefault="006A3667">
            <w:pPr>
              <w:rPr>
                <w:rFonts w:ascii="宋体"/>
                <w:vanish/>
              </w:rPr>
            </w:pPr>
          </w:p>
        </w:tc>
        <w:tc>
          <w:tcPr>
            <w:tcW w:w="0" w:type="auto"/>
            <w:gridSpan w:val="3"/>
            <w:shd w:val="clear" w:color="auto" w:fill="auto"/>
            <w:vAlign w:val="bottom"/>
          </w:tcPr>
          <w:p w14:paraId="71D4470D" w14:textId="77777777" w:rsidR="006A3667" w:rsidRDefault="006A3667">
            <w:pPr>
              <w:rPr>
                <w:rFonts w:ascii="宋体"/>
                <w:vanish/>
              </w:rPr>
            </w:pPr>
          </w:p>
        </w:tc>
        <w:tc>
          <w:tcPr>
            <w:tcW w:w="0" w:type="auto"/>
            <w:gridSpan w:val="3"/>
            <w:shd w:val="clear" w:color="auto" w:fill="auto"/>
            <w:vAlign w:val="bottom"/>
          </w:tcPr>
          <w:p w14:paraId="71D4470E" w14:textId="77777777" w:rsidR="006A3667" w:rsidRDefault="006A3667">
            <w:pPr>
              <w:rPr>
                <w:rFonts w:ascii="宋体"/>
                <w:vanish/>
              </w:rPr>
            </w:pPr>
          </w:p>
        </w:tc>
        <w:tc>
          <w:tcPr>
            <w:tcW w:w="0" w:type="auto"/>
            <w:gridSpan w:val="3"/>
            <w:shd w:val="clear" w:color="auto" w:fill="auto"/>
            <w:vAlign w:val="bottom"/>
          </w:tcPr>
          <w:p w14:paraId="71D4470F" w14:textId="77777777" w:rsidR="006A3667" w:rsidRDefault="006A3667">
            <w:pPr>
              <w:rPr>
                <w:rFonts w:ascii="宋体"/>
                <w:vanish/>
              </w:rPr>
            </w:pPr>
          </w:p>
        </w:tc>
        <w:tc>
          <w:tcPr>
            <w:tcW w:w="0" w:type="auto"/>
            <w:gridSpan w:val="3"/>
            <w:shd w:val="clear" w:color="auto" w:fill="auto"/>
            <w:vAlign w:val="bottom"/>
          </w:tcPr>
          <w:p w14:paraId="71D44710" w14:textId="77777777" w:rsidR="006A3667" w:rsidRDefault="006A3667">
            <w:pPr>
              <w:rPr>
                <w:rFonts w:ascii="宋体"/>
                <w:vanish/>
              </w:rPr>
            </w:pPr>
          </w:p>
        </w:tc>
        <w:tc>
          <w:tcPr>
            <w:tcW w:w="0" w:type="auto"/>
            <w:gridSpan w:val="3"/>
            <w:shd w:val="clear" w:color="auto" w:fill="auto"/>
            <w:vAlign w:val="bottom"/>
          </w:tcPr>
          <w:p w14:paraId="71D44711" w14:textId="77777777" w:rsidR="006A3667" w:rsidRDefault="006A3667">
            <w:pPr>
              <w:rPr>
                <w:rFonts w:ascii="宋体"/>
                <w:vanish/>
              </w:rPr>
            </w:pPr>
          </w:p>
        </w:tc>
        <w:tc>
          <w:tcPr>
            <w:tcW w:w="0" w:type="auto"/>
            <w:gridSpan w:val="3"/>
            <w:shd w:val="clear" w:color="auto" w:fill="auto"/>
            <w:vAlign w:val="bottom"/>
          </w:tcPr>
          <w:p w14:paraId="71D44712" w14:textId="77777777" w:rsidR="006A3667" w:rsidRDefault="006A3667">
            <w:pPr>
              <w:rPr>
                <w:rFonts w:ascii="宋体"/>
                <w:vanish/>
              </w:rPr>
            </w:pPr>
          </w:p>
        </w:tc>
        <w:tc>
          <w:tcPr>
            <w:tcW w:w="0" w:type="auto"/>
            <w:gridSpan w:val="3"/>
            <w:shd w:val="clear" w:color="auto" w:fill="auto"/>
            <w:vAlign w:val="bottom"/>
          </w:tcPr>
          <w:p w14:paraId="71D44713" w14:textId="77777777" w:rsidR="006A3667" w:rsidRDefault="006A3667">
            <w:pPr>
              <w:rPr>
                <w:rFonts w:ascii="宋体"/>
                <w:vanish/>
              </w:rPr>
            </w:pPr>
          </w:p>
        </w:tc>
        <w:tc>
          <w:tcPr>
            <w:tcW w:w="0" w:type="auto"/>
            <w:gridSpan w:val="3"/>
            <w:shd w:val="clear" w:color="auto" w:fill="auto"/>
            <w:vAlign w:val="bottom"/>
          </w:tcPr>
          <w:p w14:paraId="71D44714" w14:textId="77777777" w:rsidR="006A3667" w:rsidRDefault="006A3667">
            <w:pPr>
              <w:rPr>
                <w:rFonts w:ascii="宋体"/>
                <w:vanish/>
              </w:rPr>
            </w:pPr>
          </w:p>
        </w:tc>
        <w:tc>
          <w:tcPr>
            <w:tcW w:w="0" w:type="auto"/>
            <w:gridSpan w:val="2"/>
            <w:shd w:val="clear" w:color="auto" w:fill="auto"/>
            <w:vAlign w:val="bottom"/>
          </w:tcPr>
          <w:p w14:paraId="71D44715" w14:textId="77777777" w:rsidR="006A3667" w:rsidRDefault="006A3667">
            <w:pPr>
              <w:rPr>
                <w:rFonts w:ascii="宋体"/>
                <w:vanish/>
              </w:rPr>
            </w:pPr>
          </w:p>
        </w:tc>
        <w:tc>
          <w:tcPr>
            <w:tcW w:w="0" w:type="auto"/>
            <w:shd w:val="clear" w:color="auto" w:fill="auto"/>
            <w:vAlign w:val="bottom"/>
          </w:tcPr>
          <w:p w14:paraId="71D44716" w14:textId="77777777" w:rsidR="006A3667" w:rsidRDefault="006A3667">
            <w:pPr>
              <w:rPr>
                <w:rFonts w:ascii="宋体"/>
                <w:vanish/>
              </w:rPr>
            </w:pPr>
          </w:p>
        </w:tc>
      </w:tr>
      <w:tr w:rsidR="006A3667" w14:paraId="71D44737" w14:textId="77777777">
        <w:tc>
          <w:tcPr>
            <w:tcW w:w="0" w:type="auto"/>
            <w:gridSpan w:val="3"/>
            <w:shd w:val="clear" w:color="auto" w:fill="CCEEFF"/>
            <w:tcMar>
              <w:top w:w="40" w:type="dxa"/>
              <w:left w:w="20" w:type="dxa"/>
              <w:bottom w:w="40" w:type="dxa"/>
              <w:right w:w="20" w:type="dxa"/>
            </w:tcMar>
            <w:vAlign w:val="center"/>
          </w:tcPr>
          <w:p w14:paraId="71D44718" w14:textId="77777777" w:rsidR="006A3667" w:rsidRDefault="00045F32">
            <w:pPr>
              <w:textAlignment w:val="center"/>
            </w:pPr>
            <w:r>
              <w:rPr>
                <w:rFonts w:ascii="Arial" w:eastAsia="宋体" w:hAnsi="Arial" w:cs="Arial"/>
                <w:color w:val="000000"/>
                <w:sz w:val="12"/>
                <w:szCs w:val="12"/>
              </w:rPr>
              <w:t>Other U.S. debt securities</w:t>
            </w:r>
          </w:p>
        </w:tc>
        <w:tc>
          <w:tcPr>
            <w:tcW w:w="0" w:type="auto"/>
            <w:gridSpan w:val="2"/>
            <w:shd w:val="clear" w:color="auto" w:fill="CCEEFF"/>
            <w:tcMar>
              <w:top w:w="40" w:type="dxa"/>
              <w:left w:w="20" w:type="dxa"/>
              <w:bottom w:w="40" w:type="dxa"/>
              <w:right w:w="0" w:type="dxa"/>
            </w:tcMar>
            <w:vAlign w:val="center"/>
          </w:tcPr>
          <w:p w14:paraId="71D44719"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1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1C"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1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1F"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2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22"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23" w14:textId="77777777" w:rsidR="006A3667" w:rsidRDefault="006A3667">
            <w:pPr>
              <w:jc w:val="right"/>
              <w:rPr>
                <w:rFonts w:ascii="宋体"/>
              </w:rPr>
            </w:pPr>
          </w:p>
        </w:tc>
        <w:tc>
          <w:tcPr>
            <w:tcW w:w="0" w:type="auto"/>
            <w:shd w:val="clear" w:color="auto" w:fill="auto"/>
            <w:vAlign w:val="bottom"/>
          </w:tcPr>
          <w:p w14:paraId="71D44724" w14:textId="77777777" w:rsidR="006A3667" w:rsidRDefault="006A3667">
            <w:pPr>
              <w:rPr>
                <w:rFonts w:ascii="宋体"/>
                <w:vanish/>
              </w:rPr>
            </w:pPr>
          </w:p>
        </w:tc>
        <w:tc>
          <w:tcPr>
            <w:tcW w:w="0" w:type="auto"/>
            <w:shd w:val="clear" w:color="auto" w:fill="auto"/>
            <w:vAlign w:val="bottom"/>
          </w:tcPr>
          <w:p w14:paraId="71D44725"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7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27"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2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2A"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2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2D" w14:textId="77777777" w:rsidR="006A3667" w:rsidRDefault="00045F32">
            <w:pPr>
              <w:jc w:val="right"/>
              <w:textAlignment w:val="center"/>
            </w:pPr>
            <w:r>
              <w:rPr>
                <w:rFonts w:ascii="Arial" w:eastAsia="宋体" w:hAnsi="Arial" w:cs="Arial"/>
                <w:color w:val="000000"/>
                <w:sz w:val="12"/>
                <w:szCs w:val="12"/>
              </w:rPr>
              <w:t>15 </w:t>
            </w:r>
          </w:p>
        </w:tc>
        <w:tc>
          <w:tcPr>
            <w:tcW w:w="0" w:type="auto"/>
            <w:shd w:val="clear" w:color="auto" w:fill="CCEEFF"/>
            <w:tcMar>
              <w:top w:w="40" w:type="dxa"/>
              <w:left w:w="0" w:type="dxa"/>
              <w:bottom w:w="40" w:type="dxa"/>
              <w:right w:w="20" w:type="dxa"/>
            </w:tcMar>
            <w:vAlign w:val="center"/>
          </w:tcPr>
          <w:p w14:paraId="71D447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2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30" w14:textId="77777777" w:rsidR="006A3667" w:rsidRDefault="00045F32">
            <w:pPr>
              <w:jc w:val="right"/>
              <w:textAlignment w:val="center"/>
            </w:pPr>
            <w:r>
              <w:rPr>
                <w:rFonts w:ascii="Arial" w:eastAsia="宋体" w:hAnsi="Arial" w:cs="Arial"/>
                <w:color w:val="000000"/>
                <w:sz w:val="12"/>
                <w:szCs w:val="12"/>
              </w:rPr>
              <w:t>(15)</w:t>
            </w:r>
          </w:p>
        </w:tc>
        <w:tc>
          <w:tcPr>
            <w:tcW w:w="0" w:type="auto"/>
            <w:shd w:val="clear" w:color="auto" w:fill="CCEEFF"/>
            <w:tcMar>
              <w:top w:w="40" w:type="dxa"/>
              <w:left w:w="0" w:type="dxa"/>
              <w:bottom w:w="40" w:type="dxa"/>
              <w:right w:w="20" w:type="dxa"/>
            </w:tcMar>
            <w:vAlign w:val="center"/>
          </w:tcPr>
          <w:p w14:paraId="71D447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3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33"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34"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4735" w14:textId="77777777" w:rsidR="006A3667" w:rsidRDefault="006A3667">
            <w:pPr>
              <w:rPr>
                <w:rFonts w:ascii="宋体"/>
              </w:rPr>
            </w:pPr>
          </w:p>
        </w:tc>
        <w:tc>
          <w:tcPr>
            <w:tcW w:w="0" w:type="auto"/>
            <w:shd w:val="clear" w:color="auto" w:fill="CCEEFF"/>
            <w:tcMar>
              <w:top w:w="0" w:type="dxa"/>
              <w:left w:w="20" w:type="dxa"/>
              <w:bottom w:w="0" w:type="dxa"/>
              <w:right w:w="20" w:type="dxa"/>
            </w:tcMar>
            <w:vAlign w:val="bottom"/>
          </w:tcPr>
          <w:p w14:paraId="71D44736" w14:textId="77777777" w:rsidR="006A3667" w:rsidRDefault="006A3667">
            <w:pPr>
              <w:rPr>
                <w:rFonts w:ascii="宋体"/>
              </w:rPr>
            </w:pPr>
          </w:p>
        </w:tc>
      </w:tr>
      <w:tr w:rsidR="006A3667" w14:paraId="71D44757" w14:textId="77777777">
        <w:tc>
          <w:tcPr>
            <w:tcW w:w="0" w:type="auto"/>
            <w:gridSpan w:val="3"/>
            <w:shd w:val="clear" w:color="auto" w:fill="FFFFFF"/>
            <w:tcMar>
              <w:top w:w="40" w:type="dxa"/>
              <w:left w:w="20" w:type="dxa"/>
              <w:bottom w:w="40" w:type="dxa"/>
              <w:right w:w="20" w:type="dxa"/>
            </w:tcMar>
            <w:vAlign w:val="center"/>
          </w:tcPr>
          <w:p w14:paraId="71D44738" w14:textId="77777777" w:rsidR="006A3667" w:rsidRDefault="00045F32">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39" w14:textId="77777777" w:rsidR="006A3667" w:rsidRDefault="00045F32">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3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3C"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3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3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3F"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4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4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42" w14:textId="77777777" w:rsidR="006A3667" w:rsidRDefault="00045F32">
            <w:pPr>
              <w:jc w:val="right"/>
              <w:textAlignment w:val="center"/>
            </w:pPr>
            <w:r>
              <w:rPr>
                <w:rFonts w:ascii="Arial" w:eastAsia="宋体" w:hAnsi="Arial" w:cs="Arial"/>
                <w:color w:val="000000"/>
                <w:sz w:val="12"/>
                <w:szCs w:val="12"/>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43" w14:textId="77777777" w:rsidR="006A3667" w:rsidRDefault="006A3667">
            <w:pPr>
              <w:jc w:val="right"/>
              <w:rPr>
                <w:rFonts w:ascii="宋体"/>
              </w:rPr>
            </w:pPr>
          </w:p>
        </w:tc>
        <w:tc>
          <w:tcPr>
            <w:tcW w:w="0" w:type="auto"/>
            <w:shd w:val="clear" w:color="auto" w:fill="auto"/>
            <w:vAlign w:val="bottom"/>
          </w:tcPr>
          <w:p w14:paraId="71D44744" w14:textId="77777777" w:rsidR="006A3667" w:rsidRDefault="006A3667">
            <w:pPr>
              <w:rPr>
                <w:rFonts w:ascii="宋体"/>
                <w:vanish/>
              </w:rPr>
            </w:pPr>
          </w:p>
        </w:tc>
        <w:tc>
          <w:tcPr>
            <w:tcW w:w="0" w:type="auto"/>
            <w:shd w:val="clear" w:color="auto" w:fill="auto"/>
            <w:vAlign w:val="bottom"/>
          </w:tcPr>
          <w:p w14:paraId="71D44745" w14:textId="77777777" w:rsidR="006A3667" w:rsidRDefault="006A3667">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74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47"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4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4A"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4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4D" w14:textId="77777777" w:rsidR="006A3667" w:rsidRDefault="00045F32">
            <w:pPr>
              <w:jc w:val="right"/>
              <w:textAlignment w:val="center"/>
            </w:pPr>
            <w:r>
              <w:rPr>
                <w:rFonts w:ascii="Arial" w:eastAsia="宋体" w:hAnsi="Arial" w:cs="Arial"/>
                <w:color w:val="000000"/>
                <w:sz w:val="12"/>
                <w:szCs w:val="12"/>
              </w:rPr>
              <w:t>15 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4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50" w14:textId="77777777" w:rsidR="006A3667" w:rsidRDefault="00045F32">
            <w:pPr>
              <w:jc w:val="right"/>
              <w:textAlignment w:val="center"/>
            </w:pPr>
            <w:r>
              <w:rPr>
                <w:rFonts w:ascii="Arial" w:eastAsia="宋体" w:hAnsi="Arial" w:cs="Arial"/>
                <w:color w:val="000000"/>
                <w:sz w:val="12"/>
                <w:szCs w:val="12"/>
              </w:rPr>
              <w:t>(135)</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5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5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53"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54"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4755" w14:textId="77777777" w:rsidR="006A3667" w:rsidRDefault="006A3667">
            <w:pPr>
              <w:rPr>
                <w:rFonts w:ascii="宋体"/>
              </w:rPr>
            </w:pPr>
          </w:p>
        </w:tc>
        <w:tc>
          <w:tcPr>
            <w:tcW w:w="0" w:type="auto"/>
            <w:shd w:val="clear" w:color="auto" w:fill="FFFFFF"/>
            <w:tcMar>
              <w:top w:w="0" w:type="dxa"/>
              <w:left w:w="20" w:type="dxa"/>
              <w:bottom w:w="0" w:type="dxa"/>
              <w:right w:w="20" w:type="dxa"/>
            </w:tcMar>
            <w:vAlign w:val="bottom"/>
          </w:tcPr>
          <w:p w14:paraId="71D44756" w14:textId="77777777" w:rsidR="006A3667" w:rsidRDefault="006A3667">
            <w:pPr>
              <w:rPr>
                <w:rFonts w:ascii="宋体"/>
              </w:rPr>
            </w:pPr>
          </w:p>
        </w:tc>
      </w:tr>
      <w:tr w:rsidR="006A3667" w14:paraId="71D4476E" w14:textId="77777777">
        <w:tc>
          <w:tcPr>
            <w:tcW w:w="0" w:type="auto"/>
            <w:gridSpan w:val="3"/>
            <w:shd w:val="clear" w:color="auto" w:fill="CCEEFF"/>
            <w:tcMar>
              <w:top w:w="40" w:type="dxa"/>
              <w:left w:w="20" w:type="dxa"/>
              <w:bottom w:w="40" w:type="dxa"/>
              <w:right w:w="20" w:type="dxa"/>
            </w:tcMar>
            <w:vAlign w:val="center"/>
          </w:tcPr>
          <w:p w14:paraId="71D44758" w14:textId="77777777" w:rsidR="006A3667" w:rsidRDefault="00045F32">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71D4475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5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5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5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5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5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5F" w14:textId="77777777" w:rsidR="006A3667" w:rsidRDefault="006A3667">
            <w:pPr>
              <w:rPr>
                <w:rFonts w:ascii="宋体"/>
              </w:rPr>
            </w:pPr>
          </w:p>
        </w:tc>
        <w:tc>
          <w:tcPr>
            <w:tcW w:w="0" w:type="auto"/>
            <w:shd w:val="clear" w:color="auto" w:fill="auto"/>
            <w:vAlign w:val="bottom"/>
          </w:tcPr>
          <w:p w14:paraId="71D44760" w14:textId="77777777" w:rsidR="006A3667" w:rsidRDefault="006A3667">
            <w:pPr>
              <w:rPr>
                <w:rFonts w:ascii="宋体"/>
                <w:vanish/>
              </w:rPr>
            </w:pPr>
          </w:p>
        </w:tc>
        <w:tc>
          <w:tcPr>
            <w:tcW w:w="0" w:type="auto"/>
            <w:shd w:val="clear" w:color="auto" w:fill="auto"/>
            <w:vAlign w:val="bottom"/>
          </w:tcPr>
          <w:p w14:paraId="71D44761"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76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76B" w14:textId="77777777" w:rsidR="006A3667" w:rsidRDefault="006A3667">
            <w:pPr>
              <w:rPr>
                <w:rFonts w:ascii="宋体"/>
              </w:rPr>
            </w:pPr>
          </w:p>
        </w:tc>
        <w:tc>
          <w:tcPr>
            <w:tcW w:w="0" w:type="auto"/>
            <w:gridSpan w:val="2"/>
            <w:shd w:val="clear" w:color="auto" w:fill="CCEEFF"/>
            <w:tcMar>
              <w:top w:w="0" w:type="dxa"/>
              <w:left w:w="20" w:type="dxa"/>
              <w:bottom w:w="0" w:type="dxa"/>
              <w:right w:w="20" w:type="dxa"/>
            </w:tcMar>
            <w:vAlign w:val="bottom"/>
          </w:tcPr>
          <w:p w14:paraId="71D4476C" w14:textId="77777777" w:rsidR="006A3667" w:rsidRDefault="006A3667">
            <w:pPr>
              <w:rPr>
                <w:rFonts w:ascii="宋体"/>
              </w:rPr>
            </w:pPr>
          </w:p>
        </w:tc>
        <w:tc>
          <w:tcPr>
            <w:tcW w:w="0" w:type="auto"/>
            <w:shd w:val="clear" w:color="auto" w:fill="CCEEFF"/>
            <w:tcMar>
              <w:top w:w="0" w:type="dxa"/>
              <w:left w:w="20" w:type="dxa"/>
              <w:bottom w:w="0" w:type="dxa"/>
              <w:right w:w="20" w:type="dxa"/>
            </w:tcMar>
            <w:vAlign w:val="bottom"/>
          </w:tcPr>
          <w:p w14:paraId="71D4476D" w14:textId="77777777" w:rsidR="006A3667" w:rsidRDefault="006A3667">
            <w:pPr>
              <w:rPr>
                <w:rFonts w:ascii="宋体"/>
              </w:rPr>
            </w:pPr>
          </w:p>
        </w:tc>
      </w:tr>
      <w:tr w:rsidR="006A3667" w14:paraId="71D44785" w14:textId="77777777">
        <w:tc>
          <w:tcPr>
            <w:tcW w:w="0" w:type="auto"/>
            <w:gridSpan w:val="3"/>
            <w:shd w:val="clear" w:color="auto" w:fill="FFFFFF"/>
            <w:tcMar>
              <w:top w:w="40" w:type="dxa"/>
              <w:left w:w="20" w:type="dxa"/>
              <w:bottom w:w="40" w:type="dxa"/>
              <w:right w:w="20" w:type="dxa"/>
            </w:tcMar>
            <w:vAlign w:val="center"/>
          </w:tcPr>
          <w:p w14:paraId="71D4476F" w14:textId="77777777" w:rsidR="006A3667" w:rsidRDefault="00045F32">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71D4477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6" w14:textId="77777777" w:rsidR="006A3667" w:rsidRDefault="006A3667">
            <w:pPr>
              <w:rPr>
                <w:rFonts w:ascii="宋体"/>
              </w:rPr>
            </w:pPr>
          </w:p>
        </w:tc>
        <w:tc>
          <w:tcPr>
            <w:tcW w:w="0" w:type="auto"/>
            <w:shd w:val="clear" w:color="auto" w:fill="auto"/>
            <w:vAlign w:val="bottom"/>
          </w:tcPr>
          <w:p w14:paraId="71D44777" w14:textId="77777777" w:rsidR="006A3667" w:rsidRDefault="006A3667">
            <w:pPr>
              <w:rPr>
                <w:rFonts w:ascii="宋体"/>
                <w:vanish/>
              </w:rPr>
            </w:pPr>
          </w:p>
        </w:tc>
        <w:tc>
          <w:tcPr>
            <w:tcW w:w="0" w:type="auto"/>
            <w:shd w:val="clear" w:color="auto" w:fill="auto"/>
            <w:vAlign w:val="bottom"/>
          </w:tcPr>
          <w:p w14:paraId="71D44778"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477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7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8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8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782" w14:textId="77777777" w:rsidR="006A3667" w:rsidRDefault="006A3667">
            <w:pPr>
              <w:rPr>
                <w:rFonts w:ascii="宋体"/>
              </w:rPr>
            </w:pPr>
          </w:p>
        </w:tc>
        <w:tc>
          <w:tcPr>
            <w:tcW w:w="0" w:type="auto"/>
            <w:gridSpan w:val="2"/>
            <w:shd w:val="clear" w:color="auto" w:fill="FFFFFF"/>
            <w:tcMar>
              <w:top w:w="0" w:type="dxa"/>
              <w:left w:w="20" w:type="dxa"/>
              <w:bottom w:w="0" w:type="dxa"/>
              <w:right w:w="20" w:type="dxa"/>
            </w:tcMar>
            <w:vAlign w:val="bottom"/>
          </w:tcPr>
          <w:p w14:paraId="71D44783" w14:textId="77777777" w:rsidR="006A3667" w:rsidRDefault="006A3667">
            <w:pPr>
              <w:rPr>
                <w:rFonts w:ascii="宋体"/>
              </w:rPr>
            </w:pPr>
          </w:p>
        </w:tc>
        <w:tc>
          <w:tcPr>
            <w:tcW w:w="0" w:type="auto"/>
            <w:shd w:val="clear" w:color="auto" w:fill="FFFFFF"/>
            <w:tcMar>
              <w:top w:w="0" w:type="dxa"/>
              <w:left w:w="20" w:type="dxa"/>
              <w:bottom w:w="0" w:type="dxa"/>
              <w:right w:w="20" w:type="dxa"/>
            </w:tcMar>
            <w:vAlign w:val="bottom"/>
          </w:tcPr>
          <w:p w14:paraId="71D44784" w14:textId="77777777" w:rsidR="006A3667" w:rsidRDefault="006A3667">
            <w:pPr>
              <w:rPr>
                <w:rFonts w:ascii="宋体"/>
              </w:rPr>
            </w:pPr>
          </w:p>
        </w:tc>
      </w:tr>
      <w:tr w:rsidR="006A3667" w14:paraId="71D447A6" w14:textId="77777777">
        <w:tc>
          <w:tcPr>
            <w:tcW w:w="0" w:type="auto"/>
            <w:gridSpan w:val="3"/>
            <w:shd w:val="clear" w:color="auto" w:fill="CCEEFF"/>
            <w:tcMar>
              <w:top w:w="40" w:type="dxa"/>
              <w:left w:w="155" w:type="dxa"/>
              <w:bottom w:w="40" w:type="dxa"/>
              <w:right w:w="20" w:type="dxa"/>
            </w:tcMar>
            <w:vAlign w:val="center"/>
          </w:tcPr>
          <w:p w14:paraId="71D44786" w14:textId="77777777" w:rsidR="006A3667" w:rsidRDefault="00045F32">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71D44787" w14:textId="77777777" w:rsidR="006A3667" w:rsidRDefault="00045F32">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71D447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8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8A" w14:textId="77777777" w:rsidR="006A3667" w:rsidRDefault="00045F32">
            <w:pPr>
              <w:jc w:val="right"/>
              <w:textAlignment w:val="center"/>
            </w:pPr>
            <w:r>
              <w:rPr>
                <w:rFonts w:ascii="Arial" w:eastAsia="宋体" w:hAnsi="Arial" w:cs="Arial"/>
                <w:color w:val="000000"/>
                <w:sz w:val="12"/>
                <w:szCs w:val="12"/>
              </w:rPr>
              <w:t>(3)</w:t>
            </w:r>
          </w:p>
        </w:tc>
        <w:tc>
          <w:tcPr>
            <w:tcW w:w="0" w:type="auto"/>
            <w:shd w:val="clear" w:color="auto" w:fill="CCEEFF"/>
            <w:tcMar>
              <w:top w:w="40" w:type="dxa"/>
              <w:left w:w="0" w:type="dxa"/>
              <w:bottom w:w="40" w:type="dxa"/>
              <w:right w:w="20" w:type="dxa"/>
            </w:tcMar>
            <w:vAlign w:val="center"/>
          </w:tcPr>
          <w:p w14:paraId="71D4478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8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8D"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8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8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90" w14:textId="77777777" w:rsidR="006A3667" w:rsidRDefault="00045F32">
            <w:pPr>
              <w:jc w:val="right"/>
              <w:textAlignment w:val="center"/>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center"/>
          </w:tcPr>
          <w:p w14:paraId="71D44791" w14:textId="77777777" w:rsidR="006A3667" w:rsidRDefault="006A3667">
            <w:pPr>
              <w:jc w:val="right"/>
              <w:rPr>
                <w:rFonts w:ascii="宋体"/>
              </w:rPr>
            </w:pPr>
          </w:p>
        </w:tc>
        <w:tc>
          <w:tcPr>
            <w:tcW w:w="0" w:type="auto"/>
            <w:shd w:val="clear" w:color="auto" w:fill="auto"/>
            <w:vAlign w:val="bottom"/>
          </w:tcPr>
          <w:p w14:paraId="71D44792" w14:textId="77777777" w:rsidR="006A3667" w:rsidRDefault="006A3667">
            <w:pPr>
              <w:rPr>
                <w:rFonts w:ascii="宋体"/>
                <w:vanish/>
              </w:rPr>
            </w:pPr>
          </w:p>
        </w:tc>
        <w:tc>
          <w:tcPr>
            <w:tcW w:w="0" w:type="auto"/>
            <w:shd w:val="clear" w:color="auto" w:fill="auto"/>
            <w:vAlign w:val="bottom"/>
          </w:tcPr>
          <w:p w14:paraId="71D44793"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79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95"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9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98" w14:textId="77777777" w:rsidR="006A3667" w:rsidRDefault="00045F32">
            <w:pPr>
              <w:jc w:val="right"/>
              <w:textAlignment w:val="center"/>
            </w:pPr>
            <w:r>
              <w:rPr>
                <w:rFonts w:ascii="Arial" w:eastAsia="宋体" w:hAnsi="Arial" w:cs="Arial"/>
                <w:color w:val="000000"/>
                <w:sz w:val="12"/>
                <w:szCs w:val="12"/>
              </w:rPr>
              <w:t>(1)</w:t>
            </w:r>
          </w:p>
        </w:tc>
        <w:tc>
          <w:tcPr>
            <w:tcW w:w="0" w:type="auto"/>
            <w:shd w:val="clear" w:color="auto" w:fill="CCEEFF"/>
            <w:tcMar>
              <w:top w:w="40" w:type="dxa"/>
              <w:left w:w="0" w:type="dxa"/>
              <w:bottom w:w="40" w:type="dxa"/>
              <w:right w:w="20" w:type="dxa"/>
            </w:tcMar>
            <w:vAlign w:val="center"/>
          </w:tcPr>
          <w:p w14:paraId="71D447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9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9B"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9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9E" w14:textId="77777777" w:rsidR="006A3667" w:rsidRDefault="00045F32">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71D447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A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47A1" w14:textId="77777777" w:rsidR="006A3667" w:rsidRDefault="00045F32">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71D447A2"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47A3" w14:textId="77777777" w:rsidR="006A3667" w:rsidRDefault="006A3667">
            <w:pPr>
              <w:rPr>
                <w:rFonts w:ascii="宋体"/>
              </w:rPr>
            </w:pPr>
          </w:p>
        </w:tc>
        <w:tc>
          <w:tcPr>
            <w:tcW w:w="0" w:type="auto"/>
            <w:shd w:val="clear" w:color="auto" w:fill="CCEEFF"/>
            <w:tcMar>
              <w:top w:w="40" w:type="dxa"/>
              <w:left w:w="20" w:type="dxa"/>
              <w:bottom w:w="40" w:type="dxa"/>
              <w:right w:w="0" w:type="dxa"/>
            </w:tcMar>
            <w:vAlign w:val="center"/>
          </w:tcPr>
          <w:p w14:paraId="71D447A4" w14:textId="77777777" w:rsidR="006A3667" w:rsidRDefault="00045F32">
            <w:pPr>
              <w:textAlignment w:val="center"/>
            </w:pPr>
            <w:r>
              <w:rPr>
                <w:rFonts w:ascii="Arial" w:eastAsia="宋体" w:hAnsi="Arial" w:cs="Arial"/>
                <w:color w:val="000000"/>
                <w:sz w:val="12"/>
                <w:szCs w:val="12"/>
              </w:rPr>
              <w:t>$</w:t>
            </w:r>
          </w:p>
          <w:p w14:paraId="71D447A5" w14:textId="77777777" w:rsidR="006A3667" w:rsidRDefault="00045F32">
            <w:pPr>
              <w:jc w:val="right"/>
              <w:textAlignment w:val="center"/>
            </w:pPr>
            <w:r>
              <w:rPr>
                <w:rFonts w:ascii="Arial" w:eastAsia="宋体" w:hAnsi="Arial" w:cs="Arial"/>
                <w:color w:val="000000"/>
                <w:sz w:val="12"/>
                <w:szCs w:val="12"/>
              </w:rPr>
              <w:t>(1)</w:t>
            </w:r>
          </w:p>
        </w:tc>
      </w:tr>
      <w:tr w:rsidR="006A3667" w14:paraId="71D447C6" w14:textId="77777777">
        <w:tc>
          <w:tcPr>
            <w:tcW w:w="0" w:type="auto"/>
            <w:gridSpan w:val="3"/>
            <w:shd w:val="clear" w:color="auto" w:fill="FFFFFF"/>
            <w:tcMar>
              <w:top w:w="40" w:type="dxa"/>
              <w:left w:w="20" w:type="dxa"/>
              <w:bottom w:w="40" w:type="dxa"/>
              <w:right w:w="20" w:type="dxa"/>
            </w:tcMar>
            <w:vAlign w:val="center"/>
          </w:tcPr>
          <w:p w14:paraId="71D447A7" w14:textId="77777777" w:rsidR="006A3667" w:rsidRDefault="00045F32">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A8" w14:textId="77777777" w:rsidR="006A3667" w:rsidRDefault="00045F32">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A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A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AB" w14:textId="77777777" w:rsidR="006A3667" w:rsidRDefault="00045F32">
            <w:pPr>
              <w:jc w:val="right"/>
              <w:textAlignment w:val="center"/>
            </w:pPr>
            <w:r>
              <w:rPr>
                <w:rFonts w:ascii="Arial" w:eastAsia="宋体" w:hAnsi="Arial" w:cs="Arial"/>
                <w:color w:val="000000"/>
                <w:sz w:val="12"/>
                <w:szCs w:val="12"/>
              </w:rPr>
              <w:t>(3)</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A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AE"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B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B1" w14:textId="77777777" w:rsidR="006A3667" w:rsidRDefault="00045F32">
            <w:pPr>
              <w:jc w:val="right"/>
              <w:textAlignment w:val="center"/>
            </w:pPr>
            <w:r>
              <w:rPr>
                <w:rFonts w:ascii="Arial" w:eastAsia="宋体" w:hAnsi="Arial" w:cs="Arial"/>
                <w:color w:val="000000"/>
                <w:sz w:val="12"/>
                <w:szCs w:val="12"/>
              </w:rPr>
              <w:t>4 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B2" w14:textId="77777777" w:rsidR="006A3667" w:rsidRDefault="006A3667">
            <w:pPr>
              <w:jc w:val="right"/>
              <w:rPr>
                <w:rFonts w:ascii="宋体"/>
              </w:rPr>
            </w:pPr>
          </w:p>
        </w:tc>
        <w:tc>
          <w:tcPr>
            <w:tcW w:w="0" w:type="auto"/>
            <w:shd w:val="clear" w:color="auto" w:fill="auto"/>
            <w:vAlign w:val="bottom"/>
          </w:tcPr>
          <w:p w14:paraId="71D447B3" w14:textId="77777777" w:rsidR="006A3667" w:rsidRDefault="006A3667">
            <w:pPr>
              <w:rPr>
                <w:rFonts w:ascii="宋体"/>
                <w:vanish/>
              </w:rPr>
            </w:pPr>
          </w:p>
        </w:tc>
        <w:tc>
          <w:tcPr>
            <w:tcW w:w="0" w:type="auto"/>
            <w:shd w:val="clear" w:color="auto" w:fill="auto"/>
            <w:vAlign w:val="bottom"/>
          </w:tcPr>
          <w:p w14:paraId="71D447B4"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47B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B6"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B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B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B9" w14:textId="77777777" w:rsidR="006A3667" w:rsidRDefault="00045F32">
            <w:pPr>
              <w:jc w:val="right"/>
              <w:textAlignment w:val="center"/>
            </w:pPr>
            <w:r>
              <w:rPr>
                <w:rFonts w:ascii="Arial" w:eastAsia="宋体" w:hAnsi="Arial" w:cs="Arial"/>
                <w:color w:val="000000"/>
                <w:sz w:val="12"/>
                <w:szCs w:val="12"/>
              </w:rPr>
              <w:t>(1)</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B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B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BC"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B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B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BF"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C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7C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1D447C2" w14:textId="77777777" w:rsidR="006A3667" w:rsidRDefault="00045F32">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71D447C3"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47C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1D447C5" w14:textId="77777777" w:rsidR="006A3667" w:rsidRDefault="00045F32">
            <w:pPr>
              <w:jc w:val="right"/>
              <w:textAlignment w:val="center"/>
            </w:pPr>
            <w:r>
              <w:rPr>
                <w:rFonts w:ascii="Arial" w:eastAsia="宋体" w:hAnsi="Arial" w:cs="Arial"/>
                <w:color w:val="000000"/>
                <w:sz w:val="12"/>
                <w:szCs w:val="12"/>
              </w:rPr>
              <w:t>(1)</w:t>
            </w:r>
          </w:p>
        </w:tc>
      </w:tr>
      <w:tr w:rsidR="00045F32" w14:paraId="71D447F0" w14:textId="77777777">
        <w:tc>
          <w:tcPr>
            <w:tcW w:w="0" w:type="auto"/>
            <w:gridSpan w:val="3"/>
            <w:shd w:val="clear" w:color="auto" w:fill="CCEEFF"/>
            <w:tcMar>
              <w:top w:w="40" w:type="dxa"/>
              <w:left w:w="20" w:type="dxa"/>
              <w:bottom w:w="40" w:type="dxa"/>
              <w:right w:w="20" w:type="dxa"/>
            </w:tcMar>
            <w:vAlign w:val="center"/>
          </w:tcPr>
          <w:p w14:paraId="71D447C7" w14:textId="77777777" w:rsidR="006A3667" w:rsidRDefault="00045F32">
            <w:pPr>
              <w:textAlignment w:val="center"/>
            </w:pPr>
            <w:r>
              <w:rPr>
                <w:rFonts w:ascii="Arial" w:eastAsia="宋体" w:hAnsi="Arial" w:cs="Arial"/>
                <w:color w:val="000000"/>
                <w:sz w:val="12"/>
                <w:szCs w:val="12"/>
              </w:rPr>
              <w:t xml:space="preserve">Total assets </w:t>
            </w:r>
            <w:r>
              <w:rPr>
                <w:rFonts w:ascii="Arial" w:eastAsia="宋体" w:hAnsi="Arial" w:cs="Arial"/>
                <w:color w:val="000000"/>
                <w:sz w:val="12"/>
                <w:szCs w:val="12"/>
              </w:rPr>
              <w:t>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C8"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C9" w14:textId="77777777" w:rsidR="006A3667" w:rsidRDefault="00045F32">
            <w:pPr>
              <w:jc w:val="right"/>
              <w:textAlignment w:val="center"/>
            </w:pPr>
            <w:r>
              <w:rPr>
                <w:rFonts w:ascii="Arial" w:eastAsia="宋体" w:hAnsi="Arial" w:cs="Arial"/>
                <w:color w:val="000000"/>
                <w:sz w:val="12"/>
                <w:szCs w:val="12"/>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C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C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CC"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CD" w14:textId="77777777" w:rsidR="006A3667" w:rsidRDefault="00045F32">
            <w:pPr>
              <w:jc w:val="right"/>
              <w:textAlignment w:val="center"/>
            </w:pPr>
            <w:r>
              <w:rPr>
                <w:rFonts w:ascii="Arial" w:eastAsia="宋体" w:hAnsi="Arial" w:cs="Arial"/>
                <w:color w:val="000000"/>
                <w:sz w:val="12"/>
                <w:szCs w:val="12"/>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C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D0"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D1"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D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D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D4"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D5" w14:textId="77777777" w:rsidR="006A3667" w:rsidRDefault="00045F32">
            <w:pPr>
              <w:jc w:val="right"/>
              <w:textAlignment w:val="center"/>
            </w:pPr>
            <w:r>
              <w:rPr>
                <w:rFonts w:ascii="Arial" w:eastAsia="宋体" w:hAnsi="Arial" w:cs="Arial"/>
                <w:color w:val="000000"/>
                <w:sz w:val="12"/>
                <w:szCs w:val="12"/>
              </w:rPr>
              <w:t>110 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D6" w14:textId="77777777" w:rsidR="006A3667" w:rsidRDefault="006A3667">
            <w:pPr>
              <w:jc w:val="right"/>
              <w:rPr>
                <w:rFonts w:ascii="宋体"/>
              </w:rPr>
            </w:pPr>
          </w:p>
        </w:tc>
        <w:tc>
          <w:tcPr>
            <w:tcW w:w="0" w:type="auto"/>
            <w:shd w:val="clear" w:color="auto" w:fill="auto"/>
            <w:vAlign w:val="bottom"/>
          </w:tcPr>
          <w:p w14:paraId="71D447D7" w14:textId="77777777" w:rsidR="006A3667" w:rsidRDefault="006A3667">
            <w:pPr>
              <w:rPr>
                <w:rFonts w:ascii="宋体"/>
                <w:vanish/>
              </w:rPr>
            </w:pPr>
          </w:p>
        </w:tc>
        <w:tc>
          <w:tcPr>
            <w:tcW w:w="0" w:type="auto"/>
            <w:shd w:val="clear" w:color="auto" w:fill="auto"/>
            <w:vAlign w:val="bottom"/>
          </w:tcPr>
          <w:p w14:paraId="71D447D8"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47D9"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DA"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DB" w14:textId="77777777" w:rsidR="006A3667" w:rsidRDefault="00045F32">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DD"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DE"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DF" w14:textId="77777777" w:rsidR="006A3667" w:rsidRDefault="00045F32">
            <w:pPr>
              <w:jc w:val="right"/>
              <w:textAlignment w:val="center"/>
            </w:pPr>
            <w:r>
              <w:rPr>
                <w:rFonts w:ascii="Arial" w:eastAsia="宋体" w:hAnsi="Arial" w:cs="Arial"/>
                <w:color w:val="000000"/>
                <w:sz w:val="12"/>
                <w:szCs w:val="12"/>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E1"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E2"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E3" w14:textId="77777777" w:rsidR="006A3667" w:rsidRDefault="00045F32">
            <w:pPr>
              <w:jc w:val="right"/>
              <w:textAlignment w:val="center"/>
            </w:pPr>
            <w:r>
              <w:rPr>
                <w:rFonts w:ascii="Arial" w:eastAsia="宋体" w:hAnsi="Arial" w:cs="Arial"/>
                <w:color w:val="000000"/>
                <w:sz w:val="12"/>
                <w:szCs w:val="12"/>
              </w:rPr>
              <w:t>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E5"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E6"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E7" w14:textId="77777777" w:rsidR="006A3667" w:rsidRDefault="00045F32">
            <w:pPr>
              <w:jc w:val="right"/>
              <w:textAlignment w:val="center"/>
            </w:pPr>
            <w:r>
              <w:rPr>
                <w:rFonts w:ascii="Arial" w:eastAsia="宋体" w:hAnsi="Arial" w:cs="Arial"/>
                <w:color w:val="000000"/>
                <w:sz w:val="12"/>
                <w:szCs w:val="12"/>
              </w:rPr>
              <w:t>(135)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7E9"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EA"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1D447EB" w14:textId="77777777" w:rsidR="006A3667" w:rsidRDefault="00045F32">
            <w:pPr>
              <w:jc w:val="right"/>
              <w:textAlignment w:val="center"/>
            </w:pPr>
            <w:r>
              <w:rPr>
                <w:rFonts w:ascii="Arial" w:eastAsia="宋体" w:hAnsi="Arial" w:cs="Arial"/>
                <w:color w:val="000000"/>
                <w:sz w:val="12"/>
                <w:szCs w:val="12"/>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1D447EC"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47ED"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1D447EE" w14:textId="77777777" w:rsidR="006A3667" w:rsidRDefault="00045F32">
            <w:pPr>
              <w:textAlignment w:val="center"/>
            </w:pPr>
            <w:r>
              <w:rPr>
                <w:rFonts w:ascii="Arial" w:eastAsia="宋体" w:hAnsi="Arial" w:cs="Arial"/>
                <w:color w:val="000000"/>
                <w:sz w:val="12"/>
                <w:szCs w:val="12"/>
              </w:rPr>
              <w:t>$</w:t>
            </w:r>
          </w:p>
          <w:p w14:paraId="71D447EF" w14:textId="77777777" w:rsidR="006A3667" w:rsidRDefault="00045F32">
            <w:pPr>
              <w:jc w:val="right"/>
              <w:textAlignment w:val="center"/>
            </w:pPr>
            <w:r>
              <w:rPr>
                <w:rFonts w:ascii="Arial" w:eastAsia="宋体" w:hAnsi="Arial" w:cs="Arial"/>
                <w:color w:val="000000"/>
                <w:sz w:val="12"/>
                <w:szCs w:val="12"/>
              </w:rPr>
              <w:t>(1)</w:t>
            </w:r>
          </w:p>
        </w:tc>
      </w:tr>
    </w:tbl>
    <w:p w14:paraId="71D447F1" w14:textId="77777777" w:rsidR="006A3667" w:rsidRDefault="006A366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6A3667" w14:paraId="71D44801" w14:textId="77777777">
        <w:tc>
          <w:tcPr>
            <w:tcW w:w="50" w:type="pct"/>
            <w:shd w:val="clear" w:color="auto" w:fill="auto"/>
            <w:vAlign w:val="bottom"/>
          </w:tcPr>
          <w:p w14:paraId="71D447F2" w14:textId="77777777" w:rsidR="006A3667" w:rsidRDefault="006A3667">
            <w:pPr>
              <w:rPr>
                <w:rFonts w:ascii="宋体"/>
              </w:rPr>
            </w:pPr>
          </w:p>
        </w:tc>
        <w:tc>
          <w:tcPr>
            <w:tcW w:w="1350" w:type="pct"/>
            <w:shd w:val="clear" w:color="auto" w:fill="auto"/>
            <w:vAlign w:val="bottom"/>
          </w:tcPr>
          <w:p w14:paraId="71D447F3" w14:textId="77777777" w:rsidR="006A3667" w:rsidRDefault="006A3667">
            <w:pPr>
              <w:rPr>
                <w:rFonts w:ascii="宋体"/>
              </w:rPr>
            </w:pPr>
          </w:p>
        </w:tc>
        <w:tc>
          <w:tcPr>
            <w:tcW w:w="5" w:type="pct"/>
            <w:shd w:val="clear" w:color="auto" w:fill="auto"/>
            <w:vAlign w:val="bottom"/>
          </w:tcPr>
          <w:p w14:paraId="71D447F4" w14:textId="77777777" w:rsidR="006A3667" w:rsidRDefault="006A3667">
            <w:pPr>
              <w:rPr>
                <w:rFonts w:ascii="宋体"/>
              </w:rPr>
            </w:pPr>
          </w:p>
        </w:tc>
        <w:tc>
          <w:tcPr>
            <w:tcW w:w="50" w:type="pct"/>
            <w:shd w:val="clear" w:color="auto" w:fill="auto"/>
            <w:vAlign w:val="bottom"/>
          </w:tcPr>
          <w:p w14:paraId="71D447F5" w14:textId="77777777" w:rsidR="006A3667" w:rsidRDefault="006A3667">
            <w:pPr>
              <w:rPr>
                <w:rFonts w:ascii="宋体"/>
              </w:rPr>
            </w:pPr>
          </w:p>
        </w:tc>
        <w:tc>
          <w:tcPr>
            <w:tcW w:w="911" w:type="pct"/>
            <w:shd w:val="clear" w:color="auto" w:fill="auto"/>
            <w:vAlign w:val="bottom"/>
          </w:tcPr>
          <w:p w14:paraId="71D447F6" w14:textId="77777777" w:rsidR="006A3667" w:rsidRDefault="006A3667">
            <w:pPr>
              <w:rPr>
                <w:rFonts w:ascii="宋体"/>
              </w:rPr>
            </w:pPr>
          </w:p>
        </w:tc>
        <w:tc>
          <w:tcPr>
            <w:tcW w:w="5" w:type="pct"/>
            <w:shd w:val="clear" w:color="auto" w:fill="auto"/>
            <w:vAlign w:val="bottom"/>
          </w:tcPr>
          <w:p w14:paraId="71D447F7" w14:textId="77777777" w:rsidR="006A3667" w:rsidRDefault="006A3667">
            <w:pPr>
              <w:rPr>
                <w:rFonts w:ascii="宋体"/>
              </w:rPr>
            </w:pPr>
          </w:p>
        </w:tc>
        <w:tc>
          <w:tcPr>
            <w:tcW w:w="50" w:type="pct"/>
            <w:shd w:val="clear" w:color="auto" w:fill="auto"/>
            <w:vAlign w:val="bottom"/>
          </w:tcPr>
          <w:p w14:paraId="71D447F8" w14:textId="77777777" w:rsidR="006A3667" w:rsidRDefault="006A3667">
            <w:pPr>
              <w:rPr>
                <w:rFonts w:ascii="宋体"/>
              </w:rPr>
            </w:pPr>
          </w:p>
        </w:tc>
        <w:tc>
          <w:tcPr>
            <w:tcW w:w="1562" w:type="pct"/>
            <w:shd w:val="clear" w:color="auto" w:fill="auto"/>
            <w:vAlign w:val="bottom"/>
          </w:tcPr>
          <w:p w14:paraId="71D447F9" w14:textId="77777777" w:rsidR="006A3667" w:rsidRDefault="006A3667">
            <w:pPr>
              <w:rPr>
                <w:rFonts w:ascii="宋体"/>
              </w:rPr>
            </w:pPr>
          </w:p>
        </w:tc>
        <w:tc>
          <w:tcPr>
            <w:tcW w:w="5" w:type="pct"/>
            <w:shd w:val="clear" w:color="auto" w:fill="auto"/>
            <w:vAlign w:val="bottom"/>
          </w:tcPr>
          <w:p w14:paraId="71D447FA" w14:textId="77777777" w:rsidR="006A3667" w:rsidRDefault="006A3667">
            <w:pPr>
              <w:rPr>
                <w:rFonts w:ascii="宋体"/>
              </w:rPr>
            </w:pPr>
          </w:p>
        </w:tc>
        <w:tc>
          <w:tcPr>
            <w:tcW w:w="50" w:type="pct"/>
            <w:shd w:val="clear" w:color="auto" w:fill="auto"/>
            <w:vAlign w:val="bottom"/>
          </w:tcPr>
          <w:p w14:paraId="71D447FB" w14:textId="77777777" w:rsidR="006A3667" w:rsidRDefault="006A3667">
            <w:pPr>
              <w:rPr>
                <w:rFonts w:ascii="宋体"/>
              </w:rPr>
            </w:pPr>
          </w:p>
        </w:tc>
        <w:tc>
          <w:tcPr>
            <w:tcW w:w="918" w:type="pct"/>
            <w:shd w:val="clear" w:color="auto" w:fill="auto"/>
            <w:vAlign w:val="bottom"/>
          </w:tcPr>
          <w:p w14:paraId="71D447FC" w14:textId="77777777" w:rsidR="006A3667" w:rsidRDefault="006A3667">
            <w:pPr>
              <w:rPr>
                <w:rFonts w:ascii="宋体"/>
              </w:rPr>
            </w:pPr>
          </w:p>
        </w:tc>
        <w:tc>
          <w:tcPr>
            <w:tcW w:w="5" w:type="pct"/>
            <w:shd w:val="clear" w:color="auto" w:fill="auto"/>
            <w:vAlign w:val="bottom"/>
          </w:tcPr>
          <w:p w14:paraId="71D447FD" w14:textId="77777777" w:rsidR="006A3667" w:rsidRDefault="006A3667">
            <w:pPr>
              <w:rPr>
                <w:rFonts w:ascii="宋体"/>
              </w:rPr>
            </w:pPr>
          </w:p>
        </w:tc>
        <w:tc>
          <w:tcPr>
            <w:tcW w:w="5" w:type="pct"/>
            <w:shd w:val="clear" w:color="auto" w:fill="auto"/>
            <w:vAlign w:val="bottom"/>
          </w:tcPr>
          <w:p w14:paraId="71D447FE" w14:textId="77777777" w:rsidR="006A3667" w:rsidRDefault="006A3667">
            <w:pPr>
              <w:rPr>
                <w:rFonts w:ascii="宋体"/>
              </w:rPr>
            </w:pPr>
          </w:p>
        </w:tc>
        <w:tc>
          <w:tcPr>
            <w:tcW w:w="26" w:type="pct"/>
            <w:shd w:val="clear" w:color="auto" w:fill="auto"/>
            <w:vAlign w:val="bottom"/>
          </w:tcPr>
          <w:p w14:paraId="71D447FF" w14:textId="77777777" w:rsidR="006A3667" w:rsidRDefault="006A3667">
            <w:pPr>
              <w:rPr>
                <w:rFonts w:ascii="宋体"/>
              </w:rPr>
            </w:pPr>
          </w:p>
        </w:tc>
        <w:tc>
          <w:tcPr>
            <w:tcW w:w="5" w:type="pct"/>
            <w:shd w:val="clear" w:color="auto" w:fill="auto"/>
            <w:vAlign w:val="bottom"/>
          </w:tcPr>
          <w:p w14:paraId="71D44800" w14:textId="77777777" w:rsidR="006A3667" w:rsidRDefault="006A3667">
            <w:pPr>
              <w:rPr>
                <w:rFonts w:ascii="宋体"/>
              </w:rPr>
            </w:pPr>
          </w:p>
        </w:tc>
      </w:tr>
      <w:tr w:rsidR="006A3667" w14:paraId="71D4480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480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0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0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0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06" w14:textId="77777777" w:rsidR="006A3667" w:rsidRDefault="006A3667">
            <w:pPr>
              <w:rPr>
                <w:rFonts w:ascii="宋体"/>
              </w:rPr>
            </w:pPr>
          </w:p>
        </w:tc>
      </w:tr>
    </w:tbl>
    <w:p w14:paraId="71D44808" w14:textId="77777777" w:rsidR="006A3667" w:rsidRDefault="00045F32">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51"/>
        <w:gridCol w:w="1203"/>
        <w:gridCol w:w="36"/>
        <w:gridCol w:w="51"/>
        <w:gridCol w:w="595"/>
        <w:gridCol w:w="36"/>
        <w:gridCol w:w="36"/>
        <w:gridCol w:w="36"/>
        <w:gridCol w:w="36"/>
        <w:gridCol w:w="51"/>
        <w:gridCol w:w="497"/>
        <w:gridCol w:w="36"/>
        <w:gridCol w:w="36"/>
        <w:gridCol w:w="36"/>
        <w:gridCol w:w="36"/>
        <w:gridCol w:w="51"/>
        <w:gridCol w:w="692"/>
        <w:gridCol w:w="36"/>
        <w:gridCol w:w="36"/>
        <w:gridCol w:w="36"/>
        <w:gridCol w:w="36"/>
        <w:gridCol w:w="51"/>
        <w:gridCol w:w="473"/>
        <w:gridCol w:w="36"/>
        <w:gridCol w:w="108"/>
        <w:gridCol w:w="108"/>
        <w:gridCol w:w="109"/>
        <w:gridCol w:w="109"/>
        <w:gridCol w:w="109"/>
        <w:gridCol w:w="109"/>
        <w:gridCol w:w="36"/>
        <w:gridCol w:w="36"/>
        <w:gridCol w:w="36"/>
        <w:gridCol w:w="52"/>
        <w:gridCol w:w="302"/>
        <w:gridCol w:w="36"/>
        <w:gridCol w:w="36"/>
        <w:gridCol w:w="36"/>
        <w:gridCol w:w="36"/>
        <w:gridCol w:w="52"/>
        <w:gridCol w:w="548"/>
        <w:gridCol w:w="36"/>
        <w:gridCol w:w="36"/>
        <w:gridCol w:w="36"/>
        <w:gridCol w:w="36"/>
        <w:gridCol w:w="52"/>
        <w:gridCol w:w="424"/>
        <w:gridCol w:w="36"/>
        <w:gridCol w:w="36"/>
        <w:gridCol w:w="36"/>
        <w:gridCol w:w="36"/>
        <w:gridCol w:w="52"/>
        <w:gridCol w:w="424"/>
        <w:gridCol w:w="36"/>
        <w:gridCol w:w="36"/>
        <w:gridCol w:w="36"/>
        <w:gridCol w:w="36"/>
        <w:gridCol w:w="52"/>
        <w:gridCol w:w="669"/>
        <w:gridCol w:w="36"/>
        <w:gridCol w:w="36"/>
        <w:gridCol w:w="36"/>
        <w:gridCol w:w="46"/>
      </w:tblGrid>
      <w:tr w:rsidR="006A3667" w14:paraId="71D44844" w14:textId="77777777">
        <w:tc>
          <w:tcPr>
            <w:tcW w:w="50" w:type="pct"/>
            <w:shd w:val="clear" w:color="auto" w:fill="auto"/>
            <w:vAlign w:val="bottom"/>
          </w:tcPr>
          <w:p w14:paraId="71D44809" w14:textId="77777777" w:rsidR="006A3667" w:rsidRDefault="006A3667">
            <w:pPr>
              <w:rPr>
                <w:rFonts w:ascii="宋体"/>
              </w:rPr>
            </w:pPr>
          </w:p>
        </w:tc>
        <w:tc>
          <w:tcPr>
            <w:tcW w:w="741" w:type="pct"/>
            <w:shd w:val="clear" w:color="auto" w:fill="auto"/>
            <w:vAlign w:val="bottom"/>
          </w:tcPr>
          <w:p w14:paraId="71D4480A" w14:textId="77777777" w:rsidR="006A3667" w:rsidRDefault="006A3667">
            <w:pPr>
              <w:rPr>
                <w:rFonts w:ascii="宋体"/>
              </w:rPr>
            </w:pPr>
          </w:p>
        </w:tc>
        <w:tc>
          <w:tcPr>
            <w:tcW w:w="5" w:type="pct"/>
            <w:shd w:val="clear" w:color="auto" w:fill="auto"/>
            <w:vAlign w:val="bottom"/>
          </w:tcPr>
          <w:p w14:paraId="71D4480B" w14:textId="77777777" w:rsidR="006A3667" w:rsidRDefault="006A3667">
            <w:pPr>
              <w:rPr>
                <w:rFonts w:ascii="宋体"/>
              </w:rPr>
            </w:pPr>
          </w:p>
        </w:tc>
        <w:tc>
          <w:tcPr>
            <w:tcW w:w="50" w:type="pct"/>
            <w:shd w:val="clear" w:color="auto" w:fill="auto"/>
            <w:vAlign w:val="bottom"/>
          </w:tcPr>
          <w:p w14:paraId="71D4480C" w14:textId="77777777" w:rsidR="006A3667" w:rsidRDefault="006A3667">
            <w:pPr>
              <w:rPr>
                <w:rFonts w:ascii="宋体"/>
              </w:rPr>
            </w:pPr>
          </w:p>
        </w:tc>
        <w:tc>
          <w:tcPr>
            <w:tcW w:w="376" w:type="pct"/>
            <w:shd w:val="clear" w:color="auto" w:fill="auto"/>
            <w:vAlign w:val="bottom"/>
          </w:tcPr>
          <w:p w14:paraId="71D4480D" w14:textId="77777777" w:rsidR="006A3667" w:rsidRDefault="006A3667">
            <w:pPr>
              <w:rPr>
                <w:rFonts w:ascii="宋体"/>
              </w:rPr>
            </w:pPr>
          </w:p>
        </w:tc>
        <w:tc>
          <w:tcPr>
            <w:tcW w:w="5" w:type="pct"/>
            <w:shd w:val="clear" w:color="auto" w:fill="auto"/>
            <w:vAlign w:val="bottom"/>
          </w:tcPr>
          <w:p w14:paraId="71D4480E" w14:textId="77777777" w:rsidR="006A3667" w:rsidRDefault="006A3667">
            <w:pPr>
              <w:rPr>
                <w:rFonts w:ascii="宋体"/>
              </w:rPr>
            </w:pPr>
          </w:p>
        </w:tc>
        <w:tc>
          <w:tcPr>
            <w:tcW w:w="5" w:type="pct"/>
            <w:shd w:val="clear" w:color="auto" w:fill="auto"/>
            <w:vAlign w:val="bottom"/>
          </w:tcPr>
          <w:p w14:paraId="71D4480F" w14:textId="77777777" w:rsidR="006A3667" w:rsidRDefault="006A3667">
            <w:pPr>
              <w:rPr>
                <w:rFonts w:ascii="宋体"/>
              </w:rPr>
            </w:pPr>
          </w:p>
        </w:tc>
        <w:tc>
          <w:tcPr>
            <w:tcW w:w="19" w:type="pct"/>
            <w:shd w:val="clear" w:color="auto" w:fill="auto"/>
            <w:vAlign w:val="bottom"/>
          </w:tcPr>
          <w:p w14:paraId="71D44810" w14:textId="77777777" w:rsidR="006A3667" w:rsidRDefault="006A3667">
            <w:pPr>
              <w:rPr>
                <w:rFonts w:ascii="宋体"/>
              </w:rPr>
            </w:pPr>
          </w:p>
        </w:tc>
        <w:tc>
          <w:tcPr>
            <w:tcW w:w="5" w:type="pct"/>
            <w:shd w:val="clear" w:color="auto" w:fill="auto"/>
            <w:vAlign w:val="bottom"/>
          </w:tcPr>
          <w:p w14:paraId="71D44811" w14:textId="77777777" w:rsidR="006A3667" w:rsidRDefault="006A3667">
            <w:pPr>
              <w:rPr>
                <w:rFonts w:ascii="宋体"/>
              </w:rPr>
            </w:pPr>
          </w:p>
        </w:tc>
        <w:tc>
          <w:tcPr>
            <w:tcW w:w="50" w:type="pct"/>
            <w:shd w:val="clear" w:color="auto" w:fill="auto"/>
            <w:vAlign w:val="bottom"/>
          </w:tcPr>
          <w:p w14:paraId="71D44812" w14:textId="77777777" w:rsidR="006A3667" w:rsidRDefault="006A3667">
            <w:pPr>
              <w:rPr>
                <w:rFonts w:ascii="宋体"/>
              </w:rPr>
            </w:pPr>
          </w:p>
        </w:tc>
        <w:tc>
          <w:tcPr>
            <w:tcW w:w="317" w:type="pct"/>
            <w:shd w:val="clear" w:color="auto" w:fill="auto"/>
            <w:vAlign w:val="bottom"/>
          </w:tcPr>
          <w:p w14:paraId="71D44813" w14:textId="77777777" w:rsidR="006A3667" w:rsidRDefault="006A3667">
            <w:pPr>
              <w:rPr>
                <w:rFonts w:ascii="宋体"/>
              </w:rPr>
            </w:pPr>
          </w:p>
        </w:tc>
        <w:tc>
          <w:tcPr>
            <w:tcW w:w="5" w:type="pct"/>
            <w:shd w:val="clear" w:color="auto" w:fill="auto"/>
            <w:vAlign w:val="bottom"/>
          </w:tcPr>
          <w:p w14:paraId="71D44814" w14:textId="77777777" w:rsidR="006A3667" w:rsidRDefault="006A3667">
            <w:pPr>
              <w:rPr>
                <w:rFonts w:ascii="宋体"/>
              </w:rPr>
            </w:pPr>
          </w:p>
        </w:tc>
        <w:tc>
          <w:tcPr>
            <w:tcW w:w="5" w:type="pct"/>
            <w:shd w:val="clear" w:color="auto" w:fill="auto"/>
            <w:vAlign w:val="bottom"/>
          </w:tcPr>
          <w:p w14:paraId="71D44815" w14:textId="77777777" w:rsidR="006A3667" w:rsidRDefault="006A3667">
            <w:pPr>
              <w:rPr>
                <w:rFonts w:ascii="宋体"/>
              </w:rPr>
            </w:pPr>
          </w:p>
        </w:tc>
        <w:tc>
          <w:tcPr>
            <w:tcW w:w="19" w:type="pct"/>
            <w:shd w:val="clear" w:color="auto" w:fill="auto"/>
            <w:vAlign w:val="bottom"/>
          </w:tcPr>
          <w:p w14:paraId="71D44816" w14:textId="77777777" w:rsidR="006A3667" w:rsidRDefault="006A3667">
            <w:pPr>
              <w:rPr>
                <w:rFonts w:ascii="宋体"/>
              </w:rPr>
            </w:pPr>
          </w:p>
        </w:tc>
        <w:tc>
          <w:tcPr>
            <w:tcW w:w="5" w:type="pct"/>
            <w:shd w:val="clear" w:color="auto" w:fill="auto"/>
            <w:vAlign w:val="bottom"/>
          </w:tcPr>
          <w:p w14:paraId="71D44817" w14:textId="77777777" w:rsidR="006A3667" w:rsidRDefault="006A3667">
            <w:pPr>
              <w:rPr>
                <w:rFonts w:ascii="宋体"/>
              </w:rPr>
            </w:pPr>
          </w:p>
        </w:tc>
        <w:tc>
          <w:tcPr>
            <w:tcW w:w="50" w:type="pct"/>
            <w:shd w:val="clear" w:color="auto" w:fill="auto"/>
            <w:vAlign w:val="bottom"/>
          </w:tcPr>
          <w:p w14:paraId="71D44818" w14:textId="77777777" w:rsidR="006A3667" w:rsidRDefault="006A3667">
            <w:pPr>
              <w:rPr>
                <w:rFonts w:ascii="宋体"/>
              </w:rPr>
            </w:pPr>
          </w:p>
        </w:tc>
        <w:tc>
          <w:tcPr>
            <w:tcW w:w="434" w:type="pct"/>
            <w:shd w:val="clear" w:color="auto" w:fill="auto"/>
            <w:vAlign w:val="bottom"/>
          </w:tcPr>
          <w:p w14:paraId="71D44819" w14:textId="77777777" w:rsidR="006A3667" w:rsidRDefault="006A3667">
            <w:pPr>
              <w:rPr>
                <w:rFonts w:ascii="宋体"/>
              </w:rPr>
            </w:pPr>
          </w:p>
        </w:tc>
        <w:tc>
          <w:tcPr>
            <w:tcW w:w="5" w:type="pct"/>
            <w:shd w:val="clear" w:color="auto" w:fill="auto"/>
            <w:vAlign w:val="bottom"/>
          </w:tcPr>
          <w:p w14:paraId="71D4481A" w14:textId="77777777" w:rsidR="006A3667" w:rsidRDefault="006A3667">
            <w:pPr>
              <w:rPr>
                <w:rFonts w:ascii="宋体"/>
              </w:rPr>
            </w:pPr>
          </w:p>
        </w:tc>
        <w:tc>
          <w:tcPr>
            <w:tcW w:w="5" w:type="pct"/>
            <w:shd w:val="clear" w:color="auto" w:fill="auto"/>
            <w:vAlign w:val="bottom"/>
          </w:tcPr>
          <w:p w14:paraId="71D4481B" w14:textId="77777777" w:rsidR="006A3667" w:rsidRDefault="006A3667">
            <w:pPr>
              <w:rPr>
                <w:rFonts w:ascii="宋体"/>
              </w:rPr>
            </w:pPr>
          </w:p>
        </w:tc>
        <w:tc>
          <w:tcPr>
            <w:tcW w:w="19" w:type="pct"/>
            <w:shd w:val="clear" w:color="auto" w:fill="auto"/>
            <w:vAlign w:val="bottom"/>
          </w:tcPr>
          <w:p w14:paraId="71D4481C" w14:textId="77777777" w:rsidR="006A3667" w:rsidRDefault="006A3667">
            <w:pPr>
              <w:rPr>
                <w:rFonts w:ascii="宋体"/>
              </w:rPr>
            </w:pPr>
          </w:p>
        </w:tc>
        <w:tc>
          <w:tcPr>
            <w:tcW w:w="5" w:type="pct"/>
            <w:shd w:val="clear" w:color="auto" w:fill="auto"/>
            <w:vAlign w:val="bottom"/>
          </w:tcPr>
          <w:p w14:paraId="71D4481D" w14:textId="77777777" w:rsidR="006A3667" w:rsidRDefault="006A3667">
            <w:pPr>
              <w:rPr>
                <w:rFonts w:ascii="宋体"/>
              </w:rPr>
            </w:pPr>
          </w:p>
        </w:tc>
        <w:tc>
          <w:tcPr>
            <w:tcW w:w="50" w:type="pct"/>
            <w:shd w:val="clear" w:color="auto" w:fill="auto"/>
            <w:vAlign w:val="bottom"/>
          </w:tcPr>
          <w:p w14:paraId="71D4481E" w14:textId="77777777" w:rsidR="006A3667" w:rsidRDefault="006A3667">
            <w:pPr>
              <w:rPr>
                <w:rFonts w:ascii="宋体"/>
              </w:rPr>
            </w:pPr>
          </w:p>
        </w:tc>
        <w:tc>
          <w:tcPr>
            <w:tcW w:w="303" w:type="pct"/>
            <w:shd w:val="clear" w:color="auto" w:fill="auto"/>
            <w:vAlign w:val="bottom"/>
          </w:tcPr>
          <w:p w14:paraId="71D4481F" w14:textId="77777777" w:rsidR="006A3667" w:rsidRDefault="006A3667">
            <w:pPr>
              <w:rPr>
                <w:rFonts w:ascii="宋体"/>
              </w:rPr>
            </w:pPr>
          </w:p>
        </w:tc>
        <w:tc>
          <w:tcPr>
            <w:tcW w:w="5" w:type="pct"/>
            <w:shd w:val="clear" w:color="auto" w:fill="auto"/>
            <w:vAlign w:val="bottom"/>
          </w:tcPr>
          <w:p w14:paraId="71D44820" w14:textId="77777777" w:rsidR="006A3667" w:rsidRDefault="006A3667">
            <w:pPr>
              <w:rPr>
                <w:rFonts w:ascii="宋体"/>
              </w:rPr>
            </w:pPr>
          </w:p>
        </w:tc>
        <w:tc>
          <w:tcPr>
            <w:tcW w:w="0" w:type="auto"/>
            <w:gridSpan w:val="3"/>
            <w:shd w:val="clear" w:color="auto" w:fill="auto"/>
            <w:vAlign w:val="bottom"/>
          </w:tcPr>
          <w:p w14:paraId="71D44821" w14:textId="77777777" w:rsidR="006A3667" w:rsidRDefault="006A3667">
            <w:pPr>
              <w:rPr>
                <w:rFonts w:ascii="宋体"/>
                <w:vanish/>
              </w:rPr>
            </w:pPr>
          </w:p>
        </w:tc>
        <w:tc>
          <w:tcPr>
            <w:tcW w:w="0" w:type="auto"/>
            <w:gridSpan w:val="3"/>
            <w:shd w:val="clear" w:color="auto" w:fill="auto"/>
            <w:vAlign w:val="bottom"/>
          </w:tcPr>
          <w:p w14:paraId="71D44822" w14:textId="77777777" w:rsidR="006A3667" w:rsidRDefault="006A3667">
            <w:pPr>
              <w:rPr>
                <w:rFonts w:ascii="宋体"/>
                <w:vanish/>
              </w:rPr>
            </w:pPr>
          </w:p>
        </w:tc>
        <w:tc>
          <w:tcPr>
            <w:tcW w:w="5" w:type="pct"/>
            <w:shd w:val="clear" w:color="auto" w:fill="auto"/>
            <w:vAlign w:val="bottom"/>
          </w:tcPr>
          <w:p w14:paraId="71D44823" w14:textId="77777777" w:rsidR="006A3667" w:rsidRDefault="006A3667">
            <w:pPr>
              <w:rPr>
                <w:rFonts w:ascii="宋体"/>
              </w:rPr>
            </w:pPr>
          </w:p>
        </w:tc>
        <w:tc>
          <w:tcPr>
            <w:tcW w:w="19" w:type="pct"/>
            <w:shd w:val="clear" w:color="auto" w:fill="auto"/>
            <w:vAlign w:val="bottom"/>
          </w:tcPr>
          <w:p w14:paraId="71D44824" w14:textId="77777777" w:rsidR="006A3667" w:rsidRDefault="006A3667">
            <w:pPr>
              <w:rPr>
                <w:rFonts w:ascii="宋体"/>
              </w:rPr>
            </w:pPr>
          </w:p>
        </w:tc>
        <w:tc>
          <w:tcPr>
            <w:tcW w:w="5" w:type="pct"/>
            <w:shd w:val="clear" w:color="auto" w:fill="auto"/>
            <w:vAlign w:val="bottom"/>
          </w:tcPr>
          <w:p w14:paraId="71D44825" w14:textId="77777777" w:rsidR="006A3667" w:rsidRDefault="006A3667">
            <w:pPr>
              <w:rPr>
                <w:rFonts w:ascii="宋体"/>
              </w:rPr>
            </w:pPr>
          </w:p>
        </w:tc>
        <w:tc>
          <w:tcPr>
            <w:tcW w:w="50" w:type="pct"/>
            <w:shd w:val="clear" w:color="auto" w:fill="auto"/>
            <w:vAlign w:val="bottom"/>
          </w:tcPr>
          <w:p w14:paraId="71D44826" w14:textId="77777777" w:rsidR="006A3667" w:rsidRDefault="006A3667">
            <w:pPr>
              <w:rPr>
                <w:rFonts w:ascii="宋体"/>
              </w:rPr>
            </w:pPr>
          </w:p>
        </w:tc>
        <w:tc>
          <w:tcPr>
            <w:tcW w:w="200" w:type="pct"/>
            <w:shd w:val="clear" w:color="auto" w:fill="auto"/>
            <w:vAlign w:val="bottom"/>
          </w:tcPr>
          <w:p w14:paraId="71D44827" w14:textId="77777777" w:rsidR="006A3667" w:rsidRDefault="006A3667">
            <w:pPr>
              <w:rPr>
                <w:rFonts w:ascii="宋体"/>
              </w:rPr>
            </w:pPr>
          </w:p>
        </w:tc>
        <w:tc>
          <w:tcPr>
            <w:tcW w:w="5" w:type="pct"/>
            <w:shd w:val="clear" w:color="auto" w:fill="auto"/>
            <w:vAlign w:val="bottom"/>
          </w:tcPr>
          <w:p w14:paraId="71D44828" w14:textId="77777777" w:rsidR="006A3667" w:rsidRDefault="006A3667">
            <w:pPr>
              <w:rPr>
                <w:rFonts w:ascii="宋体"/>
              </w:rPr>
            </w:pPr>
          </w:p>
        </w:tc>
        <w:tc>
          <w:tcPr>
            <w:tcW w:w="5" w:type="pct"/>
            <w:shd w:val="clear" w:color="auto" w:fill="auto"/>
            <w:vAlign w:val="bottom"/>
          </w:tcPr>
          <w:p w14:paraId="71D44829" w14:textId="77777777" w:rsidR="006A3667" w:rsidRDefault="006A3667">
            <w:pPr>
              <w:rPr>
                <w:rFonts w:ascii="宋体"/>
              </w:rPr>
            </w:pPr>
          </w:p>
        </w:tc>
        <w:tc>
          <w:tcPr>
            <w:tcW w:w="19" w:type="pct"/>
            <w:shd w:val="clear" w:color="auto" w:fill="auto"/>
            <w:vAlign w:val="bottom"/>
          </w:tcPr>
          <w:p w14:paraId="71D4482A" w14:textId="77777777" w:rsidR="006A3667" w:rsidRDefault="006A3667">
            <w:pPr>
              <w:rPr>
                <w:rFonts w:ascii="宋体"/>
              </w:rPr>
            </w:pPr>
          </w:p>
        </w:tc>
        <w:tc>
          <w:tcPr>
            <w:tcW w:w="5" w:type="pct"/>
            <w:shd w:val="clear" w:color="auto" w:fill="auto"/>
            <w:vAlign w:val="bottom"/>
          </w:tcPr>
          <w:p w14:paraId="71D4482B" w14:textId="77777777" w:rsidR="006A3667" w:rsidRDefault="006A3667">
            <w:pPr>
              <w:rPr>
                <w:rFonts w:ascii="宋体"/>
              </w:rPr>
            </w:pPr>
          </w:p>
        </w:tc>
        <w:tc>
          <w:tcPr>
            <w:tcW w:w="50" w:type="pct"/>
            <w:shd w:val="clear" w:color="auto" w:fill="auto"/>
            <w:vAlign w:val="bottom"/>
          </w:tcPr>
          <w:p w14:paraId="71D4482C" w14:textId="77777777" w:rsidR="006A3667" w:rsidRDefault="006A3667">
            <w:pPr>
              <w:rPr>
                <w:rFonts w:ascii="宋体"/>
              </w:rPr>
            </w:pPr>
          </w:p>
        </w:tc>
        <w:tc>
          <w:tcPr>
            <w:tcW w:w="347" w:type="pct"/>
            <w:shd w:val="clear" w:color="auto" w:fill="auto"/>
            <w:vAlign w:val="bottom"/>
          </w:tcPr>
          <w:p w14:paraId="71D4482D" w14:textId="77777777" w:rsidR="006A3667" w:rsidRDefault="006A3667">
            <w:pPr>
              <w:rPr>
                <w:rFonts w:ascii="宋体"/>
              </w:rPr>
            </w:pPr>
          </w:p>
        </w:tc>
        <w:tc>
          <w:tcPr>
            <w:tcW w:w="5" w:type="pct"/>
            <w:shd w:val="clear" w:color="auto" w:fill="auto"/>
            <w:vAlign w:val="bottom"/>
          </w:tcPr>
          <w:p w14:paraId="71D4482E" w14:textId="77777777" w:rsidR="006A3667" w:rsidRDefault="006A3667">
            <w:pPr>
              <w:rPr>
                <w:rFonts w:ascii="宋体"/>
              </w:rPr>
            </w:pPr>
          </w:p>
        </w:tc>
        <w:tc>
          <w:tcPr>
            <w:tcW w:w="5" w:type="pct"/>
            <w:shd w:val="clear" w:color="auto" w:fill="auto"/>
            <w:vAlign w:val="bottom"/>
          </w:tcPr>
          <w:p w14:paraId="71D4482F" w14:textId="77777777" w:rsidR="006A3667" w:rsidRDefault="006A3667">
            <w:pPr>
              <w:rPr>
                <w:rFonts w:ascii="宋体"/>
              </w:rPr>
            </w:pPr>
          </w:p>
        </w:tc>
        <w:tc>
          <w:tcPr>
            <w:tcW w:w="19" w:type="pct"/>
            <w:shd w:val="clear" w:color="auto" w:fill="auto"/>
            <w:vAlign w:val="bottom"/>
          </w:tcPr>
          <w:p w14:paraId="71D44830" w14:textId="77777777" w:rsidR="006A3667" w:rsidRDefault="006A3667">
            <w:pPr>
              <w:rPr>
                <w:rFonts w:ascii="宋体"/>
              </w:rPr>
            </w:pPr>
          </w:p>
        </w:tc>
        <w:tc>
          <w:tcPr>
            <w:tcW w:w="5" w:type="pct"/>
            <w:shd w:val="clear" w:color="auto" w:fill="auto"/>
            <w:vAlign w:val="bottom"/>
          </w:tcPr>
          <w:p w14:paraId="71D44831" w14:textId="77777777" w:rsidR="006A3667" w:rsidRDefault="006A3667">
            <w:pPr>
              <w:rPr>
                <w:rFonts w:ascii="宋体"/>
              </w:rPr>
            </w:pPr>
          </w:p>
        </w:tc>
        <w:tc>
          <w:tcPr>
            <w:tcW w:w="50" w:type="pct"/>
            <w:shd w:val="clear" w:color="auto" w:fill="auto"/>
            <w:vAlign w:val="bottom"/>
          </w:tcPr>
          <w:p w14:paraId="71D44832" w14:textId="77777777" w:rsidR="006A3667" w:rsidRDefault="006A3667">
            <w:pPr>
              <w:rPr>
                <w:rFonts w:ascii="宋体"/>
              </w:rPr>
            </w:pPr>
          </w:p>
        </w:tc>
        <w:tc>
          <w:tcPr>
            <w:tcW w:w="273" w:type="pct"/>
            <w:shd w:val="clear" w:color="auto" w:fill="auto"/>
            <w:vAlign w:val="bottom"/>
          </w:tcPr>
          <w:p w14:paraId="71D44833" w14:textId="77777777" w:rsidR="006A3667" w:rsidRDefault="006A3667">
            <w:pPr>
              <w:rPr>
                <w:rFonts w:ascii="宋体"/>
              </w:rPr>
            </w:pPr>
          </w:p>
        </w:tc>
        <w:tc>
          <w:tcPr>
            <w:tcW w:w="5" w:type="pct"/>
            <w:shd w:val="clear" w:color="auto" w:fill="auto"/>
            <w:vAlign w:val="bottom"/>
          </w:tcPr>
          <w:p w14:paraId="71D44834" w14:textId="77777777" w:rsidR="006A3667" w:rsidRDefault="006A3667">
            <w:pPr>
              <w:rPr>
                <w:rFonts w:ascii="宋体"/>
              </w:rPr>
            </w:pPr>
          </w:p>
        </w:tc>
        <w:tc>
          <w:tcPr>
            <w:tcW w:w="5" w:type="pct"/>
            <w:shd w:val="clear" w:color="auto" w:fill="auto"/>
            <w:vAlign w:val="bottom"/>
          </w:tcPr>
          <w:p w14:paraId="71D44835" w14:textId="77777777" w:rsidR="006A3667" w:rsidRDefault="006A3667">
            <w:pPr>
              <w:rPr>
                <w:rFonts w:ascii="宋体"/>
              </w:rPr>
            </w:pPr>
          </w:p>
        </w:tc>
        <w:tc>
          <w:tcPr>
            <w:tcW w:w="19" w:type="pct"/>
            <w:shd w:val="clear" w:color="auto" w:fill="auto"/>
            <w:vAlign w:val="bottom"/>
          </w:tcPr>
          <w:p w14:paraId="71D44836" w14:textId="77777777" w:rsidR="006A3667" w:rsidRDefault="006A3667">
            <w:pPr>
              <w:rPr>
                <w:rFonts w:ascii="宋体"/>
              </w:rPr>
            </w:pPr>
          </w:p>
        </w:tc>
        <w:tc>
          <w:tcPr>
            <w:tcW w:w="5" w:type="pct"/>
            <w:shd w:val="clear" w:color="auto" w:fill="auto"/>
            <w:vAlign w:val="bottom"/>
          </w:tcPr>
          <w:p w14:paraId="71D44837" w14:textId="77777777" w:rsidR="006A3667" w:rsidRDefault="006A3667">
            <w:pPr>
              <w:rPr>
                <w:rFonts w:ascii="宋体"/>
              </w:rPr>
            </w:pPr>
          </w:p>
        </w:tc>
        <w:tc>
          <w:tcPr>
            <w:tcW w:w="50" w:type="pct"/>
            <w:shd w:val="clear" w:color="auto" w:fill="auto"/>
            <w:vAlign w:val="bottom"/>
          </w:tcPr>
          <w:p w14:paraId="71D44838" w14:textId="77777777" w:rsidR="006A3667" w:rsidRDefault="006A3667">
            <w:pPr>
              <w:rPr>
                <w:rFonts w:ascii="宋体"/>
              </w:rPr>
            </w:pPr>
          </w:p>
        </w:tc>
        <w:tc>
          <w:tcPr>
            <w:tcW w:w="273" w:type="pct"/>
            <w:shd w:val="clear" w:color="auto" w:fill="auto"/>
            <w:vAlign w:val="bottom"/>
          </w:tcPr>
          <w:p w14:paraId="71D44839" w14:textId="77777777" w:rsidR="006A3667" w:rsidRDefault="006A3667">
            <w:pPr>
              <w:rPr>
                <w:rFonts w:ascii="宋体"/>
              </w:rPr>
            </w:pPr>
          </w:p>
        </w:tc>
        <w:tc>
          <w:tcPr>
            <w:tcW w:w="5" w:type="pct"/>
            <w:shd w:val="clear" w:color="auto" w:fill="auto"/>
            <w:vAlign w:val="bottom"/>
          </w:tcPr>
          <w:p w14:paraId="71D4483A" w14:textId="77777777" w:rsidR="006A3667" w:rsidRDefault="006A3667">
            <w:pPr>
              <w:rPr>
                <w:rFonts w:ascii="宋体"/>
              </w:rPr>
            </w:pPr>
          </w:p>
        </w:tc>
        <w:tc>
          <w:tcPr>
            <w:tcW w:w="5" w:type="pct"/>
            <w:shd w:val="clear" w:color="auto" w:fill="auto"/>
            <w:vAlign w:val="bottom"/>
          </w:tcPr>
          <w:p w14:paraId="71D4483B" w14:textId="77777777" w:rsidR="006A3667" w:rsidRDefault="006A3667">
            <w:pPr>
              <w:rPr>
                <w:rFonts w:ascii="宋体"/>
              </w:rPr>
            </w:pPr>
          </w:p>
        </w:tc>
        <w:tc>
          <w:tcPr>
            <w:tcW w:w="19" w:type="pct"/>
            <w:shd w:val="clear" w:color="auto" w:fill="auto"/>
            <w:vAlign w:val="bottom"/>
          </w:tcPr>
          <w:p w14:paraId="71D4483C" w14:textId="77777777" w:rsidR="006A3667" w:rsidRDefault="006A3667">
            <w:pPr>
              <w:rPr>
                <w:rFonts w:ascii="宋体"/>
              </w:rPr>
            </w:pPr>
          </w:p>
        </w:tc>
        <w:tc>
          <w:tcPr>
            <w:tcW w:w="5" w:type="pct"/>
            <w:shd w:val="clear" w:color="auto" w:fill="auto"/>
            <w:vAlign w:val="bottom"/>
          </w:tcPr>
          <w:p w14:paraId="71D4483D" w14:textId="77777777" w:rsidR="006A3667" w:rsidRDefault="006A3667">
            <w:pPr>
              <w:rPr>
                <w:rFonts w:ascii="宋体"/>
              </w:rPr>
            </w:pPr>
          </w:p>
        </w:tc>
        <w:tc>
          <w:tcPr>
            <w:tcW w:w="50" w:type="pct"/>
            <w:shd w:val="clear" w:color="auto" w:fill="auto"/>
            <w:vAlign w:val="bottom"/>
          </w:tcPr>
          <w:p w14:paraId="71D4483E" w14:textId="77777777" w:rsidR="006A3667" w:rsidRDefault="006A3667">
            <w:pPr>
              <w:rPr>
                <w:rFonts w:ascii="宋体"/>
              </w:rPr>
            </w:pPr>
          </w:p>
        </w:tc>
        <w:tc>
          <w:tcPr>
            <w:tcW w:w="420" w:type="pct"/>
            <w:shd w:val="clear" w:color="auto" w:fill="auto"/>
            <w:vAlign w:val="bottom"/>
          </w:tcPr>
          <w:p w14:paraId="71D4483F" w14:textId="77777777" w:rsidR="006A3667" w:rsidRDefault="006A3667">
            <w:pPr>
              <w:rPr>
                <w:rFonts w:ascii="宋体"/>
              </w:rPr>
            </w:pPr>
          </w:p>
        </w:tc>
        <w:tc>
          <w:tcPr>
            <w:tcW w:w="5" w:type="pct"/>
            <w:shd w:val="clear" w:color="auto" w:fill="auto"/>
            <w:vAlign w:val="bottom"/>
          </w:tcPr>
          <w:p w14:paraId="71D44840" w14:textId="77777777" w:rsidR="006A3667" w:rsidRDefault="006A3667">
            <w:pPr>
              <w:rPr>
                <w:rFonts w:ascii="宋体"/>
              </w:rPr>
            </w:pPr>
          </w:p>
        </w:tc>
        <w:tc>
          <w:tcPr>
            <w:tcW w:w="5" w:type="pct"/>
            <w:shd w:val="clear" w:color="auto" w:fill="auto"/>
            <w:vAlign w:val="bottom"/>
          </w:tcPr>
          <w:p w14:paraId="71D44841" w14:textId="77777777" w:rsidR="006A3667" w:rsidRDefault="006A3667">
            <w:pPr>
              <w:rPr>
                <w:rFonts w:ascii="宋体"/>
              </w:rPr>
            </w:pPr>
          </w:p>
        </w:tc>
        <w:tc>
          <w:tcPr>
            <w:tcW w:w="19" w:type="pct"/>
            <w:shd w:val="clear" w:color="auto" w:fill="auto"/>
            <w:vAlign w:val="bottom"/>
          </w:tcPr>
          <w:p w14:paraId="71D44842" w14:textId="77777777" w:rsidR="006A3667" w:rsidRDefault="006A3667">
            <w:pPr>
              <w:rPr>
                <w:rFonts w:ascii="宋体"/>
              </w:rPr>
            </w:pPr>
          </w:p>
        </w:tc>
        <w:tc>
          <w:tcPr>
            <w:tcW w:w="5" w:type="pct"/>
            <w:shd w:val="clear" w:color="auto" w:fill="auto"/>
            <w:vAlign w:val="bottom"/>
          </w:tcPr>
          <w:p w14:paraId="71D44843" w14:textId="77777777" w:rsidR="006A3667" w:rsidRDefault="006A3667">
            <w:pPr>
              <w:rPr>
                <w:rFonts w:ascii="宋体"/>
              </w:rPr>
            </w:pPr>
          </w:p>
        </w:tc>
      </w:tr>
      <w:tr w:rsidR="006A3667" w14:paraId="71D4485B" w14:textId="77777777">
        <w:trPr>
          <w:trHeight w:val="60"/>
        </w:trPr>
        <w:tc>
          <w:tcPr>
            <w:tcW w:w="0" w:type="auto"/>
            <w:gridSpan w:val="3"/>
            <w:shd w:val="clear" w:color="auto" w:fill="auto"/>
            <w:tcMar>
              <w:top w:w="0" w:type="dxa"/>
              <w:left w:w="20" w:type="dxa"/>
              <w:bottom w:w="0" w:type="dxa"/>
              <w:right w:w="20" w:type="dxa"/>
            </w:tcMar>
            <w:vAlign w:val="bottom"/>
          </w:tcPr>
          <w:p w14:paraId="71D4484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4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4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4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4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4C" w14:textId="77777777" w:rsidR="006A3667" w:rsidRDefault="006A3667">
            <w:pPr>
              <w:rPr>
                <w:rFonts w:ascii="宋体"/>
              </w:rPr>
            </w:pPr>
          </w:p>
        </w:tc>
        <w:tc>
          <w:tcPr>
            <w:tcW w:w="0" w:type="auto"/>
            <w:gridSpan w:val="3"/>
            <w:shd w:val="clear" w:color="auto" w:fill="auto"/>
            <w:vAlign w:val="bottom"/>
          </w:tcPr>
          <w:p w14:paraId="71D4484D" w14:textId="77777777" w:rsidR="006A3667" w:rsidRDefault="006A3667">
            <w:pPr>
              <w:rPr>
                <w:rFonts w:ascii="宋体"/>
                <w:vanish/>
              </w:rPr>
            </w:pPr>
          </w:p>
        </w:tc>
        <w:tc>
          <w:tcPr>
            <w:tcW w:w="0" w:type="auto"/>
            <w:gridSpan w:val="3"/>
            <w:shd w:val="clear" w:color="auto" w:fill="auto"/>
            <w:vAlign w:val="bottom"/>
          </w:tcPr>
          <w:p w14:paraId="71D4484E"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484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858"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4859" w14:textId="77777777" w:rsidR="006A3667" w:rsidRDefault="006A3667">
            <w:pPr>
              <w:rPr>
                <w:rFonts w:ascii="宋体"/>
              </w:rPr>
            </w:pPr>
          </w:p>
        </w:tc>
        <w:tc>
          <w:tcPr>
            <w:tcW w:w="0" w:type="auto"/>
            <w:shd w:val="clear" w:color="auto" w:fill="auto"/>
            <w:tcMar>
              <w:top w:w="0" w:type="dxa"/>
              <w:left w:w="20" w:type="dxa"/>
              <w:bottom w:w="0" w:type="dxa"/>
              <w:right w:w="20" w:type="dxa"/>
            </w:tcMar>
            <w:vAlign w:val="bottom"/>
          </w:tcPr>
          <w:p w14:paraId="71D4485A" w14:textId="77777777" w:rsidR="006A3667" w:rsidRDefault="006A3667">
            <w:pPr>
              <w:rPr>
                <w:rFonts w:ascii="宋体"/>
              </w:rPr>
            </w:pPr>
          </w:p>
        </w:tc>
      </w:tr>
      <w:tr w:rsidR="006A3667" w14:paraId="71D44897" w14:textId="77777777">
        <w:trPr>
          <w:hidden/>
        </w:trPr>
        <w:tc>
          <w:tcPr>
            <w:tcW w:w="0" w:type="auto"/>
            <w:gridSpan w:val="3"/>
            <w:shd w:val="clear" w:color="auto" w:fill="auto"/>
            <w:vAlign w:val="bottom"/>
          </w:tcPr>
          <w:p w14:paraId="71D4485C" w14:textId="77777777" w:rsidR="006A3667" w:rsidRDefault="006A3667">
            <w:pPr>
              <w:rPr>
                <w:rFonts w:ascii="宋体"/>
                <w:vanish/>
              </w:rPr>
            </w:pPr>
          </w:p>
        </w:tc>
        <w:tc>
          <w:tcPr>
            <w:tcW w:w="0" w:type="auto"/>
            <w:gridSpan w:val="3"/>
            <w:shd w:val="clear" w:color="auto" w:fill="auto"/>
            <w:vAlign w:val="bottom"/>
          </w:tcPr>
          <w:p w14:paraId="71D4485D" w14:textId="77777777" w:rsidR="006A3667" w:rsidRDefault="006A3667">
            <w:pPr>
              <w:rPr>
                <w:rFonts w:ascii="宋体"/>
                <w:vanish/>
              </w:rPr>
            </w:pPr>
          </w:p>
        </w:tc>
        <w:tc>
          <w:tcPr>
            <w:tcW w:w="0" w:type="auto"/>
            <w:shd w:val="clear" w:color="auto" w:fill="auto"/>
            <w:vAlign w:val="bottom"/>
          </w:tcPr>
          <w:p w14:paraId="71D4485E" w14:textId="77777777" w:rsidR="006A3667" w:rsidRDefault="006A3667">
            <w:pPr>
              <w:rPr>
                <w:rFonts w:ascii="宋体"/>
              </w:rPr>
            </w:pPr>
          </w:p>
        </w:tc>
        <w:tc>
          <w:tcPr>
            <w:tcW w:w="0" w:type="auto"/>
            <w:shd w:val="clear" w:color="auto" w:fill="auto"/>
            <w:vAlign w:val="bottom"/>
          </w:tcPr>
          <w:p w14:paraId="71D4485F" w14:textId="77777777" w:rsidR="006A3667" w:rsidRDefault="006A3667">
            <w:pPr>
              <w:rPr>
                <w:rFonts w:ascii="宋体"/>
              </w:rPr>
            </w:pPr>
          </w:p>
        </w:tc>
        <w:tc>
          <w:tcPr>
            <w:tcW w:w="0" w:type="auto"/>
            <w:shd w:val="clear" w:color="auto" w:fill="auto"/>
            <w:vAlign w:val="bottom"/>
          </w:tcPr>
          <w:p w14:paraId="71D44860" w14:textId="77777777" w:rsidR="006A3667" w:rsidRDefault="006A3667">
            <w:pPr>
              <w:rPr>
                <w:rFonts w:ascii="宋体"/>
              </w:rPr>
            </w:pPr>
          </w:p>
        </w:tc>
        <w:tc>
          <w:tcPr>
            <w:tcW w:w="0" w:type="auto"/>
            <w:shd w:val="clear" w:color="auto" w:fill="auto"/>
            <w:vAlign w:val="bottom"/>
          </w:tcPr>
          <w:p w14:paraId="71D44861" w14:textId="77777777" w:rsidR="006A3667" w:rsidRDefault="006A3667">
            <w:pPr>
              <w:rPr>
                <w:rFonts w:ascii="宋体"/>
              </w:rPr>
            </w:pPr>
          </w:p>
        </w:tc>
        <w:tc>
          <w:tcPr>
            <w:tcW w:w="0" w:type="auto"/>
            <w:shd w:val="clear" w:color="auto" w:fill="auto"/>
            <w:vAlign w:val="bottom"/>
          </w:tcPr>
          <w:p w14:paraId="71D44862" w14:textId="77777777" w:rsidR="006A3667" w:rsidRDefault="006A3667">
            <w:pPr>
              <w:rPr>
                <w:rFonts w:ascii="宋体"/>
              </w:rPr>
            </w:pPr>
          </w:p>
        </w:tc>
        <w:tc>
          <w:tcPr>
            <w:tcW w:w="0" w:type="auto"/>
            <w:shd w:val="clear" w:color="auto" w:fill="auto"/>
            <w:vAlign w:val="bottom"/>
          </w:tcPr>
          <w:p w14:paraId="71D44863" w14:textId="77777777" w:rsidR="006A3667" w:rsidRDefault="006A3667">
            <w:pPr>
              <w:rPr>
                <w:rFonts w:ascii="宋体"/>
              </w:rPr>
            </w:pPr>
          </w:p>
        </w:tc>
        <w:tc>
          <w:tcPr>
            <w:tcW w:w="0" w:type="auto"/>
            <w:shd w:val="clear" w:color="auto" w:fill="auto"/>
            <w:vAlign w:val="bottom"/>
          </w:tcPr>
          <w:p w14:paraId="71D44864" w14:textId="77777777" w:rsidR="006A3667" w:rsidRDefault="006A3667">
            <w:pPr>
              <w:rPr>
                <w:rFonts w:ascii="宋体"/>
              </w:rPr>
            </w:pPr>
          </w:p>
        </w:tc>
        <w:tc>
          <w:tcPr>
            <w:tcW w:w="0" w:type="auto"/>
            <w:shd w:val="clear" w:color="auto" w:fill="auto"/>
            <w:vAlign w:val="bottom"/>
          </w:tcPr>
          <w:p w14:paraId="71D44865" w14:textId="77777777" w:rsidR="006A3667" w:rsidRDefault="006A3667">
            <w:pPr>
              <w:rPr>
                <w:rFonts w:ascii="宋体"/>
              </w:rPr>
            </w:pPr>
          </w:p>
        </w:tc>
        <w:tc>
          <w:tcPr>
            <w:tcW w:w="0" w:type="auto"/>
            <w:shd w:val="clear" w:color="auto" w:fill="auto"/>
            <w:vAlign w:val="bottom"/>
          </w:tcPr>
          <w:p w14:paraId="71D44866" w14:textId="77777777" w:rsidR="006A3667" w:rsidRDefault="006A3667">
            <w:pPr>
              <w:rPr>
                <w:rFonts w:ascii="宋体"/>
              </w:rPr>
            </w:pPr>
          </w:p>
        </w:tc>
        <w:tc>
          <w:tcPr>
            <w:tcW w:w="0" w:type="auto"/>
            <w:shd w:val="clear" w:color="auto" w:fill="auto"/>
            <w:vAlign w:val="bottom"/>
          </w:tcPr>
          <w:p w14:paraId="71D44867" w14:textId="77777777" w:rsidR="006A3667" w:rsidRDefault="006A3667">
            <w:pPr>
              <w:rPr>
                <w:rFonts w:ascii="宋体"/>
              </w:rPr>
            </w:pPr>
          </w:p>
        </w:tc>
        <w:tc>
          <w:tcPr>
            <w:tcW w:w="0" w:type="auto"/>
            <w:shd w:val="clear" w:color="auto" w:fill="auto"/>
            <w:vAlign w:val="bottom"/>
          </w:tcPr>
          <w:p w14:paraId="71D44868" w14:textId="77777777" w:rsidR="006A3667" w:rsidRDefault="006A3667">
            <w:pPr>
              <w:rPr>
                <w:rFonts w:ascii="宋体"/>
              </w:rPr>
            </w:pPr>
          </w:p>
        </w:tc>
        <w:tc>
          <w:tcPr>
            <w:tcW w:w="0" w:type="auto"/>
            <w:shd w:val="clear" w:color="auto" w:fill="auto"/>
            <w:vAlign w:val="bottom"/>
          </w:tcPr>
          <w:p w14:paraId="71D44869" w14:textId="77777777" w:rsidR="006A3667" w:rsidRDefault="006A3667">
            <w:pPr>
              <w:rPr>
                <w:rFonts w:ascii="宋体"/>
              </w:rPr>
            </w:pPr>
          </w:p>
        </w:tc>
        <w:tc>
          <w:tcPr>
            <w:tcW w:w="0" w:type="auto"/>
            <w:shd w:val="clear" w:color="auto" w:fill="auto"/>
            <w:vAlign w:val="bottom"/>
          </w:tcPr>
          <w:p w14:paraId="71D4486A" w14:textId="77777777" w:rsidR="006A3667" w:rsidRDefault="006A3667">
            <w:pPr>
              <w:rPr>
                <w:rFonts w:ascii="宋体"/>
              </w:rPr>
            </w:pPr>
          </w:p>
        </w:tc>
        <w:tc>
          <w:tcPr>
            <w:tcW w:w="0" w:type="auto"/>
            <w:shd w:val="clear" w:color="auto" w:fill="auto"/>
            <w:vAlign w:val="bottom"/>
          </w:tcPr>
          <w:p w14:paraId="71D4486B" w14:textId="77777777" w:rsidR="006A3667" w:rsidRDefault="006A3667">
            <w:pPr>
              <w:rPr>
                <w:rFonts w:ascii="宋体"/>
              </w:rPr>
            </w:pPr>
          </w:p>
        </w:tc>
        <w:tc>
          <w:tcPr>
            <w:tcW w:w="0" w:type="auto"/>
            <w:shd w:val="clear" w:color="auto" w:fill="auto"/>
            <w:vAlign w:val="bottom"/>
          </w:tcPr>
          <w:p w14:paraId="71D4486C" w14:textId="77777777" w:rsidR="006A3667" w:rsidRDefault="006A3667">
            <w:pPr>
              <w:rPr>
                <w:rFonts w:ascii="宋体"/>
              </w:rPr>
            </w:pPr>
          </w:p>
        </w:tc>
        <w:tc>
          <w:tcPr>
            <w:tcW w:w="0" w:type="auto"/>
            <w:shd w:val="clear" w:color="auto" w:fill="auto"/>
            <w:vAlign w:val="bottom"/>
          </w:tcPr>
          <w:p w14:paraId="71D4486D" w14:textId="77777777" w:rsidR="006A3667" w:rsidRDefault="006A3667">
            <w:pPr>
              <w:rPr>
                <w:rFonts w:ascii="宋体"/>
              </w:rPr>
            </w:pPr>
          </w:p>
        </w:tc>
        <w:tc>
          <w:tcPr>
            <w:tcW w:w="0" w:type="auto"/>
            <w:shd w:val="clear" w:color="auto" w:fill="auto"/>
            <w:vAlign w:val="bottom"/>
          </w:tcPr>
          <w:p w14:paraId="71D4486E" w14:textId="77777777" w:rsidR="006A3667" w:rsidRDefault="006A3667">
            <w:pPr>
              <w:rPr>
                <w:rFonts w:ascii="宋体"/>
              </w:rPr>
            </w:pPr>
          </w:p>
        </w:tc>
        <w:tc>
          <w:tcPr>
            <w:tcW w:w="0" w:type="auto"/>
            <w:shd w:val="clear" w:color="auto" w:fill="auto"/>
            <w:vAlign w:val="bottom"/>
          </w:tcPr>
          <w:p w14:paraId="71D4486F" w14:textId="77777777" w:rsidR="006A3667" w:rsidRDefault="006A3667">
            <w:pPr>
              <w:rPr>
                <w:rFonts w:ascii="宋体"/>
              </w:rPr>
            </w:pPr>
          </w:p>
        </w:tc>
        <w:tc>
          <w:tcPr>
            <w:tcW w:w="0" w:type="auto"/>
            <w:shd w:val="clear" w:color="auto" w:fill="auto"/>
            <w:vAlign w:val="bottom"/>
          </w:tcPr>
          <w:p w14:paraId="71D44870" w14:textId="77777777" w:rsidR="006A3667" w:rsidRDefault="006A3667">
            <w:pPr>
              <w:rPr>
                <w:rFonts w:ascii="宋体"/>
              </w:rPr>
            </w:pPr>
          </w:p>
        </w:tc>
        <w:tc>
          <w:tcPr>
            <w:tcW w:w="0" w:type="auto"/>
            <w:shd w:val="clear" w:color="auto" w:fill="auto"/>
            <w:vAlign w:val="bottom"/>
          </w:tcPr>
          <w:p w14:paraId="71D44871" w14:textId="77777777" w:rsidR="006A3667" w:rsidRDefault="006A3667">
            <w:pPr>
              <w:rPr>
                <w:rFonts w:ascii="宋体"/>
              </w:rPr>
            </w:pPr>
          </w:p>
        </w:tc>
        <w:tc>
          <w:tcPr>
            <w:tcW w:w="0" w:type="auto"/>
            <w:shd w:val="clear" w:color="auto" w:fill="auto"/>
            <w:vAlign w:val="bottom"/>
          </w:tcPr>
          <w:p w14:paraId="71D44872" w14:textId="77777777" w:rsidR="006A3667" w:rsidRDefault="006A3667">
            <w:pPr>
              <w:rPr>
                <w:rFonts w:ascii="宋体"/>
              </w:rPr>
            </w:pPr>
          </w:p>
        </w:tc>
        <w:tc>
          <w:tcPr>
            <w:tcW w:w="0" w:type="auto"/>
            <w:shd w:val="clear" w:color="auto" w:fill="auto"/>
            <w:vAlign w:val="bottom"/>
          </w:tcPr>
          <w:p w14:paraId="71D44873" w14:textId="77777777" w:rsidR="006A3667" w:rsidRDefault="006A3667">
            <w:pPr>
              <w:rPr>
                <w:rFonts w:ascii="宋体"/>
              </w:rPr>
            </w:pPr>
          </w:p>
        </w:tc>
        <w:tc>
          <w:tcPr>
            <w:tcW w:w="0" w:type="auto"/>
            <w:shd w:val="clear" w:color="auto" w:fill="auto"/>
            <w:vAlign w:val="bottom"/>
          </w:tcPr>
          <w:p w14:paraId="71D44874" w14:textId="77777777" w:rsidR="006A3667" w:rsidRDefault="006A3667">
            <w:pPr>
              <w:rPr>
                <w:rFonts w:ascii="宋体"/>
              </w:rPr>
            </w:pPr>
          </w:p>
        </w:tc>
        <w:tc>
          <w:tcPr>
            <w:tcW w:w="0" w:type="auto"/>
            <w:shd w:val="clear" w:color="auto" w:fill="auto"/>
            <w:vAlign w:val="bottom"/>
          </w:tcPr>
          <w:p w14:paraId="71D44875" w14:textId="77777777" w:rsidR="006A3667" w:rsidRDefault="006A3667">
            <w:pPr>
              <w:rPr>
                <w:rFonts w:ascii="宋体"/>
              </w:rPr>
            </w:pPr>
          </w:p>
        </w:tc>
        <w:tc>
          <w:tcPr>
            <w:tcW w:w="0" w:type="auto"/>
            <w:shd w:val="clear" w:color="auto" w:fill="auto"/>
            <w:vAlign w:val="bottom"/>
          </w:tcPr>
          <w:p w14:paraId="71D44876" w14:textId="77777777" w:rsidR="006A3667" w:rsidRDefault="006A3667">
            <w:pPr>
              <w:rPr>
                <w:rFonts w:ascii="宋体"/>
              </w:rPr>
            </w:pPr>
          </w:p>
        </w:tc>
        <w:tc>
          <w:tcPr>
            <w:tcW w:w="0" w:type="auto"/>
            <w:shd w:val="clear" w:color="auto" w:fill="auto"/>
            <w:vAlign w:val="bottom"/>
          </w:tcPr>
          <w:p w14:paraId="71D44877" w14:textId="77777777" w:rsidR="006A3667" w:rsidRDefault="006A3667">
            <w:pPr>
              <w:rPr>
                <w:rFonts w:ascii="宋体"/>
              </w:rPr>
            </w:pPr>
          </w:p>
        </w:tc>
        <w:tc>
          <w:tcPr>
            <w:tcW w:w="0" w:type="auto"/>
            <w:shd w:val="clear" w:color="auto" w:fill="auto"/>
            <w:vAlign w:val="bottom"/>
          </w:tcPr>
          <w:p w14:paraId="71D44878" w14:textId="77777777" w:rsidR="006A3667" w:rsidRDefault="006A3667">
            <w:pPr>
              <w:rPr>
                <w:rFonts w:ascii="宋体"/>
              </w:rPr>
            </w:pPr>
          </w:p>
        </w:tc>
        <w:tc>
          <w:tcPr>
            <w:tcW w:w="0" w:type="auto"/>
            <w:shd w:val="clear" w:color="auto" w:fill="auto"/>
            <w:vAlign w:val="bottom"/>
          </w:tcPr>
          <w:p w14:paraId="71D44879" w14:textId="77777777" w:rsidR="006A3667" w:rsidRDefault="006A3667">
            <w:pPr>
              <w:rPr>
                <w:rFonts w:ascii="宋体"/>
              </w:rPr>
            </w:pPr>
          </w:p>
        </w:tc>
        <w:tc>
          <w:tcPr>
            <w:tcW w:w="0" w:type="auto"/>
            <w:shd w:val="clear" w:color="auto" w:fill="auto"/>
            <w:vAlign w:val="bottom"/>
          </w:tcPr>
          <w:p w14:paraId="71D4487A" w14:textId="77777777" w:rsidR="006A3667" w:rsidRDefault="006A3667">
            <w:pPr>
              <w:rPr>
                <w:rFonts w:ascii="宋体"/>
              </w:rPr>
            </w:pPr>
          </w:p>
        </w:tc>
        <w:tc>
          <w:tcPr>
            <w:tcW w:w="0" w:type="auto"/>
            <w:shd w:val="clear" w:color="auto" w:fill="auto"/>
            <w:vAlign w:val="bottom"/>
          </w:tcPr>
          <w:p w14:paraId="71D4487B" w14:textId="77777777" w:rsidR="006A3667" w:rsidRDefault="006A3667">
            <w:pPr>
              <w:rPr>
                <w:rFonts w:ascii="宋体"/>
              </w:rPr>
            </w:pPr>
          </w:p>
        </w:tc>
        <w:tc>
          <w:tcPr>
            <w:tcW w:w="0" w:type="auto"/>
            <w:shd w:val="clear" w:color="auto" w:fill="auto"/>
            <w:vAlign w:val="bottom"/>
          </w:tcPr>
          <w:p w14:paraId="71D4487C" w14:textId="77777777" w:rsidR="006A3667" w:rsidRDefault="006A3667">
            <w:pPr>
              <w:rPr>
                <w:rFonts w:ascii="宋体"/>
              </w:rPr>
            </w:pPr>
          </w:p>
        </w:tc>
        <w:tc>
          <w:tcPr>
            <w:tcW w:w="0" w:type="auto"/>
            <w:shd w:val="clear" w:color="auto" w:fill="auto"/>
            <w:vAlign w:val="bottom"/>
          </w:tcPr>
          <w:p w14:paraId="71D4487D" w14:textId="77777777" w:rsidR="006A3667" w:rsidRDefault="006A3667">
            <w:pPr>
              <w:rPr>
                <w:rFonts w:ascii="宋体"/>
              </w:rPr>
            </w:pPr>
          </w:p>
        </w:tc>
        <w:tc>
          <w:tcPr>
            <w:tcW w:w="0" w:type="auto"/>
            <w:shd w:val="clear" w:color="auto" w:fill="auto"/>
            <w:vAlign w:val="bottom"/>
          </w:tcPr>
          <w:p w14:paraId="71D4487E" w14:textId="77777777" w:rsidR="006A3667" w:rsidRDefault="006A3667">
            <w:pPr>
              <w:rPr>
                <w:rFonts w:ascii="宋体"/>
              </w:rPr>
            </w:pPr>
          </w:p>
        </w:tc>
        <w:tc>
          <w:tcPr>
            <w:tcW w:w="0" w:type="auto"/>
            <w:shd w:val="clear" w:color="auto" w:fill="auto"/>
            <w:vAlign w:val="bottom"/>
          </w:tcPr>
          <w:p w14:paraId="71D4487F" w14:textId="77777777" w:rsidR="006A3667" w:rsidRDefault="006A3667">
            <w:pPr>
              <w:rPr>
                <w:rFonts w:ascii="宋体"/>
              </w:rPr>
            </w:pPr>
          </w:p>
        </w:tc>
        <w:tc>
          <w:tcPr>
            <w:tcW w:w="0" w:type="auto"/>
            <w:shd w:val="clear" w:color="auto" w:fill="auto"/>
            <w:vAlign w:val="bottom"/>
          </w:tcPr>
          <w:p w14:paraId="71D44880" w14:textId="77777777" w:rsidR="006A3667" w:rsidRDefault="006A3667">
            <w:pPr>
              <w:rPr>
                <w:rFonts w:ascii="宋体"/>
              </w:rPr>
            </w:pPr>
          </w:p>
        </w:tc>
        <w:tc>
          <w:tcPr>
            <w:tcW w:w="0" w:type="auto"/>
            <w:shd w:val="clear" w:color="auto" w:fill="auto"/>
            <w:vAlign w:val="bottom"/>
          </w:tcPr>
          <w:p w14:paraId="71D44881" w14:textId="77777777" w:rsidR="006A3667" w:rsidRDefault="006A3667">
            <w:pPr>
              <w:rPr>
                <w:rFonts w:ascii="宋体"/>
              </w:rPr>
            </w:pPr>
          </w:p>
        </w:tc>
        <w:tc>
          <w:tcPr>
            <w:tcW w:w="0" w:type="auto"/>
            <w:shd w:val="clear" w:color="auto" w:fill="auto"/>
            <w:vAlign w:val="bottom"/>
          </w:tcPr>
          <w:p w14:paraId="71D44882" w14:textId="77777777" w:rsidR="006A3667" w:rsidRDefault="006A3667">
            <w:pPr>
              <w:rPr>
                <w:rFonts w:ascii="宋体"/>
              </w:rPr>
            </w:pPr>
          </w:p>
        </w:tc>
        <w:tc>
          <w:tcPr>
            <w:tcW w:w="0" w:type="auto"/>
            <w:shd w:val="clear" w:color="auto" w:fill="auto"/>
            <w:vAlign w:val="bottom"/>
          </w:tcPr>
          <w:p w14:paraId="71D44883" w14:textId="77777777" w:rsidR="006A3667" w:rsidRDefault="006A3667">
            <w:pPr>
              <w:rPr>
                <w:rFonts w:ascii="宋体"/>
              </w:rPr>
            </w:pPr>
          </w:p>
        </w:tc>
        <w:tc>
          <w:tcPr>
            <w:tcW w:w="0" w:type="auto"/>
            <w:shd w:val="clear" w:color="auto" w:fill="auto"/>
            <w:vAlign w:val="bottom"/>
          </w:tcPr>
          <w:p w14:paraId="71D44884" w14:textId="77777777" w:rsidR="006A3667" w:rsidRDefault="006A3667">
            <w:pPr>
              <w:rPr>
                <w:rFonts w:ascii="宋体"/>
              </w:rPr>
            </w:pPr>
          </w:p>
        </w:tc>
        <w:tc>
          <w:tcPr>
            <w:tcW w:w="0" w:type="auto"/>
            <w:shd w:val="clear" w:color="auto" w:fill="auto"/>
            <w:vAlign w:val="bottom"/>
          </w:tcPr>
          <w:p w14:paraId="71D44885" w14:textId="77777777" w:rsidR="006A3667" w:rsidRDefault="006A3667">
            <w:pPr>
              <w:rPr>
                <w:rFonts w:ascii="宋体"/>
              </w:rPr>
            </w:pPr>
          </w:p>
        </w:tc>
        <w:tc>
          <w:tcPr>
            <w:tcW w:w="0" w:type="auto"/>
            <w:shd w:val="clear" w:color="auto" w:fill="auto"/>
            <w:vAlign w:val="bottom"/>
          </w:tcPr>
          <w:p w14:paraId="71D44886" w14:textId="77777777" w:rsidR="006A3667" w:rsidRDefault="006A3667">
            <w:pPr>
              <w:rPr>
                <w:rFonts w:ascii="宋体"/>
              </w:rPr>
            </w:pPr>
          </w:p>
        </w:tc>
        <w:tc>
          <w:tcPr>
            <w:tcW w:w="0" w:type="auto"/>
            <w:shd w:val="clear" w:color="auto" w:fill="auto"/>
            <w:vAlign w:val="bottom"/>
          </w:tcPr>
          <w:p w14:paraId="71D44887" w14:textId="77777777" w:rsidR="006A3667" w:rsidRDefault="006A3667">
            <w:pPr>
              <w:rPr>
                <w:rFonts w:ascii="宋体"/>
              </w:rPr>
            </w:pPr>
          </w:p>
        </w:tc>
        <w:tc>
          <w:tcPr>
            <w:tcW w:w="0" w:type="auto"/>
            <w:shd w:val="clear" w:color="auto" w:fill="auto"/>
            <w:vAlign w:val="bottom"/>
          </w:tcPr>
          <w:p w14:paraId="71D44888" w14:textId="77777777" w:rsidR="006A3667" w:rsidRDefault="006A3667">
            <w:pPr>
              <w:rPr>
                <w:rFonts w:ascii="宋体"/>
              </w:rPr>
            </w:pPr>
          </w:p>
        </w:tc>
        <w:tc>
          <w:tcPr>
            <w:tcW w:w="0" w:type="auto"/>
            <w:shd w:val="clear" w:color="auto" w:fill="auto"/>
            <w:vAlign w:val="bottom"/>
          </w:tcPr>
          <w:p w14:paraId="71D44889" w14:textId="77777777" w:rsidR="006A3667" w:rsidRDefault="006A3667">
            <w:pPr>
              <w:rPr>
                <w:rFonts w:ascii="宋体"/>
              </w:rPr>
            </w:pPr>
          </w:p>
        </w:tc>
        <w:tc>
          <w:tcPr>
            <w:tcW w:w="0" w:type="auto"/>
            <w:shd w:val="clear" w:color="auto" w:fill="auto"/>
            <w:vAlign w:val="bottom"/>
          </w:tcPr>
          <w:p w14:paraId="71D4488A" w14:textId="77777777" w:rsidR="006A3667" w:rsidRDefault="006A3667">
            <w:pPr>
              <w:rPr>
                <w:rFonts w:ascii="宋体"/>
              </w:rPr>
            </w:pPr>
          </w:p>
        </w:tc>
        <w:tc>
          <w:tcPr>
            <w:tcW w:w="0" w:type="auto"/>
            <w:shd w:val="clear" w:color="auto" w:fill="auto"/>
            <w:vAlign w:val="bottom"/>
          </w:tcPr>
          <w:p w14:paraId="71D4488B" w14:textId="77777777" w:rsidR="006A3667" w:rsidRDefault="006A3667">
            <w:pPr>
              <w:rPr>
                <w:rFonts w:ascii="宋体"/>
              </w:rPr>
            </w:pPr>
          </w:p>
        </w:tc>
        <w:tc>
          <w:tcPr>
            <w:tcW w:w="0" w:type="auto"/>
            <w:shd w:val="clear" w:color="auto" w:fill="auto"/>
            <w:vAlign w:val="bottom"/>
          </w:tcPr>
          <w:p w14:paraId="71D4488C" w14:textId="77777777" w:rsidR="006A3667" w:rsidRDefault="006A3667">
            <w:pPr>
              <w:rPr>
                <w:rFonts w:ascii="宋体"/>
              </w:rPr>
            </w:pPr>
          </w:p>
        </w:tc>
        <w:tc>
          <w:tcPr>
            <w:tcW w:w="0" w:type="auto"/>
            <w:shd w:val="clear" w:color="auto" w:fill="auto"/>
            <w:vAlign w:val="bottom"/>
          </w:tcPr>
          <w:p w14:paraId="71D4488D" w14:textId="77777777" w:rsidR="006A3667" w:rsidRDefault="006A3667">
            <w:pPr>
              <w:rPr>
                <w:rFonts w:ascii="宋体"/>
              </w:rPr>
            </w:pPr>
          </w:p>
        </w:tc>
        <w:tc>
          <w:tcPr>
            <w:tcW w:w="0" w:type="auto"/>
            <w:shd w:val="clear" w:color="auto" w:fill="auto"/>
            <w:vAlign w:val="bottom"/>
          </w:tcPr>
          <w:p w14:paraId="71D4488E" w14:textId="77777777" w:rsidR="006A3667" w:rsidRDefault="006A3667">
            <w:pPr>
              <w:rPr>
                <w:rFonts w:ascii="宋体"/>
              </w:rPr>
            </w:pPr>
          </w:p>
        </w:tc>
        <w:tc>
          <w:tcPr>
            <w:tcW w:w="0" w:type="auto"/>
            <w:shd w:val="clear" w:color="auto" w:fill="auto"/>
            <w:vAlign w:val="bottom"/>
          </w:tcPr>
          <w:p w14:paraId="71D4488F" w14:textId="77777777" w:rsidR="006A3667" w:rsidRDefault="006A3667">
            <w:pPr>
              <w:rPr>
                <w:rFonts w:ascii="宋体"/>
              </w:rPr>
            </w:pPr>
          </w:p>
        </w:tc>
        <w:tc>
          <w:tcPr>
            <w:tcW w:w="0" w:type="auto"/>
            <w:shd w:val="clear" w:color="auto" w:fill="auto"/>
            <w:vAlign w:val="bottom"/>
          </w:tcPr>
          <w:p w14:paraId="71D44890" w14:textId="77777777" w:rsidR="006A3667" w:rsidRDefault="006A3667">
            <w:pPr>
              <w:rPr>
                <w:rFonts w:ascii="宋体"/>
              </w:rPr>
            </w:pPr>
          </w:p>
        </w:tc>
        <w:tc>
          <w:tcPr>
            <w:tcW w:w="0" w:type="auto"/>
            <w:shd w:val="clear" w:color="auto" w:fill="auto"/>
            <w:vAlign w:val="bottom"/>
          </w:tcPr>
          <w:p w14:paraId="71D44891" w14:textId="77777777" w:rsidR="006A3667" w:rsidRDefault="006A3667">
            <w:pPr>
              <w:rPr>
                <w:rFonts w:ascii="宋体"/>
              </w:rPr>
            </w:pPr>
          </w:p>
        </w:tc>
        <w:tc>
          <w:tcPr>
            <w:tcW w:w="0" w:type="auto"/>
            <w:shd w:val="clear" w:color="auto" w:fill="auto"/>
            <w:vAlign w:val="bottom"/>
          </w:tcPr>
          <w:p w14:paraId="71D44892" w14:textId="77777777" w:rsidR="006A3667" w:rsidRDefault="006A3667">
            <w:pPr>
              <w:rPr>
                <w:rFonts w:ascii="宋体"/>
              </w:rPr>
            </w:pPr>
          </w:p>
        </w:tc>
        <w:tc>
          <w:tcPr>
            <w:tcW w:w="0" w:type="auto"/>
            <w:shd w:val="clear" w:color="auto" w:fill="auto"/>
            <w:vAlign w:val="bottom"/>
          </w:tcPr>
          <w:p w14:paraId="71D44893" w14:textId="77777777" w:rsidR="006A3667" w:rsidRDefault="006A3667">
            <w:pPr>
              <w:rPr>
                <w:rFonts w:ascii="宋体"/>
              </w:rPr>
            </w:pPr>
          </w:p>
        </w:tc>
        <w:tc>
          <w:tcPr>
            <w:tcW w:w="0" w:type="auto"/>
            <w:shd w:val="clear" w:color="auto" w:fill="auto"/>
            <w:vAlign w:val="bottom"/>
          </w:tcPr>
          <w:p w14:paraId="71D44894" w14:textId="77777777" w:rsidR="006A3667" w:rsidRDefault="006A3667">
            <w:pPr>
              <w:rPr>
                <w:rFonts w:ascii="宋体"/>
              </w:rPr>
            </w:pPr>
          </w:p>
        </w:tc>
        <w:tc>
          <w:tcPr>
            <w:tcW w:w="0" w:type="auto"/>
            <w:shd w:val="clear" w:color="auto" w:fill="auto"/>
            <w:vAlign w:val="bottom"/>
          </w:tcPr>
          <w:p w14:paraId="71D44895" w14:textId="77777777" w:rsidR="006A3667" w:rsidRDefault="006A3667">
            <w:pPr>
              <w:rPr>
                <w:rFonts w:ascii="宋体"/>
              </w:rPr>
            </w:pPr>
          </w:p>
        </w:tc>
        <w:tc>
          <w:tcPr>
            <w:tcW w:w="0" w:type="auto"/>
            <w:shd w:val="clear" w:color="auto" w:fill="auto"/>
            <w:vAlign w:val="bottom"/>
          </w:tcPr>
          <w:p w14:paraId="71D44896" w14:textId="77777777" w:rsidR="006A3667" w:rsidRDefault="006A3667">
            <w:pPr>
              <w:rPr>
                <w:rFonts w:ascii="宋体"/>
              </w:rPr>
            </w:pPr>
          </w:p>
        </w:tc>
      </w:tr>
      <w:tr w:rsidR="006A3667" w14:paraId="71D448D3" w14:textId="77777777">
        <w:trPr>
          <w:hidden/>
        </w:trPr>
        <w:tc>
          <w:tcPr>
            <w:tcW w:w="0" w:type="auto"/>
            <w:gridSpan w:val="3"/>
            <w:shd w:val="clear" w:color="auto" w:fill="auto"/>
            <w:vAlign w:val="bottom"/>
          </w:tcPr>
          <w:p w14:paraId="71D44898" w14:textId="77777777" w:rsidR="006A3667" w:rsidRDefault="006A3667">
            <w:pPr>
              <w:rPr>
                <w:rFonts w:ascii="宋体"/>
                <w:vanish/>
              </w:rPr>
            </w:pPr>
          </w:p>
        </w:tc>
        <w:tc>
          <w:tcPr>
            <w:tcW w:w="0" w:type="auto"/>
            <w:gridSpan w:val="3"/>
            <w:shd w:val="clear" w:color="auto" w:fill="auto"/>
            <w:vAlign w:val="bottom"/>
          </w:tcPr>
          <w:p w14:paraId="71D44899" w14:textId="77777777" w:rsidR="006A3667" w:rsidRDefault="006A3667">
            <w:pPr>
              <w:rPr>
                <w:rFonts w:ascii="宋体"/>
                <w:vanish/>
              </w:rPr>
            </w:pPr>
          </w:p>
        </w:tc>
        <w:tc>
          <w:tcPr>
            <w:tcW w:w="0" w:type="auto"/>
            <w:shd w:val="clear" w:color="auto" w:fill="auto"/>
            <w:vAlign w:val="bottom"/>
          </w:tcPr>
          <w:p w14:paraId="71D4489A" w14:textId="77777777" w:rsidR="006A3667" w:rsidRDefault="006A3667">
            <w:pPr>
              <w:rPr>
                <w:rFonts w:ascii="宋体"/>
              </w:rPr>
            </w:pPr>
          </w:p>
        </w:tc>
        <w:tc>
          <w:tcPr>
            <w:tcW w:w="0" w:type="auto"/>
            <w:shd w:val="clear" w:color="auto" w:fill="auto"/>
            <w:vAlign w:val="bottom"/>
          </w:tcPr>
          <w:p w14:paraId="71D4489B" w14:textId="77777777" w:rsidR="006A3667" w:rsidRDefault="006A3667">
            <w:pPr>
              <w:rPr>
                <w:rFonts w:ascii="宋体"/>
              </w:rPr>
            </w:pPr>
          </w:p>
        </w:tc>
        <w:tc>
          <w:tcPr>
            <w:tcW w:w="0" w:type="auto"/>
            <w:shd w:val="clear" w:color="auto" w:fill="auto"/>
            <w:vAlign w:val="bottom"/>
          </w:tcPr>
          <w:p w14:paraId="71D4489C" w14:textId="77777777" w:rsidR="006A3667" w:rsidRDefault="006A3667">
            <w:pPr>
              <w:rPr>
                <w:rFonts w:ascii="宋体"/>
              </w:rPr>
            </w:pPr>
          </w:p>
        </w:tc>
        <w:tc>
          <w:tcPr>
            <w:tcW w:w="0" w:type="auto"/>
            <w:shd w:val="clear" w:color="auto" w:fill="auto"/>
            <w:vAlign w:val="bottom"/>
          </w:tcPr>
          <w:p w14:paraId="71D4489D" w14:textId="77777777" w:rsidR="006A3667" w:rsidRDefault="006A3667">
            <w:pPr>
              <w:rPr>
                <w:rFonts w:ascii="宋体"/>
              </w:rPr>
            </w:pPr>
          </w:p>
        </w:tc>
        <w:tc>
          <w:tcPr>
            <w:tcW w:w="0" w:type="auto"/>
            <w:shd w:val="clear" w:color="auto" w:fill="auto"/>
            <w:vAlign w:val="bottom"/>
          </w:tcPr>
          <w:p w14:paraId="71D4489E" w14:textId="77777777" w:rsidR="006A3667" w:rsidRDefault="006A3667">
            <w:pPr>
              <w:rPr>
                <w:rFonts w:ascii="宋体"/>
              </w:rPr>
            </w:pPr>
          </w:p>
        </w:tc>
        <w:tc>
          <w:tcPr>
            <w:tcW w:w="0" w:type="auto"/>
            <w:shd w:val="clear" w:color="auto" w:fill="auto"/>
            <w:vAlign w:val="bottom"/>
          </w:tcPr>
          <w:p w14:paraId="71D4489F" w14:textId="77777777" w:rsidR="006A3667" w:rsidRDefault="006A3667">
            <w:pPr>
              <w:rPr>
                <w:rFonts w:ascii="宋体"/>
              </w:rPr>
            </w:pPr>
          </w:p>
        </w:tc>
        <w:tc>
          <w:tcPr>
            <w:tcW w:w="0" w:type="auto"/>
            <w:shd w:val="clear" w:color="auto" w:fill="auto"/>
            <w:vAlign w:val="bottom"/>
          </w:tcPr>
          <w:p w14:paraId="71D448A0" w14:textId="77777777" w:rsidR="006A3667" w:rsidRDefault="006A3667">
            <w:pPr>
              <w:rPr>
                <w:rFonts w:ascii="宋体"/>
              </w:rPr>
            </w:pPr>
          </w:p>
        </w:tc>
        <w:tc>
          <w:tcPr>
            <w:tcW w:w="0" w:type="auto"/>
            <w:shd w:val="clear" w:color="auto" w:fill="auto"/>
            <w:vAlign w:val="bottom"/>
          </w:tcPr>
          <w:p w14:paraId="71D448A1" w14:textId="77777777" w:rsidR="006A3667" w:rsidRDefault="006A3667">
            <w:pPr>
              <w:rPr>
                <w:rFonts w:ascii="宋体"/>
              </w:rPr>
            </w:pPr>
          </w:p>
        </w:tc>
        <w:tc>
          <w:tcPr>
            <w:tcW w:w="0" w:type="auto"/>
            <w:shd w:val="clear" w:color="auto" w:fill="auto"/>
            <w:vAlign w:val="bottom"/>
          </w:tcPr>
          <w:p w14:paraId="71D448A2" w14:textId="77777777" w:rsidR="006A3667" w:rsidRDefault="006A3667">
            <w:pPr>
              <w:rPr>
                <w:rFonts w:ascii="宋体"/>
              </w:rPr>
            </w:pPr>
          </w:p>
        </w:tc>
        <w:tc>
          <w:tcPr>
            <w:tcW w:w="0" w:type="auto"/>
            <w:shd w:val="clear" w:color="auto" w:fill="auto"/>
            <w:vAlign w:val="bottom"/>
          </w:tcPr>
          <w:p w14:paraId="71D448A3" w14:textId="77777777" w:rsidR="006A3667" w:rsidRDefault="006A3667">
            <w:pPr>
              <w:rPr>
                <w:rFonts w:ascii="宋体"/>
              </w:rPr>
            </w:pPr>
          </w:p>
        </w:tc>
        <w:tc>
          <w:tcPr>
            <w:tcW w:w="0" w:type="auto"/>
            <w:shd w:val="clear" w:color="auto" w:fill="auto"/>
            <w:vAlign w:val="bottom"/>
          </w:tcPr>
          <w:p w14:paraId="71D448A4" w14:textId="77777777" w:rsidR="006A3667" w:rsidRDefault="006A3667">
            <w:pPr>
              <w:rPr>
                <w:rFonts w:ascii="宋体"/>
              </w:rPr>
            </w:pPr>
          </w:p>
        </w:tc>
        <w:tc>
          <w:tcPr>
            <w:tcW w:w="0" w:type="auto"/>
            <w:shd w:val="clear" w:color="auto" w:fill="auto"/>
            <w:vAlign w:val="bottom"/>
          </w:tcPr>
          <w:p w14:paraId="71D448A5" w14:textId="77777777" w:rsidR="006A3667" w:rsidRDefault="006A3667">
            <w:pPr>
              <w:rPr>
                <w:rFonts w:ascii="宋体"/>
              </w:rPr>
            </w:pPr>
          </w:p>
        </w:tc>
        <w:tc>
          <w:tcPr>
            <w:tcW w:w="0" w:type="auto"/>
            <w:shd w:val="clear" w:color="auto" w:fill="auto"/>
            <w:vAlign w:val="bottom"/>
          </w:tcPr>
          <w:p w14:paraId="71D448A6" w14:textId="77777777" w:rsidR="006A3667" w:rsidRDefault="006A3667">
            <w:pPr>
              <w:rPr>
                <w:rFonts w:ascii="宋体"/>
              </w:rPr>
            </w:pPr>
          </w:p>
        </w:tc>
        <w:tc>
          <w:tcPr>
            <w:tcW w:w="0" w:type="auto"/>
            <w:shd w:val="clear" w:color="auto" w:fill="auto"/>
            <w:vAlign w:val="bottom"/>
          </w:tcPr>
          <w:p w14:paraId="71D448A7" w14:textId="77777777" w:rsidR="006A3667" w:rsidRDefault="006A3667">
            <w:pPr>
              <w:rPr>
                <w:rFonts w:ascii="宋体"/>
              </w:rPr>
            </w:pPr>
          </w:p>
        </w:tc>
        <w:tc>
          <w:tcPr>
            <w:tcW w:w="0" w:type="auto"/>
            <w:shd w:val="clear" w:color="auto" w:fill="auto"/>
            <w:vAlign w:val="bottom"/>
          </w:tcPr>
          <w:p w14:paraId="71D448A8" w14:textId="77777777" w:rsidR="006A3667" w:rsidRDefault="006A3667">
            <w:pPr>
              <w:rPr>
                <w:rFonts w:ascii="宋体"/>
              </w:rPr>
            </w:pPr>
          </w:p>
        </w:tc>
        <w:tc>
          <w:tcPr>
            <w:tcW w:w="0" w:type="auto"/>
            <w:shd w:val="clear" w:color="auto" w:fill="auto"/>
            <w:vAlign w:val="bottom"/>
          </w:tcPr>
          <w:p w14:paraId="71D448A9" w14:textId="77777777" w:rsidR="006A3667" w:rsidRDefault="006A3667">
            <w:pPr>
              <w:rPr>
                <w:rFonts w:ascii="宋体"/>
              </w:rPr>
            </w:pPr>
          </w:p>
        </w:tc>
        <w:tc>
          <w:tcPr>
            <w:tcW w:w="0" w:type="auto"/>
            <w:shd w:val="clear" w:color="auto" w:fill="auto"/>
            <w:vAlign w:val="bottom"/>
          </w:tcPr>
          <w:p w14:paraId="71D448AA" w14:textId="77777777" w:rsidR="006A3667" w:rsidRDefault="006A3667">
            <w:pPr>
              <w:rPr>
                <w:rFonts w:ascii="宋体"/>
              </w:rPr>
            </w:pPr>
          </w:p>
        </w:tc>
        <w:tc>
          <w:tcPr>
            <w:tcW w:w="0" w:type="auto"/>
            <w:shd w:val="clear" w:color="auto" w:fill="auto"/>
            <w:vAlign w:val="bottom"/>
          </w:tcPr>
          <w:p w14:paraId="71D448AB" w14:textId="77777777" w:rsidR="006A3667" w:rsidRDefault="006A3667">
            <w:pPr>
              <w:rPr>
                <w:rFonts w:ascii="宋体"/>
              </w:rPr>
            </w:pPr>
          </w:p>
        </w:tc>
        <w:tc>
          <w:tcPr>
            <w:tcW w:w="0" w:type="auto"/>
            <w:shd w:val="clear" w:color="auto" w:fill="auto"/>
            <w:vAlign w:val="bottom"/>
          </w:tcPr>
          <w:p w14:paraId="71D448AC" w14:textId="77777777" w:rsidR="006A3667" w:rsidRDefault="006A3667">
            <w:pPr>
              <w:rPr>
                <w:rFonts w:ascii="宋体"/>
              </w:rPr>
            </w:pPr>
          </w:p>
        </w:tc>
        <w:tc>
          <w:tcPr>
            <w:tcW w:w="0" w:type="auto"/>
            <w:shd w:val="clear" w:color="auto" w:fill="auto"/>
            <w:vAlign w:val="bottom"/>
          </w:tcPr>
          <w:p w14:paraId="71D448AD" w14:textId="77777777" w:rsidR="006A3667" w:rsidRDefault="006A3667">
            <w:pPr>
              <w:rPr>
                <w:rFonts w:ascii="宋体"/>
              </w:rPr>
            </w:pPr>
          </w:p>
        </w:tc>
        <w:tc>
          <w:tcPr>
            <w:tcW w:w="0" w:type="auto"/>
            <w:shd w:val="clear" w:color="auto" w:fill="auto"/>
            <w:vAlign w:val="bottom"/>
          </w:tcPr>
          <w:p w14:paraId="71D448AE" w14:textId="77777777" w:rsidR="006A3667" w:rsidRDefault="006A3667">
            <w:pPr>
              <w:rPr>
                <w:rFonts w:ascii="宋体"/>
              </w:rPr>
            </w:pPr>
          </w:p>
        </w:tc>
        <w:tc>
          <w:tcPr>
            <w:tcW w:w="0" w:type="auto"/>
            <w:shd w:val="clear" w:color="auto" w:fill="auto"/>
            <w:vAlign w:val="bottom"/>
          </w:tcPr>
          <w:p w14:paraId="71D448AF" w14:textId="77777777" w:rsidR="006A3667" w:rsidRDefault="006A3667">
            <w:pPr>
              <w:rPr>
                <w:rFonts w:ascii="宋体"/>
              </w:rPr>
            </w:pPr>
          </w:p>
        </w:tc>
        <w:tc>
          <w:tcPr>
            <w:tcW w:w="0" w:type="auto"/>
            <w:shd w:val="clear" w:color="auto" w:fill="auto"/>
            <w:vAlign w:val="bottom"/>
          </w:tcPr>
          <w:p w14:paraId="71D448B0" w14:textId="77777777" w:rsidR="006A3667" w:rsidRDefault="006A3667">
            <w:pPr>
              <w:rPr>
                <w:rFonts w:ascii="宋体"/>
              </w:rPr>
            </w:pPr>
          </w:p>
        </w:tc>
        <w:tc>
          <w:tcPr>
            <w:tcW w:w="0" w:type="auto"/>
            <w:shd w:val="clear" w:color="auto" w:fill="auto"/>
            <w:vAlign w:val="bottom"/>
          </w:tcPr>
          <w:p w14:paraId="71D448B1" w14:textId="77777777" w:rsidR="006A3667" w:rsidRDefault="006A3667">
            <w:pPr>
              <w:rPr>
                <w:rFonts w:ascii="宋体"/>
              </w:rPr>
            </w:pPr>
          </w:p>
        </w:tc>
        <w:tc>
          <w:tcPr>
            <w:tcW w:w="0" w:type="auto"/>
            <w:shd w:val="clear" w:color="auto" w:fill="auto"/>
            <w:vAlign w:val="bottom"/>
          </w:tcPr>
          <w:p w14:paraId="71D448B2" w14:textId="77777777" w:rsidR="006A3667" w:rsidRDefault="006A3667">
            <w:pPr>
              <w:rPr>
                <w:rFonts w:ascii="宋体"/>
              </w:rPr>
            </w:pPr>
          </w:p>
        </w:tc>
        <w:tc>
          <w:tcPr>
            <w:tcW w:w="0" w:type="auto"/>
            <w:shd w:val="clear" w:color="auto" w:fill="auto"/>
            <w:vAlign w:val="bottom"/>
          </w:tcPr>
          <w:p w14:paraId="71D448B3" w14:textId="77777777" w:rsidR="006A3667" w:rsidRDefault="006A3667">
            <w:pPr>
              <w:rPr>
                <w:rFonts w:ascii="宋体"/>
              </w:rPr>
            </w:pPr>
          </w:p>
        </w:tc>
        <w:tc>
          <w:tcPr>
            <w:tcW w:w="0" w:type="auto"/>
            <w:shd w:val="clear" w:color="auto" w:fill="auto"/>
            <w:vAlign w:val="bottom"/>
          </w:tcPr>
          <w:p w14:paraId="71D448B4" w14:textId="77777777" w:rsidR="006A3667" w:rsidRDefault="006A3667">
            <w:pPr>
              <w:rPr>
                <w:rFonts w:ascii="宋体"/>
              </w:rPr>
            </w:pPr>
          </w:p>
        </w:tc>
        <w:tc>
          <w:tcPr>
            <w:tcW w:w="0" w:type="auto"/>
            <w:shd w:val="clear" w:color="auto" w:fill="auto"/>
            <w:vAlign w:val="bottom"/>
          </w:tcPr>
          <w:p w14:paraId="71D448B5" w14:textId="77777777" w:rsidR="006A3667" w:rsidRDefault="006A3667">
            <w:pPr>
              <w:rPr>
                <w:rFonts w:ascii="宋体"/>
              </w:rPr>
            </w:pPr>
          </w:p>
        </w:tc>
        <w:tc>
          <w:tcPr>
            <w:tcW w:w="0" w:type="auto"/>
            <w:shd w:val="clear" w:color="auto" w:fill="auto"/>
            <w:vAlign w:val="bottom"/>
          </w:tcPr>
          <w:p w14:paraId="71D448B6" w14:textId="77777777" w:rsidR="006A3667" w:rsidRDefault="006A3667">
            <w:pPr>
              <w:rPr>
                <w:rFonts w:ascii="宋体"/>
              </w:rPr>
            </w:pPr>
          </w:p>
        </w:tc>
        <w:tc>
          <w:tcPr>
            <w:tcW w:w="0" w:type="auto"/>
            <w:shd w:val="clear" w:color="auto" w:fill="auto"/>
            <w:vAlign w:val="bottom"/>
          </w:tcPr>
          <w:p w14:paraId="71D448B7" w14:textId="77777777" w:rsidR="006A3667" w:rsidRDefault="006A3667">
            <w:pPr>
              <w:rPr>
                <w:rFonts w:ascii="宋体"/>
              </w:rPr>
            </w:pPr>
          </w:p>
        </w:tc>
        <w:tc>
          <w:tcPr>
            <w:tcW w:w="0" w:type="auto"/>
            <w:shd w:val="clear" w:color="auto" w:fill="auto"/>
            <w:vAlign w:val="bottom"/>
          </w:tcPr>
          <w:p w14:paraId="71D448B8" w14:textId="77777777" w:rsidR="006A3667" w:rsidRDefault="006A3667">
            <w:pPr>
              <w:rPr>
                <w:rFonts w:ascii="宋体"/>
              </w:rPr>
            </w:pPr>
          </w:p>
        </w:tc>
        <w:tc>
          <w:tcPr>
            <w:tcW w:w="0" w:type="auto"/>
            <w:shd w:val="clear" w:color="auto" w:fill="auto"/>
            <w:vAlign w:val="bottom"/>
          </w:tcPr>
          <w:p w14:paraId="71D448B9" w14:textId="77777777" w:rsidR="006A3667" w:rsidRDefault="006A3667">
            <w:pPr>
              <w:rPr>
                <w:rFonts w:ascii="宋体"/>
              </w:rPr>
            </w:pPr>
          </w:p>
        </w:tc>
        <w:tc>
          <w:tcPr>
            <w:tcW w:w="0" w:type="auto"/>
            <w:shd w:val="clear" w:color="auto" w:fill="auto"/>
            <w:vAlign w:val="bottom"/>
          </w:tcPr>
          <w:p w14:paraId="71D448BA" w14:textId="77777777" w:rsidR="006A3667" w:rsidRDefault="006A3667">
            <w:pPr>
              <w:rPr>
                <w:rFonts w:ascii="宋体"/>
              </w:rPr>
            </w:pPr>
          </w:p>
        </w:tc>
        <w:tc>
          <w:tcPr>
            <w:tcW w:w="0" w:type="auto"/>
            <w:shd w:val="clear" w:color="auto" w:fill="auto"/>
            <w:vAlign w:val="bottom"/>
          </w:tcPr>
          <w:p w14:paraId="71D448BB" w14:textId="77777777" w:rsidR="006A3667" w:rsidRDefault="006A3667">
            <w:pPr>
              <w:rPr>
                <w:rFonts w:ascii="宋体"/>
              </w:rPr>
            </w:pPr>
          </w:p>
        </w:tc>
        <w:tc>
          <w:tcPr>
            <w:tcW w:w="0" w:type="auto"/>
            <w:shd w:val="clear" w:color="auto" w:fill="auto"/>
            <w:vAlign w:val="bottom"/>
          </w:tcPr>
          <w:p w14:paraId="71D448BC" w14:textId="77777777" w:rsidR="006A3667" w:rsidRDefault="006A3667">
            <w:pPr>
              <w:rPr>
                <w:rFonts w:ascii="宋体"/>
              </w:rPr>
            </w:pPr>
          </w:p>
        </w:tc>
        <w:tc>
          <w:tcPr>
            <w:tcW w:w="0" w:type="auto"/>
            <w:shd w:val="clear" w:color="auto" w:fill="auto"/>
            <w:vAlign w:val="bottom"/>
          </w:tcPr>
          <w:p w14:paraId="71D448BD" w14:textId="77777777" w:rsidR="006A3667" w:rsidRDefault="006A3667">
            <w:pPr>
              <w:rPr>
                <w:rFonts w:ascii="宋体"/>
              </w:rPr>
            </w:pPr>
          </w:p>
        </w:tc>
        <w:tc>
          <w:tcPr>
            <w:tcW w:w="0" w:type="auto"/>
            <w:shd w:val="clear" w:color="auto" w:fill="auto"/>
            <w:vAlign w:val="bottom"/>
          </w:tcPr>
          <w:p w14:paraId="71D448BE" w14:textId="77777777" w:rsidR="006A3667" w:rsidRDefault="006A3667">
            <w:pPr>
              <w:rPr>
                <w:rFonts w:ascii="宋体"/>
              </w:rPr>
            </w:pPr>
          </w:p>
        </w:tc>
        <w:tc>
          <w:tcPr>
            <w:tcW w:w="0" w:type="auto"/>
            <w:shd w:val="clear" w:color="auto" w:fill="auto"/>
            <w:vAlign w:val="bottom"/>
          </w:tcPr>
          <w:p w14:paraId="71D448BF" w14:textId="77777777" w:rsidR="006A3667" w:rsidRDefault="006A3667">
            <w:pPr>
              <w:rPr>
                <w:rFonts w:ascii="宋体"/>
              </w:rPr>
            </w:pPr>
          </w:p>
        </w:tc>
        <w:tc>
          <w:tcPr>
            <w:tcW w:w="0" w:type="auto"/>
            <w:shd w:val="clear" w:color="auto" w:fill="auto"/>
            <w:vAlign w:val="bottom"/>
          </w:tcPr>
          <w:p w14:paraId="71D448C0" w14:textId="77777777" w:rsidR="006A3667" w:rsidRDefault="006A3667">
            <w:pPr>
              <w:rPr>
                <w:rFonts w:ascii="宋体"/>
              </w:rPr>
            </w:pPr>
          </w:p>
        </w:tc>
        <w:tc>
          <w:tcPr>
            <w:tcW w:w="0" w:type="auto"/>
            <w:shd w:val="clear" w:color="auto" w:fill="auto"/>
            <w:vAlign w:val="bottom"/>
          </w:tcPr>
          <w:p w14:paraId="71D448C1" w14:textId="77777777" w:rsidR="006A3667" w:rsidRDefault="006A3667">
            <w:pPr>
              <w:rPr>
                <w:rFonts w:ascii="宋体"/>
              </w:rPr>
            </w:pPr>
          </w:p>
        </w:tc>
        <w:tc>
          <w:tcPr>
            <w:tcW w:w="0" w:type="auto"/>
            <w:shd w:val="clear" w:color="auto" w:fill="auto"/>
            <w:vAlign w:val="bottom"/>
          </w:tcPr>
          <w:p w14:paraId="71D448C2" w14:textId="77777777" w:rsidR="006A3667" w:rsidRDefault="006A3667">
            <w:pPr>
              <w:rPr>
                <w:rFonts w:ascii="宋体"/>
              </w:rPr>
            </w:pPr>
          </w:p>
        </w:tc>
        <w:tc>
          <w:tcPr>
            <w:tcW w:w="0" w:type="auto"/>
            <w:shd w:val="clear" w:color="auto" w:fill="auto"/>
            <w:vAlign w:val="bottom"/>
          </w:tcPr>
          <w:p w14:paraId="71D448C3" w14:textId="77777777" w:rsidR="006A3667" w:rsidRDefault="006A3667">
            <w:pPr>
              <w:rPr>
                <w:rFonts w:ascii="宋体"/>
              </w:rPr>
            </w:pPr>
          </w:p>
        </w:tc>
        <w:tc>
          <w:tcPr>
            <w:tcW w:w="0" w:type="auto"/>
            <w:shd w:val="clear" w:color="auto" w:fill="auto"/>
            <w:vAlign w:val="bottom"/>
          </w:tcPr>
          <w:p w14:paraId="71D448C4" w14:textId="77777777" w:rsidR="006A3667" w:rsidRDefault="006A3667">
            <w:pPr>
              <w:rPr>
                <w:rFonts w:ascii="宋体"/>
              </w:rPr>
            </w:pPr>
          </w:p>
        </w:tc>
        <w:tc>
          <w:tcPr>
            <w:tcW w:w="0" w:type="auto"/>
            <w:shd w:val="clear" w:color="auto" w:fill="auto"/>
            <w:vAlign w:val="bottom"/>
          </w:tcPr>
          <w:p w14:paraId="71D448C5" w14:textId="77777777" w:rsidR="006A3667" w:rsidRDefault="006A3667">
            <w:pPr>
              <w:rPr>
                <w:rFonts w:ascii="宋体"/>
              </w:rPr>
            </w:pPr>
          </w:p>
        </w:tc>
        <w:tc>
          <w:tcPr>
            <w:tcW w:w="0" w:type="auto"/>
            <w:shd w:val="clear" w:color="auto" w:fill="auto"/>
            <w:vAlign w:val="bottom"/>
          </w:tcPr>
          <w:p w14:paraId="71D448C6" w14:textId="77777777" w:rsidR="006A3667" w:rsidRDefault="006A3667">
            <w:pPr>
              <w:rPr>
                <w:rFonts w:ascii="宋体"/>
              </w:rPr>
            </w:pPr>
          </w:p>
        </w:tc>
        <w:tc>
          <w:tcPr>
            <w:tcW w:w="0" w:type="auto"/>
            <w:shd w:val="clear" w:color="auto" w:fill="auto"/>
            <w:vAlign w:val="bottom"/>
          </w:tcPr>
          <w:p w14:paraId="71D448C7" w14:textId="77777777" w:rsidR="006A3667" w:rsidRDefault="006A3667">
            <w:pPr>
              <w:rPr>
                <w:rFonts w:ascii="宋体"/>
              </w:rPr>
            </w:pPr>
          </w:p>
        </w:tc>
        <w:tc>
          <w:tcPr>
            <w:tcW w:w="0" w:type="auto"/>
            <w:shd w:val="clear" w:color="auto" w:fill="auto"/>
            <w:vAlign w:val="bottom"/>
          </w:tcPr>
          <w:p w14:paraId="71D448C8" w14:textId="77777777" w:rsidR="006A3667" w:rsidRDefault="006A3667">
            <w:pPr>
              <w:rPr>
                <w:rFonts w:ascii="宋体"/>
              </w:rPr>
            </w:pPr>
          </w:p>
        </w:tc>
        <w:tc>
          <w:tcPr>
            <w:tcW w:w="0" w:type="auto"/>
            <w:shd w:val="clear" w:color="auto" w:fill="auto"/>
            <w:vAlign w:val="bottom"/>
          </w:tcPr>
          <w:p w14:paraId="71D448C9" w14:textId="77777777" w:rsidR="006A3667" w:rsidRDefault="006A3667">
            <w:pPr>
              <w:rPr>
                <w:rFonts w:ascii="宋体"/>
              </w:rPr>
            </w:pPr>
          </w:p>
        </w:tc>
        <w:tc>
          <w:tcPr>
            <w:tcW w:w="0" w:type="auto"/>
            <w:shd w:val="clear" w:color="auto" w:fill="auto"/>
            <w:vAlign w:val="bottom"/>
          </w:tcPr>
          <w:p w14:paraId="71D448CA" w14:textId="77777777" w:rsidR="006A3667" w:rsidRDefault="006A3667">
            <w:pPr>
              <w:rPr>
                <w:rFonts w:ascii="宋体"/>
              </w:rPr>
            </w:pPr>
          </w:p>
        </w:tc>
        <w:tc>
          <w:tcPr>
            <w:tcW w:w="0" w:type="auto"/>
            <w:shd w:val="clear" w:color="auto" w:fill="auto"/>
            <w:vAlign w:val="bottom"/>
          </w:tcPr>
          <w:p w14:paraId="71D448CB" w14:textId="77777777" w:rsidR="006A3667" w:rsidRDefault="006A3667">
            <w:pPr>
              <w:rPr>
                <w:rFonts w:ascii="宋体"/>
              </w:rPr>
            </w:pPr>
          </w:p>
        </w:tc>
        <w:tc>
          <w:tcPr>
            <w:tcW w:w="0" w:type="auto"/>
            <w:shd w:val="clear" w:color="auto" w:fill="auto"/>
            <w:vAlign w:val="bottom"/>
          </w:tcPr>
          <w:p w14:paraId="71D448CC" w14:textId="77777777" w:rsidR="006A3667" w:rsidRDefault="006A3667">
            <w:pPr>
              <w:rPr>
                <w:rFonts w:ascii="宋体"/>
              </w:rPr>
            </w:pPr>
          </w:p>
        </w:tc>
        <w:tc>
          <w:tcPr>
            <w:tcW w:w="0" w:type="auto"/>
            <w:shd w:val="clear" w:color="auto" w:fill="auto"/>
            <w:vAlign w:val="bottom"/>
          </w:tcPr>
          <w:p w14:paraId="71D448CD" w14:textId="77777777" w:rsidR="006A3667" w:rsidRDefault="006A3667">
            <w:pPr>
              <w:rPr>
                <w:rFonts w:ascii="宋体"/>
              </w:rPr>
            </w:pPr>
          </w:p>
        </w:tc>
        <w:tc>
          <w:tcPr>
            <w:tcW w:w="0" w:type="auto"/>
            <w:shd w:val="clear" w:color="auto" w:fill="auto"/>
            <w:vAlign w:val="bottom"/>
          </w:tcPr>
          <w:p w14:paraId="71D448CE" w14:textId="77777777" w:rsidR="006A3667" w:rsidRDefault="006A3667">
            <w:pPr>
              <w:rPr>
                <w:rFonts w:ascii="宋体"/>
              </w:rPr>
            </w:pPr>
          </w:p>
        </w:tc>
        <w:tc>
          <w:tcPr>
            <w:tcW w:w="0" w:type="auto"/>
            <w:shd w:val="clear" w:color="auto" w:fill="auto"/>
            <w:vAlign w:val="bottom"/>
          </w:tcPr>
          <w:p w14:paraId="71D448CF" w14:textId="77777777" w:rsidR="006A3667" w:rsidRDefault="006A3667">
            <w:pPr>
              <w:rPr>
                <w:rFonts w:ascii="宋体"/>
              </w:rPr>
            </w:pPr>
          </w:p>
        </w:tc>
        <w:tc>
          <w:tcPr>
            <w:tcW w:w="0" w:type="auto"/>
            <w:shd w:val="clear" w:color="auto" w:fill="auto"/>
            <w:vAlign w:val="bottom"/>
          </w:tcPr>
          <w:p w14:paraId="71D448D0" w14:textId="77777777" w:rsidR="006A3667" w:rsidRDefault="006A3667">
            <w:pPr>
              <w:rPr>
                <w:rFonts w:ascii="宋体"/>
              </w:rPr>
            </w:pPr>
          </w:p>
        </w:tc>
        <w:tc>
          <w:tcPr>
            <w:tcW w:w="0" w:type="auto"/>
            <w:shd w:val="clear" w:color="auto" w:fill="auto"/>
            <w:vAlign w:val="bottom"/>
          </w:tcPr>
          <w:p w14:paraId="71D448D1" w14:textId="77777777" w:rsidR="006A3667" w:rsidRDefault="006A3667">
            <w:pPr>
              <w:rPr>
                <w:rFonts w:ascii="宋体"/>
              </w:rPr>
            </w:pPr>
          </w:p>
        </w:tc>
        <w:tc>
          <w:tcPr>
            <w:tcW w:w="0" w:type="auto"/>
            <w:shd w:val="clear" w:color="auto" w:fill="auto"/>
            <w:vAlign w:val="bottom"/>
          </w:tcPr>
          <w:p w14:paraId="71D448D2" w14:textId="77777777" w:rsidR="006A3667" w:rsidRDefault="006A3667">
            <w:pPr>
              <w:rPr>
                <w:rFonts w:ascii="宋体"/>
              </w:rPr>
            </w:pPr>
          </w:p>
        </w:tc>
      </w:tr>
      <w:tr w:rsidR="006A3667" w14:paraId="71D448EB" w14:textId="77777777">
        <w:trPr>
          <w:hidden/>
        </w:trPr>
        <w:tc>
          <w:tcPr>
            <w:tcW w:w="0" w:type="auto"/>
            <w:gridSpan w:val="3"/>
            <w:shd w:val="clear" w:color="auto" w:fill="auto"/>
            <w:vAlign w:val="bottom"/>
          </w:tcPr>
          <w:p w14:paraId="71D448D4" w14:textId="77777777" w:rsidR="006A3667" w:rsidRDefault="006A3667">
            <w:pPr>
              <w:rPr>
                <w:rFonts w:ascii="宋体"/>
                <w:vanish/>
              </w:rPr>
            </w:pPr>
          </w:p>
        </w:tc>
        <w:tc>
          <w:tcPr>
            <w:tcW w:w="0" w:type="auto"/>
            <w:gridSpan w:val="3"/>
            <w:shd w:val="clear" w:color="auto" w:fill="auto"/>
            <w:vAlign w:val="bottom"/>
          </w:tcPr>
          <w:p w14:paraId="71D448D5" w14:textId="77777777" w:rsidR="006A3667" w:rsidRDefault="006A3667">
            <w:pPr>
              <w:rPr>
                <w:rFonts w:ascii="宋体"/>
                <w:vanish/>
              </w:rPr>
            </w:pPr>
          </w:p>
        </w:tc>
        <w:tc>
          <w:tcPr>
            <w:tcW w:w="0" w:type="auto"/>
            <w:gridSpan w:val="3"/>
            <w:shd w:val="clear" w:color="auto" w:fill="auto"/>
            <w:vAlign w:val="bottom"/>
          </w:tcPr>
          <w:p w14:paraId="71D448D6" w14:textId="77777777" w:rsidR="006A3667" w:rsidRDefault="006A3667">
            <w:pPr>
              <w:rPr>
                <w:rFonts w:ascii="宋体"/>
                <w:vanish/>
              </w:rPr>
            </w:pPr>
          </w:p>
        </w:tc>
        <w:tc>
          <w:tcPr>
            <w:tcW w:w="0" w:type="auto"/>
            <w:gridSpan w:val="3"/>
            <w:shd w:val="clear" w:color="auto" w:fill="auto"/>
            <w:vAlign w:val="bottom"/>
          </w:tcPr>
          <w:p w14:paraId="71D448D7" w14:textId="77777777" w:rsidR="006A3667" w:rsidRDefault="006A3667">
            <w:pPr>
              <w:rPr>
                <w:rFonts w:ascii="宋体"/>
                <w:vanish/>
              </w:rPr>
            </w:pPr>
          </w:p>
        </w:tc>
        <w:tc>
          <w:tcPr>
            <w:tcW w:w="0" w:type="auto"/>
            <w:gridSpan w:val="3"/>
            <w:shd w:val="clear" w:color="auto" w:fill="auto"/>
            <w:vAlign w:val="bottom"/>
          </w:tcPr>
          <w:p w14:paraId="71D448D8" w14:textId="77777777" w:rsidR="006A3667" w:rsidRDefault="006A3667">
            <w:pPr>
              <w:rPr>
                <w:rFonts w:ascii="宋体"/>
                <w:vanish/>
              </w:rPr>
            </w:pPr>
          </w:p>
        </w:tc>
        <w:tc>
          <w:tcPr>
            <w:tcW w:w="0" w:type="auto"/>
            <w:gridSpan w:val="3"/>
            <w:shd w:val="clear" w:color="auto" w:fill="auto"/>
            <w:vAlign w:val="bottom"/>
          </w:tcPr>
          <w:p w14:paraId="71D448D9" w14:textId="77777777" w:rsidR="006A3667" w:rsidRDefault="006A3667">
            <w:pPr>
              <w:rPr>
                <w:rFonts w:ascii="宋体"/>
                <w:vanish/>
              </w:rPr>
            </w:pPr>
          </w:p>
        </w:tc>
        <w:tc>
          <w:tcPr>
            <w:tcW w:w="0" w:type="auto"/>
            <w:gridSpan w:val="3"/>
            <w:shd w:val="clear" w:color="auto" w:fill="auto"/>
            <w:vAlign w:val="bottom"/>
          </w:tcPr>
          <w:p w14:paraId="71D448DA" w14:textId="77777777" w:rsidR="006A3667" w:rsidRDefault="006A3667">
            <w:pPr>
              <w:rPr>
                <w:rFonts w:ascii="宋体"/>
                <w:vanish/>
              </w:rPr>
            </w:pPr>
          </w:p>
        </w:tc>
        <w:tc>
          <w:tcPr>
            <w:tcW w:w="0" w:type="auto"/>
            <w:gridSpan w:val="3"/>
            <w:shd w:val="clear" w:color="auto" w:fill="auto"/>
            <w:vAlign w:val="bottom"/>
          </w:tcPr>
          <w:p w14:paraId="71D448DB" w14:textId="77777777" w:rsidR="006A3667" w:rsidRDefault="006A3667">
            <w:pPr>
              <w:rPr>
                <w:rFonts w:ascii="宋体"/>
                <w:vanish/>
              </w:rPr>
            </w:pPr>
          </w:p>
        </w:tc>
        <w:tc>
          <w:tcPr>
            <w:tcW w:w="0" w:type="auto"/>
            <w:gridSpan w:val="3"/>
            <w:shd w:val="clear" w:color="auto" w:fill="auto"/>
            <w:vAlign w:val="bottom"/>
          </w:tcPr>
          <w:p w14:paraId="71D448DC" w14:textId="77777777" w:rsidR="006A3667" w:rsidRDefault="006A3667">
            <w:pPr>
              <w:rPr>
                <w:rFonts w:ascii="宋体"/>
                <w:vanish/>
              </w:rPr>
            </w:pPr>
          </w:p>
        </w:tc>
        <w:tc>
          <w:tcPr>
            <w:tcW w:w="0" w:type="auto"/>
            <w:gridSpan w:val="3"/>
            <w:shd w:val="clear" w:color="auto" w:fill="auto"/>
            <w:vAlign w:val="bottom"/>
          </w:tcPr>
          <w:p w14:paraId="71D448DD" w14:textId="77777777" w:rsidR="006A3667" w:rsidRDefault="006A3667">
            <w:pPr>
              <w:rPr>
                <w:rFonts w:ascii="宋体"/>
                <w:vanish/>
              </w:rPr>
            </w:pPr>
          </w:p>
        </w:tc>
        <w:tc>
          <w:tcPr>
            <w:tcW w:w="0" w:type="auto"/>
            <w:gridSpan w:val="3"/>
            <w:shd w:val="clear" w:color="auto" w:fill="auto"/>
            <w:vAlign w:val="bottom"/>
          </w:tcPr>
          <w:p w14:paraId="71D448DE" w14:textId="77777777" w:rsidR="006A3667" w:rsidRDefault="006A3667">
            <w:pPr>
              <w:rPr>
                <w:rFonts w:ascii="宋体"/>
                <w:vanish/>
              </w:rPr>
            </w:pPr>
          </w:p>
        </w:tc>
        <w:tc>
          <w:tcPr>
            <w:tcW w:w="0" w:type="auto"/>
            <w:gridSpan w:val="3"/>
            <w:shd w:val="clear" w:color="auto" w:fill="auto"/>
            <w:vAlign w:val="bottom"/>
          </w:tcPr>
          <w:p w14:paraId="71D448DF" w14:textId="77777777" w:rsidR="006A3667" w:rsidRDefault="006A3667">
            <w:pPr>
              <w:rPr>
                <w:rFonts w:ascii="宋体"/>
                <w:vanish/>
              </w:rPr>
            </w:pPr>
          </w:p>
        </w:tc>
        <w:tc>
          <w:tcPr>
            <w:tcW w:w="0" w:type="auto"/>
            <w:gridSpan w:val="3"/>
            <w:shd w:val="clear" w:color="auto" w:fill="auto"/>
            <w:vAlign w:val="bottom"/>
          </w:tcPr>
          <w:p w14:paraId="71D448E0" w14:textId="77777777" w:rsidR="006A3667" w:rsidRDefault="006A3667">
            <w:pPr>
              <w:rPr>
                <w:rFonts w:ascii="宋体"/>
                <w:vanish/>
              </w:rPr>
            </w:pPr>
          </w:p>
        </w:tc>
        <w:tc>
          <w:tcPr>
            <w:tcW w:w="0" w:type="auto"/>
            <w:gridSpan w:val="3"/>
            <w:shd w:val="clear" w:color="auto" w:fill="auto"/>
            <w:vAlign w:val="bottom"/>
          </w:tcPr>
          <w:p w14:paraId="71D448E1" w14:textId="77777777" w:rsidR="006A3667" w:rsidRDefault="006A3667">
            <w:pPr>
              <w:rPr>
                <w:rFonts w:ascii="宋体"/>
                <w:vanish/>
              </w:rPr>
            </w:pPr>
          </w:p>
        </w:tc>
        <w:tc>
          <w:tcPr>
            <w:tcW w:w="0" w:type="auto"/>
            <w:gridSpan w:val="3"/>
            <w:shd w:val="clear" w:color="auto" w:fill="auto"/>
            <w:vAlign w:val="bottom"/>
          </w:tcPr>
          <w:p w14:paraId="71D448E2" w14:textId="77777777" w:rsidR="006A3667" w:rsidRDefault="006A3667">
            <w:pPr>
              <w:rPr>
                <w:rFonts w:ascii="宋体"/>
                <w:vanish/>
              </w:rPr>
            </w:pPr>
          </w:p>
        </w:tc>
        <w:tc>
          <w:tcPr>
            <w:tcW w:w="0" w:type="auto"/>
            <w:gridSpan w:val="3"/>
            <w:shd w:val="clear" w:color="auto" w:fill="auto"/>
            <w:vAlign w:val="bottom"/>
          </w:tcPr>
          <w:p w14:paraId="71D448E3" w14:textId="77777777" w:rsidR="006A3667" w:rsidRDefault="006A3667">
            <w:pPr>
              <w:rPr>
                <w:rFonts w:ascii="宋体"/>
                <w:vanish/>
              </w:rPr>
            </w:pPr>
          </w:p>
        </w:tc>
        <w:tc>
          <w:tcPr>
            <w:tcW w:w="0" w:type="auto"/>
            <w:gridSpan w:val="3"/>
            <w:shd w:val="clear" w:color="auto" w:fill="auto"/>
            <w:vAlign w:val="bottom"/>
          </w:tcPr>
          <w:p w14:paraId="71D448E4" w14:textId="77777777" w:rsidR="006A3667" w:rsidRDefault="006A3667">
            <w:pPr>
              <w:rPr>
                <w:rFonts w:ascii="宋体"/>
                <w:vanish/>
              </w:rPr>
            </w:pPr>
          </w:p>
        </w:tc>
        <w:tc>
          <w:tcPr>
            <w:tcW w:w="0" w:type="auto"/>
            <w:gridSpan w:val="3"/>
            <w:shd w:val="clear" w:color="auto" w:fill="auto"/>
            <w:vAlign w:val="bottom"/>
          </w:tcPr>
          <w:p w14:paraId="71D448E5" w14:textId="77777777" w:rsidR="006A3667" w:rsidRDefault="006A3667">
            <w:pPr>
              <w:rPr>
                <w:rFonts w:ascii="宋体"/>
                <w:vanish/>
              </w:rPr>
            </w:pPr>
          </w:p>
        </w:tc>
        <w:tc>
          <w:tcPr>
            <w:tcW w:w="0" w:type="auto"/>
            <w:gridSpan w:val="3"/>
            <w:shd w:val="clear" w:color="auto" w:fill="auto"/>
            <w:vAlign w:val="bottom"/>
          </w:tcPr>
          <w:p w14:paraId="71D448E6" w14:textId="77777777" w:rsidR="006A3667" w:rsidRDefault="006A3667">
            <w:pPr>
              <w:rPr>
                <w:rFonts w:ascii="宋体"/>
                <w:vanish/>
              </w:rPr>
            </w:pPr>
          </w:p>
        </w:tc>
        <w:tc>
          <w:tcPr>
            <w:tcW w:w="0" w:type="auto"/>
            <w:gridSpan w:val="3"/>
            <w:shd w:val="clear" w:color="auto" w:fill="auto"/>
            <w:vAlign w:val="bottom"/>
          </w:tcPr>
          <w:p w14:paraId="71D448E7" w14:textId="77777777" w:rsidR="006A3667" w:rsidRDefault="006A3667">
            <w:pPr>
              <w:rPr>
                <w:rFonts w:ascii="宋体"/>
                <w:vanish/>
              </w:rPr>
            </w:pPr>
          </w:p>
        </w:tc>
        <w:tc>
          <w:tcPr>
            <w:tcW w:w="0" w:type="auto"/>
            <w:shd w:val="clear" w:color="auto" w:fill="auto"/>
            <w:vAlign w:val="bottom"/>
          </w:tcPr>
          <w:p w14:paraId="71D448E8" w14:textId="77777777" w:rsidR="006A3667" w:rsidRDefault="006A3667">
            <w:pPr>
              <w:rPr>
                <w:rFonts w:ascii="宋体"/>
              </w:rPr>
            </w:pPr>
          </w:p>
        </w:tc>
        <w:tc>
          <w:tcPr>
            <w:tcW w:w="0" w:type="auto"/>
            <w:shd w:val="clear" w:color="auto" w:fill="auto"/>
            <w:vAlign w:val="bottom"/>
          </w:tcPr>
          <w:p w14:paraId="71D448E9" w14:textId="77777777" w:rsidR="006A3667" w:rsidRDefault="006A3667">
            <w:pPr>
              <w:rPr>
                <w:rFonts w:ascii="宋体"/>
              </w:rPr>
            </w:pPr>
          </w:p>
        </w:tc>
        <w:tc>
          <w:tcPr>
            <w:tcW w:w="0" w:type="auto"/>
            <w:shd w:val="clear" w:color="auto" w:fill="auto"/>
            <w:vAlign w:val="bottom"/>
          </w:tcPr>
          <w:p w14:paraId="71D448EA" w14:textId="77777777" w:rsidR="006A3667" w:rsidRDefault="006A3667">
            <w:pPr>
              <w:rPr>
                <w:rFonts w:ascii="宋体"/>
              </w:rPr>
            </w:pPr>
          </w:p>
        </w:tc>
      </w:tr>
      <w:tr w:rsidR="006A3667" w14:paraId="71D4490F" w14:textId="77777777">
        <w:trPr>
          <w:hidden/>
        </w:trPr>
        <w:tc>
          <w:tcPr>
            <w:tcW w:w="0" w:type="auto"/>
            <w:gridSpan w:val="3"/>
            <w:shd w:val="clear" w:color="auto" w:fill="auto"/>
            <w:vAlign w:val="bottom"/>
          </w:tcPr>
          <w:p w14:paraId="71D448EC" w14:textId="77777777" w:rsidR="006A3667" w:rsidRDefault="006A3667">
            <w:pPr>
              <w:rPr>
                <w:rFonts w:ascii="宋体"/>
                <w:vanish/>
              </w:rPr>
            </w:pPr>
          </w:p>
        </w:tc>
        <w:tc>
          <w:tcPr>
            <w:tcW w:w="0" w:type="auto"/>
            <w:gridSpan w:val="3"/>
            <w:shd w:val="clear" w:color="auto" w:fill="auto"/>
            <w:vAlign w:val="bottom"/>
          </w:tcPr>
          <w:p w14:paraId="71D448ED" w14:textId="77777777" w:rsidR="006A3667" w:rsidRDefault="006A3667">
            <w:pPr>
              <w:rPr>
                <w:rFonts w:ascii="宋体"/>
                <w:vanish/>
              </w:rPr>
            </w:pPr>
          </w:p>
        </w:tc>
        <w:tc>
          <w:tcPr>
            <w:tcW w:w="0" w:type="auto"/>
            <w:gridSpan w:val="3"/>
            <w:shd w:val="clear" w:color="auto" w:fill="auto"/>
            <w:vAlign w:val="bottom"/>
          </w:tcPr>
          <w:p w14:paraId="71D448EE" w14:textId="77777777" w:rsidR="006A3667" w:rsidRDefault="006A3667">
            <w:pPr>
              <w:rPr>
                <w:rFonts w:ascii="宋体"/>
                <w:vanish/>
              </w:rPr>
            </w:pPr>
          </w:p>
        </w:tc>
        <w:tc>
          <w:tcPr>
            <w:tcW w:w="0" w:type="auto"/>
            <w:gridSpan w:val="3"/>
            <w:shd w:val="clear" w:color="auto" w:fill="auto"/>
            <w:vAlign w:val="bottom"/>
          </w:tcPr>
          <w:p w14:paraId="71D448EF" w14:textId="77777777" w:rsidR="006A3667" w:rsidRDefault="006A3667">
            <w:pPr>
              <w:rPr>
                <w:rFonts w:ascii="宋体"/>
                <w:vanish/>
              </w:rPr>
            </w:pPr>
          </w:p>
        </w:tc>
        <w:tc>
          <w:tcPr>
            <w:tcW w:w="0" w:type="auto"/>
            <w:gridSpan w:val="3"/>
            <w:shd w:val="clear" w:color="auto" w:fill="auto"/>
            <w:vAlign w:val="bottom"/>
          </w:tcPr>
          <w:p w14:paraId="71D448F0" w14:textId="77777777" w:rsidR="006A3667" w:rsidRDefault="006A3667">
            <w:pPr>
              <w:rPr>
                <w:rFonts w:ascii="宋体"/>
                <w:vanish/>
              </w:rPr>
            </w:pPr>
          </w:p>
        </w:tc>
        <w:tc>
          <w:tcPr>
            <w:tcW w:w="0" w:type="auto"/>
            <w:gridSpan w:val="3"/>
            <w:shd w:val="clear" w:color="auto" w:fill="auto"/>
            <w:vAlign w:val="bottom"/>
          </w:tcPr>
          <w:p w14:paraId="71D448F1" w14:textId="77777777" w:rsidR="006A3667" w:rsidRDefault="006A3667">
            <w:pPr>
              <w:rPr>
                <w:rFonts w:ascii="宋体"/>
                <w:vanish/>
              </w:rPr>
            </w:pPr>
          </w:p>
        </w:tc>
        <w:tc>
          <w:tcPr>
            <w:tcW w:w="0" w:type="auto"/>
            <w:gridSpan w:val="3"/>
            <w:shd w:val="clear" w:color="auto" w:fill="auto"/>
            <w:vAlign w:val="bottom"/>
          </w:tcPr>
          <w:p w14:paraId="71D448F2" w14:textId="77777777" w:rsidR="006A3667" w:rsidRDefault="006A3667">
            <w:pPr>
              <w:rPr>
                <w:rFonts w:ascii="宋体"/>
                <w:vanish/>
              </w:rPr>
            </w:pPr>
          </w:p>
        </w:tc>
        <w:tc>
          <w:tcPr>
            <w:tcW w:w="0" w:type="auto"/>
            <w:gridSpan w:val="3"/>
            <w:shd w:val="clear" w:color="auto" w:fill="auto"/>
            <w:vAlign w:val="bottom"/>
          </w:tcPr>
          <w:p w14:paraId="71D448F3" w14:textId="77777777" w:rsidR="006A3667" w:rsidRDefault="006A3667">
            <w:pPr>
              <w:rPr>
                <w:rFonts w:ascii="宋体"/>
                <w:vanish/>
              </w:rPr>
            </w:pPr>
          </w:p>
        </w:tc>
        <w:tc>
          <w:tcPr>
            <w:tcW w:w="0" w:type="auto"/>
            <w:gridSpan w:val="3"/>
            <w:shd w:val="clear" w:color="auto" w:fill="auto"/>
            <w:vAlign w:val="bottom"/>
          </w:tcPr>
          <w:p w14:paraId="71D448F4" w14:textId="77777777" w:rsidR="006A3667" w:rsidRDefault="006A3667">
            <w:pPr>
              <w:rPr>
                <w:rFonts w:ascii="宋体"/>
                <w:vanish/>
              </w:rPr>
            </w:pPr>
          </w:p>
        </w:tc>
        <w:tc>
          <w:tcPr>
            <w:tcW w:w="0" w:type="auto"/>
            <w:gridSpan w:val="3"/>
            <w:shd w:val="clear" w:color="auto" w:fill="auto"/>
            <w:vAlign w:val="bottom"/>
          </w:tcPr>
          <w:p w14:paraId="71D448F5" w14:textId="77777777" w:rsidR="006A3667" w:rsidRDefault="006A3667">
            <w:pPr>
              <w:rPr>
                <w:rFonts w:ascii="宋体"/>
                <w:vanish/>
              </w:rPr>
            </w:pPr>
          </w:p>
        </w:tc>
        <w:tc>
          <w:tcPr>
            <w:tcW w:w="0" w:type="auto"/>
            <w:gridSpan w:val="3"/>
            <w:shd w:val="clear" w:color="auto" w:fill="auto"/>
            <w:vAlign w:val="bottom"/>
          </w:tcPr>
          <w:p w14:paraId="71D448F6" w14:textId="77777777" w:rsidR="006A3667" w:rsidRDefault="006A3667">
            <w:pPr>
              <w:rPr>
                <w:rFonts w:ascii="宋体"/>
                <w:vanish/>
              </w:rPr>
            </w:pPr>
          </w:p>
        </w:tc>
        <w:tc>
          <w:tcPr>
            <w:tcW w:w="0" w:type="auto"/>
            <w:gridSpan w:val="3"/>
            <w:shd w:val="clear" w:color="auto" w:fill="auto"/>
            <w:vAlign w:val="bottom"/>
          </w:tcPr>
          <w:p w14:paraId="71D448F7" w14:textId="77777777" w:rsidR="006A3667" w:rsidRDefault="006A3667">
            <w:pPr>
              <w:rPr>
                <w:rFonts w:ascii="宋体"/>
                <w:vanish/>
              </w:rPr>
            </w:pPr>
          </w:p>
        </w:tc>
        <w:tc>
          <w:tcPr>
            <w:tcW w:w="0" w:type="auto"/>
            <w:gridSpan w:val="3"/>
            <w:shd w:val="clear" w:color="auto" w:fill="auto"/>
            <w:vAlign w:val="bottom"/>
          </w:tcPr>
          <w:p w14:paraId="71D448F8" w14:textId="77777777" w:rsidR="006A3667" w:rsidRDefault="006A3667">
            <w:pPr>
              <w:rPr>
                <w:rFonts w:ascii="宋体"/>
                <w:vanish/>
              </w:rPr>
            </w:pPr>
          </w:p>
        </w:tc>
        <w:tc>
          <w:tcPr>
            <w:tcW w:w="0" w:type="auto"/>
            <w:gridSpan w:val="3"/>
            <w:shd w:val="clear" w:color="auto" w:fill="auto"/>
            <w:vAlign w:val="bottom"/>
          </w:tcPr>
          <w:p w14:paraId="71D448F9" w14:textId="77777777" w:rsidR="006A3667" w:rsidRDefault="006A3667">
            <w:pPr>
              <w:rPr>
                <w:rFonts w:ascii="宋体"/>
                <w:vanish/>
              </w:rPr>
            </w:pPr>
          </w:p>
        </w:tc>
        <w:tc>
          <w:tcPr>
            <w:tcW w:w="0" w:type="auto"/>
            <w:shd w:val="clear" w:color="auto" w:fill="auto"/>
            <w:vAlign w:val="bottom"/>
          </w:tcPr>
          <w:p w14:paraId="71D448FA" w14:textId="77777777" w:rsidR="006A3667" w:rsidRDefault="006A3667">
            <w:pPr>
              <w:rPr>
                <w:rFonts w:ascii="宋体"/>
              </w:rPr>
            </w:pPr>
          </w:p>
        </w:tc>
        <w:tc>
          <w:tcPr>
            <w:tcW w:w="0" w:type="auto"/>
            <w:shd w:val="clear" w:color="auto" w:fill="auto"/>
            <w:vAlign w:val="bottom"/>
          </w:tcPr>
          <w:p w14:paraId="71D448FB" w14:textId="77777777" w:rsidR="006A3667" w:rsidRDefault="006A3667">
            <w:pPr>
              <w:rPr>
                <w:rFonts w:ascii="宋体"/>
              </w:rPr>
            </w:pPr>
          </w:p>
        </w:tc>
        <w:tc>
          <w:tcPr>
            <w:tcW w:w="0" w:type="auto"/>
            <w:shd w:val="clear" w:color="auto" w:fill="auto"/>
            <w:vAlign w:val="bottom"/>
          </w:tcPr>
          <w:p w14:paraId="71D448FC" w14:textId="77777777" w:rsidR="006A3667" w:rsidRDefault="006A3667">
            <w:pPr>
              <w:rPr>
                <w:rFonts w:ascii="宋体"/>
              </w:rPr>
            </w:pPr>
          </w:p>
        </w:tc>
        <w:tc>
          <w:tcPr>
            <w:tcW w:w="0" w:type="auto"/>
            <w:shd w:val="clear" w:color="auto" w:fill="auto"/>
            <w:vAlign w:val="bottom"/>
          </w:tcPr>
          <w:p w14:paraId="71D448FD" w14:textId="77777777" w:rsidR="006A3667" w:rsidRDefault="006A3667">
            <w:pPr>
              <w:rPr>
                <w:rFonts w:ascii="宋体"/>
              </w:rPr>
            </w:pPr>
          </w:p>
        </w:tc>
        <w:tc>
          <w:tcPr>
            <w:tcW w:w="0" w:type="auto"/>
            <w:shd w:val="clear" w:color="auto" w:fill="auto"/>
            <w:vAlign w:val="bottom"/>
          </w:tcPr>
          <w:p w14:paraId="71D448FE" w14:textId="77777777" w:rsidR="006A3667" w:rsidRDefault="006A3667">
            <w:pPr>
              <w:rPr>
                <w:rFonts w:ascii="宋体"/>
              </w:rPr>
            </w:pPr>
          </w:p>
        </w:tc>
        <w:tc>
          <w:tcPr>
            <w:tcW w:w="0" w:type="auto"/>
            <w:shd w:val="clear" w:color="auto" w:fill="auto"/>
            <w:vAlign w:val="bottom"/>
          </w:tcPr>
          <w:p w14:paraId="71D448FF" w14:textId="77777777" w:rsidR="006A3667" w:rsidRDefault="006A3667">
            <w:pPr>
              <w:rPr>
                <w:rFonts w:ascii="宋体"/>
              </w:rPr>
            </w:pPr>
          </w:p>
        </w:tc>
        <w:tc>
          <w:tcPr>
            <w:tcW w:w="0" w:type="auto"/>
            <w:shd w:val="clear" w:color="auto" w:fill="auto"/>
            <w:vAlign w:val="bottom"/>
          </w:tcPr>
          <w:p w14:paraId="71D44900" w14:textId="77777777" w:rsidR="006A3667" w:rsidRDefault="006A3667">
            <w:pPr>
              <w:rPr>
                <w:rFonts w:ascii="宋体"/>
              </w:rPr>
            </w:pPr>
          </w:p>
        </w:tc>
        <w:tc>
          <w:tcPr>
            <w:tcW w:w="0" w:type="auto"/>
            <w:shd w:val="clear" w:color="auto" w:fill="auto"/>
            <w:vAlign w:val="bottom"/>
          </w:tcPr>
          <w:p w14:paraId="71D44901" w14:textId="77777777" w:rsidR="006A3667" w:rsidRDefault="006A3667">
            <w:pPr>
              <w:rPr>
                <w:rFonts w:ascii="宋体"/>
              </w:rPr>
            </w:pPr>
          </w:p>
        </w:tc>
        <w:tc>
          <w:tcPr>
            <w:tcW w:w="0" w:type="auto"/>
            <w:shd w:val="clear" w:color="auto" w:fill="auto"/>
            <w:vAlign w:val="bottom"/>
          </w:tcPr>
          <w:p w14:paraId="71D44902" w14:textId="77777777" w:rsidR="006A3667" w:rsidRDefault="006A3667">
            <w:pPr>
              <w:rPr>
                <w:rFonts w:ascii="宋体"/>
              </w:rPr>
            </w:pPr>
          </w:p>
        </w:tc>
        <w:tc>
          <w:tcPr>
            <w:tcW w:w="0" w:type="auto"/>
            <w:shd w:val="clear" w:color="auto" w:fill="auto"/>
            <w:vAlign w:val="bottom"/>
          </w:tcPr>
          <w:p w14:paraId="71D44903" w14:textId="77777777" w:rsidR="006A3667" w:rsidRDefault="006A3667">
            <w:pPr>
              <w:rPr>
                <w:rFonts w:ascii="宋体"/>
              </w:rPr>
            </w:pPr>
          </w:p>
        </w:tc>
        <w:tc>
          <w:tcPr>
            <w:tcW w:w="0" w:type="auto"/>
            <w:shd w:val="clear" w:color="auto" w:fill="auto"/>
            <w:vAlign w:val="bottom"/>
          </w:tcPr>
          <w:p w14:paraId="71D44904" w14:textId="77777777" w:rsidR="006A3667" w:rsidRDefault="006A3667">
            <w:pPr>
              <w:rPr>
                <w:rFonts w:ascii="宋体"/>
              </w:rPr>
            </w:pPr>
          </w:p>
        </w:tc>
        <w:tc>
          <w:tcPr>
            <w:tcW w:w="0" w:type="auto"/>
            <w:shd w:val="clear" w:color="auto" w:fill="auto"/>
            <w:vAlign w:val="bottom"/>
          </w:tcPr>
          <w:p w14:paraId="71D44905" w14:textId="77777777" w:rsidR="006A3667" w:rsidRDefault="006A3667">
            <w:pPr>
              <w:rPr>
                <w:rFonts w:ascii="宋体"/>
              </w:rPr>
            </w:pPr>
          </w:p>
        </w:tc>
        <w:tc>
          <w:tcPr>
            <w:tcW w:w="0" w:type="auto"/>
            <w:shd w:val="clear" w:color="auto" w:fill="auto"/>
            <w:vAlign w:val="bottom"/>
          </w:tcPr>
          <w:p w14:paraId="71D44906" w14:textId="77777777" w:rsidR="006A3667" w:rsidRDefault="006A3667">
            <w:pPr>
              <w:rPr>
                <w:rFonts w:ascii="宋体"/>
              </w:rPr>
            </w:pPr>
          </w:p>
        </w:tc>
        <w:tc>
          <w:tcPr>
            <w:tcW w:w="0" w:type="auto"/>
            <w:shd w:val="clear" w:color="auto" w:fill="auto"/>
            <w:vAlign w:val="bottom"/>
          </w:tcPr>
          <w:p w14:paraId="71D44907" w14:textId="77777777" w:rsidR="006A3667" w:rsidRDefault="006A3667">
            <w:pPr>
              <w:rPr>
                <w:rFonts w:ascii="宋体"/>
              </w:rPr>
            </w:pPr>
          </w:p>
        </w:tc>
        <w:tc>
          <w:tcPr>
            <w:tcW w:w="0" w:type="auto"/>
            <w:shd w:val="clear" w:color="auto" w:fill="auto"/>
            <w:vAlign w:val="bottom"/>
          </w:tcPr>
          <w:p w14:paraId="71D44908" w14:textId="77777777" w:rsidR="006A3667" w:rsidRDefault="006A3667">
            <w:pPr>
              <w:rPr>
                <w:rFonts w:ascii="宋体"/>
              </w:rPr>
            </w:pPr>
          </w:p>
        </w:tc>
        <w:tc>
          <w:tcPr>
            <w:tcW w:w="0" w:type="auto"/>
            <w:shd w:val="clear" w:color="auto" w:fill="auto"/>
            <w:vAlign w:val="bottom"/>
          </w:tcPr>
          <w:p w14:paraId="71D44909" w14:textId="77777777" w:rsidR="006A3667" w:rsidRDefault="006A3667">
            <w:pPr>
              <w:rPr>
                <w:rFonts w:ascii="宋体"/>
              </w:rPr>
            </w:pPr>
          </w:p>
        </w:tc>
        <w:tc>
          <w:tcPr>
            <w:tcW w:w="0" w:type="auto"/>
            <w:shd w:val="clear" w:color="auto" w:fill="auto"/>
            <w:vAlign w:val="bottom"/>
          </w:tcPr>
          <w:p w14:paraId="71D4490A" w14:textId="77777777" w:rsidR="006A3667" w:rsidRDefault="006A3667">
            <w:pPr>
              <w:rPr>
                <w:rFonts w:ascii="宋体"/>
              </w:rPr>
            </w:pPr>
          </w:p>
        </w:tc>
        <w:tc>
          <w:tcPr>
            <w:tcW w:w="0" w:type="auto"/>
            <w:shd w:val="clear" w:color="auto" w:fill="auto"/>
            <w:vAlign w:val="bottom"/>
          </w:tcPr>
          <w:p w14:paraId="71D4490B" w14:textId="77777777" w:rsidR="006A3667" w:rsidRDefault="006A3667">
            <w:pPr>
              <w:rPr>
                <w:rFonts w:ascii="宋体"/>
              </w:rPr>
            </w:pPr>
          </w:p>
        </w:tc>
        <w:tc>
          <w:tcPr>
            <w:tcW w:w="0" w:type="auto"/>
            <w:shd w:val="clear" w:color="auto" w:fill="auto"/>
            <w:vAlign w:val="bottom"/>
          </w:tcPr>
          <w:p w14:paraId="71D4490C" w14:textId="77777777" w:rsidR="006A3667" w:rsidRDefault="006A3667">
            <w:pPr>
              <w:rPr>
                <w:rFonts w:ascii="宋体"/>
              </w:rPr>
            </w:pPr>
          </w:p>
        </w:tc>
        <w:tc>
          <w:tcPr>
            <w:tcW w:w="0" w:type="auto"/>
            <w:shd w:val="clear" w:color="auto" w:fill="auto"/>
            <w:vAlign w:val="bottom"/>
          </w:tcPr>
          <w:p w14:paraId="71D4490D" w14:textId="77777777" w:rsidR="006A3667" w:rsidRDefault="006A3667">
            <w:pPr>
              <w:rPr>
                <w:rFonts w:ascii="宋体"/>
              </w:rPr>
            </w:pPr>
          </w:p>
        </w:tc>
        <w:tc>
          <w:tcPr>
            <w:tcW w:w="0" w:type="auto"/>
            <w:shd w:val="clear" w:color="auto" w:fill="auto"/>
            <w:vAlign w:val="bottom"/>
          </w:tcPr>
          <w:p w14:paraId="71D4490E" w14:textId="77777777" w:rsidR="006A3667" w:rsidRDefault="006A3667">
            <w:pPr>
              <w:rPr>
                <w:rFonts w:ascii="宋体"/>
              </w:rPr>
            </w:pPr>
          </w:p>
        </w:tc>
      </w:tr>
      <w:tr w:rsidR="006A3667" w14:paraId="71D44926" w14:textId="77777777">
        <w:trPr>
          <w:hidden/>
        </w:trPr>
        <w:tc>
          <w:tcPr>
            <w:tcW w:w="0" w:type="auto"/>
            <w:gridSpan w:val="3"/>
            <w:shd w:val="clear" w:color="auto" w:fill="auto"/>
            <w:vAlign w:val="bottom"/>
          </w:tcPr>
          <w:p w14:paraId="71D44910" w14:textId="77777777" w:rsidR="006A3667" w:rsidRDefault="006A3667">
            <w:pPr>
              <w:rPr>
                <w:rFonts w:ascii="宋体"/>
                <w:vanish/>
              </w:rPr>
            </w:pPr>
          </w:p>
        </w:tc>
        <w:tc>
          <w:tcPr>
            <w:tcW w:w="0" w:type="auto"/>
            <w:gridSpan w:val="3"/>
            <w:shd w:val="clear" w:color="auto" w:fill="auto"/>
            <w:vAlign w:val="bottom"/>
          </w:tcPr>
          <w:p w14:paraId="71D44911" w14:textId="77777777" w:rsidR="006A3667" w:rsidRDefault="006A3667">
            <w:pPr>
              <w:rPr>
                <w:rFonts w:ascii="宋体"/>
                <w:vanish/>
              </w:rPr>
            </w:pPr>
          </w:p>
        </w:tc>
        <w:tc>
          <w:tcPr>
            <w:tcW w:w="0" w:type="auto"/>
            <w:gridSpan w:val="3"/>
            <w:shd w:val="clear" w:color="auto" w:fill="auto"/>
            <w:vAlign w:val="bottom"/>
          </w:tcPr>
          <w:p w14:paraId="71D44912" w14:textId="77777777" w:rsidR="006A3667" w:rsidRDefault="006A3667">
            <w:pPr>
              <w:rPr>
                <w:rFonts w:ascii="宋体"/>
                <w:vanish/>
              </w:rPr>
            </w:pPr>
          </w:p>
        </w:tc>
        <w:tc>
          <w:tcPr>
            <w:tcW w:w="0" w:type="auto"/>
            <w:gridSpan w:val="3"/>
            <w:shd w:val="clear" w:color="auto" w:fill="auto"/>
            <w:vAlign w:val="bottom"/>
          </w:tcPr>
          <w:p w14:paraId="71D44913" w14:textId="77777777" w:rsidR="006A3667" w:rsidRDefault="006A3667">
            <w:pPr>
              <w:rPr>
                <w:rFonts w:ascii="宋体"/>
                <w:vanish/>
              </w:rPr>
            </w:pPr>
          </w:p>
        </w:tc>
        <w:tc>
          <w:tcPr>
            <w:tcW w:w="0" w:type="auto"/>
            <w:gridSpan w:val="3"/>
            <w:shd w:val="clear" w:color="auto" w:fill="auto"/>
            <w:vAlign w:val="bottom"/>
          </w:tcPr>
          <w:p w14:paraId="71D44914" w14:textId="77777777" w:rsidR="006A3667" w:rsidRDefault="006A3667">
            <w:pPr>
              <w:rPr>
                <w:rFonts w:ascii="宋体"/>
                <w:vanish/>
              </w:rPr>
            </w:pPr>
          </w:p>
        </w:tc>
        <w:tc>
          <w:tcPr>
            <w:tcW w:w="0" w:type="auto"/>
            <w:gridSpan w:val="3"/>
            <w:shd w:val="clear" w:color="auto" w:fill="auto"/>
            <w:vAlign w:val="bottom"/>
          </w:tcPr>
          <w:p w14:paraId="71D44915" w14:textId="77777777" w:rsidR="006A3667" w:rsidRDefault="006A3667">
            <w:pPr>
              <w:rPr>
                <w:rFonts w:ascii="宋体"/>
                <w:vanish/>
              </w:rPr>
            </w:pPr>
          </w:p>
        </w:tc>
        <w:tc>
          <w:tcPr>
            <w:tcW w:w="0" w:type="auto"/>
            <w:gridSpan w:val="3"/>
            <w:shd w:val="clear" w:color="auto" w:fill="auto"/>
            <w:vAlign w:val="bottom"/>
          </w:tcPr>
          <w:p w14:paraId="71D44916" w14:textId="77777777" w:rsidR="006A3667" w:rsidRDefault="006A3667">
            <w:pPr>
              <w:rPr>
                <w:rFonts w:ascii="宋体"/>
                <w:vanish/>
              </w:rPr>
            </w:pPr>
          </w:p>
        </w:tc>
        <w:tc>
          <w:tcPr>
            <w:tcW w:w="0" w:type="auto"/>
            <w:gridSpan w:val="3"/>
            <w:shd w:val="clear" w:color="auto" w:fill="auto"/>
            <w:vAlign w:val="bottom"/>
          </w:tcPr>
          <w:p w14:paraId="71D44917" w14:textId="77777777" w:rsidR="006A3667" w:rsidRDefault="006A3667">
            <w:pPr>
              <w:rPr>
                <w:rFonts w:ascii="宋体"/>
                <w:vanish/>
              </w:rPr>
            </w:pPr>
          </w:p>
        </w:tc>
        <w:tc>
          <w:tcPr>
            <w:tcW w:w="0" w:type="auto"/>
            <w:gridSpan w:val="3"/>
            <w:shd w:val="clear" w:color="auto" w:fill="auto"/>
            <w:vAlign w:val="bottom"/>
          </w:tcPr>
          <w:p w14:paraId="71D44918" w14:textId="77777777" w:rsidR="006A3667" w:rsidRDefault="006A3667">
            <w:pPr>
              <w:rPr>
                <w:rFonts w:ascii="宋体"/>
                <w:vanish/>
              </w:rPr>
            </w:pPr>
          </w:p>
        </w:tc>
        <w:tc>
          <w:tcPr>
            <w:tcW w:w="0" w:type="auto"/>
            <w:gridSpan w:val="3"/>
            <w:shd w:val="clear" w:color="auto" w:fill="auto"/>
            <w:vAlign w:val="bottom"/>
          </w:tcPr>
          <w:p w14:paraId="71D44919" w14:textId="77777777" w:rsidR="006A3667" w:rsidRDefault="006A3667">
            <w:pPr>
              <w:rPr>
                <w:rFonts w:ascii="宋体"/>
                <w:vanish/>
              </w:rPr>
            </w:pPr>
          </w:p>
        </w:tc>
        <w:tc>
          <w:tcPr>
            <w:tcW w:w="0" w:type="auto"/>
            <w:gridSpan w:val="3"/>
            <w:shd w:val="clear" w:color="auto" w:fill="auto"/>
            <w:vAlign w:val="bottom"/>
          </w:tcPr>
          <w:p w14:paraId="71D4491A" w14:textId="77777777" w:rsidR="006A3667" w:rsidRDefault="006A3667">
            <w:pPr>
              <w:rPr>
                <w:rFonts w:ascii="宋体"/>
                <w:vanish/>
              </w:rPr>
            </w:pPr>
          </w:p>
        </w:tc>
        <w:tc>
          <w:tcPr>
            <w:tcW w:w="0" w:type="auto"/>
            <w:gridSpan w:val="3"/>
            <w:shd w:val="clear" w:color="auto" w:fill="auto"/>
            <w:vAlign w:val="bottom"/>
          </w:tcPr>
          <w:p w14:paraId="71D4491B" w14:textId="77777777" w:rsidR="006A3667" w:rsidRDefault="006A3667">
            <w:pPr>
              <w:rPr>
                <w:rFonts w:ascii="宋体"/>
                <w:vanish/>
              </w:rPr>
            </w:pPr>
          </w:p>
        </w:tc>
        <w:tc>
          <w:tcPr>
            <w:tcW w:w="0" w:type="auto"/>
            <w:gridSpan w:val="3"/>
            <w:shd w:val="clear" w:color="auto" w:fill="auto"/>
            <w:vAlign w:val="bottom"/>
          </w:tcPr>
          <w:p w14:paraId="71D4491C" w14:textId="77777777" w:rsidR="006A3667" w:rsidRDefault="006A3667">
            <w:pPr>
              <w:rPr>
                <w:rFonts w:ascii="宋体"/>
                <w:vanish/>
              </w:rPr>
            </w:pPr>
          </w:p>
        </w:tc>
        <w:tc>
          <w:tcPr>
            <w:tcW w:w="0" w:type="auto"/>
            <w:gridSpan w:val="3"/>
            <w:shd w:val="clear" w:color="auto" w:fill="auto"/>
            <w:vAlign w:val="bottom"/>
          </w:tcPr>
          <w:p w14:paraId="71D4491D" w14:textId="77777777" w:rsidR="006A3667" w:rsidRDefault="006A3667">
            <w:pPr>
              <w:rPr>
                <w:rFonts w:ascii="宋体"/>
                <w:vanish/>
              </w:rPr>
            </w:pPr>
          </w:p>
        </w:tc>
        <w:tc>
          <w:tcPr>
            <w:tcW w:w="0" w:type="auto"/>
            <w:gridSpan w:val="3"/>
            <w:shd w:val="clear" w:color="auto" w:fill="auto"/>
            <w:vAlign w:val="bottom"/>
          </w:tcPr>
          <w:p w14:paraId="71D4491E" w14:textId="77777777" w:rsidR="006A3667" w:rsidRDefault="006A3667">
            <w:pPr>
              <w:rPr>
                <w:rFonts w:ascii="宋体"/>
                <w:vanish/>
              </w:rPr>
            </w:pPr>
          </w:p>
        </w:tc>
        <w:tc>
          <w:tcPr>
            <w:tcW w:w="0" w:type="auto"/>
            <w:gridSpan w:val="3"/>
            <w:shd w:val="clear" w:color="auto" w:fill="auto"/>
            <w:vAlign w:val="bottom"/>
          </w:tcPr>
          <w:p w14:paraId="71D4491F" w14:textId="77777777" w:rsidR="006A3667" w:rsidRDefault="006A3667">
            <w:pPr>
              <w:rPr>
                <w:rFonts w:ascii="宋体"/>
                <w:vanish/>
              </w:rPr>
            </w:pPr>
          </w:p>
        </w:tc>
        <w:tc>
          <w:tcPr>
            <w:tcW w:w="0" w:type="auto"/>
            <w:gridSpan w:val="3"/>
            <w:shd w:val="clear" w:color="auto" w:fill="auto"/>
            <w:vAlign w:val="bottom"/>
          </w:tcPr>
          <w:p w14:paraId="71D44920" w14:textId="77777777" w:rsidR="006A3667" w:rsidRDefault="006A3667">
            <w:pPr>
              <w:rPr>
                <w:rFonts w:ascii="宋体"/>
                <w:vanish/>
              </w:rPr>
            </w:pPr>
          </w:p>
        </w:tc>
        <w:tc>
          <w:tcPr>
            <w:tcW w:w="0" w:type="auto"/>
            <w:gridSpan w:val="3"/>
            <w:shd w:val="clear" w:color="auto" w:fill="auto"/>
            <w:vAlign w:val="bottom"/>
          </w:tcPr>
          <w:p w14:paraId="71D44921" w14:textId="77777777" w:rsidR="006A3667" w:rsidRDefault="006A3667">
            <w:pPr>
              <w:rPr>
                <w:rFonts w:ascii="宋体"/>
                <w:vanish/>
              </w:rPr>
            </w:pPr>
          </w:p>
        </w:tc>
        <w:tc>
          <w:tcPr>
            <w:tcW w:w="0" w:type="auto"/>
            <w:gridSpan w:val="3"/>
            <w:shd w:val="clear" w:color="auto" w:fill="auto"/>
            <w:vAlign w:val="bottom"/>
          </w:tcPr>
          <w:p w14:paraId="71D44922" w14:textId="77777777" w:rsidR="006A3667" w:rsidRDefault="006A3667">
            <w:pPr>
              <w:rPr>
                <w:rFonts w:ascii="宋体"/>
                <w:vanish/>
              </w:rPr>
            </w:pPr>
          </w:p>
        </w:tc>
        <w:tc>
          <w:tcPr>
            <w:tcW w:w="0" w:type="auto"/>
            <w:gridSpan w:val="3"/>
            <w:shd w:val="clear" w:color="auto" w:fill="auto"/>
            <w:vAlign w:val="bottom"/>
          </w:tcPr>
          <w:p w14:paraId="71D44923" w14:textId="77777777" w:rsidR="006A3667" w:rsidRDefault="006A3667">
            <w:pPr>
              <w:rPr>
                <w:rFonts w:ascii="宋体"/>
                <w:vanish/>
              </w:rPr>
            </w:pPr>
          </w:p>
        </w:tc>
        <w:tc>
          <w:tcPr>
            <w:tcW w:w="0" w:type="auto"/>
            <w:gridSpan w:val="2"/>
            <w:shd w:val="clear" w:color="auto" w:fill="auto"/>
            <w:vAlign w:val="bottom"/>
          </w:tcPr>
          <w:p w14:paraId="71D44924" w14:textId="77777777" w:rsidR="006A3667" w:rsidRDefault="006A3667">
            <w:pPr>
              <w:rPr>
                <w:rFonts w:ascii="宋体"/>
                <w:vanish/>
              </w:rPr>
            </w:pPr>
          </w:p>
        </w:tc>
        <w:tc>
          <w:tcPr>
            <w:tcW w:w="0" w:type="auto"/>
            <w:shd w:val="clear" w:color="auto" w:fill="auto"/>
            <w:vAlign w:val="bottom"/>
          </w:tcPr>
          <w:p w14:paraId="71D44925" w14:textId="77777777" w:rsidR="006A3667" w:rsidRDefault="006A3667">
            <w:pPr>
              <w:rPr>
                <w:rFonts w:ascii="宋体"/>
                <w:vanish/>
              </w:rPr>
            </w:pPr>
          </w:p>
        </w:tc>
      </w:tr>
      <w:tr w:rsidR="006A3667" w14:paraId="71D4493D" w14:textId="77777777">
        <w:trPr>
          <w:hidden/>
        </w:trPr>
        <w:tc>
          <w:tcPr>
            <w:tcW w:w="0" w:type="auto"/>
            <w:gridSpan w:val="3"/>
            <w:shd w:val="clear" w:color="auto" w:fill="auto"/>
            <w:vAlign w:val="bottom"/>
          </w:tcPr>
          <w:p w14:paraId="71D44927" w14:textId="77777777" w:rsidR="006A3667" w:rsidRDefault="006A3667">
            <w:pPr>
              <w:rPr>
                <w:rFonts w:ascii="宋体"/>
                <w:vanish/>
              </w:rPr>
            </w:pPr>
          </w:p>
        </w:tc>
        <w:tc>
          <w:tcPr>
            <w:tcW w:w="0" w:type="auto"/>
            <w:gridSpan w:val="3"/>
            <w:shd w:val="clear" w:color="auto" w:fill="auto"/>
            <w:vAlign w:val="bottom"/>
          </w:tcPr>
          <w:p w14:paraId="71D44928" w14:textId="77777777" w:rsidR="006A3667" w:rsidRDefault="006A3667">
            <w:pPr>
              <w:rPr>
                <w:rFonts w:ascii="宋体"/>
                <w:vanish/>
              </w:rPr>
            </w:pPr>
          </w:p>
        </w:tc>
        <w:tc>
          <w:tcPr>
            <w:tcW w:w="0" w:type="auto"/>
            <w:gridSpan w:val="3"/>
            <w:shd w:val="clear" w:color="auto" w:fill="auto"/>
            <w:vAlign w:val="bottom"/>
          </w:tcPr>
          <w:p w14:paraId="71D44929" w14:textId="77777777" w:rsidR="006A3667" w:rsidRDefault="006A3667">
            <w:pPr>
              <w:rPr>
                <w:rFonts w:ascii="宋体"/>
                <w:vanish/>
              </w:rPr>
            </w:pPr>
          </w:p>
        </w:tc>
        <w:tc>
          <w:tcPr>
            <w:tcW w:w="0" w:type="auto"/>
            <w:gridSpan w:val="3"/>
            <w:shd w:val="clear" w:color="auto" w:fill="auto"/>
            <w:vAlign w:val="bottom"/>
          </w:tcPr>
          <w:p w14:paraId="71D4492A" w14:textId="77777777" w:rsidR="006A3667" w:rsidRDefault="006A3667">
            <w:pPr>
              <w:rPr>
                <w:rFonts w:ascii="宋体"/>
                <w:vanish/>
              </w:rPr>
            </w:pPr>
          </w:p>
        </w:tc>
        <w:tc>
          <w:tcPr>
            <w:tcW w:w="0" w:type="auto"/>
            <w:gridSpan w:val="3"/>
            <w:shd w:val="clear" w:color="auto" w:fill="auto"/>
            <w:vAlign w:val="bottom"/>
          </w:tcPr>
          <w:p w14:paraId="71D4492B" w14:textId="77777777" w:rsidR="006A3667" w:rsidRDefault="006A3667">
            <w:pPr>
              <w:rPr>
                <w:rFonts w:ascii="宋体"/>
                <w:vanish/>
              </w:rPr>
            </w:pPr>
          </w:p>
        </w:tc>
        <w:tc>
          <w:tcPr>
            <w:tcW w:w="0" w:type="auto"/>
            <w:gridSpan w:val="3"/>
            <w:shd w:val="clear" w:color="auto" w:fill="auto"/>
            <w:vAlign w:val="bottom"/>
          </w:tcPr>
          <w:p w14:paraId="71D4492C" w14:textId="77777777" w:rsidR="006A3667" w:rsidRDefault="006A3667">
            <w:pPr>
              <w:rPr>
                <w:rFonts w:ascii="宋体"/>
                <w:vanish/>
              </w:rPr>
            </w:pPr>
          </w:p>
        </w:tc>
        <w:tc>
          <w:tcPr>
            <w:tcW w:w="0" w:type="auto"/>
            <w:gridSpan w:val="3"/>
            <w:shd w:val="clear" w:color="auto" w:fill="auto"/>
            <w:vAlign w:val="bottom"/>
          </w:tcPr>
          <w:p w14:paraId="71D4492D" w14:textId="77777777" w:rsidR="006A3667" w:rsidRDefault="006A3667">
            <w:pPr>
              <w:rPr>
                <w:rFonts w:ascii="宋体"/>
                <w:vanish/>
              </w:rPr>
            </w:pPr>
          </w:p>
        </w:tc>
        <w:tc>
          <w:tcPr>
            <w:tcW w:w="0" w:type="auto"/>
            <w:gridSpan w:val="3"/>
            <w:shd w:val="clear" w:color="auto" w:fill="auto"/>
            <w:vAlign w:val="bottom"/>
          </w:tcPr>
          <w:p w14:paraId="71D4492E" w14:textId="77777777" w:rsidR="006A3667" w:rsidRDefault="006A3667">
            <w:pPr>
              <w:rPr>
                <w:rFonts w:ascii="宋体"/>
                <w:vanish/>
              </w:rPr>
            </w:pPr>
          </w:p>
        </w:tc>
        <w:tc>
          <w:tcPr>
            <w:tcW w:w="0" w:type="auto"/>
            <w:gridSpan w:val="3"/>
            <w:shd w:val="clear" w:color="auto" w:fill="auto"/>
            <w:vAlign w:val="bottom"/>
          </w:tcPr>
          <w:p w14:paraId="71D4492F" w14:textId="77777777" w:rsidR="006A3667" w:rsidRDefault="006A3667">
            <w:pPr>
              <w:rPr>
                <w:rFonts w:ascii="宋体"/>
                <w:vanish/>
              </w:rPr>
            </w:pPr>
          </w:p>
        </w:tc>
        <w:tc>
          <w:tcPr>
            <w:tcW w:w="0" w:type="auto"/>
            <w:gridSpan w:val="3"/>
            <w:shd w:val="clear" w:color="auto" w:fill="auto"/>
            <w:vAlign w:val="bottom"/>
          </w:tcPr>
          <w:p w14:paraId="71D44930" w14:textId="77777777" w:rsidR="006A3667" w:rsidRDefault="006A3667">
            <w:pPr>
              <w:rPr>
                <w:rFonts w:ascii="宋体"/>
                <w:vanish/>
              </w:rPr>
            </w:pPr>
          </w:p>
        </w:tc>
        <w:tc>
          <w:tcPr>
            <w:tcW w:w="0" w:type="auto"/>
            <w:gridSpan w:val="3"/>
            <w:shd w:val="clear" w:color="auto" w:fill="auto"/>
            <w:vAlign w:val="bottom"/>
          </w:tcPr>
          <w:p w14:paraId="71D44931" w14:textId="77777777" w:rsidR="006A3667" w:rsidRDefault="006A3667">
            <w:pPr>
              <w:rPr>
                <w:rFonts w:ascii="宋体"/>
                <w:vanish/>
              </w:rPr>
            </w:pPr>
          </w:p>
        </w:tc>
        <w:tc>
          <w:tcPr>
            <w:tcW w:w="0" w:type="auto"/>
            <w:gridSpan w:val="3"/>
            <w:shd w:val="clear" w:color="auto" w:fill="auto"/>
            <w:vAlign w:val="bottom"/>
          </w:tcPr>
          <w:p w14:paraId="71D44932" w14:textId="77777777" w:rsidR="006A3667" w:rsidRDefault="006A3667">
            <w:pPr>
              <w:rPr>
                <w:rFonts w:ascii="宋体"/>
                <w:vanish/>
              </w:rPr>
            </w:pPr>
          </w:p>
        </w:tc>
        <w:tc>
          <w:tcPr>
            <w:tcW w:w="0" w:type="auto"/>
            <w:gridSpan w:val="3"/>
            <w:shd w:val="clear" w:color="auto" w:fill="auto"/>
            <w:vAlign w:val="bottom"/>
          </w:tcPr>
          <w:p w14:paraId="71D44933" w14:textId="77777777" w:rsidR="006A3667" w:rsidRDefault="006A3667">
            <w:pPr>
              <w:rPr>
                <w:rFonts w:ascii="宋体"/>
                <w:vanish/>
              </w:rPr>
            </w:pPr>
          </w:p>
        </w:tc>
        <w:tc>
          <w:tcPr>
            <w:tcW w:w="0" w:type="auto"/>
            <w:gridSpan w:val="3"/>
            <w:shd w:val="clear" w:color="auto" w:fill="auto"/>
            <w:vAlign w:val="bottom"/>
          </w:tcPr>
          <w:p w14:paraId="71D44934" w14:textId="77777777" w:rsidR="006A3667" w:rsidRDefault="006A3667">
            <w:pPr>
              <w:rPr>
                <w:rFonts w:ascii="宋体"/>
                <w:vanish/>
              </w:rPr>
            </w:pPr>
          </w:p>
        </w:tc>
        <w:tc>
          <w:tcPr>
            <w:tcW w:w="0" w:type="auto"/>
            <w:gridSpan w:val="3"/>
            <w:shd w:val="clear" w:color="auto" w:fill="auto"/>
            <w:vAlign w:val="bottom"/>
          </w:tcPr>
          <w:p w14:paraId="71D44935" w14:textId="77777777" w:rsidR="006A3667" w:rsidRDefault="006A3667">
            <w:pPr>
              <w:rPr>
                <w:rFonts w:ascii="宋体"/>
                <w:vanish/>
              </w:rPr>
            </w:pPr>
          </w:p>
        </w:tc>
        <w:tc>
          <w:tcPr>
            <w:tcW w:w="0" w:type="auto"/>
            <w:gridSpan w:val="3"/>
            <w:shd w:val="clear" w:color="auto" w:fill="auto"/>
            <w:vAlign w:val="bottom"/>
          </w:tcPr>
          <w:p w14:paraId="71D44936" w14:textId="77777777" w:rsidR="006A3667" w:rsidRDefault="006A3667">
            <w:pPr>
              <w:rPr>
                <w:rFonts w:ascii="宋体"/>
                <w:vanish/>
              </w:rPr>
            </w:pPr>
          </w:p>
        </w:tc>
        <w:tc>
          <w:tcPr>
            <w:tcW w:w="0" w:type="auto"/>
            <w:gridSpan w:val="3"/>
            <w:shd w:val="clear" w:color="auto" w:fill="auto"/>
            <w:vAlign w:val="bottom"/>
          </w:tcPr>
          <w:p w14:paraId="71D44937" w14:textId="77777777" w:rsidR="006A3667" w:rsidRDefault="006A3667">
            <w:pPr>
              <w:rPr>
                <w:rFonts w:ascii="宋体"/>
                <w:vanish/>
              </w:rPr>
            </w:pPr>
          </w:p>
        </w:tc>
        <w:tc>
          <w:tcPr>
            <w:tcW w:w="0" w:type="auto"/>
            <w:gridSpan w:val="3"/>
            <w:shd w:val="clear" w:color="auto" w:fill="auto"/>
            <w:vAlign w:val="bottom"/>
          </w:tcPr>
          <w:p w14:paraId="71D44938" w14:textId="77777777" w:rsidR="006A3667" w:rsidRDefault="006A3667">
            <w:pPr>
              <w:rPr>
                <w:rFonts w:ascii="宋体"/>
                <w:vanish/>
              </w:rPr>
            </w:pPr>
          </w:p>
        </w:tc>
        <w:tc>
          <w:tcPr>
            <w:tcW w:w="0" w:type="auto"/>
            <w:gridSpan w:val="3"/>
            <w:shd w:val="clear" w:color="auto" w:fill="auto"/>
            <w:vAlign w:val="bottom"/>
          </w:tcPr>
          <w:p w14:paraId="71D44939" w14:textId="77777777" w:rsidR="006A3667" w:rsidRDefault="006A3667">
            <w:pPr>
              <w:rPr>
                <w:rFonts w:ascii="宋体"/>
                <w:vanish/>
              </w:rPr>
            </w:pPr>
          </w:p>
        </w:tc>
        <w:tc>
          <w:tcPr>
            <w:tcW w:w="0" w:type="auto"/>
            <w:gridSpan w:val="3"/>
            <w:shd w:val="clear" w:color="auto" w:fill="auto"/>
            <w:vAlign w:val="bottom"/>
          </w:tcPr>
          <w:p w14:paraId="71D4493A" w14:textId="77777777" w:rsidR="006A3667" w:rsidRDefault="006A3667">
            <w:pPr>
              <w:rPr>
                <w:rFonts w:ascii="宋体"/>
                <w:vanish/>
              </w:rPr>
            </w:pPr>
          </w:p>
        </w:tc>
        <w:tc>
          <w:tcPr>
            <w:tcW w:w="0" w:type="auto"/>
            <w:gridSpan w:val="2"/>
            <w:shd w:val="clear" w:color="auto" w:fill="auto"/>
            <w:vAlign w:val="bottom"/>
          </w:tcPr>
          <w:p w14:paraId="71D4493B" w14:textId="77777777" w:rsidR="006A3667" w:rsidRDefault="006A3667">
            <w:pPr>
              <w:rPr>
                <w:rFonts w:ascii="宋体"/>
                <w:vanish/>
              </w:rPr>
            </w:pPr>
          </w:p>
        </w:tc>
        <w:tc>
          <w:tcPr>
            <w:tcW w:w="0" w:type="auto"/>
            <w:shd w:val="clear" w:color="auto" w:fill="auto"/>
            <w:vAlign w:val="bottom"/>
          </w:tcPr>
          <w:p w14:paraId="71D4493C" w14:textId="77777777" w:rsidR="006A3667" w:rsidRDefault="006A3667">
            <w:pPr>
              <w:rPr>
                <w:rFonts w:ascii="宋体"/>
                <w:vanish/>
              </w:rPr>
            </w:pPr>
          </w:p>
        </w:tc>
      </w:tr>
      <w:tr w:rsidR="006A3667" w14:paraId="71D44954" w14:textId="77777777">
        <w:trPr>
          <w:hidden/>
        </w:trPr>
        <w:tc>
          <w:tcPr>
            <w:tcW w:w="0" w:type="auto"/>
            <w:gridSpan w:val="3"/>
            <w:shd w:val="clear" w:color="auto" w:fill="auto"/>
            <w:vAlign w:val="bottom"/>
          </w:tcPr>
          <w:p w14:paraId="71D4493E" w14:textId="77777777" w:rsidR="006A3667" w:rsidRDefault="006A3667">
            <w:pPr>
              <w:rPr>
                <w:rFonts w:ascii="宋体"/>
                <w:vanish/>
              </w:rPr>
            </w:pPr>
          </w:p>
        </w:tc>
        <w:tc>
          <w:tcPr>
            <w:tcW w:w="0" w:type="auto"/>
            <w:gridSpan w:val="3"/>
            <w:shd w:val="clear" w:color="auto" w:fill="auto"/>
            <w:vAlign w:val="bottom"/>
          </w:tcPr>
          <w:p w14:paraId="71D4493F" w14:textId="77777777" w:rsidR="006A3667" w:rsidRDefault="006A3667">
            <w:pPr>
              <w:rPr>
                <w:rFonts w:ascii="宋体"/>
                <w:vanish/>
              </w:rPr>
            </w:pPr>
          </w:p>
        </w:tc>
        <w:tc>
          <w:tcPr>
            <w:tcW w:w="0" w:type="auto"/>
            <w:gridSpan w:val="3"/>
            <w:shd w:val="clear" w:color="auto" w:fill="auto"/>
            <w:vAlign w:val="bottom"/>
          </w:tcPr>
          <w:p w14:paraId="71D44940" w14:textId="77777777" w:rsidR="006A3667" w:rsidRDefault="006A3667">
            <w:pPr>
              <w:rPr>
                <w:rFonts w:ascii="宋体"/>
                <w:vanish/>
              </w:rPr>
            </w:pPr>
          </w:p>
        </w:tc>
        <w:tc>
          <w:tcPr>
            <w:tcW w:w="0" w:type="auto"/>
            <w:gridSpan w:val="3"/>
            <w:shd w:val="clear" w:color="auto" w:fill="auto"/>
            <w:vAlign w:val="bottom"/>
          </w:tcPr>
          <w:p w14:paraId="71D44941" w14:textId="77777777" w:rsidR="006A3667" w:rsidRDefault="006A3667">
            <w:pPr>
              <w:rPr>
                <w:rFonts w:ascii="宋体"/>
                <w:vanish/>
              </w:rPr>
            </w:pPr>
          </w:p>
        </w:tc>
        <w:tc>
          <w:tcPr>
            <w:tcW w:w="0" w:type="auto"/>
            <w:gridSpan w:val="3"/>
            <w:shd w:val="clear" w:color="auto" w:fill="auto"/>
            <w:vAlign w:val="bottom"/>
          </w:tcPr>
          <w:p w14:paraId="71D44942" w14:textId="77777777" w:rsidR="006A3667" w:rsidRDefault="006A3667">
            <w:pPr>
              <w:rPr>
                <w:rFonts w:ascii="宋体"/>
                <w:vanish/>
              </w:rPr>
            </w:pPr>
          </w:p>
        </w:tc>
        <w:tc>
          <w:tcPr>
            <w:tcW w:w="0" w:type="auto"/>
            <w:gridSpan w:val="3"/>
            <w:shd w:val="clear" w:color="auto" w:fill="auto"/>
            <w:vAlign w:val="bottom"/>
          </w:tcPr>
          <w:p w14:paraId="71D44943" w14:textId="77777777" w:rsidR="006A3667" w:rsidRDefault="006A3667">
            <w:pPr>
              <w:rPr>
                <w:rFonts w:ascii="宋体"/>
                <w:vanish/>
              </w:rPr>
            </w:pPr>
          </w:p>
        </w:tc>
        <w:tc>
          <w:tcPr>
            <w:tcW w:w="0" w:type="auto"/>
            <w:gridSpan w:val="3"/>
            <w:shd w:val="clear" w:color="auto" w:fill="auto"/>
            <w:vAlign w:val="bottom"/>
          </w:tcPr>
          <w:p w14:paraId="71D44944" w14:textId="77777777" w:rsidR="006A3667" w:rsidRDefault="006A3667">
            <w:pPr>
              <w:rPr>
                <w:rFonts w:ascii="宋体"/>
                <w:vanish/>
              </w:rPr>
            </w:pPr>
          </w:p>
        </w:tc>
        <w:tc>
          <w:tcPr>
            <w:tcW w:w="0" w:type="auto"/>
            <w:gridSpan w:val="3"/>
            <w:shd w:val="clear" w:color="auto" w:fill="auto"/>
            <w:vAlign w:val="bottom"/>
          </w:tcPr>
          <w:p w14:paraId="71D44945" w14:textId="77777777" w:rsidR="006A3667" w:rsidRDefault="006A3667">
            <w:pPr>
              <w:rPr>
                <w:rFonts w:ascii="宋体"/>
                <w:vanish/>
              </w:rPr>
            </w:pPr>
          </w:p>
        </w:tc>
        <w:tc>
          <w:tcPr>
            <w:tcW w:w="0" w:type="auto"/>
            <w:gridSpan w:val="3"/>
            <w:shd w:val="clear" w:color="auto" w:fill="auto"/>
            <w:vAlign w:val="bottom"/>
          </w:tcPr>
          <w:p w14:paraId="71D44946" w14:textId="77777777" w:rsidR="006A3667" w:rsidRDefault="006A3667">
            <w:pPr>
              <w:rPr>
                <w:rFonts w:ascii="宋体"/>
                <w:vanish/>
              </w:rPr>
            </w:pPr>
          </w:p>
        </w:tc>
        <w:tc>
          <w:tcPr>
            <w:tcW w:w="0" w:type="auto"/>
            <w:gridSpan w:val="3"/>
            <w:shd w:val="clear" w:color="auto" w:fill="auto"/>
            <w:vAlign w:val="bottom"/>
          </w:tcPr>
          <w:p w14:paraId="71D44947" w14:textId="77777777" w:rsidR="006A3667" w:rsidRDefault="006A3667">
            <w:pPr>
              <w:rPr>
                <w:rFonts w:ascii="宋体"/>
                <w:vanish/>
              </w:rPr>
            </w:pPr>
          </w:p>
        </w:tc>
        <w:tc>
          <w:tcPr>
            <w:tcW w:w="0" w:type="auto"/>
            <w:gridSpan w:val="3"/>
            <w:shd w:val="clear" w:color="auto" w:fill="auto"/>
            <w:vAlign w:val="bottom"/>
          </w:tcPr>
          <w:p w14:paraId="71D44948" w14:textId="77777777" w:rsidR="006A3667" w:rsidRDefault="006A3667">
            <w:pPr>
              <w:rPr>
                <w:rFonts w:ascii="宋体"/>
                <w:vanish/>
              </w:rPr>
            </w:pPr>
          </w:p>
        </w:tc>
        <w:tc>
          <w:tcPr>
            <w:tcW w:w="0" w:type="auto"/>
            <w:gridSpan w:val="3"/>
            <w:shd w:val="clear" w:color="auto" w:fill="auto"/>
            <w:vAlign w:val="bottom"/>
          </w:tcPr>
          <w:p w14:paraId="71D44949" w14:textId="77777777" w:rsidR="006A3667" w:rsidRDefault="006A3667">
            <w:pPr>
              <w:rPr>
                <w:rFonts w:ascii="宋体"/>
                <w:vanish/>
              </w:rPr>
            </w:pPr>
          </w:p>
        </w:tc>
        <w:tc>
          <w:tcPr>
            <w:tcW w:w="0" w:type="auto"/>
            <w:gridSpan w:val="3"/>
            <w:shd w:val="clear" w:color="auto" w:fill="auto"/>
            <w:vAlign w:val="bottom"/>
          </w:tcPr>
          <w:p w14:paraId="71D4494A" w14:textId="77777777" w:rsidR="006A3667" w:rsidRDefault="006A3667">
            <w:pPr>
              <w:rPr>
                <w:rFonts w:ascii="宋体"/>
                <w:vanish/>
              </w:rPr>
            </w:pPr>
          </w:p>
        </w:tc>
        <w:tc>
          <w:tcPr>
            <w:tcW w:w="0" w:type="auto"/>
            <w:gridSpan w:val="3"/>
            <w:shd w:val="clear" w:color="auto" w:fill="auto"/>
            <w:vAlign w:val="bottom"/>
          </w:tcPr>
          <w:p w14:paraId="71D4494B" w14:textId="77777777" w:rsidR="006A3667" w:rsidRDefault="006A3667">
            <w:pPr>
              <w:rPr>
                <w:rFonts w:ascii="宋体"/>
                <w:vanish/>
              </w:rPr>
            </w:pPr>
          </w:p>
        </w:tc>
        <w:tc>
          <w:tcPr>
            <w:tcW w:w="0" w:type="auto"/>
            <w:gridSpan w:val="3"/>
            <w:shd w:val="clear" w:color="auto" w:fill="auto"/>
            <w:vAlign w:val="bottom"/>
          </w:tcPr>
          <w:p w14:paraId="71D4494C" w14:textId="77777777" w:rsidR="006A3667" w:rsidRDefault="006A3667">
            <w:pPr>
              <w:rPr>
                <w:rFonts w:ascii="宋体"/>
                <w:vanish/>
              </w:rPr>
            </w:pPr>
          </w:p>
        </w:tc>
        <w:tc>
          <w:tcPr>
            <w:tcW w:w="0" w:type="auto"/>
            <w:gridSpan w:val="3"/>
            <w:shd w:val="clear" w:color="auto" w:fill="auto"/>
            <w:vAlign w:val="bottom"/>
          </w:tcPr>
          <w:p w14:paraId="71D4494D" w14:textId="77777777" w:rsidR="006A3667" w:rsidRDefault="006A3667">
            <w:pPr>
              <w:rPr>
                <w:rFonts w:ascii="宋体"/>
                <w:vanish/>
              </w:rPr>
            </w:pPr>
          </w:p>
        </w:tc>
        <w:tc>
          <w:tcPr>
            <w:tcW w:w="0" w:type="auto"/>
            <w:gridSpan w:val="3"/>
            <w:shd w:val="clear" w:color="auto" w:fill="auto"/>
            <w:vAlign w:val="bottom"/>
          </w:tcPr>
          <w:p w14:paraId="71D4494E" w14:textId="77777777" w:rsidR="006A3667" w:rsidRDefault="006A3667">
            <w:pPr>
              <w:rPr>
                <w:rFonts w:ascii="宋体"/>
                <w:vanish/>
              </w:rPr>
            </w:pPr>
          </w:p>
        </w:tc>
        <w:tc>
          <w:tcPr>
            <w:tcW w:w="0" w:type="auto"/>
            <w:gridSpan w:val="3"/>
            <w:shd w:val="clear" w:color="auto" w:fill="auto"/>
            <w:vAlign w:val="bottom"/>
          </w:tcPr>
          <w:p w14:paraId="71D4494F" w14:textId="77777777" w:rsidR="006A3667" w:rsidRDefault="006A3667">
            <w:pPr>
              <w:rPr>
                <w:rFonts w:ascii="宋体"/>
                <w:vanish/>
              </w:rPr>
            </w:pPr>
          </w:p>
        </w:tc>
        <w:tc>
          <w:tcPr>
            <w:tcW w:w="0" w:type="auto"/>
            <w:gridSpan w:val="3"/>
            <w:shd w:val="clear" w:color="auto" w:fill="auto"/>
            <w:vAlign w:val="bottom"/>
          </w:tcPr>
          <w:p w14:paraId="71D44950" w14:textId="77777777" w:rsidR="006A3667" w:rsidRDefault="006A3667">
            <w:pPr>
              <w:rPr>
                <w:rFonts w:ascii="宋体"/>
                <w:vanish/>
              </w:rPr>
            </w:pPr>
          </w:p>
        </w:tc>
        <w:tc>
          <w:tcPr>
            <w:tcW w:w="0" w:type="auto"/>
            <w:gridSpan w:val="3"/>
            <w:shd w:val="clear" w:color="auto" w:fill="auto"/>
            <w:vAlign w:val="bottom"/>
          </w:tcPr>
          <w:p w14:paraId="71D44951" w14:textId="77777777" w:rsidR="006A3667" w:rsidRDefault="006A3667">
            <w:pPr>
              <w:rPr>
                <w:rFonts w:ascii="宋体"/>
                <w:vanish/>
              </w:rPr>
            </w:pPr>
          </w:p>
        </w:tc>
        <w:tc>
          <w:tcPr>
            <w:tcW w:w="0" w:type="auto"/>
            <w:gridSpan w:val="2"/>
            <w:shd w:val="clear" w:color="auto" w:fill="auto"/>
            <w:vAlign w:val="bottom"/>
          </w:tcPr>
          <w:p w14:paraId="71D44952" w14:textId="77777777" w:rsidR="006A3667" w:rsidRDefault="006A3667">
            <w:pPr>
              <w:rPr>
                <w:rFonts w:ascii="宋体"/>
                <w:vanish/>
              </w:rPr>
            </w:pPr>
          </w:p>
        </w:tc>
        <w:tc>
          <w:tcPr>
            <w:tcW w:w="0" w:type="auto"/>
            <w:shd w:val="clear" w:color="auto" w:fill="auto"/>
            <w:vAlign w:val="bottom"/>
          </w:tcPr>
          <w:p w14:paraId="71D44953" w14:textId="77777777" w:rsidR="006A3667" w:rsidRDefault="006A3667">
            <w:pPr>
              <w:rPr>
                <w:rFonts w:ascii="宋体"/>
                <w:vanish/>
              </w:rPr>
            </w:pPr>
          </w:p>
        </w:tc>
      </w:tr>
      <w:tr w:rsidR="006A3667" w14:paraId="71D4496B" w14:textId="77777777">
        <w:trPr>
          <w:hidden/>
        </w:trPr>
        <w:tc>
          <w:tcPr>
            <w:tcW w:w="0" w:type="auto"/>
            <w:gridSpan w:val="3"/>
            <w:shd w:val="clear" w:color="auto" w:fill="auto"/>
            <w:vAlign w:val="bottom"/>
          </w:tcPr>
          <w:p w14:paraId="71D44955" w14:textId="77777777" w:rsidR="006A3667" w:rsidRDefault="006A3667">
            <w:pPr>
              <w:rPr>
                <w:rFonts w:ascii="宋体"/>
                <w:vanish/>
              </w:rPr>
            </w:pPr>
          </w:p>
        </w:tc>
        <w:tc>
          <w:tcPr>
            <w:tcW w:w="0" w:type="auto"/>
            <w:gridSpan w:val="3"/>
            <w:shd w:val="clear" w:color="auto" w:fill="auto"/>
            <w:vAlign w:val="bottom"/>
          </w:tcPr>
          <w:p w14:paraId="71D44956" w14:textId="77777777" w:rsidR="006A3667" w:rsidRDefault="006A3667">
            <w:pPr>
              <w:rPr>
                <w:rFonts w:ascii="宋体"/>
                <w:vanish/>
              </w:rPr>
            </w:pPr>
          </w:p>
        </w:tc>
        <w:tc>
          <w:tcPr>
            <w:tcW w:w="0" w:type="auto"/>
            <w:gridSpan w:val="3"/>
            <w:shd w:val="clear" w:color="auto" w:fill="auto"/>
            <w:vAlign w:val="bottom"/>
          </w:tcPr>
          <w:p w14:paraId="71D44957" w14:textId="77777777" w:rsidR="006A3667" w:rsidRDefault="006A3667">
            <w:pPr>
              <w:rPr>
                <w:rFonts w:ascii="宋体"/>
                <w:vanish/>
              </w:rPr>
            </w:pPr>
          </w:p>
        </w:tc>
        <w:tc>
          <w:tcPr>
            <w:tcW w:w="0" w:type="auto"/>
            <w:gridSpan w:val="3"/>
            <w:shd w:val="clear" w:color="auto" w:fill="auto"/>
            <w:vAlign w:val="bottom"/>
          </w:tcPr>
          <w:p w14:paraId="71D44958" w14:textId="77777777" w:rsidR="006A3667" w:rsidRDefault="006A3667">
            <w:pPr>
              <w:rPr>
                <w:rFonts w:ascii="宋体"/>
                <w:vanish/>
              </w:rPr>
            </w:pPr>
          </w:p>
        </w:tc>
        <w:tc>
          <w:tcPr>
            <w:tcW w:w="0" w:type="auto"/>
            <w:gridSpan w:val="3"/>
            <w:shd w:val="clear" w:color="auto" w:fill="auto"/>
            <w:vAlign w:val="bottom"/>
          </w:tcPr>
          <w:p w14:paraId="71D44959" w14:textId="77777777" w:rsidR="006A3667" w:rsidRDefault="006A3667">
            <w:pPr>
              <w:rPr>
                <w:rFonts w:ascii="宋体"/>
                <w:vanish/>
              </w:rPr>
            </w:pPr>
          </w:p>
        </w:tc>
        <w:tc>
          <w:tcPr>
            <w:tcW w:w="0" w:type="auto"/>
            <w:gridSpan w:val="3"/>
            <w:shd w:val="clear" w:color="auto" w:fill="auto"/>
            <w:vAlign w:val="bottom"/>
          </w:tcPr>
          <w:p w14:paraId="71D4495A" w14:textId="77777777" w:rsidR="006A3667" w:rsidRDefault="006A3667">
            <w:pPr>
              <w:rPr>
                <w:rFonts w:ascii="宋体"/>
                <w:vanish/>
              </w:rPr>
            </w:pPr>
          </w:p>
        </w:tc>
        <w:tc>
          <w:tcPr>
            <w:tcW w:w="0" w:type="auto"/>
            <w:gridSpan w:val="3"/>
            <w:shd w:val="clear" w:color="auto" w:fill="auto"/>
            <w:vAlign w:val="bottom"/>
          </w:tcPr>
          <w:p w14:paraId="71D4495B" w14:textId="77777777" w:rsidR="006A3667" w:rsidRDefault="006A3667">
            <w:pPr>
              <w:rPr>
                <w:rFonts w:ascii="宋体"/>
                <w:vanish/>
              </w:rPr>
            </w:pPr>
          </w:p>
        </w:tc>
        <w:tc>
          <w:tcPr>
            <w:tcW w:w="0" w:type="auto"/>
            <w:gridSpan w:val="3"/>
            <w:shd w:val="clear" w:color="auto" w:fill="auto"/>
            <w:vAlign w:val="bottom"/>
          </w:tcPr>
          <w:p w14:paraId="71D4495C" w14:textId="77777777" w:rsidR="006A3667" w:rsidRDefault="006A3667">
            <w:pPr>
              <w:rPr>
                <w:rFonts w:ascii="宋体"/>
                <w:vanish/>
              </w:rPr>
            </w:pPr>
          </w:p>
        </w:tc>
        <w:tc>
          <w:tcPr>
            <w:tcW w:w="0" w:type="auto"/>
            <w:gridSpan w:val="3"/>
            <w:shd w:val="clear" w:color="auto" w:fill="auto"/>
            <w:vAlign w:val="bottom"/>
          </w:tcPr>
          <w:p w14:paraId="71D4495D" w14:textId="77777777" w:rsidR="006A3667" w:rsidRDefault="006A3667">
            <w:pPr>
              <w:rPr>
                <w:rFonts w:ascii="宋体"/>
                <w:vanish/>
              </w:rPr>
            </w:pPr>
          </w:p>
        </w:tc>
        <w:tc>
          <w:tcPr>
            <w:tcW w:w="0" w:type="auto"/>
            <w:gridSpan w:val="3"/>
            <w:shd w:val="clear" w:color="auto" w:fill="auto"/>
            <w:vAlign w:val="bottom"/>
          </w:tcPr>
          <w:p w14:paraId="71D4495E" w14:textId="77777777" w:rsidR="006A3667" w:rsidRDefault="006A3667">
            <w:pPr>
              <w:rPr>
                <w:rFonts w:ascii="宋体"/>
                <w:vanish/>
              </w:rPr>
            </w:pPr>
          </w:p>
        </w:tc>
        <w:tc>
          <w:tcPr>
            <w:tcW w:w="0" w:type="auto"/>
            <w:gridSpan w:val="3"/>
            <w:shd w:val="clear" w:color="auto" w:fill="auto"/>
            <w:vAlign w:val="bottom"/>
          </w:tcPr>
          <w:p w14:paraId="71D4495F" w14:textId="77777777" w:rsidR="006A3667" w:rsidRDefault="006A3667">
            <w:pPr>
              <w:rPr>
                <w:rFonts w:ascii="宋体"/>
                <w:vanish/>
              </w:rPr>
            </w:pPr>
          </w:p>
        </w:tc>
        <w:tc>
          <w:tcPr>
            <w:tcW w:w="0" w:type="auto"/>
            <w:gridSpan w:val="3"/>
            <w:shd w:val="clear" w:color="auto" w:fill="auto"/>
            <w:vAlign w:val="bottom"/>
          </w:tcPr>
          <w:p w14:paraId="71D44960" w14:textId="77777777" w:rsidR="006A3667" w:rsidRDefault="006A3667">
            <w:pPr>
              <w:rPr>
                <w:rFonts w:ascii="宋体"/>
                <w:vanish/>
              </w:rPr>
            </w:pPr>
          </w:p>
        </w:tc>
        <w:tc>
          <w:tcPr>
            <w:tcW w:w="0" w:type="auto"/>
            <w:gridSpan w:val="3"/>
            <w:shd w:val="clear" w:color="auto" w:fill="auto"/>
            <w:vAlign w:val="bottom"/>
          </w:tcPr>
          <w:p w14:paraId="71D44961" w14:textId="77777777" w:rsidR="006A3667" w:rsidRDefault="006A3667">
            <w:pPr>
              <w:rPr>
                <w:rFonts w:ascii="宋体"/>
                <w:vanish/>
              </w:rPr>
            </w:pPr>
          </w:p>
        </w:tc>
        <w:tc>
          <w:tcPr>
            <w:tcW w:w="0" w:type="auto"/>
            <w:gridSpan w:val="3"/>
            <w:shd w:val="clear" w:color="auto" w:fill="auto"/>
            <w:vAlign w:val="bottom"/>
          </w:tcPr>
          <w:p w14:paraId="71D44962" w14:textId="77777777" w:rsidR="006A3667" w:rsidRDefault="006A3667">
            <w:pPr>
              <w:rPr>
                <w:rFonts w:ascii="宋体"/>
                <w:vanish/>
              </w:rPr>
            </w:pPr>
          </w:p>
        </w:tc>
        <w:tc>
          <w:tcPr>
            <w:tcW w:w="0" w:type="auto"/>
            <w:gridSpan w:val="3"/>
            <w:shd w:val="clear" w:color="auto" w:fill="auto"/>
            <w:vAlign w:val="bottom"/>
          </w:tcPr>
          <w:p w14:paraId="71D44963" w14:textId="77777777" w:rsidR="006A3667" w:rsidRDefault="006A3667">
            <w:pPr>
              <w:rPr>
                <w:rFonts w:ascii="宋体"/>
                <w:vanish/>
              </w:rPr>
            </w:pPr>
          </w:p>
        </w:tc>
        <w:tc>
          <w:tcPr>
            <w:tcW w:w="0" w:type="auto"/>
            <w:gridSpan w:val="3"/>
            <w:shd w:val="clear" w:color="auto" w:fill="auto"/>
            <w:vAlign w:val="bottom"/>
          </w:tcPr>
          <w:p w14:paraId="71D44964" w14:textId="77777777" w:rsidR="006A3667" w:rsidRDefault="006A3667">
            <w:pPr>
              <w:rPr>
                <w:rFonts w:ascii="宋体"/>
                <w:vanish/>
              </w:rPr>
            </w:pPr>
          </w:p>
        </w:tc>
        <w:tc>
          <w:tcPr>
            <w:tcW w:w="0" w:type="auto"/>
            <w:gridSpan w:val="3"/>
            <w:shd w:val="clear" w:color="auto" w:fill="auto"/>
            <w:vAlign w:val="bottom"/>
          </w:tcPr>
          <w:p w14:paraId="71D44965" w14:textId="77777777" w:rsidR="006A3667" w:rsidRDefault="006A3667">
            <w:pPr>
              <w:rPr>
                <w:rFonts w:ascii="宋体"/>
                <w:vanish/>
              </w:rPr>
            </w:pPr>
          </w:p>
        </w:tc>
        <w:tc>
          <w:tcPr>
            <w:tcW w:w="0" w:type="auto"/>
            <w:gridSpan w:val="3"/>
            <w:shd w:val="clear" w:color="auto" w:fill="auto"/>
            <w:vAlign w:val="bottom"/>
          </w:tcPr>
          <w:p w14:paraId="71D44966" w14:textId="77777777" w:rsidR="006A3667" w:rsidRDefault="006A3667">
            <w:pPr>
              <w:rPr>
                <w:rFonts w:ascii="宋体"/>
                <w:vanish/>
              </w:rPr>
            </w:pPr>
          </w:p>
        </w:tc>
        <w:tc>
          <w:tcPr>
            <w:tcW w:w="0" w:type="auto"/>
            <w:gridSpan w:val="3"/>
            <w:shd w:val="clear" w:color="auto" w:fill="auto"/>
            <w:vAlign w:val="bottom"/>
          </w:tcPr>
          <w:p w14:paraId="71D44967" w14:textId="77777777" w:rsidR="006A3667" w:rsidRDefault="006A3667">
            <w:pPr>
              <w:rPr>
                <w:rFonts w:ascii="宋体"/>
                <w:vanish/>
              </w:rPr>
            </w:pPr>
          </w:p>
        </w:tc>
        <w:tc>
          <w:tcPr>
            <w:tcW w:w="0" w:type="auto"/>
            <w:gridSpan w:val="3"/>
            <w:shd w:val="clear" w:color="auto" w:fill="auto"/>
            <w:vAlign w:val="bottom"/>
          </w:tcPr>
          <w:p w14:paraId="71D44968" w14:textId="77777777" w:rsidR="006A3667" w:rsidRDefault="006A3667">
            <w:pPr>
              <w:rPr>
                <w:rFonts w:ascii="宋体"/>
                <w:vanish/>
              </w:rPr>
            </w:pPr>
          </w:p>
        </w:tc>
        <w:tc>
          <w:tcPr>
            <w:tcW w:w="0" w:type="auto"/>
            <w:gridSpan w:val="2"/>
            <w:shd w:val="clear" w:color="auto" w:fill="auto"/>
            <w:vAlign w:val="bottom"/>
          </w:tcPr>
          <w:p w14:paraId="71D44969" w14:textId="77777777" w:rsidR="006A3667" w:rsidRDefault="006A3667">
            <w:pPr>
              <w:rPr>
                <w:rFonts w:ascii="宋体"/>
                <w:vanish/>
              </w:rPr>
            </w:pPr>
          </w:p>
        </w:tc>
        <w:tc>
          <w:tcPr>
            <w:tcW w:w="0" w:type="auto"/>
            <w:shd w:val="clear" w:color="auto" w:fill="auto"/>
            <w:vAlign w:val="bottom"/>
          </w:tcPr>
          <w:p w14:paraId="71D4496A" w14:textId="77777777" w:rsidR="006A3667" w:rsidRDefault="006A3667">
            <w:pPr>
              <w:rPr>
                <w:rFonts w:ascii="宋体"/>
                <w:vanish/>
              </w:rPr>
            </w:pPr>
          </w:p>
        </w:tc>
      </w:tr>
      <w:tr w:rsidR="006A3667" w14:paraId="71D44982" w14:textId="77777777">
        <w:trPr>
          <w:hidden/>
        </w:trPr>
        <w:tc>
          <w:tcPr>
            <w:tcW w:w="0" w:type="auto"/>
            <w:gridSpan w:val="3"/>
            <w:shd w:val="clear" w:color="auto" w:fill="auto"/>
            <w:vAlign w:val="bottom"/>
          </w:tcPr>
          <w:p w14:paraId="71D4496C" w14:textId="77777777" w:rsidR="006A3667" w:rsidRDefault="006A3667">
            <w:pPr>
              <w:rPr>
                <w:rFonts w:ascii="宋体"/>
                <w:vanish/>
              </w:rPr>
            </w:pPr>
          </w:p>
        </w:tc>
        <w:tc>
          <w:tcPr>
            <w:tcW w:w="0" w:type="auto"/>
            <w:gridSpan w:val="3"/>
            <w:shd w:val="clear" w:color="auto" w:fill="auto"/>
            <w:vAlign w:val="bottom"/>
          </w:tcPr>
          <w:p w14:paraId="71D4496D" w14:textId="77777777" w:rsidR="006A3667" w:rsidRDefault="006A3667">
            <w:pPr>
              <w:rPr>
                <w:rFonts w:ascii="宋体"/>
                <w:vanish/>
              </w:rPr>
            </w:pPr>
          </w:p>
        </w:tc>
        <w:tc>
          <w:tcPr>
            <w:tcW w:w="0" w:type="auto"/>
            <w:gridSpan w:val="3"/>
            <w:shd w:val="clear" w:color="auto" w:fill="auto"/>
            <w:vAlign w:val="bottom"/>
          </w:tcPr>
          <w:p w14:paraId="71D4496E" w14:textId="77777777" w:rsidR="006A3667" w:rsidRDefault="006A3667">
            <w:pPr>
              <w:rPr>
                <w:rFonts w:ascii="宋体"/>
                <w:vanish/>
              </w:rPr>
            </w:pPr>
          </w:p>
        </w:tc>
        <w:tc>
          <w:tcPr>
            <w:tcW w:w="0" w:type="auto"/>
            <w:gridSpan w:val="3"/>
            <w:shd w:val="clear" w:color="auto" w:fill="auto"/>
            <w:vAlign w:val="bottom"/>
          </w:tcPr>
          <w:p w14:paraId="71D4496F" w14:textId="77777777" w:rsidR="006A3667" w:rsidRDefault="006A3667">
            <w:pPr>
              <w:rPr>
                <w:rFonts w:ascii="宋体"/>
                <w:vanish/>
              </w:rPr>
            </w:pPr>
          </w:p>
        </w:tc>
        <w:tc>
          <w:tcPr>
            <w:tcW w:w="0" w:type="auto"/>
            <w:gridSpan w:val="3"/>
            <w:shd w:val="clear" w:color="auto" w:fill="auto"/>
            <w:vAlign w:val="bottom"/>
          </w:tcPr>
          <w:p w14:paraId="71D44970" w14:textId="77777777" w:rsidR="006A3667" w:rsidRDefault="006A3667">
            <w:pPr>
              <w:rPr>
                <w:rFonts w:ascii="宋体"/>
                <w:vanish/>
              </w:rPr>
            </w:pPr>
          </w:p>
        </w:tc>
        <w:tc>
          <w:tcPr>
            <w:tcW w:w="0" w:type="auto"/>
            <w:gridSpan w:val="3"/>
            <w:shd w:val="clear" w:color="auto" w:fill="auto"/>
            <w:vAlign w:val="bottom"/>
          </w:tcPr>
          <w:p w14:paraId="71D44971" w14:textId="77777777" w:rsidR="006A3667" w:rsidRDefault="006A3667">
            <w:pPr>
              <w:rPr>
                <w:rFonts w:ascii="宋体"/>
                <w:vanish/>
              </w:rPr>
            </w:pPr>
          </w:p>
        </w:tc>
        <w:tc>
          <w:tcPr>
            <w:tcW w:w="0" w:type="auto"/>
            <w:gridSpan w:val="3"/>
            <w:shd w:val="clear" w:color="auto" w:fill="auto"/>
            <w:vAlign w:val="bottom"/>
          </w:tcPr>
          <w:p w14:paraId="71D44972" w14:textId="77777777" w:rsidR="006A3667" w:rsidRDefault="006A3667">
            <w:pPr>
              <w:rPr>
                <w:rFonts w:ascii="宋体"/>
                <w:vanish/>
              </w:rPr>
            </w:pPr>
          </w:p>
        </w:tc>
        <w:tc>
          <w:tcPr>
            <w:tcW w:w="0" w:type="auto"/>
            <w:gridSpan w:val="3"/>
            <w:shd w:val="clear" w:color="auto" w:fill="auto"/>
            <w:vAlign w:val="bottom"/>
          </w:tcPr>
          <w:p w14:paraId="71D44973" w14:textId="77777777" w:rsidR="006A3667" w:rsidRDefault="006A3667">
            <w:pPr>
              <w:rPr>
                <w:rFonts w:ascii="宋体"/>
                <w:vanish/>
              </w:rPr>
            </w:pPr>
          </w:p>
        </w:tc>
        <w:tc>
          <w:tcPr>
            <w:tcW w:w="0" w:type="auto"/>
            <w:gridSpan w:val="3"/>
            <w:shd w:val="clear" w:color="auto" w:fill="auto"/>
            <w:vAlign w:val="bottom"/>
          </w:tcPr>
          <w:p w14:paraId="71D44974" w14:textId="77777777" w:rsidR="006A3667" w:rsidRDefault="006A3667">
            <w:pPr>
              <w:rPr>
                <w:rFonts w:ascii="宋体"/>
                <w:vanish/>
              </w:rPr>
            </w:pPr>
          </w:p>
        </w:tc>
        <w:tc>
          <w:tcPr>
            <w:tcW w:w="0" w:type="auto"/>
            <w:gridSpan w:val="3"/>
            <w:shd w:val="clear" w:color="auto" w:fill="auto"/>
            <w:vAlign w:val="bottom"/>
          </w:tcPr>
          <w:p w14:paraId="71D44975" w14:textId="77777777" w:rsidR="006A3667" w:rsidRDefault="006A3667">
            <w:pPr>
              <w:rPr>
                <w:rFonts w:ascii="宋体"/>
                <w:vanish/>
              </w:rPr>
            </w:pPr>
          </w:p>
        </w:tc>
        <w:tc>
          <w:tcPr>
            <w:tcW w:w="0" w:type="auto"/>
            <w:gridSpan w:val="3"/>
            <w:shd w:val="clear" w:color="auto" w:fill="auto"/>
            <w:vAlign w:val="bottom"/>
          </w:tcPr>
          <w:p w14:paraId="71D44976" w14:textId="77777777" w:rsidR="006A3667" w:rsidRDefault="006A3667">
            <w:pPr>
              <w:rPr>
                <w:rFonts w:ascii="宋体"/>
                <w:vanish/>
              </w:rPr>
            </w:pPr>
          </w:p>
        </w:tc>
        <w:tc>
          <w:tcPr>
            <w:tcW w:w="0" w:type="auto"/>
            <w:gridSpan w:val="3"/>
            <w:shd w:val="clear" w:color="auto" w:fill="auto"/>
            <w:vAlign w:val="bottom"/>
          </w:tcPr>
          <w:p w14:paraId="71D44977" w14:textId="77777777" w:rsidR="006A3667" w:rsidRDefault="006A3667">
            <w:pPr>
              <w:rPr>
                <w:rFonts w:ascii="宋体"/>
                <w:vanish/>
              </w:rPr>
            </w:pPr>
          </w:p>
        </w:tc>
        <w:tc>
          <w:tcPr>
            <w:tcW w:w="0" w:type="auto"/>
            <w:gridSpan w:val="3"/>
            <w:shd w:val="clear" w:color="auto" w:fill="auto"/>
            <w:vAlign w:val="bottom"/>
          </w:tcPr>
          <w:p w14:paraId="71D44978" w14:textId="77777777" w:rsidR="006A3667" w:rsidRDefault="006A3667">
            <w:pPr>
              <w:rPr>
                <w:rFonts w:ascii="宋体"/>
                <w:vanish/>
              </w:rPr>
            </w:pPr>
          </w:p>
        </w:tc>
        <w:tc>
          <w:tcPr>
            <w:tcW w:w="0" w:type="auto"/>
            <w:gridSpan w:val="3"/>
            <w:shd w:val="clear" w:color="auto" w:fill="auto"/>
            <w:vAlign w:val="bottom"/>
          </w:tcPr>
          <w:p w14:paraId="71D44979" w14:textId="77777777" w:rsidR="006A3667" w:rsidRDefault="006A3667">
            <w:pPr>
              <w:rPr>
                <w:rFonts w:ascii="宋体"/>
                <w:vanish/>
              </w:rPr>
            </w:pPr>
          </w:p>
        </w:tc>
        <w:tc>
          <w:tcPr>
            <w:tcW w:w="0" w:type="auto"/>
            <w:gridSpan w:val="3"/>
            <w:shd w:val="clear" w:color="auto" w:fill="auto"/>
            <w:vAlign w:val="bottom"/>
          </w:tcPr>
          <w:p w14:paraId="71D4497A" w14:textId="77777777" w:rsidR="006A3667" w:rsidRDefault="006A3667">
            <w:pPr>
              <w:rPr>
                <w:rFonts w:ascii="宋体"/>
                <w:vanish/>
              </w:rPr>
            </w:pPr>
          </w:p>
        </w:tc>
        <w:tc>
          <w:tcPr>
            <w:tcW w:w="0" w:type="auto"/>
            <w:gridSpan w:val="3"/>
            <w:shd w:val="clear" w:color="auto" w:fill="auto"/>
            <w:vAlign w:val="bottom"/>
          </w:tcPr>
          <w:p w14:paraId="71D4497B" w14:textId="77777777" w:rsidR="006A3667" w:rsidRDefault="006A3667">
            <w:pPr>
              <w:rPr>
                <w:rFonts w:ascii="宋体"/>
                <w:vanish/>
              </w:rPr>
            </w:pPr>
          </w:p>
        </w:tc>
        <w:tc>
          <w:tcPr>
            <w:tcW w:w="0" w:type="auto"/>
            <w:gridSpan w:val="3"/>
            <w:shd w:val="clear" w:color="auto" w:fill="auto"/>
            <w:vAlign w:val="bottom"/>
          </w:tcPr>
          <w:p w14:paraId="71D4497C" w14:textId="77777777" w:rsidR="006A3667" w:rsidRDefault="006A3667">
            <w:pPr>
              <w:rPr>
                <w:rFonts w:ascii="宋体"/>
                <w:vanish/>
              </w:rPr>
            </w:pPr>
          </w:p>
        </w:tc>
        <w:tc>
          <w:tcPr>
            <w:tcW w:w="0" w:type="auto"/>
            <w:gridSpan w:val="3"/>
            <w:shd w:val="clear" w:color="auto" w:fill="auto"/>
            <w:vAlign w:val="bottom"/>
          </w:tcPr>
          <w:p w14:paraId="71D4497D" w14:textId="77777777" w:rsidR="006A3667" w:rsidRDefault="006A3667">
            <w:pPr>
              <w:rPr>
                <w:rFonts w:ascii="宋体"/>
                <w:vanish/>
              </w:rPr>
            </w:pPr>
          </w:p>
        </w:tc>
        <w:tc>
          <w:tcPr>
            <w:tcW w:w="0" w:type="auto"/>
            <w:gridSpan w:val="3"/>
            <w:shd w:val="clear" w:color="auto" w:fill="auto"/>
            <w:vAlign w:val="bottom"/>
          </w:tcPr>
          <w:p w14:paraId="71D4497E" w14:textId="77777777" w:rsidR="006A3667" w:rsidRDefault="006A3667">
            <w:pPr>
              <w:rPr>
                <w:rFonts w:ascii="宋体"/>
                <w:vanish/>
              </w:rPr>
            </w:pPr>
          </w:p>
        </w:tc>
        <w:tc>
          <w:tcPr>
            <w:tcW w:w="0" w:type="auto"/>
            <w:gridSpan w:val="3"/>
            <w:shd w:val="clear" w:color="auto" w:fill="auto"/>
            <w:vAlign w:val="bottom"/>
          </w:tcPr>
          <w:p w14:paraId="71D4497F" w14:textId="77777777" w:rsidR="006A3667" w:rsidRDefault="006A3667">
            <w:pPr>
              <w:rPr>
                <w:rFonts w:ascii="宋体"/>
                <w:vanish/>
              </w:rPr>
            </w:pPr>
          </w:p>
        </w:tc>
        <w:tc>
          <w:tcPr>
            <w:tcW w:w="0" w:type="auto"/>
            <w:gridSpan w:val="2"/>
            <w:shd w:val="clear" w:color="auto" w:fill="auto"/>
            <w:vAlign w:val="bottom"/>
          </w:tcPr>
          <w:p w14:paraId="71D44980" w14:textId="77777777" w:rsidR="006A3667" w:rsidRDefault="006A3667">
            <w:pPr>
              <w:rPr>
                <w:rFonts w:ascii="宋体"/>
                <w:vanish/>
              </w:rPr>
            </w:pPr>
          </w:p>
        </w:tc>
        <w:tc>
          <w:tcPr>
            <w:tcW w:w="0" w:type="auto"/>
            <w:shd w:val="clear" w:color="auto" w:fill="auto"/>
            <w:vAlign w:val="bottom"/>
          </w:tcPr>
          <w:p w14:paraId="71D44981" w14:textId="77777777" w:rsidR="006A3667" w:rsidRDefault="006A3667">
            <w:pPr>
              <w:rPr>
                <w:rFonts w:ascii="宋体"/>
                <w:vanish/>
              </w:rPr>
            </w:pPr>
          </w:p>
        </w:tc>
      </w:tr>
      <w:tr w:rsidR="006A3667" w14:paraId="71D44999" w14:textId="77777777">
        <w:trPr>
          <w:hidden/>
        </w:trPr>
        <w:tc>
          <w:tcPr>
            <w:tcW w:w="0" w:type="auto"/>
            <w:gridSpan w:val="3"/>
            <w:shd w:val="clear" w:color="auto" w:fill="auto"/>
            <w:vAlign w:val="bottom"/>
          </w:tcPr>
          <w:p w14:paraId="71D44983" w14:textId="77777777" w:rsidR="006A3667" w:rsidRDefault="006A3667">
            <w:pPr>
              <w:rPr>
                <w:rFonts w:ascii="宋体"/>
                <w:vanish/>
              </w:rPr>
            </w:pPr>
          </w:p>
        </w:tc>
        <w:tc>
          <w:tcPr>
            <w:tcW w:w="0" w:type="auto"/>
            <w:gridSpan w:val="3"/>
            <w:shd w:val="clear" w:color="auto" w:fill="auto"/>
            <w:vAlign w:val="bottom"/>
          </w:tcPr>
          <w:p w14:paraId="71D44984" w14:textId="77777777" w:rsidR="006A3667" w:rsidRDefault="006A3667">
            <w:pPr>
              <w:rPr>
                <w:rFonts w:ascii="宋体"/>
                <w:vanish/>
              </w:rPr>
            </w:pPr>
          </w:p>
        </w:tc>
        <w:tc>
          <w:tcPr>
            <w:tcW w:w="0" w:type="auto"/>
            <w:gridSpan w:val="3"/>
            <w:shd w:val="clear" w:color="auto" w:fill="auto"/>
            <w:vAlign w:val="bottom"/>
          </w:tcPr>
          <w:p w14:paraId="71D44985" w14:textId="77777777" w:rsidR="006A3667" w:rsidRDefault="006A3667">
            <w:pPr>
              <w:rPr>
                <w:rFonts w:ascii="宋体"/>
                <w:vanish/>
              </w:rPr>
            </w:pPr>
          </w:p>
        </w:tc>
        <w:tc>
          <w:tcPr>
            <w:tcW w:w="0" w:type="auto"/>
            <w:gridSpan w:val="3"/>
            <w:shd w:val="clear" w:color="auto" w:fill="auto"/>
            <w:vAlign w:val="bottom"/>
          </w:tcPr>
          <w:p w14:paraId="71D44986" w14:textId="77777777" w:rsidR="006A3667" w:rsidRDefault="006A3667">
            <w:pPr>
              <w:rPr>
                <w:rFonts w:ascii="宋体"/>
                <w:vanish/>
              </w:rPr>
            </w:pPr>
          </w:p>
        </w:tc>
        <w:tc>
          <w:tcPr>
            <w:tcW w:w="0" w:type="auto"/>
            <w:gridSpan w:val="3"/>
            <w:shd w:val="clear" w:color="auto" w:fill="auto"/>
            <w:vAlign w:val="bottom"/>
          </w:tcPr>
          <w:p w14:paraId="71D44987" w14:textId="77777777" w:rsidR="006A3667" w:rsidRDefault="006A3667">
            <w:pPr>
              <w:rPr>
                <w:rFonts w:ascii="宋体"/>
                <w:vanish/>
              </w:rPr>
            </w:pPr>
          </w:p>
        </w:tc>
        <w:tc>
          <w:tcPr>
            <w:tcW w:w="0" w:type="auto"/>
            <w:gridSpan w:val="3"/>
            <w:shd w:val="clear" w:color="auto" w:fill="auto"/>
            <w:vAlign w:val="bottom"/>
          </w:tcPr>
          <w:p w14:paraId="71D44988" w14:textId="77777777" w:rsidR="006A3667" w:rsidRDefault="006A3667">
            <w:pPr>
              <w:rPr>
                <w:rFonts w:ascii="宋体"/>
                <w:vanish/>
              </w:rPr>
            </w:pPr>
          </w:p>
        </w:tc>
        <w:tc>
          <w:tcPr>
            <w:tcW w:w="0" w:type="auto"/>
            <w:gridSpan w:val="3"/>
            <w:shd w:val="clear" w:color="auto" w:fill="auto"/>
            <w:vAlign w:val="bottom"/>
          </w:tcPr>
          <w:p w14:paraId="71D44989" w14:textId="77777777" w:rsidR="006A3667" w:rsidRDefault="006A3667">
            <w:pPr>
              <w:rPr>
                <w:rFonts w:ascii="宋体"/>
                <w:vanish/>
              </w:rPr>
            </w:pPr>
          </w:p>
        </w:tc>
        <w:tc>
          <w:tcPr>
            <w:tcW w:w="0" w:type="auto"/>
            <w:gridSpan w:val="3"/>
            <w:shd w:val="clear" w:color="auto" w:fill="auto"/>
            <w:vAlign w:val="bottom"/>
          </w:tcPr>
          <w:p w14:paraId="71D4498A" w14:textId="77777777" w:rsidR="006A3667" w:rsidRDefault="006A3667">
            <w:pPr>
              <w:rPr>
                <w:rFonts w:ascii="宋体"/>
                <w:vanish/>
              </w:rPr>
            </w:pPr>
          </w:p>
        </w:tc>
        <w:tc>
          <w:tcPr>
            <w:tcW w:w="0" w:type="auto"/>
            <w:gridSpan w:val="3"/>
            <w:shd w:val="clear" w:color="auto" w:fill="auto"/>
            <w:vAlign w:val="bottom"/>
          </w:tcPr>
          <w:p w14:paraId="71D4498B" w14:textId="77777777" w:rsidR="006A3667" w:rsidRDefault="006A3667">
            <w:pPr>
              <w:rPr>
                <w:rFonts w:ascii="宋体"/>
                <w:vanish/>
              </w:rPr>
            </w:pPr>
          </w:p>
        </w:tc>
        <w:tc>
          <w:tcPr>
            <w:tcW w:w="0" w:type="auto"/>
            <w:gridSpan w:val="3"/>
            <w:shd w:val="clear" w:color="auto" w:fill="auto"/>
            <w:vAlign w:val="bottom"/>
          </w:tcPr>
          <w:p w14:paraId="71D4498C" w14:textId="77777777" w:rsidR="006A3667" w:rsidRDefault="006A3667">
            <w:pPr>
              <w:rPr>
                <w:rFonts w:ascii="宋体"/>
                <w:vanish/>
              </w:rPr>
            </w:pPr>
          </w:p>
        </w:tc>
        <w:tc>
          <w:tcPr>
            <w:tcW w:w="0" w:type="auto"/>
            <w:gridSpan w:val="3"/>
            <w:shd w:val="clear" w:color="auto" w:fill="auto"/>
            <w:vAlign w:val="bottom"/>
          </w:tcPr>
          <w:p w14:paraId="71D4498D" w14:textId="77777777" w:rsidR="006A3667" w:rsidRDefault="006A3667">
            <w:pPr>
              <w:rPr>
                <w:rFonts w:ascii="宋体"/>
                <w:vanish/>
              </w:rPr>
            </w:pPr>
          </w:p>
        </w:tc>
        <w:tc>
          <w:tcPr>
            <w:tcW w:w="0" w:type="auto"/>
            <w:gridSpan w:val="3"/>
            <w:shd w:val="clear" w:color="auto" w:fill="auto"/>
            <w:vAlign w:val="bottom"/>
          </w:tcPr>
          <w:p w14:paraId="71D4498E" w14:textId="77777777" w:rsidR="006A3667" w:rsidRDefault="006A3667">
            <w:pPr>
              <w:rPr>
                <w:rFonts w:ascii="宋体"/>
                <w:vanish/>
              </w:rPr>
            </w:pPr>
          </w:p>
        </w:tc>
        <w:tc>
          <w:tcPr>
            <w:tcW w:w="0" w:type="auto"/>
            <w:gridSpan w:val="3"/>
            <w:shd w:val="clear" w:color="auto" w:fill="auto"/>
            <w:vAlign w:val="bottom"/>
          </w:tcPr>
          <w:p w14:paraId="71D4498F" w14:textId="77777777" w:rsidR="006A3667" w:rsidRDefault="006A3667">
            <w:pPr>
              <w:rPr>
                <w:rFonts w:ascii="宋体"/>
                <w:vanish/>
              </w:rPr>
            </w:pPr>
          </w:p>
        </w:tc>
        <w:tc>
          <w:tcPr>
            <w:tcW w:w="0" w:type="auto"/>
            <w:gridSpan w:val="3"/>
            <w:shd w:val="clear" w:color="auto" w:fill="auto"/>
            <w:vAlign w:val="bottom"/>
          </w:tcPr>
          <w:p w14:paraId="71D44990" w14:textId="77777777" w:rsidR="006A3667" w:rsidRDefault="006A3667">
            <w:pPr>
              <w:rPr>
                <w:rFonts w:ascii="宋体"/>
                <w:vanish/>
              </w:rPr>
            </w:pPr>
          </w:p>
        </w:tc>
        <w:tc>
          <w:tcPr>
            <w:tcW w:w="0" w:type="auto"/>
            <w:gridSpan w:val="3"/>
            <w:shd w:val="clear" w:color="auto" w:fill="auto"/>
            <w:vAlign w:val="bottom"/>
          </w:tcPr>
          <w:p w14:paraId="71D44991" w14:textId="77777777" w:rsidR="006A3667" w:rsidRDefault="006A3667">
            <w:pPr>
              <w:rPr>
                <w:rFonts w:ascii="宋体"/>
                <w:vanish/>
              </w:rPr>
            </w:pPr>
          </w:p>
        </w:tc>
        <w:tc>
          <w:tcPr>
            <w:tcW w:w="0" w:type="auto"/>
            <w:gridSpan w:val="3"/>
            <w:shd w:val="clear" w:color="auto" w:fill="auto"/>
            <w:vAlign w:val="bottom"/>
          </w:tcPr>
          <w:p w14:paraId="71D44992" w14:textId="77777777" w:rsidR="006A3667" w:rsidRDefault="006A3667">
            <w:pPr>
              <w:rPr>
                <w:rFonts w:ascii="宋体"/>
                <w:vanish/>
              </w:rPr>
            </w:pPr>
          </w:p>
        </w:tc>
        <w:tc>
          <w:tcPr>
            <w:tcW w:w="0" w:type="auto"/>
            <w:gridSpan w:val="3"/>
            <w:shd w:val="clear" w:color="auto" w:fill="auto"/>
            <w:vAlign w:val="bottom"/>
          </w:tcPr>
          <w:p w14:paraId="71D44993" w14:textId="77777777" w:rsidR="006A3667" w:rsidRDefault="006A3667">
            <w:pPr>
              <w:rPr>
                <w:rFonts w:ascii="宋体"/>
                <w:vanish/>
              </w:rPr>
            </w:pPr>
          </w:p>
        </w:tc>
        <w:tc>
          <w:tcPr>
            <w:tcW w:w="0" w:type="auto"/>
            <w:gridSpan w:val="3"/>
            <w:shd w:val="clear" w:color="auto" w:fill="auto"/>
            <w:vAlign w:val="bottom"/>
          </w:tcPr>
          <w:p w14:paraId="71D44994" w14:textId="77777777" w:rsidR="006A3667" w:rsidRDefault="006A3667">
            <w:pPr>
              <w:rPr>
                <w:rFonts w:ascii="宋体"/>
                <w:vanish/>
              </w:rPr>
            </w:pPr>
          </w:p>
        </w:tc>
        <w:tc>
          <w:tcPr>
            <w:tcW w:w="0" w:type="auto"/>
            <w:gridSpan w:val="3"/>
            <w:shd w:val="clear" w:color="auto" w:fill="auto"/>
            <w:vAlign w:val="bottom"/>
          </w:tcPr>
          <w:p w14:paraId="71D44995" w14:textId="77777777" w:rsidR="006A3667" w:rsidRDefault="006A3667">
            <w:pPr>
              <w:rPr>
                <w:rFonts w:ascii="宋体"/>
                <w:vanish/>
              </w:rPr>
            </w:pPr>
          </w:p>
        </w:tc>
        <w:tc>
          <w:tcPr>
            <w:tcW w:w="0" w:type="auto"/>
            <w:gridSpan w:val="3"/>
            <w:shd w:val="clear" w:color="auto" w:fill="auto"/>
            <w:vAlign w:val="bottom"/>
          </w:tcPr>
          <w:p w14:paraId="71D44996" w14:textId="77777777" w:rsidR="006A3667" w:rsidRDefault="006A3667">
            <w:pPr>
              <w:rPr>
                <w:rFonts w:ascii="宋体"/>
                <w:vanish/>
              </w:rPr>
            </w:pPr>
          </w:p>
        </w:tc>
        <w:tc>
          <w:tcPr>
            <w:tcW w:w="0" w:type="auto"/>
            <w:gridSpan w:val="2"/>
            <w:shd w:val="clear" w:color="auto" w:fill="auto"/>
            <w:vAlign w:val="bottom"/>
          </w:tcPr>
          <w:p w14:paraId="71D44997" w14:textId="77777777" w:rsidR="006A3667" w:rsidRDefault="006A3667">
            <w:pPr>
              <w:rPr>
                <w:rFonts w:ascii="宋体"/>
                <w:vanish/>
              </w:rPr>
            </w:pPr>
          </w:p>
        </w:tc>
        <w:tc>
          <w:tcPr>
            <w:tcW w:w="0" w:type="auto"/>
            <w:shd w:val="clear" w:color="auto" w:fill="auto"/>
            <w:vAlign w:val="bottom"/>
          </w:tcPr>
          <w:p w14:paraId="71D44998" w14:textId="77777777" w:rsidR="006A3667" w:rsidRDefault="006A3667">
            <w:pPr>
              <w:rPr>
                <w:rFonts w:ascii="宋体"/>
                <w:vanish/>
              </w:rPr>
            </w:pPr>
          </w:p>
        </w:tc>
      </w:tr>
      <w:tr w:rsidR="006A3667" w14:paraId="71D449B0" w14:textId="77777777">
        <w:trPr>
          <w:hidden/>
        </w:trPr>
        <w:tc>
          <w:tcPr>
            <w:tcW w:w="0" w:type="auto"/>
            <w:gridSpan w:val="3"/>
            <w:shd w:val="clear" w:color="auto" w:fill="auto"/>
            <w:vAlign w:val="bottom"/>
          </w:tcPr>
          <w:p w14:paraId="71D4499A" w14:textId="77777777" w:rsidR="006A3667" w:rsidRDefault="006A3667">
            <w:pPr>
              <w:rPr>
                <w:rFonts w:ascii="宋体"/>
                <w:vanish/>
              </w:rPr>
            </w:pPr>
          </w:p>
        </w:tc>
        <w:tc>
          <w:tcPr>
            <w:tcW w:w="0" w:type="auto"/>
            <w:gridSpan w:val="3"/>
            <w:shd w:val="clear" w:color="auto" w:fill="auto"/>
            <w:vAlign w:val="bottom"/>
          </w:tcPr>
          <w:p w14:paraId="71D4499B" w14:textId="77777777" w:rsidR="006A3667" w:rsidRDefault="006A3667">
            <w:pPr>
              <w:rPr>
                <w:rFonts w:ascii="宋体"/>
                <w:vanish/>
              </w:rPr>
            </w:pPr>
          </w:p>
        </w:tc>
        <w:tc>
          <w:tcPr>
            <w:tcW w:w="0" w:type="auto"/>
            <w:gridSpan w:val="3"/>
            <w:shd w:val="clear" w:color="auto" w:fill="auto"/>
            <w:vAlign w:val="bottom"/>
          </w:tcPr>
          <w:p w14:paraId="71D4499C" w14:textId="77777777" w:rsidR="006A3667" w:rsidRDefault="006A3667">
            <w:pPr>
              <w:rPr>
                <w:rFonts w:ascii="宋体"/>
                <w:vanish/>
              </w:rPr>
            </w:pPr>
          </w:p>
        </w:tc>
        <w:tc>
          <w:tcPr>
            <w:tcW w:w="0" w:type="auto"/>
            <w:gridSpan w:val="3"/>
            <w:shd w:val="clear" w:color="auto" w:fill="auto"/>
            <w:vAlign w:val="bottom"/>
          </w:tcPr>
          <w:p w14:paraId="71D4499D" w14:textId="77777777" w:rsidR="006A3667" w:rsidRDefault="006A3667">
            <w:pPr>
              <w:rPr>
                <w:rFonts w:ascii="宋体"/>
                <w:vanish/>
              </w:rPr>
            </w:pPr>
          </w:p>
        </w:tc>
        <w:tc>
          <w:tcPr>
            <w:tcW w:w="0" w:type="auto"/>
            <w:gridSpan w:val="3"/>
            <w:shd w:val="clear" w:color="auto" w:fill="auto"/>
            <w:vAlign w:val="bottom"/>
          </w:tcPr>
          <w:p w14:paraId="71D4499E" w14:textId="77777777" w:rsidR="006A3667" w:rsidRDefault="006A3667">
            <w:pPr>
              <w:rPr>
                <w:rFonts w:ascii="宋体"/>
                <w:vanish/>
              </w:rPr>
            </w:pPr>
          </w:p>
        </w:tc>
        <w:tc>
          <w:tcPr>
            <w:tcW w:w="0" w:type="auto"/>
            <w:gridSpan w:val="3"/>
            <w:shd w:val="clear" w:color="auto" w:fill="auto"/>
            <w:vAlign w:val="bottom"/>
          </w:tcPr>
          <w:p w14:paraId="71D4499F" w14:textId="77777777" w:rsidR="006A3667" w:rsidRDefault="006A3667">
            <w:pPr>
              <w:rPr>
                <w:rFonts w:ascii="宋体"/>
                <w:vanish/>
              </w:rPr>
            </w:pPr>
          </w:p>
        </w:tc>
        <w:tc>
          <w:tcPr>
            <w:tcW w:w="0" w:type="auto"/>
            <w:gridSpan w:val="3"/>
            <w:shd w:val="clear" w:color="auto" w:fill="auto"/>
            <w:vAlign w:val="bottom"/>
          </w:tcPr>
          <w:p w14:paraId="71D449A0" w14:textId="77777777" w:rsidR="006A3667" w:rsidRDefault="006A3667">
            <w:pPr>
              <w:rPr>
                <w:rFonts w:ascii="宋体"/>
                <w:vanish/>
              </w:rPr>
            </w:pPr>
          </w:p>
        </w:tc>
        <w:tc>
          <w:tcPr>
            <w:tcW w:w="0" w:type="auto"/>
            <w:gridSpan w:val="3"/>
            <w:shd w:val="clear" w:color="auto" w:fill="auto"/>
            <w:vAlign w:val="bottom"/>
          </w:tcPr>
          <w:p w14:paraId="71D449A1" w14:textId="77777777" w:rsidR="006A3667" w:rsidRDefault="006A3667">
            <w:pPr>
              <w:rPr>
                <w:rFonts w:ascii="宋体"/>
                <w:vanish/>
              </w:rPr>
            </w:pPr>
          </w:p>
        </w:tc>
        <w:tc>
          <w:tcPr>
            <w:tcW w:w="0" w:type="auto"/>
            <w:gridSpan w:val="3"/>
            <w:shd w:val="clear" w:color="auto" w:fill="auto"/>
            <w:vAlign w:val="bottom"/>
          </w:tcPr>
          <w:p w14:paraId="71D449A2" w14:textId="77777777" w:rsidR="006A3667" w:rsidRDefault="006A3667">
            <w:pPr>
              <w:rPr>
                <w:rFonts w:ascii="宋体"/>
                <w:vanish/>
              </w:rPr>
            </w:pPr>
          </w:p>
        </w:tc>
        <w:tc>
          <w:tcPr>
            <w:tcW w:w="0" w:type="auto"/>
            <w:gridSpan w:val="3"/>
            <w:shd w:val="clear" w:color="auto" w:fill="auto"/>
            <w:vAlign w:val="bottom"/>
          </w:tcPr>
          <w:p w14:paraId="71D449A3" w14:textId="77777777" w:rsidR="006A3667" w:rsidRDefault="006A3667">
            <w:pPr>
              <w:rPr>
                <w:rFonts w:ascii="宋体"/>
                <w:vanish/>
              </w:rPr>
            </w:pPr>
          </w:p>
        </w:tc>
        <w:tc>
          <w:tcPr>
            <w:tcW w:w="0" w:type="auto"/>
            <w:gridSpan w:val="3"/>
            <w:shd w:val="clear" w:color="auto" w:fill="auto"/>
            <w:vAlign w:val="bottom"/>
          </w:tcPr>
          <w:p w14:paraId="71D449A4" w14:textId="77777777" w:rsidR="006A3667" w:rsidRDefault="006A3667">
            <w:pPr>
              <w:rPr>
                <w:rFonts w:ascii="宋体"/>
                <w:vanish/>
              </w:rPr>
            </w:pPr>
          </w:p>
        </w:tc>
        <w:tc>
          <w:tcPr>
            <w:tcW w:w="0" w:type="auto"/>
            <w:gridSpan w:val="3"/>
            <w:shd w:val="clear" w:color="auto" w:fill="auto"/>
            <w:vAlign w:val="bottom"/>
          </w:tcPr>
          <w:p w14:paraId="71D449A5" w14:textId="77777777" w:rsidR="006A3667" w:rsidRDefault="006A3667">
            <w:pPr>
              <w:rPr>
                <w:rFonts w:ascii="宋体"/>
                <w:vanish/>
              </w:rPr>
            </w:pPr>
          </w:p>
        </w:tc>
        <w:tc>
          <w:tcPr>
            <w:tcW w:w="0" w:type="auto"/>
            <w:gridSpan w:val="3"/>
            <w:shd w:val="clear" w:color="auto" w:fill="auto"/>
            <w:vAlign w:val="bottom"/>
          </w:tcPr>
          <w:p w14:paraId="71D449A6" w14:textId="77777777" w:rsidR="006A3667" w:rsidRDefault="006A3667">
            <w:pPr>
              <w:rPr>
                <w:rFonts w:ascii="宋体"/>
                <w:vanish/>
              </w:rPr>
            </w:pPr>
          </w:p>
        </w:tc>
        <w:tc>
          <w:tcPr>
            <w:tcW w:w="0" w:type="auto"/>
            <w:gridSpan w:val="3"/>
            <w:shd w:val="clear" w:color="auto" w:fill="auto"/>
            <w:vAlign w:val="bottom"/>
          </w:tcPr>
          <w:p w14:paraId="71D449A7" w14:textId="77777777" w:rsidR="006A3667" w:rsidRDefault="006A3667">
            <w:pPr>
              <w:rPr>
                <w:rFonts w:ascii="宋体"/>
                <w:vanish/>
              </w:rPr>
            </w:pPr>
          </w:p>
        </w:tc>
        <w:tc>
          <w:tcPr>
            <w:tcW w:w="0" w:type="auto"/>
            <w:gridSpan w:val="3"/>
            <w:shd w:val="clear" w:color="auto" w:fill="auto"/>
            <w:vAlign w:val="bottom"/>
          </w:tcPr>
          <w:p w14:paraId="71D449A8" w14:textId="77777777" w:rsidR="006A3667" w:rsidRDefault="006A3667">
            <w:pPr>
              <w:rPr>
                <w:rFonts w:ascii="宋体"/>
                <w:vanish/>
              </w:rPr>
            </w:pPr>
          </w:p>
        </w:tc>
        <w:tc>
          <w:tcPr>
            <w:tcW w:w="0" w:type="auto"/>
            <w:gridSpan w:val="3"/>
            <w:shd w:val="clear" w:color="auto" w:fill="auto"/>
            <w:vAlign w:val="bottom"/>
          </w:tcPr>
          <w:p w14:paraId="71D449A9" w14:textId="77777777" w:rsidR="006A3667" w:rsidRDefault="006A3667">
            <w:pPr>
              <w:rPr>
                <w:rFonts w:ascii="宋体"/>
                <w:vanish/>
              </w:rPr>
            </w:pPr>
          </w:p>
        </w:tc>
        <w:tc>
          <w:tcPr>
            <w:tcW w:w="0" w:type="auto"/>
            <w:gridSpan w:val="3"/>
            <w:shd w:val="clear" w:color="auto" w:fill="auto"/>
            <w:vAlign w:val="bottom"/>
          </w:tcPr>
          <w:p w14:paraId="71D449AA" w14:textId="77777777" w:rsidR="006A3667" w:rsidRDefault="006A3667">
            <w:pPr>
              <w:rPr>
                <w:rFonts w:ascii="宋体"/>
                <w:vanish/>
              </w:rPr>
            </w:pPr>
          </w:p>
        </w:tc>
        <w:tc>
          <w:tcPr>
            <w:tcW w:w="0" w:type="auto"/>
            <w:gridSpan w:val="3"/>
            <w:shd w:val="clear" w:color="auto" w:fill="auto"/>
            <w:vAlign w:val="bottom"/>
          </w:tcPr>
          <w:p w14:paraId="71D449AB" w14:textId="77777777" w:rsidR="006A3667" w:rsidRDefault="006A3667">
            <w:pPr>
              <w:rPr>
                <w:rFonts w:ascii="宋体"/>
                <w:vanish/>
              </w:rPr>
            </w:pPr>
          </w:p>
        </w:tc>
        <w:tc>
          <w:tcPr>
            <w:tcW w:w="0" w:type="auto"/>
            <w:gridSpan w:val="3"/>
            <w:shd w:val="clear" w:color="auto" w:fill="auto"/>
            <w:vAlign w:val="bottom"/>
          </w:tcPr>
          <w:p w14:paraId="71D449AC" w14:textId="77777777" w:rsidR="006A3667" w:rsidRDefault="006A3667">
            <w:pPr>
              <w:rPr>
                <w:rFonts w:ascii="宋体"/>
                <w:vanish/>
              </w:rPr>
            </w:pPr>
          </w:p>
        </w:tc>
        <w:tc>
          <w:tcPr>
            <w:tcW w:w="0" w:type="auto"/>
            <w:gridSpan w:val="3"/>
            <w:shd w:val="clear" w:color="auto" w:fill="auto"/>
            <w:vAlign w:val="bottom"/>
          </w:tcPr>
          <w:p w14:paraId="71D449AD" w14:textId="77777777" w:rsidR="006A3667" w:rsidRDefault="006A3667">
            <w:pPr>
              <w:rPr>
                <w:rFonts w:ascii="宋体"/>
                <w:vanish/>
              </w:rPr>
            </w:pPr>
          </w:p>
        </w:tc>
        <w:tc>
          <w:tcPr>
            <w:tcW w:w="0" w:type="auto"/>
            <w:gridSpan w:val="2"/>
            <w:shd w:val="clear" w:color="auto" w:fill="auto"/>
            <w:vAlign w:val="bottom"/>
          </w:tcPr>
          <w:p w14:paraId="71D449AE" w14:textId="77777777" w:rsidR="006A3667" w:rsidRDefault="006A3667">
            <w:pPr>
              <w:rPr>
                <w:rFonts w:ascii="宋体"/>
                <w:vanish/>
              </w:rPr>
            </w:pPr>
          </w:p>
        </w:tc>
        <w:tc>
          <w:tcPr>
            <w:tcW w:w="0" w:type="auto"/>
            <w:shd w:val="clear" w:color="auto" w:fill="auto"/>
            <w:vAlign w:val="bottom"/>
          </w:tcPr>
          <w:p w14:paraId="71D449AF" w14:textId="77777777" w:rsidR="006A3667" w:rsidRDefault="006A3667">
            <w:pPr>
              <w:rPr>
                <w:rFonts w:ascii="宋体"/>
                <w:vanish/>
              </w:rPr>
            </w:pPr>
          </w:p>
        </w:tc>
      </w:tr>
      <w:tr w:rsidR="006A3667" w14:paraId="71D449C7" w14:textId="77777777">
        <w:trPr>
          <w:hidden/>
        </w:trPr>
        <w:tc>
          <w:tcPr>
            <w:tcW w:w="0" w:type="auto"/>
            <w:gridSpan w:val="3"/>
            <w:shd w:val="clear" w:color="auto" w:fill="auto"/>
            <w:vAlign w:val="bottom"/>
          </w:tcPr>
          <w:p w14:paraId="71D449B1" w14:textId="77777777" w:rsidR="006A3667" w:rsidRDefault="006A3667">
            <w:pPr>
              <w:rPr>
                <w:rFonts w:ascii="宋体"/>
                <w:vanish/>
              </w:rPr>
            </w:pPr>
          </w:p>
        </w:tc>
        <w:tc>
          <w:tcPr>
            <w:tcW w:w="0" w:type="auto"/>
            <w:gridSpan w:val="3"/>
            <w:shd w:val="clear" w:color="auto" w:fill="auto"/>
            <w:vAlign w:val="bottom"/>
          </w:tcPr>
          <w:p w14:paraId="71D449B2" w14:textId="77777777" w:rsidR="006A3667" w:rsidRDefault="006A3667">
            <w:pPr>
              <w:rPr>
                <w:rFonts w:ascii="宋体"/>
                <w:vanish/>
              </w:rPr>
            </w:pPr>
          </w:p>
        </w:tc>
        <w:tc>
          <w:tcPr>
            <w:tcW w:w="0" w:type="auto"/>
            <w:gridSpan w:val="3"/>
            <w:shd w:val="clear" w:color="auto" w:fill="auto"/>
            <w:vAlign w:val="bottom"/>
          </w:tcPr>
          <w:p w14:paraId="71D449B3" w14:textId="77777777" w:rsidR="006A3667" w:rsidRDefault="006A3667">
            <w:pPr>
              <w:rPr>
                <w:rFonts w:ascii="宋体"/>
                <w:vanish/>
              </w:rPr>
            </w:pPr>
          </w:p>
        </w:tc>
        <w:tc>
          <w:tcPr>
            <w:tcW w:w="0" w:type="auto"/>
            <w:gridSpan w:val="3"/>
            <w:shd w:val="clear" w:color="auto" w:fill="auto"/>
            <w:vAlign w:val="bottom"/>
          </w:tcPr>
          <w:p w14:paraId="71D449B4" w14:textId="77777777" w:rsidR="006A3667" w:rsidRDefault="006A3667">
            <w:pPr>
              <w:rPr>
                <w:rFonts w:ascii="宋体"/>
                <w:vanish/>
              </w:rPr>
            </w:pPr>
          </w:p>
        </w:tc>
        <w:tc>
          <w:tcPr>
            <w:tcW w:w="0" w:type="auto"/>
            <w:gridSpan w:val="3"/>
            <w:shd w:val="clear" w:color="auto" w:fill="auto"/>
            <w:vAlign w:val="bottom"/>
          </w:tcPr>
          <w:p w14:paraId="71D449B5" w14:textId="77777777" w:rsidR="006A3667" w:rsidRDefault="006A3667">
            <w:pPr>
              <w:rPr>
                <w:rFonts w:ascii="宋体"/>
                <w:vanish/>
              </w:rPr>
            </w:pPr>
          </w:p>
        </w:tc>
        <w:tc>
          <w:tcPr>
            <w:tcW w:w="0" w:type="auto"/>
            <w:gridSpan w:val="3"/>
            <w:shd w:val="clear" w:color="auto" w:fill="auto"/>
            <w:vAlign w:val="bottom"/>
          </w:tcPr>
          <w:p w14:paraId="71D449B6" w14:textId="77777777" w:rsidR="006A3667" w:rsidRDefault="006A3667">
            <w:pPr>
              <w:rPr>
                <w:rFonts w:ascii="宋体"/>
                <w:vanish/>
              </w:rPr>
            </w:pPr>
          </w:p>
        </w:tc>
        <w:tc>
          <w:tcPr>
            <w:tcW w:w="0" w:type="auto"/>
            <w:gridSpan w:val="3"/>
            <w:shd w:val="clear" w:color="auto" w:fill="auto"/>
            <w:vAlign w:val="bottom"/>
          </w:tcPr>
          <w:p w14:paraId="71D449B7" w14:textId="77777777" w:rsidR="006A3667" w:rsidRDefault="006A3667">
            <w:pPr>
              <w:rPr>
                <w:rFonts w:ascii="宋体"/>
                <w:vanish/>
              </w:rPr>
            </w:pPr>
          </w:p>
        </w:tc>
        <w:tc>
          <w:tcPr>
            <w:tcW w:w="0" w:type="auto"/>
            <w:gridSpan w:val="3"/>
            <w:shd w:val="clear" w:color="auto" w:fill="auto"/>
            <w:vAlign w:val="bottom"/>
          </w:tcPr>
          <w:p w14:paraId="71D449B8" w14:textId="77777777" w:rsidR="006A3667" w:rsidRDefault="006A3667">
            <w:pPr>
              <w:rPr>
                <w:rFonts w:ascii="宋体"/>
                <w:vanish/>
              </w:rPr>
            </w:pPr>
          </w:p>
        </w:tc>
        <w:tc>
          <w:tcPr>
            <w:tcW w:w="0" w:type="auto"/>
            <w:gridSpan w:val="3"/>
            <w:shd w:val="clear" w:color="auto" w:fill="auto"/>
            <w:vAlign w:val="bottom"/>
          </w:tcPr>
          <w:p w14:paraId="71D449B9" w14:textId="77777777" w:rsidR="006A3667" w:rsidRDefault="006A3667">
            <w:pPr>
              <w:rPr>
                <w:rFonts w:ascii="宋体"/>
                <w:vanish/>
              </w:rPr>
            </w:pPr>
          </w:p>
        </w:tc>
        <w:tc>
          <w:tcPr>
            <w:tcW w:w="0" w:type="auto"/>
            <w:gridSpan w:val="3"/>
            <w:shd w:val="clear" w:color="auto" w:fill="auto"/>
            <w:vAlign w:val="bottom"/>
          </w:tcPr>
          <w:p w14:paraId="71D449BA" w14:textId="77777777" w:rsidR="006A3667" w:rsidRDefault="006A3667">
            <w:pPr>
              <w:rPr>
                <w:rFonts w:ascii="宋体"/>
                <w:vanish/>
              </w:rPr>
            </w:pPr>
          </w:p>
        </w:tc>
        <w:tc>
          <w:tcPr>
            <w:tcW w:w="0" w:type="auto"/>
            <w:gridSpan w:val="3"/>
            <w:shd w:val="clear" w:color="auto" w:fill="auto"/>
            <w:vAlign w:val="bottom"/>
          </w:tcPr>
          <w:p w14:paraId="71D449BB" w14:textId="77777777" w:rsidR="006A3667" w:rsidRDefault="006A3667">
            <w:pPr>
              <w:rPr>
                <w:rFonts w:ascii="宋体"/>
                <w:vanish/>
              </w:rPr>
            </w:pPr>
          </w:p>
        </w:tc>
        <w:tc>
          <w:tcPr>
            <w:tcW w:w="0" w:type="auto"/>
            <w:gridSpan w:val="3"/>
            <w:shd w:val="clear" w:color="auto" w:fill="auto"/>
            <w:vAlign w:val="bottom"/>
          </w:tcPr>
          <w:p w14:paraId="71D449BC" w14:textId="77777777" w:rsidR="006A3667" w:rsidRDefault="006A3667">
            <w:pPr>
              <w:rPr>
                <w:rFonts w:ascii="宋体"/>
                <w:vanish/>
              </w:rPr>
            </w:pPr>
          </w:p>
        </w:tc>
        <w:tc>
          <w:tcPr>
            <w:tcW w:w="0" w:type="auto"/>
            <w:gridSpan w:val="3"/>
            <w:shd w:val="clear" w:color="auto" w:fill="auto"/>
            <w:vAlign w:val="bottom"/>
          </w:tcPr>
          <w:p w14:paraId="71D449BD" w14:textId="77777777" w:rsidR="006A3667" w:rsidRDefault="006A3667">
            <w:pPr>
              <w:rPr>
                <w:rFonts w:ascii="宋体"/>
                <w:vanish/>
              </w:rPr>
            </w:pPr>
          </w:p>
        </w:tc>
        <w:tc>
          <w:tcPr>
            <w:tcW w:w="0" w:type="auto"/>
            <w:gridSpan w:val="3"/>
            <w:shd w:val="clear" w:color="auto" w:fill="auto"/>
            <w:vAlign w:val="bottom"/>
          </w:tcPr>
          <w:p w14:paraId="71D449BE" w14:textId="77777777" w:rsidR="006A3667" w:rsidRDefault="006A3667">
            <w:pPr>
              <w:rPr>
                <w:rFonts w:ascii="宋体"/>
                <w:vanish/>
              </w:rPr>
            </w:pPr>
          </w:p>
        </w:tc>
        <w:tc>
          <w:tcPr>
            <w:tcW w:w="0" w:type="auto"/>
            <w:gridSpan w:val="3"/>
            <w:shd w:val="clear" w:color="auto" w:fill="auto"/>
            <w:vAlign w:val="bottom"/>
          </w:tcPr>
          <w:p w14:paraId="71D449BF" w14:textId="77777777" w:rsidR="006A3667" w:rsidRDefault="006A3667">
            <w:pPr>
              <w:rPr>
                <w:rFonts w:ascii="宋体"/>
                <w:vanish/>
              </w:rPr>
            </w:pPr>
          </w:p>
        </w:tc>
        <w:tc>
          <w:tcPr>
            <w:tcW w:w="0" w:type="auto"/>
            <w:gridSpan w:val="3"/>
            <w:shd w:val="clear" w:color="auto" w:fill="auto"/>
            <w:vAlign w:val="bottom"/>
          </w:tcPr>
          <w:p w14:paraId="71D449C0" w14:textId="77777777" w:rsidR="006A3667" w:rsidRDefault="006A3667">
            <w:pPr>
              <w:rPr>
                <w:rFonts w:ascii="宋体"/>
                <w:vanish/>
              </w:rPr>
            </w:pPr>
          </w:p>
        </w:tc>
        <w:tc>
          <w:tcPr>
            <w:tcW w:w="0" w:type="auto"/>
            <w:gridSpan w:val="3"/>
            <w:shd w:val="clear" w:color="auto" w:fill="auto"/>
            <w:vAlign w:val="bottom"/>
          </w:tcPr>
          <w:p w14:paraId="71D449C1" w14:textId="77777777" w:rsidR="006A3667" w:rsidRDefault="006A3667">
            <w:pPr>
              <w:rPr>
                <w:rFonts w:ascii="宋体"/>
                <w:vanish/>
              </w:rPr>
            </w:pPr>
          </w:p>
        </w:tc>
        <w:tc>
          <w:tcPr>
            <w:tcW w:w="0" w:type="auto"/>
            <w:gridSpan w:val="3"/>
            <w:shd w:val="clear" w:color="auto" w:fill="auto"/>
            <w:vAlign w:val="bottom"/>
          </w:tcPr>
          <w:p w14:paraId="71D449C2" w14:textId="77777777" w:rsidR="006A3667" w:rsidRDefault="006A3667">
            <w:pPr>
              <w:rPr>
                <w:rFonts w:ascii="宋体"/>
                <w:vanish/>
              </w:rPr>
            </w:pPr>
          </w:p>
        </w:tc>
        <w:tc>
          <w:tcPr>
            <w:tcW w:w="0" w:type="auto"/>
            <w:gridSpan w:val="3"/>
            <w:shd w:val="clear" w:color="auto" w:fill="auto"/>
            <w:vAlign w:val="bottom"/>
          </w:tcPr>
          <w:p w14:paraId="71D449C3" w14:textId="77777777" w:rsidR="006A3667" w:rsidRDefault="006A3667">
            <w:pPr>
              <w:rPr>
                <w:rFonts w:ascii="宋体"/>
                <w:vanish/>
              </w:rPr>
            </w:pPr>
          </w:p>
        </w:tc>
        <w:tc>
          <w:tcPr>
            <w:tcW w:w="0" w:type="auto"/>
            <w:gridSpan w:val="3"/>
            <w:shd w:val="clear" w:color="auto" w:fill="auto"/>
            <w:vAlign w:val="bottom"/>
          </w:tcPr>
          <w:p w14:paraId="71D449C4" w14:textId="77777777" w:rsidR="006A3667" w:rsidRDefault="006A3667">
            <w:pPr>
              <w:rPr>
                <w:rFonts w:ascii="宋体"/>
                <w:vanish/>
              </w:rPr>
            </w:pPr>
          </w:p>
        </w:tc>
        <w:tc>
          <w:tcPr>
            <w:tcW w:w="0" w:type="auto"/>
            <w:gridSpan w:val="2"/>
            <w:shd w:val="clear" w:color="auto" w:fill="auto"/>
            <w:vAlign w:val="bottom"/>
          </w:tcPr>
          <w:p w14:paraId="71D449C5" w14:textId="77777777" w:rsidR="006A3667" w:rsidRDefault="006A3667">
            <w:pPr>
              <w:rPr>
                <w:rFonts w:ascii="宋体"/>
                <w:vanish/>
              </w:rPr>
            </w:pPr>
          </w:p>
        </w:tc>
        <w:tc>
          <w:tcPr>
            <w:tcW w:w="0" w:type="auto"/>
            <w:shd w:val="clear" w:color="auto" w:fill="auto"/>
            <w:vAlign w:val="bottom"/>
          </w:tcPr>
          <w:p w14:paraId="71D449C6" w14:textId="77777777" w:rsidR="006A3667" w:rsidRDefault="006A3667">
            <w:pPr>
              <w:rPr>
                <w:rFonts w:ascii="宋体"/>
                <w:vanish/>
              </w:rPr>
            </w:pPr>
          </w:p>
        </w:tc>
      </w:tr>
      <w:tr w:rsidR="006A3667" w14:paraId="71D449DE" w14:textId="77777777">
        <w:trPr>
          <w:hidden/>
        </w:trPr>
        <w:tc>
          <w:tcPr>
            <w:tcW w:w="0" w:type="auto"/>
            <w:gridSpan w:val="3"/>
            <w:shd w:val="clear" w:color="auto" w:fill="auto"/>
            <w:vAlign w:val="bottom"/>
          </w:tcPr>
          <w:p w14:paraId="71D449C8" w14:textId="77777777" w:rsidR="006A3667" w:rsidRDefault="006A3667">
            <w:pPr>
              <w:rPr>
                <w:rFonts w:ascii="宋体"/>
                <w:vanish/>
              </w:rPr>
            </w:pPr>
          </w:p>
        </w:tc>
        <w:tc>
          <w:tcPr>
            <w:tcW w:w="0" w:type="auto"/>
            <w:gridSpan w:val="3"/>
            <w:shd w:val="clear" w:color="auto" w:fill="auto"/>
            <w:vAlign w:val="bottom"/>
          </w:tcPr>
          <w:p w14:paraId="71D449C9" w14:textId="77777777" w:rsidR="006A3667" w:rsidRDefault="006A3667">
            <w:pPr>
              <w:rPr>
                <w:rFonts w:ascii="宋体"/>
                <w:vanish/>
              </w:rPr>
            </w:pPr>
          </w:p>
        </w:tc>
        <w:tc>
          <w:tcPr>
            <w:tcW w:w="0" w:type="auto"/>
            <w:gridSpan w:val="3"/>
            <w:shd w:val="clear" w:color="auto" w:fill="auto"/>
            <w:vAlign w:val="bottom"/>
          </w:tcPr>
          <w:p w14:paraId="71D449CA" w14:textId="77777777" w:rsidR="006A3667" w:rsidRDefault="006A3667">
            <w:pPr>
              <w:rPr>
                <w:rFonts w:ascii="宋体"/>
                <w:vanish/>
              </w:rPr>
            </w:pPr>
          </w:p>
        </w:tc>
        <w:tc>
          <w:tcPr>
            <w:tcW w:w="0" w:type="auto"/>
            <w:gridSpan w:val="3"/>
            <w:shd w:val="clear" w:color="auto" w:fill="auto"/>
            <w:vAlign w:val="bottom"/>
          </w:tcPr>
          <w:p w14:paraId="71D449CB" w14:textId="77777777" w:rsidR="006A3667" w:rsidRDefault="006A3667">
            <w:pPr>
              <w:rPr>
                <w:rFonts w:ascii="宋体"/>
                <w:vanish/>
              </w:rPr>
            </w:pPr>
          </w:p>
        </w:tc>
        <w:tc>
          <w:tcPr>
            <w:tcW w:w="0" w:type="auto"/>
            <w:gridSpan w:val="3"/>
            <w:shd w:val="clear" w:color="auto" w:fill="auto"/>
            <w:vAlign w:val="bottom"/>
          </w:tcPr>
          <w:p w14:paraId="71D449CC" w14:textId="77777777" w:rsidR="006A3667" w:rsidRDefault="006A3667">
            <w:pPr>
              <w:rPr>
                <w:rFonts w:ascii="宋体"/>
                <w:vanish/>
              </w:rPr>
            </w:pPr>
          </w:p>
        </w:tc>
        <w:tc>
          <w:tcPr>
            <w:tcW w:w="0" w:type="auto"/>
            <w:gridSpan w:val="3"/>
            <w:shd w:val="clear" w:color="auto" w:fill="auto"/>
            <w:vAlign w:val="bottom"/>
          </w:tcPr>
          <w:p w14:paraId="71D449CD" w14:textId="77777777" w:rsidR="006A3667" w:rsidRDefault="006A3667">
            <w:pPr>
              <w:rPr>
                <w:rFonts w:ascii="宋体"/>
                <w:vanish/>
              </w:rPr>
            </w:pPr>
          </w:p>
        </w:tc>
        <w:tc>
          <w:tcPr>
            <w:tcW w:w="0" w:type="auto"/>
            <w:gridSpan w:val="3"/>
            <w:shd w:val="clear" w:color="auto" w:fill="auto"/>
            <w:vAlign w:val="bottom"/>
          </w:tcPr>
          <w:p w14:paraId="71D449CE" w14:textId="77777777" w:rsidR="006A3667" w:rsidRDefault="006A3667">
            <w:pPr>
              <w:rPr>
                <w:rFonts w:ascii="宋体"/>
                <w:vanish/>
              </w:rPr>
            </w:pPr>
          </w:p>
        </w:tc>
        <w:tc>
          <w:tcPr>
            <w:tcW w:w="0" w:type="auto"/>
            <w:gridSpan w:val="3"/>
            <w:shd w:val="clear" w:color="auto" w:fill="auto"/>
            <w:vAlign w:val="bottom"/>
          </w:tcPr>
          <w:p w14:paraId="71D449CF" w14:textId="77777777" w:rsidR="006A3667" w:rsidRDefault="006A3667">
            <w:pPr>
              <w:rPr>
                <w:rFonts w:ascii="宋体"/>
                <w:vanish/>
              </w:rPr>
            </w:pPr>
          </w:p>
        </w:tc>
        <w:tc>
          <w:tcPr>
            <w:tcW w:w="0" w:type="auto"/>
            <w:gridSpan w:val="3"/>
            <w:shd w:val="clear" w:color="auto" w:fill="auto"/>
            <w:vAlign w:val="bottom"/>
          </w:tcPr>
          <w:p w14:paraId="71D449D0" w14:textId="77777777" w:rsidR="006A3667" w:rsidRDefault="006A3667">
            <w:pPr>
              <w:rPr>
                <w:rFonts w:ascii="宋体"/>
                <w:vanish/>
              </w:rPr>
            </w:pPr>
          </w:p>
        </w:tc>
        <w:tc>
          <w:tcPr>
            <w:tcW w:w="0" w:type="auto"/>
            <w:gridSpan w:val="3"/>
            <w:shd w:val="clear" w:color="auto" w:fill="auto"/>
            <w:vAlign w:val="bottom"/>
          </w:tcPr>
          <w:p w14:paraId="71D449D1" w14:textId="77777777" w:rsidR="006A3667" w:rsidRDefault="006A3667">
            <w:pPr>
              <w:rPr>
                <w:rFonts w:ascii="宋体"/>
                <w:vanish/>
              </w:rPr>
            </w:pPr>
          </w:p>
        </w:tc>
        <w:tc>
          <w:tcPr>
            <w:tcW w:w="0" w:type="auto"/>
            <w:gridSpan w:val="3"/>
            <w:shd w:val="clear" w:color="auto" w:fill="auto"/>
            <w:vAlign w:val="bottom"/>
          </w:tcPr>
          <w:p w14:paraId="71D449D2" w14:textId="77777777" w:rsidR="006A3667" w:rsidRDefault="006A3667">
            <w:pPr>
              <w:rPr>
                <w:rFonts w:ascii="宋体"/>
                <w:vanish/>
              </w:rPr>
            </w:pPr>
          </w:p>
        </w:tc>
        <w:tc>
          <w:tcPr>
            <w:tcW w:w="0" w:type="auto"/>
            <w:gridSpan w:val="3"/>
            <w:shd w:val="clear" w:color="auto" w:fill="auto"/>
            <w:vAlign w:val="bottom"/>
          </w:tcPr>
          <w:p w14:paraId="71D449D3" w14:textId="77777777" w:rsidR="006A3667" w:rsidRDefault="006A3667">
            <w:pPr>
              <w:rPr>
                <w:rFonts w:ascii="宋体"/>
                <w:vanish/>
              </w:rPr>
            </w:pPr>
          </w:p>
        </w:tc>
        <w:tc>
          <w:tcPr>
            <w:tcW w:w="0" w:type="auto"/>
            <w:gridSpan w:val="3"/>
            <w:shd w:val="clear" w:color="auto" w:fill="auto"/>
            <w:vAlign w:val="bottom"/>
          </w:tcPr>
          <w:p w14:paraId="71D449D4" w14:textId="77777777" w:rsidR="006A3667" w:rsidRDefault="006A3667">
            <w:pPr>
              <w:rPr>
                <w:rFonts w:ascii="宋体"/>
                <w:vanish/>
              </w:rPr>
            </w:pPr>
          </w:p>
        </w:tc>
        <w:tc>
          <w:tcPr>
            <w:tcW w:w="0" w:type="auto"/>
            <w:gridSpan w:val="3"/>
            <w:shd w:val="clear" w:color="auto" w:fill="auto"/>
            <w:vAlign w:val="bottom"/>
          </w:tcPr>
          <w:p w14:paraId="71D449D5" w14:textId="77777777" w:rsidR="006A3667" w:rsidRDefault="006A3667">
            <w:pPr>
              <w:rPr>
                <w:rFonts w:ascii="宋体"/>
                <w:vanish/>
              </w:rPr>
            </w:pPr>
          </w:p>
        </w:tc>
        <w:tc>
          <w:tcPr>
            <w:tcW w:w="0" w:type="auto"/>
            <w:gridSpan w:val="3"/>
            <w:shd w:val="clear" w:color="auto" w:fill="auto"/>
            <w:vAlign w:val="bottom"/>
          </w:tcPr>
          <w:p w14:paraId="71D449D6" w14:textId="77777777" w:rsidR="006A3667" w:rsidRDefault="006A3667">
            <w:pPr>
              <w:rPr>
                <w:rFonts w:ascii="宋体"/>
                <w:vanish/>
              </w:rPr>
            </w:pPr>
          </w:p>
        </w:tc>
        <w:tc>
          <w:tcPr>
            <w:tcW w:w="0" w:type="auto"/>
            <w:gridSpan w:val="3"/>
            <w:shd w:val="clear" w:color="auto" w:fill="auto"/>
            <w:vAlign w:val="bottom"/>
          </w:tcPr>
          <w:p w14:paraId="71D449D7" w14:textId="77777777" w:rsidR="006A3667" w:rsidRDefault="006A3667">
            <w:pPr>
              <w:rPr>
                <w:rFonts w:ascii="宋体"/>
                <w:vanish/>
              </w:rPr>
            </w:pPr>
          </w:p>
        </w:tc>
        <w:tc>
          <w:tcPr>
            <w:tcW w:w="0" w:type="auto"/>
            <w:gridSpan w:val="3"/>
            <w:shd w:val="clear" w:color="auto" w:fill="auto"/>
            <w:vAlign w:val="bottom"/>
          </w:tcPr>
          <w:p w14:paraId="71D449D8" w14:textId="77777777" w:rsidR="006A3667" w:rsidRDefault="006A3667">
            <w:pPr>
              <w:rPr>
                <w:rFonts w:ascii="宋体"/>
                <w:vanish/>
              </w:rPr>
            </w:pPr>
          </w:p>
        </w:tc>
        <w:tc>
          <w:tcPr>
            <w:tcW w:w="0" w:type="auto"/>
            <w:gridSpan w:val="3"/>
            <w:shd w:val="clear" w:color="auto" w:fill="auto"/>
            <w:vAlign w:val="bottom"/>
          </w:tcPr>
          <w:p w14:paraId="71D449D9" w14:textId="77777777" w:rsidR="006A3667" w:rsidRDefault="006A3667">
            <w:pPr>
              <w:rPr>
                <w:rFonts w:ascii="宋体"/>
                <w:vanish/>
              </w:rPr>
            </w:pPr>
          </w:p>
        </w:tc>
        <w:tc>
          <w:tcPr>
            <w:tcW w:w="0" w:type="auto"/>
            <w:gridSpan w:val="3"/>
            <w:shd w:val="clear" w:color="auto" w:fill="auto"/>
            <w:vAlign w:val="bottom"/>
          </w:tcPr>
          <w:p w14:paraId="71D449DA" w14:textId="77777777" w:rsidR="006A3667" w:rsidRDefault="006A3667">
            <w:pPr>
              <w:rPr>
                <w:rFonts w:ascii="宋体"/>
                <w:vanish/>
              </w:rPr>
            </w:pPr>
          </w:p>
        </w:tc>
        <w:tc>
          <w:tcPr>
            <w:tcW w:w="0" w:type="auto"/>
            <w:gridSpan w:val="3"/>
            <w:shd w:val="clear" w:color="auto" w:fill="auto"/>
            <w:vAlign w:val="bottom"/>
          </w:tcPr>
          <w:p w14:paraId="71D449DB" w14:textId="77777777" w:rsidR="006A3667" w:rsidRDefault="006A3667">
            <w:pPr>
              <w:rPr>
                <w:rFonts w:ascii="宋体"/>
                <w:vanish/>
              </w:rPr>
            </w:pPr>
          </w:p>
        </w:tc>
        <w:tc>
          <w:tcPr>
            <w:tcW w:w="0" w:type="auto"/>
            <w:gridSpan w:val="2"/>
            <w:shd w:val="clear" w:color="auto" w:fill="auto"/>
            <w:vAlign w:val="bottom"/>
          </w:tcPr>
          <w:p w14:paraId="71D449DC" w14:textId="77777777" w:rsidR="006A3667" w:rsidRDefault="006A3667">
            <w:pPr>
              <w:rPr>
                <w:rFonts w:ascii="宋体"/>
                <w:vanish/>
              </w:rPr>
            </w:pPr>
          </w:p>
        </w:tc>
        <w:tc>
          <w:tcPr>
            <w:tcW w:w="0" w:type="auto"/>
            <w:shd w:val="clear" w:color="auto" w:fill="auto"/>
            <w:vAlign w:val="bottom"/>
          </w:tcPr>
          <w:p w14:paraId="71D449DD" w14:textId="77777777" w:rsidR="006A3667" w:rsidRDefault="006A3667">
            <w:pPr>
              <w:rPr>
                <w:rFonts w:ascii="宋体"/>
                <w:vanish/>
              </w:rPr>
            </w:pPr>
          </w:p>
        </w:tc>
      </w:tr>
      <w:tr w:rsidR="006A3667" w14:paraId="71D449F5" w14:textId="77777777">
        <w:trPr>
          <w:hidden/>
        </w:trPr>
        <w:tc>
          <w:tcPr>
            <w:tcW w:w="0" w:type="auto"/>
            <w:gridSpan w:val="3"/>
            <w:shd w:val="clear" w:color="auto" w:fill="auto"/>
            <w:vAlign w:val="bottom"/>
          </w:tcPr>
          <w:p w14:paraId="71D449DF" w14:textId="77777777" w:rsidR="006A3667" w:rsidRDefault="006A3667">
            <w:pPr>
              <w:rPr>
                <w:rFonts w:ascii="宋体"/>
                <w:vanish/>
              </w:rPr>
            </w:pPr>
          </w:p>
        </w:tc>
        <w:tc>
          <w:tcPr>
            <w:tcW w:w="0" w:type="auto"/>
            <w:gridSpan w:val="3"/>
            <w:shd w:val="clear" w:color="auto" w:fill="auto"/>
            <w:vAlign w:val="bottom"/>
          </w:tcPr>
          <w:p w14:paraId="71D449E0" w14:textId="77777777" w:rsidR="006A3667" w:rsidRDefault="006A3667">
            <w:pPr>
              <w:rPr>
                <w:rFonts w:ascii="宋体"/>
                <w:vanish/>
              </w:rPr>
            </w:pPr>
          </w:p>
        </w:tc>
        <w:tc>
          <w:tcPr>
            <w:tcW w:w="0" w:type="auto"/>
            <w:gridSpan w:val="3"/>
            <w:shd w:val="clear" w:color="auto" w:fill="auto"/>
            <w:vAlign w:val="bottom"/>
          </w:tcPr>
          <w:p w14:paraId="71D449E1" w14:textId="77777777" w:rsidR="006A3667" w:rsidRDefault="006A3667">
            <w:pPr>
              <w:rPr>
                <w:rFonts w:ascii="宋体"/>
                <w:vanish/>
              </w:rPr>
            </w:pPr>
          </w:p>
        </w:tc>
        <w:tc>
          <w:tcPr>
            <w:tcW w:w="0" w:type="auto"/>
            <w:gridSpan w:val="3"/>
            <w:shd w:val="clear" w:color="auto" w:fill="auto"/>
            <w:vAlign w:val="bottom"/>
          </w:tcPr>
          <w:p w14:paraId="71D449E2" w14:textId="77777777" w:rsidR="006A3667" w:rsidRDefault="006A3667">
            <w:pPr>
              <w:rPr>
                <w:rFonts w:ascii="宋体"/>
                <w:vanish/>
              </w:rPr>
            </w:pPr>
          </w:p>
        </w:tc>
        <w:tc>
          <w:tcPr>
            <w:tcW w:w="0" w:type="auto"/>
            <w:gridSpan w:val="3"/>
            <w:shd w:val="clear" w:color="auto" w:fill="auto"/>
            <w:vAlign w:val="bottom"/>
          </w:tcPr>
          <w:p w14:paraId="71D449E3" w14:textId="77777777" w:rsidR="006A3667" w:rsidRDefault="006A3667">
            <w:pPr>
              <w:rPr>
                <w:rFonts w:ascii="宋体"/>
                <w:vanish/>
              </w:rPr>
            </w:pPr>
          </w:p>
        </w:tc>
        <w:tc>
          <w:tcPr>
            <w:tcW w:w="0" w:type="auto"/>
            <w:gridSpan w:val="3"/>
            <w:shd w:val="clear" w:color="auto" w:fill="auto"/>
            <w:vAlign w:val="bottom"/>
          </w:tcPr>
          <w:p w14:paraId="71D449E4" w14:textId="77777777" w:rsidR="006A3667" w:rsidRDefault="006A3667">
            <w:pPr>
              <w:rPr>
                <w:rFonts w:ascii="宋体"/>
                <w:vanish/>
              </w:rPr>
            </w:pPr>
          </w:p>
        </w:tc>
        <w:tc>
          <w:tcPr>
            <w:tcW w:w="0" w:type="auto"/>
            <w:gridSpan w:val="3"/>
            <w:shd w:val="clear" w:color="auto" w:fill="auto"/>
            <w:vAlign w:val="bottom"/>
          </w:tcPr>
          <w:p w14:paraId="71D449E5" w14:textId="77777777" w:rsidR="006A3667" w:rsidRDefault="006A3667">
            <w:pPr>
              <w:rPr>
                <w:rFonts w:ascii="宋体"/>
                <w:vanish/>
              </w:rPr>
            </w:pPr>
          </w:p>
        </w:tc>
        <w:tc>
          <w:tcPr>
            <w:tcW w:w="0" w:type="auto"/>
            <w:gridSpan w:val="3"/>
            <w:shd w:val="clear" w:color="auto" w:fill="auto"/>
            <w:vAlign w:val="bottom"/>
          </w:tcPr>
          <w:p w14:paraId="71D449E6" w14:textId="77777777" w:rsidR="006A3667" w:rsidRDefault="006A3667">
            <w:pPr>
              <w:rPr>
                <w:rFonts w:ascii="宋体"/>
                <w:vanish/>
              </w:rPr>
            </w:pPr>
          </w:p>
        </w:tc>
        <w:tc>
          <w:tcPr>
            <w:tcW w:w="0" w:type="auto"/>
            <w:gridSpan w:val="3"/>
            <w:shd w:val="clear" w:color="auto" w:fill="auto"/>
            <w:vAlign w:val="bottom"/>
          </w:tcPr>
          <w:p w14:paraId="71D449E7" w14:textId="77777777" w:rsidR="006A3667" w:rsidRDefault="006A3667">
            <w:pPr>
              <w:rPr>
                <w:rFonts w:ascii="宋体"/>
                <w:vanish/>
              </w:rPr>
            </w:pPr>
          </w:p>
        </w:tc>
        <w:tc>
          <w:tcPr>
            <w:tcW w:w="0" w:type="auto"/>
            <w:gridSpan w:val="3"/>
            <w:shd w:val="clear" w:color="auto" w:fill="auto"/>
            <w:vAlign w:val="bottom"/>
          </w:tcPr>
          <w:p w14:paraId="71D449E8" w14:textId="77777777" w:rsidR="006A3667" w:rsidRDefault="006A3667">
            <w:pPr>
              <w:rPr>
                <w:rFonts w:ascii="宋体"/>
                <w:vanish/>
              </w:rPr>
            </w:pPr>
          </w:p>
        </w:tc>
        <w:tc>
          <w:tcPr>
            <w:tcW w:w="0" w:type="auto"/>
            <w:gridSpan w:val="3"/>
            <w:shd w:val="clear" w:color="auto" w:fill="auto"/>
            <w:vAlign w:val="bottom"/>
          </w:tcPr>
          <w:p w14:paraId="71D449E9" w14:textId="77777777" w:rsidR="006A3667" w:rsidRDefault="006A3667">
            <w:pPr>
              <w:rPr>
                <w:rFonts w:ascii="宋体"/>
                <w:vanish/>
              </w:rPr>
            </w:pPr>
          </w:p>
        </w:tc>
        <w:tc>
          <w:tcPr>
            <w:tcW w:w="0" w:type="auto"/>
            <w:gridSpan w:val="3"/>
            <w:shd w:val="clear" w:color="auto" w:fill="auto"/>
            <w:vAlign w:val="bottom"/>
          </w:tcPr>
          <w:p w14:paraId="71D449EA" w14:textId="77777777" w:rsidR="006A3667" w:rsidRDefault="006A3667">
            <w:pPr>
              <w:rPr>
                <w:rFonts w:ascii="宋体"/>
                <w:vanish/>
              </w:rPr>
            </w:pPr>
          </w:p>
        </w:tc>
        <w:tc>
          <w:tcPr>
            <w:tcW w:w="0" w:type="auto"/>
            <w:gridSpan w:val="3"/>
            <w:shd w:val="clear" w:color="auto" w:fill="auto"/>
            <w:vAlign w:val="bottom"/>
          </w:tcPr>
          <w:p w14:paraId="71D449EB" w14:textId="77777777" w:rsidR="006A3667" w:rsidRDefault="006A3667">
            <w:pPr>
              <w:rPr>
                <w:rFonts w:ascii="宋体"/>
                <w:vanish/>
              </w:rPr>
            </w:pPr>
          </w:p>
        </w:tc>
        <w:tc>
          <w:tcPr>
            <w:tcW w:w="0" w:type="auto"/>
            <w:gridSpan w:val="3"/>
            <w:shd w:val="clear" w:color="auto" w:fill="auto"/>
            <w:vAlign w:val="bottom"/>
          </w:tcPr>
          <w:p w14:paraId="71D449EC" w14:textId="77777777" w:rsidR="006A3667" w:rsidRDefault="006A3667">
            <w:pPr>
              <w:rPr>
                <w:rFonts w:ascii="宋体"/>
                <w:vanish/>
              </w:rPr>
            </w:pPr>
          </w:p>
        </w:tc>
        <w:tc>
          <w:tcPr>
            <w:tcW w:w="0" w:type="auto"/>
            <w:gridSpan w:val="3"/>
            <w:shd w:val="clear" w:color="auto" w:fill="auto"/>
            <w:vAlign w:val="bottom"/>
          </w:tcPr>
          <w:p w14:paraId="71D449ED" w14:textId="77777777" w:rsidR="006A3667" w:rsidRDefault="006A3667">
            <w:pPr>
              <w:rPr>
                <w:rFonts w:ascii="宋体"/>
                <w:vanish/>
              </w:rPr>
            </w:pPr>
          </w:p>
        </w:tc>
        <w:tc>
          <w:tcPr>
            <w:tcW w:w="0" w:type="auto"/>
            <w:gridSpan w:val="3"/>
            <w:shd w:val="clear" w:color="auto" w:fill="auto"/>
            <w:vAlign w:val="bottom"/>
          </w:tcPr>
          <w:p w14:paraId="71D449EE" w14:textId="77777777" w:rsidR="006A3667" w:rsidRDefault="006A3667">
            <w:pPr>
              <w:rPr>
                <w:rFonts w:ascii="宋体"/>
                <w:vanish/>
              </w:rPr>
            </w:pPr>
          </w:p>
        </w:tc>
        <w:tc>
          <w:tcPr>
            <w:tcW w:w="0" w:type="auto"/>
            <w:gridSpan w:val="3"/>
            <w:shd w:val="clear" w:color="auto" w:fill="auto"/>
            <w:vAlign w:val="bottom"/>
          </w:tcPr>
          <w:p w14:paraId="71D449EF" w14:textId="77777777" w:rsidR="006A3667" w:rsidRDefault="006A3667">
            <w:pPr>
              <w:rPr>
                <w:rFonts w:ascii="宋体"/>
                <w:vanish/>
              </w:rPr>
            </w:pPr>
          </w:p>
        </w:tc>
        <w:tc>
          <w:tcPr>
            <w:tcW w:w="0" w:type="auto"/>
            <w:gridSpan w:val="3"/>
            <w:shd w:val="clear" w:color="auto" w:fill="auto"/>
            <w:vAlign w:val="bottom"/>
          </w:tcPr>
          <w:p w14:paraId="71D449F0" w14:textId="77777777" w:rsidR="006A3667" w:rsidRDefault="006A3667">
            <w:pPr>
              <w:rPr>
                <w:rFonts w:ascii="宋体"/>
                <w:vanish/>
              </w:rPr>
            </w:pPr>
          </w:p>
        </w:tc>
        <w:tc>
          <w:tcPr>
            <w:tcW w:w="0" w:type="auto"/>
            <w:gridSpan w:val="3"/>
            <w:shd w:val="clear" w:color="auto" w:fill="auto"/>
            <w:vAlign w:val="bottom"/>
          </w:tcPr>
          <w:p w14:paraId="71D449F1" w14:textId="77777777" w:rsidR="006A3667" w:rsidRDefault="006A3667">
            <w:pPr>
              <w:rPr>
                <w:rFonts w:ascii="宋体"/>
                <w:vanish/>
              </w:rPr>
            </w:pPr>
          </w:p>
        </w:tc>
        <w:tc>
          <w:tcPr>
            <w:tcW w:w="0" w:type="auto"/>
            <w:gridSpan w:val="3"/>
            <w:shd w:val="clear" w:color="auto" w:fill="auto"/>
            <w:vAlign w:val="bottom"/>
          </w:tcPr>
          <w:p w14:paraId="71D449F2" w14:textId="77777777" w:rsidR="006A3667" w:rsidRDefault="006A3667">
            <w:pPr>
              <w:rPr>
                <w:rFonts w:ascii="宋体"/>
                <w:vanish/>
              </w:rPr>
            </w:pPr>
          </w:p>
        </w:tc>
        <w:tc>
          <w:tcPr>
            <w:tcW w:w="0" w:type="auto"/>
            <w:gridSpan w:val="2"/>
            <w:shd w:val="clear" w:color="auto" w:fill="auto"/>
            <w:vAlign w:val="bottom"/>
          </w:tcPr>
          <w:p w14:paraId="71D449F3" w14:textId="77777777" w:rsidR="006A3667" w:rsidRDefault="006A3667">
            <w:pPr>
              <w:rPr>
                <w:rFonts w:ascii="宋体"/>
                <w:vanish/>
              </w:rPr>
            </w:pPr>
          </w:p>
        </w:tc>
        <w:tc>
          <w:tcPr>
            <w:tcW w:w="0" w:type="auto"/>
            <w:shd w:val="clear" w:color="auto" w:fill="auto"/>
            <w:vAlign w:val="bottom"/>
          </w:tcPr>
          <w:p w14:paraId="71D449F4" w14:textId="77777777" w:rsidR="006A3667" w:rsidRDefault="006A3667">
            <w:pPr>
              <w:rPr>
                <w:rFonts w:ascii="宋体"/>
                <w:vanish/>
              </w:rPr>
            </w:pPr>
          </w:p>
        </w:tc>
      </w:tr>
      <w:tr w:rsidR="006A3667" w14:paraId="71D44A0C" w14:textId="77777777">
        <w:trPr>
          <w:hidden/>
        </w:trPr>
        <w:tc>
          <w:tcPr>
            <w:tcW w:w="0" w:type="auto"/>
            <w:gridSpan w:val="3"/>
            <w:shd w:val="clear" w:color="auto" w:fill="auto"/>
            <w:vAlign w:val="bottom"/>
          </w:tcPr>
          <w:p w14:paraId="71D449F6" w14:textId="77777777" w:rsidR="006A3667" w:rsidRDefault="006A3667">
            <w:pPr>
              <w:rPr>
                <w:rFonts w:ascii="宋体"/>
                <w:vanish/>
              </w:rPr>
            </w:pPr>
          </w:p>
        </w:tc>
        <w:tc>
          <w:tcPr>
            <w:tcW w:w="0" w:type="auto"/>
            <w:gridSpan w:val="3"/>
            <w:shd w:val="clear" w:color="auto" w:fill="auto"/>
            <w:vAlign w:val="bottom"/>
          </w:tcPr>
          <w:p w14:paraId="71D449F7" w14:textId="77777777" w:rsidR="006A3667" w:rsidRDefault="006A3667">
            <w:pPr>
              <w:rPr>
                <w:rFonts w:ascii="宋体"/>
                <w:vanish/>
              </w:rPr>
            </w:pPr>
          </w:p>
        </w:tc>
        <w:tc>
          <w:tcPr>
            <w:tcW w:w="0" w:type="auto"/>
            <w:gridSpan w:val="3"/>
            <w:shd w:val="clear" w:color="auto" w:fill="auto"/>
            <w:vAlign w:val="bottom"/>
          </w:tcPr>
          <w:p w14:paraId="71D449F8" w14:textId="77777777" w:rsidR="006A3667" w:rsidRDefault="006A3667">
            <w:pPr>
              <w:rPr>
                <w:rFonts w:ascii="宋体"/>
                <w:vanish/>
              </w:rPr>
            </w:pPr>
          </w:p>
        </w:tc>
        <w:tc>
          <w:tcPr>
            <w:tcW w:w="0" w:type="auto"/>
            <w:gridSpan w:val="3"/>
            <w:shd w:val="clear" w:color="auto" w:fill="auto"/>
            <w:vAlign w:val="bottom"/>
          </w:tcPr>
          <w:p w14:paraId="71D449F9" w14:textId="77777777" w:rsidR="006A3667" w:rsidRDefault="006A3667">
            <w:pPr>
              <w:rPr>
                <w:rFonts w:ascii="宋体"/>
                <w:vanish/>
              </w:rPr>
            </w:pPr>
          </w:p>
        </w:tc>
        <w:tc>
          <w:tcPr>
            <w:tcW w:w="0" w:type="auto"/>
            <w:gridSpan w:val="3"/>
            <w:shd w:val="clear" w:color="auto" w:fill="auto"/>
            <w:vAlign w:val="bottom"/>
          </w:tcPr>
          <w:p w14:paraId="71D449FA" w14:textId="77777777" w:rsidR="006A3667" w:rsidRDefault="006A3667">
            <w:pPr>
              <w:rPr>
                <w:rFonts w:ascii="宋体"/>
                <w:vanish/>
              </w:rPr>
            </w:pPr>
          </w:p>
        </w:tc>
        <w:tc>
          <w:tcPr>
            <w:tcW w:w="0" w:type="auto"/>
            <w:gridSpan w:val="3"/>
            <w:shd w:val="clear" w:color="auto" w:fill="auto"/>
            <w:vAlign w:val="bottom"/>
          </w:tcPr>
          <w:p w14:paraId="71D449FB" w14:textId="77777777" w:rsidR="006A3667" w:rsidRDefault="006A3667">
            <w:pPr>
              <w:rPr>
                <w:rFonts w:ascii="宋体"/>
                <w:vanish/>
              </w:rPr>
            </w:pPr>
          </w:p>
        </w:tc>
        <w:tc>
          <w:tcPr>
            <w:tcW w:w="0" w:type="auto"/>
            <w:gridSpan w:val="3"/>
            <w:shd w:val="clear" w:color="auto" w:fill="auto"/>
            <w:vAlign w:val="bottom"/>
          </w:tcPr>
          <w:p w14:paraId="71D449FC" w14:textId="77777777" w:rsidR="006A3667" w:rsidRDefault="006A3667">
            <w:pPr>
              <w:rPr>
                <w:rFonts w:ascii="宋体"/>
                <w:vanish/>
              </w:rPr>
            </w:pPr>
          </w:p>
        </w:tc>
        <w:tc>
          <w:tcPr>
            <w:tcW w:w="0" w:type="auto"/>
            <w:gridSpan w:val="3"/>
            <w:shd w:val="clear" w:color="auto" w:fill="auto"/>
            <w:vAlign w:val="bottom"/>
          </w:tcPr>
          <w:p w14:paraId="71D449FD" w14:textId="77777777" w:rsidR="006A3667" w:rsidRDefault="006A3667">
            <w:pPr>
              <w:rPr>
                <w:rFonts w:ascii="宋体"/>
                <w:vanish/>
              </w:rPr>
            </w:pPr>
          </w:p>
        </w:tc>
        <w:tc>
          <w:tcPr>
            <w:tcW w:w="0" w:type="auto"/>
            <w:gridSpan w:val="3"/>
            <w:shd w:val="clear" w:color="auto" w:fill="auto"/>
            <w:vAlign w:val="bottom"/>
          </w:tcPr>
          <w:p w14:paraId="71D449FE" w14:textId="77777777" w:rsidR="006A3667" w:rsidRDefault="006A3667">
            <w:pPr>
              <w:rPr>
                <w:rFonts w:ascii="宋体"/>
                <w:vanish/>
              </w:rPr>
            </w:pPr>
          </w:p>
        </w:tc>
        <w:tc>
          <w:tcPr>
            <w:tcW w:w="0" w:type="auto"/>
            <w:gridSpan w:val="3"/>
            <w:shd w:val="clear" w:color="auto" w:fill="auto"/>
            <w:vAlign w:val="bottom"/>
          </w:tcPr>
          <w:p w14:paraId="71D449FF" w14:textId="77777777" w:rsidR="006A3667" w:rsidRDefault="006A3667">
            <w:pPr>
              <w:rPr>
                <w:rFonts w:ascii="宋体"/>
                <w:vanish/>
              </w:rPr>
            </w:pPr>
          </w:p>
        </w:tc>
        <w:tc>
          <w:tcPr>
            <w:tcW w:w="0" w:type="auto"/>
            <w:gridSpan w:val="3"/>
            <w:shd w:val="clear" w:color="auto" w:fill="auto"/>
            <w:vAlign w:val="bottom"/>
          </w:tcPr>
          <w:p w14:paraId="71D44A00" w14:textId="77777777" w:rsidR="006A3667" w:rsidRDefault="006A3667">
            <w:pPr>
              <w:rPr>
                <w:rFonts w:ascii="宋体"/>
                <w:vanish/>
              </w:rPr>
            </w:pPr>
          </w:p>
        </w:tc>
        <w:tc>
          <w:tcPr>
            <w:tcW w:w="0" w:type="auto"/>
            <w:gridSpan w:val="3"/>
            <w:shd w:val="clear" w:color="auto" w:fill="auto"/>
            <w:vAlign w:val="bottom"/>
          </w:tcPr>
          <w:p w14:paraId="71D44A01" w14:textId="77777777" w:rsidR="006A3667" w:rsidRDefault="006A3667">
            <w:pPr>
              <w:rPr>
                <w:rFonts w:ascii="宋体"/>
                <w:vanish/>
              </w:rPr>
            </w:pPr>
          </w:p>
        </w:tc>
        <w:tc>
          <w:tcPr>
            <w:tcW w:w="0" w:type="auto"/>
            <w:gridSpan w:val="3"/>
            <w:shd w:val="clear" w:color="auto" w:fill="auto"/>
            <w:vAlign w:val="bottom"/>
          </w:tcPr>
          <w:p w14:paraId="71D44A02" w14:textId="77777777" w:rsidR="006A3667" w:rsidRDefault="006A3667">
            <w:pPr>
              <w:rPr>
                <w:rFonts w:ascii="宋体"/>
                <w:vanish/>
              </w:rPr>
            </w:pPr>
          </w:p>
        </w:tc>
        <w:tc>
          <w:tcPr>
            <w:tcW w:w="0" w:type="auto"/>
            <w:gridSpan w:val="3"/>
            <w:shd w:val="clear" w:color="auto" w:fill="auto"/>
            <w:vAlign w:val="bottom"/>
          </w:tcPr>
          <w:p w14:paraId="71D44A03" w14:textId="77777777" w:rsidR="006A3667" w:rsidRDefault="006A3667">
            <w:pPr>
              <w:rPr>
                <w:rFonts w:ascii="宋体"/>
                <w:vanish/>
              </w:rPr>
            </w:pPr>
          </w:p>
        </w:tc>
        <w:tc>
          <w:tcPr>
            <w:tcW w:w="0" w:type="auto"/>
            <w:gridSpan w:val="3"/>
            <w:shd w:val="clear" w:color="auto" w:fill="auto"/>
            <w:vAlign w:val="bottom"/>
          </w:tcPr>
          <w:p w14:paraId="71D44A04" w14:textId="77777777" w:rsidR="006A3667" w:rsidRDefault="006A3667">
            <w:pPr>
              <w:rPr>
                <w:rFonts w:ascii="宋体"/>
                <w:vanish/>
              </w:rPr>
            </w:pPr>
          </w:p>
        </w:tc>
        <w:tc>
          <w:tcPr>
            <w:tcW w:w="0" w:type="auto"/>
            <w:gridSpan w:val="3"/>
            <w:shd w:val="clear" w:color="auto" w:fill="auto"/>
            <w:vAlign w:val="bottom"/>
          </w:tcPr>
          <w:p w14:paraId="71D44A05" w14:textId="77777777" w:rsidR="006A3667" w:rsidRDefault="006A3667">
            <w:pPr>
              <w:rPr>
                <w:rFonts w:ascii="宋体"/>
                <w:vanish/>
              </w:rPr>
            </w:pPr>
          </w:p>
        </w:tc>
        <w:tc>
          <w:tcPr>
            <w:tcW w:w="0" w:type="auto"/>
            <w:gridSpan w:val="3"/>
            <w:shd w:val="clear" w:color="auto" w:fill="auto"/>
            <w:vAlign w:val="bottom"/>
          </w:tcPr>
          <w:p w14:paraId="71D44A06" w14:textId="77777777" w:rsidR="006A3667" w:rsidRDefault="006A3667">
            <w:pPr>
              <w:rPr>
                <w:rFonts w:ascii="宋体"/>
                <w:vanish/>
              </w:rPr>
            </w:pPr>
          </w:p>
        </w:tc>
        <w:tc>
          <w:tcPr>
            <w:tcW w:w="0" w:type="auto"/>
            <w:gridSpan w:val="3"/>
            <w:shd w:val="clear" w:color="auto" w:fill="auto"/>
            <w:vAlign w:val="bottom"/>
          </w:tcPr>
          <w:p w14:paraId="71D44A07" w14:textId="77777777" w:rsidR="006A3667" w:rsidRDefault="006A3667">
            <w:pPr>
              <w:rPr>
                <w:rFonts w:ascii="宋体"/>
                <w:vanish/>
              </w:rPr>
            </w:pPr>
          </w:p>
        </w:tc>
        <w:tc>
          <w:tcPr>
            <w:tcW w:w="0" w:type="auto"/>
            <w:gridSpan w:val="3"/>
            <w:shd w:val="clear" w:color="auto" w:fill="auto"/>
            <w:vAlign w:val="bottom"/>
          </w:tcPr>
          <w:p w14:paraId="71D44A08" w14:textId="77777777" w:rsidR="006A3667" w:rsidRDefault="006A3667">
            <w:pPr>
              <w:rPr>
                <w:rFonts w:ascii="宋体"/>
                <w:vanish/>
              </w:rPr>
            </w:pPr>
          </w:p>
        </w:tc>
        <w:tc>
          <w:tcPr>
            <w:tcW w:w="0" w:type="auto"/>
            <w:gridSpan w:val="3"/>
            <w:shd w:val="clear" w:color="auto" w:fill="auto"/>
            <w:vAlign w:val="bottom"/>
          </w:tcPr>
          <w:p w14:paraId="71D44A09" w14:textId="77777777" w:rsidR="006A3667" w:rsidRDefault="006A3667">
            <w:pPr>
              <w:rPr>
                <w:rFonts w:ascii="宋体"/>
                <w:vanish/>
              </w:rPr>
            </w:pPr>
          </w:p>
        </w:tc>
        <w:tc>
          <w:tcPr>
            <w:tcW w:w="0" w:type="auto"/>
            <w:gridSpan w:val="2"/>
            <w:shd w:val="clear" w:color="auto" w:fill="auto"/>
            <w:vAlign w:val="bottom"/>
          </w:tcPr>
          <w:p w14:paraId="71D44A0A" w14:textId="77777777" w:rsidR="006A3667" w:rsidRDefault="006A3667">
            <w:pPr>
              <w:rPr>
                <w:rFonts w:ascii="宋体"/>
                <w:vanish/>
              </w:rPr>
            </w:pPr>
          </w:p>
        </w:tc>
        <w:tc>
          <w:tcPr>
            <w:tcW w:w="0" w:type="auto"/>
            <w:shd w:val="clear" w:color="auto" w:fill="auto"/>
            <w:vAlign w:val="bottom"/>
          </w:tcPr>
          <w:p w14:paraId="71D44A0B" w14:textId="77777777" w:rsidR="006A3667" w:rsidRDefault="006A3667">
            <w:pPr>
              <w:rPr>
                <w:rFonts w:ascii="宋体"/>
                <w:vanish/>
              </w:rPr>
            </w:pPr>
          </w:p>
        </w:tc>
      </w:tr>
      <w:tr w:rsidR="006A3667" w14:paraId="71D44A23" w14:textId="77777777">
        <w:trPr>
          <w:hidden/>
        </w:trPr>
        <w:tc>
          <w:tcPr>
            <w:tcW w:w="0" w:type="auto"/>
            <w:gridSpan w:val="3"/>
            <w:shd w:val="clear" w:color="auto" w:fill="auto"/>
            <w:vAlign w:val="bottom"/>
          </w:tcPr>
          <w:p w14:paraId="71D44A0D" w14:textId="77777777" w:rsidR="006A3667" w:rsidRDefault="006A3667">
            <w:pPr>
              <w:rPr>
                <w:rFonts w:ascii="宋体"/>
                <w:vanish/>
              </w:rPr>
            </w:pPr>
          </w:p>
        </w:tc>
        <w:tc>
          <w:tcPr>
            <w:tcW w:w="0" w:type="auto"/>
            <w:gridSpan w:val="3"/>
            <w:shd w:val="clear" w:color="auto" w:fill="auto"/>
            <w:vAlign w:val="bottom"/>
          </w:tcPr>
          <w:p w14:paraId="71D44A0E" w14:textId="77777777" w:rsidR="006A3667" w:rsidRDefault="006A3667">
            <w:pPr>
              <w:rPr>
                <w:rFonts w:ascii="宋体"/>
                <w:vanish/>
              </w:rPr>
            </w:pPr>
          </w:p>
        </w:tc>
        <w:tc>
          <w:tcPr>
            <w:tcW w:w="0" w:type="auto"/>
            <w:gridSpan w:val="3"/>
            <w:shd w:val="clear" w:color="auto" w:fill="auto"/>
            <w:vAlign w:val="bottom"/>
          </w:tcPr>
          <w:p w14:paraId="71D44A0F" w14:textId="77777777" w:rsidR="006A3667" w:rsidRDefault="006A3667">
            <w:pPr>
              <w:rPr>
                <w:rFonts w:ascii="宋体"/>
                <w:vanish/>
              </w:rPr>
            </w:pPr>
          </w:p>
        </w:tc>
        <w:tc>
          <w:tcPr>
            <w:tcW w:w="0" w:type="auto"/>
            <w:gridSpan w:val="3"/>
            <w:shd w:val="clear" w:color="auto" w:fill="auto"/>
            <w:vAlign w:val="bottom"/>
          </w:tcPr>
          <w:p w14:paraId="71D44A10" w14:textId="77777777" w:rsidR="006A3667" w:rsidRDefault="006A3667">
            <w:pPr>
              <w:rPr>
                <w:rFonts w:ascii="宋体"/>
                <w:vanish/>
              </w:rPr>
            </w:pPr>
          </w:p>
        </w:tc>
        <w:tc>
          <w:tcPr>
            <w:tcW w:w="0" w:type="auto"/>
            <w:gridSpan w:val="3"/>
            <w:shd w:val="clear" w:color="auto" w:fill="auto"/>
            <w:vAlign w:val="bottom"/>
          </w:tcPr>
          <w:p w14:paraId="71D44A11" w14:textId="77777777" w:rsidR="006A3667" w:rsidRDefault="006A3667">
            <w:pPr>
              <w:rPr>
                <w:rFonts w:ascii="宋体"/>
                <w:vanish/>
              </w:rPr>
            </w:pPr>
          </w:p>
        </w:tc>
        <w:tc>
          <w:tcPr>
            <w:tcW w:w="0" w:type="auto"/>
            <w:gridSpan w:val="3"/>
            <w:shd w:val="clear" w:color="auto" w:fill="auto"/>
            <w:vAlign w:val="bottom"/>
          </w:tcPr>
          <w:p w14:paraId="71D44A12" w14:textId="77777777" w:rsidR="006A3667" w:rsidRDefault="006A3667">
            <w:pPr>
              <w:rPr>
                <w:rFonts w:ascii="宋体"/>
                <w:vanish/>
              </w:rPr>
            </w:pPr>
          </w:p>
        </w:tc>
        <w:tc>
          <w:tcPr>
            <w:tcW w:w="0" w:type="auto"/>
            <w:gridSpan w:val="3"/>
            <w:shd w:val="clear" w:color="auto" w:fill="auto"/>
            <w:vAlign w:val="bottom"/>
          </w:tcPr>
          <w:p w14:paraId="71D44A13" w14:textId="77777777" w:rsidR="006A3667" w:rsidRDefault="006A3667">
            <w:pPr>
              <w:rPr>
                <w:rFonts w:ascii="宋体"/>
                <w:vanish/>
              </w:rPr>
            </w:pPr>
          </w:p>
        </w:tc>
        <w:tc>
          <w:tcPr>
            <w:tcW w:w="0" w:type="auto"/>
            <w:gridSpan w:val="3"/>
            <w:shd w:val="clear" w:color="auto" w:fill="auto"/>
            <w:vAlign w:val="bottom"/>
          </w:tcPr>
          <w:p w14:paraId="71D44A14" w14:textId="77777777" w:rsidR="006A3667" w:rsidRDefault="006A3667">
            <w:pPr>
              <w:rPr>
                <w:rFonts w:ascii="宋体"/>
                <w:vanish/>
              </w:rPr>
            </w:pPr>
          </w:p>
        </w:tc>
        <w:tc>
          <w:tcPr>
            <w:tcW w:w="0" w:type="auto"/>
            <w:gridSpan w:val="3"/>
            <w:shd w:val="clear" w:color="auto" w:fill="auto"/>
            <w:vAlign w:val="bottom"/>
          </w:tcPr>
          <w:p w14:paraId="71D44A15" w14:textId="77777777" w:rsidR="006A3667" w:rsidRDefault="006A3667">
            <w:pPr>
              <w:rPr>
                <w:rFonts w:ascii="宋体"/>
                <w:vanish/>
              </w:rPr>
            </w:pPr>
          </w:p>
        </w:tc>
        <w:tc>
          <w:tcPr>
            <w:tcW w:w="0" w:type="auto"/>
            <w:gridSpan w:val="3"/>
            <w:shd w:val="clear" w:color="auto" w:fill="auto"/>
            <w:vAlign w:val="bottom"/>
          </w:tcPr>
          <w:p w14:paraId="71D44A16" w14:textId="77777777" w:rsidR="006A3667" w:rsidRDefault="006A3667">
            <w:pPr>
              <w:rPr>
                <w:rFonts w:ascii="宋体"/>
                <w:vanish/>
              </w:rPr>
            </w:pPr>
          </w:p>
        </w:tc>
        <w:tc>
          <w:tcPr>
            <w:tcW w:w="0" w:type="auto"/>
            <w:gridSpan w:val="3"/>
            <w:shd w:val="clear" w:color="auto" w:fill="auto"/>
            <w:vAlign w:val="bottom"/>
          </w:tcPr>
          <w:p w14:paraId="71D44A17" w14:textId="77777777" w:rsidR="006A3667" w:rsidRDefault="006A3667">
            <w:pPr>
              <w:rPr>
                <w:rFonts w:ascii="宋体"/>
                <w:vanish/>
              </w:rPr>
            </w:pPr>
          </w:p>
        </w:tc>
        <w:tc>
          <w:tcPr>
            <w:tcW w:w="0" w:type="auto"/>
            <w:gridSpan w:val="3"/>
            <w:shd w:val="clear" w:color="auto" w:fill="auto"/>
            <w:vAlign w:val="bottom"/>
          </w:tcPr>
          <w:p w14:paraId="71D44A18" w14:textId="77777777" w:rsidR="006A3667" w:rsidRDefault="006A3667">
            <w:pPr>
              <w:rPr>
                <w:rFonts w:ascii="宋体"/>
                <w:vanish/>
              </w:rPr>
            </w:pPr>
          </w:p>
        </w:tc>
        <w:tc>
          <w:tcPr>
            <w:tcW w:w="0" w:type="auto"/>
            <w:gridSpan w:val="3"/>
            <w:shd w:val="clear" w:color="auto" w:fill="auto"/>
            <w:vAlign w:val="bottom"/>
          </w:tcPr>
          <w:p w14:paraId="71D44A19" w14:textId="77777777" w:rsidR="006A3667" w:rsidRDefault="006A3667">
            <w:pPr>
              <w:rPr>
                <w:rFonts w:ascii="宋体"/>
                <w:vanish/>
              </w:rPr>
            </w:pPr>
          </w:p>
        </w:tc>
        <w:tc>
          <w:tcPr>
            <w:tcW w:w="0" w:type="auto"/>
            <w:gridSpan w:val="3"/>
            <w:shd w:val="clear" w:color="auto" w:fill="auto"/>
            <w:vAlign w:val="bottom"/>
          </w:tcPr>
          <w:p w14:paraId="71D44A1A" w14:textId="77777777" w:rsidR="006A3667" w:rsidRDefault="006A3667">
            <w:pPr>
              <w:rPr>
                <w:rFonts w:ascii="宋体"/>
                <w:vanish/>
              </w:rPr>
            </w:pPr>
          </w:p>
        </w:tc>
        <w:tc>
          <w:tcPr>
            <w:tcW w:w="0" w:type="auto"/>
            <w:gridSpan w:val="3"/>
            <w:shd w:val="clear" w:color="auto" w:fill="auto"/>
            <w:vAlign w:val="bottom"/>
          </w:tcPr>
          <w:p w14:paraId="71D44A1B" w14:textId="77777777" w:rsidR="006A3667" w:rsidRDefault="006A3667">
            <w:pPr>
              <w:rPr>
                <w:rFonts w:ascii="宋体"/>
                <w:vanish/>
              </w:rPr>
            </w:pPr>
          </w:p>
        </w:tc>
        <w:tc>
          <w:tcPr>
            <w:tcW w:w="0" w:type="auto"/>
            <w:gridSpan w:val="3"/>
            <w:shd w:val="clear" w:color="auto" w:fill="auto"/>
            <w:vAlign w:val="bottom"/>
          </w:tcPr>
          <w:p w14:paraId="71D44A1C" w14:textId="77777777" w:rsidR="006A3667" w:rsidRDefault="006A3667">
            <w:pPr>
              <w:rPr>
                <w:rFonts w:ascii="宋体"/>
                <w:vanish/>
              </w:rPr>
            </w:pPr>
          </w:p>
        </w:tc>
        <w:tc>
          <w:tcPr>
            <w:tcW w:w="0" w:type="auto"/>
            <w:gridSpan w:val="3"/>
            <w:shd w:val="clear" w:color="auto" w:fill="auto"/>
            <w:vAlign w:val="bottom"/>
          </w:tcPr>
          <w:p w14:paraId="71D44A1D" w14:textId="77777777" w:rsidR="006A3667" w:rsidRDefault="006A3667">
            <w:pPr>
              <w:rPr>
                <w:rFonts w:ascii="宋体"/>
                <w:vanish/>
              </w:rPr>
            </w:pPr>
          </w:p>
        </w:tc>
        <w:tc>
          <w:tcPr>
            <w:tcW w:w="0" w:type="auto"/>
            <w:gridSpan w:val="3"/>
            <w:shd w:val="clear" w:color="auto" w:fill="auto"/>
            <w:vAlign w:val="bottom"/>
          </w:tcPr>
          <w:p w14:paraId="71D44A1E" w14:textId="77777777" w:rsidR="006A3667" w:rsidRDefault="006A3667">
            <w:pPr>
              <w:rPr>
                <w:rFonts w:ascii="宋体"/>
                <w:vanish/>
              </w:rPr>
            </w:pPr>
          </w:p>
        </w:tc>
        <w:tc>
          <w:tcPr>
            <w:tcW w:w="0" w:type="auto"/>
            <w:gridSpan w:val="3"/>
            <w:shd w:val="clear" w:color="auto" w:fill="auto"/>
            <w:vAlign w:val="bottom"/>
          </w:tcPr>
          <w:p w14:paraId="71D44A1F" w14:textId="77777777" w:rsidR="006A3667" w:rsidRDefault="006A3667">
            <w:pPr>
              <w:rPr>
                <w:rFonts w:ascii="宋体"/>
                <w:vanish/>
              </w:rPr>
            </w:pPr>
          </w:p>
        </w:tc>
        <w:tc>
          <w:tcPr>
            <w:tcW w:w="0" w:type="auto"/>
            <w:gridSpan w:val="3"/>
            <w:shd w:val="clear" w:color="auto" w:fill="auto"/>
            <w:vAlign w:val="bottom"/>
          </w:tcPr>
          <w:p w14:paraId="71D44A20" w14:textId="77777777" w:rsidR="006A3667" w:rsidRDefault="006A3667">
            <w:pPr>
              <w:rPr>
                <w:rFonts w:ascii="宋体"/>
                <w:vanish/>
              </w:rPr>
            </w:pPr>
          </w:p>
        </w:tc>
        <w:tc>
          <w:tcPr>
            <w:tcW w:w="0" w:type="auto"/>
            <w:gridSpan w:val="2"/>
            <w:shd w:val="clear" w:color="auto" w:fill="auto"/>
            <w:vAlign w:val="bottom"/>
          </w:tcPr>
          <w:p w14:paraId="71D44A21" w14:textId="77777777" w:rsidR="006A3667" w:rsidRDefault="006A3667">
            <w:pPr>
              <w:rPr>
                <w:rFonts w:ascii="宋体"/>
                <w:vanish/>
              </w:rPr>
            </w:pPr>
          </w:p>
        </w:tc>
        <w:tc>
          <w:tcPr>
            <w:tcW w:w="0" w:type="auto"/>
            <w:shd w:val="clear" w:color="auto" w:fill="auto"/>
            <w:vAlign w:val="bottom"/>
          </w:tcPr>
          <w:p w14:paraId="71D44A22" w14:textId="77777777" w:rsidR="006A3667" w:rsidRDefault="006A3667">
            <w:pPr>
              <w:rPr>
                <w:rFonts w:ascii="宋体"/>
                <w:vanish/>
              </w:rPr>
            </w:pPr>
          </w:p>
        </w:tc>
      </w:tr>
      <w:tr w:rsidR="006A3667" w14:paraId="71D44A3A" w14:textId="77777777">
        <w:trPr>
          <w:hidden/>
        </w:trPr>
        <w:tc>
          <w:tcPr>
            <w:tcW w:w="0" w:type="auto"/>
            <w:gridSpan w:val="3"/>
            <w:shd w:val="clear" w:color="auto" w:fill="auto"/>
            <w:vAlign w:val="bottom"/>
          </w:tcPr>
          <w:p w14:paraId="71D44A24" w14:textId="77777777" w:rsidR="006A3667" w:rsidRDefault="006A3667">
            <w:pPr>
              <w:rPr>
                <w:rFonts w:ascii="宋体"/>
                <w:vanish/>
              </w:rPr>
            </w:pPr>
          </w:p>
        </w:tc>
        <w:tc>
          <w:tcPr>
            <w:tcW w:w="0" w:type="auto"/>
            <w:gridSpan w:val="3"/>
            <w:shd w:val="clear" w:color="auto" w:fill="auto"/>
            <w:vAlign w:val="bottom"/>
          </w:tcPr>
          <w:p w14:paraId="71D44A25" w14:textId="77777777" w:rsidR="006A3667" w:rsidRDefault="006A3667">
            <w:pPr>
              <w:rPr>
                <w:rFonts w:ascii="宋体"/>
                <w:vanish/>
              </w:rPr>
            </w:pPr>
          </w:p>
        </w:tc>
        <w:tc>
          <w:tcPr>
            <w:tcW w:w="0" w:type="auto"/>
            <w:gridSpan w:val="3"/>
            <w:shd w:val="clear" w:color="auto" w:fill="auto"/>
            <w:vAlign w:val="bottom"/>
          </w:tcPr>
          <w:p w14:paraId="71D44A26" w14:textId="77777777" w:rsidR="006A3667" w:rsidRDefault="006A3667">
            <w:pPr>
              <w:rPr>
                <w:rFonts w:ascii="宋体"/>
                <w:vanish/>
              </w:rPr>
            </w:pPr>
          </w:p>
        </w:tc>
        <w:tc>
          <w:tcPr>
            <w:tcW w:w="0" w:type="auto"/>
            <w:gridSpan w:val="3"/>
            <w:shd w:val="clear" w:color="auto" w:fill="auto"/>
            <w:vAlign w:val="bottom"/>
          </w:tcPr>
          <w:p w14:paraId="71D44A27" w14:textId="77777777" w:rsidR="006A3667" w:rsidRDefault="006A3667">
            <w:pPr>
              <w:rPr>
                <w:rFonts w:ascii="宋体"/>
                <w:vanish/>
              </w:rPr>
            </w:pPr>
          </w:p>
        </w:tc>
        <w:tc>
          <w:tcPr>
            <w:tcW w:w="0" w:type="auto"/>
            <w:gridSpan w:val="3"/>
            <w:shd w:val="clear" w:color="auto" w:fill="auto"/>
            <w:vAlign w:val="bottom"/>
          </w:tcPr>
          <w:p w14:paraId="71D44A28" w14:textId="77777777" w:rsidR="006A3667" w:rsidRDefault="006A3667">
            <w:pPr>
              <w:rPr>
                <w:rFonts w:ascii="宋体"/>
                <w:vanish/>
              </w:rPr>
            </w:pPr>
          </w:p>
        </w:tc>
        <w:tc>
          <w:tcPr>
            <w:tcW w:w="0" w:type="auto"/>
            <w:gridSpan w:val="3"/>
            <w:shd w:val="clear" w:color="auto" w:fill="auto"/>
            <w:vAlign w:val="bottom"/>
          </w:tcPr>
          <w:p w14:paraId="71D44A29" w14:textId="77777777" w:rsidR="006A3667" w:rsidRDefault="006A3667">
            <w:pPr>
              <w:rPr>
                <w:rFonts w:ascii="宋体"/>
                <w:vanish/>
              </w:rPr>
            </w:pPr>
          </w:p>
        </w:tc>
        <w:tc>
          <w:tcPr>
            <w:tcW w:w="0" w:type="auto"/>
            <w:gridSpan w:val="3"/>
            <w:shd w:val="clear" w:color="auto" w:fill="auto"/>
            <w:vAlign w:val="bottom"/>
          </w:tcPr>
          <w:p w14:paraId="71D44A2A" w14:textId="77777777" w:rsidR="006A3667" w:rsidRDefault="006A3667">
            <w:pPr>
              <w:rPr>
                <w:rFonts w:ascii="宋体"/>
                <w:vanish/>
              </w:rPr>
            </w:pPr>
          </w:p>
        </w:tc>
        <w:tc>
          <w:tcPr>
            <w:tcW w:w="0" w:type="auto"/>
            <w:gridSpan w:val="3"/>
            <w:shd w:val="clear" w:color="auto" w:fill="auto"/>
            <w:vAlign w:val="bottom"/>
          </w:tcPr>
          <w:p w14:paraId="71D44A2B" w14:textId="77777777" w:rsidR="006A3667" w:rsidRDefault="006A3667">
            <w:pPr>
              <w:rPr>
                <w:rFonts w:ascii="宋体"/>
                <w:vanish/>
              </w:rPr>
            </w:pPr>
          </w:p>
        </w:tc>
        <w:tc>
          <w:tcPr>
            <w:tcW w:w="0" w:type="auto"/>
            <w:gridSpan w:val="3"/>
            <w:shd w:val="clear" w:color="auto" w:fill="auto"/>
            <w:vAlign w:val="bottom"/>
          </w:tcPr>
          <w:p w14:paraId="71D44A2C" w14:textId="77777777" w:rsidR="006A3667" w:rsidRDefault="006A3667">
            <w:pPr>
              <w:rPr>
                <w:rFonts w:ascii="宋体"/>
                <w:vanish/>
              </w:rPr>
            </w:pPr>
          </w:p>
        </w:tc>
        <w:tc>
          <w:tcPr>
            <w:tcW w:w="0" w:type="auto"/>
            <w:gridSpan w:val="3"/>
            <w:shd w:val="clear" w:color="auto" w:fill="auto"/>
            <w:vAlign w:val="bottom"/>
          </w:tcPr>
          <w:p w14:paraId="71D44A2D" w14:textId="77777777" w:rsidR="006A3667" w:rsidRDefault="006A3667">
            <w:pPr>
              <w:rPr>
                <w:rFonts w:ascii="宋体"/>
                <w:vanish/>
              </w:rPr>
            </w:pPr>
          </w:p>
        </w:tc>
        <w:tc>
          <w:tcPr>
            <w:tcW w:w="0" w:type="auto"/>
            <w:gridSpan w:val="3"/>
            <w:shd w:val="clear" w:color="auto" w:fill="auto"/>
            <w:vAlign w:val="bottom"/>
          </w:tcPr>
          <w:p w14:paraId="71D44A2E" w14:textId="77777777" w:rsidR="006A3667" w:rsidRDefault="006A3667">
            <w:pPr>
              <w:rPr>
                <w:rFonts w:ascii="宋体"/>
                <w:vanish/>
              </w:rPr>
            </w:pPr>
          </w:p>
        </w:tc>
        <w:tc>
          <w:tcPr>
            <w:tcW w:w="0" w:type="auto"/>
            <w:gridSpan w:val="3"/>
            <w:shd w:val="clear" w:color="auto" w:fill="auto"/>
            <w:vAlign w:val="bottom"/>
          </w:tcPr>
          <w:p w14:paraId="71D44A2F" w14:textId="77777777" w:rsidR="006A3667" w:rsidRDefault="006A3667">
            <w:pPr>
              <w:rPr>
                <w:rFonts w:ascii="宋体"/>
                <w:vanish/>
              </w:rPr>
            </w:pPr>
          </w:p>
        </w:tc>
        <w:tc>
          <w:tcPr>
            <w:tcW w:w="0" w:type="auto"/>
            <w:gridSpan w:val="3"/>
            <w:shd w:val="clear" w:color="auto" w:fill="auto"/>
            <w:vAlign w:val="bottom"/>
          </w:tcPr>
          <w:p w14:paraId="71D44A30" w14:textId="77777777" w:rsidR="006A3667" w:rsidRDefault="006A3667">
            <w:pPr>
              <w:rPr>
                <w:rFonts w:ascii="宋体"/>
                <w:vanish/>
              </w:rPr>
            </w:pPr>
          </w:p>
        </w:tc>
        <w:tc>
          <w:tcPr>
            <w:tcW w:w="0" w:type="auto"/>
            <w:gridSpan w:val="3"/>
            <w:shd w:val="clear" w:color="auto" w:fill="auto"/>
            <w:vAlign w:val="bottom"/>
          </w:tcPr>
          <w:p w14:paraId="71D44A31" w14:textId="77777777" w:rsidR="006A3667" w:rsidRDefault="006A3667">
            <w:pPr>
              <w:rPr>
                <w:rFonts w:ascii="宋体"/>
                <w:vanish/>
              </w:rPr>
            </w:pPr>
          </w:p>
        </w:tc>
        <w:tc>
          <w:tcPr>
            <w:tcW w:w="0" w:type="auto"/>
            <w:gridSpan w:val="3"/>
            <w:shd w:val="clear" w:color="auto" w:fill="auto"/>
            <w:vAlign w:val="bottom"/>
          </w:tcPr>
          <w:p w14:paraId="71D44A32" w14:textId="77777777" w:rsidR="006A3667" w:rsidRDefault="006A3667">
            <w:pPr>
              <w:rPr>
                <w:rFonts w:ascii="宋体"/>
                <w:vanish/>
              </w:rPr>
            </w:pPr>
          </w:p>
        </w:tc>
        <w:tc>
          <w:tcPr>
            <w:tcW w:w="0" w:type="auto"/>
            <w:gridSpan w:val="3"/>
            <w:shd w:val="clear" w:color="auto" w:fill="auto"/>
            <w:vAlign w:val="bottom"/>
          </w:tcPr>
          <w:p w14:paraId="71D44A33" w14:textId="77777777" w:rsidR="006A3667" w:rsidRDefault="006A3667">
            <w:pPr>
              <w:rPr>
                <w:rFonts w:ascii="宋体"/>
                <w:vanish/>
              </w:rPr>
            </w:pPr>
          </w:p>
        </w:tc>
        <w:tc>
          <w:tcPr>
            <w:tcW w:w="0" w:type="auto"/>
            <w:gridSpan w:val="3"/>
            <w:shd w:val="clear" w:color="auto" w:fill="auto"/>
            <w:vAlign w:val="bottom"/>
          </w:tcPr>
          <w:p w14:paraId="71D44A34" w14:textId="77777777" w:rsidR="006A3667" w:rsidRDefault="006A3667">
            <w:pPr>
              <w:rPr>
                <w:rFonts w:ascii="宋体"/>
                <w:vanish/>
              </w:rPr>
            </w:pPr>
          </w:p>
        </w:tc>
        <w:tc>
          <w:tcPr>
            <w:tcW w:w="0" w:type="auto"/>
            <w:gridSpan w:val="3"/>
            <w:shd w:val="clear" w:color="auto" w:fill="auto"/>
            <w:vAlign w:val="bottom"/>
          </w:tcPr>
          <w:p w14:paraId="71D44A35" w14:textId="77777777" w:rsidR="006A3667" w:rsidRDefault="006A3667">
            <w:pPr>
              <w:rPr>
                <w:rFonts w:ascii="宋体"/>
                <w:vanish/>
              </w:rPr>
            </w:pPr>
          </w:p>
        </w:tc>
        <w:tc>
          <w:tcPr>
            <w:tcW w:w="0" w:type="auto"/>
            <w:gridSpan w:val="3"/>
            <w:shd w:val="clear" w:color="auto" w:fill="auto"/>
            <w:vAlign w:val="bottom"/>
          </w:tcPr>
          <w:p w14:paraId="71D44A36" w14:textId="77777777" w:rsidR="006A3667" w:rsidRDefault="006A3667">
            <w:pPr>
              <w:rPr>
                <w:rFonts w:ascii="宋体"/>
                <w:vanish/>
              </w:rPr>
            </w:pPr>
          </w:p>
        </w:tc>
        <w:tc>
          <w:tcPr>
            <w:tcW w:w="0" w:type="auto"/>
            <w:gridSpan w:val="3"/>
            <w:shd w:val="clear" w:color="auto" w:fill="auto"/>
            <w:vAlign w:val="bottom"/>
          </w:tcPr>
          <w:p w14:paraId="71D44A37" w14:textId="77777777" w:rsidR="006A3667" w:rsidRDefault="006A3667">
            <w:pPr>
              <w:rPr>
                <w:rFonts w:ascii="宋体"/>
                <w:vanish/>
              </w:rPr>
            </w:pPr>
          </w:p>
        </w:tc>
        <w:tc>
          <w:tcPr>
            <w:tcW w:w="0" w:type="auto"/>
            <w:gridSpan w:val="2"/>
            <w:shd w:val="clear" w:color="auto" w:fill="auto"/>
            <w:vAlign w:val="bottom"/>
          </w:tcPr>
          <w:p w14:paraId="71D44A38" w14:textId="77777777" w:rsidR="006A3667" w:rsidRDefault="006A3667">
            <w:pPr>
              <w:rPr>
                <w:rFonts w:ascii="宋体"/>
                <w:vanish/>
              </w:rPr>
            </w:pPr>
          </w:p>
        </w:tc>
        <w:tc>
          <w:tcPr>
            <w:tcW w:w="0" w:type="auto"/>
            <w:shd w:val="clear" w:color="auto" w:fill="auto"/>
            <w:vAlign w:val="bottom"/>
          </w:tcPr>
          <w:p w14:paraId="71D44A39" w14:textId="77777777" w:rsidR="006A3667" w:rsidRDefault="006A3667">
            <w:pPr>
              <w:rPr>
                <w:rFonts w:ascii="宋体"/>
                <w:vanish/>
              </w:rPr>
            </w:pPr>
          </w:p>
        </w:tc>
      </w:tr>
      <w:tr w:rsidR="006A3667" w14:paraId="71D44A51" w14:textId="77777777">
        <w:trPr>
          <w:hidden/>
        </w:trPr>
        <w:tc>
          <w:tcPr>
            <w:tcW w:w="0" w:type="auto"/>
            <w:gridSpan w:val="3"/>
            <w:shd w:val="clear" w:color="auto" w:fill="auto"/>
            <w:vAlign w:val="bottom"/>
          </w:tcPr>
          <w:p w14:paraId="71D44A3B" w14:textId="77777777" w:rsidR="006A3667" w:rsidRDefault="006A3667">
            <w:pPr>
              <w:rPr>
                <w:rFonts w:ascii="宋体"/>
                <w:vanish/>
              </w:rPr>
            </w:pPr>
          </w:p>
        </w:tc>
        <w:tc>
          <w:tcPr>
            <w:tcW w:w="0" w:type="auto"/>
            <w:gridSpan w:val="3"/>
            <w:shd w:val="clear" w:color="auto" w:fill="auto"/>
            <w:vAlign w:val="bottom"/>
          </w:tcPr>
          <w:p w14:paraId="71D44A3C" w14:textId="77777777" w:rsidR="006A3667" w:rsidRDefault="006A3667">
            <w:pPr>
              <w:rPr>
                <w:rFonts w:ascii="宋体"/>
                <w:vanish/>
              </w:rPr>
            </w:pPr>
          </w:p>
        </w:tc>
        <w:tc>
          <w:tcPr>
            <w:tcW w:w="0" w:type="auto"/>
            <w:gridSpan w:val="3"/>
            <w:shd w:val="clear" w:color="auto" w:fill="auto"/>
            <w:vAlign w:val="bottom"/>
          </w:tcPr>
          <w:p w14:paraId="71D44A3D" w14:textId="77777777" w:rsidR="006A3667" w:rsidRDefault="006A3667">
            <w:pPr>
              <w:rPr>
                <w:rFonts w:ascii="宋体"/>
                <w:vanish/>
              </w:rPr>
            </w:pPr>
          </w:p>
        </w:tc>
        <w:tc>
          <w:tcPr>
            <w:tcW w:w="0" w:type="auto"/>
            <w:gridSpan w:val="3"/>
            <w:shd w:val="clear" w:color="auto" w:fill="auto"/>
            <w:vAlign w:val="bottom"/>
          </w:tcPr>
          <w:p w14:paraId="71D44A3E" w14:textId="77777777" w:rsidR="006A3667" w:rsidRDefault="006A3667">
            <w:pPr>
              <w:rPr>
                <w:rFonts w:ascii="宋体"/>
                <w:vanish/>
              </w:rPr>
            </w:pPr>
          </w:p>
        </w:tc>
        <w:tc>
          <w:tcPr>
            <w:tcW w:w="0" w:type="auto"/>
            <w:gridSpan w:val="3"/>
            <w:shd w:val="clear" w:color="auto" w:fill="auto"/>
            <w:vAlign w:val="bottom"/>
          </w:tcPr>
          <w:p w14:paraId="71D44A3F" w14:textId="77777777" w:rsidR="006A3667" w:rsidRDefault="006A3667">
            <w:pPr>
              <w:rPr>
                <w:rFonts w:ascii="宋体"/>
                <w:vanish/>
              </w:rPr>
            </w:pPr>
          </w:p>
        </w:tc>
        <w:tc>
          <w:tcPr>
            <w:tcW w:w="0" w:type="auto"/>
            <w:gridSpan w:val="3"/>
            <w:shd w:val="clear" w:color="auto" w:fill="auto"/>
            <w:vAlign w:val="bottom"/>
          </w:tcPr>
          <w:p w14:paraId="71D44A40" w14:textId="77777777" w:rsidR="006A3667" w:rsidRDefault="006A3667">
            <w:pPr>
              <w:rPr>
                <w:rFonts w:ascii="宋体"/>
                <w:vanish/>
              </w:rPr>
            </w:pPr>
          </w:p>
        </w:tc>
        <w:tc>
          <w:tcPr>
            <w:tcW w:w="0" w:type="auto"/>
            <w:gridSpan w:val="3"/>
            <w:shd w:val="clear" w:color="auto" w:fill="auto"/>
            <w:vAlign w:val="bottom"/>
          </w:tcPr>
          <w:p w14:paraId="71D44A41" w14:textId="77777777" w:rsidR="006A3667" w:rsidRDefault="006A3667">
            <w:pPr>
              <w:rPr>
                <w:rFonts w:ascii="宋体"/>
                <w:vanish/>
              </w:rPr>
            </w:pPr>
          </w:p>
        </w:tc>
        <w:tc>
          <w:tcPr>
            <w:tcW w:w="0" w:type="auto"/>
            <w:gridSpan w:val="3"/>
            <w:shd w:val="clear" w:color="auto" w:fill="auto"/>
            <w:vAlign w:val="bottom"/>
          </w:tcPr>
          <w:p w14:paraId="71D44A42" w14:textId="77777777" w:rsidR="006A3667" w:rsidRDefault="006A3667">
            <w:pPr>
              <w:rPr>
                <w:rFonts w:ascii="宋体"/>
                <w:vanish/>
              </w:rPr>
            </w:pPr>
          </w:p>
        </w:tc>
        <w:tc>
          <w:tcPr>
            <w:tcW w:w="0" w:type="auto"/>
            <w:gridSpan w:val="3"/>
            <w:shd w:val="clear" w:color="auto" w:fill="auto"/>
            <w:vAlign w:val="bottom"/>
          </w:tcPr>
          <w:p w14:paraId="71D44A43" w14:textId="77777777" w:rsidR="006A3667" w:rsidRDefault="006A3667">
            <w:pPr>
              <w:rPr>
                <w:rFonts w:ascii="宋体"/>
                <w:vanish/>
              </w:rPr>
            </w:pPr>
          </w:p>
        </w:tc>
        <w:tc>
          <w:tcPr>
            <w:tcW w:w="0" w:type="auto"/>
            <w:gridSpan w:val="3"/>
            <w:shd w:val="clear" w:color="auto" w:fill="auto"/>
            <w:vAlign w:val="bottom"/>
          </w:tcPr>
          <w:p w14:paraId="71D44A44" w14:textId="77777777" w:rsidR="006A3667" w:rsidRDefault="006A3667">
            <w:pPr>
              <w:rPr>
                <w:rFonts w:ascii="宋体"/>
                <w:vanish/>
              </w:rPr>
            </w:pPr>
          </w:p>
        </w:tc>
        <w:tc>
          <w:tcPr>
            <w:tcW w:w="0" w:type="auto"/>
            <w:gridSpan w:val="3"/>
            <w:shd w:val="clear" w:color="auto" w:fill="auto"/>
            <w:vAlign w:val="bottom"/>
          </w:tcPr>
          <w:p w14:paraId="71D44A45" w14:textId="77777777" w:rsidR="006A3667" w:rsidRDefault="006A3667">
            <w:pPr>
              <w:rPr>
                <w:rFonts w:ascii="宋体"/>
                <w:vanish/>
              </w:rPr>
            </w:pPr>
          </w:p>
        </w:tc>
        <w:tc>
          <w:tcPr>
            <w:tcW w:w="0" w:type="auto"/>
            <w:gridSpan w:val="3"/>
            <w:shd w:val="clear" w:color="auto" w:fill="auto"/>
            <w:vAlign w:val="bottom"/>
          </w:tcPr>
          <w:p w14:paraId="71D44A46" w14:textId="77777777" w:rsidR="006A3667" w:rsidRDefault="006A3667">
            <w:pPr>
              <w:rPr>
                <w:rFonts w:ascii="宋体"/>
                <w:vanish/>
              </w:rPr>
            </w:pPr>
          </w:p>
        </w:tc>
        <w:tc>
          <w:tcPr>
            <w:tcW w:w="0" w:type="auto"/>
            <w:gridSpan w:val="3"/>
            <w:shd w:val="clear" w:color="auto" w:fill="auto"/>
            <w:vAlign w:val="bottom"/>
          </w:tcPr>
          <w:p w14:paraId="71D44A47" w14:textId="77777777" w:rsidR="006A3667" w:rsidRDefault="006A3667">
            <w:pPr>
              <w:rPr>
                <w:rFonts w:ascii="宋体"/>
                <w:vanish/>
              </w:rPr>
            </w:pPr>
          </w:p>
        </w:tc>
        <w:tc>
          <w:tcPr>
            <w:tcW w:w="0" w:type="auto"/>
            <w:gridSpan w:val="3"/>
            <w:shd w:val="clear" w:color="auto" w:fill="auto"/>
            <w:vAlign w:val="bottom"/>
          </w:tcPr>
          <w:p w14:paraId="71D44A48" w14:textId="77777777" w:rsidR="006A3667" w:rsidRDefault="006A3667">
            <w:pPr>
              <w:rPr>
                <w:rFonts w:ascii="宋体"/>
                <w:vanish/>
              </w:rPr>
            </w:pPr>
          </w:p>
        </w:tc>
        <w:tc>
          <w:tcPr>
            <w:tcW w:w="0" w:type="auto"/>
            <w:gridSpan w:val="3"/>
            <w:shd w:val="clear" w:color="auto" w:fill="auto"/>
            <w:vAlign w:val="bottom"/>
          </w:tcPr>
          <w:p w14:paraId="71D44A49" w14:textId="77777777" w:rsidR="006A3667" w:rsidRDefault="006A3667">
            <w:pPr>
              <w:rPr>
                <w:rFonts w:ascii="宋体"/>
                <w:vanish/>
              </w:rPr>
            </w:pPr>
          </w:p>
        </w:tc>
        <w:tc>
          <w:tcPr>
            <w:tcW w:w="0" w:type="auto"/>
            <w:gridSpan w:val="3"/>
            <w:shd w:val="clear" w:color="auto" w:fill="auto"/>
            <w:vAlign w:val="bottom"/>
          </w:tcPr>
          <w:p w14:paraId="71D44A4A" w14:textId="77777777" w:rsidR="006A3667" w:rsidRDefault="006A3667">
            <w:pPr>
              <w:rPr>
                <w:rFonts w:ascii="宋体"/>
                <w:vanish/>
              </w:rPr>
            </w:pPr>
          </w:p>
        </w:tc>
        <w:tc>
          <w:tcPr>
            <w:tcW w:w="0" w:type="auto"/>
            <w:gridSpan w:val="3"/>
            <w:shd w:val="clear" w:color="auto" w:fill="auto"/>
            <w:vAlign w:val="bottom"/>
          </w:tcPr>
          <w:p w14:paraId="71D44A4B" w14:textId="77777777" w:rsidR="006A3667" w:rsidRDefault="006A3667">
            <w:pPr>
              <w:rPr>
                <w:rFonts w:ascii="宋体"/>
                <w:vanish/>
              </w:rPr>
            </w:pPr>
          </w:p>
        </w:tc>
        <w:tc>
          <w:tcPr>
            <w:tcW w:w="0" w:type="auto"/>
            <w:gridSpan w:val="3"/>
            <w:shd w:val="clear" w:color="auto" w:fill="auto"/>
            <w:vAlign w:val="bottom"/>
          </w:tcPr>
          <w:p w14:paraId="71D44A4C" w14:textId="77777777" w:rsidR="006A3667" w:rsidRDefault="006A3667">
            <w:pPr>
              <w:rPr>
                <w:rFonts w:ascii="宋体"/>
                <w:vanish/>
              </w:rPr>
            </w:pPr>
          </w:p>
        </w:tc>
        <w:tc>
          <w:tcPr>
            <w:tcW w:w="0" w:type="auto"/>
            <w:gridSpan w:val="3"/>
            <w:shd w:val="clear" w:color="auto" w:fill="auto"/>
            <w:vAlign w:val="bottom"/>
          </w:tcPr>
          <w:p w14:paraId="71D44A4D" w14:textId="77777777" w:rsidR="006A3667" w:rsidRDefault="006A3667">
            <w:pPr>
              <w:rPr>
                <w:rFonts w:ascii="宋体"/>
                <w:vanish/>
              </w:rPr>
            </w:pPr>
          </w:p>
        </w:tc>
        <w:tc>
          <w:tcPr>
            <w:tcW w:w="0" w:type="auto"/>
            <w:gridSpan w:val="3"/>
            <w:shd w:val="clear" w:color="auto" w:fill="auto"/>
            <w:vAlign w:val="bottom"/>
          </w:tcPr>
          <w:p w14:paraId="71D44A4E" w14:textId="77777777" w:rsidR="006A3667" w:rsidRDefault="006A3667">
            <w:pPr>
              <w:rPr>
                <w:rFonts w:ascii="宋体"/>
                <w:vanish/>
              </w:rPr>
            </w:pPr>
          </w:p>
        </w:tc>
        <w:tc>
          <w:tcPr>
            <w:tcW w:w="0" w:type="auto"/>
            <w:gridSpan w:val="2"/>
            <w:shd w:val="clear" w:color="auto" w:fill="auto"/>
            <w:vAlign w:val="bottom"/>
          </w:tcPr>
          <w:p w14:paraId="71D44A4F" w14:textId="77777777" w:rsidR="006A3667" w:rsidRDefault="006A3667">
            <w:pPr>
              <w:rPr>
                <w:rFonts w:ascii="宋体"/>
                <w:vanish/>
              </w:rPr>
            </w:pPr>
          </w:p>
        </w:tc>
        <w:tc>
          <w:tcPr>
            <w:tcW w:w="0" w:type="auto"/>
            <w:shd w:val="clear" w:color="auto" w:fill="auto"/>
            <w:vAlign w:val="bottom"/>
          </w:tcPr>
          <w:p w14:paraId="71D44A50" w14:textId="77777777" w:rsidR="006A3667" w:rsidRDefault="006A3667">
            <w:pPr>
              <w:rPr>
                <w:rFonts w:ascii="宋体"/>
                <w:vanish/>
              </w:rPr>
            </w:pPr>
          </w:p>
        </w:tc>
      </w:tr>
      <w:tr w:rsidR="006A3667" w14:paraId="71D44A68" w14:textId="77777777">
        <w:trPr>
          <w:hidden/>
        </w:trPr>
        <w:tc>
          <w:tcPr>
            <w:tcW w:w="0" w:type="auto"/>
            <w:gridSpan w:val="3"/>
            <w:shd w:val="clear" w:color="auto" w:fill="auto"/>
            <w:vAlign w:val="bottom"/>
          </w:tcPr>
          <w:p w14:paraId="71D44A52" w14:textId="77777777" w:rsidR="006A3667" w:rsidRDefault="006A3667">
            <w:pPr>
              <w:rPr>
                <w:rFonts w:ascii="宋体"/>
                <w:vanish/>
              </w:rPr>
            </w:pPr>
          </w:p>
        </w:tc>
        <w:tc>
          <w:tcPr>
            <w:tcW w:w="0" w:type="auto"/>
            <w:gridSpan w:val="3"/>
            <w:shd w:val="clear" w:color="auto" w:fill="auto"/>
            <w:vAlign w:val="bottom"/>
          </w:tcPr>
          <w:p w14:paraId="71D44A53" w14:textId="77777777" w:rsidR="006A3667" w:rsidRDefault="006A3667">
            <w:pPr>
              <w:rPr>
                <w:rFonts w:ascii="宋体"/>
                <w:vanish/>
              </w:rPr>
            </w:pPr>
          </w:p>
        </w:tc>
        <w:tc>
          <w:tcPr>
            <w:tcW w:w="0" w:type="auto"/>
            <w:gridSpan w:val="3"/>
            <w:shd w:val="clear" w:color="auto" w:fill="auto"/>
            <w:vAlign w:val="bottom"/>
          </w:tcPr>
          <w:p w14:paraId="71D44A54" w14:textId="77777777" w:rsidR="006A3667" w:rsidRDefault="006A3667">
            <w:pPr>
              <w:rPr>
                <w:rFonts w:ascii="宋体"/>
                <w:vanish/>
              </w:rPr>
            </w:pPr>
          </w:p>
        </w:tc>
        <w:tc>
          <w:tcPr>
            <w:tcW w:w="0" w:type="auto"/>
            <w:gridSpan w:val="3"/>
            <w:shd w:val="clear" w:color="auto" w:fill="auto"/>
            <w:vAlign w:val="bottom"/>
          </w:tcPr>
          <w:p w14:paraId="71D44A55" w14:textId="77777777" w:rsidR="006A3667" w:rsidRDefault="006A3667">
            <w:pPr>
              <w:rPr>
                <w:rFonts w:ascii="宋体"/>
                <w:vanish/>
              </w:rPr>
            </w:pPr>
          </w:p>
        </w:tc>
        <w:tc>
          <w:tcPr>
            <w:tcW w:w="0" w:type="auto"/>
            <w:gridSpan w:val="3"/>
            <w:shd w:val="clear" w:color="auto" w:fill="auto"/>
            <w:vAlign w:val="bottom"/>
          </w:tcPr>
          <w:p w14:paraId="71D44A56" w14:textId="77777777" w:rsidR="006A3667" w:rsidRDefault="006A3667">
            <w:pPr>
              <w:rPr>
                <w:rFonts w:ascii="宋体"/>
                <w:vanish/>
              </w:rPr>
            </w:pPr>
          </w:p>
        </w:tc>
        <w:tc>
          <w:tcPr>
            <w:tcW w:w="0" w:type="auto"/>
            <w:gridSpan w:val="3"/>
            <w:shd w:val="clear" w:color="auto" w:fill="auto"/>
            <w:vAlign w:val="bottom"/>
          </w:tcPr>
          <w:p w14:paraId="71D44A57" w14:textId="77777777" w:rsidR="006A3667" w:rsidRDefault="006A3667">
            <w:pPr>
              <w:rPr>
                <w:rFonts w:ascii="宋体"/>
                <w:vanish/>
              </w:rPr>
            </w:pPr>
          </w:p>
        </w:tc>
        <w:tc>
          <w:tcPr>
            <w:tcW w:w="0" w:type="auto"/>
            <w:gridSpan w:val="3"/>
            <w:shd w:val="clear" w:color="auto" w:fill="auto"/>
            <w:vAlign w:val="bottom"/>
          </w:tcPr>
          <w:p w14:paraId="71D44A58" w14:textId="77777777" w:rsidR="006A3667" w:rsidRDefault="006A3667">
            <w:pPr>
              <w:rPr>
                <w:rFonts w:ascii="宋体"/>
                <w:vanish/>
              </w:rPr>
            </w:pPr>
          </w:p>
        </w:tc>
        <w:tc>
          <w:tcPr>
            <w:tcW w:w="0" w:type="auto"/>
            <w:gridSpan w:val="3"/>
            <w:shd w:val="clear" w:color="auto" w:fill="auto"/>
            <w:vAlign w:val="bottom"/>
          </w:tcPr>
          <w:p w14:paraId="71D44A59" w14:textId="77777777" w:rsidR="006A3667" w:rsidRDefault="006A3667">
            <w:pPr>
              <w:rPr>
                <w:rFonts w:ascii="宋体"/>
                <w:vanish/>
              </w:rPr>
            </w:pPr>
          </w:p>
        </w:tc>
        <w:tc>
          <w:tcPr>
            <w:tcW w:w="0" w:type="auto"/>
            <w:gridSpan w:val="3"/>
            <w:shd w:val="clear" w:color="auto" w:fill="auto"/>
            <w:vAlign w:val="bottom"/>
          </w:tcPr>
          <w:p w14:paraId="71D44A5A" w14:textId="77777777" w:rsidR="006A3667" w:rsidRDefault="006A3667">
            <w:pPr>
              <w:rPr>
                <w:rFonts w:ascii="宋体"/>
                <w:vanish/>
              </w:rPr>
            </w:pPr>
          </w:p>
        </w:tc>
        <w:tc>
          <w:tcPr>
            <w:tcW w:w="0" w:type="auto"/>
            <w:gridSpan w:val="3"/>
            <w:shd w:val="clear" w:color="auto" w:fill="auto"/>
            <w:vAlign w:val="bottom"/>
          </w:tcPr>
          <w:p w14:paraId="71D44A5B" w14:textId="77777777" w:rsidR="006A3667" w:rsidRDefault="006A3667">
            <w:pPr>
              <w:rPr>
                <w:rFonts w:ascii="宋体"/>
                <w:vanish/>
              </w:rPr>
            </w:pPr>
          </w:p>
        </w:tc>
        <w:tc>
          <w:tcPr>
            <w:tcW w:w="0" w:type="auto"/>
            <w:gridSpan w:val="3"/>
            <w:shd w:val="clear" w:color="auto" w:fill="auto"/>
            <w:vAlign w:val="bottom"/>
          </w:tcPr>
          <w:p w14:paraId="71D44A5C" w14:textId="77777777" w:rsidR="006A3667" w:rsidRDefault="006A3667">
            <w:pPr>
              <w:rPr>
                <w:rFonts w:ascii="宋体"/>
                <w:vanish/>
              </w:rPr>
            </w:pPr>
          </w:p>
        </w:tc>
        <w:tc>
          <w:tcPr>
            <w:tcW w:w="0" w:type="auto"/>
            <w:gridSpan w:val="3"/>
            <w:shd w:val="clear" w:color="auto" w:fill="auto"/>
            <w:vAlign w:val="bottom"/>
          </w:tcPr>
          <w:p w14:paraId="71D44A5D" w14:textId="77777777" w:rsidR="006A3667" w:rsidRDefault="006A3667">
            <w:pPr>
              <w:rPr>
                <w:rFonts w:ascii="宋体"/>
                <w:vanish/>
              </w:rPr>
            </w:pPr>
          </w:p>
        </w:tc>
        <w:tc>
          <w:tcPr>
            <w:tcW w:w="0" w:type="auto"/>
            <w:gridSpan w:val="3"/>
            <w:shd w:val="clear" w:color="auto" w:fill="auto"/>
            <w:vAlign w:val="bottom"/>
          </w:tcPr>
          <w:p w14:paraId="71D44A5E" w14:textId="77777777" w:rsidR="006A3667" w:rsidRDefault="006A3667">
            <w:pPr>
              <w:rPr>
                <w:rFonts w:ascii="宋体"/>
                <w:vanish/>
              </w:rPr>
            </w:pPr>
          </w:p>
        </w:tc>
        <w:tc>
          <w:tcPr>
            <w:tcW w:w="0" w:type="auto"/>
            <w:gridSpan w:val="3"/>
            <w:shd w:val="clear" w:color="auto" w:fill="auto"/>
            <w:vAlign w:val="bottom"/>
          </w:tcPr>
          <w:p w14:paraId="71D44A5F" w14:textId="77777777" w:rsidR="006A3667" w:rsidRDefault="006A3667">
            <w:pPr>
              <w:rPr>
                <w:rFonts w:ascii="宋体"/>
                <w:vanish/>
              </w:rPr>
            </w:pPr>
          </w:p>
        </w:tc>
        <w:tc>
          <w:tcPr>
            <w:tcW w:w="0" w:type="auto"/>
            <w:gridSpan w:val="3"/>
            <w:shd w:val="clear" w:color="auto" w:fill="auto"/>
            <w:vAlign w:val="bottom"/>
          </w:tcPr>
          <w:p w14:paraId="71D44A60" w14:textId="77777777" w:rsidR="006A3667" w:rsidRDefault="006A3667">
            <w:pPr>
              <w:rPr>
                <w:rFonts w:ascii="宋体"/>
                <w:vanish/>
              </w:rPr>
            </w:pPr>
          </w:p>
        </w:tc>
        <w:tc>
          <w:tcPr>
            <w:tcW w:w="0" w:type="auto"/>
            <w:gridSpan w:val="3"/>
            <w:shd w:val="clear" w:color="auto" w:fill="auto"/>
            <w:vAlign w:val="bottom"/>
          </w:tcPr>
          <w:p w14:paraId="71D44A61" w14:textId="77777777" w:rsidR="006A3667" w:rsidRDefault="006A3667">
            <w:pPr>
              <w:rPr>
                <w:rFonts w:ascii="宋体"/>
                <w:vanish/>
              </w:rPr>
            </w:pPr>
          </w:p>
        </w:tc>
        <w:tc>
          <w:tcPr>
            <w:tcW w:w="0" w:type="auto"/>
            <w:gridSpan w:val="3"/>
            <w:shd w:val="clear" w:color="auto" w:fill="auto"/>
            <w:vAlign w:val="bottom"/>
          </w:tcPr>
          <w:p w14:paraId="71D44A62" w14:textId="77777777" w:rsidR="006A3667" w:rsidRDefault="006A3667">
            <w:pPr>
              <w:rPr>
                <w:rFonts w:ascii="宋体"/>
                <w:vanish/>
              </w:rPr>
            </w:pPr>
          </w:p>
        </w:tc>
        <w:tc>
          <w:tcPr>
            <w:tcW w:w="0" w:type="auto"/>
            <w:gridSpan w:val="3"/>
            <w:shd w:val="clear" w:color="auto" w:fill="auto"/>
            <w:vAlign w:val="bottom"/>
          </w:tcPr>
          <w:p w14:paraId="71D44A63" w14:textId="77777777" w:rsidR="006A3667" w:rsidRDefault="006A3667">
            <w:pPr>
              <w:rPr>
                <w:rFonts w:ascii="宋体"/>
                <w:vanish/>
              </w:rPr>
            </w:pPr>
          </w:p>
        </w:tc>
        <w:tc>
          <w:tcPr>
            <w:tcW w:w="0" w:type="auto"/>
            <w:gridSpan w:val="3"/>
            <w:shd w:val="clear" w:color="auto" w:fill="auto"/>
            <w:vAlign w:val="bottom"/>
          </w:tcPr>
          <w:p w14:paraId="71D44A64" w14:textId="77777777" w:rsidR="006A3667" w:rsidRDefault="006A3667">
            <w:pPr>
              <w:rPr>
                <w:rFonts w:ascii="宋体"/>
                <w:vanish/>
              </w:rPr>
            </w:pPr>
          </w:p>
        </w:tc>
        <w:tc>
          <w:tcPr>
            <w:tcW w:w="0" w:type="auto"/>
            <w:gridSpan w:val="3"/>
            <w:shd w:val="clear" w:color="auto" w:fill="auto"/>
            <w:vAlign w:val="bottom"/>
          </w:tcPr>
          <w:p w14:paraId="71D44A65" w14:textId="77777777" w:rsidR="006A3667" w:rsidRDefault="006A3667">
            <w:pPr>
              <w:rPr>
                <w:rFonts w:ascii="宋体"/>
                <w:vanish/>
              </w:rPr>
            </w:pPr>
          </w:p>
        </w:tc>
        <w:tc>
          <w:tcPr>
            <w:tcW w:w="0" w:type="auto"/>
            <w:gridSpan w:val="2"/>
            <w:shd w:val="clear" w:color="auto" w:fill="auto"/>
            <w:vAlign w:val="bottom"/>
          </w:tcPr>
          <w:p w14:paraId="71D44A66" w14:textId="77777777" w:rsidR="006A3667" w:rsidRDefault="006A3667">
            <w:pPr>
              <w:rPr>
                <w:rFonts w:ascii="宋体"/>
                <w:vanish/>
              </w:rPr>
            </w:pPr>
          </w:p>
        </w:tc>
        <w:tc>
          <w:tcPr>
            <w:tcW w:w="0" w:type="auto"/>
            <w:shd w:val="clear" w:color="auto" w:fill="auto"/>
            <w:vAlign w:val="bottom"/>
          </w:tcPr>
          <w:p w14:paraId="71D44A67" w14:textId="77777777" w:rsidR="006A3667" w:rsidRDefault="006A3667">
            <w:pPr>
              <w:rPr>
                <w:rFonts w:ascii="宋体"/>
                <w:vanish/>
              </w:rPr>
            </w:pPr>
          </w:p>
        </w:tc>
      </w:tr>
      <w:tr w:rsidR="006A3667" w14:paraId="71D44A7F" w14:textId="77777777">
        <w:trPr>
          <w:hidden/>
        </w:trPr>
        <w:tc>
          <w:tcPr>
            <w:tcW w:w="0" w:type="auto"/>
            <w:gridSpan w:val="3"/>
            <w:shd w:val="clear" w:color="auto" w:fill="auto"/>
            <w:vAlign w:val="bottom"/>
          </w:tcPr>
          <w:p w14:paraId="71D44A69" w14:textId="77777777" w:rsidR="006A3667" w:rsidRDefault="006A3667">
            <w:pPr>
              <w:rPr>
                <w:rFonts w:ascii="宋体"/>
                <w:vanish/>
              </w:rPr>
            </w:pPr>
          </w:p>
        </w:tc>
        <w:tc>
          <w:tcPr>
            <w:tcW w:w="0" w:type="auto"/>
            <w:gridSpan w:val="3"/>
            <w:shd w:val="clear" w:color="auto" w:fill="auto"/>
            <w:vAlign w:val="bottom"/>
          </w:tcPr>
          <w:p w14:paraId="71D44A6A" w14:textId="77777777" w:rsidR="006A3667" w:rsidRDefault="006A3667">
            <w:pPr>
              <w:rPr>
                <w:rFonts w:ascii="宋体"/>
                <w:vanish/>
              </w:rPr>
            </w:pPr>
          </w:p>
        </w:tc>
        <w:tc>
          <w:tcPr>
            <w:tcW w:w="0" w:type="auto"/>
            <w:gridSpan w:val="3"/>
            <w:shd w:val="clear" w:color="auto" w:fill="auto"/>
            <w:vAlign w:val="bottom"/>
          </w:tcPr>
          <w:p w14:paraId="71D44A6B" w14:textId="77777777" w:rsidR="006A3667" w:rsidRDefault="006A3667">
            <w:pPr>
              <w:rPr>
                <w:rFonts w:ascii="宋体"/>
                <w:vanish/>
              </w:rPr>
            </w:pPr>
          </w:p>
        </w:tc>
        <w:tc>
          <w:tcPr>
            <w:tcW w:w="0" w:type="auto"/>
            <w:gridSpan w:val="3"/>
            <w:shd w:val="clear" w:color="auto" w:fill="auto"/>
            <w:vAlign w:val="bottom"/>
          </w:tcPr>
          <w:p w14:paraId="71D44A6C" w14:textId="77777777" w:rsidR="006A3667" w:rsidRDefault="006A3667">
            <w:pPr>
              <w:rPr>
                <w:rFonts w:ascii="宋体"/>
                <w:vanish/>
              </w:rPr>
            </w:pPr>
          </w:p>
        </w:tc>
        <w:tc>
          <w:tcPr>
            <w:tcW w:w="0" w:type="auto"/>
            <w:gridSpan w:val="3"/>
            <w:shd w:val="clear" w:color="auto" w:fill="auto"/>
            <w:vAlign w:val="bottom"/>
          </w:tcPr>
          <w:p w14:paraId="71D44A6D" w14:textId="77777777" w:rsidR="006A3667" w:rsidRDefault="006A3667">
            <w:pPr>
              <w:rPr>
                <w:rFonts w:ascii="宋体"/>
                <w:vanish/>
              </w:rPr>
            </w:pPr>
          </w:p>
        </w:tc>
        <w:tc>
          <w:tcPr>
            <w:tcW w:w="0" w:type="auto"/>
            <w:gridSpan w:val="3"/>
            <w:shd w:val="clear" w:color="auto" w:fill="auto"/>
            <w:vAlign w:val="bottom"/>
          </w:tcPr>
          <w:p w14:paraId="71D44A6E" w14:textId="77777777" w:rsidR="006A3667" w:rsidRDefault="006A3667">
            <w:pPr>
              <w:rPr>
                <w:rFonts w:ascii="宋体"/>
                <w:vanish/>
              </w:rPr>
            </w:pPr>
          </w:p>
        </w:tc>
        <w:tc>
          <w:tcPr>
            <w:tcW w:w="0" w:type="auto"/>
            <w:gridSpan w:val="3"/>
            <w:shd w:val="clear" w:color="auto" w:fill="auto"/>
            <w:vAlign w:val="bottom"/>
          </w:tcPr>
          <w:p w14:paraId="71D44A6F" w14:textId="77777777" w:rsidR="006A3667" w:rsidRDefault="006A3667">
            <w:pPr>
              <w:rPr>
                <w:rFonts w:ascii="宋体"/>
                <w:vanish/>
              </w:rPr>
            </w:pPr>
          </w:p>
        </w:tc>
        <w:tc>
          <w:tcPr>
            <w:tcW w:w="0" w:type="auto"/>
            <w:gridSpan w:val="3"/>
            <w:shd w:val="clear" w:color="auto" w:fill="auto"/>
            <w:vAlign w:val="bottom"/>
          </w:tcPr>
          <w:p w14:paraId="71D44A70" w14:textId="77777777" w:rsidR="006A3667" w:rsidRDefault="006A3667">
            <w:pPr>
              <w:rPr>
                <w:rFonts w:ascii="宋体"/>
                <w:vanish/>
              </w:rPr>
            </w:pPr>
          </w:p>
        </w:tc>
        <w:tc>
          <w:tcPr>
            <w:tcW w:w="0" w:type="auto"/>
            <w:gridSpan w:val="3"/>
            <w:shd w:val="clear" w:color="auto" w:fill="auto"/>
            <w:vAlign w:val="bottom"/>
          </w:tcPr>
          <w:p w14:paraId="71D44A71" w14:textId="77777777" w:rsidR="006A3667" w:rsidRDefault="006A3667">
            <w:pPr>
              <w:rPr>
                <w:rFonts w:ascii="宋体"/>
                <w:vanish/>
              </w:rPr>
            </w:pPr>
          </w:p>
        </w:tc>
        <w:tc>
          <w:tcPr>
            <w:tcW w:w="0" w:type="auto"/>
            <w:gridSpan w:val="3"/>
            <w:shd w:val="clear" w:color="auto" w:fill="auto"/>
            <w:vAlign w:val="bottom"/>
          </w:tcPr>
          <w:p w14:paraId="71D44A72" w14:textId="77777777" w:rsidR="006A3667" w:rsidRDefault="006A3667">
            <w:pPr>
              <w:rPr>
                <w:rFonts w:ascii="宋体"/>
                <w:vanish/>
              </w:rPr>
            </w:pPr>
          </w:p>
        </w:tc>
        <w:tc>
          <w:tcPr>
            <w:tcW w:w="0" w:type="auto"/>
            <w:gridSpan w:val="3"/>
            <w:shd w:val="clear" w:color="auto" w:fill="auto"/>
            <w:vAlign w:val="bottom"/>
          </w:tcPr>
          <w:p w14:paraId="71D44A73" w14:textId="77777777" w:rsidR="006A3667" w:rsidRDefault="006A3667">
            <w:pPr>
              <w:rPr>
                <w:rFonts w:ascii="宋体"/>
                <w:vanish/>
              </w:rPr>
            </w:pPr>
          </w:p>
        </w:tc>
        <w:tc>
          <w:tcPr>
            <w:tcW w:w="0" w:type="auto"/>
            <w:gridSpan w:val="3"/>
            <w:shd w:val="clear" w:color="auto" w:fill="auto"/>
            <w:vAlign w:val="bottom"/>
          </w:tcPr>
          <w:p w14:paraId="71D44A74" w14:textId="77777777" w:rsidR="006A3667" w:rsidRDefault="006A3667">
            <w:pPr>
              <w:rPr>
                <w:rFonts w:ascii="宋体"/>
                <w:vanish/>
              </w:rPr>
            </w:pPr>
          </w:p>
        </w:tc>
        <w:tc>
          <w:tcPr>
            <w:tcW w:w="0" w:type="auto"/>
            <w:gridSpan w:val="3"/>
            <w:shd w:val="clear" w:color="auto" w:fill="auto"/>
            <w:vAlign w:val="bottom"/>
          </w:tcPr>
          <w:p w14:paraId="71D44A75" w14:textId="77777777" w:rsidR="006A3667" w:rsidRDefault="006A3667">
            <w:pPr>
              <w:rPr>
                <w:rFonts w:ascii="宋体"/>
                <w:vanish/>
              </w:rPr>
            </w:pPr>
          </w:p>
        </w:tc>
        <w:tc>
          <w:tcPr>
            <w:tcW w:w="0" w:type="auto"/>
            <w:gridSpan w:val="3"/>
            <w:shd w:val="clear" w:color="auto" w:fill="auto"/>
            <w:vAlign w:val="bottom"/>
          </w:tcPr>
          <w:p w14:paraId="71D44A76" w14:textId="77777777" w:rsidR="006A3667" w:rsidRDefault="006A3667">
            <w:pPr>
              <w:rPr>
                <w:rFonts w:ascii="宋体"/>
                <w:vanish/>
              </w:rPr>
            </w:pPr>
          </w:p>
        </w:tc>
        <w:tc>
          <w:tcPr>
            <w:tcW w:w="0" w:type="auto"/>
            <w:gridSpan w:val="3"/>
            <w:shd w:val="clear" w:color="auto" w:fill="auto"/>
            <w:vAlign w:val="bottom"/>
          </w:tcPr>
          <w:p w14:paraId="71D44A77" w14:textId="77777777" w:rsidR="006A3667" w:rsidRDefault="006A3667">
            <w:pPr>
              <w:rPr>
                <w:rFonts w:ascii="宋体"/>
                <w:vanish/>
              </w:rPr>
            </w:pPr>
          </w:p>
        </w:tc>
        <w:tc>
          <w:tcPr>
            <w:tcW w:w="0" w:type="auto"/>
            <w:gridSpan w:val="3"/>
            <w:shd w:val="clear" w:color="auto" w:fill="auto"/>
            <w:vAlign w:val="bottom"/>
          </w:tcPr>
          <w:p w14:paraId="71D44A78" w14:textId="77777777" w:rsidR="006A3667" w:rsidRDefault="006A3667">
            <w:pPr>
              <w:rPr>
                <w:rFonts w:ascii="宋体"/>
                <w:vanish/>
              </w:rPr>
            </w:pPr>
          </w:p>
        </w:tc>
        <w:tc>
          <w:tcPr>
            <w:tcW w:w="0" w:type="auto"/>
            <w:gridSpan w:val="3"/>
            <w:shd w:val="clear" w:color="auto" w:fill="auto"/>
            <w:vAlign w:val="bottom"/>
          </w:tcPr>
          <w:p w14:paraId="71D44A79" w14:textId="77777777" w:rsidR="006A3667" w:rsidRDefault="006A3667">
            <w:pPr>
              <w:rPr>
                <w:rFonts w:ascii="宋体"/>
                <w:vanish/>
              </w:rPr>
            </w:pPr>
          </w:p>
        </w:tc>
        <w:tc>
          <w:tcPr>
            <w:tcW w:w="0" w:type="auto"/>
            <w:gridSpan w:val="3"/>
            <w:shd w:val="clear" w:color="auto" w:fill="auto"/>
            <w:vAlign w:val="bottom"/>
          </w:tcPr>
          <w:p w14:paraId="71D44A7A" w14:textId="77777777" w:rsidR="006A3667" w:rsidRDefault="006A3667">
            <w:pPr>
              <w:rPr>
                <w:rFonts w:ascii="宋体"/>
                <w:vanish/>
              </w:rPr>
            </w:pPr>
          </w:p>
        </w:tc>
        <w:tc>
          <w:tcPr>
            <w:tcW w:w="0" w:type="auto"/>
            <w:gridSpan w:val="3"/>
            <w:shd w:val="clear" w:color="auto" w:fill="auto"/>
            <w:vAlign w:val="bottom"/>
          </w:tcPr>
          <w:p w14:paraId="71D44A7B" w14:textId="77777777" w:rsidR="006A3667" w:rsidRDefault="006A3667">
            <w:pPr>
              <w:rPr>
                <w:rFonts w:ascii="宋体"/>
                <w:vanish/>
              </w:rPr>
            </w:pPr>
          </w:p>
        </w:tc>
        <w:tc>
          <w:tcPr>
            <w:tcW w:w="0" w:type="auto"/>
            <w:gridSpan w:val="3"/>
            <w:shd w:val="clear" w:color="auto" w:fill="auto"/>
            <w:vAlign w:val="bottom"/>
          </w:tcPr>
          <w:p w14:paraId="71D44A7C" w14:textId="77777777" w:rsidR="006A3667" w:rsidRDefault="006A3667">
            <w:pPr>
              <w:rPr>
                <w:rFonts w:ascii="宋体"/>
                <w:vanish/>
              </w:rPr>
            </w:pPr>
          </w:p>
        </w:tc>
        <w:tc>
          <w:tcPr>
            <w:tcW w:w="0" w:type="auto"/>
            <w:gridSpan w:val="2"/>
            <w:shd w:val="clear" w:color="auto" w:fill="auto"/>
            <w:vAlign w:val="bottom"/>
          </w:tcPr>
          <w:p w14:paraId="71D44A7D" w14:textId="77777777" w:rsidR="006A3667" w:rsidRDefault="006A3667">
            <w:pPr>
              <w:rPr>
                <w:rFonts w:ascii="宋体"/>
                <w:vanish/>
              </w:rPr>
            </w:pPr>
          </w:p>
        </w:tc>
        <w:tc>
          <w:tcPr>
            <w:tcW w:w="0" w:type="auto"/>
            <w:shd w:val="clear" w:color="auto" w:fill="auto"/>
            <w:vAlign w:val="bottom"/>
          </w:tcPr>
          <w:p w14:paraId="71D44A7E" w14:textId="77777777" w:rsidR="006A3667" w:rsidRDefault="006A3667">
            <w:pPr>
              <w:rPr>
                <w:rFonts w:ascii="宋体"/>
                <w:vanish/>
              </w:rPr>
            </w:pPr>
          </w:p>
        </w:tc>
      </w:tr>
      <w:tr w:rsidR="006A3667" w14:paraId="71D44A96" w14:textId="77777777">
        <w:trPr>
          <w:hidden/>
        </w:trPr>
        <w:tc>
          <w:tcPr>
            <w:tcW w:w="0" w:type="auto"/>
            <w:gridSpan w:val="3"/>
            <w:shd w:val="clear" w:color="auto" w:fill="auto"/>
            <w:vAlign w:val="bottom"/>
          </w:tcPr>
          <w:p w14:paraId="71D44A80" w14:textId="77777777" w:rsidR="006A3667" w:rsidRDefault="006A3667">
            <w:pPr>
              <w:rPr>
                <w:rFonts w:ascii="宋体"/>
                <w:vanish/>
              </w:rPr>
            </w:pPr>
          </w:p>
        </w:tc>
        <w:tc>
          <w:tcPr>
            <w:tcW w:w="0" w:type="auto"/>
            <w:gridSpan w:val="3"/>
            <w:shd w:val="clear" w:color="auto" w:fill="auto"/>
            <w:vAlign w:val="bottom"/>
          </w:tcPr>
          <w:p w14:paraId="71D44A81" w14:textId="77777777" w:rsidR="006A3667" w:rsidRDefault="006A3667">
            <w:pPr>
              <w:rPr>
                <w:rFonts w:ascii="宋体"/>
                <w:vanish/>
              </w:rPr>
            </w:pPr>
          </w:p>
        </w:tc>
        <w:tc>
          <w:tcPr>
            <w:tcW w:w="0" w:type="auto"/>
            <w:gridSpan w:val="3"/>
            <w:shd w:val="clear" w:color="auto" w:fill="auto"/>
            <w:vAlign w:val="bottom"/>
          </w:tcPr>
          <w:p w14:paraId="71D44A82" w14:textId="77777777" w:rsidR="006A3667" w:rsidRDefault="006A3667">
            <w:pPr>
              <w:rPr>
                <w:rFonts w:ascii="宋体"/>
                <w:vanish/>
              </w:rPr>
            </w:pPr>
          </w:p>
        </w:tc>
        <w:tc>
          <w:tcPr>
            <w:tcW w:w="0" w:type="auto"/>
            <w:gridSpan w:val="3"/>
            <w:shd w:val="clear" w:color="auto" w:fill="auto"/>
            <w:vAlign w:val="bottom"/>
          </w:tcPr>
          <w:p w14:paraId="71D44A83" w14:textId="77777777" w:rsidR="006A3667" w:rsidRDefault="006A3667">
            <w:pPr>
              <w:rPr>
                <w:rFonts w:ascii="宋体"/>
                <w:vanish/>
              </w:rPr>
            </w:pPr>
          </w:p>
        </w:tc>
        <w:tc>
          <w:tcPr>
            <w:tcW w:w="0" w:type="auto"/>
            <w:gridSpan w:val="3"/>
            <w:shd w:val="clear" w:color="auto" w:fill="auto"/>
            <w:vAlign w:val="bottom"/>
          </w:tcPr>
          <w:p w14:paraId="71D44A84" w14:textId="77777777" w:rsidR="006A3667" w:rsidRDefault="006A3667">
            <w:pPr>
              <w:rPr>
                <w:rFonts w:ascii="宋体"/>
                <w:vanish/>
              </w:rPr>
            </w:pPr>
          </w:p>
        </w:tc>
        <w:tc>
          <w:tcPr>
            <w:tcW w:w="0" w:type="auto"/>
            <w:gridSpan w:val="3"/>
            <w:shd w:val="clear" w:color="auto" w:fill="auto"/>
            <w:vAlign w:val="bottom"/>
          </w:tcPr>
          <w:p w14:paraId="71D44A85" w14:textId="77777777" w:rsidR="006A3667" w:rsidRDefault="006A3667">
            <w:pPr>
              <w:rPr>
                <w:rFonts w:ascii="宋体"/>
                <w:vanish/>
              </w:rPr>
            </w:pPr>
          </w:p>
        </w:tc>
        <w:tc>
          <w:tcPr>
            <w:tcW w:w="0" w:type="auto"/>
            <w:gridSpan w:val="3"/>
            <w:shd w:val="clear" w:color="auto" w:fill="auto"/>
            <w:vAlign w:val="bottom"/>
          </w:tcPr>
          <w:p w14:paraId="71D44A86" w14:textId="77777777" w:rsidR="006A3667" w:rsidRDefault="006A3667">
            <w:pPr>
              <w:rPr>
                <w:rFonts w:ascii="宋体"/>
                <w:vanish/>
              </w:rPr>
            </w:pPr>
          </w:p>
        </w:tc>
        <w:tc>
          <w:tcPr>
            <w:tcW w:w="0" w:type="auto"/>
            <w:gridSpan w:val="3"/>
            <w:shd w:val="clear" w:color="auto" w:fill="auto"/>
            <w:vAlign w:val="bottom"/>
          </w:tcPr>
          <w:p w14:paraId="71D44A87" w14:textId="77777777" w:rsidR="006A3667" w:rsidRDefault="006A3667">
            <w:pPr>
              <w:rPr>
                <w:rFonts w:ascii="宋体"/>
                <w:vanish/>
              </w:rPr>
            </w:pPr>
          </w:p>
        </w:tc>
        <w:tc>
          <w:tcPr>
            <w:tcW w:w="0" w:type="auto"/>
            <w:gridSpan w:val="3"/>
            <w:shd w:val="clear" w:color="auto" w:fill="auto"/>
            <w:vAlign w:val="bottom"/>
          </w:tcPr>
          <w:p w14:paraId="71D44A88" w14:textId="77777777" w:rsidR="006A3667" w:rsidRDefault="006A3667">
            <w:pPr>
              <w:rPr>
                <w:rFonts w:ascii="宋体"/>
                <w:vanish/>
              </w:rPr>
            </w:pPr>
          </w:p>
        </w:tc>
        <w:tc>
          <w:tcPr>
            <w:tcW w:w="0" w:type="auto"/>
            <w:gridSpan w:val="3"/>
            <w:shd w:val="clear" w:color="auto" w:fill="auto"/>
            <w:vAlign w:val="bottom"/>
          </w:tcPr>
          <w:p w14:paraId="71D44A89" w14:textId="77777777" w:rsidR="006A3667" w:rsidRDefault="006A3667">
            <w:pPr>
              <w:rPr>
                <w:rFonts w:ascii="宋体"/>
                <w:vanish/>
              </w:rPr>
            </w:pPr>
          </w:p>
        </w:tc>
        <w:tc>
          <w:tcPr>
            <w:tcW w:w="0" w:type="auto"/>
            <w:gridSpan w:val="3"/>
            <w:shd w:val="clear" w:color="auto" w:fill="auto"/>
            <w:vAlign w:val="bottom"/>
          </w:tcPr>
          <w:p w14:paraId="71D44A8A" w14:textId="77777777" w:rsidR="006A3667" w:rsidRDefault="006A3667">
            <w:pPr>
              <w:rPr>
                <w:rFonts w:ascii="宋体"/>
                <w:vanish/>
              </w:rPr>
            </w:pPr>
          </w:p>
        </w:tc>
        <w:tc>
          <w:tcPr>
            <w:tcW w:w="0" w:type="auto"/>
            <w:gridSpan w:val="3"/>
            <w:shd w:val="clear" w:color="auto" w:fill="auto"/>
            <w:vAlign w:val="bottom"/>
          </w:tcPr>
          <w:p w14:paraId="71D44A8B" w14:textId="77777777" w:rsidR="006A3667" w:rsidRDefault="006A3667">
            <w:pPr>
              <w:rPr>
                <w:rFonts w:ascii="宋体"/>
                <w:vanish/>
              </w:rPr>
            </w:pPr>
          </w:p>
        </w:tc>
        <w:tc>
          <w:tcPr>
            <w:tcW w:w="0" w:type="auto"/>
            <w:gridSpan w:val="3"/>
            <w:shd w:val="clear" w:color="auto" w:fill="auto"/>
            <w:vAlign w:val="bottom"/>
          </w:tcPr>
          <w:p w14:paraId="71D44A8C" w14:textId="77777777" w:rsidR="006A3667" w:rsidRDefault="006A3667">
            <w:pPr>
              <w:rPr>
                <w:rFonts w:ascii="宋体"/>
                <w:vanish/>
              </w:rPr>
            </w:pPr>
          </w:p>
        </w:tc>
        <w:tc>
          <w:tcPr>
            <w:tcW w:w="0" w:type="auto"/>
            <w:gridSpan w:val="3"/>
            <w:shd w:val="clear" w:color="auto" w:fill="auto"/>
            <w:vAlign w:val="bottom"/>
          </w:tcPr>
          <w:p w14:paraId="71D44A8D" w14:textId="77777777" w:rsidR="006A3667" w:rsidRDefault="006A3667">
            <w:pPr>
              <w:rPr>
                <w:rFonts w:ascii="宋体"/>
                <w:vanish/>
              </w:rPr>
            </w:pPr>
          </w:p>
        </w:tc>
        <w:tc>
          <w:tcPr>
            <w:tcW w:w="0" w:type="auto"/>
            <w:gridSpan w:val="3"/>
            <w:shd w:val="clear" w:color="auto" w:fill="auto"/>
            <w:vAlign w:val="bottom"/>
          </w:tcPr>
          <w:p w14:paraId="71D44A8E" w14:textId="77777777" w:rsidR="006A3667" w:rsidRDefault="006A3667">
            <w:pPr>
              <w:rPr>
                <w:rFonts w:ascii="宋体"/>
                <w:vanish/>
              </w:rPr>
            </w:pPr>
          </w:p>
        </w:tc>
        <w:tc>
          <w:tcPr>
            <w:tcW w:w="0" w:type="auto"/>
            <w:gridSpan w:val="3"/>
            <w:shd w:val="clear" w:color="auto" w:fill="auto"/>
            <w:vAlign w:val="bottom"/>
          </w:tcPr>
          <w:p w14:paraId="71D44A8F" w14:textId="77777777" w:rsidR="006A3667" w:rsidRDefault="006A3667">
            <w:pPr>
              <w:rPr>
                <w:rFonts w:ascii="宋体"/>
                <w:vanish/>
              </w:rPr>
            </w:pPr>
          </w:p>
        </w:tc>
        <w:tc>
          <w:tcPr>
            <w:tcW w:w="0" w:type="auto"/>
            <w:gridSpan w:val="3"/>
            <w:shd w:val="clear" w:color="auto" w:fill="auto"/>
            <w:vAlign w:val="bottom"/>
          </w:tcPr>
          <w:p w14:paraId="71D44A90" w14:textId="77777777" w:rsidR="006A3667" w:rsidRDefault="006A3667">
            <w:pPr>
              <w:rPr>
                <w:rFonts w:ascii="宋体"/>
                <w:vanish/>
              </w:rPr>
            </w:pPr>
          </w:p>
        </w:tc>
        <w:tc>
          <w:tcPr>
            <w:tcW w:w="0" w:type="auto"/>
            <w:gridSpan w:val="3"/>
            <w:shd w:val="clear" w:color="auto" w:fill="auto"/>
            <w:vAlign w:val="bottom"/>
          </w:tcPr>
          <w:p w14:paraId="71D44A91" w14:textId="77777777" w:rsidR="006A3667" w:rsidRDefault="006A3667">
            <w:pPr>
              <w:rPr>
                <w:rFonts w:ascii="宋体"/>
                <w:vanish/>
              </w:rPr>
            </w:pPr>
          </w:p>
        </w:tc>
        <w:tc>
          <w:tcPr>
            <w:tcW w:w="0" w:type="auto"/>
            <w:gridSpan w:val="3"/>
            <w:shd w:val="clear" w:color="auto" w:fill="auto"/>
            <w:vAlign w:val="bottom"/>
          </w:tcPr>
          <w:p w14:paraId="71D44A92" w14:textId="77777777" w:rsidR="006A3667" w:rsidRDefault="006A3667">
            <w:pPr>
              <w:rPr>
                <w:rFonts w:ascii="宋体"/>
                <w:vanish/>
              </w:rPr>
            </w:pPr>
          </w:p>
        </w:tc>
        <w:tc>
          <w:tcPr>
            <w:tcW w:w="0" w:type="auto"/>
            <w:gridSpan w:val="3"/>
            <w:shd w:val="clear" w:color="auto" w:fill="auto"/>
            <w:vAlign w:val="bottom"/>
          </w:tcPr>
          <w:p w14:paraId="71D44A93" w14:textId="77777777" w:rsidR="006A3667" w:rsidRDefault="006A3667">
            <w:pPr>
              <w:rPr>
                <w:rFonts w:ascii="宋体"/>
                <w:vanish/>
              </w:rPr>
            </w:pPr>
          </w:p>
        </w:tc>
        <w:tc>
          <w:tcPr>
            <w:tcW w:w="0" w:type="auto"/>
            <w:gridSpan w:val="2"/>
            <w:shd w:val="clear" w:color="auto" w:fill="auto"/>
            <w:vAlign w:val="bottom"/>
          </w:tcPr>
          <w:p w14:paraId="71D44A94" w14:textId="77777777" w:rsidR="006A3667" w:rsidRDefault="006A3667">
            <w:pPr>
              <w:rPr>
                <w:rFonts w:ascii="宋体"/>
                <w:vanish/>
              </w:rPr>
            </w:pPr>
          </w:p>
        </w:tc>
        <w:tc>
          <w:tcPr>
            <w:tcW w:w="0" w:type="auto"/>
            <w:shd w:val="clear" w:color="auto" w:fill="auto"/>
            <w:vAlign w:val="bottom"/>
          </w:tcPr>
          <w:p w14:paraId="71D44A95" w14:textId="77777777" w:rsidR="006A3667" w:rsidRDefault="006A3667">
            <w:pPr>
              <w:rPr>
                <w:rFonts w:ascii="宋体"/>
                <w:vanish/>
              </w:rPr>
            </w:pPr>
          </w:p>
        </w:tc>
      </w:tr>
      <w:tr w:rsidR="006A3667" w14:paraId="71D44AAD" w14:textId="77777777">
        <w:trPr>
          <w:hidden/>
        </w:trPr>
        <w:tc>
          <w:tcPr>
            <w:tcW w:w="0" w:type="auto"/>
            <w:gridSpan w:val="3"/>
            <w:shd w:val="clear" w:color="auto" w:fill="auto"/>
            <w:vAlign w:val="bottom"/>
          </w:tcPr>
          <w:p w14:paraId="71D44A97" w14:textId="77777777" w:rsidR="006A3667" w:rsidRDefault="006A3667">
            <w:pPr>
              <w:rPr>
                <w:rFonts w:ascii="宋体"/>
                <w:vanish/>
              </w:rPr>
            </w:pPr>
          </w:p>
        </w:tc>
        <w:tc>
          <w:tcPr>
            <w:tcW w:w="0" w:type="auto"/>
            <w:gridSpan w:val="3"/>
            <w:shd w:val="clear" w:color="auto" w:fill="auto"/>
            <w:vAlign w:val="bottom"/>
          </w:tcPr>
          <w:p w14:paraId="71D44A98" w14:textId="77777777" w:rsidR="006A3667" w:rsidRDefault="006A3667">
            <w:pPr>
              <w:rPr>
                <w:rFonts w:ascii="宋体"/>
                <w:vanish/>
              </w:rPr>
            </w:pPr>
          </w:p>
        </w:tc>
        <w:tc>
          <w:tcPr>
            <w:tcW w:w="0" w:type="auto"/>
            <w:gridSpan w:val="3"/>
            <w:shd w:val="clear" w:color="auto" w:fill="auto"/>
            <w:vAlign w:val="bottom"/>
          </w:tcPr>
          <w:p w14:paraId="71D44A99" w14:textId="77777777" w:rsidR="006A3667" w:rsidRDefault="006A3667">
            <w:pPr>
              <w:rPr>
                <w:rFonts w:ascii="宋体"/>
                <w:vanish/>
              </w:rPr>
            </w:pPr>
          </w:p>
        </w:tc>
        <w:tc>
          <w:tcPr>
            <w:tcW w:w="0" w:type="auto"/>
            <w:gridSpan w:val="3"/>
            <w:shd w:val="clear" w:color="auto" w:fill="auto"/>
            <w:vAlign w:val="bottom"/>
          </w:tcPr>
          <w:p w14:paraId="71D44A9A" w14:textId="77777777" w:rsidR="006A3667" w:rsidRDefault="006A3667">
            <w:pPr>
              <w:rPr>
                <w:rFonts w:ascii="宋体"/>
                <w:vanish/>
              </w:rPr>
            </w:pPr>
          </w:p>
        </w:tc>
        <w:tc>
          <w:tcPr>
            <w:tcW w:w="0" w:type="auto"/>
            <w:gridSpan w:val="3"/>
            <w:shd w:val="clear" w:color="auto" w:fill="auto"/>
            <w:vAlign w:val="bottom"/>
          </w:tcPr>
          <w:p w14:paraId="71D44A9B" w14:textId="77777777" w:rsidR="006A3667" w:rsidRDefault="006A3667">
            <w:pPr>
              <w:rPr>
                <w:rFonts w:ascii="宋体"/>
                <w:vanish/>
              </w:rPr>
            </w:pPr>
          </w:p>
        </w:tc>
        <w:tc>
          <w:tcPr>
            <w:tcW w:w="0" w:type="auto"/>
            <w:gridSpan w:val="3"/>
            <w:shd w:val="clear" w:color="auto" w:fill="auto"/>
            <w:vAlign w:val="bottom"/>
          </w:tcPr>
          <w:p w14:paraId="71D44A9C" w14:textId="77777777" w:rsidR="006A3667" w:rsidRDefault="006A3667">
            <w:pPr>
              <w:rPr>
                <w:rFonts w:ascii="宋体"/>
                <w:vanish/>
              </w:rPr>
            </w:pPr>
          </w:p>
        </w:tc>
        <w:tc>
          <w:tcPr>
            <w:tcW w:w="0" w:type="auto"/>
            <w:gridSpan w:val="3"/>
            <w:shd w:val="clear" w:color="auto" w:fill="auto"/>
            <w:vAlign w:val="bottom"/>
          </w:tcPr>
          <w:p w14:paraId="71D44A9D" w14:textId="77777777" w:rsidR="006A3667" w:rsidRDefault="006A3667">
            <w:pPr>
              <w:rPr>
                <w:rFonts w:ascii="宋体"/>
                <w:vanish/>
              </w:rPr>
            </w:pPr>
          </w:p>
        </w:tc>
        <w:tc>
          <w:tcPr>
            <w:tcW w:w="0" w:type="auto"/>
            <w:gridSpan w:val="3"/>
            <w:shd w:val="clear" w:color="auto" w:fill="auto"/>
            <w:vAlign w:val="bottom"/>
          </w:tcPr>
          <w:p w14:paraId="71D44A9E" w14:textId="77777777" w:rsidR="006A3667" w:rsidRDefault="006A3667">
            <w:pPr>
              <w:rPr>
                <w:rFonts w:ascii="宋体"/>
                <w:vanish/>
              </w:rPr>
            </w:pPr>
          </w:p>
        </w:tc>
        <w:tc>
          <w:tcPr>
            <w:tcW w:w="0" w:type="auto"/>
            <w:gridSpan w:val="3"/>
            <w:shd w:val="clear" w:color="auto" w:fill="auto"/>
            <w:vAlign w:val="bottom"/>
          </w:tcPr>
          <w:p w14:paraId="71D44A9F" w14:textId="77777777" w:rsidR="006A3667" w:rsidRDefault="006A3667">
            <w:pPr>
              <w:rPr>
                <w:rFonts w:ascii="宋体"/>
                <w:vanish/>
              </w:rPr>
            </w:pPr>
          </w:p>
        </w:tc>
        <w:tc>
          <w:tcPr>
            <w:tcW w:w="0" w:type="auto"/>
            <w:gridSpan w:val="3"/>
            <w:shd w:val="clear" w:color="auto" w:fill="auto"/>
            <w:vAlign w:val="bottom"/>
          </w:tcPr>
          <w:p w14:paraId="71D44AA0" w14:textId="77777777" w:rsidR="006A3667" w:rsidRDefault="006A3667">
            <w:pPr>
              <w:rPr>
                <w:rFonts w:ascii="宋体"/>
                <w:vanish/>
              </w:rPr>
            </w:pPr>
          </w:p>
        </w:tc>
        <w:tc>
          <w:tcPr>
            <w:tcW w:w="0" w:type="auto"/>
            <w:gridSpan w:val="3"/>
            <w:shd w:val="clear" w:color="auto" w:fill="auto"/>
            <w:vAlign w:val="bottom"/>
          </w:tcPr>
          <w:p w14:paraId="71D44AA1" w14:textId="77777777" w:rsidR="006A3667" w:rsidRDefault="006A3667">
            <w:pPr>
              <w:rPr>
                <w:rFonts w:ascii="宋体"/>
                <w:vanish/>
              </w:rPr>
            </w:pPr>
          </w:p>
        </w:tc>
        <w:tc>
          <w:tcPr>
            <w:tcW w:w="0" w:type="auto"/>
            <w:gridSpan w:val="3"/>
            <w:shd w:val="clear" w:color="auto" w:fill="auto"/>
            <w:vAlign w:val="bottom"/>
          </w:tcPr>
          <w:p w14:paraId="71D44AA2" w14:textId="77777777" w:rsidR="006A3667" w:rsidRDefault="006A3667">
            <w:pPr>
              <w:rPr>
                <w:rFonts w:ascii="宋体"/>
                <w:vanish/>
              </w:rPr>
            </w:pPr>
          </w:p>
        </w:tc>
        <w:tc>
          <w:tcPr>
            <w:tcW w:w="0" w:type="auto"/>
            <w:gridSpan w:val="3"/>
            <w:shd w:val="clear" w:color="auto" w:fill="auto"/>
            <w:vAlign w:val="bottom"/>
          </w:tcPr>
          <w:p w14:paraId="71D44AA3" w14:textId="77777777" w:rsidR="006A3667" w:rsidRDefault="006A3667">
            <w:pPr>
              <w:rPr>
                <w:rFonts w:ascii="宋体"/>
                <w:vanish/>
              </w:rPr>
            </w:pPr>
          </w:p>
        </w:tc>
        <w:tc>
          <w:tcPr>
            <w:tcW w:w="0" w:type="auto"/>
            <w:gridSpan w:val="3"/>
            <w:shd w:val="clear" w:color="auto" w:fill="auto"/>
            <w:vAlign w:val="bottom"/>
          </w:tcPr>
          <w:p w14:paraId="71D44AA4" w14:textId="77777777" w:rsidR="006A3667" w:rsidRDefault="006A3667">
            <w:pPr>
              <w:rPr>
                <w:rFonts w:ascii="宋体"/>
                <w:vanish/>
              </w:rPr>
            </w:pPr>
          </w:p>
        </w:tc>
        <w:tc>
          <w:tcPr>
            <w:tcW w:w="0" w:type="auto"/>
            <w:gridSpan w:val="3"/>
            <w:shd w:val="clear" w:color="auto" w:fill="auto"/>
            <w:vAlign w:val="bottom"/>
          </w:tcPr>
          <w:p w14:paraId="71D44AA5" w14:textId="77777777" w:rsidR="006A3667" w:rsidRDefault="006A3667">
            <w:pPr>
              <w:rPr>
                <w:rFonts w:ascii="宋体"/>
                <w:vanish/>
              </w:rPr>
            </w:pPr>
          </w:p>
        </w:tc>
        <w:tc>
          <w:tcPr>
            <w:tcW w:w="0" w:type="auto"/>
            <w:gridSpan w:val="3"/>
            <w:shd w:val="clear" w:color="auto" w:fill="auto"/>
            <w:vAlign w:val="bottom"/>
          </w:tcPr>
          <w:p w14:paraId="71D44AA6" w14:textId="77777777" w:rsidR="006A3667" w:rsidRDefault="006A3667">
            <w:pPr>
              <w:rPr>
                <w:rFonts w:ascii="宋体"/>
                <w:vanish/>
              </w:rPr>
            </w:pPr>
          </w:p>
        </w:tc>
        <w:tc>
          <w:tcPr>
            <w:tcW w:w="0" w:type="auto"/>
            <w:gridSpan w:val="3"/>
            <w:shd w:val="clear" w:color="auto" w:fill="auto"/>
            <w:vAlign w:val="bottom"/>
          </w:tcPr>
          <w:p w14:paraId="71D44AA7" w14:textId="77777777" w:rsidR="006A3667" w:rsidRDefault="006A3667">
            <w:pPr>
              <w:rPr>
                <w:rFonts w:ascii="宋体"/>
                <w:vanish/>
              </w:rPr>
            </w:pPr>
          </w:p>
        </w:tc>
        <w:tc>
          <w:tcPr>
            <w:tcW w:w="0" w:type="auto"/>
            <w:gridSpan w:val="3"/>
            <w:shd w:val="clear" w:color="auto" w:fill="auto"/>
            <w:vAlign w:val="bottom"/>
          </w:tcPr>
          <w:p w14:paraId="71D44AA8" w14:textId="77777777" w:rsidR="006A3667" w:rsidRDefault="006A3667">
            <w:pPr>
              <w:rPr>
                <w:rFonts w:ascii="宋体"/>
                <w:vanish/>
              </w:rPr>
            </w:pPr>
          </w:p>
        </w:tc>
        <w:tc>
          <w:tcPr>
            <w:tcW w:w="0" w:type="auto"/>
            <w:gridSpan w:val="3"/>
            <w:shd w:val="clear" w:color="auto" w:fill="auto"/>
            <w:vAlign w:val="bottom"/>
          </w:tcPr>
          <w:p w14:paraId="71D44AA9" w14:textId="77777777" w:rsidR="006A3667" w:rsidRDefault="006A3667">
            <w:pPr>
              <w:rPr>
                <w:rFonts w:ascii="宋体"/>
                <w:vanish/>
              </w:rPr>
            </w:pPr>
          </w:p>
        </w:tc>
        <w:tc>
          <w:tcPr>
            <w:tcW w:w="0" w:type="auto"/>
            <w:gridSpan w:val="3"/>
            <w:shd w:val="clear" w:color="auto" w:fill="auto"/>
            <w:vAlign w:val="bottom"/>
          </w:tcPr>
          <w:p w14:paraId="71D44AAA" w14:textId="77777777" w:rsidR="006A3667" w:rsidRDefault="006A3667">
            <w:pPr>
              <w:rPr>
                <w:rFonts w:ascii="宋体"/>
                <w:vanish/>
              </w:rPr>
            </w:pPr>
          </w:p>
        </w:tc>
        <w:tc>
          <w:tcPr>
            <w:tcW w:w="0" w:type="auto"/>
            <w:gridSpan w:val="2"/>
            <w:shd w:val="clear" w:color="auto" w:fill="auto"/>
            <w:vAlign w:val="bottom"/>
          </w:tcPr>
          <w:p w14:paraId="71D44AAB" w14:textId="77777777" w:rsidR="006A3667" w:rsidRDefault="006A3667">
            <w:pPr>
              <w:rPr>
                <w:rFonts w:ascii="宋体"/>
                <w:vanish/>
              </w:rPr>
            </w:pPr>
          </w:p>
        </w:tc>
        <w:tc>
          <w:tcPr>
            <w:tcW w:w="0" w:type="auto"/>
            <w:shd w:val="clear" w:color="auto" w:fill="auto"/>
            <w:vAlign w:val="bottom"/>
          </w:tcPr>
          <w:p w14:paraId="71D44AAC" w14:textId="77777777" w:rsidR="006A3667" w:rsidRDefault="006A3667">
            <w:pPr>
              <w:rPr>
                <w:rFonts w:ascii="宋体"/>
                <w:vanish/>
              </w:rPr>
            </w:pPr>
          </w:p>
        </w:tc>
      </w:tr>
      <w:tr w:rsidR="006A3667" w14:paraId="71D44AC4" w14:textId="77777777">
        <w:trPr>
          <w:hidden/>
        </w:trPr>
        <w:tc>
          <w:tcPr>
            <w:tcW w:w="0" w:type="auto"/>
            <w:gridSpan w:val="3"/>
            <w:shd w:val="clear" w:color="auto" w:fill="auto"/>
            <w:vAlign w:val="bottom"/>
          </w:tcPr>
          <w:p w14:paraId="71D44AAE" w14:textId="77777777" w:rsidR="006A3667" w:rsidRDefault="006A3667">
            <w:pPr>
              <w:rPr>
                <w:rFonts w:ascii="宋体"/>
                <w:vanish/>
              </w:rPr>
            </w:pPr>
          </w:p>
        </w:tc>
        <w:tc>
          <w:tcPr>
            <w:tcW w:w="0" w:type="auto"/>
            <w:gridSpan w:val="3"/>
            <w:shd w:val="clear" w:color="auto" w:fill="auto"/>
            <w:vAlign w:val="bottom"/>
          </w:tcPr>
          <w:p w14:paraId="71D44AAF" w14:textId="77777777" w:rsidR="006A3667" w:rsidRDefault="006A3667">
            <w:pPr>
              <w:rPr>
                <w:rFonts w:ascii="宋体"/>
                <w:vanish/>
              </w:rPr>
            </w:pPr>
          </w:p>
        </w:tc>
        <w:tc>
          <w:tcPr>
            <w:tcW w:w="0" w:type="auto"/>
            <w:gridSpan w:val="3"/>
            <w:shd w:val="clear" w:color="auto" w:fill="auto"/>
            <w:vAlign w:val="bottom"/>
          </w:tcPr>
          <w:p w14:paraId="71D44AB0" w14:textId="77777777" w:rsidR="006A3667" w:rsidRDefault="006A3667">
            <w:pPr>
              <w:rPr>
                <w:rFonts w:ascii="宋体"/>
                <w:vanish/>
              </w:rPr>
            </w:pPr>
          </w:p>
        </w:tc>
        <w:tc>
          <w:tcPr>
            <w:tcW w:w="0" w:type="auto"/>
            <w:gridSpan w:val="3"/>
            <w:shd w:val="clear" w:color="auto" w:fill="auto"/>
            <w:vAlign w:val="bottom"/>
          </w:tcPr>
          <w:p w14:paraId="71D44AB1" w14:textId="77777777" w:rsidR="006A3667" w:rsidRDefault="006A3667">
            <w:pPr>
              <w:rPr>
                <w:rFonts w:ascii="宋体"/>
                <w:vanish/>
              </w:rPr>
            </w:pPr>
          </w:p>
        </w:tc>
        <w:tc>
          <w:tcPr>
            <w:tcW w:w="0" w:type="auto"/>
            <w:gridSpan w:val="3"/>
            <w:shd w:val="clear" w:color="auto" w:fill="auto"/>
            <w:vAlign w:val="bottom"/>
          </w:tcPr>
          <w:p w14:paraId="71D44AB2" w14:textId="77777777" w:rsidR="006A3667" w:rsidRDefault="006A3667">
            <w:pPr>
              <w:rPr>
                <w:rFonts w:ascii="宋体"/>
                <w:vanish/>
              </w:rPr>
            </w:pPr>
          </w:p>
        </w:tc>
        <w:tc>
          <w:tcPr>
            <w:tcW w:w="0" w:type="auto"/>
            <w:gridSpan w:val="3"/>
            <w:shd w:val="clear" w:color="auto" w:fill="auto"/>
            <w:vAlign w:val="bottom"/>
          </w:tcPr>
          <w:p w14:paraId="71D44AB3" w14:textId="77777777" w:rsidR="006A3667" w:rsidRDefault="006A3667">
            <w:pPr>
              <w:rPr>
                <w:rFonts w:ascii="宋体"/>
                <w:vanish/>
              </w:rPr>
            </w:pPr>
          </w:p>
        </w:tc>
        <w:tc>
          <w:tcPr>
            <w:tcW w:w="0" w:type="auto"/>
            <w:gridSpan w:val="3"/>
            <w:shd w:val="clear" w:color="auto" w:fill="auto"/>
            <w:vAlign w:val="bottom"/>
          </w:tcPr>
          <w:p w14:paraId="71D44AB4" w14:textId="77777777" w:rsidR="006A3667" w:rsidRDefault="006A3667">
            <w:pPr>
              <w:rPr>
                <w:rFonts w:ascii="宋体"/>
                <w:vanish/>
              </w:rPr>
            </w:pPr>
          </w:p>
        </w:tc>
        <w:tc>
          <w:tcPr>
            <w:tcW w:w="0" w:type="auto"/>
            <w:gridSpan w:val="3"/>
            <w:shd w:val="clear" w:color="auto" w:fill="auto"/>
            <w:vAlign w:val="bottom"/>
          </w:tcPr>
          <w:p w14:paraId="71D44AB5" w14:textId="77777777" w:rsidR="006A3667" w:rsidRDefault="006A3667">
            <w:pPr>
              <w:rPr>
                <w:rFonts w:ascii="宋体"/>
                <w:vanish/>
              </w:rPr>
            </w:pPr>
          </w:p>
        </w:tc>
        <w:tc>
          <w:tcPr>
            <w:tcW w:w="0" w:type="auto"/>
            <w:gridSpan w:val="3"/>
            <w:shd w:val="clear" w:color="auto" w:fill="auto"/>
            <w:vAlign w:val="bottom"/>
          </w:tcPr>
          <w:p w14:paraId="71D44AB6" w14:textId="77777777" w:rsidR="006A3667" w:rsidRDefault="006A3667">
            <w:pPr>
              <w:rPr>
                <w:rFonts w:ascii="宋体"/>
                <w:vanish/>
              </w:rPr>
            </w:pPr>
          </w:p>
        </w:tc>
        <w:tc>
          <w:tcPr>
            <w:tcW w:w="0" w:type="auto"/>
            <w:gridSpan w:val="3"/>
            <w:shd w:val="clear" w:color="auto" w:fill="auto"/>
            <w:vAlign w:val="bottom"/>
          </w:tcPr>
          <w:p w14:paraId="71D44AB7" w14:textId="77777777" w:rsidR="006A3667" w:rsidRDefault="006A3667">
            <w:pPr>
              <w:rPr>
                <w:rFonts w:ascii="宋体"/>
                <w:vanish/>
              </w:rPr>
            </w:pPr>
          </w:p>
        </w:tc>
        <w:tc>
          <w:tcPr>
            <w:tcW w:w="0" w:type="auto"/>
            <w:gridSpan w:val="3"/>
            <w:shd w:val="clear" w:color="auto" w:fill="auto"/>
            <w:vAlign w:val="bottom"/>
          </w:tcPr>
          <w:p w14:paraId="71D44AB8" w14:textId="77777777" w:rsidR="006A3667" w:rsidRDefault="006A3667">
            <w:pPr>
              <w:rPr>
                <w:rFonts w:ascii="宋体"/>
                <w:vanish/>
              </w:rPr>
            </w:pPr>
          </w:p>
        </w:tc>
        <w:tc>
          <w:tcPr>
            <w:tcW w:w="0" w:type="auto"/>
            <w:gridSpan w:val="3"/>
            <w:shd w:val="clear" w:color="auto" w:fill="auto"/>
            <w:vAlign w:val="bottom"/>
          </w:tcPr>
          <w:p w14:paraId="71D44AB9" w14:textId="77777777" w:rsidR="006A3667" w:rsidRDefault="006A3667">
            <w:pPr>
              <w:rPr>
                <w:rFonts w:ascii="宋体"/>
                <w:vanish/>
              </w:rPr>
            </w:pPr>
          </w:p>
        </w:tc>
        <w:tc>
          <w:tcPr>
            <w:tcW w:w="0" w:type="auto"/>
            <w:gridSpan w:val="3"/>
            <w:shd w:val="clear" w:color="auto" w:fill="auto"/>
            <w:vAlign w:val="bottom"/>
          </w:tcPr>
          <w:p w14:paraId="71D44ABA" w14:textId="77777777" w:rsidR="006A3667" w:rsidRDefault="006A3667">
            <w:pPr>
              <w:rPr>
                <w:rFonts w:ascii="宋体"/>
                <w:vanish/>
              </w:rPr>
            </w:pPr>
          </w:p>
        </w:tc>
        <w:tc>
          <w:tcPr>
            <w:tcW w:w="0" w:type="auto"/>
            <w:gridSpan w:val="3"/>
            <w:shd w:val="clear" w:color="auto" w:fill="auto"/>
            <w:vAlign w:val="bottom"/>
          </w:tcPr>
          <w:p w14:paraId="71D44ABB" w14:textId="77777777" w:rsidR="006A3667" w:rsidRDefault="006A3667">
            <w:pPr>
              <w:rPr>
                <w:rFonts w:ascii="宋体"/>
                <w:vanish/>
              </w:rPr>
            </w:pPr>
          </w:p>
        </w:tc>
        <w:tc>
          <w:tcPr>
            <w:tcW w:w="0" w:type="auto"/>
            <w:gridSpan w:val="3"/>
            <w:shd w:val="clear" w:color="auto" w:fill="auto"/>
            <w:vAlign w:val="bottom"/>
          </w:tcPr>
          <w:p w14:paraId="71D44ABC" w14:textId="77777777" w:rsidR="006A3667" w:rsidRDefault="006A3667">
            <w:pPr>
              <w:rPr>
                <w:rFonts w:ascii="宋体"/>
                <w:vanish/>
              </w:rPr>
            </w:pPr>
          </w:p>
        </w:tc>
        <w:tc>
          <w:tcPr>
            <w:tcW w:w="0" w:type="auto"/>
            <w:gridSpan w:val="3"/>
            <w:shd w:val="clear" w:color="auto" w:fill="auto"/>
            <w:vAlign w:val="bottom"/>
          </w:tcPr>
          <w:p w14:paraId="71D44ABD" w14:textId="77777777" w:rsidR="006A3667" w:rsidRDefault="006A3667">
            <w:pPr>
              <w:rPr>
                <w:rFonts w:ascii="宋体"/>
                <w:vanish/>
              </w:rPr>
            </w:pPr>
          </w:p>
        </w:tc>
        <w:tc>
          <w:tcPr>
            <w:tcW w:w="0" w:type="auto"/>
            <w:gridSpan w:val="3"/>
            <w:shd w:val="clear" w:color="auto" w:fill="auto"/>
            <w:vAlign w:val="bottom"/>
          </w:tcPr>
          <w:p w14:paraId="71D44ABE" w14:textId="77777777" w:rsidR="006A3667" w:rsidRDefault="006A3667">
            <w:pPr>
              <w:rPr>
                <w:rFonts w:ascii="宋体"/>
                <w:vanish/>
              </w:rPr>
            </w:pPr>
          </w:p>
        </w:tc>
        <w:tc>
          <w:tcPr>
            <w:tcW w:w="0" w:type="auto"/>
            <w:gridSpan w:val="3"/>
            <w:shd w:val="clear" w:color="auto" w:fill="auto"/>
            <w:vAlign w:val="bottom"/>
          </w:tcPr>
          <w:p w14:paraId="71D44ABF" w14:textId="77777777" w:rsidR="006A3667" w:rsidRDefault="006A3667">
            <w:pPr>
              <w:rPr>
                <w:rFonts w:ascii="宋体"/>
                <w:vanish/>
              </w:rPr>
            </w:pPr>
          </w:p>
        </w:tc>
        <w:tc>
          <w:tcPr>
            <w:tcW w:w="0" w:type="auto"/>
            <w:gridSpan w:val="3"/>
            <w:shd w:val="clear" w:color="auto" w:fill="auto"/>
            <w:vAlign w:val="bottom"/>
          </w:tcPr>
          <w:p w14:paraId="71D44AC0" w14:textId="77777777" w:rsidR="006A3667" w:rsidRDefault="006A3667">
            <w:pPr>
              <w:rPr>
                <w:rFonts w:ascii="宋体"/>
                <w:vanish/>
              </w:rPr>
            </w:pPr>
          </w:p>
        </w:tc>
        <w:tc>
          <w:tcPr>
            <w:tcW w:w="0" w:type="auto"/>
            <w:gridSpan w:val="3"/>
            <w:shd w:val="clear" w:color="auto" w:fill="auto"/>
            <w:vAlign w:val="bottom"/>
          </w:tcPr>
          <w:p w14:paraId="71D44AC1" w14:textId="77777777" w:rsidR="006A3667" w:rsidRDefault="006A3667">
            <w:pPr>
              <w:rPr>
                <w:rFonts w:ascii="宋体"/>
                <w:vanish/>
              </w:rPr>
            </w:pPr>
          </w:p>
        </w:tc>
        <w:tc>
          <w:tcPr>
            <w:tcW w:w="0" w:type="auto"/>
            <w:gridSpan w:val="2"/>
            <w:shd w:val="clear" w:color="auto" w:fill="auto"/>
            <w:vAlign w:val="bottom"/>
          </w:tcPr>
          <w:p w14:paraId="71D44AC2" w14:textId="77777777" w:rsidR="006A3667" w:rsidRDefault="006A3667">
            <w:pPr>
              <w:rPr>
                <w:rFonts w:ascii="宋体"/>
                <w:vanish/>
              </w:rPr>
            </w:pPr>
          </w:p>
        </w:tc>
        <w:tc>
          <w:tcPr>
            <w:tcW w:w="0" w:type="auto"/>
            <w:shd w:val="clear" w:color="auto" w:fill="auto"/>
            <w:vAlign w:val="bottom"/>
          </w:tcPr>
          <w:p w14:paraId="71D44AC3" w14:textId="77777777" w:rsidR="006A3667" w:rsidRDefault="006A3667">
            <w:pPr>
              <w:rPr>
                <w:rFonts w:ascii="宋体"/>
                <w:vanish/>
              </w:rPr>
            </w:pPr>
          </w:p>
        </w:tc>
      </w:tr>
      <w:tr w:rsidR="006A3667" w14:paraId="71D44ADB" w14:textId="77777777">
        <w:trPr>
          <w:hidden/>
        </w:trPr>
        <w:tc>
          <w:tcPr>
            <w:tcW w:w="0" w:type="auto"/>
            <w:gridSpan w:val="3"/>
            <w:shd w:val="clear" w:color="auto" w:fill="auto"/>
            <w:vAlign w:val="bottom"/>
          </w:tcPr>
          <w:p w14:paraId="71D44AC5" w14:textId="77777777" w:rsidR="006A3667" w:rsidRDefault="006A3667">
            <w:pPr>
              <w:rPr>
                <w:rFonts w:ascii="宋体"/>
                <w:vanish/>
              </w:rPr>
            </w:pPr>
          </w:p>
        </w:tc>
        <w:tc>
          <w:tcPr>
            <w:tcW w:w="0" w:type="auto"/>
            <w:gridSpan w:val="3"/>
            <w:shd w:val="clear" w:color="auto" w:fill="auto"/>
            <w:vAlign w:val="bottom"/>
          </w:tcPr>
          <w:p w14:paraId="71D44AC6" w14:textId="77777777" w:rsidR="006A3667" w:rsidRDefault="006A3667">
            <w:pPr>
              <w:rPr>
                <w:rFonts w:ascii="宋体"/>
                <w:vanish/>
              </w:rPr>
            </w:pPr>
          </w:p>
        </w:tc>
        <w:tc>
          <w:tcPr>
            <w:tcW w:w="0" w:type="auto"/>
            <w:gridSpan w:val="3"/>
            <w:shd w:val="clear" w:color="auto" w:fill="auto"/>
            <w:vAlign w:val="bottom"/>
          </w:tcPr>
          <w:p w14:paraId="71D44AC7" w14:textId="77777777" w:rsidR="006A3667" w:rsidRDefault="006A3667">
            <w:pPr>
              <w:rPr>
                <w:rFonts w:ascii="宋体"/>
                <w:vanish/>
              </w:rPr>
            </w:pPr>
          </w:p>
        </w:tc>
        <w:tc>
          <w:tcPr>
            <w:tcW w:w="0" w:type="auto"/>
            <w:gridSpan w:val="3"/>
            <w:shd w:val="clear" w:color="auto" w:fill="auto"/>
            <w:vAlign w:val="bottom"/>
          </w:tcPr>
          <w:p w14:paraId="71D44AC8" w14:textId="77777777" w:rsidR="006A3667" w:rsidRDefault="006A3667">
            <w:pPr>
              <w:rPr>
                <w:rFonts w:ascii="宋体"/>
                <w:vanish/>
              </w:rPr>
            </w:pPr>
          </w:p>
        </w:tc>
        <w:tc>
          <w:tcPr>
            <w:tcW w:w="0" w:type="auto"/>
            <w:gridSpan w:val="3"/>
            <w:shd w:val="clear" w:color="auto" w:fill="auto"/>
            <w:vAlign w:val="bottom"/>
          </w:tcPr>
          <w:p w14:paraId="71D44AC9" w14:textId="77777777" w:rsidR="006A3667" w:rsidRDefault="006A3667">
            <w:pPr>
              <w:rPr>
                <w:rFonts w:ascii="宋体"/>
                <w:vanish/>
              </w:rPr>
            </w:pPr>
          </w:p>
        </w:tc>
        <w:tc>
          <w:tcPr>
            <w:tcW w:w="0" w:type="auto"/>
            <w:gridSpan w:val="3"/>
            <w:shd w:val="clear" w:color="auto" w:fill="auto"/>
            <w:vAlign w:val="bottom"/>
          </w:tcPr>
          <w:p w14:paraId="71D44ACA" w14:textId="77777777" w:rsidR="006A3667" w:rsidRDefault="006A3667">
            <w:pPr>
              <w:rPr>
                <w:rFonts w:ascii="宋体"/>
                <w:vanish/>
              </w:rPr>
            </w:pPr>
          </w:p>
        </w:tc>
        <w:tc>
          <w:tcPr>
            <w:tcW w:w="0" w:type="auto"/>
            <w:gridSpan w:val="3"/>
            <w:shd w:val="clear" w:color="auto" w:fill="auto"/>
            <w:vAlign w:val="bottom"/>
          </w:tcPr>
          <w:p w14:paraId="71D44ACB" w14:textId="77777777" w:rsidR="006A3667" w:rsidRDefault="006A3667">
            <w:pPr>
              <w:rPr>
                <w:rFonts w:ascii="宋体"/>
                <w:vanish/>
              </w:rPr>
            </w:pPr>
          </w:p>
        </w:tc>
        <w:tc>
          <w:tcPr>
            <w:tcW w:w="0" w:type="auto"/>
            <w:gridSpan w:val="3"/>
            <w:shd w:val="clear" w:color="auto" w:fill="auto"/>
            <w:vAlign w:val="bottom"/>
          </w:tcPr>
          <w:p w14:paraId="71D44ACC" w14:textId="77777777" w:rsidR="006A3667" w:rsidRDefault="006A3667">
            <w:pPr>
              <w:rPr>
                <w:rFonts w:ascii="宋体"/>
                <w:vanish/>
              </w:rPr>
            </w:pPr>
          </w:p>
        </w:tc>
        <w:tc>
          <w:tcPr>
            <w:tcW w:w="0" w:type="auto"/>
            <w:gridSpan w:val="3"/>
            <w:shd w:val="clear" w:color="auto" w:fill="auto"/>
            <w:vAlign w:val="bottom"/>
          </w:tcPr>
          <w:p w14:paraId="71D44ACD" w14:textId="77777777" w:rsidR="006A3667" w:rsidRDefault="006A3667">
            <w:pPr>
              <w:rPr>
                <w:rFonts w:ascii="宋体"/>
                <w:vanish/>
              </w:rPr>
            </w:pPr>
          </w:p>
        </w:tc>
        <w:tc>
          <w:tcPr>
            <w:tcW w:w="0" w:type="auto"/>
            <w:gridSpan w:val="3"/>
            <w:shd w:val="clear" w:color="auto" w:fill="auto"/>
            <w:vAlign w:val="bottom"/>
          </w:tcPr>
          <w:p w14:paraId="71D44ACE" w14:textId="77777777" w:rsidR="006A3667" w:rsidRDefault="006A3667">
            <w:pPr>
              <w:rPr>
                <w:rFonts w:ascii="宋体"/>
                <w:vanish/>
              </w:rPr>
            </w:pPr>
          </w:p>
        </w:tc>
        <w:tc>
          <w:tcPr>
            <w:tcW w:w="0" w:type="auto"/>
            <w:gridSpan w:val="3"/>
            <w:shd w:val="clear" w:color="auto" w:fill="auto"/>
            <w:vAlign w:val="bottom"/>
          </w:tcPr>
          <w:p w14:paraId="71D44ACF" w14:textId="77777777" w:rsidR="006A3667" w:rsidRDefault="006A3667">
            <w:pPr>
              <w:rPr>
                <w:rFonts w:ascii="宋体"/>
                <w:vanish/>
              </w:rPr>
            </w:pPr>
          </w:p>
        </w:tc>
        <w:tc>
          <w:tcPr>
            <w:tcW w:w="0" w:type="auto"/>
            <w:gridSpan w:val="3"/>
            <w:shd w:val="clear" w:color="auto" w:fill="auto"/>
            <w:vAlign w:val="bottom"/>
          </w:tcPr>
          <w:p w14:paraId="71D44AD0" w14:textId="77777777" w:rsidR="006A3667" w:rsidRDefault="006A3667">
            <w:pPr>
              <w:rPr>
                <w:rFonts w:ascii="宋体"/>
                <w:vanish/>
              </w:rPr>
            </w:pPr>
          </w:p>
        </w:tc>
        <w:tc>
          <w:tcPr>
            <w:tcW w:w="0" w:type="auto"/>
            <w:gridSpan w:val="3"/>
            <w:shd w:val="clear" w:color="auto" w:fill="auto"/>
            <w:vAlign w:val="bottom"/>
          </w:tcPr>
          <w:p w14:paraId="71D44AD1" w14:textId="77777777" w:rsidR="006A3667" w:rsidRDefault="006A3667">
            <w:pPr>
              <w:rPr>
                <w:rFonts w:ascii="宋体"/>
                <w:vanish/>
              </w:rPr>
            </w:pPr>
          </w:p>
        </w:tc>
        <w:tc>
          <w:tcPr>
            <w:tcW w:w="0" w:type="auto"/>
            <w:gridSpan w:val="3"/>
            <w:shd w:val="clear" w:color="auto" w:fill="auto"/>
            <w:vAlign w:val="bottom"/>
          </w:tcPr>
          <w:p w14:paraId="71D44AD2" w14:textId="77777777" w:rsidR="006A3667" w:rsidRDefault="006A3667">
            <w:pPr>
              <w:rPr>
                <w:rFonts w:ascii="宋体"/>
                <w:vanish/>
              </w:rPr>
            </w:pPr>
          </w:p>
        </w:tc>
        <w:tc>
          <w:tcPr>
            <w:tcW w:w="0" w:type="auto"/>
            <w:gridSpan w:val="3"/>
            <w:shd w:val="clear" w:color="auto" w:fill="auto"/>
            <w:vAlign w:val="bottom"/>
          </w:tcPr>
          <w:p w14:paraId="71D44AD3" w14:textId="77777777" w:rsidR="006A3667" w:rsidRDefault="006A3667">
            <w:pPr>
              <w:rPr>
                <w:rFonts w:ascii="宋体"/>
                <w:vanish/>
              </w:rPr>
            </w:pPr>
          </w:p>
        </w:tc>
        <w:tc>
          <w:tcPr>
            <w:tcW w:w="0" w:type="auto"/>
            <w:gridSpan w:val="3"/>
            <w:shd w:val="clear" w:color="auto" w:fill="auto"/>
            <w:vAlign w:val="bottom"/>
          </w:tcPr>
          <w:p w14:paraId="71D44AD4" w14:textId="77777777" w:rsidR="006A3667" w:rsidRDefault="006A3667">
            <w:pPr>
              <w:rPr>
                <w:rFonts w:ascii="宋体"/>
                <w:vanish/>
              </w:rPr>
            </w:pPr>
          </w:p>
        </w:tc>
        <w:tc>
          <w:tcPr>
            <w:tcW w:w="0" w:type="auto"/>
            <w:gridSpan w:val="3"/>
            <w:shd w:val="clear" w:color="auto" w:fill="auto"/>
            <w:vAlign w:val="bottom"/>
          </w:tcPr>
          <w:p w14:paraId="71D44AD5" w14:textId="77777777" w:rsidR="006A3667" w:rsidRDefault="006A3667">
            <w:pPr>
              <w:rPr>
                <w:rFonts w:ascii="宋体"/>
                <w:vanish/>
              </w:rPr>
            </w:pPr>
          </w:p>
        </w:tc>
        <w:tc>
          <w:tcPr>
            <w:tcW w:w="0" w:type="auto"/>
            <w:gridSpan w:val="3"/>
            <w:shd w:val="clear" w:color="auto" w:fill="auto"/>
            <w:vAlign w:val="bottom"/>
          </w:tcPr>
          <w:p w14:paraId="71D44AD6" w14:textId="77777777" w:rsidR="006A3667" w:rsidRDefault="006A3667">
            <w:pPr>
              <w:rPr>
                <w:rFonts w:ascii="宋体"/>
                <w:vanish/>
              </w:rPr>
            </w:pPr>
          </w:p>
        </w:tc>
        <w:tc>
          <w:tcPr>
            <w:tcW w:w="0" w:type="auto"/>
            <w:gridSpan w:val="3"/>
            <w:shd w:val="clear" w:color="auto" w:fill="auto"/>
            <w:vAlign w:val="bottom"/>
          </w:tcPr>
          <w:p w14:paraId="71D44AD7" w14:textId="77777777" w:rsidR="006A3667" w:rsidRDefault="006A3667">
            <w:pPr>
              <w:rPr>
                <w:rFonts w:ascii="宋体"/>
                <w:vanish/>
              </w:rPr>
            </w:pPr>
          </w:p>
        </w:tc>
        <w:tc>
          <w:tcPr>
            <w:tcW w:w="0" w:type="auto"/>
            <w:gridSpan w:val="3"/>
            <w:shd w:val="clear" w:color="auto" w:fill="auto"/>
            <w:vAlign w:val="bottom"/>
          </w:tcPr>
          <w:p w14:paraId="71D44AD8" w14:textId="77777777" w:rsidR="006A3667" w:rsidRDefault="006A3667">
            <w:pPr>
              <w:rPr>
                <w:rFonts w:ascii="宋体"/>
                <w:vanish/>
              </w:rPr>
            </w:pPr>
          </w:p>
        </w:tc>
        <w:tc>
          <w:tcPr>
            <w:tcW w:w="0" w:type="auto"/>
            <w:gridSpan w:val="2"/>
            <w:shd w:val="clear" w:color="auto" w:fill="auto"/>
            <w:vAlign w:val="bottom"/>
          </w:tcPr>
          <w:p w14:paraId="71D44AD9" w14:textId="77777777" w:rsidR="006A3667" w:rsidRDefault="006A3667">
            <w:pPr>
              <w:rPr>
                <w:rFonts w:ascii="宋体"/>
                <w:vanish/>
              </w:rPr>
            </w:pPr>
          </w:p>
        </w:tc>
        <w:tc>
          <w:tcPr>
            <w:tcW w:w="0" w:type="auto"/>
            <w:shd w:val="clear" w:color="auto" w:fill="auto"/>
            <w:vAlign w:val="bottom"/>
          </w:tcPr>
          <w:p w14:paraId="71D44ADA" w14:textId="77777777" w:rsidR="006A3667" w:rsidRDefault="006A3667">
            <w:pPr>
              <w:rPr>
                <w:rFonts w:ascii="宋体"/>
                <w:vanish/>
              </w:rPr>
            </w:pPr>
          </w:p>
        </w:tc>
      </w:tr>
      <w:tr w:rsidR="006A3667" w14:paraId="71D44AF2" w14:textId="77777777">
        <w:trPr>
          <w:hidden/>
        </w:trPr>
        <w:tc>
          <w:tcPr>
            <w:tcW w:w="0" w:type="auto"/>
            <w:gridSpan w:val="3"/>
            <w:shd w:val="clear" w:color="auto" w:fill="auto"/>
            <w:vAlign w:val="bottom"/>
          </w:tcPr>
          <w:p w14:paraId="71D44ADC" w14:textId="77777777" w:rsidR="006A3667" w:rsidRDefault="006A3667">
            <w:pPr>
              <w:rPr>
                <w:rFonts w:ascii="宋体"/>
                <w:vanish/>
              </w:rPr>
            </w:pPr>
          </w:p>
        </w:tc>
        <w:tc>
          <w:tcPr>
            <w:tcW w:w="0" w:type="auto"/>
            <w:gridSpan w:val="3"/>
            <w:shd w:val="clear" w:color="auto" w:fill="auto"/>
            <w:vAlign w:val="bottom"/>
          </w:tcPr>
          <w:p w14:paraId="71D44ADD" w14:textId="77777777" w:rsidR="006A3667" w:rsidRDefault="006A3667">
            <w:pPr>
              <w:rPr>
                <w:rFonts w:ascii="宋体"/>
                <w:vanish/>
              </w:rPr>
            </w:pPr>
          </w:p>
        </w:tc>
        <w:tc>
          <w:tcPr>
            <w:tcW w:w="0" w:type="auto"/>
            <w:gridSpan w:val="3"/>
            <w:shd w:val="clear" w:color="auto" w:fill="auto"/>
            <w:vAlign w:val="bottom"/>
          </w:tcPr>
          <w:p w14:paraId="71D44ADE" w14:textId="77777777" w:rsidR="006A3667" w:rsidRDefault="006A3667">
            <w:pPr>
              <w:rPr>
                <w:rFonts w:ascii="宋体"/>
                <w:vanish/>
              </w:rPr>
            </w:pPr>
          </w:p>
        </w:tc>
        <w:tc>
          <w:tcPr>
            <w:tcW w:w="0" w:type="auto"/>
            <w:gridSpan w:val="3"/>
            <w:shd w:val="clear" w:color="auto" w:fill="auto"/>
            <w:vAlign w:val="bottom"/>
          </w:tcPr>
          <w:p w14:paraId="71D44ADF" w14:textId="77777777" w:rsidR="006A3667" w:rsidRDefault="006A3667">
            <w:pPr>
              <w:rPr>
                <w:rFonts w:ascii="宋体"/>
                <w:vanish/>
              </w:rPr>
            </w:pPr>
          </w:p>
        </w:tc>
        <w:tc>
          <w:tcPr>
            <w:tcW w:w="0" w:type="auto"/>
            <w:gridSpan w:val="3"/>
            <w:shd w:val="clear" w:color="auto" w:fill="auto"/>
            <w:vAlign w:val="bottom"/>
          </w:tcPr>
          <w:p w14:paraId="71D44AE0" w14:textId="77777777" w:rsidR="006A3667" w:rsidRDefault="006A3667">
            <w:pPr>
              <w:rPr>
                <w:rFonts w:ascii="宋体"/>
                <w:vanish/>
              </w:rPr>
            </w:pPr>
          </w:p>
        </w:tc>
        <w:tc>
          <w:tcPr>
            <w:tcW w:w="0" w:type="auto"/>
            <w:gridSpan w:val="3"/>
            <w:shd w:val="clear" w:color="auto" w:fill="auto"/>
            <w:vAlign w:val="bottom"/>
          </w:tcPr>
          <w:p w14:paraId="71D44AE1" w14:textId="77777777" w:rsidR="006A3667" w:rsidRDefault="006A3667">
            <w:pPr>
              <w:rPr>
                <w:rFonts w:ascii="宋体"/>
                <w:vanish/>
              </w:rPr>
            </w:pPr>
          </w:p>
        </w:tc>
        <w:tc>
          <w:tcPr>
            <w:tcW w:w="0" w:type="auto"/>
            <w:gridSpan w:val="3"/>
            <w:shd w:val="clear" w:color="auto" w:fill="auto"/>
            <w:vAlign w:val="bottom"/>
          </w:tcPr>
          <w:p w14:paraId="71D44AE2" w14:textId="77777777" w:rsidR="006A3667" w:rsidRDefault="006A3667">
            <w:pPr>
              <w:rPr>
                <w:rFonts w:ascii="宋体"/>
                <w:vanish/>
              </w:rPr>
            </w:pPr>
          </w:p>
        </w:tc>
        <w:tc>
          <w:tcPr>
            <w:tcW w:w="0" w:type="auto"/>
            <w:gridSpan w:val="3"/>
            <w:shd w:val="clear" w:color="auto" w:fill="auto"/>
            <w:vAlign w:val="bottom"/>
          </w:tcPr>
          <w:p w14:paraId="71D44AE3" w14:textId="77777777" w:rsidR="006A3667" w:rsidRDefault="006A3667">
            <w:pPr>
              <w:rPr>
                <w:rFonts w:ascii="宋体"/>
                <w:vanish/>
              </w:rPr>
            </w:pPr>
          </w:p>
        </w:tc>
        <w:tc>
          <w:tcPr>
            <w:tcW w:w="0" w:type="auto"/>
            <w:gridSpan w:val="3"/>
            <w:shd w:val="clear" w:color="auto" w:fill="auto"/>
            <w:vAlign w:val="bottom"/>
          </w:tcPr>
          <w:p w14:paraId="71D44AE4" w14:textId="77777777" w:rsidR="006A3667" w:rsidRDefault="006A3667">
            <w:pPr>
              <w:rPr>
                <w:rFonts w:ascii="宋体"/>
                <w:vanish/>
              </w:rPr>
            </w:pPr>
          </w:p>
        </w:tc>
        <w:tc>
          <w:tcPr>
            <w:tcW w:w="0" w:type="auto"/>
            <w:gridSpan w:val="3"/>
            <w:shd w:val="clear" w:color="auto" w:fill="auto"/>
            <w:vAlign w:val="bottom"/>
          </w:tcPr>
          <w:p w14:paraId="71D44AE5" w14:textId="77777777" w:rsidR="006A3667" w:rsidRDefault="006A3667">
            <w:pPr>
              <w:rPr>
                <w:rFonts w:ascii="宋体"/>
                <w:vanish/>
              </w:rPr>
            </w:pPr>
          </w:p>
        </w:tc>
        <w:tc>
          <w:tcPr>
            <w:tcW w:w="0" w:type="auto"/>
            <w:gridSpan w:val="3"/>
            <w:shd w:val="clear" w:color="auto" w:fill="auto"/>
            <w:vAlign w:val="bottom"/>
          </w:tcPr>
          <w:p w14:paraId="71D44AE6" w14:textId="77777777" w:rsidR="006A3667" w:rsidRDefault="006A3667">
            <w:pPr>
              <w:rPr>
                <w:rFonts w:ascii="宋体"/>
                <w:vanish/>
              </w:rPr>
            </w:pPr>
          </w:p>
        </w:tc>
        <w:tc>
          <w:tcPr>
            <w:tcW w:w="0" w:type="auto"/>
            <w:gridSpan w:val="3"/>
            <w:shd w:val="clear" w:color="auto" w:fill="auto"/>
            <w:vAlign w:val="bottom"/>
          </w:tcPr>
          <w:p w14:paraId="71D44AE7" w14:textId="77777777" w:rsidR="006A3667" w:rsidRDefault="006A3667">
            <w:pPr>
              <w:rPr>
                <w:rFonts w:ascii="宋体"/>
                <w:vanish/>
              </w:rPr>
            </w:pPr>
          </w:p>
        </w:tc>
        <w:tc>
          <w:tcPr>
            <w:tcW w:w="0" w:type="auto"/>
            <w:gridSpan w:val="3"/>
            <w:shd w:val="clear" w:color="auto" w:fill="auto"/>
            <w:vAlign w:val="bottom"/>
          </w:tcPr>
          <w:p w14:paraId="71D44AE8" w14:textId="77777777" w:rsidR="006A3667" w:rsidRDefault="006A3667">
            <w:pPr>
              <w:rPr>
                <w:rFonts w:ascii="宋体"/>
                <w:vanish/>
              </w:rPr>
            </w:pPr>
          </w:p>
        </w:tc>
        <w:tc>
          <w:tcPr>
            <w:tcW w:w="0" w:type="auto"/>
            <w:gridSpan w:val="3"/>
            <w:shd w:val="clear" w:color="auto" w:fill="auto"/>
            <w:vAlign w:val="bottom"/>
          </w:tcPr>
          <w:p w14:paraId="71D44AE9" w14:textId="77777777" w:rsidR="006A3667" w:rsidRDefault="006A3667">
            <w:pPr>
              <w:rPr>
                <w:rFonts w:ascii="宋体"/>
                <w:vanish/>
              </w:rPr>
            </w:pPr>
          </w:p>
        </w:tc>
        <w:tc>
          <w:tcPr>
            <w:tcW w:w="0" w:type="auto"/>
            <w:gridSpan w:val="3"/>
            <w:shd w:val="clear" w:color="auto" w:fill="auto"/>
            <w:vAlign w:val="bottom"/>
          </w:tcPr>
          <w:p w14:paraId="71D44AEA" w14:textId="77777777" w:rsidR="006A3667" w:rsidRDefault="006A3667">
            <w:pPr>
              <w:rPr>
                <w:rFonts w:ascii="宋体"/>
                <w:vanish/>
              </w:rPr>
            </w:pPr>
          </w:p>
        </w:tc>
        <w:tc>
          <w:tcPr>
            <w:tcW w:w="0" w:type="auto"/>
            <w:gridSpan w:val="3"/>
            <w:shd w:val="clear" w:color="auto" w:fill="auto"/>
            <w:vAlign w:val="bottom"/>
          </w:tcPr>
          <w:p w14:paraId="71D44AEB" w14:textId="77777777" w:rsidR="006A3667" w:rsidRDefault="006A3667">
            <w:pPr>
              <w:rPr>
                <w:rFonts w:ascii="宋体"/>
                <w:vanish/>
              </w:rPr>
            </w:pPr>
          </w:p>
        </w:tc>
        <w:tc>
          <w:tcPr>
            <w:tcW w:w="0" w:type="auto"/>
            <w:gridSpan w:val="3"/>
            <w:shd w:val="clear" w:color="auto" w:fill="auto"/>
            <w:vAlign w:val="bottom"/>
          </w:tcPr>
          <w:p w14:paraId="71D44AEC" w14:textId="77777777" w:rsidR="006A3667" w:rsidRDefault="006A3667">
            <w:pPr>
              <w:rPr>
                <w:rFonts w:ascii="宋体"/>
                <w:vanish/>
              </w:rPr>
            </w:pPr>
          </w:p>
        </w:tc>
        <w:tc>
          <w:tcPr>
            <w:tcW w:w="0" w:type="auto"/>
            <w:gridSpan w:val="3"/>
            <w:shd w:val="clear" w:color="auto" w:fill="auto"/>
            <w:vAlign w:val="bottom"/>
          </w:tcPr>
          <w:p w14:paraId="71D44AED" w14:textId="77777777" w:rsidR="006A3667" w:rsidRDefault="006A3667">
            <w:pPr>
              <w:rPr>
                <w:rFonts w:ascii="宋体"/>
                <w:vanish/>
              </w:rPr>
            </w:pPr>
          </w:p>
        </w:tc>
        <w:tc>
          <w:tcPr>
            <w:tcW w:w="0" w:type="auto"/>
            <w:gridSpan w:val="3"/>
            <w:shd w:val="clear" w:color="auto" w:fill="auto"/>
            <w:vAlign w:val="bottom"/>
          </w:tcPr>
          <w:p w14:paraId="71D44AEE" w14:textId="77777777" w:rsidR="006A3667" w:rsidRDefault="006A3667">
            <w:pPr>
              <w:rPr>
                <w:rFonts w:ascii="宋体"/>
                <w:vanish/>
              </w:rPr>
            </w:pPr>
          </w:p>
        </w:tc>
        <w:tc>
          <w:tcPr>
            <w:tcW w:w="0" w:type="auto"/>
            <w:gridSpan w:val="3"/>
            <w:shd w:val="clear" w:color="auto" w:fill="auto"/>
            <w:vAlign w:val="bottom"/>
          </w:tcPr>
          <w:p w14:paraId="71D44AEF" w14:textId="77777777" w:rsidR="006A3667" w:rsidRDefault="006A3667">
            <w:pPr>
              <w:rPr>
                <w:rFonts w:ascii="宋体"/>
                <w:vanish/>
              </w:rPr>
            </w:pPr>
          </w:p>
        </w:tc>
        <w:tc>
          <w:tcPr>
            <w:tcW w:w="0" w:type="auto"/>
            <w:gridSpan w:val="2"/>
            <w:shd w:val="clear" w:color="auto" w:fill="auto"/>
            <w:vAlign w:val="bottom"/>
          </w:tcPr>
          <w:p w14:paraId="71D44AF0" w14:textId="77777777" w:rsidR="006A3667" w:rsidRDefault="006A3667">
            <w:pPr>
              <w:rPr>
                <w:rFonts w:ascii="宋体"/>
                <w:vanish/>
              </w:rPr>
            </w:pPr>
          </w:p>
        </w:tc>
        <w:tc>
          <w:tcPr>
            <w:tcW w:w="0" w:type="auto"/>
            <w:shd w:val="clear" w:color="auto" w:fill="auto"/>
            <w:vAlign w:val="bottom"/>
          </w:tcPr>
          <w:p w14:paraId="71D44AF1" w14:textId="77777777" w:rsidR="006A3667" w:rsidRDefault="006A3667">
            <w:pPr>
              <w:rPr>
                <w:rFonts w:ascii="宋体"/>
                <w:vanish/>
              </w:rPr>
            </w:pPr>
          </w:p>
        </w:tc>
      </w:tr>
      <w:tr w:rsidR="006A3667" w14:paraId="71D44B09" w14:textId="77777777">
        <w:trPr>
          <w:hidden/>
        </w:trPr>
        <w:tc>
          <w:tcPr>
            <w:tcW w:w="0" w:type="auto"/>
            <w:gridSpan w:val="3"/>
            <w:shd w:val="clear" w:color="auto" w:fill="auto"/>
            <w:vAlign w:val="bottom"/>
          </w:tcPr>
          <w:p w14:paraId="71D44AF3" w14:textId="77777777" w:rsidR="006A3667" w:rsidRDefault="006A3667">
            <w:pPr>
              <w:rPr>
                <w:rFonts w:ascii="宋体"/>
                <w:vanish/>
              </w:rPr>
            </w:pPr>
          </w:p>
        </w:tc>
        <w:tc>
          <w:tcPr>
            <w:tcW w:w="0" w:type="auto"/>
            <w:gridSpan w:val="3"/>
            <w:shd w:val="clear" w:color="auto" w:fill="auto"/>
            <w:vAlign w:val="bottom"/>
          </w:tcPr>
          <w:p w14:paraId="71D44AF4" w14:textId="77777777" w:rsidR="006A3667" w:rsidRDefault="006A3667">
            <w:pPr>
              <w:rPr>
                <w:rFonts w:ascii="宋体"/>
                <w:vanish/>
              </w:rPr>
            </w:pPr>
          </w:p>
        </w:tc>
        <w:tc>
          <w:tcPr>
            <w:tcW w:w="0" w:type="auto"/>
            <w:gridSpan w:val="3"/>
            <w:shd w:val="clear" w:color="auto" w:fill="auto"/>
            <w:vAlign w:val="bottom"/>
          </w:tcPr>
          <w:p w14:paraId="71D44AF5" w14:textId="77777777" w:rsidR="006A3667" w:rsidRDefault="006A3667">
            <w:pPr>
              <w:rPr>
                <w:rFonts w:ascii="宋体"/>
                <w:vanish/>
              </w:rPr>
            </w:pPr>
          </w:p>
        </w:tc>
        <w:tc>
          <w:tcPr>
            <w:tcW w:w="0" w:type="auto"/>
            <w:gridSpan w:val="3"/>
            <w:shd w:val="clear" w:color="auto" w:fill="auto"/>
            <w:vAlign w:val="bottom"/>
          </w:tcPr>
          <w:p w14:paraId="71D44AF6" w14:textId="77777777" w:rsidR="006A3667" w:rsidRDefault="006A3667">
            <w:pPr>
              <w:rPr>
                <w:rFonts w:ascii="宋体"/>
                <w:vanish/>
              </w:rPr>
            </w:pPr>
          </w:p>
        </w:tc>
        <w:tc>
          <w:tcPr>
            <w:tcW w:w="0" w:type="auto"/>
            <w:gridSpan w:val="3"/>
            <w:shd w:val="clear" w:color="auto" w:fill="auto"/>
            <w:vAlign w:val="bottom"/>
          </w:tcPr>
          <w:p w14:paraId="71D44AF7" w14:textId="77777777" w:rsidR="006A3667" w:rsidRDefault="006A3667">
            <w:pPr>
              <w:rPr>
                <w:rFonts w:ascii="宋体"/>
                <w:vanish/>
              </w:rPr>
            </w:pPr>
          </w:p>
        </w:tc>
        <w:tc>
          <w:tcPr>
            <w:tcW w:w="0" w:type="auto"/>
            <w:gridSpan w:val="3"/>
            <w:shd w:val="clear" w:color="auto" w:fill="auto"/>
            <w:vAlign w:val="bottom"/>
          </w:tcPr>
          <w:p w14:paraId="71D44AF8" w14:textId="77777777" w:rsidR="006A3667" w:rsidRDefault="006A3667">
            <w:pPr>
              <w:rPr>
                <w:rFonts w:ascii="宋体"/>
                <w:vanish/>
              </w:rPr>
            </w:pPr>
          </w:p>
        </w:tc>
        <w:tc>
          <w:tcPr>
            <w:tcW w:w="0" w:type="auto"/>
            <w:gridSpan w:val="3"/>
            <w:shd w:val="clear" w:color="auto" w:fill="auto"/>
            <w:vAlign w:val="bottom"/>
          </w:tcPr>
          <w:p w14:paraId="71D44AF9" w14:textId="77777777" w:rsidR="006A3667" w:rsidRDefault="006A3667">
            <w:pPr>
              <w:rPr>
                <w:rFonts w:ascii="宋体"/>
                <w:vanish/>
              </w:rPr>
            </w:pPr>
          </w:p>
        </w:tc>
        <w:tc>
          <w:tcPr>
            <w:tcW w:w="0" w:type="auto"/>
            <w:gridSpan w:val="3"/>
            <w:shd w:val="clear" w:color="auto" w:fill="auto"/>
            <w:vAlign w:val="bottom"/>
          </w:tcPr>
          <w:p w14:paraId="71D44AFA" w14:textId="77777777" w:rsidR="006A3667" w:rsidRDefault="006A3667">
            <w:pPr>
              <w:rPr>
                <w:rFonts w:ascii="宋体"/>
                <w:vanish/>
              </w:rPr>
            </w:pPr>
          </w:p>
        </w:tc>
        <w:tc>
          <w:tcPr>
            <w:tcW w:w="0" w:type="auto"/>
            <w:gridSpan w:val="3"/>
            <w:shd w:val="clear" w:color="auto" w:fill="auto"/>
            <w:vAlign w:val="bottom"/>
          </w:tcPr>
          <w:p w14:paraId="71D44AFB" w14:textId="77777777" w:rsidR="006A3667" w:rsidRDefault="006A3667">
            <w:pPr>
              <w:rPr>
                <w:rFonts w:ascii="宋体"/>
                <w:vanish/>
              </w:rPr>
            </w:pPr>
          </w:p>
        </w:tc>
        <w:tc>
          <w:tcPr>
            <w:tcW w:w="0" w:type="auto"/>
            <w:gridSpan w:val="3"/>
            <w:shd w:val="clear" w:color="auto" w:fill="auto"/>
            <w:vAlign w:val="bottom"/>
          </w:tcPr>
          <w:p w14:paraId="71D44AFC" w14:textId="77777777" w:rsidR="006A3667" w:rsidRDefault="006A3667">
            <w:pPr>
              <w:rPr>
                <w:rFonts w:ascii="宋体"/>
                <w:vanish/>
              </w:rPr>
            </w:pPr>
          </w:p>
        </w:tc>
        <w:tc>
          <w:tcPr>
            <w:tcW w:w="0" w:type="auto"/>
            <w:gridSpan w:val="3"/>
            <w:shd w:val="clear" w:color="auto" w:fill="auto"/>
            <w:vAlign w:val="bottom"/>
          </w:tcPr>
          <w:p w14:paraId="71D44AFD" w14:textId="77777777" w:rsidR="006A3667" w:rsidRDefault="006A3667">
            <w:pPr>
              <w:rPr>
                <w:rFonts w:ascii="宋体"/>
                <w:vanish/>
              </w:rPr>
            </w:pPr>
          </w:p>
        </w:tc>
        <w:tc>
          <w:tcPr>
            <w:tcW w:w="0" w:type="auto"/>
            <w:gridSpan w:val="3"/>
            <w:shd w:val="clear" w:color="auto" w:fill="auto"/>
            <w:vAlign w:val="bottom"/>
          </w:tcPr>
          <w:p w14:paraId="71D44AFE" w14:textId="77777777" w:rsidR="006A3667" w:rsidRDefault="006A3667">
            <w:pPr>
              <w:rPr>
                <w:rFonts w:ascii="宋体"/>
                <w:vanish/>
              </w:rPr>
            </w:pPr>
          </w:p>
        </w:tc>
        <w:tc>
          <w:tcPr>
            <w:tcW w:w="0" w:type="auto"/>
            <w:gridSpan w:val="3"/>
            <w:shd w:val="clear" w:color="auto" w:fill="auto"/>
            <w:vAlign w:val="bottom"/>
          </w:tcPr>
          <w:p w14:paraId="71D44AFF" w14:textId="77777777" w:rsidR="006A3667" w:rsidRDefault="006A3667">
            <w:pPr>
              <w:rPr>
                <w:rFonts w:ascii="宋体"/>
                <w:vanish/>
              </w:rPr>
            </w:pPr>
          </w:p>
        </w:tc>
        <w:tc>
          <w:tcPr>
            <w:tcW w:w="0" w:type="auto"/>
            <w:gridSpan w:val="3"/>
            <w:shd w:val="clear" w:color="auto" w:fill="auto"/>
            <w:vAlign w:val="bottom"/>
          </w:tcPr>
          <w:p w14:paraId="71D44B00" w14:textId="77777777" w:rsidR="006A3667" w:rsidRDefault="006A3667">
            <w:pPr>
              <w:rPr>
                <w:rFonts w:ascii="宋体"/>
                <w:vanish/>
              </w:rPr>
            </w:pPr>
          </w:p>
        </w:tc>
        <w:tc>
          <w:tcPr>
            <w:tcW w:w="0" w:type="auto"/>
            <w:gridSpan w:val="3"/>
            <w:shd w:val="clear" w:color="auto" w:fill="auto"/>
            <w:vAlign w:val="bottom"/>
          </w:tcPr>
          <w:p w14:paraId="71D44B01" w14:textId="77777777" w:rsidR="006A3667" w:rsidRDefault="006A3667">
            <w:pPr>
              <w:rPr>
                <w:rFonts w:ascii="宋体"/>
                <w:vanish/>
              </w:rPr>
            </w:pPr>
          </w:p>
        </w:tc>
        <w:tc>
          <w:tcPr>
            <w:tcW w:w="0" w:type="auto"/>
            <w:gridSpan w:val="3"/>
            <w:shd w:val="clear" w:color="auto" w:fill="auto"/>
            <w:vAlign w:val="bottom"/>
          </w:tcPr>
          <w:p w14:paraId="71D44B02" w14:textId="77777777" w:rsidR="006A3667" w:rsidRDefault="006A3667">
            <w:pPr>
              <w:rPr>
                <w:rFonts w:ascii="宋体"/>
                <w:vanish/>
              </w:rPr>
            </w:pPr>
          </w:p>
        </w:tc>
        <w:tc>
          <w:tcPr>
            <w:tcW w:w="0" w:type="auto"/>
            <w:gridSpan w:val="3"/>
            <w:shd w:val="clear" w:color="auto" w:fill="auto"/>
            <w:vAlign w:val="bottom"/>
          </w:tcPr>
          <w:p w14:paraId="71D44B03" w14:textId="77777777" w:rsidR="006A3667" w:rsidRDefault="006A3667">
            <w:pPr>
              <w:rPr>
                <w:rFonts w:ascii="宋体"/>
                <w:vanish/>
              </w:rPr>
            </w:pPr>
          </w:p>
        </w:tc>
        <w:tc>
          <w:tcPr>
            <w:tcW w:w="0" w:type="auto"/>
            <w:gridSpan w:val="3"/>
            <w:shd w:val="clear" w:color="auto" w:fill="auto"/>
            <w:vAlign w:val="bottom"/>
          </w:tcPr>
          <w:p w14:paraId="71D44B04" w14:textId="77777777" w:rsidR="006A3667" w:rsidRDefault="006A3667">
            <w:pPr>
              <w:rPr>
                <w:rFonts w:ascii="宋体"/>
                <w:vanish/>
              </w:rPr>
            </w:pPr>
          </w:p>
        </w:tc>
        <w:tc>
          <w:tcPr>
            <w:tcW w:w="0" w:type="auto"/>
            <w:gridSpan w:val="3"/>
            <w:shd w:val="clear" w:color="auto" w:fill="auto"/>
            <w:vAlign w:val="bottom"/>
          </w:tcPr>
          <w:p w14:paraId="71D44B05" w14:textId="77777777" w:rsidR="006A3667" w:rsidRDefault="006A3667">
            <w:pPr>
              <w:rPr>
                <w:rFonts w:ascii="宋体"/>
                <w:vanish/>
              </w:rPr>
            </w:pPr>
          </w:p>
        </w:tc>
        <w:tc>
          <w:tcPr>
            <w:tcW w:w="0" w:type="auto"/>
            <w:gridSpan w:val="3"/>
            <w:shd w:val="clear" w:color="auto" w:fill="auto"/>
            <w:vAlign w:val="bottom"/>
          </w:tcPr>
          <w:p w14:paraId="71D44B06" w14:textId="77777777" w:rsidR="006A3667" w:rsidRDefault="006A3667">
            <w:pPr>
              <w:rPr>
                <w:rFonts w:ascii="宋体"/>
                <w:vanish/>
              </w:rPr>
            </w:pPr>
          </w:p>
        </w:tc>
        <w:tc>
          <w:tcPr>
            <w:tcW w:w="0" w:type="auto"/>
            <w:gridSpan w:val="2"/>
            <w:shd w:val="clear" w:color="auto" w:fill="auto"/>
            <w:vAlign w:val="bottom"/>
          </w:tcPr>
          <w:p w14:paraId="71D44B07" w14:textId="77777777" w:rsidR="006A3667" w:rsidRDefault="006A3667">
            <w:pPr>
              <w:rPr>
                <w:rFonts w:ascii="宋体"/>
                <w:vanish/>
              </w:rPr>
            </w:pPr>
          </w:p>
        </w:tc>
        <w:tc>
          <w:tcPr>
            <w:tcW w:w="0" w:type="auto"/>
            <w:shd w:val="clear" w:color="auto" w:fill="auto"/>
            <w:vAlign w:val="bottom"/>
          </w:tcPr>
          <w:p w14:paraId="71D44B08" w14:textId="77777777" w:rsidR="006A3667" w:rsidRDefault="006A3667">
            <w:pPr>
              <w:rPr>
                <w:rFonts w:ascii="宋体"/>
                <w:vanish/>
              </w:rPr>
            </w:pPr>
          </w:p>
        </w:tc>
      </w:tr>
    </w:tbl>
    <w:p w14:paraId="71D44B0A" w14:textId="77777777" w:rsidR="006A3667" w:rsidRDefault="00045F32">
      <w:pPr>
        <w:spacing w:before="60"/>
        <w:ind w:firstLine="450"/>
        <w:jc w:val="both"/>
      </w:pPr>
      <w:r>
        <w:rPr>
          <w:rFonts w:ascii="Arial" w:eastAsia="宋体" w:hAnsi="Arial" w:cs="Arial"/>
          <w:color w:val="000000"/>
          <w:sz w:val="20"/>
          <w:szCs w:val="20"/>
        </w:rPr>
        <w:t xml:space="preserve">The following table presents quantitative information, as of the dates indicated, about the valuation techniques and significant unobservable inputs used in the valuation of our level 3 financial assets and liabilities </w:t>
      </w:r>
      <w:r>
        <w:rPr>
          <w:rFonts w:ascii="Arial" w:eastAsia="宋体" w:hAnsi="Arial" w:cs="Arial"/>
          <w:color w:val="000000"/>
          <w:sz w:val="20"/>
          <w:szCs w:val="20"/>
        </w:rPr>
        <w:t>measured at fair value on a recurring basis for which we use internally-developed pricing models. The significant unobservable inputs for our level 3 financial assets and liabilities whose fair value is measured using pricing information from non-binding b</w:t>
      </w:r>
      <w:r>
        <w:rPr>
          <w:rFonts w:ascii="Arial" w:eastAsia="宋体" w:hAnsi="Arial" w:cs="Arial"/>
          <w:color w:val="000000"/>
          <w:sz w:val="20"/>
          <w:szCs w:val="20"/>
        </w:rPr>
        <w:t>roker/dealer quotes are not included in the table, as the specific inputs applied are not provided by the broker/dealer.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780"/>
        <w:gridCol w:w="37"/>
        <w:gridCol w:w="94"/>
        <w:gridCol w:w="664"/>
        <w:gridCol w:w="36"/>
        <w:gridCol w:w="36"/>
        <w:gridCol w:w="36"/>
        <w:gridCol w:w="36"/>
        <w:gridCol w:w="94"/>
        <w:gridCol w:w="848"/>
        <w:gridCol w:w="36"/>
        <w:gridCol w:w="36"/>
        <w:gridCol w:w="36"/>
        <w:gridCol w:w="36"/>
        <w:gridCol w:w="75"/>
        <w:gridCol w:w="559"/>
        <w:gridCol w:w="36"/>
        <w:gridCol w:w="36"/>
        <w:gridCol w:w="36"/>
        <w:gridCol w:w="36"/>
        <w:gridCol w:w="96"/>
        <w:gridCol w:w="729"/>
        <w:gridCol w:w="36"/>
        <w:gridCol w:w="36"/>
        <w:gridCol w:w="36"/>
        <w:gridCol w:w="36"/>
        <w:gridCol w:w="52"/>
        <w:gridCol w:w="186"/>
        <w:gridCol w:w="137"/>
        <w:gridCol w:w="37"/>
        <w:gridCol w:w="37"/>
        <w:gridCol w:w="37"/>
        <w:gridCol w:w="88"/>
        <w:gridCol w:w="312"/>
        <w:gridCol w:w="38"/>
        <w:gridCol w:w="36"/>
        <w:gridCol w:w="36"/>
        <w:gridCol w:w="36"/>
        <w:gridCol w:w="66"/>
        <w:gridCol w:w="588"/>
        <w:gridCol w:w="138"/>
        <w:gridCol w:w="36"/>
        <w:gridCol w:w="36"/>
        <w:gridCol w:w="36"/>
        <w:gridCol w:w="51"/>
        <w:gridCol w:w="627"/>
        <w:gridCol w:w="136"/>
      </w:tblGrid>
      <w:tr w:rsidR="006A3667" w14:paraId="71D44B3B" w14:textId="77777777">
        <w:trPr>
          <w:jc w:val="center"/>
        </w:trPr>
        <w:tc>
          <w:tcPr>
            <w:tcW w:w="50" w:type="pct"/>
            <w:shd w:val="clear" w:color="auto" w:fill="auto"/>
            <w:vAlign w:val="bottom"/>
          </w:tcPr>
          <w:p w14:paraId="71D44B0B" w14:textId="77777777" w:rsidR="006A3667" w:rsidRDefault="006A3667">
            <w:pPr>
              <w:rPr>
                <w:rFonts w:ascii="宋体"/>
              </w:rPr>
            </w:pPr>
          </w:p>
        </w:tc>
        <w:tc>
          <w:tcPr>
            <w:tcW w:w="1143" w:type="pct"/>
            <w:shd w:val="clear" w:color="auto" w:fill="auto"/>
            <w:vAlign w:val="bottom"/>
          </w:tcPr>
          <w:p w14:paraId="71D44B0C" w14:textId="77777777" w:rsidR="006A3667" w:rsidRDefault="006A3667">
            <w:pPr>
              <w:rPr>
                <w:rFonts w:ascii="宋体"/>
              </w:rPr>
            </w:pPr>
          </w:p>
        </w:tc>
        <w:tc>
          <w:tcPr>
            <w:tcW w:w="5" w:type="pct"/>
            <w:shd w:val="clear" w:color="auto" w:fill="auto"/>
            <w:vAlign w:val="bottom"/>
          </w:tcPr>
          <w:p w14:paraId="71D44B0D" w14:textId="77777777" w:rsidR="006A3667" w:rsidRDefault="006A3667">
            <w:pPr>
              <w:rPr>
                <w:rFonts w:ascii="宋体"/>
              </w:rPr>
            </w:pPr>
          </w:p>
        </w:tc>
        <w:tc>
          <w:tcPr>
            <w:tcW w:w="50" w:type="pct"/>
            <w:shd w:val="clear" w:color="auto" w:fill="auto"/>
            <w:vAlign w:val="bottom"/>
          </w:tcPr>
          <w:p w14:paraId="71D44B0E" w14:textId="77777777" w:rsidR="006A3667" w:rsidRDefault="006A3667">
            <w:pPr>
              <w:rPr>
                <w:rFonts w:ascii="宋体"/>
              </w:rPr>
            </w:pPr>
          </w:p>
        </w:tc>
        <w:tc>
          <w:tcPr>
            <w:tcW w:w="449" w:type="pct"/>
            <w:shd w:val="clear" w:color="auto" w:fill="auto"/>
            <w:vAlign w:val="bottom"/>
          </w:tcPr>
          <w:p w14:paraId="71D44B0F" w14:textId="77777777" w:rsidR="006A3667" w:rsidRDefault="006A3667">
            <w:pPr>
              <w:rPr>
                <w:rFonts w:ascii="宋体"/>
              </w:rPr>
            </w:pPr>
          </w:p>
        </w:tc>
        <w:tc>
          <w:tcPr>
            <w:tcW w:w="5" w:type="pct"/>
            <w:shd w:val="clear" w:color="auto" w:fill="auto"/>
            <w:vAlign w:val="bottom"/>
          </w:tcPr>
          <w:p w14:paraId="71D44B10" w14:textId="77777777" w:rsidR="006A3667" w:rsidRDefault="006A3667">
            <w:pPr>
              <w:rPr>
                <w:rFonts w:ascii="宋体"/>
              </w:rPr>
            </w:pPr>
          </w:p>
        </w:tc>
        <w:tc>
          <w:tcPr>
            <w:tcW w:w="5" w:type="pct"/>
            <w:shd w:val="clear" w:color="auto" w:fill="auto"/>
            <w:vAlign w:val="bottom"/>
          </w:tcPr>
          <w:p w14:paraId="71D44B11" w14:textId="77777777" w:rsidR="006A3667" w:rsidRDefault="006A3667">
            <w:pPr>
              <w:rPr>
                <w:rFonts w:ascii="宋体"/>
              </w:rPr>
            </w:pPr>
          </w:p>
        </w:tc>
        <w:tc>
          <w:tcPr>
            <w:tcW w:w="19" w:type="pct"/>
            <w:shd w:val="clear" w:color="auto" w:fill="auto"/>
            <w:vAlign w:val="bottom"/>
          </w:tcPr>
          <w:p w14:paraId="71D44B12" w14:textId="77777777" w:rsidR="006A3667" w:rsidRDefault="006A3667">
            <w:pPr>
              <w:rPr>
                <w:rFonts w:ascii="宋体"/>
              </w:rPr>
            </w:pPr>
          </w:p>
        </w:tc>
        <w:tc>
          <w:tcPr>
            <w:tcW w:w="5" w:type="pct"/>
            <w:shd w:val="clear" w:color="auto" w:fill="auto"/>
            <w:vAlign w:val="bottom"/>
          </w:tcPr>
          <w:p w14:paraId="71D44B13" w14:textId="77777777" w:rsidR="006A3667" w:rsidRDefault="006A3667">
            <w:pPr>
              <w:rPr>
                <w:rFonts w:ascii="宋体"/>
              </w:rPr>
            </w:pPr>
          </w:p>
        </w:tc>
        <w:tc>
          <w:tcPr>
            <w:tcW w:w="50" w:type="pct"/>
            <w:shd w:val="clear" w:color="auto" w:fill="auto"/>
            <w:vAlign w:val="bottom"/>
          </w:tcPr>
          <w:p w14:paraId="71D44B14" w14:textId="77777777" w:rsidR="006A3667" w:rsidRDefault="006A3667">
            <w:pPr>
              <w:rPr>
                <w:rFonts w:ascii="宋体"/>
              </w:rPr>
            </w:pPr>
          </w:p>
        </w:tc>
        <w:tc>
          <w:tcPr>
            <w:tcW w:w="559" w:type="pct"/>
            <w:shd w:val="clear" w:color="auto" w:fill="auto"/>
            <w:vAlign w:val="bottom"/>
          </w:tcPr>
          <w:p w14:paraId="71D44B15" w14:textId="77777777" w:rsidR="006A3667" w:rsidRDefault="006A3667">
            <w:pPr>
              <w:rPr>
                <w:rFonts w:ascii="宋体"/>
              </w:rPr>
            </w:pPr>
          </w:p>
        </w:tc>
        <w:tc>
          <w:tcPr>
            <w:tcW w:w="5" w:type="pct"/>
            <w:shd w:val="clear" w:color="auto" w:fill="auto"/>
            <w:vAlign w:val="bottom"/>
          </w:tcPr>
          <w:p w14:paraId="71D44B16" w14:textId="77777777" w:rsidR="006A3667" w:rsidRDefault="006A3667">
            <w:pPr>
              <w:rPr>
                <w:rFonts w:ascii="宋体"/>
              </w:rPr>
            </w:pPr>
          </w:p>
        </w:tc>
        <w:tc>
          <w:tcPr>
            <w:tcW w:w="5" w:type="pct"/>
            <w:shd w:val="clear" w:color="auto" w:fill="auto"/>
            <w:vAlign w:val="bottom"/>
          </w:tcPr>
          <w:p w14:paraId="71D44B17" w14:textId="77777777" w:rsidR="006A3667" w:rsidRDefault="006A3667">
            <w:pPr>
              <w:rPr>
                <w:rFonts w:ascii="宋体"/>
              </w:rPr>
            </w:pPr>
          </w:p>
        </w:tc>
        <w:tc>
          <w:tcPr>
            <w:tcW w:w="19" w:type="pct"/>
            <w:shd w:val="clear" w:color="auto" w:fill="auto"/>
            <w:vAlign w:val="bottom"/>
          </w:tcPr>
          <w:p w14:paraId="71D44B18" w14:textId="77777777" w:rsidR="006A3667" w:rsidRDefault="006A3667">
            <w:pPr>
              <w:rPr>
                <w:rFonts w:ascii="宋体"/>
              </w:rPr>
            </w:pPr>
          </w:p>
        </w:tc>
        <w:tc>
          <w:tcPr>
            <w:tcW w:w="5" w:type="pct"/>
            <w:shd w:val="clear" w:color="auto" w:fill="auto"/>
            <w:vAlign w:val="bottom"/>
          </w:tcPr>
          <w:p w14:paraId="71D44B19" w14:textId="77777777" w:rsidR="006A3667" w:rsidRDefault="006A3667">
            <w:pPr>
              <w:rPr>
                <w:rFonts w:ascii="宋体"/>
              </w:rPr>
            </w:pPr>
          </w:p>
        </w:tc>
        <w:tc>
          <w:tcPr>
            <w:tcW w:w="50" w:type="pct"/>
            <w:shd w:val="clear" w:color="auto" w:fill="auto"/>
            <w:vAlign w:val="bottom"/>
          </w:tcPr>
          <w:p w14:paraId="71D44B1A" w14:textId="77777777" w:rsidR="006A3667" w:rsidRDefault="006A3667">
            <w:pPr>
              <w:rPr>
                <w:rFonts w:ascii="宋体"/>
              </w:rPr>
            </w:pPr>
          </w:p>
        </w:tc>
        <w:tc>
          <w:tcPr>
            <w:tcW w:w="376" w:type="pct"/>
            <w:shd w:val="clear" w:color="auto" w:fill="auto"/>
            <w:vAlign w:val="bottom"/>
          </w:tcPr>
          <w:p w14:paraId="71D44B1B" w14:textId="77777777" w:rsidR="006A3667" w:rsidRDefault="006A3667">
            <w:pPr>
              <w:rPr>
                <w:rFonts w:ascii="宋体"/>
              </w:rPr>
            </w:pPr>
          </w:p>
        </w:tc>
        <w:tc>
          <w:tcPr>
            <w:tcW w:w="5" w:type="pct"/>
            <w:shd w:val="clear" w:color="auto" w:fill="auto"/>
            <w:vAlign w:val="bottom"/>
          </w:tcPr>
          <w:p w14:paraId="71D44B1C" w14:textId="77777777" w:rsidR="006A3667" w:rsidRDefault="006A3667">
            <w:pPr>
              <w:rPr>
                <w:rFonts w:ascii="宋体"/>
              </w:rPr>
            </w:pPr>
          </w:p>
        </w:tc>
        <w:tc>
          <w:tcPr>
            <w:tcW w:w="5" w:type="pct"/>
            <w:shd w:val="clear" w:color="auto" w:fill="auto"/>
            <w:vAlign w:val="bottom"/>
          </w:tcPr>
          <w:p w14:paraId="71D44B1D" w14:textId="77777777" w:rsidR="006A3667" w:rsidRDefault="006A3667">
            <w:pPr>
              <w:rPr>
                <w:rFonts w:ascii="宋体"/>
              </w:rPr>
            </w:pPr>
          </w:p>
        </w:tc>
        <w:tc>
          <w:tcPr>
            <w:tcW w:w="19" w:type="pct"/>
            <w:shd w:val="clear" w:color="auto" w:fill="auto"/>
            <w:vAlign w:val="bottom"/>
          </w:tcPr>
          <w:p w14:paraId="71D44B1E" w14:textId="77777777" w:rsidR="006A3667" w:rsidRDefault="006A3667">
            <w:pPr>
              <w:rPr>
                <w:rFonts w:ascii="宋体"/>
              </w:rPr>
            </w:pPr>
          </w:p>
        </w:tc>
        <w:tc>
          <w:tcPr>
            <w:tcW w:w="5" w:type="pct"/>
            <w:shd w:val="clear" w:color="auto" w:fill="auto"/>
            <w:vAlign w:val="bottom"/>
          </w:tcPr>
          <w:p w14:paraId="71D44B1F" w14:textId="77777777" w:rsidR="006A3667" w:rsidRDefault="006A3667">
            <w:pPr>
              <w:rPr>
                <w:rFonts w:ascii="宋体"/>
              </w:rPr>
            </w:pPr>
          </w:p>
        </w:tc>
        <w:tc>
          <w:tcPr>
            <w:tcW w:w="50" w:type="pct"/>
            <w:shd w:val="clear" w:color="auto" w:fill="auto"/>
            <w:vAlign w:val="bottom"/>
          </w:tcPr>
          <w:p w14:paraId="71D44B20" w14:textId="77777777" w:rsidR="006A3667" w:rsidRDefault="006A3667">
            <w:pPr>
              <w:rPr>
                <w:rFonts w:ascii="宋体"/>
              </w:rPr>
            </w:pPr>
          </w:p>
        </w:tc>
        <w:tc>
          <w:tcPr>
            <w:tcW w:w="383" w:type="pct"/>
            <w:shd w:val="clear" w:color="auto" w:fill="auto"/>
            <w:vAlign w:val="bottom"/>
          </w:tcPr>
          <w:p w14:paraId="71D44B21" w14:textId="77777777" w:rsidR="006A3667" w:rsidRDefault="006A3667">
            <w:pPr>
              <w:rPr>
                <w:rFonts w:ascii="宋体"/>
              </w:rPr>
            </w:pPr>
          </w:p>
        </w:tc>
        <w:tc>
          <w:tcPr>
            <w:tcW w:w="5" w:type="pct"/>
            <w:shd w:val="clear" w:color="auto" w:fill="auto"/>
            <w:vAlign w:val="bottom"/>
          </w:tcPr>
          <w:p w14:paraId="71D44B22" w14:textId="77777777" w:rsidR="006A3667" w:rsidRDefault="006A3667">
            <w:pPr>
              <w:rPr>
                <w:rFonts w:ascii="宋体"/>
              </w:rPr>
            </w:pPr>
          </w:p>
        </w:tc>
        <w:tc>
          <w:tcPr>
            <w:tcW w:w="5" w:type="pct"/>
            <w:shd w:val="clear" w:color="auto" w:fill="auto"/>
            <w:vAlign w:val="bottom"/>
          </w:tcPr>
          <w:p w14:paraId="71D44B23" w14:textId="77777777" w:rsidR="006A3667" w:rsidRDefault="006A3667">
            <w:pPr>
              <w:rPr>
                <w:rFonts w:ascii="宋体"/>
              </w:rPr>
            </w:pPr>
          </w:p>
        </w:tc>
        <w:tc>
          <w:tcPr>
            <w:tcW w:w="19" w:type="pct"/>
            <w:shd w:val="clear" w:color="auto" w:fill="auto"/>
            <w:vAlign w:val="bottom"/>
          </w:tcPr>
          <w:p w14:paraId="71D44B24" w14:textId="77777777" w:rsidR="006A3667" w:rsidRDefault="006A3667">
            <w:pPr>
              <w:rPr>
                <w:rFonts w:ascii="宋体"/>
              </w:rPr>
            </w:pPr>
          </w:p>
        </w:tc>
        <w:tc>
          <w:tcPr>
            <w:tcW w:w="5" w:type="pct"/>
            <w:shd w:val="clear" w:color="auto" w:fill="auto"/>
            <w:vAlign w:val="bottom"/>
          </w:tcPr>
          <w:p w14:paraId="71D44B25" w14:textId="77777777" w:rsidR="006A3667" w:rsidRDefault="006A3667">
            <w:pPr>
              <w:rPr>
                <w:rFonts w:ascii="宋体"/>
              </w:rPr>
            </w:pPr>
          </w:p>
        </w:tc>
        <w:tc>
          <w:tcPr>
            <w:tcW w:w="50" w:type="pct"/>
            <w:shd w:val="clear" w:color="auto" w:fill="auto"/>
            <w:vAlign w:val="bottom"/>
          </w:tcPr>
          <w:p w14:paraId="71D44B26" w14:textId="77777777" w:rsidR="006A3667" w:rsidRDefault="006A3667">
            <w:pPr>
              <w:rPr>
                <w:rFonts w:ascii="宋体"/>
              </w:rPr>
            </w:pPr>
          </w:p>
        </w:tc>
        <w:tc>
          <w:tcPr>
            <w:tcW w:w="178" w:type="pct"/>
            <w:shd w:val="clear" w:color="auto" w:fill="auto"/>
            <w:vAlign w:val="bottom"/>
          </w:tcPr>
          <w:p w14:paraId="71D44B27" w14:textId="77777777" w:rsidR="006A3667" w:rsidRDefault="006A3667">
            <w:pPr>
              <w:rPr>
                <w:rFonts w:ascii="宋体"/>
              </w:rPr>
            </w:pPr>
          </w:p>
        </w:tc>
        <w:tc>
          <w:tcPr>
            <w:tcW w:w="5" w:type="pct"/>
            <w:shd w:val="clear" w:color="auto" w:fill="auto"/>
            <w:vAlign w:val="bottom"/>
          </w:tcPr>
          <w:p w14:paraId="71D44B28" w14:textId="77777777" w:rsidR="006A3667" w:rsidRDefault="006A3667">
            <w:pPr>
              <w:rPr>
                <w:rFonts w:ascii="宋体"/>
              </w:rPr>
            </w:pPr>
          </w:p>
        </w:tc>
        <w:tc>
          <w:tcPr>
            <w:tcW w:w="5" w:type="pct"/>
            <w:shd w:val="clear" w:color="auto" w:fill="auto"/>
            <w:vAlign w:val="bottom"/>
          </w:tcPr>
          <w:p w14:paraId="71D44B29" w14:textId="77777777" w:rsidR="006A3667" w:rsidRDefault="006A3667">
            <w:pPr>
              <w:rPr>
                <w:rFonts w:ascii="宋体"/>
              </w:rPr>
            </w:pPr>
          </w:p>
        </w:tc>
        <w:tc>
          <w:tcPr>
            <w:tcW w:w="41" w:type="pct"/>
            <w:shd w:val="clear" w:color="auto" w:fill="auto"/>
            <w:vAlign w:val="bottom"/>
          </w:tcPr>
          <w:p w14:paraId="71D44B2A" w14:textId="77777777" w:rsidR="006A3667" w:rsidRDefault="006A3667">
            <w:pPr>
              <w:rPr>
                <w:rFonts w:ascii="宋体"/>
              </w:rPr>
            </w:pPr>
          </w:p>
        </w:tc>
        <w:tc>
          <w:tcPr>
            <w:tcW w:w="5" w:type="pct"/>
            <w:shd w:val="clear" w:color="auto" w:fill="auto"/>
            <w:vAlign w:val="bottom"/>
          </w:tcPr>
          <w:p w14:paraId="71D44B2B" w14:textId="77777777" w:rsidR="006A3667" w:rsidRDefault="006A3667">
            <w:pPr>
              <w:rPr>
                <w:rFonts w:ascii="宋体"/>
              </w:rPr>
            </w:pPr>
          </w:p>
        </w:tc>
        <w:tc>
          <w:tcPr>
            <w:tcW w:w="50" w:type="pct"/>
            <w:shd w:val="clear" w:color="auto" w:fill="auto"/>
            <w:vAlign w:val="bottom"/>
          </w:tcPr>
          <w:p w14:paraId="71D44B2C" w14:textId="77777777" w:rsidR="006A3667" w:rsidRDefault="006A3667">
            <w:pPr>
              <w:rPr>
                <w:rFonts w:ascii="宋体"/>
              </w:rPr>
            </w:pPr>
          </w:p>
        </w:tc>
        <w:tc>
          <w:tcPr>
            <w:tcW w:w="178" w:type="pct"/>
            <w:shd w:val="clear" w:color="auto" w:fill="auto"/>
            <w:vAlign w:val="bottom"/>
          </w:tcPr>
          <w:p w14:paraId="71D44B2D" w14:textId="77777777" w:rsidR="006A3667" w:rsidRDefault="006A3667">
            <w:pPr>
              <w:rPr>
                <w:rFonts w:ascii="宋体"/>
              </w:rPr>
            </w:pPr>
          </w:p>
        </w:tc>
        <w:tc>
          <w:tcPr>
            <w:tcW w:w="5" w:type="pct"/>
            <w:shd w:val="clear" w:color="auto" w:fill="auto"/>
            <w:vAlign w:val="bottom"/>
          </w:tcPr>
          <w:p w14:paraId="71D44B2E" w14:textId="77777777" w:rsidR="006A3667" w:rsidRDefault="006A3667">
            <w:pPr>
              <w:rPr>
                <w:rFonts w:ascii="宋体"/>
              </w:rPr>
            </w:pPr>
          </w:p>
        </w:tc>
        <w:tc>
          <w:tcPr>
            <w:tcW w:w="5" w:type="pct"/>
            <w:shd w:val="clear" w:color="auto" w:fill="auto"/>
            <w:vAlign w:val="bottom"/>
          </w:tcPr>
          <w:p w14:paraId="71D44B2F" w14:textId="77777777" w:rsidR="006A3667" w:rsidRDefault="006A3667">
            <w:pPr>
              <w:rPr>
                <w:rFonts w:ascii="宋体"/>
              </w:rPr>
            </w:pPr>
          </w:p>
        </w:tc>
        <w:tc>
          <w:tcPr>
            <w:tcW w:w="19" w:type="pct"/>
            <w:shd w:val="clear" w:color="auto" w:fill="auto"/>
            <w:vAlign w:val="bottom"/>
          </w:tcPr>
          <w:p w14:paraId="71D44B30" w14:textId="77777777" w:rsidR="006A3667" w:rsidRDefault="006A3667">
            <w:pPr>
              <w:rPr>
                <w:rFonts w:ascii="宋体"/>
              </w:rPr>
            </w:pPr>
          </w:p>
        </w:tc>
        <w:tc>
          <w:tcPr>
            <w:tcW w:w="5" w:type="pct"/>
            <w:shd w:val="clear" w:color="auto" w:fill="auto"/>
            <w:vAlign w:val="bottom"/>
          </w:tcPr>
          <w:p w14:paraId="71D44B31" w14:textId="77777777" w:rsidR="006A3667" w:rsidRDefault="006A3667">
            <w:pPr>
              <w:rPr>
                <w:rFonts w:ascii="宋体"/>
              </w:rPr>
            </w:pPr>
          </w:p>
        </w:tc>
        <w:tc>
          <w:tcPr>
            <w:tcW w:w="50" w:type="pct"/>
            <w:shd w:val="clear" w:color="auto" w:fill="auto"/>
            <w:vAlign w:val="bottom"/>
          </w:tcPr>
          <w:p w14:paraId="71D44B32" w14:textId="77777777" w:rsidR="006A3667" w:rsidRDefault="006A3667">
            <w:pPr>
              <w:rPr>
                <w:rFonts w:ascii="宋体"/>
              </w:rPr>
            </w:pPr>
          </w:p>
        </w:tc>
        <w:tc>
          <w:tcPr>
            <w:tcW w:w="449" w:type="pct"/>
            <w:shd w:val="clear" w:color="auto" w:fill="auto"/>
            <w:vAlign w:val="bottom"/>
          </w:tcPr>
          <w:p w14:paraId="71D44B33" w14:textId="77777777" w:rsidR="006A3667" w:rsidRDefault="006A3667">
            <w:pPr>
              <w:rPr>
                <w:rFonts w:ascii="宋体"/>
              </w:rPr>
            </w:pPr>
          </w:p>
        </w:tc>
        <w:tc>
          <w:tcPr>
            <w:tcW w:w="5" w:type="pct"/>
            <w:shd w:val="clear" w:color="auto" w:fill="auto"/>
            <w:vAlign w:val="bottom"/>
          </w:tcPr>
          <w:p w14:paraId="71D44B34" w14:textId="77777777" w:rsidR="006A3667" w:rsidRDefault="006A3667">
            <w:pPr>
              <w:rPr>
                <w:rFonts w:ascii="宋体"/>
              </w:rPr>
            </w:pPr>
          </w:p>
        </w:tc>
        <w:tc>
          <w:tcPr>
            <w:tcW w:w="5" w:type="pct"/>
            <w:shd w:val="clear" w:color="auto" w:fill="auto"/>
            <w:vAlign w:val="bottom"/>
          </w:tcPr>
          <w:p w14:paraId="71D44B35" w14:textId="77777777" w:rsidR="006A3667" w:rsidRDefault="006A3667">
            <w:pPr>
              <w:rPr>
                <w:rFonts w:ascii="宋体"/>
              </w:rPr>
            </w:pPr>
          </w:p>
        </w:tc>
        <w:tc>
          <w:tcPr>
            <w:tcW w:w="19" w:type="pct"/>
            <w:shd w:val="clear" w:color="auto" w:fill="auto"/>
            <w:vAlign w:val="bottom"/>
          </w:tcPr>
          <w:p w14:paraId="71D44B36" w14:textId="77777777" w:rsidR="006A3667" w:rsidRDefault="006A3667">
            <w:pPr>
              <w:rPr>
                <w:rFonts w:ascii="宋体"/>
              </w:rPr>
            </w:pPr>
          </w:p>
        </w:tc>
        <w:tc>
          <w:tcPr>
            <w:tcW w:w="5" w:type="pct"/>
            <w:shd w:val="clear" w:color="auto" w:fill="auto"/>
            <w:vAlign w:val="bottom"/>
          </w:tcPr>
          <w:p w14:paraId="71D44B37" w14:textId="77777777" w:rsidR="006A3667" w:rsidRDefault="006A3667">
            <w:pPr>
              <w:rPr>
                <w:rFonts w:ascii="宋体"/>
              </w:rPr>
            </w:pPr>
          </w:p>
        </w:tc>
        <w:tc>
          <w:tcPr>
            <w:tcW w:w="50" w:type="pct"/>
            <w:shd w:val="clear" w:color="auto" w:fill="auto"/>
            <w:vAlign w:val="bottom"/>
          </w:tcPr>
          <w:p w14:paraId="71D44B38" w14:textId="77777777" w:rsidR="006A3667" w:rsidRDefault="006A3667">
            <w:pPr>
              <w:rPr>
                <w:rFonts w:ascii="宋体"/>
              </w:rPr>
            </w:pPr>
          </w:p>
        </w:tc>
        <w:tc>
          <w:tcPr>
            <w:tcW w:w="559" w:type="pct"/>
            <w:shd w:val="clear" w:color="auto" w:fill="auto"/>
            <w:vAlign w:val="bottom"/>
          </w:tcPr>
          <w:p w14:paraId="71D44B39" w14:textId="77777777" w:rsidR="006A3667" w:rsidRDefault="006A3667">
            <w:pPr>
              <w:rPr>
                <w:rFonts w:ascii="宋体"/>
              </w:rPr>
            </w:pPr>
          </w:p>
        </w:tc>
        <w:tc>
          <w:tcPr>
            <w:tcW w:w="5" w:type="pct"/>
            <w:shd w:val="clear" w:color="auto" w:fill="auto"/>
            <w:vAlign w:val="bottom"/>
          </w:tcPr>
          <w:p w14:paraId="71D44B3A" w14:textId="77777777" w:rsidR="006A3667" w:rsidRDefault="006A3667">
            <w:pPr>
              <w:rPr>
                <w:rFonts w:ascii="宋体"/>
              </w:rPr>
            </w:pPr>
          </w:p>
        </w:tc>
      </w:tr>
      <w:tr w:rsidR="006A3667" w14:paraId="71D44B3E" w14:textId="77777777">
        <w:trPr>
          <w:jc w:val="center"/>
        </w:trPr>
        <w:tc>
          <w:tcPr>
            <w:tcW w:w="0" w:type="auto"/>
            <w:gridSpan w:val="3"/>
            <w:shd w:val="clear" w:color="auto" w:fill="auto"/>
            <w:tcMar>
              <w:top w:w="0" w:type="dxa"/>
              <w:left w:w="20" w:type="dxa"/>
              <w:bottom w:w="0" w:type="dxa"/>
              <w:right w:w="20" w:type="dxa"/>
            </w:tcMar>
            <w:vAlign w:val="bottom"/>
          </w:tcPr>
          <w:p w14:paraId="71D44B3C" w14:textId="77777777" w:rsidR="006A3667" w:rsidRDefault="006A3667">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71D44B3D" w14:textId="77777777" w:rsidR="006A3667" w:rsidRDefault="00045F32">
            <w:pPr>
              <w:jc w:val="center"/>
              <w:textAlignment w:val="bottom"/>
            </w:pPr>
            <w:r>
              <w:rPr>
                <w:rFonts w:ascii="Arial" w:eastAsia="宋体" w:hAnsi="Arial" w:cs="Arial"/>
                <w:b/>
                <w:bCs/>
                <w:color w:val="000000"/>
                <w:sz w:val="14"/>
                <w:szCs w:val="14"/>
              </w:rPr>
              <w:t>Quantitative Information about Level 3 Fair Value Measurements</w:t>
            </w:r>
          </w:p>
        </w:tc>
      </w:tr>
      <w:tr w:rsidR="006A3667" w14:paraId="71D44B49" w14:textId="77777777">
        <w:trPr>
          <w:jc w:val="center"/>
        </w:trPr>
        <w:tc>
          <w:tcPr>
            <w:tcW w:w="0" w:type="auto"/>
            <w:gridSpan w:val="3"/>
            <w:shd w:val="clear" w:color="auto" w:fill="auto"/>
            <w:tcMar>
              <w:top w:w="0" w:type="dxa"/>
              <w:left w:w="20" w:type="dxa"/>
              <w:bottom w:w="0" w:type="dxa"/>
              <w:right w:w="20" w:type="dxa"/>
            </w:tcMar>
            <w:vAlign w:val="bottom"/>
          </w:tcPr>
          <w:p w14:paraId="71D44B3F"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4B40" w14:textId="77777777" w:rsidR="006A3667" w:rsidRDefault="00045F32">
            <w:pPr>
              <w:jc w:val="center"/>
              <w:textAlignment w:val="bottom"/>
            </w:pPr>
            <w:r>
              <w:rPr>
                <w:rFonts w:ascii="Arial" w:eastAsia="宋体" w:hAnsi="Arial" w:cs="Arial"/>
                <w:b/>
                <w:bCs/>
                <w:color w:val="000000"/>
                <w:sz w:val="13"/>
                <w:szCs w:val="13"/>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4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4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4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4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45" w14:textId="77777777" w:rsidR="006A3667" w:rsidRDefault="006A3667">
            <w:pPr>
              <w:rPr>
                <w:rFonts w:ascii="宋体"/>
              </w:rPr>
            </w:pPr>
          </w:p>
        </w:tc>
        <w:tc>
          <w:tcPr>
            <w:tcW w:w="0" w:type="auto"/>
            <w:gridSpan w:val="9"/>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4B46" w14:textId="77777777" w:rsidR="006A3667" w:rsidRDefault="00045F32">
            <w:pPr>
              <w:jc w:val="center"/>
              <w:textAlignment w:val="bottom"/>
            </w:pPr>
            <w:r>
              <w:rPr>
                <w:rFonts w:ascii="Arial" w:eastAsia="宋体" w:hAnsi="Arial" w:cs="Arial"/>
                <w:b/>
                <w:bCs/>
                <w:color w:val="000000"/>
                <w:sz w:val="13"/>
                <w:szCs w:val="13"/>
              </w:rPr>
              <w:t>Range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47"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4B48" w14:textId="77777777" w:rsidR="006A3667" w:rsidRDefault="00045F32">
            <w:pPr>
              <w:jc w:val="center"/>
              <w:textAlignment w:val="bottom"/>
            </w:pPr>
            <w:r>
              <w:rPr>
                <w:rFonts w:ascii="Arial" w:eastAsia="宋体" w:hAnsi="Arial" w:cs="Arial"/>
                <w:b/>
                <w:bCs/>
                <w:color w:val="000000"/>
                <w:sz w:val="13"/>
                <w:szCs w:val="13"/>
              </w:rPr>
              <w:t>Weighted-Average</w:t>
            </w:r>
          </w:p>
        </w:tc>
      </w:tr>
      <w:tr w:rsidR="006A3667" w14:paraId="71D44B58" w14:textId="77777777">
        <w:trPr>
          <w:jc w:val="center"/>
        </w:trPr>
        <w:tc>
          <w:tcPr>
            <w:tcW w:w="0" w:type="auto"/>
            <w:gridSpan w:val="3"/>
            <w:shd w:val="clear" w:color="auto" w:fill="auto"/>
            <w:tcMar>
              <w:top w:w="40" w:type="dxa"/>
              <w:left w:w="20" w:type="dxa"/>
              <w:bottom w:w="40" w:type="dxa"/>
              <w:right w:w="20" w:type="dxa"/>
            </w:tcMar>
            <w:vAlign w:val="bottom"/>
          </w:tcPr>
          <w:p w14:paraId="71D44B4A" w14:textId="77777777" w:rsidR="006A3667" w:rsidRDefault="00045F32">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B4B" w14:textId="77777777" w:rsidR="006A3667" w:rsidRDefault="00045F32">
            <w:pPr>
              <w:jc w:val="center"/>
              <w:textAlignment w:val="bottom"/>
            </w:pPr>
            <w:r>
              <w:rPr>
                <w:rFonts w:ascii="Arial" w:eastAsia="宋体" w:hAnsi="Arial" w:cs="Arial"/>
                <w:b/>
                <w:bCs/>
                <w:color w:val="000000"/>
                <w:sz w:val="12"/>
                <w:szCs w:val="12"/>
              </w:rPr>
              <w:t>As of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4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B4D" w14:textId="77777777" w:rsidR="006A3667" w:rsidRDefault="00045F32">
            <w:pPr>
              <w:jc w:val="center"/>
              <w:textAlignment w:val="bottom"/>
            </w:pPr>
            <w:r>
              <w:rPr>
                <w:rFonts w:ascii="Arial" w:eastAsia="宋体" w:hAnsi="Arial" w:cs="Arial"/>
                <w:b/>
                <w:bCs/>
                <w:color w:val="000000"/>
                <w:sz w:val="12"/>
                <w:szCs w:val="12"/>
              </w:rPr>
              <w:t>As of December 31, 2021</w:t>
            </w:r>
          </w:p>
        </w:tc>
        <w:tc>
          <w:tcPr>
            <w:tcW w:w="0" w:type="auto"/>
            <w:gridSpan w:val="3"/>
            <w:shd w:val="clear" w:color="auto" w:fill="auto"/>
            <w:tcMar>
              <w:top w:w="0" w:type="dxa"/>
              <w:left w:w="20" w:type="dxa"/>
              <w:bottom w:w="0" w:type="dxa"/>
              <w:right w:w="20" w:type="dxa"/>
            </w:tcMar>
            <w:vAlign w:val="bottom"/>
          </w:tcPr>
          <w:p w14:paraId="71D44B4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4B4F" w14:textId="77777777" w:rsidR="006A3667" w:rsidRDefault="00045F32">
            <w:pPr>
              <w:jc w:val="center"/>
              <w:textAlignment w:val="bottom"/>
            </w:pPr>
            <w:r>
              <w:rPr>
                <w:rFonts w:ascii="Arial" w:eastAsia="宋体" w:hAnsi="Arial" w:cs="Arial"/>
                <w:b/>
                <w:bCs/>
                <w:color w:val="000000"/>
                <w:sz w:val="12"/>
                <w:szCs w:val="12"/>
              </w:rPr>
              <w:t>Valuation Technique</w:t>
            </w:r>
          </w:p>
        </w:tc>
        <w:tc>
          <w:tcPr>
            <w:tcW w:w="0" w:type="auto"/>
            <w:gridSpan w:val="3"/>
            <w:shd w:val="clear" w:color="auto" w:fill="auto"/>
            <w:tcMar>
              <w:top w:w="0" w:type="dxa"/>
              <w:left w:w="20" w:type="dxa"/>
              <w:bottom w:w="0" w:type="dxa"/>
              <w:right w:w="20" w:type="dxa"/>
            </w:tcMar>
            <w:vAlign w:val="bottom"/>
          </w:tcPr>
          <w:p w14:paraId="71D44B50"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4B51" w14:textId="77777777" w:rsidR="006A3667" w:rsidRDefault="00045F32">
            <w:pPr>
              <w:jc w:val="center"/>
              <w:textAlignment w:val="bottom"/>
            </w:pPr>
            <w:r>
              <w:rPr>
                <w:rFonts w:ascii="Arial" w:eastAsia="宋体" w:hAnsi="Arial" w:cs="Arial"/>
                <w:b/>
                <w:bCs/>
                <w:color w:val="000000"/>
                <w:sz w:val="12"/>
                <w:szCs w:val="12"/>
              </w:rPr>
              <w:t>Significant Unobservable Input</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71D44B52"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4B53" w14:textId="77777777" w:rsidR="006A3667" w:rsidRDefault="00045F32">
            <w:pPr>
              <w:jc w:val="center"/>
              <w:textAlignment w:val="bottom"/>
            </w:pPr>
            <w:r>
              <w:rPr>
                <w:rFonts w:ascii="Arial" w:eastAsia="宋体" w:hAnsi="Arial" w:cs="Arial"/>
                <w:b/>
                <w:bCs/>
                <w:color w:val="000000"/>
                <w:sz w:val="12"/>
                <w:szCs w:val="12"/>
              </w:rPr>
              <w:t>As of September 30, 2022</w:t>
            </w:r>
          </w:p>
        </w:tc>
        <w:tc>
          <w:tcPr>
            <w:tcW w:w="0" w:type="auto"/>
            <w:gridSpan w:val="3"/>
            <w:shd w:val="clear" w:color="auto" w:fill="auto"/>
            <w:tcMar>
              <w:top w:w="0" w:type="dxa"/>
              <w:left w:w="20" w:type="dxa"/>
              <w:bottom w:w="0" w:type="dxa"/>
              <w:right w:w="20" w:type="dxa"/>
            </w:tcMar>
            <w:vAlign w:val="bottom"/>
          </w:tcPr>
          <w:p w14:paraId="71D44B5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B55" w14:textId="77777777" w:rsidR="006A3667" w:rsidRDefault="00045F32">
            <w:pPr>
              <w:jc w:val="center"/>
              <w:textAlignment w:val="bottom"/>
            </w:pPr>
            <w:r>
              <w:rPr>
                <w:rFonts w:ascii="Arial" w:eastAsia="宋体" w:hAnsi="Arial" w:cs="Arial"/>
                <w:b/>
                <w:bCs/>
                <w:color w:val="000000"/>
                <w:sz w:val="12"/>
                <w:szCs w:val="12"/>
              </w:rPr>
              <w:t>As of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5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B57" w14:textId="77777777" w:rsidR="006A3667" w:rsidRDefault="00045F32">
            <w:pPr>
              <w:jc w:val="center"/>
              <w:textAlignment w:val="bottom"/>
            </w:pPr>
            <w:r>
              <w:rPr>
                <w:rFonts w:ascii="Arial" w:eastAsia="宋体" w:hAnsi="Arial" w:cs="Arial"/>
                <w:b/>
                <w:bCs/>
                <w:color w:val="000000"/>
                <w:sz w:val="12"/>
                <w:szCs w:val="12"/>
              </w:rPr>
              <w:t>As of December 31, 2021</w:t>
            </w:r>
          </w:p>
        </w:tc>
      </w:tr>
      <w:tr w:rsidR="006A3667" w14:paraId="71D44B69" w14:textId="77777777">
        <w:trPr>
          <w:jc w:val="center"/>
        </w:trPr>
        <w:tc>
          <w:tcPr>
            <w:tcW w:w="0" w:type="auto"/>
            <w:gridSpan w:val="3"/>
            <w:shd w:val="clear" w:color="auto" w:fill="auto"/>
            <w:tcMar>
              <w:top w:w="40" w:type="dxa"/>
              <w:left w:w="20" w:type="dxa"/>
              <w:bottom w:w="40" w:type="dxa"/>
              <w:right w:w="20" w:type="dxa"/>
            </w:tcMar>
            <w:vAlign w:val="bottom"/>
          </w:tcPr>
          <w:p w14:paraId="71D44B59" w14:textId="77777777" w:rsidR="006A3667" w:rsidRDefault="00045F32">
            <w:pPr>
              <w:textAlignment w:val="bottom"/>
            </w:pPr>
            <w:r>
              <w:rPr>
                <w:rFonts w:ascii="Arial" w:eastAsia="宋体" w:hAnsi="Arial" w:cs="Arial"/>
                <w:b/>
                <w:bCs/>
                <w:color w:val="000000"/>
                <w:sz w:val="13"/>
                <w:szCs w:val="13"/>
              </w:rPr>
              <w:t>Significant unobservable inputs readily available to 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5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5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B5C" w14:textId="77777777" w:rsidR="006A3667" w:rsidRDefault="00045F32">
            <w:pPr>
              <w:textAlignment w:val="bottom"/>
            </w:pPr>
            <w:r>
              <w:rPr>
                <w:rFonts w:ascii="Arial" w:eastAsia="宋体" w:hAnsi="Arial" w:cs="Arial"/>
                <w:b/>
                <w:bCs/>
                <w:color w:val="000000"/>
                <w:sz w:val="13"/>
                <w:szCs w:val="13"/>
              </w:rPr>
              <w:t> </w:t>
            </w:r>
          </w:p>
        </w:tc>
        <w:tc>
          <w:tcPr>
            <w:tcW w:w="0" w:type="auto"/>
            <w:gridSpan w:val="3"/>
            <w:shd w:val="clear" w:color="auto" w:fill="auto"/>
            <w:tcMar>
              <w:top w:w="0" w:type="dxa"/>
              <w:left w:w="20" w:type="dxa"/>
              <w:bottom w:w="0" w:type="dxa"/>
              <w:right w:w="20" w:type="dxa"/>
            </w:tcMar>
            <w:vAlign w:val="bottom"/>
          </w:tcPr>
          <w:p w14:paraId="71D44B5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5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5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6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6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6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6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6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6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6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6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B68" w14:textId="77777777" w:rsidR="006A3667" w:rsidRDefault="006A3667">
            <w:pPr>
              <w:rPr>
                <w:rFonts w:ascii="宋体"/>
              </w:rPr>
            </w:pPr>
          </w:p>
        </w:tc>
      </w:tr>
      <w:tr w:rsidR="006A3667" w14:paraId="71D44B7A" w14:textId="77777777">
        <w:trPr>
          <w:jc w:val="center"/>
        </w:trPr>
        <w:tc>
          <w:tcPr>
            <w:tcW w:w="0" w:type="auto"/>
            <w:gridSpan w:val="3"/>
            <w:shd w:val="clear" w:color="auto" w:fill="auto"/>
            <w:tcMar>
              <w:top w:w="40" w:type="dxa"/>
              <w:left w:w="20" w:type="dxa"/>
              <w:bottom w:w="40" w:type="dxa"/>
              <w:right w:w="20" w:type="dxa"/>
            </w:tcMar>
            <w:vAlign w:val="bottom"/>
          </w:tcPr>
          <w:p w14:paraId="71D44B6A" w14:textId="77777777" w:rsidR="006A3667" w:rsidRDefault="00045F32">
            <w:pPr>
              <w:textAlignment w:val="bottom"/>
            </w:pPr>
            <w:r>
              <w:rPr>
                <w:rFonts w:ascii="Arial" w:eastAsia="宋体" w:hAnsi="Arial" w:cs="Arial"/>
                <w:b/>
                <w:bCs/>
                <w:color w:val="000000"/>
                <w:sz w:val="13"/>
                <w:szCs w:val="13"/>
              </w:rPr>
              <w:t>Asse</w:t>
            </w:r>
            <w:r>
              <w:rPr>
                <w:rFonts w:ascii="Arial" w:eastAsia="宋体" w:hAnsi="Arial" w:cs="Arial"/>
                <w:b/>
                <w:bCs/>
                <w:color w:val="000000"/>
                <w:sz w:val="13"/>
                <w:szCs w:val="13"/>
              </w:rPr>
              <w:t>ts:</w:t>
            </w:r>
          </w:p>
        </w:tc>
        <w:tc>
          <w:tcPr>
            <w:tcW w:w="0" w:type="auto"/>
            <w:gridSpan w:val="3"/>
            <w:shd w:val="clear" w:color="auto" w:fill="auto"/>
            <w:tcMar>
              <w:top w:w="0" w:type="dxa"/>
              <w:left w:w="20" w:type="dxa"/>
              <w:bottom w:w="0" w:type="dxa"/>
              <w:right w:w="20" w:type="dxa"/>
            </w:tcMar>
            <w:vAlign w:val="bottom"/>
          </w:tcPr>
          <w:p w14:paraId="71D44B6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6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6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79" w14:textId="77777777" w:rsidR="006A3667" w:rsidRDefault="006A3667">
            <w:pPr>
              <w:rPr>
                <w:rFonts w:ascii="宋体"/>
              </w:rPr>
            </w:pPr>
          </w:p>
        </w:tc>
      </w:tr>
      <w:tr w:rsidR="006A3667" w14:paraId="71D44B92" w14:textId="77777777">
        <w:trPr>
          <w:jc w:val="center"/>
        </w:trPr>
        <w:tc>
          <w:tcPr>
            <w:tcW w:w="0" w:type="auto"/>
            <w:gridSpan w:val="3"/>
            <w:shd w:val="clear" w:color="auto" w:fill="CCEEFF"/>
            <w:tcMar>
              <w:top w:w="40" w:type="dxa"/>
              <w:left w:w="20" w:type="dxa"/>
              <w:bottom w:w="40" w:type="dxa"/>
              <w:right w:w="20" w:type="dxa"/>
            </w:tcMar>
            <w:vAlign w:val="bottom"/>
          </w:tcPr>
          <w:p w14:paraId="71D44B7B" w14:textId="77777777" w:rsidR="006A3667" w:rsidRDefault="00045F32">
            <w:pPr>
              <w:textAlignment w:val="bottom"/>
            </w:pPr>
            <w:r>
              <w:rPr>
                <w:rFonts w:ascii="Arial" w:eastAsia="宋体" w:hAnsi="Arial" w:cs="Arial"/>
                <w:color w:val="000000"/>
                <w:sz w:val="13"/>
                <w:szCs w:val="13"/>
              </w:rPr>
              <w:t>Derivative Instruments, foreign exchange contracts</w:t>
            </w:r>
          </w:p>
        </w:tc>
        <w:tc>
          <w:tcPr>
            <w:tcW w:w="0" w:type="auto"/>
            <w:shd w:val="clear" w:color="auto" w:fill="CCEEFF"/>
            <w:tcMar>
              <w:top w:w="40" w:type="dxa"/>
              <w:left w:w="20" w:type="dxa"/>
              <w:bottom w:w="40" w:type="dxa"/>
              <w:right w:w="0" w:type="dxa"/>
            </w:tcMar>
            <w:vAlign w:val="bottom"/>
          </w:tcPr>
          <w:p w14:paraId="71D44B7C"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4B7D" w14:textId="77777777" w:rsidR="006A3667" w:rsidRDefault="00045F32">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B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B7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B80"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B81"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B8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B83"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4B84" w14:textId="77777777" w:rsidR="006A3667" w:rsidRDefault="00045F32">
            <w:pPr>
              <w:textAlignment w:val="bottom"/>
            </w:pPr>
            <w:r>
              <w:rPr>
                <w:rFonts w:ascii="Arial" w:eastAsia="宋体" w:hAnsi="Arial" w:cs="Arial"/>
                <w:color w:val="000000"/>
                <w:sz w:val="13"/>
                <w:szCs w:val="13"/>
              </w:rPr>
              <w:t>Option model</w:t>
            </w:r>
          </w:p>
        </w:tc>
        <w:tc>
          <w:tcPr>
            <w:tcW w:w="0" w:type="auto"/>
            <w:gridSpan w:val="3"/>
            <w:shd w:val="clear" w:color="auto" w:fill="CCEEFF"/>
            <w:tcMar>
              <w:top w:w="0" w:type="dxa"/>
              <w:left w:w="20" w:type="dxa"/>
              <w:bottom w:w="0" w:type="dxa"/>
              <w:right w:w="20" w:type="dxa"/>
            </w:tcMar>
            <w:vAlign w:val="bottom"/>
          </w:tcPr>
          <w:p w14:paraId="71D44B85"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4B86" w14:textId="77777777" w:rsidR="006A3667" w:rsidRDefault="00045F32">
            <w:pPr>
              <w:textAlignment w:val="bottom"/>
            </w:pPr>
            <w:r>
              <w:rPr>
                <w:rFonts w:ascii="Arial" w:eastAsia="宋体" w:hAnsi="Arial" w:cs="Arial"/>
                <w:color w:val="000000"/>
                <w:sz w:val="13"/>
                <w:szCs w:val="13"/>
              </w:rPr>
              <w:t>Volatility</w:t>
            </w:r>
          </w:p>
        </w:tc>
        <w:tc>
          <w:tcPr>
            <w:tcW w:w="0" w:type="auto"/>
            <w:gridSpan w:val="3"/>
            <w:shd w:val="clear" w:color="auto" w:fill="CCEEFF"/>
            <w:tcMar>
              <w:top w:w="0" w:type="dxa"/>
              <w:left w:w="20" w:type="dxa"/>
              <w:bottom w:w="0" w:type="dxa"/>
              <w:right w:w="20" w:type="dxa"/>
            </w:tcMar>
            <w:vAlign w:val="bottom"/>
          </w:tcPr>
          <w:p w14:paraId="71D44B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B88" w14:textId="77777777" w:rsidR="006A3667" w:rsidRDefault="00045F32">
            <w:pPr>
              <w:jc w:val="right"/>
              <w:textAlignment w:val="bottom"/>
            </w:pPr>
            <w:r>
              <w:rPr>
                <w:rFonts w:ascii="Arial" w:eastAsia="宋体" w:hAnsi="Arial" w:cs="Arial"/>
                <w:b/>
                <w:bCs/>
                <w:color w:val="000000"/>
                <w:sz w:val="13"/>
                <w:szCs w:val="13"/>
              </w:rPr>
              <w:t>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B89" w14:textId="77777777" w:rsidR="006A3667" w:rsidRDefault="00045F32">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71D44B8A" w14:textId="77777777" w:rsidR="006A3667" w:rsidRDefault="00045F32">
            <w:pPr>
              <w:jc w:val="center"/>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71D44B8B" w14:textId="77777777" w:rsidR="006A3667" w:rsidRDefault="00045F32">
            <w:pPr>
              <w:textAlignment w:val="bottom"/>
            </w:pPr>
            <w:r>
              <w:rPr>
                <w:rFonts w:ascii="Arial" w:eastAsia="宋体" w:hAnsi="Arial" w:cs="Arial"/>
                <w:b/>
                <w:bCs/>
                <w:color w:val="000000"/>
                <w:sz w:val="13"/>
                <w:szCs w:val="13"/>
              </w:rPr>
              <w:t>24.1%</w:t>
            </w:r>
          </w:p>
        </w:tc>
        <w:tc>
          <w:tcPr>
            <w:tcW w:w="0" w:type="auto"/>
            <w:gridSpan w:val="3"/>
            <w:shd w:val="clear" w:color="auto" w:fill="CCEEFF"/>
            <w:tcMar>
              <w:top w:w="0" w:type="dxa"/>
              <w:left w:w="20" w:type="dxa"/>
              <w:bottom w:w="0" w:type="dxa"/>
              <w:right w:w="20" w:type="dxa"/>
            </w:tcMar>
            <w:vAlign w:val="bottom"/>
          </w:tcPr>
          <w:p w14:paraId="71D44B8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B8D" w14:textId="77777777" w:rsidR="006A3667" w:rsidRDefault="00045F32">
            <w:pPr>
              <w:jc w:val="right"/>
              <w:textAlignment w:val="bottom"/>
            </w:pPr>
            <w:r>
              <w:rPr>
                <w:rFonts w:ascii="Arial" w:eastAsia="宋体" w:hAnsi="Arial" w:cs="Arial"/>
                <w:b/>
                <w:bCs/>
                <w:color w:val="000000"/>
                <w:sz w:val="13"/>
                <w:szCs w:val="13"/>
              </w:rPr>
              <w:t>8.5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B8E" w14:textId="77777777" w:rsidR="006A3667" w:rsidRDefault="00045F32">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71D44B8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B90" w14:textId="77777777" w:rsidR="006A3667" w:rsidRDefault="00045F32">
            <w:pPr>
              <w:jc w:val="right"/>
              <w:textAlignment w:val="bottom"/>
            </w:pPr>
            <w:r>
              <w:rPr>
                <w:rFonts w:ascii="Arial" w:eastAsia="宋体" w:hAnsi="Arial" w:cs="Arial"/>
                <w:color w:val="000000"/>
                <w:sz w:val="13"/>
                <w:szCs w:val="13"/>
              </w:rPr>
              <w:t>15.2 </w:t>
            </w:r>
          </w:p>
        </w:tc>
        <w:tc>
          <w:tcPr>
            <w:tcW w:w="0" w:type="auto"/>
            <w:shd w:val="clear" w:color="auto" w:fill="CCEEFF"/>
            <w:tcMar>
              <w:top w:w="40" w:type="dxa"/>
              <w:left w:w="0" w:type="dxa"/>
              <w:bottom w:w="40" w:type="dxa"/>
              <w:right w:w="20" w:type="dxa"/>
            </w:tcMar>
            <w:vAlign w:val="bottom"/>
          </w:tcPr>
          <w:p w14:paraId="71D44B91" w14:textId="77777777" w:rsidR="006A3667" w:rsidRDefault="00045F32">
            <w:pPr>
              <w:jc w:val="right"/>
              <w:textAlignment w:val="bottom"/>
            </w:pPr>
            <w:r>
              <w:rPr>
                <w:rFonts w:ascii="Arial" w:eastAsia="宋体" w:hAnsi="Arial" w:cs="Arial"/>
                <w:color w:val="000000"/>
                <w:sz w:val="13"/>
                <w:szCs w:val="13"/>
              </w:rPr>
              <w:t>%</w:t>
            </w:r>
          </w:p>
        </w:tc>
      </w:tr>
      <w:tr w:rsidR="006A3667" w14:paraId="71D44BA7" w14:textId="77777777">
        <w:trPr>
          <w:jc w:val="center"/>
        </w:trPr>
        <w:tc>
          <w:tcPr>
            <w:tcW w:w="0" w:type="auto"/>
            <w:gridSpan w:val="3"/>
            <w:shd w:val="clear" w:color="auto" w:fill="FFFFFF"/>
            <w:tcMar>
              <w:top w:w="40" w:type="dxa"/>
              <w:left w:w="155" w:type="dxa"/>
              <w:bottom w:w="40" w:type="dxa"/>
              <w:right w:w="20" w:type="dxa"/>
            </w:tcMar>
            <w:vAlign w:val="bottom"/>
          </w:tcPr>
          <w:p w14:paraId="71D44B93" w14:textId="77777777" w:rsidR="006A3667" w:rsidRDefault="00045F32">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4B94"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4B95" w14:textId="77777777" w:rsidR="006A3667" w:rsidRDefault="00045F32">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4B9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B97"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4B98"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4B99" w14:textId="77777777" w:rsidR="006A3667" w:rsidRDefault="00045F32">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4B9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B9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9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9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9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A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A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A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A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A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A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BA6" w14:textId="77777777" w:rsidR="006A3667" w:rsidRDefault="006A3667">
            <w:pPr>
              <w:rPr>
                <w:rFonts w:ascii="宋体"/>
              </w:rPr>
            </w:pPr>
          </w:p>
        </w:tc>
      </w:tr>
      <w:tr w:rsidR="006A3667" w14:paraId="71D44BB8" w14:textId="77777777">
        <w:trPr>
          <w:jc w:val="center"/>
        </w:trPr>
        <w:tc>
          <w:tcPr>
            <w:tcW w:w="0" w:type="auto"/>
            <w:gridSpan w:val="3"/>
            <w:shd w:val="clear" w:color="auto" w:fill="CCEEFF"/>
            <w:tcMar>
              <w:top w:w="40" w:type="dxa"/>
              <w:left w:w="20" w:type="dxa"/>
              <w:bottom w:w="40" w:type="dxa"/>
              <w:right w:w="20" w:type="dxa"/>
            </w:tcMar>
            <w:vAlign w:val="bottom"/>
          </w:tcPr>
          <w:p w14:paraId="71D44BA8" w14:textId="77777777" w:rsidR="006A3667" w:rsidRDefault="00045F32">
            <w:pPr>
              <w:textAlignment w:val="bottom"/>
            </w:pPr>
            <w:r>
              <w:rPr>
                <w:rFonts w:ascii="Arial" w:eastAsia="宋体" w:hAnsi="Arial" w:cs="Arial"/>
                <w:b/>
                <w:bCs/>
                <w:color w:val="000000"/>
                <w:sz w:val="13"/>
                <w:szCs w:val="13"/>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4BA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AA"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4BA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A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A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A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A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B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B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B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B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B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B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B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B7" w14:textId="77777777" w:rsidR="006A3667" w:rsidRDefault="006A3667">
            <w:pPr>
              <w:rPr>
                <w:rFonts w:ascii="宋体"/>
              </w:rPr>
            </w:pPr>
          </w:p>
        </w:tc>
      </w:tr>
      <w:tr w:rsidR="006A3667" w14:paraId="71D44BD0" w14:textId="77777777">
        <w:trPr>
          <w:jc w:val="center"/>
        </w:trPr>
        <w:tc>
          <w:tcPr>
            <w:tcW w:w="0" w:type="auto"/>
            <w:gridSpan w:val="3"/>
            <w:shd w:val="clear" w:color="auto" w:fill="FFFFFF"/>
            <w:tcMar>
              <w:top w:w="40" w:type="dxa"/>
              <w:left w:w="20" w:type="dxa"/>
              <w:bottom w:w="40" w:type="dxa"/>
              <w:right w:w="20" w:type="dxa"/>
            </w:tcMar>
            <w:vAlign w:val="bottom"/>
          </w:tcPr>
          <w:p w14:paraId="71D44BB9" w14:textId="77777777" w:rsidR="006A3667" w:rsidRDefault="00045F32">
            <w:pPr>
              <w:textAlignment w:val="bottom"/>
            </w:pPr>
            <w:r>
              <w:rPr>
                <w:rFonts w:ascii="Arial" w:eastAsia="宋体" w:hAnsi="Arial" w:cs="Arial"/>
                <w:color w:val="000000"/>
                <w:sz w:val="13"/>
                <w:szCs w:val="13"/>
              </w:rPr>
              <w:t>Derivative instruments, foreign exchange contracts</w:t>
            </w:r>
          </w:p>
        </w:tc>
        <w:tc>
          <w:tcPr>
            <w:tcW w:w="0" w:type="auto"/>
            <w:shd w:val="clear" w:color="auto" w:fill="auto"/>
            <w:tcMar>
              <w:top w:w="40" w:type="dxa"/>
              <w:left w:w="20" w:type="dxa"/>
              <w:bottom w:w="40" w:type="dxa"/>
              <w:right w:w="0" w:type="dxa"/>
            </w:tcMar>
            <w:vAlign w:val="bottom"/>
          </w:tcPr>
          <w:p w14:paraId="71D44BBA"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auto"/>
            <w:tcMar>
              <w:top w:w="40" w:type="dxa"/>
              <w:left w:w="0" w:type="dxa"/>
              <w:bottom w:w="40" w:type="dxa"/>
              <w:right w:w="0" w:type="dxa"/>
            </w:tcMar>
            <w:vAlign w:val="bottom"/>
          </w:tcPr>
          <w:p w14:paraId="71D44BBB" w14:textId="77777777" w:rsidR="006A3667" w:rsidRDefault="00045F32">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71D44BB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BBD"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4BBE" w14:textId="77777777" w:rsidR="006A3667" w:rsidRDefault="00045F32">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1D44BBF"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BC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BC1"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4BC2" w14:textId="77777777" w:rsidR="006A3667" w:rsidRDefault="00045F32">
            <w:pPr>
              <w:textAlignment w:val="bottom"/>
            </w:pPr>
            <w:r>
              <w:rPr>
                <w:rFonts w:ascii="Arial" w:eastAsia="宋体" w:hAnsi="Arial" w:cs="Arial"/>
                <w:color w:val="000000"/>
                <w:sz w:val="13"/>
                <w:szCs w:val="13"/>
              </w:rPr>
              <w:t>Option model</w:t>
            </w:r>
          </w:p>
        </w:tc>
        <w:tc>
          <w:tcPr>
            <w:tcW w:w="0" w:type="auto"/>
            <w:gridSpan w:val="3"/>
            <w:shd w:val="clear" w:color="auto" w:fill="FFFFFF"/>
            <w:tcMar>
              <w:top w:w="0" w:type="dxa"/>
              <w:left w:w="20" w:type="dxa"/>
              <w:bottom w:w="0" w:type="dxa"/>
              <w:right w:w="20" w:type="dxa"/>
            </w:tcMar>
            <w:vAlign w:val="bottom"/>
          </w:tcPr>
          <w:p w14:paraId="71D44BC3"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4BC4" w14:textId="77777777" w:rsidR="006A3667" w:rsidRDefault="00045F32">
            <w:pPr>
              <w:textAlignment w:val="bottom"/>
            </w:pPr>
            <w:r>
              <w:rPr>
                <w:rFonts w:ascii="Arial" w:eastAsia="宋体" w:hAnsi="Arial" w:cs="Arial"/>
                <w:color w:val="000000"/>
                <w:sz w:val="13"/>
                <w:szCs w:val="13"/>
              </w:rPr>
              <w:t>Volatility</w:t>
            </w:r>
          </w:p>
        </w:tc>
        <w:tc>
          <w:tcPr>
            <w:tcW w:w="0" w:type="auto"/>
            <w:gridSpan w:val="3"/>
            <w:shd w:val="clear" w:color="auto" w:fill="FFFFFF"/>
            <w:tcMar>
              <w:top w:w="0" w:type="dxa"/>
              <w:left w:w="20" w:type="dxa"/>
              <w:bottom w:w="0" w:type="dxa"/>
              <w:right w:w="20" w:type="dxa"/>
            </w:tcMar>
            <w:vAlign w:val="bottom"/>
          </w:tcPr>
          <w:p w14:paraId="71D44B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BC6" w14:textId="77777777" w:rsidR="006A3667" w:rsidRDefault="00045F32">
            <w:pPr>
              <w:jc w:val="right"/>
              <w:textAlignment w:val="bottom"/>
            </w:pPr>
            <w:r>
              <w:rPr>
                <w:rFonts w:ascii="Arial" w:eastAsia="宋体" w:hAnsi="Arial" w:cs="Arial"/>
                <w:b/>
                <w:bCs/>
                <w:color w:val="000000"/>
                <w:sz w:val="13"/>
                <w:szCs w:val="13"/>
              </w:rPr>
              <w:t>7.6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BC7" w14:textId="77777777" w:rsidR="006A3667" w:rsidRDefault="00045F32">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71D44BC8" w14:textId="77777777" w:rsidR="006A3667" w:rsidRDefault="00045F32">
            <w:pPr>
              <w:jc w:val="center"/>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71D44BC9" w14:textId="77777777" w:rsidR="006A3667" w:rsidRDefault="00045F32">
            <w:pPr>
              <w:textAlignment w:val="bottom"/>
            </w:pPr>
            <w:r>
              <w:rPr>
                <w:rFonts w:ascii="Arial" w:eastAsia="宋体" w:hAnsi="Arial" w:cs="Arial"/>
                <w:b/>
                <w:bCs/>
                <w:color w:val="000000"/>
                <w:sz w:val="13"/>
                <w:szCs w:val="13"/>
              </w:rPr>
              <w:t>23.9%</w:t>
            </w:r>
          </w:p>
        </w:tc>
        <w:tc>
          <w:tcPr>
            <w:tcW w:w="0" w:type="auto"/>
            <w:gridSpan w:val="3"/>
            <w:shd w:val="clear" w:color="auto" w:fill="FFFFFF"/>
            <w:tcMar>
              <w:top w:w="0" w:type="dxa"/>
              <w:left w:w="20" w:type="dxa"/>
              <w:bottom w:w="0" w:type="dxa"/>
              <w:right w:w="20" w:type="dxa"/>
            </w:tcMar>
            <w:vAlign w:val="bottom"/>
          </w:tcPr>
          <w:p w14:paraId="71D44BC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BCB" w14:textId="77777777" w:rsidR="006A3667" w:rsidRDefault="00045F32">
            <w:pPr>
              <w:jc w:val="right"/>
              <w:textAlignment w:val="bottom"/>
            </w:pPr>
            <w:r>
              <w:rPr>
                <w:rFonts w:ascii="Arial" w:eastAsia="宋体" w:hAnsi="Arial" w:cs="Arial"/>
                <w:b/>
                <w:bCs/>
                <w:color w:val="000000"/>
                <w:sz w:val="13"/>
                <w:szCs w:val="13"/>
              </w:rPr>
              <w:t>8.4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BCC" w14:textId="77777777" w:rsidR="006A3667" w:rsidRDefault="00045F32">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0" w:type="dxa"/>
              <w:left w:w="20" w:type="dxa"/>
              <w:bottom w:w="0" w:type="dxa"/>
              <w:right w:w="20" w:type="dxa"/>
            </w:tcMar>
            <w:vAlign w:val="bottom"/>
          </w:tcPr>
          <w:p w14:paraId="71D44BC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BCE" w14:textId="77777777" w:rsidR="006A3667" w:rsidRDefault="00045F32">
            <w:pPr>
              <w:jc w:val="right"/>
              <w:textAlignment w:val="bottom"/>
            </w:pPr>
            <w:r>
              <w:rPr>
                <w:rFonts w:ascii="Arial" w:eastAsia="宋体" w:hAnsi="Arial" w:cs="Arial"/>
                <w:color w:val="000000"/>
                <w:sz w:val="13"/>
                <w:szCs w:val="13"/>
              </w:rPr>
              <w:t>14.7 </w:t>
            </w:r>
          </w:p>
        </w:tc>
        <w:tc>
          <w:tcPr>
            <w:tcW w:w="0" w:type="auto"/>
            <w:shd w:val="clear" w:color="auto" w:fill="FFFFFF"/>
            <w:tcMar>
              <w:top w:w="40" w:type="dxa"/>
              <w:left w:w="0" w:type="dxa"/>
              <w:bottom w:w="40" w:type="dxa"/>
              <w:right w:w="20" w:type="dxa"/>
            </w:tcMar>
            <w:vAlign w:val="bottom"/>
          </w:tcPr>
          <w:p w14:paraId="71D44BCF" w14:textId="77777777" w:rsidR="006A3667" w:rsidRDefault="00045F32">
            <w:pPr>
              <w:jc w:val="right"/>
              <w:textAlignment w:val="bottom"/>
            </w:pPr>
            <w:r>
              <w:rPr>
                <w:rFonts w:ascii="Arial" w:eastAsia="宋体" w:hAnsi="Arial" w:cs="Arial"/>
                <w:color w:val="000000"/>
                <w:sz w:val="13"/>
                <w:szCs w:val="13"/>
              </w:rPr>
              <w:t>%</w:t>
            </w:r>
          </w:p>
        </w:tc>
      </w:tr>
      <w:tr w:rsidR="006A3667" w14:paraId="71D44BE5" w14:textId="77777777">
        <w:trPr>
          <w:jc w:val="center"/>
        </w:trPr>
        <w:tc>
          <w:tcPr>
            <w:tcW w:w="0" w:type="auto"/>
            <w:gridSpan w:val="3"/>
            <w:shd w:val="clear" w:color="auto" w:fill="CCEEFF"/>
            <w:tcMar>
              <w:top w:w="40" w:type="dxa"/>
              <w:left w:w="155" w:type="dxa"/>
              <w:bottom w:w="40" w:type="dxa"/>
              <w:right w:w="20" w:type="dxa"/>
            </w:tcMar>
            <w:vAlign w:val="bottom"/>
          </w:tcPr>
          <w:p w14:paraId="71D44BD1" w14:textId="77777777" w:rsidR="006A3667" w:rsidRDefault="00045F32">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4BD2"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4BD3" w14:textId="77777777" w:rsidR="006A3667" w:rsidRDefault="00045F32">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4B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BD5"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4BD6"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4BD7" w14:textId="77777777" w:rsidR="006A3667" w:rsidRDefault="00045F32">
            <w:pPr>
              <w:jc w:val="right"/>
              <w:textAlignment w:val="bottom"/>
            </w:pP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4B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BD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D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D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D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D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D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D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E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E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E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E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BE4" w14:textId="77777777" w:rsidR="006A3667" w:rsidRDefault="006A3667">
            <w:pPr>
              <w:rPr>
                <w:rFonts w:ascii="宋体"/>
              </w:rPr>
            </w:pPr>
          </w:p>
        </w:tc>
      </w:tr>
    </w:tbl>
    <w:p w14:paraId="71D44BE6" w14:textId="77777777" w:rsidR="006A3667" w:rsidRDefault="006A3667">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6A3667" w14:paraId="71D44BF3" w14:textId="77777777">
        <w:trPr>
          <w:jc w:val="center"/>
        </w:trPr>
        <w:tc>
          <w:tcPr>
            <w:tcW w:w="50" w:type="pct"/>
            <w:shd w:val="clear" w:color="auto" w:fill="auto"/>
            <w:vAlign w:val="bottom"/>
          </w:tcPr>
          <w:p w14:paraId="71D44BE7" w14:textId="77777777" w:rsidR="006A3667" w:rsidRDefault="006A3667">
            <w:pPr>
              <w:rPr>
                <w:rFonts w:ascii="宋体"/>
              </w:rPr>
            </w:pPr>
          </w:p>
        </w:tc>
        <w:tc>
          <w:tcPr>
            <w:tcW w:w="1348" w:type="pct"/>
            <w:shd w:val="clear" w:color="auto" w:fill="auto"/>
            <w:vAlign w:val="bottom"/>
          </w:tcPr>
          <w:p w14:paraId="71D44BE8" w14:textId="77777777" w:rsidR="006A3667" w:rsidRDefault="006A3667">
            <w:pPr>
              <w:rPr>
                <w:rFonts w:ascii="宋体"/>
              </w:rPr>
            </w:pPr>
          </w:p>
        </w:tc>
        <w:tc>
          <w:tcPr>
            <w:tcW w:w="5" w:type="pct"/>
            <w:shd w:val="clear" w:color="auto" w:fill="auto"/>
            <w:vAlign w:val="bottom"/>
          </w:tcPr>
          <w:p w14:paraId="71D44BE9" w14:textId="77777777" w:rsidR="006A3667" w:rsidRDefault="006A3667">
            <w:pPr>
              <w:rPr>
                <w:rFonts w:ascii="宋体"/>
              </w:rPr>
            </w:pPr>
          </w:p>
        </w:tc>
        <w:tc>
          <w:tcPr>
            <w:tcW w:w="50" w:type="pct"/>
            <w:shd w:val="clear" w:color="auto" w:fill="auto"/>
            <w:vAlign w:val="bottom"/>
          </w:tcPr>
          <w:p w14:paraId="71D44BEA" w14:textId="77777777" w:rsidR="006A3667" w:rsidRDefault="006A3667">
            <w:pPr>
              <w:rPr>
                <w:rFonts w:ascii="宋体"/>
              </w:rPr>
            </w:pPr>
          </w:p>
        </w:tc>
        <w:tc>
          <w:tcPr>
            <w:tcW w:w="668" w:type="pct"/>
            <w:shd w:val="clear" w:color="auto" w:fill="auto"/>
            <w:vAlign w:val="bottom"/>
          </w:tcPr>
          <w:p w14:paraId="71D44BEB" w14:textId="77777777" w:rsidR="006A3667" w:rsidRDefault="006A3667">
            <w:pPr>
              <w:rPr>
                <w:rFonts w:ascii="宋体"/>
              </w:rPr>
            </w:pPr>
          </w:p>
        </w:tc>
        <w:tc>
          <w:tcPr>
            <w:tcW w:w="5" w:type="pct"/>
            <w:shd w:val="clear" w:color="auto" w:fill="auto"/>
            <w:vAlign w:val="bottom"/>
          </w:tcPr>
          <w:p w14:paraId="71D44BEC" w14:textId="77777777" w:rsidR="006A3667" w:rsidRDefault="006A3667">
            <w:pPr>
              <w:rPr>
                <w:rFonts w:ascii="宋体"/>
              </w:rPr>
            </w:pPr>
          </w:p>
        </w:tc>
        <w:tc>
          <w:tcPr>
            <w:tcW w:w="50" w:type="pct"/>
            <w:shd w:val="clear" w:color="auto" w:fill="auto"/>
            <w:vAlign w:val="bottom"/>
          </w:tcPr>
          <w:p w14:paraId="71D44BED" w14:textId="77777777" w:rsidR="006A3667" w:rsidRDefault="006A3667">
            <w:pPr>
              <w:rPr>
                <w:rFonts w:ascii="宋体"/>
              </w:rPr>
            </w:pPr>
          </w:p>
        </w:tc>
        <w:tc>
          <w:tcPr>
            <w:tcW w:w="909" w:type="pct"/>
            <w:shd w:val="clear" w:color="auto" w:fill="auto"/>
            <w:vAlign w:val="bottom"/>
          </w:tcPr>
          <w:p w14:paraId="71D44BEE" w14:textId="77777777" w:rsidR="006A3667" w:rsidRDefault="006A3667">
            <w:pPr>
              <w:rPr>
                <w:rFonts w:ascii="宋体"/>
              </w:rPr>
            </w:pPr>
          </w:p>
        </w:tc>
        <w:tc>
          <w:tcPr>
            <w:tcW w:w="5" w:type="pct"/>
            <w:shd w:val="clear" w:color="auto" w:fill="auto"/>
            <w:vAlign w:val="bottom"/>
          </w:tcPr>
          <w:p w14:paraId="71D44BEF" w14:textId="77777777" w:rsidR="006A3667" w:rsidRDefault="006A3667">
            <w:pPr>
              <w:rPr>
                <w:rFonts w:ascii="宋体"/>
              </w:rPr>
            </w:pPr>
          </w:p>
        </w:tc>
        <w:tc>
          <w:tcPr>
            <w:tcW w:w="50" w:type="pct"/>
            <w:shd w:val="clear" w:color="auto" w:fill="auto"/>
            <w:vAlign w:val="bottom"/>
          </w:tcPr>
          <w:p w14:paraId="71D44BF0" w14:textId="77777777" w:rsidR="006A3667" w:rsidRDefault="006A3667">
            <w:pPr>
              <w:rPr>
                <w:rFonts w:ascii="宋体"/>
              </w:rPr>
            </w:pPr>
          </w:p>
        </w:tc>
        <w:tc>
          <w:tcPr>
            <w:tcW w:w="1852" w:type="pct"/>
            <w:shd w:val="clear" w:color="auto" w:fill="auto"/>
            <w:vAlign w:val="bottom"/>
          </w:tcPr>
          <w:p w14:paraId="71D44BF1" w14:textId="77777777" w:rsidR="006A3667" w:rsidRDefault="006A3667">
            <w:pPr>
              <w:rPr>
                <w:rFonts w:ascii="宋体"/>
              </w:rPr>
            </w:pPr>
          </w:p>
        </w:tc>
        <w:tc>
          <w:tcPr>
            <w:tcW w:w="5" w:type="pct"/>
            <w:shd w:val="clear" w:color="auto" w:fill="auto"/>
            <w:vAlign w:val="bottom"/>
          </w:tcPr>
          <w:p w14:paraId="71D44BF2" w14:textId="77777777" w:rsidR="006A3667" w:rsidRDefault="006A3667">
            <w:pPr>
              <w:rPr>
                <w:rFonts w:ascii="宋体"/>
              </w:rPr>
            </w:pPr>
          </w:p>
        </w:tc>
      </w:tr>
      <w:tr w:rsidR="006A3667" w14:paraId="71D44BF8"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4BF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F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F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BF7" w14:textId="77777777" w:rsidR="006A3667" w:rsidRDefault="006A3667">
            <w:pPr>
              <w:rPr>
                <w:rFonts w:ascii="宋体"/>
              </w:rPr>
            </w:pPr>
          </w:p>
        </w:tc>
      </w:tr>
    </w:tbl>
    <w:p w14:paraId="71D44BF9" w14:textId="77777777" w:rsidR="006A3667" w:rsidRDefault="00045F32">
      <w:pPr>
        <w:spacing w:before="60"/>
      </w:pPr>
      <w:r>
        <w:rPr>
          <w:rFonts w:ascii="Arial" w:eastAsia="宋体" w:hAnsi="Arial" w:cs="Arial"/>
          <w:color w:val="000000"/>
          <w:sz w:val="8"/>
          <w:szCs w:val="8"/>
        </w:rPr>
        <w:t xml:space="preserve">(1) </w:t>
      </w:r>
      <w:r>
        <w:rPr>
          <w:rFonts w:ascii="Arial" w:eastAsia="宋体" w:hAnsi="Arial" w:cs="Arial"/>
          <w:color w:val="000000"/>
          <w:sz w:val="13"/>
          <w:szCs w:val="13"/>
        </w:rPr>
        <w:t>Significant changes in these unobservable inputs may result in significant changes in fair value measurement of the derivative instrument.</w:t>
      </w:r>
    </w:p>
    <w:p w14:paraId="71D44BFA" w14:textId="77777777" w:rsidR="006A3667" w:rsidRDefault="00045F32">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64</w:t>
      </w:r>
    </w:p>
    <w:p w14:paraId="71D44BFB" w14:textId="77777777" w:rsidR="006A3667" w:rsidRDefault="006A3667">
      <w:pPr>
        <w:ind w:firstLine="450"/>
        <w:jc w:val="center"/>
      </w:pPr>
    </w:p>
    <w:p w14:paraId="71D44BFC" w14:textId="77777777" w:rsidR="006A3667" w:rsidRDefault="00045F32">
      <w:r>
        <w:pict w14:anchorId="71D4AC54">
          <v:rect id="_x0000_i1088" style="width:415.3pt;height:1.5pt" o:hralign="center" o:hrstd="t" o:hr="t" fillcolor="#a0a0a0" stroked="f"/>
        </w:pict>
      </w:r>
    </w:p>
    <w:p w14:paraId="71D44BFD" w14:textId="77777777" w:rsidR="006A3667" w:rsidRDefault="00045F32">
      <w:pPr>
        <w:ind w:firstLine="450"/>
        <w:jc w:val="center"/>
      </w:pPr>
      <w:r>
        <w:rPr>
          <w:rFonts w:ascii="Arial" w:eastAsia="宋体" w:hAnsi="Arial" w:cs="Arial"/>
          <w:b/>
          <w:bCs/>
          <w:color w:val="000000"/>
          <w:sz w:val="20"/>
          <w:szCs w:val="20"/>
        </w:rPr>
        <w:t>STATE STREET CORPORATION</w:t>
      </w:r>
    </w:p>
    <w:p w14:paraId="71D44BFE"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4BFF" w14:textId="77777777" w:rsidR="006A3667" w:rsidRDefault="00045F32">
      <w:pPr>
        <w:ind w:firstLine="450"/>
        <w:jc w:val="center"/>
      </w:pPr>
      <w:r>
        <w:rPr>
          <w:rFonts w:ascii="Arial" w:eastAsia="宋体" w:hAnsi="Arial" w:cs="Arial"/>
          <w:b/>
          <w:bCs/>
          <w:color w:val="000000"/>
          <w:sz w:val="20"/>
          <w:szCs w:val="20"/>
        </w:rPr>
        <w:t>(UNAUDITED)</w:t>
      </w:r>
    </w:p>
    <w:p w14:paraId="71D44C00" w14:textId="77777777" w:rsidR="006A3667" w:rsidRDefault="00045F32">
      <w:pPr>
        <w:spacing w:before="60"/>
      </w:pPr>
      <w:r>
        <w:rPr>
          <w:rFonts w:ascii="Arial" w:eastAsia="宋体" w:hAnsi="Arial" w:cs="Arial"/>
          <w:b/>
          <w:bCs/>
          <w:i/>
          <w:iCs/>
          <w:color w:val="000000"/>
          <w:sz w:val="20"/>
          <w:szCs w:val="20"/>
        </w:rPr>
        <w:t>Fair Value Estimates</w:t>
      </w:r>
    </w:p>
    <w:p w14:paraId="71D44C01" w14:textId="77777777" w:rsidR="006A3667" w:rsidRDefault="00045F32">
      <w:pPr>
        <w:spacing w:before="60"/>
        <w:ind w:firstLine="450"/>
        <w:jc w:val="both"/>
      </w:pPr>
      <w:r>
        <w:rPr>
          <w:rFonts w:ascii="Arial" w:eastAsia="宋体" w:hAnsi="Arial" w:cs="Arial"/>
          <w:color w:val="000000"/>
          <w:sz w:val="20"/>
          <w:szCs w:val="20"/>
        </w:rPr>
        <w:t>Estimates of fair value for financial instruments not carried at fair value in our consolidated statement of condition are ge</w:t>
      </w:r>
      <w:r>
        <w:rPr>
          <w:rFonts w:ascii="Arial" w:eastAsia="宋体" w:hAnsi="Arial" w:cs="Arial"/>
          <w:color w:val="000000"/>
          <w:sz w:val="20"/>
          <w:szCs w:val="20"/>
        </w:rPr>
        <w:t xml:space="preserve">nerally subjective in nature, and are determined as of a specific point in time based on the characteristics of the financial instruments and relevant market information. </w:t>
      </w:r>
    </w:p>
    <w:p w14:paraId="71D44C02" w14:textId="77777777" w:rsidR="006A3667" w:rsidRDefault="00045F32">
      <w:pPr>
        <w:spacing w:before="60"/>
        <w:ind w:firstLine="450"/>
        <w:jc w:val="both"/>
      </w:pPr>
      <w:r>
        <w:rPr>
          <w:rFonts w:ascii="Arial" w:eastAsia="宋体" w:hAnsi="Arial" w:cs="Arial"/>
          <w:color w:val="000000"/>
          <w:sz w:val="20"/>
          <w:szCs w:val="20"/>
        </w:rPr>
        <w:t>The following tables present the reported amounts and estimated fair values of the f</w:t>
      </w:r>
      <w:r>
        <w:rPr>
          <w:rFonts w:ascii="Arial" w:eastAsia="宋体" w:hAnsi="Arial" w:cs="Arial"/>
          <w:color w:val="000000"/>
          <w:sz w:val="20"/>
          <w:szCs w:val="20"/>
        </w:rPr>
        <w:t>inancial assets and liabilities not carried at fair value, as they would be categorized within the fair value hierarchy,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2252"/>
        <w:gridCol w:w="39"/>
        <w:gridCol w:w="94"/>
        <w:gridCol w:w="738"/>
        <w:gridCol w:w="36"/>
        <w:gridCol w:w="36"/>
        <w:gridCol w:w="36"/>
        <w:gridCol w:w="36"/>
        <w:gridCol w:w="94"/>
        <w:gridCol w:w="674"/>
        <w:gridCol w:w="36"/>
        <w:gridCol w:w="36"/>
        <w:gridCol w:w="36"/>
        <w:gridCol w:w="36"/>
        <w:gridCol w:w="94"/>
        <w:gridCol w:w="1066"/>
        <w:gridCol w:w="36"/>
        <w:gridCol w:w="36"/>
        <w:gridCol w:w="36"/>
        <w:gridCol w:w="36"/>
        <w:gridCol w:w="94"/>
        <w:gridCol w:w="1178"/>
        <w:gridCol w:w="36"/>
        <w:gridCol w:w="36"/>
        <w:gridCol w:w="36"/>
        <w:gridCol w:w="36"/>
        <w:gridCol w:w="94"/>
        <w:gridCol w:w="1261"/>
        <w:gridCol w:w="36"/>
      </w:tblGrid>
      <w:tr w:rsidR="006A3667" w14:paraId="71D44C21" w14:textId="77777777">
        <w:tc>
          <w:tcPr>
            <w:tcW w:w="50" w:type="pct"/>
            <w:shd w:val="clear" w:color="auto" w:fill="auto"/>
            <w:vAlign w:val="bottom"/>
          </w:tcPr>
          <w:p w14:paraId="71D44C03" w14:textId="77777777" w:rsidR="006A3667" w:rsidRDefault="006A3667">
            <w:pPr>
              <w:rPr>
                <w:rFonts w:ascii="宋体"/>
              </w:rPr>
            </w:pPr>
          </w:p>
        </w:tc>
        <w:tc>
          <w:tcPr>
            <w:tcW w:w="1399" w:type="pct"/>
            <w:shd w:val="clear" w:color="auto" w:fill="auto"/>
            <w:vAlign w:val="bottom"/>
          </w:tcPr>
          <w:p w14:paraId="71D44C04" w14:textId="77777777" w:rsidR="006A3667" w:rsidRDefault="006A3667">
            <w:pPr>
              <w:rPr>
                <w:rFonts w:ascii="宋体"/>
              </w:rPr>
            </w:pPr>
          </w:p>
        </w:tc>
        <w:tc>
          <w:tcPr>
            <w:tcW w:w="5" w:type="pct"/>
            <w:shd w:val="clear" w:color="auto" w:fill="auto"/>
            <w:vAlign w:val="bottom"/>
          </w:tcPr>
          <w:p w14:paraId="71D44C05" w14:textId="77777777" w:rsidR="006A3667" w:rsidRDefault="006A3667">
            <w:pPr>
              <w:rPr>
                <w:rFonts w:ascii="宋体"/>
              </w:rPr>
            </w:pPr>
          </w:p>
        </w:tc>
        <w:tc>
          <w:tcPr>
            <w:tcW w:w="50" w:type="pct"/>
            <w:shd w:val="clear" w:color="auto" w:fill="auto"/>
            <w:vAlign w:val="bottom"/>
          </w:tcPr>
          <w:p w14:paraId="71D44C06" w14:textId="77777777" w:rsidR="006A3667" w:rsidRDefault="006A3667">
            <w:pPr>
              <w:rPr>
                <w:rFonts w:ascii="宋体"/>
              </w:rPr>
            </w:pPr>
          </w:p>
        </w:tc>
        <w:tc>
          <w:tcPr>
            <w:tcW w:w="478" w:type="pct"/>
            <w:shd w:val="clear" w:color="auto" w:fill="auto"/>
            <w:vAlign w:val="bottom"/>
          </w:tcPr>
          <w:p w14:paraId="71D44C07" w14:textId="77777777" w:rsidR="006A3667" w:rsidRDefault="006A3667">
            <w:pPr>
              <w:rPr>
                <w:rFonts w:ascii="宋体"/>
              </w:rPr>
            </w:pPr>
          </w:p>
        </w:tc>
        <w:tc>
          <w:tcPr>
            <w:tcW w:w="5" w:type="pct"/>
            <w:shd w:val="clear" w:color="auto" w:fill="auto"/>
            <w:vAlign w:val="bottom"/>
          </w:tcPr>
          <w:p w14:paraId="71D44C08" w14:textId="77777777" w:rsidR="006A3667" w:rsidRDefault="006A3667">
            <w:pPr>
              <w:rPr>
                <w:rFonts w:ascii="宋体"/>
              </w:rPr>
            </w:pPr>
          </w:p>
        </w:tc>
        <w:tc>
          <w:tcPr>
            <w:tcW w:w="5" w:type="pct"/>
            <w:shd w:val="clear" w:color="auto" w:fill="auto"/>
            <w:vAlign w:val="bottom"/>
          </w:tcPr>
          <w:p w14:paraId="71D44C09" w14:textId="77777777" w:rsidR="006A3667" w:rsidRDefault="006A3667">
            <w:pPr>
              <w:rPr>
                <w:rFonts w:ascii="宋体"/>
              </w:rPr>
            </w:pPr>
          </w:p>
        </w:tc>
        <w:tc>
          <w:tcPr>
            <w:tcW w:w="26" w:type="pct"/>
            <w:shd w:val="clear" w:color="auto" w:fill="auto"/>
            <w:vAlign w:val="bottom"/>
          </w:tcPr>
          <w:p w14:paraId="71D44C0A" w14:textId="77777777" w:rsidR="006A3667" w:rsidRDefault="006A3667">
            <w:pPr>
              <w:rPr>
                <w:rFonts w:ascii="宋体"/>
              </w:rPr>
            </w:pPr>
          </w:p>
        </w:tc>
        <w:tc>
          <w:tcPr>
            <w:tcW w:w="5" w:type="pct"/>
            <w:shd w:val="clear" w:color="auto" w:fill="auto"/>
            <w:vAlign w:val="bottom"/>
          </w:tcPr>
          <w:p w14:paraId="71D44C0B" w14:textId="77777777" w:rsidR="006A3667" w:rsidRDefault="006A3667">
            <w:pPr>
              <w:rPr>
                <w:rFonts w:ascii="宋体"/>
              </w:rPr>
            </w:pPr>
          </w:p>
        </w:tc>
        <w:tc>
          <w:tcPr>
            <w:tcW w:w="50" w:type="pct"/>
            <w:shd w:val="clear" w:color="auto" w:fill="auto"/>
            <w:vAlign w:val="bottom"/>
          </w:tcPr>
          <w:p w14:paraId="71D44C0C" w14:textId="77777777" w:rsidR="006A3667" w:rsidRDefault="006A3667">
            <w:pPr>
              <w:rPr>
                <w:rFonts w:ascii="宋体"/>
              </w:rPr>
            </w:pPr>
          </w:p>
        </w:tc>
        <w:tc>
          <w:tcPr>
            <w:tcW w:w="471" w:type="pct"/>
            <w:shd w:val="clear" w:color="auto" w:fill="auto"/>
            <w:vAlign w:val="bottom"/>
          </w:tcPr>
          <w:p w14:paraId="71D44C0D" w14:textId="77777777" w:rsidR="006A3667" w:rsidRDefault="006A3667">
            <w:pPr>
              <w:rPr>
                <w:rFonts w:ascii="宋体"/>
              </w:rPr>
            </w:pPr>
          </w:p>
        </w:tc>
        <w:tc>
          <w:tcPr>
            <w:tcW w:w="5" w:type="pct"/>
            <w:shd w:val="clear" w:color="auto" w:fill="auto"/>
            <w:vAlign w:val="bottom"/>
          </w:tcPr>
          <w:p w14:paraId="71D44C0E" w14:textId="77777777" w:rsidR="006A3667" w:rsidRDefault="006A3667">
            <w:pPr>
              <w:rPr>
                <w:rFonts w:ascii="宋体"/>
              </w:rPr>
            </w:pPr>
          </w:p>
        </w:tc>
        <w:tc>
          <w:tcPr>
            <w:tcW w:w="5" w:type="pct"/>
            <w:shd w:val="clear" w:color="auto" w:fill="auto"/>
            <w:vAlign w:val="bottom"/>
          </w:tcPr>
          <w:p w14:paraId="71D44C0F" w14:textId="77777777" w:rsidR="006A3667" w:rsidRDefault="006A3667">
            <w:pPr>
              <w:rPr>
                <w:rFonts w:ascii="宋体"/>
              </w:rPr>
            </w:pPr>
          </w:p>
        </w:tc>
        <w:tc>
          <w:tcPr>
            <w:tcW w:w="26" w:type="pct"/>
            <w:shd w:val="clear" w:color="auto" w:fill="auto"/>
            <w:vAlign w:val="bottom"/>
          </w:tcPr>
          <w:p w14:paraId="71D44C10" w14:textId="77777777" w:rsidR="006A3667" w:rsidRDefault="006A3667">
            <w:pPr>
              <w:rPr>
                <w:rFonts w:ascii="宋体"/>
              </w:rPr>
            </w:pPr>
          </w:p>
        </w:tc>
        <w:tc>
          <w:tcPr>
            <w:tcW w:w="5" w:type="pct"/>
            <w:shd w:val="clear" w:color="auto" w:fill="auto"/>
            <w:vAlign w:val="bottom"/>
          </w:tcPr>
          <w:p w14:paraId="71D44C11" w14:textId="77777777" w:rsidR="006A3667" w:rsidRDefault="006A3667">
            <w:pPr>
              <w:rPr>
                <w:rFonts w:ascii="宋体"/>
              </w:rPr>
            </w:pPr>
          </w:p>
        </w:tc>
        <w:tc>
          <w:tcPr>
            <w:tcW w:w="50" w:type="pct"/>
            <w:shd w:val="clear" w:color="auto" w:fill="auto"/>
            <w:vAlign w:val="bottom"/>
          </w:tcPr>
          <w:p w14:paraId="71D44C12" w14:textId="77777777" w:rsidR="006A3667" w:rsidRDefault="006A3667">
            <w:pPr>
              <w:rPr>
                <w:rFonts w:ascii="宋体"/>
              </w:rPr>
            </w:pPr>
          </w:p>
        </w:tc>
        <w:tc>
          <w:tcPr>
            <w:tcW w:w="705" w:type="pct"/>
            <w:shd w:val="clear" w:color="auto" w:fill="auto"/>
            <w:vAlign w:val="bottom"/>
          </w:tcPr>
          <w:p w14:paraId="71D44C13" w14:textId="77777777" w:rsidR="006A3667" w:rsidRDefault="006A3667">
            <w:pPr>
              <w:rPr>
                <w:rFonts w:ascii="宋体"/>
              </w:rPr>
            </w:pPr>
          </w:p>
        </w:tc>
        <w:tc>
          <w:tcPr>
            <w:tcW w:w="5" w:type="pct"/>
            <w:shd w:val="clear" w:color="auto" w:fill="auto"/>
            <w:vAlign w:val="bottom"/>
          </w:tcPr>
          <w:p w14:paraId="71D44C14" w14:textId="77777777" w:rsidR="006A3667" w:rsidRDefault="006A3667">
            <w:pPr>
              <w:rPr>
                <w:rFonts w:ascii="宋体"/>
              </w:rPr>
            </w:pPr>
          </w:p>
        </w:tc>
        <w:tc>
          <w:tcPr>
            <w:tcW w:w="5" w:type="pct"/>
            <w:shd w:val="clear" w:color="auto" w:fill="auto"/>
            <w:vAlign w:val="bottom"/>
          </w:tcPr>
          <w:p w14:paraId="71D44C15" w14:textId="77777777" w:rsidR="006A3667" w:rsidRDefault="006A3667">
            <w:pPr>
              <w:rPr>
                <w:rFonts w:ascii="宋体"/>
              </w:rPr>
            </w:pPr>
          </w:p>
        </w:tc>
        <w:tc>
          <w:tcPr>
            <w:tcW w:w="19" w:type="pct"/>
            <w:shd w:val="clear" w:color="auto" w:fill="auto"/>
            <w:vAlign w:val="bottom"/>
          </w:tcPr>
          <w:p w14:paraId="71D44C16" w14:textId="77777777" w:rsidR="006A3667" w:rsidRDefault="006A3667">
            <w:pPr>
              <w:rPr>
                <w:rFonts w:ascii="宋体"/>
              </w:rPr>
            </w:pPr>
          </w:p>
        </w:tc>
        <w:tc>
          <w:tcPr>
            <w:tcW w:w="5" w:type="pct"/>
            <w:shd w:val="clear" w:color="auto" w:fill="auto"/>
            <w:vAlign w:val="bottom"/>
          </w:tcPr>
          <w:p w14:paraId="71D44C17" w14:textId="77777777" w:rsidR="006A3667" w:rsidRDefault="006A3667">
            <w:pPr>
              <w:rPr>
                <w:rFonts w:ascii="宋体"/>
              </w:rPr>
            </w:pPr>
          </w:p>
        </w:tc>
        <w:tc>
          <w:tcPr>
            <w:tcW w:w="50" w:type="pct"/>
            <w:shd w:val="clear" w:color="auto" w:fill="auto"/>
            <w:vAlign w:val="bottom"/>
          </w:tcPr>
          <w:p w14:paraId="71D44C18" w14:textId="77777777" w:rsidR="006A3667" w:rsidRDefault="006A3667">
            <w:pPr>
              <w:rPr>
                <w:rFonts w:ascii="宋体"/>
              </w:rPr>
            </w:pPr>
          </w:p>
        </w:tc>
        <w:tc>
          <w:tcPr>
            <w:tcW w:w="741" w:type="pct"/>
            <w:shd w:val="clear" w:color="auto" w:fill="auto"/>
            <w:vAlign w:val="bottom"/>
          </w:tcPr>
          <w:p w14:paraId="71D44C19" w14:textId="77777777" w:rsidR="006A3667" w:rsidRDefault="006A3667">
            <w:pPr>
              <w:rPr>
                <w:rFonts w:ascii="宋体"/>
              </w:rPr>
            </w:pPr>
          </w:p>
        </w:tc>
        <w:tc>
          <w:tcPr>
            <w:tcW w:w="5" w:type="pct"/>
            <w:shd w:val="clear" w:color="auto" w:fill="auto"/>
            <w:vAlign w:val="bottom"/>
          </w:tcPr>
          <w:p w14:paraId="71D44C1A" w14:textId="77777777" w:rsidR="006A3667" w:rsidRDefault="006A3667">
            <w:pPr>
              <w:rPr>
                <w:rFonts w:ascii="宋体"/>
              </w:rPr>
            </w:pPr>
          </w:p>
        </w:tc>
        <w:tc>
          <w:tcPr>
            <w:tcW w:w="5" w:type="pct"/>
            <w:shd w:val="clear" w:color="auto" w:fill="auto"/>
            <w:vAlign w:val="bottom"/>
          </w:tcPr>
          <w:p w14:paraId="71D44C1B" w14:textId="77777777" w:rsidR="006A3667" w:rsidRDefault="006A3667">
            <w:pPr>
              <w:rPr>
                <w:rFonts w:ascii="宋体"/>
              </w:rPr>
            </w:pPr>
          </w:p>
        </w:tc>
        <w:tc>
          <w:tcPr>
            <w:tcW w:w="19" w:type="pct"/>
            <w:shd w:val="clear" w:color="auto" w:fill="auto"/>
            <w:vAlign w:val="bottom"/>
          </w:tcPr>
          <w:p w14:paraId="71D44C1C" w14:textId="77777777" w:rsidR="006A3667" w:rsidRDefault="006A3667">
            <w:pPr>
              <w:rPr>
                <w:rFonts w:ascii="宋体"/>
              </w:rPr>
            </w:pPr>
          </w:p>
        </w:tc>
        <w:tc>
          <w:tcPr>
            <w:tcW w:w="5" w:type="pct"/>
            <w:shd w:val="clear" w:color="auto" w:fill="auto"/>
            <w:vAlign w:val="bottom"/>
          </w:tcPr>
          <w:p w14:paraId="71D44C1D" w14:textId="77777777" w:rsidR="006A3667" w:rsidRDefault="006A3667">
            <w:pPr>
              <w:rPr>
                <w:rFonts w:ascii="宋体"/>
              </w:rPr>
            </w:pPr>
          </w:p>
        </w:tc>
        <w:tc>
          <w:tcPr>
            <w:tcW w:w="50" w:type="pct"/>
            <w:shd w:val="clear" w:color="auto" w:fill="auto"/>
            <w:vAlign w:val="bottom"/>
          </w:tcPr>
          <w:p w14:paraId="71D44C1E" w14:textId="77777777" w:rsidR="006A3667" w:rsidRDefault="006A3667">
            <w:pPr>
              <w:rPr>
                <w:rFonts w:ascii="宋体"/>
              </w:rPr>
            </w:pPr>
          </w:p>
        </w:tc>
        <w:tc>
          <w:tcPr>
            <w:tcW w:w="742" w:type="pct"/>
            <w:shd w:val="clear" w:color="auto" w:fill="auto"/>
            <w:vAlign w:val="bottom"/>
          </w:tcPr>
          <w:p w14:paraId="71D44C1F" w14:textId="77777777" w:rsidR="006A3667" w:rsidRDefault="006A3667">
            <w:pPr>
              <w:rPr>
                <w:rFonts w:ascii="宋体"/>
              </w:rPr>
            </w:pPr>
          </w:p>
        </w:tc>
        <w:tc>
          <w:tcPr>
            <w:tcW w:w="5" w:type="pct"/>
            <w:shd w:val="clear" w:color="auto" w:fill="auto"/>
            <w:vAlign w:val="bottom"/>
          </w:tcPr>
          <w:p w14:paraId="71D44C20" w14:textId="77777777" w:rsidR="006A3667" w:rsidRDefault="006A3667">
            <w:pPr>
              <w:rPr>
                <w:rFonts w:ascii="宋体"/>
              </w:rPr>
            </w:pPr>
          </w:p>
        </w:tc>
      </w:tr>
      <w:tr w:rsidR="006A3667" w14:paraId="71D44C28" w14:textId="77777777">
        <w:tc>
          <w:tcPr>
            <w:tcW w:w="0" w:type="auto"/>
            <w:gridSpan w:val="3"/>
            <w:shd w:val="clear" w:color="auto" w:fill="auto"/>
            <w:tcMar>
              <w:top w:w="40" w:type="dxa"/>
              <w:left w:w="20" w:type="dxa"/>
              <w:bottom w:w="40" w:type="dxa"/>
              <w:right w:w="20" w:type="dxa"/>
            </w:tcMar>
            <w:vAlign w:val="bottom"/>
          </w:tcPr>
          <w:p w14:paraId="71D44C22" w14:textId="77777777" w:rsidR="006A3667" w:rsidRDefault="00045F32">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1D44C2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C2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C2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C26"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4C27" w14:textId="77777777" w:rsidR="006A3667" w:rsidRDefault="00045F32">
            <w:pPr>
              <w:jc w:val="center"/>
              <w:textAlignment w:val="bottom"/>
            </w:pPr>
            <w:r>
              <w:rPr>
                <w:rFonts w:ascii="Arial" w:eastAsia="宋体" w:hAnsi="Arial" w:cs="Arial"/>
                <w:b/>
                <w:bCs/>
                <w:color w:val="000000"/>
                <w:sz w:val="13"/>
                <w:szCs w:val="13"/>
              </w:rPr>
              <w:t>Fair Value Hierarchy</w:t>
            </w:r>
          </w:p>
        </w:tc>
      </w:tr>
      <w:tr w:rsidR="006A3667" w14:paraId="71D44C33" w14:textId="77777777">
        <w:tc>
          <w:tcPr>
            <w:tcW w:w="0" w:type="auto"/>
            <w:gridSpan w:val="3"/>
            <w:shd w:val="clear" w:color="auto" w:fill="auto"/>
            <w:tcMar>
              <w:top w:w="40" w:type="dxa"/>
              <w:left w:w="20" w:type="dxa"/>
              <w:bottom w:w="40" w:type="dxa"/>
              <w:right w:w="20" w:type="dxa"/>
            </w:tcMar>
            <w:vAlign w:val="bottom"/>
          </w:tcPr>
          <w:p w14:paraId="71D44C29"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1D44C2A" w14:textId="77777777" w:rsidR="006A3667" w:rsidRDefault="00045F32">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71D44C2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4C2C" w14:textId="77777777" w:rsidR="006A3667" w:rsidRDefault="00045F32">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71D44C2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C2E" w14:textId="77777777" w:rsidR="006A3667" w:rsidRDefault="00045F32">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C2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C30" w14:textId="77777777" w:rsidR="006A3667" w:rsidRDefault="00045F32">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C3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C32" w14:textId="77777777" w:rsidR="006A3667" w:rsidRDefault="00045F32">
            <w:pPr>
              <w:jc w:val="center"/>
              <w:textAlignment w:val="bottom"/>
            </w:pPr>
            <w:r>
              <w:rPr>
                <w:rFonts w:ascii="Arial" w:eastAsia="宋体" w:hAnsi="Arial" w:cs="Arial"/>
                <w:b/>
                <w:bCs/>
                <w:color w:val="000000"/>
                <w:sz w:val="13"/>
                <w:szCs w:val="13"/>
              </w:rPr>
              <w:t>Pricing Methods with Significant Unobservable Market Inputs (Level 3)</w:t>
            </w:r>
          </w:p>
        </w:tc>
      </w:tr>
      <w:tr w:rsidR="006A3667" w14:paraId="71D44C3E" w14:textId="77777777">
        <w:tc>
          <w:tcPr>
            <w:tcW w:w="0" w:type="auto"/>
            <w:gridSpan w:val="3"/>
            <w:shd w:val="clear" w:color="auto" w:fill="auto"/>
            <w:tcMar>
              <w:top w:w="40" w:type="dxa"/>
              <w:left w:w="20" w:type="dxa"/>
              <w:bottom w:w="40" w:type="dxa"/>
              <w:right w:w="20" w:type="dxa"/>
            </w:tcMar>
            <w:vAlign w:val="bottom"/>
          </w:tcPr>
          <w:p w14:paraId="71D44C34" w14:textId="77777777" w:rsidR="006A3667" w:rsidRDefault="00045F32">
            <w:pPr>
              <w:textAlignment w:val="bottom"/>
            </w:pPr>
            <w:r>
              <w:rPr>
                <w:rFonts w:ascii="Arial" w:eastAsia="宋体" w:hAnsi="Arial" w:cs="Arial"/>
                <w:b/>
                <w:bCs/>
                <w:color w:val="000000"/>
                <w:sz w:val="13"/>
                <w:szCs w:val="13"/>
              </w:rPr>
              <w:t>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C3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C3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C3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C3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C3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C3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C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C3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C3D" w14:textId="77777777" w:rsidR="006A3667" w:rsidRDefault="006A3667">
            <w:pPr>
              <w:rPr>
                <w:rFonts w:ascii="宋体"/>
              </w:rPr>
            </w:pPr>
          </w:p>
        </w:tc>
      </w:tr>
      <w:tr w:rsidR="006A3667" w14:paraId="71D44C49" w14:textId="77777777">
        <w:tc>
          <w:tcPr>
            <w:tcW w:w="0" w:type="auto"/>
            <w:gridSpan w:val="3"/>
            <w:shd w:val="clear" w:color="auto" w:fill="auto"/>
            <w:tcMar>
              <w:top w:w="40" w:type="dxa"/>
              <w:left w:w="20" w:type="dxa"/>
              <w:bottom w:w="40" w:type="dxa"/>
              <w:right w:w="20" w:type="dxa"/>
            </w:tcMar>
            <w:vAlign w:val="bottom"/>
          </w:tcPr>
          <w:p w14:paraId="71D44C3F" w14:textId="77777777" w:rsidR="006A3667" w:rsidRDefault="00045F32">
            <w:pPr>
              <w:textAlignment w:val="bottom"/>
            </w:pPr>
            <w:r>
              <w:rPr>
                <w:rFonts w:ascii="Arial" w:eastAsia="宋体" w:hAnsi="Arial" w:cs="Arial"/>
                <w:b/>
                <w:bCs/>
                <w:color w:val="000000"/>
                <w:sz w:val="13"/>
                <w:szCs w:val="13"/>
              </w:rPr>
              <w:t>Financial Assets:</w:t>
            </w:r>
          </w:p>
        </w:tc>
        <w:tc>
          <w:tcPr>
            <w:tcW w:w="0" w:type="auto"/>
            <w:gridSpan w:val="3"/>
            <w:shd w:val="clear" w:color="auto" w:fill="FFFFFF"/>
            <w:tcMar>
              <w:top w:w="40" w:type="dxa"/>
              <w:left w:w="20" w:type="dxa"/>
              <w:bottom w:w="40" w:type="dxa"/>
              <w:right w:w="20" w:type="dxa"/>
            </w:tcMar>
            <w:vAlign w:val="bottom"/>
          </w:tcPr>
          <w:p w14:paraId="71D44C40" w14:textId="77777777" w:rsidR="006A3667" w:rsidRDefault="00045F32">
            <w:pPr>
              <w:jc w:val="right"/>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1D44C4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4C42" w14:textId="77777777" w:rsidR="006A3667" w:rsidRDefault="00045F32">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1D44C4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4C44" w14:textId="77777777" w:rsidR="006A3667" w:rsidRDefault="00045F32">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1D44C4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4C46" w14:textId="77777777" w:rsidR="006A3667" w:rsidRDefault="00045F32">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71D44C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C48" w14:textId="77777777" w:rsidR="006A3667" w:rsidRDefault="006A3667">
            <w:pPr>
              <w:rPr>
                <w:rFonts w:ascii="宋体"/>
              </w:rPr>
            </w:pPr>
          </w:p>
        </w:tc>
      </w:tr>
      <w:tr w:rsidR="006A3667" w14:paraId="71D44C5D" w14:textId="77777777">
        <w:tc>
          <w:tcPr>
            <w:tcW w:w="0" w:type="auto"/>
            <w:gridSpan w:val="3"/>
            <w:shd w:val="clear" w:color="auto" w:fill="CCEEFF"/>
            <w:tcMar>
              <w:top w:w="40" w:type="dxa"/>
              <w:left w:w="20" w:type="dxa"/>
              <w:bottom w:w="40" w:type="dxa"/>
              <w:right w:w="20" w:type="dxa"/>
            </w:tcMar>
            <w:vAlign w:val="bottom"/>
          </w:tcPr>
          <w:p w14:paraId="71D44C4A" w14:textId="77777777" w:rsidR="006A3667" w:rsidRDefault="00045F32">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71D44C4B"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4C4C" w14:textId="77777777" w:rsidR="006A3667" w:rsidRDefault="00045F32">
            <w:pPr>
              <w:jc w:val="right"/>
              <w:textAlignment w:val="bottom"/>
            </w:pPr>
            <w:r>
              <w:rPr>
                <w:rFonts w:ascii="Arial" w:eastAsia="宋体" w:hAnsi="Arial" w:cs="Arial"/>
                <w:b/>
                <w:bCs/>
                <w:color w:val="000000"/>
                <w:sz w:val="13"/>
                <w:szCs w:val="13"/>
              </w:rPr>
              <w:t>2,748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4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4F" w14:textId="77777777" w:rsidR="006A3667" w:rsidRDefault="00045F32">
            <w:pPr>
              <w:jc w:val="right"/>
              <w:textAlignment w:val="bottom"/>
            </w:pPr>
            <w:r>
              <w:rPr>
                <w:rFonts w:ascii="Arial" w:eastAsia="宋体" w:hAnsi="Arial" w:cs="Arial"/>
                <w:b/>
                <w:bCs/>
                <w:color w:val="000000"/>
                <w:sz w:val="13"/>
                <w:szCs w:val="13"/>
              </w:rPr>
              <w:t>2,748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5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C52"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4C53" w14:textId="77777777" w:rsidR="006A3667" w:rsidRDefault="00045F32">
            <w:pPr>
              <w:jc w:val="right"/>
              <w:textAlignment w:val="bottom"/>
            </w:pPr>
            <w:r>
              <w:rPr>
                <w:rFonts w:ascii="Arial" w:eastAsia="宋体" w:hAnsi="Arial" w:cs="Arial"/>
                <w:b/>
                <w:bCs/>
                <w:color w:val="000000"/>
                <w:sz w:val="13"/>
                <w:szCs w:val="13"/>
              </w:rPr>
              <w:t>2,748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5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C56"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4C5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5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C5A"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4C5B"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5C" w14:textId="77777777" w:rsidR="006A3667" w:rsidRDefault="006A3667">
            <w:pPr>
              <w:jc w:val="right"/>
              <w:rPr>
                <w:rFonts w:ascii="宋体"/>
              </w:rPr>
            </w:pPr>
          </w:p>
        </w:tc>
      </w:tr>
      <w:tr w:rsidR="006A3667" w14:paraId="71D44C6D" w14:textId="77777777">
        <w:tc>
          <w:tcPr>
            <w:tcW w:w="0" w:type="auto"/>
            <w:gridSpan w:val="3"/>
            <w:shd w:val="clear" w:color="auto" w:fill="FFFFFF"/>
            <w:tcMar>
              <w:top w:w="40" w:type="dxa"/>
              <w:left w:w="20" w:type="dxa"/>
              <w:bottom w:w="40" w:type="dxa"/>
              <w:right w:w="20" w:type="dxa"/>
            </w:tcMar>
            <w:vAlign w:val="bottom"/>
          </w:tcPr>
          <w:p w14:paraId="71D44C5E" w14:textId="77777777" w:rsidR="006A3667" w:rsidRDefault="00045F32">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71D44C5F" w14:textId="77777777" w:rsidR="006A3667" w:rsidRDefault="00045F32">
            <w:pPr>
              <w:jc w:val="right"/>
              <w:textAlignment w:val="bottom"/>
            </w:pPr>
            <w:r>
              <w:rPr>
                <w:rFonts w:ascii="Arial" w:eastAsia="宋体" w:hAnsi="Arial" w:cs="Arial"/>
                <w:b/>
                <w:bCs/>
                <w:color w:val="000000"/>
                <w:sz w:val="13"/>
                <w:szCs w:val="13"/>
              </w:rPr>
              <w:t>99,199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6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6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62" w14:textId="77777777" w:rsidR="006A3667" w:rsidRDefault="00045F32">
            <w:pPr>
              <w:jc w:val="right"/>
              <w:textAlignment w:val="bottom"/>
            </w:pPr>
            <w:r>
              <w:rPr>
                <w:rFonts w:ascii="Arial" w:eastAsia="宋体" w:hAnsi="Arial" w:cs="Arial"/>
                <w:b/>
                <w:bCs/>
                <w:color w:val="000000"/>
                <w:sz w:val="13"/>
                <w:szCs w:val="13"/>
              </w:rPr>
              <w:t>99,199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6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6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65"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6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6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68" w14:textId="77777777" w:rsidR="006A3667" w:rsidRDefault="00045F32">
            <w:pPr>
              <w:jc w:val="right"/>
              <w:textAlignment w:val="bottom"/>
            </w:pPr>
            <w:r>
              <w:rPr>
                <w:rFonts w:ascii="Arial" w:eastAsia="宋体" w:hAnsi="Arial" w:cs="Arial"/>
                <w:b/>
                <w:bCs/>
                <w:color w:val="000000"/>
                <w:sz w:val="13"/>
                <w:szCs w:val="13"/>
              </w:rPr>
              <w:t>99,199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6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6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6B"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6C" w14:textId="77777777" w:rsidR="006A3667" w:rsidRDefault="006A3667">
            <w:pPr>
              <w:jc w:val="right"/>
              <w:rPr>
                <w:rFonts w:ascii="宋体"/>
              </w:rPr>
            </w:pPr>
          </w:p>
        </w:tc>
      </w:tr>
      <w:tr w:rsidR="006A3667" w14:paraId="71D44C7D" w14:textId="77777777">
        <w:tc>
          <w:tcPr>
            <w:tcW w:w="0" w:type="auto"/>
            <w:gridSpan w:val="3"/>
            <w:shd w:val="clear" w:color="auto" w:fill="CCEEFF"/>
            <w:tcMar>
              <w:top w:w="40" w:type="dxa"/>
              <w:left w:w="20" w:type="dxa"/>
              <w:bottom w:w="40" w:type="dxa"/>
              <w:right w:w="20" w:type="dxa"/>
            </w:tcMar>
            <w:vAlign w:val="bottom"/>
          </w:tcPr>
          <w:p w14:paraId="71D44C6E" w14:textId="77777777" w:rsidR="006A3667" w:rsidRDefault="00045F32">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71D44C6F" w14:textId="77777777" w:rsidR="006A3667" w:rsidRDefault="00045F32">
            <w:pPr>
              <w:jc w:val="right"/>
              <w:textAlignment w:val="bottom"/>
            </w:pPr>
            <w:r>
              <w:rPr>
                <w:rFonts w:ascii="Arial" w:eastAsia="宋体" w:hAnsi="Arial" w:cs="Arial"/>
                <w:b/>
                <w:bCs/>
                <w:color w:val="000000"/>
                <w:sz w:val="13"/>
                <w:szCs w:val="13"/>
              </w:rPr>
              <w:t>1,308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7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72" w14:textId="77777777" w:rsidR="006A3667" w:rsidRDefault="00045F32">
            <w:pPr>
              <w:jc w:val="right"/>
              <w:textAlignment w:val="bottom"/>
            </w:pPr>
            <w:r>
              <w:rPr>
                <w:rFonts w:ascii="Arial" w:eastAsia="宋体" w:hAnsi="Arial" w:cs="Arial"/>
                <w:b/>
                <w:bCs/>
                <w:color w:val="000000"/>
                <w:sz w:val="13"/>
                <w:szCs w:val="13"/>
              </w:rPr>
              <w:t>1,308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7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75"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7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78" w14:textId="77777777" w:rsidR="006A3667" w:rsidRDefault="00045F32">
            <w:pPr>
              <w:jc w:val="right"/>
              <w:textAlignment w:val="bottom"/>
            </w:pPr>
            <w:r>
              <w:rPr>
                <w:rFonts w:ascii="Arial" w:eastAsia="宋体" w:hAnsi="Arial" w:cs="Arial"/>
                <w:b/>
                <w:bCs/>
                <w:color w:val="000000"/>
                <w:sz w:val="13"/>
                <w:szCs w:val="13"/>
              </w:rPr>
              <w:t>1,308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7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7B"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7C" w14:textId="77777777" w:rsidR="006A3667" w:rsidRDefault="006A3667">
            <w:pPr>
              <w:jc w:val="right"/>
              <w:rPr>
                <w:rFonts w:ascii="宋体"/>
              </w:rPr>
            </w:pPr>
          </w:p>
        </w:tc>
      </w:tr>
      <w:tr w:rsidR="006A3667" w14:paraId="71D44C88" w14:textId="77777777">
        <w:trPr>
          <w:hidden/>
        </w:trPr>
        <w:tc>
          <w:tcPr>
            <w:tcW w:w="0" w:type="auto"/>
            <w:gridSpan w:val="3"/>
            <w:shd w:val="clear" w:color="auto" w:fill="auto"/>
            <w:vAlign w:val="bottom"/>
          </w:tcPr>
          <w:p w14:paraId="71D44C7E" w14:textId="77777777" w:rsidR="006A3667" w:rsidRDefault="006A3667">
            <w:pPr>
              <w:rPr>
                <w:rFonts w:ascii="宋体"/>
                <w:vanish/>
              </w:rPr>
            </w:pPr>
          </w:p>
        </w:tc>
        <w:tc>
          <w:tcPr>
            <w:tcW w:w="0" w:type="auto"/>
            <w:gridSpan w:val="3"/>
            <w:shd w:val="clear" w:color="auto" w:fill="auto"/>
            <w:vAlign w:val="bottom"/>
          </w:tcPr>
          <w:p w14:paraId="71D44C7F" w14:textId="77777777" w:rsidR="006A3667" w:rsidRDefault="006A3667">
            <w:pPr>
              <w:rPr>
                <w:rFonts w:ascii="宋体"/>
                <w:vanish/>
              </w:rPr>
            </w:pPr>
          </w:p>
        </w:tc>
        <w:tc>
          <w:tcPr>
            <w:tcW w:w="0" w:type="auto"/>
            <w:gridSpan w:val="3"/>
            <w:shd w:val="clear" w:color="auto" w:fill="auto"/>
            <w:vAlign w:val="bottom"/>
          </w:tcPr>
          <w:p w14:paraId="71D44C80" w14:textId="77777777" w:rsidR="006A3667" w:rsidRDefault="006A3667">
            <w:pPr>
              <w:rPr>
                <w:rFonts w:ascii="宋体"/>
                <w:vanish/>
              </w:rPr>
            </w:pPr>
          </w:p>
        </w:tc>
        <w:tc>
          <w:tcPr>
            <w:tcW w:w="0" w:type="auto"/>
            <w:gridSpan w:val="3"/>
            <w:shd w:val="clear" w:color="auto" w:fill="auto"/>
            <w:vAlign w:val="bottom"/>
          </w:tcPr>
          <w:p w14:paraId="71D44C81" w14:textId="77777777" w:rsidR="006A3667" w:rsidRDefault="006A3667">
            <w:pPr>
              <w:rPr>
                <w:rFonts w:ascii="宋体"/>
                <w:vanish/>
              </w:rPr>
            </w:pPr>
          </w:p>
        </w:tc>
        <w:tc>
          <w:tcPr>
            <w:tcW w:w="0" w:type="auto"/>
            <w:gridSpan w:val="3"/>
            <w:shd w:val="clear" w:color="auto" w:fill="auto"/>
            <w:vAlign w:val="bottom"/>
          </w:tcPr>
          <w:p w14:paraId="71D44C82" w14:textId="77777777" w:rsidR="006A3667" w:rsidRDefault="006A3667">
            <w:pPr>
              <w:rPr>
                <w:rFonts w:ascii="宋体"/>
                <w:vanish/>
              </w:rPr>
            </w:pPr>
          </w:p>
        </w:tc>
        <w:tc>
          <w:tcPr>
            <w:tcW w:w="0" w:type="auto"/>
            <w:gridSpan w:val="3"/>
            <w:shd w:val="clear" w:color="auto" w:fill="auto"/>
            <w:vAlign w:val="bottom"/>
          </w:tcPr>
          <w:p w14:paraId="71D44C83" w14:textId="77777777" w:rsidR="006A3667" w:rsidRDefault="006A3667">
            <w:pPr>
              <w:rPr>
                <w:rFonts w:ascii="宋体"/>
                <w:vanish/>
              </w:rPr>
            </w:pPr>
          </w:p>
        </w:tc>
        <w:tc>
          <w:tcPr>
            <w:tcW w:w="0" w:type="auto"/>
            <w:gridSpan w:val="3"/>
            <w:shd w:val="clear" w:color="auto" w:fill="auto"/>
            <w:vAlign w:val="bottom"/>
          </w:tcPr>
          <w:p w14:paraId="71D44C84" w14:textId="77777777" w:rsidR="006A3667" w:rsidRDefault="006A3667">
            <w:pPr>
              <w:rPr>
                <w:rFonts w:ascii="宋体"/>
                <w:vanish/>
              </w:rPr>
            </w:pPr>
          </w:p>
        </w:tc>
        <w:tc>
          <w:tcPr>
            <w:tcW w:w="0" w:type="auto"/>
            <w:gridSpan w:val="3"/>
            <w:shd w:val="clear" w:color="auto" w:fill="auto"/>
            <w:vAlign w:val="bottom"/>
          </w:tcPr>
          <w:p w14:paraId="71D44C85" w14:textId="77777777" w:rsidR="006A3667" w:rsidRDefault="006A3667">
            <w:pPr>
              <w:rPr>
                <w:rFonts w:ascii="宋体"/>
                <w:vanish/>
              </w:rPr>
            </w:pPr>
          </w:p>
        </w:tc>
        <w:tc>
          <w:tcPr>
            <w:tcW w:w="0" w:type="auto"/>
            <w:gridSpan w:val="3"/>
            <w:shd w:val="clear" w:color="auto" w:fill="auto"/>
            <w:vAlign w:val="bottom"/>
          </w:tcPr>
          <w:p w14:paraId="71D44C86" w14:textId="77777777" w:rsidR="006A3667" w:rsidRDefault="006A3667">
            <w:pPr>
              <w:rPr>
                <w:rFonts w:ascii="宋体"/>
                <w:vanish/>
              </w:rPr>
            </w:pPr>
          </w:p>
        </w:tc>
        <w:tc>
          <w:tcPr>
            <w:tcW w:w="0" w:type="auto"/>
            <w:gridSpan w:val="3"/>
            <w:shd w:val="clear" w:color="auto" w:fill="auto"/>
            <w:vAlign w:val="bottom"/>
          </w:tcPr>
          <w:p w14:paraId="71D44C87" w14:textId="77777777" w:rsidR="006A3667" w:rsidRDefault="006A3667">
            <w:pPr>
              <w:rPr>
                <w:rFonts w:ascii="宋体"/>
                <w:vanish/>
              </w:rPr>
            </w:pPr>
          </w:p>
        </w:tc>
      </w:tr>
      <w:tr w:rsidR="006A3667" w14:paraId="71D44C98" w14:textId="77777777">
        <w:tc>
          <w:tcPr>
            <w:tcW w:w="0" w:type="auto"/>
            <w:gridSpan w:val="3"/>
            <w:shd w:val="clear" w:color="auto" w:fill="FFFFFF"/>
            <w:tcMar>
              <w:top w:w="40" w:type="dxa"/>
              <w:left w:w="20" w:type="dxa"/>
              <w:bottom w:w="40" w:type="dxa"/>
              <w:right w:w="20" w:type="dxa"/>
            </w:tcMar>
            <w:vAlign w:val="bottom"/>
          </w:tcPr>
          <w:p w14:paraId="71D44C89" w14:textId="77777777" w:rsidR="006A3667" w:rsidRDefault="00045F32">
            <w:pPr>
              <w:textAlignment w:val="bottom"/>
            </w:pPr>
            <w:r>
              <w:rPr>
                <w:rFonts w:ascii="Arial" w:eastAsia="宋体" w:hAnsi="Arial" w:cs="Arial"/>
                <w:color w:val="000000"/>
                <w:sz w:val="13"/>
                <w:szCs w:val="13"/>
              </w:rPr>
              <w:t>Investment securities held-to-maturity</w:t>
            </w:r>
          </w:p>
        </w:tc>
        <w:tc>
          <w:tcPr>
            <w:tcW w:w="0" w:type="auto"/>
            <w:gridSpan w:val="2"/>
            <w:shd w:val="clear" w:color="auto" w:fill="FFFFFF"/>
            <w:tcMar>
              <w:top w:w="40" w:type="dxa"/>
              <w:left w:w="20" w:type="dxa"/>
              <w:bottom w:w="40" w:type="dxa"/>
              <w:right w:w="0" w:type="dxa"/>
            </w:tcMar>
            <w:vAlign w:val="bottom"/>
          </w:tcPr>
          <w:p w14:paraId="71D44C8A" w14:textId="77777777" w:rsidR="006A3667" w:rsidRDefault="00045F32">
            <w:pPr>
              <w:jc w:val="right"/>
              <w:textAlignment w:val="bottom"/>
            </w:pPr>
            <w:r>
              <w:rPr>
                <w:rFonts w:ascii="Arial" w:eastAsia="宋体" w:hAnsi="Arial" w:cs="Arial"/>
                <w:b/>
                <w:bCs/>
                <w:color w:val="000000"/>
                <w:sz w:val="13"/>
                <w:szCs w:val="13"/>
              </w:rPr>
              <w:t>65,232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8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8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8D" w14:textId="77777777" w:rsidR="006A3667" w:rsidRDefault="00045F32">
            <w:pPr>
              <w:jc w:val="right"/>
              <w:textAlignment w:val="bottom"/>
            </w:pPr>
            <w:r>
              <w:rPr>
                <w:rFonts w:ascii="Arial" w:eastAsia="宋体" w:hAnsi="Arial" w:cs="Arial"/>
                <w:b/>
                <w:bCs/>
                <w:color w:val="000000"/>
                <w:sz w:val="13"/>
                <w:szCs w:val="13"/>
              </w:rPr>
              <w:t>58,320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8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8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90" w14:textId="77777777" w:rsidR="006A3667" w:rsidRDefault="00045F32">
            <w:pPr>
              <w:jc w:val="right"/>
              <w:textAlignment w:val="bottom"/>
            </w:pPr>
            <w:r>
              <w:rPr>
                <w:rFonts w:ascii="Arial" w:eastAsia="宋体" w:hAnsi="Arial" w:cs="Arial"/>
                <w:b/>
                <w:bCs/>
                <w:color w:val="000000"/>
                <w:sz w:val="13"/>
                <w:szCs w:val="13"/>
              </w:rPr>
              <w:t>11,268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9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9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93" w14:textId="77777777" w:rsidR="006A3667" w:rsidRDefault="00045F32">
            <w:pPr>
              <w:jc w:val="right"/>
              <w:textAlignment w:val="bottom"/>
            </w:pPr>
            <w:r>
              <w:rPr>
                <w:rFonts w:ascii="Arial" w:eastAsia="宋体" w:hAnsi="Arial" w:cs="Arial"/>
                <w:b/>
                <w:bCs/>
                <w:color w:val="000000"/>
                <w:sz w:val="13"/>
                <w:szCs w:val="13"/>
              </w:rPr>
              <w:t>47,052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9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9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96"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97" w14:textId="77777777" w:rsidR="006A3667" w:rsidRDefault="006A3667">
            <w:pPr>
              <w:jc w:val="right"/>
              <w:rPr>
                <w:rFonts w:ascii="宋体"/>
              </w:rPr>
            </w:pPr>
          </w:p>
        </w:tc>
      </w:tr>
      <w:tr w:rsidR="006A3667" w14:paraId="71D44CA8" w14:textId="77777777">
        <w:tc>
          <w:tcPr>
            <w:tcW w:w="0" w:type="auto"/>
            <w:gridSpan w:val="3"/>
            <w:shd w:val="clear" w:color="auto" w:fill="CCEEFF"/>
            <w:tcMar>
              <w:top w:w="40" w:type="dxa"/>
              <w:left w:w="20" w:type="dxa"/>
              <w:bottom w:w="40" w:type="dxa"/>
              <w:right w:w="20" w:type="dxa"/>
            </w:tcMar>
            <w:vAlign w:val="bottom"/>
          </w:tcPr>
          <w:p w14:paraId="71D44C99" w14:textId="77777777" w:rsidR="006A3667" w:rsidRDefault="00045F32">
            <w:pPr>
              <w:textAlignment w:val="bottom"/>
            </w:pPr>
            <w:r>
              <w:rPr>
                <w:rFonts w:ascii="Arial" w:eastAsia="宋体" w:hAnsi="Arial" w:cs="Arial"/>
                <w:color w:val="000000"/>
                <w:sz w:val="13"/>
                <w:szCs w:val="13"/>
              </w:rPr>
              <w:t>Net loans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71D44C9A" w14:textId="77777777" w:rsidR="006A3667" w:rsidRDefault="00045F32">
            <w:pPr>
              <w:jc w:val="right"/>
              <w:textAlignment w:val="bottom"/>
            </w:pPr>
            <w:r>
              <w:rPr>
                <w:rFonts w:ascii="Arial" w:eastAsia="宋体" w:hAnsi="Arial" w:cs="Arial"/>
                <w:b/>
                <w:bCs/>
                <w:color w:val="000000"/>
                <w:sz w:val="13"/>
                <w:szCs w:val="13"/>
              </w:rPr>
              <w:t>36,016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9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9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9D" w14:textId="77777777" w:rsidR="006A3667" w:rsidRDefault="00045F32">
            <w:pPr>
              <w:jc w:val="right"/>
              <w:textAlignment w:val="bottom"/>
            </w:pPr>
            <w:r>
              <w:rPr>
                <w:rFonts w:ascii="Arial" w:eastAsia="宋体" w:hAnsi="Arial" w:cs="Arial"/>
                <w:b/>
                <w:bCs/>
                <w:color w:val="000000"/>
                <w:sz w:val="13"/>
                <w:szCs w:val="13"/>
              </w:rPr>
              <w:t>35,746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9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A0"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A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A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A3" w14:textId="77777777" w:rsidR="006A3667" w:rsidRDefault="00045F32">
            <w:pPr>
              <w:jc w:val="right"/>
              <w:textAlignment w:val="bottom"/>
            </w:pPr>
            <w:r>
              <w:rPr>
                <w:rFonts w:ascii="Arial" w:eastAsia="宋体" w:hAnsi="Arial" w:cs="Arial"/>
                <w:b/>
                <w:bCs/>
                <w:color w:val="000000"/>
                <w:sz w:val="13"/>
                <w:szCs w:val="13"/>
              </w:rPr>
              <w:t>33,481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A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A6" w14:textId="77777777" w:rsidR="006A3667" w:rsidRDefault="00045F32">
            <w:pPr>
              <w:jc w:val="right"/>
              <w:textAlignment w:val="bottom"/>
            </w:pPr>
            <w:r>
              <w:rPr>
                <w:rFonts w:ascii="Arial" w:eastAsia="宋体" w:hAnsi="Arial" w:cs="Arial"/>
                <w:b/>
                <w:bCs/>
                <w:color w:val="000000"/>
                <w:sz w:val="13"/>
                <w:szCs w:val="13"/>
              </w:rPr>
              <w:t>2,265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A7" w14:textId="77777777" w:rsidR="006A3667" w:rsidRDefault="006A3667">
            <w:pPr>
              <w:jc w:val="right"/>
              <w:rPr>
                <w:rFonts w:ascii="宋体"/>
              </w:rPr>
            </w:pPr>
          </w:p>
        </w:tc>
      </w:tr>
      <w:tr w:rsidR="006A3667" w14:paraId="71D44CB3" w14:textId="77777777">
        <w:trPr>
          <w:hidden/>
        </w:trPr>
        <w:tc>
          <w:tcPr>
            <w:tcW w:w="0" w:type="auto"/>
            <w:gridSpan w:val="3"/>
            <w:shd w:val="clear" w:color="auto" w:fill="auto"/>
            <w:vAlign w:val="bottom"/>
          </w:tcPr>
          <w:p w14:paraId="71D44CA9" w14:textId="77777777" w:rsidR="006A3667" w:rsidRDefault="006A3667">
            <w:pPr>
              <w:rPr>
                <w:rFonts w:ascii="宋体"/>
                <w:vanish/>
              </w:rPr>
            </w:pPr>
          </w:p>
        </w:tc>
        <w:tc>
          <w:tcPr>
            <w:tcW w:w="0" w:type="auto"/>
            <w:gridSpan w:val="3"/>
            <w:shd w:val="clear" w:color="auto" w:fill="auto"/>
            <w:vAlign w:val="bottom"/>
          </w:tcPr>
          <w:p w14:paraId="71D44CAA" w14:textId="77777777" w:rsidR="006A3667" w:rsidRDefault="006A3667">
            <w:pPr>
              <w:rPr>
                <w:rFonts w:ascii="宋体"/>
                <w:vanish/>
              </w:rPr>
            </w:pPr>
          </w:p>
        </w:tc>
        <w:tc>
          <w:tcPr>
            <w:tcW w:w="0" w:type="auto"/>
            <w:gridSpan w:val="3"/>
            <w:shd w:val="clear" w:color="auto" w:fill="auto"/>
            <w:vAlign w:val="bottom"/>
          </w:tcPr>
          <w:p w14:paraId="71D44CAB" w14:textId="77777777" w:rsidR="006A3667" w:rsidRDefault="006A3667">
            <w:pPr>
              <w:rPr>
                <w:rFonts w:ascii="宋体"/>
                <w:vanish/>
              </w:rPr>
            </w:pPr>
          </w:p>
        </w:tc>
        <w:tc>
          <w:tcPr>
            <w:tcW w:w="0" w:type="auto"/>
            <w:gridSpan w:val="3"/>
            <w:shd w:val="clear" w:color="auto" w:fill="auto"/>
            <w:vAlign w:val="bottom"/>
          </w:tcPr>
          <w:p w14:paraId="71D44CAC" w14:textId="77777777" w:rsidR="006A3667" w:rsidRDefault="006A3667">
            <w:pPr>
              <w:rPr>
                <w:rFonts w:ascii="宋体"/>
                <w:vanish/>
              </w:rPr>
            </w:pPr>
          </w:p>
        </w:tc>
        <w:tc>
          <w:tcPr>
            <w:tcW w:w="0" w:type="auto"/>
            <w:gridSpan w:val="3"/>
            <w:shd w:val="clear" w:color="auto" w:fill="auto"/>
            <w:vAlign w:val="bottom"/>
          </w:tcPr>
          <w:p w14:paraId="71D44CAD" w14:textId="77777777" w:rsidR="006A3667" w:rsidRDefault="006A3667">
            <w:pPr>
              <w:rPr>
                <w:rFonts w:ascii="宋体"/>
                <w:vanish/>
              </w:rPr>
            </w:pPr>
          </w:p>
        </w:tc>
        <w:tc>
          <w:tcPr>
            <w:tcW w:w="0" w:type="auto"/>
            <w:gridSpan w:val="3"/>
            <w:shd w:val="clear" w:color="auto" w:fill="auto"/>
            <w:vAlign w:val="bottom"/>
          </w:tcPr>
          <w:p w14:paraId="71D44CAE" w14:textId="77777777" w:rsidR="006A3667" w:rsidRDefault="006A3667">
            <w:pPr>
              <w:rPr>
                <w:rFonts w:ascii="宋体"/>
                <w:vanish/>
              </w:rPr>
            </w:pPr>
          </w:p>
        </w:tc>
        <w:tc>
          <w:tcPr>
            <w:tcW w:w="0" w:type="auto"/>
            <w:gridSpan w:val="3"/>
            <w:shd w:val="clear" w:color="auto" w:fill="auto"/>
            <w:vAlign w:val="bottom"/>
          </w:tcPr>
          <w:p w14:paraId="71D44CAF" w14:textId="77777777" w:rsidR="006A3667" w:rsidRDefault="006A3667">
            <w:pPr>
              <w:rPr>
                <w:rFonts w:ascii="宋体"/>
                <w:vanish/>
              </w:rPr>
            </w:pPr>
          </w:p>
        </w:tc>
        <w:tc>
          <w:tcPr>
            <w:tcW w:w="0" w:type="auto"/>
            <w:gridSpan w:val="3"/>
            <w:shd w:val="clear" w:color="auto" w:fill="auto"/>
            <w:vAlign w:val="bottom"/>
          </w:tcPr>
          <w:p w14:paraId="71D44CB0" w14:textId="77777777" w:rsidR="006A3667" w:rsidRDefault="006A3667">
            <w:pPr>
              <w:rPr>
                <w:rFonts w:ascii="宋体"/>
                <w:vanish/>
              </w:rPr>
            </w:pPr>
          </w:p>
        </w:tc>
        <w:tc>
          <w:tcPr>
            <w:tcW w:w="0" w:type="auto"/>
            <w:gridSpan w:val="3"/>
            <w:shd w:val="clear" w:color="auto" w:fill="auto"/>
            <w:vAlign w:val="bottom"/>
          </w:tcPr>
          <w:p w14:paraId="71D44CB1" w14:textId="77777777" w:rsidR="006A3667" w:rsidRDefault="006A3667">
            <w:pPr>
              <w:rPr>
                <w:rFonts w:ascii="宋体"/>
                <w:vanish/>
              </w:rPr>
            </w:pPr>
          </w:p>
        </w:tc>
        <w:tc>
          <w:tcPr>
            <w:tcW w:w="0" w:type="auto"/>
            <w:gridSpan w:val="3"/>
            <w:shd w:val="clear" w:color="auto" w:fill="auto"/>
            <w:vAlign w:val="bottom"/>
          </w:tcPr>
          <w:p w14:paraId="71D44CB2" w14:textId="77777777" w:rsidR="006A3667" w:rsidRDefault="006A3667">
            <w:pPr>
              <w:rPr>
                <w:rFonts w:ascii="宋体"/>
                <w:vanish/>
              </w:rPr>
            </w:pPr>
          </w:p>
        </w:tc>
      </w:tr>
      <w:tr w:rsidR="006A3667" w14:paraId="71D44CBE" w14:textId="77777777">
        <w:tc>
          <w:tcPr>
            <w:tcW w:w="0" w:type="auto"/>
            <w:gridSpan w:val="3"/>
            <w:shd w:val="clear" w:color="auto" w:fill="FFFFFF"/>
            <w:tcMar>
              <w:top w:w="40" w:type="dxa"/>
              <w:left w:w="20" w:type="dxa"/>
              <w:bottom w:w="40" w:type="dxa"/>
              <w:right w:w="20" w:type="dxa"/>
            </w:tcMar>
            <w:vAlign w:val="bottom"/>
          </w:tcPr>
          <w:p w14:paraId="71D44CB4" w14:textId="77777777" w:rsidR="006A3667" w:rsidRDefault="00045F32">
            <w:pPr>
              <w:textAlignment w:val="bottom"/>
            </w:pPr>
            <w:r>
              <w:rPr>
                <w:rFonts w:ascii="Arial" w:eastAsia="宋体" w:hAnsi="Arial" w:cs="Arial"/>
                <w:b/>
                <w:bCs/>
                <w:color w:val="000000"/>
                <w:sz w:val="13"/>
                <w:szCs w:val="13"/>
              </w:rPr>
              <w:t>Financial Liabilities:</w:t>
            </w:r>
          </w:p>
        </w:tc>
        <w:tc>
          <w:tcPr>
            <w:tcW w:w="0" w:type="auto"/>
            <w:gridSpan w:val="3"/>
            <w:shd w:val="clear" w:color="auto" w:fill="FFFFFF"/>
            <w:tcMar>
              <w:top w:w="0" w:type="dxa"/>
              <w:left w:w="20" w:type="dxa"/>
              <w:bottom w:w="0" w:type="dxa"/>
              <w:right w:w="20" w:type="dxa"/>
            </w:tcMar>
            <w:vAlign w:val="bottom"/>
          </w:tcPr>
          <w:p w14:paraId="71D44CB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CB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CB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CB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CB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CB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CB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CB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CBD" w14:textId="77777777" w:rsidR="006A3667" w:rsidRDefault="006A3667">
            <w:pPr>
              <w:rPr>
                <w:rFonts w:ascii="宋体"/>
              </w:rPr>
            </w:pPr>
          </w:p>
        </w:tc>
      </w:tr>
      <w:tr w:rsidR="006A3667" w14:paraId="71D44CC9" w14:textId="77777777">
        <w:tc>
          <w:tcPr>
            <w:tcW w:w="0" w:type="auto"/>
            <w:gridSpan w:val="3"/>
            <w:shd w:val="clear" w:color="auto" w:fill="CCEEFF"/>
            <w:tcMar>
              <w:top w:w="40" w:type="dxa"/>
              <w:left w:w="20" w:type="dxa"/>
              <w:bottom w:w="40" w:type="dxa"/>
              <w:right w:w="20" w:type="dxa"/>
            </w:tcMar>
            <w:vAlign w:val="bottom"/>
          </w:tcPr>
          <w:p w14:paraId="71D44CBF" w14:textId="77777777" w:rsidR="006A3667" w:rsidRDefault="00045F32">
            <w:pPr>
              <w:textAlignment w:val="bottom"/>
            </w:pPr>
            <w:r>
              <w:rPr>
                <w:rFonts w:ascii="Arial" w:eastAsia="宋体" w:hAnsi="Arial" w:cs="Arial"/>
                <w:color w:val="000000"/>
                <w:sz w:val="13"/>
                <w:szCs w:val="13"/>
              </w:rPr>
              <w:t>Deposits:</w:t>
            </w:r>
          </w:p>
        </w:tc>
        <w:tc>
          <w:tcPr>
            <w:tcW w:w="0" w:type="auto"/>
            <w:gridSpan w:val="3"/>
            <w:shd w:val="clear" w:color="auto" w:fill="CCEEFF"/>
            <w:tcMar>
              <w:top w:w="0" w:type="dxa"/>
              <w:left w:w="20" w:type="dxa"/>
              <w:bottom w:w="0" w:type="dxa"/>
              <w:right w:w="20" w:type="dxa"/>
            </w:tcMar>
            <w:vAlign w:val="bottom"/>
          </w:tcPr>
          <w:p w14:paraId="71D44CC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CC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CC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CC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CC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CC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CC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CC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CC8" w14:textId="77777777" w:rsidR="006A3667" w:rsidRDefault="006A3667">
            <w:pPr>
              <w:rPr>
                <w:rFonts w:ascii="宋体"/>
              </w:rPr>
            </w:pPr>
          </w:p>
        </w:tc>
      </w:tr>
      <w:tr w:rsidR="006A3667" w14:paraId="71D44CDE" w14:textId="77777777">
        <w:tc>
          <w:tcPr>
            <w:tcW w:w="0" w:type="auto"/>
            <w:gridSpan w:val="3"/>
            <w:shd w:val="clear" w:color="auto" w:fill="FFFFFF"/>
            <w:tcMar>
              <w:top w:w="40" w:type="dxa"/>
              <w:left w:w="20" w:type="dxa"/>
              <w:bottom w:w="40" w:type="dxa"/>
              <w:right w:w="20" w:type="dxa"/>
            </w:tcMar>
            <w:vAlign w:val="bottom"/>
          </w:tcPr>
          <w:p w14:paraId="71D44CCA" w14:textId="77777777" w:rsidR="006A3667" w:rsidRDefault="00045F32">
            <w:pPr>
              <w:textAlignment w:val="bottom"/>
            </w:pPr>
            <w:r>
              <w:rPr>
                <w:rFonts w:ascii="Arial" w:eastAsia="宋体" w:hAnsi="Arial" w:cs="Arial"/>
                <w:color w:val="000000"/>
                <w:sz w:val="13"/>
                <w:szCs w:val="13"/>
              </w:rPr>
              <w:t>   Non-interest-bearing</w:t>
            </w:r>
          </w:p>
        </w:tc>
        <w:tc>
          <w:tcPr>
            <w:tcW w:w="0" w:type="auto"/>
            <w:shd w:val="clear" w:color="auto" w:fill="FFFFFF"/>
            <w:tcMar>
              <w:top w:w="40" w:type="dxa"/>
              <w:left w:w="20" w:type="dxa"/>
              <w:bottom w:w="40" w:type="dxa"/>
              <w:right w:w="0" w:type="dxa"/>
            </w:tcMar>
            <w:vAlign w:val="bottom"/>
          </w:tcPr>
          <w:p w14:paraId="71D44CCB"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1D44CCC" w14:textId="77777777" w:rsidR="006A3667" w:rsidRDefault="00045F32">
            <w:pPr>
              <w:jc w:val="right"/>
              <w:textAlignment w:val="bottom"/>
            </w:pPr>
            <w:r>
              <w:rPr>
                <w:rFonts w:ascii="Arial" w:eastAsia="宋体" w:hAnsi="Arial" w:cs="Arial"/>
                <w:b/>
                <w:bCs/>
                <w:color w:val="000000"/>
                <w:sz w:val="13"/>
                <w:szCs w:val="13"/>
              </w:rPr>
              <w:t>55,894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CE"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4CCF"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1D44CD0" w14:textId="77777777" w:rsidR="006A3667" w:rsidRDefault="00045F32">
            <w:pPr>
              <w:jc w:val="right"/>
              <w:textAlignment w:val="bottom"/>
            </w:pPr>
            <w:r>
              <w:rPr>
                <w:rFonts w:ascii="Arial" w:eastAsia="宋体" w:hAnsi="Arial" w:cs="Arial"/>
                <w:b/>
                <w:bCs/>
                <w:color w:val="000000"/>
                <w:sz w:val="13"/>
                <w:szCs w:val="13"/>
              </w:rPr>
              <w:t>55,894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D2"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4CD3"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1D44CD4"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D6"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4CD7"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1D44CD8" w14:textId="77777777" w:rsidR="006A3667" w:rsidRDefault="00045F32">
            <w:pPr>
              <w:jc w:val="right"/>
              <w:textAlignment w:val="bottom"/>
            </w:pPr>
            <w:r>
              <w:rPr>
                <w:rFonts w:ascii="Arial" w:eastAsia="宋体" w:hAnsi="Arial" w:cs="Arial"/>
                <w:b/>
                <w:bCs/>
                <w:color w:val="000000"/>
                <w:sz w:val="13"/>
                <w:szCs w:val="13"/>
              </w:rPr>
              <w:t>55,894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D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DA"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4CDB"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FFFFFF"/>
            <w:tcMar>
              <w:top w:w="40" w:type="dxa"/>
              <w:left w:w="0" w:type="dxa"/>
              <w:bottom w:w="40" w:type="dxa"/>
              <w:right w:w="0" w:type="dxa"/>
            </w:tcMar>
            <w:vAlign w:val="bottom"/>
          </w:tcPr>
          <w:p w14:paraId="71D44CDC"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DD" w14:textId="77777777" w:rsidR="006A3667" w:rsidRDefault="006A3667">
            <w:pPr>
              <w:jc w:val="right"/>
              <w:rPr>
                <w:rFonts w:ascii="宋体"/>
              </w:rPr>
            </w:pPr>
          </w:p>
        </w:tc>
      </w:tr>
      <w:tr w:rsidR="006A3667" w14:paraId="71D44CEE" w14:textId="77777777">
        <w:tc>
          <w:tcPr>
            <w:tcW w:w="0" w:type="auto"/>
            <w:gridSpan w:val="3"/>
            <w:shd w:val="clear" w:color="auto" w:fill="CCEEFF"/>
            <w:tcMar>
              <w:top w:w="40" w:type="dxa"/>
              <w:left w:w="20" w:type="dxa"/>
              <w:bottom w:w="40" w:type="dxa"/>
              <w:right w:w="20" w:type="dxa"/>
            </w:tcMar>
            <w:vAlign w:val="bottom"/>
          </w:tcPr>
          <w:p w14:paraId="71D44CDF" w14:textId="77777777" w:rsidR="006A3667" w:rsidRDefault="00045F32">
            <w:pPr>
              <w:textAlignment w:val="bottom"/>
            </w:pPr>
            <w:r>
              <w:rPr>
                <w:rFonts w:ascii="Arial" w:eastAsia="宋体" w:hAnsi="Arial" w:cs="Arial"/>
                <w:color w:val="000000"/>
                <w:sz w:val="13"/>
                <w:szCs w:val="13"/>
              </w:rPr>
              <w:t>   Interest-bearing - U.S.</w:t>
            </w:r>
          </w:p>
        </w:tc>
        <w:tc>
          <w:tcPr>
            <w:tcW w:w="0" w:type="auto"/>
            <w:gridSpan w:val="2"/>
            <w:shd w:val="clear" w:color="auto" w:fill="CCEEFF"/>
            <w:tcMar>
              <w:top w:w="40" w:type="dxa"/>
              <w:left w:w="20" w:type="dxa"/>
              <w:bottom w:w="40" w:type="dxa"/>
              <w:right w:w="0" w:type="dxa"/>
            </w:tcMar>
            <w:vAlign w:val="bottom"/>
          </w:tcPr>
          <w:p w14:paraId="71D44CE0" w14:textId="77777777" w:rsidR="006A3667" w:rsidRDefault="00045F32">
            <w:pPr>
              <w:jc w:val="right"/>
              <w:textAlignment w:val="bottom"/>
            </w:pPr>
            <w:r>
              <w:rPr>
                <w:rFonts w:ascii="Arial" w:eastAsia="宋体" w:hAnsi="Arial" w:cs="Arial"/>
                <w:b/>
                <w:bCs/>
                <w:color w:val="000000"/>
                <w:sz w:val="13"/>
                <w:szCs w:val="13"/>
              </w:rPr>
              <w:t>105,021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E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E3" w14:textId="77777777" w:rsidR="006A3667" w:rsidRDefault="00045F32">
            <w:pPr>
              <w:jc w:val="right"/>
              <w:textAlignment w:val="bottom"/>
            </w:pPr>
            <w:r>
              <w:rPr>
                <w:rFonts w:ascii="Arial" w:eastAsia="宋体" w:hAnsi="Arial" w:cs="Arial"/>
                <w:b/>
                <w:bCs/>
                <w:color w:val="000000"/>
                <w:sz w:val="13"/>
                <w:szCs w:val="13"/>
              </w:rPr>
              <w:t>105,021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E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E6"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E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E9" w14:textId="77777777" w:rsidR="006A3667" w:rsidRDefault="00045F32">
            <w:pPr>
              <w:jc w:val="right"/>
              <w:textAlignment w:val="bottom"/>
            </w:pPr>
            <w:r>
              <w:rPr>
                <w:rFonts w:ascii="Arial" w:eastAsia="宋体" w:hAnsi="Arial" w:cs="Arial"/>
                <w:b/>
                <w:bCs/>
                <w:color w:val="000000"/>
                <w:sz w:val="13"/>
                <w:szCs w:val="13"/>
              </w:rPr>
              <w:t>105,021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CE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CEC"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CED" w14:textId="77777777" w:rsidR="006A3667" w:rsidRDefault="006A3667">
            <w:pPr>
              <w:jc w:val="right"/>
              <w:rPr>
                <w:rFonts w:ascii="宋体"/>
              </w:rPr>
            </w:pPr>
          </w:p>
        </w:tc>
      </w:tr>
      <w:tr w:rsidR="006A3667" w14:paraId="71D44CFE" w14:textId="77777777">
        <w:tc>
          <w:tcPr>
            <w:tcW w:w="0" w:type="auto"/>
            <w:gridSpan w:val="3"/>
            <w:shd w:val="clear" w:color="auto" w:fill="FFFFFF"/>
            <w:tcMar>
              <w:top w:w="40" w:type="dxa"/>
              <w:left w:w="20" w:type="dxa"/>
              <w:bottom w:w="40" w:type="dxa"/>
              <w:right w:w="20" w:type="dxa"/>
            </w:tcMar>
            <w:vAlign w:val="bottom"/>
          </w:tcPr>
          <w:p w14:paraId="71D44CEF" w14:textId="77777777" w:rsidR="006A3667" w:rsidRDefault="00045F32">
            <w:pPr>
              <w:textAlignment w:val="bottom"/>
            </w:pPr>
            <w:r>
              <w:rPr>
                <w:rFonts w:ascii="Arial" w:eastAsia="宋体" w:hAnsi="Arial" w:cs="Arial"/>
                <w:color w:val="000000"/>
                <w:sz w:val="13"/>
                <w:szCs w:val="13"/>
              </w:rPr>
              <w:t>   Interest-bearing - non-U.S.</w:t>
            </w:r>
          </w:p>
        </w:tc>
        <w:tc>
          <w:tcPr>
            <w:tcW w:w="0" w:type="auto"/>
            <w:gridSpan w:val="2"/>
            <w:shd w:val="clear" w:color="auto" w:fill="FFFFFF"/>
            <w:tcMar>
              <w:top w:w="40" w:type="dxa"/>
              <w:left w:w="20" w:type="dxa"/>
              <w:bottom w:w="40" w:type="dxa"/>
              <w:right w:w="0" w:type="dxa"/>
            </w:tcMar>
            <w:vAlign w:val="bottom"/>
          </w:tcPr>
          <w:p w14:paraId="71D44CF0" w14:textId="77777777" w:rsidR="006A3667" w:rsidRDefault="00045F32">
            <w:pPr>
              <w:jc w:val="right"/>
              <w:textAlignment w:val="bottom"/>
            </w:pPr>
            <w:r>
              <w:rPr>
                <w:rFonts w:ascii="Arial" w:eastAsia="宋体" w:hAnsi="Arial" w:cs="Arial"/>
                <w:b/>
                <w:bCs/>
                <w:color w:val="000000"/>
                <w:sz w:val="13"/>
                <w:szCs w:val="13"/>
              </w:rPr>
              <w:t>77,321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F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F3" w14:textId="77777777" w:rsidR="006A3667" w:rsidRDefault="00045F32">
            <w:pPr>
              <w:jc w:val="right"/>
              <w:textAlignment w:val="bottom"/>
            </w:pPr>
            <w:r>
              <w:rPr>
                <w:rFonts w:ascii="Arial" w:eastAsia="宋体" w:hAnsi="Arial" w:cs="Arial"/>
                <w:b/>
                <w:bCs/>
                <w:color w:val="000000"/>
                <w:sz w:val="13"/>
                <w:szCs w:val="13"/>
              </w:rPr>
              <w:t>77,321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F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F6"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F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F9" w14:textId="77777777" w:rsidR="006A3667" w:rsidRDefault="00045F32">
            <w:pPr>
              <w:jc w:val="right"/>
              <w:textAlignment w:val="bottom"/>
            </w:pPr>
            <w:r>
              <w:rPr>
                <w:rFonts w:ascii="Arial" w:eastAsia="宋体" w:hAnsi="Arial" w:cs="Arial"/>
                <w:b/>
                <w:bCs/>
                <w:color w:val="000000"/>
                <w:sz w:val="13"/>
                <w:szCs w:val="13"/>
              </w:rPr>
              <w:t>77,321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F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CF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CFC"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CFD" w14:textId="77777777" w:rsidR="006A3667" w:rsidRDefault="006A3667">
            <w:pPr>
              <w:jc w:val="right"/>
              <w:rPr>
                <w:rFonts w:ascii="宋体"/>
              </w:rPr>
            </w:pPr>
          </w:p>
        </w:tc>
      </w:tr>
      <w:tr w:rsidR="006A3667" w14:paraId="71D44D0E" w14:textId="77777777">
        <w:tc>
          <w:tcPr>
            <w:tcW w:w="0" w:type="auto"/>
            <w:gridSpan w:val="3"/>
            <w:shd w:val="clear" w:color="auto" w:fill="CCEEFF"/>
            <w:tcMar>
              <w:top w:w="40" w:type="dxa"/>
              <w:left w:w="20" w:type="dxa"/>
              <w:bottom w:w="40" w:type="dxa"/>
              <w:right w:w="20" w:type="dxa"/>
            </w:tcMar>
            <w:vAlign w:val="bottom"/>
          </w:tcPr>
          <w:p w14:paraId="71D44CFF" w14:textId="77777777" w:rsidR="006A3667" w:rsidRDefault="00045F32">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CCEEFF"/>
            <w:tcMar>
              <w:top w:w="40" w:type="dxa"/>
              <w:left w:w="20" w:type="dxa"/>
              <w:bottom w:w="40" w:type="dxa"/>
              <w:right w:w="0" w:type="dxa"/>
            </w:tcMar>
            <w:vAlign w:val="bottom"/>
          </w:tcPr>
          <w:p w14:paraId="71D44D00" w14:textId="77777777" w:rsidR="006A3667" w:rsidRDefault="00045F32">
            <w:pPr>
              <w:jc w:val="right"/>
              <w:textAlignment w:val="bottom"/>
            </w:pPr>
            <w:r>
              <w:rPr>
                <w:rFonts w:ascii="Arial" w:eastAsia="宋体" w:hAnsi="Arial" w:cs="Arial"/>
                <w:b/>
                <w:bCs/>
                <w:color w:val="000000"/>
                <w:sz w:val="13"/>
                <w:szCs w:val="13"/>
              </w:rPr>
              <w:t>4,250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0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03" w14:textId="77777777" w:rsidR="006A3667" w:rsidRDefault="00045F32">
            <w:pPr>
              <w:jc w:val="right"/>
              <w:textAlignment w:val="bottom"/>
            </w:pPr>
            <w:r>
              <w:rPr>
                <w:rFonts w:ascii="Arial" w:eastAsia="宋体" w:hAnsi="Arial" w:cs="Arial"/>
                <w:b/>
                <w:bCs/>
                <w:color w:val="000000"/>
                <w:sz w:val="13"/>
                <w:szCs w:val="13"/>
              </w:rPr>
              <w:t>4,250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0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06"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09" w14:textId="77777777" w:rsidR="006A3667" w:rsidRDefault="00045F32">
            <w:pPr>
              <w:jc w:val="right"/>
              <w:textAlignment w:val="bottom"/>
            </w:pPr>
            <w:r>
              <w:rPr>
                <w:rFonts w:ascii="Arial" w:eastAsia="宋体" w:hAnsi="Arial" w:cs="Arial"/>
                <w:b/>
                <w:bCs/>
                <w:color w:val="000000"/>
                <w:sz w:val="13"/>
                <w:szCs w:val="13"/>
              </w:rPr>
              <w:t>4,250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0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0C"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0D" w14:textId="77777777" w:rsidR="006A3667" w:rsidRDefault="006A3667">
            <w:pPr>
              <w:jc w:val="right"/>
              <w:rPr>
                <w:rFonts w:ascii="宋体"/>
              </w:rPr>
            </w:pPr>
          </w:p>
        </w:tc>
      </w:tr>
      <w:tr w:rsidR="006A3667" w14:paraId="71D44D19" w14:textId="77777777">
        <w:trPr>
          <w:hidden/>
        </w:trPr>
        <w:tc>
          <w:tcPr>
            <w:tcW w:w="0" w:type="auto"/>
            <w:gridSpan w:val="3"/>
            <w:shd w:val="clear" w:color="auto" w:fill="auto"/>
            <w:vAlign w:val="bottom"/>
          </w:tcPr>
          <w:p w14:paraId="71D44D0F" w14:textId="77777777" w:rsidR="006A3667" w:rsidRDefault="006A3667">
            <w:pPr>
              <w:rPr>
                <w:rFonts w:ascii="宋体"/>
                <w:vanish/>
              </w:rPr>
            </w:pPr>
          </w:p>
        </w:tc>
        <w:tc>
          <w:tcPr>
            <w:tcW w:w="0" w:type="auto"/>
            <w:gridSpan w:val="3"/>
            <w:shd w:val="clear" w:color="auto" w:fill="auto"/>
            <w:vAlign w:val="bottom"/>
          </w:tcPr>
          <w:p w14:paraId="71D44D10" w14:textId="77777777" w:rsidR="006A3667" w:rsidRDefault="006A3667">
            <w:pPr>
              <w:rPr>
                <w:rFonts w:ascii="宋体"/>
                <w:vanish/>
              </w:rPr>
            </w:pPr>
          </w:p>
        </w:tc>
        <w:tc>
          <w:tcPr>
            <w:tcW w:w="0" w:type="auto"/>
            <w:gridSpan w:val="3"/>
            <w:shd w:val="clear" w:color="auto" w:fill="auto"/>
            <w:vAlign w:val="bottom"/>
          </w:tcPr>
          <w:p w14:paraId="71D44D11" w14:textId="77777777" w:rsidR="006A3667" w:rsidRDefault="006A3667">
            <w:pPr>
              <w:rPr>
                <w:rFonts w:ascii="宋体"/>
                <w:vanish/>
              </w:rPr>
            </w:pPr>
          </w:p>
        </w:tc>
        <w:tc>
          <w:tcPr>
            <w:tcW w:w="0" w:type="auto"/>
            <w:gridSpan w:val="3"/>
            <w:shd w:val="clear" w:color="auto" w:fill="auto"/>
            <w:vAlign w:val="bottom"/>
          </w:tcPr>
          <w:p w14:paraId="71D44D12" w14:textId="77777777" w:rsidR="006A3667" w:rsidRDefault="006A3667">
            <w:pPr>
              <w:rPr>
                <w:rFonts w:ascii="宋体"/>
                <w:vanish/>
              </w:rPr>
            </w:pPr>
          </w:p>
        </w:tc>
        <w:tc>
          <w:tcPr>
            <w:tcW w:w="0" w:type="auto"/>
            <w:gridSpan w:val="3"/>
            <w:shd w:val="clear" w:color="auto" w:fill="auto"/>
            <w:vAlign w:val="bottom"/>
          </w:tcPr>
          <w:p w14:paraId="71D44D13" w14:textId="77777777" w:rsidR="006A3667" w:rsidRDefault="006A3667">
            <w:pPr>
              <w:rPr>
                <w:rFonts w:ascii="宋体"/>
                <w:vanish/>
              </w:rPr>
            </w:pPr>
          </w:p>
        </w:tc>
        <w:tc>
          <w:tcPr>
            <w:tcW w:w="0" w:type="auto"/>
            <w:gridSpan w:val="3"/>
            <w:shd w:val="clear" w:color="auto" w:fill="auto"/>
            <w:vAlign w:val="bottom"/>
          </w:tcPr>
          <w:p w14:paraId="71D44D14" w14:textId="77777777" w:rsidR="006A3667" w:rsidRDefault="006A3667">
            <w:pPr>
              <w:rPr>
                <w:rFonts w:ascii="宋体"/>
                <w:vanish/>
              </w:rPr>
            </w:pPr>
          </w:p>
        </w:tc>
        <w:tc>
          <w:tcPr>
            <w:tcW w:w="0" w:type="auto"/>
            <w:gridSpan w:val="3"/>
            <w:shd w:val="clear" w:color="auto" w:fill="auto"/>
            <w:vAlign w:val="bottom"/>
          </w:tcPr>
          <w:p w14:paraId="71D44D15" w14:textId="77777777" w:rsidR="006A3667" w:rsidRDefault="006A3667">
            <w:pPr>
              <w:rPr>
                <w:rFonts w:ascii="宋体"/>
                <w:vanish/>
              </w:rPr>
            </w:pPr>
          </w:p>
        </w:tc>
        <w:tc>
          <w:tcPr>
            <w:tcW w:w="0" w:type="auto"/>
            <w:gridSpan w:val="3"/>
            <w:shd w:val="clear" w:color="auto" w:fill="auto"/>
            <w:vAlign w:val="bottom"/>
          </w:tcPr>
          <w:p w14:paraId="71D44D16" w14:textId="77777777" w:rsidR="006A3667" w:rsidRDefault="006A3667">
            <w:pPr>
              <w:rPr>
                <w:rFonts w:ascii="宋体"/>
                <w:vanish/>
              </w:rPr>
            </w:pPr>
          </w:p>
        </w:tc>
        <w:tc>
          <w:tcPr>
            <w:tcW w:w="0" w:type="auto"/>
            <w:gridSpan w:val="3"/>
            <w:shd w:val="clear" w:color="auto" w:fill="auto"/>
            <w:vAlign w:val="bottom"/>
          </w:tcPr>
          <w:p w14:paraId="71D44D17" w14:textId="77777777" w:rsidR="006A3667" w:rsidRDefault="006A3667">
            <w:pPr>
              <w:rPr>
                <w:rFonts w:ascii="宋体"/>
                <w:vanish/>
              </w:rPr>
            </w:pPr>
          </w:p>
        </w:tc>
        <w:tc>
          <w:tcPr>
            <w:tcW w:w="0" w:type="auto"/>
            <w:gridSpan w:val="3"/>
            <w:shd w:val="clear" w:color="auto" w:fill="auto"/>
            <w:vAlign w:val="bottom"/>
          </w:tcPr>
          <w:p w14:paraId="71D44D18" w14:textId="77777777" w:rsidR="006A3667" w:rsidRDefault="006A3667">
            <w:pPr>
              <w:rPr>
                <w:rFonts w:ascii="宋体"/>
                <w:vanish/>
              </w:rPr>
            </w:pPr>
          </w:p>
        </w:tc>
      </w:tr>
      <w:tr w:rsidR="006A3667" w14:paraId="71D44D29" w14:textId="77777777">
        <w:tc>
          <w:tcPr>
            <w:tcW w:w="0" w:type="auto"/>
            <w:gridSpan w:val="3"/>
            <w:shd w:val="clear" w:color="auto" w:fill="FFFFFF"/>
            <w:tcMar>
              <w:top w:w="40" w:type="dxa"/>
              <w:left w:w="20" w:type="dxa"/>
              <w:bottom w:w="40" w:type="dxa"/>
              <w:right w:w="20" w:type="dxa"/>
            </w:tcMar>
            <w:vAlign w:val="bottom"/>
          </w:tcPr>
          <w:p w14:paraId="71D44D1A" w14:textId="77777777" w:rsidR="006A3667" w:rsidRDefault="00045F32">
            <w:pPr>
              <w:textAlignment w:val="bottom"/>
            </w:pPr>
            <w:r>
              <w:rPr>
                <w:rFonts w:ascii="Arial" w:eastAsia="宋体" w:hAnsi="Arial" w:cs="Arial"/>
                <w:color w:val="000000"/>
                <w:sz w:val="13"/>
                <w:szCs w:val="13"/>
              </w:rPr>
              <w:t>Other short-term borrowings</w:t>
            </w:r>
          </w:p>
        </w:tc>
        <w:tc>
          <w:tcPr>
            <w:tcW w:w="0" w:type="auto"/>
            <w:gridSpan w:val="2"/>
            <w:shd w:val="clear" w:color="auto" w:fill="FFFFFF"/>
            <w:tcMar>
              <w:top w:w="40" w:type="dxa"/>
              <w:left w:w="20" w:type="dxa"/>
              <w:bottom w:w="40" w:type="dxa"/>
              <w:right w:w="0" w:type="dxa"/>
            </w:tcMar>
            <w:vAlign w:val="bottom"/>
          </w:tcPr>
          <w:p w14:paraId="71D44D1B" w14:textId="77777777" w:rsidR="006A3667" w:rsidRDefault="00045F32">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D1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1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1E" w14:textId="77777777" w:rsidR="006A3667" w:rsidRDefault="00045F32">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D1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2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21"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D2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2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24" w14:textId="77777777" w:rsidR="006A3667" w:rsidRDefault="00045F32">
            <w:pPr>
              <w:jc w:val="right"/>
              <w:textAlignment w:val="bottom"/>
            </w:pPr>
            <w:r>
              <w:rPr>
                <w:rFonts w:ascii="Arial" w:eastAsia="宋体" w:hAnsi="Arial" w:cs="Arial"/>
                <w:b/>
                <w:bCs/>
                <w:color w:val="000000"/>
                <w:sz w:val="13"/>
                <w:szCs w:val="13"/>
              </w:rPr>
              <w:t>109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D2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2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2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D28" w14:textId="77777777" w:rsidR="006A3667" w:rsidRDefault="006A3667">
            <w:pPr>
              <w:jc w:val="right"/>
              <w:rPr>
                <w:rFonts w:ascii="宋体"/>
              </w:rPr>
            </w:pPr>
          </w:p>
        </w:tc>
      </w:tr>
      <w:tr w:rsidR="006A3667" w14:paraId="71D44D34" w14:textId="77777777">
        <w:trPr>
          <w:hidden/>
        </w:trPr>
        <w:tc>
          <w:tcPr>
            <w:tcW w:w="0" w:type="auto"/>
            <w:gridSpan w:val="3"/>
            <w:shd w:val="clear" w:color="auto" w:fill="auto"/>
            <w:vAlign w:val="bottom"/>
          </w:tcPr>
          <w:p w14:paraId="71D44D2A" w14:textId="77777777" w:rsidR="006A3667" w:rsidRDefault="006A3667">
            <w:pPr>
              <w:rPr>
                <w:rFonts w:ascii="宋体"/>
                <w:vanish/>
              </w:rPr>
            </w:pPr>
          </w:p>
        </w:tc>
        <w:tc>
          <w:tcPr>
            <w:tcW w:w="0" w:type="auto"/>
            <w:gridSpan w:val="3"/>
            <w:shd w:val="clear" w:color="auto" w:fill="auto"/>
            <w:vAlign w:val="bottom"/>
          </w:tcPr>
          <w:p w14:paraId="71D44D2B" w14:textId="77777777" w:rsidR="006A3667" w:rsidRDefault="006A3667">
            <w:pPr>
              <w:rPr>
                <w:rFonts w:ascii="宋体"/>
                <w:vanish/>
              </w:rPr>
            </w:pPr>
          </w:p>
        </w:tc>
        <w:tc>
          <w:tcPr>
            <w:tcW w:w="0" w:type="auto"/>
            <w:gridSpan w:val="3"/>
            <w:shd w:val="clear" w:color="auto" w:fill="auto"/>
            <w:vAlign w:val="bottom"/>
          </w:tcPr>
          <w:p w14:paraId="71D44D2C" w14:textId="77777777" w:rsidR="006A3667" w:rsidRDefault="006A3667">
            <w:pPr>
              <w:rPr>
                <w:rFonts w:ascii="宋体"/>
                <w:vanish/>
              </w:rPr>
            </w:pPr>
          </w:p>
        </w:tc>
        <w:tc>
          <w:tcPr>
            <w:tcW w:w="0" w:type="auto"/>
            <w:gridSpan w:val="3"/>
            <w:shd w:val="clear" w:color="auto" w:fill="auto"/>
            <w:vAlign w:val="bottom"/>
          </w:tcPr>
          <w:p w14:paraId="71D44D2D" w14:textId="77777777" w:rsidR="006A3667" w:rsidRDefault="006A3667">
            <w:pPr>
              <w:rPr>
                <w:rFonts w:ascii="宋体"/>
                <w:vanish/>
              </w:rPr>
            </w:pPr>
          </w:p>
        </w:tc>
        <w:tc>
          <w:tcPr>
            <w:tcW w:w="0" w:type="auto"/>
            <w:gridSpan w:val="3"/>
            <w:shd w:val="clear" w:color="auto" w:fill="auto"/>
            <w:vAlign w:val="bottom"/>
          </w:tcPr>
          <w:p w14:paraId="71D44D2E" w14:textId="77777777" w:rsidR="006A3667" w:rsidRDefault="006A3667">
            <w:pPr>
              <w:rPr>
                <w:rFonts w:ascii="宋体"/>
                <w:vanish/>
              </w:rPr>
            </w:pPr>
          </w:p>
        </w:tc>
        <w:tc>
          <w:tcPr>
            <w:tcW w:w="0" w:type="auto"/>
            <w:gridSpan w:val="3"/>
            <w:shd w:val="clear" w:color="auto" w:fill="auto"/>
            <w:vAlign w:val="bottom"/>
          </w:tcPr>
          <w:p w14:paraId="71D44D2F" w14:textId="77777777" w:rsidR="006A3667" w:rsidRDefault="006A3667">
            <w:pPr>
              <w:rPr>
                <w:rFonts w:ascii="宋体"/>
                <w:vanish/>
              </w:rPr>
            </w:pPr>
          </w:p>
        </w:tc>
        <w:tc>
          <w:tcPr>
            <w:tcW w:w="0" w:type="auto"/>
            <w:gridSpan w:val="3"/>
            <w:shd w:val="clear" w:color="auto" w:fill="auto"/>
            <w:vAlign w:val="bottom"/>
          </w:tcPr>
          <w:p w14:paraId="71D44D30" w14:textId="77777777" w:rsidR="006A3667" w:rsidRDefault="006A3667">
            <w:pPr>
              <w:rPr>
                <w:rFonts w:ascii="宋体"/>
                <w:vanish/>
              </w:rPr>
            </w:pPr>
          </w:p>
        </w:tc>
        <w:tc>
          <w:tcPr>
            <w:tcW w:w="0" w:type="auto"/>
            <w:gridSpan w:val="3"/>
            <w:shd w:val="clear" w:color="auto" w:fill="auto"/>
            <w:vAlign w:val="bottom"/>
          </w:tcPr>
          <w:p w14:paraId="71D44D31" w14:textId="77777777" w:rsidR="006A3667" w:rsidRDefault="006A3667">
            <w:pPr>
              <w:rPr>
                <w:rFonts w:ascii="宋体"/>
                <w:vanish/>
              </w:rPr>
            </w:pPr>
          </w:p>
        </w:tc>
        <w:tc>
          <w:tcPr>
            <w:tcW w:w="0" w:type="auto"/>
            <w:gridSpan w:val="3"/>
            <w:shd w:val="clear" w:color="auto" w:fill="auto"/>
            <w:vAlign w:val="bottom"/>
          </w:tcPr>
          <w:p w14:paraId="71D44D32" w14:textId="77777777" w:rsidR="006A3667" w:rsidRDefault="006A3667">
            <w:pPr>
              <w:rPr>
                <w:rFonts w:ascii="宋体"/>
                <w:vanish/>
              </w:rPr>
            </w:pPr>
          </w:p>
        </w:tc>
        <w:tc>
          <w:tcPr>
            <w:tcW w:w="0" w:type="auto"/>
            <w:gridSpan w:val="3"/>
            <w:shd w:val="clear" w:color="auto" w:fill="auto"/>
            <w:vAlign w:val="bottom"/>
          </w:tcPr>
          <w:p w14:paraId="71D44D33" w14:textId="77777777" w:rsidR="006A3667" w:rsidRDefault="006A3667">
            <w:pPr>
              <w:rPr>
                <w:rFonts w:ascii="宋体"/>
                <w:vanish/>
              </w:rPr>
            </w:pPr>
          </w:p>
        </w:tc>
      </w:tr>
      <w:tr w:rsidR="006A3667" w14:paraId="71D44D44" w14:textId="77777777">
        <w:tc>
          <w:tcPr>
            <w:tcW w:w="0" w:type="auto"/>
            <w:gridSpan w:val="3"/>
            <w:shd w:val="clear" w:color="auto" w:fill="CCEEFF"/>
            <w:tcMar>
              <w:top w:w="40" w:type="dxa"/>
              <w:left w:w="20" w:type="dxa"/>
              <w:bottom w:w="40" w:type="dxa"/>
              <w:right w:w="20" w:type="dxa"/>
            </w:tcMar>
            <w:vAlign w:val="bottom"/>
          </w:tcPr>
          <w:p w14:paraId="71D44D35" w14:textId="77777777" w:rsidR="006A3667" w:rsidRDefault="00045F32">
            <w:pPr>
              <w:textAlignment w:val="bottom"/>
            </w:pPr>
            <w:r>
              <w:rPr>
                <w:rFonts w:ascii="Arial" w:eastAsia="宋体" w:hAnsi="Arial" w:cs="Arial"/>
                <w:color w:val="000000"/>
                <w:sz w:val="13"/>
                <w:szCs w:val="13"/>
              </w:rPr>
              <w:t>Long-term debt</w:t>
            </w:r>
          </w:p>
        </w:tc>
        <w:tc>
          <w:tcPr>
            <w:tcW w:w="0" w:type="auto"/>
            <w:gridSpan w:val="2"/>
            <w:shd w:val="clear" w:color="auto" w:fill="CCEEFF"/>
            <w:tcMar>
              <w:top w:w="40" w:type="dxa"/>
              <w:left w:w="20" w:type="dxa"/>
              <w:bottom w:w="40" w:type="dxa"/>
              <w:right w:w="0" w:type="dxa"/>
            </w:tcMar>
            <w:vAlign w:val="bottom"/>
          </w:tcPr>
          <w:p w14:paraId="71D44D36" w14:textId="77777777" w:rsidR="006A3667" w:rsidRDefault="00045F32">
            <w:pPr>
              <w:jc w:val="right"/>
              <w:textAlignment w:val="bottom"/>
            </w:pPr>
            <w:r>
              <w:rPr>
                <w:rFonts w:ascii="Arial" w:eastAsia="宋体" w:hAnsi="Arial" w:cs="Arial"/>
                <w:b/>
                <w:bCs/>
                <w:color w:val="000000"/>
                <w:sz w:val="13"/>
                <w:szCs w:val="13"/>
              </w:rPr>
              <w:t>13,999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3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3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39" w14:textId="77777777" w:rsidR="006A3667" w:rsidRDefault="00045F32">
            <w:pPr>
              <w:jc w:val="right"/>
              <w:textAlignment w:val="bottom"/>
            </w:pPr>
            <w:r>
              <w:rPr>
                <w:rFonts w:ascii="Arial" w:eastAsia="宋体" w:hAnsi="Arial" w:cs="Arial"/>
                <w:b/>
                <w:bCs/>
                <w:color w:val="000000"/>
                <w:sz w:val="13"/>
                <w:szCs w:val="13"/>
              </w:rPr>
              <w:t>13,069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3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3C"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3F" w14:textId="77777777" w:rsidR="006A3667" w:rsidRDefault="00045F32">
            <w:pPr>
              <w:jc w:val="right"/>
              <w:textAlignment w:val="bottom"/>
            </w:pPr>
            <w:r>
              <w:rPr>
                <w:rFonts w:ascii="Arial" w:eastAsia="宋体" w:hAnsi="Arial" w:cs="Arial"/>
                <w:b/>
                <w:bCs/>
                <w:color w:val="000000"/>
                <w:sz w:val="13"/>
                <w:szCs w:val="13"/>
              </w:rPr>
              <w:t>12,913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4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42" w14:textId="77777777" w:rsidR="006A3667" w:rsidRDefault="00045F32">
            <w:pPr>
              <w:jc w:val="right"/>
              <w:textAlignment w:val="bottom"/>
            </w:pPr>
            <w:r>
              <w:rPr>
                <w:rFonts w:ascii="Arial" w:eastAsia="宋体" w:hAnsi="Arial" w:cs="Arial"/>
                <w:b/>
                <w:bCs/>
                <w:color w:val="000000"/>
                <w:sz w:val="13"/>
                <w:szCs w:val="13"/>
              </w:rPr>
              <w:t>156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43" w14:textId="77777777" w:rsidR="006A3667" w:rsidRDefault="006A3667">
            <w:pPr>
              <w:jc w:val="right"/>
              <w:rPr>
                <w:rFonts w:ascii="宋体"/>
              </w:rPr>
            </w:pPr>
          </w:p>
        </w:tc>
      </w:tr>
      <w:tr w:rsidR="006A3667" w14:paraId="71D44D4F" w14:textId="77777777">
        <w:trPr>
          <w:hidden/>
        </w:trPr>
        <w:tc>
          <w:tcPr>
            <w:tcW w:w="0" w:type="auto"/>
            <w:gridSpan w:val="3"/>
            <w:shd w:val="clear" w:color="auto" w:fill="auto"/>
            <w:vAlign w:val="bottom"/>
          </w:tcPr>
          <w:p w14:paraId="71D44D45" w14:textId="77777777" w:rsidR="006A3667" w:rsidRDefault="006A3667">
            <w:pPr>
              <w:rPr>
                <w:rFonts w:ascii="宋体"/>
                <w:vanish/>
              </w:rPr>
            </w:pPr>
          </w:p>
        </w:tc>
        <w:tc>
          <w:tcPr>
            <w:tcW w:w="0" w:type="auto"/>
            <w:gridSpan w:val="3"/>
            <w:shd w:val="clear" w:color="auto" w:fill="auto"/>
            <w:vAlign w:val="bottom"/>
          </w:tcPr>
          <w:p w14:paraId="71D44D46" w14:textId="77777777" w:rsidR="006A3667" w:rsidRDefault="006A3667">
            <w:pPr>
              <w:rPr>
                <w:rFonts w:ascii="宋体"/>
                <w:vanish/>
              </w:rPr>
            </w:pPr>
          </w:p>
        </w:tc>
        <w:tc>
          <w:tcPr>
            <w:tcW w:w="0" w:type="auto"/>
            <w:gridSpan w:val="3"/>
            <w:shd w:val="clear" w:color="auto" w:fill="auto"/>
            <w:vAlign w:val="bottom"/>
          </w:tcPr>
          <w:p w14:paraId="71D44D47" w14:textId="77777777" w:rsidR="006A3667" w:rsidRDefault="006A3667">
            <w:pPr>
              <w:rPr>
                <w:rFonts w:ascii="宋体"/>
                <w:vanish/>
              </w:rPr>
            </w:pPr>
          </w:p>
        </w:tc>
        <w:tc>
          <w:tcPr>
            <w:tcW w:w="0" w:type="auto"/>
            <w:gridSpan w:val="3"/>
            <w:shd w:val="clear" w:color="auto" w:fill="auto"/>
            <w:vAlign w:val="bottom"/>
          </w:tcPr>
          <w:p w14:paraId="71D44D48" w14:textId="77777777" w:rsidR="006A3667" w:rsidRDefault="006A3667">
            <w:pPr>
              <w:rPr>
                <w:rFonts w:ascii="宋体"/>
                <w:vanish/>
              </w:rPr>
            </w:pPr>
          </w:p>
        </w:tc>
        <w:tc>
          <w:tcPr>
            <w:tcW w:w="0" w:type="auto"/>
            <w:gridSpan w:val="3"/>
            <w:shd w:val="clear" w:color="auto" w:fill="auto"/>
            <w:vAlign w:val="bottom"/>
          </w:tcPr>
          <w:p w14:paraId="71D44D49" w14:textId="77777777" w:rsidR="006A3667" w:rsidRDefault="006A3667">
            <w:pPr>
              <w:rPr>
                <w:rFonts w:ascii="宋体"/>
                <w:vanish/>
              </w:rPr>
            </w:pPr>
          </w:p>
        </w:tc>
        <w:tc>
          <w:tcPr>
            <w:tcW w:w="0" w:type="auto"/>
            <w:gridSpan w:val="3"/>
            <w:shd w:val="clear" w:color="auto" w:fill="auto"/>
            <w:vAlign w:val="bottom"/>
          </w:tcPr>
          <w:p w14:paraId="71D44D4A" w14:textId="77777777" w:rsidR="006A3667" w:rsidRDefault="006A3667">
            <w:pPr>
              <w:rPr>
                <w:rFonts w:ascii="宋体"/>
                <w:vanish/>
              </w:rPr>
            </w:pPr>
          </w:p>
        </w:tc>
        <w:tc>
          <w:tcPr>
            <w:tcW w:w="0" w:type="auto"/>
            <w:gridSpan w:val="3"/>
            <w:shd w:val="clear" w:color="auto" w:fill="auto"/>
            <w:vAlign w:val="bottom"/>
          </w:tcPr>
          <w:p w14:paraId="71D44D4B" w14:textId="77777777" w:rsidR="006A3667" w:rsidRDefault="006A3667">
            <w:pPr>
              <w:rPr>
                <w:rFonts w:ascii="宋体"/>
                <w:vanish/>
              </w:rPr>
            </w:pPr>
          </w:p>
        </w:tc>
        <w:tc>
          <w:tcPr>
            <w:tcW w:w="0" w:type="auto"/>
            <w:gridSpan w:val="3"/>
            <w:shd w:val="clear" w:color="auto" w:fill="auto"/>
            <w:vAlign w:val="bottom"/>
          </w:tcPr>
          <w:p w14:paraId="71D44D4C" w14:textId="77777777" w:rsidR="006A3667" w:rsidRDefault="006A3667">
            <w:pPr>
              <w:rPr>
                <w:rFonts w:ascii="宋体"/>
                <w:vanish/>
              </w:rPr>
            </w:pPr>
          </w:p>
        </w:tc>
        <w:tc>
          <w:tcPr>
            <w:tcW w:w="0" w:type="auto"/>
            <w:gridSpan w:val="3"/>
            <w:shd w:val="clear" w:color="auto" w:fill="auto"/>
            <w:vAlign w:val="bottom"/>
          </w:tcPr>
          <w:p w14:paraId="71D44D4D" w14:textId="77777777" w:rsidR="006A3667" w:rsidRDefault="006A3667">
            <w:pPr>
              <w:rPr>
                <w:rFonts w:ascii="宋体"/>
                <w:vanish/>
              </w:rPr>
            </w:pPr>
          </w:p>
        </w:tc>
        <w:tc>
          <w:tcPr>
            <w:tcW w:w="0" w:type="auto"/>
            <w:gridSpan w:val="3"/>
            <w:shd w:val="clear" w:color="auto" w:fill="auto"/>
            <w:vAlign w:val="bottom"/>
          </w:tcPr>
          <w:p w14:paraId="71D44D4E" w14:textId="77777777" w:rsidR="006A3667" w:rsidRDefault="006A3667">
            <w:pPr>
              <w:rPr>
                <w:rFonts w:ascii="宋体"/>
                <w:vanish/>
              </w:rPr>
            </w:pPr>
          </w:p>
        </w:tc>
      </w:tr>
    </w:tbl>
    <w:p w14:paraId="71D44D50"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6A3667" w14:paraId="71D44D5D" w14:textId="77777777">
        <w:tc>
          <w:tcPr>
            <w:tcW w:w="50" w:type="pct"/>
            <w:shd w:val="clear" w:color="auto" w:fill="auto"/>
            <w:vAlign w:val="bottom"/>
          </w:tcPr>
          <w:p w14:paraId="71D44D51" w14:textId="77777777" w:rsidR="006A3667" w:rsidRDefault="006A3667">
            <w:pPr>
              <w:rPr>
                <w:rFonts w:ascii="宋体"/>
              </w:rPr>
            </w:pPr>
          </w:p>
        </w:tc>
        <w:tc>
          <w:tcPr>
            <w:tcW w:w="1348" w:type="pct"/>
            <w:shd w:val="clear" w:color="auto" w:fill="auto"/>
            <w:vAlign w:val="bottom"/>
          </w:tcPr>
          <w:p w14:paraId="71D44D52" w14:textId="77777777" w:rsidR="006A3667" w:rsidRDefault="006A3667">
            <w:pPr>
              <w:rPr>
                <w:rFonts w:ascii="宋体"/>
              </w:rPr>
            </w:pPr>
          </w:p>
        </w:tc>
        <w:tc>
          <w:tcPr>
            <w:tcW w:w="5" w:type="pct"/>
            <w:shd w:val="clear" w:color="auto" w:fill="auto"/>
            <w:vAlign w:val="bottom"/>
          </w:tcPr>
          <w:p w14:paraId="71D44D53" w14:textId="77777777" w:rsidR="006A3667" w:rsidRDefault="006A3667">
            <w:pPr>
              <w:rPr>
                <w:rFonts w:ascii="宋体"/>
              </w:rPr>
            </w:pPr>
          </w:p>
        </w:tc>
        <w:tc>
          <w:tcPr>
            <w:tcW w:w="50" w:type="pct"/>
            <w:shd w:val="clear" w:color="auto" w:fill="auto"/>
            <w:vAlign w:val="bottom"/>
          </w:tcPr>
          <w:p w14:paraId="71D44D54" w14:textId="77777777" w:rsidR="006A3667" w:rsidRDefault="006A3667">
            <w:pPr>
              <w:rPr>
                <w:rFonts w:ascii="宋体"/>
              </w:rPr>
            </w:pPr>
          </w:p>
        </w:tc>
        <w:tc>
          <w:tcPr>
            <w:tcW w:w="968" w:type="pct"/>
            <w:shd w:val="clear" w:color="auto" w:fill="auto"/>
            <w:vAlign w:val="bottom"/>
          </w:tcPr>
          <w:p w14:paraId="71D44D55" w14:textId="77777777" w:rsidR="006A3667" w:rsidRDefault="006A3667">
            <w:pPr>
              <w:rPr>
                <w:rFonts w:ascii="宋体"/>
              </w:rPr>
            </w:pPr>
          </w:p>
        </w:tc>
        <w:tc>
          <w:tcPr>
            <w:tcW w:w="5" w:type="pct"/>
            <w:shd w:val="clear" w:color="auto" w:fill="auto"/>
            <w:vAlign w:val="bottom"/>
          </w:tcPr>
          <w:p w14:paraId="71D44D56" w14:textId="77777777" w:rsidR="006A3667" w:rsidRDefault="006A3667">
            <w:pPr>
              <w:rPr>
                <w:rFonts w:ascii="宋体"/>
              </w:rPr>
            </w:pPr>
          </w:p>
        </w:tc>
        <w:tc>
          <w:tcPr>
            <w:tcW w:w="50" w:type="pct"/>
            <w:shd w:val="clear" w:color="auto" w:fill="auto"/>
            <w:vAlign w:val="bottom"/>
          </w:tcPr>
          <w:p w14:paraId="71D44D57" w14:textId="77777777" w:rsidR="006A3667" w:rsidRDefault="006A3667">
            <w:pPr>
              <w:rPr>
                <w:rFonts w:ascii="宋体"/>
              </w:rPr>
            </w:pPr>
          </w:p>
        </w:tc>
        <w:tc>
          <w:tcPr>
            <w:tcW w:w="858" w:type="pct"/>
            <w:shd w:val="clear" w:color="auto" w:fill="auto"/>
            <w:vAlign w:val="bottom"/>
          </w:tcPr>
          <w:p w14:paraId="71D44D58" w14:textId="77777777" w:rsidR="006A3667" w:rsidRDefault="006A3667">
            <w:pPr>
              <w:rPr>
                <w:rFonts w:ascii="宋体"/>
              </w:rPr>
            </w:pPr>
          </w:p>
        </w:tc>
        <w:tc>
          <w:tcPr>
            <w:tcW w:w="5" w:type="pct"/>
            <w:shd w:val="clear" w:color="auto" w:fill="auto"/>
            <w:vAlign w:val="bottom"/>
          </w:tcPr>
          <w:p w14:paraId="71D44D59" w14:textId="77777777" w:rsidR="006A3667" w:rsidRDefault="006A3667">
            <w:pPr>
              <w:rPr>
                <w:rFonts w:ascii="宋体"/>
              </w:rPr>
            </w:pPr>
          </w:p>
        </w:tc>
        <w:tc>
          <w:tcPr>
            <w:tcW w:w="50" w:type="pct"/>
            <w:shd w:val="clear" w:color="auto" w:fill="auto"/>
            <w:vAlign w:val="bottom"/>
          </w:tcPr>
          <w:p w14:paraId="71D44D5A" w14:textId="77777777" w:rsidR="006A3667" w:rsidRDefault="006A3667">
            <w:pPr>
              <w:rPr>
                <w:rFonts w:ascii="宋体"/>
              </w:rPr>
            </w:pPr>
          </w:p>
        </w:tc>
        <w:tc>
          <w:tcPr>
            <w:tcW w:w="1604" w:type="pct"/>
            <w:shd w:val="clear" w:color="auto" w:fill="auto"/>
            <w:vAlign w:val="bottom"/>
          </w:tcPr>
          <w:p w14:paraId="71D44D5B" w14:textId="77777777" w:rsidR="006A3667" w:rsidRDefault="006A3667">
            <w:pPr>
              <w:rPr>
                <w:rFonts w:ascii="宋体"/>
              </w:rPr>
            </w:pPr>
          </w:p>
        </w:tc>
        <w:tc>
          <w:tcPr>
            <w:tcW w:w="5" w:type="pct"/>
            <w:shd w:val="clear" w:color="auto" w:fill="auto"/>
            <w:vAlign w:val="bottom"/>
          </w:tcPr>
          <w:p w14:paraId="71D44D5C" w14:textId="77777777" w:rsidR="006A3667" w:rsidRDefault="006A3667">
            <w:pPr>
              <w:rPr>
                <w:rFonts w:ascii="宋体"/>
              </w:rPr>
            </w:pPr>
          </w:p>
        </w:tc>
      </w:tr>
      <w:tr w:rsidR="006A3667" w14:paraId="71D44D6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4D5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5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6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61" w14:textId="77777777" w:rsidR="006A3667" w:rsidRDefault="006A3667">
            <w:pPr>
              <w:rPr>
                <w:rFonts w:ascii="宋体"/>
              </w:rPr>
            </w:pPr>
          </w:p>
        </w:tc>
      </w:tr>
    </w:tbl>
    <w:p w14:paraId="71D44D63" w14:textId="77777777" w:rsidR="006A3667" w:rsidRDefault="00045F32">
      <w:pPr>
        <w:spacing w:before="20"/>
      </w:pPr>
      <w:r>
        <w:rPr>
          <w:rFonts w:ascii="Arial" w:eastAsia="宋体" w:hAnsi="Arial" w:cs="Arial"/>
          <w:color w:val="000000"/>
          <w:sz w:val="7"/>
          <w:szCs w:val="7"/>
        </w:rPr>
        <w:t>(1)</w:t>
      </w:r>
      <w:r>
        <w:rPr>
          <w:rFonts w:ascii="Arial" w:eastAsia="宋体" w:hAnsi="Arial" w:cs="Arial"/>
          <w:color w:val="000000"/>
          <w:sz w:val="12"/>
          <w:szCs w:val="12"/>
        </w:rPr>
        <w:t xml:space="preserve"> No loans were classified as held-for-sale that were measured at fair value in level 2 as of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45"/>
        <w:gridCol w:w="2268"/>
        <w:gridCol w:w="39"/>
        <w:gridCol w:w="94"/>
        <w:gridCol w:w="741"/>
        <w:gridCol w:w="36"/>
        <w:gridCol w:w="36"/>
        <w:gridCol w:w="36"/>
        <w:gridCol w:w="36"/>
        <w:gridCol w:w="94"/>
        <w:gridCol w:w="688"/>
        <w:gridCol w:w="36"/>
        <w:gridCol w:w="36"/>
        <w:gridCol w:w="36"/>
        <w:gridCol w:w="36"/>
        <w:gridCol w:w="94"/>
        <w:gridCol w:w="1082"/>
        <w:gridCol w:w="36"/>
        <w:gridCol w:w="36"/>
        <w:gridCol w:w="36"/>
        <w:gridCol w:w="36"/>
        <w:gridCol w:w="94"/>
        <w:gridCol w:w="1130"/>
        <w:gridCol w:w="36"/>
        <w:gridCol w:w="36"/>
        <w:gridCol w:w="36"/>
        <w:gridCol w:w="36"/>
        <w:gridCol w:w="94"/>
        <w:gridCol w:w="1261"/>
        <w:gridCol w:w="36"/>
      </w:tblGrid>
      <w:tr w:rsidR="006A3667" w14:paraId="71D44D82" w14:textId="77777777">
        <w:tc>
          <w:tcPr>
            <w:tcW w:w="50" w:type="pct"/>
            <w:shd w:val="clear" w:color="auto" w:fill="auto"/>
            <w:vAlign w:val="bottom"/>
          </w:tcPr>
          <w:p w14:paraId="71D44D64" w14:textId="77777777" w:rsidR="006A3667" w:rsidRDefault="006A3667">
            <w:pPr>
              <w:rPr>
                <w:rFonts w:ascii="宋体"/>
              </w:rPr>
            </w:pPr>
          </w:p>
        </w:tc>
        <w:tc>
          <w:tcPr>
            <w:tcW w:w="1399" w:type="pct"/>
            <w:shd w:val="clear" w:color="auto" w:fill="auto"/>
            <w:vAlign w:val="bottom"/>
          </w:tcPr>
          <w:p w14:paraId="71D44D65" w14:textId="77777777" w:rsidR="006A3667" w:rsidRDefault="006A3667">
            <w:pPr>
              <w:rPr>
                <w:rFonts w:ascii="宋体"/>
              </w:rPr>
            </w:pPr>
          </w:p>
        </w:tc>
        <w:tc>
          <w:tcPr>
            <w:tcW w:w="5" w:type="pct"/>
            <w:shd w:val="clear" w:color="auto" w:fill="auto"/>
            <w:vAlign w:val="bottom"/>
          </w:tcPr>
          <w:p w14:paraId="71D44D66" w14:textId="77777777" w:rsidR="006A3667" w:rsidRDefault="006A3667">
            <w:pPr>
              <w:rPr>
                <w:rFonts w:ascii="宋体"/>
              </w:rPr>
            </w:pPr>
          </w:p>
        </w:tc>
        <w:tc>
          <w:tcPr>
            <w:tcW w:w="50" w:type="pct"/>
            <w:shd w:val="clear" w:color="auto" w:fill="auto"/>
            <w:vAlign w:val="bottom"/>
          </w:tcPr>
          <w:p w14:paraId="71D44D67" w14:textId="77777777" w:rsidR="006A3667" w:rsidRDefault="006A3667">
            <w:pPr>
              <w:rPr>
                <w:rFonts w:ascii="宋体"/>
              </w:rPr>
            </w:pPr>
          </w:p>
        </w:tc>
        <w:tc>
          <w:tcPr>
            <w:tcW w:w="478" w:type="pct"/>
            <w:shd w:val="clear" w:color="auto" w:fill="auto"/>
            <w:vAlign w:val="bottom"/>
          </w:tcPr>
          <w:p w14:paraId="71D44D68" w14:textId="77777777" w:rsidR="006A3667" w:rsidRDefault="006A3667">
            <w:pPr>
              <w:rPr>
                <w:rFonts w:ascii="宋体"/>
              </w:rPr>
            </w:pPr>
          </w:p>
        </w:tc>
        <w:tc>
          <w:tcPr>
            <w:tcW w:w="5" w:type="pct"/>
            <w:shd w:val="clear" w:color="auto" w:fill="auto"/>
            <w:vAlign w:val="bottom"/>
          </w:tcPr>
          <w:p w14:paraId="71D44D69" w14:textId="77777777" w:rsidR="006A3667" w:rsidRDefault="006A3667">
            <w:pPr>
              <w:rPr>
                <w:rFonts w:ascii="宋体"/>
              </w:rPr>
            </w:pPr>
          </w:p>
        </w:tc>
        <w:tc>
          <w:tcPr>
            <w:tcW w:w="5" w:type="pct"/>
            <w:shd w:val="clear" w:color="auto" w:fill="auto"/>
            <w:vAlign w:val="bottom"/>
          </w:tcPr>
          <w:p w14:paraId="71D44D6A" w14:textId="77777777" w:rsidR="006A3667" w:rsidRDefault="006A3667">
            <w:pPr>
              <w:rPr>
                <w:rFonts w:ascii="宋体"/>
              </w:rPr>
            </w:pPr>
          </w:p>
        </w:tc>
        <w:tc>
          <w:tcPr>
            <w:tcW w:w="26" w:type="pct"/>
            <w:shd w:val="clear" w:color="auto" w:fill="auto"/>
            <w:vAlign w:val="bottom"/>
          </w:tcPr>
          <w:p w14:paraId="71D44D6B" w14:textId="77777777" w:rsidR="006A3667" w:rsidRDefault="006A3667">
            <w:pPr>
              <w:rPr>
                <w:rFonts w:ascii="宋体"/>
              </w:rPr>
            </w:pPr>
          </w:p>
        </w:tc>
        <w:tc>
          <w:tcPr>
            <w:tcW w:w="5" w:type="pct"/>
            <w:shd w:val="clear" w:color="auto" w:fill="auto"/>
            <w:vAlign w:val="bottom"/>
          </w:tcPr>
          <w:p w14:paraId="71D44D6C" w14:textId="77777777" w:rsidR="006A3667" w:rsidRDefault="006A3667">
            <w:pPr>
              <w:rPr>
                <w:rFonts w:ascii="宋体"/>
              </w:rPr>
            </w:pPr>
          </w:p>
        </w:tc>
        <w:tc>
          <w:tcPr>
            <w:tcW w:w="50" w:type="pct"/>
            <w:shd w:val="clear" w:color="auto" w:fill="auto"/>
            <w:vAlign w:val="bottom"/>
          </w:tcPr>
          <w:p w14:paraId="71D44D6D" w14:textId="77777777" w:rsidR="006A3667" w:rsidRDefault="006A3667">
            <w:pPr>
              <w:rPr>
                <w:rFonts w:ascii="宋体"/>
              </w:rPr>
            </w:pPr>
          </w:p>
        </w:tc>
        <w:tc>
          <w:tcPr>
            <w:tcW w:w="471" w:type="pct"/>
            <w:shd w:val="clear" w:color="auto" w:fill="auto"/>
            <w:vAlign w:val="bottom"/>
          </w:tcPr>
          <w:p w14:paraId="71D44D6E" w14:textId="77777777" w:rsidR="006A3667" w:rsidRDefault="006A3667">
            <w:pPr>
              <w:rPr>
                <w:rFonts w:ascii="宋体"/>
              </w:rPr>
            </w:pPr>
          </w:p>
        </w:tc>
        <w:tc>
          <w:tcPr>
            <w:tcW w:w="5" w:type="pct"/>
            <w:shd w:val="clear" w:color="auto" w:fill="auto"/>
            <w:vAlign w:val="bottom"/>
          </w:tcPr>
          <w:p w14:paraId="71D44D6F" w14:textId="77777777" w:rsidR="006A3667" w:rsidRDefault="006A3667">
            <w:pPr>
              <w:rPr>
                <w:rFonts w:ascii="宋体"/>
              </w:rPr>
            </w:pPr>
          </w:p>
        </w:tc>
        <w:tc>
          <w:tcPr>
            <w:tcW w:w="5" w:type="pct"/>
            <w:shd w:val="clear" w:color="auto" w:fill="auto"/>
            <w:vAlign w:val="bottom"/>
          </w:tcPr>
          <w:p w14:paraId="71D44D70" w14:textId="77777777" w:rsidR="006A3667" w:rsidRDefault="006A3667">
            <w:pPr>
              <w:rPr>
                <w:rFonts w:ascii="宋体"/>
              </w:rPr>
            </w:pPr>
          </w:p>
        </w:tc>
        <w:tc>
          <w:tcPr>
            <w:tcW w:w="26" w:type="pct"/>
            <w:shd w:val="clear" w:color="auto" w:fill="auto"/>
            <w:vAlign w:val="bottom"/>
          </w:tcPr>
          <w:p w14:paraId="71D44D71" w14:textId="77777777" w:rsidR="006A3667" w:rsidRDefault="006A3667">
            <w:pPr>
              <w:rPr>
                <w:rFonts w:ascii="宋体"/>
              </w:rPr>
            </w:pPr>
          </w:p>
        </w:tc>
        <w:tc>
          <w:tcPr>
            <w:tcW w:w="5" w:type="pct"/>
            <w:shd w:val="clear" w:color="auto" w:fill="auto"/>
            <w:vAlign w:val="bottom"/>
          </w:tcPr>
          <w:p w14:paraId="71D44D72" w14:textId="77777777" w:rsidR="006A3667" w:rsidRDefault="006A3667">
            <w:pPr>
              <w:rPr>
                <w:rFonts w:ascii="宋体"/>
              </w:rPr>
            </w:pPr>
          </w:p>
        </w:tc>
        <w:tc>
          <w:tcPr>
            <w:tcW w:w="50" w:type="pct"/>
            <w:shd w:val="clear" w:color="auto" w:fill="auto"/>
            <w:vAlign w:val="bottom"/>
          </w:tcPr>
          <w:p w14:paraId="71D44D73" w14:textId="77777777" w:rsidR="006A3667" w:rsidRDefault="006A3667">
            <w:pPr>
              <w:rPr>
                <w:rFonts w:ascii="宋体"/>
              </w:rPr>
            </w:pPr>
          </w:p>
        </w:tc>
        <w:tc>
          <w:tcPr>
            <w:tcW w:w="705" w:type="pct"/>
            <w:shd w:val="clear" w:color="auto" w:fill="auto"/>
            <w:vAlign w:val="bottom"/>
          </w:tcPr>
          <w:p w14:paraId="71D44D74" w14:textId="77777777" w:rsidR="006A3667" w:rsidRDefault="006A3667">
            <w:pPr>
              <w:rPr>
                <w:rFonts w:ascii="宋体"/>
              </w:rPr>
            </w:pPr>
          </w:p>
        </w:tc>
        <w:tc>
          <w:tcPr>
            <w:tcW w:w="5" w:type="pct"/>
            <w:shd w:val="clear" w:color="auto" w:fill="auto"/>
            <w:vAlign w:val="bottom"/>
          </w:tcPr>
          <w:p w14:paraId="71D44D75" w14:textId="77777777" w:rsidR="006A3667" w:rsidRDefault="006A3667">
            <w:pPr>
              <w:rPr>
                <w:rFonts w:ascii="宋体"/>
              </w:rPr>
            </w:pPr>
          </w:p>
        </w:tc>
        <w:tc>
          <w:tcPr>
            <w:tcW w:w="5" w:type="pct"/>
            <w:shd w:val="clear" w:color="auto" w:fill="auto"/>
            <w:vAlign w:val="bottom"/>
          </w:tcPr>
          <w:p w14:paraId="71D44D76" w14:textId="77777777" w:rsidR="006A3667" w:rsidRDefault="006A3667">
            <w:pPr>
              <w:rPr>
                <w:rFonts w:ascii="宋体"/>
              </w:rPr>
            </w:pPr>
          </w:p>
        </w:tc>
        <w:tc>
          <w:tcPr>
            <w:tcW w:w="26" w:type="pct"/>
            <w:shd w:val="clear" w:color="auto" w:fill="auto"/>
            <w:vAlign w:val="bottom"/>
          </w:tcPr>
          <w:p w14:paraId="71D44D77" w14:textId="77777777" w:rsidR="006A3667" w:rsidRDefault="006A3667">
            <w:pPr>
              <w:rPr>
                <w:rFonts w:ascii="宋体"/>
              </w:rPr>
            </w:pPr>
          </w:p>
        </w:tc>
        <w:tc>
          <w:tcPr>
            <w:tcW w:w="5" w:type="pct"/>
            <w:shd w:val="clear" w:color="auto" w:fill="auto"/>
            <w:vAlign w:val="bottom"/>
          </w:tcPr>
          <w:p w14:paraId="71D44D78" w14:textId="77777777" w:rsidR="006A3667" w:rsidRDefault="006A3667">
            <w:pPr>
              <w:rPr>
                <w:rFonts w:ascii="宋体"/>
              </w:rPr>
            </w:pPr>
          </w:p>
        </w:tc>
        <w:tc>
          <w:tcPr>
            <w:tcW w:w="50" w:type="pct"/>
            <w:shd w:val="clear" w:color="auto" w:fill="auto"/>
            <w:vAlign w:val="bottom"/>
          </w:tcPr>
          <w:p w14:paraId="71D44D79" w14:textId="77777777" w:rsidR="006A3667" w:rsidRDefault="006A3667">
            <w:pPr>
              <w:rPr>
                <w:rFonts w:ascii="宋体"/>
              </w:rPr>
            </w:pPr>
          </w:p>
        </w:tc>
        <w:tc>
          <w:tcPr>
            <w:tcW w:w="734" w:type="pct"/>
            <w:shd w:val="clear" w:color="auto" w:fill="auto"/>
            <w:vAlign w:val="bottom"/>
          </w:tcPr>
          <w:p w14:paraId="71D44D7A" w14:textId="77777777" w:rsidR="006A3667" w:rsidRDefault="006A3667">
            <w:pPr>
              <w:rPr>
                <w:rFonts w:ascii="宋体"/>
              </w:rPr>
            </w:pPr>
          </w:p>
        </w:tc>
        <w:tc>
          <w:tcPr>
            <w:tcW w:w="5" w:type="pct"/>
            <w:shd w:val="clear" w:color="auto" w:fill="auto"/>
            <w:vAlign w:val="bottom"/>
          </w:tcPr>
          <w:p w14:paraId="71D44D7B" w14:textId="77777777" w:rsidR="006A3667" w:rsidRDefault="006A3667">
            <w:pPr>
              <w:rPr>
                <w:rFonts w:ascii="宋体"/>
              </w:rPr>
            </w:pPr>
          </w:p>
        </w:tc>
        <w:tc>
          <w:tcPr>
            <w:tcW w:w="5" w:type="pct"/>
            <w:shd w:val="clear" w:color="auto" w:fill="auto"/>
            <w:vAlign w:val="bottom"/>
          </w:tcPr>
          <w:p w14:paraId="71D44D7C" w14:textId="77777777" w:rsidR="006A3667" w:rsidRDefault="006A3667">
            <w:pPr>
              <w:rPr>
                <w:rFonts w:ascii="宋体"/>
              </w:rPr>
            </w:pPr>
          </w:p>
        </w:tc>
        <w:tc>
          <w:tcPr>
            <w:tcW w:w="26" w:type="pct"/>
            <w:shd w:val="clear" w:color="auto" w:fill="auto"/>
            <w:vAlign w:val="bottom"/>
          </w:tcPr>
          <w:p w14:paraId="71D44D7D" w14:textId="77777777" w:rsidR="006A3667" w:rsidRDefault="006A3667">
            <w:pPr>
              <w:rPr>
                <w:rFonts w:ascii="宋体"/>
              </w:rPr>
            </w:pPr>
          </w:p>
        </w:tc>
        <w:tc>
          <w:tcPr>
            <w:tcW w:w="5" w:type="pct"/>
            <w:shd w:val="clear" w:color="auto" w:fill="auto"/>
            <w:vAlign w:val="bottom"/>
          </w:tcPr>
          <w:p w14:paraId="71D44D7E" w14:textId="77777777" w:rsidR="006A3667" w:rsidRDefault="006A3667">
            <w:pPr>
              <w:rPr>
                <w:rFonts w:ascii="宋体"/>
              </w:rPr>
            </w:pPr>
          </w:p>
        </w:tc>
        <w:tc>
          <w:tcPr>
            <w:tcW w:w="50" w:type="pct"/>
            <w:shd w:val="clear" w:color="auto" w:fill="auto"/>
            <w:vAlign w:val="bottom"/>
          </w:tcPr>
          <w:p w14:paraId="71D44D7F" w14:textId="77777777" w:rsidR="006A3667" w:rsidRDefault="006A3667">
            <w:pPr>
              <w:rPr>
                <w:rFonts w:ascii="宋体"/>
              </w:rPr>
            </w:pPr>
          </w:p>
        </w:tc>
        <w:tc>
          <w:tcPr>
            <w:tcW w:w="734" w:type="pct"/>
            <w:shd w:val="clear" w:color="auto" w:fill="auto"/>
            <w:vAlign w:val="bottom"/>
          </w:tcPr>
          <w:p w14:paraId="71D44D80" w14:textId="77777777" w:rsidR="006A3667" w:rsidRDefault="006A3667">
            <w:pPr>
              <w:rPr>
                <w:rFonts w:ascii="宋体"/>
              </w:rPr>
            </w:pPr>
          </w:p>
        </w:tc>
        <w:tc>
          <w:tcPr>
            <w:tcW w:w="5" w:type="pct"/>
            <w:shd w:val="clear" w:color="auto" w:fill="auto"/>
            <w:vAlign w:val="bottom"/>
          </w:tcPr>
          <w:p w14:paraId="71D44D81" w14:textId="77777777" w:rsidR="006A3667" w:rsidRDefault="006A3667">
            <w:pPr>
              <w:rPr>
                <w:rFonts w:ascii="宋体"/>
              </w:rPr>
            </w:pPr>
          </w:p>
        </w:tc>
      </w:tr>
      <w:tr w:rsidR="006A3667" w14:paraId="71D44D89" w14:textId="77777777">
        <w:tc>
          <w:tcPr>
            <w:tcW w:w="0" w:type="auto"/>
            <w:gridSpan w:val="3"/>
            <w:shd w:val="clear" w:color="auto" w:fill="auto"/>
            <w:tcMar>
              <w:top w:w="0" w:type="dxa"/>
              <w:left w:w="20" w:type="dxa"/>
              <w:bottom w:w="0" w:type="dxa"/>
              <w:right w:w="20" w:type="dxa"/>
            </w:tcMar>
            <w:vAlign w:val="bottom"/>
          </w:tcPr>
          <w:p w14:paraId="71D44D8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8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8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8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87"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4D88" w14:textId="77777777" w:rsidR="006A3667" w:rsidRDefault="00045F32">
            <w:pPr>
              <w:jc w:val="center"/>
              <w:textAlignment w:val="bottom"/>
            </w:pPr>
            <w:r>
              <w:rPr>
                <w:rFonts w:ascii="Arial" w:eastAsia="宋体" w:hAnsi="Arial" w:cs="Arial"/>
                <w:b/>
                <w:bCs/>
                <w:color w:val="000000"/>
                <w:sz w:val="13"/>
                <w:szCs w:val="13"/>
              </w:rPr>
              <w:t>Fair Value Hierarchy</w:t>
            </w:r>
          </w:p>
        </w:tc>
      </w:tr>
      <w:tr w:rsidR="006A3667" w14:paraId="71D44D94" w14:textId="77777777">
        <w:tc>
          <w:tcPr>
            <w:tcW w:w="0" w:type="auto"/>
            <w:gridSpan w:val="3"/>
            <w:shd w:val="clear" w:color="auto" w:fill="auto"/>
            <w:tcMar>
              <w:top w:w="40" w:type="dxa"/>
              <w:left w:w="20" w:type="dxa"/>
              <w:bottom w:w="40" w:type="dxa"/>
              <w:right w:w="20" w:type="dxa"/>
            </w:tcMar>
            <w:vAlign w:val="bottom"/>
          </w:tcPr>
          <w:p w14:paraId="71D44D8A"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1D44D8B" w14:textId="77777777" w:rsidR="006A3667" w:rsidRDefault="00045F32">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71D44D8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4D8D" w14:textId="77777777" w:rsidR="006A3667" w:rsidRDefault="00045F32">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71D44D8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D8F" w14:textId="77777777" w:rsidR="006A3667" w:rsidRDefault="00045F32">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D9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D91" w14:textId="77777777" w:rsidR="006A3667" w:rsidRDefault="00045F32">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D9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D93" w14:textId="77777777" w:rsidR="006A3667" w:rsidRDefault="00045F32">
            <w:pPr>
              <w:jc w:val="center"/>
              <w:textAlignment w:val="bottom"/>
            </w:pPr>
            <w:r>
              <w:rPr>
                <w:rFonts w:ascii="Arial" w:eastAsia="宋体" w:hAnsi="Arial" w:cs="Arial"/>
                <w:b/>
                <w:bCs/>
                <w:color w:val="000000"/>
                <w:sz w:val="13"/>
                <w:szCs w:val="13"/>
              </w:rPr>
              <w:t>Pricing Methods with Significant Unobservable Market Inputs (Level 3)</w:t>
            </w:r>
          </w:p>
        </w:tc>
      </w:tr>
      <w:tr w:rsidR="006A3667" w14:paraId="71D44D9F" w14:textId="77777777">
        <w:tc>
          <w:tcPr>
            <w:tcW w:w="0" w:type="auto"/>
            <w:gridSpan w:val="3"/>
            <w:shd w:val="clear" w:color="auto" w:fill="auto"/>
            <w:tcMar>
              <w:top w:w="40" w:type="dxa"/>
              <w:left w:w="20" w:type="dxa"/>
              <w:bottom w:w="40" w:type="dxa"/>
              <w:right w:w="20" w:type="dxa"/>
            </w:tcMar>
            <w:vAlign w:val="bottom"/>
          </w:tcPr>
          <w:p w14:paraId="71D44D95" w14:textId="77777777" w:rsidR="006A3667" w:rsidRDefault="00045F32">
            <w:pPr>
              <w:textAlignment w:val="bottom"/>
            </w:pPr>
            <w:r>
              <w:rPr>
                <w:rFonts w:ascii="Arial" w:eastAsia="宋体" w:hAnsi="Arial" w:cs="Arial"/>
                <w:b/>
                <w:bCs/>
                <w:color w:val="000000"/>
                <w:sz w:val="13"/>
                <w:szCs w:val="13"/>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D9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9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D9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9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D9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9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D9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9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D9E" w14:textId="77777777" w:rsidR="006A3667" w:rsidRDefault="006A3667">
            <w:pPr>
              <w:rPr>
                <w:rFonts w:ascii="宋体"/>
              </w:rPr>
            </w:pPr>
          </w:p>
        </w:tc>
      </w:tr>
      <w:tr w:rsidR="006A3667" w14:paraId="71D44DAA" w14:textId="77777777">
        <w:tc>
          <w:tcPr>
            <w:tcW w:w="0" w:type="auto"/>
            <w:gridSpan w:val="3"/>
            <w:shd w:val="clear" w:color="auto" w:fill="auto"/>
            <w:tcMar>
              <w:top w:w="40" w:type="dxa"/>
              <w:left w:w="20" w:type="dxa"/>
              <w:bottom w:w="40" w:type="dxa"/>
              <w:right w:w="20" w:type="dxa"/>
            </w:tcMar>
            <w:vAlign w:val="bottom"/>
          </w:tcPr>
          <w:p w14:paraId="71D44DA0" w14:textId="77777777" w:rsidR="006A3667" w:rsidRDefault="00045F32">
            <w:pPr>
              <w:textAlignment w:val="bottom"/>
            </w:pPr>
            <w:r>
              <w:rPr>
                <w:rFonts w:ascii="Arial" w:eastAsia="宋体" w:hAnsi="Arial" w:cs="Arial"/>
                <w:b/>
                <w:bCs/>
                <w:color w:val="000000"/>
                <w:sz w:val="13"/>
                <w:szCs w:val="13"/>
              </w:rPr>
              <w:t>Financial Assets:</w:t>
            </w:r>
          </w:p>
        </w:tc>
        <w:tc>
          <w:tcPr>
            <w:tcW w:w="0" w:type="auto"/>
            <w:gridSpan w:val="3"/>
            <w:shd w:val="clear" w:color="auto" w:fill="auto"/>
            <w:tcMar>
              <w:top w:w="0" w:type="dxa"/>
              <w:left w:w="20" w:type="dxa"/>
              <w:bottom w:w="0" w:type="dxa"/>
              <w:right w:w="20" w:type="dxa"/>
            </w:tcMar>
            <w:vAlign w:val="bottom"/>
          </w:tcPr>
          <w:p w14:paraId="71D44DA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A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A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A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A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A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A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A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DA9" w14:textId="77777777" w:rsidR="006A3667" w:rsidRDefault="006A3667">
            <w:pPr>
              <w:rPr>
                <w:rFonts w:ascii="宋体"/>
              </w:rPr>
            </w:pPr>
          </w:p>
        </w:tc>
      </w:tr>
      <w:tr w:rsidR="006A3667" w14:paraId="71D44DBF" w14:textId="77777777">
        <w:tc>
          <w:tcPr>
            <w:tcW w:w="0" w:type="auto"/>
            <w:gridSpan w:val="3"/>
            <w:shd w:val="clear" w:color="auto" w:fill="CCEEFF"/>
            <w:tcMar>
              <w:top w:w="40" w:type="dxa"/>
              <w:left w:w="20" w:type="dxa"/>
              <w:bottom w:w="40" w:type="dxa"/>
              <w:right w:w="20" w:type="dxa"/>
            </w:tcMar>
            <w:vAlign w:val="bottom"/>
          </w:tcPr>
          <w:p w14:paraId="71D44DAB" w14:textId="77777777" w:rsidR="006A3667" w:rsidRDefault="00045F32">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71D44DAC"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DAD" w14:textId="77777777" w:rsidR="006A3667" w:rsidRDefault="00045F32">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71D44D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A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DB0"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DB1" w14:textId="77777777" w:rsidR="006A3667" w:rsidRDefault="00045F32">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71D44D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B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DB4"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DB5" w14:textId="77777777" w:rsidR="006A3667" w:rsidRDefault="00045F32">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71D44D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B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DB8"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DB9"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B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DBC"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DBD"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BE" w14:textId="77777777" w:rsidR="006A3667" w:rsidRDefault="006A3667">
            <w:pPr>
              <w:jc w:val="right"/>
              <w:rPr>
                <w:rFonts w:ascii="宋体"/>
              </w:rPr>
            </w:pPr>
          </w:p>
        </w:tc>
      </w:tr>
      <w:tr w:rsidR="006A3667" w14:paraId="71D44DCF" w14:textId="77777777">
        <w:tc>
          <w:tcPr>
            <w:tcW w:w="0" w:type="auto"/>
            <w:gridSpan w:val="3"/>
            <w:shd w:val="clear" w:color="auto" w:fill="FFFFFF"/>
            <w:tcMar>
              <w:top w:w="40" w:type="dxa"/>
              <w:left w:w="20" w:type="dxa"/>
              <w:bottom w:w="40" w:type="dxa"/>
              <w:right w:w="20" w:type="dxa"/>
            </w:tcMar>
            <w:vAlign w:val="bottom"/>
          </w:tcPr>
          <w:p w14:paraId="71D44DC0" w14:textId="77777777" w:rsidR="006A3667" w:rsidRDefault="00045F32">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71D44DC1" w14:textId="77777777" w:rsidR="006A3667" w:rsidRDefault="00045F32">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71D44DC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C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C4" w14:textId="77777777" w:rsidR="006A3667" w:rsidRDefault="00045F32">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71D44DC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C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C7"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DC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C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CA" w14:textId="77777777" w:rsidR="006A3667" w:rsidRDefault="00045F32">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71D44D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CD"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DCE" w14:textId="77777777" w:rsidR="006A3667" w:rsidRDefault="006A3667">
            <w:pPr>
              <w:jc w:val="right"/>
              <w:rPr>
                <w:rFonts w:ascii="宋体"/>
              </w:rPr>
            </w:pPr>
          </w:p>
        </w:tc>
      </w:tr>
      <w:tr w:rsidR="006A3667" w14:paraId="71D44DDF" w14:textId="77777777">
        <w:tc>
          <w:tcPr>
            <w:tcW w:w="0" w:type="auto"/>
            <w:gridSpan w:val="3"/>
            <w:shd w:val="clear" w:color="auto" w:fill="CCEEFF"/>
            <w:tcMar>
              <w:top w:w="40" w:type="dxa"/>
              <w:left w:w="20" w:type="dxa"/>
              <w:bottom w:w="40" w:type="dxa"/>
              <w:right w:w="20" w:type="dxa"/>
            </w:tcMar>
            <w:vAlign w:val="bottom"/>
          </w:tcPr>
          <w:p w14:paraId="71D44DD0" w14:textId="77777777" w:rsidR="006A3667" w:rsidRDefault="00045F32">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71D44DD1" w14:textId="77777777" w:rsidR="006A3667" w:rsidRDefault="00045F32">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71D44DD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D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D4" w14:textId="77777777" w:rsidR="006A3667" w:rsidRDefault="00045F32">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71D44DD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D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D7"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D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DA" w14:textId="77777777" w:rsidR="006A3667" w:rsidRDefault="00045F32">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71D44D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D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DD"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DDE" w14:textId="77777777" w:rsidR="006A3667" w:rsidRDefault="006A3667">
            <w:pPr>
              <w:jc w:val="right"/>
              <w:rPr>
                <w:rFonts w:ascii="宋体"/>
              </w:rPr>
            </w:pPr>
          </w:p>
        </w:tc>
      </w:tr>
      <w:tr w:rsidR="006A3667" w14:paraId="71D44DEA" w14:textId="77777777">
        <w:trPr>
          <w:hidden/>
        </w:trPr>
        <w:tc>
          <w:tcPr>
            <w:tcW w:w="0" w:type="auto"/>
            <w:gridSpan w:val="3"/>
            <w:shd w:val="clear" w:color="auto" w:fill="auto"/>
            <w:vAlign w:val="bottom"/>
          </w:tcPr>
          <w:p w14:paraId="71D44DE0" w14:textId="77777777" w:rsidR="006A3667" w:rsidRDefault="006A3667">
            <w:pPr>
              <w:rPr>
                <w:rFonts w:ascii="宋体"/>
                <w:vanish/>
              </w:rPr>
            </w:pPr>
          </w:p>
        </w:tc>
        <w:tc>
          <w:tcPr>
            <w:tcW w:w="0" w:type="auto"/>
            <w:gridSpan w:val="3"/>
            <w:shd w:val="clear" w:color="auto" w:fill="auto"/>
            <w:vAlign w:val="bottom"/>
          </w:tcPr>
          <w:p w14:paraId="71D44DE1" w14:textId="77777777" w:rsidR="006A3667" w:rsidRDefault="006A3667">
            <w:pPr>
              <w:rPr>
                <w:rFonts w:ascii="宋体"/>
                <w:vanish/>
              </w:rPr>
            </w:pPr>
          </w:p>
        </w:tc>
        <w:tc>
          <w:tcPr>
            <w:tcW w:w="0" w:type="auto"/>
            <w:gridSpan w:val="3"/>
            <w:shd w:val="clear" w:color="auto" w:fill="auto"/>
            <w:vAlign w:val="bottom"/>
          </w:tcPr>
          <w:p w14:paraId="71D44DE2" w14:textId="77777777" w:rsidR="006A3667" w:rsidRDefault="006A3667">
            <w:pPr>
              <w:rPr>
                <w:rFonts w:ascii="宋体"/>
                <w:vanish/>
              </w:rPr>
            </w:pPr>
          </w:p>
        </w:tc>
        <w:tc>
          <w:tcPr>
            <w:tcW w:w="0" w:type="auto"/>
            <w:gridSpan w:val="3"/>
            <w:shd w:val="clear" w:color="auto" w:fill="auto"/>
            <w:vAlign w:val="bottom"/>
          </w:tcPr>
          <w:p w14:paraId="71D44DE3" w14:textId="77777777" w:rsidR="006A3667" w:rsidRDefault="006A3667">
            <w:pPr>
              <w:rPr>
                <w:rFonts w:ascii="宋体"/>
                <w:vanish/>
              </w:rPr>
            </w:pPr>
          </w:p>
        </w:tc>
        <w:tc>
          <w:tcPr>
            <w:tcW w:w="0" w:type="auto"/>
            <w:gridSpan w:val="3"/>
            <w:shd w:val="clear" w:color="auto" w:fill="auto"/>
            <w:vAlign w:val="bottom"/>
          </w:tcPr>
          <w:p w14:paraId="71D44DE4" w14:textId="77777777" w:rsidR="006A3667" w:rsidRDefault="006A3667">
            <w:pPr>
              <w:rPr>
                <w:rFonts w:ascii="宋体"/>
                <w:vanish/>
              </w:rPr>
            </w:pPr>
          </w:p>
        </w:tc>
        <w:tc>
          <w:tcPr>
            <w:tcW w:w="0" w:type="auto"/>
            <w:gridSpan w:val="3"/>
            <w:shd w:val="clear" w:color="auto" w:fill="auto"/>
            <w:vAlign w:val="bottom"/>
          </w:tcPr>
          <w:p w14:paraId="71D44DE5" w14:textId="77777777" w:rsidR="006A3667" w:rsidRDefault="006A3667">
            <w:pPr>
              <w:rPr>
                <w:rFonts w:ascii="宋体"/>
                <w:vanish/>
              </w:rPr>
            </w:pPr>
          </w:p>
        </w:tc>
        <w:tc>
          <w:tcPr>
            <w:tcW w:w="0" w:type="auto"/>
            <w:gridSpan w:val="3"/>
            <w:shd w:val="clear" w:color="auto" w:fill="auto"/>
            <w:vAlign w:val="bottom"/>
          </w:tcPr>
          <w:p w14:paraId="71D44DE6" w14:textId="77777777" w:rsidR="006A3667" w:rsidRDefault="006A3667">
            <w:pPr>
              <w:rPr>
                <w:rFonts w:ascii="宋体"/>
                <w:vanish/>
              </w:rPr>
            </w:pPr>
          </w:p>
        </w:tc>
        <w:tc>
          <w:tcPr>
            <w:tcW w:w="0" w:type="auto"/>
            <w:gridSpan w:val="3"/>
            <w:shd w:val="clear" w:color="auto" w:fill="auto"/>
            <w:vAlign w:val="bottom"/>
          </w:tcPr>
          <w:p w14:paraId="71D44DE7" w14:textId="77777777" w:rsidR="006A3667" w:rsidRDefault="006A3667">
            <w:pPr>
              <w:rPr>
                <w:rFonts w:ascii="宋体"/>
                <w:vanish/>
              </w:rPr>
            </w:pPr>
          </w:p>
        </w:tc>
        <w:tc>
          <w:tcPr>
            <w:tcW w:w="0" w:type="auto"/>
            <w:gridSpan w:val="3"/>
            <w:shd w:val="clear" w:color="auto" w:fill="auto"/>
            <w:vAlign w:val="bottom"/>
          </w:tcPr>
          <w:p w14:paraId="71D44DE8" w14:textId="77777777" w:rsidR="006A3667" w:rsidRDefault="006A3667">
            <w:pPr>
              <w:rPr>
                <w:rFonts w:ascii="宋体"/>
                <w:vanish/>
              </w:rPr>
            </w:pPr>
          </w:p>
        </w:tc>
        <w:tc>
          <w:tcPr>
            <w:tcW w:w="0" w:type="auto"/>
            <w:gridSpan w:val="3"/>
            <w:shd w:val="clear" w:color="auto" w:fill="auto"/>
            <w:vAlign w:val="bottom"/>
          </w:tcPr>
          <w:p w14:paraId="71D44DE9" w14:textId="77777777" w:rsidR="006A3667" w:rsidRDefault="006A3667">
            <w:pPr>
              <w:rPr>
                <w:rFonts w:ascii="宋体"/>
                <w:vanish/>
              </w:rPr>
            </w:pPr>
          </w:p>
        </w:tc>
      </w:tr>
      <w:tr w:rsidR="006A3667" w14:paraId="71D44DFA" w14:textId="77777777">
        <w:tc>
          <w:tcPr>
            <w:tcW w:w="0" w:type="auto"/>
            <w:gridSpan w:val="3"/>
            <w:shd w:val="clear" w:color="auto" w:fill="FFFFFF"/>
            <w:tcMar>
              <w:top w:w="40" w:type="dxa"/>
              <w:left w:w="20" w:type="dxa"/>
              <w:bottom w:w="40" w:type="dxa"/>
              <w:right w:w="20" w:type="dxa"/>
            </w:tcMar>
            <w:vAlign w:val="bottom"/>
          </w:tcPr>
          <w:p w14:paraId="71D44DEB" w14:textId="77777777" w:rsidR="006A3667" w:rsidRDefault="00045F32">
            <w:pPr>
              <w:textAlignment w:val="bottom"/>
            </w:pPr>
            <w:r>
              <w:rPr>
                <w:rFonts w:ascii="Arial" w:eastAsia="宋体" w:hAnsi="Arial" w:cs="Arial"/>
                <w:color w:val="000000"/>
                <w:sz w:val="13"/>
                <w:szCs w:val="13"/>
              </w:rPr>
              <w:t>Investment securities held-to-maturity</w:t>
            </w:r>
          </w:p>
        </w:tc>
        <w:tc>
          <w:tcPr>
            <w:tcW w:w="0" w:type="auto"/>
            <w:gridSpan w:val="2"/>
            <w:shd w:val="clear" w:color="auto" w:fill="FFFFFF"/>
            <w:tcMar>
              <w:top w:w="40" w:type="dxa"/>
              <w:left w:w="20" w:type="dxa"/>
              <w:bottom w:w="40" w:type="dxa"/>
              <w:right w:w="0" w:type="dxa"/>
            </w:tcMar>
            <w:vAlign w:val="bottom"/>
          </w:tcPr>
          <w:p w14:paraId="71D44DEC" w14:textId="77777777" w:rsidR="006A3667" w:rsidRDefault="00045F32">
            <w:pPr>
              <w:jc w:val="right"/>
              <w:textAlignment w:val="bottom"/>
            </w:pPr>
            <w:r>
              <w:rPr>
                <w:rFonts w:ascii="Arial" w:eastAsia="宋体" w:hAnsi="Arial" w:cs="Arial"/>
                <w:color w:val="000000"/>
                <w:sz w:val="13"/>
                <w:szCs w:val="13"/>
              </w:rPr>
              <w:t>42,430 </w:t>
            </w:r>
          </w:p>
        </w:tc>
        <w:tc>
          <w:tcPr>
            <w:tcW w:w="0" w:type="auto"/>
            <w:shd w:val="clear" w:color="auto" w:fill="FFFFFF"/>
            <w:tcMar>
              <w:top w:w="40" w:type="dxa"/>
              <w:left w:w="0" w:type="dxa"/>
              <w:bottom w:w="40" w:type="dxa"/>
              <w:right w:w="20" w:type="dxa"/>
            </w:tcMar>
            <w:vAlign w:val="bottom"/>
          </w:tcPr>
          <w:p w14:paraId="71D44DE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E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EF" w14:textId="77777777" w:rsidR="006A3667" w:rsidRDefault="00045F32">
            <w:pPr>
              <w:jc w:val="right"/>
              <w:textAlignment w:val="bottom"/>
            </w:pPr>
            <w:r>
              <w:rPr>
                <w:rFonts w:ascii="Arial" w:eastAsia="宋体" w:hAnsi="Arial" w:cs="Arial"/>
                <w:color w:val="000000"/>
                <w:sz w:val="13"/>
                <w:szCs w:val="13"/>
              </w:rPr>
              <w:t>42,271 </w:t>
            </w:r>
          </w:p>
        </w:tc>
        <w:tc>
          <w:tcPr>
            <w:tcW w:w="0" w:type="auto"/>
            <w:shd w:val="clear" w:color="auto" w:fill="FFFFFF"/>
            <w:tcMar>
              <w:top w:w="40" w:type="dxa"/>
              <w:left w:w="0" w:type="dxa"/>
              <w:bottom w:w="40" w:type="dxa"/>
              <w:right w:w="20" w:type="dxa"/>
            </w:tcMar>
            <w:vAlign w:val="bottom"/>
          </w:tcPr>
          <w:p w14:paraId="71D44DF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F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F2" w14:textId="77777777" w:rsidR="006A3667" w:rsidRDefault="00045F32">
            <w:pPr>
              <w:jc w:val="right"/>
              <w:textAlignment w:val="bottom"/>
            </w:pPr>
            <w:r>
              <w:rPr>
                <w:rFonts w:ascii="Arial" w:eastAsia="宋体" w:hAnsi="Arial" w:cs="Arial"/>
                <w:color w:val="000000"/>
                <w:sz w:val="13"/>
                <w:szCs w:val="13"/>
              </w:rPr>
              <w:t>2,160 </w:t>
            </w:r>
          </w:p>
        </w:tc>
        <w:tc>
          <w:tcPr>
            <w:tcW w:w="0" w:type="auto"/>
            <w:shd w:val="clear" w:color="auto" w:fill="FFFFFF"/>
            <w:tcMar>
              <w:top w:w="40" w:type="dxa"/>
              <w:left w:w="0" w:type="dxa"/>
              <w:bottom w:w="40" w:type="dxa"/>
              <w:right w:w="20" w:type="dxa"/>
            </w:tcMar>
            <w:vAlign w:val="bottom"/>
          </w:tcPr>
          <w:p w14:paraId="71D44DF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F5" w14:textId="77777777" w:rsidR="006A3667" w:rsidRDefault="00045F32">
            <w:pPr>
              <w:jc w:val="right"/>
              <w:textAlignment w:val="bottom"/>
            </w:pPr>
            <w:r>
              <w:rPr>
                <w:rFonts w:ascii="Arial" w:eastAsia="宋体" w:hAnsi="Arial" w:cs="Arial"/>
                <w:color w:val="000000"/>
                <w:sz w:val="13"/>
                <w:szCs w:val="13"/>
              </w:rPr>
              <w:t>40,111 </w:t>
            </w:r>
          </w:p>
        </w:tc>
        <w:tc>
          <w:tcPr>
            <w:tcW w:w="0" w:type="auto"/>
            <w:shd w:val="clear" w:color="auto" w:fill="FFFFFF"/>
            <w:tcMar>
              <w:top w:w="40" w:type="dxa"/>
              <w:left w:w="0" w:type="dxa"/>
              <w:bottom w:w="40" w:type="dxa"/>
              <w:right w:w="20" w:type="dxa"/>
            </w:tcMar>
            <w:vAlign w:val="bottom"/>
          </w:tcPr>
          <w:p w14:paraId="71D44D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DF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DF8"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DF9" w14:textId="77777777" w:rsidR="006A3667" w:rsidRDefault="006A3667">
            <w:pPr>
              <w:jc w:val="right"/>
              <w:rPr>
                <w:rFonts w:ascii="宋体"/>
              </w:rPr>
            </w:pPr>
          </w:p>
        </w:tc>
      </w:tr>
      <w:tr w:rsidR="006A3667" w14:paraId="71D44E0A" w14:textId="77777777">
        <w:tc>
          <w:tcPr>
            <w:tcW w:w="0" w:type="auto"/>
            <w:gridSpan w:val="3"/>
            <w:shd w:val="clear" w:color="auto" w:fill="CCEEFF"/>
            <w:tcMar>
              <w:top w:w="40" w:type="dxa"/>
              <w:left w:w="20" w:type="dxa"/>
              <w:bottom w:w="40" w:type="dxa"/>
              <w:right w:w="20" w:type="dxa"/>
            </w:tcMar>
            <w:vAlign w:val="bottom"/>
          </w:tcPr>
          <w:p w14:paraId="71D44DFB" w14:textId="77777777" w:rsidR="006A3667" w:rsidRDefault="00045F32">
            <w:pPr>
              <w:textAlignment w:val="bottom"/>
            </w:pPr>
            <w:r>
              <w:rPr>
                <w:rFonts w:ascii="Arial" w:eastAsia="宋体" w:hAnsi="Arial" w:cs="Arial"/>
                <w:color w:val="000000"/>
                <w:sz w:val="13"/>
                <w:szCs w:val="13"/>
              </w:rPr>
              <w:t>Net loans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71D44DFC" w14:textId="77777777" w:rsidR="006A3667" w:rsidRDefault="00045F32">
            <w:pPr>
              <w:jc w:val="right"/>
              <w:textAlignment w:val="bottom"/>
            </w:pPr>
            <w:r>
              <w:rPr>
                <w:rFonts w:ascii="Arial" w:eastAsia="宋体" w:hAnsi="Arial" w:cs="Arial"/>
                <w:color w:val="000000"/>
                <w:sz w:val="13"/>
                <w:szCs w:val="13"/>
              </w:rPr>
              <w:t>32,445 </w:t>
            </w:r>
          </w:p>
        </w:tc>
        <w:tc>
          <w:tcPr>
            <w:tcW w:w="0" w:type="auto"/>
            <w:shd w:val="clear" w:color="auto" w:fill="CCEEFF"/>
            <w:tcMar>
              <w:top w:w="40" w:type="dxa"/>
              <w:left w:w="0" w:type="dxa"/>
              <w:bottom w:w="40" w:type="dxa"/>
              <w:right w:w="20" w:type="dxa"/>
            </w:tcMar>
            <w:vAlign w:val="bottom"/>
          </w:tcPr>
          <w:p w14:paraId="71D44D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DF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DFF" w14:textId="77777777" w:rsidR="006A3667" w:rsidRDefault="00045F32">
            <w:pPr>
              <w:jc w:val="right"/>
              <w:textAlignment w:val="bottom"/>
            </w:pPr>
            <w:r>
              <w:rPr>
                <w:rFonts w:ascii="Arial" w:eastAsia="宋体" w:hAnsi="Arial" w:cs="Arial"/>
                <w:color w:val="000000"/>
                <w:sz w:val="13"/>
                <w:szCs w:val="13"/>
              </w:rPr>
              <w:t>32,528 </w:t>
            </w:r>
          </w:p>
        </w:tc>
        <w:tc>
          <w:tcPr>
            <w:tcW w:w="0" w:type="auto"/>
            <w:shd w:val="clear" w:color="auto" w:fill="CCEEFF"/>
            <w:tcMar>
              <w:top w:w="40" w:type="dxa"/>
              <w:left w:w="0" w:type="dxa"/>
              <w:bottom w:w="40" w:type="dxa"/>
              <w:right w:w="20" w:type="dxa"/>
            </w:tcMar>
            <w:vAlign w:val="bottom"/>
          </w:tcPr>
          <w:p w14:paraId="71D44E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0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02"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0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0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05" w14:textId="77777777" w:rsidR="006A3667" w:rsidRDefault="00045F32">
            <w:pPr>
              <w:jc w:val="right"/>
              <w:textAlignment w:val="bottom"/>
            </w:pPr>
            <w:r>
              <w:rPr>
                <w:rFonts w:ascii="Arial" w:eastAsia="宋体" w:hAnsi="Arial" w:cs="Arial"/>
                <w:color w:val="000000"/>
                <w:sz w:val="13"/>
                <w:szCs w:val="13"/>
              </w:rPr>
              <w:t>29,862 </w:t>
            </w:r>
          </w:p>
        </w:tc>
        <w:tc>
          <w:tcPr>
            <w:tcW w:w="0" w:type="auto"/>
            <w:shd w:val="clear" w:color="auto" w:fill="CCEEFF"/>
            <w:tcMar>
              <w:top w:w="40" w:type="dxa"/>
              <w:left w:w="0" w:type="dxa"/>
              <w:bottom w:w="40" w:type="dxa"/>
              <w:right w:w="20" w:type="dxa"/>
            </w:tcMar>
            <w:vAlign w:val="bottom"/>
          </w:tcPr>
          <w:p w14:paraId="71D44E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08" w14:textId="77777777" w:rsidR="006A3667" w:rsidRDefault="00045F32">
            <w:pPr>
              <w:jc w:val="right"/>
              <w:textAlignment w:val="bottom"/>
            </w:pPr>
            <w:r>
              <w:rPr>
                <w:rFonts w:ascii="Arial" w:eastAsia="宋体" w:hAnsi="Arial" w:cs="Arial"/>
                <w:color w:val="000000"/>
                <w:sz w:val="13"/>
                <w:szCs w:val="13"/>
              </w:rPr>
              <w:t>2,666 </w:t>
            </w:r>
          </w:p>
        </w:tc>
        <w:tc>
          <w:tcPr>
            <w:tcW w:w="0" w:type="auto"/>
            <w:shd w:val="clear" w:color="auto" w:fill="CCEEFF"/>
            <w:tcMar>
              <w:top w:w="40" w:type="dxa"/>
              <w:left w:w="0" w:type="dxa"/>
              <w:bottom w:w="40" w:type="dxa"/>
              <w:right w:w="20" w:type="dxa"/>
            </w:tcMar>
            <w:vAlign w:val="bottom"/>
          </w:tcPr>
          <w:p w14:paraId="71D44E09" w14:textId="77777777" w:rsidR="006A3667" w:rsidRDefault="006A3667">
            <w:pPr>
              <w:jc w:val="right"/>
              <w:rPr>
                <w:rFonts w:ascii="宋体"/>
              </w:rPr>
            </w:pPr>
          </w:p>
        </w:tc>
      </w:tr>
      <w:tr w:rsidR="006A3667" w14:paraId="71D44E1A" w14:textId="77777777">
        <w:tc>
          <w:tcPr>
            <w:tcW w:w="0" w:type="auto"/>
            <w:gridSpan w:val="3"/>
            <w:shd w:val="clear" w:color="auto" w:fill="FFFFFF"/>
            <w:tcMar>
              <w:top w:w="40" w:type="dxa"/>
              <w:left w:w="20" w:type="dxa"/>
              <w:bottom w:w="40" w:type="dxa"/>
              <w:right w:w="20" w:type="dxa"/>
            </w:tcMar>
            <w:vAlign w:val="bottom"/>
          </w:tcPr>
          <w:p w14:paraId="71D44E0B" w14:textId="77777777" w:rsidR="006A3667" w:rsidRDefault="00045F32">
            <w:pP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71D44E0C" w14:textId="77777777" w:rsidR="006A3667" w:rsidRDefault="00045F32">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71D44E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0F" w14:textId="77777777" w:rsidR="006A3667" w:rsidRDefault="00045F32">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71D44E1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1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12"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E1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1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15" w14:textId="77777777" w:rsidR="006A3667" w:rsidRDefault="00045F32">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71D44E1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1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18"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E19" w14:textId="77777777" w:rsidR="006A3667" w:rsidRDefault="006A3667">
            <w:pPr>
              <w:jc w:val="right"/>
              <w:rPr>
                <w:rFonts w:ascii="宋体"/>
              </w:rPr>
            </w:pPr>
          </w:p>
        </w:tc>
      </w:tr>
      <w:tr w:rsidR="006A3667" w14:paraId="71D44E25" w14:textId="77777777">
        <w:tc>
          <w:tcPr>
            <w:tcW w:w="0" w:type="auto"/>
            <w:gridSpan w:val="3"/>
            <w:shd w:val="clear" w:color="auto" w:fill="CCEEFF"/>
            <w:tcMar>
              <w:top w:w="40" w:type="dxa"/>
              <w:left w:w="20" w:type="dxa"/>
              <w:bottom w:w="40" w:type="dxa"/>
              <w:right w:w="20" w:type="dxa"/>
            </w:tcMar>
            <w:vAlign w:val="bottom"/>
          </w:tcPr>
          <w:p w14:paraId="71D44E1B" w14:textId="77777777" w:rsidR="006A3667" w:rsidRDefault="00045F32">
            <w:pPr>
              <w:textAlignment w:val="bottom"/>
            </w:pPr>
            <w:r>
              <w:rPr>
                <w:rFonts w:ascii="Arial" w:eastAsia="宋体" w:hAnsi="Arial" w:cs="Arial"/>
                <w:b/>
                <w:bCs/>
                <w:color w:val="000000"/>
                <w:sz w:val="13"/>
                <w:szCs w:val="13"/>
              </w:rPr>
              <w:t>Financial Liabilities:</w:t>
            </w:r>
          </w:p>
        </w:tc>
        <w:tc>
          <w:tcPr>
            <w:tcW w:w="0" w:type="auto"/>
            <w:gridSpan w:val="3"/>
            <w:shd w:val="clear" w:color="auto" w:fill="CCEEFF"/>
            <w:tcMar>
              <w:top w:w="0" w:type="dxa"/>
              <w:left w:w="20" w:type="dxa"/>
              <w:bottom w:w="0" w:type="dxa"/>
              <w:right w:w="20" w:type="dxa"/>
            </w:tcMar>
            <w:vAlign w:val="bottom"/>
          </w:tcPr>
          <w:p w14:paraId="71D44E1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E1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E1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E1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E2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E2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E2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E2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4E24" w14:textId="77777777" w:rsidR="006A3667" w:rsidRDefault="006A3667">
            <w:pPr>
              <w:rPr>
                <w:rFonts w:ascii="宋体"/>
              </w:rPr>
            </w:pPr>
          </w:p>
        </w:tc>
      </w:tr>
      <w:tr w:rsidR="006A3667" w14:paraId="71D44E30" w14:textId="77777777">
        <w:tc>
          <w:tcPr>
            <w:tcW w:w="0" w:type="auto"/>
            <w:gridSpan w:val="3"/>
            <w:shd w:val="clear" w:color="auto" w:fill="FFFFFF"/>
            <w:tcMar>
              <w:top w:w="40" w:type="dxa"/>
              <w:left w:w="20" w:type="dxa"/>
              <w:bottom w:w="40" w:type="dxa"/>
              <w:right w:w="20" w:type="dxa"/>
            </w:tcMar>
            <w:vAlign w:val="bottom"/>
          </w:tcPr>
          <w:p w14:paraId="71D44E26" w14:textId="77777777" w:rsidR="006A3667" w:rsidRDefault="00045F32">
            <w:pPr>
              <w:textAlignment w:val="bottom"/>
            </w:pPr>
            <w:r>
              <w:rPr>
                <w:rFonts w:ascii="Arial" w:eastAsia="宋体" w:hAnsi="Arial" w:cs="Arial"/>
                <w:color w:val="000000"/>
                <w:sz w:val="13"/>
                <w:szCs w:val="13"/>
              </w:rPr>
              <w:t>Deposits:</w:t>
            </w:r>
          </w:p>
        </w:tc>
        <w:tc>
          <w:tcPr>
            <w:tcW w:w="0" w:type="auto"/>
            <w:gridSpan w:val="3"/>
            <w:shd w:val="clear" w:color="auto" w:fill="FFFFFF"/>
            <w:tcMar>
              <w:top w:w="0" w:type="dxa"/>
              <w:left w:w="20" w:type="dxa"/>
              <w:bottom w:w="0" w:type="dxa"/>
              <w:right w:w="20" w:type="dxa"/>
            </w:tcMar>
            <w:vAlign w:val="bottom"/>
          </w:tcPr>
          <w:p w14:paraId="71D44E2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E2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E2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E2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E2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E2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E2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E2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E2F" w14:textId="77777777" w:rsidR="006A3667" w:rsidRDefault="006A3667">
            <w:pPr>
              <w:rPr>
                <w:rFonts w:ascii="宋体"/>
              </w:rPr>
            </w:pPr>
          </w:p>
        </w:tc>
      </w:tr>
      <w:tr w:rsidR="006A3667" w14:paraId="71D44E45" w14:textId="77777777">
        <w:tc>
          <w:tcPr>
            <w:tcW w:w="0" w:type="auto"/>
            <w:gridSpan w:val="3"/>
            <w:shd w:val="clear" w:color="auto" w:fill="CCEEFF"/>
            <w:tcMar>
              <w:top w:w="40" w:type="dxa"/>
              <w:left w:w="20" w:type="dxa"/>
              <w:bottom w:w="40" w:type="dxa"/>
              <w:right w:w="20" w:type="dxa"/>
            </w:tcMar>
            <w:vAlign w:val="bottom"/>
          </w:tcPr>
          <w:p w14:paraId="71D44E31" w14:textId="77777777" w:rsidR="006A3667" w:rsidRDefault="00045F32">
            <w:pPr>
              <w:textAlignment w:val="bottom"/>
            </w:pPr>
            <w:r>
              <w:rPr>
                <w:rFonts w:ascii="Arial" w:eastAsia="宋体" w:hAnsi="Arial" w:cs="Arial"/>
                <w:color w:val="000000"/>
                <w:sz w:val="13"/>
                <w:szCs w:val="13"/>
              </w:rPr>
              <w:t>  Non-interest-bearing</w:t>
            </w:r>
          </w:p>
        </w:tc>
        <w:tc>
          <w:tcPr>
            <w:tcW w:w="0" w:type="auto"/>
            <w:shd w:val="clear" w:color="auto" w:fill="CCEEFF"/>
            <w:tcMar>
              <w:top w:w="40" w:type="dxa"/>
              <w:left w:w="20" w:type="dxa"/>
              <w:bottom w:w="40" w:type="dxa"/>
              <w:right w:w="0" w:type="dxa"/>
            </w:tcMar>
            <w:vAlign w:val="bottom"/>
          </w:tcPr>
          <w:p w14:paraId="71D44E32"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E33" w14:textId="77777777" w:rsidR="006A3667" w:rsidRDefault="00045F32">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71D44E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3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E36"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E37" w14:textId="77777777" w:rsidR="006A3667" w:rsidRDefault="00045F32">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71D44E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3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E3A"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E3B"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3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3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E3E"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E3F" w14:textId="77777777" w:rsidR="006A3667" w:rsidRDefault="00045F32">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71D44E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4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E42"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4E43"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44" w14:textId="77777777" w:rsidR="006A3667" w:rsidRDefault="006A3667">
            <w:pPr>
              <w:jc w:val="right"/>
              <w:rPr>
                <w:rFonts w:ascii="宋体"/>
              </w:rPr>
            </w:pPr>
          </w:p>
        </w:tc>
      </w:tr>
      <w:tr w:rsidR="006A3667" w14:paraId="71D44E55" w14:textId="77777777">
        <w:tc>
          <w:tcPr>
            <w:tcW w:w="0" w:type="auto"/>
            <w:gridSpan w:val="3"/>
            <w:shd w:val="clear" w:color="auto" w:fill="FFFFFF"/>
            <w:tcMar>
              <w:top w:w="40" w:type="dxa"/>
              <w:left w:w="20" w:type="dxa"/>
              <w:bottom w:w="40" w:type="dxa"/>
              <w:right w:w="20" w:type="dxa"/>
            </w:tcMar>
            <w:vAlign w:val="bottom"/>
          </w:tcPr>
          <w:p w14:paraId="71D44E46" w14:textId="77777777" w:rsidR="006A3667" w:rsidRDefault="00045F32">
            <w:pPr>
              <w:textAlignment w:val="bottom"/>
            </w:pPr>
            <w:r>
              <w:rPr>
                <w:rFonts w:ascii="Arial" w:eastAsia="宋体" w:hAnsi="Arial" w:cs="Arial"/>
                <w:color w:val="000000"/>
                <w:sz w:val="13"/>
                <w:szCs w:val="13"/>
              </w:rPr>
              <w:t>  Interest-bearing - U.S.</w:t>
            </w:r>
          </w:p>
        </w:tc>
        <w:tc>
          <w:tcPr>
            <w:tcW w:w="0" w:type="auto"/>
            <w:gridSpan w:val="2"/>
            <w:shd w:val="clear" w:color="auto" w:fill="FFFFFF"/>
            <w:tcMar>
              <w:top w:w="40" w:type="dxa"/>
              <w:left w:w="20" w:type="dxa"/>
              <w:bottom w:w="40" w:type="dxa"/>
              <w:right w:w="0" w:type="dxa"/>
            </w:tcMar>
            <w:vAlign w:val="bottom"/>
          </w:tcPr>
          <w:p w14:paraId="71D44E47" w14:textId="77777777" w:rsidR="006A3667" w:rsidRDefault="00045F32">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71D44E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4A" w14:textId="77777777" w:rsidR="006A3667" w:rsidRDefault="00045F32">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71D44E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4D"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E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50" w14:textId="77777777" w:rsidR="006A3667" w:rsidRDefault="00045F32">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71D44E5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5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53"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E54" w14:textId="77777777" w:rsidR="006A3667" w:rsidRDefault="006A3667">
            <w:pPr>
              <w:jc w:val="right"/>
              <w:rPr>
                <w:rFonts w:ascii="宋体"/>
              </w:rPr>
            </w:pPr>
          </w:p>
        </w:tc>
      </w:tr>
      <w:tr w:rsidR="006A3667" w14:paraId="71D44E65" w14:textId="77777777">
        <w:tc>
          <w:tcPr>
            <w:tcW w:w="0" w:type="auto"/>
            <w:gridSpan w:val="3"/>
            <w:shd w:val="clear" w:color="auto" w:fill="CCEEFF"/>
            <w:tcMar>
              <w:top w:w="40" w:type="dxa"/>
              <w:left w:w="20" w:type="dxa"/>
              <w:bottom w:w="40" w:type="dxa"/>
              <w:right w:w="20" w:type="dxa"/>
            </w:tcMar>
            <w:vAlign w:val="bottom"/>
          </w:tcPr>
          <w:p w14:paraId="71D44E56" w14:textId="77777777" w:rsidR="006A3667" w:rsidRDefault="00045F32">
            <w:pPr>
              <w:textAlignment w:val="bottom"/>
            </w:pPr>
            <w:r>
              <w:rPr>
                <w:rFonts w:ascii="Arial" w:eastAsia="宋体" w:hAnsi="Arial" w:cs="Arial"/>
                <w:color w:val="000000"/>
                <w:sz w:val="13"/>
                <w:szCs w:val="13"/>
              </w:rPr>
              <w:t>  Interest-bearing - non-U.S.</w:t>
            </w:r>
          </w:p>
        </w:tc>
        <w:tc>
          <w:tcPr>
            <w:tcW w:w="0" w:type="auto"/>
            <w:gridSpan w:val="2"/>
            <w:shd w:val="clear" w:color="auto" w:fill="CCEEFF"/>
            <w:tcMar>
              <w:top w:w="40" w:type="dxa"/>
              <w:left w:w="20" w:type="dxa"/>
              <w:bottom w:w="40" w:type="dxa"/>
              <w:right w:w="0" w:type="dxa"/>
            </w:tcMar>
            <w:vAlign w:val="bottom"/>
          </w:tcPr>
          <w:p w14:paraId="71D44E57" w14:textId="77777777" w:rsidR="006A3667" w:rsidRDefault="00045F32">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71D44E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5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5A" w14:textId="77777777" w:rsidR="006A3667" w:rsidRDefault="00045F32">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71D44E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5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5D"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5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5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60" w14:textId="77777777" w:rsidR="006A3667" w:rsidRDefault="00045F32">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71D44E6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6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63"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64" w14:textId="77777777" w:rsidR="006A3667" w:rsidRDefault="006A3667">
            <w:pPr>
              <w:jc w:val="right"/>
              <w:rPr>
                <w:rFonts w:ascii="宋体"/>
              </w:rPr>
            </w:pPr>
          </w:p>
        </w:tc>
      </w:tr>
      <w:tr w:rsidR="006A3667" w14:paraId="71D44E75" w14:textId="77777777">
        <w:tc>
          <w:tcPr>
            <w:tcW w:w="0" w:type="auto"/>
            <w:gridSpan w:val="3"/>
            <w:shd w:val="clear" w:color="auto" w:fill="FFFFFF"/>
            <w:tcMar>
              <w:top w:w="40" w:type="dxa"/>
              <w:left w:w="20" w:type="dxa"/>
              <w:bottom w:w="40" w:type="dxa"/>
              <w:right w:w="20" w:type="dxa"/>
            </w:tcMar>
            <w:vAlign w:val="bottom"/>
          </w:tcPr>
          <w:p w14:paraId="71D44E66" w14:textId="77777777" w:rsidR="006A3667" w:rsidRDefault="00045F32">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FFFFFF"/>
            <w:tcMar>
              <w:top w:w="40" w:type="dxa"/>
              <w:left w:w="20" w:type="dxa"/>
              <w:bottom w:w="40" w:type="dxa"/>
              <w:right w:w="0" w:type="dxa"/>
            </w:tcMar>
            <w:vAlign w:val="bottom"/>
          </w:tcPr>
          <w:p w14:paraId="71D44E67" w14:textId="77777777" w:rsidR="006A3667" w:rsidRDefault="00045F32">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71D44E6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6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6A" w14:textId="77777777" w:rsidR="006A3667" w:rsidRDefault="00045F32">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71D44E6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6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6D"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E6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6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70" w14:textId="77777777" w:rsidR="006A3667" w:rsidRDefault="00045F32">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71D44E7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7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73"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E74" w14:textId="77777777" w:rsidR="006A3667" w:rsidRDefault="006A3667">
            <w:pPr>
              <w:jc w:val="right"/>
              <w:rPr>
                <w:rFonts w:ascii="宋体"/>
              </w:rPr>
            </w:pPr>
          </w:p>
        </w:tc>
      </w:tr>
      <w:tr w:rsidR="006A3667" w14:paraId="71D44E80" w14:textId="77777777">
        <w:trPr>
          <w:hidden/>
        </w:trPr>
        <w:tc>
          <w:tcPr>
            <w:tcW w:w="0" w:type="auto"/>
            <w:gridSpan w:val="3"/>
            <w:shd w:val="clear" w:color="auto" w:fill="auto"/>
            <w:vAlign w:val="bottom"/>
          </w:tcPr>
          <w:p w14:paraId="71D44E76" w14:textId="77777777" w:rsidR="006A3667" w:rsidRDefault="006A3667">
            <w:pPr>
              <w:rPr>
                <w:rFonts w:ascii="宋体"/>
                <w:vanish/>
              </w:rPr>
            </w:pPr>
          </w:p>
        </w:tc>
        <w:tc>
          <w:tcPr>
            <w:tcW w:w="0" w:type="auto"/>
            <w:gridSpan w:val="3"/>
            <w:shd w:val="clear" w:color="auto" w:fill="auto"/>
            <w:vAlign w:val="bottom"/>
          </w:tcPr>
          <w:p w14:paraId="71D44E77" w14:textId="77777777" w:rsidR="006A3667" w:rsidRDefault="006A3667">
            <w:pPr>
              <w:rPr>
                <w:rFonts w:ascii="宋体"/>
                <w:vanish/>
              </w:rPr>
            </w:pPr>
          </w:p>
        </w:tc>
        <w:tc>
          <w:tcPr>
            <w:tcW w:w="0" w:type="auto"/>
            <w:gridSpan w:val="3"/>
            <w:shd w:val="clear" w:color="auto" w:fill="auto"/>
            <w:vAlign w:val="bottom"/>
          </w:tcPr>
          <w:p w14:paraId="71D44E78" w14:textId="77777777" w:rsidR="006A3667" w:rsidRDefault="006A3667">
            <w:pPr>
              <w:rPr>
                <w:rFonts w:ascii="宋体"/>
                <w:vanish/>
              </w:rPr>
            </w:pPr>
          </w:p>
        </w:tc>
        <w:tc>
          <w:tcPr>
            <w:tcW w:w="0" w:type="auto"/>
            <w:gridSpan w:val="3"/>
            <w:shd w:val="clear" w:color="auto" w:fill="auto"/>
            <w:vAlign w:val="bottom"/>
          </w:tcPr>
          <w:p w14:paraId="71D44E79" w14:textId="77777777" w:rsidR="006A3667" w:rsidRDefault="006A3667">
            <w:pPr>
              <w:rPr>
                <w:rFonts w:ascii="宋体"/>
                <w:vanish/>
              </w:rPr>
            </w:pPr>
          </w:p>
        </w:tc>
        <w:tc>
          <w:tcPr>
            <w:tcW w:w="0" w:type="auto"/>
            <w:gridSpan w:val="3"/>
            <w:shd w:val="clear" w:color="auto" w:fill="auto"/>
            <w:vAlign w:val="bottom"/>
          </w:tcPr>
          <w:p w14:paraId="71D44E7A" w14:textId="77777777" w:rsidR="006A3667" w:rsidRDefault="006A3667">
            <w:pPr>
              <w:rPr>
                <w:rFonts w:ascii="宋体"/>
                <w:vanish/>
              </w:rPr>
            </w:pPr>
          </w:p>
        </w:tc>
        <w:tc>
          <w:tcPr>
            <w:tcW w:w="0" w:type="auto"/>
            <w:gridSpan w:val="3"/>
            <w:shd w:val="clear" w:color="auto" w:fill="auto"/>
            <w:vAlign w:val="bottom"/>
          </w:tcPr>
          <w:p w14:paraId="71D44E7B" w14:textId="77777777" w:rsidR="006A3667" w:rsidRDefault="006A3667">
            <w:pPr>
              <w:rPr>
                <w:rFonts w:ascii="宋体"/>
                <w:vanish/>
              </w:rPr>
            </w:pPr>
          </w:p>
        </w:tc>
        <w:tc>
          <w:tcPr>
            <w:tcW w:w="0" w:type="auto"/>
            <w:gridSpan w:val="3"/>
            <w:shd w:val="clear" w:color="auto" w:fill="auto"/>
            <w:vAlign w:val="bottom"/>
          </w:tcPr>
          <w:p w14:paraId="71D44E7C" w14:textId="77777777" w:rsidR="006A3667" w:rsidRDefault="006A3667">
            <w:pPr>
              <w:rPr>
                <w:rFonts w:ascii="宋体"/>
                <w:vanish/>
              </w:rPr>
            </w:pPr>
          </w:p>
        </w:tc>
        <w:tc>
          <w:tcPr>
            <w:tcW w:w="0" w:type="auto"/>
            <w:gridSpan w:val="3"/>
            <w:shd w:val="clear" w:color="auto" w:fill="auto"/>
            <w:vAlign w:val="bottom"/>
          </w:tcPr>
          <w:p w14:paraId="71D44E7D" w14:textId="77777777" w:rsidR="006A3667" w:rsidRDefault="006A3667">
            <w:pPr>
              <w:rPr>
                <w:rFonts w:ascii="宋体"/>
                <w:vanish/>
              </w:rPr>
            </w:pPr>
          </w:p>
        </w:tc>
        <w:tc>
          <w:tcPr>
            <w:tcW w:w="0" w:type="auto"/>
            <w:gridSpan w:val="3"/>
            <w:shd w:val="clear" w:color="auto" w:fill="auto"/>
            <w:vAlign w:val="bottom"/>
          </w:tcPr>
          <w:p w14:paraId="71D44E7E" w14:textId="77777777" w:rsidR="006A3667" w:rsidRDefault="006A3667">
            <w:pPr>
              <w:rPr>
                <w:rFonts w:ascii="宋体"/>
                <w:vanish/>
              </w:rPr>
            </w:pPr>
          </w:p>
        </w:tc>
        <w:tc>
          <w:tcPr>
            <w:tcW w:w="0" w:type="auto"/>
            <w:gridSpan w:val="3"/>
            <w:shd w:val="clear" w:color="auto" w:fill="auto"/>
            <w:vAlign w:val="bottom"/>
          </w:tcPr>
          <w:p w14:paraId="71D44E7F" w14:textId="77777777" w:rsidR="006A3667" w:rsidRDefault="006A3667">
            <w:pPr>
              <w:rPr>
                <w:rFonts w:ascii="宋体"/>
                <w:vanish/>
              </w:rPr>
            </w:pPr>
          </w:p>
        </w:tc>
      </w:tr>
      <w:tr w:rsidR="006A3667" w14:paraId="71D44E90" w14:textId="77777777">
        <w:tc>
          <w:tcPr>
            <w:tcW w:w="0" w:type="auto"/>
            <w:gridSpan w:val="3"/>
            <w:shd w:val="clear" w:color="auto" w:fill="CCEEFF"/>
            <w:tcMar>
              <w:top w:w="40" w:type="dxa"/>
              <w:left w:w="20" w:type="dxa"/>
              <w:bottom w:w="40" w:type="dxa"/>
              <w:right w:w="20" w:type="dxa"/>
            </w:tcMar>
            <w:vAlign w:val="bottom"/>
          </w:tcPr>
          <w:p w14:paraId="71D44E81" w14:textId="77777777" w:rsidR="006A3667" w:rsidRDefault="00045F32">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71D44E82" w14:textId="77777777" w:rsidR="006A3667" w:rsidRDefault="00045F32">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71D44E8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8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85" w14:textId="77777777" w:rsidR="006A3667" w:rsidRDefault="00045F32">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71D44E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88"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8B" w14:textId="77777777" w:rsidR="006A3667" w:rsidRDefault="00045F32">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71D44E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8E"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8F" w14:textId="77777777" w:rsidR="006A3667" w:rsidRDefault="006A3667">
            <w:pPr>
              <w:jc w:val="right"/>
              <w:rPr>
                <w:rFonts w:ascii="宋体"/>
              </w:rPr>
            </w:pPr>
          </w:p>
        </w:tc>
      </w:tr>
      <w:tr w:rsidR="006A3667" w14:paraId="71D44EA0" w14:textId="77777777">
        <w:tc>
          <w:tcPr>
            <w:tcW w:w="0" w:type="auto"/>
            <w:gridSpan w:val="3"/>
            <w:shd w:val="clear" w:color="auto" w:fill="FFFFFF"/>
            <w:tcMar>
              <w:top w:w="40" w:type="dxa"/>
              <w:left w:w="20" w:type="dxa"/>
              <w:bottom w:w="40" w:type="dxa"/>
              <w:right w:w="20" w:type="dxa"/>
            </w:tcMar>
            <w:vAlign w:val="bottom"/>
          </w:tcPr>
          <w:p w14:paraId="71D44E91" w14:textId="77777777" w:rsidR="006A3667" w:rsidRDefault="00045F32">
            <w:pPr>
              <w:textAlignment w:val="bottom"/>
            </w:pPr>
            <w:r>
              <w:rPr>
                <w:rFonts w:ascii="Arial" w:eastAsia="宋体" w:hAnsi="Arial" w:cs="Arial"/>
                <w:color w:val="000000"/>
                <w:sz w:val="13"/>
                <w:szCs w:val="13"/>
              </w:rPr>
              <w:t>Long-term debt</w:t>
            </w:r>
          </w:p>
        </w:tc>
        <w:tc>
          <w:tcPr>
            <w:tcW w:w="0" w:type="auto"/>
            <w:gridSpan w:val="2"/>
            <w:shd w:val="clear" w:color="auto" w:fill="FFFFFF"/>
            <w:tcMar>
              <w:top w:w="40" w:type="dxa"/>
              <w:left w:w="20" w:type="dxa"/>
              <w:bottom w:w="40" w:type="dxa"/>
              <w:right w:w="0" w:type="dxa"/>
            </w:tcMar>
            <w:vAlign w:val="bottom"/>
          </w:tcPr>
          <w:p w14:paraId="71D44E92" w14:textId="77777777" w:rsidR="006A3667" w:rsidRDefault="00045F32">
            <w:pPr>
              <w:jc w:val="right"/>
              <w:textAlignment w:val="bottom"/>
            </w:pPr>
            <w:r>
              <w:rPr>
                <w:rFonts w:ascii="Arial" w:eastAsia="宋体" w:hAnsi="Arial" w:cs="Arial"/>
                <w:color w:val="000000"/>
                <w:sz w:val="13"/>
                <w:szCs w:val="13"/>
              </w:rPr>
              <w:t>13,475 </w:t>
            </w:r>
          </w:p>
        </w:tc>
        <w:tc>
          <w:tcPr>
            <w:tcW w:w="0" w:type="auto"/>
            <w:shd w:val="clear" w:color="auto" w:fill="FFFFFF"/>
            <w:tcMar>
              <w:top w:w="40" w:type="dxa"/>
              <w:left w:w="0" w:type="dxa"/>
              <w:bottom w:w="40" w:type="dxa"/>
              <w:right w:w="20" w:type="dxa"/>
            </w:tcMar>
            <w:vAlign w:val="bottom"/>
          </w:tcPr>
          <w:p w14:paraId="71D44E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9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95" w14:textId="77777777" w:rsidR="006A3667" w:rsidRDefault="00045F32">
            <w:pPr>
              <w:jc w:val="right"/>
              <w:textAlignment w:val="bottom"/>
            </w:pPr>
            <w:r>
              <w:rPr>
                <w:rFonts w:ascii="Arial" w:eastAsia="宋体" w:hAnsi="Arial" w:cs="Arial"/>
                <w:color w:val="000000"/>
                <w:sz w:val="13"/>
                <w:szCs w:val="13"/>
              </w:rPr>
              <w:t>13,552 </w:t>
            </w:r>
          </w:p>
        </w:tc>
        <w:tc>
          <w:tcPr>
            <w:tcW w:w="0" w:type="auto"/>
            <w:shd w:val="clear" w:color="auto" w:fill="FFFFFF"/>
            <w:tcMar>
              <w:top w:w="40" w:type="dxa"/>
              <w:left w:w="0" w:type="dxa"/>
              <w:bottom w:w="40" w:type="dxa"/>
              <w:right w:w="20" w:type="dxa"/>
            </w:tcMar>
            <w:vAlign w:val="bottom"/>
          </w:tcPr>
          <w:p w14:paraId="71D44E9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9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98"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4E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9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9B" w14:textId="77777777" w:rsidR="006A3667" w:rsidRDefault="00045F32">
            <w:pPr>
              <w:jc w:val="right"/>
              <w:textAlignment w:val="bottom"/>
            </w:pPr>
            <w:r>
              <w:rPr>
                <w:rFonts w:ascii="Arial" w:eastAsia="宋体" w:hAnsi="Arial" w:cs="Arial"/>
                <w:color w:val="000000"/>
                <w:sz w:val="13"/>
                <w:szCs w:val="13"/>
              </w:rPr>
              <w:t>13,385 </w:t>
            </w:r>
          </w:p>
        </w:tc>
        <w:tc>
          <w:tcPr>
            <w:tcW w:w="0" w:type="auto"/>
            <w:shd w:val="clear" w:color="auto" w:fill="FFFFFF"/>
            <w:tcMar>
              <w:top w:w="40" w:type="dxa"/>
              <w:left w:w="0" w:type="dxa"/>
              <w:bottom w:w="40" w:type="dxa"/>
              <w:right w:w="20" w:type="dxa"/>
            </w:tcMar>
            <w:vAlign w:val="bottom"/>
          </w:tcPr>
          <w:p w14:paraId="71D44E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E9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E9E" w14:textId="77777777" w:rsidR="006A3667" w:rsidRDefault="00045F32">
            <w:pPr>
              <w:jc w:val="right"/>
              <w:textAlignment w:val="bottom"/>
            </w:pPr>
            <w:r>
              <w:rPr>
                <w:rFonts w:ascii="Arial" w:eastAsia="宋体" w:hAnsi="Arial" w:cs="Arial"/>
                <w:color w:val="000000"/>
                <w:sz w:val="13"/>
                <w:szCs w:val="13"/>
              </w:rPr>
              <w:t>167 </w:t>
            </w:r>
          </w:p>
        </w:tc>
        <w:tc>
          <w:tcPr>
            <w:tcW w:w="0" w:type="auto"/>
            <w:shd w:val="clear" w:color="auto" w:fill="FFFFFF"/>
            <w:tcMar>
              <w:top w:w="40" w:type="dxa"/>
              <w:left w:w="0" w:type="dxa"/>
              <w:bottom w:w="40" w:type="dxa"/>
              <w:right w:w="20" w:type="dxa"/>
            </w:tcMar>
            <w:vAlign w:val="bottom"/>
          </w:tcPr>
          <w:p w14:paraId="71D44E9F" w14:textId="77777777" w:rsidR="006A3667" w:rsidRDefault="006A3667">
            <w:pPr>
              <w:jc w:val="right"/>
              <w:rPr>
                <w:rFonts w:ascii="宋体"/>
              </w:rPr>
            </w:pPr>
          </w:p>
        </w:tc>
      </w:tr>
      <w:tr w:rsidR="006A3667" w14:paraId="71D44EB0" w14:textId="77777777">
        <w:tc>
          <w:tcPr>
            <w:tcW w:w="0" w:type="auto"/>
            <w:gridSpan w:val="3"/>
            <w:shd w:val="clear" w:color="auto" w:fill="CCEEFF"/>
            <w:tcMar>
              <w:top w:w="40" w:type="dxa"/>
              <w:left w:w="20" w:type="dxa"/>
              <w:bottom w:w="40" w:type="dxa"/>
              <w:right w:w="20" w:type="dxa"/>
            </w:tcMar>
            <w:vAlign w:val="bottom"/>
          </w:tcPr>
          <w:p w14:paraId="71D44EA1" w14:textId="77777777" w:rsidR="006A3667" w:rsidRDefault="00045F32">
            <w:pP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CCEEFF"/>
            <w:tcMar>
              <w:top w:w="40" w:type="dxa"/>
              <w:left w:w="20" w:type="dxa"/>
              <w:bottom w:w="40" w:type="dxa"/>
              <w:right w:w="0" w:type="dxa"/>
            </w:tcMar>
            <w:vAlign w:val="bottom"/>
          </w:tcPr>
          <w:p w14:paraId="71D44EA2" w14:textId="77777777" w:rsidR="006A3667" w:rsidRDefault="00045F32">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71D44EA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A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A5" w14:textId="77777777" w:rsidR="006A3667" w:rsidRDefault="00045F32">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71D44E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A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A8"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A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AB" w14:textId="77777777" w:rsidR="006A3667" w:rsidRDefault="00045F32">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71D44E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EA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EAE"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4EAF" w14:textId="77777777" w:rsidR="006A3667" w:rsidRDefault="006A3667">
            <w:pPr>
              <w:jc w:val="right"/>
              <w:rPr>
                <w:rFonts w:ascii="宋体"/>
              </w:rPr>
            </w:pPr>
          </w:p>
        </w:tc>
      </w:tr>
    </w:tbl>
    <w:p w14:paraId="71D44EB1"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6A3667" w14:paraId="71D44EBE" w14:textId="77777777">
        <w:tc>
          <w:tcPr>
            <w:tcW w:w="50" w:type="pct"/>
            <w:shd w:val="clear" w:color="auto" w:fill="auto"/>
            <w:vAlign w:val="bottom"/>
          </w:tcPr>
          <w:p w14:paraId="71D44EB2" w14:textId="77777777" w:rsidR="006A3667" w:rsidRDefault="006A3667">
            <w:pPr>
              <w:rPr>
                <w:rFonts w:ascii="宋体"/>
              </w:rPr>
            </w:pPr>
          </w:p>
        </w:tc>
        <w:tc>
          <w:tcPr>
            <w:tcW w:w="1348" w:type="pct"/>
            <w:shd w:val="clear" w:color="auto" w:fill="auto"/>
            <w:vAlign w:val="bottom"/>
          </w:tcPr>
          <w:p w14:paraId="71D44EB3" w14:textId="77777777" w:rsidR="006A3667" w:rsidRDefault="006A3667">
            <w:pPr>
              <w:rPr>
                <w:rFonts w:ascii="宋体"/>
              </w:rPr>
            </w:pPr>
          </w:p>
        </w:tc>
        <w:tc>
          <w:tcPr>
            <w:tcW w:w="5" w:type="pct"/>
            <w:shd w:val="clear" w:color="auto" w:fill="auto"/>
            <w:vAlign w:val="bottom"/>
          </w:tcPr>
          <w:p w14:paraId="71D44EB4" w14:textId="77777777" w:rsidR="006A3667" w:rsidRDefault="006A3667">
            <w:pPr>
              <w:rPr>
                <w:rFonts w:ascii="宋体"/>
              </w:rPr>
            </w:pPr>
          </w:p>
        </w:tc>
        <w:tc>
          <w:tcPr>
            <w:tcW w:w="50" w:type="pct"/>
            <w:shd w:val="clear" w:color="auto" w:fill="auto"/>
            <w:vAlign w:val="bottom"/>
          </w:tcPr>
          <w:p w14:paraId="71D44EB5" w14:textId="77777777" w:rsidR="006A3667" w:rsidRDefault="006A3667">
            <w:pPr>
              <w:rPr>
                <w:rFonts w:ascii="宋体"/>
              </w:rPr>
            </w:pPr>
          </w:p>
        </w:tc>
        <w:tc>
          <w:tcPr>
            <w:tcW w:w="968" w:type="pct"/>
            <w:shd w:val="clear" w:color="auto" w:fill="auto"/>
            <w:vAlign w:val="bottom"/>
          </w:tcPr>
          <w:p w14:paraId="71D44EB6" w14:textId="77777777" w:rsidR="006A3667" w:rsidRDefault="006A3667">
            <w:pPr>
              <w:rPr>
                <w:rFonts w:ascii="宋体"/>
              </w:rPr>
            </w:pPr>
          </w:p>
        </w:tc>
        <w:tc>
          <w:tcPr>
            <w:tcW w:w="5" w:type="pct"/>
            <w:shd w:val="clear" w:color="auto" w:fill="auto"/>
            <w:vAlign w:val="bottom"/>
          </w:tcPr>
          <w:p w14:paraId="71D44EB7" w14:textId="77777777" w:rsidR="006A3667" w:rsidRDefault="006A3667">
            <w:pPr>
              <w:rPr>
                <w:rFonts w:ascii="宋体"/>
              </w:rPr>
            </w:pPr>
          </w:p>
        </w:tc>
        <w:tc>
          <w:tcPr>
            <w:tcW w:w="50" w:type="pct"/>
            <w:shd w:val="clear" w:color="auto" w:fill="auto"/>
            <w:vAlign w:val="bottom"/>
          </w:tcPr>
          <w:p w14:paraId="71D44EB8" w14:textId="77777777" w:rsidR="006A3667" w:rsidRDefault="006A3667">
            <w:pPr>
              <w:rPr>
                <w:rFonts w:ascii="宋体"/>
              </w:rPr>
            </w:pPr>
          </w:p>
        </w:tc>
        <w:tc>
          <w:tcPr>
            <w:tcW w:w="858" w:type="pct"/>
            <w:shd w:val="clear" w:color="auto" w:fill="auto"/>
            <w:vAlign w:val="bottom"/>
          </w:tcPr>
          <w:p w14:paraId="71D44EB9" w14:textId="77777777" w:rsidR="006A3667" w:rsidRDefault="006A3667">
            <w:pPr>
              <w:rPr>
                <w:rFonts w:ascii="宋体"/>
              </w:rPr>
            </w:pPr>
          </w:p>
        </w:tc>
        <w:tc>
          <w:tcPr>
            <w:tcW w:w="5" w:type="pct"/>
            <w:shd w:val="clear" w:color="auto" w:fill="auto"/>
            <w:vAlign w:val="bottom"/>
          </w:tcPr>
          <w:p w14:paraId="71D44EBA" w14:textId="77777777" w:rsidR="006A3667" w:rsidRDefault="006A3667">
            <w:pPr>
              <w:rPr>
                <w:rFonts w:ascii="宋体"/>
              </w:rPr>
            </w:pPr>
          </w:p>
        </w:tc>
        <w:tc>
          <w:tcPr>
            <w:tcW w:w="50" w:type="pct"/>
            <w:shd w:val="clear" w:color="auto" w:fill="auto"/>
            <w:vAlign w:val="bottom"/>
          </w:tcPr>
          <w:p w14:paraId="71D44EBB" w14:textId="77777777" w:rsidR="006A3667" w:rsidRDefault="006A3667">
            <w:pPr>
              <w:rPr>
                <w:rFonts w:ascii="宋体"/>
              </w:rPr>
            </w:pPr>
          </w:p>
        </w:tc>
        <w:tc>
          <w:tcPr>
            <w:tcW w:w="1604" w:type="pct"/>
            <w:shd w:val="clear" w:color="auto" w:fill="auto"/>
            <w:vAlign w:val="bottom"/>
          </w:tcPr>
          <w:p w14:paraId="71D44EBC" w14:textId="77777777" w:rsidR="006A3667" w:rsidRDefault="006A3667">
            <w:pPr>
              <w:rPr>
                <w:rFonts w:ascii="宋体"/>
              </w:rPr>
            </w:pPr>
          </w:p>
        </w:tc>
        <w:tc>
          <w:tcPr>
            <w:tcW w:w="5" w:type="pct"/>
            <w:shd w:val="clear" w:color="auto" w:fill="auto"/>
            <w:vAlign w:val="bottom"/>
          </w:tcPr>
          <w:p w14:paraId="71D44EBD" w14:textId="77777777" w:rsidR="006A3667" w:rsidRDefault="006A3667">
            <w:pPr>
              <w:rPr>
                <w:rFonts w:ascii="宋体"/>
              </w:rPr>
            </w:pPr>
          </w:p>
        </w:tc>
      </w:tr>
      <w:tr w:rsidR="006A3667" w14:paraId="71D44EC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4EB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EC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EC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EC2" w14:textId="77777777" w:rsidR="006A3667" w:rsidRDefault="006A3667">
            <w:pPr>
              <w:rPr>
                <w:rFonts w:ascii="宋体"/>
              </w:rPr>
            </w:pPr>
          </w:p>
        </w:tc>
      </w:tr>
    </w:tbl>
    <w:p w14:paraId="71D44EC4" w14:textId="77777777" w:rsidR="006A3667" w:rsidRDefault="00045F32">
      <w:pPr>
        <w:spacing w:before="60"/>
      </w:pPr>
      <w:r>
        <w:rPr>
          <w:rFonts w:ascii="Arial" w:eastAsia="宋体" w:hAnsi="Arial" w:cs="Arial"/>
          <w:color w:val="000000"/>
          <w:sz w:val="7"/>
          <w:szCs w:val="7"/>
        </w:rPr>
        <w:t>(1)</w:t>
      </w:r>
      <w:r>
        <w:rPr>
          <w:rFonts w:ascii="Arial" w:eastAsia="宋体" w:hAnsi="Arial" w:cs="Arial"/>
          <w:color w:val="000000"/>
          <w:sz w:val="12"/>
          <w:szCs w:val="12"/>
        </w:rPr>
        <w:t xml:space="preserve"> Includes $8 million of loans classified as held-for-sale that were measured at fair value in level 2 as of December 31, 2021.</w:t>
      </w:r>
    </w:p>
    <w:p w14:paraId="71D44EC5" w14:textId="77777777" w:rsidR="006A3667" w:rsidRDefault="00045F32">
      <w:pPr>
        <w:spacing w:before="60"/>
      </w:pPr>
      <w:r>
        <w:rPr>
          <w:rFonts w:ascii="Arial" w:eastAsia="宋体" w:hAnsi="Arial" w:cs="Arial"/>
          <w:color w:val="000000"/>
          <w:sz w:val="7"/>
          <w:szCs w:val="7"/>
        </w:rPr>
        <w:t>(2)</w:t>
      </w:r>
      <w:r>
        <w:rPr>
          <w:rFonts w:ascii="Arial" w:eastAsia="宋体" w:hAnsi="Arial" w:cs="Arial"/>
          <w:color w:val="000000"/>
          <w:sz w:val="12"/>
          <w:szCs w:val="12"/>
        </w:rPr>
        <w:t xml:space="preserve"> Represents a portion of underlying client assets related to our enhanced custody business, which clients have allowed us to t</w:t>
      </w:r>
      <w:r>
        <w:rPr>
          <w:rFonts w:ascii="Arial" w:eastAsia="宋体" w:hAnsi="Arial" w:cs="Arial"/>
          <w:color w:val="000000"/>
          <w:sz w:val="12"/>
          <w:szCs w:val="12"/>
        </w:rPr>
        <w:t>ransfer and re-pledge.</w:t>
      </w:r>
    </w:p>
    <w:p w14:paraId="71D44EC6" w14:textId="77777777" w:rsidR="006A3667" w:rsidRDefault="006A3667">
      <w:pPr>
        <w:spacing w:before="60"/>
      </w:pPr>
    </w:p>
    <w:p w14:paraId="71D44EC7" w14:textId="77777777" w:rsidR="006A3667" w:rsidRDefault="00045F32">
      <w:pPr>
        <w:ind w:firstLine="450"/>
        <w:jc w:val="right"/>
      </w:pPr>
      <w:r>
        <w:rPr>
          <w:rFonts w:ascii="Arial" w:eastAsia="宋体" w:hAnsi="Arial" w:cs="Arial"/>
          <w:color w:val="000000"/>
          <w:sz w:val="18"/>
          <w:szCs w:val="18"/>
        </w:rPr>
        <w:t>State Street Corporation | 65</w:t>
      </w:r>
    </w:p>
    <w:p w14:paraId="71D44EC8" w14:textId="77777777" w:rsidR="006A3667" w:rsidRDefault="006A3667">
      <w:pPr>
        <w:ind w:firstLine="450"/>
        <w:jc w:val="center"/>
      </w:pPr>
    </w:p>
    <w:p w14:paraId="71D44EC9" w14:textId="77777777" w:rsidR="006A3667" w:rsidRDefault="00045F32">
      <w:r>
        <w:pict w14:anchorId="71D4AC55">
          <v:rect id="_x0000_i1089" style="width:415.3pt;height:1.5pt" o:hralign="center" o:hrstd="t" o:hr="t" fillcolor="#a0a0a0" stroked="f"/>
        </w:pict>
      </w:r>
    </w:p>
    <w:p w14:paraId="71D44ECA" w14:textId="77777777" w:rsidR="006A3667" w:rsidRDefault="00045F32">
      <w:pPr>
        <w:ind w:firstLine="450"/>
        <w:jc w:val="center"/>
      </w:pPr>
      <w:r>
        <w:rPr>
          <w:rFonts w:ascii="Arial" w:eastAsia="宋体" w:hAnsi="Arial" w:cs="Arial"/>
          <w:b/>
          <w:bCs/>
          <w:color w:val="000000"/>
          <w:sz w:val="20"/>
          <w:szCs w:val="20"/>
        </w:rPr>
        <w:t>STATE STREET CORPORATION</w:t>
      </w:r>
    </w:p>
    <w:p w14:paraId="71D44ECB"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4ECC" w14:textId="77777777" w:rsidR="006A3667" w:rsidRDefault="00045F32">
      <w:pPr>
        <w:ind w:firstLine="450"/>
        <w:jc w:val="center"/>
      </w:pPr>
      <w:r>
        <w:rPr>
          <w:rFonts w:ascii="Arial" w:eastAsia="宋体" w:hAnsi="Arial" w:cs="Arial"/>
          <w:b/>
          <w:bCs/>
          <w:color w:val="000000"/>
          <w:sz w:val="20"/>
          <w:szCs w:val="20"/>
        </w:rPr>
        <w:t>(UNAUDITED)</w:t>
      </w:r>
    </w:p>
    <w:p w14:paraId="71D44ECD" w14:textId="77777777" w:rsidR="006A3667" w:rsidRDefault="00045F32">
      <w:pPr>
        <w:spacing w:before="60"/>
        <w:jc w:val="both"/>
      </w:pPr>
      <w:r>
        <w:rPr>
          <w:rFonts w:ascii="Arial" w:eastAsia="宋体" w:hAnsi="Arial" w:cs="Arial"/>
          <w:b/>
          <w:bCs/>
          <w:color w:val="000000"/>
          <w:sz w:val="20"/>
          <w:szCs w:val="20"/>
        </w:rPr>
        <w:t>Note 3.    Investment Securities</w:t>
      </w:r>
    </w:p>
    <w:p w14:paraId="71D44ECE" w14:textId="77777777" w:rsidR="006A3667" w:rsidRDefault="00045F32">
      <w:pPr>
        <w:spacing w:before="60"/>
        <w:ind w:firstLine="450"/>
        <w:jc w:val="both"/>
      </w:pPr>
      <w:r>
        <w:rPr>
          <w:rFonts w:ascii="Arial" w:eastAsia="宋体" w:hAnsi="Arial" w:cs="Arial"/>
          <w:color w:val="000000"/>
          <w:sz w:val="20"/>
          <w:szCs w:val="20"/>
        </w:rPr>
        <w:t>Investment securities held by us are classified as either trading account as</w:t>
      </w:r>
      <w:r>
        <w:rPr>
          <w:rFonts w:ascii="Arial" w:eastAsia="宋体" w:hAnsi="Arial" w:cs="Arial"/>
          <w:color w:val="000000"/>
          <w:sz w:val="20"/>
          <w:szCs w:val="20"/>
        </w:rPr>
        <w:t>sets, AFS, HTM or equity securities held at fair value at the time of purchase and reassessed periodically, based on management’s intent. For additional information on our accounting for investment securities, refer to page 144 in Note 3 to the consolidate</w:t>
      </w:r>
      <w:r>
        <w:rPr>
          <w:rFonts w:ascii="Arial" w:eastAsia="宋体" w:hAnsi="Arial" w:cs="Arial"/>
          <w:color w:val="000000"/>
          <w:sz w:val="20"/>
          <w:szCs w:val="20"/>
        </w:rPr>
        <w:t>d financial statements included under Item 8, Financial Statements and Supplementary Data, in our 2021 Form 10-K.</w:t>
      </w:r>
    </w:p>
    <w:p w14:paraId="71D44ECF" w14:textId="77777777" w:rsidR="006A3667" w:rsidRDefault="00045F32">
      <w:pPr>
        <w:spacing w:before="60"/>
        <w:ind w:firstLine="450"/>
        <w:jc w:val="both"/>
      </w:pPr>
      <w:r>
        <w:rPr>
          <w:rFonts w:ascii="Arial" w:eastAsia="宋体" w:hAnsi="Arial" w:cs="Arial"/>
          <w:color w:val="000000"/>
          <w:sz w:val="20"/>
          <w:szCs w:val="20"/>
        </w:rPr>
        <w:t xml:space="preserve">Trading assets are carried at fair value. Both realized and unrealized gains and losses on trading assets are recorded in foreign </w:t>
      </w:r>
      <w:r>
        <w:rPr>
          <w:rFonts w:ascii="Arial" w:eastAsia="宋体" w:hAnsi="Arial" w:cs="Arial"/>
          <w:color w:val="000000"/>
          <w:sz w:val="20"/>
          <w:szCs w:val="20"/>
        </w:rPr>
        <w:t>exchange trading services revenue in our consolidated statement of income. AFS securities are carried at fair value, with any allowance for credit losses recorded through the consolidated statement of income and after-tax net unrealized gains and losses ar</w:t>
      </w:r>
      <w:r>
        <w:rPr>
          <w:rFonts w:ascii="Arial" w:eastAsia="宋体" w:hAnsi="Arial" w:cs="Arial"/>
          <w:color w:val="000000"/>
          <w:sz w:val="20"/>
          <w:szCs w:val="20"/>
        </w:rPr>
        <w:t xml:space="preserve">e recorded in AOCI. Gains or losses realized on sales of AFS investment securities are computed using the specific identification method and are recorded in gains (losses) related to investment securities, net, in our consolidated statement of income. HTM </w:t>
      </w:r>
      <w:r>
        <w:rPr>
          <w:rFonts w:ascii="Arial" w:eastAsia="宋体" w:hAnsi="Arial" w:cs="Arial"/>
          <w:color w:val="000000"/>
          <w:sz w:val="20"/>
          <w:szCs w:val="20"/>
        </w:rPr>
        <w:t>investment securities are carried at cost, adjusted for amortization of premiums and accretion of discounts, with any allowance for credit losses recorded through the consolidated statement of income.</w:t>
      </w:r>
    </w:p>
    <w:p w14:paraId="71D44ED0" w14:textId="77777777" w:rsidR="006A3667" w:rsidRDefault="006A3667">
      <w:pPr>
        <w:spacing w:before="60"/>
        <w:ind w:firstLine="450"/>
        <w:jc w:val="both"/>
      </w:pPr>
    </w:p>
    <w:p w14:paraId="71D44ED1" w14:textId="77777777" w:rsidR="006A3667" w:rsidRDefault="00045F32">
      <w:pPr>
        <w:ind w:firstLine="450"/>
        <w:jc w:val="right"/>
      </w:pPr>
      <w:r>
        <w:rPr>
          <w:rFonts w:ascii="Arial" w:eastAsia="宋体" w:hAnsi="Arial" w:cs="Arial"/>
          <w:color w:val="000000"/>
          <w:sz w:val="18"/>
          <w:szCs w:val="18"/>
        </w:rPr>
        <w:t>State Street Corporation | 66</w:t>
      </w:r>
    </w:p>
    <w:p w14:paraId="71D44ED2" w14:textId="77777777" w:rsidR="006A3667" w:rsidRDefault="006A3667">
      <w:pPr>
        <w:ind w:firstLine="450"/>
        <w:jc w:val="center"/>
      </w:pPr>
    </w:p>
    <w:p w14:paraId="71D44ED3" w14:textId="77777777" w:rsidR="006A3667" w:rsidRDefault="00045F32">
      <w:r>
        <w:pict w14:anchorId="71D4AC56">
          <v:rect id="_x0000_i1090" style="width:415.3pt;height:1.5pt" o:hralign="center" o:hrstd="t" o:hr="t" fillcolor="#a0a0a0" stroked="f"/>
        </w:pict>
      </w:r>
    </w:p>
    <w:p w14:paraId="71D44ED4" w14:textId="77777777" w:rsidR="006A3667" w:rsidRDefault="00045F32">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71D44ED5"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4ED6" w14:textId="77777777" w:rsidR="006A3667" w:rsidRDefault="00045F32">
      <w:pPr>
        <w:ind w:firstLine="450"/>
        <w:jc w:val="center"/>
      </w:pPr>
      <w:r>
        <w:rPr>
          <w:rFonts w:ascii="Arial" w:eastAsia="宋体" w:hAnsi="Arial" w:cs="Arial"/>
          <w:b/>
          <w:bCs/>
          <w:color w:val="000000"/>
          <w:sz w:val="20"/>
          <w:szCs w:val="20"/>
        </w:rPr>
        <w:t>(UNAUDITED)</w:t>
      </w:r>
    </w:p>
    <w:p w14:paraId="71D44ED7" w14:textId="77777777" w:rsidR="006A3667" w:rsidRDefault="00045F32">
      <w:pPr>
        <w:spacing w:before="60"/>
        <w:ind w:firstLine="450"/>
        <w:jc w:val="both"/>
      </w:pPr>
      <w:r>
        <w:rPr>
          <w:rFonts w:ascii="Arial" w:eastAsia="宋体" w:hAnsi="Arial" w:cs="Arial"/>
          <w:color w:val="000000"/>
          <w:sz w:val="20"/>
          <w:szCs w:val="20"/>
        </w:rPr>
        <w:t>The following table presents the amortized cost, fair value and associated unrealized gains and losses of AFS and HTM investment securities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76"/>
        <w:gridCol w:w="37"/>
        <w:gridCol w:w="105"/>
        <w:gridCol w:w="679"/>
        <w:gridCol w:w="36"/>
        <w:gridCol w:w="36"/>
        <w:gridCol w:w="36"/>
        <w:gridCol w:w="36"/>
        <w:gridCol w:w="105"/>
        <w:gridCol w:w="377"/>
        <w:gridCol w:w="36"/>
        <w:gridCol w:w="36"/>
        <w:gridCol w:w="36"/>
        <w:gridCol w:w="36"/>
        <w:gridCol w:w="104"/>
        <w:gridCol w:w="418"/>
        <w:gridCol w:w="36"/>
        <w:gridCol w:w="36"/>
        <w:gridCol w:w="36"/>
        <w:gridCol w:w="36"/>
        <w:gridCol w:w="104"/>
        <w:gridCol w:w="501"/>
        <w:gridCol w:w="36"/>
        <w:gridCol w:w="36"/>
        <w:gridCol w:w="36"/>
        <w:gridCol w:w="36"/>
        <w:gridCol w:w="105"/>
        <w:gridCol w:w="679"/>
        <w:gridCol w:w="36"/>
        <w:gridCol w:w="36"/>
        <w:gridCol w:w="36"/>
        <w:gridCol w:w="36"/>
        <w:gridCol w:w="105"/>
        <w:gridCol w:w="381"/>
        <w:gridCol w:w="36"/>
        <w:gridCol w:w="36"/>
        <w:gridCol w:w="36"/>
        <w:gridCol w:w="36"/>
        <w:gridCol w:w="105"/>
        <w:gridCol w:w="464"/>
        <w:gridCol w:w="36"/>
        <w:gridCol w:w="36"/>
        <w:gridCol w:w="36"/>
        <w:gridCol w:w="36"/>
        <w:gridCol w:w="104"/>
        <w:gridCol w:w="501"/>
        <w:gridCol w:w="36"/>
      </w:tblGrid>
      <w:tr w:rsidR="006A3667" w14:paraId="71D44F08" w14:textId="77777777">
        <w:tc>
          <w:tcPr>
            <w:tcW w:w="50" w:type="pct"/>
            <w:shd w:val="clear" w:color="auto" w:fill="auto"/>
            <w:vAlign w:val="bottom"/>
          </w:tcPr>
          <w:p w14:paraId="71D44ED8" w14:textId="77777777" w:rsidR="006A3667" w:rsidRDefault="006A3667">
            <w:pPr>
              <w:rPr>
                <w:rFonts w:ascii="宋体"/>
              </w:rPr>
            </w:pPr>
          </w:p>
        </w:tc>
        <w:tc>
          <w:tcPr>
            <w:tcW w:w="1655" w:type="pct"/>
            <w:shd w:val="clear" w:color="auto" w:fill="auto"/>
            <w:vAlign w:val="bottom"/>
          </w:tcPr>
          <w:p w14:paraId="71D44ED9" w14:textId="77777777" w:rsidR="006A3667" w:rsidRDefault="006A3667">
            <w:pPr>
              <w:rPr>
                <w:rFonts w:ascii="宋体"/>
              </w:rPr>
            </w:pPr>
          </w:p>
        </w:tc>
        <w:tc>
          <w:tcPr>
            <w:tcW w:w="5" w:type="pct"/>
            <w:shd w:val="clear" w:color="auto" w:fill="auto"/>
            <w:vAlign w:val="bottom"/>
          </w:tcPr>
          <w:p w14:paraId="71D44EDA" w14:textId="77777777" w:rsidR="006A3667" w:rsidRDefault="006A3667">
            <w:pPr>
              <w:rPr>
                <w:rFonts w:ascii="宋体"/>
              </w:rPr>
            </w:pPr>
          </w:p>
        </w:tc>
        <w:tc>
          <w:tcPr>
            <w:tcW w:w="50" w:type="pct"/>
            <w:shd w:val="clear" w:color="auto" w:fill="auto"/>
            <w:vAlign w:val="bottom"/>
          </w:tcPr>
          <w:p w14:paraId="71D44EDB" w14:textId="77777777" w:rsidR="006A3667" w:rsidRDefault="006A3667">
            <w:pPr>
              <w:rPr>
                <w:rFonts w:ascii="宋体"/>
              </w:rPr>
            </w:pPr>
          </w:p>
        </w:tc>
        <w:tc>
          <w:tcPr>
            <w:tcW w:w="390" w:type="pct"/>
            <w:shd w:val="clear" w:color="auto" w:fill="auto"/>
            <w:vAlign w:val="bottom"/>
          </w:tcPr>
          <w:p w14:paraId="71D44EDC" w14:textId="77777777" w:rsidR="006A3667" w:rsidRDefault="006A3667">
            <w:pPr>
              <w:rPr>
                <w:rFonts w:ascii="宋体"/>
              </w:rPr>
            </w:pPr>
          </w:p>
        </w:tc>
        <w:tc>
          <w:tcPr>
            <w:tcW w:w="5" w:type="pct"/>
            <w:shd w:val="clear" w:color="auto" w:fill="auto"/>
            <w:vAlign w:val="bottom"/>
          </w:tcPr>
          <w:p w14:paraId="71D44EDD" w14:textId="77777777" w:rsidR="006A3667" w:rsidRDefault="006A3667">
            <w:pPr>
              <w:rPr>
                <w:rFonts w:ascii="宋体"/>
              </w:rPr>
            </w:pPr>
          </w:p>
        </w:tc>
        <w:tc>
          <w:tcPr>
            <w:tcW w:w="5" w:type="pct"/>
            <w:shd w:val="clear" w:color="auto" w:fill="auto"/>
            <w:vAlign w:val="bottom"/>
          </w:tcPr>
          <w:p w14:paraId="71D44EDE" w14:textId="77777777" w:rsidR="006A3667" w:rsidRDefault="006A3667">
            <w:pPr>
              <w:rPr>
                <w:rFonts w:ascii="宋体"/>
              </w:rPr>
            </w:pPr>
          </w:p>
        </w:tc>
        <w:tc>
          <w:tcPr>
            <w:tcW w:w="26" w:type="pct"/>
            <w:shd w:val="clear" w:color="auto" w:fill="auto"/>
            <w:vAlign w:val="bottom"/>
          </w:tcPr>
          <w:p w14:paraId="71D44EDF" w14:textId="77777777" w:rsidR="006A3667" w:rsidRDefault="006A3667">
            <w:pPr>
              <w:rPr>
                <w:rFonts w:ascii="宋体"/>
              </w:rPr>
            </w:pPr>
          </w:p>
        </w:tc>
        <w:tc>
          <w:tcPr>
            <w:tcW w:w="5" w:type="pct"/>
            <w:shd w:val="clear" w:color="auto" w:fill="auto"/>
            <w:vAlign w:val="bottom"/>
          </w:tcPr>
          <w:p w14:paraId="71D44EE0" w14:textId="77777777" w:rsidR="006A3667" w:rsidRDefault="006A3667">
            <w:pPr>
              <w:rPr>
                <w:rFonts w:ascii="宋体"/>
              </w:rPr>
            </w:pPr>
          </w:p>
        </w:tc>
        <w:tc>
          <w:tcPr>
            <w:tcW w:w="50" w:type="pct"/>
            <w:shd w:val="clear" w:color="auto" w:fill="auto"/>
            <w:vAlign w:val="bottom"/>
          </w:tcPr>
          <w:p w14:paraId="71D44EE1" w14:textId="77777777" w:rsidR="006A3667" w:rsidRDefault="006A3667">
            <w:pPr>
              <w:rPr>
                <w:rFonts w:ascii="宋体"/>
              </w:rPr>
            </w:pPr>
          </w:p>
        </w:tc>
        <w:tc>
          <w:tcPr>
            <w:tcW w:w="259" w:type="pct"/>
            <w:shd w:val="clear" w:color="auto" w:fill="auto"/>
            <w:vAlign w:val="bottom"/>
          </w:tcPr>
          <w:p w14:paraId="71D44EE2" w14:textId="77777777" w:rsidR="006A3667" w:rsidRDefault="006A3667">
            <w:pPr>
              <w:rPr>
                <w:rFonts w:ascii="宋体"/>
              </w:rPr>
            </w:pPr>
          </w:p>
        </w:tc>
        <w:tc>
          <w:tcPr>
            <w:tcW w:w="5" w:type="pct"/>
            <w:shd w:val="clear" w:color="auto" w:fill="auto"/>
            <w:vAlign w:val="bottom"/>
          </w:tcPr>
          <w:p w14:paraId="71D44EE3" w14:textId="77777777" w:rsidR="006A3667" w:rsidRDefault="006A3667">
            <w:pPr>
              <w:rPr>
                <w:rFonts w:ascii="宋体"/>
              </w:rPr>
            </w:pPr>
          </w:p>
        </w:tc>
        <w:tc>
          <w:tcPr>
            <w:tcW w:w="5" w:type="pct"/>
            <w:shd w:val="clear" w:color="auto" w:fill="auto"/>
            <w:vAlign w:val="bottom"/>
          </w:tcPr>
          <w:p w14:paraId="71D44EE4" w14:textId="77777777" w:rsidR="006A3667" w:rsidRDefault="006A3667">
            <w:pPr>
              <w:rPr>
                <w:rFonts w:ascii="宋体"/>
              </w:rPr>
            </w:pPr>
          </w:p>
        </w:tc>
        <w:tc>
          <w:tcPr>
            <w:tcW w:w="26" w:type="pct"/>
            <w:shd w:val="clear" w:color="auto" w:fill="auto"/>
            <w:vAlign w:val="bottom"/>
          </w:tcPr>
          <w:p w14:paraId="71D44EE5" w14:textId="77777777" w:rsidR="006A3667" w:rsidRDefault="006A3667">
            <w:pPr>
              <w:rPr>
                <w:rFonts w:ascii="宋体"/>
              </w:rPr>
            </w:pPr>
          </w:p>
        </w:tc>
        <w:tc>
          <w:tcPr>
            <w:tcW w:w="5" w:type="pct"/>
            <w:shd w:val="clear" w:color="auto" w:fill="auto"/>
            <w:vAlign w:val="bottom"/>
          </w:tcPr>
          <w:p w14:paraId="71D44EE6" w14:textId="77777777" w:rsidR="006A3667" w:rsidRDefault="006A3667">
            <w:pPr>
              <w:rPr>
                <w:rFonts w:ascii="宋体"/>
              </w:rPr>
            </w:pPr>
          </w:p>
        </w:tc>
        <w:tc>
          <w:tcPr>
            <w:tcW w:w="50" w:type="pct"/>
            <w:shd w:val="clear" w:color="auto" w:fill="auto"/>
            <w:vAlign w:val="bottom"/>
          </w:tcPr>
          <w:p w14:paraId="71D44EE7" w14:textId="77777777" w:rsidR="006A3667" w:rsidRDefault="006A3667">
            <w:pPr>
              <w:rPr>
                <w:rFonts w:ascii="宋体"/>
              </w:rPr>
            </w:pPr>
          </w:p>
        </w:tc>
        <w:tc>
          <w:tcPr>
            <w:tcW w:w="273" w:type="pct"/>
            <w:shd w:val="clear" w:color="auto" w:fill="auto"/>
            <w:vAlign w:val="bottom"/>
          </w:tcPr>
          <w:p w14:paraId="71D44EE8" w14:textId="77777777" w:rsidR="006A3667" w:rsidRDefault="006A3667">
            <w:pPr>
              <w:rPr>
                <w:rFonts w:ascii="宋体"/>
              </w:rPr>
            </w:pPr>
          </w:p>
        </w:tc>
        <w:tc>
          <w:tcPr>
            <w:tcW w:w="5" w:type="pct"/>
            <w:shd w:val="clear" w:color="auto" w:fill="auto"/>
            <w:vAlign w:val="bottom"/>
          </w:tcPr>
          <w:p w14:paraId="71D44EE9" w14:textId="77777777" w:rsidR="006A3667" w:rsidRDefault="006A3667">
            <w:pPr>
              <w:rPr>
                <w:rFonts w:ascii="宋体"/>
              </w:rPr>
            </w:pPr>
          </w:p>
        </w:tc>
        <w:tc>
          <w:tcPr>
            <w:tcW w:w="5" w:type="pct"/>
            <w:shd w:val="clear" w:color="auto" w:fill="auto"/>
            <w:vAlign w:val="bottom"/>
          </w:tcPr>
          <w:p w14:paraId="71D44EEA" w14:textId="77777777" w:rsidR="006A3667" w:rsidRDefault="006A3667">
            <w:pPr>
              <w:rPr>
                <w:rFonts w:ascii="宋体"/>
              </w:rPr>
            </w:pPr>
          </w:p>
        </w:tc>
        <w:tc>
          <w:tcPr>
            <w:tcW w:w="26" w:type="pct"/>
            <w:shd w:val="clear" w:color="auto" w:fill="auto"/>
            <w:vAlign w:val="bottom"/>
          </w:tcPr>
          <w:p w14:paraId="71D44EEB" w14:textId="77777777" w:rsidR="006A3667" w:rsidRDefault="006A3667">
            <w:pPr>
              <w:rPr>
                <w:rFonts w:ascii="宋体"/>
              </w:rPr>
            </w:pPr>
          </w:p>
        </w:tc>
        <w:tc>
          <w:tcPr>
            <w:tcW w:w="5" w:type="pct"/>
            <w:shd w:val="clear" w:color="auto" w:fill="auto"/>
            <w:vAlign w:val="bottom"/>
          </w:tcPr>
          <w:p w14:paraId="71D44EEC" w14:textId="77777777" w:rsidR="006A3667" w:rsidRDefault="006A3667">
            <w:pPr>
              <w:rPr>
                <w:rFonts w:ascii="宋体"/>
              </w:rPr>
            </w:pPr>
          </w:p>
        </w:tc>
        <w:tc>
          <w:tcPr>
            <w:tcW w:w="50" w:type="pct"/>
            <w:shd w:val="clear" w:color="auto" w:fill="auto"/>
            <w:vAlign w:val="bottom"/>
          </w:tcPr>
          <w:p w14:paraId="71D44EED" w14:textId="77777777" w:rsidR="006A3667" w:rsidRDefault="006A3667">
            <w:pPr>
              <w:rPr>
                <w:rFonts w:ascii="宋体"/>
              </w:rPr>
            </w:pPr>
          </w:p>
        </w:tc>
        <w:tc>
          <w:tcPr>
            <w:tcW w:w="376" w:type="pct"/>
            <w:shd w:val="clear" w:color="auto" w:fill="auto"/>
            <w:vAlign w:val="bottom"/>
          </w:tcPr>
          <w:p w14:paraId="71D44EEE" w14:textId="77777777" w:rsidR="006A3667" w:rsidRDefault="006A3667">
            <w:pPr>
              <w:rPr>
                <w:rFonts w:ascii="宋体"/>
              </w:rPr>
            </w:pPr>
          </w:p>
        </w:tc>
        <w:tc>
          <w:tcPr>
            <w:tcW w:w="5" w:type="pct"/>
            <w:shd w:val="clear" w:color="auto" w:fill="auto"/>
            <w:vAlign w:val="bottom"/>
          </w:tcPr>
          <w:p w14:paraId="71D44EEF" w14:textId="77777777" w:rsidR="006A3667" w:rsidRDefault="006A3667">
            <w:pPr>
              <w:rPr>
                <w:rFonts w:ascii="宋体"/>
              </w:rPr>
            </w:pPr>
          </w:p>
        </w:tc>
        <w:tc>
          <w:tcPr>
            <w:tcW w:w="5" w:type="pct"/>
            <w:shd w:val="clear" w:color="auto" w:fill="auto"/>
            <w:vAlign w:val="bottom"/>
          </w:tcPr>
          <w:p w14:paraId="71D44EF0" w14:textId="77777777" w:rsidR="006A3667" w:rsidRDefault="006A3667">
            <w:pPr>
              <w:rPr>
                <w:rFonts w:ascii="宋体"/>
              </w:rPr>
            </w:pPr>
          </w:p>
        </w:tc>
        <w:tc>
          <w:tcPr>
            <w:tcW w:w="26" w:type="pct"/>
            <w:shd w:val="clear" w:color="auto" w:fill="auto"/>
            <w:vAlign w:val="bottom"/>
          </w:tcPr>
          <w:p w14:paraId="71D44EF1" w14:textId="77777777" w:rsidR="006A3667" w:rsidRDefault="006A3667">
            <w:pPr>
              <w:rPr>
                <w:rFonts w:ascii="宋体"/>
              </w:rPr>
            </w:pPr>
          </w:p>
        </w:tc>
        <w:tc>
          <w:tcPr>
            <w:tcW w:w="5" w:type="pct"/>
            <w:shd w:val="clear" w:color="auto" w:fill="auto"/>
            <w:vAlign w:val="bottom"/>
          </w:tcPr>
          <w:p w14:paraId="71D44EF2" w14:textId="77777777" w:rsidR="006A3667" w:rsidRDefault="006A3667">
            <w:pPr>
              <w:rPr>
                <w:rFonts w:ascii="宋体"/>
              </w:rPr>
            </w:pPr>
          </w:p>
        </w:tc>
        <w:tc>
          <w:tcPr>
            <w:tcW w:w="50" w:type="pct"/>
            <w:shd w:val="clear" w:color="auto" w:fill="auto"/>
            <w:vAlign w:val="bottom"/>
          </w:tcPr>
          <w:p w14:paraId="71D44EF3" w14:textId="77777777" w:rsidR="006A3667" w:rsidRDefault="006A3667">
            <w:pPr>
              <w:rPr>
                <w:rFonts w:ascii="宋体"/>
              </w:rPr>
            </w:pPr>
          </w:p>
        </w:tc>
        <w:tc>
          <w:tcPr>
            <w:tcW w:w="390" w:type="pct"/>
            <w:shd w:val="clear" w:color="auto" w:fill="auto"/>
            <w:vAlign w:val="bottom"/>
          </w:tcPr>
          <w:p w14:paraId="71D44EF4" w14:textId="77777777" w:rsidR="006A3667" w:rsidRDefault="006A3667">
            <w:pPr>
              <w:rPr>
                <w:rFonts w:ascii="宋体"/>
              </w:rPr>
            </w:pPr>
          </w:p>
        </w:tc>
        <w:tc>
          <w:tcPr>
            <w:tcW w:w="5" w:type="pct"/>
            <w:shd w:val="clear" w:color="auto" w:fill="auto"/>
            <w:vAlign w:val="bottom"/>
          </w:tcPr>
          <w:p w14:paraId="71D44EF5" w14:textId="77777777" w:rsidR="006A3667" w:rsidRDefault="006A3667">
            <w:pPr>
              <w:rPr>
                <w:rFonts w:ascii="宋体"/>
              </w:rPr>
            </w:pPr>
          </w:p>
        </w:tc>
        <w:tc>
          <w:tcPr>
            <w:tcW w:w="5" w:type="pct"/>
            <w:shd w:val="clear" w:color="auto" w:fill="auto"/>
            <w:vAlign w:val="bottom"/>
          </w:tcPr>
          <w:p w14:paraId="71D44EF6" w14:textId="77777777" w:rsidR="006A3667" w:rsidRDefault="006A3667">
            <w:pPr>
              <w:rPr>
                <w:rFonts w:ascii="宋体"/>
              </w:rPr>
            </w:pPr>
          </w:p>
        </w:tc>
        <w:tc>
          <w:tcPr>
            <w:tcW w:w="26" w:type="pct"/>
            <w:shd w:val="clear" w:color="auto" w:fill="auto"/>
            <w:vAlign w:val="bottom"/>
          </w:tcPr>
          <w:p w14:paraId="71D44EF7" w14:textId="77777777" w:rsidR="006A3667" w:rsidRDefault="006A3667">
            <w:pPr>
              <w:rPr>
                <w:rFonts w:ascii="宋体"/>
              </w:rPr>
            </w:pPr>
          </w:p>
        </w:tc>
        <w:tc>
          <w:tcPr>
            <w:tcW w:w="5" w:type="pct"/>
            <w:shd w:val="clear" w:color="auto" w:fill="auto"/>
            <w:vAlign w:val="bottom"/>
          </w:tcPr>
          <w:p w14:paraId="71D44EF8" w14:textId="77777777" w:rsidR="006A3667" w:rsidRDefault="006A3667">
            <w:pPr>
              <w:rPr>
                <w:rFonts w:ascii="宋体"/>
              </w:rPr>
            </w:pPr>
          </w:p>
        </w:tc>
        <w:tc>
          <w:tcPr>
            <w:tcW w:w="50" w:type="pct"/>
            <w:shd w:val="clear" w:color="auto" w:fill="auto"/>
            <w:vAlign w:val="bottom"/>
          </w:tcPr>
          <w:p w14:paraId="71D44EF9" w14:textId="77777777" w:rsidR="006A3667" w:rsidRDefault="006A3667">
            <w:pPr>
              <w:rPr>
                <w:rFonts w:ascii="宋体"/>
              </w:rPr>
            </w:pPr>
          </w:p>
        </w:tc>
        <w:tc>
          <w:tcPr>
            <w:tcW w:w="273" w:type="pct"/>
            <w:shd w:val="clear" w:color="auto" w:fill="auto"/>
            <w:vAlign w:val="bottom"/>
          </w:tcPr>
          <w:p w14:paraId="71D44EFA" w14:textId="77777777" w:rsidR="006A3667" w:rsidRDefault="006A3667">
            <w:pPr>
              <w:rPr>
                <w:rFonts w:ascii="宋体"/>
              </w:rPr>
            </w:pPr>
          </w:p>
        </w:tc>
        <w:tc>
          <w:tcPr>
            <w:tcW w:w="5" w:type="pct"/>
            <w:shd w:val="clear" w:color="auto" w:fill="auto"/>
            <w:vAlign w:val="bottom"/>
          </w:tcPr>
          <w:p w14:paraId="71D44EFB" w14:textId="77777777" w:rsidR="006A3667" w:rsidRDefault="006A3667">
            <w:pPr>
              <w:rPr>
                <w:rFonts w:ascii="宋体"/>
              </w:rPr>
            </w:pPr>
          </w:p>
        </w:tc>
        <w:tc>
          <w:tcPr>
            <w:tcW w:w="5" w:type="pct"/>
            <w:shd w:val="clear" w:color="auto" w:fill="auto"/>
            <w:vAlign w:val="bottom"/>
          </w:tcPr>
          <w:p w14:paraId="71D44EFC" w14:textId="77777777" w:rsidR="006A3667" w:rsidRDefault="006A3667">
            <w:pPr>
              <w:rPr>
                <w:rFonts w:ascii="宋体"/>
              </w:rPr>
            </w:pPr>
          </w:p>
        </w:tc>
        <w:tc>
          <w:tcPr>
            <w:tcW w:w="26" w:type="pct"/>
            <w:shd w:val="clear" w:color="auto" w:fill="auto"/>
            <w:vAlign w:val="bottom"/>
          </w:tcPr>
          <w:p w14:paraId="71D44EFD" w14:textId="77777777" w:rsidR="006A3667" w:rsidRDefault="006A3667">
            <w:pPr>
              <w:rPr>
                <w:rFonts w:ascii="宋体"/>
              </w:rPr>
            </w:pPr>
          </w:p>
        </w:tc>
        <w:tc>
          <w:tcPr>
            <w:tcW w:w="5" w:type="pct"/>
            <w:shd w:val="clear" w:color="auto" w:fill="auto"/>
            <w:vAlign w:val="bottom"/>
          </w:tcPr>
          <w:p w14:paraId="71D44EFE" w14:textId="77777777" w:rsidR="006A3667" w:rsidRDefault="006A3667">
            <w:pPr>
              <w:rPr>
                <w:rFonts w:ascii="宋体"/>
              </w:rPr>
            </w:pPr>
          </w:p>
        </w:tc>
        <w:tc>
          <w:tcPr>
            <w:tcW w:w="50" w:type="pct"/>
            <w:shd w:val="clear" w:color="auto" w:fill="auto"/>
            <w:vAlign w:val="bottom"/>
          </w:tcPr>
          <w:p w14:paraId="71D44EFF" w14:textId="77777777" w:rsidR="006A3667" w:rsidRDefault="006A3667">
            <w:pPr>
              <w:rPr>
                <w:rFonts w:ascii="宋体"/>
              </w:rPr>
            </w:pPr>
          </w:p>
        </w:tc>
        <w:tc>
          <w:tcPr>
            <w:tcW w:w="273" w:type="pct"/>
            <w:shd w:val="clear" w:color="auto" w:fill="auto"/>
            <w:vAlign w:val="bottom"/>
          </w:tcPr>
          <w:p w14:paraId="71D44F00" w14:textId="77777777" w:rsidR="006A3667" w:rsidRDefault="006A3667">
            <w:pPr>
              <w:rPr>
                <w:rFonts w:ascii="宋体"/>
              </w:rPr>
            </w:pPr>
          </w:p>
        </w:tc>
        <w:tc>
          <w:tcPr>
            <w:tcW w:w="5" w:type="pct"/>
            <w:shd w:val="clear" w:color="auto" w:fill="auto"/>
            <w:vAlign w:val="bottom"/>
          </w:tcPr>
          <w:p w14:paraId="71D44F01" w14:textId="77777777" w:rsidR="006A3667" w:rsidRDefault="006A3667">
            <w:pPr>
              <w:rPr>
                <w:rFonts w:ascii="宋体"/>
              </w:rPr>
            </w:pPr>
          </w:p>
        </w:tc>
        <w:tc>
          <w:tcPr>
            <w:tcW w:w="5" w:type="pct"/>
            <w:shd w:val="clear" w:color="auto" w:fill="auto"/>
            <w:vAlign w:val="bottom"/>
          </w:tcPr>
          <w:p w14:paraId="71D44F02" w14:textId="77777777" w:rsidR="006A3667" w:rsidRDefault="006A3667">
            <w:pPr>
              <w:rPr>
                <w:rFonts w:ascii="宋体"/>
              </w:rPr>
            </w:pPr>
          </w:p>
        </w:tc>
        <w:tc>
          <w:tcPr>
            <w:tcW w:w="26" w:type="pct"/>
            <w:shd w:val="clear" w:color="auto" w:fill="auto"/>
            <w:vAlign w:val="bottom"/>
          </w:tcPr>
          <w:p w14:paraId="71D44F03" w14:textId="77777777" w:rsidR="006A3667" w:rsidRDefault="006A3667">
            <w:pPr>
              <w:rPr>
                <w:rFonts w:ascii="宋体"/>
              </w:rPr>
            </w:pPr>
          </w:p>
        </w:tc>
        <w:tc>
          <w:tcPr>
            <w:tcW w:w="5" w:type="pct"/>
            <w:shd w:val="clear" w:color="auto" w:fill="auto"/>
            <w:vAlign w:val="bottom"/>
          </w:tcPr>
          <w:p w14:paraId="71D44F04" w14:textId="77777777" w:rsidR="006A3667" w:rsidRDefault="006A3667">
            <w:pPr>
              <w:rPr>
                <w:rFonts w:ascii="宋体"/>
              </w:rPr>
            </w:pPr>
          </w:p>
        </w:tc>
        <w:tc>
          <w:tcPr>
            <w:tcW w:w="50" w:type="pct"/>
            <w:shd w:val="clear" w:color="auto" w:fill="auto"/>
            <w:vAlign w:val="bottom"/>
          </w:tcPr>
          <w:p w14:paraId="71D44F05" w14:textId="77777777" w:rsidR="006A3667" w:rsidRDefault="006A3667">
            <w:pPr>
              <w:rPr>
                <w:rFonts w:ascii="宋体"/>
              </w:rPr>
            </w:pPr>
          </w:p>
        </w:tc>
        <w:tc>
          <w:tcPr>
            <w:tcW w:w="354" w:type="pct"/>
            <w:shd w:val="clear" w:color="auto" w:fill="auto"/>
            <w:vAlign w:val="bottom"/>
          </w:tcPr>
          <w:p w14:paraId="71D44F06" w14:textId="77777777" w:rsidR="006A3667" w:rsidRDefault="006A3667">
            <w:pPr>
              <w:rPr>
                <w:rFonts w:ascii="宋体"/>
              </w:rPr>
            </w:pPr>
          </w:p>
        </w:tc>
        <w:tc>
          <w:tcPr>
            <w:tcW w:w="5" w:type="pct"/>
            <w:shd w:val="clear" w:color="auto" w:fill="auto"/>
            <w:vAlign w:val="bottom"/>
          </w:tcPr>
          <w:p w14:paraId="71D44F07" w14:textId="77777777" w:rsidR="006A3667" w:rsidRDefault="006A3667">
            <w:pPr>
              <w:rPr>
                <w:rFonts w:ascii="宋体"/>
              </w:rPr>
            </w:pPr>
          </w:p>
        </w:tc>
      </w:tr>
      <w:tr w:rsidR="006A3667" w14:paraId="71D44F0D" w14:textId="77777777">
        <w:tc>
          <w:tcPr>
            <w:tcW w:w="0" w:type="auto"/>
            <w:gridSpan w:val="3"/>
            <w:shd w:val="clear" w:color="auto" w:fill="auto"/>
            <w:tcMar>
              <w:top w:w="40" w:type="dxa"/>
              <w:left w:w="20" w:type="dxa"/>
              <w:bottom w:w="40" w:type="dxa"/>
              <w:right w:w="20" w:type="dxa"/>
            </w:tcMar>
            <w:vAlign w:val="bottom"/>
          </w:tcPr>
          <w:p w14:paraId="71D44F09" w14:textId="77777777" w:rsidR="006A3667" w:rsidRDefault="00045F32">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71D44F0A" w14:textId="77777777" w:rsidR="006A3667" w:rsidRDefault="00045F32">
            <w:pPr>
              <w:jc w:val="center"/>
              <w:textAlignment w:val="bottom"/>
            </w:pPr>
            <w:r>
              <w:rPr>
                <w:rFonts w:ascii="Arial" w:eastAsia="宋体" w:hAnsi="Arial" w:cs="Arial"/>
                <w:b/>
                <w:bCs/>
                <w:color w:val="000000"/>
                <w:sz w:val="15"/>
                <w:szCs w:val="15"/>
              </w:rPr>
              <w:t>September 30, 2022</w:t>
            </w:r>
          </w:p>
        </w:tc>
        <w:tc>
          <w:tcPr>
            <w:tcW w:w="0" w:type="auto"/>
            <w:gridSpan w:val="3"/>
            <w:shd w:val="clear" w:color="auto" w:fill="auto"/>
            <w:tcMar>
              <w:top w:w="0" w:type="dxa"/>
              <w:left w:w="20" w:type="dxa"/>
              <w:bottom w:w="0" w:type="dxa"/>
              <w:right w:w="20" w:type="dxa"/>
            </w:tcMar>
            <w:vAlign w:val="bottom"/>
          </w:tcPr>
          <w:p w14:paraId="71D44F0B" w14:textId="77777777" w:rsidR="006A3667" w:rsidRDefault="006A3667">
            <w:pPr>
              <w:rPr>
                <w:rFonts w:ascii="宋体"/>
              </w:rPr>
            </w:pPr>
          </w:p>
        </w:tc>
        <w:tc>
          <w:tcPr>
            <w:tcW w:w="0" w:type="auto"/>
            <w:gridSpan w:val="21"/>
            <w:shd w:val="clear" w:color="auto" w:fill="auto"/>
            <w:tcMar>
              <w:top w:w="40" w:type="dxa"/>
              <w:left w:w="20" w:type="dxa"/>
              <w:bottom w:w="40" w:type="dxa"/>
              <w:right w:w="20" w:type="dxa"/>
            </w:tcMar>
            <w:vAlign w:val="bottom"/>
          </w:tcPr>
          <w:p w14:paraId="71D44F0C" w14:textId="77777777" w:rsidR="006A3667" w:rsidRDefault="00045F32">
            <w:pPr>
              <w:jc w:val="center"/>
              <w:textAlignment w:val="bottom"/>
            </w:pPr>
            <w:r>
              <w:rPr>
                <w:rFonts w:ascii="Arial" w:eastAsia="宋体" w:hAnsi="Arial" w:cs="Arial"/>
                <w:b/>
                <w:bCs/>
                <w:color w:val="000000"/>
                <w:sz w:val="15"/>
                <w:szCs w:val="15"/>
              </w:rPr>
              <w:t>December 31, 2021</w:t>
            </w:r>
          </w:p>
        </w:tc>
      </w:tr>
      <w:tr w:rsidR="006A3667" w14:paraId="71D44F20" w14:textId="77777777">
        <w:trPr>
          <w:trHeight w:val="400"/>
        </w:trPr>
        <w:tc>
          <w:tcPr>
            <w:tcW w:w="0" w:type="auto"/>
            <w:gridSpan w:val="3"/>
            <w:shd w:val="clear" w:color="auto" w:fill="auto"/>
            <w:tcMar>
              <w:top w:w="40" w:type="dxa"/>
              <w:left w:w="20" w:type="dxa"/>
              <w:bottom w:w="40" w:type="dxa"/>
              <w:right w:w="20" w:type="dxa"/>
            </w:tcMar>
            <w:vAlign w:val="bottom"/>
          </w:tcPr>
          <w:p w14:paraId="71D44F0E" w14:textId="77777777" w:rsidR="006A3667" w:rsidRDefault="00045F32">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F0F" w14:textId="77777777" w:rsidR="006A3667" w:rsidRDefault="00045F32">
            <w:pPr>
              <w:jc w:val="center"/>
              <w:textAlignment w:val="bottom"/>
            </w:pPr>
            <w:r>
              <w:rPr>
                <w:rFonts w:ascii="Arial" w:eastAsia="宋体" w:hAnsi="Arial" w:cs="Arial"/>
                <w:b/>
                <w:bCs/>
                <w:color w:val="000000"/>
                <w:sz w:val="15"/>
                <w:szCs w:val="15"/>
              </w:rPr>
              <w:t>Amortized</w:t>
            </w:r>
          </w:p>
          <w:p w14:paraId="71D44F10" w14:textId="77777777" w:rsidR="006A3667" w:rsidRDefault="00045F32">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1D44F11"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4F12" w14:textId="77777777" w:rsidR="006A3667" w:rsidRDefault="00045F32">
            <w:pPr>
              <w:jc w:val="center"/>
              <w:textAlignment w:val="bottom"/>
            </w:pPr>
            <w:r>
              <w:rPr>
                <w:rFonts w:ascii="Arial" w:eastAsia="宋体" w:hAnsi="Arial" w:cs="Arial"/>
                <w:b/>
                <w:bCs/>
                <w:color w:val="000000"/>
                <w:sz w:val="15"/>
                <w:szCs w:val="15"/>
              </w:rPr>
              <w:t>Gross</w:t>
            </w:r>
          </w:p>
          <w:p w14:paraId="71D44F13" w14:textId="77777777" w:rsidR="006A3667" w:rsidRDefault="00045F32">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14"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F15" w14:textId="77777777" w:rsidR="006A3667" w:rsidRDefault="00045F32">
            <w:pPr>
              <w:jc w:val="center"/>
              <w:textAlignment w:val="bottom"/>
            </w:pPr>
            <w:r>
              <w:rPr>
                <w:rFonts w:ascii="Arial" w:eastAsia="宋体" w:hAnsi="Arial" w:cs="Arial"/>
                <w:b/>
                <w:bCs/>
                <w:color w:val="000000"/>
                <w:sz w:val="15"/>
                <w:szCs w:val="15"/>
              </w:rPr>
              <w:t>Fair</w:t>
            </w:r>
          </w:p>
          <w:p w14:paraId="71D44F16" w14:textId="77777777" w:rsidR="006A3667" w:rsidRDefault="00045F32">
            <w:pPr>
              <w:jc w:val="center"/>
              <w:textAlignment w:val="bottom"/>
            </w:pPr>
            <w:r>
              <w:rPr>
                <w:rFonts w:ascii="Arial" w:eastAsia="宋体" w:hAnsi="Arial" w:cs="Arial"/>
                <w:b/>
                <w:bCs/>
                <w:color w:val="000000"/>
                <w:sz w:val="15"/>
                <w:szCs w:val="15"/>
              </w:rPr>
              <w:t>Value</w:t>
            </w:r>
          </w:p>
        </w:tc>
        <w:tc>
          <w:tcPr>
            <w:tcW w:w="0" w:type="auto"/>
            <w:gridSpan w:val="3"/>
            <w:vMerge w:val="restart"/>
            <w:shd w:val="clear" w:color="auto" w:fill="auto"/>
            <w:tcMar>
              <w:top w:w="0" w:type="dxa"/>
              <w:left w:w="20" w:type="dxa"/>
              <w:bottom w:w="0" w:type="dxa"/>
              <w:right w:w="20" w:type="dxa"/>
            </w:tcMar>
            <w:vAlign w:val="bottom"/>
          </w:tcPr>
          <w:p w14:paraId="71D44F17"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F18" w14:textId="77777777" w:rsidR="006A3667" w:rsidRDefault="00045F32">
            <w:pPr>
              <w:jc w:val="center"/>
              <w:textAlignment w:val="bottom"/>
            </w:pPr>
            <w:r>
              <w:rPr>
                <w:rFonts w:ascii="Arial" w:eastAsia="宋体" w:hAnsi="Arial" w:cs="Arial"/>
                <w:b/>
                <w:bCs/>
                <w:color w:val="000000"/>
                <w:sz w:val="15"/>
                <w:szCs w:val="15"/>
              </w:rPr>
              <w:t>Amortized</w:t>
            </w:r>
          </w:p>
          <w:p w14:paraId="71D44F19" w14:textId="77777777" w:rsidR="006A3667" w:rsidRDefault="00045F32">
            <w:pP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1D44F1A"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4F1B" w14:textId="77777777" w:rsidR="006A3667" w:rsidRDefault="00045F32">
            <w:pPr>
              <w:jc w:val="center"/>
              <w:textAlignment w:val="bottom"/>
            </w:pPr>
            <w:r>
              <w:rPr>
                <w:rFonts w:ascii="Arial" w:eastAsia="宋体" w:hAnsi="Arial" w:cs="Arial"/>
                <w:b/>
                <w:bCs/>
                <w:color w:val="000000"/>
                <w:sz w:val="15"/>
                <w:szCs w:val="15"/>
              </w:rPr>
              <w:t>Gross</w:t>
            </w:r>
          </w:p>
          <w:p w14:paraId="71D44F1C" w14:textId="77777777" w:rsidR="006A3667" w:rsidRDefault="00045F32">
            <w:pP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1D"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4F1E" w14:textId="77777777" w:rsidR="006A3667" w:rsidRDefault="00045F32">
            <w:pPr>
              <w:jc w:val="center"/>
              <w:textAlignment w:val="bottom"/>
            </w:pPr>
            <w:r>
              <w:rPr>
                <w:rFonts w:ascii="Arial" w:eastAsia="宋体" w:hAnsi="Arial" w:cs="Arial"/>
                <w:b/>
                <w:bCs/>
                <w:color w:val="000000"/>
                <w:sz w:val="15"/>
                <w:szCs w:val="15"/>
              </w:rPr>
              <w:t>Fair</w:t>
            </w:r>
          </w:p>
          <w:p w14:paraId="71D44F1F" w14:textId="77777777" w:rsidR="006A3667" w:rsidRDefault="00045F32">
            <w:pPr>
              <w:jc w:val="center"/>
              <w:textAlignment w:val="bottom"/>
            </w:pPr>
            <w:r>
              <w:rPr>
                <w:rFonts w:ascii="Arial" w:eastAsia="宋体" w:hAnsi="Arial" w:cs="Arial"/>
                <w:b/>
                <w:bCs/>
                <w:color w:val="000000"/>
                <w:sz w:val="15"/>
                <w:szCs w:val="15"/>
              </w:rPr>
              <w:t>Value</w:t>
            </w:r>
          </w:p>
        </w:tc>
      </w:tr>
      <w:tr w:rsidR="006A3667" w14:paraId="71D44F31" w14:textId="77777777">
        <w:trPr>
          <w:trHeight w:val="240"/>
        </w:trPr>
        <w:tc>
          <w:tcPr>
            <w:tcW w:w="0" w:type="auto"/>
            <w:gridSpan w:val="3"/>
            <w:shd w:val="clear" w:color="auto" w:fill="auto"/>
            <w:tcMar>
              <w:top w:w="40" w:type="dxa"/>
              <w:left w:w="20" w:type="dxa"/>
              <w:bottom w:w="40" w:type="dxa"/>
              <w:right w:w="20" w:type="dxa"/>
            </w:tcMar>
            <w:vAlign w:val="bottom"/>
          </w:tcPr>
          <w:p w14:paraId="71D44F21" w14:textId="77777777" w:rsidR="006A3667" w:rsidRDefault="00045F32">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F22" w14:textId="77777777" w:rsidR="006A3667" w:rsidRDefault="006A3667">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1D44F2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F24" w14:textId="77777777" w:rsidR="006A3667" w:rsidRDefault="00045F32">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2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F26" w14:textId="77777777" w:rsidR="006A3667" w:rsidRDefault="00045F32">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71D44F27"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F28" w14:textId="77777777" w:rsidR="006A3667" w:rsidRDefault="006A3667">
            <w:pPr>
              <w:rPr>
                <w:rFonts w:ascii="宋体"/>
              </w:rPr>
            </w:pPr>
          </w:p>
        </w:tc>
        <w:tc>
          <w:tcPr>
            <w:tcW w:w="0" w:type="auto"/>
            <w:gridSpan w:val="3"/>
            <w:vMerge/>
            <w:shd w:val="clear" w:color="auto" w:fill="auto"/>
            <w:tcMar>
              <w:top w:w="0" w:type="dxa"/>
              <w:left w:w="20" w:type="dxa"/>
              <w:bottom w:w="0" w:type="dxa"/>
              <w:right w:w="20" w:type="dxa"/>
            </w:tcMar>
            <w:vAlign w:val="bottom"/>
          </w:tcPr>
          <w:p w14:paraId="71D44F29"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F2A" w14:textId="77777777" w:rsidR="006A3667" w:rsidRDefault="006A3667">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1D44F2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F2C" w14:textId="77777777" w:rsidR="006A3667" w:rsidRDefault="00045F32">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2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4F2E" w14:textId="77777777" w:rsidR="006A3667" w:rsidRDefault="00045F32">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71D44F2F"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4F30" w14:textId="77777777" w:rsidR="006A3667" w:rsidRDefault="006A3667">
            <w:pPr>
              <w:rPr>
                <w:rFonts w:ascii="宋体"/>
              </w:rPr>
            </w:pPr>
          </w:p>
        </w:tc>
      </w:tr>
      <w:tr w:rsidR="006A3667" w14:paraId="71D44F42" w14:textId="77777777">
        <w:tc>
          <w:tcPr>
            <w:tcW w:w="0" w:type="auto"/>
            <w:gridSpan w:val="3"/>
            <w:shd w:val="clear" w:color="auto" w:fill="auto"/>
            <w:tcMar>
              <w:top w:w="40" w:type="dxa"/>
              <w:left w:w="20" w:type="dxa"/>
              <w:bottom w:w="40" w:type="dxa"/>
              <w:right w:w="20" w:type="dxa"/>
            </w:tcMar>
            <w:vAlign w:val="bottom"/>
          </w:tcPr>
          <w:p w14:paraId="71D44F32" w14:textId="77777777" w:rsidR="006A3667" w:rsidRDefault="00045F32">
            <w:pP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3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3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3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3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3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3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3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3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3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3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3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3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4F41" w14:textId="77777777" w:rsidR="006A3667" w:rsidRDefault="006A3667">
            <w:pPr>
              <w:rPr>
                <w:rFonts w:ascii="宋体"/>
              </w:rPr>
            </w:pPr>
          </w:p>
        </w:tc>
      </w:tr>
      <w:tr w:rsidR="006A3667" w14:paraId="71D44F53" w14:textId="77777777">
        <w:tc>
          <w:tcPr>
            <w:tcW w:w="0" w:type="auto"/>
            <w:gridSpan w:val="3"/>
            <w:shd w:val="clear" w:color="auto" w:fill="auto"/>
            <w:tcMar>
              <w:top w:w="40" w:type="dxa"/>
              <w:left w:w="20" w:type="dxa"/>
              <w:bottom w:w="40" w:type="dxa"/>
              <w:right w:w="20" w:type="dxa"/>
            </w:tcMar>
            <w:vAlign w:val="bottom"/>
          </w:tcPr>
          <w:p w14:paraId="71D44F43" w14:textId="77777777" w:rsidR="006A3667" w:rsidRDefault="00045F32">
            <w:pP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71D44F4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4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5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5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4F52" w14:textId="77777777" w:rsidR="006A3667" w:rsidRDefault="006A3667">
            <w:pPr>
              <w:rPr>
                <w:rFonts w:ascii="宋体"/>
              </w:rPr>
            </w:pPr>
          </w:p>
        </w:tc>
      </w:tr>
      <w:tr w:rsidR="00045F32" w14:paraId="71D44F74" w14:textId="77777777">
        <w:tc>
          <w:tcPr>
            <w:tcW w:w="0" w:type="auto"/>
            <w:gridSpan w:val="3"/>
            <w:shd w:val="clear" w:color="auto" w:fill="CCEEFF"/>
            <w:tcMar>
              <w:top w:w="40" w:type="dxa"/>
              <w:left w:w="245" w:type="dxa"/>
              <w:bottom w:w="40" w:type="dxa"/>
              <w:right w:w="20" w:type="dxa"/>
            </w:tcMar>
            <w:vAlign w:val="bottom"/>
          </w:tcPr>
          <w:p w14:paraId="71D44F54" w14:textId="77777777" w:rsidR="006A3667" w:rsidRDefault="00045F32">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71D44F55"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4F56" w14:textId="77777777" w:rsidR="006A3667" w:rsidRDefault="00045F32">
            <w:pPr>
              <w:jc w:val="right"/>
              <w:textAlignment w:val="bottom"/>
            </w:pPr>
            <w:r>
              <w:rPr>
                <w:rFonts w:ascii="Arial" w:eastAsia="宋体" w:hAnsi="Arial" w:cs="Arial"/>
                <w:b/>
                <w:bCs/>
                <w:color w:val="000000"/>
                <w:sz w:val="15"/>
                <w:szCs w:val="15"/>
              </w:rPr>
              <w:t>8,150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5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F59"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4F5A" w14:textId="77777777" w:rsidR="006A3667" w:rsidRDefault="00045F32">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5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F5D"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4F5E" w14:textId="77777777" w:rsidR="006A3667" w:rsidRDefault="00045F32">
            <w:pPr>
              <w:jc w:val="right"/>
              <w:textAlignment w:val="bottom"/>
            </w:pPr>
            <w:r>
              <w:rPr>
                <w:rFonts w:ascii="Arial" w:eastAsia="宋体" w:hAnsi="Arial" w:cs="Arial"/>
                <w:b/>
                <w:bCs/>
                <w:color w:val="000000"/>
                <w:sz w:val="15"/>
                <w:szCs w:val="15"/>
              </w:rPr>
              <w:t>307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6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F61"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4F62" w14:textId="77777777" w:rsidR="006A3667" w:rsidRDefault="00045F32">
            <w:pPr>
              <w:jc w:val="right"/>
              <w:textAlignment w:val="bottom"/>
            </w:pPr>
            <w:r>
              <w:rPr>
                <w:rFonts w:ascii="Arial" w:eastAsia="宋体" w:hAnsi="Arial" w:cs="Arial"/>
                <w:b/>
                <w:bCs/>
                <w:color w:val="000000"/>
                <w:sz w:val="15"/>
                <w:szCs w:val="15"/>
              </w:rPr>
              <w:t>7,856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6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F65"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4F66" w14:textId="77777777" w:rsidR="006A3667" w:rsidRDefault="00045F32">
            <w:pPr>
              <w:jc w:val="right"/>
              <w:textAlignment w:val="bottom"/>
            </w:pPr>
            <w:r>
              <w:rPr>
                <w:rFonts w:ascii="Arial" w:eastAsia="宋体" w:hAnsi="Arial" w:cs="Arial"/>
                <w:color w:val="000000"/>
                <w:sz w:val="15"/>
                <w:szCs w:val="15"/>
              </w:rPr>
              <w:t>18,111 </w:t>
            </w:r>
          </w:p>
        </w:tc>
        <w:tc>
          <w:tcPr>
            <w:tcW w:w="0" w:type="auto"/>
            <w:shd w:val="clear" w:color="auto" w:fill="CCEEFF"/>
            <w:tcMar>
              <w:top w:w="40" w:type="dxa"/>
              <w:left w:w="0" w:type="dxa"/>
              <w:bottom w:w="40" w:type="dxa"/>
              <w:right w:w="20" w:type="dxa"/>
            </w:tcMar>
            <w:vAlign w:val="bottom"/>
          </w:tcPr>
          <w:p w14:paraId="71D44F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6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F69"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4F6A" w14:textId="77777777" w:rsidR="006A3667" w:rsidRDefault="00045F32">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71D44F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6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F6D"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4F6E" w14:textId="77777777" w:rsidR="006A3667" w:rsidRDefault="00045F32">
            <w:pPr>
              <w:jc w:val="right"/>
              <w:textAlignment w:val="bottom"/>
            </w:pPr>
            <w:r>
              <w:rPr>
                <w:rFonts w:ascii="Arial" w:eastAsia="宋体" w:hAnsi="Arial" w:cs="Arial"/>
                <w:color w:val="000000"/>
                <w:sz w:val="15"/>
                <w:szCs w:val="15"/>
              </w:rPr>
              <w:t>196 </w:t>
            </w:r>
          </w:p>
        </w:tc>
        <w:tc>
          <w:tcPr>
            <w:tcW w:w="0" w:type="auto"/>
            <w:shd w:val="clear" w:color="auto" w:fill="CCEEFF"/>
            <w:tcMar>
              <w:top w:w="40" w:type="dxa"/>
              <w:left w:w="0" w:type="dxa"/>
              <w:bottom w:w="40" w:type="dxa"/>
              <w:right w:w="20" w:type="dxa"/>
            </w:tcMar>
            <w:vAlign w:val="bottom"/>
          </w:tcPr>
          <w:p w14:paraId="71D44F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7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4F71"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4F72" w14:textId="77777777" w:rsidR="006A3667" w:rsidRDefault="00045F32">
            <w:pPr>
              <w:jc w:val="right"/>
              <w:textAlignment w:val="bottom"/>
            </w:pPr>
            <w:r>
              <w:rPr>
                <w:rFonts w:ascii="Arial" w:eastAsia="宋体" w:hAnsi="Arial" w:cs="Arial"/>
                <w:color w:val="000000"/>
                <w:sz w:val="15"/>
                <w:szCs w:val="15"/>
              </w:rPr>
              <w:t>17,939 </w:t>
            </w:r>
          </w:p>
        </w:tc>
        <w:tc>
          <w:tcPr>
            <w:tcW w:w="0" w:type="auto"/>
            <w:shd w:val="clear" w:color="auto" w:fill="CCEEFF"/>
            <w:tcMar>
              <w:top w:w="40" w:type="dxa"/>
              <w:left w:w="0" w:type="dxa"/>
              <w:bottom w:w="40" w:type="dxa"/>
              <w:right w:w="20" w:type="dxa"/>
            </w:tcMar>
            <w:vAlign w:val="bottom"/>
          </w:tcPr>
          <w:p w14:paraId="71D44F73" w14:textId="77777777" w:rsidR="006A3667" w:rsidRDefault="006A3667">
            <w:pPr>
              <w:jc w:val="right"/>
              <w:rPr>
                <w:rFonts w:ascii="宋体"/>
              </w:rPr>
            </w:pPr>
          </w:p>
        </w:tc>
      </w:tr>
      <w:tr w:rsidR="006A3667" w14:paraId="71D44F8D" w14:textId="77777777">
        <w:tc>
          <w:tcPr>
            <w:tcW w:w="0" w:type="auto"/>
            <w:gridSpan w:val="3"/>
            <w:shd w:val="clear" w:color="auto" w:fill="FFFFFF"/>
            <w:tcMar>
              <w:top w:w="40" w:type="dxa"/>
              <w:left w:w="245" w:type="dxa"/>
              <w:bottom w:w="40" w:type="dxa"/>
              <w:right w:w="20" w:type="dxa"/>
            </w:tcMar>
            <w:vAlign w:val="bottom"/>
          </w:tcPr>
          <w:p w14:paraId="71D44F75" w14:textId="77777777" w:rsidR="006A3667" w:rsidRDefault="00045F32">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71D44F76" w14:textId="77777777" w:rsidR="006A3667" w:rsidRDefault="00045F32">
            <w:pPr>
              <w:jc w:val="right"/>
              <w:textAlignment w:val="bottom"/>
            </w:pPr>
            <w:r>
              <w:rPr>
                <w:rFonts w:ascii="Arial" w:eastAsia="宋体" w:hAnsi="Arial" w:cs="Arial"/>
                <w:b/>
                <w:bCs/>
                <w:color w:val="000000"/>
                <w:sz w:val="15"/>
                <w:szCs w:val="15"/>
              </w:rPr>
              <w:t>9,618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4F7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7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79"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4F7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7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7C" w14:textId="77777777" w:rsidR="006A3667" w:rsidRDefault="00045F32">
            <w:pPr>
              <w:jc w:val="right"/>
              <w:textAlignment w:val="bottom"/>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4F7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7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7F" w14:textId="77777777" w:rsidR="006A3667" w:rsidRDefault="00045F32">
            <w:pPr>
              <w:jc w:val="right"/>
              <w:textAlignment w:val="bottom"/>
            </w:pPr>
            <w:r>
              <w:rPr>
                <w:rFonts w:ascii="Arial" w:eastAsia="宋体" w:hAnsi="Arial" w:cs="Arial"/>
                <w:b/>
                <w:bCs/>
                <w:color w:val="000000"/>
                <w:sz w:val="15"/>
                <w:szCs w:val="15"/>
              </w:rPr>
              <w:t>9,403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4F8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8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82" w14:textId="77777777" w:rsidR="006A3667" w:rsidRDefault="00045F32">
            <w:pPr>
              <w:jc w:val="right"/>
              <w:textAlignment w:val="bottom"/>
            </w:pPr>
            <w:r>
              <w:rPr>
                <w:rFonts w:ascii="Arial" w:eastAsia="宋体" w:hAnsi="Arial" w:cs="Arial"/>
                <w:color w:val="000000"/>
                <w:sz w:val="15"/>
                <w:szCs w:val="15"/>
              </w:rPr>
              <w:t>18,154 </w:t>
            </w:r>
          </w:p>
        </w:tc>
        <w:tc>
          <w:tcPr>
            <w:tcW w:w="0" w:type="auto"/>
            <w:shd w:val="clear" w:color="auto" w:fill="FFFFFF"/>
            <w:tcMar>
              <w:top w:w="40" w:type="dxa"/>
              <w:left w:w="0" w:type="dxa"/>
              <w:bottom w:w="40" w:type="dxa"/>
              <w:right w:w="20" w:type="dxa"/>
            </w:tcMar>
            <w:vAlign w:val="bottom"/>
          </w:tcPr>
          <w:p w14:paraId="71D44F8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8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85" w14:textId="77777777" w:rsidR="006A3667" w:rsidRDefault="00045F32">
            <w:pPr>
              <w:jc w:val="right"/>
              <w:textAlignment w:val="bottom"/>
            </w:pPr>
            <w:r>
              <w:rPr>
                <w:rFonts w:ascii="Arial" w:eastAsia="宋体" w:hAnsi="Arial" w:cs="Arial"/>
                <w:color w:val="000000"/>
                <w:sz w:val="15"/>
                <w:szCs w:val="15"/>
              </w:rPr>
              <w:t>148 </w:t>
            </w:r>
          </w:p>
        </w:tc>
        <w:tc>
          <w:tcPr>
            <w:tcW w:w="0" w:type="auto"/>
            <w:shd w:val="clear" w:color="auto" w:fill="FFFFFF"/>
            <w:tcMar>
              <w:top w:w="40" w:type="dxa"/>
              <w:left w:w="0" w:type="dxa"/>
              <w:bottom w:w="40" w:type="dxa"/>
              <w:right w:w="20" w:type="dxa"/>
            </w:tcMar>
            <w:vAlign w:val="bottom"/>
          </w:tcPr>
          <w:p w14:paraId="71D44F8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8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88" w14:textId="77777777" w:rsidR="006A3667" w:rsidRDefault="00045F32">
            <w:pPr>
              <w:jc w:val="right"/>
              <w:textAlignment w:val="bottom"/>
            </w:pPr>
            <w:r>
              <w:rPr>
                <w:rFonts w:ascii="Arial" w:eastAsia="宋体" w:hAnsi="Arial" w:cs="Arial"/>
                <w:color w:val="000000"/>
                <w:sz w:val="15"/>
                <w:szCs w:val="15"/>
              </w:rPr>
              <w:t>94 </w:t>
            </w:r>
          </w:p>
        </w:tc>
        <w:tc>
          <w:tcPr>
            <w:tcW w:w="0" w:type="auto"/>
            <w:shd w:val="clear" w:color="auto" w:fill="FFFFFF"/>
            <w:tcMar>
              <w:top w:w="40" w:type="dxa"/>
              <w:left w:w="0" w:type="dxa"/>
              <w:bottom w:w="40" w:type="dxa"/>
              <w:right w:w="20" w:type="dxa"/>
            </w:tcMar>
            <w:vAlign w:val="bottom"/>
          </w:tcPr>
          <w:p w14:paraId="71D44F8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8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8B" w14:textId="77777777" w:rsidR="006A3667" w:rsidRDefault="00045F32">
            <w:pPr>
              <w:jc w:val="right"/>
              <w:textAlignment w:val="bottom"/>
            </w:pPr>
            <w:r>
              <w:rPr>
                <w:rFonts w:ascii="Arial" w:eastAsia="宋体" w:hAnsi="Arial" w:cs="Arial"/>
                <w:color w:val="000000"/>
                <w:sz w:val="15"/>
                <w:szCs w:val="15"/>
              </w:rPr>
              <w:t>18,208 </w:t>
            </w:r>
          </w:p>
        </w:tc>
        <w:tc>
          <w:tcPr>
            <w:tcW w:w="0" w:type="auto"/>
            <w:shd w:val="clear" w:color="auto" w:fill="FFFFFF"/>
            <w:tcMar>
              <w:top w:w="40" w:type="dxa"/>
              <w:left w:w="0" w:type="dxa"/>
              <w:bottom w:w="40" w:type="dxa"/>
              <w:right w:w="20" w:type="dxa"/>
            </w:tcMar>
            <w:vAlign w:val="bottom"/>
          </w:tcPr>
          <w:p w14:paraId="71D44F8C" w14:textId="77777777" w:rsidR="006A3667" w:rsidRDefault="006A3667">
            <w:pPr>
              <w:jc w:val="right"/>
              <w:rPr>
                <w:rFonts w:ascii="宋体"/>
              </w:rPr>
            </w:pPr>
          </w:p>
        </w:tc>
      </w:tr>
      <w:tr w:rsidR="006A3667" w14:paraId="71D44FA6" w14:textId="77777777">
        <w:tc>
          <w:tcPr>
            <w:tcW w:w="0" w:type="auto"/>
            <w:gridSpan w:val="3"/>
            <w:shd w:val="clear" w:color="auto" w:fill="CCEEFF"/>
            <w:tcMar>
              <w:top w:w="40" w:type="dxa"/>
              <w:left w:w="380" w:type="dxa"/>
              <w:bottom w:w="40" w:type="dxa"/>
              <w:right w:w="20" w:type="dxa"/>
            </w:tcMar>
            <w:vAlign w:val="bottom"/>
          </w:tcPr>
          <w:p w14:paraId="71D44F8E" w14:textId="77777777" w:rsidR="006A3667" w:rsidRDefault="00045F32">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4F8F" w14:textId="77777777" w:rsidR="006A3667" w:rsidRDefault="00045F32">
            <w:pPr>
              <w:jc w:val="right"/>
              <w:textAlignment w:val="bottom"/>
            </w:pPr>
            <w:r>
              <w:rPr>
                <w:rFonts w:ascii="Arial" w:eastAsia="宋体" w:hAnsi="Arial" w:cs="Arial"/>
                <w:b/>
                <w:bCs/>
                <w:color w:val="000000"/>
                <w:sz w:val="15"/>
                <w:szCs w:val="15"/>
              </w:rPr>
              <w:t>17,768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4F9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9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4F92" w14:textId="77777777" w:rsidR="006A3667" w:rsidRDefault="00045F32">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4F9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9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4F95" w14:textId="77777777" w:rsidR="006A3667" w:rsidRDefault="00045F32">
            <w:pPr>
              <w:jc w:val="right"/>
              <w:textAlignment w:val="bottom"/>
            </w:pPr>
            <w:r>
              <w:rPr>
                <w:rFonts w:ascii="Arial" w:eastAsia="宋体" w:hAnsi="Arial" w:cs="Arial"/>
                <w:b/>
                <w:bCs/>
                <w:color w:val="000000"/>
                <w:sz w:val="15"/>
                <w:szCs w:val="15"/>
              </w:rPr>
              <w:t>522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4F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9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4F98" w14:textId="77777777" w:rsidR="006A3667" w:rsidRDefault="00045F32">
            <w:pPr>
              <w:jc w:val="right"/>
              <w:textAlignment w:val="bottom"/>
            </w:pPr>
            <w:r>
              <w:rPr>
                <w:rFonts w:ascii="Arial" w:eastAsia="宋体" w:hAnsi="Arial" w:cs="Arial"/>
                <w:b/>
                <w:bCs/>
                <w:color w:val="000000"/>
                <w:sz w:val="15"/>
                <w:szCs w:val="15"/>
              </w:rPr>
              <w:t>17,259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4F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9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4F9B" w14:textId="77777777" w:rsidR="006A3667" w:rsidRDefault="00045F32">
            <w:pPr>
              <w:jc w:val="right"/>
              <w:textAlignment w:val="bottom"/>
            </w:pPr>
            <w:r>
              <w:rPr>
                <w:rFonts w:ascii="Arial" w:eastAsia="宋体" w:hAnsi="Arial" w:cs="Arial"/>
                <w:color w:val="000000"/>
                <w:sz w:val="15"/>
                <w:szCs w:val="15"/>
              </w:rPr>
              <w:t>36,265 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4F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9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4F9E" w14:textId="77777777" w:rsidR="006A3667" w:rsidRDefault="00045F32">
            <w:pPr>
              <w:jc w:val="right"/>
              <w:textAlignment w:val="bottom"/>
            </w:pPr>
            <w:r>
              <w:rPr>
                <w:rFonts w:ascii="Arial" w:eastAsia="宋体" w:hAnsi="Arial" w:cs="Arial"/>
                <w:color w:val="000000"/>
                <w:sz w:val="15"/>
                <w:szCs w:val="15"/>
              </w:rPr>
              <w:t>172 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4F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A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4FA1" w14:textId="77777777" w:rsidR="006A3667" w:rsidRDefault="00045F32">
            <w:pPr>
              <w:jc w:val="right"/>
              <w:textAlignment w:val="bottom"/>
            </w:pPr>
            <w:r>
              <w:rPr>
                <w:rFonts w:ascii="Arial" w:eastAsia="宋体" w:hAnsi="Arial" w:cs="Arial"/>
                <w:color w:val="000000"/>
                <w:sz w:val="15"/>
                <w:szCs w:val="15"/>
              </w:rPr>
              <w:t>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4F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A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4FA4" w14:textId="77777777" w:rsidR="006A3667" w:rsidRDefault="00045F32">
            <w:pPr>
              <w:jc w:val="right"/>
              <w:textAlignment w:val="bottom"/>
            </w:pPr>
            <w:r>
              <w:rPr>
                <w:rFonts w:ascii="Arial" w:eastAsia="宋体" w:hAnsi="Arial" w:cs="Arial"/>
                <w:color w:val="000000"/>
                <w:sz w:val="15"/>
                <w:szCs w:val="15"/>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4FA5" w14:textId="77777777" w:rsidR="006A3667" w:rsidRDefault="006A3667">
            <w:pPr>
              <w:jc w:val="right"/>
              <w:rPr>
                <w:rFonts w:ascii="宋体"/>
              </w:rPr>
            </w:pPr>
          </w:p>
        </w:tc>
      </w:tr>
      <w:tr w:rsidR="006A3667" w14:paraId="71D44FB7" w14:textId="77777777">
        <w:tc>
          <w:tcPr>
            <w:tcW w:w="0" w:type="auto"/>
            <w:gridSpan w:val="3"/>
            <w:shd w:val="clear" w:color="auto" w:fill="FFFFFF"/>
            <w:tcMar>
              <w:top w:w="40" w:type="dxa"/>
              <w:left w:w="20" w:type="dxa"/>
              <w:bottom w:w="40" w:type="dxa"/>
              <w:right w:w="20" w:type="dxa"/>
            </w:tcMar>
            <w:vAlign w:val="bottom"/>
          </w:tcPr>
          <w:p w14:paraId="71D44FA7" w14:textId="77777777" w:rsidR="006A3667" w:rsidRDefault="00045F32">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FA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FA9"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FA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FAB"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FA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FAD"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FA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FAF"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FB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FB1"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FB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FB3"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FB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4FB5"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4FB6" w14:textId="77777777" w:rsidR="006A3667" w:rsidRDefault="006A3667">
            <w:pPr>
              <w:rPr>
                <w:rFonts w:ascii="宋体"/>
              </w:rPr>
            </w:pPr>
          </w:p>
        </w:tc>
      </w:tr>
      <w:tr w:rsidR="006A3667" w14:paraId="71D44FD0" w14:textId="77777777">
        <w:tc>
          <w:tcPr>
            <w:tcW w:w="0" w:type="auto"/>
            <w:gridSpan w:val="3"/>
            <w:shd w:val="clear" w:color="auto" w:fill="CCEEFF"/>
            <w:tcMar>
              <w:top w:w="40" w:type="dxa"/>
              <w:left w:w="245" w:type="dxa"/>
              <w:bottom w:w="40" w:type="dxa"/>
              <w:right w:w="20" w:type="dxa"/>
            </w:tcMar>
            <w:vAlign w:val="bottom"/>
          </w:tcPr>
          <w:p w14:paraId="71D44FB8" w14:textId="77777777" w:rsidR="006A3667" w:rsidRDefault="00045F32">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71D44FB9" w14:textId="77777777" w:rsidR="006A3667" w:rsidRDefault="00045F32">
            <w:pPr>
              <w:jc w:val="right"/>
              <w:textAlignment w:val="bottom"/>
            </w:pPr>
            <w:r>
              <w:rPr>
                <w:rFonts w:ascii="Arial" w:eastAsia="宋体" w:hAnsi="Arial" w:cs="Arial"/>
                <w:b/>
                <w:bCs/>
                <w:color w:val="000000"/>
                <w:sz w:val="15"/>
                <w:szCs w:val="15"/>
              </w:rPr>
              <w:t>1,680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B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BC"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B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BF" w14:textId="77777777" w:rsidR="006A3667" w:rsidRDefault="00045F32">
            <w:pPr>
              <w:jc w:val="right"/>
              <w:textAlignment w:val="bottom"/>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C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C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C2" w14:textId="77777777" w:rsidR="006A3667" w:rsidRDefault="00045F32">
            <w:pPr>
              <w:jc w:val="right"/>
              <w:textAlignment w:val="bottom"/>
            </w:pPr>
            <w:r>
              <w:rPr>
                <w:rFonts w:ascii="Arial" w:eastAsia="宋体" w:hAnsi="Arial" w:cs="Arial"/>
                <w:b/>
                <w:bCs/>
                <w:color w:val="000000"/>
                <w:sz w:val="15"/>
                <w:szCs w:val="15"/>
              </w:rPr>
              <w:t>1,662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C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C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C5" w14:textId="77777777" w:rsidR="006A3667" w:rsidRDefault="00045F32">
            <w:pPr>
              <w:jc w:val="right"/>
              <w:textAlignment w:val="bottom"/>
            </w:pPr>
            <w:r>
              <w:rPr>
                <w:rFonts w:ascii="Arial" w:eastAsia="宋体" w:hAnsi="Arial" w:cs="Arial"/>
                <w:color w:val="000000"/>
                <w:sz w:val="15"/>
                <w:szCs w:val="15"/>
              </w:rPr>
              <w:t>1,986 </w:t>
            </w:r>
          </w:p>
        </w:tc>
        <w:tc>
          <w:tcPr>
            <w:tcW w:w="0" w:type="auto"/>
            <w:shd w:val="clear" w:color="auto" w:fill="CCEEFF"/>
            <w:tcMar>
              <w:top w:w="40" w:type="dxa"/>
              <w:left w:w="0" w:type="dxa"/>
              <w:bottom w:w="40" w:type="dxa"/>
              <w:right w:w="20" w:type="dxa"/>
            </w:tcMar>
            <w:vAlign w:val="bottom"/>
          </w:tcPr>
          <w:p w14:paraId="71D44FC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C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C8" w14:textId="77777777" w:rsidR="006A3667" w:rsidRDefault="00045F32">
            <w:pPr>
              <w:jc w:val="right"/>
              <w:textAlignment w:val="bottom"/>
            </w:pPr>
            <w:r>
              <w:rPr>
                <w:rFonts w:ascii="Arial" w:eastAsia="宋体" w:hAnsi="Arial" w:cs="Arial"/>
                <w:color w:val="000000"/>
                <w:sz w:val="15"/>
                <w:szCs w:val="15"/>
              </w:rPr>
              <w:t>12 </w:t>
            </w:r>
          </w:p>
        </w:tc>
        <w:tc>
          <w:tcPr>
            <w:tcW w:w="0" w:type="auto"/>
            <w:shd w:val="clear" w:color="auto" w:fill="CCEEFF"/>
            <w:tcMar>
              <w:top w:w="40" w:type="dxa"/>
              <w:left w:w="0" w:type="dxa"/>
              <w:bottom w:w="40" w:type="dxa"/>
              <w:right w:w="20" w:type="dxa"/>
            </w:tcMar>
            <w:vAlign w:val="bottom"/>
          </w:tcPr>
          <w:p w14:paraId="71D44FC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C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CB" w14:textId="77777777" w:rsidR="006A3667" w:rsidRDefault="00045F32">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71D44FC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C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CE" w14:textId="77777777" w:rsidR="006A3667" w:rsidRDefault="00045F32">
            <w:pPr>
              <w:jc w:val="right"/>
              <w:textAlignment w:val="bottom"/>
            </w:pPr>
            <w:r>
              <w:rPr>
                <w:rFonts w:ascii="Arial" w:eastAsia="宋体" w:hAnsi="Arial" w:cs="Arial"/>
                <w:color w:val="000000"/>
                <w:sz w:val="15"/>
                <w:szCs w:val="15"/>
              </w:rPr>
              <w:t>1,995 </w:t>
            </w:r>
          </w:p>
        </w:tc>
        <w:tc>
          <w:tcPr>
            <w:tcW w:w="0" w:type="auto"/>
            <w:shd w:val="clear" w:color="auto" w:fill="CCEEFF"/>
            <w:tcMar>
              <w:top w:w="40" w:type="dxa"/>
              <w:left w:w="0" w:type="dxa"/>
              <w:bottom w:w="40" w:type="dxa"/>
              <w:right w:w="20" w:type="dxa"/>
            </w:tcMar>
            <w:vAlign w:val="bottom"/>
          </w:tcPr>
          <w:p w14:paraId="71D44FCF" w14:textId="77777777" w:rsidR="006A3667" w:rsidRDefault="006A3667">
            <w:pPr>
              <w:jc w:val="right"/>
              <w:rPr>
                <w:rFonts w:ascii="宋体"/>
              </w:rPr>
            </w:pPr>
          </w:p>
        </w:tc>
      </w:tr>
      <w:tr w:rsidR="006A3667" w14:paraId="71D44FE9" w14:textId="77777777">
        <w:tc>
          <w:tcPr>
            <w:tcW w:w="0" w:type="auto"/>
            <w:gridSpan w:val="3"/>
            <w:shd w:val="clear" w:color="auto" w:fill="FFFFFF"/>
            <w:tcMar>
              <w:top w:w="40" w:type="dxa"/>
              <w:left w:w="20" w:type="dxa"/>
              <w:bottom w:w="40" w:type="dxa"/>
              <w:right w:w="20" w:type="dxa"/>
            </w:tcMar>
            <w:vAlign w:val="bottom"/>
          </w:tcPr>
          <w:p w14:paraId="71D44FD1" w14:textId="77777777" w:rsidR="006A3667" w:rsidRDefault="00045F32">
            <w:pPr>
              <w:textAlignment w:val="bottom"/>
            </w:pPr>
            <w:r>
              <w:rPr>
                <w:rFonts w:ascii="Arial" w:eastAsia="宋体" w:hAnsi="Arial" w:cs="Arial"/>
                <w:color w:val="000000"/>
                <w:sz w:val="15"/>
                <w:szCs w:val="15"/>
              </w:rPr>
              <w:t>Asset-backed securities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44FD2" w14:textId="77777777" w:rsidR="006A3667" w:rsidRDefault="00045F32">
            <w:pPr>
              <w:jc w:val="right"/>
              <w:textAlignment w:val="bottom"/>
            </w:pPr>
            <w:r>
              <w:rPr>
                <w:rFonts w:ascii="Arial" w:eastAsia="宋体" w:hAnsi="Arial" w:cs="Arial"/>
                <w:b/>
                <w:bCs/>
                <w:color w:val="000000"/>
                <w:sz w:val="15"/>
                <w:szCs w:val="15"/>
              </w:rPr>
              <w:t>1,671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4F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D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D5"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4FD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D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D8" w14:textId="77777777" w:rsidR="006A3667" w:rsidRDefault="00045F32">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4FD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D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DB" w14:textId="77777777" w:rsidR="006A3667" w:rsidRDefault="00045F32">
            <w:pPr>
              <w:jc w:val="right"/>
              <w:textAlignment w:val="bottom"/>
            </w:pPr>
            <w:r>
              <w:rPr>
                <w:rFonts w:ascii="Arial" w:eastAsia="宋体" w:hAnsi="Arial" w:cs="Arial"/>
                <w:b/>
                <w:bCs/>
                <w:color w:val="000000"/>
                <w:sz w:val="15"/>
                <w:szCs w:val="15"/>
              </w:rPr>
              <w:t>1,640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4FD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D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DE" w14:textId="77777777" w:rsidR="006A3667" w:rsidRDefault="00045F32">
            <w:pPr>
              <w:jc w:val="right"/>
              <w:textAlignment w:val="bottom"/>
            </w:pPr>
            <w:r>
              <w:rPr>
                <w:rFonts w:ascii="Arial" w:eastAsia="宋体" w:hAnsi="Arial" w:cs="Arial"/>
                <w:color w:val="000000"/>
                <w:sz w:val="15"/>
                <w:szCs w:val="15"/>
              </w:rPr>
              <w:t>2,087 </w:t>
            </w:r>
          </w:p>
        </w:tc>
        <w:tc>
          <w:tcPr>
            <w:tcW w:w="0" w:type="auto"/>
            <w:shd w:val="clear" w:color="auto" w:fill="FFFFFF"/>
            <w:tcMar>
              <w:top w:w="40" w:type="dxa"/>
              <w:left w:w="0" w:type="dxa"/>
              <w:bottom w:w="40" w:type="dxa"/>
              <w:right w:w="20" w:type="dxa"/>
            </w:tcMar>
            <w:vAlign w:val="bottom"/>
          </w:tcPr>
          <w:p w14:paraId="71D44FD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E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E1"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4FE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E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E4"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4FE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4FE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4FE7" w14:textId="77777777" w:rsidR="006A3667" w:rsidRDefault="00045F32">
            <w:pPr>
              <w:jc w:val="right"/>
              <w:textAlignment w:val="bottom"/>
            </w:pPr>
            <w:r>
              <w:rPr>
                <w:rFonts w:ascii="Arial" w:eastAsia="宋体" w:hAnsi="Arial" w:cs="Arial"/>
                <w:color w:val="000000"/>
                <w:sz w:val="15"/>
                <w:szCs w:val="15"/>
              </w:rPr>
              <w:t>2,087 </w:t>
            </w:r>
          </w:p>
        </w:tc>
        <w:tc>
          <w:tcPr>
            <w:tcW w:w="0" w:type="auto"/>
            <w:shd w:val="clear" w:color="auto" w:fill="FFFFFF"/>
            <w:tcMar>
              <w:top w:w="40" w:type="dxa"/>
              <w:left w:w="0" w:type="dxa"/>
              <w:bottom w:w="40" w:type="dxa"/>
              <w:right w:w="20" w:type="dxa"/>
            </w:tcMar>
            <w:vAlign w:val="bottom"/>
          </w:tcPr>
          <w:p w14:paraId="71D44FE8" w14:textId="77777777" w:rsidR="006A3667" w:rsidRDefault="006A3667">
            <w:pPr>
              <w:jc w:val="right"/>
              <w:rPr>
                <w:rFonts w:ascii="宋体"/>
              </w:rPr>
            </w:pPr>
          </w:p>
        </w:tc>
      </w:tr>
      <w:tr w:rsidR="006A3667" w14:paraId="71D45002" w14:textId="77777777">
        <w:tc>
          <w:tcPr>
            <w:tcW w:w="0" w:type="auto"/>
            <w:gridSpan w:val="3"/>
            <w:shd w:val="clear" w:color="auto" w:fill="CCEEFF"/>
            <w:tcMar>
              <w:top w:w="40" w:type="dxa"/>
              <w:left w:w="245" w:type="dxa"/>
              <w:bottom w:w="40" w:type="dxa"/>
              <w:right w:w="20" w:type="dxa"/>
            </w:tcMar>
            <w:vAlign w:val="bottom"/>
          </w:tcPr>
          <w:p w14:paraId="71D44FEA" w14:textId="77777777" w:rsidR="006A3667" w:rsidRDefault="00045F32">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4FEB" w14:textId="77777777" w:rsidR="006A3667" w:rsidRDefault="00045F32">
            <w:pPr>
              <w:jc w:val="right"/>
              <w:textAlignment w:val="bottom"/>
            </w:pPr>
            <w:r>
              <w:rPr>
                <w:rFonts w:ascii="Arial" w:eastAsia="宋体" w:hAnsi="Arial" w:cs="Arial"/>
                <w:b/>
                <w:bCs/>
                <w:color w:val="000000"/>
                <w:sz w:val="15"/>
                <w:szCs w:val="15"/>
              </w:rPr>
              <w:t>14,142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E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E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EE" w14:textId="77777777" w:rsidR="006A3667" w:rsidRDefault="00045F32">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F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F1" w14:textId="77777777" w:rsidR="006A3667" w:rsidRDefault="00045F32">
            <w:pPr>
              <w:jc w:val="right"/>
              <w:textAlignment w:val="bottom"/>
            </w:pPr>
            <w:r>
              <w:rPr>
                <w:rFonts w:ascii="Arial" w:eastAsia="宋体" w:hAnsi="Arial" w:cs="Arial"/>
                <w:b/>
                <w:bCs/>
                <w:color w:val="000000"/>
                <w:sz w:val="15"/>
                <w:szCs w:val="15"/>
              </w:rPr>
              <w:t>470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F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F4" w14:textId="77777777" w:rsidR="006A3667" w:rsidRDefault="00045F32">
            <w:pPr>
              <w:jc w:val="right"/>
              <w:textAlignment w:val="bottom"/>
            </w:pPr>
            <w:r>
              <w:rPr>
                <w:rFonts w:ascii="Arial" w:eastAsia="宋体" w:hAnsi="Arial" w:cs="Arial"/>
                <w:b/>
                <w:bCs/>
                <w:color w:val="000000"/>
                <w:sz w:val="15"/>
                <w:szCs w:val="15"/>
              </w:rPr>
              <w:t>13,674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4F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F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F7" w14:textId="77777777" w:rsidR="006A3667" w:rsidRDefault="00045F32">
            <w:pPr>
              <w:jc w:val="right"/>
              <w:textAlignment w:val="bottom"/>
            </w:pPr>
            <w:r>
              <w:rPr>
                <w:rFonts w:ascii="Arial" w:eastAsia="宋体" w:hAnsi="Arial" w:cs="Arial"/>
                <w:color w:val="000000"/>
                <w:sz w:val="15"/>
                <w:szCs w:val="15"/>
              </w:rPr>
              <w:t>23,533 </w:t>
            </w:r>
          </w:p>
        </w:tc>
        <w:tc>
          <w:tcPr>
            <w:tcW w:w="0" w:type="auto"/>
            <w:shd w:val="clear" w:color="auto" w:fill="CCEEFF"/>
            <w:tcMar>
              <w:top w:w="40" w:type="dxa"/>
              <w:left w:w="0" w:type="dxa"/>
              <w:bottom w:w="40" w:type="dxa"/>
              <w:right w:w="20" w:type="dxa"/>
            </w:tcMar>
            <w:vAlign w:val="bottom"/>
          </w:tcPr>
          <w:p w14:paraId="71D44F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F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FA" w14:textId="77777777" w:rsidR="006A3667" w:rsidRDefault="00045F32">
            <w:pPr>
              <w:jc w:val="right"/>
              <w:textAlignment w:val="bottom"/>
            </w:pPr>
            <w:r>
              <w:rPr>
                <w:rFonts w:ascii="Arial" w:eastAsia="宋体" w:hAnsi="Arial" w:cs="Arial"/>
                <w:color w:val="000000"/>
                <w:sz w:val="15"/>
                <w:szCs w:val="15"/>
              </w:rPr>
              <w:t>114 </w:t>
            </w:r>
          </w:p>
        </w:tc>
        <w:tc>
          <w:tcPr>
            <w:tcW w:w="0" w:type="auto"/>
            <w:shd w:val="clear" w:color="auto" w:fill="CCEEFF"/>
            <w:tcMar>
              <w:top w:w="40" w:type="dxa"/>
              <w:left w:w="0" w:type="dxa"/>
              <w:bottom w:w="40" w:type="dxa"/>
              <w:right w:w="20" w:type="dxa"/>
            </w:tcMar>
            <w:vAlign w:val="bottom"/>
          </w:tcPr>
          <w:p w14:paraId="71D44F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F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4FFD" w14:textId="77777777" w:rsidR="006A3667" w:rsidRDefault="00045F32">
            <w:pPr>
              <w:jc w:val="right"/>
              <w:textAlignment w:val="bottom"/>
            </w:pPr>
            <w:r>
              <w:rPr>
                <w:rFonts w:ascii="Arial" w:eastAsia="宋体" w:hAnsi="Arial" w:cs="Arial"/>
                <w:color w:val="000000"/>
                <w:sz w:val="15"/>
                <w:szCs w:val="15"/>
              </w:rPr>
              <w:t>100 </w:t>
            </w:r>
          </w:p>
        </w:tc>
        <w:tc>
          <w:tcPr>
            <w:tcW w:w="0" w:type="auto"/>
            <w:shd w:val="clear" w:color="auto" w:fill="CCEEFF"/>
            <w:tcMar>
              <w:top w:w="40" w:type="dxa"/>
              <w:left w:w="0" w:type="dxa"/>
              <w:bottom w:w="40" w:type="dxa"/>
              <w:right w:w="20" w:type="dxa"/>
            </w:tcMar>
            <w:vAlign w:val="bottom"/>
          </w:tcPr>
          <w:p w14:paraId="71D44FF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4FF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00" w14:textId="77777777" w:rsidR="006A3667" w:rsidRDefault="00045F32">
            <w:pPr>
              <w:jc w:val="right"/>
              <w:textAlignment w:val="bottom"/>
            </w:pPr>
            <w:r>
              <w:rPr>
                <w:rFonts w:ascii="Arial" w:eastAsia="宋体" w:hAnsi="Arial" w:cs="Arial"/>
                <w:color w:val="000000"/>
                <w:sz w:val="15"/>
                <w:szCs w:val="15"/>
              </w:rPr>
              <w:t>23,547 </w:t>
            </w:r>
          </w:p>
        </w:tc>
        <w:tc>
          <w:tcPr>
            <w:tcW w:w="0" w:type="auto"/>
            <w:shd w:val="clear" w:color="auto" w:fill="CCEEFF"/>
            <w:tcMar>
              <w:top w:w="40" w:type="dxa"/>
              <w:left w:w="0" w:type="dxa"/>
              <w:bottom w:w="40" w:type="dxa"/>
              <w:right w:w="20" w:type="dxa"/>
            </w:tcMar>
            <w:vAlign w:val="bottom"/>
          </w:tcPr>
          <w:p w14:paraId="71D45001" w14:textId="77777777" w:rsidR="006A3667" w:rsidRDefault="006A3667">
            <w:pPr>
              <w:jc w:val="right"/>
              <w:rPr>
                <w:rFonts w:ascii="宋体"/>
              </w:rPr>
            </w:pPr>
          </w:p>
        </w:tc>
      </w:tr>
      <w:tr w:rsidR="006A3667" w14:paraId="71D4501B" w14:textId="77777777">
        <w:tc>
          <w:tcPr>
            <w:tcW w:w="0" w:type="auto"/>
            <w:gridSpan w:val="3"/>
            <w:shd w:val="clear" w:color="auto" w:fill="FFFFFF"/>
            <w:tcMar>
              <w:top w:w="40" w:type="dxa"/>
              <w:left w:w="20" w:type="dxa"/>
              <w:bottom w:w="40" w:type="dxa"/>
              <w:right w:w="20" w:type="dxa"/>
            </w:tcMar>
            <w:vAlign w:val="bottom"/>
          </w:tcPr>
          <w:p w14:paraId="71D45003" w14:textId="77777777" w:rsidR="006A3667" w:rsidRDefault="00045F32">
            <w:pP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1D45004" w14:textId="77777777" w:rsidR="006A3667" w:rsidRDefault="00045F32">
            <w:pPr>
              <w:jc w:val="right"/>
              <w:textAlignment w:val="bottom"/>
            </w:pPr>
            <w:r>
              <w:rPr>
                <w:rFonts w:ascii="Arial" w:eastAsia="宋体" w:hAnsi="Arial" w:cs="Arial"/>
                <w:b/>
                <w:bCs/>
                <w:color w:val="000000"/>
                <w:sz w:val="15"/>
                <w:szCs w:val="15"/>
              </w:rPr>
              <w:t>2,262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0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0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07"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0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0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0A" w14:textId="77777777" w:rsidR="006A3667" w:rsidRDefault="00045F32">
            <w:pPr>
              <w:jc w:val="right"/>
              <w:textAlignment w:val="bottom"/>
            </w:pPr>
            <w:r>
              <w:rPr>
                <w:rFonts w:ascii="Arial" w:eastAsia="宋体" w:hAnsi="Arial" w:cs="Arial"/>
                <w:b/>
                <w:bCs/>
                <w:color w:val="000000"/>
                <w:sz w:val="15"/>
                <w:szCs w:val="15"/>
              </w:rPr>
              <w:t>178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0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0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0D" w14:textId="77777777" w:rsidR="006A3667" w:rsidRDefault="00045F32">
            <w:pPr>
              <w:jc w:val="right"/>
              <w:textAlignment w:val="bottom"/>
            </w:pPr>
            <w:r>
              <w:rPr>
                <w:rFonts w:ascii="Arial" w:eastAsia="宋体" w:hAnsi="Arial" w:cs="Arial"/>
                <w:b/>
                <w:bCs/>
                <w:color w:val="000000"/>
                <w:sz w:val="15"/>
                <w:szCs w:val="15"/>
              </w:rPr>
              <w:t>2,084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0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0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10" w14:textId="77777777" w:rsidR="006A3667" w:rsidRDefault="00045F32">
            <w:pPr>
              <w:jc w:val="right"/>
              <w:textAlignment w:val="bottom"/>
            </w:pPr>
            <w:r>
              <w:rPr>
                <w:rFonts w:ascii="Arial" w:eastAsia="宋体" w:hAnsi="Arial" w:cs="Arial"/>
                <w:color w:val="000000"/>
                <w:sz w:val="15"/>
                <w:szCs w:val="15"/>
              </w:rPr>
              <w:t>3,113 </w:t>
            </w:r>
          </w:p>
        </w:tc>
        <w:tc>
          <w:tcPr>
            <w:tcW w:w="0" w:type="auto"/>
            <w:shd w:val="clear" w:color="auto" w:fill="FFFFFF"/>
            <w:tcMar>
              <w:top w:w="40" w:type="dxa"/>
              <w:left w:w="0" w:type="dxa"/>
              <w:bottom w:w="40" w:type="dxa"/>
              <w:right w:w="20" w:type="dxa"/>
            </w:tcMar>
            <w:vAlign w:val="bottom"/>
          </w:tcPr>
          <w:p w14:paraId="71D450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1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13" w14:textId="77777777" w:rsidR="006A3667" w:rsidRDefault="00045F32">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71D450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1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16" w14:textId="77777777" w:rsidR="006A3667" w:rsidRDefault="00045F32">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71D450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1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19" w14:textId="77777777" w:rsidR="006A3667" w:rsidRDefault="00045F32">
            <w:pPr>
              <w:jc w:val="right"/>
              <w:textAlignment w:val="bottom"/>
            </w:pPr>
            <w:r>
              <w:rPr>
                <w:rFonts w:ascii="Arial" w:eastAsia="宋体" w:hAnsi="Arial" w:cs="Arial"/>
                <w:color w:val="000000"/>
                <w:sz w:val="15"/>
                <w:szCs w:val="15"/>
              </w:rPr>
              <w:t>3,098 </w:t>
            </w:r>
          </w:p>
        </w:tc>
        <w:tc>
          <w:tcPr>
            <w:tcW w:w="0" w:type="auto"/>
            <w:shd w:val="clear" w:color="auto" w:fill="FFFFFF"/>
            <w:tcMar>
              <w:top w:w="40" w:type="dxa"/>
              <w:left w:w="0" w:type="dxa"/>
              <w:bottom w:w="40" w:type="dxa"/>
              <w:right w:w="20" w:type="dxa"/>
            </w:tcMar>
            <w:vAlign w:val="bottom"/>
          </w:tcPr>
          <w:p w14:paraId="71D4501A" w14:textId="77777777" w:rsidR="006A3667" w:rsidRDefault="006A3667">
            <w:pPr>
              <w:jc w:val="right"/>
              <w:rPr>
                <w:rFonts w:ascii="宋体"/>
              </w:rPr>
            </w:pPr>
          </w:p>
        </w:tc>
      </w:tr>
      <w:tr w:rsidR="006A3667" w14:paraId="71D45034" w14:textId="77777777">
        <w:tc>
          <w:tcPr>
            <w:tcW w:w="0" w:type="auto"/>
            <w:gridSpan w:val="3"/>
            <w:shd w:val="clear" w:color="auto" w:fill="CCEEFF"/>
            <w:tcMar>
              <w:top w:w="40" w:type="dxa"/>
              <w:left w:w="380" w:type="dxa"/>
              <w:bottom w:w="40" w:type="dxa"/>
              <w:right w:w="20" w:type="dxa"/>
            </w:tcMar>
            <w:vAlign w:val="bottom"/>
          </w:tcPr>
          <w:p w14:paraId="71D4501C" w14:textId="77777777" w:rsidR="006A3667" w:rsidRDefault="00045F32">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1D" w14:textId="77777777" w:rsidR="006A3667" w:rsidRDefault="00045F32">
            <w:pPr>
              <w:jc w:val="right"/>
              <w:textAlignment w:val="bottom"/>
            </w:pPr>
            <w:r>
              <w:rPr>
                <w:rFonts w:ascii="Arial" w:eastAsia="宋体" w:hAnsi="Arial" w:cs="Arial"/>
                <w:b/>
                <w:bCs/>
                <w:color w:val="000000"/>
                <w:sz w:val="15"/>
                <w:szCs w:val="15"/>
              </w:rPr>
              <w:t>19,755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1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20" w14:textId="77777777" w:rsidR="006A3667" w:rsidRDefault="00045F32">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2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2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23" w14:textId="77777777" w:rsidR="006A3667" w:rsidRDefault="00045F32">
            <w:pPr>
              <w:jc w:val="right"/>
              <w:textAlignment w:val="bottom"/>
            </w:pPr>
            <w:r>
              <w:rPr>
                <w:rFonts w:ascii="Arial" w:eastAsia="宋体" w:hAnsi="Arial" w:cs="Arial"/>
                <w:b/>
                <w:bCs/>
                <w:color w:val="000000"/>
                <w:sz w:val="15"/>
                <w:szCs w:val="15"/>
              </w:rPr>
              <w:t>697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2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2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26" w14:textId="77777777" w:rsidR="006A3667" w:rsidRDefault="00045F32">
            <w:pPr>
              <w:jc w:val="right"/>
              <w:textAlignment w:val="bottom"/>
            </w:pPr>
            <w:r>
              <w:rPr>
                <w:rFonts w:ascii="Arial" w:eastAsia="宋体" w:hAnsi="Arial" w:cs="Arial"/>
                <w:b/>
                <w:bCs/>
                <w:color w:val="000000"/>
                <w:sz w:val="15"/>
                <w:szCs w:val="15"/>
              </w:rPr>
              <w:t>19,060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2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2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29" w14:textId="77777777" w:rsidR="006A3667" w:rsidRDefault="00045F32">
            <w:pPr>
              <w:jc w:val="right"/>
              <w:textAlignment w:val="bottom"/>
            </w:pPr>
            <w:r>
              <w:rPr>
                <w:rFonts w:ascii="Arial" w:eastAsia="宋体" w:hAnsi="Arial" w:cs="Arial"/>
                <w:color w:val="000000"/>
                <w:sz w:val="15"/>
                <w:szCs w:val="15"/>
              </w:rPr>
              <w:t>30,719 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2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2C" w14:textId="77777777" w:rsidR="006A3667" w:rsidRDefault="00045F32">
            <w:pPr>
              <w:jc w:val="right"/>
              <w:textAlignment w:val="bottom"/>
            </w:pPr>
            <w:r>
              <w:rPr>
                <w:rFonts w:ascii="Arial" w:eastAsia="宋体" w:hAnsi="Arial" w:cs="Arial"/>
                <w:color w:val="000000"/>
                <w:sz w:val="15"/>
                <w:szCs w:val="15"/>
              </w:rPr>
              <w:t>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2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2F" w14:textId="77777777" w:rsidR="006A3667" w:rsidRDefault="00045F32">
            <w:pPr>
              <w:jc w:val="right"/>
              <w:textAlignment w:val="bottom"/>
            </w:pPr>
            <w:r>
              <w:rPr>
                <w:rFonts w:ascii="Arial" w:eastAsia="宋体" w:hAnsi="Arial" w:cs="Arial"/>
                <w:color w:val="000000"/>
                <w:sz w:val="15"/>
                <w:szCs w:val="15"/>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3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32" w14:textId="77777777" w:rsidR="006A3667" w:rsidRDefault="00045F32">
            <w:pPr>
              <w:jc w:val="right"/>
              <w:textAlignment w:val="bottom"/>
            </w:pPr>
            <w:r>
              <w:rPr>
                <w:rFonts w:ascii="Arial" w:eastAsia="宋体" w:hAnsi="Arial" w:cs="Arial"/>
                <w:color w:val="000000"/>
                <w:sz w:val="15"/>
                <w:szCs w:val="15"/>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33" w14:textId="77777777" w:rsidR="006A3667" w:rsidRDefault="006A3667">
            <w:pPr>
              <w:jc w:val="right"/>
              <w:rPr>
                <w:rFonts w:ascii="宋体"/>
              </w:rPr>
            </w:pPr>
          </w:p>
        </w:tc>
      </w:tr>
      <w:tr w:rsidR="006A3667" w14:paraId="71D45045" w14:textId="77777777">
        <w:tc>
          <w:tcPr>
            <w:tcW w:w="0" w:type="auto"/>
            <w:gridSpan w:val="3"/>
            <w:shd w:val="clear" w:color="auto" w:fill="FFFFFF"/>
            <w:tcMar>
              <w:top w:w="40" w:type="dxa"/>
              <w:left w:w="20" w:type="dxa"/>
              <w:bottom w:w="40" w:type="dxa"/>
              <w:right w:w="20" w:type="dxa"/>
            </w:tcMar>
            <w:vAlign w:val="bottom"/>
          </w:tcPr>
          <w:p w14:paraId="71D45035" w14:textId="77777777" w:rsidR="006A3667" w:rsidRDefault="00045F32">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03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037"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03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039"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03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03B"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03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03D"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03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03F"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04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041"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04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043"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044" w14:textId="77777777" w:rsidR="006A3667" w:rsidRDefault="006A3667">
            <w:pPr>
              <w:rPr>
                <w:rFonts w:ascii="宋体"/>
              </w:rPr>
            </w:pPr>
          </w:p>
        </w:tc>
      </w:tr>
      <w:tr w:rsidR="006A3667" w14:paraId="71D4505E" w14:textId="77777777">
        <w:tc>
          <w:tcPr>
            <w:tcW w:w="0" w:type="auto"/>
            <w:gridSpan w:val="3"/>
            <w:shd w:val="clear" w:color="auto" w:fill="CCEEFF"/>
            <w:tcMar>
              <w:top w:w="40" w:type="dxa"/>
              <w:left w:w="20" w:type="dxa"/>
              <w:bottom w:w="40" w:type="dxa"/>
              <w:right w:w="20" w:type="dxa"/>
            </w:tcMar>
            <w:vAlign w:val="bottom"/>
          </w:tcPr>
          <w:p w14:paraId="71D45046" w14:textId="77777777" w:rsidR="006A3667" w:rsidRDefault="00045F32">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71D45047" w14:textId="77777777" w:rsidR="006A3667" w:rsidRDefault="00045F32">
            <w:pPr>
              <w:jc w:val="right"/>
              <w:textAlignment w:val="bottom"/>
            </w:pPr>
            <w:r>
              <w:rPr>
                <w:rFonts w:ascii="Arial" w:eastAsia="宋体" w:hAnsi="Arial" w:cs="Arial"/>
                <w:b/>
                <w:bCs/>
                <w:color w:val="000000"/>
                <w:sz w:val="15"/>
                <w:szCs w:val="15"/>
              </w:rPr>
              <w:t>134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4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4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4A"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4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4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4D" w14:textId="77777777" w:rsidR="006A3667" w:rsidRDefault="00045F32">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4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50" w14:textId="77777777" w:rsidR="006A3667" w:rsidRDefault="00045F32">
            <w:pPr>
              <w:jc w:val="right"/>
              <w:textAlignment w:val="bottom"/>
            </w:pPr>
            <w:r>
              <w:rPr>
                <w:rFonts w:ascii="Arial" w:eastAsia="宋体" w:hAnsi="Arial" w:cs="Arial"/>
                <w:b/>
                <w:bCs/>
                <w:color w:val="000000"/>
                <w:sz w:val="15"/>
                <w:szCs w:val="15"/>
              </w:rPr>
              <w:t>133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5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53" w14:textId="77777777" w:rsidR="006A3667" w:rsidRDefault="00045F32">
            <w:pPr>
              <w:jc w:val="right"/>
              <w:textAlignment w:val="bottom"/>
            </w:pPr>
            <w:r>
              <w:rPr>
                <w:rFonts w:ascii="Arial" w:eastAsia="宋体" w:hAnsi="Arial" w:cs="Arial"/>
                <w:color w:val="000000"/>
                <w:sz w:val="15"/>
                <w:szCs w:val="15"/>
              </w:rPr>
              <w:t>209 </w:t>
            </w:r>
          </w:p>
        </w:tc>
        <w:tc>
          <w:tcPr>
            <w:tcW w:w="0" w:type="auto"/>
            <w:shd w:val="clear" w:color="auto" w:fill="CCEEFF"/>
            <w:tcMar>
              <w:top w:w="40" w:type="dxa"/>
              <w:left w:w="0" w:type="dxa"/>
              <w:bottom w:w="40" w:type="dxa"/>
              <w:right w:w="20" w:type="dxa"/>
            </w:tcMar>
            <w:vAlign w:val="bottom"/>
          </w:tcPr>
          <w:p w14:paraId="71D450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5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56"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71D450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5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59"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5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5C" w14:textId="77777777" w:rsidR="006A3667" w:rsidRDefault="00045F32">
            <w:pPr>
              <w:jc w:val="right"/>
              <w:textAlignment w:val="bottom"/>
            </w:pPr>
            <w:r>
              <w:rPr>
                <w:rFonts w:ascii="Arial" w:eastAsia="宋体" w:hAnsi="Arial" w:cs="Arial"/>
                <w:color w:val="000000"/>
                <w:sz w:val="15"/>
                <w:szCs w:val="15"/>
              </w:rPr>
              <w:t>211 </w:t>
            </w:r>
          </w:p>
        </w:tc>
        <w:tc>
          <w:tcPr>
            <w:tcW w:w="0" w:type="auto"/>
            <w:shd w:val="clear" w:color="auto" w:fill="CCEEFF"/>
            <w:tcMar>
              <w:top w:w="40" w:type="dxa"/>
              <w:left w:w="0" w:type="dxa"/>
              <w:bottom w:w="40" w:type="dxa"/>
              <w:right w:w="20" w:type="dxa"/>
            </w:tcMar>
            <w:vAlign w:val="bottom"/>
          </w:tcPr>
          <w:p w14:paraId="71D4505D" w14:textId="77777777" w:rsidR="006A3667" w:rsidRDefault="006A3667">
            <w:pPr>
              <w:jc w:val="right"/>
              <w:rPr>
                <w:rFonts w:ascii="宋体"/>
              </w:rPr>
            </w:pPr>
          </w:p>
        </w:tc>
      </w:tr>
      <w:tr w:rsidR="006A3667" w14:paraId="71D4506F" w14:textId="77777777">
        <w:trPr>
          <w:hidden/>
        </w:trPr>
        <w:tc>
          <w:tcPr>
            <w:tcW w:w="0" w:type="auto"/>
            <w:gridSpan w:val="3"/>
            <w:shd w:val="clear" w:color="auto" w:fill="auto"/>
            <w:vAlign w:val="bottom"/>
          </w:tcPr>
          <w:p w14:paraId="71D4505F" w14:textId="77777777" w:rsidR="006A3667" w:rsidRDefault="006A3667">
            <w:pPr>
              <w:rPr>
                <w:rFonts w:ascii="宋体"/>
                <w:vanish/>
              </w:rPr>
            </w:pPr>
          </w:p>
        </w:tc>
        <w:tc>
          <w:tcPr>
            <w:tcW w:w="0" w:type="auto"/>
            <w:gridSpan w:val="3"/>
            <w:shd w:val="clear" w:color="auto" w:fill="auto"/>
            <w:vAlign w:val="bottom"/>
          </w:tcPr>
          <w:p w14:paraId="71D45060" w14:textId="77777777" w:rsidR="006A3667" w:rsidRDefault="006A3667">
            <w:pPr>
              <w:rPr>
                <w:rFonts w:ascii="宋体"/>
                <w:vanish/>
              </w:rPr>
            </w:pPr>
          </w:p>
        </w:tc>
        <w:tc>
          <w:tcPr>
            <w:tcW w:w="0" w:type="auto"/>
            <w:gridSpan w:val="3"/>
            <w:shd w:val="clear" w:color="auto" w:fill="auto"/>
            <w:vAlign w:val="bottom"/>
          </w:tcPr>
          <w:p w14:paraId="71D45061" w14:textId="77777777" w:rsidR="006A3667" w:rsidRDefault="006A3667">
            <w:pPr>
              <w:rPr>
                <w:rFonts w:ascii="宋体"/>
                <w:vanish/>
              </w:rPr>
            </w:pPr>
          </w:p>
        </w:tc>
        <w:tc>
          <w:tcPr>
            <w:tcW w:w="0" w:type="auto"/>
            <w:gridSpan w:val="3"/>
            <w:shd w:val="clear" w:color="auto" w:fill="auto"/>
            <w:vAlign w:val="bottom"/>
          </w:tcPr>
          <w:p w14:paraId="71D45062" w14:textId="77777777" w:rsidR="006A3667" w:rsidRDefault="006A3667">
            <w:pPr>
              <w:rPr>
                <w:rFonts w:ascii="宋体"/>
                <w:vanish/>
              </w:rPr>
            </w:pPr>
          </w:p>
        </w:tc>
        <w:tc>
          <w:tcPr>
            <w:tcW w:w="0" w:type="auto"/>
            <w:gridSpan w:val="3"/>
            <w:shd w:val="clear" w:color="auto" w:fill="auto"/>
            <w:vAlign w:val="bottom"/>
          </w:tcPr>
          <w:p w14:paraId="71D45063" w14:textId="77777777" w:rsidR="006A3667" w:rsidRDefault="006A3667">
            <w:pPr>
              <w:rPr>
                <w:rFonts w:ascii="宋体"/>
                <w:vanish/>
              </w:rPr>
            </w:pPr>
          </w:p>
        </w:tc>
        <w:tc>
          <w:tcPr>
            <w:tcW w:w="0" w:type="auto"/>
            <w:gridSpan w:val="3"/>
            <w:shd w:val="clear" w:color="auto" w:fill="auto"/>
            <w:vAlign w:val="bottom"/>
          </w:tcPr>
          <w:p w14:paraId="71D45064" w14:textId="77777777" w:rsidR="006A3667" w:rsidRDefault="006A3667">
            <w:pPr>
              <w:rPr>
                <w:rFonts w:ascii="宋体"/>
                <w:vanish/>
              </w:rPr>
            </w:pPr>
          </w:p>
        </w:tc>
        <w:tc>
          <w:tcPr>
            <w:tcW w:w="0" w:type="auto"/>
            <w:gridSpan w:val="3"/>
            <w:shd w:val="clear" w:color="auto" w:fill="auto"/>
            <w:vAlign w:val="bottom"/>
          </w:tcPr>
          <w:p w14:paraId="71D45065" w14:textId="77777777" w:rsidR="006A3667" w:rsidRDefault="006A3667">
            <w:pPr>
              <w:rPr>
                <w:rFonts w:ascii="宋体"/>
                <w:vanish/>
              </w:rPr>
            </w:pPr>
          </w:p>
        </w:tc>
        <w:tc>
          <w:tcPr>
            <w:tcW w:w="0" w:type="auto"/>
            <w:gridSpan w:val="3"/>
            <w:shd w:val="clear" w:color="auto" w:fill="auto"/>
            <w:vAlign w:val="bottom"/>
          </w:tcPr>
          <w:p w14:paraId="71D45066" w14:textId="77777777" w:rsidR="006A3667" w:rsidRDefault="006A3667">
            <w:pPr>
              <w:rPr>
                <w:rFonts w:ascii="宋体"/>
                <w:vanish/>
              </w:rPr>
            </w:pPr>
          </w:p>
        </w:tc>
        <w:tc>
          <w:tcPr>
            <w:tcW w:w="0" w:type="auto"/>
            <w:gridSpan w:val="3"/>
            <w:shd w:val="clear" w:color="auto" w:fill="auto"/>
            <w:vAlign w:val="bottom"/>
          </w:tcPr>
          <w:p w14:paraId="71D45067" w14:textId="77777777" w:rsidR="006A3667" w:rsidRDefault="006A3667">
            <w:pPr>
              <w:rPr>
                <w:rFonts w:ascii="宋体"/>
                <w:vanish/>
              </w:rPr>
            </w:pPr>
          </w:p>
        </w:tc>
        <w:tc>
          <w:tcPr>
            <w:tcW w:w="0" w:type="auto"/>
            <w:gridSpan w:val="3"/>
            <w:shd w:val="clear" w:color="auto" w:fill="auto"/>
            <w:vAlign w:val="bottom"/>
          </w:tcPr>
          <w:p w14:paraId="71D45068" w14:textId="77777777" w:rsidR="006A3667" w:rsidRDefault="006A3667">
            <w:pPr>
              <w:rPr>
                <w:rFonts w:ascii="宋体"/>
                <w:vanish/>
              </w:rPr>
            </w:pPr>
          </w:p>
        </w:tc>
        <w:tc>
          <w:tcPr>
            <w:tcW w:w="0" w:type="auto"/>
            <w:gridSpan w:val="3"/>
            <w:shd w:val="clear" w:color="auto" w:fill="auto"/>
            <w:vAlign w:val="bottom"/>
          </w:tcPr>
          <w:p w14:paraId="71D45069" w14:textId="77777777" w:rsidR="006A3667" w:rsidRDefault="006A3667">
            <w:pPr>
              <w:rPr>
                <w:rFonts w:ascii="宋体"/>
                <w:vanish/>
              </w:rPr>
            </w:pPr>
          </w:p>
        </w:tc>
        <w:tc>
          <w:tcPr>
            <w:tcW w:w="0" w:type="auto"/>
            <w:gridSpan w:val="3"/>
            <w:shd w:val="clear" w:color="auto" w:fill="auto"/>
            <w:vAlign w:val="bottom"/>
          </w:tcPr>
          <w:p w14:paraId="71D4506A" w14:textId="77777777" w:rsidR="006A3667" w:rsidRDefault="006A3667">
            <w:pPr>
              <w:rPr>
                <w:rFonts w:ascii="宋体"/>
                <w:vanish/>
              </w:rPr>
            </w:pPr>
          </w:p>
        </w:tc>
        <w:tc>
          <w:tcPr>
            <w:tcW w:w="0" w:type="auto"/>
            <w:gridSpan w:val="3"/>
            <w:shd w:val="clear" w:color="auto" w:fill="auto"/>
            <w:vAlign w:val="bottom"/>
          </w:tcPr>
          <w:p w14:paraId="71D4506B" w14:textId="77777777" w:rsidR="006A3667" w:rsidRDefault="006A3667">
            <w:pPr>
              <w:rPr>
                <w:rFonts w:ascii="宋体"/>
                <w:vanish/>
              </w:rPr>
            </w:pPr>
          </w:p>
        </w:tc>
        <w:tc>
          <w:tcPr>
            <w:tcW w:w="0" w:type="auto"/>
            <w:gridSpan w:val="3"/>
            <w:shd w:val="clear" w:color="auto" w:fill="auto"/>
            <w:vAlign w:val="bottom"/>
          </w:tcPr>
          <w:p w14:paraId="71D4506C" w14:textId="77777777" w:rsidR="006A3667" w:rsidRDefault="006A3667">
            <w:pPr>
              <w:rPr>
                <w:rFonts w:ascii="宋体"/>
                <w:vanish/>
              </w:rPr>
            </w:pPr>
          </w:p>
        </w:tc>
        <w:tc>
          <w:tcPr>
            <w:tcW w:w="0" w:type="auto"/>
            <w:gridSpan w:val="3"/>
            <w:shd w:val="clear" w:color="auto" w:fill="auto"/>
            <w:vAlign w:val="bottom"/>
          </w:tcPr>
          <w:p w14:paraId="71D4506D" w14:textId="77777777" w:rsidR="006A3667" w:rsidRDefault="006A3667">
            <w:pPr>
              <w:rPr>
                <w:rFonts w:ascii="宋体"/>
                <w:vanish/>
              </w:rPr>
            </w:pPr>
          </w:p>
        </w:tc>
        <w:tc>
          <w:tcPr>
            <w:tcW w:w="0" w:type="auto"/>
            <w:gridSpan w:val="3"/>
            <w:shd w:val="clear" w:color="auto" w:fill="auto"/>
            <w:vAlign w:val="bottom"/>
          </w:tcPr>
          <w:p w14:paraId="71D4506E" w14:textId="77777777" w:rsidR="006A3667" w:rsidRDefault="006A3667">
            <w:pPr>
              <w:rPr>
                <w:rFonts w:ascii="宋体"/>
                <w:vanish/>
              </w:rPr>
            </w:pPr>
          </w:p>
        </w:tc>
      </w:tr>
      <w:tr w:rsidR="006A3667" w14:paraId="71D45080" w14:textId="77777777">
        <w:trPr>
          <w:hidden/>
        </w:trPr>
        <w:tc>
          <w:tcPr>
            <w:tcW w:w="0" w:type="auto"/>
            <w:gridSpan w:val="3"/>
            <w:shd w:val="clear" w:color="auto" w:fill="auto"/>
            <w:vAlign w:val="bottom"/>
          </w:tcPr>
          <w:p w14:paraId="71D45070" w14:textId="77777777" w:rsidR="006A3667" w:rsidRDefault="006A3667">
            <w:pPr>
              <w:rPr>
                <w:rFonts w:ascii="宋体"/>
                <w:vanish/>
              </w:rPr>
            </w:pPr>
          </w:p>
        </w:tc>
        <w:tc>
          <w:tcPr>
            <w:tcW w:w="0" w:type="auto"/>
            <w:gridSpan w:val="3"/>
            <w:shd w:val="clear" w:color="auto" w:fill="auto"/>
            <w:vAlign w:val="bottom"/>
          </w:tcPr>
          <w:p w14:paraId="71D45071" w14:textId="77777777" w:rsidR="006A3667" w:rsidRDefault="006A3667">
            <w:pPr>
              <w:rPr>
                <w:rFonts w:ascii="宋体"/>
                <w:vanish/>
              </w:rPr>
            </w:pPr>
          </w:p>
        </w:tc>
        <w:tc>
          <w:tcPr>
            <w:tcW w:w="0" w:type="auto"/>
            <w:gridSpan w:val="3"/>
            <w:shd w:val="clear" w:color="auto" w:fill="auto"/>
            <w:vAlign w:val="bottom"/>
          </w:tcPr>
          <w:p w14:paraId="71D45072" w14:textId="77777777" w:rsidR="006A3667" w:rsidRDefault="006A3667">
            <w:pPr>
              <w:rPr>
                <w:rFonts w:ascii="宋体"/>
                <w:vanish/>
              </w:rPr>
            </w:pPr>
          </w:p>
        </w:tc>
        <w:tc>
          <w:tcPr>
            <w:tcW w:w="0" w:type="auto"/>
            <w:gridSpan w:val="3"/>
            <w:shd w:val="clear" w:color="auto" w:fill="auto"/>
            <w:vAlign w:val="bottom"/>
          </w:tcPr>
          <w:p w14:paraId="71D45073" w14:textId="77777777" w:rsidR="006A3667" w:rsidRDefault="006A3667">
            <w:pPr>
              <w:rPr>
                <w:rFonts w:ascii="宋体"/>
                <w:vanish/>
              </w:rPr>
            </w:pPr>
          </w:p>
        </w:tc>
        <w:tc>
          <w:tcPr>
            <w:tcW w:w="0" w:type="auto"/>
            <w:gridSpan w:val="3"/>
            <w:shd w:val="clear" w:color="auto" w:fill="auto"/>
            <w:vAlign w:val="bottom"/>
          </w:tcPr>
          <w:p w14:paraId="71D45074" w14:textId="77777777" w:rsidR="006A3667" w:rsidRDefault="006A3667">
            <w:pPr>
              <w:rPr>
                <w:rFonts w:ascii="宋体"/>
                <w:vanish/>
              </w:rPr>
            </w:pPr>
          </w:p>
        </w:tc>
        <w:tc>
          <w:tcPr>
            <w:tcW w:w="0" w:type="auto"/>
            <w:gridSpan w:val="3"/>
            <w:shd w:val="clear" w:color="auto" w:fill="auto"/>
            <w:vAlign w:val="bottom"/>
          </w:tcPr>
          <w:p w14:paraId="71D45075" w14:textId="77777777" w:rsidR="006A3667" w:rsidRDefault="006A3667">
            <w:pPr>
              <w:rPr>
                <w:rFonts w:ascii="宋体"/>
                <w:vanish/>
              </w:rPr>
            </w:pPr>
          </w:p>
        </w:tc>
        <w:tc>
          <w:tcPr>
            <w:tcW w:w="0" w:type="auto"/>
            <w:gridSpan w:val="3"/>
            <w:shd w:val="clear" w:color="auto" w:fill="auto"/>
            <w:vAlign w:val="bottom"/>
          </w:tcPr>
          <w:p w14:paraId="71D45076" w14:textId="77777777" w:rsidR="006A3667" w:rsidRDefault="006A3667">
            <w:pPr>
              <w:rPr>
                <w:rFonts w:ascii="宋体"/>
                <w:vanish/>
              </w:rPr>
            </w:pPr>
          </w:p>
        </w:tc>
        <w:tc>
          <w:tcPr>
            <w:tcW w:w="0" w:type="auto"/>
            <w:gridSpan w:val="3"/>
            <w:shd w:val="clear" w:color="auto" w:fill="auto"/>
            <w:vAlign w:val="bottom"/>
          </w:tcPr>
          <w:p w14:paraId="71D45077" w14:textId="77777777" w:rsidR="006A3667" w:rsidRDefault="006A3667">
            <w:pPr>
              <w:rPr>
                <w:rFonts w:ascii="宋体"/>
                <w:vanish/>
              </w:rPr>
            </w:pPr>
          </w:p>
        </w:tc>
        <w:tc>
          <w:tcPr>
            <w:tcW w:w="0" w:type="auto"/>
            <w:gridSpan w:val="3"/>
            <w:shd w:val="clear" w:color="auto" w:fill="auto"/>
            <w:vAlign w:val="bottom"/>
          </w:tcPr>
          <w:p w14:paraId="71D45078" w14:textId="77777777" w:rsidR="006A3667" w:rsidRDefault="006A3667">
            <w:pPr>
              <w:rPr>
                <w:rFonts w:ascii="宋体"/>
                <w:vanish/>
              </w:rPr>
            </w:pPr>
          </w:p>
        </w:tc>
        <w:tc>
          <w:tcPr>
            <w:tcW w:w="0" w:type="auto"/>
            <w:gridSpan w:val="3"/>
            <w:shd w:val="clear" w:color="auto" w:fill="auto"/>
            <w:vAlign w:val="bottom"/>
          </w:tcPr>
          <w:p w14:paraId="71D45079" w14:textId="77777777" w:rsidR="006A3667" w:rsidRDefault="006A3667">
            <w:pPr>
              <w:rPr>
                <w:rFonts w:ascii="宋体"/>
                <w:vanish/>
              </w:rPr>
            </w:pPr>
          </w:p>
        </w:tc>
        <w:tc>
          <w:tcPr>
            <w:tcW w:w="0" w:type="auto"/>
            <w:gridSpan w:val="3"/>
            <w:shd w:val="clear" w:color="auto" w:fill="auto"/>
            <w:vAlign w:val="bottom"/>
          </w:tcPr>
          <w:p w14:paraId="71D4507A" w14:textId="77777777" w:rsidR="006A3667" w:rsidRDefault="006A3667">
            <w:pPr>
              <w:rPr>
                <w:rFonts w:ascii="宋体"/>
                <w:vanish/>
              </w:rPr>
            </w:pPr>
          </w:p>
        </w:tc>
        <w:tc>
          <w:tcPr>
            <w:tcW w:w="0" w:type="auto"/>
            <w:gridSpan w:val="3"/>
            <w:shd w:val="clear" w:color="auto" w:fill="auto"/>
            <w:vAlign w:val="bottom"/>
          </w:tcPr>
          <w:p w14:paraId="71D4507B" w14:textId="77777777" w:rsidR="006A3667" w:rsidRDefault="006A3667">
            <w:pPr>
              <w:rPr>
                <w:rFonts w:ascii="宋体"/>
                <w:vanish/>
              </w:rPr>
            </w:pPr>
          </w:p>
        </w:tc>
        <w:tc>
          <w:tcPr>
            <w:tcW w:w="0" w:type="auto"/>
            <w:gridSpan w:val="3"/>
            <w:shd w:val="clear" w:color="auto" w:fill="auto"/>
            <w:vAlign w:val="bottom"/>
          </w:tcPr>
          <w:p w14:paraId="71D4507C" w14:textId="77777777" w:rsidR="006A3667" w:rsidRDefault="006A3667">
            <w:pPr>
              <w:rPr>
                <w:rFonts w:ascii="宋体"/>
                <w:vanish/>
              </w:rPr>
            </w:pPr>
          </w:p>
        </w:tc>
        <w:tc>
          <w:tcPr>
            <w:tcW w:w="0" w:type="auto"/>
            <w:gridSpan w:val="3"/>
            <w:shd w:val="clear" w:color="auto" w:fill="auto"/>
            <w:vAlign w:val="bottom"/>
          </w:tcPr>
          <w:p w14:paraId="71D4507D" w14:textId="77777777" w:rsidR="006A3667" w:rsidRDefault="006A3667">
            <w:pPr>
              <w:rPr>
                <w:rFonts w:ascii="宋体"/>
                <w:vanish/>
              </w:rPr>
            </w:pPr>
          </w:p>
        </w:tc>
        <w:tc>
          <w:tcPr>
            <w:tcW w:w="0" w:type="auto"/>
            <w:gridSpan w:val="3"/>
            <w:shd w:val="clear" w:color="auto" w:fill="auto"/>
            <w:vAlign w:val="bottom"/>
          </w:tcPr>
          <w:p w14:paraId="71D4507E" w14:textId="77777777" w:rsidR="006A3667" w:rsidRDefault="006A3667">
            <w:pPr>
              <w:rPr>
                <w:rFonts w:ascii="宋体"/>
                <w:vanish/>
              </w:rPr>
            </w:pPr>
          </w:p>
        </w:tc>
        <w:tc>
          <w:tcPr>
            <w:tcW w:w="0" w:type="auto"/>
            <w:gridSpan w:val="3"/>
            <w:shd w:val="clear" w:color="auto" w:fill="auto"/>
            <w:vAlign w:val="bottom"/>
          </w:tcPr>
          <w:p w14:paraId="71D4507F" w14:textId="77777777" w:rsidR="006A3667" w:rsidRDefault="006A3667">
            <w:pPr>
              <w:rPr>
                <w:rFonts w:ascii="宋体"/>
                <w:vanish/>
              </w:rPr>
            </w:pPr>
          </w:p>
        </w:tc>
      </w:tr>
      <w:tr w:rsidR="006A3667" w14:paraId="71D45099" w14:textId="77777777">
        <w:tc>
          <w:tcPr>
            <w:tcW w:w="0" w:type="auto"/>
            <w:gridSpan w:val="3"/>
            <w:shd w:val="clear" w:color="auto" w:fill="FFFFFF"/>
            <w:tcMar>
              <w:top w:w="40" w:type="dxa"/>
              <w:left w:w="20" w:type="dxa"/>
              <w:bottom w:w="40" w:type="dxa"/>
              <w:right w:w="20" w:type="dxa"/>
            </w:tcMar>
            <w:vAlign w:val="bottom"/>
          </w:tcPr>
          <w:p w14:paraId="71D45081" w14:textId="77777777" w:rsidR="006A3667" w:rsidRDefault="00045F32">
            <w:pPr>
              <w:textAlignment w:val="bottom"/>
            </w:pPr>
            <w:r>
              <w:rPr>
                <w:rFonts w:ascii="Arial" w:eastAsia="宋体" w:hAnsi="Arial" w:cs="Arial"/>
                <w:color w:val="000000"/>
                <w:sz w:val="15"/>
                <w:szCs w:val="15"/>
              </w:rPr>
              <w:t>Collateralized loan obligations</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71D45082" w14:textId="77777777" w:rsidR="006A3667" w:rsidRDefault="00045F32">
            <w:pPr>
              <w:jc w:val="right"/>
              <w:textAlignment w:val="bottom"/>
            </w:pPr>
            <w:r>
              <w:rPr>
                <w:rFonts w:ascii="Arial" w:eastAsia="宋体" w:hAnsi="Arial" w:cs="Arial"/>
                <w:b/>
                <w:bCs/>
                <w:color w:val="000000"/>
                <w:sz w:val="15"/>
                <w:szCs w:val="15"/>
              </w:rPr>
              <w:t>2,371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8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8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85"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8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8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88" w14:textId="77777777" w:rsidR="006A3667" w:rsidRDefault="00045F32">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8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8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8B" w14:textId="77777777" w:rsidR="006A3667" w:rsidRDefault="00045F32">
            <w:pPr>
              <w:jc w:val="right"/>
              <w:textAlignment w:val="bottom"/>
            </w:pPr>
            <w:r>
              <w:rPr>
                <w:rFonts w:ascii="Arial" w:eastAsia="宋体" w:hAnsi="Arial" w:cs="Arial"/>
                <w:b/>
                <w:bCs/>
                <w:color w:val="000000"/>
                <w:sz w:val="15"/>
                <w:szCs w:val="15"/>
              </w:rPr>
              <w:t>2,317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8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8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8E" w14:textId="77777777" w:rsidR="006A3667" w:rsidRDefault="00045F32">
            <w:pPr>
              <w:jc w:val="right"/>
              <w:textAlignment w:val="bottom"/>
            </w:pPr>
            <w:r>
              <w:rPr>
                <w:rFonts w:ascii="Arial" w:eastAsia="宋体" w:hAnsi="Arial" w:cs="Arial"/>
                <w:color w:val="000000"/>
                <w:sz w:val="15"/>
                <w:szCs w:val="15"/>
              </w:rPr>
              <w:t>2,155 </w:t>
            </w:r>
          </w:p>
        </w:tc>
        <w:tc>
          <w:tcPr>
            <w:tcW w:w="0" w:type="auto"/>
            <w:shd w:val="clear" w:color="auto" w:fill="FFFFFF"/>
            <w:tcMar>
              <w:top w:w="40" w:type="dxa"/>
              <w:left w:w="0" w:type="dxa"/>
              <w:bottom w:w="40" w:type="dxa"/>
              <w:right w:w="20" w:type="dxa"/>
            </w:tcMar>
            <w:vAlign w:val="bottom"/>
          </w:tcPr>
          <w:p w14:paraId="71D4508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9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91"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509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9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94"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509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9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97" w14:textId="77777777" w:rsidR="006A3667" w:rsidRDefault="00045F32">
            <w:pPr>
              <w:jc w:val="right"/>
              <w:textAlignment w:val="bottom"/>
            </w:pPr>
            <w:r>
              <w:rPr>
                <w:rFonts w:ascii="Arial" w:eastAsia="宋体" w:hAnsi="Arial" w:cs="Arial"/>
                <w:color w:val="000000"/>
                <w:sz w:val="15"/>
                <w:szCs w:val="15"/>
              </w:rPr>
              <w:t>2,155 </w:t>
            </w:r>
          </w:p>
        </w:tc>
        <w:tc>
          <w:tcPr>
            <w:tcW w:w="0" w:type="auto"/>
            <w:shd w:val="clear" w:color="auto" w:fill="FFFFFF"/>
            <w:tcMar>
              <w:top w:w="40" w:type="dxa"/>
              <w:left w:w="0" w:type="dxa"/>
              <w:bottom w:w="40" w:type="dxa"/>
              <w:right w:w="20" w:type="dxa"/>
            </w:tcMar>
            <w:vAlign w:val="bottom"/>
          </w:tcPr>
          <w:p w14:paraId="71D45098" w14:textId="77777777" w:rsidR="006A3667" w:rsidRDefault="006A3667">
            <w:pPr>
              <w:jc w:val="right"/>
              <w:rPr>
                <w:rFonts w:ascii="宋体"/>
              </w:rPr>
            </w:pPr>
          </w:p>
        </w:tc>
      </w:tr>
      <w:tr w:rsidR="006A3667" w14:paraId="71D450B2" w14:textId="77777777">
        <w:tc>
          <w:tcPr>
            <w:tcW w:w="0" w:type="auto"/>
            <w:gridSpan w:val="3"/>
            <w:shd w:val="clear" w:color="auto" w:fill="CCEEFF"/>
            <w:tcMar>
              <w:top w:w="40" w:type="dxa"/>
              <w:left w:w="20" w:type="dxa"/>
              <w:bottom w:w="40" w:type="dxa"/>
              <w:right w:w="20" w:type="dxa"/>
            </w:tcMar>
            <w:vAlign w:val="bottom"/>
          </w:tcPr>
          <w:p w14:paraId="71D4509A" w14:textId="77777777" w:rsidR="006A3667" w:rsidRDefault="00045F32">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71D4509B" w14:textId="77777777" w:rsidR="006A3667" w:rsidRDefault="00045F32">
            <w:pPr>
              <w:jc w:val="right"/>
              <w:textAlignment w:val="bottom"/>
            </w:pPr>
            <w:r>
              <w:rPr>
                <w:rFonts w:ascii="Arial" w:eastAsia="宋体" w:hAnsi="Arial" w:cs="Arial"/>
                <w:b/>
                <w:bCs/>
                <w:color w:val="000000"/>
                <w:sz w:val="15"/>
                <w:szCs w:val="15"/>
              </w:rPr>
              <w:t>220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9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9E"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A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A1" w14:textId="77777777" w:rsidR="006A3667" w:rsidRDefault="00045F32">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A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A4" w14:textId="77777777" w:rsidR="006A3667" w:rsidRDefault="00045F32">
            <w:pPr>
              <w:jc w:val="right"/>
              <w:textAlignment w:val="bottom"/>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A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A7" w14:textId="77777777" w:rsidR="006A3667" w:rsidRDefault="00045F32">
            <w:pPr>
              <w:jc w:val="right"/>
              <w:textAlignment w:val="bottom"/>
            </w:pPr>
            <w:r>
              <w:rPr>
                <w:rFonts w:ascii="Arial" w:eastAsia="宋体" w:hAnsi="Arial" w:cs="Arial"/>
                <w:color w:val="000000"/>
                <w:sz w:val="15"/>
                <w:szCs w:val="15"/>
              </w:rPr>
              <w:t>52 </w:t>
            </w:r>
          </w:p>
        </w:tc>
        <w:tc>
          <w:tcPr>
            <w:tcW w:w="0" w:type="auto"/>
            <w:shd w:val="clear" w:color="auto" w:fill="CCEEFF"/>
            <w:tcMar>
              <w:top w:w="40" w:type="dxa"/>
              <w:left w:w="0" w:type="dxa"/>
              <w:bottom w:w="40" w:type="dxa"/>
              <w:right w:w="20" w:type="dxa"/>
            </w:tcMar>
            <w:vAlign w:val="bottom"/>
          </w:tcPr>
          <w:p w14:paraId="71D450A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A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AA"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A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A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AD"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0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A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0B0" w14:textId="77777777" w:rsidR="006A3667" w:rsidRDefault="00045F32">
            <w:pPr>
              <w:jc w:val="right"/>
              <w:textAlignment w:val="bottom"/>
            </w:pPr>
            <w:r>
              <w:rPr>
                <w:rFonts w:ascii="Arial" w:eastAsia="宋体" w:hAnsi="Arial" w:cs="Arial"/>
                <w:color w:val="000000"/>
                <w:sz w:val="15"/>
                <w:szCs w:val="15"/>
              </w:rPr>
              <w:t>52 </w:t>
            </w:r>
          </w:p>
        </w:tc>
        <w:tc>
          <w:tcPr>
            <w:tcW w:w="0" w:type="auto"/>
            <w:shd w:val="clear" w:color="auto" w:fill="CCEEFF"/>
            <w:tcMar>
              <w:top w:w="40" w:type="dxa"/>
              <w:left w:w="0" w:type="dxa"/>
              <w:bottom w:w="40" w:type="dxa"/>
              <w:right w:w="20" w:type="dxa"/>
            </w:tcMar>
            <w:vAlign w:val="bottom"/>
          </w:tcPr>
          <w:p w14:paraId="71D450B1" w14:textId="77777777" w:rsidR="006A3667" w:rsidRDefault="006A3667">
            <w:pPr>
              <w:jc w:val="right"/>
              <w:rPr>
                <w:rFonts w:ascii="宋体"/>
              </w:rPr>
            </w:pPr>
          </w:p>
        </w:tc>
      </w:tr>
      <w:tr w:rsidR="006A3667" w14:paraId="71D450CB" w14:textId="77777777">
        <w:tc>
          <w:tcPr>
            <w:tcW w:w="0" w:type="auto"/>
            <w:gridSpan w:val="3"/>
            <w:shd w:val="clear" w:color="auto" w:fill="FFFFFF"/>
            <w:tcMar>
              <w:top w:w="40" w:type="dxa"/>
              <w:left w:w="245" w:type="dxa"/>
              <w:bottom w:w="40" w:type="dxa"/>
              <w:right w:w="20" w:type="dxa"/>
            </w:tcMar>
            <w:vAlign w:val="bottom"/>
          </w:tcPr>
          <w:p w14:paraId="71D450B3" w14:textId="77777777" w:rsidR="006A3667" w:rsidRDefault="00045F32">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71D450B4" w14:textId="77777777" w:rsidR="006A3667" w:rsidRDefault="00045F32">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B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B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B7"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B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B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BA" w14:textId="77777777" w:rsidR="006A3667" w:rsidRDefault="00045F32">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B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BD" w14:textId="77777777" w:rsidR="006A3667" w:rsidRDefault="00045F32">
            <w:pPr>
              <w:jc w:val="right"/>
              <w:textAlignment w:val="bottom"/>
            </w:pPr>
            <w:r>
              <w:rPr>
                <w:rFonts w:ascii="Arial" w:eastAsia="宋体" w:hAnsi="Arial" w:cs="Arial"/>
                <w:b/>
                <w:bCs/>
                <w:color w:val="000000"/>
                <w:sz w:val="15"/>
                <w:szCs w:val="15"/>
              </w:rPr>
              <w:t>88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C0" w14:textId="77777777" w:rsidR="006A3667" w:rsidRDefault="00045F32">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71D450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C3" w14:textId="77777777" w:rsidR="006A3667" w:rsidRDefault="00045F32">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71D450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C6"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0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0C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0C9" w14:textId="77777777" w:rsidR="006A3667" w:rsidRDefault="00045F32">
            <w:pPr>
              <w:jc w:val="right"/>
              <w:textAlignment w:val="bottom"/>
            </w:pPr>
            <w:r>
              <w:rPr>
                <w:rFonts w:ascii="Arial" w:eastAsia="宋体" w:hAnsi="Arial" w:cs="Arial"/>
                <w:color w:val="000000"/>
                <w:sz w:val="15"/>
                <w:szCs w:val="15"/>
              </w:rPr>
              <w:t>91 </w:t>
            </w:r>
          </w:p>
        </w:tc>
        <w:tc>
          <w:tcPr>
            <w:tcW w:w="0" w:type="auto"/>
            <w:shd w:val="clear" w:color="auto" w:fill="FFFFFF"/>
            <w:tcMar>
              <w:top w:w="40" w:type="dxa"/>
              <w:left w:w="0" w:type="dxa"/>
              <w:bottom w:w="40" w:type="dxa"/>
              <w:right w:w="20" w:type="dxa"/>
            </w:tcMar>
            <w:vAlign w:val="bottom"/>
          </w:tcPr>
          <w:p w14:paraId="71D450CA" w14:textId="77777777" w:rsidR="006A3667" w:rsidRDefault="006A3667">
            <w:pPr>
              <w:jc w:val="right"/>
              <w:rPr>
                <w:rFonts w:ascii="宋体"/>
              </w:rPr>
            </w:pPr>
          </w:p>
        </w:tc>
      </w:tr>
      <w:tr w:rsidR="006A3667" w14:paraId="71D450E4" w14:textId="77777777">
        <w:tc>
          <w:tcPr>
            <w:tcW w:w="0" w:type="auto"/>
            <w:gridSpan w:val="3"/>
            <w:shd w:val="clear" w:color="auto" w:fill="CCEEFF"/>
            <w:tcMar>
              <w:top w:w="40" w:type="dxa"/>
              <w:left w:w="380" w:type="dxa"/>
              <w:bottom w:w="40" w:type="dxa"/>
              <w:right w:w="20" w:type="dxa"/>
            </w:tcMar>
            <w:vAlign w:val="bottom"/>
          </w:tcPr>
          <w:p w14:paraId="71D450CC" w14:textId="77777777" w:rsidR="006A3667" w:rsidRDefault="00045F32">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CD" w14:textId="77777777" w:rsidR="006A3667" w:rsidRDefault="00045F32">
            <w:pPr>
              <w:jc w:val="right"/>
              <w:textAlignment w:val="bottom"/>
            </w:pPr>
            <w:r>
              <w:rPr>
                <w:rFonts w:ascii="Arial" w:eastAsia="宋体" w:hAnsi="Arial" w:cs="Arial"/>
                <w:b/>
                <w:bCs/>
                <w:color w:val="000000"/>
                <w:sz w:val="15"/>
                <w:szCs w:val="15"/>
              </w:rPr>
              <w:t>2,815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C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D0"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D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D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D3" w14:textId="77777777" w:rsidR="006A3667" w:rsidRDefault="00045F32">
            <w:pPr>
              <w:jc w:val="right"/>
              <w:textAlignment w:val="bottom"/>
            </w:pPr>
            <w:r>
              <w:rPr>
                <w:rFonts w:ascii="Arial" w:eastAsia="宋体" w:hAnsi="Arial" w:cs="Arial"/>
                <w:b/>
                <w:bCs/>
                <w:color w:val="000000"/>
                <w:sz w:val="15"/>
                <w:szCs w:val="15"/>
              </w:rPr>
              <w:t>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D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D6" w14:textId="77777777" w:rsidR="006A3667" w:rsidRDefault="00045F32">
            <w:pPr>
              <w:jc w:val="right"/>
              <w:textAlignment w:val="bottom"/>
            </w:pPr>
            <w:r>
              <w:rPr>
                <w:rFonts w:ascii="Arial" w:eastAsia="宋体" w:hAnsi="Arial" w:cs="Arial"/>
                <w:b/>
                <w:bCs/>
                <w:color w:val="000000"/>
                <w:sz w:val="15"/>
                <w:szCs w:val="15"/>
              </w:rPr>
              <w:t>2,753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D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D9" w14:textId="77777777" w:rsidR="006A3667" w:rsidRDefault="00045F32">
            <w:pPr>
              <w:jc w:val="right"/>
              <w:textAlignment w:val="bottom"/>
            </w:pPr>
            <w:r>
              <w:rPr>
                <w:rFonts w:ascii="Arial" w:eastAsia="宋体" w:hAnsi="Arial" w:cs="Arial"/>
                <w:color w:val="000000"/>
                <w:sz w:val="15"/>
                <w:szCs w:val="15"/>
              </w:rPr>
              <w:t>2,506 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D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DC" w14:textId="77777777" w:rsidR="006A3667" w:rsidRDefault="00045F32">
            <w:pPr>
              <w:jc w:val="right"/>
              <w:textAlignment w:val="bottom"/>
            </w:pPr>
            <w:r>
              <w:rPr>
                <w:rFonts w:ascii="Arial" w:eastAsia="宋体" w:hAnsi="Arial" w:cs="Arial"/>
                <w:color w:val="000000"/>
                <w:sz w:val="15"/>
                <w:szCs w:val="15"/>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D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DF" w14:textId="77777777" w:rsidR="006A3667" w:rsidRDefault="00045F32">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0E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0E2" w14:textId="77777777" w:rsidR="006A3667" w:rsidRDefault="00045F32">
            <w:pPr>
              <w:jc w:val="right"/>
              <w:textAlignment w:val="bottom"/>
            </w:pPr>
            <w:r>
              <w:rPr>
                <w:rFonts w:ascii="Arial" w:eastAsia="宋体" w:hAnsi="Arial" w:cs="Arial"/>
                <w:color w:val="000000"/>
                <w:sz w:val="15"/>
                <w:szCs w:val="15"/>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0E3" w14:textId="77777777" w:rsidR="006A3667" w:rsidRDefault="006A3667">
            <w:pPr>
              <w:jc w:val="right"/>
              <w:rPr>
                <w:rFonts w:ascii="宋体"/>
              </w:rPr>
            </w:pPr>
          </w:p>
        </w:tc>
      </w:tr>
      <w:tr w:rsidR="006A3667" w14:paraId="71D450F5" w14:textId="77777777">
        <w:trPr>
          <w:hidden/>
        </w:trPr>
        <w:tc>
          <w:tcPr>
            <w:tcW w:w="0" w:type="auto"/>
            <w:gridSpan w:val="3"/>
            <w:shd w:val="clear" w:color="auto" w:fill="auto"/>
            <w:vAlign w:val="bottom"/>
          </w:tcPr>
          <w:p w14:paraId="71D450E5" w14:textId="77777777" w:rsidR="006A3667" w:rsidRDefault="006A3667">
            <w:pPr>
              <w:rPr>
                <w:rFonts w:ascii="宋体"/>
                <w:vanish/>
              </w:rPr>
            </w:pPr>
          </w:p>
        </w:tc>
        <w:tc>
          <w:tcPr>
            <w:tcW w:w="0" w:type="auto"/>
            <w:gridSpan w:val="3"/>
            <w:shd w:val="clear" w:color="auto" w:fill="auto"/>
            <w:vAlign w:val="bottom"/>
          </w:tcPr>
          <w:p w14:paraId="71D450E6" w14:textId="77777777" w:rsidR="006A3667" w:rsidRDefault="006A3667">
            <w:pPr>
              <w:rPr>
                <w:rFonts w:ascii="宋体"/>
                <w:vanish/>
              </w:rPr>
            </w:pPr>
          </w:p>
        </w:tc>
        <w:tc>
          <w:tcPr>
            <w:tcW w:w="0" w:type="auto"/>
            <w:gridSpan w:val="3"/>
            <w:shd w:val="clear" w:color="auto" w:fill="auto"/>
            <w:vAlign w:val="bottom"/>
          </w:tcPr>
          <w:p w14:paraId="71D450E7" w14:textId="77777777" w:rsidR="006A3667" w:rsidRDefault="006A3667">
            <w:pPr>
              <w:rPr>
                <w:rFonts w:ascii="宋体"/>
                <w:vanish/>
              </w:rPr>
            </w:pPr>
          </w:p>
        </w:tc>
        <w:tc>
          <w:tcPr>
            <w:tcW w:w="0" w:type="auto"/>
            <w:gridSpan w:val="3"/>
            <w:shd w:val="clear" w:color="auto" w:fill="auto"/>
            <w:vAlign w:val="bottom"/>
          </w:tcPr>
          <w:p w14:paraId="71D450E8" w14:textId="77777777" w:rsidR="006A3667" w:rsidRDefault="006A3667">
            <w:pPr>
              <w:rPr>
                <w:rFonts w:ascii="宋体"/>
                <w:vanish/>
              </w:rPr>
            </w:pPr>
          </w:p>
        </w:tc>
        <w:tc>
          <w:tcPr>
            <w:tcW w:w="0" w:type="auto"/>
            <w:gridSpan w:val="3"/>
            <w:shd w:val="clear" w:color="auto" w:fill="auto"/>
            <w:vAlign w:val="bottom"/>
          </w:tcPr>
          <w:p w14:paraId="71D450E9" w14:textId="77777777" w:rsidR="006A3667" w:rsidRDefault="006A3667">
            <w:pPr>
              <w:rPr>
                <w:rFonts w:ascii="宋体"/>
                <w:vanish/>
              </w:rPr>
            </w:pPr>
          </w:p>
        </w:tc>
        <w:tc>
          <w:tcPr>
            <w:tcW w:w="0" w:type="auto"/>
            <w:gridSpan w:val="3"/>
            <w:shd w:val="clear" w:color="auto" w:fill="auto"/>
            <w:vAlign w:val="bottom"/>
          </w:tcPr>
          <w:p w14:paraId="71D450EA" w14:textId="77777777" w:rsidR="006A3667" w:rsidRDefault="006A3667">
            <w:pPr>
              <w:rPr>
                <w:rFonts w:ascii="宋体"/>
                <w:vanish/>
              </w:rPr>
            </w:pPr>
          </w:p>
        </w:tc>
        <w:tc>
          <w:tcPr>
            <w:tcW w:w="0" w:type="auto"/>
            <w:gridSpan w:val="3"/>
            <w:shd w:val="clear" w:color="auto" w:fill="auto"/>
            <w:vAlign w:val="bottom"/>
          </w:tcPr>
          <w:p w14:paraId="71D450EB" w14:textId="77777777" w:rsidR="006A3667" w:rsidRDefault="006A3667">
            <w:pPr>
              <w:rPr>
                <w:rFonts w:ascii="宋体"/>
                <w:vanish/>
              </w:rPr>
            </w:pPr>
          </w:p>
        </w:tc>
        <w:tc>
          <w:tcPr>
            <w:tcW w:w="0" w:type="auto"/>
            <w:gridSpan w:val="3"/>
            <w:shd w:val="clear" w:color="auto" w:fill="auto"/>
            <w:vAlign w:val="bottom"/>
          </w:tcPr>
          <w:p w14:paraId="71D450EC" w14:textId="77777777" w:rsidR="006A3667" w:rsidRDefault="006A3667">
            <w:pPr>
              <w:rPr>
                <w:rFonts w:ascii="宋体"/>
                <w:vanish/>
              </w:rPr>
            </w:pPr>
          </w:p>
        </w:tc>
        <w:tc>
          <w:tcPr>
            <w:tcW w:w="0" w:type="auto"/>
            <w:gridSpan w:val="3"/>
            <w:shd w:val="clear" w:color="auto" w:fill="auto"/>
            <w:vAlign w:val="bottom"/>
          </w:tcPr>
          <w:p w14:paraId="71D450ED" w14:textId="77777777" w:rsidR="006A3667" w:rsidRDefault="006A3667">
            <w:pPr>
              <w:rPr>
                <w:rFonts w:ascii="宋体"/>
                <w:vanish/>
              </w:rPr>
            </w:pPr>
          </w:p>
        </w:tc>
        <w:tc>
          <w:tcPr>
            <w:tcW w:w="0" w:type="auto"/>
            <w:gridSpan w:val="3"/>
            <w:shd w:val="clear" w:color="auto" w:fill="auto"/>
            <w:vAlign w:val="bottom"/>
          </w:tcPr>
          <w:p w14:paraId="71D450EE" w14:textId="77777777" w:rsidR="006A3667" w:rsidRDefault="006A3667">
            <w:pPr>
              <w:rPr>
                <w:rFonts w:ascii="宋体"/>
                <w:vanish/>
              </w:rPr>
            </w:pPr>
          </w:p>
        </w:tc>
        <w:tc>
          <w:tcPr>
            <w:tcW w:w="0" w:type="auto"/>
            <w:gridSpan w:val="3"/>
            <w:shd w:val="clear" w:color="auto" w:fill="auto"/>
            <w:vAlign w:val="bottom"/>
          </w:tcPr>
          <w:p w14:paraId="71D450EF" w14:textId="77777777" w:rsidR="006A3667" w:rsidRDefault="006A3667">
            <w:pPr>
              <w:rPr>
                <w:rFonts w:ascii="宋体"/>
                <w:vanish/>
              </w:rPr>
            </w:pPr>
          </w:p>
        </w:tc>
        <w:tc>
          <w:tcPr>
            <w:tcW w:w="0" w:type="auto"/>
            <w:gridSpan w:val="3"/>
            <w:shd w:val="clear" w:color="auto" w:fill="auto"/>
            <w:vAlign w:val="bottom"/>
          </w:tcPr>
          <w:p w14:paraId="71D450F0" w14:textId="77777777" w:rsidR="006A3667" w:rsidRDefault="006A3667">
            <w:pPr>
              <w:rPr>
                <w:rFonts w:ascii="宋体"/>
                <w:vanish/>
              </w:rPr>
            </w:pPr>
          </w:p>
        </w:tc>
        <w:tc>
          <w:tcPr>
            <w:tcW w:w="0" w:type="auto"/>
            <w:gridSpan w:val="3"/>
            <w:shd w:val="clear" w:color="auto" w:fill="auto"/>
            <w:vAlign w:val="bottom"/>
          </w:tcPr>
          <w:p w14:paraId="71D450F1" w14:textId="77777777" w:rsidR="006A3667" w:rsidRDefault="006A3667">
            <w:pPr>
              <w:rPr>
                <w:rFonts w:ascii="宋体"/>
                <w:vanish/>
              </w:rPr>
            </w:pPr>
          </w:p>
        </w:tc>
        <w:tc>
          <w:tcPr>
            <w:tcW w:w="0" w:type="auto"/>
            <w:gridSpan w:val="3"/>
            <w:shd w:val="clear" w:color="auto" w:fill="auto"/>
            <w:vAlign w:val="bottom"/>
          </w:tcPr>
          <w:p w14:paraId="71D450F2" w14:textId="77777777" w:rsidR="006A3667" w:rsidRDefault="006A3667">
            <w:pPr>
              <w:rPr>
                <w:rFonts w:ascii="宋体"/>
                <w:vanish/>
              </w:rPr>
            </w:pPr>
          </w:p>
        </w:tc>
        <w:tc>
          <w:tcPr>
            <w:tcW w:w="0" w:type="auto"/>
            <w:gridSpan w:val="3"/>
            <w:shd w:val="clear" w:color="auto" w:fill="auto"/>
            <w:vAlign w:val="bottom"/>
          </w:tcPr>
          <w:p w14:paraId="71D450F3" w14:textId="77777777" w:rsidR="006A3667" w:rsidRDefault="006A3667">
            <w:pPr>
              <w:rPr>
                <w:rFonts w:ascii="宋体"/>
                <w:vanish/>
              </w:rPr>
            </w:pPr>
          </w:p>
        </w:tc>
        <w:tc>
          <w:tcPr>
            <w:tcW w:w="0" w:type="auto"/>
            <w:gridSpan w:val="3"/>
            <w:shd w:val="clear" w:color="auto" w:fill="auto"/>
            <w:vAlign w:val="bottom"/>
          </w:tcPr>
          <w:p w14:paraId="71D450F4" w14:textId="77777777" w:rsidR="006A3667" w:rsidRDefault="006A3667">
            <w:pPr>
              <w:rPr>
                <w:rFonts w:ascii="宋体"/>
                <w:vanish/>
              </w:rPr>
            </w:pPr>
          </w:p>
        </w:tc>
      </w:tr>
      <w:tr w:rsidR="006A3667" w14:paraId="71D45106" w14:textId="77777777">
        <w:trPr>
          <w:hidden/>
        </w:trPr>
        <w:tc>
          <w:tcPr>
            <w:tcW w:w="0" w:type="auto"/>
            <w:gridSpan w:val="3"/>
            <w:shd w:val="clear" w:color="auto" w:fill="auto"/>
            <w:vAlign w:val="bottom"/>
          </w:tcPr>
          <w:p w14:paraId="71D450F6" w14:textId="77777777" w:rsidR="006A3667" w:rsidRDefault="006A3667">
            <w:pPr>
              <w:rPr>
                <w:rFonts w:ascii="宋体"/>
                <w:vanish/>
              </w:rPr>
            </w:pPr>
          </w:p>
        </w:tc>
        <w:tc>
          <w:tcPr>
            <w:tcW w:w="0" w:type="auto"/>
            <w:gridSpan w:val="3"/>
            <w:shd w:val="clear" w:color="auto" w:fill="auto"/>
            <w:vAlign w:val="bottom"/>
          </w:tcPr>
          <w:p w14:paraId="71D450F7" w14:textId="77777777" w:rsidR="006A3667" w:rsidRDefault="006A3667">
            <w:pPr>
              <w:rPr>
                <w:rFonts w:ascii="宋体"/>
                <w:vanish/>
              </w:rPr>
            </w:pPr>
          </w:p>
        </w:tc>
        <w:tc>
          <w:tcPr>
            <w:tcW w:w="0" w:type="auto"/>
            <w:gridSpan w:val="3"/>
            <w:shd w:val="clear" w:color="auto" w:fill="auto"/>
            <w:vAlign w:val="bottom"/>
          </w:tcPr>
          <w:p w14:paraId="71D450F8" w14:textId="77777777" w:rsidR="006A3667" w:rsidRDefault="006A3667">
            <w:pPr>
              <w:rPr>
                <w:rFonts w:ascii="宋体"/>
                <w:vanish/>
              </w:rPr>
            </w:pPr>
          </w:p>
        </w:tc>
        <w:tc>
          <w:tcPr>
            <w:tcW w:w="0" w:type="auto"/>
            <w:gridSpan w:val="3"/>
            <w:shd w:val="clear" w:color="auto" w:fill="auto"/>
            <w:vAlign w:val="bottom"/>
          </w:tcPr>
          <w:p w14:paraId="71D450F9" w14:textId="77777777" w:rsidR="006A3667" w:rsidRDefault="006A3667">
            <w:pPr>
              <w:rPr>
                <w:rFonts w:ascii="宋体"/>
                <w:vanish/>
              </w:rPr>
            </w:pPr>
          </w:p>
        </w:tc>
        <w:tc>
          <w:tcPr>
            <w:tcW w:w="0" w:type="auto"/>
            <w:gridSpan w:val="3"/>
            <w:shd w:val="clear" w:color="auto" w:fill="auto"/>
            <w:vAlign w:val="bottom"/>
          </w:tcPr>
          <w:p w14:paraId="71D450FA" w14:textId="77777777" w:rsidR="006A3667" w:rsidRDefault="006A3667">
            <w:pPr>
              <w:rPr>
                <w:rFonts w:ascii="宋体"/>
                <w:vanish/>
              </w:rPr>
            </w:pPr>
          </w:p>
        </w:tc>
        <w:tc>
          <w:tcPr>
            <w:tcW w:w="0" w:type="auto"/>
            <w:gridSpan w:val="3"/>
            <w:shd w:val="clear" w:color="auto" w:fill="auto"/>
            <w:vAlign w:val="bottom"/>
          </w:tcPr>
          <w:p w14:paraId="71D450FB" w14:textId="77777777" w:rsidR="006A3667" w:rsidRDefault="006A3667">
            <w:pPr>
              <w:rPr>
                <w:rFonts w:ascii="宋体"/>
                <w:vanish/>
              </w:rPr>
            </w:pPr>
          </w:p>
        </w:tc>
        <w:tc>
          <w:tcPr>
            <w:tcW w:w="0" w:type="auto"/>
            <w:gridSpan w:val="3"/>
            <w:shd w:val="clear" w:color="auto" w:fill="auto"/>
            <w:vAlign w:val="bottom"/>
          </w:tcPr>
          <w:p w14:paraId="71D450FC" w14:textId="77777777" w:rsidR="006A3667" w:rsidRDefault="006A3667">
            <w:pPr>
              <w:rPr>
                <w:rFonts w:ascii="宋体"/>
                <w:vanish/>
              </w:rPr>
            </w:pPr>
          </w:p>
        </w:tc>
        <w:tc>
          <w:tcPr>
            <w:tcW w:w="0" w:type="auto"/>
            <w:gridSpan w:val="3"/>
            <w:shd w:val="clear" w:color="auto" w:fill="auto"/>
            <w:vAlign w:val="bottom"/>
          </w:tcPr>
          <w:p w14:paraId="71D450FD" w14:textId="77777777" w:rsidR="006A3667" w:rsidRDefault="006A3667">
            <w:pPr>
              <w:rPr>
                <w:rFonts w:ascii="宋体"/>
                <w:vanish/>
              </w:rPr>
            </w:pPr>
          </w:p>
        </w:tc>
        <w:tc>
          <w:tcPr>
            <w:tcW w:w="0" w:type="auto"/>
            <w:gridSpan w:val="3"/>
            <w:shd w:val="clear" w:color="auto" w:fill="auto"/>
            <w:vAlign w:val="bottom"/>
          </w:tcPr>
          <w:p w14:paraId="71D450FE" w14:textId="77777777" w:rsidR="006A3667" w:rsidRDefault="006A3667">
            <w:pPr>
              <w:rPr>
                <w:rFonts w:ascii="宋体"/>
                <w:vanish/>
              </w:rPr>
            </w:pPr>
          </w:p>
        </w:tc>
        <w:tc>
          <w:tcPr>
            <w:tcW w:w="0" w:type="auto"/>
            <w:gridSpan w:val="3"/>
            <w:shd w:val="clear" w:color="auto" w:fill="auto"/>
            <w:vAlign w:val="bottom"/>
          </w:tcPr>
          <w:p w14:paraId="71D450FF" w14:textId="77777777" w:rsidR="006A3667" w:rsidRDefault="006A3667">
            <w:pPr>
              <w:rPr>
                <w:rFonts w:ascii="宋体"/>
                <w:vanish/>
              </w:rPr>
            </w:pPr>
          </w:p>
        </w:tc>
        <w:tc>
          <w:tcPr>
            <w:tcW w:w="0" w:type="auto"/>
            <w:gridSpan w:val="3"/>
            <w:shd w:val="clear" w:color="auto" w:fill="auto"/>
            <w:vAlign w:val="bottom"/>
          </w:tcPr>
          <w:p w14:paraId="71D45100" w14:textId="77777777" w:rsidR="006A3667" w:rsidRDefault="006A3667">
            <w:pPr>
              <w:rPr>
                <w:rFonts w:ascii="宋体"/>
                <w:vanish/>
              </w:rPr>
            </w:pPr>
          </w:p>
        </w:tc>
        <w:tc>
          <w:tcPr>
            <w:tcW w:w="0" w:type="auto"/>
            <w:gridSpan w:val="3"/>
            <w:shd w:val="clear" w:color="auto" w:fill="auto"/>
            <w:vAlign w:val="bottom"/>
          </w:tcPr>
          <w:p w14:paraId="71D45101" w14:textId="77777777" w:rsidR="006A3667" w:rsidRDefault="006A3667">
            <w:pPr>
              <w:rPr>
                <w:rFonts w:ascii="宋体"/>
                <w:vanish/>
              </w:rPr>
            </w:pPr>
          </w:p>
        </w:tc>
        <w:tc>
          <w:tcPr>
            <w:tcW w:w="0" w:type="auto"/>
            <w:gridSpan w:val="3"/>
            <w:shd w:val="clear" w:color="auto" w:fill="auto"/>
            <w:vAlign w:val="bottom"/>
          </w:tcPr>
          <w:p w14:paraId="71D45102" w14:textId="77777777" w:rsidR="006A3667" w:rsidRDefault="006A3667">
            <w:pPr>
              <w:rPr>
                <w:rFonts w:ascii="宋体"/>
                <w:vanish/>
              </w:rPr>
            </w:pPr>
          </w:p>
        </w:tc>
        <w:tc>
          <w:tcPr>
            <w:tcW w:w="0" w:type="auto"/>
            <w:gridSpan w:val="3"/>
            <w:shd w:val="clear" w:color="auto" w:fill="auto"/>
            <w:vAlign w:val="bottom"/>
          </w:tcPr>
          <w:p w14:paraId="71D45103" w14:textId="77777777" w:rsidR="006A3667" w:rsidRDefault="006A3667">
            <w:pPr>
              <w:rPr>
                <w:rFonts w:ascii="宋体"/>
                <w:vanish/>
              </w:rPr>
            </w:pPr>
          </w:p>
        </w:tc>
        <w:tc>
          <w:tcPr>
            <w:tcW w:w="0" w:type="auto"/>
            <w:gridSpan w:val="3"/>
            <w:shd w:val="clear" w:color="auto" w:fill="auto"/>
            <w:vAlign w:val="bottom"/>
          </w:tcPr>
          <w:p w14:paraId="71D45104" w14:textId="77777777" w:rsidR="006A3667" w:rsidRDefault="006A3667">
            <w:pPr>
              <w:rPr>
                <w:rFonts w:ascii="宋体"/>
                <w:vanish/>
              </w:rPr>
            </w:pPr>
          </w:p>
        </w:tc>
        <w:tc>
          <w:tcPr>
            <w:tcW w:w="0" w:type="auto"/>
            <w:gridSpan w:val="3"/>
            <w:shd w:val="clear" w:color="auto" w:fill="auto"/>
            <w:vAlign w:val="bottom"/>
          </w:tcPr>
          <w:p w14:paraId="71D45105" w14:textId="77777777" w:rsidR="006A3667" w:rsidRDefault="006A3667">
            <w:pPr>
              <w:rPr>
                <w:rFonts w:ascii="宋体"/>
                <w:vanish/>
              </w:rPr>
            </w:pPr>
          </w:p>
        </w:tc>
      </w:tr>
      <w:tr w:rsidR="006A3667" w14:paraId="71D45117" w14:textId="77777777">
        <w:trPr>
          <w:hidden/>
        </w:trPr>
        <w:tc>
          <w:tcPr>
            <w:tcW w:w="0" w:type="auto"/>
            <w:gridSpan w:val="3"/>
            <w:shd w:val="clear" w:color="auto" w:fill="auto"/>
            <w:vAlign w:val="bottom"/>
          </w:tcPr>
          <w:p w14:paraId="71D45107" w14:textId="77777777" w:rsidR="006A3667" w:rsidRDefault="006A3667">
            <w:pPr>
              <w:rPr>
                <w:rFonts w:ascii="宋体"/>
                <w:vanish/>
              </w:rPr>
            </w:pPr>
          </w:p>
        </w:tc>
        <w:tc>
          <w:tcPr>
            <w:tcW w:w="0" w:type="auto"/>
            <w:gridSpan w:val="3"/>
            <w:shd w:val="clear" w:color="auto" w:fill="auto"/>
            <w:vAlign w:val="bottom"/>
          </w:tcPr>
          <w:p w14:paraId="71D45108" w14:textId="77777777" w:rsidR="006A3667" w:rsidRDefault="006A3667">
            <w:pPr>
              <w:rPr>
                <w:rFonts w:ascii="宋体"/>
                <w:vanish/>
              </w:rPr>
            </w:pPr>
          </w:p>
        </w:tc>
        <w:tc>
          <w:tcPr>
            <w:tcW w:w="0" w:type="auto"/>
            <w:gridSpan w:val="3"/>
            <w:shd w:val="clear" w:color="auto" w:fill="auto"/>
            <w:vAlign w:val="bottom"/>
          </w:tcPr>
          <w:p w14:paraId="71D45109" w14:textId="77777777" w:rsidR="006A3667" w:rsidRDefault="006A3667">
            <w:pPr>
              <w:rPr>
                <w:rFonts w:ascii="宋体"/>
                <w:vanish/>
              </w:rPr>
            </w:pPr>
          </w:p>
        </w:tc>
        <w:tc>
          <w:tcPr>
            <w:tcW w:w="0" w:type="auto"/>
            <w:gridSpan w:val="3"/>
            <w:shd w:val="clear" w:color="auto" w:fill="auto"/>
            <w:vAlign w:val="bottom"/>
          </w:tcPr>
          <w:p w14:paraId="71D4510A" w14:textId="77777777" w:rsidR="006A3667" w:rsidRDefault="006A3667">
            <w:pPr>
              <w:rPr>
                <w:rFonts w:ascii="宋体"/>
                <w:vanish/>
              </w:rPr>
            </w:pPr>
          </w:p>
        </w:tc>
        <w:tc>
          <w:tcPr>
            <w:tcW w:w="0" w:type="auto"/>
            <w:gridSpan w:val="3"/>
            <w:shd w:val="clear" w:color="auto" w:fill="auto"/>
            <w:vAlign w:val="bottom"/>
          </w:tcPr>
          <w:p w14:paraId="71D4510B" w14:textId="77777777" w:rsidR="006A3667" w:rsidRDefault="006A3667">
            <w:pPr>
              <w:rPr>
                <w:rFonts w:ascii="宋体"/>
                <w:vanish/>
              </w:rPr>
            </w:pPr>
          </w:p>
        </w:tc>
        <w:tc>
          <w:tcPr>
            <w:tcW w:w="0" w:type="auto"/>
            <w:gridSpan w:val="3"/>
            <w:shd w:val="clear" w:color="auto" w:fill="auto"/>
            <w:vAlign w:val="bottom"/>
          </w:tcPr>
          <w:p w14:paraId="71D4510C" w14:textId="77777777" w:rsidR="006A3667" w:rsidRDefault="006A3667">
            <w:pPr>
              <w:rPr>
                <w:rFonts w:ascii="宋体"/>
                <w:vanish/>
              </w:rPr>
            </w:pPr>
          </w:p>
        </w:tc>
        <w:tc>
          <w:tcPr>
            <w:tcW w:w="0" w:type="auto"/>
            <w:gridSpan w:val="3"/>
            <w:shd w:val="clear" w:color="auto" w:fill="auto"/>
            <w:vAlign w:val="bottom"/>
          </w:tcPr>
          <w:p w14:paraId="71D4510D" w14:textId="77777777" w:rsidR="006A3667" w:rsidRDefault="006A3667">
            <w:pPr>
              <w:rPr>
                <w:rFonts w:ascii="宋体"/>
                <w:vanish/>
              </w:rPr>
            </w:pPr>
          </w:p>
        </w:tc>
        <w:tc>
          <w:tcPr>
            <w:tcW w:w="0" w:type="auto"/>
            <w:gridSpan w:val="3"/>
            <w:shd w:val="clear" w:color="auto" w:fill="auto"/>
            <w:vAlign w:val="bottom"/>
          </w:tcPr>
          <w:p w14:paraId="71D4510E" w14:textId="77777777" w:rsidR="006A3667" w:rsidRDefault="006A3667">
            <w:pPr>
              <w:rPr>
                <w:rFonts w:ascii="宋体"/>
                <w:vanish/>
              </w:rPr>
            </w:pPr>
          </w:p>
        </w:tc>
        <w:tc>
          <w:tcPr>
            <w:tcW w:w="0" w:type="auto"/>
            <w:gridSpan w:val="3"/>
            <w:shd w:val="clear" w:color="auto" w:fill="auto"/>
            <w:vAlign w:val="bottom"/>
          </w:tcPr>
          <w:p w14:paraId="71D4510F" w14:textId="77777777" w:rsidR="006A3667" w:rsidRDefault="006A3667">
            <w:pPr>
              <w:rPr>
                <w:rFonts w:ascii="宋体"/>
                <w:vanish/>
              </w:rPr>
            </w:pPr>
          </w:p>
        </w:tc>
        <w:tc>
          <w:tcPr>
            <w:tcW w:w="0" w:type="auto"/>
            <w:gridSpan w:val="3"/>
            <w:shd w:val="clear" w:color="auto" w:fill="auto"/>
            <w:vAlign w:val="bottom"/>
          </w:tcPr>
          <w:p w14:paraId="71D45110" w14:textId="77777777" w:rsidR="006A3667" w:rsidRDefault="006A3667">
            <w:pPr>
              <w:rPr>
                <w:rFonts w:ascii="宋体"/>
                <w:vanish/>
              </w:rPr>
            </w:pPr>
          </w:p>
        </w:tc>
        <w:tc>
          <w:tcPr>
            <w:tcW w:w="0" w:type="auto"/>
            <w:gridSpan w:val="3"/>
            <w:shd w:val="clear" w:color="auto" w:fill="auto"/>
            <w:vAlign w:val="bottom"/>
          </w:tcPr>
          <w:p w14:paraId="71D45111" w14:textId="77777777" w:rsidR="006A3667" w:rsidRDefault="006A3667">
            <w:pPr>
              <w:rPr>
                <w:rFonts w:ascii="宋体"/>
                <w:vanish/>
              </w:rPr>
            </w:pPr>
          </w:p>
        </w:tc>
        <w:tc>
          <w:tcPr>
            <w:tcW w:w="0" w:type="auto"/>
            <w:gridSpan w:val="3"/>
            <w:shd w:val="clear" w:color="auto" w:fill="auto"/>
            <w:vAlign w:val="bottom"/>
          </w:tcPr>
          <w:p w14:paraId="71D45112" w14:textId="77777777" w:rsidR="006A3667" w:rsidRDefault="006A3667">
            <w:pPr>
              <w:rPr>
                <w:rFonts w:ascii="宋体"/>
                <w:vanish/>
              </w:rPr>
            </w:pPr>
          </w:p>
        </w:tc>
        <w:tc>
          <w:tcPr>
            <w:tcW w:w="0" w:type="auto"/>
            <w:gridSpan w:val="3"/>
            <w:shd w:val="clear" w:color="auto" w:fill="auto"/>
            <w:vAlign w:val="bottom"/>
          </w:tcPr>
          <w:p w14:paraId="71D45113" w14:textId="77777777" w:rsidR="006A3667" w:rsidRDefault="006A3667">
            <w:pPr>
              <w:rPr>
                <w:rFonts w:ascii="宋体"/>
                <w:vanish/>
              </w:rPr>
            </w:pPr>
          </w:p>
        </w:tc>
        <w:tc>
          <w:tcPr>
            <w:tcW w:w="0" w:type="auto"/>
            <w:gridSpan w:val="3"/>
            <w:shd w:val="clear" w:color="auto" w:fill="auto"/>
            <w:vAlign w:val="bottom"/>
          </w:tcPr>
          <w:p w14:paraId="71D45114" w14:textId="77777777" w:rsidR="006A3667" w:rsidRDefault="006A3667">
            <w:pPr>
              <w:rPr>
                <w:rFonts w:ascii="宋体"/>
                <w:vanish/>
              </w:rPr>
            </w:pPr>
          </w:p>
        </w:tc>
        <w:tc>
          <w:tcPr>
            <w:tcW w:w="0" w:type="auto"/>
            <w:gridSpan w:val="3"/>
            <w:shd w:val="clear" w:color="auto" w:fill="auto"/>
            <w:vAlign w:val="bottom"/>
          </w:tcPr>
          <w:p w14:paraId="71D45115" w14:textId="77777777" w:rsidR="006A3667" w:rsidRDefault="006A3667">
            <w:pPr>
              <w:rPr>
                <w:rFonts w:ascii="宋体"/>
                <w:vanish/>
              </w:rPr>
            </w:pPr>
          </w:p>
        </w:tc>
        <w:tc>
          <w:tcPr>
            <w:tcW w:w="0" w:type="auto"/>
            <w:gridSpan w:val="3"/>
            <w:shd w:val="clear" w:color="auto" w:fill="auto"/>
            <w:vAlign w:val="bottom"/>
          </w:tcPr>
          <w:p w14:paraId="71D45116" w14:textId="77777777" w:rsidR="006A3667" w:rsidRDefault="006A3667">
            <w:pPr>
              <w:rPr>
                <w:rFonts w:ascii="宋体"/>
                <w:vanish/>
              </w:rPr>
            </w:pPr>
          </w:p>
        </w:tc>
      </w:tr>
      <w:tr w:rsidR="006A3667" w14:paraId="71D45128" w14:textId="77777777">
        <w:trPr>
          <w:hidden/>
        </w:trPr>
        <w:tc>
          <w:tcPr>
            <w:tcW w:w="0" w:type="auto"/>
            <w:gridSpan w:val="3"/>
            <w:shd w:val="clear" w:color="auto" w:fill="auto"/>
            <w:vAlign w:val="bottom"/>
          </w:tcPr>
          <w:p w14:paraId="71D45118" w14:textId="77777777" w:rsidR="006A3667" w:rsidRDefault="006A3667">
            <w:pPr>
              <w:rPr>
                <w:rFonts w:ascii="宋体"/>
                <w:vanish/>
              </w:rPr>
            </w:pPr>
          </w:p>
        </w:tc>
        <w:tc>
          <w:tcPr>
            <w:tcW w:w="0" w:type="auto"/>
            <w:gridSpan w:val="3"/>
            <w:shd w:val="clear" w:color="auto" w:fill="auto"/>
            <w:vAlign w:val="bottom"/>
          </w:tcPr>
          <w:p w14:paraId="71D45119" w14:textId="77777777" w:rsidR="006A3667" w:rsidRDefault="006A3667">
            <w:pPr>
              <w:rPr>
                <w:rFonts w:ascii="宋体"/>
                <w:vanish/>
              </w:rPr>
            </w:pPr>
          </w:p>
        </w:tc>
        <w:tc>
          <w:tcPr>
            <w:tcW w:w="0" w:type="auto"/>
            <w:gridSpan w:val="3"/>
            <w:shd w:val="clear" w:color="auto" w:fill="auto"/>
            <w:vAlign w:val="bottom"/>
          </w:tcPr>
          <w:p w14:paraId="71D4511A" w14:textId="77777777" w:rsidR="006A3667" w:rsidRDefault="006A3667">
            <w:pPr>
              <w:rPr>
                <w:rFonts w:ascii="宋体"/>
                <w:vanish/>
              </w:rPr>
            </w:pPr>
          </w:p>
        </w:tc>
        <w:tc>
          <w:tcPr>
            <w:tcW w:w="0" w:type="auto"/>
            <w:gridSpan w:val="3"/>
            <w:shd w:val="clear" w:color="auto" w:fill="auto"/>
            <w:vAlign w:val="bottom"/>
          </w:tcPr>
          <w:p w14:paraId="71D4511B" w14:textId="77777777" w:rsidR="006A3667" w:rsidRDefault="006A3667">
            <w:pPr>
              <w:rPr>
                <w:rFonts w:ascii="宋体"/>
                <w:vanish/>
              </w:rPr>
            </w:pPr>
          </w:p>
        </w:tc>
        <w:tc>
          <w:tcPr>
            <w:tcW w:w="0" w:type="auto"/>
            <w:gridSpan w:val="3"/>
            <w:shd w:val="clear" w:color="auto" w:fill="auto"/>
            <w:vAlign w:val="bottom"/>
          </w:tcPr>
          <w:p w14:paraId="71D4511C" w14:textId="77777777" w:rsidR="006A3667" w:rsidRDefault="006A3667">
            <w:pPr>
              <w:rPr>
                <w:rFonts w:ascii="宋体"/>
                <w:vanish/>
              </w:rPr>
            </w:pPr>
          </w:p>
        </w:tc>
        <w:tc>
          <w:tcPr>
            <w:tcW w:w="0" w:type="auto"/>
            <w:gridSpan w:val="3"/>
            <w:shd w:val="clear" w:color="auto" w:fill="auto"/>
            <w:vAlign w:val="bottom"/>
          </w:tcPr>
          <w:p w14:paraId="71D4511D" w14:textId="77777777" w:rsidR="006A3667" w:rsidRDefault="006A3667">
            <w:pPr>
              <w:rPr>
                <w:rFonts w:ascii="宋体"/>
                <w:vanish/>
              </w:rPr>
            </w:pPr>
          </w:p>
        </w:tc>
        <w:tc>
          <w:tcPr>
            <w:tcW w:w="0" w:type="auto"/>
            <w:gridSpan w:val="3"/>
            <w:shd w:val="clear" w:color="auto" w:fill="auto"/>
            <w:vAlign w:val="bottom"/>
          </w:tcPr>
          <w:p w14:paraId="71D4511E" w14:textId="77777777" w:rsidR="006A3667" w:rsidRDefault="006A3667">
            <w:pPr>
              <w:rPr>
                <w:rFonts w:ascii="宋体"/>
                <w:vanish/>
              </w:rPr>
            </w:pPr>
          </w:p>
        </w:tc>
        <w:tc>
          <w:tcPr>
            <w:tcW w:w="0" w:type="auto"/>
            <w:gridSpan w:val="3"/>
            <w:shd w:val="clear" w:color="auto" w:fill="auto"/>
            <w:vAlign w:val="bottom"/>
          </w:tcPr>
          <w:p w14:paraId="71D4511F" w14:textId="77777777" w:rsidR="006A3667" w:rsidRDefault="006A3667">
            <w:pPr>
              <w:rPr>
                <w:rFonts w:ascii="宋体"/>
                <w:vanish/>
              </w:rPr>
            </w:pPr>
          </w:p>
        </w:tc>
        <w:tc>
          <w:tcPr>
            <w:tcW w:w="0" w:type="auto"/>
            <w:gridSpan w:val="3"/>
            <w:shd w:val="clear" w:color="auto" w:fill="auto"/>
            <w:vAlign w:val="bottom"/>
          </w:tcPr>
          <w:p w14:paraId="71D45120" w14:textId="77777777" w:rsidR="006A3667" w:rsidRDefault="006A3667">
            <w:pPr>
              <w:rPr>
                <w:rFonts w:ascii="宋体"/>
                <w:vanish/>
              </w:rPr>
            </w:pPr>
          </w:p>
        </w:tc>
        <w:tc>
          <w:tcPr>
            <w:tcW w:w="0" w:type="auto"/>
            <w:gridSpan w:val="3"/>
            <w:shd w:val="clear" w:color="auto" w:fill="auto"/>
            <w:vAlign w:val="bottom"/>
          </w:tcPr>
          <w:p w14:paraId="71D45121" w14:textId="77777777" w:rsidR="006A3667" w:rsidRDefault="006A3667">
            <w:pPr>
              <w:rPr>
                <w:rFonts w:ascii="宋体"/>
                <w:vanish/>
              </w:rPr>
            </w:pPr>
          </w:p>
        </w:tc>
        <w:tc>
          <w:tcPr>
            <w:tcW w:w="0" w:type="auto"/>
            <w:gridSpan w:val="3"/>
            <w:shd w:val="clear" w:color="auto" w:fill="auto"/>
            <w:vAlign w:val="bottom"/>
          </w:tcPr>
          <w:p w14:paraId="71D45122" w14:textId="77777777" w:rsidR="006A3667" w:rsidRDefault="006A3667">
            <w:pPr>
              <w:rPr>
                <w:rFonts w:ascii="宋体"/>
                <w:vanish/>
              </w:rPr>
            </w:pPr>
          </w:p>
        </w:tc>
        <w:tc>
          <w:tcPr>
            <w:tcW w:w="0" w:type="auto"/>
            <w:gridSpan w:val="3"/>
            <w:shd w:val="clear" w:color="auto" w:fill="auto"/>
            <w:vAlign w:val="bottom"/>
          </w:tcPr>
          <w:p w14:paraId="71D45123" w14:textId="77777777" w:rsidR="006A3667" w:rsidRDefault="006A3667">
            <w:pPr>
              <w:rPr>
                <w:rFonts w:ascii="宋体"/>
                <w:vanish/>
              </w:rPr>
            </w:pPr>
          </w:p>
        </w:tc>
        <w:tc>
          <w:tcPr>
            <w:tcW w:w="0" w:type="auto"/>
            <w:gridSpan w:val="3"/>
            <w:shd w:val="clear" w:color="auto" w:fill="auto"/>
            <w:vAlign w:val="bottom"/>
          </w:tcPr>
          <w:p w14:paraId="71D45124" w14:textId="77777777" w:rsidR="006A3667" w:rsidRDefault="006A3667">
            <w:pPr>
              <w:rPr>
                <w:rFonts w:ascii="宋体"/>
                <w:vanish/>
              </w:rPr>
            </w:pPr>
          </w:p>
        </w:tc>
        <w:tc>
          <w:tcPr>
            <w:tcW w:w="0" w:type="auto"/>
            <w:gridSpan w:val="3"/>
            <w:shd w:val="clear" w:color="auto" w:fill="auto"/>
            <w:vAlign w:val="bottom"/>
          </w:tcPr>
          <w:p w14:paraId="71D45125" w14:textId="77777777" w:rsidR="006A3667" w:rsidRDefault="006A3667">
            <w:pPr>
              <w:rPr>
                <w:rFonts w:ascii="宋体"/>
                <w:vanish/>
              </w:rPr>
            </w:pPr>
          </w:p>
        </w:tc>
        <w:tc>
          <w:tcPr>
            <w:tcW w:w="0" w:type="auto"/>
            <w:gridSpan w:val="3"/>
            <w:shd w:val="clear" w:color="auto" w:fill="auto"/>
            <w:vAlign w:val="bottom"/>
          </w:tcPr>
          <w:p w14:paraId="71D45126" w14:textId="77777777" w:rsidR="006A3667" w:rsidRDefault="006A3667">
            <w:pPr>
              <w:rPr>
                <w:rFonts w:ascii="宋体"/>
                <w:vanish/>
              </w:rPr>
            </w:pPr>
          </w:p>
        </w:tc>
        <w:tc>
          <w:tcPr>
            <w:tcW w:w="0" w:type="auto"/>
            <w:gridSpan w:val="3"/>
            <w:shd w:val="clear" w:color="auto" w:fill="auto"/>
            <w:vAlign w:val="bottom"/>
          </w:tcPr>
          <w:p w14:paraId="71D45127" w14:textId="77777777" w:rsidR="006A3667" w:rsidRDefault="006A3667">
            <w:pPr>
              <w:rPr>
                <w:rFonts w:ascii="宋体"/>
                <w:vanish/>
              </w:rPr>
            </w:pPr>
          </w:p>
        </w:tc>
      </w:tr>
      <w:tr w:rsidR="006A3667" w14:paraId="71D45139" w14:textId="77777777">
        <w:trPr>
          <w:hidden/>
        </w:trPr>
        <w:tc>
          <w:tcPr>
            <w:tcW w:w="0" w:type="auto"/>
            <w:gridSpan w:val="3"/>
            <w:shd w:val="clear" w:color="auto" w:fill="auto"/>
            <w:vAlign w:val="bottom"/>
          </w:tcPr>
          <w:p w14:paraId="71D45129" w14:textId="77777777" w:rsidR="006A3667" w:rsidRDefault="006A3667">
            <w:pPr>
              <w:rPr>
                <w:rFonts w:ascii="宋体"/>
                <w:vanish/>
              </w:rPr>
            </w:pPr>
          </w:p>
        </w:tc>
        <w:tc>
          <w:tcPr>
            <w:tcW w:w="0" w:type="auto"/>
            <w:gridSpan w:val="3"/>
            <w:shd w:val="clear" w:color="auto" w:fill="auto"/>
            <w:vAlign w:val="bottom"/>
          </w:tcPr>
          <w:p w14:paraId="71D4512A" w14:textId="77777777" w:rsidR="006A3667" w:rsidRDefault="006A3667">
            <w:pPr>
              <w:rPr>
                <w:rFonts w:ascii="宋体"/>
                <w:vanish/>
              </w:rPr>
            </w:pPr>
          </w:p>
        </w:tc>
        <w:tc>
          <w:tcPr>
            <w:tcW w:w="0" w:type="auto"/>
            <w:gridSpan w:val="3"/>
            <w:shd w:val="clear" w:color="auto" w:fill="auto"/>
            <w:vAlign w:val="bottom"/>
          </w:tcPr>
          <w:p w14:paraId="71D4512B" w14:textId="77777777" w:rsidR="006A3667" w:rsidRDefault="006A3667">
            <w:pPr>
              <w:rPr>
                <w:rFonts w:ascii="宋体"/>
                <w:vanish/>
              </w:rPr>
            </w:pPr>
          </w:p>
        </w:tc>
        <w:tc>
          <w:tcPr>
            <w:tcW w:w="0" w:type="auto"/>
            <w:gridSpan w:val="3"/>
            <w:shd w:val="clear" w:color="auto" w:fill="auto"/>
            <w:vAlign w:val="bottom"/>
          </w:tcPr>
          <w:p w14:paraId="71D4512C" w14:textId="77777777" w:rsidR="006A3667" w:rsidRDefault="006A3667">
            <w:pPr>
              <w:rPr>
                <w:rFonts w:ascii="宋体"/>
                <w:vanish/>
              </w:rPr>
            </w:pPr>
          </w:p>
        </w:tc>
        <w:tc>
          <w:tcPr>
            <w:tcW w:w="0" w:type="auto"/>
            <w:gridSpan w:val="3"/>
            <w:shd w:val="clear" w:color="auto" w:fill="auto"/>
            <w:vAlign w:val="bottom"/>
          </w:tcPr>
          <w:p w14:paraId="71D4512D" w14:textId="77777777" w:rsidR="006A3667" w:rsidRDefault="006A3667">
            <w:pPr>
              <w:rPr>
                <w:rFonts w:ascii="宋体"/>
                <w:vanish/>
              </w:rPr>
            </w:pPr>
          </w:p>
        </w:tc>
        <w:tc>
          <w:tcPr>
            <w:tcW w:w="0" w:type="auto"/>
            <w:gridSpan w:val="3"/>
            <w:shd w:val="clear" w:color="auto" w:fill="auto"/>
            <w:vAlign w:val="bottom"/>
          </w:tcPr>
          <w:p w14:paraId="71D4512E" w14:textId="77777777" w:rsidR="006A3667" w:rsidRDefault="006A3667">
            <w:pPr>
              <w:rPr>
                <w:rFonts w:ascii="宋体"/>
                <w:vanish/>
              </w:rPr>
            </w:pPr>
          </w:p>
        </w:tc>
        <w:tc>
          <w:tcPr>
            <w:tcW w:w="0" w:type="auto"/>
            <w:gridSpan w:val="3"/>
            <w:shd w:val="clear" w:color="auto" w:fill="auto"/>
            <w:vAlign w:val="bottom"/>
          </w:tcPr>
          <w:p w14:paraId="71D4512F" w14:textId="77777777" w:rsidR="006A3667" w:rsidRDefault="006A3667">
            <w:pPr>
              <w:rPr>
                <w:rFonts w:ascii="宋体"/>
                <w:vanish/>
              </w:rPr>
            </w:pPr>
          </w:p>
        </w:tc>
        <w:tc>
          <w:tcPr>
            <w:tcW w:w="0" w:type="auto"/>
            <w:gridSpan w:val="3"/>
            <w:shd w:val="clear" w:color="auto" w:fill="auto"/>
            <w:vAlign w:val="bottom"/>
          </w:tcPr>
          <w:p w14:paraId="71D45130" w14:textId="77777777" w:rsidR="006A3667" w:rsidRDefault="006A3667">
            <w:pPr>
              <w:rPr>
                <w:rFonts w:ascii="宋体"/>
                <w:vanish/>
              </w:rPr>
            </w:pPr>
          </w:p>
        </w:tc>
        <w:tc>
          <w:tcPr>
            <w:tcW w:w="0" w:type="auto"/>
            <w:gridSpan w:val="3"/>
            <w:shd w:val="clear" w:color="auto" w:fill="auto"/>
            <w:vAlign w:val="bottom"/>
          </w:tcPr>
          <w:p w14:paraId="71D45131" w14:textId="77777777" w:rsidR="006A3667" w:rsidRDefault="006A3667">
            <w:pPr>
              <w:rPr>
                <w:rFonts w:ascii="宋体"/>
                <w:vanish/>
              </w:rPr>
            </w:pPr>
          </w:p>
        </w:tc>
        <w:tc>
          <w:tcPr>
            <w:tcW w:w="0" w:type="auto"/>
            <w:gridSpan w:val="3"/>
            <w:shd w:val="clear" w:color="auto" w:fill="auto"/>
            <w:vAlign w:val="bottom"/>
          </w:tcPr>
          <w:p w14:paraId="71D45132" w14:textId="77777777" w:rsidR="006A3667" w:rsidRDefault="006A3667">
            <w:pPr>
              <w:rPr>
                <w:rFonts w:ascii="宋体"/>
                <w:vanish/>
              </w:rPr>
            </w:pPr>
          </w:p>
        </w:tc>
        <w:tc>
          <w:tcPr>
            <w:tcW w:w="0" w:type="auto"/>
            <w:gridSpan w:val="3"/>
            <w:shd w:val="clear" w:color="auto" w:fill="auto"/>
            <w:vAlign w:val="bottom"/>
          </w:tcPr>
          <w:p w14:paraId="71D45133" w14:textId="77777777" w:rsidR="006A3667" w:rsidRDefault="006A3667">
            <w:pPr>
              <w:rPr>
                <w:rFonts w:ascii="宋体"/>
                <w:vanish/>
              </w:rPr>
            </w:pPr>
          </w:p>
        </w:tc>
        <w:tc>
          <w:tcPr>
            <w:tcW w:w="0" w:type="auto"/>
            <w:gridSpan w:val="3"/>
            <w:shd w:val="clear" w:color="auto" w:fill="auto"/>
            <w:vAlign w:val="bottom"/>
          </w:tcPr>
          <w:p w14:paraId="71D45134" w14:textId="77777777" w:rsidR="006A3667" w:rsidRDefault="006A3667">
            <w:pPr>
              <w:rPr>
                <w:rFonts w:ascii="宋体"/>
                <w:vanish/>
              </w:rPr>
            </w:pPr>
          </w:p>
        </w:tc>
        <w:tc>
          <w:tcPr>
            <w:tcW w:w="0" w:type="auto"/>
            <w:gridSpan w:val="3"/>
            <w:shd w:val="clear" w:color="auto" w:fill="auto"/>
            <w:vAlign w:val="bottom"/>
          </w:tcPr>
          <w:p w14:paraId="71D45135" w14:textId="77777777" w:rsidR="006A3667" w:rsidRDefault="006A3667">
            <w:pPr>
              <w:rPr>
                <w:rFonts w:ascii="宋体"/>
                <w:vanish/>
              </w:rPr>
            </w:pPr>
          </w:p>
        </w:tc>
        <w:tc>
          <w:tcPr>
            <w:tcW w:w="0" w:type="auto"/>
            <w:gridSpan w:val="3"/>
            <w:shd w:val="clear" w:color="auto" w:fill="auto"/>
            <w:vAlign w:val="bottom"/>
          </w:tcPr>
          <w:p w14:paraId="71D45136" w14:textId="77777777" w:rsidR="006A3667" w:rsidRDefault="006A3667">
            <w:pPr>
              <w:rPr>
                <w:rFonts w:ascii="宋体"/>
                <w:vanish/>
              </w:rPr>
            </w:pPr>
          </w:p>
        </w:tc>
        <w:tc>
          <w:tcPr>
            <w:tcW w:w="0" w:type="auto"/>
            <w:gridSpan w:val="3"/>
            <w:shd w:val="clear" w:color="auto" w:fill="auto"/>
            <w:vAlign w:val="bottom"/>
          </w:tcPr>
          <w:p w14:paraId="71D45137" w14:textId="77777777" w:rsidR="006A3667" w:rsidRDefault="006A3667">
            <w:pPr>
              <w:rPr>
                <w:rFonts w:ascii="宋体"/>
                <w:vanish/>
              </w:rPr>
            </w:pPr>
          </w:p>
        </w:tc>
        <w:tc>
          <w:tcPr>
            <w:tcW w:w="0" w:type="auto"/>
            <w:gridSpan w:val="3"/>
            <w:shd w:val="clear" w:color="auto" w:fill="auto"/>
            <w:vAlign w:val="bottom"/>
          </w:tcPr>
          <w:p w14:paraId="71D45138" w14:textId="77777777" w:rsidR="006A3667" w:rsidRDefault="006A3667">
            <w:pPr>
              <w:rPr>
                <w:rFonts w:ascii="宋体"/>
                <w:vanish/>
              </w:rPr>
            </w:pPr>
          </w:p>
        </w:tc>
      </w:tr>
      <w:tr w:rsidR="006A3667" w14:paraId="71D4514A" w14:textId="77777777">
        <w:trPr>
          <w:hidden/>
        </w:trPr>
        <w:tc>
          <w:tcPr>
            <w:tcW w:w="0" w:type="auto"/>
            <w:gridSpan w:val="3"/>
            <w:shd w:val="clear" w:color="auto" w:fill="auto"/>
            <w:vAlign w:val="bottom"/>
          </w:tcPr>
          <w:p w14:paraId="71D4513A" w14:textId="77777777" w:rsidR="006A3667" w:rsidRDefault="006A3667">
            <w:pPr>
              <w:rPr>
                <w:rFonts w:ascii="宋体"/>
                <w:vanish/>
              </w:rPr>
            </w:pPr>
          </w:p>
        </w:tc>
        <w:tc>
          <w:tcPr>
            <w:tcW w:w="0" w:type="auto"/>
            <w:gridSpan w:val="3"/>
            <w:shd w:val="clear" w:color="auto" w:fill="auto"/>
            <w:vAlign w:val="bottom"/>
          </w:tcPr>
          <w:p w14:paraId="71D4513B" w14:textId="77777777" w:rsidR="006A3667" w:rsidRDefault="006A3667">
            <w:pPr>
              <w:rPr>
                <w:rFonts w:ascii="宋体"/>
                <w:vanish/>
              </w:rPr>
            </w:pPr>
          </w:p>
        </w:tc>
        <w:tc>
          <w:tcPr>
            <w:tcW w:w="0" w:type="auto"/>
            <w:gridSpan w:val="3"/>
            <w:shd w:val="clear" w:color="auto" w:fill="auto"/>
            <w:vAlign w:val="bottom"/>
          </w:tcPr>
          <w:p w14:paraId="71D4513C" w14:textId="77777777" w:rsidR="006A3667" w:rsidRDefault="006A3667">
            <w:pPr>
              <w:rPr>
                <w:rFonts w:ascii="宋体"/>
                <w:vanish/>
              </w:rPr>
            </w:pPr>
          </w:p>
        </w:tc>
        <w:tc>
          <w:tcPr>
            <w:tcW w:w="0" w:type="auto"/>
            <w:gridSpan w:val="3"/>
            <w:shd w:val="clear" w:color="auto" w:fill="auto"/>
            <w:vAlign w:val="bottom"/>
          </w:tcPr>
          <w:p w14:paraId="71D4513D" w14:textId="77777777" w:rsidR="006A3667" w:rsidRDefault="006A3667">
            <w:pPr>
              <w:rPr>
                <w:rFonts w:ascii="宋体"/>
                <w:vanish/>
              </w:rPr>
            </w:pPr>
          </w:p>
        </w:tc>
        <w:tc>
          <w:tcPr>
            <w:tcW w:w="0" w:type="auto"/>
            <w:gridSpan w:val="3"/>
            <w:shd w:val="clear" w:color="auto" w:fill="auto"/>
            <w:vAlign w:val="bottom"/>
          </w:tcPr>
          <w:p w14:paraId="71D4513E" w14:textId="77777777" w:rsidR="006A3667" w:rsidRDefault="006A3667">
            <w:pPr>
              <w:rPr>
                <w:rFonts w:ascii="宋体"/>
                <w:vanish/>
              </w:rPr>
            </w:pPr>
          </w:p>
        </w:tc>
        <w:tc>
          <w:tcPr>
            <w:tcW w:w="0" w:type="auto"/>
            <w:gridSpan w:val="3"/>
            <w:shd w:val="clear" w:color="auto" w:fill="auto"/>
            <w:vAlign w:val="bottom"/>
          </w:tcPr>
          <w:p w14:paraId="71D4513F" w14:textId="77777777" w:rsidR="006A3667" w:rsidRDefault="006A3667">
            <w:pPr>
              <w:rPr>
                <w:rFonts w:ascii="宋体"/>
                <w:vanish/>
              </w:rPr>
            </w:pPr>
          </w:p>
        </w:tc>
        <w:tc>
          <w:tcPr>
            <w:tcW w:w="0" w:type="auto"/>
            <w:gridSpan w:val="3"/>
            <w:shd w:val="clear" w:color="auto" w:fill="auto"/>
            <w:vAlign w:val="bottom"/>
          </w:tcPr>
          <w:p w14:paraId="71D45140" w14:textId="77777777" w:rsidR="006A3667" w:rsidRDefault="006A3667">
            <w:pPr>
              <w:rPr>
                <w:rFonts w:ascii="宋体"/>
                <w:vanish/>
              </w:rPr>
            </w:pPr>
          </w:p>
        </w:tc>
        <w:tc>
          <w:tcPr>
            <w:tcW w:w="0" w:type="auto"/>
            <w:gridSpan w:val="3"/>
            <w:shd w:val="clear" w:color="auto" w:fill="auto"/>
            <w:vAlign w:val="bottom"/>
          </w:tcPr>
          <w:p w14:paraId="71D45141" w14:textId="77777777" w:rsidR="006A3667" w:rsidRDefault="006A3667">
            <w:pPr>
              <w:rPr>
                <w:rFonts w:ascii="宋体"/>
                <w:vanish/>
              </w:rPr>
            </w:pPr>
          </w:p>
        </w:tc>
        <w:tc>
          <w:tcPr>
            <w:tcW w:w="0" w:type="auto"/>
            <w:gridSpan w:val="3"/>
            <w:shd w:val="clear" w:color="auto" w:fill="auto"/>
            <w:vAlign w:val="bottom"/>
          </w:tcPr>
          <w:p w14:paraId="71D45142" w14:textId="77777777" w:rsidR="006A3667" w:rsidRDefault="006A3667">
            <w:pPr>
              <w:rPr>
                <w:rFonts w:ascii="宋体"/>
                <w:vanish/>
              </w:rPr>
            </w:pPr>
          </w:p>
        </w:tc>
        <w:tc>
          <w:tcPr>
            <w:tcW w:w="0" w:type="auto"/>
            <w:gridSpan w:val="3"/>
            <w:shd w:val="clear" w:color="auto" w:fill="auto"/>
            <w:vAlign w:val="bottom"/>
          </w:tcPr>
          <w:p w14:paraId="71D45143" w14:textId="77777777" w:rsidR="006A3667" w:rsidRDefault="006A3667">
            <w:pPr>
              <w:rPr>
                <w:rFonts w:ascii="宋体"/>
                <w:vanish/>
              </w:rPr>
            </w:pPr>
          </w:p>
        </w:tc>
        <w:tc>
          <w:tcPr>
            <w:tcW w:w="0" w:type="auto"/>
            <w:gridSpan w:val="3"/>
            <w:shd w:val="clear" w:color="auto" w:fill="auto"/>
            <w:vAlign w:val="bottom"/>
          </w:tcPr>
          <w:p w14:paraId="71D45144" w14:textId="77777777" w:rsidR="006A3667" w:rsidRDefault="006A3667">
            <w:pPr>
              <w:rPr>
                <w:rFonts w:ascii="宋体"/>
                <w:vanish/>
              </w:rPr>
            </w:pPr>
          </w:p>
        </w:tc>
        <w:tc>
          <w:tcPr>
            <w:tcW w:w="0" w:type="auto"/>
            <w:gridSpan w:val="3"/>
            <w:shd w:val="clear" w:color="auto" w:fill="auto"/>
            <w:vAlign w:val="bottom"/>
          </w:tcPr>
          <w:p w14:paraId="71D45145" w14:textId="77777777" w:rsidR="006A3667" w:rsidRDefault="006A3667">
            <w:pPr>
              <w:rPr>
                <w:rFonts w:ascii="宋体"/>
                <w:vanish/>
              </w:rPr>
            </w:pPr>
          </w:p>
        </w:tc>
        <w:tc>
          <w:tcPr>
            <w:tcW w:w="0" w:type="auto"/>
            <w:gridSpan w:val="3"/>
            <w:shd w:val="clear" w:color="auto" w:fill="auto"/>
            <w:vAlign w:val="bottom"/>
          </w:tcPr>
          <w:p w14:paraId="71D45146" w14:textId="77777777" w:rsidR="006A3667" w:rsidRDefault="006A3667">
            <w:pPr>
              <w:rPr>
                <w:rFonts w:ascii="宋体"/>
                <w:vanish/>
              </w:rPr>
            </w:pPr>
          </w:p>
        </w:tc>
        <w:tc>
          <w:tcPr>
            <w:tcW w:w="0" w:type="auto"/>
            <w:gridSpan w:val="3"/>
            <w:shd w:val="clear" w:color="auto" w:fill="auto"/>
            <w:vAlign w:val="bottom"/>
          </w:tcPr>
          <w:p w14:paraId="71D45147" w14:textId="77777777" w:rsidR="006A3667" w:rsidRDefault="006A3667">
            <w:pPr>
              <w:rPr>
                <w:rFonts w:ascii="宋体"/>
                <w:vanish/>
              </w:rPr>
            </w:pPr>
          </w:p>
        </w:tc>
        <w:tc>
          <w:tcPr>
            <w:tcW w:w="0" w:type="auto"/>
            <w:gridSpan w:val="3"/>
            <w:shd w:val="clear" w:color="auto" w:fill="auto"/>
            <w:vAlign w:val="bottom"/>
          </w:tcPr>
          <w:p w14:paraId="71D45148" w14:textId="77777777" w:rsidR="006A3667" w:rsidRDefault="006A3667">
            <w:pPr>
              <w:rPr>
                <w:rFonts w:ascii="宋体"/>
                <w:vanish/>
              </w:rPr>
            </w:pPr>
          </w:p>
        </w:tc>
        <w:tc>
          <w:tcPr>
            <w:tcW w:w="0" w:type="auto"/>
            <w:gridSpan w:val="3"/>
            <w:shd w:val="clear" w:color="auto" w:fill="auto"/>
            <w:vAlign w:val="bottom"/>
          </w:tcPr>
          <w:p w14:paraId="71D45149" w14:textId="77777777" w:rsidR="006A3667" w:rsidRDefault="006A3667">
            <w:pPr>
              <w:rPr>
                <w:rFonts w:ascii="宋体"/>
                <w:vanish/>
              </w:rPr>
            </w:pPr>
          </w:p>
        </w:tc>
      </w:tr>
      <w:tr w:rsidR="006A3667" w14:paraId="71D45163" w14:textId="77777777">
        <w:tc>
          <w:tcPr>
            <w:tcW w:w="0" w:type="auto"/>
            <w:gridSpan w:val="3"/>
            <w:shd w:val="clear" w:color="auto" w:fill="FFFFFF"/>
            <w:tcMar>
              <w:top w:w="40" w:type="dxa"/>
              <w:left w:w="20" w:type="dxa"/>
              <w:bottom w:w="40" w:type="dxa"/>
              <w:right w:w="20" w:type="dxa"/>
            </w:tcMar>
            <w:vAlign w:val="bottom"/>
          </w:tcPr>
          <w:p w14:paraId="71D4514B" w14:textId="77777777" w:rsidR="006A3667" w:rsidRDefault="00045F32">
            <w:pPr>
              <w:textAlignment w:val="bottom"/>
            </w:pPr>
            <w:r>
              <w:rPr>
                <w:rFonts w:ascii="Arial" w:eastAsia="宋体" w:hAnsi="Arial" w:cs="Arial"/>
                <w:color w:val="000000"/>
                <w:sz w:val="15"/>
                <w:szCs w:val="15"/>
              </w:rPr>
              <w:t>State and political subdivisions</w:t>
            </w:r>
          </w:p>
        </w:tc>
        <w:tc>
          <w:tcPr>
            <w:tcW w:w="0" w:type="auto"/>
            <w:gridSpan w:val="2"/>
            <w:shd w:val="clear" w:color="auto" w:fill="FFFFFF"/>
            <w:tcMar>
              <w:top w:w="40" w:type="dxa"/>
              <w:left w:w="20" w:type="dxa"/>
              <w:bottom w:w="40" w:type="dxa"/>
              <w:right w:w="0" w:type="dxa"/>
            </w:tcMar>
            <w:vAlign w:val="bottom"/>
          </w:tcPr>
          <w:p w14:paraId="71D4514C" w14:textId="77777777" w:rsidR="006A3667" w:rsidRDefault="00045F32">
            <w:pPr>
              <w:jc w:val="right"/>
              <w:textAlignment w:val="bottom"/>
            </w:pPr>
            <w:r>
              <w:rPr>
                <w:rFonts w:ascii="Arial" w:eastAsia="宋体" w:hAnsi="Arial" w:cs="Arial"/>
                <w:b/>
                <w:bCs/>
                <w:color w:val="000000"/>
                <w:sz w:val="15"/>
                <w:szCs w:val="15"/>
              </w:rPr>
              <w:t>952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14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4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14F"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15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5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152" w14:textId="77777777" w:rsidR="006A3667" w:rsidRDefault="00045F32">
            <w:pPr>
              <w:jc w:val="right"/>
              <w:textAlignment w:val="bottom"/>
            </w:pPr>
            <w:r>
              <w:rPr>
                <w:rFonts w:ascii="Arial" w:eastAsia="宋体" w:hAnsi="Arial" w:cs="Arial"/>
                <w:b/>
                <w:bCs/>
                <w:color w:val="000000"/>
                <w:sz w:val="15"/>
                <w:szCs w:val="15"/>
              </w:rPr>
              <w:t>28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1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5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155" w14:textId="77777777" w:rsidR="006A3667" w:rsidRDefault="00045F32">
            <w:pPr>
              <w:jc w:val="right"/>
              <w:textAlignment w:val="bottom"/>
            </w:pPr>
            <w:r>
              <w:rPr>
                <w:rFonts w:ascii="Arial" w:eastAsia="宋体" w:hAnsi="Arial" w:cs="Arial"/>
                <w:b/>
                <w:bCs/>
                <w:color w:val="000000"/>
                <w:sz w:val="15"/>
                <w:szCs w:val="15"/>
              </w:rPr>
              <w:t>924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1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5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158" w14:textId="77777777" w:rsidR="006A3667" w:rsidRDefault="00045F32">
            <w:pPr>
              <w:jc w:val="right"/>
              <w:textAlignment w:val="bottom"/>
            </w:pPr>
            <w:r>
              <w:rPr>
                <w:rFonts w:ascii="Arial" w:eastAsia="宋体" w:hAnsi="Arial" w:cs="Arial"/>
                <w:color w:val="000000"/>
                <w:sz w:val="15"/>
                <w:szCs w:val="15"/>
              </w:rPr>
              <w:t>1,216 </w:t>
            </w:r>
          </w:p>
        </w:tc>
        <w:tc>
          <w:tcPr>
            <w:tcW w:w="0" w:type="auto"/>
            <w:shd w:val="clear" w:color="auto" w:fill="FFFFFF"/>
            <w:tcMar>
              <w:top w:w="40" w:type="dxa"/>
              <w:left w:w="0" w:type="dxa"/>
              <w:bottom w:w="40" w:type="dxa"/>
              <w:right w:w="20" w:type="dxa"/>
            </w:tcMar>
            <w:vAlign w:val="bottom"/>
          </w:tcPr>
          <w:p w14:paraId="71D451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5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15B" w14:textId="77777777" w:rsidR="006A3667" w:rsidRDefault="00045F32">
            <w:pPr>
              <w:jc w:val="right"/>
              <w:textAlignment w:val="bottom"/>
            </w:pPr>
            <w:r>
              <w:rPr>
                <w:rFonts w:ascii="Arial" w:eastAsia="宋体" w:hAnsi="Arial" w:cs="Arial"/>
                <w:color w:val="000000"/>
                <w:sz w:val="15"/>
                <w:szCs w:val="15"/>
              </w:rPr>
              <w:t>59 </w:t>
            </w:r>
          </w:p>
        </w:tc>
        <w:tc>
          <w:tcPr>
            <w:tcW w:w="0" w:type="auto"/>
            <w:shd w:val="clear" w:color="auto" w:fill="FFFFFF"/>
            <w:tcMar>
              <w:top w:w="40" w:type="dxa"/>
              <w:left w:w="0" w:type="dxa"/>
              <w:bottom w:w="40" w:type="dxa"/>
              <w:right w:w="20" w:type="dxa"/>
            </w:tcMar>
            <w:vAlign w:val="bottom"/>
          </w:tcPr>
          <w:p w14:paraId="71D451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15E" w14:textId="77777777" w:rsidR="006A3667" w:rsidRDefault="00045F32">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71D451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161" w14:textId="77777777" w:rsidR="006A3667" w:rsidRDefault="00045F32">
            <w:pPr>
              <w:jc w:val="right"/>
              <w:textAlignment w:val="bottom"/>
            </w:pPr>
            <w:r>
              <w:rPr>
                <w:rFonts w:ascii="Arial" w:eastAsia="宋体" w:hAnsi="Arial" w:cs="Arial"/>
                <w:color w:val="000000"/>
                <w:sz w:val="15"/>
                <w:szCs w:val="15"/>
              </w:rPr>
              <w:t>1,272 </w:t>
            </w:r>
          </w:p>
        </w:tc>
        <w:tc>
          <w:tcPr>
            <w:tcW w:w="0" w:type="auto"/>
            <w:shd w:val="clear" w:color="auto" w:fill="FFFFFF"/>
            <w:tcMar>
              <w:top w:w="40" w:type="dxa"/>
              <w:left w:w="0" w:type="dxa"/>
              <w:bottom w:w="40" w:type="dxa"/>
              <w:right w:w="20" w:type="dxa"/>
            </w:tcMar>
            <w:vAlign w:val="bottom"/>
          </w:tcPr>
          <w:p w14:paraId="71D45162" w14:textId="77777777" w:rsidR="006A3667" w:rsidRDefault="006A3667">
            <w:pPr>
              <w:jc w:val="right"/>
              <w:rPr>
                <w:rFonts w:ascii="宋体"/>
              </w:rPr>
            </w:pPr>
          </w:p>
        </w:tc>
      </w:tr>
      <w:tr w:rsidR="006A3667" w14:paraId="71D45174" w14:textId="77777777">
        <w:trPr>
          <w:hidden/>
        </w:trPr>
        <w:tc>
          <w:tcPr>
            <w:tcW w:w="0" w:type="auto"/>
            <w:gridSpan w:val="3"/>
            <w:shd w:val="clear" w:color="auto" w:fill="auto"/>
            <w:vAlign w:val="bottom"/>
          </w:tcPr>
          <w:p w14:paraId="71D45164" w14:textId="77777777" w:rsidR="006A3667" w:rsidRDefault="006A3667">
            <w:pPr>
              <w:rPr>
                <w:rFonts w:ascii="宋体"/>
                <w:vanish/>
              </w:rPr>
            </w:pPr>
          </w:p>
        </w:tc>
        <w:tc>
          <w:tcPr>
            <w:tcW w:w="0" w:type="auto"/>
            <w:gridSpan w:val="3"/>
            <w:shd w:val="clear" w:color="auto" w:fill="auto"/>
            <w:vAlign w:val="bottom"/>
          </w:tcPr>
          <w:p w14:paraId="71D45165" w14:textId="77777777" w:rsidR="006A3667" w:rsidRDefault="006A3667">
            <w:pPr>
              <w:rPr>
                <w:rFonts w:ascii="宋体"/>
                <w:vanish/>
              </w:rPr>
            </w:pPr>
          </w:p>
        </w:tc>
        <w:tc>
          <w:tcPr>
            <w:tcW w:w="0" w:type="auto"/>
            <w:gridSpan w:val="3"/>
            <w:shd w:val="clear" w:color="auto" w:fill="auto"/>
            <w:vAlign w:val="bottom"/>
          </w:tcPr>
          <w:p w14:paraId="71D45166" w14:textId="77777777" w:rsidR="006A3667" w:rsidRDefault="006A3667">
            <w:pPr>
              <w:rPr>
                <w:rFonts w:ascii="宋体"/>
                <w:vanish/>
              </w:rPr>
            </w:pPr>
          </w:p>
        </w:tc>
        <w:tc>
          <w:tcPr>
            <w:tcW w:w="0" w:type="auto"/>
            <w:gridSpan w:val="3"/>
            <w:shd w:val="clear" w:color="auto" w:fill="auto"/>
            <w:vAlign w:val="bottom"/>
          </w:tcPr>
          <w:p w14:paraId="71D45167" w14:textId="77777777" w:rsidR="006A3667" w:rsidRDefault="006A3667">
            <w:pPr>
              <w:rPr>
                <w:rFonts w:ascii="宋体"/>
                <w:vanish/>
              </w:rPr>
            </w:pPr>
          </w:p>
        </w:tc>
        <w:tc>
          <w:tcPr>
            <w:tcW w:w="0" w:type="auto"/>
            <w:gridSpan w:val="3"/>
            <w:shd w:val="clear" w:color="auto" w:fill="auto"/>
            <w:vAlign w:val="bottom"/>
          </w:tcPr>
          <w:p w14:paraId="71D45168" w14:textId="77777777" w:rsidR="006A3667" w:rsidRDefault="006A3667">
            <w:pPr>
              <w:rPr>
                <w:rFonts w:ascii="宋体"/>
                <w:vanish/>
              </w:rPr>
            </w:pPr>
          </w:p>
        </w:tc>
        <w:tc>
          <w:tcPr>
            <w:tcW w:w="0" w:type="auto"/>
            <w:gridSpan w:val="3"/>
            <w:shd w:val="clear" w:color="auto" w:fill="auto"/>
            <w:vAlign w:val="bottom"/>
          </w:tcPr>
          <w:p w14:paraId="71D45169" w14:textId="77777777" w:rsidR="006A3667" w:rsidRDefault="006A3667">
            <w:pPr>
              <w:rPr>
                <w:rFonts w:ascii="宋体"/>
                <w:vanish/>
              </w:rPr>
            </w:pPr>
          </w:p>
        </w:tc>
        <w:tc>
          <w:tcPr>
            <w:tcW w:w="0" w:type="auto"/>
            <w:gridSpan w:val="3"/>
            <w:shd w:val="clear" w:color="auto" w:fill="auto"/>
            <w:vAlign w:val="bottom"/>
          </w:tcPr>
          <w:p w14:paraId="71D4516A" w14:textId="77777777" w:rsidR="006A3667" w:rsidRDefault="006A3667">
            <w:pPr>
              <w:rPr>
                <w:rFonts w:ascii="宋体"/>
                <w:vanish/>
              </w:rPr>
            </w:pPr>
          </w:p>
        </w:tc>
        <w:tc>
          <w:tcPr>
            <w:tcW w:w="0" w:type="auto"/>
            <w:gridSpan w:val="3"/>
            <w:shd w:val="clear" w:color="auto" w:fill="auto"/>
            <w:vAlign w:val="bottom"/>
          </w:tcPr>
          <w:p w14:paraId="71D4516B" w14:textId="77777777" w:rsidR="006A3667" w:rsidRDefault="006A3667">
            <w:pPr>
              <w:rPr>
                <w:rFonts w:ascii="宋体"/>
                <w:vanish/>
              </w:rPr>
            </w:pPr>
          </w:p>
        </w:tc>
        <w:tc>
          <w:tcPr>
            <w:tcW w:w="0" w:type="auto"/>
            <w:gridSpan w:val="3"/>
            <w:shd w:val="clear" w:color="auto" w:fill="auto"/>
            <w:vAlign w:val="bottom"/>
          </w:tcPr>
          <w:p w14:paraId="71D4516C" w14:textId="77777777" w:rsidR="006A3667" w:rsidRDefault="006A3667">
            <w:pPr>
              <w:rPr>
                <w:rFonts w:ascii="宋体"/>
                <w:vanish/>
              </w:rPr>
            </w:pPr>
          </w:p>
        </w:tc>
        <w:tc>
          <w:tcPr>
            <w:tcW w:w="0" w:type="auto"/>
            <w:gridSpan w:val="3"/>
            <w:shd w:val="clear" w:color="auto" w:fill="auto"/>
            <w:vAlign w:val="bottom"/>
          </w:tcPr>
          <w:p w14:paraId="71D4516D" w14:textId="77777777" w:rsidR="006A3667" w:rsidRDefault="006A3667">
            <w:pPr>
              <w:rPr>
                <w:rFonts w:ascii="宋体"/>
                <w:vanish/>
              </w:rPr>
            </w:pPr>
          </w:p>
        </w:tc>
        <w:tc>
          <w:tcPr>
            <w:tcW w:w="0" w:type="auto"/>
            <w:gridSpan w:val="3"/>
            <w:shd w:val="clear" w:color="auto" w:fill="auto"/>
            <w:vAlign w:val="bottom"/>
          </w:tcPr>
          <w:p w14:paraId="71D4516E" w14:textId="77777777" w:rsidR="006A3667" w:rsidRDefault="006A3667">
            <w:pPr>
              <w:rPr>
                <w:rFonts w:ascii="宋体"/>
                <w:vanish/>
              </w:rPr>
            </w:pPr>
          </w:p>
        </w:tc>
        <w:tc>
          <w:tcPr>
            <w:tcW w:w="0" w:type="auto"/>
            <w:gridSpan w:val="3"/>
            <w:shd w:val="clear" w:color="auto" w:fill="auto"/>
            <w:vAlign w:val="bottom"/>
          </w:tcPr>
          <w:p w14:paraId="71D4516F" w14:textId="77777777" w:rsidR="006A3667" w:rsidRDefault="006A3667">
            <w:pPr>
              <w:rPr>
                <w:rFonts w:ascii="宋体"/>
                <w:vanish/>
              </w:rPr>
            </w:pPr>
          </w:p>
        </w:tc>
        <w:tc>
          <w:tcPr>
            <w:tcW w:w="0" w:type="auto"/>
            <w:gridSpan w:val="3"/>
            <w:shd w:val="clear" w:color="auto" w:fill="auto"/>
            <w:vAlign w:val="bottom"/>
          </w:tcPr>
          <w:p w14:paraId="71D45170" w14:textId="77777777" w:rsidR="006A3667" w:rsidRDefault="006A3667">
            <w:pPr>
              <w:rPr>
                <w:rFonts w:ascii="宋体"/>
                <w:vanish/>
              </w:rPr>
            </w:pPr>
          </w:p>
        </w:tc>
        <w:tc>
          <w:tcPr>
            <w:tcW w:w="0" w:type="auto"/>
            <w:gridSpan w:val="3"/>
            <w:shd w:val="clear" w:color="auto" w:fill="auto"/>
            <w:vAlign w:val="bottom"/>
          </w:tcPr>
          <w:p w14:paraId="71D45171" w14:textId="77777777" w:rsidR="006A3667" w:rsidRDefault="006A3667">
            <w:pPr>
              <w:rPr>
                <w:rFonts w:ascii="宋体"/>
                <w:vanish/>
              </w:rPr>
            </w:pPr>
          </w:p>
        </w:tc>
        <w:tc>
          <w:tcPr>
            <w:tcW w:w="0" w:type="auto"/>
            <w:gridSpan w:val="3"/>
            <w:shd w:val="clear" w:color="auto" w:fill="auto"/>
            <w:vAlign w:val="bottom"/>
          </w:tcPr>
          <w:p w14:paraId="71D45172" w14:textId="77777777" w:rsidR="006A3667" w:rsidRDefault="006A3667">
            <w:pPr>
              <w:rPr>
                <w:rFonts w:ascii="宋体"/>
                <w:vanish/>
              </w:rPr>
            </w:pPr>
          </w:p>
        </w:tc>
        <w:tc>
          <w:tcPr>
            <w:tcW w:w="0" w:type="auto"/>
            <w:gridSpan w:val="3"/>
            <w:shd w:val="clear" w:color="auto" w:fill="auto"/>
            <w:vAlign w:val="bottom"/>
          </w:tcPr>
          <w:p w14:paraId="71D45173" w14:textId="77777777" w:rsidR="006A3667" w:rsidRDefault="006A3667">
            <w:pPr>
              <w:rPr>
                <w:rFonts w:ascii="宋体"/>
                <w:vanish/>
              </w:rPr>
            </w:pPr>
          </w:p>
        </w:tc>
      </w:tr>
      <w:tr w:rsidR="006A3667" w14:paraId="71D4518D" w14:textId="77777777">
        <w:tc>
          <w:tcPr>
            <w:tcW w:w="0" w:type="auto"/>
            <w:gridSpan w:val="3"/>
            <w:shd w:val="clear" w:color="auto" w:fill="CCEEFF"/>
            <w:tcMar>
              <w:top w:w="40" w:type="dxa"/>
              <w:left w:w="20" w:type="dxa"/>
              <w:bottom w:w="40" w:type="dxa"/>
              <w:right w:w="20" w:type="dxa"/>
            </w:tcMar>
            <w:vAlign w:val="bottom"/>
          </w:tcPr>
          <w:p w14:paraId="71D45175" w14:textId="77777777" w:rsidR="006A3667" w:rsidRDefault="00045F32">
            <w:pPr>
              <w:textAlignment w:val="bottom"/>
            </w:pPr>
            <w:r>
              <w:rPr>
                <w:rFonts w:ascii="Arial" w:eastAsia="宋体" w:hAnsi="Arial" w:cs="Arial"/>
                <w:color w:val="000000"/>
                <w:sz w:val="15"/>
                <w:szCs w:val="15"/>
              </w:rPr>
              <w:t>Other U.S. debt securities</w:t>
            </w:r>
            <w:r>
              <w:rPr>
                <w:rFonts w:ascii="Arial" w:eastAsia="宋体" w:hAnsi="Arial" w:cs="Arial"/>
                <w:color w:val="000000"/>
                <w:sz w:val="9"/>
                <w:szCs w:val="9"/>
              </w:rPr>
              <w:t>(6)</w:t>
            </w:r>
          </w:p>
        </w:tc>
        <w:tc>
          <w:tcPr>
            <w:tcW w:w="0" w:type="auto"/>
            <w:gridSpan w:val="2"/>
            <w:shd w:val="clear" w:color="auto" w:fill="CCEEFF"/>
            <w:tcMar>
              <w:top w:w="40" w:type="dxa"/>
              <w:left w:w="20" w:type="dxa"/>
              <w:bottom w:w="40" w:type="dxa"/>
              <w:right w:w="0" w:type="dxa"/>
            </w:tcMar>
            <w:vAlign w:val="bottom"/>
          </w:tcPr>
          <w:p w14:paraId="71D45176" w14:textId="77777777" w:rsidR="006A3667" w:rsidRDefault="00045F32">
            <w:pPr>
              <w:jc w:val="right"/>
              <w:textAlignment w:val="bottom"/>
            </w:pPr>
            <w:r>
              <w:rPr>
                <w:rFonts w:ascii="Arial" w:eastAsia="宋体" w:hAnsi="Arial" w:cs="Arial"/>
                <w:b/>
                <w:bCs/>
                <w:color w:val="000000"/>
                <w:sz w:val="15"/>
                <w:szCs w:val="15"/>
              </w:rPr>
              <w:t>1,073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1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17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179"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1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17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17C" w14:textId="77777777" w:rsidR="006A3667" w:rsidRDefault="00045F32">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1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17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17F" w14:textId="77777777" w:rsidR="006A3667" w:rsidRDefault="00045F32">
            <w:pPr>
              <w:jc w:val="right"/>
              <w:textAlignment w:val="bottom"/>
            </w:pPr>
            <w:r>
              <w:rPr>
                <w:rFonts w:ascii="Arial" w:eastAsia="宋体" w:hAnsi="Arial" w:cs="Arial"/>
                <w:b/>
                <w:bCs/>
                <w:color w:val="000000"/>
                <w:sz w:val="15"/>
                <w:szCs w:val="15"/>
              </w:rPr>
              <w:t>990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1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18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182" w14:textId="77777777" w:rsidR="006A3667" w:rsidRDefault="00045F32">
            <w:pPr>
              <w:jc w:val="right"/>
              <w:textAlignment w:val="bottom"/>
            </w:pPr>
            <w:r>
              <w:rPr>
                <w:rFonts w:ascii="Arial" w:eastAsia="宋体" w:hAnsi="Arial" w:cs="Arial"/>
                <w:color w:val="000000"/>
                <w:sz w:val="15"/>
                <w:szCs w:val="15"/>
              </w:rPr>
              <w:t>2,734 </w:t>
            </w:r>
          </w:p>
        </w:tc>
        <w:tc>
          <w:tcPr>
            <w:tcW w:w="0" w:type="auto"/>
            <w:shd w:val="clear" w:color="auto" w:fill="CCEEFF"/>
            <w:tcMar>
              <w:top w:w="40" w:type="dxa"/>
              <w:left w:w="0" w:type="dxa"/>
              <w:bottom w:w="40" w:type="dxa"/>
              <w:right w:w="20" w:type="dxa"/>
            </w:tcMar>
            <w:vAlign w:val="bottom"/>
          </w:tcPr>
          <w:p w14:paraId="71D4518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18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185" w14:textId="77777777" w:rsidR="006A3667" w:rsidRDefault="00045F32">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71D451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1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188" w14:textId="77777777" w:rsidR="006A3667" w:rsidRDefault="00045F32">
            <w:pPr>
              <w:jc w:val="right"/>
              <w:textAlignment w:val="bottom"/>
            </w:pPr>
            <w:r>
              <w:rPr>
                <w:rFonts w:ascii="Arial" w:eastAsia="宋体" w:hAnsi="Arial" w:cs="Arial"/>
                <w:color w:val="000000"/>
                <w:sz w:val="15"/>
                <w:szCs w:val="15"/>
              </w:rPr>
              <w:t>13 </w:t>
            </w:r>
          </w:p>
        </w:tc>
        <w:tc>
          <w:tcPr>
            <w:tcW w:w="0" w:type="auto"/>
            <w:shd w:val="clear" w:color="auto" w:fill="CCEEFF"/>
            <w:tcMar>
              <w:top w:w="40" w:type="dxa"/>
              <w:left w:w="0" w:type="dxa"/>
              <w:bottom w:w="40" w:type="dxa"/>
              <w:right w:w="20" w:type="dxa"/>
            </w:tcMar>
            <w:vAlign w:val="bottom"/>
          </w:tcPr>
          <w:p w14:paraId="71D451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1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18B" w14:textId="77777777" w:rsidR="006A3667" w:rsidRDefault="00045F32">
            <w:pPr>
              <w:jc w:val="right"/>
              <w:textAlignment w:val="bottom"/>
            </w:pPr>
            <w:r>
              <w:rPr>
                <w:rFonts w:ascii="Arial" w:eastAsia="宋体" w:hAnsi="Arial" w:cs="Arial"/>
                <w:color w:val="000000"/>
                <w:sz w:val="15"/>
                <w:szCs w:val="15"/>
              </w:rPr>
              <w:t>2,744 </w:t>
            </w:r>
          </w:p>
        </w:tc>
        <w:tc>
          <w:tcPr>
            <w:tcW w:w="0" w:type="auto"/>
            <w:shd w:val="clear" w:color="auto" w:fill="CCEEFF"/>
            <w:tcMar>
              <w:top w:w="40" w:type="dxa"/>
              <w:left w:w="0" w:type="dxa"/>
              <w:bottom w:w="40" w:type="dxa"/>
              <w:right w:w="20" w:type="dxa"/>
            </w:tcMar>
            <w:vAlign w:val="bottom"/>
          </w:tcPr>
          <w:p w14:paraId="71D4518C" w14:textId="77777777" w:rsidR="006A3667" w:rsidRDefault="006A3667">
            <w:pPr>
              <w:jc w:val="right"/>
              <w:rPr>
                <w:rFonts w:ascii="宋体"/>
              </w:rPr>
            </w:pPr>
          </w:p>
        </w:tc>
      </w:tr>
      <w:tr w:rsidR="006A3667" w14:paraId="71D4519E" w14:textId="77777777">
        <w:trPr>
          <w:hidden/>
        </w:trPr>
        <w:tc>
          <w:tcPr>
            <w:tcW w:w="0" w:type="auto"/>
            <w:gridSpan w:val="3"/>
            <w:shd w:val="clear" w:color="auto" w:fill="auto"/>
            <w:vAlign w:val="bottom"/>
          </w:tcPr>
          <w:p w14:paraId="71D4518E" w14:textId="77777777" w:rsidR="006A3667" w:rsidRDefault="006A3667">
            <w:pPr>
              <w:rPr>
                <w:rFonts w:ascii="宋体"/>
                <w:vanish/>
              </w:rPr>
            </w:pPr>
          </w:p>
        </w:tc>
        <w:tc>
          <w:tcPr>
            <w:tcW w:w="0" w:type="auto"/>
            <w:gridSpan w:val="3"/>
            <w:shd w:val="clear" w:color="auto" w:fill="auto"/>
            <w:vAlign w:val="bottom"/>
          </w:tcPr>
          <w:p w14:paraId="71D4518F" w14:textId="77777777" w:rsidR="006A3667" w:rsidRDefault="006A3667">
            <w:pPr>
              <w:rPr>
                <w:rFonts w:ascii="宋体"/>
                <w:vanish/>
              </w:rPr>
            </w:pPr>
          </w:p>
        </w:tc>
        <w:tc>
          <w:tcPr>
            <w:tcW w:w="0" w:type="auto"/>
            <w:gridSpan w:val="3"/>
            <w:shd w:val="clear" w:color="auto" w:fill="auto"/>
            <w:vAlign w:val="bottom"/>
          </w:tcPr>
          <w:p w14:paraId="71D45190" w14:textId="77777777" w:rsidR="006A3667" w:rsidRDefault="006A3667">
            <w:pPr>
              <w:rPr>
                <w:rFonts w:ascii="宋体"/>
                <w:vanish/>
              </w:rPr>
            </w:pPr>
          </w:p>
        </w:tc>
        <w:tc>
          <w:tcPr>
            <w:tcW w:w="0" w:type="auto"/>
            <w:gridSpan w:val="3"/>
            <w:shd w:val="clear" w:color="auto" w:fill="auto"/>
            <w:vAlign w:val="bottom"/>
          </w:tcPr>
          <w:p w14:paraId="71D45191" w14:textId="77777777" w:rsidR="006A3667" w:rsidRDefault="006A3667">
            <w:pPr>
              <w:rPr>
                <w:rFonts w:ascii="宋体"/>
                <w:vanish/>
              </w:rPr>
            </w:pPr>
          </w:p>
        </w:tc>
        <w:tc>
          <w:tcPr>
            <w:tcW w:w="0" w:type="auto"/>
            <w:gridSpan w:val="3"/>
            <w:shd w:val="clear" w:color="auto" w:fill="auto"/>
            <w:vAlign w:val="bottom"/>
          </w:tcPr>
          <w:p w14:paraId="71D45192" w14:textId="77777777" w:rsidR="006A3667" w:rsidRDefault="006A3667">
            <w:pPr>
              <w:rPr>
                <w:rFonts w:ascii="宋体"/>
                <w:vanish/>
              </w:rPr>
            </w:pPr>
          </w:p>
        </w:tc>
        <w:tc>
          <w:tcPr>
            <w:tcW w:w="0" w:type="auto"/>
            <w:gridSpan w:val="3"/>
            <w:shd w:val="clear" w:color="auto" w:fill="auto"/>
            <w:vAlign w:val="bottom"/>
          </w:tcPr>
          <w:p w14:paraId="71D45193" w14:textId="77777777" w:rsidR="006A3667" w:rsidRDefault="006A3667">
            <w:pPr>
              <w:rPr>
                <w:rFonts w:ascii="宋体"/>
                <w:vanish/>
              </w:rPr>
            </w:pPr>
          </w:p>
        </w:tc>
        <w:tc>
          <w:tcPr>
            <w:tcW w:w="0" w:type="auto"/>
            <w:gridSpan w:val="3"/>
            <w:shd w:val="clear" w:color="auto" w:fill="auto"/>
            <w:vAlign w:val="bottom"/>
          </w:tcPr>
          <w:p w14:paraId="71D45194" w14:textId="77777777" w:rsidR="006A3667" w:rsidRDefault="006A3667">
            <w:pPr>
              <w:rPr>
                <w:rFonts w:ascii="宋体"/>
                <w:vanish/>
              </w:rPr>
            </w:pPr>
          </w:p>
        </w:tc>
        <w:tc>
          <w:tcPr>
            <w:tcW w:w="0" w:type="auto"/>
            <w:gridSpan w:val="3"/>
            <w:shd w:val="clear" w:color="auto" w:fill="auto"/>
            <w:vAlign w:val="bottom"/>
          </w:tcPr>
          <w:p w14:paraId="71D45195" w14:textId="77777777" w:rsidR="006A3667" w:rsidRDefault="006A3667">
            <w:pPr>
              <w:rPr>
                <w:rFonts w:ascii="宋体"/>
                <w:vanish/>
              </w:rPr>
            </w:pPr>
          </w:p>
        </w:tc>
        <w:tc>
          <w:tcPr>
            <w:tcW w:w="0" w:type="auto"/>
            <w:gridSpan w:val="3"/>
            <w:shd w:val="clear" w:color="auto" w:fill="auto"/>
            <w:vAlign w:val="bottom"/>
          </w:tcPr>
          <w:p w14:paraId="71D45196" w14:textId="77777777" w:rsidR="006A3667" w:rsidRDefault="006A3667">
            <w:pPr>
              <w:rPr>
                <w:rFonts w:ascii="宋体"/>
                <w:vanish/>
              </w:rPr>
            </w:pPr>
          </w:p>
        </w:tc>
        <w:tc>
          <w:tcPr>
            <w:tcW w:w="0" w:type="auto"/>
            <w:gridSpan w:val="3"/>
            <w:shd w:val="clear" w:color="auto" w:fill="auto"/>
            <w:vAlign w:val="bottom"/>
          </w:tcPr>
          <w:p w14:paraId="71D45197" w14:textId="77777777" w:rsidR="006A3667" w:rsidRDefault="006A3667">
            <w:pPr>
              <w:rPr>
                <w:rFonts w:ascii="宋体"/>
                <w:vanish/>
              </w:rPr>
            </w:pPr>
          </w:p>
        </w:tc>
        <w:tc>
          <w:tcPr>
            <w:tcW w:w="0" w:type="auto"/>
            <w:gridSpan w:val="3"/>
            <w:shd w:val="clear" w:color="auto" w:fill="auto"/>
            <w:vAlign w:val="bottom"/>
          </w:tcPr>
          <w:p w14:paraId="71D45198" w14:textId="77777777" w:rsidR="006A3667" w:rsidRDefault="006A3667">
            <w:pPr>
              <w:rPr>
                <w:rFonts w:ascii="宋体"/>
                <w:vanish/>
              </w:rPr>
            </w:pPr>
          </w:p>
        </w:tc>
        <w:tc>
          <w:tcPr>
            <w:tcW w:w="0" w:type="auto"/>
            <w:gridSpan w:val="3"/>
            <w:shd w:val="clear" w:color="auto" w:fill="auto"/>
            <w:vAlign w:val="bottom"/>
          </w:tcPr>
          <w:p w14:paraId="71D45199" w14:textId="77777777" w:rsidR="006A3667" w:rsidRDefault="006A3667">
            <w:pPr>
              <w:rPr>
                <w:rFonts w:ascii="宋体"/>
                <w:vanish/>
              </w:rPr>
            </w:pPr>
          </w:p>
        </w:tc>
        <w:tc>
          <w:tcPr>
            <w:tcW w:w="0" w:type="auto"/>
            <w:gridSpan w:val="3"/>
            <w:shd w:val="clear" w:color="auto" w:fill="auto"/>
            <w:vAlign w:val="bottom"/>
          </w:tcPr>
          <w:p w14:paraId="71D4519A" w14:textId="77777777" w:rsidR="006A3667" w:rsidRDefault="006A3667">
            <w:pPr>
              <w:rPr>
                <w:rFonts w:ascii="宋体"/>
                <w:vanish/>
              </w:rPr>
            </w:pPr>
          </w:p>
        </w:tc>
        <w:tc>
          <w:tcPr>
            <w:tcW w:w="0" w:type="auto"/>
            <w:gridSpan w:val="3"/>
            <w:shd w:val="clear" w:color="auto" w:fill="auto"/>
            <w:vAlign w:val="bottom"/>
          </w:tcPr>
          <w:p w14:paraId="71D4519B" w14:textId="77777777" w:rsidR="006A3667" w:rsidRDefault="006A3667">
            <w:pPr>
              <w:rPr>
                <w:rFonts w:ascii="宋体"/>
                <w:vanish/>
              </w:rPr>
            </w:pPr>
          </w:p>
        </w:tc>
        <w:tc>
          <w:tcPr>
            <w:tcW w:w="0" w:type="auto"/>
            <w:gridSpan w:val="3"/>
            <w:shd w:val="clear" w:color="auto" w:fill="auto"/>
            <w:vAlign w:val="bottom"/>
          </w:tcPr>
          <w:p w14:paraId="71D4519C" w14:textId="77777777" w:rsidR="006A3667" w:rsidRDefault="006A3667">
            <w:pPr>
              <w:rPr>
                <w:rFonts w:ascii="宋体"/>
                <w:vanish/>
              </w:rPr>
            </w:pPr>
          </w:p>
        </w:tc>
        <w:tc>
          <w:tcPr>
            <w:tcW w:w="0" w:type="auto"/>
            <w:gridSpan w:val="3"/>
            <w:shd w:val="clear" w:color="auto" w:fill="auto"/>
            <w:vAlign w:val="bottom"/>
          </w:tcPr>
          <w:p w14:paraId="71D4519D" w14:textId="77777777" w:rsidR="006A3667" w:rsidRDefault="006A3667">
            <w:pPr>
              <w:rPr>
                <w:rFonts w:ascii="宋体"/>
                <w:vanish/>
              </w:rPr>
            </w:pPr>
          </w:p>
        </w:tc>
      </w:tr>
      <w:tr w:rsidR="006A3667" w14:paraId="71D451AF" w14:textId="77777777">
        <w:trPr>
          <w:hidden/>
        </w:trPr>
        <w:tc>
          <w:tcPr>
            <w:tcW w:w="0" w:type="auto"/>
            <w:gridSpan w:val="3"/>
            <w:shd w:val="clear" w:color="auto" w:fill="auto"/>
            <w:vAlign w:val="bottom"/>
          </w:tcPr>
          <w:p w14:paraId="71D4519F" w14:textId="77777777" w:rsidR="006A3667" w:rsidRDefault="006A3667">
            <w:pPr>
              <w:rPr>
                <w:rFonts w:ascii="宋体"/>
                <w:vanish/>
              </w:rPr>
            </w:pPr>
          </w:p>
        </w:tc>
        <w:tc>
          <w:tcPr>
            <w:tcW w:w="0" w:type="auto"/>
            <w:gridSpan w:val="3"/>
            <w:shd w:val="clear" w:color="auto" w:fill="auto"/>
            <w:vAlign w:val="bottom"/>
          </w:tcPr>
          <w:p w14:paraId="71D451A0" w14:textId="77777777" w:rsidR="006A3667" w:rsidRDefault="006A3667">
            <w:pPr>
              <w:rPr>
                <w:rFonts w:ascii="宋体"/>
                <w:vanish/>
              </w:rPr>
            </w:pPr>
          </w:p>
        </w:tc>
        <w:tc>
          <w:tcPr>
            <w:tcW w:w="0" w:type="auto"/>
            <w:gridSpan w:val="3"/>
            <w:shd w:val="clear" w:color="auto" w:fill="auto"/>
            <w:vAlign w:val="bottom"/>
          </w:tcPr>
          <w:p w14:paraId="71D451A1" w14:textId="77777777" w:rsidR="006A3667" w:rsidRDefault="006A3667">
            <w:pPr>
              <w:rPr>
                <w:rFonts w:ascii="宋体"/>
                <w:vanish/>
              </w:rPr>
            </w:pPr>
          </w:p>
        </w:tc>
        <w:tc>
          <w:tcPr>
            <w:tcW w:w="0" w:type="auto"/>
            <w:gridSpan w:val="3"/>
            <w:shd w:val="clear" w:color="auto" w:fill="auto"/>
            <w:vAlign w:val="bottom"/>
          </w:tcPr>
          <w:p w14:paraId="71D451A2" w14:textId="77777777" w:rsidR="006A3667" w:rsidRDefault="006A3667">
            <w:pPr>
              <w:rPr>
                <w:rFonts w:ascii="宋体"/>
                <w:vanish/>
              </w:rPr>
            </w:pPr>
          </w:p>
        </w:tc>
        <w:tc>
          <w:tcPr>
            <w:tcW w:w="0" w:type="auto"/>
            <w:gridSpan w:val="3"/>
            <w:shd w:val="clear" w:color="auto" w:fill="auto"/>
            <w:vAlign w:val="bottom"/>
          </w:tcPr>
          <w:p w14:paraId="71D451A3" w14:textId="77777777" w:rsidR="006A3667" w:rsidRDefault="006A3667">
            <w:pPr>
              <w:rPr>
                <w:rFonts w:ascii="宋体"/>
                <w:vanish/>
              </w:rPr>
            </w:pPr>
          </w:p>
        </w:tc>
        <w:tc>
          <w:tcPr>
            <w:tcW w:w="0" w:type="auto"/>
            <w:gridSpan w:val="3"/>
            <w:shd w:val="clear" w:color="auto" w:fill="auto"/>
            <w:vAlign w:val="bottom"/>
          </w:tcPr>
          <w:p w14:paraId="71D451A4" w14:textId="77777777" w:rsidR="006A3667" w:rsidRDefault="006A3667">
            <w:pPr>
              <w:rPr>
                <w:rFonts w:ascii="宋体"/>
                <w:vanish/>
              </w:rPr>
            </w:pPr>
          </w:p>
        </w:tc>
        <w:tc>
          <w:tcPr>
            <w:tcW w:w="0" w:type="auto"/>
            <w:gridSpan w:val="3"/>
            <w:shd w:val="clear" w:color="auto" w:fill="auto"/>
            <w:vAlign w:val="bottom"/>
          </w:tcPr>
          <w:p w14:paraId="71D451A5" w14:textId="77777777" w:rsidR="006A3667" w:rsidRDefault="006A3667">
            <w:pPr>
              <w:rPr>
                <w:rFonts w:ascii="宋体"/>
                <w:vanish/>
              </w:rPr>
            </w:pPr>
          </w:p>
        </w:tc>
        <w:tc>
          <w:tcPr>
            <w:tcW w:w="0" w:type="auto"/>
            <w:gridSpan w:val="3"/>
            <w:shd w:val="clear" w:color="auto" w:fill="auto"/>
            <w:vAlign w:val="bottom"/>
          </w:tcPr>
          <w:p w14:paraId="71D451A6" w14:textId="77777777" w:rsidR="006A3667" w:rsidRDefault="006A3667">
            <w:pPr>
              <w:rPr>
                <w:rFonts w:ascii="宋体"/>
                <w:vanish/>
              </w:rPr>
            </w:pPr>
          </w:p>
        </w:tc>
        <w:tc>
          <w:tcPr>
            <w:tcW w:w="0" w:type="auto"/>
            <w:gridSpan w:val="3"/>
            <w:shd w:val="clear" w:color="auto" w:fill="auto"/>
            <w:vAlign w:val="bottom"/>
          </w:tcPr>
          <w:p w14:paraId="71D451A7" w14:textId="77777777" w:rsidR="006A3667" w:rsidRDefault="006A3667">
            <w:pPr>
              <w:rPr>
                <w:rFonts w:ascii="宋体"/>
                <w:vanish/>
              </w:rPr>
            </w:pPr>
          </w:p>
        </w:tc>
        <w:tc>
          <w:tcPr>
            <w:tcW w:w="0" w:type="auto"/>
            <w:gridSpan w:val="3"/>
            <w:shd w:val="clear" w:color="auto" w:fill="auto"/>
            <w:vAlign w:val="bottom"/>
          </w:tcPr>
          <w:p w14:paraId="71D451A8" w14:textId="77777777" w:rsidR="006A3667" w:rsidRDefault="006A3667">
            <w:pPr>
              <w:rPr>
                <w:rFonts w:ascii="宋体"/>
                <w:vanish/>
              </w:rPr>
            </w:pPr>
          </w:p>
        </w:tc>
        <w:tc>
          <w:tcPr>
            <w:tcW w:w="0" w:type="auto"/>
            <w:gridSpan w:val="3"/>
            <w:shd w:val="clear" w:color="auto" w:fill="auto"/>
            <w:vAlign w:val="bottom"/>
          </w:tcPr>
          <w:p w14:paraId="71D451A9" w14:textId="77777777" w:rsidR="006A3667" w:rsidRDefault="006A3667">
            <w:pPr>
              <w:rPr>
                <w:rFonts w:ascii="宋体"/>
                <w:vanish/>
              </w:rPr>
            </w:pPr>
          </w:p>
        </w:tc>
        <w:tc>
          <w:tcPr>
            <w:tcW w:w="0" w:type="auto"/>
            <w:gridSpan w:val="3"/>
            <w:shd w:val="clear" w:color="auto" w:fill="auto"/>
            <w:vAlign w:val="bottom"/>
          </w:tcPr>
          <w:p w14:paraId="71D451AA" w14:textId="77777777" w:rsidR="006A3667" w:rsidRDefault="006A3667">
            <w:pPr>
              <w:rPr>
                <w:rFonts w:ascii="宋体"/>
                <w:vanish/>
              </w:rPr>
            </w:pPr>
          </w:p>
        </w:tc>
        <w:tc>
          <w:tcPr>
            <w:tcW w:w="0" w:type="auto"/>
            <w:gridSpan w:val="3"/>
            <w:shd w:val="clear" w:color="auto" w:fill="auto"/>
            <w:vAlign w:val="bottom"/>
          </w:tcPr>
          <w:p w14:paraId="71D451AB" w14:textId="77777777" w:rsidR="006A3667" w:rsidRDefault="006A3667">
            <w:pPr>
              <w:rPr>
                <w:rFonts w:ascii="宋体"/>
                <w:vanish/>
              </w:rPr>
            </w:pPr>
          </w:p>
        </w:tc>
        <w:tc>
          <w:tcPr>
            <w:tcW w:w="0" w:type="auto"/>
            <w:gridSpan w:val="3"/>
            <w:shd w:val="clear" w:color="auto" w:fill="auto"/>
            <w:vAlign w:val="bottom"/>
          </w:tcPr>
          <w:p w14:paraId="71D451AC" w14:textId="77777777" w:rsidR="006A3667" w:rsidRDefault="006A3667">
            <w:pPr>
              <w:rPr>
                <w:rFonts w:ascii="宋体"/>
                <w:vanish/>
              </w:rPr>
            </w:pPr>
          </w:p>
        </w:tc>
        <w:tc>
          <w:tcPr>
            <w:tcW w:w="0" w:type="auto"/>
            <w:gridSpan w:val="3"/>
            <w:shd w:val="clear" w:color="auto" w:fill="auto"/>
            <w:vAlign w:val="bottom"/>
          </w:tcPr>
          <w:p w14:paraId="71D451AD" w14:textId="77777777" w:rsidR="006A3667" w:rsidRDefault="006A3667">
            <w:pPr>
              <w:rPr>
                <w:rFonts w:ascii="宋体"/>
                <w:vanish/>
              </w:rPr>
            </w:pPr>
          </w:p>
        </w:tc>
        <w:tc>
          <w:tcPr>
            <w:tcW w:w="0" w:type="auto"/>
            <w:gridSpan w:val="3"/>
            <w:shd w:val="clear" w:color="auto" w:fill="auto"/>
            <w:vAlign w:val="bottom"/>
          </w:tcPr>
          <w:p w14:paraId="71D451AE" w14:textId="77777777" w:rsidR="006A3667" w:rsidRDefault="006A3667">
            <w:pPr>
              <w:rPr>
                <w:rFonts w:ascii="宋体"/>
                <w:vanish/>
              </w:rPr>
            </w:pPr>
          </w:p>
        </w:tc>
      </w:tr>
      <w:tr w:rsidR="006A3667" w14:paraId="71D451C0" w14:textId="77777777">
        <w:trPr>
          <w:hidden/>
        </w:trPr>
        <w:tc>
          <w:tcPr>
            <w:tcW w:w="0" w:type="auto"/>
            <w:gridSpan w:val="3"/>
            <w:shd w:val="clear" w:color="auto" w:fill="auto"/>
            <w:vAlign w:val="bottom"/>
          </w:tcPr>
          <w:p w14:paraId="71D451B0" w14:textId="77777777" w:rsidR="006A3667" w:rsidRDefault="006A3667">
            <w:pPr>
              <w:rPr>
                <w:rFonts w:ascii="宋体"/>
                <w:vanish/>
              </w:rPr>
            </w:pPr>
          </w:p>
        </w:tc>
        <w:tc>
          <w:tcPr>
            <w:tcW w:w="0" w:type="auto"/>
            <w:gridSpan w:val="3"/>
            <w:shd w:val="clear" w:color="auto" w:fill="auto"/>
            <w:vAlign w:val="bottom"/>
          </w:tcPr>
          <w:p w14:paraId="71D451B1" w14:textId="77777777" w:rsidR="006A3667" w:rsidRDefault="006A3667">
            <w:pPr>
              <w:rPr>
                <w:rFonts w:ascii="宋体"/>
                <w:vanish/>
              </w:rPr>
            </w:pPr>
          </w:p>
        </w:tc>
        <w:tc>
          <w:tcPr>
            <w:tcW w:w="0" w:type="auto"/>
            <w:gridSpan w:val="3"/>
            <w:shd w:val="clear" w:color="auto" w:fill="auto"/>
            <w:vAlign w:val="bottom"/>
          </w:tcPr>
          <w:p w14:paraId="71D451B2" w14:textId="77777777" w:rsidR="006A3667" w:rsidRDefault="006A3667">
            <w:pPr>
              <w:rPr>
                <w:rFonts w:ascii="宋体"/>
                <w:vanish/>
              </w:rPr>
            </w:pPr>
          </w:p>
        </w:tc>
        <w:tc>
          <w:tcPr>
            <w:tcW w:w="0" w:type="auto"/>
            <w:gridSpan w:val="3"/>
            <w:shd w:val="clear" w:color="auto" w:fill="auto"/>
            <w:vAlign w:val="bottom"/>
          </w:tcPr>
          <w:p w14:paraId="71D451B3" w14:textId="77777777" w:rsidR="006A3667" w:rsidRDefault="006A3667">
            <w:pPr>
              <w:rPr>
                <w:rFonts w:ascii="宋体"/>
                <w:vanish/>
              </w:rPr>
            </w:pPr>
          </w:p>
        </w:tc>
        <w:tc>
          <w:tcPr>
            <w:tcW w:w="0" w:type="auto"/>
            <w:gridSpan w:val="3"/>
            <w:shd w:val="clear" w:color="auto" w:fill="auto"/>
            <w:vAlign w:val="bottom"/>
          </w:tcPr>
          <w:p w14:paraId="71D451B4" w14:textId="77777777" w:rsidR="006A3667" w:rsidRDefault="006A3667">
            <w:pPr>
              <w:rPr>
                <w:rFonts w:ascii="宋体"/>
                <w:vanish/>
              </w:rPr>
            </w:pPr>
          </w:p>
        </w:tc>
        <w:tc>
          <w:tcPr>
            <w:tcW w:w="0" w:type="auto"/>
            <w:gridSpan w:val="3"/>
            <w:shd w:val="clear" w:color="auto" w:fill="auto"/>
            <w:vAlign w:val="bottom"/>
          </w:tcPr>
          <w:p w14:paraId="71D451B5" w14:textId="77777777" w:rsidR="006A3667" w:rsidRDefault="006A3667">
            <w:pPr>
              <w:rPr>
                <w:rFonts w:ascii="宋体"/>
                <w:vanish/>
              </w:rPr>
            </w:pPr>
          </w:p>
        </w:tc>
        <w:tc>
          <w:tcPr>
            <w:tcW w:w="0" w:type="auto"/>
            <w:gridSpan w:val="3"/>
            <w:shd w:val="clear" w:color="auto" w:fill="auto"/>
            <w:vAlign w:val="bottom"/>
          </w:tcPr>
          <w:p w14:paraId="71D451B6" w14:textId="77777777" w:rsidR="006A3667" w:rsidRDefault="006A3667">
            <w:pPr>
              <w:rPr>
                <w:rFonts w:ascii="宋体"/>
                <w:vanish/>
              </w:rPr>
            </w:pPr>
          </w:p>
        </w:tc>
        <w:tc>
          <w:tcPr>
            <w:tcW w:w="0" w:type="auto"/>
            <w:gridSpan w:val="3"/>
            <w:shd w:val="clear" w:color="auto" w:fill="auto"/>
            <w:vAlign w:val="bottom"/>
          </w:tcPr>
          <w:p w14:paraId="71D451B7" w14:textId="77777777" w:rsidR="006A3667" w:rsidRDefault="006A3667">
            <w:pPr>
              <w:rPr>
                <w:rFonts w:ascii="宋体"/>
                <w:vanish/>
              </w:rPr>
            </w:pPr>
          </w:p>
        </w:tc>
        <w:tc>
          <w:tcPr>
            <w:tcW w:w="0" w:type="auto"/>
            <w:gridSpan w:val="3"/>
            <w:shd w:val="clear" w:color="auto" w:fill="auto"/>
            <w:vAlign w:val="bottom"/>
          </w:tcPr>
          <w:p w14:paraId="71D451B8" w14:textId="77777777" w:rsidR="006A3667" w:rsidRDefault="006A3667">
            <w:pPr>
              <w:rPr>
                <w:rFonts w:ascii="宋体"/>
                <w:vanish/>
              </w:rPr>
            </w:pPr>
          </w:p>
        </w:tc>
        <w:tc>
          <w:tcPr>
            <w:tcW w:w="0" w:type="auto"/>
            <w:gridSpan w:val="3"/>
            <w:shd w:val="clear" w:color="auto" w:fill="auto"/>
            <w:vAlign w:val="bottom"/>
          </w:tcPr>
          <w:p w14:paraId="71D451B9" w14:textId="77777777" w:rsidR="006A3667" w:rsidRDefault="006A3667">
            <w:pPr>
              <w:rPr>
                <w:rFonts w:ascii="宋体"/>
                <w:vanish/>
              </w:rPr>
            </w:pPr>
          </w:p>
        </w:tc>
        <w:tc>
          <w:tcPr>
            <w:tcW w:w="0" w:type="auto"/>
            <w:gridSpan w:val="3"/>
            <w:shd w:val="clear" w:color="auto" w:fill="auto"/>
            <w:vAlign w:val="bottom"/>
          </w:tcPr>
          <w:p w14:paraId="71D451BA" w14:textId="77777777" w:rsidR="006A3667" w:rsidRDefault="006A3667">
            <w:pPr>
              <w:rPr>
                <w:rFonts w:ascii="宋体"/>
                <w:vanish/>
              </w:rPr>
            </w:pPr>
          </w:p>
        </w:tc>
        <w:tc>
          <w:tcPr>
            <w:tcW w:w="0" w:type="auto"/>
            <w:gridSpan w:val="3"/>
            <w:shd w:val="clear" w:color="auto" w:fill="auto"/>
            <w:vAlign w:val="bottom"/>
          </w:tcPr>
          <w:p w14:paraId="71D451BB" w14:textId="77777777" w:rsidR="006A3667" w:rsidRDefault="006A3667">
            <w:pPr>
              <w:rPr>
                <w:rFonts w:ascii="宋体"/>
                <w:vanish/>
              </w:rPr>
            </w:pPr>
          </w:p>
        </w:tc>
        <w:tc>
          <w:tcPr>
            <w:tcW w:w="0" w:type="auto"/>
            <w:gridSpan w:val="3"/>
            <w:shd w:val="clear" w:color="auto" w:fill="auto"/>
            <w:vAlign w:val="bottom"/>
          </w:tcPr>
          <w:p w14:paraId="71D451BC" w14:textId="77777777" w:rsidR="006A3667" w:rsidRDefault="006A3667">
            <w:pPr>
              <w:rPr>
                <w:rFonts w:ascii="宋体"/>
                <w:vanish/>
              </w:rPr>
            </w:pPr>
          </w:p>
        </w:tc>
        <w:tc>
          <w:tcPr>
            <w:tcW w:w="0" w:type="auto"/>
            <w:gridSpan w:val="3"/>
            <w:shd w:val="clear" w:color="auto" w:fill="auto"/>
            <w:vAlign w:val="bottom"/>
          </w:tcPr>
          <w:p w14:paraId="71D451BD" w14:textId="77777777" w:rsidR="006A3667" w:rsidRDefault="006A3667">
            <w:pPr>
              <w:rPr>
                <w:rFonts w:ascii="宋体"/>
                <w:vanish/>
              </w:rPr>
            </w:pPr>
          </w:p>
        </w:tc>
        <w:tc>
          <w:tcPr>
            <w:tcW w:w="0" w:type="auto"/>
            <w:gridSpan w:val="3"/>
            <w:shd w:val="clear" w:color="auto" w:fill="auto"/>
            <w:vAlign w:val="bottom"/>
          </w:tcPr>
          <w:p w14:paraId="71D451BE" w14:textId="77777777" w:rsidR="006A3667" w:rsidRDefault="006A3667">
            <w:pPr>
              <w:rPr>
                <w:rFonts w:ascii="宋体"/>
                <w:vanish/>
              </w:rPr>
            </w:pPr>
          </w:p>
        </w:tc>
        <w:tc>
          <w:tcPr>
            <w:tcW w:w="0" w:type="auto"/>
            <w:gridSpan w:val="3"/>
            <w:shd w:val="clear" w:color="auto" w:fill="auto"/>
            <w:vAlign w:val="bottom"/>
          </w:tcPr>
          <w:p w14:paraId="71D451BF" w14:textId="77777777" w:rsidR="006A3667" w:rsidRDefault="006A3667">
            <w:pPr>
              <w:rPr>
                <w:rFonts w:ascii="宋体"/>
                <w:vanish/>
              </w:rPr>
            </w:pPr>
          </w:p>
        </w:tc>
      </w:tr>
      <w:tr w:rsidR="006A3667" w14:paraId="71D451D1" w14:textId="77777777">
        <w:trPr>
          <w:hidden/>
        </w:trPr>
        <w:tc>
          <w:tcPr>
            <w:tcW w:w="0" w:type="auto"/>
            <w:gridSpan w:val="3"/>
            <w:shd w:val="clear" w:color="auto" w:fill="auto"/>
            <w:vAlign w:val="bottom"/>
          </w:tcPr>
          <w:p w14:paraId="71D451C1" w14:textId="77777777" w:rsidR="006A3667" w:rsidRDefault="006A3667">
            <w:pPr>
              <w:rPr>
                <w:rFonts w:ascii="宋体"/>
                <w:vanish/>
              </w:rPr>
            </w:pPr>
          </w:p>
        </w:tc>
        <w:tc>
          <w:tcPr>
            <w:tcW w:w="0" w:type="auto"/>
            <w:gridSpan w:val="3"/>
            <w:shd w:val="clear" w:color="auto" w:fill="auto"/>
            <w:vAlign w:val="bottom"/>
          </w:tcPr>
          <w:p w14:paraId="71D451C2" w14:textId="77777777" w:rsidR="006A3667" w:rsidRDefault="006A3667">
            <w:pPr>
              <w:rPr>
                <w:rFonts w:ascii="宋体"/>
                <w:vanish/>
              </w:rPr>
            </w:pPr>
          </w:p>
        </w:tc>
        <w:tc>
          <w:tcPr>
            <w:tcW w:w="0" w:type="auto"/>
            <w:gridSpan w:val="3"/>
            <w:shd w:val="clear" w:color="auto" w:fill="auto"/>
            <w:vAlign w:val="bottom"/>
          </w:tcPr>
          <w:p w14:paraId="71D451C3" w14:textId="77777777" w:rsidR="006A3667" w:rsidRDefault="006A3667">
            <w:pPr>
              <w:rPr>
                <w:rFonts w:ascii="宋体"/>
                <w:vanish/>
              </w:rPr>
            </w:pPr>
          </w:p>
        </w:tc>
        <w:tc>
          <w:tcPr>
            <w:tcW w:w="0" w:type="auto"/>
            <w:gridSpan w:val="3"/>
            <w:shd w:val="clear" w:color="auto" w:fill="auto"/>
            <w:vAlign w:val="bottom"/>
          </w:tcPr>
          <w:p w14:paraId="71D451C4" w14:textId="77777777" w:rsidR="006A3667" w:rsidRDefault="006A3667">
            <w:pPr>
              <w:rPr>
                <w:rFonts w:ascii="宋体"/>
                <w:vanish/>
              </w:rPr>
            </w:pPr>
          </w:p>
        </w:tc>
        <w:tc>
          <w:tcPr>
            <w:tcW w:w="0" w:type="auto"/>
            <w:gridSpan w:val="3"/>
            <w:shd w:val="clear" w:color="auto" w:fill="auto"/>
            <w:vAlign w:val="bottom"/>
          </w:tcPr>
          <w:p w14:paraId="71D451C5" w14:textId="77777777" w:rsidR="006A3667" w:rsidRDefault="006A3667">
            <w:pPr>
              <w:rPr>
                <w:rFonts w:ascii="宋体"/>
                <w:vanish/>
              </w:rPr>
            </w:pPr>
          </w:p>
        </w:tc>
        <w:tc>
          <w:tcPr>
            <w:tcW w:w="0" w:type="auto"/>
            <w:gridSpan w:val="3"/>
            <w:shd w:val="clear" w:color="auto" w:fill="auto"/>
            <w:vAlign w:val="bottom"/>
          </w:tcPr>
          <w:p w14:paraId="71D451C6" w14:textId="77777777" w:rsidR="006A3667" w:rsidRDefault="006A3667">
            <w:pPr>
              <w:rPr>
                <w:rFonts w:ascii="宋体"/>
                <w:vanish/>
              </w:rPr>
            </w:pPr>
          </w:p>
        </w:tc>
        <w:tc>
          <w:tcPr>
            <w:tcW w:w="0" w:type="auto"/>
            <w:gridSpan w:val="3"/>
            <w:shd w:val="clear" w:color="auto" w:fill="auto"/>
            <w:vAlign w:val="bottom"/>
          </w:tcPr>
          <w:p w14:paraId="71D451C7" w14:textId="77777777" w:rsidR="006A3667" w:rsidRDefault="006A3667">
            <w:pPr>
              <w:rPr>
                <w:rFonts w:ascii="宋体"/>
                <w:vanish/>
              </w:rPr>
            </w:pPr>
          </w:p>
        </w:tc>
        <w:tc>
          <w:tcPr>
            <w:tcW w:w="0" w:type="auto"/>
            <w:gridSpan w:val="3"/>
            <w:shd w:val="clear" w:color="auto" w:fill="auto"/>
            <w:vAlign w:val="bottom"/>
          </w:tcPr>
          <w:p w14:paraId="71D451C8" w14:textId="77777777" w:rsidR="006A3667" w:rsidRDefault="006A3667">
            <w:pPr>
              <w:rPr>
                <w:rFonts w:ascii="宋体"/>
                <w:vanish/>
              </w:rPr>
            </w:pPr>
          </w:p>
        </w:tc>
        <w:tc>
          <w:tcPr>
            <w:tcW w:w="0" w:type="auto"/>
            <w:gridSpan w:val="3"/>
            <w:shd w:val="clear" w:color="auto" w:fill="auto"/>
            <w:vAlign w:val="bottom"/>
          </w:tcPr>
          <w:p w14:paraId="71D451C9" w14:textId="77777777" w:rsidR="006A3667" w:rsidRDefault="006A3667">
            <w:pPr>
              <w:rPr>
                <w:rFonts w:ascii="宋体"/>
                <w:vanish/>
              </w:rPr>
            </w:pPr>
          </w:p>
        </w:tc>
        <w:tc>
          <w:tcPr>
            <w:tcW w:w="0" w:type="auto"/>
            <w:gridSpan w:val="3"/>
            <w:shd w:val="clear" w:color="auto" w:fill="auto"/>
            <w:vAlign w:val="bottom"/>
          </w:tcPr>
          <w:p w14:paraId="71D451CA" w14:textId="77777777" w:rsidR="006A3667" w:rsidRDefault="006A3667">
            <w:pPr>
              <w:rPr>
                <w:rFonts w:ascii="宋体"/>
                <w:vanish/>
              </w:rPr>
            </w:pPr>
          </w:p>
        </w:tc>
        <w:tc>
          <w:tcPr>
            <w:tcW w:w="0" w:type="auto"/>
            <w:gridSpan w:val="3"/>
            <w:shd w:val="clear" w:color="auto" w:fill="auto"/>
            <w:vAlign w:val="bottom"/>
          </w:tcPr>
          <w:p w14:paraId="71D451CB" w14:textId="77777777" w:rsidR="006A3667" w:rsidRDefault="006A3667">
            <w:pPr>
              <w:rPr>
                <w:rFonts w:ascii="宋体"/>
                <w:vanish/>
              </w:rPr>
            </w:pPr>
          </w:p>
        </w:tc>
        <w:tc>
          <w:tcPr>
            <w:tcW w:w="0" w:type="auto"/>
            <w:gridSpan w:val="3"/>
            <w:shd w:val="clear" w:color="auto" w:fill="auto"/>
            <w:vAlign w:val="bottom"/>
          </w:tcPr>
          <w:p w14:paraId="71D451CC" w14:textId="77777777" w:rsidR="006A3667" w:rsidRDefault="006A3667">
            <w:pPr>
              <w:rPr>
                <w:rFonts w:ascii="宋体"/>
                <w:vanish/>
              </w:rPr>
            </w:pPr>
          </w:p>
        </w:tc>
        <w:tc>
          <w:tcPr>
            <w:tcW w:w="0" w:type="auto"/>
            <w:gridSpan w:val="3"/>
            <w:shd w:val="clear" w:color="auto" w:fill="auto"/>
            <w:vAlign w:val="bottom"/>
          </w:tcPr>
          <w:p w14:paraId="71D451CD" w14:textId="77777777" w:rsidR="006A3667" w:rsidRDefault="006A3667">
            <w:pPr>
              <w:rPr>
                <w:rFonts w:ascii="宋体"/>
                <w:vanish/>
              </w:rPr>
            </w:pPr>
          </w:p>
        </w:tc>
        <w:tc>
          <w:tcPr>
            <w:tcW w:w="0" w:type="auto"/>
            <w:gridSpan w:val="3"/>
            <w:shd w:val="clear" w:color="auto" w:fill="auto"/>
            <w:vAlign w:val="bottom"/>
          </w:tcPr>
          <w:p w14:paraId="71D451CE" w14:textId="77777777" w:rsidR="006A3667" w:rsidRDefault="006A3667">
            <w:pPr>
              <w:rPr>
                <w:rFonts w:ascii="宋体"/>
                <w:vanish/>
              </w:rPr>
            </w:pPr>
          </w:p>
        </w:tc>
        <w:tc>
          <w:tcPr>
            <w:tcW w:w="0" w:type="auto"/>
            <w:gridSpan w:val="3"/>
            <w:shd w:val="clear" w:color="auto" w:fill="auto"/>
            <w:vAlign w:val="bottom"/>
          </w:tcPr>
          <w:p w14:paraId="71D451CF" w14:textId="77777777" w:rsidR="006A3667" w:rsidRDefault="006A3667">
            <w:pPr>
              <w:rPr>
                <w:rFonts w:ascii="宋体"/>
                <w:vanish/>
              </w:rPr>
            </w:pPr>
          </w:p>
        </w:tc>
        <w:tc>
          <w:tcPr>
            <w:tcW w:w="0" w:type="auto"/>
            <w:gridSpan w:val="3"/>
            <w:shd w:val="clear" w:color="auto" w:fill="auto"/>
            <w:vAlign w:val="bottom"/>
          </w:tcPr>
          <w:p w14:paraId="71D451D0" w14:textId="77777777" w:rsidR="006A3667" w:rsidRDefault="006A3667">
            <w:pPr>
              <w:rPr>
                <w:rFonts w:ascii="宋体"/>
                <w:vanish/>
              </w:rPr>
            </w:pPr>
          </w:p>
        </w:tc>
      </w:tr>
      <w:tr w:rsidR="00045F32" w14:paraId="71D451F2" w14:textId="77777777">
        <w:tc>
          <w:tcPr>
            <w:tcW w:w="0" w:type="auto"/>
            <w:gridSpan w:val="3"/>
            <w:shd w:val="clear" w:color="auto" w:fill="FFFFFF"/>
            <w:tcMar>
              <w:top w:w="40" w:type="dxa"/>
              <w:left w:w="20" w:type="dxa"/>
              <w:bottom w:w="40" w:type="dxa"/>
              <w:right w:w="20" w:type="dxa"/>
            </w:tcMar>
            <w:vAlign w:val="bottom"/>
          </w:tcPr>
          <w:p w14:paraId="71D451D2" w14:textId="77777777" w:rsidR="006A3667" w:rsidRDefault="00045F32">
            <w:pPr>
              <w:textAlignment w:val="bottom"/>
            </w:pPr>
            <w:r>
              <w:rPr>
                <w:rFonts w:ascii="Arial" w:eastAsia="宋体" w:hAnsi="Arial" w:cs="Arial"/>
                <w:color w:val="000000"/>
                <w:sz w:val="15"/>
                <w:szCs w:val="15"/>
              </w:rPr>
              <w:t>Total available-for-sale securities</w:t>
            </w:r>
            <w:r>
              <w:rPr>
                <w:rFonts w:ascii="Arial" w:eastAsia="宋体" w:hAnsi="Arial" w:cs="Arial"/>
                <w:color w:val="000000"/>
                <w:sz w:val="9"/>
                <w:szCs w:val="9"/>
              </w:rPr>
              <w:t>(7)(9)</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51D3"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1D4" w14:textId="77777777" w:rsidR="006A3667" w:rsidRDefault="00045F32">
            <w:pPr>
              <w:jc w:val="right"/>
              <w:textAlignment w:val="bottom"/>
            </w:pPr>
            <w:r>
              <w:rPr>
                <w:rFonts w:ascii="Arial" w:eastAsia="宋体" w:hAnsi="Arial" w:cs="Arial"/>
                <w:b/>
                <w:bCs/>
                <w:color w:val="000000"/>
                <w:sz w:val="15"/>
                <w:szCs w:val="15"/>
              </w:rPr>
              <w:t>42,363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1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D6"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1D7"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1D8" w14:textId="77777777" w:rsidR="006A3667" w:rsidRDefault="00045F32">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1D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DA"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1DB"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1DC" w14:textId="77777777" w:rsidR="006A3667" w:rsidRDefault="00045F32">
            <w:pPr>
              <w:jc w:val="right"/>
              <w:textAlignment w:val="bottom"/>
            </w:pPr>
            <w:r>
              <w:rPr>
                <w:rFonts w:ascii="Arial" w:eastAsia="宋体" w:hAnsi="Arial" w:cs="Arial"/>
                <w:b/>
                <w:bCs/>
                <w:color w:val="000000"/>
                <w:sz w:val="15"/>
                <w:szCs w:val="15"/>
              </w:rPr>
              <w:t>1,392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1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DE"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1DF"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1E0" w14:textId="77777777" w:rsidR="006A3667" w:rsidRDefault="00045F32">
            <w:pPr>
              <w:jc w:val="right"/>
              <w:textAlignment w:val="bottom"/>
            </w:pPr>
            <w:r>
              <w:rPr>
                <w:rFonts w:ascii="Arial" w:eastAsia="宋体" w:hAnsi="Arial" w:cs="Arial"/>
                <w:b/>
                <w:bCs/>
                <w:color w:val="000000"/>
                <w:sz w:val="15"/>
                <w:szCs w:val="15"/>
              </w:rPr>
              <w:t>40,986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1E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E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1E3"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1E4" w14:textId="77777777" w:rsidR="006A3667" w:rsidRDefault="00045F32">
            <w:pPr>
              <w:jc w:val="right"/>
              <w:textAlignment w:val="bottom"/>
            </w:pPr>
            <w:r>
              <w:rPr>
                <w:rFonts w:ascii="Arial" w:eastAsia="宋体" w:hAnsi="Arial" w:cs="Arial"/>
                <w:color w:val="000000"/>
                <w:sz w:val="15"/>
                <w:szCs w:val="15"/>
              </w:rPr>
              <w:t>73,440 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1E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E6"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1E7"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1E8" w14:textId="77777777" w:rsidR="006A3667" w:rsidRDefault="00045F32">
            <w:pPr>
              <w:jc w:val="right"/>
              <w:textAlignment w:val="bottom"/>
            </w:pPr>
            <w:r>
              <w:rPr>
                <w:rFonts w:ascii="Arial" w:eastAsia="宋体" w:hAnsi="Arial" w:cs="Arial"/>
                <w:color w:val="000000"/>
                <w:sz w:val="15"/>
                <w:szCs w:val="15"/>
              </w:rPr>
              <w:t>404 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1E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EA"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1EB"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1EC" w14:textId="77777777" w:rsidR="006A3667" w:rsidRDefault="00045F32">
            <w:pPr>
              <w:jc w:val="right"/>
              <w:textAlignment w:val="bottom"/>
            </w:pPr>
            <w:r>
              <w:rPr>
                <w:rFonts w:ascii="Arial" w:eastAsia="宋体" w:hAnsi="Arial" w:cs="Arial"/>
                <w:color w:val="000000"/>
                <w:sz w:val="15"/>
                <w:szCs w:val="15"/>
              </w:rPr>
              <w:t>445 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1E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1EE"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1EF"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1F0" w14:textId="77777777" w:rsidR="006A3667" w:rsidRDefault="00045F32">
            <w:pPr>
              <w:jc w:val="right"/>
              <w:textAlignment w:val="bottom"/>
            </w:pPr>
            <w:r>
              <w:rPr>
                <w:rFonts w:ascii="Arial" w:eastAsia="宋体" w:hAnsi="Arial" w:cs="Arial"/>
                <w:color w:val="000000"/>
                <w:sz w:val="15"/>
                <w:szCs w:val="15"/>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1F1" w14:textId="77777777" w:rsidR="006A3667" w:rsidRDefault="006A3667">
            <w:pPr>
              <w:jc w:val="right"/>
              <w:rPr>
                <w:rFonts w:ascii="宋体"/>
              </w:rPr>
            </w:pPr>
          </w:p>
        </w:tc>
      </w:tr>
      <w:tr w:rsidR="006A3667" w14:paraId="71D45203" w14:textId="77777777">
        <w:tc>
          <w:tcPr>
            <w:tcW w:w="0" w:type="auto"/>
            <w:gridSpan w:val="3"/>
            <w:shd w:val="clear" w:color="auto" w:fill="CCEEFF"/>
            <w:tcMar>
              <w:top w:w="40" w:type="dxa"/>
              <w:left w:w="20" w:type="dxa"/>
              <w:bottom w:w="40" w:type="dxa"/>
              <w:right w:w="20" w:type="dxa"/>
            </w:tcMar>
            <w:vAlign w:val="bottom"/>
          </w:tcPr>
          <w:p w14:paraId="71D451F3" w14:textId="77777777" w:rsidR="006A3667" w:rsidRDefault="00045F32">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51F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1F5"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51F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1F7"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51F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1F9"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51F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1FB"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51F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1FD"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51F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1FF"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520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201"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5202" w14:textId="77777777" w:rsidR="006A3667" w:rsidRDefault="006A3667">
            <w:pPr>
              <w:rPr>
                <w:rFonts w:ascii="宋体"/>
              </w:rPr>
            </w:pPr>
          </w:p>
        </w:tc>
      </w:tr>
      <w:tr w:rsidR="006A3667" w14:paraId="71D45214" w14:textId="77777777">
        <w:tc>
          <w:tcPr>
            <w:tcW w:w="0" w:type="auto"/>
            <w:gridSpan w:val="3"/>
            <w:shd w:val="clear" w:color="auto" w:fill="FFFFFF"/>
            <w:tcMar>
              <w:top w:w="40" w:type="dxa"/>
              <w:left w:w="20" w:type="dxa"/>
              <w:bottom w:w="40" w:type="dxa"/>
              <w:right w:w="20" w:type="dxa"/>
            </w:tcMar>
            <w:vAlign w:val="bottom"/>
          </w:tcPr>
          <w:p w14:paraId="71D45204" w14:textId="77777777" w:rsidR="006A3667" w:rsidRDefault="00045F32">
            <w:pPr>
              <w:textAlignment w:val="bottom"/>
            </w:pPr>
            <w:r>
              <w:rPr>
                <w:rFonts w:ascii="Arial" w:eastAsia="宋体" w:hAnsi="Arial" w:cs="Arial"/>
                <w:color w:val="000000"/>
                <w:sz w:val="15"/>
                <w:szCs w:val="15"/>
              </w:rPr>
              <w:t xml:space="preserve">U.S. Treasury and </w:t>
            </w:r>
            <w:r>
              <w:rPr>
                <w:rFonts w:ascii="Arial" w:eastAsia="宋体" w:hAnsi="Arial" w:cs="Arial"/>
                <w:color w:val="000000"/>
                <w:sz w:val="15"/>
                <w:szCs w:val="15"/>
              </w:rPr>
              <w:t>federal agencies:</w:t>
            </w:r>
          </w:p>
        </w:tc>
        <w:tc>
          <w:tcPr>
            <w:tcW w:w="0" w:type="auto"/>
            <w:gridSpan w:val="3"/>
            <w:shd w:val="clear" w:color="auto" w:fill="FFFFFF"/>
            <w:tcMar>
              <w:top w:w="0" w:type="dxa"/>
              <w:left w:w="20" w:type="dxa"/>
              <w:bottom w:w="0" w:type="dxa"/>
              <w:right w:w="20" w:type="dxa"/>
            </w:tcMar>
            <w:vAlign w:val="bottom"/>
          </w:tcPr>
          <w:p w14:paraId="71D4520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0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1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1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1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13" w14:textId="77777777" w:rsidR="006A3667" w:rsidRDefault="006A3667">
            <w:pPr>
              <w:rPr>
                <w:rFonts w:ascii="宋体"/>
              </w:rPr>
            </w:pPr>
          </w:p>
        </w:tc>
      </w:tr>
      <w:tr w:rsidR="00045F32" w14:paraId="71D45235" w14:textId="77777777">
        <w:tc>
          <w:tcPr>
            <w:tcW w:w="0" w:type="auto"/>
            <w:gridSpan w:val="3"/>
            <w:shd w:val="clear" w:color="auto" w:fill="CCEEFF"/>
            <w:tcMar>
              <w:top w:w="40" w:type="dxa"/>
              <w:left w:w="245" w:type="dxa"/>
              <w:bottom w:w="40" w:type="dxa"/>
              <w:right w:w="20" w:type="dxa"/>
            </w:tcMar>
            <w:vAlign w:val="bottom"/>
          </w:tcPr>
          <w:p w14:paraId="71D45215" w14:textId="77777777" w:rsidR="006A3667" w:rsidRDefault="00045F32">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71D45216"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5217" w14:textId="77777777" w:rsidR="006A3667" w:rsidRDefault="00045F32">
            <w:pPr>
              <w:jc w:val="right"/>
              <w:textAlignment w:val="bottom"/>
            </w:pPr>
            <w:r>
              <w:rPr>
                <w:rFonts w:ascii="Arial" w:eastAsia="宋体" w:hAnsi="Arial" w:cs="Arial"/>
                <w:b/>
                <w:bCs/>
                <w:color w:val="000000"/>
                <w:sz w:val="15"/>
                <w:szCs w:val="15"/>
              </w:rPr>
              <w:t>11,637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1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21A"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521B"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1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21E"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521F" w14:textId="77777777" w:rsidR="006A3667" w:rsidRDefault="00045F32">
            <w:pPr>
              <w:jc w:val="right"/>
              <w:textAlignment w:val="bottom"/>
            </w:pPr>
            <w:r>
              <w:rPr>
                <w:rFonts w:ascii="Arial" w:eastAsia="宋体" w:hAnsi="Arial" w:cs="Arial"/>
                <w:b/>
                <w:bCs/>
                <w:color w:val="000000"/>
                <w:sz w:val="15"/>
                <w:szCs w:val="15"/>
              </w:rPr>
              <w:t>353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2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222"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5223" w14:textId="77777777" w:rsidR="006A3667" w:rsidRDefault="00045F32">
            <w:pPr>
              <w:jc w:val="right"/>
              <w:textAlignment w:val="bottom"/>
            </w:pPr>
            <w:r>
              <w:rPr>
                <w:rFonts w:ascii="Arial" w:eastAsia="宋体" w:hAnsi="Arial" w:cs="Arial"/>
                <w:b/>
                <w:bCs/>
                <w:color w:val="000000"/>
                <w:sz w:val="15"/>
                <w:szCs w:val="15"/>
              </w:rPr>
              <w:t>11,284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2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2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226"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5227" w14:textId="77777777" w:rsidR="006A3667" w:rsidRDefault="00045F32">
            <w:pPr>
              <w:jc w:val="right"/>
              <w:textAlignment w:val="bottom"/>
            </w:pPr>
            <w:r>
              <w:rPr>
                <w:rFonts w:ascii="Arial" w:eastAsia="宋体" w:hAnsi="Arial" w:cs="Arial"/>
                <w:color w:val="000000"/>
                <w:sz w:val="15"/>
                <w:szCs w:val="15"/>
              </w:rPr>
              <w:t>2,170 </w:t>
            </w:r>
          </w:p>
        </w:tc>
        <w:tc>
          <w:tcPr>
            <w:tcW w:w="0" w:type="auto"/>
            <w:shd w:val="clear" w:color="auto" w:fill="CCEEFF"/>
            <w:tcMar>
              <w:top w:w="40" w:type="dxa"/>
              <w:left w:w="0" w:type="dxa"/>
              <w:bottom w:w="40" w:type="dxa"/>
              <w:right w:w="20" w:type="dxa"/>
            </w:tcMar>
            <w:vAlign w:val="bottom"/>
          </w:tcPr>
          <w:p w14:paraId="71D452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2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22A"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522B" w14:textId="77777777" w:rsidR="006A3667" w:rsidRDefault="00045F32">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71D452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2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22E"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522F"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3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232"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5233" w14:textId="77777777" w:rsidR="006A3667" w:rsidRDefault="00045F32">
            <w:pPr>
              <w:jc w:val="right"/>
              <w:textAlignment w:val="bottom"/>
            </w:pPr>
            <w:r>
              <w:rPr>
                <w:rFonts w:ascii="Arial" w:eastAsia="宋体" w:hAnsi="Arial" w:cs="Arial"/>
                <w:color w:val="000000"/>
                <w:sz w:val="15"/>
                <w:szCs w:val="15"/>
              </w:rPr>
              <w:t>2,180 </w:t>
            </w:r>
          </w:p>
        </w:tc>
        <w:tc>
          <w:tcPr>
            <w:tcW w:w="0" w:type="auto"/>
            <w:shd w:val="clear" w:color="auto" w:fill="CCEEFF"/>
            <w:tcMar>
              <w:top w:w="40" w:type="dxa"/>
              <w:left w:w="0" w:type="dxa"/>
              <w:bottom w:w="40" w:type="dxa"/>
              <w:right w:w="20" w:type="dxa"/>
            </w:tcMar>
            <w:vAlign w:val="bottom"/>
          </w:tcPr>
          <w:p w14:paraId="71D45234" w14:textId="77777777" w:rsidR="006A3667" w:rsidRDefault="006A3667">
            <w:pPr>
              <w:jc w:val="right"/>
              <w:rPr>
                <w:rFonts w:ascii="宋体"/>
              </w:rPr>
            </w:pPr>
          </w:p>
        </w:tc>
      </w:tr>
      <w:tr w:rsidR="006A3667" w14:paraId="71D4524E" w14:textId="77777777">
        <w:tc>
          <w:tcPr>
            <w:tcW w:w="0" w:type="auto"/>
            <w:gridSpan w:val="3"/>
            <w:shd w:val="clear" w:color="auto" w:fill="FFFFFF"/>
            <w:tcMar>
              <w:top w:w="40" w:type="dxa"/>
              <w:left w:w="245" w:type="dxa"/>
              <w:bottom w:w="40" w:type="dxa"/>
              <w:right w:w="20" w:type="dxa"/>
            </w:tcMar>
            <w:vAlign w:val="bottom"/>
          </w:tcPr>
          <w:p w14:paraId="71D45236" w14:textId="77777777" w:rsidR="006A3667" w:rsidRDefault="00045F32">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71D45237" w14:textId="77777777" w:rsidR="006A3667" w:rsidRDefault="00045F32">
            <w:pPr>
              <w:jc w:val="right"/>
              <w:textAlignment w:val="bottom"/>
            </w:pPr>
            <w:r>
              <w:rPr>
                <w:rFonts w:ascii="Arial" w:eastAsia="宋体" w:hAnsi="Arial" w:cs="Arial"/>
                <w:b/>
                <w:bCs/>
                <w:color w:val="000000"/>
                <w:sz w:val="15"/>
                <w:szCs w:val="15"/>
              </w:rPr>
              <w:t>42,967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23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3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3A"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23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3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3D" w14:textId="77777777" w:rsidR="006A3667" w:rsidRDefault="00045F32">
            <w:pPr>
              <w:jc w:val="right"/>
              <w:textAlignment w:val="bottom"/>
            </w:pPr>
            <w:r>
              <w:rPr>
                <w:rFonts w:ascii="Arial" w:eastAsia="宋体" w:hAnsi="Arial" w:cs="Arial"/>
                <w:b/>
                <w:bCs/>
                <w:color w:val="000000"/>
                <w:sz w:val="15"/>
                <w:szCs w:val="15"/>
              </w:rPr>
              <w:t>6,207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23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3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40" w14:textId="77777777" w:rsidR="006A3667" w:rsidRDefault="00045F32">
            <w:pPr>
              <w:jc w:val="right"/>
              <w:textAlignment w:val="bottom"/>
            </w:pPr>
            <w:r>
              <w:rPr>
                <w:rFonts w:ascii="Arial" w:eastAsia="宋体" w:hAnsi="Arial" w:cs="Arial"/>
                <w:b/>
                <w:bCs/>
                <w:color w:val="000000"/>
                <w:sz w:val="15"/>
                <w:szCs w:val="15"/>
              </w:rPr>
              <w:t>36,760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24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4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43" w14:textId="77777777" w:rsidR="006A3667" w:rsidRDefault="00045F32">
            <w:pPr>
              <w:jc w:val="right"/>
              <w:textAlignment w:val="bottom"/>
            </w:pPr>
            <w:r>
              <w:rPr>
                <w:rFonts w:ascii="Arial" w:eastAsia="宋体" w:hAnsi="Arial" w:cs="Arial"/>
                <w:color w:val="000000"/>
                <w:sz w:val="15"/>
                <w:szCs w:val="15"/>
              </w:rPr>
              <w:t>33,481 </w:t>
            </w:r>
          </w:p>
        </w:tc>
        <w:tc>
          <w:tcPr>
            <w:tcW w:w="0" w:type="auto"/>
            <w:shd w:val="clear" w:color="auto" w:fill="FFFFFF"/>
            <w:tcMar>
              <w:top w:w="40" w:type="dxa"/>
              <w:left w:w="0" w:type="dxa"/>
              <w:bottom w:w="40" w:type="dxa"/>
              <w:right w:w="20" w:type="dxa"/>
            </w:tcMar>
            <w:vAlign w:val="bottom"/>
          </w:tcPr>
          <w:p w14:paraId="71D4524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4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46" w14:textId="77777777" w:rsidR="006A3667" w:rsidRDefault="00045F32">
            <w:pPr>
              <w:jc w:val="right"/>
              <w:textAlignment w:val="bottom"/>
            </w:pPr>
            <w:r>
              <w:rPr>
                <w:rFonts w:ascii="Arial" w:eastAsia="宋体" w:hAnsi="Arial" w:cs="Arial"/>
                <w:color w:val="000000"/>
                <w:sz w:val="15"/>
                <w:szCs w:val="15"/>
              </w:rPr>
              <w:t>362 </w:t>
            </w:r>
          </w:p>
        </w:tc>
        <w:tc>
          <w:tcPr>
            <w:tcW w:w="0" w:type="auto"/>
            <w:shd w:val="clear" w:color="auto" w:fill="FFFFFF"/>
            <w:tcMar>
              <w:top w:w="40" w:type="dxa"/>
              <w:left w:w="0" w:type="dxa"/>
              <w:bottom w:w="40" w:type="dxa"/>
              <w:right w:w="20" w:type="dxa"/>
            </w:tcMar>
            <w:vAlign w:val="bottom"/>
          </w:tcPr>
          <w:p w14:paraId="71D452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4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49" w14:textId="77777777" w:rsidR="006A3667" w:rsidRDefault="00045F32">
            <w:pPr>
              <w:jc w:val="right"/>
              <w:textAlignment w:val="bottom"/>
            </w:pPr>
            <w:r>
              <w:rPr>
                <w:rFonts w:ascii="Arial" w:eastAsia="宋体" w:hAnsi="Arial" w:cs="Arial"/>
                <w:color w:val="000000"/>
                <w:sz w:val="15"/>
                <w:szCs w:val="15"/>
              </w:rPr>
              <w:t>578 </w:t>
            </w:r>
          </w:p>
        </w:tc>
        <w:tc>
          <w:tcPr>
            <w:tcW w:w="0" w:type="auto"/>
            <w:shd w:val="clear" w:color="auto" w:fill="FFFFFF"/>
            <w:tcMar>
              <w:top w:w="40" w:type="dxa"/>
              <w:left w:w="0" w:type="dxa"/>
              <w:bottom w:w="40" w:type="dxa"/>
              <w:right w:w="20" w:type="dxa"/>
            </w:tcMar>
            <w:vAlign w:val="bottom"/>
          </w:tcPr>
          <w:p w14:paraId="71D4524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4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4C" w14:textId="77777777" w:rsidR="006A3667" w:rsidRDefault="00045F32">
            <w:pPr>
              <w:jc w:val="right"/>
              <w:textAlignment w:val="bottom"/>
            </w:pPr>
            <w:r>
              <w:rPr>
                <w:rFonts w:ascii="Arial" w:eastAsia="宋体" w:hAnsi="Arial" w:cs="Arial"/>
                <w:color w:val="000000"/>
                <w:sz w:val="15"/>
                <w:szCs w:val="15"/>
              </w:rPr>
              <w:t>33,265 </w:t>
            </w:r>
          </w:p>
        </w:tc>
        <w:tc>
          <w:tcPr>
            <w:tcW w:w="0" w:type="auto"/>
            <w:shd w:val="clear" w:color="auto" w:fill="FFFFFF"/>
            <w:tcMar>
              <w:top w:w="40" w:type="dxa"/>
              <w:left w:w="0" w:type="dxa"/>
              <w:bottom w:w="40" w:type="dxa"/>
              <w:right w:w="20" w:type="dxa"/>
            </w:tcMar>
            <w:vAlign w:val="bottom"/>
          </w:tcPr>
          <w:p w14:paraId="71D4524D" w14:textId="77777777" w:rsidR="006A3667" w:rsidRDefault="006A3667">
            <w:pPr>
              <w:jc w:val="right"/>
              <w:rPr>
                <w:rFonts w:ascii="宋体"/>
              </w:rPr>
            </w:pPr>
          </w:p>
        </w:tc>
      </w:tr>
      <w:tr w:rsidR="006A3667" w14:paraId="71D45267" w14:textId="77777777">
        <w:tc>
          <w:tcPr>
            <w:tcW w:w="0" w:type="auto"/>
            <w:gridSpan w:val="3"/>
            <w:shd w:val="clear" w:color="auto" w:fill="CCEEFF"/>
            <w:tcMar>
              <w:top w:w="40" w:type="dxa"/>
              <w:left w:w="380" w:type="dxa"/>
              <w:bottom w:w="40" w:type="dxa"/>
              <w:right w:w="20" w:type="dxa"/>
            </w:tcMar>
            <w:vAlign w:val="bottom"/>
          </w:tcPr>
          <w:p w14:paraId="71D4524F" w14:textId="77777777" w:rsidR="006A3667" w:rsidRDefault="00045F32">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250" w14:textId="77777777" w:rsidR="006A3667" w:rsidRDefault="00045F32">
            <w:pPr>
              <w:jc w:val="right"/>
              <w:textAlignment w:val="bottom"/>
            </w:pPr>
            <w:r>
              <w:rPr>
                <w:rFonts w:ascii="Arial" w:eastAsia="宋体" w:hAnsi="Arial" w:cs="Arial"/>
                <w:b/>
                <w:bCs/>
                <w:color w:val="000000"/>
                <w:sz w:val="15"/>
                <w:szCs w:val="15"/>
              </w:rPr>
              <w:t>54,604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2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5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253"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2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5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256" w14:textId="77777777" w:rsidR="006A3667" w:rsidRDefault="00045F32">
            <w:pPr>
              <w:jc w:val="right"/>
              <w:textAlignment w:val="bottom"/>
            </w:pPr>
            <w:r>
              <w:rPr>
                <w:rFonts w:ascii="Arial" w:eastAsia="宋体" w:hAnsi="Arial" w:cs="Arial"/>
                <w:b/>
                <w:bCs/>
                <w:color w:val="000000"/>
                <w:sz w:val="15"/>
                <w:szCs w:val="15"/>
              </w:rPr>
              <w:t>6,560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2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5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259" w14:textId="77777777" w:rsidR="006A3667" w:rsidRDefault="00045F32">
            <w:pPr>
              <w:jc w:val="right"/>
              <w:textAlignment w:val="bottom"/>
            </w:pPr>
            <w:r>
              <w:rPr>
                <w:rFonts w:ascii="Arial" w:eastAsia="宋体" w:hAnsi="Arial" w:cs="Arial"/>
                <w:b/>
                <w:bCs/>
                <w:color w:val="000000"/>
                <w:sz w:val="15"/>
                <w:szCs w:val="15"/>
              </w:rPr>
              <w:t>48,044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2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5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25C" w14:textId="77777777" w:rsidR="006A3667" w:rsidRDefault="00045F32">
            <w:pPr>
              <w:jc w:val="right"/>
              <w:textAlignment w:val="bottom"/>
            </w:pPr>
            <w:r>
              <w:rPr>
                <w:rFonts w:ascii="Arial" w:eastAsia="宋体" w:hAnsi="Arial" w:cs="Arial"/>
                <w:color w:val="000000"/>
                <w:sz w:val="15"/>
                <w:szCs w:val="15"/>
              </w:rPr>
              <w:t>35,651 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2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5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25F" w14:textId="77777777" w:rsidR="006A3667" w:rsidRDefault="00045F32">
            <w:pPr>
              <w:jc w:val="right"/>
              <w:textAlignment w:val="bottom"/>
            </w:pPr>
            <w:r>
              <w:rPr>
                <w:rFonts w:ascii="Arial" w:eastAsia="宋体" w:hAnsi="Arial" w:cs="Arial"/>
                <w:color w:val="000000"/>
                <w:sz w:val="15"/>
                <w:szCs w:val="15"/>
              </w:rPr>
              <w:t>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2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6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262" w14:textId="77777777" w:rsidR="006A3667" w:rsidRDefault="00045F32">
            <w:pPr>
              <w:jc w:val="right"/>
              <w:textAlignment w:val="bottom"/>
            </w:pPr>
            <w:r>
              <w:rPr>
                <w:rFonts w:ascii="Arial" w:eastAsia="宋体" w:hAnsi="Arial" w:cs="Arial"/>
                <w:color w:val="000000"/>
                <w:sz w:val="15"/>
                <w:szCs w:val="15"/>
              </w:rPr>
              <w:t>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2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6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265" w14:textId="77777777" w:rsidR="006A3667" w:rsidRDefault="00045F32">
            <w:pPr>
              <w:jc w:val="right"/>
              <w:textAlignment w:val="bottom"/>
            </w:pPr>
            <w:r>
              <w:rPr>
                <w:rFonts w:ascii="Arial" w:eastAsia="宋体" w:hAnsi="Arial" w:cs="Arial"/>
                <w:color w:val="000000"/>
                <w:sz w:val="15"/>
                <w:szCs w:val="15"/>
              </w:rPr>
              <w:t>35,445 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266" w14:textId="77777777" w:rsidR="006A3667" w:rsidRDefault="006A3667">
            <w:pPr>
              <w:jc w:val="right"/>
              <w:rPr>
                <w:rFonts w:ascii="宋体"/>
              </w:rPr>
            </w:pPr>
          </w:p>
        </w:tc>
      </w:tr>
      <w:tr w:rsidR="006A3667" w14:paraId="71D45278" w14:textId="77777777">
        <w:tc>
          <w:tcPr>
            <w:tcW w:w="0" w:type="auto"/>
            <w:gridSpan w:val="3"/>
            <w:shd w:val="clear" w:color="auto" w:fill="FFFFFF"/>
            <w:tcMar>
              <w:top w:w="40" w:type="dxa"/>
              <w:left w:w="20" w:type="dxa"/>
              <w:bottom w:w="40" w:type="dxa"/>
              <w:right w:w="20" w:type="dxa"/>
            </w:tcMar>
            <w:vAlign w:val="bottom"/>
          </w:tcPr>
          <w:p w14:paraId="71D45268" w14:textId="77777777" w:rsidR="006A3667" w:rsidRDefault="00045F32">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26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6A"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26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6C"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26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6E"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26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70"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27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72"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27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74"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27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276"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277" w14:textId="77777777" w:rsidR="006A3667" w:rsidRDefault="006A3667">
            <w:pPr>
              <w:rPr>
                <w:rFonts w:ascii="宋体"/>
              </w:rPr>
            </w:pPr>
          </w:p>
        </w:tc>
      </w:tr>
      <w:tr w:rsidR="006A3667" w14:paraId="71D45289" w14:textId="77777777">
        <w:trPr>
          <w:hidden/>
        </w:trPr>
        <w:tc>
          <w:tcPr>
            <w:tcW w:w="0" w:type="auto"/>
            <w:gridSpan w:val="3"/>
            <w:shd w:val="clear" w:color="auto" w:fill="auto"/>
            <w:vAlign w:val="bottom"/>
          </w:tcPr>
          <w:p w14:paraId="71D45279" w14:textId="77777777" w:rsidR="006A3667" w:rsidRDefault="006A3667">
            <w:pPr>
              <w:rPr>
                <w:rFonts w:ascii="宋体"/>
                <w:vanish/>
              </w:rPr>
            </w:pPr>
          </w:p>
        </w:tc>
        <w:tc>
          <w:tcPr>
            <w:tcW w:w="0" w:type="auto"/>
            <w:gridSpan w:val="3"/>
            <w:shd w:val="clear" w:color="auto" w:fill="auto"/>
            <w:vAlign w:val="bottom"/>
          </w:tcPr>
          <w:p w14:paraId="71D4527A" w14:textId="77777777" w:rsidR="006A3667" w:rsidRDefault="006A3667">
            <w:pPr>
              <w:rPr>
                <w:rFonts w:ascii="宋体"/>
                <w:vanish/>
              </w:rPr>
            </w:pPr>
          </w:p>
        </w:tc>
        <w:tc>
          <w:tcPr>
            <w:tcW w:w="0" w:type="auto"/>
            <w:gridSpan w:val="3"/>
            <w:shd w:val="clear" w:color="auto" w:fill="auto"/>
            <w:vAlign w:val="bottom"/>
          </w:tcPr>
          <w:p w14:paraId="71D4527B" w14:textId="77777777" w:rsidR="006A3667" w:rsidRDefault="006A3667">
            <w:pPr>
              <w:rPr>
                <w:rFonts w:ascii="宋体"/>
                <w:vanish/>
              </w:rPr>
            </w:pPr>
          </w:p>
        </w:tc>
        <w:tc>
          <w:tcPr>
            <w:tcW w:w="0" w:type="auto"/>
            <w:gridSpan w:val="3"/>
            <w:shd w:val="clear" w:color="auto" w:fill="auto"/>
            <w:vAlign w:val="bottom"/>
          </w:tcPr>
          <w:p w14:paraId="71D4527C" w14:textId="77777777" w:rsidR="006A3667" w:rsidRDefault="006A3667">
            <w:pPr>
              <w:rPr>
                <w:rFonts w:ascii="宋体"/>
                <w:vanish/>
              </w:rPr>
            </w:pPr>
          </w:p>
        </w:tc>
        <w:tc>
          <w:tcPr>
            <w:tcW w:w="0" w:type="auto"/>
            <w:gridSpan w:val="3"/>
            <w:shd w:val="clear" w:color="auto" w:fill="auto"/>
            <w:vAlign w:val="bottom"/>
          </w:tcPr>
          <w:p w14:paraId="71D4527D" w14:textId="77777777" w:rsidR="006A3667" w:rsidRDefault="006A3667">
            <w:pPr>
              <w:rPr>
                <w:rFonts w:ascii="宋体"/>
                <w:vanish/>
              </w:rPr>
            </w:pPr>
          </w:p>
        </w:tc>
        <w:tc>
          <w:tcPr>
            <w:tcW w:w="0" w:type="auto"/>
            <w:gridSpan w:val="3"/>
            <w:shd w:val="clear" w:color="auto" w:fill="auto"/>
            <w:vAlign w:val="bottom"/>
          </w:tcPr>
          <w:p w14:paraId="71D4527E" w14:textId="77777777" w:rsidR="006A3667" w:rsidRDefault="006A3667">
            <w:pPr>
              <w:rPr>
                <w:rFonts w:ascii="宋体"/>
                <w:vanish/>
              </w:rPr>
            </w:pPr>
          </w:p>
        </w:tc>
        <w:tc>
          <w:tcPr>
            <w:tcW w:w="0" w:type="auto"/>
            <w:gridSpan w:val="3"/>
            <w:shd w:val="clear" w:color="auto" w:fill="auto"/>
            <w:vAlign w:val="bottom"/>
          </w:tcPr>
          <w:p w14:paraId="71D4527F" w14:textId="77777777" w:rsidR="006A3667" w:rsidRDefault="006A3667">
            <w:pPr>
              <w:rPr>
                <w:rFonts w:ascii="宋体"/>
                <w:vanish/>
              </w:rPr>
            </w:pPr>
          </w:p>
        </w:tc>
        <w:tc>
          <w:tcPr>
            <w:tcW w:w="0" w:type="auto"/>
            <w:gridSpan w:val="3"/>
            <w:shd w:val="clear" w:color="auto" w:fill="auto"/>
            <w:vAlign w:val="bottom"/>
          </w:tcPr>
          <w:p w14:paraId="71D45280" w14:textId="77777777" w:rsidR="006A3667" w:rsidRDefault="006A3667">
            <w:pPr>
              <w:rPr>
                <w:rFonts w:ascii="宋体"/>
                <w:vanish/>
              </w:rPr>
            </w:pPr>
          </w:p>
        </w:tc>
        <w:tc>
          <w:tcPr>
            <w:tcW w:w="0" w:type="auto"/>
            <w:gridSpan w:val="3"/>
            <w:shd w:val="clear" w:color="auto" w:fill="auto"/>
            <w:vAlign w:val="bottom"/>
          </w:tcPr>
          <w:p w14:paraId="71D45281" w14:textId="77777777" w:rsidR="006A3667" w:rsidRDefault="006A3667">
            <w:pPr>
              <w:rPr>
                <w:rFonts w:ascii="宋体"/>
                <w:vanish/>
              </w:rPr>
            </w:pPr>
          </w:p>
        </w:tc>
        <w:tc>
          <w:tcPr>
            <w:tcW w:w="0" w:type="auto"/>
            <w:gridSpan w:val="3"/>
            <w:shd w:val="clear" w:color="auto" w:fill="auto"/>
            <w:vAlign w:val="bottom"/>
          </w:tcPr>
          <w:p w14:paraId="71D45282" w14:textId="77777777" w:rsidR="006A3667" w:rsidRDefault="006A3667">
            <w:pPr>
              <w:rPr>
                <w:rFonts w:ascii="宋体"/>
                <w:vanish/>
              </w:rPr>
            </w:pPr>
          </w:p>
        </w:tc>
        <w:tc>
          <w:tcPr>
            <w:tcW w:w="0" w:type="auto"/>
            <w:gridSpan w:val="3"/>
            <w:shd w:val="clear" w:color="auto" w:fill="auto"/>
            <w:vAlign w:val="bottom"/>
          </w:tcPr>
          <w:p w14:paraId="71D45283" w14:textId="77777777" w:rsidR="006A3667" w:rsidRDefault="006A3667">
            <w:pPr>
              <w:rPr>
                <w:rFonts w:ascii="宋体"/>
                <w:vanish/>
              </w:rPr>
            </w:pPr>
          </w:p>
        </w:tc>
        <w:tc>
          <w:tcPr>
            <w:tcW w:w="0" w:type="auto"/>
            <w:gridSpan w:val="3"/>
            <w:shd w:val="clear" w:color="auto" w:fill="auto"/>
            <w:vAlign w:val="bottom"/>
          </w:tcPr>
          <w:p w14:paraId="71D45284" w14:textId="77777777" w:rsidR="006A3667" w:rsidRDefault="006A3667">
            <w:pPr>
              <w:rPr>
                <w:rFonts w:ascii="宋体"/>
                <w:vanish/>
              </w:rPr>
            </w:pPr>
          </w:p>
        </w:tc>
        <w:tc>
          <w:tcPr>
            <w:tcW w:w="0" w:type="auto"/>
            <w:gridSpan w:val="3"/>
            <w:shd w:val="clear" w:color="auto" w:fill="auto"/>
            <w:vAlign w:val="bottom"/>
          </w:tcPr>
          <w:p w14:paraId="71D45285" w14:textId="77777777" w:rsidR="006A3667" w:rsidRDefault="006A3667">
            <w:pPr>
              <w:rPr>
                <w:rFonts w:ascii="宋体"/>
                <w:vanish/>
              </w:rPr>
            </w:pPr>
          </w:p>
        </w:tc>
        <w:tc>
          <w:tcPr>
            <w:tcW w:w="0" w:type="auto"/>
            <w:gridSpan w:val="3"/>
            <w:shd w:val="clear" w:color="auto" w:fill="auto"/>
            <w:vAlign w:val="bottom"/>
          </w:tcPr>
          <w:p w14:paraId="71D45286" w14:textId="77777777" w:rsidR="006A3667" w:rsidRDefault="006A3667">
            <w:pPr>
              <w:rPr>
                <w:rFonts w:ascii="宋体"/>
                <w:vanish/>
              </w:rPr>
            </w:pPr>
          </w:p>
        </w:tc>
        <w:tc>
          <w:tcPr>
            <w:tcW w:w="0" w:type="auto"/>
            <w:gridSpan w:val="3"/>
            <w:shd w:val="clear" w:color="auto" w:fill="auto"/>
            <w:vAlign w:val="bottom"/>
          </w:tcPr>
          <w:p w14:paraId="71D45287" w14:textId="77777777" w:rsidR="006A3667" w:rsidRDefault="006A3667">
            <w:pPr>
              <w:rPr>
                <w:rFonts w:ascii="宋体"/>
                <w:vanish/>
              </w:rPr>
            </w:pPr>
          </w:p>
        </w:tc>
        <w:tc>
          <w:tcPr>
            <w:tcW w:w="0" w:type="auto"/>
            <w:gridSpan w:val="3"/>
            <w:shd w:val="clear" w:color="auto" w:fill="auto"/>
            <w:vAlign w:val="bottom"/>
          </w:tcPr>
          <w:p w14:paraId="71D45288" w14:textId="77777777" w:rsidR="006A3667" w:rsidRDefault="006A3667">
            <w:pPr>
              <w:rPr>
                <w:rFonts w:ascii="宋体"/>
                <w:vanish/>
              </w:rPr>
            </w:pPr>
          </w:p>
        </w:tc>
      </w:tr>
      <w:tr w:rsidR="006A3667" w14:paraId="71D4529A" w14:textId="77777777">
        <w:trPr>
          <w:hidden/>
        </w:trPr>
        <w:tc>
          <w:tcPr>
            <w:tcW w:w="0" w:type="auto"/>
            <w:gridSpan w:val="3"/>
            <w:shd w:val="clear" w:color="auto" w:fill="auto"/>
            <w:vAlign w:val="bottom"/>
          </w:tcPr>
          <w:p w14:paraId="71D4528A" w14:textId="77777777" w:rsidR="006A3667" w:rsidRDefault="006A3667">
            <w:pPr>
              <w:rPr>
                <w:rFonts w:ascii="宋体"/>
                <w:vanish/>
              </w:rPr>
            </w:pPr>
          </w:p>
        </w:tc>
        <w:tc>
          <w:tcPr>
            <w:tcW w:w="0" w:type="auto"/>
            <w:gridSpan w:val="3"/>
            <w:shd w:val="clear" w:color="auto" w:fill="auto"/>
            <w:vAlign w:val="bottom"/>
          </w:tcPr>
          <w:p w14:paraId="71D4528B" w14:textId="77777777" w:rsidR="006A3667" w:rsidRDefault="006A3667">
            <w:pPr>
              <w:rPr>
                <w:rFonts w:ascii="宋体"/>
                <w:vanish/>
              </w:rPr>
            </w:pPr>
          </w:p>
        </w:tc>
        <w:tc>
          <w:tcPr>
            <w:tcW w:w="0" w:type="auto"/>
            <w:gridSpan w:val="3"/>
            <w:shd w:val="clear" w:color="auto" w:fill="auto"/>
            <w:vAlign w:val="bottom"/>
          </w:tcPr>
          <w:p w14:paraId="71D4528C" w14:textId="77777777" w:rsidR="006A3667" w:rsidRDefault="006A3667">
            <w:pPr>
              <w:rPr>
                <w:rFonts w:ascii="宋体"/>
                <w:vanish/>
              </w:rPr>
            </w:pPr>
          </w:p>
        </w:tc>
        <w:tc>
          <w:tcPr>
            <w:tcW w:w="0" w:type="auto"/>
            <w:gridSpan w:val="3"/>
            <w:shd w:val="clear" w:color="auto" w:fill="auto"/>
            <w:vAlign w:val="bottom"/>
          </w:tcPr>
          <w:p w14:paraId="71D4528D" w14:textId="77777777" w:rsidR="006A3667" w:rsidRDefault="006A3667">
            <w:pPr>
              <w:rPr>
                <w:rFonts w:ascii="宋体"/>
                <w:vanish/>
              </w:rPr>
            </w:pPr>
          </w:p>
        </w:tc>
        <w:tc>
          <w:tcPr>
            <w:tcW w:w="0" w:type="auto"/>
            <w:gridSpan w:val="3"/>
            <w:shd w:val="clear" w:color="auto" w:fill="auto"/>
            <w:vAlign w:val="bottom"/>
          </w:tcPr>
          <w:p w14:paraId="71D4528E" w14:textId="77777777" w:rsidR="006A3667" w:rsidRDefault="006A3667">
            <w:pPr>
              <w:rPr>
                <w:rFonts w:ascii="宋体"/>
                <w:vanish/>
              </w:rPr>
            </w:pPr>
          </w:p>
        </w:tc>
        <w:tc>
          <w:tcPr>
            <w:tcW w:w="0" w:type="auto"/>
            <w:gridSpan w:val="3"/>
            <w:shd w:val="clear" w:color="auto" w:fill="auto"/>
            <w:vAlign w:val="bottom"/>
          </w:tcPr>
          <w:p w14:paraId="71D4528F" w14:textId="77777777" w:rsidR="006A3667" w:rsidRDefault="006A3667">
            <w:pPr>
              <w:rPr>
                <w:rFonts w:ascii="宋体"/>
                <w:vanish/>
              </w:rPr>
            </w:pPr>
          </w:p>
        </w:tc>
        <w:tc>
          <w:tcPr>
            <w:tcW w:w="0" w:type="auto"/>
            <w:gridSpan w:val="3"/>
            <w:shd w:val="clear" w:color="auto" w:fill="auto"/>
            <w:vAlign w:val="bottom"/>
          </w:tcPr>
          <w:p w14:paraId="71D45290" w14:textId="77777777" w:rsidR="006A3667" w:rsidRDefault="006A3667">
            <w:pPr>
              <w:rPr>
                <w:rFonts w:ascii="宋体"/>
                <w:vanish/>
              </w:rPr>
            </w:pPr>
          </w:p>
        </w:tc>
        <w:tc>
          <w:tcPr>
            <w:tcW w:w="0" w:type="auto"/>
            <w:gridSpan w:val="3"/>
            <w:shd w:val="clear" w:color="auto" w:fill="auto"/>
            <w:vAlign w:val="bottom"/>
          </w:tcPr>
          <w:p w14:paraId="71D45291" w14:textId="77777777" w:rsidR="006A3667" w:rsidRDefault="006A3667">
            <w:pPr>
              <w:rPr>
                <w:rFonts w:ascii="宋体"/>
                <w:vanish/>
              </w:rPr>
            </w:pPr>
          </w:p>
        </w:tc>
        <w:tc>
          <w:tcPr>
            <w:tcW w:w="0" w:type="auto"/>
            <w:gridSpan w:val="3"/>
            <w:shd w:val="clear" w:color="auto" w:fill="auto"/>
            <w:vAlign w:val="bottom"/>
          </w:tcPr>
          <w:p w14:paraId="71D45292" w14:textId="77777777" w:rsidR="006A3667" w:rsidRDefault="006A3667">
            <w:pPr>
              <w:rPr>
                <w:rFonts w:ascii="宋体"/>
                <w:vanish/>
              </w:rPr>
            </w:pPr>
          </w:p>
        </w:tc>
        <w:tc>
          <w:tcPr>
            <w:tcW w:w="0" w:type="auto"/>
            <w:gridSpan w:val="3"/>
            <w:shd w:val="clear" w:color="auto" w:fill="auto"/>
            <w:vAlign w:val="bottom"/>
          </w:tcPr>
          <w:p w14:paraId="71D45293" w14:textId="77777777" w:rsidR="006A3667" w:rsidRDefault="006A3667">
            <w:pPr>
              <w:rPr>
                <w:rFonts w:ascii="宋体"/>
                <w:vanish/>
              </w:rPr>
            </w:pPr>
          </w:p>
        </w:tc>
        <w:tc>
          <w:tcPr>
            <w:tcW w:w="0" w:type="auto"/>
            <w:gridSpan w:val="3"/>
            <w:shd w:val="clear" w:color="auto" w:fill="auto"/>
            <w:vAlign w:val="bottom"/>
          </w:tcPr>
          <w:p w14:paraId="71D45294" w14:textId="77777777" w:rsidR="006A3667" w:rsidRDefault="006A3667">
            <w:pPr>
              <w:rPr>
                <w:rFonts w:ascii="宋体"/>
                <w:vanish/>
              </w:rPr>
            </w:pPr>
          </w:p>
        </w:tc>
        <w:tc>
          <w:tcPr>
            <w:tcW w:w="0" w:type="auto"/>
            <w:gridSpan w:val="3"/>
            <w:shd w:val="clear" w:color="auto" w:fill="auto"/>
            <w:vAlign w:val="bottom"/>
          </w:tcPr>
          <w:p w14:paraId="71D45295" w14:textId="77777777" w:rsidR="006A3667" w:rsidRDefault="006A3667">
            <w:pPr>
              <w:rPr>
                <w:rFonts w:ascii="宋体"/>
                <w:vanish/>
              </w:rPr>
            </w:pPr>
          </w:p>
        </w:tc>
        <w:tc>
          <w:tcPr>
            <w:tcW w:w="0" w:type="auto"/>
            <w:gridSpan w:val="3"/>
            <w:shd w:val="clear" w:color="auto" w:fill="auto"/>
            <w:vAlign w:val="bottom"/>
          </w:tcPr>
          <w:p w14:paraId="71D45296" w14:textId="77777777" w:rsidR="006A3667" w:rsidRDefault="006A3667">
            <w:pPr>
              <w:rPr>
                <w:rFonts w:ascii="宋体"/>
                <w:vanish/>
              </w:rPr>
            </w:pPr>
          </w:p>
        </w:tc>
        <w:tc>
          <w:tcPr>
            <w:tcW w:w="0" w:type="auto"/>
            <w:gridSpan w:val="3"/>
            <w:shd w:val="clear" w:color="auto" w:fill="auto"/>
            <w:vAlign w:val="bottom"/>
          </w:tcPr>
          <w:p w14:paraId="71D45297" w14:textId="77777777" w:rsidR="006A3667" w:rsidRDefault="006A3667">
            <w:pPr>
              <w:rPr>
                <w:rFonts w:ascii="宋体"/>
                <w:vanish/>
              </w:rPr>
            </w:pPr>
          </w:p>
        </w:tc>
        <w:tc>
          <w:tcPr>
            <w:tcW w:w="0" w:type="auto"/>
            <w:gridSpan w:val="3"/>
            <w:shd w:val="clear" w:color="auto" w:fill="auto"/>
            <w:vAlign w:val="bottom"/>
          </w:tcPr>
          <w:p w14:paraId="71D45298" w14:textId="77777777" w:rsidR="006A3667" w:rsidRDefault="006A3667">
            <w:pPr>
              <w:rPr>
                <w:rFonts w:ascii="宋体"/>
                <w:vanish/>
              </w:rPr>
            </w:pPr>
          </w:p>
        </w:tc>
        <w:tc>
          <w:tcPr>
            <w:tcW w:w="0" w:type="auto"/>
            <w:gridSpan w:val="3"/>
            <w:shd w:val="clear" w:color="auto" w:fill="auto"/>
            <w:vAlign w:val="bottom"/>
          </w:tcPr>
          <w:p w14:paraId="71D45299" w14:textId="77777777" w:rsidR="006A3667" w:rsidRDefault="006A3667">
            <w:pPr>
              <w:rPr>
                <w:rFonts w:ascii="宋体"/>
                <w:vanish/>
              </w:rPr>
            </w:pPr>
          </w:p>
        </w:tc>
      </w:tr>
      <w:tr w:rsidR="006A3667" w14:paraId="71D452B3" w14:textId="77777777">
        <w:tc>
          <w:tcPr>
            <w:tcW w:w="0" w:type="auto"/>
            <w:gridSpan w:val="3"/>
            <w:shd w:val="clear" w:color="auto" w:fill="CCEEFF"/>
            <w:tcMar>
              <w:top w:w="40" w:type="dxa"/>
              <w:left w:w="245" w:type="dxa"/>
              <w:bottom w:w="40" w:type="dxa"/>
              <w:right w:w="20" w:type="dxa"/>
            </w:tcMar>
            <w:vAlign w:val="bottom"/>
          </w:tcPr>
          <w:p w14:paraId="71D4529B" w14:textId="77777777" w:rsidR="006A3667" w:rsidRDefault="00045F32">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529C" w14:textId="77777777" w:rsidR="006A3667" w:rsidRDefault="00045F32">
            <w:pPr>
              <w:jc w:val="right"/>
              <w:textAlignment w:val="bottom"/>
            </w:pPr>
            <w:r>
              <w:rPr>
                <w:rFonts w:ascii="Arial" w:eastAsia="宋体" w:hAnsi="Arial" w:cs="Arial"/>
                <w:b/>
                <w:bCs/>
                <w:color w:val="000000"/>
                <w:sz w:val="15"/>
                <w:szCs w:val="15"/>
              </w:rPr>
              <w:t>6,141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9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9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29F"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A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A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2A2" w14:textId="77777777" w:rsidR="006A3667" w:rsidRDefault="00045F32">
            <w:pPr>
              <w:jc w:val="right"/>
              <w:textAlignment w:val="bottom"/>
            </w:pPr>
            <w:r>
              <w:rPr>
                <w:rFonts w:ascii="Arial" w:eastAsia="宋体" w:hAnsi="Arial" w:cs="Arial"/>
                <w:b/>
                <w:bCs/>
                <w:color w:val="000000"/>
                <w:sz w:val="15"/>
                <w:szCs w:val="15"/>
              </w:rPr>
              <w:t>268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A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A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2A5" w14:textId="77777777" w:rsidR="006A3667" w:rsidRDefault="00045F32">
            <w:pPr>
              <w:jc w:val="right"/>
              <w:textAlignment w:val="bottom"/>
            </w:pPr>
            <w:r>
              <w:rPr>
                <w:rFonts w:ascii="Arial" w:eastAsia="宋体" w:hAnsi="Arial" w:cs="Arial"/>
                <w:b/>
                <w:bCs/>
                <w:color w:val="000000"/>
                <w:sz w:val="15"/>
                <w:szCs w:val="15"/>
              </w:rPr>
              <w:t>5,873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A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2A8" w14:textId="77777777" w:rsidR="006A3667" w:rsidRDefault="00045F32">
            <w:pPr>
              <w:jc w:val="right"/>
              <w:textAlignment w:val="bottom"/>
            </w:pPr>
            <w:r>
              <w:rPr>
                <w:rFonts w:ascii="Arial" w:eastAsia="宋体" w:hAnsi="Arial" w:cs="Arial"/>
                <w:color w:val="000000"/>
                <w:sz w:val="15"/>
                <w:szCs w:val="15"/>
              </w:rPr>
              <w:t>1,564 </w:t>
            </w:r>
          </w:p>
        </w:tc>
        <w:tc>
          <w:tcPr>
            <w:tcW w:w="0" w:type="auto"/>
            <w:shd w:val="clear" w:color="auto" w:fill="CCEEFF"/>
            <w:tcMar>
              <w:top w:w="40" w:type="dxa"/>
              <w:left w:w="0" w:type="dxa"/>
              <w:bottom w:w="40" w:type="dxa"/>
              <w:right w:w="20" w:type="dxa"/>
            </w:tcMar>
            <w:vAlign w:val="bottom"/>
          </w:tcPr>
          <w:p w14:paraId="71D452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A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2AB"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2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A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2AE" w14:textId="77777777" w:rsidR="006A3667" w:rsidRDefault="00045F32">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71D452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2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2B1" w14:textId="77777777" w:rsidR="006A3667" w:rsidRDefault="00045F32">
            <w:pPr>
              <w:jc w:val="right"/>
              <w:textAlignment w:val="bottom"/>
            </w:pPr>
            <w:r>
              <w:rPr>
                <w:rFonts w:ascii="Arial" w:eastAsia="宋体" w:hAnsi="Arial" w:cs="Arial"/>
                <w:color w:val="000000"/>
                <w:sz w:val="15"/>
                <w:szCs w:val="15"/>
              </w:rPr>
              <w:t>1,555 </w:t>
            </w:r>
          </w:p>
        </w:tc>
        <w:tc>
          <w:tcPr>
            <w:tcW w:w="0" w:type="auto"/>
            <w:shd w:val="clear" w:color="auto" w:fill="CCEEFF"/>
            <w:tcMar>
              <w:top w:w="40" w:type="dxa"/>
              <w:left w:w="0" w:type="dxa"/>
              <w:bottom w:w="40" w:type="dxa"/>
              <w:right w:w="20" w:type="dxa"/>
            </w:tcMar>
            <w:vAlign w:val="bottom"/>
          </w:tcPr>
          <w:p w14:paraId="71D452B2" w14:textId="77777777" w:rsidR="006A3667" w:rsidRDefault="006A3667">
            <w:pPr>
              <w:jc w:val="right"/>
              <w:rPr>
                <w:rFonts w:ascii="宋体"/>
              </w:rPr>
            </w:pPr>
          </w:p>
        </w:tc>
      </w:tr>
      <w:tr w:rsidR="006A3667" w14:paraId="71D452C4" w14:textId="77777777">
        <w:trPr>
          <w:hidden/>
        </w:trPr>
        <w:tc>
          <w:tcPr>
            <w:tcW w:w="0" w:type="auto"/>
            <w:gridSpan w:val="3"/>
            <w:shd w:val="clear" w:color="auto" w:fill="auto"/>
            <w:vAlign w:val="bottom"/>
          </w:tcPr>
          <w:p w14:paraId="71D452B4" w14:textId="77777777" w:rsidR="006A3667" w:rsidRDefault="006A3667">
            <w:pPr>
              <w:rPr>
                <w:rFonts w:ascii="宋体"/>
                <w:vanish/>
              </w:rPr>
            </w:pPr>
          </w:p>
        </w:tc>
        <w:tc>
          <w:tcPr>
            <w:tcW w:w="0" w:type="auto"/>
            <w:gridSpan w:val="3"/>
            <w:shd w:val="clear" w:color="auto" w:fill="auto"/>
            <w:vAlign w:val="bottom"/>
          </w:tcPr>
          <w:p w14:paraId="71D452B5" w14:textId="77777777" w:rsidR="006A3667" w:rsidRDefault="006A3667">
            <w:pPr>
              <w:rPr>
                <w:rFonts w:ascii="宋体"/>
                <w:vanish/>
              </w:rPr>
            </w:pPr>
          </w:p>
        </w:tc>
        <w:tc>
          <w:tcPr>
            <w:tcW w:w="0" w:type="auto"/>
            <w:gridSpan w:val="3"/>
            <w:shd w:val="clear" w:color="auto" w:fill="auto"/>
            <w:vAlign w:val="bottom"/>
          </w:tcPr>
          <w:p w14:paraId="71D452B6" w14:textId="77777777" w:rsidR="006A3667" w:rsidRDefault="006A3667">
            <w:pPr>
              <w:rPr>
                <w:rFonts w:ascii="宋体"/>
                <w:vanish/>
              </w:rPr>
            </w:pPr>
          </w:p>
        </w:tc>
        <w:tc>
          <w:tcPr>
            <w:tcW w:w="0" w:type="auto"/>
            <w:gridSpan w:val="3"/>
            <w:shd w:val="clear" w:color="auto" w:fill="auto"/>
            <w:vAlign w:val="bottom"/>
          </w:tcPr>
          <w:p w14:paraId="71D452B7" w14:textId="77777777" w:rsidR="006A3667" w:rsidRDefault="006A3667">
            <w:pPr>
              <w:rPr>
                <w:rFonts w:ascii="宋体"/>
                <w:vanish/>
              </w:rPr>
            </w:pPr>
          </w:p>
        </w:tc>
        <w:tc>
          <w:tcPr>
            <w:tcW w:w="0" w:type="auto"/>
            <w:gridSpan w:val="3"/>
            <w:shd w:val="clear" w:color="auto" w:fill="auto"/>
            <w:vAlign w:val="bottom"/>
          </w:tcPr>
          <w:p w14:paraId="71D452B8" w14:textId="77777777" w:rsidR="006A3667" w:rsidRDefault="006A3667">
            <w:pPr>
              <w:rPr>
                <w:rFonts w:ascii="宋体"/>
                <w:vanish/>
              </w:rPr>
            </w:pPr>
          </w:p>
        </w:tc>
        <w:tc>
          <w:tcPr>
            <w:tcW w:w="0" w:type="auto"/>
            <w:gridSpan w:val="3"/>
            <w:shd w:val="clear" w:color="auto" w:fill="auto"/>
            <w:vAlign w:val="bottom"/>
          </w:tcPr>
          <w:p w14:paraId="71D452B9" w14:textId="77777777" w:rsidR="006A3667" w:rsidRDefault="006A3667">
            <w:pPr>
              <w:rPr>
                <w:rFonts w:ascii="宋体"/>
                <w:vanish/>
              </w:rPr>
            </w:pPr>
          </w:p>
        </w:tc>
        <w:tc>
          <w:tcPr>
            <w:tcW w:w="0" w:type="auto"/>
            <w:gridSpan w:val="3"/>
            <w:shd w:val="clear" w:color="auto" w:fill="auto"/>
            <w:vAlign w:val="bottom"/>
          </w:tcPr>
          <w:p w14:paraId="71D452BA" w14:textId="77777777" w:rsidR="006A3667" w:rsidRDefault="006A3667">
            <w:pPr>
              <w:rPr>
                <w:rFonts w:ascii="宋体"/>
                <w:vanish/>
              </w:rPr>
            </w:pPr>
          </w:p>
        </w:tc>
        <w:tc>
          <w:tcPr>
            <w:tcW w:w="0" w:type="auto"/>
            <w:gridSpan w:val="3"/>
            <w:shd w:val="clear" w:color="auto" w:fill="auto"/>
            <w:vAlign w:val="bottom"/>
          </w:tcPr>
          <w:p w14:paraId="71D452BB" w14:textId="77777777" w:rsidR="006A3667" w:rsidRDefault="006A3667">
            <w:pPr>
              <w:rPr>
                <w:rFonts w:ascii="宋体"/>
                <w:vanish/>
              </w:rPr>
            </w:pPr>
          </w:p>
        </w:tc>
        <w:tc>
          <w:tcPr>
            <w:tcW w:w="0" w:type="auto"/>
            <w:gridSpan w:val="3"/>
            <w:shd w:val="clear" w:color="auto" w:fill="auto"/>
            <w:vAlign w:val="bottom"/>
          </w:tcPr>
          <w:p w14:paraId="71D452BC" w14:textId="77777777" w:rsidR="006A3667" w:rsidRDefault="006A3667">
            <w:pPr>
              <w:rPr>
                <w:rFonts w:ascii="宋体"/>
                <w:vanish/>
              </w:rPr>
            </w:pPr>
          </w:p>
        </w:tc>
        <w:tc>
          <w:tcPr>
            <w:tcW w:w="0" w:type="auto"/>
            <w:gridSpan w:val="3"/>
            <w:shd w:val="clear" w:color="auto" w:fill="auto"/>
            <w:vAlign w:val="bottom"/>
          </w:tcPr>
          <w:p w14:paraId="71D452BD" w14:textId="77777777" w:rsidR="006A3667" w:rsidRDefault="006A3667">
            <w:pPr>
              <w:rPr>
                <w:rFonts w:ascii="宋体"/>
                <w:vanish/>
              </w:rPr>
            </w:pPr>
          </w:p>
        </w:tc>
        <w:tc>
          <w:tcPr>
            <w:tcW w:w="0" w:type="auto"/>
            <w:gridSpan w:val="3"/>
            <w:shd w:val="clear" w:color="auto" w:fill="auto"/>
            <w:vAlign w:val="bottom"/>
          </w:tcPr>
          <w:p w14:paraId="71D452BE" w14:textId="77777777" w:rsidR="006A3667" w:rsidRDefault="006A3667">
            <w:pPr>
              <w:rPr>
                <w:rFonts w:ascii="宋体"/>
                <w:vanish/>
              </w:rPr>
            </w:pPr>
          </w:p>
        </w:tc>
        <w:tc>
          <w:tcPr>
            <w:tcW w:w="0" w:type="auto"/>
            <w:gridSpan w:val="3"/>
            <w:shd w:val="clear" w:color="auto" w:fill="auto"/>
            <w:vAlign w:val="bottom"/>
          </w:tcPr>
          <w:p w14:paraId="71D452BF" w14:textId="77777777" w:rsidR="006A3667" w:rsidRDefault="006A3667">
            <w:pPr>
              <w:rPr>
                <w:rFonts w:ascii="宋体"/>
                <w:vanish/>
              </w:rPr>
            </w:pPr>
          </w:p>
        </w:tc>
        <w:tc>
          <w:tcPr>
            <w:tcW w:w="0" w:type="auto"/>
            <w:gridSpan w:val="3"/>
            <w:shd w:val="clear" w:color="auto" w:fill="auto"/>
            <w:vAlign w:val="bottom"/>
          </w:tcPr>
          <w:p w14:paraId="71D452C0" w14:textId="77777777" w:rsidR="006A3667" w:rsidRDefault="006A3667">
            <w:pPr>
              <w:rPr>
                <w:rFonts w:ascii="宋体"/>
                <w:vanish/>
              </w:rPr>
            </w:pPr>
          </w:p>
        </w:tc>
        <w:tc>
          <w:tcPr>
            <w:tcW w:w="0" w:type="auto"/>
            <w:gridSpan w:val="3"/>
            <w:shd w:val="clear" w:color="auto" w:fill="auto"/>
            <w:vAlign w:val="bottom"/>
          </w:tcPr>
          <w:p w14:paraId="71D452C1" w14:textId="77777777" w:rsidR="006A3667" w:rsidRDefault="006A3667">
            <w:pPr>
              <w:rPr>
                <w:rFonts w:ascii="宋体"/>
                <w:vanish/>
              </w:rPr>
            </w:pPr>
          </w:p>
        </w:tc>
        <w:tc>
          <w:tcPr>
            <w:tcW w:w="0" w:type="auto"/>
            <w:gridSpan w:val="3"/>
            <w:shd w:val="clear" w:color="auto" w:fill="auto"/>
            <w:vAlign w:val="bottom"/>
          </w:tcPr>
          <w:p w14:paraId="71D452C2" w14:textId="77777777" w:rsidR="006A3667" w:rsidRDefault="006A3667">
            <w:pPr>
              <w:rPr>
                <w:rFonts w:ascii="宋体"/>
                <w:vanish/>
              </w:rPr>
            </w:pPr>
          </w:p>
        </w:tc>
        <w:tc>
          <w:tcPr>
            <w:tcW w:w="0" w:type="auto"/>
            <w:gridSpan w:val="3"/>
            <w:shd w:val="clear" w:color="auto" w:fill="auto"/>
            <w:vAlign w:val="bottom"/>
          </w:tcPr>
          <w:p w14:paraId="71D452C3" w14:textId="77777777" w:rsidR="006A3667" w:rsidRDefault="006A3667">
            <w:pPr>
              <w:rPr>
                <w:rFonts w:ascii="宋体"/>
                <w:vanish/>
              </w:rPr>
            </w:pPr>
          </w:p>
        </w:tc>
      </w:tr>
      <w:tr w:rsidR="006A3667" w14:paraId="71D452DD" w14:textId="77777777">
        <w:tc>
          <w:tcPr>
            <w:tcW w:w="0" w:type="auto"/>
            <w:gridSpan w:val="3"/>
            <w:shd w:val="clear" w:color="auto" w:fill="FFFFFF"/>
            <w:tcMar>
              <w:top w:w="40" w:type="dxa"/>
              <w:left w:w="380" w:type="dxa"/>
              <w:bottom w:w="40" w:type="dxa"/>
              <w:right w:w="20" w:type="dxa"/>
            </w:tcMar>
            <w:vAlign w:val="bottom"/>
          </w:tcPr>
          <w:p w14:paraId="71D452C5" w14:textId="77777777" w:rsidR="006A3667" w:rsidRDefault="00045F32">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2C6" w14:textId="77777777" w:rsidR="006A3667" w:rsidRDefault="00045F32">
            <w:pPr>
              <w:jc w:val="right"/>
              <w:textAlignment w:val="bottom"/>
            </w:pPr>
            <w:r>
              <w:rPr>
                <w:rFonts w:ascii="Arial" w:eastAsia="宋体" w:hAnsi="Arial" w:cs="Arial"/>
                <w:b/>
                <w:bCs/>
                <w:color w:val="000000"/>
                <w:sz w:val="15"/>
                <w:szCs w:val="15"/>
              </w:rPr>
              <w:t>6,141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2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C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2C9"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2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C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2CC" w14:textId="77777777" w:rsidR="006A3667" w:rsidRDefault="00045F32">
            <w:pPr>
              <w:jc w:val="right"/>
              <w:textAlignment w:val="bottom"/>
            </w:pPr>
            <w:r>
              <w:rPr>
                <w:rFonts w:ascii="Arial" w:eastAsia="宋体" w:hAnsi="Arial" w:cs="Arial"/>
                <w:b/>
                <w:bCs/>
                <w:color w:val="000000"/>
                <w:sz w:val="15"/>
                <w:szCs w:val="15"/>
              </w:rPr>
              <w:t>268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2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C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2CF" w14:textId="77777777" w:rsidR="006A3667" w:rsidRDefault="00045F32">
            <w:pPr>
              <w:jc w:val="right"/>
              <w:textAlignment w:val="bottom"/>
            </w:pPr>
            <w:r>
              <w:rPr>
                <w:rFonts w:ascii="Arial" w:eastAsia="宋体" w:hAnsi="Arial" w:cs="Arial"/>
                <w:b/>
                <w:bCs/>
                <w:color w:val="000000"/>
                <w:sz w:val="15"/>
                <w:szCs w:val="15"/>
              </w:rPr>
              <w:t>5,873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2D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D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2D2" w14:textId="77777777" w:rsidR="006A3667" w:rsidRDefault="00045F32">
            <w:pPr>
              <w:jc w:val="right"/>
              <w:textAlignment w:val="bottom"/>
            </w:pPr>
            <w:r>
              <w:rPr>
                <w:rFonts w:ascii="Arial" w:eastAsia="宋体" w:hAnsi="Arial" w:cs="Arial"/>
                <w:color w:val="000000"/>
                <w:sz w:val="15"/>
                <w:szCs w:val="15"/>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2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D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2D5" w14:textId="77777777" w:rsidR="006A3667" w:rsidRDefault="00045F32">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2D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D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2D8" w14:textId="77777777" w:rsidR="006A3667" w:rsidRDefault="00045F32">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2D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D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2DB" w14:textId="77777777" w:rsidR="006A3667" w:rsidRDefault="00045F32">
            <w:pPr>
              <w:jc w:val="right"/>
              <w:textAlignment w:val="bottom"/>
            </w:pPr>
            <w:r>
              <w:rPr>
                <w:rFonts w:ascii="Arial" w:eastAsia="宋体" w:hAnsi="Arial" w:cs="Arial"/>
                <w:color w:val="000000"/>
                <w:sz w:val="15"/>
                <w:szCs w:val="15"/>
              </w:rPr>
              <w:t>1,555 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2DC" w14:textId="77777777" w:rsidR="006A3667" w:rsidRDefault="006A3667">
            <w:pPr>
              <w:jc w:val="right"/>
              <w:rPr>
                <w:rFonts w:ascii="宋体"/>
              </w:rPr>
            </w:pPr>
          </w:p>
        </w:tc>
      </w:tr>
      <w:tr w:rsidR="006A3667" w14:paraId="71D452EE" w14:textId="77777777">
        <w:tc>
          <w:tcPr>
            <w:tcW w:w="0" w:type="auto"/>
            <w:gridSpan w:val="3"/>
            <w:shd w:val="clear" w:color="auto" w:fill="CCEEFF"/>
            <w:tcMar>
              <w:top w:w="40" w:type="dxa"/>
              <w:left w:w="20" w:type="dxa"/>
              <w:bottom w:w="40" w:type="dxa"/>
              <w:right w:w="20" w:type="dxa"/>
            </w:tcMar>
            <w:vAlign w:val="bottom"/>
          </w:tcPr>
          <w:p w14:paraId="71D452DE" w14:textId="77777777" w:rsidR="006A3667" w:rsidRDefault="00045F32">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2D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2E0"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2E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2E2"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2E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2E4"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2E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2E6"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2E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2E8"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2E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2EA"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2E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2EC"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2ED" w14:textId="77777777" w:rsidR="006A3667" w:rsidRDefault="006A3667">
            <w:pPr>
              <w:rPr>
                <w:rFonts w:ascii="宋体"/>
              </w:rPr>
            </w:pPr>
          </w:p>
        </w:tc>
      </w:tr>
      <w:tr w:rsidR="006A3667" w14:paraId="71D45307" w14:textId="77777777">
        <w:tc>
          <w:tcPr>
            <w:tcW w:w="0" w:type="auto"/>
            <w:gridSpan w:val="3"/>
            <w:shd w:val="clear" w:color="auto" w:fill="FFFFFF"/>
            <w:tcMar>
              <w:top w:w="40" w:type="dxa"/>
              <w:left w:w="20" w:type="dxa"/>
              <w:bottom w:w="40" w:type="dxa"/>
              <w:right w:w="20" w:type="dxa"/>
            </w:tcMar>
            <w:vAlign w:val="bottom"/>
          </w:tcPr>
          <w:p w14:paraId="71D452EF" w14:textId="77777777" w:rsidR="006A3667" w:rsidRDefault="00045F32">
            <w:pPr>
              <w:textAlignment w:val="bottom"/>
            </w:pPr>
            <w:r>
              <w:rPr>
                <w:rFonts w:ascii="Arial" w:eastAsia="宋体" w:hAnsi="Arial" w:cs="Arial"/>
                <w:color w:val="000000"/>
                <w:sz w:val="15"/>
                <w:szCs w:val="15"/>
              </w:rPr>
              <w:t>Student loans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1D452F0" w14:textId="77777777" w:rsidR="006A3667" w:rsidRDefault="00045F32">
            <w:pPr>
              <w:jc w:val="right"/>
              <w:textAlignment w:val="bottom"/>
            </w:pPr>
            <w:r>
              <w:rPr>
                <w:rFonts w:ascii="Arial" w:eastAsia="宋体" w:hAnsi="Arial" w:cs="Arial"/>
                <w:b/>
                <w:bCs/>
                <w:color w:val="000000"/>
                <w:sz w:val="15"/>
                <w:szCs w:val="15"/>
              </w:rPr>
              <w:t>4,238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2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F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F3" w14:textId="77777777" w:rsidR="006A3667" w:rsidRDefault="00045F32">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2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F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F6" w14:textId="77777777" w:rsidR="006A3667" w:rsidRDefault="00045F32">
            <w:pPr>
              <w:jc w:val="right"/>
              <w:textAlignment w:val="bottom"/>
            </w:pPr>
            <w:r>
              <w:rPr>
                <w:rFonts w:ascii="Arial" w:eastAsia="宋体" w:hAnsi="Arial" w:cs="Arial"/>
                <w:b/>
                <w:bCs/>
                <w:color w:val="000000"/>
                <w:sz w:val="15"/>
                <w:szCs w:val="15"/>
              </w:rPr>
              <w:t>104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2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F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F9" w14:textId="77777777" w:rsidR="006A3667" w:rsidRDefault="00045F32">
            <w:pPr>
              <w:jc w:val="right"/>
              <w:textAlignment w:val="bottom"/>
            </w:pPr>
            <w:r>
              <w:rPr>
                <w:rFonts w:ascii="Arial" w:eastAsia="宋体" w:hAnsi="Arial" w:cs="Arial"/>
                <w:b/>
                <w:bCs/>
                <w:color w:val="000000"/>
                <w:sz w:val="15"/>
                <w:szCs w:val="15"/>
              </w:rPr>
              <w:t>4,135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52F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F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FC" w14:textId="77777777" w:rsidR="006A3667" w:rsidRDefault="00045F32">
            <w:pPr>
              <w:jc w:val="right"/>
              <w:textAlignment w:val="bottom"/>
            </w:pPr>
            <w:r>
              <w:rPr>
                <w:rFonts w:ascii="Arial" w:eastAsia="宋体" w:hAnsi="Arial" w:cs="Arial"/>
                <w:color w:val="000000"/>
                <w:sz w:val="15"/>
                <w:szCs w:val="15"/>
              </w:rPr>
              <w:t>4,908 </w:t>
            </w:r>
          </w:p>
        </w:tc>
        <w:tc>
          <w:tcPr>
            <w:tcW w:w="0" w:type="auto"/>
            <w:shd w:val="clear" w:color="auto" w:fill="FFFFFF"/>
            <w:tcMar>
              <w:top w:w="40" w:type="dxa"/>
              <w:left w:w="0" w:type="dxa"/>
              <w:bottom w:w="40" w:type="dxa"/>
              <w:right w:w="20" w:type="dxa"/>
            </w:tcMar>
            <w:vAlign w:val="bottom"/>
          </w:tcPr>
          <w:p w14:paraId="71D452F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2F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2FF" w14:textId="77777777" w:rsidR="006A3667" w:rsidRDefault="00045F32">
            <w:pPr>
              <w:jc w:val="right"/>
              <w:textAlignment w:val="bottom"/>
            </w:pPr>
            <w:r>
              <w:rPr>
                <w:rFonts w:ascii="Arial" w:eastAsia="宋体" w:hAnsi="Arial" w:cs="Arial"/>
                <w:color w:val="000000"/>
                <w:sz w:val="15"/>
                <w:szCs w:val="15"/>
              </w:rPr>
              <w:t>48 </w:t>
            </w:r>
          </w:p>
        </w:tc>
        <w:tc>
          <w:tcPr>
            <w:tcW w:w="0" w:type="auto"/>
            <w:shd w:val="clear" w:color="auto" w:fill="FFFFFF"/>
            <w:tcMar>
              <w:top w:w="40" w:type="dxa"/>
              <w:left w:w="0" w:type="dxa"/>
              <w:bottom w:w="40" w:type="dxa"/>
              <w:right w:w="20" w:type="dxa"/>
            </w:tcMar>
            <w:vAlign w:val="bottom"/>
          </w:tcPr>
          <w:p w14:paraId="71D453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0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302" w14:textId="77777777" w:rsidR="006A3667" w:rsidRDefault="00045F32">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71D453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0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305" w14:textId="77777777" w:rsidR="006A3667" w:rsidRDefault="00045F32">
            <w:pPr>
              <w:jc w:val="right"/>
              <w:textAlignment w:val="bottom"/>
            </w:pPr>
            <w:r>
              <w:rPr>
                <w:rFonts w:ascii="Arial" w:eastAsia="宋体" w:hAnsi="Arial" w:cs="Arial"/>
                <w:color w:val="000000"/>
                <w:sz w:val="15"/>
                <w:szCs w:val="15"/>
              </w:rPr>
              <w:t>4,942 </w:t>
            </w:r>
          </w:p>
        </w:tc>
        <w:tc>
          <w:tcPr>
            <w:tcW w:w="0" w:type="auto"/>
            <w:shd w:val="clear" w:color="auto" w:fill="FFFFFF"/>
            <w:tcMar>
              <w:top w:w="40" w:type="dxa"/>
              <w:left w:w="0" w:type="dxa"/>
              <w:bottom w:w="40" w:type="dxa"/>
              <w:right w:w="20" w:type="dxa"/>
            </w:tcMar>
            <w:vAlign w:val="bottom"/>
          </w:tcPr>
          <w:p w14:paraId="71D45306" w14:textId="77777777" w:rsidR="006A3667" w:rsidRDefault="006A3667">
            <w:pPr>
              <w:jc w:val="right"/>
              <w:rPr>
                <w:rFonts w:ascii="宋体"/>
              </w:rPr>
            </w:pPr>
          </w:p>
        </w:tc>
      </w:tr>
      <w:tr w:rsidR="006A3667" w14:paraId="71D45318" w14:textId="77777777">
        <w:trPr>
          <w:hidden/>
        </w:trPr>
        <w:tc>
          <w:tcPr>
            <w:tcW w:w="0" w:type="auto"/>
            <w:gridSpan w:val="3"/>
            <w:shd w:val="clear" w:color="auto" w:fill="auto"/>
            <w:vAlign w:val="bottom"/>
          </w:tcPr>
          <w:p w14:paraId="71D45308" w14:textId="77777777" w:rsidR="006A3667" w:rsidRDefault="006A3667">
            <w:pPr>
              <w:rPr>
                <w:rFonts w:ascii="宋体"/>
                <w:vanish/>
              </w:rPr>
            </w:pPr>
          </w:p>
        </w:tc>
        <w:tc>
          <w:tcPr>
            <w:tcW w:w="0" w:type="auto"/>
            <w:gridSpan w:val="3"/>
            <w:shd w:val="clear" w:color="auto" w:fill="auto"/>
            <w:vAlign w:val="bottom"/>
          </w:tcPr>
          <w:p w14:paraId="71D45309" w14:textId="77777777" w:rsidR="006A3667" w:rsidRDefault="006A3667">
            <w:pPr>
              <w:rPr>
                <w:rFonts w:ascii="宋体"/>
                <w:vanish/>
              </w:rPr>
            </w:pPr>
          </w:p>
        </w:tc>
        <w:tc>
          <w:tcPr>
            <w:tcW w:w="0" w:type="auto"/>
            <w:gridSpan w:val="3"/>
            <w:shd w:val="clear" w:color="auto" w:fill="auto"/>
            <w:vAlign w:val="bottom"/>
          </w:tcPr>
          <w:p w14:paraId="71D4530A" w14:textId="77777777" w:rsidR="006A3667" w:rsidRDefault="006A3667">
            <w:pPr>
              <w:rPr>
                <w:rFonts w:ascii="宋体"/>
                <w:vanish/>
              </w:rPr>
            </w:pPr>
          </w:p>
        </w:tc>
        <w:tc>
          <w:tcPr>
            <w:tcW w:w="0" w:type="auto"/>
            <w:gridSpan w:val="3"/>
            <w:shd w:val="clear" w:color="auto" w:fill="auto"/>
            <w:vAlign w:val="bottom"/>
          </w:tcPr>
          <w:p w14:paraId="71D4530B" w14:textId="77777777" w:rsidR="006A3667" w:rsidRDefault="006A3667">
            <w:pPr>
              <w:rPr>
                <w:rFonts w:ascii="宋体"/>
                <w:vanish/>
              </w:rPr>
            </w:pPr>
          </w:p>
        </w:tc>
        <w:tc>
          <w:tcPr>
            <w:tcW w:w="0" w:type="auto"/>
            <w:gridSpan w:val="3"/>
            <w:shd w:val="clear" w:color="auto" w:fill="auto"/>
            <w:vAlign w:val="bottom"/>
          </w:tcPr>
          <w:p w14:paraId="71D4530C" w14:textId="77777777" w:rsidR="006A3667" w:rsidRDefault="006A3667">
            <w:pPr>
              <w:rPr>
                <w:rFonts w:ascii="宋体"/>
                <w:vanish/>
              </w:rPr>
            </w:pPr>
          </w:p>
        </w:tc>
        <w:tc>
          <w:tcPr>
            <w:tcW w:w="0" w:type="auto"/>
            <w:gridSpan w:val="3"/>
            <w:shd w:val="clear" w:color="auto" w:fill="auto"/>
            <w:vAlign w:val="bottom"/>
          </w:tcPr>
          <w:p w14:paraId="71D4530D" w14:textId="77777777" w:rsidR="006A3667" w:rsidRDefault="006A3667">
            <w:pPr>
              <w:rPr>
                <w:rFonts w:ascii="宋体"/>
                <w:vanish/>
              </w:rPr>
            </w:pPr>
          </w:p>
        </w:tc>
        <w:tc>
          <w:tcPr>
            <w:tcW w:w="0" w:type="auto"/>
            <w:gridSpan w:val="3"/>
            <w:shd w:val="clear" w:color="auto" w:fill="auto"/>
            <w:vAlign w:val="bottom"/>
          </w:tcPr>
          <w:p w14:paraId="71D4530E" w14:textId="77777777" w:rsidR="006A3667" w:rsidRDefault="006A3667">
            <w:pPr>
              <w:rPr>
                <w:rFonts w:ascii="宋体"/>
                <w:vanish/>
              </w:rPr>
            </w:pPr>
          </w:p>
        </w:tc>
        <w:tc>
          <w:tcPr>
            <w:tcW w:w="0" w:type="auto"/>
            <w:gridSpan w:val="3"/>
            <w:shd w:val="clear" w:color="auto" w:fill="auto"/>
            <w:vAlign w:val="bottom"/>
          </w:tcPr>
          <w:p w14:paraId="71D4530F" w14:textId="77777777" w:rsidR="006A3667" w:rsidRDefault="006A3667">
            <w:pPr>
              <w:rPr>
                <w:rFonts w:ascii="宋体"/>
                <w:vanish/>
              </w:rPr>
            </w:pPr>
          </w:p>
        </w:tc>
        <w:tc>
          <w:tcPr>
            <w:tcW w:w="0" w:type="auto"/>
            <w:gridSpan w:val="3"/>
            <w:shd w:val="clear" w:color="auto" w:fill="auto"/>
            <w:vAlign w:val="bottom"/>
          </w:tcPr>
          <w:p w14:paraId="71D45310" w14:textId="77777777" w:rsidR="006A3667" w:rsidRDefault="006A3667">
            <w:pPr>
              <w:rPr>
                <w:rFonts w:ascii="宋体"/>
                <w:vanish/>
              </w:rPr>
            </w:pPr>
          </w:p>
        </w:tc>
        <w:tc>
          <w:tcPr>
            <w:tcW w:w="0" w:type="auto"/>
            <w:gridSpan w:val="3"/>
            <w:shd w:val="clear" w:color="auto" w:fill="auto"/>
            <w:vAlign w:val="bottom"/>
          </w:tcPr>
          <w:p w14:paraId="71D45311" w14:textId="77777777" w:rsidR="006A3667" w:rsidRDefault="006A3667">
            <w:pPr>
              <w:rPr>
                <w:rFonts w:ascii="宋体"/>
                <w:vanish/>
              </w:rPr>
            </w:pPr>
          </w:p>
        </w:tc>
        <w:tc>
          <w:tcPr>
            <w:tcW w:w="0" w:type="auto"/>
            <w:gridSpan w:val="3"/>
            <w:shd w:val="clear" w:color="auto" w:fill="auto"/>
            <w:vAlign w:val="bottom"/>
          </w:tcPr>
          <w:p w14:paraId="71D45312" w14:textId="77777777" w:rsidR="006A3667" w:rsidRDefault="006A3667">
            <w:pPr>
              <w:rPr>
                <w:rFonts w:ascii="宋体"/>
                <w:vanish/>
              </w:rPr>
            </w:pPr>
          </w:p>
        </w:tc>
        <w:tc>
          <w:tcPr>
            <w:tcW w:w="0" w:type="auto"/>
            <w:gridSpan w:val="3"/>
            <w:shd w:val="clear" w:color="auto" w:fill="auto"/>
            <w:vAlign w:val="bottom"/>
          </w:tcPr>
          <w:p w14:paraId="71D45313" w14:textId="77777777" w:rsidR="006A3667" w:rsidRDefault="006A3667">
            <w:pPr>
              <w:rPr>
                <w:rFonts w:ascii="宋体"/>
                <w:vanish/>
              </w:rPr>
            </w:pPr>
          </w:p>
        </w:tc>
        <w:tc>
          <w:tcPr>
            <w:tcW w:w="0" w:type="auto"/>
            <w:gridSpan w:val="3"/>
            <w:shd w:val="clear" w:color="auto" w:fill="auto"/>
            <w:vAlign w:val="bottom"/>
          </w:tcPr>
          <w:p w14:paraId="71D45314" w14:textId="77777777" w:rsidR="006A3667" w:rsidRDefault="006A3667">
            <w:pPr>
              <w:rPr>
                <w:rFonts w:ascii="宋体"/>
                <w:vanish/>
              </w:rPr>
            </w:pPr>
          </w:p>
        </w:tc>
        <w:tc>
          <w:tcPr>
            <w:tcW w:w="0" w:type="auto"/>
            <w:gridSpan w:val="3"/>
            <w:shd w:val="clear" w:color="auto" w:fill="auto"/>
            <w:vAlign w:val="bottom"/>
          </w:tcPr>
          <w:p w14:paraId="71D45315" w14:textId="77777777" w:rsidR="006A3667" w:rsidRDefault="006A3667">
            <w:pPr>
              <w:rPr>
                <w:rFonts w:ascii="宋体"/>
                <w:vanish/>
              </w:rPr>
            </w:pPr>
          </w:p>
        </w:tc>
        <w:tc>
          <w:tcPr>
            <w:tcW w:w="0" w:type="auto"/>
            <w:gridSpan w:val="3"/>
            <w:shd w:val="clear" w:color="auto" w:fill="auto"/>
            <w:vAlign w:val="bottom"/>
          </w:tcPr>
          <w:p w14:paraId="71D45316" w14:textId="77777777" w:rsidR="006A3667" w:rsidRDefault="006A3667">
            <w:pPr>
              <w:rPr>
                <w:rFonts w:ascii="宋体"/>
                <w:vanish/>
              </w:rPr>
            </w:pPr>
          </w:p>
        </w:tc>
        <w:tc>
          <w:tcPr>
            <w:tcW w:w="0" w:type="auto"/>
            <w:gridSpan w:val="3"/>
            <w:shd w:val="clear" w:color="auto" w:fill="auto"/>
            <w:vAlign w:val="bottom"/>
          </w:tcPr>
          <w:p w14:paraId="71D45317" w14:textId="77777777" w:rsidR="006A3667" w:rsidRDefault="006A3667">
            <w:pPr>
              <w:rPr>
                <w:rFonts w:ascii="宋体"/>
                <w:vanish/>
              </w:rPr>
            </w:pPr>
          </w:p>
        </w:tc>
      </w:tr>
      <w:tr w:rsidR="006A3667" w14:paraId="71D45329" w14:textId="77777777">
        <w:trPr>
          <w:hidden/>
        </w:trPr>
        <w:tc>
          <w:tcPr>
            <w:tcW w:w="0" w:type="auto"/>
            <w:gridSpan w:val="3"/>
            <w:shd w:val="clear" w:color="auto" w:fill="auto"/>
            <w:vAlign w:val="bottom"/>
          </w:tcPr>
          <w:p w14:paraId="71D45319" w14:textId="77777777" w:rsidR="006A3667" w:rsidRDefault="006A3667">
            <w:pPr>
              <w:rPr>
                <w:rFonts w:ascii="宋体"/>
                <w:vanish/>
              </w:rPr>
            </w:pPr>
          </w:p>
        </w:tc>
        <w:tc>
          <w:tcPr>
            <w:tcW w:w="0" w:type="auto"/>
            <w:gridSpan w:val="3"/>
            <w:shd w:val="clear" w:color="auto" w:fill="auto"/>
            <w:vAlign w:val="bottom"/>
          </w:tcPr>
          <w:p w14:paraId="71D4531A" w14:textId="77777777" w:rsidR="006A3667" w:rsidRDefault="006A3667">
            <w:pPr>
              <w:rPr>
                <w:rFonts w:ascii="宋体"/>
                <w:vanish/>
              </w:rPr>
            </w:pPr>
          </w:p>
        </w:tc>
        <w:tc>
          <w:tcPr>
            <w:tcW w:w="0" w:type="auto"/>
            <w:gridSpan w:val="3"/>
            <w:shd w:val="clear" w:color="auto" w:fill="auto"/>
            <w:vAlign w:val="bottom"/>
          </w:tcPr>
          <w:p w14:paraId="71D4531B" w14:textId="77777777" w:rsidR="006A3667" w:rsidRDefault="006A3667">
            <w:pPr>
              <w:rPr>
                <w:rFonts w:ascii="宋体"/>
                <w:vanish/>
              </w:rPr>
            </w:pPr>
          </w:p>
        </w:tc>
        <w:tc>
          <w:tcPr>
            <w:tcW w:w="0" w:type="auto"/>
            <w:gridSpan w:val="3"/>
            <w:shd w:val="clear" w:color="auto" w:fill="auto"/>
            <w:vAlign w:val="bottom"/>
          </w:tcPr>
          <w:p w14:paraId="71D4531C" w14:textId="77777777" w:rsidR="006A3667" w:rsidRDefault="006A3667">
            <w:pPr>
              <w:rPr>
                <w:rFonts w:ascii="宋体"/>
                <w:vanish/>
              </w:rPr>
            </w:pPr>
          </w:p>
        </w:tc>
        <w:tc>
          <w:tcPr>
            <w:tcW w:w="0" w:type="auto"/>
            <w:gridSpan w:val="3"/>
            <w:shd w:val="clear" w:color="auto" w:fill="auto"/>
            <w:vAlign w:val="bottom"/>
          </w:tcPr>
          <w:p w14:paraId="71D4531D" w14:textId="77777777" w:rsidR="006A3667" w:rsidRDefault="006A3667">
            <w:pPr>
              <w:rPr>
                <w:rFonts w:ascii="宋体"/>
                <w:vanish/>
              </w:rPr>
            </w:pPr>
          </w:p>
        </w:tc>
        <w:tc>
          <w:tcPr>
            <w:tcW w:w="0" w:type="auto"/>
            <w:gridSpan w:val="3"/>
            <w:shd w:val="clear" w:color="auto" w:fill="auto"/>
            <w:vAlign w:val="bottom"/>
          </w:tcPr>
          <w:p w14:paraId="71D4531E" w14:textId="77777777" w:rsidR="006A3667" w:rsidRDefault="006A3667">
            <w:pPr>
              <w:rPr>
                <w:rFonts w:ascii="宋体"/>
                <w:vanish/>
              </w:rPr>
            </w:pPr>
          </w:p>
        </w:tc>
        <w:tc>
          <w:tcPr>
            <w:tcW w:w="0" w:type="auto"/>
            <w:gridSpan w:val="3"/>
            <w:shd w:val="clear" w:color="auto" w:fill="auto"/>
            <w:vAlign w:val="bottom"/>
          </w:tcPr>
          <w:p w14:paraId="71D4531F" w14:textId="77777777" w:rsidR="006A3667" w:rsidRDefault="006A3667">
            <w:pPr>
              <w:rPr>
                <w:rFonts w:ascii="宋体"/>
                <w:vanish/>
              </w:rPr>
            </w:pPr>
          </w:p>
        </w:tc>
        <w:tc>
          <w:tcPr>
            <w:tcW w:w="0" w:type="auto"/>
            <w:gridSpan w:val="3"/>
            <w:shd w:val="clear" w:color="auto" w:fill="auto"/>
            <w:vAlign w:val="bottom"/>
          </w:tcPr>
          <w:p w14:paraId="71D45320" w14:textId="77777777" w:rsidR="006A3667" w:rsidRDefault="006A3667">
            <w:pPr>
              <w:rPr>
                <w:rFonts w:ascii="宋体"/>
                <w:vanish/>
              </w:rPr>
            </w:pPr>
          </w:p>
        </w:tc>
        <w:tc>
          <w:tcPr>
            <w:tcW w:w="0" w:type="auto"/>
            <w:gridSpan w:val="3"/>
            <w:shd w:val="clear" w:color="auto" w:fill="auto"/>
            <w:vAlign w:val="bottom"/>
          </w:tcPr>
          <w:p w14:paraId="71D45321" w14:textId="77777777" w:rsidR="006A3667" w:rsidRDefault="006A3667">
            <w:pPr>
              <w:rPr>
                <w:rFonts w:ascii="宋体"/>
                <w:vanish/>
              </w:rPr>
            </w:pPr>
          </w:p>
        </w:tc>
        <w:tc>
          <w:tcPr>
            <w:tcW w:w="0" w:type="auto"/>
            <w:gridSpan w:val="3"/>
            <w:shd w:val="clear" w:color="auto" w:fill="auto"/>
            <w:vAlign w:val="bottom"/>
          </w:tcPr>
          <w:p w14:paraId="71D45322" w14:textId="77777777" w:rsidR="006A3667" w:rsidRDefault="006A3667">
            <w:pPr>
              <w:rPr>
                <w:rFonts w:ascii="宋体"/>
                <w:vanish/>
              </w:rPr>
            </w:pPr>
          </w:p>
        </w:tc>
        <w:tc>
          <w:tcPr>
            <w:tcW w:w="0" w:type="auto"/>
            <w:gridSpan w:val="3"/>
            <w:shd w:val="clear" w:color="auto" w:fill="auto"/>
            <w:vAlign w:val="bottom"/>
          </w:tcPr>
          <w:p w14:paraId="71D45323" w14:textId="77777777" w:rsidR="006A3667" w:rsidRDefault="006A3667">
            <w:pPr>
              <w:rPr>
                <w:rFonts w:ascii="宋体"/>
                <w:vanish/>
              </w:rPr>
            </w:pPr>
          </w:p>
        </w:tc>
        <w:tc>
          <w:tcPr>
            <w:tcW w:w="0" w:type="auto"/>
            <w:gridSpan w:val="3"/>
            <w:shd w:val="clear" w:color="auto" w:fill="auto"/>
            <w:vAlign w:val="bottom"/>
          </w:tcPr>
          <w:p w14:paraId="71D45324" w14:textId="77777777" w:rsidR="006A3667" w:rsidRDefault="006A3667">
            <w:pPr>
              <w:rPr>
                <w:rFonts w:ascii="宋体"/>
                <w:vanish/>
              </w:rPr>
            </w:pPr>
          </w:p>
        </w:tc>
        <w:tc>
          <w:tcPr>
            <w:tcW w:w="0" w:type="auto"/>
            <w:gridSpan w:val="3"/>
            <w:shd w:val="clear" w:color="auto" w:fill="auto"/>
            <w:vAlign w:val="bottom"/>
          </w:tcPr>
          <w:p w14:paraId="71D45325" w14:textId="77777777" w:rsidR="006A3667" w:rsidRDefault="006A3667">
            <w:pPr>
              <w:rPr>
                <w:rFonts w:ascii="宋体"/>
                <w:vanish/>
              </w:rPr>
            </w:pPr>
          </w:p>
        </w:tc>
        <w:tc>
          <w:tcPr>
            <w:tcW w:w="0" w:type="auto"/>
            <w:gridSpan w:val="3"/>
            <w:shd w:val="clear" w:color="auto" w:fill="auto"/>
            <w:vAlign w:val="bottom"/>
          </w:tcPr>
          <w:p w14:paraId="71D45326" w14:textId="77777777" w:rsidR="006A3667" w:rsidRDefault="006A3667">
            <w:pPr>
              <w:rPr>
                <w:rFonts w:ascii="宋体"/>
                <w:vanish/>
              </w:rPr>
            </w:pPr>
          </w:p>
        </w:tc>
        <w:tc>
          <w:tcPr>
            <w:tcW w:w="0" w:type="auto"/>
            <w:gridSpan w:val="3"/>
            <w:shd w:val="clear" w:color="auto" w:fill="auto"/>
            <w:vAlign w:val="bottom"/>
          </w:tcPr>
          <w:p w14:paraId="71D45327" w14:textId="77777777" w:rsidR="006A3667" w:rsidRDefault="006A3667">
            <w:pPr>
              <w:rPr>
                <w:rFonts w:ascii="宋体"/>
                <w:vanish/>
              </w:rPr>
            </w:pPr>
          </w:p>
        </w:tc>
        <w:tc>
          <w:tcPr>
            <w:tcW w:w="0" w:type="auto"/>
            <w:gridSpan w:val="3"/>
            <w:shd w:val="clear" w:color="auto" w:fill="auto"/>
            <w:vAlign w:val="bottom"/>
          </w:tcPr>
          <w:p w14:paraId="71D45328" w14:textId="77777777" w:rsidR="006A3667" w:rsidRDefault="006A3667">
            <w:pPr>
              <w:rPr>
                <w:rFonts w:ascii="宋体"/>
                <w:vanish/>
              </w:rPr>
            </w:pPr>
          </w:p>
        </w:tc>
      </w:tr>
      <w:tr w:rsidR="006A3667" w14:paraId="71D45342" w14:textId="77777777">
        <w:tc>
          <w:tcPr>
            <w:tcW w:w="0" w:type="auto"/>
            <w:gridSpan w:val="3"/>
            <w:shd w:val="clear" w:color="auto" w:fill="CCEEFF"/>
            <w:tcMar>
              <w:top w:w="40" w:type="dxa"/>
              <w:left w:w="20" w:type="dxa"/>
              <w:bottom w:w="40" w:type="dxa"/>
              <w:right w:w="20" w:type="dxa"/>
            </w:tcMar>
            <w:vAlign w:val="bottom"/>
          </w:tcPr>
          <w:p w14:paraId="71D4532A" w14:textId="77777777" w:rsidR="006A3667" w:rsidRDefault="00045F32">
            <w:pP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(8)</w:t>
            </w:r>
          </w:p>
        </w:tc>
        <w:tc>
          <w:tcPr>
            <w:tcW w:w="0" w:type="auto"/>
            <w:gridSpan w:val="2"/>
            <w:shd w:val="clear" w:color="auto" w:fill="CCEEFF"/>
            <w:tcMar>
              <w:top w:w="40" w:type="dxa"/>
              <w:left w:w="20" w:type="dxa"/>
              <w:bottom w:w="40" w:type="dxa"/>
              <w:right w:w="0" w:type="dxa"/>
            </w:tcMar>
            <w:vAlign w:val="bottom"/>
          </w:tcPr>
          <w:p w14:paraId="71D4532B" w14:textId="77777777" w:rsidR="006A3667" w:rsidRDefault="00045F32">
            <w:pPr>
              <w:jc w:val="right"/>
              <w:textAlignment w:val="bottom"/>
            </w:pPr>
            <w:r>
              <w:rPr>
                <w:rFonts w:ascii="Arial" w:eastAsia="宋体" w:hAnsi="Arial" w:cs="Arial"/>
                <w:b/>
                <w:bCs/>
                <w:color w:val="000000"/>
                <w:sz w:val="15"/>
                <w:szCs w:val="15"/>
              </w:rPr>
              <w:t>249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3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3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32E" w14:textId="77777777" w:rsidR="006A3667" w:rsidRDefault="00045F32">
            <w:pPr>
              <w:jc w:val="right"/>
              <w:textAlignment w:val="bottom"/>
            </w:pPr>
            <w:r>
              <w:rPr>
                <w:rFonts w:ascii="Arial" w:eastAsia="宋体" w:hAnsi="Arial" w:cs="Arial"/>
                <w:b/>
                <w:bCs/>
                <w:color w:val="000000"/>
                <w:sz w:val="15"/>
                <w:szCs w:val="15"/>
              </w:rPr>
              <w:t>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3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3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331"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3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33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334" w14:textId="77777777" w:rsidR="006A3667" w:rsidRDefault="00045F32">
            <w:pPr>
              <w:jc w:val="right"/>
              <w:textAlignment w:val="bottom"/>
            </w:pPr>
            <w:r>
              <w:rPr>
                <w:rFonts w:ascii="Arial" w:eastAsia="宋体" w:hAnsi="Arial" w:cs="Arial"/>
                <w:b/>
                <w:bCs/>
                <w:color w:val="000000"/>
                <w:sz w:val="15"/>
                <w:szCs w:val="15"/>
              </w:rPr>
              <w:t>268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3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33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337" w14:textId="77777777" w:rsidR="006A3667" w:rsidRDefault="00045F32">
            <w:pPr>
              <w:jc w:val="right"/>
              <w:textAlignment w:val="bottom"/>
            </w:pPr>
            <w:r>
              <w:rPr>
                <w:rFonts w:ascii="Arial" w:eastAsia="宋体" w:hAnsi="Arial" w:cs="Arial"/>
                <w:color w:val="000000"/>
                <w:sz w:val="15"/>
                <w:szCs w:val="15"/>
              </w:rPr>
              <w:t>307 </w:t>
            </w:r>
          </w:p>
        </w:tc>
        <w:tc>
          <w:tcPr>
            <w:tcW w:w="0" w:type="auto"/>
            <w:shd w:val="clear" w:color="auto" w:fill="CCEEFF"/>
            <w:tcMar>
              <w:top w:w="40" w:type="dxa"/>
              <w:left w:w="0" w:type="dxa"/>
              <w:bottom w:w="40" w:type="dxa"/>
              <w:right w:w="20" w:type="dxa"/>
            </w:tcMar>
            <w:vAlign w:val="bottom"/>
          </w:tcPr>
          <w:p w14:paraId="71D453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33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33A" w14:textId="77777777" w:rsidR="006A3667" w:rsidRDefault="00045F32">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71D453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3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33D"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53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33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340" w14:textId="77777777" w:rsidR="006A3667" w:rsidRDefault="00045F32">
            <w:pPr>
              <w:jc w:val="right"/>
              <w:textAlignment w:val="bottom"/>
            </w:pPr>
            <w:r>
              <w:rPr>
                <w:rFonts w:ascii="Arial" w:eastAsia="宋体" w:hAnsi="Arial" w:cs="Arial"/>
                <w:color w:val="000000"/>
                <w:sz w:val="15"/>
                <w:szCs w:val="15"/>
              </w:rPr>
              <w:t>329 </w:t>
            </w:r>
          </w:p>
        </w:tc>
        <w:tc>
          <w:tcPr>
            <w:tcW w:w="0" w:type="auto"/>
            <w:shd w:val="clear" w:color="auto" w:fill="CCEEFF"/>
            <w:tcMar>
              <w:top w:w="40" w:type="dxa"/>
              <w:left w:w="0" w:type="dxa"/>
              <w:bottom w:w="40" w:type="dxa"/>
              <w:right w:w="20" w:type="dxa"/>
            </w:tcMar>
            <w:vAlign w:val="bottom"/>
          </w:tcPr>
          <w:p w14:paraId="71D45341" w14:textId="77777777" w:rsidR="006A3667" w:rsidRDefault="006A3667">
            <w:pPr>
              <w:jc w:val="right"/>
              <w:rPr>
                <w:rFonts w:ascii="宋体"/>
              </w:rPr>
            </w:pPr>
          </w:p>
        </w:tc>
      </w:tr>
      <w:tr w:rsidR="006A3667" w14:paraId="71D45353" w14:textId="77777777">
        <w:trPr>
          <w:hidden/>
        </w:trPr>
        <w:tc>
          <w:tcPr>
            <w:tcW w:w="0" w:type="auto"/>
            <w:gridSpan w:val="3"/>
            <w:shd w:val="clear" w:color="auto" w:fill="auto"/>
            <w:vAlign w:val="bottom"/>
          </w:tcPr>
          <w:p w14:paraId="71D45343" w14:textId="77777777" w:rsidR="006A3667" w:rsidRDefault="006A3667">
            <w:pPr>
              <w:rPr>
                <w:rFonts w:ascii="宋体"/>
                <w:vanish/>
              </w:rPr>
            </w:pPr>
          </w:p>
        </w:tc>
        <w:tc>
          <w:tcPr>
            <w:tcW w:w="0" w:type="auto"/>
            <w:gridSpan w:val="3"/>
            <w:shd w:val="clear" w:color="auto" w:fill="auto"/>
            <w:vAlign w:val="bottom"/>
          </w:tcPr>
          <w:p w14:paraId="71D45344" w14:textId="77777777" w:rsidR="006A3667" w:rsidRDefault="006A3667">
            <w:pPr>
              <w:rPr>
                <w:rFonts w:ascii="宋体"/>
                <w:vanish/>
              </w:rPr>
            </w:pPr>
          </w:p>
        </w:tc>
        <w:tc>
          <w:tcPr>
            <w:tcW w:w="0" w:type="auto"/>
            <w:gridSpan w:val="3"/>
            <w:shd w:val="clear" w:color="auto" w:fill="auto"/>
            <w:vAlign w:val="bottom"/>
          </w:tcPr>
          <w:p w14:paraId="71D45345" w14:textId="77777777" w:rsidR="006A3667" w:rsidRDefault="006A3667">
            <w:pPr>
              <w:rPr>
                <w:rFonts w:ascii="宋体"/>
                <w:vanish/>
              </w:rPr>
            </w:pPr>
          </w:p>
        </w:tc>
        <w:tc>
          <w:tcPr>
            <w:tcW w:w="0" w:type="auto"/>
            <w:gridSpan w:val="3"/>
            <w:shd w:val="clear" w:color="auto" w:fill="auto"/>
            <w:vAlign w:val="bottom"/>
          </w:tcPr>
          <w:p w14:paraId="71D45346" w14:textId="77777777" w:rsidR="006A3667" w:rsidRDefault="006A3667">
            <w:pPr>
              <w:rPr>
                <w:rFonts w:ascii="宋体"/>
                <w:vanish/>
              </w:rPr>
            </w:pPr>
          </w:p>
        </w:tc>
        <w:tc>
          <w:tcPr>
            <w:tcW w:w="0" w:type="auto"/>
            <w:gridSpan w:val="3"/>
            <w:shd w:val="clear" w:color="auto" w:fill="auto"/>
            <w:vAlign w:val="bottom"/>
          </w:tcPr>
          <w:p w14:paraId="71D45347" w14:textId="77777777" w:rsidR="006A3667" w:rsidRDefault="006A3667">
            <w:pPr>
              <w:rPr>
                <w:rFonts w:ascii="宋体"/>
                <w:vanish/>
              </w:rPr>
            </w:pPr>
          </w:p>
        </w:tc>
        <w:tc>
          <w:tcPr>
            <w:tcW w:w="0" w:type="auto"/>
            <w:gridSpan w:val="3"/>
            <w:shd w:val="clear" w:color="auto" w:fill="auto"/>
            <w:vAlign w:val="bottom"/>
          </w:tcPr>
          <w:p w14:paraId="71D45348" w14:textId="77777777" w:rsidR="006A3667" w:rsidRDefault="006A3667">
            <w:pPr>
              <w:rPr>
                <w:rFonts w:ascii="宋体"/>
                <w:vanish/>
              </w:rPr>
            </w:pPr>
          </w:p>
        </w:tc>
        <w:tc>
          <w:tcPr>
            <w:tcW w:w="0" w:type="auto"/>
            <w:gridSpan w:val="3"/>
            <w:shd w:val="clear" w:color="auto" w:fill="auto"/>
            <w:vAlign w:val="bottom"/>
          </w:tcPr>
          <w:p w14:paraId="71D45349" w14:textId="77777777" w:rsidR="006A3667" w:rsidRDefault="006A3667">
            <w:pPr>
              <w:rPr>
                <w:rFonts w:ascii="宋体"/>
                <w:vanish/>
              </w:rPr>
            </w:pPr>
          </w:p>
        </w:tc>
        <w:tc>
          <w:tcPr>
            <w:tcW w:w="0" w:type="auto"/>
            <w:gridSpan w:val="3"/>
            <w:shd w:val="clear" w:color="auto" w:fill="auto"/>
            <w:vAlign w:val="bottom"/>
          </w:tcPr>
          <w:p w14:paraId="71D4534A" w14:textId="77777777" w:rsidR="006A3667" w:rsidRDefault="006A3667">
            <w:pPr>
              <w:rPr>
                <w:rFonts w:ascii="宋体"/>
                <w:vanish/>
              </w:rPr>
            </w:pPr>
          </w:p>
        </w:tc>
        <w:tc>
          <w:tcPr>
            <w:tcW w:w="0" w:type="auto"/>
            <w:gridSpan w:val="3"/>
            <w:shd w:val="clear" w:color="auto" w:fill="auto"/>
            <w:vAlign w:val="bottom"/>
          </w:tcPr>
          <w:p w14:paraId="71D4534B" w14:textId="77777777" w:rsidR="006A3667" w:rsidRDefault="006A3667">
            <w:pPr>
              <w:rPr>
                <w:rFonts w:ascii="宋体"/>
                <w:vanish/>
              </w:rPr>
            </w:pPr>
          </w:p>
        </w:tc>
        <w:tc>
          <w:tcPr>
            <w:tcW w:w="0" w:type="auto"/>
            <w:gridSpan w:val="3"/>
            <w:shd w:val="clear" w:color="auto" w:fill="auto"/>
            <w:vAlign w:val="bottom"/>
          </w:tcPr>
          <w:p w14:paraId="71D4534C" w14:textId="77777777" w:rsidR="006A3667" w:rsidRDefault="006A3667">
            <w:pPr>
              <w:rPr>
                <w:rFonts w:ascii="宋体"/>
                <w:vanish/>
              </w:rPr>
            </w:pPr>
          </w:p>
        </w:tc>
        <w:tc>
          <w:tcPr>
            <w:tcW w:w="0" w:type="auto"/>
            <w:gridSpan w:val="3"/>
            <w:shd w:val="clear" w:color="auto" w:fill="auto"/>
            <w:vAlign w:val="bottom"/>
          </w:tcPr>
          <w:p w14:paraId="71D4534D" w14:textId="77777777" w:rsidR="006A3667" w:rsidRDefault="006A3667">
            <w:pPr>
              <w:rPr>
                <w:rFonts w:ascii="宋体"/>
                <w:vanish/>
              </w:rPr>
            </w:pPr>
          </w:p>
        </w:tc>
        <w:tc>
          <w:tcPr>
            <w:tcW w:w="0" w:type="auto"/>
            <w:gridSpan w:val="3"/>
            <w:shd w:val="clear" w:color="auto" w:fill="auto"/>
            <w:vAlign w:val="bottom"/>
          </w:tcPr>
          <w:p w14:paraId="71D4534E" w14:textId="77777777" w:rsidR="006A3667" w:rsidRDefault="006A3667">
            <w:pPr>
              <w:rPr>
                <w:rFonts w:ascii="宋体"/>
                <w:vanish/>
              </w:rPr>
            </w:pPr>
          </w:p>
        </w:tc>
        <w:tc>
          <w:tcPr>
            <w:tcW w:w="0" w:type="auto"/>
            <w:gridSpan w:val="3"/>
            <w:shd w:val="clear" w:color="auto" w:fill="auto"/>
            <w:vAlign w:val="bottom"/>
          </w:tcPr>
          <w:p w14:paraId="71D4534F" w14:textId="77777777" w:rsidR="006A3667" w:rsidRDefault="006A3667">
            <w:pPr>
              <w:rPr>
                <w:rFonts w:ascii="宋体"/>
                <w:vanish/>
              </w:rPr>
            </w:pPr>
          </w:p>
        </w:tc>
        <w:tc>
          <w:tcPr>
            <w:tcW w:w="0" w:type="auto"/>
            <w:gridSpan w:val="3"/>
            <w:shd w:val="clear" w:color="auto" w:fill="auto"/>
            <w:vAlign w:val="bottom"/>
          </w:tcPr>
          <w:p w14:paraId="71D45350" w14:textId="77777777" w:rsidR="006A3667" w:rsidRDefault="006A3667">
            <w:pPr>
              <w:rPr>
                <w:rFonts w:ascii="宋体"/>
                <w:vanish/>
              </w:rPr>
            </w:pPr>
          </w:p>
        </w:tc>
        <w:tc>
          <w:tcPr>
            <w:tcW w:w="0" w:type="auto"/>
            <w:gridSpan w:val="3"/>
            <w:shd w:val="clear" w:color="auto" w:fill="auto"/>
            <w:vAlign w:val="bottom"/>
          </w:tcPr>
          <w:p w14:paraId="71D45351" w14:textId="77777777" w:rsidR="006A3667" w:rsidRDefault="006A3667">
            <w:pPr>
              <w:rPr>
                <w:rFonts w:ascii="宋体"/>
                <w:vanish/>
              </w:rPr>
            </w:pPr>
          </w:p>
        </w:tc>
        <w:tc>
          <w:tcPr>
            <w:tcW w:w="0" w:type="auto"/>
            <w:gridSpan w:val="3"/>
            <w:shd w:val="clear" w:color="auto" w:fill="auto"/>
            <w:vAlign w:val="bottom"/>
          </w:tcPr>
          <w:p w14:paraId="71D45352" w14:textId="77777777" w:rsidR="006A3667" w:rsidRDefault="006A3667">
            <w:pPr>
              <w:rPr>
                <w:rFonts w:ascii="宋体"/>
                <w:vanish/>
              </w:rPr>
            </w:pPr>
          </w:p>
        </w:tc>
      </w:tr>
      <w:tr w:rsidR="006A3667" w14:paraId="71D4536C" w14:textId="77777777">
        <w:tc>
          <w:tcPr>
            <w:tcW w:w="0" w:type="auto"/>
            <w:gridSpan w:val="3"/>
            <w:shd w:val="clear" w:color="auto" w:fill="FFFFFF"/>
            <w:tcMar>
              <w:top w:w="40" w:type="dxa"/>
              <w:left w:w="380" w:type="dxa"/>
              <w:bottom w:w="40" w:type="dxa"/>
              <w:right w:w="20" w:type="dxa"/>
            </w:tcMar>
            <w:vAlign w:val="bottom"/>
          </w:tcPr>
          <w:p w14:paraId="71D45354" w14:textId="77777777" w:rsidR="006A3667" w:rsidRDefault="00045F32">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355" w14:textId="77777777" w:rsidR="006A3667" w:rsidRDefault="00045F32">
            <w:pPr>
              <w:jc w:val="right"/>
              <w:textAlignment w:val="bottom"/>
            </w:pPr>
            <w:r>
              <w:rPr>
                <w:rFonts w:ascii="Arial" w:eastAsia="宋体" w:hAnsi="Arial" w:cs="Arial"/>
                <w:b/>
                <w:bCs/>
                <w:color w:val="000000"/>
                <w:sz w:val="15"/>
                <w:szCs w:val="15"/>
              </w:rPr>
              <w:t>4,487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3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5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358" w14:textId="77777777" w:rsidR="006A3667" w:rsidRDefault="00045F32">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3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5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35B" w14:textId="77777777" w:rsidR="006A3667" w:rsidRDefault="00045F32">
            <w:pPr>
              <w:jc w:val="right"/>
              <w:textAlignment w:val="bottom"/>
            </w:pPr>
            <w:r>
              <w:rPr>
                <w:rFonts w:ascii="Arial" w:eastAsia="宋体" w:hAnsi="Arial" w:cs="Arial"/>
                <w:b/>
                <w:bCs/>
                <w:color w:val="000000"/>
                <w:sz w:val="15"/>
                <w:szCs w:val="15"/>
              </w:rPr>
              <w:t>104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3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5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35E" w14:textId="77777777" w:rsidR="006A3667" w:rsidRDefault="00045F32">
            <w:pPr>
              <w:jc w:val="right"/>
              <w:textAlignment w:val="bottom"/>
            </w:pPr>
            <w:r>
              <w:rPr>
                <w:rFonts w:ascii="Arial" w:eastAsia="宋体" w:hAnsi="Arial" w:cs="Arial"/>
                <w:b/>
                <w:bCs/>
                <w:color w:val="000000"/>
                <w:sz w:val="15"/>
                <w:szCs w:val="15"/>
              </w:rPr>
              <w:t>4,403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3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6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361" w14:textId="77777777" w:rsidR="006A3667" w:rsidRDefault="00045F32">
            <w:pPr>
              <w:jc w:val="right"/>
              <w:textAlignment w:val="bottom"/>
            </w:pPr>
            <w:r>
              <w:rPr>
                <w:rFonts w:ascii="Arial" w:eastAsia="宋体" w:hAnsi="Arial" w:cs="Arial"/>
                <w:color w:val="000000"/>
                <w:sz w:val="15"/>
                <w:szCs w:val="15"/>
              </w:rPr>
              <w:t>5,215 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3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6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364" w14:textId="77777777" w:rsidR="006A3667" w:rsidRDefault="00045F32">
            <w:pPr>
              <w:jc w:val="right"/>
              <w:textAlignment w:val="bottom"/>
            </w:pPr>
            <w:r>
              <w:rPr>
                <w:rFonts w:ascii="Arial" w:eastAsia="宋体" w:hAnsi="Arial" w:cs="Arial"/>
                <w:color w:val="000000"/>
                <w:sz w:val="15"/>
                <w:szCs w:val="15"/>
              </w:rPr>
              <w:t>70 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36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6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367" w14:textId="77777777" w:rsidR="006A3667" w:rsidRDefault="00045F32">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36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36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36A" w14:textId="77777777" w:rsidR="006A3667" w:rsidRDefault="00045F32">
            <w:pPr>
              <w:jc w:val="right"/>
              <w:textAlignment w:val="bottom"/>
            </w:pPr>
            <w:r>
              <w:rPr>
                <w:rFonts w:ascii="Arial" w:eastAsia="宋体" w:hAnsi="Arial" w:cs="Arial"/>
                <w:color w:val="000000"/>
                <w:sz w:val="15"/>
                <w:szCs w:val="15"/>
              </w:rPr>
              <w:t>5,271 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36B" w14:textId="77777777" w:rsidR="006A3667" w:rsidRDefault="006A3667">
            <w:pPr>
              <w:jc w:val="right"/>
              <w:rPr>
                <w:rFonts w:ascii="宋体"/>
              </w:rPr>
            </w:pPr>
          </w:p>
        </w:tc>
      </w:tr>
      <w:tr w:rsidR="006A3667" w14:paraId="71D4537D" w14:textId="77777777">
        <w:trPr>
          <w:hidden/>
        </w:trPr>
        <w:tc>
          <w:tcPr>
            <w:tcW w:w="0" w:type="auto"/>
            <w:gridSpan w:val="3"/>
            <w:shd w:val="clear" w:color="auto" w:fill="auto"/>
            <w:vAlign w:val="bottom"/>
          </w:tcPr>
          <w:p w14:paraId="71D4536D" w14:textId="77777777" w:rsidR="006A3667" w:rsidRDefault="006A3667">
            <w:pPr>
              <w:rPr>
                <w:rFonts w:ascii="宋体"/>
                <w:vanish/>
              </w:rPr>
            </w:pPr>
          </w:p>
        </w:tc>
        <w:tc>
          <w:tcPr>
            <w:tcW w:w="0" w:type="auto"/>
            <w:gridSpan w:val="3"/>
            <w:shd w:val="clear" w:color="auto" w:fill="auto"/>
            <w:vAlign w:val="bottom"/>
          </w:tcPr>
          <w:p w14:paraId="71D4536E" w14:textId="77777777" w:rsidR="006A3667" w:rsidRDefault="006A3667">
            <w:pPr>
              <w:rPr>
                <w:rFonts w:ascii="宋体"/>
                <w:vanish/>
              </w:rPr>
            </w:pPr>
          </w:p>
        </w:tc>
        <w:tc>
          <w:tcPr>
            <w:tcW w:w="0" w:type="auto"/>
            <w:gridSpan w:val="3"/>
            <w:shd w:val="clear" w:color="auto" w:fill="auto"/>
            <w:vAlign w:val="bottom"/>
          </w:tcPr>
          <w:p w14:paraId="71D4536F" w14:textId="77777777" w:rsidR="006A3667" w:rsidRDefault="006A3667">
            <w:pPr>
              <w:rPr>
                <w:rFonts w:ascii="宋体"/>
                <w:vanish/>
              </w:rPr>
            </w:pPr>
          </w:p>
        </w:tc>
        <w:tc>
          <w:tcPr>
            <w:tcW w:w="0" w:type="auto"/>
            <w:gridSpan w:val="3"/>
            <w:shd w:val="clear" w:color="auto" w:fill="auto"/>
            <w:vAlign w:val="bottom"/>
          </w:tcPr>
          <w:p w14:paraId="71D45370" w14:textId="77777777" w:rsidR="006A3667" w:rsidRDefault="006A3667">
            <w:pPr>
              <w:rPr>
                <w:rFonts w:ascii="宋体"/>
                <w:vanish/>
              </w:rPr>
            </w:pPr>
          </w:p>
        </w:tc>
        <w:tc>
          <w:tcPr>
            <w:tcW w:w="0" w:type="auto"/>
            <w:gridSpan w:val="3"/>
            <w:shd w:val="clear" w:color="auto" w:fill="auto"/>
            <w:vAlign w:val="bottom"/>
          </w:tcPr>
          <w:p w14:paraId="71D45371" w14:textId="77777777" w:rsidR="006A3667" w:rsidRDefault="006A3667">
            <w:pPr>
              <w:rPr>
                <w:rFonts w:ascii="宋体"/>
                <w:vanish/>
              </w:rPr>
            </w:pPr>
          </w:p>
        </w:tc>
        <w:tc>
          <w:tcPr>
            <w:tcW w:w="0" w:type="auto"/>
            <w:gridSpan w:val="3"/>
            <w:shd w:val="clear" w:color="auto" w:fill="auto"/>
            <w:vAlign w:val="bottom"/>
          </w:tcPr>
          <w:p w14:paraId="71D45372" w14:textId="77777777" w:rsidR="006A3667" w:rsidRDefault="006A3667">
            <w:pPr>
              <w:rPr>
                <w:rFonts w:ascii="宋体"/>
                <w:vanish/>
              </w:rPr>
            </w:pPr>
          </w:p>
        </w:tc>
        <w:tc>
          <w:tcPr>
            <w:tcW w:w="0" w:type="auto"/>
            <w:gridSpan w:val="3"/>
            <w:shd w:val="clear" w:color="auto" w:fill="auto"/>
            <w:vAlign w:val="bottom"/>
          </w:tcPr>
          <w:p w14:paraId="71D45373" w14:textId="77777777" w:rsidR="006A3667" w:rsidRDefault="006A3667">
            <w:pPr>
              <w:rPr>
                <w:rFonts w:ascii="宋体"/>
                <w:vanish/>
              </w:rPr>
            </w:pPr>
          </w:p>
        </w:tc>
        <w:tc>
          <w:tcPr>
            <w:tcW w:w="0" w:type="auto"/>
            <w:gridSpan w:val="3"/>
            <w:shd w:val="clear" w:color="auto" w:fill="auto"/>
            <w:vAlign w:val="bottom"/>
          </w:tcPr>
          <w:p w14:paraId="71D45374" w14:textId="77777777" w:rsidR="006A3667" w:rsidRDefault="006A3667">
            <w:pPr>
              <w:rPr>
                <w:rFonts w:ascii="宋体"/>
                <w:vanish/>
              </w:rPr>
            </w:pPr>
          </w:p>
        </w:tc>
        <w:tc>
          <w:tcPr>
            <w:tcW w:w="0" w:type="auto"/>
            <w:gridSpan w:val="3"/>
            <w:shd w:val="clear" w:color="auto" w:fill="auto"/>
            <w:vAlign w:val="bottom"/>
          </w:tcPr>
          <w:p w14:paraId="71D45375" w14:textId="77777777" w:rsidR="006A3667" w:rsidRDefault="006A3667">
            <w:pPr>
              <w:rPr>
                <w:rFonts w:ascii="宋体"/>
                <w:vanish/>
              </w:rPr>
            </w:pPr>
          </w:p>
        </w:tc>
        <w:tc>
          <w:tcPr>
            <w:tcW w:w="0" w:type="auto"/>
            <w:gridSpan w:val="3"/>
            <w:shd w:val="clear" w:color="auto" w:fill="auto"/>
            <w:vAlign w:val="bottom"/>
          </w:tcPr>
          <w:p w14:paraId="71D45376" w14:textId="77777777" w:rsidR="006A3667" w:rsidRDefault="006A3667">
            <w:pPr>
              <w:rPr>
                <w:rFonts w:ascii="宋体"/>
                <w:vanish/>
              </w:rPr>
            </w:pPr>
          </w:p>
        </w:tc>
        <w:tc>
          <w:tcPr>
            <w:tcW w:w="0" w:type="auto"/>
            <w:gridSpan w:val="3"/>
            <w:shd w:val="clear" w:color="auto" w:fill="auto"/>
            <w:vAlign w:val="bottom"/>
          </w:tcPr>
          <w:p w14:paraId="71D45377" w14:textId="77777777" w:rsidR="006A3667" w:rsidRDefault="006A3667">
            <w:pPr>
              <w:rPr>
                <w:rFonts w:ascii="宋体"/>
                <w:vanish/>
              </w:rPr>
            </w:pPr>
          </w:p>
        </w:tc>
        <w:tc>
          <w:tcPr>
            <w:tcW w:w="0" w:type="auto"/>
            <w:gridSpan w:val="3"/>
            <w:shd w:val="clear" w:color="auto" w:fill="auto"/>
            <w:vAlign w:val="bottom"/>
          </w:tcPr>
          <w:p w14:paraId="71D45378" w14:textId="77777777" w:rsidR="006A3667" w:rsidRDefault="006A3667">
            <w:pPr>
              <w:rPr>
                <w:rFonts w:ascii="宋体"/>
                <w:vanish/>
              </w:rPr>
            </w:pPr>
          </w:p>
        </w:tc>
        <w:tc>
          <w:tcPr>
            <w:tcW w:w="0" w:type="auto"/>
            <w:gridSpan w:val="3"/>
            <w:shd w:val="clear" w:color="auto" w:fill="auto"/>
            <w:vAlign w:val="bottom"/>
          </w:tcPr>
          <w:p w14:paraId="71D45379" w14:textId="77777777" w:rsidR="006A3667" w:rsidRDefault="006A3667">
            <w:pPr>
              <w:rPr>
                <w:rFonts w:ascii="宋体"/>
                <w:vanish/>
              </w:rPr>
            </w:pPr>
          </w:p>
        </w:tc>
        <w:tc>
          <w:tcPr>
            <w:tcW w:w="0" w:type="auto"/>
            <w:gridSpan w:val="3"/>
            <w:shd w:val="clear" w:color="auto" w:fill="auto"/>
            <w:vAlign w:val="bottom"/>
          </w:tcPr>
          <w:p w14:paraId="71D4537A" w14:textId="77777777" w:rsidR="006A3667" w:rsidRDefault="006A3667">
            <w:pPr>
              <w:rPr>
                <w:rFonts w:ascii="宋体"/>
                <w:vanish/>
              </w:rPr>
            </w:pPr>
          </w:p>
        </w:tc>
        <w:tc>
          <w:tcPr>
            <w:tcW w:w="0" w:type="auto"/>
            <w:gridSpan w:val="3"/>
            <w:shd w:val="clear" w:color="auto" w:fill="auto"/>
            <w:vAlign w:val="bottom"/>
          </w:tcPr>
          <w:p w14:paraId="71D4537B" w14:textId="77777777" w:rsidR="006A3667" w:rsidRDefault="006A3667">
            <w:pPr>
              <w:rPr>
                <w:rFonts w:ascii="宋体"/>
                <w:vanish/>
              </w:rPr>
            </w:pPr>
          </w:p>
        </w:tc>
        <w:tc>
          <w:tcPr>
            <w:tcW w:w="0" w:type="auto"/>
            <w:gridSpan w:val="3"/>
            <w:shd w:val="clear" w:color="auto" w:fill="auto"/>
            <w:vAlign w:val="bottom"/>
          </w:tcPr>
          <w:p w14:paraId="71D4537C" w14:textId="77777777" w:rsidR="006A3667" w:rsidRDefault="006A3667">
            <w:pPr>
              <w:rPr>
                <w:rFonts w:ascii="宋体"/>
                <w:vanish/>
              </w:rPr>
            </w:pPr>
          </w:p>
        </w:tc>
      </w:tr>
      <w:tr w:rsidR="006A3667" w14:paraId="71D4538E" w14:textId="77777777">
        <w:trPr>
          <w:hidden/>
        </w:trPr>
        <w:tc>
          <w:tcPr>
            <w:tcW w:w="0" w:type="auto"/>
            <w:gridSpan w:val="3"/>
            <w:shd w:val="clear" w:color="auto" w:fill="auto"/>
            <w:vAlign w:val="bottom"/>
          </w:tcPr>
          <w:p w14:paraId="71D4537E" w14:textId="77777777" w:rsidR="006A3667" w:rsidRDefault="006A3667">
            <w:pPr>
              <w:rPr>
                <w:rFonts w:ascii="宋体"/>
                <w:vanish/>
              </w:rPr>
            </w:pPr>
          </w:p>
        </w:tc>
        <w:tc>
          <w:tcPr>
            <w:tcW w:w="0" w:type="auto"/>
            <w:gridSpan w:val="3"/>
            <w:shd w:val="clear" w:color="auto" w:fill="auto"/>
            <w:vAlign w:val="bottom"/>
          </w:tcPr>
          <w:p w14:paraId="71D4537F" w14:textId="77777777" w:rsidR="006A3667" w:rsidRDefault="006A3667">
            <w:pPr>
              <w:rPr>
                <w:rFonts w:ascii="宋体"/>
                <w:vanish/>
              </w:rPr>
            </w:pPr>
          </w:p>
        </w:tc>
        <w:tc>
          <w:tcPr>
            <w:tcW w:w="0" w:type="auto"/>
            <w:gridSpan w:val="3"/>
            <w:shd w:val="clear" w:color="auto" w:fill="auto"/>
            <w:vAlign w:val="bottom"/>
          </w:tcPr>
          <w:p w14:paraId="71D45380" w14:textId="77777777" w:rsidR="006A3667" w:rsidRDefault="006A3667">
            <w:pPr>
              <w:rPr>
                <w:rFonts w:ascii="宋体"/>
                <w:vanish/>
              </w:rPr>
            </w:pPr>
          </w:p>
        </w:tc>
        <w:tc>
          <w:tcPr>
            <w:tcW w:w="0" w:type="auto"/>
            <w:gridSpan w:val="3"/>
            <w:shd w:val="clear" w:color="auto" w:fill="auto"/>
            <w:vAlign w:val="bottom"/>
          </w:tcPr>
          <w:p w14:paraId="71D45381" w14:textId="77777777" w:rsidR="006A3667" w:rsidRDefault="006A3667">
            <w:pPr>
              <w:rPr>
                <w:rFonts w:ascii="宋体"/>
                <w:vanish/>
              </w:rPr>
            </w:pPr>
          </w:p>
        </w:tc>
        <w:tc>
          <w:tcPr>
            <w:tcW w:w="0" w:type="auto"/>
            <w:gridSpan w:val="3"/>
            <w:shd w:val="clear" w:color="auto" w:fill="auto"/>
            <w:vAlign w:val="bottom"/>
          </w:tcPr>
          <w:p w14:paraId="71D45382" w14:textId="77777777" w:rsidR="006A3667" w:rsidRDefault="006A3667">
            <w:pPr>
              <w:rPr>
                <w:rFonts w:ascii="宋体"/>
                <w:vanish/>
              </w:rPr>
            </w:pPr>
          </w:p>
        </w:tc>
        <w:tc>
          <w:tcPr>
            <w:tcW w:w="0" w:type="auto"/>
            <w:gridSpan w:val="3"/>
            <w:shd w:val="clear" w:color="auto" w:fill="auto"/>
            <w:vAlign w:val="bottom"/>
          </w:tcPr>
          <w:p w14:paraId="71D45383" w14:textId="77777777" w:rsidR="006A3667" w:rsidRDefault="006A3667">
            <w:pPr>
              <w:rPr>
                <w:rFonts w:ascii="宋体"/>
                <w:vanish/>
              </w:rPr>
            </w:pPr>
          </w:p>
        </w:tc>
        <w:tc>
          <w:tcPr>
            <w:tcW w:w="0" w:type="auto"/>
            <w:gridSpan w:val="3"/>
            <w:shd w:val="clear" w:color="auto" w:fill="auto"/>
            <w:vAlign w:val="bottom"/>
          </w:tcPr>
          <w:p w14:paraId="71D45384" w14:textId="77777777" w:rsidR="006A3667" w:rsidRDefault="006A3667">
            <w:pPr>
              <w:rPr>
                <w:rFonts w:ascii="宋体"/>
                <w:vanish/>
              </w:rPr>
            </w:pPr>
          </w:p>
        </w:tc>
        <w:tc>
          <w:tcPr>
            <w:tcW w:w="0" w:type="auto"/>
            <w:gridSpan w:val="3"/>
            <w:shd w:val="clear" w:color="auto" w:fill="auto"/>
            <w:vAlign w:val="bottom"/>
          </w:tcPr>
          <w:p w14:paraId="71D45385" w14:textId="77777777" w:rsidR="006A3667" w:rsidRDefault="006A3667">
            <w:pPr>
              <w:rPr>
                <w:rFonts w:ascii="宋体"/>
                <w:vanish/>
              </w:rPr>
            </w:pPr>
          </w:p>
        </w:tc>
        <w:tc>
          <w:tcPr>
            <w:tcW w:w="0" w:type="auto"/>
            <w:gridSpan w:val="3"/>
            <w:shd w:val="clear" w:color="auto" w:fill="auto"/>
            <w:vAlign w:val="bottom"/>
          </w:tcPr>
          <w:p w14:paraId="71D45386" w14:textId="77777777" w:rsidR="006A3667" w:rsidRDefault="006A3667">
            <w:pPr>
              <w:rPr>
                <w:rFonts w:ascii="宋体"/>
                <w:vanish/>
              </w:rPr>
            </w:pPr>
          </w:p>
        </w:tc>
        <w:tc>
          <w:tcPr>
            <w:tcW w:w="0" w:type="auto"/>
            <w:gridSpan w:val="3"/>
            <w:shd w:val="clear" w:color="auto" w:fill="auto"/>
            <w:vAlign w:val="bottom"/>
          </w:tcPr>
          <w:p w14:paraId="71D45387" w14:textId="77777777" w:rsidR="006A3667" w:rsidRDefault="006A3667">
            <w:pPr>
              <w:rPr>
                <w:rFonts w:ascii="宋体"/>
                <w:vanish/>
              </w:rPr>
            </w:pPr>
          </w:p>
        </w:tc>
        <w:tc>
          <w:tcPr>
            <w:tcW w:w="0" w:type="auto"/>
            <w:gridSpan w:val="3"/>
            <w:shd w:val="clear" w:color="auto" w:fill="auto"/>
            <w:vAlign w:val="bottom"/>
          </w:tcPr>
          <w:p w14:paraId="71D45388" w14:textId="77777777" w:rsidR="006A3667" w:rsidRDefault="006A3667">
            <w:pPr>
              <w:rPr>
                <w:rFonts w:ascii="宋体"/>
                <w:vanish/>
              </w:rPr>
            </w:pPr>
          </w:p>
        </w:tc>
        <w:tc>
          <w:tcPr>
            <w:tcW w:w="0" w:type="auto"/>
            <w:gridSpan w:val="3"/>
            <w:shd w:val="clear" w:color="auto" w:fill="auto"/>
            <w:vAlign w:val="bottom"/>
          </w:tcPr>
          <w:p w14:paraId="71D45389" w14:textId="77777777" w:rsidR="006A3667" w:rsidRDefault="006A3667">
            <w:pPr>
              <w:rPr>
                <w:rFonts w:ascii="宋体"/>
                <w:vanish/>
              </w:rPr>
            </w:pPr>
          </w:p>
        </w:tc>
        <w:tc>
          <w:tcPr>
            <w:tcW w:w="0" w:type="auto"/>
            <w:gridSpan w:val="3"/>
            <w:shd w:val="clear" w:color="auto" w:fill="auto"/>
            <w:vAlign w:val="bottom"/>
          </w:tcPr>
          <w:p w14:paraId="71D4538A" w14:textId="77777777" w:rsidR="006A3667" w:rsidRDefault="006A3667">
            <w:pPr>
              <w:rPr>
                <w:rFonts w:ascii="宋体"/>
                <w:vanish/>
              </w:rPr>
            </w:pPr>
          </w:p>
        </w:tc>
        <w:tc>
          <w:tcPr>
            <w:tcW w:w="0" w:type="auto"/>
            <w:gridSpan w:val="3"/>
            <w:shd w:val="clear" w:color="auto" w:fill="auto"/>
            <w:vAlign w:val="bottom"/>
          </w:tcPr>
          <w:p w14:paraId="71D4538B" w14:textId="77777777" w:rsidR="006A3667" w:rsidRDefault="006A3667">
            <w:pPr>
              <w:rPr>
                <w:rFonts w:ascii="宋体"/>
                <w:vanish/>
              </w:rPr>
            </w:pPr>
          </w:p>
        </w:tc>
        <w:tc>
          <w:tcPr>
            <w:tcW w:w="0" w:type="auto"/>
            <w:gridSpan w:val="3"/>
            <w:shd w:val="clear" w:color="auto" w:fill="auto"/>
            <w:vAlign w:val="bottom"/>
          </w:tcPr>
          <w:p w14:paraId="71D4538C" w14:textId="77777777" w:rsidR="006A3667" w:rsidRDefault="006A3667">
            <w:pPr>
              <w:rPr>
                <w:rFonts w:ascii="宋体"/>
                <w:vanish/>
              </w:rPr>
            </w:pPr>
          </w:p>
        </w:tc>
        <w:tc>
          <w:tcPr>
            <w:tcW w:w="0" w:type="auto"/>
            <w:gridSpan w:val="3"/>
            <w:shd w:val="clear" w:color="auto" w:fill="auto"/>
            <w:vAlign w:val="bottom"/>
          </w:tcPr>
          <w:p w14:paraId="71D4538D" w14:textId="77777777" w:rsidR="006A3667" w:rsidRDefault="006A3667">
            <w:pPr>
              <w:rPr>
                <w:rFonts w:ascii="宋体"/>
                <w:vanish/>
              </w:rPr>
            </w:pPr>
          </w:p>
        </w:tc>
      </w:tr>
      <w:tr w:rsidR="006A3667" w14:paraId="71D4539F" w14:textId="77777777">
        <w:trPr>
          <w:hidden/>
        </w:trPr>
        <w:tc>
          <w:tcPr>
            <w:tcW w:w="0" w:type="auto"/>
            <w:gridSpan w:val="3"/>
            <w:shd w:val="clear" w:color="auto" w:fill="auto"/>
            <w:vAlign w:val="bottom"/>
          </w:tcPr>
          <w:p w14:paraId="71D4538F" w14:textId="77777777" w:rsidR="006A3667" w:rsidRDefault="006A3667">
            <w:pPr>
              <w:rPr>
                <w:rFonts w:ascii="宋体"/>
                <w:vanish/>
              </w:rPr>
            </w:pPr>
          </w:p>
        </w:tc>
        <w:tc>
          <w:tcPr>
            <w:tcW w:w="0" w:type="auto"/>
            <w:gridSpan w:val="3"/>
            <w:shd w:val="clear" w:color="auto" w:fill="auto"/>
            <w:vAlign w:val="bottom"/>
          </w:tcPr>
          <w:p w14:paraId="71D45390" w14:textId="77777777" w:rsidR="006A3667" w:rsidRDefault="006A3667">
            <w:pPr>
              <w:rPr>
                <w:rFonts w:ascii="宋体"/>
                <w:vanish/>
              </w:rPr>
            </w:pPr>
          </w:p>
        </w:tc>
        <w:tc>
          <w:tcPr>
            <w:tcW w:w="0" w:type="auto"/>
            <w:gridSpan w:val="3"/>
            <w:shd w:val="clear" w:color="auto" w:fill="auto"/>
            <w:vAlign w:val="bottom"/>
          </w:tcPr>
          <w:p w14:paraId="71D45391" w14:textId="77777777" w:rsidR="006A3667" w:rsidRDefault="006A3667">
            <w:pPr>
              <w:rPr>
                <w:rFonts w:ascii="宋体"/>
                <w:vanish/>
              </w:rPr>
            </w:pPr>
          </w:p>
        </w:tc>
        <w:tc>
          <w:tcPr>
            <w:tcW w:w="0" w:type="auto"/>
            <w:gridSpan w:val="3"/>
            <w:shd w:val="clear" w:color="auto" w:fill="auto"/>
            <w:vAlign w:val="bottom"/>
          </w:tcPr>
          <w:p w14:paraId="71D45392" w14:textId="77777777" w:rsidR="006A3667" w:rsidRDefault="006A3667">
            <w:pPr>
              <w:rPr>
                <w:rFonts w:ascii="宋体"/>
                <w:vanish/>
              </w:rPr>
            </w:pPr>
          </w:p>
        </w:tc>
        <w:tc>
          <w:tcPr>
            <w:tcW w:w="0" w:type="auto"/>
            <w:gridSpan w:val="3"/>
            <w:shd w:val="clear" w:color="auto" w:fill="auto"/>
            <w:vAlign w:val="bottom"/>
          </w:tcPr>
          <w:p w14:paraId="71D45393" w14:textId="77777777" w:rsidR="006A3667" w:rsidRDefault="006A3667">
            <w:pPr>
              <w:rPr>
                <w:rFonts w:ascii="宋体"/>
                <w:vanish/>
              </w:rPr>
            </w:pPr>
          </w:p>
        </w:tc>
        <w:tc>
          <w:tcPr>
            <w:tcW w:w="0" w:type="auto"/>
            <w:gridSpan w:val="3"/>
            <w:shd w:val="clear" w:color="auto" w:fill="auto"/>
            <w:vAlign w:val="bottom"/>
          </w:tcPr>
          <w:p w14:paraId="71D45394" w14:textId="77777777" w:rsidR="006A3667" w:rsidRDefault="006A3667">
            <w:pPr>
              <w:rPr>
                <w:rFonts w:ascii="宋体"/>
                <w:vanish/>
              </w:rPr>
            </w:pPr>
          </w:p>
        </w:tc>
        <w:tc>
          <w:tcPr>
            <w:tcW w:w="0" w:type="auto"/>
            <w:gridSpan w:val="3"/>
            <w:shd w:val="clear" w:color="auto" w:fill="auto"/>
            <w:vAlign w:val="bottom"/>
          </w:tcPr>
          <w:p w14:paraId="71D45395" w14:textId="77777777" w:rsidR="006A3667" w:rsidRDefault="006A3667">
            <w:pPr>
              <w:rPr>
                <w:rFonts w:ascii="宋体"/>
                <w:vanish/>
              </w:rPr>
            </w:pPr>
          </w:p>
        </w:tc>
        <w:tc>
          <w:tcPr>
            <w:tcW w:w="0" w:type="auto"/>
            <w:gridSpan w:val="3"/>
            <w:shd w:val="clear" w:color="auto" w:fill="auto"/>
            <w:vAlign w:val="bottom"/>
          </w:tcPr>
          <w:p w14:paraId="71D45396" w14:textId="77777777" w:rsidR="006A3667" w:rsidRDefault="006A3667">
            <w:pPr>
              <w:rPr>
                <w:rFonts w:ascii="宋体"/>
                <w:vanish/>
              </w:rPr>
            </w:pPr>
          </w:p>
        </w:tc>
        <w:tc>
          <w:tcPr>
            <w:tcW w:w="0" w:type="auto"/>
            <w:gridSpan w:val="3"/>
            <w:shd w:val="clear" w:color="auto" w:fill="auto"/>
            <w:vAlign w:val="bottom"/>
          </w:tcPr>
          <w:p w14:paraId="71D45397" w14:textId="77777777" w:rsidR="006A3667" w:rsidRDefault="006A3667">
            <w:pPr>
              <w:rPr>
                <w:rFonts w:ascii="宋体"/>
                <w:vanish/>
              </w:rPr>
            </w:pPr>
          </w:p>
        </w:tc>
        <w:tc>
          <w:tcPr>
            <w:tcW w:w="0" w:type="auto"/>
            <w:gridSpan w:val="3"/>
            <w:shd w:val="clear" w:color="auto" w:fill="auto"/>
            <w:vAlign w:val="bottom"/>
          </w:tcPr>
          <w:p w14:paraId="71D45398" w14:textId="77777777" w:rsidR="006A3667" w:rsidRDefault="006A3667">
            <w:pPr>
              <w:rPr>
                <w:rFonts w:ascii="宋体"/>
                <w:vanish/>
              </w:rPr>
            </w:pPr>
          </w:p>
        </w:tc>
        <w:tc>
          <w:tcPr>
            <w:tcW w:w="0" w:type="auto"/>
            <w:gridSpan w:val="3"/>
            <w:shd w:val="clear" w:color="auto" w:fill="auto"/>
            <w:vAlign w:val="bottom"/>
          </w:tcPr>
          <w:p w14:paraId="71D45399" w14:textId="77777777" w:rsidR="006A3667" w:rsidRDefault="006A3667">
            <w:pPr>
              <w:rPr>
                <w:rFonts w:ascii="宋体"/>
                <w:vanish/>
              </w:rPr>
            </w:pPr>
          </w:p>
        </w:tc>
        <w:tc>
          <w:tcPr>
            <w:tcW w:w="0" w:type="auto"/>
            <w:gridSpan w:val="3"/>
            <w:shd w:val="clear" w:color="auto" w:fill="auto"/>
            <w:vAlign w:val="bottom"/>
          </w:tcPr>
          <w:p w14:paraId="71D4539A" w14:textId="77777777" w:rsidR="006A3667" w:rsidRDefault="006A3667">
            <w:pPr>
              <w:rPr>
                <w:rFonts w:ascii="宋体"/>
                <w:vanish/>
              </w:rPr>
            </w:pPr>
          </w:p>
        </w:tc>
        <w:tc>
          <w:tcPr>
            <w:tcW w:w="0" w:type="auto"/>
            <w:gridSpan w:val="3"/>
            <w:shd w:val="clear" w:color="auto" w:fill="auto"/>
            <w:vAlign w:val="bottom"/>
          </w:tcPr>
          <w:p w14:paraId="71D4539B" w14:textId="77777777" w:rsidR="006A3667" w:rsidRDefault="006A3667">
            <w:pPr>
              <w:rPr>
                <w:rFonts w:ascii="宋体"/>
                <w:vanish/>
              </w:rPr>
            </w:pPr>
          </w:p>
        </w:tc>
        <w:tc>
          <w:tcPr>
            <w:tcW w:w="0" w:type="auto"/>
            <w:gridSpan w:val="3"/>
            <w:shd w:val="clear" w:color="auto" w:fill="auto"/>
            <w:vAlign w:val="bottom"/>
          </w:tcPr>
          <w:p w14:paraId="71D4539C" w14:textId="77777777" w:rsidR="006A3667" w:rsidRDefault="006A3667">
            <w:pPr>
              <w:rPr>
                <w:rFonts w:ascii="宋体"/>
                <w:vanish/>
              </w:rPr>
            </w:pPr>
          </w:p>
        </w:tc>
        <w:tc>
          <w:tcPr>
            <w:tcW w:w="0" w:type="auto"/>
            <w:gridSpan w:val="3"/>
            <w:shd w:val="clear" w:color="auto" w:fill="auto"/>
            <w:vAlign w:val="bottom"/>
          </w:tcPr>
          <w:p w14:paraId="71D4539D" w14:textId="77777777" w:rsidR="006A3667" w:rsidRDefault="006A3667">
            <w:pPr>
              <w:rPr>
                <w:rFonts w:ascii="宋体"/>
                <w:vanish/>
              </w:rPr>
            </w:pPr>
          </w:p>
        </w:tc>
        <w:tc>
          <w:tcPr>
            <w:tcW w:w="0" w:type="auto"/>
            <w:gridSpan w:val="3"/>
            <w:shd w:val="clear" w:color="auto" w:fill="auto"/>
            <w:vAlign w:val="bottom"/>
          </w:tcPr>
          <w:p w14:paraId="71D4539E" w14:textId="77777777" w:rsidR="006A3667" w:rsidRDefault="006A3667">
            <w:pPr>
              <w:rPr>
                <w:rFonts w:ascii="宋体"/>
                <w:vanish/>
              </w:rPr>
            </w:pPr>
          </w:p>
        </w:tc>
      </w:tr>
      <w:tr w:rsidR="006A3667" w14:paraId="71D453B0" w14:textId="77777777">
        <w:trPr>
          <w:hidden/>
        </w:trPr>
        <w:tc>
          <w:tcPr>
            <w:tcW w:w="0" w:type="auto"/>
            <w:gridSpan w:val="3"/>
            <w:shd w:val="clear" w:color="auto" w:fill="auto"/>
            <w:vAlign w:val="bottom"/>
          </w:tcPr>
          <w:p w14:paraId="71D453A0" w14:textId="77777777" w:rsidR="006A3667" w:rsidRDefault="006A3667">
            <w:pPr>
              <w:rPr>
                <w:rFonts w:ascii="宋体"/>
                <w:vanish/>
              </w:rPr>
            </w:pPr>
          </w:p>
        </w:tc>
        <w:tc>
          <w:tcPr>
            <w:tcW w:w="0" w:type="auto"/>
            <w:gridSpan w:val="3"/>
            <w:shd w:val="clear" w:color="auto" w:fill="auto"/>
            <w:vAlign w:val="bottom"/>
          </w:tcPr>
          <w:p w14:paraId="71D453A1" w14:textId="77777777" w:rsidR="006A3667" w:rsidRDefault="006A3667">
            <w:pPr>
              <w:rPr>
                <w:rFonts w:ascii="宋体"/>
                <w:vanish/>
              </w:rPr>
            </w:pPr>
          </w:p>
        </w:tc>
        <w:tc>
          <w:tcPr>
            <w:tcW w:w="0" w:type="auto"/>
            <w:gridSpan w:val="3"/>
            <w:shd w:val="clear" w:color="auto" w:fill="auto"/>
            <w:vAlign w:val="bottom"/>
          </w:tcPr>
          <w:p w14:paraId="71D453A2" w14:textId="77777777" w:rsidR="006A3667" w:rsidRDefault="006A3667">
            <w:pPr>
              <w:rPr>
                <w:rFonts w:ascii="宋体"/>
                <w:vanish/>
              </w:rPr>
            </w:pPr>
          </w:p>
        </w:tc>
        <w:tc>
          <w:tcPr>
            <w:tcW w:w="0" w:type="auto"/>
            <w:gridSpan w:val="3"/>
            <w:shd w:val="clear" w:color="auto" w:fill="auto"/>
            <w:vAlign w:val="bottom"/>
          </w:tcPr>
          <w:p w14:paraId="71D453A3" w14:textId="77777777" w:rsidR="006A3667" w:rsidRDefault="006A3667">
            <w:pPr>
              <w:rPr>
                <w:rFonts w:ascii="宋体"/>
                <w:vanish/>
              </w:rPr>
            </w:pPr>
          </w:p>
        </w:tc>
        <w:tc>
          <w:tcPr>
            <w:tcW w:w="0" w:type="auto"/>
            <w:gridSpan w:val="3"/>
            <w:shd w:val="clear" w:color="auto" w:fill="auto"/>
            <w:vAlign w:val="bottom"/>
          </w:tcPr>
          <w:p w14:paraId="71D453A4" w14:textId="77777777" w:rsidR="006A3667" w:rsidRDefault="006A3667">
            <w:pPr>
              <w:rPr>
                <w:rFonts w:ascii="宋体"/>
                <w:vanish/>
              </w:rPr>
            </w:pPr>
          </w:p>
        </w:tc>
        <w:tc>
          <w:tcPr>
            <w:tcW w:w="0" w:type="auto"/>
            <w:gridSpan w:val="3"/>
            <w:shd w:val="clear" w:color="auto" w:fill="auto"/>
            <w:vAlign w:val="bottom"/>
          </w:tcPr>
          <w:p w14:paraId="71D453A5" w14:textId="77777777" w:rsidR="006A3667" w:rsidRDefault="006A3667">
            <w:pPr>
              <w:rPr>
                <w:rFonts w:ascii="宋体"/>
                <w:vanish/>
              </w:rPr>
            </w:pPr>
          </w:p>
        </w:tc>
        <w:tc>
          <w:tcPr>
            <w:tcW w:w="0" w:type="auto"/>
            <w:gridSpan w:val="3"/>
            <w:shd w:val="clear" w:color="auto" w:fill="auto"/>
            <w:vAlign w:val="bottom"/>
          </w:tcPr>
          <w:p w14:paraId="71D453A6" w14:textId="77777777" w:rsidR="006A3667" w:rsidRDefault="006A3667">
            <w:pPr>
              <w:rPr>
                <w:rFonts w:ascii="宋体"/>
                <w:vanish/>
              </w:rPr>
            </w:pPr>
          </w:p>
        </w:tc>
        <w:tc>
          <w:tcPr>
            <w:tcW w:w="0" w:type="auto"/>
            <w:gridSpan w:val="3"/>
            <w:shd w:val="clear" w:color="auto" w:fill="auto"/>
            <w:vAlign w:val="bottom"/>
          </w:tcPr>
          <w:p w14:paraId="71D453A7" w14:textId="77777777" w:rsidR="006A3667" w:rsidRDefault="006A3667">
            <w:pPr>
              <w:rPr>
                <w:rFonts w:ascii="宋体"/>
                <w:vanish/>
              </w:rPr>
            </w:pPr>
          </w:p>
        </w:tc>
        <w:tc>
          <w:tcPr>
            <w:tcW w:w="0" w:type="auto"/>
            <w:gridSpan w:val="3"/>
            <w:shd w:val="clear" w:color="auto" w:fill="auto"/>
            <w:vAlign w:val="bottom"/>
          </w:tcPr>
          <w:p w14:paraId="71D453A8" w14:textId="77777777" w:rsidR="006A3667" w:rsidRDefault="006A3667">
            <w:pPr>
              <w:rPr>
                <w:rFonts w:ascii="宋体"/>
                <w:vanish/>
              </w:rPr>
            </w:pPr>
          </w:p>
        </w:tc>
        <w:tc>
          <w:tcPr>
            <w:tcW w:w="0" w:type="auto"/>
            <w:gridSpan w:val="3"/>
            <w:shd w:val="clear" w:color="auto" w:fill="auto"/>
            <w:vAlign w:val="bottom"/>
          </w:tcPr>
          <w:p w14:paraId="71D453A9" w14:textId="77777777" w:rsidR="006A3667" w:rsidRDefault="006A3667">
            <w:pPr>
              <w:rPr>
                <w:rFonts w:ascii="宋体"/>
                <w:vanish/>
              </w:rPr>
            </w:pPr>
          </w:p>
        </w:tc>
        <w:tc>
          <w:tcPr>
            <w:tcW w:w="0" w:type="auto"/>
            <w:gridSpan w:val="3"/>
            <w:shd w:val="clear" w:color="auto" w:fill="auto"/>
            <w:vAlign w:val="bottom"/>
          </w:tcPr>
          <w:p w14:paraId="71D453AA" w14:textId="77777777" w:rsidR="006A3667" w:rsidRDefault="006A3667">
            <w:pPr>
              <w:rPr>
                <w:rFonts w:ascii="宋体"/>
                <w:vanish/>
              </w:rPr>
            </w:pPr>
          </w:p>
        </w:tc>
        <w:tc>
          <w:tcPr>
            <w:tcW w:w="0" w:type="auto"/>
            <w:gridSpan w:val="3"/>
            <w:shd w:val="clear" w:color="auto" w:fill="auto"/>
            <w:vAlign w:val="bottom"/>
          </w:tcPr>
          <w:p w14:paraId="71D453AB" w14:textId="77777777" w:rsidR="006A3667" w:rsidRDefault="006A3667">
            <w:pPr>
              <w:rPr>
                <w:rFonts w:ascii="宋体"/>
                <w:vanish/>
              </w:rPr>
            </w:pPr>
          </w:p>
        </w:tc>
        <w:tc>
          <w:tcPr>
            <w:tcW w:w="0" w:type="auto"/>
            <w:gridSpan w:val="3"/>
            <w:shd w:val="clear" w:color="auto" w:fill="auto"/>
            <w:vAlign w:val="bottom"/>
          </w:tcPr>
          <w:p w14:paraId="71D453AC" w14:textId="77777777" w:rsidR="006A3667" w:rsidRDefault="006A3667">
            <w:pPr>
              <w:rPr>
                <w:rFonts w:ascii="宋体"/>
                <w:vanish/>
              </w:rPr>
            </w:pPr>
          </w:p>
        </w:tc>
        <w:tc>
          <w:tcPr>
            <w:tcW w:w="0" w:type="auto"/>
            <w:gridSpan w:val="3"/>
            <w:shd w:val="clear" w:color="auto" w:fill="auto"/>
            <w:vAlign w:val="bottom"/>
          </w:tcPr>
          <w:p w14:paraId="71D453AD" w14:textId="77777777" w:rsidR="006A3667" w:rsidRDefault="006A3667">
            <w:pPr>
              <w:rPr>
                <w:rFonts w:ascii="宋体"/>
                <w:vanish/>
              </w:rPr>
            </w:pPr>
          </w:p>
        </w:tc>
        <w:tc>
          <w:tcPr>
            <w:tcW w:w="0" w:type="auto"/>
            <w:gridSpan w:val="3"/>
            <w:shd w:val="clear" w:color="auto" w:fill="auto"/>
            <w:vAlign w:val="bottom"/>
          </w:tcPr>
          <w:p w14:paraId="71D453AE" w14:textId="77777777" w:rsidR="006A3667" w:rsidRDefault="006A3667">
            <w:pPr>
              <w:rPr>
                <w:rFonts w:ascii="宋体"/>
                <w:vanish/>
              </w:rPr>
            </w:pPr>
          </w:p>
        </w:tc>
        <w:tc>
          <w:tcPr>
            <w:tcW w:w="0" w:type="auto"/>
            <w:gridSpan w:val="3"/>
            <w:shd w:val="clear" w:color="auto" w:fill="auto"/>
            <w:vAlign w:val="bottom"/>
          </w:tcPr>
          <w:p w14:paraId="71D453AF" w14:textId="77777777" w:rsidR="006A3667" w:rsidRDefault="006A3667">
            <w:pPr>
              <w:rPr>
                <w:rFonts w:ascii="宋体"/>
                <w:vanish/>
              </w:rPr>
            </w:pPr>
          </w:p>
        </w:tc>
      </w:tr>
      <w:tr w:rsidR="006A3667" w14:paraId="71D453C1" w14:textId="77777777">
        <w:trPr>
          <w:hidden/>
        </w:trPr>
        <w:tc>
          <w:tcPr>
            <w:tcW w:w="0" w:type="auto"/>
            <w:gridSpan w:val="3"/>
            <w:shd w:val="clear" w:color="auto" w:fill="auto"/>
            <w:vAlign w:val="bottom"/>
          </w:tcPr>
          <w:p w14:paraId="71D453B1" w14:textId="77777777" w:rsidR="006A3667" w:rsidRDefault="006A3667">
            <w:pPr>
              <w:rPr>
                <w:rFonts w:ascii="宋体"/>
                <w:vanish/>
              </w:rPr>
            </w:pPr>
          </w:p>
        </w:tc>
        <w:tc>
          <w:tcPr>
            <w:tcW w:w="0" w:type="auto"/>
            <w:gridSpan w:val="3"/>
            <w:shd w:val="clear" w:color="auto" w:fill="auto"/>
            <w:vAlign w:val="bottom"/>
          </w:tcPr>
          <w:p w14:paraId="71D453B2" w14:textId="77777777" w:rsidR="006A3667" w:rsidRDefault="006A3667">
            <w:pPr>
              <w:rPr>
                <w:rFonts w:ascii="宋体"/>
                <w:vanish/>
              </w:rPr>
            </w:pPr>
          </w:p>
        </w:tc>
        <w:tc>
          <w:tcPr>
            <w:tcW w:w="0" w:type="auto"/>
            <w:gridSpan w:val="3"/>
            <w:shd w:val="clear" w:color="auto" w:fill="auto"/>
            <w:vAlign w:val="bottom"/>
          </w:tcPr>
          <w:p w14:paraId="71D453B3" w14:textId="77777777" w:rsidR="006A3667" w:rsidRDefault="006A3667">
            <w:pPr>
              <w:rPr>
                <w:rFonts w:ascii="宋体"/>
                <w:vanish/>
              </w:rPr>
            </w:pPr>
          </w:p>
        </w:tc>
        <w:tc>
          <w:tcPr>
            <w:tcW w:w="0" w:type="auto"/>
            <w:gridSpan w:val="3"/>
            <w:shd w:val="clear" w:color="auto" w:fill="auto"/>
            <w:vAlign w:val="bottom"/>
          </w:tcPr>
          <w:p w14:paraId="71D453B4" w14:textId="77777777" w:rsidR="006A3667" w:rsidRDefault="006A3667">
            <w:pPr>
              <w:rPr>
                <w:rFonts w:ascii="宋体"/>
                <w:vanish/>
              </w:rPr>
            </w:pPr>
          </w:p>
        </w:tc>
        <w:tc>
          <w:tcPr>
            <w:tcW w:w="0" w:type="auto"/>
            <w:gridSpan w:val="3"/>
            <w:shd w:val="clear" w:color="auto" w:fill="auto"/>
            <w:vAlign w:val="bottom"/>
          </w:tcPr>
          <w:p w14:paraId="71D453B5" w14:textId="77777777" w:rsidR="006A3667" w:rsidRDefault="006A3667">
            <w:pPr>
              <w:rPr>
                <w:rFonts w:ascii="宋体"/>
                <w:vanish/>
              </w:rPr>
            </w:pPr>
          </w:p>
        </w:tc>
        <w:tc>
          <w:tcPr>
            <w:tcW w:w="0" w:type="auto"/>
            <w:gridSpan w:val="3"/>
            <w:shd w:val="clear" w:color="auto" w:fill="auto"/>
            <w:vAlign w:val="bottom"/>
          </w:tcPr>
          <w:p w14:paraId="71D453B6" w14:textId="77777777" w:rsidR="006A3667" w:rsidRDefault="006A3667">
            <w:pPr>
              <w:rPr>
                <w:rFonts w:ascii="宋体"/>
                <w:vanish/>
              </w:rPr>
            </w:pPr>
          </w:p>
        </w:tc>
        <w:tc>
          <w:tcPr>
            <w:tcW w:w="0" w:type="auto"/>
            <w:gridSpan w:val="3"/>
            <w:shd w:val="clear" w:color="auto" w:fill="auto"/>
            <w:vAlign w:val="bottom"/>
          </w:tcPr>
          <w:p w14:paraId="71D453B7" w14:textId="77777777" w:rsidR="006A3667" w:rsidRDefault="006A3667">
            <w:pPr>
              <w:rPr>
                <w:rFonts w:ascii="宋体"/>
                <w:vanish/>
              </w:rPr>
            </w:pPr>
          </w:p>
        </w:tc>
        <w:tc>
          <w:tcPr>
            <w:tcW w:w="0" w:type="auto"/>
            <w:gridSpan w:val="3"/>
            <w:shd w:val="clear" w:color="auto" w:fill="auto"/>
            <w:vAlign w:val="bottom"/>
          </w:tcPr>
          <w:p w14:paraId="71D453B8" w14:textId="77777777" w:rsidR="006A3667" w:rsidRDefault="006A3667">
            <w:pPr>
              <w:rPr>
                <w:rFonts w:ascii="宋体"/>
                <w:vanish/>
              </w:rPr>
            </w:pPr>
          </w:p>
        </w:tc>
        <w:tc>
          <w:tcPr>
            <w:tcW w:w="0" w:type="auto"/>
            <w:gridSpan w:val="3"/>
            <w:shd w:val="clear" w:color="auto" w:fill="auto"/>
            <w:vAlign w:val="bottom"/>
          </w:tcPr>
          <w:p w14:paraId="71D453B9" w14:textId="77777777" w:rsidR="006A3667" w:rsidRDefault="006A3667">
            <w:pPr>
              <w:rPr>
                <w:rFonts w:ascii="宋体"/>
                <w:vanish/>
              </w:rPr>
            </w:pPr>
          </w:p>
        </w:tc>
        <w:tc>
          <w:tcPr>
            <w:tcW w:w="0" w:type="auto"/>
            <w:gridSpan w:val="3"/>
            <w:shd w:val="clear" w:color="auto" w:fill="auto"/>
            <w:vAlign w:val="bottom"/>
          </w:tcPr>
          <w:p w14:paraId="71D453BA" w14:textId="77777777" w:rsidR="006A3667" w:rsidRDefault="006A3667">
            <w:pPr>
              <w:rPr>
                <w:rFonts w:ascii="宋体"/>
                <w:vanish/>
              </w:rPr>
            </w:pPr>
          </w:p>
        </w:tc>
        <w:tc>
          <w:tcPr>
            <w:tcW w:w="0" w:type="auto"/>
            <w:gridSpan w:val="3"/>
            <w:shd w:val="clear" w:color="auto" w:fill="auto"/>
            <w:vAlign w:val="bottom"/>
          </w:tcPr>
          <w:p w14:paraId="71D453BB" w14:textId="77777777" w:rsidR="006A3667" w:rsidRDefault="006A3667">
            <w:pPr>
              <w:rPr>
                <w:rFonts w:ascii="宋体"/>
                <w:vanish/>
              </w:rPr>
            </w:pPr>
          </w:p>
        </w:tc>
        <w:tc>
          <w:tcPr>
            <w:tcW w:w="0" w:type="auto"/>
            <w:gridSpan w:val="3"/>
            <w:shd w:val="clear" w:color="auto" w:fill="auto"/>
            <w:vAlign w:val="bottom"/>
          </w:tcPr>
          <w:p w14:paraId="71D453BC" w14:textId="77777777" w:rsidR="006A3667" w:rsidRDefault="006A3667">
            <w:pPr>
              <w:rPr>
                <w:rFonts w:ascii="宋体"/>
                <w:vanish/>
              </w:rPr>
            </w:pPr>
          </w:p>
        </w:tc>
        <w:tc>
          <w:tcPr>
            <w:tcW w:w="0" w:type="auto"/>
            <w:gridSpan w:val="3"/>
            <w:shd w:val="clear" w:color="auto" w:fill="auto"/>
            <w:vAlign w:val="bottom"/>
          </w:tcPr>
          <w:p w14:paraId="71D453BD" w14:textId="77777777" w:rsidR="006A3667" w:rsidRDefault="006A3667">
            <w:pPr>
              <w:rPr>
                <w:rFonts w:ascii="宋体"/>
                <w:vanish/>
              </w:rPr>
            </w:pPr>
          </w:p>
        </w:tc>
        <w:tc>
          <w:tcPr>
            <w:tcW w:w="0" w:type="auto"/>
            <w:gridSpan w:val="3"/>
            <w:shd w:val="clear" w:color="auto" w:fill="auto"/>
            <w:vAlign w:val="bottom"/>
          </w:tcPr>
          <w:p w14:paraId="71D453BE" w14:textId="77777777" w:rsidR="006A3667" w:rsidRDefault="006A3667">
            <w:pPr>
              <w:rPr>
                <w:rFonts w:ascii="宋体"/>
                <w:vanish/>
              </w:rPr>
            </w:pPr>
          </w:p>
        </w:tc>
        <w:tc>
          <w:tcPr>
            <w:tcW w:w="0" w:type="auto"/>
            <w:gridSpan w:val="3"/>
            <w:shd w:val="clear" w:color="auto" w:fill="auto"/>
            <w:vAlign w:val="bottom"/>
          </w:tcPr>
          <w:p w14:paraId="71D453BF" w14:textId="77777777" w:rsidR="006A3667" w:rsidRDefault="006A3667">
            <w:pPr>
              <w:rPr>
                <w:rFonts w:ascii="宋体"/>
                <w:vanish/>
              </w:rPr>
            </w:pPr>
          </w:p>
        </w:tc>
        <w:tc>
          <w:tcPr>
            <w:tcW w:w="0" w:type="auto"/>
            <w:gridSpan w:val="3"/>
            <w:shd w:val="clear" w:color="auto" w:fill="auto"/>
            <w:vAlign w:val="bottom"/>
          </w:tcPr>
          <w:p w14:paraId="71D453C0" w14:textId="77777777" w:rsidR="006A3667" w:rsidRDefault="006A3667">
            <w:pPr>
              <w:rPr>
                <w:rFonts w:ascii="宋体"/>
                <w:vanish/>
              </w:rPr>
            </w:pPr>
          </w:p>
        </w:tc>
      </w:tr>
      <w:tr w:rsidR="006A3667" w14:paraId="71D453D2" w14:textId="77777777">
        <w:trPr>
          <w:hidden/>
        </w:trPr>
        <w:tc>
          <w:tcPr>
            <w:tcW w:w="0" w:type="auto"/>
            <w:gridSpan w:val="3"/>
            <w:shd w:val="clear" w:color="auto" w:fill="auto"/>
            <w:vAlign w:val="bottom"/>
          </w:tcPr>
          <w:p w14:paraId="71D453C2" w14:textId="77777777" w:rsidR="006A3667" w:rsidRDefault="006A3667">
            <w:pPr>
              <w:rPr>
                <w:rFonts w:ascii="宋体"/>
                <w:vanish/>
              </w:rPr>
            </w:pPr>
          </w:p>
        </w:tc>
        <w:tc>
          <w:tcPr>
            <w:tcW w:w="0" w:type="auto"/>
            <w:gridSpan w:val="3"/>
            <w:shd w:val="clear" w:color="auto" w:fill="auto"/>
            <w:vAlign w:val="bottom"/>
          </w:tcPr>
          <w:p w14:paraId="71D453C3" w14:textId="77777777" w:rsidR="006A3667" w:rsidRDefault="006A3667">
            <w:pPr>
              <w:rPr>
                <w:rFonts w:ascii="宋体"/>
                <w:vanish/>
              </w:rPr>
            </w:pPr>
          </w:p>
        </w:tc>
        <w:tc>
          <w:tcPr>
            <w:tcW w:w="0" w:type="auto"/>
            <w:gridSpan w:val="3"/>
            <w:shd w:val="clear" w:color="auto" w:fill="auto"/>
            <w:vAlign w:val="bottom"/>
          </w:tcPr>
          <w:p w14:paraId="71D453C4" w14:textId="77777777" w:rsidR="006A3667" w:rsidRDefault="006A3667">
            <w:pPr>
              <w:rPr>
                <w:rFonts w:ascii="宋体"/>
                <w:vanish/>
              </w:rPr>
            </w:pPr>
          </w:p>
        </w:tc>
        <w:tc>
          <w:tcPr>
            <w:tcW w:w="0" w:type="auto"/>
            <w:gridSpan w:val="3"/>
            <w:shd w:val="clear" w:color="auto" w:fill="auto"/>
            <w:vAlign w:val="bottom"/>
          </w:tcPr>
          <w:p w14:paraId="71D453C5" w14:textId="77777777" w:rsidR="006A3667" w:rsidRDefault="006A3667">
            <w:pPr>
              <w:rPr>
                <w:rFonts w:ascii="宋体"/>
                <w:vanish/>
              </w:rPr>
            </w:pPr>
          </w:p>
        </w:tc>
        <w:tc>
          <w:tcPr>
            <w:tcW w:w="0" w:type="auto"/>
            <w:gridSpan w:val="3"/>
            <w:shd w:val="clear" w:color="auto" w:fill="auto"/>
            <w:vAlign w:val="bottom"/>
          </w:tcPr>
          <w:p w14:paraId="71D453C6" w14:textId="77777777" w:rsidR="006A3667" w:rsidRDefault="006A3667">
            <w:pPr>
              <w:rPr>
                <w:rFonts w:ascii="宋体"/>
                <w:vanish/>
              </w:rPr>
            </w:pPr>
          </w:p>
        </w:tc>
        <w:tc>
          <w:tcPr>
            <w:tcW w:w="0" w:type="auto"/>
            <w:gridSpan w:val="3"/>
            <w:shd w:val="clear" w:color="auto" w:fill="auto"/>
            <w:vAlign w:val="bottom"/>
          </w:tcPr>
          <w:p w14:paraId="71D453C7" w14:textId="77777777" w:rsidR="006A3667" w:rsidRDefault="006A3667">
            <w:pPr>
              <w:rPr>
                <w:rFonts w:ascii="宋体"/>
                <w:vanish/>
              </w:rPr>
            </w:pPr>
          </w:p>
        </w:tc>
        <w:tc>
          <w:tcPr>
            <w:tcW w:w="0" w:type="auto"/>
            <w:gridSpan w:val="3"/>
            <w:shd w:val="clear" w:color="auto" w:fill="auto"/>
            <w:vAlign w:val="bottom"/>
          </w:tcPr>
          <w:p w14:paraId="71D453C8" w14:textId="77777777" w:rsidR="006A3667" w:rsidRDefault="006A3667">
            <w:pPr>
              <w:rPr>
                <w:rFonts w:ascii="宋体"/>
                <w:vanish/>
              </w:rPr>
            </w:pPr>
          </w:p>
        </w:tc>
        <w:tc>
          <w:tcPr>
            <w:tcW w:w="0" w:type="auto"/>
            <w:gridSpan w:val="3"/>
            <w:shd w:val="clear" w:color="auto" w:fill="auto"/>
            <w:vAlign w:val="bottom"/>
          </w:tcPr>
          <w:p w14:paraId="71D453C9" w14:textId="77777777" w:rsidR="006A3667" w:rsidRDefault="006A3667">
            <w:pPr>
              <w:rPr>
                <w:rFonts w:ascii="宋体"/>
                <w:vanish/>
              </w:rPr>
            </w:pPr>
          </w:p>
        </w:tc>
        <w:tc>
          <w:tcPr>
            <w:tcW w:w="0" w:type="auto"/>
            <w:gridSpan w:val="3"/>
            <w:shd w:val="clear" w:color="auto" w:fill="auto"/>
            <w:vAlign w:val="bottom"/>
          </w:tcPr>
          <w:p w14:paraId="71D453CA" w14:textId="77777777" w:rsidR="006A3667" w:rsidRDefault="006A3667">
            <w:pPr>
              <w:rPr>
                <w:rFonts w:ascii="宋体"/>
                <w:vanish/>
              </w:rPr>
            </w:pPr>
          </w:p>
        </w:tc>
        <w:tc>
          <w:tcPr>
            <w:tcW w:w="0" w:type="auto"/>
            <w:gridSpan w:val="3"/>
            <w:shd w:val="clear" w:color="auto" w:fill="auto"/>
            <w:vAlign w:val="bottom"/>
          </w:tcPr>
          <w:p w14:paraId="71D453CB" w14:textId="77777777" w:rsidR="006A3667" w:rsidRDefault="006A3667">
            <w:pPr>
              <w:rPr>
                <w:rFonts w:ascii="宋体"/>
                <w:vanish/>
              </w:rPr>
            </w:pPr>
          </w:p>
        </w:tc>
        <w:tc>
          <w:tcPr>
            <w:tcW w:w="0" w:type="auto"/>
            <w:gridSpan w:val="3"/>
            <w:shd w:val="clear" w:color="auto" w:fill="auto"/>
            <w:vAlign w:val="bottom"/>
          </w:tcPr>
          <w:p w14:paraId="71D453CC" w14:textId="77777777" w:rsidR="006A3667" w:rsidRDefault="006A3667">
            <w:pPr>
              <w:rPr>
                <w:rFonts w:ascii="宋体"/>
                <w:vanish/>
              </w:rPr>
            </w:pPr>
          </w:p>
        </w:tc>
        <w:tc>
          <w:tcPr>
            <w:tcW w:w="0" w:type="auto"/>
            <w:gridSpan w:val="3"/>
            <w:shd w:val="clear" w:color="auto" w:fill="auto"/>
            <w:vAlign w:val="bottom"/>
          </w:tcPr>
          <w:p w14:paraId="71D453CD" w14:textId="77777777" w:rsidR="006A3667" w:rsidRDefault="006A3667">
            <w:pPr>
              <w:rPr>
                <w:rFonts w:ascii="宋体"/>
                <w:vanish/>
              </w:rPr>
            </w:pPr>
          </w:p>
        </w:tc>
        <w:tc>
          <w:tcPr>
            <w:tcW w:w="0" w:type="auto"/>
            <w:gridSpan w:val="3"/>
            <w:shd w:val="clear" w:color="auto" w:fill="auto"/>
            <w:vAlign w:val="bottom"/>
          </w:tcPr>
          <w:p w14:paraId="71D453CE" w14:textId="77777777" w:rsidR="006A3667" w:rsidRDefault="006A3667">
            <w:pPr>
              <w:rPr>
                <w:rFonts w:ascii="宋体"/>
                <w:vanish/>
              </w:rPr>
            </w:pPr>
          </w:p>
        </w:tc>
        <w:tc>
          <w:tcPr>
            <w:tcW w:w="0" w:type="auto"/>
            <w:gridSpan w:val="3"/>
            <w:shd w:val="clear" w:color="auto" w:fill="auto"/>
            <w:vAlign w:val="bottom"/>
          </w:tcPr>
          <w:p w14:paraId="71D453CF" w14:textId="77777777" w:rsidR="006A3667" w:rsidRDefault="006A3667">
            <w:pPr>
              <w:rPr>
                <w:rFonts w:ascii="宋体"/>
                <w:vanish/>
              </w:rPr>
            </w:pPr>
          </w:p>
        </w:tc>
        <w:tc>
          <w:tcPr>
            <w:tcW w:w="0" w:type="auto"/>
            <w:gridSpan w:val="3"/>
            <w:shd w:val="clear" w:color="auto" w:fill="auto"/>
            <w:vAlign w:val="bottom"/>
          </w:tcPr>
          <w:p w14:paraId="71D453D0" w14:textId="77777777" w:rsidR="006A3667" w:rsidRDefault="006A3667">
            <w:pPr>
              <w:rPr>
                <w:rFonts w:ascii="宋体"/>
                <w:vanish/>
              </w:rPr>
            </w:pPr>
          </w:p>
        </w:tc>
        <w:tc>
          <w:tcPr>
            <w:tcW w:w="0" w:type="auto"/>
            <w:gridSpan w:val="3"/>
            <w:shd w:val="clear" w:color="auto" w:fill="auto"/>
            <w:vAlign w:val="bottom"/>
          </w:tcPr>
          <w:p w14:paraId="71D453D1" w14:textId="77777777" w:rsidR="006A3667" w:rsidRDefault="006A3667">
            <w:pPr>
              <w:rPr>
                <w:rFonts w:ascii="宋体"/>
                <w:vanish/>
              </w:rPr>
            </w:pPr>
          </w:p>
        </w:tc>
      </w:tr>
      <w:tr w:rsidR="006A3667" w14:paraId="71D453E3" w14:textId="77777777">
        <w:trPr>
          <w:hidden/>
        </w:trPr>
        <w:tc>
          <w:tcPr>
            <w:tcW w:w="0" w:type="auto"/>
            <w:gridSpan w:val="3"/>
            <w:shd w:val="clear" w:color="auto" w:fill="auto"/>
            <w:vAlign w:val="bottom"/>
          </w:tcPr>
          <w:p w14:paraId="71D453D3" w14:textId="77777777" w:rsidR="006A3667" w:rsidRDefault="006A3667">
            <w:pPr>
              <w:rPr>
                <w:rFonts w:ascii="宋体"/>
                <w:vanish/>
              </w:rPr>
            </w:pPr>
          </w:p>
        </w:tc>
        <w:tc>
          <w:tcPr>
            <w:tcW w:w="0" w:type="auto"/>
            <w:gridSpan w:val="3"/>
            <w:shd w:val="clear" w:color="auto" w:fill="auto"/>
            <w:vAlign w:val="bottom"/>
          </w:tcPr>
          <w:p w14:paraId="71D453D4" w14:textId="77777777" w:rsidR="006A3667" w:rsidRDefault="006A3667">
            <w:pPr>
              <w:rPr>
                <w:rFonts w:ascii="宋体"/>
                <w:vanish/>
              </w:rPr>
            </w:pPr>
          </w:p>
        </w:tc>
        <w:tc>
          <w:tcPr>
            <w:tcW w:w="0" w:type="auto"/>
            <w:gridSpan w:val="3"/>
            <w:shd w:val="clear" w:color="auto" w:fill="auto"/>
            <w:vAlign w:val="bottom"/>
          </w:tcPr>
          <w:p w14:paraId="71D453D5" w14:textId="77777777" w:rsidR="006A3667" w:rsidRDefault="006A3667">
            <w:pPr>
              <w:rPr>
                <w:rFonts w:ascii="宋体"/>
                <w:vanish/>
              </w:rPr>
            </w:pPr>
          </w:p>
        </w:tc>
        <w:tc>
          <w:tcPr>
            <w:tcW w:w="0" w:type="auto"/>
            <w:gridSpan w:val="3"/>
            <w:shd w:val="clear" w:color="auto" w:fill="auto"/>
            <w:vAlign w:val="bottom"/>
          </w:tcPr>
          <w:p w14:paraId="71D453D6" w14:textId="77777777" w:rsidR="006A3667" w:rsidRDefault="006A3667">
            <w:pPr>
              <w:rPr>
                <w:rFonts w:ascii="宋体"/>
                <w:vanish/>
              </w:rPr>
            </w:pPr>
          </w:p>
        </w:tc>
        <w:tc>
          <w:tcPr>
            <w:tcW w:w="0" w:type="auto"/>
            <w:gridSpan w:val="3"/>
            <w:shd w:val="clear" w:color="auto" w:fill="auto"/>
            <w:vAlign w:val="bottom"/>
          </w:tcPr>
          <w:p w14:paraId="71D453D7" w14:textId="77777777" w:rsidR="006A3667" w:rsidRDefault="006A3667">
            <w:pPr>
              <w:rPr>
                <w:rFonts w:ascii="宋体"/>
                <w:vanish/>
              </w:rPr>
            </w:pPr>
          </w:p>
        </w:tc>
        <w:tc>
          <w:tcPr>
            <w:tcW w:w="0" w:type="auto"/>
            <w:gridSpan w:val="3"/>
            <w:shd w:val="clear" w:color="auto" w:fill="auto"/>
            <w:vAlign w:val="bottom"/>
          </w:tcPr>
          <w:p w14:paraId="71D453D8" w14:textId="77777777" w:rsidR="006A3667" w:rsidRDefault="006A3667">
            <w:pPr>
              <w:rPr>
                <w:rFonts w:ascii="宋体"/>
                <w:vanish/>
              </w:rPr>
            </w:pPr>
          </w:p>
        </w:tc>
        <w:tc>
          <w:tcPr>
            <w:tcW w:w="0" w:type="auto"/>
            <w:gridSpan w:val="3"/>
            <w:shd w:val="clear" w:color="auto" w:fill="auto"/>
            <w:vAlign w:val="bottom"/>
          </w:tcPr>
          <w:p w14:paraId="71D453D9" w14:textId="77777777" w:rsidR="006A3667" w:rsidRDefault="006A3667">
            <w:pPr>
              <w:rPr>
                <w:rFonts w:ascii="宋体"/>
                <w:vanish/>
              </w:rPr>
            </w:pPr>
          </w:p>
        </w:tc>
        <w:tc>
          <w:tcPr>
            <w:tcW w:w="0" w:type="auto"/>
            <w:gridSpan w:val="3"/>
            <w:shd w:val="clear" w:color="auto" w:fill="auto"/>
            <w:vAlign w:val="bottom"/>
          </w:tcPr>
          <w:p w14:paraId="71D453DA" w14:textId="77777777" w:rsidR="006A3667" w:rsidRDefault="006A3667">
            <w:pPr>
              <w:rPr>
                <w:rFonts w:ascii="宋体"/>
                <w:vanish/>
              </w:rPr>
            </w:pPr>
          </w:p>
        </w:tc>
        <w:tc>
          <w:tcPr>
            <w:tcW w:w="0" w:type="auto"/>
            <w:gridSpan w:val="3"/>
            <w:shd w:val="clear" w:color="auto" w:fill="auto"/>
            <w:vAlign w:val="bottom"/>
          </w:tcPr>
          <w:p w14:paraId="71D453DB" w14:textId="77777777" w:rsidR="006A3667" w:rsidRDefault="006A3667">
            <w:pPr>
              <w:rPr>
                <w:rFonts w:ascii="宋体"/>
                <w:vanish/>
              </w:rPr>
            </w:pPr>
          </w:p>
        </w:tc>
        <w:tc>
          <w:tcPr>
            <w:tcW w:w="0" w:type="auto"/>
            <w:gridSpan w:val="3"/>
            <w:shd w:val="clear" w:color="auto" w:fill="auto"/>
            <w:vAlign w:val="bottom"/>
          </w:tcPr>
          <w:p w14:paraId="71D453DC" w14:textId="77777777" w:rsidR="006A3667" w:rsidRDefault="006A3667">
            <w:pPr>
              <w:rPr>
                <w:rFonts w:ascii="宋体"/>
                <w:vanish/>
              </w:rPr>
            </w:pPr>
          </w:p>
        </w:tc>
        <w:tc>
          <w:tcPr>
            <w:tcW w:w="0" w:type="auto"/>
            <w:gridSpan w:val="3"/>
            <w:shd w:val="clear" w:color="auto" w:fill="auto"/>
            <w:vAlign w:val="bottom"/>
          </w:tcPr>
          <w:p w14:paraId="71D453DD" w14:textId="77777777" w:rsidR="006A3667" w:rsidRDefault="006A3667">
            <w:pPr>
              <w:rPr>
                <w:rFonts w:ascii="宋体"/>
                <w:vanish/>
              </w:rPr>
            </w:pPr>
          </w:p>
        </w:tc>
        <w:tc>
          <w:tcPr>
            <w:tcW w:w="0" w:type="auto"/>
            <w:gridSpan w:val="3"/>
            <w:shd w:val="clear" w:color="auto" w:fill="auto"/>
            <w:vAlign w:val="bottom"/>
          </w:tcPr>
          <w:p w14:paraId="71D453DE" w14:textId="77777777" w:rsidR="006A3667" w:rsidRDefault="006A3667">
            <w:pPr>
              <w:rPr>
                <w:rFonts w:ascii="宋体"/>
                <w:vanish/>
              </w:rPr>
            </w:pPr>
          </w:p>
        </w:tc>
        <w:tc>
          <w:tcPr>
            <w:tcW w:w="0" w:type="auto"/>
            <w:gridSpan w:val="3"/>
            <w:shd w:val="clear" w:color="auto" w:fill="auto"/>
            <w:vAlign w:val="bottom"/>
          </w:tcPr>
          <w:p w14:paraId="71D453DF" w14:textId="77777777" w:rsidR="006A3667" w:rsidRDefault="006A3667">
            <w:pPr>
              <w:rPr>
                <w:rFonts w:ascii="宋体"/>
                <w:vanish/>
              </w:rPr>
            </w:pPr>
          </w:p>
        </w:tc>
        <w:tc>
          <w:tcPr>
            <w:tcW w:w="0" w:type="auto"/>
            <w:gridSpan w:val="3"/>
            <w:shd w:val="clear" w:color="auto" w:fill="auto"/>
            <w:vAlign w:val="bottom"/>
          </w:tcPr>
          <w:p w14:paraId="71D453E0" w14:textId="77777777" w:rsidR="006A3667" w:rsidRDefault="006A3667">
            <w:pPr>
              <w:rPr>
                <w:rFonts w:ascii="宋体"/>
                <w:vanish/>
              </w:rPr>
            </w:pPr>
          </w:p>
        </w:tc>
        <w:tc>
          <w:tcPr>
            <w:tcW w:w="0" w:type="auto"/>
            <w:gridSpan w:val="3"/>
            <w:shd w:val="clear" w:color="auto" w:fill="auto"/>
            <w:vAlign w:val="bottom"/>
          </w:tcPr>
          <w:p w14:paraId="71D453E1" w14:textId="77777777" w:rsidR="006A3667" w:rsidRDefault="006A3667">
            <w:pPr>
              <w:rPr>
                <w:rFonts w:ascii="宋体"/>
                <w:vanish/>
              </w:rPr>
            </w:pPr>
          </w:p>
        </w:tc>
        <w:tc>
          <w:tcPr>
            <w:tcW w:w="0" w:type="auto"/>
            <w:gridSpan w:val="3"/>
            <w:shd w:val="clear" w:color="auto" w:fill="auto"/>
            <w:vAlign w:val="bottom"/>
          </w:tcPr>
          <w:p w14:paraId="71D453E2" w14:textId="77777777" w:rsidR="006A3667" w:rsidRDefault="006A3667">
            <w:pPr>
              <w:rPr>
                <w:rFonts w:ascii="宋体"/>
                <w:vanish/>
              </w:rPr>
            </w:pPr>
          </w:p>
        </w:tc>
      </w:tr>
      <w:tr w:rsidR="006A3667" w14:paraId="71D453F4" w14:textId="77777777">
        <w:trPr>
          <w:hidden/>
        </w:trPr>
        <w:tc>
          <w:tcPr>
            <w:tcW w:w="0" w:type="auto"/>
            <w:gridSpan w:val="3"/>
            <w:shd w:val="clear" w:color="auto" w:fill="auto"/>
            <w:vAlign w:val="bottom"/>
          </w:tcPr>
          <w:p w14:paraId="71D453E4" w14:textId="77777777" w:rsidR="006A3667" w:rsidRDefault="006A3667">
            <w:pPr>
              <w:rPr>
                <w:rFonts w:ascii="宋体"/>
                <w:vanish/>
              </w:rPr>
            </w:pPr>
          </w:p>
        </w:tc>
        <w:tc>
          <w:tcPr>
            <w:tcW w:w="0" w:type="auto"/>
            <w:gridSpan w:val="3"/>
            <w:shd w:val="clear" w:color="auto" w:fill="auto"/>
            <w:vAlign w:val="bottom"/>
          </w:tcPr>
          <w:p w14:paraId="71D453E5" w14:textId="77777777" w:rsidR="006A3667" w:rsidRDefault="006A3667">
            <w:pPr>
              <w:rPr>
                <w:rFonts w:ascii="宋体"/>
                <w:vanish/>
              </w:rPr>
            </w:pPr>
          </w:p>
        </w:tc>
        <w:tc>
          <w:tcPr>
            <w:tcW w:w="0" w:type="auto"/>
            <w:gridSpan w:val="3"/>
            <w:shd w:val="clear" w:color="auto" w:fill="auto"/>
            <w:vAlign w:val="bottom"/>
          </w:tcPr>
          <w:p w14:paraId="71D453E6" w14:textId="77777777" w:rsidR="006A3667" w:rsidRDefault="006A3667">
            <w:pPr>
              <w:rPr>
                <w:rFonts w:ascii="宋体"/>
                <w:vanish/>
              </w:rPr>
            </w:pPr>
          </w:p>
        </w:tc>
        <w:tc>
          <w:tcPr>
            <w:tcW w:w="0" w:type="auto"/>
            <w:gridSpan w:val="3"/>
            <w:shd w:val="clear" w:color="auto" w:fill="auto"/>
            <w:vAlign w:val="bottom"/>
          </w:tcPr>
          <w:p w14:paraId="71D453E7" w14:textId="77777777" w:rsidR="006A3667" w:rsidRDefault="006A3667">
            <w:pPr>
              <w:rPr>
                <w:rFonts w:ascii="宋体"/>
                <w:vanish/>
              </w:rPr>
            </w:pPr>
          </w:p>
        </w:tc>
        <w:tc>
          <w:tcPr>
            <w:tcW w:w="0" w:type="auto"/>
            <w:gridSpan w:val="3"/>
            <w:shd w:val="clear" w:color="auto" w:fill="auto"/>
            <w:vAlign w:val="bottom"/>
          </w:tcPr>
          <w:p w14:paraId="71D453E8" w14:textId="77777777" w:rsidR="006A3667" w:rsidRDefault="006A3667">
            <w:pPr>
              <w:rPr>
                <w:rFonts w:ascii="宋体"/>
                <w:vanish/>
              </w:rPr>
            </w:pPr>
          </w:p>
        </w:tc>
        <w:tc>
          <w:tcPr>
            <w:tcW w:w="0" w:type="auto"/>
            <w:gridSpan w:val="3"/>
            <w:shd w:val="clear" w:color="auto" w:fill="auto"/>
            <w:vAlign w:val="bottom"/>
          </w:tcPr>
          <w:p w14:paraId="71D453E9" w14:textId="77777777" w:rsidR="006A3667" w:rsidRDefault="006A3667">
            <w:pPr>
              <w:rPr>
                <w:rFonts w:ascii="宋体"/>
                <w:vanish/>
              </w:rPr>
            </w:pPr>
          </w:p>
        </w:tc>
        <w:tc>
          <w:tcPr>
            <w:tcW w:w="0" w:type="auto"/>
            <w:gridSpan w:val="3"/>
            <w:shd w:val="clear" w:color="auto" w:fill="auto"/>
            <w:vAlign w:val="bottom"/>
          </w:tcPr>
          <w:p w14:paraId="71D453EA" w14:textId="77777777" w:rsidR="006A3667" w:rsidRDefault="006A3667">
            <w:pPr>
              <w:rPr>
                <w:rFonts w:ascii="宋体"/>
                <w:vanish/>
              </w:rPr>
            </w:pPr>
          </w:p>
        </w:tc>
        <w:tc>
          <w:tcPr>
            <w:tcW w:w="0" w:type="auto"/>
            <w:gridSpan w:val="3"/>
            <w:shd w:val="clear" w:color="auto" w:fill="auto"/>
            <w:vAlign w:val="bottom"/>
          </w:tcPr>
          <w:p w14:paraId="71D453EB" w14:textId="77777777" w:rsidR="006A3667" w:rsidRDefault="006A3667">
            <w:pPr>
              <w:rPr>
                <w:rFonts w:ascii="宋体"/>
                <w:vanish/>
              </w:rPr>
            </w:pPr>
          </w:p>
        </w:tc>
        <w:tc>
          <w:tcPr>
            <w:tcW w:w="0" w:type="auto"/>
            <w:gridSpan w:val="3"/>
            <w:shd w:val="clear" w:color="auto" w:fill="auto"/>
            <w:vAlign w:val="bottom"/>
          </w:tcPr>
          <w:p w14:paraId="71D453EC" w14:textId="77777777" w:rsidR="006A3667" w:rsidRDefault="006A3667">
            <w:pPr>
              <w:rPr>
                <w:rFonts w:ascii="宋体"/>
                <w:vanish/>
              </w:rPr>
            </w:pPr>
          </w:p>
        </w:tc>
        <w:tc>
          <w:tcPr>
            <w:tcW w:w="0" w:type="auto"/>
            <w:gridSpan w:val="3"/>
            <w:shd w:val="clear" w:color="auto" w:fill="auto"/>
            <w:vAlign w:val="bottom"/>
          </w:tcPr>
          <w:p w14:paraId="71D453ED" w14:textId="77777777" w:rsidR="006A3667" w:rsidRDefault="006A3667">
            <w:pPr>
              <w:rPr>
                <w:rFonts w:ascii="宋体"/>
                <w:vanish/>
              </w:rPr>
            </w:pPr>
          </w:p>
        </w:tc>
        <w:tc>
          <w:tcPr>
            <w:tcW w:w="0" w:type="auto"/>
            <w:gridSpan w:val="3"/>
            <w:shd w:val="clear" w:color="auto" w:fill="auto"/>
            <w:vAlign w:val="bottom"/>
          </w:tcPr>
          <w:p w14:paraId="71D453EE" w14:textId="77777777" w:rsidR="006A3667" w:rsidRDefault="006A3667">
            <w:pPr>
              <w:rPr>
                <w:rFonts w:ascii="宋体"/>
                <w:vanish/>
              </w:rPr>
            </w:pPr>
          </w:p>
        </w:tc>
        <w:tc>
          <w:tcPr>
            <w:tcW w:w="0" w:type="auto"/>
            <w:gridSpan w:val="3"/>
            <w:shd w:val="clear" w:color="auto" w:fill="auto"/>
            <w:vAlign w:val="bottom"/>
          </w:tcPr>
          <w:p w14:paraId="71D453EF" w14:textId="77777777" w:rsidR="006A3667" w:rsidRDefault="006A3667">
            <w:pPr>
              <w:rPr>
                <w:rFonts w:ascii="宋体"/>
                <w:vanish/>
              </w:rPr>
            </w:pPr>
          </w:p>
        </w:tc>
        <w:tc>
          <w:tcPr>
            <w:tcW w:w="0" w:type="auto"/>
            <w:gridSpan w:val="3"/>
            <w:shd w:val="clear" w:color="auto" w:fill="auto"/>
            <w:vAlign w:val="bottom"/>
          </w:tcPr>
          <w:p w14:paraId="71D453F0" w14:textId="77777777" w:rsidR="006A3667" w:rsidRDefault="006A3667">
            <w:pPr>
              <w:rPr>
                <w:rFonts w:ascii="宋体"/>
                <w:vanish/>
              </w:rPr>
            </w:pPr>
          </w:p>
        </w:tc>
        <w:tc>
          <w:tcPr>
            <w:tcW w:w="0" w:type="auto"/>
            <w:gridSpan w:val="3"/>
            <w:shd w:val="clear" w:color="auto" w:fill="auto"/>
            <w:vAlign w:val="bottom"/>
          </w:tcPr>
          <w:p w14:paraId="71D453F1" w14:textId="77777777" w:rsidR="006A3667" w:rsidRDefault="006A3667">
            <w:pPr>
              <w:rPr>
                <w:rFonts w:ascii="宋体"/>
                <w:vanish/>
              </w:rPr>
            </w:pPr>
          </w:p>
        </w:tc>
        <w:tc>
          <w:tcPr>
            <w:tcW w:w="0" w:type="auto"/>
            <w:gridSpan w:val="3"/>
            <w:shd w:val="clear" w:color="auto" w:fill="auto"/>
            <w:vAlign w:val="bottom"/>
          </w:tcPr>
          <w:p w14:paraId="71D453F2" w14:textId="77777777" w:rsidR="006A3667" w:rsidRDefault="006A3667">
            <w:pPr>
              <w:rPr>
                <w:rFonts w:ascii="宋体"/>
                <w:vanish/>
              </w:rPr>
            </w:pPr>
          </w:p>
        </w:tc>
        <w:tc>
          <w:tcPr>
            <w:tcW w:w="0" w:type="auto"/>
            <w:gridSpan w:val="3"/>
            <w:shd w:val="clear" w:color="auto" w:fill="auto"/>
            <w:vAlign w:val="bottom"/>
          </w:tcPr>
          <w:p w14:paraId="71D453F3" w14:textId="77777777" w:rsidR="006A3667" w:rsidRDefault="006A3667">
            <w:pPr>
              <w:rPr>
                <w:rFonts w:ascii="宋体"/>
                <w:vanish/>
              </w:rPr>
            </w:pPr>
          </w:p>
        </w:tc>
      </w:tr>
      <w:tr w:rsidR="006A3667" w14:paraId="71D45405" w14:textId="77777777">
        <w:trPr>
          <w:hidden/>
        </w:trPr>
        <w:tc>
          <w:tcPr>
            <w:tcW w:w="0" w:type="auto"/>
            <w:gridSpan w:val="3"/>
            <w:shd w:val="clear" w:color="auto" w:fill="auto"/>
            <w:vAlign w:val="bottom"/>
          </w:tcPr>
          <w:p w14:paraId="71D453F5" w14:textId="77777777" w:rsidR="006A3667" w:rsidRDefault="006A3667">
            <w:pPr>
              <w:rPr>
                <w:rFonts w:ascii="宋体"/>
                <w:vanish/>
              </w:rPr>
            </w:pPr>
          </w:p>
        </w:tc>
        <w:tc>
          <w:tcPr>
            <w:tcW w:w="0" w:type="auto"/>
            <w:gridSpan w:val="3"/>
            <w:shd w:val="clear" w:color="auto" w:fill="auto"/>
            <w:vAlign w:val="bottom"/>
          </w:tcPr>
          <w:p w14:paraId="71D453F6" w14:textId="77777777" w:rsidR="006A3667" w:rsidRDefault="006A3667">
            <w:pPr>
              <w:rPr>
                <w:rFonts w:ascii="宋体"/>
                <w:vanish/>
              </w:rPr>
            </w:pPr>
          </w:p>
        </w:tc>
        <w:tc>
          <w:tcPr>
            <w:tcW w:w="0" w:type="auto"/>
            <w:gridSpan w:val="3"/>
            <w:shd w:val="clear" w:color="auto" w:fill="auto"/>
            <w:vAlign w:val="bottom"/>
          </w:tcPr>
          <w:p w14:paraId="71D453F7" w14:textId="77777777" w:rsidR="006A3667" w:rsidRDefault="006A3667">
            <w:pPr>
              <w:rPr>
                <w:rFonts w:ascii="宋体"/>
                <w:vanish/>
              </w:rPr>
            </w:pPr>
          </w:p>
        </w:tc>
        <w:tc>
          <w:tcPr>
            <w:tcW w:w="0" w:type="auto"/>
            <w:gridSpan w:val="3"/>
            <w:shd w:val="clear" w:color="auto" w:fill="auto"/>
            <w:vAlign w:val="bottom"/>
          </w:tcPr>
          <w:p w14:paraId="71D453F8" w14:textId="77777777" w:rsidR="006A3667" w:rsidRDefault="006A3667">
            <w:pPr>
              <w:rPr>
                <w:rFonts w:ascii="宋体"/>
                <w:vanish/>
              </w:rPr>
            </w:pPr>
          </w:p>
        </w:tc>
        <w:tc>
          <w:tcPr>
            <w:tcW w:w="0" w:type="auto"/>
            <w:gridSpan w:val="3"/>
            <w:shd w:val="clear" w:color="auto" w:fill="auto"/>
            <w:vAlign w:val="bottom"/>
          </w:tcPr>
          <w:p w14:paraId="71D453F9" w14:textId="77777777" w:rsidR="006A3667" w:rsidRDefault="006A3667">
            <w:pPr>
              <w:rPr>
                <w:rFonts w:ascii="宋体"/>
                <w:vanish/>
              </w:rPr>
            </w:pPr>
          </w:p>
        </w:tc>
        <w:tc>
          <w:tcPr>
            <w:tcW w:w="0" w:type="auto"/>
            <w:gridSpan w:val="3"/>
            <w:shd w:val="clear" w:color="auto" w:fill="auto"/>
            <w:vAlign w:val="bottom"/>
          </w:tcPr>
          <w:p w14:paraId="71D453FA" w14:textId="77777777" w:rsidR="006A3667" w:rsidRDefault="006A3667">
            <w:pPr>
              <w:rPr>
                <w:rFonts w:ascii="宋体"/>
                <w:vanish/>
              </w:rPr>
            </w:pPr>
          </w:p>
        </w:tc>
        <w:tc>
          <w:tcPr>
            <w:tcW w:w="0" w:type="auto"/>
            <w:gridSpan w:val="3"/>
            <w:shd w:val="clear" w:color="auto" w:fill="auto"/>
            <w:vAlign w:val="bottom"/>
          </w:tcPr>
          <w:p w14:paraId="71D453FB" w14:textId="77777777" w:rsidR="006A3667" w:rsidRDefault="006A3667">
            <w:pPr>
              <w:rPr>
                <w:rFonts w:ascii="宋体"/>
                <w:vanish/>
              </w:rPr>
            </w:pPr>
          </w:p>
        </w:tc>
        <w:tc>
          <w:tcPr>
            <w:tcW w:w="0" w:type="auto"/>
            <w:gridSpan w:val="3"/>
            <w:shd w:val="clear" w:color="auto" w:fill="auto"/>
            <w:vAlign w:val="bottom"/>
          </w:tcPr>
          <w:p w14:paraId="71D453FC" w14:textId="77777777" w:rsidR="006A3667" w:rsidRDefault="006A3667">
            <w:pPr>
              <w:rPr>
                <w:rFonts w:ascii="宋体"/>
                <w:vanish/>
              </w:rPr>
            </w:pPr>
          </w:p>
        </w:tc>
        <w:tc>
          <w:tcPr>
            <w:tcW w:w="0" w:type="auto"/>
            <w:gridSpan w:val="3"/>
            <w:shd w:val="clear" w:color="auto" w:fill="auto"/>
            <w:vAlign w:val="bottom"/>
          </w:tcPr>
          <w:p w14:paraId="71D453FD" w14:textId="77777777" w:rsidR="006A3667" w:rsidRDefault="006A3667">
            <w:pPr>
              <w:rPr>
                <w:rFonts w:ascii="宋体"/>
                <w:vanish/>
              </w:rPr>
            </w:pPr>
          </w:p>
        </w:tc>
        <w:tc>
          <w:tcPr>
            <w:tcW w:w="0" w:type="auto"/>
            <w:gridSpan w:val="3"/>
            <w:shd w:val="clear" w:color="auto" w:fill="auto"/>
            <w:vAlign w:val="bottom"/>
          </w:tcPr>
          <w:p w14:paraId="71D453FE" w14:textId="77777777" w:rsidR="006A3667" w:rsidRDefault="006A3667">
            <w:pPr>
              <w:rPr>
                <w:rFonts w:ascii="宋体"/>
                <w:vanish/>
              </w:rPr>
            </w:pPr>
          </w:p>
        </w:tc>
        <w:tc>
          <w:tcPr>
            <w:tcW w:w="0" w:type="auto"/>
            <w:gridSpan w:val="3"/>
            <w:shd w:val="clear" w:color="auto" w:fill="auto"/>
            <w:vAlign w:val="bottom"/>
          </w:tcPr>
          <w:p w14:paraId="71D453FF" w14:textId="77777777" w:rsidR="006A3667" w:rsidRDefault="006A3667">
            <w:pPr>
              <w:rPr>
                <w:rFonts w:ascii="宋体"/>
                <w:vanish/>
              </w:rPr>
            </w:pPr>
          </w:p>
        </w:tc>
        <w:tc>
          <w:tcPr>
            <w:tcW w:w="0" w:type="auto"/>
            <w:gridSpan w:val="3"/>
            <w:shd w:val="clear" w:color="auto" w:fill="auto"/>
            <w:vAlign w:val="bottom"/>
          </w:tcPr>
          <w:p w14:paraId="71D45400" w14:textId="77777777" w:rsidR="006A3667" w:rsidRDefault="006A3667">
            <w:pPr>
              <w:rPr>
                <w:rFonts w:ascii="宋体"/>
                <w:vanish/>
              </w:rPr>
            </w:pPr>
          </w:p>
        </w:tc>
        <w:tc>
          <w:tcPr>
            <w:tcW w:w="0" w:type="auto"/>
            <w:gridSpan w:val="3"/>
            <w:shd w:val="clear" w:color="auto" w:fill="auto"/>
            <w:vAlign w:val="bottom"/>
          </w:tcPr>
          <w:p w14:paraId="71D45401" w14:textId="77777777" w:rsidR="006A3667" w:rsidRDefault="006A3667">
            <w:pPr>
              <w:rPr>
                <w:rFonts w:ascii="宋体"/>
                <w:vanish/>
              </w:rPr>
            </w:pPr>
          </w:p>
        </w:tc>
        <w:tc>
          <w:tcPr>
            <w:tcW w:w="0" w:type="auto"/>
            <w:gridSpan w:val="3"/>
            <w:shd w:val="clear" w:color="auto" w:fill="auto"/>
            <w:vAlign w:val="bottom"/>
          </w:tcPr>
          <w:p w14:paraId="71D45402" w14:textId="77777777" w:rsidR="006A3667" w:rsidRDefault="006A3667">
            <w:pPr>
              <w:rPr>
                <w:rFonts w:ascii="宋体"/>
                <w:vanish/>
              </w:rPr>
            </w:pPr>
          </w:p>
        </w:tc>
        <w:tc>
          <w:tcPr>
            <w:tcW w:w="0" w:type="auto"/>
            <w:gridSpan w:val="3"/>
            <w:shd w:val="clear" w:color="auto" w:fill="auto"/>
            <w:vAlign w:val="bottom"/>
          </w:tcPr>
          <w:p w14:paraId="71D45403" w14:textId="77777777" w:rsidR="006A3667" w:rsidRDefault="006A3667">
            <w:pPr>
              <w:rPr>
                <w:rFonts w:ascii="宋体"/>
                <w:vanish/>
              </w:rPr>
            </w:pPr>
          </w:p>
        </w:tc>
        <w:tc>
          <w:tcPr>
            <w:tcW w:w="0" w:type="auto"/>
            <w:gridSpan w:val="3"/>
            <w:shd w:val="clear" w:color="auto" w:fill="auto"/>
            <w:vAlign w:val="bottom"/>
          </w:tcPr>
          <w:p w14:paraId="71D45404" w14:textId="77777777" w:rsidR="006A3667" w:rsidRDefault="006A3667">
            <w:pPr>
              <w:rPr>
                <w:rFonts w:ascii="宋体"/>
                <w:vanish/>
              </w:rPr>
            </w:pPr>
          </w:p>
        </w:tc>
      </w:tr>
      <w:tr w:rsidR="006A3667" w14:paraId="71D45416" w14:textId="77777777">
        <w:trPr>
          <w:hidden/>
        </w:trPr>
        <w:tc>
          <w:tcPr>
            <w:tcW w:w="0" w:type="auto"/>
            <w:gridSpan w:val="3"/>
            <w:shd w:val="clear" w:color="auto" w:fill="auto"/>
            <w:vAlign w:val="bottom"/>
          </w:tcPr>
          <w:p w14:paraId="71D45406" w14:textId="77777777" w:rsidR="006A3667" w:rsidRDefault="006A3667">
            <w:pPr>
              <w:rPr>
                <w:rFonts w:ascii="宋体"/>
                <w:vanish/>
              </w:rPr>
            </w:pPr>
          </w:p>
        </w:tc>
        <w:tc>
          <w:tcPr>
            <w:tcW w:w="0" w:type="auto"/>
            <w:gridSpan w:val="3"/>
            <w:shd w:val="clear" w:color="auto" w:fill="auto"/>
            <w:vAlign w:val="bottom"/>
          </w:tcPr>
          <w:p w14:paraId="71D45407" w14:textId="77777777" w:rsidR="006A3667" w:rsidRDefault="006A3667">
            <w:pPr>
              <w:rPr>
                <w:rFonts w:ascii="宋体"/>
                <w:vanish/>
              </w:rPr>
            </w:pPr>
          </w:p>
        </w:tc>
        <w:tc>
          <w:tcPr>
            <w:tcW w:w="0" w:type="auto"/>
            <w:gridSpan w:val="3"/>
            <w:shd w:val="clear" w:color="auto" w:fill="auto"/>
            <w:vAlign w:val="bottom"/>
          </w:tcPr>
          <w:p w14:paraId="71D45408" w14:textId="77777777" w:rsidR="006A3667" w:rsidRDefault="006A3667">
            <w:pPr>
              <w:rPr>
                <w:rFonts w:ascii="宋体"/>
                <w:vanish/>
              </w:rPr>
            </w:pPr>
          </w:p>
        </w:tc>
        <w:tc>
          <w:tcPr>
            <w:tcW w:w="0" w:type="auto"/>
            <w:gridSpan w:val="3"/>
            <w:shd w:val="clear" w:color="auto" w:fill="auto"/>
            <w:vAlign w:val="bottom"/>
          </w:tcPr>
          <w:p w14:paraId="71D45409" w14:textId="77777777" w:rsidR="006A3667" w:rsidRDefault="006A3667">
            <w:pPr>
              <w:rPr>
                <w:rFonts w:ascii="宋体"/>
                <w:vanish/>
              </w:rPr>
            </w:pPr>
          </w:p>
        </w:tc>
        <w:tc>
          <w:tcPr>
            <w:tcW w:w="0" w:type="auto"/>
            <w:gridSpan w:val="3"/>
            <w:shd w:val="clear" w:color="auto" w:fill="auto"/>
            <w:vAlign w:val="bottom"/>
          </w:tcPr>
          <w:p w14:paraId="71D4540A" w14:textId="77777777" w:rsidR="006A3667" w:rsidRDefault="006A3667">
            <w:pPr>
              <w:rPr>
                <w:rFonts w:ascii="宋体"/>
                <w:vanish/>
              </w:rPr>
            </w:pPr>
          </w:p>
        </w:tc>
        <w:tc>
          <w:tcPr>
            <w:tcW w:w="0" w:type="auto"/>
            <w:gridSpan w:val="3"/>
            <w:shd w:val="clear" w:color="auto" w:fill="auto"/>
            <w:vAlign w:val="bottom"/>
          </w:tcPr>
          <w:p w14:paraId="71D4540B" w14:textId="77777777" w:rsidR="006A3667" w:rsidRDefault="006A3667">
            <w:pPr>
              <w:rPr>
                <w:rFonts w:ascii="宋体"/>
                <w:vanish/>
              </w:rPr>
            </w:pPr>
          </w:p>
        </w:tc>
        <w:tc>
          <w:tcPr>
            <w:tcW w:w="0" w:type="auto"/>
            <w:gridSpan w:val="3"/>
            <w:shd w:val="clear" w:color="auto" w:fill="auto"/>
            <w:vAlign w:val="bottom"/>
          </w:tcPr>
          <w:p w14:paraId="71D4540C" w14:textId="77777777" w:rsidR="006A3667" w:rsidRDefault="006A3667">
            <w:pPr>
              <w:rPr>
                <w:rFonts w:ascii="宋体"/>
                <w:vanish/>
              </w:rPr>
            </w:pPr>
          </w:p>
        </w:tc>
        <w:tc>
          <w:tcPr>
            <w:tcW w:w="0" w:type="auto"/>
            <w:gridSpan w:val="3"/>
            <w:shd w:val="clear" w:color="auto" w:fill="auto"/>
            <w:vAlign w:val="bottom"/>
          </w:tcPr>
          <w:p w14:paraId="71D4540D" w14:textId="77777777" w:rsidR="006A3667" w:rsidRDefault="006A3667">
            <w:pPr>
              <w:rPr>
                <w:rFonts w:ascii="宋体"/>
                <w:vanish/>
              </w:rPr>
            </w:pPr>
          </w:p>
        </w:tc>
        <w:tc>
          <w:tcPr>
            <w:tcW w:w="0" w:type="auto"/>
            <w:gridSpan w:val="3"/>
            <w:shd w:val="clear" w:color="auto" w:fill="auto"/>
            <w:vAlign w:val="bottom"/>
          </w:tcPr>
          <w:p w14:paraId="71D4540E" w14:textId="77777777" w:rsidR="006A3667" w:rsidRDefault="006A3667">
            <w:pPr>
              <w:rPr>
                <w:rFonts w:ascii="宋体"/>
                <w:vanish/>
              </w:rPr>
            </w:pPr>
          </w:p>
        </w:tc>
        <w:tc>
          <w:tcPr>
            <w:tcW w:w="0" w:type="auto"/>
            <w:gridSpan w:val="3"/>
            <w:shd w:val="clear" w:color="auto" w:fill="auto"/>
            <w:vAlign w:val="bottom"/>
          </w:tcPr>
          <w:p w14:paraId="71D4540F" w14:textId="77777777" w:rsidR="006A3667" w:rsidRDefault="006A3667">
            <w:pPr>
              <w:rPr>
                <w:rFonts w:ascii="宋体"/>
                <w:vanish/>
              </w:rPr>
            </w:pPr>
          </w:p>
        </w:tc>
        <w:tc>
          <w:tcPr>
            <w:tcW w:w="0" w:type="auto"/>
            <w:gridSpan w:val="3"/>
            <w:shd w:val="clear" w:color="auto" w:fill="auto"/>
            <w:vAlign w:val="bottom"/>
          </w:tcPr>
          <w:p w14:paraId="71D45410" w14:textId="77777777" w:rsidR="006A3667" w:rsidRDefault="006A3667">
            <w:pPr>
              <w:rPr>
                <w:rFonts w:ascii="宋体"/>
                <w:vanish/>
              </w:rPr>
            </w:pPr>
          </w:p>
        </w:tc>
        <w:tc>
          <w:tcPr>
            <w:tcW w:w="0" w:type="auto"/>
            <w:gridSpan w:val="3"/>
            <w:shd w:val="clear" w:color="auto" w:fill="auto"/>
            <w:vAlign w:val="bottom"/>
          </w:tcPr>
          <w:p w14:paraId="71D45411" w14:textId="77777777" w:rsidR="006A3667" w:rsidRDefault="006A3667">
            <w:pPr>
              <w:rPr>
                <w:rFonts w:ascii="宋体"/>
                <w:vanish/>
              </w:rPr>
            </w:pPr>
          </w:p>
        </w:tc>
        <w:tc>
          <w:tcPr>
            <w:tcW w:w="0" w:type="auto"/>
            <w:gridSpan w:val="3"/>
            <w:shd w:val="clear" w:color="auto" w:fill="auto"/>
            <w:vAlign w:val="bottom"/>
          </w:tcPr>
          <w:p w14:paraId="71D45412" w14:textId="77777777" w:rsidR="006A3667" w:rsidRDefault="006A3667">
            <w:pPr>
              <w:rPr>
                <w:rFonts w:ascii="宋体"/>
                <w:vanish/>
              </w:rPr>
            </w:pPr>
          </w:p>
        </w:tc>
        <w:tc>
          <w:tcPr>
            <w:tcW w:w="0" w:type="auto"/>
            <w:gridSpan w:val="3"/>
            <w:shd w:val="clear" w:color="auto" w:fill="auto"/>
            <w:vAlign w:val="bottom"/>
          </w:tcPr>
          <w:p w14:paraId="71D45413" w14:textId="77777777" w:rsidR="006A3667" w:rsidRDefault="006A3667">
            <w:pPr>
              <w:rPr>
                <w:rFonts w:ascii="宋体"/>
                <w:vanish/>
              </w:rPr>
            </w:pPr>
          </w:p>
        </w:tc>
        <w:tc>
          <w:tcPr>
            <w:tcW w:w="0" w:type="auto"/>
            <w:gridSpan w:val="3"/>
            <w:shd w:val="clear" w:color="auto" w:fill="auto"/>
            <w:vAlign w:val="bottom"/>
          </w:tcPr>
          <w:p w14:paraId="71D45414" w14:textId="77777777" w:rsidR="006A3667" w:rsidRDefault="006A3667">
            <w:pPr>
              <w:rPr>
                <w:rFonts w:ascii="宋体"/>
                <w:vanish/>
              </w:rPr>
            </w:pPr>
          </w:p>
        </w:tc>
        <w:tc>
          <w:tcPr>
            <w:tcW w:w="0" w:type="auto"/>
            <w:gridSpan w:val="3"/>
            <w:shd w:val="clear" w:color="auto" w:fill="auto"/>
            <w:vAlign w:val="bottom"/>
          </w:tcPr>
          <w:p w14:paraId="71D45415" w14:textId="77777777" w:rsidR="006A3667" w:rsidRDefault="006A3667">
            <w:pPr>
              <w:rPr>
                <w:rFonts w:ascii="宋体"/>
                <w:vanish/>
              </w:rPr>
            </w:pPr>
          </w:p>
        </w:tc>
      </w:tr>
      <w:tr w:rsidR="00045F32" w14:paraId="71D45437" w14:textId="77777777">
        <w:tc>
          <w:tcPr>
            <w:tcW w:w="0" w:type="auto"/>
            <w:gridSpan w:val="3"/>
            <w:shd w:val="clear" w:color="auto" w:fill="CCEEFF"/>
            <w:tcMar>
              <w:top w:w="40" w:type="dxa"/>
              <w:left w:w="20" w:type="dxa"/>
              <w:bottom w:w="40" w:type="dxa"/>
              <w:right w:w="20" w:type="dxa"/>
            </w:tcMar>
            <w:vAlign w:val="bottom"/>
          </w:tcPr>
          <w:p w14:paraId="71D45417" w14:textId="77777777" w:rsidR="006A3667" w:rsidRDefault="00045F32">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held-to-maturity securities</w:t>
            </w:r>
            <w:r>
              <w:rPr>
                <w:rFonts w:ascii="Arial" w:eastAsia="宋体" w:hAnsi="Arial" w:cs="Arial"/>
                <w:color w:val="000000"/>
                <w:sz w:val="9"/>
                <w:szCs w:val="9"/>
              </w:rPr>
              <w:t>(7)</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418"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419" w14:textId="77777777" w:rsidR="006A3667" w:rsidRDefault="00045F32">
            <w:pPr>
              <w:jc w:val="right"/>
              <w:textAlignment w:val="bottom"/>
            </w:pPr>
            <w:r>
              <w:rPr>
                <w:rFonts w:ascii="Arial" w:eastAsia="宋体" w:hAnsi="Arial" w:cs="Arial"/>
                <w:b/>
                <w:bCs/>
                <w:color w:val="000000"/>
                <w:sz w:val="15"/>
                <w:szCs w:val="15"/>
              </w:rPr>
              <w:t>65,232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4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1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41C"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41D" w14:textId="77777777" w:rsidR="006A3667" w:rsidRDefault="00045F32">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4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1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420"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421" w14:textId="77777777" w:rsidR="006A3667" w:rsidRDefault="00045F32">
            <w:pPr>
              <w:jc w:val="right"/>
              <w:textAlignment w:val="bottom"/>
            </w:pPr>
            <w:r>
              <w:rPr>
                <w:rFonts w:ascii="Arial" w:eastAsia="宋体" w:hAnsi="Arial" w:cs="Arial"/>
                <w:b/>
                <w:bCs/>
                <w:color w:val="000000"/>
                <w:sz w:val="15"/>
                <w:szCs w:val="15"/>
              </w:rPr>
              <w:t>6,932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4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2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424"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425" w14:textId="77777777" w:rsidR="006A3667" w:rsidRDefault="00045F32">
            <w:pPr>
              <w:jc w:val="right"/>
              <w:textAlignment w:val="bottom"/>
            </w:pPr>
            <w:r>
              <w:rPr>
                <w:rFonts w:ascii="Arial" w:eastAsia="宋体" w:hAnsi="Arial" w:cs="Arial"/>
                <w:b/>
                <w:bCs/>
                <w:color w:val="000000"/>
                <w:sz w:val="15"/>
                <w:szCs w:val="15"/>
              </w:rPr>
              <w:t>58,320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4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2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428"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429" w14:textId="77777777" w:rsidR="006A3667" w:rsidRDefault="00045F32">
            <w:pPr>
              <w:jc w:val="right"/>
              <w:textAlignment w:val="bottom"/>
            </w:pPr>
            <w:r>
              <w:rPr>
                <w:rFonts w:ascii="Arial" w:eastAsia="宋体" w:hAnsi="Arial" w:cs="Arial"/>
                <w:color w:val="000000"/>
                <w:sz w:val="15"/>
                <w:szCs w:val="15"/>
              </w:rPr>
              <w:t>42,430 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4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2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42C"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42D" w14:textId="77777777" w:rsidR="006A3667" w:rsidRDefault="00045F32">
            <w:pPr>
              <w:jc w:val="right"/>
              <w:textAlignment w:val="bottom"/>
            </w:pPr>
            <w:r>
              <w:rPr>
                <w:rFonts w:ascii="Arial" w:eastAsia="宋体" w:hAnsi="Arial" w:cs="Arial"/>
                <w:color w:val="000000"/>
                <w:sz w:val="15"/>
                <w:szCs w:val="15"/>
              </w:rPr>
              <w:t>442 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4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2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430"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431" w14:textId="77777777" w:rsidR="006A3667" w:rsidRDefault="00045F32">
            <w:pPr>
              <w:jc w:val="right"/>
              <w:textAlignment w:val="bottom"/>
            </w:pPr>
            <w:r>
              <w:rPr>
                <w:rFonts w:ascii="Arial" w:eastAsia="宋体" w:hAnsi="Arial" w:cs="Arial"/>
                <w:color w:val="000000"/>
                <w:sz w:val="15"/>
                <w:szCs w:val="15"/>
              </w:rPr>
              <w:t>601 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4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3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434"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435" w14:textId="77777777" w:rsidR="006A3667" w:rsidRDefault="00045F32">
            <w:pPr>
              <w:jc w:val="right"/>
              <w:textAlignment w:val="bottom"/>
            </w:pPr>
            <w:r>
              <w:rPr>
                <w:rFonts w:ascii="Arial" w:eastAsia="宋体" w:hAnsi="Arial" w:cs="Arial"/>
                <w:color w:val="000000"/>
                <w:sz w:val="15"/>
                <w:szCs w:val="15"/>
              </w:rPr>
              <w:t>42,271 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436" w14:textId="77777777" w:rsidR="006A3667" w:rsidRDefault="006A3667">
            <w:pPr>
              <w:jc w:val="right"/>
              <w:rPr>
                <w:rFonts w:ascii="宋体"/>
              </w:rPr>
            </w:pPr>
          </w:p>
        </w:tc>
      </w:tr>
    </w:tbl>
    <w:p w14:paraId="71D45438" w14:textId="77777777" w:rsidR="006A3667" w:rsidRDefault="006A366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6A3667" w14:paraId="71D45445" w14:textId="77777777">
        <w:tc>
          <w:tcPr>
            <w:tcW w:w="50" w:type="pct"/>
            <w:shd w:val="clear" w:color="auto" w:fill="auto"/>
            <w:vAlign w:val="bottom"/>
          </w:tcPr>
          <w:p w14:paraId="71D45439" w14:textId="77777777" w:rsidR="006A3667" w:rsidRDefault="006A3667">
            <w:pPr>
              <w:rPr>
                <w:rFonts w:ascii="宋体"/>
              </w:rPr>
            </w:pPr>
          </w:p>
        </w:tc>
        <w:tc>
          <w:tcPr>
            <w:tcW w:w="1350" w:type="pct"/>
            <w:shd w:val="clear" w:color="auto" w:fill="auto"/>
            <w:vAlign w:val="bottom"/>
          </w:tcPr>
          <w:p w14:paraId="71D4543A" w14:textId="77777777" w:rsidR="006A3667" w:rsidRDefault="006A3667">
            <w:pPr>
              <w:rPr>
                <w:rFonts w:ascii="宋体"/>
              </w:rPr>
            </w:pPr>
          </w:p>
        </w:tc>
        <w:tc>
          <w:tcPr>
            <w:tcW w:w="5" w:type="pct"/>
            <w:shd w:val="clear" w:color="auto" w:fill="auto"/>
            <w:vAlign w:val="bottom"/>
          </w:tcPr>
          <w:p w14:paraId="71D4543B" w14:textId="77777777" w:rsidR="006A3667" w:rsidRDefault="006A3667">
            <w:pPr>
              <w:rPr>
                <w:rFonts w:ascii="宋体"/>
              </w:rPr>
            </w:pPr>
          </w:p>
        </w:tc>
        <w:tc>
          <w:tcPr>
            <w:tcW w:w="50" w:type="pct"/>
            <w:shd w:val="clear" w:color="auto" w:fill="auto"/>
            <w:vAlign w:val="bottom"/>
          </w:tcPr>
          <w:p w14:paraId="71D4543C" w14:textId="77777777" w:rsidR="006A3667" w:rsidRDefault="006A3667">
            <w:pPr>
              <w:rPr>
                <w:rFonts w:ascii="宋体"/>
              </w:rPr>
            </w:pPr>
          </w:p>
        </w:tc>
        <w:tc>
          <w:tcPr>
            <w:tcW w:w="918" w:type="pct"/>
            <w:shd w:val="clear" w:color="auto" w:fill="auto"/>
            <w:vAlign w:val="bottom"/>
          </w:tcPr>
          <w:p w14:paraId="71D4543D" w14:textId="77777777" w:rsidR="006A3667" w:rsidRDefault="006A3667">
            <w:pPr>
              <w:rPr>
                <w:rFonts w:ascii="宋体"/>
              </w:rPr>
            </w:pPr>
          </w:p>
        </w:tc>
        <w:tc>
          <w:tcPr>
            <w:tcW w:w="5" w:type="pct"/>
            <w:shd w:val="clear" w:color="auto" w:fill="auto"/>
            <w:vAlign w:val="bottom"/>
          </w:tcPr>
          <w:p w14:paraId="71D4543E" w14:textId="77777777" w:rsidR="006A3667" w:rsidRDefault="006A3667">
            <w:pPr>
              <w:rPr>
                <w:rFonts w:ascii="宋体"/>
              </w:rPr>
            </w:pPr>
          </w:p>
        </w:tc>
        <w:tc>
          <w:tcPr>
            <w:tcW w:w="50" w:type="pct"/>
            <w:shd w:val="clear" w:color="auto" w:fill="auto"/>
            <w:vAlign w:val="bottom"/>
          </w:tcPr>
          <w:p w14:paraId="71D4543F" w14:textId="77777777" w:rsidR="006A3667" w:rsidRDefault="006A3667">
            <w:pPr>
              <w:rPr>
                <w:rFonts w:ascii="宋体"/>
              </w:rPr>
            </w:pPr>
          </w:p>
        </w:tc>
        <w:tc>
          <w:tcPr>
            <w:tcW w:w="918" w:type="pct"/>
            <w:shd w:val="clear" w:color="auto" w:fill="auto"/>
            <w:vAlign w:val="bottom"/>
          </w:tcPr>
          <w:p w14:paraId="71D45440" w14:textId="77777777" w:rsidR="006A3667" w:rsidRDefault="006A3667">
            <w:pPr>
              <w:rPr>
                <w:rFonts w:ascii="宋体"/>
              </w:rPr>
            </w:pPr>
          </w:p>
        </w:tc>
        <w:tc>
          <w:tcPr>
            <w:tcW w:w="5" w:type="pct"/>
            <w:shd w:val="clear" w:color="auto" w:fill="auto"/>
            <w:vAlign w:val="bottom"/>
          </w:tcPr>
          <w:p w14:paraId="71D45441" w14:textId="77777777" w:rsidR="006A3667" w:rsidRDefault="006A3667">
            <w:pPr>
              <w:rPr>
                <w:rFonts w:ascii="宋体"/>
              </w:rPr>
            </w:pPr>
          </w:p>
        </w:tc>
        <w:tc>
          <w:tcPr>
            <w:tcW w:w="50" w:type="pct"/>
            <w:shd w:val="clear" w:color="auto" w:fill="auto"/>
            <w:vAlign w:val="bottom"/>
          </w:tcPr>
          <w:p w14:paraId="71D45442" w14:textId="77777777" w:rsidR="006A3667" w:rsidRDefault="006A3667">
            <w:pPr>
              <w:rPr>
                <w:rFonts w:ascii="宋体"/>
              </w:rPr>
            </w:pPr>
          </w:p>
        </w:tc>
        <w:tc>
          <w:tcPr>
            <w:tcW w:w="1592" w:type="pct"/>
            <w:shd w:val="clear" w:color="auto" w:fill="auto"/>
            <w:vAlign w:val="bottom"/>
          </w:tcPr>
          <w:p w14:paraId="71D45443" w14:textId="77777777" w:rsidR="006A3667" w:rsidRDefault="006A3667">
            <w:pPr>
              <w:rPr>
                <w:rFonts w:ascii="宋体"/>
              </w:rPr>
            </w:pPr>
          </w:p>
        </w:tc>
        <w:tc>
          <w:tcPr>
            <w:tcW w:w="5" w:type="pct"/>
            <w:shd w:val="clear" w:color="auto" w:fill="auto"/>
            <w:vAlign w:val="bottom"/>
          </w:tcPr>
          <w:p w14:paraId="71D45444" w14:textId="77777777" w:rsidR="006A3667" w:rsidRDefault="006A3667">
            <w:pPr>
              <w:rPr>
                <w:rFonts w:ascii="宋体"/>
              </w:rPr>
            </w:pPr>
          </w:p>
        </w:tc>
      </w:tr>
      <w:tr w:rsidR="006A3667" w14:paraId="71D4544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544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49" w14:textId="77777777" w:rsidR="006A3667" w:rsidRDefault="006A3667">
            <w:pPr>
              <w:rPr>
                <w:rFonts w:ascii="宋体"/>
              </w:rPr>
            </w:pPr>
          </w:p>
        </w:tc>
      </w:tr>
    </w:tbl>
    <w:p w14:paraId="71D4544B" w14:textId="77777777" w:rsidR="006A3667" w:rsidRDefault="00045F32">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As of September 30, 2022 and December 31, 2021, the fair value includes non-U.S. collateralized loan obligations of $0.78 billion and $0.83 billion, respectively.</w:t>
      </w:r>
    </w:p>
    <w:p w14:paraId="71D4544C" w14:textId="77777777" w:rsidR="006A3667" w:rsidRDefault="00045F32">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As of September 30, 2022 and December 31, 2021, the fair value includes non-U.S. corpora</w:t>
      </w:r>
      <w:r>
        <w:rPr>
          <w:rFonts w:ascii="Arial" w:eastAsia="宋体" w:hAnsi="Arial" w:cs="Arial"/>
          <w:color w:val="000000"/>
          <w:sz w:val="13"/>
          <w:szCs w:val="13"/>
        </w:rPr>
        <w:t>te bonds of $1.11 billion and $1.53 billion, respectively.</w:t>
      </w:r>
    </w:p>
    <w:p w14:paraId="71D4544D" w14:textId="77777777" w:rsidR="006A3667" w:rsidRDefault="00045F32">
      <w:pPr>
        <w:spacing w:before="60"/>
        <w:jc w:val="both"/>
      </w:pPr>
      <w:r>
        <w:rPr>
          <w:rFonts w:ascii="Arial" w:eastAsia="宋体" w:hAnsi="Arial" w:cs="Arial"/>
          <w:color w:val="000000"/>
          <w:sz w:val="8"/>
          <w:szCs w:val="8"/>
        </w:rPr>
        <w:t>(3)</w:t>
      </w:r>
      <w:r>
        <w:rPr>
          <w:rFonts w:ascii="Arial" w:eastAsia="宋体" w:hAnsi="Arial" w:cs="Arial"/>
          <w:color w:val="000000"/>
          <w:sz w:val="13"/>
          <w:szCs w:val="13"/>
        </w:rPr>
        <w:t xml:space="preserve"> Primarily comprised of securities guaranteed by the federal government with respect to at least 97% of defaulted principal and accrued interest on the underlying loans.</w:t>
      </w:r>
    </w:p>
    <w:p w14:paraId="71D4544E" w14:textId="77777777" w:rsidR="006A3667" w:rsidRDefault="00045F32">
      <w:pPr>
        <w:spacing w:before="60"/>
        <w:jc w:val="both"/>
      </w:pPr>
      <w:r>
        <w:rPr>
          <w:rFonts w:ascii="Arial" w:eastAsia="宋体" w:hAnsi="Arial" w:cs="Arial"/>
          <w:color w:val="000000"/>
          <w:sz w:val="8"/>
          <w:szCs w:val="8"/>
        </w:rPr>
        <w:t>(4)</w:t>
      </w:r>
      <w:r>
        <w:rPr>
          <w:rFonts w:ascii="Arial" w:eastAsia="宋体" w:hAnsi="Arial" w:cs="Arial"/>
          <w:color w:val="000000"/>
          <w:sz w:val="13"/>
          <w:szCs w:val="13"/>
        </w:rPr>
        <w:t xml:space="preserve"> Excludes collaterali</w:t>
      </w:r>
      <w:r>
        <w:rPr>
          <w:rFonts w:ascii="Arial" w:eastAsia="宋体" w:hAnsi="Arial" w:cs="Arial"/>
          <w:color w:val="000000"/>
          <w:sz w:val="13"/>
          <w:szCs w:val="13"/>
        </w:rPr>
        <w:t xml:space="preserve">zed loan obligations in loan form. Refer to Note 4 for additional information. </w:t>
      </w:r>
    </w:p>
    <w:p w14:paraId="71D4544F" w14:textId="77777777" w:rsidR="006A3667" w:rsidRDefault="00045F32">
      <w:pPr>
        <w:spacing w:before="60"/>
        <w:jc w:val="both"/>
      </w:pPr>
      <w:r>
        <w:rPr>
          <w:rFonts w:ascii="Arial" w:eastAsia="宋体" w:hAnsi="Arial" w:cs="Arial"/>
          <w:color w:val="000000"/>
          <w:sz w:val="8"/>
          <w:szCs w:val="8"/>
        </w:rPr>
        <w:t>(5)</w:t>
      </w:r>
      <w:r>
        <w:rPr>
          <w:rFonts w:ascii="Arial" w:eastAsia="宋体" w:hAnsi="Arial" w:cs="Arial"/>
          <w:color w:val="000000"/>
          <w:sz w:val="13"/>
          <w:szCs w:val="13"/>
        </w:rPr>
        <w:t xml:space="preserve"> Consists entirely of non-agency CMBS as of both September 30, 2022 and December 31, 2021.</w:t>
      </w:r>
    </w:p>
    <w:p w14:paraId="71D45450" w14:textId="77777777" w:rsidR="006A3667" w:rsidRDefault="00045F32">
      <w:pPr>
        <w:spacing w:before="60"/>
        <w:jc w:val="both"/>
      </w:pPr>
      <w:r>
        <w:rPr>
          <w:rFonts w:ascii="Arial" w:eastAsia="宋体" w:hAnsi="Arial" w:cs="Arial"/>
          <w:color w:val="000000"/>
          <w:sz w:val="8"/>
          <w:szCs w:val="8"/>
        </w:rPr>
        <w:t>(6)</w:t>
      </w:r>
      <w:r>
        <w:rPr>
          <w:rFonts w:ascii="Arial" w:eastAsia="宋体" w:hAnsi="Arial" w:cs="Arial"/>
          <w:color w:val="000000"/>
          <w:sz w:val="13"/>
          <w:szCs w:val="13"/>
        </w:rPr>
        <w:t xml:space="preserve"> As of September 30, 2022 and December 31, 2021, the fair value of U.S. corpora</w:t>
      </w:r>
      <w:r>
        <w:rPr>
          <w:rFonts w:ascii="Arial" w:eastAsia="宋体" w:hAnsi="Arial" w:cs="Arial"/>
          <w:color w:val="000000"/>
          <w:sz w:val="13"/>
          <w:szCs w:val="13"/>
        </w:rPr>
        <w:t xml:space="preserve">te bonds was $0.99 billion and $2.44 billion, respectively. </w:t>
      </w:r>
    </w:p>
    <w:p w14:paraId="71D45451" w14:textId="77777777" w:rsidR="006A3667" w:rsidRDefault="00045F32">
      <w:pPr>
        <w:spacing w:before="60"/>
        <w:jc w:val="both"/>
      </w:pPr>
      <w:r>
        <w:rPr>
          <w:rFonts w:ascii="Arial" w:eastAsia="宋体" w:hAnsi="Arial" w:cs="Arial"/>
          <w:color w:val="000000"/>
          <w:sz w:val="8"/>
          <w:szCs w:val="8"/>
        </w:rPr>
        <w:t>(7)</w:t>
      </w:r>
      <w:r>
        <w:rPr>
          <w:rFonts w:ascii="Arial" w:eastAsia="宋体" w:hAnsi="Arial" w:cs="Arial"/>
          <w:color w:val="000000"/>
          <w:sz w:val="13"/>
          <w:szCs w:val="13"/>
        </w:rPr>
        <w:t xml:space="preserve"> An immaterial amount of accrued interest related to HTM and AFS investment securities was excluded from the amortized cost basis for the period ended September 30, 2022.</w:t>
      </w:r>
    </w:p>
    <w:p w14:paraId="71D45452" w14:textId="77777777" w:rsidR="006A3667" w:rsidRDefault="00045F32">
      <w:pPr>
        <w:spacing w:before="60"/>
        <w:jc w:val="both"/>
      </w:pPr>
      <w:r>
        <w:rPr>
          <w:rFonts w:ascii="Arial" w:eastAsia="宋体" w:hAnsi="Arial" w:cs="Arial"/>
          <w:color w:val="000000"/>
          <w:sz w:val="8"/>
          <w:szCs w:val="8"/>
        </w:rPr>
        <w:t>(8)</w:t>
      </w:r>
      <w:r>
        <w:rPr>
          <w:rFonts w:ascii="Arial" w:eastAsia="宋体" w:hAnsi="Arial" w:cs="Arial"/>
          <w:color w:val="000000"/>
          <w:sz w:val="13"/>
          <w:szCs w:val="13"/>
        </w:rPr>
        <w:t xml:space="preserve"> As of September 3</w:t>
      </w:r>
      <w:r>
        <w:rPr>
          <w:rFonts w:ascii="Arial" w:eastAsia="宋体" w:hAnsi="Arial" w:cs="Arial"/>
          <w:color w:val="000000"/>
          <w:sz w:val="13"/>
          <w:szCs w:val="13"/>
        </w:rPr>
        <w:t xml:space="preserve">0, 2022 and December 31, 2021, the total amortized cost included $239 million and $292 million, respectively, of non-agency CMBS and $10 million and $14 million of non-agency RMBS, respectively. </w:t>
      </w:r>
    </w:p>
    <w:p w14:paraId="71D45453" w14:textId="77777777" w:rsidR="006A3667" w:rsidRDefault="00045F32">
      <w:pPr>
        <w:spacing w:before="60"/>
        <w:jc w:val="both"/>
      </w:pPr>
      <w:r>
        <w:rPr>
          <w:rFonts w:ascii="Arial" w:eastAsia="宋体" w:hAnsi="Arial" w:cs="Arial"/>
          <w:color w:val="000000"/>
          <w:sz w:val="8"/>
          <w:szCs w:val="8"/>
        </w:rPr>
        <w:t>(9)</w:t>
      </w:r>
      <w:r>
        <w:rPr>
          <w:rFonts w:ascii="Arial" w:eastAsia="宋体" w:hAnsi="Arial" w:cs="Arial"/>
          <w:color w:val="000000"/>
          <w:sz w:val="13"/>
          <w:szCs w:val="13"/>
        </w:rPr>
        <w:t xml:space="preserve"> As of both September 30, 2022 and December 31, 2021, tot</w:t>
      </w:r>
      <w:r>
        <w:rPr>
          <w:rFonts w:ascii="Arial" w:eastAsia="宋体" w:hAnsi="Arial" w:cs="Arial"/>
          <w:color w:val="000000"/>
          <w:sz w:val="13"/>
          <w:szCs w:val="13"/>
        </w:rPr>
        <w:t xml:space="preserve">al amortized cost included an allowance for credit losses on AFS investment securities of $1 million. </w:t>
      </w:r>
    </w:p>
    <w:p w14:paraId="71D45454" w14:textId="77777777" w:rsidR="006A3667" w:rsidRDefault="00045F32">
      <w:pPr>
        <w:ind w:firstLine="450"/>
        <w:jc w:val="right"/>
      </w:pPr>
      <w:r>
        <w:rPr>
          <w:rFonts w:ascii="Arial" w:eastAsia="宋体" w:hAnsi="Arial" w:cs="Arial"/>
          <w:color w:val="000000"/>
          <w:sz w:val="18"/>
          <w:szCs w:val="18"/>
        </w:rPr>
        <w:t>State Street Corporation | 67</w:t>
      </w:r>
    </w:p>
    <w:p w14:paraId="71D45455" w14:textId="77777777" w:rsidR="006A3667" w:rsidRDefault="006A3667">
      <w:pPr>
        <w:ind w:firstLine="450"/>
        <w:jc w:val="center"/>
      </w:pPr>
    </w:p>
    <w:p w14:paraId="71D45456" w14:textId="77777777" w:rsidR="006A3667" w:rsidRDefault="00045F32">
      <w:r>
        <w:pict w14:anchorId="71D4AC57">
          <v:rect id="_x0000_i1091" style="width:415.3pt;height:1.5pt" o:hralign="center" o:hrstd="t" o:hr="t" fillcolor="#a0a0a0" stroked="f"/>
        </w:pict>
      </w:r>
    </w:p>
    <w:p w14:paraId="71D45457" w14:textId="77777777" w:rsidR="006A3667" w:rsidRDefault="00045F32">
      <w:pPr>
        <w:ind w:firstLine="450"/>
        <w:jc w:val="center"/>
      </w:pPr>
      <w:r>
        <w:rPr>
          <w:rFonts w:ascii="Arial" w:eastAsia="宋体" w:hAnsi="Arial" w:cs="Arial"/>
          <w:b/>
          <w:bCs/>
          <w:color w:val="000000"/>
          <w:sz w:val="20"/>
          <w:szCs w:val="20"/>
        </w:rPr>
        <w:t>STATE STREET CORPORATION</w:t>
      </w:r>
    </w:p>
    <w:p w14:paraId="71D45458"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5459" w14:textId="77777777" w:rsidR="006A3667" w:rsidRDefault="00045F32">
      <w:pPr>
        <w:ind w:firstLine="450"/>
        <w:jc w:val="center"/>
      </w:pPr>
      <w:r>
        <w:rPr>
          <w:rFonts w:ascii="Arial" w:eastAsia="宋体" w:hAnsi="Arial" w:cs="Arial"/>
          <w:b/>
          <w:bCs/>
          <w:color w:val="000000"/>
          <w:sz w:val="20"/>
          <w:szCs w:val="20"/>
        </w:rPr>
        <w:t>(UNAUDITED)</w:t>
      </w:r>
    </w:p>
    <w:p w14:paraId="71D4545A" w14:textId="77777777" w:rsidR="006A3667" w:rsidRDefault="00045F32">
      <w:pPr>
        <w:spacing w:before="60"/>
        <w:ind w:firstLine="450"/>
        <w:jc w:val="both"/>
      </w:pPr>
      <w:r>
        <w:rPr>
          <w:rFonts w:ascii="Arial" w:eastAsia="宋体" w:hAnsi="Arial" w:cs="Arial"/>
          <w:color w:val="000000"/>
          <w:sz w:val="20"/>
          <w:szCs w:val="20"/>
        </w:rPr>
        <w:t xml:space="preserve">Aggregate investment </w:t>
      </w:r>
      <w:r>
        <w:rPr>
          <w:rFonts w:ascii="Arial" w:eastAsia="宋体" w:hAnsi="Arial" w:cs="Arial"/>
          <w:color w:val="000000"/>
          <w:sz w:val="20"/>
          <w:szCs w:val="20"/>
        </w:rPr>
        <w:t>securities with carrying values of approximately $83.71 billion and $80.81 billion as of September 30, 2022 and December 31, 2021, respectively, were designated as pledged for public and trust deposits, short-term borrowings and for other purposes as provi</w:t>
      </w:r>
      <w:r>
        <w:rPr>
          <w:rFonts w:ascii="Arial" w:eastAsia="宋体" w:hAnsi="Arial" w:cs="Arial"/>
          <w:color w:val="000000"/>
          <w:sz w:val="20"/>
          <w:szCs w:val="20"/>
        </w:rPr>
        <w:t>ded by law.</w:t>
      </w:r>
    </w:p>
    <w:p w14:paraId="71D4545B" w14:textId="77777777" w:rsidR="006A3667" w:rsidRDefault="00045F32">
      <w:pPr>
        <w:spacing w:before="60"/>
        <w:ind w:firstLine="450"/>
        <w:jc w:val="both"/>
      </w:pPr>
      <w:r>
        <w:rPr>
          <w:rFonts w:ascii="Arial" w:eastAsia="宋体" w:hAnsi="Arial" w:cs="Arial"/>
          <w:color w:val="000000"/>
          <w:sz w:val="20"/>
          <w:szCs w:val="20"/>
        </w:rPr>
        <w:t xml:space="preserve">In the second quarter of 2022, $21.23 billion of investment securities previously classified as AFS were transferred to HTM. These transfers reflect our intent to hold these securities until their maturity. These securities were transferred at </w:t>
      </w:r>
      <w:r>
        <w:rPr>
          <w:rFonts w:ascii="Arial" w:eastAsia="宋体" w:hAnsi="Arial" w:cs="Arial"/>
          <w:color w:val="000000"/>
          <w:sz w:val="20"/>
          <w:szCs w:val="20"/>
        </w:rPr>
        <w:t>fair value, which included a net unrealized loss of $1.29 billion. Upon transfer of a debt security from AFS to HTM, the amortized cost is reset to fair value. Any net unrealized gain or loss at the date of transfer will remain in AOCI and be amortized int</w:t>
      </w:r>
      <w:r>
        <w:rPr>
          <w:rFonts w:ascii="Arial" w:eastAsia="宋体" w:hAnsi="Arial" w:cs="Arial"/>
          <w:color w:val="000000"/>
          <w:sz w:val="20"/>
          <w:szCs w:val="20"/>
        </w:rPr>
        <w:t>o net interest income over the remaining life of the security. The amortization of amounts retained in AOCI will offset the effect on net interest income of the amortization of the premium or discount resulting from transferring securities at fair value.</w:t>
      </w:r>
    </w:p>
    <w:p w14:paraId="71D4545C" w14:textId="77777777" w:rsidR="006A3667" w:rsidRDefault="00045F32">
      <w:pPr>
        <w:spacing w:before="60"/>
        <w:ind w:firstLine="450"/>
        <w:jc w:val="both"/>
      </w:pPr>
      <w:r>
        <w:rPr>
          <w:rFonts w:ascii="Arial" w:eastAsia="宋体" w:hAnsi="Arial" w:cs="Arial"/>
          <w:color w:val="000000"/>
          <w:sz w:val="20"/>
          <w:szCs w:val="20"/>
        </w:rPr>
        <w:t>T</w:t>
      </w:r>
      <w:r>
        <w:rPr>
          <w:rFonts w:ascii="Arial" w:eastAsia="宋体" w:hAnsi="Arial" w:cs="Arial"/>
          <w:color w:val="000000"/>
          <w:sz w:val="20"/>
          <w:szCs w:val="20"/>
        </w:rPr>
        <w:t>he following tables present the aggregate fair values of AFS investment securities that have been in a continuous unrealized loss position for less than 12 months, and those that have been in a continuous unrealized loss position for 12 months or longer, a</w:t>
      </w:r>
      <w:r>
        <w:rPr>
          <w:rFonts w:ascii="Arial" w:eastAsia="宋体" w:hAnsi="Arial" w:cs="Arial"/>
          <w:color w:val="000000"/>
          <w:sz w:val="20"/>
          <w:szCs w:val="20"/>
        </w:rPr>
        <w:t>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3273"/>
        <w:gridCol w:w="36"/>
        <w:gridCol w:w="98"/>
        <w:gridCol w:w="630"/>
        <w:gridCol w:w="36"/>
        <w:gridCol w:w="36"/>
        <w:gridCol w:w="36"/>
        <w:gridCol w:w="36"/>
        <w:gridCol w:w="99"/>
        <w:gridCol w:w="664"/>
        <w:gridCol w:w="36"/>
        <w:gridCol w:w="36"/>
        <w:gridCol w:w="36"/>
        <w:gridCol w:w="36"/>
        <w:gridCol w:w="98"/>
        <w:gridCol w:w="504"/>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6A3667" w14:paraId="71D45481" w14:textId="77777777">
        <w:tc>
          <w:tcPr>
            <w:tcW w:w="50" w:type="pct"/>
            <w:shd w:val="clear" w:color="auto" w:fill="auto"/>
            <w:vAlign w:val="bottom"/>
          </w:tcPr>
          <w:p w14:paraId="71D4545D" w14:textId="77777777" w:rsidR="006A3667" w:rsidRDefault="006A3667">
            <w:pPr>
              <w:rPr>
                <w:rFonts w:ascii="宋体"/>
              </w:rPr>
            </w:pPr>
          </w:p>
        </w:tc>
        <w:tc>
          <w:tcPr>
            <w:tcW w:w="1994" w:type="pct"/>
            <w:shd w:val="clear" w:color="auto" w:fill="auto"/>
            <w:vAlign w:val="bottom"/>
          </w:tcPr>
          <w:p w14:paraId="71D4545E" w14:textId="77777777" w:rsidR="006A3667" w:rsidRDefault="006A3667">
            <w:pPr>
              <w:rPr>
                <w:rFonts w:ascii="宋体"/>
              </w:rPr>
            </w:pPr>
          </w:p>
        </w:tc>
        <w:tc>
          <w:tcPr>
            <w:tcW w:w="5" w:type="pct"/>
            <w:shd w:val="clear" w:color="auto" w:fill="auto"/>
            <w:vAlign w:val="bottom"/>
          </w:tcPr>
          <w:p w14:paraId="71D4545F" w14:textId="77777777" w:rsidR="006A3667" w:rsidRDefault="006A3667">
            <w:pPr>
              <w:rPr>
                <w:rFonts w:ascii="宋体"/>
              </w:rPr>
            </w:pPr>
          </w:p>
        </w:tc>
        <w:tc>
          <w:tcPr>
            <w:tcW w:w="50" w:type="pct"/>
            <w:shd w:val="clear" w:color="auto" w:fill="auto"/>
            <w:vAlign w:val="bottom"/>
          </w:tcPr>
          <w:p w14:paraId="71D45460" w14:textId="77777777" w:rsidR="006A3667" w:rsidRDefault="006A3667">
            <w:pPr>
              <w:rPr>
                <w:rFonts w:ascii="宋体"/>
              </w:rPr>
            </w:pPr>
          </w:p>
        </w:tc>
        <w:tc>
          <w:tcPr>
            <w:tcW w:w="406" w:type="pct"/>
            <w:shd w:val="clear" w:color="auto" w:fill="auto"/>
            <w:vAlign w:val="bottom"/>
          </w:tcPr>
          <w:p w14:paraId="71D45461" w14:textId="77777777" w:rsidR="006A3667" w:rsidRDefault="006A3667">
            <w:pPr>
              <w:rPr>
                <w:rFonts w:ascii="宋体"/>
              </w:rPr>
            </w:pPr>
          </w:p>
        </w:tc>
        <w:tc>
          <w:tcPr>
            <w:tcW w:w="5" w:type="pct"/>
            <w:shd w:val="clear" w:color="auto" w:fill="auto"/>
            <w:vAlign w:val="bottom"/>
          </w:tcPr>
          <w:p w14:paraId="71D45462" w14:textId="77777777" w:rsidR="006A3667" w:rsidRDefault="006A3667">
            <w:pPr>
              <w:rPr>
                <w:rFonts w:ascii="宋体"/>
              </w:rPr>
            </w:pPr>
          </w:p>
        </w:tc>
        <w:tc>
          <w:tcPr>
            <w:tcW w:w="5" w:type="pct"/>
            <w:shd w:val="clear" w:color="auto" w:fill="auto"/>
            <w:vAlign w:val="bottom"/>
          </w:tcPr>
          <w:p w14:paraId="71D45463" w14:textId="77777777" w:rsidR="006A3667" w:rsidRDefault="006A3667">
            <w:pPr>
              <w:rPr>
                <w:rFonts w:ascii="宋体"/>
              </w:rPr>
            </w:pPr>
          </w:p>
        </w:tc>
        <w:tc>
          <w:tcPr>
            <w:tcW w:w="26" w:type="pct"/>
            <w:shd w:val="clear" w:color="auto" w:fill="auto"/>
            <w:vAlign w:val="bottom"/>
          </w:tcPr>
          <w:p w14:paraId="71D45464" w14:textId="77777777" w:rsidR="006A3667" w:rsidRDefault="006A3667">
            <w:pPr>
              <w:rPr>
                <w:rFonts w:ascii="宋体"/>
              </w:rPr>
            </w:pPr>
          </w:p>
        </w:tc>
        <w:tc>
          <w:tcPr>
            <w:tcW w:w="5" w:type="pct"/>
            <w:shd w:val="clear" w:color="auto" w:fill="auto"/>
            <w:vAlign w:val="bottom"/>
          </w:tcPr>
          <w:p w14:paraId="71D45465" w14:textId="77777777" w:rsidR="006A3667" w:rsidRDefault="006A3667">
            <w:pPr>
              <w:rPr>
                <w:rFonts w:ascii="宋体"/>
              </w:rPr>
            </w:pPr>
          </w:p>
        </w:tc>
        <w:tc>
          <w:tcPr>
            <w:tcW w:w="50" w:type="pct"/>
            <w:shd w:val="clear" w:color="auto" w:fill="auto"/>
            <w:vAlign w:val="bottom"/>
          </w:tcPr>
          <w:p w14:paraId="71D45466" w14:textId="77777777" w:rsidR="006A3667" w:rsidRDefault="006A3667">
            <w:pPr>
              <w:rPr>
                <w:rFonts w:ascii="宋体"/>
              </w:rPr>
            </w:pPr>
          </w:p>
        </w:tc>
        <w:tc>
          <w:tcPr>
            <w:tcW w:w="435" w:type="pct"/>
            <w:shd w:val="clear" w:color="auto" w:fill="auto"/>
            <w:vAlign w:val="bottom"/>
          </w:tcPr>
          <w:p w14:paraId="71D45467" w14:textId="77777777" w:rsidR="006A3667" w:rsidRDefault="006A3667">
            <w:pPr>
              <w:rPr>
                <w:rFonts w:ascii="宋体"/>
              </w:rPr>
            </w:pPr>
          </w:p>
        </w:tc>
        <w:tc>
          <w:tcPr>
            <w:tcW w:w="5" w:type="pct"/>
            <w:shd w:val="clear" w:color="auto" w:fill="auto"/>
            <w:vAlign w:val="bottom"/>
          </w:tcPr>
          <w:p w14:paraId="71D45468" w14:textId="77777777" w:rsidR="006A3667" w:rsidRDefault="006A3667">
            <w:pPr>
              <w:rPr>
                <w:rFonts w:ascii="宋体"/>
              </w:rPr>
            </w:pPr>
          </w:p>
        </w:tc>
        <w:tc>
          <w:tcPr>
            <w:tcW w:w="5" w:type="pct"/>
            <w:shd w:val="clear" w:color="auto" w:fill="auto"/>
            <w:vAlign w:val="bottom"/>
          </w:tcPr>
          <w:p w14:paraId="71D45469" w14:textId="77777777" w:rsidR="006A3667" w:rsidRDefault="006A3667">
            <w:pPr>
              <w:rPr>
                <w:rFonts w:ascii="宋体"/>
              </w:rPr>
            </w:pPr>
          </w:p>
        </w:tc>
        <w:tc>
          <w:tcPr>
            <w:tcW w:w="26" w:type="pct"/>
            <w:shd w:val="clear" w:color="auto" w:fill="auto"/>
            <w:vAlign w:val="bottom"/>
          </w:tcPr>
          <w:p w14:paraId="71D4546A" w14:textId="77777777" w:rsidR="006A3667" w:rsidRDefault="006A3667">
            <w:pPr>
              <w:rPr>
                <w:rFonts w:ascii="宋体"/>
              </w:rPr>
            </w:pPr>
          </w:p>
        </w:tc>
        <w:tc>
          <w:tcPr>
            <w:tcW w:w="5" w:type="pct"/>
            <w:shd w:val="clear" w:color="auto" w:fill="auto"/>
            <w:vAlign w:val="bottom"/>
          </w:tcPr>
          <w:p w14:paraId="71D4546B" w14:textId="77777777" w:rsidR="006A3667" w:rsidRDefault="006A3667">
            <w:pPr>
              <w:rPr>
                <w:rFonts w:ascii="宋体"/>
              </w:rPr>
            </w:pPr>
          </w:p>
        </w:tc>
        <w:tc>
          <w:tcPr>
            <w:tcW w:w="50" w:type="pct"/>
            <w:shd w:val="clear" w:color="auto" w:fill="auto"/>
            <w:vAlign w:val="bottom"/>
          </w:tcPr>
          <w:p w14:paraId="71D4546C" w14:textId="77777777" w:rsidR="006A3667" w:rsidRDefault="006A3667">
            <w:pPr>
              <w:rPr>
                <w:rFonts w:ascii="宋体"/>
              </w:rPr>
            </w:pPr>
          </w:p>
        </w:tc>
        <w:tc>
          <w:tcPr>
            <w:tcW w:w="362" w:type="pct"/>
            <w:shd w:val="clear" w:color="auto" w:fill="auto"/>
            <w:vAlign w:val="bottom"/>
          </w:tcPr>
          <w:p w14:paraId="71D4546D" w14:textId="77777777" w:rsidR="006A3667" w:rsidRDefault="006A3667">
            <w:pPr>
              <w:rPr>
                <w:rFonts w:ascii="宋体"/>
              </w:rPr>
            </w:pPr>
          </w:p>
        </w:tc>
        <w:tc>
          <w:tcPr>
            <w:tcW w:w="5" w:type="pct"/>
            <w:shd w:val="clear" w:color="auto" w:fill="auto"/>
            <w:vAlign w:val="bottom"/>
          </w:tcPr>
          <w:p w14:paraId="71D4546E" w14:textId="77777777" w:rsidR="006A3667" w:rsidRDefault="006A3667">
            <w:pPr>
              <w:rPr>
                <w:rFonts w:ascii="宋体"/>
              </w:rPr>
            </w:pPr>
          </w:p>
        </w:tc>
        <w:tc>
          <w:tcPr>
            <w:tcW w:w="5" w:type="pct"/>
            <w:shd w:val="clear" w:color="auto" w:fill="auto"/>
            <w:vAlign w:val="bottom"/>
          </w:tcPr>
          <w:p w14:paraId="71D4546F" w14:textId="77777777" w:rsidR="006A3667" w:rsidRDefault="006A3667">
            <w:pPr>
              <w:rPr>
                <w:rFonts w:ascii="宋体"/>
              </w:rPr>
            </w:pPr>
          </w:p>
        </w:tc>
        <w:tc>
          <w:tcPr>
            <w:tcW w:w="26" w:type="pct"/>
            <w:shd w:val="clear" w:color="auto" w:fill="auto"/>
            <w:vAlign w:val="bottom"/>
          </w:tcPr>
          <w:p w14:paraId="71D45470" w14:textId="77777777" w:rsidR="006A3667" w:rsidRDefault="006A3667">
            <w:pPr>
              <w:rPr>
                <w:rFonts w:ascii="宋体"/>
              </w:rPr>
            </w:pPr>
          </w:p>
        </w:tc>
        <w:tc>
          <w:tcPr>
            <w:tcW w:w="5" w:type="pct"/>
            <w:shd w:val="clear" w:color="auto" w:fill="auto"/>
            <w:vAlign w:val="bottom"/>
          </w:tcPr>
          <w:p w14:paraId="71D45471" w14:textId="77777777" w:rsidR="006A3667" w:rsidRDefault="006A3667">
            <w:pPr>
              <w:rPr>
                <w:rFonts w:ascii="宋体"/>
              </w:rPr>
            </w:pPr>
          </w:p>
        </w:tc>
        <w:tc>
          <w:tcPr>
            <w:tcW w:w="50" w:type="pct"/>
            <w:shd w:val="clear" w:color="auto" w:fill="auto"/>
            <w:vAlign w:val="bottom"/>
          </w:tcPr>
          <w:p w14:paraId="71D45472" w14:textId="77777777" w:rsidR="006A3667" w:rsidRDefault="006A3667">
            <w:pPr>
              <w:rPr>
                <w:rFonts w:ascii="宋体"/>
              </w:rPr>
            </w:pPr>
          </w:p>
        </w:tc>
        <w:tc>
          <w:tcPr>
            <w:tcW w:w="435" w:type="pct"/>
            <w:shd w:val="clear" w:color="auto" w:fill="auto"/>
            <w:vAlign w:val="bottom"/>
          </w:tcPr>
          <w:p w14:paraId="71D45473" w14:textId="77777777" w:rsidR="006A3667" w:rsidRDefault="006A3667">
            <w:pPr>
              <w:rPr>
                <w:rFonts w:ascii="宋体"/>
              </w:rPr>
            </w:pPr>
          </w:p>
        </w:tc>
        <w:tc>
          <w:tcPr>
            <w:tcW w:w="5" w:type="pct"/>
            <w:shd w:val="clear" w:color="auto" w:fill="auto"/>
            <w:vAlign w:val="bottom"/>
          </w:tcPr>
          <w:p w14:paraId="71D45474" w14:textId="77777777" w:rsidR="006A3667" w:rsidRDefault="006A3667">
            <w:pPr>
              <w:rPr>
                <w:rFonts w:ascii="宋体"/>
              </w:rPr>
            </w:pPr>
          </w:p>
        </w:tc>
        <w:tc>
          <w:tcPr>
            <w:tcW w:w="5" w:type="pct"/>
            <w:shd w:val="clear" w:color="auto" w:fill="auto"/>
            <w:vAlign w:val="bottom"/>
          </w:tcPr>
          <w:p w14:paraId="71D45475" w14:textId="77777777" w:rsidR="006A3667" w:rsidRDefault="006A3667">
            <w:pPr>
              <w:rPr>
                <w:rFonts w:ascii="宋体"/>
              </w:rPr>
            </w:pPr>
          </w:p>
        </w:tc>
        <w:tc>
          <w:tcPr>
            <w:tcW w:w="26" w:type="pct"/>
            <w:shd w:val="clear" w:color="auto" w:fill="auto"/>
            <w:vAlign w:val="bottom"/>
          </w:tcPr>
          <w:p w14:paraId="71D45476" w14:textId="77777777" w:rsidR="006A3667" w:rsidRDefault="006A3667">
            <w:pPr>
              <w:rPr>
                <w:rFonts w:ascii="宋体"/>
              </w:rPr>
            </w:pPr>
          </w:p>
        </w:tc>
        <w:tc>
          <w:tcPr>
            <w:tcW w:w="5" w:type="pct"/>
            <w:shd w:val="clear" w:color="auto" w:fill="auto"/>
            <w:vAlign w:val="bottom"/>
          </w:tcPr>
          <w:p w14:paraId="71D45477" w14:textId="77777777" w:rsidR="006A3667" w:rsidRDefault="006A3667">
            <w:pPr>
              <w:rPr>
                <w:rFonts w:ascii="宋体"/>
              </w:rPr>
            </w:pPr>
          </w:p>
        </w:tc>
        <w:tc>
          <w:tcPr>
            <w:tcW w:w="50" w:type="pct"/>
            <w:shd w:val="clear" w:color="auto" w:fill="auto"/>
            <w:vAlign w:val="bottom"/>
          </w:tcPr>
          <w:p w14:paraId="71D45478" w14:textId="77777777" w:rsidR="006A3667" w:rsidRDefault="006A3667">
            <w:pPr>
              <w:rPr>
                <w:rFonts w:ascii="宋体"/>
              </w:rPr>
            </w:pPr>
          </w:p>
        </w:tc>
        <w:tc>
          <w:tcPr>
            <w:tcW w:w="362" w:type="pct"/>
            <w:shd w:val="clear" w:color="auto" w:fill="auto"/>
            <w:vAlign w:val="bottom"/>
          </w:tcPr>
          <w:p w14:paraId="71D45479" w14:textId="77777777" w:rsidR="006A3667" w:rsidRDefault="006A3667">
            <w:pPr>
              <w:rPr>
                <w:rFonts w:ascii="宋体"/>
              </w:rPr>
            </w:pPr>
          </w:p>
        </w:tc>
        <w:tc>
          <w:tcPr>
            <w:tcW w:w="5" w:type="pct"/>
            <w:shd w:val="clear" w:color="auto" w:fill="auto"/>
            <w:vAlign w:val="bottom"/>
          </w:tcPr>
          <w:p w14:paraId="71D4547A" w14:textId="77777777" w:rsidR="006A3667" w:rsidRDefault="006A3667">
            <w:pPr>
              <w:rPr>
                <w:rFonts w:ascii="宋体"/>
              </w:rPr>
            </w:pPr>
          </w:p>
        </w:tc>
        <w:tc>
          <w:tcPr>
            <w:tcW w:w="5" w:type="pct"/>
            <w:shd w:val="clear" w:color="auto" w:fill="auto"/>
            <w:vAlign w:val="bottom"/>
          </w:tcPr>
          <w:p w14:paraId="71D4547B" w14:textId="77777777" w:rsidR="006A3667" w:rsidRDefault="006A3667">
            <w:pPr>
              <w:rPr>
                <w:rFonts w:ascii="宋体"/>
              </w:rPr>
            </w:pPr>
          </w:p>
        </w:tc>
        <w:tc>
          <w:tcPr>
            <w:tcW w:w="26" w:type="pct"/>
            <w:shd w:val="clear" w:color="auto" w:fill="auto"/>
            <w:vAlign w:val="bottom"/>
          </w:tcPr>
          <w:p w14:paraId="71D4547C" w14:textId="77777777" w:rsidR="006A3667" w:rsidRDefault="006A3667">
            <w:pPr>
              <w:rPr>
                <w:rFonts w:ascii="宋体"/>
              </w:rPr>
            </w:pPr>
          </w:p>
        </w:tc>
        <w:tc>
          <w:tcPr>
            <w:tcW w:w="5" w:type="pct"/>
            <w:shd w:val="clear" w:color="auto" w:fill="auto"/>
            <w:vAlign w:val="bottom"/>
          </w:tcPr>
          <w:p w14:paraId="71D4547D" w14:textId="77777777" w:rsidR="006A3667" w:rsidRDefault="006A3667">
            <w:pPr>
              <w:rPr>
                <w:rFonts w:ascii="宋体"/>
              </w:rPr>
            </w:pPr>
          </w:p>
        </w:tc>
        <w:tc>
          <w:tcPr>
            <w:tcW w:w="50" w:type="pct"/>
            <w:shd w:val="clear" w:color="auto" w:fill="auto"/>
            <w:vAlign w:val="bottom"/>
          </w:tcPr>
          <w:p w14:paraId="71D4547E" w14:textId="77777777" w:rsidR="006A3667" w:rsidRDefault="006A3667">
            <w:pPr>
              <w:rPr>
                <w:rFonts w:ascii="宋体"/>
              </w:rPr>
            </w:pPr>
          </w:p>
        </w:tc>
        <w:tc>
          <w:tcPr>
            <w:tcW w:w="435" w:type="pct"/>
            <w:shd w:val="clear" w:color="auto" w:fill="auto"/>
            <w:vAlign w:val="bottom"/>
          </w:tcPr>
          <w:p w14:paraId="71D4547F" w14:textId="77777777" w:rsidR="006A3667" w:rsidRDefault="006A3667">
            <w:pPr>
              <w:rPr>
                <w:rFonts w:ascii="宋体"/>
              </w:rPr>
            </w:pPr>
          </w:p>
        </w:tc>
        <w:tc>
          <w:tcPr>
            <w:tcW w:w="5" w:type="pct"/>
            <w:shd w:val="clear" w:color="auto" w:fill="auto"/>
            <w:vAlign w:val="bottom"/>
          </w:tcPr>
          <w:p w14:paraId="71D45480" w14:textId="77777777" w:rsidR="006A3667" w:rsidRDefault="006A3667">
            <w:pPr>
              <w:rPr>
                <w:rFonts w:ascii="宋体"/>
              </w:rPr>
            </w:pPr>
          </w:p>
        </w:tc>
      </w:tr>
      <w:tr w:rsidR="006A3667" w14:paraId="71D45484" w14:textId="77777777">
        <w:tc>
          <w:tcPr>
            <w:tcW w:w="0" w:type="auto"/>
            <w:gridSpan w:val="3"/>
            <w:shd w:val="clear" w:color="auto" w:fill="auto"/>
            <w:tcMar>
              <w:top w:w="0" w:type="dxa"/>
              <w:left w:w="20" w:type="dxa"/>
              <w:bottom w:w="0" w:type="dxa"/>
              <w:right w:w="20" w:type="dxa"/>
            </w:tcMar>
            <w:vAlign w:val="bottom"/>
          </w:tcPr>
          <w:p w14:paraId="71D45482"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45483" w14:textId="77777777" w:rsidR="006A3667" w:rsidRDefault="00045F32">
            <w:pPr>
              <w:jc w:val="center"/>
              <w:textAlignment w:val="bottom"/>
            </w:pPr>
            <w:r>
              <w:rPr>
                <w:rFonts w:ascii="Arial" w:eastAsia="宋体" w:hAnsi="Arial" w:cs="Arial"/>
                <w:b/>
                <w:bCs/>
                <w:color w:val="000000"/>
                <w:sz w:val="14"/>
                <w:szCs w:val="14"/>
              </w:rPr>
              <w:t>As of September 30, 2022</w:t>
            </w:r>
          </w:p>
        </w:tc>
      </w:tr>
      <w:tr w:rsidR="006A3667" w14:paraId="71D4548B" w14:textId="77777777">
        <w:tc>
          <w:tcPr>
            <w:tcW w:w="0" w:type="auto"/>
            <w:gridSpan w:val="3"/>
            <w:shd w:val="clear" w:color="auto" w:fill="auto"/>
            <w:tcMar>
              <w:top w:w="0" w:type="dxa"/>
              <w:left w:w="20" w:type="dxa"/>
              <w:bottom w:w="0" w:type="dxa"/>
              <w:right w:w="20" w:type="dxa"/>
            </w:tcMar>
            <w:vAlign w:val="bottom"/>
          </w:tcPr>
          <w:p w14:paraId="71D45485"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486" w14:textId="77777777" w:rsidR="006A3667" w:rsidRDefault="00045F32">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87"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488" w14:textId="77777777" w:rsidR="006A3667" w:rsidRDefault="00045F32">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89"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48A"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5498" w14:textId="77777777">
        <w:tc>
          <w:tcPr>
            <w:tcW w:w="0" w:type="auto"/>
            <w:gridSpan w:val="3"/>
            <w:shd w:val="clear" w:color="auto" w:fill="auto"/>
            <w:tcMar>
              <w:top w:w="40" w:type="dxa"/>
              <w:left w:w="20" w:type="dxa"/>
              <w:bottom w:w="40" w:type="dxa"/>
              <w:right w:w="20" w:type="dxa"/>
            </w:tcMar>
            <w:vAlign w:val="bottom"/>
          </w:tcPr>
          <w:p w14:paraId="71D4548C"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48D" w14:textId="77777777" w:rsidR="006A3667" w:rsidRDefault="00045F32">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8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48F" w14:textId="77777777" w:rsidR="006A3667" w:rsidRDefault="00045F32">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71D4549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491" w14:textId="77777777" w:rsidR="006A3667" w:rsidRDefault="00045F32">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9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493" w14:textId="77777777" w:rsidR="006A3667" w:rsidRDefault="00045F32">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71D4549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495" w14:textId="77777777" w:rsidR="006A3667" w:rsidRDefault="00045F32">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9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497" w14:textId="77777777" w:rsidR="006A3667" w:rsidRDefault="00045F32">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6A3667" w14:paraId="71D454A5" w14:textId="77777777">
        <w:tc>
          <w:tcPr>
            <w:tcW w:w="0" w:type="auto"/>
            <w:gridSpan w:val="3"/>
            <w:shd w:val="clear" w:color="auto" w:fill="auto"/>
            <w:tcMar>
              <w:top w:w="40" w:type="dxa"/>
              <w:left w:w="20" w:type="dxa"/>
              <w:bottom w:w="40" w:type="dxa"/>
              <w:right w:w="20" w:type="dxa"/>
            </w:tcMar>
            <w:vAlign w:val="bottom"/>
          </w:tcPr>
          <w:p w14:paraId="71D45499" w14:textId="77777777" w:rsidR="006A3667" w:rsidRDefault="00045F32">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9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9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9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9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9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9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A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A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4A4" w14:textId="77777777" w:rsidR="006A3667" w:rsidRDefault="006A3667">
            <w:pPr>
              <w:rPr>
                <w:rFonts w:ascii="宋体"/>
              </w:rPr>
            </w:pPr>
          </w:p>
        </w:tc>
      </w:tr>
      <w:tr w:rsidR="006A3667" w14:paraId="71D454B2" w14:textId="77777777">
        <w:tc>
          <w:tcPr>
            <w:tcW w:w="0" w:type="auto"/>
            <w:gridSpan w:val="3"/>
            <w:shd w:val="clear" w:color="auto" w:fill="auto"/>
            <w:tcMar>
              <w:top w:w="40" w:type="dxa"/>
              <w:left w:w="20" w:type="dxa"/>
              <w:bottom w:w="40" w:type="dxa"/>
              <w:right w:w="20" w:type="dxa"/>
            </w:tcMar>
            <w:vAlign w:val="bottom"/>
          </w:tcPr>
          <w:p w14:paraId="71D454A6" w14:textId="77777777" w:rsidR="006A3667" w:rsidRDefault="00045F32">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71D454A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A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B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4B1" w14:textId="77777777" w:rsidR="006A3667" w:rsidRDefault="006A3667">
            <w:pPr>
              <w:rPr>
                <w:rFonts w:ascii="宋体"/>
              </w:rPr>
            </w:pPr>
          </w:p>
        </w:tc>
      </w:tr>
      <w:tr w:rsidR="006A3667" w14:paraId="71D454CB" w14:textId="77777777">
        <w:tc>
          <w:tcPr>
            <w:tcW w:w="0" w:type="auto"/>
            <w:gridSpan w:val="3"/>
            <w:shd w:val="clear" w:color="auto" w:fill="CCEEFF"/>
            <w:tcMar>
              <w:top w:w="40" w:type="dxa"/>
              <w:left w:w="155" w:type="dxa"/>
              <w:bottom w:w="40" w:type="dxa"/>
              <w:right w:w="20" w:type="dxa"/>
            </w:tcMar>
            <w:vAlign w:val="bottom"/>
          </w:tcPr>
          <w:p w14:paraId="71D454B3" w14:textId="77777777" w:rsidR="006A3667" w:rsidRDefault="00045F32">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71D454B4"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54B5" w14:textId="77777777" w:rsidR="006A3667" w:rsidRDefault="00045F32">
            <w:pPr>
              <w:jc w:val="right"/>
              <w:textAlignment w:val="bottom"/>
            </w:pPr>
            <w:r>
              <w:rPr>
                <w:rFonts w:ascii="Arial" w:eastAsia="宋体" w:hAnsi="Arial" w:cs="Arial"/>
                <w:b/>
                <w:bCs/>
                <w:color w:val="000000"/>
                <w:sz w:val="14"/>
                <w:szCs w:val="14"/>
              </w:rPr>
              <w:t>1,995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4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B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4B8"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54B9" w14:textId="77777777" w:rsidR="006A3667" w:rsidRDefault="00045F32">
            <w:pPr>
              <w:jc w:val="right"/>
              <w:textAlignment w:val="bottom"/>
            </w:pPr>
            <w:r>
              <w:rPr>
                <w:rFonts w:ascii="Arial" w:eastAsia="宋体" w:hAnsi="Arial" w:cs="Arial"/>
                <w:b/>
                <w:bCs/>
                <w:color w:val="000000"/>
                <w:sz w:val="14"/>
                <w:szCs w:val="14"/>
              </w:rPr>
              <w:t>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4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B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4BC"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54BD" w14:textId="77777777" w:rsidR="006A3667" w:rsidRDefault="00045F32">
            <w:pPr>
              <w:jc w:val="right"/>
              <w:textAlignment w:val="bottom"/>
            </w:pPr>
            <w:r>
              <w:rPr>
                <w:rFonts w:ascii="Arial" w:eastAsia="宋体" w:hAnsi="Arial" w:cs="Arial"/>
                <w:b/>
                <w:bCs/>
                <w:color w:val="000000"/>
                <w:sz w:val="14"/>
                <w:szCs w:val="14"/>
              </w:rPr>
              <w:t>5,206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4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B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4C0"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54C1" w14:textId="77777777" w:rsidR="006A3667" w:rsidRDefault="00045F32">
            <w:pPr>
              <w:jc w:val="right"/>
              <w:textAlignment w:val="bottom"/>
            </w:pPr>
            <w:r>
              <w:rPr>
                <w:rFonts w:ascii="Arial" w:eastAsia="宋体" w:hAnsi="Arial" w:cs="Arial"/>
                <w:b/>
                <w:bCs/>
                <w:color w:val="000000"/>
                <w:sz w:val="14"/>
                <w:szCs w:val="14"/>
              </w:rPr>
              <w:t>269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4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C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4C4"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54C5" w14:textId="77777777" w:rsidR="006A3667" w:rsidRDefault="00045F32">
            <w:pPr>
              <w:jc w:val="right"/>
              <w:textAlignment w:val="bottom"/>
            </w:pPr>
            <w:r>
              <w:rPr>
                <w:rFonts w:ascii="Arial" w:eastAsia="宋体" w:hAnsi="Arial" w:cs="Arial"/>
                <w:b/>
                <w:bCs/>
                <w:color w:val="000000"/>
                <w:sz w:val="14"/>
                <w:szCs w:val="14"/>
              </w:rPr>
              <w:t>7,201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4C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C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4C8"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54C9" w14:textId="77777777" w:rsidR="006A3667" w:rsidRDefault="00045F32">
            <w:pPr>
              <w:jc w:val="right"/>
              <w:textAlignment w:val="bottom"/>
            </w:pPr>
            <w:r>
              <w:rPr>
                <w:rFonts w:ascii="Arial" w:eastAsia="宋体" w:hAnsi="Arial" w:cs="Arial"/>
                <w:b/>
                <w:bCs/>
                <w:color w:val="000000"/>
                <w:sz w:val="14"/>
                <w:szCs w:val="14"/>
              </w:rPr>
              <w:t>307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4CA" w14:textId="77777777" w:rsidR="006A3667" w:rsidRDefault="006A3667">
            <w:pPr>
              <w:jc w:val="right"/>
              <w:rPr>
                <w:rFonts w:ascii="宋体"/>
              </w:rPr>
            </w:pPr>
          </w:p>
        </w:tc>
      </w:tr>
      <w:tr w:rsidR="006A3667" w14:paraId="71D454DE" w14:textId="77777777">
        <w:tc>
          <w:tcPr>
            <w:tcW w:w="0" w:type="auto"/>
            <w:gridSpan w:val="3"/>
            <w:shd w:val="clear" w:color="auto" w:fill="FFFFFF"/>
            <w:tcMar>
              <w:top w:w="40" w:type="dxa"/>
              <w:left w:w="155" w:type="dxa"/>
              <w:bottom w:w="40" w:type="dxa"/>
              <w:right w:w="20" w:type="dxa"/>
            </w:tcMar>
            <w:vAlign w:val="bottom"/>
          </w:tcPr>
          <w:p w14:paraId="71D454CC" w14:textId="77777777" w:rsidR="006A3667" w:rsidRDefault="00045F32">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71D454CD" w14:textId="77777777" w:rsidR="006A3667" w:rsidRDefault="00045F32">
            <w:pPr>
              <w:jc w:val="right"/>
              <w:textAlignment w:val="bottom"/>
            </w:pPr>
            <w:r>
              <w:rPr>
                <w:rFonts w:ascii="Arial" w:eastAsia="宋体" w:hAnsi="Arial" w:cs="Arial"/>
                <w:b/>
                <w:bCs/>
                <w:color w:val="000000"/>
                <w:sz w:val="14"/>
                <w:szCs w:val="14"/>
              </w:rPr>
              <w:t>8,949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4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4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4D0" w14:textId="77777777" w:rsidR="006A3667" w:rsidRDefault="00045F32">
            <w:pPr>
              <w:jc w:val="right"/>
              <w:textAlignment w:val="bottom"/>
            </w:pPr>
            <w:r>
              <w:rPr>
                <w:rFonts w:ascii="Arial" w:eastAsia="宋体" w:hAnsi="Arial" w:cs="Arial"/>
                <w:b/>
                <w:bCs/>
                <w:color w:val="000000"/>
                <w:sz w:val="14"/>
                <w:szCs w:val="14"/>
              </w:rPr>
              <w:t>180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4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4D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4D3" w14:textId="77777777" w:rsidR="006A3667" w:rsidRDefault="00045F32">
            <w:pPr>
              <w:jc w:val="right"/>
              <w:textAlignment w:val="bottom"/>
            </w:pPr>
            <w:r>
              <w:rPr>
                <w:rFonts w:ascii="Arial" w:eastAsia="宋体" w:hAnsi="Arial" w:cs="Arial"/>
                <w:b/>
                <w:bCs/>
                <w:color w:val="000000"/>
                <w:sz w:val="14"/>
                <w:szCs w:val="14"/>
              </w:rPr>
              <w:t>346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4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4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4D6" w14:textId="77777777" w:rsidR="006A3667" w:rsidRDefault="00045F32">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4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4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4D9" w14:textId="77777777" w:rsidR="006A3667" w:rsidRDefault="00045F32">
            <w:pPr>
              <w:jc w:val="right"/>
              <w:textAlignment w:val="bottom"/>
            </w:pPr>
            <w:r>
              <w:rPr>
                <w:rFonts w:ascii="Arial" w:eastAsia="宋体" w:hAnsi="Arial" w:cs="Arial"/>
                <w:b/>
                <w:bCs/>
                <w:color w:val="000000"/>
                <w:sz w:val="14"/>
                <w:szCs w:val="14"/>
              </w:rPr>
              <w:t>9,295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4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4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4DC" w14:textId="77777777" w:rsidR="006A3667" w:rsidRDefault="00045F32">
            <w:pPr>
              <w:jc w:val="right"/>
              <w:textAlignment w:val="bottom"/>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4DD" w14:textId="77777777" w:rsidR="006A3667" w:rsidRDefault="006A3667">
            <w:pPr>
              <w:jc w:val="right"/>
              <w:rPr>
                <w:rFonts w:ascii="宋体"/>
              </w:rPr>
            </w:pPr>
          </w:p>
        </w:tc>
      </w:tr>
      <w:tr w:rsidR="006A3667" w14:paraId="71D454F1" w14:textId="77777777">
        <w:tc>
          <w:tcPr>
            <w:tcW w:w="0" w:type="auto"/>
            <w:gridSpan w:val="3"/>
            <w:shd w:val="clear" w:color="auto" w:fill="CCEEFF"/>
            <w:tcMar>
              <w:top w:w="40" w:type="dxa"/>
              <w:left w:w="245" w:type="dxa"/>
              <w:bottom w:w="40" w:type="dxa"/>
              <w:right w:w="20" w:type="dxa"/>
            </w:tcMar>
            <w:vAlign w:val="bottom"/>
          </w:tcPr>
          <w:p w14:paraId="71D454DF" w14:textId="77777777" w:rsidR="006A3667" w:rsidRDefault="00045F32">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4E0" w14:textId="77777777" w:rsidR="006A3667" w:rsidRDefault="00045F32">
            <w:pPr>
              <w:jc w:val="right"/>
              <w:textAlignment w:val="bottom"/>
            </w:pPr>
            <w:r>
              <w:rPr>
                <w:rFonts w:ascii="Arial" w:eastAsia="宋体" w:hAnsi="Arial" w:cs="Arial"/>
                <w:b/>
                <w:bCs/>
                <w:color w:val="000000"/>
                <w:sz w:val="14"/>
                <w:szCs w:val="14"/>
              </w:rPr>
              <w:t>10,944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4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E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4E3" w14:textId="77777777" w:rsidR="006A3667" w:rsidRDefault="00045F32">
            <w:pPr>
              <w:jc w:val="right"/>
              <w:textAlignment w:val="bottom"/>
            </w:pPr>
            <w:r>
              <w:rPr>
                <w:rFonts w:ascii="Arial" w:eastAsia="宋体" w:hAnsi="Arial" w:cs="Arial"/>
                <w:b/>
                <w:bCs/>
                <w:color w:val="000000"/>
                <w:sz w:val="14"/>
                <w:szCs w:val="14"/>
              </w:rPr>
              <w:t>218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4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E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4E6" w14:textId="77777777" w:rsidR="006A3667" w:rsidRDefault="00045F32">
            <w:pPr>
              <w:jc w:val="right"/>
              <w:textAlignment w:val="bottom"/>
            </w:pPr>
            <w:r>
              <w:rPr>
                <w:rFonts w:ascii="Arial" w:eastAsia="宋体" w:hAnsi="Arial" w:cs="Arial"/>
                <w:b/>
                <w:bCs/>
                <w:color w:val="000000"/>
                <w:sz w:val="14"/>
                <w:szCs w:val="14"/>
              </w:rPr>
              <w:t>5,552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4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E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4E9" w14:textId="77777777" w:rsidR="006A3667" w:rsidRDefault="00045F32">
            <w:pPr>
              <w:jc w:val="right"/>
              <w:textAlignment w:val="bottom"/>
            </w:pPr>
            <w:r>
              <w:rPr>
                <w:rFonts w:ascii="Arial" w:eastAsia="宋体" w:hAnsi="Arial" w:cs="Arial"/>
                <w:b/>
                <w:bCs/>
                <w:color w:val="000000"/>
                <w:sz w:val="14"/>
                <w:szCs w:val="14"/>
              </w:rPr>
              <w:t>304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4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E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4EC" w14:textId="77777777" w:rsidR="006A3667" w:rsidRDefault="00045F32">
            <w:pPr>
              <w:jc w:val="right"/>
              <w:textAlignment w:val="bottom"/>
            </w:pPr>
            <w:r>
              <w:rPr>
                <w:rFonts w:ascii="Arial" w:eastAsia="宋体" w:hAnsi="Arial" w:cs="Arial"/>
                <w:b/>
                <w:bCs/>
                <w:color w:val="000000"/>
                <w:sz w:val="14"/>
                <w:szCs w:val="14"/>
              </w:rPr>
              <w:t>16,496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4E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4E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4EF" w14:textId="77777777" w:rsidR="006A3667" w:rsidRDefault="00045F32">
            <w:pPr>
              <w:jc w:val="right"/>
              <w:textAlignment w:val="bottom"/>
            </w:pPr>
            <w:r>
              <w:rPr>
                <w:rFonts w:ascii="Arial" w:eastAsia="宋体" w:hAnsi="Arial" w:cs="Arial"/>
                <w:b/>
                <w:bCs/>
                <w:color w:val="000000"/>
                <w:sz w:val="14"/>
                <w:szCs w:val="14"/>
              </w:rPr>
              <w:t>522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4F0" w14:textId="77777777" w:rsidR="006A3667" w:rsidRDefault="006A3667">
            <w:pPr>
              <w:jc w:val="right"/>
              <w:rPr>
                <w:rFonts w:ascii="宋体"/>
              </w:rPr>
            </w:pPr>
          </w:p>
        </w:tc>
      </w:tr>
      <w:tr w:rsidR="006A3667" w14:paraId="71D454FE" w14:textId="77777777">
        <w:tc>
          <w:tcPr>
            <w:tcW w:w="0" w:type="auto"/>
            <w:gridSpan w:val="3"/>
            <w:shd w:val="clear" w:color="auto" w:fill="FFFFFF"/>
            <w:tcMar>
              <w:top w:w="40" w:type="dxa"/>
              <w:left w:w="20" w:type="dxa"/>
              <w:bottom w:w="40" w:type="dxa"/>
              <w:right w:w="20" w:type="dxa"/>
            </w:tcMar>
            <w:vAlign w:val="bottom"/>
          </w:tcPr>
          <w:p w14:paraId="71D454F2" w14:textId="77777777" w:rsidR="006A3667" w:rsidRDefault="00045F32">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4F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4F4"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4F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4F6"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4F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4F8"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4F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4FA"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4F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4FC"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4FD" w14:textId="77777777" w:rsidR="006A3667" w:rsidRDefault="006A3667">
            <w:pPr>
              <w:rPr>
                <w:rFonts w:ascii="宋体"/>
              </w:rPr>
            </w:pPr>
          </w:p>
        </w:tc>
      </w:tr>
      <w:tr w:rsidR="006A3667" w14:paraId="71D45511" w14:textId="77777777">
        <w:tc>
          <w:tcPr>
            <w:tcW w:w="0" w:type="auto"/>
            <w:gridSpan w:val="3"/>
            <w:shd w:val="clear" w:color="auto" w:fill="CCEEFF"/>
            <w:tcMar>
              <w:top w:w="40" w:type="dxa"/>
              <w:left w:w="155" w:type="dxa"/>
              <w:bottom w:w="40" w:type="dxa"/>
              <w:right w:w="20" w:type="dxa"/>
            </w:tcMar>
            <w:vAlign w:val="bottom"/>
          </w:tcPr>
          <w:p w14:paraId="71D454FF" w14:textId="77777777" w:rsidR="006A3667" w:rsidRDefault="00045F32">
            <w:pPr>
              <w:textAlignment w:val="bottom"/>
            </w:pPr>
            <w:r>
              <w:rPr>
                <w:rFonts w:ascii="Arial" w:eastAsia="宋体" w:hAnsi="Arial" w:cs="Arial"/>
                <w:color w:val="000000"/>
                <w:sz w:val="14"/>
                <w:szCs w:val="14"/>
              </w:rPr>
              <w:t xml:space="preserve">Mortgage-backed </w:t>
            </w:r>
            <w:r>
              <w:rPr>
                <w:rFonts w:ascii="Arial" w:eastAsia="宋体" w:hAnsi="Arial" w:cs="Arial"/>
                <w:color w:val="000000"/>
                <w:sz w:val="14"/>
                <w:szCs w:val="14"/>
              </w:rPr>
              <w:t>securities</w:t>
            </w:r>
          </w:p>
        </w:tc>
        <w:tc>
          <w:tcPr>
            <w:tcW w:w="0" w:type="auto"/>
            <w:gridSpan w:val="2"/>
            <w:shd w:val="clear" w:color="auto" w:fill="CCEEFF"/>
            <w:tcMar>
              <w:top w:w="40" w:type="dxa"/>
              <w:left w:w="20" w:type="dxa"/>
              <w:bottom w:w="40" w:type="dxa"/>
              <w:right w:w="0" w:type="dxa"/>
            </w:tcMar>
            <w:vAlign w:val="bottom"/>
          </w:tcPr>
          <w:p w14:paraId="71D45500" w14:textId="77777777" w:rsidR="006A3667" w:rsidRDefault="00045F32">
            <w:pPr>
              <w:jc w:val="right"/>
              <w:textAlignment w:val="bottom"/>
            </w:pPr>
            <w:r>
              <w:rPr>
                <w:rFonts w:ascii="Arial" w:eastAsia="宋体" w:hAnsi="Arial" w:cs="Arial"/>
                <w:b/>
                <w:bCs/>
                <w:color w:val="000000"/>
                <w:sz w:val="14"/>
                <w:szCs w:val="14"/>
              </w:rPr>
              <w:t>1,343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0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03" w14:textId="77777777" w:rsidR="006A3667" w:rsidRDefault="00045F32">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0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06" w14:textId="77777777" w:rsidR="006A3667" w:rsidRDefault="00045F32">
            <w:pPr>
              <w:jc w:val="right"/>
              <w:textAlignment w:val="bottom"/>
            </w:pPr>
            <w:r>
              <w:rPr>
                <w:rFonts w:ascii="Arial" w:eastAsia="宋体" w:hAnsi="Arial" w:cs="Arial"/>
                <w:b/>
                <w:bCs/>
                <w:color w:val="000000"/>
                <w:sz w:val="14"/>
                <w:szCs w:val="14"/>
              </w:rPr>
              <w:t>235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09" w14:textId="77777777" w:rsidR="006A3667" w:rsidRDefault="00045F32">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0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0C" w14:textId="77777777" w:rsidR="006A3667" w:rsidRDefault="00045F32">
            <w:pPr>
              <w:jc w:val="right"/>
              <w:textAlignment w:val="bottom"/>
            </w:pPr>
            <w:r>
              <w:rPr>
                <w:rFonts w:ascii="Arial" w:eastAsia="宋体" w:hAnsi="Arial" w:cs="Arial"/>
                <w:b/>
                <w:bCs/>
                <w:color w:val="000000"/>
                <w:sz w:val="14"/>
                <w:szCs w:val="14"/>
              </w:rPr>
              <w:t>1,578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0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0F" w14:textId="77777777" w:rsidR="006A3667" w:rsidRDefault="00045F32">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10" w14:textId="77777777" w:rsidR="006A3667" w:rsidRDefault="006A3667">
            <w:pPr>
              <w:jc w:val="right"/>
              <w:rPr>
                <w:rFonts w:ascii="宋体"/>
              </w:rPr>
            </w:pPr>
          </w:p>
        </w:tc>
      </w:tr>
      <w:tr w:rsidR="006A3667" w14:paraId="71D45524" w14:textId="77777777">
        <w:tc>
          <w:tcPr>
            <w:tcW w:w="0" w:type="auto"/>
            <w:gridSpan w:val="3"/>
            <w:shd w:val="clear" w:color="auto" w:fill="FFFFFF"/>
            <w:tcMar>
              <w:top w:w="40" w:type="dxa"/>
              <w:left w:w="155" w:type="dxa"/>
              <w:bottom w:w="40" w:type="dxa"/>
              <w:right w:w="20" w:type="dxa"/>
            </w:tcMar>
            <w:vAlign w:val="bottom"/>
          </w:tcPr>
          <w:p w14:paraId="71D45512"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71D45513" w14:textId="77777777" w:rsidR="006A3667" w:rsidRDefault="00045F32">
            <w:pPr>
              <w:jc w:val="right"/>
              <w:textAlignment w:val="bottom"/>
            </w:pPr>
            <w:r>
              <w:rPr>
                <w:rFonts w:ascii="Arial" w:eastAsia="宋体" w:hAnsi="Arial" w:cs="Arial"/>
                <w:b/>
                <w:bCs/>
                <w:color w:val="000000"/>
                <w:sz w:val="14"/>
                <w:szCs w:val="14"/>
              </w:rPr>
              <w:t>1,361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1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16" w14:textId="77777777" w:rsidR="006A3667" w:rsidRDefault="00045F32">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1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19" w14:textId="77777777" w:rsidR="006A3667" w:rsidRDefault="00045F32">
            <w:pPr>
              <w:jc w:val="right"/>
              <w:textAlignment w:val="bottom"/>
            </w:pPr>
            <w:r>
              <w:rPr>
                <w:rFonts w:ascii="Arial" w:eastAsia="宋体" w:hAnsi="Arial" w:cs="Arial"/>
                <w:b/>
                <w:bCs/>
                <w:color w:val="000000"/>
                <w:sz w:val="14"/>
                <w:szCs w:val="14"/>
              </w:rPr>
              <w:t>245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1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1C" w14:textId="77777777" w:rsidR="006A3667" w:rsidRDefault="00045F32">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1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1F" w14:textId="77777777" w:rsidR="006A3667" w:rsidRDefault="00045F32">
            <w:pPr>
              <w:jc w:val="right"/>
              <w:textAlignment w:val="bottom"/>
            </w:pPr>
            <w:r>
              <w:rPr>
                <w:rFonts w:ascii="Arial" w:eastAsia="宋体" w:hAnsi="Arial" w:cs="Arial"/>
                <w:b/>
                <w:bCs/>
                <w:color w:val="000000"/>
                <w:sz w:val="14"/>
                <w:szCs w:val="14"/>
              </w:rPr>
              <w:t>1,606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2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2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22" w14:textId="77777777" w:rsidR="006A3667" w:rsidRDefault="00045F32">
            <w:pPr>
              <w:jc w:val="right"/>
              <w:textAlignment w:val="bottom"/>
            </w:pPr>
            <w:r>
              <w:rPr>
                <w:rFonts w:ascii="Arial" w:eastAsia="宋体" w:hAnsi="Arial" w:cs="Arial"/>
                <w:b/>
                <w:bCs/>
                <w:color w:val="000000"/>
                <w:sz w:val="14"/>
                <w:szCs w:val="14"/>
              </w:rPr>
              <w:t>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23" w14:textId="77777777" w:rsidR="006A3667" w:rsidRDefault="006A3667">
            <w:pPr>
              <w:jc w:val="right"/>
              <w:rPr>
                <w:rFonts w:ascii="宋体"/>
              </w:rPr>
            </w:pPr>
          </w:p>
        </w:tc>
      </w:tr>
      <w:tr w:rsidR="006A3667" w14:paraId="71D45537" w14:textId="77777777">
        <w:tc>
          <w:tcPr>
            <w:tcW w:w="0" w:type="auto"/>
            <w:gridSpan w:val="3"/>
            <w:shd w:val="clear" w:color="auto" w:fill="CCEEFF"/>
            <w:tcMar>
              <w:top w:w="40" w:type="dxa"/>
              <w:left w:w="155" w:type="dxa"/>
              <w:bottom w:w="40" w:type="dxa"/>
              <w:right w:w="20" w:type="dxa"/>
            </w:tcMar>
            <w:vAlign w:val="bottom"/>
          </w:tcPr>
          <w:p w14:paraId="71D45525" w14:textId="77777777" w:rsidR="006A3667" w:rsidRDefault="00045F32">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5526" w14:textId="77777777" w:rsidR="006A3667" w:rsidRDefault="00045F32">
            <w:pPr>
              <w:jc w:val="right"/>
              <w:textAlignment w:val="bottom"/>
            </w:pPr>
            <w:r>
              <w:rPr>
                <w:rFonts w:ascii="Arial" w:eastAsia="宋体" w:hAnsi="Arial" w:cs="Arial"/>
                <w:b/>
                <w:bCs/>
                <w:color w:val="000000"/>
                <w:sz w:val="14"/>
                <w:szCs w:val="14"/>
              </w:rPr>
              <w:t>9,820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2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2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29" w14:textId="77777777" w:rsidR="006A3667" w:rsidRDefault="00045F32">
            <w:pPr>
              <w:jc w:val="right"/>
              <w:textAlignment w:val="bottom"/>
            </w:pPr>
            <w:r>
              <w:rPr>
                <w:rFonts w:ascii="Arial" w:eastAsia="宋体" w:hAnsi="Arial" w:cs="Arial"/>
                <w:b/>
                <w:bCs/>
                <w:color w:val="000000"/>
                <w:sz w:val="14"/>
                <w:szCs w:val="14"/>
              </w:rPr>
              <w:t>271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2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2C" w14:textId="77777777" w:rsidR="006A3667" w:rsidRDefault="00045F32">
            <w:pPr>
              <w:jc w:val="right"/>
              <w:textAlignment w:val="bottom"/>
            </w:pPr>
            <w:r>
              <w:rPr>
                <w:rFonts w:ascii="Arial" w:eastAsia="宋体" w:hAnsi="Arial" w:cs="Arial"/>
                <w:b/>
                <w:bCs/>
                <w:color w:val="000000"/>
                <w:sz w:val="14"/>
                <w:szCs w:val="14"/>
              </w:rPr>
              <w:t>3,042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2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2F" w14:textId="77777777" w:rsidR="006A3667" w:rsidRDefault="00045F32">
            <w:pPr>
              <w:jc w:val="right"/>
              <w:textAlignment w:val="bottom"/>
            </w:pPr>
            <w:r>
              <w:rPr>
                <w:rFonts w:ascii="Arial" w:eastAsia="宋体" w:hAnsi="Arial" w:cs="Arial"/>
                <w:b/>
                <w:bCs/>
                <w:color w:val="000000"/>
                <w:sz w:val="14"/>
                <w:szCs w:val="14"/>
              </w:rPr>
              <w:t>199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3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32" w14:textId="77777777" w:rsidR="006A3667" w:rsidRDefault="00045F32">
            <w:pPr>
              <w:jc w:val="right"/>
              <w:textAlignment w:val="bottom"/>
            </w:pPr>
            <w:r>
              <w:rPr>
                <w:rFonts w:ascii="Arial" w:eastAsia="宋体" w:hAnsi="Arial" w:cs="Arial"/>
                <w:b/>
                <w:bCs/>
                <w:color w:val="000000"/>
                <w:sz w:val="14"/>
                <w:szCs w:val="14"/>
              </w:rPr>
              <w:t>12,862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3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3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35" w14:textId="77777777" w:rsidR="006A3667" w:rsidRDefault="00045F32">
            <w:pPr>
              <w:jc w:val="right"/>
              <w:textAlignment w:val="bottom"/>
            </w:pPr>
            <w:r>
              <w:rPr>
                <w:rFonts w:ascii="Arial" w:eastAsia="宋体" w:hAnsi="Arial" w:cs="Arial"/>
                <w:b/>
                <w:bCs/>
                <w:color w:val="000000"/>
                <w:sz w:val="14"/>
                <w:szCs w:val="14"/>
              </w:rPr>
              <w:t>470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36" w14:textId="77777777" w:rsidR="006A3667" w:rsidRDefault="006A3667">
            <w:pPr>
              <w:jc w:val="right"/>
              <w:rPr>
                <w:rFonts w:ascii="宋体"/>
              </w:rPr>
            </w:pPr>
          </w:p>
        </w:tc>
      </w:tr>
      <w:tr w:rsidR="006A3667" w14:paraId="71D4554A" w14:textId="77777777">
        <w:tc>
          <w:tcPr>
            <w:tcW w:w="0" w:type="auto"/>
            <w:gridSpan w:val="3"/>
            <w:shd w:val="clear" w:color="auto" w:fill="FFFFFF"/>
            <w:tcMar>
              <w:top w:w="40" w:type="dxa"/>
              <w:left w:w="155" w:type="dxa"/>
              <w:bottom w:w="40" w:type="dxa"/>
              <w:right w:w="20" w:type="dxa"/>
            </w:tcMar>
            <w:vAlign w:val="bottom"/>
          </w:tcPr>
          <w:p w14:paraId="71D45538"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5539" w14:textId="77777777" w:rsidR="006A3667" w:rsidRDefault="00045F32">
            <w:pPr>
              <w:jc w:val="right"/>
              <w:textAlignment w:val="bottom"/>
            </w:pPr>
            <w:r>
              <w:rPr>
                <w:rFonts w:ascii="Arial" w:eastAsia="宋体" w:hAnsi="Arial" w:cs="Arial"/>
                <w:b/>
                <w:bCs/>
                <w:color w:val="000000"/>
                <w:sz w:val="14"/>
                <w:szCs w:val="14"/>
              </w:rPr>
              <w:t>970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3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3C" w14:textId="77777777" w:rsidR="006A3667" w:rsidRDefault="00045F32">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3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3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3F" w14:textId="77777777" w:rsidR="006A3667" w:rsidRDefault="00045F32">
            <w:pPr>
              <w:jc w:val="right"/>
              <w:textAlignment w:val="bottom"/>
            </w:pPr>
            <w:r>
              <w:rPr>
                <w:rFonts w:ascii="Arial" w:eastAsia="宋体" w:hAnsi="Arial" w:cs="Arial"/>
                <w:b/>
                <w:bCs/>
                <w:color w:val="000000"/>
                <w:sz w:val="14"/>
                <w:szCs w:val="14"/>
              </w:rPr>
              <w:t>1,023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4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4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42" w14:textId="77777777" w:rsidR="006A3667" w:rsidRDefault="00045F32">
            <w:pPr>
              <w:jc w:val="right"/>
              <w:textAlignment w:val="bottom"/>
            </w:pPr>
            <w:r>
              <w:rPr>
                <w:rFonts w:ascii="Arial" w:eastAsia="宋体" w:hAnsi="Arial" w:cs="Arial"/>
                <w:b/>
                <w:bCs/>
                <w:color w:val="000000"/>
                <w:sz w:val="14"/>
                <w:szCs w:val="14"/>
              </w:rPr>
              <w:t>127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4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45" w14:textId="77777777" w:rsidR="006A3667" w:rsidRDefault="00045F32">
            <w:pPr>
              <w:jc w:val="right"/>
              <w:textAlignment w:val="bottom"/>
            </w:pPr>
            <w:r>
              <w:rPr>
                <w:rFonts w:ascii="Arial" w:eastAsia="宋体" w:hAnsi="Arial" w:cs="Arial"/>
                <w:b/>
                <w:bCs/>
                <w:color w:val="000000"/>
                <w:sz w:val="14"/>
                <w:szCs w:val="14"/>
              </w:rPr>
              <w:t>1,993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4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48" w14:textId="77777777" w:rsidR="006A3667" w:rsidRDefault="00045F32">
            <w:pPr>
              <w:jc w:val="right"/>
              <w:textAlignment w:val="bottom"/>
            </w:pPr>
            <w:r>
              <w:rPr>
                <w:rFonts w:ascii="Arial" w:eastAsia="宋体" w:hAnsi="Arial" w:cs="Arial"/>
                <w:b/>
                <w:bCs/>
                <w:color w:val="000000"/>
                <w:sz w:val="14"/>
                <w:szCs w:val="14"/>
              </w:rPr>
              <w:t>178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49" w14:textId="77777777" w:rsidR="006A3667" w:rsidRDefault="006A3667">
            <w:pPr>
              <w:jc w:val="right"/>
              <w:rPr>
                <w:rFonts w:ascii="宋体"/>
              </w:rPr>
            </w:pPr>
          </w:p>
        </w:tc>
      </w:tr>
      <w:tr w:rsidR="006A3667" w14:paraId="71D4555D" w14:textId="77777777">
        <w:tc>
          <w:tcPr>
            <w:tcW w:w="0" w:type="auto"/>
            <w:gridSpan w:val="3"/>
            <w:shd w:val="clear" w:color="auto" w:fill="CCEEFF"/>
            <w:tcMar>
              <w:top w:w="40" w:type="dxa"/>
              <w:left w:w="245" w:type="dxa"/>
              <w:bottom w:w="40" w:type="dxa"/>
              <w:right w:w="20" w:type="dxa"/>
            </w:tcMar>
            <w:vAlign w:val="bottom"/>
          </w:tcPr>
          <w:p w14:paraId="71D4554B" w14:textId="77777777" w:rsidR="006A3667" w:rsidRDefault="00045F32">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4C" w14:textId="77777777" w:rsidR="006A3667" w:rsidRDefault="00045F32">
            <w:pPr>
              <w:jc w:val="right"/>
              <w:textAlignment w:val="bottom"/>
            </w:pPr>
            <w:r>
              <w:rPr>
                <w:rFonts w:ascii="Arial" w:eastAsia="宋体" w:hAnsi="Arial" w:cs="Arial"/>
                <w:b/>
                <w:bCs/>
                <w:color w:val="000000"/>
                <w:sz w:val="14"/>
                <w:szCs w:val="14"/>
              </w:rPr>
              <w:t>13,494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4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4F" w14:textId="77777777" w:rsidR="006A3667" w:rsidRDefault="00045F32">
            <w:pPr>
              <w:jc w:val="right"/>
              <w:textAlignment w:val="bottom"/>
            </w:pPr>
            <w:r>
              <w:rPr>
                <w:rFonts w:ascii="Arial" w:eastAsia="宋体" w:hAnsi="Arial" w:cs="Arial"/>
                <w:b/>
                <w:bCs/>
                <w:color w:val="000000"/>
                <w:sz w:val="14"/>
                <w:szCs w:val="14"/>
              </w:rPr>
              <w:t>361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5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52" w14:textId="77777777" w:rsidR="006A3667" w:rsidRDefault="00045F32">
            <w:pPr>
              <w:jc w:val="right"/>
              <w:textAlignment w:val="bottom"/>
            </w:pPr>
            <w:r>
              <w:rPr>
                <w:rFonts w:ascii="Arial" w:eastAsia="宋体" w:hAnsi="Arial" w:cs="Arial"/>
                <w:b/>
                <w:bCs/>
                <w:color w:val="000000"/>
                <w:sz w:val="14"/>
                <w:szCs w:val="14"/>
              </w:rPr>
              <w:t>4,545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5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5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55" w14:textId="77777777" w:rsidR="006A3667" w:rsidRDefault="00045F32">
            <w:pPr>
              <w:jc w:val="right"/>
              <w:textAlignment w:val="bottom"/>
            </w:pPr>
            <w:r>
              <w:rPr>
                <w:rFonts w:ascii="Arial" w:eastAsia="宋体" w:hAnsi="Arial" w:cs="Arial"/>
                <w:b/>
                <w:bCs/>
                <w:color w:val="000000"/>
                <w:sz w:val="14"/>
                <w:szCs w:val="14"/>
              </w:rPr>
              <w:t>336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5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58" w14:textId="77777777" w:rsidR="006A3667" w:rsidRDefault="00045F32">
            <w:pPr>
              <w:jc w:val="right"/>
              <w:textAlignment w:val="bottom"/>
            </w:pPr>
            <w:r>
              <w:rPr>
                <w:rFonts w:ascii="Arial" w:eastAsia="宋体" w:hAnsi="Arial" w:cs="Arial"/>
                <w:b/>
                <w:bCs/>
                <w:color w:val="000000"/>
                <w:sz w:val="14"/>
                <w:szCs w:val="14"/>
              </w:rPr>
              <w:t>18,039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5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5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5B" w14:textId="77777777" w:rsidR="006A3667" w:rsidRDefault="00045F32">
            <w:pPr>
              <w:jc w:val="right"/>
              <w:textAlignment w:val="bottom"/>
            </w:pPr>
            <w:r>
              <w:rPr>
                <w:rFonts w:ascii="Arial" w:eastAsia="宋体" w:hAnsi="Arial" w:cs="Arial"/>
                <w:b/>
                <w:bCs/>
                <w:color w:val="000000"/>
                <w:sz w:val="14"/>
                <w:szCs w:val="14"/>
              </w:rPr>
              <w:t>697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5C" w14:textId="77777777" w:rsidR="006A3667" w:rsidRDefault="006A3667">
            <w:pPr>
              <w:jc w:val="right"/>
              <w:rPr>
                <w:rFonts w:ascii="宋体"/>
              </w:rPr>
            </w:pPr>
          </w:p>
        </w:tc>
      </w:tr>
      <w:tr w:rsidR="006A3667" w14:paraId="71D4556A" w14:textId="77777777">
        <w:tc>
          <w:tcPr>
            <w:tcW w:w="0" w:type="auto"/>
            <w:gridSpan w:val="3"/>
            <w:shd w:val="clear" w:color="auto" w:fill="FFFFFF"/>
            <w:tcMar>
              <w:top w:w="40" w:type="dxa"/>
              <w:left w:w="20" w:type="dxa"/>
              <w:bottom w:w="40" w:type="dxa"/>
              <w:right w:w="20" w:type="dxa"/>
            </w:tcMar>
            <w:vAlign w:val="bottom"/>
          </w:tcPr>
          <w:p w14:paraId="71D4555E"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55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560"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56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562"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56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564"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56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566"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56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568"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569" w14:textId="77777777" w:rsidR="006A3667" w:rsidRDefault="006A3667">
            <w:pPr>
              <w:rPr>
                <w:rFonts w:ascii="宋体"/>
              </w:rPr>
            </w:pPr>
          </w:p>
        </w:tc>
      </w:tr>
      <w:tr w:rsidR="006A3667" w14:paraId="71D4557D" w14:textId="77777777">
        <w:tc>
          <w:tcPr>
            <w:tcW w:w="0" w:type="auto"/>
            <w:gridSpan w:val="3"/>
            <w:shd w:val="clear" w:color="auto" w:fill="CCEEFF"/>
            <w:tcMar>
              <w:top w:w="40" w:type="dxa"/>
              <w:left w:w="155" w:type="dxa"/>
              <w:bottom w:w="40" w:type="dxa"/>
              <w:right w:w="20" w:type="dxa"/>
            </w:tcMar>
            <w:vAlign w:val="bottom"/>
          </w:tcPr>
          <w:p w14:paraId="71D4556B" w14:textId="77777777" w:rsidR="006A3667" w:rsidRDefault="00045F32">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71D4556C" w14:textId="77777777" w:rsidR="006A3667" w:rsidRDefault="00045F32">
            <w:pPr>
              <w:jc w:val="right"/>
              <w:textAlignment w:val="bottom"/>
            </w:pPr>
            <w:r>
              <w:rPr>
                <w:rFonts w:ascii="Arial" w:eastAsia="宋体" w:hAnsi="Arial" w:cs="Arial"/>
                <w:b/>
                <w:bCs/>
                <w:color w:val="000000"/>
                <w:sz w:val="14"/>
                <w:szCs w:val="14"/>
              </w:rPr>
              <w:t>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6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6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6F" w14:textId="77777777" w:rsidR="006A3667" w:rsidRDefault="00045F32">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7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72" w14:textId="77777777" w:rsidR="006A3667" w:rsidRDefault="00045F32">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7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7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7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78" w14:textId="77777777" w:rsidR="006A3667" w:rsidRDefault="00045F32">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7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7B" w14:textId="77777777" w:rsidR="006A3667" w:rsidRDefault="00045F32">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7C" w14:textId="77777777" w:rsidR="006A3667" w:rsidRDefault="006A3667">
            <w:pPr>
              <w:jc w:val="right"/>
              <w:rPr>
                <w:rFonts w:ascii="宋体"/>
              </w:rPr>
            </w:pPr>
          </w:p>
        </w:tc>
      </w:tr>
      <w:tr w:rsidR="006A3667" w14:paraId="71D45590" w14:textId="77777777">
        <w:tc>
          <w:tcPr>
            <w:tcW w:w="0" w:type="auto"/>
            <w:gridSpan w:val="3"/>
            <w:shd w:val="clear" w:color="auto" w:fill="FFFFFF"/>
            <w:tcMar>
              <w:top w:w="40" w:type="dxa"/>
              <w:left w:w="245" w:type="dxa"/>
              <w:bottom w:w="40" w:type="dxa"/>
              <w:right w:w="20" w:type="dxa"/>
            </w:tcMar>
            <w:vAlign w:val="bottom"/>
          </w:tcPr>
          <w:p w14:paraId="71D4557E" w14:textId="77777777" w:rsidR="006A3667" w:rsidRDefault="00045F32">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71D4557F" w14:textId="77777777" w:rsidR="006A3667" w:rsidRDefault="00045F32">
            <w:pPr>
              <w:jc w:val="right"/>
              <w:textAlignment w:val="bottom"/>
            </w:pPr>
            <w:r>
              <w:rPr>
                <w:rFonts w:ascii="Arial" w:eastAsia="宋体" w:hAnsi="Arial" w:cs="Arial"/>
                <w:b/>
                <w:bCs/>
                <w:color w:val="000000"/>
                <w:sz w:val="14"/>
                <w:szCs w:val="14"/>
              </w:rPr>
              <w:t>1,728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8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8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82" w14:textId="77777777" w:rsidR="006A3667" w:rsidRDefault="00045F32">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8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8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85" w14:textId="77777777" w:rsidR="006A3667" w:rsidRDefault="00045F32">
            <w:pPr>
              <w:jc w:val="right"/>
              <w:textAlignment w:val="bottom"/>
            </w:pPr>
            <w:r>
              <w:rPr>
                <w:rFonts w:ascii="Arial" w:eastAsia="宋体" w:hAnsi="Arial" w:cs="Arial"/>
                <w:b/>
                <w:bCs/>
                <w:color w:val="000000"/>
                <w:sz w:val="14"/>
                <w:szCs w:val="14"/>
              </w:rPr>
              <w:t>591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8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8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88" w14:textId="77777777" w:rsidR="006A3667" w:rsidRDefault="00045F32">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8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8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8B" w14:textId="77777777" w:rsidR="006A3667" w:rsidRDefault="00045F32">
            <w:pPr>
              <w:jc w:val="right"/>
              <w:textAlignment w:val="bottom"/>
            </w:pPr>
            <w:r>
              <w:rPr>
                <w:rFonts w:ascii="Arial" w:eastAsia="宋体" w:hAnsi="Arial" w:cs="Arial"/>
                <w:b/>
                <w:bCs/>
                <w:color w:val="000000"/>
                <w:sz w:val="14"/>
                <w:szCs w:val="14"/>
              </w:rPr>
              <w:t>2,319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8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8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8E" w14:textId="77777777" w:rsidR="006A3667" w:rsidRDefault="00045F32">
            <w:pPr>
              <w:jc w:val="right"/>
              <w:textAlignment w:val="bottom"/>
            </w:pPr>
            <w:r>
              <w:rPr>
                <w:rFonts w:ascii="Arial" w:eastAsia="宋体" w:hAnsi="Arial" w:cs="Arial"/>
                <w:b/>
                <w:bCs/>
                <w:color w:val="000000"/>
                <w:sz w:val="14"/>
                <w:szCs w:val="14"/>
              </w:rPr>
              <w:t>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8F" w14:textId="77777777" w:rsidR="006A3667" w:rsidRDefault="006A3667">
            <w:pPr>
              <w:jc w:val="right"/>
              <w:rPr>
                <w:rFonts w:ascii="宋体"/>
              </w:rPr>
            </w:pPr>
          </w:p>
        </w:tc>
      </w:tr>
      <w:tr w:rsidR="006A3667" w14:paraId="71D455A3" w14:textId="77777777">
        <w:tc>
          <w:tcPr>
            <w:tcW w:w="0" w:type="auto"/>
            <w:gridSpan w:val="3"/>
            <w:shd w:val="clear" w:color="auto" w:fill="CCEEFF"/>
            <w:tcMar>
              <w:top w:w="40" w:type="dxa"/>
              <w:left w:w="245" w:type="dxa"/>
              <w:bottom w:w="40" w:type="dxa"/>
              <w:right w:w="20" w:type="dxa"/>
            </w:tcMar>
            <w:vAlign w:val="bottom"/>
          </w:tcPr>
          <w:p w14:paraId="71D45591" w14:textId="77777777" w:rsidR="006A3667" w:rsidRDefault="00045F32">
            <w:pPr>
              <w:textAlignment w:val="bottom"/>
            </w:pPr>
            <w:r>
              <w:rPr>
                <w:rFonts w:ascii="Arial" w:eastAsia="宋体" w:hAnsi="Arial" w:cs="Arial"/>
                <w:color w:val="000000"/>
                <w:sz w:val="14"/>
                <w:szCs w:val="14"/>
              </w:rPr>
              <w:t>Non-agency CMBS and RMBS</w:t>
            </w:r>
          </w:p>
        </w:tc>
        <w:tc>
          <w:tcPr>
            <w:tcW w:w="0" w:type="auto"/>
            <w:gridSpan w:val="2"/>
            <w:shd w:val="clear" w:color="auto" w:fill="CCEEFF"/>
            <w:tcMar>
              <w:top w:w="40" w:type="dxa"/>
              <w:left w:w="20" w:type="dxa"/>
              <w:bottom w:w="40" w:type="dxa"/>
              <w:right w:w="0" w:type="dxa"/>
            </w:tcMar>
            <w:vAlign w:val="bottom"/>
          </w:tcPr>
          <w:p w14:paraId="71D45592" w14:textId="77777777" w:rsidR="006A3667" w:rsidRDefault="00045F32">
            <w:pPr>
              <w:jc w:val="right"/>
              <w:textAlignment w:val="bottom"/>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9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9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95"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9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9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9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9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9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9E" w14:textId="77777777" w:rsidR="006A3667" w:rsidRDefault="00045F32">
            <w:pPr>
              <w:jc w:val="right"/>
              <w:textAlignment w:val="bottom"/>
            </w:pPr>
            <w:r>
              <w:rPr>
                <w:rFonts w:ascii="Arial" w:eastAsia="宋体" w:hAnsi="Arial" w:cs="Arial"/>
                <w:b/>
                <w:bCs/>
                <w:color w:val="000000"/>
                <w:sz w:val="14"/>
                <w:szCs w:val="14"/>
              </w:rPr>
              <w:t>215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A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5A1"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5A2" w14:textId="77777777" w:rsidR="006A3667" w:rsidRDefault="006A3667">
            <w:pPr>
              <w:jc w:val="right"/>
              <w:rPr>
                <w:rFonts w:ascii="宋体"/>
              </w:rPr>
            </w:pPr>
          </w:p>
        </w:tc>
      </w:tr>
      <w:tr w:rsidR="006A3667" w14:paraId="71D455B6" w14:textId="77777777">
        <w:tc>
          <w:tcPr>
            <w:tcW w:w="0" w:type="auto"/>
            <w:gridSpan w:val="3"/>
            <w:shd w:val="clear" w:color="auto" w:fill="FFFFFF"/>
            <w:tcMar>
              <w:top w:w="40" w:type="dxa"/>
              <w:left w:w="245" w:type="dxa"/>
              <w:bottom w:w="40" w:type="dxa"/>
              <w:right w:w="20" w:type="dxa"/>
            </w:tcMar>
            <w:vAlign w:val="bottom"/>
          </w:tcPr>
          <w:p w14:paraId="71D455A4"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55A5" w14:textId="77777777" w:rsidR="006A3667" w:rsidRDefault="00045F32">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A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A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A8"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A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A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A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A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A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B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B1" w14:textId="77777777" w:rsidR="006A3667" w:rsidRDefault="00045F32">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B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5B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5B4"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5B5" w14:textId="77777777" w:rsidR="006A3667" w:rsidRDefault="006A3667">
            <w:pPr>
              <w:jc w:val="right"/>
              <w:rPr>
                <w:rFonts w:ascii="宋体"/>
              </w:rPr>
            </w:pPr>
          </w:p>
        </w:tc>
      </w:tr>
      <w:tr w:rsidR="006A3667" w14:paraId="71D455C9" w14:textId="77777777">
        <w:tc>
          <w:tcPr>
            <w:tcW w:w="0" w:type="auto"/>
            <w:gridSpan w:val="3"/>
            <w:shd w:val="clear" w:color="auto" w:fill="CCEEFF"/>
            <w:tcMar>
              <w:top w:w="40" w:type="dxa"/>
              <w:left w:w="245" w:type="dxa"/>
              <w:bottom w:w="40" w:type="dxa"/>
              <w:right w:w="20" w:type="dxa"/>
            </w:tcMar>
            <w:vAlign w:val="bottom"/>
          </w:tcPr>
          <w:p w14:paraId="71D455B7" w14:textId="77777777" w:rsidR="006A3667" w:rsidRDefault="00045F32">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B8" w14:textId="77777777" w:rsidR="006A3667" w:rsidRDefault="00045F32">
            <w:pPr>
              <w:jc w:val="right"/>
              <w:textAlignment w:val="bottom"/>
            </w:pPr>
            <w:r>
              <w:rPr>
                <w:rFonts w:ascii="Arial" w:eastAsia="宋体" w:hAnsi="Arial" w:cs="Arial"/>
                <w:b/>
                <w:bCs/>
                <w:color w:val="000000"/>
                <w:sz w:val="14"/>
                <w:szCs w:val="14"/>
              </w:rPr>
              <w:t>2,115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B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BB" w14:textId="77777777" w:rsidR="006A3667" w:rsidRDefault="00045F32">
            <w:pPr>
              <w:jc w:val="right"/>
              <w:textAlignment w:val="bottom"/>
            </w:pPr>
            <w:r>
              <w:rPr>
                <w:rFonts w:ascii="Arial" w:eastAsia="宋体" w:hAnsi="Arial" w:cs="Arial"/>
                <w:b/>
                <w:bCs/>
                <w:color w:val="000000"/>
                <w:sz w:val="14"/>
                <w:szCs w:val="14"/>
              </w:rPr>
              <w:t>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B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B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BE" w14:textId="77777777" w:rsidR="006A3667" w:rsidRDefault="00045F32">
            <w:pPr>
              <w:jc w:val="right"/>
              <w:textAlignment w:val="bottom"/>
            </w:pPr>
            <w:r>
              <w:rPr>
                <w:rFonts w:ascii="Arial" w:eastAsia="宋体" w:hAnsi="Arial" w:cs="Arial"/>
                <w:b/>
                <w:bCs/>
                <w:color w:val="000000"/>
                <w:sz w:val="14"/>
                <w:szCs w:val="14"/>
              </w:rPr>
              <w:t>597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B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C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C1" w14:textId="77777777" w:rsidR="006A3667" w:rsidRDefault="00045F32">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C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C4" w14:textId="77777777" w:rsidR="006A3667" w:rsidRDefault="00045F32">
            <w:pPr>
              <w:jc w:val="right"/>
              <w:textAlignment w:val="bottom"/>
            </w:pPr>
            <w:r>
              <w:rPr>
                <w:rFonts w:ascii="Arial" w:eastAsia="宋体" w:hAnsi="Arial" w:cs="Arial"/>
                <w:b/>
                <w:bCs/>
                <w:color w:val="000000"/>
                <w:sz w:val="14"/>
                <w:szCs w:val="14"/>
              </w:rPr>
              <w:t>2,712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5C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5C7" w14:textId="77777777" w:rsidR="006A3667" w:rsidRDefault="00045F32">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5C8" w14:textId="77777777" w:rsidR="006A3667" w:rsidRDefault="006A3667">
            <w:pPr>
              <w:jc w:val="right"/>
              <w:rPr>
                <w:rFonts w:ascii="宋体"/>
              </w:rPr>
            </w:pPr>
          </w:p>
        </w:tc>
      </w:tr>
      <w:tr w:rsidR="006A3667" w14:paraId="71D455D6" w14:textId="77777777">
        <w:trPr>
          <w:hidden/>
        </w:trPr>
        <w:tc>
          <w:tcPr>
            <w:tcW w:w="0" w:type="auto"/>
            <w:gridSpan w:val="3"/>
            <w:shd w:val="clear" w:color="auto" w:fill="auto"/>
            <w:vAlign w:val="bottom"/>
          </w:tcPr>
          <w:p w14:paraId="71D455CA" w14:textId="77777777" w:rsidR="006A3667" w:rsidRDefault="006A3667">
            <w:pPr>
              <w:rPr>
                <w:rFonts w:ascii="宋体"/>
                <w:vanish/>
              </w:rPr>
            </w:pPr>
          </w:p>
        </w:tc>
        <w:tc>
          <w:tcPr>
            <w:tcW w:w="0" w:type="auto"/>
            <w:gridSpan w:val="3"/>
            <w:shd w:val="clear" w:color="auto" w:fill="auto"/>
            <w:vAlign w:val="bottom"/>
          </w:tcPr>
          <w:p w14:paraId="71D455CB" w14:textId="77777777" w:rsidR="006A3667" w:rsidRDefault="006A3667">
            <w:pPr>
              <w:rPr>
                <w:rFonts w:ascii="宋体"/>
                <w:vanish/>
              </w:rPr>
            </w:pPr>
          </w:p>
        </w:tc>
        <w:tc>
          <w:tcPr>
            <w:tcW w:w="0" w:type="auto"/>
            <w:gridSpan w:val="3"/>
            <w:shd w:val="clear" w:color="auto" w:fill="auto"/>
            <w:vAlign w:val="bottom"/>
          </w:tcPr>
          <w:p w14:paraId="71D455CC" w14:textId="77777777" w:rsidR="006A3667" w:rsidRDefault="006A3667">
            <w:pPr>
              <w:rPr>
                <w:rFonts w:ascii="宋体"/>
                <w:vanish/>
              </w:rPr>
            </w:pPr>
          </w:p>
        </w:tc>
        <w:tc>
          <w:tcPr>
            <w:tcW w:w="0" w:type="auto"/>
            <w:gridSpan w:val="3"/>
            <w:shd w:val="clear" w:color="auto" w:fill="auto"/>
            <w:vAlign w:val="bottom"/>
          </w:tcPr>
          <w:p w14:paraId="71D455CD" w14:textId="77777777" w:rsidR="006A3667" w:rsidRDefault="006A3667">
            <w:pPr>
              <w:rPr>
                <w:rFonts w:ascii="宋体"/>
                <w:vanish/>
              </w:rPr>
            </w:pPr>
          </w:p>
        </w:tc>
        <w:tc>
          <w:tcPr>
            <w:tcW w:w="0" w:type="auto"/>
            <w:gridSpan w:val="3"/>
            <w:shd w:val="clear" w:color="auto" w:fill="auto"/>
            <w:vAlign w:val="bottom"/>
          </w:tcPr>
          <w:p w14:paraId="71D455CE" w14:textId="77777777" w:rsidR="006A3667" w:rsidRDefault="006A3667">
            <w:pPr>
              <w:rPr>
                <w:rFonts w:ascii="宋体"/>
                <w:vanish/>
              </w:rPr>
            </w:pPr>
          </w:p>
        </w:tc>
        <w:tc>
          <w:tcPr>
            <w:tcW w:w="0" w:type="auto"/>
            <w:gridSpan w:val="3"/>
            <w:shd w:val="clear" w:color="auto" w:fill="auto"/>
            <w:vAlign w:val="bottom"/>
          </w:tcPr>
          <w:p w14:paraId="71D455CF" w14:textId="77777777" w:rsidR="006A3667" w:rsidRDefault="006A3667">
            <w:pPr>
              <w:rPr>
                <w:rFonts w:ascii="宋体"/>
                <w:vanish/>
              </w:rPr>
            </w:pPr>
          </w:p>
        </w:tc>
        <w:tc>
          <w:tcPr>
            <w:tcW w:w="0" w:type="auto"/>
            <w:gridSpan w:val="3"/>
            <w:shd w:val="clear" w:color="auto" w:fill="auto"/>
            <w:vAlign w:val="bottom"/>
          </w:tcPr>
          <w:p w14:paraId="71D455D0" w14:textId="77777777" w:rsidR="006A3667" w:rsidRDefault="006A3667">
            <w:pPr>
              <w:rPr>
                <w:rFonts w:ascii="宋体"/>
                <w:vanish/>
              </w:rPr>
            </w:pPr>
          </w:p>
        </w:tc>
        <w:tc>
          <w:tcPr>
            <w:tcW w:w="0" w:type="auto"/>
            <w:gridSpan w:val="3"/>
            <w:shd w:val="clear" w:color="auto" w:fill="auto"/>
            <w:vAlign w:val="bottom"/>
          </w:tcPr>
          <w:p w14:paraId="71D455D1" w14:textId="77777777" w:rsidR="006A3667" w:rsidRDefault="006A3667">
            <w:pPr>
              <w:rPr>
                <w:rFonts w:ascii="宋体"/>
                <w:vanish/>
              </w:rPr>
            </w:pPr>
          </w:p>
        </w:tc>
        <w:tc>
          <w:tcPr>
            <w:tcW w:w="0" w:type="auto"/>
            <w:gridSpan w:val="3"/>
            <w:shd w:val="clear" w:color="auto" w:fill="auto"/>
            <w:vAlign w:val="bottom"/>
          </w:tcPr>
          <w:p w14:paraId="71D455D2" w14:textId="77777777" w:rsidR="006A3667" w:rsidRDefault="006A3667">
            <w:pPr>
              <w:rPr>
                <w:rFonts w:ascii="宋体"/>
                <w:vanish/>
              </w:rPr>
            </w:pPr>
          </w:p>
        </w:tc>
        <w:tc>
          <w:tcPr>
            <w:tcW w:w="0" w:type="auto"/>
            <w:gridSpan w:val="3"/>
            <w:shd w:val="clear" w:color="auto" w:fill="auto"/>
            <w:vAlign w:val="bottom"/>
          </w:tcPr>
          <w:p w14:paraId="71D455D3" w14:textId="77777777" w:rsidR="006A3667" w:rsidRDefault="006A3667">
            <w:pPr>
              <w:rPr>
                <w:rFonts w:ascii="宋体"/>
                <w:vanish/>
              </w:rPr>
            </w:pPr>
          </w:p>
        </w:tc>
        <w:tc>
          <w:tcPr>
            <w:tcW w:w="0" w:type="auto"/>
            <w:gridSpan w:val="3"/>
            <w:shd w:val="clear" w:color="auto" w:fill="auto"/>
            <w:vAlign w:val="bottom"/>
          </w:tcPr>
          <w:p w14:paraId="71D455D4" w14:textId="77777777" w:rsidR="006A3667" w:rsidRDefault="006A3667">
            <w:pPr>
              <w:rPr>
                <w:rFonts w:ascii="宋体"/>
                <w:vanish/>
              </w:rPr>
            </w:pPr>
          </w:p>
        </w:tc>
        <w:tc>
          <w:tcPr>
            <w:tcW w:w="0" w:type="auto"/>
            <w:gridSpan w:val="3"/>
            <w:shd w:val="clear" w:color="auto" w:fill="auto"/>
            <w:vAlign w:val="bottom"/>
          </w:tcPr>
          <w:p w14:paraId="71D455D5" w14:textId="77777777" w:rsidR="006A3667" w:rsidRDefault="006A3667">
            <w:pPr>
              <w:rPr>
                <w:rFonts w:ascii="宋体"/>
                <w:vanish/>
              </w:rPr>
            </w:pPr>
          </w:p>
        </w:tc>
      </w:tr>
      <w:tr w:rsidR="006A3667" w14:paraId="71D455E3" w14:textId="77777777">
        <w:trPr>
          <w:hidden/>
        </w:trPr>
        <w:tc>
          <w:tcPr>
            <w:tcW w:w="0" w:type="auto"/>
            <w:gridSpan w:val="3"/>
            <w:shd w:val="clear" w:color="auto" w:fill="auto"/>
            <w:vAlign w:val="bottom"/>
          </w:tcPr>
          <w:p w14:paraId="71D455D7" w14:textId="77777777" w:rsidR="006A3667" w:rsidRDefault="006A3667">
            <w:pPr>
              <w:rPr>
                <w:rFonts w:ascii="宋体"/>
                <w:vanish/>
              </w:rPr>
            </w:pPr>
          </w:p>
        </w:tc>
        <w:tc>
          <w:tcPr>
            <w:tcW w:w="0" w:type="auto"/>
            <w:gridSpan w:val="3"/>
            <w:shd w:val="clear" w:color="auto" w:fill="auto"/>
            <w:vAlign w:val="bottom"/>
          </w:tcPr>
          <w:p w14:paraId="71D455D8" w14:textId="77777777" w:rsidR="006A3667" w:rsidRDefault="006A3667">
            <w:pPr>
              <w:rPr>
                <w:rFonts w:ascii="宋体"/>
                <w:vanish/>
              </w:rPr>
            </w:pPr>
          </w:p>
        </w:tc>
        <w:tc>
          <w:tcPr>
            <w:tcW w:w="0" w:type="auto"/>
            <w:gridSpan w:val="3"/>
            <w:shd w:val="clear" w:color="auto" w:fill="auto"/>
            <w:vAlign w:val="bottom"/>
          </w:tcPr>
          <w:p w14:paraId="71D455D9" w14:textId="77777777" w:rsidR="006A3667" w:rsidRDefault="006A3667">
            <w:pPr>
              <w:rPr>
                <w:rFonts w:ascii="宋体"/>
                <w:vanish/>
              </w:rPr>
            </w:pPr>
          </w:p>
        </w:tc>
        <w:tc>
          <w:tcPr>
            <w:tcW w:w="0" w:type="auto"/>
            <w:gridSpan w:val="3"/>
            <w:shd w:val="clear" w:color="auto" w:fill="auto"/>
            <w:vAlign w:val="bottom"/>
          </w:tcPr>
          <w:p w14:paraId="71D455DA" w14:textId="77777777" w:rsidR="006A3667" w:rsidRDefault="006A3667">
            <w:pPr>
              <w:rPr>
                <w:rFonts w:ascii="宋体"/>
                <w:vanish/>
              </w:rPr>
            </w:pPr>
          </w:p>
        </w:tc>
        <w:tc>
          <w:tcPr>
            <w:tcW w:w="0" w:type="auto"/>
            <w:gridSpan w:val="3"/>
            <w:shd w:val="clear" w:color="auto" w:fill="auto"/>
            <w:vAlign w:val="bottom"/>
          </w:tcPr>
          <w:p w14:paraId="71D455DB" w14:textId="77777777" w:rsidR="006A3667" w:rsidRDefault="006A3667">
            <w:pPr>
              <w:rPr>
                <w:rFonts w:ascii="宋体"/>
                <w:vanish/>
              </w:rPr>
            </w:pPr>
          </w:p>
        </w:tc>
        <w:tc>
          <w:tcPr>
            <w:tcW w:w="0" w:type="auto"/>
            <w:gridSpan w:val="3"/>
            <w:shd w:val="clear" w:color="auto" w:fill="auto"/>
            <w:vAlign w:val="bottom"/>
          </w:tcPr>
          <w:p w14:paraId="71D455DC" w14:textId="77777777" w:rsidR="006A3667" w:rsidRDefault="006A3667">
            <w:pPr>
              <w:rPr>
                <w:rFonts w:ascii="宋体"/>
                <w:vanish/>
              </w:rPr>
            </w:pPr>
          </w:p>
        </w:tc>
        <w:tc>
          <w:tcPr>
            <w:tcW w:w="0" w:type="auto"/>
            <w:gridSpan w:val="3"/>
            <w:shd w:val="clear" w:color="auto" w:fill="auto"/>
            <w:vAlign w:val="bottom"/>
          </w:tcPr>
          <w:p w14:paraId="71D455DD" w14:textId="77777777" w:rsidR="006A3667" w:rsidRDefault="006A3667">
            <w:pPr>
              <w:rPr>
                <w:rFonts w:ascii="宋体"/>
                <w:vanish/>
              </w:rPr>
            </w:pPr>
          </w:p>
        </w:tc>
        <w:tc>
          <w:tcPr>
            <w:tcW w:w="0" w:type="auto"/>
            <w:gridSpan w:val="3"/>
            <w:shd w:val="clear" w:color="auto" w:fill="auto"/>
            <w:vAlign w:val="bottom"/>
          </w:tcPr>
          <w:p w14:paraId="71D455DE" w14:textId="77777777" w:rsidR="006A3667" w:rsidRDefault="006A3667">
            <w:pPr>
              <w:rPr>
                <w:rFonts w:ascii="宋体"/>
                <w:vanish/>
              </w:rPr>
            </w:pPr>
          </w:p>
        </w:tc>
        <w:tc>
          <w:tcPr>
            <w:tcW w:w="0" w:type="auto"/>
            <w:gridSpan w:val="3"/>
            <w:shd w:val="clear" w:color="auto" w:fill="auto"/>
            <w:vAlign w:val="bottom"/>
          </w:tcPr>
          <w:p w14:paraId="71D455DF" w14:textId="77777777" w:rsidR="006A3667" w:rsidRDefault="006A3667">
            <w:pPr>
              <w:rPr>
                <w:rFonts w:ascii="宋体"/>
                <w:vanish/>
              </w:rPr>
            </w:pPr>
          </w:p>
        </w:tc>
        <w:tc>
          <w:tcPr>
            <w:tcW w:w="0" w:type="auto"/>
            <w:gridSpan w:val="3"/>
            <w:shd w:val="clear" w:color="auto" w:fill="auto"/>
            <w:vAlign w:val="bottom"/>
          </w:tcPr>
          <w:p w14:paraId="71D455E0" w14:textId="77777777" w:rsidR="006A3667" w:rsidRDefault="006A3667">
            <w:pPr>
              <w:rPr>
                <w:rFonts w:ascii="宋体"/>
                <w:vanish/>
              </w:rPr>
            </w:pPr>
          </w:p>
        </w:tc>
        <w:tc>
          <w:tcPr>
            <w:tcW w:w="0" w:type="auto"/>
            <w:gridSpan w:val="3"/>
            <w:shd w:val="clear" w:color="auto" w:fill="auto"/>
            <w:vAlign w:val="bottom"/>
          </w:tcPr>
          <w:p w14:paraId="71D455E1" w14:textId="77777777" w:rsidR="006A3667" w:rsidRDefault="006A3667">
            <w:pPr>
              <w:rPr>
                <w:rFonts w:ascii="宋体"/>
                <w:vanish/>
              </w:rPr>
            </w:pPr>
          </w:p>
        </w:tc>
        <w:tc>
          <w:tcPr>
            <w:tcW w:w="0" w:type="auto"/>
            <w:gridSpan w:val="3"/>
            <w:shd w:val="clear" w:color="auto" w:fill="auto"/>
            <w:vAlign w:val="bottom"/>
          </w:tcPr>
          <w:p w14:paraId="71D455E2" w14:textId="77777777" w:rsidR="006A3667" w:rsidRDefault="006A3667">
            <w:pPr>
              <w:rPr>
                <w:rFonts w:ascii="宋体"/>
                <w:vanish/>
              </w:rPr>
            </w:pPr>
          </w:p>
        </w:tc>
      </w:tr>
      <w:tr w:rsidR="006A3667" w14:paraId="71D455F0" w14:textId="77777777">
        <w:trPr>
          <w:hidden/>
        </w:trPr>
        <w:tc>
          <w:tcPr>
            <w:tcW w:w="0" w:type="auto"/>
            <w:gridSpan w:val="3"/>
            <w:shd w:val="clear" w:color="auto" w:fill="auto"/>
            <w:vAlign w:val="bottom"/>
          </w:tcPr>
          <w:p w14:paraId="71D455E4" w14:textId="77777777" w:rsidR="006A3667" w:rsidRDefault="006A3667">
            <w:pPr>
              <w:rPr>
                <w:rFonts w:ascii="宋体"/>
                <w:vanish/>
              </w:rPr>
            </w:pPr>
          </w:p>
        </w:tc>
        <w:tc>
          <w:tcPr>
            <w:tcW w:w="0" w:type="auto"/>
            <w:gridSpan w:val="3"/>
            <w:shd w:val="clear" w:color="auto" w:fill="auto"/>
            <w:vAlign w:val="bottom"/>
          </w:tcPr>
          <w:p w14:paraId="71D455E5" w14:textId="77777777" w:rsidR="006A3667" w:rsidRDefault="006A3667">
            <w:pPr>
              <w:rPr>
                <w:rFonts w:ascii="宋体"/>
                <w:vanish/>
              </w:rPr>
            </w:pPr>
          </w:p>
        </w:tc>
        <w:tc>
          <w:tcPr>
            <w:tcW w:w="0" w:type="auto"/>
            <w:gridSpan w:val="3"/>
            <w:shd w:val="clear" w:color="auto" w:fill="auto"/>
            <w:vAlign w:val="bottom"/>
          </w:tcPr>
          <w:p w14:paraId="71D455E6" w14:textId="77777777" w:rsidR="006A3667" w:rsidRDefault="006A3667">
            <w:pPr>
              <w:rPr>
                <w:rFonts w:ascii="宋体"/>
                <w:vanish/>
              </w:rPr>
            </w:pPr>
          </w:p>
        </w:tc>
        <w:tc>
          <w:tcPr>
            <w:tcW w:w="0" w:type="auto"/>
            <w:gridSpan w:val="3"/>
            <w:shd w:val="clear" w:color="auto" w:fill="auto"/>
            <w:vAlign w:val="bottom"/>
          </w:tcPr>
          <w:p w14:paraId="71D455E7" w14:textId="77777777" w:rsidR="006A3667" w:rsidRDefault="006A3667">
            <w:pPr>
              <w:rPr>
                <w:rFonts w:ascii="宋体"/>
                <w:vanish/>
              </w:rPr>
            </w:pPr>
          </w:p>
        </w:tc>
        <w:tc>
          <w:tcPr>
            <w:tcW w:w="0" w:type="auto"/>
            <w:gridSpan w:val="3"/>
            <w:shd w:val="clear" w:color="auto" w:fill="auto"/>
            <w:vAlign w:val="bottom"/>
          </w:tcPr>
          <w:p w14:paraId="71D455E8" w14:textId="77777777" w:rsidR="006A3667" w:rsidRDefault="006A3667">
            <w:pPr>
              <w:rPr>
                <w:rFonts w:ascii="宋体"/>
                <w:vanish/>
              </w:rPr>
            </w:pPr>
          </w:p>
        </w:tc>
        <w:tc>
          <w:tcPr>
            <w:tcW w:w="0" w:type="auto"/>
            <w:gridSpan w:val="3"/>
            <w:shd w:val="clear" w:color="auto" w:fill="auto"/>
            <w:vAlign w:val="bottom"/>
          </w:tcPr>
          <w:p w14:paraId="71D455E9" w14:textId="77777777" w:rsidR="006A3667" w:rsidRDefault="006A3667">
            <w:pPr>
              <w:rPr>
                <w:rFonts w:ascii="宋体"/>
                <w:vanish/>
              </w:rPr>
            </w:pPr>
          </w:p>
        </w:tc>
        <w:tc>
          <w:tcPr>
            <w:tcW w:w="0" w:type="auto"/>
            <w:gridSpan w:val="3"/>
            <w:shd w:val="clear" w:color="auto" w:fill="auto"/>
            <w:vAlign w:val="bottom"/>
          </w:tcPr>
          <w:p w14:paraId="71D455EA" w14:textId="77777777" w:rsidR="006A3667" w:rsidRDefault="006A3667">
            <w:pPr>
              <w:rPr>
                <w:rFonts w:ascii="宋体"/>
                <w:vanish/>
              </w:rPr>
            </w:pPr>
          </w:p>
        </w:tc>
        <w:tc>
          <w:tcPr>
            <w:tcW w:w="0" w:type="auto"/>
            <w:gridSpan w:val="3"/>
            <w:shd w:val="clear" w:color="auto" w:fill="auto"/>
            <w:vAlign w:val="bottom"/>
          </w:tcPr>
          <w:p w14:paraId="71D455EB" w14:textId="77777777" w:rsidR="006A3667" w:rsidRDefault="006A3667">
            <w:pPr>
              <w:rPr>
                <w:rFonts w:ascii="宋体"/>
                <w:vanish/>
              </w:rPr>
            </w:pPr>
          </w:p>
        </w:tc>
        <w:tc>
          <w:tcPr>
            <w:tcW w:w="0" w:type="auto"/>
            <w:gridSpan w:val="3"/>
            <w:shd w:val="clear" w:color="auto" w:fill="auto"/>
            <w:vAlign w:val="bottom"/>
          </w:tcPr>
          <w:p w14:paraId="71D455EC" w14:textId="77777777" w:rsidR="006A3667" w:rsidRDefault="006A3667">
            <w:pPr>
              <w:rPr>
                <w:rFonts w:ascii="宋体"/>
                <w:vanish/>
              </w:rPr>
            </w:pPr>
          </w:p>
        </w:tc>
        <w:tc>
          <w:tcPr>
            <w:tcW w:w="0" w:type="auto"/>
            <w:gridSpan w:val="3"/>
            <w:shd w:val="clear" w:color="auto" w:fill="auto"/>
            <w:vAlign w:val="bottom"/>
          </w:tcPr>
          <w:p w14:paraId="71D455ED" w14:textId="77777777" w:rsidR="006A3667" w:rsidRDefault="006A3667">
            <w:pPr>
              <w:rPr>
                <w:rFonts w:ascii="宋体"/>
                <w:vanish/>
              </w:rPr>
            </w:pPr>
          </w:p>
        </w:tc>
        <w:tc>
          <w:tcPr>
            <w:tcW w:w="0" w:type="auto"/>
            <w:gridSpan w:val="3"/>
            <w:shd w:val="clear" w:color="auto" w:fill="auto"/>
            <w:vAlign w:val="bottom"/>
          </w:tcPr>
          <w:p w14:paraId="71D455EE" w14:textId="77777777" w:rsidR="006A3667" w:rsidRDefault="006A3667">
            <w:pPr>
              <w:rPr>
                <w:rFonts w:ascii="宋体"/>
                <w:vanish/>
              </w:rPr>
            </w:pPr>
          </w:p>
        </w:tc>
        <w:tc>
          <w:tcPr>
            <w:tcW w:w="0" w:type="auto"/>
            <w:gridSpan w:val="3"/>
            <w:shd w:val="clear" w:color="auto" w:fill="auto"/>
            <w:vAlign w:val="bottom"/>
          </w:tcPr>
          <w:p w14:paraId="71D455EF" w14:textId="77777777" w:rsidR="006A3667" w:rsidRDefault="006A3667">
            <w:pPr>
              <w:rPr>
                <w:rFonts w:ascii="宋体"/>
                <w:vanish/>
              </w:rPr>
            </w:pPr>
          </w:p>
        </w:tc>
      </w:tr>
      <w:tr w:rsidR="006A3667" w14:paraId="71D455FD" w14:textId="77777777">
        <w:trPr>
          <w:hidden/>
        </w:trPr>
        <w:tc>
          <w:tcPr>
            <w:tcW w:w="0" w:type="auto"/>
            <w:gridSpan w:val="3"/>
            <w:shd w:val="clear" w:color="auto" w:fill="auto"/>
            <w:vAlign w:val="bottom"/>
          </w:tcPr>
          <w:p w14:paraId="71D455F1" w14:textId="77777777" w:rsidR="006A3667" w:rsidRDefault="006A3667">
            <w:pPr>
              <w:rPr>
                <w:rFonts w:ascii="宋体"/>
                <w:vanish/>
              </w:rPr>
            </w:pPr>
          </w:p>
        </w:tc>
        <w:tc>
          <w:tcPr>
            <w:tcW w:w="0" w:type="auto"/>
            <w:gridSpan w:val="3"/>
            <w:shd w:val="clear" w:color="auto" w:fill="auto"/>
            <w:vAlign w:val="bottom"/>
          </w:tcPr>
          <w:p w14:paraId="71D455F2" w14:textId="77777777" w:rsidR="006A3667" w:rsidRDefault="006A3667">
            <w:pPr>
              <w:rPr>
                <w:rFonts w:ascii="宋体"/>
                <w:vanish/>
              </w:rPr>
            </w:pPr>
          </w:p>
        </w:tc>
        <w:tc>
          <w:tcPr>
            <w:tcW w:w="0" w:type="auto"/>
            <w:gridSpan w:val="3"/>
            <w:shd w:val="clear" w:color="auto" w:fill="auto"/>
            <w:vAlign w:val="bottom"/>
          </w:tcPr>
          <w:p w14:paraId="71D455F3" w14:textId="77777777" w:rsidR="006A3667" w:rsidRDefault="006A3667">
            <w:pPr>
              <w:rPr>
                <w:rFonts w:ascii="宋体"/>
                <w:vanish/>
              </w:rPr>
            </w:pPr>
          </w:p>
        </w:tc>
        <w:tc>
          <w:tcPr>
            <w:tcW w:w="0" w:type="auto"/>
            <w:gridSpan w:val="3"/>
            <w:shd w:val="clear" w:color="auto" w:fill="auto"/>
            <w:vAlign w:val="bottom"/>
          </w:tcPr>
          <w:p w14:paraId="71D455F4" w14:textId="77777777" w:rsidR="006A3667" w:rsidRDefault="006A3667">
            <w:pPr>
              <w:rPr>
                <w:rFonts w:ascii="宋体"/>
                <w:vanish/>
              </w:rPr>
            </w:pPr>
          </w:p>
        </w:tc>
        <w:tc>
          <w:tcPr>
            <w:tcW w:w="0" w:type="auto"/>
            <w:gridSpan w:val="3"/>
            <w:shd w:val="clear" w:color="auto" w:fill="auto"/>
            <w:vAlign w:val="bottom"/>
          </w:tcPr>
          <w:p w14:paraId="71D455F5" w14:textId="77777777" w:rsidR="006A3667" w:rsidRDefault="006A3667">
            <w:pPr>
              <w:rPr>
                <w:rFonts w:ascii="宋体"/>
                <w:vanish/>
              </w:rPr>
            </w:pPr>
          </w:p>
        </w:tc>
        <w:tc>
          <w:tcPr>
            <w:tcW w:w="0" w:type="auto"/>
            <w:gridSpan w:val="3"/>
            <w:shd w:val="clear" w:color="auto" w:fill="auto"/>
            <w:vAlign w:val="bottom"/>
          </w:tcPr>
          <w:p w14:paraId="71D455F6" w14:textId="77777777" w:rsidR="006A3667" w:rsidRDefault="006A3667">
            <w:pPr>
              <w:rPr>
                <w:rFonts w:ascii="宋体"/>
                <w:vanish/>
              </w:rPr>
            </w:pPr>
          </w:p>
        </w:tc>
        <w:tc>
          <w:tcPr>
            <w:tcW w:w="0" w:type="auto"/>
            <w:gridSpan w:val="3"/>
            <w:shd w:val="clear" w:color="auto" w:fill="auto"/>
            <w:vAlign w:val="bottom"/>
          </w:tcPr>
          <w:p w14:paraId="71D455F7" w14:textId="77777777" w:rsidR="006A3667" w:rsidRDefault="006A3667">
            <w:pPr>
              <w:rPr>
                <w:rFonts w:ascii="宋体"/>
                <w:vanish/>
              </w:rPr>
            </w:pPr>
          </w:p>
        </w:tc>
        <w:tc>
          <w:tcPr>
            <w:tcW w:w="0" w:type="auto"/>
            <w:gridSpan w:val="3"/>
            <w:shd w:val="clear" w:color="auto" w:fill="auto"/>
            <w:vAlign w:val="bottom"/>
          </w:tcPr>
          <w:p w14:paraId="71D455F8" w14:textId="77777777" w:rsidR="006A3667" w:rsidRDefault="006A3667">
            <w:pPr>
              <w:rPr>
                <w:rFonts w:ascii="宋体"/>
                <w:vanish/>
              </w:rPr>
            </w:pPr>
          </w:p>
        </w:tc>
        <w:tc>
          <w:tcPr>
            <w:tcW w:w="0" w:type="auto"/>
            <w:gridSpan w:val="3"/>
            <w:shd w:val="clear" w:color="auto" w:fill="auto"/>
            <w:vAlign w:val="bottom"/>
          </w:tcPr>
          <w:p w14:paraId="71D455F9" w14:textId="77777777" w:rsidR="006A3667" w:rsidRDefault="006A3667">
            <w:pPr>
              <w:rPr>
                <w:rFonts w:ascii="宋体"/>
                <w:vanish/>
              </w:rPr>
            </w:pPr>
          </w:p>
        </w:tc>
        <w:tc>
          <w:tcPr>
            <w:tcW w:w="0" w:type="auto"/>
            <w:gridSpan w:val="3"/>
            <w:shd w:val="clear" w:color="auto" w:fill="auto"/>
            <w:vAlign w:val="bottom"/>
          </w:tcPr>
          <w:p w14:paraId="71D455FA" w14:textId="77777777" w:rsidR="006A3667" w:rsidRDefault="006A3667">
            <w:pPr>
              <w:rPr>
                <w:rFonts w:ascii="宋体"/>
                <w:vanish/>
              </w:rPr>
            </w:pPr>
          </w:p>
        </w:tc>
        <w:tc>
          <w:tcPr>
            <w:tcW w:w="0" w:type="auto"/>
            <w:gridSpan w:val="3"/>
            <w:shd w:val="clear" w:color="auto" w:fill="auto"/>
            <w:vAlign w:val="bottom"/>
          </w:tcPr>
          <w:p w14:paraId="71D455FB" w14:textId="77777777" w:rsidR="006A3667" w:rsidRDefault="006A3667">
            <w:pPr>
              <w:rPr>
                <w:rFonts w:ascii="宋体"/>
                <w:vanish/>
              </w:rPr>
            </w:pPr>
          </w:p>
        </w:tc>
        <w:tc>
          <w:tcPr>
            <w:tcW w:w="0" w:type="auto"/>
            <w:gridSpan w:val="3"/>
            <w:shd w:val="clear" w:color="auto" w:fill="auto"/>
            <w:vAlign w:val="bottom"/>
          </w:tcPr>
          <w:p w14:paraId="71D455FC" w14:textId="77777777" w:rsidR="006A3667" w:rsidRDefault="006A3667">
            <w:pPr>
              <w:rPr>
                <w:rFonts w:ascii="宋体"/>
                <w:vanish/>
              </w:rPr>
            </w:pPr>
          </w:p>
        </w:tc>
      </w:tr>
      <w:tr w:rsidR="006A3667" w14:paraId="71D4560A" w14:textId="77777777">
        <w:trPr>
          <w:hidden/>
        </w:trPr>
        <w:tc>
          <w:tcPr>
            <w:tcW w:w="0" w:type="auto"/>
            <w:gridSpan w:val="3"/>
            <w:shd w:val="clear" w:color="auto" w:fill="auto"/>
            <w:vAlign w:val="bottom"/>
          </w:tcPr>
          <w:p w14:paraId="71D455FE" w14:textId="77777777" w:rsidR="006A3667" w:rsidRDefault="006A3667">
            <w:pPr>
              <w:rPr>
                <w:rFonts w:ascii="宋体"/>
                <w:vanish/>
              </w:rPr>
            </w:pPr>
          </w:p>
        </w:tc>
        <w:tc>
          <w:tcPr>
            <w:tcW w:w="0" w:type="auto"/>
            <w:gridSpan w:val="3"/>
            <w:shd w:val="clear" w:color="auto" w:fill="auto"/>
            <w:vAlign w:val="bottom"/>
          </w:tcPr>
          <w:p w14:paraId="71D455FF" w14:textId="77777777" w:rsidR="006A3667" w:rsidRDefault="006A3667">
            <w:pPr>
              <w:rPr>
                <w:rFonts w:ascii="宋体"/>
                <w:vanish/>
              </w:rPr>
            </w:pPr>
          </w:p>
        </w:tc>
        <w:tc>
          <w:tcPr>
            <w:tcW w:w="0" w:type="auto"/>
            <w:gridSpan w:val="3"/>
            <w:shd w:val="clear" w:color="auto" w:fill="auto"/>
            <w:vAlign w:val="bottom"/>
          </w:tcPr>
          <w:p w14:paraId="71D45600" w14:textId="77777777" w:rsidR="006A3667" w:rsidRDefault="006A3667">
            <w:pPr>
              <w:rPr>
                <w:rFonts w:ascii="宋体"/>
                <w:vanish/>
              </w:rPr>
            </w:pPr>
          </w:p>
        </w:tc>
        <w:tc>
          <w:tcPr>
            <w:tcW w:w="0" w:type="auto"/>
            <w:gridSpan w:val="3"/>
            <w:shd w:val="clear" w:color="auto" w:fill="auto"/>
            <w:vAlign w:val="bottom"/>
          </w:tcPr>
          <w:p w14:paraId="71D45601" w14:textId="77777777" w:rsidR="006A3667" w:rsidRDefault="006A3667">
            <w:pPr>
              <w:rPr>
                <w:rFonts w:ascii="宋体"/>
                <w:vanish/>
              </w:rPr>
            </w:pPr>
          </w:p>
        </w:tc>
        <w:tc>
          <w:tcPr>
            <w:tcW w:w="0" w:type="auto"/>
            <w:gridSpan w:val="3"/>
            <w:shd w:val="clear" w:color="auto" w:fill="auto"/>
            <w:vAlign w:val="bottom"/>
          </w:tcPr>
          <w:p w14:paraId="71D45602" w14:textId="77777777" w:rsidR="006A3667" w:rsidRDefault="006A3667">
            <w:pPr>
              <w:rPr>
                <w:rFonts w:ascii="宋体"/>
                <w:vanish/>
              </w:rPr>
            </w:pPr>
          </w:p>
        </w:tc>
        <w:tc>
          <w:tcPr>
            <w:tcW w:w="0" w:type="auto"/>
            <w:gridSpan w:val="3"/>
            <w:shd w:val="clear" w:color="auto" w:fill="auto"/>
            <w:vAlign w:val="bottom"/>
          </w:tcPr>
          <w:p w14:paraId="71D45603" w14:textId="77777777" w:rsidR="006A3667" w:rsidRDefault="006A3667">
            <w:pPr>
              <w:rPr>
                <w:rFonts w:ascii="宋体"/>
                <w:vanish/>
              </w:rPr>
            </w:pPr>
          </w:p>
        </w:tc>
        <w:tc>
          <w:tcPr>
            <w:tcW w:w="0" w:type="auto"/>
            <w:gridSpan w:val="3"/>
            <w:shd w:val="clear" w:color="auto" w:fill="auto"/>
            <w:vAlign w:val="bottom"/>
          </w:tcPr>
          <w:p w14:paraId="71D45604" w14:textId="77777777" w:rsidR="006A3667" w:rsidRDefault="006A3667">
            <w:pPr>
              <w:rPr>
                <w:rFonts w:ascii="宋体"/>
                <w:vanish/>
              </w:rPr>
            </w:pPr>
          </w:p>
        </w:tc>
        <w:tc>
          <w:tcPr>
            <w:tcW w:w="0" w:type="auto"/>
            <w:gridSpan w:val="3"/>
            <w:shd w:val="clear" w:color="auto" w:fill="auto"/>
            <w:vAlign w:val="bottom"/>
          </w:tcPr>
          <w:p w14:paraId="71D45605" w14:textId="77777777" w:rsidR="006A3667" w:rsidRDefault="006A3667">
            <w:pPr>
              <w:rPr>
                <w:rFonts w:ascii="宋体"/>
                <w:vanish/>
              </w:rPr>
            </w:pPr>
          </w:p>
        </w:tc>
        <w:tc>
          <w:tcPr>
            <w:tcW w:w="0" w:type="auto"/>
            <w:gridSpan w:val="3"/>
            <w:shd w:val="clear" w:color="auto" w:fill="auto"/>
            <w:vAlign w:val="bottom"/>
          </w:tcPr>
          <w:p w14:paraId="71D45606" w14:textId="77777777" w:rsidR="006A3667" w:rsidRDefault="006A3667">
            <w:pPr>
              <w:rPr>
                <w:rFonts w:ascii="宋体"/>
                <w:vanish/>
              </w:rPr>
            </w:pPr>
          </w:p>
        </w:tc>
        <w:tc>
          <w:tcPr>
            <w:tcW w:w="0" w:type="auto"/>
            <w:gridSpan w:val="3"/>
            <w:shd w:val="clear" w:color="auto" w:fill="auto"/>
            <w:vAlign w:val="bottom"/>
          </w:tcPr>
          <w:p w14:paraId="71D45607" w14:textId="77777777" w:rsidR="006A3667" w:rsidRDefault="006A3667">
            <w:pPr>
              <w:rPr>
                <w:rFonts w:ascii="宋体"/>
                <w:vanish/>
              </w:rPr>
            </w:pPr>
          </w:p>
        </w:tc>
        <w:tc>
          <w:tcPr>
            <w:tcW w:w="0" w:type="auto"/>
            <w:gridSpan w:val="3"/>
            <w:shd w:val="clear" w:color="auto" w:fill="auto"/>
            <w:vAlign w:val="bottom"/>
          </w:tcPr>
          <w:p w14:paraId="71D45608" w14:textId="77777777" w:rsidR="006A3667" w:rsidRDefault="006A3667">
            <w:pPr>
              <w:rPr>
                <w:rFonts w:ascii="宋体"/>
                <w:vanish/>
              </w:rPr>
            </w:pPr>
          </w:p>
        </w:tc>
        <w:tc>
          <w:tcPr>
            <w:tcW w:w="0" w:type="auto"/>
            <w:gridSpan w:val="3"/>
            <w:shd w:val="clear" w:color="auto" w:fill="auto"/>
            <w:vAlign w:val="bottom"/>
          </w:tcPr>
          <w:p w14:paraId="71D45609" w14:textId="77777777" w:rsidR="006A3667" w:rsidRDefault="006A3667">
            <w:pPr>
              <w:rPr>
                <w:rFonts w:ascii="宋体"/>
                <w:vanish/>
              </w:rPr>
            </w:pPr>
          </w:p>
        </w:tc>
      </w:tr>
      <w:tr w:rsidR="006A3667" w14:paraId="71D45617" w14:textId="77777777">
        <w:trPr>
          <w:hidden/>
        </w:trPr>
        <w:tc>
          <w:tcPr>
            <w:tcW w:w="0" w:type="auto"/>
            <w:gridSpan w:val="3"/>
            <w:shd w:val="clear" w:color="auto" w:fill="auto"/>
            <w:vAlign w:val="bottom"/>
          </w:tcPr>
          <w:p w14:paraId="71D4560B" w14:textId="77777777" w:rsidR="006A3667" w:rsidRDefault="006A3667">
            <w:pPr>
              <w:rPr>
                <w:rFonts w:ascii="宋体"/>
                <w:vanish/>
              </w:rPr>
            </w:pPr>
          </w:p>
        </w:tc>
        <w:tc>
          <w:tcPr>
            <w:tcW w:w="0" w:type="auto"/>
            <w:gridSpan w:val="3"/>
            <w:shd w:val="clear" w:color="auto" w:fill="auto"/>
            <w:vAlign w:val="bottom"/>
          </w:tcPr>
          <w:p w14:paraId="71D4560C" w14:textId="77777777" w:rsidR="006A3667" w:rsidRDefault="006A3667">
            <w:pPr>
              <w:rPr>
                <w:rFonts w:ascii="宋体"/>
                <w:vanish/>
              </w:rPr>
            </w:pPr>
          </w:p>
        </w:tc>
        <w:tc>
          <w:tcPr>
            <w:tcW w:w="0" w:type="auto"/>
            <w:gridSpan w:val="3"/>
            <w:shd w:val="clear" w:color="auto" w:fill="auto"/>
            <w:vAlign w:val="bottom"/>
          </w:tcPr>
          <w:p w14:paraId="71D4560D" w14:textId="77777777" w:rsidR="006A3667" w:rsidRDefault="006A3667">
            <w:pPr>
              <w:rPr>
                <w:rFonts w:ascii="宋体"/>
                <w:vanish/>
              </w:rPr>
            </w:pPr>
          </w:p>
        </w:tc>
        <w:tc>
          <w:tcPr>
            <w:tcW w:w="0" w:type="auto"/>
            <w:gridSpan w:val="3"/>
            <w:shd w:val="clear" w:color="auto" w:fill="auto"/>
            <w:vAlign w:val="bottom"/>
          </w:tcPr>
          <w:p w14:paraId="71D4560E" w14:textId="77777777" w:rsidR="006A3667" w:rsidRDefault="006A3667">
            <w:pPr>
              <w:rPr>
                <w:rFonts w:ascii="宋体"/>
                <w:vanish/>
              </w:rPr>
            </w:pPr>
          </w:p>
        </w:tc>
        <w:tc>
          <w:tcPr>
            <w:tcW w:w="0" w:type="auto"/>
            <w:gridSpan w:val="3"/>
            <w:shd w:val="clear" w:color="auto" w:fill="auto"/>
            <w:vAlign w:val="bottom"/>
          </w:tcPr>
          <w:p w14:paraId="71D4560F" w14:textId="77777777" w:rsidR="006A3667" w:rsidRDefault="006A3667">
            <w:pPr>
              <w:rPr>
                <w:rFonts w:ascii="宋体"/>
                <w:vanish/>
              </w:rPr>
            </w:pPr>
          </w:p>
        </w:tc>
        <w:tc>
          <w:tcPr>
            <w:tcW w:w="0" w:type="auto"/>
            <w:gridSpan w:val="3"/>
            <w:shd w:val="clear" w:color="auto" w:fill="auto"/>
            <w:vAlign w:val="bottom"/>
          </w:tcPr>
          <w:p w14:paraId="71D45610" w14:textId="77777777" w:rsidR="006A3667" w:rsidRDefault="006A3667">
            <w:pPr>
              <w:rPr>
                <w:rFonts w:ascii="宋体"/>
                <w:vanish/>
              </w:rPr>
            </w:pPr>
          </w:p>
        </w:tc>
        <w:tc>
          <w:tcPr>
            <w:tcW w:w="0" w:type="auto"/>
            <w:gridSpan w:val="3"/>
            <w:shd w:val="clear" w:color="auto" w:fill="auto"/>
            <w:vAlign w:val="bottom"/>
          </w:tcPr>
          <w:p w14:paraId="71D45611" w14:textId="77777777" w:rsidR="006A3667" w:rsidRDefault="006A3667">
            <w:pPr>
              <w:rPr>
                <w:rFonts w:ascii="宋体"/>
                <w:vanish/>
              </w:rPr>
            </w:pPr>
          </w:p>
        </w:tc>
        <w:tc>
          <w:tcPr>
            <w:tcW w:w="0" w:type="auto"/>
            <w:gridSpan w:val="3"/>
            <w:shd w:val="clear" w:color="auto" w:fill="auto"/>
            <w:vAlign w:val="bottom"/>
          </w:tcPr>
          <w:p w14:paraId="71D45612" w14:textId="77777777" w:rsidR="006A3667" w:rsidRDefault="006A3667">
            <w:pPr>
              <w:rPr>
                <w:rFonts w:ascii="宋体"/>
                <w:vanish/>
              </w:rPr>
            </w:pPr>
          </w:p>
        </w:tc>
        <w:tc>
          <w:tcPr>
            <w:tcW w:w="0" w:type="auto"/>
            <w:gridSpan w:val="3"/>
            <w:shd w:val="clear" w:color="auto" w:fill="auto"/>
            <w:vAlign w:val="bottom"/>
          </w:tcPr>
          <w:p w14:paraId="71D45613" w14:textId="77777777" w:rsidR="006A3667" w:rsidRDefault="006A3667">
            <w:pPr>
              <w:rPr>
                <w:rFonts w:ascii="宋体"/>
                <w:vanish/>
              </w:rPr>
            </w:pPr>
          </w:p>
        </w:tc>
        <w:tc>
          <w:tcPr>
            <w:tcW w:w="0" w:type="auto"/>
            <w:gridSpan w:val="3"/>
            <w:shd w:val="clear" w:color="auto" w:fill="auto"/>
            <w:vAlign w:val="bottom"/>
          </w:tcPr>
          <w:p w14:paraId="71D45614" w14:textId="77777777" w:rsidR="006A3667" w:rsidRDefault="006A3667">
            <w:pPr>
              <w:rPr>
                <w:rFonts w:ascii="宋体"/>
                <w:vanish/>
              </w:rPr>
            </w:pPr>
          </w:p>
        </w:tc>
        <w:tc>
          <w:tcPr>
            <w:tcW w:w="0" w:type="auto"/>
            <w:gridSpan w:val="3"/>
            <w:shd w:val="clear" w:color="auto" w:fill="auto"/>
            <w:vAlign w:val="bottom"/>
          </w:tcPr>
          <w:p w14:paraId="71D45615" w14:textId="77777777" w:rsidR="006A3667" w:rsidRDefault="006A3667">
            <w:pPr>
              <w:rPr>
                <w:rFonts w:ascii="宋体"/>
                <w:vanish/>
              </w:rPr>
            </w:pPr>
          </w:p>
        </w:tc>
        <w:tc>
          <w:tcPr>
            <w:tcW w:w="0" w:type="auto"/>
            <w:gridSpan w:val="3"/>
            <w:shd w:val="clear" w:color="auto" w:fill="auto"/>
            <w:vAlign w:val="bottom"/>
          </w:tcPr>
          <w:p w14:paraId="71D45616" w14:textId="77777777" w:rsidR="006A3667" w:rsidRDefault="006A3667">
            <w:pPr>
              <w:rPr>
                <w:rFonts w:ascii="宋体"/>
                <w:vanish/>
              </w:rPr>
            </w:pPr>
          </w:p>
        </w:tc>
      </w:tr>
      <w:tr w:rsidR="006A3667" w14:paraId="71D4562A" w14:textId="77777777">
        <w:tc>
          <w:tcPr>
            <w:tcW w:w="0" w:type="auto"/>
            <w:gridSpan w:val="3"/>
            <w:shd w:val="clear" w:color="auto" w:fill="FFFFFF"/>
            <w:tcMar>
              <w:top w:w="40" w:type="dxa"/>
              <w:left w:w="20" w:type="dxa"/>
              <w:bottom w:w="40" w:type="dxa"/>
              <w:right w:w="20" w:type="dxa"/>
            </w:tcMar>
            <w:vAlign w:val="bottom"/>
          </w:tcPr>
          <w:p w14:paraId="71D45618" w14:textId="77777777" w:rsidR="006A3667" w:rsidRDefault="00045F32">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619" w14:textId="77777777" w:rsidR="006A3667" w:rsidRDefault="00045F32">
            <w:pPr>
              <w:jc w:val="right"/>
              <w:textAlignment w:val="bottom"/>
            </w:pPr>
            <w:r>
              <w:rPr>
                <w:rFonts w:ascii="Arial" w:eastAsia="宋体" w:hAnsi="Arial" w:cs="Arial"/>
                <w:b/>
                <w:bCs/>
                <w:color w:val="000000"/>
                <w:sz w:val="14"/>
                <w:szCs w:val="14"/>
              </w:rPr>
              <w:t>860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6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1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61C" w14:textId="77777777" w:rsidR="006A3667" w:rsidRDefault="00045F32">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6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1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61F" w14:textId="77777777" w:rsidR="006A3667" w:rsidRDefault="00045F32">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62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2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622"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6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2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625" w14:textId="77777777" w:rsidR="006A3667" w:rsidRDefault="00045F32">
            <w:pPr>
              <w:jc w:val="right"/>
              <w:textAlignment w:val="bottom"/>
            </w:pPr>
            <w:r>
              <w:rPr>
                <w:rFonts w:ascii="Arial" w:eastAsia="宋体" w:hAnsi="Arial" w:cs="Arial"/>
                <w:b/>
                <w:bCs/>
                <w:color w:val="000000"/>
                <w:sz w:val="14"/>
                <w:szCs w:val="14"/>
              </w:rPr>
              <w:t>902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6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2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628" w14:textId="77777777" w:rsidR="006A3667" w:rsidRDefault="00045F32">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629" w14:textId="77777777" w:rsidR="006A3667" w:rsidRDefault="006A3667">
            <w:pPr>
              <w:jc w:val="right"/>
              <w:rPr>
                <w:rFonts w:ascii="宋体"/>
              </w:rPr>
            </w:pPr>
          </w:p>
        </w:tc>
      </w:tr>
      <w:tr w:rsidR="006A3667" w14:paraId="71D45637" w14:textId="77777777">
        <w:trPr>
          <w:hidden/>
        </w:trPr>
        <w:tc>
          <w:tcPr>
            <w:tcW w:w="0" w:type="auto"/>
            <w:gridSpan w:val="3"/>
            <w:shd w:val="clear" w:color="auto" w:fill="auto"/>
            <w:vAlign w:val="bottom"/>
          </w:tcPr>
          <w:p w14:paraId="71D4562B" w14:textId="77777777" w:rsidR="006A3667" w:rsidRDefault="006A3667">
            <w:pPr>
              <w:rPr>
                <w:rFonts w:ascii="宋体"/>
                <w:vanish/>
              </w:rPr>
            </w:pPr>
          </w:p>
        </w:tc>
        <w:tc>
          <w:tcPr>
            <w:tcW w:w="0" w:type="auto"/>
            <w:gridSpan w:val="3"/>
            <w:shd w:val="clear" w:color="auto" w:fill="auto"/>
            <w:vAlign w:val="bottom"/>
          </w:tcPr>
          <w:p w14:paraId="71D4562C" w14:textId="77777777" w:rsidR="006A3667" w:rsidRDefault="006A3667">
            <w:pPr>
              <w:rPr>
                <w:rFonts w:ascii="宋体"/>
                <w:vanish/>
              </w:rPr>
            </w:pPr>
          </w:p>
        </w:tc>
        <w:tc>
          <w:tcPr>
            <w:tcW w:w="0" w:type="auto"/>
            <w:gridSpan w:val="3"/>
            <w:shd w:val="clear" w:color="auto" w:fill="auto"/>
            <w:vAlign w:val="bottom"/>
          </w:tcPr>
          <w:p w14:paraId="71D4562D" w14:textId="77777777" w:rsidR="006A3667" w:rsidRDefault="006A3667">
            <w:pPr>
              <w:rPr>
                <w:rFonts w:ascii="宋体"/>
                <w:vanish/>
              </w:rPr>
            </w:pPr>
          </w:p>
        </w:tc>
        <w:tc>
          <w:tcPr>
            <w:tcW w:w="0" w:type="auto"/>
            <w:gridSpan w:val="3"/>
            <w:shd w:val="clear" w:color="auto" w:fill="auto"/>
            <w:vAlign w:val="bottom"/>
          </w:tcPr>
          <w:p w14:paraId="71D4562E" w14:textId="77777777" w:rsidR="006A3667" w:rsidRDefault="006A3667">
            <w:pPr>
              <w:rPr>
                <w:rFonts w:ascii="宋体"/>
                <w:vanish/>
              </w:rPr>
            </w:pPr>
          </w:p>
        </w:tc>
        <w:tc>
          <w:tcPr>
            <w:tcW w:w="0" w:type="auto"/>
            <w:gridSpan w:val="3"/>
            <w:shd w:val="clear" w:color="auto" w:fill="auto"/>
            <w:vAlign w:val="bottom"/>
          </w:tcPr>
          <w:p w14:paraId="71D4562F" w14:textId="77777777" w:rsidR="006A3667" w:rsidRDefault="006A3667">
            <w:pPr>
              <w:rPr>
                <w:rFonts w:ascii="宋体"/>
                <w:vanish/>
              </w:rPr>
            </w:pPr>
          </w:p>
        </w:tc>
        <w:tc>
          <w:tcPr>
            <w:tcW w:w="0" w:type="auto"/>
            <w:gridSpan w:val="3"/>
            <w:shd w:val="clear" w:color="auto" w:fill="auto"/>
            <w:vAlign w:val="bottom"/>
          </w:tcPr>
          <w:p w14:paraId="71D45630" w14:textId="77777777" w:rsidR="006A3667" w:rsidRDefault="006A3667">
            <w:pPr>
              <w:rPr>
                <w:rFonts w:ascii="宋体"/>
                <w:vanish/>
              </w:rPr>
            </w:pPr>
          </w:p>
        </w:tc>
        <w:tc>
          <w:tcPr>
            <w:tcW w:w="0" w:type="auto"/>
            <w:gridSpan w:val="3"/>
            <w:shd w:val="clear" w:color="auto" w:fill="auto"/>
            <w:vAlign w:val="bottom"/>
          </w:tcPr>
          <w:p w14:paraId="71D45631" w14:textId="77777777" w:rsidR="006A3667" w:rsidRDefault="006A3667">
            <w:pPr>
              <w:rPr>
                <w:rFonts w:ascii="宋体"/>
                <w:vanish/>
              </w:rPr>
            </w:pPr>
          </w:p>
        </w:tc>
        <w:tc>
          <w:tcPr>
            <w:tcW w:w="0" w:type="auto"/>
            <w:gridSpan w:val="3"/>
            <w:shd w:val="clear" w:color="auto" w:fill="auto"/>
            <w:vAlign w:val="bottom"/>
          </w:tcPr>
          <w:p w14:paraId="71D45632" w14:textId="77777777" w:rsidR="006A3667" w:rsidRDefault="006A3667">
            <w:pPr>
              <w:rPr>
                <w:rFonts w:ascii="宋体"/>
                <w:vanish/>
              </w:rPr>
            </w:pPr>
          </w:p>
        </w:tc>
        <w:tc>
          <w:tcPr>
            <w:tcW w:w="0" w:type="auto"/>
            <w:gridSpan w:val="3"/>
            <w:shd w:val="clear" w:color="auto" w:fill="auto"/>
            <w:vAlign w:val="bottom"/>
          </w:tcPr>
          <w:p w14:paraId="71D45633" w14:textId="77777777" w:rsidR="006A3667" w:rsidRDefault="006A3667">
            <w:pPr>
              <w:rPr>
                <w:rFonts w:ascii="宋体"/>
                <w:vanish/>
              </w:rPr>
            </w:pPr>
          </w:p>
        </w:tc>
        <w:tc>
          <w:tcPr>
            <w:tcW w:w="0" w:type="auto"/>
            <w:gridSpan w:val="3"/>
            <w:shd w:val="clear" w:color="auto" w:fill="auto"/>
            <w:vAlign w:val="bottom"/>
          </w:tcPr>
          <w:p w14:paraId="71D45634" w14:textId="77777777" w:rsidR="006A3667" w:rsidRDefault="006A3667">
            <w:pPr>
              <w:rPr>
                <w:rFonts w:ascii="宋体"/>
                <w:vanish/>
              </w:rPr>
            </w:pPr>
          </w:p>
        </w:tc>
        <w:tc>
          <w:tcPr>
            <w:tcW w:w="0" w:type="auto"/>
            <w:gridSpan w:val="3"/>
            <w:shd w:val="clear" w:color="auto" w:fill="auto"/>
            <w:vAlign w:val="bottom"/>
          </w:tcPr>
          <w:p w14:paraId="71D45635" w14:textId="77777777" w:rsidR="006A3667" w:rsidRDefault="006A3667">
            <w:pPr>
              <w:rPr>
                <w:rFonts w:ascii="宋体"/>
                <w:vanish/>
              </w:rPr>
            </w:pPr>
          </w:p>
        </w:tc>
        <w:tc>
          <w:tcPr>
            <w:tcW w:w="0" w:type="auto"/>
            <w:gridSpan w:val="3"/>
            <w:shd w:val="clear" w:color="auto" w:fill="auto"/>
            <w:vAlign w:val="bottom"/>
          </w:tcPr>
          <w:p w14:paraId="71D45636" w14:textId="77777777" w:rsidR="006A3667" w:rsidRDefault="006A3667">
            <w:pPr>
              <w:rPr>
                <w:rFonts w:ascii="宋体"/>
                <w:vanish/>
              </w:rPr>
            </w:pPr>
          </w:p>
        </w:tc>
      </w:tr>
      <w:tr w:rsidR="006A3667" w14:paraId="71D4564A" w14:textId="77777777">
        <w:tc>
          <w:tcPr>
            <w:tcW w:w="0" w:type="auto"/>
            <w:gridSpan w:val="3"/>
            <w:shd w:val="clear" w:color="auto" w:fill="CCEEFF"/>
            <w:tcMar>
              <w:top w:w="40" w:type="dxa"/>
              <w:left w:w="20" w:type="dxa"/>
              <w:bottom w:w="40" w:type="dxa"/>
              <w:right w:w="20" w:type="dxa"/>
            </w:tcMar>
            <w:vAlign w:val="bottom"/>
          </w:tcPr>
          <w:p w14:paraId="71D45638" w14:textId="77777777" w:rsidR="006A3667" w:rsidRDefault="00045F32">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71D45639" w14:textId="77777777" w:rsidR="006A3667" w:rsidRDefault="00045F32">
            <w:pPr>
              <w:jc w:val="right"/>
              <w:textAlignment w:val="bottom"/>
            </w:pPr>
            <w:r>
              <w:rPr>
                <w:rFonts w:ascii="Arial" w:eastAsia="宋体" w:hAnsi="Arial" w:cs="Arial"/>
                <w:b/>
                <w:bCs/>
                <w:color w:val="000000"/>
                <w:sz w:val="14"/>
                <w:szCs w:val="14"/>
              </w:rPr>
              <w:t>559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6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63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63C" w14:textId="77777777" w:rsidR="006A3667" w:rsidRDefault="00045F32">
            <w:pPr>
              <w:jc w:val="right"/>
              <w:textAlignment w:val="bottom"/>
            </w:pPr>
            <w:r>
              <w:rPr>
                <w:rFonts w:ascii="Arial" w:eastAsia="宋体" w:hAnsi="Arial" w:cs="Arial"/>
                <w:b/>
                <w:bCs/>
                <w:color w:val="000000"/>
                <w:sz w:val="14"/>
                <w:szCs w:val="14"/>
              </w:rPr>
              <w:t>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6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6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63F" w14:textId="77777777" w:rsidR="006A3667" w:rsidRDefault="00045F32">
            <w:pPr>
              <w:jc w:val="right"/>
              <w:textAlignment w:val="bottom"/>
            </w:pPr>
            <w:r>
              <w:rPr>
                <w:rFonts w:ascii="Arial" w:eastAsia="宋体" w:hAnsi="Arial" w:cs="Arial"/>
                <w:b/>
                <w:bCs/>
                <w:color w:val="000000"/>
                <w:sz w:val="14"/>
                <w:szCs w:val="14"/>
              </w:rPr>
              <w:t>431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6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64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642" w14:textId="77777777" w:rsidR="006A3667" w:rsidRDefault="00045F32">
            <w:pPr>
              <w:jc w:val="right"/>
              <w:textAlignment w:val="bottom"/>
            </w:pPr>
            <w:r>
              <w:rPr>
                <w:rFonts w:ascii="Arial" w:eastAsia="宋体" w:hAnsi="Arial" w:cs="Arial"/>
                <w:b/>
                <w:bCs/>
                <w:color w:val="000000"/>
                <w:sz w:val="14"/>
                <w:szCs w:val="14"/>
              </w:rPr>
              <w:t>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6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64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645" w14:textId="77777777" w:rsidR="006A3667" w:rsidRDefault="00045F32">
            <w:pPr>
              <w:jc w:val="right"/>
              <w:textAlignment w:val="bottom"/>
            </w:pPr>
            <w:r>
              <w:rPr>
                <w:rFonts w:ascii="Arial" w:eastAsia="宋体" w:hAnsi="Arial" w:cs="Arial"/>
                <w:b/>
                <w:bCs/>
                <w:color w:val="000000"/>
                <w:sz w:val="14"/>
                <w:szCs w:val="14"/>
              </w:rPr>
              <w:t>990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64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64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648" w14:textId="77777777" w:rsidR="006A3667" w:rsidRDefault="00045F32">
            <w:pPr>
              <w:jc w:val="right"/>
              <w:textAlignment w:val="bottom"/>
            </w:pPr>
            <w:r>
              <w:rPr>
                <w:rFonts w:ascii="Arial" w:eastAsia="宋体" w:hAnsi="Arial" w:cs="Arial"/>
                <w:b/>
                <w:bCs/>
                <w:color w:val="000000"/>
                <w:sz w:val="14"/>
                <w:szCs w:val="14"/>
              </w:rPr>
              <w:t>83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649" w14:textId="77777777" w:rsidR="006A3667" w:rsidRDefault="006A3667">
            <w:pPr>
              <w:jc w:val="right"/>
              <w:rPr>
                <w:rFonts w:ascii="宋体"/>
              </w:rPr>
            </w:pPr>
          </w:p>
        </w:tc>
      </w:tr>
      <w:tr w:rsidR="006A3667" w14:paraId="71D45657" w14:textId="77777777">
        <w:trPr>
          <w:hidden/>
        </w:trPr>
        <w:tc>
          <w:tcPr>
            <w:tcW w:w="0" w:type="auto"/>
            <w:gridSpan w:val="3"/>
            <w:shd w:val="clear" w:color="auto" w:fill="auto"/>
            <w:vAlign w:val="bottom"/>
          </w:tcPr>
          <w:p w14:paraId="71D4564B" w14:textId="77777777" w:rsidR="006A3667" w:rsidRDefault="006A3667">
            <w:pPr>
              <w:rPr>
                <w:rFonts w:ascii="宋体"/>
                <w:vanish/>
              </w:rPr>
            </w:pPr>
          </w:p>
        </w:tc>
        <w:tc>
          <w:tcPr>
            <w:tcW w:w="0" w:type="auto"/>
            <w:gridSpan w:val="3"/>
            <w:shd w:val="clear" w:color="auto" w:fill="auto"/>
            <w:vAlign w:val="bottom"/>
          </w:tcPr>
          <w:p w14:paraId="71D4564C" w14:textId="77777777" w:rsidR="006A3667" w:rsidRDefault="006A3667">
            <w:pPr>
              <w:rPr>
                <w:rFonts w:ascii="宋体"/>
                <w:vanish/>
              </w:rPr>
            </w:pPr>
          </w:p>
        </w:tc>
        <w:tc>
          <w:tcPr>
            <w:tcW w:w="0" w:type="auto"/>
            <w:gridSpan w:val="3"/>
            <w:shd w:val="clear" w:color="auto" w:fill="auto"/>
            <w:vAlign w:val="bottom"/>
          </w:tcPr>
          <w:p w14:paraId="71D4564D" w14:textId="77777777" w:rsidR="006A3667" w:rsidRDefault="006A3667">
            <w:pPr>
              <w:rPr>
                <w:rFonts w:ascii="宋体"/>
                <w:vanish/>
              </w:rPr>
            </w:pPr>
          </w:p>
        </w:tc>
        <w:tc>
          <w:tcPr>
            <w:tcW w:w="0" w:type="auto"/>
            <w:gridSpan w:val="3"/>
            <w:shd w:val="clear" w:color="auto" w:fill="auto"/>
            <w:vAlign w:val="bottom"/>
          </w:tcPr>
          <w:p w14:paraId="71D4564E" w14:textId="77777777" w:rsidR="006A3667" w:rsidRDefault="006A3667">
            <w:pPr>
              <w:rPr>
                <w:rFonts w:ascii="宋体"/>
                <w:vanish/>
              </w:rPr>
            </w:pPr>
          </w:p>
        </w:tc>
        <w:tc>
          <w:tcPr>
            <w:tcW w:w="0" w:type="auto"/>
            <w:gridSpan w:val="3"/>
            <w:shd w:val="clear" w:color="auto" w:fill="auto"/>
            <w:vAlign w:val="bottom"/>
          </w:tcPr>
          <w:p w14:paraId="71D4564F" w14:textId="77777777" w:rsidR="006A3667" w:rsidRDefault="006A3667">
            <w:pPr>
              <w:rPr>
                <w:rFonts w:ascii="宋体"/>
                <w:vanish/>
              </w:rPr>
            </w:pPr>
          </w:p>
        </w:tc>
        <w:tc>
          <w:tcPr>
            <w:tcW w:w="0" w:type="auto"/>
            <w:gridSpan w:val="3"/>
            <w:shd w:val="clear" w:color="auto" w:fill="auto"/>
            <w:vAlign w:val="bottom"/>
          </w:tcPr>
          <w:p w14:paraId="71D45650" w14:textId="77777777" w:rsidR="006A3667" w:rsidRDefault="006A3667">
            <w:pPr>
              <w:rPr>
                <w:rFonts w:ascii="宋体"/>
                <w:vanish/>
              </w:rPr>
            </w:pPr>
          </w:p>
        </w:tc>
        <w:tc>
          <w:tcPr>
            <w:tcW w:w="0" w:type="auto"/>
            <w:gridSpan w:val="3"/>
            <w:shd w:val="clear" w:color="auto" w:fill="auto"/>
            <w:vAlign w:val="bottom"/>
          </w:tcPr>
          <w:p w14:paraId="71D45651" w14:textId="77777777" w:rsidR="006A3667" w:rsidRDefault="006A3667">
            <w:pPr>
              <w:rPr>
                <w:rFonts w:ascii="宋体"/>
                <w:vanish/>
              </w:rPr>
            </w:pPr>
          </w:p>
        </w:tc>
        <w:tc>
          <w:tcPr>
            <w:tcW w:w="0" w:type="auto"/>
            <w:gridSpan w:val="3"/>
            <w:shd w:val="clear" w:color="auto" w:fill="auto"/>
            <w:vAlign w:val="bottom"/>
          </w:tcPr>
          <w:p w14:paraId="71D45652" w14:textId="77777777" w:rsidR="006A3667" w:rsidRDefault="006A3667">
            <w:pPr>
              <w:rPr>
                <w:rFonts w:ascii="宋体"/>
                <w:vanish/>
              </w:rPr>
            </w:pPr>
          </w:p>
        </w:tc>
        <w:tc>
          <w:tcPr>
            <w:tcW w:w="0" w:type="auto"/>
            <w:gridSpan w:val="3"/>
            <w:shd w:val="clear" w:color="auto" w:fill="auto"/>
            <w:vAlign w:val="bottom"/>
          </w:tcPr>
          <w:p w14:paraId="71D45653" w14:textId="77777777" w:rsidR="006A3667" w:rsidRDefault="006A3667">
            <w:pPr>
              <w:rPr>
                <w:rFonts w:ascii="宋体"/>
                <w:vanish/>
              </w:rPr>
            </w:pPr>
          </w:p>
        </w:tc>
        <w:tc>
          <w:tcPr>
            <w:tcW w:w="0" w:type="auto"/>
            <w:gridSpan w:val="3"/>
            <w:shd w:val="clear" w:color="auto" w:fill="auto"/>
            <w:vAlign w:val="bottom"/>
          </w:tcPr>
          <w:p w14:paraId="71D45654" w14:textId="77777777" w:rsidR="006A3667" w:rsidRDefault="006A3667">
            <w:pPr>
              <w:rPr>
                <w:rFonts w:ascii="宋体"/>
                <w:vanish/>
              </w:rPr>
            </w:pPr>
          </w:p>
        </w:tc>
        <w:tc>
          <w:tcPr>
            <w:tcW w:w="0" w:type="auto"/>
            <w:gridSpan w:val="3"/>
            <w:shd w:val="clear" w:color="auto" w:fill="auto"/>
            <w:vAlign w:val="bottom"/>
          </w:tcPr>
          <w:p w14:paraId="71D45655" w14:textId="77777777" w:rsidR="006A3667" w:rsidRDefault="006A3667">
            <w:pPr>
              <w:rPr>
                <w:rFonts w:ascii="宋体"/>
                <w:vanish/>
              </w:rPr>
            </w:pPr>
          </w:p>
        </w:tc>
        <w:tc>
          <w:tcPr>
            <w:tcW w:w="0" w:type="auto"/>
            <w:gridSpan w:val="3"/>
            <w:shd w:val="clear" w:color="auto" w:fill="auto"/>
            <w:vAlign w:val="bottom"/>
          </w:tcPr>
          <w:p w14:paraId="71D45656" w14:textId="77777777" w:rsidR="006A3667" w:rsidRDefault="006A3667">
            <w:pPr>
              <w:rPr>
                <w:rFonts w:ascii="宋体"/>
                <w:vanish/>
              </w:rPr>
            </w:pPr>
          </w:p>
        </w:tc>
      </w:tr>
      <w:tr w:rsidR="006A3667" w14:paraId="71D45664" w14:textId="77777777">
        <w:trPr>
          <w:hidden/>
        </w:trPr>
        <w:tc>
          <w:tcPr>
            <w:tcW w:w="0" w:type="auto"/>
            <w:gridSpan w:val="3"/>
            <w:shd w:val="clear" w:color="auto" w:fill="auto"/>
            <w:vAlign w:val="bottom"/>
          </w:tcPr>
          <w:p w14:paraId="71D45658" w14:textId="77777777" w:rsidR="006A3667" w:rsidRDefault="006A3667">
            <w:pPr>
              <w:rPr>
                <w:rFonts w:ascii="宋体"/>
                <w:vanish/>
              </w:rPr>
            </w:pPr>
          </w:p>
        </w:tc>
        <w:tc>
          <w:tcPr>
            <w:tcW w:w="0" w:type="auto"/>
            <w:gridSpan w:val="3"/>
            <w:shd w:val="clear" w:color="auto" w:fill="auto"/>
            <w:vAlign w:val="bottom"/>
          </w:tcPr>
          <w:p w14:paraId="71D45659" w14:textId="77777777" w:rsidR="006A3667" w:rsidRDefault="006A3667">
            <w:pPr>
              <w:rPr>
                <w:rFonts w:ascii="宋体"/>
                <w:vanish/>
              </w:rPr>
            </w:pPr>
          </w:p>
        </w:tc>
        <w:tc>
          <w:tcPr>
            <w:tcW w:w="0" w:type="auto"/>
            <w:gridSpan w:val="3"/>
            <w:shd w:val="clear" w:color="auto" w:fill="auto"/>
            <w:vAlign w:val="bottom"/>
          </w:tcPr>
          <w:p w14:paraId="71D4565A" w14:textId="77777777" w:rsidR="006A3667" w:rsidRDefault="006A3667">
            <w:pPr>
              <w:rPr>
                <w:rFonts w:ascii="宋体"/>
                <w:vanish/>
              </w:rPr>
            </w:pPr>
          </w:p>
        </w:tc>
        <w:tc>
          <w:tcPr>
            <w:tcW w:w="0" w:type="auto"/>
            <w:gridSpan w:val="3"/>
            <w:shd w:val="clear" w:color="auto" w:fill="auto"/>
            <w:vAlign w:val="bottom"/>
          </w:tcPr>
          <w:p w14:paraId="71D4565B" w14:textId="77777777" w:rsidR="006A3667" w:rsidRDefault="006A3667">
            <w:pPr>
              <w:rPr>
                <w:rFonts w:ascii="宋体"/>
                <w:vanish/>
              </w:rPr>
            </w:pPr>
          </w:p>
        </w:tc>
        <w:tc>
          <w:tcPr>
            <w:tcW w:w="0" w:type="auto"/>
            <w:gridSpan w:val="3"/>
            <w:shd w:val="clear" w:color="auto" w:fill="auto"/>
            <w:vAlign w:val="bottom"/>
          </w:tcPr>
          <w:p w14:paraId="71D4565C" w14:textId="77777777" w:rsidR="006A3667" w:rsidRDefault="006A3667">
            <w:pPr>
              <w:rPr>
                <w:rFonts w:ascii="宋体"/>
                <w:vanish/>
              </w:rPr>
            </w:pPr>
          </w:p>
        </w:tc>
        <w:tc>
          <w:tcPr>
            <w:tcW w:w="0" w:type="auto"/>
            <w:gridSpan w:val="3"/>
            <w:shd w:val="clear" w:color="auto" w:fill="auto"/>
            <w:vAlign w:val="bottom"/>
          </w:tcPr>
          <w:p w14:paraId="71D4565D" w14:textId="77777777" w:rsidR="006A3667" w:rsidRDefault="006A3667">
            <w:pPr>
              <w:rPr>
                <w:rFonts w:ascii="宋体"/>
                <w:vanish/>
              </w:rPr>
            </w:pPr>
          </w:p>
        </w:tc>
        <w:tc>
          <w:tcPr>
            <w:tcW w:w="0" w:type="auto"/>
            <w:gridSpan w:val="3"/>
            <w:shd w:val="clear" w:color="auto" w:fill="auto"/>
            <w:vAlign w:val="bottom"/>
          </w:tcPr>
          <w:p w14:paraId="71D4565E" w14:textId="77777777" w:rsidR="006A3667" w:rsidRDefault="006A3667">
            <w:pPr>
              <w:rPr>
                <w:rFonts w:ascii="宋体"/>
                <w:vanish/>
              </w:rPr>
            </w:pPr>
          </w:p>
        </w:tc>
        <w:tc>
          <w:tcPr>
            <w:tcW w:w="0" w:type="auto"/>
            <w:gridSpan w:val="3"/>
            <w:shd w:val="clear" w:color="auto" w:fill="auto"/>
            <w:vAlign w:val="bottom"/>
          </w:tcPr>
          <w:p w14:paraId="71D4565F" w14:textId="77777777" w:rsidR="006A3667" w:rsidRDefault="006A3667">
            <w:pPr>
              <w:rPr>
                <w:rFonts w:ascii="宋体"/>
                <w:vanish/>
              </w:rPr>
            </w:pPr>
          </w:p>
        </w:tc>
        <w:tc>
          <w:tcPr>
            <w:tcW w:w="0" w:type="auto"/>
            <w:gridSpan w:val="3"/>
            <w:shd w:val="clear" w:color="auto" w:fill="auto"/>
            <w:vAlign w:val="bottom"/>
          </w:tcPr>
          <w:p w14:paraId="71D45660" w14:textId="77777777" w:rsidR="006A3667" w:rsidRDefault="006A3667">
            <w:pPr>
              <w:rPr>
                <w:rFonts w:ascii="宋体"/>
                <w:vanish/>
              </w:rPr>
            </w:pPr>
          </w:p>
        </w:tc>
        <w:tc>
          <w:tcPr>
            <w:tcW w:w="0" w:type="auto"/>
            <w:gridSpan w:val="3"/>
            <w:shd w:val="clear" w:color="auto" w:fill="auto"/>
            <w:vAlign w:val="bottom"/>
          </w:tcPr>
          <w:p w14:paraId="71D45661" w14:textId="77777777" w:rsidR="006A3667" w:rsidRDefault="006A3667">
            <w:pPr>
              <w:rPr>
                <w:rFonts w:ascii="宋体"/>
                <w:vanish/>
              </w:rPr>
            </w:pPr>
          </w:p>
        </w:tc>
        <w:tc>
          <w:tcPr>
            <w:tcW w:w="0" w:type="auto"/>
            <w:gridSpan w:val="3"/>
            <w:shd w:val="clear" w:color="auto" w:fill="auto"/>
            <w:vAlign w:val="bottom"/>
          </w:tcPr>
          <w:p w14:paraId="71D45662" w14:textId="77777777" w:rsidR="006A3667" w:rsidRDefault="006A3667">
            <w:pPr>
              <w:rPr>
                <w:rFonts w:ascii="宋体"/>
                <w:vanish/>
              </w:rPr>
            </w:pPr>
          </w:p>
        </w:tc>
        <w:tc>
          <w:tcPr>
            <w:tcW w:w="0" w:type="auto"/>
            <w:gridSpan w:val="3"/>
            <w:shd w:val="clear" w:color="auto" w:fill="auto"/>
            <w:vAlign w:val="bottom"/>
          </w:tcPr>
          <w:p w14:paraId="71D45663" w14:textId="77777777" w:rsidR="006A3667" w:rsidRDefault="006A3667">
            <w:pPr>
              <w:rPr>
                <w:rFonts w:ascii="宋体"/>
                <w:vanish/>
              </w:rPr>
            </w:pPr>
          </w:p>
        </w:tc>
      </w:tr>
      <w:tr w:rsidR="006A3667" w14:paraId="71D4567D" w14:textId="77777777">
        <w:tc>
          <w:tcPr>
            <w:tcW w:w="0" w:type="auto"/>
            <w:gridSpan w:val="3"/>
            <w:shd w:val="clear" w:color="auto" w:fill="FFFFFF"/>
            <w:tcMar>
              <w:top w:w="40" w:type="dxa"/>
              <w:left w:w="20" w:type="dxa"/>
              <w:bottom w:w="40" w:type="dxa"/>
              <w:right w:w="20" w:type="dxa"/>
            </w:tcMar>
            <w:vAlign w:val="bottom"/>
          </w:tcPr>
          <w:p w14:paraId="71D45665"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5666"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5667" w14:textId="77777777" w:rsidR="006A3667" w:rsidRDefault="00045F32">
            <w:pPr>
              <w:jc w:val="right"/>
              <w:textAlignment w:val="bottom"/>
            </w:pPr>
            <w:r>
              <w:rPr>
                <w:rFonts w:ascii="Arial" w:eastAsia="宋体" w:hAnsi="Arial" w:cs="Arial"/>
                <w:b/>
                <w:bCs/>
                <w:color w:val="000000"/>
                <w:sz w:val="14"/>
                <w:szCs w:val="14"/>
              </w:rPr>
              <w:t>27,972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566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69"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566A"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566B" w14:textId="77777777" w:rsidR="006A3667" w:rsidRDefault="00045F32">
            <w:pPr>
              <w:jc w:val="right"/>
              <w:textAlignment w:val="bottom"/>
            </w:pPr>
            <w:r>
              <w:rPr>
                <w:rFonts w:ascii="Arial" w:eastAsia="宋体" w:hAnsi="Arial" w:cs="Arial"/>
                <w:b/>
                <w:bCs/>
                <w:color w:val="000000"/>
                <w:sz w:val="14"/>
                <w:szCs w:val="14"/>
              </w:rPr>
              <w:t>686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566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6D"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566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566F" w14:textId="77777777" w:rsidR="006A3667" w:rsidRDefault="00045F32">
            <w:pPr>
              <w:jc w:val="right"/>
              <w:textAlignment w:val="bottom"/>
            </w:pPr>
            <w:r>
              <w:rPr>
                <w:rFonts w:ascii="Arial" w:eastAsia="宋体" w:hAnsi="Arial" w:cs="Arial"/>
                <w:b/>
                <w:bCs/>
                <w:color w:val="000000"/>
                <w:sz w:val="14"/>
                <w:szCs w:val="14"/>
              </w:rPr>
              <w:t>11,167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567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71"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5672"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5673" w14:textId="77777777" w:rsidR="006A3667" w:rsidRDefault="00045F32">
            <w:pPr>
              <w:jc w:val="right"/>
              <w:textAlignment w:val="bottom"/>
            </w:pPr>
            <w:r>
              <w:rPr>
                <w:rFonts w:ascii="Arial" w:eastAsia="宋体" w:hAnsi="Arial" w:cs="Arial"/>
                <w:b/>
                <w:bCs/>
                <w:color w:val="000000"/>
                <w:sz w:val="14"/>
                <w:szCs w:val="14"/>
              </w:rPr>
              <w:t>706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56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75"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5676"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5677" w14:textId="77777777" w:rsidR="006A3667" w:rsidRDefault="00045F32">
            <w:pPr>
              <w:jc w:val="right"/>
              <w:textAlignment w:val="bottom"/>
            </w:pPr>
            <w:r>
              <w:rPr>
                <w:rFonts w:ascii="Arial" w:eastAsia="宋体" w:hAnsi="Arial" w:cs="Arial"/>
                <w:b/>
                <w:bCs/>
                <w:color w:val="000000"/>
                <w:sz w:val="14"/>
                <w:szCs w:val="14"/>
              </w:rPr>
              <w:t>39,139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567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679"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567A"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567B" w14:textId="77777777" w:rsidR="006A3667" w:rsidRDefault="00045F32">
            <w:pPr>
              <w:jc w:val="right"/>
              <w:textAlignment w:val="bottom"/>
            </w:pPr>
            <w:r>
              <w:rPr>
                <w:rFonts w:ascii="Arial" w:eastAsia="宋体" w:hAnsi="Arial" w:cs="Arial"/>
                <w:b/>
                <w:bCs/>
                <w:color w:val="000000"/>
                <w:sz w:val="14"/>
                <w:szCs w:val="14"/>
              </w:rPr>
              <w:t>1,392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567C" w14:textId="77777777" w:rsidR="006A3667" w:rsidRDefault="006A3667">
            <w:pPr>
              <w:jc w:val="right"/>
              <w:rPr>
                <w:rFonts w:ascii="宋体"/>
              </w:rPr>
            </w:pPr>
          </w:p>
        </w:tc>
      </w:tr>
      <w:tr w:rsidR="006A3667" w14:paraId="71D4568A" w14:textId="77777777">
        <w:trPr>
          <w:hidden/>
        </w:trPr>
        <w:tc>
          <w:tcPr>
            <w:tcW w:w="0" w:type="auto"/>
            <w:gridSpan w:val="3"/>
            <w:shd w:val="clear" w:color="auto" w:fill="auto"/>
            <w:vAlign w:val="bottom"/>
          </w:tcPr>
          <w:p w14:paraId="71D4567E" w14:textId="77777777" w:rsidR="006A3667" w:rsidRDefault="006A3667">
            <w:pPr>
              <w:rPr>
                <w:rFonts w:ascii="宋体"/>
                <w:vanish/>
              </w:rPr>
            </w:pPr>
          </w:p>
        </w:tc>
        <w:tc>
          <w:tcPr>
            <w:tcW w:w="0" w:type="auto"/>
            <w:gridSpan w:val="3"/>
            <w:shd w:val="clear" w:color="auto" w:fill="auto"/>
            <w:vAlign w:val="bottom"/>
          </w:tcPr>
          <w:p w14:paraId="71D4567F" w14:textId="77777777" w:rsidR="006A3667" w:rsidRDefault="006A3667">
            <w:pPr>
              <w:rPr>
                <w:rFonts w:ascii="宋体"/>
                <w:vanish/>
              </w:rPr>
            </w:pPr>
          </w:p>
        </w:tc>
        <w:tc>
          <w:tcPr>
            <w:tcW w:w="0" w:type="auto"/>
            <w:gridSpan w:val="3"/>
            <w:shd w:val="clear" w:color="auto" w:fill="auto"/>
            <w:vAlign w:val="bottom"/>
          </w:tcPr>
          <w:p w14:paraId="71D45680" w14:textId="77777777" w:rsidR="006A3667" w:rsidRDefault="006A3667">
            <w:pPr>
              <w:rPr>
                <w:rFonts w:ascii="宋体"/>
                <w:vanish/>
              </w:rPr>
            </w:pPr>
          </w:p>
        </w:tc>
        <w:tc>
          <w:tcPr>
            <w:tcW w:w="0" w:type="auto"/>
            <w:gridSpan w:val="3"/>
            <w:shd w:val="clear" w:color="auto" w:fill="auto"/>
            <w:vAlign w:val="bottom"/>
          </w:tcPr>
          <w:p w14:paraId="71D45681" w14:textId="77777777" w:rsidR="006A3667" w:rsidRDefault="006A3667">
            <w:pPr>
              <w:rPr>
                <w:rFonts w:ascii="宋体"/>
                <w:vanish/>
              </w:rPr>
            </w:pPr>
          </w:p>
        </w:tc>
        <w:tc>
          <w:tcPr>
            <w:tcW w:w="0" w:type="auto"/>
            <w:gridSpan w:val="3"/>
            <w:shd w:val="clear" w:color="auto" w:fill="auto"/>
            <w:vAlign w:val="bottom"/>
          </w:tcPr>
          <w:p w14:paraId="71D45682" w14:textId="77777777" w:rsidR="006A3667" w:rsidRDefault="006A3667">
            <w:pPr>
              <w:rPr>
                <w:rFonts w:ascii="宋体"/>
                <w:vanish/>
              </w:rPr>
            </w:pPr>
          </w:p>
        </w:tc>
        <w:tc>
          <w:tcPr>
            <w:tcW w:w="0" w:type="auto"/>
            <w:gridSpan w:val="3"/>
            <w:shd w:val="clear" w:color="auto" w:fill="auto"/>
            <w:vAlign w:val="bottom"/>
          </w:tcPr>
          <w:p w14:paraId="71D45683" w14:textId="77777777" w:rsidR="006A3667" w:rsidRDefault="006A3667">
            <w:pPr>
              <w:rPr>
                <w:rFonts w:ascii="宋体"/>
                <w:vanish/>
              </w:rPr>
            </w:pPr>
          </w:p>
        </w:tc>
        <w:tc>
          <w:tcPr>
            <w:tcW w:w="0" w:type="auto"/>
            <w:gridSpan w:val="3"/>
            <w:shd w:val="clear" w:color="auto" w:fill="auto"/>
            <w:vAlign w:val="bottom"/>
          </w:tcPr>
          <w:p w14:paraId="71D45684" w14:textId="77777777" w:rsidR="006A3667" w:rsidRDefault="006A3667">
            <w:pPr>
              <w:rPr>
                <w:rFonts w:ascii="宋体"/>
                <w:vanish/>
              </w:rPr>
            </w:pPr>
          </w:p>
        </w:tc>
        <w:tc>
          <w:tcPr>
            <w:tcW w:w="0" w:type="auto"/>
            <w:gridSpan w:val="3"/>
            <w:shd w:val="clear" w:color="auto" w:fill="auto"/>
            <w:vAlign w:val="bottom"/>
          </w:tcPr>
          <w:p w14:paraId="71D45685" w14:textId="77777777" w:rsidR="006A3667" w:rsidRDefault="006A3667">
            <w:pPr>
              <w:rPr>
                <w:rFonts w:ascii="宋体"/>
                <w:vanish/>
              </w:rPr>
            </w:pPr>
          </w:p>
        </w:tc>
        <w:tc>
          <w:tcPr>
            <w:tcW w:w="0" w:type="auto"/>
            <w:gridSpan w:val="3"/>
            <w:shd w:val="clear" w:color="auto" w:fill="auto"/>
            <w:vAlign w:val="bottom"/>
          </w:tcPr>
          <w:p w14:paraId="71D45686" w14:textId="77777777" w:rsidR="006A3667" w:rsidRDefault="006A3667">
            <w:pPr>
              <w:rPr>
                <w:rFonts w:ascii="宋体"/>
                <w:vanish/>
              </w:rPr>
            </w:pPr>
          </w:p>
        </w:tc>
        <w:tc>
          <w:tcPr>
            <w:tcW w:w="0" w:type="auto"/>
            <w:gridSpan w:val="3"/>
            <w:shd w:val="clear" w:color="auto" w:fill="auto"/>
            <w:vAlign w:val="bottom"/>
          </w:tcPr>
          <w:p w14:paraId="71D45687" w14:textId="77777777" w:rsidR="006A3667" w:rsidRDefault="006A3667">
            <w:pPr>
              <w:rPr>
                <w:rFonts w:ascii="宋体"/>
                <w:vanish/>
              </w:rPr>
            </w:pPr>
          </w:p>
        </w:tc>
        <w:tc>
          <w:tcPr>
            <w:tcW w:w="0" w:type="auto"/>
            <w:gridSpan w:val="3"/>
            <w:shd w:val="clear" w:color="auto" w:fill="auto"/>
            <w:vAlign w:val="bottom"/>
          </w:tcPr>
          <w:p w14:paraId="71D45688" w14:textId="77777777" w:rsidR="006A3667" w:rsidRDefault="006A3667">
            <w:pPr>
              <w:rPr>
                <w:rFonts w:ascii="宋体"/>
                <w:vanish/>
              </w:rPr>
            </w:pPr>
          </w:p>
        </w:tc>
        <w:tc>
          <w:tcPr>
            <w:tcW w:w="0" w:type="auto"/>
            <w:gridSpan w:val="3"/>
            <w:shd w:val="clear" w:color="auto" w:fill="auto"/>
            <w:vAlign w:val="bottom"/>
          </w:tcPr>
          <w:p w14:paraId="71D45689" w14:textId="77777777" w:rsidR="006A3667" w:rsidRDefault="006A3667">
            <w:pPr>
              <w:rPr>
                <w:rFonts w:ascii="宋体"/>
                <w:vanish/>
              </w:rPr>
            </w:pPr>
          </w:p>
        </w:tc>
      </w:tr>
      <w:tr w:rsidR="006A3667" w14:paraId="71D45697" w14:textId="77777777">
        <w:trPr>
          <w:hidden/>
        </w:trPr>
        <w:tc>
          <w:tcPr>
            <w:tcW w:w="0" w:type="auto"/>
            <w:gridSpan w:val="3"/>
            <w:shd w:val="clear" w:color="auto" w:fill="auto"/>
            <w:vAlign w:val="bottom"/>
          </w:tcPr>
          <w:p w14:paraId="71D4568B" w14:textId="77777777" w:rsidR="006A3667" w:rsidRDefault="006A3667">
            <w:pPr>
              <w:rPr>
                <w:rFonts w:ascii="宋体"/>
                <w:vanish/>
              </w:rPr>
            </w:pPr>
          </w:p>
        </w:tc>
        <w:tc>
          <w:tcPr>
            <w:tcW w:w="0" w:type="auto"/>
            <w:gridSpan w:val="3"/>
            <w:shd w:val="clear" w:color="auto" w:fill="auto"/>
            <w:vAlign w:val="bottom"/>
          </w:tcPr>
          <w:p w14:paraId="71D4568C" w14:textId="77777777" w:rsidR="006A3667" w:rsidRDefault="006A3667">
            <w:pPr>
              <w:rPr>
                <w:rFonts w:ascii="宋体"/>
                <w:vanish/>
              </w:rPr>
            </w:pPr>
          </w:p>
        </w:tc>
        <w:tc>
          <w:tcPr>
            <w:tcW w:w="0" w:type="auto"/>
            <w:gridSpan w:val="3"/>
            <w:shd w:val="clear" w:color="auto" w:fill="auto"/>
            <w:vAlign w:val="bottom"/>
          </w:tcPr>
          <w:p w14:paraId="71D4568D" w14:textId="77777777" w:rsidR="006A3667" w:rsidRDefault="006A3667">
            <w:pPr>
              <w:rPr>
                <w:rFonts w:ascii="宋体"/>
                <w:vanish/>
              </w:rPr>
            </w:pPr>
          </w:p>
        </w:tc>
        <w:tc>
          <w:tcPr>
            <w:tcW w:w="0" w:type="auto"/>
            <w:gridSpan w:val="3"/>
            <w:shd w:val="clear" w:color="auto" w:fill="auto"/>
            <w:vAlign w:val="bottom"/>
          </w:tcPr>
          <w:p w14:paraId="71D4568E" w14:textId="77777777" w:rsidR="006A3667" w:rsidRDefault="006A3667">
            <w:pPr>
              <w:rPr>
                <w:rFonts w:ascii="宋体"/>
                <w:vanish/>
              </w:rPr>
            </w:pPr>
          </w:p>
        </w:tc>
        <w:tc>
          <w:tcPr>
            <w:tcW w:w="0" w:type="auto"/>
            <w:gridSpan w:val="3"/>
            <w:shd w:val="clear" w:color="auto" w:fill="auto"/>
            <w:vAlign w:val="bottom"/>
          </w:tcPr>
          <w:p w14:paraId="71D4568F" w14:textId="77777777" w:rsidR="006A3667" w:rsidRDefault="006A3667">
            <w:pPr>
              <w:rPr>
                <w:rFonts w:ascii="宋体"/>
                <w:vanish/>
              </w:rPr>
            </w:pPr>
          </w:p>
        </w:tc>
        <w:tc>
          <w:tcPr>
            <w:tcW w:w="0" w:type="auto"/>
            <w:gridSpan w:val="3"/>
            <w:shd w:val="clear" w:color="auto" w:fill="auto"/>
            <w:vAlign w:val="bottom"/>
          </w:tcPr>
          <w:p w14:paraId="71D45690" w14:textId="77777777" w:rsidR="006A3667" w:rsidRDefault="006A3667">
            <w:pPr>
              <w:rPr>
                <w:rFonts w:ascii="宋体"/>
                <w:vanish/>
              </w:rPr>
            </w:pPr>
          </w:p>
        </w:tc>
        <w:tc>
          <w:tcPr>
            <w:tcW w:w="0" w:type="auto"/>
            <w:gridSpan w:val="3"/>
            <w:shd w:val="clear" w:color="auto" w:fill="auto"/>
            <w:vAlign w:val="bottom"/>
          </w:tcPr>
          <w:p w14:paraId="71D45691" w14:textId="77777777" w:rsidR="006A3667" w:rsidRDefault="006A3667">
            <w:pPr>
              <w:rPr>
                <w:rFonts w:ascii="宋体"/>
                <w:vanish/>
              </w:rPr>
            </w:pPr>
          </w:p>
        </w:tc>
        <w:tc>
          <w:tcPr>
            <w:tcW w:w="0" w:type="auto"/>
            <w:gridSpan w:val="3"/>
            <w:shd w:val="clear" w:color="auto" w:fill="auto"/>
            <w:vAlign w:val="bottom"/>
          </w:tcPr>
          <w:p w14:paraId="71D45692" w14:textId="77777777" w:rsidR="006A3667" w:rsidRDefault="006A3667">
            <w:pPr>
              <w:rPr>
                <w:rFonts w:ascii="宋体"/>
                <w:vanish/>
              </w:rPr>
            </w:pPr>
          </w:p>
        </w:tc>
        <w:tc>
          <w:tcPr>
            <w:tcW w:w="0" w:type="auto"/>
            <w:gridSpan w:val="3"/>
            <w:shd w:val="clear" w:color="auto" w:fill="auto"/>
            <w:vAlign w:val="bottom"/>
          </w:tcPr>
          <w:p w14:paraId="71D45693" w14:textId="77777777" w:rsidR="006A3667" w:rsidRDefault="006A3667">
            <w:pPr>
              <w:rPr>
                <w:rFonts w:ascii="宋体"/>
                <w:vanish/>
              </w:rPr>
            </w:pPr>
          </w:p>
        </w:tc>
        <w:tc>
          <w:tcPr>
            <w:tcW w:w="0" w:type="auto"/>
            <w:gridSpan w:val="3"/>
            <w:shd w:val="clear" w:color="auto" w:fill="auto"/>
            <w:vAlign w:val="bottom"/>
          </w:tcPr>
          <w:p w14:paraId="71D45694" w14:textId="77777777" w:rsidR="006A3667" w:rsidRDefault="006A3667">
            <w:pPr>
              <w:rPr>
                <w:rFonts w:ascii="宋体"/>
                <w:vanish/>
              </w:rPr>
            </w:pPr>
          </w:p>
        </w:tc>
        <w:tc>
          <w:tcPr>
            <w:tcW w:w="0" w:type="auto"/>
            <w:gridSpan w:val="3"/>
            <w:shd w:val="clear" w:color="auto" w:fill="auto"/>
            <w:vAlign w:val="bottom"/>
          </w:tcPr>
          <w:p w14:paraId="71D45695" w14:textId="77777777" w:rsidR="006A3667" w:rsidRDefault="006A3667">
            <w:pPr>
              <w:rPr>
                <w:rFonts w:ascii="宋体"/>
                <w:vanish/>
              </w:rPr>
            </w:pPr>
          </w:p>
        </w:tc>
        <w:tc>
          <w:tcPr>
            <w:tcW w:w="0" w:type="auto"/>
            <w:gridSpan w:val="3"/>
            <w:shd w:val="clear" w:color="auto" w:fill="auto"/>
            <w:vAlign w:val="bottom"/>
          </w:tcPr>
          <w:p w14:paraId="71D45696" w14:textId="77777777" w:rsidR="006A3667" w:rsidRDefault="006A3667">
            <w:pPr>
              <w:rPr>
                <w:rFonts w:ascii="宋体"/>
                <w:vanish/>
              </w:rPr>
            </w:pPr>
          </w:p>
        </w:tc>
      </w:tr>
      <w:tr w:rsidR="006A3667" w14:paraId="71D456A4" w14:textId="77777777">
        <w:trPr>
          <w:hidden/>
        </w:trPr>
        <w:tc>
          <w:tcPr>
            <w:tcW w:w="0" w:type="auto"/>
            <w:gridSpan w:val="3"/>
            <w:shd w:val="clear" w:color="auto" w:fill="auto"/>
            <w:vAlign w:val="bottom"/>
          </w:tcPr>
          <w:p w14:paraId="71D45698" w14:textId="77777777" w:rsidR="006A3667" w:rsidRDefault="006A3667">
            <w:pPr>
              <w:rPr>
                <w:rFonts w:ascii="宋体"/>
                <w:vanish/>
              </w:rPr>
            </w:pPr>
          </w:p>
        </w:tc>
        <w:tc>
          <w:tcPr>
            <w:tcW w:w="0" w:type="auto"/>
            <w:gridSpan w:val="3"/>
            <w:shd w:val="clear" w:color="auto" w:fill="auto"/>
            <w:vAlign w:val="bottom"/>
          </w:tcPr>
          <w:p w14:paraId="71D45699" w14:textId="77777777" w:rsidR="006A3667" w:rsidRDefault="006A3667">
            <w:pPr>
              <w:rPr>
                <w:rFonts w:ascii="宋体"/>
                <w:vanish/>
              </w:rPr>
            </w:pPr>
          </w:p>
        </w:tc>
        <w:tc>
          <w:tcPr>
            <w:tcW w:w="0" w:type="auto"/>
            <w:gridSpan w:val="3"/>
            <w:shd w:val="clear" w:color="auto" w:fill="auto"/>
            <w:vAlign w:val="bottom"/>
          </w:tcPr>
          <w:p w14:paraId="71D4569A" w14:textId="77777777" w:rsidR="006A3667" w:rsidRDefault="006A3667">
            <w:pPr>
              <w:rPr>
                <w:rFonts w:ascii="宋体"/>
                <w:vanish/>
              </w:rPr>
            </w:pPr>
          </w:p>
        </w:tc>
        <w:tc>
          <w:tcPr>
            <w:tcW w:w="0" w:type="auto"/>
            <w:gridSpan w:val="3"/>
            <w:shd w:val="clear" w:color="auto" w:fill="auto"/>
            <w:vAlign w:val="bottom"/>
          </w:tcPr>
          <w:p w14:paraId="71D4569B" w14:textId="77777777" w:rsidR="006A3667" w:rsidRDefault="006A3667">
            <w:pPr>
              <w:rPr>
                <w:rFonts w:ascii="宋体"/>
                <w:vanish/>
              </w:rPr>
            </w:pPr>
          </w:p>
        </w:tc>
        <w:tc>
          <w:tcPr>
            <w:tcW w:w="0" w:type="auto"/>
            <w:gridSpan w:val="3"/>
            <w:shd w:val="clear" w:color="auto" w:fill="auto"/>
            <w:vAlign w:val="bottom"/>
          </w:tcPr>
          <w:p w14:paraId="71D4569C" w14:textId="77777777" w:rsidR="006A3667" w:rsidRDefault="006A3667">
            <w:pPr>
              <w:rPr>
                <w:rFonts w:ascii="宋体"/>
                <w:vanish/>
              </w:rPr>
            </w:pPr>
          </w:p>
        </w:tc>
        <w:tc>
          <w:tcPr>
            <w:tcW w:w="0" w:type="auto"/>
            <w:gridSpan w:val="3"/>
            <w:shd w:val="clear" w:color="auto" w:fill="auto"/>
            <w:vAlign w:val="bottom"/>
          </w:tcPr>
          <w:p w14:paraId="71D4569D" w14:textId="77777777" w:rsidR="006A3667" w:rsidRDefault="006A3667">
            <w:pPr>
              <w:rPr>
                <w:rFonts w:ascii="宋体"/>
                <w:vanish/>
              </w:rPr>
            </w:pPr>
          </w:p>
        </w:tc>
        <w:tc>
          <w:tcPr>
            <w:tcW w:w="0" w:type="auto"/>
            <w:gridSpan w:val="3"/>
            <w:shd w:val="clear" w:color="auto" w:fill="auto"/>
            <w:vAlign w:val="bottom"/>
          </w:tcPr>
          <w:p w14:paraId="71D4569E" w14:textId="77777777" w:rsidR="006A3667" w:rsidRDefault="006A3667">
            <w:pPr>
              <w:rPr>
                <w:rFonts w:ascii="宋体"/>
                <w:vanish/>
              </w:rPr>
            </w:pPr>
          </w:p>
        </w:tc>
        <w:tc>
          <w:tcPr>
            <w:tcW w:w="0" w:type="auto"/>
            <w:gridSpan w:val="3"/>
            <w:shd w:val="clear" w:color="auto" w:fill="auto"/>
            <w:vAlign w:val="bottom"/>
          </w:tcPr>
          <w:p w14:paraId="71D4569F" w14:textId="77777777" w:rsidR="006A3667" w:rsidRDefault="006A3667">
            <w:pPr>
              <w:rPr>
                <w:rFonts w:ascii="宋体"/>
                <w:vanish/>
              </w:rPr>
            </w:pPr>
          </w:p>
        </w:tc>
        <w:tc>
          <w:tcPr>
            <w:tcW w:w="0" w:type="auto"/>
            <w:gridSpan w:val="3"/>
            <w:shd w:val="clear" w:color="auto" w:fill="auto"/>
            <w:vAlign w:val="bottom"/>
          </w:tcPr>
          <w:p w14:paraId="71D456A0" w14:textId="77777777" w:rsidR="006A3667" w:rsidRDefault="006A3667">
            <w:pPr>
              <w:rPr>
                <w:rFonts w:ascii="宋体"/>
                <w:vanish/>
              </w:rPr>
            </w:pPr>
          </w:p>
        </w:tc>
        <w:tc>
          <w:tcPr>
            <w:tcW w:w="0" w:type="auto"/>
            <w:gridSpan w:val="3"/>
            <w:shd w:val="clear" w:color="auto" w:fill="auto"/>
            <w:vAlign w:val="bottom"/>
          </w:tcPr>
          <w:p w14:paraId="71D456A1" w14:textId="77777777" w:rsidR="006A3667" w:rsidRDefault="006A3667">
            <w:pPr>
              <w:rPr>
                <w:rFonts w:ascii="宋体"/>
                <w:vanish/>
              </w:rPr>
            </w:pPr>
          </w:p>
        </w:tc>
        <w:tc>
          <w:tcPr>
            <w:tcW w:w="0" w:type="auto"/>
            <w:gridSpan w:val="3"/>
            <w:shd w:val="clear" w:color="auto" w:fill="auto"/>
            <w:vAlign w:val="bottom"/>
          </w:tcPr>
          <w:p w14:paraId="71D456A2" w14:textId="77777777" w:rsidR="006A3667" w:rsidRDefault="006A3667">
            <w:pPr>
              <w:rPr>
                <w:rFonts w:ascii="宋体"/>
                <w:vanish/>
              </w:rPr>
            </w:pPr>
          </w:p>
        </w:tc>
        <w:tc>
          <w:tcPr>
            <w:tcW w:w="0" w:type="auto"/>
            <w:gridSpan w:val="3"/>
            <w:shd w:val="clear" w:color="auto" w:fill="auto"/>
            <w:vAlign w:val="bottom"/>
          </w:tcPr>
          <w:p w14:paraId="71D456A3" w14:textId="77777777" w:rsidR="006A3667" w:rsidRDefault="006A3667">
            <w:pPr>
              <w:rPr>
                <w:rFonts w:ascii="宋体"/>
                <w:vanish/>
              </w:rPr>
            </w:pPr>
          </w:p>
        </w:tc>
      </w:tr>
      <w:tr w:rsidR="006A3667" w14:paraId="71D456B1" w14:textId="77777777">
        <w:trPr>
          <w:hidden/>
        </w:trPr>
        <w:tc>
          <w:tcPr>
            <w:tcW w:w="0" w:type="auto"/>
            <w:gridSpan w:val="3"/>
            <w:shd w:val="clear" w:color="auto" w:fill="auto"/>
            <w:vAlign w:val="bottom"/>
          </w:tcPr>
          <w:p w14:paraId="71D456A5" w14:textId="77777777" w:rsidR="006A3667" w:rsidRDefault="006A3667">
            <w:pPr>
              <w:rPr>
                <w:rFonts w:ascii="宋体"/>
                <w:vanish/>
              </w:rPr>
            </w:pPr>
          </w:p>
        </w:tc>
        <w:tc>
          <w:tcPr>
            <w:tcW w:w="0" w:type="auto"/>
            <w:gridSpan w:val="3"/>
            <w:shd w:val="clear" w:color="auto" w:fill="auto"/>
            <w:vAlign w:val="bottom"/>
          </w:tcPr>
          <w:p w14:paraId="71D456A6" w14:textId="77777777" w:rsidR="006A3667" w:rsidRDefault="006A3667">
            <w:pPr>
              <w:rPr>
                <w:rFonts w:ascii="宋体"/>
                <w:vanish/>
              </w:rPr>
            </w:pPr>
          </w:p>
        </w:tc>
        <w:tc>
          <w:tcPr>
            <w:tcW w:w="0" w:type="auto"/>
            <w:gridSpan w:val="3"/>
            <w:shd w:val="clear" w:color="auto" w:fill="auto"/>
            <w:vAlign w:val="bottom"/>
          </w:tcPr>
          <w:p w14:paraId="71D456A7" w14:textId="77777777" w:rsidR="006A3667" w:rsidRDefault="006A3667">
            <w:pPr>
              <w:rPr>
                <w:rFonts w:ascii="宋体"/>
                <w:vanish/>
              </w:rPr>
            </w:pPr>
          </w:p>
        </w:tc>
        <w:tc>
          <w:tcPr>
            <w:tcW w:w="0" w:type="auto"/>
            <w:gridSpan w:val="3"/>
            <w:shd w:val="clear" w:color="auto" w:fill="auto"/>
            <w:vAlign w:val="bottom"/>
          </w:tcPr>
          <w:p w14:paraId="71D456A8" w14:textId="77777777" w:rsidR="006A3667" w:rsidRDefault="006A3667">
            <w:pPr>
              <w:rPr>
                <w:rFonts w:ascii="宋体"/>
                <w:vanish/>
              </w:rPr>
            </w:pPr>
          </w:p>
        </w:tc>
        <w:tc>
          <w:tcPr>
            <w:tcW w:w="0" w:type="auto"/>
            <w:gridSpan w:val="3"/>
            <w:shd w:val="clear" w:color="auto" w:fill="auto"/>
            <w:vAlign w:val="bottom"/>
          </w:tcPr>
          <w:p w14:paraId="71D456A9" w14:textId="77777777" w:rsidR="006A3667" w:rsidRDefault="006A3667">
            <w:pPr>
              <w:rPr>
                <w:rFonts w:ascii="宋体"/>
                <w:vanish/>
              </w:rPr>
            </w:pPr>
          </w:p>
        </w:tc>
        <w:tc>
          <w:tcPr>
            <w:tcW w:w="0" w:type="auto"/>
            <w:gridSpan w:val="3"/>
            <w:shd w:val="clear" w:color="auto" w:fill="auto"/>
            <w:vAlign w:val="bottom"/>
          </w:tcPr>
          <w:p w14:paraId="71D456AA" w14:textId="77777777" w:rsidR="006A3667" w:rsidRDefault="006A3667">
            <w:pPr>
              <w:rPr>
                <w:rFonts w:ascii="宋体"/>
                <w:vanish/>
              </w:rPr>
            </w:pPr>
          </w:p>
        </w:tc>
        <w:tc>
          <w:tcPr>
            <w:tcW w:w="0" w:type="auto"/>
            <w:gridSpan w:val="3"/>
            <w:shd w:val="clear" w:color="auto" w:fill="auto"/>
            <w:vAlign w:val="bottom"/>
          </w:tcPr>
          <w:p w14:paraId="71D456AB" w14:textId="77777777" w:rsidR="006A3667" w:rsidRDefault="006A3667">
            <w:pPr>
              <w:rPr>
                <w:rFonts w:ascii="宋体"/>
                <w:vanish/>
              </w:rPr>
            </w:pPr>
          </w:p>
        </w:tc>
        <w:tc>
          <w:tcPr>
            <w:tcW w:w="0" w:type="auto"/>
            <w:gridSpan w:val="3"/>
            <w:shd w:val="clear" w:color="auto" w:fill="auto"/>
            <w:vAlign w:val="bottom"/>
          </w:tcPr>
          <w:p w14:paraId="71D456AC" w14:textId="77777777" w:rsidR="006A3667" w:rsidRDefault="006A3667">
            <w:pPr>
              <w:rPr>
                <w:rFonts w:ascii="宋体"/>
                <w:vanish/>
              </w:rPr>
            </w:pPr>
          </w:p>
        </w:tc>
        <w:tc>
          <w:tcPr>
            <w:tcW w:w="0" w:type="auto"/>
            <w:gridSpan w:val="3"/>
            <w:shd w:val="clear" w:color="auto" w:fill="auto"/>
            <w:vAlign w:val="bottom"/>
          </w:tcPr>
          <w:p w14:paraId="71D456AD" w14:textId="77777777" w:rsidR="006A3667" w:rsidRDefault="006A3667">
            <w:pPr>
              <w:rPr>
                <w:rFonts w:ascii="宋体"/>
                <w:vanish/>
              </w:rPr>
            </w:pPr>
          </w:p>
        </w:tc>
        <w:tc>
          <w:tcPr>
            <w:tcW w:w="0" w:type="auto"/>
            <w:gridSpan w:val="3"/>
            <w:shd w:val="clear" w:color="auto" w:fill="auto"/>
            <w:vAlign w:val="bottom"/>
          </w:tcPr>
          <w:p w14:paraId="71D456AE" w14:textId="77777777" w:rsidR="006A3667" w:rsidRDefault="006A3667">
            <w:pPr>
              <w:rPr>
                <w:rFonts w:ascii="宋体"/>
                <w:vanish/>
              </w:rPr>
            </w:pPr>
          </w:p>
        </w:tc>
        <w:tc>
          <w:tcPr>
            <w:tcW w:w="0" w:type="auto"/>
            <w:gridSpan w:val="3"/>
            <w:shd w:val="clear" w:color="auto" w:fill="auto"/>
            <w:vAlign w:val="bottom"/>
          </w:tcPr>
          <w:p w14:paraId="71D456AF" w14:textId="77777777" w:rsidR="006A3667" w:rsidRDefault="006A3667">
            <w:pPr>
              <w:rPr>
                <w:rFonts w:ascii="宋体"/>
                <w:vanish/>
              </w:rPr>
            </w:pPr>
          </w:p>
        </w:tc>
        <w:tc>
          <w:tcPr>
            <w:tcW w:w="0" w:type="auto"/>
            <w:gridSpan w:val="3"/>
            <w:shd w:val="clear" w:color="auto" w:fill="auto"/>
            <w:vAlign w:val="bottom"/>
          </w:tcPr>
          <w:p w14:paraId="71D456B0" w14:textId="77777777" w:rsidR="006A3667" w:rsidRDefault="006A3667">
            <w:pPr>
              <w:rPr>
                <w:rFonts w:ascii="宋体"/>
                <w:vanish/>
              </w:rPr>
            </w:pPr>
          </w:p>
        </w:tc>
      </w:tr>
      <w:tr w:rsidR="006A3667" w14:paraId="71D456BE" w14:textId="77777777">
        <w:trPr>
          <w:hidden/>
        </w:trPr>
        <w:tc>
          <w:tcPr>
            <w:tcW w:w="0" w:type="auto"/>
            <w:gridSpan w:val="3"/>
            <w:shd w:val="clear" w:color="auto" w:fill="auto"/>
            <w:vAlign w:val="bottom"/>
          </w:tcPr>
          <w:p w14:paraId="71D456B2" w14:textId="77777777" w:rsidR="006A3667" w:rsidRDefault="006A3667">
            <w:pPr>
              <w:rPr>
                <w:rFonts w:ascii="宋体"/>
                <w:vanish/>
              </w:rPr>
            </w:pPr>
          </w:p>
        </w:tc>
        <w:tc>
          <w:tcPr>
            <w:tcW w:w="0" w:type="auto"/>
            <w:gridSpan w:val="3"/>
            <w:shd w:val="clear" w:color="auto" w:fill="auto"/>
            <w:vAlign w:val="bottom"/>
          </w:tcPr>
          <w:p w14:paraId="71D456B3" w14:textId="77777777" w:rsidR="006A3667" w:rsidRDefault="006A3667">
            <w:pPr>
              <w:rPr>
                <w:rFonts w:ascii="宋体"/>
                <w:vanish/>
              </w:rPr>
            </w:pPr>
          </w:p>
        </w:tc>
        <w:tc>
          <w:tcPr>
            <w:tcW w:w="0" w:type="auto"/>
            <w:gridSpan w:val="3"/>
            <w:shd w:val="clear" w:color="auto" w:fill="auto"/>
            <w:vAlign w:val="bottom"/>
          </w:tcPr>
          <w:p w14:paraId="71D456B4" w14:textId="77777777" w:rsidR="006A3667" w:rsidRDefault="006A3667">
            <w:pPr>
              <w:rPr>
                <w:rFonts w:ascii="宋体"/>
                <w:vanish/>
              </w:rPr>
            </w:pPr>
          </w:p>
        </w:tc>
        <w:tc>
          <w:tcPr>
            <w:tcW w:w="0" w:type="auto"/>
            <w:gridSpan w:val="3"/>
            <w:shd w:val="clear" w:color="auto" w:fill="auto"/>
            <w:vAlign w:val="bottom"/>
          </w:tcPr>
          <w:p w14:paraId="71D456B5" w14:textId="77777777" w:rsidR="006A3667" w:rsidRDefault="006A3667">
            <w:pPr>
              <w:rPr>
                <w:rFonts w:ascii="宋体"/>
                <w:vanish/>
              </w:rPr>
            </w:pPr>
          </w:p>
        </w:tc>
        <w:tc>
          <w:tcPr>
            <w:tcW w:w="0" w:type="auto"/>
            <w:gridSpan w:val="3"/>
            <w:shd w:val="clear" w:color="auto" w:fill="auto"/>
            <w:vAlign w:val="bottom"/>
          </w:tcPr>
          <w:p w14:paraId="71D456B6" w14:textId="77777777" w:rsidR="006A3667" w:rsidRDefault="006A3667">
            <w:pPr>
              <w:rPr>
                <w:rFonts w:ascii="宋体"/>
                <w:vanish/>
              </w:rPr>
            </w:pPr>
          </w:p>
        </w:tc>
        <w:tc>
          <w:tcPr>
            <w:tcW w:w="0" w:type="auto"/>
            <w:gridSpan w:val="3"/>
            <w:shd w:val="clear" w:color="auto" w:fill="auto"/>
            <w:vAlign w:val="bottom"/>
          </w:tcPr>
          <w:p w14:paraId="71D456B7" w14:textId="77777777" w:rsidR="006A3667" w:rsidRDefault="006A3667">
            <w:pPr>
              <w:rPr>
                <w:rFonts w:ascii="宋体"/>
                <w:vanish/>
              </w:rPr>
            </w:pPr>
          </w:p>
        </w:tc>
        <w:tc>
          <w:tcPr>
            <w:tcW w:w="0" w:type="auto"/>
            <w:gridSpan w:val="3"/>
            <w:shd w:val="clear" w:color="auto" w:fill="auto"/>
            <w:vAlign w:val="bottom"/>
          </w:tcPr>
          <w:p w14:paraId="71D456B8" w14:textId="77777777" w:rsidR="006A3667" w:rsidRDefault="006A3667">
            <w:pPr>
              <w:rPr>
                <w:rFonts w:ascii="宋体"/>
                <w:vanish/>
              </w:rPr>
            </w:pPr>
          </w:p>
        </w:tc>
        <w:tc>
          <w:tcPr>
            <w:tcW w:w="0" w:type="auto"/>
            <w:gridSpan w:val="3"/>
            <w:shd w:val="clear" w:color="auto" w:fill="auto"/>
            <w:vAlign w:val="bottom"/>
          </w:tcPr>
          <w:p w14:paraId="71D456B9" w14:textId="77777777" w:rsidR="006A3667" w:rsidRDefault="006A3667">
            <w:pPr>
              <w:rPr>
                <w:rFonts w:ascii="宋体"/>
                <w:vanish/>
              </w:rPr>
            </w:pPr>
          </w:p>
        </w:tc>
        <w:tc>
          <w:tcPr>
            <w:tcW w:w="0" w:type="auto"/>
            <w:gridSpan w:val="3"/>
            <w:shd w:val="clear" w:color="auto" w:fill="auto"/>
            <w:vAlign w:val="bottom"/>
          </w:tcPr>
          <w:p w14:paraId="71D456BA" w14:textId="77777777" w:rsidR="006A3667" w:rsidRDefault="006A3667">
            <w:pPr>
              <w:rPr>
                <w:rFonts w:ascii="宋体"/>
                <w:vanish/>
              </w:rPr>
            </w:pPr>
          </w:p>
        </w:tc>
        <w:tc>
          <w:tcPr>
            <w:tcW w:w="0" w:type="auto"/>
            <w:gridSpan w:val="3"/>
            <w:shd w:val="clear" w:color="auto" w:fill="auto"/>
            <w:vAlign w:val="bottom"/>
          </w:tcPr>
          <w:p w14:paraId="71D456BB" w14:textId="77777777" w:rsidR="006A3667" w:rsidRDefault="006A3667">
            <w:pPr>
              <w:rPr>
                <w:rFonts w:ascii="宋体"/>
                <w:vanish/>
              </w:rPr>
            </w:pPr>
          </w:p>
        </w:tc>
        <w:tc>
          <w:tcPr>
            <w:tcW w:w="0" w:type="auto"/>
            <w:gridSpan w:val="3"/>
            <w:shd w:val="clear" w:color="auto" w:fill="auto"/>
            <w:vAlign w:val="bottom"/>
          </w:tcPr>
          <w:p w14:paraId="71D456BC" w14:textId="77777777" w:rsidR="006A3667" w:rsidRDefault="006A3667">
            <w:pPr>
              <w:rPr>
                <w:rFonts w:ascii="宋体"/>
                <w:vanish/>
              </w:rPr>
            </w:pPr>
          </w:p>
        </w:tc>
        <w:tc>
          <w:tcPr>
            <w:tcW w:w="0" w:type="auto"/>
            <w:gridSpan w:val="3"/>
            <w:shd w:val="clear" w:color="auto" w:fill="auto"/>
            <w:vAlign w:val="bottom"/>
          </w:tcPr>
          <w:p w14:paraId="71D456BD" w14:textId="77777777" w:rsidR="006A3667" w:rsidRDefault="006A3667">
            <w:pPr>
              <w:rPr>
                <w:rFonts w:ascii="宋体"/>
                <w:vanish/>
              </w:rPr>
            </w:pPr>
          </w:p>
        </w:tc>
      </w:tr>
      <w:tr w:rsidR="006A3667" w14:paraId="71D456CB" w14:textId="77777777">
        <w:trPr>
          <w:hidden/>
        </w:trPr>
        <w:tc>
          <w:tcPr>
            <w:tcW w:w="0" w:type="auto"/>
            <w:gridSpan w:val="3"/>
            <w:shd w:val="clear" w:color="auto" w:fill="auto"/>
            <w:vAlign w:val="bottom"/>
          </w:tcPr>
          <w:p w14:paraId="71D456BF" w14:textId="77777777" w:rsidR="006A3667" w:rsidRDefault="006A3667">
            <w:pPr>
              <w:rPr>
                <w:rFonts w:ascii="宋体"/>
                <w:vanish/>
              </w:rPr>
            </w:pPr>
          </w:p>
        </w:tc>
        <w:tc>
          <w:tcPr>
            <w:tcW w:w="0" w:type="auto"/>
            <w:gridSpan w:val="3"/>
            <w:shd w:val="clear" w:color="auto" w:fill="auto"/>
            <w:vAlign w:val="bottom"/>
          </w:tcPr>
          <w:p w14:paraId="71D456C0" w14:textId="77777777" w:rsidR="006A3667" w:rsidRDefault="006A3667">
            <w:pPr>
              <w:rPr>
                <w:rFonts w:ascii="宋体"/>
                <w:vanish/>
              </w:rPr>
            </w:pPr>
          </w:p>
        </w:tc>
        <w:tc>
          <w:tcPr>
            <w:tcW w:w="0" w:type="auto"/>
            <w:gridSpan w:val="3"/>
            <w:shd w:val="clear" w:color="auto" w:fill="auto"/>
            <w:vAlign w:val="bottom"/>
          </w:tcPr>
          <w:p w14:paraId="71D456C1" w14:textId="77777777" w:rsidR="006A3667" w:rsidRDefault="006A3667">
            <w:pPr>
              <w:rPr>
                <w:rFonts w:ascii="宋体"/>
                <w:vanish/>
              </w:rPr>
            </w:pPr>
          </w:p>
        </w:tc>
        <w:tc>
          <w:tcPr>
            <w:tcW w:w="0" w:type="auto"/>
            <w:gridSpan w:val="3"/>
            <w:shd w:val="clear" w:color="auto" w:fill="auto"/>
            <w:vAlign w:val="bottom"/>
          </w:tcPr>
          <w:p w14:paraId="71D456C2" w14:textId="77777777" w:rsidR="006A3667" w:rsidRDefault="006A3667">
            <w:pPr>
              <w:rPr>
                <w:rFonts w:ascii="宋体"/>
                <w:vanish/>
              </w:rPr>
            </w:pPr>
          </w:p>
        </w:tc>
        <w:tc>
          <w:tcPr>
            <w:tcW w:w="0" w:type="auto"/>
            <w:gridSpan w:val="3"/>
            <w:shd w:val="clear" w:color="auto" w:fill="auto"/>
            <w:vAlign w:val="bottom"/>
          </w:tcPr>
          <w:p w14:paraId="71D456C3" w14:textId="77777777" w:rsidR="006A3667" w:rsidRDefault="006A3667">
            <w:pPr>
              <w:rPr>
                <w:rFonts w:ascii="宋体"/>
                <w:vanish/>
              </w:rPr>
            </w:pPr>
          </w:p>
        </w:tc>
        <w:tc>
          <w:tcPr>
            <w:tcW w:w="0" w:type="auto"/>
            <w:gridSpan w:val="3"/>
            <w:shd w:val="clear" w:color="auto" w:fill="auto"/>
            <w:vAlign w:val="bottom"/>
          </w:tcPr>
          <w:p w14:paraId="71D456C4" w14:textId="77777777" w:rsidR="006A3667" w:rsidRDefault="006A3667">
            <w:pPr>
              <w:rPr>
                <w:rFonts w:ascii="宋体"/>
                <w:vanish/>
              </w:rPr>
            </w:pPr>
          </w:p>
        </w:tc>
        <w:tc>
          <w:tcPr>
            <w:tcW w:w="0" w:type="auto"/>
            <w:gridSpan w:val="3"/>
            <w:shd w:val="clear" w:color="auto" w:fill="auto"/>
            <w:vAlign w:val="bottom"/>
          </w:tcPr>
          <w:p w14:paraId="71D456C5" w14:textId="77777777" w:rsidR="006A3667" w:rsidRDefault="006A3667">
            <w:pPr>
              <w:rPr>
                <w:rFonts w:ascii="宋体"/>
                <w:vanish/>
              </w:rPr>
            </w:pPr>
          </w:p>
        </w:tc>
        <w:tc>
          <w:tcPr>
            <w:tcW w:w="0" w:type="auto"/>
            <w:gridSpan w:val="3"/>
            <w:shd w:val="clear" w:color="auto" w:fill="auto"/>
            <w:vAlign w:val="bottom"/>
          </w:tcPr>
          <w:p w14:paraId="71D456C6" w14:textId="77777777" w:rsidR="006A3667" w:rsidRDefault="006A3667">
            <w:pPr>
              <w:rPr>
                <w:rFonts w:ascii="宋体"/>
                <w:vanish/>
              </w:rPr>
            </w:pPr>
          </w:p>
        </w:tc>
        <w:tc>
          <w:tcPr>
            <w:tcW w:w="0" w:type="auto"/>
            <w:gridSpan w:val="3"/>
            <w:shd w:val="clear" w:color="auto" w:fill="auto"/>
            <w:vAlign w:val="bottom"/>
          </w:tcPr>
          <w:p w14:paraId="71D456C7" w14:textId="77777777" w:rsidR="006A3667" w:rsidRDefault="006A3667">
            <w:pPr>
              <w:rPr>
                <w:rFonts w:ascii="宋体"/>
                <w:vanish/>
              </w:rPr>
            </w:pPr>
          </w:p>
        </w:tc>
        <w:tc>
          <w:tcPr>
            <w:tcW w:w="0" w:type="auto"/>
            <w:gridSpan w:val="3"/>
            <w:shd w:val="clear" w:color="auto" w:fill="auto"/>
            <w:vAlign w:val="bottom"/>
          </w:tcPr>
          <w:p w14:paraId="71D456C8" w14:textId="77777777" w:rsidR="006A3667" w:rsidRDefault="006A3667">
            <w:pPr>
              <w:rPr>
                <w:rFonts w:ascii="宋体"/>
                <w:vanish/>
              </w:rPr>
            </w:pPr>
          </w:p>
        </w:tc>
        <w:tc>
          <w:tcPr>
            <w:tcW w:w="0" w:type="auto"/>
            <w:gridSpan w:val="3"/>
            <w:shd w:val="clear" w:color="auto" w:fill="auto"/>
            <w:vAlign w:val="bottom"/>
          </w:tcPr>
          <w:p w14:paraId="71D456C9" w14:textId="77777777" w:rsidR="006A3667" w:rsidRDefault="006A3667">
            <w:pPr>
              <w:rPr>
                <w:rFonts w:ascii="宋体"/>
                <w:vanish/>
              </w:rPr>
            </w:pPr>
          </w:p>
        </w:tc>
        <w:tc>
          <w:tcPr>
            <w:tcW w:w="0" w:type="auto"/>
            <w:gridSpan w:val="3"/>
            <w:shd w:val="clear" w:color="auto" w:fill="auto"/>
            <w:vAlign w:val="bottom"/>
          </w:tcPr>
          <w:p w14:paraId="71D456CA" w14:textId="77777777" w:rsidR="006A3667" w:rsidRDefault="006A3667">
            <w:pPr>
              <w:rPr>
                <w:rFonts w:ascii="宋体"/>
                <w:vanish/>
              </w:rPr>
            </w:pPr>
          </w:p>
        </w:tc>
      </w:tr>
      <w:tr w:rsidR="006A3667" w14:paraId="71D456D8" w14:textId="77777777">
        <w:trPr>
          <w:hidden/>
        </w:trPr>
        <w:tc>
          <w:tcPr>
            <w:tcW w:w="0" w:type="auto"/>
            <w:gridSpan w:val="3"/>
            <w:shd w:val="clear" w:color="auto" w:fill="auto"/>
            <w:vAlign w:val="bottom"/>
          </w:tcPr>
          <w:p w14:paraId="71D456CC" w14:textId="77777777" w:rsidR="006A3667" w:rsidRDefault="006A3667">
            <w:pPr>
              <w:rPr>
                <w:rFonts w:ascii="宋体"/>
                <w:vanish/>
              </w:rPr>
            </w:pPr>
          </w:p>
        </w:tc>
        <w:tc>
          <w:tcPr>
            <w:tcW w:w="0" w:type="auto"/>
            <w:gridSpan w:val="3"/>
            <w:shd w:val="clear" w:color="auto" w:fill="auto"/>
            <w:vAlign w:val="bottom"/>
          </w:tcPr>
          <w:p w14:paraId="71D456CD" w14:textId="77777777" w:rsidR="006A3667" w:rsidRDefault="006A3667">
            <w:pPr>
              <w:rPr>
                <w:rFonts w:ascii="宋体"/>
                <w:vanish/>
              </w:rPr>
            </w:pPr>
          </w:p>
        </w:tc>
        <w:tc>
          <w:tcPr>
            <w:tcW w:w="0" w:type="auto"/>
            <w:gridSpan w:val="3"/>
            <w:shd w:val="clear" w:color="auto" w:fill="auto"/>
            <w:vAlign w:val="bottom"/>
          </w:tcPr>
          <w:p w14:paraId="71D456CE" w14:textId="77777777" w:rsidR="006A3667" w:rsidRDefault="006A3667">
            <w:pPr>
              <w:rPr>
                <w:rFonts w:ascii="宋体"/>
                <w:vanish/>
              </w:rPr>
            </w:pPr>
          </w:p>
        </w:tc>
        <w:tc>
          <w:tcPr>
            <w:tcW w:w="0" w:type="auto"/>
            <w:gridSpan w:val="3"/>
            <w:shd w:val="clear" w:color="auto" w:fill="auto"/>
            <w:vAlign w:val="bottom"/>
          </w:tcPr>
          <w:p w14:paraId="71D456CF" w14:textId="77777777" w:rsidR="006A3667" w:rsidRDefault="006A3667">
            <w:pPr>
              <w:rPr>
                <w:rFonts w:ascii="宋体"/>
                <w:vanish/>
              </w:rPr>
            </w:pPr>
          </w:p>
        </w:tc>
        <w:tc>
          <w:tcPr>
            <w:tcW w:w="0" w:type="auto"/>
            <w:gridSpan w:val="3"/>
            <w:shd w:val="clear" w:color="auto" w:fill="auto"/>
            <w:vAlign w:val="bottom"/>
          </w:tcPr>
          <w:p w14:paraId="71D456D0" w14:textId="77777777" w:rsidR="006A3667" w:rsidRDefault="006A3667">
            <w:pPr>
              <w:rPr>
                <w:rFonts w:ascii="宋体"/>
                <w:vanish/>
              </w:rPr>
            </w:pPr>
          </w:p>
        </w:tc>
        <w:tc>
          <w:tcPr>
            <w:tcW w:w="0" w:type="auto"/>
            <w:gridSpan w:val="3"/>
            <w:shd w:val="clear" w:color="auto" w:fill="auto"/>
            <w:vAlign w:val="bottom"/>
          </w:tcPr>
          <w:p w14:paraId="71D456D1" w14:textId="77777777" w:rsidR="006A3667" w:rsidRDefault="006A3667">
            <w:pPr>
              <w:rPr>
                <w:rFonts w:ascii="宋体"/>
                <w:vanish/>
              </w:rPr>
            </w:pPr>
          </w:p>
        </w:tc>
        <w:tc>
          <w:tcPr>
            <w:tcW w:w="0" w:type="auto"/>
            <w:gridSpan w:val="3"/>
            <w:shd w:val="clear" w:color="auto" w:fill="auto"/>
            <w:vAlign w:val="bottom"/>
          </w:tcPr>
          <w:p w14:paraId="71D456D2" w14:textId="77777777" w:rsidR="006A3667" w:rsidRDefault="006A3667">
            <w:pPr>
              <w:rPr>
                <w:rFonts w:ascii="宋体"/>
                <w:vanish/>
              </w:rPr>
            </w:pPr>
          </w:p>
        </w:tc>
        <w:tc>
          <w:tcPr>
            <w:tcW w:w="0" w:type="auto"/>
            <w:gridSpan w:val="3"/>
            <w:shd w:val="clear" w:color="auto" w:fill="auto"/>
            <w:vAlign w:val="bottom"/>
          </w:tcPr>
          <w:p w14:paraId="71D456D3" w14:textId="77777777" w:rsidR="006A3667" w:rsidRDefault="006A3667">
            <w:pPr>
              <w:rPr>
                <w:rFonts w:ascii="宋体"/>
                <w:vanish/>
              </w:rPr>
            </w:pPr>
          </w:p>
        </w:tc>
        <w:tc>
          <w:tcPr>
            <w:tcW w:w="0" w:type="auto"/>
            <w:gridSpan w:val="3"/>
            <w:shd w:val="clear" w:color="auto" w:fill="auto"/>
            <w:vAlign w:val="bottom"/>
          </w:tcPr>
          <w:p w14:paraId="71D456D4" w14:textId="77777777" w:rsidR="006A3667" w:rsidRDefault="006A3667">
            <w:pPr>
              <w:rPr>
                <w:rFonts w:ascii="宋体"/>
                <w:vanish/>
              </w:rPr>
            </w:pPr>
          </w:p>
        </w:tc>
        <w:tc>
          <w:tcPr>
            <w:tcW w:w="0" w:type="auto"/>
            <w:gridSpan w:val="3"/>
            <w:shd w:val="clear" w:color="auto" w:fill="auto"/>
            <w:vAlign w:val="bottom"/>
          </w:tcPr>
          <w:p w14:paraId="71D456D5" w14:textId="77777777" w:rsidR="006A3667" w:rsidRDefault="006A3667">
            <w:pPr>
              <w:rPr>
                <w:rFonts w:ascii="宋体"/>
                <w:vanish/>
              </w:rPr>
            </w:pPr>
          </w:p>
        </w:tc>
        <w:tc>
          <w:tcPr>
            <w:tcW w:w="0" w:type="auto"/>
            <w:gridSpan w:val="3"/>
            <w:shd w:val="clear" w:color="auto" w:fill="auto"/>
            <w:vAlign w:val="bottom"/>
          </w:tcPr>
          <w:p w14:paraId="71D456D6" w14:textId="77777777" w:rsidR="006A3667" w:rsidRDefault="006A3667">
            <w:pPr>
              <w:rPr>
                <w:rFonts w:ascii="宋体"/>
                <w:vanish/>
              </w:rPr>
            </w:pPr>
          </w:p>
        </w:tc>
        <w:tc>
          <w:tcPr>
            <w:tcW w:w="0" w:type="auto"/>
            <w:gridSpan w:val="3"/>
            <w:shd w:val="clear" w:color="auto" w:fill="auto"/>
            <w:vAlign w:val="bottom"/>
          </w:tcPr>
          <w:p w14:paraId="71D456D7" w14:textId="77777777" w:rsidR="006A3667" w:rsidRDefault="006A3667">
            <w:pPr>
              <w:rPr>
                <w:rFonts w:ascii="宋体"/>
                <w:vanish/>
              </w:rPr>
            </w:pPr>
          </w:p>
        </w:tc>
      </w:tr>
      <w:tr w:rsidR="006A3667" w14:paraId="71D456E5" w14:textId="77777777">
        <w:trPr>
          <w:hidden/>
        </w:trPr>
        <w:tc>
          <w:tcPr>
            <w:tcW w:w="0" w:type="auto"/>
            <w:gridSpan w:val="3"/>
            <w:shd w:val="clear" w:color="auto" w:fill="auto"/>
            <w:vAlign w:val="bottom"/>
          </w:tcPr>
          <w:p w14:paraId="71D456D9" w14:textId="77777777" w:rsidR="006A3667" w:rsidRDefault="006A3667">
            <w:pPr>
              <w:rPr>
                <w:rFonts w:ascii="宋体"/>
                <w:vanish/>
              </w:rPr>
            </w:pPr>
          </w:p>
        </w:tc>
        <w:tc>
          <w:tcPr>
            <w:tcW w:w="0" w:type="auto"/>
            <w:gridSpan w:val="3"/>
            <w:shd w:val="clear" w:color="auto" w:fill="auto"/>
            <w:vAlign w:val="bottom"/>
          </w:tcPr>
          <w:p w14:paraId="71D456DA" w14:textId="77777777" w:rsidR="006A3667" w:rsidRDefault="006A3667">
            <w:pPr>
              <w:rPr>
                <w:rFonts w:ascii="宋体"/>
                <w:vanish/>
              </w:rPr>
            </w:pPr>
          </w:p>
        </w:tc>
        <w:tc>
          <w:tcPr>
            <w:tcW w:w="0" w:type="auto"/>
            <w:gridSpan w:val="3"/>
            <w:shd w:val="clear" w:color="auto" w:fill="auto"/>
            <w:vAlign w:val="bottom"/>
          </w:tcPr>
          <w:p w14:paraId="71D456DB" w14:textId="77777777" w:rsidR="006A3667" w:rsidRDefault="006A3667">
            <w:pPr>
              <w:rPr>
                <w:rFonts w:ascii="宋体"/>
                <w:vanish/>
              </w:rPr>
            </w:pPr>
          </w:p>
        </w:tc>
        <w:tc>
          <w:tcPr>
            <w:tcW w:w="0" w:type="auto"/>
            <w:gridSpan w:val="3"/>
            <w:shd w:val="clear" w:color="auto" w:fill="auto"/>
            <w:vAlign w:val="bottom"/>
          </w:tcPr>
          <w:p w14:paraId="71D456DC" w14:textId="77777777" w:rsidR="006A3667" w:rsidRDefault="006A3667">
            <w:pPr>
              <w:rPr>
                <w:rFonts w:ascii="宋体"/>
                <w:vanish/>
              </w:rPr>
            </w:pPr>
          </w:p>
        </w:tc>
        <w:tc>
          <w:tcPr>
            <w:tcW w:w="0" w:type="auto"/>
            <w:gridSpan w:val="3"/>
            <w:shd w:val="clear" w:color="auto" w:fill="auto"/>
            <w:vAlign w:val="bottom"/>
          </w:tcPr>
          <w:p w14:paraId="71D456DD" w14:textId="77777777" w:rsidR="006A3667" w:rsidRDefault="006A3667">
            <w:pPr>
              <w:rPr>
                <w:rFonts w:ascii="宋体"/>
                <w:vanish/>
              </w:rPr>
            </w:pPr>
          </w:p>
        </w:tc>
        <w:tc>
          <w:tcPr>
            <w:tcW w:w="0" w:type="auto"/>
            <w:gridSpan w:val="3"/>
            <w:shd w:val="clear" w:color="auto" w:fill="auto"/>
            <w:vAlign w:val="bottom"/>
          </w:tcPr>
          <w:p w14:paraId="71D456DE" w14:textId="77777777" w:rsidR="006A3667" w:rsidRDefault="006A3667">
            <w:pPr>
              <w:rPr>
                <w:rFonts w:ascii="宋体"/>
                <w:vanish/>
              </w:rPr>
            </w:pPr>
          </w:p>
        </w:tc>
        <w:tc>
          <w:tcPr>
            <w:tcW w:w="0" w:type="auto"/>
            <w:gridSpan w:val="3"/>
            <w:shd w:val="clear" w:color="auto" w:fill="auto"/>
            <w:vAlign w:val="bottom"/>
          </w:tcPr>
          <w:p w14:paraId="71D456DF" w14:textId="77777777" w:rsidR="006A3667" w:rsidRDefault="006A3667">
            <w:pPr>
              <w:rPr>
                <w:rFonts w:ascii="宋体"/>
                <w:vanish/>
              </w:rPr>
            </w:pPr>
          </w:p>
        </w:tc>
        <w:tc>
          <w:tcPr>
            <w:tcW w:w="0" w:type="auto"/>
            <w:gridSpan w:val="3"/>
            <w:shd w:val="clear" w:color="auto" w:fill="auto"/>
            <w:vAlign w:val="bottom"/>
          </w:tcPr>
          <w:p w14:paraId="71D456E0" w14:textId="77777777" w:rsidR="006A3667" w:rsidRDefault="006A3667">
            <w:pPr>
              <w:rPr>
                <w:rFonts w:ascii="宋体"/>
                <w:vanish/>
              </w:rPr>
            </w:pPr>
          </w:p>
        </w:tc>
        <w:tc>
          <w:tcPr>
            <w:tcW w:w="0" w:type="auto"/>
            <w:gridSpan w:val="3"/>
            <w:shd w:val="clear" w:color="auto" w:fill="auto"/>
            <w:vAlign w:val="bottom"/>
          </w:tcPr>
          <w:p w14:paraId="71D456E1" w14:textId="77777777" w:rsidR="006A3667" w:rsidRDefault="006A3667">
            <w:pPr>
              <w:rPr>
                <w:rFonts w:ascii="宋体"/>
                <w:vanish/>
              </w:rPr>
            </w:pPr>
          </w:p>
        </w:tc>
        <w:tc>
          <w:tcPr>
            <w:tcW w:w="0" w:type="auto"/>
            <w:gridSpan w:val="3"/>
            <w:shd w:val="clear" w:color="auto" w:fill="auto"/>
            <w:vAlign w:val="bottom"/>
          </w:tcPr>
          <w:p w14:paraId="71D456E2" w14:textId="77777777" w:rsidR="006A3667" w:rsidRDefault="006A3667">
            <w:pPr>
              <w:rPr>
                <w:rFonts w:ascii="宋体"/>
                <w:vanish/>
              </w:rPr>
            </w:pPr>
          </w:p>
        </w:tc>
        <w:tc>
          <w:tcPr>
            <w:tcW w:w="0" w:type="auto"/>
            <w:gridSpan w:val="3"/>
            <w:shd w:val="clear" w:color="auto" w:fill="auto"/>
            <w:vAlign w:val="bottom"/>
          </w:tcPr>
          <w:p w14:paraId="71D456E3" w14:textId="77777777" w:rsidR="006A3667" w:rsidRDefault="006A3667">
            <w:pPr>
              <w:rPr>
                <w:rFonts w:ascii="宋体"/>
                <w:vanish/>
              </w:rPr>
            </w:pPr>
          </w:p>
        </w:tc>
        <w:tc>
          <w:tcPr>
            <w:tcW w:w="0" w:type="auto"/>
            <w:gridSpan w:val="3"/>
            <w:shd w:val="clear" w:color="auto" w:fill="auto"/>
            <w:vAlign w:val="bottom"/>
          </w:tcPr>
          <w:p w14:paraId="71D456E4" w14:textId="77777777" w:rsidR="006A3667" w:rsidRDefault="006A3667">
            <w:pPr>
              <w:rPr>
                <w:rFonts w:ascii="宋体"/>
                <w:vanish/>
              </w:rPr>
            </w:pPr>
          </w:p>
        </w:tc>
      </w:tr>
      <w:tr w:rsidR="006A3667" w14:paraId="71D456F2" w14:textId="77777777">
        <w:trPr>
          <w:hidden/>
        </w:trPr>
        <w:tc>
          <w:tcPr>
            <w:tcW w:w="0" w:type="auto"/>
            <w:gridSpan w:val="3"/>
            <w:shd w:val="clear" w:color="auto" w:fill="auto"/>
            <w:vAlign w:val="bottom"/>
          </w:tcPr>
          <w:p w14:paraId="71D456E6" w14:textId="77777777" w:rsidR="006A3667" w:rsidRDefault="006A3667">
            <w:pPr>
              <w:rPr>
                <w:rFonts w:ascii="宋体"/>
                <w:vanish/>
              </w:rPr>
            </w:pPr>
          </w:p>
        </w:tc>
        <w:tc>
          <w:tcPr>
            <w:tcW w:w="0" w:type="auto"/>
            <w:gridSpan w:val="3"/>
            <w:shd w:val="clear" w:color="auto" w:fill="auto"/>
            <w:vAlign w:val="bottom"/>
          </w:tcPr>
          <w:p w14:paraId="71D456E7" w14:textId="77777777" w:rsidR="006A3667" w:rsidRDefault="006A3667">
            <w:pPr>
              <w:rPr>
                <w:rFonts w:ascii="宋体"/>
                <w:vanish/>
              </w:rPr>
            </w:pPr>
          </w:p>
        </w:tc>
        <w:tc>
          <w:tcPr>
            <w:tcW w:w="0" w:type="auto"/>
            <w:gridSpan w:val="3"/>
            <w:shd w:val="clear" w:color="auto" w:fill="auto"/>
            <w:vAlign w:val="bottom"/>
          </w:tcPr>
          <w:p w14:paraId="71D456E8" w14:textId="77777777" w:rsidR="006A3667" w:rsidRDefault="006A3667">
            <w:pPr>
              <w:rPr>
                <w:rFonts w:ascii="宋体"/>
                <w:vanish/>
              </w:rPr>
            </w:pPr>
          </w:p>
        </w:tc>
        <w:tc>
          <w:tcPr>
            <w:tcW w:w="0" w:type="auto"/>
            <w:gridSpan w:val="3"/>
            <w:shd w:val="clear" w:color="auto" w:fill="auto"/>
            <w:vAlign w:val="bottom"/>
          </w:tcPr>
          <w:p w14:paraId="71D456E9" w14:textId="77777777" w:rsidR="006A3667" w:rsidRDefault="006A3667">
            <w:pPr>
              <w:rPr>
                <w:rFonts w:ascii="宋体"/>
                <w:vanish/>
              </w:rPr>
            </w:pPr>
          </w:p>
        </w:tc>
        <w:tc>
          <w:tcPr>
            <w:tcW w:w="0" w:type="auto"/>
            <w:gridSpan w:val="3"/>
            <w:shd w:val="clear" w:color="auto" w:fill="auto"/>
            <w:vAlign w:val="bottom"/>
          </w:tcPr>
          <w:p w14:paraId="71D456EA" w14:textId="77777777" w:rsidR="006A3667" w:rsidRDefault="006A3667">
            <w:pPr>
              <w:rPr>
                <w:rFonts w:ascii="宋体"/>
                <w:vanish/>
              </w:rPr>
            </w:pPr>
          </w:p>
        </w:tc>
        <w:tc>
          <w:tcPr>
            <w:tcW w:w="0" w:type="auto"/>
            <w:gridSpan w:val="3"/>
            <w:shd w:val="clear" w:color="auto" w:fill="auto"/>
            <w:vAlign w:val="bottom"/>
          </w:tcPr>
          <w:p w14:paraId="71D456EB" w14:textId="77777777" w:rsidR="006A3667" w:rsidRDefault="006A3667">
            <w:pPr>
              <w:rPr>
                <w:rFonts w:ascii="宋体"/>
                <w:vanish/>
              </w:rPr>
            </w:pPr>
          </w:p>
        </w:tc>
        <w:tc>
          <w:tcPr>
            <w:tcW w:w="0" w:type="auto"/>
            <w:gridSpan w:val="3"/>
            <w:shd w:val="clear" w:color="auto" w:fill="auto"/>
            <w:vAlign w:val="bottom"/>
          </w:tcPr>
          <w:p w14:paraId="71D456EC" w14:textId="77777777" w:rsidR="006A3667" w:rsidRDefault="006A3667">
            <w:pPr>
              <w:rPr>
                <w:rFonts w:ascii="宋体"/>
                <w:vanish/>
              </w:rPr>
            </w:pPr>
          </w:p>
        </w:tc>
        <w:tc>
          <w:tcPr>
            <w:tcW w:w="0" w:type="auto"/>
            <w:gridSpan w:val="3"/>
            <w:shd w:val="clear" w:color="auto" w:fill="auto"/>
            <w:vAlign w:val="bottom"/>
          </w:tcPr>
          <w:p w14:paraId="71D456ED" w14:textId="77777777" w:rsidR="006A3667" w:rsidRDefault="006A3667">
            <w:pPr>
              <w:rPr>
                <w:rFonts w:ascii="宋体"/>
                <w:vanish/>
              </w:rPr>
            </w:pPr>
          </w:p>
        </w:tc>
        <w:tc>
          <w:tcPr>
            <w:tcW w:w="0" w:type="auto"/>
            <w:gridSpan w:val="3"/>
            <w:shd w:val="clear" w:color="auto" w:fill="auto"/>
            <w:vAlign w:val="bottom"/>
          </w:tcPr>
          <w:p w14:paraId="71D456EE" w14:textId="77777777" w:rsidR="006A3667" w:rsidRDefault="006A3667">
            <w:pPr>
              <w:rPr>
                <w:rFonts w:ascii="宋体"/>
                <w:vanish/>
              </w:rPr>
            </w:pPr>
          </w:p>
        </w:tc>
        <w:tc>
          <w:tcPr>
            <w:tcW w:w="0" w:type="auto"/>
            <w:gridSpan w:val="3"/>
            <w:shd w:val="clear" w:color="auto" w:fill="auto"/>
            <w:vAlign w:val="bottom"/>
          </w:tcPr>
          <w:p w14:paraId="71D456EF" w14:textId="77777777" w:rsidR="006A3667" w:rsidRDefault="006A3667">
            <w:pPr>
              <w:rPr>
                <w:rFonts w:ascii="宋体"/>
                <w:vanish/>
              </w:rPr>
            </w:pPr>
          </w:p>
        </w:tc>
        <w:tc>
          <w:tcPr>
            <w:tcW w:w="0" w:type="auto"/>
            <w:gridSpan w:val="3"/>
            <w:shd w:val="clear" w:color="auto" w:fill="auto"/>
            <w:vAlign w:val="bottom"/>
          </w:tcPr>
          <w:p w14:paraId="71D456F0" w14:textId="77777777" w:rsidR="006A3667" w:rsidRDefault="006A3667">
            <w:pPr>
              <w:rPr>
                <w:rFonts w:ascii="宋体"/>
                <w:vanish/>
              </w:rPr>
            </w:pPr>
          </w:p>
        </w:tc>
        <w:tc>
          <w:tcPr>
            <w:tcW w:w="0" w:type="auto"/>
            <w:gridSpan w:val="3"/>
            <w:shd w:val="clear" w:color="auto" w:fill="auto"/>
            <w:vAlign w:val="bottom"/>
          </w:tcPr>
          <w:p w14:paraId="71D456F1" w14:textId="77777777" w:rsidR="006A3667" w:rsidRDefault="006A3667">
            <w:pPr>
              <w:rPr>
                <w:rFonts w:ascii="宋体"/>
                <w:vanish/>
              </w:rPr>
            </w:pPr>
          </w:p>
        </w:tc>
      </w:tr>
      <w:tr w:rsidR="006A3667" w14:paraId="71D456FF" w14:textId="77777777">
        <w:trPr>
          <w:hidden/>
        </w:trPr>
        <w:tc>
          <w:tcPr>
            <w:tcW w:w="0" w:type="auto"/>
            <w:gridSpan w:val="3"/>
            <w:shd w:val="clear" w:color="auto" w:fill="auto"/>
            <w:vAlign w:val="bottom"/>
          </w:tcPr>
          <w:p w14:paraId="71D456F3" w14:textId="77777777" w:rsidR="006A3667" w:rsidRDefault="006A3667">
            <w:pPr>
              <w:rPr>
                <w:rFonts w:ascii="宋体"/>
                <w:vanish/>
              </w:rPr>
            </w:pPr>
          </w:p>
        </w:tc>
        <w:tc>
          <w:tcPr>
            <w:tcW w:w="0" w:type="auto"/>
            <w:gridSpan w:val="3"/>
            <w:shd w:val="clear" w:color="auto" w:fill="auto"/>
            <w:vAlign w:val="bottom"/>
          </w:tcPr>
          <w:p w14:paraId="71D456F4" w14:textId="77777777" w:rsidR="006A3667" w:rsidRDefault="006A3667">
            <w:pPr>
              <w:rPr>
                <w:rFonts w:ascii="宋体"/>
                <w:vanish/>
              </w:rPr>
            </w:pPr>
          </w:p>
        </w:tc>
        <w:tc>
          <w:tcPr>
            <w:tcW w:w="0" w:type="auto"/>
            <w:gridSpan w:val="3"/>
            <w:shd w:val="clear" w:color="auto" w:fill="auto"/>
            <w:vAlign w:val="bottom"/>
          </w:tcPr>
          <w:p w14:paraId="71D456F5" w14:textId="77777777" w:rsidR="006A3667" w:rsidRDefault="006A3667">
            <w:pPr>
              <w:rPr>
                <w:rFonts w:ascii="宋体"/>
                <w:vanish/>
              </w:rPr>
            </w:pPr>
          </w:p>
        </w:tc>
        <w:tc>
          <w:tcPr>
            <w:tcW w:w="0" w:type="auto"/>
            <w:gridSpan w:val="3"/>
            <w:shd w:val="clear" w:color="auto" w:fill="auto"/>
            <w:vAlign w:val="bottom"/>
          </w:tcPr>
          <w:p w14:paraId="71D456F6" w14:textId="77777777" w:rsidR="006A3667" w:rsidRDefault="006A3667">
            <w:pPr>
              <w:rPr>
                <w:rFonts w:ascii="宋体"/>
                <w:vanish/>
              </w:rPr>
            </w:pPr>
          </w:p>
        </w:tc>
        <w:tc>
          <w:tcPr>
            <w:tcW w:w="0" w:type="auto"/>
            <w:gridSpan w:val="3"/>
            <w:shd w:val="clear" w:color="auto" w:fill="auto"/>
            <w:vAlign w:val="bottom"/>
          </w:tcPr>
          <w:p w14:paraId="71D456F7" w14:textId="77777777" w:rsidR="006A3667" w:rsidRDefault="006A3667">
            <w:pPr>
              <w:rPr>
                <w:rFonts w:ascii="宋体"/>
                <w:vanish/>
              </w:rPr>
            </w:pPr>
          </w:p>
        </w:tc>
        <w:tc>
          <w:tcPr>
            <w:tcW w:w="0" w:type="auto"/>
            <w:gridSpan w:val="3"/>
            <w:shd w:val="clear" w:color="auto" w:fill="auto"/>
            <w:vAlign w:val="bottom"/>
          </w:tcPr>
          <w:p w14:paraId="71D456F8" w14:textId="77777777" w:rsidR="006A3667" w:rsidRDefault="006A3667">
            <w:pPr>
              <w:rPr>
                <w:rFonts w:ascii="宋体"/>
                <w:vanish/>
              </w:rPr>
            </w:pPr>
          </w:p>
        </w:tc>
        <w:tc>
          <w:tcPr>
            <w:tcW w:w="0" w:type="auto"/>
            <w:gridSpan w:val="3"/>
            <w:shd w:val="clear" w:color="auto" w:fill="auto"/>
            <w:vAlign w:val="bottom"/>
          </w:tcPr>
          <w:p w14:paraId="71D456F9" w14:textId="77777777" w:rsidR="006A3667" w:rsidRDefault="006A3667">
            <w:pPr>
              <w:rPr>
                <w:rFonts w:ascii="宋体"/>
                <w:vanish/>
              </w:rPr>
            </w:pPr>
          </w:p>
        </w:tc>
        <w:tc>
          <w:tcPr>
            <w:tcW w:w="0" w:type="auto"/>
            <w:gridSpan w:val="3"/>
            <w:shd w:val="clear" w:color="auto" w:fill="auto"/>
            <w:vAlign w:val="bottom"/>
          </w:tcPr>
          <w:p w14:paraId="71D456FA" w14:textId="77777777" w:rsidR="006A3667" w:rsidRDefault="006A3667">
            <w:pPr>
              <w:rPr>
                <w:rFonts w:ascii="宋体"/>
                <w:vanish/>
              </w:rPr>
            </w:pPr>
          </w:p>
        </w:tc>
        <w:tc>
          <w:tcPr>
            <w:tcW w:w="0" w:type="auto"/>
            <w:gridSpan w:val="3"/>
            <w:shd w:val="clear" w:color="auto" w:fill="auto"/>
            <w:vAlign w:val="bottom"/>
          </w:tcPr>
          <w:p w14:paraId="71D456FB" w14:textId="77777777" w:rsidR="006A3667" w:rsidRDefault="006A3667">
            <w:pPr>
              <w:rPr>
                <w:rFonts w:ascii="宋体"/>
                <w:vanish/>
              </w:rPr>
            </w:pPr>
          </w:p>
        </w:tc>
        <w:tc>
          <w:tcPr>
            <w:tcW w:w="0" w:type="auto"/>
            <w:gridSpan w:val="3"/>
            <w:shd w:val="clear" w:color="auto" w:fill="auto"/>
            <w:vAlign w:val="bottom"/>
          </w:tcPr>
          <w:p w14:paraId="71D456FC" w14:textId="77777777" w:rsidR="006A3667" w:rsidRDefault="006A3667">
            <w:pPr>
              <w:rPr>
                <w:rFonts w:ascii="宋体"/>
                <w:vanish/>
              </w:rPr>
            </w:pPr>
          </w:p>
        </w:tc>
        <w:tc>
          <w:tcPr>
            <w:tcW w:w="0" w:type="auto"/>
            <w:gridSpan w:val="3"/>
            <w:shd w:val="clear" w:color="auto" w:fill="auto"/>
            <w:vAlign w:val="bottom"/>
          </w:tcPr>
          <w:p w14:paraId="71D456FD" w14:textId="77777777" w:rsidR="006A3667" w:rsidRDefault="006A3667">
            <w:pPr>
              <w:rPr>
                <w:rFonts w:ascii="宋体"/>
                <w:vanish/>
              </w:rPr>
            </w:pPr>
          </w:p>
        </w:tc>
        <w:tc>
          <w:tcPr>
            <w:tcW w:w="0" w:type="auto"/>
            <w:gridSpan w:val="3"/>
            <w:shd w:val="clear" w:color="auto" w:fill="auto"/>
            <w:vAlign w:val="bottom"/>
          </w:tcPr>
          <w:p w14:paraId="71D456FE" w14:textId="77777777" w:rsidR="006A3667" w:rsidRDefault="006A3667">
            <w:pPr>
              <w:rPr>
                <w:rFonts w:ascii="宋体"/>
                <w:vanish/>
              </w:rPr>
            </w:pPr>
          </w:p>
        </w:tc>
      </w:tr>
      <w:tr w:rsidR="006A3667" w14:paraId="71D4570C" w14:textId="77777777">
        <w:trPr>
          <w:hidden/>
        </w:trPr>
        <w:tc>
          <w:tcPr>
            <w:tcW w:w="0" w:type="auto"/>
            <w:gridSpan w:val="3"/>
            <w:shd w:val="clear" w:color="auto" w:fill="auto"/>
            <w:vAlign w:val="bottom"/>
          </w:tcPr>
          <w:p w14:paraId="71D45700" w14:textId="77777777" w:rsidR="006A3667" w:rsidRDefault="006A3667">
            <w:pPr>
              <w:rPr>
                <w:rFonts w:ascii="宋体"/>
                <w:vanish/>
              </w:rPr>
            </w:pPr>
          </w:p>
        </w:tc>
        <w:tc>
          <w:tcPr>
            <w:tcW w:w="0" w:type="auto"/>
            <w:gridSpan w:val="3"/>
            <w:shd w:val="clear" w:color="auto" w:fill="auto"/>
            <w:vAlign w:val="bottom"/>
          </w:tcPr>
          <w:p w14:paraId="71D45701" w14:textId="77777777" w:rsidR="006A3667" w:rsidRDefault="006A3667">
            <w:pPr>
              <w:rPr>
                <w:rFonts w:ascii="宋体"/>
                <w:vanish/>
              </w:rPr>
            </w:pPr>
          </w:p>
        </w:tc>
        <w:tc>
          <w:tcPr>
            <w:tcW w:w="0" w:type="auto"/>
            <w:gridSpan w:val="3"/>
            <w:shd w:val="clear" w:color="auto" w:fill="auto"/>
            <w:vAlign w:val="bottom"/>
          </w:tcPr>
          <w:p w14:paraId="71D45702" w14:textId="77777777" w:rsidR="006A3667" w:rsidRDefault="006A3667">
            <w:pPr>
              <w:rPr>
                <w:rFonts w:ascii="宋体"/>
                <w:vanish/>
              </w:rPr>
            </w:pPr>
          </w:p>
        </w:tc>
        <w:tc>
          <w:tcPr>
            <w:tcW w:w="0" w:type="auto"/>
            <w:gridSpan w:val="3"/>
            <w:shd w:val="clear" w:color="auto" w:fill="auto"/>
            <w:vAlign w:val="bottom"/>
          </w:tcPr>
          <w:p w14:paraId="71D45703" w14:textId="77777777" w:rsidR="006A3667" w:rsidRDefault="006A3667">
            <w:pPr>
              <w:rPr>
                <w:rFonts w:ascii="宋体"/>
                <w:vanish/>
              </w:rPr>
            </w:pPr>
          </w:p>
        </w:tc>
        <w:tc>
          <w:tcPr>
            <w:tcW w:w="0" w:type="auto"/>
            <w:gridSpan w:val="3"/>
            <w:shd w:val="clear" w:color="auto" w:fill="auto"/>
            <w:vAlign w:val="bottom"/>
          </w:tcPr>
          <w:p w14:paraId="71D45704" w14:textId="77777777" w:rsidR="006A3667" w:rsidRDefault="006A3667">
            <w:pPr>
              <w:rPr>
                <w:rFonts w:ascii="宋体"/>
                <w:vanish/>
              </w:rPr>
            </w:pPr>
          </w:p>
        </w:tc>
        <w:tc>
          <w:tcPr>
            <w:tcW w:w="0" w:type="auto"/>
            <w:gridSpan w:val="3"/>
            <w:shd w:val="clear" w:color="auto" w:fill="auto"/>
            <w:vAlign w:val="bottom"/>
          </w:tcPr>
          <w:p w14:paraId="71D45705" w14:textId="77777777" w:rsidR="006A3667" w:rsidRDefault="006A3667">
            <w:pPr>
              <w:rPr>
                <w:rFonts w:ascii="宋体"/>
                <w:vanish/>
              </w:rPr>
            </w:pPr>
          </w:p>
        </w:tc>
        <w:tc>
          <w:tcPr>
            <w:tcW w:w="0" w:type="auto"/>
            <w:gridSpan w:val="3"/>
            <w:shd w:val="clear" w:color="auto" w:fill="auto"/>
            <w:vAlign w:val="bottom"/>
          </w:tcPr>
          <w:p w14:paraId="71D45706" w14:textId="77777777" w:rsidR="006A3667" w:rsidRDefault="006A3667">
            <w:pPr>
              <w:rPr>
                <w:rFonts w:ascii="宋体"/>
                <w:vanish/>
              </w:rPr>
            </w:pPr>
          </w:p>
        </w:tc>
        <w:tc>
          <w:tcPr>
            <w:tcW w:w="0" w:type="auto"/>
            <w:gridSpan w:val="3"/>
            <w:shd w:val="clear" w:color="auto" w:fill="auto"/>
            <w:vAlign w:val="bottom"/>
          </w:tcPr>
          <w:p w14:paraId="71D45707" w14:textId="77777777" w:rsidR="006A3667" w:rsidRDefault="006A3667">
            <w:pPr>
              <w:rPr>
                <w:rFonts w:ascii="宋体"/>
                <w:vanish/>
              </w:rPr>
            </w:pPr>
          </w:p>
        </w:tc>
        <w:tc>
          <w:tcPr>
            <w:tcW w:w="0" w:type="auto"/>
            <w:gridSpan w:val="3"/>
            <w:shd w:val="clear" w:color="auto" w:fill="auto"/>
            <w:vAlign w:val="bottom"/>
          </w:tcPr>
          <w:p w14:paraId="71D45708" w14:textId="77777777" w:rsidR="006A3667" w:rsidRDefault="006A3667">
            <w:pPr>
              <w:rPr>
                <w:rFonts w:ascii="宋体"/>
                <w:vanish/>
              </w:rPr>
            </w:pPr>
          </w:p>
        </w:tc>
        <w:tc>
          <w:tcPr>
            <w:tcW w:w="0" w:type="auto"/>
            <w:gridSpan w:val="3"/>
            <w:shd w:val="clear" w:color="auto" w:fill="auto"/>
            <w:vAlign w:val="bottom"/>
          </w:tcPr>
          <w:p w14:paraId="71D45709" w14:textId="77777777" w:rsidR="006A3667" w:rsidRDefault="006A3667">
            <w:pPr>
              <w:rPr>
                <w:rFonts w:ascii="宋体"/>
                <w:vanish/>
              </w:rPr>
            </w:pPr>
          </w:p>
        </w:tc>
        <w:tc>
          <w:tcPr>
            <w:tcW w:w="0" w:type="auto"/>
            <w:gridSpan w:val="3"/>
            <w:shd w:val="clear" w:color="auto" w:fill="auto"/>
            <w:vAlign w:val="bottom"/>
          </w:tcPr>
          <w:p w14:paraId="71D4570A" w14:textId="77777777" w:rsidR="006A3667" w:rsidRDefault="006A3667">
            <w:pPr>
              <w:rPr>
                <w:rFonts w:ascii="宋体"/>
                <w:vanish/>
              </w:rPr>
            </w:pPr>
          </w:p>
        </w:tc>
        <w:tc>
          <w:tcPr>
            <w:tcW w:w="0" w:type="auto"/>
            <w:gridSpan w:val="3"/>
            <w:shd w:val="clear" w:color="auto" w:fill="auto"/>
            <w:vAlign w:val="bottom"/>
          </w:tcPr>
          <w:p w14:paraId="71D4570B" w14:textId="77777777" w:rsidR="006A3667" w:rsidRDefault="006A3667">
            <w:pPr>
              <w:rPr>
                <w:rFonts w:ascii="宋体"/>
                <w:vanish/>
              </w:rPr>
            </w:pPr>
          </w:p>
        </w:tc>
      </w:tr>
      <w:tr w:rsidR="006A3667" w14:paraId="71D45719" w14:textId="77777777">
        <w:trPr>
          <w:hidden/>
        </w:trPr>
        <w:tc>
          <w:tcPr>
            <w:tcW w:w="0" w:type="auto"/>
            <w:gridSpan w:val="3"/>
            <w:shd w:val="clear" w:color="auto" w:fill="auto"/>
            <w:vAlign w:val="bottom"/>
          </w:tcPr>
          <w:p w14:paraId="71D4570D" w14:textId="77777777" w:rsidR="006A3667" w:rsidRDefault="006A3667">
            <w:pPr>
              <w:rPr>
                <w:rFonts w:ascii="宋体"/>
                <w:vanish/>
              </w:rPr>
            </w:pPr>
          </w:p>
        </w:tc>
        <w:tc>
          <w:tcPr>
            <w:tcW w:w="0" w:type="auto"/>
            <w:gridSpan w:val="3"/>
            <w:shd w:val="clear" w:color="auto" w:fill="auto"/>
            <w:vAlign w:val="bottom"/>
          </w:tcPr>
          <w:p w14:paraId="71D4570E" w14:textId="77777777" w:rsidR="006A3667" w:rsidRDefault="006A3667">
            <w:pPr>
              <w:rPr>
                <w:rFonts w:ascii="宋体"/>
                <w:vanish/>
              </w:rPr>
            </w:pPr>
          </w:p>
        </w:tc>
        <w:tc>
          <w:tcPr>
            <w:tcW w:w="0" w:type="auto"/>
            <w:gridSpan w:val="3"/>
            <w:shd w:val="clear" w:color="auto" w:fill="auto"/>
            <w:vAlign w:val="bottom"/>
          </w:tcPr>
          <w:p w14:paraId="71D4570F" w14:textId="77777777" w:rsidR="006A3667" w:rsidRDefault="006A3667">
            <w:pPr>
              <w:rPr>
                <w:rFonts w:ascii="宋体"/>
                <w:vanish/>
              </w:rPr>
            </w:pPr>
          </w:p>
        </w:tc>
        <w:tc>
          <w:tcPr>
            <w:tcW w:w="0" w:type="auto"/>
            <w:gridSpan w:val="3"/>
            <w:shd w:val="clear" w:color="auto" w:fill="auto"/>
            <w:vAlign w:val="bottom"/>
          </w:tcPr>
          <w:p w14:paraId="71D45710" w14:textId="77777777" w:rsidR="006A3667" w:rsidRDefault="006A3667">
            <w:pPr>
              <w:rPr>
                <w:rFonts w:ascii="宋体"/>
                <w:vanish/>
              </w:rPr>
            </w:pPr>
          </w:p>
        </w:tc>
        <w:tc>
          <w:tcPr>
            <w:tcW w:w="0" w:type="auto"/>
            <w:gridSpan w:val="3"/>
            <w:shd w:val="clear" w:color="auto" w:fill="auto"/>
            <w:vAlign w:val="bottom"/>
          </w:tcPr>
          <w:p w14:paraId="71D45711" w14:textId="77777777" w:rsidR="006A3667" w:rsidRDefault="006A3667">
            <w:pPr>
              <w:rPr>
                <w:rFonts w:ascii="宋体"/>
                <w:vanish/>
              </w:rPr>
            </w:pPr>
          </w:p>
        </w:tc>
        <w:tc>
          <w:tcPr>
            <w:tcW w:w="0" w:type="auto"/>
            <w:gridSpan w:val="3"/>
            <w:shd w:val="clear" w:color="auto" w:fill="auto"/>
            <w:vAlign w:val="bottom"/>
          </w:tcPr>
          <w:p w14:paraId="71D45712" w14:textId="77777777" w:rsidR="006A3667" w:rsidRDefault="006A3667">
            <w:pPr>
              <w:rPr>
                <w:rFonts w:ascii="宋体"/>
                <w:vanish/>
              </w:rPr>
            </w:pPr>
          </w:p>
        </w:tc>
        <w:tc>
          <w:tcPr>
            <w:tcW w:w="0" w:type="auto"/>
            <w:gridSpan w:val="3"/>
            <w:shd w:val="clear" w:color="auto" w:fill="auto"/>
            <w:vAlign w:val="bottom"/>
          </w:tcPr>
          <w:p w14:paraId="71D45713" w14:textId="77777777" w:rsidR="006A3667" w:rsidRDefault="006A3667">
            <w:pPr>
              <w:rPr>
                <w:rFonts w:ascii="宋体"/>
                <w:vanish/>
              </w:rPr>
            </w:pPr>
          </w:p>
        </w:tc>
        <w:tc>
          <w:tcPr>
            <w:tcW w:w="0" w:type="auto"/>
            <w:gridSpan w:val="3"/>
            <w:shd w:val="clear" w:color="auto" w:fill="auto"/>
            <w:vAlign w:val="bottom"/>
          </w:tcPr>
          <w:p w14:paraId="71D45714" w14:textId="77777777" w:rsidR="006A3667" w:rsidRDefault="006A3667">
            <w:pPr>
              <w:rPr>
                <w:rFonts w:ascii="宋体"/>
                <w:vanish/>
              </w:rPr>
            </w:pPr>
          </w:p>
        </w:tc>
        <w:tc>
          <w:tcPr>
            <w:tcW w:w="0" w:type="auto"/>
            <w:gridSpan w:val="3"/>
            <w:shd w:val="clear" w:color="auto" w:fill="auto"/>
            <w:vAlign w:val="bottom"/>
          </w:tcPr>
          <w:p w14:paraId="71D45715" w14:textId="77777777" w:rsidR="006A3667" w:rsidRDefault="006A3667">
            <w:pPr>
              <w:rPr>
                <w:rFonts w:ascii="宋体"/>
                <w:vanish/>
              </w:rPr>
            </w:pPr>
          </w:p>
        </w:tc>
        <w:tc>
          <w:tcPr>
            <w:tcW w:w="0" w:type="auto"/>
            <w:gridSpan w:val="3"/>
            <w:shd w:val="clear" w:color="auto" w:fill="auto"/>
            <w:vAlign w:val="bottom"/>
          </w:tcPr>
          <w:p w14:paraId="71D45716" w14:textId="77777777" w:rsidR="006A3667" w:rsidRDefault="006A3667">
            <w:pPr>
              <w:rPr>
                <w:rFonts w:ascii="宋体"/>
                <w:vanish/>
              </w:rPr>
            </w:pPr>
          </w:p>
        </w:tc>
        <w:tc>
          <w:tcPr>
            <w:tcW w:w="0" w:type="auto"/>
            <w:gridSpan w:val="3"/>
            <w:shd w:val="clear" w:color="auto" w:fill="auto"/>
            <w:vAlign w:val="bottom"/>
          </w:tcPr>
          <w:p w14:paraId="71D45717" w14:textId="77777777" w:rsidR="006A3667" w:rsidRDefault="006A3667">
            <w:pPr>
              <w:rPr>
                <w:rFonts w:ascii="宋体"/>
                <w:vanish/>
              </w:rPr>
            </w:pPr>
          </w:p>
        </w:tc>
        <w:tc>
          <w:tcPr>
            <w:tcW w:w="0" w:type="auto"/>
            <w:gridSpan w:val="3"/>
            <w:shd w:val="clear" w:color="auto" w:fill="auto"/>
            <w:vAlign w:val="bottom"/>
          </w:tcPr>
          <w:p w14:paraId="71D45718" w14:textId="77777777" w:rsidR="006A3667" w:rsidRDefault="006A3667">
            <w:pPr>
              <w:rPr>
                <w:rFonts w:ascii="宋体"/>
                <w:vanish/>
              </w:rPr>
            </w:pPr>
          </w:p>
        </w:tc>
      </w:tr>
      <w:tr w:rsidR="006A3667" w14:paraId="71D45726" w14:textId="77777777">
        <w:trPr>
          <w:hidden/>
        </w:trPr>
        <w:tc>
          <w:tcPr>
            <w:tcW w:w="0" w:type="auto"/>
            <w:gridSpan w:val="3"/>
            <w:shd w:val="clear" w:color="auto" w:fill="auto"/>
            <w:vAlign w:val="bottom"/>
          </w:tcPr>
          <w:p w14:paraId="71D4571A" w14:textId="77777777" w:rsidR="006A3667" w:rsidRDefault="006A3667">
            <w:pPr>
              <w:rPr>
                <w:rFonts w:ascii="宋体"/>
                <w:vanish/>
              </w:rPr>
            </w:pPr>
          </w:p>
        </w:tc>
        <w:tc>
          <w:tcPr>
            <w:tcW w:w="0" w:type="auto"/>
            <w:gridSpan w:val="3"/>
            <w:shd w:val="clear" w:color="auto" w:fill="auto"/>
            <w:vAlign w:val="bottom"/>
          </w:tcPr>
          <w:p w14:paraId="71D4571B" w14:textId="77777777" w:rsidR="006A3667" w:rsidRDefault="006A3667">
            <w:pPr>
              <w:rPr>
                <w:rFonts w:ascii="宋体"/>
                <w:vanish/>
              </w:rPr>
            </w:pPr>
          </w:p>
        </w:tc>
        <w:tc>
          <w:tcPr>
            <w:tcW w:w="0" w:type="auto"/>
            <w:gridSpan w:val="3"/>
            <w:shd w:val="clear" w:color="auto" w:fill="auto"/>
            <w:vAlign w:val="bottom"/>
          </w:tcPr>
          <w:p w14:paraId="71D4571C" w14:textId="77777777" w:rsidR="006A3667" w:rsidRDefault="006A3667">
            <w:pPr>
              <w:rPr>
                <w:rFonts w:ascii="宋体"/>
                <w:vanish/>
              </w:rPr>
            </w:pPr>
          </w:p>
        </w:tc>
        <w:tc>
          <w:tcPr>
            <w:tcW w:w="0" w:type="auto"/>
            <w:gridSpan w:val="3"/>
            <w:shd w:val="clear" w:color="auto" w:fill="auto"/>
            <w:vAlign w:val="bottom"/>
          </w:tcPr>
          <w:p w14:paraId="71D4571D" w14:textId="77777777" w:rsidR="006A3667" w:rsidRDefault="006A3667">
            <w:pPr>
              <w:rPr>
                <w:rFonts w:ascii="宋体"/>
                <w:vanish/>
              </w:rPr>
            </w:pPr>
          </w:p>
        </w:tc>
        <w:tc>
          <w:tcPr>
            <w:tcW w:w="0" w:type="auto"/>
            <w:gridSpan w:val="3"/>
            <w:shd w:val="clear" w:color="auto" w:fill="auto"/>
            <w:vAlign w:val="bottom"/>
          </w:tcPr>
          <w:p w14:paraId="71D4571E" w14:textId="77777777" w:rsidR="006A3667" w:rsidRDefault="006A3667">
            <w:pPr>
              <w:rPr>
                <w:rFonts w:ascii="宋体"/>
                <w:vanish/>
              </w:rPr>
            </w:pPr>
          </w:p>
        </w:tc>
        <w:tc>
          <w:tcPr>
            <w:tcW w:w="0" w:type="auto"/>
            <w:gridSpan w:val="3"/>
            <w:shd w:val="clear" w:color="auto" w:fill="auto"/>
            <w:vAlign w:val="bottom"/>
          </w:tcPr>
          <w:p w14:paraId="71D4571F" w14:textId="77777777" w:rsidR="006A3667" w:rsidRDefault="006A3667">
            <w:pPr>
              <w:rPr>
                <w:rFonts w:ascii="宋体"/>
                <w:vanish/>
              </w:rPr>
            </w:pPr>
          </w:p>
        </w:tc>
        <w:tc>
          <w:tcPr>
            <w:tcW w:w="0" w:type="auto"/>
            <w:gridSpan w:val="3"/>
            <w:shd w:val="clear" w:color="auto" w:fill="auto"/>
            <w:vAlign w:val="bottom"/>
          </w:tcPr>
          <w:p w14:paraId="71D45720" w14:textId="77777777" w:rsidR="006A3667" w:rsidRDefault="006A3667">
            <w:pPr>
              <w:rPr>
                <w:rFonts w:ascii="宋体"/>
                <w:vanish/>
              </w:rPr>
            </w:pPr>
          </w:p>
        </w:tc>
        <w:tc>
          <w:tcPr>
            <w:tcW w:w="0" w:type="auto"/>
            <w:gridSpan w:val="3"/>
            <w:shd w:val="clear" w:color="auto" w:fill="auto"/>
            <w:vAlign w:val="bottom"/>
          </w:tcPr>
          <w:p w14:paraId="71D45721" w14:textId="77777777" w:rsidR="006A3667" w:rsidRDefault="006A3667">
            <w:pPr>
              <w:rPr>
                <w:rFonts w:ascii="宋体"/>
                <w:vanish/>
              </w:rPr>
            </w:pPr>
          </w:p>
        </w:tc>
        <w:tc>
          <w:tcPr>
            <w:tcW w:w="0" w:type="auto"/>
            <w:gridSpan w:val="3"/>
            <w:shd w:val="clear" w:color="auto" w:fill="auto"/>
            <w:vAlign w:val="bottom"/>
          </w:tcPr>
          <w:p w14:paraId="71D45722" w14:textId="77777777" w:rsidR="006A3667" w:rsidRDefault="006A3667">
            <w:pPr>
              <w:rPr>
                <w:rFonts w:ascii="宋体"/>
                <w:vanish/>
              </w:rPr>
            </w:pPr>
          </w:p>
        </w:tc>
        <w:tc>
          <w:tcPr>
            <w:tcW w:w="0" w:type="auto"/>
            <w:gridSpan w:val="3"/>
            <w:shd w:val="clear" w:color="auto" w:fill="auto"/>
            <w:vAlign w:val="bottom"/>
          </w:tcPr>
          <w:p w14:paraId="71D45723" w14:textId="77777777" w:rsidR="006A3667" w:rsidRDefault="006A3667">
            <w:pPr>
              <w:rPr>
                <w:rFonts w:ascii="宋体"/>
                <w:vanish/>
              </w:rPr>
            </w:pPr>
          </w:p>
        </w:tc>
        <w:tc>
          <w:tcPr>
            <w:tcW w:w="0" w:type="auto"/>
            <w:gridSpan w:val="3"/>
            <w:shd w:val="clear" w:color="auto" w:fill="auto"/>
            <w:vAlign w:val="bottom"/>
          </w:tcPr>
          <w:p w14:paraId="71D45724" w14:textId="77777777" w:rsidR="006A3667" w:rsidRDefault="006A3667">
            <w:pPr>
              <w:rPr>
                <w:rFonts w:ascii="宋体"/>
                <w:vanish/>
              </w:rPr>
            </w:pPr>
          </w:p>
        </w:tc>
        <w:tc>
          <w:tcPr>
            <w:tcW w:w="0" w:type="auto"/>
            <w:gridSpan w:val="3"/>
            <w:shd w:val="clear" w:color="auto" w:fill="auto"/>
            <w:vAlign w:val="bottom"/>
          </w:tcPr>
          <w:p w14:paraId="71D45725" w14:textId="77777777" w:rsidR="006A3667" w:rsidRDefault="006A3667">
            <w:pPr>
              <w:rPr>
                <w:rFonts w:ascii="宋体"/>
                <w:vanish/>
              </w:rPr>
            </w:pPr>
          </w:p>
        </w:tc>
      </w:tr>
    </w:tbl>
    <w:p w14:paraId="71D45727" w14:textId="77777777" w:rsidR="006A3667" w:rsidRDefault="006A3667">
      <w:pPr>
        <w:ind w:firstLine="450"/>
        <w:jc w:val="center"/>
      </w:pPr>
    </w:p>
    <w:tbl>
      <w:tblPr>
        <w:tblW w:w="4985" w:type="pct"/>
        <w:tblCellMar>
          <w:top w:w="15" w:type="dxa"/>
          <w:left w:w="15" w:type="dxa"/>
          <w:bottom w:w="15" w:type="dxa"/>
          <w:right w:w="15" w:type="dxa"/>
        </w:tblCellMar>
        <w:tblLook w:val="04A0" w:firstRow="1" w:lastRow="0" w:firstColumn="1" w:lastColumn="0" w:noHBand="0" w:noVBand="1"/>
      </w:tblPr>
      <w:tblGrid>
        <w:gridCol w:w="39"/>
        <w:gridCol w:w="3337"/>
        <w:gridCol w:w="37"/>
        <w:gridCol w:w="98"/>
        <w:gridCol w:w="554"/>
        <w:gridCol w:w="36"/>
        <w:gridCol w:w="36"/>
        <w:gridCol w:w="36"/>
        <w:gridCol w:w="36"/>
        <w:gridCol w:w="99"/>
        <w:gridCol w:w="664"/>
        <w:gridCol w:w="36"/>
        <w:gridCol w:w="36"/>
        <w:gridCol w:w="36"/>
        <w:gridCol w:w="36"/>
        <w:gridCol w:w="98"/>
        <w:gridCol w:w="501"/>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6A3667" w14:paraId="71D4574C" w14:textId="77777777">
        <w:tc>
          <w:tcPr>
            <w:tcW w:w="50" w:type="pct"/>
            <w:shd w:val="clear" w:color="auto" w:fill="auto"/>
            <w:vAlign w:val="bottom"/>
          </w:tcPr>
          <w:p w14:paraId="71D45728" w14:textId="77777777" w:rsidR="006A3667" w:rsidRDefault="006A3667">
            <w:pPr>
              <w:rPr>
                <w:rFonts w:ascii="宋体"/>
              </w:rPr>
            </w:pPr>
          </w:p>
        </w:tc>
        <w:tc>
          <w:tcPr>
            <w:tcW w:w="2034" w:type="pct"/>
            <w:shd w:val="clear" w:color="auto" w:fill="auto"/>
            <w:vAlign w:val="bottom"/>
          </w:tcPr>
          <w:p w14:paraId="71D45729" w14:textId="77777777" w:rsidR="006A3667" w:rsidRDefault="006A3667">
            <w:pPr>
              <w:rPr>
                <w:rFonts w:ascii="宋体"/>
              </w:rPr>
            </w:pPr>
          </w:p>
        </w:tc>
        <w:tc>
          <w:tcPr>
            <w:tcW w:w="5" w:type="pct"/>
            <w:shd w:val="clear" w:color="auto" w:fill="auto"/>
            <w:vAlign w:val="bottom"/>
          </w:tcPr>
          <w:p w14:paraId="71D4572A" w14:textId="77777777" w:rsidR="006A3667" w:rsidRDefault="006A3667">
            <w:pPr>
              <w:rPr>
                <w:rFonts w:ascii="宋体"/>
              </w:rPr>
            </w:pPr>
          </w:p>
        </w:tc>
        <w:tc>
          <w:tcPr>
            <w:tcW w:w="50" w:type="pct"/>
            <w:shd w:val="clear" w:color="auto" w:fill="auto"/>
            <w:vAlign w:val="bottom"/>
          </w:tcPr>
          <w:p w14:paraId="71D4572B" w14:textId="77777777" w:rsidR="006A3667" w:rsidRDefault="006A3667">
            <w:pPr>
              <w:rPr>
                <w:rFonts w:ascii="宋体"/>
              </w:rPr>
            </w:pPr>
          </w:p>
        </w:tc>
        <w:tc>
          <w:tcPr>
            <w:tcW w:w="362" w:type="pct"/>
            <w:shd w:val="clear" w:color="auto" w:fill="auto"/>
            <w:vAlign w:val="bottom"/>
          </w:tcPr>
          <w:p w14:paraId="71D4572C" w14:textId="77777777" w:rsidR="006A3667" w:rsidRDefault="006A3667">
            <w:pPr>
              <w:rPr>
                <w:rFonts w:ascii="宋体"/>
              </w:rPr>
            </w:pPr>
          </w:p>
        </w:tc>
        <w:tc>
          <w:tcPr>
            <w:tcW w:w="5" w:type="pct"/>
            <w:shd w:val="clear" w:color="auto" w:fill="auto"/>
            <w:vAlign w:val="bottom"/>
          </w:tcPr>
          <w:p w14:paraId="71D4572D" w14:textId="77777777" w:rsidR="006A3667" w:rsidRDefault="006A3667">
            <w:pPr>
              <w:rPr>
                <w:rFonts w:ascii="宋体"/>
              </w:rPr>
            </w:pPr>
          </w:p>
        </w:tc>
        <w:tc>
          <w:tcPr>
            <w:tcW w:w="5" w:type="pct"/>
            <w:shd w:val="clear" w:color="auto" w:fill="auto"/>
            <w:vAlign w:val="bottom"/>
          </w:tcPr>
          <w:p w14:paraId="71D4572E" w14:textId="77777777" w:rsidR="006A3667" w:rsidRDefault="006A3667">
            <w:pPr>
              <w:rPr>
                <w:rFonts w:ascii="宋体"/>
              </w:rPr>
            </w:pPr>
          </w:p>
        </w:tc>
        <w:tc>
          <w:tcPr>
            <w:tcW w:w="26" w:type="pct"/>
            <w:shd w:val="clear" w:color="auto" w:fill="auto"/>
            <w:vAlign w:val="bottom"/>
          </w:tcPr>
          <w:p w14:paraId="71D4572F" w14:textId="77777777" w:rsidR="006A3667" w:rsidRDefault="006A3667">
            <w:pPr>
              <w:rPr>
                <w:rFonts w:ascii="宋体"/>
              </w:rPr>
            </w:pPr>
          </w:p>
        </w:tc>
        <w:tc>
          <w:tcPr>
            <w:tcW w:w="5" w:type="pct"/>
            <w:shd w:val="clear" w:color="auto" w:fill="auto"/>
            <w:vAlign w:val="bottom"/>
          </w:tcPr>
          <w:p w14:paraId="71D45730" w14:textId="77777777" w:rsidR="006A3667" w:rsidRDefault="006A3667">
            <w:pPr>
              <w:rPr>
                <w:rFonts w:ascii="宋体"/>
              </w:rPr>
            </w:pPr>
          </w:p>
        </w:tc>
        <w:tc>
          <w:tcPr>
            <w:tcW w:w="50" w:type="pct"/>
            <w:shd w:val="clear" w:color="auto" w:fill="auto"/>
            <w:vAlign w:val="bottom"/>
          </w:tcPr>
          <w:p w14:paraId="71D45731" w14:textId="77777777" w:rsidR="006A3667" w:rsidRDefault="006A3667">
            <w:pPr>
              <w:rPr>
                <w:rFonts w:ascii="宋体"/>
              </w:rPr>
            </w:pPr>
          </w:p>
        </w:tc>
        <w:tc>
          <w:tcPr>
            <w:tcW w:w="436" w:type="pct"/>
            <w:shd w:val="clear" w:color="auto" w:fill="auto"/>
            <w:vAlign w:val="bottom"/>
          </w:tcPr>
          <w:p w14:paraId="71D45732" w14:textId="77777777" w:rsidR="006A3667" w:rsidRDefault="006A3667">
            <w:pPr>
              <w:rPr>
                <w:rFonts w:ascii="宋体"/>
              </w:rPr>
            </w:pPr>
          </w:p>
        </w:tc>
        <w:tc>
          <w:tcPr>
            <w:tcW w:w="5" w:type="pct"/>
            <w:shd w:val="clear" w:color="auto" w:fill="auto"/>
            <w:vAlign w:val="bottom"/>
          </w:tcPr>
          <w:p w14:paraId="71D45733" w14:textId="77777777" w:rsidR="006A3667" w:rsidRDefault="006A3667">
            <w:pPr>
              <w:rPr>
                <w:rFonts w:ascii="宋体"/>
              </w:rPr>
            </w:pPr>
          </w:p>
        </w:tc>
        <w:tc>
          <w:tcPr>
            <w:tcW w:w="5" w:type="pct"/>
            <w:shd w:val="clear" w:color="auto" w:fill="auto"/>
            <w:vAlign w:val="bottom"/>
          </w:tcPr>
          <w:p w14:paraId="71D45734" w14:textId="77777777" w:rsidR="006A3667" w:rsidRDefault="006A3667">
            <w:pPr>
              <w:rPr>
                <w:rFonts w:ascii="宋体"/>
              </w:rPr>
            </w:pPr>
          </w:p>
        </w:tc>
        <w:tc>
          <w:tcPr>
            <w:tcW w:w="26" w:type="pct"/>
            <w:shd w:val="clear" w:color="auto" w:fill="auto"/>
            <w:vAlign w:val="bottom"/>
          </w:tcPr>
          <w:p w14:paraId="71D45735" w14:textId="77777777" w:rsidR="006A3667" w:rsidRDefault="006A3667">
            <w:pPr>
              <w:rPr>
                <w:rFonts w:ascii="宋体"/>
              </w:rPr>
            </w:pPr>
          </w:p>
        </w:tc>
        <w:tc>
          <w:tcPr>
            <w:tcW w:w="5" w:type="pct"/>
            <w:shd w:val="clear" w:color="auto" w:fill="auto"/>
            <w:vAlign w:val="bottom"/>
          </w:tcPr>
          <w:p w14:paraId="71D45736" w14:textId="77777777" w:rsidR="006A3667" w:rsidRDefault="006A3667">
            <w:pPr>
              <w:rPr>
                <w:rFonts w:ascii="宋体"/>
              </w:rPr>
            </w:pPr>
          </w:p>
        </w:tc>
        <w:tc>
          <w:tcPr>
            <w:tcW w:w="50" w:type="pct"/>
            <w:shd w:val="clear" w:color="auto" w:fill="auto"/>
            <w:vAlign w:val="bottom"/>
          </w:tcPr>
          <w:p w14:paraId="71D45737" w14:textId="77777777" w:rsidR="006A3667" w:rsidRDefault="006A3667">
            <w:pPr>
              <w:rPr>
                <w:rFonts w:ascii="宋体"/>
              </w:rPr>
            </w:pPr>
          </w:p>
        </w:tc>
        <w:tc>
          <w:tcPr>
            <w:tcW w:w="362" w:type="pct"/>
            <w:shd w:val="clear" w:color="auto" w:fill="auto"/>
            <w:vAlign w:val="bottom"/>
          </w:tcPr>
          <w:p w14:paraId="71D45738" w14:textId="77777777" w:rsidR="006A3667" w:rsidRDefault="006A3667">
            <w:pPr>
              <w:rPr>
                <w:rFonts w:ascii="宋体"/>
              </w:rPr>
            </w:pPr>
          </w:p>
        </w:tc>
        <w:tc>
          <w:tcPr>
            <w:tcW w:w="5" w:type="pct"/>
            <w:shd w:val="clear" w:color="auto" w:fill="auto"/>
            <w:vAlign w:val="bottom"/>
          </w:tcPr>
          <w:p w14:paraId="71D45739" w14:textId="77777777" w:rsidR="006A3667" w:rsidRDefault="006A3667">
            <w:pPr>
              <w:rPr>
                <w:rFonts w:ascii="宋体"/>
              </w:rPr>
            </w:pPr>
          </w:p>
        </w:tc>
        <w:tc>
          <w:tcPr>
            <w:tcW w:w="5" w:type="pct"/>
            <w:shd w:val="clear" w:color="auto" w:fill="auto"/>
            <w:vAlign w:val="bottom"/>
          </w:tcPr>
          <w:p w14:paraId="71D4573A" w14:textId="77777777" w:rsidR="006A3667" w:rsidRDefault="006A3667">
            <w:pPr>
              <w:rPr>
                <w:rFonts w:ascii="宋体"/>
              </w:rPr>
            </w:pPr>
          </w:p>
        </w:tc>
        <w:tc>
          <w:tcPr>
            <w:tcW w:w="26" w:type="pct"/>
            <w:shd w:val="clear" w:color="auto" w:fill="auto"/>
            <w:vAlign w:val="bottom"/>
          </w:tcPr>
          <w:p w14:paraId="71D4573B" w14:textId="77777777" w:rsidR="006A3667" w:rsidRDefault="006A3667">
            <w:pPr>
              <w:rPr>
                <w:rFonts w:ascii="宋体"/>
              </w:rPr>
            </w:pPr>
          </w:p>
        </w:tc>
        <w:tc>
          <w:tcPr>
            <w:tcW w:w="5" w:type="pct"/>
            <w:shd w:val="clear" w:color="auto" w:fill="auto"/>
            <w:vAlign w:val="bottom"/>
          </w:tcPr>
          <w:p w14:paraId="71D4573C" w14:textId="77777777" w:rsidR="006A3667" w:rsidRDefault="006A3667">
            <w:pPr>
              <w:rPr>
                <w:rFonts w:ascii="宋体"/>
              </w:rPr>
            </w:pPr>
          </w:p>
        </w:tc>
        <w:tc>
          <w:tcPr>
            <w:tcW w:w="50" w:type="pct"/>
            <w:shd w:val="clear" w:color="auto" w:fill="auto"/>
            <w:vAlign w:val="bottom"/>
          </w:tcPr>
          <w:p w14:paraId="71D4573D" w14:textId="77777777" w:rsidR="006A3667" w:rsidRDefault="006A3667">
            <w:pPr>
              <w:rPr>
                <w:rFonts w:ascii="宋体"/>
              </w:rPr>
            </w:pPr>
          </w:p>
        </w:tc>
        <w:tc>
          <w:tcPr>
            <w:tcW w:w="436" w:type="pct"/>
            <w:shd w:val="clear" w:color="auto" w:fill="auto"/>
            <w:vAlign w:val="bottom"/>
          </w:tcPr>
          <w:p w14:paraId="71D4573E" w14:textId="77777777" w:rsidR="006A3667" w:rsidRDefault="006A3667">
            <w:pPr>
              <w:rPr>
                <w:rFonts w:ascii="宋体"/>
              </w:rPr>
            </w:pPr>
          </w:p>
        </w:tc>
        <w:tc>
          <w:tcPr>
            <w:tcW w:w="5" w:type="pct"/>
            <w:shd w:val="clear" w:color="auto" w:fill="auto"/>
            <w:vAlign w:val="bottom"/>
          </w:tcPr>
          <w:p w14:paraId="71D4573F" w14:textId="77777777" w:rsidR="006A3667" w:rsidRDefault="006A3667">
            <w:pPr>
              <w:rPr>
                <w:rFonts w:ascii="宋体"/>
              </w:rPr>
            </w:pPr>
          </w:p>
        </w:tc>
        <w:tc>
          <w:tcPr>
            <w:tcW w:w="5" w:type="pct"/>
            <w:shd w:val="clear" w:color="auto" w:fill="auto"/>
            <w:vAlign w:val="bottom"/>
          </w:tcPr>
          <w:p w14:paraId="71D45740" w14:textId="77777777" w:rsidR="006A3667" w:rsidRDefault="006A3667">
            <w:pPr>
              <w:rPr>
                <w:rFonts w:ascii="宋体"/>
              </w:rPr>
            </w:pPr>
          </w:p>
        </w:tc>
        <w:tc>
          <w:tcPr>
            <w:tcW w:w="26" w:type="pct"/>
            <w:shd w:val="clear" w:color="auto" w:fill="auto"/>
            <w:vAlign w:val="bottom"/>
          </w:tcPr>
          <w:p w14:paraId="71D45741" w14:textId="77777777" w:rsidR="006A3667" w:rsidRDefault="006A3667">
            <w:pPr>
              <w:rPr>
                <w:rFonts w:ascii="宋体"/>
              </w:rPr>
            </w:pPr>
          </w:p>
        </w:tc>
        <w:tc>
          <w:tcPr>
            <w:tcW w:w="5" w:type="pct"/>
            <w:shd w:val="clear" w:color="auto" w:fill="auto"/>
            <w:vAlign w:val="bottom"/>
          </w:tcPr>
          <w:p w14:paraId="71D45742" w14:textId="77777777" w:rsidR="006A3667" w:rsidRDefault="006A3667">
            <w:pPr>
              <w:rPr>
                <w:rFonts w:ascii="宋体"/>
              </w:rPr>
            </w:pPr>
          </w:p>
        </w:tc>
        <w:tc>
          <w:tcPr>
            <w:tcW w:w="50" w:type="pct"/>
            <w:shd w:val="clear" w:color="auto" w:fill="auto"/>
            <w:vAlign w:val="bottom"/>
          </w:tcPr>
          <w:p w14:paraId="71D45743" w14:textId="77777777" w:rsidR="006A3667" w:rsidRDefault="006A3667">
            <w:pPr>
              <w:rPr>
                <w:rFonts w:ascii="宋体"/>
              </w:rPr>
            </w:pPr>
          </w:p>
        </w:tc>
        <w:tc>
          <w:tcPr>
            <w:tcW w:w="362" w:type="pct"/>
            <w:shd w:val="clear" w:color="auto" w:fill="auto"/>
            <w:vAlign w:val="bottom"/>
          </w:tcPr>
          <w:p w14:paraId="71D45744" w14:textId="77777777" w:rsidR="006A3667" w:rsidRDefault="006A3667">
            <w:pPr>
              <w:rPr>
                <w:rFonts w:ascii="宋体"/>
              </w:rPr>
            </w:pPr>
          </w:p>
        </w:tc>
        <w:tc>
          <w:tcPr>
            <w:tcW w:w="5" w:type="pct"/>
            <w:shd w:val="clear" w:color="auto" w:fill="auto"/>
            <w:vAlign w:val="bottom"/>
          </w:tcPr>
          <w:p w14:paraId="71D45745" w14:textId="77777777" w:rsidR="006A3667" w:rsidRDefault="006A3667">
            <w:pPr>
              <w:rPr>
                <w:rFonts w:ascii="宋体"/>
              </w:rPr>
            </w:pPr>
          </w:p>
        </w:tc>
        <w:tc>
          <w:tcPr>
            <w:tcW w:w="5" w:type="pct"/>
            <w:shd w:val="clear" w:color="auto" w:fill="auto"/>
            <w:vAlign w:val="bottom"/>
          </w:tcPr>
          <w:p w14:paraId="71D45746" w14:textId="77777777" w:rsidR="006A3667" w:rsidRDefault="006A3667">
            <w:pPr>
              <w:rPr>
                <w:rFonts w:ascii="宋体"/>
              </w:rPr>
            </w:pPr>
          </w:p>
        </w:tc>
        <w:tc>
          <w:tcPr>
            <w:tcW w:w="26" w:type="pct"/>
            <w:shd w:val="clear" w:color="auto" w:fill="auto"/>
            <w:vAlign w:val="bottom"/>
          </w:tcPr>
          <w:p w14:paraId="71D45747" w14:textId="77777777" w:rsidR="006A3667" w:rsidRDefault="006A3667">
            <w:pPr>
              <w:rPr>
                <w:rFonts w:ascii="宋体"/>
              </w:rPr>
            </w:pPr>
          </w:p>
        </w:tc>
        <w:tc>
          <w:tcPr>
            <w:tcW w:w="5" w:type="pct"/>
            <w:shd w:val="clear" w:color="auto" w:fill="auto"/>
            <w:vAlign w:val="bottom"/>
          </w:tcPr>
          <w:p w14:paraId="71D45748" w14:textId="77777777" w:rsidR="006A3667" w:rsidRDefault="006A3667">
            <w:pPr>
              <w:rPr>
                <w:rFonts w:ascii="宋体"/>
              </w:rPr>
            </w:pPr>
          </w:p>
        </w:tc>
        <w:tc>
          <w:tcPr>
            <w:tcW w:w="50" w:type="pct"/>
            <w:shd w:val="clear" w:color="auto" w:fill="auto"/>
            <w:vAlign w:val="bottom"/>
          </w:tcPr>
          <w:p w14:paraId="71D45749" w14:textId="77777777" w:rsidR="006A3667" w:rsidRDefault="006A3667">
            <w:pPr>
              <w:rPr>
                <w:rFonts w:ascii="宋体"/>
              </w:rPr>
            </w:pPr>
          </w:p>
        </w:tc>
        <w:tc>
          <w:tcPr>
            <w:tcW w:w="436" w:type="pct"/>
            <w:shd w:val="clear" w:color="auto" w:fill="auto"/>
            <w:vAlign w:val="bottom"/>
          </w:tcPr>
          <w:p w14:paraId="71D4574A" w14:textId="77777777" w:rsidR="006A3667" w:rsidRDefault="006A3667">
            <w:pPr>
              <w:rPr>
                <w:rFonts w:ascii="宋体"/>
              </w:rPr>
            </w:pPr>
          </w:p>
        </w:tc>
        <w:tc>
          <w:tcPr>
            <w:tcW w:w="5" w:type="pct"/>
            <w:shd w:val="clear" w:color="auto" w:fill="auto"/>
            <w:vAlign w:val="bottom"/>
          </w:tcPr>
          <w:p w14:paraId="71D4574B" w14:textId="77777777" w:rsidR="006A3667" w:rsidRDefault="006A3667">
            <w:pPr>
              <w:rPr>
                <w:rFonts w:ascii="宋体"/>
              </w:rPr>
            </w:pPr>
          </w:p>
        </w:tc>
      </w:tr>
      <w:tr w:rsidR="006A3667" w14:paraId="71D4574F" w14:textId="77777777">
        <w:tc>
          <w:tcPr>
            <w:tcW w:w="0" w:type="auto"/>
            <w:gridSpan w:val="3"/>
            <w:shd w:val="clear" w:color="auto" w:fill="auto"/>
            <w:tcMar>
              <w:top w:w="0" w:type="dxa"/>
              <w:left w:w="20" w:type="dxa"/>
              <w:bottom w:w="0" w:type="dxa"/>
              <w:right w:w="20" w:type="dxa"/>
            </w:tcMar>
            <w:vAlign w:val="bottom"/>
          </w:tcPr>
          <w:p w14:paraId="71D4574D"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4574E" w14:textId="77777777" w:rsidR="006A3667" w:rsidRDefault="00045F32">
            <w:pPr>
              <w:jc w:val="center"/>
              <w:textAlignment w:val="bottom"/>
            </w:pPr>
            <w:r>
              <w:rPr>
                <w:rFonts w:ascii="Arial" w:eastAsia="宋体" w:hAnsi="Arial" w:cs="Arial"/>
                <w:b/>
                <w:bCs/>
                <w:color w:val="000000"/>
                <w:sz w:val="14"/>
                <w:szCs w:val="14"/>
              </w:rPr>
              <w:t>As of December 31, 2021</w:t>
            </w:r>
          </w:p>
        </w:tc>
      </w:tr>
      <w:tr w:rsidR="006A3667" w14:paraId="71D45756" w14:textId="77777777">
        <w:tc>
          <w:tcPr>
            <w:tcW w:w="0" w:type="auto"/>
            <w:gridSpan w:val="3"/>
            <w:shd w:val="clear" w:color="auto" w:fill="auto"/>
            <w:tcMar>
              <w:top w:w="0" w:type="dxa"/>
              <w:left w:w="20" w:type="dxa"/>
              <w:bottom w:w="0" w:type="dxa"/>
              <w:right w:w="20" w:type="dxa"/>
            </w:tcMar>
            <w:vAlign w:val="bottom"/>
          </w:tcPr>
          <w:p w14:paraId="71D45750"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751" w14:textId="77777777" w:rsidR="006A3667" w:rsidRDefault="00045F32">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52"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753" w14:textId="77777777" w:rsidR="006A3667" w:rsidRDefault="00045F32">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54"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755"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5763" w14:textId="77777777">
        <w:tc>
          <w:tcPr>
            <w:tcW w:w="0" w:type="auto"/>
            <w:gridSpan w:val="3"/>
            <w:shd w:val="clear" w:color="auto" w:fill="auto"/>
            <w:tcMar>
              <w:top w:w="40" w:type="dxa"/>
              <w:left w:w="20" w:type="dxa"/>
              <w:bottom w:w="40" w:type="dxa"/>
              <w:right w:w="20" w:type="dxa"/>
            </w:tcMar>
            <w:vAlign w:val="bottom"/>
          </w:tcPr>
          <w:p w14:paraId="71D45757" w14:textId="77777777" w:rsidR="006A3667" w:rsidRDefault="00045F32">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758" w14:textId="77777777" w:rsidR="006A3667" w:rsidRDefault="00045F32">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5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75A" w14:textId="77777777" w:rsidR="006A3667" w:rsidRDefault="00045F32">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71D4575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75C" w14:textId="77777777" w:rsidR="006A3667" w:rsidRDefault="00045F32">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5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75E" w14:textId="77777777" w:rsidR="006A3667" w:rsidRDefault="00045F32">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71D4575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760" w14:textId="77777777" w:rsidR="006A3667" w:rsidRDefault="00045F32">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6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762" w14:textId="77777777" w:rsidR="006A3667" w:rsidRDefault="00045F32">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6A3667" w14:paraId="71D45770" w14:textId="77777777">
        <w:tc>
          <w:tcPr>
            <w:tcW w:w="0" w:type="auto"/>
            <w:gridSpan w:val="3"/>
            <w:shd w:val="clear" w:color="auto" w:fill="auto"/>
            <w:tcMar>
              <w:top w:w="40" w:type="dxa"/>
              <w:left w:w="20" w:type="dxa"/>
              <w:bottom w:w="40" w:type="dxa"/>
              <w:right w:w="20" w:type="dxa"/>
            </w:tcMar>
            <w:vAlign w:val="bottom"/>
          </w:tcPr>
          <w:p w14:paraId="71D45764" w14:textId="77777777" w:rsidR="006A3667" w:rsidRDefault="00045F32">
            <w:pPr>
              <w:textAlignment w:val="bottom"/>
            </w:pPr>
            <w:r>
              <w:rPr>
                <w:rFonts w:ascii="Arial" w:eastAsia="宋体" w:hAnsi="Arial" w:cs="Arial"/>
                <w:b/>
                <w:bCs/>
                <w:color w:val="000000"/>
                <w:sz w:val="14"/>
                <w:szCs w:val="14"/>
              </w:rPr>
              <w:t>Ava</w:t>
            </w:r>
            <w:r>
              <w:rPr>
                <w:rFonts w:ascii="Arial" w:eastAsia="宋体" w:hAnsi="Arial" w:cs="Arial"/>
                <w:b/>
                <w:bCs/>
                <w:color w:val="000000"/>
                <w:sz w:val="14"/>
                <w:szCs w:val="14"/>
              </w:rPr>
              <w:t>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6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6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6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6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6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6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6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6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6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76F" w14:textId="77777777" w:rsidR="006A3667" w:rsidRDefault="006A3667">
            <w:pPr>
              <w:rPr>
                <w:rFonts w:ascii="宋体"/>
              </w:rPr>
            </w:pPr>
          </w:p>
        </w:tc>
      </w:tr>
      <w:tr w:rsidR="006A3667" w14:paraId="71D4577D" w14:textId="77777777">
        <w:tc>
          <w:tcPr>
            <w:tcW w:w="0" w:type="auto"/>
            <w:gridSpan w:val="3"/>
            <w:shd w:val="clear" w:color="auto" w:fill="auto"/>
            <w:tcMar>
              <w:top w:w="40" w:type="dxa"/>
              <w:left w:w="20" w:type="dxa"/>
              <w:bottom w:w="40" w:type="dxa"/>
              <w:right w:w="20" w:type="dxa"/>
            </w:tcMar>
            <w:vAlign w:val="bottom"/>
          </w:tcPr>
          <w:p w14:paraId="71D45771" w14:textId="77777777" w:rsidR="006A3667" w:rsidRDefault="00045F32">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71D4577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77C" w14:textId="77777777" w:rsidR="006A3667" w:rsidRDefault="006A3667">
            <w:pPr>
              <w:rPr>
                <w:rFonts w:ascii="宋体"/>
              </w:rPr>
            </w:pPr>
          </w:p>
        </w:tc>
      </w:tr>
      <w:tr w:rsidR="006A3667" w14:paraId="71D45796" w14:textId="77777777">
        <w:tc>
          <w:tcPr>
            <w:tcW w:w="0" w:type="auto"/>
            <w:gridSpan w:val="3"/>
            <w:shd w:val="clear" w:color="auto" w:fill="CCEEFF"/>
            <w:tcMar>
              <w:top w:w="40" w:type="dxa"/>
              <w:left w:w="245" w:type="dxa"/>
              <w:bottom w:w="40" w:type="dxa"/>
              <w:right w:w="20" w:type="dxa"/>
            </w:tcMar>
            <w:vAlign w:val="bottom"/>
          </w:tcPr>
          <w:p w14:paraId="71D4577E" w14:textId="77777777" w:rsidR="006A3667" w:rsidRDefault="00045F32">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71D4577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5780" w14:textId="77777777" w:rsidR="006A3667" w:rsidRDefault="00045F32">
            <w:pPr>
              <w:jc w:val="right"/>
              <w:textAlignment w:val="bottom"/>
            </w:pPr>
            <w:r>
              <w:rPr>
                <w:rFonts w:ascii="Arial" w:eastAsia="宋体" w:hAnsi="Arial" w:cs="Arial"/>
                <w:color w:val="000000"/>
                <w:sz w:val="14"/>
                <w:szCs w:val="14"/>
              </w:rPr>
              <w:t>14,749 </w:t>
            </w:r>
          </w:p>
        </w:tc>
        <w:tc>
          <w:tcPr>
            <w:tcW w:w="0" w:type="auto"/>
            <w:shd w:val="clear" w:color="auto" w:fill="CCEEFF"/>
            <w:tcMar>
              <w:top w:w="40" w:type="dxa"/>
              <w:left w:w="0" w:type="dxa"/>
              <w:bottom w:w="40" w:type="dxa"/>
              <w:right w:w="20" w:type="dxa"/>
            </w:tcMar>
            <w:vAlign w:val="bottom"/>
          </w:tcPr>
          <w:p w14:paraId="71D457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8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78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5784" w14:textId="77777777" w:rsidR="006A3667" w:rsidRDefault="00045F32">
            <w:pPr>
              <w:jc w:val="right"/>
              <w:textAlignment w:val="bottom"/>
            </w:pPr>
            <w:r>
              <w:rPr>
                <w:rFonts w:ascii="Arial" w:eastAsia="宋体" w:hAnsi="Arial" w:cs="Arial"/>
                <w:color w:val="000000"/>
                <w:sz w:val="14"/>
                <w:szCs w:val="14"/>
              </w:rPr>
              <w:t>194 </w:t>
            </w:r>
          </w:p>
        </w:tc>
        <w:tc>
          <w:tcPr>
            <w:tcW w:w="0" w:type="auto"/>
            <w:shd w:val="clear" w:color="auto" w:fill="CCEEFF"/>
            <w:tcMar>
              <w:top w:w="40" w:type="dxa"/>
              <w:left w:w="0" w:type="dxa"/>
              <w:bottom w:w="40" w:type="dxa"/>
              <w:right w:w="20" w:type="dxa"/>
            </w:tcMar>
            <w:vAlign w:val="bottom"/>
          </w:tcPr>
          <w:p w14:paraId="71D4578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8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78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5788" w14:textId="77777777" w:rsidR="006A3667" w:rsidRDefault="00045F32">
            <w:pPr>
              <w:jc w:val="right"/>
              <w:textAlignment w:val="bottom"/>
            </w:pPr>
            <w:r>
              <w:rPr>
                <w:rFonts w:ascii="Arial" w:eastAsia="宋体" w:hAnsi="Arial" w:cs="Arial"/>
                <w:color w:val="000000"/>
                <w:sz w:val="14"/>
                <w:szCs w:val="14"/>
              </w:rPr>
              <w:t>1,624 </w:t>
            </w:r>
          </w:p>
        </w:tc>
        <w:tc>
          <w:tcPr>
            <w:tcW w:w="0" w:type="auto"/>
            <w:shd w:val="clear" w:color="auto" w:fill="CCEEFF"/>
            <w:tcMar>
              <w:top w:w="40" w:type="dxa"/>
              <w:left w:w="0" w:type="dxa"/>
              <w:bottom w:w="40" w:type="dxa"/>
              <w:right w:w="20" w:type="dxa"/>
            </w:tcMar>
            <w:vAlign w:val="bottom"/>
          </w:tcPr>
          <w:p w14:paraId="71D457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8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78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578C"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578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8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78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5790" w14:textId="77777777" w:rsidR="006A3667" w:rsidRDefault="00045F32">
            <w:pPr>
              <w:jc w:val="right"/>
              <w:textAlignment w:val="bottom"/>
            </w:pPr>
            <w:r>
              <w:rPr>
                <w:rFonts w:ascii="Arial" w:eastAsia="宋体" w:hAnsi="Arial" w:cs="Arial"/>
                <w:color w:val="000000"/>
                <w:sz w:val="14"/>
                <w:szCs w:val="14"/>
              </w:rPr>
              <w:t>16,373 </w:t>
            </w:r>
          </w:p>
        </w:tc>
        <w:tc>
          <w:tcPr>
            <w:tcW w:w="0" w:type="auto"/>
            <w:shd w:val="clear" w:color="auto" w:fill="CCEEFF"/>
            <w:tcMar>
              <w:top w:w="40" w:type="dxa"/>
              <w:left w:w="0" w:type="dxa"/>
              <w:bottom w:w="40" w:type="dxa"/>
              <w:right w:w="20" w:type="dxa"/>
            </w:tcMar>
            <w:vAlign w:val="bottom"/>
          </w:tcPr>
          <w:p w14:paraId="71D4579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9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79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5794" w14:textId="77777777" w:rsidR="006A3667" w:rsidRDefault="00045F32">
            <w:pPr>
              <w:jc w:val="right"/>
              <w:textAlignment w:val="bottom"/>
            </w:pPr>
            <w:r>
              <w:rPr>
                <w:rFonts w:ascii="Arial" w:eastAsia="宋体" w:hAnsi="Arial" w:cs="Arial"/>
                <w:color w:val="000000"/>
                <w:sz w:val="14"/>
                <w:szCs w:val="14"/>
              </w:rPr>
              <w:t>196 </w:t>
            </w:r>
          </w:p>
        </w:tc>
        <w:tc>
          <w:tcPr>
            <w:tcW w:w="0" w:type="auto"/>
            <w:shd w:val="clear" w:color="auto" w:fill="CCEEFF"/>
            <w:tcMar>
              <w:top w:w="40" w:type="dxa"/>
              <w:left w:w="0" w:type="dxa"/>
              <w:bottom w:w="40" w:type="dxa"/>
              <w:right w:w="20" w:type="dxa"/>
            </w:tcMar>
            <w:vAlign w:val="bottom"/>
          </w:tcPr>
          <w:p w14:paraId="71D45795" w14:textId="77777777" w:rsidR="006A3667" w:rsidRDefault="006A3667">
            <w:pPr>
              <w:jc w:val="right"/>
              <w:rPr>
                <w:rFonts w:ascii="宋体"/>
              </w:rPr>
            </w:pPr>
          </w:p>
        </w:tc>
      </w:tr>
      <w:tr w:rsidR="006A3667" w14:paraId="71D457A9" w14:textId="77777777">
        <w:tc>
          <w:tcPr>
            <w:tcW w:w="0" w:type="auto"/>
            <w:gridSpan w:val="3"/>
            <w:shd w:val="clear" w:color="auto" w:fill="FFFFFF"/>
            <w:tcMar>
              <w:top w:w="40" w:type="dxa"/>
              <w:left w:w="245" w:type="dxa"/>
              <w:bottom w:w="40" w:type="dxa"/>
              <w:right w:w="20" w:type="dxa"/>
            </w:tcMar>
            <w:vAlign w:val="bottom"/>
          </w:tcPr>
          <w:p w14:paraId="71D45797" w14:textId="77777777" w:rsidR="006A3667" w:rsidRDefault="00045F32">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71D45798" w14:textId="77777777" w:rsidR="006A3667" w:rsidRDefault="00045F32">
            <w:pPr>
              <w:jc w:val="right"/>
              <w:textAlignment w:val="bottom"/>
            </w:pPr>
            <w:r>
              <w:rPr>
                <w:rFonts w:ascii="Arial" w:eastAsia="宋体" w:hAnsi="Arial" w:cs="Arial"/>
                <w:color w:val="000000"/>
                <w:sz w:val="14"/>
                <w:szCs w:val="14"/>
              </w:rPr>
              <w:t>10,417 </w:t>
            </w:r>
          </w:p>
        </w:tc>
        <w:tc>
          <w:tcPr>
            <w:tcW w:w="0" w:type="auto"/>
            <w:shd w:val="clear" w:color="auto" w:fill="FFFFFF"/>
            <w:tcMar>
              <w:top w:w="40" w:type="dxa"/>
              <w:left w:w="0" w:type="dxa"/>
              <w:bottom w:w="40" w:type="dxa"/>
              <w:right w:w="20" w:type="dxa"/>
            </w:tcMar>
            <w:vAlign w:val="bottom"/>
          </w:tcPr>
          <w:p w14:paraId="71D457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79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79B" w14:textId="77777777" w:rsidR="006A3667" w:rsidRDefault="00045F32">
            <w:pPr>
              <w:jc w:val="right"/>
              <w:textAlignment w:val="bottom"/>
            </w:pPr>
            <w:r>
              <w:rPr>
                <w:rFonts w:ascii="Arial" w:eastAsia="宋体" w:hAnsi="Arial" w:cs="Arial"/>
                <w:color w:val="000000"/>
                <w:sz w:val="14"/>
                <w:szCs w:val="14"/>
              </w:rPr>
              <w:t>80 </w:t>
            </w:r>
          </w:p>
        </w:tc>
        <w:tc>
          <w:tcPr>
            <w:tcW w:w="0" w:type="auto"/>
            <w:shd w:val="clear" w:color="auto" w:fill="FFFFFF"/>
            <w:tcMar>
              <w:top w:w="40" w:type="dxa"/>
              <w:left w:w="0" w:type="dxa"/>
              <w:bottom w:w="40" w:type="dxa"/>
              <w:right w:w="20" w:type="dxa"/>
            </w:tcMar>
            <w:vAlign w:val="bottom"/>
          </w:tcPr>
          <w:p w14:paraId="71D457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79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79E" w14:textId="77777777" w:rsidR="006A3667" w:rsidRDefault="00045F32">
            <w:pPr>
              <w:jc w:val="right"/>
              <w:textAlignment w:val="bottom"/>
            </w:pPr>
            <w:r>
              <w:rPr>
                <w:rFonts w:ascii="Arial" w:eastAsia="宋体" w:hAnsi="Arial" w:cs="Arial"/>
                <w:color w:val="000000"/>
                <w:sz w:val="14"/>
                <w:szCs w:val="14"/>
              </w:rPr>
              <w:t>369 </w:t>
            </w:r>
          </w:p>
        </w:tc>
        <w:tc>
          <w:tcPr>
            <w:tcW w:w="0" w:type="auto"/>
            <w:shd w:val="clear" w:color="auto" w:fill="FFFFFF"/>
            <w:tcMar>
              <w:top w:w="40" w:type="dxa"/>
              <w:left w:w="0" w:type="dxa"/>
              <w:bottom w:w="40" w:type="dxa"/>
              <w:right w:w="20" w:type="dxa"/>
            </w:tcMar>
            <w:vAlign w:val="bottom"/>
          </w:tcPr>
          <w:p w14:paraId="71D4579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7A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7A1" w14:textId="77777777" w:rsidR="006A3667" w:rsidRDefault="00045F32">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71D457A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7A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7A4" w14:textId="77777777" w:rsidR="006A3667" w:rsidRDefault="00045F32">
            <w:pPr>
              <w:jc w:val="right"/>
              <w:textAlignment w:val="bottom"/>
            </w:pPr>
            <w:r>
              <w:rPr>
                <w:rFonts w:ascii="Arial" w:eastAsia="宋体" w:hAnsi="Arial" w:cs="Arial"/>
                <w:color w:val="000000"/>
                <w:sz w:val="14"/>
                <w:szCs w:val="14"/>
              </w:rPr>
              <w:t>10,786 </w:t>
            </w:r>
          </w:p>
        </w:tc>
        <w:tc>
          <w:tcPr>
            <w:tcW w:w="0" w:type="auto"/>
            <w:shd w:val="clear" w:color="auto" w:fill="FFFFFF"/>
            <w:tcMar>
              <w:top w:w="40" w:type="dxa"/>
              <w:left w:w="0" w:type="dxa"/>
              <w:bottom w:w="40" w:type="dxa"/>
              <w:right w:w="20" w:type="dxa"/>
            </w:tcMar>
            <w:vAlign w:val="bottom"/>
          </w:tcPr>
          <w:p w14:paraId="71D457A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7A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7A7" w14:textId="77777777" w:rsidR="006A3667" w:rsidRDefault="00045F32">
            <w:pPr>
              <w:jc w:val="right"/>
              <w:textAlignment w:val="bottom"/>
            </w:pPr>
            <w:r>
              <w:rPr>
                <w:rFonts w:ascii="Arial" w:eastAsia="宋体" w:hAnsi="Arial" w:cs="Arial"/>
                <w:color w:val="000000"/>
                <w:sz w:val="14"/>
                <w:szCs w:val="14"/>
              </w:rPr>
              <w:t>94 </w:t>
            </w:r>
          </w:p>
        </w:tc>
        <w:tc>
          <w:tcPr>
            <w:tcW w:w="0" w:type="auto"/>
            <w:shd w:val="clear" w:color="auto" w:fill="FFFFFF"/>
            <w:tcMar>
              <w:top w:w="40" w:type="dxa"/>
              <w:left w:w="0" w:type="dxa"/>
              <w:bottom w:w="40" w:type="dxa"/>
              <w:right w:w="20" w:type="dxa"/>
            </w:tcMar>
            <w:vAlign w:val="bottom"/>
          </w:tcPr>
          <w:p w14:paraId="71D457A8" w14:textId="77777777" w:rsidR="006A3667" w:rsidRDefault="006A3667">
            <w:pPr>
              <w:jc w:val="right"/>
              <w:rPr>
                <w:rFonts w:ascii="宋体"/>
              </w:rPr>
            </w:pPr>
          </w:p>
        </w:tc>
      </w:tr>
      <w:tr w:rsidR="006A3667" w14:paraId="71D457BC" w14:textId="77777777">
        <w:tc>
          <w:tcPr>
            <w:tcW w:w="0" w:type="auto"/>
            <w:gridSpan w:val="3"/>
            <w:shd w:val="clear" w:color="auto" w:fill="CCEEFF"/>
            <w:tcMar>
              <w:top w:w="40" w:type="dxa"/>
              <w:left w:w="515" w:type="dxa"/>
              <w:bottom w:w="40" w:type="dxa"/>
              <w:right w:w="20" w:type="dxa"/>
            </w:tcMar>
            <w:vAlign w:val="bottom"/>
          </w:tcPr>
          <w:p w14:paraId="71D457AA" w14:textId="77777777" w:rsidR="006A3667" w:rsidRDefault="00045F32">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7AB" w14:textId="77777777" w:rsidR="006A3667" w:rsidRDefault="00045F32">
            <w:pPr>
              <w:jc w:val="right"/>
              <w:textAlignment w:val="bottom"/>
            </w:pPr>
            <w:r>
              <w:rPr>
                <w:rFonts w:ascii="Arial" w:eastAsia="宋体" w:hAnsi="Arial" w:cs="Arial"/>
                <w:color w:val="000000"/>
                <w:sz w:val="14"/>
                <w:szCs w:val="14"/>
              </w:rPr>
              <w:t>25,166 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7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A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7AE" w14:textId="77777777" w:rsidR="006A3667" w:rsidRDefault="00045F32">
            <w:pPr>
              <w:jc w:val="right"/>
              <w:textAlignment w:val="bottom"/>
            </w:pPr>
            <w:r>
              <w:rPr>
                <w:rFonts w:ascii="Arial" w:eastAsia="宋体" w:hAnsi="Arial" w:cs="Arial"/>
                <w:color w:val="000000"/>
                <w:sz w:val="14"/>
                <w:szCs w:val="14"/>
              </w:rPr>
              <w:t>274 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7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B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7B1" w14:textId="77777777" w:rsidR="006A3667" w:rsidRDefault="00045F32">
            <w:pPr>
              <w:jc w:val="right"/>
              <w:textAlignment w:val="bottom"/>
            </w:pPr>
            <w:r>
              <w:rPr>
                <w:rFonts w:ascii="Arial" w:eastAsia="宋体" w:hAnsi="Arial" w:cs="Arial"/>
                <w:color w:val="000000"/>
                <w:sz w:val="14"/>
                <w:szCs w:val="14"/>
              </w:rPr>
              <w:t>1,993 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7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B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7B4" w14:textId="77777777" w:rsidR="006A3667" w:rsidRDefault="00045F32">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7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B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7B7" w14:textId="77777777" w:rsidR="006A3667" w:rsidRDefault="00045F32">
            <w:pPr>
              <w:jc w:val="right"/>
              <w:textAlignment w:val="bottom"/>
            </w:pPr>
            <w:r>
              <w:rPr>
                <w:rFonts w:ascii="Arial" w:eastAsia="宋体" w:hAnsi="Arial" w:cs="Arial"/>
                <w:color w:val="000000"/>
                <w:sz w:val="14"/>
                <w:szCs w:val="14"/>
              </w:rPr>
              <w:t>27,159 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7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7B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7BA" w14:textId="77777777" w:rsidR="006A3667" w:rsidRDefault="00045F32">
            <w:pPr>
              <w:jc w:val="right"/>
              <w:textAlignment w:val="bottom"/>
            </w:pPr>
            <w:r>
              <w:rPr>
                <w:rFonts w:ascii="Arial" w:eastAsia="宋体" w:hAnsi="Arial" w:cs="Arial"/>
                <w:color w:val="000000"/>
                <w:sz w:val="14"/>
                <w:szCs w:val="14"/>
              </w:rPr>
              <w:t>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7BB" w14:textId="77777777" w:rsidR="006A3667" w:rsidRDefault="006A3667">
            <w:pPr>
              <w:jc w:val="right"/>
              <w:rPr>
                <w:rFonts w:ascii="宋体"/>
              </w:rPr>
            </w:pPr>
          </w:p>
        </w:tc>
      </w:tr>
      <w:tr w:rsidR="006A3667" w14:paraId="71D457C9" w14:textId="77777777">
        <w:trPr>
          <w:hidden/>
        </w:trPr>
        <w:tc>
          <w:tcPr>
            <w:tcW w:w="0" w:type="auto"/>
            <w:gridSpan w:val="3"/>
            <w:shd w:val="clear" w:color="auto" w:fill="auto"/>
            <w:vAlign w:val="bottom"/>
          </w:tcPr>
          <w:p w14:paraId="71D457BD" w14:textId="77777777" w:rsidR="006A3667" w:rsidRDefault="006A3667">
            <w:pPr>
              <w:rPr>
                <w:rFonts w:ascii="宋体"/>
                <w:vanish/>
              </w:rPr>
            </w:pPr>
          </w:p>
        </w:tc>
        <w:tc>
          <w:tcPr>
            <w:tcW w:w="0" w:type="auto"/>
            <w:gridSpan w:val="3"/>
            <w:shd w:val="clear" w:color="auto" w:fill="auto"/>
            <w:vAlign w:val="bottom"/>
          </w:tcPr>
          <w:p w14:paraId="71D457BE" w14:textId="77777777" w:rsidR="006A3667" w:rsidRDefault="006A3667">
            <w:pPr>
              <w:rPr>
                <w:rFonts w:ascii="宋体"/>
                <w:vanish/>
              </w:rPr>
            </w:pPr>
          </w:p>
        </w:tc>
        <w:tc>
          <w:tcPr>
            <w:tcW w:w="0" w:type="auto"/>
            <w:gridSpan w:val="3"/>
            <w:shd w:val="clear" w:color="auto" w:fill="auto"/>
            <w:vAlign w:val="bottom"/>
          </w:tcPr>
          <w:p w14:paraId="71D457BF" w14:textId="77777777" w:rsidR="006A3667" w:rsidRDefault="006A3667">
            <w:pPr>
              <w:rPr>
                <w:rFonts w:ascii="宋体"/>
                <w:vanish/>
              </w:rPr>
            </w:pPr>
          </w:p>
        </w:tc>
        <w:tc>
          <w:tcPr>
            <w:tcW w:w="0" w:type="auto"/>
            <w:gridSpan w:val="3"/>
            <w:shd w:val="clear" w:color="auto" w:fill="auto"/>
            <w:vAlign w:val="bottom"/>
          </w:tcPr>
          <w:p w14:paraId="71D457C0" w14:textId="77777777" w:rsidR="006A3667" w:rsidRDefault="006A3667">
            <w:pPr>
              <w:rPr>
                <w:rFonts w:ascii="宋体"/>
                <w:vanish/>
              </w:rPr>
            </w:pPr>
          </w:p>
        </w:tc>
        <w:tc>
          <w:tcPr>
            <w:tcW w:w="0" w:type="auto"/>
            <w:gridSpan w:val="3"/>
            <w:shd w:val="clear" w:color="auto" w:fill="auto"/>
            <w:vAlign w:val="bottom"/>
          </w:tcPr>
          <w:p w14:paraId="71D457C1" w14:textId="77777777" w:rsidR="006A3667" w:rsidRDefault="006A3667">
            <w:pPr>
              <w:rPr>
                <w:rFonts w:ascii="宋体"/>
                <w:vanish/>
              </w:rPr>
            </w:pPr>
          </w:p>
        </w:tc>
        <w:tc>
          <w:tcPr>
            <w:tcW w:w="0" w:type="auto"/>
            <w:gridSpan w:val="3"/>
            <w:shd w:val="clear" w:color="auto" w:fill="auto"/>
            <w:vAlign w:val="bottom"/>
          </w:tcPr>
          <w:p w14:paraId="71D457C2" w14:textId="77777777" w:rsidR="006A3667" w:rsidRDefault="006A3667">
            <w:pPr>
              <w:rPr>
                <w:rFonts w:ascii="宋体"/>
                <w:vanish/>
              </w:rPr>
            </w:pPr>
          </w:p>
        </w:tc>
        <w:tc>
          <w:tcPr>
            <w:tcW w:w="0" w:type="auto"/>
            <w:gridSpan w:val="3"/>
            <w:shd w:val="clear" w:color="auto" w:fill="auto"/>
            <w:vAlign w:val="bottom"/>
          </w:tcPr>
          <w:p w14:paraId="71D457C3" w14:textId="77777777" w:rsidR="006A3667" w:rsidRDefault="006A3667">
            <w:pPr>
              <w:rPr>
                <w:rFonts w:ascii="宋体"/>
                <w:vanish/>
              </w:rPr>
            </w:pPr>
          </w:p>
        </w:tc>
        <w:tc>
          <w:tcPr>
            <w:tcW w:w="0" w:type="auto"/>
            <w:gridSpan w:val="3"/>
            <w:shd w:val="clear" w:color="auto" w:fill="auto"/>
            <w:vAlign w:val="bottom"/>
          </w:tcPr>
          <w:p w14:paraId="71D457C4" w14:textId="77777777" w:rsidR="006A3667" w:rsidRDefault="006A3667">
            <w:pPr>
              <w:rPr>
                <w:rFonts w:ascii="宋体"/>
                <w:vanish/>
              </w:rPr>
            </w:pPr>
          </w:p>
        </w:tc>
        <w:tc>
          <w:tcPr>
            <w:tcW w:w="0" w:type="auto"/>
            <w:gridSpan w:val="3"/>
            <w:shd w:val="clear" w:color="auto" w:fill="auto"/>
            <w:vAlign w:val="bottom"/>
          </w:tcPr>
          <w:p w14:paraId="71D457C5" w14:textId="77777777" w:rsidR="006A3667" w:rsidRDefault="006A3667">
            <w:pPr>
              <w:rPr>
                <w:rFonts w:ascii="宋体"/>
                <w:vanish/>
              </w:rPr>
            </w:pPr>
          </w:p>
        </w:tc>
        <w:tc>
          <w:tcPr>
            <w:tcW w:w="0" w:type="auto"/>
            <w:gridSpan w:val="3"/>
            <w:shd w:val="clear" w:color="auto" w:fill="auto"/>
            <w:vAlign w:val="bottom"/>
          </w:tcPr>
          <w:p w14:paraId="71D457C6" w14:textId="77777777" w:rsidR="006A3667" w:rsidRDefault="006A3667">
            <w:pPr>
              <w:rPr>
                <w:rFonts w:ascii="宋体"/>
                <w:vanish/>
              </w:rPr>
            </w:pPr>
          </w:p>
        </w:tc>
        <w:tc>
          <w:tcPr>
            <w:tcW w:w="0" w:type="auto"/>
            <w:gridSpan w:val="3"/>
            <w:shd w:val="clear" w:color="auto" w:fill="auto"/>
            <w:vAlign w:val="bottom"/>
          </w:tcPr>
          <w:p w14:paraId="71D457C7" w14:textId="77777777" w:rsidR="006A3667" w:rsidRDefault="006A3667">
            <w:pPr>
              <w:rPr>
                <w:rFonts w:ascii="宋体"/>
                <w:vanish/>
              </w:rPr>
            </w:pPr>
          </w:p>
        </w:tc>
        <w:tc>
          <w:tcPr>
            <w:tcW w:w="0" w:type="auto"/>
            <w:gridSpan w:val="3"/>
            <w:shd w:val="clear" w:color="auto" w:fill="auto"/>
            <w:vAlign w:val="bottom"/>
          </w:tcPr>
          <w:p w14:paraId="71D457C8" w14:textId="77777777" w:rsidR="006A3667" w:rsidRDefault="006A3667">
            <w:pPr>
              <w:rPr>
                <w:rFonts w:ascii="宋体"/>
                <w:vanish/>
              </w:rPr>
            </w:pPr>
          </w:p>
        </w:tc>
      </w:tr>
      <w:tr w:rsidR="006A3667" w14:paraId="71D457D6" w14:textId="77777777">
        <w:trPr>
          <w:hidden/>
        </w:trPr>
        <w:tc>
          <w:tcPr>
            <w:tcW w:w="0" w:type="auto"/>
            <w:gridSpan w:val="3"/>
            <w:shd w:val="clear" w:color="auto" w:fill="auto"/>
            <w:vAlign w:val="bottom"/>
          </w:tcPr>
          <w:p w14:paraId="71D457CA" w14:textId="77777777" w:rsidR="006A3667" w:rsidRDefault="006A3667">
            <w:pPr>
              <w:rPr>
                <w:rFonts w:ascii="宋体"/>
                <w:vanish/>
              </w:rPr>
            </w:pPr>
          </w:p>
        </w:tc>
        <w:tc>
          <w:tcPr>
            <w:tcW w:w="0" w:type="auto"/>
            <w:gridSpan w:val="3"/>
            <w:shd w:val="clear" w:color="auto" w:fill="auto"/>
            <w:vAlign w:val="bottom"/>
          </w:tcPr>
          <w:p w14:paraId="71D457CB" w14:textId="77777777" w:rsidR="006A3667" w:rsidRDefault="006A3667">
            <w:pPr>
              <w:rPr>
                <w:rFonts w:ascii="宋体"/>
                <w:vanish/>
              </w:rPr>
            </w:pPr>
          </w:p>
        </w:tc>
        <w:tc>
          <w:tcPr>
            <w:tcW w:w="0" w:type="auto"/>
            <w:gridSpan w:val="3"/>
            <w:shd w:val="clear" w:color="auto" w:fill="auto"/>
            <w:vAlign w:val="bottom"/>
          </w:tcPr>
          <w:p w14:paraId="71D457CC" w14:textId="77777777" w:rsidR="006A3667" w:rsidRDefault="006A3667">
            <w:pPr>
              <w:rPr>
                <w:rFonts w:ascii="宋体"/>
                <w:vanish/>
              </w:rPr>
            </w:pPr>
          </w:p>
        </w:tc>
        <w:tc>
          <w:tcPr>
            <w:tcW w:w="0" w:type="auto"/>
            <w:gridSpan w:val="3"/>
            <w:shd w:val="clear" w:color="auto" w:fill="auto"/>
            <w:vAlign w:val="bottom"/>
          </w:tcPr>
          <w:p w14:paraId="71D457CD" w14:textId="77777777" w:rsidR="006A3667" w:rsidRDefault="006A3667">
            <w:pPr>
              <w:rPr>
                <w:rFonts w:ascii="宋体"/>
                <w:vanish/>
              </w:rPr>
            </w:pPr>
          </w:p>
        </w:tc>
        <w:tc>
          <w:tcPr>
            <w:tcW w:w="0" w:type="auto"/>
            <w:gridSpan w:val="3"/>
            <w:shd w:val="clear" w:color="auto" w:fill="auto"/>
            <w:vAlign w:val="bottom"/>
          </w:tcPr>
          <w:p w14:paraId="71D457CE" w14:textId="77777777" w:rsidR="006A3667" w:rsidRDefault="006A3667">
            <w:pPr>
              <w:rPr>
                <w:rFonts w:ascii="宋体"/>
                <w:vanish/>
              </w:rPr>
            </w:pPr>
          </w:p>
        </w:tc>
        <w:tc>
          <w:tcPr>
            <w:tcW w:w="0" w:type="auto"/>
            <w:gridSpan w:val="3"/>
            <w:shd w:val="clear" w:color="auto" w:fill="auto"/>
            <w:vAlign w:val="bottom"/>
          </w:tcPr>
          <w:p w14:paraId="71D457CF" w14:textId="77777777" w:rsidR="006A3667" w:rsidRDefault="006A3667">
            <w:pPr>
              <w:rPr>
                <w:rFonts w:ascii="宋体"/>
                <w:vanish/>
              </w:rPr>
            </w:pPr>
          </w:p>
        </w:tc>
        <w:tc>
          <w:tcPr>
            <w:tcW w:w="0" w:type="auto"/>
            <w:gridSpan w:val="3"/>
            <w:shd w:val="clear" w:color="auto" w:fill="auto"/>
            <w:vAlign w:val="bottom"/>
          </w:tcPr>
          <w:p w14:paraId="71D457D0" w14:textId="77777777" w:rsidR="006A3667" w:rsidRDefault="006A3667">
            <w:pPr>
              <w:rPr>
                <w:rFonts w:ascii="宋体"/>
                <w:vanish/>
              </w:rPr>
            </w:pPr>
          </w:p>
        </w:tc>
        <w:tc>
          <w:tcPr>
            <w:tcW w:w="0" w:type="auto"/>
            <w:gridSpan w:val="3"/>
            <w:shd w:val="clear" w:color="auto" w:fill="auto"/>
            <w:vAlign w:val="bottom"/>
          </w:tcPr>
          <w:p w14:paraId="71D457D1" w14:textId="77777777" w:rsidR="006A3667" w:rsidRDefault="006A3667">
            <w:pPr>
              <w:rPr>
                <w:rFonts w:ascii="宋体"/>
                <w:vanish/>
              </w:rPr>
            </w:pPr>
          </w:p>
        </w:tc>
        <w:tc>
          <w:tcPr>
            <w:tcW w:w="0" w:type="auto"/>
            <w:gridSpan w:val="3"/>
            <w:shd w:val="clear" w:color="auto" w:fill="auto"/>
            <w:vAlign w:val="bottom"/>
          </w:tcPr>
          <w:p w14:paraId="71D457D2" w14:textId="77777777" w:rsidR="006A3667" w:rsidRDefault="006A3667">
            <w:pPr>
              <w:rPr>
                <w:rFonts w:ascii="宋体"/>
                <w:vanish/>
              </w:rPr>
            </w:pPr>
          </w:p>
        </w:tc>
        <w:tc>
          <w:tcPr>
            <w:tcW w:w="0" w:type="auto"/>
            <w:gridSpan w:val="3"/>
            <w:shd w:val="clear" w:color="auto" w:fill="auto"/>
            <w:vAlign w:val="bottom"/>
          </w:tcPr>
          <w:p w14:paraId="71D457D3" w14:textId="77777777" w:rsidR="006A3667" w:rsidRDefault="006A3667">
            <w:pPr>
              <w:rPr>
                <w:rFonts w:ascii="宋体"/>
                <w:vanish/>
              </w:rPr>
            </w:pPr>
          </w:p>
        </w:tc>
        <w:tc>
          <w:tcPr>
            <w:tcW w:w="0" w:type="auto"/>
            <w:gridSpan w:val="3"/>
            <w:shd w:val="clear" w:color="auto" w:fill="auto"/>
            <w:vAlign w:val="bottom"/>
          </w:tcPr>
          <w:p w14:paraId="71D457D4" w14:textId="77777777" w:rsidR="006A3667" w:rsidRDefault="006A3667">
            <w:pPr>
              <w:rPr>
                <w:rFonts w:ascii="宋体"/>
                <w:vanish/>
              </w:rPr>
            </w:pPr>
          </w:p>
        </w:tc>
        <w:tc>
          <w:tcPr>
            <w:tcW w:w="0" w:type="auto"/>
            <w:gridSpan w:val="3"/>
            <w:shd w:val="clear" w:color="auto" w:fill="auto"/>
            <w:vAlign w:val="bottom"/>
          </w:tcPr>
          <w:p w14:paraId="71D457D5" w14:textId="77777777" w:rsidR="006A3667" w:rsidRDefault="006A3667">
            <w:pPr>
              <w:rPr>
                <w:rFonts w:ascii="宋体"/>
                <w:vanish/>
              </w:rPr>
            </w:pPr>
          </w:p>
        </w:tc>
      </w:tr>
      <w:tr w:rsidR="006A3667" w14:paraId="71D457E3" w14:textId="77777777">
        <w:trPr>
          <w:hidden/>
        </w:trPr>
        <w:tc>
          <w:tcPr>
            <w:tcW w:w="0" w:type="auto"/>
            <w:gridSpan w:val="3"/>
            <w:shd w:val="clear" w:color="auto" w:fill="auto"/>
            <w:vAlign w:val="bottom"/>
          </w:tcPr>
          <w:p w14:paraId="71D457D7" w14:textId="77777777" w:rsidR="006A3667" w:rsidRDefault="006A3667">
            <w:pPr>
              <w:rPr>
                <w:rFonts w:ascii="宋体"/>
                <w:vanish/>
              </w:rPr>
            </w:pPr>
          </w:p>
        </w:tc>
        <w:tc>
          <w:tcPr>
            <w:tcW w:w="0" w:type="auto"/>
            <w:gridSpan w:val="3"/>
            <w:shd w:val="clear" w:color="auto" w:fill="auto"/>
            <w:vAlign w:val="bottom"/>
          </w:tcPr>
          <w:p w14:paraId="71D457D8" w14:textId="77777777" w:rsidR="006A3667" w:rsidRDefault="006A3667">
            <w:pPr>
              <w:rPr>
                <w:rFonts w:ascii="宋体"/>
                <w:vanish/>
              </w:rPr>
            </w:pPr>
          </w:p>
        </w:tc>
        <w:tc>
          <w:tcPr>
            <w:tcW w:w="0" w:type="auto"/>
            <w:gridSpan w:val="3"/>
            <w:shd w:val="clear" w:color="auto" w:fill="auto"/>
            <w:vAlign w:val="bottom"/>
          </w:tcPr>
          <w:p w14:paraId="71D457D9" w14:textId="77777777" w:rsidR="006A3667" w:rsidRDefault="006A3667">
            <w:pPr>
              <w:rPr>
                <w:rFonts w:ascii="宋体"/>
                <w:vanish/>
              </w:rPr>
            </w:pPr>
          </w:p>
        </w:tc>
        <w:tc>
          <w:tcPr>
            <w:tcW w:w="0" w:type="auto"/>
            <w:gridSpan w:val="3"/>
            <w:shd w:val="clear" w:color="auto" w:fill="auto"/>
            <w:vAlign w:val="bottom"/>
          </w:tcPr>
          <w:p w14:paraId="71D457DA" w14:textId="77777777" w:rsidR="006A3667" w:rsidRDefault="006A3667">
            <w:pPr>
              <w:rPr>
                <w:rFonts w:ascii="宋体"/>
                <w:vanish/>
              </w:rPr>
            </w:pPr>
          </w:p>
        </w:tc>
        <w:tc>
          <w:tcPr>
            <w:tcW w:w="0" w:type="auto"/>
            <w:gridSpan w:val="3"/>
            <w:shd w:val="clear" w:color="auto" w:fill="auto"/>
            <w:vAlign w:val="bottom"/>
          </w:tcPr>
          <w:p w14:paraId="71D457DB" w14:textId="77777777" w:rsidR="006A3667" w:rsidRDefault="006A3667">
            <w:pPr>
              <w:rPr>
                <w:rFonts w:ascii="宋体"/>
                <w:vanish/>
              </w:rPr>
            </w:pPr>
          </w:p>
        </w:tc>
        <w:tc>
          <w:tcPr>
            <w:tcW w:w="0" w:type="auto"/>
            <w:gridSpan w:val="3"/>
            <w:shd w:val="clear" w:color="auto" w:fill="auto"/>
            <w:vAlign w:val="bottom"/>
          </w:tcPr>
          <w:p w14:paraId="71D457DC" w14:textId="77777777" w:rsidR="006A3667" w:rsidRDefault="006A3667">
            <w:pPr>
              <w:rPr>
                <w:rFonts w:ascii="宋体"/>
                <w:vanish/>
              </w:rPr>
            </w:pPr>
          </w:p>
        </w:tc>
        <w:tc>
          <w:tcPr>
            <w:tcW w:w="0" w:type="auto"/>
            <w:gridSpan w:val="3"/>
            <w:shd w:val="clear" w:color="auto" w:fill="auto"/>
            <w:vAlign w:val="bottom"/>
          </w:tcPr>
          <w:p w14:paraId="71D457DD" w14:textId="77777777" w:rsidR="006A3667" w:rsidRDefault="006A3667">
            <w:pPr>
              <w:rPr>
                <w:rFonts w:ascii="宋体"/>
                <w:vanish/>
              </w:rPr>
            </w:pPr>
          </w:p>
        </w:tc>
        <w:tc>
          <w:tcPr>
            <w:tcW w:w="0" w:type="auto"/>
            <w:gridSpan w:val="3"/>
            <w:shd w:val="clear" w:color="auto" w:fill="auto"/>
            <w:vAlign w:val="bottom"/>
          </w:tcPr>
          <w:p w14:paraId="71D457DE" w14:textId="77777777" w:rsidR="006A3667" w:rsidRDefault="006A3667">
            <w:pPr>
              <w:rPr>
                <w:rFonts w:ascii="宋体"/>
                <w:vanish/>
              </w:rPr>
            </w:pPr>
          </w:p>
        </w:tc>
        <w:tc>
          <w:tcPr>
            <w:tcW w:w="0" w:type="auto"/>
            <w:gridSpan w:val="3"/>
            <w:shd w:val="clear" w:color="auto" w:fill="auto"/>
            <w:vAlign w:val="bottom"/>
          </w:tcPr>
          <w:p w14:paraId="71D457DF" w14:textId="77777777" w:rsidR="006A3667" w:rsidRDefault="006A3667">
            <w:pPr>
              <w:rPr>
                <w:rFonts w:ascii="宋体"/>
                <w:vanish/>
              </w:rPr>
            </w:pPr>
          </w:p>
        </w:tc>
        <w:tc>
          <w:tcPr>
            <w:tcW w:w="0" w:type="auto"/>
            <w:gridSpan w:val="3"/>
            <w:shd w:val="clear" w:color="auto" w:fill="auto"/>
            <w:vAlign w:val="bottom"/>
          </w:tcPr>
          <w:p w14:paraId="71D457E0" w14:textId="77777777" w:rsidR="006A3667" w:rsidRDefault="006A3667">
            <w:pPr>
              <w:rPr>
                <w:rFonts w:ascii="宋体"/>
                <w:vanish/>
              </w:rPr>
            </w:pPr>
          </w:p>
        </w:tc>
        <w:tc>
          <w:tcPr>
            <w:tcW w:w="0" w:type="auto"/>
            <w:gridSpan w:val="3"/>
            <w:shd w:val="clear" w:color="auto" w:fill="auto"/>
            <w:vAlign w:val="bottom"/>
          </w:tcPr>
          <w:p w14:paraId="71D457E1" w14:textId="77777777" w:rsidR="006A3667" w:rsidRDefault="006A3667">
            <w:pPr>
              <w:rPr>
                <w:rFonts w:ascii="宋体"/>
                <w:vanish/>
              </w:rPr>
            </w:pPr>
          </w:p>
        </w:tc>
        <w:tc>
          <w:tcPr>
            <w:tcW w:w="0" w:type="auto"/>
            <w:gridSpan w:val="3"/>
            <w:shd w:val="clear" w:color="auto" w:fill="auto"/>
            <w:vAlign w:val="bottom"/>
          </w:tcPr>
          <w:p w14:paraId="71D457E2" w14:textId="77777777" w:rsidR="006A3667" w:rsidRDefault="006A3667">
            <w:pPr>
              <w:rPr>
                <w:rFonts w:ascii="宋体"/>
                <w:vanish/>
              </w:rPr>
            </w:pPr>
          </w:p>
        </w:tc>
      </w:tr>
      <w:tr w:rsidR="006A3667" w14:paraId="71D457F0" w14:textId="77777777">
        <w:trPr>
          <w:hidden/>
        </w:trPr>
        <w:tc>
          <w:tcPr>
            <w:tcW w:w="0" w:type="auto"/>
            <w:gridSpan w:val="3"/>
            <w:shd w:val="clear" w:color="auto" w:fill="auto"/>
            <w:vAlign w:val="bottom"/>
          </w:tcPr>
          <w:p w14:paraId="71D457E4" w14:textId="77777777" w:rsidR="006A3667" w:rsidRDefault="006A3667">
            <w:pPr>
              <w:rPr>
                <w:rFonts w:ascii="宋体"/>
                <w:vanish/>
              </w:rPr>
            </w:pPr>
          </w:p>
        </w:tc>
        <w:tc>
          <w:tcPr>
            <w:tcW w:w="0" w:type="auto"/>
            <w:gridSpan w:val="3"/>
            <w:shd w:val="clear" w:color="auto" w:fill="auto"/>
            <w:vAlign w:val="bottom"/>
          </w:tcPr>
          <w:p w14:paraId="71D457E5" w14:textId="77777777" w:rsidR="006A3667" w:rsidRDefault="006A3667">
            <w:pPr>
              <w:rPr>
                <w:rFonts w:ascii="宋体"/>
                <w:vanish/>
              </w:rPr>
            </w:pPr>
          </w:p>
        </w:tc>
        <w:tc>
          <w:tcPr>
            <w:tcW w:w="0" w:type="auto"/>
            <w:gridSpan w:val="3"/>
            <w:shd w:val="clear" w:color="auto" w:fill="auto"/>
            <w:vAlign w:val="bottom"/>
          </w:tcPr>
          <w:p w14:paraId="71D457E6" w14:textId="77777777" w:rsidR="006A3667" w:rsidRDefault="006A3667">
            <w:pPr>
              <w:rPr>
                <w:rFonts w:ascii="宋体"/>
                <w:vanish/>
              </w:rPr>
            </w:pPr>
          </w:p>
        </w:tc>
        <w:tc>
          <w:tcPr>
            <w:tcW w:w="0" w:type="auto"/>
            <w:gridSpan w:val="3"/>
            <w:shd w:val="clear" w:color="auto" w:fill="auto"/>
            <w:vAlign w:val="bottom"/>
          </w:tcPr>
          <w:p w14:paraId="71D457E7" w14:textId="77777777" w:rsidR="006A3667" w:rsidRDefault="006A3667">
            <w:pPr>
              <w:rPr>
                <w:rFonts w:ascii="宋体"/>
                <w:vanish/>
              </w:rPr>
            </w:pPr>
          </w:p>
        </w:tc>
        <w:tc>
          <w:tcPr>
            <w:tcW w:w="0" w:type="auto"/>
            <w:gridSpan w:val="3"/>
            <w:shd w:val="clear" w:color="auto" w:fill="auto"/>
            <w:vAlign w:val="bottom"/>
          </w:tcPr>
          <w:p w14:paraId="71D457E8" w14:textId="77777777" w:rsidR="006A3667" w:rsidRDefault="006A3667">
            <w:pPr>
              <w:rPr>
                <w:rFonts w:ascii="宋体"/>
                <w:vanish/>
              </w:rPr>
            </w:pPr>
          </w:p>
        </w:tc>
        <w:tc>
          <w:tcPr>
            <w:tcW w:w="0" w:type="auto"/>
            <w:gridSpan w:val="3"/>
            <w:shd w:val="clear" w:color="auto" w:fill="auto"/>
            <w:vAlign w:val="bottom"/>
          </w:tcPr>
          <w:p w14:paraId="71D457E9" w14:textId="77777777" w:rsidR="006A3667" w:rsidRDefault="006A3667">
            <w:pPr>
              <w:rPr>
                <w:rFonts w:ascii="宋体"/>
                <w:vanish/>
              </w:rPr>
            </w:pPr>
          </w:p>
        </w:tc>
        <w:tc>
          <w:tcPr>
            <w:tcW w:w="0" w:type="auto"/>
            <w:gridSpan w:val="3"/>
            <w:shd w:val="clear" w:color="auto" w:fill="auto"/>
            <w:vAlign w:val="bottom"/>
          </w:tcPr>
          <w:p w14:paraId="71D457EA" w14:textId="77777777" w:rsidR="006A3667" w:rsidRDefault="006A3667">
            <w:pPr>
              <w:rPr>
                <w:rFonts w:ascii="宋体"/>
                <w:vanish/>
              </w:rPr>
            </w:pPr>
          </w:p>
        </w:tc>
        <w:tc>
          <w:tcPr>
            <w:tcW w:w="0" w:type="auto"/>
            <w:gridSpan w:val="3"/>
            <w:shd w:val="clear" w:color="auto" w:fill="auto"/>
            <w:vAlign w:val="bottom"/>
          </w:tcPr>
          <w:p w14:paraId="71D457EB" w14:textId="77777777" w:rsidR="006A3667" w:rsidRDefault="006A3667">
            <w:pPr>
              <w:rPr>
                <w:rFonts w:ascii="宋体"/>
                <w:vanish/>
              </w:rPr>
            </w:pPr>
          </w:p>
        </w:tc>
        <w:tc>
          <w:tcPr>
            <w:tcW w:w="0" w:type="auto"/>
            <w:gridSpan w:val="3"/>
            <w:shd w:val="clear" w:color="auto" w:fill="auto"/>
            <w:vAlign w:val="bottom"/>
          </w:tcPr>
          <w:p w14:paraId="71D457EC" w14:textId="77777777" w:rsidR="006A3667" w:rsidRDefault="006A3667">
            <w:pPr>
              <w:rPr>
                <w:rFonts w:ascii="宋体"/>
                <w:vanish/>
              </w:rPr>
            </w:pPr>
          </w:p>
        </w:tc>
        <w:tc>
          <w:tcPr>
            <w:tcW w:w="0" w:type="auto"/>
            <w:gridSpan w:val="3"/>
            <w:shd w:val="clear" w:color="auto" w:fill="auto"/>
            <w:vAlign w:val="bottom"/>
          </w:tcPr>
          <w:p w14:paraId="71D457ED" w14:textId="77777777" w:rsidR="006A3667" w:rsidRDefault="006A3667">
            <w:pPr>
              <w:rPr>
                <w:rFonts w:ascii="宋体"/>
                <w:vanish/>
              </w:rPr>
            </w:pPr>
          </w:p>
        </w:tc>
        <w:tc>
          <w:tcPr>
            <w:tcW w:w="0" w:type="auto"/>
            <w:gridSpan w:val="3"/>
            <w:shd w:val="clear" w:color="auto" w:fill="auto"/>
            <w:vAlign w:val="bottom"/>
          </w:tcPr>
          <w:p w14:paraId="71D457EE" w14:textId="77777777" w:rsidR="006A3667" w:rsidRDefault="006A3667">
            <w:pPr>
              <w:rPr>
                <w:rFonts w:ascii="宋体"/>
                <w:vanish/>
              </w:rPr>
            </w:pPr>
          </w:p>
        </w:tc>
        <w:tc>
          <w:tcPr>
            <w:tcW w:w="0" w:type="auto"/>
            <w:gridSpan w:val="3"/>
            <w:shd w:val="clear" w:color="auto" w:fill="auto"/>
            <w:vAlign w:val="bottom"/>
          </w:tcPr>
          <w:p w14:paraId="71D457EF" w14:textId="77777777" w:rsidR="006A3667" w:rsidRDefault="006A3667">
            <w:pPr>
              <w:rPr>
                <w:rFonts w:ascii="宋体"/>
                <w:vanish/>
              </w:rPr>
            </w:pPr>
          </w:p>
        </w:tc>
      </w:tr>
      <w:tr w:rsidR="006A3667" w14:paraId="71D457FD" w14:textId="77777777">
        <w:trPr>
          <w:hidden/>
        </w:trPr>
        <w:tc>
          <w:tcPr>
            <w:tcW w:w="0" w:type="auto"/>
            <w:gridSpan w:val="3"/>
            <w:shd w:val="clear" w:color="auto" w:fill="auto"/>
            <w:vAlign w:val="bottom"/>
          </w:tcPr>
          <w:p w14:paraId="71D457F1" w14:textId="77777777" w:rsidR="006A3667" w:rsidRDefault="006A3667">
            <w:pPr>
              <w:rPr>
                <w:rFonts w:ascii="宋体"/>
                <w:vanish/>
              </w:rPr>
            </w:pPr>
          </w:p>
        </w:tc>
        <w:tc>
          <w:tcPr>
            <w:tcW w:w="0" w:type="auto"/>
            <w:gridSpan w:val="3"/>
            <w:shd w:val="clear" w:color="auto" w:fill="auto"/>
            <w:vAlign w:val="bottom"/>
          </w:tcPr>
          <w:p w14:paraId="71D457F2" w14:textId="77777777" w:rsidR="006A3667" w:rsidRDefault="006A3667">
            <w:pPr>
              <w:rPr>
                <w:rFonts w:ascii="宋体"/>
                <w:vanish/>
              </w:rPr>
            </w:pPr>
          </w:p>
        </w:tc>
        <w:tc>
          <w:tcPr>
            <w:tcW w:w="0" w:type="auto"/>
            <w:gridSpan w:val="3"/>
            <w:shd w:val="clear" w:color="auto" w:fill="auto"/>
            <w:vAlign w:val="bottom"/>
          </w:tcPr>
          <w:p w14:paraId="71D457F3" w14:textId="77777777" w:rsidR="006A3667" w:rsidRDefault="006A3667">
            <w:pPr>
              <w:rPr>
                <w:rFonts w:ascii="宋体"/>
                <w:vanish/>
              </w:rPr>
            </w:pPr>
          </w:p>
        </w:tc>
        <w:tc>
          <w:tcPr>
            <w:tcW w:w="0" w:type="auto"/>
            <w:gridSpan w:val="3"/>
            <w:shd w:val="clear" w:color="auto" w:fill="auto"/>
            <w:vAlign w:val="bottom"/>
          </w:tcPr>
          <w:p w14:paraId="71D457F4" w14:textId="77777777" w:rsidR="006A3667" w:rsidRDefault="006A3667">
            <w:pPr>
              <w:rPr>
                <w:rFonts w:ascii="宋体"/>
                <w:vanish/>
              </w:rPr>
            </w:pPr>
          </w:p>
        </w:tc>
        <w:tc>
          <w:tcPr>
            <w:tcW w:w="0" w:type="auto"/>
            <w:gridSpan w:val="3"/>
            <w:shd w:val="clear" w:color="auto" w:fill="auto"/>
            <w:vAlign w:val="bottom"/>
          </w:tcPr>
          <w:p w14:paraId="71D457F5" w14:textId="77777777" w:rsidR="006A3667" w:rsidRDefault="006A3667">
            <w:pPr>
              <w:rPr>
                <w:rFonts w:ascii="宋体"/>
                <w:vanish/>
              </w:rPr>
            </w:pPr>
          </w:p>
        </w:tc>
        <w:tc>
          <w:tcPr>
            <w:tcW w:w="0" w:type="auto"/>
            <w:gridSpan w:val="3"/>
            <w:shd w:val="clear" w:color="auto" w:fill="auto"/>
            <w:vAlign w:val="bottom"/>
          </w:tcPr>
          <w:p w14:paraId="71D457F6" w14:textId="77777777" w:rsidR="006A3667" w:rsidRDefault="006A3667">
            <w:pPr>
              <w:rPr>
                <w:rFonts w:ascii="宋体"/>
                <w:vanish/>
              </w:rPr>
            </w:pPr>
          </w:p>
        </w:tc>
        <w:tc>
          <w:tcPr>
            <w:tcW w:w="0" w:type="auto"/>
            <w:gridSpan w:val="3"/>
            <w:shd w:val="clear" w:color="auto" w:fill="auto"/>
            <w:vAlign w:val="bottom"/>
          </w:tcPr>
          <w:p w14:paraId="71D457F7" w14:textId="77777777" w:rsidR="006A3667" w:rsidRDefault="006A3667">
            <w:pPr>
              <w:rPr>
                <w:rFonts w:ascii="宋体"/>
                <w:vanish/>
              </w:rPr>
            </w:pPr>
          </w:p>
        </w:tc>
        <w:tc>
          <w:tcPr>
            <w:tcW w:w="0" w:type="auto"/>
            <w:gridSpan w:val="3"/>
            <w:shd w:val="clear" w:color="auto" w:fill="auto"/>
            <w:vAlign w:val="bottom"/>
          </w:tcPr>
          <w:p w14:paraId="71D457F8" w14:textId="77777777" w:rsidR="006A3667" w:rsidRDefault="006A3667">
            <w:pPr>
              <w:rPr>
                <w:rFonts w:ascii="宋体"/>
                <w:vanish/>
              </w:rPr>
            </w:pPr>
          </w:p>
        </w:tc>
        <w:tc>
          <w:tcPr>
            <w:tcW w:w="0" w:type="auto"/>
            <w:gridSpan w:val="3"/>
            <w:shd w:val="clear" w:color="auto" w:fill="auto"/>
            <w:vAlign w:val="bottom"/>
          </w:tcPr>
          <w:p w14:paraId="71D457F9" w14:textId="77777777" w:rsidR="006A3667" w:rsidRDefault="006A3667">
            <w:pPr>
              <w:rPr>
                <w:rFonts w:ascii="宋体"/>
                <w:vanish/>
              </w:rPr>
            </w:pPr>
          </w:p>
        </w:tc>
        <w:tc>
          <w:tcPr>
            <w:tcW w:w="0" w:type="auto"/>
            <w:gridSpan w:val="3"/>
            <w:shd w:val="clear" w:color="auto" w:fill="auto"/>
            <w:vAlign w:val="bottom"/>
          </w:tcPr>
          <w:p w14:paraId="71D457FA" w14:textId="77777777" w:rsidR="006A3667" w:rsidRDefault="006A3667">
            <w:pPr>
              <w:rPr>
                <w:rFonts w:ascii="宋体"/>
                <w:vanish/>
              </w:rPr>
            </w:pPr>
          </w:p>
        </w:tc>
        <w:tc>
          <w:tcPr>
            <w:tcW w:w="0" w:type="auto"/>
            <w:gridSpan w:val="3"/>
            <w:shd w:val="clear" w:color="auto" w:fill="auto"/>
            <w:vAlign w:val="bottom"/>
          </w:tcPr>
          <w:p w14:paraId="71D457FB" w14:textId="77777777" w:rsidR="006A3667" w:rsidRDefault="006A3667">
            <w:pPr>
              <w:rPr>
                <w:rFonts w:ascii="宋体"/>
                <w:vanish/>
              </w:rPr>
            </w:pPr>
          </w:p>
        </w:tc>
        <w:tc>
          <w:tcPr>
            <w:tcW w:w="0" w:type="auto"/>
            <w:gridSpan w:val="3"/>
            <w:shd w:val="clear" w:color="auto" w:fill="auto"/>
            <w:vAlign w:val="bottom"/>
          </w:tcPr>
          <w:p w14:paraId="71D457FC" w14:textId="77777777" w:rsidR="006A3667" w:rsidRDefault="006A3667">
            <w:pPr>
              <w:rPr>
                <w:rFonts w:ascii="宋体"/>
                <w:vanish/>
              </w:rPr>
            </w:pPr>
          </w:p>
        </w:tc>
      </w:tr>
      <w:tr w:rsidR="006A3667" w14:paraId="71D4580A" w14:textId="77777777">
        <w:trPr>
          <w:hidden/>
        </w:trPr>
        <w:tc>
          <w:tcPr>
            <w:tcW w:w="0" w:type="auto"/>
            <w:gridSpan w:val="3"/>
            <w:shd w:val="clear" w:color="auto" w:fill="auto"/>
            <w:vAlign w:val="bottom"/>
          </w:tcPr>
          <w:p w14:paraId="71D457FE" w14:textId="77777777" w:rsidR="006A3667" w:rsidRDefault="006A3667">
            <w:pPr>
              <w:rPr>
                <w:rFonts w:ascii="宋体"/>
                <w:vanish/>
              </w:rPr>
            </w:pPr>
          </w:p>
        </w:tc>
        <w:tc>
          <w:tcPr>
            <w:tcW w:w="0" w:type="auto"/>
            <w:gridSpan w:val="3"/>
            <w:shd w:val="clear" w:color="auto" w:fill="auto"/>
            <w:vAlign w:val="bottom"/>
          </w:tcPr>
          <w:p w14:paraId="71D457FF" w14:textId="77777777" w:rsidR="006A3667" w:rsidRDefault="006A3667">
            <w:pPr>
              <w:rPr>
                <w:rFonts w:ascii="宋体"/>
                <w:vanish/>
              </w:rPr>
            </w:pPr>
          </w:p>
        </w:tc>
        <w:tc>
          <w:tcPr>
            <w:tcW w:w="0" w:type="auto"/>
            <w:gridSpan w:val="3"/>
            <w:shd w:val="clear" w:color="auto" w:fill="auto"/>
            <w:vAlign w:val="bottom"/>
          </w:tcPr>
          <w:p w14:paraId="71D45800" w14:textId="77777777" w:rsidR="006A3667" w:rsidRDefault="006A3667">
            <w:pPr>
              <w:rPr>
                <w:rFonts w:ascii="宋体"/>
                <w:vanish/>
              </w:rPr>
            </w:pPr>
          </w:p>
        </w:tc>
        <w:tc>
          <w:tcPr>
            <w:tcW w:w="0" w:type="auto"/>
            <w:gridSpan w:val="3"/>
            <w:shd w:val="clear" w:color="auto" w:fill="auto"/>
            <w:vAlign w:val="bottom"/>
          </w:tcPr>
          <w:p w14:paraId="71D45801" w14:textId="77777777" w:rsidR="006A3667" w:rsidRDefault="006A3667">
            <w:pPr>
              <w:rPr>
                <w:rFonts w:ascii="宋体"/>
                <w:vanish/>
              </w:rPr>
            </w:pPr>
          </w:p>
        </w:tc>
        <w:tc>
          <w:tcPr>
            <w:tcW w:w="0" w:type="auto"/>
            <w:gridSpan w:val="3"/>
            <w:shd w:val="clear" w:color="auto" w:fill="auto"/>
            <w:vAlign w:val="bottom"/>
          </w:tcPr>
          <w:p w14:paraId="71D45802" w14:textId="77777777" w:rsidR="006A3667" w:rsidRDefault="006A3667">
            <w:pPr>
              <w:rPr>
                <w:rFonts w:ascii="宋体"/>
                <w:vanish/>
              </w:rPr>
            </w:pPr>
          </w:p>
        </w:tc>
        <w:tc>
          <w:tcPr>
            <w:tcW w:w="0" w:type="auto"/>
            <w:gridSpan w:val="3"/>
            <w:shd w:val="clear" w:color="auto" w:fill="auto"/>
            <w:vAlign w:val="bottom"/>
          </w:tcPr>
          <w:p w14:paraId="71D45803" w14:textId="77777777" w:rsidR="006A3667" w:rsidRDefault="006A3667">
            <w:pPr>
              <w:rPr>
                <w:rFonts w:ascii="宋体"/>
                <w:vanish/>
              </w:rPr>
            </w:pPr>
          </w:p>
        </w:tc>
        <w:tc>
          <w:tcPr>
            <w:tcW w:w="0" w:type="auto"/>
            <w:gridSpan w:val="3"/>
            <w:shd w:val="clear" w:color="auto" w:fill="auto"/>
            <w:vAlign w:val="bottom"/>
          </w:tcPr>
          <w:p w14:paraId="71D45804" w14:textId="77777777" w:rsidR="006A3667" w:rsidRDefault="006A3667">
            <w:pPr>
              <w:rPr>
                <w:rFonts w:ascii="宋体"/>
                <w:vanish/>
              </w:rPr>
            </w:pPr>
          </w:p>
        </w:tc>
        <w:tc>
          <w:tcPr>
            <w:tcW w:w="0" w:type="auto"/>
            <w:gridSpan w:val="3"/>
            <w:shd w:val="clear" w:color="auto" w:fill="auto"/>
            <w:vAlign w:val="bottom"/>
          </w:tcPr>
          <w:p w14:paraId="71D45805" w14:textId="77777777" w:rsidR="006A3667" w:rsidRDefault="006A3667">
            <w:pPr>
              <w:rPr>
                <w:rFonts w:ascii="宋体"/>
                <w:vanish/>
              </w:rPr>
            </w:pPr>
          </w:p>
        </w:tc>
        <w:tc>
          <w:tcPr>
            <w:tcW w:w="0" w:type="auto"/>
            <w:gridSpan w:val="3"/>
            <w:shd w:val="clear" w:color="auto" w:fill="auto"/>
            <w:vAlign w:val="bottom"/>
          </w:tcPr>
          <w:p w14:paraId="71D45806" w14:textId="77777777" w:rsidR="006A3667" w:rsidRDefault="006A3667">
            <w:pPr>
              <w:rPr>
                <w:rFonts w:ascii="宋体"/>
                <w:vanish/>
              </w:rPr>
            </w:pPr>
          </w:p>
        </w:tc>
        <w:tc>
          <w:tcPr>
            <w:tcW w:w="0" w:type="auto"/>
            <w:gridSpan w:val="3"/>
            <w:shd w:val="clear" w:color="auto" w:fill="auto"/>
            <w:vAlign w:val="bottom"/>
          </w:tcPr>
          <w:p w14:paraId="71D45807" w14:textId="77777777" w:rsidR="006A3667" w:rsidRDefault="006A3667">
            <w:pPr>
              <w:rPr>
                <w:rFonts w:ascii="宋体"/>
                <w:vanish/>
              </w:rPr>
            </w:pPr>
          </w:p>
        </w:tc>
        <w:tc>
          <w:tcPr>
            <w:tcW w:w="0" w:type="auto"/>
            <w:gridSpan w:val="3"/>
            <w:shd w:val="clear" w:color="auto" w:fill="auto"/>
            <w:vAlign w:val="bottom"/>
          </w:tcPr>
          <w:p w14:paraId="71D45808" w14:textId="77777777" w:rsidR="006A3667" w:rsidRDefault="006A3667">
            <w:pPr>
              <w:rPr>
                <w:rFonts w:ascii="宋体"/>
                <w:vanish/>
              </w:rPr>
            </w:pPr>
          </w:p>
        </w:tc>
        <w:tc>
          <w:tcPr>
            <w:tcW w:w="0" w:type="auto"/>
            <w:gridSpan w:val="3"/>
            <w:shd w:val="clear" w:color="auto" w:fill="auto"/>
            <w:vAlign w:val="bottom"/>
          </w:tcPr>
          <w:p w14:paraId="71D45809" w14:textId="77777777" w:rsidR="006A3667" w:rsidRDefault="006A3667">
            <w:pPr>
              <w:rPr>
                <w:rFonts w:ascii="宋体"/>
                <w:vanish/>
              </w:rPr>
            </w:pPr>
          </w:p>
        </w:tc>
      </w:tr>
      <w:tr w:rsidR="006A3667" w14:paraId="71D45817" w14:textId="77777777">
        <w:tc>
          <w:tcPr>
            <w:tcW w:w="0" w:type="auto"/>
            <w:gridSpan w:val="3"/>
            <w:shd w:val="clear" w:color="auto" w:fill="FFFFFF"/>
            <w:tcMar>
              <w:top w:w="40" w:type="dxa"/>
              <w:left w:w="20" w:type="dxa"/>
              <w:bottom w:w="40" w:type="dxa"/>
              <w:right w:w="20" w:type="dxa"/>
            </w:tcMar>
            <w:vAlign w:val="bottom"/>
          </w:tcPr>
          <w:p w14:paraId="71D4580B" w14:textId="77777777" w:rsidR="006A3667" w:rsidRDefault="00045F32">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0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0D"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0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0F"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1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11"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1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13"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1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15"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16" w14:textId="77777777" w:rsidR="006A3667" w:rsidRDefault="006A3667">
            <w:pPr>
              <w:rPr>
                <w:rFonts w:ascii="宋体"/>
              </w:rPr>
            </w:pPr>
          </w:p>
        </w:tc>
      </w:tr>
      <w:tr w:rsidR="006A3667" w14:paraId="71D4582A" w14:textId="77777777">
        <w:tc>
          <w:tcPr>
            <w:tcW w:w="0" w:type="auto"/>
            <w:gridSpan w:val="3"/>
            <w:shd w:val="clear" w:color="auto" w:fill="CCEEFF"/>
            <w:tcMar>
              <w:top w:w="40" w:type="dxa"/>
              <w:left w:w="245" w:type="dxa"/>
              <w:bottom w:w="40" w:type="dxa"/>
              <w:right w:w="20" w:type="dxa"/>
            </w:tcMar>
            <w:vAlign w:val="bottom"/>
          </w:tcPr>
          <w:p w14:paraId="71D45818" w14:textId="77777777" w:rsidR="006A3667" w:rsidRDefault="00045F32">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71D45819" w14:textId="77777777" w:rsidR="006A3667" w:rsidRDefault="00045F32">
            <w:pPr>
              <w:jc w:val="right"/>
              <w:textAlignment w:val="bottom"/>
            </w:pPr>
            <w:r>
              <w:rPr>
                <w:rFonts w:ascii="Arial" w:eastAsia="宋体" w:hAnsi="Arial" w:cs="Arial"/>
                <w:color w:val="000000"/>
                <w:sz w:val="14"/>
                <w:szCs w:val="14"/>
              </w:rPr>
              <w:t>577 </w:t>
            </w:r>
          </w:p>
        </w:tc>
        <w:tc>
          <w:tcPr>
            <w:tcW w:w="0" w:type="auto"/>
            <w:shd w:val="clear" w:color="auto" w:fill="CCEEFF"/>
            <w:tcMar>
              <w:top w:w="40" w:type="dxa"/>
              <w:left w:w="0" w:type="dxa"/>
              <w:bottom w:w="40" w:type="dxa"/>
              <w:right w:w="20" w:type="dxa"/>
            </w:tcMar>
            <w:vAlign w:val="bottom"/>
          </w:tcPr>
          <w:p w14:paraId="71D458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1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1C"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1D458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1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1F" w14:textId="77777777" w:rsidR="006A3667" w:rsidRDefault="00045F32">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71D458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2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2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8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2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25" w14:textId="77777777" w:rsidR="006A3667" w:rsidRDefault="00045F32">
            <w:pPr>
              <w:jc w:val="right"/>
              <w:textAlignment w:val="bottom"/>
            </w:pPr>
            <w:r>
              <w:rPr>
                <w:rFonts w:ascii="Arial" w:eastAsia="宋体" w:hAnsi="Arial" w:cs="Arial"/>
                <w:color w:val="000000"/>
                <w:sz w:val="14"/>
                <w:szCs w:val="14"/>
              </w:rPr>
              <w:t>607 </w:t>
            </w:r>
          </w:p>
        </w:tc>
        <w:tc>
          <w:tcPr>
            <w:tcW w:w="0" w:type="auto"/>
            <w:shd w:val="clear" w:color="auto" w:fill="CCEEFF"/>
            <w:tcMar>
              <w:top w:w="40" w:type="dxa"/>
              <w:left w:w="0" w:type="dxa"/>
              <w:bottom w:w="40" w:type="dxa"/>
              <w:right w:w="20" w:type="dxa"/>
            </w:tcMar>
            <w:vAlign w:val="bottom"/>
          </w:tcPr>
          <w:p w14:paraId="71D458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28"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1D45829" w14:textId="77777777" w:rsidR="006A3667" w:rsidRDefault="006A3667">
            <w:pPr>
              <w:jc w:val="right"/>
              <w:rPr>
                <w:rFonts w:ascii="宋体"/>
              </w:rPr>
            </w:pPr>
          </w:p>
        </w:tc>
      </w:tr>
      <w:tr w:rsidR="006A3667" w14:paraId="71D4583D" w14:textId="77777777">
        <w:tc>
          <w:tcPr>
            <w:tcW w:w="0" w:type="auto"/>
            <w:gridSpan w:val="3"/>
            <w:shd w:val="clear" w:color="auto" w:fill="FFFFFF"/>
            <w:tcMar>
              <w:top w:w="40" w:type="dxa"/>
              <w:left w:w="245" w:type="dxa"/>
              <w:bottom w:w="40" w:type="dxa"/>
              <w:right w:w="20" w:type="dxa"/>
            </w:tcMar>
            <w:vAlign w:val="bottom"/>
          </w:tcPr>
          <w:p w14:paraId="71D4582B"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71D4582C" w14:textId="77777777" w:rsidR="006A3667" w:rsidRDefault="00045F32">
            <w:pPr>
              <w:jc w:val="right"/>
              <w:textAlignment w:val="bottom"/>
            </w:pPr>
            <w:r>
              <w:rPr>
                <w:rFonts w:ascii="Arial" w:eastAsia="宋体" w:hAnsi="Arial" w:cs="Arial"/>
                <w:color w:val="000000"/>
                <w:sz w:val="14"/>
                <w:szCs w:val="14"/>
              </w:rPr>
              <w:t>1,021 </w:t>
            </w:r>
          </w:p>
        </w:tc>
        <w:tc>
          <w:tcPr>
            <w:tcW w:w="0" w:type="auto"/>
            <w:shd w:val="clear" w:color="auto" w:fill="FFFFFF"/>
            <w:tcMar>
              <w:top w:w="40" w:type="dxa"/>
              <w:left w:w="0" w:type="dxa"/>
              <w:bottom w:w="40" w:type="dxa"/>
              <w:right w:w="20" w:type="dxa"/>
            </w:tcMar>
            <w:vAlign w:val="bottom"/>
          </w:tcPr>
          <w:p w14:paraId="71D4582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2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2F"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1D4583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3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32" w14:textId="77777777" w:rsidR="006A3667" w:rsidRDefault="00045F32">
            <w:pPr>
              <w:jc w:val="right"/>
              <w:textAlignment w:val="bottom"/>
            </w:pPr>
            <w:r>
              <w:rPr>
                <w:rFonts w:ascii="Arial" w:eastAsia="宋体" w:hAnsi="Arial" w:cs="Arial"/>
                <w:color w:val="000000"/>
                <w:sz w:val="14"/>
                <w:szCs w:val="14"/>
              </w:rPr>
              <w:t>127 </w:t>
            </w:r>
          </w:p>
        </w:tc>
        <w:tc>
          <w:tcPr>
            <w:tcW w:w="0" w:type="auto"/>
            <w:shd w:val="clear" w:color="auto" w:fill="FFFFFF"/>
            <w:tcMar>
              <w:top w:w="40" w:type="dxa"/>
              <w:left w:w="0" w:type="dxa"/>
              <w:bottom w:w="40" w:type="dxa"/>
              <w:right w:w="20" w:type="dxa"/>
            </w:tcMar>
            <w:vAlign w:val="bottom"/>
          </w:tcPr>
          <w:p w14:paraId="71D4583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3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3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8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3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38" w14:textId="77777777" w:rsidR="006A3667" w:rsidRDefault="00045F32">
            <w:pPr>
              <w:jc w:val="right"/>
              <w:textAlignment w:val="bottom"/>
            </w:pPr>
            <w:r>
              <w:rPr>
                <w:rFonts w:ascii="Arial" w:eastAsia="宋体" w:hAnsi="Arial" w:cs="Arial"/>
                <w:color w:val="000000"/>
                <w:sz w:val="14"/>
                <w:szCs w:val="14"/>
              </w:rPr>
              <w:t>1,148 </w:t>
            </w:r>
          </w:p>
        </w:tc>
        <w:tc>
          <w:tcPr>
            <w:tcW w:w="0" w:type="auto"/>
            <w:shd w:val="clear" w:color="auto" w:fill="FFFFFF"/>
            <w:tcMar>
              <w:top w:w="40" w:type="dxa"/>
              <w:left w:w="0" w:type="dxa"/>
              <w:bottom w:w="40" w:type="dxa"/>
              <w:right w:w="20" w:type="dxa"/>
            </w:tcMar>
            <w:vAlign w:val="bottom"/>
          </w:tcPr>
          <w:p w14:paraId="71D458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3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3B"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1D4583C" w14:textId="77777777" w:rsidR="006A3667" w:rsidRDefault="006A3667">
            <w:pPr>
              <w:jc w:val="right"/>
              <w:rPr>
                <w:rFonts w:ascii="宋体"/>
              </w:rPr>
            </w:pPr>
          </w:p>
        </w:tc>
      </w:tr>
      <w:tr w:rsidR="006A3667" w14:paraId="71D45850" w14:textId="77777777">
        <w:tc>
          <w:tcPr>
            <w:tcW w:w="0" w:type="auto"/>
            <w:gridSpan w:val="3"/>
            <w:shd w:val="clear" w:color="auto" w:fill="CCEEFF"/>
            <w:tcMar>
              <w:top w:w="40" w:type="dxa"/>
              <w:left w:w="245" w:type="dxa"/>
              <w:bottom w:w="40" w:type="dxa"/>
              <w:right w:w="20" w:type="dxa"/>
            </w:tcMar>
            <w:vAlign w:val="bottom"/>
          </w:tcPr>
          <w:p w14:paraId="71D4583E" w14:textId="77777777" w:rsidR="006A3667" w:rsidRDefault="00045F32">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583F" w14:textId="77777777" w:rsidR="006A3667" w:rsidRDefault="00045F32">
            <w:pPr>
              <w:jc w:val="right"/>
              <w:textAlignment w:val="bottom"/>
            </w:pPr>
            <w:r>
              <w:rPr>
                <w:rFonts w:ascii="Arial" w:eastAsia="宋体" w:hAnsi="Arial" w:cs="Arial"/>
                <w:color w:val="000000"/>
                <w:sz w:val="14"/>
                <w:szCs w:val="14"/>
              </w:rPr>
              <w:t>10,406 </w:t>
            </w:r>
          </w:p>
        </w:tc>
        <w:tc>
          <w:tcPr>
            <w:tcW w:w="0" w:type="auto"/>
            <w:shd w:val="clear" w:color="auto" w:fill="CCEEFF"/>
            <w:tcMar>
              <w:top w:w="40" w:type="dxa"/>
              <w:left w:w="0" w:type="dxa"/>
              <w:bottom w:w="40" w:type="dxa"/>
              <w:right w:w="20" w:type="dxa"/>
            </w:tcMar>
            <w:vAlign w:val="bottom"/>
          </w:tcPr>
          <w:p w14:paraId="71D458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4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42" w14:textId="77777777" w:rsidR="006A3667" w:rsidRDefault="00045F32">
            <w:pPr>
              <w:jc w:val="right"/>
              <w:textAlignment w:val="bottom"/>
            </w:pPr>
            <w:r>
              <w:rPr>
                <w:rFonts w:ascii="Arial" w:eastAsia="宋体" w:hAnsi="Arial" w:cs="Arial"/>
                <w:color w:val="000000"/>
                <w:sz w:val="14"/>
                <w:szCs w:val="14"/>
              </w:rPr>
              <w:t>97 </w:t>
            </w:r>
          </w:p>
        </w:tc>
        <w:tc>
          <w:tcPr>
            <w:tcW w:w="0" w:type="auto"/>
            <w:shd w:val="clear" w:color="auto" w:fill="CCEEFF"/>
            <w:tcMar>
              <w:top w:w="40" w:type="dxa"/>
              <w:left w:w="0" w:type="dxa"/>
              <w:bottom w:w="40" w:type="dxa"/>
              <w:right w:w="20" w:type="dxa"/>
            </w:tcMar>
            <w:vAlign w:val="bottom"/>
          </w:tcPr>
          <w:p w14:paraId="71D458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4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45" w14:textId="77777777" w:rsidR="006A3667" w:rsidRDefault="00045F32">
            <w:pPr>
              <w:jc w:val="right"/>
              <w:textAlignment w:val="bottom"/>
            </w:pPr>
            <w:r>
              <w:rPr>
                <w:rFonts w:ascii="Arial" w:eastAsia="宋体" w:hAnsi="Arial" w:cs="Arial"/>
                <w:color w:val="000000"/>
                <w:sz w:val="14"/>
                <w:szCs w:val="14"/>
              </w:rPr>
              <w:t>63 </w:t>
            </w:r>
          </w:p>
        </w:tc>
        <w:tc>
          <w:tcPr>
            <w:tcW w:w="0" w:type="auto"/>
            <w:shd w:val="clear" w:color="auto" w:fill="CCEEFF"/>
            <w:tcMar>
              <w:top w:w="40" w:type="dxa"/>
              <w:left w:w="0" w:type="dxa"/>
              <w:bottom w:w="40" w:type="dxa"/>
              <w:right w:w="20" w:type="dxa"/>
            </w:tcMar>
            <w:vAlign w:val="bottom"/>
          </w:tcPr>
          <w:p w14:paraId="71D4584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4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48"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1D4584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4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4B" w14:textId="77777777" w:rsidR="006A3667" w:rsidRDefault="00045F32">
            <w:pPr>
              <w:jc w:val="right"/>
              <w:textAlignment w:val="bottom"/>
            </w:pPr>
            <w:r>
              <w:rPr>
                <w:rFonts w:ascii="Arial" w:eastAsia="宋体" w:hAnsi="Arial" w:cs="Arial"/>
                <w:color w:val="000000"/>
                <w:sz w:val="14"/>
                <w:szCs w:val="14"/>
              </w:rPr>
              <w:t>10,469 </w:t>
            </w:r>
          </w:p>
        </w:tc>
        <w:tc>
          <w:tcPr>
            <w:tcW w:w="0" w:type="auto"/>
            <w:shd w:val="clear" w:color="auto" w:fill="CCEEFF"/>
            <w:tcMar>
              <w:top w:w="40" w:type="dxa"/>
              <w:left w:w="0" w:type="dxa"/>
              <w:bottom w:w="40" w:type="dxa"/>
              <w:right w:w="20" w:type="dxa"/>
            </w:tcMar>
            <w:vAlign w:val="bottom"/>
          </w:tcPr>
          <w:p w14:paraId="71D458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4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4E" w14:textId="77777777" w:rsidR="006A3667" w:rsidRDefault="00045F32">
            <w:pPr>
              <w:jc w:val="right"/>
              <w:textAlignment w:val="bottom"/>
            </w:pPr>
            <w:r>
              <w:rPr>
                <w:rFonts w:ascii="Arial" w:eastAsia="宋体" w:hAnsi="Arial" w:cs="Arial"/>
                <w:color w:val="000000"/>
                <w:sz w:val="14"/>
                <w:szCs w:val="14"/>
              </w:rPr>
              <w:t>100 </w:t>
            </w:r>
          </w:p>
        </w:tc>
        <w:tc>
          <w:tcPr>
            <w:tcW w:w="0" w:type="auto"/>
            <w:shd w:val="clear" w:color="auto" w:fill="CCEEFF"/>
            <w:tcMar>
              <w:top w:w="40" w:type="dxa"/>
              <w:left w:w="0" w:type="dxa"/>
              <w:bottom w:w="40" w:type="dxa"/>
              <w:right w:w="20" w:type="dxa"/>
            </w:tcMar>
            <w:vAlign w:val="bottom"/>
          </w:tcPr>
          <w:p w14:paraId="71D4584F" w14:textId="77777777" w:rsidR="006A3667" w:rsidRDefault="006A3667">
            <w:pPr>
              <w:jc w:val="right"/>
              <w:rPr>
                <w:rFonts w:ascii="宋体"/>
              </w:rPr>
            </w:pPr>
          </w:p>
        </w:tc>
      </w:tr>
      <w:tr w:rsidR="006A3667" w14:paraId="71D45863" w14:textId="77777777">
        <w:tc>
          <w:tcPr>
            <w:tcW w:w="0" w:type="auto"/>
            <w:gridSpan w:val="3"/>
            <w:shd w:val="clear" w:color="auto" w:fill="FFFFFF"/>
            <w:tcMar>
              <w:top w:w="40" w:type="dxa"/>
              <w:left w:w="245" w:type="dxa"/>
              <w:bottom w:w="40" w:type="dxa"/>
              <w:right w:w="20" w:type="dxa"/>
            </w:tcMar>
            <w:vAlign w:val="bottom"/>
          </w:tcPr>
          <w:p w14:paraId="71D45851"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5852" w14:textId="77777777" w:rsidR="006A3667" w:rsidRDefault="00045F32">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71D458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5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55" w14:textId="77777777" w:rsidR="006A3667" w:rsidRDefault="00045F32">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71D458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5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58" w14:textId="77777777" w:rsidR="006A3667" w:rsidRDefault="00045F32">
            <w:pPr>
              <w:jc w:val="right"/>
              <w:textAlignment w:val="bottom"/>
            </w:pPr>
            <w:r>
              <w:rPr>
                <w:rFonts w:ascii="Arial" w:eastAsia="宋体" w:hAnsi="Arial" w:cs="Arial"/>
                <w:color w:val="000000"/>
                <w:sz w:val="14"/>
                <w:szCs w:val="14"/>
              </w:rPr>
              <w:t>19 </w:t>
            </w:r>
          </w:p>
        </w:tc>
        <w:tc>
          <w:tcPr>
            <w:tcW w:w="0" w:type="auto"/>
            <w:shd w:val="clear" w:color="auto" w:fill="FFFFFF"/>
            <w:tcMar>
              <w:top w:w="40" w:type="dxa"/>
              <w:left w:w="0" w:type="dxa"/>
              <w:bottom w:w="40" w:type="dxa"/>
              <w:right w:w="20" w:type="dxa"/>
            </w:tcMar>
            <w:vAlign w:val="bottom"/>
          </w:tcPr>
          <w:p w14:paraId="71D458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5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5B"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1D458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5E" w14:textId="77777777" w:rsidR="006A3667" w:rsidRDefault="00045F32">
            <w:pPr>
              <w:jc w:val="right"/>
              <w:textAlignment w:val="bottom"/>
            </w:pPr>
            <w:r>
              <w:rPr>
                <w:rFonts w:ascii="Arial" w:eastAsia="宋体" w:hAnsi="Arial" w:cs="Arial"/>
                <w:color w:val="000000"/>
                <w:sz w:val="14"/>
                <w:szCs w:val="14"/>
              </w:rPr>
              <w:t>1,589 </w:t>
            </w:r>
          </w:p>
        </w:tc>
        <w:tc>
          <w:tcPr>
            <w:tcW w:w="0" w:type="auto"/>
            <w:shd w:val="clear" w:color="auto" w:fill="FFFFFF"/>
            <w:tcMar>
              <w:top w:w="40" w:type="dxa"/>
              <w:left w:w="0" w:type="dxa"/>
              <w:bottom w:w="40" w:type="dxa"/>
              <w:right w:w="20" w:type="dxa"/>
            </w:tcMar>
            <w:vAlign w:val="bottom"/>
          </w:tcPr>
          <w:p w14:paraId="71D458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61" w14:textId="77777777" w:rsidR="006A3667" w:rsidRDefault="00045F32">
            <w:pPr>
              <w:jc w:val="right"/>
              <w:textAlignment w:val="bottom"/>
            </w:pPr>
            <w:r>
              <w:rPr>
                <w:rFonts w:ascii="Arial" w:eastAsia="宋体" w:hAnsi="Arial" w:cs="Arial"/>
                <w:color w:val="000000"/>
                <w:sz w:val="14"/>
                <w:szCs w:val="14"/>
              </w:rPr>
              <w:t>32 </w:t>
            </w:r>
          </w:p>
        </w:tc>
        <w:tc>
          <w:tcPr>
            <w:tcW w:w="0" w:type="auto"/>
            <w:shd w:val="clear" w:color="auto" w:fill="FFFFFF"/>
            <w:tcMar>
              <w:top w:w="40" w:type="dxa"/>
              <w:left w:w="0" w:type="dxa"/>
              <w:bottom w:w="40" w:type="dxa"/>
              <w:right w:w="20" w:type="dxa"/>
            </w:tcMar>
            <w:vAlign w:val="bottom"/>
          </w:tcPr>
          <w:p w14:paraId="71D45862" w14:textId="77777777" w:rsidR="006A3667" w:rsidRDefault="006A3667">
            <w:pPr>
              <w:jc w:val="right"/>
              <w:rPr>
                <w:rFonts w:ascii="宋体"/>
              </w:rPr>
            </w:pPr>
          </w:p>
        </w:tc>
      </w:tr>
      <w:tr w:rsidR="006A3667" w14:paraId="71D45876" w14:textId="77777777">
        <w:tc>
          <w:tcPr>
            <w:tcW w:w="0" w:type="auto"/>
            <w:gridSpan w:val="3"/>
            <w:shd w:val="clear" w:color="auto" w:fill="CCEEFF"/>
            <w:tcMar>
              <w:top w:w="40" w:type="dxa"/>
              <w:left w:w="515" w:type="dxa"/>
              <w:bottom w:w="40" w:type="dxa"/>
              <w:right w:w="20" w:type="dxa"/>
            </w:tcMar>
            <w:vAlign w:val="bottom"/>
          </w:tcPr>
          <w:p w14:paraId="71D45864" w14:textId="77777777" w:rsidR="006A3667" w:rsidRDefault="00045F32">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65" w14:textId="77777777" w:rsidR="006A3667" w:rsidRDefault="00045F32">
            <w:pPr>
              <w:jc w:val="right"/>
              <w:textAlignment w:val="bottom"/>
            </w:pPr>
            <w:r>
              <w:rPr>
                <w:rFonts w:ascii="Arial" w:eastAsia="宋体" w:hAnsi="Arial" w:cs="Arial"/>
                <w:color w:val="000000"/>
                <w:sz w:val="14"/>
                <w:szCs w:val="14"/>
              </w:rPr>
              <w:t>13,574 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6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68" w14:textId="77777777" w:rsidR="006A3667" w:rsidRDefault="00045F32">
            <w:pPr>
              <w:jc w:val="right"/>
              <w:textAlignment w:val="bottom"/>
            </w:pPr>
            <w:r>
              <w:rPr>
                <w:rFonts w:ascii="Arial" w:eastAsia="宋体" w:hAnsi="Arial" w:cs="Arial"/>
                <w:color w:val="000000"/>
                <w:sz w:val="14"/>
                <w:szCs w:val="14"/>
              </w:rPr>
              <w:t>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6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6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6B" w14:textId="77777777" w:rsidR="006A3667" w:rsidRDefault="00045F32">
            <w:pPr>
              <w:jc w:val="right"/>
              <w:textAlignment w:val="bottom"/>
            </w:pPr>
            <w:r>
              <w:rPr>
                <w:rFonts w:ascii="Arial" w:eastAsia="宋体" w:hAnsi="Arial" w:cs="Arial"/>
                <w:color w:val="000000"/>
                <w:sz w:val="14"/>
                <w:szCs w:val="14"/>
              </w:rPr>
              <w:t>239 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6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6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6E" w14:textId="77777777" w:rsidR="006A3667" w:rsidRDefault="00045F32">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7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71" w14:textId="77777777" w:rsidR="006A3667" w:rsidRDefault="00045F32">
            <w:pPr>
              <w:jc w:val="right"/>
              <w:textAlignment w:val="bottom"/>
            </w:pPr>
            <w:r>
              <w:rPr>
                <w:rFonts w:ascii="Arial" w:eastAsia="宋体" w:hAnsi="Arial" w:cs="Arial"/>
                <w:color w:val="000000"/>
                <w:sz w:val="14"/>
                <w:szCs w:val="14"/>
              </w:rPr>
              <w:t>13,813 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7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74" w14:textId="77777777" w:rsidR="006A3667" w:rsidRDefault="00045F32">
            <w:pPr>
              <w:jc w:val="right"/>
              <w:textAlignment w:val="bottom"/>
            </w:pPr>
            <w:r>
              <w:rPr>
                <w:rFonts w:ascii="Arial" w:eastAsia="宋体" w:hAnsi="Arial" w:cs="Arial"/>
                <w:color w:val="000000"/>
                <w:sz w:val="14"/>
                <w:szCs w:val="14"/>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75" w14:textId="77777777" w:rsidR="006A3667" w:rsidRDefault="006A3667">
            <w:pPr>
              <w:jc w:val="right"/>
              <w:rPr>
                <w:rFonts w:ascii="宋体"/>
              </w:rPr>
            </w:pPr>
          </w:p>
        </w:tc>
      </w:tr>
      <w:tr w:rsidR="006A3667" w14:paraId="71D45883" w14:textId="77777777">
        <w:tc>
          <w:tcPr>
            <w:tcW w:w="0" w:type="auto"/>
            <w:gridSpan w:val="3"/>
            <w:shd w:val="clear" w:color="auto" w:fill="FFFFFF"/>
            <w:tcMar>
              <w:top w:w="40" w:type="dxa"/>
              <w:left w:w="20" w:type="dxa"/>
              <w:bottom w:w="40" w:type="dxa"/>
              <w:right w:w="20" w:type="dxa"/>
            </w:tcMar>
            <w:vAlign w:val="bottom"/>
          </w:tcPr>
          <w:p w14:paraId="71D45877" w14:textId="77777777" w:rsidR="006A3667" w:rsidRDefault="00045F32">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7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79"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7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7B"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7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7D"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7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7F"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8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881"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882" w14:textId="77777777" w:rsidR="006A3667" w:rsidRDefault="006A3667">
            <w:pPr>
              <w:rPr>
                <w:rFonts w:ascii="宋体"/>
              </w:rPr>
            </w:pPr>
          </w:p>
        </w:tc>
      </w:tr>
      <w:tr w:rsidR="006A3667" w14:paraId="71D45896" w14:textId="77777777">
        <w:tc>
          <w:tcPr>
            <w:tcW w:w="0" w:type="auto"/>
            <w:gridSpan w:val="3"/>
            <w:shd w:val="clear" w:color="auto" w:fill="CCEEFF"/>
            <w:tcMar>
              <w:top w:w="40" w:type="dxa"/>
              <w:left w:w="245" w:type="dxa"/>
              <w:bottom w:w="40" w:type="dxa"/>
              <w:right w:w="20" w:type="dxa"/>
            </w:tcMar>
            <w:vAlign w:val="bottom"/>
          </w:tcPr>
          <w:p w14:paraId="71D45884" w14:textId="77777777" w:rsidR="006A3667" w:rsidRDefault="00045F32">
            <w:pPr>
              <w:textAlignment w:val="bottom"/>
            </w:pPr>
            <w:r>
              <w:rPr>
                <w:rFonts w:ascii="Arial" w:eastAsia="宋体" w:hAnsi="Arial" w:cs="Arial"/>
                <w:color w:val="000000"/>
                <w:sz w:val="14"/>
                <w:szCs w:val="14"/>
              </w:rPr>
              <w:t xml:space="preserve">Collateralized loan </w:t>
            </w:r>
            <w:r>
              <w:rPr>
                <w:rFonts w:ascii="Arial" w:eastAsia="宋体" w:hAnsi="Arial" w:cs="Arial"/>
                <w:color w:val="000000"/>
                <w:sz w:val="14"/>
                <w:szCs w:val="14"/>
              </w:rPr>
              <w:t>obligations</w:t>
            </w:r>
          </w:p>
        </w:tc>
        <w:tc>
          <w:tcPr>
            <w:tcW w:w="0" w:type="auto"/>
            <w:gridSpan w:val="2"/>
            <w:shd w:val="clear" w:color="auto" w:fill="CCEEFF"/>
            <w:tcMar>
              <w:top w:w="40" w:type="dxa"/>
              <w:left w:w="20" w:type="dxa"/>
              <w:bottom w:w="40" w:type="dxa"/>
              <w:right w:w="0" w:type="dxa"/>
            </w:tcMar>
            <w:vAlign w:val="bottom"/>
          </w:tcPr>
          <w:p w14:paraId="71D45885" w14:textId="77777777" w:rsidR="006A3667" w:rsidRDefault="00045F32">
            <w:pPr>
              <w:jc w:val="right"/>
              <w:textAlignment w:val="bottom"/>
            </w:pPr>
            <w:r>
              <w:rPr>
                <w:rFonts w:ascii="Arial" w:eastAsia="宋体" w:hAnsi="Arial" w:cs="Arial"/>
                <w:color w:val="000000"/>
                <w:sz w:val="14"/>
                <w:szCs w:val="14"/>
              </w:rPr>
              <w:t>1,268 </w:t>
            </w:r>
          </w:p>
        </w:tc>
        <w:tc>
          <w:tcPr>
            <w:tcW w:w="0" w:type="auto"/>
            <w:shd w:val="clear" w:color="auto" w:fill="CCEEFF"/>
            <w:tcMar>
              <w:top w:w="40" w:type="dxa"/>
              <w:left w:w="0" w:type="dxa"/>
              <w:bottom w:w="40" w:type="dxa"/>
              <w:right w:w="20" w:type="dxa"/>
            </w:tcMar>
            <w:vAlign w:val="bottom"/>
          </w:tcPr>
          <w:p w14:paraId="71D458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88"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58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8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8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8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58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9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91" w14:textId="77777777" w:rsidR="006A3667" w:rsidRDefault="00045F32">
            <w:pPr>
              <w:jc w:val="right"/>
              <w:textAlignment w:val="bottom"/>
            </w:pPr>
            <w:r>
              <w:rPr>
                <w:rFonts w:ascii="Arial" w:eastAsia="宋体" w:hAnsi="Arial" w:cs="Arial"/>
                <w:color w:val="000000"/>
                <w:sz w:val="14"/>
                <w:szCs w:val="14"/>
              </w:rPr>
              <w:t>1,268 </w:t>
            </w:r>
          </w:p>
        </w:tc>
        <w:tc>
          <w:tcPr>
            <w:tcW w:w="0" w:type="auto"/>
            <w:shd w:val="clear" w:color="auto" w:fill="CCEEFF"/>
            <w:tcMar>
              <w:top w:w="40" w:type="dxa"/>
              <w:left w:w="0" w:type="dxa"/>
              <w:bottom w:w="40" w:type="dxa"/>
              <w:right w:w="20" w:type="dxa"/>
            </w:tcMar>
            <w:vAlign w:val="bottom"/>
          </w:tcPr>
          <w:p w14:paraId="71D458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9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894"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5895" w14:textId="77777777" w:rsidR="006A3667" w:rsidRDefault="006A3667">
            <w:pPr>
              <w:jc w:val="right"/>
              <w:rPr>
                <w:rFonts w:ascii="宋体"/>
              </w:rPr>
            </w:pPr>
          </w:p>
        </w:tc>
      </w:tr>
      <w:tr w:rsidR="006A3667" w14:paraId="71D458A9" w14:textId="77777777">
        <w:tc>
          <w:tcPr>
            <w:tcW w:w="0" w:type="auto"/>
            <w:gridSpan w:val="3"/>
            <w:shd w:val="clear" w:color="auto" w:fill="FFFFFF"/>
            <w:tcMar>
              <w:top w:w="40" w:type="dxa"/>
              <w:left w:w="515" w:type="dxa"/>
              <w:bottom w:w="40" w:type="dxa"/>
              <w:right w:w="20" w:type="dxa"/>
            </w:tcMar>
            <w:vAlign w:val="bottom"/>
          </w:tcPr>
          <w:p w14:paraId="71D45897" w14:textId="77777777" w:rsidR="006A3667" w:rsidRDefault="00045F32">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898" w14:textId="77777777" w:rsidR="006A3667" w:rsidRDefault="00045F32">
            <w:pPr>
              <w:jc w:val="right"/>
              <w:textAlignment w:val="bottom"/>
            </w:pPr>
            <w:r>
              <w:rPr>
                <w:rFonts w:ascii="Arial" w:eastAsia="宋体" w:hAnsi="Arial" w:cs="Arial"/>
                <w:color w:val="000000"/>
                <w:sz w:val="14"/>
                <w:szCs w:val="14"/>
              </w:rPr>
              <w:t>1,268 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8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9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89B"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8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9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89E"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89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A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8A1"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8A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A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8A4" w14:textId="77777777" w:rsidR="006A3667" w:rsidRDefault="00045F32">
            <w:pPr>
              <w:jc w:val="right"/>
              <w:textAlignment w:val="bottom"/>
            </w:pPr>
            <w:r>
              <w:rPr>
                <w:rFonts w:ascii="Arial" w:eastAsia="宋体" w:hAnsi="Arial" w:cs="Arial"/>
                <w:color w:val="000000"/>
                <w:sz w:val="14"/>
                <w:szCs w:val="14"/>
              </w:rPr>
              <w:t>1,268 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8A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A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8A7"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8A8" w14:textId="77777777" w:rsidR="006A3667" w:rsidRDefault="006A3667">
            <w:pPr>
              <w:jc w:val="right"/>
              <w:rPr>
                <w:rFonts w:ascii="宋体"/>
              </w:rPr>
            </w:pPr>
          </w:p>
        </w:tc>
      </w:tr>
      <w:tr w:rsidR="006A3667" w14:paraId="71D458BC" w14:textId="77777777">
        <w:tc>
          <w:tcPr>
            <w:tcW w:w="0" w:type="auto"/>
            <w:gridSpan w:val="3"/>
            <w:shd w:val="clear" w:color="auto" w:fill="CCEEFF"/>
            <w:tcMar>
              <w:top w:w="40" w:type="dxa"/>
              <w:left w:w="20" w:type="dxa"/>
              <w:bottom w:w="40" w:type="dxa"/>
              <w:right w:w="20" w:type="dxa"/>
            </w:tcMar>
            <w:vAlign w:val="bottom"/>
          </w:tcPr>
          <w:p w14:paraId="71D458AA" w14:textId="77777777" w:rsidR="006A3667" w:rsidRDefault="00045F32">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AB" w14:textId="77777777" w:rsidR="006A3667" w:rsidRDefault="00045F32">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A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AE"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B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B1" w14:textId="77777777" w:rsidR="006A3667" w:rsidRDefault="00045F32">
            <w:pPr>
              <w:jc w:val="right"/>
              <w:textAlignment w:val="bottom"/>
            </w:pPr>
            <w:r>
              <w:rPr>
                <w:rFonts w:ascii="Arial" w:eastAsia="宋体" w:hAnsi="Arial" w:cs="Arial"/>
                <w:color w:val="000000"/>
                <w:sz w:val="14"/>
                <w:szCs w:val="14"/>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B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B4" w14:textId="77777777" w:rsidR="006A3667" w:rsidRDefault="00045F32">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B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B7" w14:textId="77777777" w:rsidR="006A3667" w:rsidRDefault="00045F32">
            <w:pPr>
              <w:jc w:val="right"/>
              <w:textAlignment w:val="bottom"/>
            </w:pPr>
            <w:r>
              <w:rPr>
                <w:rFonts w:ascii="Arial" w:eastAsia="宋体" w:hAnsi="Arial" w:cs="Arial"/>
                <w:color w:val="000000"/>
                <w:sz w:val="14"/>
                <w:szCs w:val="14"/>
              </w:rPr>
              <w:t>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B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8BA" w14:textId="77777777" w:rsidR="006A3667" w:rsidRDefault="00045F32">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8BB" w14:textId="77777777" w:rsidR="006A3667" w:rsidRDefault="006A3667">
            <w:pPr>
              <w:jc w:val="right"/>
              <w:rPr>
                <w:rFonts w:ascii="宋体"/>
              </w:rPr>
            </w:pPr>
          </w:p>
        </w:tc>
      </w:tr>
      <w:tr w:rsidR="006A3667" w14:paraId="71D458C9" w14:textId="77777777">
        <w:trPr>
          <w:hidden/>
        </w:trPr>
        <w:tc>
          <w:tcPr>
            <w:tcW w:w="0" w:type="auto"/>
            <w:gridSpan w:val="3"/>
            <w:shd w:val="clear" w:color="auto" w:fill="auto"/>
            <w:vAlign w:val="bottom"/>
          </w:tcPr>
          <w:p w14:paraId="71D458BD" w14:textId="77777777" w:rsidR="006A3667" w:rsidRDefault="006A3667">
            <w:pPr>
              <w:rPr>
                <w:rFonts w:ascii="宋体"/>
                <w:vanish/>
              </w:rPr>
            </w:pPr>
          </w:p>
        </w:tc>
        <w:tc>
          <w:tcPr>
            <w:tcW w:w="0" w:type="auto"/>
            <w:gridSpan w:val="3"/>
            <w:shd w:val="clear" w:color="auto" w:fill="auto"/>
            <w:vAlign w:val="bottom"/>
          </w:tcPr>
          <w:p w14:paraId="71D458BE" w14:textId="77777777" w:rsidR="006A3667" w:rsidRDefault="006A3667">
            <w:pPr>
              <w:rPr>
                <w:rFonts w:ascii="宋体"/>
                <w:vanish/>
              </w:rPr>
            </w:pPr>
          </w:p>
        </w:tc>
        <w:tc>
          <w:tcPr>
            <w:tcW w:w="0" w:type="auto"/>
            <w:gridSpan w:val="3"/>
            <w:shd w:val="clear" w:color="auto" w:fill="auto"/>
            <w:vAlign w:val="bottom"/>
          </w:tcPr>
          <w:p w14:paraId="71D458BF" w14:textId="77777777" w:rsidR="006A3667" w:rsidRDefault="006A3667">
            <w:pPr>
              <w:rPr>
                <w:rFonts w:ascii="宋体"/>
                <w:vanish/>
              </w:rPr>
            </w:pPr>
          </w:p>
        </w:tc>
        <w:tc>
          <w:tcPr>
            <w:tcW w:w="0" w:type="auto"/>
            <w:gridSpan w:val="3"/>
            <w:shd w:val="clear" w:color="auto" w:fill="auto"/>
            <w:vAlign w:val="bottom"/>
          </w:tcPr>
          <w:p w14:paraId="71D458C0" w14:textId="77777777" w:rsidR="006A3667" w:rsidRDefault="006A3667">
            <w:pPr>
              <w:rPr>
                <w:rFonts w:ascii="宋体"/>
                <w:vanish/>
              </w:rPr>
            </w:pPr>
          </w:p>
        </w:tc>
        <w:tc>
          <w:tcPr>
            <w:tcW w:w="0" w:type="auto"/>
            <w:gridSpan w:val="3"/>
            <w:shd w:val="clear" w:color="auto" w:fill="auto"/>
            <w:vAlign w:val="bottom"/>
          </w:tcPr>
          <w:p w14:paraId="71D458C1" w14:textId="77777777" w:rsidR="006A3667" w:rsidRDefault="006A3667">
            <w:pPr>
              <w:rPr>
                <w:rFonts w:ascii="宋体"/>
                <w:vanish/>
              </w:rPr>
            </w:pPr>
          </w:p>
        </w:tc>
        <w:tc>
          <w:tcPr>
            <w:tcW w:w="0" w:type="auto"/>
            <w:gridSpan w:val="3"/>
            <w:shd w:val="clear" w:color="auto" w:fill="auto"/>
            <w:vAlign w:val="bottom"/>
          </w:tcPr>
          <w:p w14:paraId="71D458C2" w14:textId="77777777" w:rsidR="006A3667" w:rsidRDefault="006A3667">
            <w:pPr>
              <w:rPr>
                <w:rFonts w:ascii="宋体"/>
                <w:vanish/>
              </w:rPr>
            </w:pPr>
          </w:p>
        </w:tc>
        <w:tc>
          <w:tcPr>
            <w:tcW w:w="0" w:type="auto"/>
            <w:gridSpan w:val="3"/>
            <w:shd w:val="clear" w:color="auto" w:fill="auto"/>
            <w:vAlign w:val="bottom"/>
          </w:tcPr>
          <w:p w14:paraId="71D458C3" w14:textId="77777777" w:rsidR="006A3667" w:rsidRDefault="006A3667">
            <w:pPr>
              <w:rPr>
                <w:rFonts w:ascii="宋体"/>
                <w:vanish/>
              </w:rPr>
            </w:pPr>
          </w:p>
        </w:tc>
        <w:tc>
          <w:tcPr>
            <w:tcW w:w="0" w:type="auto"/>
            <w:gridSpan w:val="3"/>
            <w:shd w:val="clear" w:color="auto" w:fill="auto"/>
            <w:vAlign w:val="bottom"/>
          </w:tcPr>
          <w:p w14:paraId="71D458C4" w14:textId="77777777" w:rsidR="006A3667" w:rsidRDefault="006A3667">
            <w:pPr>
              <w:rPr>
                <w:rFonts w:ascii="宋体"/>
                <w:vanish/>
              </w:rPr>
            </w:pPr>
          </w:p>
        </w:tc>
        <w:tc>
          <w:tcPr>
            <w:tcW w:w="0" w:type="auto"/>
            <w:gridSpan w:val="3"/>
            <w:shd w:val="clear" w:color="auto" w:fill="auto"/>
            <w:vAlign w:val="bottom"/>
          </w:tcPr>
          <w:p w14:paraId="71D458C5" w14:textId="77777777" w:rsidR="006A3667" w:rsidRDefault="006A3667">
            <w:pPr>
              <w:rPr>
                <w:rFonts w:ascii="宋体"/>
                <w:vanish/>
              </w:rPr>
            </w:pPr>
          </w:p>
        </w:tc>
        <w:tc>
          <w:tcPr>
            <w:tcW w:w="0" w:type="auto"/>
            <w:gridSpan w:val="3"/>
            <w:shd w:val="clear" w:color="auto" w:fill="auto"/>
            <w:vAlign w:val="bottom"/>
          </w:tcPr>
          <w:p w14:paraId="71D458C6" w14:textId="77777777" w:rsidR="006A3667" w:rsidRDefault="006A3667">
            <w:pPr>
              <w:rPr>
                <w:rFonts w:ascii="宋体"/>
                <w:vanish/>
              </w:rPr>
            </w:pPr>
          </w:p>
        </w:tc>
        <w:tc>
          <w:tcPr>
            <w:tcW w:w="0" w:type="auto"/>
            <w:gridSpan w:val="3"/>
            <w:shd w:val="clear" w:color="auto" w:fill="auto"/>
            <w:vAlign w:val="bottom"/>
          </w:tcPr>
          <w:p w14:paraId="71D458C7" w14:textId="77777777" w:rsidR="006A3667" w:rsidRDefault="006A3667">
            <w:pPr>
              <w:rPr>
                <w:rFonts w:ascii="宋体"/>
                <w:vanish/>
              </w:rPr>
            </w:pPr>
          </w:p>
        </w:tc>
        <w:tc>
          <w:tcPr>
            <w:tcW w:w="0" w:type="auto"/>
            <w:gridSpan w:val="3"/>
            <w:shd w:val="clear" w:color="auto" w:fill="auto"/>
            <w:vAlign w:val="bottom"/>
          </w:tcPr>
          <w:p w14:paraId="71D458C8" w14:textId="77777777" w:rsidR="006A3667" w:rsidRDefault="006A3667">
            <w:pPr>
              <w:rPr>
                <w:rFonts w:ascii="宋体"/>
                <w:vanish/>
              </w:rPr>
            </w:pPr>
          </w:p>
        </w:tc>
      </w:tr>
      <w:tr w:rsidR="006A3667" w14:paraId="71D458DC" w14:textId="77777777">
        <w:tc>
          <w:tcPr>
            <w:tcW w:w="0" w:type="auto"/>
            <w:gridSpan w:val="3"/>
            <w:shd w:val="clear" w:color="auto" w:fill="FFFFFF"/>
            <w:tcMar>
              <w:top w:w="40" w:type="dxa"/>
              <w:left w:w="20" w:type="dxa"/>
              <w:bottom w:w="40" w:type="dxa"/>
              <w:right w:w="20" w:type="dxa"/>
            </w:tcMar>
            <w:vAlign w:val="bottom"/>
          </w:tcPr>
          <w:p w14:paraId="71D458CA" w14:textId="77777777" w:rsidR="006A3667" w:rsidRDefault="00045F32">
            <w:pPr>
              <w:textAlignment w:val="bottom"/>
            </w:pPr>
            <w:r>
              <w:rPr>
                <w:rFonts w:ascii="Arial" w:eastAsia="宋体" w:hAnsi="Arial" w:cs="Arial"/>
                <w:color w:val="000000"/>
                <w:sz w:val="14"/>
                <w:szCs w:val="14"/>
              </w:rPr>
              <w:t>Other U.S. debt securities</w:t>
            </w:r>
          </w:p>
        </w:tc>
        <w:tc>
          <w:tcPr>
            <w:tcW w:w="0" w:type="auto"/>
            <w:gridSpan w:val="2"/>
            <w:shd w:val="clear" w:color="auto" w:fill="FFFFFF"/>
            <w:tcMar>
              <w:top w:w="40" w:type="dxa"/>
              <w:left w:w="20" w:type="dxa"/>
              <w:bottom w:w="40" w:type="dxa"/>
              <w:right w:w="0" w:type="dxa"/>
            </w:tcMar>
            <w:vAlign w:val="bottom"/>
          </w:tcPr>
          <w:p w14:paraId="71D458CB" w14:textId="77777777" w:rsidR="006A3667" w:rsidRDefault="00045F32">
            <w:pPr>
              <w:jc w:val="right"/>
              <w:textAlignment w:val="bottom"/>
            </w:pPr>
            <w:r>
              <w:rPr>
                <w:rFonts w:ascii="Arial" w:eastAsia="宋体" w:hAnsi="Arial" w:cs="Arial"/>
                <w:color w:val="000000"/>
                <w:sz w:val="14"/>
                <w:szCs w:val="14"/>
              </w:rPr>
              <w:t>1,214 </w:t>
            </w:r>
          </w:p>
        </w:tc>
        <w:tc>
          <w:tcPr>
            <w:tcW w:w="0" w:type="auto"/>
            <w:shd w:val="clear" w:color="auto" w:fill="FFFFFF"/>
            <w:tcMar>
              <w:top w:w="40" w:type="dxa"/>
              <w:left w:w="0" w:type="dxa"/>
              <w:bottom w:w="40" w:type="dxa"/>
              <w:right w:w="20" w:type="dxa"/>
            </w:tcMar>
            <w:vAlign w:val="bottom"/>
          </w:tcPr>
          <w:p w14:paraId="71D458C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C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CE"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71D458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D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D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8D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D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D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58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D7" w14:textId="77777777" w:rsidR="006A3667" w:rsidRDefault="00045F32">
            <w:pPr>
              <w:jc w:val="right"/>
              <w:textAlignment w:val="bottom"/>
            </w:pPr>
            <w:r>
              <w:rPr>
                <w:rFonts w:ascii="Arial" w:eastAsia="宋体" w:hAnsi="Arial" w:cs="Arial"/>
                <w:color w:val="000000"/>
                <w:sz w:val="14"/>
                <w:szCs w:val="14"/>
              </w:rPr>
              <w:t>1,214 </w:t>
            </w:r>
          </w:p>
        </w:tc>
        <w:tc>
          <w:tcPr>
            <w:tcW w:w="0" w:type="auto"/>
            <w:shd w:val="clear" w:color="auto" w:fill="FFFFFF"/>
            <w:tcMar>
              <w:top w:w="40" w:type="dxa"/>
              <w:left w:w="0" w:type="dxa"/>
              <w:bottom w:w="40" w:type="dxa"/>
              <w:right w:w="20" w:type="dxa"/>
            </w:tcMar>
            <w:vAlign w:val="bottom"/>
          </w:tcPr>
          <w:p w14:paraId="71D458D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8D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8DA"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71D458DB" w14:textId="77777777" w:rsidR="006A3667" w:rsidRDefault="006A3667">
            <w:pPr>
              <w:jc w:val="right"/>
              <w:rPr>
                <w:rFonts w:ascii="宋体"/>
              </w:rPr>
            </w:pPr>
          </w:p>
        </w:tc>
      </w:tr>
      <w:tr w:rsidR="006A3667" w14:paraId="71D458E9" w14:textId="77777777">
        <w:trPr>
          <w:hidden/>
        </w:trPr>
        <w:tc>
          <w:tcPr>
            <w:tcW w:w="0" w:type="auto"/>
            <w:gridSpan w:val="3"/>
            <w:shd w:val="clear" w:color="auto" w:fill="auto"/>
            <w:vAlign w:val="bottom"/>
          </w:tcPr>
          <w:p w14:paraId="71D458DD" w14:textId="77777777" w:rsidR="006A3667" w:rsidRDefault="006A3667">
            <w:pPr>
              <w:rPr>
                <w:rFonts w:ascii="宋体"/>
                <w:vanish/>
              </w:rPr>
            </w:pPr>
          </w:p>
        </w:tc>
        <w:tc>
          <w:tcPr>
            <w:tcW w:w="0" w:type="auto"/>
            <w:gridSpan w:val="3"/>
            <w:shd w:val="clear" w:color="auto" w:fill="auto"/>
            <w:vAlign w:val="bottom"/>
          </w:tcPr>
          <w:p w14:paraId="71D458DE" w14:textId="77777777" w:rsidR="006A3667" w:rsidRDefault="006A3667">
            <w:pPr>
              <w:rPr>
                <w:rFonts w:ascii="宋体"/>
                <w:vanish/>
              </w:rPr>
            </w:pPr>
          </w:p>
        </w:tc>
        <w:tc>
          <w:tcPr>
            <w:tcW w:w="0" w:type="auto"/>
            <w:gridSpan w:val="3"/>
            <w:shd w:val="clear" w:color="auto" w:fill="auto"/>
            <w:vAlign w:val="bottom"/>
          </w:tcPr>
          <w:p w14:paraId="71D458DF" w14:textId="77777777" w:rsidR="006A3667" w:rsidRDefault="006A3667">
            <w:pPr>
              <w:rPr>
                <w:rFonts w:ascii="宋体"/>
                <w:vanish/>
              </w:rPr>
            </w:pPr>
          </w:p>
        </w:tc>
        <w:tc>
          <w:tcPr>
            <w:tcW w:w="0" w:type="auto"/>
            <w:gridSpan w:val="3"/>
            <w:shd w:val="clear" w:color="auto" w:fill="auto"/>
            <w:vAlign w:val="bottom"/>
          </w:tcPr>
          <w:p w14:paraId="71D458E0" w14:textId="77777777" w:rsidR="006A3667" w:rsidRDefault="006A3667">
            <w:pPr>
              <w:rPr>
                <w:rFonts w:ascii="宋体"/>
                <w:vanish/>
              </w:rPr>
            </w:pPr>
          </w:p>
        </w:tc>
        <w:tc>
          <w:tcPr>
            <w:tcW w:w="0" w:type="auto"/>
            <w:gridSpan w:val="3"/>
            <w:shd w:val="clear" w:color="auto" w:fill="auto"/>
            <w:vAlign w:val="bottom"/>
          </w:tcPr>
          <w:p w14:paraId="71D458E1" w14:textId="77777777" w:rsidR="006A3667" w:rsidRDefault="006A3667">
            <w:pPr>
              <w:rPr>
                <w:rFonts w:ascii="宋体"/>
                <w:vanish/>
              </w:rPr>
            </w:pPr>
          </w:p>
        </w:tc>
        <w:tc>
          <w:tcPr>
            <w:tcW w:w="0" w:type="auto"/>
            <w:gridSpan w:val="3"/>
            <w:shd w:val="clear" w:color="auto" w:fill="auto"/>
            <w:vAlign w:val="bottom"/>
          </w:tcPr>
          <w:p w14:paraId="71D458E2" w14:textId="77777777" w:rsidR="006A3667" w:rsidRDefault="006A3667">
            <w:pPr>
              <w:rPr>
                <w:rFonts w:ascii="宋体"/>
                <w:vanish/>
              </w:rPr>
            </w:pPr>
          </w:p>
        </w:tc>
        <w:tc>
          <w:tcPr>
            <w:tcW w:w="0" w:type="auto"/>
            <w:gridSpan w:val="3"/>
            <w:shd w:val="clear" w:color="auto" w:fill="auto"/>
            <w:vAlign w:val="bottom"/>
          </w:tcPr>
          <w:p w14:paraId="71D458E3" w14:textId="77777777" w:rsidR="006A3667" w:rsidRDefault="006A3667">
            <w:pPr>
              <w:rPr>
                <w:rFonts w:ascii="宋体"/>
                <w:vanish/>
              </w:rPr>
            </w:pPr>
          </w:p>
        </w:tc>
        <w:tc>
          <w:tcPr>
            <w:tcW w:w="0" w:type="auto"/>
            <w:gridSpan w:val="3"/>
            <w:shd w:val="clear" w:color="auto" w:fill="auto"/>
            <w:vAlign w:val="bottom"/>
          </w:tcPr>
          <w:p w14:paraId="71D458E4" w14:textId="77777777" w:rsidR="006A3667" w:rsidRDefault="006A3667">
            <w:pPr>
              <w:rPr>
                <w:rFonts w:ascii="宋体"/>
                <w:vanish/>
              </w:rPr>
            </w:pPr>
          </w:p>
        </w:tc>
        <w:tc>
          <w:tcPr>
            <w:tcW w:w="0" w:type="auto"/>
            <w:gridSpan w:val="3"/>
            <w:shd w:val="clear" w:color="auto" w:fill="auto"/>
            <w:vAlign w:val="bottom"/>
          </w:tcPr>
          <w:p w14:paraId="71D458E5" w14:textId="77777777" w:rsidR="006A3667" w:rsidRDefault="006A3667">
            <w:pPr>
              <w:rPr>
                <w:rFonts w:ascii="宋体"/>
                <w:vanish/>
              </w:rPr>
            </w:pPr>
          </w:p>
        </w:tc>
        <w:tc>
          <w:tcPr>
            <w:tcW w:w="0" w:type="auto"/>
            <w:gridSpan w:val="3"/>
            <w:shd w:val="clear" w:color="auto" w:fill="auto"/>
            <w:vAlign w:val="bottom"/>
          </w:tcPr>
          <w:p w14:paraId="71D458E6" w14:textId="77777777" w:rsidR="006A3667" w:rsidRDefault="006A3667">
            <w:pPr>
              <w:rPr>
                <w:rFonts w:ascii="宋体"/>
                <w:vanish/>
              </w:rPr>
            </w:pPr>
          </w:p>
        </w:tc>
        <w:tc>
          <w:tcPr>
            <w:tcW w:w="0" w:type="auto"/>
            <w:gridSpan w:val="3"/>
            <w:shd w:val="clear" w:color="auto" w:fill="auto"/>
            <w:vAlign w:val="bottom"/>
          </w:tcPr>
          <w:p w14:paraId="71D458E7" w14:textId="77777777" w:rsidR="006A3667" w:rsidRDefault="006A3667">
            <w:pPr>
              <w:rPr>
                <w:rFonts w:ascii="宋体"/>
                <w:vanish/>
              </w:rPr>
            </w:pPr>
          </w:p>
        </w:tc>
        <w:tc>
          <w:tcPr>
            <w:tcW w:w="0" w:type="auto"/>
            <w:gridSpan w:val="3"/>
            <w:shd w:val="clear" w:color="auto" w:fill="auto"/>
            <w:vAlign w:val="bottom"/>
          </w:tcPr>
          <w:p w14:paraId="71D458E8" w14:textId="77777777" w:rsidR="006A3667" w:rsidRDefault="006A3667">
            <w:pPr>
              <w:rPr>
                <w:rFonts w:ascii="宋体"/>
                <w:vanish/>
              </w:rPr>
            </w:pPr>
          </w:p>
        </w:tc>
      </w:tr>
      <w:tr w:rsidR="006A3667" w14:paraId="71D45902" w14:textId="77777777">
        <w:tc>
          <w:tcPr>
            <w:tcW w:w="0" w:type="auto"/>
            <w:gridSpan w:val="3"/>
            <w:shd w:val="clear" w:color="auto" w:fill="CCEEFF"/>
            <w:tcMar>
              <w:top w:w="40" w:type="dxa"/>
              <w:left w:w="20" w:type="dxa"/>
              <w:bottom w:w="40" w:type="dxa"/>
              <w:right w:w="20" w:type="dxa"/>
            </w:tcMar>
            <w:vAlign w:val="bottom"/>
          </w:tcPr>
          <w:p w14:paraId="71D458EA"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8EB"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8EC" w14:textId="77777777" w:rsidR="006A3667" w:rsidRDefault="00045F32">
            <w:pPr>
              <w:jc w:val="right"/>
              <w:textAlignment w:val="bottom"/>
            </w:pPr>
            <w:r>
              <w:rPr>
                <w:rFonts w:ascii="Arial" w:eastAsia="宋体" w:hAnsi="Arial" w:cs="Arial"/>
                <w:color w:val="000000"/>
                <w:sz w:val="14"/>
                <w:szCs w:val="14"/>
              </w:rPr>
              <w:t>41,232 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8E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EE"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8E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8F0" w14:textId="77777777" w:rsidR="006A3667" w:rsidRDefault="00045F32">
            <w:pPr>
              <w:jc w:val="right"/>
              <w:textAlignment w:val="bottom"/>
            </w:pPr>
            <w:r>
              <w:rPr>
                <w:rFonts w:ascii="Arial" w:eastAsia="宋体" w:hAnsi="Arial" w:cs="Arial"/>
                <w:color w:val="000000"/>
                <w:sz w:val="14"/>
                <w:szCs w:val="14"/>
              </w:rPr>
              <w:t>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8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F2"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8F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8F4" w14:textId="77777777" w:rsidR="006A3667" w:rsidRDefault="00045F32">
            <w:pPr>
              <w:jc w:val="right"/>
              <w:textAlignment w:val="bottom"/>
            </w:pPr>
            <w:r>
              <w:rPr>
                <w:rFonts w:ascii="Arial" w:eastAsia="宋体" w:hAnsi="Arial" w:cs="Arial"/>
                <w:color w:val="000000"/>
                <w:sz w:val="14"/>
                <w:szCs w:val="14"/>
              </w:rPr>
              <w:t>2,277 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8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F6"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8F7"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8F8" w14:textId="77777777" w:rsidR="006A3667" w:rsidRDefault="00045F32">
            <w:pPr>
              <w:jc w:val="right"/>
              <w:textAlignment w:val="bottom"/>
            </w:pPr>
            <w:r>
              <w:rPr>
                <w:rFonts w:ascii="Arial" w:eastAsia="宋体" w:hAnsi="Arial" w:cs="Arial"/>
                <w:color w:val="000000"/>
                <w:sz w:val="14"/>
                <w:szCs w:val="14"/>
              </w:rPr>
              <w:t>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8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FA"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8FB"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8FC" w14:textId="77777777" w:rsidR="006A3667" w:rsidRDefault="00045F32">
            <w:pPr>
              <w:jc w:val="right"/>
              <w:textAlignment w:val="bottom"/>
            </w:pPr>
            <w:r>
              <w:rPr>
                <w:rFonts w:ascii="Arial" w:eastAsia="宋体" w:hAnsi="Arial" w:cs="Arial"/>
                <w:color w:val="000000"/>
                <w:sz w:val="14"/>
                <w:szCs w:val="14"/>
              </w:rPr>
              <w:t>43,509 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8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8FE"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58F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5900" w14:textId="77777777" w:rsidR="006A3667" w:rsidRDefault="00045F32">
            <w:pPr>
              <w:jc w:val="right"/>
              <w:textAlignment w:val="bottom"/>
            </w:pPr>
            <w:r>
              <w:rPr>
                <w:rFonts w:ascii="Arial" w:eastAsia="宋体" w:hAnsi="Arial" w:cs="Arial"/>
                <w:color w:val="000000"/>
                <w:sz w:val="14"/>
                <w:szCs w:val="14"/>
              </w:rPr>
              <w:t>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5901" w14:textId="77777777" w:rsidR="006A3667" w:rsidRDefault="006A3667">
            <w:pPr>
              <w:jc w:val="right"/>
              <w:rPr>
                <w:rFonts w:ascii="宋体"/>
              </w:rPr>
            </w:pPr>
          </w:p>
        </w:tc>
      </w:tr>
      <w:tr w:rsidR="006A3667" w14:paraId="71D4590F" w14:textId="77777777">
        <w:trPr>
          <w:hidden/>
        </w:trPr>
        <w:tc>
          <w:tcPr>
            <w:tcW w:w="0" w:type="auto"/>
            <w:gridSpan w:val="3"/>
            <w:shd w:val="clear" w:color="auto" w:fill="auto"/>
            <w:vAlign w:val="bottom"/>
          </w:tcPr>
          <w:p w14:paraId="71D45903" w14:textId="77777777" w:rsidR="006A3667" w:rsidRDefault="006A3667">
            <w:pPr>
              <w:rPr>
                <w:rFonts w:ascii="宋体"/>
                <w:vanish/>
              </w:rPr>
            </w:pPr>
          </w:p>
        </w:tc>
        <w:tc>
          <w:tcPr>
            <w:tcW w:w="0" w:type="auto"/>
            <w:gridSpan w:val="3"/>
            <w:shd w:val="clear" w:color="auto" w:fill="auto"/>
            <w:vAlign w:val="bottom"/>
          </w:tcPr>
          <w:p w14:paraId="71D45904" w14:textId="77777777" w:rsidR="006A3667" w:rsidRDefault="006A3667">
            <w:pPr>
              <w:rPr>
                <w:rFonts w:ascii="宋体"/>
                <w:vanish/>
              </w:rPr>
            </w:pPr>
          </w:p>
        </w:tc>
        <w:tc>
          <w:tcPr>
            <w:tcW w:w="0" w:type="auto"/>
            <w:gridSpan w:val="3"/>
            <w:shd w:val="clear" w:color="auto" w:fill="auto"/>
            <w:vAlign w:val="bottom"/>
          </w:tcPr>
          <w:p w14:paraId="71D45905" w14:textId="77777777" w:rsidR="006A3667" w:rsidRDefault="006A3667">
            <w:pPr>
              <w:rPr>
                <w:rFonts w:ascii="宋体"/>
                <w:vanish/>
              </w:rPr>
            </w:pPr>
          </w:p>
        </w:tc>
        <w:tc>
          <w:tcPr>
            <w:tcW w:w="0" w:type="auto"/>
            <w:gridSpan w:val="3"/>
            <w:shd w:val="clear" w:color="auto" w:fill="auto"/>
            <w:vAlign w:val="bottom"/>
          </w:tcPr>
          <w:p w14:paraId="71D45906" w14:textId="77777777" w:rsidR="006A3667" w:rsidRDefault="006A3667">
            <w:pPr>
              <w:rPr>
                <w:rFonts w:ascii="宋体"/>
                <w:vanish/>
              </w:rPr>
            </w:pPr>
          </w:p>
        </w:tc>
        <w:tc>
          <w:tcPr>
            <w:tcW w:w="0" w:type="auto"/>
            <w:gridSpan w:val="3"/>
            <w:shd w:val="clear" w:color="auto" w:fill="auto"/>
            <w:vAlign w:val="bottom"/>
          </w:tcPr>
          <w:p w14:paraId="71D45907" w14:textId="77777777" w:rsidR="006A3667" w:rsidRDefault="006A3667">
            <w:pPr>
              <w:rPr>
                <w:rFonts w:ascii="宋体"/>
                <w:vanish/>
              </w:rPr>
            </w:pPr>
          </w:p>
        </w:tc>
        <w:tc>
          <w:tcPr>
            <w:tcW w:w="0" w:type="auto"/>
            <w:gridSpan w:val="3"/>
            <w:shd w:val="clear" w:color="auto" w:fill="auto"/>
            <w:vAlign w:val="bottom"/>
          </w:tcPr>
          <w:p w14:paraId="71D45908" w14:textId="77777777" w:rsidR="006A3667" w:rsidRDefault="006A3667">
            <w:pPr>
              <w:rPr>
                <w:rFonts w:ascii="宋体"/>
                <w:vanish/>
              </w:rPr>
            </w:pPr>
          </w:p>
        </w:tc>
        <w:tc>
          <w:tcPr>
            <w:tcW w:w="0" w:type="auto"/>
            <w:gridSpan w:val="3"/>
            <w:shd w:val="clear" w:color="auto" w:fill="auto"/>
            <w:vAlign w:val="bottom"/>
          </w:tcPr>
          <w:p w14:paraId="71D45909" w14:textId="77777777" w:rsidR="006A3667" w:rsidRDefault="006A3667">
            <w:pPr>
              <w:rPr>
                <w:rFonts w:ascii="宋体"/>
                <w:vanish/>
              </w:rPr>
            </w:pPr>
          </w:p>
        </w:tc>
        <w:tc>
          <w:tcPr>
            <w:tcW w:w="0" w:type="auto"/>
            <w:gridSpan w:val="3"/>
            <w:shd w:val="clear" w:color="auto" w:fill="auto"/>
            <w:vAlign w:val="bottom"/>
          </w:tcPr>
          <w:p w14:paraId="71D4590A" w14:textId="77777777" w:rsidR="006A3667" w:rsidRDefault="006A3667">
            <w:pPr>
              <w:rPr>
                <w:rFonts w:ascii="宋体"/>
                <w:vanish/>
              </w:rPr>
            </w:pPr>
          </w:p>
        </w:tc>
        <w:tc>
          <w:tcPr>
            <w:tcW w:w="0" w:type="auto"/>
            <w:gridSpan w:val="3"/>
            <w:shd w:val="clear" w:color="auto" w:fill="auto"/>
            <w:vAlign w:val="bottom"/>
          </w:tcPr>
          <w:p w14:paraId="71D4590B" w14:textId="77777777" w:rsidR="006A3667" w:rsidRDefault="006A3667">
            <w:pPr>
              <w:rPr>
                <w:rFonts w:ascii="宋体"/>
                <w:vanish/>
              </w:rPr>
            </w:pPr>
          </w:p>
        </w:tc>
        <w:tc>
          <w:tcPr>
            <w:tcW w:w="0" w:type="auto"/>
            <w:gridSpan w:val="3"/>
            <w:shd w:val="clear" w:color="auto" w:fill="auto"/>
            <w:vAlign w:val="bottom"/>
          </w:tcPr>
          <w:p w14:paraId="71D4590C" w14:textId="77777777" w:rsidR="006A3667" w:rsidRDefault="006A3667">
            <w:pPr>
              <w:rPr>
                <w:rFonts w:ascii="宋体"/>
                <w:vanish/>
              </w:rPr>
            </w:pPr>
          </w:p>
        </w:tc>
        <w:tc>
          <w:tcPr>
            <w:tcW w:w="0" w:type="auto"/>
            <w:gridSpan w:val="3"/>
            <w:shd w:val="clear" w:color="auto" w:fill="auto"/>
            <w:vAlign w:val="bottom"/>
          </w:tcPr>
          <w:p w14:paraId="71D4590D" w14:textId="77777777" w:rsidR="006A3667" w:rsidRDefault="006A3667">
            <w:pPr>
              <w:rPr>
                <w:rFonts w:ascii="宋体"/>
                <w:vanish/>
              </w:rPr>
            </w:pPr>
          </w:p>
        </w:tc>
        <w:tc>
          <w:tcPr>
            <w:tcW w:w="0" w:type="auto"/>
            <w:gridSpan w:val="3"/>
            <w:shd w:val="clear" w:color="auto" w:fill="auto"/>
            <w:vAlign w:val="bottom"/>
          </w:tcPr>
          <w:p w14:paraId="71D4590E" w14:textId="77777777" w:rsidR="006A3667" w:rsidRDefault="006A3667">
            <w:pPr>
              <w:rPr>
                <w:rFonts w:ascii="宋体"/>
                <w:vanish/>
              </w:rPr>
            </w:pPr>
          </w:p>
        </w:tc>
      </w:tr>
      <w:tr w:rsidR="006A3667" w14:paraId="71D4591C" w14:textId="77777777">
        <w:trPr>
          <w:hidden/>
        </w:trPr>
        <w:tc>
          <w:tcPr>
            <w:tcW w:w="0" w:type="auto"/>
            <w:gridSpan w:val="3"/>
            <w:shd w:val="clear" w:color="auto" w:fill="auto"/>
            <w:vAlign w:val="bottom"/>
          </w:tcPr>
          <w:p w14:paraId="71D45910" w14:textId="77777777" w:rsidR="006A3667" w:rsidRDefault="006A3667">
            <w:pPr>
              <w:rPr>
                <w:rFonts w:ascii="宋体"/>
                <w:vanish/>
              </w:rPr>
            </w:pPr>
          </w:p>
        </w:tc>
        <w:tc>
          <w:tcPr>
            <w:tcW w:w="0" w:type="auto"/>
            <w:gridSpan w:val="3"/>
            <w:shd w:val="clear" w:color="auto" w:fill="auto"/>
            <w:vAlign w:val="bottom"/>
          </w:tcPr>
          <w:p w14:paraId="71D45911" w14:textId="77777777" w:rsidR="006A3667" w:rsidRDefault="006A3667">
            <w:pPr>
              <w:rPr>
                <w:rFonts w:ascii="宋体"/>
                <w:vanish/>
              </w:rPr>
            </w:pPr>
          </w:p>
        </w:tc>
        <w:tc>
          <w:tcPr>
            <w:tcW w:w="0" w:type="auto"/>
            <w:gridSpan w:val="3"/>
            <w:shd w:val="clear" w:color="auto" w:fill="auto"/>
            <w:vAlign w:val="bottom"/>
          </w:tcPr>
          <w:p w14:paraId="71D45912" w14:textId="77777777" w:rsidR="006A3667" w:rsidRDefault="006A3667">
            <w:pPr>
              <w:rPr>
                <w:rFonts w:ascii="宋体"/>
                <w:vanish/>
              </w:rPr>
            </w:pPr>
          </w:p>
        </w:tc>
        <w:tc>
          <w:tcPr>
            <w:tcW w:w="0" w:type="auto"/>
            <w:gridSpan w:val="3"/>
            <w:shd w:val="clear" w:color="auto" w:fill="auto"/>
            <w:vAlign w:val="bottom"/>
          </w:tcPr>
          <w:p w14:paraId="71D45913" w14:textId="77777777" w:rsidR="006A3667" w:rsidRDefault="006A3667">
            <w:pPr>
              <w:rPr>
                <w:rFonts w:ascii="宋体"/>
                <w:vanish/>
              </w:rPr>
            </w:pPr>
          </w:p>
        </w:tc>
        <w:tc>
          <w:tcPr>
            <w:tcW w:w="0" w:type="auto"/>
            <w:gridSpan w:val="3"/>
            <w:shd w:val="clear" w:color="auto" w:fill="auto"/>
            <w:vAlign w:val="bottom"/>
          </w:tcPr>
          <w:p w14:paraId="71D45914" w14:textId="77777777" w:rsidR="006A3667" w:rsidRDefault="006A3667">
            <w:pPr>
              <w:rPr>
                <w:rFonts w:ascii="宋体"/>
                <w:vanish/>
              </w:rPr>
            </w:pPr>
          </w:p>
        </w:tc>
        <w:tc>
          <w:tcPr>
            <w:tcW w:w="0" w:type="auto"/>
            <w:gridSpan w:val="3"/>
            <w:shd w:val="clear" w:color="auto" w:fill="auto"/>
            <w:vAlign w:val="bottom"/>
          </w:tcPr>
          <w:p w14:paraId="71D45915" w14:textId="77777777" w:rsidR="006A3667" w:rsidRDefault="006A3667">
            <w:pPr>
              <w:rPr>
                <w:rFonts w:ascii="宋体"/>
                <w:vanish/>
              </w:rPr>
            </w:pPr>
          </w:p>
        </w:tc>
        <w:tc>
          <w:tcPr>
            <w:tcW w:w="0" w:type="auto"/>
            <w:gridSpan w:val="3"/>
            <w:shd w:val="clear" w:color="auto" w:fill="auto"/>
            <w:vAlign w:val="bottom"/>
          </w:tcPr>
          <w:p w14:paraId="71D45916" w14:textId="77777777" w:rsidR="006A3667" w:rsidRDefault="006A3667">
            <w:pPr>
              <w:rPr>
                <w:rFonts w:ascii="宋体"/>
                <w:vanish/>
              </w:rPr>
            </w:pPr>
          </w:p>
        </w:tc>
        <w:tc>
          <w:tcPr>
            <w:tcW w:w="0" w:type="auto"/>
            <w:gridSpan w:val="3"/>
            <w:shd w:val="clear" w:color="auto" w:fill="auto"/>
            <w:vAlign w:val="bottom"/>
          </w:tcPr>
          <w:p w14:paraId="71D45917" w14:textId="77777777" w:rsidR="006A3667" w:rsidRDefault="006A3667">
            <w:pPr>
              <w:rPr>
                <w:rFonts w:ascii="宋体"/>
                <w:vanish/>
              </w:rPr>
            </w:pPr>
          </w:p>
        </w:tc>
        <w:tc>
          <w:tcPr>
            <w:tcW w:w="0" w:type="auto"/>
            <w:gridSpan w:val="3"/>
            <w:shd w:val="clear" w:color="auto" w:fill="auto"/>
            <w:vAlign w:val="bottom"/>
          </w:tcPr>
          <w:p w14:paraId="71D45918" w14:textId="77777777" w:rsidR="006A3667" w:rsidRDefault="006A3667">
            <w:pPr>
              <w:rPr>
                <w:rFonts w:ascii="宋体"/>
                <w:vanish/>
              </w:rPr>
            </w:pPr>
          </w:p>
        </w:tc>
        <w:tc>
          <w:tcPr>
            <w:tcW w:w="0" w:type="auto"/>
            <w:gridSpan w:val="3"/>
            <w:shd w:val="clear" w:color="auto" w:fill="auto"/>
            <w:vAlign w:val="bottom"/>
          </w:tcPr>
          <w:p w14:paraId="71D45919" w14:textId="77777777" w:rsidR="006A3667" w:rsidRDefault="006A3667">
            <w:pPr>
              <w:rPr>
                <w:rFonts w:ascii="宋体"/>
                <w:vanish/>
              </w:rPr>
            </w:pPr>
          </w:p>
        </w:tc>
        <w:tc>
          <w:tcPr>
            <w:tcW w:w="0" w:type="auto"/>
            <w:gridSpan w:val="3"/>
            <w:shd w:val="clear" w:color="auto" w:fill="auto"/>
            <w:vAlign w:val="bottom"/>
          </w:tcPr>
          <w:p w14:paraId="71D4591A" w14:textId="77777777" w:rsidR="006A3667" w:rsidRDefault="006A3667">
            <w:pPr>
              <w:rPr>
                <w:rFonts w:ascii="宋体"/>
                <w:vanish/>
              </w:rPr>
            </w:pPr>
          </w:p>
        </w:tc>
        <w:tc>
          <w:tcPr>
            <w:tcW w:w="0" w:type="auto"/>
            <w:gridSpan w:val="3"/>
            <w:shd w:val="clear" w:color="auto" w:fill="auto"/>
            <w:vAlign w:val="bottom"/>
          </w:tcPr>
          <w:p w14:paraId="71D4591B" w14:textId="77777777" w:rsidR="006A3667" w:rsidRDefault="006A3667">
            <w:pPr>
              <w:rPr>
                <w:rFonts w:ascii="宋体"/>
                <w:vanish/>
              </w:rPr>
            </w:pPr>
          </w:p>
        </w:tc>
      </w:tr>
      <w:tr w:rsidR="006A3667" w14:paraId="71D45929" w14:textId="77777777">
        <w:trPr>
          <w:hidden/>
        </w:trPr>
        <w:tc>
          <w:tcPr>
            <w:tcW w:w="0" w:type="auto"/>
            <w:gridSpan w:val="3"/>
            <w:shd w:val="clear" w:color="auto" w:fill="auto"/>
            <w:vAlign w:val="bottom"/>
          </w:tcPr>
          <w:p w14:paraId="71D4591D" w14:textId="77777777" w:rsidR="006A3667" w:rsidRDefault="006A3667">
            <w:pPr>
              <w:rPr>
                <w:rFonts w:ascii="宋体"/>
                <w:vanish/>
              </w:rPr>
            </w:pPr>
          </w:p>
        </w:tc>
        <w:tc>
          <w:tcPr>
            <w:tcW w:w="0" w:type="auto"/>
            <w:gridSpan w:val="3"/>
            <w:shd w:val="clear" w:color="auto" w:fill="auto"/>
            <w:vAlign w:val="bottom"/>
          </w:tcPr>
          <w:p w14:paraId="71D4591E" w14:textId="77777777" w:rsidR="006A3667" w:rsidRDefault="006A3667">
            <w:pPr>
              <w:rPr>
                <w:rFonts w:ascii="宋体"/>
                <w:vanish/>
              </w:rPr>
            </w:pPr>
          </w:p>
        </w:tc>
        <w:tc>
          <w:tcPr>
            <w:tcW w:w="0" w:type="auto"/>
            <w:gridSpan w:val="3"/>
            <w:shd w:val="clear" w:color="auto" w:fill="auto"/>
            <w:vAlign w:val="bottom"/>
          </w:tcPr>
          <w:p w14:paraId="71D4591F" w14:textId="77777777" w:rsidR="006A3667" w:rsidRDefault="006A3667">
            <w:pPr>
              <w:rPr>
                <w:rFonts w:ascii="宋体"/>
                <w:vanish/>
              </w:rPr>
            </w:pPr>
          </w:p>
        </w:tc>
        <w:tc>
          <w:tcPr>
            <w:tcW w:w="0" w:type="auto"/>
            <w:gridSpan w:val="3"/>
            <w:shd w:val="clear" w:color="auto" w:fill="auto"/>
            <w:vAlign w:val="bottom"/>
          </w:tcPr>
          <w:p w14:paraId="71D45920" w14:textId="77777777" w:rsidR="006A3667" w:rsidRDefault="006A3667">
            <w:pPr>
              <w:rPr>
                <w:rFonts w:ascii="宋体"/>
                <w:vanish/>
              </w:rPr>
            </w:pPr>
          </w:p>
        </w:tc>
        <w:tc>
          <w:tcPr>
            <w:tcW w:w="0" w:type="auto"/>
            <w:gridSpan w:val="3"/>
            <w:shd w:val="clear" w:color="auto" w:fill="auto"/>
            <w:vAlign w:val="bottom"/>
          </w:tcPr>
          <w:p w14:paraId="71D45921" w14:textId="77777777" w:rsidR="006A3667" w:rsidRDefault="006A3667">
            <w:pPr>
              <w:rPr>
                <w:rFonts w:ascii="宋体"/>
                <w:vanish/>
              </w:rPr>
            </w:pPr>
          </w:p>
        </w:tc>
        <w:tc>
          <w:tcPr>
            <w:tcW w:w="0" w:type="auto"/>
            <w:gridSpan w:val="3"/>
            <w:shd w:val="clear" w:color="auto" w:fill="auto"/>
            <w:vAlign w:val="bottom"/>
          </w:tcPr>
          <w:p w14:paraId="71D45922" w14:textId="77777777" w:rsidR="006A3667" w:rsidRDefault="006A3667">
            <w:pPr>
              <w:rPr>
                <w:rFonts w:ascii="宋体"/>
                <w:vanish/>
              </w:rPr>
            </w:pPr>
          </w:p>
        </w:tc>
        <w:tc>
          <w:tcPr>
            <w:tcW w:w="0" w:type="auto"/>
            <w:gridSpan w:val="3"/>
            <w:shd w:val="clear" w:color="auto" w:fill="auto"/>
            <w:vAlign w:val="bottom"/>
          </w:tcPr>
          <w:p w14:paraId="71D45923" w14:textId="77777777" w:rsidR="006A3667" w:rsidRDefault="006A3667">
            <w:pPr>
              <w:rPr>
                <w:rFonts w:ascii="宋体"/>
                <w:vanish/>
              </w:rPr>
            </w:pPr>
          </w:p>
        </w:tc>
        <w:tc>
          <w:tcPr>
            <w:tcW w:w="0" w:type="auto"/>
            <w:gridSpan w:val="3"/>
            <w:shd w:val="clear" w:color="auto" w:fill="auto"/>
            <w:vAlign w:val="bottom"/>
          </w:tcPr>
          <w:p w14:paraId="71D45924" w14:textId="77777777" w:rsidR="006A3667" w:rsidRDefault="006A3667">
            <w:pPr>
              <w:rPr>
                <w:rFonts w:ascii="宋体"/>
                <w:vanish/>
              </w:rPr>
            </w:pPr>
          </w:p>
        </w:tc>
        <w:tc>
          <w:tcPr>
            <w:tcW w:w="0" w:type="auto"/>
            <w:gridSpan w:val="3"/>
            <w:shd w:val="clear" w:color="auto" w:fill="auto"/>
            <w:vAlign w:val="bottom"/>
          </w:tcPr>
          <w:p w14:paraId="71D45925" w14:textId="77777777" w:rsidR="006A3667" w:rsidRDefault="006A3667">
            <w:pPr>
              <w:rPr>
                <w:rFonts w:ascii="宋体"/>
                <w:vanish/>
              </w:rPr>
            </w:pPr>
          </w:p>
        </w:tc>
        <w:tc>
          <w:tcPr>
            <w:tcW w:w="0" w:type="auto"/>
            <w:gridSpan w:val="3"/>
            <w:shd w:val="clear" w:color="auto" w:fill="auto"/>
            <w:vAlign w:val="bottom"/>
          </w:tcPr>
          <w:p w14:paraId="71D45926" w14:textId="77777777" w:rsidR="006A3667" w:rsidRDefault="006A3667">
            <w:pPr>
              <w:rPr>
                <w:rFonts w:ascii="宋体"/>
                <w:vanish/>
              </w:rPr>
            </w:pPr>
          </w:p>
        </w:tc>
        <w:tc>
          <w:tcPr>
            <w:tcW w:w="0" w:type="auto"/>
            <w:gridSpan w:val="3"/>
            <w:shd w:val="clear" w:color="auto" w:fill="auto"/>
            <w:vAlign w:val="bottom"/>
          </w:tcPr>
          <w:p w14:paraId="71D45927" w14:textId="77777777" w:rsidR="006A3667" w:rsidRDefault="006A3667">
            <w:pPr>
              <w:rPr>
                <w:rFonts w:ascii="宋体"/>
                <w:vanish/>
              </w:rPr>
            </w:pPr>
          </w:p>
        </w:tc>
        <w:tc>
          <w:tcPr>
            <w:tcW w:w="0" w:type="auto"/>
            <w:gridSpan w:val="3"/>
            <w:shd w:val="clear" w:color="auto" w:fill="auto"/>
            <w:vAlign w:val="bottom"/>
          </w:tcPr>
          <w:p w14:paraId="71D45928" w14:textId="77777777" w:rsidR="006A3667" w:rsidRDefault="006A3667">
            <w:pPr>
              <w:rPr>
                <w:rFonts w:ascii="宋体"/>
                <w:vanish/>
              </w:rPr>
            </w:pPr>
          </w:p>
        </w:tc>
      </w:tr>
      <w:tr w:rsidR="006A3667" w14:paraId="71D45936" w14:textId="77777777">
        <w:trPr>
          <w:hidden/>
        </w:trPr>
        <w:tc>
          <w:tcPr>
            <w:tcW w:w="0" w:type="auto"/>
            <w:gridSpan w:val="3"/>
            <w:shd w:val="clear" w:color="auto" w:fill="auto"/>
            <w:vAlign w:val="bottom"/>
          </w:tcPr>
          <w:p w14:paraId="71D4592A" w14:textId="77777777" w:rsidR="006A3667" w:rsidRDefault="006A3667">
            <w:pPr>
              <w:rPr>
                <w:rFonts w:ascii="宋体"/>
                <w:vanish/>
              </w:rPr>
            </w:pPr>
          </w:p>
        </w:tc>
        <w:tc>
          <w:tcPr>
            <w:tcW w:w="0" w:type="auto"/>
            <w:gridSpan w:val="3"/>
            <w:shd w:val="clear" w:color="auto" w:fill="auto"/>
            <w:vAlign w:val="bottom"/>
          </w:tcPr>
          <w:p w14:paraId="71D4592B" w14:textId="77777777" w:rsidR="006A3667" w:rsidRDefault="006A3667">
            <w:pPr>
              <w:rPr>
                <w:rFonts w:ascii="宋体"/>
                <w:vanish/>
              </w:rPr>
            </w:pPr>
          </w:p>
        </w:tc>
        <w:tc>
          <w:tcPr>
            <w:tcW w:w="0" w:type="auto"/>
            <w:gridSpan w:val="3"/>
            <w:shd w:val="clear" w:color="auto" w:fill="auto"/>
            <w:vAlign w:val="bottom"/>
          </w:tcPr>
          <w:p w14:paraId="71D4592C" w14:textId="77777777" w:rsidR="006A3667" w:rsidRDefault="006A3667">
            <w:pPr>
              <w:rPr>
                <w:rFonts w:ascii="宋体"/>
                <w:vanish/>
              </w:rPr>
            </w:pPr>
          </w:p>
        </w:tc>
        <w:tc>
          <w:tcPr>
            <w:tcW w:w="0" w:type="auto"/>
            <w:gridSpan w:val="3"/>
            <w:shd w:val="clear" w:color="auto" w:fill="auto"/>
            <w:vAlign w:val="bottom"/>
          </w:tcPr>
          <w:p w14:paraId="71D4592D" w14:textId="77777777" w:rsidR="006A3667" w:rsidRDefault="006A3667">
            <w:pPr>
              <w:rPr>
                <w:rFonts w:ascii="宋体"/>
                <w:vanish/>
              </w:rPr>
            </w:pPr>
          </w:p>
        </w:tc>
        <w:tc>
          <w:tcPr>
            <w:tcW w:w="0" w:type="auto"/>
            <w:gridSpan w:val="3"/>
            <w:shd w:val="clear" w:color="auto" w:fill="auto"/>
            <w:vAlign w:val="bottom"/>
          </w:tcPr>
          <w:p w14:paraId="71D4592E" w14:textId="77777777" w:rsidR="006A3667" w:rsidRDefault="006A3667">
            <w:pPr>
              <w:rPr>
                <w:rFonts w:ascii="宋体"/>
                <w:vanish/>
              </w:rPr>
            </w:pPr>
          </w:p>
        </w:tc>
        <w:tc>
          <w:tcPr>
            <w:tcW w:w="0" w:type="auto"/>
            <w:gridSpan w:val="3"/>
            <w:shd w:val="clear" w:color="auto" w:fill="auto"/>
            <w:vAlign w:val="bottom"/>
          </w:tcPr>
          <w:p w14:paraId="71D4592F" w14:textId="77777777" w:rsidR="006A3667" w:rsidRDefault="006A3667">
            <w:pPr>
              <w:rPr>
                <w:rFonts w:ascii="宋体"/>
                <w:vanish/>
              </w:rPr>
            </w:pPr>
          </w:p>
        </w:tc>
        <w:tc>
          <w:tcPr>
            <w:tcW w:w="0" w:type="auto"/>
            <w:gridSpan w:val="3"/>
            <w:shd w:val="clear" w:color="auto" w:fill="auto"/>
            <w:vAlign w:val="bottom"/>
          </w:tcPr>
          <w:p w14:paraId="71D45930" w14:textId="77777777" w:rsidR="006A3667" w:rsidRDefault="006A3667">
            <w:pPr>
              <w:rPr>
                <w:rFonts w:ascii="宋体"/>
                <w:vanish/>
              </w:rPr>
            </w:pPr>
          </w:p>
        </w:tc>
        <w:tc>
          <w:tcPr>
            <w:tcW w:w="0" w:type="auto"/>
            <w:gridSpan w:val="3"/>
            <w:shd w:val="clear" w:color="auto" w:fill="auto"/>
            <w:vAlign w:val="bottom"/>
          </w:tcPr>
          <w:p w14:paraId="71D45931" w14:textId="77777777" w:rsidR="006A3667" w:rsidRDefault="006A3667">
            <w:pPr>
              <w:rPr>
                <w:rFonts w:ascii="宋体"/>
                <w:vanish/>
              </w:rPr>
            </w:pPr>
          </w:p>
        </w:tc>
        <w:tc>
          <w:tcPr>
            <w:tcW w:w="0" w:type="auto"/>
            <w:gridSpan w:val="3"/>
            <w:shd w:val="clear" w:color="auto" w:fill="auto"/>
            <w:vAlign w:val="bottom"/>
          </w:tcPr>
          <w:p w14:paraId="71D45932" w14:textId="77777777" w:rsidR="006A3667" w:rsidRDefault="006A3667">
            <w:pPr>
              <w:rPr>
                <w:rFonts w:ascii="宋体"/>
                <w:vanish/>
              </w:rPr>
            </w:pPr>
          </w:p>
        </w:tc>
        <w:tc>
          <w:tcPr>
            <w:tcW w:w="0" w:type="auto"/>
            <w:gridSpan w:val="3"/>
            <w:shd w:val="clear" w:color="auto" w:fill="auto"/>
            <w:vAlign w:val="bottom"/>
          </w:tcPr>
          <w:p w14:paraId="71D45933" w14:textId="77777777" w:rsidR="006A3667" w:rsidRDefault="006A3667">
            <w:pPr>
              <w:rPr>
                <w:rFonts w:ascii="宋体"/>
                <w:vanish/>
              </w:rPr>
            </w:pPr>
          </w:p>
        </w:tc>
        <w:tc>
          <w:tcPr>
            <w:tcW w:w="0" w:type="auto"/>
            <w:gridSpan w:val="3"/>
            <w:shd w:val="clear" w:color="auto" w:fill="auto"/>
            <w:vAlign w:val="bottom"/>
          </w:tcPr>
          <w:p w14:paraId="71D45934" w14:textId="77777777" w:rsidR="006A3667" w:rsidRDefault="006A3667">
            <w:pPr>
              <w:rPr>
                <w:rFonts w:ascii="宋体"/>
                <w:vanish/>
              </w:rPr>
            </w:pPr>
          </w:p>
        </w:tc>
        <w:tc>
          <w:tcPr>
            <w:tcW w:w="0" w:type="auto"/>
            <w:gridSpan w:val="3"/>
            <w:shd w:val="clear" w:color="auto" w:fill="auto"/>
            <w:vAlign w:val="bottom"/>
          </w:tcPr>
          <w:p w14:paraId="71D45935" w14:textId="77777777" w:rsidR="006A3667" w:rsidRDefault="006A3667">
            <w:pPr>
              <w:rPr>
                <w:rFonts w:ascii="宋体"/>
                <w:vanish/>
              </w:rPr>
            </w:pPr>
          </w:p>
        </w:tc>
      </w:tr>
      <w:tr w:rsidR="006A3667" w14:paraId="71D45943" w14:textId="77777777">
        <w:trPr>
          <w:hidden/>
        </w:trPr>
        <w:tc>
          <w:tcPr>
            <w:tcW w:w="0" w:type="auto"/>
            <w:gridSpan w:val="3"/>
            <w:shd w:val="clear" w:color="auto" w:fill="auto"/>
            <w:vAlign w:val="bottom"/>
          </w:tcPr>
          <w:p w14:paraId="71D45937" w14:textId="77777777" w:rsidR="006A3667" w:rsidRDefault="006A3667">
            <w:pPr>
              <w:rPr>
                <w:rFonts w:ascii="宋体"/>
                <w:vanish/>
              </w:rPr>
            </w:pPr>
          </w:p>
        </w:tc>
        <w:tc>
          <w:tcPr>
            <w:tcW w:w="0" w:type="auto"/>
            <w:gridSpan w:val="3"/>
            <w:shd w:val="clear" w:color="auto" w:fill="auto"/>
            <w:vAlign w:val="bottom"/>
          </w:tcPr>
          <w:p w14:paraId="71D45938" w14:textId="77777777" w:rsidR="006A3667" w:rsidRDefault="006A3667">
            <w:pPr>
              <w:rPr>
                <w:rFonts w:ascii="宋体"/>
                <w:vanish/>
              </w:rPr>
            </w:pPr>
          </w:p>
        </w:tc>
        <w:tc>
          <w:tcPr>
            <w:tcW w:w="0" w:type="auto"/>
            <w:gridSpan w:val="3"/>
            <w:shd w:val="clear" w:color="auto" w:fill="auto"/>
            <w:vAlign w:val="bottom"/>
          </w:tcPr>
          <w:p w14:paraId="71D45939" w14:textId="77777777" w:rsidR="006A3667" w:rsidRDefault="006A3667">
            <w:pPr>
              <w:rPr>
                <w:rFonts w:ascii="宋体"/>
                <w:vanish/>
              </w:rPr>
            </w:pPr>
          </w:p>
        </w:tc>
        <w:tc>
          <w:tcPr>
            <w:tcW w:w="0" w:type="auto"/>
            <w:gridSpan w:val="3"/>
            <w:shd w:val="clear" w:color="auto" w:fill="auto"/>
            <w:vAlign w:val="bottom"/>
          </w:tcPr>
          <w:p w14:paraId="71D4593A" w14:textId="77777777" w:rsidR="006A3667" w:rsidRDefault="006A3667">
            <w:pPr>
              <w:rPr>
                <w:rFonts w:ascii="宋体"/>
                <w:vanish/>
              </w:rPr>
            </w:pPr>
          </w:p>
        </w:tc>
        <w:tc>
          <w:tcPr>
            <w:tcW w:w="0" w:type="auto"/>
            <w:gridSpan w:val="3"/>
            <w:shd w:val="clear" w:color="auto" w:fill="auto"/>
            <w:vAlign w:val="bottom"/>
          </w:tcPr>
          <w:p w14:paraId="71D4593B" w14:textId="77777777" w:rsidR="006A3667" w:rsidRDefault="006A3667">
            <w:pPr>
              <w:rPr>
                <w:rFonts w:ascii="宋体"/>
                <w:vanish/>
              </w:rPr>
            </w:pPr>
          </w:p>
        </w:tc>
        <w:tc>
          <w:tcPr>
            <w:tcW w:w="0" w:type="auto"/>
            <w:gridSpan w:val="3"/>
            <w:shd w:val="clear" w:color="auto" w:fill="auto"/>
            <w:vAlign w:val="bottom"/>
          </w:tcPr>
          <w:p w14:paraId="71D4593C" w14:textId="77777777" w:rsidR="006A3667" w:rsidRDefault="006A3667">
            <w:pPr>
              <w:rPr>
                <w:rFonts w:ascii="宋体"/>
                <w:vanish/>
              </w:rPr>
            </w:pPr>
          </w:p>
        </w:tc>
        <w:tc>
          <w:tcPr>
            <w:tcW w:w="0" w:type="auto"/>
            <w:gridSpan w:val="3"/>
            <w:shd w:val="clear" w:color="auto" w:fill="auto"/>
            <w:vAlign w:val="bottom"/>
          </w:tcPr>
          <w:p w14:paraId="71D4593D" w14:textId="77777777" w:rsidR="006A3667" w:rsidRDefault="006A3667">
            <w:pPr>
              <w:rPr>
                <w:rFonts w:ascii="宋体"/>
                <w:vanish/>
              </w:rPr>
            </w:pPr>
          </w:p>
        </w:tc>
        <w:tc>
          <w:tcPr>
            <w:tcW w:w="0" w:type="auto"/>
            <w:gridSpan w:val="3"/>
            <w:shd w:val="clear" w:color="auto" w:fill="auto"/>
            <w:vAlign w:val="bottom"/>
          </w:tcPr>
          <w:p w14:paraId="71D4593E" w14:textId="77777777" w:rsidR="006A3667" w:rsidRDefault="006A3667">
            <w:pPr>
              <w:rPr>
                <w:rFonts w:ascii="宋体"/>
                <w:vanish/>
              </w:rPr>
            </w:pPr>
          </w:p>
        </w:tc>
        <w:tc>
          <w:tcPr>
            <w:tcW w:w="0" w:type="auto"/>
            <w:gridSpan w:val="3"/>
            <w:shd w:val="clear" w:color="auto" w:fill="auto"/>
            <w:vAlign w:val="bottom"/>
          </w:tcPr>
          <w:p w14:paraId="71D4593F" w14:textId="77777777" w:rsidR="006A3667" w:rsidRDefault="006A3667">
            <w:pPr>
              <w:rPr>
                <w:rFonts w:ascii="宋体"/>
                <w:vanish/>
              </w:rPr>
            </w:pPr>
          </w:p>
        </w:tc>
        <w:tc>
          <w:tcPr>
            <w:tcW w:w="0" w:type="auto"/>
            <w:gridSpan w:val="3"/>
            <w:shd w:val="clear" w:color="auto" w:fill="auto"/>
            <w:vAlign w:val="bottom"/>
          </w:tcPr>
          <w:p w14:paraId="71D45940" w14:textId="77777777" w:rsidR="006A3667" w:rsidRDefault="006A3667">
            <w:pPr>
              <w:rPr>
                <w:rFonts w:ascii="宋体"/>
                <w:vanish/>
              </w:rPr>
            </w:pPr>
          </w:p>
        </w:tc>
        <w:tc>
          <w:tcPr>
            <w:tcW w:w="0" w:type="auto"/>
            <w:gridSpan w:val="3"/>
            <w:shd w:val="clear" w:color="auto" w:fill="auto"/>
            <w:vAlign w:val="bottom"/>
          </w:tcPr>
          <w:p w14:paraId="71D45941" w14:textId="77777777" w:rsidR="006A3667" w:rsidRDefault="006A3667">
            <w:pPr>
              <w:rPr>
                <w:rFonts w:ascii="宋体"/>
                <w:vanish/>
              </w:rPr>
            </w:pPr>
          </w:p>
        </w:tc>
        <w:tc>
          <w:tcPr>
            <w:tcW w:w="0" w:type="auto"/>
            <w:gridSpan w:val="3"/>
            <w:shd w:val="clear" w:color="auto" w:fill="auto"/>
            <w:vAlign w:val="bottom"/>
          </w:tcPr>
          <w:p w14:paraId="71D45942" w14:textId="77777777" w:rsidR="006A3667" w:rsidRDefault="006A3667">
            <w:pPr>
              <w:rPr>
                <w:rFonts w:ascii="宋体"/>
                <w:vanish/>
              </w:rPr>
            </w:pPr>
          </w:p>
        </w:tc>
      </w:tr>
      <w:tr w:rsidR="006A3667" w14:paraId="71D45950" w14:textId="77777777">
        <w:trPr>
          <w:hidden/>
        </w:trPr>
        <w:tc>
          <w:tcPr>
            <w:tcW w:w="0" w:type="auto"/>
            <w:gridSpan w:val="3"/>
            <w:shd w:val="clear" w:color="auto" w:fill="auto"/>
            <w:vAlign w:val="bottom"/>
          </w:tcPr>
          <w:p w14:paraId="71D45944" w14:textId="77777777" w:rsidR="006A3667" w:rsidRDefault="006A3667">
            <w:pPr>
              <w:rPr>
                <w:rFonts w:ascii="宋体"/>
                <w:vanish/>
              </w:rPr>
            </w:pPr>
          </w:p>
        </w:tc>
        <w:tc>
          <w:tcPr>
            <w:tcW w:w="0" w:type="auto"/>
            <w:gridSpan w:val="3"/>
            <w:shd w:val="clear" w:color="auto" w:fill="auto"/>
            <w:vAlign w:val="bottom"/>
          </w:tcPr>
          <w:p w14:paraId="71D45945" w14:textId="77777777" w:rsidR="006A3667" w:rsidRDefault="006A3667">
            <w:pPr>
              <w:rPr>
                <w:rFonts w:ascii="宋体"/>
                <w:vanish/>
              </w:rPr>
            </w:pPr>
          </w:p>
        </w:tc>
        <w:tc>
          <w:tcPr>
            <w:tcW w:w="0" w:type="auto"/>
            <w:gridSpan w:val="3"/>
            <w:shd w:val="clear" w:color="auto" w:fill="auto"/>
            <w:vAlign w:val="bottom"/>
          </w:tcPr>
          <w:p w14:paraId="71D45946" w14:textId="77777777" w:rsidR="006A3667" w:rsidRDefault="006A3667">
            <w:pPr>
              <w:rPr>
                <w:rFonts w:ascii="宋体"/>
                <w:vanish/>
              </w:rPr>
            </w:pPr>
          </w:p>
        </w:tc>
        <w:tc>
          <w:tcPr>
            <w:tcW w:w="0" w:type="auto"/>
            <w:gridSpan w:val="3"/>
            <w:shd w:val="clear" w:color="auto" w:fill="auto"/>
            <w:vAlign w:val="bottom"/>
          </w:tcPr>
          <w:p w14:paraId="71D45947" w14:textId="77777777" w:rsidR="006A3667" w:rsidRDefault="006A3667">
            <w:pPr>
              <w:rPr>
                <w:rFonts w:ascii="宋体"/>
                <w:vanish/>
              </w:rPr>
            </w:pPr>
          </w:p>
        </w:tc>
        <w:tc>
          <w:tcPr>
            <w:tcW w:w="0" w:type="auto"/>
            <w:gridSpan w:val="3"/>
            <w:shd w:val="clear" w:color="auto" w:fill="auto"/>
            <w:vAlign w:val="bottom"/>
          </w:tcPr>
          <w:p w14:paraId="71D45948" w14:textId="77777777" w:rsidR="006A3667" w:rsidRDefault="006A3667">
            <w:pPr>
              <w:rPr>
                <w:rFonts w:ascii="宋体"/>
                <w:vanish/>
              </w:rPr>
            </w:pPr>
          </w:p>
        </w:tc>
        <w:tc>
          <w:tcPr>
            <w:tcW w:w="0" w:type="auto"/>
            <w:gridSpan w:val="3"/>
            <w:shd w:val="clear" w:color="auto" w:fill="auto"/>
            <w:vAlign w:val="bottom"/>
          </w:tcPr>
          <w:p w14:paraId="71D45949" w14:textId="77777777" w:rsidR="006A3667" w:rsidRDefault="006A3667">
            <w:pPr>
              <w:rPr>
                <w:rFonts w:ascii="宋体"/>
                <w:vanish/>
              </w:rPr>
            </w:pPr>
          </w:p>
        </w:tc>
        <w:tc>
          <w:tcPr>
            <w:tcW w:w="0" w:type="auto"/>
            <w:gridSpan w:val="3"/>
            <w:shd w:val="clear" w:color="auto" w:fill="auto"/>
            <w:vAlign w:val="bottom"/>
          </w:tcPr>
          <w:p w14:paraId="71D4594A" w14:textId="77777777" w:rsidR="006A3667" w:rsidRDefault="006A3667">
            <w:pPr>
              <w:rPr>
                <w:rFonts w:ascii="宋体"/>
                <w:vanish/>
              </w:rPr>
            </w:pPr>
          </w:p>
        </w:tc>
        <w:tc>
          <w:tcPr>
            <w:tcW w:w="0" w:type="auto"/>
            <w:gridSpan w:val="3"/>
            <w:shd w:val="clear" w:color="auto" w:fill="auto"/>
            <w:vAlign w:val="bottom"/>
          </w:tcPr>
          <w:p w14:paraId="71D4594B" w14:textId="77777777" w:rsidR="006A3667" w:rsidRDefault="006A3667">
            <w:pPr>
              <w:rPr>
                <w:rFonts w:ascii="宋体"/>
                <w:vanish/>
              </w:rPr>
            </w:pPr>
          </w:p>
        </w:tc>
        <w:tc>
          <w:tcPr>
            <w:tcW w:w="0" w:type="auto"/>
            <w:gridSpan w:val="3"/>
            <w:shd w:val="clear" w:color="auto" w:fill="auto"/>
            <w:vAlign w:val="bottom"/>
          </w:tcPr>
          <w:p w14:paraId="71D4594C" w14:textId="77777777" w:rsidR="006A3667" w:rsidRDefault="006A3667">
            <w:pPr>
              <w:rPr>
                <w:rFonts w:ascii="宋体"/>
                <w:vanish/>
              </w:rPr>
            </w:pPr>
          </w:p>
        </w:tc>
        <w:tc>
          <w:tcPr>
            <w:tcW w:w="0" w:type="auto"/>
            <w:gridSpan w:val="3"/>
            <w:shd w:val="clear" w:color="auto" w:fill="auto"/>
            <w:vAlign w:val="bottom"/>
          </w:tcPr>
          <w:p w14:paraId="71D4594D" w14:textId="77777777" w:rsidR="006A3667" w:rsidRDefault="006A3667">
            <w:pPr>
              <w:rPr>
                <w:rFonts w:ascii="宋体"/>
                <w:vanish/>
              </w:rPr>
            </w:pPr>
          </w:p>
        </w:tc>
        <w:tc>
          <w:tcPr>
            <w:tcW w:w="0" w:type="auto"/>
            <w:gridSpan w:val="3"/>
            <w:shd w:val="clear" w:color="auto" w:fill="auto"/>
            <w:vAlign w:val="bottom"/>
          </w:tcPr>
          <w:p w14:paraId="71D4594E" w14:textId="77777777" w:rsidR="006A3667" w:rsidRDefault="006A3667">
            <w:pPr>
              <w:rPr>
                <w:rFonts w:ascii="宋体"/>
                <w:vanish/>
              </w:rPr>
            </w:pPr>
          </w:p>
        </w:tc>
        <w:tc>
          <w:tcPr>
            <w:tcW w:w="0" w:type="auto"/>
            <w:gridSpan w:val="3"/>
            <w:shd w:val="clear" w:color="auto" w:fill="auto"/>
            <w:vAlign w:val="bottom"/>
          </w:tcPr>
          <w:p w14:paraId="71D4594F" w14:textId="77777777" w:rsidR="006A3667" w:rsidRDefault="006A3667">
            <w:pPr>
              <w:rPr>
                <w:rFonts w:ascii="宋体"/>
                <w:vanish/>
              </w:rPr>
            </w:pPr>
          </w:p>
        </w:tc>
      </w:tr>
      <w:tr w:rsidR="006A3667" w14:paraId="71D4595D" w14:textId="77777777">
        <w:trPr>
          <w:hidden/>
        </w:trPr>
        <w:tc>
          <w:tcPr>
            <w:tcW w:w="0" w:type="auto"/>
            <w:gridSpan w:val="3"/>
            <w:shd w:val="clear" w:color="auto" w:fill="auto"/>
            <w:vAlign w:val="bottom"/>
          </w:tcPr>
          <w:p w14:paraId="71D45951" w14:textId="77777777" w:rsidR="006A3667" w:rsidRDefault="006A3667">
            <w:pPr>
              <w:rPr>
                <w:rFonts w:ascii="宋体"/>
                <w:vanish/>
              </w:rPr>
            </w:pPr>
          </w:p>
        </w:tc>
        <w:tc>
          <w:tcPr>
            <w:tcW w:w="0" w:type="auto"/>
            <w:gridSpan w:val="3"/>
            <w:shd w:val="clear" w:color="auto" w:fill="auto"/>
            <w:vAlign w:val="bottom"/>
          </w:tcPr>
          <w:p w14:paraId="71D45952" w14:textId="77777777" w:rsidR="006A3667" w:rsidRDefault="006A3667">
            <w:pPr>
              <w:rPr>
                <w:rFonts w:ascii="宋体"/>
                <w:vanish/>
              </w:rPr>
            </w:pPr>
          </w:p>
        </w:tc>
        <w:tc>
          <w:tcPr>
            <w:tcW w:w="0" w:type="auto"/>
            <w:gridSpan w:val="3"/>
            <w:shd w:val="clear" w:color="auto" w:fill="auto"/>
            <w:vAlign w:val="bottom"/>
          </w:tcPr>
          <w:p w14:paraId="71D45953" w14:textId="77777777" w:rsidR="006A3667" w:rsidRDefault="006A3667">
            <w:pPr>
              <w:rPr>
                <w:rFonts w:ascii="宋体"/>
                <w:vanish/>
              </w:rPr>
            </w:pPr>
          </w:p>
        </w:tc>
        <w:tc>
          <w:tcPr>
            <w:tcW w:w="0" w:type="auto"/>
            <w:gridSpan w:val="3"/>
            <w:shd w:val="clear" w:color="auto" w:fill="auto"/>
            <w:vAlign w:val="bottom"/>
          </w:tcPr>
          <w:p w14:paraId="71D45954" w14:textId="77777777" w:rsidR="006A3667" w:rsidRDefault="006A3667">
            <w:pPr>
              <w:rPr>
                <w:rFonts w:ascii="宋体"/>
                <w:vanish/>
              </w:rPr>
            </w:pPr>
          </w:p>
        </w:tc>
        <w:tc>
          <w:tcPr>
            <w:tcW w:w="0" w:type="auto"/>
            <w:gridSpan w:val="3"/>
            <w:shd w:val="clear" w:color="auto" w:fill="auto"/>
            <w:vAlign w:val="bottom"/>
          </w:tcPr>
          <w:p w14:paraId="71D45955" w14:textId="77777777" w:rsidR="006A3667" w:rsidRDefault="006A3667">
            <w:pPr>
              <w:rPr>
                <w:rFonts w:ascii="宋体"/>
                <w:vanish/>
              </w:rPr>
            </w:pPr>
          </w:p>
        </w:tc>
        <w:tc>
          <w:tcPr>
            <w:tcW w:w="0" w:type="auto"/>
            <w:gridSpan w:val="3"/>
            <w:shd w:val="clear" w:color="auto" w:fill="auto"/>
            <w:vAlign w:val="bottom"/>
          </w:tcPr>
          <w:p w14:paraId="71D45956" w14:textId="77777777" w:rsidR="006A3667" w:rsidRDefault="006A3667">
            <w:pPr>
              <w:rPr>
                <w:rFonts w:ascii="宋体"/>
                <w:vanish/>
              </w:rPr>
            </w:pPr>
          </w:p>
        </w:tc>
        <w:tc>
          <w:tcPr>
            <w:tcW w:w="0" w:type="auto"/>
            <w:gridSpan w:val="3"/>
            <w:shd w:val="clear" w:color="auto" w:fill="auto"/>
            <w:vAlign w:val="bottom"/>
          </w:tcPr>
          <w:p w14:paraId="71D45957" w14:textId="77777777" w:rsidR="006A3667" w:rsidRDefault="006A3667">
            <w:pPr>
              <w:rPr>
                <w:rFonts w:ascii="宋体"/>
                <w:vanish/>
              </w:rPr>
            </w:pPr>
          </w:p>
        </w:tc>
        <w:tc>
          <w:tcPr>
            <w:tcW w:w="0" w:type="auto"/>
            <w:gridSpan w:val="3"/>
            <w:shd w:val="clear" w:color="auto" w:fill="auto"/>
            <w:vAlign w:val="bottom"/>
          </w:tcPr>
          <w:p w14:paraId="71D45958" w14:textId="77777777" w:rsidR="006A3667" w:rsidRDefault="006A3667">
            <w:pPr>
              <w:rPr>
                <w:rFonts w:ascii="宋体"/>
                <w:vanish/>
              </w:rPr>
            </w:pPr>
          </w:p>
        </w:tc>
        <w:tc>
          <w:tcPr>
            <w:tcW w:w="0" w:type="auto"/>
            <w:gridSpan w:val="3"/>
            <w:shd w:val="clear" w:color="auto" w:fill="auto"/>
            <w:vAlign w:val="bottom"/>
          </w:tcPr>
          <w:p w14:paraId="71D45959" w14:textId="77777777" w:rsidR="006A3667" w:rsidRDefault="006A3667">
            <w:pPr>
              <w:rPr>
                <w:rFonts w:ascii="宋体"/>
                <w:vanish/>
              </w:rPr>
            </w:pPr>
          </w:p>
        </w:tc>
        <w:tc>
          <w:tcPr>
            <w:tcW w:w="0" w:type="auto"/>
            <w:gridSpan w:val="3"/>
            <w:shd w:val="clear" w:color="auto" w:fill="auto"/>
            <w:vAlign w:val="bottom"/>
          </w:tcPr>
          <w:p w14:paraId="71D4595A" w14:textId="77777777" w:rsidR="006A3667" w:rsidRDefault="006A3667">
            <w:pPr>
              <w:rPr>
                <w:rFonts w:ascii="宋体"/>
                <w:vanish/>
              </w:rPr>
            </w:pPr>
          </w:p>
        </w:tc>
        <w:tc>
          <w:tcPr>
            <w:tcW w:w="0" w:type="auto"/>
            <w:gridSpan w:val="3"/>
            <w:shd w:val="clear" w:color="auto" w:fill="auto"/>
            <w:vAlign w:val="bottom"/>
          </w:tcPr>
          <w:p w14:paraId="71D4595B" w14:textId="77777777" w:rsidR="006A3667" w:rsidRDefault="006A3667">
            <w:pPr>
              <w:rPr>
                <w:rFonts w:ascii="宋体"/>
                <w:vanish/>
              </w:rPr>
            </w:pPr>
          </w:p>
        </w:tc>
        <w:tc>
          <w:tcPr>
            <w:tcW w:w="0" w:type="auto"/>
            <w:gridSpan w:val="3"/>
            <w:shd w:val="clear" w:color="auto" w:fill="auto"/>
            <w:vAlign w:val="bottom"/>
          </w:tcPr>
          <w:p w14:paraId="71D4595C" w14:textId="77777777" w:rsidR="006A3667" w:rsidRDefault="006A3667">
            <w:pPr>
              <w:rPr>
                <w:rFonts w:ascii="宋体"/>
                <w:vanish/>
              </w:rPr>
            </w:pPr>
          </w:p>
        </w:tc>
      </w:tr>
      <w:tr w:rsidR="006A3667" w14:paraId="71D4596A" w14:textId="77777777">
        <w:trPr>
          <w:hidden/>
        </w:trPr>
        <w:tc>
          <w:tcPr>
            <w:tcW w:w="0" w:type="auto"/>
            <w:gridSpan w:val="3"/>
            <w:shd w:val="clear" w:color="auto" w:fill="auto"/>
            <w:vAlign w:val="bottom"/>
          </w:tcPr>
          <w:p w14:paraId="71D4595E" w14:textId="77777777" w:rsidR="006A3667" w:rsidRDefault="006A3667">
            <w:pPr>
              <w:rPr>
                <w:rFonts w:ascii="宋体"/>
                <w:vanish/>
              </w:rPr>
            </w:pPr>
          </w:p>
        </w:tc>
        <w:tc>
          <w:tcPr>
            <w:tcW w:w="0" w:type="auto"/>
            <w:gridSpan w:val="3"/>
            <w:shd w:val="clear" w:color="auto" w:fill="auto"/>
            <w:vAlign w:val="bottom"/>
          </w:tcPr>
          <w:p w14:paraId="71D4595F" w14:textId="77777777" w:rsidR="006A3667" w:rsidRDefault="006A3667">
            <w:pPr>
              <w:rPr>
                <w:rFonts w:ascii="宋体"/>
                <w:vanish/>
              </w:rPr>
            </w:pPr>
          </w:p>
        </w:tc>
        <w:tc>
          <w:tcPr>
            <w:tcW w:w="0" w:type="auto"/>
            <w:gridSpan w:val="3"/>
            <w:shd w:val="clear" w:color="auto" w:fill="auto"/>
            <w:vAlign w:val="bottom"/>
          </w:tcPr>
          <w:p w14:paraId="71D45960" w14:textId="77777777" w:rsidR="006A3667" w:rsidRDefault="006A3667">
            <w:pPr>
              <w:rPr>
                <w:rFonts w:ascii="宋体"/>
                <w:vanish/>
              </w:rPr>
            </w:pPr>
          </w:p>
        </w:tc>
        <w:tc>
          <w:tcPr>
            <w:tcW w:w="0" w:type="auto"/>
            <w:gridSpan w:val="3"/>
            <w:shd w:val="clear" w:color="auto" w:fill="auto"/>
            <w:vAlign w:val="bottom"/>
          </w:tcPr>
          <w:p w14:paraId="71D45961" w14:textId="77777777" w:rsidR="006A3667" w:rsidRDefault="006A3667">
            <w:pPr>
              <w:rPr>
                <w:rFonts w:ascii="宋体"/>
                <w:vanish/>
              </w:rPr>
            </w:pPr>
          </w:p>
        </w:tc>
        <w:tc>
          <w:tcPr>
            <w:tcW w:w="0" w:type="auto"/>
            <w:gridSpan w:val="3"/>
            <w:shd w:val="clear" w:color="auto" w:fill="auto"/>
            <w:vAlign w:val="bottom"/>
          </w:tcPr>
          <w:p w14:paraId="71D45962" w14:textId="77777777" w:rsidR="006A3667" w:rsidRDefault="006A3667">
            <w:pPr>
              <w:rPr>
                <w:rFonts w:ascii="宋体"/>
                <w:vanish/>
              </w:rPr>
            </w:pPr>
          </w:p>
        </w:tc>
        <w:tc>
          <w:tcPr>
            <w:tcW w:w="0" w:type="auto"/>
            <w:gridSpan w:val="3"/>
            <w:shd w:val="clear" w:color="auto" w:fill="auto"/>
            <w:vAlign w:val="bottom"/>
          </w:tcPr>
          <w:p w14:paraId="71D45963" w14:textId="77777777" w:rsidR="006A3667" w:rsidRDefault="006A3667">
            <w:pPr>
              <w:rPr>
                <w:rFonts w:ascii="宋体"/>
                <w:vanish/>
              </w:rPr>
            </w:pPr>
          </w:p>
        </w:tc>
        <w:tc>
          <w:tcPr>
            <w:tcW w:w="0" w:type="auto"/>
            <w:gridSpan w:val="3"/>
            <w:shd w:val="clear" w:color="auto" w:fill="auto"/>
            <w:vAlign w:val="bottom"/>
          </w:tcPr>
          <w:p w14:paraId="71D45964" w14:textId="77777777" w:rsidR="006A3667" w:rsidRDefault="006A3667">
            <w:pPr>
              <w:rPr>
                <w:rFonts w:ascii="宋体"/>
                <w:vanish/>
              </w:rPr>
            </w:pPr>
          </w:p>
        </w:tc>
        <w:tc>
          <w:tcPr>
            <w:tcW w:w="0" w:type="auto"/>
            <w:gridSpan w:val="3"/>
            <w:shd w:val="clear" w:color="auto" w:fill="auto"/>
            <w:vAlign w:val="bottom"/>
          </w:tcPr>
          <w:p w14:paraId="71D45965" w14:textId="77777777" w:rsidR="006A3667" w:rsidRDefault="006A3667">
            <w:pPr>
              <w:rPr>
                <w:rFonts w:ascii="宋体"/>
                <w:vanish/>
              </w:rPr>
            </w:pPr>
          </w:p>
        </w:tc>
        <w:tc>
          <w:tcPr>
            <w:tcW w:w="0" w:type="auto"/>
            <w:gridSpan w:val="3"/>
            <w:shd w:val="clear" w:color="auto" w:fill="auto"/>
            <w:vAlign w:val="bottom"/>
          </w:tcPr>
          <w:p w14:paraId="71D45966" w14:textId="77777777" w:rsidR="006A3667" w:rsidRDefault="006A3667">
            <w:pPr>
              <w:rPr>
                <w:rFonts w:ascii="宋体"/>
                <w:vanish/>
              </w:rPr>
            </w:pPr>
          </w:p>
        </w:tc>
        <w:tc>
          <w:tcPr>
            <w:tcW w:w="0" w:type="auto"/>
            <w:gridSpan w:val="3"/>
            <w:shd w:val="clear" w:color="auto" w:fill="auto"/>
            <w:vAlign w:val="bottom"/>
          </w:tcPr>
          <w:p w14:paraId="71D45967" w14:textId="77777777" w:rsidR="006A3667" w:rsidRDefault="006A3667">
            <w:pPr>
              <w:rPr>
                <w:rFonts w:ascii="宋体"/>
                <w:vanish/>
              </w:rPr>
            </w:pPr>
          </w:p>
        </w:tc>
        <w:tc>
          <w:tcPr>
            <w:tcW w:w="0" w:type="auto"/>
            <w:gridSpan w:val="3"/>
            <w:shd w:val="clear" w:color="auto" w:fill="auto"/>
            <w:vAlign w:val="bottom"/>
          </w:tcPr>
          <w:p w14:paraId="71D45968" w14:textId="77777777" w:rsidR="006A3667" w:rsidRDefault="006A3667">
            <w:pPr>
              <w:rPr>
                <w:rFonts w:ascii="宋体"/>
                <w:vanish/>
              </w:rPr>
            </w:pPr>
          </w:p>
        </w:tc>
        <w:tc>
          <w:tcPr>
            <w:tcW w:w="0" w:type="auto"/>
            <w:gridSpan w:val="3"/>
            <w:shd w:val="clear" w:color="auto" w:fill="auto"/>
            <w:vAlign w:val="bottom"/>
          </w:tcPr>
          <w:p w14:paraId="71D45969" w14:textId="77777777" w:rsidR="006A3667" w:rsidRDefault="006A3667">
            <w:pPr>
              <w:rPr>
                <w:rFonts w:ascii="宋体"/>
                <w:vanish/>
              </w:rPr>
            </w:pPr>
          </w:p>
        </w:tc>
      </w:tr>
      <w:tr w:rsidR="006A3667" w14:paraId="71D45977" w14:textId="77777777">
        <w:trPr>
          <w:hidden/>
        </w:trPr>
        <w:tc>
          <w:tcPr>
            <w:tcW w:w="0" w:type="auto"/>
            <w:gridSpan w:val="3"/>
            <w:shd w:val="clear" w:color="auto" w:fill="auto"/>
            <w:vAlign w:val="bottom"/>
          </w:tcPr>
          <w:p w14:paraId="71D4596B" w14:textId="77777777" w:rsidR="006A3667" w:rsidRDefault="006A3667">
            <w:pPr>
              <w:rPr>
                <w:rFonts w:ascii="宋体"/>
                <w:vanish/>
              </w:rPr>
            </w:pPr>
          </w:p>
        </w:tc>
        <w:tc>
          <w:tcPr>
            <w:tcW w:w="0" w:type="auto"/>
            <w:gridSpan w:val="3"/>
            <w:shd w:val="clear" w:color="auto" w:fill="auto"/>
            <w:vAlign w:val="bottom"/>
          </w:tcPr>
          <w:p w14:paraId="71D4596C" w14:textId="77777777" w:rsidR="006A3667" w:rsidRDefault="006A3667">
            <w:pPr>
              <w:rPr>
                <w:rFonts w:ascii="宋体"/>
                <w:vanish/>
              </w:rPr>
            </w:pPr>
          </w:p>
        </w:tc>
        <w:tc>
          <w:tcPr>
            <w:tcW w:w="0" w:type="auto"/>
            <w:gridSpan w:val="3"/>
            <w:shd w:val="clear" w:color="auto" w:fill="auto"/>
            <w:vAlign w:val="bottom"/>
          </w:tcPr>
          <w:p w14:paraId="71D4596D" w14:textId="77777777" w:rsidR="006A3667" w:rsidRDefault="006A3667">
            <w:pPr>
              <w:rPr>
                <w:rFonts w:ascii="宋体"/>
                <w:vanish/>
              </w:rPr>
            </w:pPr>
          </w:p>
        </w:tc>
        <w:tc>
          <w:tcPr>
            <w:tcW w:w="0" w:type="auto"/>
            <w:gridSpan w:val="3"/>
            <w:shd w:val="clear" w:color="auto" w:fill="auto"/>
            <w:vAlign w:val="bottom"/>
          </w:tcPr>
          <w:p w14:paraId="71D4596E" w14:textId="77777777" w:rsidR="006A3667" w:rsidRDefault="006A3667">
            <w:pPr>
              <w:rPr>
                <w:rFonts w:ascii="宋体"/>
                <w:vanish/>
              </w:rPr>
            </w:pPr>
          </w:p>
        </w:tc>
        <w:tc>
          <w:tcPr>
            <w:tcW w:w="0" w:type="auto"/>
            <w:gridSpan w:val="3"/>
            <w:shd w:val="clear" w:color="auto" w:fill="auto"/>
            <w:vAlign w:val="bottom"/>
          </w:tcPr>
          <w:p w14:paraId="71D4596F" w14:textId="77777777" w:rsidR="006A3667" w:rsidRDefault="006A3667">
            <w:pPr>
              <w:rPr>
                <w:rFonts w:ascii="宋体"/>
                <w:vanish/>
              </w:rPr>
            </w:pPr>
          </w:p>
        </w:tc>
        <w:tc>
          <w:tcPr>
            <w:tcW w:w="0" w:type="auto"/>
            <w:gridSpan w:val="3"/>
            <w:shd w:val="clear" w:color="auto" w:fill="auto"/>
            <w:vAlign w:val="bottom"/>
          </w:tcPr>
          <w:p w14:paraId="71D45970" w14:textId="77777777" w:rsidR="006A3667" w:rsidRDefault="006A3667">
            <w:pPr>
              <w:rPr>
                <w:rFonts w:ascii="宋体"/>
                <w:vanish/>
              </w:rPr>
            </w:pPr>
          </w:p>
        </w:tc>
        <w:tc>
          <w:tcPr>
            <w:tcW w:w="0" w:type="auto"/>
            <w:gridSpan w:val="3"/>
            <w:shd w:val="clear" w:color="auto" w:fill="auto"/>
            <w:vAlign w:val="bottom"/>
          </w:tcPr>
          <w:p w14:paraId="71D45971" w14:textId="77777777" w:rsidR="006A3667" w:rsidRDefault="006A3667">
            <w:pPr>
              <w:rPr>
                <w:rFonts w:ascii="宋体"/>
                <w:vanish/>
              </w:rPr>
            </w:pPr>
          </w:p>
        </w:tc>
        <w:tc>
          <w:tcPr>
            <w:tcW w:w="0" w:type="auto"/>
            <w:gridSpan w:val="3"/>
            <w:shd w:val="clear" w:color="auto" w:fill="auto"/>
            <w:vAlign w:val="bottom"/>
          </w:tcPr>
          <w:p w14:paraId="71D45972" w14:textId="77777777" w:rsidR="006A3667" w:rsidRDefault="006A3667">
            <w:pPr>
              <w:rPr>
                <w:rFonts w:ascii="宋体"/>
                <w:vanish/>
              </w:rPr>
            </w:pPr>
          </w:p>
        </w:tc>
        <w:tc>
          <w:tcPr>
            <w:tcW w:w="0" w:type="auto"/>
            <w:gridSpan w:val="3"/>
            <w:shd w:val="clear" w:color="auto" w:fill="auto"/>
            <w:vAlign w:val="bottom"/>
          </w:tcPr>
          <w:p w14:paraId="71D45973" w14:textId="77777777" w:rsidR="006A3667" w:rsidRDefault="006A3667">
            <w:pPr>
              <w:rPr>
                <w:rFonts w:ascii="宋体"/>
                <w:vanish/>
              </w:rPr>
            </w:pPr>
          </w:p>
        </w:tc>
        <w:tc>
          <w:tcPr>
            <w:tcW w:w="0" w:type="auto"/>
            <w:gridSpan w:val="3"/>
            <w:shd w:val="clear" w:color="auto" w:fill="auto"/>
            <w:vAlign w:val="bottom"/>
          </w:tcPr>
          <w:p w14:paraId="71D45974" w14:textId="77777777" w:rsidR="006A3667" w:rsidRDefault="006A3667">
            <w:pPr>
              <w:rPr>
                <w:rFonts w:ascii="宋体"/>
                <w:vanish/>
              </w:rPr>
            </w:pPr>
          </w:p>
        </w:tc>
        <w:tc>
          <w:tcPr>
            <w:tcW w:w="0" w:type="auto"/>
            <w:gridSpan w:val="3"/>
            <w:shd w:val="clear" w:color="auto" w:fill="auto"/>
            <w:vAlign w:val="bottom"/>
          </w:tcPr>
          <w:p w14:paraId="71D45975" w14:textId="77777777" w:rsidR="006A3667" w:rsidRDefault="006A3667">
            <w:pPr>
              <w:rPr>
                <w:rFonts w:ascii="宋体"/>
                <w:vanish/>
              </w:rPr>
            </w:pPr>
          </w:p>
        </w:tc>
        <w:tc>
          <w:tcPr>
            <w:tcW w:w="0" w:type="auto"/>
            <w:gridSpan w:val="3"/>
            <w:shd w:val="clear" w:color="auto" w:fill="auto"/>
            <w:vAlign w:val="bottom"/>
          </w:tcPr>
          <w:p w14:paraId="71D45976" w14:textId="77777777" w:rsidR="006A3667" w:rsidRDefault="006A3667">
            <w:pPr>
              <w:rPr>
                <w:rFonts w:ascii="宋体"/>
                <w:vanish/>
              </w:rPr>
            </w:pPr>
          </w:p>
        </w:tc>
      </w:tr>
      <w:tr w:rsidR="006A3667" w14:paraId="71D45984" w14:textId="77777777">
        <w:trPr>
          <w:hidden/>
        </w:trPr>
        <w:tc>
          <w:tcPr>
            <w:tcW w:w="0" w:type="auto"/>
            <w:gridSpan w:val="3"/>
            <w:shd w:val="clear" w:color="auto" w:fill="auto"/>
            <w:vAlign w:val="bottom"/>
          </w:tcPr>
          <w:p w14:paraId="71D45978" w14:textId="77777777" w:rsidR="006A3667" w:rsidRDefault="006A3667">
            <w:pPr>
              <w:rPr>
                <w:rFonts w:ascii="宋体"/>
                <w:vanish/>
              </w:rPr>
            </w:pPr>
          </w:p>
        </w:tc>
        <w:tc>
          <w:tcPr>
            <w:tcW w:w="0" w:type="auto"/>
            <w:gridSpan w:val="3"/>
            <w:shd w:val="clear" w:color="auto" w:fill="auto"/>
            <w:vAlign w:val="bottom"/>
          </w:tcPr>
          <w:p w14:paraId="71D45979" w14:textId="77777777" w:rsidR="006A3667" w:rsidRDefault="006A3667">
            <w:pPr>
              <w:rPr>
                <w:rFonts w:ascii="宋体"/>
                <w:vanish/>
              </w:rPr>
            </w:pPr>
          </w:p>
        </w:tc>
        <w:tc>
          <w:tcPr>
            <w:tcW w:w="0" w:type="auto"/>
            <w:gridSpan w:val="3"/>
            <w:shd w:val="clear" w:color="auto" w:fill="auto"/>
            <w:vAlign w:val="bottom"/>
          </w:tcPr>
          <w:p w14:paraId="71D4597A" w14:textId="77777777" w:rsidR="006A3667" w:rsidRDefault="006A3667">
            <w:pPr>
              <w:rPr>
                <w:rFonts w:ascii="宋体"/>
                <w:vanish/>
              </w:rPr>
            </w:pPr>
          </w:p>
        </w:tc>
        <w:tc>
          <w:tcPr>
            <w:tcW w:w="0" w:type="auto"/>
            <w:gridSpan w:val="3"/>
            <w:shd w:val="clear" w:color="auto" w:fill="auto"/>
            <w:vAlign w:val="bottom"/>
          </w:tcPr>
          <w:p w14:paraId="71D4597B" w14:textId="77777777" w:rsidR="006A3667" w:rsidRDefault="006A3667">
            <w:pPr>
              <w:rPr>
                <w:rFonts w:ascii="宋体"/>
                <w:vanish/>
              </w:rPr>
            </w:pPr>
          </w:p>
        </w:tc>
        <w:tc>
          <w:tcPr>
            <w:tcW w:w="0" w:type="auto"/>
            <w:gridSpan w:val="3"/>
            <w:shd w:val="clear" w:color="auto" w:fill="auto"/>
            <w:vAlign w:val="bottom"/>
          </w:tcPr>
          <w:p w14:paraId="71D4597C" w14:textId="77777777" w:rsidR="006A3667" w:rsidRDefault="006A3667">
            <w:pPr>
              <w:rPr>
                <w:rFonts w:ascii="宋体"/>
                <w:vanish/>
              </w:rPr>
            </w:pPr>
          </w:p>
        </w:tc>
        <w:tc>
          <w:tcPr>
            <w:tcW w:w="0" w:type="auto"/>
            <w:gridSpan w:val="3"/>
            <w:shd w:val="clear" w:color="auto" w:fill="auto"/>
            <w:vAlign w:val="bottom"/>
          </w:tcPr>
          <w:p w14:paraId="71D4597D" w14:textId="77777777" w:rsidR="006A3667" w:rsidRDefault="006A3667">
            <w:pPr>
              <w:rPr>
                <w:rFonts w:ascii="宋体"/>
                <w:vanish/>
              </w:rPr>
            </w:pPr>
          </w:p>
        </w:tc>
        <w:tc>
          <w:tcPr>
            <w:tcW w:w="0" w:type="auto"/>
            <w:gridSpan w:val="3"/>
            <w:shd w:val="clear" w:color="auto" w:fill="auto"/>
            <w:vAlign w:val="bottom"/>
          </w:tcPr>
          <w:p w14:paraId="71D4597E" w14:textId="77777777" w:rsidR="006A3667" w:rsidRDefault="006A3667">
            <w:pPr>
              <w:rPr>
                <w:rFonts w:ascii="宋体"/>
                <w:vanish/>
              </w:rPr>
            </w:pPr>
          </w:p>
        </w:tc>
        <w:tc>
          <w:tcPr>
            <w:tcW w:w="0" w:type="auto"/>
            <w:gridSpan w:val="3"/>
            <w:shd w:val="clear" w:color="auto" w:fill="auto"/>
            <w:vAlign w:val="bottom"/>
          </w:tcPr>
          <w:p w14:paraId="71D4597F" w14:textId="77777777" w:rsidR="006A3667" w:rsidRDefault="006A3667">
            <w:pPr>
              <w:rPr>
                <w:rFonts w:ascii="宋体"/>
                <w:vanish/>
              </w:rPr>
            </w:pPr>
          </w:p>
        </w:tc>
        <w:tc>
          <w:tcPr>
            <w:tcW w:w="0" w:type="auto"/>
            <w:gridSpan w:val="3"/>
            <w:shd w:val="clear" w:color="auto" w:fill="auto"/>
            <w:vAlign w:val="bottom"/>
          </w:tcPr>
          <w:p w14:paraId="71D45980" w14:textId="77777777" w:rsidR="006A3667" w:rsidRDefault="006A3667">
            <w:pPr>
              <w:rPr>
                <w:rFonts w:ascii="宋体"/>
                <w:vanish/>
              </w:rPr>
            </w:pPr>
          </w:p>
        </w:tc>
        <w:tc>
          <w:tcPr>
            <w:tcW w:w="0" w:type="auto"/>
            <w:gridSpan w:val="3"/>
            <w:shd w:val="clear" w:color="auto" w:fill="auto"/>
            <w:vAlign w:val="bottom"/>
          </w:tcPr>
          <w:p w14:paraId="71D45981" w14:textId="77777777" w:rsidR="006A3667" w:rsidRDefault="006A3667">
            <w:pPr>
              <w:rPr>
                <w:rFonts w:ascii="宋体"/>
                <w:vanish/>
              </w:rPr>
            </w:pPr>
          </w:p>
        </w:tc>
        <w:tc>
          <w:tcPr>
            <w:tcW w:w="0" w:type="auto"/>
            <w:gridSpan w:val="3"/>
            <w:shd w:val="clear" w:color="auto" w:fill="auto"/>
            <w:vAlign w:val="bottom"/>
          </w:tcPr>
          <w:p w14:paraId="71D45982" w14:textId="77777777" w:rsidR="006A3667" w:rsidRDefault="006A3667">
            <w:pPr>
              <w:rPr>
                <w:rFonts w:ascii="宋体"/>
                <w:vanish/>
              </w:rPr>
            </w:pPr>
          </w:p>
        </w:tc>
        <w:tc>
          <w:tcPr>
            <w:tcW w:w="0" w:type="auto"/>
            <w:gridSpan w:val="3"/>
            <w:shd w:val="clear" w:color="auto" w:fill="auto"/>
            <w:vAlign w:val="bottom"/>
          </w:tcPr>
          <w:p w14:paraId="71D45983" w14:textId="77777777" w:rsidR="006A3667" w:rsidRDefault="006A3667">
            <w:pPr>
              <w:rPr>
                <w:rFonts w:ascii="宋体"/>
                <w:vanish/>
              </w:rPr>
            </w:pPr>
          </w:p>
        </w:tc>
      </w:tr>
      <w:tr w:rsidR="006A3667" w14:paraId="71D45991" w14:textId="77777777">
        <w:trPr>
          <w:hidden/>
        </w:trPr>
        <w:tc>
          <w:tcPr>
            <w:tcW w:w="0" w:type="auto"/>
            <w:gridSpan w:val="3"/>
            <w:shd w:val="clear" w:color="auto" w:fill="auto"/>
            <w:vAlign w:val="bottom"/>
          </w:tcPr>
          <w:p w14:paraId="71D45985" w14:textId="77777777" w:rsidR="006A3667" w:rsidRDefault="006A3667">
            <w:pPr>
              <w:rPr>
                <w:rFonts w:ascii="宋体"/>
                <w:vanish/>
              </w:rPr>
            </w:pPr>
          </w:p>
        </w:tc>
        <w:tc>
          <w:tcPr>
            <w:tcW w:w="0" w:type="auto"/>
            <w:gridSpan w:val="3"/>
            <w:shd w:val="clear" w:color="auto" w:fill="auto"/>
            <w:vAlign w:val="bottom"/>
          </w:tcPr>
          <w:p w14:paraId="71D45986" w14:textId="77777777" w:rsidR="006A3667" w:rsidRDefault="006A3667">
            <w:pPr>
              <w:rPr>
                <w:rFonts w:ascii="宋体"/>
                <w:vanish/>
              </w:rPr>
            </w:pPr>
          </w:p>
        </w:tc>
        <w:tc>
          <w:tcPr>
            <w:tcW w:w="0" w:type="auto"/>
            <w:gridSpan w:val="3"/>
            <w:shd w:val="clear" w:color="auto" w:fill="auto"/>
            <w:vAlign w:val="bottom"/>
          </w:tcPr>
          <w:p w14:paraId="71D45987" w14:textId="77777777" w:rsidR="006A3667" w:rsidRDefault="006A3667">
            <w:pPr>
              <w:rPr>
                <w:rFonts w:ascii="宋体"/>
                <w:vanish/>
              </w:rPr>
            </w:pPr>
          </w:p>
        </w:tc>
        <w:tc>
          <w:tcPr>
            <w:tcW w:w="0" w:type="auto"/>
            <w:gridSpan w:val="3"/>
            <w:shd w:val="clear" w:color="auto" w:fill="auto"/>
            <w:vAlign w:val="bottom"/>
          </w:tcPr>
          <w:p w14:paraId="71D45988" w14:textId="77777777" w:rsidR="006A3667" w:rsidRDefault="006A3667">
            <w:pPr>
              <w:rPr>
                <w:rFonts w:ascii="宋体"/>
                <w:vanish/>
              </w:rPr>
            </w:pPr>
          </w:p>
        </w:tc>
        <w:tc>
          <w:tcPr>
            <w:tcW w:w="0" w:type="auto"/>
            <w:gridSpan w:val="3"/>
            <w:shd w:val="clear" w:color="auto" w:fill="auto"/>
            <w:vAlign w:val="bottom"/>
          </w:tcPr>
          <w:p w14:paraId="71D45989" w14:textId="77777777" w:rsidR="006A3667" w:rsidRDefault="006A3667">
            <w:pPr>
              <w:rPr>
                <w:rFonts w:ascii="宋体"/>
                <w:vanish/>
              </w:rPr>
            </w:pPr>
          </w:p>
        </w:tc>
        <w:tc>
          <w:tcPr>
            <w:tcW w:w="0" w:type="auto"/>
            <w:gridSpan w:val="3"/>
            <w:shd w:val="clear" w:color="auto" w:fill="auto"/>
            <w:vAlign w:val="bottom"/>
          </w:tcPr>
          <w:p w14:paraId="71D4598A" w14:textId="77777777" w:rsidR="006A3667" w:rsidRDefault="006A3667">
            <w:pPr>
              <w:rPr>
                <w:rFonts w:ascii="宋体"/>
                <w:vanish/>
              </w:rPr>
            </w:pPr>
          </w:p>
        </w:tc>
        <w:tc>
          <w:tcPr>
            <w:tcW w:w="0" w:type="auto"/>
            <w:gridSpan w:val="3"/>
            <w:shd w:val="clear" w:color="auto" w:fill="auto"/>
            <w:vAlign w:val="bottom"/>
          </w:tcPr>
          <w:p w14:paraId="71D4598B" w14:textId="77777777" w:rsidR="006A3667" w:rsidRDefault="006A3667">
            <w:pPr>
              <w:rPr>
                <w:rFonts w:ascii="宋体"/>
                <w:vanish/>
              </w:rPr>
            </w:pPr>
          </w:p>
        </w:tc>
        <w:tc>
          <w:tcPr>
            <w:tcW w:w="0" w:type="auto"/>
            <w:gridSpan w:val="3"/>
            <w:shd w:val="clear" w:color="auto" w:fill="auto"/>
            <w:vAlign w:val="bottom"/>
          </w:tcPr>
          <w:p w14:paraId="71D4598C" w14:textId="77777777" w:rsidR="006A3667" w:rsidRDefault="006A3667">
            <w:pPr>
              <w:rPr>
                <w:rFonts w:ascii="宋体"/>
                <w:vanish/>
              </w:rPr>
            </w:pPr>
          </w:p>
        </w:tc>
        <w:tc>
          <w:tcPr>
            <w:tcW w:w="0" w:type="auto"/>
            <w:gridSpan w:val="3"/>
            <w:shd w:val="clear" w:color="auto" w:fill="auto"/>
            <w:vAlign w:val="bottom"/>
          </w:tcPr>
          <w:p w14:paraId="71D4598D" w14:textId="77777777" w:rsidR="006A3667" w:rsidRDefault="006A3667">
            <w:pPr>
              <w:rPr>
                <w:rFonts w:ascii="宋体"/>
                <w:vanish/>
              </w:rPr>
            </w:pPr>
          </w:p>
        </w:tc>
        <w:tc>
          <w:tcPr>
            <w:tcW w:w="0" w:type="auto"/>
            <w:gridSpan w:val="3"/>
            <w:shd w:val="clear" w:color="auto" w:fill="auto"/>
            <w:vAlign w:val="bottom"/>
          </w:tcPr>
          <w:p w14:paraId="71D4598E" w14:textId="77777777" w:rsidR="006A3667" w:rsidRDefault="006A3667">
            <w:pPr>
              <w:rPr>
                <w:rFonts w:ascii="宋体"/>
                <w:vanish/>
              </w:rPr>
            </w:pPr>
          </w:p>
        </w:tc>
        <w:tc>
          <w:tcPr>
            <w:tcW w:w="0" w:type="auto"/>
            <w:gridSpan w:val="3"/>
            <w:shd w:val="clear" w:color="auto" w:fill="auto"/>
            <w:vAlign w:val="bottom"/>
          </w:tcPr>
          <w:p w14:paraId="71D4598F" w14:textId="77777777" w:rsidR="006A3667" w:rsidRDefault="006A3667">
            <w:pPr>
              <w:rPr>
                <w:rFonts w:ascii="宋体"/>
                <w:vanish/>
              </w:rPr>
            </w:pPr>
          </w:p>
        </w:tc>
        <w:tc>
          <w:tcPr>
            <w:tcW w:w="0" w:type="auto"/>
            <w:gridSpan w:val="3"/>
            <w:shd w:val="clear" w:color="auto" w:fill="auto"/>
            <w:vAlign w:val="bottom"/>
          </w:tcPr>
          <w:p w14:paraId="71D45990" w14:textId="77777777" w:rsidR="006A3667" w:rsidRDefault="006A3667">
            <w:pPr>
              <w:rPr>
                <w:rFonts w:ascii="宋体"/>
                <w:vanish/>
              </w:rPr>
            </w:pPr>
          </w:p>
        </w:tc>
      </w:tr>
      <w:tr w:rsidR="006A3667" w14:paraId="71D4599E" w14:textId="77777777">
        <w:trPr>
          <w:hidden/>
        </w:trPr>
        <w:tc>
          <w:tcPr>
            <w:tcW w:w="0" w:type="auto"/>
            <w:gridSpan w:val="3"/>
            <w:shd w:val="clear" w:color="auto" w:fill="auto"/>
            <w:vAlign w:val="bottom"/>
          </w:tcPr>
          <w:p w14:paraId="71D45992" w14:textId="77777777" w:rsidR="006A3667" w:rsidRDefault="006A3667">
            <w:pPr>
              <w:rPr>
                <w:rFonts w:ascii="宋体"/>
                <w:vanish/>
              </w:rPr>
            </w:pPr>
          </w:p>
        </w:tc>
        <w:tc>
          <w:tcPr>
            <w:tcW w:w="0" w:type="auto"/>
            <w:gridSpan w:val="3"/>
            <w:shd w:val="clear" w:color="auto" w:fill="auto"/>
            <w:vAlign w:val="bottom"/>
          </w:tcPr>
          <w:p w14:paraId="71D45993" w14:textId="77777777" w:rsidR="006A3667" w:rsidRDefault="006A3667">
            <w:pPr>
              <w:rPr>
                <w:rFonts w:ascii="宋体"/>
                <w:vanish/>
              </w:rPr>
            </w:pPr>
          </w:p>
        </w:tc>
        <w:tc>
          <w:tcPr>
            <w:tcW w:w="0" w:type="auto"/>
            <w:gridSpan w:val="3"/>
            <w:shd w:val="clear" w:color="auto" w:fill="auto"/>
            <w:vAlign w:val="bottom"/>
          </w:tcPr>
          <w:p w14:paraId="71D45994" w14:textId="77777777" w:rsidR="006A3667" w:rsidRDefault="006A3667">
            <w:pPr>
              <w:rPr>
                <w:rFonts w:ascii="宋体"/>
                <w:vanish/>
              </w:rPr>
            </w:pPr>
          </w:p>
        </w:tc>
        <w:tc>
          <w:tcPr>
            <w:tcW w:w="0" w:type="auto"/>
            <w:gridSpan w:val="3"/>
            <w:shd w:val="clear" w:color="auto" w:fill="auto"/>
            <w:vAlign w:val="bottom"/>
          </w:tcPr>
          <w:p w14:paraId="71D45995" w14:textId="77777777" w:rsidR="006A3667" w:rsidRDefault="006A3667">
            <w:pPr>
              <w:rPr>
                <w:rFonts w:ascii="宋体"/>
                <w:vanish/>
              </w:rPr>
            </w:pPr>
          </w:p>
        </w:tc>
        <w:tc>
          <w:tcPr>
            <w:tcW w:w="0" w:type="auto"/>
            <w:gridSpan w:val="3"/>
            <w:shd w:val="clear" w:color="auto" w:fill="auto"/>
            <w:vAlign w:val="bottom"/>
          </w:tcPr>
          <w:p w14:paraId="71D45996" w14:textId="77777777" w:rsidR="006A3667" w:rsidRDefault="006A3667">
            <w:pPr>
              <w:rPr>
                <w:rFonts w:ascii="宋体"/>
                <w:vanish/>
              </w:rPr>
            </w:pPr>
          </w:p>
        </w:tc>
        <w:tc>
          <w:tcPr>
            <w:tcW w:w="0" w:type="auto"/>
            <w:gridSpan w:val="3"/>
            <w:shd w:val="clear" w:color="auto" w:fill="auto"/>
            <w:vAlign w:val="bottom"/>
          </w:tcPr>
          <w:p w14:paraId="71D45997" w14:textId="77777777" w:rsidR="006A3667" w:rsidRDefault="006A3667">
            <w:pPr>
              <w:rPr>
                <w:rFonts w:ascii="宋体"/>
                <w:vanish/>
              </w:rPr>
            </w:pPr>
          </w:p>
        </w:tc>
        <w:tc>
          <w:tcPr>
            <w:tcW w:w="0" w:type="auto"/>
            <w:gridSpan w:val="3"/>
            <w:shd w:val="clear" w:color="auto" w:fill="auto"/>
            <w:vAlign w:val="bottom"/>
          </w:tcPr>
          <w:p w14:paraId="71D45998" w14:textId="77777777" w:rsidR="006A3667" w:rsidRDefault="006A3667">
            <w:pPr>
              <w:rPr>
                <w:rFonts w:ascii="宋体"/>
                <w:vanish/>
              </w:rPr>
            </w:pPr>
          </w:p>
        </w:tc>
        <w:tc>
          <w:tcPr>
            <w:tcW w:w="0" w:type="auto"/>
            <w:gridSpan w:val="3"/>
            <w:shd w:val="clear" w:color="auto" w:fill="auto"/>
            <w:vAlign w:val="bottom"/>
          </w:tcPr>
          <w:p w14:paraId="71D45999" w14:textId="77777777" w:rsidR="006A3667" w:rsidRDefault="006A3667">
            <w:pPr>
              <w:rPr>
                <w:rFonts w:ascii="宋体"/>
                <w:vanish/>
              </w:rPr>
            </w:pPr>
          </w:p>
        </w:tc>
        <w:tc>
          <w:tcPr>
            <w:tcW w:w="0" w:type="auto"/>
            <w:gridSpan w:val="3"/>
            <w:shd w:val="clear" w:color="auto" w:fill="auto"/>
            <w:vAlign w:val="bottom"/>
          </w:tcPr>
          <w:p w14:paraId="71D4599A" w14:textId="77777777" w:rsidR="006A3667" w:rsidRDefault="006A3667">
            <w:pPr>
              <w:rPr>
                <w:rFonts w:ascii="宋体"/>
                <w:vanish/>
              </w:rPr>
            </w:pPr>
          </w:p>
        </w:tc>
        <w:tc>
          <w:tcPr>
            <w:tcW w:w="0" w:type="auto"/>
            <w:gridSpan w:val="3"/>
            <w:shd w:val="clear" w:color="auto" w:fill="auto"/>
            <w:vAlign w:val="bottom"/>
          </w:tcPr>
          <w:p w14:paraId="71D4599B" w14:textId="77777777" w:rsidR="006A3667" w:rsidRDefault="006A3667">
            <w:pPr>
              <w:rPr>
                <w:rFonts w:ascii="宋体"/>
                <w:vanish/>
              </w:rPr>
            </w:pPr>
          </w:p>
        </w:tc>
        <w:tc>
          <w:tcPr>
            <w:tcW w:w="0" w:type="auto"/>
            <w:gridSpan w:val="3"/>
            <w:shd w:val="clear" w:color="auto" w:fill="auto"/>
            <w:vAlign w:val="bottom"/>
          </w:tcPr>
          <w:p w14:paraId="71D4599C" w14:textId="77777777" w:rsidR="006A3667" w:rsidRDefault="006A3667">
            <w:pPr>
              <w:rPr>
                <w:rFonts w:ascii="宋体"/>
                <w:vanish/>
              </w:rPr>
            </w:pPr>
          </w:p>
        </w:tc>
        <w:tc>
          <w:tcPr>
            <w:tcW w:w="0" w:type="auto"/>
            <w:gridSpan w:val="3"/>
            <w:shd w:val="clear" w:color="auto" w:fill="auto"/>
            <w:vAlign w:val="bottom"/>
          </w:tcPr>
          <w:p w14:paraId="71D4599D" w14:textId="77777777" w:rsidR="006A3667" w:rsidRDefault="006A3667">
            <w:pPr>
              <w:rPr>
                <w:rFonts w:ascii="宋体"/>
                <w:vanish/>
              </w:rPr>
            </w:pPr>
          </w:p>
        </w:tc>
      </w:tr>
      <w:tr w:rsidR="006A3667" w14:paraId="71D459AB" w14:textId="77777777">
        <w:trPr>
          <w:hidden/>
        </w:trPr>
        <w:tc>
          <w:tcPr>
            <w:tcW w:w="0" w:type="auto"/>
            <w:gridSpan w:val="3"/>
            <w:shd w:val="clear" w:color="auto" w:fill="auto"/>
            <w:vAlign w:val="bottom"/>
          </w:tcPr>
          <w:p w14:paraId="71D4599F" w14:textId="77777777" w:rsidR="006A3667" w:rsidRDefault="006A3667">
            <w:pPr>
              <w:rPr>
                <w:rFonts w:ascii="宋体"/>
                <w:vanish/>
              </w:rPr>
            </w:pPr>
          </w:p>
        </w:tc>
        <w:tc>
          <w:tcPr>
            <w:tcW w:w="0" w:type="auto"/>
            <w:gridSpan w:val="3"/>
            <w:shd w:val="clear" w:color="auto" w:fill="auto"/>
            <w:vAlign w:val="bottom"/>
          </w:tcPr>
          <w:p w14:paraId="71D459A0" w14:textId="77777777" w:rsidR="006A3667" w:rsidRDefault="006A3667">
            <w:pPr>
              <w:rPr>
                <w:rFonts w:ascii="宋体"/>
                <w:vanish/>
              </w:rPr>
            </w:pPr>
          </w:p>
        </w:tc>
        <w:tc>
          <w:tcPr>
            <w:tcW w:w="0" w:type="auto"/>
            <w:gridSpan w:val="3"/>
            <w:shd w:val="clear" w:color="auto" w:fill="auto"/>
            <w:vAlign w:val="bottom"/>
          </w:tcPr>
          <w:p w14:paraId="71D459A1" w14:textId="77777777" w:rsidR="006A3667" w:rsidRDefault="006A3667">
            <w:pPr>
              <w:rPr>
                <w:rFonts w:ascii="宋体"/>
                <w:vanish/>
              </w:rPr>
            </w:pPr>
          </w:p>
        </w:tc>
        <w:tc>
          <w:tcPr>
            <w:tcW w:w="0" w:type="auto"/>
            <w:gridSpan w:val="3"/>
            <w:shd w:val="clear" w:color="auto" w:fill="auto"/>
            <w:vAlign w:val="bottom"/>
          </w:tcPr>
          <w:p w14:paraId="71D459A2" w14:textId="77777777" w:rsidR="006A3667" w:rsidRDefault="006A3667">
            <w:pPr>
              <w:rPr>
                <w:rFonts w:ascii="宋体"/>
                <w:vanish/>
              </w:rPr>
            </w:pPr>
          </w:p>
        </w:tc>
        <w:tc>
          <w:tcPr>
            <w:tcW w:w="0" w:type="auto"/>
            <w:gridSpan w:val="3"/>
            <w:shd w:val="clear" w:color="auto" w:fill="auto"/>
            <w:vAlign w:val="bottom"/>
          </w:tcPr>
          <w:p w14:paraId="71D459A3" w14:textId="77777777" w:rsidR="006A3667" w:rsidRDefault="006A3667">
            <w:pPr>
              <w:rPr>
                <w:rFonts w:ascii="宋体"/>
                <w:vanish/>
              </w:rPr>
            </w:pPr>
          </w:p>
        </w:tc>
        <w:tc>
          <w:tcPr>
            <w:tcW w:w="0" w:type="auto"/>
            <w:gridSpan w:val="3"/>
            <w:shd w:val="clear" w:color="auto" w:fill="auto"/>
            <w:vAlign w:val="bottom"/>
          </w:tcPr>
          <w:p w14:paraId="71D459A4" w14:textId="77777777" w:rsidR="006A3667" w:rsidRDefault="006A3667">
            <w:pPr>
              <w:rPr>
                <w:rFonts w:ascii="宋体"/>
                <w:vanish/>
              </w:rPr>
            </w:pPr>
          </w:p>
        </w:tc>
        <w:tc>
          <w:tcPr>
            <w:tcW w:w="0" w:type="auto"/>
            <w:gridSpan w:val="3"/>
            <w:shd w:val="clear" w:color="auto" w:fill="auto"/>
            <w:vAlign w:val="bottom"/>
          </w:tcPr>
          <w:p w14:paraId="71D459A5" w14:textId="77777777" w:rsidR="006A3667" w:rsidRDefault="006A3667">
            <w:pPr>
              <w:rPr>
                <w:rFonts w:ascii="宋体"/>
                <w:vanish/>
              </w:rPr>
            </w:pPr>
          </w:p>
        </w:tc>
        <w:tc>
          <w:tcPr>
            <w:tcW w:w="0" w:type="auto"/>
            <w:gridSpan w:val="3"/>
            <w:shd w:val="clear" w:color="auto" w:fill="auto"/>
            <w:vAlign w:val="bottom"/>
          </w:tcPr>
          <w:p w14:paraId="71D459A6" w14:textId="77777777" w:rsidR="006A3667" w:rsidRDefault="006A3667">
            <w:pPr>
              <w:rPr>
                <w:rFonts w:ascii="宋体"/>
                <w:vanish/>
              </w:rPr>
            </w:pPr>
          </w:p>
        </w:tc>
        <w:tc>
          <w:tcPr>
            <w:tcW w:w="0" w:type="auto"/>
            <w:gridSpan w:val="3"/>
            <w:shd w:val="clear" w:color="auto" w:fill="auto"/>
            <w:vAlign w:val="bottom"/>
          </w:tcPr>
          <w:p w14:paraId="71D459A7" w14:textId="77777777" w:rsidR="006A3667" w:rsidRDefault="006A3667">
            <w:pPr>
              <w:rPr>
                <w:rFonts w:ascii="宋体"/>
                <w:vanish/>
              </w:rPr>
            </w:pPr>
          </w:p>
        </w:tc>
        <w:tc>
          <w:tcPr>
            <w:tcW w:w="0" w:type="auto"/>
            <w:gridSpan w:val="3"/>
            <w:shd w:val="clear" w:color="auto" w:fill="auto"/>
            <w:vAlign w:val="bottom"/>
          </w:tcPr>
          <w:p w14:paraId="71D459A8" w14:textId="77777777" w:rsidR="006A3667" w:rsidRDefault="006A3667">
            <w:pPr>
              <w:rPr>
                <w:rFonts w:ascii="宋体"/>
                <w:vanish/>
              </w:rPr>
            </w:pPr>
          </w:p>
        </w:tc>
        <w:tc>
          <w:tcPr>
            <w:tcW w:w="0" w:type="auto"/>
            <w:gridSpan w:val="3"/>
            <w:shd w:val="clear" w:color="auto" w:fill="auto"/>
            <w:vAlign w:val="bottom"/>
          </w:tcPr>
          <w:p w14:paraId="71D459A9" w14:textId="77777777" w:rsidR="006A3667" w:rsidRDefault="006A3667">
            <w:pPr>
              <w:rPr>
                <w:rFonts w:ascii="宋体"/>
                <w:vanish/>
              </w:rPr>
            </w:pPr>
          </w:p>
        </w:tc>
        <w:tc>
          <w:tcPr>
            <w:tcW w:w="0" w:type="auto"/>
            <w:gridSpan w:val="3"/>
            <w:shd w:val="clear" w:color="auto" w:fill="auto"/>
            <w:vAlign w:val="bottom"/>
          </w:tcPr>
          <w:p w14:paraId="71D459AA" w14:textId="77777777" w:rsidR="006A3667" w:rsidRDefault="006A3667">
            <w:pPr>
              <w:rPr>
                <w:rFonts w:ascii="宋体"/>
                <w:vanish/>
              </w:rPr>
            </w:pPr>
          </w:p>
        </w:tc>
      </w:tr>
      <w:tr w:rsidR="006A3667" w14:paraId="71D459B8" w14:textId="77777777">
        <w:trPr>
          <w:hidden/>
        </w:trPr>
        <w:tc>
          <w:tcPr>
            <w:tcW w:w="0" w:type="auto"/>
            <w:gridSpan w:val="3"/>
            <w:shd w:val="clear" w:color="auto" w:fill="auto"/>
            <w:vAlign w:val="bottom"/>
          </w:tcPr>
          <w:p w14:paraId="71D459AC" w14:textId="77777777" w:rsidR="006A3667" w:rsidRDefault="006A3667">
            <w:pPr>
              <w:rPr>
                <w:rFonts w:ascii="宋体"/>
                <w:vanish/>
              </w:rPr>
            </w:pPr>
          </w:p>
        </w:tc>
        <w:tc>
          <w:tcPr>
            <w:tcW w:w="0" w:type="auto"/>
            <w:gridSpan w:val="3"/>
            <w:shd w:val="clear" w:color="auto" w:fill="auto"/>
            <w:vAlign w:val="bottom"/>
          </w:tcPr>
          <w:p w14:paraId="71D459AD" w14:textId="77777777" w:rsidR="006A3667" w:rsidRDefault="006A3667">
            <w:pPr>
              <w:rPr>
                <w:rFonts w:ascii="宋体"/>
                <w:vanish/>
              </w:rPr>
            </w:pPr>
          </w:p>
        </w:tc>
        <w:tc>
          <w:tcPr>
            <w:tcW w:w="0" w:type="auto"/>
            <w:gridSpan w:val="3"/>
            <w:shd w:val="clear" w:color="auto" w:fill="auto"/>
            <w:vAlign w:val="bottom"/>
          </w:tcPr>
          <w:p w14:paraId="71D459AE" w14:textId="77777777" w:rsidR="006A3667" w:rsidRDefault="006A3667">
            <w:pPr>
              <w:rPr>
                <w:rFonts w:ascii="宋体"/>
                <w:vanish/>
              </w:rPr>
            </w:pPr>
          </w:p>
        </w:tc>
        <w:tc>
          <w:tcPr>
            <w:tcW w:w="0" w:type="auto"/>
            <w:gridSpan w:val="3"/>
            <w:shd w:val="clear" w:color="auto" w:fill="auto"/>
            <w:vAlign w:val="bottom"/>
          </w:tcPr>
          <w:p w14:paraId="71D459AF" w14:textId="77777777" w:rsidR="006A3667" w:rsidRDefault="006A3667">
            <w:pPr>
              <w:rPr>
                <w:rFonts w:ascii="宋体"/>
                <w:vanish/>
              </w:rPr>
            </w:pPr>
          </w:p>
        </w:tc>
        <w:tc>
          <w:tcPr>
            <w:tcW w:w="0" w:type="auto"/>
            <w:gridSpan w:val="3"/>
            <w:shd w:val="clear" w:color="auto" w:fill="auto"/>
            <w:vAlign w:val="bottom"/>
          </w:tcPr>
          <w:p w14:paraId="71D459B0" w14:textId="77777777" w:rsidR="006A3667" w:rsidRDefault="006A3667">
            <w:pPr>
              <w:rPr>
                <w:rFonts w:ascii="宋体"/>
                <w:vanish/>
              </w:rPr>
            </w:pPr>
          </w:p>
        </w:tc>
        <w:tc>
          <w:tcPr>
            <w:tcW w:w="0" w:type="auto"/>
            <w:gridSpan w:val="3"/>
            <w:shd w:val="clear" w:color="auto" w:fill="auto"/>
            <w:vAlign w:val="bottom"/>
          </w:tcPr>
          <w:p w14:paraId="71D459B1" w14:textId="77777777" w:rsidR="006A3667" w:rsidRDefault="006A3667">
            <w:pPr>
              <w:rPr>
                <w:rFonts w:ascii="宋体"/>
                <w:vanish/>
              </w:rPr>
            </w:pPr>
          </w:p>
        </w:tc>
        <w:tc>
          <w:tcPr>
            <w:tcW w:w="0" w:type="auto"/>
            <w:gridSpan w:val="3"/>
            <w:shd w:val="clear" w:color="auto" w:fill="auto"/>
            <w:vAlign w:val="bottom"/>
          </w:tcPr>
          <w:p w14:paraId="71D459B2" w14:textId="77777777" w:rsidR="006A3667" w:rsidRDefault="006A3667">
            <w:pPr>
              <w:rPr>
                <w:rFonts w:ascii="宋体"/>
                <w:vanish/>
              </w:rPr>
            </w:pPr>
          </w:p>
        </w:tc>
        <w:tc>
          <w:tcPr>
            <w:tcW w:w="0" w:type="auto"/>
            <w:gridSpan w:val="3"/>
            <w:shd w:val="clear" w:color="auto" w:fill="auto"/>
            <w:vAlign w:val="bottom"/>
          </w:tcPr>
          <w:p w14:paraId="71D459B3" w14:textId="77777777" w:rsidR="006A3667" w:rsidRDefault="006A3667">
            <w:pPr>
              <w:rPr>
                <w:rFonts w:ascii="宋体"/>
                <w:vanish/>
              </w:rPr>
            </w:pPr>
          </w:p>
        </w:tc>
        <w:tc>
          <w:tcPr>
            <w:tcW w:w="0" w:type="auto"/>
            <w:gridSpan w:val="3"/>
            <w:shd w:val="clear" w:color="auto" w:fill="auto"/>
            <w:vAlign w:val="bottom"/>
          </w:tcPr>
          <w:p w14:paraId="71D459B4" w14:textId="77777777" w:rsidR="006A3667" w:rsidRDefault="006A3667">
            <w:pPr>
              <w:rPr>
                <w:rFonts w:ascii="宋体"/>
                <w:vanish/>
              </w:rPr>
            </w:pPr>
          </w:p>
        </w:tc>
        <w:tc>
          <w:tcPr>
            <w:tcW w:w="0" w:type="auto"/>
            <w:gridSpan w:val="3"/>
            <w:shd w:val="clear" w:color="auto" w:fill="auto"/>
            <w:vAlign w:val="bottom"/>
          </w:tcPr>
          <w:p w14:paraId="71D459B5" w14:textId="77777777" w:rsidR="006A3667" w:rsidRDefault="006A3667">
            <w:pPr>
              <w:rPr>
                <w:rFonts w:ascii="宋体"/>
                <w:vanish/>
              </w:rPr>
            </w:pPr>
          </w:p>
        </w:tc>
        <w:tc>
          <w:tcPr>
            <w:tcW w:w="0" w:type="auto"/>
            <w:gridSpan w:val="3"/>
            <w:shd w:val="clear" w:color="auto" w:fill="auto"/>
            <w:vAlign w:val="bottom"/>
          </w:tcPr>
          <w:p w14:paraId="71D459B6" w14:textId="77777777" w:rsidR="006A3667" w:rsidRDefault="006A3667">
            <w:pPr>
              <w:rPr>
                <w:rFonts w:ascii="宋体"/>
                <w:vanish/>
              </w:rPr>
            </w:pPr>
          </w:p>
        </w:tc>
        <w:tc>
          <w:tcPr>
            <w:tcW w:w="0" w:type="auto"/>
            <w:gridSpan w:val="3"/>
            <w:shd w:val="clear" w:color="auto" w:fill="auto"/>
            <w:vAlign w:val="bottom"/>
          </w:tcPr>
          <w:p w14:paraId="71D459B7" w14:textId="77777777" w:rsidR="006A3667" w:rsidRDefault="006A3667">
            <w:pPr>
              <w:rPr>
                <w:rFonts w:ascii="宋体"/>
                <w:vanish/>
              </w:rPr>
            </w:pPr>
          </w:p>
        </w:tc>
      </w:tr>
      <w:tr w:rsidR="006A3667" w14:paraId="71D459C5" w14:textId="77777777">
        <w:trPr>
          <w:hidden/>
        </w:trPr>
        <w:tc>
          <w:tcPr>
            <w:tcW w:w="0" w:type="auto"/>
            <w:gridSpan w:val="3"/>
            <w:shd w:val="clear" w:color="auto" w:fill="auto"/>
            <w:vAlign w:val="bottom"/>
          </w:tcPr>
          <w:p w14:paraId="71D459B9" w14:textId="77777777" w:rsidR="006A3667" w:rsidRDefault="006A3667">
            <w:pPr>
              <w:rPr>
                <w:rFonts w:ascii="宋体"/>
                <w:vanish/>
              </w:rPr>
            </w:pPr>
          </w:p>
        </w:tc>
        <w:tc>
          <w:tcPr>
            <w:tcW w:w="0" w:type="auto"/>
            <w:gridSpan w:val="3"/>
            <w:shd w:val="clear" w:color="auto" w:fill="auto"/>
            <w:vAlign w:val="bottom"/>
          </w:tcPr>
          <w:p w14:paraId="71D459BA" w14:textId="77777777" w:rsidR="006A3667" w:rsidRDefault="006A3667">
            <w:pPr>
              <w:rPr>
                <w:rFonts w:ascii="宋体"/>
                <w:vanish/>
              </w:rPr>
            </w:pPr>
          </w:p>
        </w:tc>
        <w:tc>
          <w:tcPr>
            <w:tcW w:w="0" w:type="auto"/>
            <w:gridSpan w:val="3"/>
            <w:shd w:val="clear" w:color="auto" w:fill="auto"/>
            <w:vAlign w:val="bottom"/>
          </w:tcPr>
          <w:p w14:paraId="71D459BB" w14:textId="77777777" w:rsidR="006A3667" w:rsidRDefault="006A3667">
            <w:pPr>
              <w:rPr>
                <w:rFonts w:ascii="宋体"/>
                <w:vanish/>
              </w:rPr>
            </w:pPr>
          </w:p>
        </w:tc>
        <w:tc>
          <w:tcPr>
            <w:tcW w:w="0" w:type="auto"/>
            <w:gridSpan w:val="3"/>
            <w:shd w:val="clear" w:color="auto" w:fill="auto"/>
            <w:vAlign w:val="bottom"/>
          </w:tcPr>
          <w:p w14:paraId="71D459BC" w14:textId="77777777" w:rsidR="006A3667" w:rsidRDefault="006A3667">
            <w:pPr>
              <w:rPr>
                <w:rFonts w:ascii="宋体"/>
                <w:vanish/>
              </w:rPr>
            </w:pPr>
          </w:p>
        </w:tc>
        <w:tc>
          <w:tcPr>
            <w:tcW w:w="0" w:type="auto"/>
            <w:gridSpan w:val="3"/>
            <w:shd w:val="clear" w:color="auto" w:fill="auto"/>
            <w:vAlign w:val="bottom"/>
          </w:tcPr>
          <w:p w14:paraId="71D459BD" w14:textId="77777777" w:rsidR="006A3667" w:rsidRDefault="006A3667">
            <w:pPr>
              <w:rPr>
                <w:rFonts w:ascii="宋体"/>
                <w:vanish/>
              </w:rPr>
            </w:pPr>
          </w:p>
        </w:tc>
        <w:tc>
          <w:tcPr>
            <w:tcW w:w="0" w:type="auto"/>
            <w:gridSpan w:val="3"/>
            <w:shd w:val="clear" w:color="auto" w:fill="auto"/>
            <w:vAlign w:val="bottom"/>
          </w:tcPr>
          <w:p w14:paraId="71D459BE" w14:textId="77777777" w:rsidR="006A3667" w:rsidRDefault="006A3667">
            <w:pPr>
              <w:rPr>
                <w:rFonts w:ascii="宋体"/>
                <w:vanish/>
              </w:rPr>
            </w:pPr>
          </w:p>
        </w:tc>
        <w:tc>
          <w:tcPr>
            <w:tcW w:w="0" w:type="auto"/>
            <w:gridSpan w:val="3"/>
            <w:shd w:val="clear" w:color="auto" w:fill="auto"/>
            <w:vAlign w:val="bottom"/>
          </w:tcPr>
          <w:p w14:paraId="71D459BF" w14:textId="77777777" w:rsidR="006A3667" w:rsidRDefault="006A3667">
            <w:pPr>
              <w:rPr>
                <w:rFonts w:ascii="宋体"/>
                <w:vanish/>
              </w:rPr>
            </w:pPr>
          </w:p>
        </w:tc>
        <w:tc>
          <w:tcPr>
            <w:tcW w:w="0" w:type="auto"/>
            <w:gridSpan w:val="3"/>
            <w:shd w:val="clear" w:color="auto" w:fill="auto"/>
            <w:vAlign w:val="bottom"/>
          </w:tcPr>
          <w:p w14:paraId="71D459C0" w14:textId="77777777" w:rsidR="006A3667" w:rsidRDefault="006A3667">
            <w:pPr>
              <w:rPr>
                <w:rFonts w:ascii="宋体"/>
                <w:vanish/>
              </w:rPr>
            </w:pPr>
          </w:p>
        </w:tc>
        <w:tc>
          <w:tcPr>
            <w:tcW w:w="0" w:type="auto"/>
            <w:gridSpan w:val="3"/>
            <w:shd w:val="clear" w:color="auto" w:fill="auto"/>
            <w:vAlign w:val="bottom"/>
          </w:tcPr>
          <w:p w14:paraId="71D459C1" w14:textId="77777777" w:rsidR="006A3667" w:rsidRDefault="006A3667">
            <w:pPr>
              <w:rPr>
                <w:rFonts w:ascii="宋体"/>
                <w:vanish/>
              </w:rPr>
            </w:pPr>
          </w:p>
        </w:tc>
        <w:tc>
          <w:tcPr>
            <w:tcW w:w="0" w:type="auto"/>
            <w:gridSpan w:val="3"/>
            <w:shd w:val="clear" w:color="auto" w:fill="auto"/>
            <w:vAlign w:val="bottom"/>
          </w:tcPr>
          <w:p w14:paraId="71D459C2" w14:textId="77777777" w:rsidR="006A3667" w:rsidRDefault="006A3667">
            <w:pPr>
              <w:rPr>
                <w:rFonts w:ascii="宋体"/>
                <w:vanish/>
              </w:rPr>
            </w:pPr>
          </w:p>
        </w:tc>
        <w:tc>
          <w:tcPr>
            <w:tcW w:w="0" w:type="auto"/>
            <w:gridSpan w:val="3"/>
            <w:shd w:val="clear" w:color="auto" w:fill="auto"/>
            <w:vAlign w:val="bottom"/>
          </w:tcPr>
          <w:p w14:paraId="71D459C3" w14:textId="77777777" w:rsidR="006A3667" w:rsidRDefault="006A3667">
            <w:pPr>
              <w:rPr>
                <w:rFonts w:ascii="宋体"/>
                <w:vanish/>
              </w:rPr>
            </w:pPr>
          </w:p>
        </w:tc>
        <w:tc>
          <w:tcPr>
            <w:tcW w:w="0" w:type="auto"/>
            <w:gridSpan w:val="3"/>
            <w:shd w:val="clear" w:color="auto" w:fill="auto"/>
            <w:vAlign w:val="bottom"/>
          </w:tcPr>
          <w:p w14:paraId="71D459C4" w14:textId="77777777" w:rsidR="006A3667" w:rsidRDefault="006A3667">
            <w:pPr>
              <w:rPr>
                <w:rFonts w:ascii="宋体"/>
                <w:vanish/>
              </w:rPr>
            </w:pPr>
          </w:p>
        </w:tc>
      </w:tr>
      <w:tr w:rsidR="006A3667" w14:paraId="71D459D2" w14:textId="77777777">
        <w:trPr>
          <w:hidden/>
        </w:trPr>
        <w:tc>
          <w:tcPr>
            <w:tcW w:w="0" w:type="auto"/>
            <w:gridSpan w:val="3"/>
            <w:shd w:val="clear" w:color="auto" w:fill="auto"/>
            <w:vAlign w:val="bottom"/>
          </w:tcPr>
          <w:p w14:paraId="71D459C6" w14:textId="77777777" w:rsidR="006A3667" w:rsidRDefault="006A3667">
            <w:pPr>
              <w:rPr>
                <w:rFonts w:ascii="宋体"/>
                <w:vanish/>
              </w:rPr>
            </w:pPr>
          </w:p>
        </w:tc>
        <w:tc>
          <w:tcPr>
            <w:tcW w:w="0" w:type="auto"/>
            <w:gridSpan w:val="3"/>
            <w:shd w:val="clear" w:color="auto" w:fill="auto"/>
            <w:vAlign w:val="bottom"/>
          </w:tcPr>
          <w:p w14:paraId="71D459C7" w14:textId="77777777" w:rsidR="006A3667" w:rsidRDefault="006A3667">
            <w:pPr>
              <w:rPr>
                <w:rFonts w:ascii="宋体"/>
                <w:vanish/>
              </w:rPr>
            </w:pPr>
          </w:p>
        </w:tc>
        <w:tc>
          <w:tcPr>
            <w:tcW w:w="0" w:type="auto"/>
            <w:gridSpan w:val="3"/>
            <w:shd w:val="clear" w:color="auto" w:fill="auto"/>
            <w:vAlign w:val="bottom"/>
          </w:tcPr>
          <w:p w14:paraId="71D459C8" w14:textId="77777777" w:rsidR="006A3667" w:rsidRDefault="006A3667">
            <w:pPr>
              <w:rPr>
                <w:rFonts w:ascii="宋体"/>
                <w:vanish/>
              </w:rPr>
            </w:pPr>
          </w:p>
        </w:tc>
        <w:tc>
          <w:tcPr>
            <w:tcW w:w="0" w:type="auto"/>
            <w:gridSpan w:val="3"/>
            <w:shd w:val="clear" w:color="auto" w:fill="auto"/>
            <w:vAlign w:val="bottom"/>
          </w:tcPr>
          <w:p w14:paraId="71D459C9" w14:textId="77777777" w:rsidR="006A3667" w:rsidRDefault="006A3667">
            <w:pPr>
              <w:rPr>
                <w:rFonts w:ascii="宋体"/>
                <w:vanish/>
              </w:rPr>
            </w:pPr>
          </w:p>
        </w:tc>
        <w:tc>
          <w:tcPr>
            <w:tcW w:w="0" w:type="auto"/>
            <w:gridSpan w:val="3"/>
            <w:shd w:val="clear" w:color="auto" w:fill="auto"/>
            <w:vAlign w:val="bottom"/>
          </w:tcPr>
          <w:p w14:paraId="71D459CA" w14:textId="77777777" w:rsidR="006A3667" w:rsidRDefault="006A3667">
            <w:pPr>
              <w:rPr>
                <w:rFonts w:ascii="宋体"/>
                <w:vanish/>
              </w:rPr>
            </w:pPr>
          </w:p>
        </w:tc>
        <w:tc>
          <w:tcPr>
            <w:tcW w:w="0" w:type="auto"/>
            <w:gridSpan w:val="3"/>
            <w:shd w:val="clear" w:color="auto" w:fill="auto"/>
            <w:vAlign w:val="bottom"/>
          </w:tcPr>
          <w:p w14:paraId="71D459CB" w14:textId="77777777" w:rsidR="006A3667" w:rsidRDefault="006A3667">
            <w:pPr>
              <w:rPr>
                <w:rFonts w:ascii="宋体"/>
                <w:vanish/>
              </w:rPr>
            </w:pPr>
          </w:p>
        </w:tc>
        <w:tc>
          <w:tcPr>
            <w:tcW w:w="0" w:type="auto"/>
            <w:gridSpan w:val="3"/>
            <w:shd w:val="clear" w:color="auto" w:fill="auto"/>
            <w:vAlign w:val="bottom"/>
          </w:tcPr>
          <w:p w14:paraId="71D459CC" w14:textId="77777777" w:rsidR="006A3667" w:rsidRDefault="006A3667">
            <w:pPr>
              <w:rPr>
                <w:rFonts w:ascii="宋体"/>
                <w:vanish/>
              </w:rPr>
            </w:pPr>
          </w:p>
        </w:tc>
        <w:tc>
          <w:tcPr>
            <w:tcW w:w="0" w:type="auto"/>
            <w:gridSpan w:val="3"/>
            <w:shd w:val="clear" w:color="auto" w:fill="auto"/>
            <w:vAlign w:val="bottom"/>
          </w:tcPr>
          <w:p w14:paraId="71D459CD" w14:textId="77777777" w:rsidR="006A3667" w:rsidRDefault="006A3667">
            <w:pPr>
              <w:rPr>
                <w:rFonts w:ascii="宋体"/>
                <w:vanish/>
              </w:rPr>
            </w:pPr>
          </w:p>
        </w:tc>
        <w:tc>
          <w:tcPr>
            <w:tcW w:w="0" w:type="auto"/>
            <w:gridSpan w:val="3"/>
            <w:shd w:val="clear" w:color="auto" w:fill="auto"/>
            <w:vAlign w:val="bottom"/>
          </w:tcPr>
          <w:p w14:paraId="71D459CE" w14:textId="77777777" w:rsidR="006A3667" w:rsidRDefault="006A3667">
            <w:pPr>
              <w:rPr>
                <w:rFonts w:ascii="宋体"/>
                <w:vanish/>
              </w:rPr>
            </w:pPr>
          </w:p>
        </w:tc>
        <w:tc>
          <w:tcPr>
            <w:tcW w:w="0" w:type="auto"/>
            <w:gridSpan w:val="3"/>
            <w:shd w:val="clear" w:color="auto" w:fill="auto"/>
            <w:vAlign w:val="bottom"/>
          </w:tcPr>
          <w:p w14:paraId="71D459CF" w14:textId="77777777" w:rsidR="006A3667" w:rsidRDefault="006A3667">
            <w:pPr>
              <w:rPr>
                <w:rFonts w:ascii="宋体"/>
                <w:vanish/>
              </w:rPr>
            </w:pPr>
          </w:p>
        </w:tc>
        <w:tc>
          <w:tcPr>
            <w:tcW w:w="0" w:type="auto"/>
            <w:gridSpan w:val="3"/>
            <w:shd w:val="clear" w:color="auto" w:fill="auto"/>
            <w:vAlign w:val="bottom"/>
          </w:tcPr>
          <w:p w14:paraId="71D459D0" w14:textId="77777777" w:rsidR="006A3667" w:rsidRDefault="006A3667">
            <w:pPr>
              <w:rPr>
                <w:rFonts w:ascii="宋体"/>
                <w:vanish/>
              </w:rPr>
            </w:pPr>
          </w:p>
        </w:tc>
        <w:tc>
          <w:tcPr>
            <w:tcW w:w="0" w:type="auto"/>
            <w:gridSpan w:val="3"/>
            <w:shd w:val="clear" w:color="auto" w:fill="auto"/>
            <w:vAlign w:val="bottom"/>
          </w:tcPr>
          <w:p w14:paraId="71D459D1" w14:textId="77777777" w:rsidR="006A3667" w:rsidRDefault="006A3667">
            <w:pPr>
              <w:rPr>
                <w:rFonts w:ascii="宋体"/>
                <w:vanish/>
              </w:rPr>
            </w:pPr>
          </w:p>
        </w:tc>
      </w:tr>
      <w:tr w:rsidR="006A3667" w14:paraId="71D459DF" w14:textId="77777777">
        <w:trPr>
          <w:hidden/>
        </w:trPr>
        <w:tc>
          <w:tcPr>
            <w:tcW w:w="0" w:type="auto"/>
            <w:gridSpan w:val="3"/>
            <w:shd w:val="clear" w:color="auto" w:fill="auto"/>
            <w:vAlign w:val="bottom"/>
          </w:tcPr>
          <w:p w14:paraId="71D459D3" w14:textId="77777777" w:rsidR="006A3667" w:rsidRDefault="006A3667">
            <w:pPr>
              <w:rPr>
                <w:rFonts w:ascii="宋体"/>
                <w:vanish/>
              </w:rPr>
            </w:pPr>
          </w:p>
        </w:tc>
        <w:tc>
          <w:tcPr>
            <w:tcW w:w="0" w:type="auto"/>
            <w:gridSpan w:val="3"/>
            <w:shd w:val="clear" w:color="auto" w:fill="auto"/>
            <w:vAlign w:val="bottom"/>
          </w:tcPr>
          <w:p w14:paraId="71D459D4" w14:textId="77777777" w:rsidR="006A3667" w:rsidRDefault="006A3667">
            <w:pPr>
              <w:rPr>
                <w:rFonts w:ascii="宋体"/>
                <w:vanish/>
              </w:rPr>
            </w:pPr>
          </w:p>
        </w:tc>
        <w:tc>
          <w:tcPr>
            <w:tcW w:w="0" w:type="auto"/>
            <w:gridSpan w:val="3"/>
            <w:shd w:val="clear" w:color="auto" w:fill="auto"/>
            <w:vAlign w:val="bottom"/>
          </w:tcPr>
          <w:p w14:paraId="71D459D5" w14:textId="77777777" w:rsidR="006A3667" w:rsidRDefault="006A3667">
            <w:pPr>
              <w:rPr>
                <w:rFonts w:ascii="宋体"/>
                <w:vanish/>
              </w:rPr>
            </w:pPr>
          </w:p>
        </w:tc>
        <w:tc>
          <w:tcPr>
            <w:tcW w:w="0" w:type="auto"/>
            <w:gridSpan w:val="3"/>
            <w:shd w:val="clear" w:color="auto" w:fill="auto"/>
            <w:vAlign w:val="bottom"/>
          </w:tcPr>
          <w:p w14:paraId="71D459D6" w14:textId="77777777" w:rsidR="006A3667" w:rsidRDefault="006A3667">
            <w:pPr>
              <w:rPr>
                <w:rFonts w:ascii="宋体"/>
                <w:vanish/>
              </w:rPr>
            </w:pPr>
          </w:p>
        </w:tc>
        <w:tc>
          <w:tcPr>
            <w:tcW w:w="0" w:type="auto"/>
            <w:gridSpan w:val="3"/>
            <w:shd w:val="clear" w:color="auto" w:fill="auto"/>
            <w:vAlign w:val="bottom"/>
          </w:tcPr>
          <w:p w14:paraId="71D459D7" w14:textId="77777777" w:rsidR="006A3667" w:rsidRDefault="006A3667">
            <w:pPr>
              <w:rPr>
                <w:rFonts w:ascii="宋体"/>
                <w:vanish/>
              </w:rPr>
            </w:pPr>
          </w:p>
        </w:tc>
        <w:tc>
          <w:tcPr>
            <w:tcW w:w="0" w:type="auto"/>
            <w:gridSpan w:val="3"/>
            <w:shd w:val="clear" w:color="auto" w:fill="auto"/>
            <w:vAlign w:val="bottom"/>
          </w:tcPr>
          <w:p w14:paraId="71D459D8" w14:textId="77777777" w:rsidR="006A3667" w:rsidRDefault="006A3667">
            <w:pPr>
              <w:rPr>
                <w:rFonts w:ascii="宋体"/>
                <w:vanish/>
              </w:rPr>
            </w:pPr>
          </w:p>
        </w:tc>
        <w:tc>
          <w:tcPr>
            <w:tcW w:w="0" w:type="auto"/>
            <w:gridSpan w:val="3"/>
            <w:shd w:val="clear" w:color="auto" w:fill="auto"/>
            <w:vAlign w:val="bottom"/>
          </w:tcPr>
          <w:p w14:paraId="71D459D9" w14:textId="77777777" w:rsidR="006A3667" w:rsidRDefault="006A3667">
            <w:pPr>
              <w:rPr>
                <w:rFonts w:ascii="宋体"/>
                <w:vanish/>
              </w:rPr>
            </w:pPr>
          </w:p>
        </w:tc>
        <w:tc>
          <w:tcPr>
            <w:tcW w:w="0" w:type="auto"/>
            <w:gridSpan w:val="3"/>
            <w:shd w:val="clear" w:color="auto" w:fill="auto"/>
            <w:vAlign w:val="bottom"/>
          </w:tcPr>
          <w:p w14:paraId="71D459DA" w14:textId="77777777" w:rsidR="006A3667" w:rsidRDefault="006A3667">
            <w:pPr>
              <w:rPr>
                <w:rFonts w:ascii="宋体"/>
                <w:vanish/>
              </w:rPr>
            </w:pPr>
          </w:p>
        </w:tc>
        <w:tc>
          <w:tcPr>
            <w:tcW w:w="0" w:type="auto"/>
            <w:gridSpan w:val="3"/>
            <w:shd w:val="clear" w:color="auto" w:fill="auto"/>
            <w:vAlign w:val="bottom"/>
          </w:tcPr>
          <w:p w14:paraId="71D459DB" w14:textId="77777777" w:rsidR="006A3667" w:rsidRDefault="006A3667">
            <w:pPr>
              <w:rPr>
                <w:rFonts w:ascii="宋体"/>
                <w:vanish/>
              </w:rPr>
            </w:pPr>
          </w:p>
        </w:tc>
        <w:tc>
          <w:tcPr>
            <w:tcW w:w="0" w:type="auto"/>
            <w:gridSpan w:val="3"/>
            <w:shd w:val="clear" w:color="auto" w:fill="auto"/>
            <w:vAlign w:val="bottom"/>
          </w:tcPr>
          <w:p w14:paraId="71D459DC" w14:textId="77777777" w:rsidR="006A3667" w:rsidRDefault="006A3667">
            <w:pPr>
              <w:rPr>
                <w:rFonts w:ascii="宋体"/>
                <w:vanish/>
              </w:rPr>
            </w:pPr>
          </w:p>
        </w:tc>
        <w:tc>
          <w:tcPr>
            <w:tcW w:w="0" w:type="auto"/>
            <w:gridSpan w:val="3"/>
            <w:shd w:val="clear" w:color="auto" w:fill="auto"/>
            <w:vAlign w:val="bottom"/>
          </w:tcPr>
          <w:p w14:paraId="71D459DD" w14:textId="77777777" w:rsidR="006A3667" w:rsidRDefault="006A3667">
            <w:pPr>
              <w:rPr>
                <w:rFonts w:ascii="宋体"/>
                <w:vanish/>
              </w:rPr>
            </w:pPr>
          </w:p>
        </w:tc>
        <w:tc>
          <w:tcPr>
            <w:tcW w:w="0" w:type="auto"/>
            <w:gridSpan w:val="3"/>
            <w:shd w:val="clear" w:color="auto" w:fill="auto"/>
            <w:vAlign w:val="bottom"/>
          </w:tcPr>
          <w:p w14:paraId="71D459DE" w14:textId="77777777" w:rsidR="006A3667" w:rsidRDefault="006A3667">
            <w:pPr>
              <w:rPr>
                <w:rFonts w:ascii="宋体"/>
                <w:vanish/>
              </w:rPr>
            </w:pPr>
          </w:p>
        </w:tc>
      </w:tr>
      <w:tr w:rsidR="006A3667" w14:paraId="71D459EC" w14:textId="77777777">
        <w:trPr>
          <w:hidden/>
        </w:trPr>
        <w:tc>
          <w:tcPr>
            <w:tcW w:w="0" w:type="auto"/>
            <w:gridSpan w:val="3"/>
            <w:shd w:val="clear" w:color="auto" w:fill="auto"/>
            <w:vAlign w:val="bottom"/>
          </w:tcPr>
          <w:p w14:paraId="71D459E0" w14:textId="77777777" w:rsidR="006A3667" w:rsidRDefault="006A3667">
            <w:pPr>
              <w:rPr>
                <w:rFonts w:ascii="宋体"/>
                <w:vanish/>
              </w:rPr>
            </w:pPr>
          </w:p>
        </w:tc>
        <w:tc>
          <w:tcPr>
            <w:tcW w:w="0" w:type="auto"/>
            <w:gridSpan w:val="3"/>
            <w:shd w:val="clear" w:color="auto" w:fill="auto"/>
            <w:vAlign w:val="bottom"/>
          </w:tcPr>
          <w:p w14:paraId="71D459E1" w14:textId="77777777" w:rsidR="006A3667" w:rsidRDefault="006A3667">
            <w:pPr>
              <w:rPr>
                <w:rFonts w:ascii="宋体"/>
                <w:vanish/>
              </w:rPr>
            </w:pPr>
          </w:p>
        </w:tc>
        <w:tc>
          <w:tcPr>
            <w:tcW w:w="0" w:type="auto"/>
            <w:gridSpan w:val="3"/>
            <w:shd w:val="clear" w:color="auto" w:fill="auto"/>
            <w:vAlign w:val="bottom"/>
          </w:tcPr>
          <w:p w14:paraId="71D459E2" w14:textId="77777777" w:rsidR="006A3667" w:rsidRDefault="006A3667">
            <w:pPr>
              <w:rPr>
                <w:rFonts w:ascii="宋体"/>
                <w:vanish/>
              </w:rPr>
            </w:pPr>
          </w:p>
        </w:tc>
        <w:tc>
          <w:tcPr>
            <w:tcW w:w="0" w:type="auto"/>
            <w:gridSpan w:val="3"/>
            <w:shd w:val="clear" w:color="auto" w:fill="auto"/>
            <w:vAlign w:val="bottom"/>
          </w:tcPr>
          <w:p w14:paraId="71D459E3" w14:textId="77777777" w:rsidR="006A3667" w:rsidRDefault="006A3667">
            <w:pPr>
              <w:rPr>
                <w:rFonts w:ascii="宋体"/>
                <w:vanish/>
              </w:rPr>
            </w:pPr>
          </w:p>
        </w:tc>
        <w:tc>
          <w:tcPr>
            <w:tcW w:w="0" w:type="auto"/>
            <w:gridSpan w:val="3"/>
            <w:shd w:val="clear" w:color="auto" w:fill="auto"/>
            <w:vAlign w:val="bottom"/>
          </w:tcPr>
          <w:p w14:paraId="71D459E4" w14:textId="77777777" w:rsidR="006A3667" w:rsidRDefault="006A3667">
            <w:pPr>
              <w:rPr>
                <w:rFonts w:ascii="宋体"/>
                <w:vanish/>
              </w:rPr>
            </w:pPr>
          </w:p>
        </w:tc>
        <w:tc>
          <w:tcPr>
            <w:tcW w:w="0" w:type="auto"/>
            <w:gridSpan w:val="3"/>
            <w:shd w:val="clear" w:color="auto" w:fill="auto"/>
            <w:vAlign w:val="bottom"/>
          </w:tcPr>
          <w:p w14:paraId="71D459E5" w14:textId="77777777" w:rsidR="006A3667" w:rsidRDefault="006A3667">
            <w:pPr>
              <w:rPr>
                <w:rFonts w:ascii="宋体"/>
                <w:vanish/>
              </w:rPr>
            </w:pPr>
          </w:p>
        </w:tc>
        <w:tc>
          <w:tcPr>
            <w:tcW w:w="0" w:type="auto"/>
            <w:gridSpan w:val="3"/>
            <w:shd w:val="clear" w:color="auto" w:fill="auto"/>
            <w:vAlign w:val="bottom"/>
          </w:tcPr>
          <w:p w14:paraId="71D459E6" w14:textId="77777777" w:rsidR="006A3667" w:rsidRDefault="006A3667">
            <w:pPr>
              <w:rPr>
                <w:rFonts w:ascii="宋体"/>
                <w:vanish/>
              </w:rPr>
            </w:pPr>
          </w:p>
        </w:tc>
        <w:tc>
          <w:tcPr>
            <w:tcW w:w="0" w:type="auto"/>
            <w:gridSpan w:val="3"/>
            <w:shd w:val="clear" w:color="auto" w:fill="auto"/>
            <w:vAlign w:val="bottom"/>
          </w:tcPr>
          <w:p w14:paraId="71D459E7" w14:textId="77777777" w:rsidR="006A3667" w:rsidRDefault="006A3667">
            <w:pPr>
              <w:rPr>
                <w:rFonts w:ascii="宋体"/>
                <w:vanish/>
              </w:rPr>
            </w:pPr>
          </w:p>
        </w:tc>
        <w:tc>
          <w:tcPr>
            <w:tcW w:w="0" w:type="auto"/>
            <w:gridSpan w:val="3"/>
            <w:shd w:val="clear" w:color="auto" w:fill="auto"/>
            <w:vAlign w:val="bottom"/>
          </w:tcPr>
          <w:p w14:paraId="71D459E8" w14:textId="77777777" w:rsidR="006A3667" w:rsidRDefault="006A3667">
            <w:pPr>
              <w:rPr>
                <w:rFonts w:ascii="宋体"/>
                <w:vanish/>
              </w:rPr>
            </w:pPr>
          </w:p>
        </w:tc>
        <w:tc>
          <w:tcPr>
            <w:tcW w:w="0" w:type="auto"/>
            <w:gridSpan w:val="3"/>
            <w:shd w:val="clear" w:color="auto" w:fill="auto"/>
            <w:vAlign w:val="bottom"/>
          </w:tcPr>
          <w:p w14:paraId="71D459E9" w14:textId="77777777" w:rsidR="006A3667" w:rsidRDefault="006A3667">
            <w:pPr>
              <w:rPr>
                <w:rFonts w:ascii="宋体"/>
                <w:vanish/>
              </w:rPr>
            </w:pPr>
          </w:p>
        </w:tc>
        <w:tc>
          <w:tcPr>
            <w:tcW w:w="0" w:type="auto"/>
            <w:gridSpan w:val="3"/>
            <w:shd w:val="clear" w:color="auto" w:fill="auto"/>
            <w:vAlign w:val="bottom"/>
          </w:tcPr>
          <w:p w14:paraId="71D459EA" w14:textId="77777777" w:rsidR="006A3667" w:rsidRDefault="006A3667">
            <w:pPr>
              <w:rPr>
                <w:rFonts w:ascii="宋体"/>
                <w:vanish/>
              </w:rPr>
            </w:pPr>
          </w:p>
        </w:tc>
        <w:tc>
          <w:tcPr>
            <w:tcW w:w="0" w:type="auto"/>
            <w:gridSpan w:val="3"/>
            <w:shd w:val="clear" w:color="auto" w:fill="auto"/>
            <w:vAlign w:val="bottom"/>
          </w:tcPr>
          <w:p w14:paraId="71D459EB" w14:textId="77777777" w:rsidR="006A3667" w:rsidRDefault="006A3667">
            <w:pPr>
              <w:rPr>
                <w:rFonts w:ascii="宋体"/>
                <w:vanish/>
              </w:rPr>
            </w:pPr>
          </w:p>
        </w:tc>
      </w:tr>
    </w:tbl>
    <w:p w14:paraId="71D459ED" w14:textId="77777777" w:rsidR="006A3667" w:rsidRDefault="00045F32">
      <w:pPr>
        <w:ind w:firstLine="450"/>
        <w:jc w:val="right"/>
      </w:pPr>
      <w:r>
        <w:rPr>
          <w:rFonts w:ascii="Arial" w:eastAsia="宋体" w:hAnsi="Arial" w:cs="Arial"/>
          <w:color w:val="000000"/>
          <w:sz w:val="18"/>
          <w:szCs w:val="18"/>
        </w:rPr>
        <w:t>State Street Corporation | 68</w:t>
      </w:r>
    </w:p>
    <w:p w14:paraId="71D459EE" w14:textId="77777777" w:rsidR="006A3667" w:rsidRDefault="006A3667">
      <w:pPr>
        <w:ind w:firstLine="450"/>
        <w:jc w:val="center"/>
      </w:pPr>
    </w:p>
    <w:p w14:paraId="71D459EF" w14:textId="77777777" w:rsidR="006A3667" w:rsidRDefault="00045F32">
      <w:r>
        <w:pict w14:anchorId="71D4AC58">
          <v:rect id="_x0000_i1092" style="width:415.3pt;height:1.5pt" o:hralign="center" o:hrstd="t" o:hr="t" fillcolor="#a0a0a0" stroked="f"/>
        </w:pict>
      </w:r>
    </w:p>
    <w:p w14:paraId="71D459F0" w14:textId="77777777" w:rsidR="006A3667" w:rsidRDefault="00045F32">
      <w:pPr>
        <w:ind w:firstLine="450"/>
        <w:jc w:val="center"/>
      </w:pPr>
      <w:r>
        <w:rPr>
          <w:rFonts w:ascii="Arial" w:eastAsia="宋体" w:hAnsi="Arial" w:cs="Arial"/>
          <w:b/>
          <w:bCs/>
          <w:color w:val="000000"/>
          <w:sz w:val="20"/>
          <w:szCs w:val="20"/>
        </w:rPr>
        <w:t>STATE STREET CORPORATION</w:t>
      </w:r>
    </w:p>
    <w:p w14:paraId="71D459F1"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59F2" w14:textId="77777777" w:rsidR="006A3667" w:rsidRDefault="00045F32">
      <w:pPr>
        <w:ind w:firstLine="450"/>
        <w:jc w:val="center"/>
      </w:pPr>
      <w:r>
        <w:rPr>
          <w:rFonts w:ascii="Arial" w:eastAsia="宋体" w:hAnsi="Arial" w:cs="Arial"/>
          <w:b/>
          <w:bCs/>
          <w:color w:val="000000"/>
          <w:sz w:val="20"/>
          <w:szCs w:val="20"/>
        </w:rPr>
        <w:t>(UNAUDITED)</w:t>
      </w:r>
    </w:p>
    <w:p w14:paraId="71D459F3" w14:textId="77777777" w:rsidR="006A3667" w:rsidRDefault="00045F32">
      <w:pPr>
        <w:ind w:firstLine="450"/>
        <w:jc w:val="both"/>
      </w:pPr>
      <w:r>
        <w:rPr>
          <w:rFonts w:ascii="Arial" w:eastAsia="宋体" w:hAnsi="Arial" w:cs="Arial"/>
          <w:color w:val="000000"/>
          <w:sz w:val="20"/>
          <w:szCs w:val="20"/>
        </w:rPr>
        <w:t xml:space="preserve">The following table presents the amortized cost and the fair value of </w:t>
      </w:r>
      <w:r>
        <w:rPr>
          <w:rFonts w:ascii="Arial" w:eastAsia="宋体" w:hAnsi="Arial" w:cs="Arial"/>
          <w:color w:val="000000"/>
          <w:sz w:val="20"/>
          <w:szCs w:val="20"/>
        </w:rPr>
        <w:t xml:space="preserve">contractual maturities of debt investment securities as of September 30, 2022. The maturities of certain ABS, MBS and collateralized mortgage obligations are based on expected principal payments. Actual maturities may differ from these expected maturities </w:t>
      </w:r>
      <w:r>
        <w:rPr>
          <w:rFonts w:ascii="Arial" w:eastAsia="宋体" w:hAnsi="Arial" w:cs="Arial"/>
          <w:color w:val="000000"/>
          <w:sz w:val="20"/>
          <w:szCs w:val="20"/>
        </w:rPr>
        <w:t>since certain borrowers have the right to prepay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87"/>
        <w:gridCol w:w="1151"/>
        <w:gridCol w:w="36"/>
        <w:gridCol w:w="91"/>
        <w:gridCol w:w="558"/>
        <w:gridCol w:w="35"/>
        <w:gridCol w:w="36"/>
        <w:gridCol w:w="35"/>
        <w:gridCol w:w="35"/>
        <w:gridCol w:w="91"/>
        <w:gridCol w:w="34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tblGrid>
      <w:tr w:rsidR="006A3667" w14:paraId="71D45A30" w14:textId="77777777">
        <w:tc>
          <w:tcPr>
            <w:tcW w:w="50" w:type="pct"/>
            <w:shd w:val="clear" w:color="auto" w:fill="auto"/>
            <w:vAlign w:val="bottom"/>
          </w:tcPr>
          <w:p w14:paraId="71D459F4" w14:textId="77777777" w:rsidR="006A3667" w:rsidRDefault="006A3667">
            <w:pPr>
              <w:rPr>
                <w:rFonts w:ascii="宋体"/>
              </w:rPr>
            </w:pPr>
          </w:p>
        </w:tc>
        <w:tc>
          <w:tcPr>
            <w:tcW w:w="814" w:type="pct"/>
            <w:shd w:val="clear" w:color="auto" w:fill="auto"/>
            <w:vAlign w:val="bottom"/>
          </w:tcPr>
          <w:p w14:paraId="71D459F5" w14:textId="77777777" w:rsidR="006A3667" w:rsidRDefault="006A3667">
            <w:pPr>
              <w:rPr>
                <w:rFonts w:ascii="宋体"/>
              </w:rPr>
            </w:pPr>
          </w:p>
        </w:tc>
        <w:tc>
          <w:tcPr>
            <w:tcW w:w="5" w:type="pct"/>
            <w:shd w:val="clear" w:color="auto" w:fill="auto"/>
            <w:vAlign w:val="bottom"/>
          </w:tcPr>
          <w:p w14:paraId="71D459F6" w14:textId="77777777" w:rsidR="006A3667" w:rsidRDefault="006A3667">
            <w:pPr>
              <w:rPr>
                <w:rFonts w:ascii="宋体"/>
              </w:rPr>
            </w:pPr>
          </w:p>
        </w:tc>
        <w:tc>
          <w:tcPr>
            <w:tcW w:w="50" w:type="pct"/>
            <w:shd w:val="clear" w:color="auto" w:fill="auto"/>
            <w:vAlign w:val="bottom"/>
          </w:tcPr>
          <w:p w14:paraId="71D459F7" w14:textId="77777777" w:rsidR="006A3667" w:rsidRDefault="006A3667">
            <w:pPr>
              <w:rPr>
                <w:rFonts w:ascii="宋体"/>
              </w:rPr>
            </w:pPr>
          </w:p>
        </w:tc>
        <w:tc>
          <w:tcPr>
            <w:tcW w:w="332" w:type="pct"/>
            <w:shd w:val="clear" w:color="auto" w:fill="auto"/>
            <w:vAlign w:val="bottom"/>
          </w:tcPr>
          <w:p w14:paraId="71D459F8" w14:textId="77777777" w:rsidR="006A3667" w:rsidRDefault="006A3667">
            <w:pPr>
              <w:rPr>
                <w:rFonts w:ascii="宋体"/>
              </w:rPr>
            </w:pPr>
          </w:p>
        </w:tc>
        <w:tc>
          <w:tcPr>
            <w:tcW w:w="5" w:type="pct"/>
            <w:shd w:val="clear" w:color="auto" w:fill="auto"/>
            <w:vAlign w:val="bottom"/>
          </w:tcPr>
          <w:p w14:paraId="71D459F9" w14:textId="77777777" w:rsidR="006A3667" w:rsidRDefault="006A3667">
            <w:pPr>
              <w:rPr>
                <w:rFonts w:ascii="宋体"/>
              </w:rPr>
            </w:pPr>
          </w:p>
        </w:tc>
        <w:tc>
          <w:tcPr>
            <w:tcW w:w="5" w:type="pct"/>
            <w:shd w:val="clear" w:color="auto" w:fill="auto"/>
            <w:vAlign w:val="bottom"/>
          </w:tcPr>
          <w:p w14:paraId="71D459FA" w14:textId="77777777" w:rsidR="006A3667" w:rsidRDefault="006A3667">
            <w:pPr>
              <w:rPr>
                <w:rFonts w:ascii="宋体"/>
              </w:rPr>
            </w:pPr>
          </w:p>
        </w:tc>
        <w:tc>
          <w:tcPr>
            <w:tcW w:w="26" w:type="pct"/>
            <w:shd w:val="clear" w:color="auto" w:fill="auto"/>
            <w:vAlign w:val="bottom"/>
          </w:tcPr>
          <w:p w14:paraId="71D459FB" w14:textId="77777777" w:rsidR="006A3667" w:rsidRDefault="006A3667">
            <w:pPr>
              <w:rPr>
                <w:rFonts w:ascii="宋体"/>
              </w:rPr>
            </w:pPr>
          </w:p>
        </w:tc>
        <w:tc>
          <w:tcPr>
            <w:tcW w:w="5" w:type="pct"/>
            <w:shd w:val="clear" w:color="auto" w:fill="auto"/>
            <w:vAlign w:val="bottom"/>
          </w:tcPr>
          <w:p w14:paraId="71D459FC" w14:textId="77777777" w:rsidR="006A3667" w:rsidRDefault="006A3667">
            <w:pPr>
              <w:rPr>
                <w:rFonts w:ascii="宋体"/>
              </w:rPr>
            </w:pPr>
          </w:p>
        </w:tc>
        <w:tc>
          <w:tcPr>
            <w:tcW w:w="50" w:type="pct"/>
            <w:shd w:val="clear" w:color="auto" w:fill="auto"/>
            <w:vAlign w:val="bottom"/>
          </w:tcPr>
          <w:p w14:paraId="71D459FD" w14:textId="77777777" w:rsidR="006A3667" w:rsidRDefault="006A3667">
            <w:pPr>
              <w:rPr>
                <w:rFonts w:ascii="宋体"/>
              </w:rPr>
            </w:pPr>
          </w:p>
        </w:tc>
        <w:tc>
          <w:tcPr>
            <w:tcW w:w="317" w:type="pct"/>
            <w:shd w:val="clear" w:color="auto" w:fill="auto"/>
            <w:vAlign w:val="bottom"/>
          </w:tcPr>
          <w:p w14:paraId="71D459FE" w14:textId="77777777" w:rsidR="006A3667" w:rsidRDefault="006A3667">
            <w:pPr>
              <w:rPr>
                <w:rFonts w:ascii="宋体"/>
              </w:rPr>
            </w:pPr>
          </w:p>
        </w:tc>
        <w:tc>
          <w:tcPr>
            <w:tcW w:w="5" w:type="pct"/>
            <w:shd w:val="clear" w:color="auto" w:fill="auto"/>
            <w:vAlign w:val="bottom"/>
          </w:tcPr>
          <w:p w14:paraId="71D459FF" w14:textId="77777777" w:rsidR="006A3667" w:rsidRDefault="006A3667">
            <w:pPr>
              <w:rPr>
                <w:rFonts w:ascii="宋体"/>
              </w:rPr>
            </w:pPr>
          </w:p>
        </w:tc>
        <w:tc>
          <w:tcPr>
            <w:tcW w:w="5" w:type="pct"/>
            <w:shd w:val="clear" w:color="auto" w:fill="auto"/>
            <w:vAlign w:val="bottom"/>
          </w:tcPr>
          <w:p w14:paraId="71D45A00" w14:textId="77777777" w:rsidR="006A3667" w:rsidRDefault="006A3667">
            <w:pPr>
              <w:rPr>
                <w:rFonts w:ascii="宋体"/>
              </w:rPr>
            </w:pPr>
          </w:p>
        </w:tc>
        <w:tc>
          <w:tcPr>
            <w:tcW w:w="26" w:type="pct"/>
            <w:shd w:val="clear" w:color="auto" w:fill="auto"/>
            <w:vAlign w:val="bottom"/>
          </w:tcPr>
          <w:p w14:paraId="71D45A01" w14:textId="77777777" w:rsidR="006A3667" w:rsidRDefault="006A3667">
            <w:pPr>
              <w:rPr>
                <w:rFonts w:ascii="宋体"/>
              </w:rPr>
            </w:pPr>
          </w:p>
        </w:tc>
        <w:tc>
          <w:tcPr>
            <w:tcW w:w="5" w:type="pct"/>
            <w:shd w:val="clear" w:color="auto" w:fill="auto"/>
            <w:vAlign w:val="bottom"/>
          </w:tcPr>
          <w:p w14:paraId="71D45A02" w14:textId="77777777" w:rsidR="006A3667" w:rsidRDefault="006A3667">
            <w:pPr>
              <w:rPr>
                <w:rFonts w:ascii="宋体"/>
              </w:rPr>
            </w:pPr>
          </w:p>
        </w:tc>
        <w:tc>
          <w:tcPr>
            <w:tcW w:w="50" w:type="pct"/>
            <w:shd w:val="clear" w:color="auto" w:fill="auto"/>
            <w:vAlign w:val="bottom"/>
          </w:tcPr>
          <w:p w14:paraId="71D45A03" w14:textId="77777777" w:rsidR="006A3667" w:rsidRDefault="006A3667">
            <w:pPr>
              <w:rPr>
                <w:rFonts w:ascii="宋体"/>
              </w:rPr>
            </w:pPr>
          </w:p>
        </w:tc>
        <w:tc>
          <w:tcPr>
            <w:tcW w:w="332" w:type="pct"/>
            <w:shd w:val="clear" w:color="auto" w:fill="auto"/>
            <w:vAlign w:val="bottom"/>
          </w:tcPr>
          <w:p w14:paraId="71D45A04" w14:textId="77777777" w:rsidR="006A3667" w:rsidRDefault="006A3667">
            <w:pPr>
              <w:rPr>
                <w:rFonts w:ascii="宋体"/>
              </w:rPr>
            </w:pPr>
          </w:p>
        </w:tc>
        <w:tc>
          <w:tcPr>
            <w:tcW w:w="5" w:type="pct"/>
            <w:shd w:val="clear" w:color="auto" w:fill="auto"/>
            <w:vAlign w:val="bottom"/>
          </w:tcPr>
          <w:p w14:paraId="71D45A05" w14:textId="77777777" w:rsidR="006A3667" w:rsidRDefault="006A3667">
            <w:pPr>
              <w:rPr>
                <w:rFonts w:ascii="宋体"/>
              </w:rPr>
            </w:pPr>
          </w:p>
        </w:tc>
        <w:tc>
          <w:tcPr>
            <w:tcW w:w="5" w:type="pct"/>
            <w:shd w:val="clear" w:color="auto" w:fill="auto"/>
            <w:vAlign w:val="bottom"/>
          </w:tcPr>
          <w:p w14:paraId="71D45A06" w14:textId="77777777" w:rsidR="006A3667" w:rsidRDefault="006A3667">
            <w:pPr>
              <w:rPr>
                <w:rFonts w:ascii="宋体"/>
              </w:rPr>
            </w:pPr>
          </w:p>
        </w:tc>
        <w:tc>
          <w:tcPr>
            <w:tcW w:w="26" w:type="pct"/>
            <w:shd w:val="clear" w:color="auto" w:fill="auto"/>
            <w:vAlign w:val="bottom"/>
          </w:tcPr>
          <w:p w14:paraId="71D45A07" w14:textId="77777777" w:rsidR="006A3667" w:rsidRDefault="006A3667">
            <w:pPr>
              <w:rPr>
                <w:rFonts w:ascii="宋体"/>
              </w:rPr>
            </w:pPr>
          </w:p>
        </w:tc>
        <w:tc>
          <w:tcPr>
            <w:tcW w:w="5" w:type="pct"/>
            <w:shd w:val="clear" w:color="auto" w:fill="auto"/>
            <w:vAlign w:val="bottom"/>
          </w:tcPr>
          <w:p w14:paraId="71D45A08" w14:textId="77777777" w:rsidR="006A3667" w:rsidRDefault="006A3667">
            <w:pPr>
              <w:rPr>
                <w:rFonts w:ascii="宋体"/>
              </w:rPr>
            </w:pPr>
          </w:p>
        </w:tc>
        <w:tc>
          <w:tcPr>
            <w:tcW w:w="50" w:type="pct"/>
            <w:shd w:val="clear" w:color="auto" w:fill="auto"/>
            <w:vAlign w:val="bottom"/>
          </w:tcPr>
          <w:p w14:paraId="71D45A09" w14:textId="77777777" w:rsidR="006A3667" w:rsidRDefault="006A3667">
            <w:pPr>
              <w:rPr>
                <w:rFonts w:ascii="宋体"/>
              </w:rPr>
            </w:pPr>
          </w:p>
        </w:tc>
        <w:tc>
          <w:tcPr>
            <w:tcW w:w="317" w:type="pct"/>
            <w:shd w:val="clear" w:color="auto" w:fill="auto"/>
            <w:vAlign w:val="bottom"/>
          </w:tcPr>
          <w:p w14:paraId="71D45A0A" w14:textId="77777777" w:rsidR="006A3667" w:rsidRDefault="006A3667">
            <w:pPr>
              <w:rPr>
                <w:rFonts w:ascii="宋体"/>
              </w:rPr>
            </w:pPr>
          </w:p>
        </w:tc>
        <w:tc>
          <w:tcPr>
            <w:tcW w:w="5" w:type="pct"/>
            <w:shd w:val="clear" w:color="auto" w:fill="auto"/>
            <w:vAlign w:val="bottom"/>
          </w:tcPr>
          <w:p w14:paraId="71D45A0B" w14:textId="77777777" w:rsidR="006A3667" w:rsidRDefault="006A3667">
            <w:pPr>
              <w:rPr>
                <w:rFonts w:ascii="宋体"/>
              </w:rPr>
            </w:pPr>
          </w:p>
        </w:tc>
        <w:tc>
          <w:tcPr>
            <w:tcW w:w="5" w:type="pct"/>
            <w:shd w:val="clear" w:color="auto" w:fill="auto"/>
            <w:vAlign w:val="bottom"/>
          </w:tcPr>
          <w:p w14:paraId="71D45A0C" w14:textId="77777777" w:rsidR="006A3667" w:rsidRDefault="006A3667">
            <w:pPr>
              <w:rPr>
                <w:rFonts w:ascii="宋体"/>
              </w:rPr>
            </w:pPr>
          </w:p>
        </w:tc>
        <w:tc>
          <w:tcPr>
            <w:tcW w:w="26" w:type="pct"/>
            <w:shd w:val="clear" w:color="auto" w:fill="auto"/>
            <w:vAlign w:val="bottom"/>
          </w:tcPr>
          <w:p w14:paraId="71D45A0D" w14:textId="77777777" w:rsidR="006A3667" w:rsidRDefault="006A3667">
            <w:pPr>
              <w:rPr>
                <w:rFonts w:ascii="宋体"/>
              </w:rPr>
            </w:pPr>
          </w:p>
        </w:tc>
        <w:tc>
          <w:tcPr>
            <w:tcW w:w="5" w:type="pct"/>
            <w:shd w:val="clear" w:color="auto" w:fill="auto"/>
            <w:vAlign w:val="bottom"/>
          </w:tcPr>
          <w:p w14:paraId="71D45A0E" w14:textId="77777777" w:rsidR="006A3667" w:rsidRDefault="006A3667">
            <w:pPr>
              <w:rPr>
                <w:rFonts w:ascii="宋体"/>
              </w:rPr>
            </w:pPr>
          </w:p>
        </w:tc>
        <w:tc>
          <w:tcPr>
            <w:tcW w:w="50" w:type="pct"/>
            <w:shd w:val="clear" w:color="auto" w:fill="auto"/>
            <w:vAlign w:val="bottom"/>
          </w:tcPr>
          <w:p w14:paraId="71D45A0F" w14:textId="77777777" w:rsidR="006A3667" w:rsidRDefault="006A3667">
            <w:pPr>
              <w:rPr>
                <w:rFonts w:ascii="宋体"/>
              </w:rPr>
            </w:pPr>
          </w:p>
        </w:tc>
        <w:tc>
          <w:tcPr>
            <w:tcW w:w="332" w:type="pct"/>
            <w:shd w:val="clear" w:color="auto" w:fill="auto"/>
            <w:vAlign w:val="bottom"/>
          </w:tcPr>
          <w:p w14:paraId="71D45A10" w14:textId="77777777" w:rsidR="006A3667" w:rsidRDefault="006A3667">
            <w:pPr>
              <w:rPr>
                <w:rFonts w:ascii="宋体"/>
              </w:rPr>
            </w:pPr>
          </w:p>
        </w:tc>
        <w:tc>
          <w:tcPr>
            <w:tcW w:w="5" w:type="pct"/>
            <w:shd w:val="clear" w:color="auto" w:fill="auto"/>
            <w:vAlign w:val="bottom"/>
          </w:tcPr>
          <w:p w14:paraId="71D45A11" w14:textId="77777777" w:rsidR="006A3667" w:rsidRDefault="006A3667">
            <w:pPr>
              <w:rPr>
                <w:rFonts w:ascii="宋体"/>
              </w:rPr>
            </w:pPr>
          </w:p>
        </w:tc>
        <w:tc>
          <w:tcPr>
            <w:tcW w:w="5" w:type="pct"/>
            <w:shd w:val="clear" w:color="auto" w:fill="auto"/>
            <w:vAlign w:val="bottom"/>
          </w:tcPr>
          <w:p w14:paraId="71D45A12" w14:textId="77777777" w:rsidR="006A3667" w:rsidRDefault="006A3667">
            <w:pPr>
              <w:rPr>
                <w:rFonts w:ascii="宋体"/>
              </w:rPr>
            </w:pPr>
          </w:p>
        </w:tc>
        <w:tc>
          <w:tcPr>
            <w:tcW w:w="26" w:type="pct"/>
            <w:shd w:val="clear" w:color="auto" w:fill="auto"/>
            <w:vAlign w:val="bottom"/>
          </w:tcPr>
          <w:p w14:paraId="71D45A13" w14:textId="77777777" w:rsidR="006A3667" w:rsidRDefault="006A3667">
            <w:pPr>
              <w:rPr>
                <w:rFonts w:ascii="宋体"/>
              </w:rPr>
            </w:pPr>
          </w:p>
        </w:tc>
        <w:tc>
          <w:tcPr>
            <w:tcW w:w="5" w:type="pct"/>
            <w:shd w:val="clear" w:color="auto" w:fill="auto"/>
            <w:vAlign w:val="bottom"/>
          </w:tcPr>
          <w:p w14:paraId="71D45A14" w14:textId="77777777" w:rsidR="006A3667" w:rsidRDefault="006A3667">
            <w:pPr>
              <w:rPr>
                <w:rFonts w:ascii="宋体"/>
              </w:rPr>
            </w:pPr>
          </w:p>
        </w:tc>
        <w:tc>
          <w:tcPr>
            <w:tcW w:w="50" w:type="pct"/>
            <w:shd w:val="clear" w:color="auto" w:fill="auto"/>
            <w:vAlign w:val="bottom"/>
          </w:tcPr>
          <w:p w14:paraId="71D45A15" w14:textId="77777777" w:rsidR="006A3667" w:rsidRDefault="006A3667">
            <w:pPr>
              <w:rPr>
                <w:rFonts w:ascii="宋体"/>
              </w:rPr>
            </w:pPr>
          </w:p>
        </w:tc>
        <w:tc>
          <w:tcPr>
            <w:tcW w:w="317" w:type="pct"/>
            <w:shd w:val="clear" w:color="auto" w:fill="auto"/>
            <w:vAlign w:val="bottom"/>
          </w:tcPr>
          <w:p w14:paraId="71D45A16" w14:textId="77777777" w:rsidR="006A3667" w:rsidRDefault="006A3667">
            <w:pPr>
              <w:rPr>
                <w:rFonts w:ascii="宋体"/>
              </w:rPr>
            </w:pPr>
          </w:p>
        </w:tc>
        <w:tc>
          <w:tcPr>
            <w:tcW w:w="5" w:type="pct"/>
            <w:shd w:val="clear" w:color="auto" w:fill="auto"/>
            <w:vAlign w:val="bottom"/>
          </w:tcPr>
          <w:p w14:paraId="71D45A17" w14:textId="77777777" w:rsidR="006A3667" w:rsidRDefault="006A3667">
            <w:pPr>
              <w:rPr>
                <w:rFonts w:ascii="宋体"/>
              </w:rPr>
            </w:pPr>
          </w:p>
        </w:tc>
        <w:tc>
          <w:tcPr>
            <w:tcW w:w="5" w:type="pct"/>
            <w:shd w:val="clear" w:color="auto" w:fill="auto"/>
            <w:vAlign w:val="bottom"/>
          </w:tcPr>
          <w:p w14:paraId="71D45A18" w14:textId="77777777" w:rsidR="006A3667" w:rsidRDefault="006A3667">
            <w:pPr>
              <w:rPr>
                <w:rFonts w:ascii="宋体"/>
              </w:rPr>
            </w:pPr>
          </w:p>
        </w:tc>
        <w:tc>
          <w:tcPr>
            <w:tcW w:w="26" w:type="pct"/>
            <w:shd w:val="clear" w:color="auto" w:fill="auto"/>
            <w:vAlign w:val="bottom"/>
          </w:tcPr>
          <w:p w14:paraId="71D45A19" w14:textId="77777777" w:rsidR="006A3667" w:rsidRDefault="006A3667">
            <w:pPr>
              <w:rPr>
                <w:rFonts w:ascii="宋体"/>
              </w:rPr>
            </w:pPr>
          </w:p>
        </w:tc>
        <w:tc>
          <w:tcPr>
            <w:tcW w:w="5" w:type="pct"/>
            <w:shd w:val="clear" w:color="auto" w:fill="auto"/>
            <w:vAlign w:val="bottom"/>
          </w:tcPr>
          <w:p w14:paraId="71D45A1A" w14:textId="77777777" w:rsidR="006A3667" w:rsidRDefault="006A3667">
            <w:pPr>
              <w:rPr>
                <w:rFonts w:ascii="宋体"/>
              </w:rPr>
            </w:pPr>
          </w:p>
        </w:tc>
        <w:tc>
          <w:tcPr>
            <w:tcW w:w="50" w:type="pct"/>
            <w:shd w:val="clear" w:color="auto" w:fill="auto"/>
            <w:vAlign w:val="bottom"/>
          </w:tcPr>
          <w:p w14:paraId="71D45A1B" w14:textId="77777777" w:rsidR="006A3667" w:rsidRDefault="006A3667">
            <w:pPr>
              <w:rPr>
                <w:rFonts w:ascii="宋体"/>
              </w:rPr>
            </w:pPr>
          </w:p>
        </w:tc>
        <w:tc>
          <w:tcPr>
            <w:tcW w:w="332" w:type="pct"/>
            <w:shd w:val="clear" w:color="auto" w:fill="auto"/>
            <w:vAlign w:val="bottom"/>
          </w:tcPr>
          <w:p w14:paraId="71D45A1C" w14:textId="77777777" w:rsidR="006A3667" w:rsidRDefault="006A3667">
            <w:pPr>
              <w:rPr>
                <w:rFonts w:ascii="宋体"/>
              </w:rPr>
            </w:pPr>
          </w:p>
        </w:tc>
        <w:tc>
          <w:tcPr>
            <w:tcW w:w="5" w:type="pct"/>
            <w:shd w:val="clear" w:color="auto" w:fill="auto"/>
            <w:vAlign w:val="bottom"/>
          </w:tcPr>
          <w:p w14:paraId="71D45A1D" w14:textId="77777777" w:rsidR="006A3667" w:rsidRDefault="006A3667">
            <w:pPr>
              <w:rPr>
                <w:rFonts w:ascii="宋体"/>
              </w:rPr>
            </w:pPr>
          </w:p>
        </w:tc>
        <w:tc>
          <w:tcPr>
            <w:tcW w:w="5" w:type="pct"/>
            <w:shd w:val="clear" w:color="auto" w:fill="auto"/>
            <w:vAlign w:val="bottom"/>
          </w:tcPr>
          <w:p w14:paraId="71D45A1E" w14:textId="77777777" w:rsidR="006A3667" w:rsidRDefault="006A3667">
            <w:pPr>
              <w:rPr>
                <w:rFonts w:ascii="宋体"/>
              </w:rPr>
            </w:pPr>
          </w:p>
        </w:tc>
        <w:tc>
          <w:tcPr>
            <w:tcW w:w="26" w:type="pct"/>
            <w:shd w:val="clear" w:color="auto" w:fill="auto"/>
            <w:vAlign w:val="bottom"/>
          </w:tcPr>
          <w:p w14:paraId="71D45A1F" w14:textId="77777777" w:rsidR="006A3667" w:rsidRDefault="006A3667">
            <w:pPr>
              <w:rPr>
                <w:rFonts w:ascii="宋体"/>
              </w:rPr>
            </w:pPr>
          </w:p>
        </w:tc>
        <w:tc>
          <w:tcPr>
            <w:tcW w:w="5" w:type="pct"/>
            <w:shd w:val="clear" w:color="auto" w:fill="auto"/>
            <w:vAlign w:val="bottom"/>
          </w:tcPr>
          <w:p w14:paraId="71D45A20" w14:textId="77777777" w:rsidR="006A3667" w:rsidRDefault="006A3667">
            <w:pPr>
              <w:rPr>
                <w:rFonts w:ascii="宋体"/>
              </w:rPr>
            </w:pPr>
          </w:p>
        </w:tc>
        <w:tc>
          <w:tcPr>
            <w:tcW w:w="50" w:type="pct"/>
            <w:shd w:val="clear" w:color="auto" w:fill="auto"/>
            <w:vAlign w:val="bottom"/>
          </w:tcPr>
          <w:p w14:paraId="71D45A21" w14:textId="77777777" w:rsidR="006A3667" w:rsidRDefault="006A3667">
            <w:pPr>
              <w:rPr>
                <w:rFonts w:ascii="宋体"/>
              </w:rPr>
            </w:pPr>
          </w:p>
        </w:tc>
        <w:tc>
          <w:tcPr>
            <w:tcW w:w="317" w:type="pct"/>
            <w:shd w:val="clear" w:color="auto" w:fill="auto"/>
            <w:vAlign w:val="bottom"/>
          </w:tcPr>
          <w:p w14:paraId="71D45A22" w14:textId="77777777" w:rsidR="006A3667" w:rsidRDefault="006A3667">
            <w:pPr>
              <w:rPr>
                <w:rFonts w:ascii="宋体"/>
              </w:rPr>
            </w:pPr>
          </w:p>
        </w:tc>
        <w:tc>
          <w:tcPr>
            <w:tcW w:w="5" w:type="pct"/>
            <w:shd w:val="clear" w:color="auto" w:fill="auto"/>
            <w:vAlign w:val="bottom"/>
          </w:tcPr>
          <w:p w14:paraId="71D45A23" w14:textId="77777777" w:rsidR="006A3667" w:rsidRDefault="006A3667">
            <w:pPr>
              <w:rPr>
                <w:rFonts w:ascii="宋体"/>
              </w:rPr>
            </w:pPr>
          </w:p>
        </w:tc>
        <w:tc>
          <w:tcPr>
            <w:tcW w:w="5" w:type="pct"/>
            <w:shd w:val="clear" w:color="auto" w:fill="auto"/>
            <w:vAlign w:val="bottom"/>
          </w:tcPr>
          <w:p w14:paraId="71D45A24" w14:textId="77777777" w:rsidR="006A3667" w:rsidRDefault="006A3667">
            <w:pPr>
              <w:rPr>
                <w:rFonts w:ascii="宋体"/>
              </w:rPr>
            </w:pPr>
          </w:p>
        </w:tc>
        <w:tc>
          <w:tcPr>
            <w:tcW w:w="26" w:type="pct"/>
            <w:shd w:val="clear" w:color="auto" w:fill="auto"/>
            <w:vAlign w:val="bottom"/>
          </w:tcPr>
          <w:p w14:paraId="71D45A25" w14:textId="77777777" w:rsidR="006A3667" w:rsidRDefault="006A3667">
            <w:pPr>
              <w:rPr>
                <w:rFonts w:ascii="宋体"/>
              </w:rPr>
            </w:pPr>
          </w:p>
        </w:tc>
        <w:tc>
          <w:tcPr>
            <w:tcW w:w="5" w:type="pct"/>
            <w:shd w:val="clear" w:color="auto" w:fill="auto"/>
            <w:vAlign w:val="bottom"/>
          </w:tcPr>
          <w:p w14:paraId="71D45A26" w14:textId="77777777" w:rsidR="006A3667" w:rsidRDefault="006A3667">
            <w:pPr>
              <w:rPr>
                <w:rFonts w:ascii="宋体"/>
              </w:rPr>
            </w:pPr>
          </w:p>
        </w:tc>
        <w:tc>
          <w:tcPr>
            <w:tcW w:w="50" w:type="pct"/>
            <w:shd w:val="clear" w:color="auto" w:fill="auto"/>
            <w:vAlign w:val="bottom"/>
          </w:tcPr>
          <w:p w14:paraId="71D45A27" w14:textId="77777777" w:rsidR="006A3667" w:rsidRDefault="006A3667">
            <w:pPr>
              <w:rPr>
                <w:rFonts w:ascii="宋体"/>
              </w:rPr>
            </w:pPr>
          </w:p>
        </w:tc>
        <w:tc>
          <w:tcPr>
            <w:tcW w:w="332" w:type="pct"/>
            <w:shd w:val="clear" w:color="auto" w:fill="auto"/>
            <w:vAlign w:val="bottom"/>
          </w:tcPr>
          <w:p w14:paraId="71D45A28" w14:textId="77777777" w:rsidR="006A3667" w:rsidRDefault="006A3667">
            <w:pPr>
              <w:rPr>
                <w:rFonts w:ascii="宋体"/>
              </w:rPr>
            </w:pPr>
          </w:p>
        </w:tc>
        <w:tc>
          <w:tcPr>
            <w:tcW w:w="5" w:type="pct"/>
            <w:shd w:val="clear" w:color="auto" w:fill="auto"/>
            <w:vAlign w:val="bottom"/>
          </w:tcPr>
          <w:p w14:paraId="71D45A29" w14:textId="77777777" w:rsidR="006A3667" w:rsidRDefault="006A3667">
            <w:pPr>
              <w:rPr>
                <w:rFonts w:ascii="宋体"/>
              </w:rPr>
            </w:pPr>
          </w:p>
        </w:tc>
        <w:tc>
          <w:tcPr>
            <w:tcW w:w="5" w:type="pct"/>
            <w:shd w:val="clear" w:color="auto" w:fill="auto"/>
            <w:vAlign w:val="bottom"/>
          </w:tcPr>
          <w:p w14:paraId="71D45A2A" w14:textId="77777777" w:rsidR="006A3667" w:rsidRDefault="006A3667">
            <w:pPr>
              <w:rPr>
                <w:rFonts w:ascii="宋体"/>
              </w:rPr>
            </w:pPr>
          </w:p>
        </w:tc>
        <w:tc>
          <w:tcPr>
            <w:tcW w:w="26" w:type="pct"/>
            <w:shd w:val="clear" w:color="auto" w:fill="auto"/>
            <w:vAlign w:val="bottom"/>
          </w:tcPr>
          <w:p w14:paraId="71D45A2B" w14:textId="77777777" w:rsidR="006A3667" w:rsidRDefault="006A3667">
            <w:pPr>
              <w:rPr>
                <w:rFonts w:ascii="宋体"/>
              </w:rPr>
            </w:pPr>
          </w:p>
        </w:tc>
        <w:tc>
          <w:tcPr>
            <w:tcW w:w="5" w:type="pct"/>
            <w:shd w:val="clear" w:color="auto" w:fill="auto"/>
            <w:vAlign w:val="bottom"/>
          </w:tcPr>
          <w:p w14:paraId="71D45A2C" w14:textId="77777777" w:rsidR="006A3667" w:rsidRDefault="006A3667">
            <w:pPr>
              <w:rPr>
                <w:rFonts w:ascii="宋体"/>
              </w:rPr>
            </w:pPr>
          </w:p>
        </w:tc>
        <w:tc>
          <w:tcPr>
            <w:tcW w:w="50" w:type="pct"/>
            <w:shd w:val="clear" w:color="auto" w:fill="auto"/>
            <w:vAlign w:val="bottom"/>
          </w:tcPr>
          <w:p w14:paraId="71D45A2D" w14:textId="77777777" w:rsidR="006A3667" w:rsidRDefault="006A3667">
            <w:pPr>
              <w:rPr>
                <w:rFonts w:ascii="宋体"/>
              </w:rPr>
            </w:pPr>
          </w:p>
        </w:tc>
        <w:tc>
          <w:tcPr>
            <w:tcW w:w="318" w:type="pct"/>
            <w:shd w:val="clear" w:color="auto" w:fill="auto"/>
            <w:vAlign w:val="bottom"/>
          </w:tcPr>
          <w:p w14:paraId="71D45A2E" w14:textId="77777777" w:rsidR="006A3667" w:rsidRDefault="006A3667">
            <w:pPr>
              <w:rPr>
                <w:rFonts w:ascii="宋体"/>
              </w:rPr>
            </w:pPr>
          </w:p>
        </w:tc>
        <w:tc>
          <w:tcPr>
            <w:tcW w:w="5" w:type="pct"/>
            <w:shd w:val="clear" w:color="auto" w:fill="auto"/>
            <w:vAlign w:val="bottom"/>
          </w:tcPr>
          <w:p w14:paraId="71D45A2F" w14:textId="77777777" w:rsidR="006A3667" w:rsidRDefault="006A3667">
            <w:pPr>
              <w:rPr>
                <w:rFonts w:ascii="宋体"/>
              </w:rPr>
            </w:pPr>
          </w:p>
        </w:tc>
      </w:tr>
      <w:tr w:rsidR="006A3667" w14:paraId="71D45A33" w14:textId="77777777">
        <w:tc>
          <w:tcPr>
            <w:tcW w:w="0" w:type="auto"/>
            <w:gridSpan w:val="3"/>
            <w:shd w:val="clear" w:color="auto" w:fill="auto"/>
            <w:tcMar>
              <w:top w:w="0" w:type="dxa"/>
              <w:left w:w="20" w:type="dxa"/>
              <w:bottom w:w="0" w:type="dxa"/>
              <w:right w:w="20" w:type="dxa"/>
            </w:tcMar>
            <w:vAlign w:val="bottom"/>
          </w:tcPr>
          <w:p w14:paraId="71D45A31" w14:textId="77777777" w:rsidR="006A3667" w:rsidRDefault="006A3667">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71D45A32" w14:textId="77777777" w:rsidR="006A3667" w:rsidRDefault="00045F32">
            <w:pPr>
              <w:jc w:val="center"/>
              <w:textAlignment w:val="bottom"/>
            </w:pPr>
            <w:r>
              <w:rPr>
                <w:rFonts w:ascii="Arial" w:eastAsia="宋体" w:hAnsi="Arial" w:cs="Arial"/>
                <w:b/>
                <w:bCs/>
                <w:color w:val="000000"/>
                <w:sz w:val="13"/>
                <w:szCs w:val="13"/>
              </w:rPr>
              <w:t>As of September 30, 2022</w:t>
            </w:r>
          </w:p>
        </w:tc>
      </w:tr>
      <w:tr w:rsidR="006A3667" w14:paraId="71D45A3E" w14:textId="77777777">
        <w:tc>
          <w:tcPr>
            <w:tcW w:w="0" w:type="auto"/>
            <w:gridSpan w:val="3"/>
            <w:shd w:val="clear" w:color="auto" w:fill="auto"/>
            <w:tcMar>
              <w:top w:w="40" w:type="dxa"/>
              <w:left w:w="20" w:type="dxa"/>
              <w:bottom w:w="40" w:type="dxa"/>
              <w:right w:w="20" w:type="dxa"/>
            </w:tcMar>
            <w:vAlign w:val="bottom"/>
          </w:tcPr>
          <w:p w14:paraId="71D45A34"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A35" w14:textId="77777777" w:rsidR="006A3667" w:rsidRDefault="00045F32">
            <w:pPr>
              <w:jc w:val="center"/>
              <w:textAlignment w:val="bottom"/>
            </w:pPr>
            <w:r>
              <w:rPr>
                <w:rFonts w:ascii="Arial" w:eastAsia="宋体" w:hAnsi="Arial" w:cs="Arial"/>
                <w:b/>
                <w:bCs/>
                <w:color w:val="000000"/>
                <w:sz w:val="13"/>
                <w:szCs w:val="13"/>
              </w:rPr>
              <w:t>Under 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36"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A37" w14:textId="77777777" w:rsidR="006A3667" w:rsidRDefault="00045F32">
            <w:pPr>
              <w:jc w:val="center"/>
              <w:textAlignment w:val="bottom"/>
            </w:pPr>
            <w:r>
              <w:rPr>
                <w:rFonts w:ascii="Arial" w:eastAsia="宋体" w:hAnsi="Arial" w:cs="Arial"/>
                <w:b/>
                <w:bCs/>
                <w:color w:val="000000"/>
                <w:sz w:val="13"/>
                <w:szCs w:val="13"/>
              </w:rPr>
              <w:t>1 to 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38"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A39" w14:textId="77777777" w:rsidR="006A3667" w:rsidRDefault="00045F32">
            <w:pPr>
              <w:jc w:val="center"/>
              <w:textAlignment w:val="bottom"/>
            </w:pPr>
            <w:r>
              <w:rPr>
                <w:rFonts w:ascii="Arial" w:eastAsia="宋体" w:hAnsi="Arial" w:cs="Arial"/>
                <w:b/>
                <w:bCs/>
                <w:color w:val="000000"/>
                <w:sz w:val="13"/>
                <w:szCs w:val="13"/>
              </w:rPr>
              <w:t>6 to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3A"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A3B" w14:textId="77777777" w:rsidR="006A3667" w:rsidRDefault="00045F32">
            <w:pPr>
              <w:jc w:val="center"/>
              <w:textAlignment w:val="bottom"/>
            </w:pPr>
            <w:r>
              <w:rPr>
                <w:rFonts w:ascii="Arial" w:eastAsia="宋体" w:hAnsi="Arial" w:cs="Arial"/>
                <w:b/>
                <w:bCs/>
                <w:color w:val="000000"/>
                <w:sz w:val="13"/>
                <w:szCs w:val="13"/>
              </w:rPr>
              <w:t>Over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3C"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5A3D" w14:textId="77777777" w:rsidR="006A3667" w:rsidRDefault="00045F32">
            <w:pPr>
              <w:jc w:val="center"/>
              <w:textAlignment w:val="bottom"/>
            </w:pPr>
            <w:r>
              <w:rPr>
                <w:rFonts w:ascii="Arial" w:eastAsia="宋体" w:hAnsi="Arial" w:cs="Arial"/>
                <w:b/>
                <w:bCs/>
                <w:color w:val="000000"/>
                <w:sz w:val="13"/>
                <w:szCs w:val="13"/>
              </w:rPr>
              <w:t>Total</w:t>
            </w:r>
          </w:p>
        </w:tc>
      </w:tr>
      <w:tr w:rsidR="006A3667" w14:paraId="71D45A53" w14:textId="77777777">
        <w:tc>
          <w:tcPr>
            <w:tcW w:w="0" w:type="auto"/>
            <w:gridSpan w:val="3"/>
            <w:shd w:val="clear" w:color="auto" w:fill="auto"/>
            <w:tcMar>
              <w:top w:w="0" w:type="dxa"/>
              <w:left w:w="20" w:type="dxa"/>
              <w:bottom w:w="0" w:type="dxa"/>
              <w:right w:w="20" w:type="dxa"/>
            </w:tcMar>
            <w:vAlign w:val="bottom"/>
          </w:tcPr>
          <w:p w14:paraId="71D45A3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40" w14:textId="77777777" w:rsidR="006A3667" w:rsidRDefault="00045F32">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4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42" w14:textId="77777777" w:rsidR="006A3667" w:rsidRDefault="00045F32">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71D45A4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44" w14:textId="77777777" w:rsidR="006A3667" w:rsidRDefault="00045F32">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4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46" w14:textId="77777777" w:rsidR="006A3667" w:rsidRDefault="00045F32">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71D45A4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48" w14:textId="77777777" w:rsidR="006A3667" w:rsidRDefault="00045F32">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4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4A" w14:textId="77777777" w:rsidR="006A3667" w:rsidRDefault="00045F32">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71D45A4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4C" w14:textId="77777777" w:rsidR="006A3667" w:rsidRDefault="00045F32">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4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4E" w14:textId="77777777" w:rsidR="006A3667" w:rsidRDefault="00045F32">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71D45A4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50" w14:textId="77777777" w:rsidR="006A3667" w:rsidRDefault="00045F32">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5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5A52" w14:textId="77777777" w:rsidR="006A3667" w:rsidRDefault="00045F32">
            <w:pPr>
              <w:jc w:val="center"/>
              <w:textAlignment w:val="bottom"/>
            </w:pPr>
            <w:r>
              <w:rPr>
                <w:rFonts w:ascii="Arial" w:eastAsia="宋体" w:hAnsi="Arial" w:cs="Arial"/>
                <w:b/>
                <w:bCs/>
                <w:color w:val="000000"/>
                <w:sz w:val="13"/>
                <w:szCs w:val="13"/>
              </w:rPr>
              <w:t>Fair Value</w:t>
            </w:r>
          </w:p>
        </w:tc>
      </w:tr>
      <w:tr w:rsidR="006A3667" w14:paraId="71D45A68" w14:textId="77777777">
        <w:tc>
          <w:tcPr>
            <w:tcW w:w="0" w:type="auto"/>
            <w:gridSpan w:val="3"/>
            <w:shd w:val="clear" w:color="auto" w:fill="auto"/>
            <w:tcMar>
              <w:top w:w="40" w:type="dxa"/>
              <w:left w:w="20" w:type="dxa"/>
              <w:bottom w:w="40" w:type="dxa"/>
              <w:right w:w="20" w:type="dxa"/>
            </w:tcMar>
            <w:vAlign w:val="bottom"/>
          </w:tcPr>
          <w:p w14:paraId="71D45A54" w14:textId="77777777" w:rsidR="006A3667" w:rsidRDefault="00045F32">
            <w:pPr>
              <w:textAlignment w:val="bottom"/>
            </w:pPr>
            <w:r>
              <w:rPr>
                <w:rFonts w:ascii="Arial" w:eastAsia="宋体" w:hAnsi="Arial" w:cs="Arial"/>
                <w:b/>
                <w:bCs/>
                <w:color w:val="000000"/>
                <w:sz w:val="13"/>
                <w:szCs w:val="13"/>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5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5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5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5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5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5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5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5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5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5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5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6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6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6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5A67" w14:textId="77777777" w:rsidR="006A3667" w:rsidRDefault="006A3667">
            <w:pPr>
              <w:rPr>
                <w:rFonts w:ascii="宋体"/>
              </w:rPr>
            </w:pPr>
          </w:p>
        </w:tc>
      </w:tr>
      <w:tr w:rsidR="006A3667" w14:paraId="71D45A7D" w14:textId="77777777">
        <w:tc>
          <w:tcPr>
            <w:tcW w:w="0" w:type="auto"/>
            <w:gridSpan w:val="3"/>
            <w:shd w:val="clear" w:color="auto" w:fill="auto"/>
            <w:tcMar>
              <w:top w:w="40" w:type="dxa"/>
              <w:left w:w="20" w:type="dxa"/>
              <w:bottom w:w="40" w:type="dxa"/>
              <w:right w:w="20" w:type="dxa"/>
            </w:tcMar>
            <w:vAlign w:val="bottom"/>
          </w:tcPr>
          <w:p w14:paraId="71D45A69" w14:textId="77777777" w:rsidR="006A3667" w:rsidRDefault="00045F32">
            <w:pPr>
              <w:textAlignment w:val="bottom"/>
            </w:pPr>
            <w:r>
              <w:rPr>
                <w:rFonts w:ascii="Arial" w:eastAsia="宋体" w:hAnsi="Arial" w:cs="Arial"/>
                <w:color w:val="000000"/>
                <w:sz w:val="13"/>
                <w:szCs w:val="13"/>
              </w:rPr>
              <w:t>U.S. Treasury and federal agencies:</w:t>
            </w:r>
          </w:p>
        </w:tc>
        <w:tc>
          <w:tcPr>
            <w:tcW w:w="0" w:type="auto"/>
            <w:gridSpan w:val="3"/>
            <w:shd w:val="clear" w:color="auto" w:fill="auto"/>
            <w:tcMar>
              <w:top w:w="0" w:type="dxa"/>
              <w:left w:w="20" w:type="dxa"/>
              <w:bottom w:w="0" w:type="dxa"/>
              <w:right w:w="20" w:type="dxa"/>
            </w:tcMar>
            <w:vAlign w:val="bottom"/>
          </w:tcPr>
          <w:p w14:paraId="71D45A6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6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A7C" w14:textId="77777777" w:rsidR="006A3667" w:rsidRDefault="006A3667">
            <w:pPr>
              <w:rPr>
                <w:rFonts w:ascii="宋体"/>
              </w:rPr>
            </w:pPr>
          </w:p>
        </w:tc>
      </w:tr>
      <w:tr w:rsidR="00045F32" w14:paraId="71D45AA6" w14:textId="77777777">
        <w:tc>
          <w:tcPr>
            <w:tcW w:w="0" w:type="auto"/>
            <w:gridSpan w:val="3"/>
            <w:shd w:val="clear" w:color="auto" w:fill="CCEEFF"/>
            <w:tcMar>
              <w:top w:w="40" w:type="dxa"/>
              <w:left w:w="245" w:type="dxa"/>
              <w:bottom w:w="40" w:type="dxa"/>
              <w:right w:w="20" w:type="dxa"/>
            </w:tcMar>
            <w:vAlign w:val="bottom"/>
          </w:tcPr>
          <w:p w14:paraId="71D45A7E" w14:textId="77777777" w:rsidR="006A3667" w:rsidRDefault="00045F32">
            <w:pPr>
              <w:textAlignment w:val="bottom"/>
            </w:pPr>
            <w:r>
              <w:rPr>
                <w:rFonts w:ascii="Arial" w:eastAsia="宋体" w:hAnsi="Arial" w:cs="Arial"/>
                <w:color w:val="000000"/>
                <w:sz w:val="13"/>
                <w:szCs w:val="13"/>
              </w:rPr>
              <w:t>Direct obligations</w:t>
            </w:r>
          </w:p>
        </w:tc>
        <w:tc>
          <w:tcPr>
            <w:tcW w:w="0" w:type="auto"/>
            <w:shd w:val="clear" w:color="auto" w:fill="CCEEFF"/>
            <w:tcMar>
              <w:top w:w="40" w:type="dxa"/>
              <w:left w:w="20" w:type="dxa"/>
              <w:bottom w:w="40" w:type="dxa"/>
              <w:right w:w="0" w:type="dxa"/>
            </w:tcMar>
            <w:vAlign w:val="bottom"/>
          </w:tcPr>
          <w:p w14:paraId="71D45A7F"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80" w14:textId="77777777" w:rsidR="006A3667" w:rsidRDefault="00045F32">
            <w:pPr>
              <w:jc w:val="right"/>
              <w:textAlignment w:val="bottom"/>
            </w:pPr>
            <w:r>
              <w:rPr>
                <w:rFonts w:ascii="Arial" w:eastAsia="宋体" w:hAnsi="Arial" w:cs="Arial"/>
                <w:b/>
                <w:bCs/>
                <w:color w:val="000000"/>
                <w:sz w:val="13"/>
                <w:szCs w:val="13"/>
              </w:rPr>
              <w:t>1,919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8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83"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84" w14:textId="77777777" w:rsidR="006A3667" w:rsidRDefault="00045F32">
            <w:pPr>
              <w:jc w:val="right"/>
              <w:textAlignment w:val="bottom"/>
            </w:pPr>
            <w:r>
              <w:rPr>
                <w:rFonts w:ascii="Arial" w:eastAsia="宋体" w:hAnsi="Arial" w:cs="Arial"/>
                <w:b/>
                <w:bCs/>
                <w:color w:val="000000"/>
                <w:sz w:val="13"/>
                <w:szCs w:val="13"/>
              </w:rPr>
              <w:t>1,883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8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8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87"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88" w14:textId="77777777" w:rsidR="006A3667" w:rsidRDefault="00045F32">
            <w:pPr>
              <w:jc w:val="right"/>
              <w:textAlignment w:val="bottom"/>
            </w:pPr>
            <w:r>
              <w:rPr>
                <w:rFonts w:ascii="Arial" w:eastAsia="宋体" w:hAnsi="Arial" w:cs="Arial"/>
                <w:b/>
                <w:bCs/>
                <w:color w:val="000000"/>
                <w:sz w:val="13"/>
                <w:szCs w:val="13"/>
              </w:rPr>
              <w:t>5,703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8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8B"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8C" w14:textId="77777777" w:rsidR="006A3667" w:rsidRDefault="00045F32">
            <w:pPr>
              <w:jc w:val="right"/>
              <w:textAlignment w:val="bottom"/>
            </w:pPr>
            <w:r>
              <w:rPr>
                <w:rFonts w:ascii="Arial" w:eastAsia="宋体" w:hAnsi="Arial" w:cs="Arial"/>
                <w:b/>
                <w:bCs/>
                <w:color w:val="000000"/>
                <w:sz w:val="13"/>
                <w:szCs w:val="13"/>
              </w:rPr>
              <w:t>5,433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8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8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8F"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90" w14:textId="77777777" w:rsidR="006A3667" w:rsidRDefault="00045F32">
            <w:pPr>
              <w:jc w:val="right"/>
              <w:textAlignment w:val="bottom"/>
            </w:pPr>
            <w:r>
              <w:rPr>
                <w:rFonts w:ascii="Arial" w:eastAsia="宋体" w:hAnsi="Arial" w:cs="Arial"/>
                <w:b/>
                <w:bCs/>
                <w:color w:val="000000"/>
                <w:sz w:val="13"/>
                <w:szCs w:val="13"/>
              </w:rPr>
              <w:t>528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9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9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93"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94" w14:textId="77777777" w:rsidR="006A3667" w:rsidRDefault="00045F32">
            <w:pPr>
              <w:jc w:val="right"/>
              <w:textAlignment w:val="bottom"/>
            </w:pPr>
            <w:r>
              <w:rPr>
                <w:rFonts w:ascii="Arial" w:eastAsia="宋体" w:hAnsi="Arial" w:cs="Arial"/>
                <w:b/>
                <w:bCs/>
                <w:color w:val="000000"/>
                <w:sz w:val="13"/>
                <w:szCs w:val="13"/>
              </w:rPr>
              <w:t>540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9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9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97"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98"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9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9B"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9C"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9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9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9F"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A0" w14:textId="77777777" w:rsidR="006A3667" w:rsidRDefault="00045F32">
            <w:pPr>
              <w:jc w:val="right"/>
              <w:textAlignment w:val="bottom"/>
            </w:pPr>
            <w:r>
              <w:rPr>
                <w:rFonts w:ascii="Arial" w:eastAsia="宋体" w:hAnsi="Arial" w:cs="Arial"/>
                <w:b/>
                <w:bCs/>
                <w:color w:val="000000"/>
                <w:sz w:val="13"/>
                <w:szCs w:val="13"/>
              </w:rPr>
              <w:t>8,150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A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A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AA3"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AA4" w14:textId="77777777" w:rsidR="006A3667" w:rsidRDefault="00045F32">
            <w:pPr>
              <w:jc w:val="right"/>
              <w:textAlignment w:val="bottom"/>
            </w:pPr>
            <w:r>
              <w:rPr>
                <w:rFonts w:ascii="Arial" w:eastAsia="宋体" w:hAnsi="Arial" w:cs="Arial"/>
                <w:b/>
                <w:bCs/>
                <w:color w:val="000000"/>
                <w:sz w:val="13"/>
                <w:szCs w:val="13"/>
              </w:rPr>
              <w:t>7,856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A5" w14:textId="77777777" w:rsidR="006A3667" w:rsidRDefault="006A3667">
            <w:pPr>
              <w:jc w:val="right"/>
              <w:rPr>
                <w:rFonts w:ascii="宋体"/>
              </w:rPr>
            </w:pPr>
          </w:p>
        </w:tc>
      </w:tr>
      <w:tr w:rsidR="006A3667" w14:paraId="71D45AC5" w14:textId="77777777">
        <w:tc>
          <w:tcPr>
            <w:tcW w:w="0" w:type="auto"/>
            <w:gridSpan w:val="3"/>
            <w:shd w:val="clear" w:color="auto" w:fill="FFFFFF"/>
            <w:tcMar>
              <w:top w:w="40" w:type="dxa"/>
              <w:left w:w="245" w:type="dxa"/>
              <w:bottom w:w="40" w:type="dxa"/>
              <w:right w:w="20" w:type="dxa"/>
            </w:tcMar>
            <w:vAlign w:val="bottom"/>
          </w:tcPr>
          <w:p w14:paraId="71D45AA7" w14:textId="77777777" w:rsidR="006A3667" w:rsidRDefault="00045F32">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71D45AA8" w14:textId="77777777" w:rsidR="006A3667" w:rsidRDefault="00045F32">
            <w:pPr>
              <w:jc w:val="right"/>
              <w:textAlignment w:val="bottom"/>
            </w:pPr>
            <w:r>
              <w:rPr>
                <w:rFonts w:ascii="Arial" w:eastAsia="宋体" w:hAnsi="Arial" w:cs="Arial"/>
                <w:b/>
                <w:bCs/>
                <w:color w:val="000000"/>
                <w:sz w:val="13"/>
                <w:szCs w:val="13"/>
              </w:rPr>
              <w:t>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A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A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AB" w14:textId="77777777" w:rsidR="006A3667" w:rsidRDefault="00045F32">
            <w:pPr>
              <w:jc w:val="right"/>
              <w:textAlignment w:val="bottom"/>
            </w:pPr>
            <w:r>
              <w:rPr>
                <w:rFonts w:ascii="Arial" w:eastAsia="宋体" w:hAnsi="Arial" w:cs="Arial"/>
                <w:b/>
                <w:bCs/>
                <w:color w:val="000000"/>
                <w:sz w:val="13"/>
                <w:szCs w:val="13"/>
              </w:rPr>
              <w:t>52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A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AE" w14:textId="77777777" w:rsidR="006A3667" w:rsidRDefault="00045F32">
            <w:pPr>
              <w:jc w:val="right"/>
              <w:textAlignment w:val="bottom"/>
            </w:pPr>
            <w:r>
              <w:rPr>
                <w:rFonts w:ascii="Arial" w:eastAsia="宋体" w:hAnsi="Arial" w:cs="Arial"/>
                <w:b/>
                <w:bCs/>
                <w:color w:val="000000"/>
                <w:sz w:val="13"/>
                <w:szCs w:val="13"/>
              </w:rPr>
              <w:t>502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B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B1" w14:textId="77777777" w:rsidR="006A3667" w:rsidRDefault="00045F32">
            <w:pPr>
              <w:jc w:val="right"/>
              <w:textAlignment w:val="bottom"/>
            </w:pPr>
            <w:r>
              <w:rPr>
                <w:rFonts w:ascii="Arial" w:eastAsia="宋体" w:hAnsi="Arial" w:cs="Arial"/>
                <w:b/>
                <w:bCs/>
                <w:color w:val="000000"/>
                <w:sz w:val="13"/>
                <w:szCs w:val="13"/>
              </w:rPr>
              <w:t>498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B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B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B4" w14:textId="77777777" w:rsidR="006A3667" w:rsidRDefault="00045F32">
            <w:pPr>
              <w:jc w:val="right"/>
              <w:textAlignment w:val="bottom"/>
            </w:pPr>
            <w:r>
              <w:rPr>
                <w:rFonts w:ascii="Arial" w:eastAsia="宋体" w:hAnsi="Arial" w:cs="Arial"/>
                <w:b/>
                <w:bCs/>
                <w:color w:val="000000"/>
                <w:sz w:val="13"/>
                <w:szCs w:val="13"/>
              </w:rPr>
              <w:t>7,239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B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B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B7" w14:textId="77777777" w:rsidR="006A3667" w:rsidRDefault="00045F32">
            <w:pPr>
              <w:jc w:val="right"/>
              <w:textAlignment w:val="bottom"/>
            </w:pPr>
            <w:r>
              <w:rPr>
                <w:rFonts w:ascii="Arial" w:eastAsia="宋体" w:hAnsi="Arial" w:cs="Arial"/>
                <w:b/>
                <w:bCs/>
                <w:color w:val="000000"/>
                <w:sz w:val="13"/>
                <w:szCs w:val="13"/>
              </w:rPr>
              <w:t>7,111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B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B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BA" w14:textId="77777777" w:rsidR="006A3667" w:rsidRDefault="00045F32">
            <w:pPr>
              <w:jc w:val="right"/>
              <w:textAlignment w:val="bottom"/>
            </w:pPr>
            <w:r>
              <w:rPr>
                <w:rFonts w:ascii="Arial" w:eastAsia="宋体" w:hAnsi="Arial" w:cs="Arial"/>
                <w:b/>
                <w:bCs/>
                <w:color w:val="000000"/>
                <w:sz w:val="13"/>
                <w:szCs w:val="13"/>
              </w:rPr>
              <w:t>1,824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B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BD" w14:textId="77777777" w:rsidR="006A3667" w:rsidRDefault="00045F32">
            <w:pPr>
              <w:jc w:val="right"/>
              <w:textAlignment w:val="bottom"/>
            </w:pPr>
            <w:r>
              <w:rPr>
                <w:rFonts w:ascii="Arial" w:eastAsia="宋体" w:hAnsi="Arial" w:cs="Arial"/>
                <w:b/>
                <w:bCs/>
                <w:color w:val="000000"/>
                <w:sz w:val="13"/>
                <w:szCs w:val="13"/>
              </w:rPr>
              <w:t>1,742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C0" w14:textId="77777777" w:rsidR="006A3667" w:rsidRDefault="00045F32">
            <w:pPr>
              <w:jc w:val="right"/>
              <w:textAlignment w:val="bottom"/>
            </w:pPr>
            <w:r>
              <w:rPr>
                <w:rFonts w:ascii="Arial" w:eastAsia="宋体" w:hAnsi="Arial" w:cs="Arial"/>
                <w:b/>
                <w:bCs/>
                <w:color w:val="000000"/>
                <w:sz w:val="13"/>
                <w:szCs w:val="13"/>
              </w:rPr>
              <w:t>9,618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A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AC3" w14:textId="77777777" w:rsidR="006A3667" w:rsidRDefault="00045F32">
            <w:pPr>
              <w:jc w:val="right"/>
              <w:textAlignment w:val="bottom"/>
            </w:pPr>
            <w:r>
              <w:rPr>
                <w:rFonts w:ascii="Arial" w:eastAsia="宋体" w:hAnsi="Arial" w:cs="Arial"/>
                <w:b/>
                <w:bCs/>
                <w:color w:val="000000"/>
                <w:sz w:val="13"/>
                <w:szCs w:val="13"/>
              </w:rPr>
              <w:t>9,403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AC4" w14:textId="77777777" w:rsidR="006A3667" w:rsidRDefault="006A3667">
            <w:pPr>
              <w:jc w:val="right"/>
              <w:rPr>
                <w:rFonts w:ascii="宋体"/>
              </w:rPr>
            </w:pPr>
          </w:p>
        </w:tc>
      </w:tr>
      <w:tr w:rsidR="006A3667" w14:paraId="71D45AE4" w14:textId="77777777">
        <w:tc>
          <w:tcPr>
            <w:tcW w:w="0" w:type="auto"/>
            <w:gridSpan w:val="3"/>
            <w:shd w:val="clear" w:color="auto" w:fill="CCEEFF"/>
            <w:tcMar>
              <w:top w:w="40" w:type="dxa"/>
              <w:left w:w="395" w:type="dxa"/>
              <w:bottom w:w="40" w:type="dxa"/>
              <w:right w:w="20" w:type="dxa"/>
            </w:tcMar>
            <w:vAlign w:val="bottom"/>
          </w:tcPr>
          <w:p w14:paraId="71D45AC6" w14:textId="77777777" w:rsidR="006A3667" w:rsidRDefault="00045F32">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C7" w14:textId="77777777" w:rsidR="006A3667" w:rsidRDefault="00045F32">
            <w:pPr>
              <w:jc w:val="right"/>
              <w:textAlignment w:val="bottom"/>
            </w:pPr>
            <w:r>
              <w:rPr>
                <w:rFonts w:ascii="Arial" w:eastAsia="宋体" w:hAnsi="Arial" w:cs="Arial"/>
                <w:b/>
                <w:bCs/>
                <w:color w:val="000000"/>
                <w:sz w:val="13"/>
                <w:szCs w:val="13"/>
              </w:rPr>
              <w:t>1,972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C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CA" w14:textId="77777777" w:rsidR="006A3667" w:rsidRDefault="00045F32">
            <w:pPr>
              <w:jc w:val="right"/>
              <w:textAlignment w:val="bottom"/>
            </w:pPr>
            <w:r>
              <w:rPr>
                <w:rFonts w:ascii="Arial" w:eastAsia="宋体" w:hAnsi="Arial" w:cs="Arial"/>
                <w:b/>
                <w:bCs/>
                <w:color w:val="000000"/>
                <w:sz w:val="13"/>
                <w:szCs w:val="13"/>
              </w:rPr>
              <w:t>1,935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C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CD" w14:textId="77777777" w:rsidR="006A3667" w:rsidRDefault="00045F32">
            <w:pPr>
              <w:jc w:val="right"/>
              <w:textAlignment w:val="bottom"/>
            </w:pPr>
            <w:r>
              <w:rPr>
                <w:rFonts w:ascii="Arial" w:eastAsia="宋体" w:hAnsi="Arial" w:cs="Arial"/>
                <w:b/>
                <w:bCs/>
                <w:color w:val="000000"/>
                <w:sz w:val="13"/>
                <w:szCs w:val="13"/>
              </w:rPr>
              <w:t>6,205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C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D0" w14:textId="77777777" w:rsidR="006A3667" w:rsidRDefault="00045F32">
            <w:pPr>
              <w:jc w:val="right"/>
              <w:textAlignment w:val="bottom"/>
            </w:pPr>
            <w:r>
              <w:rPr>
                <w:rFonts w:ascii="Arial" w:eastAsia="宋体" w:hAnsi="Arial" w:cs="Arial"/>
                <w:b/>
                <w:bCs/>
                <w:color w:val="000000"/>
                <w:sz w:val="13"/>
                <w:szCs w:val="13"/>
              </w:rPr>
              <w:t>5,931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D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D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D3" w14:textId="77777777" w:rsidR="006A3667" w:rsidRDefault="00045F32">
            <w:pPr>
              <w:jc w:val="right"/>
              <w:textAlignment w:val="bottom"/>
            </w:pPr>
            <w:r>
              <w:rPr>
                <w:rFonts w:ascii="Arial" w:eastAsia="宋体" w:hAnsi="Arial" w:cs="Arial"/>
                <w:b/>
                <w:bCs/>
                <w:color w:val="000000"/>
                <w:sz w:val="13"/>
                <w:szCs w:val="13"/>
              </w:rPr>
              <w:t>7,767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D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D6" w14:textId="77777777" w:rsidR="006A3667" w:rsidRDefault="00045F32">
            <w:pPr>
              <w:jc w:val="right"/>
              <w:textAlignment w:val="bottom"/>
            </w:pPr>
            <w:r>
              <w:rPr>
                <w:rFonts w:ascii="Arial" w:eastAsia="宋体" w:hAnsi="Arial" w:cs="Arial"/>
                <w:b/>
                <w:bCs/>
                <w:color w:val="000000"/>
                <w:sz w:val="13"/>
                <w:szCs w:val="13"/>
              </w:rPr>
              <w:t>7,651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D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D9" w14:textId="77777777" w:rsidR="006A3667" w:rsidRDefault="00045F32">
            <w:pPr>
              <w:jc w:val="right"/>
              <w:textAlignment w:val="bottom"/>
            </w:pPr>
            <w:r>
              <w:rPr>
                <w:rFonts w:ascii="Arial" w:eastAsia="宋体" w:hAnsi="Arial" w:cs="Arial"/>
                <w:b/>
                <w:bCs/>
                <w:color w:val="000000"/>
                <w:sz w:val="13"/>
                <w:szCs w:val="13"/>
              </w:rPr>
              <w:t>1,824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D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DC" w14:textId="77777777" w:rsidR="006A3667" w:rsidRDefault="00045F32">
            <w:pPr>
              <w:jc w:val="right"/>
              <w:textAlignment w:val="bottom"/>
            </w:pPr>
            <w:r>
              <w:rPr>
                <w:rFonts w:ascii="Arial" w:eastAsia="宋体" w:hAnsi="Arial" w:cs="Arial"/>
                <w:b/>
                <w:bCs/>
                <w:color w:val="000000"/>
                <w:sz w:val="13"/>
                <w:szCs w:val="13"/>
              </w:rPr>
              <w:t>1,742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D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DF" w14:textId="77777777" w:rsidR="006A3667" w:rsidRDefault="00045F32">
            <w:pPr>
              <w:jc w:val="right"/>
              <w:textAlignment w:val="bottom"/>
            </w:pPr>
            <w:r>
              <w:rPr>
                <w:rFonts w:ascii="Arial" w:eastAsia="宋体" w:hAnsi="Arial" w:cs="Arial"/>
                <w:b/>
                <w:bCs/>
                <w:color w:val="000000"/>
                <w:sz w:val="13"/>
                <w:szCs w:val="13"/>
              </w:rPr>
              <w:t>17,768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E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AE2" w14:textId="77777777" w:rsidR="006A3667" w:rsidRDefault="00045F32">
            <w:pPr>
              <w:jc w:val="right"/>
              <w:textAlignment w:val="bottom"/>
            </w:pPr>
            <w:r>
              <w:rPr>
                <w:rFonts w:ascii="Arial" w:eastAsia="宋体" w:hAnsi="Arial" w:cs="Arial"/>
                <w:b/>
                <w:bCs/>
                <w:color w:val="000000"/>
                <w:sz w:val="13"/>
                <w:szCs w:val="13"/>
              </w:rPr>
              <w:t>17,259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AE3" w14:textId="77777777" w:rsidR="006A3667" w:rsidRDefault="006A3667">
            <w:pPr>
              <w:jc w:val="right"/>
              <w:rPr>
                <w:rFonts w:ascii="宋体"/>
              </w:rPr>
            </w:pPr>
          </w:p>
        </w:tc>
      </w:tr>
      <w:tr w:rsidR="006A3667" w14:paraId="71D45AF9" w14:textId="77777777">
        <w:tc>
          <w:tcPr>
            <w:tcW w:w="0" w:type="auto"/>
            <w:gridSpan w:val="3"/>
            <w:shd w:val="clear" w:color="auto" w:fill="FFFFFF"/>
            <w:tcMar>
              <w:top w:w="40" w:type="dxa"/>
              <w:left w:w="20" w:type="dxa"/>
              <w:bottom w:w="40" w:type="dxa"/>
              <w:right w:w="20" w:type="dxa"/>
            </w:tcMar>
            <w:vAlign w:val="bottom"/>
          </w:tcPr>
          <w:p w14:paraId="71D45AE5" w14:textId="77777777" w:rsidR="006A3667" w:rsidRDefault="00045F32">
            <w:pPr>
              <w:textAlignment w:val="bottom"/>
            </w:pPr>
            <w:r>
              <w:rPr>
                <w:rFonts w:ascii="Arial" w:eastAsia="宋体" w:hAnsi="Arial" w:cs="Arial"/>
                <w:color w:val="000000"/>
                <w:sz w:val="13"/>
                <w:szCs w:val="13"/>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E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E7"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E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E9"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E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EB"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E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ED"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E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EF"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F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F1"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F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F3"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F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F5"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F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AF7"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AF8" w14:textId="77777777" w:rsidR="006A3667" w:rsidRDefault="006A3667">
            <w:pPr>
              <w:rPr>
                <w:rFonts w:ascii="宋体"/>
              </w:rPr>
            </w:pPr>
          </w:p>
        </w:tc>
      </w:tr>
      <w:tr w:rsidR="006A3667" w14:paraId="71D45B18" w14:textId="77777777">
        <w:tc>
          <w:tcPr>
            <w:tcW w:w="0" w:type="auto"/>
            <w:gridSpan w:val="3"/>
            <w:shd w:val="clear" w:color="auto" w:fill="CCEEFF"/>
            <w:tcMar>
              <w:top w:w="40" w:type="dxa"/>
              <w:left w:w="245" w:type="dxa"/>
              <w:bottom w:w="40" w:type="dxa"/>
              <w:right w:w="20" w:type="dxa"/>
            </w:tcMar>
            <w:vAlign w:val="bottom"/>
          </w:tcPr>
          <w:p w14:paraId="71D45AFA" w14:textId="77777777" w:rsidR="006A3667" w:rsidRDefault="00045F32">
            <w:pPr>
              <w:textAlignment w:val="bottom"/>
            </w:pPr>
            <w:r>
              <w:rPr>
                <w:rFonts w:ascii="Arial" w:eastAsia="宋体" w:hAnsi="Arial" w:cs="Arial"/>
                <w:color w:val="000000"/>
                <w:sz w:val="13"/>
                <w:szCs w:val="13"/>
              </w:rPr>
              <w:t>Mortgage-backed securities</w:t>
            </w:r>
          </w:p>
        </w:tc>
        <w:tc>
          <w:tcPr>
            <w:tcW w:w="0" w:type="auto"/>
            <w:gridSpan w:val="2"/>
            <w:shd w:val="clear" w:color="auto" w:fill="CCEEFF"/>
            <w:tcMar>
              <w:top w:w="40" w:type="dxa"/>
              <w:left w:w="20" w:type="dxa"/>
              <w:bottom w:w="40" w:type="dxa"/>
              <w:right w:w="0" w:type="dxa"/>
            </w:tcMar>
            <w:vAlign w:val="bottom"/>
          </w:tcPr>
          <w:p w14:paraId="71D45AFB" w14:textId="77777777" w:rsidR="006A3667" w:rsidRDefault="00045F32">
            <w:pPr>
              <w:jc w:val="right"/>
              <w:textAlignment w:val="bottom"/>
            </w:pPr>
            <w:r>
              <w:rPr>
                <w:rFonts w:ascii="Arial" w:eastAsia="宋体" w:hAnsi="Arial" w:cs="Arial"/>
                <w:b/>
                <w:bCs/>
                <w:color w:val="000000"/>
                <w:sz w:val="13"/>
                <w:szCs w:val="13"/>
              </w:rPr>
              <w:t>123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AF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AFE" w14:textId="77777777" w:rsidR="006A3667" w:rsidRDefault="00045F32">
            <w:pPr>
              <w:jc w:val="right"/>
              <w:textAlignment w:val="bottom"/>
            </w:pPr>
            <w:r>
              <w:rPr>
                <w:rFonts w:ascii="Arial" w:eastAsia="宋体" w:hAnsi="Arial" w:cs="Arial"/>
                <w:b/>
                <w:bCs/>
                <w:color w:val="000000"/>
                <w:sz w:val="13"/>
                <w:szCs w:val="13"/>
              </w:rPr>
              <w:t>123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AF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0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01" w14:textId="77777777" w:rsidR="006A3667" w:rsidRDefault="00045F32">
            <w:pPr>
              <w:jc w:val="right"/>
              <w:textAlignment w:val="bottom"/>
            </w:pPr>
            <w:r>
              <w:rPr>
                <w:rFonts w:ascii="Arial" w:eastAsia="宋体" w:hAnsi="Arial" w:cs="Arial"/>
                <w:b/>
                <w:bCs/>
                <w:color w:val="000000"/>
                <w:sz w:val="13"/>
                <w:szCs w:val="13"/>
              </w:rPr>
              <w:t>339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0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04" w14:textId="77777777" w:rsidR="006A3667" w:rsidRDefault="00045F32">
            <w:pPr>
              <w:jc w:val="right"/>
              <w:textAlignment w:val="bottom"/>
            </w:pPr>
            <w:r>
              <w:rPr>
                <w:rFonts w:ascii="Arial" w:eastAsia="宋体" w:hAnsi="Arial" w:cs="Arial"/>
                <w:b/>
                <w:bCs/>
                <w:color w:val="000000"/>
                <w:sz w:val="13"/>
                <w:szCs w:val="13"/>
              </w:rPr>
              <w:t>336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0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07" w14:textId="77777777" w:rsidR="006A3667" w:rsidRDefault="00045F32">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0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0A" w14:textId="77777777" w:rsidR="006A3667" w:rsidRDefault="00045F32">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0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0D" w14:textId="77777777" w:rsidR="006A3667" w:rsidRDefault="00045F32">
            <w:pPr>
              <w:jc w:val="right"/>
              <w:textAlignment w:val="bottom"/>
            </w:pPr>
            <w:r>
              <w:rPr>
                <w:rFonts w:ascii="Arial" w:eastAsia="宋体" w:hAnsi="Arial" w:cs="Arial"/>
                <w:b/>
                <w:bCs/>
                <w:color w:val="000000"/>
                <w:sz w:val="13"/>
                <w:szCs w:val="13"/>
              </w:rPr>
              <w:t>1,198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0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0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10" w14:textId="77777777" w:rsidR="006A3667" w:rsidRDefault="00045F32">
            <w:pPr>
              <w:jc w:val="right"/>
              <w:textAlignment w:val="bottom"/>
            </w:pPr>
            <w:r>
              <w:rPr>
                <w:rFonts w:ascii="Arial" w:eastAsia="宋体" w:hAnsi="Arial" w:cs="Arial"/>
                <w:b/>
                <w:bCs/>
                <w:color w:val="000000"/>
                <w:sz w:val="13"/>
                <w:szCs w:val="13"/>
              </w:rPr>
              <w:t>1,183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1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13" w14:textId="77777777" w:rsidR="006A3667" w:rsidRDefault="00045F32">
            <w:pPr>
              <w:jc w:val="right"/>
              <w:textAlignment w:val="bottom"/>
            </w:pPr>
            <w:r>
              <w:rPr>
                <w:rFonts w:ascii="Arial" w:eastAsia="宋体" w:hAnsi="Arial" w:cs="Arial"/>
                <w:b/>
                <w:bCs/>
                <w:color w:val="000000"/>
                <w:sz w:val="13"/>
                <w:szCs w:val="13"/>
              </w:rPr>
              <w:t>1,680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1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1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16" w14:textId="77777777" w:rsidR="006A3667" w:rsidRDefault="00045F32">
            <w:pPr>
              <w:jc w:val="right"/>
              <w:textAlignment w:val="bottom"/>
            </w:pPr>
            <w:r>
              <w:rPr>
                <w:rFonts w:ascii="Arial" w:eastAsia="宋体" w:hAnsi="Arial" w:cs="Arial"/>
                <w:b/>
                <w:bCs/>
                <w:color w:val="000000"/>
                <w:sz w:val="13"/>
                <w:szCs w:val="13"/>
              </w:rPr>
              <w:t>1,662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17" w14:textId="77777777" w:rsidR="006A3667" w:rsidRDefault="006A3667">
            <w:pPr>
              <w:jc w:val="right"/>
              <w:rPr>
                <w:rFonts w:ascii="宋体"/>
              </w:rPr>
            </w:pPr>
          </w:p>
        </w:tc>
      </w:tr>
      <w:tr w:rsidR="006A3667" w14:paraId="71D45B37" w14:textId="77777777">
        <w:tc>
          <w:tcPr>
            <w:tcW w:w="0" w:type="auto"/>
            <w:gridSpan w:val="3"/>
            <w:shd w:val="clear" w:color="auto" w:fill="FFFFFF"/>
            <w:tcMar>
              <w:top w:w="40" w:type="dxa"/>
              <w:left w:w="245" w:type="dxa"/>
              <w:bottom w:w="40" w:type="dxa"/>
              <w:right w:w="20" w:type="dxa"/>
            </w:tcMar>
            <w:vAlign w:val="bottom"/>
          </w:tcPr>
          <w:p w14:paraId="71D45B19" w14:textId="77777777" w:rsidR="006A3667" w:rsidRDefault="00045F32">
            <w:pPr>
              <w:textAlignment w:val="bottom"/>
            </w:pPr>
            <w:r>
              <w:rPr>
                <w:rFonts w:ascii="Arial" w:eastAsia="宋体" w:hAnsi="Arial" w:cs="Arial"/>
                <w:color w:val="000000"/>
                <w:sz w:val="13"/>
                <w:szCs w:val="13"/>
              </w:rPr>
              <w:t>Asset-backed securities</w:t>
            </w:r>
          </w:p>
        </w:tc>
        <w:tc>
          <w:tcPr>
            <w:tcW w:w="0" w:type="auto"/>
            <w:gridSpan w:val="2"/>
            <w:shd w:val="clear" w:color="auto" w:fill="FFFFFF"/>
            <w:tcMar>
              <w:top w:w="40" w:type="dxa"/>
              <w:left w:w="20" w:type="dxa"/>
              <w:bottom w:w="40" w:type="dxa"/>
              <w:right w:w="0" w:type="dxa"/>
            </w:tcMar>
            <w:vAlign w:val="bottom"/>
          </w:tcPr>
          <w:p w14:paraId="71D45B1A" w14:textId="77777777" w:rsidR="006A3667" w:rsidRDefault="00045F32">
            <w:pPr>
              <w:jc w:val="right"/>
              <w:textAlignment w:val="bottom"/>
            </w:pPr>
            <w:r>
              <w:rPr>
                <w:rFonts w:ascii="Arial" w:eastAsia="宋体" w:hAnsi="Arial" w:cs="Arial"/>
                <w:b/>
                <w:bCs/>
                <w:color w:val="000000"/>
                <w:sz w:val="13"/>
                <w:szCs w:val="13"/>
              </w:rPr>
              <w:t>272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1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1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1D" w14:textId="77777777" w:rsidR="006A3667" w:rsidRDefault="00045F32">
            <w:pPr>
              <w:jc w:val="right"/>
              <w:textAlignment w:val="bottom"/>
            </w:pPr>
            <w:r>
              <w:rPr>
                <w:rFonts w:ascii="Arial" w:eastAsia="宋体" w:hAnsi="Arial" w:cs="Arial"/>
                <w:b/>
                <w:bCs/>
                <w:color w:val="000000"/>
                <w:sz w:val="13"/>
                <w:szCs w:val="13"/>
              </w:rPr>
              <w:t>266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1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1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20" w14:textId="77777777" w:rsidR="006A3667" w:rsidRDefault="00045F32">
            <w:pPr>
              <w:jc w:val="right"/>
              <w:textAlignment w:val="bottom"/>
            </w:pPr>
            <w:r>
              <w:rPr>
                <w:rFonts w:ascii="Arial" w:eastAsia="宋体" w:hAnsi="Arial" w:cs="Arial"/>
                <w:b/>
                <w:bCs/>
                <w:color w:val="000000"/>
                <w:sz w:val="13"/>
                <w:szCs w:val="13"/>
              </w:rPr>
              <w:t>653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2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23" w14:textId="77777777" w:rsidR="006A3667" w:rsidRDefault="00045F32">
            <w:pPr>
              <w:jc w:val="right"/>
              <w:textAlignment w:val="bottom"/>
            </w:pPr>
            <w:r>
              <w:rPr>
                <w:rFonts w:ascii="Arial" w:eastAsia="宋体" w:hAnsi="Arial" w:cs="Arial"/>
                <w:b/>
                <w:bCs/>
                <w:color w:val="000000"/>
                <w:sz w:val="13"/>
                <w:szCs w:val="13"/>
              </w:rPr>
              <w:t>642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2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2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26" w14:textId="77777777" w:rsidR="006A3667" w:rsidRDefault="00045F32">
            <w:pPr>
              <w:jc w:val="right"/>
              <w:textAlignment w:val="bottom"/>
            </w:pPr>
            <w:r>
              <w:rPr>
                <w:rFonts w:ascii="Arial" w:eastAsia="宋体" w:hAnsi="Arial" w:cs="Arial"/>
                <w:b/>
                <w:bCs/>
                <w:color w:val="000000"/>
                <w:sz w:val="13"/>
                <w:szCs w:val="13"/>
              </w:rPr>
              <w:t>422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2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2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29" w14:textId="77777777" w:rsidR="006A3667" w:rsidRDefault="00045F32">
            <w:pPr>
              <w:jc w:val="right"/>
              <w:textAlignment w:val="bottom"/>
            </w:pPr>
            <w:r>
              <w:rPr>
                <w:rFonts w:ascii="Arial" w:eastAsia="宋体" w:hAnsi="Arial" w:cs="Arial"/>
                <w:b/>
                <w:bCs/>
                <w:color w:val="000000"/>
                <w:sz w:val="13"/>
                <w:szCs w:val="13"/>
              </w:rPr>
              <w:t>415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2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2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2C" w14:textId="77777777" w:rsidR="006A3667" w:rsidRDefault="00045F32">
            <w:pPr>
              <w:jc w:val="right"/>
              <w:textAlignment w:val="bottom"/>
            </w:pPr>
            <w:r>
              <w:rPr>
                <w:rFonts w:ascii="Arial" w:eastAsia="宋体" w:hAnsi="Arial" w:cs="Arial"/>
                <w:b/>
                <w:bCs/>
                <w:color w:val="000000"/>
                <w:sz w:val="13"/>
                <w:szCs w:val="13"/>
              </w:rPr>
              <w:t>324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2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2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2F" w14:textId="77777777" w:rsidR="006A3667" w:rsidRDefault="00045F32">
            <w:pPr>
              <w:jc w:val="right"/>
              <w:textAlignment w:val="bottom"/>
            </w:pPr>
            <w:r>
              <w:rPr>
                <w:rFonts w:ascii="Arial" w:eastAsia="宋体" w:hAnsi="Arial" w:cs="Arial"/>
                <w:b/>
                <w:bCs/>
                <w:color w:val="000000"/>
                <w:sz w:val="13"/>
                <w:szCs w:val="13"/>
              </w:rPr>
              <w:t>317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3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3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32" w14:textId="77777777" w:rsidR="006A3667" w:rsidRDefault="00045F32">
            <w:pPr>
              <w:jc w:val="right"/>
              <w:textAlignment w:val="bottom"/>
            </w:pPr>
            <w:r>
              <w:rPr>
                <w:rFonts w:ascii="Arial" w:eastAsia="宋体" w:hAnsi="Arial" w:cs="Arial"/>
                <w:b/>
                <w:bCs/>
                <w:color w:val="000000"/>
                <w:sz w:val="13"/>
                <w:szCs w:val="13"/>
              </w:rPr>
              <w:t>1,671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3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3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35" w14:textId="77777777" w:rsidR="006A3667" w:rsidRDefault="00045F32">
            <w:pPr>
              <w:jc w:val="right"/>
              <w:textAlignment w:val="bottom"/>
            </w:pPr>
            <w:r>
              <w:rPr>
                <w:rFonts w:ascii="Arial" w:eastAsia="宋体" w:hAnsi="Arial" w:cs="Arial"/>
                <w:b/>
                <w:bCs/>
                <w:color w:val="000000"/>
                <w:sz w:val="13"/>
                <w:szCs w:val="13"/>
              </w:rPr>
              <w:t>1,640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36" w14:textId="77777777" w:rsidR="006A3667" w:rsidRDefault="006A3667">
            <w:pPr>
              <w:jc w:val="right"/>
              <w:rPr>
                <w:rFonts w:ascii="宋体"/>
              </w:rPr>
            </w:pPr>
          </w:p>
        </w:tc>
      </w:tr>
      <w:tr w:rsidR="006A3667" w14:paraId="71D45B56" w14:textId="77777777">
        <w:tc>
          <w:tcPr>
            <w:tcW w:w="0" w:type="auto"/>
            <w:gridSpan w:val="3"/>
            <w:shd w:val="clear" w:color="auto" w:fill="CCEEFF"/>
            <w:tcMar>
              <w:top w:w="40" w:type="dxa"/>
              <w:left w:w="245" w:type="dxa"/>
              <w:bottom w:w="40" w:type="dxa"/>
              <w:right w:w="20" w:type="dxa"/>
            </w:tcMar>
            <w:vAlign w:val="bottom"/>
          </w:tcPr>
          <w:p w14:paraId="71D45B38" w14:textId="77777777" w:rsidR="006A3667" w:rsidRDefault="00045F32">
            <w:pPr>
              <w:textAlignment w:val="bottom"/>
            </w:pPr>
            <w:r>
              <w:rPr>
                <w:rFonts w:ascii="Arial" w:eastAsia="宋体" w:hAnsi="Arial" w:cs="Arial"/>
                <w:color w:val="000000"/>
                <w:sz w:val="13"/>
                <w:szCs w:val="13"/>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5B39" w14:textId="77777777" w:rsidR="006A3667" w:rsidRDefault="00045F32">
            <w:pPr>
              <w:jc w:val="right"/>
              <w:textAlignment w:val="bottom"/>
            </w:pPr>
            <w:r>
              <w:rPr>
                <w:rFonts w:ascii="Arial" w:eastAsia="宋体" w:hAnsi="Arial" w:cs="Arial"/>
                <w:b/>
                <w:bCs/>
                <w:color w:val="000000"/>
                <w:sz w:val="13"/>
                <w:szCs w:val="13"/>
              </w:rPr>
              <w:t>3,929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3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3C" w14:textId="77777777" w:rsidR="006A3667" w:rsidRDefault="00045F32">
            <w:pPr>
              <w:jc w:val="right"/>
              <w:textAlignment w:val="bottom"/>
            </w:pPr>
            <w:r>
              <w:rPr>
                <w:rFonts w:ascii="Arial" w:eastAsia="宋体" w:hAnsi="Arial" w:cs="Arial"/>
                <w:b/>
                <w:bCs/>
                <w:color w:val="000000"/>
                <w:sz w:val="13"/>
                <w:szCs w:val="13"/>
              </w:rPr>
              <w:t>3,894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3F" w14:textId="77777777" w:rsidR="006A3667" w:rsidRDefault="00045F32">
            <w:pPr>
              <w:jc w:val="right"/>
              <w:textAlignment w:val="bottom"/>
            </w:pPr>
            <w:r>
              <w:rPr>
                <w:rFonts w:ascii="Arial" w:eastAsia="宋体" w:hAnsi="Arial" w:cs="Arial"/>
                <w:b/>
                <w:bCs/>
                <w:color w:val="000000"/>
                <w:sz w:val="13"/>
                <w:szCs w:val="13"/>
              </w:rPr>
              <w:t>7,653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4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42" w14:textId="77777777" w:rsidR="006A3667" w:rsidRDefault="00045F32">
            <w:pPr>
              <w:jc w:val="right"/>
              <w:textAlignment w:val="bottom"/>
            </w:pPr>
            <w:r>
              <w:rPr>
                <w:rFonts w:ascii="Arial" w:eastAsia="宋体" w:hAnsi="Arial" w:cs="Arial"/>
                <w:b/>
                <w:bCs/>
                <w:color w:val="000000"/>
                <w:sz w:val="13"/>
                <w:szCs w:val="13"/>
              </w:rPr>
              <w:t>7,244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4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45" w14:textId="77777777" w:rsidR="006A3667" w:rsidRDefault="00045F32">
            <w:pPr>
              <w:jc w:val="right"/>
              <w:textAlignment w:val="bottom"/>
            </w:pPr>
            <w:r>
              <w:rPr>
                <w:rFonts w:ascii="Arial" w:eastAsia="宋体" w:hAnsi="Arial" w:cs="Arial"/>
                <w:b/>
                <w:bCs/>
                <w:color w:val="000000"/>
                <w:sz w:val="13"/>
                <w:szCs w:val="13"/>
              </w:rPr>
              <w:t>2,560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4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4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48" w14:textId="77777777" w:rsidR="006A3667" w:rsidRDefault="00045F32">
            <w:pPr>
              <w:jc w:val="right"/>
              <w:textAlignment w:val="bottom"/>
            </w:pPr>
            <w:r>
              <w:rPr>
                <w:rFonts w:ascii="Arial" w:eastAsia="宋体" w:hAnsi="Arial" w:cs="Arial"/>
                <w:b/>
                <w:bCs/>
                <w:color w:val="000000"/>
                <w:sz w:val="13"/>
                <w:szCs w:val="13"/>
              </w:rPr>
              <w:t>2,536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4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4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4B"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4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4E"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4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5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51" w14:textId="77777777" w:rsidR="006A3667" w:rsidRDefault="00045F32">
            <w:pPr>
              <w:jc w:val="right"/>
              <w:textAlignment w:val="bottom"/>
            </w:pPr>
            <w:r>
              <w:rPr>
                <w:rFonts w:ascii="Arial" w:eastAsia="宋体" w:hAnsi="Arial" w:cs="Arial"/>
                <w:b/>
                <w:bCs/>
                <w:color w:val="000000"/>
                <w:sz w:val="13"/>
                <w:szCs w:val="13"/>
              </w:rPr>
              <w:t>14,142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5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5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54" w14:textId="77777777" w:rsidR="006A3667" w:rsidRDefault="00045F32">
            <w:pPr>
              <w:jc w:val="right"/>
              <w:textAlignment w:val="bottom"/>
            </w:pPr>
            <w:r>
              <w:rPr>
                <w:rFonts w:ascii="Arial" w:eastAsia="宋体" w:hAnsi="Arial" w:cs="Arial"/>
                <w:b/>
                <w:bCs/>
                <w:color w:val="000000"/>
                <w:sz w:val="13"/>
                <w:szCs w:val="13"/>
              </w:rPr>
              <w:t>13,674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55" w14:textId="77777777" w:rsidR="006A3667" w:rsidRDefault="006A3667">
            <w:pPr>
              <w:jc w:val="right"/>
              <w:rPr>
                <w:rFonts w:ascii="宋体"/>
              </w:rPr>
            </w:pPr>
          </w:p>
        </w:tc>
      </w:tr>
      <w:tr w:rsidR="006A3667" w14:paraId="71D45B75" w14:textId="77777777">
        <w:tc>
          <w:tcPr>
            <w:tcW w:w="0" w:type="auto"/>
            <w:gridSpan w:val="3"/>
            <w:shd w:val="clear" w:color="auto" w:fill="FFFFFF"/>
            <w:tcMar>
              <w:top w:w="40" w:type="dxa"/>
              <w:left w:w="245" w:type="dxa"/>
              <w:bottom w:w="40" w:type="dxa"/>
              <w:right w:w="20" w:type="dxa"/>
            </w:tcMar>
            <w:vAlign w:val="bottom"/>
          </w:tcPr>
          <w:p w14:paraId="71D45B57" w14:textId="77777777" w:rsidR="006A3667" w:rsidRDefault="00045F32">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71D45B58" w14:textId="77777777" w:rsidR="006A3667" w:rsidRDefault="00045F32">
            <w:pPr>
              <w:jc w:val="right"/>
              <w:textAlignment w:val="bottom"/>
            </w:pPr>
            <w:r>
              <w:rPr>
                <w:rFonts w:ascii="Arial" w:eastAsia="宋体" w:hAnsi="Arial" w:cs="Arial"/>
                <w:b/>
                <w:bCs/>
                <w:color w:val="000000"/>
                <w:sz w:val="13"/>
                <w:szCs w:val="13"/>
              </w:rPr>
              <w:t>241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5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5B" w14:textId="77777777" w:rsidR="006A3667" w:rsidRDefault="00045F32">
            <w:pPr>
              <w:jc w:val="right"/>
              <w:textAlignment w:val="bottom"/>
            </w:pPr>
            <w:r>
              <w:rPr>
                <w:rFonts w:ascii="Arial" w:eastAsia="宋体" w:hAnsi="Arial" w:cs="Arial"/>
                <w:b/>
                <w:bCs/>
                <w:color w:val="000000"/>
                <w:sz w:val="13"/>
                <w:szCs w:val="13"/>
              </w:rPr>
              <w:t>238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5E" w14:textId="77777777" w:rsidR="006A3667" w:rsidRDefault="00045F32">
            <w:pPr>
              <w:jc w:val="right"/>
              <w:textAlignment w:val="bottom"/>
            </w:pPr>
            <w:r>
              <w:rPr>
                <w:rFonts w:ascii="Arial" w:eastAsia="宋体" w:hAnsi="Arial" w:cs="Arial"/>
                <w:b/>
                <w:bCs/>
                <w:color w:val="000000"/>
                <w:sz w:val="13"/>
                <w:szCs w:val="13"/>
              </w:rPr>
              <w:t>1,864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61" w14:textId="77777777" w:rsidR="006A3667" w:rsidRDefault="00045F32">
            <w:pPr>
              <w:jc w:val="right"/>
              <w:textAlignment w:val="bottom"/>
            </w:pPr>
            <w:r>
              <w:rPr>
                <w:rFonts w:ascii="Arial" w:eastAsia="宋体" w:hAnsi="Arial" w:cs="Arial"/>
                <w:b/>
                <w:bCs/>
                <w:color w:val="000000"/>
                <w:sz w:val="13"/>
                <w:szCs w:val="13"/>
              </w:rPr>
              <w:t>1,715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6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64" w14:textId="77777777" w:rsidR="006A3667" w:rsidRDefault="00045F32">
            <w:pPr>
              <w:jc w:val="right"/>
              <w:textAlignment w:val="bottom"/>
            </w:pPr>
            <w:r>
              <w:rPr>
                <w:rFonts w:ascii="Arial" w:eastAsia="宋体" w:hAnsi="Arial" w:cs="Arial"/>
                <w:b/>
                <w:bCs/>
                <w:color w:val="000000"/>
                <w:sz w:val="13"/>
                <w:szCs w:val="13"/>
              </w:rPr>
              <w:t>130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6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6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67" w14:textId="77777777" w:rsidR="006A3667" w:rsidRDefault="00045F32">
            <w:pPr>
              <w:jc w:val="right"/>
              <w:textAlignment w:val="bottom"/>
            </w:pPr>
            <w:r>
              <w:rPr>
                <w:rFonts w:ascii="Arial" w:eastAsia="宋体" w:hAnsi="Arial" w:cs="Arial"/>
                <w:b/>
                <w:bCs/>
                <w:color w:val="000000"/>
                <w:sz w:val="13"/>
                <w:szCs w:val="13"/>
              </w:rPr>
              <w:t>110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6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6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6A" w14:textId="77777777" w:rsidR="006A3667" w:rsidRDefault="00045F32">
            <w:pPr>
              <w:jc w:val="right"/>
              <w:textAlignment w:val="bottom"/>
            </w:pPr>
            <w:r>
              <w:rPr>
                <w:rFonts w:ascii="Arial" w:eastAsia="宋体" w:hAnsi="Arial" w:cs="Arial"/>
                <w:b/>
                <w:bCs/>
                <w:color w:val="000000"/>
                <w:sz w:val="13"/>
                <w:szCs w:val="13"/>
              </w:rPr>
              <w:t>27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6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6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6D" w14:textId="77777777" w:rsidR="006A3667" w:rsidRDefault="00045F32">
            <w:pPr>
              <w:jc w:val="right"/>
              <w:textAlignment w:val="bottom"/>
            </w:pPr>
            <w:r>
              <w:rPr>
                <w:rFonts w:ascii="Arial" w:eastAsia="宋体" w:hAnsi="Arial" w:cs="Arial"/>
                <w:b/>
                <w:bCs/>
                <w:color w:val="000000"/>
                <w:sz w:val="13"/>
                <w:szCs w:val="13"/>
              </w:rPr>
              <w:t>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6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6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70" w14:textId="77777777" w:rsidR="006A3667" w:rsidRDefault="00045F32">
            <w:pPr>
              <w:jc w:val="right"/>
              <w:textAlignment w:val="bottom"/>
            </w:pPr>
            <w:r>
              <w:rPr>
                <w:rFonts w:ascii="Arial" w:eastAsia="宋体" w:hAnsi="Arial" w:cs="Arial"/>
                <w:b/>
                <w:bCs/>
                <w:color w:val="000000"/>
                <w:sz w:val="13"/>
                <w:szCs w:val="13"/>
              </w:rPr>
              <w:t>2,262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7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7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73" w14:textId="77777777" w:rsidR="006A3667" w:rsidRDefault="00045F32">
            <w:pPr>
              <w:jc w:val="right"/>
              <w:textAlignment w:val="bottom"/>
            </w:pPr>
            <w:r>
              <w:rPr>
                <w:rFonts w:ascii="Arial" w:eastAsia="宋体" w:hAnsi="Arial" w:cs="Arial"/>
                <w:b/>
                <w:bCs/>
                <w:color w:val="000000"/>
                <w:sz w:val="13"/>
                <w:szCs w:val="13"/>
              </w:rPr>
              <w:t>2,084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74" w14:textId="77777777" w:rsidR="006A3667" w:rsidRDefault="006A3667">
            <w:pPr>
              <w:jc w:val="right"/>
              <w:rPr>
                <w:rFonts w:ascii="宋体"/>
              </w:rPr>
            </w:pPr>
          </w:p>
        </w:tc>
      </w:tr>
      <w:tr w:rsidR="006A3667" w14:paraId="71D45B94" w14:textId="77777777">
        <w:tc>
          <w:tcPr>
            <w:tcW w:w="0" w:type="auto"/>
            <w:gridSpan w:val="3"/>
            <w:shd w:val="clear" w:color="auto" w:fill="CCEEFF"/>
            <w:tcMar>
              <w:top w:w="40" w:type="dxa"/>
              <w:left w:w="395" w:type="dxa"/>
              <w:bottom w:w="40" w:type="dxa"/>
              <w:right w:w="20" w:type="dxa"/>
            </w:tcMar>
            <w:vAlign w:val="bottom"/>
          </w:tcPr>
          <w:p w14:paraId="71D45B76" w14:textId="77777777" w:rsidR="006A3667" w:rsidRDefault="00045F32">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77" w14:textId="77777777" w:rsidR="006A3667" w:rsidRDefault="00045F32">
            <w:pPr>
              <w:jc w:val="right"/>
              <w:textAlignment w:val="bottom"/>
            </w:pPr>
            <w:r>
              <w:rPr>
                <w:rFonts w:ascii="Arial" w:eastAsia="宋体" w:hAnsi="Arial" w:cs="Arial"/>
                <w:b/>
                <w:bCs/>
                <w:color w:val="000000"/>
                <w:sz w:val="13"/>
                <w:szCs w:val="13"/>
              </w:rPr>
              <w:t>4,565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7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7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7A" w14:textId="77777777" w:rsidR="006A3667" w:rsidRDefault="00045F32">
            <w:pPr>
              <w:jc w:val="right"/>
              <w:textAlignment w:val="bottom"/>
            </w:pPr>
            <w:r>
              <w:rPr>
                <w:rFonts w:ascii="Arial" w:eastAsia="宋体" w:hAnsi="Arial" w:cs="Arial"/>
                <w:b/>
                <w:bCs/>
                <w:color w:val="000000"/>
                <w:sz w:val="13"/>
                <w:szCs w:val="13"/>
              </w:rPr>
              <w:t>4,521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7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7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7D" w14:textId="77777777" w:rsidR="006A3667" w:rsidRDefault="00045F32">
            <w:pPr>
              <w:jc w:val="right"/>
              <w:textAlignment w:val="bottom"/>
            </w:pPr>
            <w:r>
              <w:rPr>
                <w:rFonts w:ascii="Arial" w:eastAsia="宋体" w:hAnsi="Arial" w:cs="Arial"/>
                <w:b/>
                <w:bCs/>
                <w:color w:val="000000"/>
                <w:sz w:val="13"/>
                <w:szCs w:val="13"/>
              </w:rPr>
              <w:t>10,509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7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80" w14:textId="77777777" w:rsidR="006A3667" w:rsidRDefault="00045F32">
            <w:pPr>
              <w:jc w:val="right"/>
              <w:textAlignment w:val="bottom"/>
            </w:pPr>
            <w:r>
              <w:rPr>
                <w:rFonts w:ascii="Arial" w:eastAsia="宋体" w:hAnsi="Arial" w:cs="Arial"/>
                <w:b/>
                <w:bCs/>
                <w:color w:val="000000"/>
                <w:sz w:val="13"/>
                <w:szCs w:val="13"/>
              </w:rPr>
              <w:t>9,937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8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83" w14:textId="77777777" w:rsidR="006A3667" w:rsidRDefault="00045F32">
            <w:pPr>
              <w:jc w:val="right"/>
              <w:textAlignment w:val="bottom"/>
            </w:pPr>
            <w:r>
              <w:rPr>
                <w:rFonts w:ascii="Arial" w:eastAsia="宋体" w:hAnsi="Arial" w:cs="Arial"/>
                <w:b/>
                <w:bCs/>
                <w:color w:val="000000"/>
                <w:sz w:val="13"/>
                <w:szCs w:val="13"/>
              </w:rPr>
              <w:t>3,132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8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8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86" w14:textId="77777777" w:rsidR="006A3667" w:rsidRDefault="00045F32">
            <w:pPr>
              <w:jc w:val="right"/>
              <w:textAlignment w:val="bottom"/>
            </w:pPr>
            <w:r>
              <w:rPr>
                <w:rFonts w:ascii="Arial" w:eastAsia="宋体" w:hAnsi="Arial" w:cs="Arial"/>
                <w:b/>
                <w:bCs/>
                <w:color w:val="000000"/>
                <w:sz w:val="13"/>
                <w:szCs w:val="13"/>
              </w:rPr>
              <w:t>3,081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8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8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89" w14:textId="77777777" w:rsidR="006A3667" w:rsidRDefault="00045F32">
            <w:pPr>
              <w:jc w:val="right"/>
              <w:textAlignment w:val="bottom"/>
            </w:pPr>
            <w:r>
              <w:rPr>
                <w:rFonts w:ascii="Arial" w:eastAsia="宋体" w:hAnsi="Arial" w:cs="Arial"/>
                <w:b/>
                <w:bCs/>
                <w:color w:val="000000"/>
                <w:sz w:val="13"/>
                <w:szCs w:val="13"/>
              </w:rPr>
              <w:t>1,549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8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8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8C" w14:textId="77777777" w:rsidR="006A3667" w:rsidRDefault="00045F32">
            <w:pPr>
              <w:jc w:val="right"/>
              <w:textAlignment w:val="bottom"/>
            </w:pPr>
            <w:r>
              <w:rPr>
                <w:rFonts w:ascii="Arial" w:eastAsia="宋体" w:hAnsi="Arial" w:cs="Arial"/>
                <w:b/>
                <w:bCs/>
                <w:color w:val="000000"/>
                <w:sz w:val="13"/>
                <w:szCs w:val="13"/>
              </w:rPr>
              <w:t>1,521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8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8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8F" w14:textId="77777777" w:rsidR="006A3667" w:rsidRDefault="00045F32">
            <w:pPr>
              <w:jc w:val="right"/>
              <w:textAlignment w:val="bottom"/>
            </w:pPr>
            <w:r>
              <w:rPr>
                <w:rFonts w:ascii="Arial" w:eastAsia="宋体" w:hAnsi="Arial" w:cs="Arial"/>
                <w:b/>
                <w:bCs/>
                <w:color w:val="000000"/>
                <w:sz w:val="13"/>
                <w:szCs w:val="13"/>
              </w:rPr>
              <w:t>19,755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9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9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B92" w14:textId="77777777" w:rsidR="006A3667" w:rsidRDefault="00045F32">
            <w:pPr>
              <w:jc w:val="right"/>
              <w:textAlignment w:val="bottom"/>
            </w:pPr>
            <w:r>
              <w:rPr>
                <w:rFonts w:ascii="Arial" w:eastAsia="宋体" w:hAnsi="Arial" w:cs="Arial"/>
                <w:b/>
                <w:bCs/>
                <w:color w:val="000000"/>
                <w:sz w:val="13"/>
                <w:szCs w:val="13"/>
              </w:rPr>
              <w:t>19,060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B93" w14:textId="77777777" w:rsidR="006A3667" w:rsidRDefault="006A3667">
            <w:pPr>
              <w:jc w:val="right"/>
              <w:rPr>
                <w:rFonts w:ascii="宋体"/>
              </w:rPr>
            </w:pPr>
          </w:p>
        </w:tc>
      </w:tr>
      <w:tr w:rsidR="006A3667" w14:paraId="71D45BA9" w14:textId="77777777">
        <w:tc>
          <w:tcPr>
            <w:tcW w:w="0" w:type="auto"/>
            <w:gridSpan w:val="3"/>
            <w:shd w:val="clear" w:color="auto" w:fill="FFFFFF"/>
            <w:tcMar>
              <w:top w:w="40" w:type="dxa"/>
              <w:left w:w="20" w:type="dxa"/>
              <w:bottom w:w="40" w:type="dxa"/>
              <w:right w:w="20" w:type="dxa"/>
            </w:tcMar>
            <w:vAlign w:val="bottom"/>
          </w:tcPr>
          <w:p w14:paraId="71D45B95" w14:textId="77777777" w:rsidR="006A3667" w:rsidRDefault="00045F32">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9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97"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9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99"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9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9B"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9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9D"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9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9F"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A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A1"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A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A3"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A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A5"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A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BA7"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BA8" w14:textId="77777777" w:rsidR="006A3667" w:rsidRDefault="006A3667">
            <w:pPr>
              <w:rPr>
                <w:rFonts w:ascii="宋体"/>
              </w:rPr>
            </w:pPr>
          </w:p>
        </w:tc>
      </w:tr>
      <w:tr w:rsidR="006A3667" w14:paraId="71D45BC8" w14:textId="77777777">
        <w:tc>
          <w:tcPr>
            <w:tcW w:w="0" w:type="auto"/>
            <w:gridSpan w:val="3"/>
            <w:shd w:val="clear" w:color="auto" w:fill="CCEEFF"/>
            <w:tcMar>
              <w:top w:w="40" w:type="dxa"/>
              <w:left w:w="245" w:type="dxa"/>
              <w:bottom w:w="40" w:type="dxa"/>
              <w:right w:w="20" w:type="dxa"/>
            </w:tcMar>
            <w:vAlign w:val="bottom"/>
          </w:tcPr>
          <w:p w14:paraId="71D45BAA" w14:textId="77777777" w:rsidR="006A3667" w:rsidRDefault="00045F32">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71D45BAB" w14:textId="77777777" w:rsidR="006A3667" w:rsidRDefault="00045F32">
            <w:pPr>
              <w:jc w:val="right"/>
              <w:textAlignment w:val="bottom"/>
            </w:pPr>
            <w:r>
              <w:rPr>
                <w:rFonts w:ascii="Arial" w:eastAsia="宋体" w:hAnsi="Arial" w:cs="Arial"/>
                <w:b/>
                <w:bCs/>
                <w:color w:val="000000"/>
                <w:sz w:val="13"/>
                <w:szCs w:val="13"/>
              </w:rPr>
              <w:t>51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A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AE" w14:textId="77777777" w:rsidR="006A3667" w:rsidRDefault="00045F32">
            <w:pPr>
              <w:jc w:val="right"/>
              <w:textAlignment w:val="bottom"/>
            </w:pPr>
            <w:r>
              <w:rPr>
                <w:rFonts w:ascii="Arial" w:eastAsia="宋体" w:hAnsi="Arial" w:cs="Arial"/>
                <w:b/>
                <w:bCs/>
                <w:color w:val="000000"/>
                <w:sz w:val="13"/>
                <w:szCs w:val="13"/>
              </w:rPr>
              <w:t>51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B1"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B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B4"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B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B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B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BA"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B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BD" w14:textId="77777777" w:rsidR="006A3667" w:rsidRDefault="00045F32">
            <w:pPr>
              <w:jc w:val="right"/>
              <w:textAlignment w:val="bottom"/>
            </w:pPr>
            <w:r>
              <w:rPr>
                <w:rFonts w:ascii="Arial" w:eastAsia="宋体" w:hAnsi="Arial" w:cs="Arial"/>
                <w:b/>
                <w:bCs/>
                <w:color w:val="000000"/>
                <w:sz w:val="13"/>
                <w:szCs w:val="13"/>
              </w:rPr>
              <w:t>83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B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C0" w14:textId="77777777" w:rsidR="006A3667" w:rsidRDefault="00045F32">
            <w:pPr>
              <w:jc w:val="right"/>
              <w:textAlignment w:val="bottom"/>
            </w:pPr>
            <w:r>
              <w:rPr>
                <w:rFonts w:ascii="Arial" w:eastAsia="宋体" w:hAnsi="Arial" w:cs="Arial"/>
                <w:b/>
                <w:bCs/>
                <w:color w:val="000000"/>
                <w:sz w:val="13"/>
                <w:szCs w:val="13"/>
              </w:rPr>
              <w:t>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C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C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C3" w14:textId="77777777" w:rsidR="006A3667" w:rsidRDefault="00045F32">
            <w:pPr>
              <w:jc w:val="right"/>
              <w:textAlignment w:val="bottom"/>
            </w:pPr>
            <w:r>
              <w:rPr>
                <w:rFonts w:ascii="Arial" w:eastAsia="宋体" w:hAnsi="Arial" w:cs="Arial"/>
                <w:b/>
                <w:bCs/>
                <w:color w:val="000000"/>
                <w:sz w:val="13"/>
                <w:szCs w:val="13"/>
              </w:rPr>
              <w:t>134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C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BC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BC6" w14:textId="77777777" w:rsidR="006A3667" w:rsidRDefault="00045F32">
            <w:pPr>
              <w:jc w:val="right"/>
              <w:textAlignment w:val="bottom"/>
            </w:pPr>
            <w:r>
              <w:rPr>
                <w:rFonts w:ascii="Arial" w:eastAsia="宋体" w:hAnsi="Arial" w:cs="Arial"/>
                <w:b/>
                <w:bCs/>
                <w:color w:val="000000"/>
                <w:sz w:val="13"/>
                <w:szCs w:val="13"/>
              </w:rPr>
              <w:t>133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BC7" w14:textId="77777777" w:rsidR="006A3667" w:rsidRDefault="006A3667">
            <w:pPr>
              <w:jc w:val="right"/>
              <w:rPr>
                <w:rFonts w:ascii="宋体"/>
              </w:rPr>
            </w:pPr>
          </w:p>
        </w:tc>
      </w:tr>
      <w:tr w:rsidR="006A3667" w14:paraId="71D45BDD" w14:textId="77777777">
        <w:trPr>
          <w:hidden/>
        </w:trPr>
        <w:tc>
          <w:tcPr>
            <w:tcW w:w="0" w:type="auto"/>
            <w:gridSpan w:val="3"/>
            <w:shd w:val="clear" w:color="auto" w:fill="auto"/>
            <w:vAlign w:val="bottom"/>
          </w:tcPr>
          <w:p w14:paraId="71D45BC9" w14:textId="77777777" w:rsidR="006A3667" w:rsidRDefault="006A3667">
            <w:pPr>
              <w:rPr>
                <w:rFonts w:ascii="宋体"/>
                <w:vanish/>
              </w:rPr>
            </w:pPr>
          </w:p>
        </w:tc>
        <w:tc>
          <w:tcPr>
            <w:tcW w:w="0" w:type="auto"/>
            <w:gridSpan w:val="3"/>
            <w:shd w:val="clear" w:color="auto" w:fill="auto"/>
            <w:vAlign w:val="bottom"/>
          </w:tcPr>
          <w:p w14:paraId="71D45BCA" w14:textId="77777777" w:rsidR="006A3667" w:rsidRDefault="006A3667">
            <w:pPr>
              <w:rPr>
                <w:rFonts w:ascii="宋体"/>
                <w:vanish/>
              </w:rPr>
            </w:pPr>
          </w:p>
        </w:tc>
        <w:tc>
          <w:tcPr>
            <w:tcW w:w="0" w:type="auto"/>
            <w:gridSpan w:val="3"/>
            <w:shd w:val="clear" w:color="auto" w:fill="auto"/>
            <w:vAlign w:val="bottom"/>
          </w:tcPr>
          <w:p w14:paraId="71D45BCB" w14:textId="77777777" w:rsidR="006A3667" w:rsidRDefault="006A3667">
            <w:pPr>
              <w:rPr>
                <w:rFonts w:ascii="宋体"/>
                <w:vanish/>
              </w:rPr>
            </w:pPr>
          </w:p>
        </w:tc>
        <w:tc>
          <w:tcPr>
            <w:tcW w:w="0" w:type="auto"/>
            <w:gridSpan w:val="3"/>
            <w:shd w:val="clear" w:color="auto" w:fill="auto"/>
            <w:vAlign w:val="bottom"/>
          </w:tcPr>
          <w:p w14:paraId="71D45BCC" w14:textId="77777777" w:rsidR="006A3667" w:rsidRDefault="006A3667">
            <w:pPr>
              <w:rPr>
                <w:rFonts w:ascii="宋体"/>
                <w:vanish/>
              </w:rPr>
            </w:pPr>
          </w:p>
        </w:tc>
        <w:tc>
          <w:tcPr>
            <w:tcW w:w="0" w:type="auto"/>
            <w:gridSpan w:val="3"/>
            <w:shd w:val="clear" w:color="auto" w:fill="auto"/>
            <w:vAlign w:val="bottom"/>
          </w:tcPr>
          <w:p w14:paraId="71D45BCD" w14:textId="77777777" w:rsidR="006A3667" w:rsidRDefault="006A3667">
            <w:pPr>
              <w:rPr>
                <w:rFonts w:ascii="宋体"/>
                <w:vanish/>
              </w:rPr>
            </w:pPr>
          </w:p>
        </w:tc>
        <w:tc>
          <w:tcPr>
            <w:tcW w:w="0" w:type="auto"/>
            <w:gridSpan w:val="3"/>
            <w:shd w:val="clear" w:color="auto" w:fill="auto"/>
            <w:vAlign w:val="bottom"/>
          </w:tcPr>
          <w:p w14:paraId="71D45BCE" w14:textId="77777777" w:rsidR="006A3667" w:rsidRDefault="006A3667">
            <w:pPr>
              <w:rPr>
                <w:rFonts w:ascii="宋体"/>
                <w:vanish/>
              </w:rPr>
            </w:pPr>
          </w:p>
        </w:tc>
        <w:tc>
          <w:tcPr>
            <w:tcW w:w="0" w:type="auto"/>
            <w:gridSpan w:val="3"/>
            <w:shd w:val="clear" w:color="auto" w:fill="auto"/>
            <w:vAlign w:val="bottom"/>
          </w:tcPr>
          <w:p w14:paraId="71D45BCF" w14:textId="77777777" w:rsidR="006A3667" w:rsidRDefault="006A3667">
            <w:pPr>
              <w:rPr>
                <w:rFonts w:ascii="宋体"/>
                <w:vanish/>
              </w:rPr>
            </w:pPr>
          </w:p>
        </w:tc>
        <w:tc>
          <w:tcPr>
            <w:tcW w:w="0" w:type="auto"/>
            <w:gridSpan w:val="3"/>
            <w:shd w:val="clear" w:color="auto" w:fill="auto"/>
            <w:vAlign w:val="bottom"/>
          </w:tcPr>
          <w:p w14:paraId="71D45BD0" w14:textId="77777777" w:rsidR="006A3667" w:rsidRDefault="006A3667">
            <w:pPr>
              <w:rPr>
                <w:rFonts w:ascii="宋体"/>
                <w:vanish/>
              </w:rPr>
            </w:pPr>
          </w:p>
        </w:tc>
        <w:tc>
          <w:tcPr>
            <w:tcW w:w="0" w:type="auto"/>
            <w:gridSpan w:val="3"/>
            <w:shd w:val="clear" w:color="auto" w:fill="auto"/>
            <w:vAlign w:val="bottom"/>
          </w:tcPr>
          <w:p w14:paraId="71D45BD1" w14:textId="77777777" w:rsidR="006A3667" w:rsidRDefault="006A3667">
            <w:pPr>
              <w:rPr>
                <w:rFonts w:ascii="宋体"/>
                <w:vanish/>
              </w:rPr>
            </w:pPr>
          </w:p>
        </w:tc>
        <w:tc>
          <w:tcPr>
            <w:tcW w:w="0" w:type="auto"/>
            <w:gridSpan w:val="3"/>
            <w:shd w:val="clear" w:color="auto" w:fill="auto"/>
            <w:vAlign w:val="bottom"/>
          </w:tcPr>
          <w:p w14:paraId="71D45BD2" w14:textId="77777777" w:rsidR="006A3667" w:rsidRDefault="006A3667">
            <w:pPr>
              <w:rPr>
                <w:rFonts w:ascii="宋体"/>
                <w:vanish/>
              </w:rPr>
            </w:pPr>
          </w:p>
        </w:tc>
        <w:tc>
          <w:tcPr>
            <w:tcW w:w="0" w:type="auto"/>
            <w:gridSpan w:val="3"/>
            <w:shd w:val="clear" w:color="auto" w:fill="auto"/>
            <w:vAlign w:val="bottom"/>
          </w:tcPr>
          <w:p w14:paraId="71D45BD3" w14:textId="77777777" w:rsidR="006A3667" w:rsidRDefault="006A3667">
            <w:pPr>
              <w:rPr>
                <w:rFonts w:ascii="宋体"/>
                <w:vanish/>
              </w:rPr>
            </w:pPr>
          </w:p>
        </w:tc>
        <w:tc>
          <w:tcPr>
            <w:tcW w:w="0" w:type="auto"/>
            <w:gridSpan w:val="3"/>
            <w:shd w:val="clear" w:color="auto" w:fill="auto"/>
            <w:vAlign w:val="bottom"/>
          </w:tcPr>
          <w:p w14:paraId="71D45BD4" w14:textId="77777777" w:rsidR="006A3667" w:rsidRDefault="006A3667">
            <w:pPr>
              <w:rPr>
                <w:rFonts w:ascii="宋体"/>
                <w:vanish/>
              </w:rPr>
            </w:pPr>
          </w:p>
        </w:tc>
        <w:tc>
          <w:tcPr>
            <w:tcW w:w="0" w:type="auto"/>
            <w:gridSpan w:val="3"/>
            <w:shd w:val="clear" w:color="auto" w:fill="auto"/>
            <w:vAlign w:val="bottom"/>
          </w:tcPr>
          <w:p w14:paraId="71D45BD5" w14:textId="77777777" w:rsidR="006A3667" w:rsidRDefault="006A3667">
            <w:pPr>
              <w:rPr>
                <w:rFonts w:ascii="宋体"/>
                <w:vanish/>
              </w:rPr>
            </w:pPr>
          </w:p>
        </w:tc>
        <w:tc>
          <w:tcPr>
            <w:tcW w:w="0" w:type="auto"/>
            <w:gridSpan w:val="3"/>
            <w:shd w:val="clear" w:color="auto" w:fill="auto"/>
            <w:vAlign w:val="bottom"/>
          </w:tcPr>
          <w:p w14:paraId="71D45BD6" w14:textId="77777777" w:rsidR="006A3667" w:rsidRDefault="006A3667">
            <w:pPr>
              <w:rPr>
                <w:rFonts w:ascii="宋体"/>
                <w:vanish/>
              </w:rPr>
            </w:pPr>
          </w:p>
        </w:tc>
        <w:tc>
          <w:tcPr>
            <w:tcW w:w="0" w:type="auto"/>
            <w:gridSpan w:val="3"/>
            <w:shd w:val="clear" w:color="auto" w:fill="auto"/>
            <w:vAlign w:val="bottom"/>
          </w:tcPr>
          <w:p w14:paraId="71D45BD7" w14:textId="77777777" w:rsidR="006A3667" w:rsidRDefault="006A3667">
            <w:pPr>
              <w:rPr>
                <w:rFonts w:ascii="宋体"/>
                <w:vanish/>
              </w:rPr>
            </w:pPr>
          </w:p>
        </w:tc>
        <w:tc>
          <w:tcPr>
            <w:tcW w:w="0" w:type="auto"/>
            <w:gridSpan w:val="3"/>
            <w:shd w:val="clear" w:color="auto" w:fill="auto"/>
            <w:vAlign w:val="bottom"/>
          </w:tcPr>
          <w:p w14:paraId="71D45BD8" w14:textId="77777777" w:rsidR="006A3667" w:rsidRDefault="006A3667">
            <w:pPr>
              <w:rPr>
                <w:rFonts w:ascii="宋体"/>
                <w:vanish/>
              </w:rPr>
            </w:pPr>
          </w:p>
        </w:tc>
        <w:tc>
          <w:tcPr>
            <w:tcW w:w="0" w:type="auto"/>
            <w:gridSpan w:val="3"/>
            <w:shd w:val="clear" w:color="auto" w:fill="auto"/>
            <w:vAlign w:val="bottom"/>
          </w:tcPr>
          <w:p w14:paraId="71D45BD9" w14:textId="77777777" w:rsidR="006A3667" w:rsidRDefault="006A3667">
            <w:pPr>
              <w:rPr>
                <w:rFonts w:ascii="宋体"/>
                <w:vanish/>
              </w:rPr>
            </w:pPr>
          </w:p>
        </w:tc>
        <w:tc>
          <w:tcPr>
            <w:tcW w:w="0" w:type="auto"/>
            <w:gridSpan w:val="3"/>
            <w:shd w:val="clear" w:color="auto" w:fill="auto"/>
            <w:vAlign w:val="bottom"/>
          </w:tcPr>
          <w:p w14:paraId="71D45BDA" w14:textId="77777777" w:rsidR="006A3667" w:rsidRDefault="006A3667">
            <w:pPr>
              <w:rPr>
                <w:rFonts w:ascii="宋体"/>
                <w:vanish/>
              </w:rPr>
            </w:pPr>
          </w:p>
        </w:tc>
        <w:tc>
          <w:tcPr>
            <w:tcW w:w="0" w:type="auto"/>
            <w:gridSpan w:val="3"/>
            <w:shd w:val="clear" w:color="auto" w:fill="auto"/>
            <w:vAlign w:val="bottom"/>
          </w:tcPr>
          <w:p w14:paraId="71D45BDB" w14:textId="77777777" w:rsidR="006A3667" w:rsidRDefault="006A3667">
            <w:pPr>
              <w:rPr>
                <w:rFonts w:ascii="宋体"/>
                <w:vanish/>
              </w:rPr>
            </w:pPr>
          </w:p>
        </w:tc>
        <w:tc>
          <w:tcPr>
            <w:tcW w:w="0" w:type="auto"/>
            <w:gridSpan w:val="3"/>
            <w:shd w:val="clear" w:color="auto" w:fill="auto"/>
            <w:vAlign w:val="bottom"/>
          </w:tcPr>
          <w:p w14:paraId="71D45BDC" w14:textId="77777777" w:rsidR="006A3667" w:rsidRDefault="006A3667">
            <w:pPr>
              <w:rPr>
                <w:rFonts w:ascii="宋体"/>
                <w:vanish/>
              </w:rPr>
            </w:pPr>
          </w:p>
        </w:tc>
      </w:tr>
      <w:tr w:rsidR="006A3667" w14:paraId="71D45BF2" w14:textId="77777777">
        <w:trPr>
          <w:hidden/>
        </w:trPr>
        <w:tc>
          <w:tcPr>
            <w:tcW w:w="0" w:type="auto"/>
            <w:gridSpan w:val="3"/>
            <w:shd w:val="clear" w:color="auto" w:fill="auto"/>
            <w:vAlign w:val="bottom"/>
          </w:tcPr>
          <w:p w14:paraId="71D45BDE" w14:textId="77777777" w:rsidR="006A3667" w:rsidRDefault="006A3667">
            <w:pPr>
              <w:rPr>
                <w:rFonts w:ascii="宋体"/>
                <w:vanish/>
              </w:rPr>
            </w:pPr>
          </w:p>
        </w:tc>
        <w:tc>
          <w:tcPr>
            <w:tcW w:w="0" w:type="auto"/>
            <w:gridSpan w:val="3"/>
            <w:shd w:val="clear" w:color="auto" w:fill="auto"/>
            <w:vAlign w:val="bottom"/>
          </w:tcPr>
          <w:p w14:paraId="71D45BDF" w14:textId="77777777" w:rsidR="006A3667" w:rsidRDefault="006A3667">
            <w:pPr>
              <w:rPr>
                <w:rFonts w:ascii="宋体"/>
                <w:vanish/>
              </w:rPr>
            </w:pPr>
          </w:p>
        </w:tc>
        <w:tc>
          <w:tcPr>
            <w:tcW w:w="0" w:type="auto"/>
            <w:gridSpan w:val="3"/>
            <w:shd w:val="clear" w:color="auto" w:fill="auto"/>
            <w:vAlign w:val="bottom"/>
          </w:tcPr>
          <w:p w14:paraId="71D45BE0" w14:textId="77777777" w:rsidR="006A3667" w:rsidRDefault="006A3667">
            <w:pPr>
              <w:rPr>
                <w:rFonts w:ascii="宋体"/>
                <w:vanish/>
              </w:rPr>
            </w:pPr>
          </w:p>
        </w:tc>
        <w:tc>
          <w:tcPr>
            <w:tcW w:w="0" w:type="auto"/>
            <w:gridSpan w:val="3"/>
            <w:shd w:val="clear" w:color="auto" w:fill="auto"/>
            <w:vAlign w:val="bottom"/>
          </w:tcPr>
          <w:p w14:paraId="71D45BE1" w14:textId="77777777" w:rsidR="006A3667" w:rsidRDefault="006A3667">
            <w:pPr>
              <w:rPr>
                <w:rFonts w:ascii="宋体"/>
                <w:vanish/>
              </w:rPr>
            </w:pPr>
          </w:p>
        </w:tc>
        <w:tc>
          <w:tcPr>
            <w:tcW w:w="0" w:type="auto"/>
            <w:gridSpan w:val="3"/>
            <w:shd w:val="clear" w:color="auto" w:fill="auto"/>
            <w:vAlign w:val="bottom"/>
          </w:tcPr>
          <w:p w14:paraId="71D45BE2" w14:textId="77777777" w:rsidR="006A3667" w:rsidRDefault="006A3667">
            <w:pPr>
              <w:rPr>
                <w:rFonts w:ascii="宋体"/>
                <w:vanish/>
              </w:rPr>
            </w:pPr>
          </w:p>
        </w:tc>
        <w:tc>
          <w:tcPr>
            <w:tcW w:w="0" w:type="auto"/>
            <w:gridSpan w:val="3"/>
            <w:shd w:val="clear" w:color="auto" w:fill="auto"/>
            <w:vAlign w:val="bottom"/>
          </w:tcPr>
          <w:p w14:paraId="71D45BE3" w14:textId="77777777" w:rsidR="006A3667" w:rsidRDefault="006A3667">
            <w:pPr>
              <w:rPr>
                <w:rFonts w:ascii="宋体"/>
                <w:vanish/>
              </w:rPr>
            </w:pPr>
          </w:p>
        </w:tc>
        <w:tc>
          <w:tcPr>
            <w:tcW w:w="0" w:type="auto"/>
            <w:gridSpan w:val="3"/>
            <w:shd w:val="clear" w:color="auto" w:fill="auto"/>
            <w:vAlign w:val="bottom"/>
          </w:tcPr>
          <w:p w14:paraId="71D45BE4" w14:textId="77777777" w:rsidR="006A3667" w:rsidRDefault="006A3667">
            <w:pPr>
              <w:rPr>
                <w:rFonts w:ascii="宋体"/>
                <w:vanish/>
              </w:rPr>
            </w:pPr>
          </w:p>
        </w:tc>
        <w:tc>
          <w:tcPr>
            <w:tcW w:w="0" w:type="auto"/>
            <w:gridSpan w:val="3"/>
            <w:shd w:val="clear" w:color="auto" w:fill="auto"/>
            <w:vAlign w:val="bottom"/>
          </w:tcPr>
          <w:p w14:paraId="71D45BE5" w14:textId="77777777" w:rsidR="006A3667" w:rsidRDefault="006A3667">
            <w:pPr>
              <w:rPr>
                <w:rFonts w:ascii="宋体"/>
                <w:vanish/>
              </w:rPr>
            </w:pPr>
          </w:p>
        </w:tc>
        <w:tc>
          <w:tcPr>
            <w:tcW w:w="0" w:type="auto"/>
            <w:gridSpan w:val="3"/>
            <w:shd w:val="clear" w:color="auto" w:fill="auto"/>
            <w:vAlign w:val="bottom"/>
          </w:tcPr>
          <w:p w14:paraId="71D45BE6" w14:textId="77777777" w:rsidR="006A3667" w:rsidRDefault="006A3667">
            <w:pPr>
              <w:rPr>
                <w:rFonts w:ascii="宋体"/>
                <w:vanish/>
              </w:rPr>
            </w:pPr>
          </w:p>
        </w:tc>
        <w:tc>
          <w:tcPr>
            <w:tcW w:w="0" w:type="auto"/>
            <w:gridSpan w:val="3"/>
            <w:shd w:val="clear" w:color="auto" w:fill="auto"/>
            <w:vAlign w:val="bottom"/>
          </w:tcPr>
          <w:p w14:paraId="71D45BE7" w14:textId="77777777" w:rsidR="006A3667" w:rsidRDefault="006A3667">
            <w:pPr>
              <w:rPr>
                <w:rFonts w:ascii="宋体"/>
                <w:vanish/>
              </w:rPr>
            </w:pPr>
          </w:p>
        </w:tc>
        <w:tc>
          <w:tcPr>
            <w:tcW w:w="0" w:type="auto"/>
            <w:gridSpan w:val="3"/>
            <w:shd w:val="clear" w:color="auto" w:fill="auto"/>
            <w:vAlign w:val="bottom"/>
          </w:tcPr>
          <w:p w14:paraId="71D45BE8" w14:textId="77777777" w:rsidR="006A3667" w:rsidRDefault="006A3667">
            <w:pPr>
              <w:rPr>
                <w:rFonts w:ascii="宋体"/>
                <w:vanish/>
              </w:rPr>
            </w:pPr>
          </w:p>
        </w:tc>
        <w:tc>
          <w:tcPr>
            <w:tcW w:w="0" w:type="auto"/>
            <w:gridSpan w:val="3"/>
            <w:shd w:val="clear" w:color="auto" w:fill="auto"/>
            <w:vAlign w:val="bottom"/>
          </w:tcPr>
          <w:p w14:paraId="71D45BE9" w14:textId="77777777" w:rsidR="006A3667" w:rsidRDefault="006A3667">
            <w:pPr>
              <w:rPr>
                <w:rFonts w:ascii="宋体"/>
                <w:vanish/>
              </w:rPr>
            </w:pPr>
          </w:p>
        </w:tc>
        <w:tc>
          <w:tcPr>
            <w:tcW w:w="0" w:type="auto"/>
            <w:gridSpan w:val="3"/>
            <w:shd w:val="clear" w:color="auto" w:fill="auto"/>
            <w:vAlign w:val="bottom"/>
          </w:tcPr>
          <w:p w14:paraId="71D45BEA" w14:textId="77777777" w:rsidR="006A3667" w:rsidRDefault="006A3667">
            <w:pPr>
              <w:rPr>
                <w:rFonts w:ascii="宋体"/>
                <w:vanish/>
              </w:rPr>
            </w:pPr>
          </w:p>
        </w:tc>
        <w:tc>
          <w:tcPr>
            <w:tcW w:w="0" w:type="auto"/>
            <w:gridSpan w:val="3"/>
            <w:shd w:val="clear" w:color="auto" w:fill="auto"/>
            <w:vAlign w:val="bottom"/>
          </w:tcPr>
          <w:p w14:paraId="71D45BEB" w14:textId="77777777" w:rsidR="006A3667" w:rsidRDefault="006A3667">
            <w:pPr>
              <w:rPr>
                <w:rFonts w:ascii="宋体"/>
                <w:vanish/>
              </w:rPr>
            </w:pPr>
          </w:p>
        </w:tc>
        <w:tc>
          <w:tcPr>
            <w:tcW w:w="0" w:type="auto"/>
            <w:gridSpan w:val="3"/>
            <w:shd w:val="clear" w:color="auto" w:fill="auto"/>
            <w:vAlign w:val="bottom"/>
          </w:tcPr>
          <w:p w14:paraId="71D45BEC" w14:textId="77777777" w:rsidR="006A3667" w:rsidRDefault="006A3667">
            <w:pPr>
              <w:rPr>
                <w:rFonts w:ascii="宋体"/>
                <w:vanish/>
              </w:rPr>
            </w:pPr>
          </w:p>
        </w:tc>
        <w:tc>
          <w:tcPr>
            <w:tcW w:w="0" w:type="auto"/>
            <w:gridSpan w:val="3"/>
            <w:shd w:val="clear" w:color="auto" w:fill="auto"/>
            <w:vAlign w:val="bottom"/>
          </w:tcPr>
          <w:p w14:paraId="71D45BED" w14:textId="77777777" w:rsidR="006A3667" w:rsidRDefault="006A3667">
            <w:pPr>
              <w:rPr>
                <w:rFonts w:ascii="宋体"/>
                <w:vanish/>
              </w:rPr>
            </w:pPr>
          </w:p>
        </w:tc>
        <w:tc>
          <w:tcPr>
            <w:tcW w:w="0" w:type="auto"/>
            <w:gridSpan w:val="3"/>
            <w:shd w:val="clear" w:color="auto" w:fill="auto"/>
            <w:vAlign w:val="bottom"/>
          </w:tcPr>
          <w:p w14:paraId="71D45BEE" w14:textId="77777777" w:rsidR="006A3667" w:rsidRDefault="006A3667">
            <w:pPr>
              <w:rPr>
                <w:rFonts w:ascii="宋体"/>
                <w:vanish/>
              </w:rPr>
            </w:pPr>
          </w:p>
        </w:tc>
        <w:tc>
          <w:tcPr>
            <w:tcW w:w="0" w:type="auto"/>
            <w:gridSpan w:val="3"/>
            <w:shd w:val="clear" w:color="auto" w:fill="auto"/>
            <w:vAlign w:val="bottom"/>
          </w:tcPr>
          <w:p w14:paraId="71D45BEF" w14:textId="77777777" w:rsidR="006A3667" w:rsidRDefault="006A3667">
            <w:pPr>
              <w:rPr>
                <w:rFonts w:ascii="宋体"/>
                <w:vanish/>
              </w:rPr>
            </w:pPr>
          </w:p>
        </w:tc>
        <w:tc>
          <w:tcPr>
            <w:tcW w:w="0" w:type="auto"/>
            <w:gridSpan w:val="3"/>
            <w:shd w:val="clear" w:color="auto" w:fill="auto"/>
            <w:vAlign w:val="bottom"/>
          </w:tcPr>
          <w:p w14:paraId="71D45BF0" w14:textId="77777777" w:rsidR="006A3667" w:rsidRDefault="006A3667">
            <w:pPr>
              <w:rPr>
                <w:rFonts w:ascii="宋体"/>
                <w:vanish/>
              </w:rPr>
            </w:pPr>
          </w:p>
        </w:tc>
        <w:tc>
          <w:tcPr>
            <w:tcW w:w="0" w:type="auto"/>
            <w:gridSpan w:val="3"/>
            <w:shd w:val="clear" w:color="auto" w:fill="auto"/>
            <w:vAlign w:val="bottom"/>
          </w:tcPr>
          <w:p w14:paraId="71D45BF1" w14:textId="77777777" w:rsidR="006A3667" w:rsidRDefault="006A3667">
            <w:pPr>
              <w:rPr>
                <w:rFonts w:ascii="宋体"/>
                <w:vanish/>
              </w:rPr>
            </w:pPr>
          </w:p>
        </w:tc>
      </w:tr>
      <w:tr w:rsidR="006A3667" w14:paraId="71D45C11" w14:textId="77777777">
        <w:tc>
          <w:tcPr>
            <w:tcW w:w="0" w:type="auto"/>
            <w:gridSpan w:val="3"/>
            <w:shd w:val="clear" w:color="auto" w:fill="FFFFFF"/>
            <w:tcMar>
              <w:top w:w="40" w:type="dxa"/>
              <w:left w:w="245" w:type="dxa"/>
              <w:bottom w:w="40" w:type="dxa"/>
              <w:right w:w="20" w:type="dxa"/>
            </w:tcMar>
            <w:vAlign w:val="bottom"/>
          </w:tcPr>
          <w:p w14:paraId="71D45BF3" w14:textId="77777777" w:rsidR="006A3667" w:rsidRDefault="00045F32">
            <w:pPr>
              <w:textAlignment w:val="bottom"/>
            </w:pPr>
            <w:r>
              <w:rPr>
                <w:rFonts w:ascii="Arial" w:eastAsia="宋体" w:hAnsi="Arial" w:cs="Arial"/>
                <w:color w:val="000000"/>
                <w:sz w:val="13"/>
                <w:szCs w:val="13"/>
              </w:rPr>
              <w:t>Collateralized loan obligations</w:t>
            </w:r>
          </w:p>
        </w:tc>
        <w:tc>
          <w:tcPr>
            <w:tcW w:w="0" w:type="auto"/>
            <w:gridSpan w:val="2"/>
            <w:shd w:val="clear" w:color="auto" w:fill="FFFFFF"/>
            <w:tcMar>
              <w:top w:w="40" w:type="dxa"/>
              <w:left w:w="20" w:type="dxa"/>
              <w:bottom w:w="40" w:type="dxa"/>
              <w:right w:w="0" w:type="dxa"/>
            </w:tcMar>
            <w:vAlign w:val="bottom"/>
          </w:tcPr>
          <w:p w14:paraId="71D45BF4" w14:textId="77777777" w:rsidR="006A3667" w:rsidRDefault="00045F32">
            <w:pPr>
              <w:jc w:val="right"/>
              <w:textAlignment w:val="bottom"/>
            </w:pPr>
            <w:r>
              <w:rPr>
                <w:rFonts w:ascii="Arial" w:eastAsia="宋体" w:hAnsi="Arial" w:cs="Arial"/>
                <w:b/>
                <w:bCs/>
                <w:color w:val="000000"/>
                <w:sz w:val="13"/>
                <w:szCs w:val="13"/>
              </w:rPr>
              <w:t>164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F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F7" w14:textId="77777777" w:rsidR="006A3667" w:rsidRDefault="00045F32">
            <w:pPr>
              <w:jc w:val="right"/>
              <w:textAlignment w:val="bottom"/>
            </w:pPr>
            <w:r>
              <w:rPr>
                <w:rFonts w:ascii="Arial" w:eastAsia="宋体" w:hAnsi="Arial" w:cs="Arial"/>
                <w:b/>
                <w:bCs/>
                <w:color w:val="000000"/>
                <w:sz w:val="13"/>
                <w:szCs w:val="13"/>
              </w:rPr>
              <w:t>161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F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F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FA" w14:textId="77777777" w:rsidR="006A3667" w:rsidRDefault="00045F32">
            <w:pPr>
              <w:jc w:val="right"/>
              <w:textAlignment w:val="bottom"/>
            </w:pPr>
            <w:r>
              <w:rPr>
                <w:rFonts w:ascii="Arial" w:eastAsia="宋体" w:hAnsi="Arial" w:cs="Arial"/>
                <w:b/>
                <w:bCs/>
                <w:color w:val="000000"/>
                <w:sz w:val="13"/>
                <w:szCs w:val="13"/>
              </w:rPr>
              <w:t>422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F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F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BFD" w14:textId="77777777" w:rsidR="006A3667" w:rsidRDefault="00045F32">
            <w:pPr>
              <w:jc w:val="right"/>
              <w:textAlignment w:val="bottom"/>
            </w:pPr>
            <w:r>
              <w:rPr>
                <w:rFonts w:ascii="Arial" w:eastAsia="宋体" w:hAnsi="Arial" w:cs="Arial"/>
                <w:b/>
                <w:bCs/>
                <w:color w:val="000000"/>
                <w:sz w:val="13"/>
                <w:szCs w:val="13"/>
              </w:rPr>
              <w:t>413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BF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BF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00" w14:textId="77777777" w:rsidR="006A3667" w:rsidRDefault="00045F32">
            <w:pPr>
              <w:jc w:val="right"/>
              <w:textAlignment w:val="bottom"/>
            </w:pPr>
            <w:r>
              <w:rPr>
                <w:rFonts w:ascii="Arial" w:eastAsia="宋体" w:hAnsi="Arial" w:cs="Arial"/>
                <w:b/>
                <w:bCs/>
                <w:color w:val="000000"/>
                <w:sz w:val="13"/>
                <w:szCs w:val="13"/>
              </w:rPr>
              <w:t>1,240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0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0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03" w14:textId="77777777" w:rsidR="006A3667" w:rsidRDefault="00045F32">
            <w:pPr>
              <w:jc w:val="right"/>
              <w:textAlignment w:val="bottom"/>
            </w:pPr>
            <w:r>
              <w:rPr>
                <w:rFonts w:ascii="Arial" w:eastAsia="宋体" w:hAnsi="Arial" w:cs="Arial"/>
                <w:b/>
                <w:bCs/>
                <w:color w:val="000000"/>
                <w:sz w:val="13"/>
                <w:szCs w:val="13"/>
              </w:rPr>
              <w:t>1,214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06" w14:textId="77777777" w:rsidR="006A3667" w:rsidRDefault="00045F32">
            <w:pPr>
              <w:jc w:val="right"/>
              <w:textAlignment w:val="bottom"/>
            </w:pPr>
            <w:r>
              <w:rPr>
                <w:rFonts w:ascii="Arial" w:eastAsia="宋体" w:hAnsi="Arial" w:cs="Arial"/>
                <w:b/>
                <w:bCs/>
                <w:color w:val="000000"/>
                <w:sz w:val="13"/>
                <w:szCs w:val="13"/>
              </w:rPr>
              <w:t>545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0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09" w14:textId="77777777" w:rsidR="006A3667" w:rsidRDefault="00045F32">
            <w:pPr>
              <w:jc w:val="right"/>
              <w:textAlignment w:val="bottom"/>
            </w:pPr>
            <w:r>
              <w:rPr>
                <w:rFonts w:ascii="Arial" w:eastAsia="宋体" w:hAnsi="Arial" w:cs="Arial"/>
                <w:b/>
                <w:bCs/>
                <w:color w:val="000000"/>
                <w:sz w:val="13"/>
                <w:szCs w:val="13"/>
              </w:rPr>
              <w:t>529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0C" w14:textId="77777777" w:rsidR="006A3667" w:rsidRDefault="00045F32">
            <w:pPr>
              <w:jc w:val="right"/>
              <w:textAlignment w:val="bottom"/>
            </w:pPr>
            <w:r>
              <w:rPr>
                <w:rFonts w:ascii="Arial" w:eastAsia="宋体" w:hAnsi="Arial" w:cs="Arial"/>
                <w:b/>
                <w:bCs/>
                <w:color w:val="000000"/>
                <w:sz w:val="13"/>
                <w:szCs w:val="13"/>
              </w:rPr>
              <w:t>2,371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0F" w14:textId="77777777" w:rsidR="006A3667" w:rsidRDefault="00045F32">
            <w:pPr>
              <w:jc w:val="right"/>
              <w:textAlignment w:val="bottom"/>
            </w:pPr>
            <w:r>
              <w:rPr>
                <w:rFonts w:ascii="Arial" w:eastAsia="宋体" w:hAnsi="Arial" w:cs="Arial"/>
                <w:b/>
                <w:bCs/>
                <w:color w:val="000000"/>
                <w:sz w:val="13"/>
                <w:szCs w:val="13"/>
              </w:rPr>
              <w:t>2,317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10" w14:textId="77777777" w:rsidR="006A3667" w:rsidRDefault="006A3667">
            <w:pPr>
              <w:jc w:val="right"/>
              <w:rPr>
                <w:rFonts w:ascii="宋体"/>
              </w:rPr>
            </w:pPr>
          </w:p>
        </w:tc>
      </w:tr>
      <w:tr w:rsidR="006A3667" w14:paraId="71D45C30" w14:textId="77777777">
        <w:tc>
          <w:tcPr>
            <w:tcW w:w="0" w:type="auto"/>
            <w:gridSpan w:val="3"/>
            <w:shd w:val="clear" w:color="auto" w:fill="CCEEFF"/>
            <w:tcMar>
              <w:top w:w="40" w:type="dxa"/>
              <w:left w:w="245" w:type="dxa"/>
              <w:bottom w:w="40" w:type="dxa"/>
              <w:right w:w="20" w:type="dxa"/>
            </w:tcMar>
            <w:vAlign w:val="bottom"/>
          </w:tcPr>
          <w:p w14:paraId="71D45C12" w14:textId="77777777" w:rsidR="006A3667" w:rsidRDefault="00045F32">
            <w:pPr>
              <w:textAlignment w:val="bottom"/>
            </w:pPr>
            <w:r>
              <w:rPr>
                <w:rFonts w:ascii="Arial" w:eastAsia="宋体" w:hAnsi="Arial" w:cs="Arial"/>
                <w:color w:val="000000"/>
                <w:sz w:val="13"/>
                <w:szCs w:val="13"/>
              </w:rPr>
              <w:t>Non-agency CMBS and RMBS</w:t>
            </w:r>
          </w:p>
        </w:tc>
        <w:tc>
          <w:tcPr>
            <w:tcW w:w="0" w:type="auto"/>
            <w:gridSpan w:val="2"/>
            <w:shd w:val="clear" w:color="auto" w:fill="CCEEFF"/>
            <w:tcMar>
              <w:top w:w="40" w:type="dxa"/>
              <w:left w:w="20" w:type="dxa"/>
              <w:bottom w:w="40" w:type="dxa"/>
              <w:right w:w="0" w:type="dxa"/>
            </w:tcMar>
            <w:vAlign w:val="bottom"/>
          </w:tcPr>
          <w:p w14:paraId="71D45C13"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1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1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16"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1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1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19"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1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1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1C"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1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1F"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2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22"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2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25" w14:textId="77777777" w:rsidR="006A3667" w:rsidRDefault="00045F32">
            <w:pPr>
              <w:jc w:val="right"/>
              <w:textAlignment w:val="bottom"/>
            </w:pPr>
            <w:r>
              <w:rPr>
                <w:rFonts w:ascii="Arial" w:eastAsia="宋体" w:hAnsi="Arial" w:cs="Arial"/>
                <w:b/>
                <w:bCs/>
                <w:color w:val="000000"/>
                <w:sz w:val="13"/>
                <w:szCs w:val="13"/>
              </w:rPr>
              <w:t>220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28" w14:textId="77777777" w:rsidR="006A3667" w:rsidRDefault="00045F32">
            <w:pPr>
              <w:jc w:val="right"/>
              <w:textAlignment w:val="bottom"/>
            </w:pPr>
            <w:r>
              <w:rPr>
                <w:rFonts w:ascii="Arial" w:eastAsia="宋体" w:hAnsi="Arial" w:cs="Arial"/>
                <w:b/>
                <w:bCs/>
                <w:color w:val="000000"/>
                <w:sz w:val="13"/>
                <w:szCs w:val="13"/>
              </w:rPr>
              <w:t>215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2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2B" w14:textId="77777777" w:rsidR="006A3667" w:rsidRDefault="00045F32">
            <w:pPr>
              <w:jc w:val="right"/>
              <w:textAlignment w:val="bottom"/>
            </w:pPr>
            <w:r>
              <w:rPr>
                <w:rFonts w:ascii="Arial" w:eastAsia="宋体" w:hAnsi="Arial" w:cs="Arial"/>
                <w:b/>
                <w:bCs/>
                <w:color w:val="000000"/>
                <w:sz w:val="13"/>
                <w:szCs w:val="13"/>
              </w:rPr>
              <w:t>220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C2E" w14:textId="77777777" w:rsidR="006A3667" w:rsidRDefault="00045F32">
            <w:pPr>
              <w:jc w:val="right"/>
              <w:textAlignment w:val="bottom"/>
            </w:pPr>
            <w:r>
              <w:rPr>
                <w:rFonts w:ascii="Arial" w:eastAsia="宋体" w:hAnsi="Arial" w:cs="Arial"/>
                <w:b/>
                <w:bCs/>
                <w:color w:val="000000"/>
                <w:sz w:val="13"/>
                <w:szCs w:val="13"/>
              </w:rPr>
              <w:t>215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C2F" w14:textId="77777777" w:rsidR="006A3667" w:rsidRDefault="006A3667">
            <w:pPr>
              <w:jc w:val="right"/>
              <w:rPr>
                <w:rFonts w:ascii="宋体"/>
              </w:rPr>
            </w:pPr>
          </w:p>
        </w:tc>
      </w:tr>
      <w:tr w:rsidR="006A3667" w14:paraId="71D45C4F" w14:textId="77777777">
        <w:tc>
          <w:tcPr>
            <w:tcW w:w="0" w:type="auto"/>
            <w:gridSpan w:val="3"/>
            <w:shd w:val="clear" w:color="auto" w:fill="FFFFFF"/>
            <w:tcMar>
              <w:top w:w="40" w:type="dxa"/>
              <w:left w:w="245" w:type="dxa"/>
              <w:bottom w:w="40" w:type="dxa"/>
              <w:right w:w="20" w:type="dxa"/>
            </w:tcMar>
            <w:vAlign w:val="bottom"/>
          </w:tcPr>
          <w:p w14:paraId="71D45C31" w14:textId="77777777" w:rsidR="006A3667" w:rsidRDefault="00045F32">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71D45C32"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3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3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35"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3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38" w14:textId="77777777" w:rsidR="006A3667" w:rsidRDefault="00045F32">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3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3B" w14:textId="77777777" w:rsidR="006A3667" w:rsidRDefault="00045F32">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3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3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3E"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3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4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41"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4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44"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4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4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4A" w14:textId="77777777" w:rsidR="006A3667" w:rsidRDefault="00045F32">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C4D" w14:textId="77777777" w:rsidR="006A3667" w:rsidRDefault="00045F32">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C4E" w14:textId="77777777" w:rsidR="006A3667" w:rsidRDefault="006A3667">
            <w:pPr>
              <w:jc w:val="right"/>
              <w:rPr>
                <w:rFonts w:ascii="宋体"/>
              </w:rPr>
            </w:pPr>
          </w:p>
        </w:tc>
      </w:tr>
      <w:tr w:rsidR="006A3667" w14:paraId="71D45C6E" w14:textId="77777777">
        <w:tc>
          <w:tcPr>
            <w:tcW w:w="0" w:type="auto"/>
            <w:gridSpan w:val="3"/>
            <w:shd w:val="clear" w:color="auto" w:fill="CCEEFF"/>
            <w:tcMar>
              <w:top w:w="40" w:type="dxa"/>
              <w:left w:w="395" w:type="dxa"/>
              <w:bottom w:w="40" w:type="dxa"/>
              <w:right w:w="20" w:type="dxa"/>
            </w:tcMar>
            <w:vAlign w:val="bottom"/>
          </w:tcPr>
          <w:p w14:paraId="71D45C50" w14:textId="77777777" w:rsidR="006A3667" w:rsidRDefault="00045F32">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51" w14:textId="77777777" w:rsidR="006A3667" w:rsidRDefault="00045F32">
            <w:pPr>
              <w:jc w:val="right"/>
              <w:textAlignment w:val="bottom"/>
            </w:pPr>
            <w:r>
              <w:rPr>
                <w:rFonts w:ascii="Arial" w:eastAsia="宋体" w:hAnsi="Arial" w:cs="Arial"/>
                <w:b/>
                <w:bCs/>
                <w:color w:val="000000"/>
                <w:sz w:val="13"/>
                <w:szCs w:val="13"/>
              </w:rPr>
              <w:t>215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5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5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54" w14:textId="77777777" w:rsidR="006A3667" w:rsidRDefault="00045F32">
            <w:pPr>
              <w:jc w:val="right"/>
              <w:textAlignment w:val="bottom"/>
            </w:pPr>
            <w:r>
              <w:rPr>
                <w:rFonts w:ascii="Arial" w:eastAsia="宋体" w:hAnsi="Arial" w:cs="Arial"/>
                <w:b/>
                <w:bCs/>
                <w:color w:val="000000"/>
                <w:sz w:val="13"/>
                <w:szCs w:val="13"/>
              </w:rPr>
              <w:t>212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5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5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57" w14:textId="77777777" w:rsidR="006A3667" w:rsidRDefault="00045F32">
            <w:pPr>
              <w:jc w:val="right"/>
              <w:textAlignment w:val="bottom"/>
            </w:pPr>
            <w:r>
              <w:rPr>
                <w:rFonts w:ascii="Arial" w:eastAsia="宋体" w:hAnsi="Arial" w:cs="Arial"/>
                <w:b/>
                <w:bCs/>
                <w:color w:val="000000"/>
                <w:sz w:val="13"/>
                <w:szCs w:val="13"/>
              </w:rPr>
              <w:t>512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5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5A" w14:textId="77777777" w:rsidR="006A3667" w:rsidRDefault="00045F32">
            <w:pPr>
              <w:jc w:val="right"/>
              <w:textAlignment w:val="bottom"/>
            </w:pPr>
            <w:r>
              <w:rPr>
                <w:rFonts w:ascii="Arial" w:eastAsia="宋体" w:hAnsi="Arial" w:cs="Arial"/>
                <w:b/>
                <w:bCs/>
                <w:color w:val="000000"/>
                <w:sz w:val="13"/>
                <w:szCs w:val="13"/>
              </w:rPr>
              <w:t>501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5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5D" w14:textId="77777777" w:rsidR="006A3667" w:rsidRDefault="00045F32">
            <w:pPr>
              <w:jc w:val="right"/>
              <w:textAlignment w:val="bottom"/>
            </w:pPr>
            <w:r>
              <w:rPr>
                <w:rFonts w:ascii="Arial" w:eastAsia="宋体" w:hAnsi="Arial" w:cs="Arial"/>
                <w:b/>
                <w:bCs/>
                <w:color w:val="000000"/>
                <w:sz w:val="13"/>
                <w:szCs w:val="13"/>
              </w:rPr>
              <w:t>1,240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5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5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60" w14:textId="77777777" w:rsidR="006A3667" w:rsidRDefault="00045F32">
            <w:pPr>
              <w:jc w:val="right"/>
              <w:textAlignment w:val="bottom"/>
            </w:pPr>
            <w:r>
              <w:rPr>
                <w:rFonts w:ascii="Arial" w:eastAsia="宋体" w:hAnsi="Arial" w:cs="Arial"/>
                <w:b/>
                <w:bCs/>
                <w:color w:val="000000"/>
                <w:sz w:val="13"/>
                <w:szCs w:val="13"/>
              </w:rPr>
              <w:t>1,214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6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6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63" w14:textId="77777777" w:rsidR="006A3667" w:rsidRDefault="00045F32">
            <w:pPr>
              <w:jc w:val="right"/>
              <w:textAlignment w:val="bottom"/>
            </w:pPr>
            <w:r>
              <w:rPr>
                <w:rFonts w:ascii="Arial" w:eastAsia="宋体" w:hAnsi="Arial" w:cs="Arial"/>
                <w:b/>
                <w:bCs/>
                <w:color w:val="000000"/>
                <w:sz w:val="13"/>
                <w:szCs w:val="13"/>
              </w:rPr>
              <w:t>848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6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6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66" w14:textId="77777777" w:rsidR="006A3667" w:rsidRDefault="00045F32">
            <w:pPr>
              <w:jc w:val="right"/>
              <w:textAlignment w:val="bottom"/>
            </w:pPr>
            <w:r>
              <w:rPr>
                <w:rFonts w:ascii="Arial" w:eastAsia="宋体" w:hAnsi="Arial" w:cs="Arial"/>
                <w:b/>
                <w:bCs/>
                <w:color w:val="000000"/>
                <w:sz w:val="13"/>
                <w:szCs w:val="13"/>
              </w:rPr>
              <w:t>826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6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69" w14:textId="77777777" w:rsidR="006A3667" w:rsidRDefault="00045F32">
            <w:pPr>
              <w:jc w:val="right"/>
              <w:textAlignment w:val="bottom"/>
            </w:pPr>
            <w:r>
              <w:rPr>
                <w:rFonts w:ascii="Arial" w:eastAsia="宋体" w:hAnsi="Arial" w:cs="Arial"/>
                <w:b/>
                <w:bCs/>
                <w:color w:val="000000"/>
                <w:sz w:val="13"/>
                <w:szCs w:val="13"/>
              </w:rPr>
              <w:t>2,815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C6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C6C" w14:textId="77777777" w:rsidR="006A3667" w:rsidRDefault="00045F32">
            <w:pPr>
              <w:jc w:val="right"/>
              <w:textAlignment w:val="bottom"/>
            </w:pPr>
            <w:r>
              <w:rPr>
                <w:rFonts w:ascii="Arial" w:eastAsia="宋体" w:hAnsi="Arial" w:cs="Arial"/>
                <w:b/>
                <w:bCs/>
                <w:color w:val="000000"/>
                <w:sz w:val="13"/>
                <w:szCs w:val="13"/>
              </w:rPr>
              <w:t>2,753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C6D" w14:textId="77777777" w:rsidR="006A3667" w:rsidRDefault="006A3667">
            <w:pPr>
              <w:jc w:val="right"/>
              <w:rPr>
                <w:rFonts w:ascii="宋体"/>
              </w:rPr>
            </w:pPr>
          </w:p>
        </w:tc>
      </w:tr>
      <w:tr w:rsidR="006A3667" w14:paraId="71D45C83" w14:textId="77777777">
        <w:trPr>
          <w:hidden/>
        </w:trPr>
        <w:tc>
          <w:tcPr>
            <w:tcW w:w="0" w:type="auto"/>
            <w:gridSpan w:val="3"/>
            <w:shd w:val="clear" w:color="auto" w:fill="auto"/>
            <w:vAlign w:val="bottom"/>
          </w:tcPr>
          <w:p w14:paraId="71D45C6F" w14:textId="77777777" w:rsidR="006A3667" w:rsidRDefault="006A3667">
            <w:pPr>
              <w:rPr>
                <w:rFonts w:ascii="宋体"/>
                <w:vanish/>
              </w:rPr>
            </w:pPr>
          </w:p>
        </w:tc>
        <w:tc>
          <w:tcPr>
            <w:tcW w:w="0" w:type="auto"/>
            <w:gridSpan w:val="3"/>
            <w:shd w:val="clear" w:color="auto" w:fill="auto"/>
            <w:vAlign w:val="bottom"/>
          </w:tcPr>
          <w:p w14:paraId="71D45C70" w14:textId="77777777" w:rsidR="006A3667" w:rsidRDefault="006A3667">
            <w:pPr>
              <w:rPr>
                <w:rFonts w:ascii="宋体"/>
                <w:vanish/>
              </w:rPr>
            </w:pPr>
          </w:p>
        </w:tc>
        <w:tc>
          <w:tcPr>
            <w:tcW w:w="0" w:type="auto"/>
            <w:gridSpan w:val="3"/>
            <w:shd w:val="clear" w:color="auto" w:fill="auto"/>
            <w:vAlign w:val="bottom"/>
          </w:tcPr>
          <w:p w14:paraId="71D45C71" w14:textId="77777777" w:rsidR="006A3667" w:rsidRDefault="006A3667">
            <w:pPr>
              <w:rPr>
                <w:rFonts w:ascii="宋体"/>
                <w:vanish/>
              </w:rPr>
            </w:pPr>
          </w:p>
        </w:tc>
        <w:tc>
          <w:tcPr>
            <w:tcW w:w="0" w:type="auto"/>
            <w:gridSpan w:val="3"/>
            <w:shd w:val="clear" w:color="auto" w:fill="auto"/>
            <w:vAlign w:val="bottom"/>
          </w:tcPr>
          <w:p w14:paraId="71D45C72" w14:textId="77777777" w:rsidR="006A3667" w:rsidRDefault="006A3667">
            <w:pPr>
              <w:rPr>
                <w:rFonts w:ascii="宋体"/>
                <w:vanish/>
              </w:rPr>
            </w:pPr>
          </w:p>
        </w:tc>
        <w:tc>
          <w:tcPr>
            <w:tcW w:w="0" w:type="auto"/>
            <w:gridSpan w:val="3"/>
            <w:shd w:val="clear" w:color="auto" w:fill="auto"/>
            <w:vAlign w:val="bottom"/>
          </w:tcPr>
          <w:p w14:paraId="71D45C73" w14:textId="77777777" w:rsidR="006A3667" w:rsidRDefault="006A3667">
            <w:pPr>
              <w:rPr>
                <w:rFonts w:ascii="宋体"/>
                <w:vanish/>
              </w:rPr>
            </w:pPr>
          </w:p>
        </w:tc>
        <w:tc>
          <w:tcPr>
            <w:tcW w:w="0" w:type="auto"/>
            <w:gridSpan w:val="3"/>
            <w:shd w:val="clear" w:color="auto" w:fill="auto"/>
            <w:vAlign w:val="bottom"/>
          </w:tcPr>
          <w:p w14:paraId="71D45C74" w14:textId="77777777" w:rsidR="006A3667" w:rsidRDefault="006A3667">
            <w:pPr>
              <w:rPr>
                <w:rFonts w:ascii="宋体"/>
                <w:vanish/>
              </w:rPr>
            </w:pPr>
          </w:p>
        </w:tc>
        <w:tc>
          <w:tcPr>
            <w:tcW w:w="0" w:type="auto"/>
            <w:gridSpan w:val="3"/>
            <w:shd w:val="clear" w:color="auto" w:fill="auto"/>
            <w:vAlign w:val="bottom"/>
          </w:tcPr>
          <w:p w14:paraId="71D45C75" w14:textId="77777777" w:rsidR="006A3667" w:rsidRDefault="006A3667">
            <w:pPr>
              <w:rPr>
                <w:rFonts w:ascii="宋体"/>
                <w:vanish/>
              </w:rPr>
            </w:pPr>
          </w:p>
        </w:tc>
        <w:tc>
          <w:tcPr>
            <w:tcW w:w="0" w:type="auto"/>
            <w:gridSpan w:val="3"/>
            <w:shd w:val="clear" w:color="auto" w:fill="auto"/>
            <w:vAlign w:val="bottom"/>
          </w:tcPr>
          <w:p w14:paraId="71D45C76" w14:textId="77777777" w:rsidR="006A3667" w:rsidRDefault="006A3667">
            <w:pPr>
              <w:rPr>
                <w:rFonts w:ascii="宋体"/>
                <w:vanish/>
              </w:rPr>
            </w:pPr>
          </w:p>
        </w:tc>
        <w:tc>
          <w:tcPr>
            <w:tcW w:w="0" w:type="auto"/>
            <w:gridSpan w:val="3"/>
            <w:shd w:val="clear" w:color="auto" w:fill="auto"/>
            <w:vAlign w:val="bottom"/>
          </w:tcPr>
          <w:p w14:paraId="71D45C77" w14:textId="77777777" w:rsidR="006A3667" w:rsidRDefault="006A3667">
            <w:pPr>
              <w:rPr>
                <w:rFonts w:ascii="宋体"/>
                <w:vanish/>
              </w:rPr>
            </w:pPr>
          </w:p>
        </w:tc>
        <w:tc>
          <w:tcPr>
            <w:tcW w:w="0" w:type="auto"/>
            <w:gridSpan w:val="3"/>
            <w:shd w:val="clear" w:color="auto" w:fill="auto"/>
            <w:vAlign w:val="bottom"/>
          </w:tcPr>
          <w:p w14:paraId="71D45C78" w14:textId="77777777" w:rsidR="006A3667" w:rsidRDefault="006A3667">
            <w:pPr>
              <w:rPr>
                <w:rFonts w:ascii="宋体"/>
                <w:vanish/>
              </w:rPr>
            </w:pPr>
          </w:p>
        </w:tc>
        <w:tc>
          <w:tcPr>
            <w:tcW w:w="0" w:type="auto"/>
            <w:gridSpan w:val="3"/>
            <w:shd w:val="clear" w:color="auto" w:fill="auto"/>
            <w:vAlign w:val="bottom"/>
          </w:tcPr>
          <w:p w14:paraId="71D45C79" w14:textId="77777777" w:rsidR="006A3667" w:rsidRDefault="006A3667">
            <w:pPr>
              <w:rPr>
                <w:rFonts w:ascii="宋体"/>
                <w:vanish/>
              </w:rPr>
            </w:pPr>
          </w:p>
        </w:tc>
        <w:tc>
          <w:tcPr>
            <w:tcW w:w="0" w:type="auto"/>
            <w:gridSpan w:val="3"/>
            <w:shd w:val="clear" w:color="auto" w:fill="auto"/>
            <w:vAlign w:val="bottom"/>
          </w:tcPr>
          <w:p w14:paraId="71D45C7A" w14:textId="77777777" w:rsidR="006A3667" w:rsidRDefault="006A3667">
            <w:pPr>
              <w:rPr>
                <w:rFonts w:ascii="宋体"/>
                <w:vanish/>
              </w:rPr>
            </w:pPr>
          </w:p>
        </w:tc>
        <w:tc>
          <w:tcPr>
            <w:tcW w:w="0" w:type="auto"/>
            <w:gridSpan w:val="3"/>
            <w:shd w:val="clear" w:color="auto" w:fill="auto"/>
            <w:vAlign w:val="bottom"/>
          </w:tcPr>
          <w:p w14:paraId="71D45C7B" w14:textId="77777777" w:rsidR="006A3667" w:rsidRDefault="006A3667">
            <w:pPr>
              <w:rPr>
                <w:rFonts w:ascii="宋体"/>
                <w:vanish/>
              </w:rPr>
            </w:pPr>
          </w:p>
        </w:tc>
        <w:tc>
          <w:tcPr>
            <w:tcW w:w="0" w:type="auto"/>
            <w:gridSpan w:val="3"/>
            <w:shd w:val="clear" w:color="auto" w:fill="auto"/>
            <w:vAlign w:val="bottom"/>
          </w:tcPr>
          <w:p w14:paraId="71D45C7C" w14:textId="77777777" w:rsidR="006A3667" w:rsidRDefault="006A3667">
            <w:pPr>
              <w:rPr>
                <w:rFonts w:ascii="宋体"/>
                <w:vanish/>
              </w:rPr>
            </w:pPr>
          </w:p>
        </w:tc>
        <w:tc>
          <w:tcPr>
            <w:tcW w:w="0" w:type="auto"/>
            <w:gridSpan w:val="3"/>
            <w:shd w:val="clear" w:color="auto" w:fill="auto"/>
            <w:vAlign w:val="bottom"/>
          </w:tcPr>
          <w:p w14:paraId="71D45C7D" w14:textId="77777777" w:rsidR="006A3667" w:rsidRDefault="006A3667">
            <w:pPr>
              <w:rPr>
                <w:rFonts w:ascii="宋体"/>
                <w:vanish/>
              </w:rPr>
            </w:pPr>
          </w:p>
        </w:tc>
        <w:tc>
          <w:tcPr>
            <w:tcW w:w="0" w:type="auto"/>
            <w:gridSpan w:val="3"/>
            <w:shd w:val="clear" w:color="auto" w:fill="auto"/>
            <w:vAlign w:val="bottom"/>
          </w:tcPr>
          <w:p w14:paraId="71D45C7E" w14:textId="77777777" w:rsidR="006A3667" w:rsidRDefault="006A3667">
            <w:pPr>
              <w:rPr>
                <w:rFonts w:ascii="宋体"/>
                <w:vanish/>
              </w:rPr>
            </w:pPr>
          </w:p>
        </w:tc>
        <w:tc>
          <w:tcPr>
            <w:tcW w:w="0" w:type="auto"/>
            <w:gridSpan w:val="3"/>
            <w:shd w:val="clear" w:color="auto" w:fill="auto"/>
            <w:vAlign w:val="bottom"/>
          </w:tcPr>
          <w:p w14:paraId="71D45C7F" w14:textId="77777777" w:rsidR="006A3667" w:rsidRDefault="006A3667">
            <w:pPr>
              <w:rPr>
                <w:rFonts w:ascii="宋体"/>
                <w:vanish/>
              </w:rPr>
            </w:pPr>
          </w:p>
        </w:tc>
        <w:tc>
          <w:tcPr>
            <w:tcW w:w="0" w:type="auto"/>
            <w:gridSpan w:val="3"/>
            <w:shd w:val="clear" w:color="auto" w:fill="auto"/>
            <w:vAlign w:val="bottom"/>
          </w:tcPr>
          <w:p w14:paraId="71D45C80" w14:textId="77777777" w:rsidR="006A3667" w:rsidRDefault="006A3667">
            <w:pPr>
              <w:rPr>
                <w:rFonts w:ascii="宋体"/>
                <w:vanish/>
              </w:rPr>
            </w:pPr>
          </w:p>
        </w:tc>
        <w:tc>
          <w:tcPr>
            <w:tcW w:w="0" w:type="auto"/>
            <w:gridSpan w:val="3"/>
            <w:shd w:val="clear" w:color="auto" w:fill="auto"/>
            <w:vAlign w:val="bottom"/>
          </w:tcPr>
          <w:p w14:paraId="71D45C81" w14:textId="77777777" w:rsidR="006A3667" w:rsidRDefault="006A3667">
            <w:pPr>
              <w:rPr>
                <w:rFonts w:ascii="宋体"/>
                <w:vanish/>
              </w:rPr>
            </w:pPr>
          </w:p>
        </w:tc>
        <w:tc>
          <w:tcPr>
            <w:tcW w:w="0" w:type="auto"/>
            <w:gridSpan w:val="3"/>
            <w:shd w:val="clear" w:color="auto" w:fill="auto"/>
            <w:vAlign w:val="bottom"/>
          </w:tcPr>
          <w:p w14:paraId="71D45C82" w14:textId="77777777" w:rsidR="006A3667" w:rsidRDefault="006A3667">
            <w:pPr>
              <w:rPr>
                <w:rFonts w:ascii="宋体"/>
                <w:vanish/>
              </w:rPr>
            </w:pPr>
          </w:p>
        </w:tc>
      </w:tr>
      <w:tr w:rsidR="006A3667" w14:paraId="71D45C98" w14:textId="77777777">
        <w:trPr>
          <w:hidden/>
        </w:trPr>
        <w:tc>
          <w:tcPr>
            <w:tcW w:w="0" w:type="auto"/>
            <w:gridSpan w:val="3"/>
            <w:shd w:val="clear" w:color="auto" w:fill="auto"/>
            <w:vAlign w:val="bottom"/>
          </w:tcPr>
          <w:p w14:paraId="71D45C84" w14:textId="77777777" w:rsidR="006A3667" w:rsidRDefault="006A3667">
            <w:pPr>
              <w:rPr>
                <w:rFonts w:ascii="宋体"/>
                <w:vanish/>
              </w:rPr>
            </w:pPr>
          </w:p>
        </w:tc>
        <w:tc>
          <w:tcPr>
            <w:tcW w:w="0" w:type="auto"/>
            <w:gridSpan w:val="3"/>
            <w:shd w:val="clear" w:color="auto" w:fill="auto"/>
            <w:vAlign w:val="bottom"/>
          </w:tcPr>
          <w:p w14:paraId="71D45C85" w14:textId="77777777" w:rsidR="006A3667" w:rsidRDefault="006A3667">
            <w:pPr>
              <w:rPr>
                <w:rFonts w:ascii="宋体"/>
                <w:vanish/>
              </w:rPr>
            </w:pPr>
          </w:p>
        </w:tc>
        <w:tc>
          <w:tcPr>
            <w:tcW w:w="0" w:type="auto"/>
            <w:gridSpan w:val="3"/>
            <w:shd w:val="clear" w:color="auto" w:fill="auto"/>
            <w:vAlign w:val="bottom"/>
          </w:tcPr>
          <w:p w14:paraId="71D45C86" w14:textId="77777777" w:rsidR="006A3667" w:rsidRDefault="006A3667">
            <w:pPr>
              <w:rPr>
                <w:rFonts w:ascii="宋体"/>
                <w:vanish/>
              </w:rPr>
            </w:pPr>
          </w:p>
        </w:tc>
        <w:tc>
          <w:tcPr>
            <w:tcW w:w="0" w:type="auto"/>
            <w:gridSpan w:val="3"/>
            <w:shd w:val="clear" w:color="auto" w:fill="auto"/>
            <w:vAlign w:val="bottom"/>
          </w:tcPr>
          <w:p w14:paraId="71D45C87" w14:textId="77777777" w:rsidR="006A3667" w:rsidRDefault="006A3667">
            <w:pPr>
              <w:rPr>
                <w:rFonts w:ascii="宋体"/>
                <w:vanish/>
              </w:rPr>
            </w:pPr>
          </w:p>
        </w:tc>
        <w:tc>
          <w:tcPr>
            <w:tcW w:w="0" w:type="auto"/>
            <w:gridSpan w:val="3"/>
            <w:shd w:val="clear" w:color="auto" w:fill="auto"/>
            <w:vAlign w:val="bottom"/>
          </w:tcPr>
          <w:p w14:paraId="71D45C88" w14:textId="77777777" w:rsidR="006A3667" w:rsidRDefault="006A3667">
            <w:pPr>
              <w:rPr>
                <w:rFonts w:ascii="宋体"/>
                <w:vanish/>
              </w:rPr>
            </w:pPr>
          </w:p>
        </w:tc>
        <w:tc>
          <w:tcPr>
            <w:tcW w:w="0" w:type="auto"/>
            <w:gridSpan w:val="3"/>
            <w:shd w:val="clear" w:color="auto" w:fill="auto"/>
            <w:vAlign w:val="bottom"/>
          </w:tcPr>
          <w:p w14:paraId="71D45C89" w14:textId="77777777" w:rsidR="006A3667" w:rsidRDefault="006A3667">
            <w:pPr>
              <w:rPr>
                <w:rFonts w:ascii="宋体"/>
                <w:vanish/>
              </w:rPr>
            </w:pPr>
          </w:p>
        </w:tc>
        <w:tc>
          <w:tcPr>
            <w:tcW w:w="0" w:type="auto"/>
            <w:gridSpan w:val="3"/>
            <w:shd w:val="clear" w:color="auto" w:fill="auto"/>
            <w:vAlign w:val="bottom"/>
          </w:tcPr>
          <w:p w14:paraId="71D45C8A" w14:textId="77777777" w:rsidR="006A3667" w:rsidRDefault="006A3667">
            <w:pPr>
              <w:rPr>
                <w:rFonts w:ascii="宋体"/>
                <w:vanish/>
              </w:rPr>
            </w:pPr>
          </w:p>
        </w:tc>
        <w:tc>
          <w:tcPr>
            <w:tcW w:w="0" w:type="auto"/>
            <w:gridSpan w:val="3"/>
            <w:shd w:val="clear" w:color="auto" w:fill="auto"/>
            <w:vAlign w:val="bottom"/>
          </w:tcPr>
          <w:p w14:paraId="71D45C8B" w14:textId="77777777" w:rsidR="006A3667" w:rsidRDefault="006A3667">
            <w:pPr>
              <w:rPr>
                <w:rFonts w:ascii="宋体"/>
                <w:vanish/>
              </w:rPr>
            </w:pPr>
          </w:p>
        </w:tc>
        <w:tc>
          <w:tcPr>
            <w:tcW w:w="0" w:type="auto"/>
            <w:gridSpan w:val="3"/>
            <w:shd w:val="clear" w:color="auto" w:fill="auto"/>
            <w:vAlign w:val="bottom"/>
          </w:tcPr>
          <w:p w14:paraId="71D45C8C" w14:textId="77777777" w:rsidR="006A3667" w:rsidRDefault="006A3667">
            <w:pPr>
              <w:rPr>
                <w:rFonts w:ascii="宋体"/>
                <w:vanish/>
              </w:rPr>
            </w:pPr>
          </w:p>
        </w:tc>
        <w:tc>
          <w:tcPr>
            <w:tcW w:w="0" w:type="auto"/>
            <w:gridSpan w:val="3"/>
            <w:shd w:val="clear" w:color="auto" w:fill="auto"/>
            <w:vAlign w:val="bottom"/>
          </w:tcPr>
          <w:p w14:paraId="71D45C8D" w14:textId="77777777" w:rsidR="006A3667" w:rsidRDefault="006A3667">
            <w:pPr>
              <w:rPr>
                <w:rFonts w:ascii="宋体"/>
                <w:vanish/>
              </w:rPr>
            </w:pPr>
          </w:p>
        </w:tc>
        <w:tc>
          <w:tcPr>
            <w:tcW w:w="0" w:type="auto"/>
            <w:gridSpan w:val="3"/>
            <w:shd w:val="clear" w:color="auto" w:fill="auto"/>
            <w:vAlign w:val="bottom"/>
          </w:tcPr>
          <w:p w14:paraId="71D45C8E" w14:textId="77777777" w:rsidR="006A3667" w:rsidRDefault="006A3667">
            <w:pPr>
              <w:rPr>
                <w:rFonts w:ascii="宋体"/>
                <w:vanish/>
              </w:rPr>
            </w:pPr>
          </w:p>
        </w:tc>
        <w:tc>
          <w:tcPr>
            <w:tcW w:w="0" w:type="auto"/>
            <w:gridSpan w:val="3"/>
            <w:shd w:val="clear" w:color="auto" w:fill="auto"/>
            <w:vAlign w:val="bottom"/>
          </w:tcPr>
          <w:p w14:paraId="71D45C8F" w14:textId="77777777" w:rsidR="006A3667" w:rsidRDefault="006A3667">
            <w:pPr>
              <w:rPr>
                <w:rFonts w:ascii="宋体"/>
                <w:vanish/>
              </w:rPr>
            </w:pPr>
          </w:p>
        </w:tc>
        <w:tc>
          <w:tcPr>
            <w:tcW w:w="0" w:type="auto"/>
            <w:gridSpan w:val="3"/>
            <w:shd w:val="clear" w:color="auto" w:fill="auto"/>
            <w:vAlign w:val="bottom"/>
          </w:tcPr>
          <w:p w14:paraId="71D45C90" w14:textId="77777777" w:rsidR="006A3667" w:rsidRDefault="006A3667">
            <w:pPr>
              <w:rPr>
                <w:rFonts w:ascii="宋体"/>
                <w:vanish/>
              </w:rPr>
            </w:pPr>
          </w:p>
        </w:tc>
        <w:tc>
          <w:tcPr>
            <w:tcW w:w="0" w:type="auto"/>
            <w:gridSpan w:val="3"/>
            <w:shd w:val="clear" w:color="auto" w:fill="auto"/>
            <w:vAlign w:val="bottom"/>
          </w:tcPr>
          <w:p w14:paraId="71D45C91" w14:textId="77777777" w:rsidR="006A3667" w:rsidRDefault="006A3667">
            <w:pPr>
              <w:rPr>
                <w:rFonts w:ascii="宋体"/>
                <w:vanish/>
              </w:rPr>
            </w:pPr>
          </w:p>
        </w:tc>
        <w:tc>
          <w:tcPr>
            <w:tcW w:w="0" w:type="auto"/>
            <w:gridSpan w:val="3"/>
            <w:shd w:val="clear" w:color="auto" w:fill="auto"/>
            <w:vAlign w:val="bottom"/>
          </w:tcPr>
          <w:p w14:paraId="71D45C92" w14:textId="77777777" w:rsidR="006A3667" w:rsidRDefault="006A3667">
            <w:pPr>
              <w:rPr>
                <w:rFonts w:ascii="宋体"/>
                <w:vanish/>
              </w:rPr>
            </w:pPr>
          </w:p>
        </w:tc>
        <w:tc>
          <w:tcPr>
            <w:tcW w:w="0" w:type="auto"/>
            <w:gridSpan w:val="3"/>
            <w:shd w:val="clear" w:color="auto" w:fill="auto"/>
            <w:vAlign w:val="bottom"/>
          </w:tcPr>
          <w:p w14:paraId="71D45C93" w14:textId="77777777" w:rsidR="006A3667" w:rsidRDefault="006A3667">
            <w:pPr>
              <w:rPr>
                <w:rFonts w:ascii="宋体"/>
                <w:vanish/>
              </w:rPr>
            </w:pPr>
          </w:p>
        </w:tc>
        <w:tc>
          <w:tcPr>
            <w:tcW w:w="0" w:type="auto"/>
            <w:gridSpan w:val="3"/>
            <w:shd w:val="clear" w:color="auto" w:fill="auto"/>
            <w:vAlign w:val="bottom"/>
          </w:tcPr>
          <w:p w14:paraId="71D45C94" w14:textId="77777777" w:rsidR="006A3667" w:rsidRDefault="006A3667">
            <w:pPr>
              <w:rPr>
                <w:rFonts w:ascii="宋体"/>
                <w:vanish/>
              </w:rPr>
            </w:pPr>
          </w:p>
        </w:tc>
        <w:tc>
          <w:tcPr>
            <w:tcW w:w="0" w:type="auto"/>
            <w:gridSpan w:val="3"/>
            <w:shd w:val="clear" w:color="auto" w:fill="auto"/>
            <w:vAlign w:val="bottom"/>
          </w:tcPr>
          <w:p w14:paraId="71D45C95" w14:textId="77777777" w:rsidR="006A3667" w:rsidRDefault="006A3667">
            <w:pPr>
              <w:rPr>
                <w:rFonts w:ascii="宋体"/>
                <w:vanish/>
              </w:rPr>
            </w:pPr>
          </w:p>
        </w:tc>
        <w:tc>
          <w:tcPr>
            <w:tcW w:w="0" w:type="auto"/>
            <w:gridSpan w:val="3"/>
            <w:shd w:val="clear" w:color="auto" w:fill="auto"/>
            <w:vAlign w:val="bottom"/>
          </w:tcPr>
          <w:p w14:paraId="71D45C96" w14:textId="77777777" w:rsidR="006A3667" w:rsidRDefault="006A3667">
            <w:pPr>
              <w:rPr>
                <w:rFonts w:ascii="宋体"/>
                <w:vanish/>
              </w:rPr>
            </w:pPr>
          </w:p>
        </w:tc>
        <w:tc>
          <w:tcPr>
            <w:tcW w:w="0" w:type="auto"/>
            <w:gridSpan w:val="3"/>
            <w:shd w:val="clear" w:color="auto" w:fill="auto"/>
            <w:vAlign w:val="bottom"/>
          </w:tcPr>
          <w:p w14:paraId="71D45C97" w14:textId="77777777" w:rsidR="006A3667" w:rsidRDefault="006A3667">
            <w:pPr>
              <w:rPr>
                <w:rFonts w:ascii="宋体"/>
                <w:vanish/>
              </w:rPr>
            </w:pPr>
          </w:p>
        </w:tc>
      </w:tr>
      <w:tr w:rsidR="006A3667" w14:paraId="71D45CAD" w14:textId="77777777">
        <w:trPr>
          <w:hidden/>
        </w:trPr>
        <w:tc>
          <w:tcPr>
            <w:tcW w:w="0" w:type="auto"/>
            <w:gridSpan w:val="3"/>
            <w:shd w:val="clear" w:color="auto" w:fill="auto"/>
            <w:vAlign w:val="bottom"/>
          </w:tcPr>
          <w:p w14:paraId="71D45C99" w14:textId="77777777" w:rsidR="006A3667" w:rsidRDefault="006A3667">
            <w:pPr>
              <w:rPr>
                <w:rFonts w:ascii="宋体"/>
                <w:vanish/>
              </w:rPr>
            </w:pPr>
          </w:p>
        </w:tc>
        <w:tc>
          <w:tcPr>
            <w:tcW w:w="0" w:type="auto"/>
            <w:gridSpan w:val="3"/>
            <w:shd w:val="clear" w:color="auto" w:fill="auto"/>
            <w:vAlign w:val="bottom"/>
          </w:tcPr>
          <w:p w14:paraId="71D45C9A" w14:textId="77777777" w:rsidR="006A3667" w:rsidRDefault="006A3667">
            <w:pPr>
              <w:rPr>
                <w:rFonts w:ascii="宋体"/>
                <w:vanish/>
              </w:rPr>
            </w:pPr>
          </w:p>
        </w:tc>
        <w:tc>
          <w:tcPr>
            <w:tcW w:w="0" w:type="auto"/>
            <w:gridSpan w:val="3"/>
            <w:shd w:val="clear" w:color="auto" w:fill="auto"/>
            <w:vAlign w:val="bottom"/>
          </w:tcPr>
          <w:p w14:paraId="71D45C9B" w14:textId="77777777" w:rsidR="006A3667" w:rsidRDefault="006A3667">
            <w:pPr>
              <w:rPr>
                <w:rFonts w:ascii="宋体"/>
                <w:vanish/>
              </w:rPr>
            </w:pPr>
          </w:p>
        </w:tc>
        <w:tc>
          <w:tcPr>
            <w:tcW w:w="0" w:type="auto"/>
            <w:gridSpan w:val="3"/>
            <w:shd w:val="clear" w:color="auto" w:fill="auto"/>
            <w:vAlign w:val="bottom"/>
          </w:tcPr>
          <w:p w14:paraId="71D45C9C" w14:textId="77777777" w:rsidR="006A3667" w:rsidRDefault="006A3667">
            <w:pPr>
              <w:rPr>
                <w:rFonts w:ascii="宋体"/>
                <w:vanish/>
              </w:rPr>
            </w:pPr>
          </w:p>
        </w:tc>
        <w:tc>
          <w:tcPr>
            <w:tcW w:w="0" w:type="auto"/>
            <w:gridSpan w:val="3"/>
            <w:shd w:val="clear" w:color="auto" w:fill="auto"/>
            <w:vAlign w:val="bottom"/>
          </w:tcPr>
          <w:p w14:paraId="71D45C9D" w14:textId="77777777" w:rsidR="006A3667" w:rsidRDefault="006A3667">
            <w:pPr>
              <w:rPr>
                <w:rFonts w:ascii="宋体"/>
                <w:vanish/>
              </w:rPr>
            </w:pPr>
          </w:p>
        </w:tc>
        <w:tc>
          <w:tcPr>
            <w:tcW w:w="0" w:type="auto"/>
            <w:gridSpan w:val="3"/>
            <w:shd w:val="clear" w:color="auto" w:fill="auto"/>
            <w:vAlign w:val="bottom"/>
          </w:tcPr>
          <w:p w14:paraId="71D45C9E" w14:textId="77777777" w:rsidR="006A3667" w:rsidRDefault="006A3667">
            <w:pPr>
              <w:rPr>
                <w:rFonts w:ascii="宋体"/>
                <w:vanish/>
              </w:rPr>
            </w:pPr>
          </w:p>
        </w:tc>
        <w:tc>
          <w:tcPr>
            <w:tcW w:w="0" w:type="auto"/>
            <w:gridSpan w:val="3"/>
            <w:shd w:val="clear" w:color="auto" w:fill="auto"/>
            <w:vAlign w:val="bottom"/>
          </w:tcPr>
          <w:p w14:paraId="71D45C9F" w14:textId="77777777" w:rsidR="006A3667" w:rsidRDefault="006A3667">
            <w:pPr>
              <w:rPr>
                <w:rFonts w:ascii="宋体"/>
                <w:vanish/>
              </w:rPr>
            </w:pPr>
          </w:p>
        </w:tc>
        <w:tc>
          <w:tcPr>
            <w:tcW w:w="0" w:type="auto"/>
            <w:gridSpan w:val="3"/>
            <w:shd w:val="clear" w:color="auto" w:fill="auto"/>
            <w:vAlign w:val="bottom"/>
          </w:tcPr>
          <w:p w14:paraId="71D45CA0" w14:textId="77777777" w:rsidR="006A3667" w:rsidRDefault="006A3667">
            <w:pPr>
              <w:rPr>
                <w:rFonts w:ascii="宋体"/>
                <w:vanish/>
              </w:rPr>
            </w:pPr>
          </w:p>
        </w:tc>
        <w:tc>
          <w:tcPr>
            <w:tcW w:w="0" w:type="auto"/>
            <w:gridSpan w:val="3"/>
            <w:shd w:val="clear" w:color="auto" w:fill="auto"/>
            <w:vAlign w:val="bottom"/>
          </w:tcPr>
          <w:p w14:paraId="71D45CA1" w14:textId="77777777" w:rsidR="006A3667" w:rsidRDefault="006A3667">
            <w:pPr>
              <w:rPr>
                <w:rFonts w:ascii="宋体"/>
                <w:vanish/>
              </w:rPr>
            </w:pPr>
          </w:p>
        </w:tc>
        <w:tc>
          <w:tcPr>
            <w:tcW w:w="0" w:type="auto"/>
            <w:gridSpan w:val="3"/>
            <w:shd w:val="clear" w:color="auto" w:fill="auto"/>
            <w:vAlign w:val="bottom"/>
          </w:tcPr>
          <w:p w14:paraId="71D45CA2" w14:textId="77777777" w:rsidR="006A3667" w:rsidRDefault="006A3667">
            <w:pPr>
              <w:rPr>
                <w:rFonts w:ascii="宋体"/>
                <w:vanish/>
              </w:rPr>
            </w:pPr>
          </w:p>
        </w:tc>
        <w:tc>
          <w:tcPr>
            <w:tcW w:w="0" w:type="auto"/>
            <w:gridSpan w:val="3"/>
            <w:shd w:val="clear" w:color="auto" w:fill="auto"/>
            <w:vAlign w:val="bottom"/>
          </w:tcPr>
          <w:p w14:paraId="71D45CA3" w14:textId="77777777" w:rsidR="006A3667" w:rsidRDefault="006A3667">
            <w:pPr>
              <w:rPr>
                <w:rFonts w:ascii="宋体"/>
                <w:vanish/>
              </w:rPr>
            </w:pPr>
          </w:p>
        </w:tc>
        <w:tc>
          <w:tcPr>
            <w:tcW w:w="0" w:type="auto"/>
            <w:gridSpan w:val="3"/>
            <w:shd w:val="clear" w:color="auto" w:fill="auto"/>
            <w:vAlign w:val="bottom"/>
          </w:tcPr>
          <w:p w14:paraId="71D45CA4" w14:textId="77777777" w:rsidR="006A3667" w:rsidRDefault="006A3667">
            <w:pPr>
              <w:rPr>
                <w:rFonts w:ascii="宋体"/>
                <w:vanish/>
              </w:rPr>
            </w:pPr>
          </w:p>
        </w:tc>
        <w:tc>
          <w:tcPr>
            <w:tcW w:w="0" w:type="auto"/>
            <w:gridSpan w:val="3"/>
            <w:shd w:val="clear" w:color="auto" w:fill="auto"/>
            <w:vAlign w:val="bottom"/>
          </w:tcPr>
          <w:p w14:paraId="71D45CA5" w14:textId="77777777" w:rsidR="006A3667" w:rsidRDefault="006A3667">
            <w:pPr>
              <w:rPr>
                <w:rFonts w:ascii="宋体"/>
                <w:vanish/>
              </w:rPr>
            </w:pPr>
          </w:p>
        </w:tc>
        <w:tc>
          <w:tcPr>
            <w:tcW w:w="0" w:type="auto"/>
            <w:gridSpan w:val="3"/>
            <w:shd w:val="clear" w:color="auto" w:fill="auto"/>
            <w:vAlign w:val="bottom"/>
          </w:tcPr>
          <w:p w14:paraId="71D45CA6" w14:textId="77777777" w:rsidR="006A3667" w:rsidRDefault="006A3667">
            <w:pPr>
              <w:rPr>
                <w:rFonts w:ascii="宋体"/>
                <w:vanish/>
              </w:rPr>
            </w:pPr>
          </w:p>
        </w:tc>
        <w:tc>
          <w:tcPr>
            <w:tcW w:w="0" w:type="auto"/>
            <w:gridSpan w:val="3"/>
            <w:shd w:val="clear" w:color="auto" w:fill="auto"/>
            <w:vAlign w:val="bottom"/>
          </w:tcPr>
          <w:p w14:paraId="71D45CA7" w14:textId="77777777" w:rsidR="006A3667" w:rsidRDefault="006A3667">
            <w:pPr>
              <w:rPr>
                <w:rFonts w:ascii="宋体"/>
                <w:vanish/>
              </w:rPr>
            </w:pPr>
          </w:p>
        </w:tc>
        <w:tc>
          <w:tcPr>
            <w:tcW w:w="0" w:type="auto"/>
            <w:gridSpan w:val="3"/>
            <w:shd w:val="clear" w:color="auto" w:fill="auto"/>
            <w:vAlign w:val="bottom"/>
          </w:tcPr>
          <w:p w14:paraId="71D45CA8" w14:textId="77777777" w:rsidR="006A3667" w:rsidRDefault="006A3667">
            <w:pPr>
              <w:rPr>
                <w:rFonts w:ascii="宋体"/>
                <w:vanish/>
              </w:rPr>
            </w:pPr>
          </w:p>
        </w:tc>
        <w:tc>
          <w:tcPr>
            <w:tcW w:w="0" w:type="auto"/>
            <w:gridSpan w:val="3"/>
            <w:shd w:val="clear" w:color="auto" w:fill="auto"/>
            <w:vAlign w:val="bottom"/>
          </w:tcPr>
          <w:p w14:paraId="71D45CA9" w14:textId="77777777" w:rsidR="006A3667" w:rsidRDefault="006A3667">
            <w:pPr>
              <w:rPr>
                <w:rFonts w:ascii="宋体"/>
                <w:vanish/>
              </w:rPr>
            </w:pPr>
          </w:p>
        </w:tc>
        <w:tc>
          <w:tcPr>
            <w:tcW w:w="0" w:type="auto"/>
            <w:gridSpan w:val="3"/>
            <w:shd w:val="clear" w:color="auto" w:fill="auto"/>
            <w:vAlign w:val="bottom"/>
          </w:tcPr>
          <w:p w14:paraId="71D45CAA" w14:textId="77777777" w:rsidR="006A3667" w:rsidRDefault="006A3667">
            <w:pPr>
              <w:rPr>
                <w:rFonts w:ascii="宋体"/>
                <w:vanish/>
              </w:rPr>
            </w:pPr>
          </w:p>
        </w:tc>
        <w:tc>
          <w:tcPr>
            <w:tcW w:w="0" w:type="auto"/>
            <w:gridSpan w:val="3"/>
            <w:shd w:val="clear" w:color="auto" w:fill="auto"/>
            <w:vAlign w:val="bottom"/>
          </w:tcPr>
          <w:p w14:paraId="71D45CAB" w14:textId="77777777" w:rsidR="006A3667" w:rsidRDefault="006A3667">
            <w:pPr>
              <w:rPr>
                <w:rFonts w:ascii="宋体"/>
                <w:vanish/>
              </w:rPr>
            </w:pPr>
          </w:p>
        </w:tc>
        <w:tc>
          <w:tcPr>
            <w:tcW w:w="0" w:type="auto"/>
            <w:gridSpan w:val="3"/>
            <w:shd w:val="clear" w:color="auto" w:fill="auto"/>
            <w:vAlign w:val="bottom"/>
          </w:tcPr>
          <w:p w14:paraId="71D45CAC" w14:textId="77777777" w:rsidR="006A3667" w:rsidRDefault="006A3667">
            <w:pPr>
              <w:rPr>
                <w:rFonts w:ascii="宋体"/>
                <w:vanish/>
              </w:rPr>
            </w:pPr>
          </w:p>
        </w:tc>
      </w:tr>
      <w:tr w:rsidR="006A3667" w14:paraId="71D45CC2" w14:textId="77777777">
        <w:trPr>
          <w:hidden/>
        </w:trPr>
        <w:tc>
          <w:tcPr>
            <w:tcW w:w="0" w:type="auto"/>
            <w:gridSpan w:val="3"/>
            <w:shd w:val="clear" w:color="auto" w:fill="auto"/>
            <w:vAlign w:val="bottom"/>
          </w:tcPr>
          <w:p w14:paraId="71D45CAE" w14:textId="77777777" w:rsidR="006A3667" w:rsidRDefault="006A3667">
            <w:pPr>
              <w:rPr>
                <w:rFonts w:ascii="宋体"/>
                <w:vanish/>
              </w:rPr>
            </w:pPr>
          </w:p>
        </w:tc>
        <w:tc>
          <w:tcPr>
            <w:tcW w:w="0" w:type="auto"/>
            <w:gridSpan w:val="3"/>
            <w:shd w:val="clear" w:color="auto" w:fill="auto"/>
            <w:vAlign w:val="bottom"/>
          </w:tcPr>
          <w:p w14:paraId="71D45CAF" w14:textId="77777777" w:rsidR="006A3667" w:rsidRDefault="006A3667">
            <w:pPr>
              <w:rPr>
                <w:rFonts w:ascii="宋体"/>
                <w:vanish/>
              </w:rPr>
            </w:pPr>
          </w:p>
        </w:tc>
        <w:tc>
          <w:tcPr>
            <w:tcW w:w="0" w:type="auto"/>
            <w:gridSpan w:val="3"/>
            <w:shd w:val="clear" w:color="auto" w:fill="auto"/>
            <w:vAlign w:val="bottom"/>
          </w:tcPr>
          <w:p w14:paraId="71D45CB0" w14:textId="77777777" w:rsidR="006A3667" w:rsidRDefault="006A3667">
            <w:pPr>
              <w:rPr>
                <w:rFonts w:ascii="宋体"/>
                <w:vanish/>
              </w:rPr>
            </w:pPr>
          </w:p>
        </w:tc>
        <w:tc>
          <w:tcPr>
            <w:tcW w:w="0" w:type="auto"/>
            <w:gridSpan w:val="3"/>
            <w:shd w:val="clear" w:color="auto" w:fill="auto"/>
            <w:vAlign w:val="bottom"/>
          </w:tcPr>
          <w:p w14:paraId="71D45CB1" w14:textId="77777777" w:rsidR="006A3667" w:rsidRDefault="006A3667">
            <w:pPr>
              <w:rPr>
                <w:rFonts w:ascii="宋体"/>
                <w:vanish/>
              </w:rPr>
            </w:pPr>
          </w:p>
        </w:tc>
        <w:tc>
          <w:tcPr>
            <w:tcW w:w="0" w:type="auto"/>
            <w:gridSpan w:val="3"/>
            <w:shd w:val="clear" w:color="auto" w:fill="auto"/>
            <w:vAlign w:val="bottom"/>
          </w:tcPr>
          <w:p w14:paraId="71D45CB2" w14:textId="77777777" w:rsidR="006A3667" w:rsidRDefault="006A3667">
            <w:pPr>
              <w:rPr>
                <w:rFonts w:ascii="宋体"/>
                <w:vanish/>
              </w:rPr>
            </w:pPr>
          </w:p>
        </w:tc>
        <w:tc>
          <w:tcPr>
            <w:tcW w:w="0" w:type="auto"/>
            <w:gridSpan w:val="3"/>
            <w:shd w:val="clear" w:color="auto" w:fill="auto"/>
            <w:vAlign w:val="bottom"/>
          </w:tcPr>
          <w:p w14:paraId="71D45CB3" w14:textId="77777777" w:rsidR="006A3667" w:rsidRDefault="006A3667">
            <w:pPr>
              <w:rPr>
                <w:rFonts w:ascii="宋体"/>
                <w:vanish/>
              </w:rPr>
            </w:pPr>
          </w:p>
        </w:tc>
        <w:tc>
          <w:tcPr>
            <w:tcW w:w="0" w:type="auto"/>
            <w:gridSpan w:val="3"/>
            <w:shd w:val="clear" w:color="auto" w:fill="auto"/>
            <w:vAlign w:val="bottom"/>
          </w:tcPr>
          <w:p w14:paraId="71D45CB4" w14:textId="77777777" w:rsidR="006A3667" w:rsidRDefault="006A3667">
            <w:pPr>
              <w:rPr>
                <w:rFonts w:ascii="宋体"/>
                <w:vanish/>
              </w:rPr>
            </w:pPr>
          </w:p>
        </w:tc>
        <w:tc>
          <w:tcPr>
            <w:tcW w:w="0" w:type="auto"/>
            <w:gridSpan w:val="3"/>
            <w:shd w:val="clear" w:color="auto" w:fill="auto"/>
            <w:vAlign w:val="bottom"/>
          </w:tcPr>
          <w:p w14:paraId="71D45CB5" w14:textId="77777777" w:rsidR="006A3667" w:rsidRDefault="006A3667">
            <w:pPr>
              <w:rPr>
                <w:rFonts w:ascii="宋体"/>
                <w:vanish/>
              </w:rPr>
            </w:pPr>
          </w:p>
        </w:tc>
        <w:tc>
          <w:tcPr>
            <w:tcW w:w="0" w:type="auto"/>
            <w:gridSpan w:val="3"/>
            <w:shd w:val="clear" w:color="auto" w:fill="auto"/>
            <w:vAlign w:val="bottom"/>
          </w:tcPr>
          <w:p w14:paraId="71D45CB6" w14:textId="77777777" w:rsidR="006A3667" w:rsidRDefault="006A3667">
            <w:pPr>
              <w:rPr>
                <w:rFonts w:ascii="宋体"/>
                <w:vanish/>
              </w:rPr>
            </w:pPr>
          </w:p>
        </w:tc>
        <w:tc>
          <w:tcPr>
            <w:tcW w:w="0" w:type="auto"/>
            <w:gridSpan w:val="3"/>
            <w:shd w:val="clear" w:color="auto" w:fill="auto"/>
            <w:vAlign w:val="bottom"/>
          </w:tcPr>
          <w:p w14:paraId="71D45CB7" w14:textId="77777777" w:rsidR="006A3667" w:rsidRDefault="006A3667">
            <w:pPr>
              <w:rPr>
                <w:rFonts w:ascii="宋体"/>
                <w:vanish/>
              </w:rPr>
            </w:pPr>
          </w:p>
        </w:tc>
        <w:tc>
          <w:tcPr>
            <w:tcW w:w="0" w:type="auto"/>
            <w:gridSpan w:val="3"/>
            <w:shd w:val="clear" w:color="auto" w:fill="auto"/>
            <w:vAlign w:val="bottom"/>
          </w:tcPr>
          <w:p w14:paraId="71D45CB8" w14:textId="77777777" w:rsidR="006A3667" w:rsidRDefault="006A3667">
            <w:pPr>
              <w:rPr>
                <w:rFonts w:ascii="宋体"/>
                <w:vanish/>
              </w:rPr>
            </w:pPr>
          </w:p>
        </w:tc>
        <w:tc>
          <w:tcPr>
            <w:tcW w:w="0" w:type="auto"/>
            <w:gridSpan w:val="3"/>
            <w:shd w:val="clear" w:color="auto" w:fill="auto"/>
            <w:vAlign w:val="bottom"/>
          </w:tcPr>
          <w:p w14:paraId="71D45CB9" w14:textId="77777777" w:rsidR="006A3667" w:rsidRDefault="006A3667">
            <w:pPr>
              <w:rPr>
                <w:rFonts w:ascii="宋体"/>
                <w:vanish/>
              </w:rPr>
            </w:pPr>
          </w:p>
        </w:tc>
        <w:tc>
          <w:tcPr>
            <w:tcW w:w="0" w:type="auto"/>
            <w:gridSpan w:val="3"/>
            <w:shd w:val="clear" w:color="auto" w:fill="auto"/>
            <w:vAlign w:val="bottom"/>
          </w:tcPr>
          <w:p w14:paraId="71D45CBA" w14:textId="77777777" w:rsidR="006A3667" w:rsidRDefault="006A3667">
            <w:pPr>
              <w:rPr>
                <w:rFonts w:ascii="宋体"/>
                <w:vanish/>
              </w:rPr>
            </w:pPr>
          </w:p>
        </w:tc>
        <w:tc>
          <w:tcPr>
            <w:tcW w:w="0" w:type="auto"/>
            <w:gridSpan w:val="3"/>
            <w:shd w:val="clear" w:color="auto" w:fill="auto"/>
            <w:vAlign w:val="bottom"/>
          </w:tcPr>
          <w:p w14:paraId="71D45CBB" w14:textId="77777777" w:rsidR="006A3667" w:rsidRDefault="006A3667">
            <w:pPr>
              <w:rPr>
                <w:rFonts w:ascii="宋体"/>
                <w:vanish/>
              </w:rPr>
            </w:pPr>
          </w:p>
        </w:tc>
        <w:tc>
          <w:tcPr>
            <w:tcW w:w="0" w:type="auto"/>
            <w:gridSpan w:val="3"/>
            <w:shd w:val="clear" w:color="auto" w:fill="auto"/>
            <w:vAlign w:val="bottom"/>
          </w:tcPr>
          <w:p w14:paraId="71D45CBC" w14:textId="77777777" w:rsidR="006A3667" w:rsidRDefault="006A3667">
            <w:pPr>
              <w:rPr>
                <w:rFonts w:ascii="宋体"/>
                <w:vanish/>
              </w:rPr>
            </w:pPr>
          </w:p>
        </w:tc>
        <w:tc>
          <w:tcPr>
            <w:tcW w:w="0" w:type="auto"/>
            <w:gridSpan w:val="3"/>
            <w:shd w:val="clear" w:color="auto" w:fill="auto"/>
            <w:vAlign w:val="bottom"/>
          </w:tcPr>
          <w:p w14:paraId="71D45CBD" w14:textId="77777777" w:rsidR="006A3667" w:rsidRDefault="006A3667">
            <w:pPr>
              <w:rPr>
                <w:rFonts w:ascii="宋体"/>
                <w:vanish/>
              </w:rPr>
            </w:pPr>
          </w:p>
        </w:tc>
        <w:tc>
          <w:tcPr>
            <w:tcW w:w="0" w:type="auto"/>
            <w:gridSpan w:val="3"/>
            <w:shd w:val="clear" w:color="auto" w:fill="auto"/>
            <w:vAlign w:val="bottom"/>
          </w:tcPr>
          <w:p w14:paraId="71D45CBE" w14:textId="77777777" w:rsidR="006A3667" w:rsidRDefault="006A3667">
            <w:pPr>
              <w:rPr>
                <w:rFonts w:ascii="宋体"/>
                <w:vanish/>
              </w:rPr>
            </w:pPr>
          </w:p>
        </w:tc>
        <w:tc>
          <w:tcPr>
            <w:tcW w:w="0" w:type="auto"/>
            <w:gridSpan w:val="3"/>
            <w:shd w:val="clear" w:color="auto" w:fill="auto"/>
            <w:vAlign w:val="bottom"/>
          </w:tcPr>
          <w:p w14:paraId="71D45CBF" w14:textId="77777777" w:rsidR="006A3667" w:rsidRDefault="006A3667">
            <w:pPr>
              <w:rPr>
                <w:rFonts w:ascii="宋体"/>
                <w:vanish/>
              </w:rPr>
            </w:pPr>
          </w:p>
        </w:tc>
        <w:tc>
          <w:tcPr>
            <w:tcW w:w="0" w:type="auto"/>
            <w:gridSpan w:val="3"/>
            <w:shd w:val="clear" w:color="auto" w:fill="auto"/>
            <w:vAlign w:val="bottom"/>
          </w:tcPr>
          <w:p w14:paraId="71D45CC0" w14:textId="77777777" w:rsidR="006A3667" w:rsidRDefault="006A3667">
            <w:pPr>
              <w:rPr>
                <w:rFonts w:ascii="宋体"/>
                <w:vanish/>
              </w:rPr>
            </w:pPr>
          </w:p>
        </w:tc>
        <w:tc>
          <w:tcPr>
            <w:tcW w:w="0" w:type="auto"/>
            <w:gridSpan w:val="3"/>
            <w:shd w:val="clear" w:color="auto" w:fill="auto"/>
            <w:vAlign w:val="bottom"/>
          </w:tcPr>
          <w:p w14:paraId="71D45CC1" w14:textId="77777777" w:rsidR="006A3667" w:rsidRDefault="006A3667">
            <w:pPr>
              <w:rPr>
                <w:rFonts w:ascii="宋体"/>
                <w:vanish/>
              </w:rPr>
            </w:pPr>
          </w:p>
        </w:tc>
      </w:tr>
      <w:tr w:rsidR="006A3667" w14:paraId="71D45CD7" w14:textId="77777777">
        <w:trPr>
          <w:hidden/>
        </w:trPr>
        <w:tc>
          <w:tcPr>
            <w:tcW w:w="0" w:type="auto"/>
            <w:gridSpan w:val="3"/>
            <w:shd w:val="clear" w:color="auto" w:fill="auto"/>
            <w:vAlign w:val="bottom"/>
          </w:tcPr>
          <w:p w14:paraId="71D45CC3" w14:textId="77777777" w:rsidR="006A3667" w:rsidRDefault="006A3667">
            <w:pPr>
              <w:rPr>
                <w:rFonts w:ascii="宋体"/>
                <w:vanish/>
              </w:rPr>
            </w:pPr>
          </w:p>
        </w:tc>
        <w:tc>
          <w:tcPr>
            <w:tcW w:w="0" w:type="auto"/>
            <w:gridSpan w:val="3"/>
            <w:shd w:val="clear" w:color="auto" w:fill="auto"/>
            <w:vAlign w:val="bottom"/>
          </w:tcPr>
          <w:p w14:paraId="71D45CC4" w14:textId="77777777" w:rsidR="006A3667" w:rsidRDefault="006A3667">
            <w:pPr>
              <w:rPr>
                <w:rFonts w:ascii="宋体"/>
                <w:vanish/>
              </w:rPr>
            </w:pPr>
          </w:p>
        </w:tc>
        <w:tc>
          <w:tcPr>
            <w:tcW w:w="0" w:type="auto"/>
            <w:gridSpan w:val="3"/>
            <w:shd w:val="clear" w:color="auto" w:fill="auto"/>
            <w:vAlign w:val="bottom"/>
          </w:tcPr>
          <w:p w14:paraId="71D45CC5" w14:textId="77777777" w:rsidR="006A3667" w:rsidRDefault="006A3667">
            <w:pPr>
              <w:rPr>
                <w:rFonts w:ascii="宋体"/>
                <w:vanish/>
              </w:rPr>
            </w:pPr>
          </w:p>
        </w:tc>
        <w:tc>
          <w:tcPr>
            <w:tcW w:w="0" w:type="auto"/>
            <w:gridSpan w:val="3"/>
            <w:shd w:val="clear" w:color="auto" w:fill="auto"/>
            <w:vAlign w:val="bottom"/>
          </w:tcPr>
          <w:p w14:paraId="71D45CC6" w14:textId="77777777" w:rsidR="006A3667" w:rsidRDefault="006A3667">
            <w:pPr>
              <w:rPr>
                <w:rFonts w:ascii="宋体"/>
                <w:vanish/>
              </w:rPr>
            </w:pPr>
          </w:p>
        </w:tc>
        <w:tc>
          <w:tcPr>
            <w:tcW w:w="0" w:type="auto"/>
            <w:gridSpan w:val="3"/>
            <w:shd w:val="clear" w:color="auto" w:fill="auto"/>
            <w:vAlign w:val="bottom"/>
          </w:tcPr>
          <w:p w14:paraId="71D45CC7" w14:textId="77777777" w:rsidR="006A3667" w:rsidRDefault="006A3667">
            <w:pPr>
              <w:rPr>
                <w:rFonts w:ascii="宋体"/>
                <w:vanish/>
              </w:rPr>
            </w:pPr>
          </w:p>
        </w:tc>
        <w:tc>
          <w:tcPr>
            <w:tcW w:w="0" w:type="auto"/>
            <w:gridSpan w:val="3"/>
            <w:shd w:val="clear" w:color="auto" w:fill="auto"/>
            <w:vAlign w:val="bottom"/>
          </w:tcPr>
          <w:p w14:paraId="71D45CC8" w14:textId="77777777" w:rsidR="006A3667" w:rsidRDefault="006A3667">
            <w:pPr>
              <w:rPr>
                <w:rFonts w:ascii="宋体"/>
                <w:vanish/>
              </w:rPr>
            </w:pPr>
          </w:p>
        </w:tc>
        <w:tc>
          <w:tcPr>
            <w:tcW w:w="0" w:type="auto"/>
            <w:gridSpan w:val="3"/>
            <w:shd w:val="clear" w:color="auto" w:fill="auto"/>
            <w:vAlign w:val="bottom"/>
          </w:tcPr>
          <w:p w14:paraId="71D45CC9" w14:textId="77777777" w:rsidR="006A3667" w:rsidRDefault="006A3667">
            <w:pPr>
              <w:rPr>
                <w:rFonts w:ascii="宋体"/>
                <w:vanish/>
              </w:rPr>
            </w:pPr>
          </w:p>
        </w:tc>
        <w:tc>
          <w:tcPr>
            <w:tcW w:w="0" w:type="auto"/>
            <w:gridSpan w:val="3"/>
            <w:shd w:val="clear" w:color="auto" w:fill="auto"/>
            <w:vAlign w:val="bottom"/>
          </w:tcPr>
          <w:p w14:paraId="71D45CCA" w14:textId="77777777" w:rsidR="006A3667" w:rsidRDefault="006A3667">
            <w:pPr>
              <w:rPr>
                <w:rFonts w:ascii="宋体"/>
                <w:vanish/>
              </w:rPr>
            </w:pPr>
          </w:p>
        </w:tc>
        <w:tc>
          <w:tcPr>
            <w:tcW w:w="0" w:type="auto"/>
            <w:gridSpan w:val="3"/>
            <w:shd w:val="clear" w:color="auto" w:fill="auto"/>
            <w:vAlign w:val="bottom"/>
          </w:tcPr>
          <w:p w14:paraId="71D45CCB" w14:textId="77777777" w:rsidR="006A3667" w:rsidRDefault="006A3667">
            <w:pPr>
              <w:rPr>
                <w:rFonts w:ascii="宋体"/>
                <w:vanish/>
              </w:rPr>
            </w:pPr>
          </w:p>
        </w:tc>
        <w:tc>
          <w:tcPr>
            <w:tcW w:w="0" w:type="auto"/>
            <w:gridSpan w:val="3"/>
            <w:shd w:val="clear" w:color="auto" w:fill="auto"/>
            <w:vAlign w:val="bottom"/>
          </w:tcPr>
          <w:p w14:paraId="71D45CCC" w14:textId="77777777" w:rsidR="006A3667" w:rsidRDefault="006A3667">
            <w:pPr>
              <w:rPr>
                <w:rFonts w:ascii="宋体"/>
                <w:vanish/>
              </w:rPr>
            </w:pPr>
          </w:p>
        </w:tc>
        <w:tc>
          <w:tcPr>
            <w:tcW w:w="0" w:type="auto"/>
            <w:gridSpan w:val="3"/>
            <w:shd w:val="clear" w:color="auto" w:fill="auto"/>
            <w:vAlign w:val="bottom"/>
          </w:tcPr>
          <w:p w14:paraId="71D45CCD" w14:textId="77777777" w:rsidR="006A3667" w:rsidRDefault="006A3667">
            <w:pPr>
              <w:rPr>
                <w:rFonts w:ascii="宋体"/>
                <w:vanish/>
              </w:rPr>
            </w:pPr>
          </w:p>
        </w:tc>
        <w:tc>
          <w:tcPr>
            <w:tcW w:w="0" w:type="auto"/>
            <w:gridSpan w:val="3"/>
            <w:shd w:val="clear" w:color="auto" w:fill="auto"/>
            <w:vAlign w:val="bottom"/>
          </w:tcPr>
          <w:p w14:paraId="71D45CCE" w14:textId="77777777" w:rsidR="006A3667" w:rsidRDefault="006A3667">
            <w:pPr>
              <w:rPr>
                <w:rFonts w:ascii="宋体"/>
                <w:vanish/>
              </w:rPr>
            </w:pPr>
          </w:p>
        </w:tc>
        <w:tc>
          <w:tcPr>
            <w:tcW w:w="0" w:type="auto"/>
            <w:gridSpan w:val="3"/>
            <w:shd w:val="clear" w:color="auto" w:fill="auto"/>
            <w:vAlign w:val="bottom"/>
          </w:tcPr>
          <w:p w14:paraId="71D45CCF" w14:textId="77777777" w:rsidR="006A3667" w:rsidRDefault="006A3667">
            <w:pPr>
              <w:rPr>
                <w:rFonts w:ascii="宋体"/>
                <w:vanish/>
              </w:rPr>
            </w:pPr>
          </w:p>
        </w:tc>
        <w:tc>
          <w:tcPr>
            <w:tcW w:w="0" w:type="auto"/>
            <w:gridSpan w:val="3"/>
            <w:shd w:val="clear" w:color="auto" w:fill="auto"/>
            <w:vAlign w:val="bottom"/>
          </w:tcPr>
          <w:p w14:paraId="71D45CD0" w14:textId="77777777" w:rsidR="006A3667" w:rsidRDefault="006A3667">
            <w:pPr>
              <w:rPr>
                <w:rFonts w:ascii="宋体"/>
                <w:vanish/>
              </w:rPr>
            </w:pPr>
          </w:p>
        </w:tc>
        <w:tc>
          <w:tcPr>
            <w:tcW w:w="0" w:type="auto"/>
            <w:gridSpan w:val="3"/>
            <w:shd w:val="clear" w:color="auto" w:fill="auto"/>
            <w:vAlign w:val="bottom"/>
          </w:tcPr>
          <w:p w14:paraId="71D45CD1" w14:textId="77777777" w:rsidR="006A3667" w:rsidRDefault="006A3667">
            <w:pPr>
              <w:rPr>
                <w:rFonts w:ascii="宋体"/>
                <w:vanish/>
              </w:rPr>
            </w:pPr>
          </w:p>
        </w:tc>
        <w:tc>
          <w:tcPr>
            <w:tcW w:w="0" w:type="auto"/>
            <w:gridSpan w:val="3"/>
            <w:shd w:val="clear" w:color="auto" w:fill="auto"/>
            <w:vAlign w:val="bottom"/>
          </w:tcPr>
          <w:p w14:paraId="71D45CD2" w14:textId="77777777" w:rsidR="006A3667" w:rsidRDefault="006A3667">
            <w:pPr>
              <w:rPr>
                <w:rFonts w:ascii="宋体"/>
                <w:vanish/>
              </w:rPr>
            </w:pPr>
          </w:p>
        </w:tc>
        <w:tc>
          <w:tcPr>
            <w:tcW w:w="0" w:type="auto"/>
            <w:gridSpan w:val="3"/>
            <w:shd w:val="clear" w:color="auto" w:fill="auto"/>
            <w:vAlign w:val="bottom"/>
          </w:tcPr>
          <w:p w14:paraId="71D45CD3" w14:textId="77777777" w:rsidR="006A3667" w:rsidRDefault="006A3667">
            <w:pPr>
              <w:rPr>
                <w:rFonts w:ascii="宋体"/>
                <w:vanish/>
              </w:rPr>
            </w:pPr>
          </w:p>
        </w:tc>
        <w:tc>
          <w:tcPr>
            <w:tcW w:w="0" w:type="auto"/>
            <w:gridSpan w:val="3"/>
            <w:shd w:val="clear" w:color="auto" w:fill="auto"/>
            <w:vAlign w:val="bottom"/>
          </w:tcPr>
          <w:p w14:paraId="71D45CD4" w14:textId="77777777" w:rsidR="006A3667" w:rsidRDefault="006A3667">
            <w:pPr>
              <w:rPr>
                <w:rFonts w:ascii="宋体"/>
                <w:vanish/>
              </w:rPr>
            </w:pPr>
          </w:p>
        </w:tc>
        <w:tc>
          <w:tcPr>
            <w:tcW w:w="0" w:type="auto"/>
            <w:gridSpan w:val="3"/>
            <w:shd w:val="clear" w:color="auto" w:fill="auto"/>
            <w:vAlign w:val="bottom"/>
          </w:tcPr>
          <w:p w14:paraId="71D45CD5" w14:textId="77777777" w:rsidR="006A3667" w:rsidRDefault="006A3667">
            <w:pPr>
              <w:rPr>
                <w:rFonts w:ascii="宋体"/>
                <w:vanish/>
              </w:rPr>
            </w:pPr>
          </w:p>
        </w:tc>
        <w:tc>
          <w:tcPr>
            <w:tcW w:w="0" w:type="auto"/>
            <w:gridSpan w:val="3"/>
            <w:shd w:val="clear" w:color="auto" w:fill="auto"/>
            <w:vAlign w:val="bottom"/>
          </w:tcPr>
          <w:p w14:paraId="71D45CD6" w14:textId="77777777" w:rsidR="006A3667" w:rsidRDefault="006A3667">
            <w:pPr>
              <w:rPr>
                <w:rFonts w:ascii="宋体"/>
                <w:vanish/>
              </w:rPr>
            </w:pPr>
          </w:p>
        </w:tc>
      </w:tr>
      <w:tr w:rsidR="006A3667" w14:paraId="71D45CEC" w14:textId="77777777">
        <w:trPr>
          <w:hidden/>
        </w:trPr>
        <w:tc>
          <w:tcPr>
            <w:tcW w:w="0" w:type="auto"/>
            <w:gridSpan w:val="3"/>
            <w:shd w:val="clear" w:color="auto" w:fill="auto"/>
            <w:vAlign w:val="bottom"/>
          </w:tcPr>
          <w:p w14:paraId="71D45CD8" w14:textId="77777777" w:rsidR="006A3667" w:rsidRDefault="006A3667">
            <w:pPr>
              <w:rPr>
                <w:rFonts w:ascii="宋体"/>
                <w:vanish/>
              </w:rPr>
            </w:pPr>
          </w:p>
        </w:tc>
        <w:tc>
          <w:tcPr>
            <w:tcW w:w="0" w:type="auto"/>
            <w:gridSpan w:val="3"/>
            <w:shd w:val="clear" w:color="auto" w:fill="auto"/>
            <w:vAlign w:val="bottom"/>
          </w:tcPr>
          <w:p w14:paraId="71D45CD9" w14:textId="77777777" w:rsidR="006A3667" w:rsidRDefault="006A3667">
            <w:pPr>
              <w:rPr>
                <w:rFonts w:ascii="宋体"/>
                <w:vanish/>
              </w:rPr>
            </w:pPr>
          </w:p>
        </w:tc>
        <w:tc>
          <w:tcPr>
            <w:tcW w:w="0" w:type="auto"/>
            <w:gridSpan w:val="3"/>
            <w:shd w:val="clear" w:color="auto" w:fill="auto"/>
            <w:vAlign w:val="bottom"/>
          </w:tcPr>
          <w:p w14:paraId="71D45CDA" w14:textId="77777777" w:rsidR="006A3667" w:rsidRDefault="006A3667">
            <w:pPr>
              <w:rPr>
                <w:rFonts w:ascii="宋体"/>
                <w:vanish/>
              </w:rPr>
            </w:pPr>
          </w:p>
        </w:tc>
        <w:tc>
          <w:tcPr>
            <w:tcW w:w="0" w:type="auto"/>
            <w:gridSpan w:val="3"/>
            <w:shd w:val="clear" w:color="auto" w:fill="auto"/>
            <w:vAlign w:val="bottom"/>
          </w:tcPr>
          <w:p w14:paraId="71D45CDB" w14:textId="77777777" w:rsidR="006A3667" w:rsidRDefault="006A3667">
            <w:pPr>
              <w:rPr>
                <w:rFonts w:ascii="宋体"/>
                <w:vanish/>
              </w:rPr>
            </w:pPr>
          </w:p>
        </w:tc>
        <w:tc>
          <w:tcPr>
            <w:tcW w:w="0" w:type="auto"/>
            <w:gridSpan w:val="3"/>
            <w:shd w:val="clear" w:color="auto" w:fill="auto"/>
            <w:vAlign w:val="bottom"/>
          </w:tcPr>
          <w:p w14:paraId="71D45CDC" w14:textId="77777777" w:rsidR="006A3667" w:rsidRDefault="006A3667">
            <w:pPr>
              <w:rPr>
                <w:rFonts w:ascii="宋体"/>
                <w:vanish/>
              </w:rPr>
            </w:pPr>
          </w:p>
        </w:tc>
        <w:tc>
          <w:tcPr>
            <w:tcW w:w="0" w:type="auto"/>
            <w:gridSpan w:val="3"/>
            <w:shd w:val="clear" w:color="auto" w:fill="auto"/>
            <w:vAlign w:val="bottom"/>
          </w:tcPr>
          <w:p w14:paraId="71D45CDD" w14:textId="77777777" w:rsidR="006A3667" w:rsidRDefault="006A3667">
            <w:pPr>
              <w:rPr>
                <w:rFonts w:ascii="宋体"/>
                <w:vanish/>
              </w:rPr>
            </w:pPr>
          </w:p>
        </w:tc>
        <w:tc>
          <w:tcPr>
            <w:tcW w:w="0" w:type="auto"/>
            <w:gridSpan w:val="3"/>
            <w:shd w:val="clear" w:color="auto" w:fill="auto"/>
            <w:vAlign w:val="bottom"/>
          </w:tcPr>
          <w:p w14:paraId="71D45CDE" w14:textId="77777777" w:rsidR="006A3667" w:rsidRDefault="006A3667">
            <w:pPr>
              <w:rPr>
                <w:rFonts w:ascii="宋体"/>
                <w:vanish/>
              </w:rPr>
            </w:pPr>
          </w:p>
        </w:tc>
        <w:tc>
          <w:tcPr>
            <w:tcW w:w="0" w:type="auto"/>
            <w:gridSpan w:val="3"/>
            <w:shd w:val="clear" w:color="auto" w:fill="auto"/>
            <w:vAlign w:val="bottom"/>
          </w:tcPr>
          <w:p w14:paraId="71D45CDF" w14:textId="77777777" w:rsidR="006A3667" w:rsidRDefault="006A3667">
            <w:pPr>
              <w:rPr>
                <w:rFonts w:ascii="宋体"/>
                <w:vanish/>
              </w:rPr>
            </w:pPr>
          </w:p>
        </w:tc>
        <w:tc>
          <w:tcPr>
            <w:tcW w:w="0" w:type="auto"/>
            <w:gridSpan w:val="3"/>
            <w:shd w:val="clear" w:color="auto" w:fill="auto"/>
            <w:vAlign w:val="bottom"/>
          </w:tcPr>
          <w:p w14:paraId="71D45CE0" w14:textId="77777777" w:rsidR="006A3667" w:rsidRDefault="006A3667">
            <w:pPr>
              <w:rPr>
                <w:rFonts w:ascii="宋体"/>
                <w:vanish/>
              </w:rPr>
            </w:pPr>
          </w:p>
        </w:tc>
        <w:tc>
          <w:tcPr>
            <w:tcW w:w="0" w:type="auto"/>
            <w:gridSpan w:val="3"/>
            <w:shd w:val="clear" w:color="auto" w:fill="auto"/>
            <w:vAlign w:val="bottom"/>
          </w:tcPr>
          <w:p w14:paraId="71D45CE1" w14:textId="77777777" w:rsidR="006A3667" w:rsidRDefault="006A3667">
            <w:pPr>
              <w:rPr>
                <w:rFonts w:ascii="宋体"/>
                <w:vanish/>
              </w:rPr>
            </w:pPr>
          </w:p>
        </w:tc>
        <w:tc>
          <w:tcPr>
            <w:tcW w:w="0" w:type="auto"/>
            <w:gridSpan w:val="3"/>
            <w:shd w:val="clear" w:color="auto" w:fill="auto"/>
            <w:vAlign w:val="bottom"/>
          </w:tcPr>
          <w:p w14:paraId="71D45CE2" w14:textId="77777777" w:rsidR="006A3667" w:rsidRDefault="006A3667">
            <w:pPr>
              <w:rPr>
                <w:rFonts w:ascii="宋体"/>
                <w:vanish/>
              </w:rPr>
            </w:pPr>
          </w:p>
        </w:tc>
        <w:tc>
          <w:tcPr>
            <w:tcW w:w="0" w:type="auto"/>
            <w:gridSpan w:val="3"/>
            <w:shd w:val="clear" w:color="auto" w:fill="auto"/>
            <w:vAlign w:val="bottom"/>
          </w:tcPr>
          <w:p w14:paraId="71D45CE3" w14:textId="77777777" w:rsidR="006A3667" w:rsidRDefault="006A3667">
            <w:pPr>
              <w:rPr>
                <w:rFonts w:ascii="宋体"/>
                <w:vanish/>
              </w:rPr>
            </w:pPr>
          </w:p>
        </w:tc>
        <w:tc>
          <w:tcPr>
            <w:tcW w:w="0" w:type="auto"/>
            <w:gridSpan w:val="3"/>
            <w:shd w:val="clear" w:color="auto" w:fill="auto"/>
            <w:vAlign w:val="bottom"/>
          </w:tcPr>
          <w:p w14:paraId="71D45CE4" w14:textId="77777777" w:rsidR="006A3667" w:rsidRDefault="006A3667">
            <w:pPr>
              <w:rPr>
                <w:rFonts w:ascii="宋体"/>
                <w:vanish/>
              </w:rPr>
            </w:pPr>
          </w:p>
        </w:tc>
        <w:tc>
          <w:tcPr>
            <w:tcW w:w="0" w:type="auto"/>
            <w:gridSpan w:val="3"/>
            <w:shd w:val="clear" w:color="auto" w:fill="auto"/>
            <w:vAlign w:val="bottom"/>
          </w:tcPr>
          <w:p w14:paraId="71D45CE5" w14:textId="77777777" w:rsidR="006A3667" w:rsidRDefault="006A3667">
            <w:pPr>
              <w:rPr>
                <w:rFonts w:ascii="宋体"/>
                <w:vanish/>
              </w:rPr>
            </w:pPr>
          </w:p>
        </w:tc>
        <w:tc>
          <w:tcPr>
            <w:tcW w:w="0" w:type="auto"/>
            <w:gridSpan w:val="3"/>
            <w:shd w:val="clear" w:color="auto" w:fill="auto"/>
            <w:vAlign w:val="bottom"/>
          </w:tcPr>
          <w:p w14:paraId="71D45CE6" w14:textId="77777777" w:rsidR="006A3667" w:rsidRDefault="006A3667">
            <w:pPr>
              <w:rPr>
                <w:rFonts w:ascii="宋体"/>
                <w:vanish/>
              </w:rPr>
            </w:pPr>
          </w:p>
        </w:tc>
        <w:tc>
          <w:tcPr>
            <w:tcW w:w="0" w:type="auto"/>
            <w:gridSpan w:val="3"/>
            <w:shd w:val="clear" w:color="auto" w:fill="auto"/>
            <w:vAlign w:val="bottom"/>
          </w:tcPr>
          <w:p w14:paraId="71D45CE7" w14:textId="77777777" w:rsidR="006A3667" w:rsidRDefault="006A3667">
            <w:pPr>
              <w:rPr>
                <w:rFonts w:ascii="宋体"/>
                <w:vanish/>
              </w:rPr>
            </w:pPr>
          </w:p>
        </w:tc>
        <w:tc>
          <w:tcPr>
            <w:tcW w:w="0" w:type="auto"/>
            <w:gridSpan w:val="3"/>
            <w:shd w:val="clear" w:color="auto" w:fill="auto"/>
            <w:vAlign w:val="bottom"/>
          </w:tcPr>
          <w:p w14:paraId="71D45CE8" w14:textId="77777777" w:rsidR="006A3667" w:rsidRDefault="006A3667">
            <w:pPr>
              <w:rPr>
                <w:rFonts w:ascii="宋体"/>
                <w:vanish/>
              </w:rPr>
            </w:pPr>
          </w:p>
        </w:tc>
        <w:tc>
          <w:tcPr>
            <w:tcW w:w="0" w:type="auto"/>
            <w:gridSpan w:val="3"/>
            <w:shd w:val="clear" w:color="auto" w:fill="auto"/>
            <w:vAlign w:val="bottom"/>
          </w:tcPr>
          <w:p w14:paraId="71D45CE9" w14:textId="77777777" w:rsidR="006A3667" w:rsidRDefault="006A3667">
            <w:pPr>
              <w:rPr>
                <w:rFonts w:ascii="宋体"/>
                <w:vanish/>
              </w:rPr>
            </w:pPr>
          </w:p>
        </w:tc>
        <w:tc>
          <w:tcPr>
            <w:tcW w:w="0" w:type="auto"/>
            <w:gridSpan w:val="3"/>
            <w:shd w:val="clear" w:color="auto" w:fill="auto"/>
            <w:vAlign w:val="bottom"/>
          </w:tcPr>
          <w:p w14:paraId="71D45CEA" w14:textId="77777777" w:rsidR="006A3667" w:rsidRDefault="006A3667">
            <w:pPr>
              <w:rPr>
                <w:rFonts w:ascii="宋体"/>
                <w:vanish/>
              </w:rPr>
            </w:pPr>
          </w:p>
        </w:tc>
        <w:tc>
          <w:tcPr>
            <w:tcW w:w="0" w:type="auto"/>
            <w:gridSpan w:val="3"/>
            <w:shd w:val="clear" w:color="auto" w:fill="auto"/>
            <w:vAlign w:val="bottom"/>
          </w:tcPr>
          <w:p w14:paraId="71D45CEB" w14:textId="77777777" w:rsidR="006A3667" w:rsidRDefault="006A3667">
            <w:pPr>
              <w:rPr>
                <w:rFonts w:ascii="宋体"/>
                <w:vanish/>
              </w:rPr>
            </w:pPr>
          </w:p>
        </w:tc>
      </w:tr>
      <w:tr w:rsidR="006A3667" w14:paraId="71D45D0B" w14:textId="77777777">
        <w:tc>
          <w:tcPr>
            <w:tcW w:w="0" w:type="auto"/>
            <w:gridSpan w:val="3"/>
            <w:shd w:val="clear" w:color="auto" w:fill="FFFFFF"/>
            <w:tcMar>
              <w:top w:w="40" w:type="dxa"/>
              <w:left w:w="20" w:type="dxa"/>
              <w:bottom w:w="40" w:type="dxa"/>
              <w:right w:w="20" w:type="dxa"/>
            </w:tcMar>
            <w:vAlign w:val="bottom"/>
          </w:tcPr>
          <w:p w14:paraId="71D45CED" w14:textId="77777777" w:rsidR="006A3667" w:rsidRDefault="00045F32">
            <w:pPr>
              <w:textAlignment w:val="bottom"/>
            </w:pPr>
            <w:r>
              <w:rPr>
                <w:rFonts w:ascii="Arial" w:eastAsia="宋体" w:hAnsi="Arial" w:cs="Arial"/>
                <w:color w:val="000000"/>
                <w:sz w:val="13"/>
                <w:szCs w:val="13"/>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CEE" w14:textId="77777777" w:rsidR="006A3667" w:rsidRDefault="00045F32">
            <w:pPr>
              <w:jc w:val="right"/>
              <w:textAlignment w:val="bottom"/>
            </w:pPr>
            <w:r>
              <w:rPr>
                <w:rFonts w:ascii="Arial" w:eastAsia="宋体" w:hAnsi="Arial" w:cs="Arial"/>
                <w:b/>
                <w:bCs/>
                <w:color w:val="000000"/>
                <w:sz w:val="13"/>
                <w:szCs w:val="13"/>
              </w:rPr>
              <w:t>197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C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F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CF1" w14:textId="77777777" w:rsidR="006A3667" w:rsidRDefault="00045F32">
            <w:pPr>
              <w:jc w:val="right"/>
              <w:textAlignment w:val="bottom"/>
            </w:pPr>
            <w:r>
              <w:rPr>
                <w:rFonts w:ascii="Arial" w:eastAsia="宋体" w:hAnsi="Arial" w:cs="Arial"/>
                <w:b/>
                <w:bCs/>
                <w:color w:val="000000"/>
                <w:sz w:val="13"/>
                <w:szCs w:val="13"/>
              </w:rPr>
              <w:t>195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C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F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CF4" w14:textId="77777777" w:rsidR="006A3667" w:rsidRDefault="00045F32">
            <w:pPr>
              <w:jc w:val="right"/>
              <w:textAlignment w:val="bottom"/>
            </w:pPr>
            <w:r>
              <w:rPr>
                <w:rFonts w:ascii="Arial" w:eastAsia="宋体" w:hAnsi="Arial" w:cs="Arial"/>
                <w:b/>
                <w:bCs/>
                <w:color w:val="000000"/>
                <w:sz w:val="13"/>
                <w:szCs w:val="13"/>
              </w:rPr>
              <w:t>309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C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F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CF7" w14:textId="77777777" w:rsidR="006A3667" w:rsidRDefault="00045F32">
            <w:pPr>
              <w:jc w:val="right"/>
              <w:textAlignment w:val="bottom"/>
            </w:pPr>
            <w:r>
              <w:rPr>
                <w:rFonts w:ascii="Arial" w:eastAsia="宋体" w:hAnsi="Arial" w:cs="Arial"/>
                <w:b/>
                <w:bCs/>
                <w:color w:val="000000"/>
                <w:sz w:val="13"/>
                <w:szCs w:val="13"/>
              </w:rPr>
              <w:t>299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CF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F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CFA" w14:textId="77777777" w:rsidR="006A3667" w:rsidRDefault="00045F32">
            <w:pPr>
              <w:jc w:val="right"/>
              <w:textAlignment w:val="bottom"/>
            </w:pPr>
            <w:r>
              <w:rPr>
                <w:rFonts w:ascii="Arial" w:eastAsia="宋体" w:hAnsi="Arial" w:cs="Arial"/>
                <w:b/>
                <w:bCs/>
                <w:color w:val="000000"/>
                <w:sz w:val="13"/>
                <w:szCs w:val="13"/>
              </w:rPr>
              <w:t>390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CF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F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CFD" w14:textId="77777777" w:rsidR="006A3667" w:rsidRDefault="00045F32">
            <w:pPr>
              <w:jc w:val="right"/>
              <w:textAlignment w:val="bottom"/>
            </w:pPr>
            <w:r>
              <w:rPr>
                <w:rFonts w:ascii="Arial" w:eastAsia="宋体" w:hAnsi="Arial" w:cs="Arial"/>
                <w:b/>
                <w:bCs/>
                <w:color w:val="000000"/>
                <w:sz w:val="13"/>
                <w:szCs w:val="13"/>
              </w:rPr>
              <w:t>379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CF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CF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D00" w14:textId="77777777" w:rsidR="006A3667" w:rsidRDefault="00045F32">
            <w:pPr>
              <w:jc w:val="right"/>
              <w:textAlignment w:val="bottom"/>
            </w:pPr>
            <w:r>
              <w:rPr>
                <w:rFonts w:ascii="Arial" w:eastAsia="宋体" w:hAnsi="Arial" w:cs="Arial"/>
                <w:b/>
                <w:bCs/>
                <w:color w:val="000000"/>
                <w:sz w:val="13"/>
                <w:szCs w:val="13"/>
              </w:rPr>
              <w:t>56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0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0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D03" w14:textId="77777777" w:rsidR="006A3667" w:rsidRDefault="00045F32">
            <w:pPr>
              <w:jc w:val="right"/>
              <w:textAlignment w:val="bottom"/>
            </w:pPr>
            <w:r>
              <w:rPr>
                <w:rFonts w:ascii="Arial" w:eastAsia="宋体" w:hAnsi="Arial" w:cs="Arial"/>
                <w:b/>
                <w:bCs/>
                <w:color w:val="000000"/>
                <w:sz w:val="13"/>
                <w:szCs w:val="13"/>
              </w:rPr>
              <w:t>51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0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D06" w14:textId="77777777" w:rsidR="006A3667" w:rsidRDefault="00045F32">
            <w:pPr>
              <w:jc w:val="right"/>
              <w:textAlignment w:val="bottom"/>
            </w:pPr>
            <w:r>
              <w:rPr>
                <w:rFonts w:ascii="Arial" w:eastAsia="宋体" w:hAnsi="Arial" w:cs="Arial"/>
                <w:b/>
                <w:bCs/>
                <w:color w:val="000000"/>
                <w:sz w:val="13"/>
                <w:szCs w:val="13"/>
              </w:rPr>
              <w:t>952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0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D09" w14:textId="77777777" w:rsidR="006A3667" w:rsidRDefault="00045F32">
            <w:pPr>
              <w:jc w:val="right"/>
              <w:textAlignment w:val="bottom"/>
            </w:pPr>
            <w:r>
              <w:rPr>
                <w:rFonts w:ascii="Arial" w:eastAsia="宋体" w:hAnsi="Arial" w:cs="Arial"/>
                <w:b/>
                <w:bCs/>
                <w:color w:val="000000"/>
                <w:sz w:val="13"/>
                <w:szCs w:val="13"/>
              </w:rPr>
              <w:t>924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0A" w14:textId="77777777" w:rsidR="006A3667" w:rsidRDefault="006A3667">
            <w:pPr>
              <w:jc w:val="right"/>
              <w:rPr>
                <w:rFonts w:ascii="宋体"/>
              </w:rPr>
            </w:pPr>
          </w:p>
        </w:tc>
      </w:tr>
      <w:tr w:rsidR="006A3667" w14:paraId="71D45D20" w14:textId="77777777">
        <w:trPr>
          <w:hidden/>
        </w:trPr>
        <w:tc>
          <w:tcPr>
            <w:tcW w:w="0" w:type="auto"/>
            <w:gridSpan w:val="3"/>
            <w:shd w:val="clear" w:color="auto" w:fill="auto"/>
            <w:vAlign w:val="bottom"/>
          </w:tcPr>
          <w:p w14:paraId="71D45D0C" w14:textId="77777777" w:rsidR="006A3667" w:rsidRDefault="006A3667">
            <w:pPr>
              <w:rPr>
                <w:rFonts w:ascii="宋体"/>
                <w:vanish/>
              </w:rPr>
            </w:pPr>
          </w:p>
        </w:tc>
        <w:tc>
          <w:tcPr>
            <w:tcW w:w="0" w:type="auto"/>
            <w:gridSpan w:val="3"/>
            <w:shd w:val="clear" w:color="auto" w:fill="auto"/>
            <w:vAlign w:val="bottom"/>
          </w:tcPr>
          <w:p w14:paraId="71D45D0D" w14:textId="77777777" w:rsidR="006A3667" w:rsidRDefault="006A3667">
            <w:pPr>
              <w:rPr>
                <w:rFonts w:ascii="宋体"/>
                <w:vanish/>
              </w:rPr>
            </w:pPr>
          </w:p>
        </w:tc>
        <w:tc>
          <w:tcPr>
            <w:tcW w:w="0" w:type="auto"/>
            <w:gridSpan w:val="3"/>
            <w:shd w:val="clear" w:color="auto" w:fill="auto"/>
            <w:vAlign w:val="bottom"/>
          </w:tcPr>
          <w:p w14:paraId="71D45D0E" w14:textId="77777777" w:rsidR="006A3667" w:rsidRDefault="006A3667">
            <w:pPr>
              <w:rPr>
                <w:rFonts w:ascii="宋体"/>
                <w:vanish/>
              </w:rPr>
            </w:pPr>
          </w:p>
        </w:tc>
        <w:tc>
          <w:tcPr>
            <w:tcW w:w="0" w:type="auto"/>
            <w:gridSpan w:val="3"/>
            <w:shd w:val="clear" w:color="auto" w:fill="auto"/>
            <w:vAlign w:val="bottom"/>
          </w:tcPr>
          <w:p w14:paraId="71D45D0F" w14:textId="77777777" w:rsidR="006A3667" w:rsidRDefault="006A3667">
            <w:pPr>
              <w:rPr>
                <w:rFonts w:ascii="宋体"/>
                <w:vanish/>
              </w:rPr>
            </w:pPr>
          </w:p>
        </w:tc>
        <w:tc>
          <w:tcPr>
            <w:tcW w:w="0" w:type="auto"/>
            <w:gridSpan w:val="3"/>
            <w:shd w:val="clear" w:color="auto" w:fill="auto"/>
            <w:vAlign w:val="bottom"/>
          </w:tcPr>
          <w:p w14:paraId="71D45D10" w14:textId="77777777" w:rsidR="006A3667" w:rsidRDefault="006A3667">
            <w:pPr>
              <w:rPr>
                <w:rFonts w:ascii="宋体"/>
                <w:vanish/>
              </w:rPr>
            </w:pPr>
          </w:p>
        </w:tc>
        <w:tc>
          <w:tcPr>
            <w:tcW w:w="0" w:type="auto"/>
            <w:gridSpan w:val="3"/>
            <w:shd w:val="clear" w:color="auto" w:fill="auto"/>
            <w:vAlign w:val="bottom"/>
          </w:tcPr>
          <w:p w14:paraId="71D45D11" w14:textId="77777777" w:rsidR="006A3667" w:rsidRDefault="006A3667">
            <w:pPr>
              <w:rPr>
                <w:rFonts w:ascii="宋体"/>
                <w:vanish/>
              </w:rPr>
            </w:pPr>
          </w:p>
        </w:tc>
        <w:tc>
          <w:tcPr>
            <w:tcW w:w="0" w:type="auto"/>
            <w:gridSpan w:val="3"/>
            <w:shd w:val="clear" w:color="auto" w:fill="auto"/>
            <w:vAlign w:val="bottom"/>
          </w:tcPr>
          <w:p w14:paraId="71D45D12" w14:textId="77777777" w:rsidR="006A3667" w:rsidRDefault="006A3667">
            <w:pPr>
              <w:rPr>
                <w:rFonts w:ascii="宋体"/>
                <w:vanish/>
              </w:rPr>
            </w:pPr>
          </w:p>
        </w:tc>
        <w:tc>
          <w:tcPr>
            <w:tcW w:w="0" w:type="auto"/>
            <w:gridSpan w:val="3"/>
            <w:shd w:val="clear" w:color="auto" w:fill="auto"/>
            <w:vAlign w:val="bottom"/>
          </w:tcPr>
          <w:p w14:paraId="71D45D13" w14:textId="77777777" w:rsidR="006A3667" w:rsidRDefault="006A3667">
            <w:pPr>
              <w:rPr>
                <w:rFonts w:ascii="宋体"/>
                <w:vanish/>
              </w:rPr>
            </w:pPr>
          </w:p>
        </w:tc>
        <w:tc>
          <w:tcPr>
            <w:tcW w:w="0" w:type="auto"/>
            <w:gridSpan w:val="3"/>
            <w:shd w:val="clear" w:color="auto" w:fill="auto"/>
            <w:vAlign w:val="bottom"/>
          </w:tcPr>
          <w:p w14:paraId="71D45D14" w14:textId="77777777" w:rsidR="006A3667" w:rsidRDefault="006A3667">
            <w:pPr>
              <w:rPr>
                <w:rFonts w:ascii="宋体"/>
                <w:vanish/>
              </w:rPr>
            </w:pPr>
          </w:p>
        </w:tc>
        <w:tc>
          <w:tcPr>
            <w:tcW w:w="0" w:type="auto"/>
            <w:gridSpan w:val="3"/>
            <w:shd w:val="clear" w:color="auto" w:fill="auto"/>
            <w:vAlign w:val="bottom"/>
          </w:tcPr>
          <w:p w14:paraId="71D45D15" w14:textId="77777777" w:rsidR="006A3667" w:rsidRDefault="006A3667">
            <w:pPr>
              <w:rPr>
                <w:rFonts w:ascii="宋体"/>
                <w:vanish/>
              </w:rPr>
            </w:pPr>
          </w:p>
        </w:tc>
        <w:tc>
          <w:tcPr>
            <w:tcW w:w="0" w:type="auto"/>
            <w:gridSpan w:val="3"/>
            <w:shd w:val="clear" w:color="auto" w:fill="auto"/>
            <w:vAlign w:val="bottom"/>
          </w:tcPr>
          <w:p w14:paraId="71D45D16" w14:textId="77777777" w:rsidR="006A3667" w:rsidRDefault="006A3667">
            <w:pPr>
              <w:rPr>
                <w:rFonts w:ascii="宋体"/>
                <w:vanish/>
              </w:rPr>
            </w:pPr>
          </w:p>
        </w:tc>
        <w:tc>
          <w:tcPr>
            <w:tcW w:w="0" w:type="auto"/>
            <w:gridSpan w:val="3"/>
            <w:shd w:val="clear" w:color="auto" w:fill="auto"/>
            <w:vAlign w:val="bottom"/>
          </w:tcPr>
          <w:p w14:paraId="71D45D17" w14:textId="77777777" w:rsidR="006A3667" w:rsidRDefault="006A3667">
            <w:pPr>
              <w:rPr>
                <w:rFonts w:ascii="宋体"/>
                <w:vanish/>
              </w:rPr>
            </w:pPr>
          </w:p>
        </w:tc>
        <w:tc>
          <w:tcPr>
            <w:tcW w:w="0" w:type="auto"/>
            <w:gridSpan w:val="3"/>
            <w:shd w:val="clear" w:color="auto" w:fill="auto"/>
            <w:vAlign w:val="bottom"/>
          </w:tcPr>
          <w:p w14:paraId="71D45D18" w14:textId="77777777" w:rsidR="006A3667" w:rsidRDefault="006A3667">
            <w:pPr>
              <w:rPr>
                <w:rFonts w:ascii="宋体"/>
                <w:vanish/>
              </w:rPr>
            </w:pPr>
          </w:p>
        </w:tc>
        <w:tc>
          <w:tcPr>
            <w:tcW w:w="0" w:type="auto"/>
            <w:gridSpan w:val="3"/>
            <w:shd w:val="clear" w:color="auto" w:fill="auto"/>
            <w:vAlign w:val="bottom"/>
          </w:tcPr>
          <w:p w14:paraId="71D45D19" w14:textId="77777777" w:rsidR="006A3667" w:rsidRDefault="006A3667">
            <w:pPr>
              <w:rPr>
                <w:rFonts w:ascii="宋体"/>
                <w:vanish/>
              </w:rPr>
            </w:pPr>
          </w:p>
        </w:tc>
        <w:tc>
          <w:tcPr>
            <w:tcW w:w="0" w:type="auto"/>
            <w:gridSpan w:val="3"/>
            <w:shd w:val="clear" w:color="auto" w:fill="auto"/>
            <w:vAlign w:val="bottom"/>
          </w:tcPr>
          <w:p w14:paraId="71D45D1A" w14:textId="77777777" w:rsidR="006A3667" w:rsidRDefault="006A3667">
            <w:pPr>
              <w:rPr>
                <w:rFonts w:ascii="宋体"/>
                <w:vanish/>
              </w:rPr>
            </w:pPr>
          </w:p>
        </w:tc>
        <w:tc>
          <w:tcPr>
            <w:tcW w:w="0" w:type="auto"/>
            <w:gridSpan w:val="3"/>
            <w:shd w:val="clear" w:color="auto" w:fill="auto"/>
            <w:vAlign w:val="bottom"/>
          </w:tcPr>
          <w:p w14:paraId="71D45D1B" w14:textId="77777777" w:rsidR="006A3667" w:rsidRDefault="006A3667">
            <w:pPr>
              <w:rPr>
                <w:rFonts w:ascii="宋体"/>
                <w:vanish/>
              </w:rPr>
            </w:pPr>
          </w:p>
        </w:tc>
        <w:tc>
          <w:tcPr>
            <w:tcW w:w="0" w:type="auto"/>
            <w:gridSpan w:val="3"/>
            <w:shd w:val="clear" w:color="auto" w:fill="auto"/>
            <w:vAlign w:val="bottom"/>
          </w:tcPr>
          <w:p w14:paraId="71D45D1C" w14:textId="77777777" w:rsidR="006A3667" w:rsidRDefault="006A3667">
            <w:pPr>
              <w:rPr>
                <w:rFonts w:ascii="宋体"/>
                <w:vanish/>
              </w:rPr>
            </w:pPr>
          </w:p>
        </w:tc>
        <w:tc>
          <w:tcPr>
            <w:tcW w:w="0" w:type="auto"/>
            <w:gridSpan w:val="3"/>
            <w:shd w:val="clear" w:color="auto" w:fill="auto"/>
            <w:vAlign w:val="bottom"/>
          </w:tcPr>
          <w:p w14:paraId="71D45D1D" w14:textId="77777777" w:rsidR="006A3667" w:rsidRDefault="006A3667">
            <w:pPr>
              <w:rPr>
                <w:rFonts w:ascii="宋体"/>
                <w:vanish/>
              </w:rPr>
            </w:pPr>
          </w:p>
        </w:tc>
        <w:tc>
          <w:tcPr>
            <w:tcW w:w="0" w:type="auto"/>
            <w:gridSpan w:val="3"/>
            <w:shd w:val="clear" w:color="auto" w:fill="auto"/>
            <w:vAlign w:val="bottom"/>
          </w:tcPr>
          <w:p w14:paraId="71D45D1E" w14:textId="77777777" w:rsidR="006A3667" w:rsidRDefault="006A3667">
            <w:pPr>
              <w:rPr>
                <w:rFonts w:ascii="宋体"/>
                <w:vanish/>
              </w:rPr>
            </w:pPr>
          </w:p>
        </w:tc>
        <w:tc>
          <w:tcPr>
            <w:tcW w:w="0" w:type="auto"/>
            <w:gridSpan w:val="3"/>
            <w:shd w:val="clear" w:color="auto" w:fill="auto"/>
            <w:vAlign w:val="bottom"/>
          </w:tcPr>
          <w:p w14:paraId="71D45D1F" w14:textId="77777777" w:rsidR="006A3667" w:rsidRDefault="006A3667">
            <w:pPr>
              <w:rPr>
                <w:rFonts w:ascii="宋体"/>
                <w:vanish/>
              </w:rPr>
            </w:pPr>
          </w:p>
        </w:tc>
      </w:tr>
      <w:tr w:rsidR="006A3667" w14:paraId="71D45D3F" w14:textId="77777777">
        <w:tc>
          <w:tcPr>
            <w:tcW w:w="0" w:type="auto"/>
            <w:gridSpan w:val="3"/>
            <w:shd w:val="clear" w:color="auto" w:fill="CCEEFF"/>
            <w:tcMar>
              <w:top w:w="40" w:type="dxa"/>
              <w:left w:w="20" w:type="dxa"/>
              <w:bottom w:w="40" w:type="dxa"/>
              <w:right w:w="20" w:type="dxa"/>
            </w:tcMar>
            <w:vAlign w:val="bottom"/>
          </w:tcPr>
          <w:p w14:paraId="71D45D21" w14:textId="77777777" w:rsidR="006A3667" w:rsidRDefault="00045F32">
            <w:pPr>
              <w:textAlignment w:val="bottom"/>
            </w:pPr>
            <w:r>
              <w:rPr>
                <w:rFonts w:ascii="Arial" w:eastAsia="宋体" w:hAnsi="Arial" w:cs="Arial"/>
                <w:color w:val="000000"/>
                <w:sz w:val="13"/>
                <w:szCs w:val="13"/>
              </w:rPr>
              <w:t>Other U.S. debt securities</w:t>
            </w:r>
          </w:p>
        </w:tc>
        <w:tc>
          <w:tcPr>
            <w:tcW w:w="0" w:type="auto"/>
            <w:gridSpan w:val="2"/>
            <w:shd w:val="clear" w:color="auto" w:fill="CCEEFF"/>
            <w:tcMar>
              <w:top w:w="40" w:type="dxa"/>
              <w:left w:w="20" w:type="dxa"/>
              <w:bottom w:w="40" w:type="dxa"/>
              <w:right w:w="0" w:type="dxa"/>
            </w:tcMar>
            <w:vAlign w:val="bottom"/>
          </w:tcPr>
          <w:p w14:paraId="71D45D22" w14:textId="77777777" w:rsidR="006A3667" w:rsidRDefault="00045F32">
            <w:pPr>
              <w:jc w:val="right"/>
              <w:textAlignment w:val="bottom"/>
            </w:pPr>
            <w:r>
              <w:rPr>
                <w:rFonts w:ascii="Arial" w:eastAsia="宋体" w:hAnsi="Arial" w:cs="Arial"/>
                <w:b/>
                <w:bCs/>
                <w:color w:val="000000"/>
                <w:sz w:val="13"/>
                <w:szCs w:val="13"/>
              </w:rPr>
              <w:t>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2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25" w14:textId="77777777" w:rsidR="006A3667" w:rsidRDefault="00045F32">
            <w:pPr>
              <w:jc w:val="right"/>
              <w:textAlignment w:val="bottom"/>
            </w:pPr>
            <w:r>
              <w:rPr>
                <w:rFonts w:ascii="Arial" w:eastAsia="宋体" w:hAnsi="Arial" w:cs="Arial"/>
                <w:b/>
                <w:bCs/>
                <w:color w:val="000000"/>
                <w:sz w:val="13"/>
                <w:szCs w:val="13"/>
              </w:rPr>
              <w:t>89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28" w14:textId="77777777" w:rsidR="006A3667" w:rsidRDefault="00045F32">
            <w:pPr>
              <w:jc w:val="right"/>
              <w:textAlignment w:val="bottom"/>
            </w:pPr>
            <w:r>
              <w:rPr>
                <w:rFonts w:ascii="Arial" w:eastAsia="宋体" w:hAnsi="Arial" w:cs="Arial"/>
                <w:b/>
                <w:bCs/>
                <w:color w:val="000000"/>
                <w:sz w:val="13"/>
                <w:szCs w:val="13"/>
              </w:rPr>
              <w:t>942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2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2B" w14:textId="77777777" w:rsidR="006A3667" w:rsidRDefault="00045F32">
            <w:pPr>
              <w:jc w:val="right"/>
              <w:textAlignment w:val="bottom"/>
            </w:pPr>
            <w:r>
              <w:rPr>
                <w:rFonts w:ascii="Arial" w:eastAsia="宋体" w:hAnsi="Arial" w:cs="Arial"/>
                <w:b/>
                <w:bCs/>
                <w:color w:val="000000"/>
                <w:sz w:val="13"/>
                <w:szCs w:val="13"/>
              </w:rPr>
              <w:t>864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2E" w14:textId="77777777" w:rsidR="006A3667" w:rsidRDefault="00045F32">
            <w:pPr>
              <w:jc w:val="right"/>
              <w:textAlignment w:val="bottom"/>
            </w:pPr>
            <w:r>
              <w:rPr>
                <w:rFonts w:ascii="Arial" w:eastAsia="宋体" w:hAnsi="Arial" w:cs="Arial"/>
                <w:b/>
                <w:bCs/>
                <w:color w:val="000000"/>
                <w:sz w:val="13"/>
                <w:szCs w:val="13"/>
              </w:rPr>
              <w:t>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31" w14:textId="77777777" w:rsidR="006A3667" w:rsidRDefault="00045F32">
            <w:pPr>
              <w:jc w:val="right"/>
              <w:textAlignment w:val="bottom"/>
            </w:pPr>
            <w:r>
              <w:rPr>
                <w:rFonts w:ascii="Arial" w:eastAsia="宋体" w:hAnsi="Arial" w:cs="Arial"/>
                <w:b/>
                <w:bCs/>
                <w:color w:val="000000"/>
                <w:sz w:val="13"/>
                <w:szCs w:val="13"/>
              </w:rPr>
              <w:t>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3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34"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3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3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3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3A" w14:textId="77777777" w:rsidR="006A3667" w:rsidRDefault="00045F32">
            <w:pPr>
              <w:jc w:val="right"/>
              <w:textAlignment w:val="bottom"/>
            </w:pPr>
            <w:r>
              <w:rPr>
                <w:rFonts w:ascii="Arial" w:eastAsia="宋体" w:hAnsi="Arial" w:cs="Arial"/>
                <w:b/>
                <w:bCs/>
                <w:color w:val="000000"/>
                <w:sz w:val="13"/>
                <w:szCs w:val="13"/>
              </w:rPr>
              <w:t>1,073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D3D" w14:textId="77777777" w:rsidR="006A3667" w:rsidRDefault="00045F32">
            <w:pPr>
              <w:jc w:val="right"/>
              <w:textAlignment w:val="bottom"/>
            </w:pPr>
            <w:r>
              <w:rPr>
                <w:rFonts w:ascii="Arial" w:eastAsia="宋体" w:hAnsi="Arial" w:cs="Arial"/>
                <w:b/>
                <w:bCs/>
                <w:color w:val="000000"/>
                <w:sz w:val="13"/>
                <w:szCs w:val="13"/>
              </w:rPr>
              <w:t>990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3E" w14:textId="77777777" w:rsidR="006A3667" w:rsidRDefault="006A3667">
            <w:pPr>
              <w:jc w:val="right"/>
              <w:rPr>
                <w:rFonts w:ascii="宋体"/>
              </w:rPr>
            </w:pPr>
          </w:p>
        </w:tc>
      </w:tr>
      <w:tr w:rsidR="00045F32" w14:paraId="71D45D68" w14:textId="77777777">
        <w:tc>
          <w:tcPr>
            <w:tcW w:w="0" w:type="auto"/>
            <w:gridSpan w:val="3"/>
            <w:shd w:val="clear" w:color="auto" w:fill="FFFFFF"/>
            <w:tcMar>
              <w:top w:w="40" w:type="dxa"/>
              <w:left w:w="20" w:type="dxa"/>
              <w:bottom w:w="40" w:type="dxa"/>
              <w:right w:w="20" w:type="dxa"/>
            </w:tcMar>
            <w:vAlign w:val="bottom"/>
          </w:tcPr>
          <w:p w14:paraId="71D45D40" w14:textId="77777777" w:rsidR="006A3667" w:rsidRDefault="00045F32">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5D41"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42" w14:textId="77777777" w:rsidR="006A3667" w:rsidRDefault="00045F32">
            <w:pPr>
              <w:jc w:val="right"/>
              <w:textAlignment w:val="bottom"/>
            </w:pPr>
            <w:r>
              <w:rPr>
                <w:rFonts w:ascii="Arial" w:eastAsia="宋体" w:hAnsi="Arial" w:cs="Arial"/>
                <w:b/>
                <w:bCs/>
                <w:color w:val="000000"/>
                <w:sz w:val="13"/>
                <w:szCs w:val="13"/>
              </w:rPr>
              <w:t>7,040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4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45"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46" w14:textId="77777777" w:rsidR="006A3667" w:rsidRDefault="00045F32">
            <w:pPr>
              <w:jc w:val="right"/>
              <w:textAlignment w:val="bottom"/>
            </w:pPr>
            <w:r>
              <w:rPr>
                <w:rFonts w:ascii="Arial" w:eastAsia="宋体" w:hAnsi="Arial" w:cs="Arial"/>
                <w:b/>
                <w:bCs/>
                <w:color w:val="000000"/>
                <w:sz w:val="13"/>
                <w:szCs w:val="13"/>
              </w:rPr>
              <w:t>6,952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4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49"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4A" w14:textId="77777777" w:rsidR="006A3667" w:rsidRDefault="00045F32">
            <w:pPr>
              <w:jc w:val="right"/>
              <w:textAlignment w:val="bottom"/>
            </w:pPr>
            <w:r>
              <w:rPr>
                <w:rFonts w:ascii="Arial" w:eastAsia="宋体" w:hAnsi="Arial" w:cs="Arial"/>
                <w:b/>
                <w:bCs/>
                <w:color w:val="000000"/>
                <w:sz w:val="13"/>
                <w:szCs w:val="13"/>
              </w:rPr>
              <w:t>18,477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4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4D"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4E" w14:textId="77777777" w:rsidR="006A3667" w:rsidRDefault="00045F32">
            <w:pPr>
              <w:jc w:val="right"/>
              <w:textAlignment w:val="bottom"/>
            </w:pPr>
            <w:r>
              <w:rPr>
                <w:rFonts w:ascii="Arial" w:eastAsia="宋体" w:hAnsi="Arial" w:cs="Arial"/>
                <w:b/>
                <w:bCs/>
                <w:color w:val="000000"/>
                <w:sz w:val="13"/>
                <w:szCs w:val="13"/>
              </w:rPr>
              <w:t>17,532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5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51"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52" w14:textId="77777777" w:rsidR="006A3667" w:rsidRDefault="00045F32">
            <w:pPr>
              <w:jc w:val="right"/>
              <w:textAlignment w:val="bottom"/>
            </w:pPr>
            <w:r>
              <w:rPr>
                <w:rFonts w:ascii="Arial" w:eastAsia="宋体" w:hAnsi="Arial" w:cs="Arial"/>
                <w:b/>
                <w:bCs/>
                <w:color w:val="000000"/>
                <w:sz w:val="13"/>
                <w:szCs w:val="13"/>
              </w:rPr>
              <w:t>12,569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5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55"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56" w14:textId="77777777" w:rsidR="006A3667" w:rsidRDefault="00045F32">
            <w:pPr>
              <w:jc w:val="right"/>
              <w:textAlignment w:val="bottom"/>
            </w:pPr>
            <w:r>
              <w:rPr>
                <w:rFonts w:ascii="Arial" w:eastAsia="宋体" w:hAnsi="Arial" w:cs="Arial"/>
                <w:b/>
                <w:bCs/>
                <w:color w:val="000000"/>
                <w:sz w:val="13"/>
                <w:szCs w:val="13"/>
              </w:rPr>
              <w:t>12,362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5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59"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5A" w14:textId="77777777" w:rsidR="006A3667" w:rsidRDefault="00045F32">
            <w:pPr>
              <w:jc w:val="right"/>
              <w:textAlignment w:val="bottom"/>
            </w:pPr>
            <w:r>
              <w:rPr>
                <w:rFonts w:ascii="Arial" w:eastAsia="宋体" w:hAnsi="Arial" w:cs="Arial"/>
                <w:b/>
                <w:bCs/>
                <w:color w:val="000000"/>
                <w:sz w:val="13"/>
                <w:szCs w:val="13"/>
              </w:rPr>
              <w:t>4,277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5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5D"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5E" w14:textId="77777777" w:rsidR="006A3667" w:rsidRDefault="00045F32">
            <w:pPr>
              <w:jc w:val="right"/>
              <w:textAlignment w:val="bottom"/>
            </w:pPr>
            <w:r>
              <w:rPr>
                <w:rFonts w:ascii="Arial" w:eastAsia="宋体" w:hAnsi="Arial" w:cs="Arial"/>
                <w:b/>
                <w:bCs/>
                <w:color w:val="000000"/>
                <w:sz w:val="13"/>
                <w:szCs w:val="13"/>
              </w:rPr>
              <w:t>4,140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6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61"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62" w14:textId="77777777" w:rsidR="006A3667" w:rsidRDefault="00045F32">
            <w:pPr>
              <w:jc w:val="right"/>
              <w:textAlignment w:val="bottom"/>
            </w:pPr>
            <w:r>
              <w:rPr>
                <w:rFonts w:ascii="Arial" w:eastAsia="宋体" w:hAnsi="Arial" w:cs="Arial"/>
                <w:b/>
                <w:bCs/>
                <w:color w:val="000000"/>
                <w:sz w:val="13"/>
                <w:szCs w:val="13"/>
              </w:rPr>
              <w:t>42,363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6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6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5D65"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5D66" w14:textId="77777777" w:rsidR="006A3667" w:rsidRDefault="00045F32">
            <w:pPr>
              <w:jc w:val="right"/>
              <w:textAlignment w:val="bottom"/>
            </w:pPr>
            <w:r>
              <w:rPr>
                <w:rFonts w:ascii="Arial" w:eastAsia="宋体" w:hAnsi="Arial" w:cs="Arial"/>
                <w:b/>
                <w:bCs/>
                <w:color w:val="000000"/>
                <w:sz w:val="13"/>
                <w:szCs w:val="13"/>
              </w:rPr>
              <w:t>40,986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D67" w14:textId="77777777" w:rsidR="006A3667" w:rsidRDefault="006A3667">
            <w:pPr>
              <w:jc w:val="right"/>
              <w:rPr>
                <w:rFonts w:ascii="宋体"/>
              </w:rPr>
            </w:pPr>
          </w:p>
        </w:tc>
      </w:tr>
      <w:tr w:rsidR="006A3667" w14:paraId="71D45D7D" w14:textId="77777777">
        <w:tc>
          <w:tcPr>
            <w:tcW w:w="0" w:type="auto"/>
            <w:gridSpan w:val="3"/>
            <w:shd w:val="clear" w:color="auto" w:fill="auto"/>
            <w:tcMar>
              <w:top w:w="40" w:type="dxa"/>
              <w:left w:w="20" w:type="dxa"/>
              <w:bottom w:w="40" w:type="dxa"/>
              <w:right w:w="20" w:type="dxa"/>
            </w:tcMar>
            <w:vAlign w:val="bottom"/>
          </w:tcPr>
          <w:p w14:paraId="71D45D69" w14:textId="77777777" w:rsidR="006A3667" w:rsidRDefault="00045F32">
            <w:pPr>
              <w:textAlignment w:val="bottom"/>
            </w:pPr>
            <w:r>
              <w:rPr>
                <w:rFonts w:ascii="Arial" w:eastAsia="宋体" w:hAnsi="Arial" w:cs="Arial"/>
                <w:b/>
                <w:bCs/>
                <w:color w:val="000000"/>
                <w:sz w:val="13"/>
                <w:szCs w:val="13"/>
              </w:rPr>
              <w:t>Held-to-maturity:</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6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6B"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6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6D"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6F"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7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71"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7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73"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75"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7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7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7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79"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7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5D7B"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5D7C" w14:textId="77777777" w:rsidR="006A3667" w:rsidRDefault="006A3667">
            <w:pPr>
              <w:rPr>
                <w:rFonts w:ascii="宋体"/>
              </w:rPr>
            </w:pPr>
          </w:p>
        </w:tc>
      </w:tr>
      <w:tr w:rsidR="006A3667" w14:paraId="71D45D92" w14:textId="77777777">
        <w:tc>
          <w:tcPr>
            <w:tcW w:w="0" w:type="auto"/>
            <w:gridSpan w:val="3"/>
            <w:shd w:val="clear" w:color="auto" w:fill="FFFFFF"/>
            <w:tcMar>
              <w:top w:w="40" w:type="dxa"/>
              <w:left w:w="20" w:type="dxa"/>
              <w:bottom w:w="40" w:type="dxa"/>
              <w:right w:w="20" w:type="dxa"/>
            </w:tcMar>
            <w:vAlign w:val="bottom"/>
          </w:tcPr>
          <w:p w14:paraId="71D45D7E" w14:textId="77777777" w:rsidR="006A3667" w:rsidRDefault="00045F32">
            <w:pPr>
              <w:textAlignment w:val="bottom"/>
            </w:pPr>
            <w:r>
              <w:rPr>
                <w:rFonts w:ascii="Arial" w:eastAsia="宋体" w:hAnsi="Arial" w:cs="Arial"/>
                <w:color w:val="000000"/>
                <w:sz w:val="13"/>
                <w:szCs w:val="13"/>
              </w:rPr>
              <w:t>U.S. Treasury and federal agencies:</w:t>
            </w:r>
          </w:p>
        </w:tc>
        <w:tc>
          <w:tcPr>
            <w:tcW w:w="0" w:type="auto"/>
            <w:gridSpan w:val="3"/>
            <w:shd w:val="clear" w:color="auto" w:fill="FFFFFF"/>
            <w:tcMar>
              <w:top w:w="0" w:type="dxa"/>
              <w:left w:w="20" w:type="dxa"/>
              <w:bottom w:w="0" w:type="dxa"/>
              <w:right w:w="20" w:type="dxa"/>
            </w:tcMar>
            <w:vAlign w:val="bottom"/>
          </w:tcPr>
          <w:p w14:paraId="71D45D7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8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9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D91" w14:textId="77777777" w:rsidR="006A3667" w:rsidRDefault="006A3667">
            <w:pPr>
              <w:rPr>
                <w:rFonts w:ascii="宋体"/>
              </w:rPr>
            </w:pPr>
          </w:p>
        </w:tc>
      </w:tr>
      <w:tr w:rsidR="00045F32" w14:paraId="71D45DBB" w14:textId="77777777">
        <w:tc>
          <w:tcPr>
            <w:tcW w:w="0" w:type="auto"/>
            <w:gridSpan w:val="3"/>
            <w:shd w:val="clear" w:color="auto" w:fill="CCEEFF"/>
            <w:tcMar>
              <w:top w:w="40" w:type="dxa"/>
              <w:left w:w="245" w:type="dxa"/>
              <w:bottom w:w="40" w:type="dxa"/>
              <w:right w:w="20" w:type="dxa"/>
            </w:tcMar>
            <w:vAlign w:val="bottom"/>
          </w:tcPr>
          <w:p w14:paraId="71D45D93" w14:textId="77777777" w:rsidR="006A3667" w:rsidRDefault="00045F32">
            <w:pPr>
              <w:textAlignment w:val="bottom"/>
            </w:pPr>
            <w:r>
              <w:rPr>
                <w:rFonts w:ascii="Arial" w:eastAsia="宋体" w:hAnsi="Arial" w:cs="Arial"/>
                <w:color w:val="000000"/>
                <w:sz w:val="13"/>
                <w:szCs w:val="13"/>
              </w:rPr>
              <w:t xml:space="preserve">Direct </w:t>
            </w:r>
            <w:r>
              <w:rPr>
                <w:rFonts w:ascii="Arial" w:eastAsia="宋体" w:hAnsi="Arial" w:cs="Arial"/>
                <w:color w:val="000000"/>
                <w:sz w:val="13"/>
                <w:szCs w:val="13"/>
              </w:rPr>
              <w:t>obligations</w:t>
            </w:r>
          </w:p>
        </w:tc>
        <w:tc>
          <w:tcPr>
            <w:tcW w:w="0" w:type="auto"/>
            <w:shd w:val="clear" w:color="auto" w:fill="CCEEFF"/>
            <w:tcMar>
              <w:top w:w="40" w:type="dxa"/>
              <w:left w:w="20" w:type="dxa"/>
              <w:bottom w:w="40" w:type="dxa"/>
              <w:right w:w="0" w:type="dxa"/>
            </w:tcMar>
            <w:vAlign w:val="bottom"/>
          </w:tcPr>
          <w:p w14:paraId="71D45D94"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95" w14:textId="77777777" w:rsidR="006A3667" w:rsidRDefault="00045F32">
            <w:pPr>
              <w:jc w:val="right"/>
              <w:textAlignment w:val="bottom"/>
            </w:pPr>
            <w:r>
              <w:rPr>
                <w:rFonts w:ascii="Arial" w:eastAsia="宋体" w:hAnsi="Arial" w:cs="Arial"/>
                <w:b/>
                <w:bCs/>
                <w:color w:val="000000"/>
                <w:sz w:val="13"/>
                <w:szCs w:val="13"/>
              </w:rPr>
              <w:t>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9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98"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99" w14:textId="77777777" w:rsidR="006A3667" w:rsidRDefault="00045F32">
            <w:pPr>
              <w:jc w:val="right"/>
              <w:textAlignment w:val="bottom"/>
            </w:pPr>
            <w:r>
              <w:rPr>
                <w:rFonts w:ascii="Arial" w:eastAsia="宋体" w:hAnsi="Arial" w:cs="Arial"/>
                <w:b/>
                <w:bCs/>
                <w:color w:val="000000"/>
                <w:sz w:val="13"/>
                <w:szCs w:val="13"/>
              </w:rPr>
              <w:t>96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9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9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9C"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9D" w14:textId="77777777" w:rsidR="006A3667" w:rsidRDefault="00045F32">
            <w:pPr>
              <w:jc w:val="right"/>
              <w:textAlignment w:val="bottom"/>
            </w:pPr>
            <w:r>
              <w:rPr>
                <w:rFonts w:ascii="Arial" w:eastAsia="宋体" w:hAnsi="Arial" w:cs="Arial"/>
                <w:b/>
                <w:bCs/>
                <w:color w:val="000000"/>
                <w:sz w:val="13"/>
                <w:szCs w:val="13"/>
              </w:rPr>
              <w:t>11,502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9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A0"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A1" w14:textId="77777777" w:rsidR="006A3667" w:rsidRDefault="00045F32">
            <w:pPr>
              <w:jc w:val="right"/>
              <w:textAlignment w:val="bottom"/>
            </w:pPr>
            <w:r>
              <w:rPr>
                <w:rFonts w:ascii="Arial" w:eastAsia="宋体" w:hAnsi="Arial" w:cs="Arial"/>
                <w:b/>
                <w:bCs/>
                <w:color w:val="000000"/>
                <w:sz w:val="13"/>
                <w:szCs w:val="13"/>
              </w:rPr>
              <w:t>11,152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A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A4"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A5" w14:textId="77777777" w:rsidR="006A3667" w:rsidRDefault="00045F32">
            <w:pPr>
              <w:jc w:val="right"/>
              <w:textAlignment w:val="bottom"/>
            </w:pPr>
            <w:r>
              <w:rPr>
                <w:rFonts w:ascii="Arial" w:eastAsia="宋体" w:hAnsi="Arial" w:cs="Arial"/>
                <w:b/>
                <w:bCs/>
                <w:color w:val="000000"/>
                <w:sz w:val="13"/>
                <w:szCs w:val="13"/>
              </w:rPr>
              <w:t>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A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A8"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A9" w14:textId="77777777" w:rsidR="006A3667" w:rsidRDefault="00045F32">
            <w:pPr>
              <w:jc w:val="right"/>
              <w:textAlignment w:val="bottom"/>
            </w:pPr>
            <w:r>
              <w:rPr>
                <w:rFonts w:ascii="Arial" w:eastAsia="宋体" w:hAnsi="Arial" w:cs="Arial"/>
                <w:b/>
                <w:bCs/>
                <w:color w:val="000000"/>
                <w:sz w:val="13"/>
                <w:szCs w:val="13"/>
              </w:rPr>
              <w:t>22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A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AC"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AD" w14:textId="77777777" w:rsidR="006A3667" w:rsidRDefault="00045F32">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A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B0"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B1" w14:textId="77777777" w:rsidR="006A3667" w:rsidRDefault="00045F32">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B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B4"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B5" w14:textId="77777777" w:rsidR="006A3667" w:rsidRDefault="00045F32">
            <w:pPr>
              <w:jc w:val="right"/>
              <w:textAlignment w:val="bottom"/>
            </w:pPr>
            <w:r>
              <w:rPr>
                <w:rFonts w:ascii="Arial" w:eastAsia="宋体" w:hAnsi="Arial" w:cs="Arial"/>
                <w:b/>
                <w:bCs/>
                <w:color w:val="000000"/>
                <w:sz w:val="13"/>
                <w:szCs w:val="13"/>
              </w:rPr>
              <w:t>11,637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B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5DB8"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5DB9" w14:textId="77777777" w:rsidR="006A3667" w:rsidRDefault="00045F32">
            <w:pPr>
              <w:jc w:val="right"/>
              <w:textAlignment w:val="bottom"/>
            </w:pPr>
            <w:r>
              <w:rPr>
                <w:rFonts w:ascii="Arial" w:eastAsia="宋体" w:hAnsi="Arial" w:cs="Arial"/>
                <w:b/>
                <w:bCs/>
                <w:color w:val="000000"/>
                <w:sz w:val="13"/>
                <w:szCs w:val="13"/>
              </w:rPr>
              <w:t>11,284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DBA" w14:textId="77777777" w:rsidR="006A3667" w:rsidRDefault="006A3667">
            <w:pPr>
              <w:jc w:val="right"/>
              <w:rPr>
                <w:rFonts w:ascii="宋体"/>
              </w:rPr>
            </w:pPr>
          </w:p>
        </w:tc>
      </w:tr>
      <w:tr w:rsidR="006A3667" w14:paraId="71D45DDA" w14:textId="77777777">
        <w:tc>
          <w:tcPr>
            <w:tcW w:w="0" w:type="auto"/>
            <w:gridSpan w:val="3"/>
            <w:shd w:val="clear" w:color="auto" w:fill="FFFFFF"/>
            <w:tcMar>
              <w:top w:w="40" w:type="dxa"/>
              <w:left w:w="245" w:type="dxa"/>
              <w:bottom w:w="40" w:type="dxa"/>
              <w:right w:w="20" w:type="dxa"/>
            </w:tcMar>
            <w:vAlign w:val="bottom"/>
          </w:tcPr>
          <w:p w14:paraId="71D45DBC" w14:textId="77777777" w:rsidR="006A3667" w:rsidRDefault="00045F32">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71D45DBD" w14:textId="77777777" w:rsidR="006A3667" w:rsidRDefault="00045F32">
            <w:pPr>
              <w:jc w:val="right"/>
              <w:textAlignment w:val="bottom"/>
            </w:pPr>
            <w:r>
              <w:rPr>
                <w:rFonts w:ascii="Arial" w:eastAsia="宋体" w:hAnsi="Arial" w:cs="Arial"/>
                <w:b/>
                <w:bCs/>
                <w:color w:val="000000"/>
                <w:sz w:val="13"/>
                <w:szCs w:val="13"/>
              </w:rPr>
              <w:t>158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C0" w14:textId="77777777" w:rsidR="006A3667" w:rsidRDefault="00045F32">
            <w:pPr>
              <w:jc w:val="right"/>
              <w:textAlignment w:val="bottom"/>
            </w:pPr>
            <w:r>
              <w:rPr>
                <w:rFonts w:ascii="Arial" w:eastAsia="宋体" w:hAnsi="Arial" w:cs="Arial"/>
                <w:b/>
                <w:bCs/>
                <w:color w:val="000000"/>
                <w:sz w:val="13"/>
                <w:szCs w:val="13"/>
              </w:rPr>
              <w:t>143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C3" w14:textId="77777777" w:rsidR="006A3667" w:rsidRDefault="00045F32">
            <w:pPr>
              <w:jc w:val="right"/>
              <w:textAlignment w:val="bottom"/>
            </w:pPr>
            <w:r>
              <w:rPr>
                <w:rFonts w:ascii="Arial" w:eastAsia="宋体" w:hAnsi="Arial" w:cs="Arial"/>
                <w:b/>
                <w:bCs/>
                <w:color w:val="000000"/>
                <w:sz w:val="13"/>
                <w:szCs w:val="13"/>
              </w:rPr>
              <w:t>622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C6" w14:textId="77777777" w:rsidR="006A3667" w:rsidRDefault="00045F32">
            <w:pPr>
              <w:jc w:val="right"/>
              <w:textAlignment w:val="bottom"/>
            </w:pPr>
            <w:r>
              <w:rPr>
                <w:rFonts w:ascii="Arial" w:eastAsia="宋体" w:hAnsi="Arial" w:cs="Arial"/>
                <w:b/>
                <w:bCs/>
                <w:color w:val="000000"/>
                <w:sz w:val="13"/>
                <w:szCs w:val="13"/>
              </w:rPr>
              <w:t>584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C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C9" w14:textId="77777777" w:rsidR="006A3667" w:rsidRDefault="00045F32">
            <w:pPr>
              <w:jc w:val="right"/>
              <w:textAlignment w:val="bottom"/>
            </w:pPr>
            <w:r>
              <w:rPr>
                <w:rFonts w:ascii="Arial" w:eastAsia="宋体" w:hAnsi="Arial" w:cs="Arial"/>
                <w:b/>
                <w:bCs/>
                <w:color w:val="000000"/>
                <w:sz w:val="13"/>
                <w:szCs w:val="13"/>
              </w:rPr>
              <w:t>4,549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C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CC" w14:textId="77777777" w:rsidR="006A3667" w:rsidRDefault="00045F32">
            <w:pPr>
              <w:jc w:val="right"/>
              <w:textAlignment w:val="bottom"/>
            </w:pPr>
            <w:r>
              <w:rPr>
                <w:rFonts w:ascii="Arial" w:eastAsia="宋体" w:hAnsi="Arial" w:cs="Arial"/>
                <w:b/>
                <w:bCs/>
                <w:color w:val="000000"/>
                <w:sz w:val="13"/>
                <w:szCs w:val="13"/>
              </w:rPr>
              <w:t>3,756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C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CF" w14:textId="77777777" w:rsidR="006A3667" w:rsidRDefault="00045F32">
            <w:pPr>
              <w:jc w:val="right"/>
              <w:textAlignment w:val="bottom"/>
            </w:pPr>
            <w:r>
              <w:rPr>
                <w:rFonts w:ascii="Arial" w:eastAsia="宋体" w:hAnsi="Arial" w:cs="Arial"/>
                <w:b/>
                <w:bCs/>
                <w:color w:val="000000"/>
                <w:sz w:val="13"/>
                <w:szCs w:val="13"/>
              </w:rPr>
              <w:t>37,638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D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D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D2" w14:textId="77777777" w:rsidR="006A3667" w:rsidRDefault="00045F32">
            <w:pPr>
              <w:jc w:val="right"/>
              <w:textAlignment w:val="bottom"/>
            </w:pPr>
            <w:r>
              <w:rPr>
                <w:rFonts w:ascii="Arial" w:eastAsia="宋体" w:hAnsi="Arial" w:cs="Arial"/>
                <w:b/>
                <w:bCs/>
                <w:color w:val="000000"/>
                <w:sz w:val="13"/>
                <w:szCs w:val="13"/>
              </w:rPr>
              <w:t>32,277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D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D5" w14:textId="77777777" w:rsidR="006A3667" w:rsidRDefault="00045F32">
            <w:pPr>
              <w:jc w:val="right"/>
              <w:textAlignment w:val="bottom"/>
            </w:pPr>
            <w:r>
              <w:rPr>
                <w:rFonts w:ascii="Arial" w:eastAsia="宋体" w:hAnsi="Arial" w:cs="Arial"/>
                <w:b/>
                <w:bCs/>
                <w:color w:val="000000"/>
                <w:sz w:val="13"/>
                <w:szCs w:val="13"/>
              </w:rPr>
              <w:t>42,967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D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DD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DD8" w14:textId="77777777" w:rsidR="006A3667" w:rsidRDefault="00045F32">
            <w:pPr>
              <w:jc w:val="right"/>
              <w:textAlignment w:val="bottom"/>
            </w:pPr>
            <w:r>
              <w:rPr>
                <w:rFonts w:ascii="Arial" w:eastAsia="宋体" w:hAnsi="Arial" w:cs="Arial"/>
                <w:b/>
                <w:bCs/>
                <w:color w:val="000000"/>
                <w:sz w:val="13"/>
                <w:szCs w:val="13"/>
              </w:rPr>
              <w:t>36,760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DD9" w14:textId="77777777" w:rsidR="006A3667" w:rsidRDefault="006A3667">
            <w:pPr>
              <w:jc w:val="right"/>
              <w:rPr>
                <w:rFonts w:ascii="宋体"/>
              </w:rPr>
            </w:pPr>
          </w:p>
        </w:tc>
      </w:tr>
      <w:tr w:rsidR="006A3667" w14:paraId="71D45DF9" w14:textId="77777777">
        <w:tc>
          <w:tcPr>
            <w:tcW w:w="0" w:type="auto"/>
            <w:gridSpan w:val="3"/>
            <w:shd w:val="clear" w:color="auto" w:fill="CCEEFF"/>
            <w:tcMar>
              <w:top w:w="40" w:type="dxa"/>
              <w:left w:w="395" w:type="dxa"/>
              <w:bottom w:w="40" w:type="dxa"/>
              <w:right w:w="20" w:type="dxa"/>
            </w:tcMar>
            <w:vAlign w:val="bottom"/>
          </w:tcPr>
          <w:p w14:paraId="71D45DDB" w14:textId="77777777" w:rsidR="006A3667" w:rsidRDefault="00045F32">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DC" w14:textId="77777777" w:rsidR="006A3667" w:rsidRDefault="00045F32">
            <w:pPr>
              <w:jc w:val="right"/>
              <w:textAlignment w:val="bottom"/>
            </w:pPr>
            <w:r>
              <w:rPr>
                <w:rFonts w:ascii="Arial" w:eastAsia="宋体" w:hAnsi="Arial" w:cs="Arial"/>
                <w:b/>
                <w:bCs/>
                <w:color w:val="000000"/>
                <w:sz w:val="13"/>
                <w:szCs w:val="13"/>
              </w:rPr>
              <w:t>255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D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DF" w14:textId="77777777" w:rsidR="006A3667" w:rsidRDefault="00045F32">
            <w:pPr>
              <w:jc w:val="right"/>
              <w:textAlignment w:val="bottom"/>
            </w:pPr>
            <w:r>
              <w:rPr>
                <w:rFonts w:ascii="Arial" w:eastAsia="宋体" w:hAnsi="Arial" w:cs="Arial"/>
                <w:b/>
                <w:bCs/>
                <w:color w:val="000000"/>
                <w:sz w:val="13"/>
                <w:szCs w:val="13"/>
              </w:rPr>
              <w:t>239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E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E2" w14:textId="77777777" w:rsidR="006A3667" w:rsidRDefault="00045F32">
            <w:pPr>
              <w:jc w:val="right"/>
              <w:textAlignment w:val="bottom"/>
            </w:pPr>
            <w:r>
              <w:rPr>
                <w:rFonts w:ascii="Arial" w:eastAsia="宋体" w:hAnsi="Arial" w:cs="Arial"/>
                <w:b/>
                <w:bCs/>
                <w:color w:val="000000"/>
                <w:sz w:val="13"/>
                <w:szCs w:val="13"/>
              </w:rPr>
              <w:t>12,124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E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E5" w14:textId="77777777" w:rsidR="006A3667" w:rsidRDefault="00045F32">
            <w:pPr>
              <w:jc w:val="right"/>
              <w:textAlignment w:val="bottom"/>
            </w:pPr>
            <w:r>
              <w:rPr>
                <w:rFonts w:ascii="Arial" w:eastAsia="宋体" w:hAnsi="Arial" w:cs="Arial"/>
                <w:b/>
                <w:bCs/>
                <w:color w:val="000000"/>
                <w:sz w:val="13"/>
                <w:szCs w:val="13"/>
              </w:rPr>
              <w:t>11,736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E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E8" w14:textId="77777777" w:rsidR="006A3667" w:rsidRDefault="00045F32">
            <w:pPr>
              <w:jc w:val="right"/>
              <w:textAlignment w:val="bottom"/>
            </w:pPr>
            <w:r>
              <w:rPr>
                <w:rFonts w:ascii="Arial" w:eastAsia="宋体" w:hAnsi="Arial" w:cs="Arial"/>
                <w:b/>
                <w:bCs/>
                <w:color w:val="000000"/>
                <w:sz w:val="13"/>
                <w:szCs w:val="13"/>
              </w:rPr>
              <w:t>4,573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E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E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EB" w14:textId="77777777" w:rsidR="006A3667" w:rsidRDefault="00045F32">
            <w:pPr>
              <w:jc w:val="right"/>
              <w:textAlignment w:val="bottom"/>
            </w:pPr>
            <w:r>
              <w:rPr>
                <w:rFonts w:ascii="Arial" w:eastAsia="宋体" w:hAnsi="Arial" w:cs="Arial"/>
                <w:b/>
                <w:bCs/>
                <w:color w:val="000000"/>
                <w:sz w:val="13"/>
                <w:szCs w:val="13"/>
              </w:rPr>
              <w:t>3,778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E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E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EE" w14:textId="77777777" w:rsidR="006A3667" w:rsidRDefault="00045F32">
            <w:pPr>
              <w:jc w:val="right"/>
              <w:textAlignment w:val="bottom"/>
            </w:pPr>
            <w:r>
              <w:rPr>
                <w:rFonts w:ascii="Arial" w:eastAsia="宋体" w:hAnsi="Arial" w:cs="Arial"/>
                <w:b/>
                <w:bCs/>
                <w:color w:val="000000"/>
                <w:sz w:val="13"/>
                <w:szCs w:val="13"/>
              </w:rPr>
              <w:t>37,652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F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F1" w14:textId="77777777" w:rsidR="006A3667" w:rsidRDefault="00045F32">
            <w:pPr>
              <w:jc w:val="right"/>
              <w:textAlignment w:val="bottom"/>
            </w:pPr>
            <w:r>
              <w:rPr>
                <w:rFonts w:ascii="Arial" w:eastAsia="宋体" w:hAnsi="Arial" w:cs="Arial"/>
                <w:b/>
                <w:bCs/>
                <w:color w:val="000000"/>
                <w:sz w:val="13"/>
                <w:szCs w:val="13"/>
              </w:rPr>
              <w:t>32,291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F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F4" w14:textId="77777777" w:rsidR="006A3667" w:rsidRDefault="00045F32">
            <w:pPr>
              <w:jc w:val="right"/>
              <w:textAlignment w:val="bottom"/>
            </w:pPr>
            <w:r>
              <w:rPr>
                <w:rFonts w:ascii="Arial" w:eastAsia="宋体" w:hAnsi="Arial" w:cs="Arial"/>
                <w:b/>
                <w:bCs/>
                <w:color w:val="000000"/>
                <w:sz w:val="13"/>
                <w:szCs w:val="13"/>
              </w:rPr>
              <w:t>54,604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DF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5DF7" w14:textId="77777777" w:rsidR="006A3667" w:rsidRDefault="00045F32">
            <w:pPr>
              <w:jc w:val="right"/>
              <w:textAlignment w:val="bottom"/>
            </w:pPr>
            <w:r>
              <w:rPr>
                <w:rFonts w:ascii="Arial" w:eastAsia="宋体" w:hAnsi="Arial" w:cs="Arial"/>
                <w:b/>
                <w:bCs/>
                <w:color w:val="000000"/>
                <w:sz w:val="13"/>
                <w:szCs w:val="13"/>
              </w:rPr>
              <w:t>48,044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DF8" w14:textId="77777777" w:rsidR="006A3667" w:rsidRDefault="006A3667">
            <w:pPr>
              <w:jc w:val="right"/>
              <w:rPr>
                <w:rFonts w:ascii="宋体"/>
              </w:rPr>
            </w:pPr>
          </w:p>
        </w:tc>
      </w:tr>
      <w:tr w:rsidR="006A3667" w14:paraId="71D45E0E" w14:textId="77777777">
        <w:trPr>
          <w:hidden/>
        </w:trPr>
        <w:tc>
          <w:tcPr>
            <w:tcW w:w="0" w:type="auto"/>
            <w:gridSpan w:val="3"/>
            <w:shd w:val="clear" w:color="auto" w:fill="auto"/>
            <w:vAlign w:val="bottom"/>
          </w:tcPr>
          <w:p w14:paraId="71D45DFA" w14:textId="77777777" w:rsidR="006A3667" w:rsidRDefault="006A3667">
            <w:pPr>
              <w:rPr>
                <w:rFonts w:ascii="宋体"/>
                <w:vanish/>
              </w:rPr>
            </w:pPr>
          </w:p>
        </w:tc>
        <w:tc>
          <w:tcPr>
            <w:tcW w:w="0" w:type="auto"/>
            <w:gridSpan w:val="3"/>
            <w:shd w:val="clear" w:color="auto" w:fill="auto"/>
            <w:vAlign w:val="bottom"/>
          </w:tcPr>
          <w:p w14:paraId="71D45DFB" w14:textId="77777777" w:rsidR="006A3667" w:rsidRDefault="006A3667">
            <w:pPr>
              <w:rPr>
                <w:rFonts w:ascii="宋体"/>
                <w:vanish/>
              </w:rPr>
            </w:pPr>
          </w:p>
        </w:tc>
        <w:tc>
          <w:tcPr>
            <w:tcW w:w="0" w:type="auto"/>
            <w:gridSpan w:val="3"/>
            <w:shd w:val="clear" w:color="auto" w:fill="auto"/>
            <w:vAlign w:val="bottom"/>
          </w:tcPr>
          <w:p w14:paraId="71D45DFC" w14:textId="77777777" w:rsidR="006A3667" w:rsidRDefault="006A3667">
            <w:pPr>
              <w:rPr>
                <w:rFonts w:ascii="宋体"/>
                <w:vanish/>
              </w:rPr>
            </w:pPr>
          </w:p>
        </w:tc>
        <w:tc>
          <w:tcPr>
            <w:tcW w:w="0" w:type="auto"/>
            <w:gridSpan w:val="3"/>
            <w:shd w:val="clear" w:color="auto" w:fill="auto"/>
            <w:vAlign w:val="bottom"/>
          </w:tcPr>
          <w:p w14:paraId="71D45DFD" w14:textId="77777777" w:rsidR="006A3667" w:rsidRDefault="006A3667">
            <w:pPr>
              <w:rPr>
                <w:rFonts w:ascii="宋体"/>
                <w:vanish/>
              </w:rPr>
            </w:pPr>
          </w:p>
        </w:tc>
        <w:tc>
          <w:tcPr>
            <w:tcW w:w="0" w:type="auto"/>
            <w:gridSpan w:val="3"/>
            <w:shd w:val="clear" w:color="auto" w:fill="auto"/>
            <w:vAlign w:val="bottom"/>
          </w:tcPr>
          <w:p w14:paraId="71D45DFE" w14:textId="77777777" w:rsidR="006A3667" w:rsidRDefault="006A3667">
            <w:pPr>
              <w:rPr>
                <w:rFonts w:ascii="宋体"/>
                <w:vanish/>
              </w:rPr>
            </w:pPr>
          </w:p>
        </w:tc>
        <w:tc>
          <w:tcPr>
            <w:tcW w:w="0" w:type="auto"/>
            <w:gridSpan w:val="3"/>
            <w:shd w:val="clear" w:color="auto" w:fill="auto"/>
            <w:vAlign w:val="bottom"/>
          </w:tcPr>
          <w:p w14:paraId="71D45DFF" w14:textId="77777777" w:rsidR="006A3667" w:rsidRDefault="006A3667">
            <w:pPr>
              <w:rPr>
                <w:rFonts w:ascii="宋体"/>
                <w:vanish/>
              </w:rPr>
            </w:pPr>
          </w:p>
        </w:tc>
        <w:tc>
          <w:tcPr>
            <w:tcW w:w="0" w:type="auto"/>
            <w:gridSpan w:val="3"/>
            <w:shd w:val="clear" w:color="auto" w:fill="auto"/>
            <w:vAlign w:val="bottom"/>
          </w:tcPr>
          <w:p w14:paraId="71D45E00" w14:textId="77777777" w:rsidR="006A3667" w:rsidRDefault="006A3667">
            <w:pPr>
              <w:rPr>
                <w:rFonts w:ascii="宋体"/>
                <w:vanish/>
              </w:rPr>
            </w:pPr>
          </w:p>
        </w:tc>
        <w:tc>
          <w:tcPr>
            <w:tcW w:w="0" w:type="auto"/>
            <w:gridSpan w:val="3"/>
            <w:shd w:val="clear" w:color="auto" w:fill="auto"/>
            <w:vAlign w:val="bottom"/>
          </w:tcPr>
          <w:p w14:paraId="71D45E01" w14:textId="77777777" w:rsidR="006A3667" w:rsidRDefault="006A3667">
            <w:pPr>
              <w:rPr>
                <w:rFonts w:ascii="宋体"/>
                <w:vanish/>
              </w:rPr>
            </w:pPr>
          </w:p>
        </w:tc>
        <w:tc>
          <w:tcPr>
            <w:tcW w:w="0" w:type="auto"/>
            <w:gridSpan w:val="3"/>
            <w:shd w:val="clear" w:color="auto" w:fill="auto"/>
            <w:vAlign w:val="bottom"/>
          </w:tcPr>
          <w:p w14:paraId="71D45E02" w14:textId="77777777" w:rsidR="006A3667" w:rsidRDefault="006A3667">
            <w:pPr>
              <w:rPr>
                <w:rFonts w:ascii="宋体"/>
                <w:vanish/>
              </w:rPr>
            </w:pPr>
          </w:p>
        </w:tc>
        <w:tc>
          <w:tcPr>
            <w:tcW w:w="0" w:type="auto"/>
            <w:gridSpan w:val="3"/>
            <w:shd w:val="clear" w:color="auto" w:fill="auto"/>
            <w:vAlign w:val="bottom"/>
          </w:tcPr>
          <w:p w14:paraId="71D45E03" w14:textId="77777777" w:rsidR="006A3667" w:rsidRDefault="006A3667">
            <w:pPr>
              <w:rPr>
                <w:rFonts w:ascii="宋体"/>
                <w:vanish/>
              </w:rPr>
            </w:pPr>
          </w:p>
        </w:tc>
        <w:tc>
          <w:tcPr>
            <w:tcW w:w="0" w:type="auto"/>
            <w:gridSpan w:val="3"/>
            <w:shd w:val="clear" w:color="auto" w:fill="auto"/>
            <w:vAlign w:val="bottom"/>
          </w:tcPr>
          <w:p w14:paraId="71D45E04" w14:textId="77777777" w:rsidR="006A3667" w:rsidRDefault="006A3667">
            <w:pPr>
              <w:rPr>
                <w:rFonts w:ascii="宋体"/>
                <w:vanish/>
              </w:rPr>
            </w:pPr>
          </w:p>
        </w:tc>
        <w:tc>
          <w:tcPr>
            <w:tcW w:w="0" w:type="auto"/>
            <w:gridSpan w:val="3"/>
            <w:shd w:val="clear" w:color="auto" w:fill="auto"/>
            <w:vAlign w:val="bottom"/>
          </w:tcPr>
          <w:p w14:paraId="71D45E05" w14:textId="77777777" w:rsidR="006A3667" w:rsidRDefault="006A3667">
            <w:pPr>
              <w:rPr>
                <w:rFonts w:ascii="宋体"/>
                <w:vanish/>
              </w:rPr>
            </w:pPr>
          </w:p>
        </w:tc>
        <w:tc>
          <w:tcPr>
            <w:tcW w:w="0" w:type="auto"/>
            <w:gridSpan w:val="3"/>
            <w:shd w:val="clear" w:color="auto" w:fill="auto"/>
            <w:vAlign w:val="bottom"/>
          </w:tcPr>
          <w:p w14:paraId="71D45E06" w14:textId="77777777" w:rsidR="006A3667" w:rsidRDefault="006A3667">
            <w:pPr>
              <w:rPr>
                <w:rFonts w:ascii="宋体"/>
                <w:vanish/>
              </w:rPr>
            </w:pPr>
          </w:p>
        </w:tc>
        <w:tc>
          <w:tcPr>
            <w:tcW w:w="0" w:type="auto"/>
            <w:gridSpan w:val="3"/>
            <w:shd w:val="clear" w:color="auto" w:fill="auto"/>
            <w:vAlign w:val="bottom"/>
          </w:tcPr>
          <w:p w14:paraId="71D45E07" w14:textId="77777777" w:rsidR="006A3667" w:rsidRDefault="006A3667">
            <w:pPr>
              <w:rPr>
                <w:rFonts w:ascii="宋体"/>
                <w:vanish/>
              </w:rPr>
            </w:pPr>
          </w:p>
        </w:tc>
        <w:tc>
          <w:tcPr>
            <w:tcW w:w="0" w:type="auto"/>
            <w:gridSpan w:val="3"/>
            <w:shd w:val="clear" w:color="auto" w:fill="auto"/>
            <w:vAlign w:val="bottom"/>
          </w:tcPr>
          <w:p w14:paraId="71D45E08" w14:textId="77777777" w:rsidR="006A3667" w:rsidRDefault="006A3667">
            <w:pPr>
              <w:rPr>
                <w:rFonts w:ascii="宋体"/>
                <w:vanish/>
              </w:rPr>
            </w:pPr>
          </w:p>
        </w:tc>
        <w:tc>
          <w:tcPr>
            <w:tcW w:w="0" w:type="auto"/>
            <w:gridSpan w:val="3"/>
            <w:shd w:val="clear" w:color="auto" w:fill="auto"/>
            <w:vAlign w:val="bottom"/>
          </w:tcPr>
          <w:p w14:paraId="71D45E09" w14:textId="77777777" w:rsidR="006A3667" w:rsidRDefault="006A3667">
            <w:pPr>
              <w:rPr>
                <w:rFonts w:ascii="宋体"/>
                <w:vanish/>
              </w:rPr>
            </w:pPr>
          </w:p>
        </w:tc>
        <w:tc>
          <w:tcPr>
            <w:tcW w:w="0" w:type="auto"/>
            <w:gridSpan w:val="3"/>
            <w:shd w:val="clear" w:color="auto" w:fill="auto"/>
            <w:vAlign w:val="bottom"/>
          </w:tcPr>
          <w:p w14:paraId="71D45E0A" w14:textId="77777777" w:rsidR="006A3667" w:rsidRDefault="006A3667">
            <w:pPr>
              <w:rPr>
                <w:rFonts w:ascii="宋体"/>
                <w:vanish/>
              </w:rPr>
            </w:pPr>
          </w:p>
        </w:tc>
        <w:tc>
          <w:tcPr>
            <w:tcW w:w="0" w:type="auto"/>
            <w:gridSpan w:val="3"/>
            <w:shd w:val="clear" w:color="auto" w:fill="auto"/>
            <w:vAlign w:val="bottom"/>
          </w:tcPr>
          <w:p w14:paraId="71D45E0B" w14:textId="77777777" w:rsidR="006A3667" w:rsidRDefault="006A3667">
            <w:pPr>
              <w:rPr>
                <w:rFonts w:ascii="宋体"/>
                <w:vanish/>
              </w:rPr>
            </w:pPr>
          </w:p>
        </w:tc>
        <w:tc>
          <w:tcPr>
            <w:tcW w:w="0" w:type="auto"/>
            <w:gridSpan w:val="3"/>
            <w:shd w:val="clear" w:color="auto" w:fill="auto"/>
            <w:vAlign w:val="bottom"/>
          </w:tcPr>
          <w:p w14:paraId="71D45E0C" w14:textId="77777777" w:rsidR="006A3667" w:rsidRDefault="006A3667">
            <w:pPr>
              <w:rPr>
                <w:rFonts w:ascii="宋体"/>
                <w:vanish/>
              </w:rPr>
            </w:pPr>
          </w:p>
        </w:tc>
        <w:tc>
          <w:tcPr>
            <w:tcW w:w="0" w:type="auto"/>
            <w:gridSpan w:val="3"/>
            <w:shd w:val="clear" w:color="auto" w:fill="auto"/>
            <w:vAlign w:val="bottom"/>
          </w:tcPr>
          <w:p w14:paraId="71D45E0D" w14:textId="77777777" w:rsidR="006A3667" w:rsidRDefault="006A3667">
            <w:pPr>
              <w:rPr>
                <w:rFonts w:ascii="宋体"/>
                <w:vanish/>
              </w:rPr>
            </w:pPr>
          </w:p>
        </w:tc>
      </w:tr>
      <w:tr w:rsidR="006A3667" w14:paraId="71D45E23" w14:textId="77777777">
        <w:trPr>
          <w:hidden/>
        </w:trPr>
        <w:tc>
          <w:tcPr>
            <w:tcW w:w="0" w:type="auto"/>
            <w:gridSpan w:val="3"/>
            <w:shd w:val="clear" w:color="auto" w:fill="auto"/>
            <w:vAlign w:val="bottom"/>
          </w:tcPr>
          <w:p w14:paraId="71D45E0F" w14:textId="77777777" w:rsidR="006A3667" w:rsidRDefault="006A3667">
            <w:pPr>
              <w:rPr>
                <w:rFonts w:ascii="宋体"/>
                <w:vanish/>
              </w:rPr>
            </w:pPr>
          </w:p>
        </w:tc>
        <w:tc>
          <w:tcPr>
            <w:tcW w:w="0" w:type="auto"/>
            <w:gridSpan w:val="3"/>
            <w:shd w:val="clear" w:color="auto" w:fill="auto"/>
            <w:vAlign w:val="bottom"/>
          </w:tcPr>
          <w:p w14:paraId="71D45E10" w14:textId="77777777" w:rsidR="006A3667" w:rsidRDefault="006A3667">
            <w:pPr>
              <w:rPr>
                <w:rFonts w:ascii="宋体"/>
                <w:vanish/>
              </w:rPr>
            </w:pPr>
          </w:p>
        </w:tc>
        <w:tc>
          <w:tcPr>
            <w:tcW w:w="0" w:type="auto"/>
            <w:gridSpan w:val="3"/>
            <w:shd w:val="clear" w:color="auto" w:fill="auto"/>
            <w:vAlign w:val="bottom"/>
          </w:tcPr>
          <w:p w14:paraId="71D45E11" w14:textId="77777777" w:rsidR="006A3667" w:rsidRDefault="006A3667">
            <w:pPr>
              <w:rPr>
                <w:rFonts w:ascii="宋体"/>
                <w:vanish/>
              </w:rPr>
            </w:pPr>
          </w:p>
        </w:tc>
        <w:tc>
          <w:tcPr>
            <w:tcW w:w="0" w:type="auto"/>
            <w:gridSpan w:val="3"/>
            <w:shd w:val="clear" w:color="auto" w:fill="auto"/>
            <w:vAlign w:val="bottom"/>
          </w:tcPr>
          <w:p w14:paraId="71D45E12" w14:textId="77777777" w:rsidR="006A3667" w:rsidRDefault="006A3667">
            <w:pPr>
              <w:rPr>
                <w:rFonts w:ascii="宋体"/>
                <w:vanish/>
              </w:rPr>
            </w:pPr>
          </w:p>
        </w:tc>
        <w:tc>
          <w:tcPr>
            <w:tcW w:w="0" w:type="auto"/>
            <w:gridSpan w:val="3"/>
            <w:shd w:val="clear" w:color="auto" w:fill="auto"/>
            <w:vAlign w:val="bottom"/>
          </w:tcPr>
          <w:p w14:paraId="71D45E13" w14:textId="77777777" w:rsidR="006A3667" w:rsidRDefault="006A3667">
            <w:pPr>
              <w:rPr>
                <w:rFonts w:ascii="宋体"/>
                <w:vanish/>
              </w:rPr>
            </w:pPr>
          </w:p>
        </w:tc>
        <w:tc>
          <w:tcPr>
            <w:tcW w:w="0" w:type="auto"/>
            <w:gridSpan w:val="3"/>
            <w:shd w:val="clear" w:color="auto" w:fill="auto"/>
            <w:vAlign w:val="bottom"/>
          </w:tcPr>
          <w:p w14:paraId="71D45E14" w14:textId="77777777" w:rsidR="006A3667" w:rsidRDefault="006A3667">
            <w:pPr>
              <w:rPr>
                <w:rFonts w:ascii="宋体"/>
                <w:vanish/>
              </w:rPr>
            </w:pPr>
          </w:p>
        </w:tc>
        <w:tc>
          <w:tcPr>
            <w:tcW w:w="0" w:type="auto"/>
            <w:gridSpan w:val="3"/>
            <w:shd w:val="clear" w:color="auto" w:fill="auto"/>
            <w:vAlign w:val="bottom"/>
          </w:tcPr>
          <w:p w14:paraId="71D45E15" w14:textId="77777777" w:rsidR="006A3667" w:rsidRDefault="006A3667">
            <w:pPr>
              <w:rPr>
                <w:rFonts w:ascii="宋体"/>
                <w:vanish/>
              </w:rPr>
            </w:pPr>
          </w:p>
        </w:tc>
        <w:tc>
          <w:tcPr>
            <w:tcW w:w="0" w:type="auto"/>
            <w:gridSpan w:val="3"/>
            <w:shd w:val="clear" w:color="auto" w:fill="auto"/>
            <w:vAlign w:val="bottom"/>
          </w:tcPr>
          <w:p w14:paraId="71D45E16" w14:textId="77777777" w:rsidR="006A3667" w:rsidRDefault="006A3667">
            <w:pPr>
              <w:rPr>
                <w:rFonts w:ascii="宋体"/>
                <w:vanish/>
              </w:rPr>
            </w:pPr>
          </w:p>
        </w:tc>
        <w:tc>
          <w:tcPr>
            <w:tcW w:w="0" w:type="auto"/>
            <w:gridSpan w:val="3"/>
            <w:shd w:val="clear" w:color="auto" w:fill="auto"/>
            <w:vAlign w:val="bottom"/>
          </w:tcPr>
          <w:p w14:paraId="71D45E17" w14:textId="77777777" w:rsidR="006A3667" w:rsidRDefault="006A3667">
            <w:pPr>
              <w:rPr>
                <w:rFonts w:ascii="宋体"/>
                <w:vanish/>
              </w:rPr>
            </w:pPr>
          </w:p>
        </w:tc>
        <w:tc>
          <w:tcPr>
            <w:tcW w:w="0" w:type="auto"/>
            <w:gridSpan w:val="3"/>
            <w:shd w:val="clear" w:color="auto" w:fill="auto"/>
            <w:vAlign w:val="bottom"/>
          </w:tcPr>
          <w:p w14:paraId="71D45E18" w14:textId="77777777" w:rsidR="006A3667" w:rsidRDefault="006A3667">
            <w:pPr>
              <w:rPr>
                <w:rFonts w:ascii="宋体"/>
                <w:vanish/>
              </w:rPr>
            </w:pPr>
          </w:p>
        </w:tc>
        <w:tc>
          <w:tcPr>
            <w:tcW w:w="0" w:type="auto"/>
            <w:gridSpan w:val="3"/>
            <w:shd w:val="clear" w:color="auto" w:fill="auto"/>
            <w:vAlign w:val="bottom"/>
          </w:tcPr>
          <w:p w14:paraId="71D45E19" w14:textId="77777777" w:rsidR="006A3667" w:rsidRDefault="006A3667">
            <w:pPr>
              <w:rPr>
                <w:rFonts w:ascii="宋体"/>
                <w:vanish/>
              </w:rPr>
            </w:pPr>
          </w:p>
        </w:tc>
        <w:tc>
          <w:tcPr>
            <w:tcW w:w="0" w:type="auto"/>
            <w:gridSpan w:val="3"/>
            <w:shd w:val="clear" w:color="auto" w:fill="auto"/>
            <w:vAlign w:val="bottom"/>
          </w:tcPr>
          <w:p w14:paraId="71D45E1A" w14:textId="77777777" w:rsidR="006A3667" w:rsidRDefault="006A3667">
            <w:pPr>
              <w:rPr>
                <w:rFonts w:ascii="宋体"/>
                <w:vanish/>
              </w:rPr>
            </w:pPr>
          </w:p>
        </w:tc>
        <w:tc>
          <w:tcPr>
            <w:tcW w:w="0" w:type="auto"/>
            <w:gridSpan w:val="3"/>
            <w:shd w:val="clear" w:color="auto" w:fill="auto"/>
            <w:vAlign w:val="bottom"/>
          </w:tcPr>
          <w:p w14:paraId="71D45E1B" w14:textId="77777777" w:rsidR="006A3667" w:rsidRDefault="006A3667">
            <w:pPr>
              <w:rPr>
                <w:rFonts w:ascii="宋体"/>
                <w:vanish/>
              </w:rPr>
            </w:pPr>
          </w:p>
        </w:tc>
        <w:tc>
          <w:tcPr>
            <w:tcW w:w="0" w:type="auto"/>
            <w:gridSpan w:val="3"/>
            <w:shd w:val="clear" w:color="auto" w:fill="auto"/>
            <w:vAlign w:val="bottom"/>
          </w:tcPr>
          <w:p w14:paraId="71D45E1C" w14:textId="77777777" w:rsidR="006A3667" w:rsidRDefault="006A3667">
            <w:pPr>
              <w:rPr>
                <w:rFonts w:ascii="宋体"/>
                <w:vanish/>
              </w:rPr>
            </w:pPr>
          </w:p>
        </w:tc>
        <w:tc>
          <w:tcPr>
            <w:tcW w:w="0" w:type="auto"/>
            <w:gridSpan w:val="3"/>
            <w:shd w:val="clear" w:color="auto" w:fill="auto"/>
            <w:vAlign w:val="bottom"/>
          </w:tcPr>
          <w:p w14:paraId="71D45E1D" w14:textId="77777777" w:rsidR="006A3667" w:rsidRDefault="006A3667">
            <w:pPr>
              <w:rPr>
                <w:rFonts w:ascii="宋体"/>
                <w:vanish/>
              </w:rPr>
            </w:pPr>
          </w:p>
        </w:tc>
        <w:tc>
          <w:tcPr>
            <w:tcW w:w="0" w:type="auto"/>
            <w:gridSpan w:val="3"/>
            <w:shd w:val="clear" w:color="auto" w:fill="auto"/>
            <w:vAlign w:val="bottom"/>
          </w:tcPr>
          <w:p w14:paraId="71D45E1E" w14:textId="77777777" w:rsidR="006A3667" w:rsidRDefault="006A3667">
            <w:pPr>
              <w:rPr>
                <w:rFonts w:ascii="宋体"/>
                <w:vanish/>
              </w:rPr>
            </w:pPr>
          </w:p>
        </w:tc>
        <w:tc>
          <w:tcPr>
            <w:tcW w:w="0" w:type="auto"/>
            <w:gridSpan w:val="3"/>
            <w:shd w:val="clear" w:color="auto" w:fill="auto"/>
            <w:vAlign w:val="bottom"/>
          </w:tcPr>
          <w:p w14:paraId="71D45E1F" w14:textId="77777777" w:rsidR="006A3667" w:rsidRDefault="006A3667">
            <w:pPr>
              <w:rPr>
                <w:rFonts w:ascii="宋体"/>
                <w:vanish/>
              </w:rPr>
            </w:pPr>
          </w:p>
        </w:tc>
        <w:tc>
          <w:tcPr>
            <w:tcW w:w="0" w:type="auto"/>
            <w:gridSpan w:val="3"/>
            <w:shd w:val="clear" w:color="auto" w:fill="auto"/>
            <w:vAlign w:val="bottom"/>
          </w:tcPr>
          <w:p w14:paraId="71D45E20" w14:textId="77777777" w:rsidR="006A3667" w:rsidRDefault="006A3667">
            <w:pPr>
              <w:rPr>
                <w:rFonts w:ascii="宋体"/>
                <w:vanish/>
              </w:rPr>
            </w:pPr>
          </w:p>
        </w:tc>
        <w:tc>
          <w:tcPr>
            <w:tcW w:w="0" w:type="auto"/>
            <w:gridSpan w:val="3"/>
            <w:shd w:val="clear" w:color="auto" w:fill="auto"/>
            <w:vAlign w:val="bottom"/>
          </w:tcPr>
          <w:p w14:paraId="71D45E21" w14:textId="77777777" w:rsidR="006A3667" w:rsidRDefault="006A3667">
            <w:pPr>
              <w:rPr>
                <w:rFonts w:ascii="宋体"/>
                <w:vanish/>
              </w:rPr>
            </w:pPr>
          </w:p>
        </w:tc>
        <w:tc>
          <w:tcPr>
            <w:tcW w:w="0" w:type="auto"/>
            <w:gridSpan w:val="3"/>
            <w:shd w:val="clear" w:color="auto" w:fill="auto"/>
            <w:vAlign w:val="bottom"/>
          </w:tcPr>
          <w:p w14:paraId="71D45E22" w14:textId="77777777" w:rsidR="006A3667" w:rsidRDefault="006A3667">
            <w:pPr>
              <w:rPr>
                <w:rFonts w:ascii="宋体"/>
                <w:vanish/>
              </w:rPr>
            </w:pPr>
          </w:p>
        </w:tc>
      </w:tr>
      <w:tr w:rsidR="006A3667" w14:paraId="71D45E38" w14:textId="77777777">
        <w:trPr>
          <w:hidden/>
        </w:trPr>
        <w:tc>
          <w:tcPr>
            <w:tcW w:w="0" w:type="auto"/>
            <w:gridSpan w:val="3"/>
            <w:shd w:val="clear" w:color="auto" w:fill="auto"/>
            <w:vAlign w:val="bottom"/>
          </w:tcPr>
          <w:p w14:paraId="71D45E24" w14:textId="77777777" w:rsidR="006A3667" w:rsidRDefault="006A3667">
            <w:pPr>
              <w:rPr>
                <w:rFonts w:ascii="宋体"/>
                <w:vanish/>
              </w:rPr>
            </w:pPr>
          </w:p>
        </w:tc>
        <w:tc>
          <w:tcPr>
            <w:tcW w:w="0" w:type="auto"/>
            <w:gridSpan w:val="3"/>
            <w:shd w:val="clear" w:color="auto" w:fill="auto"/>
            <w:vAlign w:val="bottom"/>
          </w:tcPr>
          <w:p w14:paraId="71D45E25" w14:textId="77777777" w:rsidR="006A3667" w:rsidRDefault="006A3667">
            <w:pPr>
              <w:rPr>
                <w:rFonts w:ascii="宋体"/>
                <w:vanish/>
              </w:rPr>
            </w:pPr>
          </w:p>
        </w:tc>
        <w:tc>
          <w:tcPr>
            <w:tcW w:w="0" w:type="auto"/>
            <w:gridSpan w:val="3"/>
            <w:shd w:val="clear" w:color="auto" w:fill="auto"/>
            <w:vAlign w:val="bottom"/>
          </w:tcPr>
          <w:p w14:paraId="71D45E26" w14:textId="77777777" w:rsidR="006A3667" w:rsidRDefault="006A3667">
            <w:pPr>
              <w:rPr>
                <w:rFonts w:ascii="宋体"/>
                <w:vanish/>
              </w:rPr>
            </w:pPr>
          </w:p>
        </w:tc>
        <w:tc>
          <w:tcPr>
            <w:tcW w:w="0" w:type="auto"/>
            <w:gridSpan w:val="3"/>
            <w:shd w:val="clear" w:color="auto" w:fill="auto"/>
            <w:vAlign w:val="bottom"/>
          </w:tcPr>
          <w:p w14:paraId="71D45E27" w14:textId="77777777" w:rsidR="006A3667" w:rsidRDefault="006A3667">
            <w:pPr>
              <w:rPr>
                <w:rFonts w:ascii="宋体"/>
                <w:vanish/>
              </w:rPr>
            </w:pPr>
          </w:p>
        </w:tc>
        <w:tc>
          <w:tcPr>
            <w:tcW w:w="0" w:type="auto"/>
            <w:gridSpan w:val="3"/>
            <w:shd w:val="clear" w:color="auto" w:fill="auto"/>
            <w:vAlign w:val="bottom"/>
          </w:tcPr>
          <w:p w14:paraId="71D45E28" w14:textId="77777777" w:rsidR="006A3667" w:rsidRDefault="006A3667">
            <w:pPr>
              <w:rPr>
                <w:rFonts w:ascii="宋体"/>
                <w:vanish/>
              </w:rPr>
            </w:pPr>
          </w:p>
        </w:tc>
        <w:tc>
          <w:tcPr>
            <w:tcW w:w="0" w:type="auto"/>
            <w:gridSpan w:val="3"/>
            <w:shd w:val="clear" w:color="auto" w:fill="auto"/>
            <w:vAlign w:val="bottom"/>
          </w:tcPr>
          <w:p w14:paraId="71D45E29" w14:textId="77777777" w:rsidR="006A3667" w:rsidRDefault="006A3667">
            <w:pPr>
              <w:rPr>
                <w:rFonts w:ascii="宋体"/>
                <w:vanish/>
              </w:rPr>
            </w:pPr>
          </w:p>
        </w:tc>
        <w:tc>
          <w:tcPr>
            <w:tcW w:w="0" w:type="auto"/>
            <w:gridSpan w:val="3"/>
            <w:shd w:val="clear" w:color="auto" w:fill="auto"/>
            <w:vAlign w:val="bottom"/>
          </w:tcPr>
          <w:p w14:paraId="71D45E2A" w14:textId="77777777" w:rsidR="006A3667" w:rsidRDefault="006A3667">
            <w:pPr>
              <w:rPr>
                <w:rFonts w:ascii="宋体"/>
                <w:vanish/>
              </w:rPr>
            </w:pPr>
          </w:p>
        </w:tc>
        <w:tc>
          <w:tcPr>
            <w:tcW w:w="0" w:type="auto"/>
            <w:gridSpan w:val="3"/>
            <w:shd w:val="clear" w:color="auto" w:fill="auto"/>
            <w:vAlign w:val="bottom"/>
          </w:tcPr>
          <w:p w14:paraId="71D45E2B" w14:textId="77777777" w:rsidR="006A3667" w:rsidRDefault="006A3667">
            <w:pPr>
              <w:rPr>
                <w:rFonts w:ascii="宋体"/>
                <w:vanish/>
              </w:rPr>
            </w:pPr>
          </w:p>
        </w:tc>
        <w:tc>
          <w:tcPr>
            <w:tcW w:w="0" w:type="auto"/>
            <w:gridSpan w:val="3"/>
            <w:shd w:val="clear" w:color="auto" w:fill="auto"/>
            <w:vAlign w:val="bottom"/>
          </w:tcPr>
          <w:p w14:paraId="71D45E2C" w14:textId="77777777" w:rsidR="006A3667" w:rsidRDefault="006A3667">
            <w:pPr>
              <w:rPr>
                <w:rFonts w:ascii="宋体"/>
                <w:vanish/>
              </w:rPr>
            </w:pPr>
          </w:p>
        </w:tc>
        <w:tc>
          <w:tcPr>
            <w:tcW w:w="0" w:type="auto"/>
            <w:gridSpan w:val="3"/>
            <w:shd w:val="clear" w:color="auto" w:fill="auto"/>
            <w:vAlign w:val="bottom"/>
          </w:tcPr>
          <w:p w14:paraId="71D45E2D" w14:textId="77777777" w:rsidR="006A3667" w:rsidRDefault="006A3667">
            <w:pPr>
              <w:rPr>
                <w:rFonts w:ascii="宋体"/>
                <w:vanish/>
              </w:rPr>
            </w:pPr>
          </w:p>
        </w:tc>
        <w:tc>
          <w:tcPr>
            <w:tcW w:w="0" w:type="auto"/>
            <w:gridSpan w:val="3"/>
            <w:shd w:val="clear" w:color="auto" w:fill="auto"/>
            <w:vAlign w:val="bottom"/>
          </w:tcPr>
          <w:p w14:paraId="71D45E2E" w14:textId="77777777" w:rsidR="006A3667" w:rsidRDefault="006A3667">
            <w:pPr>
              <w:rPr>
                <w:rFonts w:ascii="宋体"/>
                <w:vanish/>
              </w:rPr>
            </w:pPr>
          </w:p>
        </w:tc>
        <w:tc>
          <w:tcPr>
            <w:tcW w:w="0" w:type="auto"/>
            <w:gridSpan w:val="3"/>
            <w:shd w:val="clear" w:color="auto" w:fill="auto"/>
            <w:vAlign w:val="bottom"/>
          </w:tcPr>
          <w:p w14:paraId="71D45E2F" w14:textId="77777777" w:rsidR="006A3667" w:rsidRDefault="006A3667">
            <w:pPr>
              <w:rPr>
                <w:rFonts w:ascii="宋体"/>
                <w:vanish/>
              </w:rPr>
            </w:pPr>
          </w:p>
        </w:tc>
        <w:tc>
          <w:tcPr>
            <w:tcW w:w="0" w:type="auto"/>
            <w:gridSpan w:val="3"/>
            <w:shd w:val="clear" w:color="auto" w:fill="auto"/>
            <w:vAlign w:val="bottom"/>
          </w:tcPr>
          <w:p w14:paraId="71D45E30" w14:textId="77777777" w:rsidR="006A3667" w:rsidRDefault="006A3667">
            <w:pPr>
              <w:rPr>
                <w:rFonts w:ascii="宋体"/>
                <w:vanish/>
              </w:rPr>
            </w:pPr>
          </w:p>
        </w:tc>
        <w:tc>
          <w:tcPr>
            <w:tcW w:w="0" w:type="auto"/>
            <w:gridSpan w:val="3"/>
            <w:shd w:val="clear" w:color="auto" w:fill="auto"/>
            <w:vAlign w:val="bottom"/>
          </w:tcPr>
          <w:p w14:paraId="71D45E31" w14:textId="77777777" w:rsidR="006A3667" w:rsidRDefault="006A3667">
            <w:pPr>
              <w:rPr>
                <w:rFonts w:ascii="宋体"/>
                <w:vanish/>
              </w:rPr>
            </w:pPr>
          </w:p>
        </w:tc>
        <w:tc>
          <w:tcPr>
            <w:tcW w:w="0" w:type="auto"/>
            <w:gridSpan w:val="3"/>
            <w:shd w:val="clear" w:color="auto" w:fill="auto"/>
            <w:vAlign w:val="bottom"/>
          </w:tcPr>
          <w:p w14:paraId="71D45E32" w14:textId="77777777" w:rsidR="006A3667" w:rsidRDefault="006A3667">
            <w:pPr>
              <w:rPr>
                <w:rFonts w:ascii="宋体"/>
                <w:vanish/>
              </w:rPr>
            </w:pPr>
          </w:p>
        </w:tc>
        <w:tc>
          <w:tcPr>
            <w:tcW w:w="0" w:type="auto"/>
            <w:gridSpan w:val="3"/>
            <w:shd w:val="clear" w:color="auto" w:fill="auto"/>
            <w:vAlign w:val="bottom"/>
          </w:tcPr>
          <w:p w14:paraId="71D45E33" w14:textId="77777777" w:rsidR="006A3667" w:rsidRDefault="006A3667">
            <w:pPr>
              <w:rPr>
                <w:rFonts w:ascii="宋体"/>
                <w:vanish/>
              </w:rPr>
            </w:pPr>
          </w:p>
        </w:tc>
        <w:tc>
          <w:tcPr>
            <w:tcW w:w="0" w:type="auto"/>
            <w:gridSpan w:val="3"/>
            <w:shd w:val="clear" w:color="auto" w:fill="auto"/>
            <w:vAlign w:val="bottom"/>
          </w:tcPr>
          <w:p w14:paraId="71D45E34" w14:textId="77777777" w:rsidR="006A3667" w:rsidRDefault="006A3667">
            <w:pPr>
              <w:rPr>
                <w:rFonts w:ascii="宋体"/>
                <w:vanish/>
              </w:rPr>
            </w:pPr>
          </w:p>
        </w:tc>
        <w:tc>
          <w:tcPr>
            <w:tcW w:w="0" w:type="auto"/>
            <w:gridSpan w:val="3"/>
            <w:shd w:val="clear" w:color="auto" w:fill="auto"/>
            <w:vAlign w:val="bottom"/>
          </w:tcPr>
          <w:p w14:paraId="71D45E35" w14:textId="77777777" w:rsidR="006A3667" w:rsidRDefault="006A3667">
            <w:pPr>
              <w:rPr>
                <w:rFonts w:ascii="宋体"/>
                <w:vanish/>
              </w:rPr>
            </w:pPr>
          </w:p>
        </w:tc>
        <w:tc>
          <w:tcPr>
            <w:tcW w:w="0" w:type="auto"/>
            <w:gridSpan w:val="3"/>
            <w:shd w:val="clear" w:color="auto" w:fill="auto"/>
            <w:vAlign w:val="bottom"/>
          </w:tcPr>
          <w:p w14:paraId="71D45E36" w14:textId="77777777" w:rsidR="006A3667" w:rsidRDefault="006A3667">
            <w:pPr>
              <w:rPr>
                <w:rFonts w:ascii="宋体"/>
                <w:vanish/>
              </w:rPr>
            </w:pPr>
          </w:p>
        </w:tc>
        <w:tc>
          <w:tcPr>
            <w:tcW w:w="0" w:type="auto"/>
            <w:gridSpan w:val="3"/>
            <w:shd w:val="clear" w:color="auto" w:fill="auto"/>
            <w:vAlign w:val="bottom"/>
          </w:tcPr>
          <w:p w14:paraId="71D45E37" w14:textId="77777777" w:rsidR="006A3667" w:rsidRDefault="006A3667">
            <w:pPr>
              <w:rPr>
                <w:rFonts w:ascii="宋体"/>
                <w:vanish/>
              </w:rPr>
            </w:pPr>
          </w:p>
        </w:tc>
      </w:tr>
      <w:tr w:rsidR="006A3667" w14:paraId="71D45E4D" w14:textId="77777777">
        <w:trPr>
          <w:hidden/>
        </w:trPr>
        <w:tc>
          <w:tcPr>
            <w:tcW w:w="0" w:type="auto"/>
            <w:gridSpan w:val="3"/>
            <w:shd w:val="clear" w:color="auto" w:fill="auto"/>
            <w:vAlign w:val="bottom"/>
          </w:tcPr>
          <w:p w14:paraId="71D45E39" w14:textId="77777777" w:rsidR="006A3667" w:rsidRDefault="006A3667">
            <w:pPr>
              <w:rPr>
                <w:rFonts w:ascii="宋体"/>
                <w:vanish/>
              </w:rPr>
            </w:pPr>
          </w:p>
        </w:tc>
        <w:tc>
          <w:tcPr>
            <w:tcW w:w="0" w:type="auto"/>
            <w:gridSpan w:val="3"/>
            <w:shd w:val="clear" w:color="auto" w:fill="auto"/>
            <w:vAlign w:val="bottom"/>
          </w:tcPr>
          <w:p w14:paraId="71D45E3A" w14:textId="77777777" w:rsidR="006A3667" w:rsidRDefault="006A3667">
            <w:pPr>
              <w:rPr>
                <w:rFonts w:ascii="宋体"/>
                <w:vanish/>
              </w:rPr>
            </w:pPr>
          </w:p>
        </w:tc>
        <w:tc>
          <w:tcPr>
            <w:tcW w:w="0" w:type="auto"/>
            <w:gridSpan w:val="3"/>
            <w:shd w:val="clear" w:color="auto" w:fill="auto"/>
            <w:vAlign w:val="bottom"/>
          </w:tcPr>
          <w:p w14:paraId="71D45E3B" w14:textId="77777777" w:rsidR="006A3667" w:rsidRDefault="006A3667">
            <w:pPr>
              <w:rPr>
                <w:rFonts w:ascii="宋体"/>
                <w:vanish/>
              </w:rPr>
            </w:pPr>
          </w:p>
        </w:tc>
        <w:tc>
          <w:tcPr>
            <w:tcW w:w="0" w:type="auto"/>
            <w:gridSpan w:val="3"/>
            <w:shd w:val="clear" w:color="auto" w:fill="auto"/>
            <w:vAlign w:val="bottom"/>
          </w:tcPr>
          <w:p w14:paraId="71D45E3C" w14:textId="77777777" w:rsidR="006A3667" w:rsidRDefault="006A3667">
            <w:pPr>
              <w:rPr>
                <w:rFonts w:ascii="宋体"/>
                <w:vanish/>
              </w:rPr>
            </w:pPr>
          </w:p>
        </w:tc>
        <w:tc>
          <w:tcPr>
            <w:tcW w:w="0" w:type="auto"/>
            <w:gridSpan w:val="3"/>
            <w:shd w:val="clear" w:color="auto" w:fill="auto"/>
            <w:vAlign w:val="bottom"/>
          </w:tcPr>
          <w:p w14:paraId="71D45E3D" w14:textId="77777777" w:rsidR="006A3667" w:rsidRDefault="006A3667">
            <w:pPr>
              <w:rPr>
                <w:rFonts w:ascii="宋体"/>
                <w:vanish/>
              </w:rPr>
            </w:pPr>
          </w:p>
        </w:tc>
        <w:tc>
          <w:tcPr>
            <w:tcW w:w="0" w:type="auto"/>
            <w:gridSpan w:val="3"/>
            <w:shd w:val="clear" w:color="auto" w:fill="auto"/>
            <w:vAlign w:val="bottom"/>
          </w:tcPr>
          <w:p w14:paraId="71D45E3E" w14:textId="77777777" w:rsidR="006A3667" w:rsidRDefault="006A3667">
            <w:pPr>
              <w:rPr>
                <w:rFonts w:ascii="宋体"/>
                <w:vanish/>
              </w:rPr>
            </w:pPr>
          </w:p>
        </w:tc>
        <w:tc>
          <w:tcPr>
            <w:tcW w:w="0" w:type="auto"/>
            <w:gridSpan w:val="3"/>
            <w:shd w:val="clear" w:color="auto" w:fill="auto"/>
            <w:vAlign w:val="bottom"/>
          </w:tcPr>
          <w:p w14:paraId="71D45E3F" w14:textId="77777777" w:rsidR="006A3667" w:rsidRDefault="006A3667">
            <w:pPr>
              <w:rPr>
                <w:rFonts w:ascii="宋体"/>
                <w:vanish/>
              </w:rPr>
            </w:pPr>
          </w:p>
        </w:tc>
        <w:tc>
          <w:tcPr>
            <w:tcW w:w="0" w:type="auto"/>
            <w:gridSpan w:val="3"/>
            <w:shd w:val="clear" w:color="auto" w:fill="auto"/>
            <w:vAlign w:val="bottom"/>
          </w:tcPr>
          <w:p w14:paraId="71D45E40" w14:textId="77777777" w:rsidR="006A3667" w:rsidRDefault="006A3667">
            <w:pPr>
              <w:rPr>
                <w:rFonts w:ascii="宋体"/>
                <w:vanish/>
              </w:rPr>
            </w:pPr>
          </w:p>
        </w:tc>
        <w:tc>
          <w:tcPr>
            <w:tcW w:w="0" w:type="auto"/>
            <w:gridSpan w:val="3"/>
            <w:shd w:val="clear" w:color="auto" w:fill="auto"/>
            <w:vAlign w:val="bottom"/>
          </w:tcPr>
          <w:p w14:paraId="71D45E41" w14:textId="77777777" w:rsidR="006A3667" w:rsidRDefault="006A3667">
            <w:pPr>
              <w:rPr>
                <w:rFonts w:ascii="宋体"/>
                <w:vanish/>
              </w:rPr>
            </w:pPr>
          </w:p>
        </w:tc>
        <w:tc>
          <w:tcPr>
            <w:tcW w:w="0" w:type="auto"/>
            <w:gridSpan w:val="3"/>
            <w:shd w:val="clear" w:color="auto" w:fill="auto"/>
            <w:vAlign w:val="bottom"/>
          </w:tcPr>
          <w:p w14:paraId="71D45E42" w14:textId="77777777" w:rsidR="006A3667" w:rsidRDefault="006A3667">
            <w:pPr>
              <w:rPr>
                <w:rFonts w:ascii="宋体"/>
                <w:vanish/>
              </w:rPr>
            </w:pPr>
          </w:p>
        </w:tc>
        <w:tc>
          <w:tcPr>
            <w:tcW w:w="0" w:type="auto"/>
            <w:gridSpan w:val="3"/>
            <w:shd w:val="clear" w:color="auto" w:fill="auto"/>
            <w:vAlign w:val="bottom"/>
          </w:tcPr>
          <w:p w14:paraId="71D45E43" w14:textId="77777777" w:rsidR="006A3667" w:rsidRDefault="006A3667">
            <w:pPr>
              <w:rPr>
                <w:rFonts w:ascii="宋体"/>
                <w:vanish/>
              </w:rPr>
            </w:pPr>
          </w:p>
        </w:tc>
        <w:tc>
          <w:tcPr>
            <w:tcW w:w="0" w:type="auto"/>
            <w:gridSpan w:val="3"/>
            <w:shd w:val="clear" w:color="auto" w:fill="auto"/>
            <w:vAlign w:val="bottom"/>
          </w:tcPr>
          <w:p w14:paraId="71D45E44" w14:textId="77777777" w:rsidR="006A3667" w:rsidRDefault="006A3667">
            <w:pPr>
              <w:rPr>
                <w:rFonts w:ascii="宋体"/>
                <w:vanish/>
              </w:rPr>
            </w:pPr>
          </w:p>
        </w:tc>
        <w:tc>
          <w:tcPr>
            <w:tcW w:w="0" w:type="auto"/>
            <w:gridSpan w:val="3"/>
            <w:shd w:val="clear" w:color="auto" w:fill="auto"/>
            <w:vAlign w:val="bottom"/>
          </w:tcPr>
          <w:p w14:paraId="71D45E45" w14:textId="77777777" w:rsidR="006A3667" w:rsidRDefault="006A3667">
            <w:pPr>
              <w:rPr>
                <w:rFonts w:ascii="宋体"/>
                <w:vanish/>
              </w:rPr>
            </w:pPr>
          </w:p>
        </w:tc>
        <w:tc>
          <w:tcPr>
            <w:tcW w:w="0" w:type="auto"/>
            <w:gridSpan w:val="3"/>
            <w:shd w:val="clear" w:color="auto" w:fill="auto"/>
            <w:vAlign w:val="bottom"/>
          </w:tcPr>
          <w:p w14:paraId="71D45E46" w14:textId="77777777" w:rsidR="006A3667" w:rsidRDefault="006A3667">
            <w:pPr>
              <w:rPr>
                <w:rFonts w:ascii="宋体"/>
                <w:vanish/>
              </w:rPr>
            </w:pPr>
          </w:p>
        </w:tc>
        <w:tc>
          <w:tcPr>
            <w:tcW w:w="0" w:type="auto"/>
            <w:gridSpan w:val="3"/>
            <w:shd w:val="clear" w:color="auto" w:fill="auto"/>
            <w:vAlign w:val="bottom"/>
          </w:tcPr>
          <w:p w14:paraId="71D45E47" w14:textId="77777777" w:rsidR="006A3667" w:rsidRDefault="006A3667">
            <w:pPr>
              <w:rPr>
                <w:rFonts w:ascii="宋体"/>
                <w:vanish/>
              </w:rPr>
            </w:pPr>
          </w:p>
        </w:tc>
        <w:tc>
          <w:tcPr>
            <w:tcW w:w="0" w:type="auto"/>
            <w:gridSpan w:val="3"/>
            <w:shd w:val="clear" w:color="auto" w:fill="auto"/>
            <w:vAlign w:val="bottom"/>
          </w:tcPr>
          <w:p w14:paraId="71D45E48" w14:textId="77777777" w:rsidR="006A3667" w:rsidRDefault="006A3667">
            <w:pPr>
              <w:rPr>
                <w:rFonts w:ascii="宋体"/>
                <w:vanish/>
              </w:rPr>
            </w:pPr>
          </w:p>
        </w:tc>
        <w:tc>
          <w:tcPr>
            <w:tcW w:w="0" w:type="auto"/>
            <w:gridSpan w:val="3"/>
            <w:shd w:val="clear" w:color="auto" w:fill="auto"/>
            <w:vAlign w:val="bottom"/>
          </w:tcPr>
          <w:p w14:paraId="71D45E49" w14:textId="77777777" w:rsidR="006A3667" w:rsidRDefault="006A3667">
            <w:pPr>
              <w:rPr>
                <w:rFonts w:ascii="宋体"/>
                <w:vanish/>
              </w:rPr>
            </w:pPr>
          </w:p>
        </w:tc>
        <w:tc>
          <w:tcPr>
            <w:tcW w:w="0" w:type="auto"/>
            <w:gridSpan w:val="3"/>
            <w:shd w:val="clear" w:color="auto" w:fill="auto"/>
            <w:vAlign w:val="bottom"/>
          </w:tcPr>
          <w:p w14:paraId="71D45E4A" w14:textId="77777777" w:rsidR="006A3667" w:rsidRDefault="006A3667">
            <w:pPr>
              <w:rPr>
                <w:rFonts w:ascii="宋体"/>
                <w:vanish/>
              </w:rPr>
            </w:pPr>
          </w:p>
        </w:tc>
        <w:tc>
          <w:tcPr>
            <w:tcW w:w="0" w:type="auto"/>
            <w:gridSpan w:val="3"/>
            <w:shd w:val="clear" w:color="auto" w:fill="auto"/>
            <w:vAlign w:val="bottom"/>
          </w:tcPr>
          <w:p w14:paraId="71D45E4B" w14:textId="77777777" w:rsidR="006A3667" w:rsidRDefault="006A3667">
            <w:pPr>
              <w:rPr>
                <w:rFonts w:ascii="宋体"/>
                <w:vanish/>
              </w:rPr>
            </w:pPr>
          </w:p>
        </w:tc>
        <w:tc>
          <w:tcPr>
            <w:tcW w:w="0" w:type="auto"/>
            <w:gridSpan w:val="3"/>
            <w:shd w:val="clear" w:color="auto" w:fill="auto"/>
            <w:vAlign w:val="bottom"/>
          </w:tcPr>
          <w:p w14:paraId="71D45E4C" w14:textId="77777777" w:rsidR="006A3667" w:rsidRDefault="006A3667">
            <w:pPr>
              <w:rPr>
                <w:rFonts w:ascii="宋体"/>
                <w:vanish/>
              </w:rPr>
            </w:pPr>
          </w:p>
        </w:tc>
      </w:tr>
      <w:tr w:rsidR="006A3667" w14:paraId="71D45E62" w14:textId="77777777">
        <w:trPr>
          <w:hidden/>
        </w:trPr>
        <w:tc>
          <w:tcPr>
            <w:tcW w:w="0" w:type="auto"/>
            <w:gridSpan w:val="3"/>
            <w:shd w:val="clear" w:color="auto" w:fill="auto"/>
            <w:vAlign w:val="bottom"/>
          </w:tcPr>
          <w:p w14:paraId="71D45E4E" w14:textId="77777777" w:rsidR="006A3667" w:rsidRDefault="006A3667">
            <w:pPr>
              <w:rPr>
                <w:rFonts w:ascii="宋体"/>
                <w:vanish/>
              </w:rPr>
            </w:pPr>
          </w:p>
        </w:tc>
        <w:tc>
          <w:tcPr>
            <w:tcW w:w="0" w:type="auto"/>
            <w:gridSpan w:val="3"/>
            <w:shd w:val="clear" w:color="auto" w:fill="auto"/>
            <w:vAlign w:val="bottom"/>
          </w:tcPr>
          <w:p w14:paraId="71D45E4F" w14:textId="77777777" w:rsidR="006A3667" w:rsidRDefault="006A3667">
            <w:pPr>
              <w:rPr>
                <w:rFonts w:ascii="宋体"/>
                <w:vanish/>
              </w:rPr>
            </w:pPr>
          </w:p>
        </w:tc>
        <w:tc>
          <w:tcPr>
            <w:tcW w:w="0" w:type="auto"/>
            <w:gridSpan w:val="3"/>
            <w:shd w:val="clear" w:color="auto" w:fill="auto"/>
            <w:vAlign w:val="bottom"/>
          </w:tcPr>
          <w:p w14:paraId="71D45E50" w14:textId="77777777" w:rsidR="006A3667" w:rsidRDefault="006A3667">
            <w:pPr>
              <w:rPr>
                <w:rFonts w:ascii="宋体"/>
                <w:vanish/>
              </w:rPr>
            </w:pPr>
          </w:p>
        </w:tc>
        <w:tc>
          <w:tcPr>
            <w:tcW w:w="0" w:type="auto"/>
            <w:gridSpan w:val="3"/>
            <w:shd w:val="clear" w:color="auto" w:fill="auto"/>
            <w:vAlign w:val="bottom"/>
          </w:tcPr>
          <w:p w14:paraId="71D45E51" w14:textId="77777777" w:rsidR="006A3667" w:rsidRDefault="006A3667">
            <w:pPr>
              <w:rPr>
                <w:rFonts w:ascii="宋体"/>
                <w:vanish/>
              </w:rPr>
            </w:pPr>
          </w:p>
        </w:tc>
        <w:tc>
          <w:tcPr>
            <w:tcW w:w="0" w:type="auto"/>
            <w:gridSpan w:val="3"/>
            <w:shd w:val="clear" w:color="auto" w:fill="auto"/>
            <w:vAlign w:val="bottom"/>
          </w:tcPr>
          <w:p w14:paraId="71D45E52" w14:textId="77777777" w:rsidR="006A3667" w:rsidRDefault="006A3667">
            <w:pPr>
              <w:rPr>
                <w:rFonts w:ascii="宋体"/>
                <w:vanish/>
              </w:rPr>
            </w:pPr>
          </w:p>
        </w:tc>
        <w:tc>
          <w:tcPr>
            <w:tcW w:w="0" w:type="auto"/>
            <w:gridSpan w:val="3"/>
            <w:shd w:val="clear" w:color="auto" w:fill="auto"/>
            <w:vAlign w:val="bottom"/>
          </w:tcPr>
          <w:p w14:paraId="71D45E53" w14:textId="77777777" w:rsidR="006A3667" w:rsidRDefault="006A3667">
            <w:pPr>
              <w:rPr>
                <w:rFonts w:ascii="宋体"/>
                <w:vanish/>
              </w:rPr>
            </w:pPr>
          </w:p>
        </w:tc>
        <w:tc>
          <w:tcPr>
            <w:tcW w:w="0" w:type="auto"/>
            <w:gridSpan w:val="3"/>
            <w:shd w:val="clear" w:color="auto" w:fill="auto"/>
            <w:vAlign w:val="bottom"/>
          </w:tcPr>
          <w:p w14:paraId="71D45E54" w14:textId="77777777" w:rsidR="006A3667" w:rsidRDefault="006A3667">
            <w:pPr>
              <w:rPr>
                <w:rFonts w:ascii="宋体"/>
                <w:vanish/>
              </w:rPr>
            </w:pPr>
          </w:p>
        </w:tc>
        <w:tc>
          <w:tcPr>
            <w:tcW w:w="0" w:type="auto"/>
            <w:gridSpan w:val="3"/>
            <w:shd w:val="clear" w:color="auto" w:fill="auto"/>
            <w:vAlign w:val="bottom"/>
          </w:tcPr>
          <w:p w14:paraId="71D45E55" w14:textId="77777777" w:rsidR="006A3667" w:rsidRDefault="006A3667">
            <w:pPr>
              <w:rPr>
                <w:rFonts w:ascii="宋体"/>
                <w:vanish/>
              </w:rPr>
            </w:pPr>
          </w:p>
        </w:tc>
        <w:tc>
          <w:tcPr>
            <w:tcW w:w="0" w:type="auto"/>
            <w:gridSpan w:val="3"/>
            <w:shd w:val="clear" w:color="auto" w:fill="auto"/>
            <w:vAlign w:val="bottom"/>
          </w:tcPr>
          <w:p w14:paraId="71D45E56" w14:textId="77777777" w:rsidR="006A3667" w:rsidRDefault="006A3667">
            <w:pPr>
              <w:rPr>
                <w:rFonts w:ascii="宋体"/>
                <w:vanish/>
              </w:rPr>
            </w:pPr>
          </w:p>
        </w:tc>
        <w:tc>
          <w:tcPr>
            <w:tcW w:w="0" w:type="auto"/>
            <w:gridSpan w:val="3"/>
            <w:shd w:val="clear" w:color="auto" w:fill="auto"/>
            <w:vAlign w:val="bottom"/>
          </w:tcPr>
          <w:p w14:paraId="71D45E57" w14:textId="77777777" w:rsidR="006A3667" w:rsidRDefault="006A3667">
            <w:pPr>
              <w:rPr>
                <w:rFonts w:ascii="宋体"/>
                <w:vanish/>
              </w:rPr>
            </w:pPr>
          </w:p>
        </w:tc>
        <w:tc>
          <w:tcPr>
            <w:tcW w:w="0" w:type="auto"/>
            <w:gridSpan w:val="3"/>
            <w:shd w:val="clear" w:color="auto" w:fill="auto"/>
            <w:vAlign w:val="bottom"/>
          </w:tcPr>
          <w:p w14:paraId="71D45E58" w14:textId="77777777" w:rsidR="006A3667" w:rsidRDefault="006A3667">
            <w:pPr>
              <w:rPr>
                <w:rFonts w:ascii="宋体"/>
                <w:vanish/>
              </w:rPr>
            </w:pPr>
          </w:p>
        </w:tc>
        <w:tc>
          <w:tcPr>
            <w:tcW w:w="0" w:type="auto"/>
            <w:gridSpan w:val="3"/>
            <w:shd w:val="clear" w:color="auto" w:fill="auto"/>
            <w:vAlign w:val="bottom"/>
          </w:tcPr>
          <w:p w14:paraId="71D45E59" w14:textId="77777777" w:rsidR="006A3667" w:rsidRDefault="006A3667">
            <w:pPr>
              <w:rPr>
                <w:rFonts w:ascii="宋体"/>
                <w:vanish/>
              </w:rPr>
            </w:pPr>
          </w:p>
        </w:tc>
        <w:tc>
          <w:tcPr>
            <w:tcW w:w="0" w:type="auto"/>
            <w:gridSpan w:val="3"/>
            <w:shd w:val="clear" w:color="auto" w:fill="auto"/>
            <w:vAlign w:val="bottom"/>
          </w:tcPr>
          <w:p w14:paraId="71D45E5A" w14:textId="77777777" w:rsidR="006A3667" w:rsidRDefault="006A3667">
            <w:pPr>
              <w:rPr>
                <w:rFonts w:ascii="宋体"/>
                <w:vanish/>
              </w:rPr>
            </w:pPr>
          </w:p>
        </w:tc>
        <w:tc>
          <w:tcPr>
            <w:tcW w:w="0" w:type="auto"/>
            <w:gridSpan w:val="3"/>
            <w:shd w:val="clear" w:color="auto" w:fill="auto"/>
            <w:vAlign w:val="bottom"/>
          </w:tcPr>
          <w:p w14:paraId="71D45E5B" w14:textId="77777777" w:rsidR="006A3667" w:rsidRDefault="006A3667">
            <w:pPr>
              <w:rPr>
                <w:rFonts w:ascii="宋体"/>
                <w:vanish/>
              </w:rPr>
            </w:pPr>
          </w:p>
        </w:tc>
        <w:tc>
          <w:tcPr>
            <w:tcW w:w="0" w:type="auto"/>
            <w:gridSpan w:val="3"/>
            <w:shd w:val="clear" w:color="auto" w:fill="auto"/>
            <w:vAlign w:val="bottom"/>
          </w:tcPr>
          <w:p w14:paraId="71D45E5C" w14:textId="77777777" w:rsidR="006A3667" w:rsidRDefault="006A3667">
            <w:pPr>
              <w:rPr>
                <w:rFonts w:ascii="宋体"/>
                <w:vanish/>
              </w:rPr>
            </w:pPr>
          </w:p>
        </w:tc>
        <w:tc>
          <w:tcPr>
            <w:tcW w:w="0" w:type="auto"/>
            <w:gridSpan w:val="3"/>
            <w:shd w:val="clear" w:color="auto" w:fill="auto"/>
            <w:vAlign w:val="bottom"/>
          </w:tcPr>
          <w:p w14:paraId="71D45E5D" w14:textId="77777777" w:rsidR="006A3667" w:rsidRDefault="006A3667">
            <w:pPr>
              <w:rPr>
                <w:rFonts w:ascii="宋体"/>
                <w:vanish/>
              </w:rPr>
            </w:pPr>
          </w:p>
        </w:tc>
        <w:tc>
          <w:tcPr>
            <w:tcW w:w="0" w:type="auto"/>
            <w:gridSpan w:val="3"/>
            <w:shd w:val="clear" w:color="auto" w:fill="auto"/>
            <w:vAlign w:val="bottom"/>
          </w:tcPr>
          <w:p w14:paraId="71D45E5E" w14:textId="77777777" w:rsidR="006A3667" w:rsidRDefault="006A3667">
            <w:pPr>
              <w:rPr>
                <w:rFonts w:ascii="宋体"/>
                <w:vanish/>
              </w:rPr>
            </w:pPr>
          </w:p>
        </w:tc>
        <w:tc>
          <w:tcPr>
            <w:tcW w:w="0" w:type="auto"/>
            <w:gridSpan w:val="3"/>
            <w:shd w:val="clear" w:color="auto" w:fill="auto"/>
            <w:vAlign w:val="bottom"/>
          </w:tcPr>
          <w:p w14:paraId="71D45E5F" w14:textId="77777777" w:rsidR="006A3667" w:rsidRDefault="006A3667">
            <w:pPr>
              <w:rPr>
                <w:rFonts w:ascii="宋体"/>
                <w:vanish/>
              </w:rPr>
            </w:pPr>
          </w:p>
        </w:tc>
        <w:tc>
          <w:tcPr>
            <w:tcW w:w="0" w:type="auto"/>
            <w:gridSpan w:val="3"/>
            <w:shd w:val="clear" w:color="auto" w:fill="auto"/>
            <w:vAlign w:val="bottom"/>
          </w:tcPr>
          <w:p w14:paraId="71D45E60" w14:textId="77777777" w:rsidR="006A3667" w:rsidRDefault="006A3667">
            <w:pPr>
              <w:rPr>
                <w:rFonts w:ascii="宋体"/>
                <w:vanish/>
              </w:rPr>
            </w:pPr>
          </w:p>
        </w:tc>
        <w:tc>
          <w:tcPr>
            <w:tcW w:w="0" w:type="auto"/>
            <w:gridSpan w:val="3"/>
            <w:shd w:val="clear" w:color="auto" w:fill="auto"/>
            <w:vAlign w:val="bottom"/>
          </w:tcPr>
          <w:p w14:paraId="71D45E61" w14:textId="77777777" w:rsidR="006A3667" w:rsidRDefault="006A3667">
            <w:pPr>
              <w:rPr>
                <w:rFonts w:ascii="宋体"/>
                <w:vanish/>
              </w:rPr>
            </w:pPr>
          </w:p>
        </w:tc>
      </w:tr>
      <w:tr w:rsidR="006A3667" w14:paraId="71D45E77" w14:textId="77777777">
        <w:trPr>
          <w:hidden/>
        </w:trPr>
        <w:tc>
          <w:tcPr>
            <w:tcW w:w="0" w:type="auto"/>
            <w:gridSpan w:val="3"/>
            <w:shd w:val="clear" w:color="auto" w:fill="auto"/>
            <w:vAlign w:val="bottom"/>
          </w:tcPr>
          <w:p w14:paraId="71D45E63" w14:textId="77777777" w:rsidR="006A3667" w:rsidRDefault="006A3667">
            <w:pPr>
              <w:rPr>
                <w:rFonts w:ascii="宋体"/>
                <w:vanish/>
              </w:rPr>
            </w:pPr>
          </w:p>
        </w:tc>
        <w:tc>
          <w:tcPr>
            <w:tcW w:w="0" w:type="auto"/>
            <w:gridSpan w:val="3"/>
            <w:shd w:val="clear" w:color="auto" w:fill="auto"/>
            <w:vAlign w:val="bottom"/>
          </w:tcPr>
          <w:p w14:paraId="71D45E64" w14:textId="77777777" w:rsidR="006A3667" w:rsidRDefault="006A3667">
            <w:pPr>
              <w:rPr>
                <w:rFonts w:ascii="宋体"/>
                <w:vanish/>
              </w:rPr>
            </w:pPr>
          </w:p>
        </w:tc>
        <w:tc>
          <w:tcPr>
            <w:tcW w:w="0" w:type="auto"/>
            <w:gridSpan w:val="3"/>
            <w:shd w:val="clear" w:color="auto" w:fill="auto"/>
            <w:vAlign w:val="bottom"/>
          </w:tcPr>
          <w:p w14:paraId="71D45E65" w14:textId="77777777" w:rsidR="006A3667" w:rsidRDefault="006A3667">
            <w:pPr>
              <w:rPr>
                <w:rFonts w:ascii="宋体"/>
                <w:vanish/>
              </w:rPr>
            </w:pPr>
          </w:p>
        </w:tc>
        <w:tc>
          <w:tcPr>
            <w:tcW w:w="0" w:type="auto"/>
            <w:gridSpan w:val="3"/>
            <w:shd w:val="clear" w:color="auto" w:fill="auto"/>
            <w:vAlign w:val="bottom"/>
          </w:tcPr>
          <w:p w14:paraId="71D45E66" w14:textId="77777777" w:rsidR="006A3667" w:rsidRDefault="006A3667">
            <w:pPr>
              <w:rPr>
                <w:rFonts w:ascii="宋体"/>
                <w:vanish/>
              </w:rPr>
            </w:pPr>
          </w:p>
        </w:tc>
        <w:tc>
          <w:tcPr>
            <w:tcW w:w="0" w:type="auto"/>
            <w:gridSpan w:val="3"/>
            <w:shd w:val="clear" w:color="auto" w:fill="auto"/>
            <w:vAlign w:val="bottom"/>
          </w:tcPr>
          <w:p w14:paraId="71D45E67" w14:textId="77777777" w:rsidR="006A3667" w:rsidRDefault="006A3667">
            <w:pPr>
              <w:rPr>
                <w:rFonts w:ascii="宋体"/>
                <w:vanish/>
              </w:rPr>
            </w:pPr>
          </w:p>
        </w:tc>
        <w:tc>
          <w:tcPr>
            <w:tcW w:w="0" w:type="auto"/>
            <w:gridSpan w:val="3"/>
            <w:shd w:val="clear" w:color="auto" w:fill="auto"/>
            <w:vAlign w:val="bottom"/>
          </w:tcPr>
          <w:p w14:paraId="71D45E68" w14:textId="77777777" w:rsidR="006A3667" w:rsidRDefault="006A3667">
            <w:pPr>
              <w:rPr>
                <w:rFonts w:ascii="宋体"/>
                <w:vanish/>
              </w:rPr>
            </w:pPr>
          </w:p>
        </w:tc>
        <w:tc>
          <w:tcPr>
            <w:tcW w:w="0" w:type="auto"/>
            <w:gridSpan w:val="3"/>
            <w:shd w:val="clear" w:color="auto" w:fill="auto"/>
            <w:vAlign w:val="bottom"/>
          </w:tcPr>
          <w:p w14:paraId="71D45E69" w14:textId="77777777" w:rsidR="006A3667" w:rsidRDefault="006A3667">
            <w:pPr>
              <w:rPr>
                <w:rFonts w:ascii="宋体"/>
                <w:vanish/>
              </w:rPr>
            </w:pPr>
          </w:p>
        </w:tc>
        <w:tc>
          <w:tcPr>
            <w:tcW w:w="0" w:type="auto"/>
            <w:gridSpan w:val="3"/>
            <w:shd w:val="clear" w:color="auto" w:fill="auto"/>
            <w:vAlign w:val="bottom"/>
          </w:tcPr>
          <w:p w14:paraId="71D45E6A" w14:textId="77777777" w:rsidR="006A3667" w:rsidRDefault="006A3667">
            <w:pPr>
              <w:rPr>
                <w:rFonts w:ascii="宋体"/>
                <w:vanish/>
              </w:rPr>
            </w:pPr>
          </w:p>
        </w:tc>
        <w:tc>
          <w:tcPr>
            <w:tcW w:w="0" w:type="auto"/>
            <w:gridSpan w:val="3"/>
            <w:shd w:val="clear" w:color="auto" w:fill="auto"/>
            <w:vAlign w:val="bottom"/>
          </w:tcPr>
          <w:p w14:paraId="71D45E6B" w14:textId="77777777" w:rsidR="006A3667" w:rsidRDefault="006A3667">
            <w:pPr>
              <w:rPr>
                <w:rFonts w:ascii="宋体"/>
                <w:vanish/>
              </w:rPr>
            </w:pPr>
          </w:p>
        </w:tc>
        <w:tc>
          <w:tcPr>
            <w:tcW w:w="0" w:type="auto"/>
            <w:gridSpan w:val="3"/>
            <w:shd w:val="clear" w:color="auto" w:fill="auto"/>
            <w:vAlign w:val="bottom"/>
          </w:tcPr>
          <w:p w14:paraId="71D45E6C" w14:textId="77777777" w:rsidR="006A3667" w:rsidRDefault="006A3667">
            <w:pPr>
              <w:rPr>
                <w:rFonts w:ascii="宋体"/>
                <w:vanish/>
              </w:rPr>
            </w:pPr>
          </w:p>
        </w:tc>
        <w:tc>
          <w:tcPr>
            <w:tcW w:w="0" w:type="auto"/>
            <w:gridSpan w:val="3"/>
            <w:shd w:val="clear" w:color="auto" w:fill="auto"/>
            <w:vAlign w:val="bottom"/>
          </w:tcPr>
          <w:p w14:paraId="71D45E6D" w14:textId="77777777" w:rsidR="006A3667" w:rsidRDefault="006A3667">
            <w:pPr>
              <w:rPr>
                <w:rFonts w:ascii="宋体"/>
                <w:vanish/>
              </w:rPr>
            </w:pPr>
          </w:p>
        </w:tc>
        <w:tc>
          <w:tcPr>
            <w:tcW w:w="0" w:type="auto"/>
            <w:gridSpan w:val="3"/>
            <w:shd w:val="clear" w:color="auto" w:fill="auto"/>
            <w:vAlign w:val="bottom"/>
          </w:tcPr>
          <w:p w14:paraId="71D45E6E" w14:textId="77777777" w:rsidR="006A3667" w:rsidRDefault="006A3667">
            <w:pPr>
              <w:rPr>
                <w:rFonts w:ascii="宋体"/>
                <w:vanish/>
              </w:rPr>
            </w:pPr>
          </w:p>
        </w:tc>
        <w:tc>
          <w:tcPr>
            <w:tcW w:w="0" w:type="auto"/>
            <w:gridSpan w:val="3"/>
            <w:shd w:val="clear" w:color="auto" w:fill="auto"/>
            <w:vAlign w:val="bottom"/>
          </w:tcPr>
          <w:p w14:paraId="71D45E6F" w14:textId="77777777" w:rsidR="006A3667" w:rsidRDefault="006A3667">
            <w:pPr>
              <w:rPr>
                <w:rFonts w:ascii="宋体"/>
                <w:vanish/>
              </w:rPr>
            </w:pPr>
          </w:p>
        </w:tc>
        <w:tc>
          <w:tcPr>
            <w:tcW w:w="0" w:type="auto"/>
            <w:gridSpan w:val="3"/>
            <w:shd w:val="clear" w:color="auto" w:fill="auto"/>
            <w:vAlign w:val="bottom"/>
          </w:tcPr>
          <w:p w14:paraId="71D45E70" w14:textId="77777777" w:rsidR="006A3667" w:rsidRDefault="006A3667">
            <w:pPr>
              <w:rPr>
                <w:rFonts w:ascii="宋体"/>
                <w:vanish/>
              </w:rPr>
            </w:pPr>
          </w:p>
        </w:tc>
        <w:tc>
          <w:tcPr>
            <w:tcW w:w="0" w:type="auto"/>
            <w:gridSpan w:val="3"/>
            <w:shd w:val="clear" w:color="auto" w:fill="auto"/>
            <w:vAlign w:val="bottom"/>
          </w:tcPr>
          <w:p w14:paraId="71D45E71" w14:textId="77777777" w:rsidR="006A3667" w:rsidRDefault="006A3667">
            <w:pPr>
              <w:rPr>
                <w:rFonts w:ascii="宋体"/>
                <w:vanish/>
              </w:rPr>
            </w:pPr>
          </w:p>
        </w:tc>
        <w:tc>
          <w:tcPr>
            <w:tcW w:w="0" w:type="auto"/>
            <w:gridSpan w:val="3"/>
            <w:shd w:val="clear" w:color="auto" w:fill="auto"/>
            <w:vAlign w:val="bottom"/>
          </w:tcPr>
          <w:p w14:paraId="71D45E72" w14:textId="77777777" w:rsidR="006A3667" w:rsidRDefault="006A3667">
            <w:pPr>
              <w:rPr>
                <w:rFonts w:ascii="宋体"/>
                <w:vanish/>
              </w:rPr>
            </w:pPr>
          </w:p>
        </w:tc>
        <w:tc>
          <w:tcPr>
            <w:tcW w:w="0" w:type="auto"/>
            <w:gridSpan w:val="3"/>
            <w:shd w:val="clear" w:color="auto" w:fill="auto"/>
            <w:vAlign w:val="bottom"/>
          </w:tcPr>
          <w:p w14:paraId="71D45E73" w14:textId="77777777" w:rsidR="006A3667" w:rsidRDefault="006A3667">
            <w:pPr>
              <w:rPr>
                <w:rFonts w:ascii="宋体"/>
                <w:vanish/>
              </w:rPr>
            </w:pPr>
          </w:p>
        </w:tc>
        <w:tc>
          <w:tcPr>
            <w:tcW w:w="0" w:type="auto"/>
            <w:gridSpan w:val="3"/>
            <w:shd w:val="clear" w:color="auto" w:fill="auto"/>
            <w:vAlign w:val="bottom"/>
          </w:tcPr>
          <w:p w14:paraId="71D45E74" w14:textId="77777777" w:rsidR="006A3667" w:rsidRDefault="006A3667">
            <w:pPr>
              <w:rPr>
                <w:rFonts w:ascii="宋体"/>
                <w:vanish/>
              </w:rPr>
            </w:pPr>
          </w:p>
        </w:tc>
        <w:tc>
          <w:tcPr>
            <w:tcW w:w="0" w:type="auto"/>
            <w:gridSpan w:val="3"/>
            <w:shd w:val="clear" w:color="auto" w:fill="auto"/>
            <w:vAlign w:val="bottom"/>
          </w:tcPr>
          <w:p w14:paraId="71D45E75" w14:textId="77777777" w:rsidR="006A3667" w:rsidRDefault="006A3667">
            <w:pPr>
              <w:rPr>
                <w:rFonts w:ascii="宋体"/>
                <w:vanish/>
              </w:rPr>
            </w:pPr>
          </w:p>
        </w:tc>
        <w:tc>
          <w:tcPr>
            <w:tcW w:w="0" w:type="auto"/>
            <w:gridSpan w:val="3"/>
            <w:shd w:val="clear" w:color="auto" w:fill="auto"/>
            <w:vAlign w:val="bottom"/>
          </w:tcPr>
          <w:p w14:paraId="71D45E76" w14:textId="77777777" w:rsidR="006A3667" w:rsidRDefault="006A3667">
            <w:pPr>
              <w:rPr>
                <w:rFonts w:ascii="宋体"/>
                <w:vanish/>
              </w:rPr>
            </w:pPr>
          </w:p>
        </w:tc>
      </w:tr>
      <w:tr w:rsidR="006A3667" w14:paraId="71D45E8C" w14:textId="77777777">
        <w:trPr>
          <w:hidden/>
        </w:trPr>
        <w:tc>
          <w:tcPr>
            <w:tcW w:w="0" w:type="auto"/>
            <w:gridSpan w:val="3"/>
            <w:shd w:val="clear" w:color="auto" w:fill="auto"/>
            <w:vAlign w:val="bottom"/>
          </w:tcPr>
          <w:p w14:paraId="71D45E78" w14:textId="77777777" w:rsidR="006A3667" w:rsidRDefault="006A3667">
            <w:pPr>
              <w:rPr>
                <w:rFonts w:ascii="宋体"/>
                <w:vanish/>
              </w:rPr>
            </w:pPr>
          </w:p>
        </w:tc>
        <w:tc>
          <w:tcPr>
            <w:tcW w:w="0" w:type="auto"/>
            <w:gridSpan w:val="3"/>
            <w:shd w:val="clear" w:color="auto" w:fill="auto"/>
            <w:vAlign w:val="bottom"/>
          </w:tcPr>
          <w:p w14:paraId="71D45E79" w14:textId="77777777" w:rsidR="006A3667" w:rsidRDefault="006A3667">
            <w:pPr>
              <w:rPr>
                <w:rFonts w:ascii="宋体"/>
                <w:vanish/>
              </w:rPr>
            </w:pPr>
          </w:p>
        </w:tc>
        <w:tc>
          <w:tcPr>
            <w:tcW w:w="0" w:type="auto"/>
            <w:gridSpan w:val="3"/>
            <w:shd w:val="clear" w:color="auto" w:fill="auto"/>
            <w:vAlign w:val="bottom"/>
          </w:tcPr>
          <w:p w14:paraId="71D45E7A" w14:textId="77777777" w:rsidR="006A3667" w:rsidRDefault="006A3667">
            <w:pPr>
              <w:rPr>
                <w:rFonts w:ascii="宋体"/>
                <w:vanish/>
              </w:rPr>
            </w:pPr>
          </w:p>
        </w:tc>
        <w:tc>
          <w:tcPr>
            <w:tcW w:w="0" w:type="auto"/>
            <w:gridSpan w:val="3"/>
            <w:shd w:val="clear" w:color="auto" w:fill="auto"/>
            <w:vAlign w:val="bottom"/>
          </w:tcPr>
          <w:p w14:paraId="71D45E7B" w14:textId="77777777" w:rsidR="006A3667" w:rsidRDefault="006A3667">
            <w:pPr>
              <w:rPr>
                <w:rFonts w:ascii="宋体"/>
                <w:vanish/>
              </w:rPr>
            </w:pPr>
          </w:p>
        </w:tc>
        <w:tc>
          <w:tcPr>
            <w:tcW w:w="0" w:type="auto"/>
            <w:gridSpan w:val="3"/>
            <w:shd w:val="clear" w:color="auto" w:fill="auto"/>
            <w:vAlign w:val="bottom"/>
          </w:tcPr>
          <w:p w14:paraId="71D45E7C" w14:textId="77777777" w:rsidR="006A3667" w:rsidRDefault="006A3667">
            <w:pPr>
              <w:rPr>
                <w:rFonts w:ascii="宋体"/>
                <w:vanish/>
              </w:rPr>
            </w:pPr>
          </w:p>
        </w:tc>
        <w:tc>
          <w:tcPr>
            <w:tcW w:w="0" w:type="auto"/>
            <w:gridSpan w:val="3"/>
            <w:shd w:val="clear" w:color="auto" w:fill="auto"/>
            <w:vAlign w:val="bottom"/>
          </w:tcPr>
          <w:p w14:paraId="71D45E7D" w14:textId="77777777" w:rsidR="006A3667" w:rsidRDefault="006A3667">
            <w:pPr>
              <w:rPr>
                <w:rFonts w:ascii="宋体"/>
                <w:vanish/>
              </w:rPr>
            </w:pPr>
          </w:p>
        </w:tc>
        <w:tc>
          <w:tcPr>
            <w:tcW w:w="0" w:type="auto"/>
            <w:gridSpan w:val="3"/>
            <w:shd w:val="clear" w:color="auto" w:fill="auto"/>
            <w:vAlign w:val="bottom"/>
          </w:tcPr>
          <w:p w14:paraId="71D45E7E" w14:textId="77777777" w:rsidR="006A3667" w:rsidRDefault="006A3667">
            <w:pPr>
              <w:rPr>
                <w:rFonts w:ascii="宋体"/>
                <w:vanish/>
              </w:rPr>
            </w:pPr>
          </w:p>
        </w:tc>
        <w:tc>
          <w:tcPr>
            <w:tcW w:w="0" w:type="auto"/>
            <w:gridSpan w:val="3"/>
            <w:shd w:val="clear" w:color="auto" w:fill="auto"/>
            <w:vAlign w:val="bottom"/>
          </w:tcPr>
          <w:p w14:paraId="71D45E7F" w14:textId="77777777" w:rsidR="006A3667" w:rsidRDefault="006A3667">
            <w:pPr>
              <w:rPr>
                <w:rFonts w:ascii="宋体"/>
                <w:vanish/>
              </w:rPr>
            </w:pPr>
          </w:p>
        </w:tc>
        <w:tc>
          <w:tcPr>
            <w:tcW w:w="0" w:type="auto"/>
            <w:gridSpan w:val="3"/>
            <w:shd w:val="clear" w:color="auto" w:fill="auto"/>
            <w:vAlign w:val="bottom"/>
          </w:tcPr>
          <w:p w14:paraId="71D45E80" w14:textId="77777777" w:rsidR="006A3667" w:rsidRDefault="006A3667">
            <w:pPr>
              <w:rPr>
                <w:rFonts w:ascii="宋体"/>
                <w:vanish/>
              </w:rPr>
            </w:pPr>
          </w:p>
        </w:tc>
        <w:tc>
          <w:tcPr>
            <w:tcW w:w="0" w:type="auto"/>
            <w:gridSpan w:val="3"/>
            <w:shd w:val="clear" w:color="auto" w:fill="auto"/>
            <w:vAlign w:val="bottom"/>
          </w:tcPr>
          <w:p w14:paraId="71D45E81" w14:textId="77777777" w:rsidR="006A3667" w:rsidRDefault="006A3667">
            <w:pPr>
              <w:rPr>
                <w:rFonts w:ascii="宋体"/>
                <w:vanish/>
              </w:rPr>
            </w:pPr>
          </w:p>
        </w:tc>
        <w:tc>
          <w:tcPr>
            <w:tcW w:w="0" w:type="auto"/>
            <w:gridSpan w:val="3"/>
            <w:shd w:val="clear" w:color="auto" w:fill="auto"/>
            <w:vAlign w:val="bottom"/>
          </w:tcPr>
          <w:p w14:paraId="71D45E82" w14:textId="77777777" w:rsidR="006A3667" w:rsidRDefault="006A3667">
            <w:pPr>
              <w:rPr>
                <w:rFonts w:ascii="宋体"/>
                <w:vanish/>
              </w:rPr>
            </w:pPr>
          </w:p>
        </w:tc>
        <w:tc>
          <w:tcPr>
            <w:tcW w:w="0" w:type="auto"/>
            <w:gridSpan w:val="3"/>
            <w:shd w:val="clear" w:color="auto" w:fill="auto"/>
            <w:vAlign w:val="bottom"/>
          </w:tcPr>
          <w:p w14:paraId="71D45E83" w14:textId="77777777" w:rsidR="006A3667" w:rsidRDefault="006A3667">
            <w:pPr>
              <w:rPr>
                <w:rFonts w:ascii="宋体"/>
                <w:vanish/>
              </w:rPr>
            </w:pPr>
          </w:p>
        </w:tc>
        <w:tc>
          <w:tcPr>
            <w:tcW w:w="0" w:type="auto"/>
            <w:gridSpan w:val="3"/>
            <w:shd w:val="clear" w:color="auto" w:fill="auto"/>
            <w:vAlign w:val="bottom"/>
          </w:tcPr>
          <w:p w14:paraId="71D45E84" w14:textId="77777777" w:rsidR="006A3667" w:rsidRDefault="006A3667">
            <w:pPr>
              <w:rPr>
                <w:rFonts w:ascii="宋体"/>
                <w:vanish/>
              </w:rPr>
            </w:pPr>
          </w:p>
        </w:tc>
        <w:tc>
          <w:tcPr>
            <w:tcW w:w="0" w:type="auto"/>
            <w:gridSpan w:val="3"/>
            <w:shd w:val="clear" w:color="auto" w:fill="auto"/>
            <w:vAlign w:val="bottom"/>
          </w:tcPr>
          <w:p w14:paraId="71D45E85" w14:textId="77777777" w:rsidR="006A3667" w:rsidRDefault="006A3667">
            <w:pPr>
              <w:rPr>
                <w:rFonts w:ascii="宋体"/>
                <w:vanish/>
              </w:rPr>
            </w:pPr>
          </w:p>
        </w:tc>
        <w:tc>
          <w:tcPr>
            <w:tcW w:w="0" w:type="auto"/>
            <w:gridSpan w:val="3"/>
            <w:shd w:val="clear" w:color="auto" w:fill="auto"/>
            <w:vAlign w:val="bottom"/>
          </w:tcPr>
          <w:p w14:paraId="71D45E86" w14:textId="77777777" w:rsidR="006A3667" w:rsidRDefault="006A3667">
            <w:pPr>
              <w:rPr>
                <w:rFonts w:ascii="宋体"/>
                <w:vanish/>
              </w:rPr>
            </w:pPr>
          </w:p>
        </w:tc>
        <w:tc>
          <w:tcPr>
            <w:tcW w:w="0" w:type="auto"/>
            <w:gridSpan w:val="3"/>
            <w:shd w:val="clear" w:color="auto" w:fill="auto"/>
            <w:vAlign w:val="bottom"/>
          </w:tcPr>
          <w:p w14:paraId="71D45E87" w14:textId="77777777" w:rsidR="006A3667" w:rsidRDefault="006A3667">
            <w:pPr>
              <w:rPr>
                <w:rFonts w:ascii="宋体"/>
                <w:vanish/>
              </w:rPr>
            </w:pPr>
          </w:p>
        </w:tc>
        <w:tc>
          <w:tcPr>
            <w:tcW w:w="0" w:type="auto"/>
            <w:gridSpan w:val="3"/>
            <w:shd w:val="clear" w:color="auto" w:fill="auto"/>
            <w:vAlign w:val="bottom"/>
          </w:tcPr>
          <w:p w14:paraId="71D45E88" w14:textId="77777777" w:rsidR="006A3667" w:rsidRDefault="006A3667">
            <w:pPr>
              <w:rPr>
                <w:rFonts w:ascii="宋体"/>
                <w:vanish/>
              </w:rPr>
            </w:pPr>
          </w:p>
        </w:tc>
        <w:tc>
          <w:tcPr>
            <w:tcW w:w="0" w:type="auto"/>
            <w:gridSpan w:val="3"/>
            <w:shd w:val="clear" w:color="auto" w:fill="auto"/>
            <w:vAlign w:val="bottom"/>
          </w:tcPr>
          <w:p w14:paraId="71D45E89" w14:textId="77777777" w:rsidR="006A3667" w:rsidRDefault="006A3667">
            <w:pPr>
              <w:rPr>
                <w:rFonts w:ascii="宋体"/>
                <w:vanish/>
              </w:rPr>
            </w:pPr>
          </w:p>
        </w:tc>
        <w:tc>
          <w:tcPr>
            <w:tcW w:w="0" w:type="auto"/>
            <w:gridSpan w:val="3"/>
            <w:shd w:val="clear" w:color="auto" w:fill="auto"/>
            <w:vAlign w:val="bottom"/>
          </w:tcPr>
          <w:p w14:paraId="71D45E8A" w14:textId="77777777" w:rsidR="006A3667" w:rsidRDefault="006A3667">
            <w:pPr>
              <w:rPr>
                <w:rFonts w:ascii="宋体"/>
                <w:vanish/>
              </w:rPr>
            </w:pPr>
          </w:p>
        </w:tc>
        <w:tc>
          <w:tcPr>
            <w:tcW w:w="0" w:type="auto"/>
            <w:gridSpan w:val="3"/>
            <w:shd w:val="clear" w:color="auto" w:fill="auto"/>
            <w:vAlign w:val="bottom"/>
          </w:tcPr>
          <w:p w14:paraId="71D45E8B" w14:textId="77777777" w:rsidR="006A3667" w:rsidRDefault="006A3667">
            <w:pPr>
              <w:rPr>
                <w:rFonts w:ascii="宋体"/>
                <w:vanish/>
              </w:rPr>
            </w:pPr>
          </w:p>
        </w:tc>
      </w:tr>
      <w:tr w:rsidR="006A3667" w14:paraId="71D45EA1" w14:textId="77777777">
        <w:trPr>
          <w:hidden/>
        </w:trPr>
        <w:tc>
          <w:tcPr>
            <w:tcW w:w="0" w:type="auto"/>
            <w:gridSpan w:val="3"/>
            <w:shd w:val="clear" w:color="auto" w:fill="auto"/>
            <w:vAlign w:val="bottom"/>
          </w:tcPr>
          <w:p w14:paraId="71D45E8D" w14:textId="77777777" w:rsidR="006A3667" w:rsidRDefault="006A3667">
            <w:pPr>
              <w:rPr>
                <w:rFonts w:ascii="宋体"/>
                <w:vanish/>
              </w:rPr>
            </w:pPr>
          </w:p>
        </w:tc>
        <w:tc>
          <w:tcPr>
            <w:tcW w:w="0" w:type="auto"/>
            <w:gridSpan w:val="3"/>
            <w:shd w:val="clear" w:color="auto" w:fill="auto"/>
            <w:vAlign w:val="bottom"/>
          </w:tcPr>
          <w:p w14:paraId="71D45E8E" w14:textId="77777777" w:rsidR="006A3667" w:rsidRDefault="006A3667">
            <w:pPr>
              <w:rPr>
                <w:rFonts w:ascii="宋体"/>
                <w:vanish/>
              </w:rPr>
            </w:pPr>
          </w:p>
        </w:tc>
        <w:tc>
          <w:tcPr>
            <w:tcW w:w="0" w:type="auto"/>
            <w:gridSpan w:val="3"/>
            <w:shd w:val="clear" w:color="auto" w:fill="auto"/>
            <w:vAlign w:val="bottom"/>
          </w:tcPr>
          <w:p w14:paraId="71D45E8F" w14:textId="77777777" w:rsidR="006A3667" w:rsidRDefault="006A3667">
            <w:pPr>
              <w:rPr>
                <w:rFonts w:ascii="宋体"/>
                <w:vanish/>
              </w:rPr>
            </w:pPr>
          </w:p>
        </w:tc>
        <w:tc>
          <w:tcPr>
            <w:tcW w:w="0" w:type="auto"/>
            <w:gridSpan w:val="3"/>
            <w:shd w:val="clear" w:color="auto" w:fill="auto"/>
            <w:vAlign w:val="bottom"/>
          </w:tcPr>
          <w:p w14:paraId="71D45E90" w14:textId="77777777" w:rsidR="006A3667" w:rsidRDefault="006A3667">
            <w:pPr>
              <w:rPr>
                <w:rFonts w:ascii="宋体"/>
                <w:vanish/>
              </w:rPr>
            </w:pPr>
          </w:p>
        </w:tc>
        <w:tc>
          <w:tcPr>
            <w:tcW w:w="0" w:type="auto"/>
            <w:gridSpan w:val="3"/>
            <w:shd w:val="clear" w:color="auto" w:fill="auto"/>
            <w:vAlign w:val="bottom"/>
          </w:tcPr>
          <w:p w14:paraId="71D45E91" w14:textId="77777777" w:rsidR="006A3667" w:rsidRDefault="006A3667">
            <w:pPr>
              <w:rPr>
                <w:rFonts w:ascii="宋体"/>
                <w:vanish/>
              </w:rPr>
            </w:pPr>
          </w:p>
        </w:tc>
        <w:tc>
          <w:tcPr>
            <w:tcW w:w="0" w:type="auto"/>
            <w:gridSpan w:val="3"/>
            <w:shd w:val="clear" w:color="auto" w:fill="auto"/>
            <w:vAlign w:val="bottom"/>
          </w:tcPr>
          <w:p w14:paraId="71D45E92" w14:textId="77777777" w:rsidR="006A3667" w:rsidRDefault="006A3667">
            <w:pPr>
              <w:rPr>
                <w:rFonts w:ascii="宋体"/>
                <w:vanish/>
              </w:rPr>
            </w:pPr>
          </w:p>
        </w:tc>
        <w:tc>
          <w:tcPr>
            <w:tcW w:w="0" w:type="auto"/>
            <w:gridSpan w:val="3"/>
            <w:shd w:val="clear" w:color="auto" w:fill="auto"/>
            <w:vAlign w:val="bottom"/>
          </w:tcPr>
          <w:p w14:paraId="71D45E93" w14:textId="77777777" w:rsidR="006A3667" w:rsidRDefault="006A3667">
            <w:pPr>
              <w:rPr>
                <w:rFonts w:ascii="宋体"/>
                <w:vanish/>
              </w:rPr>
            </w:pPr>
          </w:p>
        </w:tc>
        <w:tc>
          <w:tcPr>
            <w:tcW w:w="0" w:type="auto"/>
            <w:gridSpan w:val="3"/>
            <w:shd w:val="clear" w:color="auto" w:fill="auto"/>
            <w:vAlign w:val="bottom"/>
          </w:tcPr>
          <w:p w14:paraId="71D45E94" w14:textId="77777777" w:rsidR="006A3667" w:rsidRDefault="006A3667">
            <w:pPr>
              <w:rPr>
                <w:rFonts w:ascii="宋体"/>
                <w:vanish/>
              </w:rPr>
            </w:pPr>
          </w:p>
        </w:tc>
        <w:tc>
          <w:tcPr>
            <w:tcW w:w="0" w:type="auto"/>
            <w:gridSpan w:val="3"/>
            <w:shd w:val="clear" w:color="auto" w:fill="auto"/>
            <w:vAlign w:val="bottom"/>
          </w:tcPr>
          <w:p w14:paraId="71D45E95" w14:textId="77777777" w:rsidR="006A3667" w:rsidRDefault="006A3667">
            <w:pPr>
              <w:rPr>
                <w:rFonts w:ascii="宋体"/>
                <w:vanish/>
              </w:rPr>
            </w:pPr>
          </w:p>
        </w:tc>
        <w:tc>
          <w:tcPr>
            <w:tcW w:w="0" w:type="auto"/>
            <w:gridSpan w:val="3"/>
            <w:shd w:val="clear" w:color="auto" w:fill="auto"/>
            <w:vAlign w:val="bottom"/>
          </w:tcPr>
          <w:p w14:paraId="71D45E96" w14:textId="77777777" w:rsidR="006A3667" w:rsidRDefault="006A3667">
            <w:pPr>
              <w:rPr>
                <w:rFonts w:ascii="宋体"/>
                <w:vanish/>
              </w:rPr>
            </w:pPr>
          </w:p>
        </w:tc>
        <w:tc>
          <w:tcPr>
            <w:tcW w:w="0" w:type="auto"/>
            <w:gridSpan w:val="3"/>
            <w:shd w:val="clear" w:color="auto" w:fill="auto"/>
            <w:vAlign w:val="bottom"/>
          </w:tcPr>
          <w:p w14:paraId="71D45E97" w14:textId="77777777" w:rsidR="006A3667" w:rsidRDefault="006A3667">
            <w:pPr>
              <w:rPr>
                <w:rFonts w:ascii="宋体"/>
                <w:vanish/>
              </w:rPr>
            </w:pPr>
          </w:p>
        </w:tc>
        <w:tc>
          <w:tcPr>
            <w:tcW w:w="0" w:type="auto"/>
            <w:gridSpan w:val="3"/>
            <w:shd w:val="clear" w:color="auto" w:fill="auto"/>
            <w:vAlign w:val="bottom"/>
          </w:tcPr>
          <w:p w14:paraId="71D45E98" w14:textId="77777777" w:rsidR="006A3667" w:rsidRDefault="006A3667">
            <w:pPr>
              <w:rPr>
                <w:rFonts w:ascii="宋体"/>
                <w:vanish/>
              </w:rPr>
            </w:pPr>
          </w:p>
        </w:tc>
        <w:tc>
          <w:tcPr>
            <w:tcW w:w="0" w:type="auto"/>
            <w:gridSpan w:val="3"/>
            <w:shd w:val="clear" w:color="auto" w:fill="auto"/>
            <w:vAlign w:val="bottom"/>
          </w:tcPr>
          <w:p w14:paraId="71D45E99" w14:textId="77777777" w:rsidR="006A3667" w:rsidRDefault="006A3667">
            <w:pPr>
              <w:rPr>
                <w:rFonts w:ascii="宋体"/>
                <w:vanish/>
              </w:rPr>
            </w:pPr>
          </w:p>
        </w:tc>
        <w:tc>
          <w:tcPr>
            <w:tcW w:w="0" w:type="auto"/>
            <w:gridSpan w:val="3"/>
            <w:shd w:val="clear" w:color="auto" w:fill="auto"/>
            <w:vAlign w:val="bottom"/>
          </w:tcPr>
          <w:p w14:paraId="71D45E9A" w14:textId="77777777" w:rsidR="006A3667" w:rsidRDefault="006A3667">
            <w:pPr>
              <w:rPr>
                <w:rFonts w:ascii="宋体"/>
                <w:vanish/>
              </w:rPr>
            </w:pPr>
          </w:p>
        </w:tc>
        <w:tc>
          <w:tcPr>
            <w:tcW w:w="0" w:type="auto"/>
            <w:gridSpan w:val="3"/>
            <w:shd w:val="clear" w:color="auto" w:fill="auto"/>
            <w:vAlign w:val="bottom"/>
          </w:tcPr>
          <w:p w14:paraId="71D45E9B" w14:textId="77777777" w:rsidR="006A3667" w:rsidRDefault="006A3667">
            <w:pPr>
              <w:rPr>
                <w:rFonts w:ascii="宋体"/>
                <w:vanish/>
              </w:rPr>
            </w:pPr>
          </w:p>
        </w:tc>
        <w:tc>
          <w:tcPr>
            <w:tcW w:w="0" w:type="auto"/>
            <w:gridSpan w:val="3"/>
            <w:shd w:val="clear" w:color="auto" w:fill="auto"/>
            <w:vAlign w:val="bottom"/>
          </w:tcPr>
          <w:p w14:paraId="71D45E9C" w14:textId="77777777" w:rsidR="006A3667" w:rsidRDefault="006A3667">
            <w:pPr>
              <w:rPr>
                <w:rFonts w:ascii="宋体"/>
                <w:vanish/>
              </w:rPr>
            </w:pPr>
          </w:p>
        </w:tc>
        <w:tc>
          <w:tcPr>
            <w:tcW w:w="0" w:type="auto"/>
            <w:gridSpan w:val="3"/>
            <w:shd w:val="clear" w:color="auto" w:fill="auto"/>
            <w:vAlign w:val="bottom"/>
          </w:tcPr>
          <w:p w14:paraId="71D45E9D" w14:textId="77777777" w:rsidR="006A3667" w:rsidRDefault="006A3667">
            <w:pPr>
              <w:rPr>
                <w:rFonts w:ascii="宋体"/>
                <w:vanish/>
              </w:rPr>
            </w:pPr>
          </w:p>
        </w:tc>
        <w:tc>
          <w:tcPr>
            <w:tcW w:w="0" w:type="auto"/>
            <w:gridSpan w:val="3"/>
            <w:shd w:val="clear" w:color="auto" w:fill="auto"/>
            <w:vAlign w:val="bottom"/>
          </w:tcPr>
          <w:p w14:paraId="71D45E9E" w14:textId="77777777" w:rsidR="006A3667" w:rsidRDefault="006A3667">
            <w:pPr>
              <w:rPr>
                <w:rFonts w:ascii="宋体"/>
                <w:vanish/>
              </w:rPr>
            </w:pPr>
          </w:p>
        </w:tc>
        <w:tc>
          <w:tcPr>
            <w:tcW w:w="0" w:type="auto"/>
            <w:gridSpan w:val="3"/>
            <w:shd w:val="clear" w:color="auto" w:fill="auto"/>
            <w:vAlign w:val="bottom"/>
          </w:tcPr>
          <w:p w14:paraId="71D45E9F" w14:textId="77777777" w:rsidR="006A3667" w:rsidRDefault="006A3667">
            <w:pPr>
              <w:rPr>
                <w:rFonts w:ascii="宋体"/>
                <w:vanish/>
              </w:rPr>
            </w:pPr>
          </w:p>
        </w:tc>
        <w:tc>
          <w:tcPr>
            <w:tcW w:w="0" w:type="auto"/>
            <w:gridSpan w:val="3"/>
            <w:shd w:val="clear" w:color="auto" w:fill="auto"/>
            <w:vAlign w:val="bottom"/>
          </w:tcPr>
          <w:p w14:paraId="71D45EA0" w14:textId="77777777" w:rsidR="006A3667" w:rsidRDefault="006A3667">
            <w:pPr>
              <w:rPr>
                <w:rFonts w:ascii="宋体"/>
                <w:vanish/>
              </w:rPr>
            </w:pPr>
          </w:p>
        </w:tc>
      </w:tr>
      <w:tr w:rsidR="006A3667" w14:paraId="71D45EB6" w14:textId="77777777">
        <w:tc>
          <w:tcPr>
            <w:tcW w:w="0" w:type="auto"/>
            <w:gridSpan w:val="3"/>
            <w:shd w:val="clear" w:color="auto" w:fill="FFFFFF"/>
            <w:tcMar>
              <w:top w:w="40" w:type="dxa"/>
              <w:left w:w="20" w:type="dxa"/>
              <w:bottom w:w="40" w:type="dxa"/>
              <w:right w:w="20" w:type="dxa"/>
            </w:tcMar>
            <w:vAlign w:val="bottom"/>
          </w:tcPr>
          <w:p w14:paraId="71D45EA2" w14:textId="77777777" w:rsidR="006A3667" w:rsidRDefault="00045F32">
            <w:pPr>
              <w:textAlignment w:val="bottom"/>
            </w:pPr>
            <w:r>
              <w:rPr>
                <w:rFonts w:ascii="Arial" w:eastAsia="宋体" w:hAnsi="Arial" w:cs="Arial"/>
                <w:color w:val="000000"/>
                <w:sz w:val="13"/>
                <w:szCs w:val="13"/>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A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A4"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A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A6"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A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A8"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AA"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A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AC"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A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AE"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A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B0"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B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B2"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B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5EB4"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5EB5" w14:textId="77777777" w:rsidR="006A3667" w:rsidRDefault="006A3667">
            <w:pPr>
              <w:rPr>
                <w:rFonts w:ascii="宋体"/>
              </w:rPr>
            </w:pPr>
          </w:p>
        </w:tc>
      </w:tr>
      <w:tr w:rsidR="006A3667" w14:paraId="71D45ECB" w14:textId="77777777">
        <w:trPr>
          <w:hidden/>
        </w:trPr>
        <w:tc>
          <w:tcPr>
            <w:tcW w:w="0" w:type="auto"/>
            <w:gridSpan w:val="3"/>
            <w:shd w:val="clear" w:color="auto" w:fill="auto"/>
            <w:vAlign w:val="bottom"/>
          </w:tcPr>
          <w:p w14:paraId="71D45EB7" w14:textId="77777777" w:rsidR="006A3667" w:rsidRDefault="006A3667">
            <w:pPr>
              <w:rPr>
                <w:rFonts w:ascii="宋体"/>
                <w:vanish/>
              </w:rPr>
            </w:pPr>
          </w:p>
        </w:tc>
        <w:tc>
          <w:tcPr>
            <w:tcW w:w="0" w:type="auto"/>
            <w:gridSpan w:val="3"/>
            <w:shd w:val="clear" w:color="auto" w:fill="auto"/>
            <w:vAlign w:val="bottom"/>
          </w:tcPr>
          <w:p w14:paraId="71D45EB8" w14:textId="77777777" w:rsidR="006A3667" w:rsidRDefault="006A3667">
            <w:pPr>
              <w:rPr>
                <w:rFonts w:ascii="宋体"/>
                <w:vanish/>
              </w:rPr>
            </w:pPr>
          </w:p>
        </w:tc>
        <w:tc>
          <w:tcPr>
            <w:tcW w:w="0" w:type="auto"/>
            <w:gridSpan w:val="3"/>
            <w:shd w:val="clear" w:color="auto" w:fill="auto"/>
            <w:vAlign w:val="bottom"/>
          </w:tcPr>
          <w:p w14:paraId="71D45EB9" w14:textId="77777777" w:rsidR="006A3667" w:rsidRDefault="006A3667">
            <w:pPr>
              <w:rPr>
                <w:rFonts w:ascii="宋体"/>
                <w:vanish/>
              </w:rPr>
            </w:pPr>
          </w:p>
        </w:tc>
        <w:tc>
          <w:tcPr>
            <w:tcW w:w="0" w:type="auto"/>
            <w:gridSpan w:val="3"/>
            <w:shd w:val="clear" w:color="auto" w:fill="auto"/>
            <w:vAlign w:val="bottom"/>
          </w:tcPr>
          <w:p w14:paraId="71D45EBA" w14:textId="77777777" w:rsidR="006A3667" w:rsidRDefault="006A3667">
            <w:pPr>
              <w:rPr>
                <w:rFonts w:ascii="宋体"/>
                <w:vanish/>
              </w:rPr>
            </w:pPr>
          </w:p>
        </w:tc>
        <w:tc>
          <w:tcPr>
            <w:tcW w:w="0" w:type="auto"/>
            <w:gridSpan w:val="3"/>
            <w:shd w:val="clear" w:color="auto" w:fill="auto"/>
            <w:vAlign w:val="bottom"/>
          </w:tcPr>
          <w:p w14:paraId="71D45EBB" w14:textId="77777777" w:rsidR="006A3667" w:rsidRDefault="006A3667">
            <w:pPr>
              <w:rPr>
                <w:rFonts w:ascii="宋体"/>
                <w:vanish/>
              </w:rPr>
            </w:pPr>
          </w:p>
        </w:tc>
        <w:tc>
          <w:tcPr>
            <w:tcW w:w="0" w:type="auto"/>
            <w:gridSpan w:val="3"/>
            <w:shd w:val="clear" w:color="auto" w:fill="auto"/>
            <w:vAlign w:val="bottom"/>
          </w:tcPr>
          <w:p w14:paraId="71D45EBC" w14:textId="77777777" w:rsidR="006A3667" w:rsidRDefault="006A3667">
            <w:pPr>
              <w:rPr>
                <w:rFonts w:ascii="宋体"/>
                <w:vanish/>
              </w:rPr>
            </w:pPr>
          </w:p>
        </w:tc>
        <w:tc>
          <w:tcPr>
            <w:tcW w:w="0" w:type="auto"/>
            <w:gridSpan w:val="3"/>
            <w:shd w:val="clear" w:color="auto" w:fill="auto"/>
            <w:vAlign w:val="bottom"/>
          </w:tcPr>
          <w:p w14:paraId="71D45EBD" w14:textId="77777777" w:rsidR="006A3667" w:rsidRDefault="006A3667">
            <w:pPr>
              <w:rPr>
                <w:rFonts w:ascii="宋体"/>
                <w:vanish/>
              </w:rPr>
            </w:pPr>
          </w:p>
        </w:tc>
        <w:tc>
          <w:tcPr>
            <w:tcW w:w="0" w:type="auto"/>
            <w:gridSpan w:val="3"/>
            <w:shd w:val="clear" w:color="auto" w:fill="auto"/>
            <w:vAlign w:val="bottom"/>
          </w:tcPr>
          <w:p w14:paraId="71D45EBE" w14:textId="77777777" w:rsidR="006A3667" w:rsidRDefault="006A3667">
            <w:pPr>
              <w:rPr>
                <w:rFonts w:ascii="宋体"/>
                <w:vanish/>
              </w:rPr>
            </w:pPr>
          </w:p>
        </w:tc>
        <w:tc>
          <w:tcPr>
            <w:tcW w:w="0" w:type="auto"/>
            <w:gridSpan w:val="3"/>
            <w:shd w:val="clear" w:color="auto" w:fill="auto"/>
            <w:vAlign w:val="bottom"/>
          </w:tcPr>
          <w:p w14:paraId="71D45EBF" w14:textId="77777777" w:rsidR="006A3667" w:rsidRDefault="006A3667">
            <w:pPr>
              <w:rPr>
                <w:rFonts w:ascii="宋体"/>
                <w:vanish/>
              </w:rPr>
            </w:pPr>
          </w:p>
        </w:tc>
        <w:tc>
          <w:tcPr>
            <w:tcW w:w="0" w:type="auto"/>
            <w:gridSpan w:val="3"/>
            <w:shd w:val="clear" w:color="auto" w:fill="auto"/>
            <w:vAlign w:val="bottom"/>
          </w:tcPr>
          <w:p w14:paraId="71D45EC0" w14:textId="77777777" w:rsidR="006A3667" w:rsidRDefault="006A3667">
            <w:pPr>
              <w:rPr>
                <w:rFonts w:ascii="宋体"/>
                <w:vanish/>
              </w:rPr>
            </w:pPr>
          </w:p>
        </w:tc>
        <w:tc>
          <w:tcPr>
            <w:tcW w:w="0" w:type="auto"/>
            <w:gridSpan w:val="3"/>
            <w:shd w:val="clear" w:color="auto" w:fill="auto"/>
            <w:vAlign w:val="bottom"/>
          </w:tcPr>
          <w:p w14:paraId="71D45EC1" w14:textId="77777777" w:rsidR="006A3667" w:rsidRDefault="006A3667">
            <w:pPr>
              <w:rPr>
                <w:rFonts w:ascii="宋体"/>
                <w:vanish/>
              </w:rPr>
            </w:pPr>
          </w:p>
        </w:tc>
        <w:tc>
          <w:tcPr>
            <w:tcW w:w="0" w:type="auto"/>
            <w:gridSpan w:val="3"/>
            <w:shd w:val="clear" w:color="auto" w:fill="auto"/>
            <w:vAlign w:val="bottom"/>
          </w:tcPr>
          <w:p w14:paraId="71D45EC2" w14:textId="77777777" w:rsidR="006A3667" w:rsidRDefault="006A3667">
            <w:pPr>
              <w:rPr>
                <w:rFonts w:ascii="宋体"/>
                <w:vanish/>
              </w:rPr>
            </w:pPr>
          </w:p>
        </w:tc>
        <w:tc>
          <w:tcPr>
            <w:tcW w:w="0" w:type="auto"/>
            <w:gridSpan w:val="3"/>
            <w:shd w:val="clear" w:color="auto" w:fill="auto"/>
            <w:vAlign w:val="bottom"/>
          </w:tcPr>
          <w:p w14:paraId="71D45EC3" w14:textId="77777777" w:rsidR="006A3667" w:rsidRDefault="006A3667">
            <w:pPr>
              <w:rPr>
                <w:rFonts w:ascii="宋体"/>
                <w:vanish/>
              </w:rPr>
            </w:pPr>
          </w:p>
        </w:tc>
        <w:tc>
          <w:tcPr>
            <w:tcW w:w="0" w:type="auto"/>
            <w:gridSpan w:val="3"/>
            <w:shd w:val="clear" w:color="auto" w:fill="auto"/>
            <w:vAlign w:val="bottom"/>
          </w:tcPr>
          <w:p w14:paraId="71D45EC4" w14:textId="77777777" w:rsidR="006A3667" w:rsidRDefault="006A3667">
            <w:pPr>
              <w:rPr>
                <w:rFonts w:ascii="宋体"/>
                <w:vanish/>
              </w:rPr>
            </w:pPr>
          </w:p>
        </w:tc>
        <w:tc>
          <w:tcPr>
            <w:tcW w:w="0" w:type="auto"/>
            <w:gridSpan w:val="3"/>
            <w:shd w:val="clear" w:color="auto" w:fill="auto"/>
            <w:vAlign w:val="bottom"/>
          </w:tcPr>
          <w:p w14:paraId="71D45EC5" w14:textId="77777777" w:rsidR="006A3667" w:rsidRDefault="006A3667">
            <w:pPr>
              <w:rPr>
                <w:rFonts w:ascii="宋体"/>
                <w:vanish/>
              </w:rPr>
            </w:pPr>
          </w:p>
        </w:tc>
        <w:tc>
          <w:tcPr>
            <w:tcW w:w="0" w:type="auto"/>
            <w:gridSpan w:val="3"/>
            <w:shd w:val="clear" w:color="auto" w:fill="auto"/>
            <w:vAlign w:val="bottom"/>
          </w:tcPr>
          <w:p w14:paraId="71D45EC6" w14:textId="77777777" w:rsidR="006A3667" w:rsidRDefault="006A3667">
            <w:pPr>
              <w:rPr>
                <w:rFonts w:ascii="宋体"/>
                <w:vanish/>
              </w:rPr>
            </w:pPr>
          </w:p>
        </w:tc>
        <w:tc>
          <w:tcPr>
            <w:tcW w:w="0" w:type="auto"/>
            <w:gridSpan w:val="3"/>
            <w:shd w:val="clear" w:color="auto" w:fill="auto"/>
            <w:vAlign w:val="bottom"/>
          </w:tcPr>
          <w:p w14:paraId="71D45EC7" w14:textId="77777777" w:rsidR="006A3667" w:rsidRDefault="006A3667">
            <w:pPr>
              <w:rPr>
                <w:rFonts w:ascii="宋体"/>
                <w:vanish/>
              </w:rPr>
            </w:pPr>
          </w:p>
        </w:tc>
        <w:tc>
          <w:tcPr>
            <w:tcW w:w="0" w:type="auto"/>
            <w:gridSpan w:val="3"/>
            <w:shd w:val="clear" w:color="auto" w:fill="auto"/>
            <w:vAlign w:val="bottom"/>
          </w:tcPr>
          <w:p w14:paraId="71D45EC8" w14:textId="77777777" w:rsidR="006A3667" w:rsidRDefault="006A3667">
            <w:pPr>
              <w:rPr>
                <w:rFonts w:ascii="宋体"/>
                <w:vanish/>
              </w:rPr>
            </w:pPr>
          </w:p>
        </w:tc>
        <w:tc>
          <w:tcPr>
            <w:tcW w:w="0" w:type="auto"/>
            <w:gridSpan w:val="3"/>
            <w:shd w:val="clear" w:color="auto" w:fill="auto"/>
            <w:vAlign w:val="bottom"/>
          </w:tcPr>
          <w:p w14:paraId="71D45EC9" w14:textId="77777777" w:rsidR="006A3667" w:rsidRDefault="006A3667">
            <w:pPr>
              <w:rPr>
                <w:rFonts w:ascii="宋体"/>
                <w:vanish/>
              </w:rPr>
            </w:pPr>
          </w:p>
        </w:tc>
        <w:tc>
          <w:tcPr>
            <w:tcW w:w="0" w:type="auto"/>
            <w:gridSpan w:val="3"/>
            <w:shd w:val="clear" w:color="auto" w:fill="auto"/>
            <w:vAlign w:val="bottom"/>
          </w:tcPr>
          <w:p w14:paraId="71D45ECA" w14:textId="77777777" w:rsidR="006A3667" w:rsidRDefault="006A3667">
            <w:pPr>
              <w:rPr>
                <w:rFonts w:ascii="宋体"/>
                <w:vanish/>
              </w:rPr>
            </w:pPr>
          </w:p>
        </w:tc>
      </w:tr>
      <w:tr w:rsidR="006A3667" w14:paraId="71D45EE0" w14:textId="77777777">
        <w:trPr>
          <w:hidden/>
        </w:trPr>
        <w:tc>
          <w:tcPr>
            <w:tcW w:w="0" w:type="auto"/>
            <w:gridSpan w:val="3"/>
            <w:shd w:val="clear" w:color="auto" w:fill="auto"/>
            <w:vAlign w:val="bottom"/>
          </w:tcPr>
          <w:p w14:paraId="71D45ECC" w14:textId="77777777" w:rsidR="006A3667" w:rsidRDefault="006A3667">
            <w:pPr>
              <w:rPr>
                <w:rFonts w:ascii="宋体"/>
                <w:vanish/>
              </w:rPr>
            </w:pPr>
          </w:p>
        </w:tc>
        <w:tc>
          <w:tcPr>
            <w:tcW w:w="0" w:type="auto"/>
            <w:gridSpan w:val="3"/>
            <w:shd w:val="clear" w:color="auto" w:fill="auto"/>
            <w:vAlign w:val="bottom"/>
          </w:tcPr>
          <w:p w14:paraId="71D45ECD" w14:textId="77777777" w:rsidR="006A3667" w:rsidRDefault="006A3667">
            <w:pPr>
              <w:rPr>
                <w:rFonts w:ascii="宋体"/>
                <w:vanish/>
              </w:rPr>
            </w:pPr>
          </w:p>
        </w:tc>
        <w:tc>
          <w:tcPr>
            <w:tcW w:w="0" w:type="auto"/>
            <w:gridSpan w:val="3"/>
            <w:shd w:val="clear" w:color="auto" w:fill="auto"/>
            <w:vAlign w:val="bottom"/>
          </w:tcPr>
          <w:p w14:paraId="71D45ECE" w14:textId="77777777" w:rsidR="006A3667" w:rsidRDefault="006A3667">
            <w:pPr>
              <w:rPr>
                <w:rFonts w:ascii="宋体"/>
                <w:vanish/>
              </w:rPr>
            </w:pPr>
          </w:p>
        </w:tc>
        <w:tc>
          <w:tcPr>
            <w:tcW w:w="0" w:type="auto"/>
            <w:gridSpan w:val="3"/>
            <w:shd w:val="clear" w:color="auto" w:fill="auto"/>
            <w:vAlign w:val="bottom"/>
          </w:tcPr>
          <w:p w14:paraId="71D45ECF" w14:textId="77777777" w:rsidR="006A3667" w:rsidRDefault="006A3667">
            <w:pPr>
              <w:rPr>
                <w:rFonts w:ascii="宋体"/>
                <w:vanish/>
              </w:rPr>
            </w:pPr>
          </w:p>
        </w:tc>
        <w:tc>
          <w:tcPr>
            <w:tcW w:w="0" w:type="auto"/>
            <w:gridSpan w:val="3"/>
            <w:shd w:val="clear" w:color="auto" w:fill="auto"/>
            <w:vAlign w:val="bottom"/>
          </w:tcPr>
          <w:p w14:paraId="71D45ED0" w14:textId="77777777" w:rsidR="006A3667" w:rsidRDefault="006A3667">
            <w:pPr>
              <w:rPr>
                <w:rFonts w:ascii="宋体"/>
                <w:vanish/>
              </w:rPr>
            </w:pPr>
          </w:p>
        </w:tc>
        <w:tc>
          <w:tcPr>
            <w:tcW w:w="0" w:type="auto"/>
            <w:gridSpan w:val="3"/>
            <w:shd w:val="clear" w:color="auto" w:fill="auto"/>
            <w:vAlign w:val="bottom"/>
          </w:tcPr>
          <w:p w14:paraId="71D45ED1" w14:textId="77777777" w:rsidR="006A3667" w:rsidRDefault="006A3667">
            <w:pPr>
              <w:rPr>
                <w:rFonts w:ascii="宋体"/>
                <w:vanish/>
              </w:rPr>
            </w:pPr>
          </w:p>
        </w:tc>
        <w:tc>
          <w:tcPr>
            <w:tcW w:w="0" w:type="auto"/>
            <w:gridSpan w:val="3"/>
            <w:shd w:val="clear" w:color="auto" w:fill="auto"/>
            <w:vAlign w:val="bottom"/>
          </w:tcPr>
          <w:p w14:paraId="71D45ED2" w14:textId="77777777" w:rsidR="006A3667" w:rsidRDefault="006A3667">
            <w:pPr>
              <w:rPr>
                <w:rFonts w:ascii="宋体"/>
                <w:vanish/>
              </w:rPr>
            </w:pPr>
          </w:p>
        </w:tc>
        <w:tc>
          <w:tcPr>
            <w:tcW w:w="0" w:type="auto"/>
            <w:gridSpan w:val="3"/>
            <w:shd w:val="clear" w:color="auto" w:fill="auto"/>
            <w:vAlign w:val="bottom"/>
          </w:tcPr>
          <w:p w14:paraId="71D45ED3" w14:textId="77777777" w:rsidR="006A3667" w:rsidRDefault="006A3667">
            <w:pPr>
              <w:rPr>
                <w:rFonts w:ascii="宋体"/>
                <w:vanish/>
              </w:rPr>
            </w:pPr>
          </w:p>
        </w:tc>
        <w:tc>
          <w:tcPr>
            <w:tcW w:w="0" w:type="auto"/>
            <w:gridSpan w:val="3"/>
            <w:shd w:val="clear" w:color="auto" w:fill="auto"/>
            <w:vAlign w:val="bottom"/>
          </w:tcPr>
          <w:p w14:paraId="71D45ED4" w14:textId="77777777" w:rsidR="006A3667" w:rsidRDefault="006A3667">
            <w:pPr>
              <w:rPr>
                <w:rFonts w:ascii="宋体"/>
                <w:vanish/>
              </w:rPr>
            </w:pPr>
          </w:p>
        </w:tc>
        <w:tc>
          <w:tcPr>
            <w:tcW w:w="0" w:type="auto"/>
            <w:gridSpan w:val="3"/>
            <w:shd w:val="clear" w:color="auto" w:fill="auto"/>
            <w:vAlign w:val="bottom"/>
          </w:tcPr>
          <w:p w14:paraId="71D45ED5" w14:textId="77777777" w:rsidR="006A3667" w:rsidRDefault="006A3667">
            <w:pPr>
              <w:rPr>
                <w:rFonts w:ascii="宋体"/>
                <w:vanish/>
              </w:rPr>
            </w:pPr>
          </w:p>
        </w:tc>
        <w:tc>
          <w:tcPr>
            <w:tcW w:w="0" w:type="auto"/>
            <w:gridSpan w:val="3"/>
            <w:shd w:val="clear" w:color="auto" w:fill="auto"/>
            <w:vAlign w:val="bottom"/>
          </w:tcPr>
          <w:p w14:paraId="71D45ED6" w14:textId="77777777" w:rsidR="006A3667" w:rsidRDefault="006A3667">
            <w:pPr>
              <w:rPr>
                <w:rFonts w:ascii="宋体"/>
                <w:vanish/>
              </w:rPr>
            </w:pPr>
          </w:p>
        </w:tc>
        <w:tc>
          <w:tcPr>
            <w:tcW w:w="0" w:type="auto"/>
            <w:gridSpan w:val="3"/>
            <w:shd w:val="clear" w:color="auto" w:fill="auto"/>
            <w:vAlign w:val="bottom"/>
          </w:tcPr>
          <w:p w14:paraId="71D45ED7" w14:textId="77777777" w:rsidR="006A3667" w:rsidRDefault="006A3667">
            <w:pPr>
              <w:rPr>
                <w:rFonts w:ascii="宋体"/>
                <w:vanish/>
              </w:rPr>
            </w:pPr>
          </w:p>
        </w:tc>
        <w:tc>
          <w:tcPr>
            <w:tcW w:w="0" w:type="auto"/>
            <w:gridSpan w:val="3"/>
            <w:shd w:val="clear" w:color="auto" w:fill="auto"/>
            <w:vAlign w:val="bottom"/>
          </w:tcPr>
          <w:p w14:paraId="71D45ED8" w14:textId="77777777" w:rsidR="006A3667" w:rsidRDefault="006A3667">
            <w:pPr>
              <w:rPr>
                <w:rFonts w:ascii="宋体"/>
                <w:vanish/>
              </w:rPr>
            </w:pPr>
          </w:p>
        </w:tc>
        <w:tc>
          <w:tcPr>
            <w:tcW w:w="0" w:type="auto"/>
            <w:gridSpan w:val="3"/>
            <w:shd w:val="clear" w:color="auto" w:fill="auto"/>
            <w:vAlign w:val="bottom"/>
          </w:tcPr>
          <w:p w14:paraId="71D45ED9" w14:textId="77777777" w:rsidR="006A3667" w:rsidRDefault="006A3667">
            <w:pPr>
              <w:rPr>
                <w:rFonts w:ascii="宋体"/>
                <w:vanish/>
              </w:rPr>
            </w:pPr>
          </w:p>
        </w:tc>
        <w:tc>
          <w:tcPr>
            <w:tcW w:w="0" w:type="auto"/>
            <w:gridSpan w:val="3"/>
            <w:shd w:val="clear" w:color="auto" w:fill="auto"/>
            <w:vAlign w:val="bottom"/>
          </w:tcPr>
          <w:p w14:paraId="71D45EDA" w14:textId="77777777" w:rsidR="006A3667" w:rsidRDefault="006A3667">
            <w:pPr>
              <w:rPr>
                <w:rFonts w:ascii="宋体"/>
                <w:vanish/>
              </w:rPr>
            </w:pPr>
          </w:p>
        </w:tc>
        <w:tc>
          <w:tcPr>
            <w:tcW w:w="0" w:type="auto"/>
            <w:gridSpan w:val="3"/>
            <w:shd w:val="clear" w:color="auto" w:fill="auto"/>
            <w:vAlign w:val="bottom"/>
          </w:tcPr>
          <w:p w14:paraId="71D45EDB" w14:textId="77777777" w:rsidR="006A3667" w:rsidRDefault="006A3667">
            <w:pPr>
              <w:rPr>
                <w:rFonts w:ascii="宋体"/>
                <w:vanish/>
              </w:rPr>
            </w:pPr>
          </w:p>
        </w:tc>
        <w:tc>
          <w:tcPr>
            <w:tcW w:w="0" w:type="auto"/>
            <w:gridSpan w:val="3"/>
            <w:shd w:val="clear" w:color="auto" w:fill="auto"/>
            <w:vAlign w:val="bottom"/>
          </w:tcPr>
          <w:p w14:paraId="71D45EDC" w14:textId="77777777" w:rsidR="006A3667" w:rsidRDefault="006A3667">
            <w:pPr>
              <w:rPr>
                <w:rFonts w:ascii="宋体"/>
                <w:vanish/>
              </w:rPr>
            </w:pPr>
          </w:p>
        </w:tc>
        <w:tc>
          <w:tcPr>
            <w:tcW w:w="0" w:type="auto"/>
            <w:gridSpan w:val="3"/>
            <w:shd w:val="clear" w:color="auto" w:fill="auto"/>
            <w:vAlign w:val="bottom"/>
          </w:tcPr>
          <w:p w14:paraId="71D45EDD" w14:textId="77777777" w:rsidR="006A3667" w:rsidRDefault="006A3667">
            <w:pPr>
              <w:rPr>
                <w:rFonts w:ascii="宋体"/>
                <w:vanish/>
              </w:rPr>
            </w:pPr>
          </w:p>
        </w:tc>
        <w:tc>
          <w:tcPr>
            <w:tcW w:w="0" w:type="auto"/>
            <w:gridSpan w:val="3"/>
            <w:shd w:val="clear" w:color="auto" w:fill="auto"/>
            <w:vAlign w:val="bottom"/>
          </w:tcPr>
          <w:p w14:paraId="71D45EDE" w14:textId="77777777" w:rsidR="006A3667" w:rsidRDefault="006A3667">
            <w:pPr>
              <w:rPr>
                <w:rFonts w:ascii="宋体"/>
                <w:vanish/>
              </w:rPr>
            </w:pPr>
          </w:p>
        </w:tc>
        <w:tc>
          <w:tcPr>
            <w:tcW w:w="0" w:type="auto"/>
            <w:gridSpan w:val="3"/>
            <w:shd w:val="clear" w:color="auto" w:fill="auto"/>
            <w:vAlign w:val="bottom"/>
          </w:tcPr>
          <w:p w14:paraId="71D45EDF" w14:textId="77777777" w:rsidR="006A3667" w:rsidRDefault="006A3667">
            <w:pPr>
              <w:rPr>
                <w:rFonts w:ascii="宋体"/>
                <w:vanish/>
              </w:rPr>
            </w:pPr>
          </w:p>
        </w:tc>
      </w:tr>
      <w:tr w:rsidR="006A3667" w14:paraId="71D45EFF" w14:textId="77777777">
        <w:tc>
          <w:tcPr>
            <w:tcW w:w="0" w:type="auto"/>
            <w:gridSpan w:val="3"/>
            <w:shd w:val="clear" w:color="auto" w:fill="CCEEFF"/>
            <w:tcMar>
              <w:top w:w="40" w:type="dxa"/>
              <w:left w:w="245" w:type="dxa"/>
              <w:bottom w:w="40" w:type="dxa"/>
              <w:right w:w="20" w:type="dxa"/>
            </w:tcMar>
            <w:vAlign w:val="bottom"/>
          </w:tcPr>
          <w:p w14:paraId="71D45EE1" w14:textId="77777777" w:rsidR="006A3667" w:rsidRDefault="00045F32">
            <w:pPr>
              <w:textAlignment w:val="bottom"/>
            </w:pPr>
            <w:r>
              <w:rPr>
                <w:rFonts w:ascii="Arial" w:eastAsia="宋体" w:hAnsi="Arial" w:cs="Arial"/>
                <w:color w:val="000000"/>
                <w:sz w:val="13"/>
                <w:szCs w:val="13"/>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71D45EE2" w14:textId="77777777" w:rsidR="006A3667" w:rsidRDefault="00045F32">
            <w:pPr>
              <w:jc w:val="right"/>
              <w:textAlignment w:val="bottom"/>
            </w:pPr>
            <w:r>
              <w:rPr>
                <w:rFonts w:ascii="Arial" w:eastAsia="宋体" w:hAnsi="Arial" w:cs="Arial"/>
                <w:b/>
                <w:bCs/>
                <w:color w:val="000000"/>
                <w:sz w:val="13"/>
                <w:szCs w:val="13"/>
              </w:rPr>
              <w:t>638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E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E5" w14:textId="77777777" w:rsidR="006A3667" w:rsidRDefault="00045F32">
            <w:pPr>
              <w:jc w:val="right"/>
              <w:textAlignment w:val="bottom"/>
            </w:pPr>
            <w:r>
              <w:rPr>
                <w:rFonts w:ascii="Arial" w:eastAsia="宋体" w:hAnsi="Arial" w:cs="Arial"/>
                <w:b/>
                <w:bCs/>
                <w:color w:val="000000"/>
                <w:sz w:val="13"/>
                <w:szCs w:val="13"/>
              </w:rPr>
              <w:t>632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E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E8" w14:textId="77777777" w:rsidR="006A3667" w:rsidRDefault="00045F32">
            <w:pPr>
              <w:jc w:val="right"/>
              <w:textAlignment w:val="bottom"/>
            </w:pPr>
            <w:r>
              <w:rPr>
                <w:rFonts w:ascii="Arial" w:eastAsia="宋体" w:hAnsi="Arial" w:cs="Arial"/>
                <w:b/>
                <w:bCs/>
                <w:color w:val="000000"/>
                <w:sz w:val="13"/>
                <w:szCs w:val="13"/>
              </w:rPr>
              <w:t>4,945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E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E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EB" w14:textId="77777777" w:rsidR="006A3667" w:rsidRDefault="00045F32">
            <w:pPr>
              <w:jc w:val="right"/>
              <w:textAlignment w:val="bottom"/>
            </w:pPr>
            <w:r>
              <w:rPr>
                <w:rFonts w:ascii="Arial" w:eastAsia="宋体" w:hAnsi="Arial" w:cs="Arial"/>
                <w:b/>
                <w:bCs/>
                <w:color w:val="000000"/>
                <w:sz w:val="13"/>
                <w:szCs w:val="13"/>
              </w:rPr>
              <w:t>4,722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E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E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EE" w14:textId="77777777" w:rsidR="006A3667" w:rsidRDefault="00045F32">
            <w:pPr>
              <w:jc w:val="right"/>
              <w:textAlignment w:val="bottom"/>
            </w:pPr>
            <w:r>
              <w:rPr>
                <w:rFonts w:ascii="Arial" w:eastAsia="宋体" w:hAnsi="Arial" w:cs="Arial"/>
                <w:b/>
                <w:bCs/>
                <w:color w:val="000000"/>
                <w:sz w:val="13"/>
                <w:szCs w:val="13"/>
              </w:rPr>
              <w:t>558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F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F1" w14:textId="77777777" w:rsidR="006A3667" w:rsidRDefault="00045F32">
            <w:pPr>
              <w:jc w:val="right"/>
              <w:textAlignment w:val="bottom"/>
            </w:pPr>
            <w:r>
              <w:rPr>
                <w:rFonts w:ascii="Arial" w:eastAsia="宋体" w:hAnsi="Arial" w:cs="Arial"/>
                <w:b/>
                <w:bCs/>
                <w:color w:val="000000"/>
                <w:sz w:val="13"/>
                <w:szCs w:val="13"/>
              </w:rPr>
              <w:t>519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F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F4"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F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F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F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FA" w14:textId="77777777" w:rsidR="006A3667" w:rsidRDefault="00045F32">
            <w:pPr>
              <w:jc w:val="right"/>
              <w:textAlignment w:val="bottom"/>
            </w:pPr>
            <w:r>
              <w:rPr>
                <w:rFonts w:ascii="Arial" w:eastAsia="宋体" w:hAnsi="Arial" w:cs="Arial"/>
                <w:b/>
                <w:bCs/>
                <w:color w:val="000000"/>
                <w:sz w:val="13"/>
                <w:szCs w:val="13"/>
              </w:rPr>
              <w:t>6,141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EF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EFD" w14:textId="77777777" w:rsidR="006A3667" w:rsidRDefault="00045F32">
            <w:pPr>
              <w:jc w:val="right"/>
              <w:textAlignment w:val="bottom"/>
            </w:pPr>
            <w:r>
              <w:rPr>
                <w:rFonts w:ascii="Arial" w:eastAsia="宋体" w:hAnsi="Arial" w:cs="Arial"/>
                <w:b/>
                <w:bCs/>
                <w:color w:val="000000"/>
                <w:sz w:val="13"/>
                <w:szCs w:val="13"/>
              </w:rPr>
              <w:t>5,873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EFE" w14:textId="77777777" w:rsidR="006A3667" w:rsidRDefault="006A3667">
            <w:pPr>
              <w:jc w:val="right"/>
              <w:rPr>
                <w:rFonts w:ascii="宋体"/>
              </w:rPr>
            </w:pPr>
          </w:p>
        </w:tc>
      </w:tr>
      <w:tr w:rsidR="006A3667" w14:paraId="71D45F14" w14:textId="77777777">
        <w:trPr>
          <w:hidden/>
        </w:trPr>
        <w:tc>
          <w:tcPr>
            <w:tcW w:w="0" w:type="auto"/>
            <w:gridSpan w:val="3"/>
            <w:shd w:val="clear" w:color="auto" w:fill="auto"/>
            <w:vAlign w:val="bottom"/>
          </w:tcPr>
          <w:p w14:paraId="71D45F00" w14:textId="77777777" w:rsidR="006A3667" w:rsidRDefault="006A3667">
            <w:pPr>
              <w:rPr>
                <w:rFonts w:ascii="宋体"/>
                <w:vanish/>
              </w:rPr>
            </w:pPr>
          </w:p>
        </w:tc>
        <w:tc>
          <w:tcPr>
            <w:tcW w:w="0" w:type="auto"/>
            <w:gridSpan w:val="3"/>
            <w:shd w:val="clear" w:color="auto" w:fill="auto"/>
            <w:vAlign w:val="bottom"/>
          </w:tcPr>
          <w:p w14:paraId="71D45F01" w14:textId="77777777" w:rsidR="006A3667" w:rsidRDefault="006A3667">
            <w:pPr>
              <w:rPr>
                <w:rFonts w:ascii="宋体"/>
                <w:vanish/>
              </w:rPr>
            </w:pPr>
          </w:p>
        </w:tc>
        <w:tc>
          <w:tcPr>
            <w:tcW w:w="0" w:type="auto"/>
            <w:gridSpan w:val="3"/>
            <w:shd w:val="clear" w:color="auto" w:fill="auto"/>
            <w:vAlign w:val="bottom"/>
          </w:tcPr>
          <w:p w14:paraId="71D45F02" w14:textId="77777777" w:rsidR="006A3667" w:rsidRDefault="006A3667">
            <w:pPr>
              <w:rPr>
                <w:rFonts w:ascii="宋体"/>
                <w:vanish/>
              </w:rPr>
            </w:pPr>
          </w:p>
        </w:tc>
        <w:tc>
          <w:tcPr>
            <w:tcW w:w="0" w:type="auto"/>
            <w:gridSpan w:val="3"/>
            <w:shd w:val="clear" w:color="auto" w:fill="auto"/>
            <w:vAlign w:val="bottom"/>
          </w:tcPr>
          <w:p w14:paraId="71D45F03" w14:textId="77777777" w:rsidR="006A3667" w:rsidRDefault="006A3667">
            <w:pPr>
              <w:rPr>
                <w:rFonts w:ascii="宋体"/>
                <w:vanish/>
              </w:rPr>
            </w:pPr>
          </w:p>
        </w:tc>
        <w:tc>
          <w:tcPr>
            <w:tcW w:w="0" w:type="auto"/>
            <w:gridSpan w:val="3"/>
            <w:shd w:val="clear" w:color="auto" w:fill="auto"/>
            <w:vAlign w:val="bottom"/>
          </w:tcPr>
          <w:p w14:paraId="71D45F04" w14:textId="77777777" w:rsidR="006A3667" w:rsidRDefault="006A3667">
            <w:pPr>
              <w:rPr>
                <w:rFonts w:ascii="宋体"/>
                <w:vanish/>
              </w:rPr>
            </w:pPr>
          </w:p>
        </w:tc>
        <w:tc>
          <w:tcPr>
            <w:tcW w:w="0" w:type="auto"/>
            <w:gridSpan w:val="3"/>
            <w:shd w:val="clear" w:color="auto" w:fill="auto"/>
            <w:vAlign w:val="bottom"/>
          </w:tcPr>
          <w:p w14:paraId="71D45F05" w14:textId="77777777" w:rsidR="006A3667" w:rsidRDefault="006A3667">
            <w:pPr>
              <w:rPr>
                <w:rFonts w:ascii="宋体"/>
                <w:vanish/>
              </w:rPr>
            </w:pPr>
          </w:p>
        </w:tc>
        <w:tc>
          <w:tcPr>
            <w:tcW w:w="0" w:type="auto"/>
            <w:gridSpan w:val="3"/>
            <w:shd w:val="clear" w:color="auto" w:fill="auto"/>
            <w:vAlign w:val="bottom"/>
          </w:tcPr>
          <w:p w14:paraId="71D45F06" w14:textId="77777777" w:rsidR="006A3667" w:rsidRDefault="006A3667">
            <w:pPr>
              <w:rPr>
                <w:rFonts w:ascii="宋体"/>
                <w:vanish/>
              </w:rPr>
            </w:pPr>
          </w:p>
        </w:tc>
        <w:tc>
          <w:tcPr>
            <w:tcW w:w="0" w:type="auto"/>
            <w:gridSpan w:val="3"/>
            <w:shd w:val="clear" w:color="auto" w:fill="auto"/>
            <w:vAlign w:val="bottom"/>
          </w:tcPr>
          <w:p w14:paraId="71D45F07" w14:textId="77777777" w:rsidR="006A3667" w:rsidRDefault="006A3667">
            <w:pPr>
              <w:rPr>
                <w:rFonts w:ascii="宋体"/>
                <w:vanish/>
              </w:rPr>
            </w:pPr>
          </w:p>
        </w:tc>
        <w:tc>
          <w:tcPr>
            <w:tcW w:w="0" w:type="auto"/>
            <w:gridSpan w:val="3"/>
            <w:shd w:val="clear" w:color="auto" w:fill="auto"/>
            <w:vAlign w:val="bottom"/>
          </w:tcPr>
          <w:p w14:paraId="71D45F08" w14:textId="77777777" w:rsidR="006A3667" w:rsidRDefault="006A3667">
            <w:pPr>
              <w:rPr>
                <w:rFonts w:ascii="宋体"/>
                <w:vanish/>
              </w:rPr>
            </w:pPr>
          </w:p>
        </w:tc>
        <w:tc>
          <w:tcPr>
            <w:tcW w:w="0" w:type="auto"/>
            <w:gridSpan w:val="3"/>
            <w:shd w:val="clear" w:color="auto" w:fill="auto"/>
            <w:vAlign w:val="bottom"/>
          </w:tcPr>
          <w:p w14:paraId="71D45F09" w14:textId="77777777" w:rsidR="006A3667" w:rsidRDefault="006A3667">
            <w:pPr>
              <w:rPr>
                <w:rFonts w:ascii="宋体"/>
                <w:vanish/>
              </w:rPr>
            </w:pPr>
          </w:p>
        </w:tc>
        <w:tc>
          <w:tcPr>
            <w:tcW w:w="0" w:type="auto"/>
            <w:gridSpan w:val="3"/>
            <w:shd w:val="clear" w:color="auto" w:fill="auto"/>
            <w:vAlign w:val="bottom"/>
          </w:tcPr>
          <w:p w14:paraId="71D45F0A" w14:textId="77777777" w:rsidR="006A3667" w:rsidRDefault="006A3667">
            <w:pPr>
              <w:rPr>
                <w:rFonts w:ascii="宋体"/>
                <w:vanish/>
              </w:rPr>
            </w:pPr>
          </w:p>
        </w:tc>
        <w:tc>
          <w:tcPr>
            <w:tcW w:w="0" w:type="auto"/>
            <w:gridSpan w:val="3"/>
            <w:shd w:val="clear" w:color="auto" w:fill="auto"/>
            <w:vAlign w:val="bottom"/>
          </w:tcPr>
          <w:p w14:paraId="71D45F0B" w14:textId="77777777" w:rsidR="006A3667" w:rsidRDefault="006A3667">
            <w:pPr>
              <w:rPr>
                <w:rFonts w:ascii="宋体"/>
                <w:vanish/>
              </w:rPr>
            </w:pPr>
          </w:p>
        </w:tc>
        <w:tc>
          <w:tcPr>
            <w:tcW w:w="0" w:type="auto"/>
            <w:gridSpan w:val="3"/>
            <w:shd w:val="clear" w:color="auto" w:fill="auto"/>
            <w:vAlign w:val="bottom"/>
          </w:tcPr>
          <w:p w14:paraId="71D45F0C" w14:textId="77777777" w:rsidR="006A3667" w:rsidRDefault="006A3667">
            <w:pPr>
              <w:rPr>
                <w:rFonts w:ascii="宋体"/>
                <w:vanish/>
              </w:rPr>
            </w:pPr>
          </w:p>
        </w:tc>
        <w:tc>
          <w:tcPr>
            <w:tcW w:w="0" w:type="auto"/>
            <w:gridSpan w:val="3"/>
            <w:shd w:val="clear" w:color="auto" w:fill="auto"/>
            <w:vAlign w:val="bottom"/>
          </w:tcPr>
          <w:p w14:paraId="71D45F0D" w14:textId="77777777" w:rsidR="006A3667" w:rsidRDefault="006A3667">
            <w:pPr>
              <w:rPr>
                <w:rFonts w:ascii="宋体"/>
                <w:vanish/>
              </w:rPr>
            </w:pPr>
          </w:p>
        </w:tc>
        <w:tc>
          <w:tcPr>
            <w:tcW w:w="0" w:type="auto"/>
            <w:gridSpan w:val="3"/>
            <w:shd w:val="clear" w:color="auto" w:fill="auto"/>
            <w:vAlign w:val="bottom"/>
          </w:tcPr>
          <w:p w14:paraId="71D45F0E" w14:textId="77777777" w:rsidR="006A3667" w:rsidRDefault="006A3667">
            <w:pPr>
              <w:rPr>
                <w:rFonts w:ascii="宋体"/>
                <w:vanish/>
              </w:rPr>
            </w:pPr>
          </w:p>
        </w:tc>
        <w:tc>
          <w:tcPr>
            <w:tcW w:w="0" w:type="auto"/>
            <w:gridSpan w:val="3"/>
            <w:shd w:val="clear" w:color="auto" w:fill="auto"/>
            <w:vAlign w:val="bottom"/>
          </w:tcPr>
          <w:p w14:paraId="71D45F0F" w14:textId="77777777" w:rsidR="006A3667" w:rsidRDefault="006A3667">
            <w:pPr>
              <w:rPr>
                <w:rFonts w:ascii="宋体"/>
                <w:vanish/>
              </w:rPr>
            </w:pPr>
          </w:p>
        </w:tc>
        <w:tc>
          <w:tcPr>
            <w:tcW w:w="0" w:type="auto"/>
            <w:gridSpan w:val="3"/>
            <w:shd w:val="clear" w:color="auto" w:fill="auto"/>
            <w:vAlign w:val="bottom"/>
          </w:tcPr>
          <w:p w14:paraId="71D45F10" w14:textId="77777777" w:rsidR="006A3667" w:rsidRDefault="006A3667">
            <w:pPr>
              <w:rPr>
                <w:rFonts w:ascii="宋体"/>
                <w:vanish/>
              </w:rPr>
            </w:pPr>
          </w:p>
        </w:tc>
        <w:tc>
          <w:tcPr>
            <w:tcW w:w="0" w:type="auto"/>
            <w:gridSpan w:val="3"/>
            <w:shd w:val="clear" w:color="auto" w:fill="auto"/>
            <w:vAlign w:val="bottom"/>
          </w:tcPr>
          <w:p w14:paraId="71D45F11" w14:textId="77777777" w:rsidR="006A3667" w:rsidRDefault="006A3667">
            <w:pPr>
              <w:rPr>
                <w:rFonts w:ascii="宋体"/>
                <w:vanish/>
              </w:rPr>
            </w:pPr>
          </w:p>
        </w:tc>
        <w:tc>
          <w:tcPr>
            <w:tcW w:w="0" w:type="auto"/>
            <w:gridSpan w:val="3"/>
            <w:shd w:val="clear" w:color="auto" w:fill="auto"/>
            <w:vAlign w:val="bottom"/>
          </w:tcPr>
          <w:p w14:paraId="71D45F12" w14:textId="77777777" w:rsidR="006A3667" w:rsidRDefault="006A3667">
            <w:pPr>
              <w:rPr>
                <w:rFonts w:ascii="宋体"/>
                <w:vanish/>
              </w:rPr>
            </w:pPr>
          </w:p>
        </w:tc>
        <w:tc>
          <w:tcPr>
            <w:tcW w:w="0" w:type="auto"/>
            <w:gridSpan w:val="3"/>
            <w:shd w:val="clear" w:color="auto" w:fill="auto"/>
            <w:vAlign w:val="bottom"/>
          </w:tcPr>
          <w:p w14:paraId="71D45F13" w14:textId="77777777" w:rsidR="006A3667" w:rsidRDefault="006A3667">
            <w:pPr>
              <w:rPr>
                <w:rFonts w:ascii="宋体"/>
                <w:vanish/>
              </w:rPr>
            </w:pPr>
          </w:p>
        </w:tc>
      </w:tr>
      <w:tr w:rsidR="006A3667" w14:paraId="71D45F33" w14:textId="77777777">
        <w:tc>
          <w:tcPr>
            <w:tcW w:w="0" w:type="auto"/>
            <w:gridSpan w:val="3"/>
            <w:shd w:val="clear" w:color="auto" w:fill="FFFFFF"/>
            <w:tcMar>
              <w:top w:w="40" w:type="dxa"/>
              <w:left w:w="395" w:type="dxa"/>
              <w:bottom w:w="40" w:type="dxa"/>
              <w:right w:w="20" w:type="dxa"/>
            </w:tcMar>
            <w:vAlign w:val="bottom"/>
          </w:tcPr>
          <w:p w14:paraId="71D45F15" w14:textId="77777777" w:rsidR="006A3667" w:rsidRDefault="00045F32">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16" w14:textId="77777777" w:rsidR="006A3667" w:rsidRDefault="00045F32">
            <w:pPr>
              <w:jc w:val="right"/>
              <w:textAlignment w:val="bottom"/>
            </w:pPr>
            <w:r>
              <w:rPr>
                <w:rFonts w:ascii="Arial" w:eastAsia="宋体" w:hAnsi="Arial" w:cs="Arial"/>
                <w:b/>
                <w:bCs/>
                <w:color w:val="000000"/>
                <w:sz w:val="13"/>
                <w:szCs w:val="13"/>
              </w:rPr>
              <w:t>638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1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19" w14:textId="77777777" w:rsidR="006A3667" w:rsidRDefault="00045F32">
            <w:pPr>
              <w:jc w:val="right"/>
              <w:textAlignment w:val="bottom"/>
            </w:pPr>
            <w:r>
              <w:rPr>
                <w:rFonts w:ascii="Arial" w:eastAsia="宋体" w:hAnsi="Arial" w:cs="Arial"/>
                <w:b/>
                <w:bCs/>
                <w:color w:val="000000"/>
                <w:sz w:val="13"/>
                <w:szCs w:val="13"/>
              </w:rPr>
              <w:t>632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1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1C" w14:textId="77777777" w:rsidR="006A3667" w:rsidRDefault="00045F32">
            <w:pPr>
              <w:jc w:val="right"/>
              <w:textAlignment w:val="bottom"/>
            </w:pPr>
            <w:r>
              <w:rPr>
                <w:rFonts w:ascii="Arial" w:eastAsia="宋体" w:hAnsi="Arial" w:cs="Arial"/>
                <w:b/>
                <w:bCs/>
                <w:color w:val="000000"/>
                <w:sz w:val="13"/>
                <w:szCs w:val="13"/>
              </w:rPr>
              <w:t>4,945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1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1F" w14:textId="77777777" w:rsidR="006A3667" w:rsidRDefault="00045F32">
            <w:pPr>
              <w:jc w:val="right"/>
              <w:textAlignment w:val="bottom"/>
            </w:pPr>
            <w:r>
              <w:rPr>
                <w:rFonts w:ascii="Arial" w:eastAsia="宋体" w:hAnsi="Arial" w:cs="Arial"/>
                <w:b/>
                <w:bCs/>
                <w:color w:val="000000"/>
                <w:sz w:val="13"/>
                <w:szCs w:val="13"/>
              </w:rPr>
              <w:t>4,722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2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2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22" w14:textId="77777777" w:rsidR="006A3667" w:rsidRDefault="00045F32">
            <w:pPr>
              <w:jc w:val="right"/>
              <w:textAlignment w:val="bottom"/>
            </w:pPr>
            <w:r>
              <w:rPr>
                <w:rFonts w:ascii="Arial" w:eastAsia="宋体" w:hAnsi="Arial" w:cs="Arial"/>
                <w:b/>
                <w:bCs/>
                <w:color w:val="000000"/>
                <w:sz w:val="13"/>
                <w:szCs w:val="13"/>
              </w:rPr>
              <w:t>558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2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25" w14:textId="77777777" w:rsidR="006A3667" w:rsidRDefault="00045F32">
            <w:pPr>
              <w:jc w:val="right"/>
              <w:textAlignment w:val="bottom"/>
            </w:pPr>
            <w:r>
              <w:rPr>
                <w:rFonts w:ascii="Arial" w:eastAsia="宋体" w:hAnsi="Arial" w:cs="Arial"/>
                <w:b/>
                <w:bCs/>
                <w:color w:val="000000"/>
                <w:sz w:val="13"/>
                <w:szCs w:val="13"/>
              </w:rPr>
              <w:t>519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2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28"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2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2B"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2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2E" w14:textId="77777777" w:rsidR="006A3667" w:rsidRDefault="00045F32">
            <w:pPr>
              <w:jc w:val="right"/>
              <w:textAlignment w:val="bottom"/>
            </w:pPr>
            <w:r>
              <w:rPr>
                <w:rFonts w:ascii="Arial" w:eastAsia="宋体" w:hAnsi="Arial" w:cs="Arial"/>
                <w:b/>
                <w:bCs/>
                <w:color w:val="000000"/>
                <w:sz w:val="13"/>
                <w:szCs w:val="13"/>
              </w:rPr>
              <w:t>6,141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3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31" w14:textId="77777777" w:rsidR="006A3667" w:rsidRDefault="00045F32">
            <w:pPr>
              <w:jc w:val="right"/>
              <w:textAlignment w:val="bottom"/>
            </w:pPr>
            <w:r>
              <w:rPr>
                <w:rFonts w:ascii="Arial" w:eastAsia="宋体" w:hAnsi="Arial" w:cs="Arial"/>
                <w:b/>
                <w:bCs/>
                <w:color w:val="000000"/>
                <w:sz w:val="13"/>
                <w:szCs w:val="13"/>
              </w:rPr>
              <w:t>5,873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32" w14:textId="77777777" w:rsidR="006A3667" w:rsidRDefault="006A3667">
            <w:pPr>
              <w:jc w:val="right"/>
              <w:rPr>
                <w:rFonts w:ascii="宋体"/>
              </w:rPr>
            </w:pPr>
          </w:p>
        </w:tc>
      </w:tr>
      <w:tr w:rsidR="006A3667" w14:paraId="71D45F48" w14:textId="77777777">
        <w:trPr>
          <w:hidden/>
        </w:trPr>
        <w:tc>
          <w:tcPr>
            <w:tcW w:w="0" w:type="auto"/>
            <w:gridSpan w:val="3"/>
            <w:shd w:val="clear" w:color="auto" w:fill="auto"/>
            <w:vAlign w:val="bottom"/>
          </w:tcPr>
          <w:p w14:paraId="71D45F34" w14:textId="77777777" w:rsidR="006A3667" w:rsidRDefault="006A3667">
            <w:pPr>
              <w:rPr>
                <w:rFonts w:ascii="宋体"/>
                <w:vanish/>
              </w:rPr>
            </w:pPr>
          </w:p>
        </w:tc>
        <w:tc>
          <w:tcPr>
            <w:tcW w:w="0" w:type="auto"/>
            <w:gridSpan w:val="3"/>
            <w:shd w:val="clear" w:color="auto" w:fill="auto"/>
            <w:vAlign w:val="bottom"/>
          </w:tcPr>
          <w:p w14:paraId="71D45F35" w14:textId="77777777" w:rsidR="006A3667" w:rsidRDefault="006A3667">
            <w:pPr>
              <w:rPr>
                <w:rFonts w:ascii="宋体"/>
                <w:vanish/>
              </w:rPr>
            </w:pPr>
          </w:p>
        </w:tc>
        <w:tc>
          <w:tcPr>
            <w:tcW w:w="0" w:type="auto"/>
            <w:gridSpan w:val="3"/>
            <w:shd w:val="clear" w:color="auto" w:fill="auto"/>
            <w:vAlign w:val="bottom"/>
          </w:tcPr>
          <w:p w14:paraId="71D45F36" w14:textId="77777777" w:rsidR="006A3667" w:rsidRDefault="006A3667">
            <w:pPr>
              <w:rPr>
                <w:rFonts w:ascii="宋体"/>
                <w:vanish/>
              </w:rPr>
            </w:pPr>
          </w:p>
        </w:tc>
        <w:tc>
          <w:tcPr>
            <w:tcW w:w="0" w:type="auto"/>
            <w:gridSpan w:val="3"/>
            <w:shd w:val="clear" w:color="auto" w:fill="auto"/>
            <w:vAlign w:val="bottom"/>
          </w:tcPr>
          <w:p w14:paraId="71D45F37" w14:textId="77777777" w:rsidR="006A3667" w:rsidRDefault="006A3667">
            <w:pPr>
              <w:rPr>
                <w:rFonts w:ascii="宋体"/>
                <w:vanish/>
              </w:rPr>
            </w:pPr>
          </w:p>
        </w:tc>
        <w:tc>
          <w:tcPr>
            <w:tcW w:w="0" w:type="auto"/>
            <w:gridSpan w:val="3"/>
            <w:shd w:val="clear" w:color="auto" w:fill="auto"/>
            <w:vAlign w:val="bottom"/>
          </w:tcPr>
          <w:p w14:paraId="71D45F38" w14:textId="77777777" w:rsidR="006A3667" w:rsidRDefault="006A3667">
            <w:pPr>
              <w:rPr>
                <w:rFonts w:ascii="宋体"/>
                <w:vanish/>
              </w:rPr>
            </w:pPr>
          </w:p>
        </w:tc>
        <w:tc>
          <w:tcPr>
            <w:tcW w:w="0" w:type="auto"/>
            <w:gridSpan w:val="3"/>
            <w:shd w:val="clear" w:color="auto" w:fill="auto"/>
            <w:vAlign w:val="bottom"/>
          </w:tcPr>
          <w:p w14:paraId="71D45F39" w14:textId="77777777" w:rsidR="006A3667" w:rsidRDefault="006A3667">
            <w:pPr>
              <w:rPr>
                <w:rFonts w:ascii="宋体"/>
                <w:vanish/>
              </w:rPr>
            </w:pPr>
          </w:p>
        </w:tc>
        <w:tc>
          <w:tcPr>
            <w:tcW w:w="0" w:type="auto"/>
            <w:gridSpan w:val="3"/>
            <w:shd w:val="clear" w:color="auto" w:fill="auto"/>
            <w:vAlign w:val="bottom"/>
          </w:tcPr>
          <w:p w14:paraId="71D45F3A" w14:textId="77777777" w:rsidR="006A3667" w:rsidRDefault="006A3667">
            <w:pPr>
              <w:rPr>
                <w:rFonts w:ascii="宋体"/>
                <w:vanish/>
              </w:rPr>
            </w:pPr>
          </w:p>
        </w:tc>
        <w:tc>
          <w:tcPr>
            <w:tcW w:w="0" w:type="auto"/>
            <w:gridSpan w:val="3"/>
            <w:shd w:val="clear" w:color="auto" w:fill="auto"/>
            <w:vAlign w:val="bottom"/>
          </w:tcPr>
          <w:p w14:paraId="71D45F3B" w14:textId="77777777" w:rsidR="006A3667" w:rsidRDefault="006A3667">
            <w:pPr>
              <w:rPr>
                <w:rFonts w:ascii="宋体"/>
                <w:vanish/>
              </w:rPr>
            </w:pPr>
          </w:p>
        </w:tc>
        <w:tc>
          <w:tcPr>
            <w:tcW w:w="0" w:type="auto"/>
            <w:gridSpan w:val="3"/>
            <w:shd w:val="clear" w:color="auto" w:fill="auto"/>
            <w:vAlign w:val="bottom"/>
          </w:tcPr>
          <w:p w14:paraId="71D45F3C" w14:textId="77777777" w:rsidR="006A3667" w:rsidRDefault="006A3667">
            <w:pPr>
              <w:rPr>
                <w:rFonts w:ascii="宋体"/>
                <w:vanish/>
              </w:rPr>
            </w:pPr>
          </w:p>
        </w:tc>
        <w:tc>
          <w:tcPr>
            <w:tcW w:w="0" w:type="auto"/>
            <w:gridSpan w:val="3"/>
            <w:shd w:val="clear" w:color="auto" w:fill="auto"/>
            <w:vAlign w:val="bottom"/>
          </w:tcPr>
          <w:p w14:paraId="71D45F3D" w14:textId="77777777" w:rsidR="006A3667" w:rsidRDefault="006A3667">
            <w:pPr>
              <w:rPr>
                <w:rFonts w:ascii="宋体"/>
                <w:vanish/>
              </w:rPr>
            </w:pPr>
          </w:p>
        </w:tc>
        <w:tc>
          <w:tcPr>
            <w:tcW w:w="0" w:type="auto"/>
            <w:gridSpan w:val="3"/>
            <w:shd w:val="clear" w:color="auto" w:fill="auto"/>
            <w:vAlign w:val="bottom"/>
          </w:tcPr>
          <w:p w14:paraId="71D45F3E" w14:textId="77777777" w:rsidR="006A3667" w:rsidRDefault="006A3667">
            <w:pPr>
              <w:rPr>
                <w:rFonts w:ascii="宋体"/>
                <w:vanish/>
              </w:rPr>
            </w:pPr>
          </w:p>
        </w:tc>
        <w:tc>
          <w:tcPr>
            <w:tcW w:w="0" w:type="auto"/>
            <w:gridSpan w:val="3"/>
            <w:shd w:val="clear" w:color="auto" w:fill="auto"/>
            <w:vAlign w:val="bottom"/>
          </w:tcPr>
          <w:p w14:paraId="71D45F3F" w14:textId="77777777" w:rsidR="006A3667" w:rsidRDefault="006A3667">
            <w:pPr>
              <w:rPr>
                <w:rFonts w:ascii="宋体"/>
                <w:vanish/>
              </w:rPr>
            </w:pPr>
          </w:p>
        </w:tc>
        <w:tc>
          <w:tcPr>
            <w:tcW w:w="0" w:type="auto"/>
            <w:gridSpan w:val="3"/>
            <w:shd w:val="clear" w:color="auto" w:fill="auto"/>
            <w:vAlign w:val="bottom"/>
          </w:tcPr>
          <w:p w14:paraId="71D45F40" w14:textId="77777777" w:rsidR="006A3667" w:rsidRDefault="006A3667">
            <w:pPr>
              <w:rPr>
                <w:rFonts w:ascii="宋体"/>
                <w:vanish/>
              </w:rPr>
            </w:pPr>
          </w:p>
        </w:tc>
        <w:tc>
          <w:tcPr>
            <w:tcW w:w="0" w:type="auto"/>
            <w:gridSpan w:val="3"/>
            <w:shd w:val="clear" w:color="auto" w:fill="auto"/>
            <w:vAlign w:val="bottom"/>
          </w:tcPr>
          <w:p w14:paraId="71D45F41" w14:textId="77777777" w:rsidR="006A3667" w:rsidRDefault="006A3667">
            <w:pPr>
              <w:rPr>
                <w:rFonts w:ascii="宋体"/>
                <w:vanish/>
              </w:rPr>
            </w:pPr>
          </w:p>
        </w:tc>
        <w:tc>
          <w:tcPr>
            <w:tcW w:w="0" w:type="auto"/>
            <w:gridSpan w:val="3"/>
            <w:shd w:val="clear" w:color="auto" w:fill="auto"/>
            <w:vAlign w:val="bottom"/>
          </w:tcPr>
          <w:p w14:paraId="71D45F42" w14:textId="77777777" w:rsidR="006A3667" w:rsidRDefault="006A3667">
            <w:pPr>
              <w:rPr>
                <w:rFonts w:ascii="宋体"/>
                <w:vanish/>
              </w:rPr>
            </w:pPr>
          </w:p>
        </w:tc>
        <w:tc>
          <w:tcPr>
            <w:tcW w:w="0" w:type="auto"/>
            <w:gridSpan w:val="3"/>
            <w:shd w:val="clear" w:color="auto" w:fill="auto"/>
            <w:vAlign w:val="bottom"/>
          </w:tcPr>
          <w:p w14:paraId="71D45F43" w14:textId="77777777" w:rsidR="006A3667" w:rsidRDefault="006A3667">
            <w:pPr>
              <w:rPr>
                <w:rFonts w:ascii="宋体"/>
                <w:vanish/>
              </w:rPr>
            </w:pPr>
          </w:p>
        </w:tc>
        <w:tc>
          <w:tcPr>
            <w:tcW w:w="0" w:type="auto"/>
            <w:gridSpan w:val="3"/>
            <w:shd w:val="clear" w:color="auto" w:fill="auto"/>
            <w:vAlign w:val="bottom"/>
          </w:tcPr>
          <w:p w14:paraId="71D45F44" w14:textId="77777777" w:rsidR="006A3667" w:rsidRDefault="006A3667">
            <w:pPr>
              <w:rPr>
                <w:rFonts w:ascii="宋体"/>
                <w:vanish/>
              </w:rPr>
            </w:pPr>
          </w:p>
        </w:tc>
        <w:tc>
          <w:tcPr>
            <w:tcW w:w="0" w:type="auto"/>
            <w:gridSpan w:val="3"/>
            <w:shd w:val="clear" w:color="auto" w:fill="auto"/>
            <w:vAlign w:val="bottom"/>
          </w:tcPr>
          <w:p w14:paraId="71D45F45" w14:textId="77777777" w:rsidR="006A3667" w:rsidRDefault="006A3667">
            <w:pPr>
              <w:rPr>
                <w:rFonts w:ascii="宋体"/>
                <w:vanish/>
              </w:rPr>
            </w:pPr>
          </w:p>
        </w:tc>
        <w:tc>
          <w:tcPr>
            <w:tcW w:w="0" w:type="auto"/>
            <w:gridSpan w:val="3"/>
            <w:shd w:val="clear" w:color="auto" w:fill="auto"/>
            <w:vAlign w:val="bottom"/>
          </w:tcPr>
          <w:p w14:paraId="71D45F46" w14:textId="77777777" w:rsidR="006A3667" w:rsidRDefault="006A3667">
            <w:pPr>
              <w:rPr>
                <w:rFonts w:ascii="宋体"/>
                <w:vanish/>
              </w:rPr>
            </w:pPr>
          </w:p>
        </w:tc>
        <w:tc>
          <w:tcPr>
            <w:tcW w:w="0" w:type="auto"/>
            <w:gridSpan w:val="3"/>
            <w:shd w:val="clear" w:color="auto" w:fill="auto"/>
            <w:vAlign w:val="bottom"/>
          </w:tcPr>
          <w:p w14:paraId="71D45F47" w14:textId="77777777" w:rsidR="006A3667" w:rsidRDefault="006A3667">
            <w:pPr>
              <w:rPr>
                <w:rFonts w:ascii="宋体"/>
                <w:vanish/>
              </w:rPr>
            </w:pPr>
          </w:p>
        </w:tc>
      </w:tr>
      <w:tr w:rsidR="006A3667" w14:paraId="71D45F5D" w14:textId="77777777">
        <w:trPr>
          <w:hidden/>
        </w:trPr>
        <w:tc>
          <w:tcPr>
            <w:tcW w:w="0" w:type="auto"/>
            <w:gridSpan w:val="3"/>
            <w:shd w:val="clear" w:color="auto" w:fill="auto"/>
            <w:vAlign w:val="bottom"/>
          </w:tcPr>
          <w:p w14:paraId="71D45F49" w14:textId="77777777" w:rsidR="006A3667" w:rsidRDefault="006A3667">
            <w:pPr>
              <w:rPr>
                <w:rFonts w:ascii="宋体"/>
                <w:vanish/>
              </w:rPr>
            </w:pPr>
          </w:p>
        </w:tc>
        <w:tc>
          <w:tcPr>
            <w:tcW w:w="0" w:type="auto"/>
            <w:gridSpan w:val="3"/>
            <w:shd w:val="clear" w:color="auto" w:fill="auto"/>
            <w:vAlign w:val="bottom"/>
          </w:tcPr>
          <w:p w14:paraId="71D45F4A" w14:textId="77777777" w:rsidR="006A3667" w:rsidRDefault="006A3667">
            <w:pPr>
              <w:rPr>
                <w:rFonts w:ascii="宋体"/>
                <w:vanish/>
              </w:rPr>
            </w:pPr>
          </w:p>
        </w:tc>
        <w:tc>
          <w:tcPr>
            <w:tcW w:w="0" w:type="auto"/>
            <w:gridSpan w:val="3"/>
            <w:shd w:val="clear" w:color="auto" w:fill="auto"/>
            <w:vAlign w:val="bottom"/>
          </w:tcPr>
          <w:p w14:paraId="71D45F4B" w14:textId="77777777" w:rsidR="006A3667" w:rsidRDefault="006A3667">
            <w:pPr>
              <w:rPr>
                <w:rFonts w:ascii="宋体"/>
                <w:vanish/>
              </w:rPr>
            </w:pPr>
          </w:p>
        </w:tc>
        <w:tc>
          <w:tcPr>
            <w:tcW w:w="0" w:type="auto"/>
            <w:gridSpan w:val="3"/>
            <w:shd w:val="clear" w:color="auto" w:fill="auto"/>
            <w:vAlign w:val="bottom"/>
          </w:tcPr>
          <w:p w14:paraId="71D45F4C" w14:textId="77777777" w:rsidR="006A3667" w:rsidRDefault="006A3667">
            <w:pPr>
              <w:rPr>
                <w:rFonts w:ascii="宋体"/>
                <w:vanish/>
              </w:rPr>
            </w:pPr>
          </w:p>
        </w:tc>
        <w:tc>
          <w:tcPr>
            <w:tcW w:w="0" w:type="auto"/>
            <w:gridSpan w:val="3"/>
            <w:shd w:val="clear" w:color="auto" w:fill="auto"/>
            <w:vAlign w:val="bottom"/>
          </w:tcPr>
          <w:p w14:paraId="71D45F4D" w14:textId="77777777" w:rsidR="006A3667" w:rsidRDefault="006A3667">
            <w:pPr>
              <w:rPr>
                <w:rFonts w:ascii="宋体"/>
                <w:vanish/>
              </w:rPr>
            </w:pPr>
          </w:p>
        </w:tc>
        <w:tc>
          <w:tcPr>
            <w:tcW w:w="0" w:type="auto"/>
            <w:gridSpan w:val="3"/>
            <w:shd w:val="clear" w:color="auto" w:fill="auto"/>
            <w:vAlign w:val="bottom"/>
          </w:tcPr>
          <w:p w14:paraId="71D45F4E" w14:textId="77777777" w:rsidR="006A3667" w:rsidRDefault="006A3667">
            <w:pPr>
              <w:rPr>
                <w:rFonts w:ascii="宋体"/>
                <w:vanish/>
              </w:rPr>
            </w:pPr>
          </w:p>
        </w:tc>
        <w:tc>
          <w:tcPr>
            <w:tcW w:w="0" w:type="auto"/>
            <w:gridSpan w:val="3"/>
            <w:shd w:val="clear" w:color="auto" w:fill="auto"/>
            <w:vAlign w:val="bottom"/>
          </w:tcPr>
          <w:p w14:paraId="71D45F4F" w14:textId="77777777" w:rsidR="006A3667" w:rsidRDefault="006A3667">
            <w:pPr>
              <w:rPr>
                <w:rFonts w:ascii="宋体"/>
                <w:vanish/>
              </w:rPr>
            </w:pPr>
          </w:p>
        </w:tc>
        <w:tc>
          <w:tcPr>
            <w:tcW w:w="0" w:type="auto"/>
            <w:gridSpan w:val="3"/>
            <w:shd w:val="clear" w:color="auto" w:fill="auto"/>
            <w:vAlign w:val="bottom"/>
          </w:tcPr>
          <w:p w14:paraId="71D45F50" w14:textId="77777777" w:rsidR="006A3667" w:rsidRDefault="006A3667">
            <w:pPr>
              <w:rPr>
                <w:rFonts w:ascii="宋体"/>
                <w:vanish/>
              </w:rPr>
            </w:pPr>
          </w:p>
        </w:tc>
        <w:tc>
          <w:tcPr>
            <w:tcW w:w="0" w:type="auto"/>
            <w:gridSpan w:val="3"/>
            <w:shd w:val="clear" w:color="auto" w:fill="auto"/>
            <w:vAlign w:val="bottom"/>
          </w:tcPr>
          <w:p w14:paraId="71D45F51" w14:textId="77777777" w:rsidR="006A3667" w:rsidRDefault="006A3667">
            <w:pPr>
              <w:rPr>
                <w:rFonts w:ascii="宋体"/>
                <w:vanish/>
              </w:rPr>
            </w:pPr>
          </w:p>
        </w:tc>
        <w:tc>
          <w:tcPr>
            <w:tcW w:w="0" w:type="auto"/>
            <w:gridSpan w:val="3"/>
            <w:shd w:val="clear" w:color="auto" w:fill="auto"/>
            <w:vAlign w:val="bottom"/>
          </w:tcPr>
          <w:p w14:paraId="71D45F52" w14:textId="77777777" w:rsidR="006A3667" w:rsidRDefault="006A3667">
            <w:pPr>
              <w:rPr>
                <w:rFonts w:ascii="宋体"/>
                <w:vanish/>
              </w:rPr>
            </w:pPr>
          </w:p>
        </w:tc>
        <w:tc>
          <w:tcPr>
            <w:tcW w:w="0" w:type="auto"/>
            <w:gridSpan w:val="3"/>
            <w:shd w:val="clear" w:color="auto" w:fill="auto"/>
            <w:vAlign w:val="bottom"/>
          </w:tcPr>
          <w:p w14:paraId="71D45F53" w14:textId="77777777" w:rsidR="006A3667" w:rsidRDefault="006A3667">
            <w:pPr>
              <w:rPr>
                <w:rFonts w:ascii="宋体"/>
                <w:vanish/>
              </w:rPr>
            </w:pPr>
          </w:p>
        </w:tc>
        <w:tc>
          <w:tcPr>
            <w:tcW w:w="0" w:type="auto"/>
            <w:gridSpan w:val="3"/>
            <w:shd w:val="clear" w:color="auto" w:fill="auto"/>
            <w:vAlign w:val="bottom"/>
          </w:tcPr>
          <w:p w14:paraId="71D45F54" w14:textId="77777777" w:rsidR="006A3667" w:rsidRDefault="006A3667">
            <w:pPr>
              <w:rPr>
                <w:rFonts w:ascii="宋体"/>
                <w:vanish/>
              </w:rPr>
            </w:pPr>
          </w:p>
        </w:tc>
        <w:tc>
          <w:tcPr>
            <w:tcW w:w="0" w:type="auto"/>
            <w:gridSpan w:val="3"/>
            <w:shd w:val="clear" w:color="auto" w:fill="auto"/>
            <w:vAlign w:val="bottom"/>
          </w:tcPr>
          <w:p w14:paraId="71D45F55" w14:textId="77777777" w:rsidR="006A3667" w:rsidRDefault="006A3667">
            <w:pPr>
              <w:rPr>
                <w:rFonts w:ascii="宋体"/>
                <w:vanish/>
              </w:rPr>
            </w:pPr>
          </w:p>
        </w:tc>
        <w:tc>
          <w:tcPr>
            <w:tcW w:w="0" w:type="auto"/>
            <w:gridSpan w:val="3"/>
            <w:shd w:val="clear" w:color="auto" w:fill="auto"/>
            <w:vAlign w:val="bottom"/>
          </w:tcPr>
          <w:p w14:paraId="71D45F56" w14:textId="77777777" w:rsidR="006A3667" w:rsidRDefault="006A3667">
            <w:pPr>
              <w:rPr>
                <w:rFonts w:ascii="宋体"/>
                <w:vanish/>
              </w:rPr>
            </w:pPr>
          </w:p>
        </w:tc>
        <w:tc>
          <w:tcPr>
            <w:tcW w:w="0" w:type="auto"/>
            <w:gridSpan w:val="3"/>
            <w:shd w:val="clear" w:color="auto" w:fill="auto"/>
            <w:vAlign w:val="bottom"/>
          </w:tcPr>
          <w:p w14:paraId="71D45F57" w14:textId="77777777" w:rsidR="006A3667" w:rsidRDefault="006A3667">
            <w:pPr>
              <w:rPr>
                <w:rFonts w:ascii="宋体"/>
                <w:vanish/>
              </w:rPr>
            </w:pPr>
          </w:p>
        </w:tc>
        <w:tc>
          <w:tcPr>
            <w:tcW w:w="0" w:type="auto"/>
            <w:gridSpan w:val="3"/>
            <w:shd w:val="clear" w:color="auto" w:fill="auto"/>
            <w:vAlign w:val="bottom"/>
          </w:tcPr>
          <w:p w14:paraId="71D45F58" w14:textId="77777777" w:rsidR="006A3667" w:rsidRDefault="006A3667">
            <w:pPr>
              <w:rPr>
                <w:rFonts w:ascii="宋体"/>
                <w:vanish/>
              </w:rPr>
            </w:pPr>
          </w:p>
        </w:tc>
        <w:tc>
          <w:tcPr>
            <w:tcW w:w="0" w:type="auto"/>
            <w:gridSpan w:val="3"/>
            <w:shd w:val="clear" w:color="auto" w:fill="auto"/>
            <w:vAlign w:val="bottom"/>
          </w:tcPr>
          <w:p w14:paraId="71D45F59" w14:textId="77777777" w:rsidR="006A3667" w:rsidRDefault="006A3667">
            <w:pPr>
              <w:rPr>
                <w:rFonts w:ascii="宋体"/>
                <w:vanish/>
              </w:rPr>
            </w:pPr>
          </w:p>
        </w:tc>
        <w:tc>
          <w:tcPr>
            <w:tcW w:w="0" w:type="auto"/>
            <w:gridSpan w:val="3"/>
            <w:shd w:val="clear" w:color="auto" w:fill="auto"/>
            <w:vAlign w:val="bottom"/>
          </w:tcPr>
          <w:p w14:paraId="71D45F5A" w14:textId="77777777" w:rsidR="006A3667" w:rsidRDefault="006A3667">
            <w:pPr>
              <w:rPr>
                <w:rFonts w:ascii="宋体"/>
                <w:vanish/>
              </w:rPr>
            </w:pPr>
          </w:p>
        </w:tc>
        <w:tc>
          <w:tcPr>
            <w:tcW w:w="0" w:type="auto"/>
            <w:gridSpan w:val="3"/>
            <w:shd w:val="clear" w:color="auto" w:fill="auto"/>
            <w:vAlign w:val="bottom"/>
          </w:tcPr>
          <w:p w14:paraId="71D45F5B" w14:textId="77777777" w:rsidR="006A3667" w:rsidRDefault="006A3667">
            <w:pPr>
              <w:rPr>
                <w:rFonts w:ascii="宋体"/>
                <w:vanish/>
              </w:rPr>
            </w:pPr>
          </w:p>
        </w:tc>
        <w:tc>
          <w:tcPr>
            <w:tcW w:w="0" w:type="auto"/>
            <w:gridSpan w:val="3"/>
            <w:shd w:val="clear" w:color="auto" w:fill="auto"/>
            <w:vAlign w:val="bottom"/>
          </w:tcPr>
          <w:p w14:paraId="71D45F5C" w14:textId="77777777" w:rsidR="006A3667" w:rsidRDefault="006A3667">
            <w:pPr>
              <w:rPr>
                <w:rFonts w:ascii="宋体"/>
                <w:vanish/>
              </w:rPr>
            </w:pPr>
          </w:p>
        </w:tc>
      </w:tr>
      <w:tr w:rsidR="006A3667" w14:paraId="71D45F72" w14:textId="77777777">
        <w:tc>
          <w:tcPr>
            <w:tcW w:w="0" w:type="auto"/>
            <w:gridSpan w:val="3"/>
            <w:shd w:val="clear" w:color="auto" w:fill="CCEEFF"/>
            <w:tcMar>
              <w:top w:w="40" w:type="dxa"/>
              <w:left w:w="20" w:type="dxa"/>
              <w:bottom w:w="40" w:type="dxa"/>
              <w:right w:w="20" w:type="dxa"/>
            </w:tcMar>
            <w:vAlign w:val="bottom"/>
          </w:tcPr>
          <w:p w14:paraId="71D45F5E" w14:textId="77777777" w:rsidR="006A3667" w:rsidRDefault="00045F32">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5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60"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6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62"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6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64"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6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66"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6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68"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6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6A"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6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6C"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6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6E"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6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5F70"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5F71" w14:textId="77777777" w:rsidR="006A3667" w:rsidRDefault="006A3667">
            <w:pPr>
              <w:rPr>
                <w:rFonts w:ascii="宋体"/>
              </w:rPr>
            </w:pPr>
          </w:p>
        </w:tc>
      </w:tr>
      <w:tr w:rsidR="006A3667" w14:paraId="71D45F91" w14:textId="77777777">
        <w:tc>
          <w:tcPr>
            <w:tcW w:w="0" w:type="auto"/>
            <w:gridSpan w:val="3"/>
            <w:shd w:val="clear" w:color="auto" w:fill="FFFFFF"/>
            <w:tcMar>
              <w:top w:w="40" w:type="dxa"/>
              <w:left w:w="245" w:type="dxa"/>
              <w:bottom w:w="40" w:type="dxa"/>
              <w:right w:w="20" w:type="dxa"/>
            </w:tcMar>
            <w:vAlign w:val="bottom"/>
          </w:tcPr>
          <w:p w14:paraId="71D45F73" w14:textId="77777777" w:rsidR="006A3667" w:rsidRDefault="00045F32">
            <w:pPr>
              <w:textAlignment w:val="bottom"/>
            </w:pPr>
            <w:r>
              <w:rPr>
                <w:rFonts w:ascii="Arial" w:eastAsia="宋体" w:hAnsi="Arial" w:cs="Arial"/>
                <w:color w:val="000000"/>
                <w:sz w:val="13"/>
                <w:szCs w:val="13"/>
              </w:rPr>
              <w:t>Student loans</w:t>
            </w:r>
          </w:p>
        </w:tc>
        <w:tc>
          <w:tcPr>
            <w:tcW w:w="0" w:type="auto"/>
            <w:gridSpan w:val="2"/>
            <w:shd w:val="clear" w:color="auto" w:fill="FFFFFF"/>
            <w:tcMar>
              <w:top w:w="40" w:type="dxa"/>
              <w:left w:w="20" w:type="dxa"/>
              <w:bottom w:w="40" w:type="dxa"/>
              <w:right w:w="0" w:type="dxa"/>
            </w:tcMar>
            <w:vAlign w:val="bottom"/>
          </w:tcPr>
          <w:p w14:paraId="71D45F74" w14:textId="77777777" w:rsidR="006A3667" w:rsidRDefault="00045F32">
            <w:pPr>
              <w:jc w:val="right"/>
              <w:textAlignment w:val="bottom"/>
            </w:pPr>
            <w:r>
              <w:rPr>
                <w:rFonts w:ascii="Arial" w:eastAsia="宋体" w:hAnsi="Arial" w:cs="Arial"/>
                <w:b/>
                <w:bCs/>
                <w:color w:val="000000"/>
                <w:sz w:val="13"/>
                <w:szCs w:val="13"/>
              </w:rPr>
              <w:t>315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7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7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77" w14:textId="77777777" w:rsidR="006A3667" w:rsidRDefault="00045F32">
            <w:pPr>
              <w:jc w:val="right"/>
              <w:textAlignment w:val="bottom"/>
            </w:pPr>
            <w:r>
              <w:rPr>
                <w:rFonts w:ascii="Arial" w:eastAsia="宋体" w:hAnsi="Arial" w:cs="Arial"/>
                <w:b/>
                <w:bCs/>
                <w:color w:val="000000"/>
                <w:sz w:val="13"/>
                <w:szCs w:val="13"/>
              </w:rPr>
              <w:t>304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7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7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7A" w14:textId="77777777" w:rsidR="006A3667" w:rsidRDefault="00045F32">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7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7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7D" w14:textId="77777777" w:rsidR="006A3667" w:rsidRDefault="00045F32">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7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80" w14:textId="77777777" w:rsidR="006A3667" w:rsidRDefault="00045F32">
            <w:pPr>
              <w:jc w:val="right"/>
              <w:textAlignment w:val="bottom"/>
            </w:pPr>
            <w:r>
              <w:rPr>
                <w:rFonts w:ascii="Arial" w:eastAsia="宋体" w:hAnsi="Arial" w:cs="Arial"/>
                <w:b/>
                <w:bCs/>
                <w:color w:val="000000"/>
                <w:sz w:val="13"/>
                <w:szCs w:val="13"/>
              </w:rPr>
              <w:t>989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8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8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83" w14:textId="77777777" w:rsidR="006A3667" w:rsidRDefault="00045F32">
            <w:pPr>
              <w:jc w:val="right"/>
              <w:textAlignment w:val="bottom"/>
            </w:pPr>
            <w:r>
              <w:rPr>
                <w:rFonts w:ascii="Arial" w:eastAsia="宋体" w:hAnsi="Arial" w:cs="Arial"/>
                <w:b/>
                <w:bCs/>
                <w:color w:val="000000"/>
                <w:sz w:val="13"/>
                <w:szCs w:val="13"/>
              </w:rPr>
              <w:t>973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86" w14:textId="77777777" w:rsidR="006A3667" w:rsidRDefault="00045F32">
            <w:pPr>
              <w:jc w:val="right"/>
              <w:textAlignment w:val="bottom"/>
            </w:pPr>
            <w:r>
              <w:rPr>
                <w:rFonts w:ascii="Arial" w:eastAsia="宋体" w:hAnsi="Arial" w:cs="Arial"/>
                <w:b/>
                <w:bCs/>
                <w:color w:val="000000"/>
                <w:sz w:val="13"/>
                <w:szCs w:val="13"/>
              </w:rPr>
              <w:t>2,922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89" w14:textId="77777777" w:rsidR="006A3667" w:rsidRDefault="00045F32">
            <w:pPr>
              <w:jc w:val="right"/>
              <w:textAlignment w:val="bottom"/>
            </w:pPr>
            <w:r>
              <w:rPr>
                <w:rFonts w:ascii="Arial" w:eastAsia="宋体" w:hAnsi="Arial" w:cs="Arial"/>
                <w:b/>
                <w:bCs/>
                <w:color w:val="000000"/>
                <w:sz w:val="13"/>
                <w:szCs w:val="13"/>
              </w:rPr>
              <w:t>2,846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8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8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8C" w14:textId="77777777" w:rsidR="006A3667" w:rsidRDefault="00045F32">
            <w:pPr>
              <w:jc w:val="right"/>
              <w:textAlignment w:val="bottom"/>
            </w:pPr>
            <w:r>
              <w:rPr>
                <w:rFonts w:ascii="Arial" w:eastAsia="宋体" w:hAnsi="Arial" w:cs="Arial"/>
                <w:b/>
                <w:bCs/>
                <w:color w:val="000000"/>
                <w:sz w:val="13"/>
                <w:szCs w:val="13"/>
              </w:rPr>
              <w:t>4,238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8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8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5F8F" w14:textId="77777777" w:rsidR="006A3667" w:rsidRDefault="00045F32">
            <w:pPr>
              <w:jc w:val="right"/>
              <w:textAlignment w:val="bottom"/>
            </w:pPr>
            <w:r>
              <w:rPr>
                <w:rFonts w:ascii="Arial" w:eastAsia="宋体" w:hAnsi="Arial" w:cs="Arial"/>
                <w:b/>
                <w:bCs/>
                <w:color w:val="000000"/>
                <w:sz w:val="13"/>
                <w:szCs w:val="13"/>
              </w:rPr>
              <w:t>4,135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5F90" w14:textId="77777777" w:rsidR="006A3667" w:rsidRDefault="006A3667">
            <w:pPr>
              <w:jc w:val="right"/>
              <w:rPr>
                <w:rFonts w:ascii="宋体"/>
              </w:rPr>
            </w:pPr>
          </w:p>
        </w:tc>
      </w:tr>
      <w:tr w:rsidR="006A3667" w14:paraId="71D45FA6" w14:textId="77777777">
        <w:trPr>
          <w:hidden/>
        </w:trPr>
        <w:tc>
          <w:tcPr>
            <w:tcW w:w="0" w:type="auto"/>
            <w:gridSpan w:val="3"/>
            <w:shd w:val="clear" w:color="auto" w:fill="auto"/>
            <w:vAlign w:val="bottom"/>
          </w:tcPr>
          <w:p w14:paraId="71D45F92" w14:textId="77777777" w:rsidR="006A3667" w:rsidRDefault="006A3667">
            <w:pPr>
              <w:rPr>
                <w:rFonts w:ascii="宋体"/>
                <w:vanish/>
              </w:rPr>
            </w:pPr>
          </w:p>
        </w:tc>
        <w:tc>
          <w:tcPr>
            <w:tcW w:w="0" w:type="auto"/>
            <w:gridSpan w:val="3"/>
            <w:shd w:val="clear" w:color="auto" w:fill="auto"/>
            <w:vAlign w:val="bottom"/>
          </w:tcPr>
          <w:p w14:paraId="71D45F93" w14:textId="77777777" w:rsidR="006A3667" w:rsidRDefault="006A3667">
            <w:pPr>
              <w:rPr>
                <w:rFonts w:ascii="宋体"/>
                <w:vanish/>
              </w:rPr>
            </w:pPr>
          </w:p>
        </w:tc>
        <w:tc>
          <w:tcPr>
            <w:tcW w:w="0" w:type="auto"/>
            <w:gridSpan w:val="3"/>
            <w:shd w:val="clear" w:color="auto" w:fill="auto"/>
            <w:vAlign w:val="bottom"/>
          </w:tcPr>
          <w:p w14:paraId="71D45F94" w14:textId="77777777" w:rsidR="006A3667" w:rsidRDefault="006A3667">
            <w:pPr>
              <w:rPr>
                <w:rFonts w:ascii="宋体"/>
                <w:vanish/>
              </w:rPr>
            </w:pPr>
          </w:p>
        </w:tc>
        <w:tc>
          <w:tcPr>
            <w:tcW w:w="0" w:type="auto"/>
            <w:gridSpan w:val="3"/>
            <w:shd w:val="clear" w:color="auto" w:fill="auto"/>
            <w:vAlign w:val="bottom"/>
          </w:tcPr>
          <w:p w14:paraId="71D45F95" w14:textId="77777777" w:rsidR="006A3667" w:rsidRDefault="006A3667">
            <w:pPr>
              <w:rPr>
                <w:rFonts w:ascii="宋体"/>
                <w:vanish/>
              </w:rPr>
            </w:pPr>
          </w:p>
        </w:tc>
        <w:tc>
          <w:tcPr>
            <w:tcW w:w="0" w:type="auto"/>
            <w:gridSpan w:val="3"/>
            <w:shd w:val="clear" w:color="auto" w:fill="auto"/>
            <w:vAlign w:val="bottom"/>
          </w:tcPr>
          <w:p w14:paraId="71D45F96" w14:textId="77777777" w:rsidR="006A3667" w:rsidRDefault="006A3667">
            <w:pPr>
              <w:rPr>
                <w:rFonts w:ascii="宋体"/>
                <w:vanish/>
              </w:rPr>
            </w:pPr>
          </w:p>
        </w:tc>
        <w:tc>
          <w:tcPr>
            <w:tcW w:w="0" w:type="auto"/>
            <w:gridSpan w:val="3"/>
            <w:shd w:val="clear" w:color="auto" w:fill="auto"/>
            <w:vAlign w:val="bottom"/>
          </w:tcPr>
          <w:p w14:paraId="71D45F97" w14:textId="77777777" w:rsidR="006A3667" w:rsidRDefault="006A3667">
            <w:pPr>
              <w:rPr>
                <w:rFonts w:ascii="宋体"/>
                <w:vanish/>
              </w:rPr>
            </w:pPr>
          </w:p>
        </w:tc>
        <w:tc>
          <w:tcPr>
            <w:tcW w:w="0" w:type="auto"/>
            <w:gridSpan w:val="3"/>
            <w:shd w:val="clear" w:color="auto" w:fill="auto"/>
            <w:vAlign w:val="bottom"/>
          </w:tcPr>
          <w:p w14:paraId="71D45F98" w14:textId="77777777" w:rsidR="006A3667" w:rsidRDefault="006A3667">
            <w:pPr>
              <w:rPr>
                <w:rFonts w:ascii="宋体"/>
                <w:vanish/>
              </w:rPr>
            </w:pPr>
          </w:p>
        </w:tc>
        <w:tc>
          <w:tcPr>
            <w:tcW w:w="0" w:type="auto"/>
            <w:gridSpan w:val="3"/>
            <w:shd w:val="clear" w:color="auto" w:fill="auto"/>
            <w:vAlign w:val="bottom"/>
          </w:tcPr>
          <w:p w14:paraId="71D45F99" w14:textId="77777777" w:rsidR="006A3667" w:rsidRDefault="006A3667">
            <w:pPr>
              <w:rPr>
                <w:rFonts w:ascii="宋体"/>
                <w:vanish/>
              </w:rPr>
            </w:pPr>
          </w:p>
        </w:tc>
        <w:tc>
          <w:tcPr>
            <w:tcW w:w="0" w:type="auto"/>
            <w:gridSpan w:val="3"/>
            <w:shd w:val="clear" w:color="auto" w:fill="auto"/>
            <w:vAlign w:val="bottom"/>
          </w:tcPr>
          <w:p w14:paraId="71D45F9A" w14:textId="77777777" w:rsidR="006A3667" w:rsidRDefault="006A3667">
            <w:pPr>
              <w:rPr>
                <w:rFonts w:ascii="宋体"/>
                <w:vanish/>
              </w:rPr>
            </w:pPr>
          </w:p>
        </w:tc>
        <w:tc>
          <w:tcPr>
            <w:tcW w:w="0" w:type="auto"/>
            <w:gridSpan w:val="3"/>
            <w:shd w:val="clear" w:color="auto" w:fill="auto"/>
            <w:vAlign w:val="bottom"/>
          </w:tcPr>
          <w:p w14:paraId="71D45F9B" w14:textId="77777777" w:rsidR="006A3667" w:rsidRDefault="006A3667">
            <w:pPr>
              <w:rPr>
                <w:rFonts w:ascii="宋体"/>
                <w:vanish/>
              </w:rPr>
            </w:pPr>
          </w:p>
        </w:tc>
        <w:tc>
          <w:tcPr>
            <w:tcW w:w="0" w:type="auto"/>
            <w:gridSpan w:val="3"/>
            <w:shd w:val="clear" w:color="auto" w:fill="auto"/>
            <w:vAlign w:val="bottom"/>
          </w:tcPr>
          <w:p w14:paraId="71D45F9C" w14:textId="77777777" w:rsidR="006A3667" w:rsidRDefault="006A3667">
            <w:pPr>
              <w:rPr>
                <w:rFonts w:ascii="宋体"/>
                <w:vanish/>
              </w:rPr>
            </w:pPr>
          </w:p>
        </w:tc>
        <w:tc>
          <w:tcPr>
            <w:tcW w:w="0" w:type="auto"/>
            <w:gridSpan w:val="3"/>
            <w:shd w:val="clear" w:color="auto" w:fill="auto"/>
            <w:vAlign w:val="bottom"/>
          </w:tcPr>
          <w:p w14:paraId="71D45F9D" w14:textId="77777777" w:rsidR="006A3667" w:rsidRDefault="006A3667">
            <w:pPr>
              <w:rPr>
                <w:rFonts w:ascii="宋体"/>
                <w:vanish/>
              </w:rPr>
            </w:pPr>
          </w:p>
        </w:tc>
        <w:tc>
          <w:tcPr>
            <w:tcW w:w="0" w:type="auto"/>
            <w:gridSpan w:val="3"/>
            <w:shd w:val="clear" w:color="auto" w:fill="auto"/>
            <w:vAlign w:val="bottom"/>
          </w:tcPr>
          <w:p w14:paraId="71D45F9E" w14:textId="77777777" w:rsidR="006A3667" w:rsidRDefault="006A3667">
            <w:pPr>
              <w:rPr>
                <w:rFonts w:ascii="宋体"/>
                <w:vanish/>
              </w:rPr>
            </w:pPr>
          </w:p>
        </w:tc>
        <w:tc>
          <w:tcPr>
            <w:tcW w:w="0" w:type="auto"/>
            <w:gridSpan w:val="3"/>
            <w:shd w:val="clear" w:color="auto" w:fill="auto"/>
            <w:vAlign w:val="bottom"/>
          </w:tcPr>
          <w:p w14:paraId="71D45F9F" w14:textId="77777777" w:rsidR="006A3667" w:rsidRDefault="006A3667">
            <w:pPr>
              <w:rPr>
                <w:rFonts w:ascii="宋体"/>
                <w:vanish/>
              </w:rPr>
            </w:pPr>
          </w:p>
        </w:tc>
        <w:tc>
          <w:tcPr>
            <w:tcW w:w="0" w:type="auto"/>
            <w:gridSpan w:val="3"/>
            <w:shd w:val="clear" w:color="auto" w:fill="auto"/>
            <w:vAlign w:val="bottom"/>
          </w:tcPr>
          <w:p w14:paraId="71D45FA0" w14:textId="77777777" w:rsidR="006A3667" w:rsidRDefault="006A3667">
            <w:pPr>
              <w:rPr>
                <w:rFonts w:ascii="宋体"/>
                <w:vanish/>
              </w:rPr>
            </w:pPr>
          </w:p>
        </w:tc>
        <w:tc>
          <w:tcPr>
            <w:tcW w:w="0" w:type="auto"/>
            <w:gridSpan w:val="3"/>
            <w:shd w:val="clear" w:color="auto" w:fill="auto"/>
            <w:vAlign w:val="bottom"/>
          </w:tcPr>
          <w:p w14:paraId="71D45FA1" w14:textId="77777777" w:rsidR="006A3667" w:rsidRDefault="006A3667">
            <w:pPr>
              <w:rPr>
                <w:rFonts w:ascii="宋体"/>
                <w:vanish/>
              </w:rPr>
            </w:pPr>
          </w:p>
        </w:tc>
        <w:tc>
          <w:tcPr>
            <w:tcW w:w="0" w:type="auto"/>
            <w:gridSpan w:val="3"/>
            <w:shd w:val="clear" w:color="auto" w:fill="auto"/>
            <w:vAlign w:val="bottom"/>
          </w:tcPr>
          <w:p w14:paraId="71D45FA2" w14:textId="77777777" w:rsidR="006A3667" w:rsidRDefault="006A3667">
            <w:pPr>
              <w:rPr>
                <w:rFonts w:ascii="宋体"/>
                <w:vanish/>
              </w:rPr>
            </w:pPr>
          </w:p>
        </w:tc>
        <w:tc>
          <w:tcPr>
            <w:tcW w:w="0" w:type="auto"/>
            <w:gridSpan w:val="3"/>
            <w:shd w:val="clear" w:color="auto" w:fill="auto"/>
            <w:vAlign w:val="bottom"/>
          </w:tcPr>
          <w:p w14:paraId="71D45FA3" w14:textId="77777777" w:rsidR="006A3667" w:rsidRDefault="006A3667">
            <w:pPr>
              <w:rPr>
                <w:rFonts w:ascii="宋体"/>
                <w:vanish/>
              </w:rPr>
            </w:pPr>
          </w:p>
        </w:tc>
        <w:tc>
          <w:tcPr>
            <w:tcW w:w="0" w:type="auto"/>
            <w:gridSpan w:val="3"/>
            <w:shd w:val="clear" w:color="auto" w:fill="auto"/>
            <w:vAlign w:val="bottom"/>
          </w:tcPr>
          <w:p w14:paraId="71D45FA4" w14:textId="77777777" w:rsidR="006A3667" w:rsidRDefault="006A3667">
            <w:pPr>
              <w:rPr>
                <w:rFonts w:ascii="宋体"/>
                <w:vanish/>
              </w:rPr>
            </w:pPr>
          </w:p>
        </w:tc>
        <w:tc>
          <w:tcPr>
            <w:tcW w:w="0" w:type="auto"/>
            <w:gridSpan w:val="3"/>
            <w:shd w:val="clear" w:color="auto" w:fill="auto"/>
            <w:vAlign w:val="bottom"/>
          </w:tcPr>
          <w:p w14:paraId="71D45FA5" w14:textId="77777777" w:rsidR="006A3667" w:rsidRDefault="006A3667">
            <w:pPr>
              <w:rPr>
                <w:rFonts w:ascii="宋体"/>
                <w:vanish/>
              </w:rPr>
            </w:pPr>
          </w:p>
        </w:tc>
      </w:tr>
      <w:tr w:rsidR="006A3667" w14:paraId="71D45FC5" w14:textId="77777777">
        <w:tc>
          <w:tcPr>
            <w:tcW w:w="0" w:type="auto"/>
            <w:gridSpan w:val="3"/>
            <w:shd w:val="clear" w:color="auto" w:fill="CCEEFF"/>
            <w:tcMar>
              <w:top w:w="40" w:type="dxa"/>
              <w:left w:w="245" w:type="dxa"/>
              <w:bottom w:w="40" w:type="dxa"/>
              <w:right w:w="20" w:type="dxa"/>
            </w:tcMar>
            <w:vAlign w:val="bottom"/>
          </w:tcPr>
          <w:p w14:paraId="71D45FA7" w14:textId="77777777" w:rsidR="006A3667" w:rsidRDefault="00045F32">
            <w:pPr>
              <w:textAlignment w:val="bottom"/>
            </w:pPr>
            <w:r>
              <w:rPr>
                <w:rFonts w:ascii="Arial" w:eastAsia="宋体" w:hAnsi="Arial" w:cs="Arial"/>
                <w:color w:val="000000"/>
                <w:sz w:val="13"/>
                <w:szCs w:val="13"/>
              </w:rPr>
              <w:t>Non-agency CMBS and RMBS</w:t>
            </w:r>
          </w:p>
        </w:tc>
        <w:tc>
          <w:tcPr>
            <w:tcW w:w="0" w:type="auto"/>
            <w:gridSpan w:val="2"/>
            <w:shd w:val="clear" w:color="auto" w:fill="CCEEFF"/>
            <w:tcMar>
              <w:top w:w="40" w:type="dxa"/>
              <w:left w:w="20" w:type="dxa"/>
              <w:bottom w:w="40" w:type="dxa"/>
              <w:right w:w="0" w:type="dxa"/>
            </w:tcMar>
            <w:vAlign w:val="bottom"/>
          </w:tcPr>
          <w:p w14:paraId="71D45FA8" w14:textId="77777777" w:rsidR="006A3667" w:rsidRDefault="00045F32">
            <w:pPr>
              <w:jc w:val="right"/>
              <w:textAlignment w:val="bottom"/>
            </w:pPr>
            <w:r>
              <w:rPr>
                <w:rFonts w:ascii="Arial" w:eastAsia="宋体" w:hAnsi="Arial" w:cs="Arial"/>
                <w:b/>
                <w:bCs/>
                <w:color w:val="000000"/>
                <w:sz w:val="13"/>
                <w:szCs w:val="13"/>
              </w:rPr>
              <w:t>176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A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AB" w14:textId="77777777" w:rsidR="006A3667" w:rsidRDefault="00045F32">
            <w:pPr>
              <w:jc w:val="right"/>
              <w:textAlignment w:val="bottom"/>
            </w:pPr>
            <w:r>
              <w:rPr>
                <w:rFonts w:ascii="Arial" w:eastAsia="宋体" w:hAnsi="Arial" w:cs="Arial"/>
                <w:b/>
                <w:bCs/>
                <w:color w:val="000000"/>
                <w:sz w:val="13"/>
                <w:szCs w:val="13"/>
              </w:rPr>
              <w:t>183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A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AE"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B1"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B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B4"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B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B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B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BA" w14:textId="77777777" w:rsidR="006A3667" w:rsidRDefault="00045F32">
            <w:pPr>
              <w:jc w:val="right"/>
              <w:textAlignment w:val="bottom"/>
            </w:pPr>
            <w:r>
              <w:rPr>
                <w:rFonts w:ascii="Arial" w:eastAsia="宋体" w:hAnsi="Arial" w:cs="Arial"/>
                <w:b/>
                <w:bCs/>
                <w:color w:val="000000"/>
                <w:sz w:val="13"/>
                <w:szCs w:val="13"/>
              </w:rPr>
              <w:t>73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B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BD" w14:textId="77777777" w:rsidR="006A3667" w:rsidRDefault="00045F32">
            <w:pPr>
              <w:jc w:val="right"/>
              <w:textAlignment w:val="bottom"/>
            </w:pPr>
            <w:r>
              <w:rPr>
                <w:rFonts w:ascii="Arial" w:eastAsia="宋体" w:hAnsi="Arial" w:cs="Arial"/>
                <w:b/>
                <w:bCs/>
                <w:color w:val="000000"/>
                <w:sz w:val="13"/>
                <w:szCs w:val="13"/>
              </w:rPr>
              <w:t>85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B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C0" w14:textId="77777777" w:rsidR="006A3667" w:rsidRDefault="00045F32">
            <w:pPr>
              <w:jc w:val="right"/>
              <w:textAlignment w:val="bottom"/>
            </w:pPr>
            <w:r>
              <w:rPr>
                <w:rFonts w:ascii="Arial" w:eastAsia="宋体" w:hAnsi="Arial" w:cs="Arial"/>
                <w:b/>
                <w:bCs/>
                <w:color w:val="000000"/>
                <w:sz w:val="13"/>
                <w:szCs w:val="13"/>
              </w:rPr>
              <w:t>249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C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C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5FC3" w14:textId="77777777" w:rsidR="006A3667" w:rsidRDefault="00045F32">
            <w:pPr>
              <w:jc w:val="right"/>
              <w:textAlignment w:val="bottom"/>
            </w:pPr>
            <w:r>
              <w:rPr>
                <w:rFonts w:ascii="Arial" w:eastAsia="宋体" w:hAnsi="Arial" w:cs="Arial"/>
                <w:b/>
                <w:bCs/>
                <w:color w:val="000000"/>
                <w:sz w:val="13"/>
                <w:szCs w:val="13"/>
              </w:rPr>
              <w:t>268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5FC4" w14:textId="77777777" w:rsidR="006A3667" w:rsidRDefault="006A3667">
            <w:pPr>
              <w:jc w:val="right"/>
              <w:rPr>
                <w:rFonts w:ascii="宋体"/>
              </w:rPr>
            </w:pPr>
          </w:p>
        </w:tc>
      </w:tr>
      <w:tr w:rsidR="006A3667" w14:paraId="71D45FE4" w14:textId="77777777">
        <w:tc>
          <w:tcPr>
            <w:tcW w:w="0" w:type="auto"/>
            <w:gridSpan w:val="3"/>
            <w:shd w:val="clear" w:color="auto" w:fill="FFFFFF"/>
            <w:tcMar>
              <w:top w:w="40" w:type="dxa"/>
              <w:left w:w="395" w:type="dxa"/>
              <w:bottom w:w="40" w:type="dxa"/>
              <w:right w:w="20" w:type="dxa"/>
            </w:tcMar>
            <w:vAlign w:val="bottom"/>
          </w:tcPr>
          <w:p w14:paraId="71D45FC6" w14:textId="77777777" w:rsidR="006A3667" w:rsidRDefault="00045F32">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C7" w14:textId="77777777" w:rsidR="006A3667" w:rsidRDefault="00045F32">
            <w:pPr>
              <w:jc w:val="right"/>
              <w:textAlignment w:val="bottom"/>
            </w:pPr>
            <w:r>
              <w:rPr>
                <w:rFonts w:ascii="Arial" w:eastAsia="宋体" w:hAnsi="Arial" w:cs="Arial"/>
                <w:b/>
                <w:bCs/>
                <w:color w:val="000000"/>
                <w:sz w:val="13"/>
                <w:szCs w:val="13"/>
              </w:rPr>
              <w:t>491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C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C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CA" w14:textId="77777777" w:rsidR="006A3667" w:rsidRDefault="00045F32">
            <w:pPr>
              <w:jc w:val="right"/>
              <w:textAlignment w:val="bottom"/>
            </w:pPr>
            <w:r>
              <w:rPr>
                <w:rFonts w:ascii="Arial" w:eastAsia="宋体" w:hAnsi="Arial" w:cs="Arial"/>
                <w:b/>
                <w:bCs/>
                <w:color w:val="000000"/>
                <w:sz w:val="13"/>
                <w:szCs w:val="13"/>
              </w:rPr>
              <w:t>487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C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CD" w14:textId="77777777" w:rsidR="006A3667" w:rsidRDefault="00045F32">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C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D0" w14:textId="77777777" w:rsidR="006A3667" w:rsidRDefault="00045F32">
            <w:pPr>
              <w:jc w:val="right"/>
              <w:textAlignment w:val="bottom"/>
            </w:pPr>
            <w:r>
              <w:rPr>
                <w:rFonts w:ascii="Arial" w:eastAsia="宋体" w:hAnsi="Arial" w:cs="Arial"/>
                <w:b/>
                <w:bCs/>
                <w:color w:val="000000"/>
                <w:sz w:val="13"/>
                <w:szCs w:val="13"/>
              </w:rPr>
              <w:t>12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D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D3" w14:textId="77777777" w:rsidR="006A3667" w:rsidRDefault="00045F32">
            <w:pPr>
              <w:jc w:val="right"/>
              <w:textAlignment w:val="bottom"/>
            </w:pPr>
            <w:r>
              <w:rPr>
                <w:rFonts w:ascii="Arial" w:eastAsia="宋体" w:hAnsi="Arial" w:cs="Arial"/>
                <w:b/>
                <w:bCs/>
                <w:color w:val="000000"/>
                <w:sz w:val="13"/>
                <w:szCs w:val="13"/>
              </w:rPr>
              <w:t>989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D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D6" w14:textId="77777777" w:rsidR="006A3667" w:rsidRDefault="00045F32">
            <w:pPr>
              <w:jc w:val="right"/>
              <w:textAlignment w:val="bottom"/>
            </w:pPr>
            <w:r>
              <w:rPr>
                <w:rFonts w:ascii="Arial" w:eastAsia="宋体" w:hAnsi="Arial" w:cs="Arial"/>
                <w:b/>
                <w:bCs/>
                <w:color w:val="000000"/>
                <w:sz w:val="13"/>
                <w:szCs w:val="13"/>
              </w:rPr>
              <w:t>973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D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D9" w14:textId="77777777" w:rsidR="006A3667" w:rsidRDefault="00045F32">
            <w:pPr>
              <w:jc w:val="right"/>
              <w:textAlignment w:val="bottom"/>
            </w:pPr>
            <w:r>
              <w:rPr>
                <w:rFonts w:ascii="Arial" w:eastAsia="宋体" w:hAnsi="Arial" w:cs="Arial"/>
                <w:b/>
                <w:bCs/>
                <w:color w:val="000000"/>
                <w:sz w:val="13"/>
                <w:szCs w:val="13"/>
              </w:rPr>
              <w:t>2,995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D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DC" w14:textId="77777777" w:rsidR="006A3667" w:rsidRDefault="00045F32">
            <w:pPr>
              <w:jc w:val="right"/>
              <w:textAlignment w:val="bottom"/>
            </w:pPr>
            <w:r>
              <w:rPr>
                <w:rFonts w:ascii="Arial" w:eastAsia="宋体" w:hAnsi="Arial" w:cs="Arial"/>
                <w:b/>
                <w:bCs/>
                <w:color w:val="000000"/>
                <w:sz w:val="13"/>
                <w:szCs w:val="13"/>
              </w:rPr>
              <w:t>2,931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D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DF" w14:textId="77777777" w:rsidR="006A3667" w:rsidRDefault="00045F32">
            <w:pPr>
              <w:jc w:val="right"/>
              <w:textAlignment w:val="bottom"/>
            </w:pPr>
            <w:r>
              <w:rPr>
                <w:rFonts w:ascii="Arial" w:eastAsia="宋体" w:hAnsi="Arial" w:cs="Arial"/>
                <w:b/>
                <w:bCs/>
                <w:color w:val="000000"/>
                <w:sz w:val="13"/>
                <w:szCs w:val="13"/>
              </w:rPr>
              <w:t>4,487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E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5FE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5FE2" w14:textId="77777777" w:rsidR="006A3667" w:rsidRDefault="00045F32">
            <w:pPr>
              <w:jc w:val="right"/>
              <w:textAlignment w:val="bottom"/>
            </w:pPr>
            <w:r>
              <w:rPr>
                <w:rFonts w:ascii="Arial" w:eastAsia="宋体" w:hAnsi="Arial" w:cs="Arial"/>
                <w:b/>
                <w:bCs/>
                <w:color w:val="000000"/>
                <w:sz w:val="13"/>
                <w:szCs w:val="13"/>
              </w:rPr>
              <w:t>4,403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5FE3" w14:textId="77777777" w:rsidR="006A3667" w:rsidRDefault="006A3667">
            <w:pPr>
              <w:jc w:val="right"/>
              <w:rPr>
                <w:rFonts w:ascii="宋体"/>
              </w:rPr>
            </w:pPr>
          </w:p>
        </w:tc>
      </w:tr>
      <w:tr w:rsidR="00045F32" w14:paraId="71D4600D" w14:textId="77777777">
        <w:tc>
          <w:tcPr>
            <w:tcW w:w="0" w:type="auto"/>
            <w:gridSpan w:val="3"/>
            <w:shd w:val="clear" w:color="auto" w:fill="CCEEFF"/>
            <w:tcMar>
              <w:top w:w="40" w:type="dxa"/>
              <w:left w:w="20" w:type="dxa"/>
              <w:bottom w:w="40" w:type="dxa"/>
              <w:right w:w="20" w:type="dxa"/>
            </w:tcMar>
            <w:vAlign w:val="bottom"/>
          </w:tcPr>
          <w:p w14:paraId="71D45FE5" w14:textId="77777777" w:rsidR="006A3667" w:rsidRDefault="00045F32">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5FE6"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5FE7" w14:textId="77777777" w:rsidR="006A3667" w:rsidRDefault="00045F32">
            <w:pPr>
              <w:jc w:val="right"/>
              <w:textAlignment w:val="bottom"/>
            </w:pPr>
            <w:r>
              <w:rPr>
                <w:rFonts w:ascii="Arial" w:eastAsia="宋体" w:hAnsi="Arial" w:cs="Arial"/>
                <w:b/>
                <w:bCs/>
                <w:color w:val="000000"/>
                <w:sz w:val="13"/>
                <w:szCs w:val="13"/>
              </w:rPr>
              <w:t>1,384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F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E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5FEA"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5FEB" w14:textId="77777777" w:rsidR="006A3667" w:rsidRDefault="00045F32">
            <w:pPr>
              <w:jc w:val="right"/>
              <w:textAlignment w:val="bottom"/>
            </w:pPr>
            <w:r>
              <w:rPr>
                <w:rFonts w:ascii="Arial" w:eastAsia="宋体" w:hAnsi="Arial" w:cs="Arial"/>
                <w:b/>
                <w:bCs/>
                <w:color w:val="000000"/>
                <w:sz w:val="13"/>
                <w:szCs w:val="13"/>
              </w:rPr>
              <w:t>1,358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FE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E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5FEE"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5FEF" w14:textId="77777777" w:rsidR="006A3667" w:rsidRDefault="00045F32">
            <w:pPr>
              <w:jc w:val="right"/>
              <w:textAlignment w:val="bottom"/>
            </w:pPr>
            <w:r>
              <w:rPr>
                <w:rFonts w:ascii="Arial" w:eastAsia="宋体" w:hAnsi="Arial" w:cs="Arial"/>
                <w:b/>
                <w:bCs/>
                <w:color w:val="000000"/>
                <w:sz w:val="13"/>
                <w:szCs w:val="13"/>
              </w:rPr>
              <w:t>17,081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FF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F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5FF2"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5FF3" w14:textId="77777777" w:rsidR="006A3667" w:rsidRDefault="00045F32">
            <w:pPr>
              <w:jc w:val="right"/>
              <w:textAlignment w:val="bottom"/>
            </w:pPr>
            <w:r>
              <w:rPr>
                <w:rFonts w:ascii="Arial" w:eastAsia="宋体" w:hAnsi="Arial" w:cs="Arial"/>
                <w:b/>
                <w:bCs/>
                <w:color w:val="000000"/>
                <w:sz w:val="13"/>
                <w:szCs w:val="13"/>
              </w:rPr>
              <w:t>16,470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F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F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5FF6"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5FF7" w14:textId="77777777" w:rsidR="006A3667" w:rsidRDefault="00045F32">
            <w:pPr>
              <w:jc w:val="right"/>
              <w:textAlignment w:val="bottom"/>
            </w:pPr>
            <w:r>
              <w:rPr>
                <w:rFonts w:ascii="Arial" w:eastAsia="宋体" w:hAnsi="Arial" w:cs="Arial"/>
                <w:b/>
                <w:bCs/>
                <w:color w:val="000000"/>
                <w:sz w:val="13"/>
                <w:szCs w:val="13"/>
              </w:rPr>
              <w:t>6,120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F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F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5FFA"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5FFB" w14:textId="77777777" w:rsidR="006A3667" w:rsidRDefault="00045F32">
            <w:pPr>
              <w:jc w:val="right"/>
              <w:textAlignment w:val="bottom"/>
            </w:pPr>
            <w:r>
              <w:rPr>
                <w:rFonts w:ascii="Arial" w:eastAsia="宋体" w:hAnsi="Arial" w:cs="Arial"/>
                <w:b/>
                <w:bCs/>
                <w:color w:val="000000"/>
                <w:sz w:val="13"/>
                <w:szCs w:val="13"/>
              </w:rPr>
              <w:t>5,270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5F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5FF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5FFE"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5FFF" w14:textId="77777777" w:rsidR="006A3667" w:rsidRDefault="00045F32">
            <w:pPr>
              <w:jc w:val="right"/>
              <w:textAlignment w:val="bottom"/>
            </w:pPr>
            <w:r>
              <w:rPr>
                <w:rFonts w:ascii="Arial" w:eastAsia="宋体" w:hAnsi="Arial" w:cs="Arial"/>
                <w:b/>
                <w:bCs/>
                <w:color w:val="000000"/>
                <w:sz w:val="13"/>
                <w:szCs w:val="13"/>
              </w:rPr>
              <w:t>40,647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0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00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002"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003" w14:textId="77777777" w:rsidR="006A3667" w:rsidRDefault="00045F32">
            <w:pPr>
              <w:jc w:val="right"/>
              <w:textAlignment w:val="bottom"/>
            </w:pPr>
            <w:r>
              <w:rPr>
                <w:rFonts w:ascii="Arial" w:eastAsia="宋体" w:hAnsi="Arial" w:cs="Arial"/>
                <w:b/>
                <w:bCs/>
                <w:color w:val="000000"/>
                <w:sz w:val="13"/>
                <w:szCs w:val="13"/>
              </w:rPr>
              <w:t>35,222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0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00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006"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007" w14:textId="77777777" w:rsidR="006A3667" w:rsidRDefault="00045F32">
            <w:pPr>
              <w:jc w:val="right"/>
              <w:textAlignment w:val="bottom"/>
            </w:pPr>
            <w:r>
              <w:rPr>
                <w:rFonts w:ascii="Arial" w:eastAsia="宋体" w:hAnsi="Arial" w:cs="Arial"/>
                <w:b/>
                <w:bCs/>
                <w:color w:val="000000"/>
                <w:sz w:val="13"/>
                <w:szCs w:val="13"/>
              </w:rPr>
              <w:t>65,232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0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00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00A"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00B" w14:textId="77777777" w:rsidR="006A3667" w:rsidRDefault="00045F32">
            <w:pPr>
              <w:jc w:val="right"/>
              <w:textAlignment w:val="bottom"/>
            </w:pPr>
            <w:r>
              <w:rPr>
                <w:rFonts w:ascii="Arial" w:eastAsia="宋体" w:hAnsi="Arial" w:cs="Arial"/>
                <w:b/>
                <w:bCs/>
                <w:color w:val="000000"/>
                <w:sz w:val="13"/>
                <w:szCs w:val="13"/>
              </w:rPr>
              <w:t>58,320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00C" w14:textId="77777777" w:rsidR="006A3667" w:rsidRDefault="006A3667">
            <w:pPr>
              <w:jc w:val="right"/>
              <w:rPr>
                <w:rFonts w:ascii="宋体"/>
              </w:rPr>
            </w:pPr>
          </w:p>
        </w:tc>
      </w:tr>
      <w:tr w:rsidR="006A3667" w14:paraId="71D46022" w14:textId="77777777">
        <w:trPr>
          <w:trHeight w:val="60"/>
        </w:trPr>
        <w:tc>
          <w:tcPr>
            <w:tcW w:w="0" w:type="auto"/>
            <w:gridSpan w:val="3"/>
            <w:shd w:val="clear" w:color="auto" w:fill="auto"/>
            <w:tcMar>
              <w:top w:w="0" w:type="dxa"/>
              <w:left w:w="20" w:type="dxa"/>
              <w:bottom w:w="0" w:type="dxa"/>
              <w:right w:w="20" w:type="dxa"/>
            </w:tcMar>
            <w:vAlign w:val="bottom"/>
          </w:tcPr>
          <w:p w14:paraId="71D4600E"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0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10"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1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12"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1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14"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1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16"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1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1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1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1A"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1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1C"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1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1E"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1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20"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6021" w14:textId="77777777" w:rsidR="006A3667" w:rsidRDefault="006A3667">
            <w:pPr>
              <w:rPr>
                <w:rFonts w:ascii="宋体"/>
              </w:rPr>
            </w:pPr>
          </w:p>
        </w:tc>
      </w:tr>
      <w:tr w:rsidR="006A3667" w14:paraId="71D46037" w14:textId="77777777">
        <w:trPr>
          <w:hidden/>
        </w:trPr>
        <w:tc>
          <w:tcPr>
            <w:tcW w:w="0" w:type="auto"/>
            <w:gridSpan w:val="3"/>
            <w:shd w:val="clear" w:color="auto" w:fill="auto"/>
            <w:vAlign w:val="bottom"/>
          </w:tcPr>
          <w:p w14:paraId="71D46023" w14:textId="77777777" w:rsidR="006A3667" w:rsidRDefault="006A3667">
            <w:pPr>
              <w:rPr>
                <w:rFonts w:ascii="宋体"/>
                <w:vanish/>
              </w:rPr>
            </w:pPr>
          </w:p>
        </w:tc>
        <w:tc>
          <w:tcPr>
            <w:tcW w:w="0" w:type="auto"/>
            <w:gridSpan w:val="3"/>
            <w:shd w:val="clear" w:color="auto" w:fill="auto"/>
            <w:vAlign w:val="bottom"/>
          </w:tcPr>
          <w:p w14:paraId="71D46024" w14:textId="77777777" w:rsidR="006A3667" w:rsidRDefault="006A3667">
            <w:pPr>
              <w:rPr>
                <w:rFonts w:ascii="宋体"/>
                <w:vanish/>
              </w:rPr>
            </w:pPr>
          </w:p>
        </w:tc>
        <w:tc>
          <w:tcPr>
            <w:tcW w:w="0" w:type="auto"/>
            <w:gridSpan w:val="3"/>
            <w:shd w:val="clear" w:color="auto" w:fill="auto"/>
            <w:vAlign w:val="bottom"/>
          </w:tcPr>
          <w:p w14:paraId="71D46025" w14:textId="77777777" w:rsidR="006A3667" w:rsidRDefault="006A3667">
            <w:pPr>
              <w:rPr>
                <w:rFonts w:ascii="宋体"/>
                <w:vanish/>
              </w:rPr>
            </w:pPr>
          </w:p>
        </w:tc>
        <w:tc>
          <w:tcPr>
            <w:tcW w:w="0" w:type="auto"/>
            <w:gridSpan w:val="3"/>
            <w:shd w:val="clear" w:color="auto" w:fill="auto"/>
            <w:vAlign w:val="bottom"/>
          </w:tcPr>
          <w:p w14:paraId="71D46026" w14:textId="77777777" w:rsidR="006A3667" w:rsidRDefault="006A3667">
            <w:pPr>
              <w:rPr>
                <w:rFonts w:ascii="宋体"/>
                <w:vanish/>
              </w:rPr>
            </w:pPr>
          </w:p>
        </w:tc>
        <w:tc>
          <w:tcPr>
            <w:tcW w:w="0" w:type="auto"/>
            <w:gridSpan w:val="3"/>
            <w:shd w:val="clear" w:color="auto" w:fill="auto"/>
            <w:vAlign w:val="bottom"/>
          </w:tcPr>
          <w:p w14:paraId="71D46027" w14:textId="77777777" w:rsidR="006A3667" w:rsidRDefault="006A3667">
            <w:pPr>
              <w:rPr>
                <w:rFonts w:ascii="宋体"/>
                <w:vanish/>
              </w:rPr>
            </w:pPr>
          </w:p>
        </w:tc>
        <w:tc>
          <w:tcPr>
            <w:tcW w:w="0" w:type="auto"/>
            <w:gridSpan w:val="3"/>
            <w:shd w:val="clear" w:color="auto" w:fill="auto"/>
            <w:vAlign w:val="bottom"/>
          </w:tcPr>
          <w:p w14:paraId="71D46028" w14:textId="77777777" w:rsidR="006A3667" w:rsidRDefault="006A3667">
            <w:pPr>
              <w:rPr>
                <w:rFonts w:ascii="宋体"/>
                <w:vanish/>
              </w:rPr>
            </w:pPr>
          </w:p>
        </w:tc>
        <w:tc>
          <w:tcPr>
            <w:tcW w:w="0" w:type="auto"/>
            <w:gridSpan w:val="3"/>
            <w:shd w:val="clear" w:color="auto" w:fill="auto"/>
            <w:vAlign w:val="bottom"/>
          </w:tcPr>
          <w:p w14:paraId="71D46029" w14:textId="77777777" w:rsidR="006A3667" w:rsidRDefault="006A3667">
            <w:pPr>
              <w:rPr>
                <w:rFonts w:ascii="宋体"/>
                <w:vanish/>
              </w:rPr>
            </w:pPr>
          </w:p>
        </w:tc>
        <w:tc>
          <w:tcPr>
            <w:tcW w:w="0" w:type="auto"/>
            <w:gridSpan w:val="3"/>
            <w:shd w:val="clear" w:color="auto" w:fill="auto"/>
            <w:vAlign w:val="bottom"/>
          </w:tcPr>
          <w:p w14:paraId="71D4602A" w14:textId="77777777" w:rsidR="006A3667" w:rsidRDefault="006A3667">
            <w:pPr>
              <w:rPr>
                <w:rFonts w:ascii="宋体"/>
                <w:vanish/>
              </w:rPr>
            </w:pPr>
          </w:p>
        </w:tc>
        <w:tc>
          <w:tcPr>
            <w:tcW w:w="0" w:type="auto"/>
            <w:gridSpan w:val="3"/>
            <w:shd w:val="clear" w:color="auto" w:fill="auto"/>
            <w:vAlign w:val="bottom"/>
          </w:tcPr>
          <w:p w14:paraId="71D4602B" w14:textId="77777777" w:rsidR="006A3667" w:rsidRDefault="006A3667">
            <w:pPr>
              <w:rPr>
                <w:rFonts w:ascii="宋体"/>
                <w:vanish/>
              </w:rPr>
            </w:pPr>
          </w:p>
        </w:tc>
        <w:tc>
          <w:tcPr>
            <w:tcW w:w="0" w:type="auto"/>
            <w:gridSpan w:val="3"/>
            <w:shd w:val="clear" w:color="auto" w:fill="auto"/>
            <w:vAlign w:val="bottom"/>
          </w:tcPr>
          <w:p w14:paraId="71D4602C" w14:textId="77777777" w:rsidR="006A3667" w:rsidRDefault="006A3667">
            <w:pPr>
              <w:rPr>
                <w:rFonts w:ascii="宋体"/>
                <w:vanish/>
              </w:rPr>
            </w:pPr>
          </w:p>
        </w:tc>
        <w:tc>
          <w:tcPr>
            <w:tcW w:w="0" w:type="auto"/>
            <w:gridSpan w:val="3"/>
            <w:shd w:val="clear" w:color="auto" w:fill="auto"/>
            <w:vAlign w:val="bottom"/>
          </w:tcPr>
          <w:p w14:paraId="71D4602D" w14:textId="77777777" w:rsidR="006A3667" w:rsidRDefault="006A3667">
            <w:pPr>
              <w:rPr>
                <w:rFonts w:ascii="宋体"/>
                <w:vanish/>
              </w:rPr>
            </w:pPr>
          </w:p>
        </w:tc>
        <w:tc>
          <w:tcPr>
            <w:tcW w:w="0" w:type="auto"/>
            <w:gridSpan w:val="3"/>
            <w:shd w:val="clear" w:color="auto" w:fill="auto"/>
            <w:vAlign w:val="bottom"/>
          </w:tcPr>
          <w:p w14:paraId="71D4602E" w14:textId="77777777" w:rsidR="006A3667" w:rsidRDefault="006A3667">
            <w:pPr>
              <w:rPr>
                <w:rFonts w:ascii="宋体"/>
                <w:vanish/>
              </w:rPr>
            </w:pPr>
          </w:p>
        </w:tc>
        <w:tc>
          <w:tcPr>
            <w:tcW w:w="0" w:type="auto"/>
            <w:gridSpan w:val="3"/>
            <w:shd w:val="clear" w:color="auto" w:fill="auto"/>
            <w:vAlign w:val="bottom"/>
          </w:tcPr>
          <w:p w14:paraId="71D4602F" w14:textId="77777777" w:rsidR="006A3667" w:rsidRDefault="006A3667">
            <w:pPr>
              <w:rPr>
                <w:rFonts w:ascii="宋体"/>
                <w:vanish/>
              </w:rPr>
            </w:pPr>
          </w:p>
        </w:tc>
        <w:tc>
          <w:tcPr>
            <w:tcW w:w="0" w:type="auto"/>
            <w:gridSpan w:val="3"/>
            <w:shd w:val="clear" w:color="auto" w:fill="auto"/>
            <w:vAlign w:val="bottom"/>
          </w:tcPr>
          <w:p w14:paraId="71D46030" w14:textId="77777777" w:rsidR="006A3667" w:rsidRDefault="006A3667">
            <w:pPr>
              <w:rPr>
                <w:rFonts w:ascii="宋体"/>
                <w:vanish/>
              </w:rPr>
            </w:pPr>
          </w:p>
        </w:tc>
        <w:tc>
          <w:tcPr>
            <w:tcW w:w="0" w:type="auto"/>
            <w:gridSpan w:val="3"/>
            <w:shd w:val="clear" w:color="auto" w:fill="auto"/>
            <w:vAlign w:val="bottom"/>
          </w:tcPr>
          <w:p w14:paraId="71D46031" w14:textId="77777777" w:rsidR="006A3667" w:rsidRDefault="006A3667">
            <w:pPr>
              <w:rPr>
                <w:rFonts w:ascii="宋体"/>
                <w:vanish/>
              </w:rPr>
            </w:pPr>
          </w:p>
        </w:tc>
        <w:tc>
          <w:tcPr>
            <w:tcW w:w="0" w:type="auto"/>
            <w:gridSpan w:val="3"/>
            <w:shd w:val="clear" w:color="auto" w:fill="auto"/>
            <w:vAlign w:val="bottom"/>
          </w:tcPr>
          <w:p w14:paraId="71D46032" w14:textId="77777777" w:rsidR="006A3667" w:rsidRDefault="006A3667">
            <w:pPr>
              <w:rPr>
                <w:rFonts w:ascii="宋体"/>
                <w:vanish/>
              </w:rPr>
            </w:pPr>
          </w:p>
        </w:tc>
        <w:tc>
          <w:tcPr>
            <w:tcW w:w="0" w:type="auto"/>
            <w:gridSpan w:val="3"/>
            <w:shd w:val="clear" w:color="auto" w:fill="auto"/>
            <w:vAlign w:val="bottom"/>
          </w:tcPr>
          <w:p w14:paraId="71D46033" w14:textId="77777777" w:rsidR="006A3667" w:rsidRDefault="006A3667">
            <w:pPr>
              <w:rPr>
                <w:rFonts w:ascii="宋体"/>
                <w:vanish/>
              </w:rPr>
            </w:pPr>
          </w:p>
        </w:tc>
        <w:tc>
          <w:tcPr>
            <w:tcW w:w="0" w:type="auto"/>
            <w:gridSpan w:val="3"/>
            <w:shd w:val="clear" w:color="auto" w:fill="auto"/>
            <w:vAlign w:val="bottom"/>
          </w:tcPr>
          <w:p w14:paraId="71D46034" w14:textId="77777777" w:rsidR="006A3667" w:rsidRDefault="006A3667">
            <w:pPr>
              <w:rPr>
                <w:rFonts w:ascii="宋体"/>
                <w:vanish/>
              </w:rPr>
            </w:pPr>
          </w:p>
        </w:tc>
        <w:tc>
          <w:tcPr>
            <w:tcW w:w="0" w:type="auto"/>
            <w:gridSpan w:val="3"/>
            <w:shd w:val="clear" w:color="auto" w:fill="auto"/>
            <w:vAlign w:val="bottom"/>
          </w:tcPr>
          <w:p w14:paraId="71D46035" w14:textId="77777777" w:rsidR="006A3667" w:rsidRDefault="006A3667">
            <w:pPr>
              <w:rPr>
                <w:rFonts w:ascii="宋体"/>
                <w:vanish/>
              </w:rPr>
            </w:pPr>
          </w:p>
        </w:tc>
        <w:tc>
          <w:tcPr>
            <w:tcW w:w="0" w:type="auto"/>
            <w:gridSpan w:val="3"/>
            <w:shd w:val="clear" w:color="auto" w:fill="auto"/>
            <w:vAlign w:val="bottom"/>
          </w:tcPr>
          <w:p w14:paraId="71D46036" w14:textId="77777777" w:rsidR="006A3667" w:rsidRDefault="006A3667">
            <w:pPr>
              <w:rPr>
                <w:rFonts w:ascii="宋体"/>
                <w:vanish/>
              </w:rPr>
            </w:pPr>
          </w:p>
        </w:tc>
      </w:tr>
      <w:tr w:rsidR="006A3667" w14:paraId="71D4604C" w14:textId="77777777">
        <w:trPr>
          <w:hidden/>
        </w:trPr>
        <w:tc>
          <w:tcPr>
            <w:tcW w:w="0" w:type="auto"/>
            <w:gridSpan w:val="3"/>
            <w:shd w:val="clear" w:color="auto" w:fill="auto"/>
            <w:vAlign w:val="bottom"/>
          </w:tcPr>
          <w:p w14:paraId="71D46038" w14:textId="77777777" w:rsidR="006A3667" w:rsidRDefault="006A3667">
            <w:pPr>
              <w:rPr>
                <w:rFonts w:ascii="宋体"/>
                <w:vanish/>
              </w:rPr>
            </w:pPr>
          </w:p>
        </w:tc>
        <w:tc>
          <w:tcPr>
            <w:tcW w:w="0" w:type="auto"/>
            <w:gridSpan w:val="3"/>
            <w:shd w:val="clear" w:color="auto" w:fill="auto"/>
            <w:vAlign w:val="bottom"/>
          </w:tcPr>
          <w:p w14:paraId="71D46039" w14:textId="77777777" w:rsidR="006A3667" w:rsidRDefault="006A3667">
            <w:pPr>
              <w:rPr>
                <w:rFonts w:ascii="宋体"/>
                <w:vanish/>
              </w:rPr>
            </w:pPr>
          </w:p>
        </w:tc>
        <w:tc>
          <w:tcPr>
            <w:tcW w:w="0" w:type="auto"/>
            <w:gridSpan w:val="3"/>
            <w:shd w:val="clear" w:color="auto" w:fill="auto"/>
            <w:vAlign w:val="bottom"/>
          </w:tcPr>
          <w:p w14:paraId="71D4603A" w14:textId="77777777" w:rsidR="006A3667" w:rsidRDefault="006A3667">
            <w:pPr>
              <w:rPr>
                <w:rFonts w:ascii="宋体"/>
                <w:vanish/>
              </w:rPr>
            </w:pPr>
          </w:p>
        </w:tc>
        <w:tc>
          <w:tcPr>
            <w:tcW w:w="0" w:type="auto"/>
            <w:gridSpan w:val="3"/>
            <w:shd w:val="clear" w:color="auto" w:fill="auto"/>
            <w:vAlign w:val="bottom"/>
          </w:tcPr>
          <w:p w14:paraId="71D4603B" w14:textId="77777777" w:rsidR="006A3667" w:rsidRDefault="006A3667">
            <w:pPr>
              <w:rPr>
                <w:rFonts w:ascii="宋体"/>
                <w:vanish/>
              </w:rPr>
            </w:pPr>
          </w:p>
        </w:tc>
        <w:tc>
          <w:tcPr>
            <w:tcW w:w="0" w:type="auto"/>
            <w:gridSpan w:val="3"/>
            <w:shd w:val="clear" w:color="auto" w:fill="auto"/>
            <w:vAlign w:val="bottom"/>
          </w:tcPr>
          <w:p w14:paraId="71D4603C" w14:textId="77777777" w:rsidR="006A3667" w:rsidRDefault="006A3667">
            <w:pPr>
              <w:rPr>
                <w:rFonts w:ascii="宋体"/>
                <w:vanish/>
              </w:rPr>
            </w:pPr>
          </w:p>
        </w:tc>
        <w:tc>
          <w:tcPr>
            <w:tcW w:w="0" w:type="auto"/>
            <w:gridSpan w:val="3"/>
            <w:shd w:val="clear" w:color="auto" w:fill="auto"/>
            <w:vAlign w:val="bottom"/>
          </w:tcPr>
          <w:p w14:paraId="71D4603D" w14:textId="77777777" w:rsidR="006A3667" w:rsidRDefault="006A3667">
            <w:pPr>
              <w:rPr>
                <w:rFonts w:ascii="宋体"/>
                <w:vanish/>
              </w:rPr>
            </w:pPr>
          </w:p>
        </w:tc>
        <w:tc>
          <w:tcPr>
            <w:tcW w:w="0" w:type="auto"/>
            <w:gridSpan w:val="3"/>
            <w:shd w:val="clear" w:color="auto" w:fill="auto"/>
            <w:vAlign w:val="bottom"/>
          </w:tcPr>
          <w:p w14:paraId="71D4603E" w14:textId="77777777" w:rsidR="006A3667" w:rsidRDefault="006A3667">
            <w:pPr>
              <w:rPr>
                <w:rFonts w:ascii="宋体"/>
                <w:vanish/>
              </w:rPr>
            </w:pPr>
          </w:p>
        </w:tc>
        <w:tc>
          <w:tcPr>
            <w:tcW w:w="0" w:type="auto"/>
            <w:gridSpan w:val="3"/>
            <w:shd w:val="clear" w:color="auto" w:fill="auto"/>
            <w:vAlign w:val="bottom"/>
          </w:tcPr>
          <w:p w14:paraId="71D4603F" w14:textId="77777777" w:rsidR="006A3667" w:rsidRDefault="006A3667">
            <w:pPr>
              <w:rPr>
                <w:rFonts w:ascii="宋体"/>
                <w:vanish/>
              </w:rPr>
            </w:pPr>
          </w:p>
        </w:tc>
        <w:tc>
          <w:tcPr>
            <w:tcW w:w="0" w:type="auto"/>
            <w:gridSpan w:val="3"/>
            <w:shd w:val="clear" w:color="auto" w:fill="auto"/>
            <w:vAlign w:val="bottom"/>
          </w:tcPr>
          <w:p w14:paraId="71D46040" w14:textId="77777777" w:rsidR="006A3667" w:rsidRDefault="006A3667">
            <w:pPr>
              <w:rPr>
                <w:rFonts w:ascii="宋体"/>
                <w:vanish/>
              </w:rPr>
            </w:pPr>
          </w:p>
        </w:tc>
        <w:tc>
          <w:tcPr>
            <w:tcW w:w="0" w:type="auto"/>
            <w:gridSpan w:val="3"/>
            <w:shd w:val="clear" w:color="auto" w:fill="auto"/>
            <w:vAlign w:val="bottom"/>
          </w:tcPr>
          <w:p w14:paraId="71D46041" w14:textId="77777777" w:rsidR="006A3667" w:rsidRDefault="006A3667">
            <w:pPr>
              <w:rPr>
                <w:rFonts w:ascii="宋体"/>
                <w:vanish/>
              </w:rPr>
            </w:pPr>
          </w:p>
        </w:tc>
        <w:tc>
          <w:tcPr>
            <w:tcW w:w="0" w:type="auto"/>
            <w:gridSpan w:val="3"/>
            <w:shd w:val="clear" w:color="auto" w:fill="auto"/>
            <w:vAlign w:val="bottom"/>
          </w:tcPr>
          <w:p w14:paraId="71D46042" w14:textId="77777777" w:rsidR="006A3667" w:rsidRDefault="006A3667">
            <w:pPr>
              <w:rPr>
                <w:rFonts w:ascii="宋体"/>
                <w:vanish/>
              </w:rPr>
            </w:pPr>
          </w:p>
        </w:tc>
        <w:tc>
          <w:tcPr>
            <w:tcW w:w="0" w:type="auto"/>
            <w:gridSpan w:val="3"/>
            <w:shd w:val="clear" w:color="auto" w:fill="auto"/>
            <w:vAlign w:val="bottom"/>
          </w:tcPr>
          <w:p w14:paraId="71D46043" w14:textId="77777777" w:rsidR="006A3667" w:rsidRDefault="006A3667">
            <w:pPr>
              <w:rPr>
                <w:rFonts w:ascii="宋体"/>
                <w:vanish/>
              </w:rPr>
            </w:pPr>
          </w:p>
        </w:tc>
        <w:tc>
          <w:tcPr>
            <w:tcW w:w="0" w:type="auto"/>
            <w:gridSpan w:val="3"/>
            <w:shd w:val="clear" w:color="auto" w:fill="auto"/>
            <w:vAlign w:val="bottom"/>
          </w:tcPr>
          <w:p w14:paraId="71D46044" w14:textId="77777777" w:rsidR="006A3667" w:rsidRDefault="006A3667">
            <w:pPr>
              <w:rPr>
                <w:rFonts w:ascii="宋体"/>
                <w:vanish/>
              </w:rPr>
            </w:pPr>
          </w:p>
        </w:tc>
        <w:tc>
          <w:tcPr>
            <w:tcW w:w="0" w:type="auto"/>
            <w:gridSpan w:val="3"/>
            <w:shd w:val="clear" w:color="auto" w:fill="auto"/>
            <w:vAlign w:val="bottom"/>
          </w:tcPr>
          <w:p w14:paraId="71D46045" w14:textId="77777777" w:rsidR="006A3667" w:rsidRDefault="006A3667">
            <w:pPr>
              <w:rPr>
                <w:rFonts w:ascii="宋体"/>
                <w:vanish/>
              </w:rPr>
            </w:pPr>
          </w:p>
        </w:tc>
        <w:tc>
          <w:tcPr>
            <w:tcW w:w="0" w:type="auto"/>
            <w:gridSpan w:val="3"/>
            <w:shd w:val="clear" w:color="auto" w:fill="auto"/>
            <w:vAlign w:val="bottom"/>
          </w:tcPr>
          <w:p w14:paraId="71D46046" w14:textId="77777777" w:rsidR="006A3667" w:rsidRDefault="006A3667">
            <w:pPr>
              <w:rPr>
                <w:rFonts w:ascii="宋体"/>
                <w:vanish/>
              </w:rPr>
            </w:pPr>
          </w:p>
        </w:tc>
        <w:tc>
          <w:tcPr>
            <w:tcW w:w="0" w:type="auto"/>
            <w:gridSpan w:val="3"/>
            <w:shd w:val="clear" w:color="auto" w:fill="auto"/>
            <w:vAlign w:val="bottom"/>
          </w:tcPr>
          <w:p w14:paraId="71D46047" w14:textId="77777777" w:rsidR="006A3667" w:rsidRDefault="006A3667">
            <w:pPr>
              <w:rPr>
                <w:rFonts w:ascii="宋体"/>
                <w:vanish/>
              </w:rPr>
            </w:pPr>
          </w:p>
        </w:tc>
        <w:tc>
          <w:tcPr>
            <w:tcW w:w="0" w:type="auto"/>
            <w:gridSpan w:val="3"/>
            <w:shd w:val="clear" w:color="auto" w:fill="auto"/>
            <w:vAlign w:val="bottom"/>
          </w:tcPr>
          <w:p w14:paraId="71D46048" w14:textId="77777777" w:rsidR="006A3667" w:rsidRDefault="006A3667">
            <w:pPr>
              <w:rPr>
                <w:rFonts w:ascii="宋体"/>
                <w:vanish/>
              </w:rPr>
            </w:pPr>
          </w:p>
        </w:tc>
        <w:tc>
          <w:tcPr>
            <w:tcW w:w="0" w:type="auto"/>
            <w:gridSpan w:val="3"/>
            <w:shd w:val="clear" w:color="auto" w:fill="auto"/>
            <w:vAlign w:val="bottom"/>
          </w:tcPr>
          <w:p w14:paraId="71D46049" w14:textId="77777777" w:rsidR="006A3667" w:rsidRDefault="006A3667">
            <w:pPr>
              <w:rPr>
                <w:rFonts w:ascii="宋体"/>
                <w:vanish/>
              </w:rPr>
            </w:pPr>
          </w:p>
        </w:tc>
        <w:tc>
          <w:tcPr>
            <w:tcW w:w="0" w:type="auto"/>
            <w:gridSpan w:val="3"/>
            <w:shd w:val="clear" w:color="auto" w:fill="auto"/>
            <w:vAlign w:val="bottom"/>
          </w:tcPr>
          <w:p w14:paraId="71D4604A" w14:textId="77777777" w:rsidR="006A3667" w:rsidRDefault="006A3667">
            <w:pPr>
              <w:rPr>
                <w:rFonts w:ascii="宋体"/>
                <w:vanish/>
              </w:rPr>
            </w:pPr>
          </w:p>
        </w:tc>
        <w:tc>
          <w:tcPr>
            <w:tcW w:w="0" w:type="auto"/>
            <w:gridSpan w:val="3"/>
            <w:shd w:val="clear" w:color="auto" w:fill="auto"/>
            <w:vAlign w:val="bottom"/>
          </w:tcPr>
          <w:p w14:paraId="71D4604B" w14:textId="77777777" w:rsidR="006A3667" w:rsidRDefault="006A3667">
            <w:pPr>
              <w:rPr>
                <w:rFonts w:ascii="宋体"/>
                <w:vanish/>
              </w:rPr>
            </w:pPr>
          </w:p>
        </w:tc>
      </w:tr>
    </w:tbl>
    <w:p w14:paraId="71D4604D" w14:textId="77777777" w:rsidR="006A3667" w:rsidRDefault="00045F32">
      <w:pPr>
        <w:spacing w:before="60"/>
        <w:ind w:firstLine="450"/>
        <w:jc w:val="both"/>
      </w:pPr>
      <w:r>
        <w:rPr>
          <w:rFonts w:ascii="Arial" w:eastAsia="宋体" w:hAnsi="Arial" w:cs="Arial"/>
          <w:color w:val="000000"/>
          <w:sz w:val="20"/>
          <w:szCs w:val="20"/>
        </w:rPr>
        <w:t xml:space="preserve">Interest income related to debt securities is recognized in our consolidated statement of income using the effective interest method, or on a basis approximating a level rate of return </w:t>
      </w:r>
      <w:r>
        <w:rPr>
          <w:rFonts w:ascii="Arial" w:eastAsia="宋体" w:hAnsi="Arial" w:cs="Arial"/>
          <w:color w:val="000000"/>
          <w:sz w:val="20"/>
          <w:szCs w:val="20"/>
        </w:rPr>
        <w:t>over the contractual or estimated life of the security. The level rate of return considers any non-refundable fees or costs, as well as purchase premiums or discounts, adjusted as prepayments occur, resulting in amortization or accretion, accordingly.</w:t>
      </w:r>
    </w:p>
    <w:p w14:paraId="71D4604E" w14:textId="77777777" w:rsidR="006A3667" w:rsidRDefault="00045F32">
      <w:pPr>
        <w:ind w:firstLine="450"/>
        <w:jc w:val="right"/>
      </w:pPr>
      <w:r>
        <w:rPr>
          <w:rFonts w:ascii="Arial" w:eastAsia="宋体" w:hAnsi="Arial" w:cs="Arial"/>
          <w:color w:val="000000"/>
          <w:sz w:val="18"/>
          <w:szCs w:val="18"/>
        </w:rPr>
        <w:t>Stat</w:t>
      </w:r>
      <w:r>
        <w:rPr>
          <w:rFonts w:ascii="Arial" w:eastAsia="宋体" w:hAnsi="Arial" w:cs="Arial"/>
          <w:color w:val="000000"/>
          <w:sz w:val="18"/>
          <w:szCs w:val="18"/>
        </w:rPr>
        <w:t>e Street Corporation | 69</w:t>
      </w:r>
    </w:p>
    <w:p w14:paraId="71D4604F" w14:textId="77777777" w:rsidR="006A3667" w:rsidRDefault="006A3667">
      <w:pPr>
        <w:ind w:firstLine="450"/>
        <w:jc w:val="center"/>
      </w:pPr>
    </w:p>
    <w:p w14:paraId="71D46050" w14:textId="77777777" w:rsidR="006A3667" w:rsidRDefault="00045F32">
      <w:r>
        <w:pict w14:anchorId="71D4AC59">
          <v:rect id="_x0000_i1093" style="width:415.3pt;height:1.5pt" o:hralign="center" o:hrstd="t" o:hr="t" fillcolor="#a0a0a0" stroked="f"/>
        </w:pict>
      </w:r>
    </w:p>
    <w:p w14:paraId="71D46051" w14:textId="77777777" w:rsidR="006A3667" w:rsidRDefault="00045F32">
      <w:pPr>
        <w:ind w:firstLine="450"/>
        <w:jc w:val="center"/>
      </w:pPr>
      <w:r>
        <w:rPr>
          <w:rFonts w:ascii="Arial" w:eastAsia="宋体" w:hAnsi="Arial" w:cs="Arial"/>
          <w:b/>
          <w:bCs/>
          <w:color w:val="000000"/>
          <w:sz w:val="20"/>
          <w:szCs w:val="20"/>
        </w:rPr>
        <w:t>STATE STREET CORPORATION</w:t>
      </w:r>
    </w:p>
    <w:p w14:paraId="71D46052"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6053" w14:textId="77777777" w:rsidR="006A3667" w:rsidRDefault="00045F32">
      <w:pPr>
        <w:ind w:firstLine="450"/>
        <w:jc w:val="center"/>
      </w:pPr>
      <w:r>
        <w:rPr>
          <w:rFonts w:ascii="Arial" w:eastAsia="宋体" w:hAnsi="Arial" w:cs="Arial"/>
          <w:b/>
          <w:bCs/>
          <w:color w:val="000000"/>
          <w:sz w:val="20"/>
          <w:szCs w:val="20"/>
        </w:rPr>
        <w:t>(UNAUDITED)</w:t>
      </w:r>
    </w:p>
    <w:p w14:paraId="71D46054" w14:textId="77777777" w:rsidR="006A3667" w:rsidRDefault="00045F32">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71D46055" w14:textId="77777777" w:rsidR="006A3667" w:rsidRDefault="00045F32">
      <w:pPr>
        <w:spacing w:before="60"/>
        <w:ind w:firstLine="450"/>
        <w:jc w:val="both"/>
        <w:textAlignment w:val="top"/>
      </w:pPr>
      <w:r>
        <w:rPr>
          <w:rFonts w:ascii="Arial" w:eastAsia="宋体" w:hAnsi="Arial" w:cs="Arial"/>
          <w:color w:val="000000"/>
          <w:sz w:val="20"/>
          <w:szCs w:val="20"/>
        </w:rPr>
        <w:t xml:space="preserve">We conduct quarterly reviews of HTM and AFS </w:t>
      </w:r>
      <w:r>
        <w:rPr>
          <w:rFonts w:ascii="Arial" w:eastAsia="宋体" w:hAnsi="Arial" w:cs="Arial"/>
          <w:color w:val="000000"/>
          <w:sz w:val="20"/>
          <w:szCs w:val="20"/>
        </w:rPr>
        <w:t>securities on a collective (pool) basis when similar risk characteristics exist to determine whether an allowance for credit losses should be recognized. We review individual AFS securities periodically to assess if additional impairment is required. For a</w:t>
      </w:r>
      <w:r>
        <w:rPr>
          <w:rFonts w:ascii="Arial" w:eastAsia="宋体" w:hAnsi="Arial" w:cs="Arial"/>
          <w:color w:val="000000"/>
          <w:sz w:val="20"/>
          <w:szCs w:val="20"/>
        </w:rPr>
        <w:t>dditional information about the Current Expected Credit Loss methodology and the review of investment securities for expected credit losses or impairment, refer to pages 148 to 149 in Note 3 to the consolidated financial statements included under Item 8, F</w:t>
      </w:r>
      <w:r>
        <w:rPr>
          <w:rFonts w:ascii="Arial" w:eastAsia="宋体" w:hAnsi="Arial" w:cs="Arial"/>
          <w:color w:val="000000"/>
          <w:sz w:val="20"/>
          <w:szCs w:val="20"/>
        </w:rPr>
        <w:t>inancial Statements and Supplementary Data, in our 2021 Form 10-K.</w:t>
      </w:r>
    </w:p>
    <w:p w14:paraId="71D46056" w14:textId="77777777" w:rsidR="006A3667" w:rsidRDefault="00045F32">
      <w:pPr>
        <w:spacing w:before="60"/>
        <w:ind w:firstLine="450"/>
        <w:jc w:val="both"/>
        <w:textAlignment w:val="top"/>
      </w:pPr>
      <w:r>
        <w:rPr>
          <w:rFonts w:ascii="Arial" w:eastAsia="宋体" w:hAnsi="Arial" w:cs="Arial"/>
          <w:color w:val="000000"/>
          <w:sz w:val="20"/>
          <w:szCs w:val="20"/>
        </w:rPr>
        <w:t xml:space="preserve">We monitor the credit quality of the HTM and AFS investment securities using a variety of methods, including both external and internal credit ratings. As of September 30, 2022, 99% of our </w:t>
      </w:r>
      <w:r>
        <w:rPr>
          <w:rFonts w:ascii="Arial" w:eastAsia="宋体" w:hAnsi="Arial" w:cs="Arial"/>
          <w:color w:val="000000"/>
          <w:sz w:val="20"/>
          <w:szCs w:val="20"/>
        </w:rPr>
        <w:t>HTM and AFS investment portfolio is publicly rated investment grade.</w:t>
      </w:r>
    </w:p>
    <w:p w14:paraId="71D46057" w14:textId="77777777" w:rsidR="006A3667" w:rsidRDefault="00045F32">
      <w:pPr>
        <w:spacing w:before="60"/>
        <w:ind w:firstLine="450"/>
        <w:jc w:val="both"/>
        <w:textAlignment w:val="top"/>
      </w:pPr>
      <w:r>
        <w:rPr>
          <w:rFonts w:ascii="Arial" w:eastAsia="宋体" w:hAnsi="Arial" w:cs="Arial"/>
          <w:color w:val="000000"/>
          <w:sz w:val="20"/>
          <w:szCs w:val="20"/>
        </w:rPr>
        <w:t>We had no allowance for credit losses on our HTM securities as of both September 30, 2022 and December 31, 2021.</w:t>
      </w:r>
    </w:p>
    <w:p w14:paraId="71D46058" w14:textId="77777777" w:rsidR="006A3667" w:rsidRDefault="00045F32">
      <w:pPr>
        <w:spacing w:before="60"/>
        <w:ind w:firstLine="450"/>
        <w:jc w:val="both"/>
        <w:textAlignment w:val="top"/>
      </w:pPr>
      <w:r>
        <w:rPr>
          <w:rFonts w:ascii="Arial" w:eastAsia="宋体" w:hAnsi="Arial" w:cs="Arial"/>
          <w:color w:val="000000"/>
          <w:sz w:val="20"/>
          <w:szCs w:val="20"/>
        </w:rPr>
        <w:t>Our allowance for credit losses on our AFS securities was approximately $1</w:t>
      </w:r>
      <w:r>
        <w:rPr>
          <w:rFonts w:ascii="Arial" w:eastAsia="宋体" w:hAnsi="Arial" w:cs="Arial"/>
          <w:color w:val="000000"/>
          <w:sz w:val="20"/>
          <w:szCs w:val="20"/>
        </w:rPr>
        <w:t xml:space="preserve"> million and $2 million as of September 30, 2022 and December 31, 2021, respectively. In the third quarter of 2022, we recorded $1 million provision for credit losses and no  charge-offs on AFS securities.</w:t>
      </w:r>
    </w:p>
    <w:p w14:paraId="71D46059" w14:textId="77777777" w:rsidR="006A3667" w:rsidRDefault="00045F32">
      <w:pPr>
        <w:spacing w:before="60"/>
        <w:ind w:firstLine="450"/>
        <w:jc w:val="both"/>
        <w:textAlignment w:val="top"/>
      </w:pPr>
      <w:r>
        <w:rPr>
          <w:rFonts w:ascii="Arial" w:eastAsia="宋体" w:hAnsi="Arial" w:cs="Arial"/>
          <w:color w:val="000000"/>
          <w:sz w:val="20"/>
          <w:szCs w:val="20"/>
        </w:rPr>
        <w:t>We have elected to not record an allowance on accr</w:t>
      </w:r>
      <w:r>
        <w:rPr>
          <w:rFonts w:ascii="Arial" w:eastAsia="宋体" w:hAnsi="Arial" w:cs="Arial"/>
          <w:color w:val="000000"/>
          <w:sz w:val="20"/>
          <w:szCs w:val="20"/>
        </w:rPr>
        <w:t>ued interest for HTM and AFS securities. Accrued interest on these securities is reversed against interest income when payment on a security is delinquent for greater than 90 days from the date of payment.</w:t>
      </w:r>
    </w:p>
    <w:p w14:paraId="71D4605A" w14:textId="77777777" w:rsidR="006A3667" w:rsidRDefault="00045F32">
      <w:pPr>
        <w:spacing w:before="60"/>
        <w:ind w:firstLine="450"/>
        <w:jc w:val="both"/>
        <w:textAlignment w:val="top"/>
      </w:pPr>
      <w:r>
        <w:rPr>
          <w:rFonts w:ascii="Arial" w:eastAsia="宋体" w:hAnsi="Arial" w:cs="Arial"/>
          <w:color w:val="000000"/>
          <w:sz w:val="20"/>
          <w:szCs w:val="20"/>
        </w:rPr>
        <w:t>After a review of the investment portfolio, taking into consideration then-current economic conditions, adverse situations that might affect our ability to fully collect principal and interest, the timing of future payments, the credit quality and performa</w:t>
      </w:r>
      <w:r>
        <w:rPr>
          <w:rFonts w:ascii="Arial" w:eastAsia="宋体" w:hAnsi="Arial" w:cs="Arial"/>
          <w:color w:val="000000"/>
          <w:sz w:val="20"/>
          <w:szCs w:val="20"/>
        </w:rPr>
        <w:t>nce of the collateral underlying MBS and ABS and other relevant factors, management considered the resulting gross pre-tax unrealized losses of $8.32 billion related to 2,150 securities as of September 30, 2022 to be primarily related to changes in interes</w:t>
      </w:r>
      <w:r>
        <w:rPr>
          <w:rFonts w:ascii="Arial" w:eastAsia="宋体" w:hAnsi="Arial" w:cs="Arial"/>
          <w:color w:val="000000"/>
          <w:sz w:val="20"/>
          <w:szCs w:val="20"/>
        </w:rPr>
        <w:t xml:space="preserve">t rates, and not the result of any material changes in the credit characteristics of the securities. </w:t>
      </w:r>
    </w:p>
    <w:p w14:paraId="71D4605B" w14:textId="77777777" w:rsidR="006A3667" w:rsidRDefault="00045F32">
      <w:pPr>
        <w:spacing w:before="180"/>
        <w:textAlignment w:val="top"/>
      </w:pPr>
      <w:r>
        <w:rPr>
          <w:rFonts w:ascii="Arial" w:eastAsia="宋体" w:hAnsi="Arial" w:cs="Arial"/>
          <w:b/>
          <w:bCs/>
          <w:color w:val="000000"/>
          <w:sz w:val="20"/>
          <w:szCs w:val="20"/>
        </w:rPr>
        <w:t>Note 4.    Loans and Allowance for Credit Losses</w:t>
      </w:r>
    </w:p>
    <w:p w14:paraId="71D4605C" w14:textId="77777777" w:rsidR="006A3667" w:rsidRDefault="00045F32">
      <w:pPr>
        <w:spacing w:before="60"/>
        <w:ind w:firstLine="450"/>
        <w:jc w:val="both"/>
        <w:textAlignment w:val="top"/>
      </w:pPr>
      <w:r>
        <w:rPr>
          <w:rFonts w:ascii="Arial" w:eastAsia="宋体" w:hAnsi="Arial" w:cs="Arial"/>
          <w:color w:val="000000"/>
          <w:sz w:val="20"/>
          <w:szCs w:val="20"/>
        </w:rPr>
        <w:t>We segregate our loans into two segments: commercial and financial loans and commercial real estate loans</w:t>
      </w:r>
      <w:r>
        <w:rPr>
          <w:rFonts w:ascii="Arial" w:eastAsia="宋体" w:hAnsi="Arial" w:cs="Arial"/>
          <w:color w:val="000000"/>
          <w:sz w:val="20"/>
          <w:szCs w:val="20"/>
        </w:rPr>
        <w:t>. We further classify commercial and financial loans as fund finance loans, leveraged loans, overdrafts and other. These classifications reflect their risk characteristics, their initial measurement attributes and the methods we use to monitor and assess c</w:t>
      </w:r>
      <w:r>
        <w:rPr>
          <w:rFonts w:ascii="Arial" w:eastAsia="宋体" w:hAnsi="Arial" w:cs="Arial"/>
          <w:color w:val="000000"/>
          <w:sz w:val="20"/>
          <w:szCs w:val="20"/>
        </w:rPr>
        <w:t>redit risk. For additional information on our loans, including our internal risk-rating system used to assess our risk of credit loss for each loan, refer to pages 149 to 154 in Note 4 to the consolidated financial statements included under Item 8, Financi</w:t>
      </w:r>
      <w:r>
        <w:rPr>
          <w:rFonts w:ascii="Arial" w:eastAsia="宋体" w:hAnsi="Arial" w:cs="Arial"/>
          <w:color w:val="000000"/>
          <w:sz w:val="20"/>
          <w:szCs w:val="20"/>
        </w:rPr>
        <w:t>al Statements and Supplementary Data, in our 2021 Form 10-K.</w:t>
      </w:r>
    </w:p>
    <w:p w14:paraId="71D4605D" w14:textId="77777777" w:rsidR="006A3667" w:rsidRDefault="00045F32">
      <w:pPr>
        <w:spacing w:before="60"/>
        <w:ind w:firstLine="450"/>
        <w:jc w:val="both"/>
        <w:textAlignment w:val="top"/>
      </w:pPr>
      <w:r>
        <w:rPr>
          <w:rFonts w:ascii="Arial" w:eastAsia="宋体" w:hAnsi="Arial" w:cs="Arial"/>
          <w:color w:val="000000"/>
          <w:sz w:val="20"/>
          <w:szCs w:val="20"/>
        </w:rPr>
        <w:t>The following table presents our recorded investment in loans, by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2809"/>
        <w:gridCol w:w="37"/>
        <w:gridCol w:w="105"/>
        <w:gridCol w:w="2524"/>
        <w:gridCol w:w="36"/>
        <w:gridCol w:w="36"/>
        <w:gridCol w:w="75"/>
        <w:gridCol w:w="36"/>
        <w:gridCol w:w="105"/>
        <w:gridCol w:w="2419"/>
        <w:gridCol w:w="36"/>
        <w:gridCol w:w="36"/>
        <w:gridCol w:w="36"/>
      </w:tblGrid>
      <w:tr w:rsidR="006A3667" w14:paraId="71D4606C" w14:textId="77777777">
        <w:tc>
          <w:tcPr>
            <w:tcW w:w="50" w:type="pct"/>
            <w:shd w:val="clear" w:color="auto" w:fill="auto"/>
            <w:vAlign w:val="bottom"/>
          </w:tcPr>
          <w:p w14:paraId="71D4605E" w14:textId="77777777" w:rsidR="006A3667" w:rsidRDefault="006A3667">
            <w:pPr>
              <w:rPr>
                <w:rFonts w:ascii="宋体"/>
              </w:rPr>
            </w:pPr>
          </w:p>
        </w:tc>
        <w:tc>
          <w:tcPr>
            <w:tcW w:w="1721" w:type="pct"/>
            <w:shd w:val="clear" w:color="auto" w:fill="auto"/>
            <w:vAlign w:val="bottom"/>
          </w:tcPr>
          <w:p w14:paraId="71D4605F" w14:textId="77777777" w:rsidR="006A3667" w:rsidRDefault="006A3667">
            <w:pPr>
              <w:rPr>
                <w:rFonts w:ascii="宋体"/>
              </w:rPr>
            </w:pPr>
          </w:p>
        </w:tc>
        <w:tc>
          <w:tcPr>
            <w:tcW w:w="5" w:type="pct"/>
            <w:shd w:val="clear" w:color="auto" w:fill="auto"/>
            <w:vAlign w:val="bottom"/>
          </w:tcPr>
          <w:p w14:paraId="71D46060" w14:textId="77777777" w:rsidR="006A3667" w:rsidRDefault="006A3667">
            <w:pPr>
              <w:rPr>
                <w:rFonts w:ascii="宋体"/>
              </w:rPr>
            </w:pPr>
          </w:p>
        </w:tc>
        <w:tc>
          <w:tcPr>
            <w:tcW w:w="50" w:type="pct"/>
            <w:shd w:val="clear" w:color="auto" w:fill="auto"/>
            <w:vAlign w:val="bottom"/>
          </w:tcPr>
          <w:p w14:paraId="71D46061" w14:textId="77777777" w:rsidR="006A3667" w:rsidRDefault="006A3667">
            <w:pPr>
              <w:rPr>
                <w:rFonts w:ascii="宋体"/>
              </w:rPr>
            </w:pPr>
          </w:p>
        </w:tc>
        <w:tc>
          <w:tcPr>
            <w:tcW w:w="1548" w:type="pct"/>
            <w:shd w:val="clear" w:color="auto" w:fill="auto"/>
            <w:vAlign w:val="bottom"/>
          </w:tcPr>
          <w:p w14:paraId="71D46062" w14:textId="77777777" w:rsidR="006A3667" w:rsidRDefault="006A3667">
            <w:pPr>
              <w:rPr>
                <w:rFonts w:ascii="宋体"/>
              </w:rPr>
            </w:pPr>
          </w:p>
        </w:tc>
        <w:tc>
          <w:tcPr>
            <w:tcW w:w="5" w:type="pct"/>
            <w:shd w:val="clear" w:color="auto" w:fill="auto"/>
            <w:vAlign w:val="bottom"/>
          </w:tcPr>
          <w:p w14:paraId="71D46063" w14:textId="77777777" w:rsidR="006A3667" w:rsidRDefault="006A3667">
            <w:pPr>
              <w:rPr>
                <w:rFonts w:ascii="宋体"/>
              </w:rPr>
            </w:pPr>
          </w:p>
        </w:tc>
        <w:tc>
          <w:tcPr>
            <w:tcW w:w="5" w:type="pct"/>
            <w:shd w:val="clear" w:color="auto" w:fill="auto"/>
            <w:vAlign w:val="bottom"/>
          </w:tcPr>
          <w:p w14:paraId="71D46064" w14:textId="77777777" w:rsidR="006A3667" w:rsidRDefault="006A3667">
            <w:pPr>
              <w:rPr>
                <w:rFonts w:ascii="宋体"/>
              </w:rPr>
            </w:pPr>
          </w:p>
        </w:tc>
        <w:tc>
          <w:tcPr>
            <w:tcW w:w="68" w:type="pct"/>
            <w:shd w:val="clear" w:color="auto" w:fill="auto"/>
            <w:vAlign w:val="bottom"/>
          </w:tcPr>
          <w:p w14:paraId="71D46065" w14:textId="77777777" w:rsidR="006A3667" w:rsidRDefault="006A3667">
            <w:pPr>
              <w:rPr>
                <w:rFonts w:ascii="宋体"/>
              </w:rPr>
            </w:pPr>
          </w:p>
        </w:tc>
        <w:tc>
          <w:tcPr>
            <w:tcW w:w="5" w:type="pct"/>
            <w:shd w:val="clear" w:color="auto" w:fill="auto"/>
            <w:vAlign w:val="bottom"/>
          </w:tcPr>
          <w:p w14:paraId="71D46066" w14:textId="77777777" w:rsidR="006A3667" w:rsidRDefault="006A3667">
            <w:pPr>
              <w:rPr>
                <w:rFonts w:ascii="宋体"/>
              </w:rPr>
            </w:pPr>
          </w:p>
        </w:tc>
        <w:tc>
          <w:tcPr>
            <w:tcW w:w="50" w:type="pct"/>
            <w:shd w:val="clear" w:color="auto" w:fill="auto"/>
            <w:vAlign w:val="bottom"/>
          </w:tcPr>
          <w:p w14:paraId="71D46067" w14:textId="77777777" w:rsidR="006A3667" w:rsidRDefault="006A3667">
            <w:pPr>
              <w:rPr>
                <w:rFonts w:ascii="宋体"/>
              </w:rPr>
            </w:pPr>
          </w:p>
        </w:tc>
        <w:tc>
          <w:tcPr>
            <w:tcW w:w="1485" w:type="pct"/>
            <w:shd w:val="clear" w:color="auto" w:fill="auto"/>
            <w:vAlign w:val="bottom"/>
          </w:tcPr>
          <w:p w14:paraId="71D46068" w14:textId="77777777" w:rsidR="006A3667" w:rsidRDefault="006A3667">
            <w:pPr>
              <w:rPr>
                <w:rFonts w:ascii="宋体"/>
              </w:rPr>
            </w:pPr>
          </w:p>
        </w:tc>
        <w:tc>
          <w:tcPr>
            <w:tcW w:w="5" w:type="pct"/>
            <w:shd w:val="clear" w:color="auto" w:fill="auto"/>
            <w:vAlign w:val="bottom"/>
          </w:tcPr>
          <w:p w14:paraId="71D46069" w14:textId="77777777" w:rsidR="006A3667" w:rsidRDefault="006A3667">
            <w:pPr>
              <w:rPr>
                <w:rFonts w:ascii="宋体"/>
              </w:rPr>
            </w:pPr>
          </w:p>
        </w:tc>
        <w:tc>
          <w:tcPr>
            <w:tcW w:w="0" w:type="auto"/>
            <w:shd w:val="clear" w:color="auto" w:fill="auto"/>
            <w:vAlign w:val="bottom"/>
          </w:tcPr>
          <w:p w14:paraId="71D4606A" w14:textId="77777777" w:rsidR="006A3667" w:rsidRDefault="006A3667">
            <w:pPr>
              <w:rPr>
                <w:rFonts w:ascii="宋体"/>
                <w:vanish/>
              </w:rPr>
            </w:pPr>
          </w:p>
        </w:tc>
        <w:tc>
          <w:tcPr>
            <w:tcW w:w="0" w:type="auto"/>
            <w:shd w:val="clear" w:color="auto" w:fill="auto"/>
            <w:vAlign w:val="bottom"/>
          </w:tcPr>
          <w:p w14:paraId="71D4606B" w14:textId="77777777" w:rsidR="006A3667" w:rsidRDefault="006A3667">
            <w:pPr>
              <w:rPr>
                <w:rFonts w:ascii="宋体"/>
                <w:vanish/>
              </w:rPr>
            </w:pPr>
          </w:p>
        </w:tc>
      </w:tr>
      <w:tr w:rsidR="006A3667" w14:paraId="71D46073" w14:textId="77777777">
        <w:tc>
          <w:tcPr>
            <w:tcW w:w="0" w:type="auto"/>
            <w:gridSpan w:val="3"/>
            <w:shd w:val="clear" w:color="auto" w:fill="auto"/>
            <w:tcMar>
              <w:top w:w="40" w:type="dxa"/>
              <w:left w:w="20" w:type="dxa"/>
              <w:bottom w:w="40" w:type="dxa"/>
              <w:right w:w="20" w:type="dxa"/>
            </w:tcMar>
            <w:vAlign w:val="bottom"/>
          </w:tcPr>
          <w:p w14:paraId="71D4606D" w14:textId="77777777" w:rsidR="006A3667" w:rsidRDefault="00045F32">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71D4606E" w14:textId="77777777" w:rsidR="006A3667" w:rsidRDefault="00045F32">
            <w:pPr>
              <w:jc w:val="center"/>
              <w:textAlignment w:val="bottom"/>
            </w:pPr>
            <w:r>
              <w:rPr>
                <w:rFonts w:ascii="Arial" w:eastAsia="宋体" w:hAnsi="Arial" w:cs="Arial"/>
                <w:b/>
                <w:bCs/>
                <w:color w:val="000000"/>
                <w:sz w:val="15"/>
                <w:szCs w:val="15"/>
              </w:rPr>
              <w:t>September 30, 2022</w:t>
            </w:r>
          </w:p>
        </w:tc>
        <w:tc>
          <w:tcPr>
            <w:tcW w:w="0" w:type="auto"/>
            <w:gridSpan w:val="3"/>
            <w:shd w:val="clear" w:color="auto" w:fill="auto"/>
            <w:tcMar>
              <w:top w:w="0" w:type="dxa"/>
              <w:left w:w="20" w:type="dxa"/>
              <w:bottom w:w="0" w:type="dxa"/>
              <w:right w:w="20" w:type="dxa"/>
            </w:tcMar>
            <w:vAlign w:val="bottom"/>
          </w:tcPr>
          <w:p w14:paraId="71D4606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070" w14:textId="77777777" w:rsidR="006A3667" w:rsidRDefault="00045F32">
            <w:pPr>
              <w:jc w:val="center"/>
              <w:textAlignment w:val="bottom"/>
            </w:pPr>
            <w:r>
              <w:rPr>
                <w:rFonts w:ascii="Arial" w:eastAsia="宋体" w:hAnsi="Arial" w:cs="Arial"/>
                <w:b/>
                <w:bCs/>
                <w:color w:val="000000"/>
                <w:sz w:val="15"/>
                <w:szCs w:val="15"/>
              </w:rPr>
              <w:t>December 31, 2021</w:t>
            </w:r>
          </w:p>
        </w:tc>
        <w:tc>
          <w:tcPr>
            <w:tcW w:w="0" w:type="auto"/>
            <w:shd w:val="clear" w:color="auto" w:fill="auto"/>
            <w:vAlign w:val="bottom"/>
          </w:tcPr>
          <w:p w14:paraId="71D46071" w14:textId="77777777" w:rsidR="006A3667" w:rsidRDefault="006A3667">
            <w:pPr>
              <w:rPr>
                <w:rFonts w:ascii="宋体"/>
                <w:vanish/>
              </w:rPr>
            </w:pPr>
          </w:p>
        </w:tc>
        <w:tc>
          <w:tcPr>
            <w:tcW w:w="0" w:type="auto"/>
            <w:shd w:val="clear" w:color="auto" w:fill="auto"/>
            <w:vAlign w:val="bottom"/>
          </w:tcPr>
          <w:p w14:paraId="71D46072" w14:textId="77777777" w:rsidR="006A3667" w:rsidRDefault="006A3667">
            <w:pPr>
              <w:rPr>
                <w:rFonts w:ascii="宋体"/>
                <w:vanish/>
              </w:rPr>
            </w:pPr>
          </w:p>
        </w:tc>
      </w:tr>
      <w:tr w:rsidR="006A3667" w14:paraId="71D4607A" w14:textId="77777777">
        <w:tc>
          <w:tcPr>
            <w:tcW w:w="0" w:type="auto"/>
            <w:gridSpan w:val="3"/>
            <w:shd w:val="clear" w:color="auto" w:fill="auto"/>
            <w:tcMar>
              <w:top w:w="40" w:type="dxa"/>
              <w:left w:w="20" w:type="dxa"/>
              <w:bottom w:w="40" w:type="dxa"/>
              <w:right w:w="20" w:type="dxa"/>
            </w:tcMar>
            <w:vAlign w:val="bottom"/>
          </w:tcPr>
          <w:p w14:paraId="71D46074" w14:textId="77777777" w:rsidR="006A3667" w:rsidRDefault="00045F32">
            <w:pPr>
              <w:textAlignment w:val="bottom"/>
            </w:pPr>
            <w:r>
              <w:rPr>
                <w:rFonts w:ascii="Arial" w:eastAsia="宋体" w:hAnsi="Arial" w:cs="Arial"/>
                <w:b/>
                <w:bCs/>
                <w:color w:val="000000"/>
                <w:sz w:val="15"/>
                <w:szCs w:val="15"/>
              </w:rPr>
              <w:t>Domestic</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0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7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077" w14:textId="77777777" w:rsidR="006A3667" w:rsidRDefault="006A3667">
            <w:pPr>
              <w:rPr>
                <w:rFonts w:ascii="宋体"/>
              </w:rPr>
            </w:pPr>
          </w:p>
        </w:tc>
        <w:tc>
          <w:tcPr>
            <w:tcW w:w="0" w:type="auto"/>
            <w:shd w:val="clear" w:color="auto" w:fill="auto"/>
            <w:vAlign w:val="bottom"/>
          </w:tcPr>
          <w:p w14:paraId="71D46078" w14:textId="77777777" w:rsidR="006A3667" w:rsidRDefault="006A3667">
            <w:pPr>
              <w:rPr>
                <w:rFonts w:ascii="宋体"/>
                <w:vanish/>
              </w:rPr>
            </w:pPr>
          </w:p>
        </w:tc>
        <w:tc>
          <w:tcPr>
            <w:tcW w:w="0" w:type="auto"/>
            <w:shd w:val="clear" w:color="auto" w:fill="auto"/>
            <w:vAlign w:val="bottom"/>
          </w:tcPr>
          <w:p w14:paraId="71D46079" w14:textId="77777777" w:rsidR="006A3667" w:rsidRDefault="006A3667">
            <w:pPr>
              <w:rPr>
                <w:rFonts w:ascii="宋体"/>
                <w:vanish/>
              </w:rPr>
            </w:pPr>
          </w:p>
        </w:tc>
      </w:tr>
      <w:tr w:rsidR="006A3667" w14:paraId="71D46081" w14:textId="77777777">
        <w:tc>
          <w:tcPr>
            <w:tcW w:w="0" w:type="auto"/>
            <w:gridSpan w:val="3"/>
            <w:shd w:val="clear" w:color="auto" w:fill="auto"/>
            <w:tcMar>
              <w:top w:w="40" w:type="dxa"/>
              <w:left w:w="155" w:type="dxa"/>
              <w:bottom w:w="40" w:type="dxa"/>
              <w:right w:w="20" w:type="dxa"/>
            </w:tcMar>
            <w:vAlign w:val="bottom"/>
          </w:tcPr>
          <w:p w14:paraId="71D4607B" w14:textId="77777777" w:rsidR="006A3667" w:rsidRDefault="00045F32">
            <w:pPr>
              <w:textAlignment w:val="bottom"/>
            </w:pPr>
            <w:r>
              <w:rPr>
                <w:rFonts w:ascii="Arial" w:eastAsia="宋体" w:hAnsi="Arial" w:cs="Arial"/>
                <w:color w:val="000000"/>
                <w:sz w:val="15"/>
                <w:szCs w:val="15"/>
              </w:rPr>
              <w:t>Commercial and financial:</w:t>
            </w:r>
          </w:p>
        </w:tc>
        <w:tc>
          <w:tcPr>
            <w:tcW w:w="0" w:type="auto"/>
            <w:gridSpan w:val="3"/>
            <w:shd w:val="clear" w:color="auto" w:fill="auto"/>
            <w:tcMar>
              <w:top w:w="0" w:type="dxa"/>
              <w:left w:w="20" w:type="dxa"/>
              <w:bottom w:w="0" w:type="dxa"/>
              <w:right w:w="20" w:type="dxa"/>
            </w:tcMar>
            <w:vAlign w:val="bottom"/>
          </w:tcPr>
          <w:p w14:paraId="71D4607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7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07E" w14:textId="77777777" w:rsidR="006A3667" w:rsidRDefault="006A3667">
            <w:pPr>
              <w:rPr>
                <w:rFonts w:ascii="宋体"/>
              </w:rPr>
            </w:pPr>
          </w:p>
        </w:tc>
        <w:tc>
          <w:tcPr>
            <w:tcW w:w="0" w:type="auto"/>
            <w:shd w:val="clear" w:color="auto" w:fill="auto"/>
            <w:vAlign w:val="bottom"/>
          </w:tcPr>
          <w:p w14:paraId="71D4607F" w14:textId="77777777" w:rsidR="006A3667" w:rsidRDefault="006A3667">
            <w:pPr>
              <w:rPr>
                <w:rFonts w:ascii="宋体"/>
                <w:vanish/>
              </w:rPr>
            </w:pPr>
          </w:p>
        </w:tc>
        <w:tc>
          <w:tcPr>
            <w:tcW w:w="0" w:type="auto"/>
            <w:shd w:val="clear" w:color="auto" w:fill="auto"/>
            <w:vAlign w:val="bottom"/>
          </w:tcPr>
          <w:p w14:paraId="71D46080" w14:textId="77777777" w:rsidR="006A3667" w:rsidRDefault="006A3667">
            <w:pPr>
              <w:rPr>
                <w:rFonts w:ascii="宋体"/>
                <w:vanish/>
              </w:rPr>
            </w:pPr>
          </w:p>
        </w:tc>
      </w:tr>
      <w:tr w:rsidR="006A3667" w14:paraId="71D4608C" w14:textId="77777777">
        <w:tc>
          <w:tcPr>
            <w:tcW w:w="0" w:type="auto"/>
            <w:gridSpan w:val="3"/>
            <w:shd w:val="clear" w:color="auto" w:fill="CCEEFF"/>
            <w:tcMar>
              <w:top w:w="40" w:type="dxa"/>
              <w:left w:w="20" w:type="dxa"/>
              <w:bottom w:w="40" w:type="dxa"/>
              <w:right w:w="20" w:type="dxa"/>
            </w:tcMar>
            <w:vAlign w:val="bottom"/>
          </w:tcPr>
          <w:p w14:paraId="71D46082" w14:textId="77777777" w:rsidR="006A3667" w:rsidRDefault="00045F32">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71D46083"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6084" w14:textId="77777777" w:rsidR="006A3667" w:rsidRDefault="00045F32">
            <w:pPr>
              <w:jc w:val="right"/>
              <w:textAlignment w:val="bottom"/>
            </w:pPr>
            <w:r>
              <w:rPr>
                <w:rFonts w:ascii="Arial" w:eastAsia="宋体" w:hAnsi="Arial" w:cs="Arial"/>
                <w:b/>
                <w:bCs/>
                <w:color w:val="000000"/>
                <w:sz w:val="15"/>
                <w:szCs w:val="15"/>
              </w:rPr>
              <w:t>12,094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608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08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087"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6088" w14:textId="77777777" w:rsidR="006A3667" w:rsidRDefault="00045F32">
            <w:pPr>
              <w:jc w:val="right"/>
              <w:textAlignment w:val="bottom"/>
            </w:pPr>
            <w:r>
              <w:rPr>
                <w:rFonts w:ascii="Arial" w:eastAsia="宋体" w:hAnsi="Arial" w:cs="Arial"/>
                <w:color w:val="000000"/>
                <w:sz w:val="15"/>
                <w:szCs w:val="15"/>
              </w:rPr>
              <w:t>12,396 </w:t>
            </w:r>
          </w:p>
        </w:tc>
        <w:tc>
          <w:tcPr>
            <w:tcW w:w="0" w:type="auto"/>
            <w:shd w:val="clear" w:color="auto" w:fill="CCEEFF"/>
            <w:tcMar>
              <w:top w:w="40" w:type="dxa"/>
              <w:left w:w="0" w:type="dxa"/>
              <w:bottom w:w="40" w:type="dxa"/>
              <w:right w:w="20" w:type="dxa"/>
            </w:tcMar>
            <w:vAlign w:val="bottom"/>
          </w:tcPr>
          <w:p w14:paraId="71D46089" w14:textId="77777777" w:rsidR="006A3667" w:rsidRDefault="006A3667">
            <w:pPr>
              <w:jc w:val="right"/>
              <w:rPr>
                <w:rFonts w:ascii="宋体"/>
              </w:rPr>
            </w:pPr>
          </w:p>
        </w:tc>
        <w:tc>
          <w:tcPr>
            <w:tcW w:w="0" w:type="auto"/>
            <w:shd w:val="clear" w:color="auto" w:fill="auto"/>
            <w:vAlign w:val="bottom"/>
          </w:tcPr>
          <w:p w14:paraId="71D4608A" w14:textId="77777777" w:rsidR="006A3667" w:rsidRDefault="006A3667">
            <w:pPr>
              <w:rPr>
                <w:rFonts w:ascii="宋体"/>
                <w:vanish/>
              </w:rPr>
            </w:pPr>
          </w:p>
        </w:tc>
        <w:tc>
          <w:tcPr>
            <w:tcW w:w="0" w:type="auto"/>
            <w:shd w:val="clear" w:color="auto" w:fill="auto"/>
            <w:vAlign w:val="bottom"/>
          </w:tcPr>
          <w:p w14:paraId="71D4608B" w14:textId="77777777" w:rsidR="006A3667" w:rsidRDefault="006A3667">
            <w:pPr>
              <w:rPr>
                <w:rFonts w:ascii="宋体"/>
                <w:vanish/>
              </w:rPr>
            </w:pPr>
          </w:p>
        </w:tc>
      </w:tr>
      <w:tr w:rsidR="006A3667" w14:paraId="71D46095" w14:textId="77777777">
        <w:tc>
          <w:tcPr>
            <w:tcW w:w="0" w:type="auto"/>
            <w:gridSpan w:val="3"/>
            <w:shd w:val="clear" w:color="auto" w:fill="FFFFFF"/>
            <w:tcMar>
              <w:top w:w="40" w:type="dxa"/>
              <w:left w:w="245" w:type="dxa"/>
              <w:bottom w:w="40" w:type="dxa"/>
              <w:right w:w="20" w:type="dxa"/>
            </w:tcMar>
            <w:vAlign w:val="bottom"/>
          </w:tcPr>
          <w:p w14:paraId="71D4608D" w14:textId="77777777" w:rsidR="006A3667" w:rsidRDefault="00045F32">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71D4608E" w14:textId="77777777" w:rsidR="006A3667" w:rsidRDefault="00045F32">
            <w:pPr>
              <w:jc w:val="right"/>
              <w:textAlignment w:val="bottom"/>
            </w:pPr>
            <w:r>
              <w:rPr>
                <w:rFonts w:ascii="Arial" w:eastAsia="宋体" w:hAnsi="Arial" w:cs="Arial"/>
                <w:b/>
                <w:bCs/>
                <w:color w:val="000000"/>
                <w:sz w:val="15"/>
                <w:szCs w:val="15"/>
              </w:rPr>
              <w:t>2,346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608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09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091" w14:textId="77777777" w:rsidR="006A3667" w:rsidRDefault="00045F32">
            <w:pPr>
              <w:jc w:val="right"/>
              <w:textAlignment w:val="bottom"/>
            </w:pPr>
            <w:r>
              <w:rPr>
                <w:rFonts w:ascii="Arial" w:eastAsia="宋体" w:hAnsi="Arial" w:cs="Arial"/>
                <w:color w:val="000000"/>
                <w:sz w:val="15"/>
                <w:szCs w:val="15"/>
              </w:rPr>
              <w:t>3,106 </w:t>
            </w:r>
          </w:p>
        </w:tc>
        <w:tc>
          <w:tcPr>
            <w:tcW w:w="0" w:type="auto"/>
            <w:shd w:val="clear" w:color="auto" w:fill="FFFFFF"/>
            <w:tcMar>
              <w:top w:w="40" w:type="dxa"/>
              <w:left w:w="0" w:type="dxa"/>
              <w:bottom w:w="40" w:type="dxa"/>
              <w:right w:w="20" w:type="dxa"/>
            </w:tcMar>
            <w:vAlign w:val="bottom"/>
          </w:tcPr>
          <w:p w14:paraId="71D46092" w14:textId="77777777" w:rsidR="006A3667" w:rsidRDefault="006A3667">
            <w:pPr>
              <w:jc w:val="right"/>
              <w:rPr>
                <w:rFonts w:ascii="宋体"/>
              </w:rPr>
            </w:pPr>
          </w:p>
        </w:tc>
        <w:tc>
          <w:tcPr>
            <w:tcW w:w="0" w:type="auto"/>
            <w:shd w:val="clear" w:color="auto" w:fill="auto"/>
            <w:vAlign w:val="bottom"/>
          </w:tcPr>
          <w:p w14:paraId="71D46093" w14:textId="77777777" w:rsidR="006A3667" w:rsidRDefault="006A3667">
            <w:pPr>
              <w:rPr>
                <w:rFonts w:ascii="宋体"/>
                <w:vanish/>
              </w:rPr>
            </w:pPr>
          </w:p>
        </w:tc>
        <w:tc>
          <w:tcPr>
            <w:tcW w:w="0" w:type="auto"/>
            <w:shd w:val="clear" w:color="auto" w:fill="auto"/>
            <w:vAlign w:val="bottom"/>
          </w:tcPr>
          <w:p w14:paraId="71D46094" w14:textId="77777777" w:rsidR="006A3667" w:rsidRDefault="006A3667">
            <w:pPr>
              <w:rPr>
                <w:rFonts w:ascii="宋体"/>
                <w:vanish/>
              </w:rPr>
            </w:pPr>
          </w:p>
        </w:tc>
      </w:tr>
      <w:tr w:rsidR="006A3667" w14:paraId="71D4609C" w14:textId="77777777">
        <w:trPr>
          <w:hidden/>
        </w:trPr>
        <w:tc>
          <w:tcPr>
            <w:tcW w:w="0" w:type="auto"/>
            <w:gridSpan w:val="3"/>
            <w:shd w:val="clear" w:color="auto" w:fill="auto"/>
            <w:vAlign w:val="bottom"/>
          </w:tcPr>
          <w:p w14:paraId="71D46096" w14:textId="77777777" w:rsidR="006A3667" w:rsidRDefault="006A3667">
            <w:pPr>
              <w:rPr>
                <w:rFonts w:ascii="宋体"/>
                <w:vanish/>
              </w:rPr>
            </w:pPr>
          </w:p>
        </w:tc>
        <w:tc>
          <w:tcPr>
            <w:tcW w:w="0" w:type="auto"/>
            <w:gridSpan w:val="3"/>
            <w:shd w:val="clear" w:color="auto" w:fill="auto"/>
            <w:vAlign w:val="bottom"/>
          </w:tcPr>
          <w:p w14:paraId="71D46097" w14:textId="77777777" w:rsidR="006A3667" w:rsidRDefault="006A3667">
            <w:pPr>
              <w:rPr>
                <w:rFonts w:ascii="宋体"/>
                <w:vanish/>
              </w:rPr>
            </w:pPr>
          </w:p>
        </w:tc>
        <w:tc>
          <w:tcPr>
            <w:tcW w:w="0" w:type="auto"/>
            <w:gridSpan w:val="3"/>
            <w:shd w:val="clear" w:color="auto" w:fill="auto"/>
            <w:vAlign w:val="bottom"/>
          </w:tcPr>
          <w:p w14:paraId="71D46098" w14:textId="77777777" w:rsidR="006A3667" w:rsidRDefault="006A3667">
            <w:pPr>
              <w:rPr>
                <w:rFonts w:ascii="宋体"/>
                <w:vanish/>
              </w:rPr>
            </w:pPr>
          </w:p>
        </w:tc>
        <w:tc>
          <w:tcPr>
            <w:tcW w:w="0" w:type="auto"/>
            <w:gridSpan w:val="3"/>
            <w:shd w:val="clear" w:color="auto" w:fill="auto"/>
            <w:vAlign w:val="bottom"/>
          </w:tcPr>
          <w:p w14:paraId="71D46099" w14:textId="77777777" w:rsidR="006A3667" w:rsidRDefault="006A3667">
            <w:pPr>
              <w:rPr>
                <w:rFonts w:ascii="宋体"/>
                <w:vanish/>
              </w:rPr>
            </w:pPr>
          </w:p>
        </w:tc>
        <w:tc>
          <w:tcPr>
            <w:tcW w:w="0" w:type="auto"/>
            <w:shd w:val="clear" w:color="auto" w:fill="auto"/>
            <w:vAlign w:val="bottom"/>
          </w:tcPr>
          <w:p w14:paraId="71D4609A" w14:textId="77777777" w:rsidR="006A3667" w:rsidRDefault="006A3667">
            <w:pPr>
              <w:rPr>
                <w:rFonts w:ascii="宋体"/>
                <w:vanish/>
              </w:rPr>
            </w:pPr>
          </w:p>
        </w:tc>
        <w:tc>
          <w:tcPr>
            <w:tcW w:w="0" w:type="auto"/>
            <w:shd w:val="clear" w:color="auto" w:fill="auto"/>
            <w:vAlign w:val="bottom"/>
          </w:tcPr>
          <w:p w14:paraId="71D4609B" w14:textId="77777777" w:rsidR="006A3667" w:rsidRDefault="006A3667">
            <w:pPr>
              <w:rPr>
                <w:rFonts w:ascii="宋体"/>
                <w:vanish/>
              </w:rPr>
            </w:pPr>
          </w:p>
        </w:tc>
      </w:tr>
      <w:tr w:rsidR="006A3667" w14:paraId="71D460A5" w14:textId="77777777">
        <w:tc>
          <w:tcPr>
            <w:tcW w:w="0" w:type="auto"/>
            <w:gridSpan w:val="3"/>
            <w:shd w:val="clear" w:color="auto" w:fill="CCEEFF"/>
            <w:tcMar>
              <w:top w:w="40" w:type="dxa"/>
              <w:left w:w="245" w:type="dxa"/>
              <w:bottom w:w="40" w:type="dxa"/>
              <w:right w:w="20" w:type="dxa"/>
            </w:tcMar>
            <w:vAlign w:val="bottom"/>
          </w:tcPr>
          <w:p w14:paraId="71D4609D" w14:textId="77777777" w:rsidR="006A3667" w:rsidRDefault="00045F32">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71D4609E" w14:textId="77777777" w:rsidR="006A3667" w:rsidRDefault="00045F32">
            <w:pPr>
              <w:jc w:val="right"/>
              <w:textAlignment w:val="bottom"/>
            </w:pPr>
            <w:r>
              <w:rPr>
                <w:rFonts w:ascii="Arial" w:eastAsia="宋体" w:hAnsi="Arial" w:cs="Arial"/>
                <w:b/>
                <w:bCs/>
                <w:color w:val="000000"/>
                <w:sz w:val="15"/>
                <w:szCs w:val="15"/>
              </w:rPr>
              <w:t>2,787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60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0A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0A1" w14:textId="77777777" w:rsidR="006A3667" w:rsidRDefault="00045F32">
            <w:pPr>
              <w:jc w:val="right"/>
              <w:textAlignment w:val="bottom"/>
            </w:pPr>
            <w:r>
              <w:rPr>
                <w:rFonts w:ascii="Arial" w:eastAsia="宋体" w:hAnsi="Arial" w:cs="Arial"/>
                <w:color w:val="000000"/>
                <w:sz w:val="15"/>
                <w:szCs w:val="15"/>
              </w:rPr>
              <w:t>1,796 </w:t>
            </w:r>
          </w:p>
        </w:tc>
        <w:tc>
          <w:tcPr>
            <w:tcW w:w="0" w:type="auto"/>
            <w:shd w:val="clear" w:color="auto" w:fill="CCEEFF"/>
            <w:tcMar>
              <w:top w:w="40" w:type="dxa"/>
              <w:left w:w="0" w:type="dxa"/>
              <w:bottom w:w="40" w:type="dxa"/>
              <w:right w:w="20" w:type="dxa"/>
            </w:tcMar>
            <w:vAlign w:val="bottom"/>
          </w:tcPr>
          <w:p w14:paraId="71D460A2" w14:textId="77777777" w:rsidR="006A3667" w:rsidRDefault="006A3667">
            <w:pPr>
              <w:jc w:val="right"/>
              <w:rPr>
                <w:rFonts w:ascii="宋体"/>
              </w:rPr>
            </w:pPr>
          </w:p>
        </w:tc>
        <w:tc>
          <w:tcPr>
            <w:tcW w:w="0" w:type="auto"/>
            <w:shd w:val="clear" w:color="auto" w:fill="auto"/>
            <w:vAlign w:val="bottom"/>
          </w:tcPr>
          <w:p w14:paraId="71D460A3" w14:textId="77777777" w:rsidR="006A3667" w:rsidRDefault="006A3667">
            <w:pPr>
              <w:rPr>
                <w:rFonts w:ascii="宋体"/>
                <w:vanish/>
              </w:rPr>
            </w:pPr>
          </w:p>
        </w:tc>
        <w:tc>
          <w:tcPr>
            <w:tcW w:w="0" w:type="auto"/>
            <w:shd w:val="clear" w:color="auto" w:fill="auto"/>
            <w:vAlign w:val="bottom"/>
          </w:tcPr>
          <w:p w14:paraId="71D460A4" w14:textId="77777777" w:rsidR="006A3667" w:rsidRDefault="006A3667">
            <w:pPr>
              <w:rPr>
                <w:rFonts w:ascii="宋体"/>
                <w:vanish/>
              </w:rPr>
            </w:pPr>
          </w:p>
        </w:tc>
      </w:tr>
      <w:tr w:rsidR="006A3667" w14:paraId="71D460AE" w14:textId="77777777">
        <w:tc>
          <w:tcPr>
            <w:tcW w:w="0" w:type="auto"/>
            <w:gridSpan w:val="3"/>
            <w:shd w:val="clear" w:color="auto" w:fill="FFFFFF"/>
            <w:tcMar>
              <w:top w:w="40" w:type="dxa"/>
              <w:left w:w="20" w:type="dxa"/>
              <w:bottom w:w="40" w:type="dxa"/>
              <w:right w:w="20" w:type="dxa"/>
            </w:tcMar>
            <w:vAlign w:val="bottom"/>
          </w:tcPr>
          <w:p w14:paraId="71D460A6" w14:textId="77777777" w:rsidR="006A3667" w:rsidRDefault="00045F32">
            <w:pP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1D460A7" w14:textId="77777777" w:rsidR="006A3667" w:rsidRDefault="00045F32">
            <w:pPr>
              <w:jc w:val="right"/>
              <w:textAlignment w:val="bottom"/>
            </w:pPr>
            <w:r>
              <w:rPr>
                <w:rFonts w:ascii="Arial" w:eastAsia="宋体" w:hAnsi="Arial" w:cs="Arial"/>
                <w:b/>
                <w:bCs/>
                <w:color w:val="000000"/>
                <w:sz w:val="15"/>
                <w:szCs w:val="15"/>
              </w:rPr>
              <w:t>2,133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60A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0A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0AA" w14:textId="77777777" w:rsidR="006A3667" w:rsidRDefault="00045F32">
            <w:pPr>
              <w:jc w:val="right"/>
              <w:textAlignment w:val="bottom"/>
            </w:pPr>
            <w:r>
              <w:rPr>
                <w:rFonts w:ascii="Arial" w:eastAsia="宋体" w:hAnsi="Arial" w:cs="Arial"/>
                <w:color w:val="000000"/>
                <w:sz w:val="15"/>
                <w:szCs w:val="15"/>
              </w:rPr>
              <w:t>2,262 </w:t>
            </w:r>
          </w:p>
        </w:tc>
        <w:tc>
          <w:tcPr>
            <w:tcW w:w="0" w:type="auto"/>
            <w:shd w:val="clear" w:color="auto" w:fill="FFFFFF"/>
            <w:tcMar>
              <w:top w:w="40" w:type="dxa"/>
              <w:left w:w="0" w:type="dxa"/>
              <w:bottom w:w="40" w:type="dxa"/>
              <w:right w:w="20" w:type="dxa"/>
            </w:tcMar>
            <w:vAlign w:val="bottom"/>
          </w:tcPr>
          <w:p w14:paraId="71D460AB" w14:textId="77777777" w:rsidR="006A3667" w:rsidRDefault="006A3667">
            <w:pPr>
              <w:jc w:val="right"/>
              <w:rPr>
                <w:rFonts w:ascii="宋体"/>
              </w:rPr>
            </w:pPr>
          </w:p>
        </w:tc>
        <w:tc>
          <w:tcPr>
            <w:tcW w:w="0" w:type="auto"/>
            <w:shd w:val="clear" w:color="auto" w:fill="auto"/>
            <w:vAlign w:val="bottom"/>
          </w:tcPr>
          <w:p w14:paraId="71D460AC" w14:textId="77777777" w:rsidR="006A3667" w:rsidRDefault="006A3667">
            <w:pPr>
              <w:rPr>
                <w:rFonts w:ascii="宋体"/>
                <w:vanish/>
              </w:rPr>
            </w:pPr>
          </w:p>
        </w:tc>
        <w:tc>
          <w:tcPr>
            <w:tcW w:w="0" w:type="auto"/>
            <w:shd w:val="clear" w:color="auto" w:fill="auto"/>
            <w:vAlign w:val="bottom"/>
          </w:tcPr>
          <w:p w14:paraId="71D460AD" w14:textId="77777777" w:rsidR="006A3667" w:rsidRDefault="006A3667">
            <w:pPr>
              <w:rPr>
                <w:rFonts w:ascii="宋体"/>
                <w:vanish/>
              </w:rPr>
            </w:pPr>
          </w:p>
        </w:tc>
      </w:tr>
      <w:tr w:rsidR="006A3667" w14:paraId="71D460B7" w14:textId="77777777">
        <w:tc>
          <w:tcPr>
            <w:tcW w:w="0" w:type="auto"/>
            <w:gridSpan w:val="3"/>
            <w:shd w:val="clear" w:color="auto" w:fill="CCEEFF"/>
            <w:tcMar>
              <w:top w:w="40" w:type="dxa"/>
              <w:left w:w="155" w:type="dxa"/>
              <w:bottom w:w="40" w:type="dxa"/>
              <w:right w:w="20" w:type="dxa"/>
            </w:tcMar>
            <w:vAlign w:val="bottom"/>
          </w:tcPr>
          <w:p w14:paraId="71D460AF" w14:textId="77777777" w:rsidR="006A3667" w:rsidRDefault="00045F32">
            <w:pPr>
              <w:textAlignment w:val="bottom"/>
            </w:pPr>
            <w:r>
              <w:rPr>
                <w:rFonts w:ascii="Arial" w:eastAsia="宋体" w:hAnsi="Arial" w:cs="Arial"/>
                <w:color w:val="000000"/>
                <w:sz w:val="15"/>
                <w:szCs w:val="15"/>
              </w:rPr>
              <w:t>Commercial real estate</w:t>
            </w:r>
          </w:p>
        </w:tc>
        <w:tc>
          <w:tcPr>
            <w:tcW w:w="0" w:type="auto"/>
            <w:gridSpan w:val="2"/>
            <w:shd w:val="clear" w:color="auto" w:fill="CCEEFF"/>
            <w:tcMar>
              <w:top w:w="40" w:type="dxa"/>
              <w:left w:w="20" w:type="dxa"/>
              <w:bottom w:w="40" w:type="dxa"/>
              <w:right w:w="0" w:type="dxa"/>
            </w:tcMar>
            <w:vAlign w:val="bottom"/>
          </w:tcPr>
          <w:p w14:paraId="71D460B0" w14:textId="77777777" w:rsidR="006A3667" w:rsidRDefault="00045F32">
            <w:pPr>
              <w:jc w:val="right"/>
              <w:textAlignment w:val="bottom"/>
            </w:pPr>
            <w:r>
              <w:rPr>
                <w:rFonts w:ascii="Arial" w:eastAsia="宋体" w:hAnsi="Arial" w:cs="Arial"/>
                <w:b/>
                <w:bCs/>
                <w:color w:val="000000"/>
                <w:sz w:val="15"/>
                <w:szCs w:val="15"/>
              </w:rPr>
              <w:t>2,921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60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0B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0B3" w14:textId="77777777" w:rsidR="006A3667" w:rsidRDefault="00045F32">
            <w:pPr>
              <w:jc w:val="right"/>
              <w:textAlignment w:val="bottom"/>
            </w:pPr>
            <w:r>
              <w:rPr>
                <w:rFonts w:ascii="Arial" w:eastAsia="宋体" w:hAnsi="Arial" w:cs="Arial"/>
                <w:color w:val="000000"/>
                <w:sz w:val="15"/>
                <w:szCs w:val="15"/>
              </w:rPr>
              <w:t>2,554 </w:t>
            </w:r>
          </w:p>
        </w:tc>
        <w:tc>
          <w:tcPr>
            <w:tcW w:w="0" w:type="auto"/>
            <w:shd w:val="clear" w:color="auto" w:fill="CCEEFF"/>
            <w:tcMar>
              <w:top w:w="40" w:type="dxa"/>
              <w:left w:w="0" w:type="dxa"/>
              <w:bottom w:w="40" w:type="dxa"/>
              <w:right w:w="20" w:type="dxa"/>
            </w:tcMar>
            <w:vAlign w:val="bottom"/>
          </w:tcPr>
          <w:p w14:paraId="71D460B4" w14:textId="77777777" w:rsidR="006A3667" w:rsidRDefault="006A3667">
            <w:pPr>
              <w:jc w:val="right"/>
              <w:rPr>
                <w:rFonts w:ascii="宋体"/>
              </w:rPr>
            </w:pPr>
          </w:p>
        </w:tc>
        <w:tc>
          <w:tcPr>
            <w:tcW w:w="0" w:type="auto"/>
            <w:shd w:val="clear" w:color="auto" w:fill="auto"/>
            <w:vAlign w:val="bottom"/>
          </w:tcPr>
          <w:p w14:paraId="71D460B5" w14:textId="77777777" w:rsidR="006A3667" w:rsidRDefault="006A3667">
            <w:pPr>
              <w:rPr>
                <w:rFonts w:ascii="宋体"/>
                <w:vanish/>
              </w:rPr>
            </w:pPr>
          </w:p>
        </w:tc>
        <w:tc>
          <w:tcPr>
            <w:tcW w:w="0" w:type="auto"/>
            <w:shd w:val="clear" w:color="auto" w:fill="auto"/>
            <w:vAlign w:val="bottom"/>
          </w:tcPr>
          <w:p w14:paraId="71D460B6" w14:textId="77777777" w:rsidR="006A3667" w:rsidRDefault="006A3667">
            <w:pPr>
              <w:rPr>
                <w:rFonts w:ascii="宋体"/>
                <w:vanish/>
              </w:rPr>
            </w:pPr>
          </w:p>
        </w:tc>
      </w:tr>
      <w:tr w:rsidR="006A3667" w14:paraId="71D460BE" w14:textId="77777777">
        <w:trPr>
          <w:hidden/>
        </w:trPr>
        <w:tc>
          <w:tcPr>
            <w:tcW w:w="0" w:type="auto"/>
            <w:gridSpan w:val="3"/>
            <w:shd w:val="clear" w:color="auto" w:fill="auto"/>
            <w:vAlign w:val="bottom"/>
          </w:tcPr>
          <w:p w14:paraId="71D460B8" w14:textId="77777777" w:rsidR="006A3667" w:rsidRDefault="006A3667">
            <w:pPr>
              <w:rPr>
                <w:rFonts w:ascii="宋体"/>
                <w:vanish/>
              </w:rPr>
            </w:pPr>
          </w:p>
        </w:tc>
        <w:tc>
          <w:tcPr>
            <w:tcW w:w="0" w:type="auto"/>
            <w:gridSpan w:val="3"/>
            <w:shd w:val="clear" w:color="auto" w:fill="auto"/>
            <w:vAlign w:val="bottom"/>
          </w:tcPr>
          <w:p w14:paraId="71D460B9" w14:textId="77777777" w:rsidR="006A3667" w:rsidRDefault="006A3667">
            <w:pPr>
              <w:rPr>
                <w:rFonts w:ascii="宋体"/>
                <w:vanish/>
              </w:rPr>
            </w:pPr>
          </w:p>
        </w:tc>
        <w:tc>
          <w:tcPr>
            <w:tcW w:w="0" w:type="auto"/>
            <w:gridSpan w:val="3"/>
            <w:shd w:val="clear" w:color="auto" w:fill="auto"/>
            <w:vAlign w:val="bottom"/>
          </w:tcPr>
          <w:p w14:paraId="71D460BA" w14:textId="77777777" w:rsidR="006A3667" w:rsidRDefault="006A3667">
            <w:pPr>
              <w:rPr>
                <w:rFonts w:ascii="宋体"/>
                <w:vanish/>
              </w:rPr>
            </w:pPr>
          </w:p>
        </w:tc>
        <w:tc>
          <w:tcPr>
            <w:tcW w:w="0" w:type="auto"/>
            <w:gridSpan w:val="3"/>
            <w:shd w:val="clear" w:color="auto" w:fill="auto"/>
            <w:vAlign w:val="bottom"/>
          </w:tcPr>
          <w:p w14:paraId="71D460BB" w14:textId="77777777" w:rsidR="006A3667" w:rsidRDefault="006A3667">
            <w:pPr>
              <w:rPr>
                <w:rFonts w:ascii="宋体"/>
                <w:vanish/>
              </w:rPr>
            </w:pPr>
          </w:p>
        </w:tc>
        <w:tc>
          <w:tcPr>
            <w:tcW w:w="0" w:type="auto"/>
            <w:shd w:val="clear" w:color="auto" w:fill="auto"/>
            <w:vAlign w:val="bottom"/>
          </w:tcPr>
          <w:p w14:paraId="71D460BC" w14:textId="77777777" w:rsidR="006A3667" w:rsidRDefault="006A3667">
            <w:pPr>
              <w:rPr>
                <w:rFonts w:ascii="宋体"/>
                <w:vanish/>
              </w:rPr>
            </w:pPr>
          </w:p>
        </w:tc>
        <w:tc>
          <w:tcPr>
            <w:tcW w:w="0" w:type="auto"/>
            <w:shd w:val="clear" w:color="auto" w:fill="auto"/>
            <w:vAlign w:val="bottom"/>
          </w:tcPr>
          <w:p w14:paraId="71D460BD" w14:textId="77777777" w:rsidR="006A3667" w:rsidRDefault="006A3667">
            <w:pPr>
              <w:rPr>
                <w:rFonts w:ascii="宋体"/>
                <w:vanish/>
              </w:rPr>
            </w:pPr>
          </w:p>
        </w:tc>
      </w:tr>
      <w:tr w:rsidR="006A3667" w14:paraId="71D460C7" w14:textId="77777777">
        <w:tc>
          <w:tcPr>
            <w:tcW w:w="0" w:type="auto"/>
            <w:gridSpan w:val="3"/>
            <w:shd w:val="clear" w:color="auto" w:fill="FFFFFF"/>
            <w:tcMar>
              <w:top w:w="40" w:type="dxa"/>
              <w:left w:w="245" w:type="dxa"/>
              <w:bottom w:w="40" w:type="dxa"/>
              <w:right w:w="20" w:type="dxa"/>
            </w:tcMar>
            <w:vAlign w:val="bottom"/>
          </w:tcPr>
          <w:p w14:paraId="71D460BF" w14:textId="77777777" w:rsidR="006A3667" w:rsidRDefault="00045F32">
            <w:pPr>
              <w:textAlignment w:val="bottom"/>
            </w:pPr>
            <w:r>
              <w:rPr>
                <w:rFonts w:ascii="Arial" w:eastAsia="宋体" w:hAnsi="Arial" w:cs="Arial"/>
                <w:color w:val="000000"/>
                <w:sz w:val="15"/>
                <w:szCs w:val="15"/>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60C0" w14:textId="77777777" w:rsidR="006A3667" w:rsidRDefault="00045F32">
            <w:pPr>
              <w:jc w:val="right"/>
              <w:textAlignment w:val="bottom"/>
            </w:pPr>
            <w:r>
              <w:rPr>
                <w:rFonts w:ascii="Arial" w:eastAsia="宋体" w:hAnsi="Arial" w:cs="Arial"/>
                <w:b/>
                <w:bCs/>
                <w:color w:val="000000"/>
                <w:sz w:val="15"/>
                <w:szCs w:val="15"/>
              </w:rPr>
              <w:t>22,281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0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0C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60C3" w14:textId="77777777" w:rsidR="006A3667" w:rsidRDefault="00045F32">
            <w:pPr>
              <w:jc w:val="right"/>
              <w:textAlignment w:val="bottom"/>
            </w:pPr>
            <w:r>
              <w:rPr>
                <w:rFonts w:ascii="Arial" w:eastAsia="宋体" w:hAnsi="Arial" w:cs="Arial"/>
                <w:color w:val="000000"/>
                <w:sz w:val="15"/>
                <w:szCs w:val="15"/>
              </w:rPr>
              <w:t>22,114 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0C4" w14:textId="77777777" w:rsidR="006A3667" w:rsidRDefault="006A3667">
            <w:pPr>
              <w:jc w:val="right"/>
              <w:rPr>
                <w:rFonts w:ascii="宋体"/>
              </w:rPr>
            </w:pPr>
          </w:p>
        </w:tc>
        <w:tc>
          <w:tcPr>
            <w:tcW w:w="0" w:type="auto"/>
            <w:shd w:val="clear" w:color="auto" w:fill="auto"/>
            <w:vAlign w:val="bottom"/>
          </w:tcPr>
          <w:p w14:paraId="71D460C5" w14:textId="77777777" w:rsidR="006A3667" w:rsidRDefault="006A3667">
            <w:pPr>
              <w:rPr>
                <w:rFonts w:ascii="宋体"/>
                <w:vanish/>
              </w:rPr>
            </w:pPr>
          </w:p>
        </w:tc>
        <w:tc>
          <w:tcPr>
            <w:tcW w:w="0" w:type="auto"/>
            <w:shd w:val="clear" w:color="auto" w:fill="auto"/>
            <w:vAlign w:val="bottom"/>
          </w:tcPr>
          <w:p w14:paraId="71D460C6" w14:textId="77777777" w:rsidR="006A3667" w:rsidRDefault="006A3667">
            <w:pPr>
              <w:rPr>
                <w:rFonts w:ascii="宋体"/>
                <w:vanish/>
              </w:rPr>
            </w:pPr>
          </w:p>
        </w:tc>
      </w:tr>
      <w:tr w:rsidR="006A3667" w14:paraId="71D460CE" w14:textId="77777777">
        <w:tc>
          <w:tcPr>
            <w:tcW w:w="0" w:type="auto"/>
            <w:gridSpan w:val="3"/>
            <w:shd w:val="clear" w:color="auto" w:fill="CCEEFF"/>
            <w:tcMar>
              <w:top w:w="40" w:type="dxa"/>
              <w:left w:w="20" w:type="dxa"/>
              <w:bottom w:w="40" w:type="dxa"/>
              <w:right w:w="20" w:type="dxa"/>
            </w:tcMar>
            <w:vAlign w:val="bottom"/>
          </w:tcPr>
          <w:p w14:paraId="71D460C8" w14:textId="77777777" w:rsidR="006A3667" w:rsidRDefault="00045F32">
            <w:pPr>
              <w:textAlignment w:val="bottom"/>
            </w:pPr>
            <w:r>
              <w:rPr>
                <w:rFonts w:ascii="Arial" w:eastAsia="宋体" w:hAnsi="Arial" w:cs="Arial"/>
                <w:b/>
                <w:bCs/>
                <w:color w:val="000000"/>
                <w:sz w:val="15"/>
                <w:szCs w:val="15"/>
              </w:rPr>
              <w:t>Foreign</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60C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0CA"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60CB" w14:textId="77777777" w:rsidR="006A3667" w:rsidRDefault="006A3667">
            <w:pPr>
              <w:rPr>
                <w:rFonts w:ascii="宋体"/>
              </w:rPr>
            </w:pPr>
          </w:p>
        </w:tc>
        <w:tc>
          <w:tcPr>
            <w:tcW w:w="0" w:type="auto"/>
            <w:shd w:val="clear" w:color="auto" w:fill="auto"/>
            <w:vAlign w:val="bottom"/>
          </w:tcPr>
          <w:p w14:paraId="71D460CC" w14:textId="77777777" w:rsidR="006A3667" w:rsidRDefault="006A3667">
            <w:pPr>
              <w:rPr>
                <w:rFonts w:ascii="宋体"/>
                <w:vanish/>
              </w:rPr>
            </w:pPr>
          </w:p>
        </w:tc>
        <w:tc>
          <w:tcPr>
            <w:tcW w:w="0" w:type="auto"/>
            <w:shd w:val="clear" w:color="auto" w:fill="auto"/>
            <w:vAlign w:val="bottom"/>
          </w:tcPr>
          <w:p w14:paraId="71D460CD" w14:textId="77777777" w:rsidR="006A3667" w:rsidRDefault="006A3667">
            <w:pPr>
              <w:rPr>
                <w:rFonts w:ascii="宋体"/>
                <w:vanish/>
              </w:rPr>
            </w:pPr>
          </w:p>
        </w:tc>
      </w:tr>
      <w:tr w:rsidR="006A3667" w14:paraId="71D460D5" w14:textId="77777777">
        <w:tc>
          <w:tcPr>
            <w:tcW w:w="0" w:type="auto"/>
            <w:gridSpan w:val="3"/>
            <w:shd w:val="clear" w:color="auto" w:fill="FFFFFF"/>
            <w:tcMar>
              <w:top w:w="40" w:type="dxa"/>
              <w:left w:w="155" w:type="dxa"/>
              <w:bottom w:w="40" w:type="dxa"/>
              <w:right w:w="20" w:type="dxa"/>
            </w:tcMar>
            <w:vAlign w:val="bottom"/>
          </w:tcPr>
          <w:p w14:paraId="71D460CF" w14:textId="77777777" w:rsidR="006A3667" w:rsidRDefault="00045F32">
            <w:pPr>
              <w:textAlignment w:val="bottom"/>
            </w:pPr>
            <w:r>
              <w:rPr>
                <w:rFonts w:ascii="Arial" w:eastAsia="宋体" w:hAnsi="Arial" w:cs="Arial"/>
                <w:color w:val="000000"/>
                <w:sz w:val="15"/>
                <w:szCs w:val="15"/>
              </w:rPr>
              <w:t>Commercial and financial:</w:t>
            </w:r>
          </w:p>
        </w:tc>
        <w:tc>
          <w:tcPr>
            <w:tcW w:w="0" w:type="auto"/>
            <w:gridSpan w:val="3"/>
            <w:shd w:val="clear" w:color="auto" w:fill="FFFFFF"/>
            <w:tcMar>
              <w:top w:w="0" w:type="dxa"/>
              <w:left w:w="20" w:type="dxa"/>
              <w:bottom w:w="0" w:type="dxa"/>
              <w:right w:w="20" w:type="dxa"/>
            </w:tcMar>
            <w:vAlign w:val="bottom"/>
          </w:tcPr>
          <w:p w14:paraId="71D460D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0D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0D2" w14:textId="77777777" w:rsidR="006A3667" w:rsidRDefault="006A3667">
            <w:pPr>
              <w:rPr>
                <w:rFonts w:ascii="宋体"/>
              </w:rPr>
            </w:pPr>
          </w:p>
        </w:tc>
        <w:tc>
          <w:tcPr>
            <w:tcW w:w="0" w:type="auto"/>
            <w:shd w:val="clear" w:color="auto" w:fill="auto"/>
            <w:vAlign w:val="bottom"/>
          </w:tcPr>
          <w:p w14:paraId="71D460D3" w14:textId="77777777" w:rsidR="006A3667" w:rsidRDefault="006A3667">
            <w:pPr>
              <w:rPr>
                <w:rFonts w:ascii="宋体"/>
                <w:vanish/>
              </w:rPr>
            </w:pPr>
          </w:p>
        </w:tc>
        <w:tc>
          <w:tcPr>
            <w:tcW w:w="0" w:type="auto"/>
            <w:shd w:val="clear" w:color="auto" w:fill="auto"/>
            <w:vAlign w:val="bottom"/>
          </w:tcPr>
          <w:p w14:paraId="71D460D4" w14:textId="77777777" w:rsidR="006A3667" w:rsidRDefault="006A3667">
            <w:pPr>
              <w:rPr>
                <w:rFonts w:ascii="宋体"/>
                <w:vanish/>
              </w:rPr>
            </w:pPr>
          </w:p>
        </w:tc>
      </w:tr>
      <w:tr w:rsidR="006A3667" w14:paraId="71D460DE" w14:textId="77777777">
        <w:tc>
          <w:tcPr>
            <w:tcW w:w="0" w:type="auto"/>
            <w:gridSpan w:val="3"/>
            <w:shd w:val="clear" w:color="auto" w:fill="CCEEFF"/>
            <w:tcMar>
              <w:top w:w="40" w:type="dxa"/>
              <w:left w:w="20" w:type="dxa"/>
              <w:bottom w:w="40" w:type="dxa"/>
              <w:right w:w="20" w:type="dxa"/>
            </w:tcMar>
            <w:vAlign w:val="bottom"/>
          </w:tcPr>
          <w:p w14:paraId="71D460D6" w14:textId="77777777" w:rsidR="006A3667" w:rsidRDefault="00045F32">
            <w:pP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60D7" w14:textId="77777777" w:rsidR="006A3667" w:rsidRDefault="00045F32">
            <w:pPr>
              <w:jc w:val="right"/>
              <w:textAlignment w:val="bottom"/>
            </w:pPr>
            <w:r>
              <w:rPr>
                <w:rFonts w:ascii="Arial" w:eastAsia="宋体" w:hAnsi="Arial" w:cs="Arial"/>
                <w:b/>
                <w:bCs/>
                <w:color w:val="000000"/>
                <w:sz w:val="15"/>
                <w:szCs w:val="15"/>
              </w:rPr>
              <w:t>8,454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60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0D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0DA" w14:textId="77777777" w:rsidR="006A3667" w:rsidRDefault="00045F32">
            <w:pPr>
              <w:jc w:val="right"/>
              <w:textAlignment w:val="bottom"/>
            </w:pPr>
            <w:r>
              <w:rPr>
                <w:rFonts w:ascii="Arial" w:eastAsia="宋体" w:hAnsi="Arial" w:cs="Arial"/>
                <w:color w:val="000000"/>
                <w:sz w:val="15"/>
                <w:szCs w:val="15"/>
              </w:rPr>
              <w:t>7,778 </w:t>
            </w:r>
          </w:p>
        </w:tc>
        <w:tc>
          <w:tcPr>
            <w:tcW w:w="0" w:type="auto"/>
            <w:shd w:val="clear" w:color="auto" w:fill="CCEEFF"/>
            <w:tcMar>
              <w:top w:w="40" w:type="dxa"/>
              <w:left w:w="0" w:type="dxa"/>
              <w:bottom w:w="40" w:type="dxa"/>
              <w:right w:w="20" w:type="dxa"/>
            </w:tcMar>
            <w:vAlign w:val="bottom"/>
          </w:tcPr>
          <w:p w14:paraId="71D460DB" w14:textId="77777777" w:rsidR="006A3667" w:rsidRDefault="006A3667">
            <w:pPr>
              <w:jc w:val="right"/>
              <w:rPr>
                <w:rFonts w:ascii="宋体"/>
              </w:rPr>
            </w:pPr>
          </w:p>
        </w:tc>
        <w:tc>
          <w:tcPr>
            <w:tcW w:w="0" w:type="auto"/>
            <w:shd w:val="clear" w:color="auto" w:fill="auto"/>
            <w:vAlign w:val="bottom"/>
          </w:tcPr>
          <w:p w14:paraId="71D460DC" w14:textId="77777777" w:rsidR="006A3667" w:rsidRDefault="006A3667">
            <w:pPr>
              <w:rPr>
                <w:rFonts w:ascii="宋体"/>
                <w:vanish/>
              </w:rPr>
            </w:pPr>
          </w:p>
        </w:tc>
        <w:tc>
          <w:tcPr>
            <w:tcW w:w="0" w:type="auto"/>
            <w:shd w:val="clear" w:color="auto" w:fill="auto"/>
            <w:vAlign w:val="bottom"/>
          </w:tcPr>
          <w:p w14:paraId="71D460DD" w14:textId="77777777" w:rsidR="006A3667" w:rsidRDefault="006A3667">
            <w:pPr>
              <w:rPr>
                <w:rFonts w:ascii="宋体"/>
                <w:vanish/>
              </w:rPr>
            </w:pPr>
          </w:p>
        </w:tc>
      </w:tr>
      <w:tr w:rsidR="006A3667" w14:paraId="71D460E7" w14:textId="77777777">
        <w:tc>
          <w:tcPr>
            <w:tcW w:w="0" w:type="auto"/>
            <w:gridSpan w:val="3"/>
            <w:shd w:val="clear" w:color="auto" w:fill="FFFFFF"/>
            <w:tcMar>
              <w:top w:w="40" w:type="dxa"/>
              <w:left w:w="245" w:type="dxa"/>
              <w:bottom w:w="40" w:type="dxa"/>
              <w:right w:w="20" w:type="dxa"/>
            </w:tcMar>
            <w:vAlign w:val="bottom"/>
          </w:tcPr>
          <w:p w14:paraId="71D460DF" w14:textId="77777777" w:rsidR="006A3667" w:rsidRDefault="00045F32">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71D460E0" w14:textId="77777777" w:rsidR="006A3667" w:rsidRDefault="00045F32">
            <w:pPr>
              <w:jc w:val="right"/>
              <w:textAlignment w:val="bottom"/>
            </w:pPr>
            <w:r>
              <w:rPr>
                <w:rFonts w:ascii="Arial" w:eastAsia="宋体" w:hAnsi="Arial" w:cs="Arial"/>
                <w:b/>
                <w:bCs/>
                <w:color w:val="000000"/>
                <w:sz w:val="15"/>
                <w:szCs w:val="15"/>
              </w:rPr>
              <w:t>1,006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60E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0E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0E3" w14:textId="77777777" w:rsidR="006A3667" w:rsidRDefault="00045F32">
            <w:pPr>
              <w:jc w:val="right"/>
              <w:textAlignment w:val="bottom"/>
            </w:pPr>
            <w:r>
              <w:rPr>
                <w:rFonts w:ascii="Arial" w:eastAsia="宋体" w:hAnsi="Arial" w:cs="Arial"/>
                <w:color w:val="000000"/>
                <w:sz w:val="15"/>
                <w:szCs w:val="15"/>
              </w:rPr>
              <w:t>1,328 </w:t>
            </w:r>
          </w:p>
        </w:tc>
        <w:tc>
          <w:tcPr>
            <w:tcW w:w="0" w:type="auto"/>
            <w:shd w:val="clear" w:color="auto" w:fill="FFFFFF"/>
            <w:tcMar>
              <w:top w:w="40" w:type="dxa"/>
              <w:left w:w="0" w:type="dxa"/>
              <w:bottom w:w="40" w:type="dxa"/>
              <w:right w:w="20" w:type="dxa"/>
            </w:tcMar>
            <w:vAlign w:val="bottom"/>
          </w:tcPr>
          <w:p w14:paraId="71D460E4" w14:textId="77777777" w:rsidR="006A3667" w:rsidRDefault="006A3667">
            <w:pPr>
              <w:jc w:val="right"/>
              <w:rPr>
                <w:rFonts w:ascii="宋体"/>
              </w:rPr>
            </w:pPr>
          </w:p>
        </w:tc>
        <w:tc>
          <w:tcPr>
            <w:tcW w:w="0" w:type="auto"/>
            <w:shd w:val="clear" w:color="auto" w:fill="auto"/>
            <w:vAlign w:val="bottom"/>
          </w:tcPr>
          <w:p w14:paraId="71D460E5" w14:textId="77777777" w:rsidR="006A3667" w:rsidRDefault="006A3667">
            <w:pPr>
              <w:rPr>
                <w:rFonts w:ascii="宋体"/>
                <w:vanish/>
              </w:rPr>
            </w:pPr>
          </w:p>
        </w:tc>
        <w:tc>
          <w:tcPr>
            <w:tcW w:w="0" w:type="auto"/>
            <w:shd w:val="clear" w:color="auto" w:fill="auto"/>
            <w:vAlign w:val="bottom"/>
          </w:tcPr>
          <w:p w14:paraId="71D460E6" w14:textId="77777777" w:rsidR="006A3667" w:rsidRDefault="006A3667">
            <w:pPr>
              <w:rPr>
                <w:rFonts w:ascii="宋体"/>
                <w:vanish/>
              </w:rPr>
            </w:pPr>
          </w:p>
        </w:tc>
      </w:tr>
      <w:tr w:rsidR="006A3667" w14:paraId="71D460EE" w14:textId="77777777">
        <w:trPr>
          <w:hidden/>
        </w:trPr>
        <w:tc>
          <w:tcPr>
            <w:tcW w:w="0" w:type="auto"/>
            <w:gridSpan w:val="3"/>
            <w:shd w:val="clear" w:color="auto" w:fill="auto"/>
            <w:vAlign w:val="bottom"/>
          </w:tcPr>
          <w:p w14:paraId="71D460E8" w14:textId="77777777" w:rsidR="006A3667" w:rsidRDefault="006A3667">
            <w:pPr>
              <w:rPr>
                <w:rFonts w:ascii="宋体"/>
                <w:vanish/>
              </w:rPr>
            </w:pPr>
          </w:p>
        </w:tc>
        <w:tc>
          <w:tcPr>
            <w:tcW w:w="0" w:type="auto"/>
            <w:gridSpan w:val="3"/>
            <w:shd w:val="clear" w:color="auto" w:fill="auto"/>
            <w:vAlign w:val="bottom"/>
          </w:tcPr>
          <w:p w14:paraId="71D460E9" w14:textId="77777777" w:rsidR="006A3667" w:rsidRDefault="006A3667">
            <w:pPr>
              <w:rPr>
                <w:rFonts w:ascii="宋体"/>
                <w:vanish/>
              </w:rPr>
            </w:pPr>
          </w:p>
        </w:tc>
        <w:tc>
          <w:tcPr>
            <w:tcW w:w="0" w:type="auto"/>
            <w:gridSpan w:val="3"/>
            <w:shd w:val="clear" w:color="auto" w:fill="auto"/>
            <w:vAlign w:val="bottom"/>
          </w:tcPr>
          <w:p w14:paraId="71D460EA" w14:textId="77777777" w:rsidR="006A3667" w:rsidRDefault="006A3667">
            <w:pPr>
              <w:rPr>
                <w:rFonts w:ascii="宋体"/>
                <w:vanish/>
              </w:rPr>
            </w:pPr>
          </w:p>
        </w:tc>
        <w:tc>
          <w:tcPr>
            <w:tcW w:w="0" w:type="auto"/>
            <w:gridSpan w:val="3"/>
            <w:shd w:val="clear" w:color="auto" w:fill="auto"/>
            <w:vAlign w:val="bottom"/>
          </w:tcPr>
          <w:p w14:paraId="71D460EB" w14:textId="77777777" w:rsidR="006A3667" w:rsidRDefault="006A3667">
            <w:pPr>
              <w:rPr>
                <w:rFonts w:ascii="宋体"/>
                <w:vanish/>
              </w:rPr>
            </w:pPr>
          </w:p>
        </w:tc>
        <w:tc>
          <w:tcPr>
            <w:tcW w:w="0" w:type="auto"/>
            <w:shd w:val="clear" w:color="auto" w:fill="auto"/>
            <w:vAlign w:val="bottom"/>
          </w:tcPr>
          <w:p w14:paraId="71D460EC" w14:textId="77777777" w:rsidR="006A3667" w:rsidRDefault="006A3667">
            <w:pPr>
              <w:rPr>
                <w:rFonts w:ascii="宋体"/>
                <w:vanish/>
              </w:rPr>
            </w:pPr>
          </w:p>
        </w:tc>
        <w:tc>
          <w:tcPr>
            <w:tcW w:w="0" w:type="auto"/>
            <w:shd w:val="clear" w:color="auto" w:fill="auto"/>
            <w:vAlign w:val="bottom"/>
          </w:tcPr>
          <w:p w14:paraId="71D460ED" w14:textId="77777777" w:rsidR="006A3667" w:rsidRDefault="006A3667">
            <w:pPr>
              <w:rPr>
                <w:rFonts w:ascii="宋体"/>
                <w:vanish/>
              </w:rPr>
            </w:pPr>
          </w:p>
        </w:tc>
      </w:tr>
      <w:tr w:rsidR="006A3667" w14:paraId="71D460F7" w14:textId="77777777">
        <w:tc>
          <w:tcPr>
            <w:tcW w:w="0" w:type="auto"/>
            <w:gridSpan w:val="3"/>
            <w:shd w:val="clear" w:color="auto" w:fill="CCEEFF"/>
            <w:tcMar>
              <w:top w:w="40" w:type="dxa"/>
              <w:left w:w="245" w:type="dxa"/>
              <w:bottom w:w="40" w:type="dxa"/>
              <w:right w:w="20" w:type="dxa"/>
            </w:tcMar>
            <w:vAlign w:val="bottom"/>
          </w:tcPr>
          <w:p w14:paraId="71D460EF" w14:textId="77777777" w:rsidR="006A3667" w:rsidRDefault="00045F32">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71D460F0" w14:textId="77777777" w:rsidR="006A3667" w:rsidRDefault="00045F32">
            <w:pPr>
              <w:jc w:val="right"/>
              <w:textAlignment w:val="bottom"/>
            </w:pPr>
            <w:r>
              <w:rPr>
                <w:rFonts w:ascii="Arial" w:eastAsia="宋体" w:hAnsi="Arial" w:cs="Arial"/>
                <w:b/>
                <w:bCs/>
                <w:color w:val="000000"/>
                <w:sz w:val="15"/>
                <w:szCs w:val="15"/>
              </w:rPr>
              <w:t>4,372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60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0F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0F3" w14:textId="77777777" w:rsidR="006A3667" w:rsidRDefault="00045F32">
            <w:pPr>
              <w:jc w:val="right"/>
              <w:textAlignment w:val="bottom"/>
            </w:pPr>
            <w:r>
              <w:rPr>
                <w:rFonts w:ascii="Arial" w:eastAsia="宋体" w:hAnsi="Arial" w:cs="Arial"/>
                <w:color w:val="000000"/>
                <w:sz w:val="15"/>
                <w:szCs w:val="15"/>
              </w:rPr>
              <w:t>1,312 </w:t>
            </w:r>
          </w:p>
        </w:tc>
        <w:tc>
          <w:tcPr>
            <w:tcW w:w="0" w:type="auto"/>
            <w:shd w:val="clear" w:color="auto" w:fill="CCEEFF"/>
            <w:tcMar>
              <w:top w:w="40" w:type="dxa"/>
              <w:left w:w="0" w:type="dxa"/>
              <w:bottom w:w="40" w:type="dxa"/>
              <w:right w:w="20" w:type="dxa"/>
            </w:tcMar>
            <w:vAlign w:val="bottom"/>
          </w:tcPr>
          <w:p w14:paraId="71D460F4" w14:textId="77777777" w:rsidR="006A3667" w:rsidRDefault="006A3667">
            <w:pPr>
              <w:jc w:val="right"/>
              <w:rPr>
                <w:rFonts w:ascii="宋体"/>
              </w:rPr>
            </w:pPr>
          </w:p>
        </w:tc>
        <w:tc>
          <w:tcPr>
            <w:tcW w:w="0" w:type="auto"/>
            <w:shd w:val="clear" w:color="auto" w:fill="auto"/>
            <w:vAlign w:val="bottom"/>
          </w:tcPr>
          <w:p w14:paraId="71D460F5" w14:textId="77777777" w:rsidR="006A3667" w:rsidRDefault="006A3667">
            <w:pPr>
              <w:rPr>
                <w:rFonts w:ascii="宋体"/>
                <w:vanish/>
              </w:rPr>
            </w:pPr>
          </w:p>
        </w:tc>
        <w:tc>
          <w:tcPr>
            <w:tcW w:w="0" w:type="auto"/>
            <w:shd w:val="clear" w:color="auto" w:fill="auto"/>
            <w:vAlign w:val="bottom"/>
          </w:tcPr>
          <w:p w14:paraId="71D460F6" w14:textId="77777777" w:rsidR="006A3667" w:rsidRDefault="006A3667">
            <w:pPr>
              <w:rPr>
                <w:rFonts w:ascii="宋体"/>
                <w:vanish/>
              </w:rPr>
            </w:pPr>
          </w:p>
        </w:tc>
      </w:tr>
      <w:tr w:rsidR="006A3667" w14:paraId="71D460FE" w14:textId="77777777">
        <w:trPr>
          <w:hidden/>
        </w:trPr>
        <w:tc>
          <w:tcPr>
            <w:tcW w:w="0" w:type="auto"/>
            <w:gridSpan w:val="3"/>
            <w:shd w:val="clear" w:color="auto" w:fill="auto"/>
            <w:vAlign w:val="bottom"/>
          </w:tcPr>
          <w:p w14:paraId="71D460F8" w14:textId="77777777" w:rsidR="006A3667" w:rsidRDefault="006A3667">
            <w:pPr>
              <w:rPr>
                <w:rFonts w:ascii="宋体"/>
                <w:vanish/>
              </w:rPr>
            </w:pPr>
          </w:p>
        </w:tc>
        <w:tc>
          <w:tcPr>
            <w:tcW w:w="0" w:type="auto"/>
            <w:gridSpan w:val="3"/>
            <w:shd w:val="clear" w:color="auto" w:fill="auto"/>
            <w:vAlign w:val="bottom"/>
          </w:tcPr>
          <w:p w14:paraId="71D460F9" w14:textId="77777777" w:rsidR="006A3667" w:rsidRDefault="006A3667">
            <w:pPr>
              <w:rPr>
                <w:rFonts w:ascii="宋体"/>
                <w:vanish/>
              </w:rPr>
            </w:pPr>
          </w:p>
        </w:tc>
        <w:tc>
          <w:tcPr>
            <w:tcW w:w="0" w:type="auto"/>
            <w:gridSpan w:val="3"/>
            <w:shd w:val="clear" w:color="auto" w:fill="auto"/>
            <w:vAlign w:val="bottom"/>
          </w:tcPr>
          <w:p w14:paraId="71D460FA" w14:textId="77777777" w:rsidR="006A3667" w:rsidRDefault="006A3667">
            <w:pPr>
              <w:rPr>
                <w:rFonts w:ascii="宋体"/>
                <w:vanish/>
              </w:rPr>
            </w:pPr>
          </w:p>
        </w:tc>
        <w:tc>
          <w:tcPr>
            <w:tcW w:w="0" w:type="auto"/>
            <w:gridSpan w:val="3"/>
            <w:shd w:val="clear" w:color="auto" w:fill="auto"/>
            <w:vAlign w:val="bottom"/>
          </w:tcPr>
          <w:p w14:paraId="71D460FB" w14:textId="77777777" w:rsidR="006A3667" w:rsidRDefault="006A3667">
            <w:pPr>
              <w:rPr>
                <w:rFonts w:ascii="宋体"/>
                <w:vanish/>
              </w:rPr>
            </w:pPr>
          </w:p>
        </w:tc>
        <w:tc>
          <w:tcPr>
            <w:tcW w:w="0" w:type="auto"/>
            <w:shd w:val="clear" w:color="auto" w:fill="auto"/>
            <w:vAlign w:val="bottom"/>
          </w:tcPr>
          <w:p w14:paraId="71D460FC" w14:textId="77777777" w:rsidR="006A3667" w:rsidRDefault="006A3667">
            <w:pPr>
              <w:rPr>
                <w:rFonts w:ascii="宋体"/>
                <w:vanish/>
              </w:rPr>
            </w:pPr>
          </w:p>
        </w:tc>
        <w:tc>
          <w:tcPr>
            <w:tcW w:w="0" w:type="auto"/>
            <w:shd w:val="clear" w:color="auto" w:fill="auto"/>
            <w:vAlign w:val="bottom"/>
          </w:tcPr>
          <w:p w14:paraId="71D460FD" w14:textId="77777777" w:rsidR="006A3667" w:rsidRDefault="006A3667">
            <w:pPr>
              <w:rPr>
                <w:rFonts w:ascii="宋体"/>
                <w:vanish/>
              </w:rPr>
            </w:pPr>
          </w:p>
        </w:tc>
      </w:tr>
      <w:tr w:rsidR="006A3667" w14:paraId="71D46105" w14:textId="77777777">
        <w:trPr>
          <w:hidden/>
        </w:trPr>
        <w:tc>
          <w:tcPr>
            <w:tcW w:w="0" w:type="auto"/>
            <w:gridSpan w:val="3"/>
            <w:shd w:val="clear" w:color="auto" w:fill="auto"/>
            <w:vAlign w:val="bottom"/>
          </w:tcPr>
          <w:p w14:paraId="71D460FF" w14:textId="77777777" w:rsidR="006A3667" w:rsidRDefault="006A3667">
            <w:pPr>
              <w:rPr>
                <w:rFonts w:ascii="宋体"/>
                <w:vanish/>
              </w:rPr>
            </w:pPr>
          </w:p>
        </w:tc>
        <w:tc>
          <w:tcPr>
            <w:tcW w:w="0" w:type="auto"/>
            <w:gridSpan w:val="3"/>
            <w:shd w:val="clear" w:color="auto" w:fill="auto"/>
            <w:vAlign w:val="bottom"/>
          </w:tcPr>
          <w:p w14:paraId="71D46100" w14:textId="77777777" w:rsidR="006A3667" w:rsidRDefault="006A3667">
            <w:pPr>
              <w:rPr>
                <w:rFonts w:ascii="宋体"/>
                <w:vanish/>
              </w:rPr>
            </w:pPr>
          </w:p>
        </w:tc>
        <w:tc>
          <w:tcPr>
            <w:tcW w:w="0" w:type="auto"/>
            <w:gridSpan w:val="3"/>
            <w:shd w:val="clear" w:color="auto" w:fill="auto"/>
            <w:vAlign w:val="bottom"/>
          </w:tcPr>
          <w:p w14:paraId="71D46101" w14:textId="77777777" w:rsidR="006A3667" w:rsidRDefault="006A3667">
            <w:pPr>
              <w:rPr>
                <w:rFonts w:ascii="宋体"/>
                <w:vanish/>
              </w:rPr>
            </w:pPr>
          </w:p>
        </w:tc>
        <w:tc>
          <w:tcPr>
            <w:tcW w:w="0" w:type="auto"/>
            <w:gridSpan w:val="3"/>
            <w:shd w:val="clear" w:color="auto" w:fill="auto"/>
            <w:vAlign w:val="bottom"/>
          </w:tcPr>
          <w:p w14:paraId="71D46102" w14:textId="77777777" w:rsidR="006A3667" w:rsidRDefault="006A3667">
            <w:pPr>
              <w:rPr>
                <w:rFonts w:ascii="宋体"/>
                <w:vanish/>
              </w:rPr>
            </w:pPr>
          </w:p>
        </w:tc>
        <w:tc>
          <w:tcPr>
            <w:tcW w:w="0" w:type="auto"/>
            <w:shd w:val="clear" w:color="auto" w:fill="auto"/>
            <w:vAlign w:val="bottom"/>
          </w:tcPr>
          <w:p w14:paraId="71D46103" w14:textId="77777777" w:rsidR="006A3667" w:rsidRDefault="006A3667">
            <w:pPr>
              <w:rPr>
                <w:rFonts w:ascii="宋体"/>
                <w:vanish/>
              </w:rPr>
            </w:pPr>
          </w:p>
        </w:tc>
        <w:tc>
          <w:tcPr>
            <w:tcW w:w="0" w:type="auto"/>
            <w:shd w:val="clear" w:color="auto" w:fill="auto"/>
            <w:vAlign w:val="bottom"/>
          </w:tcPr>
          <w:p w14:paraId="71D46104" w14:textId="77777777" w:rsidR="006A3667" w:rsidRDefault="006A3667">
            <w:pPr>
              <w:rPr>
                <w:rFonts w:ascii="宋体"/>
                <w:vanish/>
              </w:rPr>
            </w:pPr>
          </w:p>
        </w:tc>
      </w:tr>
      <w:tr w:rsidR="006A3667" w14:paraId="71D4610C" w14:textId="77777777">
        <w:trPr>
          <w:hidden/>
        </w:trPr>
        <w:tc>
          <w:tcPr>
            <w:tcW w:w="0" w:type="auto"/>
            <w:gridSpan w:val="3"/>
            <w:shd w:val="clear" w:color="auto" w:fill="auto"/>
            <w:vAlign w:val="bottom"/>
          </w:tcPr>
          <w:p w14:paraId="71D46106" w14:textId="77777777" w:rsidR="006A3667" w:rsidRDefault="006A3667">
            <w:pPr>
              <w:rPr>
                <w:rFonts w:ascii="宋体"/>
                <w:vanish/>
              </w:rPr>
            </w:pPr>
          </w:p>
        </w:tc>
        <w:tc>
          <w:tcPr>
            <w:tcW w:w="0" w:type="auto"/>
            <w:gridSpan w:val="3"/>
            <w:shd w:val="clear" w:color="auto" w:fill="auto"/>
            <w:vAlign w:val="bottom"/>
          </w:tcPr>
          <w:p w14:paraId="71D46107" w14:textId="77777777" w:rsidR="006A3667" w:rsidRDefault="006A3667">
            <w:pPr>
              <w:rPr>
                <w:rFonts w:ascii="宋体"/>
                <w:vanish/>
              </w:rPr>
            </w:pPr>
          </w:p>
        </w:tc>
        <w:tc>
          <w:tcPr>
            <w:tcW w:w="0" w:type="auto"/>
            <w:gridSpan w:val="3"/>
            <w:shd w:val="clear" w:color="auto" w:fill="auto"/>
            <w:vAlign w:val="bottom"/>
          </w:tcPr>
          <w:p w14:paraId="71D46108" w14:textId="77777777" w:rsidR="006A3667" w:rsidRDefault="006A3667">
            <w:pPr>
              <w:rPr>
                <w:rFonts w:ascii="宋体"/>
                <w:vanish/>
              </w:rPr>
            </w:pPr>
          </w:p>
        </w:tc>
        <w:tc>
          <w:tcPr>
            <w:tcW w:w="0" w:type="auto"/>
            <w:gridSpan w:val="3"/>
            <w:shd w:val="clear" w:color="auto" w:fill="auto"/>
            <w:vAlign w:val="bottom"/>
          </w:tcPr>
          <w:p w14:paraId="71D46109" w14:textId="77777777" w:rsidR="006A3667" w:rsidRDefault="006A3667">
            <w:pPr>
              <w:rPr>
                <w:rFonts w:ascii="宋体"/>
                <w:vanish/>
              </w:rPr>
            </w:pPr>
          </w:p>
        </w:tc>
        <w:tc>
          <w:tcPr>
            <w:tcW w:w="0" w:type="auto"/>
            <w:shd w:val="clear" w:color="auto" w:fill="auto"/>
            <w:vAlign w:val="bottom"/>
          </w:tcPr>
          <w:p w14:paraId="71D4610A" w14:textId="77777777" w:rsidR="006A3667" w:rsidRDefault="006A3667">
            <w:pPr>
              <w:rPr>
                <w:rFonts w:ascii="宋体"/>
                <w:vanish/>
              </w:rPr>
            </w:pPr>
          </w:p>
        </w:tc>
        <w:tc>
          <w:tcPr>
            <w:tcW w:w="0" w:type="auto"/>
            <w:shd w:val="clear" w:color="auto" w:fill="auto"/>
            <w:vAlign w:val="bottom"/>
          </w:tcPr>
          <w:p w14:paraId="71D4610B" w14:textId="77777777" w:rsidR="006A3667" w:rsidRDefault="006A3667">
            <w:pPr>
              <w:rPr>
                <w:rFonts w:ascii="宋体"/>
                <w:vanish/>
              </w:rPr>
            </w:pPr>
          </w:p>
        </w:tc>
      </w:tr>
      <w:tr w:rsidR="006A3667" w14:paraId="71D46113" w14:textId="77777777">
        <w:trPr>
          <w:hidden/>
        </w:trPr>
        <w:tc>
          <w:tcPr>
            <w:tcW w:w="0" w:type="auto"/>
            <w:gridSpan w:val="3"/>
            <w:shd w:val="clear" w:color="auto" w:fill="auto"/>
            <w:vAlign w:val="bottom"/>
          </w:tcPr>
          <w:p w14:paraId="71D4610D" w14:textId="77777777" w:rsidR="006A3667" w:rsidRDefault="006A3667">
            <w:pPr>
              <w:rPr>
                <w:rFonts w:ascii="宋体"/>
                <w:vanish/>
              </w:rPr>
            </w:pPr>
          </w:p>
        </w:tc>
        <w:tc>
          <w:tcPr>
            <w:tcW w:w="0" w:type="auto"/>
            <w:gridSpan w:val="3"/>
            <w:shd w:val="clear" w:color="auto" w:fill="auto"/>
            <w:vAlign w:val="bottom"/>
          </w:tcPr>
          <w:p w14:paraId="71D4610E" w14:textId="77777777" w:rsidR="006A3667" w:rsidRDefault="006A3667">
            <w:pPr>
              <w:rPr>
                <w:rFonts w:ascii="宋体"/>
                <w:vanish/>
              </w:rPr>
            </w:pPr>
          </w:p>
        </w:tc>
        <w:tc>
          <w:tcPr>
            <w:tcW w:w="0" w:type="auto"/>
            <w:gridSpan w:val="3"/>
            <w:shd w:val="clear" w:color="auto" w:fill="auto"/>
            <w:vAlign w:val="bottom"/>
          </w:tcPr>
          <w:p w14:paraId="71D4610F" w14:textId="77777777" w:rsidR="006A3667" w:rsidRDefault="006A3667">
            <w:pPr>
              <w:rPr>
                <w:rFonts w:ascii="宋体"/>
                <w:vanish/>
              </w:rPr>
            </w:pPr>
          </w:p>
        </w:tc>
        <w:tc>
          <w:tcPr>
            <w:tcW w:w="0" w:type="auto"/>
            <w:gridSpan w:val="3"/>
            <w:shd w:val="clear" w:color="auto" w:fill="auto"/>
            <w:vAlign w:val="bottom"/>
          </w:tcPr>
          <w:p w14:paraId="71D46110" w14:textId="77777777" w:rsidR="006A3667" w:rsidRDefault="006A3667">
            <w:pPr>
              <w:rPr>
                <w:rFonts w:ascii="宋体"/>
                <w:vanish/>
              </w:rPr>
            </w:pPr>
          </w:p>
        </w:tc>
        <w:tc>
          <w:tcPr>
            <w:tcW w:w="0" w:type="auto"/>
            <w:shd w:val="clear" w:color="auto" w:fill="auto"/>
            <w:vAlign w:val="bottom"/>
          </w:tcPr>
          <w:p w14:paraId="71D46111" w14:textId="77777777" w:rsidR="006A3667" w:rsidRDefault="006A3667">
            <w:pPr>
              <w:rPr>
                <w:rFonts w:ascii="宋体"/>
                <w:vanish/>
              </w:rPr>
            </w:pPr>
          </w:p>
        </w:tc>
        <w:tc>
          <w:tcPr>
            <w:tcW w:w="0" w:type="auto"/>
            <w:shd w:val="clear" w:color="auto" w:fill="auto"/>
            <w:vAlign w:val="bottom"/>
          </w:tcPr>
          <w:p w14:paraId="71D46112" w14:textId="77777777" w:rsidR="006A3667" w:rsidRDefault="006A3667">
            <w:pPr>
              <w:rPr>
                <w:rFonts w:ascii="宋体"/>
                <w:vanish/>
              </w:rPr>
            </w:pPr>
          </w:p>
        </w:tc>
      </w:tr>
      <w:tr w:rsidR="006A3667" w14:paraId="71D4611A" w14:textId="77777777">
        <w:trPr>
          <w:hidden/>
        </w:trPr>
        <w:tc>
          <w:tcPr>
            <w:tcW w:w="0" w:type="auto"/>
            <w:gridSpan w:val="3"/>
            <w:shd w:val="clear" w:color="auto" w:fill="auto"/>
            <w:vAlign w:val="bottom"/>
          </w:tcPr>
          <w:p w14:paraId="71D46114" w14:textId="77777777" w:rsidR="006A3667" w:rsidRDefault="006A3667">
            <w:pPr>
              <w:rPr>
                <w:rFonts w:ascii="宋体"/>
                <w:vanish/>
              </w:rPr>
            </w:pPr>
          </w:p>
        </w:tc>
        <w:tc>
          <w:tcPr>
            <w:tcW w:w="0" w:type="auto"/>
            <w:gridSpan w:val="3"/>
            <w:shd w:val="clear" w:color="auto" w:fill="auto"/>
            <w:vAlign w:val="bottom"/>
          </w:tcPr>
          <w:p w14:paraId="71D46115" w14:textId="77777777" w:rsidR="006A3667" w:rsidRDefault="006A3667">
            <w:pPr>
              <w:rPr>
                <w:rFonts w:ascii="宋体"/>
                <w:vanish/>
              </w:rPr>
            </w:pPr>
          </w:p>
        </w:tc>
        <w:tc>
          <w:tcPr>
            <w:tcW w:w="0" w:type="auto"/>
            <w:gridSpan w:val="3"/>
            <w:shd w:val="clear" w:color="auto" w:fill="auto"/>
            <w:vAlign w:val="bottom"/>
          </w:tcPr>
          <w:p w14:paraId="71D46116" w14:textId="77777777" w:rsidR="006A3667" w:rsidRDefault="006A3667">
            <w:pPr>
              <w:rPr>
                <w:rFonts w:ascii="宋体"/>
                <w:vanish/>
              </w:rPr>
            </w:pPr>
          </w:p>
        </w:tc>
        <w:tc>
          <w:tcPr>
            <w:tcW w:w="0" w:type="auto"/>
            <w:gridSpan w:val="3"/>
            <w:shd w:val="clear" w:color="auto" w:fill="auto"/>
            <w:vAlign w:val="bottom"/>
          </w:tcPr>
          <w:p w14:paraId="71D46117" w14:textId="77777777" w:rsidR="006A3667" w:rsidRDefault="006A3667">
            <w:pPr>
              <w:rPr>
                <w:rFonts w:ascii="宋体"/>
                <w:vanish/>
              </w:rPr>
            </w:pPr>
          </w:p>
        </w:tc>
        <w:tc>
          <w:tcPr>
            <w:tcW w:w="0" w:type="auto"/>
            <w:shd w:val="clear" w:color="auto" w:fill="auto"/>
            <w:vAlign w:val="bottom"/>
          </w:tcPr>
          <w:p w14:paraId="71D46118" w14:textId="77777777" w:rsidR="006A3667" w:rsidRDefault="006A3667">
            <w:pPr>
              <w:rPr>
                <w:rFonts w:ascii="宋体"/>
                <w:vanish/>
              </w:rPr>
            </w:pPr>
          </w:p>
        </w:tc>
        <w:tc>
          <w:tcPr>
            <w:tcW w:w="0" w:type="auto"/>
            <w:shd w:val="clear" w:color="auto" w:fill="auto"/>
            <w:vAlign w:val="bottom"/>
          </w:tcPr>
          <w:p w14:paraId="71D46119" w14:textId="77777777" w:rsidR="006A3667" w:rsidRDefault="006A3667">
            <w:pPr>
              <w:rPr>
                <w:rFonts w:ascii="宋体"/>
                <w:vanish/>
              </w:rPr>
            </w:pPr>
          </w:p>
        </w:tc>
      </w:tr>
      <w:tr w:rsidR="006A3667" w14:paraId="71D46123" w14:textId="77777777">
        <w:tc>
          <w:tcPr>
            <w:tcW w:w="0" w:type="auto"/>
            <w:gridSpan w:val="3"/>
            <w:shd w:val="clear" w:color="auto" w:fill="FFFFFF"/>
            <w:tcMar>
              <w:top w:w="40" w:type="dxa"/>
              <w:left w:w="245" w:type="dxa"/>
              <w:bottom w:w="40" w:type="dxa"/>
              <w:right w:w="20" w:type="dxa"/>
            </w:tcMar>
            <w:vAlign w:val="bottom"/>
          </w:tcPr>
          <w:p w14:paraId="71D4611B" w14:textId="77777777" w:rsidR="006A3667" w:rsidRDefault="00045F32">
            <w:pPr>
              <w:textAlignment w:val="bottom"/>
            </w:pPr>
            <w:r>
              <w:rPr>
                <w:rFonts w:ascii="Arial" w:eastAsia="宋体" w:hAnsi="Arial" w:cs="Arial"/>
                <w:color w:val="000000"/>
                <w:sz w:val="15"/>
                <w:szCs w:val="15"/>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611C" w14:textId="77777777" w:rsidR="006A3667" w:rsidRDefault="00045F32">
            <w:pPr>
              <w:jc w:val="right"/>
              <w:textAlignment w:val="bottom"/>
            </w:pPr>
            <w:r>
              <w:rPr>
                <w:rFonts w:ascii="Arial" w:eastAsia="宋体" w:hAnsi="Arial" w:cs="Arial"/>
                <w:b/>
                <w:bCs/>
                <w:color w:val="000000"/>
                <w:sz w:val="15"/>
                <w:szCs w:val="15"/>
              </w:rPr>
              <w:t>13,832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1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11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611F" w14:textId="77777777" w:rsidR="006A3667" w:rsidRDefault="00045F32">
            <w:pPr>
              <w:jc w:val="right"/>
              <w:textAlignment w:val="bottom"/>
            </w:pPr>
            <w:r>
              <w:rPr>
                <w:rFonts w:ascii="Arial" w:eastAsia="宋体" w:hAnsi="Arial" w:cs="Arial"/>
                <w:color w:val="000000"/>
                <w:sz w:val="15"/>
                <w:szCs w:val="15"/>
              </w:rPr>
              <w:t>10,418 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120" w14:textId="77777777" w:rsidR="006A3667" w:rsidRDefault="006A3667">
            <w:pPr>
              <w:jc w:val="right"/>
              <w:rPr>
                <w:rFonts w:ascii="宋体"/>
              </w:rPr>
            </w:pPr>
          </w:p>
        </w:tc>
        <w:tc>
          <w:tcPr>
            <w:tcW w:w="0" w:type="auto"/>
            <w:shd w:val="clear" w:color="auto" w:fill="auto"/>
            <w:vAlign w:val="bottom"/>
          </w:tcPr>
          <w:p w14:paraId="71D46121" w14:textId="77777777" w:rsidR="006A3667" w:rsidRDefault="006A3667">
            <w:pPr>
              <w:rPr>
                <w:rFonts w:ascii="宋体"/>
                <w:vanish/>
              </w:rPr>
            </w:pPr>
          </w:p>
        </w:tc>
        <w:tc>
          <w:tcPr>
            <w:tcW w:w="0" w:type="auto"/>
            <w:shd w:val="clear" w:color="auto" w:fill="auto"/>
            <w:vAlign w:val="bottom"/>
          </w:tcPr>
          <w:p w14:paraId="71D46122" w14:textId="77777777" w:rsidR="006A3667" w:rsidRDefault="006A3667">
            <w:pPr>
              <w:rPr>
                <w:rFonts w:ascii="宋体"/>
                <w:vanish/>
              </w:rPr>
            </w:pPr>
          </w:p>
        </w:tc>
      </w:tr>
      <w:tr w:rsidR="006A3667" w14:paraId="71D4612C" w14:textId="77777777">
        <w:tc>
          <w:tcPr>
            <w:tcW w:w="0" w:type="auto"/>
            <w:gridSpan w:val="3"/>
            <w:shd w:val="clear" w:color="auto" w:fill="CCEEFF"/>
            <w:tcMar>
              <w:top w:w="40" w:type="dxa"/>
              <w:left w:w="20" w:type="dxa"/>
              <w:bottom w:w="40" w:type="dxa"/>
              <w:right w:w="20" w:type="dxa"/>
            </w:tcMar>
            <w:vAlign w:val="bottom"/>
          </w:tcPr>
          <w:p w14:paraId="71D46124" w14:textId="77777777" w:rsidR="006A3667" w:rsidRDefault="00045F32">
            <w:pP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loans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6125" w14:textId="77777777" w:rsidR="006A3667" w:rsidRDefault="00045F32">
            <w:pPr>
              <w:jc w:val="right"/>
              <w:textAlignment w:val="bottom"/>
            </w:pPr>
            <w:r>
              <w:rPr>
                <w:rFonts w:ascii="Arial" w:eastAsia="宋体" w:hAnsi="Arial" w:cs="Arial"/>
                <w:b/>
                <w:bCs/>
                <w:color w:val="000000"/>
                <w:sz w:val="15"/>
                <w:szCs w:val="15"/>
              </w:rPr>
              <w:t>36,113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1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12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6128" w14:textId="77777777" w:rsidR="006A3667" w:rsidRDefault="00045F32">
            <w:pPr>
              <w:jc w:val="right"/>
              <w:textAlignment w:val="bottom"/>
            </w:pPr>
            <w:r>
              <w:rPr>
                <w:rFonts w:ascii="Arial" w:eastAsia="宋体" w:hAnsi="Arial" w:cs="Arial"/>
                <w:color w:val="000000"/>
                <w:sz w:val="15"/>
                <w:szCs w:val="15"/>
              </w:rPr>
              <w:t>32,532 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129" w14:textId="77777777" w:rsidR="006A3667" w:rsidRDefault="006A3667">
            <w:pPr>
              <w:jc w:val="right"/>
              <w:rPr>
                <w:rFonts w:ascii="宋体"/>
              </w:rPr>
            </w:pPr>
          </w:p>
        </w:tc>
        <w:tc>
          <w:tcPr>
            <w:tcW w:w="0" w:type="auto"/>
            <w:shd w:val="clear" w:color="auto" w:fill="auto"/>
            <w:vAlign w:val="bottom"/>
          </w:tcPr>
          <w:p w14:paraId="71D4612A" w14:textId="77777777" w:rsidR="006A3667" w:rsidRDefault="006A3667">
            <w:pPr>
              <w:rPr>
                <w:rFonts w:ascii="宋体"/>
                <w:vanish/>
              </w:rPr>
            </w:pPr>
          </w:p>
        </w:tc>
        <w:tc>
          <w:tcPr>
            <w:tcW w:w="0" w:type="auto"/>
            <w:shd w:val="clear" w:color="auto" w:fill="auto"/>
            <w:vAlign w:val="bottom"/>
          </w:tcPr>
          <w:p w14:paraId="71D4612B" w14:textId="77777777" w:rsidR="006A3667" w:rsidRDefault="006A3667">
            <w:pPr>
              <w:rPr>
                <w:rFonts w:ascii="宋体"/>
                <w:vanish/>
              </w:rPr>
            </w:pPr>
          </w:p>
        </w:tc>
      </w:tr>
      <w:tr w:rsidR="006A3667" w14:paraId="71D46135" w14:textId="77777777">
        <w:tc>
          <w:tcPr>
            <w:tcW w:w="0" w:type="auto"/>
            <w:gridSpan w:val="3"/>
            <w:shd w:val="clear" w:color="auto" w:fill="FFFFFF"/>
            <w:tcMar>
              <w:top w:w="40" w:type="dxa"/>
              <w:left w:w="20" w:type="dxa"/>
              <w:bottom w:w="40" w:type="dxa"/>
              <w:right w:w="20" w:type="dxa"/>
            </w:tcMar>
            <w:vAlign w:val="bottom"/>
          </w:tcPr>
          <w:p w14:paraId="71D4612D" w14:textId="77777777" w:rsidR="006A3667" w:rsidRDefault="00045F32">
            <w:pPr>
              <w:textAlignment w:val="bottom"/>
            </w:pPr>
            <w:r>
              <w:rPr>
                <w:rFonts w:ascii="Arial" w:eastAsia="宋体" w:hAnsi="Arial" w:cs="Arial"/>
                <w:b/>
                <w:bCs/>
                <w:color w:val="000000"/>
                <w:sz w:val="15"/>
                <w:szCs w:val="15"/>
              </w:rPr>
              <w:t>Allowance for credit losses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612E" w14:textId="77777777" w:rsidR="006A3667" w:rsidRDefault="00045F32">
            <w:pPr>
              <w:jc w:val="right"/>
              <w:textAlignment w:val="bottom"/>
            </w:pPr>
            <w:r>
              <w:rPr>
                <w:rFonts w:ascii="Arial" w:eastAsia="宋体" w:hAnsi="Arial" w:cs="Arial"/>
                <w:b/>
                <w:bCs/>
                <w:color w:val="000000"/>
                <w:sz w:val="15"/>
                <w:szCs w:val="15"/>
              </w:rPr>
              <w:t>(97)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1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13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6131" w14:textId="77777777" w:rsidR="006A3667" w:rsidRDefault="00045F32">
            <w:pPr>
              <w:jc w:val="right"/>
              <w:textAlignment w:val="bottom"/>
            </w:pPr>
            <w:r>
              <w:rPr>
                <w:rFonts w:ascii="Arial" w:eastAsia="宋体" w:hAnsi="Arial" w:cs="Arial"/>
                <w:color w:val="000000"/>
                <w:sz w:val="15"/>
                <w:szCs w:val="15"/>
              </w:rPr>
              <w:t>(87)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132" w14:textId="77777777" w:rsidR="006A3667" w:rsidRDefault="006A3667">
            <w:pPr>
              <w:jc w:val="right"/>
              <w:rPr>
                <w:rFonts w:ascii="宋体"/>
              </w:rPr>
            </w:pPr>
          </w:p>
        </w:tc>
        <w:tc>
          <w:tcPr>
            <w:tcW w:w="0" w:type="auto"/>
            <w:shd w:val="clear" w:color="auto" w:fill="auto"/>
            <w:vAlign w:val="bottom"/>
          </w:tcPr>
          <w:p w14:paraId="71D46133" w14:textId="77777777" w:rsidR="006A3667" w:rsidRDefault="006A3667">
            <w:pPr>
              <w:rPr>
                <w:rFonts w:ascii="宋体"/>
                <w:vanish/>
              </w:rPr>
            </w:pPr>
          </w:p>
        </w:tc>
        <w:tc>
          <w:tcPr>
            <w:tcW w:w="0" w:type="auto"/>
            <w:shd w:val="clear" w:color="auto" w:fill="auto"/>
            <w:vAlign w:val="bottom"/>
          </w:tcPr>
          <w:p w14:paraId="71D46134" w14:textId="77777777" w:rsidR="006A3667" w:rsidRDefault="006A3667">
            <w:pPr>
              <w:rPr>
                <w:rFonts w:ascii="宋体"/>
                <w:vanish/>
              </w:rPr>
            </w:pPr>
          </w:p>
        </w:tc>
      </w:tr>
      <w:tr w:rsidR="006A3667" w14:paraId="71D46140" w14:textId="77777777">
        <w:tc>
          <w:tcPr>
            <w:tcW w:w="0" w:type="auto"/>
            <w:gridSpan w:val="3"/>
            <w:shd w:val="clear" w:color="auto" w:fill="CCEEFF"/>
            <w:tcMar>
              <w:top w:w="40" w:type="dxa"/>
              <w:left w:w="20" w:type="dxa"/>
              <w:bottom w:w="40" w:type="dxa"/>
              <w:right w:w="20" w:type="dxa"/>
            </w:tcMar>
            <w:vAlign w:val="bottom"/>
          </w:tcPr>
          <w:p w14:paraId="71D46136" w14:textId="77777777" w:rsidR="006A3667" w:rsidRDefault="00045F32">
            <w:pPr>
              <w:textAlignment w:val="bottom"/>
            </w:pPr>
            <w:r>
              <w:rPr>
                <w:rFonts w:ascii="Arial" w:eastAsia="宋体" w:hAnsi="Arial" w:cs="Arial"/>
                <w:b/>
                <w:bCs/>
                <w:color w:val="000000"/>
                <w:sz w:val="15"/>
                <w:szCs w:val="15"/>
              </w:rPr>
              <w:t>Loans, net of allowance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6137"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6138" w14:textId="77777777" w:rsidR="006A3667" w:rsidRDefault="00045F32">
            <w:pPr>
              <w:jc w:val="right"/>
              <w:textAlignment w:val="bottom"/>
            </w:pPr>
            <w:r>
              <w:rPr>
                <w:rFonts w:ascii="Arial" w:eastAsia="宋体" w:hAnsi="Arial" w:cs="Arial"/>
                <w:b/>
                <w:bCs/>
                <w:color w:val="000000"/>
                <w:sz w:val="15"/>
                <w:szCs w:val="15"/>
              </w:rPr>
              <w:t>36,016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61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13A"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613B"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613C" w14:textId="77777777" w:rsidR="006A3667" w:rsidRDefault="00045F32">
            <w:pPr>
              <w:jc w:val="right"/>
              <w:textAlignment w:val="bottom"/>
            </w:pPr>
            <w:r>
              <w:rPr>
                <w:rFonts w:ascii="Arial" w:eastAsia="宋体" w:hAnsi="Arial" w:cs="Arial"/>
                <w:color w:val="000000"/>
                <w:sz w:val="15"/>
                <w:szCs w:val="15"/>
              </w:rPr>
              <w:t>32,445 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613D" w14:textId="77777777" w:rsidR="006A3667" w:rsidRDefault="006A3667">
            <w:pPr>
              <w:jc w:val="right"/>
              <w:rPr>
                <w:rFonts w:ascii="宋体"/>
              </w:rPr>
            </w:pPr>
          </w:p>
        </w:tc>
        <w:tc>
          <w:tcPr>
            <w:tcW w:w="0" w:type="auto"/>
            <w:shd w:val="clear" w:color="auto" w:fill="auto"/>
            <w:vAlign w:val="bottom"/>
          </w:tcPr>
          <w:p w14:paraId="71D4613E" w14:textId="77777777" w:rsidR="006A3667" w:rsidRDefault="006A3667">
            <w:pPr>
              <w:rPr>
                <w:rFonts w:ascii="宋体"/>
                <w:vanish/>
              </w:rPr>
            </w:pPr>
          </w:p>
        </w:tc>
        <w:tc>
          <w:tcPr>
            <w:tcW w:w="0" w:type="auto"/>
            <w:shd w:val="clear" w:color="auto" w:fill="auto"/>
            <w:vAlign w:val="bottom"/>
          </w:tcPr>
          <w:p w14:paraId="71D4613F" w14:textId="77777777" w:rsidR="006A3667" w:rsidRDefault="006A3667">
            <w:pPr>
              <w:rPr>
                <w:rFonts w:ascii="宋体"/>
                <w:vanish/>
              </w:rPr>
            </w:pPr>
          </w:p>
        </w:tc>
      </w:tr>
    </w:tbl>
    <w:p w14:paraId="71D46141"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66"/>
        <w:gridCol w:w="36"/>
        <w:gridCol w:w="69"/>
        <w:gridCol w:w="4260"/>
        <w:gridCol w:w="36"/>
      </w:tblGrid>
      <w:tr w:rsidR="006A3667" w14:paraId="71D46148" w14:textId="77777777">
        <w:tc>
          <w:tcPr>
            <w:tcW w:w="50" w:type="pct"/>
            <w:shd w:val="clear" w:color="auto" w:fill="auto"/>
            <w:vAlign w:val="bottom"/>
          </w:tcPr>
          <w:p w14:paraId="71D46142" w14:textId="77777777" w:rsidR="006A3667" w:rsidRDefault="006A3667">
            <w:pPr>
              <w:rPr>
                <w:rFonts w:ascii="宋体"/>
              </w:rPr>
            </w:pPr>
          </w:p>
        </w:tc>
        <w:tc>
          <w:tcPr>
            <w:tcW w:w="2327" w:type="pct"/>
            <w:shd w:val="clear" w:color="auto" w:fill="auto"/>
            <w:vAlign w:val="bottom"/>
          </w:tcPr>
          <w:p w14:paraId="71D46143" w14:textId="77777777" w:rsidR="006A3667" w:rsidRDefault="006A3667">
            <w:pPr>
              <w:rPr>
                <w:rFonts w:ascii="宋体"/>
              </w:rPr>
            </w:pPr>
          </w:p>
        </w:tc>
        <w:tc>
          <w:tcPr>
            <w:tcW w:w="5" w:type="pct"/>
            <w:shd w:val="clear" w:color="auto" w:fill="auto"/>
            <w:vAlign w:val="bottom"/>
          </w:tcPr>
          <w:p w14:paraId="71D46144" w14:textId="77777777" w:rsidR="006A3667" w:rsidRDefault="006A3667">
            <w:pPr>
              <w:rPr>
                <w:rFonts w:ascii="宋体"/>
              </w:rPr>
            </w:pPr>
          </w:p>
        </w:tc>
        <w:tc>
          <w:tcPr>
            <w:tcW w:w="50" w:type="pct"/>
            <w:shd w:val="clear" w:color="auto" w:fill="auto"/>
            <w:vAlign w:val="bottom"/>
          </w:tcPr>
          <w:p w14:paraId="71D46145" w14:textId="77777777" w:rsidR="006A3667" w:rsidRDefault="006A3667">
            <w:pPr>
              <w:rPr>
                <w:rFonts w:ascii="宋体"/>
              </w:rPr>
            </w:pPr>
          </w:p>
        </w:tc>
        <w:tc>
          <w:tcPr>
            <w:tcW w:w="2562" w:type="pct"/>
            <w:shd w:val="clear" w:color="auto" w:fill="auto"/>
            <w:vAlign w:val="bottom"/>
          </w:tcPr>
          <w:p w14:paraId="71D46146" w14:textId="77777777" w:rsidR="006A3667" w:rsidRDefault="006A3667">
            <w:pPr>
              <w:rPr>
                <w:rFonts w:ascii="宋体"/>
              </w:rPr>
            </w:pPr>
          </w:p>
        </w:tc>
        <w:tc>
          <w:tcPr>
            <w:tcW w:w="5" w:type="pct"/>
            <w:shd w:val="clear" w:color="auto" w:fill="auto"/>
            <w:vAlign w:val="bottom"/>
          </w:tcPr>
          <w:p w14:paraId="71D46147" w14:textId="77777777" w:rsidR="006A3667" w:rsidRDefault="006A3667">
            <w:pPr>
              <w:rPr>
                <w:rFonts w:ascii="宋体"/>
              </w:rPr>
            </w:pPr>
          </w:p>
        </w:tc>
      </w:tr>
      <w:tr w:rsidR="006A3667" w14:paraId="71D4614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614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14A" w14:textId="77777777" w:rsidR="006A3667" w:rsidRDefault="006A3667">
            <w:pPr>
              <w:rPr>
                <w:rFonts w:ascii="宋体"/>
              </w:rPr>
            </w:pPr>
          </w:p>
        </w:tc>
      </w:tr>
    </w:tbl>
    <w:p w14:paraId="71D4614C" w14:textId="77777777" w:rsidR="006A3667" w:rsidRDefault="00045F32">
      <w:pPr>
        <w:spacing w:before="60"/>
      </w:pPr>
      <w:r>
        <w:rPr>
          <w:rFonts w:ascii="Arial" w:eastAsia="宋体" w:hAnsi="Arial" w:cs="Arial"/>
          <w:color w:val="000000"/>
          <w:sz w:val="9"/>
          <w:szCs w:val="9"/>
        </w:rPr>
        <w:t>(1)</w:t>
      </w:r>
      <w:r>
        <w:rPr>
          <w:rFonts w:ascii="Arial" w:eastAsia="宋体" w:hAnsi="Arial" w:cs="Arial"/>
          <w:color w:val="000000"/>
          <w:sz w:val="14"/>
          <w:szCs w:val="14"/>
        </w:rPr>
        <w:t xml:space="preserve"> Domestic and foreign categorization is based on the borrower’s country of domicile.</w:t>
      </w:r>
    </w:p>
    <w:p w14:paraId="71D4614D" w14:textId="77777777" w:rsidR="006A3667" w:rsidRDefault="00045F32">
      <w:pPr>
        <w:spacing w:before="9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Fund finance loans include primarily $7.69 billion private equity capital call finance loans, $6.57 billion loans to real money funds, $4.25 billion collateralized loa</w:t>
      </w:r>
      <w:r>
        <w:rPr>
          <w:rFonts w:ascii="Arial" w:eastAsia="宋体" w:hAnsi="Arial" w:cs="Arial"/>
          <w:color w:val="000000"/>
          <w:sz w:val="14"/>
          <w:szCs w:val="14"/>
        </w:rPr>
        <w:t>n obligations in loan form and $1.10 billion loans to business development companies as of September 30, 2022, compared to $9.15 billion private equity capital call finance loans, $6.40 billion loans to real money funds, $2.91 billion collateralized loan o</w:t>
      </w:r>
      <w:r>
        <w:rPr>
          <w:rFonts w:ascii="Arial" w:eastAsia="宋体" w:hAnsi="Arial" w:cs="Arial"/>
          <w:color w:val="000000"/>
          <w:sz w:val="14"/>
          <w:szCs w:val="14"/>
        </w:rPr>
        <w:t>bligations in loan form and $1.39 billion loans to business development companies as of December 31, 2021.</w:t>
      </w:r>
    </w:p>
    <w:p w14:paraId="71D4614E" w14:textId="77777777" w:rsidR="006A3667" w:rsidRDefault="00045F32">
      <w:pPr>
        <w:spacing w:before="9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Includes $1.73 billion securities finance loans, $389 million loans to municipalities and $19 million other loans as of September 30, 2022 and $1</w:t>
      </w:r>
      <w:r>
        <w:rPr>
          <w:rFonts w:ascii="Arial" w:eastAsia="宋体" w:hAnsi="Arial" w:cs="Arial"/>
          <w:color w:val="000000"/>
          <w:sz w:val="14"/>
          <w:szCs w:val="14"/>
        </w:rPr>
        <w:t>.78 billion securities finance loans, $455 million loans to municipalities and $23 million other loans as of December 31, 2021.</w:t>
      </w:r>
    </w:p>
    <w:p w14:paraId="71D4614F" w14:textId="77777777" w:rsidR="006A3667" w:rsidRDefault="006A3667">
      <w:pPr>
        <w:spacing w:before="90"/>
        <w:jc w:val="both"/>
        <w:textAlignment w:val="top"/>
      </w:pPr>
    </w:p>
    <w:p w14:paraId="71D46150" w14:textId="77777777" w:rsidR="006A3667" w:rsidRDefault="00045F32">
      <w:pPr>
        <w:ind w:firstLine="450"/>
        <w:jc w:val="right"/>
      </w:pPr>
      <w:r>
        <w:rPr>
          <w:rFonts w:ascii="Arial" w:eastAsia="宋体" w:hAnsi="Arial" w:cs="Arial"/>
          <w:color w:val="000000"/>
          <w:sz w:val="18"/>
          <w:szCs w:val="18"/>
        </w:rPr>
        <w:t>State Street Corporation | 70</w:t>
      </w:r>
    </w:p>
    <w:p w14:paraId="71D46151" w14:textId="77777777" w:rsidR="006A3667" w:rsidRDefault="006A3667">
      <w:pPr>
        <w:ind w:firstLine="450"/>
        <w:jc w:val="center"/>
      </w:pPr>
    </w:p>
    <w:p w14:paraId="71D46152" w14:textId="77777777" w:rsidR="006A3667" w:rsidRDefault="00045F32">
      <w:r>
        <w:pict w14:anchorId="71D4AC5A">
          <v:rect id="_x0000_i1094" style="width:415.3pt;height:1.5pt" o:hralign="center" o:hrstd="t" o:hr="t" fillcolor="#a0a0a0" stroked="f"/>
        </w:pict>
      </w:r>
    </w:p>
    <w:p w14:paraId="71D46153" w14:textId="77777777" w:rsidR="006A3667" w:rsidRDefault="00045F32">
      <w:pPr>
        <w:ind w:firstLine="450"/>
        <w:jc w:val="center"/>
      </w:pPr>
      <w:r>
        <w:rPr>
          <w:rFonts w:ascii="Arial" w:eastAsia="宋体" w:hAnsi="Arial" w:cs="Arial"/>
          <w:b/>
          <w:bCs/>
          <w:color w:val="000000"/>
          <w:sz w:val="20"/>
          <w:szCs w:val="20"/>
        </w:rPr>
        <w:t>STATE STREET CORPORATION</w:t>
      </w:r>
    </w:p>
    <w:p w14:paraId="71D46154"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6155" w14:textId="77777777" w:rsidR="006A3667" w:rsidRDefault="00045F32">
      <w:pPr>
        <w:ind w:firstLine="450"/>
        <w:jc w:val="center"/>
      </w:pPr>
      <w:r>
        <w:rPr>
          <w:rFonts w:ascii="Arial" w:eastAsia="宋体" w:hAnsi="Arial" w:cs="Arial"/>
          <w:b/>
          <w:bCs/>
          <w:color w:val="000000"/>
          <w:sz w:val="20"/>
          <w:szCs w:val="20"/>
        </w:rPr>
        <w:t>(UNAUDITED)</w:t>
      </w:r>
    </w:p>
    <w:p w14:paraId="71D46156" w14:textId="77777777" w:rsidR="006A3667" w:rsidRDefault="00045F32">
      <w:pPr>
        <w:spacing w:before="60"/>
        <w:ind w:firstLine="450"/>
        <w:jc w:val="both"/>
        <w:textAlignment w:val="top"/>
      </w:pPr>
      <w:r>
        <w:rPr>
          <w:rFonts w:ascii="Arial" w:eastAsia="宋体" w:hAnsi="Arial" w:cs="Arial"/>
          <w:color w:val="000000"/>
          <w:sz w:val="20"/>
          <w:szCs w:val="20"/>
        </w:rPr>
        <w:t>The commercial and financial segment is composed of primarily fund finance loans, purchased leveraged loans, overdrafts and other loans. Fund finance loans are composed of revolving credit lines providing liquidity and leverage to mutual fund a</w:t>
      </w:r>
      <w:r>
        <w:rPr>
          <w:rFonts w:ascii="Arial" w:eastAsia="宋体" w:hAnsi="Arial" w:cs="Arial"/>
          <w:color w:val="000000"/>
          <w:sz w:val="20"/>
          <w:szCs w:val="20"/>
        </w:rPr>
        <w:t xml:space="preserve">nd private equity fund clients, as well as collateralized loan obligations in loan form. </w:t>
      </w:r>
    </w:p>
    <w:p w14:paraId="71D46157" w14:textId="77777777" w:rsidR="006A3667" w:rsidRDefault="00045F32">
      <w:pPr>
        <w:spacing w:before="60"/>
        <w:ind w:firstLine="450"/>
        <w:jc w:val="both"/>
        <w:textAlignment w:val="top"/>
      </w:pPr>
      <w:r>
        <w:rPr>
          <w:rFonts w:ascii="Arial" w:eastAsia="宋体" w:hAnsi="Arial" w:cs="Arial"/>
          <w:color w:val="000000"/>
          <w:sz w:val="20"/>
          <w:szCs w:val="20"/>
        </w:rPr>
        <w:t>Certain loans are pledged as collateral for access to the Federal Reserve's discount window. As of September 30, 2022 and December 31, 2021, the loans pledged as coll</w:t>
      </w:r>
      <w:r>
        <w:rPr>
          <w:rFonts w:ascii="Arial" w:eastAsia="宋体" w:hAnsi="Arial" w:cs="Arial"/>
          <w:color w:val="000000"/>
          <w:sz w:val="20"/>
          <w:szCs w:val="20"/>
        </w:rPr>
        <w:t>ateral totaled $9.76 billion and $10.08 billion, respectively.</w:t>
      </w:r>
    </w:p>
    <w:p w14:paraId="71D46158" w14:textId="77777777" w:rsidR="006A3667" w:rsidRDefault="00045F32">
      <w:pPr>
        <w:spacing w:before="60"/>
        <w:ind w:firstLine="450"/>
        <w:jc w:val="both"/>
        <w:textAlignment w:val="top"/>
      </w:pPr>
      <w:r>
        <w:rPr>
          <w:rFonts w:ascii="Arial" w:eastAsia="宋体" w:hAnsi="Arial" w:cs="Arial"/>
          <w:color w:val="000000"/>
          <w:sz w:val="20"/>
          <w:szCs w:val="20"/>
        </w:rPr>
        <w:t xml:space="preserve">As of both September 30, 2022 and December 31, 2021, we had no loans on non-accrual status. </w:t>
      </w:r>
    </w:p>
    <w:p w14:paraId="71D46159" w14:textId="77777777" w:rsidR="006A3667" w:rsidRDefault="00045F32">
      <w:pPr>
        <w:spacing w:before="60"/>
        <w:ind w:firstLine="450"/>
        <w:jc w:val="both"/>
        <w:textAlignment w:val="top"/>
      </w:pPr>
      <w:r>
        <w:rPr>
          <w:rFonts w:ascii="Arial" w:eastAsia="宋体" w:hAnsi="Arial" w:cs="Arial"/>
          <w:color w:val="000000"/>
          <w:sz w:val="20"/>
          <w:szCs w:val="20"/>
        </w:rPr>
        <w:t>We sold $21 million of loans in the third quarter of 2022.</w:t>
      </w:r>
    </w:p>
    <w:p w14:paraId="71D4615A" w14:textId="77777777" w:rsidR="006A3667" w:rsidRDefault="00045F32">
      <w:pPr>
        <w:spacing w:before="60"/>
        <w:ind w:firstLine="450"/>
        <w:jc w:val="both"/>
        <w:textAlignment w:val="top"/>
      </w:pPr>
      <w:r>
        <w:rPr>
          <w:rFonts w:ascii="Arial" w:eastAsia="宋体" w:hAnsi="Arial" w:cs="Arial"/>
          <w:color w:val="000000"/>
          <w:sz w:val="20"/>
          <w:szCs w:val="20"/>
        </w:rPr>
        <w:t xml:space="preserve">In certain circumstances, we restructure </w:t>
      </w:r>
      <w:r>
        <w:rPr>
          <w:rFonts w:ascii="Arial" w:eastAsia="宋体" w:hAnsi="Arial" w:cs="Arial"/>
          <w:color w:val="000000"/>
          <w:sz w:val="20"/>
          <w:szCs w:val="20"/>
        </w:rPr>
        <w:t>troubled loans by granting concessions to borrowers experiencing financial difficulty. Once restructured, the loans are generally considered impaired until their maturity, regardless of whether the borrowers perform under the modified terms of the loans. T</w:t>
      </w:r>
      <w:r>
        <w:rPr>
          <w:rFonts w:ascii="Arial" w:eastAsia="宋体" w:hAnsi="Arial" w:cs="Arial"/>
          <w:color w:val="000000"/>
          <w:sz w:val="20"/>
          <w:szCs w:val="20"/>
        </w:rPr>
        <w:t>here were no loans modified in troubled debt restructurings during the third quarter of 2022.</w:t>
      </w:r>
    </w:p>
    <w:p w14:paraId="71D4615B" w14:textId="77777777" w:rsidR="006A3667" w:rsidRDefault="00045F32">
      <w:pPr>
        <w:spacing w:before="60"/>
        <w:jc w:val="both"/>
        <w:textAlignment w:val="top"/>
      </w:pPr>
      <w:r>
        <w:rPr>
          <w:rFonts w:ascii="Arial" w:eastAsia="宋体" w:hAnsi="Arial" w:cs="Arial"/>
          <w:b/>
          <w:bCs/>
          <w:i/>
          <w:iCs/>
          <w:color w:val="000000"/>
          <w:sz w:val="20"/>
          <w:szCs w:val="20"/>
        </w:rPr>
        <w:t>Allowance for Credit Losses</w:t>
      </w:r>
    </w:p>
    <w:p w14:paraId="71D4615C" w14:textId="77777777" w:rsidR="006A3667" w:rsidRDefault="00045F32">
      <w:pPr>
        <w:spacing w:before="60"/>
        <w:ind w:firstLine="450"/>
        <w:jc w:val="both"/>
        <w:textAlignment w:val="top"/>
      </w:pPr>
      <w:r>
        <w:rPr>
          <w:rFonts w:ascii="Arial" w:eastAsia="宋体" w:hAnsi="Arial" w:cs="Arial"/>
          <w:color w:val="000000"/>
          <w:sz w:val="20"/>
          <w:szCs w:val="20"/>
        </w:rPr>
        <w:t>We recognize an allowance for credit losses in accordance with ASC 326 for certain on-balance sheet credit exposures, including financial assets held at amortized cost and off-balance sheet commitments. The allowance for credit losses is reviewed on a regu</w:t>
      </w:r>
      <w:r>
        <w:rPr>
          <w:rFonts w:ascii="Arial" w:eastAsia="宋体" w:hAnsi="Arial" w:cs="Arial"/>
          <w:color w:val="000000"/>
          <w:sz w:val="20"/>
          <w:szCs w:val="20"/>
        </w:rPr>
        <w:t>lar basis, and any provision for credit losses is recorded to reflect the amount necessary to maintain the allowance for expected credit losses at a level which represents what management does not expect to recover due to expected credit losses. For additi</w:t>
      </w:r>
      <w:r>
        <w:rPr>
          <w:rFonts w:ascii="Arial" w:eastAsia="宋体" w:hAnsi="Arial" w:cs="Arial"/>
          <w:color w:val="000000"/>
          <w:sz w:val="20"/>
          <w:szCs w:val="20"/>
        </w:rPr>
        <w:t xml:space="preserve">onal discussion on the allowance for credit losses for investment securities, please refer to Note 3, to the consolidated financial statements in this Form 10-Q. </w:t>
      </w:r>
    </w:p>
    <w:p w14:paraId="71D4615D" w14:textId="77777777" w:rsidR="006A3667" w:rsidRDefault="00045F32">
      <w:pPr>
        <w:spacing w:before="60"/>
        <w:ind w:firstLine="450"/>
        <w:jc w:val="both"/>
        <w:textAlignment w:val="top"/>
      </w:pPr>
      <w:r>
        <w:rPr>
          <w:rFonts w:ascii="Arial" w:eastAsia="宋体" w:hAnsi="Arial" w:cs="Arial"/>
          <w:color w:val="000000"/>
          <w:sz w:val="20"/>
          <w:szCs w:val="20"/>
        </w:rPr>
        <w:t>When the allowance is recorded, a provision for credit loss expense is recognized in net inco</w:t>
      </w:r>
      <w:r>
        <w:rPr>
          <w:rFonts w:ascii="Arial" w:eastAsia="宋体" w:hAnsi="Arial" w:cs="Arial"/>
          <w:color w:val="000000"/>
          <w:sz w:val="20"/>
          <w:szCs w:val="20"/>
        </w:rPr>
        <w:t xml:space="preserve">me. The allowance for credit losses for financial assets (excluding investment securities, as discussed in Note 3) represents the portion of the amortized cost basis, including accrued interest for financial assets held at amortized cost, which management </w:t>
      </w:r>
      <w:r>
        <w:rPr>
          <w:rFonts w:ascii="Arial" w:eastAsia="宋体" w:hAnsi="Arial" w:cs="Arial"/>
          <w:color w:val="000000"/>
          <w:sz w:val="20"/>
          <w:szCs w:val="20"/>
        </w:rPr>
        <w:t>does not expect to recover due to expected credit losses and is presented on the statement of condition as an offset to the amortized cost basis. The accrued interest balance is presented separately on the statement of condition within accrued interest and</w:t>
      </w:r>
      <w:r>
        <w:rPr>
          <w:rFonts w:ascii="Arial" w:eastAsia="宋体" w:hAnsi="Arial" w:cs="Arial"/>
          <w:color w:val="000000"/>
          <w:sz w:val="20"/>
          <w:szCs w:val="20"/>
        </w:rPr>
        <w:t xml:space="preserve"> fees receivable. The allowance for off-balance sheet commitments is presented within other liabilities.</w:t>
      </w:r>
    </w:p>
    <w:p w14:paraId="71D4615E" w14:textId="77777777" w:rsidR="006A3667" w:rsidRDefault="00045F32">
      <w:pPr>
        <w:spacing w:before="60"/>
        <w:ind w:firstLine="450"/>
        <w:jc w:val="both"/>
        <w:textAlignment w:val="top"/>
      </w:pPr>
      <w:r>
        <w:rPr>
          <w:rFonts w:ascii="Arial" w:eastAsia="宋体" w:hAnsi="Arial" w:cs="Arial"/>
          <w:color w:val="000000"/>
          <w:sz w:val="20"/>
          <w:szCs w:val="20"/>
        </w:rPr>
        <w:t>The allowance for credit losses may be determined using various methods, including discounted cash flow methods, loss-rate methods, probability-of-defa</w:t>
      </w:r>
      <w:r>
        <w:rPr>
          <w:rFonts w:ascii="Arial" w:eastAsia="宋体" w:hAnsi="Arial" w:cs="Arial"/>
          <w:color w:val="000000"/>
          <w:sz w:val="20"/>
          <w:szCs w:val="20"/>
        </w:rPr>
        <w:t>ult methods, and other quantitative or qualitative methods as determined by us. The method used to estimate expected credit losses may vary depending on the type of financial asset, our ability to predict the timing of cash flows, and the information avail</w:t>
      </w:r>
      <w:r>
        <w:rPr>
          <w:rFonts w:ascii="Arial" w:eastAsia="宋体" w:hAnsi="Arial" w:cs="Arial"/>
          <w:color w:val="000000"/>
          <w:sz w:val="20"/>
          <w:szCs w:val="20"/>
        </w:rPr>
        <w:t>able to us.</w:t>
      </w:r>
    </w:p>
    <w:p w14:paraId="71D4615F" w14:textId="77777777" w:rsidR="006A3667" w:rsidRDefault="00045F32">
      <w:pPr>
        <w:spacing w:before="60"/>
        <w:ind w:firstLine="450"/>
        <w:jc w:val="both"/>
        <w:textAlignment w:val="top"/>
      </w:pPr>
      <w:r>
        <w:rPr>
          <w:rFonts w:ascii="Arial" w:eastAsia="宋体" w:hAnsi="Arial" w:cs="Arial"/>
          <w:color w:val="000000"/>
          <w:sz w:val="20"/>
          <w:szCs w:val="20"/>
        </w:rPr>
        <w:t>We measure expected credit losses of financial assets on a collective (pool) basis when similar risk characteristics exist. Each reporting period, we assess whether the assets in the pool continue to display similar risk characteristics.</w:t>
      </w:r>
    </w:p>
    <w:p w14:paraId="71D46160" w14:textId="77777777" w:rsidR="006A3667" w:rsidRDefault="00045F32">
      <w:pPr>
        <w:spacing w:before="60"/>
        <w:ind w:firstLine="450"/>
        <w:jc w:val="both"/>
        <w:textAlignment w:val="top"/>
      </w:pPr>
      <w:r>
        <w:rPr>
          <w:rFonts w:ascii="Arial" w:eastAsia="宋体" w:hAnsi="Arial" w:cs="Arial"/>
          <w:color w:val="000000"/>
          <w:sz w:val="20"/>
          <w:szCs w:val="20"/>
        </w:rPr>
        <w:t xml:space="preserve">For a </w:t>
      </w:r>
      <w:r>
        <w:rPr>
          <w:rFonts w:ascii="Arial" w:eastAsia="宋体" w:hAnsi="Arial" w:cs="Arial"/>
          <w:color w:val="000000"/>
          <w:sz w:val="20"/>
          <w:szCs w:val="20"/>
        </w:rPr>
        <w:t>financial asset that does not share risk characteristics with other assets, expected credit losses are measured separately using one or more of the methods noted above. As of September 30, 2022, we had 11 loans for $130 million in the commercial and financ</w:t>
      </w:r>
      <w:r>
        <w:rPr>
          <w:rFonts w:ascii="Arial" w:eastAsia="宋体" w:hAnsi="Arial" w:cs="Arial"/>
          <w:color w:val="000000"/>
          <w:sz w:val="20"/>
          <w:szCs w:val="20"/>
        </w:rPr>
        <w:t>ial segment that no longer met the similar risk characteristics of their collective pool. We recorded an allowance for credit losses of $8 million as of September 30, 2022 on these loans.</w:t>
      </w:r>
    </w:p>
    <w:p w14:paraId="71D46161" w14:textId="77777777" w:rsidR="006A3667" w:rsidRDefault="00045F32">
      <w:pPr>
        <w:spacing w:before="60"/>
        <w:ind w:firstLine="450"/>
        <w:jc w:val="both"/>
        <w:textAlignment w:val="top"/>
      </w:pPr>
      <w:r>
        <w:rPr>
          <w:rFonts w:ascii="Arial" w:eastAsia="宋体" w:hAnsi="Arial" w:cs="Arial"/>
          <w:color w:val="000000"/>
          <w:sz w:val="20"/>
          <w:szCs w:val="20"/>
        </w:rPr>
        <w:t>Determining the appropriateness of the allowance is complex and requ</w:t>
      </w:r>
      <w:r>
        <w:rPr>
          <w:rFonts w:ascii="Arial" w:eastAsia="宋体" w:hAnsi="Arial" w:cs="Arial"/>
          <w:color w:val="000000"/>
          <w:sz w:val="20"/>
          <w:szCs w:val="20"/>
        </w:rPr>
        <w:t xml:space="preserve">ires judgment by management about the effect of matters that are inherently uncertain. In future periods, factors and forecasts then prevailing may result in significant changes in the allowance for credit losses in those future periods. </w:t>
      </w:r>
    </w:p>
    <w:p w14:paraId="71D46162" w14:textId="77777777" w:rsidR="006A3667" w:rsidRDefault="00045F32">
      <w:pPr>
        <w:spacing w:before="60"/>
        <w:ind w:firstLine="450"/>
        <w:jc w:val="both"/>
        <w:textAlignment w:val="top"/>
      </w:pPr>
      <w:r>
        <w:rPr>
          <w:rFonts w:ascii="Arial" w:eastAsia="宋体" w:hAnsi="Arial" w:cs="Arial"/>
          <w:color w:val="000000"/>
          <w:sz w:val="20"/>
          <w:szCs w:val="20"/>
        </w:rPr>
        <w:t>We estimate credi</w:t>
      </w:r>
      <w:r>
        <w:rPr>
          <w:rFonts w:ascii="Arial" w:eastAsia="宋体" w:hAnsi="Arial" w:cs="Arial"/>
          <w:color w:val="000000"/>
          <w:sz w:val="20"/>
          <w:szCs w:val="20"/>
        </w:rPr>
        <w:t>t losses over the contractual life of the financial asset, while factoring in prepayment activity, where supported by data, over a 3 year reasonable and supportable forecast period. We utilize a baseline, upside and downside scenario which are applied base</w:t>
      </w:r>
      <w:r>
        <w:rPr>
          <w:rFonts w:ascii="Arial" w:eastAsia="宋体" w:hAnsi="Arial" w:cs="Arial"/>
          <w:color w:val="000000"/>
          <w:sz w:val="20"/>
          <w:szCs w:val="20"/>
        </w:rPr>
        <w:t>d on a probability weighting, in order to better reflect management’s expectation of expected credit losses given existing market conditions and the changes in the economic environment. The multiple scenarios are based on a three year horizon (or less depe</w:t>
      </w:r>
      <w:r>
        <w:rPr>
          <w:rFonts w:ascii="Arial" w:eastAsia="宋体" w:hAnsi="Arial" w:cs="Arial"/>
          <w:color w:val="000000"/>
          <w:sz w:val="20"/>
          <w:szCs w:val="20"/>
        </w:rPr>
        <w:t>nding on contractual maturity) and then revert linearly over a two year period to a ten-year historical average thereafter. The contractual term excludes expected extensions, renewals and modifications, but includes prepayment assumptions where applicable.</w:t>
      </w:r>
      <w:r>
        <w:rPr>
          <w:rFonts w:ascii="Arial" w:eastAsia="宋体" w:hAnsi="Arial" w:cs="Arial"/>
          <w:color w:val="000000"/>
          <w:sz w:val="20"/>
          <w:szCs w:val="20"/>
        </w:rPr>
        <w:t xml:space="preserve"> </w:t>
      </w:r>
    </w:p>
    <w:p w14:paraId="71D46163" w14:textId="77777777" w:rsidR="006A3667" w:rsidRDefault="00045F32">
      <w:pPr>
        <w:spacing w:before="60"/>
        <w:ind w:firstLine="450"/>
        <w:jc w:val="both"/>
        <w:textAlignment w:val="top"/>
      </w:pPr>
      <w:r>
        <w:rPr>
          <w:rFonts w:ascii="Arial" w:eastAsia="宋体" w:hAnsi="Arial" w:cs="Arial"/>
          <w:color w:val="000000"/>
          <w:sz w:val="20"/>
          <w:szCs w:val="20"/>
        </w:rPr>
        <w:t>As part of our allowance methodology, we establish qualitative reserves to address any risks inherent in our portfolio that are not addressed through our quantitative reserve assessment. These factors may relate to, among other things, legislation change</w:t>
      </w:r>
      <w:r>
        <w:rPr>
          <w:rFonts w:ascii="Arial" w:eastAsia="宋体" w:hAnsi="Arial" w:cs="Arial"/>
          <w:color w:val="000000"/>
          <w:sz w:val="20"/>
          <w:szCs w:val="20"/>
        </w:rPr>
        <w:t xml:space="preserve">s or new regulation, credit concentration, loan markets, scenario weighting and overall model limitations. The qualitative adjustments are applied to our portfolio of financial instruments under the </w:t>
      </w:r>
    </w:p>
    <w:p w14:paraId="71D46164" w14:textId="77777777" w:rsidR="006A3667" w:rsidRDefault="00045F32">
      <w:pPr>
        <w:ind w:firstLine="450"/>
        <w:jc w:val="right"/>
      </w:pPr>
      <w:r>
        <w:rPr>
          <w:rFonts w:ascii="Arial" w:eastAsia="宋体" w:hAnsi="Arial" w:cs="Arial"/>
          <w:color w:val="000000"/>
          <w:sz w:val="18"/>
          <w:szCs w:val="18"/>
        </w:rPr>
        <w:t>State Street Corporation | 71</w:t>
      </w:r>
    </w:p>
    <w:p w14:paraId="71D46165" w14:textId="77777777" w:rsidR="006A3667" w:rsidRDefault="006A3667">
      <w:pPr>
        <w:ind w:firstLine="450"/>
        <w:jc w:val="center"/>
      </w:pPr>
    </w:p>
    <w:p w14:paraId="71D46166" w14:textId="77777777" w:rsidR="006A3667" w:rsidRDefault="00045F32">
      <w:r>
        <w:pict w14:anchorId="71D4AC5B">
          <v:rect id="_x0000_i1095" style="width:415.3pt;height:1.5pt" o:hralign="center" o:hrstd="t" o:hr="t" fillcolor="#a0a0a0" stroked="f"/>
        </w:pict>
      </w:r>
    </w:p>
    <w:p w14:paraId="71D46167" w14:textId="77777777" w:rsidR="006A3667" w:rsidRDefault="00045F32">
      <w:pPr>
        <w:ind w:firstLine="450"/>
        <w:jc w:val="center"/>
      </w:pPr>
      <w:r>
        <w:rPr>
          <w:rFonts w:ascii="Arial" w:eastAsia="宋体" w:hAnsi="Arial" w:cs="Arial"/>
          <w:b/>
          <w:bCs/>
          <w:color w:val="000000"/>
          <w:sz w:val="20"/>
          <w:szCs w:val="20"/>
        </w:rPr>
        <w:t>STATE STREET CORPORATIO</w:t>
      </w:r>
      <w:r>
        <w:rPr>
          <w:rFonts w:ascii="Arial" w:eastAsia="宋体" w:hAnsi="Arial" w:cs="Arial"/>
          <w:b/>
          <w:bCs/>
          <w:color w:val="000000"/>
          <w:sz w:val="20"/>
          <w:szCs w:val="20"/>
        </w:rPr>
        <w:t>N</w:t>
      </w:r>
    </w:p>
    <w:p w14:paraId="71D46168"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6169" w14:textId="77777777" w:rsidR="006A3667" w:rsidRDefault="00045F32">
      <w:pPr>
        <w:ind w:firstLine="450"/>
        <w:jc w:val="center"/>
      </w:pPr>
      <w:r>
        <w:rPr>
          <w:rFonts w:ascii="Arial" w:eastAsia="宋体" w:hAnsi="Arial" w:cs="Arial"/>
          <w:b/>
          <w:bCs/>
          <w:color w:val="000000"/>
          <w:sz w:val="20"/>
          <w:szCs w:val="20"/>
        </w:rPr>
        <w:t>(UNAUDITED)</w:t>
      </w:r>
    </w:p>
    <w:p w14:paraId="71D4616A" w14:textId="77777777" w:rsidR="006A3667" w:rsidRDefault="00045F32">
      <w:pPr>
        <w:spacing w:before="60"/>
        <w:jc w:val="both"/>
        <w:textAlignment w:val="top"/>
      </w:pPr>
      <w:r>
        <w:rPr>
          <w:rFonts w:ascii="Arial" w:eastAsia="宋体" w:hAnsi="Arial" w:cs="Arial"/>
          <w:color w:val="000000"/>
          <w:sz w:val="20"/>
          <w:szCs w:val="20"/>
        </w:rPr>
        <w:t>existing governance structure and are inherently judgmental.</w:t>
      </w:r>
    </w:p>
    <w:p w14:paraId="71D4616B" w14:textId="77777777" w:rsidR="006A3667" w:rsidRDefault="00045F32">
      <w:pPr>
        <w:spacing w:before="60"/>
        <w:ind w:firstLine="450"/>
        <w:jc w:val="both"/>
        <w:textAlignment w:val="top"/>
      </w:pPr>
      <w:r>
        <w:rPr>
          <w:rFonts w:ascii="Arial" w:eastAsia="宋体" w:hAnsi="Arial" w:cs="Arial"/>
          <w:color w:val="000000"/>
          <w:sz w:val="20"/>
          <w:szCs w:val="20"/>
        </w:rPr>
        <w:t>For additional information on the allowance for credit losses, refer to pages 149 to 154 in Note 4 to the consolidated financial</w:t>
      </w:r>
      <w:r>
        <w:rPr>
          <w:rFonts w:ascii="Arial" w:eastAsia="宋体" w:hAnsi="Arial" w:cs="Arial"/>
          <w:color w:val="000000"/>
          <w:sz w:val="20"/>
          <w:szCs w:val="20"/>
        </w:rPr>
        <w:t xml:space="preserve"> statements included under item 8, Financial Statements and Supplementary Data, in our 2021 Form 10-K.</w:t>
      </w:r>
    </w:p>
    <w:p w14:paraId="71D4616C" w14:textId="77777777" w:rsidR="006A3667" w:rsidRDefault="00045F32">
      <w:pPr>
        <w:spacing w:before="90"/>
        <w:jc w:val="both"/>
        <w:textAlignment w:val="top"/>
      </w:pPr>
      <w:r>
        <w:rPr>
          <w:rFonts w:ascii="Arial" w:eastAsia="宋体" w:hAnsi="Arial" w:cs="Arial"/>
          <w:b/>
          <w:bCs/>
          <w:color w:val="000000"/>
          <w:sz w:val="20"/>
          <w:szCs w:val="20"/>
        </w:rPr>
        <w:t>Credit Quality</w:t>
      </w:r>
    </w:p>
    <w:p w14:paraId="71D4616D" w14:textId="77777777" w:rsidR="006A3667" w:rsidRDefault="00045F32">
      <w:pPr>
        <w:spacing w:before="60"/>
        <w:ind w:firstLine="450"/>
        <w:jc w:val="both"/>
        <w:textAlignment w:val="top"/>
      </w:pPr>
      <w:r>
        <w:rPr>
          <w:rFonts w:ascii="Arial" w:eastAsia="宋体" w:hAnsi="Arial" w:cs="Arial"/>
          <w:color w:val="000000"/>
          <w:sz w:val="20"/>
          <w:szCs w:val="20"/>
        </w:rPr>
        <w:t>Credit quality for financial assets held at amortized cost is continuously monitored by management and is reflected within the allowance f</w:t>
      </w:r>
      <w:r>
        <w:rPr>
          <w:rFonts w:ascii="Arial" w:eastAsia="宋体" w:hAnsi="Arial" w:cs="Arial"/>
          <w:color w:val="000000"/>
          <w:sz w:val="20"/>
          <w:szCs w:val="20"/>
        </w:rPr>
        <w:t xml:space="preserve">or credit losses. </w:t>
      </w:r>
    </w:p>
    <w:p w14:paraId="71D4616E" w14:textId="77777777" w:rsidR="006A3667" w:rsidRDefault="00045F32">
      <w:pPr>
        <w:spacing w:before="60"/>
        <w:ind w:firstLine="450"/>
        <w:jc w:val="both"/>
        <w:textAlignment w:val="top"/>
      </w:pPr>
      <w:r>
        <w:rPr>
          <w:rFonts w:ascii="Arial" w:eastAsia="宋体" w:hAnsi="Arial" w:cs="Arial"/>
          <w:color w:val="000000"/>
          <w:sz w:val="20"/>
          <w:szCs w:val="20"/>
        </w:rPr>
        <w:t>We use an internal risk-rating system to assess our risk of credit loss for each loan. This risk-rating process incorporates the use of risk-rating tools in conjunction with management judgment. Qualitative and quantitative inputs are ca</w:t>
      </w:r>
      <w:r>
        <w:rPr>
          <w:rFonts w:ascii="Arial" w:eastAsia="宋体" w:hAnsi="Arial" w:cs="Arial"/>
          <w:color w:val="000000"/>
          <w:sz w:val="20"/>
          <w:szCs w:val="20"/>
        </w:rPr>
        <w:t xml:space="preserve">ptured in a systematic manner, and following a formal review and approval process, an internal credit rating based on our credit scale is assigned. </w:t>
      </w:r>
    </w:p>
    <w:p w14:paraId="71D4616F" w14:textId="77777777" w:rsidR="006A3667" w:rsidRDefault="00045F32">
      <w:pPr>
        <w:spacing w:before="60"/>
        <w:ind w:firstLine="450"/>
        <w:jc w:val="both"/>
        <w:textAlignment w:val="top"/>
      </w:pPr>
      <w:r>
        <w:rPr>
          <w:rFonts w:ascii="Arial" w:eastAsia="宋体" w:hAnsi="Arial" w:cs="Arial"/>
          <w:color w:val="000000"/>
          <w:sz w:val="20"/>
          <w:szCs w:val="20"/>
        </w:rPr>
        <w:t>When computing allowance levels, credit loss assumptions are estimated using a model that categorizes asset</w:t>
      </w:r>
      <w:r>
        <w:rPr>
          <w:rFonts w:ascii="Arial" w:eastAsia="宋体" w:hAnsi="Arial" w:cs="Arial"/>
          <w:color w:val="000000"/>
          <w:sz w:val="20"/>
          <w:szCs w:val="20"/>
        </w:rPr>
        <w:t xml:space="preserve"> pools based on loss history, delinquency status and other credit trends and risk characteristics, including current conditions and reasonable and supportable forecasts about the future. Determining the appropriateness of the allowance is complex and requi</w:t>
      </w:r>
      <w:r>
        <w:rPr>
          <w:rFonts w:ascii="Arial" w:eastAsia="宋体" w:hAnsi="Arial" w:cs="Arial"/>
          <w:color w:val="000000"/>
          <w:sz w:val="20"/>
          <w:szCs w:val="20"/>
        </w:rPr>
        <w:t>res judgment by management about the effect of matters that are inherently uncertain. In future periods evaluations of the overall asset portfolio, in light of the factors and forecasts then prevailing, may result in significant changes in the allowance an</w:t>
      </w:r>
      <w:r>
        <w:rPr>
          <w:rFonts w:ascii="Arial" w:eastAsia="宋体" w:hAnsi="Arial" w:cs="Arial"/>
          <w:color w:val="000000"/>
          <w:sz w:val="20"/>
          <w:szCs w:val="20"/>
        </w:rPr>
        <w:t>d credit loss expense in those future periods.</w:t>
      </w:r>
    </w:p>
    <w:p w14:paraId="71D46170" w14:textId="77777777" w:rsidR="006A3667" w:rsidRDefault="00045F32">
      <w:pPr>
        <w:spacing w:before="60"/>
        <w:ind w:firstLine="450"/>
        <w:jc w:val="both"/>
        <w:textAlignment w:val="top"/>
      </w:pPr>
      <w:r>
        <w:rPr>
          <w:rFonts w:ascii="Arial" w:eastAsia="宋体" w:hAnsi="Arial" w:cs="Arial"/>
          <w:color w:val="000000"/>
          <w:sz w:val="20"/>
          <w:szCs w:val="20"/>
        </w:rPr>
        <w:t xml:space="preserve">Credit quality is assessed and monitored by evaluating various attributes in order to enable the earliest possible detection of any concerns with the customer’s credit rating. The results of those evaluations </w:t>
      </w:r>
      <w:r>
        <w:rPr>
          <w:rFonts w:ascii="Arial" w:eastAsia="宋体" w:hAnsi="Arial" w:cs="Arial"/>
          <w:color w:val="000000"/>
          <w:sz w:val="20"/>
          <w:szCs w:val="20"/>
        </w:rPr>
        <w:t xml:space="preserve">are utilized in underwriting new loans and transactions with counterparties and in our process for estimation of expected credit losses. </w:t>
      </w:r>
    </w:p>
    <w:p w14:paraId="71D46171" w14:textId="77777777" w:rsidR="006A3667" w:rsidRDefault="00045F32">
      <w:pPr>
        <w:spacing w:before="60"/>
        <w:ind w:firstLine="450"/>
        <w:jc w:val="both"/>
        <w:textAlignment w:val="top"/>
      </w:pPr>
      <w:r>
        <w:rPr>
          <w:rFonts w:ascii="Arial" w:eastAsia="宋体" w:hAnsi="Arial" w:cs="Arial"/>
          <w:color w:val="000000"/>
          <w:sz w:val="20"/>
          <w:szCs w:val="20"/>
        </w:rPr>
        <w:t xml:space="preserve">In assessing the risk rating assigned to each individual loan, among the factors considered are the borrower's debt capacity, collateral coverage, payment history and delinquency experience, financial flexibility and earnings strength, the </w:t>
      </w:r>
    </w:p>
    <w:p w14:paraId="71D46172" w14:textId="77777777" w:rsidR="006A3667" w:rsidRDefault="00045F32">
      <w:pPr>
        <w:spacing w:before="60"/>
        <w:jc w:val="both"/>
        <w:textAlignment w:val="top"/>
      </w:pPr>
      <w:r>
        <w:rPr>
          <w:rFonts w:ascii="Arial" w:eastAsia="宋体" w:hAnsi="Arial" w:cs="Arial"/>
          <w:color w:val="000000"/>
          <w:sz w:val="20"/>
          <w:szCs w:val="20"/>
        </w:rPr>
        <w:t>expected amounts and source of repayment, the level and nature of contingencies, if any, and the industry and geography in which the borrower operates. These factors are based on an evaluation of historical and current information, and involve subjective a</w:t>
      </w:r>
      <w:r>
        <w:rPr>
          <w:rFonts w:ascii="Arial" w:eastAsia="宋体" w:hAnsi="Arial" w:cs="Arial"/>
          <w:color w:val="000000"/>
          <w:sz w:val="20"/>
          <w:szCs w:val="20"/>
        </w:rPr>
        <w:t>ssessment and interpretation. Credit counterparties are evaluated and risk-rated on an individual basis at least annually. Management considers the ratings to be current as of September 30, 2022.</w:t>
      </w:r>
    </w:p>
    <w:p w14:paraId="71D46173" w14:textId="77777777" w:rsidR="006A3667" w:rsidRDefault="00045F32">
      <w:pPr>
        <w:spacing w:before="60"/>
        <w:ind w:firstLine="450"/>
        <w:jc w:val="both"/>
        <w:textAlignment w:val="top"/>
      </w:pPr>
      <w:r>
        <w:rPr>
          <w:rFonts w:ascii="Arial" w:eastAsia="宋体" w:hAnsi="Arial" w:cs="Arial"/>
          <w:color w:val="000000"/>
          <w:sz w:val="20"/>
          <w:szCs w:val="20"/>
        </w:rPr>
        <w:t>Our internal risk rating methodology assigns risk ratings to</w:t>
      </w:r>
      <w:r>
        <w:rPr>
          <w:rFonts w:ascii="Arial" w:eastAsia="宋体" w:hAnsi="Arial" w:cs="Arial"/>
          <w:color w:val="000000"/>
          <w:sz w:val="20"/>
          <w:szCs w:val="20"/>
        </w:rPr>
        <w:t xml:space="preserve"> counterparties ranging from Investment Grade, Speculative, Special Mention, Substandard, Doubtful and Loss.</w:t>
      </w:r>
    </w:p>
    <w:p w14:paraId="71D46174" w14:textId="77777777" w:rsidR="006A3667" w:rsidRDefault="00045F32">
      <w:pPr>
        <w:spacing w:before="60"/>
        <w:ind w:hanging="360"/>
        <w:jc w:val="both"/>
        <w:textAlignment w:val="top"/>
      </w:pPr>
      <w:r>
        <w:rPr>
          <w:rFonts w:ascii="Arial" w:eastAsia="宋体" w:hAnsi="Arial" w:cs="Arial"/>
          <w:color w:val="000000"/>
          <w:sz w:val="20"/>
          <w:szCs w:val="20"/>
        </w:rPr>
        <w:t>•Investment Grade: Counterparties with strong credit quality and low expected credit risk and probability of default. Approximately 83% of our loan</w:t>
      </w:r>
      <w:r>
        <w:rPr>
          <w:rFonts w:ascii="Arial" w:eastAsia="宋体" w:hAnsi="Arial" w:cs="Arial"/>
          <w:color w:val="000000"/>
          <w:sz w:val="20"/>
          <w:szCs w:val="20"/>
        </w:rPr>
        <w:t>s were rated as investment grade as of September 30, 2022 with external credit ratings, or equivalent, of "BBB-" or better.</w:t>
      </w:r>
    </w:p>
    <w:p w14:paraId="71D46175" w14:textId="77777777" w:rsidR="006A3667" w:rsidRDefault="00045F32">
      <w:pPr>
        <w:spacing w:before="60"/>
        <w:ind w:hanging="360"/>
        <w:jc w:val="both"/>
        <w:textAlignment w:val="top"/>
      </w:pPr>
      <w:r>
        <w:rPr>
          <w:rFonts w:ascii="Arial" w:eastAsia="宋体" w:hAnsi="Arial" w:cs="Arial"/>
          <w:color w:val="000000"/>
          <w:sz w:val="20"/>
          <w:szCs w:val="20"/>
        </w:rPr>
        <w:t>•Speculative: Counterparties that have the ability to repay but face significant uncertainties, such as adverse business or financia</w:t>
      </w:r>
      <w:r>
        <w:rPr>
          <w:rFonts w:ascii="Arial" w:eastAsia="宋体" w:hAnsi="Arial" w:cs="Arial"/>
          <w:color w:val="000000"/>
          <w:sz w:val="20"/>
          <w:szCs w:val="20"/>
        </w:rPr>
        <w:t>l circumstances that could affect credit risk or economic downturns. Loans to counterparties rated as speculative account for approximately 15% of our loans as of September 30, 2022, and are concentrated in leveraged loans. Approximately 97% of those lever</w:t>
      </w:r>
      <w:r>
        <w:rPr>
          <w:rFonts w:ascii="Arial" w:eastAsia="宋体" w:hAnsi="Arial" w:cs="Arial"/>
          <w:color w:val="000000"/>
          <w:sz w:val="20"/>
          <w:szCs w:val="20"/>
        </w:rPr>
        <w:t>aged loans have an external credit rating, or equivalent, of "BB" or "B" as of September 30, 2022.</w:t>
      </w:r>
    </w:p>
    <w:p w14:paraId="71D46176" w14:textId="77777777" w:rsidR="006A3667" w:rsidRDefault="00045F32">
      <w:pPr>
        <w:spacing w:before="60"/>
        <w:ind w:hanging="360"/>
        <w:jc w:val="both"/>
        <w:textAlignment w:val="top"/>
      </w:pPr>
      <w:r>
        <w:rPr>
          <w:rFonts w:ascii="Arial" w:eastAsia="宋体" w:hAnsi="Arial" w:cs="Arial"/>
          <w:color w:val="000000"/>
          <w:sz w:val="20"/>
          <w:szCs w:val="20"/>
        </w:rPr>
        <w:t>•Special Mention: Counterparties with potential weaknesses that, if uncorrected, may result in deterioration of repayment prospects.</w:t>
      </w:r>
    </w:p>
    <w:p w14:paraId="71D46177" w14:textId="77777777" w:rsidR="006A3667" w:rsidRDefault="00045F32">
      <w:pPr>
        <w:spacing w:before="60"/>
        <w:ind w:hanging="360"/>
        <w:jc w:val="both"/>
        <w:textAlignment w:val="top"/>
      </w:pPr>
      <w:r>
        <w:rPr>
          <w:rFonts w:ascii="Arial" w:eastAsia="宋体" w:hAnsi="Arial" w:cs="Arial"/>
          <w:color w:val="000000"/>
          <w:sz w:val="20"/>
          <w:szCs w:val="20"/>
        </w:rPr>
        <w:t>•Substandard: Counterpar</w:t>
      </w:r>
      <w:r>
        <w:rPr>
          <w:rFonts w:ascii="Arial" w:eastAsia="宋体" w:hAnsi="Arial" w:cs="Arial"/>
          <w:color w:val="000000"/>
          <w:sz w:val="20"/>
          <w:szCs w:val="20"/>
        </w:rPr>
        <w:t xml:space="preserve">ties with well-defined weakness that jeopardizes repayment with the possibility we will sustain some loss. </w:t>
      </w:r>
    </w:p>
    <w:p w14:paraId="71D46178" w14:textId="77777777" w:rsidR="006A3667" w:rsidRDefault="00045F32">
      <w:pPr>
        <w:spacing w:before="60"/>
        <w:ind w:hanging="360"/>
        <w:jc w:val="both"/>
        <w:textAlignment w:val="top"/>
      </w:pPr>
      <w:r>
        <w:rPr>
          <w:rFonts w:ascii="Arial" w:eastAsia="宋体" w:hAnsi="Arial" w:cs="Arial"/>
          <w:color w:val="000000"/>
          <w:sz w:val="20"/>
          <w:szCs w:val="20"/>
        </w:rPr>
        <w:t xml:space="preserve">•Doubtful: Counterparties with well-defined weakness which make collection or liquidation in full highly questionable and improbable. </w:t>
      </w:r>
    </w:p>
    <w:p w14:paraId="71D46179" w14:textId="77777777" w:rsidR="006A3667" w:rsidRDefault="00045F32">
      <w:pPr>
        <w:spacing w:before="60"/>
        <w:ind w:hanging="360"/>
        <w:jc w:val="both"/>
        <w:textAlignment w:val="top"/>
      </w:pPr>
      <w:r>
        <w:rPr>
          <w:rFonts w:ascii="Arial" w:eastAsia="宋体" w:hAnsi="Arial" w:cs="Arial"/>
          <w:color w:val="000000"/>
          <w:sz w:val="20"/>
          <w:szCs w:val="20"/>
        </w:rPr>
        <w:t>•Loss: Counte</w:t>
      </w:r>
      <w:r>
        <w:rPr>
          <w:rFonts w:ascii="Arial" w:eastAsia="宋体" w:hAnsi="Arial" w:cs="Arial"/>
          <w:color w:val="000000"/>
          <w:sz w:val="20"/>
          <w:szCs w:val="20"/>
        </w:rPr>
        <w:t xml:space="preserve">rparties which are uncollectible or have little value. </w:t>
      </w:r>
    </w:p>
    <w:p w14:paraId="71D4617A" w14:textId="77777777" w:rsidR="006A3667" w:rsidRDefault="00045F32">
      <w:pPr>
        <w:ind w:firstLine="450"/>
        <w:jc w:val="right"/>
      </w:pPr>
      <w:r>
        <w:rPr>
          <w:rFonts w:ascii="Arial" w:eastAsia="宋体" w:hAnsi="Arial" w:cs="Arial"/>
          <w:color w:val="000000"/>
          <w:sz w:val="18"/>
          <w:szCs w:val="18"/>
        </w:rPr>
        <w:t>State Street Corporation | 72</w:t>
      </w:r>
    </w:p>
    <w:p w14:paraId="71D4617B" w14:textId="77777777" w:rsidR="006A3667" w:rsidRDefault="006A3667">
      <w:pPr>
        <w:ind w:firstLine="450"/>
        <w:jc w:val="center"/>
      </w:pPr>
    </w:p>
    <w:p w14:paraId="71D4617C" w14:textId="77777777" w:rsidR="006A3667" w:rsidRDefault="00045F32">
      <w:r>
        <w:pict w14:anchorId="71D4AC5C">
          <v:rect id="_x0000_i1096" style="width:415.3pt;height:1.5pt" o:hralign="center" o:hrstd="t" o:hr="t" fillcolor="#a0a0a0" stroked="f"/>
        </w:pict>
      </w:r>
    </w:p>
    <w:p w14:paraId="71D4617D" w14:textId="77777777" w:rsidR="006A3667" w:rsidRDefault="00045F32">
      <w:pPr>
        <w:ind w:firstLine="450"/>
        <w:jc w:val="center"/>
      </w:pPr>
      <w:r>
        <w:rPr>
          <w:rFonts w:ascii="Arial" w:eastAsia="宋体" w:hAnsi="Arial" w:cs="Arial"/>
          <w:b/>
          <w:bCs/>
          <w:color w:val="000000"/>
          <w:sz w:val="20"/>
          <w:szCs w:val="20"/>
        </w:rPr>
        <w:t>STATE STREET CORPORATION</w:t>
      </w:r>
    </w:p>
    <w:p w14:paraId="71D4617E"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617F" w14:textId="77777777" w:rsidR="006A3667" w:rsidRDefault="00045F32">
      <w:pPr>
        <w:ind w:firstLine="450"/>
        <w:jc w:val="center"/>
      </w:pPr>
      <w:r>
        <w:rPr>
          <w:rFonts w:ascii="Arial" w:eastAsia="宋体" w:hAnsi="Arial" w:cs="Arial"/>
          <w:b/>
          <w:bCs/>
          <w:color w:val="000000"/>
          <w:sz w:val="20"/>
          <w:szCs w:val="20"/>
        </w:rPr>
        <w:t>(UNAUDITED)</w:t>
      </w:r>
    </w:p>
    <w:p w14:paraId="71D46180" w14:textId="77777777" w:rsidR="006A3667" w:rsidRDefault="00045F32">
      <w:pPr>
        <w:spacing w:before="60"/>
        <w:ind w:firstLine="450"/>
        <w:jc w:val="both"/>
      </w:pPr>
      <w:r>
        <w:rPr>
          <w:rFonts w:ascii="Arial" w:eastAsia="宋体" w:hAnsi="Arial" w:cs="Arial"/>
          <w:color w:val="000000"/>
          <w:sz w:val="20"/>
          <w:szCs w:val="20"/>
        </w:rPr>
        <w:t>The following tables present our recorded loans to counterparties by risk rat</w:t>
      </w:r>
      <w:r>
        <w:rPr>
          <w:rFonts w:ascii="Arial" w:eastAsia="宋体" w:hAnsi="Arial" w:cs="Arial"/>
          <w:color w:val="000000"/>
          <w:sz w:val="20"/>
          <w:szCs w:val="20"/>
        </w:rPr>
        <w:t>ing, as noted above, as of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38"/>
        <w:gridCol w:w="3108"/>
        <w:gridCol w:w="37"/>
        <w:gridCol w:w="99"/>
        <w:gridCol w:w="1498"/>
        <w:gridCol w:w="36"/>
        <w:gridCol w:w="36"/>
        <w:gridCol w:w="36"/>
        <w:gridCol w:w="36"/>
        <w:gridCol w:w="99"/>
        <w:gridCol w:w="1499"/>
        <w:gridCol w:w="36"/>
        <w:gridCol w:w="36"/>
        <w:gridCol w:w="36"/>
        <w:gridCol w:w="36"/>
        <w:gridCol w:w="98"/>
        <w:gridCol w:w="1499"/>
        <w:gridCol w:w="36"/>
      </w:tblGrid>
      <w:tr w:rsidR="006A3667" w14:paraId="71D46193" w14:textId="77777777">
        <w:tc>
          <w:tcPr>
            <w:tcW w:w="50" w:type="pct"/>
            <w:shd w:val="clear" w:color="auto" w:fill="auto"/>
            <w:vAlign w:val="bottom"/>
          </w:tcPr>
          <w:p w14:paraId="71D46181" w14:textId="77777777" w:rsidR="006A3667" w:rsidRDefault="006A3667">
            <w:pPr>
              <w:rPr>
                <w:rFonts w:ascii="宋体"/>
              </w:rPr>
            </w:pPr>
          </w:p>
        </w:tc>
        <w:tc>
          <w:tcPr>
            <w:tcW w:w="1912" w:type="pct"/>
            <w:shd w:val="clear" w:color="auto" w:fill="auto"/>
            <w:vAlign w:val="bottom"/>
          </w:tcPr>
          <w:p w14:paraId="71D46182" w14:textId="77777777" w:rsidR="006A3667" w:rsidRDefault="006A3667">
            <w:pPr>
              <w:rPr>
                <w:rFonts w:ascii="宋体"/>
              </w:rPr>
            </w:pPr>
          </w:p>
        </w:tc>
        <w:tc>
          <w:tcPr>
            <w:tcW w:w="5" w:type="pct"/>
            <w:shd w:val="clear" w:color="auto" w:fill="auto"/>
            <w:vAlign w:val="bottom"/>
          </w:tcPr>
          <w:p w14:paraId="71D46183" w14:textId="77777777" w:rsidR="006A3667" w:rsidRDefault="006A3667">
            <w:pPr>
              <w:rPr>
                <w:rFonts w:ascii="宋体"/>
              </w:rPr>
            </w:pPr>
          </w:p>
        </w:tc>
        <w:tc>
          <w:tcPr>
            <w:tcW w:w="50" w:type="pct"/>
            <w:shd w:val="clear" w:color="auto" w:fill="auto"/>
            <w:vAlign w:val="bottom"/>
          </w:tcPr>
          <w:p w14:paraId="71D46184" w14:textId="77777777" w:rsidR="006A3667" w:rsidRDefault="006A3667">
            <w:pPr>
              <w:rPr>
                <w:rFonts w:ascii="宋体"/>
              </w:rPr>
            </w:pPr>
          </w:p>
        </w:tc>
        <w:tc>
          <w:tcPr>
            <w:tcW w:w="936" w:type="pct"/>
            <w:shd w:val="clear" w:color="auto" w:fill="auto"/>
            <w:vAlign w:val="bottom"/>
          </w:tcPr>
          <w:p w14:paraId="71D46185" w14:textId="77777777" w:rsidR="006A3667" w:rsidRDefault="006A3667">
            <w:pPr>
              <w:rPr>
                <w:rFonts w:ascii="宋体"/>
              </w:rPr>
            </w:pPr>
          </w:p>
        </w:tc>
        <w:tc>
          <w:tcPr>
            <w:tcW w:w="5" w:type="pct"/>
            <w:shd w:val="clear" w:color="auto" w:fill="auto"/>
            <w:vAlign w:val="bottom"/>
          </w:tcPr>
          <w:p w14:paraId="71D46186" w14:textId="77777777" w:rsidR="006A3667" w:rsidRDefault="006A3667">
            <w:pPr>
              <w:rPr>
                <w:rFonts w:ascii="宋体"/>
              </w:rPr>
            </w:pPr>
          </w:p>
        </w:tc>
        <w:tc>
          <w:tcPr>
            <w:tcW w:w="5" w:type="pct"/>
            <w:shd w:val="clear" w:color="auto" w:fill="auto"/>
            <w:vAlign w:val="bottom"/>
          </w:tcPr>
          <w:p w14:paraId="71D46187" w14:textId="77777777" w:rsidR="006A3667" w:rsidRDefault="006A3667">
            <w:pPr>
              <w:rPr>
                <w:rFonts w:ascii="宋体"/>
              </w:rPr>
            </w:pPr>
          </w:p>
        </w:tc>
        <w:tc>
          <w:tcPr>
            <w:tcW w:w="19" w:type="pct"/>
            <w:shd w:val="clear" w:color="auto" w:fill="auto"/>
            <w:vAlign w:val="bottom"/>
          </w:tcPr>
          <w:p w14:paraId="71D46188" w14:textId="77777777" w:rsidR="006A3667" w:rsidRDefault="006A3667">
            <w:pPr>
              <w:rPr>
                <w:rFonts w:ascii="宋体"/>
              </w:rPr>
            </w:pPr>
          </w:p>
        </w:tc>
        <w:tc>
          <w:tcPr>
            <w:tcW w:w="5" w:type="pct"/>
            <w:shd w:val="clear" w:color="auto" w:fill="auto"/>
            <w:vAlign w:val="bottom"/>
          </w:tcPr>
          <w:p w14:paraId="71D46189" w14:textId="77777777" w:rsidR="006A3667" w:rsidRDefault="006A3667">
            <w:pPr>
              <w:rPr>
                <w:rFonts w:ascii="宋体"/>
              </w:rPr>
            </w:pPr>
          </w:p>
        </w:tc>
        <w:tc>
          <w:tcPr>
            <w:tcW w:w="50" w:type="pct"/>
            <w:shd w:val="clear" w:color="auto" w:fill="auto"/>
            <w:vAlign w:val="bottom"/>
          </w:tcPr>
          <w:p w14:paraId="71D4618A" w14:textId="77777777" w:rsidR="006A3667" w:rsidRDefault="006A3667">
            <w:pPr>
              <w:rPr>
                <w:rFonts w:ascii="宋体"/>
              </w:rPr>
            </w:pPr>
          </w:p>
        </w:tc>
        <w:tc>
          <w:tcPr>
            <w:tcW w:w="936" w:type="pct"/>
            <w:shd w:val="clear" w:color="auto" w:fill="auto"/>
            <w:vAlign w:val="bottom"/>
          </w:tcPr>
          <w:p w14:paraId="71D4618B" w14:textId="77777777" w:rsidR="006A3667" w:rsidRDefault="006A3667">
            <w:pPr>
              <w:rPr>
                <w:rFonts w:ascii="宋体"/>
              </w:rPr>
            </w:pPr>
          </w:p>
        </w:tc>
        <w:tc>
          <w:tcPr>
            <w:tcW w:w="5" w:type="pct"/>
            <w:shd w:val="clear" w:color="auto" w:fill="auto"/>
            <w:vAlign w:val="bottom"/>
          </w:tcPr>
          <w:p w14:paraId="71D4618C" w14:textId="77777777" w:rsidR="006A3667" w:rsidRDefault="006A3667">
            <w:pPr>
              <w:rPr>
                <w:rFonts w:ascii="宋体"/>
              </w:rPr>
            </w:pPr>
          </w:p>
        </w:tc>
        <w:tc>
          <w:tcPr>
            <w:tcW w:w="5" w:type="pct"/>
            <w:shd w:val="clear" w:color="auto" w:fill="auto"/>
            <w:vAlign w:val="bottom"/>
          </w:tcPr>
          <w:p w14:paraId="71D4618D" w14:textId="77777777" w:rsidR="006A3667" w:rsidRDefault="006A3667">
            <w:pPr>
              <w:rPr>
                <w:rFonts w:ascii="宋体"/>
              </w:rPr>
            </w:pPr>
          </w:p>
        </w:tc>
        <w:tc>
          <w:tcPr>
            <w:tcW w:w="19" w:type="pct"/>
            <w:shd w:val="clear" w:color="auto" w:fill="auto"/>
            <w:vAlign w:val="bottom"/>
          </w:tcPr>
          <w:p w14:paraId="71D4618E" w14:textId="77777777" w:rsidR="006A3667" w:rsidRDefault="006A3667">
            <w:pPr>
              <w:rPr>
                <w:rFonts w:ascii="宋体"/>
              </w:rPr>
            </w:pPr>
          </w:p>
        </w:tc>
        <w:tc>
          <w:tcPr>
            <w:tcW w:w="5" w:type="pct"/>
            <w:shd w:val="clear" w:color="auto" w:fill="auto"/>
            <w:vAlign w:val="bottom"/>
          </w:tcPr>
          <w:p w14:paraId="71D4618F" w14:textId="77777777" w:rsidR="006A3667" w:rsidRDefault="006A3667">
            <w:pPr>
              <w:rPr>
                <w:rFonts w:ascii="宋体"/>
              </w:rPr>
            </w:pPr>
          </w:p>
        </w:tc>
        <w:tc>
          <w:tcPr>
            <w:tcW w:w="50" w:type="pct"/>
            <w:shd w:val="clear" w:color="auto" w:fill="auto"/>
            <w:vAlign w:val="bottom"/>
          </w:tcPr>
          <w:p w14:paraId="71D46190" w14:textId="77777777" w:rsidR="006A3667" w:rsidRDefault="006A3667">
            <w:pPr>
              <w:rPr>
                <w:rFonts w:ascii="宋体"/>
              </w:rPr>
            </w:pPr>
          </w:p>
        </w:tc>
        <w:tc>
          <w:tcPr>
            <w:tcW w:w="936" w:type="pct"/>
            <w:shd w:val="clear" w:color="auto" w:fill="auto"/>
            <w:vAlign w:val="bottom"/>
          </w:tcPr>
          <w:p w14:paraId="71D46191" w14:textId="77777777" w:rsidR="006A3667" w:rsidRDefault="006A3667">
            <w:pPr>
              <w:rPr>
                <w:rFonts w:ascii="宋体"/>
              </w:rPr>
            </w:pPr>
          </w:p>
        </w:tc>
        <w:tc>
          <w:tcPr>
            <w:tcW w:w="5" w:type="pct"/>
            <w:shd w:val="clear" w:color="auto" w:fill="auto"/>
            <w:vAlign w:val="bottom"/>
          </w:tcPr>
          <w:p w14:paraId="71D46192" w14:textId="77777777" w:rsidR="006A3667" w:rsidRDefault="006A3667">
            <w:pPr>
              <w:rPr>
                <w:rFonts w:ascii="宋体"/>
              </w:rPr>
            </w:pPr>
          </w:p>
        </w:tc>
      </w:tr>
      <w:tr w:rsidR="006A3667" w14:paraId="71D4619A" w14:textId="77777777">
        <w:trPr>
          <w:trHeight w:val="220"/>
        </w:trPr>
        <w:tc>
          <w:tcPr>
            <w:tcW w:w="0" w:type="auto"/>
            <w:gridSpan w:val="3"/>
            <w:shd w:val="clear" w:color="auto" w:fill="auto"/>
            <w:tcMar>
              <w:top w:w="40" w:type="dxa"/>
              <w:left w:w="20" w:type="dxa"/>
              <w:bottom w:w="40" w:type="dxa"/>
              <w:right w:w="20" w:type="dxa"/>
            </w:tcMar>
            <w:vAlign w:val="bottom"/>
          </w:tcPr>
          <w:p w14:paraId="71D46194" w14:textId="77777777" w:rsidR="006A3667" w:rsidRDefault="00045F32">
            <w:pPr>
              <w:textAlignment w:val="bottom"/>
            </w:pPr>
            <w:r>
              <w:rPr>
                <w:rFonts w:ascii="Arial" w:eastAsia="宋体" w:hAnsi="Arial" w:cs="Arial"/>
                <w:b/>
                <w:bCs/>
                <w:color w:val="000000"/>
                <w:sz w:val="14"/>
                <w:szCs w:val="14"/>
              </w:rPr>
              <w:t>September 30, 2022</w:t>
            </w:r>
          </w:p>
        </w:tc>
        <w:tc>
          <w:tcPr>
            <w:tcW w:w="0" w:type="auto"/>
            <w:gridSpan w:val="3"/>
            <w:vMerge w:val="restart"/>
            <w:shd w:val="clear" w:color="auto" w:fill="auto"/>
            <w:tcMar>
              <w:top w:w="40" w:type="dxa"/>
              <w:left w:w="20" w:type="dxa"/>
              <w:bottom w:w="40" w:type="dxa"/>
              <w:right w:w="20" w:type="dxa"/>
            </w:tcMar>
            <w:vAlign w:val="bottom"/>
          </w:tcPr>
          <w:p w14:paraId="71D46195" w14:textId="77777777" w:rsidR="006A3667" w:rsidRDefault="00045F32">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71D46196"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6197" w14:textId="77777777" w:rsidR="006A3667" w:rsidRDefault="00045F32">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71D46198"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6199" w14:textId="77777777" w:rsidR="006A3667" w:rsidRDefault="00045F32">
            <w:pPr>
              <w:jc w:val="center"/>
              <w:textAlignment w:val="bottom"/>
            </w:pPr>
            <w:r>
              <w:rPr>
                <w:rFonts w:ascii="Arial" w:eastAsia="宋体" w:hAnsi="Arial" w:cs="Arial"/>
                <w:b/>
                <w:bCs/>
                <w:color w:val="000000"/>
                <w:sz w:val="14"/>
                <w:szCs w:val="14"/>
              </w:rPr>
              <w:t>Total Loans</w:t>
            </w:r>
          </w:p>
        </w:tc>
      </w:tr>
      <w:tr w:rsidR="006A3667" w14:paraId="71D461A1" w14:textId="77777777">
        <w:trPr>
          <w:trHeight w:val="220"/>
        </w:trPr>
        <w:tc>
          <w:tcPr>
            <w:tcW w:w="0" w:type="auto"/>
            <w:gridSpan w:val="3"/>
            <w:shd w:val="clear" w:color="auto" w:fill="auto"/>
            <w:tcMar>
              <w:top w:w="40" w:type="dxa"/>
              <w:left w:w="20" w:type="dxa"/>
              <w:bottom w:w="40" w:type="dxa"/>
              <w:right w:w="20" w:type="dxa"/>
            </w:tcMar>
            <w:vAlign w:val="bottom"/>
          </w:tcPr>
          <w:p w14:paraId="71D4619B"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71D4619C" w14:textId="77777777" w:rsidR="006A3667" w:rsidRDefault="006A3667">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71D4619D"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619E" w14:textId="77777777" w:rsidR="006A3667" w:rsidRDefault="006A3667">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71D4619F"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61A0" w14:textId="77777777" w:rsidR="006A3667" w:rsidRDefault="006A3667">
            <w:pPr>
              <w:jc w:val="center"/>
              <w:rPr>
                <w:rFonts w:ascii="宋体"/>
              </w:rPr>
            </w:pPr>
          </w:p>
        </w:tc>
      </w:tr>
      <w:tr w:rsidR="006A3667" w14:paraId="71D461AE" w14:textId="77777777">
        <w:tc>
          <w:tcPr>
            <w:tcW w:w="0" w:type="auto"/>
            <w:gridSpan w:val="3"/>
            <w:shd w:val="clear" w:color="auto" w:fill="CCEEFF"/>
            <w:tcMar>
              <w:top w:w="40" w:type="dxa"/>
              <w:left w:w="20" w:type="dxa"/>
              <w:bottom w:w="40" w:type="dxa"/>
              <w:right w:w="20" w:type="dxa"/>
            </w:tcMar>
            <w:vAlign w:val="bottom"/>
          </w:tcPr>
          <w:p w14:paraId="71D461A2" w14:textId="77777777" w:rsidR="006A3667" w:rsidRDefault="00045F32">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61A3"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1A4" w14:textId="77777777" w:rsidR="006A3667" w:rsidRDefault="00045F32">
            <w:pPr>
              <w:jc w:val="right"/>
              <w:textAlignment w:val="bottom"/>
            </w:pPr>
            <w:r>
              <w:rPr>
                <w:rFonts w:ascii="Arial" w:eastAsia="宋体" w:hAnsi="Arial" w:cs="Arial"/>
                <w:b/>
                <w:bCs/>
                <w:color w:val="000000"/>
                <w:sz w:val="14"/>
                <w:szCs w:val="14"/>
              </w:rPr>
              <w:t>27,617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1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1A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1A7"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1A8" w14:textId="77777777" w:rsidR="006A3667" w:rsidRDefault="00045F32">
            <w:pPr>
              <w:jc w:val="right"/>
              <w:textAlignment w:val="bottom"/>
            </w:pPr>
            <w:r>
              <w:rPr>
                <w:rFonts w:ascii="Arial" w:eastAsia="宋体" w:hAnsi="Arial" w:cs="Arial"/>
                <w:b/>
                <w:bCs/>
                <w:color w:val="000000"/>
                <w:sz w:val="14"/>
                <w:szCs w:val="14"/>
              </w:rPr>
              <w:t>2,447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1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1A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1AB"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1AC" w14:textId="77777777" w:rsidR="006A3667" w:rsidRDefault="00045F32">
            <w:pPr>
              <w:jc w:val="right"/>
              <w:textAlignment w:val="bottom"/>
            </w:pPr>
            <w:r>
              <w:rPr>
                <w:rFonts w:ascii="Arial" w:eastAsia="宋体" w:hAnsi="Arial" w:cs="Arial"/>
                <w:b/>
                <w:bCs/>
                <w:color w:val="000000"/>
                <w:sz w:val="14"/>
                <w:szCs w:val="14"/>
              </w:rPr>
              <w:t>30,064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1AD" w14:textId="77777777" w:rsidR="006A3667" w:rsidRDefault="006A3667">
            <w:pPr>
              <w:jc w:val="right"/>
              <w:rPr>
                <w:rFonts w:ascii="宋体"/>
              </w:rPr>
            </w:pPr>
          </w:p>
        </w:tc>
      </w:tr>
      <w:tr w:rsidR="006A3667" w14:paraId="71D461B8" w14:textId="77777777">
        <w:tc>
          <w:tcPr>
            <w:tcW w:w="0" w:type="auto"/>
            <w:gridSpan w:val="3"/>
            <w:shd w:val="clear" w:color="auto" w:fill="FFFFFF"/>
            <w:tcMar>
              <w:top w:w="40" w:type="dxa"/>
              <w:left w:w="20" w:type="dxa"/>
              <w:bottom w:w="40" w:type="dxa"/>
              <w:right w:w="20" w:type="dxa"/>
            </w:tcMar>
            <w:vAlign w:val="bottom"/>
          </w:tcPr>
          <w:p w14:paraId="71D461AF" w14:textId="77777777" w:rsidR="006A3667" w:rsidRDefault="00045F32">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1D461B0" w14:textId="77777777" w:rsidR="006A3667" w:rsidRDefault="00045F32">
            <w:pPr>
              <w:jc w:val="right"/>
              <w:textAlignment w:val="bottom"/>
            </w:pPr>
            <w:r>
              <w:rPr>
                <w:rFonts w:ascii="Arial" w:eastAsia="宋体" w:hAnsi="Arial" w:cs="Arial"/>
                <w:b/>
                <w:bCs/>
                <w:color w:val="000000"/>
                <w:sz w:val="14"/>
                <w:szCs w:val="14"/>
              </w:rPr>
              <w:t>5,128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1B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1B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1B3" w14:textId="77777777" w:rsidR="006A3667" w:rsidRDefault="00045F32">
            <w:pPr>
              <w:jc w:val="right"/>
              <w:textAlignment w:val="bottom"/>
            </w:pPr>
            <w:r>
              <w:rPr>
                <w:rFonts w:ascii="Arial" w:eastAsia="宋体" w:hAnsi="Arial" w:cs="Arial"/>
                <w:b/>
                <w:bCs/>
                <w:color w:val="000000"/>
                <w:sz w:val="14"/>
                <w:szCs w:val="14"/>
              </w:rPr>
              <w:t>385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1B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1B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1B6" w14:textId="77777777" w:rsidR="006A3667" w:rsidRDefault="00045F32">
            <w:pPr>
              <w:jc w:val="right"/>
              <w:textAlignment w:val="bottom"/>
            </w:pPr>
            <w:r>
              <w:rPr>
                <w:rFonts w:ascii="Arial" w:eastAsia="宋体" w:hAnsi="Arial" w:cs="Arial"/>
                <w:b/>
                <w:bCs/>
                <w:color w:val="000000"/>
                <w:sz w:val="14"/>
                <w:szCs w:val="14"/>
              </w:rPr>
              <w:t>5,513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1B7" w14:textId="77777777" w:rsidR="006A3667" w:rsidRDefault="006A3667">
            <w:pPr>
              <w:jc w:val="right"/>
              <w:rPr>
                <w:rFonts w:ascii="宋体"/>
              </w:rPr>
            </w:pPr>
          </w:p>
        </w:tc>
      </w:tr>
      <w:tr w:rsidR="006A3667" w14:paraId="71D461C2" w14:textId="77777777">
        <w:tc>
          <w:tcPr>
            <w:tcW w:w="0" w:type="auto"/>
            <w:gridSpan w:val="3"/>
            <w:shd w:val="clear" w:color="auto" w:fill="CCEEFF"/>
            <w:tcMar>
              <w:top w:w="40" w:type="dxa"/>
              <w:left w:w="20" w:type="dxa"/>
              <w:bottom w:w="40" w:type="dxa"/>
              <w:right w:w="20" w:type="dxa"/>
            </w:tcMar>
            <w:vAlign w:val="bottom"/>
          </w:tcPr>
          <w:p w14:paraId="71D461B9" w14:textId="77777777" w:rsidR="006A3667" w:rsidRDefault="00045F32">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1D461BA" w14:textId="77777777" w:rsidR="006A3667" w:rsidRDefault="00045F32">
            <w:pPr>
              <w:jc w:val="right"/>
              <w:textAlignment w:val="bottom"/>
            </w:pPr>
            <w:r>
              <w:rPr>
                <w:rFonts w:ascii="Arial" w:eastAsia="宋体" w:hAnsi="Arial" w:cs="Arial"/>
                <w:b/>
                <w:bCs/>
                <w:color w:val="000000"/>
                <w:sz w:val="14"/>
                <w:szCs w:val="14"/>
              </w:rPr>
              <w:t>317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1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1B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1BD" w14:textId="77777777" w:rsidR="006A3667" w:rsidRDefault="00045F32">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1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1B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1C0" w14:textId="77777777" w:rsidR="006A3667" w:rsidRDefault="00045F32">
            <w:pPr>
              <w:jc w:val="right"/>
              <w:textAlignment w:val="bottom"/>
            </w:pPr>
            <w:r>
              <w:rPr>
                <w:rFonts w:ascii="Arial" w:eastAsia="宋体" w:hAnsi="Arial" w:cs="Arial"/>
                <w:b/>
                <w:bCs/>
                <w:color w:val="000000"/>
                <w:sz w:val="14"/>
                <w:szCs w:val="14"/>
              </w:rPr>
              <w:t>406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1C1" w14:textId="77777777" w:rsidR="006A3667" w:rsidRDefault="006A3667">
            <w:pPr>
              <w:jc w:val="right"/>
              <w:rPr>
                <w:rFonts w:ascii="宋体"/>
              </w:rPr>
            </w:pPr>
          </w:p>
        </w:tc>
      </w:tr>
      <w:tr w:rsidR="006A3667" w14:paraId="71D461CC" w14:textId="77777777">
        <w:tc>
          <w:tcPr>
            <w:tcW w:w="0" w:type="auto"/>
            <w:gridSpan w:val="3"/>
            <w:shd w:val="clear" w:color="auto" w:fill="FFFFFF"/>
            <w:tcMar>
              <w:top w:w="40" w:type="dxa"/>
              <w:left w:w="20" w:type="dxa"/>
              <w:bottom w:w="40" w:type="dxa"/>
              <w:right w:w="20" w:type="dxa"/>
            </w:tcMar>
            <w:vAlign w:val="bottom"/>
          </w:tcPr>
          <w:p w14:paraId="71D461C3" w14:textId="77777777" w:rsidR="006A3667" w:rsidRDefault="00045F32">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1D461C4" w14:textId="77777777" w:rsidR="006A3667" w:rsidRDefault="00045F32">
            <w:pPr>
              <w:jc w:val="right"/>
              <w:textAlignment w:val="bottom"/>
            </w:pPr>
            <w:r>
              <w:rPr>
                <w:rFonts w:ascii="Arial" w:eastAsia="宋体" w:hAnsi="Arial" w:cs="Arial"/>
                <w:b/>
                <w:bCs/>
                <w:color w:val="000000"/>
                <w:sz w:val="14"/>
                <w:szCs w:val="14"/>
              </w:rPr>
              <w:t>130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1C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1C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1C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1C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1C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1CA" w14:textId="77777777" w:rsidR="006A3667" w:rsidRDefault="00045F32">
            <w:pPr>
              <w:jc w:val="right"/>
              <w:textAlignment w:val="bottom"/>
            </w:pPr>
            <w:r>
              <w:rPr>
                <w:rFonts w:ascii="Arial" w:eastAsia="宋体" w:hAnsi="Arial" w:cs="Arial"/>
                <w:b/>
                <w:bCs/>
                <w:color w:val="000000"/>
                <w:sz w:val="14"/>
                <w:szCs w:val="14"/>
              </w:rPr>
              <w:t>130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1CB" w14:textId="77777777" w:rsidR="006A3667" w:rsidRDefault="006A3667">
            <w:pPr>
              <w:jc w:val="right"/>
              <w:rPr>
                <w:rFonts w:ascii="宋体"/>
              </w:rPr>
            </w:pPr>
          </w:p>
        </w:tc>
      </w:tr>
      <w:tr w:rsidR="006A3667" w14:paraId="71D461D3" w14:textId="77777777">
        <w:trPr>
          <w:hidden/>
        </w:trPr>
        <w:tc>
          <w:tcPr>
            <w:tcW w:w="0" w:type="auto"/>
            <w:gridSpan w:val="3"/>
            <w:shd w:val="clear" w:color="auto" w:fill="auto"/>
            <w:vAlign w:val="bottom"/>
          </w:tcPr>
          <w:p w14:paraId="71D461CD" w14:textId="77777777" w:rsidR="006A3667" w:rsidRDefault="006A3667">
            <w:pPr>
              <w:rPr>
                <w:rFonts w:ascii="宋体"/>
                <w:vanish/>
              </w:rPr>
            </w:pPr>
          </w:p>
        </w:tc>
        <w:tc>
          <w:tcPr>
            <w:tcW w:w="0" w:type="auto"/>
            <w:gridSpan w:val="3"/>
            <w:shd w:val="clear" w:color="auto" w:fill="auto"/>
            <w:vAlign w:val="bottom"/>
          </w:tcPr>
          <w:p w14:paraId="71D461CE" w14:textId="77777777" w:rsidR="006A3667" w:rsidRDefault="006A3667">
            <w:pPr>
              <w:rPr>
                <w:rFonts w:ascii="宋体"/>
                <w:vanish/>
              </w:rPr>
            </w:pPr>
          </w:p>
        </w:tc>
        <w:tc>
          <w:tcPr>
            <w:tcW w:w="0" w:type="auto"/>
            <w:gridSpan w:val="3"/>
            <w:shd w:val="clear" w:color="auto" w:fill="auto"/>
            <w:vAlign w:val="bottom"/>
          </w:tcPr>
          <w:p w14:paraId="71D461CF" w14:textId="77777777" w:rsidR="006A3667" w:rsidRDefault="006A3667">
            <w:pPr>
              <w:rPr>
                <w:rFonts w:ascii="宋体"/>
                <w:vanish/>
              </w:rPr>
            </w:pPr>
          </w:p>
        </w:tc>
        <w:tc>
          <w:tcPr>
            <w:tcW w:w="0" w:type="auto"/>
            <w:gridSpan w:val="3"/>
            <w:shd w:val="clear" w:color="auto" w:fill="auto"/>
            <w:vAlign w:val="bottom"/>
          </w:tcPr>
          <w:p w14:paraId="71D461D0" w14:textId="77777777" w:rsidR="006A3667" w:rsidRDefault="006A3667">
            <w:pPr>
              <w:rPr>
                <w:rFonts w:ascii="宋体"/>
                <w:vanish/>
              </w:rPr>
            </w:pPr>
          </w:p>
        </w:tc>
        <w:tc>
          <w:tcPr>
            <w:tcW w:w="0" w:type="auto"/>
            <w:gridSpan w:val="3"/>
            <w:shd w:val="clear" w:color="auto" w:fill="auto"/>
            <w:vAlign w:val="bottom"/>
          </w:tcPr>
          <w:p w14:paraId="71D461D1" w14:textId="77777777" w:rsidR="006A3667" w:rsidRDefault="006A3667">
            <w:pPr>
              <w:rPr>
                <w:rFonts w:ascii="宋体"/>
                <w:vanish/>
              </w:rPr>
            </w:pPr>
          </w:p>
        </w:tc>
        <w:tc>
          <w:tcPr>
            <w:tcW w:w="0" w:type="auto"/>
            <w:gridSpan w:val="3"/>
            <w:shd w:val="clear" w:color="auto" w:fill="auto"/>
            <w:vAlign w:val="bottom"/>
          </w:tcPr>
          <w:p w14:paraId="71D461D2" w14:textId="77777777" w:rsidR="006A3667" w:rsidRDefault="006A3667">
            <w:pPr>
              <w:rPr>
                <w:rFonts w:ascii="宋体"/>
                <w:vanish/>
              </w:rPr>
            </w:pPr>
          </w:p>
        </w:tc>
      </w:tr>
      <w:tr w:rsidR="006A3667" w14:paraId="71D461DA" w14:textId="77777777">
        <w:trPr>
          <w:hidden/>
        </w:trPr>
        <w:tc>
          <w:tcPr>
            <w:tcW w:w="0" w:type="auto"/>
            <w:gridSpan w:val="3"/>
            <w:shd w:val="clear" w:color="auto" w:fill="auto"/>
            <w:vAlign w:val="bottom"/>
          </w:tcPr>
          <w:p w14:paraId="71D461D4" w14:textId="77777777" w:rsidR="006A3667" w:rsidRDefault="006A3667">
            <w:pPr>
              <w:rPr>
                <w:rFonts w:ascii="宋体"/>
                <w:vanish/>
              </w:rPr>
            </w:pPr>
          </w:p>
        </w:tc>
        <w:tc>
          <w:tcPr>
            <w:tcW w:w="0" w:type="auto"/>
            <w:gridSpan w:val="3"/>
            <w:shd w:val="clear" w:color="auto" w:fill="auto"/>
            <w:vAlign w:val="bottom"/>
          </w:tcPr>
          <w:p w14:paraId="71D461D5" w14:textId="77777777" w:rsidR="006A3667" w:rsidRDefault="006A3667">
            <w:pPr>
              <w:rPr>
                <w:rFonts w:ascii="宋体"/>
                <w:vanish/>
              </w:rPr>
            </w:pPr>
          </w:p>
        </w:tc>
        <w:tc>
          <w:tcPr>
            <w:tcW w:w="0" w:type="auto"/>
            <w:gridSpan w:val="3"/>
            <w:shd w:val="clear" w:color="auto" w:fill="auto"/>
            <w:vAlign w:val="bottom"/>
          </w:tcPr>
          <w:p w14:paraId="71D461D6" w14:textId="77777777" w:rsidR="006A3667" w:rsidRDefault="006A3667">
            <w:pPr>
              <w:rPr>
                <w:rFonts w:ascii="宋体"/>
                <w:vanish/>
              </w:rPr>
            </w:pPr>
          </w:p>
        </w:tc>
        <w:tc>
          <w:tcPr>
            <w:tcW w:w="0" w:type="auto"/>
            <w:gridSpan w:val="3"/>
            <w:shd w:val="clear" w:color="auto" w:fill="auto"/>
            <w:vAlign w:val="bottom"/>
          </w:tcPr>
          <w:p w14:paraId="71D461D7" w14:textId="77777777" w:rsidR="006A3667" w:rsidRDefault="006A3667">
            <w:pPr>
              <w:rPr>
                <w:rFonts w:ascii="宋体"/>
                <w:vanish/>
              </w:rPr>
            </w:pPr>
          </w:p>
        </w:tc>
        <w:tc>
          <w:tcPr>
            <w:tcW w:w="0" w:type="auto"/>
            <w:gridSpan w:val="3"/>
            <w:shd w:val="clear" w:color="auto" w:fill="auto"/>
            <w:vAlign w:val="bottom"/>
          </w:tcPr>
          <w:p w14:paraId="71D461D8" w14:textId="77777777" w:rsidR="006A3667" w:rsidRDefault="006A3667">
            <w:pPr>
              <w:rPr>
                <w:rFonts w:ascii="宋体"/>
                <w:vanish/>
              </w:rPr>
            </w:pPr>
          </w:p>
        </w:tc>
        <w:tc>
          <w:tcPr>
            <w:tcW w:w="0" w:type="auto"/>
            <w:gridSpan w:val="3"/>
            <w:shd w:val="clear" w:color="auto" w:fill="auto"/>
            <w:vAlign w:val="bottom"/>
          </w:tcPr>
          <w:p w14:paraId="71D461D9" w14:textId="77777777" w:rsidR="006A3667" w:rsidRDefault="006A3667">
            <w:pPr>
              <w:rPr>
                <w:rFonts w:ascii="宋体"/>
                <w:vanish/>
              </w:rPr>
            </w:pPr>
          </w:p>
        </w:tc>
      </w:tr>
      <w:tr w:rsidR="006A3667" w14:paraId="71D461E7" w14:textId="77777777">
        <w:tc>
          <w:tcPr>
            <w:tcW w:w="0" w:type="auto"/>
            <w:gridSpan w:val="3"/>
            <w:shd w:val="clear" w:color="auto" w:fill="CCEEFF"/>
            <w:tcMar>
              <w:top w:w="40" w:type="dxa"/>
              <w:left w:w="20" w:type="dxa"/>
              <w:bottom w:w="40" w:type="dxa"/>
              <w:right w:w="20" w:type="dxa"/>
            </w:tcMar>
            <w:vAlign w:val="bottom"/>
          </w:tcPr>
          <w:p w14:paraId="71D461DB" w14:textId="77777777" w:rsidR="006A3667" w:rsidRDefault="00045F32">
            <w:pPr>
              <w:textAlignment w:val="bottom"/>
            </w:pPr>
            <w:r>
              <w:rPr>
                <w:rFonts w:ascii="Arial" w:eastAsia="宋体" w:hAnsi="Arial" w:cs="Arial"/>
                <w:color w:val="000000"/>
                <w:sz w:val="14"/>
                <w:szCs w:val="14"/>
              </w:rPr>
              <w:t>Total</w:t>
            </w:r>
            <w:r>
              <w:rPr>
                <w:rFonts w:ascii="Arial" w:eastAsia="宋体" w:hAnsi="Arial" w:cs="Arial"/>
                <w:color w:val="000000"/>
                <w:sz w:val="9"/>
                <w:szCs w:val="9"/>
              </w:rPr>
              <w:t>(1)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61D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61DD" w14:textId="77777777" w:rsidR="006A3667" w:rsidRDefault="00045F32">
            <w:pPr>
              <w:jc w:val="right"/>
              <w:textAlignment w:val="bottom"/>
            </w:pPr>
            <w:r>
              <w:rPr>
                <w:rFonts w:ascii="Arial" w:eastAsia="宋体" w:hAnsi="Arial" w:cs="Arial"/>
                <w:b/>
                <w:bCs/>
                <w:color w:val="000000"/>
                <w:sz w:val="14"/>
                <w:szCs w:val="14"/>
              </w:rPr>
              <w:t>33,192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61D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1D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61E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61E1" w14:textId="77777777" w:rsidR="006A3667" w:rsidRDefault="00045F32">
            <w:pPr>
              <w:jc w:val="right"/>
              <w:textAlignment w:val="bottom"/>
            </w:pPr>
            <w:r>
              <w:rPr>
                <w:rFonts w:ascii="Arial" w:eastAsia="宋体" w:hAnsi="Arial" w:cs="Arial"/>
                <w:b/>
                <w:bCs/>
                <w:color w:val="000000"/>
                <w:sz w:val="14"/>
                <w:szCs w:val="14"/>
              </w:rPr>
              <w:t>2,921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61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1E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61E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61E5" w14:textId="77777777" w:rsidR="006A3667" w:rsidRDefault="00045F32">
            <w:pPr>
              <w:jc w:val="right"/>
              <w:textAlignment w:val="bottom"/>
            </w:pPr>
            <w:r>
              <w:rPr>
                <w:rFonts w:ascii="Arial" w:eastAsia="宋体" w:hAnsi="Arial" w:cs="Arial"/>
                <w:b/>
                <w:bCs/>
                <w:color w:val="000000"/>
                <w:sz w:val="14"/>
                <w:szCs w:val="14"/>
              </w:rPr>
              <w:t>36,113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61E6" w14:textId="77777777" w:rsidR="006A3667" w:rsidRDefault="006A3667">
            <w:pPr>
              <w:jc w:val="right"/>
              <w:rPr>
                <w:rFonts w:ascii="宋体"/>
              </w:rPr>
            </w:pPr>
          </w:p>
        </w:tc>
      </w:tr>
    </w:tbl>
    <w:p w14:paraId="71D461E8"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3149"/>
        <w:gridCol w:w="37"/>
        <w:gridCol w:w="99"/>
        <w:gridCol w:w="1515"/>
        <w:gridCol w:w="36"/>
        <w:gridCol w:w="36"/>
        <w:gridCol w:w="36"/>
        <w:gridCol w:w="36"/>
        <w:gridCol w:w="99"/>
        <w:gridCol w:w="1485"/>
        <w:gridCol w:w="36"/>
        <w:gridCol w:w="36"/>
        <w:gridCol w:w="36"/>
        <w:gridCol w:w="36"/>
        <w:gridCol w:w="98"/>
        <w:gridCol w:w="1486"/>
        <w:gridCol w:w="36"/>
      </w:tblGrid>
      <w:tr w:rsidR="006A3667" w14:paraId="71D461FB" w14:textId="77777777">
        <w:tc>
          <w:tcPr>
            <w:tcW w:w="50" w:type="pct"/>
            <w:shd w:val="clear" w:color="auto" w:fill="auto"/>
            <w:vAlign w:val="bottom"/>
          </w:tcPr>
          <w:p w14:paraId="71D461E9" w14:textId="77777777" w:rsidR="006A3667" w:rsidRDefault="006A3667">
            <w:pPr>
              <w:rPr>
                <w:rFonts w:ascii="宋体"/>
              </w:rPr>
            </w:pPr>
          </w:p>
        </w:tc>
        <w:tc>
          <w:tcPr>
            <w:tcW w:w="1911" w:type="pct"/>
            <w:shd w:val="clear" w:color="auto" w:fill="auto"/>
            <w:vAlign w:val="bottom"/>
          </w:tcPr>
          <w:p w14:paraId="71D461EA" w14:textId="77777777" w:rsidR="006A3667" w:rsidRDefault="006A3667">
            <w:pPr>
              <w:rPr>
                <w:rFonts w:ascii="宋体"/>
              </w:rPr>
            </w:pPr>
          </w:p>
        </w:tc>
        <w:tc>
          <w:tcPr>
            <w:tcW w:w="5" w:type="pct"/>
            <w:shd w:val="clear" w:color="auto" w:fill="auto"/>
            <w:vAlign w:val="bottom"/>
          </w:tcPr>
          <w:p w14:paraId="71D461EB" w14:textId="77777777" w:rsidR="006A3667" w:rsidRDefault="006A3667">
            <w:pPr>
              <w:rPr>
                <w:rFonts w:ascii="宋体"/>
              </w:rPr>
            </w:pPr>
          </w:p>
        </w:tc>
        <w:tc>
          <w:tcPr>
            <w:tcW w:w="50" w:type="pct"/>
            <w:shd w:val="clear" w:color="auto" w:fill="auto"/>
            <w:vAlign w:val="bottom"/>
          </w:tcPr>
          <w:p w14:paraId="71D461EC" w14:textId="77777777" w:rsidR="006A3667" w:rsidRDefault="006A3667">
            <w:pPr>
              <w:rPr>
                <w:rFonts w:ascii="宋体"/>
              </w:rPr>
            </w:pPr>
          </w:p>
        </w:tc>
        <w:tc>
          <w:tcPr>
            <w:tcW w:w="931" w:type="pct"/>
            <w:shd w:val="clear" w:color="auto" w:fill="auto"/>
            <w:vAlign w:val="bottom"/>
          </w:tcPr>
          <w:p w14:paraId="71D461ED" w14:textId="77777777" w:rsidR="006A3667" w:rsidRDefault="006A3667">
            <w:pPr>
              <w:rPr>
                <w:rFonts w:ascii="宋体"/>
              </w:rPr>
            </w:pPr>
          </w:p>
        </w:tc>
        <w:tc>
          <w:tcPr>
            <w:tcW w:w="5" w:type="pct"/>
            <w:shd w:val="clear" w:color="auto" w:fill="auto"/>
            <w:vAlign w:val="bottom"/>
          </w:tcPr>
          <w:p w14:paraId="71D461EE" w14:textId="77777777" w:rsidR="006A3667" w:rsidRDefault="006A3667">
            <w:pPr>
              <w:rPr>
                <w:rFonts w:ascii="宋体"/>
              </w:rPr>
            </w:pPr>
          </w:p>
        </w:tc>
        <w:tc>
          <w:tcPr>
            <w:tcW w:w="5" w:type="pct"/>
            <w:shd w:val="clear" w:color="auto" w:fill="auto"/>
            <w:vAlign w:val="bottom"/>
          </w:tcPr>
          <w:p w14:paraId="71D461EF" w14:textId="77777777" w:rsidR="006A3667" w:rsidRDefault="006A3667">
            <w:pPr>
              <w:rPr>
                <w:rFonts w:ascii="宋体"/>
              </w:rPr>
            </w:pPr>
          </w:p>
        </w:tc>
        <w:tc>
          <w:tcPr>
            <w:tcW w:w="26" w:type="pct"/>
            <w:shd w:val="clear" w:color="auto" w:fill="auto"/>
            <w:vAlign w:val="bottom"/>
          </w:tcPr>
          <w:p w14:paraId="71D461F0" w14:textId="77777777" w:rsidR="006A3667" w:rsidRDefault="006A3667">
            <w:pPr>
              <w:rPr>
                <w:rFonts w:ascii="宋体"/>
              </w:rPr>
            </w:pPr>
          </w:p>
        </w:tc>
        <w:tc>
          <w:tcPr>
            <w:tcW w:w="5" w:type="pct"/>
            <w:shd w:val="clear" w:color="auto" w:fill="auto"/>
            <w:vAlign w:val="bottom"/>
          </w:tcPr>
          <w:p w14:paraId="71D461F1" w14:textId="77777777" w:rsidR="006A3667" w:rsidRDefault="006A3667">
            <w:pPr>
              <w:rPr>
                <w:rFonts w:ascii="宋体"/>
              </w:rPr>
            </w:pPr>
          </w:p>
        </w:tc>
        <w:tc>
          <w:tcPr>
            <w:tcW w:w="50" w:type="pct"/>
            <w:shd w:val="clear" w:color="auto" w:fill="auto"/>
            <w:vAlign w:val="bottom"/>
          </w:tcPr>
          <w:p w14:paraId="71D461F2" w14:textId="77777777" w:rsidR="006A3667" w:rsidRDefault="006A3667">
            <w:pPr>
              <w:rPr>
                <w:rFonts w:ascii="宋体"/>
              </w:rPr>
            </w:pPr>
          </w:p>
        </w:tc>
        <w:tc>
          <w:tcPr>
            <w:tcW w:w="931" w:type="pct"/>
            <w:shd w:val="clear" w:color="auto" w:fill="auto"/>
            <w:vAlign w:val="bottom"/>
          </w:tcPr>
          <w:p w14:paraId="71D461F3" w14:textId="77777777" w:rsidR="006A3667" w:rsidRDefault="006A3667">
            <w:pPr>
              <w:rPr>
                <w:rFonts w:ascii="宋体"/>
              </w:rPr>
            </w:pPr>
          </w:p>
        </w:tc>
        <w:tc>
          <w:tcPr>
            <w:tcW w:w="5" w:type="pct"/>
            <w:shd w:val="clear" w:color="auto" w:fill="auto"/>
            <w:vAlign w:val="bottom"/>
          </w:tcPr>
          <w:p w14:paraId="71D461F4" w14:textId="77777777" w:rsidR="006A3667" w:rsidRDefault="006A3667">
            <w:pPr>
              <w:rPr>
                <w:rFonts w:ascii="宋体"/>
              </w:rPr>
            </w:pPr>
          </w:p>
        </w:tc>
        <w:tc>
          <w:tcPr>
            <w:tcW w:w="5" w:type="pct"/>
            <w:shd w:val="clear" w:color="auto" w:fill="auto"/>
            <w:vAlign w:val="bottom"/>
          </w:tcPr>
          <w:p w14:paraId="71D461F5" w14:textId="77777777" w:rsidR="006A3667" w:rsidRDefault="006A3667">
            <w:pPr>
              <w:rPr>
                <w:rFonts w:ascii="宋体"/>
              </w:rPr>
            </w:pPr>
          </w:p>
        </w:tc>
        <w:tc>
          <w:tcPr>
            <w:tcW w:w="26" w:type="pct"/>
            <w:shd w:val="clear" w:color="auto" w:fill="auto"/>
            <w:vAlign w:val="bottom"/>
          </w:tcPr>
          <w:p w14:paraId="71D461F6" w14:textId="77777777" w:rsidR="006A3667" w:rsidRDefault="006A3667">
            <w:pPr>
              <w:rPr>
                <w:rFonts w:ascii="宋体"/>
              </w:rPr>
            </w:pPr>
          </w:p>
        </w:tc>
        <w:tc>
          <w:tcPr>
            <w:tcW w:w="5" w:type="pct"/>
            <w:shd w:val="clear" w:color="auto" w:fill="auto"/>
            <w:vAlign w:val="bottom"/>
          </w:tcPr>
          <w:p w14:paraId="71D461F7" w14:textId="77777777" w:rsidR="006A3667" w:rsidRDefault="006A3667">
            <w:pPr>
              <w:rPr>
                <w:rFonts w:ascii="宋体"/>
              </w:rPr>
            </w:pPr>
          </w:p>
        </w:tc>
        <w:tc>
          <w:tcPr>
            <w:tcW w:w="50" w:type="pct"/>
            <w:shd w:val="clear" w:color="auto" w:fill="auto"/>
            <w:vAlign w:val="bottom"/>
          </w:tcPr>
          <w:p w14:paraId="71D461F8" w14:textId="77777777" w:rsidR="006A3667" w:rsidRDefault="006A3667">
            <w:pPr>
              <w:rPr>
                <w:rFonts w:ascii="宋体"/>
              </w:rPr>
            </w:pPr>
          </w:p>
        </w:tc>
        <w:tc>
          <w:tcPr>
            <w:tcW w:w="932" w:type="pct"/>
            <w:shd w:val="clear" w:color="auto" w:fill="auto"/>
            <w:vAlign w:val="bottom"/>
          </w:tcPr>
          <w:p w14:paraId="71D461F9" w14:textId="77777777" w:rsidR="006A3667" w:rsidRDefault="006A3667">
            <w:pPr>
              <w:rPr>
                <w:rFonts w:ascii="宋体"/>
              </w:rPr>
            </w:pPr>
          </w:p>
        </w:tc>
        <w:tc>
          <w:tcPr>
            <w:tcW w:w="5" w:type="pct"/>
            <w:shd w:val="clear" w:color="auto" w:fill="auto"/>
            <w:vAlign w:val="bottom"/>
          </w:tcPr>
          <w:p w14:paraId="71D461FA" w14:textId="77777777" w:rsidR="006A3667" w:rsidRDefault="006A3667">
            <w:pPr>
              <w:rPr>
                <w:rFonts w:ascii="宋体"/>
              </w:rPr>
            </w:pPr>
          </w:p>
        </w:tc>
      </w:tr>
      <w:tr w:rsidR="006A3667" w14:paraId="71D46202" w14:textId="77777777">
        <w:trPr>
          <w:trHeight w:val="220"/>
        </w:trPr>
        <w:tc>
          <w:tcPr>
            <w:tcW w:w="0" w:type="auto"/>
            <w:gridSpan w:val="3"/>
            <w:shd w:val="clear" w:color="auto" w:fill="auto"/>
            <w:tcMar>
              <w:top w:w="40" w:type="dxa"/>
              <w:left w:w="20" w:type="dxa"/>
              <w:bottom w:w="40" w:type="dxa"/>
              <w:right w:w="20" w:type="dxa"/>
            </w:tcMar>
            <w:vAlign w:val="bottom"/>
          </w:tcPr>
          <w:p w14:paraId="71D461FC" w14:textId="77777777" w:rsidR="006A3667" w:rsidRDefault="00045F32">
            <w:pPr>
              <w:textAlignment w:val="bottom"/>
            </w:pPr>
            <w:r>
              <w:rPr>
                <w:rFonts w:ascii="Arial" w:eastAsia="宋体" w:hAnsi="Arial" w:cs="Arial"/>
                <w:b/>
                <w:bCs/>
                <w:color w:val="000000"/>
                <w:sz w:val="14"/>
                <w:szCs w:val="14"/>
              </w:rPr>
              <w:t>December 31, 2021</w:t>
            </w:r>
          </w:p>
        </w:tc>
        <w:tc>
          <w:tcPr>
            <w:tcW w:w="0" w:type="auto"/>
            <w:gridSpan w:val="3"/>
            <w:vMerge w:val="restart"/>
            <w:shd w:val="clear" w:color="auto" w:fill="auto"/>
            <w:tcMar>
              <w:top w:w="40" w:type="dxa"/>
              <w:left w:w="20" w:type="dxa"/>
              <w:bottom w:w="40" w:type="dxa"/>
              <w:right w:w="20" w:type="dxa"/>
            </w:tcMar>
            <w:vAlign w:val="bottom"/>
          </w:tcPr>
          <w:p w14:paraId="71D461FD" w14:textId="77777777" w:rsidR="006A3667" w:rsidRDefault="00045F32">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71D461FE"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61FF" w14:textId="77777777" w:rsidR="006A3667" w:rsidRDefault="00045F32">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71D46200"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6201" w14:textId="77777777" w:rsidR="006A3667" w:rsidRDefault="00045F32">
            <w:pPr>
              <w:jc w:val="center"/>
              <w:textAlignment w:val="bottom"/>
            </w:pPr>
            <w:r>
              <w:rPr>
                <w:rFonts w:ascii="Arial" w:eastAsia="宋体" w:hAnsi="Arial" w:cs="Arial"/>
                <w:b/>
                <w:bCs/>
                <w:color w:val="000000"/>
                <w:sz w:val="14"/>
                <w:szCs w:val="14"/>
              </w:rPr>
              <w:t>Total Loans </w:t>
            </w:r>
          </w:p>
        </w:tc>
      </w:tr>
      <w:tr w:rsidR="006A3667" w14:paraId="71D46209" w14:textId="77777777">
        <w:trPr>
          <w:trHeight w:val="220"/>
        </w:trPr>
        <w:tc>
          <w:tcPr>
            <w:tcW w:w="0" w:type="auto"/>
            <w:gridSpan w:val="3"/>
            <w:shd w:val="clear" w:color="auto" w:fill="auto"/>
            <w:tcMar>
              <w:top w:w="40" w:type="dxa"/>
              <w:left w:w="20" w:type="dxa"/>
              <w:bottom w:w="40" w:type="dxa"/>
              <w:right w:w="20" w:type="dxa"/>
            </w:tcMar>
            <w:vAlign w:val="bottom"/>
          </w:tcPr>
          <w:p w14:paraId="71D46203"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71D46204" w14:textId="77777777" w:rsidR="006A3667" w:rsidRDefault="006A3667">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71D46205"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6206" w14:textId="77777777" w:rsidR="006A3667" w:rsidRDefault="006A3667">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71D46207"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6208" w14:textId="77777777" w:rsidR="006A3667" w:rsidRDefault="006A3667">
            <w:pPr>
              <w:jc w:val="center"/>
              <w:rPr>
                <w:rFonts w:ascii="宋体"/>
              </w:rPr>
            </w:pPr>
          </w:p>
        </w:tc>
      </w:tr>
      <w:tr w:rsidR="006A3667" w14:paraId="71D46216" w14:textId="77777777">
        <w:tc>
          <w:tcPr>
            <w:tcW w:w="0" w:type="auto"/>
            <w:gridSpan w:val="3"/>
            <w:shd w:val="clear" w:color="auto" w:fill="CCEEFF"/>
            <w:tcMar>
              <w:top w:w="40" w:type="dxa"/>
              <w:left w:w="20" w:type="dxa"/>
              <w:bottom w:w="40" w:type="dxa"/>
              <w:right w:w="20" w:type="dxa"/>
            </w:tcMar>
            <w:vAlign w:val="bottom"/>
          </w:tcPr>
          <w:p w14:paraId="71D4620A" w14:textId="77777777" w:rsidR="006A3667" w:rsidRDefault="00045F32">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620B"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20C" w14:textId="77777777" w:rsidR="006A3667" w:rsidRDefault="00045F32">
            <w:pPr>
              <w:jc w:val="right"/>
              <w:textAlignment w:val="bottom"/>
            </w:pPr>
            <w:r>
              <w:rPr>
                <w:rFonts w:ascii="Arial" w:eastAsia="宋体" w:hAnsi="Arial" w:cs="Arial"/>
                <w:color w:val="000000"/>
                <w:sz w:val="14"/>
                <w:szCs w:val="14"/>
              </w:rPr>
              <w:t>24,974 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2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0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20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210" w14:textId="77777777" w:rsidR="006A3667" w:rsidRDefault="00045F32">
            <w:pPr>
              <w:jc w:val="right"/>
              <w:textAlignment w:val="bottom"/>
            </w:pPr>
            <w:r>
              <w:rPr>
                <w:rFonts w:ascii="Arial" w:eastAsia="宋体" w:hAnsi="Arial" w:cs="Arial"/>
                <w:color w:val="000000"/>
                <w:sz w:val="14"/>
                <w:szCs w:val="14"/>
              </w:rPr>
              <w:t>2,222 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2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1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21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214" w14:textId="77777777" w:rsidR="006A3667" w:rsidRDefault="00045F32">
            <w:pPr>
              <w:jc w:val="right"/>
              <w:textAlignment w:val="bottom"/>
            </w:pPr>
            <w:r>
              <w:rPr>
                <w:rFonts w:ascii="Arial" w:eastAsia="宋体" w:hAnsi="Arial" w:cs="Arial"/>
                <w:color w:val="000000"/>
                <w:sz w:val="14"/>
                <w:szCs w:val="14"/>
              </w:rPr>
              <w:t>27,196 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215" w14:textId="77777777" w:rsidR="006A3667" w:rsidRDefault="006A3667">
            <w:pPr>
              <w:jc w:val="right"/>
              <w:rPr>
                <w:rFonts w:ascii="宋体"/>
              </w:rPr>
            </w:pPr>
          </w:p>
        </w:tc>
      </w:tr>
      <w:tr w:rsidR="006A3667" w14:paraId="71D46220" w14:textId="77777777">
        <w:tc>
          <w:tcPr>
            <w:tcW w:w="0" w:type="auto"/>
            <w:gridSpan w:val="3"/>
            <w:shd w:val="clear" w:color="auto" w:fill="FFFFFF"/>
            <w:tcMar>
              <w:top w:w="40" w:type="dxa"/>
              <w:left w:w="20" w:type="dxa"/>
              <w:bottom w:w="40" w:type="dxa"/>
              <w:right w:w="20" w:type="dxa"/>
            </w:tcMar>
            <w:vAlign w:val="bottom"/>
          </w:tcPr>
          <w:p w14:paraId="71D46217" w14:textId="77777777" w:rsidR="006A3667" w:rsidRDefault="00045F32">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1D46218" w14:textId="77777777" w:rsidR="006A3667" w:rsidRDefault="00045F32">
            <w:pPr>
              <w:jc w:val="right"/>
              <w:textAlignment w:val="bottom"/>
            </w:pPr>
            <w:r>
              <w:rPr>
                <w:rFonts w:ascii="Arial" w:eastAsia="宋体" w:hAnsi="Arial" w:cs="Arial"/>
                <w:color w:val="000000"/>
                <w:sz w:val="14"/>
                <w:szCs w:val="14"/>
              </w:rPr>
              <w:t>4,714 </w:t>
            </w:r>
          </w:p>
        </w:tc>
        <w:tc>
          <w:tcPr>
            <w:tcW w:w="0" w:type="auto"/>
            <w:shd w:val="clear" w:color="auto" w:fill="FFFFFF"/>
            <w:tcMar>
              <w:top w:w="40" w:type="dxa"/>
              <w:left w:w="0" w:type="dxa"/>
              <w:bottom w:w="40" w:type="dxa"/>
              <w:right w:w="20" w:type="dxa"/>
            </w:tcMar>
            <w:vAlign w:val="bottom"/>
          </w:tcPr>
          <w:p w14:paraId="71D4621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21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21B" w14:textId="77777777" w:rsidR="006A3667" w:rsidRDefault="00045F32">
            <w:pPr>
              <w:jc w:val="right"/>
              <w:textAlignment w:val="bottom"/>
            </w:pPr>
            <w:r>
              <w:rPr>
                <w:rFonts w:ascii="Arial" w:eastAsia="宋体" w:hAnsi="Arial" w:cs="Arial"/>
                <w:color w:val="000000"/>
                <w:sz w:val="14"/>
                <w:szCs w:val="14"/>
              </w:rPr>
              <w:t>270 </w:t>
            </w:r>
          </w:p>
        </w:tc>
        <w:tc>
          <w:tcPr>
            <w:tcW w:w="0" w:type="auto"/>
            <w:shd w:val="clear" w:color="auto" w:fill="FFFFFF"/>
            <w:tcMar>
              <w:top w:w="40" w:type="dxa"/>
              <w:left w:w="0" w:type="dxa"/>
              <w:bottom w:w="40" w:type="dxa"/>
              <w:right w:w="20" w:type="dxa"/>
            </w:tcMar>
            <w:vAlign w:val="bottom"/>
          </w:tcPr>
          <w:p w14:paraId="71D4621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21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21E" w14:textId="77777777" w:rsidR="006A3667" w:rsidRDefault="00045F32">
            <w:pPr>
              <w:jc w:val="right"/>
              <w:textAlignment w:val="bottom"/>
            </w:pPr>
            <w:r>
              <w:rPr>
                <w:rFonts w:ascii="Arial" w:eastAsia="宋体" w:hAnsi="Arial" w:cs="Arial"/>
                <w:color w:val="000000"/>
                <w:sz w:val="14"/>
                <w:szCs w:val="14"/>
              </w:rPr>
              <w:t>4,984 </w:t>
            </w:r>
          </w:p>
        </w:tc>
        <w:tc>
          <w:tcPr>
            <w:tcW w:w="0" w:type="auto"/>
            <w:shd w:val="clear" w:color="auto" w:fill="FFFFFF"/>
            <w:tcMar>
              <w:top w:w="40" w:type="dxa"/>
              <w:left w:w="0" w:type="dxa"/>
              <w:bottom w:w="40" w:type="dxa"/>
              <w:right w:w="20" w:type="dxa"/>
            </w:tcMar>
            <w:vAlign w:val="bottom"/>
          </w:tcPr>
          <w:p w14:paraId="71D4621F" w14:textId="77777777" w:rsidR="006A3667" w:rsidRDefault="006A3667">
            <w:pPr>
              <w:jc w:val="right"/>
              <w:rPr>
                <w:rFonts w:ascii="宋体"/>
              </w:rPr>
            </w:pPr>
          </w:p>
        </w:tc>
      </w:tr>
      <w:tr w:rsidR="006A3667" w14:paraId="71D4622A" w14:textId="77777777">
        <w:tc>
          <w:tcPr>
            <w:tcW w:w="0" w:type="auto"/>
            <w:gridSpan w:val="3"/>
            <w:shd w:val="clear" w:color="auto" w:fill="CCEEFF"/>
            <w:tcMar>
              <w:top w:w="40" w:type="dxa"/>
              <w:left w:w="20" w:type="dxa"/>
              <w:bottom w:w="40" w:type="dxa"/>
              <w:right w:w="20" w:type="dxa"/>
            </w:tcMar>
            <w:vAlign w:val="bottom"/>
          </w:tcPr>
          <w:p w14:paraId="71D46221" w14:textId="77777777" w:rsidR="006A3667" w:rsidRDefault="00045F32">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1D46222" w14:textId="77777777" w:rsidR="006A3667" w:rsidRDefault="00045F32">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71D462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2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225" w14:textId="77777777" w:rsidR="006A3667" w:rsidRDefault="00045F32">
            <w:pPr>
              <w:jc w:val="right"/>
              <w:textAlignment w:val="bottom"/>
            </w:pPr>
            <w:r>
              <w:rPr>
                <w:rFonts w:ascii="Arial" w:eastAsia="宋体" w:hAnsi="Arial" w:cs="Arial"/>
                <w:color w:val="000000"/>
                <w:sz w:val="14"/>
                <w:szCs w:val="14"/>
              </w:rPr>
              <w:t>62 </w:t>
            </w:r>
          </w:p>
        </w:tc>
        <w:tc>
          <w:tcPr>
            <w:tcW w:w="0" w:type="auto"/>
            <w:shd w:val="clear" w:color="auto" w:fill="CCEEFF"/>
            <w:tcMar>
              <w:top w:w="40" w:type="dxa"/>
              <w:left w:w="0" w:type="dxa"/>
              <w:bottom w:w="40" w:type="dxa"/>
              <w:right w:w="20" w:type="dxa"/>
            </w:tcMar>
            <w:vAlign w:val="bottom"/>
          </w:tcPr>
          <w:p w14:paraId="71D462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228" w14:textId="77777777" w:rsidR="006A3667" w:rsidRDefault="00045F32">
            <w:pPr>
              <w:jc w:val="right"/>
              <w:textAlignment w:val="bottom"/>
            </w:pPr>
            <w:r>
              <w:rPr>
                <w:rFonts w:ascii="Arial" w:eastAsia="宋体" w:hAnsi="Arial" w:cs="Arial"/>
                <w:color w:val="000000"/>
                <w:sz w:val="14"/>
                <w:szCs w:val="14"/>
              </w:rPr>
              <w:t>180 </w:t>
            </w:r>
          </w:p>
        </w:tc>
        <w:tc>
          <w:tcPr>
            <w:tcW w:w="0" w:type="auto"/>
            <w:shd w:val="clear" w:color="auto" w:fill="CCEEFF"/>
            <w:tcMar>
              <w:top w:w="40" w:type="dxa"/>
              <w:left w:w="0" w:type="dxa"/>
              <w:bottom w:w="40" w:type="dxa"/>
              <w:right w:w="20" w:type="dxa"/>
            </w:tcMar>
            <w:vAlign w:val="bottom"/>
          </w:tcPr>
          <w:p w14:paraId="71D46229" w14:textId="77777777" w:rsidR="006A3667" w:rsidRDefault="006A3667">
            <w:pPr>
              <w:jc w:val="right"/>
              <w:rPr>
                <w:rFonts w:ascii="宋体"/>
              </w:rPr>
            </w:pPr>
          </w:p>
        </w:tc>
      </w:tr>
      <w:tr w:rsidR="006A3667" w14:paraId="71D46234" w14:textId="77777777">
        <w:tc>
          <w:tcPr>
            <w:tcW w:w="0" w:type="auto"/>
            <w:gridSpan w:val="3"/>
            <w:shd w:val="clear" w:color="auto" w:fill="FFFFFF"/>
            <w:tcMar>
              <w:top w:w="40" w:type="dxa"/>
              <w:left w:w="20" w:type="dxa"/>
              <w:bottom w:w="40" w:type="dxa"/>
              <w:right w:w="20" w:type="dxa"/>
            </w:tcMar>
            <w:vAlign w:val="bottom"/>
          </w:tcPr>
          <w:p w14:paraId="71D4622B" w14:textId="77777777" w:rsidR="006A3667" w:rsidRDefault="00045F32">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1D4622C" w14:textId="77777777" w:rsidR="006A3667" w:rsidRDefault="00045F32">
            <w:pPr>
              <w:jc w:val="right"/>
              <w:textAlignment w:val="bottom"/>
            </w:pPr>
            <w:r>
              <w:rPr>
                <w:rFonts w:ascii="Arial" w:eastAsia="宋体" w:hAnsi="Arial" w:cs="Arial"/>
                <w:color w:val="000000"/>
                <w:sz w:val="14"/>
                <w:szCs w:val="14"/>
              </w:rPr>
              <w:t>164 </w:t>
            </w:r>
          </w:p>
        </w:tc>
        <w:tc>
          <w:tcPr>
            <w:tcW w:w="0" w:type="auto"/>
            <w:shd w:val="clear" w:color="auto" w:fill="FFFFFF"/>
            <w:tcMar>
              <w:top w:w="40" w:type="dxa"/>
              <w:left w:w="0" w:type="dxa"/>
              <w:bottom w:w="40" w:type="dxa"/>
              <w:right w:w="20" w:type="dxa"/>
            </w:tcMar>
            <w:vAlign w:val="bottom"/>
          </w:tcPr>
          <w:p w14:paraId="71D4622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22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22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23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23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232" w14:textId="77777777" w:rsidR="006A3667" w:rsidRDefault="00045F32">
            <w:pPr>
              <w:jc w:val="right"/>
              <w:textAlignment w:val="bottom"/>
            </w:pPr>
            <w:r>
              <w:rPr>
                <w:rFonts w:ascii="Arial" w:eastAsia="宋体" w:hAnsi="Arial" w:cs="Arial"/>
                <w:color w:val="000000"/>
                <w:sz w:val="14"/>
                <w:szCs w:val="14"/>
              </w:rPr>
              <w:t>164 </w:t>
            </w:r>
          </w:p>
        </w:tc>
        <w:tc>
          <w:tcPr>
            <w:tcW w:w="0" w:type="auto"/>
            <w:shd w:val="clear" w:color="auto" w:fill="FFFFFF"/>
            <w:tcMar>
              <w:top w:w="40" w:type="dxa"/>
              <w:left w:w="0" w:type="dxa"/>
              <w:bottom w:w="40" w:type="dxa"/>
              <w:right w:w="20" w:type="dxa"/>
            </w:tcMar>
            <w:vAlign w:val="bottom"/>
          </w:tcPr>
          <w:p w14:paraId="71D46233" w14:textId="77777777" w:rsidR="006A3667" w:rsidRDefault="006A3667">
            <w:pPr>
              <w:jc w:val="right"/>
              <w:rPr>
                <w:rFonts w:ascii="宋体"/>
              </w:rPr>
            </w:pPr>
          </w:p>
        </w:tc>
      </w:tr>
      <w:tr w:rsidR="006A3667" w14:paraId="71D4623B" w14:textId="77777777">
        <w:trPr>
          <w:hidden/>
        </w:trPr>
        <w:tc>
          <w:tcPr>
            <w:tcW w:w="0" w:type="auto"/>
            <w:gridSpan w:val="3"/>
            <w:shd w:val="clear" w:color="auto" w:fill="auto"/>
            <w:vAlign w:val="bottom"/>
          </w:tcPr>
          <w:p w14:paraId="71D46235" w14:textId="77777777" w:rsidR="006A3667" w:rsidRDefault="006A3667">
            <w:pPr>
              <w:rPr>
                <w:rFonts w:ascii="宋体"/>
                <w:vanish/>
              </w:rPr>
            </w:pPr>
          </w:p>
        </w:tc>
        <w:tc>
          <w:tcPr>
            <w:tcW w:w="0" w:type="auto"/>
            <w:gridSpan w:val="3"/>
            <w:shd w:val="clear" w:color="auto" w:fill="auto"/>
            <w:vAlign w:val="bottom"/>
          </w:tcPr>
          <w:p w14:paraId="71D46236" w14:textId="77777777" w:rsidR="006A3667" w:rsidRDefault="006A3667">
            <w:pPr>
              <w:rPr>
                <w:rFonts w:ascii="宋体"/>
                <w:vanish/>
              </w:rPr>
            </w:pPr>
          </w:p>
        </w:tc>
        <w:tc>
          <w:tcPr>
            <w:tcW w:w="0" w:type="auto"/>
            <w:gridSpan w:val="3"/>
            <w:shd w:val="clear" w:color="auto" w:fill="auto"/>
            <w:vAlign w:val="bottom"/>
          </w:tcPr>
          <w:p w14:paraId="71D46237" w14:textId="77777777" w:rsidR="006A3667" w:rsidRDefault="006A3667">
            <w:pPr>
              <w:rPr>
                <w:rFonts w:ascii="宋体"/>
                <w:vanish/>
              </w:rPr>
            </w:pPr>
          </w:p>
        </w:tc>
        <w:tc>
          <w:tcPr>
            <w:tcW w:w="0" w:type="auto"/>
            <w:gridSpan w:val="3"/>
            <w:shd w:val="clear" w:color="auto" w:fill="auto"/>
            <w:vAlign w:val="bottom"/>
          </w:tcPr>
          <w:p w14:paraId="71D46238" w14:textId="77777777" w:rsidR="006A3667" w:rsidRDefault="006A3667">
            <w:pPr>
              <w:rPr>
                <w:rFonts w:ascii="宋体"/>
                <w:vanish/>
              </w:rPr>
            </w:pPr>
          </w:p>
        </w:tc>
        <w:tc>
          <w:tcPr>
            <w:tcW w:w="0" w:type="auto"/>
            <w:gridSpan w:val="3"/>
            <w:shd w:val="clear" w:color="auto" w:fill="auto"/>
            <w:vAlign w:val="bottom"/>
          </w:tcPr>
          <w:p w14:paraId="71D46239" w14:textId="77777777" w:rsidR="006A3667" w:rsidRDefault="006A3667">
            <w:pPr>
              <w:rPr>
                <w:rFonts w:ascii="宋体"/>
                <w:vanish/>
              </w:rPr>
            </w:pPr>
          </w:p>
        </w:tc>
        <w:tc>
          <w:tcPr>
            <w:tcW w:w="0" w:type="auto"/>
            <w:gridSpan w:val="3"/>
            <w:shd w:val="clear" w:color="auto" w:fill="auto"/>
            <w:vAlign w:val="bottom"/>
          </w:tcPr>
          <w:p w14:paraId="71D4623A" w14:textId="77777777" w:rsidR="006A3667" w:rsidRDefault="006A3667">
            <w:pPr>
              <w:rPr>
                <w:rFonts w:ascii="宋体"/>
                <w:vanish/>
              </w:rPr>
            </w:pPr>
          </w:p>
        </w:tc>
      </w:tr>
      <w:tr w:rsidR="006A3667" w14:paraId="71D46248" w14:textId="77777777">
        <w:tc>
          <w:tcPr>
            <w:tcW w:w="0" w:type="auto"/>
            <w:gridSpan w:val="3"/>
            <w:shd w:val="clear" w:color="auto" w:fill="CCEEFF"/>
            <w:tcMar>
              <w:top w:w="40" w:type="dxa"/>
              <w:left w:w="20" w:type="dxa"/>
              <w:bottom w:w="40" w:type="dxa"/>
              <w:right w:w="20" w:type="dxa"/>
            </w:tcMar>
            <w:vAlign w:val="bottom"/>
          </w:tcPr>
          <w:p w14:paraId="71D4623C" w14:textId="77777777" w:rsidR="006A3667" w:rsidRDefault="00045F32">
            <w:pPr>
              <w:textAlignment w:val="bottom"/>
            </w:pPr>
            <w:r>
              <w:rPr>
                <w:rFonts w:ascii="Arial" w:eastAsia="宋体" w:hAnsi="Arial" w:cs="Arial"/>
                <w:color w:val="000000"/>
                <w:sz w:val="14"/>
                <w:szCs w:val="14"/>
              </w:rPr>
              <w:t>Total</w:t>
            </w:r>
            <w:r>
              <w:rPr>
                <w:rFonts w:ascii="Arial" w:eastAsia="宋体" w:hAnsi="Arial" w:cs="Arial"/>
                <w:color w:val="000000"/>
                <w:sz w:val="9"/>
                <w:szCs w:val="9"/>
              </w:rPr>
              <w:t>(1)(2)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623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623E" w14:textId="77777777" w:rsidR="006A3667" w:rsidRDefault="00045F32">
            <w:pPr>
              <w:jc w:val="right"/>
              <w:textAlignment w:val="bottom"/>
            </w:pPr>
            <w:r>
              <w:rPr>
                <w:rFonts w:ascii="Arial" w:eastAsia="宋体" w:hAnsi="Arial" w:cs="Arial"/>
                <w:color w:val="000000"/>
                <w:sz w:val="14"/>
                <w:szCs w:val="14"/>
              </w:rPr>
              <w:t>29,970 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623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40"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624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6242" w14:textId="77777777" w:rsidR="006A3667" w:rsidRDefault="00045F32">
            <w:pPr>
              <w:jc w:val="right"/>
              <w:textAlignment w:val="bottom"/>
            </w:pPr>
            <w:r>
              <w:rPr>
                <w:rFonts w:ascii="Arial" w:eastAsia="宋体" w:hAnsi="Arial" w:cs="Arial"/>
                <w:color w:val="000000"/>
                <w:sz w:val="14"/>
                <w:szCs w:val="14"/>
              </w:rPr>
              <w:t>2,554 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62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4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624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6246" w14:textId="77777777" w:rsidR="006A3667" w:rsidRDefault="00045F32">
            <w:pPr>
              <w:jc w:val="right"/>
              <w:textAlignment w:val="bottom"/>
            </w:pPr>
            <w:r>
              <w:rPr>
                <w:rFonts w:ascii="Arial" w:eastAsia="宋体" w:hAnsi="Arial" w:cs="Arial"/>
                <w:color w:val="000000"/>
                <w:sz w:val="14"/>
                <w:szCs w:val="14"/>
              </w:rPr>
              <w:t>32,524 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6247" w14:textId="77777777" w:rsidR="006A3667" w:rsidRDefault="006A3667">
            <w:pPr>
              <w:jc w:val="right"/>
              <w:rPr>
                <w:rFonts w:ascii="宋体"/>
              </w:rPr>
            </w:pPr>
          </w:p>
        </w:tc>
      </w:tr>
    </w:tbl>
    <w:p w14:paraId="71D46249" w14:textId="77777777" w:rsidR="006A3667" w:rsidRDefault="006A3667">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6A3667" w14:paraId="71D46253" w14:textId="77777777">
        <w:tc>
          <w:tcPr>
            <w:tcW w:w="50" w:type="pct"/>
            <w:shd w:val="clear" w:color="auto" w:fill="auto"/>
            <w:vAlign w:val="bottom"/>
          </w:tcPr>
          <w:p w14:paraId="71D4624A" w14:textId="77777777" w:rsidR="006A3667" w:rsidRDefault="006A3667">
            <w:pPr>
              <w:rPr>
                <w:rFonts w:ascii="宋体"/>
              </w:rPr>
            </w:pPr>
          </w:p>
        </w:tc>
        <w:tc>
          <w:tcPr>
            <w:tcW w:w="2963" w:type="pct"/>
            <w:shd w:val="clear" w:color="auto" w:fill="auto"/>
            <w:vAlign w:val="bottom"/>
          </w:tcPr>
          <w:p w14:paraId="71D4624B" w14:textId="77777777" w:rsidR="006A3667" w:rsidRDefault="006A3667">
            <w:pPr>
              <w:rPr>
                <w:rFonts w:ascii="宋体"/>
              </w:rPr>
            </w:pPr>
          </w:p>
        </w:tc>
        <w:tc>
          <w:tcPr>
            <w:tcW w:w="5" w:type="pct"/>
            <w:shd w:val="clear" w:color="auto" w:fill="auto"/>
            <w:vAlign w:val="bottom"/>
          </w:tcPr>
          <w:p w14:paraId="71D4624C" w14:textId="77777777" w:rsidR="006A3667" w:rsidRDefault="006A3667">
            <w:pPr>
              <w:rPr>
                <w:rFonts w:ascii="宋体"/>
              </w:rPr>
            </w:pPr>
          </w:p>
        </w:tc>
        <w:tc>
          <w:tcPr>
            <w:tcW w:w="5" w:type="pct"/>
            <w:shd w:val="clear" w:color="auto" w:fill="auto"/>
            <w:vAlign w:val="bottom"/>
          </w:tcPr>
          <w:p w14:paraId="71D4624D" w14:textId="77777777" w:rsidR="006A3667" w:rsidRDefault="006A3667">
            <w:pPr>
              <w:rPr>
                <w:rFonts w:ascii="宋体"/>
              </w:rPr>
            </w:pPr>
          </w:p>
        </w:tc>
        <w:tc>
          <w:tcPr>
            <w:tcW w:w="68" w:type="pct"/>
            <w:shd w:val="clear" w:color="auto" w:fill="auto"/>
            <w:vAlign w:val="bottom"/>
          </w:tcPr>
          <w:p w14:paraId="71D4624E" w14:textId="77777777" w:rsidR="006A3667" w:rsidRDefault="006A3667">
            <w:pPr>
              <w:rPr>
                <w:rFonts w:ascii="宋体"/>
              </w:rPr>
            </w:pPr>
          </w:p>
        </w:tc>
        <w:tc>
          <w:tcPr>
            <w:tcW w:w="5" w:type="pct"/>
            <w:shd w:val="clear" w:color="auto" w:fill="auto"/>
            <w:vAlign w:val="bottom"/>
          </w:tcPr>
          <w:p w14:paraId="71D4624F" w14:textId="77777777" w:rsidR="006A3667" w:rsidRDefault="006A3667">
            <w:pPr>
              <w:rPr>
                <w:rFonts w:ascii="宋体"/>
              </w:rPr>
            </w:pPr>
          </w:p>
        </w:tc>
        <w:tc>
          <w:tcPr>
            <w:tcW w:w="50" w:type="pct"/>
            <w:shd w:val="clear" w:color="auto" w:fill="auto"/>
            <w:vAlign w:val="bottom"/>
          </w:tcPr>
          <w:p w14:paraId="71D46250" w14:textId="77777777" w:rsidR="006A3667" w:rsidRDefault="006A3667">
            <w:pPr>
              <w:rPr>
                <w:rFonts w:ascii="宋体"/>
              </w:rPr>
            </w:pPr>
          </w:p>
        </w:tc>
        <w:tc>
          <w:tcPr>
            <w:tcW w:w="1847" w:type="pct"/>
            <w:shd w:val="clear" w:color="auto" w:fill="auto"/>
            <w:vAlign w:val="bottom"/>
          </w:tcPr>
          <w:p w14:paraId="71D46251" w14:textId="77777777" w:rsidR="006A3667" w:rsidRDefault="006A3667">
            <w:pPr>
              <w:rPr>
                <w:rFonts w:ascii="宋体"/>
              </w:rPr>
            </w:pPr>
          </w:p>
        </w:tc>
        <w:tc>
          <w:tcPr>
            <w:tcW w:w="5" w:type="pct"/>
            <w:shd w:val="clear" w:color="auto" w:fill="auto"/>
            <w:vAlign w:val="bottom"/>
          </w:tcPr>
          <w:p w14:paraId="71D46252" w14:textId="77777777" w:rsidR="006A3667" w:rsidRDefault="006A3667">
            <w:pPr>
              <w:rPr>
                <w:rFonts w:ascii="宋体"/>
              </w:rPr>
            </w:pPr>
          </w:p>
        </w:tc>
      </w:tr>
      <w:tr w:rsidR="006A3667" w14:paraId="71D46257" w14:textId="77777777">
        <w:trPr>
          <w:trHeight w:val="60"/>
        </w:trPr>
        <w:tc>
          <w:tcPr>
            <w:tcW w:w="0" w:type="auto"/>
            <w:gridSpan w:val="3"/>
            <w:shd w:val="clear" w:color="auto" w:fill="auto"/>
            <w:tcMar>
              <w:top w:w="0" w:type="dxa"/>
              <w:left w:w="20" w:type="dxa"/>
              <w:bottom w:w="0" w:type="dxa"/>
              <w:right w:w="20" w:type="dxa"/>
            </w:tcMar>
            <w:vAlign w:val="bottom"/>
          </w:tcPr>
          <w:p w14:paraId="71D4625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5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56" w14:textId="77777777" w:rsidR="006A3667" w:rsidRDefault="006A3667">
            <w:pPr>
              <w:rPr>
                <w:rFonts w:ascii="宋体"/>
              </w:rPr>
            </w:pPr>
          </w:p>
        </w:tc>
      </w:tr>
      <w:tr w:rsidR="006A3667" w14:paraId="71D4625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5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5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5A" w14:textId="77777777" w:rsidR="006A3667" w:rsidRDefault="006A3667">
            <w:pPr>
              <w:rPr>
                <w:rFonts w:ascii="宋体"/>
              </w:rPr>
            </w:pPr>
          </w:p>
        </w:tc>
      </w:tr>
    </w:tbl>
    <w:p w14:paraId="71D4625C" w14:textId="77777777" w:rsidR="006A3667" w:rsidRDefault="00045F32">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Loans Include $7.16 billion and $3.11 billion of overdrafts as of September 30, 2022 and </w:t>
      </w:r>
      <w:r>
        <w:rPr>
          <w:rFonts w:ascii="Arial" w:eastAsia="宋体" w:hAnsi="Arial" w:cs="Arial"/>
          <w:color w:val="000000"/>
          <w:sz w:val="14"/>
          <w:szCs w:val="14"/>
        </w:rPr>
        <w:t>December 31, 2021,</w:t>
      </w:r>
      <w:r>
        <w:rPr>
          <w:rFonts w:ascii="Arial" w:eastAsia="宋体" w:hAnsi="Arial" w:cs="Arial"/>
          <w:color w:val="000000"/>
          <w:sz w:val="13"/>
          <w:szCs w:val="13"/>
        </w:rPr>
        <w:t xml:space="preserve"> respectively. Overdrafts are short-term in nature and do not present a significant credit risk to us. As of September 30, 2022, $5.78 billion overdrafts were investment grade and $1.37 billion overdrafts were speculative.</w:t>
      </w:r>
    </w:p>
    <w:p w14:paraId="71D4625D" w14:textId="77777777" w:rsidR="006A3667" w:rsidRDefault="00045F32">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Total does not include $8 mil</w:t>
      </w:r>
      <w:r>
        <w:rPr>
          <w:rFonts w:ascii="Arial" w:eastAsia="宋体" w:hAnsi="Arial" w:cs="Arial"/>
          <w:color w:val="000000"/>
          <w:sz w:val="13"/>
          <w:szCs w:val="13"/>
        </w:rPr>
        <w:t>lion of loans classified as held-for-sale as of December 31, 2021.</w:t>
      </w:r>
    </w:p>
    <w:p w14:paraId="71D4625E" w14:textId="77777777" w:rsidR="006A3667" w:rsidRDefault="00045F32">
      <w:pPr>
        <w:spacing w:before="60"/>
        <w:ind w:firstLine="450"/>
        <w:jc w:val="both"/>
      </w:pPr>
      <w:r>
        <w:rPr>
          <w:rFonts w:ascii="Arial" w:eastAsia="宋体" w:hAnsi="Arial" w:cs="Arial"/>
          <w:color w:val="000000"/>
          <w:sz w:val="20"/>
          <w:szCs w:val="20"/>
        </w:rPr>
        <w:t>For additional information about credit quality, refer to pages 151 to 154 in Note 4 to the consolidated financial statements included under Item 8, Financial Statements and Supplementary D</w:t>
      </w:r>
      <w:r>
        <w:rPr>
          <w:rFonts w:ascii="Arial" w:eastAsia="宋体" w:hAnsi="Arial" w:cs="Arial"/>
          <w:color w:val="000000"/>
          <w:sz w:val="20"/>
          <w:szCs w:val="20"/>
        </w:rPr>
        <w:t>ata, in our 2021 Form 10-K.</w:t>
      </w:r>
    </w:p>
    <w:p w14:paraId="71D4625F" w14:textId="77777777" w:rsidR="006A3667" w:rsidRDefault="00045F32">
      <w:pPr>
        <w:spacing w:before="60"/>
        <w:ind w:firstLine="450"/>
        <w:jc w:val="both"/>
      </w:pPr>
      <w:r>
        <w:rPr>
          <w:rFonts w:ascii="Arial" w:eastAsia="宋体" w:hAnsi="Arial" w:cs="Arial"/>
          <w:color w:val="000000"/>
          <w:sz w:val="20"/>
          <w:szCs w:val="20"/>
        </w:rPr>
        <w:t xml:space="preserve">The following table presents the amortized cost basis, by year of origination and credit quality indicator, as of September 30, 2022. For origination years before the fifth annual period, we present the aggregate amortized cost </w:t>
      </w:r>
      <w:r>
        <w:rPr>
          <w:rFonts w:ascii="Arial" w:eastAsia="宋体" w:hAnsi="Arial" w:cs="Arial"/>
          <w:color w:val="000000"/>
          <w:sz w:val="20"/>
          <w:szCs w:val="20"/>
        </w:rPr>
        <w:t>basis of loans. For purchased loans, the date of issuance is used to determine the year of origination, not the date of acquisition. For modified, extended or renewed lending arrangements, we evaluate whether a credit event has occurred which would conside</w:t>
      </w:r>
      <w:r>
        <w:rPr>
          <w:rFonts w:ascii="Arial" w:eastAsia="宋体" w:hAnsi="Arial" w:cs="Arial"/>
          <w:color w:val="000000"/>
          <w:sz w:val="20"/>
          <w:szCs w:val="20"/>
        </w:rPr>
        <w:t>r the loan to be a new arrangement.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6A3667" w14:paraId="71D46292" w14:textId="77777777">
        <w:tc>
          <w:tcPr>
            <w:tcW w:w="50" w:type="pct"/>
            <w:shd w:val="clear" w:color="auto" w:fill="auto"/>
            <w:vAlign w:val="bottom"/>
          </w:tcPr>
          <w:p w14:paraId="71D46260" w14:textId="77777777" w:rsidR="006A3667" w:rsidRDefault="006A3667">
            <w:pPr>
              <w:rPr>
                <w:rFonts w:ascii="宋体"/>
              </w:rPr>
            </w:pPr>
          </w:p>
        </w:tc>
        <w:tc>
          <w:tcPr>
            <w:tcW w:w="1458" w:type="pct"/>
            <w:shd w:val="clear" w:color="auto" w:fill="auto"/>
            <w:vAlign w:val="bottom"/>
          </w:tcPr>
          <w:p w14:paraId="71D46261" w14:textId="77777777" w:rsidR="006A3667" w:rsidRDefault="006A3667">
            <w:pPr>
              <w:rPr>
                <w:rFonts w:ascii="宋体"/>
              </w:rPr>
            </w:pPr>
          </w:p>
        </w:tc>
        <w:tc>
          <w:tcPr>
            <w:tcW w:w="5" w:type="pct"/>
            <w:shd w:val="clear" w:color="auto" w:fill="auto"/>
            <w:vAlign w:val="bottom"/>
          </w:tcPr>
          <w:p w14:paraId="71D46262" w14:textId="77777777" w:rsidR="006A3667" w:rsidRDefault="006A3667">
            <w:pPr>
              <w:rPr>
                <w:rFonts w:ascii="宋体"/>
              </w:rPr>
            </w:pPr>
          </w:p>
        </w:tc>
        <w:tc>
          <w:tcPr>
            <w:tcW w:w="50" w:type="pct"/>
            <w:shd w:val="clear" w:color="auto" w:fill="auto"/>
            <w:vAlign w:val="bottom"/>
          </w:tcPr>
          <w:p w14:paraId="71D46263" w14:textId="77777777" w:rsidR="006A3667" w:rsidRDefault="006A3667">
            <w:pPr>
              <w:rPr>
                <w:rFonts w:ascii="宋体"/>
              </w:rPr>
            </w:pPr>
          </w:p>
        </w:tc>
        <w:tc>
          <w:tcPr>
            <w:tcW w:w="317" w:type="pct"/>
            <w:shd w:val="clear" w:color="auto" w:fill="auto"/>
            <w:vAlign w:val="bottom"/>
          </w:tcPr>
          <w:p w14:paraId="71D46264" w14:textId="77777777" w:rsidR="006A3667" w:rsidRDefault="006A3667">
            <w:pPr>
              <w:rPr>
                <w:rFonts w:ascii="宋体"/>
              </w:rPr>
            </w:pPr>
          </w:p>
        </w:tc>
        <w:tc>
          <w:tcPr>
            <w:tcW w:w="5" w:type="pct"/>
            <w:shd w:val="clear" w:color="auto" w:fill="auto"/>
            <w:vAlign w:val="bottom"/>
          </w:tcPr>
          <w:p w14:paraId="71D46265" w14:textId="77777777" w:rsidR="006A3667" w:rsidRDefault="006A3667">
            <w:pPr>
              <w:rPr>
                <w:rFonts w:ascii="宋体"/>
              </w:rPr>
            </w:pPr>
          </w:p>
        </w:tc>
        <w:tc>
          <w:tcPr>
            <w:tcW w:w="5" w:type="pct"/>
            <w:shd w:val="clear" w:color="auto" w:fill="auto"/>
            <w:vAlign w:val="bottom"/>
          </w:tcPr>
          <w:p w14:paraId="71D46266" w14:textId="77777777" w:rsidR="006A3667" w:rsidRDefault="006A3667">
            <w:pPr>
              <w:rPr>
                <w:rFonts w:ascii="宋体"/>
              </w:rPr>
            </w:pPr>
          </w:p>
        </w:tc>
        <w:tc>
          <w:tcPr>
            <w:tcW w:w="26" w:type="pct"/>
            <w:shd w:val="clear" w:color="auto" w:fill="auto"/>
            <w:vAlign w:val="bottom"/>
          </w:tcPr>
          <w:p w14:paraId="71D46267" w14:textId="77777777" w:rsidR="006A3667" w:rsidRDefault="006A3667">
            <w:pPr>
              <w:rPr>
                <w:rFonts w:ascii="宋体"/>
              </w:rPr>
            </w:pPr>
          </w:p>
        </w:tc>
        <w:tc>
          <w:tcPr>
            <w:tcW w:w="5" w:type="pct"/>
            <w:shd w:val="clear" w:color="auto" w:fill="auto"/>
            <w:vAlign w:val="bottom"/>
          </w:tcPr>
          <w:p w14:paraId="71D46268" w14:textId="77777777" w:rsidR="006A3667" w:rsidRDefault="006A3667">
            <w:pPr>
              <w:rPr>
                <w:rFonts w:ascii="宋体"/>
              </w:rPr>
            </w:pPr>
          </w:p>
        </w:tc>
        <w:tc>
          <w:tcPr>
            <w:tcW w:w="50" w:type="pct"/>
            <w:shd w:val="clear" w:color="auto" w:fill="auto"/>
            <w:vAlign w:val="bottom"/>
          </w:tcPr>
          <w:p w14:paraId="71D46269" w14:textId="77777777" w:rsidR="006A3667" w:rsidRDefault="006A3667">
            <w:pPr>
              <w:rPr>
                <w:rFonts w:ascii="宋体"/>
              </w:rPr>
            </w:pPr>
          </w:p>
        </w:tc>
        <w:tc>
          <w:tcPr>
            <w:tcW w:w="317" w:type="pct"/>
            <w:shd w:val="clear" w:color="auto" w:fill="auto"/>
            <w:vAlign w:val="bottom"/>
          </w:tcPr>
          <w:p w14:paraId="71D4626A" w14:textId="77777777" w:rsidR="006A3667" w:rsidRDefault="006A3667">
            <w:pPr>
              <w:rPr>
                <w:rFonts w:ascii="宋体"/>
              </w:rPr>
            </w:pPr>
          </w:p>
        </w:tc>
        <w:tc>
          <w:tcPr>
            <w:tcW w:w="5" w:type="pct"/>
            <w:shd w:val="clear" w:color="auto" w:fill="auto"/>
            <w:vAlign w:val="bottom"/>
          </w:tcPr>
          <w:p w14:paraId="71D4626B" w14:textId="77777777" w:rsidR="006A3667" w:rsidRDefault="006A3667">
            <w:pPr>
              <w:rPr>
                <w:rFonts w:ascii="宋体"/>
              </w:rPr>
            </w:pPr>
          </w:p>
        </w:tc>
        <w:tc>
          <w:tcPr>
            <w:tcW w:w="5" w:type="pct"/>
            <w:shd w:val="clear" w:color="auto" w:fill="auto"/>
            <w:vAlign w:val="bottom"/>
          </w:tcPr>
          <w:p w14:paraId="71D4626C" w14:textId="77777777" w:rsidR="006A3667" w:rsidRDefault="006A3667">
            <w:pPr>
              <w:rPr>
                <w:rFonts w:ascii="宋体"/>
              </w:rPr>
            </w:pPr>
          </w:p>
        </w:tc>
        <w:tc>
          <w:tcPr>
            <w:tcW w:w="26" w:type="pct"/>
            <w:shd w:val="clear" w:color="auto" w:fill="auto"/>
            <w:vAlign w:val="bottom"/>
          </w:tcPr>
          <w:p w14:paraId="71D4626D" w14:textId="77777777" w:rsidR="006A3667" w:rsidRDefault="006A3667">
            <w:pPr>
              <w:rPr>
                <w:rFonts w:ascii="宋体"/>
              </w:rPr>
            </w:pPr>
          </w:p>
        </w:tc>
        <w:tc>
          <w:tcPr>
            <w:tcW w:w="5" w:type="pct"/>
            <w:shd w:val="clear" w:color="auto" w:fill="auto"/>
            <w:vAlign w:val="bottom"/>
          </w:tcPr>
          <w:p w14:paraId="71D4626E" w14:textId="77777777" w:rsidR="006A3667" w:rsidRDefault="006A3667">
            <w:pPr>
              <w:rPr>
                <w:rFonts w:ascii="宋体"/>
              </w:rPr>
            </w:pPr>
          </w:p>
        </w:tc>
        <w:tc>
          <w:tcPr>
            <w:tcW w:w="50" w:type="pct"/>
            <w:shd w:val="clear" w:color="auto" w:fill="auto"/>
            <w:vAlign w:val="bottom"/>
          </w:tcPr>
          <w:p w14:paraId="71D4626F" w14:textId="77777777" w:rsidR="006A3667" w:rsidRDefault="006A3667">
            <w:pPr>
              <w:rPr>
                <w:rFonts w:ascii="宋体"/>
              </w:rPr>
            </w:pPr>
          </w:p>
        </w:tc>
        <w:tc>
          <w:tcPr>
            <w:tcW w:w="317" w:type="pct"/>
            <w:shd w:val="clear" w:color="auto" w:fill="auto"/>
            <w:vAlign w:val="bottom"/>
          </w:tcPr>
          <w:p w14:paraId="71D46270" w14:textId="77777777" w:rsidR="006A3667" w:rsidRDefault="006A3667">
            <w:pPr>
              <w:rPr>
                <w:rFonts w:ascii="宋体"/>
              </w:rPr>
            </w:pPr>
          </w:p>
        </w:tc>
        <w:tc>
          <w:tcPr>
            <w:tcW w:w="5" w:type="pct"/>
            <w:shd w:val="clear" w:color="auto" w:fill="auto"/>
            <w:vAlign w:val="bottom"/>
          </w:tcPr>
          <w:p w14:paraId="71D46271" w14:textId="77777777" w:rsidR="006A3667" w:rsidRDefault="006A3667">
            <w:pPr>
              <w:rPr>
                <w:rFonts w:ascii="宋体"/>
              </w:rPr>
            </w:pPr>
          </w:p>
        </w:tc>
        <w:tc>
          <w:tcPr>
            <w:tcW w:w="5" w:type="pct"/>
            <w:shd w:val="clear" w:color="auto" w:fill="auto"/>
            <w:vAlign w:val="bottom"/>
          </w:tcPr>
          <w:p w14:paraId="71D46272" w14:textId="77777777" w:rsidR="006A3667" w:rsidRDefault="006A3667">
            <w:pPr>
              <w:rPr>
                <w:rFonts w:ascii="宋体"/>
              </w:rPr>
            </w:pPr>
          </w:p>
        </w:tc>
        <w:tc>
          <w:tcPr>
            <w:tcW w:w="26" w:type="pct"/>
            <w:shd w:val="clear" w:color="auto" w:fill="auto"/>
            <w:vAlign w:val="bottom"/>
          </w:tcPr>
          <w:p w14:paraId="71D46273" w14:textId="77777777" w:rsidR="006A3667" w:rsidRDefault="006A3667">
            <w:pPr>
              <w:rPr>
                <w:rFonts w:ascii="宋体"/>
              </w:rPr>
            </w:pPr>
          </w:p>
        </w:tc>
        <w:tc>
          <w:tcPr>
            <w:tcW w:w="5" w:type="pct"/>
            <w:shd w:val="clear" w:color="auto" w:fill="auto"/>
            <w:vAlign w:val="bottom"/>
          </w:tcPr>
          <w:p w14:paraId="71D46274" w14:textId="77777777" w:rsidR="006A3667" w:rsidRDefault="006A3667">
            <w:pPr>
              <w:rPr>
                <w:rFonts w:ascii="宋体"/>
              </w:rPr>
            </w:pPr>
          </w:p>
        </w:tc>
        <w:tc>
          <w:tcPr>
            <w:tcW w:w="50" w:type="pct"/>
            <w:shd w:val="clear" w:color="auto" w:fill="auto"/>
            <w:vAlign w:val="bottom"/>
          </w:tcPr>
          <w:p w14:paraId="71D46275" w14:textId="77777777" w:rsidR="006A3667" w:rsidRDefault="006A3667">
            <w:pPr>
              <w:rPr>
                <w:rFonts w:ascii="宋体"/>
              </w:rPr>
            </w:pPr>
          </w:p>
        </w:tc>
        <w:tc>
          <w:tcPr>
            <w:tcW w:w="317" w:type="pct"/>
            <w:shd w:val="clear" w:color="auto" w:fill="auto"/>
            <w:vAlign w:val="bottom"/>
          </w:tcPr>
          <w:p w14:paraId="71D46276" w14:textId="77777777" w:rsidR="006A3667" w:rsidRDefault="006A3667">
            <w:pPr>
              <w:rPr>
                <w:rFonts w:ascii="宋体"/>
              </w:rPr>
            </w:pPr>
          </w:p>
        </w:tc>
        <w:tc>
          <w:tcPr>
            <w:tcW w:w="5" w:type="pct"/>
            <w:shd w:val="clear" w:color="auto" w:fill="auto"/>
            <w:vAlign w:val="bottom"/>
          </w:tcPr>
          <w:p w14:paraId="71D46277" w14:textId="77777777" w:rsidR="006A3667" w:rsidRDefault="006A3667">
            <w:pPr>
              <w:rPr>
                <w:rFonts w:ascii="宋体"/>
              </w:rPr>
            </w:pPr>
          </w:p>
        </w:tc>
        <w:tc>
          <w:tcPr>
            <w:tcW w:w="5" w:type="pct"/>
            <w:shd w:val="clear" w:color="auto" w:fill="auto"/>
            <w:vAlign w:val="bottom"/>
          </w:tcPr>
          <w:p w14:paraId="71D46278" w14:textId="77777777" w:rsidR="006A3667" w:rsidRDefault="006A3667">
            <w:pPr>
              <w:rPr>
                <w:rFonts w:ascii="宋体"/>
              </w:rPr>
            </w:pPr>
          </w:p>
        </w:tc>
        <w:tc>
          <w:tcPr>
            <w:tcW w:w="26" w:type="pct"/>
            <w:shd w:val="clear" w:color="auto" w:fill="auto"/>
            <w:vAlign w:val="bottom"/>
          </w:tcPr>
          <w:p w14:paraId="71D46279" w14:textId="77777777" w:rsidR="006A3667" w:rsidRDefault="006A3667">
            <w:pPr>
              <w:rPr>
                <w:rFonts w:ascii="宋体"/>
              </w:rPr>
            </w:pPr>
          </w:p>
        </w:tc>
        <w:tc>
          <w:tcPr>
            <w:tcW w:w="5" w:type="pct"/>
            <w:shd w:val="clear" w:color="auto" w:fill="auto"/>
            <w:vAlign w:val="bottom"/>
          </w:tcPr>
          <w:p w14:paraId="71D4627A" w14:textId="77777777" w:rsidR="006A3667" w:rsidRDefault="006A3667">
            <w:pPr>
              <w:rPr>
                <w:rFonts w:ascii="宋体"/>
              </w:rPr>
            </w:pPr>
          </w:p>
        </w:tc>
        <w:tc>
          <w:tcPr>
            <w:tcW w:w="50" w:type="pct"/>
            <w:shd w:val="clear" w:color="auto" w:fill="auto"/>
            <w:vAlign w:val="bottom"/>
          </w:tcPr>
          <w:p w14:paraId="71D4627B" w14:textId="77777777" w:rsidR="006A3667" w:rsidRDefault="006A3667">
            <w:pPr>
              <w:rPr>
                <w:rFonts w:ascii="宋体"/>
              </w:rPr>
            </w:pPr>
          </w:p>
        </w:tc>
        <w:tc>
          <w:tcPr>
            <w:tcW w:w="317" w:type="pct"/>
            <w:shd w:val="clear" w:color="auto" w:fill="auto"/>
            <w:vAlign w:val="bottom"/>
          </w:tcPr>
          <w:p w14:paraId="71D4627C" w14:textId="77777777" w:rsidR="006A3667" w:rsidRDefault="006A3667">
            <w:pPr>
              <w:rPr>
                <w:rFonts w:ascii="宋体"/>
              </w:rPr>
            </w:pPr>
          </w:p>
        </w:tc>
        <w:tc>
          <w:tcPr>
            <w:tcW w:w="5" w:type="pct"/>
            <w:shd w:val="clear" w:color="auto" w:fill="auto"/>
            <w:vAlign w:val="bottom"/>
          </w:tcPr>
          <w:p w14:paraId="71D4627D" w14:textId="77777777" w:rsidR="006A3667" w:rsidRDefault="006A3667">
            <w:pPr>
              <w:rPr>
                <w:rFonts w:ascii="宋体"/>
              </w:rPr>
            </w:pPr>
          </w:p>
        </w:tc>
        <w:tc>
          <w:tcPr>
            <w:tcW w:w="5" w:type="pct"/>
            <w:shd w:val="clear" w:color="auto" w:fill="auto"/>
            <w:vAlign w:val="bottom"/>
          </w:tcPr>
          <w:p w14:paraId="71D4627E" w14:textId="77777777" w:rsidR="006A3667" w:rsidRDefault="006A3667">
            <w:pPr>
              <w:rPr>
                <w:rFonts w:ascii="宋体"/>
              </w:rPr>
            </w:pPr>
          </w:p>
        </w:tc>
        <w:tc>
          <w:tcPr>
            <w:tcW w:w="26" w:type="pct"/>
            <w:shd w:val="clear" w:color="auto" w:fill="auto"/>
            <w:vAlign w:val="bottom"/>
          </w:tcPr>
          <w:p w14:paraId="71D4627F" w14:textId="77777777" w:rsidR="006A3667" w:rsidRDefault="006A3667">
            <w:pPr>
              <w:rPr>
                <w:rFonts w:ascii="宋体"/>
              </w:rPr>
            </w:pPr>
          </w:p>
        </w:tc>
        <w:tc>
          <w:tcPr>
            <w:tcW w:w="5" w:type="pct"/>
            <w:shd w:val="clear" w:color="auto" w:fill="auto"/>
            <w:vAlign w:val="bottom"/>
          </w:tcPr>
          <w:p w14:paraId="71D46280" w14:textId="77777777" w:rsidR="006A3667" w:rsidRDefault="006A3667">
            <w:pPr>
              <w:rPr>
                <w:rFonts w:ascii="宋体"/>
              </w:rPr>
            </w:pPr>
          </w:p>
        </w:tc>
        <w:tc>
          <w:tcPr>
            <w:tcW w:w="0" w:type="auto"/>
            <w:shd w:val="clear" w:color="auto" w:fill="auto"/>
            <w:vAlign w:val="bottom"/>
          </w:tcPr>
          <w:p w14:paraId="71D46281" w14:textId="77777777" w:rsidR="006A3667" w:rsidRDefault="006A3667">
            <w:pPr>
              <w:rPr>
                <w:rFonts w:ascii="宋体"/>
                <w:vanish/>
              </w:rPr>
            </w:pPr>
          </w:p>
        </w:tc>
        <w:tc>
          <w:tcPr>
            <w:tcW w:w="0" w:type="auto"/>
            <w:shd w:val="clear" w:color="auto" w:fill="auto"/>
            <w:vAlign w:val="bottom"/>
          </w:tcPr>
          <w:p w14:paraId="71D46282" w14:textId="77777777" w:rsidR="006A3667" w:rsidRDefault="006A3667">
            <w:pPr>
              <w:rPr>
                <w:rFonts w:ascii="宋体"/>
                <w:vanish/>
              </w:rPr>
            </w:pPr>
          </w:p>
        </w:tc>
        <w:tc>
          <w:tcPr>
            <w:tcW w:w="50" w:type="pct"/>
            <w:shd w:val="clear" w:color="auto" w:fill="auto"/>
            <w:vAlign w:val="bottom"/>
          </w:tcPr>
          <w:p w14:paraId="71D46283" w14:textId="77777777" w:rsidR="006A3667" w:rsidRDefault="006A3667">
            <w:pPr>
              <w:rPr>
                <w:rFonts w:ascii="宋体"/>
              </w:rPr>
            </w:pPr>
          </w:p>
        </w:tc>
        <w:tc>
          <w:tcPr>
            <w:tcW w:w="317" w:type="pct"/>
            <w:shd w:val="clear" w:color="auto" w:fill="auto"/>
            <w:vAlign w:val="bottom"/>
          </w:tcPr>
          <w:p w14:paraId="71D46284" w14:textId="77777777" w:rsidR="006A3667" w:rsidRDefault="006A3667">
            <w:pPr>
              <w:rPr>
                <w:rFonts w:ascii="宋体"/>
              </w:rPr>
            </w:pPr>
          </w:p>
        </w:tc>
        <w:tc>
          <w:tcPr>
            <w:tcW w:w="5" w:type="pct"/>
            <w:shd w:val="clear" w:color="auto" w:fill="auto"/>
            <w:vAlign w:val="bottom"/>
          </w:tcPr>
          <w:p w14:paraId="71D46285" w14:textId="77777777" w:rsidR="006A3667" w:rsidRDefault="006A3667">
            <w:pPr>
              <w:rPr>
                <w:rFonts w:ascii="宋体"/>
              </w:rPr>
            </w:pPr>
          </w:p>
        </w:tc>
        <w:tc>
          <w:tcPr>
            <w:tcW w:w="5" w:type="pct"/>
            <w:shd w:val="clear" w:color="auto" w:fill="auto"/>
            <w:vAlign w:val="bottom"/>
          </w:tcPr>
          <w:p w14:paraId="71D46286" w14:textId="77777777" w:rsidR="006A3667" w:rsidRDefault="006A3667">
            <w:pPr>
              <w:rPr>
                <w:rFonts w:ascii="宋体"/>
              </w:rPr>
            </w:pPr>
          </w:p>
        </w:tc>
        <w:tc>
          <w:tcPr>
            <w:tcW w:w="26" w:type="pct"/>
            <w:shd w:val="clear" w:color="auto" w:fill="auto"/>
            <w:vAlign w:val="bottom"/>
          </w:tcPr>
          <w:p w14:paraId="71D46287" w14:textId="77777777" w:rsidR="006A3667" w:rsidRDefault="006A3667">
            <w:pPr>
              <w:rPr>
                <w:rFonts w:ascii="宋体"/>
              </w:rPr>
            </w:pPr>
          </w:p>
        </w:tc>
        <w:tc>
          <w:tcPr>
            <w:tcW w:w="5" w:type="pct"/>
            <w:shd w:val="clear" w:color="auto" w:fill="auto"/>
            <w:vAlign w:val="bottom"/>
          </w:tcPr>
          <w:p w14:paraId="71D46288" w14:textId="77777777" w:rsidR="006A3667" w:rsidRDefault="006A3667">
            <w:pPr>
              <w:rPr>
                <w:rFonts w:ascii="宋体"/>
              </w:rPr>
            </w:pPr>
          </w:p>
        </w:tc>
        <w:tc>
          <w:tcPr>
            <w:tcW w:w="50" w:type="pct"/>
            <w:shd w:val="clear" w:color="auto" w:fill="auto"/>
            <w:vAlign w:val="bottom"/>
          </w:tcPr>
          <w:p w14:paraId="71D46289" w14:textId="77777777" w:rsidR="006A3667" w:rsidRDefault="006A3667">
            <w:pPr>
              <w:rPr>
                <w:rFonts w:ascii="宋体"/>
              </w:rPr>
            </w:pPr>
          </w:p>
        </w:tc>
        <w:tc>
          <w:tcPr>
            <w:tcW w:w="566" w:type="pct"/>
            <w:shd w:val="clear" w:color="auto" w:fill="auto"/>
            <w:vAlign w:val="bottom"/>
          </w:tcPr>
          <w:p w14:paraId="71D4628A" w14:textId="77777777" w:rsidR="006A3667" w:rsidRDefault="006A3667">
            <w:pPr>
              <w:rPr>
                <w:rFonts w:ascii="宋体"/>
              </w:rPr>
            </w:pPr>
          </w:p>
        </w:tc>
        <w:tc>
          <w:tcPr>
            <w:tcW w:w="5" w:type="pct"/>
            <w:shd w:val="clear" w:color="auto" w:fill="auto"/>
            <w:vAlign w:val="bottom"/>
          </w:tcPr>
          <w:p w14:paraId="71D4628B" w14:textId="77777777" w:rsidR="006A3667" w:rsidRDefault="006A3667">
            <w:pPr>
              <w:rPr>
                <w:rFonts w:ascii="宋体"/>
              </w:rPr>
            </w:pPr>
          </w:p>
        </w:tc>
        <w:tc>
          <w:tcPr>
            <w:tcW w:w="5" w:type="pct"/>
            <w:shd w:val="clear" w:color="auto" w:fill="auto"/>
            <w:vAlign w:val="bottom"/>
          </w:tcPr>
          <w:p w14:paraId="71D4628C" w14:textId="77777777" w:rsidR="006A3667" w:rsidRDefault="006A3667">
            <w:pPr>
              <w:rPr>
                <w:rFonts w:ascii="宋体"/>
              </w:rPr>
            </w:pPr>
          </w:p>
        </w:tc>
        <w:tc>
          <w:tcPr>
            <w:tcW w:w="26" w:type="pct"/>
            <w:shd w:val="clear" w:color="auto" w:fill="auto"/>
            <w:vAlign w:val="bottom"/>
          </w:tcPr>
          <w:p w14:paraId="71D4628D" w14:textId="77777777" w:rsidR="006A3667" w:rsidRDefault="006A3667">
            <w:pPr>
              <w:rPr>
                <w:rFonts w:ascii="宋体"/>
              </w:rPr>
            </w:pPr>
          </w:p>
        </w:tc>
        <w:tc>
          <w:tcPr>
            <w:tcW w:w="5" w:type="pct"/>
            <w:shd w:val="clear" w:color="auto" w:fill="auto"/>
            <w:vAlign w:val="bottom"/>
          </w:tcPr>
          <w:p w14:paraId="71D4628E" w14:textId="77777777" w:rsidR="006A3667" w:rsidRDefault="006A3667">
            <w:pPr>
              <w:rPr>
                <w:rFonts w:ascii="宋体"/>
              </w:rPr>
            </w:pPr>
          </w:p>
        </w:tc>
        <w:tc>
          <w:tcPr>
            <w:tcW w:w="50" w:type="pct"/>
            <w:shd w:val="clear" w:color="auto" w:fill="auto"/>
            <w:vAlign w:val="bottom"/>
          </w:tcPr>
          <w:p w14:paraId="71D4628F" w14:textId="77777777" w:rsidR="006A3667" w:rsidRDefault="006A3667">
            <w:pPr>
              <w:rPr>
                <w:rFonts w:ascii="宋体"/>
              </w:rPr>
            </w:pPr>
          </w:p>
        </w:tc>
        <w:tc>
          <w:tcPr>
            <w:tcW w:w="318" w:type="pct"/>
            <w:shd w:val="clear" w:color="auto" w:fill="auto"/>
            <w:vAlign w:val="bottom"/>
          </w:tcPr>
          <w:p w14:paraId="71D46290" w14:textId="77777777" w:rsidR="006A3667" w:rsidRDefault="006A3667">
            <w:pPr>
              <w:rPr>
                <w:rFonts w:ascii="宋体"/>
              </w:rPr>
            </w:pPr>
          </w:p>
        </w:tc>
        <w:tc>
          <w:tcPr>
            <w:tcW w:w="5" w:type="pct"/>
            <w:shd w:val="clear" w:color="auto" w:fill="auto"/>
            <w:vAlign w:val="bottom"/>
          </w:tcPr>
          <w:p w14:paraId="71D46291" w14:textId="77777777" w:rsidR="006A3667" w:rsidRDefault="006A3667">
            <w:pPr>
              <w:rPr>
                <w:rFonts w:ascii="宋体"/>
              </w:rPr>
            </w:pPr>
          </w:p>
        </w:tc>
      </w:tr>
      <w:tr w:rsidR="006A3667" w14:paraId="71D462A5" w14:textId="77777777">
        <w:tc>
          <w:tcPr>
            <w:tcW w:w="0" w:type="auto"/>
            <w:gridSpan w:val="3"/>
            <w:shd w:val="clear" w:color="auto" w:fill="auto"/>
            <w:tcMar>
              <w:top w:w="40" w:type="dxa"/>
              <w:left w:w="20" w:type="dxa"/>
              <w:bottom w:w="40" w:type="dxa"/>
              <w:right w:w="20" w:type="dxa"/>
            </w:tcMar>
            <w:vAlign w:val="bottom"/>
          </w:tcPr>
          <w:p w14:paraId="71D46293"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6294"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shd w:val="clear" w:color="auto" w:fill="auto"/>
            <w:tcMar>
              <w:top w:w="0" w:type="dxa"/>
              <w:left w:w="20" w:type="dxa"/>
              <w:bottom w:w="0" w:type="dxa"/>
              <w:right w:w="20" w:type="dxa"/>
            </w:tcMar>
            <w:vAlign w:val="bottom"/>
          </w:tcPr>
          <w:p w14:paraId="71D4629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296"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629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298" w14:textId="77777777" w:rsidR="006A3667" w:rsidRDefault="00045F32">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1D4629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29A" w14:textId="77777777" w:rsidR="006A3667" w:rsidRDefault="00045F3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71D4629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29C" w14:textId="77777777" w:rsidR="006A3667" w:rsidRDefault="00045F32">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71D4629D" w14:textId="77777777" w:rsidR="006A3667" w:rsidRDefault="006A3667">
            <w:pPr>
              <w:rPr>
                <w:rFonts w:ascii="宋体"/>
              </w:rPr>
            </w:pPr>
          </w:p>
        </w:tc>
        <w:tc>
          <w:tcPr>
            <w:tcW w:w="0" w:type="auto"/>
            <w:shd w:val="clear" w:color="auto" w:fill="auto"/>
            <w:vAlign w:val="bottom"/>
          </w:tcPr>
          <w:p w14:paraId="71D4629E" w14:textId="77777777" w:rsidR="006A3667" w:rsidRDefault="006A3667">
            <w:pPr>
              <w:rPr>
                <w:rFonts w:ascii="宋体"/>
                <w:vanish/>
              </w:rPr>
            </w:pPr>
          </w:p>
        </w:tc>
        <w:tc>
          <w:tcPr>
            <w:tcW w:w="0" w:type="auto"/>
            <w:shd w:val="clear" w:color="auto" w:fill="auto"/>
            <w:vAlign w:val="bottom"/>
          </w:tcPr>
          <w:p w14:paraId="71D4629F" w14:textId="77777777" w:rsidR="006A3667" w:rsidRDefault="006A3667">
            <w:pPr>
              <w:rPr>
                <w:rFonts w:ascii="宋体"/>
                <w:vanish/>
              </w:rPr>
            </w:pPr>
          </w:p>
        </w:tc>
        <w:tc>
          <w:tcPr>
            <w:tcW w:w="0" w:type="auto"/>
            <w:gridSpan w:val="3"/>
            <w:shd w:val="clear" w:color="auto" w:fill="auto"/>
            <w:tcMar>
              <w:top w:w="40" w:type="dxa"/>
              <w:left w:w="20" w:type="dxa"/>
              <w:bottom w:w="40" w:type="dxa"/>
              <w:right w:w="20" w:type="dxa"/>
            </w:tcMar>
            <w:vAlign w:val="bottom"/>
          </w:tcPr>
          <w:p w14:paraId="71D462A0" w14:textId="77777777" w:rsidR="006A3667" w:rsidRDefault="00045F32">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71D462A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2A2" w14:textId="77777777" w:rsidR="006A3667" w:rsidRDefault="00045F32">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71D462A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2A4" w14:textId="77777777" w:rsidR="006A3667" w:rsidRDefault="00045F32">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6A3667" w14:paraId="71D462B8" w14:textId="77777777">
        <w:tc>
          <w:tcPr>
            <w:tcW w:w="0" w:type="auto"/>
            <w:gridSpan w:val="3"/>
            <w:shd w:val="clear" w:color="auto" w:fill="auto"/>
            <w:tcMar>
              <w:top w:w="40" w:type="dxa"/>
              <w:left w:w="20" w:type="dxa"/>
              <w:bottom w:w="40" w:type="dxa"/>
              <w:right w:w="20" w:type="dxa"/>
            </w:tcMar>
            <w:vAlign w:val="bottom"/>
          </w:tcPr>
          <w:p w14:paraId="71D462A6" w14:textId="77777777" w:rsidR="006A3667" w:rsidRDefault="00045F32">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A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A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A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A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A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A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A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A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A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B0" w14:textId="77777777" w:rsidR="006A3667" w:rsidRDefault="006A3667">
            <w:pPr>
              <w:rPr>
                <w:rFonts w:ascii="宋体"/>
              </w:rPr>
            </w:pPr>
          </w:p>
        </w:tc>
        <w:tc>
          <w:tcPr>
            <w:tcW w:w="0" w:type="auto"/>
            <w:shd w:val="clear" w:color="auto" w:fill="auto"/>
            <w:vAlign w:val="bottom"/>
          </w:tcPr>
          <w:p w14:paraId="71D462B1" w14:textId="77777777" w:rsidR="006A3667" w:rsidRDefault="006A3667">
            <w:pPr>
              <w:rPr>
                <w:rFonts w:ascii="宋体"/>
                <w:vanish/>
              </w:rPr>
            </w:pPr>
          </w:p>
        </w:tc>
        <w:tc>
          <w:tcPr>
            <w:tcW w:w="0" w:type="auto"/>
            <w:shd w:val="clear" w:color="auto" w:fill="auto"/>
            <w:vAlign w:val="bottom"/>
          </w:tcPr>
          <w:p w14:paraId="71D462B2"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B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B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B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B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2B7" w14:textId="77777777" w:rsidR="006A3667" w:rsidRDefault="006A3667">
            <w:pPr>
              <w:rPr>
                <w:rFonts w:ascii="宋体"/>
              </w:rPr>
            </w:pPr>
          </w:p>
        </w:tc>
      </w:tr>
      <w:tr w:rsidR="006A3667" w14:paraId="71D462CB" w14:textId="77777777">
        <w:tc>
          <w:tcPr>
            <w:tcW w:w="0" w:type="auto"/>
            <w:gridSpan w:val="3"/>
            <w:shd w:val="clear" w:color="auto" w:fill="auto"/>
            <w:tcMar>
              <w:top w:w="40" w:type="dxa"/>
              <w:left w:w="155" w:type="dxa"/>
              <w:bottom w:w="40" w:type="dxa"/>
              <w:right w:w="20" w:type="dxa"/>
            </w:tcMar>
            <w:vAlign w:val="bottom"/>
          </w:tcPr>
          <w:p w14:paraId="71D462B9" w14:textId="77777777" w:rsidR="006A3667" w:rsidRDefault="00045F32">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71D462B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B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B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B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B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B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3" w14:textId="77777777" w:rsidR="006A3667" w:rsidRDefault="006A3667">
            <w:pPr>
              <w:rPr>
                <w:rFonts w:ascii="宋体"/>
              </w:rPr>
            </w:pPr>
          </w:p>
        </w:tc>
        <w:tc>
          <w:tcPr>
            <w:tcW w:w="0" w:type="auto"/>
            <w:shd w:val="clear" w:color="auto" w:fill="auto"/>
            <w:vAlign w:val="bottom"/>
          </w:tcPr>
          <w:p w14:paraId="71D462C4" w14:textId="77777777" w:rsidR="006A3667" w:rsidRDefault="006A3667">
            <w:pPr>
              <w:rPr>
                <w:rFonts w:ascii="宋体"/>
                <w:vanish/>
              </w:rPr>
            </w:pPr>
          </w:p>
        </w:tc>
        <w:tc>
          <w:tcPr>
            <w:tcW w:w="0" w:type="auto"/>
            <w:shd w:val="clear" w:color="auto" w:fill="auto"/>
            <w:vAlign w:val="bottom"/>
          </w:tcPr>
          <w:p w14:paraId="71D462C5"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62C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A" w14:textId="77777777" w:rsidR="006A3667" w:rsidRDefault="006A3667">
            <w:pPr>
              <w:rPr>
                <w:rFonts w:ascii="宋体"/>
              </w:rPr>
            </w:pPr>
          </w:p>
        </w:tc>
      </w:tr>
      <w:tr w:rsidR="006A3667" w14:paraId="71D462DE" w14:textId="77777777">
        <w:tc>
          <w:tcPr>
            <w:tcW w:w="0" w:type="auto"/>
            <w:gridSpan w:val="3"/>
            <w:shd w:val="clear" w:color="auto" w:fill="auto"/>
            <w:tcMar>
              <w:top w:w="40" w:type="dxa"/>
              <w:left w:w="245" w:type="dxa"/>
              <w:bottom w:w="40" w:type="dxa"/>
              <w:right w:w="20" w:type="dxa"/>
            </w:tcMar>
            <w:vAlign w:val="bottom"/>
          </w:tcPr>
          <w:p w14:paraId="71D462CC" w14:textId="77777777" w:rsidR="006A3667" w:rsidRDefault="00045F32">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71D462C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C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6" w14:textId="77777777" w:rsidR="006A3667" w:rsidRDefault="006A3667">
            <w:pPr>
              <w:rPr>
                <w:rFonts w:ascii="宋体"/>
              </w:rPr>
            </w:pPr>
          </w:p>
        </w:tc>
        <w:tc>
          <w:tcPr>
            <w:tcW w:w="0" w:type="auto"/>
            <w:shd w:val="clear" w:color="auto" w:fill="auto"/>
            <w:vAlign w:val="bottom"/>
          </w:tcPr>
          <w:p w14:paraId="71D462D7" w14:textId="77777777" w:rsidR="006A3667" w:rsidRDefault="006A3667">
            <w:pPr>
              <w:rPr>
                <w:rFonts w:ascii="宋体"/>
                <w:vanish/>
              </w:rPr>
            </w:pPr>
          </w:p>
        </w:tc>
        <w:tc>
          <w:tcPr>
            <w:tcW w:w="0" w:type="auto"/>
            <w:shd w:val="clear" w:color="auto" w:fill="auto"/>
            <w:vAlign w:val="bottom"/>
          </w:tcPr>
          <w:p w14:paraId="71D462D8"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62D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2DD" w14:textId="77777777" w:rsidR="006A3667" w:rsidRDefault="006A3667">
            <w:pPr>
              <w:rPr>
                <w:rFonts w:ascii="宋体"/>
              </w:rPr>
            </w:pPr>
          </w:p>
        </w:tc>
      </w:tr>
      <w:tr w:rsidR="006A3667" w14:paraId="71D46301" w14:textId="77777777">
        <w:tc>
          <w:tcPr>
            <w:tcW w:w="0" w:type="auto"/>
            <w:gridSpan w:val="3"/>
            <w:shd w:val="clear" w:color="auto" w:fill="CCEEFF"/>
            <w:tcMar>
              <w:top w:w="40" w:type="dxa"/>
              <w:left w:w="380" w:type="dxa"/>
              <w:bottom w:w="40" w:type="dxa"/>
              <w:right w:w="20" w:type="dxa"/>
            </w:tcMar>
            <w:vAlign w:val="bottom"/>
          </w:tcPr>
          <w:p w14:paraId="71D462DF" w14:textId="77777777" w:rsidR="006A3667" w:rsidRDefault="00045F32">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71D462E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2E1" w14:textId="77777777" w:rsidR="006A3667" w:rsidRDefault="00045F32">
            <w:pPr>
              <w:jc w:val="right"/>
              <w:textAlignment w:val="bottom"/>
            </w:pPr>
            <w:r>
              <w:rPr>
                <w:rFonts w:ascii="Arial" w:eastAsia="宋体" w:hAnsi="Arial" w:cs="Arial"/>
                <w:color w:val="000000"/>
                <w:sz w:val="14"/>
                <w:szCs w:val="14"/>
              </w:rPr>
              <w:t>2,818 </w:t>
            </w:r>
          </w:p>
        </w:tc>
        <w:tc>
          <w:tcPr>
            <w:tcW w:w="0" w:type="auto"/>
            <w:shd w:val="clear" w:color="auto" w:fill="CCEEFF"/>
            <w:tcMar>
              <w:top w:w="40" w:type="dxa"/>
              <w:left w:w="0" w:type="dxa"/>
              <w:bottom w:w="40" w:type="dxa"/>
              <w:right w:w="20" w:type="dxa"/>
            </w:tcMar>
            <w:vAlign w:val="bottom"/>
          </w:tcPr>
          <w:p w14:paraId="71D462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E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2E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2E5" w14:textId="77777777" w:rsidR="006A3667" w:rsidRDefault="00045F32">
            <w:pPr>
              <w:jc w:val="right"/>
              <w:textAlignment w:val="bottom"/>
            </w:pPr>
            <w:r>
              <w:rPr>
                <w:rFonts w:ascii="Arial" w:eastAsia="宋体" w:hAnsi="Arial" w:cs="Arial"/>
                <w:color w:val="000000"/>
                <w:sz w:val="14"/>
                <w:szCs w:val="14"/>
              </w:rPr>
              <w:t>184 </w:t>
            </w:r>
          </w:p>
        </w:tc>
        <w:tc>
          <w:tcPr>
            <w:tcW w:w="0" w:type="auto"/>
            <w:shd w:val="clear" w:color="auto" w:fill="CCEEFF"/>
            <w:tcMar>
              <w:top w:w="40" w:type="dxa"/>
              <w:left w:w="0" w:type="dxa"/>
              <w:bottom w:w="40" w:type="dxa"/>
              <w:right w:w="20" w:type="dxa"/>
            </w:tcMar>
            <w:vAlign w:val="bottom"/>
          </w:tcPr>
          <w:p w14:paraId="71D462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E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2E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2E9" w14:textId="77777777" w:rsidR="006A3667" w:rsidRDefault="00045F32">
            <w:pPr>
              <w:jc w:val="right"/>
              <w:textAlignment w:val="bottom"/>
            </w:pPr>
            <w:r>
              <w:rPr>
                <w:rFonts w:ascii="Arial" w:eastAsia="宋体" w:hAnsi="Arial" w:cs="Arial"/>
                <w:color w:val="000000"/>
                <w:sz w:val="14"/>
                <w:szCs w:val="14"/>
              </w:rPr>
              <w:t>88 </w:t>
            </w:r>
          </w:p>
        </w:tc>
        <w:tc>
          <w:tcPr>
            <w:tcW w:w="0" w:type="auto"/>
            <w:shd w:val="clear" w:color="auto" w:fill="CCEEFF"/>
            <w:tcMar>
              <w:top w:w="40" w:type="dxa"/>
              <w:left w:w="0" w:type="dxa"/>
              <w:bottom w:w="40" w:type="dxa"/>
              <w:right w:w="20" w:type="dxa"/>
            </w:tcMar>
            <w:vAlign w:val="bottom"/>
          </w:tcPr>
          <w:p w14:paraId="71D462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E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2E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2ED" w14:textId="77777777" w:rsidR="006A3667" w:rsidRDefault="00045F32">
            <w:pPr>
              <w:jc w:val="right"/>
              <w:textAlignment w:val="bottom"/>
            </w:pPr>
            <w:r>
              <w:rPr>
                <w:rFonts w:ascii="Arial" w:eastAsia="宋体" w:hAnsi="Arial" w:cs="Arial"/>
                <w:color w:val="000000"/>
                <w:sz w:val="14"/>
                <w:szCs w:val="14"/>
              </w:rPr>
              <w:t>328 </w:t>
            </w:r>
          </w:p>
        </w:tc>
        <w:tc>
          <w:tcPr>
            <w:tcW w:w="0" w:type="auto"/>
            <w:shd w:val="clear" w:color="auto" w:fill="CCEEFF"/>
            <w:tcMar>
              <w:top w:w="40" w:type="dxa"/>
              <w:left w:w="0" w:type="dxa"/>
              <w:bottom w:w="40" w:type="dxa"/>
              <w:right w:w="20" w:type="dxa"/>
            </w:tcMar>
            <w:vAlign w:val="bottom"/>
          </w:tcPr>
          <w:p w14:paraId="71D462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E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2F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2F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2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F3" w14:textId="77777777" w:rsidR="006A3667" w:rsidRDefault="006A3667">
            <w:pPr>
              <w:rPr>
                <w:rFonts w:ascii="宋体"/>
              </w:rPr>
            </w:pPr>
          </w:p>
        </w:tc>
        <w:tc>
          <w:tcPr>
            <w:tcW w:w="0" w:type="auto"/>
            <w:shd w:val="clear" w:color="auto" w:fill="auto"/>
            <w:vAlign w:val="bottom"/>
          </w:tcPr>
          <w:p w14:paraId="71D462F4" w14:textId="77777777" w:rsidR="006A3667" w:rsidRDefault="006A3667">
            <w:pPr>
              <w:rPr>
                <w:rFonts w:ascii="宋体"/>
                <w:vanish/>
              </w:rPr>
            </w:pPr>
          </w:p>
        </w:tc>
        <w:tc>
          <w:tcPr>
            <w:tcW w:w="0" w:type="auto"/>
            <w:shd w:val="clear" w:color="auto" w:fill="auto"/>
            <w:vAlign w:val="bottom"/>
          </w:tcPr>
          <w:p w14:paraId="71D462F5"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bottom"/>
          </w:tcPr>
          <w:p w14:paraId="71D462F6"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2F7" w14:textId="77777777" w:rsidR="006A3667" w:rsidRDefault="00045F32">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71D462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F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2FA"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2FB" w14:textId="77777777" w:rsidR="006A3667" w:rsidRDefault="00045F32">
            <w:pPr>
              <w:jc w:val="right"/>
              <w:textAlignment w:val="bottom"/>
            </w:pPr>
            <w:r>
              <w:rPr>
                <w:rFonts w:ascii="Arial" w:eastAsia="宋体" w:hAnsi="Arial" w:cs="Arial"/>
                <w:color w:val="000000"/>
                <w:sz w:val="14"/>
                <w:szCs w:val="14"/>
              </w:rPr>
              <w:t>13,165 </w:t>
            </w:r>
          </w:p>
        </w:tc>
        <w:tc>
          <w:tcPr>
            <w:tcW w:w="0" w:type="auto"/>
            <w:shd w:val="clear" w:color="auto" w:fill="CCEEFF"/>
            <w:tcMar>
              <w:top w:w="40" w:type="dxa"/>
              <w:left w:w="0" w:type="dxa"/>
              <w:bottom w:w="40" w:type="dxa"/>
              <w:right w:w="20" w:type="dxa"/>
            </w:tcMar>
            <w:vAlign w:val="bottom"/>
          </w:tcPr>
          <w:p w14:paraId="71D462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2F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2FE"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2FF" w14:textId="77777777" w:rsidR="006A3667" w:rsidRDefault="00045F32">
            <w:pPr>
              <w:jc w:val="right"/>
              <w:textAlignment w:val="bottom"/>
            </w:pPr>
            <w:r>
              <w:rPr>
                <w:rFonts w:ascii="Arial" w:eastAsia="宋体" w:hAnsi="Arial" w:cs="Arial"/>
                <w:color w:val="000000"/>
                <w:sz w:val="14"/>
                <w:szCs w:val="14"/>
              </w:rPr>
              <w:t>16,593 </w:t>
            </w:r>
          </w:p>
        </w:tc>
        <w:tc>
          <w:tcPr>
            <w:tcW w:w="0" w:type="auto"/>
            <w:shd w:val="clear" w:color="auto" w:fill="CCEEFF"/>
            <w:tcMar>
              <w:top w:w="40" w:type="dxa"/>
              <w:left w:w="0" w:type="dxa"/>
              <w:bottom w:w="40" w:type="dxa"/>
              <w:right w:w="20" w:type="dxa"/>
            </w:tcMar>
            <w:vAlign w:val="bottom"/>
          </w:tcPr>
          <w:p w14:paraId="71D46300" w14:textId="77777777" w:rsidR="006A3667" w:rsidRDefault="006A3667">
            <w:pPr>
              <w:jc w:val="right"/>
              <w:rPr>
                <w:rFonts w:ascii="宋体"/>
              </w:rPr>
            </w:pPr>
          </w:p>
        </w:tc>
      </w:tr>
      <w:tr w:rsidR="006A3667" w14:paraId="71D4631C" w14:textId="77777777">
        <w:tc>
          <w:tcPr>
            <w:tcW w:w="0" w:type="auto"/>
            <w:gridSpan w:val="3"/>
            <w:shd w:val="clear" w:color="auto" w:fill="FFFFFF"/>
            <w:tcMar>
              <w:top w:w="40" w:type="dxa"/>
              <w:left w:w="380" w:type="dxa"/>
              <w:bottom w:w="40" w:type="dxa"/>
              <w:right w:w="20" w:type="dxa"/>
            </w:tcMar>
            <w:vAlign w:val="bottom"/>
          </w:tcPr>
          <w:p w14:paraId="71D46302" w14:textId="77777777" w:rsidR="006A3667" w:rsidRDefault="00045F32">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1D46303" w14:textId="77777777" w:rsidR="006A3667" w:rsidRDefault="00045F32">
            <w:pPr>
              <w:jc w:val="right"/>
              <w:textAlignment w:val="bottom"/>
            </w:pPr>
            <w:r>
              <w:rPr>
                <w:rFonts w:ascii="Arial" w:eastAsia="宋体" w:hAnsi="Arial" w:cs="Arial"/>
                <w:color w:val="000000"/>
                <w:sz w:val="14"/>
                <w:szCs w:val="14"/>
              </w:rPr>
              <w:t>251 </w:t>
            </w:r>
          </w:p>
        </w:tc>
        <w:tc>
          <w:tcPr>
            <w:tcW w:w="0" w:type="auto"/>
            <w:shd w:val="clear" w:color="auto" w:fill="FFFFFF"/>
            <w:tcMar>
              <w:top w:w="40" w:type="dxa"/>
              <w:left w:w="0" w:type="dxa"/>
              <w:bottom w:w="40" w:type="dxa"/>
              <w:right w:w="20" w:type="dxa"/>
            </w:tcMar>
            <w:vAlign w:val="bottom"/>
          </w:tcPr>
          <w:p w14:paraId="71D463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06" w14:textId="77777777" w:rsidR="006A3667" w:rsidRDefault="00045F32">
            <w:pPr>
              <w:jc w:val="right"/>
              <w:textAlignment w:val="bottom"/>
            </w:pPr>
            <w:r>
              <w:rPr>
                <w:rFonts w:ascii="Arial" w:eastAsia="宋体" w:hAnsi="Arial" w:cs="Arial"/>
                <w:color w:val="000000"/>
                <w:sz w:val="14"/>
                <w:szCs w:val="14"/>
              </w:rPr>
              <w:t>797 </w:t>
            </w:r>
          </w:p>
        </w:tc>
        <w:tc>
          <w:tcPr>
            <w:tcW w:w="0" w:type="auto"/>
            <w:shd w:val="clear" w:color="auto" w:fill="FFFFFF"/>
            <w:tcMar>
              <w:top w:w="40" w:type="dxa"/>
              <w:left w:w="0" w:type="dxa"/>
              <w:bottom w:w="40" w:type="dxa"/>
              <w:right w:w="20" w:type="dxa"/>
            </w:tcMar>
            <w:vAlign w:val="bottom"/>
          </w:tcPr>
          <w:p w14:paraId="71D463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0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09" w14:textId="77777777" w:rsidR="006A3667" w:rsidRDefault="00045F32">
            <w:pPr>
              <w:jc w:val="right"/>
              <w:textAlignment w:val="bottom"/>
            </w:pPr>
            <w:r>
              <w:rPr>
                <w:rFonts w:ascii="Arial" w:eastAsia="宋体" w:hAnsi="Arial" w:cs="Arial"/>
                <w:color w:val="000000"/>
                <w:sz w:val="14"/>
                <w:szCs w:val="14"/>
              </w:rPr>
              <w:t>176 </w:t>
            </w:r>
          </w:p>
        </w:tc>
        <w:tc>
          <w:tcPr>
            <w:tcW w:w="0" w:type="auto"/>
            <w:shd w:val="clear" w:color="auto" w:fill="FFFFFF"/>
            <w:tcMar>
              <w:top w:w="40" w:type="dxa"/>
              <w:left w:w="0" w:type="dxa"/>
              <w:bottom w:w="40" w:type="dxa"/>
              <w:right w:w="20" w:type="dxa"/>
            </w:tcMar>
            <w:vAlign w:val="bottom"/>
          </w:tcPr>
          <w:p w14:paraId="71D463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0C" w14:textId="77777777" w:rsidR="006A3667" w:rsidRDefault="00045F32">
            <w:pPr>
              <w:jc w:val="right"/>
              <w:textAlignment w:val="bottom"/>
            </w:pPr>
            <w:r>
              <w:rPr>
                <w:rFonts w:ascii="Arial" w:eastAsia="宋体" w:hAnsi="Arial" w:cs="Arial"/>
                <w:color w:val="000000"/>
                <w:sz w:val="14"/>
                <w:szCs w:val="14"/>
              </w:rPr>
              <w:t>433 </w:t>
            </w:r>
          </w:p>
        </w:tc>
        <w:tc>
          <w:tcPr>
            <w:tcW w:w="0" w:type="auto"/>
            <w:shd w:val="clear" w:color="auto" w:fill="FFFFFF"/>
            <w:tcMar>
              <w:top w:w="40" w:type="dxa"/>
              <w:left w:w="0" w:type="dxa"/>
              <w:bottom w:w="40" w:type="dxa"/>
              <w:right w:w="20" w:type="dxa"/>
            </w:tcMar>
            <w:vAlign w:val="bottom"/>
          </w:tcPr>
          <w:p w14:paraId="71D463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0F" w14:textId="77777777" w:rsidR="006A3667" w:rsidRDefault="00045F32">
            <w:pPr>
              <w:jc w:val="right"/>
              <w:textAlignment w:val="bottom"/>
            </w:pPr>
            <w:r>
              <w:rPr>
                <w:rFonts w:ascii="Arial" w:eastAsia="宋体" w:hAnsi="Arial" w:cs="Arial"/>
                <w:color w:val="000000"/>
                <w:sz w:val="14"/>
                <w:szCs w:val="14"/>
              </w:rPr>
              <w:t>289 </w:t>
            </w:r>
          </w:p>
        </w:tc>
        <w:tc>
          <w:tcPr>
            <w:tcW w:w="0" w:type="auto"/>
            <w:shd w:val="clear" w:color="auto" w:fill="FFFFFF"/>
            <w:tcMar>
              <w:top w:w="40" w:type="dxa"/>
              <w:left w:w="0" w:type="dxa"/>
              <w:bottom w:w="40" w:type="dxa"/>
              <w:right w:w="20" w:type="dxa"/>
            </w:tcMar>
            <w:vAlign w:val="bottom"/>
          </w:tcPr>
          <w:p w14:paraId="71D4631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11" w14:textId="77777777" w:rsidR="006A3667" w:rsidRDefault="006A3667">
            <w:pPr>
              <w:rPr>
                <w:rFonts w:ascii="宋体"/>
              </w:rPr>
            </w:pPr>
          </w:p>
        </w:tc>
        <w:tc>
          <w:tcPr>
            <w:tcW w:w="0" w:type="auto"/>
            <w:shd w:val="clear" w:color="auto" w:fill="auto"/>
            <w:vAlign w:val="bottom"/>
          </w:tcPr>
          <w:p w14:paraId="71D46312" w14:textId="77777777" w:rsidR="006A3667" w:rsidRDefault="006A3667">
            <w:pPr>
              <w:rPr>
                <w:rFonts w:ascii="宋体"/>
                <w:vanish/>
              </w:rPr>
            </w:pPr>
          </w:p>
        </w:tc>
        <w:tc>
          <w:tcPr>
            <w:tcW w:w="0" w:type="auto"/>
            <w:shd w:val="clear" w:color="auto" w:fill="auto"/>
            <w:vAlign w:val="bottom"/>
          </w:tcPr>
          <w:p w14:paraId="71D46313"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314" w14:textId="77777777" w:rsidR="006A3667" w:rsidRDefault="00045F32">
            <w:pPr>
              <w:jc w:val="right"/>
              <w:textAlignment w:val="bottom"/>
            </w:pPr>
            <w:r>
              <w:rPr>
                <w:rFonts w:ascii="Arial" w:eastAsia="宋体" w:hAnsi="Arial" w:cs="Arial"/>
                <w:color w:val="000000"/>
                <w:sz w:val="14"/>
                <w:szCs w:val="14"/>
              </w:rPr>
              <w:t>147 </w:t>
            </w:r>
          </w:p>
        </w:tc>
        <w:tc>
          <w:tcPr>
            <w:tcW w:w="0" w:type="auto"/>
            <w:shd w:val="clear" w:color="auto" w:fill="FFFFFF"/>
            <w:tcMar>
              <w:top w:w="40" w:type="dxa"/>
              <w:left w:w="0" w:type="dxa"/>
              <w:bottom w:w="40" w:type="dxa"/>
              <w:right w:w="20" w:type="dxa"/>
            </w:tcMar>
            <w:vAlign w:val="bottom"/>
          </w:tcPr>
          <w:p w14:paraId="71D463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17" w14:textId="77777777" w:rsidR="006A3667" w:rsidRDefault="00045F32">
            <w:pPr>
              <w:jc w:val="right"/>
              <w:textAlignment w:val="bottom"/>
            </w:pPr>
            <w:r>
              <w:rPr>
                <w:rFonts w:ascii="Arial" w:eastAsia="宋体" w:hAnsi="Arial" w:cs="Arial"/>
                <w:color w:val="000000"/>
                <w:sz w:val="14"/>
                <w:szCs w:val="14"/>
              </w:rPr>
              <w:t>287 </w:t>
            </w:r>
          </w:p>
        </w:tc>
        <w:tc>
          <w:tcPr>
            <w:tcW w:w="0" w:type="auto"/>
            <w:shd w:val="clear" w:color="auto" w:fill="FFFFFF"/>
            <w:tcMar>
              <w:top w:w="40" w:type="dxa"/>
              <w:left w:w="0" w:type="dxa"/>
              <w:bottom w:w="40" w:type="dxa"/>
              <w:right w:w="20" w:type="dxa"/>
            </w:tcMar>
            <w:vAlign w:val="bottom"/>
          </w:tcPr>
          <w:p w14:paraId="71D4631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1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1A" w14:textId="77777777" w:rsidR="006A3667" w:rsidRDefault="00045F32">
            <w:pPr>
              <w:jc w:val="right"/>
              <w:textAlignment w:val="bottom"/>
            </w:pPr>
            <w:r>
              <w:rPr>
                <w:rFonts w:ascii="Arial" w:eastAsia="宋体" w:hAnsi="Arial" w:cs="Arial"/>
                <w:color w:val="000000"/>
                <w:sz w:val="14"/>
                <w:szCs w:val="14"/>
              </w:rPr>
              <w:t>2,380 </w:t>
            </w:r>
          </w:p>
        </w:tc>
        <w:tc>
          <w:tcPr>
            <w:tcW w:w="0" w:type="auto"/>
            <w:shd w:val="clear" w:color="auto" w:fill="FFFFFF"/>
            <w:tcMar>
              <w:top w:w="40" w:type="dxa"/>
              <w:left w:w="0" w:type="dxa"/>
              <w:bottom w:w="40" w:type="dxa"/>
              <w:right w:w="20" w:type="dxa"/>
            </w:tcMar>
            <w:vAlign w:val="bottom"/>
          </w:tcPr>
          <w:p w14:paraId="71D4631B" w14:textId="77777777" w:rsidR="006A3667" w:rsidRDefault="006A3667">
            <w:pPr>
              <w:jc w:val="right"/>
              <w:rPr>
                <w:rFonts w:ascii="宋体"/>
              </w:rPr>
            </w:pPr>
          </w:p>
        </w:tc>
      </w:tr>
      <w:tr w:rsidR="006A3667" w14:paraId="71D46337" w14:textId="77777777">
        <w:tc>
          <w:tcPr>
            <w:tcW w:w="0" w:type="auto"/>
            <w:gridSpan w:val="3"/>
            <w:shd w:val="clear" w:color="auto" w:fill="CCEEFF"/>
            <w:tcMar>
              <w:top w:w="40" w:type="dxa"/>
              <w:left w:w="380" w:type="dxa"/>
              <w:bottom w:w="40" w:type="dxa"/>
              <w:right w:w="20" w:type="dxa"/>
            </w:tcMar>
            <w:vAlign w:val="bottom"/>
          </w:tcPr>
          <w:p w14:paraId="71D4631D" w14:textId="77777777" w:rsidR="006A3667" w:rsidRDefault="00045F32">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1D4631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31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2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21" w14:textId="77777777" w:rsidR="006A3667" w:rsidRDefault="00045F32">
            <w:pPr>
              <w:jc w:val="right"/>
              <w:textAlignment w:val="bottom"/>
            </w:pPr>
            <w:r>
              <w:rPr>
                <w:rFonts w:ascii="Arial" w:eastAsia="宋体" w:hAnsi="Arial" w:cs="Arial"/>
                <w:color w:val="000000"/>
                <w:sz w:val="14"/>
                <w:szCs w:val="14"/>
              </w:rPr>
              <w:t>93 </w:t>
            </w:r>
          </w:p>
        </w:tc>
        <w:tc>
          <w:tcPr>
            <w:tcW w:w="0" w:type="auto"/>
            <w:shd w:val="clear" w:color="auto" w:fill="CCEEFF"/>
            <w:tcMar>
              <w:top w:w="40" w:type="dxa"/>
              <w:left w:w="0" w:type="dxa"/>
              <w:bottom w:w="40" w:type="dxa"/>
              <w:right w:w="20" w:type="dxa"/>
            </w:tcMar>
            <w:vAlign w:val="bottom"/>
          </w:tcPr>
          <w:p w14:paraId="71D463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2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2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3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27" w14:textId="77777777" w:rsidR="006A3667" w:rsidRDefault="00045F32">
            <w:pPr>
              <w:jc w:val="right"/>
              <w:textAlignment w:val="bottom"/>
            </w:pPr>
            <w:r>
              <w:rPr>
                <w:rFonts w:ascii="Arial" w:eastAsia="宋体" w:hAnsi="Arial" w:cs="Arial"/>
                <w:color w:val="000000"/>
                <w:sz w:val="14"/>
                <w:szCs w:val="14"/>
              </w:rPr>
              <w:t>155 </w:t>
            </w:r>
          </w:p>
        </w:tc>
        <w:tc>
          <w:tcPr>
            <w:tcW w:w="0" w:type="auto"/>
            <w:shd w:val="clear" w:color="auto" w:fill="CCEEFF"/>
            <w:tcMar>
              <w:top w:w="40" w:type="dxa"/>
              <w:left w:w="0" w:type="dxa"/>
              <w:bottom w:w="40" w:type="dxa"/>
              <w:right w:w="20" w:type="dxa"/>
            </w:tcMar>
            <w:vAlign w:val="bottom"/>
          </w:tcPr>
          <w:p w14:paraId="71D463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2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2A" w14:textId="77777777" w:rsidR="006A3667" w:rsidRDefault="00045F32">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71D463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2C" w14:textId="77777777" w:rsidR="006A3667" w:rsidRDefault="006A3667">
            <w:pPr>
              <w:rPr>
                <w:rFonts w:ascii="宋体"/>
              </w:rPr>
            </w:pPr>
          </w:p>
        </w:tc>
        <w:tc>
          <w:tcPr>
            <w:tcW w:w="0" w:type="auto"/>
            <w:shd w:val="clear" w:color="auto" w:fill="auto"/>
            <w:vAlign w:val="bottom"/>
          </w:tcPr>
          <w:p w14:paraId="71D4632D" w14:textId="77777777" w:rsidR="006A3667" w:rsidRDefault="006A3667">
            <w:pPr>
              <w:rPr>
                <w:rFonts w:ascii="宋体"/>
                <w:vanish/>
              </w:rPr>
            </w:pPr>
          </w:p>
        </w:tc>
        <w:tc>
          <w:tcPr>
            <w:tcW w:w="0" w:type="auto"/>
            <w:shd w:val="clear" w:color="auto" w:fill="auto"/>
            <w:vAlign w:val="bottom"/>
          </w:tcPr>
          <w:p w14:paraId="71D4632E"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632F" w14:textId="77777777" w:rsidR="006A3667" w:rsidRDefault="00045F32">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71D463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3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3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33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3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35" w14:textId="77777777" w:rsidR="006A3667" w:rsidRDefault="00045F32">
            <w:pPr>
              <w:jc w:val="right"/>
              <w:textAlignment w:val="bottom"/>
            </w:pPr>
            <w:r>
              <w:rPr>
                <w:rFonts w:ascii="Arial" w:eastAsia="宋体" w:hAnsi="Arial" w:cs="Arial"/>
                <w:color w:val="000000"/>
                <w:sz w:val="14"/>
                <w:szCs w:val="14"/>
              </w:rPr>
              <w:t>296 </w:t>
            </w:r>
          </w:p>
        </w:tc>
        <w:tc>
          <w:tcPr>
            <w:tcW w:w="0" w:type="auto"/>
            <w:shd w:val="clear" w:color="auto" w:fill="CCEEFF"/>
            <w:tcMar>
              <w:top w:w="40" w:type="dxa"/>
              <w:left w:w="0" w:type="dxa"/>
              <w:bottom w:w="40" w:type="dxa"/>
              <w:right w:w="20" w:type="dxa"/>
            </w:tcMar>
            <w:vAlign w:val="bottom"/>
          </w:tcPr>
          <w:p w14:paraId="71D46336" w14:textId="77777777" w:rsidR="006A3667" w:rsidRDefault="006A3667">
            <w:pPr>
              <w:jc w:val="right"/>
              <w:rPr>
                <w:rFonts w:ascii="宋体"/>
              </w:rPr>
            </w:pPr>
          </w:p>
        </w:tc>
      </w:tr>
      <w:tr w:rsidR="006A3667" w14:paraId="71D46352" w14:textId="77777777">
        <w:tc>
          <w:tcPr>
            <w:tcW w:w="0" w:type="auto"/>
            <w:gridSpan w:val="3"/>
            <w:shd w:val="clear" w:color="auto" w:fill="FFFFFF"/>
            <w:tcMar>
              <w:top w:w="40" w:type="dxa"/>
              <w:left w:w="380" w:type="dxa"/>
              <w:bottom w:w="40" w:type="dxa"/>
              <w:right w:w="20" w:type="dxa"/>
            </w:tcMar>
            <w:vAlign w:val="bottom"/>
          </w:tcPr>
          <w:p w14:paraId="71D46338" w14:textId="77777777" w:rsidR="006A3667" w:rsidRDefault="00045F32">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1D46339" w14:textId="77777777" w:rsidR="006A3667" w:rsidRDefault="00045F32">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1D463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3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3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33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3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3F" w14:textId="77777777" w:rsidR="006A3667" w:rsidRDefault="00045F32">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1D4634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4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42" w14:textId="77777777" w:rsidR="006A3667" w:rsidRDefault="00045F32">
            <w:pPr>
              <w:jc w:val="right"/>
              <w:textAlignment w:val="bottom"/>
            </w:pPr>
            <w:r>
              <w:rPr>
                <w:rFonts w:ascii="Arial" w:eastAsia="宋体" w:hAnsi="Arial" w:cs="Arial"/>
                <w:color w:val="000000"/>
                <w:sz w:val="14"/>
                <w:szCs w:val="14"/>
              </w:rPr>
              <w:t>41 </w:t>
            </w:r>
          </w:p>
        </w:tc>
        <w:tc>
          <w:tcPr>
            <w:tcW w:w="0" w:type="auto"/>
            <w:shd w:val="clear" w:color="auto" w:fill="FFFFFF"/>
            <w:tcMar>
              <w:top w:w="40" w:type="dxa"/>
              <w:left w:w="0" w:type="dxa"/>
              <w:bottom w:w="40" w:type="dxa"/>
              <w:right w:w="20" w:type="dxa"/>
            </w:tcMar>
            <w:vAlign w:val="bottom"/>
          </w:tcPr>
          <w:p w14:paraId="71D463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4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45" w14:textId="77777777" w:rsidR="006A3667" w:rsidRDefault="00045F32">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71D463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47" w14:textId="77777777" w:rsidR="006A3667" w:rsidRDefault="006A3667">
            <w:pPr>
              <w:rPr>
                <w:rFonts w:ascii="宋体"/>
              </w:rPr>
            </w:pPr>
          </w:p>
        </w:tc>
        <w:tc>
          <w:tcPr>
            <w:tcW w:w="0" w:type="auto"/>
            <w:shd w:val="clear" w:color="auto" w:fill="auto"/>
            <w:vAlign w:val="bottom"/>
          </w:tcPr>
          <w:p w14:paraId="71D46348" w14:textId="77777777" w:rsidR="006A3667" w:rsidRDefault="006A3667">
            <w:pPr>
              <w:rPr>
                <w:rFonts w:ascii="宋体"/>
                <w:vanish/>
              </w:rPr>
            </w:pPr>
          </w:p>
        </w:tc>
        <w:tc>
          <w:tcPr>
            <w:tcW w:w="0" w:type="auto"/>
            <w:shd w:val="clear" w:color="auto" w:fill="auto"/>
            <w:vAlign w:val="bottom"/>
          </w:tcPr>
          <w:p w14:paraId="71D4634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34A" w14:textId="77777777" w:rsidR="006A3667" w:rsidRDefault="00045F32">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1D463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4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3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50" w14:textId="77777777" w:rsidR="006A3667" w:rsidRDefault="00045F32">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71D46351" w14:textId="77777777" w:rsidR="006A3667" w:rsidRDefault="006A3667">
            <w:pPr>
              <w:jc w:val="right"/>
              <w:rPr>
                <w:rFonts w:ascii="宋体"/>
              </w:rPr>
            </w:pPr>
          </w:p>
        </w:tc>
      </w:tr>
      <w:tr w:rsidR="006A3667" w14:paraId="71D46365" w14:textId="77777777">
        <w:trPr>
          <w:hidden/>
        </w:trPr>
        <w:tc>
          <w:tcPr>
            <w:tcW w:w="0" w:type="auto"/>
            <w:gridSpan w:val="3"/>
            <w:shd w:val="clear" w:color="auto" w:fill="auto"/>
            <w:vAlign w:val="bottom"/>
          </w:tcPr>
          <w:p w14:paraId="71D46353" w14:textId="77777777" w:rsidR="006A3667" w:rsidRDefault="006A3667">
            <w:pPr>
              <w:rPr>
                <w:rFonts w:ascii="宋体"/>
                <w:vanish/>
              </w:rPr>
            </w:pPr>
          </w:p>
        </w:tc>
        <w:tc>
          <w:tcPr>
            <w:tcW w:w="0" w:type="auto"/>
            <w:gridSpan w:val="3"/>
            <w:shd w:val="clear" w:color="auto" w:fill="auto"/>
            <w:vAlign w:val="bottom"/>
          </w:tcPr>
          <w:p w14:paraId="71D46354" w14:textId="77777777" w:rsidR="006A3667" w:rsidRDefault="006A3667">
            <w:pPr>
              <w:rPr>
                <w:rFonts w:ascii="宋体"/>
                <w:vanish/>
              </w:rPr>
            </w:pPr>
          </w:p>
        </w:tc>
        <w:tc>
          <w:tcPr>
            <w:tcW w:w="0" w:type="auto"/>
            <w:gridSpan w:val="3"/>
            <w:shd w:val="clear" w:color="auto" w:fill="auto"/>
            <w:vAlign w:val="bottom"/>
          </w:tcPr>
          <w:p w14:paraId="71D46355" w14:textId="77777777" w:rsidR="006A3667" w:rsidRDefault="006A3667">
            <w:pPr>
              <w:rPr>
                <w:rFonts w:ascii="宋体"/>
                <w:vanish/>
              </w:rPr>
            </w:pPr>
          </w:p>
        </w:tc>
        <w:tc>
          <w:tcPr>
            <w:tcW w:w="0" w:type="auto"/>
            <w:gridSpan w:val="3"/>
            <w:shd w:val="clear" w:color="auto" w:fill="auto"/>
            <w:vAlign w:val="bottom"/>
          </w:tcPr>
          <w:p w14:paraId="71D46356" w14:textId="77777777" w:rsidR="006A3667" w:rsidRDefault="006A3667">
            <w:pPr>
              <w:rPr>
                <w:rFonts w:ascii="宋体"/>
                <w:vanish/>
              </w:rPr>
            </w:pPr>
          </w:p>
        </w:tc>
        <w:tc>
          <w:tcPr>
            <w:tcW w:w="0" w:type="auto"/>
            <w:gridSpan w:val="3"/>
            <w:shd w:val="clear" w:color="auto" w:fill="auto"/>
            <w:vAlign w:val="bottom"/>
          </w:tcPr>
          <w:p w14:paraId="71D46357" w14:textId="77777777" w:rsidR="006A3667" w:rsidRDefault="006A3667">
            <w:pPr>
              <w:rPr>
                <w:rFonts w:ascii="宋体"/>
                <w:vanish/>
              </w:rPr>
            </w:pPr>
          </w:p>
        </w:tc>
        <w:tc>
          <w:tcPr>
            <w:tcW w:w="0" w:type="auto"/>
            <w:gridSpan w:val="3"/>
            <w:shd w:val="clear" w:color="auto" w:fill="auto"/>
            <w:vAlign w:val="bottom"/>
          </w:tcPr>
          <w:p w14:paraId="71D46358" w14:textId="77777777" w:rsidR="006A3667" w:rsidRDefault="006A3667">
            <w:pPr>
              <w:rPr>
                <w:rFonts w:ascii="宋体"/>
                <w:vanish/>
              </w:rPr>
            </w:pPr>
          </w:p>
        </w:tc>
        <w:tc>
          <w:tcPr>
            <w:tcW w:w="0" w:type="auto"/>
            <w:gridSpan w:val="3"/>
            <w:shd w:val="clear" w:color="auto" w:fill="auto"/>
            <w:vAlign w:val="bottom"/>
          </w:tcPr>
          <w:p w14:paraId="71D46359" w14:textId="77777777" w:rsidR="006A3667" w:rsidRDefault="006A3667">
            <w:pPr>
              <w:rPr>
                <w:rFonts w:ascii="宋体"/>
                <w:vanish/>
              </w:rPr>
            </w:pPr>
          </w:p>
        </w:tc>
        <w:tc>
          <w:tcPr>
            <w:tcW w:w="0" w:type="auto"/>
            <w:gridSpan w:val="3"/>
            <w:shd w:val="clear" w:color="auto" w:fill="auto"/>
            <w:vAlign w:val="bottom"/>
          </w:tcPr>
          <w:p w14:paraId="71D4635A" w14:textId="77777777" w:rsidR="006A3667" w:rsidRDefault="006A3667">
            <w:pPr>
              <w:rPr>
                <w:rFonts w:ascii="宋体"/>
                <w:vanish/>
              </w:rPr>
            </w:pPr>
          </w:p>
        </w:tc>
        <w:tc>
          <w:tcPr>
            <w:tcW w:w="0" w:type="auto"/>
            <w:gridSpan w:val="3"/>
            <w:shd w:val="clear" w:color="auto" w:fill="auto"/>
            <w:vAlign w:val="bottom"/>
          </w:tcPr>
          <w:p w14:paraId="71D4635B" w14:textId="77777777" w:rsidR="006A3667" w:rsidRDefault="006A3667">
            <w:pPr>
              <w:rPr>
                <w:rFonts w:ascii="宋体"/>
                <w:vanish/>
              </w:rPr>
            </w:pPr>
          </w:p>
        </w:tc>
        <w:tc>
          <w:tcPr>
            <w:tcW w:w="0" w:type="auto"/>
            <w:gridSpan w:val="3"/>
            <w:shd w:val="clear" w:color="auto" w:fill="auto"/>
            <w:vAlign w:val="bottom"/>
          </w:tcPr>
          <w:p w14:paraId="71D4635C" w14:textId="77777777" w:rsidR="006A3667" w:rsidRDefault="006A3667">
            <w:pPr>
              <w:rPr>
                <w:rFonts w:ascii="宋体"/>
                <w:vanish/>
              </w:rPr>
            </w:pPr>
          </w:p>
        </w:tc>
        <w:tc>
          <w:tcPr>
            <w:tcW w:w="0" w:type="auto"/>
            <w:gridSpan w:val="3"/>
            <w:shd w:val="clear" w:color="auto" w:fill="auto"/>
            <w:vAlign w:val="bottom"/>
          </w:tcPr>
          <w:p w14:paraId="71D4635D" w14:textId="77777777" w:rsidR="006A3667" w:rsidRDefault="006A3667">
            <w:pPr>
              <w:rPr>
                <w:rFonts w:ascii="宋体"/>
                <w:vanish/>
              </w:rPr>
            </w:pPr>
          </w:p>
        </w:tc>
        <w:tc>
          <w:tcPr>
            <w:tcW w:w="0" w:type="auto"/>
            <w:shd w:val="clear" w:color="auto" w:fill="auto"/>
            <w:vAlign w:val="bottom"/>
          </w:tcPr>
          <w:p w14:paraId="71D4635E" w14:textId="77777777" w:rsidR="006A3667" w:rsidRDefault="006A3667">
            <w:pPr>
              <w:rPr>
                <w:rFonts w:ascii="宋体"/>
                <w:vanish/>
              </w:rPr>
            </w:pPr>
          </w:p>
        </w:tc>
        <w:tc>
          <w:tcPr>
            <w:tcW w:w="0" w:type="auto"/>
            <w:shd w:val="clear" w:color="auto" w:fill="auto"/>
            <w:vAlign w:val="bottom"/>
          </w:tcPr>
          <w:p w14:paraId="71D4635F" w14:textId="77777777" w:rsidR="006A3667" w:rsidRDefault="006A3667">
            <w:pPr>
              <w:rPr>
                <w:rFonts w:ascii="宋体"/>
                <w:vanish/>
              </w:rPr>
            </w:pPr>
          </w:p>
        </w:tc>
        <w:tc>
          <w:tcPr>
            <w:tcW w:w="0" w:type="auto"/>
            <w:gridSpan w:val="3"/>
            <w:shd w:val="clear" w:color="auto" w:fill="auto"/>
            <w:vAlign w:val="bottom"/>
          </w:tcPr>
          <w:p w14:paraId="71D46360" w14:textId="77777777" w:rsidR="006A3667" w:rsidRDefault="006A3667">
            <w:pPr>
              <w:rPr>
                <w:rFonts w:ascii="宋体"/>
                <w:vanish/>
              </w:rPr>
            </w:pPr>
          </w:p>
        </w:tc>
        <w:tc>
          <w:tcPr>
            <w:tcW w:w="0" w:type="auto"/>
            <w:gridSpan w:val="3"/>
            <w:shd w:val="clear" w:color="auto" w:fill="auto"/>
            <w:vAlign w:val="bottom"/>
          </w:tcPr>
          <w:p w14:paraId="71D46361" w14:textId="77777777" w:rsidR="006A3667" w:rsidRDefault="006A3667">
            <w:pPr>
              <w:rPr>
                <w:rFonts w:ascii="宋体"/>
                <w:vanish/>
              </w:rPr>
            </w:pPr>
          </w:p>
        </w:tc>
        <w:tc>
          <w:tcPr>
            <w:tcW w:w="0" w:type="auto"/>
            <w:gridSpan w:val="3"/>
            <w:shd w:val="clear" w:color="auto" w:fill="auto"/>
            <w:vAlign w:val="bottom"/>
          </w:tcPr>
          <w:p w14:paraId="71D46362" w14:textId="77777777" w:rsidR="006A3667" w:rsidRDefault="006A3667">
            <w:pPr>
              <w:rPr>
                <w:rFonts w:ascii="宋体"/>
                <w:vanish/>
              </w:rPr>
            </w:pPr>
          </w:p>
        </w:tc>
        <w:tc>
          <w:tcPr>
            <w:tcW w:w="0" w:type="auto"/>
            <w:gridSpan w:val="3"/>
            <w:shd w:val="clear" w:color="auto" w:fill="auto"/>
            <w:vAlign w:val="bottom"/>
          </w:tcPr>
          <w:p w14:paraId="71D46363" w14:textId="77777777" w:rsidR="006A3667" w:rsidRDefault="006A3667">
            <w:pPr>
              <w:rPr>
                <w:rFonts w:ascii="宋体"/>
                <w:vanish/>
              </w:rPr>
            </w:pPr>
          </w:p>
        </w:tc>
        <w:tc>
          <w:tcPr>
            <w:tcW w:w="0" w:type="auto"/>
            <w:gridSpan w:val="3"/>
            <w:shd w:val="clear" w:color="auto" w:fill="auto"/>
            <w:vAlign w:val="bottom"/>
          </w:tcPr>
          <w:p w14:paraId="71D46364" w14:textId="77777777" w:rsidR="006A3667" w:rsidRDefault="006A3667">
            <w:pPr>
              <w:rPr>
                <w:rFonts w:ascii="宋体"/>
                <w:vanish/>
              </w:rPr>
            </w:pPr>
          </w:p>
        </w:tc>
      </w:tr>
      <w:tr w:rsidR="006A3667" w14:paraId="71D46378" w14:textId="77777777">
        <w:trPr>
          <w:hidden/>
        </w:trPr>
        <w:tc>
          <w:tcPr>
            <w:tcW w:w="0" w:type="auto"/>
            <w:gridSpan w:val="3"/>
            <w:shd w:val="clear" w:color="auto" w:fill="auto"/>
            <w:vAlign w:val="bottom"/>
          </w:tcPr>
          <w:p w14:paraId="71D46366" w14:textId="77777777" w:rsidR="006A3667" w:rsidRDefault="006A3667">
            <w:pPr>
              <w:rPr>
                <w:rFonts w:ascii="宋体"/>
                <w:vanish/>
              </w:rPr>
            </w:pPr>
          </w:p>
        </w:tc>
        <w:tc>
          <w:tcPr>
            <w:tcW w:w="0" w:type="auto"/>
            <w:gridSpan w:val="3"/>
            <w:shd w:val="clear" w:color="auto" w:fill="auto"/>
            <w:vAlign w:val="bottom"/>
          </w:tcPr>
          <w:p w14:paraId="71D46367" w14:textId="77777777" w:rsidR="006A3667" w:rsidRDefault="006A3667">
            <w:pPr>
              <w:rPr>
                <w:rFonts w:ascii="宋体"/>
                <w:vanish/>
              </w:rPr>
            </w:pPr>
          </w:p>
        </w:tc>
        <w:tc>
          <w:tcPr>
            <w:tcW w:w="0" w:type="auto"/>
            <w:gridSpan w:val="3"/>
            <w:shd w:val="clear" w:color="auto" w:fill="auto"/>
            <w:vAlign w:val="bottom"/>
          </w:tcPr>
          <w:p w14:paraId="71D46368" w14:textId="77777777" w:rsidR="006A3667" w:rsidRDefault="006A3667">
            <w:pPr>
              <w:rPr>
                <w:rFonts w:ascii="宋体"/>
                <w:vanish/>
              </w:rPr>
            </w:pPr>
          </w:p>
        </w:tc>
        <w:tc>
          <w:tcPr>
            <w:tcW w:w="0" w:type="auto"/>
            <w:gridSpan w:val="3"/>
            <w:shd w:val="clear" w:color="auto" w:fill="auto"/>
            <w:vAlign w:val="bottom"/>
          </w:tcPr>
          <w:p w14:paraId="71D46369" w14:textId="77777777" w:rsidR="006A3667" w:rsidRDefault="006A3667">
            <w:pPr>
              <w:rPr>
                <w:rFonts w:ascii="宋体"/>
                <w:vanish/>
              </w:rPr>
            </w:pPr>
          </w:p>
        </w:tc>
        <w:tc>
          <w:tcPr>
            <w:tcW w:w="0" w:type="auto"/>
            <w:gridSpan w:val="3"/>
            <w:shd w:val="clear" w:color="auto" w:fill="auto"/>
            <w:vAlign w:val="bottom"/>
          </w:tcPr>
          <w:p w14:paraId="71D4636A" w14:textId="77777777" w:rsidR="006A3667" w:rsidRDefault="006A3667">
            <w:pPr>
              <w:rPr>
                <w:rFonts w:ascii="宋体"/>
                <w:vanish/>
              </w:rPr>
            </w:pPr>
          </w:p>
        </w:tc>
        <w:tc>
          <w:tcPr>
            <w:tcW w:w="0" w:type="auto"/>
            <w:gridSpan w:val="3"/>
            <w:shd w:val="clear" w:color="auto" w:fill="auto"/>
            <w:vAlign w:val="bottom"/>
          </w:tcPr>
          <w:p w14:paraId="71D4636B" w14:textId="77777777" w:rsidR="006A3667" w:rsidRDefault="006A3667">
            <w:pPr>
              <w:rPr>
                <w:rFonts w:ascii="宋体"/>
                <w:vanish/>
              </w:rPr>
            </w:pPr>
          </w:p>
        </w:tc>
        <w:tc>
          <w:tcPr>
            <w:tcW w:w="0" w:type="auto"/>
            <w:gridSpan w:val="3"/>
            <w:shd w:val="clear" w:color="auto" w:fill="auto"/>
            <w:vAlign w:val="bottom"/>
          </w:tcPr>
          <w:p w14:paraId="71D4636C" w14:textId="77777777" w:rsidR="006A3667" w:rsidRDefault="006A3667">
            <w:pPr>
              <w:rPr>
                <w:rFonts w:ascii="宋体"/>
                <w:vanish/>
              </w:rPr>
            </w:pPr>
          </w:p>
        </w:tc>
        <w:tc>
          <w:tcPr>
            <w:tcW w:w="0" w:type="auto"/>
            <w:gridSpan w:val="3"/>
            <w:shd w:val="clear" w:color="auto" w:fill="auto"/>
            <w:vAlign w:val="bottom"/>
          </w:tcPr>
          <w:p w14:paraId="71D4636D" w14:textId="77777777" w:rsidR="006A3667" w:rsidRDefault="006A3667">
            <w:pPr>
              <w:rPr>
                <w:rFonts w:ascii="宋体"/>
                <w:vanish/>
              </w:rPr>
            </w:pPr>
          </w:p>
        </w:tc>
        <w:tc>
          <w:tcPr>
            <w:tcW w:w="0" w:type="auto"/>
            <w:gridSpan w:val="3"/>
            <w:shd w:val="clear" w:color="auto" w:fill="auto"/>
            <w:vAlign w:val="bottom"/>
          </w:tcPr>
          <w:p w14:paraId="71D4636E" w14:textId="77777777" w:rsidR="006A3667" w:rsidRDefault="006A3667">
            <w:pPr>
              <w:rPr>
                <w:rFonts w:ascii="宋体"/>
                <w:vanish/>
              </w:rPr>
            </w:pPr>
          </w:p>
        </w:tc>
        <w:tc>
          <w:tcPr>
            <w:tcW w:w="0" w:type="auto"/>
            <w:gridSpan w:val="3"/>
            <w:shd w:val="clear" w:color="auto" w:fill="auto"/>
            <w:vAlign w:val="bottom"/>
          </w:tcPr>
          <w:p w14:paraId="71D4636F" w14:textId="77777777" w:rsidR="006A3667" w:rsidRDefault="006A3667">
            <w:pPr>
              <w:rPr>
                <w:rFonts w:ascii="宋体"/>
                <w:vanish/>
              </w:rPr>
            </w:pPr>
          </w:p>
        </w:tc>
        <w:tc>
          <w:tcPr>
            <w:tcW w:w="0" w:type="auto"/>
            <w:gridSpan w:val="3"/>
            <w:shd w:val="clear" w:color="auto" w:fill="auto"/>
            <w:vAlign w:val="bottom"/>
          </w:tcPr>
          <w:p w14:paraId="71D46370" w14:textId="77777777" w:rsidR="006A3667" w:rsidRDefault="006A3667">
            <w:pPr>
              <w:rPr>
                <w:rFonts w:ascii="宋体"/>
                <w:vanish/>
              </w:rPr>
            </w:pPr>
          </w:p>
        </w:tc>
        <w:tc>
          <w:tcPr>
            <w:tcW w:w="0" w:type="auto"/>
            <w:shd w:val="clear" w:color="auto" w:fill="auto"/>
            <w:vAlign w:val="bottom"/>
          </w:tcPr>
          <w:p w14:paraId="71D46371" w14:textId="77777777" w:rsidR="006A3667" w:rsidRDefault="006A3667">
            <w:pPr>
              <w:rPr>
                <w:rFonts w:ascii="宋体"/>
                <w:vanish/>
              </w:rPr>
            </w:pPr>
          </w:p>
        </w:tc>
        <w:tc>
          <w:tcPr>
            <w:tcW w:w="0" w:type="auto"/>
            <w:shd w:val="clear" w:color="auto" w:fill="auto"/>
            <w:vAlign w:val="bottom"/>
          </w:tcPr>
          <w:p w14:paraId="71D46372" w14:textId="77777777" w:rsidR="006A3667" w:rsidRDefault="006A3667">
            <w:pPr>
              <w:rPr>
                <w:rFonts w:ascii="宋体"/>
                <w:vanish/>
              </w:rPr>
            </w:pPr>
          </w:p>
        </w:tc>
        <w:tc>
          <w:tcPr>
            <w:tcW w:w="0" w:type="auto"/>
            <w:gridSpan w:val="3"/>
            <w:shd w:val="clear" w:color="auto" w:fill="auto"/>
            <w:vAlign w:val="bottom"/>
          </w:tcPr>
          <w:p w14:paraId="71D46373" w14:textId="77777777" w:rsidR="006A3667" w:rsidRDefault="006A3667">
            <w:pPr>
              <w:rPr>
                <w:rFonts w:ascii="宋体"/>
                <w:vanish/>
              </w:rPr>
            </w:pPr>
          </w:p>
        </w:tc>
        <w:tc>
          <w:tcPr>
            <w:tcW w:w="0" w:type="auto"/>
            <w:gridSpan w:val="3"/>
            <w:shd w:val="clear" w:color="auto" w:fill="auto"/>
            <w:vAlign w:val="bottom"/>
          </w:tcPr>
          <w:p w14:paraId="71D46374" w14:textId="77777777" w:rsidR="006A3667" w:rsidRDefault="006A3667">
            <w:pPr>
              <w:rPr>
                <w:rFonts w:ascii="宋体"/>
                <w:vanish/>
              </w:rPr>
            </w:pPr>
          </w:p>
        </w:tc>
        <w:tc>
          <w:tcPr>
            <w:tcW w:w="0" w:type="auto"/>
            <w:gridSpan w:val="3"/>
            <w:shd w:val="clear" w:color="auto" w:fill="auto"/>
            <w:vAlign w:val="bottom"/>
          </w:tcPr>
          <w:p w14:paraId="71D46375" w14:textId="77777777" w:rsidR="006A3667" w:rsidRDefault="006A3667">
            <w:pPr>
              <w:rPr>
                <w:rFonts w:ascii="宋体"/>
                <w:vanish/>
              </w:rPr>
            </w:pPr>
          </w:p>
        </w:tc>
        <w:tc>
          <w:tcPr>
            <w:tcW w:w="0" w:type="auto"/>
            <w:gridSpan w:val="3"/>
            <w:shd w:val="clear" w:color="auto" w:fill="auto"/>
            <w:vAlign w:val="bottom"/>
          </w:tcPr>
          <w:p w14:paraId="71D46376" w14:textId="77777777" w:rsidR="006A3667" w:rsidRDefault="006A3667">
            <w:pPr>
              <w:rPr>
                <w:rFonts w:ascii="宋体"/>
                <w:vanish/>
              </w:rPr>
            </w:pPr>
          </w:p>
        </w:tc>
        <w:tc>
          <w:tcPr>
            <w:tcW w:w="0" w:type="auto"/>
            <w:gridSpan w:val="3"/>
            <w:shd w:val="clear" w:color="auto" w:fill="auto"/>
            <w:vAlign w:val="bottom"/>
          </w:tcPr>
          <w:p w14:paraId="71D46377" w14:textId="77777777" w:rsidR="006A3667" w:rsidRDefault="006A3667">
            <w:pPr>
              <w:rPr>
                <w:rFonts w:ascii="宋体"/>
                <w:vanish/>
              </w:rPr>
            </w:pPr>
          </w:p>
        </w:tc>
      </w:tr>
      <w:tr w:rsidR="006A3667" w14:paraId="71D4639B" w14:textId="77777777">
        <w:tc>
          <w:tcPr>
            <w:tcW w:w="0" w:type="auto"/>
            <w:gridSpan w:val="3"/>
            <w:shd w:val="clear" w:color="auto" w:fill="CCEEFF"/>
            <w:tcMar>
              <w:top w:w="40" w:type="dxa"/>
              <w:left w:w="155" w:type="dxa"/>
              <w:bottom w:w="40" w:type="dxa"/>
              <w:right w:w="20" w:type="dxa"/>
            </w:tcMar>
            <w:vAlign w:val="bottom"/>
          </w:tcPr>
          <w:p w14:paraId="71D46379" w14:textId="77777777" w:rsidR="006A3667" w:rsidRDefault="00045F32">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637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37B" w14:textId="77777777" w:rsidR="006A3667" w:rsidRDefault="00045F32">
            <w:pPr>
              <w:jc w:val="right"/>
              <w:textAlignment w:val="bottom"/>
            </w:pPr>
            <w:r>
              <w:rPr>
                <w:rFonts w:ascii="Arial" w:eastAsia="宋体" w:hAnsi="Arial" w:cs="Arial"/>
                <w:color w:val="000000"/>
                <w:sz w:val="14"/>
                <w:szCs w:val="14"/>
              </w:rPr>
              <w:t>3,076 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37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7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37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37F" w14:textId="77777777" w:rsidR="006A3667" w:rsidRDefault="00045F32">
            <w:pPr>
              <w:jc w:val="right"/>
              <w:textAlignment w:val="bottom"/>
            </w:pPr>
            <w:r>
              <w:rPr>
                <w:rFonts w:ascii="Arial" w:eastAsia="宋体" w:hAnsi="Arial" w:cs="Arial"/>
                <w:color w:val="000000"/>
                <w:sz w:val="14"/>
                <w:szCs w:val="14"/>
              </w:rPr>
              <w:t>1,074 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3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8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38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383" w14:textId="77777777" w:rsidR="006A3667" w:rsidRDefault="00045F32">
            <w:pPr>
              <w:jc w:val="right"/>
              <w:textAlignment w:val="bottom"/>
            </w:pPr>
            <w:r>
              <w:rPr>
                <w:rFonts w:ascii="Arial" w:eastAsia="宋体" w:hAnsi="Arial" w:cs="Arial"/>
                <w:color w:val="000000"/>
                <w:sz w:val="14"/>
                <w:szCs w:val="14"/>
              </w:rPr>
              <w:t>269 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38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8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38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387" w14:textId="77777777" w:rsidR="006A3667" w:rsidRDefault="00045F32">
            <w:pPr>
              <w:jc w:val="right"/>
              <w:textAlignment w:val="bottom"/>
            </w:pPr>
            <w:r>
              <w:rPr>
                <w:rFonts w:ascii="Arial" w:eastAsia="宋体" w:hAnsi="Arial" w:cs="Arial"/>
                <w:color w:val="000000"/>
                <w:sz w:val="14"/>
                <w:szCs w:val="14"/>
              </w:rPr>
              <w:t>957 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3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8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38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38B" w14:textId="77777777" w:rsidR="006A3667" w:rsidRDefault="00045F32">
            <w:pPr>
              <w:jc w:val="right"/>
              <w:textAlignment w:val="bottom"/>
            </w:pPr>
            <w:r>
              <w:rPr>
                <w:rFonts w:ascii="Arial" w:eastAsia="宋体" w:hAnsi="Arial" w:cs="Arial"/>
                <w:color w:val="000000"/>
                <w:sz w:val="14"/>
                <w:szCs w:val="14"/>
              </w:rPr>
              <w:t>349 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3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8D" w14:textId="77777777" w:rsidR="006A3667" w:rsidRDefault="006A3667">
            <w:pPr>
              <w:rPr>
                <w:rFonts w:ascii="宋体"/>
              </w:rPr>
            </w:pPr>
          </w:p>
        </w:tc>
        <w:tc>
          <w:tcPr>
            <w:tcW w:w="0" w:type="auto"/>
            <w:shd w:val="clear" w:color="auto" w:fill="auto"/>
            <w:vAlign w:val="bottom"/>
          </w:tcPr>
          <w:p w14:paraId="71D4638E" w14:textId="77777777" w:rsidR="006A3667" w:rsidRDefault="006A3667">
            <w:pPr>
              <w:rPr>
                <w:rFonts w:ascii="宋体"/>
                <w:vanish/>
              </w:rPr>
            </w:pPr>
          </w:p>
        </w:tc>
        <w:tc>
          <w:tcPr>
            <w:tcW w:w="0" w:type="auto"/>
            <w:shd w:val="clear" w:color="auto" w:fill="auto"/>
            <w:vAlign w:val="bottom"/>
          </w:tcPr>
          <w:p w14:paraId="71D4638F"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39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391" w14:textId="77777777" w:rsidR="006A3667" w:rsidRDefault="00045F32">
            <w:pPr>
              <w:jc w:val="right"/>
              <w:textAlignment w:val="bottom"/>
            </w:pPr>
            <w:r>
              <w:rPr>
                <w:rFonts w:ascii="Arial" w:eastAsia="宋体" w:hAnsi="Arial" w:cs="Arial"/>
                <w:color w:val="000000"/>
                <w:sz w:val="14"/>
                <w:szCs w:val="14"/>
              </w:rPr>
              <w:t>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3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9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39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395" w14:textId="77777777" w:rsidR="006A3667" w:rsidRDefault="00045F32">
            <w:pPr>
              <w:jc w:val="right"/>
              <w:textAlignment w:val="bottom"/>
            </w:pPr>
            <w:r>
              <w:rPr>
                <w:rFonts w:ascii="Arial" w:eastAsia="宋体" w:hAnsi="Arial" w:cs="Arial"/>
                <w:color w:val="000000"/>
                <w:sz w:val="14"/>
                <w:szCs w:val="14"/>
              </w:rPr>
              <w:t>13,452 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3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9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39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399" w14:textId="77777777" w:rsidR="006A3667" w:rsidRDefault="00045F32">
            <w:pPr>
              <w:jc w:val="right"/>
              <w:textAlignment w:val="bottom"/>
            </w:pPr>
            <w:r>
              <w:rPr>
                <w:rFonts w:ascii="Arial" w:eastAsia="宋体" w:hAnsi="Arial" w:cs="Arial"/>
                <w:color w:val="000000"/>
                <w:sz w:val="14"/>
                <w:szCs w:val="14"/>
              </w:rPr>
              <w:t>19,360 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39A" w14:textId="77777777" w:rsidR="006A3667" w:rsidRDefault="006A3667">
            <w:pPr>
              <w:jc w:val="right"/>
              <w:rPr>
                <w:rFonts w:ascii="宋体"/>
              </w:rPr>
            </w:pPr>
          </w:p>
        </w:tc>
      </w:tr>
      <w:tr w:rsidR="006A3667" w14:paraId="71D463AE" w14:textId="77777777">
        <w:tc>
          <w:tcPr>
            <w:tcW w:w="0" w:type="auto"/>
            <w:gridSpan w:val="3"/>
            <w:shd w:val="clear" w:color="auto" w:fill="FFFFFF"/>
            <w:tcMar>
              <w:top w:w="40" w:type="dxa"/>
              <w:left w:w="155" w:type="dxa"/>
              <w:bottom w:w="40" w:type="dxa"/>
              <w:right w:w="20" w:type="dxa"/>
            </w:tcMar>
            <w:vAlign w:val="bottom"/>
          </w:tcPr>
          <w:p w14:paraId="71D4639C" w14:textId="77777777" w:rsidR="006A3667" w:rsidRDefault="00045F32">
            <w:pPr>
              <w:textAlignment w:val="bottom"/>
            </w:pPr>
            <w:r>
              <w:rPr>
                <w:rFonts w:ascii="Arial" w:eastAsia="宋体" w:hAnsi="Arial" w:cs="Arial"/>
                <w:color w:val="000000"/>
                <w:sz w:val="14"/>
                <w:szCs w:val="14"/>
              </w:rPr>
              <w:t>Commercial real estate: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39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39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3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3A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3A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3A2"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3A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3A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3A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3A6" w14:textId="77777777" w:rsidR="006A3667" w:rsidRDefault="006A3667">
            <w:pPr>
              <w:rPr>
                <w:rFonts w:ascii="宋体"/>
              </w:rPr>
            </w:pPr>
          </w:p>
        </w:tc>
        <w:tc>
          <w:tcPr>
            <w:tcW w:w="0" w:type="auto"/>
            <w:shd w:val="clear" w:color="auto" w:fill="auto"/>
            <w:vAlign w:val="bottom"/>
          </w:tcPr>
          <w:p w14:paraId="71D463A7" w14:textId="77777777" w:rsidR="006A3667" w:rsidRDefault="006A3667">
            <w:pPr>
              <w:rPr>
                <w:rFonts w:ascii="宋体"/>
                <w:vanish/>
              </w:rPr>
            </w:pPr>
          </w:p>
        </w:tc>
        <w:tc>
          <w:tcPr>
            <w:tcW w:w="0" w:type="auto"/>
            <w:shd w:val="clear" w:color="auto" w:fill="auto"/>
            <w:vAlign w:val="bottom"/>
          </w:tcPr>
          <w:p w14:paraId="71D463A8" w14:textId="77777777" w:rsidR="006A3667" w:rsidRDefault="006A3667">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3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3AA"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3A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3A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3AD" w14:textId="77777777" w:rsidR="006A3667" w:rsidRDefault="006A3667">
            <w:pPr>
              <w:rPr>
                <w:rFonts w:ascii="宋体"/>
              </w:rPr>
            </w:pPr>
          </w:p>
        </w:tc>
      </w:tr>
      <w:tr w:rsidR="006A3667" w14:paraId="71D463C1" w14:textId="77777777">
        <w:tc>
          <w:tcPr>
            <w:tcW w:w="0" w:type="auto"/>
            <w:gridSpan w:val="3"/>
            <w:shd w:val="clear" w:color="auto" w:fill="CCEEFF"/>
            <w:tcMar>
              <w:top w:w="40" w:type="dxa"/>
              <w:left w:w="245" w:type="dxa"/>
              <w:bottom w:w="40" w:type="dxa"/>
              <w:right w:w="20" w:type="dxa"/>
            </w:tcMar>
            <w:vAlign w:val="bottom"/>
          </w:tcPr>
          <w:p w14:paraId="71D463AF" w14:textId="77777777" w:rsidR="006A3667" w:rsidRDefault="00045F32">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71D463B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9" w14:textId="77777777" w:rsidR="006A3667" w:rsidRDefault="006A3667">
            <w:pPr>
              <w:rPr>
                <w:rFonts w:ascii="宋体"/>
              </w:rPr>
            </w:pPr>
          </w:p>
        </w:tc>
        <w:tc>
          <w:tcPr>
            <w:tcW w:w="0" w:type="auto"/>
            <w:shd w:val="clear" w:color="auto" w:fill="auto"/>
            <w:vAlign w:val="bottom"/>
          </w:tcPr>
          <w:p w14:paraId="71D463BA" w14:textId="77777777" w:rsidR="006A3667" w:rsidRDefault="006A3667">
            <w:pPr>
              <w:rPr>
                <w:rFonts w:ascii="宋体"/>
                <w:vanish/>
              </w:rPr>
            </w:pPr>
          </w:p>
        </w:tc>
        <w:tc>
          <w:tcPr>
            <w:tcW w:w="0" w:type="auto"/>
            <w:shd w:val="clear" w:color="auto" w:fill="auto"/>
            <w:vAlign w:val="bottom"/>
          </w:tcPr>
          <w:p w14:paraId="71D463BB"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63B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B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3C0" w14:textId="77777777" w:rsidR="006A3667" w:rsidRDefault="006A3667">
            <w:pPr>
              <w:rPr>
                <w:rFonts w:ascii="宋体"/>
              </w:rPr>
            </w:pPr>
          </w:p>
        </w:tc>
      </w:tr>
      <w:tr w:rsidR="006A3667" w14:paraId="71D463E3" w14:textId="77777777">
        <w:tc>
          <w:tcPr>
            <w:tcW w:w="0" w:type="auto"/>
            <w:gridSpan w:val="3"/>
            <w:shd w:val="clear" w:color="auto" w:fill="FFFFFF"/>
            <w:tcMar>
              <w:top w:w="40" w:type="dxa"/>
              <w:left w:w="380" w:type="dxa"/>
              <w:bottom w:w="40" w:type="dxa"/>
              <w:right w:w="20" w:type="dxa"/>
            </w:tcMar>
            <w:vAlign w:val="bottom"/>
          </w:tcPr>
          <w:p w14:paraId="71D463C2" w14:textId="77777777" w:rsidR="006A3667" w:rsidRDefault="00045F32">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71D463C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3C4" w14:textId="77777777" w:rsidR="006A3667" w:rsidRDefault="00045F32">
            <w:pPr>
              <w:jc w:val="right"/>
              <w:textAlignment w:val="bottom"/>
            </w:pPr>
            <w:r>
              <w:rPr>
                <w:rFonts w:ascii="Arial" w:eastAsia="宋体" w:hAnsi="Arial" w:cs="Arial"/>
                <w:color w:val="000000"/>
                <w:sz w:val="14"/>
                <w:szCs w:val="14"/>
              </w:rPr>
              <w:t>365 </w:t>
            </w:r>
          </w:p>
        </w:tc>
        <w:tc>
          <w:tcPr>
            <w:tcW w:w="0" w:type="auto"/>
            <w:shd w:val="clear" w:color="auto" w:fill="FFFFFF"/>
            <w:tcMar>
              <w:top w:w="40" w:type="dxa"/>
              <w:left w:w="0" w:type="dxa"/>
              <w:bottom w:w="40" w:type="dxa"/>
              <w:right w:w="20" w:type="dxa"/>
            </w:tcMar>
            <w:vAlign w:val="bottom"/>
          </w:tcPr>
          <w:p w14:paraId="71D463C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C6"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3C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3C8" w14:textId="77777777" w:rsidR="006A3667" w:rsidRDefault="00045F32">
            <w:pPr>
              <w:jc w:val="right"/>
              <w:textAlignment w:val="bottom"/>
            </w:pPr>
            <w:r>
              <w:rPr>
                <w:rFonts w:ascii="Arial" w:eastAsia="宋体" w:hAnsi="Arial" w:cs="Arial"/>
                <w:color w:val="000000"/>
                <w:sz w:val="14"/>
                <w:szCs w:val="14"/>
              </w:rPr>
              <w:t>612 </w:t>
            </w:r>
          </w:p>
        </w:tc>
        <w:tc>
          <w:tcPr>
            <w:tcW w:w="0" w:type="auto"/>
            <w:shd w:val="clear" w:color="auto" w:fill="FFFFFF"/>
            <w:tcMar>
              <w:top w:w="40" w:type="dxa"/>
              <w:left w:w="0" w:type="dxa"/>
              <w:bottom w:w="40" w:type="dxa"/>
              <w:right w:w="20" w:type="dxa"/>
            </w:tcMar>
            <w:vAlign w:val="bottom"/>
          </w:tcPr>
          <w:p w14:paraId="71D463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CA"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3C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3CC" w14:textId="77777777" w:rsidR="006A3667" w:rsidRDefault="00045F32">
            <w:pPr>
              <w:jc w:val="right"/>
              <w:textAlignment w:val="bottom"/>
            </w:pPr>
            <w:r>
              <w:rPr>
                <w:rFonts w:ascii="Arial" w:eastAsia="宋体" w:hAnsi="Arial" w:cs="Arial"/>
                <w:color w:val="000000"/>
                <w:sz w:val="14"/>
                <w:szCs w:val="14"/>
              </w:rPr>
              <w:t>100 </w:t>
            </w:r>
          </w:p>
        </w:tc>
        <w:tc>
          <w:tcPr>
            <w:tcW w:w="0" w:type="auto"/>
            <w:shd w:val="clear" w:color="auto" w:fill="FFFFFF"/>
            <w:tcMar>
              <w:top w:w="40" w:type="dxa"/>
              <w:left w:w="0" w:type="dxa"/>
              <w:bottom w:w="40" w:type="dxa"/>
              <w:right w:w="20" w:type="dxa"/>
            </w:tcMar>
            <w:vAlign w:val="bottom"/>
          </w:tcPr>
          <w:p w14:paraId="71D463C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C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3CF" w14:textId="77777777" w:rsidR="006A3667" w:rsidRDefault="00045F32">
            <w:pPr>
              <w:jc w:val="right"/>
              <w:textAlignment w:val="bottom"/>
            </w:pPr>
            <w:r>
              <w:rPr>
                <w:rFonts w:ascii="Arial" w:eastAsia="宋体" w:hAnsi="Arial" w:cs="Arial"/>
                <w:color w:val="000000"/>
                <w:sz w:val="14"/>
                <w:szCs w:val="14"/>
              </w:rPr>
              <w:t>331 </w:t>
            </w:r>
          </w:p>
        </w:tc>
        <w:tc>
          <w:tcPr>
            <w:tcW w:w="0" w:type="auto"/>
            <w:shd w:val="clear" w:color="auto" w:fill="FFFFFF"/>
            <w:tcMar>
              <w:top w:w="40" w:type="dxa"/>
              <w:left w:w="0" w:type="dxa"/>
              <w:bottom w:w="40" w:type="dxa"/>
              <w:right w:w="20" w:type="dxa"/>
            </w:tcMar>
            <w:vAlign w:val="bottom"/>
          </w:tcPr>
          <w:p w14:paraId="71D463D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D1"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3D2"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3D3" w14:textId="77777777" w:rsidR="006A3667" w:rsidRDefault="00045F32">
            <w:pPr>
              <w:jc w:val="right"/>
              <w:textAlignment w:val="bottom"/>
            </w:pPr>
            <w:r>
              <w:rPr>
                <w:rFonts w:ascii="Arial" w:eastAsia="宋体" w:hAnsi="Arial" w:cs="Arial"/>
                <w:color w:val="000000"/>
                <w:sz w:val="14"/>
                <w:szCs w:val="14"/>
              </w:rPr>
              <w:t>566 </w:t>
            </w:r>
          </w:p>
        </w:tc>
        <w:tc>
          <w:tcPr>
            <w:tcW w:w="0" w:type="auto"/>
            <w:shd w:val="clear" w:color="auto" w:fill="FFFFFF"/>
            <w:tcMar>
              <w:top w:w="40" w:type="dxa"/>
              <w:left w:w="0" w:type="dxa"/>
              <w:bottom w:w="40" w:type="dxa"/>
              <w:right w:w="20" w:type="dxa"/>
            </w:tcMar>
            <w:vAlign w:val="bottom"/>
          </w:tcPr>
          <w:p w14:paraId="71D463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D5" w14:textId="77777777" w:rsidR="006A3667" w:rsidRDefault="006A3667">
            <w:pPr>
              <w:rPr>
                <w:rFonts w:ascii="宋体"/>
              </w:rPr>
            </w:pPr>
          </w:p>
        </w:tc>
        <w:tc>
          <w:tcPr>
            <w:tcW w:w="0" w:type="auto"/>
            <w:shd w:val="clear" w:color="auto" w:fill="auto"/>
            <w:vAlign w:val="bottom"/>
          </w:tcPr>
          <w:p w14:paraId="71D463D6" w14:textId="77777777" w:rsidR="006A3667" w:rsidRDefault="006A3667">
            <w:pPr>
              <w:rPr>
                <w:rFonts w:ascii="宋体"/>
                <w:vanish/>
              </w:rPr>
            </w:pPr>
          </w:p>
        </w:tc>
        <w:tc>
          <w:tcPr>
            <w:tcW w:w="0" w:type="auto"/>
            <w:shd w:val="clear" w:color="auto" w:fill="auto"/>
            <w:vAlign w:val="bottom"/>
          </w:tcPr>
          <w:p w14:paraId="71D463D7" w14:textId="77777777" w:rsidR="006A3667" w:rsidRDefault="006A3667">
            <w:pPr>
              <w:rPr>
                <w:rFonts w:ascii="宋体"/>
                <w:vanish/>
              </w:rPr>
            </w:pPr>
          </w:p>
        </w:tc>
        <w:tc>
          <w:tcPr>
            <w:tcW w:w="0" w:type="auto"/>
            <w:shd w:val="clear" w:color="auto" w:fill="FFFFFF"/>
            <w:tcMar>
              <w:top w:w="40" w:type="dxa"/>
              <w:left w:w="20" w:type="dxa"/>
              <w:bottom w:w="40" w:type="dxa"/>
              <w:right w:w="0" w:type="dxa"/>
            </w:tcMar>
            <w:vAlign w:val="bottom"/>
          </w:tcPr>
          <w:p w14:paraId="71D463D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3D9" w14:textId="77777777" w:rsidR="006A3667" w:rsidRDefault="00045F32">
            <w:pPr>
              <w:jc w:val="right"/>
              <w:textAlignment w:val="bottom"/>
            </w:pPr>
            <w:r>
              <w:rPr>
                <w:rFonts w:ascii="Arial" w:eastAsia="宋体" w:hAnsi="Arial" w:cs="Arial"/>
                <w:color w:val="000000"/>
                <w:sz w:val="14"/>
                <w:szCs w:val="14"/>
              </w:rPr>
              <w:t>473 </w:t>
            </w:r>
          </w:p>
        </w:tc>
        <w:tc>
          <w:tcPr>
            <w:tcW w:w="0" w:type="auto"/>
            <w:shd w:val="clear" w:color="auto" w:fill="FFFFFF"/>
            <w:tcMar>
              <w:top w:w="40" w:type="dxa"/>
              <w:left w:w="0" w:type="dxa"/>
              <w:bottom w:w="40" w:type="dxa"/>
              <w:right w:w="20" w:type="dxa"/>
            </w:tcMar>
            <w:vAlign w:val="bottom"/>
          </w:tcPr>
          <w:p w14:paraId="71D463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DB"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3D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3D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3D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3DF"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3E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3E1" w14:textId="77777777" w:rsidR="006A3667" w:rsidRDefault="00045F32">
            <w:pPr>
              <w:jc w:val="right"/>
              <w:textAlignment w:val="bottom"/>
            </w:pPr>
            <w:r>
              <w:rPr>
                <w:rFonts w:ascii="Arial" w:eastAsia="宋体" w:hAnsi="Arial" w:cs="Arial"/>
                <w:color w:val="000000"/>
                <w:sz w:val="14"/>
                <w:szCs w:val="14"/>
              </w:rPr>
              <w:t>2,447 </w:t>
            </w:r>
          </w:p>
        </w:tc>
        <w:tc>
          <w:tcPr>
            <w:tcW w:w="0" w:type="auto"/>
            <w:shd w:val="clear" w:color="auto" w:fill="FFFFFF"/>
            <w:tcMar>
              <w:top w:w="40" w:type="dxa"/>
              <w:left w:w="0" w:type="dxa"/>
              <w:bottom w:w="40" w:type="dxa"/>
              <w:right w:w="20" w:type="dxa"/>
            </w:tcMar>
            <w:vAlign w:val="bottom"/>
          </w:tcPr>
          <w:p w14:paraId="71D463E2" w14:textId="77777777" w:rsidR="006A3667" w:rsidRDefault="006A3667">
            <w:pPr>
              <w:jc w:val="right"/>
              <w:rPr>
                <w:rFonts w:ascii="宋体"/>
              </w:rPr>
            </w:pPr>
          </w:p>
        </w:tc>
      </w:tr>
      <w:tr w:rsidR="006A3667" w14:paraId="71D463FE" w14:textId="77777777">
        <w:tc>
          <w:tcPr>
            <w:tcW w:w="0" w:type="auto"/>
            <w:gridSpan w:val="3"/>
            <w:shd w:val="clear" w:color="auto" w:fill="CCEEFF"/>
            <w:tcMar>
              <w:top w:w="40" w:type="dxa"/>
              <w:left w:w="380" w:type="dxa"/>
              <w:bottom w:w="40" w:type="dxa"/>
              <w:right w:w="20" w:type="dxa"/>
            </w:tcMar>
            <w:vAlign w:val="bottom"/>
          </w:tcPr>
          <w:p w14:paraId="71D463E4" w14:textId="77777777" w:rsidR="006A3667" w:rsidRDefault="00045F32">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71D463E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3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E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E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3E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E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EB" w14:textId="77777777" w:rsidR="006A3667" w:rsidRDefault="00045F32">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71D463E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E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EE" w14:textId="77777777" w:rsidR="006A3667" w:rsidRDefault="00045F32">
            <w:pPr>
              <w:jc w:val="right"/>
              <w:textAlignment w:val="bottom"/>
            </w:pPr>
            <w:r>
              <w:rPr>
                <w:rFonts w:ascii="Arial" w:eastAsia="宋体" w:hAnsi="Arial" w:cs="Arial"/>
                <w:color w:val="000000"/>
                <w:sz w:val="14"/>
                <w:szCs w:val="14"/>
              </w:rPr>
              <w:t>197 </w:t>
            </w:r>
          </w:p>
        </w:tc>
        <w:tc>
          <w:tcPr>
            <w:tcW w:w="0" w:type="auto"/>
            <w:shd w:val="clear" w:color="auto" w:fill="CCEEFF"/>
            <w:tcMar>
              <w:top w:w="40" w:type="dxa"/>
              <w:left w:w="0" w:type="dxa"/>
              <w:bottom w:w="40" w:type="dxa"/>
              <w:right w:w="20" w:type="dxa"/>
            </w:tcMar>
            <w:vAlign w:val="bottom"/>
          </w:tcPr>
          <w:p w14:paraId="71D463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F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F1" w14:textId="77777777" w:rsidR="006A3667" w:rsidRDefault="00045F32">
            <w:pPr>
              <w:jc w:val="right"/>
              <w:textAlignment w:val="bottom"/>
            </w:pPr>
            <w:r>
              <w:rPr>
                <w:rFonts w:ascii="Arial" w:eastAsia="宋体" w:hAnsi="Arial" w:cs="Arial"/>
                <w:color w:val="000000"/>
                <w:sz w:val="14"/>
                <w:szCs w:val="14"/>
              </w:rPr>
              <w:t>111 </w:t>
            </w:r>
          </w:p>
        </w:tc>
        <w:tc>
          <w:tcPr>
            <w:tcW w:w="0" w:type="auto"/>
            <w:shd w:val="clear" w:color="auto" w:fill="CCEEFF"/>
            <w:tcMar>
              <w:top w:w="40" w:type="dxa"/>
              <w:left w:w="0" w:type="dxa"/>
              <w:bottom w:w="40" w:type="dxa"/>
              <w:right w:w="20" w:type="dxa"/>
            </w:tcMar>
            <w:vAlign w:val="bottom"/>
          </w:tcPr>
          <w:p w14:paraId="71D463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F3" w14:textId="77777777" w:rsidR="006A3667" w:rsidRDefault="006A3667">
            <w:pPr>
              <w:rPr>
                <w:rFonts w:ascii="宋体"/>
              </w:rPr>
            </w:pPr>
          </w:p>
        </w:tc>
        <w:tc>
          <w:tcPr>
            <w:tcW w:w="0" w:type="auto"/>
            <w:shd w:val="clear" w:color="auto" w:fill="auto"/>
            <w:vAlign w:val="bottom"/>
          </w:tcPr>
          <w:p w14:paraId="71D463F4" w14:textId="77777777" w:rsidR="006A3667" w:rsidRDefault="006A3667">
            <w:pPr>
              <w:rPr>
                <w:rFonts w:ascii="宋体"/>
                <w:vanish/>
              </w:rPr>
            </w:pPr>
          </w:p>
        </w:tc>
        <w:tc>
          <w:tcPr>
            <w:tcW w:w="0" w:type="auto"/>
            <w:shd w:val="clear" w:color="auto" w:fill="auto"/>
            <w:vAlign w:val="bottom"/>
          </w:tcPr>
          <w:p w14:paraId="71D463F5"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63F6" w14:textId="77777777" w:rsidR="006A3667" w:rsidRDefault="00045F32">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71D463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F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F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3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3F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3FC" w14:textId="77777777" w:rsidR="006A3667" w:rsidRDefault="00045F32">
            <w:pPr>
              <w:jc w:val="right"/>
              <w:textAlignment w:val="bottom"/>
            </w:pPr>
            <w:r>
              <w:rPr>
                <w:rFonts w:ascii="Arial" w:eastAsia="宋体" w:hAnsi="Arial" w:cs="Arial"/>
                <w:color w:val="000000"/>
                <w:sz w:val="14"/>
                <w:szCs w:val="14"/>
              </w:rPr>
              <w:t>385 </w:t>
            </w:r>
          </w:p>
        </w:tc>
        <w:tc>
          <w:tcPr>
            <w:tcW w:w="0" w:type="auto"/>
            <w:shd w:val="clear" w:color="auto" w:fill="CCEEFF"/>
            <w:tcMar>
              <w:top w:w="40" w:type="dxa"/>
              <w:left w:w="0" w:type="dxa"/>
              <w:bottom w:w="40" w:type="dxa"/>
              <w:right w:w="20" w:type="dxa"/>
            </w:tcMar>
            <w:vAlign w:val="bottom"/>
          </w:tcPr>
          <w:p w14:paraId="71D463FD" w14:textId="77777777" w:rsidR="006A3667" w:rsidRDefault="006A3667">
            <w:pPr>
              <w:jc w:val="right"/>
              <w:rPr>
                <w:rFonts w:ascii="宋体"/>
              </w:rPr>
            </w:pPr>
          </w:p>
        </w:tc>
      </w:tr>
      <w:tr w:rsidR="006A3667" w14:paraId="71D46419" w14:textId="77777777">
        <w:tc>
          <w:tcPr>
            <w:tcW w:w="0" w:type="auto"/>
            <w:gridSpan w:val="3"/>
            <w:shd w:val="clear" w:color="auto" w:fill="FFFFFF"/>
            <w:tcMar>
              <w:top w:w="40" w:type="dxa"/>
              <w:left w:w="380" w:type="dxa"/>
              <w:bottom w:w="40" w:type="dxa"/>
              <w:right w:w="20" w:type="dxa"/>
            </w:tcMar>
            <w:vAlign w:val="bottom"/>
          </w:tcPr>
          <w:p w14:paraId="71D463FF" w14:textId="77777777" w:rsidR="006A3667" w:rsidRDefault="00045F32">
            <w:pPr>
              <w:textAlignment w:val="bottom"/>
            </w:pPr>
            <w:r>
              <w:rPr>
                <w:rFonts w:ascii="Arial" w:eastAsia="宋体" w:hAnsi="Arial" w:cs="Arial"/>
                <w:color w:val="000000"/>
                <w:sz w:val="14"/>
                <w:szCs w:val="14"/>
              </w:rPr>
              <w:t>Special mention</w:t>
            </w:r>
          </w:p>
        </w:tc>
        <w:tc>
          <w:tcPr>
            <w:tcW w:w="0" w:type="auto"/>
            <w:gridSpan w:val="2"/>
            <w:shd w:val="clear" w:color="auto" w:fill="FFFFFF"/>
            <w:tcMar>
              <w:top w:w="40" w:type="dxa"/>
              <w:left w:w="20" w:type="dxa"/>
              <w:bottom w:w="40" w:type="dxa"/>
              <w:right w:w="0" w:type="dxa"/>
            </w:tcMar>
            <w:vAlign w:val="bottom"/>
          </w:tcPr>
          <w:p w14:paraId="71D4640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40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0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0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4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0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4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0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09" w14:textId="77777777" w:rsidR="006A3667" w:rsidRDefault="00045F32">
            <w:pPr>
              <w:jc w:val="right"/>
              <w:textAlignment w:val="bottom"/>
            </w:pPr>
            <w:r>
              <w:rPr>
                <w:rFonts w:ascii="Arial" w:eastAsia="宋体" w:hAnsi="Arial" w:cs="Arial"/>
                <w:color w:val="000000"/>
                <w:sz w:val="14"/>
                <w:szCs w:val="14"/>
              </w:rPr>
              <w:t>49 </w:t>
            </w:r>
          </w:p>
        </w:tc>
        <w:tc>
          <w:tcPr>
            <w:tcW w:w="0" w:type="auto"/>
            <w:shd w:val="clear" w:color="auto" w:fill="FFFFFF"/>
            <w:tcMar>
              <w:top w:w="40" w:type="dxa"/>
              <w:left w:w="0" w:type="dxa"/>
              <w:bottom w:w="40" w:type="dxa"/>
              <w:right w:w="20" w:type="dxa"/>
            </w:tcMar>
            <w:vAlign w:val="bottom"/>
          </w:tcPr>
          <w:p w14:paraId="71D464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0C" w14:textId="77777777" w:rsidR="006A3667" w:rsidRDefault="00045F32">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71D464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0E" w14:textId="77777777" w:rsidR="006A3667" w:rsidRDefault="006A3667">
            <w:pPr>
              <w:rPr>
                <w:rFonts w:ascii="宋体"/>
              </w:rPr>
            </w:pPr>
          </w:p>
        </w:tc>
        <w:tc>
          <w:tcPr>
            <w:tcW w:w="0" w:type="auto"/>
            <w:shd w:val="clear" w:color="auto" w:fill="auto"/>
            <w:vAlign w:val="bottom"/>
          </w:tcPr>
          <w:p w14:paraId="71D4640F" w14:textId="77777777" w:rsidR="006A3667" w:rsidRDefault="006A3667">
            <w:pPr>
              <w:rPr>
                <w:rFonts w:ascii="宋体"/>
                <w:vanish/>
              </w:rPr>
            </w:pPr>
          </w:p>
        </w:tc>
        <w:tc>
          <w:tcPr>
            <w:tcW w:w="0" w:type="auto"/>
            <w:shd w:val="clear" w:color="auto" w:fill="auto"/>
            <w:vAlign w:val="bottom"/>
          </w:tcPr>
          <w:p w14:paraId="71D46410"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41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4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1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4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17" w14:textId="77777777" w:rsidR="006A3667" w:rsidRDefault="00045F32">
            <w:pPr>
              <w:jc w:val="right"/>
              <w:textAlignment w:val="bottom"/>
            </w:pPr>
            <w:r>
              <w:rPr>
                <w:rFonts w:ascii="Arial" w:eastAsia="宋体" w:hAnsi="Arial" w:cs="Arial"/>
                <w:color w:val="000000"/>
                <w:sz w:val="14"/>
                <w:szCs w:val="14"/>
              </w:rPr>
              <w:t>89 </w:t>
            </w:r>
          </w:p>
        </w:tc>
        <w:tc>
          <w:tcPr>
            <w:tcW w:w="0" w:type="auto"/>
            <w:shd w:val="clear" w:color="auto" w:fill="FFFFFF"/>
            <w:tcMar>
              <w:top w:w="40" w:type="dxa"/>
              <w:left w:w="0" w:type="dxa"/>
              <w:bottom w:w="40" w:type="dxa"/>
              <w:right w:w="20" w:type="dxa"/>
            </w:tcMar>
            <w:vAlign w:val="bottom"/>
          </w:tcPr>
          <w:p w14:paraId="71D46418" w14:textId="77777777" w:rsidR="006A3667" w:rsidRDefault="006A3667">
            <w:pPr>
              <w:jc w:val="right"/>
              <w:rPr>
                <w:rFonts w:ascii="宋体"/>
              </w:rPr>
            </w:pPr>
          </w:p>
        </w:tc>
      </w:tr>
      <w:tr w:rsidR="006A3667" w14:paraId="71D4642C" w14:textId="77777777">
        <w:trPr>
          <w:hidden/>
        </w:trPr>
        <w:tc>
          <w:tcPr>
            <w:tcW w:w="0" w:type="auto"/>
            <w:gridSpan w:val="3"/>
            <w:shd w:val="clear" w:color="auto" w:fill="auto"/>
            <w:vAlign w:val="bottom"/>
          </w:tcPr>
          <w:p w14:paraId="71D4641A" w14:textId="77777777" w:rsidR="006A3667" w:rsidRDefault="006A3667">
            <w:pPr>
              <w:rPr>
                <w:rFonts w:ascii="宋体"/>
                <w:vanish/>
              </w:rPr>
            </w:pPr>
          </w:p>
        </w:tc>
        <w:tc>
          <w:tcPr>
            <w:tcW w:w="0" w:type="auto"/>
            <w:gridSpan w:val="3"/>
            <w:shd w:val="clear" w:color="auto" w:fill="auto"/>
            <w:vAlign w:val="bottom"/>
          </w:tcPr>
          <w:p w14:paraId="71D4641B" w14:textId="77777777" w:rsidR="006A3667" w:rsidRDefault="006A3667">
            <w:pPr>
              <w:rPr>
                <w:rFonts w:ascii="宋体"/>
                <w:vanish/>
              </w:rPr>
            </w:pPr>
          </w:p>
        </w:tc>
        <w:tc>
          <w:tcPr>
            <w:tcW w:w="0" w:type="auto"/>
            <w:gridSpan w:val="3"/>
            <w:shd w:val="clear" w:color="auto" w:fill="auto"/>
            <w:vAlign w:val="bottom"/>
          </w:tcPr>
          <w:p w14:paraId="71D4641C" w14:textId="77777777" w:rsidR="006A3667" w:rsidRDefault="006A3667">
            <w:pPr>
              <w:rPr>
                <w:rFonts w:ascii="宋体"/>
                <w:vanish/>
              </w:rPr>
            </w:pPr>
          </w:p>
        </w:tc>
        <w:tc>
          <w:tcPr>
            <w:tcW w:w="0" w:type="auto"/>
            <w:gridSpan w:val="3"/>
            <w:shd w:val="clear" w:color="auto" w:fill="auto"/>
            <w:vAlign w:val="bottom"/>
          </w:tcPr>
          <w:p w14:paraId="71D4641D" w14:textId="77777777" w:rsidR="006A3667" w:rsidRDefault="006A3667">
            <w:pPr>
              <w:rPr>
                <w:rFonts w:ascii="宋体"/>
                <w:vanish/>
              </w:rPr>
            </w:pPr>
          </w:p>
        </w:tc>
        <w:tc>
          <w:tcPr>
            <w:tcW w:w="0" w:type="auto"/>
            <w:gridSpan w:val="3"/>
            <w:shd w:val="clear" w:color="auto" w:fill="auto"/>
            <w:vAlign w:val="bottom"/>
          </w:tcPr>
          <w:p w14:paraId="71D4641E" w14:textId="77777777" w:rsidR="006A3667" w:rsidRDefault="006A3667">
            <w:pPr>
              <w:rPr>
                <w:rFonts w:ascii="宋体"/>
                <w:vanish/>
              </w:rPr>
            </w:pPr>
          </w:p>
        </w:tc>
        <w:tc>
          <w:tcPr>
            <w:tcW w:w="0" w:type="auto"/>
            <w:gridSpan w:val="3"/>
            <w:shd w:val="clear" w:color="auto" w:fill="auto"/>
            <w:vAlign w:val="bottom"/>
          </w:tcPr>
          <w:p w14:paraId="71D4641F" w14:textId="77777777" w:rsidR="006A3667" w:rsidRDefault="006A3667">
            <w:pPr>
              <w:rPr>
                <w:rFonts w:ascii="宋体"/>
                <w:vanish/>
              </w:rPr>
            </w:pPr>
          </w:p>
        </w:tc>
        <w:tc>
          <w:tcPr>
            <w:tcW w:w="0" w:type="auto"/>
            <w:gridSpan w:val="3"/>
            <w:shd w:val="clear" w:color="auto" w:fill="auto"/>
            <w:vAlign w:val="bottom"/>
          </w:tcPr>
          <w:p w14:paraId="71D46420" w14:textId="77777777" w:rsidR="006A3667" w:rsidRDefault="006A3667">
            <w:pPr>
              <w:rPr>
                <w:rFonts w:ascii="宋体"/>
                <w:vanish/>
              </w:rPr>
            </w:pPr>
          </w:p>
        </w:tc>
        <w:tc>
          <w:tcPr>
            <w:tcW w:w="0" w:type="auto"/>
            <w:gridSpan w:val="3"/>
            <w:shd w:val="clear" w:color="auto" w:fill="auto"/>
            <w:vAlign w:val="bottom"/>
          </w:tcPr>
          <w:p w14:paraId="71D46421" w14:textId="77777777" w:rsidR="006A3667" w:rsidRDefault="006A3667">
            <w:pPr>
              <w:rPr>
                <w:rFonts w:ascii="宋体"/>
                <w:vanish/>
              </w:rPr>
            </w:pPr>
          </w:p>
        </w:tc>
        <w:tc>
          <w:tcPr>
            <w:tcW w:w="0" w:type="auto"/>
            <w:gridSpan w:val="3"/>
            <w:shd w:val="clear" w:color="auto" w:fill="auto"/>
            <w:vAlign w:val="bottom"/>
          </w:tcPr>
          <w:p w14:paraId="71D46422" w14:textId="77777777" w:rsidR="006A3667" w:rsidRDefault="006A3667">
            <w:pPr>
              <w:rPr>
                <w:rFonts w:ascii="宋体"/>
                <w:vanish/>
              </w:rPr>
            </w:pPr>
          </w:p>
        </w:tc>
        <w:tc>
          <w:tcPr>
            <w:tcW w:w="0" w:type="auto"/>
            <w:gridSpan w:val="3"/>
            <w:shd w:val="clear" w:color="auto" w:fill="auto"/>
            <w:vAlign w:val="bottom"/>
          </w:tcPr>
          <w:p w14:paraId="71D46423" w14:textId="77777777" w:rsidR="006A3667" w:rsidRDefault="006A3667">
            <w:pPr>
              <w:rPr>
                <w:rFonts w:ascii="宋体"/>
                <w:vanish/>
              </w:rPr>
            </w:pPr>
          </w:p>
        </w:tc>
        <w:tc>
          <w:tcPr>
            <w:tcW w:w="0" w:type="auto"/>
            <w:gridSpan w:val="3"/>
            <w:shd w:val="clear" w:color="auto" w:fill="auto"/>
            <w:vAlign w:val="bottom"/>
          </w:tcPr>
          <w:p w14:paraId="71D46424" w14:textId="77777777" w:rsidR="006A3667" w:rsidRDefault="006A3667">
            <w:pPr>
              <w:rPr>
                <w:rFonts w:ascii="宋体"/>
                <w:vanish/>
              </w:rPr>
            </w:pPr>
          </w:p>
        </w:tc>
        <w:tc>
          <w:tcPr>
            <w:tcW w:w="0" w:type="auto"/>
            <w:shd w:val="clear" w:color="auto" w:fill="auto"/>
            <w:vAlign w:val="bottom"/>
          </w:tcPr>
          <w:p w14:paraId="71D46425" w14:textId="77777777" w:rsidR="006A3667" w:rsidRDefault="006A3667">
            <w:pPr>
              <w:rPr>
                <w:rFonts w:ascii="宋体"/>
                <w:vanish/>
              </w:rPr>
            </w:pPr>
          </w:p>
        </w:tc>
        <w:tc>
          <w:tcPr>
            <w:tcW w:w="0" w:type="auto"/>
            <w:shd w:val="clear" w:color="auto" w:fill="auto"/>
            <w:vAlign w:val="bottom"/>
          </w:tcPr>
          <w:p w14:paraId="71D46426" w14:textId="77777777" w:rsidR="006A3667" w:rsidRDefault="006A3667">
            <w:pPr>
              <w:rPr>
                <w:rFonts w:ascii="宋体"/>
                <w:vanish/>
              </w:rPr>
            </w:pPr>
          </w:p>
        </w:tc>
        <w:tc>
          <w:tcPr>
            <w:tcW w:w="0" w:type="auto"/>
            <w:gridSpan w:val="3"/>
            <w:shd w:val="clear" w:color="auto" w:fill="auto"/>
            <w:vAlign w:val="bottom"/>
          </w:tcPr>
          <w:p w14:paraId="71D46427" w14:textId="77777777" w:rsidR="006A3667" w:rsidRDefault="006A3667">
            <w:pPr>
              <w:rPr>
                <w:rFonts w:ascii="宋体"/>
                <w:vanish/>
              </w:rPr>
            </w:pPr>
          </w:p>
        </w:tc>
        <w:tc>
          <w:tcPr>
            <w:tcW w:w="0" w:type="auto"/>
            <w:gridSpan w:val="3"/>
            <w:shd w:val="clear" w:color="auto" w:fill="auto"/>
            <w:vAlign w:val="bottom"/>
          </w:tcPr>
          <w:p w14:paraId="71D46428" w14:textId="77777777" w:rsidR="006A3667" w:rsidRDefault="006A3667">
            <w:pPr>
              <w:rPr>
                <w:rFonts w:ascii="宋体"/>
                <w:vanish/>
              </w:rPr>
            </w:pPr>
          </w:p>
        </w:tc>
        <w:tc>
          <w:tcPr>
            <w:tcW w:w="0" w:type="auto"/>
            <w:gridSpan w:val="3"/>
            <w:shd w:val="clear" w:color="auto" w:fill="auto"/>
            <w:vAlign w:val="bottom"/>
          </w:tcPr>
          <w:p w14:paraId="71D46429" w14:textId="77777777" w:rsidR="006A3667" w:rsidRDefault="006A3667">
            <w:pPr>
              <w:rPr>
                <w:rFonts w:ascii="宋体"/>
                <w:vanish/>
              </w:rPr>
            </w:pPr>
          </w:p>
        </w:tc>
        <w:tc>
          <w:tcPr>
            <w:tcW w:w="0" w:type="auto"/>
            <w:gridSpan w:val="3"/>
            <w:shd w:val="clear" w:color="auto" w:fill="auto"/>
            <w:vAlign w:val="bottom"/>
          </w:tcPr>
          <w:p w14:paraId="71D4642A" w14:textId="77777777" w:rsidR="006A3667" w:rsidRDefault="006A3667">
            <w:pPr>
              <w:rPr>
                <w:rFonts w:ascii="宋体"/>
                <w:vanish/>
              </w:rPr>
            </w:pPr>
          </w:p>
        </w:tc>
        <w:tc>
          <w:tcPr>
            <w:tcW w:w="0" w:type="auto"/>
            <w:gridSpan w:val="3"/>
            <w:shd w:val="clear" w:color="auto" w:fill="auto"/>
            <w:vAlign w:val="bottom"/>
          </w:tcPr>
          <w:p w14:paraId="71D4642B" w14:textId="77777777" w:rsidR="006A3667" w:rsidRDefault="006A3667">
            <w:pPr>
              <w:rPr>
                <w:rFonts w:ascii="宋体"/>
                <w:vanish/>
              </w:rPr>
            </w:pPr>
          </w:p>
        </w:tc>
      </w:tr>
      <w:tr w:rsidR="006A3667" w14:paraId="71D4643F" w14:textId="77777777">
        <w:trPr>
          <w:hidden/>
        </w:trPr>
        <w:tc>
          <w:tcPr>
            <w:tcW w:w="0" w:type="auto"/>
            <w:gridSpan w:val="3"/>
            <w:shd w:val="clear" w:color="auto" w:fill="auto"/>
            <w:vAlign w:val="bottom"/>
          </w:tcPr>
          <w:p w14:paraId="71D4642D" w14:textId="77777777" w:rsidR="006A3667" w:rsidRDefault="006A3667">
            <w:pPr>
              <w:rPr>
                <w:rFonts w:ascii="宋体"/>
                <w:vanish/>
              </w:rPr>
            </w:pPr>
          </w:p>
        </w:tc>
        <w:tc>
          <w:tcPr>
            <w:tcW w:w="0" w:type="auto"/>
            <w:gridSpan w:val="3"/>
            <w:shd w:val="clear" w:color="auto" w:fill="auto"/>
            <w:vAlign w:val="bottom"/>
          </w:tcPr>
          <w:p w14:paraId="71D4642E" w14:textId="77777777" w:rsidR="006A3667" w:rsidRDefault="006A3667">
            <w:pPr>
              <w:rPr>
                <w:rFonts w:ascii="宋体"/>
                <w:vanish/>
              </w:rPr>
            </w:pPr>
          </w:p>
        </w:tc>
        <w:tc>
          <w:tcPr>
            <w:tcW w:w="0" w:type="auto"/>
            <w:gridSpan w:val="3"/>
            <w:shd w:val="clear" w:color="auto" w:fill="auto"/>
            <w:vAlign w:val="bottom"/>
          </w:tcPr>
          <w:p w14:paraId="71D4642F" w14:textId="77777777" w:rsidR="006A3667" w:rsidRDefault="006A3667">
            <w:pPr>
              <w:rPr>
                <w:rFonts w:ascii="宋体"/>
                <w:vanish/>
              </w:rPr>
            </w:pPr>
          </w:p>
        </w:tc>
        <w:tc>
          <w:tcPr>
            <w:tcW w:w="0" w:type="auto"/>
            <w:gridSpan w:val="3"/>
            <w:shd w:val="clear" w:color="auto" w:fill="auto"/>
            <w:vAlign w:val="bottom"/>
          </w:tcPr>
          <w:p w14:paraId="71D46430" w14:textId="77777777" w:rsidR="006A3667" w:rsidRDefault="006A3667">
            <w:pPr>
              <w:rPr>
                <w:rFonts w:ascii="宋体"/>
                <w:vanish/>
              </w:rPr>
            </w:pPr>
          </w:p>
        </w:tc>
        <w:tc>
          <w:tcPr>
            <w:tcW w:w="0" w:type="auto"/>
            <w:gridSpan w:val="3"/>
            <w:shd w:val="clear" w:color="auto" w:fill="auto"/>
            <w:vAlign w:val="bottom"/>
          </w:tcPr>
          <w:p w14:paraId="71D46431" w14:textId="77777777" w:rsidR="006A3667" w:rsidRDefault="006A3667">
            <w:pPr>
              <w:rPr>
                <w:rFonts w:ascii="宋体"/>
                <w:vanish/>
              </w:rPr>
            </w:pPr>
          </w:p>
        </w:tc>
        <w:tc>
          <w:tcPr>
            <w:tcW w:w="0" w:type="auto"/>
            <w:gridSpan w:val="3"/>
            <w:shd w:val="clear" w:color="auto" w:fill="auto"/>
            <w:vAlign w:val="bottom"/>
          </w:tcPr>
          <w:p w14:paraId="71D46432" w14:textId="77777777" w:rsidR="006A3667" w:rsidRDefault="006A3667">
            <w:pPr>
              <w:rPr>
                <w:rFonts w:ascii="宋体"/>
                <w:vanish/>
              </w:rPr>
            </w:pPr>
          </w:p>
        </w:tc>
        <w:tc>
          <w:tcPr>
            <w:tcW w:w="0" w:type="auto"/>
            <w:gridSpan w:val="3"/>
            <w:shd w:val="clear" w:color="auto" w:fill="auto"/>
            <w:vAlign w:val="bottom"/>
          </w:tcPr>
          <w:p w14:paraId="71D46433" w14:textId="77777777" w:rsidR="006A3667" w:rsidRDefault="006A3667">
            <w:pPr>
              <w:rPr>
                <w:rFonts w:ascii="宋体"/>
                <w:vanish/>
              </w:rPr>
            </w:pPr>
          </w:p>
        </w:tc>
        <w:tc>
          <w:tcPr>
            <w:tcW w:w="0" w:type="auto"/>
            <w:gridSpan w:val="3"/>
            <w:shd w:val="clear" w:color="auto" w:fill="auto"/>
            <w:vAlign w:val="bottom"/>
          </w:tcPr>
          <w:p w14:paraId="71D46434" w14:textId="77777777" w:rsidR="006A3667" w:rsidRDefault="006A3667">
            <w:pPr>
              <w:rPr>
                <w:rFonts w:ascii="宋体"/>
                <w:vanish/>
              </w:rPr>
            </w:pPr>
          </w:p>
        </w:tc>
        <w:tc>
          <w:tcPr>
            <w:tcW w:w="0" w:type="auto"/>
            <w:gridSpan w:val="3"/>
            <w:shd w:val="clear" w:color="auto" w:fill="auto"/>
            <w:vAlign w:val="bottom"/>
          </w:tcPr>
          <w:p w14:paraId="71D46435" w14:textId="77777777" w:rsidR="006A3667" w:rsidRDefault="006A3667">
            <w:pPr>
              <w:rPr>
                <w:rFonts w:ascii="宋体"/>
                <w:vanish/>
              </w:rPr>
            </w:pPr>
          </w:p>
        </w:tc>
        <w:tc>
          <w:tcPr>
            <w:tcW w:w="0" w:type="auto"/>
            <w:gridSpan w:val="3"/>
            <w:shd w:val="clear" w:color="auto" w:fill="auto"/>
            <w:vAlign w:val="bottom"/>
          </w:tcPr>
          <w:p w14:paraId="71D46436" w14:textId="77777777" w:rsidR="006A3667" w:rsidRDefault="006A3667">
            <w:pPr>
              <w:rPr>
                <w:rFonts w:ascii="宋体"/>
                <w:vanish/>
              </w:rPr>
            </w:pPr>
          </w:p>
        </w:tc>
        <w:tc>
          <w:tcPr>
            <w:tcW w:w="0" w:type="auto"/>
            <w:gridSpan w:val="3"/>
            <w:shd w:val="clear" w:color="auto" w:fill="auto"/>
            <w:vAlign w:val="bottom"/>
          </w:tcPr>
          <w:p w14:paraId="71D46437" w14:textId="77777777" w:rsidR="006A3667" w:rsidRDefault="006A3667">
            <w:pPr>
              <w:rPr>
                <w:rFonts w:ascii="宋体"/>
                <w:vanish/>
              </w:rPr>
            </w:pPr>
          </w:p>
        </w:tc>
        <w:tc>
          <w:tcPr>
            <w:tcW w:w="0" w:type="auto"/>
            <w:shd w:val="clear" w:color="auto" w:fill="auto"/>
            <w:vAlign w:val="bottom"/>
          </w:tcPr>
          <w:p w14:paraId="71D46438" w14:textId="77777777" w:rsidR="006A3667" w:rsidRDefault="006A3667">
            <w:pPr>
              <w:rPr>
                <w:rFonts w:ascii="宋体"/>
                <w:vanish/>
              </w:rPr>
            </w:pPr>
          </w:p>
        </w:tc>
        <w:tc>
          <w:tcPr>
            <w:tcW w:w="0" w:type="auto"/>
            <w:shd w:val="clear" w:color="auto" w:fill="auto"/>
            <w:vAlign w:val="bottom"/>
          </w:tcPr>
          <w:p w14:paraId="71D46439" w14:textId="77777777" w:rsidR="006A3667" w:rsidRDefault="006A3667">
            <w:pPr>
              <w:rPr>
                <w:rFonts w:ascii="宋体"/>
                <w:vanish/>
              </w:rPr>
            </w:pPr>
          </w:p>
        </w:tc>
        <w:tc>
          <w:tcPr>
            <w:tcW w:w="0" w:type="auto"/>
            <w:gridSpan w:val="3"/>
            <w:shd w:val="clear" w:color="auto" w:fill="auto"/>
            <w:vAlign w:val="bottom"/>
          </w:tcPr>
          <w:p w14:paraId="71D4643A" w14:textId="77777777" w:rsidR="006A3667" w:rsidRDefault="006A3667">
            <w:pPr>
              <w:rPr>
                <w:rFonts w:ascii="宋体"/>
                <w:vanish/>
              </w:rPr>
            </w:pPr>
          </w:p>
        </w:tc>
        <w:tc>
          <w:tcPr>
            <w:tcW w:w="0" w:type="auto"/>
            <w:gridSpan w:val="3"/>
            <w:shd w:val="clear" w:color="auto" w:fill="auto"/>
            <w:vAlign w:val="bottom"/>
          </w:tcPr>
          <w:p w14:paraId="71D4643B" w14:textId="77777777" w:rsidR="006A3667" w:rsidRDefault="006A3667">
            <w:pPr>
              <w:rPr>
                <w:rFonts w:ascii="宋体"/>
                <w:vanish/>
              </w:rPr>
            </w:pPr>
          </w:p>
        </w:tc>
        <w:tc>
          <w:tcPr>
            <w:tcW w:w="0" w:type="auto"/>
            <w:gridSpan w:val="3"/>
            <w:shd w:val="clear" w:color="auto" w:fill="auto"/>
            <w:vAlign w:val="bottom"/>
          </w:tcPr>
          <w:p w14:paraId="71D4643C" w14:textId="77777777" w:rsidR="006A3667" w:rsidRDefault="006A3667">
            <w:pPr>
              <w:rPr>
                <w:rFonts w:ascii="宋体"/>
                <w:vanish/>
              </w:rPr>
            </w:pPr>
          </w:p>
        </w:tc>
        <w:tc>
          <w:tcPr>
            <w:tcW w:w="0" w:type="auto"/>
            <w:gridSpan w:val="3"/>
            <w:shd w:val="clear" w:color="auto" w:fill="auto"/>
            <w:vAlign w:val="bottom"/>
          </w:tcPr>
          <w:p w14:paraId="71D4643D" w14:textId="77777777" w:rsidR="006A3667" w:rsidRDefault="006A3667">
            <w:pPr>
              <w:rPr>
                <w:rFonts w:ascii="宋体"/>
                <w:vanish/>
              </w:rPr>
            </w:pPr>
          </w:p>
        </w:tc>
        <w:tc>
          <w:tcPr>
            <w:tcW w:w="0" w:type="auto"/>
            <w:gridSpan w:val="3"/>
            <w:shd w:val="clear" w:color="auto" w:fill="auto"/>
            <w:vAlign w:val="bottom"/>
          </w:tcPr>
          <w:p w14:paraId="71D4643E" w14:textId="77777777" w:rsidR="006A3667" w:rsidRDefault="006A3667">
            <w:pPr>
              <w:rPr>
                <w:rFonts w:ascii="宋体"/>
                <w:vanish/>
              </w:rPr>
            </w:pPr>
          </w:p>
        </w:tc>
      </w:tr>
      <w:tr w:rsidR="006A3667" w14:paraId="71D46452" w14:textId="77777777">
        <w:trPr>
          <w:hidden/>
        </w:trPr>
        <w:tc>
          <w:tcPr>
            <w:tcW w:w="0" w:type="auto"/>
            <w:gridSpan w:val="3"/>
            <w:shd w:val="clear" w:color="auto" w:fill="auto"/>
            <w:vAlign w:val="bottom"/>
          </w:tcPr>
          <w:p w14:paraId="71D46440" w14:textId="77777777" w:rsidR="006A3667" w:rsidRDefault="006A3667">
            <w:pPr>
              <w:rPr>
                <w:rFonts w:ascii="宋体"/>
                <w:vanish/>
              </w:rPr>
            </w:pPr>
          </w:p>
        </w:tc>
        <w:tc>
          <w:tcPr>
            <w:tcW w:w="0" w:type="auto"/>
            <w:gridSpan w:val="3"/>
            <w:shd w:val="clear" w:color="auto" w:fill="auto"/>
            <w:vAlign w:val="bottom"/>
          </w:tcPr>
          <w:p w14:paraId="71D46441" w14:textId="77777777" w:rsidR="006A3667" w:rsidRDefault="006A3667">
            <w:pPr>
              <w:rPr>
                <w:rFonts w:ascii="宋体"/>
                <w:vanish/>
              </w:rPr>
            </w:pPr>
          </w:p>
        </w:tc>
        <w:tc>
          <w:tcPr>
            <w:tcW w:w="0" w:type="auto"/>
            <w:gridSpan w:val="3"/>
            <w:shd w:val="clear" w:color="auto" w:fill="auto"/>
            <w:vAlign w:val="bottom"/>
          </w:tcPr>
          <w:p w14:paraId="71D46442" w14:textId="77777777" w:rsidR="006A3667" w:rsidRDefault="006A3667">
            <w:pPr>
              <w:rPr>
                <w:rFonts w:ascii="宋体"/>
                <w:vanish/>
              </w:rPr>
            </w:pPr>
          </w:p>
        </w:tc>
        <w:tc>
          <w:tcPr>
            <w:tcW w:w="0" w:type="auto"/>
            <w:gridSpan w:val="3"/>
            <w:shd w:val="clear" w:color="auto" w:fill="auto"/>
            <w:vAlign w:val="bottom"/>
          </w:tcPr>
          <w:p w14:paraId="71D46443" w14:textId="77777777" w:rsidR="006A3667" w:rsidRDefault="006A3667">
            <w:pPr>
              <w:rPr>
                <w:rFonts w:ascii="宋体"/>
                <w:vanish/>
              </w:rPr>
            </w:pPr>
          </w:p>
        </w:tc>
        <w:tc>
          <w:tcPr>
            <w:tcW w:w="0" w:type="auto"/>
            <w:gridSpan w:val="3"/>
            <w:shd w:val="clear" w:color="auto" w:fill="auto"/>
            <w:vAlign w:val="bottom"/>
          </w:tcPr>
          <w:p w14:paraId="71D46444" w14:textId="77777777" w:rsidR="006A3667" w:rsidRDefault="006A3667">
            <w:pPr>
              <w:rPr>
                <w:rFonts w:ascii="宋体"/>
                <w:vanish/>
              </w:rPr>
            </w:pPr>
          </w:p>
        </w:tc>
        <w:tc>
          <w:tcPr>
            <w:tcW w:w="0" w:type="auto"/>
            <w:gridSpan w:val="3"/>
            <w:shd w:val="clear" w:color="auto" w:fill="auto"/>
            <w:vAlign w:val="bottom"/>
          </w:tcPr>
          <w:p w14:paraId="71D46445" w14:textId="77777777" w:rsidR="006A3667" w:rsidRDefault="006A3667">
            <w:pPr>
              <w:rPr>
                <w:rFonts w:ascii="宋体"/>
                <w:vanish/>
              </w:rPr>
            </w:pPr>
          </w:p>
        </w:tc>
        <w:tc>
          <w:tcPr>
            <w:tcW w:w="0" w:type="auto"/>
            <w:gridSpan w:val="3"/>
            <w:shd w:val="clear" w:color="auto" w:fill="auto"/>
            <w:vAlign w:val="bottom"/>
          </w:tcPr>
          <w:p w14:paraId="71D46446" w14:textId="77777777" w:rsidR="006A3667" w:rsidRDefault="006A3667">
            <w:pPr>
              <w:rPr>
                <w:rFonts w:ascii="宋体"/>
                <w:vanish/>
              </w:rPr>
            </w:pPr>
          </w:p>
        </w:tc>
        <w:tc>
          <w:tcPr>
            <w:tcW w:w="0" w:type="auto"/>
            <w:gridSpan w:val="3"/>
            <w:shd w:val="clear" w:color="auto" w:fill="auto"/>
            <w:vAlign w:val="bottom"/>
          </w:tcPr>
          <w:p w14:paraId="71D46447" w14:textId="77777777" w:rsidR="006A3667" w:rsidRDefault="006A3667">
            <w:pPr>
              <w:rPr>
                <w:rFonts w:ascii="宋体"/>
                <w:vanish/>
              </w:rPr>
            </w:pPr>
          </w:p>
        </w:tc>
        <w:tc>
          <w:tcPr>
            <w:tcW w:w="0" w:type="auto"/>
            <w:gridSpan w:val="3"/>
            <w:shd w:val="clear" w:color="auto" w:fill="auto"/>
            <w:vAlign w:val="bottom"/>
          </w:tcPr>
          <w:p w14:paraId="71D46448" w14:textId="77777777" w:rsidR="006A3667" w:rsidRDefault="006A3667">
            <w:pPr>
              <w:rPr>
                <w:rFonts w:ascii="宋体"/>
                <w:vanish/>
              </w:rPr>
            </w:pPr>
          </w:p>
        </w:tc>
        <w:tc>
          <w:tcPr>
            <w:tcW w:w="0" w:type="auto"/>
            <w:gridSpan w:val="3"/>
            <w:shd w:val="clear" w:color="auto" w:fill="auto"/>
            <w:vAlign w:val="bottom"/>
          </w:tcPr>
          <w:p w14:paraId="71D46449" w14:textId="77777777" w:rsidR="006A3667" w:rsidRDefault="006A3667">
            <w:pPr>
              <w:rPr>
                <w:rFonts w:ascii="宋体"/>
                <w:vanish/>
              </w:rPr>
            </w:pPr>
          </w:p>
        </w:tc>
        <w:tc>
          <w:tcPr>
            <w:tcW w:w="0" w:type="auto"/>
            <w:gridSpan w:val="3"/>
            <w:shd w:val="clear" w:color="auto" w:fill="auto"/>
            <w:vAlign w:val="bottom"/>
          </w:tcPr>
          <w:p w14:paraId="71D4644A" w14:textId="77777777" w:rsidR="006A3667" w:rsidRDefault="006A3667">
            <w:pPr>
              <w:rPr>
                <w:rFonts w:ascii="宋体"/>
                <w:vanish/>
              </w:rPr>
            </w:pPr>
          </w:p>
        </w:tc>
        <w:tc>
          <w:tcPr>
            <w:tcW w:w="0" w:type="auto"/>
            <w:shd w:val="clear" w:color="auto" w:fill="auto"/>
            <w:vAlign w:val="bottom"/>
          </w:tcPr>
          <w:p w14:paraId="71D4644B" w14:textId="77777777" w:rsidR="006A3667" w:rsidRDefault="006A3667">
            <w:pPr>
              <w:rPr>
                <w:rFonts w:ascii="宋体"/>
                <w:vanish/>
              </w:rPr>
            </w:pPr>
          </w:p>
        </w:tc>
        <w:tc>
          <w:tcPr>
            <w:tcW w:w="0" w:type="auto"/>
            <w:shd w:val="clear" w:color="auto" w:fill="auto"/>
            <w:vAlign w:val="bottom"/>
          </w:tcPr>
          <w:p w14:paraId="71D4644C" w14:textId="77777777" w:rsidR="006A3667" w:rsidRDefault="006A3667">
            <w:pPr>
              <w:rPr>
                <w:rFonts w:ascii="宋体"/>
                <w:vanish/>
              </w:rPr>
            </w:pPr>
          </w:p>
        </w:tc>
        <w:tc>
          <w:tcPr>
            <w:tcW w:w="0" w:type="auto"/>
            <w:gridSpan w:val="3"/>
            <w:shd w:val="clear" w:color="auto" w:fill="auto"/>
            <w:vAlign w:val="bottom"/>
          </w:tcPr>
          <w:p w14:paraId="71D4644D" w14:textId="77777777" w:rsidR="006A3667" w:rsidRDefault="006A3667">
            <w:pPr>
              <w:rPr>
                <w:rFonts w:ascii="宋体"/>
                <w:vanish/>
              </w:rPr>
            </w:pPr>
          </w:p>
        </w:tc>
        <w:tc>
          <w:tcPr>
            <w:tcW w:w="0" w:type="auto"/>
            <w:gridSpan w:val="3"/>
            <w:shd w:val="clear" w:color="auto" w:fill="auto"/>
            <w:vAlign w:val="bottom"/>
          </w:tcPr>
          <w:p w14:paraId="71D4644E" w14:textId="77777777" w:rsidR="006A3667" w:rsidRDefault="006A3667">
            <w:pPr>
              <w:rPr>
                <w:rFonts w:ascii="宋体"/>
                <w:vanish/>
              </w:rPr>
            </w:pPr>
          </w:p>
        </w:tc>
        <w:tc>
          <w:tcPr>
            <w:tcW w:w="0" w:type="auto"/>
            <w:gridSpan w:val="3"/>
            <w:shd w:val="clear" w:color="auto" w:fill="auto"/>
            <w:vAlign w:val="bottom"/>
          </w:tcPr>
          <w:p w14:paraId="71D4644F" w14:textId="77777777" w:rsidR="006A3667" w:rsidRDefault="006A3667">
            <w:pPr>
              <w:rPr>
                <w:rFonts w:ascii="宋体"/>
                <w:vanish/>
              </w:rPr>
            </w:pPr>
          </w:p>
        </w:tc>
        <w:tc>
          <w:tcPr>
            <w:tcW w:w="0" w:type="auto"/>
            <w:gridSpan w:val="3"/>
            <w:shd w:val="clear" w:color="auto" w:fill="auto"/>
            <w:vAlign w:val="bottom"/>
          </w:tcPr>
          <w:p w14:paraId="71D46450" w14:textId="77777777" w:rsidR="006A3667" w:rsidRDefault="006A3667">
            <w:pPr>
              <w:rPr>
                <w:rFonts w:ascii="宋体"/>
                <w:vanish/>
              </w:rPr>
            </w:pPr>
          </w:p>
        </w:tc>
        <w:tc>
          <w:tcPr>
            <w:tcW w:w="0" w:type="auto"/>
            <w:gridSpan w:val="3"/>
            <w:shd w:val="clear" w:color="auto" w:fill="auto"/>
            <w:vAlign w:val="bottom"/>
          </w:tcPr>
          <w:p w14:paraId="71D46451" w14:textId="77777777" w:rsidR="006A3667" w:rsidRDefault="006A3667">
            <w:pPr>
              <w:rPr>
                <w:rFonts w:ascii="宋体"/>
                <w:vanish/>
              </w:rPr>
            </w:pPr>
          </w:p>
        </w:tc>
      </w:tr>
      <w:tr w:rsidR="006A3667" w14:paraId="71D46475" w14:textId="77777777">
        <w:tc>
          <w:tcPr>
            <w:tcW w:w="0" w:type="auto"/>
            <w:gridSpan w:val="3"/>
            <w:shd w:val="clear" w:color="auto" w:fill="CCEEFF"/>
            <w:tcMar>
              <w:top w:w="40" w:type="dxa"/>
              <w:left w:w="155" w:type="dxa"/>
              <w:bottom w:w="40" w:type="dxa"/>
              <w:right w:w="20" w:type="dxa"/>
            </w:tcMar>
            <w:vAlign w:val="bottom"/>
          </w:tcPr>
          <w:p w14:paraId="71D46453" w14:textId="77777777" w:rsidR="006A3667" w:rsidRDefault="00045F32">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645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455" w14:textId="77777777" w:rsidR="006A3667" w:rsidRDefault="00045F32">
            <w:pPr>
              <w:jc w:val="right"/>
              <w:textAlignment w:val="bottom"/>
            </w:pPr>
            <w:r>
              <w:rPr>
                <w:rFonts w:ascii="Arial" w:eastAsia="宋体" w:hAnsi="Arial" w:cs="Arial"/>
                <w:color w:val="000000"/>
                <w:sz w:val="14"/>
                <w:szCs w:val="14"/>
              </w:rPr>
              <w:t>365 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4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5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45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459" w14:textId="77777777" w:rsidR="006A3667" w:rsidRDefault="00045F32">
            <w:pPr>
              <w:jc w:val="right"/>
              <w:textAlignment w:val="bottom"/>
            </w:pPr>
            <w:r>
              <w:rPr>
                <w:rFonts w:ascii="Arial" w:eastAsia="宋体" w:hAnsi="Arial" w:cs="Arial"/>
                <w:color w:val="000000"/>
                <w:sz w:val="14"/>
                <w:szCs w:val="14"/>
              </w:rPr>
              <w:t>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4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5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45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45D" w14:textId="77777777" w:rsidR="006A3667" w:rsidRDefault="00045F32">
            <w:pPr>
              <w:jc w:val="right"/>
              <w:textAlignment w:val="bottom"/>
            </w:pPr>
            <w:r>
              <w:rPr>
                <w:rFonts w:ascii="Arial" w:eastAsia="宋体" w:hAnsi="Arial" w:cs="Arial"/>
                <w:color w:val="000000"/>
                <w:sz w:val="14"/>
                <w:szCs w:val="14"/>
              </w:rPr>
              <w:t>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45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5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46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461" w14:textId="77777777" w:rsidR="006A3667" w:rsidRDefault="00045F32">
            <w:pPr>
              <w:jc w:val="right"/>
              <w:textAlignment w:val="bottom"/>
            </w:pPr>
            <w:r>
              <w:rPr>
                <w:rFonts w:ascii="Arial" w:eastAsia="宋体" w:hAnsi="Arial" w:cs="Arial"/>
                <w:color w:val="000000"/>
                <w:sz w:val="14"/>
                <w:szCs w:val="14"/>
              </w:rPr>
              <w:t>577 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46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6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46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465" w14:textId="77777777" w:rsidR="006A3667" w:rsidRDefault="00045F32">
            <w:pPr>
              <w:jc w:val="right"/>
              <w:textAlignment w:val="bottom"/>
            </w:pPr>
            <w:r>
              <w:rPr>
                <w:rFonts w:ascii="Arial" w:eastAsia="宋体" w:hAnsi="Arial" w:cs="Arial"/>
                <w:color w:val="000000"/>
                <w:sz w:val="14"/>
                <w:szCs w:val="14"/>
              </w:rPr>
              <w:t>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4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67" w14:textId="77777777" w:rsidR="006A3667" w:rsidRDefault="006A3667">
            <w:pPr>
              <w:rPr>
                <w:rFonts w:ascii="宋体"/>
              </w:rPr>
            </w:pPr>
          </w:p>
        </w:tc>
        <w:tc>
          <w:tcPr>
            <w:tcW w:w="0" w:type="auto"/>
            <w:shd w:val="clear" w:color="auto" w:fill="auto"/>
            <w:vAlign w:val="bottom"/>
          </w:tcPr>
          <w:p w14:paraId="71D46468" w14:textId="77777777" w:rsidR="006A3667" w:rsidRDefault="006A3667">
            <w:pPr>
              <w:rPr>
                <w:rFonts w:ascii="宋体"/>
                <w:vanish/>
              </w:rPr>
            </w:pPr>
          </w:p>
        </w:tc>
        <w:tc>
          <w:tcPr>
            <w:tcW w:w="0" w:type="auto"/>
            <w:shd w:val="clear" w:color="auto" w:fill="auto"/>
            <w:vAlign w:val="bottom"/>
          </w:tcPr>
          <w:p w14:paraId="71D46469"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46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46B" w14:textId="77777777" w:rsidR="006A3667" w:rsidRDefault="00045F32">
            <w:pPr>
              <w:jc w:val="right"/>
              <w:textAlignment w:val="bottom"/>
            </w:pPr>
            <w:r>
              <w:rPr>
                <w:rFonts w:ascii="Arial" w:eastAsia="宋体" w:hAnsi="Arial" w:cs="Arial"/>
                <w:color w:val="000000"/>
                <w:sz w:val="14"/>
                <w:szCs w:val="14"/>
              </w:rPr>
              <w:t>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46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6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46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46F"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4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7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47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473" w14:textId="77777777" w:rsidR="006A3667" w:rsidRDefault="00045F32">
            <w:pPr>
              <w:jc w:val="right"/>
              <w:textAlignment w:val="bottom"/>
            </w:pPr>
            <w:r>
              <w:rPr>
                <w:rFonts w:ascii="Arial" w:eastAsia="宋体" w:hAnsi="Arial" w:cs="Arial"/>
                <w:color w:val="000000"/>
                <w:sz w:val="14"/>
                <w:szCs w:val="14"/>
              </w:rPr>
              <w:t>2,921 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474" w14:textId="77777777" w:rsidR="006A3667" w:rsidRDefault="006A3667">
            <w:pPr>
              <w:jc w:val="right"/>
              <w:rPr>
                <w:rFonts w:ascii="宋体"/>
              </w:rPr>
            </w:pPr>
          </w:p>
        </w:tc>
      </w:tr>
      <w:tr w:rsidR="006A3667" w14:paraId="71D46488" w14:textId="77777777">
        <w:tc>
          <w:tcPr>
            <w:tcW w:w="0" w:type="auto"/>
            <w:gridSpan w:val="3"/>
            <w:shd w:val="clear" w:color="auto" w:fill="FFFFFF"/>
            <w:tcMar>
              <w:top w:w="40" w:type="dxa"/>
              <w:left w:w="20" w:type="dxa"/>
              <w:bottom w:w="40" w:type="dxa"/>
              <w:right w:w="20" w:type="dxa"/>
            </w:tcMar>
            <w:vAlign w:val="bottom"/>
          </w:tcPr>
          <w:p w14:paraId="71D46476" w14:textId="77777777" w:rsidR="006A3667" w:rsidRDefault="00045F32">
            <w:pPr>
              <w:textAlignment w:val="bottom"/>
            </w:pPr>
            <w:r>
              <w:rPr>
                <w:rFonts w:ascii="Arial" w:eastAsia="宋体" w:hAnsi="Arial" w:cs="Arial"/>
                <w:color w:val="000000"/>
                <w:sz w:val="14"/>
                <w:szCs w:val="14"/>
              </w:rPr>
              <w:t>Non-U.S. loans: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47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78"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47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7A"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47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7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47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7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47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80" w14:textId="77777777" w:rsidR="006A3667" w:rsidRDefault="006A3667">
            <w:pPr>
              <w:rPr>
                <w:rFonts w:ascii="宋体"/>
              </w:rPr>
            </w:pPr>
          </w:p>
        </w:tc>
        <w:tc>
          <w:tcPr>
            <w:tcW w:w="0" w:type="auto"/>
            <w:shd w:val="clear" w:color="auto" w:fill="auto"/>
            <w:vAlign w:val="bottom"/>
          </w:tcPr>
          <w:p w14:paraId="71D46481" w14:textId="77777777" w:rsidR="006A3667" w:rsidRDefault="006A3667">
            <w:pPr>
              <w:rPr>
                <w:rFonts w:ascii="宋体"/>
                <w:vanish/>
              </w:rPr>
            </w:pPr>
          </w:p>
        </w:tc>
        <w:tc>
          <w:tcPr>
            <w:tcW w:w="0" w:type="auto"/>
            <w:shd w:val="clear" w:color="auto" w:fill="auto"/>
            <w:vAlign w:val="bottom"/>
          </w:tcPr>
          <w:p w14:paraId="71D46482" w14:textId="77777777" w:rsidR="006A3667" w:rsidRDefault="006A3667">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48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8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48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86"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487" w14:textId="77777777" w:rsidR="006A3667" w:rsidRDefault="006A3667">
            <w:pPr>
              <w:rPr>
                <w:rFonts w:ascii="宋体"/>
              </w:rPr>
            </w:pPr>
          </w:p>
        </w:tc>
      </w:tr>
      <w:tr w:rsidR="006A3667" w14:paraId="71D4649B" w14:textId="77777777">
        <w:tc>
          <w:tcPr>
            <w:tcW w:w="0" w:type="auto"/>
            <w:gridSpan w:val="3"/>
            <w:shd w:val="clear" w:color="auto" w:fill="CCEEFF"/>
            <w:tcMar>
              <w:top w:w="40" w:type="dxa"/>
              <w:left w:w="155" w:type="dxa"/>
              <w:bottom w:w="40" w:type="dxa"/>
              <w:right w:w="20" w:type="dxa"/>
            </w:tcMar>
            <w:vAlign w:val="bottom"/>
          </w:tcPr>
          <w:p w14:paraId="71D46489" w14:textId="77777777" w:rsidR="006A3667" w:rsidRDefault="00045F32">
            <w:pPr>
              <w:textAlignment w:val="bottom"/>
            </w:pPr>
            <w:r>
              <w:rPr>
                <w:rFonts w:ascii="Arial" w:eastAsia="宋体" w:hAnsi="Arial" w:cs="Arial"/>
                <w:color w:val="000000"/>
                <w:sz w:val="14"/>
                <w:szCs w:val="14"/>
              </w:rPr>
              <w:t>Commercial and financial:</w:t>
            </w:r>
          </w:p>
        </w:tc>
        <w:tc>
          <w:tcPr>
            <w:tcW w:w="0" w:type="auto"/>
            <w:gridSpan w:val="3"/>
            <w:shd w:val="clear" w:color="auto" w:fill="CCEEFF"/>
            <w:tcMar>
              <w:top w:w="0" w:type="dxa"/>
              <w:left w:w="20" w:type="dxa"/>
              <w:bottom w:w="0" w:type="dxa"/>
              <w:right w:w="20" w:type="dxa"/>
            </w:tcMar>
            <w:vAlign w:val="bottom"/>
          </w:tcPr>
          <w:p w14:paraId="71D4648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8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8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8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8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8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9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9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9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93" w14:textId="77777777" w:rsidR="006A3667" w:rsidRDefault="006A3667">
            <w:pPr>
              <w:rPr>
                <w:rFonts w:ascii="宋体"/>
              </w:rPr>
            </w:pPr>
          </w:p>
        </w:tc>
        <w:tc>
          <w:tcPr>
            <w:tcW w:w="0" w:type="auto"/>
            <w:shd w:val="clear" w:color="auto" w:fill="auto"/>
            <w:vAlign w:val="bottom"/>
          </w:tcPr>
          <w:p w14:paraId="71D46494" w14:textId="77777777" w:rsidR="006A3667" w:rsidRDefault="006A3667">
            <w:pPr>
              <w:rPr>
                <w:rFonts w:ascii="宋体"/>
                <w:vanish/>
              </w:rPr>
            </w:pPr>
          </w:p>
        </w:tc>
        <w:tc>
          <w:tcPr>
            <w:tcW w:w="0" w:type="auto"/>
            <w:shd w:val="clear" w:color="auto" w:fill="auto"/>
            <w:vAlign w:val="bottom"/>
          </w:tcPr>
          <w:p w14:paraId="71D46495"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649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9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9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9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49A" w14:textId="77777777" w:rsidR="006A3667" w:rsidRDefault="006A3667">
            <w:pPr>
              <w:rPr>
                <w:rFonts w:ascii="宋体"/>
              </w:rPr>
            </w:pPr>
          </w:p>
        </w:tc>
      </w:tr>
      <w:tr w:rsidR="006A3667" w14:paraId="71D464AE" w14:textId="77777777">
        <w:tc>
          <w:tcPr>
            <w:tcW w:w="0" w:type="auto"/>
            <w:gridSpan w:val="3"/>
            <w:shd w:val="clear" w:color="auto" w:fill="FFFFFF"/>
            <w:tcMar>
              <w:top w:w="40" w:type="dxa"/>
              <w:left w:w="245" w:type="dxa"/>
              <w:bottom w:w="40" w:type="dxa"/>
              <w:right w:w="20" w:type="dxa"/>
            </w:tcMar>
            <w:vAlign w:val="bottom"/>
          </w:tcPr>
          <w:p w14:paraId="71D4649C" w14:textId="77777777" w:rsidR="006A3667" w:rsidRDefault="00045F32">
            <w:pPr>
              <w:textAlignment w:val="bottom"/>
            </w:pPr>
            <w:r>
              <w:rPr>
                <w:rFonts w:ascii="Arial" w:eastAsia="宋体" w:hAnsi="Arial" w:cs="Arial"/>
                <w:color w:val="000000"/>
                <w:sz w:val="14"/>
                <w:szCs w:val="14"/>
              </w:rPr>
              <w:t>Risk Rating:</w:t>
            </w:r>
          </w:p>
        </w:tc>
        <w:tc>
          <w:tcPr>
            <w:tcW w:w="0" w:type="auto"/>
            <w:gridSpan w:val="3"/>
            <w:shd w:val="clear" w:color="auto" w:fill="FFFFFF"/>
            <w:tcMar>
              <w:top w:w="0" w:type="dxa"/>
              <w:left w:w="20" w:type="dxa"/>
              <w:bottom w:w="0" w:type="dxa"/>
              <w:right w:w="20" w:type="dxa"/>
            </w:tcMar>
            <w:vAlign w:val="bottom"/>
          </w:tcPr>
          <w:p w14:paraId="71D4649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9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9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6" w14:textId="77777777" w:rsidR="006A3667" w:rsidRDefault="006A3667">
            <w:pPr>
              <w:rPr>
                <w:rFonts w:ascii="宋体"/>
              </w:rPr>
            </w:pPr>
          </w:p>
        </w:tc>
        <w:tc>
          <w:tcPr>
            <w:tcW w:w="0" w:type="auto"/>
            <w:shd w:val="clear" w:color="auto" w:fill="auto"/>
            <w:vAlign w:val="bottom"/>
          </w:tcPr>
          <w:p w14:paraId="71D464A7" w14:textId="77777777" w:rsidR="006A3667" w:rsidRDefault="006A3667">
            <w:pPr>
              <w:rPr>
                <w:rFonts w:ascii="宋体"/>
                <w:vanish/>
              </w:rPr>
            </w:pPr>
          </w:p>
        </w:tc>
        <w:tc>
          <w:tcPr>
            <w:tcW w:w="0" w:type="auto"/>
            <w:shd w:val="clear" w:color="auto" w:fill="auto"/>
            <w:vAlign w:val="bottom"/>
          </w:tcPr>
          <w:p w14:paraId="71D464A8"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64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4AD" w14:textId="77777777" w:rsidR="006A3667" w:rsidRDefault="006A3667">
            <w:pPr>
              <w:rPr>
                <w:rFonts w:ascii="宋体"/>
              </w:rPr>
            </w:pPr>
          </w:p>
        </w:tc>
      </w:tr>
      <w:tr w:rsidR="006A3667" w14:paraId="71D464D1" w14:textId="77777777">
        <w:tc>
          <w:tcPr>
            <w:tcW w:w="0" w:type="auto"/>
            <w:gridSpan w:val="3"/>
            <w:shd w:val="clear" w:color="auto" w:fill="CCEEFF"/>
            <w:tcMar>
              <w:top w:w="40" w:type="dxa"/>
              <w:left w:w="380" w:type="dxa"/>
              <w:bottom w:w="40" w:type="dxa"/>
              <w:right w:w="20" w:type="dxa"/>
            </w:tcMar>
            <w:vAlign w:val="bottom"/>
          </w:tcPr>
          <w:p w14:paraId="71D464AF" w14:textId="77777777" w:rsidR="006A3667" w:rsidRDefault="00045F32">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71D464B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4B1" w14:textId="77777777" w:rsidR="006A3667" w:rsidRDefault="00045F32">
            <w:pPr>
              <w:jc w:val="right"/>
              <w:textAlignment w:val="bottom"/>
            </w:pPr>
            <w:r>
              <w:rPr>
                <w:rFonts w:ascii="Arial" w:eastAsia="宋体" w:hAnsi="Arial" w:cs="Arial"/>
                <w:color w:val="000000"/>
                <w:sz w:val="14"/>
                <w:szCs w:val="14"/>
              </w:rPr>
              <w:t>4,661 </w:t>
            </w:r>
          </w:p>
        </w:tc>
        <w:tc>
          <w:tcPr>
            <w:tcW w:w="0" w:type="auto"/>
            <w:shd w:val="clear" w:color="auto" w:fill="CCEEFF"/>
            <w:tcMar>
              <w:top w:w="40" w:type="dxa"/>
              <w:left w:w="0" w:type="dxa"/>
              <w:bottom w:w="40" w:type="dxa"/>
              <w:right w:w="20" w:type="dxa"/>
            </w:tcMar>
            <w:vAlign w:val="bottom"/>
          </w:tcPr>
          <w:p w14:paraId="71D464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B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4B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4B5" w14:textId="77777777" w:rsidR="006A3667" w:rsidRDefault="00045F32">
            <w:pPr>
              <w:jc w:val="right"/>
              <w:textAlignment w:val="bottom"/>
            </w:pPr>
            <w:r>
              <w:rPr>
                <w:rFonts w:ascii="Arial" w:eastAsia="宋体" w:hAnsi="Arial" w:cs="Arial"/>
                <w:color w:val="000000"/>
                <w:sz w:val="14"/>
                <w:szCs w:val="14"/>
              </w:rPr>
              <w:t>2,729 </w:t>
            </w:r>
          </w:p>
        </w:tc>
        <w:tc>
          <w:tcPr>
            <w:tcW w:w="0" w:type="auto"/>
            <w:shd w:val="clear" w:color="auto" w:fill="CCEEFF"/>
            <w:tcMar>
              <w:top w:w="40" w:type="dxa"/>
              <w:left w:w="0" w:type="dxa"/>
              <w:bottom w:w="40" w:type="dxa"/>
              <w:right w:w="20" w:type="dxa"/>
            </w:tcMar>
            <w:vAlign w:val="bottom"/>
          </w:tcPr>
          <w:p w14:paraId="71D464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B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4B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4B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4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B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4B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4B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4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B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4C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4C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4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C3" w14:textId="77777777" w:rsidR="006A3667" w:rsidRDefault="006A3667">
            <w:pPr>
              <w:rPr>
                <w:rFonts w:ascii="宋体"/>
              </w:rPr>
            </w:pPr>
          </w:p>
        </w:tc>
        <w:tc>
          <w:tcPr>
            <w:tcW w:w="0" w:type="auto"/>
            <w:shd w:val="clear" w:color="auto" w:fill="auto"/>
            <w:vAlign w:val="bottom"/>
          </w:tcPr>
          <w:p w14:paraId="71D464C4" w14:textId="77777777" w:rsidR="006A3667" w:rsidRDefault="006A3667">
            <w:pPr>
              <w:rPr>
                <w:rFonts w:ascii="宋体"/>
                <w:vanish/>
              </w:rPr>
            </w:pPr>
          </w:p>
        </w:tc>
        <w:tc>
          <w:tcPr>
            <w:tcW w:w="0" w:type="auto"/>
            <w:shd w:val="clear" w:color="auto" w:fill="auto"/>
            <w:vAlign w:val="bottom"/>
          </w:tcPr>
          <w:p w14:paraId="71D464C5"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bottom"/>
          </w:tcPr>
          <w:p w14:paraId="71D464C6"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4C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4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C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4CA"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4CB" w14:textId="77777777" w:rsidR="006A3667" w:rsidRDefault="00045F32">
            <w:pPr>
              <w:jc w:val="right"/>
              <w:textAlignment w:val="bottom"/>
            </w:pPr>
            <w:r>
              <w:rPr>
                <w:rFonts w:ascii="Arial" w:eastAsia="宋体" w:hAnsi="Arial" w:cs="Arial"/>
                <w:color w:val="000000"/>
                <w:sz w:val="14"/>
                <w:szCs w:val="14"/>
              </w:rPr>
              <w:t>3,634 </w:t>
            </w:r>
          </w:p>
        </w:tc>
        <w:tc>
          <w:tcPr>
            <w:tcW w:w="0" w:type="auto"/>
            <w:shd w:val="clear" w:color="auto" w:fill="CCEEFF"/>
            <w:tcMar>
              <w:top w:w="40" w:type="dxa"/>
              <w:left w:w="0" w:type="dxa"/>
              <w:bottom w:w="40" w:type="dxa"/>
              <w:right w:w="20" w:type="dxa"/>
            </w:tcMar>
            <w:vAlign w:val="bottom"/>
          </w:tcPr>
          <w:p w14:paraId="71D464C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C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4CE"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4CF" w14:textId="77777777" w:rsidR="006A3667" w:rsidRDefault="00045F32">
            <w:pPr>
              <w:jc w:val="right"/>
              <w:textAlignment w:val="bottom"/>
            </w:pPr>
            <w:r>
              <w:rPr>
                <w:rFonts w:ascii="Arial" w:eastAsia="宋体" w:hAnsi="Arial" w:cs="Arial"/>
                <w:color w:val="000000"/>
                <w:sz w:val="14"/>
                <w:szCs w:val="14"/>
              </w:rPr>
              <w:t>11,024 </w:t>
            </w:r>
          </w:p>
        </w:tc>
        <w:tc>
          <w:tcPr>
            <w:tcW w:w="0" w:type="auto"/>
            <w:shd w:val="clear" w:color="auto" w:fill="CCEEFF"/>
            <w:tcMar>
              <w:top w:w="40" w:type="dxa"/>
              <w:left w:w="0" w:type="dxa"/>
              <w:bottom w:w="40" w:type="dxa"/>
              <w:right w:w="20" w:type="dxa"/>
            </w:tcMar>
            <w:vAlign w:val="bottom"/>
          </w:tcPr>
          <w:p w14:paraId="71D464D0" w14:textId="77777777" w:rsidR="006A3667" w:rsidRDefault="006A3667">
            <w:pPr>
              <w:jc w:val="right"/>
              <w:rPr>
                <w:rFonts w:ascii="宋体"/>
              </w:rPr>
            </w:pPr>
          </w:p>
        </w:tc>
      </w:tr>
      <w:tr w:rsidR="006A3667" w14:paraId="71D464EC" w14:textId="77777777">
        <w:tc>
          <w:tcPr>
            <w:tcW w:w="0" w:type="auto"/>
            <w:gridSpan w:val="3"/>
            <w:shd w:val="clear" w:color="auto" w:fill="FFFFFF"/>
            <w:tcMar>
              <w:top w:w="40" w:type="dxa"/>
              <w:left w:w="380" w:type="dxa"/>
              <w:bottom w:w="40" w:type="dxa"/>
              <w:right w:w="20" w:type="dxa"/>
            </w:tcMar>
            <w:vAlign w:val="bottom"/>
          </w:tcPr>
          <w:p w14:paraId="71D464D2" w14:textId="77777777" w:rsidR="006A3667" w:rsidRDefault="00045F32">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1D464D3" w14:textId="77777777" w:rsidR="006A3667" w:rsidRDefault="00045F32">
            <w:pPr>
              <w:jc w:val="right"/>
              <w:textAlignment w:val="bottom"/>
            </w:pPr>
            <w:r>
              <w:rPr>
                <w:rFonts w:ascii="Arial" w:eastAsia="宋体" w:hAnsi="Arial" w:cs="Arial"/>
                <w:color w:val="000000"/>
                <w:sz w:val="14"/>
                <w:szCs w:val="14"/>
              </w:rPr>
              <w:t>1,291 </w:t>
            </w:r>
          </w:p>
        </w:tc>
        <w:tc>
          <w:tcPr>
            <w:tcW w:w="0" w:type="auto"/>
            <w:shd w:val="clear" w:color="auto" w:fill="FFFFFF"/>
            <w:tcMar>
              <w:top w:w="40" w:type="dxa"/>
              <w:left w:w="0" w:type="dxa"/>
              <w:bottom w:w="40" w:type="dxa"/>
              <w:right w:w="20" w:type="dxa"/>
            </w:tcMar>
            <w:vAlign w:val="bottom"/>
          </w:tcPr>
          <w:p w14:paraId="71D464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D6" w14:textId="77777777" w:rsidR="006A3667" w:rsidRDefault="00045F32">
            <w:pPr>
              <w:jc w:val="right"/>
              <w:textAlignment w:val="bottom"/>
            </w:pPr>
            <w:r>
              <w:rPr>
                <w:rFonts w:ascii="Arial" w:eastAsia="宋体" w:hAnsi="Arial" w:cs="Arial"/>
                <w:color w:val="000000"/>
                <w:sz w:val="14"/>
                <w:szCs w:val="14"/>
              </w:rPr>
              <w:t>486 </w:t>
            </w:r>
          </w:p>
        </w:tc>
        <w:tc>
          <w:tcPr>
            <w:tcW w:w="0" w:type="auto"/>
            <w:shd w:val="clear" w:color="auto" w:fill="FFFFFF"/>
            <w:tcMar>
              <w:top w:w="40" w:type="dxa"/>
              <w:left w:w="0" w:type="dxa"/>
              <w:bottom w:w="40" w:type="dxa"/>
              <w:right w:w="20" w:type="dxa"/>
            </w:tcMar>
            <w:vAlign w:val="bottom"/>
          </w:tcPr>
          <w:p w14:paraId="71D464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D9" w14:textId="77777777" w:rsidR="006A3667" w:rsidRDefault="00045F32">
            <w:pPr>
              <w:jc w:val="right"/>
              <w:textAlignment w:val="bottom"/>
            </w:pPr>
            <w:r>
              <w:rPr>
                <w:rFonts w:ascii="Arial" w:eastAsia="宋体" w:hAnsi="Arial" w:cs="Arial"/>
                <w:color w:val="000000"/>
                <w:sz w:val="14"/>
                <w:szCs w:val="14"/>
              </w:rPr>
              <w:t>95 </w:t>
            </w:r>
          </w:p>
        </w:tc>
        <w:tc>
          <w:tcPr>
            <w:tcW w:w="0" w:type="auto"/>
            <w:shd w:val="clear" w:color="auto" w:fill="FFFFFF"/>
            <w:tcMar>
              <w:top w:w="40" w:type="dxa"/>
              <w:left w:w="0" w:type="dxa"/>
              <w:bottom w:w="40" w:type="dxa"/>
              <w:right w:w="20" w:type="dxa"/>
            </w:tcMar>
            <w:vAlign w:val="bottom"/>
          </w:tcPr>
          <w:p w14:paraId="71D464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DC" w14:textId="77777777" w:rsidR="006A3667" w:rsidRDefault="00045F32">
            <w:pPr>
              <w:jc w:val="right"/>
              <w:textAlignment w:val="bottom"/>
            </w:pPr>
            <w:r>
              <w:rPr>
                <w:rFonts w:ascii="Arial" w:eastAsia="宋体" w:hAnsi="Arial" w:cs="Arial"/>
                <w:color w:val="000000"/>
                <w:sz w:val="14"/>
                <w:szCs w:val="14"/>
              </w:rPr>
              <w:t>166 </w:t>
            </w:r>
          </w:p>
        </w:tc>
        <w:tc>
          <w:tcPr>
            <w:tcW w:w="0" w:type="auto"/>
            <w:shd w:val="clear" w:color="auto" w:fill="FFFFFF"/>
            <w:tcMar>
              <w:top w:w="40" w:type="dxa"/>
              <w:left w:w="0" w:type="dxa"/>
              <w:bottom w:w="40" w:type="dxa"/>
              <w:right w:w="20" w:type="dxa"/>
            </w:tcMar>
            <w:vAlign w:val="bottom"/>
          </w:tcPr>
          <w:p w14:paraId="71D464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D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DF" w14:textId="77777777" w:rsidR="006A3667" w:rsidRDefault="00045F32">
            <w:pPr>
              <w:jc w:val="right"/>
              <w:textAlignment w:val="bottom"/>
            </w:pPr>
            <w:r>
              <w:rPr>
                <w:rFonts w:ascii="Arial" w:eastAsia="宋体" w:hAnsi="Arial" w:cs="Arial"/>
                <w:color w:val="000000"/>
                <w:sz w:val="14"/>
                <w:szCs w:val="14"/>
              </w:rPr>
              <w:t>96 </w:t>
            </w:r>
          </w:p>
        </w:tc>
        <w:tc>
          <w:tcPr>
            <w:tcW w:w="0" w:type="auto"/>
            <w:shd w:val="clear" w:color="auto" w:fill="FFFFFF"/>
            <w:tcMar>
              <w:top w:w="40" w:type="dxa"/>
              <w:left w:w="0" w:type="dxa"/>
              <w:bottom w:w="40" w:type="dxa"/>
              <w:right w:w="20" w:type="dxa"/>
            </w:tcMar>
            <w:vAlign w:val="bottom"/>
          </w:tcPr>
          <w:p w14:paraId="71D464E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E1" w14:textId="77777777" w:rsidR="006A3667" w:rsidRDefault="006A3667">
            <w:pPr>
              <w:rPr>
                <w:rFonts w:ascii="宋体"/>
              </w:rPr>
            </w:pPr>
          </w:p>
        </w:tc>
        <w:tc>
          <w:tcPr>
            <w:tcW w:w="0" w:type="auto"/>
            <w:shd w:val="clear" w:color="auto" w:fill="auto"/>
            <w:vAlign w:val="bottom"/>
          </w:tcPr>
          <w:p w14:paraId="71D464E2" w14:textId="77777777" w:rsidR="006A3667" w:rsidRDefault="006A3667">
            <w:pPr>
              <w:rPr>
                <w:rFonts w:ascii="宋体"/>
                <w:vanish/>
              </w:rPr>
            </w:pPr>
          </w:p>
        </w:tc>
        <w:tc>
          <w:tcPr>
            <w:tcW w:w="0" w:type="auto"/>
            <w:shd w:val="clear" w:color="auto" w:fill="auto"/>
            <w:vAlign w:val="bottom"/>
          </w:tcPr>
          <w:p w14:paraId="71D464E3"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4E4" w14:textId="77777777" w:rsidR="006A3667" w:rsidRDefault="00045F32">
            <w:pPr>
              <w:jc w:val="right"/>
              <w:textAlignment w:val="bottom"/>
            </w:pPr>
            <w:r>
              <w:rPr>
                <w:rFonts w:ascii="Arial" w:eastAsia="宋体" w:hAnsi="Arial" w:cs="Arial"/>
                <w:color w:val="000000"/>
                <w:sz w:val="14"/>
                <w:szCs w:val="14"/>
              </w:rPr>
              <w:t>61 </w:t>
            </w:r>
          </w:p>
        </w:tc>
        <w:tc>
          <w:tcPr>
            <w:tcW w:w="0" w:type="auto"/>
            <w:shd w:val="clear" w:color="auto" w:fill="FFFFFF"/>
            <w:tcMar>
              <w:top w:w="40" w:type="dxa"/>
              <w:left w:w="0" w:type="dxa"/>
              <w:bottom w:w="40" w:type="dxa"/>
              <w:right w:w="20" w:type="dxa"/>
            </w:tcMar>
            <w:vAlign w:val="bottom"/>
          </w:tcPr>
          <w:p w14:paraId="71D464E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E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E7" w14:textId="77777777" w:rsidR="006A3667" w:rsidRDefault="00045F32">
            <w:pPr>
              <w:jc w:val="right"/>
              <w:textAlignment w:val="bottom"/>
            </w:pPr>
            <w:r>
              <w:rPr>
                <w:rFonts w:ascii="Arial" w:eastAsia="宋体" w:hAnsi="Arial" w:cs="Arial"/>
                <w:color w:val="000000"/>
                <w:sz w:val="14"/>
                <w:szCs w:val="14"/>
              </w:rPr>
              <w:t>553 </w:t>
            </w:r>
          </w:p>
        </w:tc>
        <w:tc>
          <w:tcPr>
            <w:tcW w:w="0" w:type="auto"/>
            <w:shd w:val="clear" w:color="auto" w:fill="FFFFFF"/>
            <w:tcMar>
              <w:top w:w="40" w:type="dxa"/>
              <w:left w:w="0" w:type="dxa"/>
              <w:bottom w:w="40" w:type="dxa"/>
              <w:right w:w="20" w:type="dxa"/>
            </w:tcMar>
            <w:vAlign w:val="bottom"/>
          </w:tcPr>
          <w:p w14:paraId="71D464E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4E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4EA" w14:textId="77777777" w:rsidR="006A3667" w:rsidRDefault="00045F32">
            <w:pPr>
              <w:jc w:val="right"/>
              <w:textAlignment w:val="bottom"/>
            </w:pPr>
            <w:r>
              <w:rPr>
                <w:rFonts w:ascii="Arial" w:eastAsia="宋体" w:hAnsi="Arial" w:cs="Arial"/>
                <w:color w:val="000000"/>
                <w:sz w:val="14"/>
                <w:szCs w:val="14"/>
              </w:rPr>
              <w:t>2,748 </w:t>
            </w:r>
          </w:p>
        </w:tc>
        <w:tc>
          <w:tcPr>
            <w:tcW w:w="0" w:type="auto"/>
            <w:shd w:val="clear" w:color="auto" w:fill="FFFFFF"/>
            <w:tcMar>
              <w:top w:w="40" w:type="dxa"/>
              <w:left w:w="0" w:type="dxa"/>
              <w:bottom w:w="40" w:type="dxa"/>
              <w:right w:w="20" w:type="dxa"/>
            </w:tcMar>
            <w:vAlign w:val="bottom"/>
          </w:tcPr>
          <w:p w14:paraId="71D464EB" w14:textId="77777777" w:rsidR="006A3667" w:rsidRDefault="006A3667">
            <w:pPr>
              <w:jc w:val="right"/>
              <w:rPr>
                <w:rFonts w:ascii="宋体"/>
              </w:rPr>
            </w:pPr>
          </w:p>
        </w:tc>
      </w:tr>
      <w:tr w:rsidR="006A3667" w14:paraId="71D46507" w14:textId="77777777">
        <w:tc>
          <w:tcPr>
            <w:tcW w:w="0" w:type="auto"/>
            <w:gridSpan w:val="3"/>
            <w:shd w:val="clear" w:color="auto" w:fill="CCEEFF"/>
            <w:tcMar>
              <w:top w:w="40" w:type="dxa"/>
              <w:left w:w="380" w:type="dxa"/>
              <w:bottom w:w="40" w:type="dxa"/>
              <w:right w:w="20" w:type="dxa"/>
            </w:tcMar>
            <w:vAlign w:val="bottom"/>
          </w:tcPr>
          <w:p w14:paraId="71D464ED" w14:textId="77777777" w:rsidR="006A3667" w:rsidRDefault="00045F32">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1D464E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4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F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4F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4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F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4F4" w14:textId="77777777" w:rsidR="006A3667" w:rsidRDefault="00045F32">
            <w:pPr>
              <w:jc w:val="right"/>
              <w:textAlignment w:val="bottom"/>
            </w:pPr>
            <w:r>
              <w:rPr>
                <w:rFonts w:ascii="Arial" w:eastAsia="宋体" w:hAnsi="Arial" w:cs="Arial"/>
                <w:color w:val="000000"/>
                <w:sz w:val="14"/>
                <w:szCs w:val="14"/>
              </w:rPr>
              <w:t>16 </w:t>
            </w:r>
          </w:p>
        </w:tc>
        <w:tc>
          <w:tcPr>
            <w:tcW w:w="0" w:type="auto"/>
            <w:shd w:val="clear" w:color="auto" w:fill="CCEEFF"/>
            <w:tcMar>
              <w:top w:w="40" w:type="dxa"/>
              <w:left w:w="0" w:type="dxa"/>
              <w:bottom w:w="40" w:type="dxa"/>
              <w:right w:w="20" w:type="dxa"/>
            </w:tcMar>
            <w:vAlign w:val="bottom"/>
          </w:tcPr>
          <w:p w14:paraId="71D464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F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4F7" w14:textId="77777777" w:rsidR="006A3667" w:rsidRDefault="00045F32">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71D464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F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4F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4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4FC" w14:textId="77777777" w:rsidR="006A3667" w:rsidRDefault="006A3667">
            <w:pPr>
              <w:rPr>
                <w:rFonts w:ascii="宋体"/>
              </w:rPr>
            </w:pPr>
          </w:p>
        </w:tc>
        <w:tc>
          <w:tcPr>
            <w:tcW w:w="0" w:type="auto"/>
            <w:shd w:val="clear" w:color="auto" w:fill="auto"/>
            <w:vAlign w:val="bottom"/>
          </w:tcPr>
          <w:p w14:paraId="71D464FD" w14:textId="77777777" w:rsidR="006A3667" w:rsidRDefault="006A3667">
            <w:pPr>
              <w:rPr>
                <w:rFonts w:ascii="宋体"/>
                <w:vanish/>
              </w:rPr>
            </w:pPr>
          </w:p>
        </w:tc>
        <w:tc>
          <w:tcPr>
            <w:tcW w:w="0" w:type="auto"/>
            <w:shd w:val="clear" w:color="auto" w:fill="auto"/>
            <w:vAlign w:val="bottom"/>
          </w:tcPr>
          <w:p w14:paraId="71D464FE"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64F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5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0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50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50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0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505" w14:textId="77777777" w:rsidR="006A3667" w:rsidRDefault="00045F32">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71D46506" w14:textId="77777777" w:rsidR="006A3667" w:rsidRDefault="006A3667">
            <w:pPr>
              <w:jc w:val="right"/>
              <w:rPr>
                <w:rFonts w:ascii="宋体"/>
              </w:rPr>
            </w:pPr>
          </w:p>
        </w:tc>
      </w:tr>
      <w:tr w:rsidR="006A3667" w14:paraId="71D46522" w14:textId="77777777">
        <w:tc>
          <w:tcPr>
            <w:tcW w:w="0" w:type="auto"/>
            <w:gridSpan w:val="3"/>
            <w:shd w:val="clear" w:color="auto" w:fill="FFFFFF"/>
            <w:tcMar>
              <w:top w:w="40" w:type="dxa"/>
              <w:left w:w="380" w:type="dxa"/>
              <w:bottom w:w="40" w:type="dxa"/>
              <w:right w:w="20" w:type="dxa"/>
            </w:tcMar>
            <w:vAlign w:val="bottom"/>
          </w:tcPr>
          <w:p w14:paraId="71D46508" w14:textId="77777777" w:rsidR="006A3667" w:rsidRDefault="00045F32">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1D46509"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1D465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5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50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5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5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50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51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51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51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51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51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515" w14:textId="77777777" w:rsidR="006A3667" w:rsidRDefault="00045F32">
            <w:pPr>
              <w:jc w:val="right"/>
              <w:textAlignment w:val="bottom"/>
            </w:pPr>
            <w:r>
              <w:rPr>
                <w:rFonts w:ascii="Arial" w:eastAsia="宋体" w:hAnsi="Arial" w:cs="Arial"/>
                <w:color w:val="000000"/>
                <w:sz w:val="14"/>
                <w:szCs w:val="14"/>
              </w:rPr>
              <w:t>38 </w:t>
            </w:r>
          </w:p>
        </w:tc>
        <w:tc>
          <w:tcPr>
            <w:tcW w:w="0" w:type="auto"/>
            <w:shd w:val="clear" w:color="auto" w:fill="FFFFFF"/>
            <w:tcMar>
              <w:top w:w="40" w:type="dxa"/>
              <w:left w:w="0" w:type="dxa"/>
              <w:bottom w:w="40" w:type="dxa"/>
              <w:right w:w="20" w:type="dxa"/>
            </w:tcMar>
            <w:vAlign w:val="bottom"/>
          </w:tcPr>
          <w:p w14:paraId="71D4651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517" w14:textId="77777777" w:rsidR="006A3667" w:rsidRDefault="006A3667">
            <w:pPr>
              <w:rPr>
                <w:rFonts w:ascii="宋体"/>
              </w:rPr>
            </w:pPr>
          </w:p>
        </w:tc>
        <w:tc>
          <w:tcPr>
            <w:tcW w:w="0" w:type="auto"/>
            <w:shd w:val="clear" w:color="auto" w:fill="auto"/>
            <w:vAlign w:val="bottom"/>
          </w:tcPr>
          <w:p w14:paraId="71D46518" w14:textId="77777777" w:rsidR="006A3667" w:rsidRDefault="006A3667">
            <w:pPr>
              <w:rPr>
                <w:rFonts w:ascii="宋体"/>
                <w:vanish/>
              </w:rPr>
            </w:pPr>
          </w:p>
        </w:tc>
        <w:tc>
          <w:tcPr>
            <w:tcW w:w="0" w:type="auto"/>
            <w:shd w:val="clear" w:color="auto" w:fill="auto"/>
            <w:vAlign w:val="bottom"/>
          </w:tcPr>
          <w:p w14:paraId="71D4651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51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51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51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51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51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51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520" w14:textId="77777777" w:rsidR="006A3667" w:rsidRDefault="00045F32">
            <w:pPr>
              <w:jc w:val="right"/>
              <w:textAlignment w:val="bottom"/>
            </w:pPr>
            <w:r>
              <w:rPr>
                <w:rFonts w:ascii="Arial" w:eastAsia="宋体" w:hAnsi="Arial" w:cs="Arial"/>
                <w:color w:val="000000"/>
                <w:sz w:val="14"/>
                <w:szCs w:val="14"/>
              </w:rPr>
              <w:t>39 </w:t>
            </w:r>
          </w:p>
        </w:tc>
        <w:tc>
          <w:tcPr>
            <w:tcW w:w="0" w:type="auto"/>
            <w:shd w:val="clear" w:color="auto" w:fill="FFFFFF"/>
            <w:tcMar>
              <w:top w:w="40" w:type="dxa"/>
              <w:left w:w="0" w:type="dxa"/>
              <w:bottom w:w="40" w:type="dxa"/>
              <w:right w:w="20" w:type="dxa"/>
            </w:tcMar>
            <w:vAlign w:val="bottom"/>
          </w:tcPr>
          <w:p w14:paraId="71D46521" w14:textId="77777777" w:rsidR="006A3667" w:rsidRDefault="006A3667">
            <w:pPr>
              <w:jc w:val="right"/>
              <w:rPr>
                <w:rFonts w:ascii="宋体"/>
              </w:rPr>
            </w:pPr>
          </w:p>
        </w:tc>
      </w:tr>
      <w:tr w:rsidR="006A3667" w14:paraId="71D46535" w14:textId="77777777">
        <w:trPr>
          <w:hidden/>
        </w:trPr>
        <w:tc>
          <w:tcPr>
            <w:tcW w:w="0" w:type="auto"/>
            <w:gridSpan w:val="3"/>
            <w:shd w:val="clear" w:color="auto" w:fill="auto"/>
            <w:vAlign w:val="bottom"/>
          </w:tcPr>
          <w:p w14:paraId="71D46523" w14:textId="77777777" w:rsidR="006A3667" w:rsidRDefault="006A3667">
            <w:pPr>
              <w:rPr>
                <w:rFonts w:ascii="宋体"/>
                <w:vanish/>
              </w:rPr>
            </w:pPr>
          </w:p>
        </w:tc>
        <w:tc>
          <w:tcPr>
            <w:tcW w:w="0" w:type="auto"/>
            <w:gridSpan w:val="3"/>
            <w:shd w:val="clear" w:color="auto" w:fill="auto"/>
            <w:vAlign w:val="bottom"/>
          </w:tcPr>
          <w:p w14:paraId="71D46524" w14:textId="77777777" w:rsidR="006A3667" w:rsidRDefault="006A3667">
            <w:pPr>
              <w:rPr>
                <w:rFonts w:ascii="宋体"/>
                <w:vanish/>
              </w:rPr>
            </w:pPr>
          </w:p>
        </w:tc>
        <w:tc>
          <w:tcPr>
            <w:tcW w:w="0" w:type="auto"/>
            <w:gridSpan w:val="3"/>
            <w:shd w:val="clear" w:color="auto" w:fill="auto"/>
            <w:vAlign w:val="bottom"/>
          </w:tcPr>
          <w:p w14:paraId="71D46525" w14:textId="77777777" w:rsidR="006A3667" w:rsidRDefault="006A3667">
            <w:pPr>
              <w:rPr>
                <w:rFonts w:ascii="宋体"/>
                <w:vanish/>
              </w:rPr>
            </w:pPr>
          </w:p>
        </w:tc>
        <w:tc>
          <w:tcPr>
            <w:tcW w:w="0" w:type="auto"/>
            <w:gridSpan w:val="3"/>
            <w:shd w:val="clear" w:color="auto" w:fill="auto"/>
            <w:vAlign w:val="bottom"/>
          </w:tcPr>
          <w:p w14:paraId="71D46526" w14:textId="77777777" w:rsidR="006A3667" w:rsidRDefault="006A3667">
            <w:pPr>
              <w:rPr>
                <w:rFonts w:ascii="宋体"/>
                <w:vanish/>
              </w:rPr>
            </w:pPr>
          </w:p>
        </w:tc>
        <w:tc>
          <w:tcPr>
            <w:tcW w:w="0" w:type="auto"/>
            <w:gridSpan w:val="3"/>
            <w:shd w:val="clear" w:color="auto" w:fill="auto"/>
            <w:vAlign w:val="bottom"/>
          </w:tcPr>
          <w:p w14:paraId="71D46527" w14:textId="77777777" w:rsidR="006A3667" w:rsidRDefault="006A3667">
            <w:pPr>
              <w:rPr>
                <w:rFonts w:ascii="宋体"/>
                <w:vanish/>
              </w:rPr>
            </w:pPr>
          </w:p>
        </w:tc>
        <w:tc>
          <w:tcPr>
            <w:tcW w:w="0" w:type="auto"/>
            <w:gridSpan w:val="3"/>
            <w:shd w:val="clear" w:color="auto" w:fill="auto"/>
            <w:vAlign w:val="bottom"/>
          </w:tcPr>
          <w:p w14:paraId="71D46528" w14:textId="77777777" w:rsidR="006A3667" w:rsidRDefault="006A3667">
            <w:pPr>
              <w:rPr>
                <w:rFonts w:ascii="宋体"/>
                <w:vanish/>
              </w:rPr>
            </w:pPr>
          </w:p>
        </w:tc>
        <w:tc>
          <w:tcPr>
            <w:tcW w:w="0" w:type="auto"/>
            <w:gridSpan w:val="3"/>
            <w:shd w:val="clear" w:color="auto" w:fill="auto"/>
            <w:vAlign w:val="bottom"/>
          </w:tcPr>
          <w:p w14:paraId="71D46529" w14:textId="77777777" w:rsidR="006A3667" w:rsidRDefault="006A3667">
            <w:pPr>
              <w:rPr>
                <w:rFonts w:ascii="宋体"/>
                <w:vanish/>
              </w:rPr>
            </w:pPr>
          </w:p>
        </w:tc>
        <w:tc>
          <w:tcPr>
            <w:tcW w:w="0" w:type="auto"/>
            <w:gridSpan w:val="3"/>
            <w:shd w:val="clear" w:color="auto" w:fill="auto"/>
            <w:vAlign w:val="bottom"/>
          </w:tcPr>
          <w:p w14:paraId="71D4652A" w14:textId="77777777" w:rsidR="006A3667" w:rsidRDefault="006A3667">
            <w:pPr>
              <w:rPr>
                <w:rFonts w:ascii="宋体"/>
                <w:vanish/>
              </w:rPr>
            </w:pPr>
          </w:p>
        </w:tc>
        <w:tc>
          <w:tcPr>
            <w:tcW w:w="0" w:type="auto"/>
            <w:gridSpan w:val="3"/>
            <w:shd w:val="clear" w:color="auto" w:fill="auto"/>
            <w:vAlign w:val="bottom"/>
          </w:tcPr>
          <w:p w14:paraId="71D4652B" w14:textId="77777777" w:rsidR="006A3667" w:rsidRDefault="006A3667">
            <w:pPr>
              <w:rPr>
                <w:rFonts w:ascii="宋体"/>
                <w:vanish/>
              </w:rPr>
            </w:pPr>
          </w:p>
        </w:tc>
        <w:tc>
          <w:tcPr>
            <w:tcW w:w="0" w:type="auto"/>
            <w:gridSpan w:val="3"/>
            <w:shd w:val="clear" w:color="auto" w:fill="auto"/>
            <w:vAlign w:val="bottom"/>
          </w:tcPr>
          <w:p w14:paraId="71D4652C" w14:textId="77777777" w:rsidR="006A3667" w:rsidRDefault="006A3667">
            <w:pPr>
              <w:rPr>
                <w:rFonts w:ascii="宋体"/>
                <w:vanish/>
              </w:rPr>
            </w:pPr>
          </w:p>
        </w:tc>
        <w:tc>
          <w:tcPr>
            <w:tcW w:w="0" w:type="auto"/>
            <w:gridSpan w:val="3"/>
            <w:shd w:val="clear" w:color="auto" w:fill="auto"/>
            <w:vAlign w:val="bottom"/>
          </w:tcPr>
          <w:p w14:paraId="71D4652D" w14:textId="77777777" w:rsidR="006A3667" w:rsidRDefault="006A3667">
            <w:pPr>
              <w:rPr>
                <w:rFonts w:ascii="宋体"/>
                <w:vanish/>
              </w:rPr>
            </w:pPr>
          </w:p>
        </w:tc>
        <w:tc>
          <w:tcPr>
            <w:tcW w:w="0" w:type="auto"/>
            <w:shd w:val="clear" w:color="auto" w:fill="auto"/>
            <w:vAlign w:val="bottom"/>
          </w:tcPr>
          <w:p w14:paraId="71D4652E" w14:textId="77777777" w:rsidR="006A3667" w:rsidRDefault="006A3667">
            <w:pPr>
              <w:rPr>
                <w:rFonts w:ascii="宋体"/>
                <w:vanish/>
              </w:rPr>
            </w:pPr>
          </w:p>
        </w:tc>
        <w:tc>
          <w:tcPr>
            <w:tcW w:w="0" w:type="auto"/>
            <w:shd w:val="clear" w:color="auto" w:fill="auto"/>
            <w:vAlign w:val="bottom"/>
          </w:tcPr>
          <w:p w14:paraId="71D4652F" w14:textId="77777777" w:rsidR="006A3667" w:rsidRDefault="006A3667">
            <w:pPr>
              <w:rPr>
                <w:rFonts w:ascii="宋体"/>
                <w:vanish/>
              </w:rPr>
            </w:pPr>
          </w:p>
        </w:tc>
        <w:tc>
          <w:tcPr>
            <w:tcW w:w="0" w:type="auto"/>
            <w:gridSpan w:val="3"/>
            <w:shd w:val="clear" w:color="auto" w:fill="auto"/>
            <w:vAlign w:val="bottom"/>
          </w:tcPr>
          <w:p w14:paraId="71D46530" w14:textId="77777777" w:rsidR="006A3667" w:rsidRDefault="006A3667">
            <w:pPr>
              <w:rPr>
                <w:rFonts w:ascii="宋体"/>
                <w:vanish/>
              </w:rPr>
            </w:pPr>
          </w:p>
        </w:tc>
        <w:tc>
          <w:tcPr>
            <w:tcW w:w="0" w:type="auto"/>
            <w:gridSpan w:val="3"/>
            <w:shd w:val="clear" w:color="auto" w:fill="auto"/>
            <w:vAlign w:val="bottom"/>
          </w:tcPr>
          <w:p w14:paraId="71D46531" w14:textId="77777777" w:rsidR="006A3667" w:rsidRDefault="006A3667">
            <w:pPr>
              <w:rPr>
                <w:rFonts w:ascii="宋体"/>
                <w:vanish/>
              </w:rPr>
            </w:pPr>
          </w:p>
        </w:tc>
        <w:tc>
          <w:tcPr>
            <w:tcW w:w="0" w:type="auto"/>
            <w:gridSpan w:val="3"/>
            <w:shd w:val="clear" w:color="auto" w:fill="auto"/>
            <w:vAlign w:val="bottom"/>
          </w:tcPr>
          <w:p w14:paraId="71D46532" w14:textId="77777777" w:rsidR="006A3667" w:rsidRDefault="006A3667">
            <w:pPr>
              <w:rPr>
                <w:rFonts w:ascii="宋体"/>
                <w:vanish/>
              </w:rPr>
            </w:pPr>
          </w:p>
        </w:tc>
        <w:tc>
          <w:tcPr>
            <w:tcW w:w="0" w:type="auto"/>
            <w:gridSpan w:val="3"/>
            <w:shd w:val="clear" w:color="auto" w:fill="auto"/>
            <w:vAlign w:val="bottom"/>
          </w:tcPr>
          <w:p w14:paraId="71D46533" w14:textId="77777777" w:rsidR="006A3667" w:rsidRDefault="006A3667">
            <w:pPr>
              <w:rPr>
                <w:rFonts w:ascii="宋体"/>
                <w:vanish/>
              </w:rPr>
            </w:pPr>
          </w:p>
        </w:tc>
        <w:tc>
          <w:tcPr>
            <w:tcW w:w="0" w:type="auto"/>
            <w:gridSpan w:val="3"/>
            <w:shd w:val="clear" w:color="auto" w:fill="auto"/>
            <w:vAlign w:val="bottom"/>
          </w:tcPr>
          <w:p w14:paraId="71D46534" w14:textId="77777777" w:rsidR="006A3667" w:rsidRDefault="006A3667">
            <w:pPr>
              <w:rPr>
                <w:rFonts w:ascii="宋体"/>
                <w:vanish/>
              </w:rPr>
            </w:pPr>
          </w:p>
        </w:tc>
      </w:tr>
      <w:tr w:rsidR="006A3667" w14:paraId="71D46548" w14:textId="77777777">
        <w:trPr>
          <w:hidden/>
        </w:trPr>
        <w:tc>
          <w:tcPr>
            <w:tcW w:w="0" w:type="auto"/>
            <w:gridSpan w:val="3"/>
            <w:shd w:val="clear" w:color="auto" w:fill="auto"/>
            <w:vAlign w:val="bottom"/>
          </w:tcPr>
          <w:p w14:paraId="71D46536" w14:textId="77777777" w:rsidR="006A3667" w:rsidRDefault="006A3667">
            <w:pPr>
              <w:rPr>
                <w:rFonts w:ascii="宋体"/>
                <w:vanish/>
              </w:rPr>
            </w:pPr>
          </w:p>
        </w:tc>
        <w:tc>
          <w:tcPr>
            <w:tcW w:w="0" w:type="auto"/>
            <w:gridSpan w:val="3"/>
            <w:shd w:val="clear" w:color="auto" w:fill="auto"/>
            <w:vAlign w:val="bottom"/>
          </w:tcPr>
          <w:p w14:paraId="71D46537" w14:textId="77777777" w:rsidR="006A3667" w:rsidRDefault="006A3667">
            <w:pPr>
              <w:rPr>
                <w:rFonts w:ascii="宋体"/>
                <w:vanish/>
              </w:rPr>
            </w:pPr>
          </w:p>
        </w:tc>
        <w:tc>
          <w:tcPr>
            <w:tcW w:w="0" w:type="auto"/>
            <w:gridSpan w:val="3"/>
            <w:shd w:val="clear" w:color="auto" w:fill="auto"/>
            <w:vAlign w:val="bottom"/>
          </w:tcPr>
          <w:p w14:paraId="71D46538" w14:textId="77777777" w:rsidR="006A3667" w:rsidRDefault="006A3667">
            <w:pPr>
              <w:rPr>
                <w:rFonts w:ascii="宋体"/>
                <w:vanish/>
              </w:rPr>
            </w:pPr>
          </w:p>
        </w:tc>
        <w:tc>
          <w:tcPr>
            <w:tcW w:w="0" w:type="auto"/>
            <w:gridSpan w:val="3"/>
            <w:shd w:val="clear" w:color="auto" w:fill="auto"/>
            <w:vAlign w:val="bottom"/>
          </w:tcPr>
          <w:p w14:paraId="71D46539" w14:textId="77777777" w:rsidR="006A3667" w:rsidRDefault="006A3667">
            <w:pPr>
              <w:rPr>
                <w:rFonts w:ascii="宋体"/>
                <w:vanish/>
              </w:rPr>
            </w:pPr>
          </w:p>
        </w:tc>
        <w:tc>
          <w:tcPr>
            <w:tcW w:w="0" w:type="auto"/>
            <w:gridSpan w:val="3"/>
            <w:shd w:val="clear" w:color="auto" w:fill="auto"/>
            <w:vAlign w:val="bottom"/>
          </w:tcPr>
          <w:p w14:paraId="71D4653A" w14:textId="77777777" w:rsidR="006A3667" w:rsidRDefault="006A3667">
            <w:pPr>
              <w:rPr>
                <w:rFonts w:ascii="宋体"/>
                <w:vanish/>
              </w:rPr>
            </w:pPr>
          </w:p>
        </w:tc>
        <w:tc>
          <w:tcPr>
            <w:tcW w:w="0" w:type="auto"/>
            <w:gridSpan w:val="3"/>
            <w:shd w:val="clear" w:color="auto" w:fill="auto"/>
            <w:vAlign w:val="bottom"/>
          </w:tcPr>
          <w:p w14:paraId="71D4653B" w14:textId="77777777" w:rsidR="006A3667" w:rsidRDefault="006A3667">
            <w:pPr>
              <w:rPr>
                <w:rFonts w:ascii="宋体"/>
                <w:vanish/>
              </w:rPr>
            </w:pPr>
          </w:p>
        </w:tc>
        <w:tc>
          <w:tcPr>
            <w:tcW w:w="0" w:type="auto"/>
            <w:gridSpan w:val="3"/>
            <w:shd w:val="clear" w:color="auto" w:fill="auto"/>
            <w:vAlign w:val="bottom"/>
          </w:tcPr>
          <w:p w14:paraId="71D4653C" w14:textId="77777777" w:rsidR="006A3667" w:rsidRDefault="006A3667">
            <w:pPr>
              <w:rPr>
                <w:rFonts w:ascii="宋体"/>
                <w:vanish/>
              </w:rPr>
            </w:pPr>
          </w:p>
        </w:tc>
        <w:tc>
          <w:tcPr>
            <w:tcW w:w="0" w:type="auto"/>
            <w:gridSpan w:val="3"/>
            <w:shd w:val="clear" w:color="auto" w:fill="auto"/>
            <w:vAlign w:val="bottom"/>
          </w:tcPr>
          <w:p w14:paraId="71D4653D" w14:textId="77777777" w:rsidR="006A3667" w:rsidRDefault="006A3667">
            <w:pPr>
              <w:rPr>
                <w:rFonts w:ascii="宋体"/>
                <w:vanish/>
              </w:rPr>
            </w:pPr>
          </w:p>
        </w:tc>
        <w:tc>
          <w:tcPr>
            <w:tcW w:w="0" w:type="auto"/>
            <w:gridSpan w:val="3"/>
            <w:shd w:val="clear" w:color="auto" w:fill="auto"/>
            <w:vAlign w:val="bottom"/>
          </w:tcPr>
          <w:p w14:paraId="71D4653E" w14:textId="77777777" w:rsidR="006A3667" w:rsidRDefault="006A3667">
            <w:pPr>
              <w:rPr>
                <w:rFonts w:ascii="宋体"/>
                <w:vanish/>
              </w:rPr>
            </w:pPr>
          </w:p>
        </w:tc>
        <w:tc>
          <w:tcPr>
            <w:tcW w:w="0" w:type="auto"/>
            <w:gridSpan w:val="3"/>
            <w:shd w:val="clear" w:color="auto" w:fill="auto"/>
            <w:vAlign w:val="bottom"/>
          </w:tcPr>
          <w:p w14:paraId="71D4653F" w14:textId="77777777" w:rsidR="006A3667" w:rsidRDefault="006A3667">
            <w:pPr>
              <w:rPr>
                <w:rFonts w:ascii="宋体"/>
                <w:vanish/>
              </w:rPr>
            </w:pPr>
          </w:p>
        </w:tc>
        <w:tc>
          <w:tcPr>
            <w:tcW w:w="0" w:type="auto"/>
            <w:gridSpan w:val="3"/>
            <w:shd w:val="clear" w:color="auto" w:fill="auto"/>
            <w:vAlign w:val="bottom"/>
          </w:tcPr>
          <w:p w14:paraId="71D46540" w14:textId="77777777" w:rsidR="006A3667" w:rsidRDefault="006A3667">
            <w:pPr>
              <w:rPr>
                <w:rFonts w:ascii="宋体"/>
                <w:vanish/>
              </w:rPr>
            </w:pPr>
          </w:p>
        </w:tc>
        <w:tc>
          <w:tcPr>
            <w:tcW w:w="0" w:type="auto"/>
            <w:shd w:val="clear" w:color="auto" w:fill="auto"/>
            <w:vAlign w:val="bottom"/>
          </w:tcPr>
          <w:p w14:paraId="71D46541" w14:textId="77777777" w:rsidR="006A3667" w:rsidRDefault="006A3667">
            <w:pPr>
              <w:rPr>
                <w:rFonts w:ascii="宋体"/>
                <w:vanish/>
              </w:rPr>
            </w:pPr>
          </w:p>
        </w:tc>
        <w:tc>
          <w:tcPr>
            <w:tcW w:w="0" w:type="auto"/>
            <w:shd w:val="clear" w:color="auto" w:fill="auto"/>
            <w:vAlign w:val="bottom"/>
          </w:tcPr>
          <w:p w14:paraId="71D46542" w14:textId="77777777" w:rsidR="006A3667" w:rsidRDefault="006A3667">
            <w:pPr>
              <w:rPr>
                <w:rFonts w:ascii="宋体"/>
                <w:vanish/>
              </w:rPr>
            </w:pPr>
          </w:p>
        </w:tc>
        <w:tc>
          <w:tcPr>
            <w:tcW w:w="0" w:type="auto"/>
            <w:gridSpan w:val="3"/>
            <w:shd w:val="clear" w:color="auto" w:fill="auto"/>
            <w:vAlign w:val="bottom"/>
          </w:tcPr>
          <w:p w14:paraId="71D46543" w14:textId="77777777" w:rsidR="006A3667" w:rsidRDefault="006A3667">
            <w:pPr>
              <w:rPr>
                <w:rFonts w:ascii="宋体"/>
                <w:vanish/>
              </w:rPr>
            </w:pPr>
          </w:p>
        </w:tc>
        <w:tc>
          <w:tcPr>
            <w:tcW w:w="0" w:type="auto"/>
            <w:gridSpan w:val="3"/>
            <w:shd w:val="clear" w:color="auto" w:fill="auto"/>
            <w:vAlign w:val="bottom"/>
          </w:tcPr>
          <w:p w14:paraId="71D46544" w14:textId="77777777" w:rsidR="006A3667" w:rsidRDefault="006A3667">
            <w:pPr>
              <w:rPr>
                <w:rFonts w:ascii="宋体"/>
                <w:vanish/>
              </w:rPr>
            </w:pPr>
          </w:p>
        </w:tc>
        <w:tc>
          <w:tcPr>
            <w:tcW w:w="0" w:type="auto"/>
            <w:gridSpan w:val="3"/>
            <w:shd w:val="clear" w:color="auto" w:fill="auto"/>
            <w:vAlign w:val="bottom"/>
          </w:tcPr>
          <w:p w14:paraId="71D46545" w14:textId="77777777" w:rsidR="006A3667" w:rsidRDefault="006A3667">
            <w:pPr>
              <w:rPr>
                <w:rFonts w:ascii="宋体"/>
                <w:vanish/>
              </w:rPr>
            </w:pPr>
          </w:p>
        </w:tc>
        <w:tc>
          <w:tcPr>
            <w:tcW w:w="0" w:type="auto"/>
            <w:gridSpan w:val="3"/>
            <w:shd w:val="clear" w:color="auto" w:fill="auto"/>
            <w:vAlign w:val="bottom"/>
          </w:tcPr>
          <w:p w14:paraId="71D46546" w14:textId="77777777" w:rsidR="006A3667" w:rsidRDefault="006A3667">
            <w:pPr>
              <w:rPr>
                <w:rFonts w:ascii="宋体"/>
                <w:vanish/>
              </w:rPr>
            </w:pPr>
          </w:p>
        </w:tc>
        <w:tc>
          <w:tcPr>
            <w:tcW w:w="0" w:type="auto"/>
            <w:gridSpan w:val="3"/>
            <w:shd w:val="clear" w:color="auto" w:fill="auto"/>
            <w:vAlign w:val="bottom"/>
          </w:tcPr>
          <w:p w14:paraId="71D46547" w14:textId="77777777" w:rsidR="006A3667" w:rsidRDefault="006A3667">
            <w:pPr>
              <w:rPr>
                <w:rFonts w:ascii="宋体"/>
                <w:vanish/>
              </w:rPr>
            </w:pPr>
          </w:p>
        </w:tc>
      </w:tr>
      <w:tr w:rsidR="006A3667" w14:paraId="71D4656B" w14:textId="77777777">
        <w:tc>
          <w:tcPr>
            <w:tcW w:w="0" w:type="auto"/>
            <w:gridSpan w:val="3"/>
            <w:shd w:val="clear" w:color="auto" w:fill="CCEEFF"/>
            <w:tcMar>
              <w:top w:w="40" w:type="dxa"/>
              <w:left w:w="155" w:type="dxa"/>
              <w:bottom w:w="40" w:type="dxa"/>
              <w:right w:w="20" w:type="dxa"/>
            </w:tcMar>
            <w:vAlign w:val="bottom"/>
          </w:tcPr>
          <w:p w14:paraId="71D46549" w14:textId="77777777" w:rsidR="006A3667" w:rsidRDefault="00045F32">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654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54B" w14:textId="77777777" w:rsidR="006A3667" w:rsidRDefault="00045F32">
            <w:pPr>
              <w:jc w:val="right"/>
              <w:textAlignment w:val="bottom"/>
            </w:pPr>
            <w:r>
              <w:rPr>
                <w:rFonts w:ascii="Arial" w:eastAsia="宋体" w:hAnsi="Arial" w:cs="Arial"/>
                <w:color w:val="000000"/>
                <w:sz w:val="14"/>
                <w:szCs w:val="14"/>
              </w:rPr>
              <w:t>5,953 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5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4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54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54F" w14:textId="77777777" w:rsidR="006A3667" w:rsidRDefault="00045F32">
            <w:pPr>
              <w:jc w:val="right"/>
              <w:textAlignment w:val="bottom"/>
            </w:pPr>
            <w:r>
              <w:rPr>
                <w:rFonts w:ascii="Arial" w:eastAsia="宋体" w:hAnsi="Arial" w:cs="Arial"/>
                <w:color w:val="000000"/>
                <w:sz w:val="14"/>
                <w:szCs w:val="14"/>
              </w:rPr>
              <w:t>3,215 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5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5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55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553" w14:textId="77777777" w:rsidR="006A3667" w:rsidRDefault="00045F32">
            <w:pPr>
              <w:jc w:val="right"/>
              <w:textAlignment w:val="bottom"/>
            </w:pPr>
            <w:r>
              <w:rPr>
                <w:rFonts w:ascii="Arial" w:eastAsia="宋体" w:hAnsi="Arial" w:cs="Arial"/>
                <w:color w:val="000000"/>
                <w:sz w:val="14"/>
                <w:szCs w:val="14"/>
              </w:rPr>
              <w:t>111 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5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5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55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557" w14:textId="77777777" w:rsidR="006A3667" w:rsidRDefault="00045F32">
            <w:pPr>
              <w:jc w:val="right"/>
              <w:textAlignment w:val="bottom"/>
            </w:pPr>
            <w:r>
              <w:rPr>
                <w:rFonts w:ascii="Arial" w:eastAsia="宋体" w:hAnsi="Arial" w:cs="Arial"/>
                <w:color w:val="000000"/>
                <w:sz w:val="14"/>
                <w:szCs w:val="14"/>
              </w:rPr>
              <w:t>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5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5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55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55B" w14:textId="77777777" w:rsidR="006A3667" w:rsidRDefault="00045F32">
            <w:pPr>
              <w:jc w:val="right"/>
              <w:textAlignment w:val="bottom"/>
            </w:pPr>
            <w:r>
              <w:rPr>
                <w:rFonts w:ascii="Arial" w:eastAsia="宋体" w:hAnsi="Arial" w:cs="Arial"/>
                <w:color w:val="000000"/>
                <w:sz w:val="14"/>
                <w:szCs w:val="14"/>
              </w:rPr>
              <w:t>134 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5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5D" w14:textId="77777777" w:rsidR="006A3667" w:rsidRDefault="006A3667">
            <w:pPr>
              <w:rPr>
                <w:rFonts w:ascii="宋体"/>
              </w:rPr>
            </w:pPr>
          </w:p>
        </w:tc>
        <w:tc>
          <w:tcPr>
            <w:tcW w:w="0" w:type="auto"/>
            <w:shd w:val="clear" w:color="auto" w:fill="auto"/>
            <w:vAlign w:val="bottom"/>
          </w:tcPr>
          <w:p w14:paraId="71D4655E" w14:textId="77777777" w:rsidR="006A3667" w:rsidRDefault="006A3667">
            <w:pPr>
              <w:rPr>
                <w:rFonts w:ascii="宋体"/>
                <w:vanish/>
              </w:rPr>
            </w:pPr>
          </w:p>
        </w:tc>
        <w:tc>
          <w:tcPr>
            <w:tcW w:w="0" w:type="auto"/>
            <w:shd w:val="clear" w:color="auto" w:fill="auto"/>
            <w:vAlign w:val="bottom"/>
          </w:tcPr>
          <w:p w14:paraId="71D4655F"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56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561" w14:textId="77777777" w:rsidR="006A3667" w:rsidRDefault="00045F32">
            <w:pPr>
              <w:jc w:val="right"/>
              <w:textAlignment w:val="bottom"/>
            </w:pPr>
            <w:r>
              <w:rPr>
                <w:rFonts w:ascii="Arial" w:eastAsia="宋体" w:hAnsi="Arial" w:cs="Arial"/>
                <w:color w:val="000000"/>
                <w:sz w:val="14"/>
                <w:szCs w:val="14"/>
              </w:rPr>
              <w:t>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56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6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56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565" w14:textId="77777777" w:rsidR="006A3667" w:rsidRDefault="00045F32">
            <w:pPr>
              <w:jc w:val="right"/>
              <w:textAlignment w:val="bottom"/>
            </w:pPr>
            <w:r>
              <w:rPr>
                <w:rFonts w:ascii="Arial" w:eastAsia="宋体" w:hAnsi="Arial" w:cs="Arial"/>
                <w:color w:val="000000"/>
                <w:sz w:val="14"/>
                <w:szCs w:val="14"/>
              </w:rPr>
              <w:t>4,187 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5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56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56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569" w14:textId="77777777" w:rsidR="006A3667" w:rsidRDefault="00045F32">
            <w:pPr>
              <w:jc w:val="right"/>
              <w:textAlignment w:val="bottom"/>
            </w:pPr>
            <w:r>
              <w:rPr>
                <w:rFonts w:ascii="Arial" w:eastAsia="宋体" w:hAnsi="Arial" w:cs="Arial"/>
                <w:color w:val="000000"/>
                <w:sz w:val="14"/>
                <w:szCs w:val="14"/>
              </w:rPr>
              <w:t>13,832 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56A" w14:textId="77777777" w:rsidR="006A3667" w:rsidRDefault="006A3667">
            <w:pPr>
              <w:jc w:val="right"/>
              <w:rPr>
                <w:rFonts w:ascii="宋体"/>
              </w:rPr>
            </w:pPr>
          </w:p>
        </w:tc>
      </w:tr>
      <w:tr w:rsidR="006A3667" w14:paraId="71D4657E" w14:textId="77777777">
        <w:trPr>
          <w:trHeight w:val="220"/>
        </w:trPr>
        <w:tc>
          <w:tcPr>
            <w:tcW w:w="0" w:type="auto"/>
            <w:gridSpan w:val="3"/>
            <w:shd w:val="clear" w:color="auto" w:fill="FFFFFF"/>
            <w:tcMar>
              <w:top w:w="0" w:type="dxa"/>
              <w:left w:w="20" w:type="dxa"/>
              <w:bottom w:w="0" w:type="dxa"/>
              <w:right w:w="20" w:type="dxa"/>
            </w:tcMar>
            <w:vAlign w:val="bottom"/>
          </w:tcPr>
          <w:p w14:paraId="71D4656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56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56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56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57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57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572"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57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57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57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576" w14:textId="77777777" w:rsidR="006A3667" w:rsidRDefault="006A3667">
            <w:pPr>
              <w:rPr>
                <w:rFonts w:ascii="宋体"/>
              </w:rPr>
            </w:pPr>
          </w:p>
        </w:tc>
        <w:tc>
          <w:tcPr>
            <w:tcW w:w="0" w:type="auto"/>
            <w:shd w:val="clear" w:color="auto" w:fill="auto"/>
            <w:vAlign w:val="bottom"/>
          </w:tcPr>
          <w:p w14:paraId="71D46577" w14:textId="77777777" w:rsidR="006A3667" w:rsidRDefault="006A3667">
            <w:pPr>
              <w:rPr>
                <w:rFonts w:ascii="宋体"/>
                <w:vanish/>
              </w:rPr>
            </w:pPr>
          </w:p>
        </w:tc>
        <w:tc>
          <w:tcPr>
            <w:tcW w:w="0" w:type="auto"/>
            <w:shd w:val="clear" w:color="auto" w:fill="auto"/>
            <w:vAlign w:val="bottom"/>
          </w:tcPr>
          <w:p w14:paraId="71D46578" w14:textId="77777777" w:rsidR="006A3667" w:rsidRDefault="006A3667">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57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57A"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57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57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57D" w14:textId="77777777" w:rsidR="006A3667" w:rsidRDefault="006A3667">
            <w:pPr>
              <w:rPr>
                <w:rFonts w:ascii="宋体"/>
              </w:rPr>
            </w:pPr>
          </w:p>
        </w:tc>
      </w:tr>
      <w:tr w:rsidR="006A3667" w14:paraId="71D46591" w14:textId="77777777">
        <w:trPr>
          <w:hidden/>
        </w:trPr>
        <w:tc>
          <w:tcPr>
            <w:tcW w:w="0" w:type="auto"/>
            <w:gridSpan w:val="3"/>
            <w:shd w:val="clear" w:color="auto" w:fill="auto"/>
            <w:vAlign w:val="bottom"/>
          </w:tcPr>
          <w:p w14:paraId="71D4657F" w14:textId="77777777" w:rsidR="006A3667" w:rsidRDefault="006A3667">
            <w:pPr>
              <w:rPr>
                <w:rFonts w:ascii="宋体"/>
                <w:vanish/>
              </w:rPr>
            </w:pPr>
          </w:p>
        </w:tc>
        <w:tc>
          <w:tcPr>
            <w:tcW w:w="0" w:type="auto"/>
            <w:gridSpan w:val="3"/>
            <w:shd w:val="clear" w:color="auto" w:fill="auto"/>
            <w:vAlign w:val="bottom"/>
          </w:tcPr>
          <w:p w14:paraId="71D46580" w14:textId="77777777" w:rsidR="006A3667" w:rsidRDefault="006A3667">
            <w:pPr>
              <w:rPr>
                <w:rFonts w:ascii="宋体"/>
                <w:vanish/>
              </w:rPr>
            </w:pPr>
          </w:p>
        </w:tc>
        <w:tc>
          <w:tcPr>
            <w:tcW w:w="0" w:type="auto"/>
            <w:gridSpan w:val="3"/>
            <w:shd w:val="clear" w:color="auto" w:fill="auto"/>
            <w:vAlign w:val="bottom"/>
          </w:tcPr>
          <w:p w14:paraId="71D46581" w14:textId="77777777" w:rsidR="006A3667" w:rsidRDefault="006A3667">
            <w:pPr>
              <w:rPr>
                <w:rFonts w:ascii="宋体"/>
                <w:vanish/>
              </w:rPr>
            </w:pPr>
          </w:p>
        </w:tc>
        <w:tc>
          <w:tcPr>
            <w:tcW w:w="0" w:type="auto"/>
            <w:gridSpan w:val="3"/>
            <w:shd w:val="clear" w:color="auto" w:fill="auto"/>
            <w:vAlign w:val="bottom"/>
          </w:tcPr>
          <w:p w14:paraId="71D46582" w14:textId="77777777" w:rsidR="006A3667" w:rsidRDefault="006A3667">
            <w:pPr>
              <w:rPr>
                <w:rFonts w:ascii="宋体"/>
                <w:vanish/>
              </w:rPr>
            </w:pPr>
          </w:p>
        </w:tc>
        <w:tc>
          <w:tcPr>
            <w:tcW w:w="0" w:type="auto"/>
            <w:gridSpan w:val="3"/>
            <w:shd w:val="clear" w:color="auto" w:fill="auto"/>
            <w:vAlign w:val="bottom"/>
          </w:tcPr>
          <w:p w14:paraId="71D46583" w14:textId="77777777" w:rsidR="006A3667" w:rsidRDefault="006A3667">
            <w:pPr>
              <w:rPr>
                <w:rFonts w:ascii="宋体"/>
                <w:vanish/>
              </w:rPr>
            </w:pPr>
          </w:p>
        </w:tc>
        <w:tc>
          <w:tcPr>
            <w:tcW w:w="0" w:type="auto"/>
            <w:gridSpan w:val="3"/>
            <w:shd w:val="clear" w:color="auto" w:fill="auto"/>
            <w:vAlign w:val="bottom"/>
          </w:tcPr>
          <w:p w14:paraId="71D46584" w14:textId="77777777" w:rsidR="006A3667" w:rsidRDefault="006A3667">
            <w:pPr>
              <w:rPr>
                <w:rFonts w:ascii="宋体"/>
                <w:vanish/>
              </w:rPr>
            </w:pPr>
          </w:p>
        </w:tc>
        <w:tc>
          <w:tcPr>
            <w:tcW w:w="0" w:type="auto"/>
            <w:gridSpan w:val="3"/>
            <w:shd w:val="clear" w:color="auto" w:fill="auto"/>
            <w:vAlign w:val="bottom"/>
          </w:tcPr>
          <w:p w14:paraId="71D46585" w14:textId="77777777" w:rsidR="006A3667" w:rsidRDefault="006A3667">
            <w:pPr>
              <w:rPr>
                <w:rFonts w:ascii="宋体"/>
                <w:vanish/>
              </w:rPr>
            </w:pPr>
          </w:p>
        </w:tc>
        <w:tc>
          <w:tcPr>
            <w:tcW w:w="0" w:type="auto"/>
            <w:gridSpan w:val="3"/>
            <w:shd w:val="clear" w:color="auto" w:fill="auto"/>
            <w:vAlign w:val="bottom"/>
          </w:tcPr>
          <w:p w14:paraId="71D46586" w14:textId="77777777" w:rsidR="006A3667" w:rsidRDefault="006A3667">
            <w:pPr>
              <w:rPr>
                <w:rFonts w:ascii="宋体"/>
                <w:vanish/>
              </w:rPr>
            </w:pPr>
          </w:p>
        </w:tc>
        <w:tc>
          <w:tcPr>
            <w:tcW w:w="0" w:type="auto"/>
            <w:gridSpan w:val="3"/>
            <w:shd w:val="clear" w:color="auto" w:fill="auto"/>
            <w:vAlign w:val="bottom"/>
          </w:tcPr>
          <w:p w14:paraId="71D46587" w14:textId="77777777" w:rsidR="006A3667" w:rsidRDefault="006A3667">
            <w:pPr>
              <w:rPr>
                <w:rFonts w:ascii="宋体"/>
                <w:vanish/>
              </w:rPr>
            </w:pPr>
          </w:p>
        </w:tc>
        <w:tc>
          <w:tcPr>
            <w:tcW w:w="0" w:type="auto"/>
            <w:gridSpan w:val="3"/>
            <w:shd w:val="clear" w:color="auto" w:fill="auto"/>
            <w:vAlign w:val="bottom"/>
          </w:tcPr>
          <w:p w14:paraId="71D46588" w14:textId="77777777" w:rsidR="006A3667" w:rsidRDefault="006A3667">
            <w:pPr>
              <w:rPr>
                <w:rFonts w:ascii="宋体"/>
                <w:vanish/>
              </w:rPr>
            </w:pPr>
          </w:p>
        </w:tc>
        <w:tc>
          <w:tcPr>
            <w:tcW w:w="0" w:type="auto"/>
            <w:gridSpan w:val="3"/>
            <w:shd w:val="clear" w:color="auto" w:fill="auto"/>
            <w:vAlign w:val="bottom"/>
          </w:tcPr>
          <w:p w14:paraId="71D46589" w14:textId="77777777" w:rsidR="006A3667" w:rsidRDefault="006A3667">
            <w:pPr>
              <w:rPr>
                <w:rFonts w:ascii="宋体"/>
                <w:vanish/>
              </w:rPr>
            </w:pPr>
          </w:p>
        </w:tc>
        <w:tc>
          <w:tcPr>
            <w:tcW w:w="0" w:type="auto"/>
            <w:shd w:val="clear" w:color="auto" w:fill="auto"/>
            <w:vAlign w:val="bottom"/>
          </w:tcPr>
          <w:p w14:paraId="71D4658A" w14:textId="77777777" w:rsidR="006A3667" w:rsidRDefault="006A3667">
            <w:pPr>
              <w:rPr>
                <w:rFonts w:ascii="宋体"/>
                <w:vanish/>
              </w:rPr>
            </w:pPr>
          </w:p>
        </w:tc>
        <w:tc>
          <w:tcPr>
            <w:tcW w:w="0" w:type="auto"/>
            <w:shd w:val="clear" w:color="auto" w:fill="auto"/>
            <w:vAlign w:val="bottom"/>
          </w:tcPr>
          <w:p w14:paraId="71D4658B" w14:textId="77777777" w:rsidR="006A3667" w:rsidRDefault="006A3667">
            <w:pPr>
              <w:rPr>
                <w:rFonts w:ascii="宋体"/>
                <w:vanish/>
              </w:rPr>
            </w:pPr>
          </w:p>
        </w:tc>
        <w:tc>
          <w:tcPr>
            <w:tcW w:w="0" w:type="auto"/>
            <w:gridSpan w:val="3"/>
            <w:shd w:val="clear" w:color="auto" w:fill="auto"/>
            <w:vAlign w:val="bottom"/>
          </w:tcPr>
          <w:p w14:paraId="71D4658C" w14:textId="77777777" w:rsidR="006A3667" w:rsidRDefault="006A3667">
            <w:pPr>
              <w:rPr>
                <w:rFonts w:ascii="宋体"/>
                <w:vanish/>
              </w:rPr>
            </w:pPr>
          </w:p>
        </w:tc>
        <w:tc>
          <w:tcPr>
            <w:tcW w:w="0" w:type="auto"/>
            <w:gridSpan w:val="3"/>
            <w:shd w:val="clear" w:color="auto" w:fill="auto"/>
            <w:vAlign w:val="bottom"/>
          </w:tcPr>
          <w:p w14:paraId="71D4658D" w14:textId="77777777" w:rsidR="006A3667" w:rsidRDefault="006A3667">
            <w:pPr>
              <w:rPr>
                <w:rFonts w:ascii="宋体"/>
                <w:vanish/>
              </w:rPr>
            </w:pPr>
          </w:p>
        </w:tc>
        <w:tc>
          <w:tcPr>
            <w:tcW w:w="0" w:type="auto"/>
            <w:gridSpan w:val="3"/>
            <w:shd w:val="clear" w:color="auto" w:fill="auto"/>
            <w:vAlign w:val="bottom"/>
          </w:tcPr>
          <w:p w14:paraId="71D4658E" w14:textId="77777777" w:rsidR="006A3667" w:rsidRDefault="006A3667">
            <w:pPr>
              <w:rPr>
                <w:rFonts w:ascii="宋体"/>
                <w:vanish/>
              </w:rPr>
            </w:pPr>
          </w:p>
        </w:tc>
        <w:tc>
          <w:tcPr>
            <w:tcW w:w="0" w:type="auto"/>
            <w:gridSpan w:val="3"/>
            <w:shd w:val="clear" w:color="auto" w:fill="auto"/>
            <w:vAlign w:val="bottom"/>
          </w:tcPr>
          <w:p w14:paraId="71D4658F" w14:textId="77777777" w:rsidR="006A3667" w:rsidRDefault="006A3667">
            <w:pPr>
              <w:rPr>
                <w:rFonts w:ascii="宋体"/>
                <w:vanish/>
              </w:rPr>
            </w:pPr>
          </w:p>
        </w:tc>
        <w:tc>
          <w:tcPr>
            <w:tcW w:w="0" w:type="auto"/>
            <w:gridSpan w:val="3"/>
            <w:shd w:val="clear" w:color="auto" w:fill="auto"/>
            <w:vAlign w:val="bottom"/>
          </w:tcPr>
          <w:p w14:paraId="71D46590" w14:textId="77777777" w:rsidR="006A3667" w:rsidRDefault="006A3667">
            <w:pPr>
              <w:rPr>
                <w:rFonts w:ascii="宋体"/>
                <w:vanish/>
              </w:rPr>
            </w:pPr>
          </w:p>
        </w:tc>
      </w:tr>
      <w:tr w:rsidR="006A3667" w14:paraId="71D465A4" w14:textId="77777777">
        <w:trPr>
          <w:hidden/>
        </w:trPr>
        <w:tc>
          <w:tcPr>
            <w:tcW w:w="0" w:type="auto"/>
            <w:gridSpan w:val="3"/>
            <w:shd w:val="clear" w:color="auto" w:fill="auto"/>
            <w:vAlign w:val="bottom"/>
          </w:tcPr>
          <w:p w14:paraId="71D46592" w14:textId="77777777" w:rsidR="006A3667" w:rsidRDefault="006A3667">
            <w:pPr>
              <w:rPr>
                <w:rFonts w:ascii="宋体"/>
                <w:vanish/>
              </w:rPr>
            </w:pPr>
          </w:p>
        </w:tc>
        <w:tc>
          <w:tcPr>
            <w:tcW w:w="0" w:type="auto"/>
            <w:gridSpan w:val="3"/>
            <w:shd w:val="clear" w:color="auto" w:fill="auto"/>
            <w:vAlign w:val="bottom"/>
          </w:tcPr>
          <w:p w14:paraId="71D46593" w14:textId="77777777" w:rsidR="006A3667" w:rsidRDefault="006A3667">
            <w:pPr>
              <w:rPr>
                <w:rFonts w:ascii="宋体"/>
                <w:vanish/>
              </w:rPr>
            </w:pPr>
          </w:p>
        </w:tc>
        <w:tc>
          <w:tcPr>
            <w:tcW w:w="0" w:type="auto"/>
            <w:gridSpan w:val="3"/>
            <w:shd w:val="clear" w:color="auto" w:fill="auto"/>
            <w:vAlign w:val="bottom"/>
          </w:tcPr>
          <w:p w14:paraId="71D46594" w14:textId="77777777" w:rsidR="006A3667" w:rsidRDefault="006A3667">
            <w:pPr>
              <w:rPr>
                <w:rFonts w:ascii="宋体"/>
                <w:vanish/>
              </w:rPr>
            </w:pPr>
          </w:p>
        </w:tc>
        <w:tc>
          <w:tcPr>
            <w:tcW w:w="0" w:type="auto"/>
            <w:gridSpan w:val="3"/>
            <w:shd w:val="clear" w:color="auto" w:fill="auto"/>
            <w:vAlign w:val="bottom"/>
          </w:tcPr>
          <w:p w14:paraId="71D46595" w14:textId="77777777" w:rsidR="006A3667" w:rsidRDefault="006A3667">
            <w:pPr>
              <w:rPr>
                <w:rFonts w:ascii="宋体"/>
                <w:vanish/>
              </w:rPr>
            </w:pPr>
          </w:p>
        </w:tc>
        <w:tc>
          <w:tcPr>
            <w:tcW w:w="0" w:type="auto"/>
            <w:gridSpan w:val="3"/>
            <w:shd w:val="clear" w:color="auto" w:fill="auto"/>
            <w:vAlign w:val="bottom"/>
          </w:tcPr>
          <w:p w14:paraId="71D46596" w14:textId="77777777" w:rsidR="006A3667" w:rsidRDefault="006A3667">
            <w:pPr>
              <w:rPr>
                <w:rFonts w:ascii="宋体"/>
                <w:vanish/>
              </w:rPr>
            </w:pPr>
          </w:p>
        </w:tc>
        <w:tc>
          <w:tcPr>
            <w:tcW w:w="0" w:type="auto"/>
            <w:gridSpan w:val="3"/>
            <w:shd w:val="clear" w:color="auto" w:fill="auto"/>
            <w:vAlign w:val="bottom"/>
          </w:tcPr>
          <w:p w14:paraId="71D46597" w14:textId="77777777" w:rsidR="006A3667" w:rsidRDefault="006A3667">
            <w:pPr>
              <w:rPr>
                <w:rFonts w:ascii="宋体"/>
                <w:vanish/>
              </w:rPr>
            </w:pPr>
          </w:p>
        </w:tc>
        <w:tc>
          <w:tcPr>
            <w:tcW w:w="0" w:type="auto"/>
            <w:gridSpan w:val="3"/>
            <w:shd w:val="clear" w:color="auto" w:fill="auto"/>
            <w:vAlign w:val="bottom"/>
          </w:tcPr>
          <w:p w14:paraId="71D46598" w14:textId="77777777" w:rsidR="006A3667" w:rsidRDefault="006A3667">
            <w:pPr>
              <w:rPr>
                <w:rFonts w:ascii="宋体"/>
                <w:vanish/>
              </w:rPr>
            </w:pPr>
          </w:p>
        </w:tc>
        <w:tc>
          <w:tcPr>
            <w:tcW w:w="0" w:type="auto"/>
            <w:gridSpan w:val="3"/>
            <w:shd w:val="clear" w:color="auto" w:fill="auto"/>
            <w:vAlign w:val="bottom"/>
          </w:tcPr>
          <w:p w14:paraId="71D46599" w14:textId="77777777" w:rsidR="006A3667" w:rsidRDefault="006A3667">
            <w:pPr>
              <w:rPr>
                <w:rFonts w:ascii="宋体"/>
                <w:vanish/>
              </w:rPr>
            </w:pPr>
          </w:p>
        </w:tc>
        <w:tc>
          <w:tcPr>
            <w:tcW w:w="0" w:type="auto"/>
            <w:gridSpan w:val="3"/>
            <w:shd w:val="clear" w:color="auto" w:fill="auto"/>
            <w:vAlign w:val="bottom"/>
          </w:tcPr>
          <w:p w14:paraId="71D4659A" w14:textId="77777777" w:rsidR="006A3667" w:rsidRDefault="006A3667">
            <w:pPr>
              <w:rPr>
                <w:rFonts w:ascii="宋体"/>
                <w:vanish/>
              </w:rPr>
            </w:pPr>
          </w:p>
        </w:tc>
        <w:tc>
          <w:tcPr>
            <w:tcW w:w="0" w:type="auto"/>
            <w:gridSpan w:val="3"/>
            <w:shd w:val="clear" w:color="auto" w:fill="auto"/>
            <w:vAlign w:val="bottom"/>
          </w:tcPr>
          <w:p w14:paraId="71D4659B" w14:textId="77777777" w:rsidR="006A3667" w:rsidRDefault="006A3667">
            <w:pPr>
              <w:rPr>
                <w:rFonts w:ascii="宋体"/>
                <w:vanish/>
              </w:rPr>
            </w:pPr>
          </w:p>
        </w:tc>
        <w:tc>
          <w:tcPr>
            <w:tcW w:w="0" w:type="auto"/>
            <w:gridSpan w:val="3"/>
            <w:shd w:val="clear" w:color="auto" w:fill="auto"/>
            <w:vAlign w:val="bottom"/>
          </w:tcPr>
          <w:p w14:paraId="71D4659C" w14:textId="77777777" w:rsidR="006A3667" w:rsidRDefault="006A3667">
            <w:pPr>
              <w:rPr>
                <w:rFonts w:ascii="宋体"/>
                <w:vanish/>
              </w:rPr>
            </w:pPr>
          </w:p>
        </w:tc>
        <w:tc>
          <w:tcPr>
            <w:tcW w:w="0" w:type="auto"/>
            <w:shd w:val="clear" w:color="auto" w:fill="auto"/>
            <w:vAlign w:val="bottom"/>
          </w:tcPr>
          <w:p w14:paraId="71D4659D" w14:textId="77777777" w:rsidR="006A3667" w:rsidRDefault="006A3667">
            <w:pPr>
              <w:rPr>
                <w:rFonts w:ascii="宋体"/>
                <w:vanish/>
              </w:rPr>
            </w:pPr>
          </w:p>
        </w:tc>
        <w:tc>
          <w:tcPr>
            <w:tcW w:w="0" w:type="auto"/>
            <w:shd w:val="clear" w:color="auto" w:fill="auto"/>
            <w:vAlign w:val="bottom"/>
          </w:tcPr>
          <w:p w14:paraId="71D4659E" w14:textId="77777777" w:rsidR="006A3667" w:rsidRDefault="006A3667">
            <w:pPr>
              <w:rPr>
                <w:rFonts w:ascii="宋体"/>
                <w:vanish/>
              </w:rPr>
            </w:pPr>
          </w:p>
        </w:tc>
        <w:tc>
          <w:tcPr>
            <w:tcW w:w="0" w:type="auto"/>
            <w:gridSpan w:val="3"/>
            <w:shd w:val="clear" w:color="auto" w:fill="auto"/>
            <w:vAlign w:val="bottom"/>
          </w:tcPr>
          <w:p w14:paraId="71D4659F" w14:textId="77777777" w:rsidR="006A3667" w:rsidRDefault="006A3667">
            <w:pPr>
              <w:rPr>
                <w:rFonts w:ascii="宋体"/>
                <w:vanish/>
              </w:rPr>
            </w:pPr>
          </w:p>
        </w:tc>
        <w:tc>
          <w:tcPr>
            <w:tcW w:w="0" w:type="auto"/>
            <w:gridSpan w:val="3"/>
            <w:shd w:val="clear" w:color="auto" w:fill="auto"/>
            <w:vAlign w:val="bottom"/>
          </w:tcPr>
          <w:p w14:paraId="71D465A0" w14:textId="77777777" w:rsidR="006A3667" w:rsidRDefault="006A3667">
            <w:pPr>
              <w:rPr>
                <w:rFonts w:ascii="宋体"/>
                <w:vanish/>
              </w:rPr>
            </w:pPr>
          </w:p>
        </w:tc>
        <w:tc>
          <w:tcPr>
            <w:tcW w:w="0" w:type="auto"/>
            <w:gridSpan w:val="3"/>
            <w:shd w:val="clear" w:color="auto" w:fill="auto"/>
            <w:vAlign w:val="bottom"/>
          </w:tcPr>
          <w:p w14:paraId="71D465A1" w14:textId="77777777" w:rsidR="006A3667" w:rsidRDefault="006A3667">
            <w:pPr>
              <w:rPr>
                <w:rFonts w:ascii="宋体"/>
                <w:vanish/>
              </w:rPr>
            </w:pPr>
          </w:p>
        </w:tc>
        <w:tc>
          <w:tcPr>
            <w:tcW w:w="0" w:type="auto"/>
            <w:gridSpan w:val="3"/>
            <w:shd w:val="clear" w:color="auto" w:fill="auto"/>
            <w:vAlign w:val="bottom"/>
          </w:tcPr>
          <w:p w14:paraId="71D465A2" w14:textId="77777777" w:rsidR="006A3667" w:rsidRDefault="006A3667">
            <w:pPr>
              <w:rPr>
                <w:rFonts w:ascii="宋体"/>
                <w:vanish/>
              </w:rPr>
            </w:pPr>
          </w:p>
        </w:tc>
        <w:tc>
          <w:tcPr>
            <w:tcW w:w="0" w:type="auto"/>
            <w:gridSpan w:val="3"/>
            <w:shd w:val="clear" w:color="auto" w:fill="auto"/>
            <w:vAlign w:val="bottom"/>
          </w:tcPr>
          <w:p w14:paraId="71D465A3" w14:textId="77777777" w:rsidR="006A3667" w:rsidRDefault="006A3667">
            <w:pPr>
              <w:rPr>
                <w:rFonts w:ascii="宋体"/>
                <w:vanish/>
              </w:rPr>
            </w:pPr>
          </w:p>
        </w:tc>
      </w:tr>
      <w:tr w:rsidR="006A3667" w14:paraId="71D465B7" w14:textId="77777777">
        <w:trPr>
          <w:hidden/>
        </w:trPr>
        <w:tc>
          <w:tcPr>
            <w:tcW w:w="0" w:type="auto"/>
            <w:gridSpan w:val="3"/>
            <w:shd w:val="clear" w:color="auto" w:fill="auto"/>
            <w:vAlign w:val="bottom"/>
          </w:tcPr>
          <w:p w14:paraId="71D465A5" w14:textId="77777777" w:rsidR="006A3667" w:rsidRDefault="006A3667">
            <w:pPr>
              <w:rPr>
                <w:rFonts w:ascii="宋体"/>
                <w:vanish/>
              </w:rPr>
            </w:pPr>
          </w:p>
        </w:tc>
        <w:tc>
          <w:tcPr>
            <w:tcW w:w="0" w:type="auto"/>
            <w:gridSpan w:val="3"/>
            <w:shd w:val="clear" w:color="auto" w:fill="auto"/>
            <w:vAlign w:val="bottom"/>
          </w:tcPr>
          <w:p w14:paraId="71D465A6" w14:textId="77777777" w:rsidR="006A3667" w:rsidRDefault="006A3667">
            <w:pPr>
              <w:rPr>
                <w:rFonts w:ascii="宋体"/>
                <w:vanish/>
              </w:rPr>
            </w:pPr>
          </w:p>
        </w:tc>
        <w:tc>
          <w:tcPr>
            <w:tcW w:w="0" w:type="auto"/>
            <w:gridSpan w:val="3"/>
            <w:shd w:val="clear" w:color="auto" w:fill="auto"/>
            <w:vAlign w:val="bottom"/>
          </w:tcPr>
          <w:p w14:paraId="71D465A7" w14:textId="77777777" w:rsidR="006A3667" w:rsidRDefault="006A3667">
            <w:pPr>
              <w:rPr>
                <w:rFonts w:ascii="宋体"/>
                <w:vanish/>
              </w:rPr>
            </w:pPr>
          </w:p>
        </w:tc>
        <w:tc>
          <w:tcPr>
            <w:tcW w:w="0" w:type="auto"/>
            <w:gridSpan w:val="3"/>
            <w:shd w:val="clear" w:color="auto" w:fill="auto"/>
            <w:vAlign w:val="bottom"/>
          </w:tcPr>
          <w:p w14:paraId="71D465A8" w14:textId="77777777" w:rsidR="006A3667" w:rsidRDefault="006A3667">
            <w:pPr>
              <w:rPr>
                <w:rFonts w:ascii="宋体"/>
                <w:vanish/>
              </w:rPr>
            </w:pPr>
          </w:p>
        </w:tc>
        <w:tc>
          <w:tcPr>
            <w:tcW w:w="0" w:type="auto"/>
            <w:gridSpan w:val="3"/>
            <w:shd w:val="clear" w:color="auto" w:fill="auto"/>
            <w:vAlign w:val="bottom"/>
          </w:tcPr>
          <w:p w14:paraId="71D465A9" w14:textId="77777777" w:rsidR="006A3667" w:rsidRDefault="006A3667">
            <w:pPr>
              <w:rPr>
                <w:rFonts w:ascii="宋体"/>
                <w:vanish/>
              </w:rPr>
            </w:pPr>
          </w:p>
        </w:tc>
        <w:tc>
          <w:tcPr>
            <w:tcW w:w="0" w:type="auto"/>
            <w:gridSpan w:val="3"/>
            <w:shd w:val="clear" w:color="auto" w:fill="auto"/>
            <w:vAlign w:val="bottom"/>
          </w:tcPr>
          <w:p w14:paraId="71D465AA" w14:textId="77777777" w:rsidR="006A3667" w:rsidRDefault="006A3667">
            <w:pPr>
              <w:rPr>
                <w:rFonts w:ascii="宋体"/>
                <w:vanish/>
              </w:rPr>
            </w:pPr>
          </w:p>
        </w:tc>
        <w:tc>
          <w:tcPr>
            <w:tcW w:w="0" w:type="auto"/>
            <w:gridSpan w:val="3"/>
            <w:shd w:val="clear" w:color="auto" w:fill="auto"/>
            <w:vAlign w:val="bottom"/>
          </w:tcPr>
          <w:p w14:paraId="71D465AB" w14:textId="77777777" w:rsidR="006A3667" w:rsidRDefault="006A3667">
            <w:pPr>
              <w:rPr>
                <w:rFonts w:ascii="宋体"/>
                <w:vanish/>
              </w:rPr>
            </w:pPr>
          </w:p>
        </w:tc>
        <w:tc>
          <w:tcPr>
            <w:tcW w:w="0" w:type="auto"/>
            <w:gridSpan w:val="3"/>
            <w:shd w:val="clear" w:color="auto" w:fill="auto"/>
            <w:vAlign w:val="bottom"/>
          </w:tcPr>
          <w:p w14:paraId="71D465AC" w14:textId="77777777" w:rsidR="006A3667" w:rsidRDefault="006A3667">
            <w:pPr>
              <w:rPr>
                <w:rFonts w:ascii="宋体"/>
                <w:vanish/>
              </w:rPr>
            </w:pPr>
          </w:p>
        </w:tc>
        <w:tc>
          <w:tcPr>
            <w:tcW w:w="0" w:type="auto"/>
            <w:gridSpan w:val="3"/>
            <w:shd w:val="clear" w:color="auto" w:fill="auto"/>
            <w:vAlign w:val="bottom"/>
          </w:tcPr>
          <w:p w14:paraId="71D465AD" w14:textId="77777777" w:rsidR="006A3667" w:rsidRDefault="006A3667">
            <w:pPr>
              <w:rPr>
                <w:rFonts w:ascii="宋体"/>
                <w:vanish/>
              </w:rPr>
            </w:pPr>
          </w:p>
        </w:tc>
        <w:tc>
          <w:tcPr>
            <w:tcW w:w="0" w:type="auto"/>
            <w:gridSpan w:val="3"/>
            <w:shd w:val="clear" w:color="auto" w:fill="auto"/>
            <w:vAlign w:val="bottom"/>
          </w:tcPr>
          <w:p w14:paraId="71D465AE" w14:textId="77777777" w:rsidR="006A3667" w:rsidRDefault="006A3667">
            <w:pPr>
              <w:rPr>
                <w:rFonts w:ascii="宋体"/>
                <w:vanish/>
              </w:rPr>
            </w:pPr>
          </w:p>
        </w:tc>
        <w:tc>
          <w:tcPr>
            <w:tcW w:w="0" w:type="auto"/>
            <w:gridSpan w:val="3"/>
            <w:shd w:val="clear" w:color="auto" w:fill="auto"/>
            <w:vAlign w:val="bottom"/>
          </w:tcPr>
          <w:p w14:paraId="71D465AF" w14:textId="77777777" w:rsidR="006A3667" w:rsidRDefault="006A3667">
            <w:pPr>
              <w:rPr>
                <w:rFonts w:ascii="宋体"/>
                <w:vanish/>
              </w:rPr>
            </w:pPr>
          </w:p>
        </w:tc>
        <w:tc>
          <w:tcPr>
            <w:tcW w:w="0" w:type="auto"/>
            <w:shd w:val="clear" w:color="auto" w:fill="auto"/>
            <w:vAlign w:val="bottom"/>
          </w:tcPr>
          <w:p w14:paraId="71D465B0" w14:textId="77777777" w:rsidR="006A3667" w:rsidRDefault="006A3667">
            <w:pPr>
              <w:rPr>
                <w:rFonts w:ascii="宋体"/>
                <w:vanish/>
              </w:rPr>
            </w:pPr>
          </w:p>
        </w:tc>
        <w:tc>
          <w:tcPr>
            <w:tcW w:w="0" w:type="auto"/>
            <w:shd w:val="clear" w:color="auto" w:fill="auto"/>
            <w:vAlign w:val="bottom"/>
          </w:tcPr>
          <w:p w14:paraId="71D465B1" w14:textId="77777777" w:rsidR="006A3667" w:rsidRDefault="006A3667">
            <w:pPr>
              <w:rPr>
                <w:rFonts w:ascii="宋体"/>
                <w:vanish/>
              </w:rPr>
            </w:pPr>
          </w:p>
        </w:tc>
        <w:tc>
          <w:tcPr>
            <w:tcW w:w="0" w:type="auto"/>
            <w:gridSpan w:val="3"/>
            <w:shd w:val="clear" w:color="auto" w:fill="auto"/>
            <w:vAlign w:val="bottom"/>
          </w:tcPr>
          <w:p w14:paraId="71D465B2" w14:textId="77777777" w:rsidR="006A3667" w:rsidRDefault="006A3667">
            <w:pPr>
              <w:rPr>
                <w:rFonts w:ascii="宋体"/>
                <w:vanish/>
              </w:rPr>
            </w:pPr>
          </w:p>
        </w:tc>
        <w:tc>
          <w:tcPr>
            <w:tcW w:w="0" w:type="auto"/>
            <w:gridSpan w:val="3"/>
            <w:shd w:val="clear" w:color="auto" w:fill="auto"/>
            <w:vAlign w:val="bottom"/>
          </w:tcPr>
          <w:p w14:paraId="71D465B3" w14:textId="77777777" w:rsidR="006A3667" w:rsidRDefault="006A3667">
            <w:pPr>
              <w:rPr>
                <w:rFonts w:ascii="宋体"/>
                <w:vanish/>
              </w:rPr>
            </w:pPr>
          </w:p>
        </w:tc>
        <w:tc>
          <w:tcPr>
            <w:tcW w:w="0" w:type="auto"/>
            <w:gridSpan w:val="3"/>
            <w:shd w:val="clear" w:color="auto" w:fill="auto"/>
            <w:vAlign w:val="bottom"/>
          </w:tcPr>
          <w:p w14:paraId="71D465B4" w14:textId="77777777" w:rsidR="006A3667" w:rsidRDefault="006A3667">
            <w:pPr>
              <w:rPr>
                <w:rFonts w:ascii="宋体"/>
                <w:vanish/>
              </w:rPr>
            </w:pPr>
          </w:p>
        </w:tc>
        <w:tc>
          <w:tcPr>
            <w:tcW w:w="0" w:type="auto"/>
            <w:gridSpan w:val="3"/>
            <w:shd w:val="clear" w:color="auto" w:fill="auto"/>
            <w:vAlign w:val="bottom"/>
          </w:tcPr>
          <w:p w14:paraId="71D465B5" w14:textId="77777777" w:rsidR="006A3667" w:rsidRDefault="006A3667">
            <w:pPr>
              <w:rPr>
                <w:rFonts w:ascii="宋体"/>
                <w:vanish/>
              </w:rPr>
            </w:pPr>
          </w:p>
        </w:tc>
        <w:tc>
          <w:tcPr>
            <w:tcW w:w="0" w:type="auto"/>
            <w:gridSpan w:val="3"/>
            <w:shd w:val="clear" w:color="auto" w:fill="auto"/>
            <w:vAlign w:val="bottom"/>
          </w:tcPr>
          <w:p w14:paraId="71D465B6" w14:textId="77777777" w:rsidR="006A3667" w:rsidRDefault="006A3667">
            <w:pPr>
              <w:rPr>
                <w:rFonts w:ascii="宋体"/>
                <w:vanish/>
              </w:rPr>
            </w:pPr>
          </w:p>
        </w:tc>
      </w:tr>
      <w:tr w:rsidR="006A3667" w14:paraId="71D465CA" w14:textId="77777777">
        <w:trPr>
          <w:hidden/>
        </w:trPr>
        <w:tc>
          <w:tcPr>
            <w:tcW w:w="0" w:type="auto"/>
            <w:gridSpan w:val="3"/>
            <w:shd w:val="clear" w:color="auto" w:fill="auto"/>
            <w:vAlign w:val="bottom"/>
          </w:tcPr>
          <w:p w14:paraId="71D465B8" w14:textId="77777777" w:rsidR="006A3667" w:rsidRDefault="006A3667">
            <w:pPr>
              <w:rPr>
                <w:rFonts w:ascii="宋体"/>
                <w:vanish/>
              </w:rPr>
            </w:pPr>
          </w:p>
        </w:tc>
        <w:tc>
          <w:tcPr>
            <w:tcW w:w="0" w:type="auto"/>
            <w:gridSpan w:val="3"/>
            <w:shd w:val="clear" w:color="auto" w:fill="auto"/>
            <w:vAlign w:val="bottom"/>
          </w:tcPr>
          <w:p w14:paraId="71D465B9" w14:textId="77777777" w:rsidR="006A3667" w:rsidRDefault="006A3667">
            <w:pPr>
              <w:rPr>
                <w:rFonts w:ascii="宋体"/>
                <w:vanish/>
              </w:rPr>
            </w:pPr>
          </w:p>
        </w:tc>
        <w:tc>
          <w:tcPr>
            <w:tcW w:w="0" w:type="auto"/>
            <w:gridSpan w:val="3"/>
            <w:shd w:val="clear" w:color="auto" w:fill="auto"/>
            <w:vAlign w:val="bottom"/>
          </w:tcPr>
          <w:p w14:paraId="71D465BA" w14:textId="77777777" w:rsidR="006A3667" w:rsidRDefault="006A3667">
            <w:pPr>
              <w:rPr>
                <w:rFonts w:ascii="宋体"/>
                <w:vanish/>
              </w:rPr>
            </w:pPr>
          </w:p>
        </w:tc>
        <w:tc>
          <w:tcPr>
            <w:tcW w:w="0" w:type="auto"/>
            <w:gridSpan w:val="3"/>
            <w:shd w:val="clear" w:color="auto" w:fill="auto"/>
            <w:vAlign w:val="bottom"/>
          </w:tcPr>
          <w:p w14:paraId="71D465BB" w14:textId="77777777" w:rsidR="006A3667" w:rsidRDefault="006A3667">
            <w:pPr>
              <w:rPr>
                <w:rFonts w:ascii="宋体"/>
                <w:vanish/>
              </w:rPr>
            </w:pPr>
          </w:p>
        </w:tc>
        <w:tc>
          <w:tcPr>
            <w:tcW w:w="0" w:type="auto"/>
            <w:gridSpan w:val="3"/>
            <w:shd w:val="clear" w:color="auto" w:fill="auto"/>
            <w:vAlign w:val="bottom"/>
          </w:tcPr>
          <w:p w14:paraId="71D465BC" w14:textId="77777777" w:rsidR="006A3667" w:rsidRDefault="006A3667">
            <w:pPr>
              <w:rPr>
                <w:rFonts w:ascii="宋体"/>
                <w:vanish/>
              </w:rPr>
            </w:pPr>
          </w:p>
        </w:tc>
        <w:tc>
          <w:tcPr>
            <w:tcW w:w="0" w:type="auto"/>
            <w:gridSpan w:val="3"/>
            <w:shd w:val="clear" w:color="auto" w:fill="auto"/>
            <w:vAlign w:val="bottom"/>
          </w:tcPr>
          <w:p w14:paraId="71D465BD" w14:textId="77777777" w:rsidR="006A3667" w:rsidRDefault="006A3667">
            <w:pPr>
              <w:rPr>
                <w:rFonts w:ascii="宋体"/>
                <w:vanish/>
              </w:rPr>
            </w:pPr>
          </w:p>
        </w:tc>
        <w:tc>
          <w:tcPr>
            <w:tcW w:w="0" w:type="auto"/>
            <w:gridSpan w:val="3"/>
            <w:shd w:val="clear" w:color="auto" w:fill="auto"/>
            <w:vAlign w:val="bottom"/>
          </w:tcPr>
          <w:p w14:paraId="71D465BE" w14:textId="77777777" w:rsidR="006A3667" w:rsidRDefault="006A3667">
            <w:pPr>
              <w:rPr>
                <w:rFonts w:ascii="宋体"/>
                <w:vanish/>
              </w:rPr>
            </w:pPr>
          </w:p>
        </w:tc>
        <w:tc>
          <w:tcPr>
            <w:tcW w:w="0" w:type="auto"/>
            <w:gridSpan w:val="3"/>
            <w:shd w:val="clear" w:color="auto" w:fill="auto"/>
            <w:vAlign w:val="bottom"/>
          </w:tcPr>
          <w:p w14:paraId="71D465BF" w14:textId="77777777" w:rsidR="006A3667" w:rsidRDefault="006A3667">
            <w:pPr>
              <w:rPr>
                <w:rFonts w:ascii="宋体"/>
                <w:vanish/>
              </w:rPr>
            </w:pPr>
          </w:p>
        </w:tc>
        <w:tc>
          <w:tcPr>
            <w:tcW w:w="0" w:type="auto"/>
            <w:gridSpan w:val="3"/>
            <w:shd w:val="clear" w:color="auto" w:fill="auto"/>
            <w:vAlign w:val="bottom"/>
          </w:tcPr>
          <w:p w14:paraId="71D465C0" w14:textId="77777777" w:rsidR="006A3667" w:rsidRDefault="006A3667">
            <w:pPr>
              <w:rPr>
                <w:rFonts w:ascii="宋体"/>
                <w:vanish/>
              </w:rPr>
            </w:pPr>
          </w:p>
        </w:tc>
        <w:tc>
          <w:tcPr>
            <w:tcW w:w="0" w:type="auto"/>
            <w:gridSpan w:val="3"/>
            <w:shd w:val="clear" w:color="auto" w:fill="auto"/>
            <w:vAlign w:val="bottom"/>
          </w:tcPr>
          <w:p w14:paraId="71D465C1" w14:textId="77777777" w:rsidR="006A3667" w:rsidRDefault="006A3667">
            <w:pPr>
              <w:rPr>
                <w:rFonts w:ascii="宋体"/>
                <w:vanish/>
              </w:rPr>
            </w:pPr>
          </w:p>
        </w:tc>
        <w:tc>
          <w:tcPr>
            <w:tcW w:w="0" w:type="auto"/>
            <w:gridSpan w:val="3"/>
            <w:shd w:val="clear" w:color="auto" w:fill="auto"/>
            <w:vAlign w:val="bottom"/>
          </w:tcPr>
          <w:p w14:paraId="71D465C2" w14:textId="77777777" w:rsidR="006A3667" w:rsidRDefault="006A3667">
            <w:pPr>
              <w:rPr>
                <w:rFonts w:ascii="宋体"/>
                <w:vanish/>
              </w:rPr>
            </w:pPr>
          </w:p>
        </w:tc>
        <w:tc>
          <w:tcPr>
            <w:tcW w:w="0" w:type="auto"/>
            <w:shd w:val="clear" w:color="auto" w:fill="auto"/>
            <w:vAlign w:val="bottom"/>
          </w:tcPr>
          <w:p w14:paraId="71D465C3" w14:textId="77777777" w:rsidR="006A3667" w:rsidRDefault="006A3667">
            <w:pPr>
              <w:rPr>
                <w:rFonts w:ascii="宋体"/>
                <w:vanish/>
              </w:rPr>
            </w:pPr>
          </w:p>
        </w:tc>
        <w:tc>
          <w:tcPr>
            <w:tcW w:w="0" w:type="auto"/>
            <w:shd w:val="clear" w:color="auto" w:fill="auto"/>
            <w:vAlign w:val="bottom"/>
          </w:tcPr>
          <w:p w14:paraId="71D465C4" w14:textId="77777777" w:rsidR="006A3667" w:rsidRDefault="006A3667">
            <w:pPr>
              <w:rPr>
                <w:rFonts w:ascii="宋体"/>
                <w:vanish/>
              </w:rPr>
            </w:pPr>
          </w:p>
        </w:tc>
        <w:tc>
          <w:tcPr>
            <w:tcW w:w="0" w:type="auto"/>
            <w:gridSpan w:val="3"/>
            <w:shd w:val="clear" w:color="auto" w:fill="auto"/>
            <w:vAlign w:val="bottom"/>
          </w:tcPr>
          <w:p w14:paraId="71D465C5" w14:textId="77777777" w:rsidR="006A3667" w:rsidRDefault="006A3667">
            <w:pPr>
              <w:rPr>
                <w:rFonts w:ascii="宋体"/>
                <w:vanish/>
              </w:rPr>
            </w:pPr>
          </w:p>
        </w:tc>
        <w:tc>
          <w:tcPr>
            <w:tcW w:w="0" w:type="auto"/>
            <w:gridSpan w:val="3"/>
            <w:shd w:val="clear" w:color="auto" w:fill="auto"/>
            <w:vAlign w:val="bottom"/>
          </w:tcPr>
          <w:p w14:paraId="71D465C6" w14:textId="77777777" w:rsidR="006A3667" w:rsidRDefault="006A3667">
            <w:pPr>
              <w:rPr>
                <w:rFonts w:ascii="宋体"/>
                <w:vanish/>
              </w:rPr>
            </w:pPr>
          </w:p>
        </w:tc>
        <w:tc>
          <w:tcPr>
            <w:tcW w:w="0" w:type="auto"/>
            <w:gridSpan w:val="3"/>
            <w:shd w:val="clear" w:color="auto" w:fill="auto"/>
            <w:vAlign w:val="bottom"/>
          </w:tcPr>
          <w:p w14:paraId="71D465C7" w14:textId="77777777" w:rsidR="006A3667" w:rsidRDefault="006A3667">
            <w:pPr>
              <w:rPr>
                <w:rFonts w:ascii="宋体"/>
                <w:vanish/>
              </w:rPr>
            </w:pPr>
          </w:p>
        </w:tc>
        <w:tc>
          <w:tcPr>
            <w:tcW w:w="0" w:type="auto"/>
            <w:gridSpan w:val="3"/>
            <w:shd w:val="clear" w:color="auto" w:fill="auto"/>
            <w:vAlign w:val="bottom"/>
          </w:tcPr>
          <w:p w14:paraId="71D465C8" w14:textId="77777777" w:rsidR="006A3667" w:rsidRDefault="006A3667">
            <w:pPr>
              <w:rPr>
                <w:rFonts w:ascii="宋体"/>
                <w:vanish/>
              </w:rPr>
            </w:pPr>
          </w:p>
        </w:tc>
        <w:tc>
          <w:tcPr>
            <w:tcW w:w="0" w:type="auto"/>
            <w:gridSpan w:val="3"/>
            <w:shd w:val="clear" w:color="auto" w:fill="auto"/>
            <w:vAlign w:val="bottom"/>
          </w:tcPr>
          <w:p w14:paraId="71D465C9" w14:textId="77777777" w:rsidR="006A3667" w:rsidRDefault="006A3667">
            <w:pPr>
              <w:rPr>
                <w:rFonts w:ascii="宋体"/>
                <w:vanish/>
              </w:rPr>
            </w:pPr>
          </w:p>
        </w:tc>
      </w:tr>
      <w:tr w:rsidR="006A3667" w14:paraId="71D465DD" w14:textId="77777777">
        <w:trPr>
          <w:hidden/>
        </w:trPr>
        <w:tc>
          <w:tcPr>
            <w:tcW w:w="0" w:type="auto"/>
            <w:gridSpan w:val="3"/>
            <w:shd w:val="clear" w:color="auto" w:fill="auto"/>
            <w:vAlign w:val="bottom"/>
          </w:tcPr>
          <w:p w14:paraId="71D465CB" w14:textId="77777777" w:rsidR="006A3667" w:rsidRDefault="006A3667">
            <w:pPr>
              <w:rPr>
                <w:rFonts w:ascii="宋体"/>
                <w:vanish/>
              </w:rPr>
            </w:pPr>
          </w:p>
        </w:tc>
        <w:tc>
          <w:tcPr>
            <w:tcW w:w="0" w:type="auto"/>
            <w:gridSpan w:val="3"/>
            <w:shd w:val="clear" w:color="auto" w:fill="auto"/>
            <w:vAlign w:val="bottom"/>
          </w:tcPr>
          <w:p w14:paraId="71D465CC" w14:textId="77777777" w:rsidR="006A3667" w:rsidRDefault="006A3667">
            <w:pPr>
              <w:rPr>
                <w:rFonts w:ascii="宋体"/>
                <w:vanish/>
              </w:rPr>
            </w:pPr>
          </w:p>
        </w:tc>
        <w:tc>
          <w:tcPr>
            <w:tcW w:w="0" w:type="auto"/>
            <w:gridSpan w:val="3"/>
            <w:shd w:val="clear" w:color="auto" w:fill="auto"/>
            <w:vAlign w:val="bottom"/>
          </w:tcPr>
          <w:p w14:paraId="71D465CD" w14:textId="77777777" w:rsidR="006A3667" w:rsidRDefault="006A3667">
            <w:pPr>
              <w:rPr>
                <w:rFonts w:ascii="宋体"/>
                <w:vanish/>
              </w:rPr>
            </w:pPr>
          </w:p>
        </w:tc>
        <w:tc>
          <w:tcPr>
            <w:tcW w:w="0" w:type="auto"/>
            <w:gridSpan w:val="3"/>
            <w:shd w:val="clear" w:color="auto" w:fill="auto"/>
            <w:vAlign w:val="bottom"/>
          </w:tcPr>
          <w:p w14:paraId="71D465CE" w14:textId="77777777" w:rsidR="006A3667" w:rsidRDefault="006A3667">
            <w:pPr>
              <w:rPr>
                <w:rFonts w:ascii="宋体"/>
                <w:vanish/>
              </w:rPr>
            </w:pPr>
          </w:p>
        </w:tc>
        <w:tc>
          <w:tcPr>
            <w:tcW w:w="0" w:type="auto"/>
            <w:gridSpan w:val="3"/>
            <w:shd w:val="clear" w:color="auto" w:fill="auto"/>
            <w:vAlign w:val="bottom"/>
          </w:tcPr>
          <w:p w14:paraId="71D465CF" w14:textId="77777777" w:rsidR="006A3667" w:rsidRDefault="006A3667">
            <w:pPr>
              <w:rPr>
                <w:rFonts w:ascii="宋体"/>
                <w:vanish/>
              </w:rPr>
            </w:pPr>
          </w:p>
        </w:tc>
        <w:tc>
          <w:tcPr>
            <w:tcW w:w="0" w:type="auto"/>
            <w:gridSpan w:val="3"/>
            <w:shd w:val="clear" w:color="auto" w:fill="auto"/>
            <w:vAlign w:val="bottom"/>
          </w:tcPr>
          <w:p w14:paraId="71D465D0" w14:textId="77777777" w:rsidR="006A3667" w:rsidRDefault="006A3667">
            <w:pPr>
              <w:rPr>
                <w:rFonts w:ascii="宋体"/>
                <w:vanish/>
              </w:rPr>
            </w:pPr>
          </w:p>
        </w:tc>
        <w:tc>
          <w:tcPr>
            <w:tcW w:w="0" w:type="auto"/>
            <w:gridSpan w:val="3"/>
            <w:shd w:val="clear" w:color="auto" w:fill="auto"/>
            <w:vAlign w:val="bottom"/>
          </w:tcPr>
          <w:p w14:paraId="71D465D1" w14:textId="77777777" w:rsidR="006A3667" w:rsidRDefault="006A3667">
            <w:pPr>
              <w:rPr>
                <w:rFonts w:ascii="宋体"/>
                <w:vanish/>
              </w:rPr>
            </w:pPr>
          </w:p>
        </w:tc>
        <w:tc>
          <w:tcPr>
            <w:tcW w:w="0" w:type="auto"/>
            <w:gridSpan w:val="3"/>
            <w:shd w:val="clear" w:color="auto" w:fill="auto"/>
            <w:vAlign w:val="bottom"/>
          </w:tcPr>
          <w:p w14:paraId="71D465D2" w14:textId="77777777" w:rsidR="006A3667" w:rsidRDefault="006A3667">
            <w:pPr>
              <w:rPr>
                <w:rFonts w:ascii="宋体"/>
                <w:vanish/>
              </w:rPr>
            </w:pPr>
          </w:p>
        </w:tc>
        <w:tc>
          <w:tcPr>
            <w:tcW w:w="0" w:type="auto"/>
            <w:gridSpan w:val="3"/>
            <w:shd w:val="clear" w:color="auto" w:fill="auto"/>
            <w:vAlign w:val="bottom"/>
          </w:tcPr>
          <w:p w14:paraId="71D465D3" w14:textId="77777777" w:rsidR="006A3667" w:rsidRDefault="006A3667">
            <w:pPr>
              <w:rPr>
                <w:rFonts w:ascii="宋体"/>
                <w:vanish/>
              </w:rPr>
            </w:pPr>
          </w:p>
        </w:tc>
        <w:tc>
          <w:tcPr>
            <w:tcW w:w="0" w:type="auto"/>
            <w:gridSpan w:val="3"/>
            <w:shd w:val="clear" w:color="auto" w:fill="auto"/>
            <w:vAlign w:val="bottom"/>
          </w:tcPr>
          <w:p w14:paraId="71D465D4" w14:textId="77777777" w:rsidR="006A3667" w:rsidRDefault="006A3667">
            <w:pPr>
              <w:rPr>
                <w:rFonts w:ascii="宋体"/>
                <w:vanish/>
              </w:rPr>
            </w:pPr>
          </w:p>
        </w:tc>
        <w:tc>
          <w:tcPr>
            <w:tcW w:w="0" w:type="auto"/>
            <w:gridSpan w:val="3"/>
            <w:shd w:val="clear" w:color="auto" w:fill="auto"/>
            <w:vAlign w:val="bottom"/>
          </w:tcPr>
          <w:p w14:paraId="71D465D5" w14:textId="77777777" w:rsidR="006A3667" w:rsidRDefault="006A3667">
            <w:pPr>
              <w:rPr>
                <w:rFonts w:ascii="宋体"/>
                <w:vanish/>
              </w:rPr>
            </w:pPr>
          </w:p>
        </w:tc>
        <w:tc>
          <w:tcPr>
            <w:tcW w:w="0" w:type="auto"/>
            <w:shd w:val="clear" w:color="auto" w:fill="auto"/>
            <w:vAlign w:val="bottom"/>
          </w:tcPr>
          <w:p w14:paraId="71D465D6" w14:textId="77777777" w:rsidR="006A3667" w:rsidRDefault="006A3667">
            <w:pPr>
              <w:rPr>
                <w:rFonts w:ascii="宋体"/>
                <w:vanish/>
              </w:rPr>
            </w:pPr>
          </w:p>
        </w:tc>
        <w:tc>
          <w:tcPr>
            <w:tcW w:w="0" w:type="auto"/>
            <w:shd w:val="clear" w:color="auto" w:fill="auto"/>
            <w:vAlign w:val="bottom"/>
          </w:tcPr>
          <w:p w14:paraId="71D465D7" w14:textId="77777777" w:rsidR="006A3667" w:rsidRDefault="006A3667">
            <w:pPr>
              <w:rPr>
                <w:rFonts w:ascii="宋体"/>
                <w:vanish/>
              </w:rPr>
            </w:pPr>
          </w:p>
        </w:tc>
        <w:tc>
          <w:tcPr>
            <w:tcW w:w="0" w:type="auto"/>
            <w:gridSpan w:val="3"/>
            <w:shd w:val="clear" w:color="auto" w:fill="auto"/>
            <w:vAlign w:val="bottom"/>
          </w:tcPr>
          <w:p w14:paraId="71D465D8" w14:textId="77777777" w:rsidR="006A3667" w:rsidRDefault="006A3667">
            <w:pPr>
              <w:rPr>
                <w:rFonts w:ascii="宋体"/>
                <w:vanish/>
              </w:rPr>
            </w:pPr>
          </w:p>
        </w:tc>
        <w:tc>
          <w:tcPr>
            <w:tcW w:w="0" w:type="auto"/>
            <w:gridSpan w:val="3"/>
            <w:shd w:val="clear" w:color="auto" w:fill="auto"/>
            <w:vAlign w:val="bottom"/>
          </w:tcPr>
          <w:p w14:paraId="71D465D9" w14:textId="77777777" w:rsidR="006A3667" w:rsidRDefault="006A3667">
            <w:pPr>
              <w:rPr>
                <w:rFonts w:ascii="宋体"/>
                <w:vanish/>
              </w:rPr>
            </w:pPr>
          </w:p>
        </w:tc>
        <w:tc>
          <w:tcPr>
            <w:tcW w:w="0" w:type="auto"/>
            <w:gridSpan w:val="3"/>
            <w:shd w:val="clear" w:color="auto" w:fill="auto"/>
            <w:vAlign w:val="bottom"/>
          </w:tcPr>
          <w:p w14:paraId="71D465DA" w14:textId="77777777" w:rsidR="006A3667" w:rsidRDefault="006A3667">
            <w:pPr>
              <w:rPr>
                <w:rFonts w:ascii="宋体"/>
                <w:vanish/>
              </w:rPr>
            </w:pPr>
          </w:p>
        </w:tc>
        <w:tc>
          <w:tcPr>
            <w:tcW w:w="0" w:type="auto"/>
            <w:gridSpan w:val="3"/>
            <w:shd w:val="clear" w:color="auto" w:fill="auto"/>
            <w:vAlign w:val="bottom"/>
          </w:tcPr>
          <w:p w14:paraId="71D465DB" w14:textId="77777777" w:rsidR="006A3667" w:rsidRDefault="006A3667">
            <w:pPr>
              <w:rPr>
                <w:rFonts w:ascii="宋体"/>
                <w:vanish/>
              </w:rPr>
            </w:pPr>
          </w:p>
        </w:tc>
        <w:tc>
          <w:tcPr>
            <w:tcW w:w="0" w:type="auto"/>
            <w:gridSpan w:val="3"/>
            <w:shd w:val="clear" w:color="auto" w:fill="auto"/>
            <w:vAlign w:val="bottom"/>
          </w:tcPr>
          <w:p w14:paraId="71D465DC" w14:textId="77777777" w:rsidR="006A3667" w:rsidRDefault="006A3667">
            <w:pPr>
              <w:rPr>
                <w:rFonts w:ascii="宋体"/>
                <w:vanish/>
              </w:rPr>
            </w:pPr>
          </w:p>
        </w:tc>
      </w:tr>
      <w:tr w:rsidR="006A3667" w14:paraId="71D465F0" w14:textId="77777777">
        <w:trPr>
          <w:hidden/>
        </w:trPr>
        <w:tc>
          <w:tcPr>
            <w:tcW w:w="0" w:type="auto"/>
            <w:gridSpan w:val="3"/>
            <w:shd w:val="clear" w:color="auto" w:fill="auto"/>
            <w:vAlign w:val="bottom"/>
          </w:tcPr>
          <w:p w14:paraId="71D465DE" w14:textId="77777777" w:rsidR="006A3667" w:rsidRDefault="006A3667">
            <w:pPr>
              <w:rPr>
                <w:rFonts w:ascii="宋体"/>
                <w:vanish/>
              </w:rPr>
            </w:pPr>
          </w:p>
        </w:tc>
        <w:tc>
          <w:tcPr>
            <w:tcW w:w="0" w:type="auto"/>
            <w:gridSpan w:val="3"/>
            <w:shd w:val="clear" w:color="auto" w:fill="auto"/>
            <w:vAlign w:val="bottom"/>
          </w:tcPr>
          <w:p w14:paraId="71D465DF" w14:textId="77777777" w:rsidR="006A3667" w:rsidRDefault="006A3667">
            <w:pPr>
              <w:rPr>
                <w:rFonts w:ascii="宋体"/>
                <w:vanish/>
              </w:rPr>
            </w:pPr>
          </w:p>
        </w:tc>
        <w:tc>
          <w:tcPr>
            <w:tcW w:w="0" w:type="auto"/>
            <w:gridSpan w:val="3"/>
            <w:shd w:val="clear" w:color="auto" w:fill="auto"/>
            <w:vAlign w:val="bottom"/>
          </w:tcPr>
          <w:p w14:paraId="71D465E0" w14:textId="77777777" w:rsidR="006A3667" w:rsidRDefault="006A3667">
            <w:pPr>
              <w:rPr>
                <w:rFonts w:ascii="宋体"/>
                <w:vanish/>
              </w:rPr>
            </w:pPr>
          </w:p>
        </w:tc>
        <w:tc>
          <w:tcPr>
            <w:tcW w:w="0" w:type="auto"/>
            <w:gridSpan w:val="3"/>
            <w:shd w:val="clear" w:color="auto" w:fill="auto"/>
            <w:vAlign w:val="bottom"/>
          </w:tcPr>
          <w:p w14:paraId="71D465E1" w14:textId="77777777" w:rsidR="006A3667" w:rsidRDefault="006A3667">
            <w:pPr>
              <w:rPr>
                <w:rFonts w:ascii="宋体"/>
                <w:vanish/>
              </w:rPr>
            </w:pPr>
          </w:p>
        </w:tc>
        <w:tc>
          <w:tcPr>
            <w:tcW w:w="0" w:type="auto"/>
            <w:gridSpan w:val="3"/>
            <w:shd w:val="clear" w:color="auto" w:fill="auto"/>
            <w:vAlign w:val="bottom"/>
          </w:tcPr>
          <w:p w14:paraId="71D465E2" w14:textId="77777777" w:rsidR="006A3667" w:rsidRDefault="006A3667">
            <w:pPr>
              <w:rPr>
                <w:rFonts w:ascii="宋体"/>
                <w:vanish/>
              </w:rPr>
            </w:pPr>
          </w:p>
        </w:tc>
        <w:tc>
          <w:tcPr>
            <w:tcW w:w="0" w:type="auto"/>
            <w:gridSpan w:val="3"/>
            <w:shd w:val="clear" w:color="auto" w:fill="auto"/>
            <w:vAlign w:val="bottom"/>
          </w:tcPr>
          <w:p w14:paraId="71D465E3" w14:textId="77777777" w:rsidR="006A3667" w:rsidRDefault="006A3667">
            <w:pPr>
              <w:rPr>
                <w:rFonts w:ascii="宋体"/>
                <w:vanish/>
              </w:rPr>
            </w:pPr>
          </w:p>
        </w:tc>
        <w:tc>
          <w:tcPr>
            <w:tcW w:w="0" w:type="auto"/>
            <w:gridSpan w:val="3"/>
            <w:shd w:val="clear" w:color="auto" w:fill="auto"/>
            <w:vAlign w:val="bottom"/>
          </w:tcPr>
          <w:p w14:paraId="71D465E4" w14:textId="77777777" w:rsidR="006A3667" w:rsidRDefault="006A3667">
            <w:pPr>
              <w:rPr>
                <w:rFonts w:ascii="宋体"/>
                <w:vanish/>
              </w:rPr>
            </w:pPr>
          </w:p>
        </w:tc>
        <w:tc>
          <w:tcPr>
            <w:tcW w:w="0" w:type="auto"/>
            <w:gridSpan w:val="3"/>
            <w:shd w:val="clear" w:color="auto" w:fill="auto"/>
            <w:vAlign w:val="bottom"/>
          </w:tcPr>
          <w:p w14:paraId="71D465E5" w14:textId="77777777" w:rsidR="006A3667" w:rsidRDefault="006A3667">
            <w:pPr>
              <w:rPr>
                <w:rFonts w:ascii="宋体"/>
                <w:vanish/>
              </w:rPr>
            </w:pPr>
          </w:p>
        </w:tc>
        <w:tc>
          <w:tcPr>
            <w:tcW w:w="0" w:type="auto"/>
            <w:gridSpan w:val="3"/>
            <w:shd w:val="clear" w:color="auto" w:fill="auto"/>
            <w:vAlign w:val="bottom"/>
          </w:tcPr>
          <w:p w14:paraId="71D465E6" w14:textId="77777777" w:rsidR="006A3667" w:rsidRDefault="006A3667">
            <w:pPr>
              <w:rPr>
                <w:rFonts w:ascii="宋体"/>
                <w:vanish/>
              </w:rPr>
            </w:pPr>
          </w:p>
        </w:tc>
        <w:tc>
          <w:tcPr>
            <w:tcW w:w="0" w:type="auto"/>
            <w:gridSpan w:val="3"/>
            <w:shd w:val="clear" w:color="auto" w:fill="auto"/>
            <w:vAlign w:val="bottom"/>
          </w:tcPr>
          <w:p w14:paraId="71D465E7" w14:textId="77777777" w:rsidR="006A3667" w:rsidRDefault="006A3667">
            <w:pPr>
              <w:rPr>
                <w:rFonts w:ascii="宋体"/>
                <w:vanish/>
              </w:rPr>
            </w:pPr>
          </w:p>
        </w:tc>
        <w:tc>
          <w:tcPr>
            <w:tcW w:w="0" w:type="auto"/>
            <w:gridSpan w:val="3"/>
            <w:shd w:val="clear" w:color="auto" w:fill="auto"/>
            <w:vAlign w:val="bottom"/>
          </w:tcPr>
          <w:p w14:paraId="71D465E8" w14:textId="77777777" w:rsidR="006A3667" w:rsidRDefault="006A3667">
            <w:pPr>
              <w:rPr>
                <w:rFonts w:ascii="宋体"/>
                <w:vanish/>
              </w:rPr>
            </w:pPr>
          </w:p>
        </w:tc>
        <w:tc>
          <w:tcPr>
            <w:tcW w:w="0" w:type="auto"/>
            <w:shd w:val="clear" w:color="auto" w:fill="auto"/>
            <w:vAlign w:val="bottom"/>
          </w:tcPr>
          <w:p w14:paraId="71D465E9" w14:textId="77777777" w:rsidR="006A3667" w:rsidRDefault="006A3667">
            <w:pPr>
              <w:rPr>
                <w:rFonts w:ascii="宋体"/>
                <w:vanish/>
              </w:rPr>
            </w:pPr>
          </w:p>
        </w:tc>
        <w:tc>
          <w:tcPr>
            <w:tcW w:w="0" w:type="auto"/>
            <w:shd w:val="clear" w:color="auto" w:fill="auto"/>
            <w:vAlign w:val="bottom"/>
          </w:tcPr>
          <w:p w14:paraId="71D465EA" w14:textId="77777777" w:rsidR="006A3667" w:rsidRDefault="006A3667">
            <w:pPr>
              <w:rPr>
                <w:rFonts w:ascii="宋体"/>
                <w:vanish/>
              </w:rPr>
            </w:pPr>
          </w:p>
        </w:tc>
        <w:tc>
          <w:tcPr>
            <w:tcW w:w="0" w:type="auto"/>
            <w:gridSpan w:val="3"/>
            <w:shd w:val="clear" w:color="auto" w:fill="auto"/>
            <w:vAlign w:val="bottom"/>
          </w:tcPr>
          <w:p w14:paraId="71D465EB" w14:textId="77777777" w:rsidR="006A3667" w:rsidRDefault="006A3667">
            <w:pPr>
              <w:rPr>
                <w:rFonts w:ascii="宋体"/>
                <w:vanish/>
              </w:rPr>
            </w:pPr>
          </w:p>
        </w:tc>
        <w:tc>
          <w:tcPr>
            <w:tcW w:w="0" w:type="auto"/>
            <w:gridSpan w:val="3"/>
            <w:shd w:val="clear" w:color="auto" w:fill="auto"/>
            <w:vAlign w:val="bottom"/>
          </w:tcPr>
          <w:p w14:paraId="71D465EC" w14:textId="77777777" w:rsidR="006A3667" w:rsidRDefault="006A3667">
            <w:pPr>
              <w:rPr>
                <w:rFonts w:ascii="宋体"/>
                <w:vanish/>
              </w:rPr>
            </w:pPr>
          </w:p>
        </w:tc>
        <w:tc>
          <w:tcPr>
            <w:tcW w:w="0" w:type="auto"/>
            <w:gridSpan w:val="3"/>
            <w:shd w:val="clear" w:color="auto" w:fill="auto"/>
            <w:vAlign w:val="bottom"/>
          </w:tcPr>
          <w:p w14:paraId="71D465ED" w14:textId="77777777" w:rsidR="006A3667" w:rsidRDefault="006A3667">
            <w:pPr>
              <w:rPr>
                <w:rFonts w:ascii="宋体"/>
                <w:vanish/>
              </w:rPr>
            </w:pPr>
          </w:p>
        </w:tc>
        <w:tc>
          <w:tcPr>
            <w:tcW w:w="0" w:type="auto"/>
            <w:gridSpan w:val="3"/>
            <w:shd w:val="clear" w:color="auto" w:fill="auto"/>
            <w:vAlign w:val="bottom"/>
          </w:tcPr>
          <w:p w14:paraId="71D465EE" w14:textId="77777777" w:rsidR="006A3667" w:rsidRDefault="006A3667">
            <w:pPr>
              <w:rPr>
                <w:rFonts w:ascii="宋体"/>
                <w:vanish/>
              </w:rPr>
            </w:pPr>
          </w:p>
        </w:tc>
        <w:tc>
          <w:tcPr>
            <w:tcW w:w="0" w:type="auto"/>
            <w:gridSpan w:val="3"/>
            <w:shd w:val="clear" w:color="auto" w:fill="auto"/>
            <w:vAlign w:val="bottom"/>
          </w:tcPr>
          <w:p w14:paraId="71D465EF" w14:textId="77777777" w:rsidR="006A3667" w:rsidRDefault="006A3667">
            <w:pPr>
              <w:rPr>
                <w:rFonts w:ascii="宋体"/>
                <w:vanish/>
              </w:rPr>
            </w:pPr>
          </w:p>
        </w:tc>
      </w:tr>
      <w:tr w:rsidR="006A3667" w14:paraId="71D46603" w14:textId="77777777">
        <w:trPr>
          <w:hidden/>
        </w:trPr>
        <w:tc>
          <w:tcPr>
            <w:tcW w:w="0" w:type="auto"/>
            <w:gridSpan w:val="3"/>
            <w:shd w:val="clear" w:color="auto" w:fill="auto"/>
            <w:vAlign w:val="bottom"/>
          </w:tcPr>
          <w:p w14:paraId="71D465F1" w14:textId="77777777" w:rsidR="006A3667" w:rsidRDefault="006A3667">
            <w:pPr>
              <w:rPr>
                <w:rFonts w:ascii="宋体"/>
                <w:vanish/>
              </w:rPr>
            </w:pPr>
          </w:p>
        </w:tc>
        <w:tc>
          <w:tcPr>
            <w:tcW w:w="0" w:type="auto"/>
            <w:gridSpan w:val="3"/>
            <w:shd w:val="clear" w:color="auto" w:fill="auto"/>
            <w:vAlign w:val="bottom"/>
          </w:tcPr>
          <w:p w14:paraId="71D465F2" w14:textId="77777777" w:rsidR="006A3667" w:rsidRDefault="006A3667">
            <w:pPr>
              <w:rPr>
                <w:rFonts w:ascii="宋体"/>
                <w:vanish/>
              </w:rPr>
            </w:pPr>
          </w:p>
        </w:tc>
        <w:tc>
          <w:tcPr>
            <w:tcW w:w="0" w:type="auto"/>
            <w:gridSpan w:val="3"/>
            <w:shd w:val="clear" w:color="auto" w:fill="auto"/>
            <w:vAlign w:val="bottom"/>
          </w:tcPr>
          <w:p w14:paraId="71D465F3" w14:textId="77777777" w:rsidR="006A3667" w:rsidRDefault="006A3667">
            <w:pPr>
              <w:rPr>
                <w:rFonts w:ascii="宋体"/>
                <w:vanish/>
              </w:rPr>
            </w:pPr>
          </w:p>
        </w:tc>
        <w:tc>
          <w:tcPr>
            <w:tcW w:w="0" w:type="auto"/>
            <w:gridSpan w:val="3"/>
            <w:shd w:val="clear" w:color="auto" w:fill="auto"/>
            <w:vAlign w:val="bottom"/>
          </w:tcPr>
          <w:p w14:paraId="71D465F4" w14:textId="77777777" w:rsidR="006A3667" w:rsidRDefault="006A3667">
            <w:pPr>
              <w:rPr>
                <w:rFonts w:ascii="宋体"/>
                <w:vanish/>
              </w:rPr>
            </w:pPr>
          </w:p>
        </w:tc>
        <w:tc>
          <w:tcPr>
            <w:tcW w:w="0" w:type="auto"/>
            <w:gridSpan w:val="3"/>
            <w:shd w:val="clear" w:color="auto" w:fill="auto"/>
            <w:vAlign w:val="bottom"/>
          </w:tcPr>
          <w:p w14:paraId="71D465F5" w14:textId="77777777" w:rsidR="006A3667" w:rsidRDefault="006A3667">
            <w:pPr>
              <w:rPr>
                <w:rFonts w:ascii="宋体"/>
                <w:vanish/>
              </w:rPr>
            </w:pPr>
          </w:p>
        </w:tc>
        <w:tc>
          <w:tcPr>
            <w:tcW w:w="0" w:type="auto"/>
            <w:gridSpan w:val="3"/>
            <w:shd w:val="clear" w:color="auto" w:fill="auto"/>
            <w:vAlign w:val="bottom"/>
          </w:tcPr>
          <w:p w14:paraId="71D465F6" w14:textId="77777777" w:rsidR="006A3667" w:rsidRDefault="006A3667">
            <w:pPr>
              <w:rPr>
                <w:rFonts w:ascii="宋体"/>
                <w:vanish/>
              </w:rPr>
            </w:pPr>
          </w:p>
        </w:tc>
        <w:tc>
          <w:tcPr>
            <w:tcW w:w="0" w:type="auto"/>
            <w:gridSpan w:val="3"/>
            <w:shd w:val="clear" w:color="auto" w:fill="auto"/>
            <w:vAlign w:val="bottom"/>
          </w:tcPr>
          <w:p w14:paraId="71D465F7" w14:textId="77777777" w:rsidR="006A3667" w:rsidRDefault="006A3667">
            <w:pPr>
              <w:rPr>
                <w:rFonts w:ascii="宋体"/>
                <w:vanish/>
              </w:rPr>
            </w:pPr>
          </w:p>
        </w:tc>
        <w:tc>
          <w:tcPr>
            <w:tcW w:w="0" w:type="auto"/>
            <w:gridSpan w:val="3"/>
            <w:shd w:val="clear" w:color="auto" w:fill="auto"/>
            <w:vAlign w:val="bottom"/>
          </w:tcPr>
          <w:p w14:paraId="71D465F8" w14:textId="77777777" w:rsidR="006A3667" w:rsidRDefault="006A3667">
            <w:pPr>
              <w:rPr>
                <w:rFonts w:ascii="宋体"/>
                <w:vanish/>
              </w:rPr>
            </w:pPr>
          </w:p>
        </w:tc>
        <w:tc>
          <w:tcPr>
            <w:tcW w:w="0" w:type="auto"/>
            <w:gridSpan w:val="3"/>
            <w:shd w:val="clear" w:color="auto" w:fill="auto"/>
            <w:vAlign w:val="bottom"/>
          </w:tcPr>
          <w:p w14:paraId="71D465F9" w14:textId="77777777" w:rsidR="006A3667" w:rsidRDefault="006A3667">
            <w:pPr>
              <w:rPr>
                <w:rFonts w:ascii="宋体"/>
                <w:vanish/>
              </w:rPr>
            </w:pPr>
          </w:p>
        </w:tc>
        <w:tc>
          <w:tcPr>
            <w:tcW w:w="0" w:type="auto"/>
            <w:gridSpan w:val="3"/>
            <w:shd w:val="clear" w:color="auto" w:fill="auto"/>
            <w:vAlign w:val="bottom"/>
          </w:tcPr>
          <w:p w14:paraId="71D465FA" w14:textId="77777777" w:rsidR="006A3667" w:rsidRDefault="006A3667">
            <w:pPr>
              <w:rPr>
                <w:rFonts w:ascii="宋体"/>
                <w:vanish/>
              </w:rPr>
            </w:pPr>
          </w:p>
        </w:tc>
        <w:tc>
          <w:tcPr>
            <w:tcW w:w="0" w:type="auto"/>
            <w:gridSpan w:val="3"/>
            <w:shd w:val="clear" w:color="auto" w:fill="auto"/>
            <w:vAlign w:val="bottom"/>
          </w:tcPr>
          <w:p w14:paraId="71D465FB" w14:textId="77777777" w:rsidR="006A3667" w:rsidRDefault="006A3667">
            <w:pPr>
              <w:rPr>
                <w:rFonts w:ascii="宋体"/>
                <w:vanish/>
              </w:rPr>
            </w:pPr>
          </w:p>
        </w:tc>
        <w:tc>
          <w:tcPr>
            <w:tcW w:w="0" w:type="auto"/>
            <w:shd w:val="clear" w:color="auto" w:fill="auto"/>
            <w:vAlign w:val="bottom"/>
          </w:tcPr>
          <w:p w14:paraId="71D465FC" w14:textId="77777777" w:rsidR="006A3667" w:rsidRDefault="006A3667">
            <w:pPr>
              <w:rPr>
                <w:rFonts w:ascii="宋体"/>
                <w:vanish/>
              </w:rPr>
            </w:pPr>
          </w:p>
        </w:tc>
        <w:tc>
          <w:tcPr>
            <w:tcW w:w="0" w:type="auto"/>
            <w:shd w:val="clear" w:color="auto" w:fill="auto"/>
            <w:vAlign w:val="bottom"/>
          </w:tcPr>
          <w:p w14:paraId="71D465FD" w14:textId="77777777" w:rsidR="006A3667" w:rsidRDefault="006A3667">
            <w:pPr>
              <w:rPr>
                <w:rFonts w:ascii="宋体"/>
                <w:vanish/>
              </w:rPr>
            </w:pPr>
          </w:p>
        </w:tc>
        <w:tc>
          <w:tcPr>
            <w:tcW w:w="0" w:type="auto"/>
            <w:gridSpan w:val="3"/>
            <w:shd w:val="clear" w:color="auto" w:fill="auto"/>
            <w:vAlign w:val="bottom"/>
          </w:tcPr>
          <w:p w14:paraId="71D465FE" w14:textId="77777777" w:rsidR="006A3667" w:rsidRDefault="006A3667">
            <w:pPr>
              <w:rPr>
                <w:rFonts w:ascii="宋体"/>
                <w:vanish/>
              </w:rPr>
            </w:pPr>
          </w:p>
        </w:tc>
        <w:tc>
          <w:tcPr>
            <w:tcW w:w="0" w:type="auto"/>
            <w:gridSpan w:val="3"/>
            <w:shd w:val="clear" w:color="auto" w:fill="auto"/>
            <w:vAlign w:val="bottom"/>
          </w:tcPr>
          <w:p w14:paraId="71D465FF" w14:textId="77777777" w:rsidR="006A3667" w:rsidRDefault="006A3667">
            <w:pPr>
              <w:rPr>
                <w:rFonts w:ascii="宋体"/>
                <w:vanish/>
              </w:rPr>
            </w:pPr>
          </w:p>
        </w:tc>
        <w:tc>
          <w:tcPr>
            <w:tcW w:w="0" w:type="auto"/>
            <w:gridSpan w:val="3"/>
            <w:shd w:val="clear" w:color="auto" w:fill="auto"/>
            <w:vAlign w:val="bottom"/>
          </w:tcPr>
          <w:p w14:paraId="71D46600" w14:textId="77777777" w:rsidR="006A3667" w:rsidRDefault="006A3667">
            <w:pPr>
              <w:rPr>
                <w:rFonts w:ascii="宋体"/>
                <w:vanish/>
              </w:rPr>
            </w:pPr>
          </w:p>
        </w:tc>
        <w:tc>
          <w:tcPr>
            <w:tcW w:w="0" w:type="auto"/>
            <w:gridSpan w:val="3"/>
            <w:shd w:val="clear" w:color="auto" w:fill="auto"/>
            <w:vAlign w:val="bottom"/>
          </w:tcPr>
          <w:p w14:paraId="71D46601" w14:textId="77777777" w:rsidR="006A3667" w:rsidRDefault="006A3667">
            <w:pPr>
              <w:rPr>
                <w:rFonts w:ascii="宋体"/>
                <w:vanish/>
              </w:rPr>
            </w:pPr>
          </w:p>
        </w:tc>
        <w:tc>
          <w:tcPr>
            <w:tcW w:w="0" w:type="auto"/>
            <w:gridSpan w:val="3"/>
            <w:shd w:val="clear" w:color="auto" w:fill="auto"/>
            <w:vAlign w:val="bottom"/>
          </w:tcPr>
          <w:p w14:paraId="71D46602" w14:textId="77777777" w:rsidR="006A3667" w:rsidRDefault="006A3667">
            <w:pPr>
              <w:rPr>
                <w:rFonts w:ascii="宋体"/>
                <w:vanish/>
              </w:rPr>
            </w:pPr>
          </w:p>
        </w:tc>
      </w:tr>
      <w:tr w:rsidR="006A3667" w14:paraId="71D46616" w14:textId="77777777">
        <w:trPr>
          <w:hidden/>
        </w:trPr>
        <w:tc>
          <w:tcPr>
            <w:tcW w:w="0" w:type="auto"/>
            <w:gridSpan w:val="3"/>
            <w:shd w:val="clear" w:color="auto" w:fill="auto"/>
            <w:vAlign w:val="bottom"/>
          </w:tcPr>
          <w:p w14:paraId="71D46604" w14:textId="77777777" w:rsidR="006A3667" w:rsidRDefault="006A3667">
            <w:pPr>
              <w:rPr>
                <w:rFonts w:ascii="宋体"/>
                <w:vanish/>
              </w:rPr>
            </w:pPr>
          </w:p>
        </w:tc>
        <w:tc>
          <w:tcPr>
            <w:tcW w:w="0" w:type="auto"/>
            <w:gridSpan w:val="3"/>
            <w:shd w:val="clear" w:color="auto" w:fill="auto"/>
            <w:vAlign w:val="bottom"/>
          </w:tcPr>
          <w:p w14:paraId="71D46605" w14:textId="77777777" w:rsidR="006A3667" w:rsidRDefault="006A3667">
            <w:pPr>
              <w:rPr>
                <w:rFonts w:ascii="宋体"/>
                <w:vanish/>
              </w:rPr>
            </w:pPr>
          </w:p>
        </w:tc>
        <w:tc>
          <w:tcPr>
            <w:tcW w:w="0" w:type="auto"/>
            <w:gridSpan w:val="3"/>
            <w:shd w:val="clear" w:color="auto" w:fill="auto"/>
            <w:vAlign w:val="bottom"/>
          </w:tcPr>
          <w:p w14:paraId="71D46606" w14:textId="77777777" w:rsidR="006A3667" w:rsidRDefault="006A3667">
            <w:pPr>
              <w:rPr>
                <w:rFonts w:ascii="宋体"/>
                <w:vanish/>
              </w:rPr>
            </w:pPr>
          </w:p>
        </w:tc>
        <w:tc>
          <w:tcPr>
            <w:tcW w:w="0" w:type="auto"/>
            <w:gridSpan w:val="3"/>
            <w:shd w:val="clear" w:color="auto" w:fill="auto"/>
            <w:vAlign w:val="bottom"/>
          </w:tcPr>
          <w:p w14:paraId="71D46607" w14:textId="77777777" w:rsidR="006A3667" w:rsidRDefault="006A3667">
            <w:pPr>
              <w:rPr>
                <w:rFonts w:ascii="宋体"/>
                <w:vanish/>
              </w:rPr>
            </w:pPr>
          </w:p>
        </w:tc>
        <w:tc>
          <w:tcPr>
            <w:tcW w:w="0" w:type="auto"/>
            <w:gridSpan w:val="3"/>
            <w:shd w:val="clear" w:color="auto" w:fill="auto"/>
            <w:vAlign w:val="bottom"/>
          </w:tcPr>
          <w:p w14:paraId="71D46608" w14:textId="77777777" w:rsidR="006A3667" w:rsidRDefault="006A3667">
            <w:pPr>
              <w:rPr>
                <w:rFonts w:ascii="宋体"/>
                <w:vanish/>
              </w:rPr>
            </w:pPr>
          </w:p>
        </w:tc>
        <w:tc>
          <w:tcPr>
            <w:tcW w:w="0" w:type="auto"/>
            <w:gridSpan w:val="3"/>
            <w:shd w:val="clear" w:color="auto" w:fill="auto"/>
            <w:vAlign w:val="bottom"/>
          </w:tcPr>
          <w:p w14:paraId="71D46609" w14:textId="77777777" w:rsidR="006A3667" w:rsidRDefault="006A3667">
            <w:pPr>
              <w:rPr>
                <w:rFonts w:ascii="宋体"/>
                <w:vanish/>
              </w:rPr>
            </w:pPr>
          </w:p>
        </w:tc>
        <w:tc>
          <w:tcPr>
            <w:tcW w:w="0" w:type="auto"/>
            <w:gridSpan w:val="3"/>
            <w:shd w:val="clear" w:color="auto" w:fill="auto"/>
            <w:vAlign w:val="bottom"/>
          </w:tcPr>
          <w:p w14:paraId="71D4660A" w14:textId="77777777" w:rsidR="006A3667" w:rsidRDefault="006A3667">
            <w:pPr>
              <w:rPr>
                <w:rFonts w:ascii="宋体"/>
                <w:vanish/>
              </w:rPr>
            </w:pPr>
          </w:p>
        </w:tc>
        <w:tc>
          <w:tcPr>
            <w:tcW w:w="0" w:type="auto"/>
            <w:gridSpan w:val="3"/>
            <w:shd w:val="clear" w:color="auto" w:fill="auto"/>
            <w:vAlign w:val="bottom"/>
          </w:tcPr>
          <w:p w14:paraId="71D4660B" w14:textId="77777777" w:rsidR="006A3667" w:rsidRDefault="006A3667">
            <w:pPr>
              <w:rPr>
                <w:rFonts w:ascii="宋体"/>
                <w:vanish/>
              </w:rPr>
            </w:pPr>
          </w:p>
        </w:tc>
        <w:tc>
          <w:tcPr>
            <w:tcW w:w="0" w:type="auto"/>
            <w:gridSpan w:val="3"/>
            <w:shd w:val="clear" w:color="auto" w:fill="auto"/>
            <w:vAlign w:val="bottom"/>
          </w:tcPr>
          <w:p w14:paraId="71D4660C" w14:textId="77777777" w:rsidR="006A3667" w:rsidRDefault="006A3667">
            <w:pPr>
              <w:rPr>
                <w:rFonts w:ascii="宋体"/>
                <w:vanish/>
              </w:rPr>
            </w:pPr>
          </w:p>
        </w:tc>
        <w:tc>
          <w:tcPr>
            <w:tcW w:w="0" w:type="auto"/>
            <w:gridSpan w:val="3"/>
            <w:shd w:val="clear" w:color="auto" w:fill="auto"/>
            <w:vAlign w:val="bottom"/>
          </w:tcPr>
          <w:p w14:paraId="71D4660D" w14:textId="77777777" w:rsidR="006A3667" w:rsidRDefault="006A3667">
            <w:pPr>
              <w:rPr>
                <w:rFonts w:ascii="宋体"/>
                <w:vanish/>
              </w:rPr>
            </w:pPr>
          </w:p>
        </w:tc>
        <w:tc>
          <w:tcPr>
            <w:tcW w:w="0" w:type="auto"/>
            <w:gridSpan w:val="3"/>
            <w:shd w:val="clear" w:color="auto" w:fill="auto"/>
            <w:vAlign w:val="bottom"/>
          </w:tcPr>
          <w:p w14:paraId="71D4660E" w14:textId="77777777" w:rsidR="006A3667" w:rsidRDefault="006A3667">
            <w:pPr>
              <w:rPr>
                <w:rFonts w:ascii="宋体"/>
                <w:vanish/>
              </w:rPr>
            </w:pPr>
          </w:p>
        </w:tc>
        <w:tc>
          <w:tcPr>
            <w:tcW w:w="0" w:type="auto"/>
            <w:shd w:val="clear" w:color="auto" w:fill="auto"/>
            <w:vAlign w:val="bottom"/>
          </w:tcPr>
          <w:p w14:paraId="71D4660F" w14:textId="77777777" w:rsidR="006A3667" w:rsidRDefault="006A3667">
            <w:pPr>
              <w:rPr>
                <w:rFonts w:ascii="宋体"/>
                <w:vanish/>
              </w:rPr>
            </w:pPr>
          </w:p>
        </w:tc>
        <w:tc>
          <w:tcPr>
            <w:tcW w:w="0" w:type="auto"/>
            <w:shd w:val="clear" w:color="auto" w:fill="auto"/>
            <w:vAlign w:val="bottom"/>
          </w:tcPr>
          <w:p w14:paraId="71D46610" w14:textId="77777777" w:rsidR="006A3667" w:rsidRDefault="006A3667">
            <w:pPr>
              <w:rPr>
                <w:rFonts w:ascii="宋体"/>
                <w:vanish/>
              </w:rPr>
            </w:pPr>
          </w:p>
        </w:tc>
        <w:tc>
          <w:tcPr>
            <w:tcW w:w="0" w:type="auto"/>
            <w:gridSpan w:val="3"/>
            <w:shd w:val="clear" w:color="auto" w:fill="auto"/>
            <w:vAlign w:val="bottom"/>
          </w:tcPr>
          <w:p w14:paraId="71D46611" w14:textId="77777777" w:rsidR="006A3667" w:rsidRDefault="006A3667">
            <w:pPr>
              <w:rPr>
                <w:rFonts w:ascii="宋体"/>
                <w:vanish/>
              </w:rPr>
            </w:pPr>
          </w:p>
        </w:tc>
        <w:tc>
          <w:tcPr>
            <w:tcW w:w="0" w:type="auto"/>
            <w:gridSpan w:val="3"/>
            <w:shd w:val="clear" w:color="auto" w:fill="auto"/>
            <w:vAlign w:val="bottom"/>
          </w:tcPr>
          <w:p w14:paraId="71D46612" w14:textId="77777777" w:rsidR="006A3667" w:rsidRDefault="006A3667">
            <w:pPr>
              <w:rPr>
                <w:rFonts w:ascii="宋体"/>
                <w:vanish/>
              </w:rPr>
            </w:pPr>
          </w:p>
        </w:tc>
        <w:tc>
          <w:tcPr>
            <w:tcW w:w="0" w:type="auto"/>
            <w:gridSpan w:val="3"/>
            <w:shd w:val="clear" w:color="auto" w:fill="auto"/>
            <w:vAlign w:val="bottom"/>
          </w:tcPr>
          <w:p w14:paraId="71D46613" w14:textId="77777777" w:rsidR="006A3667" w:rsidRDefault="006A3667">
            <w:pPr>
              <w:rPr>
                <w:rFonts w:ascii="宋体"/>
                <w:vanish/>
              </w:rPr>
            </w:pPr>
          </w:p>
        </w:tc>
        <w:tc>
          <w:tcPr>
            <w:tcW w:w="0" w:type="auto"/>
            <w:gridSpan w:val="3"/>
            <w:shd w:val="clear" w:color="auto" w:fill="auto"/>
            <w:vAlign w:val="bottom"/>
          </w:tcPr>
          <w:p w14:paraId="71D46614" w14:textId="77777777" w:rsidR="006A3667" w:rsidRDefault="006A3667">
            <w:pPr>
              <w:rPr>
                <w:rFonts w:ascii="宋体"/>
                <w:vanish/>
              </w:rPr>
            </w:pPr>
          </w:p>
        </w:tc>
        <w:tc>
          <w:tcPr>
            <w:tcW w:w="0" w:type="auto"/>
            <w:gridSpan w:val="3"/>
            <w:shd w:val="clear" w:color="auto" w:fill="auto"/>
            <w:vAlign w:val="bottom"/>
          </w:tcPr>
          <w:p w14:paraId="71D46615" w14:textId="77777777" w:rsidR="006A3667" w:rsidRDefault="006A3667">
            <w:pPr>
              <w:rPr>
                <w:rFonts w:ascii="宋体"/>
                <w:vanish/>
              </w:rPr>
            </w:pPr>
          </w:p>
        </w:tc>
      </w:tr>
      <w:tr w:rsidR="006A3667" w14:paraId="71D46629" w14:textId="77777777">
        <w:trPr>
          <w:hidden/>
        </w:trPr>
        <w:tc>
          <w:tcPr>
            <w:tcW w:w="0" w:type="auto"/>
            <w:gridSpan w:val="3"/>
            <w:shd w:val="clear" w:color="auto" w:fill="auto"/>
            <w:vAlign w:val="bottom"/>
          </w:tcPr>
          <w:p w14:paraId="71D46617" w14:textId="77777777" w:rsidR="006A3667" w:rsidRDefault="006A3667">
            <w:pPr>
              <w:rPr>
                <w:rFonts w:ascii="宋体"/>
                <w:vanish/>
              </w:rPr>
            </w:pPr>
          </w:p>
        </w:tc>
        <w:tc>
          <w:tcPr>
            <w:tcW w:w="0" w:type="auto"/>
            <w:gridSpan w:val="3"/>
            <w:shd w:val="clear" w:color="auto" w:fill="auto"/>
            <w:vAlign w:val="bottom"/>
          </w:tcPr>
          <w:p w14:paraId="71D46618" w14:textId="77777777" w:rsidR="006A3667" w:rsidRDefault="006A3667">
            <w:pPr>
              <w:rPr>
                <w:rFonts w:ascii="宋体"/>
                <w:vanish/>
              </w:rPr>
            </w:pPr>
          </w:p>
        </w:tc>
        <w:tc>
          <w:tcPr>
            <w:tcW w:w="0" w:type="auto"/>
            <w:gridSpan w:val="3"/>
            <w:shd w:val="clear" w:color="auto" w:fill="auto"/>
            <w:vAlign w:val="bottom"/>
          </w:tcPr>
          <w:p w14:paraId="71D46619" w14:textId="77777777" w:rsidR="006A3667" w:rsidRDefault="006A3667">
            <w:pPr>
              <w:rPr>
                <w:rFonts w:ascii="宋体"/>
                <w:vanish/>
              </w:rPr>
            </w:pPr>
          </w:p>
        </w:tc>
        <w:tc>
          <w:tcPr>
            <w:tcW w:w="0" w:type="auto"/>
            <w:gridSpan w:val="3"/>
            <w:shd w:val="clear" w:color="auto" w:fill="auto"/>
            <w:vAlign w:val="bottom"/>
          </w:tcPr>
          <w:p w14:paraId="71D4661A" w14:textId="77777777" w:rsidR="006A3667" w:rsidRDefault="006A3667">
            <w:pPr>
              <w:rPr>
                <w:rFonts w:ascii="宋体"/>
                <w:vanish/>
              </w:rPr>
            </w:pPr>
          </w:p>
        </w:tc>
        <w:tc>
          <w:tcPr>
            <w:tcW w:w="0" w:type="auto"/>
            <w:gridSpan w:val="3"/>
            <w:shd w:val="clear" w:color="auto" w:fill="auto"/>
            <w:vAlign w:val="bottom"/>
          </w:tcPr>
          <w:p w14:paraId="71D4661B" w14:textId="77777777" w:rsidR="006A3667" w:rsidRDefault="006A3667">
            <w:pPr>
              <w:rPr>
                <w:rFonts w:ascii="宋体"/>
                <w:vanish/>
              </w:rPr>
            </w:pPr>
          </w:p>
        </w:tc>
        <w:tc>
          <w:tcPr>
            <w:tcW w:w="0" w:type="auto"/>
            <w:gridSpan w:val="3"/>
            <w:shd w:val="clear" w:color="auto" w:fill="auto"/>
            <w:vAlign w:val="bottom"/>
          </w:tcPr>
          <w:p w14:paraId="71D4661C" w14:textId="77777777" w:rsidR="006A3667" w:rsidRDefault="006A3667">
            <w:pPr>
              <w:rPr>
                <w:rFonts w:ascii="宋体"/>
                <w:vanish/>
              </w:rPr>
            </w:pPr>
          </w:p>
        </w:tc>
        <w:tc>
          <w:tcPr>
            <w:tcW w:w="0" w:type="auto"/>
            <w:gridSpan w:val="3"/>
            <w:shd w:val="clear" w:color="auto" w:fill="auto"/>
            <w:vAlign w:val="bottom"/>
          </w:tcPr>
          <w:p w14:paraId="71D4661D" w14:textId="77777777" w:rsidR="006A3667" w:rsidRDefault="006A3667">
            <w:pPr>
              <w:rPr>
                <w:rFonts w:ascii="宋体"/>
                <w:vanish/>
              </w:rPr>
            </w:pPr>
          </w:p>
        </w:tc>
        <w:tc>
          <w:tcPr>
            <w:tcW w:w="0" w:type="auto"/>
            <w:gridSpan w:val="3"/>
            <w:shd w:val="clear" w:color="auto" w:fill="auto"/>
            <w:vAlign w:val="bottom"/>
          </w:tcPr>
          <w:p w14:paraId="71D4661E" w14:textId="77777777" w:rsidR="006A3667" w:rsidRDefault="006A3667">
            <w:pPr>
              <w:rPr>
                <w:rFonts w:ascii="宋体"/>
                <w:vanish/>
              </w:rPr>
            </w:pPr>
          </w:p>
        </w:tc>
        <w:tc>
          <w:tcPr>
            <w:tcW w:w="0" w:type="auto"/>
            <w:gridSpan w:val="3"/>
            <w:shd w:val="clear" w:color="auto" w:fill="auto"/>
            <w:vAlign w:val="bottom"/>
          </w:tcPr>
          <w:p w14:paraId="71D4661F" w14:textId="77777777" w:rsidR="006A3667" w:rsidRDefault="006A3667">
            <w:pPr>
              <w:rPr>
                <w:rFonts w:ascii="宋体"/>
                <w:vanish/>
              </w:rPr>
            </w:pPr>
          </w:p>
        </w:tc>
        <w:tc>
          <w:tcPr>
            <w:tcW w:w="0" w:type="auto"/>
            <w:gridSpan w:val="3"/>
            <w:shd w:val="clear" w:color="auto" w:fill="auto"/>
            <w:vAlign w:val="bottom"/>
          </w:tcPr>
          <w:p w14:paraId="71D46620" w14:textId="77777777" w:rsidR="006A3667" w:rsidRDefault="006A3667">
            <w:pPr>
              <w:rPr>
                <w:rFonts w:ascii="宋体"/>
                <w:vanish/>
              </w:rPr>
            </w:pPr>
          </w:p>
        </w:tc>
        <w:tc>
          <w:tcPr>
            <w:tcW w:w="0" w:type="auto"/>
            <w:gridSpan w:val="3"/>
            <w:shd w:val="clear" w:color="auto" w:fill="auto"/>
            <w:vAlign w:val="bottom"/>
          </w:tcPr>
          <w:p w14:paraId="71D46621" w14:textId="77777777" w:rsidR="006A3667" w:rsidRDefault="006A3667">
            <w:pPr>
              <w:rPr>
                <w:rFonts w:ascii="宋体"/>
                <w:vanish/>
              </w:rPr>
            </w:pPr>
          </w:p>
        </w:tc>
        <w:tc>
          <w:tcPr>
            <w:tcW w:w="0" w:type="auto"/>
            <w:shd w:val="clear" w:color="auto" w:fill="auto"/>
            <w:vAlign w:val="bottom"/>
          </w:tcPr>
          <w:p w14:paraId="71D46622" w14:textId="77777777" w:rsidR="006A3667" w:rsidRDefault="006A3667">
            <w:pPr>
              <w:rPr>
                <w:rFonts w:ascii="宋体"/>
                <w:vanish/>
              </w:rPr>
            </w:pPr>
          </w:p>
        </w:tc>
        <w:tc>
          <w:tcPr>
            <w:tcW w:w="0" w:type="auto"/>
            <w:shd w:val="clear" w:color="auto" w:fill="auto"/>
            <w:vAlign w:val="bottom"/>
          </w:tcPr>
          <w:p w14:paraId="71D46623" w14:textId="77777777" w:rsidR="006A3667" w:rsidRDefault="006A3667">
            <w:pPr>
              <w:rPr>
                <w:rFonts w:ascii="宋体"/>
                <w:vanish/>
              </w:rPr>
            </w:pPr>
          </w:p>
        </w:tc>
        <w:tc>
          <w:tcPr>
            <w:tcW w:w="0" w:type="auto"/>
            <w:gridSpan w:val="3"/>
            <w:shd w:val="clear" w:color="auto" w:fill="auto"/>
            <w:vAlign w:val="bottom"/>
          </w:tcPr>
          <w:p w14:paraId="71D46624" w14:textId="77777777" w:rsidR="006A3667" w:rsidRDefault="006A3667">
            <w:pPr>
              <w:rPr>
                <w:rFonts w:ascii="宋体"/>
                <w:vanish/>
              </w:rPr>
            </w:pPr>
          </w:p>
        </w:tc>
        <w:tc>
          <w:tcPr>
            <w:tcW w:w="0" w:type="auto"/>
            <w:gridSpan w:val="3"/>
            <w:shd w:val="clear" w:color="auto" w:fill="auto"/>
            <w:vAlign w:val="bottom"/>
          </w:tcPr>
          <w:p w14:paraId="71D46625" w14:textId="77777777" w:rsidR="006A3667" w:rsidRDefault="006A3667">
            <w:pPr>
              <w:rPr>
                <w:rFonts w:ascii="宋体"/>
                <w:vanish/>
              </w:rPr>
            </w:pPr>
          </w:p>
        </w:tc>
        <w:tc>
          <w:tcPr>
            <w:tcW w:w="0" w:type="auto"/>
            <w:gridSpan w:val="3"/>
            <w:shd w:val="clear" w:color="auto" w:fill="auto"/>
            <w:vAlign w:val="bottom"/>
          </w:tcPr>
          <w:p w14:paraId="71D46626" w14:textId="77777777" w:rsidR="006A3667" w:rsidRDefault="006A3667">
            <w:pPr>
              <w:rPr>
                <w:rFonts w:ascii="宋体"/>
                <w:vanish/>
              </w:rPr>
            </w:pPr>
          </w:p>
        </w:tc>
        <w:tc>
          <w:tcPr>
            <w:tcW w:w="0" w:type="auto"/>
            <w:gridSpan w:val="3"/>
            <w:shd w:val="clear" w:color="auto" w:fill="auto"/>
            <w:vAlign w:val="bottom"/>
          </w:tcPr>
          <w:p w14:paraId="71D46627" w14:textId="77777777" w:rsidR="006A3667" w:rsidRDefault="006A3667">
            <w:pPr>
              <w:rPr>
                <w:rFonts w:ascii="宋体"/>
                <w:vanish/>
              </w:rPr>
            </w:pPr>
          </w:p>
        </w:tc>
        <w:tc>
          <w:tcPr>
            <w:tcW w:w="0" w:type="auto"/>
            <w:gridSpan w:val="3"/>
            <w:shd w:val="clear" w:color="auto" w:fill="auto"/>
            <w:vAlign w:val="bottom"/>
          </w:tcPr>
          <w:p w14:paraId="71D46628" w14:textId="77777777" w:rsidR="006A3667" w:rsidRDefault="006A3667">
            <w:pPr>
              <w:rPr>
                <w:rFonts w:ascii="宋体"/>
                <w:vanish/>
              </w:rPr>
            </w:pPr>
          </w:p>
        </w:tc>
      </w:tr>
      <w:tr w:rsidR="006A3667" w14:paraId="71D4663C" w14:textId="77777777">
        <w:trPr>
          <w:hidden/>
        </w:trPr>
        <w:tc>
          <w:tcPr>
            <w:tcW w:w="0" w:type="auto"/>
            <w:gridSpan w:val="3"/>
            <w:shd w:val="clear" w:color="auto" w:fill="auto"/>
            <w:vAlign w:val="bottom"/>
          </w:tcPr>
          <w:p w14:paraId="71D4662A" w14:textId="77777777" w:rsidR="006A3667" w:rsidRDefault="006A3667">
            <w:pPr>
              <w:rPr>
                <w:rFonts w:ascii="宋体"/>
                <w:vanish/>
              </w:rPr>
            </w:pPr>
          </w:p>
        </w:tc>
        <w:tc>
          <w:tcPr>
            <w:tcW w:w="0" w:type="auto"/>
            <w:gridSpan w:val="3"/>
            <w:shd w:val="clear" w:color="auto" w:fill="auto"/>
            <w:vAlign w:val="bottom"/>
          </w:tcPr>
          <w:p w14:paraId="71D4662B" w14:textId="77777777" w:rsidR="006A3667" w:rsidRDefault="006A3667">
            <w:pPr>
              <w:rPr>
                <w:rFonts w:ascii="宋体"/>
                <w:vanish/>
              </w:rPr>
            </w:pPr>
          </w:p>
        </w:tc>
        <w:tc>
          <w:tcPr>
            <w:tcW w:w="0" w:type="auto"/>
            <w:gridSpan w:val="3"/>
            <w:shd w:val="clear" w:color="auto" w:fill="auto"/>
            <w:vAlign w:val="bottom"/>
          </w:tcPr>
          <w:p w14:paraId="71D4662C" w14:textId="77777777" w:rsidR="006A3667" w:rsidRDefault="006A3667">
            <w:pPr>
              <w:rPr>
                <w:rFonts w:ascii="宋体"/>
                <w:vanish/>
              </w:rPr>
            </w:pPr>
          </w:p>
        </w:tc>
        <w:tc>
          <w:tcPr>
            <w:tcW w:w="0" w:type="auto"/>
            <w:gridSpan w:val="3"/>
            <w:shd w:val="clear" w:color="auto" w:fill="auto"/>
            <w:vAlign w:val="bottom"/>
          </w:tcPr>
          <w:p w14:paraId="71D4662D" w14:textId="77777777" w:rsidR="006A3667" w:rsidRDefault="006A3667">
            <w:pPr>
              <w:rPr>
                <w:rFonts w:ascii="宋体"/>
                <w:vanish/>
              </w:rPr>
            </w:pPr>
          </w:p>
        </w:tc>
        <w:tc>
          <w:tcPr>
            <w:tcW w:w="0" w:type="auto"/>
            <w:gridSpan w:val="3"/>
            <w:shd w:val="clear" w:color="auto" w:fill="auto"/>
            <w:vAlign w:val="bottom"/>
          </w:tcPr>
          <w:p w14:paraId="71D4662E" w14:textId="77777777" w:rsidR="006A3667" w:rsidRDefault="006A3667">
            <w:pPr>
              <w:rPr>
                <w:rFonts w:ascii="宋体"/>
                <w:vanish/>
              </w:rPr>
            </w:pPr>
          </w:p>
        </w:tc>
        <w:tc>
          <w:tcPr>
            <w:tcW w:w="0" w:type="auto"/>
            <w:gridSpan w:val="3"/>
            <w:shd w:val="clear" w:color="auto" w:fill="auto"/>
            <w:vAlign w:val="bottom"/>
          </w:tcPr>
          <w:p w14:paraId="71D4662F" w14:textId="77777777" w:rsidR="006A3667" w:rsidRDefault="006A3667">
            <w:pPr>
              <w:rPr>
                <w:rFonts w:ascii="宋体"/>
                <w:vanish/>
              </w:rPr>
            </w:pPr>
          </w:p>
        </w:tc>
        <w:tc>
          <w:tcPr>
            <w:tcW w:w="0" w:type="auto"/>
            <w:gridSpan w:val="3"/>
            <w:shd w:val="clear" w:color="auto" w:fill="auto"/>
            <w:vAlign w:val="bottom"/>
          </w:tcPr>
          <w:p w14:paraId="71D46630" w14:textId="77777777" w:rsidR="006A3667" w:rsidRDefault="006A3667">
            <w:pPr>
              <w:rPr>
                <w:rFonts w:ascii="宋体"/>
                <w:vanish/>
              </w:rPr>
            </w:pPr>
          </w:p>
        </w:tc>
        <w:tc>
          <w:tcPr>
            <w:tcW w:w="0" w:type="auto"/>
            <w:gridSpan w:val="3"/>
            <w:shd w:val="clear" w:color="auto" w:fill="auto"/>
            <w:vAlign w:val="bottom"/>
          </w:tcPr>
          <w:p w14:paraId="71D46631" w14:textId="77777777" w:rsidR="006A3667" w:rsidRDefault="006A3667">
            <w:pPr>
              <w:rPr>
                <w:rFonts w:ascii="宋体"/>
                <w:vanish/>
              </w:rPr>
            </w:pPr>
          </w:p>
        </w:tc>
        <w:tc>
          <w:tcPr>
            <w:tcW w:w="0" w:type="auto"/>
            <w:gridSpan w:val="3"/>
            <w:shd w:val="clear" w:color="auto" w:fill="auto"/>
            <w:vAlign w:val="bottom"/>
          </w:tcPr>
          <w:p w14:paraId="71D46632" w14:textId="77777777" w:rsidR="006A3667" w:rsidRDefault="006A3667">
            <w:pPr>
              <w:rPr>
                <w:rFonts w:ascii="宋体"/>
                <w:vanish/>
              </w:rPr>
            </w:pPr>
          </w:p>
        </w:tc>
        <w:tc>
          <w:tcPr>
            <w:tcW w:w="0" w:type="auto"/>
            <w:gridSpan w:val="3"/>
            <w:shd w:val="clear" w:color="auto" w:fill="auto"/>
            <w:vAlign w:val="bottom"/>
          </w:tcPr>
          <w:p w14:paraId="71D46633" w14:textId="77777777" w:rsidR="006A3667" w:rsidRDefault="006A3667">
            <w:pPr>
              <w:rPr>
                <w:rFonts w:ascii="宋体"/>
                <w:vanish/>
              </w:rPr>
            </w:pPr>
          </w:p>
        </w:tc>
        <w:tc>
          <w:tcPr>
            <w:tcW w:w="0" w:type="auto"/>
            <w:gridSpan w:val="3"/>
            <w:shd w:val="clear" w:color="auto" w:fill="auto"/>
            <w:vAlign w:val="bottom"/>
          </w:tcPr>
          <w:p w14:paraId="71D46634" w14:textId="77777777" w:rsidR="006A3667" w:rsidRDefault="006A3667">
            <w:pPr>
              <w:rPr>
                <w:rFonts w:ascii="宋体"/>
                <w:vanish/>
              </w:rPr>
            </w:pPr>
          </w:p>
        </w:tc>
        <w:tc>
          <w:tcPr>
            <w:tcW w:w="0" w:type="auto"/>
            <w:shd w:val="clear" w:color="auto" w:fill="auto"/>
            <w:vAlign w:val="bottom"/>
          </w:tcPr>
          <w:p w14:paraId="71D46635" w14:textId="77777777" w:rsidR="006A3667" w:rsidRDefault="006A3667">
            <w:pPr>
              <w:rPr>
                <w:rFonts w:ascii="宋体"/>
                <w:vanish/>
              </w:rPr>
            </w:pPr>
          </w:p>
        </w:tc>
        <w:tc>
          <w:tcPr>
            <w:tcW w:w="0" w:type="auto"/>
            <w:shd w:val="clear" w:color="auto" w:fill="auto"/>
            <w:vAlign w:val="bottom"/>
          </w:tcPr>
          <w:p w14:paraId="71D46636" w14:textId="77777777" w:rsidR="006A3667" w:rsidRDefault="006A3667">
            <w:pPr>
              <w:rPr>
                <w:rFonts w:ascii="宋体"/>
                <w:vanish/>
              </w:rPr>
            </w:pPr>
          </w:p>
        </w:tc>
        <w:tc>
          <w:tcPr>
            <w:tcW w:w="0" w:type="auto"/>
            <w:gridSpan w:val="3"/>
            <w:shd w:val="clear" w:color="auto" w:fill="auto"/>
            <w:vAlign w:val="bottom"/>
          </w:tcPr>
          <w:p w14:paraId="71D46637" w14:textId="77777777" w:rsidR="006A3667" w:rsidRDefault="006A3667">
            <w:pPr>
              <w:rPr>
                <w:rFonts w:ascii="宋体"/>
                <w:vanish/>
              </w:rPr>
            </w:pPr>
          </w:p>
        </w:tc>
        <w:tc>
          <w:tcPr>
            <w:tcW w:w="0" w:type="auto"/>
            <w:gridSpan w:val="3"/>
            <w:shd w:val="clear" w:color="auto" w:fill="auto"/>
            <w:vAlign w:val="bottom"/>
          </w:tcPr>
          <w:p w14:paraId="71D46638" w14:textId="77777777" w:rsidR="006A3667" w:rsidRDefault="006A3667">
            <w:pPr>
              <w:rPr>
                <w:rFonts w:ascii="宋体"/>
                <w:vanish/>
              </w:rPr>
            </w:pPr>
          </w:p>
        </w:tc>
        <w:tc>
          <w:tcPr>
            <w:tcW w:w="0" w:type="auto"/>
            <w:gridSpan w:val="3"/>
            <w:shd w:val="clear" w:color="auto" w:fill="auto"/>
            <w:vAlign w:val="bottom"/>
          </w:tcPr>
          <w:p w14:paraId="71D46639" w14:textId="77777777" w:rsidR="006A3667" w:rsidRDefault="006A3667">
            <w:pPr>
              <w:rPr>
                <w:rFonts w:ascii="宋体"/>
                <w:vanish/>
              </w:rPr>
            </w:pPr>
          </w:p>
        </w:tc>
        <w:tc>
          <w:tcPr>
            <w:tcW w:w="0" w:type="auto"/>
            <w:gridSpan w:val="3"/>
            <w:shd w:val="clear" w:color="auto" w:fill="auto"/>
            <w:vAlign w:val="bottom"/>
          </w:tcPr>
          <w:p w14:paraId="71D4663A" w14:textId="77777777" w:rsidR="006A3667" w:rsidRDefault="006A3667">
            <w:pPr>
              <w:rPr>
                <w:rFonts w:ascii="宋体"/>
                <w:vanish/>
              </w:rPr>
            </w:pPr>
          </w:p>
        </w:tc>
        <w:tc>
          <w:tcPr>
            <w:tcW w:w="0" w:type="auto"/>
            <w:gridSpan w:val="3"/>
            <w:shd w:val="clear" w:color="auto" w:fill="auto"/>
            <w:vAlign w:val="bottom"/>
          </w:tcPr>
          <w:p w14:paraId="71D4663B" w14:textId="77777777" w:rsidR="006A3667" w:rsidRDefault="006A3667">
            <w:pPr>
              <w:rPr>
                <w:rFonts w:ascii="宋体"/>
                <w:vanish/>
              </w:rPr>
            </w:pPr>
          </w:p>
        </w:tc>
      </w:tr>
      <w:tr w:rsidR="006A3667" w14:paraId="71D4665F" w14:textId="77777777">
        <w:tc>
          <w:tcPr>
            <w:tcW w:w="0" w:type="auto"/>
            <w:gridSpan w:val="3"/>
            <w:shd w:val="clear" w:color="auto" w:fill="CCEEFF"/>
            <w:tcMar>
              <w:top w:w="40" w:type="dxa"/>
              <w:left w:w="20" w:type="dxa"/>
              <w:bottom w:w="40" w:type="dxa"/>
              <w:right w:w="20" w:type="dxa"/>
            </w:tcMar>
            <w:vAlign w:val="bottom"/>
          </w:tcPr>
          <w:p w14:paraId="71D4663D" w14:textId="77777777" w:rsidR="006A3667" w:rsidRDefault="00045F32">
            <w:pPr>
              <w:textAlignment w:val="bottom"/>
            </w:pPr>
            <w:r>
              <w:rPr>
                <w:rFonts w:ascii="Arial" w:eastAsia="宋体" w:hAnsi="Arial" w:cs="Arial"/>
                <w:color w:val="000000"/>
                <w:sz w:val="14"/>
                <w:szCs w:val="14"/>
              </w:rPr>
              <w:t>Total loans</w:t>
            </w:r>
          </w:p>
        </w:tc>
        <w:tc>
          <w:tcPr>
            <w:tcW w:w="0" w:type="auto"/>
            <w:shd w:val="clear" w:color="auto" w:fill="CCEEFF"/>
            <w:tcMar>
              <w:top w:w="40" w:type="dxa"/>
              <w:left w:w="20" w:type="dxa"/>
              <w:bottom w:w="40" w:type="dxa"/>
              <w:right w:w="0" w:type="dxa"/>
            </w:tcMar>
            <w:vAlign w:val="bottom"/>
          </w:tcPr>
          <w:p w14:paraId="71D4663E"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63F" w14:textId="77777777" w:rsidR="006A3667" w:rsidRDefault="00045F32">
            <w:pPr>
              <w:jc w:val="right"/>
              <w:textAlignment w:val="bottom"/>
            </w:pPr>
            <w:r>
              <w:rPr>
                <w:rFonts w:ascii="Arial" w:eastAsia="宋体" w:hAnsi="Arial" w:cs="Arial"/>
                <w:color w:val="000000"/>
                <w:sz w:val="14"/>
                <w:szCs w:val="14"/>
              </w:rPr>
              <w:t>9,394 </w:t>
            </w:r>
          </w:p>
        </w:tc>
        <w:tc>
          <w:tcPr>
            <w:tcW w:w="0" w:type="auto"/>
            <w:shd w:val="clear" w:color="auto" w:fill="CCEEFF"/>
            <w:tcMar>
              <w:top w:w="40" w:type="dxa"/>
              <w:left w:w="0" w:type="dxa"/>
              <w:bottom w:w="40" w:type="dxa"/>
              <w:right w:w="20" w:type="dxa"/>
            </w:tcMar>
            <w:vAlign w:val="bottom"/>
          </w:tcPr>
          <w:p w14:paraId="71D466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64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642"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643" w14:textId="77777777" w:rsidR="006A3667" w:rsidRDefault="00045F32">
            <w:pPr>
              <w:jc w:val="right"/>
              <w:textAlignment w:val="bottom"/>
            </w:pPr>
            <w:r>
              <w:rPr>
                <w:rFonts w:ascii="Arial" w:eastAsia="宋体" w:hAnsi="Arial" w:cs="Arial"/>
                <w:color w:val="000000"/>
                <w:sz w:val="14"/>
                <w:szCs w:val="14"/>
              </w:rPr>
              <w:t>4,901 </w:t>
            </w:r>
          </w:p>
        </w:tc>
        <w:tc>
          <w:tcPr>
            <w:tcW w:w="0" w:type="auto"/>
            <w:shd w:val="clear" w:color="auto" w:fill="CCEEFF"/>
            <w:tcMar>
              <w:top w:w="40" w:type="dxa"/>
              <w:left w:w="0" w:type="dxa"/>
              <w:bottom w:w="40" w:type="dxa"/>
              <w:right w:w="20" w:type="dxa"/>
            </w:tcMar>
            <w:vAlign w:val="bottom"/>
          </w:tcPr>
          <w:p w14:paraId="71D466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64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646"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647" w14:textId="77777777" w:rsidR="006A3667" w:rsidRDefault="00045F32">
            <w:pPr>
              <w:jc w:val="right"/>
              <w:textAlignment w:val="bottom"/>
            </w:pPr>
            <w:r>
              <w:rPr>
                <w:rFonts w:ascii="Arial" w:eastAsia="宋体" w:hAnsi="Arial" w:cs="Arial"/>
                <w:color w:val="000000"/>
                <w:sz w:val="14"/>
                <w:szCs w:val="14"/>
              </w:rPr>
              <w:t>529 </w:t>
            </w:r>
          </w:p>
        </w:tc>
        <w:tc>
          <w:tcPr>
            <w:tcW w:w="0" w:type="auto"/>
            <w:shd w:val="clear" w:color="auto" w:fill="CCEEFF"/>
            <w:tcMar>
              <w:top w:w="40" w:type="dxa"/>
              <w:left w:w="0" w:type="dxa"/>
              <w:bottom w:w="40" w:type="dxa"/>
              <w:right w:w="20" w:type="dxa"/>
            </w:tcMar>
            <w:vAlign w:val="bottom"/>
          </w:tcPr>
          <w:p w14:paraId="71D4664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64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64A"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64B" w14:textId="77777777" w:rsidR="006A3667" w:rsidRDefault="00045F32">
            <w:pPr>
              <w:jc w:val="right"/>
              <w:textAlignment w:val="bottom"/>
            </w:pPr>
            <w:r>
              <w:rPr>
                <w:rFonts w:ascii="Arial" w:eastAsia="宋体" w:hAnsi="Arial" w:cs="Arial"/>
                <w:color w:val="000000"/>
                <w:sz w:val="14"/>
                <w:szCs w:val="14"/>
              </w:rPr>
              <w:t>1,705 </w:t>
            </w:r>
          </w:p>
        </w:tc>
        <w:tc>
          <w:tcPr>
            <w:tcW w:w="0" w:type="auto"/>
            <w:shd w:val="clear" w:color="auto" w:fill="CCEEFF"/>
            <w:tcMar>
              <w:top w:w="40" w:type="dxa"/>
              <w:left w:w="0" w:type="dxa"/>
              <w:bottom w:w="40" w:type="dxa"/>
              <w:right w:w="20" w:type="dxa"/>
            </w:tcMar>
            <w:vAlign w:val="bottom"/>
          </w:tcPr>
          <w:p w14:paraId="71D466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64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64E"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64F" w14:textId="77777777" w:rsidR="006A3667" w:rsidRDefault="00045F32">
            <w:pPr>
              <w:jc w:val="right"/>
              <w:textAlignment w:val="bottom"/>
            </w:pPr>
            <w:r>
              <w:rPr>
                <w:rFonts w:ascii="Arial" w:eastAsia="宋体" w:hAnsi="Arial" w:cs="Arial"/>
                <w:color w:val="000000"/>
                <w:sz w:val="14"/>
                <w:szCs w:val="14"/>
              </w:rPr>
              <w:t>1,200 </w:t>
            </w:r>
          </w:p>
        </w:tc>
        <w:tc>
          <w:tcPr>
            <w:tcW w:w="0" w:type="auto"/>
            <w:shd w:val="clear" w:color="auto" w:fill="CCEEFF"/>
            <w:tcMar>
              <w:top w:w="40" w:type="dxa"/>
              <w:left w:w="0" w:type="dxa"/>
              <w:bottom w:w="40" w:type="dxa"/>
              <w:right w:w="20" w:type="dxa"/>
            </w:tcMar>
            <w:vAlign w:val="bottom"/>
          </w:tcPr>
          <w:p w14:paraId="71D466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651" w14:textId="77777777" w:rsidR="006A3667" w:rsidRDefault="006A3667">
            <w:pPr>
              <w:rPr>
                <w:rFonts w:ascii="宋体"/>
              </w:rPr>
            </w:pPr>
          </w:p>
        </w:tc>
        <w:tc>
          <w:tcPr>
            <w:tcW w:w="0" w:type="auto"/>
            <w:shd w:val="clear" w:color="auto" w:fill="auto"/>
            <w:vAlign w:val="bottom"/>
          </w:tcPr>
          <w:p w14:paraId="71D46652" w14:textId="77777777" w:rsidR="006A3667" w:rsidRDefault="006A3667">
            <w:pPr>
              <w:rPr>
                <w:rFonts w:ascii="宋体"/>
                <w:vanish/>
              </w:rPr>
            </w:pPr>
          </w:p>
        </w:tc>
        <w:tc>
          <w:tcPr>
            <w:tcW w:w="0" w:type="auto"/>
            <w:shd w:val="clear" w:color="auto" w:fill="auto"/>
            <w:vAlign w:val="bottom"/>
          </w:tcPr>
          <w:p w14:paraId="71D46653"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bottom"/>
          </w:tcPr>
          <w:p w14:paraId="71D4665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655" w14:textId="77777777" w:rsidR="006A3667" w:rsidRDefault="00045F32">
            <w:pPr>
              <w:jc w:val="right"/>
              <w:textAlignment w:val="bottom"/>
            </w:pPr>
            <w:r>
              <w:rPr>
                <w:rFonts w:ascii="Arial" w:eastAsia="宋体" w:hAnsi="Arial" w:cs="Arial"/>
                <w:color w:val="000000"/>
                <w:sz w:val="14"/>
                <w:szCs w:val="14"/>
              </w:rPr>
              <w:t>745 </w:t>
            </w:r>
          </w:p>
        </w:tc>
        <w:tc>
          <w:tcPr>
            <w:tcW w:w="0" w:type="auto"/>
            <w:shd w:val="clear" w:color="auto" w:fill="CCEEFF"/>
            <w:tcMar>
              <w:top w:w="40" w:type="dxa"/>
              <w:left w:w="0" w:type="dxa"/>
              <w:bottom w:w="40" w:type="dxa"/>
              <w:right w:w="20" w:type="dxa"/>
            </w:tcMar>
            <w:vAlign w:val="bottom"/>
          </w:tcPr>
          <w:p w14:paraId="71D466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65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65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659" w14:textId="77777777" w:rsidR="006A3667" w:rsidRDefault="00045F32">
            <w:pPr>
              <w:jc w:val="right"/>
              <w:textAlignment w:val="bottom"/>
            </w:pPr>
            <w:r>
              <w:rPr>
                <w:rFonts w:ascii="Arial" w:eastAsia="宋体" w:hAnsi="Arial" w:cs="Arial"/>
                <w:color w:val="000000"/>
                <w:sz w:val="14"/>
                <w:szCs w:val="14"/>
              </w:rPr>
              <w:t>17,639 </w:t>
            </w:r>
          </w:p>
        </w:tc>
        <w:tc>
          <w:tcPr>
            <w:tcW w:w="0" w:type="auto"/>
            <w:shd w:val="clear" w:color="auto" w:fill="CCEEFF"/>
            <w:tcMar>
              <w:top w:w="40" w:type="dxa"/>
              <w:left w:w="0" w:type="dxa"/>
              <w:bottom w:w="40" w:type="dxa"/>
              <w:right w:w="20" w:type="dxa"/>
            </w:tcMar>
            <w:vAlign w:val="bottom"/>
          </w:tcPr>
          <w:p w14:paraId="71D466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65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65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65D" w14:textId="77777777" w:rsidR="006A3667" w:rsidRDefault="00045F32">
            <w:pPr>
              <w:jc w:val="right"/>
              <w:textAlignment w:val="bottom"/>
            </w:pPr>
            <w:r>
              <w:rPr>
                <w:rFonts w:ascii="Arial" w:eastAsia="宋体" w:hAnsi="Arial" w:cs="Arial"/>
                <w:color w:val="000000"/>
                <w:sz w:val="14"/>
                <w:szCs w:val="14"/>
              </w:rPr>
              <w:t>36,113 </w:t>
            </w:r>
          </w:p>
        </w:tc>
        <w:tc>
          <w:tcPr>
            <w:tcW w:w="0" w:type="auto"/>
            <w:shd w:val="clear" w:color="auto" w:fill="CCEEFF"/>
            <w:tcMar>
              <w:top w:w="40" w:type="dxa"/>
              <w:left w:w="0" w:type="dxa"/>
              <w:bottom w:w="40" w:type="dxa"/>
              <w:right w:w="20" w:type="dxa"/>
            </w:tcMar>
            <w:vAlign w:val="bottom"/>
          </w:tcPr>
          <w:p w14:paraId="71D4665E" w14:textId="77777777" w:rsidR="006A3667" w:rsidRDefault="006A3667">
            <w:pPr>
              <w:jc w:val="right"/>
              <w:rPr>
                <w:rFonts w:ascii="宋体"/>
              </w:rPr>
            </w:pPr>
          </w:p>
        </w:tc>
      </w:tr>
      <w:tr w:rsidR="006A3667" w14:paraId="71D46672" w14:textId="77777777">
        <w:trPr>
          <w:hidden/>
        </w:trPr>
        <w:tc>
          <w:tcPr>
            <w:tcW w:w="0" w:type="auto"/>
            <w:gridSpan w:val="3"/>
            <w:shd w:val="clear" w:color="auto" w:fill="auto"/>
            <w:vAlign w:val="bottom"/>
          </w:tcPr>
          <w:p w14:paraId="71D46660" w14:textId="77777777" w:rsidR="006A3667" w:rsidRDefault="006A3667">
            <w:pPr>
              <w:rPr>
                <w:rFonts w:ascii="宋体"/>
                <w:vanish/>
              </w:rPr>
            </w:pPr>
          </w:p>
        </w:tc>
        <w:tc>
          <w:tcPr>
            <w:tcW w:w="0" w:type="auto"/>
            <w:gridSpan w:val="3"/>
            <w:shd w:val="clear" w:color="auto" w:fill="auto"/>
            <w:vAlign w:val="bottom"/>
          </w:tcPr>
          <w:p w14:paraId="71D46661" w14:textId="77777777" w:rsidR="006A3667" w:rsidRDefault="006A3667">
            <w:pPr>
              <w:rPr>
                <w:rFonts w:ascii="宋体"/>
                <w:vanish/>
              </w:rPr>
            </w:pPr>
          </w:p>
        </w:tc>
        <w:tc>
          <w:tcPr>
            <w:tcW w:w="0" w:type="auto"/>
            <w:gridSpan w:val="3"/>
            <w:shd w:val="clear" w:color="auto" w:fill="auto"/>
            <w:vAlign w:val="bottom"/>
          </w:tcPr>
          <w:p w14:paraId="71D46662" w14:textId="77777777" w:rsidR="006A3667" w:rsidRDefault="006A3667">
            <w:pPr>
              <w:rPr>
                <w:rFonts w:ascii="宋体"/>
                <w:vanish/>
              </w:rPr>
            </w:pPr>
          </w:p>
        </w:tc>
        <w:tc>
          <w:tcPr>
            <w:tcW w:w="0" w:type="auto"/>
            <w:gridSpan w:val="3"/>
            <w:shd w:val="clear" w:color="auto" w:fill="auto"/>
            <w:vAlign w:val="bottom"/>
          </w:tcPr>
          <w:p w14:paraId="71D46663" w14:textId="77777777" w:rsidR="006A3667" w:rsidRDefault="006A3667">
            <w:pPr>
              <w:rPr>
                <w:rFonts w:ascii="宋体"/>
                <w:vanish/>
              </w:rPr>
            </w:pPr>
          </w:p>
        </w:tc>
        <w:tc>
          <w:tcPr>
            <w:tcW w:w="0" w:type="auto"/>
            <w:gridSpan w:val="3"/>
            <w:shd w:val="clear" w:color="auto" w:fill="auto"/>
            <w:vAlign w:val="bottom"/>
          </w:tcPr>
          <w:p w14:paraId="71D46664" w14:textId="77777777" w:rsidR="006A3667" w:rsidRDefault="006A3667">
            <w:pPr>
              <w:rPr>
                <w:rFonts w:ascii="宋体"/>
                <w:vanish/>
              </w:rPr>
            </w:pPr>
          </w:p>
        </w:tc>
        <w:tc>
          <w:tcPr>
            <w:tcW w:w="0" w:type="auto"/>
            <w:gridSpan w:val="3"/>
            <w:shd w:val="clear" w:color="auto" w:fill="auto"/>
            <w:vAlign w:val="bottom"/>
          </w:tcPr>
          <w:p w14:paraId="71D46665" w14:textId="77777777" w:rsidR="006A3667" w:rsidRDefault="006A3667">
            <w:pPr>
              <w:rPr>
                <w:rFonts w:ascii="宋体"/>
                <w:vanish/>
              </w:rPr>
            </w:pPr>
          </w:p>
        </w:tc>
        <w:tc>
          <w:tcPr>
            <w:tcW w:w="0" w:type="auto"/>
            <w:gridSpan w:val="3"/>
            <w:shd w:val="clear" w:color="auto" w:fill="auto"/>
            <w:vAlign w:val="bottom"/>
          </w:tcPr>
          <w:p w14:paraId="71D46666" w14:textId="77777777" w:rsidR="006A3667" w:rsidRDefault="006A3667">
            <w:pPr>
              <w:rPr>
                <w:rFonts w:ascii="宋体"/>
                <w:vanish/>
              </w:rPr>
            </w:pPr>
          </w:p>
        </w:tc>
        <w:tc>
          <w:tcPr>
            <w:tcW w:w="0" w:type="auto"/>
            <w:gridSpan w:val="3"/>
            <w:shd w:val="clear" w:color="auto" w:fill="auto"/>
            <w:vAlign w:val="bottom"/>
          </w:tcPr>
          <w:p w14:paraId="71D46667" w14:textId="77777777" w:rsidR="006A3667" w:rsidRDefault="006A3667">
            <w:pPr>
              <w:rPr>
                <w:rFonts w:ascii="宋体"/>
                <w:vanish/>
              </w:rPr>
            </w:pPr>
          </w:p>
        </w:tc>
        <w:tc>
          <w:tcPr>
            <w:tcW w:w="0" w:type="auto"/>
            <w:gridSpan w:val="3"/>
            <w:shd w:val="clear" w:color="auto" w:fill="auto"/>
            <w:vAlign w:val="bottom"/>
          </w:tcPr>
          <w:p w14:paraId="71D46668" w14:textId="77777777" w:rsidR="006A3667" w:rsidRDefault="006A3667">
            <w:pPr>
              <w:rPr>
                <w:rFonts w:ascii="宋体"/>
                <w:vanish/>
              </w:rPr>
            </w:pPr>
          </w:p>
        </w:tc>
        <w:tc>
          <w:tcPr>
            <w:tcW w:w="0" w:type="auto"/>
            <w:gridSpan w:val="3"/>
            <w:shd w:val="clear" w:color="auto" w:fill="auto"/>
            <w:vAlign w:val="bottom"/>
          </w:tcPr>
          <w:p w14:paraId="71D46669" w14:textId="77777777" w:rsidR="006A3667" w:rsidRDefault="006A3667">
            <w:pPr>
              <w:rPr>
                <w:rFonts w:ascii="宋体"/>
                <w:vanish/>
              </w:rPr>
            </w:pPr>
          </w:p>
        </w:tc>
        <w:tc>
          <w:tcPr>
            <w:tcW w:w="0" w:type="auto"/>
            <w:gridSpan w:val="3"/>
            <w:shd w:val="clear" w:color="auto" w:fill="auto"/>
            <w:vAlign w:val="bottom"/>
          </w:tcPr>
          <w:p w14:paraId="71D4666A" w14:textId="77777777" w:rsidR="006A3667" w:rsidRDefault="006A3667">
            <w:pPr>
              <w:rPr>
                <w:rFonts w:ascii="宋体"/>
                <w:vanish/>
              </w:rPr>
            </w:pPr>
          </w:p>
        </w:tc>
        <w:tc>
          <w:tcPr>
            <w:tcW w:w="0" w:type="auto"/>
            <w:shd w:val="clear" w:color="auto" w:fill="auto"/>
            <w:vAlign w:val="bottom"/>
          </w:tcPr>
          <w:p w14:paraId="71D4666B" w14:textId="77777777" w:rsidR="006A3667" w:rsidRDefault="006A3667">
            <w:pPr>
              <w:rPr>
                <w:rFonts w:ascii="宋体"/>
                <w:vanish/>
              </w:rPr>
            </w:pPr>
          </w:p>
        </w:tc>
        <w:tc>
          <w:tcPr>
            <w:tcW w:w="0" w:type="auto"/>
            <w:shd w:val="clear" w:color="auto" w:fill="auto"/>
            <w:vAlign w:val="bottom"/>
          </w:tcPr>
          <w:p w14:paraId="71D4666C" w14:textId="77777777" w:rsidR="006A3667" w:rsidRDefault="006A3667">
            <w:pPr>
              <w:rPr>
                <w:rFonts w:ascii="宋体"/>
                <w:vanish/>
              </w:rPr>
            </w:pPr>
          </w:p>
        </w:tc>
        <w:tc>
          <w:tcPr>
            <w:tcW w:w="0" w:type="auto"/>
            <w:gridSpan w:val="3"/>
            <w:shd w:val="clear" w:color="auto" w:fill="auto"/>
            <w:vAlign w:val="bottom"/>
          </w:tcPr>
          <w:p w14:paraId="71D4666D" w14:textId="77777777" w:rsidR="006A3667" w:rsidRDefault="006A3667">
            <w:pPr>
              <w:rPr>
                <w:rFonts w:ascii="宋体"/>
                <w:vanish/>
              </w:rPr>
            </w:pPr>
          </w:p>
        </w:tc>
        <w:tc>
          <w:tcPr>
            <w:tcW w:w="0" w:type="auto"/>
            <w:gridSpan w:val="3"/>
            <w:shd w:val="clear" w:color="auto" w:fill="auto"/>
            <w:vAlign w:val="bottom"/>
          </w:tcPr>
          <w:p w14:paraId="71D4666E" w14:textId="77777777" w:rsidR="006A3667" w:rsidRDefault="006A3667">
            <w:pPr>
              <w:rPr>
                <w:rFonts w:ascii="宋体"/>
                <w:vanish/>
              </w:rPr>
            </w:pPr>
          </w:p>
        </w:tc>
        <w:tc>
          <w:tcPr>
            <w:tcW w:w="0" w:type="auto"/>
            <w:gridSpan w:val="3"/>
            <w:shd w:val="clear" w:color="auto" w:fill="auto"/>
            <w:vAlign w:val="bottom"/>
          </w:tcPr>
          <w:p w14:paraId="71D4666F" w14:textId="77777777" w:rsidR="006A3667" w:rsidRDefault="006A3667">
            <w:pPr>
              <w:rPr>
                <w:rFonts w:ascii="宋体"/>
                <w:vanish/>
              </w:rPr>
            </w:pPr>
          </w:p>
        </w:tc>
        <w:tc>
          <w:tcPr>
            <w:tcW w:w="0" w:type="auto"/>
            <w:gridSpan w:val="3"/>
            <w:shd w:val="clear" w:color="auto" w:fill="auto"/>
            <w:vAlign w:val="bottom"/>
          </w:tcPr>
          <w:p w14:paraId="71D46670" w14:textId="77777777" w:rsidR="006A3667" w:rsidRDefault="006A3667">
            <w:pPr>
              <w:rPr>
                <w:rFonts w:ascii="宋体"/>
                <w:vanish/>
              </w:rPr>
            </w:pPr>
          </w:p>
        </w:tc>
        <w:tc>
          <w:tcPr>
            <w:tcW w:w="0" w:type="auto"/>
            <w:gridSpan w:val="3"/>
            <w:shd w:val="clear" w:color="auto" w:fill="auto"/>
            <w:vAlign w:val="bottom"/>
          </w:tcPr>
          <w:p w14:paraId="71D46671" w14:textId="77777777" w:rsidR="006A3667" w:rsidRDefault="006A3667">
            <w:pPr>
              <w:rPr>
                <w:rFonts w:ascii="宋体"/>
                <w:vanish/>
              </w:rPr>
            </w:pPr>
          </w:p>
        </w:tc>
      </w:tr>
      <w:tr w:rsidR="006A3667" w14:paraId="71D46685" w14:textId="77777777">
        <w:trPr>
          <w:hidden/>
        </w:trPr>
        <w:tc>
          <w:tcPr>
            <w:tcW w:w="0" w:type="auto"/>
            <w:gridSpan w:val="3"/>
            <w:shd w:val="clear" w:color="auto" w:fill="auto"/>
            <w:vAlign w:val="bottom"/>
          </w:tcPr>
          <w:p w14:paraId="71D46673" w14:textId="77777777" w:rsidR="006A3667" w:rsidRDefault="006A3667">
            <w:pPr>
              <w:rPr>
                <w:rFonts w:ascii="宋体"/>
                <w:vanish/>
              </w:rPr>
            </w:pPr>
          </w:p>
        </w:tc>
        <w:tc>
          <w:tcPr>
            <w:tcW w:w="0" w:type="auto"/>
            <w:gridSpan w:val="3"/>
            <w:shd w:val="clear" w:color="auto" w:fill="auto"/>
            <w:vAlign w:val="bottom"/>
          </w:tcPr>
          <w:p w14:paraId="71D46674" w14:textId="77777777" w:rsidR="006A3667" w:rsidRDefault="006A3667">
            <w:pPr>
              <w:rPr>
                <w:rFonts w:ascii="宋体"/>
                <w:vanish/>
              </w:rPr>
            </w:pPr>
          </w:p>
        </w:tc>
        <w:tc>
          <w:tcPr>
            <w:tcW w:w="0" w:type="auto"/>
            <w:gridSpan w:val="3"/>
            <w:shd w:val="clear" w:color="auto" w:fill="auto"/>
            <w:vAlign w:val="bottom"/>
          </w:tcPr>
          <w:p w14:paraId="71D46675" w14:textId="77777777" w:rsidR="006A3667" w:rsidRDefault="006A3667">
            <w:pPr>
              <w:rPr>
                <w:rFonts w:ascii="宋体"/>
                <w:vanish/>
              </w:rPr>
            </w:pPr>
          </w:p>
        </w:tc>
        <w:tc>
          <w:tcPr>
            <w:tcW w:w="0" w:type="auto"/>
            <w:gridSpan w:val="3"/>
            <w:shd w:val="clear" w:color="auto" w:fill="auto"/>
            <w:vAlign w:val="bottom"/>
          </w:tcPr>
          <w:p w14:paraId="71D46676" w14:textId="77777777" w:rsidR="006A3667" w:rsidRDefault="006A3667">
            <w:pPr>
              <w:rPr>
                <w:rFonts w:ascii="宋体"/>
                <w:vanish/>
              </w:rPr>
            </w:pPr>
          </w:p>
        </w:tc>
        <w:tc>
          <w:tcPr>
            <w:tcW w:w="0" w:type="auto"/>
            <w:gridSpan w:val="3"/>
            <w:shd w:val="clear" w:color="auto" w:fill="auto"/>
            <w:vAlign w:val="bottom"/>
          </w:tcPr>
          <w:p w14:paraId="71D46677" w14:textId="77777777" w:rsidR="006A3667" w:rsidRDefault="006A3667">
            <w:pPr>
              <w:rPr>
                <w:rFonts w:ascii="宋体"/>
                <w:vanish/>
              </w:rPr>
            </w:pPr>
          </w:p>
        </w:tc>
        <w:tc>
          <w:tcPr>
            <w:tcW w:w="0" w:type="auto"/>
            <w:gridSpan w:val="3"/>
            <w:shd w:val="clear" w:color="auto" w:fill="auto"/>
            <w:vAlign w:val="bottom"/>
          </w:tcPr>
          <w:p w14:paraId="71D46678" w14:textId="77777777" w:rsidR="006A3667" w:rsidRDefault="006A3667">
            <w:pPr>
              <w:rPr>
                <w:rFonts w:ascii="宋体"/>
                <w:vanish/>
              </w:rPr>
            </w:pPr>
          </w:p>
        </w:tc>
        <w:tc>
          <w:tcPr>
            <w:tcW w:w="0" w:type="auto"/>
            <w:gridSpan w:val="3"/>
            <w:shd w:val="clear" w:color="auto" w:fill="auto"/>
            <w:vAlign w:val="bottom"/>
          </w:tcPr>
          <w:p w14:paraId="71D46679" w14:textId="77777777" w:rsidR="006A3667" w:rsidRDefault="006A3667">
            <w:pPr>
              <w:rPr>
                <w:rFonts w:ascii="宋体"/>
                <w:vanish/>
              </w:rPr>
            </w:pPr>
          </w:p>
        </w:tc>
        <w:tc>
          <w:tcPr>
            <w:tcW w:w="0" w:type="auto"/>
            <w:gridSpan w:val="3"/>
            <w:shd w:val="clear" w:color="auto" w:fill="auto"/>
            <w:vAlign w:val="bottom"/>
          </w:tcPr>
          <w:p w14:paraId="71D4667A" w14:textId="77777777" w:rsidR="006A3667" w:rsidRDefault="006A3667">
            <w:pPr>
              <w:rPr>
                <w:rFonts w:ascii="宋体"/>
                <w:vanish/>
              </w:rPr>
            </w:pPr>
          </w:p>
        </w:tc>
        <w:tc>
          <w:tcPr>
            <w:tcW w:w="0" w:type="auto"/>
            <w:gridSpan w:val="3"/>
            <w:shd w:val="clear" w:color="auto" w:fill="auto"/>
            <w:vAlign w:val="bottom"/>
          </w:tcPr>
          <w:p w14:paraId="71D4667B" w14:textId="77777777" w:rsidR="006A3667" w:rsidRDefault="006A3667">
            <w:pPr>
              <w:rPr>
                <w:rFonts w:ascii="宋体"/>
                <w:vanish/>
              </w:rPr>
            </w:pPr>
          </w:p>
        </w:tc>
        <w:tc>
          <w:tcPr>
            <w:tcW w:w="0" w:type="auto"/>
            <w:gridSpan w:val="3"/>
            <w:shd w:val="clear" w:color="auto" w:fill="auto"/>
            <w:vAlign w:val="bottom"/>
          </w:tcPr>
          <w:p w14:paraId="71D4667C" w14:textId="77777777" w:rsidR="006A3667" w:rsidRDefault="006A3667">
            <w:pPr>
              <w:rPr>
                <w:rFonts w:ascii="宋体"/>
                <w:vanish/>
              </w:rPr>
            </w:pPr>
          </w:p>
        </w:tc>
        <w:tc>
          <w:tcPr>
            <w:tcW w:w="0" w:type="auto"/>
            <w:gridSpan w:val="3"/>
            <w:shd w:val="clear" w:color="auto" w:fill="auto"/>
            <w:vAlign w:val="bottom"/>
          </w:tcPr>
          <w:p w14:paraId="71D4667D" w14:textId="77777777" w:rsidR="006A3667" w:rsidRDefault="006A3667">
            <w:pPr>
              <w:rPr>
                <w:rFonts w:ascii="宋体"/>
                <w:vanish/>
              </w:rPr>
            </w:pPr>
          </w:p>
        </w:tc>
        <w:tc>
          <w:tcPr>
            <w:tcW w:w="0" w:type="auto"/>
            <w:shd w:val="clear" w:color="auto" w:fill="auto"/>
            <w:vAlign w:val="bottom"/>
          </w:tcPr>
          <w:p w14:paraId="71D4667E" w14:textId="77777777" w:rsidR="006A3667" w:rsidRDefault="006A3667">
            <w:pPr>
              <w:rPr>
                <w:rFonts w:ascii="宋体"/>
                <w:vanish/>
              </w:rPr>
            </w:pPr>
          </w:p>
        </w:tc>
        <w:tc>
          <w:tcPr>
            <w:tcW w:w="0" w:type="auto"/>
            <w:shd w:val="clear" w:color="auto" w:fill="auto"/>
            <w:vAlign w:val="bottom"/>
          </w:tcPr>
          <w:p w14:paraId="71D4667F" w14:textId="77777777" w:rsidR="006A3667" w:rsidRDefault="006A3667">
            <w:pPr>
              <w:rPr>
                <w:rFonts w:ascii="宋体"/>
                <w:vanish/>
              </w:rPr>
            </w:pPr>
          </w:p>
        </w:tc>
        <w:tc>
          <w:tcPr>
            <w:tcW w:w="0" w:type="auto"/>
            <w:gridSpan w:val="3"/>
            <w:shd w:val="clear" w:color="auto" w:fill="auto"/>
            <w:vAlign w:val="bottom"/>
          </w:tcPr>
          <w:p w14:paraId="71D46680" w14:textId="77777777" w:rsidR="006A3667" w:rsidRDefault="006A3667">
            <w:pPr>
              <w:rPr>
                <w:rFonts w:ascii="宋体"/>
                <w:vanish/>
              </w:rPr>
            </w:pPr>
          </w:p>
        </w:tc>
        <w:tc>
          <w:tcPr>
            <w:tcW w:w="0" w:type="auto"/>
            <w:gridSpan w:val="3"/>
            <w:shd w:val="clear" w:color="auto" w:fill="auto"/>
            <w:vAlign w:val="bottom"/>
          </w:tcPr>
          <w:p w14:paraId="71D46681" w14:textId="77777777" w:rsidR="006A3667" w:rsidRDefault="006A3667">
            <w:pPr>
              <w:rPr>
                <w:rFonts w:ascii="宋体"/>
                <w:vanish/>
              </w:rPr>
            </w:pPr>
          </w:p>
        </w:tc>
        <w:tc>
          <w:tcPr>
            <w:tcW w:w="0" w:type="auto"/>
            <w:gridSpan w:val="3"/>
            <w:shd w:val="clear" w:color="auto" w:fill="auto"/>
            <w:vAlign w:val="bottom"/>
          </w:tcPr>
          <w:p w14:paraId="71D46682" w14:textId="77777777" w:rsidR="006A3667" w:rsidRDefault="006A3667">
            <w:pPr>
              <w:rPr>
                <w:rFonts w:ascii="宋体"/>
                <w:vanish/>
              </w:rPr>
            </w:pPr>
          </w:p>
        </w:tc>
        <w:tc>
          <w:tcPr>
            <w:tcW w:w="0" w:type="auto"/>
            <w:gridSpan w:val="3"/>
            <w:shd w:val="clear" w:color="auto" w:fill="auto"/>
            <w:vAlign w:val="bottom"/>
          </w:tcPr>
          <w:p w14:paraId="71D46683" w14:textId="77777777" w:rsidR="006A3667" w:rsidRDefault="006A3667">
            <w:pPr>
              <w:rPr>
                <w:rFonts w:ascii="宋体"/>
                <w:vanish/>
              </w:rPr>
            </w:pPr>
          </w:p>
        </w:tc>
        <w:tc>
          <w:tcPr>
            <w:tcW w:w="0" w:type="auto"/>
            <w:gridSpan w:val="3"/>
            <w:shd w:val="clear" w:color="auto" w:fill="auto"/>
            <w:vAlign w:val="bottom"/>
          </w:tcPr>
          <w:p w14:paraId="71D46684" w14:textId="77777777" w:rsidR="006A3667" w:rsidRDefault="006A3667">
            <w:pPr>
              <w:rPr>
                <w:rFonts w:ascii="宋体"/>
                <w:vanish/>
              </w:rPr>
            </w:pPr>
          </w:p>
        </w:tc>
      </w:tr>
      <w:tr w:rsidR="006A3667" w14:paraId="71D46698" w14:textId="77777777">
        <w:trPr>
          <w:hidden/>
        </w:trPr>
        <w:tc>
          <w:tcPr>
            <w:tcW w:w="0" w:type="auto"/>
            <w:gridSpan w:val="3"/>
            <w:shd w:val="clear" w:color="auto" w:fill="auto"/>
            <w:vAlign w:val="bottom"/>
          </w:tcPr>
          <w:p w14:paraId="71D46686" w14:textId="77777777" w:rsidR="006A3667" w:rsidRDefault="006A3667">
            <w:pPr>
              <w:rPr>
                <w:rFonts w:ascii="宋体"/>
                <w:vanish/>
              </w:rPr>
            </w:pPr>
          </w:p>
        </w:tc>
        <w:tc>
          <w:tcPr>
            <w:tcW w:w="0" w:type="auto"/>
            <w:gridSpan w:val="3"/>
            <w:shd w:val="clear" w:color="auto" w:fill="auto"/>
            <w:vAlign w:val="bottom"/>
          </w:tcPr>
          <w:p w14:paraId="71D46687" w14:textId="77777777" w:rsidR="006A3667" w:rsidRDefault="006A3667">
            <w:pPr>
              <w:rPr>
                <w:rFonts w:ascii="宋体"/>
                <w:vanish/>
              </w:rPr>
            </w:pPr>
          </w:p>
        </w:tc>
        <w:tc>
          <w:tcPr>
            <w:tcW w:w="0" w:type="auto"/>
            <w:gridSpan w:val="3"/>
            <w:shd w:val="clear" w:color="auto" w:fill="auto"/>
            <w:vAlign w:val="bottom"/>
          </w:tcPr>
          <w:p w14:paraId="71D46688" w14:textId="77777777" w:rsidR="006A3667" w:rsidRDefault="006A3667">
            <w:pPr>
              <w:rPr>
                <w:rFonts w:ascii="宋体"/>
                <w:vanish/>
              </w:rPr>
            </w:pPr>
          </w:p>
        </w:tc>
        <w:tc>
          <w:tcPr>
            <w:tcW w:w="0" w:type="auto"/>
            <w:gridSpan w:val="3"/>
            <w:shd w:val="clear" w:color="auto" w:fill="auto"/>
            <w:vAlign w:val="bottom"/>
          </w:tcPr>
          <w:p w14:paraId="71D46689" w14:textId="77777777" w:rsidR="006A3667" w:rsidRDefault="006A3667">
            <w:pPr>
              <w:rPr>
                <w:rFonts w:ascii="宋体"/>
                <w:vanish/>
              </w:rPr>
            </w:pPr>
          </w:p>
        </w:tc>
        <w:tc>
          <w:tcPr>
            <w:tcW w:w="0" w:type="auto"/>
            <w:gridSpan w:val="3"/>
            <w:shd w:val="clear" w:color="auto" w:fill="auto"/>
            <w:vAlign w:val="bottom"/>
          </w:tcPr>
          <w:p w14:paraId="71D4668A" w14:textId="77777777" w:rsidR="006A3667" w:rsidRDefault="006A3667">
            <w:pPr>
              <w:rPr>
                <w:rFonts w:ascii="宋体"/>
                <w:vanish/>
              </w:rPr>
            </w:pPr>
          </w:p>
        </w:tc>
        <w:tc>
          <w:tcPr>
            <w:tcW w:w="0" w:type="auto"/>
            <w:gridSpan w:val="3"/>
            <w:shd w:val="clear" w:color="auto" w:fill="auto"/>
            <w:vAlign w:val="bottom"/>
          </w:tcPr>
          <w:p w14:paraId="71D4668B" w14:textId="77777777" w:rsidR="006A3667" w:rsidRDefault="006A3667">
            <w:pPr>
              <w:rPr>
                <w:rFonts w:ascii="宋体"/>
                <w:vanish/>
              </w:rPr>
            </w:pPr>
          </w:p>
        </w:tc>
        <w:tc>
          <w:tcPr>
            <w:tcW w:w="0" w:type="auto"/>
            <w:gridSpan w:val="3"/>
            <w:shd w:val="clear" w:color="auto" w:fill="auto"/>
            <w:vAlign w:val="bottom"/>
          </w:tcPr>
          <w:p w14:paraId="71D4668C" w14:textId="77777777" w:rsidR="006A3667" w:rsidRDefault="006A3667">
            <w:pPr>
              <w:rPr>
                <w:rFonts w:ascii="宋体"/>
                <w:vanish/>
              </w:rPr>
            </w:pPr>
          </w:p>
        </w:tc>
        <w:tc>
          <w:tcPr>
            <w:tcW w:w="0" w:type="auto"/>
            <w:gridSpan w:val="3"/>
            <w:shd w:val="clear" w:color="auto" w:fill="auto"/>
            <w:vAlign w:val="bottom"/>
          </w:tcPr>
          <w:p w14:paraId="71D4668D" w14:textId="77777777" w:rsidR="006A3667" w:rsidRDefault="006A3667">
            <w:pPr>
              <w:rPr>
                <w:rFonts w:ascii="宋体"/>
                <w:vanish/>
              </w:rPr>
            </w:pPr>
          </w:p>
        </w:tc>
        <w:tc>
          <w:tcPr>
            <w:tcW w:w="0" w:type="auto"/>
            <w:gridSpan w:val="3"/>
            <w:shd w:val="clear" w:color="auto" w:fill="auto"/>
            <w:vAlign w:val="bottom"/>
          </w:tcPr>
          <w:p w14:paraId="71D4668E" w14:textId="77777777" w:rsidR="006A3667" w:rsidRDefault="006A3667">
            <w:pPr>
              <w:rPr>
                <w:rFonts w:ascii="宋体"/>
                <w:vanish/>
              </w:rPr>
            </w:pPr>
          </w:p>
        </w:tc>
        <w:tc>
          <w:tcPr>
            <w:tcW w:w="0" w:type="auto"/>
            <w:gridSpan w:val="3"/>
            <w:shd w:val="clear" w:color="auto" w:fill="auto"/>
            <w:vAlign w:val="bottom"/>
          </w:tcPr>
          <w:p w14:paraId="71D4668F" w14:textId="77777777" w:rsidR="006A3667" w:rsidRDefault="006A3667">
            <w:pPr>
              <w:rPr>
                <w:rFonts w:ascii="宋体"/>
                <w:vanish/>
              </w:rPr>
            </w:pPr>
          </w:p>
        </w:tc>
        <w:tc>
          <w:tcPr>
            <w:tcW w:w="0" w:type="auto"/>
            <w:gridSpan w:val="3"/>
            <w:shd w:val="clear" w:color="auto" w:fill="auto"/>
            <w:vAlign w:val="bottom"/>
          </w:tcPr>
          <w:p w14:paraId="71D46690" w14:textId="77777777" w:rsidR="006A3667" w:rsidRDefault="006A3667">
            <w:pPr>
              <w:rPr>
                <w:rFonts w:ascii="宋体"/>
                <w:vanish/>
              </w:rPr>
            </w:pPr>
          </w:p>
        </w:tc>
        <w:tc>
          <w:tcPr>
            <w:tcW w:w="0" w:type="auto"/>
            <w:shd w:val="clear" w:color="auto" w:fill="auto"/>
            <w:vAlign w:val="bottom"/>
          </w:tcPr>
          <w:p w14:paraId="71D46691" w14:textId="77777777" w:rsidR="006A3667" w:rsidRDefault="006A3667">
            <w:pPr>
              <w:rPr>
                <w:rFonts w:ascii="宋体"/>
                <w:vanish/>
              </w:rPr>
            </w:pPr>
          </w:p>
        </w:tc>
        <w:tc>
          <w:tcPr>
            <w:tcW w:w="0" w:type="auto"/>
            <w:shd w:val="clear" w:color="auto" w:fill="auto"/>
            <w:vAlign w:val="bottom"/>
          </w:tcPr>
          <w:p w14:paraId="71D46692" w14:textId="77777777" w:rsidR="006A3667" w:rsidRDefault="006A3667">
            <w:pPr>
              <w:rPr>
                <w:rFonts w:ascii="宋体"/>
                <w:vanish/>
              </w:rPr>
            </w:pPr>
          </w:p>
        </w:tc>
        <w:tc>
          <w:tcPr>
            <w:tcW w:w="0" w:type="auto"/>
            <w:gridSpan w:val="3"/>
            <w:shd w:val="clear" w:color="auto" w:fill="auto"/>
            <w:vAlign w:val="bottom"/>
          </w:tcPr>
          <w:p w14:paraId="71D46693" w14:textId="77777777" w:rsidR="006A3667" w:rsidRDefault="006A3667">
            <w:pPr>
              <w:rPr>
                <w:rFonts w:ascii="宋体"/>
                <w:vanish/>
              </w:rPr>
            </w:pPr>
          </w:p>
        </w:tc>
        <w:tc>
          <w:tcPr>
            <w:tcW w:w="0" w:type="auto"/>
            <w:gridSpan w:val="3"/>
            <w:shd w:val="clear" w:color="auto" w:fill="auto"/>
            <w:vAlign w:val="bottom"/>
          </w:tcPr>
          <w:p w14:paraId="71D46694" w14:textId="77777777" w:rsidR="006A3667" w:rsidRDefault="006A3667">
            <w:pPr>
              <w:rPr>
                <w:rFonts w:ascii="宋体"/>
                <w:vanish/>
              </w:rPr>
            </w:pPr>
          </w:p>
        </w:tc>
        <w:tc>
          <w:tcPr>
            <w:tcW w:w="0" w:type="auto"/>
            <w:gridSpan w:val="3"/>
            <w:shd w:val="clear" w:color="auto" w:fill="auto"/>
            <w:vAlign w:val="bottom"/>
          </w:tcPr>
          <w:p w14:paraId="71D46695" w14:textId="77777777" w:rsidR="006A3667" w:rsidRDefault="006A3667">
            <w:pPr>
              <w:rPr>
                <w:rFonts w:ascii="宋体"/>
                <w:vanish/>
              </w:rPr>
            </w:pPr>
          </w:p>
        </w:tc>
        <w:tc>
          <w:tcPr>
            <w:tcW w:w="0" w:type="auto"/>
            <w:gridSpan w:val="3"/>
            <w:shd w:val="clear" w:color="auto" w:fill="auto"/>
            <w:vAlign w:val="bottom"/>
          </w:tcPr>
          <w:p w14:paraId="71D46696" w14:textId="77777777" w:rsidR="006A3667" w:rsidRDefault="006A3667">
            <w:pPr>
              <w:rPr>
                <w:rFonts w:ascii="宋体"/>
                <w:vanish/>
              </w:rPr>
            </w:pPr>
          </w:p>
        </w:tc>
        <w:tc>
          <w:tcPr>
            <w:tcW w:w="0" w:type="auto"/>
            <w:gridSpan w:val="3"/>
            <w:shd w:val="clear" w:color="auto" w:fill="auto"/>
            <w:vAlign w:val="bottom"/>
          </w:tcPr>
          <w:p w14:paraId="71D46697" w14:textId="77777777" w:rsidR="006A3667" w:rsidRDefault="006A3667">
            <w:pPr>
              <w:rPr>
                <w:rFonts w:ascii="宋体"/>
                <w:vanish/>
              </w:rPr>
            </w:pPr>
          </w:p>
        </w:tc>
      </w:tr>
      <w:tr w:rsidR="006A3667" w14:paraId="71D466AB" w14:textId="77777777">
        <w:trPr>
          <w:hidden/>
        </w:trPr>
        <w:tc>
          <w:tcPr>
            <w:tcW w:w="0" w:type="auto"/>
            <w:gridSpan w:val="3"/>
            <w:shd w:val="clear" w:color="auto" w:fill="auto"/>
            <w:vAlign w:val="bottom"/>
          </w:tcPr>
          <w:p w14:paraId="71D46699" w14:textId="77777777" w:rsidR="006A3667" w:rsidRDefault="006A3667">
            <w:pPr>
              <w:rPr>
                <w:rFonts w:ascii="宋体"/>
                <w:vanish/>
              </w:rPr>
            </w:pPr>
          </w:p>
        </w:tc>
        <w:tc>
          <w:tcPr>
            <w:tcW w:w="0" w:type="auto"/>
            <w:gridSpan w:val="3"/>
            <w:shd w:val="clear" w:color="auto" w:fill="auto"/>
            <w:vAlign w:val="bottom"/>
          </w:tcPr>
          <w:p w14:paraId="71D4669A" w14:textId="77777777" w:rsidR="006A3667" w:rsidRDefault="006A3667">
            <w:pPr>
              <w:rPr>
                <w:rFonts w:ascii="宋体"/>
                <w:vanish/>
              </w:rPr>
            </w:pPr>
          </w:p>
        </w:tc>
        <w:tc>
          <w:tcPr>
            <w:tcW w:w="0" w:type="auto"/>
            <w:gridSpan w:val="3"/>
            <w:shd w:val="clear" w:color="auto" w:fill="auto"/>
            <w:vAlign w:val="bottom"/>
          </w:tcPr>
          <w:p w14:paraId="71D4669B" w14:textId="77777777" w:rsidR="006A3667" w:rsidRDefault="006A3667">
            <w:pPr>
              <w:rPr>
                <w:rFonts w:ascii="宋体"/>
                <w:vanish/>
              </w:rPr>
            </w:pPr>
          </w:p>
        </w:tc>
        <w:tc>
          <w:tcPr>
            <w:tcW w:w="0" w:type="auto"/>
            <w:gridSpan w:val="3"/>
            <w:shd w:val="clear" w:color="auto" w:fill="auto"/>
            <w:vAlign w:val="bottom"/>
          </w:tcPr>
          <w:p w14:paraId="71D4669C" w14:textId="77777777" w:rsidR="006A3667" w:rsidRDefault="006A3667">
            <w:pPr>
              <w:rPr>
                <w:rFonts w:ascii="宋体"/>
                <w:vanish/>
              </w:rPr>
            </w:pPr>
          </w:p>
        </w:tc>
        <w:tc>
          <w:tcPr>
            <w:tcW w:w="0" w:type="auto"/>
            <w:gridSpan w:val="3"/>
            <w:shd w:val="clear" w:color="auto" w:fill="auto"/>
            <w:vAlign w:val="bottom"/>
          </w:tcPr>
          <w:p w14:paraId="71D4669D" w14:textId="77777777" w:rsidR="006A3667" w:rsidRDefault="006A3667">
            <w:pPr>
              <w:rPr>
                <w:rFonts w:ascii="宋体"/>
                <w:vanish/>
              </w:rPr>
            </w:pPr>
          </w:p>
        </w:tc>
        <w:tc>
          <w:tcPr>
            <w:tcW w:w="0" w:type="auto"/>
            <w:gridSpan w:val="3"/>
            <w:shd w:val="clear" w:color="auto" w:fill="auto"/>
            <w:vAlign w:val="bottom"/>
          </w:tcPr>
          <w:p w14:paraId="71D4669E" w14:textId="77777777" w:rsidR="006A3667" w:rsidRDefault="006A3667">
            <w:pPr>
              <w:rPr>
                <w:rFonts w:ascii="宋体"/>
                <w:vanish/>
              </w:rPr>
            </w:pPr>
          </w:p>
        </w:tc>
        <w:tc>
          <w:tcPr>
            <w:tcW w:w="0" w:type="auto"/>
            <w:gridSpan w:val="3"/>
            <w:shd w:val="clear" w:color="auto" w:fill="auto"/>
            <w:vAlign w:val="bottom"/>
          </w:tcPr>
          <w:p w14:paraId="71D4669F" w14:textId="77777777" w:rsidR="006A3667" w:rsidRDefault="006A3667">
            <w:pPr>
              <w:rPr>
                <w:rFonts w:ascii="宋体"/>
                <w:vanish/>
              </w:rPr>
            </w:pPr>
          </w:p>
        </w:tc>
        <w:tc>
          <w:tcPr>
            <w:tcW w:w="0" w:type="auto"/>
            <w:gridSpan w:val="3"/>
            <w:shd w:val="clear" w:color="auto" w:fill="auto"/>
            <w:vAlign w:val="bottom"/>
          </w:tcPr>
          <w:p w14:paraId="71D466A0" w14:textId="77777777" w:rsidR="006A3667" w:rsidRDefault="006A3667">
            <w:pPr>
              <w:rPr>
                <w:rFonts w:ascii="宋体"/>
                <w:vanish/>
              </w:rPr>
            </w:pPr>
          </w:p>
        </w:tc>
        <w:tc>
          <w:tcPr>
            <w:tcW w:w="0" w:type="auto"/>
            <w:gridSpan w:val="3"/>
            <w:shd w:val="clear" w:color="auto" w:fill="auto"/>
            <w:vAlign w:val="bottom"/>
          </w:tcPr>
          <w:p w14:paraId="71D466A1" w14:textId="77777777" w:rsidR="006A3667" w:rsidRDefault="006A3667">
            <w:pPr>
              <w:rPr>
                <w:rFonts w:ascii="宋体"/>
                <w:vanish/>
              </w:rPr>
            </w:pPr>
          </w:p>
        </w:tc>
        <w:tc>
          <w:tcPr>
            <w:tcW w:w="0" w:type="auto"/>
            <w:gridSpan w:val="3"/>
            <w:shd w:val="clear" w:color="auto" w:fill="auto"/>
            <w:vAlign w:val="bottom"/>
          </w:tcPr>
          <w:p w14:paraId="71D466A2" w14:textId="77777777" w:rsidR="006A3667" w:rsidRDefault="006A3667">
            <w:pPr>
              <w:rPr>
                <w:rFonts w:ascii="宋体"/>
                <w:vanish/>
              </w:rPr>
            </w:pPr>
          </w:p>
        </w:tc>
        <w:tc>
          <w:tcPr>
            <w:tcW w:w="0" w:type="auto"/>
            <w:gridSpan w:val="3"/>
            <w:shd w:val="clear" w:color="auto" w:fill="auto"/>
            <w:vAlign w:val="bottom"/>
          </w:tcPr>
          <w:p w14:paraId="71D466A3" w14:textId="77777777" w:rsidR="006A3667" w:rsidRDefault="006A3667">
            <w:pPr>
              <w:rPr>
                <w:rFonts w:ascii="宋体"/>
                <w:vanish/>
              </w:rPr>
            </w:pPr>
          </w:p>
        </w:tc>
        <w:tc>
          <w:tcPr>
            <w:tcW w:w="0" w:type="auto"/>
            <w:shd w:val="clear" w:color="auto" w:fill="auto"/>
            <w:vAlign w:val="bottom"/>
          </w:tcPr>
          <w:p w14:paraId="71D466A4" w14:textId="77777777" w:rsidR="006A3667" w:rsidRDefault="006A3667">
            <w:pPr>
              <w:rPr>
                <w:rFonts w:ascii="宋体"/>
                <w:vanish/>
              </w:rPr>
            </w:pPr>
          </w:p>
        </w:tc>
        <w:tc>
          <w:tcPr>
            <w:tcW w:w="0" w:type="auto"/>
            <w:shd w:val="clear" w:color="auto" w:fill="auto"/>
            <w:vAlign w:val="bottom"/>
          </w:tcPr>
          <w:p w14:paraId="71D466A5" w14:textId="77777777" w:rsidR="006A3667" w:rsidRDefault="006A3667">
            <w:pPr>
              <w:rPr>
                <w:rFonts w:ascii="宋体"/>
                <w:vanish/>
              </w:rPr>
            </w:pPr>
          </w:p>
        </w:tc>
        <w:tc>
          <w:tcPr>
            <w:tcW w:w="0" w:type="auto"/>
            <w:gridSpan w:val="3"/>
            <w:shd w:val="clear" w:color="auto" w:fill="auto"/>
            <w:vAlign w:val="bottom"/>
          </w:tcPr>
          <w:p w14:paraId="71D466A6" w14:textId="77777777" w:rsidR="006A3667" w:rsidRDefault="006A3667">
            <w:pPr>
              <w:rPr>
                <w:rFonts w:ascii="宋体"/>
                <w:vanish/>
              </w:rPr>
            </w:pPr>
          </w:p>
        </w:tc>
        <w:tc>
          <w:tcPr>
            <w:tcW w:w="0" w:type="auto"/>
            <w:gridSpan w:val="3"/>
            <w:shd w:val="clear" w:color="auto" w:fill="auto"/>
            <w:vAlign w:val="bottom"/>
          </w:tcPr>
          <w:p w14:paraId="71D466A7" w14:textId="77777777" w:rsidR="006A3667" w:rsidRDefault="006A3667">
            <w:pPr>
              <w:rPr>
                <w:rFonts w:ascii="宋体"/>
                <w:vanish/>
              </w:rPr>
            </w:pPr>
          </w:p>
        </w:tc>
        <w:tc>
          <w:tcPr>
            <w:tcW w:w="0" w:type="auto"/>
            <w:gridSpan w:val="3"/>
            <w:shd w:val="clear" w:color="auto" w:fill="auto"/>
            <w:vAlign w:val="bottom"/>
          </w:tcPr>
          <w:p w14:paraId="71D466A8" w14:textId="77777777" w:rsidR="006A3667" w:rsidRDefault="006A3667">
            <w:pPr>
              <w:rPr>
                <w:rFonts w:ascii="宋体"/>
                <w:vanish/>
              </w:rPr>
            </w:pPr>
          </w:p>
        </w:tc>
        <w:tc>
          <w:tcPr>
            <w:tcW w:w="0" w:type="auto"/>
            <w:gridSpan w:val="3"/>
            <w:shd w:val="clear" w:color="auto" w:fill="auto"/>
            <w:vAlign w:val="bottom"/>
          </w:tcPr>
          <w:p w14:paraId="71D466A9" w14:textId="77777777" w:rsidR="006A3667" w:rsidRDefault="006A3667">
            <w:pPr>
              <w:rPr>
                <w:rFonts w:ascii="宋体"/>
                <w:vanish/>
              </w:rPr>
            </w:pPr>
          </w:p>
        </w:tc>
        <w:tc>
          <w:tcPr>
            <w:tcW w:w="0" w:type="auto"/>
            <w:gridSpan w:val="3"/>
            <w:shd w:val="clear" w:color="auto" w:fill="auto"/>
            <w:vAlign w:val="bottom"/>
          </w:tcPr>
          <w:p w14:paraId="71D466AA" w14:textId="77777777" w:rsidR="006A3667" w:rsidRDefault="006A3667">
            <w:pPr>
              <w:rPr>
                <w:rFonts w:ascii="宋体"/>
                <w:vanish/>
              </w:rPr>
            </w:pPr>
          </w:p>
        </w:tc>
      </w:tr>
      <w:tr w:rsidR="006A3667" w14:paraId="71D466BE" w14:textId="77777777">
        <w:trPr>
          <w:hidden/>
        </w:trPr>
        <w:tc>
          <w:tcPr>
            <w:tcW w:w="0" w:type="auto"/>
            <w:gridSpan w:val="3"/>
            <w:shd w:val="clear" w:color="auto" w:fill="auto"/>
            <w:vAlign w:val="bottom"/>
          </w:tcPr>
          <w:p w14:paraId="71D466AC" w14:textId="77777777" w:rsidR="006A3667" w:rsidRDefault="006A3667">
            <w:pPr>
              <w:rPr>
                <w:rFonts w:ascii="宋体"/>
                <w:vanish/>
              </w:rPr>
            </w:pPr>
          </w:p>
        </w:tc>
        <w:tc>
          <w:tcPr>
            <w:tcW w:w="0" w:type="auto"/>
            <w:gridSpan w:val="3"/>
            <w:shd w:val="clear" w:color="auto" w:fill="auto"/>
            <w:vAlign w:val="bottom"/>
          </w:tcPr>
          <w:p w14:paraId="71D466AD" w14:textId="77777777" w:rsidR="006A3667" w:rsidRDefault="006A3667">
            <w:pPr>
              <w:rPr>
                <w:rFonts w:ascii="宋体"/>
                <w:vanish/>
              </w:rPr>
            </w:pPr>
          </w:p>
        </w:tc>
        <w:tc>
          <w:tcPr>
            <w:tcW w:w="0" w:type="auto"/>
            <w:gridSpan w:val="3"/>
            <w:shd w:val="clear" w:color="auto" w:fill="auto"/>
            <w:vAlign w:val="bottom"/>
          </w:tcPr>
          <w:p w14:paraId="71D466AE" w14:textId="77777777" w:rsidR="006A3667" w:rsidRDefault="006A3667">
            <w:pPr>
              <w:rPr>
                <w:rFonts w:ascii="宋体"/>
                <w:vanish/>
              </w:rPr>
            </w:pPr>
          </w:p>
        </w:tc>
        <w:tc>
          <w:tcPr>
            <w:tcW w:w="0" w:type="auto"/>
            <w:gridSpan w:val="3"/>
            <w:shd w:val="clear" w:color="auto" w:fill="auto"/>
            <w:vAlign w:val="bottom"/>
          </w:tcPr>
          <w:p w14:paraId="71D466AF" w14:textId="77777777" w:rsidR="006A3667" w:rsidRDefault="006A3667">
            <w:pPr>
              <w:rPr>
                <w:rFonts w:ascii="宋体"/>
                <w:vanish/>
              </w:rPr>
            </w:pPr>
          </w:p>
        </w:tc>
        <w:tc>
          <w:tcPr>
            <w:tcW w:w="0" w:type="auto"/>
            <w:gridSpan w:val="3"/>
            <w:shd w:val="clear" w:color="auto" w:fill="auto"/>
            <w:vAlign w:val="bottom"/>
          </w:tcPr>
          <w:p w14:paraId="71D466B0" w14:textId="77777777" w:rsidR="006A3667" w:rsidRDefault="006A3667">
            <w:pPr>
              <w:rPr>
                <w:rFonts w:ascii="宋体"/>
                <w:vanish/>
              </w:rPr>
            </w:pPr>
          </w:p>
        </w:tc>
        <w:tc>
          <w:tcPr>
            <w:tcW w:w="0" w:type="auto"/>
            <w:gridSpan w:val="3"/>
            <w:shd w:val="clear" w:color="auto" w:fill="auto"/>
            <w:vAlign w:val="bottom"/>
          </w:tcPr>
          <w:p w14:paraId="71D466B1" w14:textId="77777777" w:rsidR="006A3667" w:rsidRDefault="006A3667">
            <w:pPr>
              <w:rPr>
                <w:rFonts w:ascii="宋体"/>
                <w:vanish/>
              </w:rPr>
            </w:pPr>
          </w:p>
        </w:tc>
        <w:tc>
          <w:tcPr>
            <w:tcW w:w="0" w:type="auto"/>
            <w:gridSpan w:val="3"/>
            <w:shd w:val="clear" w:color="auto" w:fill="auto"/>
            <w:vAlign w:val="bottom"/>
          </w:tcPr>
          <w:p w14:paraId="71D466B2" w14:textId="77777777" w:rsidR="006A3667" w:rsidRDefault="006A3667">
            <w:pPr>
              <w:rPr>
                <w:rFonts w:ascii="宋体"/>
                <w:vanish/>
              </w:rPr>
            </w:pPr>
          </w:p>
        </w:tc>
        <w:tc>
          <w:tcPr>
            <w:tcW w:w="0" w:type="auto"/>
            <w:gridSpan w:val="3"/>
            <w:shd w:val="clear" w:color="auto" w:fill="auto"/>
            <w:vAlign w:val="bottom"/>
          </w:tcPr>
          <w:p w14:paraId="71D466B3" w14:textId="77777777" w:rsidR="006A3667" w:rsidRDefault="006A3667">
            <w:pPr>
              <w:rPr>
                <w:rFonts w:ascii="宋体"/>
                <w:vanish/>
              </w:rPr>
            </w:pPr>
          </w:p>
        </w:tc>
        <w:tc>
          <w:tcPr>
            <w:tcW w:w="0" w:type="auto"/>
            <w:gridSpan w:val="3"/>
            <w:shd w:val="clear" w:color="auto" w:fill="auto"/>
            <w:vAlign w:val="bottom"/>
          </w:tcPr>
          <w:p w14:paraId="71D466B4" w14:textId="77777777" w:rsidR="006A3667" w:rsidRDefault="006A3667">
            <w:pPr>
              <w:rPr>
                <w:rFonts w:ascii="宋体"/>
                <w:vanish/>
              </w:rPr>
            </w:pPr>
          </w:p>
        </w:tc>
        <w:tc>
          <w:tcPr>
            <w:tcW w:w="0" w:type="auto"/>
            <w:gridSpan w:val="3"/>
            <w:shd w:val="clear" w:color="auto" w:fill="auto"/>
            <w:vAlign w:val="bottom"/>
          </w:tcPr>
          <w:p w14:paraId="71D466B5" w14:textId="77777777" w:rsidR="006A3667" w:rsidRDefault="006A3667">
            <w:pPr>
              <w:rPr>
                <w:rFonts w:ascii="宋体"/>
                <w:vanish/>
              </w:rPr>
            </w:pPr>
          </w:p>
        </w:tc>
        <w:tc>
          <w:tcPr>
            <w:tcW w:w="0" w:type="auto"/>
            <w:gridSpan w:val="3"/>
            <w:shd w:val="clear" w:color="auto" w:fill="auto"/>
            <w:vAlign w:val="bottom"/>
          </w:tcPr>
          <w:p w14:paraId="71D466B6" w14:textId="77777777" w:rsidR="006A3667" w:rsidRDefault="006A3667">
            <w:pPr>
              <w:rPr>
                <w:rFonts w:ascii="宋体"/>
                <w:vanish/>
              </w:rPr>
            </w:pPr>
          </w:p>
        </w:tc>
        <w:tc>
          <w:tcPr>
            <w:tcW w:w="0" w:type="auto"/>
            <w:shd w:val="clear" w:color="auto" w:fill="auto"/>
            <w:vAlign w:val="bottom"/>
          </w:tcPr>
          <w:p w14:paraId="71D466B7" w14:textId="77777777" w:rsidR="006A3667" w:rsidRDefault="006A3667">
            <w:pPr>
              <w:rPr>
                <w:rFonts w:ascii="宋体"/>
                <w:vanish/>
              </w:rPr>
            </w:pPr>
          </w:p>
        </w:tc>
        <w:tc>
          <w:tcPr>
            <w:tcW w:w="0" w:type="auto"/>
            <w:shd w:val="clear" w:color="auto" w:fill="auto"/>
            <w:vAlign w:val="bottom"/>
          </w:tcPr>
          <w:p w14:paraId="71D466B8" w14:textId="77777777" w:rsidR="006A3667" w:rsidRDefault="006A3667">
            <w:pPr>
              <w:rPr>
                <w:rFonts w:ascii="宋体"/>
                <w:vanish/>
              </w:rPr>
            </w:pPr>
          </w:p>
        </w:tc>
        <w:tc>
          <w:tcPr>
            <w:tcW w:w="0" w:type="auto"/>
            <w:gridSpan w:val="3"/>
            <w:shd w:val="clear" w:color="auto" w:fill="auto"/>
            <w:vAlign w:val="bottom"/>
          </w:tcPr>
          <w:p w14:paraId="71D466B9" w14:textId="77777777" w:rsidR="006A3667" w:rsidRDefault="006A3667">
            <w:pPr>
              <w:rPr>
                <w:rFonts w:ascii="宋体"/>
                <w:vanish/>
              </w:rPr>
            </w:pPr>
          </w:p>
        </w:tc>
        <w:tc>
          <w:tcPr>
            <w:tcW w:w="0" w:type="auto"/>
            <w:gridSpan w:val="3"/>
            <w:shd w:val="clear" w:color="auto" w:fill="auto"/>
            <w:vAlign w:val="bottom"/>
          </w:tcPr>
          <w:p w14:paraId="71D466BA" w14:textId="77777777" w:rsidR="006A3667" w:rsidRDefault="006A3667">
            <w:pPr>
              <w:rPr>
                <w:rFonts w:ascii="宋体"/>
                <w:vanish/>
              </w:rPr>
            </w:pPr>
          </w:p>
        </w:tc>
        <w:tc>
          <w:tcPr>
            <w:tcW w:w="0" w:type="auto"/>
            <w:gridSpan w:val="3"/>
            <w:shd w:val="clear" w:color="auto" w:fill="auto"/>
            <w:vAlign w:val="bottom"/>
          </w:tcPr>
          <w:p w14:paraId="71D466BB" w14:textId="77777777" w:rsidR="006A3667" w:rsidRDefault="006A3667">
            <w:pPr>
              <w:rPr>
                <w:rFonts w:ascii="宋体"/>
                <w:vanish/>
              </w:rPr>
            </w:pPr>
          </w:p>
        </w:tc>
        <w:tc>
          <w:tcPr>
            <w:tcW w:w="0" w:type="auto"/>
            <w:gridSpan w:val="3"/>
            <w:shd w:val="clear" w:color="auto" w:fill="auto"/>
            <w:vAlign w:val="bottom"/>
          </w:tcPr>
          <w:p w14:paraId="71D466BC" w14:textId="77777777" w:rsidR="006A3667" w:rsidRDefault="006A3667">
            <w:pPr>
              <w:rPr>
                <w:rFonts w:ascii="宋体"/>
                <w:vanish/>
              </w:rPr>
            </w:pPr>
          </w:p>
        </w:tc>
        <w:tc>
          <w:tcPr>
            <w:tcW w:w="0" w:type="auto"/>
            <w:gridSpan w:val="3"/>
            <w:shd w:val="clear" w:color="auto" w:fill="auto"/>
            <w:vAlign w:val="bottom"/>
          </w:tcPr>
          <w:p w14:paraId="71D466BD" w14:textId="77777777" w:rsidR="006A3667" w:rsidRDefault="006A3667">
            <w:pPr>
              <w:rPr>
                <w:rFonts w:ascii="宋体"/>
                <w:vanish/>
              </w:rPr>
            </w:pPr>
          </w:p>
        </w:tc>
      </w:tr>
      <w:tr w:rsidR="006A3667" w14:paraId="71D466D1" w14:textId="77777777">
        <w:trPr>
          <w:hidden/>
        </w:trPr>
        <w:tc>
          <w:tcPr>
            <w:tcW w:w="0" w:type="auto"/>
            <w:gridSpan w:val="3"/>
            <w:shd w:val="clear" w:color="auto" w:fill="auto"/>
            <w:vAlign w:val="bottom"/>
          </w:tcPr>
          <w:p w14:paraId="71D466BF" w14:textId="77777777" w:rsidR="006A3667" w:rsidRDefault="006A3667">
            <w:pPr>
              <w:rPr>
                <w:rFonts w:ascii="宋体"/>
                <w:vanish/>
              </w:rPr>
            </w:pPr>
          </w:p>
        </w:tc>
        <w:tc>
          <w:tcPr>
            <w:tcW w:w="0" w:type="auto"/>
            <w:gridSpan w:val="3"/>
            <w:shd w:val="clear" w:color="auto" w:fill="auto"/>
            <w:vAlign w:val="bottom"/>
          </w:tcPr>
          <w:p w14:paraId="71D466C0" w14:textId="77777777" w:rsidR="006A3667" w:rsidRDefault="006A3667">
            <w:pPr>
              <w:rPr>
                <w:rFonts w:ascii="宋体"/>
                <w:vanish/>
              </w:rPr>
            </w:pPr>
          </w:p>
        </w:tc>
        <w:tc>
          <w:tcPr>
            <w:tcW w:w="0" w:type="auto"/>
            <w:gridSpan w:val="3"/>
            <w:shd w:val="clear" w:color="auto" w:fill="auto"/>
            <w:vAlign w:val="bottom"/>
          </w:tcPr>
          <w:p w14:paraId="71D466C1" w14:textId="77777777" w:rsidR="006A3667" w:rsidRDefault="006A3667">
            <w:pPr>
              <w:rPr>
                <w:rFonts w:ascii="宋体"/>
                <w:vanish/>
              </w:rPr>
            </w:pPr>
          </w:p>
        </w:tc>
        <w:tc>
          <w:tcPr>
            <w:tcW w:w="0" w:type="auto"/>
            <w:gridSpan w:val="3"/>
            <w:shd w:val="clear" w:color="auto" w:fill="auto"/>
            <w:vAlign w:val="bottom"/>
          </w:tcPr>
          <w:p w14:paraId="71D466C2" w14:textId="77777777" w:rsidR="006A3667" w:rsidRDefault="006A3667">
            <w:pPr>
              <w:rPr>
                <w:rFonts w:ascii="宋体"/>
                <w:vanish/>
              </w:rPr>
            </w:pPr>
          </w:p>
        </w:tc>
        <w:tc>
          <w:tcPr>
            <w:tcW w:w="0" w:type="auto"/>
            <w:gridSpan w:val="3"/>
            <w:shd w:val="clear" w:color="auto" w:fill="auto"/>
            <w:vAlign w:val="bottom"/>
          </w:tcPr>
          <w:p w14:paraId="71D466C3" w14:textId="77777777" w:rsidR="006A3667" w:rsidRDefault="006A3667">
            <w:pPr>
              <w:rPr>
                <w:rFonts w:ascii="宋体"/>
                <w:vanish/>
              </w:rPr>
            </w:pPr>
          </w:p>
        </w:tc>
        <w:tc>
          <w:tcPr>
            <w:tcW w:w="0" w:type="auto"/>
            <w:gridSpan w:val="3"/>
            <w:shd w:val="clear" w:color="auto" w:fill="auto"/>
            <w:vAlign w:val="bottom"/>
          </w:tcPr>
          <w:p w14:paraId="71D466C4" w14:textId="77777777" w:rsidR="006A3667" w:rsidRDefault="006A3667">
            <w:pPr>
              <w:rPr>
                <w:rFonts w:ascii="宋体"/>
                <w:vanish/>
              </w:rPr>
            </w:pPr>
          </w:p>
        </w:tc>
        <w:tc>
          <w:tcPr>
            <w:tcW w:w="0" w:type="auto"/>
            <w:gridSpan w:val="3"/>
            <w:shd w:val="clear" w:color="auto" w:fill="auto"/>
            <w:vAlign w:val="bottom"/>
          </w:tcPr>
          <w:p w14:paraId="71D466C5" w14:textId="77777777" w:rsidR="006A3667" w:rsidRDefault="006A3667">
            <w:pPr>
              <w:rPr>
                <w:rFonts w:ascii="宋体"/>
                <w:vanish/>
              </w:rPr>
            </w:pPr>
          </w:p>
        </w:tc>
        <w:tc>
          <w:tcPr>
            <w:tcW w:w="0" w:type="auto"/>
            <w:gridSpan w:val="3"/>
            <w:shd w:val="clear" w:color="auto" w:fill="auto"/>
            <w:vAlign w:val="bottom"/>
          </w:tcPr>
          <w:p w14:paraId="71D466C6" w14:textId="77777777" w:rsidR="006A3667" w:rsidRDefault="006A3667">
            <w:pPr>
              <w:rPr>
                <w:rFonts w:ascii="宋体"/>
                <w:vanish/>
              </w:rPr>
            </w:pPr>
          </w:p>
        </w:tc>
        <w:tc>
          <w:tcPr>
            <w:tcW w:w="0" w:type="auto"/>
            <w:gridSpan w:val="3"/>
            <w:shd w:val="clear" w:color="auto" w:fill="auto"/>
            <w:vAlign w:val="bottom"/>
          </w:tcPr>
          <w:p w14:paraId="71D466C7" w14:textId="77777777" w:rsidR="006A3667" w:rsidRDefault="006A3667">
            <w:pPr>
              <w:rPr>
                <w:rFonts w:ascii="宋体"/>
                <w:vanish/>
              </w:rPr>
            </w:pPr>
          </w:p>
        </w:tc>
        <w:tc>
          <w:tcPr>
            <w:tcW w:w="0" w:type="auto"/>
            <w:gridSpan w:val="3"/>
            <w:shd w:val="clear" w:color="auto" w:fill="auto"/>
            <w:vAlign w:val="bottom"/>
          </w:tcPr>
          <w:p w14:paraId="71D466C8" w14:textId="77777777" w:rsidR="006A3667" w:rsidRDefault="006A3667">
            <w:pPr>
              <w:rPr>
                <w:rFonts w:ascii="宋体"/>
                <w:vanish/>
              </w:rPr>
            </w:pPr>
          </w:p>
        </w:tc>
        <w:tc>
          <w:tcPr>
            <w:tcW w:w="0" w:type="auto"/>
            <w:gridSpan w:val="3"/>
            <w:shd w:val="clear" w:color="auto" w:fill="auto"/>
            <w:vAlign w:val="bottom"/>
          </w:tcPr>
          <w:p w14:paraId="71D466C9" w14:textId="77777777" w:rsidR="006A3667" w:rsidRDefault="006A3667">
            <w:pPr>
              <w:rPr>
                <w:rFonts w:ascii="宋体"/>
                <w:vanish/>
              </w:rPr>
            </w:pPr>
          </w:p>
        </w:tc>
        <w:tc>
          <w:tcPr>
            <w:tcW w:w="0" w:type="auto"/>
            <w:shd w:val="clear" w:color="auto" w:fill="auto"/>
            <w:vAlign w:val="bottom"/>
          </w:tcPr>
          <w:p w14:paraId="71D466CA" w14:textId="77777777" w:rsidR="006A3667" w:rsidRDefault="006A3667">
            <w:pPr>
              <w:rPr>
                <w:rFonts w:ascii="宋体"/>
                <w:vanish/>
              </w:rPr>
            </w:pPr>
          </w:p>
        </w:tc>
        <w:tc>
          <w:tcPr>
            <w:tcW w:w="0" w:type="auto"/>
            <w:shd w:val="clear" w:color="auto" w:fill="auto"/>
            <w:vAlign w:val="bottom"/>
          </w:tcPr>
          <w:p w14:paraId="71D466CB" w14:textId="77777777" w:rsidR="006A3667" w:rsidRDefault="006A3667">
            <w:pPr>
              <w:rPr>
                <w:rFonts w:ascii="宋体"/>
                <w:vanish/>
              </w:rPr>
            </w:pPr>
          </w:p>
        </w:tc>
        <w:tc>
          <w:tcPr>
            <w:tcW w:w="0" w:type="auto"/>
            <w:gridSpan w:val="3"/>
            <w:shd w:val="clear" w:color="auto" w:fill="auto"/>
            <w:vAlign w:val="bottom"/>
          </w:tcPr>
          <w:p w14:paraId="71D466CC" w14:textId="77777777" w:rsidR="006A3667" w:rsidRDefault="006A3667">
            <w:pPr>
              <w:rPr>
                <w:rFonts w:ascii="宋体"/>
                <w:vanish/>
              </w:rPr>
            </w:pPr>
          </w:p>
        </w:tc>
        <w:tc>
          <w:tcPr>
            <w:tcW w:w="0" w:type="auto"/>
            <w:gridSpan w:val="3"/>
            <w:shd w:val="clear" w:color="auto" w:fill="auto"/>
            <w:vAlign w:val="bottom"/>
          </w:tcPr>
          <w:p w14:paraId="71D466CD" w14:textId="77777777" w:rsidR="006A3667" w:rsidRDefault="006A3667">
            <w:pPr>
              <w:rPr>
                <w:rFonts w:ascii="宋体"/>
                <w:vanish/>
              </w:rPr>
            </w:pPr>
          </w:p>
        </w:tc>
        <w:tc>
          <w:tcPr>
            <w:tcW w:w="0" w:type="auto"/>
            <w:gridSpan w:val="3"/>
            <w:shd w:val="clear" w:color="auto" w:fill="auto"/>
            <w:vAlign w:val="bottom"/>
          </w:tcPr>
          <w:p w14:paraId="71D466CE" w14:textId="77777777" w:rsidR="006A3667" w:rsidRDefault="006A3667">
            <w:pPr>
              <w:rPr>
                <w:rFonts w:ascii="宋体"/>
                <w:vanish/>
              </w:rPr>
            </w:pPr>
          </w:p>
        </w:tc>
        <w:tc>
          <w:tcPr>
            <w:tcW w:w="0" w:type="auto"/>
            <w:gridSpan w:val="3"/>
            <w:shd w:val="clear" w:color="auto" w:fill="auto"/>
            <w:vAlign w:val="bottom"/>
          </w:tcPr>
          <w:p w14:paraId="71D466CF" w14:textId="77777777" w:rsidR="006A3667" w:rsidRDefault="006A3667">
            <w:pPr>
              <w:rPr>
                <w:rFonts w:ascii="宋体"/>
                <w:vanish/>
              </w:rPr>
            </w:pPr>
          </w:p>
        </w:tc>
        <w:tc>
          <w:tcPr>
            <w:tcW w:w="0" w:type="auto"/>
            <w:gridSpan w:val="3"/>
            <w:shd w:val="clear" w:color="auto" w:fill="auto"/>
            <w:vAlign w:val="bottom"/>
          </w:tcPr>
          <w:p w14:paraId="71D466D0" w14:textId="77777777" w:rsidR="006A3667" w:rsidRDefault="006A3667">
            <w:pPr>
              <w:rPr>
                <w:rFonts w:ascii="宋体"/>
                <w:vanish/>
              </w:rPr>
            </w:pPr>
          </w:p>
        </w:tc>
      </w:tr>
      <w:tr w:rsidR="006A3667" w14:paraId="71D466E4" w14:textId="77777777">
        <w:trPr>
          <w:hidden/>
        </w:trPr>
        <w:tc>
          <w:tcPr>
            <w:tcW w:w="0" w:type="auto"/>
            <w:gridSpan w:val="3"/>
            <w:shd w:val="clear" w:color="auto" w:fill="auto"/>
            <w:vAlign w:val="bottom"/>
          </w:tcPr>
          <w:p w14:paraId="71D466D2" w14:textId="77777777" w:rsidR="006A3667" w:rsidRDefault="006A3667">
            <w:pPr>
              <w:rPr>
                <w:rFonts w:ascii="宋体"/>
                <w:vanish/>
              </w:rPr>
            </w:pPr>
          </w:p>
        </w:tc>
        <w:tc>
          <w:tcPr>
            <w:tcW w:w="0" w:type="auto"/>
            <w:gridSpan w:val="3"/>
            <w:shd w:val="clear" w:color="auto" w:fill="auto"/>
            <w:vAlign w:val="bottom"/>
          </w:tcPr>
          <w:p w14:paraId="71D466D3" w14:textId="77777777" w:rsidR="006A3667" w:rsidRDefault="006A3667">
            <w:pPr>
              <w:rPr>
                <w:rFonts w:ascii="宋体"/>
                <w:vanish/>
              </w:rPr>
            </w:pPr>
          </w:p>
        </w:tc>
        <w:tc>
          <w:tcPr>
            <w:tcW w:w="0" w:type="auto"/>
            <w:gridSpan w:val="3"/>
            <w:shd w:val="clear" w:color="auto" w:fill="auto"/>
            <w:vAlign w:val="bottom"/>
          </w:tcPr>
          <w:p w14:paraId="71D466D4" w14:textId="77777777" w:rsidR="006A3667" w:rsidRDefault="006A3667">
            <w:pPr>
              <w:rPr>
                <w:rFonts w:ascii="宋体"/>
                <w:vanish/>
              </w:rPr>
            </w:pPr>
          </w:p>
        </w:tc>
        <w:tc>
          <w:tcPr>
            <w:tcW w:w="0" w:type="auto"/>
            <w:gridSpan w:val="3"/>
            <w:shd w:val="clear" w:color="auto" w:fill="auto"/>
            <w:vAlign w:val="bottom"/>
          </w:tcPr>
          <w:p w14:paraId="71D466D5" w14:textId="77777777" w:rsidR="006A3667" w:rsidRDefault="006A3667">
            <w:pPr>
              <w:rPr>
                <w:rFonts w:ascii="宋体"/>
                <w:vanish/>
              </w:rPr>
            </w:pPr>
          </w:p>
        </w:tc>
        <w:tc>
          <w:tcPr>
            <w:tcW w:w="0" w:type="auto"/>
            <w:gridSpan w:val="3"/>
            <w:shd w:val="clear" w:color="auto" w:fill="auto"/>
            <w:vAlign w:val="bottom"/>
          </w:tcPr>
          <w:p w14:paraId="71D466D6" w14:textId="77777777" w:rsidR="006A3667" w:rsidRDefault="006A3667">
            <w:pPr>
              <w:rPr>
                <w:rFonts w:ascii="宋体"/>
                <w:vanish/>
              </w:rPr>
            </w:pPr>
          </w:p>
        </w:tc>
        <w:tc>
          <w:tcPr>
            <w:tcW w:w="0" w:type="auto"/>
            <w:gridSpan w:val="3"/>
            <w:shd w:val="clear" w:color="auto" w:fill="auto"/>
            <w:vAlign w:val="bottom"/>
          </w:tcPr>
          <w:p w14:paraId="71D466D7" w14:textId="77777777" w:rsidR="006A3667" w:rsidRDefault="006A3667">
            <w:pPr>
              <w:rPr>
                <w:rFonts w:ascii="宋体"/>
                <w:vanish/>
              </w:rPr>
            </w:pPr>
          </w:p>
        </w:tc>
        <w:tc>
          <w:tcPr>
            <w:tcW w:w="0" w:type="auto"/>
            <w:gridSpan w:val="3"/>
            <w:shd w:val="clear" w:color="auto" w:fill="auto"/>
            <w:vAlign w:val="bottom"/>
          </w:tcPr>
          <w:p w14:paraId="71D466D8" w14:textId="77777777" w:rsidR="006A3667" w:rsidRDefault="006A3667">
            <w:pPr>
              <w:rPr>
                <w:rFonts w:ascii="宋体"/>
                <w:vanish/>
              </w:rPr>
            </w:pPr>
          </w:p>
        </w:tc>
        <w:tc>
          <w:tcPr>
            <w:tcW w:w="0" w:type="auto"/>
            <w:gridSpan w:val="3"/>
            <w:shd w:val="clear" w:color="auto" w:fill="auto"/>
            <w:vAlign w:val="bottom"/>
          </w:tcPr>
          <w:p w14:paraId="71D466D9" w14:textId="77777777" w:rsidR="006A3667" w:rsidRDefault="006A3667">
            <w:pPr>
              <w:rPr>
                <w:rFonts w:ascii="宋体"/>
                <w:vanish/>
              </w:rPr>
            </w:pPr>
          </w:p>
        </w:tc>
        <w:tc>
          <w:tcPr>
            <w:tcW w:w="0" w:type="auto"/>
            <w:gridSpan w:val="3"/>
            <w:shd w:val="clear" w:color="auto" w:fill="auto"/>
            <w:vAlign w:val="bottom"/>
          </w:tcPr>
          <w:p w14:paraId="71D466DA" w14:textId="77777777" w:rsidR="006A3667" w:rsidRDefault="006A3667">
            <w:pPr>
              <w:rPr>
                <w:rFonts w:ascii="宋体"/>
                <w:vanish/>
              </w:rPr>
            </w:pPr>
          </w:p>
        </w:tc>
        <w:tc>
          <w:tcPr>
            <w:tcW w:w="0" w:type="auto"/>
            <w:gridSpan w:val="3"/>
            <w:shd w:val="clear" w:color="auto" w:fill="auto"/>
            <w:vAlign w:val="bottom"/>
          </w:tcPr>
          <w:p w14:paraId="71D466DB" w14:textId="77777777" w:rsidR="006A3667" w:rsidRDefault="006A3667">
            <w:pPr>
              <w:rPr>
                <w:rFonts w:ascii="宋体"/>
                <w:vanish/>
              </w:rPr>
            </w:pPr>
          </w:p>
        </w:tc>
        <w:tc>
          <w:tcPr>
            <w:tcW w:w="0" w:type="auto"/>
            <w:gridSpan w:val="3"/>
            <w:shd w:val="clear" w:color="auto" w:fill="auto"/>
            <w:vAlign w:val="bottom"/>
          </w:tcPr>
          <w:p w14:paraId="71D466DC" w14:textId="77777777" w:rsidR="006A3667" w:rsidRDefault="006A3667">
            <w:pPr>
              <w:rPr>
                <w:rFonts w:ascii="宋体"/>
                <w:vanish/>
              </w:rPr>
            </w:pPr>
          </w:p>
        </w:tc>
        <w:tc>
          <w:tcPr>
            <w:tcW w:w="0" w:type="auto"/>
            <w:shd w:val="clear" w:color="auto" w:fill="auto"/>
            <w:vAlign w:val="bottom"/>
          </w:tcPr>
          <w:p w14:paraId="71D466DD" w14:textId="77777777" w:rsidR="006A3667" w:rsidRDefault="006A3667">
            <w:pPr>
              <w:rPr>
                <w:rFonts w:ascii="宋体"/>
                <w:vanish/>
              </w:rPr>
            </w:pPr>
          </w:p>
        </w:tc>
        <w:tc>
          <w:tcPr>
            <w:tcW w:w="0" w:type="auto"/>
            <w:shd w:val="clear" w:color="auto" w:fill="auto"/>
            <w:vAlign w:val="bottom"/>
          </w:tcPr>
          <w:p w14:paraId="71D466DE" w14:textId="77777777" w:rsidR="006A3667" w:rsidRDefault="006A3667">
            <w:pPr>
              <w:rPr>
                <w:rFonts w:ascii="宋体"/>
                <w:vanish/>
              </w:rPr>
            </w:pPr>
          </w:p>
        </w:tc>
        <w:tc>
          <w:tcPr>
            <w:tcW w:w="0" w:type="auto"/>
            <w:gridSpan w:val="3"/>
            <w:shd w:val="clear" w:color="auto" w:fill="auto"/>
            <w:vAlign w:val="bottom"/>
          </w:tcPr>
          <w:p w14:paraId="71D466DF" w14:textId="77777777" w:rsidR="006A3667" w:rsidRDefault="006A3667">
            <w:pPr>
              <w:rPr>
                <w:rFonts w:ascii="宋体"/>
                <w:vanish/>
              </w:rPr>
            </w:pPr>
          </w:p>
        </w:tc>
        <w:tc>
          <w:tcPr>
            <w:tcW w:w="0" w:type="auto"/>
            <w:gridSpan w:val="3"/>
            <w:shd w:val="clear" w:color="auto" w:fill="auto"/>
            <w:vAlign w:val="bottom"/>
          </w:tcPr>
          <w:p w14:paraId="71D466E0" w14:textId="77777777" w:rsidR="006A3667" w:rsidRDefault="006A3667">
            <w:pPr>
              <w:rPr>
                <w:rFonts w:ascii="宋体"/>
                <w:vanish/>
              </w:rPr>
            </w:pPr>
          </w:p>
        </w:tc>
        <w:tc>
          <w:tcPr>
            <w:tcW w:w="0" w:type="auto"/>
            <w:gridSpan w:val="3"/>
            <w:shd w:val="clear" w:color="auto" w:fill="auto"/>
            <w:vAlign w:val="bottom"/>
          </w:tcPr>
          <w:p w14:paraId="71D466E1" w14:textId="77777777" w:rsidR="006A3667" w:rsidRDefault="006A3667">
            <w:pPr>
              <w:rPr>
                <w:rFonts w:ascii="宋体"/>
                <w:vanish/>
              </w:rPr>
            </w:pPr>
          </w:p>
        </w:tc>
        <w:tc>
          <w:tcPr>
            <w:tcW w:w="0" w:type="auto"/>
            <w:gridSpan w:val="3"/>
            <w:shd w:val="clear" w:color="auto" w:fill="auto"/>
            <w:vAlign w:val="bottom"/>
          </w:tcPr>
          <w:p w14:paraId="71D466E2" w14:textId="77777777" w:rsidR="006A3667" w:rsidRDefault="006A3667">
            <w:pPr>
              <w:rPr>
                <w:rFonts w:ascii="宋体"/>
                <w:vanish/>
              </w:rPr>
            </w:pPr>
          </w:p>
        </w:tc>
        <w:tc>
          <w:tcPr>
            <w:tcW w:w="0" w:type="auto"/>
            <w:gridSpan w:val="3"/>
            <w:shd w:val="clear" w:color="auto" w:fill="auto"/>
            <w:vAlign w:val="bottom"/>
          </w:tcPr>
          <w:p w14:paraId="71D466E3" w14:textId="77777777" w:rsidR="006A3667" w:rsidRDefault="006A3667">
            <w:pPr>
              <w:rPr>
                <w:rFonts w:ascii="宋体"/>
                <w:vanish/>
              </w:rPr>
            </w:pPr>
          </w:p>
        </w:tc>
      </w:tr>
      <w:tr w:rsidR="006A3667" w14:paraId="71D466F7" w14:textId="77777777">
        <w:trPr>
          <w:hidden/>
        </w:trPr>
        <w:tc>
          <w:tcPr>
            <w:tcW w:w="0" w:type="auto"/>
            <w:gridSpan w:val="3"/>
            <w:shd w:val="clear" w:color="auto" w:fill="auto"/>
            <w:vAlign w:val="bottom"/>
          </w:tcPr>
          <w:p w14:paraId="71D466E5" w14:textId="77777777" w:rsidR="006A3667" w:rsidRDefault="006A3667">
            <w:pPr>
              <w:rPr>
                <w:rFonts w:ascii="宋体"/>
                <w:vanish/>
              </w:rPr>
            </w:pPr>
          </w:p>
        </w:tc>
        <w:tc>
          <w:tcPr>
            <w:tcW w:w="0" w:type="auto"/>
            <w:gridSpan w:val="3"/>
            <w:shd w:val="clear" w:color="auto" w:fill="auto"/>
            <w:vAlign w:val="bottom"/>
          </w:tcPr>
          <w:p w14:paraId="71D466E6" w14:textId="77777777" w:rsidR="006A3667" w:rsidRDefault="006A3667">
            <w:pPr>
              <w:rPr>
                <w:rFonts w:ascii="宋体"/>
                <w:vanish/>
              </w:rPr>
            </w:pPr>
          </w:p>
        </w:tc>
        <w:tc>
          <w:tcPr>
            <w:tcW w:w="0" w:type="auto"/>
            <w:gridSpan w:val="3"/>
            <w:shd w:val="clear" w:color="auto" w:fill="auto"/>
            <w:vAlign w:val="bottom"/>
          </w:tcPr>
          <w:p w14:paraId="71D466E7" w14:textId="77777777" w:rsidR="006A3667" w:rsidRDefault="006A3667">
            <w:pPr>
              <w:rPr>
                <w:rFonts w:ascii="宋体"/>
                <w:vanish/>
              </w:rPr>
            </w:pPr>
          </w:p>
        </w:tc>
        <w:tc>
          <w:tcPr>
            <w:tcW w:w="0" w:type="auto"/>
            <w:gridSpan w:val="3"/>
            <w:shd w:val="clear" w:color="auto" w:fill="auto"/>
            <w:vAlign w:val="bottom"/>
          </w:tcPr>
          <w:p w14:paraId="71D466E8" w14:textId="77777777" w:rsidR="006A3667" w:rsidRDefault="006A3667">
            <w:pPr>
              <w:rPr>
                <w:rFonts w:ascii="宋体"/>
                <w:vanish/>
              </w:rPr>
            </w:pPr>
          </w:p>
        </w:tc>
        <w:tc>
          <w:tcPr>
            <w:tcW w:w="0" w:type="auto"/>
            <w:gridSpan w:val="3"/>
            <w:shd w:val="clear" w:color="auto" w:fill="auto"/>
            <w:vAlign w:val="bottom"/>
          </w:tcPr>
          <w:p w14:paraId="71D466E9" w14:textId="77777777" w:rsidR="006A3667" w:rsidRDefault="006A3667">
            <w:pPr>
              <w:rPr>
                <w:rFonts w:ascii="宋体"/>
                <w:vanish/>
              </w:rPr>
            </w:pPr>
          </w:p>
        </w:tc>
        <w:tc>
          <w:tcPr>
            <w:tcW w:w="0" w:type="auto"/>
            <w:gridSpan w:val="3"/>
            <w:shd w:val="clear" w:color="auto" w:fill="auto"/>
            <w:vAlign w:val="bottom"/>
          </w:tcPr>
          <w:p w14:paraId="71D466EA" w14:textId="77777777" w:rsidR="006A3667" w:rsidRDefault="006A3667">
            <w:pPr>
              <w:rPr>
                <w:rFonts w:ascii="宋体"/>
                <w:vanish/>
              </w:rPr>
            </w:pPr>
          </w:p>
        </w:tc>
        <w:tc>
          <w:tcPr>
            <w:tcW w:w="0" w:type="auto"/>
            <w:gridSpan w:val="3"/>
            <w:shd w:val="clear" w:color="auto" w:fill="auto"/>
            <w:vAlign w:val="bottom"/>
          </w:tcPr>
          <w:p w14:paraId="71D466EB" w14:textId="77777777" w:rsidR="006A3667" w:rsidRDefault="006A3667">
            <w:pPr>
              <w:rPr>
                <w:rFonts w:ascii="宋体"/>
                <w:vanish/>
              </w:rPr>
            </w:pPr>
          </w:p>
        </w:tc>
        <w:tc>
          <w:tcPr>
            <w:tcW w:w="0" w:type="auto"/>
            <w:gridSpan w:val="3"/>
            <w:shd w:val="clear" w:color="auto" w:fill="auto"/>
            <w:vAlign w:val="bottom"/>
          </w:tcPr>
          <w:p w14:paraId="71D466EC" w14:textId="77777777" w:rsidR="006A3667" w:rsidRDefault="006A3667">
            <w:pPr>
              <w:rPr>
                <w:rFonts w:ascii="宋体"/>
                <w:vanish/>
              </w:rPr>
            </w:pPr>
          </w:p>
        </w:tc>
        <w:tc>
          <w:tcPr>
            <w:tcW w:w="0" w:type="auto"/>
            <w:gridSpan w:val="3"/>
            <w:shd w:val="clear" w:color="auto" w:fill="auto"/>
            <w:vAlign w:val="bottom"/>
          </w:tcPr>
          <w:p w14:paraId="71D466ED" w14:textId="77777777" w:rsidR="006A3667" w:rsidRDefault="006A3667">
            <w:pPr>
              <w:rPr>
                <w:rFonts w:ascii="宋体"/>
                <w:vanish/>
              </w:rPr>
            </w:pPr>
          </w:p>
        </w:tc>
        <w:tc>
          <w:tcPr>
            <w:tcW w:w="0" w:type="auto"/>
            <w:gridSpan w:val="3"/>
            <w:shd w:val="clear" w:color="auto" w:fill="auto"/>
            <w:vAlign w:val="bottom"/>
          </w:tcPr>
          <w:p w14:paraId="71D466EE" w14:textId="77777777" w:rsidR="006A3667" w:rsidRDefault="006A3667">
            <w:pPr>
              <w:rPr>
                <w:rFonts w:ascii="宋体"/>
                <w:vanish/>
              </w:rPr>
            </w:pPr>
          </w:p>
        </w:tc>
        <w:tc>
          <w:tcPr>
            <w:tcW w:w="0" w:type="auto"/>
            <w:gridSpan w:val="3"/>
            <w:shd w:val="clear" w:color="auto" w:fill="auto"/>
            <w:vAlign w:val="bottom"/>
          </w:tcPr>
          <w:p w14:paraId="71D466EF" w14:textId="77777777" w:rsidR="006A3667" w:rsidRDefault="006A3667">
            <w:pPr>
              <w:rPr>
                <w:rFonts w:ascii="宋体"/>
                <w:vanish/>
              </w:rPr>
            </w:pPr>
          </w:p>
        </w:tc>
        <w:tc>
          <w:tcPr>
            <w:tcW w:w="0" w:type="auto"/>
            <w:shd w:val="clear" w:color="auto" w:fill="auto"/>
            <w:vAlign w:val="bottom"/>
          </w:tcPr>
          <w:p w14:paraId="71D466F0" w14:textId="77777777" w:rsidR="006A3667" w:rsidRDefault="006A3667">
            <w:pPr>
              <w:rPr>
                <w:rFonts w:ascii="宋体"/>
                <w:vanish/>
              </w:rPr>
            </w:pPr>
          </w:p>
        </w:tc>
        <w:tc>
          <w:tcPr>
            <w:tcW w:w="0" w:type="auto"/>
            <w:shd w:val="clear" w:color="auto" w:fill="auto"/>
            <w:vAlign w:val="bottom"/>
          </w:tcPr>
          <w:p w14:paraId="71D466F1" w14:textId="77777777" w:rsidR="006A3667" w:rsidRDefault="006A3667">
            <w:pPr>
              <w:rPr>
                <w:rFonts w:ascii="宋体"/>
                <w:vanish/>
              </w:rPr>
            </w:pPr>
          </w:p>
        </w:tc>
        <w:tc>
          <w:tcPr>
            <w:tcW w:w="0" w:type="auto"/>
            <w:gridSpan w:val="3"/>
            <w:shd w:val="clear" w:color="auto" w:fill="auto"/>
            <w:vAlign w:val="bottom"/>
          </w:tcPr>
          <w:p w14:paraId="71D466F2" w14:textId="77777777" w:rsidR="006A3667" w:rsidRDefault="006A3667">
            <w:pPr>
              <w:rPr>
                <w:rFonts w:ascii="宋体"/>
                <w:vanish/>
              </w:rPr>
            </w:pPr>
          </w:p>
        </w:tc>
        <w:tc>
          <w:tcPr>
            <w:tcW w:w="0" w:type="auto"/>
            <w:gridSpan w:val="3"/>
            <w:shd w:val="clear" w:color="auto" w:fill="auto"/>
            <w:vAlign w:val="bottom"/>
          </w:tcPr>
          <w:p w14:paraId="71D466F3" w14:textId="77777777" w:rsidR="006A3667" w:rsidRDefault="006A3667">
            <w:pPr>
              <w:rPr>
                <w:rFonts w:ascii="宋体"/>
                <w:vanish/>
              </w:rPr>
            </w:pPr>
          </w:p>
        </w:tc>
        <w:tc>
          <w:tcPr>
            <w:tcW w:w="0" w:type="auto"/>
            <w:gridSpan w:val="3"/>
            <w:shd w:val="clear" w:color="auto" w:fill="auto"/>
            <w:vAlign w:val="bottom"/>
          </w:tcPr>
          <w:p w14:paraId="71D466F4" w14:textId="77777777" w:rsidR="006A3667" w:rsidRDefault="006A3667">
            <w:pPr>
              <w:rPr>
                <w:rFonts w:ascii="宋体"/>
                <w:vanish/>
              </w:rPr>
            </w:pPr>
          </w:p>
        </w:tc>
        <w:tc>
          <w:tcPr>
            <w:tcW w:w="0" w:type="auto"/>
            <w:gridSpan w:val="3"/>
            <w:shd w:val="clear" w:color="auto" w:fill="auto"/>
            <w:vAlign w:val="bottom"/>
          </w:tcPr>
          <w:p w14:paraId="71D466F5" w14:textId="77777777" w:rsidR="006A3667" w:rsidRDefault="006A3667">
            <w:pPr>
              <w:rPr>
                <w:rFonts w:ascii="宋体"/>
                <w:vanish/>
              </w:rPr>
            </w:pPr>
          </w:p>
        </w:tc>
        <w:tc>
          <w:tcPr>
            <w:tcW w:w="0" w:type="auto"/>
            <w:gridSpan w:val="3"/>
            <w:shd w:val="clear" w:color="auto" w:fill="auto"/>
            <w:vAlign w:val="bottom"/>
          </w:tcPr>
          <w:p w14:paraId="71D466F6" w14:textId="77777777" w:rsidR="006A3667" w:rsidRDefault="006A3667">
            <w:pPr>
              <w:rPr>
                <w:rFonts w:ascii="宋体"/>
                <w:vanish/>
              </w:rPr>
            </w:pPr>
          </w:p>
        </w:tc>
      </w:tr>
    </w:tbl>
    <w:p w14:paraId="71D466F8"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466FF" w14:textId="77777777">
        <w:tc>
          <w:tcPr>
            <w:tcW w:w="50" w:type="pct"/>
            <w:shd w:val="clear" w:color="auto" w:fill="auto"/>
            <w:vAlign w:val="bottom"/>
          </w:tcPr>
          <w:p w14:paraId="71D466F9" w14:textId="77777777" w:rsidR="006A3667" w:rsidRDefault="006A3667">
            <w:pPr>
              <w:rPr>
                <w:rFonts w:ascii="宋体"/>
              </w:rPr>
            </w:pPr>
          </w:p>
        </w:tc>
        <w:tc>
          <w:tcPr>
            <w:tcW w:w="1348" w:type="pct"/>
            <w:shd w:val="clear" w:color="auto" w:fill="auto"/>
            <w:vAlign w:val="bottom"/>
          </w:tcPr>
          <w:p w14:paraId="71D466FA" w14:textId="77777777" w:rsidR="006A3667" w:rsidRDefault="006A3667">
            <w:pPr>
              <w:rPr>
                <w:rFonts w:ascii="宋体"/>
              </w:rPr>
            </w:pPr>
          </w:p>
        </w:tc>
        <w:tc>
          <w:tcPr>
            <w:tcW w:w="5" w:type="pct"/>
            <w:shd w:val="clear" w:color="auto" w:fill="auto"/>
            <w:vAlign w:val="bottom"/>
          </w:tcPr>
          <w:p w14:paraId="71D466FB" w14:textId="77777777" w:rsidR="006A3667" w:rsidRDefault="006A3667">
            <w:pPr>
              <w:rPr>
                <w:rFonts w:ascii="宋体"/>
              </w:rPr>
            </w:pPr>
          </w:p>
        </w:tc>
        <w:tc>
          <w:tcPr>
            <w:tcW w:w="50" w:type="pct"/>
            <w:shd w:val="clear" w:color="auto" w:fill="auto"/>
            <w:vAlign w:val="bottom"/>
          </w:tcPr>
          <w:p w14:paraId="71D466FC" w14:textId="77777777" w:rsidR="006A3667" w:rsidRDefault="006A3667">
            <w:pPr>
              <w:rPr>
                <w:rFonts w:ascii="宋体"/>
              </w:rPr>
            </w:pPr>
          </w:p>
        </w:tc>
        <w:tc>
          <w:tcPr>
            <w:tcW w:w="3541" w:type="pct"/>
            <w:shd w:val="clear" w:color="auto" w:fill="auto"/>
            <w:vAlign w:val="bottom"/>
          </w:tcPr>
          <w:p w14:paraId="71D466FD" w14:textId="77777777" w:rsidR="006A3667" w:rsidRDefault="006A3667">
            <w:pPr>
              <w:rPr>
                <w:rFonts w:ascii="宋体"/>
              </w:rPr>
            </w:pPr>
          </w:p>
        </w:tc>
        <w:tc>
          <w:tcPr>
            <w:tcW w:w="5" w:type="pct"/>
            <w:shd w:val="clear" w:color="auto" w:fill="auto"/>
            <w:vAlign w:val="bottom"/>
          </w:tcPr>
          <w:p w14:paraId="71D466FE" w14:textId="77777777" w:rsidR="006A3667" w:rsidRDefault="006A3667">
            <w:pPr>
              <w:rPr>
                <w:rFonts w:ascii="宋体"/>
              </w:rPr>
            </w:pPr>
          </w:p>
        </w:tc>
      </w:tr>
      <w:tr w:rsidR="006A3667" w14:paraId="71D4670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670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01" w14:textId="77777777" w:rsidR="006A3667" w:rsidRDefault="006A3667">
            <w:pPr>
              <w:rPr>
                <w:rFonts w:ascii="宋体"/>
              </w:rPr>
            </w:pPr>
          </w:p>
        </w:tc>
      </w:tr>
    </w:tbl>
    <w:p w14:paraId="71D46703" w14:textId="77777777" w:rsidR="006A3667" w:rsidRDefault="00045F32">
      <w:pPr>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September 30, 2022, accrued interest receivable of $137 million included in the amortized cost basis of loans has </w:t>
      </w:r>
      <w:r>
        <w:rPr>
          <w:rFonts w:ascii="Arial" w:eastAsia="宋体" w:hAnsi="Arial" w:cs="Arial"/>
          <w:color w:val="000000"/>
          <w:sz w:val="13"/>
          <w:szCs w:val="13"/>
        </w:rPr>
        <w:t>been excluded from the amortized cost basis within this table.</w:t>
      </w:r>
    </w:p>
    <w:p w14:paraId="71D46704" w14:textId="77777777" w:rsidR="006A3667" w:rsidRDefault="006A3667">
      <w:pPr>
        <w:spacing w:before="20"/>
        <w:ind w:firstLine="450"/>
        <w:jc w:val="both"/>
      </w:pPr>
    </w:p>
    <w:p w14:paraId="71D46705" w14:textId="77777777" w:rsidR="006A3667" w:rsidRDefault="00045F32">
      <w:pPr>
        <w:ind w:firstLine="450"/>
        <w:jc w:val="right"/>
      </w:pPr>
      <w:r>
        <w:rPr>
          <w:rFonts w:ascii="Arial" w:eastAsia="宋体" w:hAnsi="Arial" w:cs="Arial"/>
          <w:color w:val="000000"/>
          <w:sz w:val="18"/>
          <w:szCs w:val="18"/>
        </w:rPr>
        <w:t>State Street Corporation | 73</w:t>
      </w:r>
    </w:p>
    <w:p w14:paraId="71D46706" w14:textId="77777777" w:rsidR="006A3667" w:rsidRDefault="006A3667">
      <w:pPr>
        <w:ind w:firstLine="450"/>
        <w:jc w:val="center"/>
      </w:pPr>
    </w:p>
    <w:p w14:paraId="71D46707" w14:textId="77777777" w:rsidR="006A3667" w:rsidRDefault="00045F32">
      <w:r>
        <w:pict w14:anchorId="71D4AC5D">
          <v:rect id="_x0000_i1097" style="width:415.3pt;height:1.5pt" o:hralign="center" o:hrstd="t" o:hr="t" fillcolor="#a0a0a0" stroked="f"/>
        </w:pict>
      </w:r>
    </w:p>
    <w:p w14:paraId="71D46708" w14:textId="77777777" w:rsidR="006A3667" w:rsidRDefault="00045F32">
      <w:pPr>
        <w:ind w:firstLine="450"/>
        <w:jc w:val="center"/>
      </w:pPr>
      <w:r>
        <w:rPr>
          <w:rFonts w:ascii="Arial" w:eastAsia="宋体" w:hAnsi="Arial" w:cs="Arial"/>
          <w:b/>
          <w:bCs/>
          <w:color w:val="000000"/>
          <w:sz w:val="20"/>
          <w:szCs w:val="20"/>
        </w:rPr>
        <w:t>STATE STREET CORPORATION</w:t>
      </w:r>
    </w:p>
    <w:p w14:paraId="71D46709"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670A" w14:textId="77777777" w:rsidR="006A3667" w:rsidRDefault="00045F32">
      <w:pPr>
        <w:ind w:firstLine="450"/>
        <w:jc w:val="center"/>
      </w:pPr>
      <w:r>
        <w:rPr>
          <w:rFonts w:ascii="Arial" w:eastAsia="宋体" w:hAnsi="Arial" w:cs="Arial"/>
          <w:b/>
          <w:bCs/>
          <w:color w:val="000000"/>
          <w:sz w:val="20"/>
          <w:szCs w:val="20"/>
        </w:rPr>
        <w:t>(UNAUDITED)</w:t>
      </w:r>
    </w:p>
    <w:p w14:paraId="71D4670B" w14:textId="77777777" w:rsidR="006A3667" w:rsidRDefault="00045F32">
      <w:pPr>
        <w:spacing w:before="60"/>
        <w:ind w:firstLine="450"/>
        <w:jc w:val="both"/>
      </w:pPr>
      <w:r>
        <w:rPr>
          <w:rFonts w:ascii="Arial" w:eastAsia="宋体" w:hAnsi="Arial" w:cs="Arial"/>
          <w:color w:val="000000"/>
          <w:sz w:val="20"/>
          <w:szCs w:val="20"/>
        </w:rPr>
        <w:t xml:space="preserve">The following table presents the amortized cost basis, by year of </w:t>
      </w:r>
      <w:r>
        <w:rPr>
          <w:rFonts w:ascii="Arial" w:eastAsia="宋体" w:hAnsi="Arial" w:cs="Arial"/>
          <w:color w:val="000000"/>
          <w:sz w:val="20"/>
          <w:szCs w:val="20"/>
        </w:rPr>
        <w:t>origination and credit quality indicator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6A3667" w14:paraId="71D4673E" w14:textId="77777777">
        <w:tc>
          <w:tcPr>
            <w:tcW w:w="50" w:type="pct"/>
            <w:shd w:val="clear" w:color="auto" w:fill="auto"/>
            <w:vAlign w:val="bottom"/>
          </w:tcPr>
          <w:p w14:paraId="71D4670C" w14:textId="77777777" w:rsidR="006A3667" w:rsidRDefault="006A3667">
            <w:pPr>
              <w:rPr>
                <w:rFonts w:ascii="宋体"/>
              </w:rPr>
            </w:pPr>
          </w:p>
        </w:tc>
        <w:tc>
          <w:tcPr>
            <w:tcW w:w="1458" w:type="pct"/>
            <w:shd w:val="clear" w:color="auto" w:fill="auto"/>
            <w:vAlign w:val="bottom"/>
          </w:tcPr>
          <w:p w14:paraId="71D4670D" w14:textId="77777777" w:rsidR="006A3667" w:rsidRDefault="006A3667">
            <w:pPr>
              <w:rPr>
                <w:rFonts w:ascii="宋体"/>
              </w:rPr>
            </w:pPr>
          </w:p>
        </w:tc>
        <w:tc>
          <w:tcPr>
            <w:tcW w:w="5" w:type="pct"/>
            <w:shd w:val="clear" w:color="auto" w:fill="auto"/>
            <w:vAlign w:val="bottom"/>
          </w:tcPr>
          <w:p w14:paraId="71D4670E" w14:textId="77777777" w:rsidR="006A3667" w:rsidRDefault="006A3667">
            <w:pPr>
              <w:rPr>
                <w:rFonts w:ascii="宋体"/>
              </w:rPr>
            </w:pPr>
          </w:p>
        </w:tc>
        <w:tc>
          <w:tcPr>
            <w:tcW w:w="50" w:type="pct"/>
            <w:shd w:val="clear" w:color="auto" w:fill="auto"/>
            <w:vAlign w:val="bottom"/>
          </w:tcPr>
          <w:p w14:paraId="71D4670F" w14:textId="77777777" w:rsidR="006A3667" w:rsidRDefault="006A3667">
            <w:pPr>
              <w:rPr>
                <w:rFonts w:ascii="宋体"/>
              </w:rPr>
            </w:pPr>
          </w:p>
        </w:tc>
        <w:tc>
          <w:tcPr>
            <w:tcW w:w="317" w:type="pct"/>
            <w:shd w:val="clear" w:color="auto" w:fill="auto"/>
            <w:vAlign w:val="bottom"/>
          </w:tcPr>
          <w:p w14:paraId="71D46710" w14:textId="77777777" w:rsidR="006A3667" w:rsidRDefault="006A3667">
            <w:pPr>
              <w:rPr>
                <w:rFonts w:ascii="宋体"/>
              </w:rPr>
            </w:pPr>
          </w:p>
        </w:tc>
        <w:tc>
          <w:tcPr>
            <w:tcW w:w="5" w:type="pct"/>
            <w:shd w:val="clear" w:color="auto" w:fill="auto"/>
            <w:vAlign w:val="bottom"/>
          </w:tcPr>
          <w:p w14:paraId="71D46711" w14:textId="77777777" w:rsidR="006A3667" w:rsidRDefault="006A3667">
            <w:pPr>
              <w:rPr>
                <w:rFonts w:ascii="宋体"/>
              </w:rPr>
            </w:pPr>
          </w:p>
        </w:tc>
        <w:tc>
          <w:tcPr>
            <w:tcW w:w="5" w:type="pct"/>
            <w:shd w:val="clear" w:color="auto" w:fill="auto"/>
            <w:vAlign w:val="bottom"/>
          </w:tcPr>
          <w:p w14:paraId="71D46712" w14:textId="77777777" w:rsidR="006A3667" w:rsidRDefault="006A3667">
            <w:pPr>
              <w:rPr>
                <w:rFonts w:ascii="宋体"/>
              </w:rPr>
            </w:pPr>
          </w:p>
        </w:tc>
        <w:tc>
          <w:tcPr>
            <w:tcW w:w="26" w:type="pct"/>
            <w:shd w:val="clear" w:color="auto" w:fill="auto"/>
            <w:vAlign w:val="bottom"/>
          </w:tcPr>
          <w:p w14:paraId="71D46713" w14:textId="77777777" w:rsidR="006A3667" w:rsidRDefault="006A3667">
            <w:pPr>
              <w:rPr>
                <w:rFonts w:ascii="宋体"/>
              </w:rPr>
            </w:pPr>
          </w:p>
        </w:tc>
        <w:tc>
          <w:tcPr>
            <w:tcW w:w="5" w:type="pct"/>
            <w:shd w:val="clear" w:color="auto" w:fill="auto"/>
            <w:vAlign w:val="bottom"/>
          </w:tcPr>
          <w:p w14:paraId="71D46714" w14:textId="77777777" w:rsidR="006A3667" w:rsidRDefault="006A3667">
            <w:pPr>
              <w:rPr>
                <w:rFonts w:ascii="宋体"/>
              </w:rPr>
            </w:pPr>
          </w:p>
        </w:tc>
        <w:tc>
          <w:tcPr>
            <w:tcW w:w="50" w:type="pct"/>
            <w:shd w:val="clear" w:color="auto" w:fill="auto"/>
            <w:vAlign w:val="bottom"/>
          </w:tcPr>
          <w:p w14:paraId="71D46715" w14:textId="77777777" w:rsidR="006A3667" w:rsidRDefault="006A3667">
            <w:pPr>
              <w:rPr>
                <w:rFonts w:ascii="宋体"/>
              </w:rPr>
            </w:pPr>
          </w:p>
        </w:tc>
        <w:tc>
          <w:tcPr>
            <w:tcW w:w="317" w:type="pct"/>
            <w:shd w:val="clear" w:color="auto" w:fill="auto"/>
            <w:vAlign w:val="bottom"/>
          </w:tcPr>
          <w:p w14:paraId="71D46716" w14:textId="77777777" w:rsidR="006A3667" w:rsidRDefault="006A3667">
            <w:pPr>
              <w:rPr>
                <w:rFonts w:ascii="宋体"/>
              </w:rPr>
            </w:pPr>
          </w:p>
        </w:tc>
        <w:tc>
          <w:tcPr>
            <w:tcW w:w="5" w:type="pct"/>
            <w:shd w:val="clear" w:color="auto" w:fill="auto"/>
            <w:vAlign w:val="bottom"/>
          </w:tcPr>
          <w:p w14:paraId="71D46717" w14:textId="77777777" w:rsidR="006A3667" w:rsidRDefault="006A3667">
            <w:pPr>
              <w:rPr>
                <w:rFonts w:ascii="宋体"/>
              </w:rPr>
            </w:pPr>
          </w:p>
        </w:tc>
        <w:tc>
          <w:tcPr>
            <w:tcW w:w="5" w:type="pct"/>
            <w:shd w:val="clear" w:color="auto" w:fill="auto"/>
            <w:vAlign w:val="bottom"/>
          </w:tcPr>
          <w:p w14:paraId="71D46718" w14:textId="77777777" w:rsidR="006A3667" w:rsidRDefault="006A3667">
            <w:pPr>
              <w:rPr>
                <w:rFonts w:ascii="宋体"/>
              </w:rPr>
            </w:pPr>
          </w:p>
        </w:tc>
        <w:tc>
          <w:tcPr>
            <w:tcW w:w="26" w:type="pct"/>
            <w:shd w:val="clear" w:color="auto" w:fill="auto"/>
            <w:vAlign w:val="bottom"/>
          </w:tcPr>
          <w:p w14:paraId="71D46719" w14:textId="77777777" w:rsidR="006A3667" w:rsidRDefault="006A3667">
            <w:pPr>
              <w:rPr>
                <w:rFonts w:ascii="宋体"/>
              </w:rPr>
            </w:pPr>
          </w:p>
        </w:tc>
        <w:tc>
          <w:tcPr>
            <w:tcW w:w="5" w:type="pct"/>
            <w:shd w:val="clear" w:color="auto" w:fill="auto"/>
            <w:vAlign w:val="bottom"/>
          </w:tcPr>
          <w:p w14:paraId="71D4671A" w14:textId="77777777" w:rsidR="006A3667" w:rsidRDefault="006A3667">
            <w:pPr>
              <w:rPr>
                <w:rFonts w:ascii="宋体"/>
              </w:rPr>
            </w:pPr>
          </w:p>
        </w:tc>
        <w:tc>
          <w:tcPr>
            <w:tcW w:w="50" w:type="pct"/>
            <w:shd w:val="clear" w:color="auto" w:fill="auto"/>
            <w:vAlign w:val="bottom"/>
          </w:tcPr>
          <w:p w14:paraId="71D4671B" w14:textId="77777777" w:rsidR="006A3667" w:rsidRDefault="006A3667">
            <w:pPr>
              <w:rPr>
                <w:rFonts w:ascii="宋体"/>
              </w:rPr>
            </w:pPr>
          </w:p>
        </w:tc>
        <w:tc>
          <w:tcPr>
            <w:tcW w:w="317" w:type="pct"/>
            <w:shd w:val="clear" w:color="auto" w:fill="auto"/>
            <w:vAlign w:val="bottom"/>
          </w:tcPr>
          <w:p w14:paraId="71D4671C" w14:textId="77777777" w:rsidR="006A3667" w:rsidRDefault="006A3667">
            <w:pPr>
              <w:rPr>
                <w:rFonts w:ascii="宋体"/>
              </w:rPr>
            </w:pPr>
          </w:p>
        </w:tc>
        <w:tc>
          <w:tcPr>
            <w:tcW w:w="5" w:type="pct"/>
            <w:shd w:val="clear" w:color="auto" w:fill="auto"/>
            <w:vAlign w:val="bottom"/>
          </w:tcPr>
          <w:p w14:paraId="71D4671D" w14:textId="77777777" w:rsidR="006A3667" w:rsidRDefault="006A3667">
            <w:pPr>
              <w:rPr>
                <w:rFonts w:ascii="宋体"/>
              </w:rPr>
            </w:pPr>
          </w:p>
        </w:tc>
        <w:tc>
          <w:tcPr>
            <w:tcW w:w="5" w:type="pct"/>
            <w:shd w:val="clear" w:color="auto" w:fill="auto"/>
            <w:vAlign w:val="bottom"/>
          </w:tcPr>
          <w:p w14:paraId="71D4671E" w14:textId="77777777" w:rsidR="006A3667" w:rsidRDefault="006A3667">
            <w:pPr>
              <w:rPr>
                <w:rFonts w:ascii="宋体"/>
              </w:rPr>
            </w:pPr>
          </w:p>
        </w:tc>
        <w:tc>
          <w:tcPr>
            <w:tcW w:w="26" w:type="pct"/>
            <w:shd w:val="clear" w:color="auto" w:fill="auto"/>
            <w:vAlign w:val="bottom"/>
          </w:tcPr>
          <w:p w14:paraId="71D4671F" w14:textId="77777777" w:rsidR="006A3667" w:rsidRDefault="006A3667">
            <w:pPr>
              <w:rPr>
                <w:rFonts w:ascii="宋体"/>
              </w:rPr>
            </w:pPr>
          </w:p>
        </w:tc>
        <w:tc>
          <w:tcPr>
            <w:tcW w:w="5" w:type="pct"/>
            <w:shd w:val="clear" w:color="auto" w:fill="auto"/>
            <w:vAlign w:val="bottom"/>
          </w:tcPr>
          <w:p w14:paraId="71D46720" w14:textId="77777777" w:rsidR="006A3667" w:rsidRDefault="006A3667">
            <w:pPr>
              <w:rPr>
                <w:rFonts w:ascii="宋体"/>
              </w:rPr>
            </w:pPr>
          </w:p>
        </w:tc>
        <w:tc>
          <w:tcPr>
            <w:tcW w:w="50" w:type="pct"/>
            <w:shd w:val="clear" w:color="auto" w:fill="auto"/>
            <w:vAlign w:val="bottom"/>
          </w:tcPr>
          <w:p w14:paraId="71D46721" w14:textId="77777777" w:rsidR="006A3667" w:rsidRDefault="006A3667">
            <w:pPr>
              <w:rPr>
                <w:rFonts w:ascii="宋体"/>
              </w:rPr>
            </w:pPr>
          </w:p>
        </w:tc>
        <w:tc>
          <w:tcPr>
            <w:tcW w:w="317" w:type="pct"/>
            <w:shd w:val="clear" w:color="auto" w:fill="auto"/>
            <w:vAlign w:val="bottom"/>
          </w:tcPr>
          <w:p w14:paraId="71D46722" w14:textId="77777777" w:rsidR="006A3667" w:rsidRDefault="006A3667">
            <w:pPr>
              <w:rPr>
                <w:rFonts w:ascii="宋体"/>
              </w:rPr>
            </w:pPr>
          </w:p>
        </w:tc>
        <w:tc>
          <w:tcPr>
            <w:tcW w:w="5" w:type="pct"/>
            <w:shd w:val="clear" w:color="auto" w:fill="auto"/>
            <w:vAlign w:val="bottom"/>
          </w:tcPr>
          <w:p w14:paraId="71D46723" w14:textId="77777777" w:rsidR="006A3667" w:rsidRDefault="006A3667">
            <w:pPr>
              <w:rPr>
                <w:rFonts w:ascii="宋体"/>
              </w:rPr>
            </w:pPr>
          </w:p>
        </w:tc>
        <w:tc>
          <w:tcPr>
            <w:tcW w:w="5" w:type="pct"/>
            <w:shd w:val="clear" w:color="auto" w:fill="auto"/>
            <w:vAlign w:val="bottom"/>
          </w:tcPr>
          <w:p w14:paraId="71D46724" w14:textId="77777777" w:rsidR="006A3667" w:rsidRDefault="006A3667">
            <w:pPr>
              <w:rPr>
                <w:rFonts w:ascii="宋体"/>
              </w:rPr>
            </w:pPr>
          </w:p>
        </w:tc>
        <w:tc>
          <w:tcPr>
            <w:tcW w:w="26" w:type="pct"/>
            <w:shd w:val="clear" w:color="auto" w:fill="auto"/>
            <w:vAlign w:val="bottom"/>
          </w:tcPr>
          <w:p w14:paraId="71D46725" w14:textId="77777777" w:rsidR="006A3667" w:rsidRDefault="006A3667">
            <w:pPr>
              <w:rPr>
                <w:rFonts w:ascii="宋体"/>
              </w:rPr>
            </w:pPr>
          </w:p>
        </w:tc>
        <w:tc>
          <w:tcPr>
            <w:tcW w:w="5" w:type="pct"/>
            <w:shd w:val="clear" w:color="auto" w:fill="auto"/>
            <w:vAlign w:val="bottom"/>
          </w:tcPr>
          <w:p w14:paraId="71D46726" w14:textId="77777777" w:rsidR="006A3667" w:rsidRDefault="006A3667">
            <w:pPr>
              <w:rPr>
                <w:rFonts w:ascii="宋体"/>
              </w:rPr>
            </w:pPr>
          </w:p>
        </w:tc>
        <w:tc>
          <w:tcPr>
            <w:tcW w:w="50" w:type="pct"/>
            <w:shd w:val="clear" w:color="auto" w:fill="auto"/>
            <w:vAlign w:val="bottom"/>
          </w:tcPr>
          <w:p w14:paraId="71D46727" w14:textId="77777777" w:rsidR="006A3667" w:rsidRDefault="006A3667">
            <w:pPr>
              <w:rPr>
                <w:rFonts w:ascii="宋体"/>
              </w:rPr>
            </w:pPr>
          </w:p>
        </w:tc>
        <w:tc>
          <w:tcPr>
            <w:tcW w:w="317" w:type="pct"/>
            <w:shd w:val="clear" w:color="auto" w:fill="auto"/>
            <w:vAlign w:val="bottom"/>
          </w:tcPr>
          <w:p w14:paraId="71D46728" w14:textId="77777777" w:rsidR="006A3667" w:rsidRDefault="006A3667">
            <w:pPr>
              <w:rPr>
                <w:rFonts w:ascii="宋体"/>
              </w:rPr>
            </w:pPr>
          </w:p>
        </w:tc>
        <w:tc>
          <w:tcPr>
            <w:tcW w:w="5" w:type="pct"/>
            <w:shd w:val="clear" w:color="auto" w:fill="auto"/>
            <w:vAlign w:val="bottom"/>
          </w:tcPr>
          <w:p w14:paraId="71D46729" w14:textId="77777777" w:rsidR="006A3667" w:rsidRDefault="006A3667">
            <w:pPr>
              <w:rPr>
                <w:rFonts w:ascii="宋体"/>
              </w:rPr>
            </w:pPr>
          </w:p>
        </w:tc>
        <w:tc>
          <w:tcPr>
            <w:tcW w:w="5" w:type="pct"/>
            <w:shd w:val="clear" w:color="auto" w:fill="auto"/>
            <w:vAlign w:val="bottom"/>
          </w:tcPr>
          <w:p w14:paraId="71D4672A" w14:textId="77777777" w:rsidR="006A3667" w:rsidRDefault="006A3667">
            <w:pPr>
              <w:rPr>
                <w:rFonts w:ascii="宋体"/>
              </w:rPr>
            </w:pPr>
          </w:p>
        </w:tc>
        <w:tc>
          <w:tcPr>
            <w:tcW w:w="26" w:type="pct"/>
            <w:shd w:val="clear" w:color="auto" w:fill="auto"/>
            <w:vAlign w:val="bottom"/>
          </w:tcPr>
          <w:p w14:paraId="71D4672B" w14:textId="77777777" w:rsidR="006A3667" w:rsidRDefault="006A3667">
            <w:pPr>
              <w:rPr>
                <w:rFonts w:ascii="宋体"/>
              </w:rPr>
            </w:pPr>
          </w:p>
        </w:tc>
        <w:tc>
          <w:tcPr>
            <w:tcW w:w="5" w:type="pct"/>
            <w:shd w:val="clear" w:color="auto" w:fill="auto"/>
            <w:vAlign w:val="bottom"/>
          </w:tcPr>
          <w:p w14:paraId="71D4672C" w14:textId="77777777" w:rsidR="006A3667" w:rsidRDefault="006A3667">
            <w:pPr>
              <w:rPr>
                <w:rFonts w:ascii="宋体"/>
              </w:rPr>
            </w:pPr>
          </w:p>
        </w:tc>
        <w:tc>
          <w:tcPr>
            <w:tcW w:w="0" w:type="auto"/>
            <w:shd w:val="clear" w:color="auto" w:fill="auto"/>
            <w:vAlign w:val="bottom"/>
          </w:tcPr>
          <w:p w14:paraId="71D4672D" w14:textId="77777777" w:rsidR="006A3667" w:rsidRDefault="006A3667">
            <w:pPr>
              <w:rPr>
                <w:rFonts w:ascii="宋体"/>
                <w:vanish/>
              </w:rPr>
            </w:pPr>
          </w:p>
        </w:tc>
        <w:tc>
          <w:tcPr>
            <w:tcW w:w="0" w:type="auto"/>
            <w:shd w:val="clear" w:color="auto" w:fill="auto"/>
            <w:vAlign w:val="bottom"/>
          </w:tcPr>
          <w:p w14:paraId="71D4672E" w14:textId="77777777" w:rsidR="006A3667" w:rsidRDefault="006A3667">
            <w:pPr>
              <w:rPr>
                <w:rFonts w:ascii="宋体"/>
                <w:vanish/>
              </w:rPr>
            </w:pPr>
          </w:p>
        </w:tc>
        <w:tc>
          <w:tcPr>
            <w:tcW w:w="50" w:type="pct"/>
            <w:shd w:val="clear" w:color="auto" w:fill="auto"/>
            <w:vAlign w:val="bottom"/>
          </w:tcPr>
          <w:p w14:paraId="71D4672F" w14:textId="77777777" w:rsidR="006A3667" w:rsidRDefault="006A3667">
            <w:pPr>
              <w:rPr>
                <w:rFonts w:ascii="宋体"/>
              </w:rPr>
            </w:pPr>
          </w:p>
        </w:tc>
        <w:tc>
          <w:tcPr>
            <w:tcW w:w="317" w:type="pct"/>
            <w:shd w:val="clear" w:color="auto" w:fill="auto"/>
            <w:vAlign w:val="bottom"/>
          </w:tcPr>
          <w:p w14:paraId="71D46730" w14:textId="77777777" w:rsidR="006A3667" w:rsidRDefault="006A3667">
            <w:pPr>
              <w:rPr>
                <w:rFonts w:ascii="宋体"/>
              </w:rPr>
            </w:pPr>
          </w:p>
        </w:tc>
        <w:tc>
          <w:tcPr>
            <w:tcW w:w="5" w:type="pct"/>
            <w:shd w:val="clear" w:color="auto" w:fill="auto"/>
            <w:vAlign w:val="bottom"/>
          </w:tcPr>
          <w:p w14:paraId="71D46731" w14:textId="77777777" w:rsidR="006A3667" w:rsidRDefault="006A3667">
            <w:pPr>
              <w:rPr>
                <w:rFonts w:ascii="宋体"/>
              </w:rPr>
            </w:pPr>
          </w:p>
        </w:tc>
        <w:tc>
          <w:tcPr>
            <w:tcW w:w="5" w:type="pct"/>
            <w:shd w:val="clear" w:color="auto" w:fill="auto"/>
            <w:vAlign w:val="bottom"/>
          </w:tcPr>
          <w:p w14:paraId="71D46732" w14:textId="77777777" w:rsidR="006A3667" w:rsidRDefault="006A3667">
            <w:pPr>
              <w:rPr>
                <w:rFonts w:ascii="宋体"/>
              </w:rPr>
            </w:pPr>
          </w:p>
        </w:tc>
        <w:tc>
          <w:tcPr>
            <w:tcW w:w="26" w:type="pct"/>
            <w:shd w:val="clear" w:color="auto" w:fill="auto"/>
            <w:vAlign w:val="bottom"/>
          </w:tcPr>
          <w:p w14:paraId="71D46733" w14:textId="77777777" w:rsidR="006A3667" w:rsidRDefault="006A3667">
            <w:pPr>
              <w:rPr>
                <w:rFonts w:ascii="宋体"/>
              </w:rPr>
            </w:pPr>
          </w:p>
        </w:tc>
        <w:tc>
          <w:tcPr>
            <w:tcW w:w="5" w:type="pct"/>
            <w:shd w:val="clear" w:color="auto" w:fill="auto"/>
            <w:vAlign w:val="bottom"/>
          </w:tcPr>
          <w:p w14:paraId="71D46734" w14:textId="77777777" w:rsidR="006A3667" w:rsidRDefault="006A3667">
            <w:pPr>
              <w:rPr>
                <w:rFonts w:ascii="宋体"/>
              </w:rPr>
            </w:pPr>
          </w:p>
        </w:tc>
        <w:tc>
          <w:tcPr>
            <w:tcW w:w="50" w:type="pct"/>
            <w:shd w:val="clear" w:color="auto" w:fill="auto"/>
            <w:vAlign w:val="bottom"/>
          </w:tcPr>
          <w:p w14:paraId="71D46735" w14:textId="77777777" w:rsidR="006A3667" w:rsidRDefault="006A3667">
            <w:pPr>
              <w:rPr>
                <w:rFonts w:ascii="宋体"/>
              </w:rPr>
            </w:pPr>
          </w:p>
        </w:tc>
        <w:tc>
          <w:tcPr>
            <w:tcW w:w="566" w:type="pct"/>
            <w:shd w:val="clear" w:color="auto" w:fill="auto"/>
            <w:vAlign w:val="bottom"/>
          </w:tcPr>
          <w:p w14:paraId="71D46736" w14:textId="77777777" w:rsidR="006A3667" w:rsidRDefault="006A3667">
            <w:pPr>
              <w:rPr>
                <w:rFonts w:ascii="宋体"/>
              </w:rPr>
            </w:pPr>
          </w:p>
        </w:tc>
        <w:tc>
          <w:tcPr>
            <w:tcW w:w="5" w:type="pct"/>
            <w:shd w:val="clear" w:color="auto" w:fill="auto"/>
            <w:vAlign w:val="bottom"/>
          </w:tcPr>
          <w:p w14:paraId="71D46737" w14:textId="77777777" w:rsidR="006A3667" w:rsidRDefault="006A3667">
            <w:pPr>
              <w:rPr>
                <w:rFonts w:ascii="宋体"/>
              </w:rPr>
            </w:pPr>
          </w:p>
        </w:tc>
        <w:tc>
          <w:tcPr>
            <w:tcW w:w="5" w:type="pct"/>
            <w:shd w:val="clear" w:color="auto" w:fill="auto"/>
            <w:vAlign w:val="bottom"/>
          </w:tcPr>
          <w:p w14:paraId="71D46738" w14:textId="77777777" w:rsidR="006A3667" w:rsidRDefault="006A3667">
            <w:pPr>
              <w:rPr>
                <w:rFonts w:ascii="宋体"/>
              </w:rPr>
            </w:pPr>
          </w:p>
        </w:tc>
        <w:tc>
          <w:tcPr>
            <w:tcW w:w="26" w:type="pct"/>
            <w:shd w:val="clear" w:color="auto" w:fill="auto"/>
            <w:vAlign w:val="bottom"/>
          </w:tcPr>
          <w:p w14:paraId="71D46739" w14:textId="77777777" w:rsidR="006A3667" w:rsidRDefault="006A3667">
            <w:pPr>
              <w:rPr>
                <w:rFonts w:ascii="宋体"/>
              </w:rPr>
            </w:pPr>
          </w:p>
        </w:tc>
        <w:tc>
          <w:tcPr>
            <w:tcW w:w="5" w:type="pct"/>
            <w:shd w:val="clear" w:color="auto" w:fill="auto"/>
            <w:vAlign w:val="bottom"/>
          </w:tcPr>
          <w:p w14:paraId="71D4673A" w14:textId="77777777" w:rsidR="006A3667" w:rsidRDefault="006A3667">
            <w:pPr>
              <w:rPr>
                <w:rFonts w:ascii="宋体"/>
              </w:rPr>
            </w:pPr>
          </w:p>
        </w:tc>
        <w:tc>
          <w:tcPr>
            <w:tcW w:w="50" w:type="pct"/>
            <w:shd w:val="clear" w:color="auto" w:fill="auto"/>
            <w:vAlign w:val="bottom"/>
          </w:tcPr>
          <w:p w14:paraId="71D4673B" w14:textId="77777777" w:rsidR="006A3667" w:rsidRDefault="006A3667">
            <w:pPr>
              <w:rPr>
                <w:rFonts w:ascii="宋体"/>
              </w:rPr>
            </w:pPr>
          </w:p>
        </w:tc>
        <w:tc>
          <w:tcPr>
            <w:tcW w:w="318" w:type="pct"/>
            <w:shd w:val="clear" w:color="auto" w:fill="auto"/>
            <w:vAlign w:val="bottom"/>
          </w:tcPr>
          <w:p w14:paraId="71D4673C" w14:textId="77777777" w:rsidR="006A3667" w:rsidRDefault="006A3667">
            <w:pPr>
              <w:rPr>
                <w:rFonts w:ascii="宋体"/>
              </w:rPr>
            </w:pPr>
          </w:p>
        </w:tc>
        <w:tc>
          <w:tcPr>
            <w:tcW w:w="5" w:type="pct"/>
            <w:shd w:val="clear" w:color="auto" w:fill="auto"/>
            <w:vAlign w:val="bottom"/>
          </w:tcPr>
          <w:p w14:paraId="71D4673D" w14:textId="77777777" w:rsidR="006A3667" w:rsidRDefault="006A3667">
            <w:pPr>
              <w:rPr>
                <w:rFonts w:ascii="宋体"/>
              </w:rPr>
            </w:pPr>
          </w:p>
        </w:tc>
      </w:tr>
      <w:tr w:rsidR="006A3667" w14:paraId="71D46751" w14:textId="77777777">
        <w:tc>
          <w:tcPr>
            <w:tcW w:w="0" w:type="auto"/>
            <w:gridSpan w:val="3"/>
            <w:shd w:val="clear" w:color="auto" w:fill="auto"/>
            <w:tcMar>
              <w:top w:w="40" w:type="dxa"/>
              <w:left w:w="20" w:type="dxa"/>
              <w:bottom w:w="40" w:type="dxa"/>
              <w:right w:w="20" w:type="dxa"/>
            </w:tcMar>
            <w:vAlign w:val="bottom"/>
          </w:tcPr>
          <w:p w14:paraId="71D4673F"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6740"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674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742" w14:textId="77777777" w:rsidR="006A3667" w:rsidRDefault="00045F32">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71D4674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744" w14:textId="77777777" w:rsidR="006A3667" w:rsidRDefault="00045F32">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71D4674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746" w14:textId="77777777" w:rsidR="006A3667" w:rsidRDefault="00045F32">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71D4674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748" w14:textId="77777777" w:rsidR="006A3667" w:rsidRDefault="00045F32">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71D46749" w14:textId="77777777" w:rsidR="006A3667" w:rsidRDefault="006A3667">
            <w:pPr>
              <w:rPr>
                <w:rFonts w:ascii="宋体"/>
              </w:rPr>
            </w:pPr>
          </w:p>
        </w:tc>
        <w:tc>
          <w:tcPr>
            <w:tcW w:w="0" w:type="auto"/>
            <w:shd w:val="clear" w:color="auto" w:fill="auto"/>
            <w:vAlign w:val="bottom"/>
          </w:tcPr>
          <w:p w14:paraId="71D4674A" w14:textId="77777777" w:rsidR="006A3667" w:rsidRDefault="006A3667">
            <w:pPr>
              <w:rPr>
                <w:rFonts w:ascii="宋体"/>
                <w:vanish/>
              </w:rPr>
            </w:pPr>
          </w:p>
        </w:tc>
        <w:tc>
          <w:tcPr>
            <w:tcW w:w="0" w:type="auto"/>
            <w:shd w:val="clear" w:color="auto" w:fill="auto"/>
            <w:vAlign w:val="bottom"/>
          </w:tcPr>
          <w:p w14:paraId="71D4674B" w14:textId="77777777" w:rsidR="006A3667" w:rsidRDefault="006A3667">
            <w:pPr>
              <w:rPr>
                <w:rFonts w:ascii="宋体"/>
                <w:vanish/>
              </w:rPr>
            </w:pPr>
          </w:p>
        </w:tc>
        <w:tc>
          <w:tcPr>
            <w:tcW w:w="0" w:type="auto"/>
            <w:gridSpan w:val="3"/>
            <w:shd w:val="clear" w:color="auto" w:fill="auto"/>
            <w:tcMar>
              <w:top w:w="40" w:type="dxa"/>
              <w:left w:w="20" w:type="dxa"/>
              <w:bottom w:w="40" w:type="dxa"/>
              <w:right w:w="20" w:type="dxa"/>
            </w:tcMar>
            <w:vAlign w:val="bottom"/>
          </w:tcPr>
          <w:p w14:paraId="71D4674C" w14:textId="77777777" w:rsidR="006A3667" w:rsidRDefault="00045F32">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71D4674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74E" w14:textId="77777777" w:rsidR="006A3667" w:rsidRDefault="00045F32">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71D4674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750" w14:textId="77777777" w:rsidR="006A3667" w:rsidRDefault="00045F32">
            <w:pP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6A3667" w14:paraId="71D46764" w14:textId="77777777">
        <w:tc>
          <w:tcPr>
            <w:tcW w:w="0" w:type="auto"/>
            <w:gridSpan w:val="3"/>
            <w:shd w:val="clear" w:color="auto" w:fill="auto"/>
            <w:tcMar>
              <w:top w:w="40" w:type="dxa"/>
              <w:left w:w="20" w:type="dxa"/>
              <w:bottom w:w="40" w:type="dxa"/>
              <w:right w:w="20" w:type="dxa"/>
            </w:tcMar>
            <w:vAlign w:val="bottom"/>
          </w:tcPr>
          <w:p w14:paraId="71D46752" w14:textId="77777777" w:rsidR="006A3667" w:rsidRDefault="00045F32">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75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5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75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5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75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5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75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5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75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5C" w14:textId="77777777" w:rsidR="006A3667" w:rsidRDefault="006A3667">
            <w:pPr>
              <w:rPr>
                <w:rFonts w:ascii="宋体"/>
              </w:rPr>
            </w:pPr>
          </w:p>
        </w:tc>
        <w:tc>
          <w:tcPr>
            <w:tcW w:w="0" w:type="auto"/>
            <w:shd w:val="clear" w:color="auto" w:fill="auto"/>
            <w:vAlign w:val="bottom"/>
          </w:tcPr>
          <w:p w14:paraId="71D4675D" w14:textId="77777777" w:rsidR="006A3667" w:rsidRDefault="006A3667">
            <w:pPr>
              <w:rPr>
                <w:rFonts w:ascii="宋体"/>
                <w:vanish/>
              </w:rPr>
            </w:pPr>
          </w:p>
        </w:tc>
        <w:tc>
          <w:tcPr>
            <w:tcW w:w="0" w:type="auto"/>
            <w:shd w:val="clear" w:color="auto" w:fill="auto"/>
            <w:vAlign w:val="bottom"/>
          </w:tcPr>
          <w:p w14:paraId="71D4675E"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75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76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763" w14:textId="77777777" w:rsidR="006A3667" w:rsidRDefault="006A3667">
            <w:pPr>
              <w:rPr>
                <w:rFonts w:ascii="宋体"/>
              </w:rPr>
            </w:pPr>
          </w:p>
        </w:tc>
      </w:tr>
      <w:tr w:rsidR="006A3667" w14:paraId="71D46777" w14:textId="77777777">
        <w:tc>
          <w:tcPr>
            <w:tcW w:w="0" w:type="auto"/>
            <w:gridSpan w:val="3"/>
            <w:shd w:val="clear" w:color="auto" w:fill="auto"/>
            <w:tcMar>
              <w:top w:w="40" w:type="dxa"/>
              <w:left w:w="155" w:type="dxa"/>
              <w:bottom w:w="40" w:type="dxa"/>
              <w:right w:w="20" w:type="dxa"/>
            </w:tcMar>
            <w:vAlign w:val="bottom"/>
          </w:tcPr>
          <w:p w14:paraId="71D46765" w14:textId="77777777" w:rsidR="006A3667" w:rsidRDefault="00045F32">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71D4676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6F" w14:textId="77777777" w:rsidR="006A3667" w:rsidRDefault="006A3667">
            <w:pPr>
              <w:rPr>
                <w:rFonts w:ascii="宋体"/>
              </w:rPr>
            </w:pPr>
          </w:p>
        </w:tc>
        <w:tc>
          <w:tcPr>
            <w:tcW w:w="0" w:type="auto"/>
            <w:shd w:val="clear" w:color="auto" w:fill="auto"/>
            <w:vAlign w:val="bottom"/>
          </w:tcPr>
          <w:p w14:paraId="71D46770" w14:textId="77777777" w:rsidR="006A3667" w:rsidRDefault="006A3667">
            <w:pPr>
              <w:rPr>
                <w:rFonts w:ascii="宋体"/>
                <w:vanish/>
              </w:rPr>
            </w:pPr>
          </w:p>
        </w:tc>
        <w:tc>
          <w:tcPr>
            <w:tcW w:w="0" w:type="auto"/>
            <w:shd w:val="clear" w:color="auto" w:fill="auto"/>
            <w:vAlign w:val="bottom"/>
          </w:tcPr>
          <w:p w14:paraId="71D46771"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677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6" w14:textId="77777777" w:rsidR="006A3667" w:rsidRDefault="006A3667">
            <w:pPr>
              <w:rPr>
                <w:rFonts w:ascii="宋体"/>
              </w:rPr>
            </w:pPr>
          </w:p>
        </w:tc>
      </w:tr>
      <w:tr w:rsidR="006A3667" w14:paraId="71D4678A" w14:textId="77777777">
        <w:tc>
          <w:tcPr>
            <w:tcW w:w="0" w:type="auto"/>
            <w:gridSpan w:val="3"/>
            <w:shd w:val="clear" w:color="auto" w:fill="auto"/>
            <w:tcMar>
              <w:top w:w="40" w:type="dxa"/>
              <w:left w:w="245" w:type="dxa"/>
              <w:bottom w:w="40" w:type="dxa"/>
              <w:right w:w="20" w:type="dxa"/>
            </w:tcMar>
            <w:vAlign w:val="bottom"/>
          </w:tcPr>
          <w:p w14:paraId="71D46778" w14:textId="77777777" w:rsidR="006A3667" w:rsidRDefault="00045F32">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71D4677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7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8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8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82" w14:textId="77777777" w:rsidR="006A3667" w:rsidRDefault="006A3667">
            <w:pPr>
              <w:rPr>
                <w:rFonts w:ascii="宋体"/>
              </w:rPr>
            </w:pPr>
          </w:p>
        </w:tc>
        <w:tc>
          <w:tcPr>
            <w:tcW w:w="0" w:type="auto"/>
            <w:shd w:val="clear" w:color="auto" w:fill="auto"/>
            <w:vAlign w:val="bottom"/>
          </w:tcPr>
          <w:p w14:paraId="71D46783" w14:textId="77777777" w:rsidR="006A3667" w:rsidRDefault="006A3667">
            <w:pPr>
              <w:rPr>
                <w:rFonts w:ascii="宋体"/>
                <w:vanish/>
              </w:rPr>
            </w:pPr>
          </w:p>
        </w:tc>
        <w:tc>
          <w:tcPr>
            <w:tcW w:w="0" w:type="auto"/>
            <w:shd w:val="clear" w:color="auto" w:fill="auto"/>
            <w:vAlign w:val="bottom"/>
          </w:tcPr>
          <w:p w14:paraId="71D46784"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678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8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8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8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789" w14:textId="77777777" w:rsidR="006A3667" w:rsidRDefault="006A3667">
            <w:pPr>
              <w:rPr>
                <w:rFonts w:ascii="宋体"/>
              </w:rPr>
            </w:pPr>
          </w:p>
        </w:tc>
      </w:tr>
      <w:tr w:rsidR="006A3667" w14:paraId="71D467AD" w14:textId="77777777">
        <w:tc>
          <w:tcPr>
            <w:tcW w:w="0" w:type="auto"/>
            <w:gridSpan w:val="3"/>
            <w:shd w:val="clear" w:color="auto" w:fill="CCEEFF"/>
            <w:tcMar>
              <w:top w:w="40" w:type="dxa"/>
              <w:left w:w="380" w:type="dxa"/>
              <w:bottom w:w="40" w:type="dxa"/>
              <w:right w:w="20" w:type="dxa"/>
            </w:tcMar>
            <w:vAlign w:val="bottom"/>
          </w:tcPr>
          <w:p w14:paraId="71D4678B" w14:textId="77777777" w:rsidR="006A3667" w:rsidRDefault="00045F32">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71D4678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78D" w14:textId="77777777" w:rsidR="006A3667" w:rsidRDefault="00045F32">
            <w:pPr>
              <w:jc w:val="right"/>
              <w:textAlignment w:val="bottom"/>
            </w:pPr>
            <w:r>
              <w:rPr>
                <w:rFonts w:ascii="Arial" w:eastAsia="宋体" w:hAnsi="Arial" w:cs="Arial"/>
                <w:color w:val="000000"/>
                <w:sz w:val="14"/>
                <w:szCs w:val="14"/>
              </w:rPr>
              <w:t>1,988 </w:t>
            </w:r>
          </w:p>
        </w:tc>
        <w:tc>
          <w:tcPr>
            <w:tcW w:w="0" w:type="auto"/>
            <w:shd w:val="clear" w:color="auto" w:fill="CCEEFF"/>
            <w:tcMar>
              <w:top w:w="40" w:type="dxa"/>
              <w:left w:w="0" w:type="dxa"/>
              <w:bottom w:w="40" w:type="dxa"/>
              <w:right w:w="20" w:type="dxa"/>
            </w:tcMar>
            <w:vAlign w:val="bottom"/>
          </w:tcPr>
          <w:p w14:paraId="71D4678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8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79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791" w14:textId="77777777" w:rsidR="006A3667" w:rsidRDefault="00045F32">
            <w:pPr>
              <w:jc w:val="right"/>
              <w:textAlignment w:val="bottom"/>
            </w:pPr>
            <w:r>
              <w:rPr>
                <w:rFonts w:ascii="Arial" w:eastAsia="宋体" w:hAnsi="Arial" w:cs="Arial"/>
                <w:color w:val="000000"/>
                <w:sz w:val="14"/>
                <w:szCs w:val="14"/>
              </w:rPr>
              <w:t>59 </w:t>
            </w:r>
          </w:p>
        </w:tc>
        <w:tc>
          <w:tcPr>
            <w:tcW w:w="0" w:type="auto"/>
            <w:shd w:val="clear" w:color="auto" w:fill="CCEEFF"/>
            <w:tcMar>
              <w:top w:w="40" w:type="dxa"/>
              <w:left w:w="0" w:type="dxa"/>
              <w:bottom w:w="40" w:type="dxa"/>
              <w:right w:w="20" w:type="dxa"/>
            </w:tcMar>
            <w:vAlign w:val="bottom"/>
          </w:tcPr>
          <w:p w14:paraId="71D467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9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79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795" w14:textId="77777777" w:rsidR="006A3667" w:rsidRDefault="00045F32">
            <w:pPr>
              <w:jc w:val="right"/>
              <w:textAlignment w:val="bottom"/>
            </w:pPr>
            <w:r>
              <w:rPr>
                <w:rFonts w:ascii="Arial" w:eastAsia="宋体" w:hAnsi="Arial" w:cs="Arial"/>
                <w:color w:val="000000"/>
                <w:sz w:val="14"/>
                <w:szCs w:val="14"/>
              </w:rPr>
              <w:t>347 </w:t>
            </w:r>
          </w:p>
        </w:tc>
        <w:tc>
          <w:tcPr>
            <w:tcW w:w="0" w:type="auto"/>
            <w:shd w:val="clear" w:color="auto" w:fill="CCEEFF"/>
            <w:tcMar>
              <w:top w:w="40" w:type="dxa"/>
              <w:left w:w="0" w:type="dxa"/>
              <w:bottom w:w="40" w:type="dxa"/>
              <w:right w:w="20" w:type="dxa"/>
            </w:tcMar>
            <w:vAlign w:val="bottom"/>
          </w:tcPr>
          <w:p w14:paraId="71D467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9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79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799"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679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9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79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79D" w14:textId="77777777" w:rsidR="006A3667" w:rsidRDefault="00045F32">
            <w:pPr>
              <w:jc w:val="right"/>
              <w:textAlignment w:val="bottom"/>
            </w:pPr>
            <w:r>
              <w:rPr>
                <w:rFonts w:ascii="Arial" w:eastAsia="宋体" w:hAnsi="Arial" w:cs="Arial"/>
                <w:color w:val="000000"/>
                <w:sz w:val="14"/>
                <w:szCs w:val="14"/>
              </w:rPr>
              <w:t>37 </w:t>
            </w:r>
          </w:p>
        </w:tc>
        <w:tc>
          <w:tcPr>
            <w:tcW w:w="0" w:type="auto"/>
            <w:shd w:val="clear" w:color="auto" w:fill="CCEEFF"/>
            <w:tcMar>
              <w:top w:w="40" w:type="dxa"/>
              <w:left w:w="0" w:type="dxa"/>
              <w:bottom w:w="40" w:type="dxa"/>
              <w:right w:w="20" w:type="dxa"/>
            </w:tcMar>
            <w:vAlign w:val="bottom"/>
          </w:tcPr>
          <w:p w14:paraId="71D467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9F" w14:textId="77777777" w:rsidR="006A3667" w:rsidRDefault="006A3667">
            <w:pPr>
              <w:rPr>
                <w:rFonts w:ascii="宋体"/>
              </w:rPr>
            </w:pPr>
          </w:p>
        </w:tc>
        <w:tc>
          <w:tcPr>
            <w:tcW w:w="0" w:type="auto"/>
            <w:shd w:val="clear" w:color="auto" w:fill="auto"/>
            <w:vAlign w:val="bottom"/>
          </w:tcPr>
          <w:p w14:paraId="71D467A0" w14:textId="77777777" w:rsidR="006A3667" w:rsidRDefault="006A3667">
            <w:pPr>
              <w:rPr>
                <w:rFonts w:ascii="宋体"/>
                <w:vanish/>
              </w:rPr>
            </w:pPr>
          </w:p>
        </w:tc>
        <w:tc>
          <w:tcPr>
            <w:tcW w:w="0" w:type="auto"/>
            <w:shd w:val="clear" w:color="auto" w:fill="auto"/>
            <w:vAlign w:val="bottom"/>
          </w:tcPr>
          <w:p w14:paraId="71D467A1"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bottom"/>
          </w:tcPr>
          <w:p w14:paraId="71D467A2"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7A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7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A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7A6"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7A7" w14:textId="77777777" w:rsidR="006A3667" w:rsidRDefault="00045F32">
            <w:pPr>
              <w:jc w:val="right"/>
              <w:textAlignment w:val="bottom"/>
            </w:pPr>
            <w:r>
              <w:rPr>
                <w:rFonts w:ascii="Arial" w:eastAsia="宋体" w:hAnsi="Arial" w:cs="Arial"/>
                <w:color w:val="000000"/>
                <w:sz w:val="14"/>
                <w:szCs w:val="14"/>
              </w:rPr>
              <w:t>13,591 </w:t>
            </w:r>
          </w:p>
        </w:tc>
        <w:tc>
          <w:tcPr>
            <w:tcW w:w="0" w:type="auto"/>
            <w:shd w:val="clear" w:color="auto" w:fill="CCEEFF"/>
            <w:tcMar>
              <w:top w:w="40" w:type="dxa"/>
              <w:left w:w="0" w:type="dxa"/>
              <w:bottom w:w="40" w:type="dxa"/>
              <w:right w:w="20" w:type="dxa"/>
            </w:tcMar>
            <w:vAlign w:val="bottom"/>
          </w:tcPr>
          <w:p w14:paraId="71D467A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A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7AA"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7AB" w14:textId="77777777" w:rsidR="006A3667" w:rsidRDefault="00045F32">
            <w:pPr>
              <w:jc w:val="right"/>
              <w:textAlignment w:val="bottom"/>
            </w:pPr>
            <w:r>
              <w:rPr>
                <w:rFonts w:ascii="Arial" w:eastAsia="宋体" w:hAnsi="Arial" w:cs="Arial"/>
                <w:color w:val="000000"/>
                <w:sz w:val="14"/>
                <w:szCs w:val="14"/>
              </w:rPr>
              <w:t>16,024 </w:t>
            </w:r>
          </w:p>
        </w:tc>
        <w:tc>
          <w:tcPr>
            <w:tcW w:w="0" w:type="auto"/>
            <w:shd w:val="clear" w:color="auto" w:fill="CCEEFF"/>
            <w:tcMar>
              <w:top w:w="40" w:type="dxa"/>
              <w:left w:w="0" w:type="dxa"/>
              <w:bottom w:w="40" w:type="dxa"/>
              <w:right w:w="20" w:type="dxa"/>
            </w:tcMar>
            <w:vAlign w:val="bottom"/>
          </w:tcPr>
          <w:p w14:paraId="71D467AC" w14:textId="77777777" w:rsidR="006A3667" w:rsidRDefault="006A3667">
            <w:pPr>
              <w:jc w:val="right"/>
              <w:rPr>
                <w:rFonts w:ascii="宋体"/>
              </w:rPr>
            </w:pPr>
          </w:p>
        </w:tc>
      </w:tr>
      <w:tr w:rsidR="006A3667" w14:paraId="71D467C8" w14:textId="77777777">
        <w:tc>
          <w:tcPr>
            <w:tcW w:w="0" w:type="auto"/>
            <w:gridSpan w:val="3"/>
            <w:shd w:val="clear" w:color="auto" w:fill="FFFFFF"/>
            <w:tcMar>
              <w:top w:w="40" w:type="dxa"/>
              <w:left w:w="380" w:type="dxa"/>
              <w:bottom w:w="40" w:type="dxa"/>
              <w:right w:w="20" w:type="dxa"/>
            </w:tcMar>
            <w:vAlign w:val="bottom"/>
          </w:tcPr>
          <w:p w14:paraId="71D467AE" w14:textId="77777777" w:rsidR="006A3667" w:rsidRDefault="00045F32">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1D467AF" w14:textId="77777777" w:rsidR="006A3667" w:rsidRDefault="00045F32">
            <w:pPr>
              <w:jc w:val="right"/>
              <w:textAlignment w:val="bottom"/>
            </w:pPr>
            <w:r>
              <w:rPr>
                <w:rFonts w:ascii="Arial" w:eastAsia="宋体" w:hAnsi="Arial" w:cs="Arial"/>
                <w:color w:val="000000"/>
                <w:sz w:val="14"/>
                <w:szCs w:val="14"/>
              </w:rPr>
              <w:t>1,096 </w:t>
            </w:r>
          </w:p>
        </w:tc>
        <w:tc>
          <w:tcPr>
            <w:tcW w:w="0" w:type="auto"/>
            <w:shd w:val="clear" w:color="auto" w:fill="FFFFFF"/>
            <w:tcMar>
              <w:top w:w="40" w:type="dxa"/>
              <w:left w:w="0" w:type="dxa"/>
              <w:bottom w:w="40" w:type="dxa"/>
              <w:right w:w="20" w:type="dxa"/>
            </w:tcMar>
            <w:vAlign w:val="bottom"/>
          </w:tcPr>
          <w:p w14:paraId="71D467B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B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B2" w14:textId="77777777" w:rsidR="006A3667" w:rsidRDefault="00045F32">
            <w:pPr>
              <w:jc w:val="right"/>
              <w:textAlignment w:val="bottom"/>
            </w:pPr>
            <w:r>
              <w:rPr>
                <w:rFonts w:ascii="Arial" w:eastAsia="宋体" w:hAnsi="Arial" w:cs="Arial"/>
                <w:color w:val="000000"/>
                <w:sz w:val="14"/>
                <w:szCs w:val="14"/>
              </w:rPr>
              <w:t>351 </w:t>
            </w:r>
          </w:p>
        </w:tc>
        <w:tc>
          <w:tcPr>
            <w:tcW w:w="0" w:type="auto"/>
            <w:shd w:val="clear" w:color="auto" w:fill="FFFFFF"/>
            <w:tcMar>
              <w:top w:w="40" w:type="dxa"/>
              <w:left w:w="0" w:type="dxa"/>
              <w:bottom w:w="40" w:type="dxa"/>
              <w:right w:w="20" w:type="dxa"/>
            </w:tcMar>
            <w:vAlign w:val="bottom"/>
          </w:tcPr>
          <w:p w14:paraId="71D467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B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B5" w14:textId="77777777" w:rsidR="006A3667" w:rsidRDefault="00045F32">
            <w:pPr>
              <w:jc w:val="right"/>
              <w:textAlignment w:val="bottom"/>
            </w:pPr>
            <w:r>
              <w:rPr>
                <w:rFonts w:ascii="Arial" w:eastAsia="宋体" w:hAnsi="Arial" w:cs="Arial"/>
                <w:color w:val="000000"/>
                <w:sz w:val="14"/>
                <w:szCs w:val="14"/>
              </w:rPr>
              <w:t>706 </w:t>
            </w:r>
          </w:p>
        </w:tc>
        <w:tc>
          <w:tcPr>
            <w:tcW w:w="0" w:type="auto"/>
            <w:shd w:val="clear" w:color="auto" w:fill="FFFFFF"/>
            <w:tcMar>
              <w:top w:w="40" w:type="dxa"/>
              <w:left w:w="0" w:type="dxa"/>
              <w:bottom w:w="40" w:type="dxa"/>
              <w:right w:w="20" w:type="dxa"/>
            </w:tcMar>
            <w:vAlign w:val="bottom"/>
          </w:tcPr>
          <w:p w14:paraId="71D467B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B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B8" w14:textId="77777777" w:rsidR="006A3667" w:rsidRDefault="00045F32">
            <w:pPr>
              <w:jc w:val="right"/>
              <w:textAlignment w:val="bottom"/>
            </w:pPr>
            <w:r>
              <w:rPr>
                <w:rFonts w:ascii="Arial" w:eastAsia="宋体" w:hAnsi="Arial" w:cs="Arial"/>
                <w:color w:val="000000"/>
                <w:sz w:val="14"/>
                <w:szCs w:val="14"/>
              </w:rPr>
              <w:t>425 </w:t>
            </w:r>
          </w:p>
        </w:tc>
        <w:tc>
          <w:tcPr>
            <w:tcW w:w="0" w:type="auto"/>
            <w:shd w:val="clear" w:color="auto" w:fill="FFFFFF"/>
            <w:tcMar>
              <w:top w:w="40" w:type="dxa"/>
              <w:left w:w="0" w:type="dxa"/>
              <w:bottom w:w="40" w:type="dxa"/>
              <w:right w:w="20" w:type="dxa"/>
            </w:tcMar>
            <w:vAlign w:val="bottom"/>
          </w:tcPr>
          <w:p w14:paraId="71D467B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B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BB" w14:textId="77777777" w:rsidR="006A3667" w:rsidRDefault="00045F32">
            <w:pPr>
              <w:jc w:val="right"/>
              <w:textAlignment w:val="bottom"/>
            </w:pPr>
            <w:r>
              <w:rPr>
                <w:rFonts w:ascii="Arial" w:eastAsia="宋体" w:hAnsi="Arial" w:cs="Arial"/>
                <w:color w:val="000000"/>
                <w:sz w:val="14"/>
                <w:szCs w:val="14"/>
              </w:rPr>
              <w:t>350 </w:t>
            </w:r>
          </w:p>
        </w:tc>
        <w:tc>
          <w:tcPr>
            <w:tcW w:w="0" w:type="auto"/>
            <w:shd w:val="clear" w:color="auto" w:fill="FFFFFF"/>
            <w:tcMar>
              <w:top w:w="40" w:type="dxa"/>
              <w:left w:w="0" w:type="dxa"/>
              <w:bottom w:w="40" w:type="dxa"/>
              <w:right w:w="20" w:type="dxa"/>
            </w:tcMar>
            <w:vAlign w:val="bottom"/>
          </w:tcPr>
          <w:p w14:paraId="71D467B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BD" w14:textId="77777777" w:rsidR="006A3667" w:rsidRDefault="006A3667">
            <w:pPr>
              <w:rPr>
                <w:rFonts w:ascii="宋体"/>
              </w:rPr>
            </w:pPr>
          </w:p>
        </w:tc>
        <w:tc>
          <w:tcPr>
            <w:tcW w:w="0" w:type="auto"/>
            <w:shd w:val="clear" w:color="auto" w:fill="auto"/>
            <w:vAlign w:val="bottom"/>
          </w:tcPr>
          <w:p w14:paraId="71D467BE" w14:textId="77777777" w:rsidR="006A3667" w:rsidRDefault="006A3667">
            <w:pPr>
              <w:rPr>
                <w:rFonts w:ascii="宋体"/>
                <w:vanish/>
              </w:rPr>
            </w:pPr>
          </w:p>
        </w:tc>
        <w:tc>
          <w:tcPr>
            <w:tcW w:w="0" w:type="auto"/>
            <w:shd w:val="clear" w:color="auto" w:fill="auto"/>
            <w:vAlign w:val="bottom"/>
          </w:tcPr>
          <w:p w14:paraId="71D467BF"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7C0" w14:textId="77777777" w:rsidR="006A3667" w:rsidRDefault="00045F32">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71D467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C3" w14:textId="77777777" w:rsidR="006A3667" w:rsidRDefault="00045F32">
            <w:pPr>
              <w:jc w:val="right"/>
              <w:textAlignment w:val="bottom"/>
            </w:pPr>
            <w:r>
              <w:rPr>
                <w:rFonts w:ascii="Arial" w:eastAsia="宋体" w:hAnsi="Arial" w:cs="Arial"/>
                <w:color w:val="000000"/>
                <w:sz w:val="14"/>
                <w:szCs w:val="14"/>
              </w:rPr>
              <w:t>343 </w:t>
            </w:r>
          </w:p>
        </w:tc>
        <w:tc>
          <w:tcPr>
            <w:tcW w:w="0" w:type="auto"/>
            <w:shd w:val="clear" w:color="auto" w:fill="FFFFFF"/>
            <w:tcMar>
              <w:top w:w="40" w:type="dxa"/>
              <w:left w:w="0" w:type="dxa"/>
              <w:bottom w:w="40" w:type="dxa"/>
              <w:right w:w="20" w:type="dxa"/>
            </w:tcMar>
            <w:vAlign w:val="bottom"/>
          </w:tcPr>
          <w:p w14:paraId="71D467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C6" w14:textId="77777777" w:rsidR="006A3667" w:rsidRDefault="00045F32">
            <w:pPr>
              <w:jc w:val="right"/>
              <w:textAlignment w:val="bottom"/>
            </w:pPr>
            <w:r>
              <w:rPr>
                <w:rFonts w:ascii="Arial" w:eastAsia="宋体" w:hAnsi="Arial" w:cs="Arial"/>
                <w:color w:val="000000"/>
                <w:sz w:val="14"/>
                <w:szCs w:val="14"/>
              </w:rPr>
              <w:t>3,278 </w:t>
            </w:r>
          </w:p>
        </w:tc>
        <w:tc>
          <w:tcPr>
            <w:tcW w:w="0" w:type="auto"/>
            <w:shd w:val="clear" w:color="auto" w:fill="FFFFFF"/>
            <w:tcMar>
              <w:top w:w="40" w:type="dxa"/>
              <w:left w:w="0" w:type="dxa"/>
              <w:bottom w:w="40" w:type="dxa"/>
              <w:right w:w="20" w:type="dxa"/>
            </w:tcMar>
            <w:vAlign w:val="bottom"/>
          </w:tcPr>
          <w:p w14:paraId="71D467C7" w14:textId="77777777" w:rsidR="006A3667" w:rsidRDefault="006A3667">
            <w:pPr>
              <w:jc w:val="right"/>
              <w:rPr>
                <w:rFonts w:ascii="宋体"/>
              </w:rPr>
            </w:pPr>
          </w:p>
        </w:tc>
      </w:tr>
      <w:tr w:rsidR="006A3667" w14:paraId="71D467E3" w14:textId="77777777">
        <w:tc>
          <w:tcPr>
            <w:tcW w:w="0" w:type="auto"/>
            <w:gridSpan w:val="3"/>
            <w:shd w:val="clear" w:color="auto" w:fill="CCEEFF"/>
            <w:tcMar>
              <w:top w:w="40" w:type="dxa"/>
              <w:left w:w="380" w:type="dxa"/>
              <w:bottom w:w="40" w:type="dxa"/>
              <w:right w:w="20" w:type="dxa"/>
            </w:tcMar>
            <w:vAlign w:val="bottom"/>
          </w:tcPr>
          <w:p w14:paraId="71D467C9" w14:textId="77777777" w:rsidR="006A3667" w:rsidRDefault="00045F32">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71D467C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7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C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7C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7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C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7D0" w14:textId="77777777" w:rsidR="006A3667" w:rsidRDefault="00045F32">
            <w:pPr>
              <w:jc w:val="right"/>
              <w:textAlignment w:val="bottom"/>
            </w:pPr>
            <w:r>
              <w:rPr>
                <w:rFonts w:ascii="Arial" w:eastAsia="宋体" w:hAnsi="Arial" w:cs="Arial"/>
                <w:color w:val="000000"/>
                <w:sz w:val="14"/>
                <w:szCs w:val="14"/>
              </w:rPr>
              <w:t>70 </w:t>
            </w:r>
          </w:p>
        </w:tc>
        <w:tc>
          <w:tcPr>
            <w:tcW w:w="0" w:type="auto"/>
            <w:shd w:val="clear" w:color="auto" w:fill="CCEEFF"/>
            <w:tcMar>
              <w:top w:w="40" w:type="dxa"/>
              <w:left w:w="0" w:type="dxa"/>
              <w:bottom w:w="40" w:type="dxa"/>
              <w:right w:w="20" w:type="dxa"/>
            </w:tcMar>
            <w:vAlign w:val="bottom"/>
          </w:tcPr>
          <w:p w14:paraId="71D467D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D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7D3" w14:textId="77777777" w:rsidR="006A3667" w:rsidRDefault="00045F32">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71D467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D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7D6" w14:textId="77777777" w:rsidR="006A3667" w:rsidRDefault="00045F32">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71D467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D8" w14:textId="77777777" w:rsidR="006A3667" w:rsidRDefault="006A3667">
            <w:pPr>
              <w:rPr>
                <w:rFonts w:ascii="宋体"/>
              </w:rPr>
            </w:pPr>
          </w:p>
        </w:tc>
        <w:tc>
          <w:tcPr>
            <w:tcW w:w="0" w:type="auto"/>
            <w:shd w:val="clear" w:color="auto" w:fill="auto"/>
            <w:vAlign w:val="bottom"/>
          </w:tcPr>
          <w:p w14:paraId="71D467D9" w14:textId="77777777" w:rsidR="006A3667" w:rsidRDefault="006A3667">
            <w:pPr>
              <w:rPr>
                <w:rFonts w:ascii="宋体"/>
                <w:vanish/>
              </w:rPr>
            </w:pPr>
          </w:p>
        </w:tc>
        <w:tc>
          <w:tcPr>
            <w:tcW w:w="0" w:type="auto"/>
            <w:shd w:val="clear" w:color="auto" w:fill="auto"/>
            <w:vAlign w:val="bottom"/>
          </w:tcPr>
          <w:p w14:paraId="71D467DA"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67D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7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D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7D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7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7E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7E1" w14:textId="77777777" w:rsidR="006A3667" w:rsidRDefault="00045F32">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71D467E2" w14:textId="77777777" w:rsidR="006A3667" w:rsidRDefault="006A3667">
            <w:pPr>
              <w:jc w:val="right"/>
              <w:rPr>
                <w:rFonts w:ascii="宋体"/>
              </w:rPr>
            </w:pPr>
          </w:p>
        </w:tc>
      </w:tr>
      <w:tr w:rsidR="006A3667" w14:paraId="71D467FE" w14:textId="77777777">
        <w:tc>
          <w:tcPr>
            <w:tcW w:w="0" w:type="auto"/>
            <w:gridSpan w:val="3"/>
            <w:shd w:val="clear" w:color="auto" w:fill="FFFFFF"/>
            <w:tcMar>
              <w:top w:w="40" w:type="dxa"/>
              <w:left w:w="380" w:type="dxa"/>
              <w:bottom w:w="40" w:type="dxa"/>
              <w:right w:w="20" w:type="dxa"/>
            </w:tcMar>
            <w:vAlign w:val="bottom"/>
          </w:tcPr>
          <w:p w14:paraId="71D467E4" w14:textId="77777777" w:rsidR="006A3667" w:rsidRDefault="00045F32">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71D467E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7E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E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E8" w14:textId="77777777" w:rsidR="006A3667" w:rsidRDefault="00045F32">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71D467E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E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EB" w14:textId="77777777" w:rsidR="006A3667" w:rsidRDefault="00045F32">
            <w:pPr>
              <w:jc w:val="right"/>
              <w:textAlignment w:val="bottom"/>
            </w:pPr>
            <w:r>
              <w:rPr>
                <w:rFonts w:ascii="Arial" w:eastAsia="宋体" w:hAnsi="Arial" w:cs="Arial"/>
                <w:color w:val="000000"/>
                <w:sz w:val="14"/>
                <w:szCs w:val="14"/>
              </w:rPr>
              <w:t>71 </w:t>
            </w:r>
          </w:p>
        </w:tc>
        <w:tc>
          <w:tcPr>
            <w:tcW w:w="0" w:type="auto"/>
            <w:shd w:val="clear" w:color="auto" w:fill="FFFFFF"/>
            <w:tcMar>
              <w:top w:w="40" w:type="dxa"/>
              <w:left w:w="0" w:type="dxa"/>
              <w:bottom w:w="40" w:type="dxa"/>
              <w:right w:w="20" w:type="dxa"/>
            </w:tcMar>
            <w:vAlign w:val="bottom"/>
          </w:tcPr>
          <w:p w14:paraId="71D467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E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EE" w14:textId="77777777" w:rsidR="006A3667" w:rsidRDefault="00045F32">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71D467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F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F1" w14:textId="77777777" w:rsidR="006A3667" w:rsidRDefault="00045F32">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71D467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F3" w14:textId="77777777" w:rsidR="006A3667" w:rsidRDefault="006A3667">
            <w:pPr>
              <w:rPr>
                <w:rFonts w:ascii="宋体"/>
              </w:rPr>
            </w:pPr>
          </w:p>
        </w:tc>
        <w:tc>
          <w:tcPr>
            <w:tcW w:w="0" w:type="auto"/>
            <w:shd w:val="clear" w:color="auto" w:fill="auto"/>
            <w:vAlign w:val="bottom"/>
          </w:tcPr>
          <w:p w14:paraId="71D467F4" w14:textId="77777777" w:rsidR="006A3667" w:rsidRDefault="006A3667">
            <w:pPr>
              <w:rPr>
                <w:rFonts w:ascii="宋体"/>
                <w:vanish/>
              </w:rPr>
            </w:pPr>
          </w:p>
        </w:tc>
        <w:tc>
          <w:tcPr>
            <w:tcW w:w="0" w:type="auto"/>
            <w:shd w:val="clear" w:color="auto" w:fill="auto"/>
            <w:vAlign w:val="bottom"/>
          </w:tcPr>
          <w:p w14:paraId="71D467F5"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7F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7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F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F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7F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7F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7FC" w14:textId="77777777" w:rsidR="006A3667" w:rsidRDefault="00045F32">
            <w:pPr>
              <w:jc w:val="right"/>
              <w:textAlignment w:val="bottom"/>
            </w:pPr>
            <w:r>
              <w:rPr>
                <w:rFonts w:ascii="Arial" w:eastAsia="宋体" w:hAnsi="Arial" w:cs="Arial"/>
                <w:color w:val="000000"/>
                <w:sz w:val="14"/>
                <w:szCs w:val="14"/>
              </w:rPr>
              <w:t>140 </w:t>
            </w:r>
          </w:p>
        </w:tc>
        <w:tc>
          <w:tcPr>
            <w:tcW w:w="0" w:type="auto"/>
            <w:shd w:val="clear" w:color="auto" w:fill="FFFFFF"/>
            <w:tcMar>
              <w:top w:w="40" w:type="dxa"/>
              <w:left w:w="0" w:type="dxa"/>
              <w:bottom w:w="40" w:type="dxa"/>
              <w:right w:w="20" w:type="dxa"/>
            </w:tcMar>
            <w:vAlign w:val="bottom"/>
          </w:tcPr>
          <w:p w14:paraId="71D467FD" w14:textId="77777777" w:rsidR="006A3667" w:rsidRDefault="006A3667">
            <w:pPr>
              <w:jc w:val="right"/>
              <w:rPr>
                <w:rFonts w:ascii="宋体"/>
              </w:rPr>
            </w:pPr>
          </w:p>
        </w:tc>
      </w:tr>
      <w:tr w:rsidR="006A3667" w14:paraId="71D46811" w14:textId="77777777">
        <w:trPr>
          <w:hidden/>
        </w:trPr>
        <w:tc>
          <w:tcPr>
            <w:tcW w:w="0" w:type="auto"/>
            <w:gridSpan w:val="3"/>
            <w:shd w:val="clear" w:color="auto" w:fill="auto"/>
            <w:vAlign w:val="bottom"/>
          </w:tcPr>
          <w:p w14:paraId="71D467FF" w14:textId="77777777" w:rsidR="006A3667" w:rsidRDefault="006A3667">
            <w:pPr>
              <w:rPr>
                <w:rFonts w:ascii="宋体"/>
                <w:vanish/>
              </w:rPr>
            </w:pPr>
          </w:p>
        </w:tc>
        <w:tc>
          <w:tcPr>
            <w:tcW w:w="0" w:type="auto"/>
            <w:gridSpan w:val="3"/>
            <w:shd w:val="clear" w:color="auto" w:fill="auto"/>
            <w:vAlign w:val="bottom"/>
          </w:tcPr>
          <w:p w14:paraId="71D46800" w14:textId="77777777" w:rsidR="006A3667" w:rsidRDefault="006A3667">
            <w:pPr>
              <w:rPr>
                <w:rFonts w:ascii="宋体"/>
                <w:vanish/>
              </w:rPr>
            </w:pPr>
          </w:p>
        </w:tc>
        <w:tc>
          <w:tcPr>
            <w:tcW w:w="0" w:type="auto"/>
            <w:gridSpan w:val="3"/>
            <w:shd w:val="clear" w:color="auto" w:fill="auto"/>
            <w:vAlign w:val="bottom"/>
          </w:tcPr>
          <w:p w14:paraId="71D46801" w14:textId="77777777" w:rsidR="006A3667" w:rsidRDefault="006A3667">
            <w:pPr>
              <w:rPr>
                <w:rFonts w:ascii="宋体"/>
                <w:vanish/>
              </w:rPr>
            </w:pPr>
          </w:p>
        </w:tc>
        <w:tc>
          <w:tcPr>
            <w:tcW w:w="0" w:type="auto"/>
            <w:gridSpan w:val="3"/>
            <w:shd w:val="clear" w:color="auto" w:fill="auto"/>
            <w:vAlign w:val="bottom"/>
          </w:tcPr>
          <w:p w14:paraId="71D46802" w14:textId="77777777" w:rsidR="006A3667" w:rsidRDefault="006A3667">
            <w:pPr>
              <w:rPr>
                <w:rFonts w:ascii="宋体"/>
                <w:vanish/>
              </w:rPr>
            </w:pPr>
          </w:p>
        </w:tc>
        <w:tc>
          <w:tcPr>
            <w:tcW w:w="0" w:type="auto"/>
            <w:gridSpan w:val="3"/>
            <w:shd w:val="clear" w:color="auto" w:fill="auto"/>
            <w:vAlign w:val="bottom"/>
          </w:tcPr>
          <w:p w14:paraId="71D46803" w14:textId="77777777" w:rsidR="006A3667" w:rsidRDefault="006A3667">
            <w:pPr>
              <w:rPr>
                <w:rFonts w:ascii="宋体"/>
                <w:vanish/>
              </w:rPr>
            </w:pPr>
          </w:p>
        </w:tc>
        <w:tc>
          <w:tcPr>
            <w:tcW w:w="0" w:type="auto"/>
            <w:gridSpan w:val="3"/>
            <w:shd w:val="clear" w:color="auto" w:fill="auto"/>
            <w:vAlign w:val="bottom"/>
          </w:tcPr>
          <w:p w14:paraId="71D46804" w14:textId="77777777" w:rsidR="006A3667" w:rsidRDefault="006A3667">
            <w:pPr>
              <w:rPr>
                <w:rFonts w:ascii="宋体"/>
                <w:vanish/>
              </w:rPr>
            </w:pPr>
          </w:p>
        </w:tc>
        <w:tc>
          <w:tcPr>
            <w:tcW w:w="0" w:type="auto"/>
            <w:gridSpan w:val="3"/>
            <w:shd w:val="clear" w:color="auto" w:fill="auto"/>
            <w:vAlign w:val="bottom"/>
          </w:tcPr>
          <w:p w14:paraId="71D46805" w14:textId="77777777" w:rsidR="006A3667" w:rsidRDefault="006A3667">
            <w:pPr>
              <w:rPr>
                <w:rFonts w:ascii="宋体"/>
                <w:vanish/>
              </w:rPr>
            </w:pPr>
          </w:p>
        </w:tc>
        <w:tc>
          <w:tcPr>
            <w:tcW w:w="0" w:type="auto"/>
            <w:gridSpan w:val="3"/>
            <w:shd w:val="clear" w:color="auto" w:fill="auto"/>
            <w:vAlign w:val="bottom"/>
          </w:tcPr>
          <w:p w14:paraId="71D46806" w14:textId="77777777" w:rsidR="006A3667" w:rsidRDefault="006A3667">
            <w:pPr>
              <w:rPr>
                <w:rFonts w:ascii="宋体"/>
                <w:vanish/>
              </w:rPr>
            </w:pPr>
          </w:p>
        </w:tc>
        <w:tc>
          <w:tcPr>
            <w:tcW w:w="0" w:type="auto"/>
            <w:gridSpan w:val="3"/>
            <w:shd w:val="clear" w:color="auto" w:fill="auto"/>
            <w:vAlign w:val="bottom"/>
          </w:tcPr>
          <w:p w14:paraId="71D46807" w14:textId="77777777" w:rsidR="006A3667" w:rsidRDefault="006A3667">
            <w:pPr>
              <w:rPr>
                <w:rFonts w:ascii="宋体"/>
                <w:vanish/>
              </w:rPr>
            </w:pPr>
          </w:p>
        </w:tc>
        <w:tc>
          <w:tcPr>
            <w:tcW w:w="0" w:type="auto"/>
            <w:gridSpan w:val="3"/>
            <w:shd w:val="clear" w:color="auto" w:fill="auto"/>
            <w:vAlign w:val="bottom"/>
          </w:tcPr>
          <w:p w14:paraId="71D46808" w14:textId="77777777" w:rsidR="006A3667" w:rsidRDefault="006A3667">
            <w:pPr>
              <w:rPr>
                <w:rFonts w:ascii="宋体"/>
                <w:vanish/>
              </w:rPr>
            </w:pPr>
          </w:p>
        </w:tc>
        <w:tc>
          <w:tcPr>
            <w:tcW w:w="0" w:type="auto"/>
            <w:gridSpan w:val="3"/>
            <w:shd w:val="clear" w:color="auto" w:fill="auto"/>
            <w:vAlign w:val="bottom"/>
          </w:tcPr>
          <w:p w14:paraId="71D46809" w14:textId="77777777" w:rsidR="006A3667" w:rsidRDefault="006A3667">
            <w:pPr>
              <w:rPr>
                <w:rFonts w:ascii="宋体"/>
                <w:vanish/>
              </w:rPr>
            </w:pPr>
          </w:p>
        </w:tc>
        <w:tc>
          <w:tcPr>
            <w:tcW w:w="0" w:type="auto"/>
            <w:shd w:val="clear" w:color="auto" w:fill="auto"/>
            <w:vAlign w:val="bottom"/>
          </w:tcPr>
          <w:p w14:paraId="71D4680A" w14:textId="77777777" w:rsidR="006A3667" w:rsidRDefault="006A3667">
            <w:pPr>
              <w:rPr>
                <w:rFonts w:ascii="宋体"/>
                <w:vanish/>
              </w:rPr>
            </w:pPr>
          </w:p>
        </w:tc>
        <w:tc>
          <w:tcPr>
            <w:tcW w:w="0" w:type="auto"/>
            <w:shd w:val="clear" w:color="auto" w:fill="auto"/>
            <w:vAlign w:val="bottom"/>
          </w:tcPr>
          <w:p w14:paraId="71D4680B" w14:textId="77777777" w:rsidR="006A3667" w:rsidRDefault="006A3667">
            <w:pPr>
              <w:rPr>
                <w:rFonts w:ascii="宋体"/>
                <w:vanish/>
              </w:rPr>
            </w:pPr>
          </w:p>
        </w:tc>
        <w:tc>
          <w:tcPr>
            <w:tcW w:w="0" w:type="auto"/>
            <w:gridSpan w:val="3"/>
            <w:shd w:val="clear" w:color="auto" w:fill="auto"/>
            <w:vAlign w:val="bottom"/>
          </w:tcPr>
          <w:p w14:paraId="71D4680C" w14:textId="77777777" w:rsidR="006A3667" w:rsidRDefault="006A3667">
            <w:pPr>
              <w:rPr>
                <w:rFonts w:ascii="宋体"/>
                <w:vanish/>
              </w:rPr>
            </w:pPr>
          </w:p>
        </w:tc>
        <w:tc>
          <w:tcPr>
            <w:tcW w:w="0" w:type="auto"/>
            <w:gridSpan w:val="3"/>
            <w:shd w:val="clear" w:color="auto" w:fill="auto"/>
            <w:vAlign w:val="bottom"/>
          </w:tcPr>
          <w:p w14:paraId="71D4680D" w14:textId="77777777" w:rsidR="006A3667" w:rsidRDefault="006A3667">
            <w:pPr>
              <w:rPr>
                <w:rFonts w:ascii="宋体"/>
                <w:vanish/>
              </w:rPr>
            </w:pPr>
          </w:p>
        </w:tc>
        <w:tc>
          <w:tcPr>
            <w:tcW w:w="0" w:type="auto"/>
            <w:gridSpan w:val="3"/>
            <w:shd w:val="clear" w:color="auto" w:fill="auto"/>
            <w:vAlign w:val="bottom"/>
          </w:tcPr>
          <w:p w14:paraId="71D4680E" w14:textId="77777777" w:rsidR="006A3667" w:rsidRDefault="006A3667">
            <w:pPr>
              <w:rPr>
                <w:rFonts w:ascii="宋体"/>
                <w:vanish/>
              </w:rPr>
            </w:pPr>
          </w:p>
        </w:tc>
        <w:tc>
          <w:tcPr>
            <w:tcW w:w="0" w:type="auto"/>
            <w:gridSpan w:val="3"/>
            <w:shd w:val="clear" w:color="auto" w:fill="auto"/>
            <w:vAlign w:val="bottom"/>
          </w:tcPr>
          <w:p w14:paraId="71D4680F" w14:textId="77777777" w:rsidR="006A3667" w:rsidRDefault="006A3667">
            <w:pPr>
              <w:rPr>
                <w:rFonts w:ascii="宋体"/>
                <w:vanish/>
              </w:rPr>
            </w:pPr>
          </w:p>
        </w:tc>
        <w:tc>
          <w:tcPr>
            <w:tcW w:w="0" w:type="auto"/>
            <w:gridSpan w:val="3"/>
            <w:shd w:val="clear" w:color="auto" w:fill="auto"/>
            <w:vAlign w:val="bottom"/>
          </w:tcPr>
          <w:p w14:paraId="71D46810" w14:textId="77777777" w:rsidR="006A3667" w:rsidRDefault="006A3667">
            <w:pPr>
              <w:rPr>
                <w:rFonts w:ascii="宋体"/>
                <w:vanish/>
              </w:rPr>
            </w:pPr>
          </w:p>
        </w:tc>
      </w:tr>
      <w:tr w:rsidR="006A3667" w14:paraId="71D46824" w14:textId="77777777">
        <w:trPr>
          <w:hidden/>
        </w:trPr>
        <w:tc>
          <w:tcPr>
            <w:tcW w:w="0" w:type="auto"/>
            <w:gridSpan w:val="3"/>
            <w:shd w:val="clear" w:color="auto" w:fill="auto"/>
            <w:vAlign w:val="bottom"/>
          </w:tcPr>
          <w:p w14:paraId="71D46812" w14:textId="77777777" w:rsidR="006A3667" w:rsidRDefault="006A3667">
            <w:pPr>
              <w:rPr>
                <w:rFonts w:ascii="宋体"/>
                <w:vanish/>
              </w:rPr>
            </w:pPr>
          </w:p>
        </w:tc>
        <w:tc>
          <w:tcPr>
            <w:tcW w:w="0" w:type="auto"/>
            <w:gridSpan w:val="3"/>
            <w:shd w:val="clear" w:color="auto" w:fill="auto"/>
            <w:vAlign w:val="bottom"/>
          </w:tcPr>
          <w:p w14:paraId="71D46813" w14:textId="77777777" w:rsidR="006A3667" w:rsidRDefault="006A3667">
            <w:pPr>
              <w:rPr>
                <w:rFonts w:ascii="宋体"/>
                <w:vanish/>
              </w:rPr>
            </w:pPr>
          </w:p>
        </w:tc>
        <w:tc>
          <w:tcPr>
            <w:tcW w:w="0" w:type="auto"/>
            <w:gridSpan w:val="3"/>
            <w:shd w:val="clear" w:color="auto" w:fill="auto"/>
            <w:vAlign w:val="bottom"/>
          </w:tcPr>
          <w:p w14:paraId="71D46814" w14:textId="77777777" w:rsidR="006A3667" w:rsidRDefault="006A3667">
            <w:pPr>
              <w:rPr>
                <w:rFonts w:ascii="宋体"/>
                <w:vanish/>
              </w:rPr>
            </w:pPr>
          </w:p>
        </w:tc>
        <w:tc>
          <w:tcPr>
            <w:tcW w:w="0" w:type="auto"/>
            <w:gridSpan w:val="3"/>
            <w:shd w:val="clear" w:color="auto" w:fill="auto"/>
            <w:vAlign w:val="bottom"/>
          </w:tcPr>
          <w:p w14:paraId="71D46815" w14:textId="77777777" w:rsidR="006A3667" w:rsidRDefault="006A3667">
            <w:pPr>
              <w:rPr>
                <w:rFonts w:ascii="宋体"/>
                <w:vanish/>
              </w:rPr>
            </w:pPr>
          </w:p>
        </w:tc>
        <w:tc>
          <w:tcPr>
            <w:tcW w:w="0" w:type="auto"/>
            <w:gridSpan w:val="3"/>
            <w:shd w:val="clear" w:color="auto" w:fill="auto"/>
            <w:vAlign w:val="bottom"/>
          </w:tcPr>
          <w:p w14:paraId="71D46816" w14:textId="77777777" w:rsidR="006A3667" w:rsidRDefault="006A3667">
            <w:pPr>
              <w:rPr>
                <w:rFonts w:ascii="宋体"/>
                <w:vanish/>
              </w:rPr>
            </w:pPr>
          </w:p>
        </w:tc>
        <w:tc>
          <w:tcPr>
            <w:tcW w:w="0" w:type="auto"/>
            <w:gridSpan w:val="3"/>
            <w:shd w:val="clear" w:color="auto" w:fill="auto"/>
            <w:vAlign w:val="bottom"/>
          </w:tcPr>
          <w:p w14:paraId="71D46817" w14:textId="77777777" w:rsidR="006A3667" w:rsidRDefault="006A3667">
            <w:pPr>
              <w:rPr>
                <w:rFonts w:ascii="宋体"/>
                <w:vanish/>
              </w:rPr>
            </w:pPr>
          </w:p>
        </w:tc>
        <w:tc>
          <w:tcPr>
            <w:tcW w:w="0" w:type="auto"/>
            <w:gridSpan w:val="3"/>
            <w:shd w:val="clear" w:color="auto" w:fill="auto"/>
            <w:vAlign w:val="bottom"/>
          </w:tcPr>
          <w:p w14:paraId="71D46818" w14:textId="77777777" w:rsidR="006A3667" w:rsidRDefault="006A3667">
            <w:pPr>
              <w:rPr>
                <w:rFonts w:ascii="宋体"/>
                <w:vanish/>
              </w:rPr>
            </w:pPr>
          </w:p>
        </w:tc>
        <w:tc>
          <w:tcPr>
            <w:tcW w:w="0" w:type="auto"/>
            <w:gridSpan w:val="3"/>
            <w:shd w:val="clear" w:color="auto" w:fill="auto"/>
            <w:vAlign w:val="bottom"/>
          </w:tcPr>
          <w:p w14:paraId="71D46819" w14:textId="77777777" w:rsidR="006A3667" w:rsidRDefault="006A3667">
            <w:pPr>
              <w:rPr>
                <w:rFonts w:ascii="宋体"/>
                <w:vanish/>
              </w:rPr>
            </w:pPr>
          </w:p>
        </w:tc>
        <w:tc>
          <w:tcPr>
            <w:tcW w:w="0" w:type="auto"/>
            <w:gridSpan w:val="3"/>
            <w:shd w:val="clear" w:color="auto" w:fill="auto"/>
            <w:vAlign w:val="bottom"/>
          </w:tcPr>
          <w:p w14:paraId="71D4681A" w14:textId="77777777" w:rsidR="006A3667" w:rsidRDefault="006A3667">
            <w:pPr>
              <w:rPr>
                <w:rFonts w:ascii="宋体"/>
                <w:vanish/>
              </w:rPr>
            </w:pPr>
          </w:p>
        </w:tc>
        <w:tc>
          <w:tcPr>
            <w:tcW w:w="0" w:type="auto"/>
            <w:gridSpan w:val="3"/>
            <w:shd w:val="clear" w:color="auto" w:fill="auto"/>
            <w:vAlign w:val="bottom"/>
          </w:tcPr>
          <w:p w14:paraId="71D4681B" w14:textId="77777777" w:rsidR="006A3667" w:rsidRDefault="006A3667">
            <w:pPr>
              <w:rPr>
                <w:rFonts w:ascii="宋体"/>
                <w:vanish/>
              </w:rPr>
            </w:pPr>
          </w:p>
        </w:tc>
        <w:tc>
          <w:tcPr>
            <w:tcW w:w="0" w:type="auto"/>
            <w:gridSpan w:val="3"/>
            <w:shd w:val="clear" w:color="auto" w:fill="auto"/>
            <w:vAlign w:val="bottom"/>
          </w:tcPr>
          <w:p w14:paraId="71D4681C" w14:textId="77777777" w:rsidR="006A3667" w:rsidRDefault="006A3667">
            <w:pPr>
              <w:rPr>
                <w:rFonts w:ascii="宋体"/>
                <w:vanish/>
              </w:rPr>
            </w:pPr>
          </w:p>
        </w:tc>
        <w:tc>
          <w:tcPr>
            <w:tcW w:w="0" w:type="auto"/>
            <w:shd w:val="clear" w:color="auto" w:fill="auto"/>
            <w:vAlign w:val="bottom"/>
          </w:tcPr>
          <w:p w14:paraId="71D4681D" w14:textId="77777777" w:rsidR="006A3667" w:rsidRDefault="006A3667">
            <w:pPr>
              <w:rPr>
                <w:rFonts w:ascii="宋体"/>
                <w:vanish/>
              </w:rPr>
            </w:pPr>
          </w:p>
        </w:tc>
        <w:tc>
          <w:tcPr>
            <w:tcW w:w="0" w:type="auto"/>
            <w:shd w:val="clear" w:color="auto" w:fill="auto"/>
            <w:vAlign w:val="bottom"/>
          </w:tcPr>
          <w:p w14:paraId="71D4681E" w14:textId="77777777" w:rsidR="006A3667" w:rsidRDefault="006A3667">
            <w:pPr>
              <w:rPr>
                <w:rFonts w:ascii="宋体"/>
                <w:vanish/>
              </w:rPr>
            </w:pPr>
          </w:p>
        </w:tc>
        <w:tc>
          <w:tcPr>
            <w:tcW w:w="0" w:type="auto"/>
            <w:gridSpan w:val="3"/>
            <w:shd w:val="clear" w:color="auto" w:fill="auto"/>
            <w:vAlign w:val="bottom"/>
          </w:tcPr>
          <w:p w14:paraId="71D4681F" w14:textId="77777777" w:rsidR="006A3667" w:rsidRDefault="006A3667">
            <w:pPr>
              <w:rPr>
                <w:rFonts w:ascii="宋体"/>
                <w:vanish/>
              </w:rPr>
            </w:pPr>
          </w:p>
        </w:tc>
        <w:tc>
          <w:tcPr>
            <w:tcW w:w="0" w:type="auto"/>
            <w:gridSpan w:val="3"/>
            <w:shd w:val="clear" w:color="auto" w:fill="auto"/>
            <w:vAlign w:val="bottom"/>
          </w:tcPr>
          <w:p w14:paraId="71D46820" w14:textId="77777777" w:rsidR="006A3667" w:rsidRDefault="006A3667">
            <w:pPr>
              <w:rPr>
                <w:rFonts w:ascii="宋体"/>
                <w:vanish/>
              </w:rPr>
            </w:pPr>
          </w:p>
        </w:tc>
        <w:tc>
          <w:tcPr>
            <w:tcW w:w="0" w:type="auto"/>
            <w:gridSpan w:val="3"/>
            <w:shd w:val="clear" w:color="auto" w:fill="auto"/>
            <w:vAlign w:val="bottom"/>
          </w:tcPr>
          <w:p w14:paraId="71D46821" w14:textId="77777777" w:rsidR="006A3667" w:rsidRDefault="006A3667">
            <w:pPr>
              <w:rPr>
                <w:rFonts w:ascii="宋体"/>
                <w:vanish/>
              </w:rPr>
            </w:pPr>
          </w:p>
        </w:tc>
        <w:tc>
          <w:tcPr>
            <w:tcW w:w="0" w:type="auto"/>
            <w:gridSpan w:val="3"/>
            <w:shd w:val="clear" w:color="auto" w:fill="auto"/>
            <w:vAlign w:val="bottom"/>
          </w:tcPr>
          <w:p w14:paraId="71D46822" w14:textId="77777777" w:rsidR="006A3667" w:rsidRDefault="006A3667">
            <w:pPr>
              <w:rPr>
                <w:rFonts w:ascii="宋体"/>
                <w:vanish/>
              </w:rPr>
            </w:pPr>
          </w:p>
        </w:tc>
        <w:tc>
          <w:tcPr>
            <w:tcW w:w="0" w:type="auto"/>
            <w:gridSpan w:val="3"/>
            <w:shd w:val="clear" w:color="auto" w:fill="auto"/>
            <w:vAlign w:val="bottom"/>
          </w:tcPr>
          <w:p w14:paraId="71D46823" w14:textId="77777777" w:rsidR="006A3667" w:rsidRDefault="006A3667">
            <w:pPr>
              <w:rPr>
                <w:rFonts w:ascii="宋体"/>
                <w:vanish/>
              </w:rPr>
            </w:pPr>
          </w:p>
        </w:tc>
      </w:tr>
      <w:tr w:rsidR="006A3667" w14:paraId="71D46847" w14:textId="77777777">
        <w:tc>
          <w:tcPr>
            <w:tcW w:w="0" w:type="auto"/>
            <w:gridSpan w:val="3"/>
            <w:shd w:val="clear" w:color="auto" w:fill="CCEEFF"/>
            <w:tcMar>
              <w:top w:w="40" w:type="dxa"/>
              <w:left w:w="155" w:type="dxa"/>
              <w:bottom w:w="40" w:type="dxa"/>
              <w:right w:w="20" w:type="dxa"/>
            </w:tcMar>
            <w:vAlign w:val="bottom"/>
          </w:tcPr>
          <w:p w14:paraId="71D46825" w14:textId="77777777" w:rsidR="006A3667" w:rsidRDefault="00045F32">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682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827" w14:textId="77777777" w:rsidR="006A3667" w:rsidRDefault="00045F32">
            <w:pPr>
              <w:jc w:val="right"/>
              <w:textAlignment w:val="bottom"/>
            </w:pPr>
            <w:r>
              <w:rPr>
                <w:rFonts w:ascii="Arial" w:eastAsia="宋体" w:hAnsi="Arial" w:cs="Arial"/>
                <w:color w:val="000000"/>
                <w:sz w:val="14"/>
                <w:szCs w:val="14"/>
              </w:rPr>
              <w:t>3,084 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8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2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82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82B" w14:textId="77777777" w:rsidR="006A3667" w:rsidRDefault="00045F32">
            <w:pPr>
              <w:jc w:val="right"/>
              <w:textAlignment w:val="bottom"/>
            </w:pPr>
            <w:r>
              <w:rPr>
                <w:rFonts w:ascii="Arial" w:eastAsia="宋体" w:hAnsi="Arial" w:cs="Arial"/>
                <w:color w:val="000000"/>
                <w:sz w:val="14"/>
                <w:szCs w:val="14"/>
              </w:rPr>
              <w:t>415 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8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2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82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82F" w14:textId="77777777" w:rsidR="006A3667" w:rsidRDefault="00045F32">
            <w:pPr>
              <w:jc w:val="right"/>
              <w:textAlignment w:val="bottom"/>
            </w:pPr>
            <w:r>
              <w:rPr>
                <w:rFonts w:ascii="Arial" w:eastAsia="宋体" w:hAnsi="Arial" w:cs="Arial"/>
                <w:color w:val="000000"/>
                <w:sz w:val="14"/>
                <w:szCs w:val="14"/>
              </w:rPr>
              <w:t>1,194 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8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3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83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833" w14:textId="77777777" w:rsidR="006A3667" w:rsidRDefault="00045F32">
            <w:pPr>
              <w:jc w:val="right"/>
              <w:textAlignment w:val="bottom"/>
            </w:pPr>
            <w:r>
              <w:rPr>
                <w:rFonts w:ascii="Arial" w:eastAsia="宋体" w:hAnsi="Arial" w:cs="Arial"/>
                <w:color w:val="000000"/>
                <w:sz w:val="14"/>
                <w:szCs w:val="14"/>
              </w:rPr>
              <w:t>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8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3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83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837" w14:textId="77777777" w:rsidR="006A3667" w:rsidRDefault="00045F32">
            <w:pPr>
              <w:jc w:val="right"/>
              <w:textAlignment w:val="bottom"/>
            </w:pPr>
            <w:r>
              <w:rPr>
                <w:rFonts w:ascii="Arial" w:eastAsia="宋体" w:hAnsi="Arial" w:cs="Arial"/>
                <w:color w:val="000000"/>
                <w:sz w:val="14"/>
                <w:szCs w:val="14"/>
              </w:rPr>
              <w:t>414 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8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39" w14:textId="77777777" w:rsidR="006A3667" w:rsidRDefault="006A3667">
            <w:pPr>
              <w:rPr>
                <w:rFonts w:ascii="宋体"/>
              </w:rPr>
            </w:pPr>
          </w:p>
        </w:tc>
        <w:tc>
          <w:tcPr>
            <w:tcW w:w="0" w:type="auto"/>
            <w:shd w:val="clear" w:color="auto" w:fill="auto"/>
            <w:vAlign w:val="bottom"/>
          </w:tcPr>
          <w:p w14:paraId="71D4683A" w14:textId="77777777" w:rsidR="006A3667" w:rsidRDefault="006A3667">
            <w:pPr>
              <w:rPr>
                <w:rFonts w:ascii="宋体"/>
                <w:vanish/>
              </w:rPr>
            </w:pPr>
          </w:p>
        </w:tc>
        <w:tc>
          <w:tcPr>
            <w:tcW w:w="0" w:type="auto"/>
            <w:shd w:val="clear" w:color="auto" w:fill="auto"/>
            <w:vAlign w:val="bottom"/>
          </w:tcPr>
          <w:p w14:paraId="71D4683B"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83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83D" w14:textId="77777777" w:rsidR="006A3667" w:rsidRDefault="00045F32">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8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3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84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841" w14:textId="77777777" w:rsidR="006A3667" w:rsidRDefault="00045F32">
            <w:pPr>
              <w:jc w:val="right"/>
              <w:textAlignment w:val="bottom"/>
            </w:pPr>
            <w:r>
              <w:rPr>
                <w:rFonts w:ascii="Arial" w:eastAsia="宋体" w:hAnsi="Arial" w:cs="Arial"/>
                <w:color w:val="000000"/>
                <w:sz w:val="14"/>
                <w:szCs w:val="14"/>
              </w:rPr>
              <w:t>13,934 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8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4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84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845" w14:textId="77777777" w:rsidR="006A3667" w:rsidRDefault="00045F32">
            <w:pPr>
              <w:jc w:val="right"/>
              <w:textAlignment w:val="bottom"/>
            </w:pPr>
            <w:r>
              <w:rPr>
                <w:rFonts w:ascii="Arial" w:eastAsia="宋体" w:hAnsi="Arial" w:cs="Arial"/>
                <w:color w:val="000000"/>
                <w:sz w:val="14"/>
                <w:szCs w:val="14"/>
              </w:rPr>
              <w:t>19,560 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846" w14:textId="77777777" w:rsidR="006A3667" w:rsidRDefault="006A3667">
            <w:pPr>
              <w:jc w:val="right"/>
              <w:rPr>
                <w:rFonts w:ascii="宋体"/>
              </w:rPr>
            </w:pPr>
          </w:p>
        </w:tc>
      </w:tr>
      <w:tr w:rsidR="006A3667" w14:paraId="71D4685A" w14:textId="77777777">
        <w:tc>
          <w:tcPr>
            <w:tcW w:w="0" w:type="auto"/>
            <w:gridSpan w:val="3"/>
            <w:shd w:val="clear" w:color="auto" w:fill="FFFFFF"/>
            <w:tcMar>
              <w:top w:w="40" w:type="dxa"/>
              <w:left w:w="155" w:type="dxa"/>
              <w:bottom w:w="40" w:type="dxa"/>
              <w:right w:w="20" w:type="dxa"/>
            </w:tcMar>
            <w:vAlign w:val="bottom"/>
          </w:tcPr>
          <w:p w14:paraId="71D46848" w14:textId="77777777" w:rsidR="006A3667" w:rsidRDefault="00045F32">
            <w:pPr>
              <w:textAlignment w:val="bottom"/>
            </w:pPr>
            <w:r>
              <w:rPr>
                <w:rFonts w:ascii="Arial" w:eastAsia="宋体" w:hAnsi="Arial" w:cs="Arial"/>
                <w:color w:val="000000"/>
                <w:sz w:val="14"/>
                <w:szCs w:val="14"/>
              </w:rPr>
              <w:t>Commercial real estate: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84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84A"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8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84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84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84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84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85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85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852" w14:textId="77777777" w:rsidR="006A3667" w:rsidRDefault="006A3667">
            <w:pPr>
              <w:rPr>
                <w:rFonts w:ascii="宋体"/>
              </w:rPr>
            </w:pPr>
          </w:p>
        </w:tc>
        <w:tc>
          <w:tcPr>
            <w:tcW w:w="0" w:type="auto"/>
            <w:shd w:val="clear" w:color="auto" w:fill="auto"/>
            <w:vAlign w:val="bottom"/>
          </w:tcPr>
          <w:p w14:paraId="71D46853" w14:textId="77777777" w:rsidR="006A3667" w:rsidRDefault="006A3667">
            <w:pPr>
              <w:rPr>
                <w:rFonts w:ascii="宋体"/>
                <w:vanish/>
              </w:rPr>
            </w:pPr>
          </w:p>
        </w:tc>
        <w:tc>
          <w:tcPr>
            <w:tcW w:w="0" w:type="auto"/>
            <w:shd w:val="clear" w:color="auto" w:fill="auto"/>
            <w:vAlign w:val="bottom"/>
          </w:tcPr>
          <w:p w14:paraId="71D46854" w14:textId="77777777" w:rsidR="006A3667" w:rsidRDefault="006A3667">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85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856"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85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858"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859" w14:textId="77777777" w:rsidR="006A3667" w:rsidRDefault="006A3667">
            <w:pPr>
              <w:rPr>
                <w:rFonts w:ascii="宋体"/>
              </w:rPr>
            </w:pPr>
          </w:p>
        </w:tc>
      </w:tr>
      <w:tr w:rsidR="006A3667" w14:paraId="71D4686D" w14:textId="77777777">
        <w:tc>
          <w:tcPr>
            <w:tcW w:w="0" w:type="auto"/>
            <w:gridSpan w:val="3"/>
            <w:shd w:val="clear" w:color="auto" w:fill="CCEEFF"/>
            <w:tcMar>
              <w:top w:w="40" w:type="dxa"/>
              <w:left w:w="245" w:type="dxa"/>
              <w:bottom w:w="40" w:type="dxa"/>
              <w:right w:w="20" w:type="dxa"/>
            </w:tcMar>
            <w:vAlign w:val="bottom"/>
          </w:tcPr>
          <w:p w14:paraId="71D4685B" w14:textId="77777777" w:rsidR="006A3667" w:rsidRDefault="00045F32">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71D4685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5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5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5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5" w14:textId="77777777" w:rsidR="006A3667" w:rsidRDefault="006A3667">
            <w:pPr>
              <w:rPr>
                <w:rFonts w:ascii="宋体"/>
              </w:rPr>
            </w:pPr>
          </w:p>
        </w:tc>
        <w:tc>
          <w:tcPr>
            <w:tcW w:w="0" w:type="auto"/>
            <w:shd w:val="clear" w:color="auto" w:fill="auto"/>
            <w:vAlign w:val="bottom"/>
          </w:tcPr>
          <w:p w14:paraId="71D46866" w14:textId="77777777" w:rsidR="006A3667" w:rsidRDefault="006A3667">
            <w:pPr>
              <w:rPr>
                <w:rFonts w:ascii="宋体"/>
                <w:vanish/>
              </w:rPr>
            </w:pPr>
          </w:p>
        </w:tc>
        <w:tc>
          <w:tcPr>
            <w:tcW w:w="0" w:type="auto"/>
            <w:shd w:val="clear" w:color="auto" w:fill="auto"/>
            <w:vAlign w:val="bottom"/>
          </w:tcPr>
          <w:p w14:paraId="71D46867"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686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86C" w14:textId="77777777" w:rsidR="006A3667" w:rsidRDefault="006A3667">
            <w:pPr>
              <w:rPr>
                <w:rFonts w:ascii="宋体"/>
              </w:rPr>
            </w:pPr>
          </w:p>
        </w:tc>
      </w:tr>
      <w:tr w:rsidR="006A3667" w14:paraId="71D46890" w14:textId="77777777">
        <w:tc>
          <w:tcPr>
            <w:tcW w:w="0" w:type="auto"/>
            <w:gridSpan w:val="3"/>
            <w:shd w:val="clear" w:color="auto" w:fill="FFFFFF"/>
            <w:tcMar>
              <w:top w:w="40" w:type="dxa"/>
              <w:left w:w="380" w:type="dxa"/>
              <w:bottom w:w="40" w:type="dxa"/>
              <w:right w:w="20" w:type="dxa"/>
            </w:tcMar>
            <w:vAlign w:val="bottom"/>
          </w:tcPr>
          <w:p w14:paraId="71D4686E" w14:textId="77777777" w:rsidR="006A3667" w:rsidRDefault="00045F32">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71D4686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870" w14:textId="77777777" w:rsidR="006A3667" w:rsidRDefault="00045F32">
            <w:pPr>
              <w:jc w:val="right"/>
              <w:textAlignment w:val="bottom"/>
            </w:pPr>
            <w:r>
              <w:rPr>
                <w:rFonts w:ascii="Arial" w:eastAsia="宋体" w:hAnsi="Arial" w:cs="Arial"/>
                <w:color w:val="000000"/>
                <w:sz w:val="14"/>
                <w:szCs w:val="14"/>
              </w:rPr>
              <w:t>580 </w:t>
            </w:r>
          </w:p>
        </w:tc>
        <w:tc>
          <w:tcPr>
            <w:tcW w:w="0" w:type="auto"/>
            <w:shd w:val="clear" w:color="auto" w:fill="FFFFFF"/>
            <w:tcMar>
              <w:top w:w="40" w:type="dxa"/>
              <w:left w:w="0" w:type="dxa"/>
              <w:bottom w:w="40" w:type="dxa"/>
              <w:right w:w="20" w:type="dxa"/>
            </w:tcMar>
            <w:vAlign w:val="bottom"/>
          </w:tcPr>
          <w:p w14:paraId="71D4687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72"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87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874" w14:textId="77777777" w:rsidR="006A3667" w:rsidRDefault="00045F32">
            <w:pPr>
              <w:jc w:val="right"/>
              <w:textAlignment w:val="bottom"/>
            </w:pPr>
            <w:r>
              <w:rPr>
                <w:rFonts w:ascii="Arial" w:eastAsia="宋体" w:hAnsi="Arial" w:cs="Arial"/>
                <w:color w:val="000000"/>
                <w:sz w:val="14"/>
                <w:szCs w:val="14"/>
              </w:rPr>
              <w:t>129 </w:t>
            </w:r>
          </w:p>
        </w:tc>
        <w:tc>
          <w:tcPr>
            <w:tcW w:w="0" w:type="auto"/>
            <w:shd w:val="clear" w:color="auto" w:fill="FFFFFF"/>
            <w:tcMar>
              <w:top w:w="40" w:type="dxa"/>
              <w:left w:w="0" w:type="dxa"/>
              <w:bottom w:w="40" w:type="dxa"/>
              <w:right w:w="20" w:type="dxa"/>
            </w:tcMar>
            <w:vAlign w:val="bottom"/>
          </w:tcPr>
          <w:p w14:paraId="71D4687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76"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87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878" w14:textId="77777777" w:rsidR="006A3667" w:rsidRDefault="00045F32">
            <w:pPr>
              <w:jc w:val="right"/>
              <w:textAlignment w:val="bottom"/>
            </w:pPr>
            <w:r>
              <w:rPr>
                <w:rFonts w:ascii="Arial" w:eastAsia="宋体" w:hAnsi="Arial" w:cs="Arial"/>
                <w:color w:val="000000"/>
                <w:sz w:val="14"/>
                <w:szCs w:val="14"/>
              </w:rPr>
              <w:t>383 </w:t>
            </w:r>
          </w:p>
        </w:tc>
        <w:tc>
          <w:tcPr>
            <w:tcW w:w="0" w:type="auto"/>
            <w:shd w:val="clear" w:color="auto" w:fill="FFFFFF"/>
            <w:tcMar>
              <w:top w:w="40" w:type="dxa"/>
              <w:left w:w="0" w:type="dxa"/>
              <w:bottom w:w="40" w:type="dxa"/>
              <w:right w:w="20" w:type="dxa"/>
            </w:tcMar>
            <w:vAlign w:val="bottom"/>
          </w:tcPr>
          <w:p w14:paraId="71D4687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7A"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87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87C" w14:textId="77777777" w:rsidR="006A3667" w:rsidRDefault="00045F32">
            <w:pPr>
              <w:jc w:val="right"/>
              <w:textAlignment w:val="bottom"/>
            </w:pPr>
            <w:r>
              <w:rPr>
                <w:rFonts w:ascii="Arial" w:eastAsia="宋体" w:hAnsi="Arial" w:cs="Arial"/>
                <w:color w:val="000000"/>
                <w:sz w:val="14"/>
                <w:szCs w:val="14"/>
              </w:rPr>
              <w:t>657 </w:t>
            </w:r>
          </w:p>
        </w:tc>
        <w:tc>
          <w:tcPr>
            <w:tcW w:w="0" w:type="auto"/>
            <w:shd w:val="clear" w:color="auto" w:fill="FFFFFF"/>
            <w:tcMar>
              <w:top w:w="40" w:type="dxa"/>
              <w:left w:w="0" w:type="dxa"/>
              <w:bottom w:w="40" w:type="dxa"/>
              <w:right w:w="20" w:type="dxa"/>
            </w:tcMar>
            <w:vAlign w:val="bottom"/>
          </w:tcPr>
          <w:p w14:paraId="71D4687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7E"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87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880" w14:textId="77777777" w:rsidR="006A3667" w:rsidRDefault="00045F32">
            <w:pPr>
              <w:jc w:val="right"/>
              <w:textAlignment w:val="bottom"/>
            </w:pPr>
            <w:r>
              <w:rPr>
                <w:rFonts w:ascii="Arial" w:eastAsia="宋体" w:hAnsi="Arial" w:cs="Arial"/>
                <w:color w:val="000000"/>
                <w:sz w:val="14"/>
                <w:szCs w:val="14"/>
              </w:rPr>
              <w:t>276 </w:t>
            </w:r>
          </w:p>
        </w:tc>
        <w:tc>
          <w:tcPr>
            <w:tcW w:w="0" w:type="auto"/>
            <w:shd w:val="clear" w:color="auto" w:fill="FFFFFF"/>
            <w:tcMar>
              <w:top w:w="40" w:type="dxa"/>
              <w:left w:w="0" w:type="dxa"/>
              <w:bottom w:w="40" w:type="dxa"/>
              <w:right w:w="20" w:type="dxa"/>
            </w:tcMar>
            <w:vAlign w:val="bottom"/>
          </w:tcPr>
          <w:p w14:paraId="71D4688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82" w14:textId="77777777" w:rsidR="006A3667" w:rsidRDefault="006A3667">
            <w:pPr>
              <w:rPr>
                <w:rFonts w:ascii="宋体"/>
              </w:rPr>
            </w:pPr>
          </w:p>
        </w:tc>
        <w:tc>
          <w:tcPr>
            <w:tcW w:w="0" w:type="auto"/>
            <w:shd w:val="clear" w:color="auto" w:fill="auto"/>
            <w:vAlign w:val="bottom"/>
          </w:tcPr>
          <w:p w14:paraId="71D46883" w14:textId="77777777" w:rsidR="006A3667" w:rsidRDefault="006A3667">
            <w:pPr>
              <w:rPr>
                <w:rFonts w:ascii="宋体"/>
                <w:vanish/>
              </w:rPr>
            </w:pPr>
          </w:p>
        </w:tc>
        <w:tc>
          <w:tcPr>
            <w:tcW w:w="0" w:type="auto"/>
            <w:shd w:val="clear" w:color="auto" w:fill="auto"/>
            <w:vAlign w:val="bottom"/>
          </w:tcPr>
          <w:p w14:paraId="71D46884" w14:textId="77777777" w:rsidR="006A3667" w:rsidRDefault="006A3667">
            <w:pPr>
              <w:rPr>
                <w:rFonts w:ascii="宋体"/>
                <w:vanish/>
              </w:rPr>
            </w:pPr>
          </w:p>
        </w:tc>
        <w:tc>
          <w:tcPr>
            <w:tcW w:w="0" w:type="auto"/>
            <w:shd w:val="clear" w:color="auto" w:fill="FFFFFF"/>
            <w:tcMar>
              <w:top w:w="40" w:type="dxa"/>
              <w:left w:w="20" w:type="dxa"/>
              <w:bottom w:w="40" w:type="dxa"/>
              <w:right w:w="0" w:type="dxa"/>
            </w:tcMar>
            <w:vAlign w:val="bottom"/>
          </w:tcPr>
          <w:p w14:paraId="71D46885"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886" w14:textId="77777777" w:rsidR="006A3667" w:rsidRDefault="00045F32">
            <w:pPr>
              <w:jc w:val="right"/>
              <w:textAlignment w:val="bottom"/>
            </w:pPr>
            <w:r>
              <w:rPr>
                <w:rFonts w:ascii="Arial" w:eastAsia="宋体" w:hAnsi="Arial" w:cs="Arial"/>
                <w:color w:val="000000"/>
                <w:sz w:val="14"/>
                <w:szCs w:val="14"/>
              </w:rPr>
              <w:t>197 </w:t>
            </w:r>
          </w:p>
        </w:tc>
        <w:tc>
          <w:tcPr>
            <w:tcW w:w="0" w:type="auto"/>
            <w:shd w:val="clear" w:color="auto" w:fill="FFFFFF"/>
            <w:tcMar>
              <w:top w:w="40" w:type="dxa"/>
              <w:left w:w="0" w:type="dxa"/>
              <w:bottom w:w="40" w:type="dxa"/>
              <w:right w:w="20" w:type="dxa"/>
            </w:tcMar>
            <w:vAlign w:val="bottom"/>
          </w:tcPr>
          <w:p w14:paraId="71D468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88"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889"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88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88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8C"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88D"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88E" w14:textId="77777777" w:rsidR="006A3667" w:rsidRDefault="00045F32">
            <w:pPr>
              <w:jc w:val="right"/>
              <w:textAlignment w:val="bottom"/>
            </w:pPr>
            <w:r>
              <w:rPr>
                <w:rFonts w:ascii="Arial" w:eastAsia="宋体" w:hAnsi="Arial" w:cs="Arial"/>
                <w:color w:val="000000"/>
                <w:sz w:val="14"/>
                <w:szCs w:val="14"/>
              </w:rPr>
              <w:t>2,222 </w:t>
            </w:r>
          </w:p>
        </w:tc>
        <w:tc>
          <w:tcPr>
            <w:tcW w:w="0" w:type="auto"/>
            <w:shd w:val="clear" w:color="auto" w:fill="FFFFFF"/>
            <w:tcMar>
              <w:top w:w="40" w:type="dxa"/>
              <w:left w:w="0" w:type="dxa"/>
              <w:bottom w:w="40" w:type="dxa"/>
              <w:right w:w="20" w:type="dxa"/>
            </w:tcMar>
            <w:vAlign w:val="bottom"/>
          </w:tcPr>
          <w:p w14:paraId="71D4688F" w14:textId="77777777" w:rsidR="006A3667" w:rsidRDefault="006A3667">
            <w:pPr>
              <w:jc w:val="right"/>
              <w:rPr>
                <w:rFonts w:ascii="宋体"/>
              </w:rPr>
            </w:pPr>
          </w:p>
        </w:tc>
      </w:tr>
      <w:tr w:rsidR="006A3667" w14:paraId="71D468AB" w14:textId="77777777">
        <w:tc>
          <w:tcPr>
            <w:tcW w:w="0" w:type="auto"/>
            <w:gridSpan w:val="3"/>
            <w:shd w:val="clear" w:color="auto" w:fill="CCEEFF"/>
            <w:tcMar>
              <w:top w:w="40" w:type="dxa"/>
              <w:left w:w="380" w:type="dxa"/>
              <w:bottom w:w="40" w:type="dxa"/>
              <w:right w:w="20" w:type="dxa"/>
            </w:tcMar>
            <w:vAlign w:val="bottom"/>
          </w:tcPr>
          <w:p w14:paraId="71D46891" w14:textId="77777777" w:rsidR="006A3667" w:rsidRDefault="00045F32">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71D46892" w14:textId="77777777" w:rsidR="006A3667" w:rsidRDefault="00045F32">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71D4689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9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895" w14:textId="77777777" w:rsidR="006A3667" w:rsidRDefault="00045F32">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71D4689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9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898" w14:textId="77777777" w:rsidR="006A3667" w:rsidRDefault="00045F32">
            <w:pPr>
              <w:jc w:val="right"/>
              <w:textAlignment w:val="bottom"/>
            </w:pPr>
            <w:r>
              <w:rPr>
                <w:rFonts w:ascii="Arial" w:eastAsia="宋体" w:hAnsi="Arial" w:cs="Arial"/>
                <w:color w:val="000000"/>
                <w:sz w:val="14"/>
                <w:szCs w:val="14"/>
              </w:rPr>
              <w:t>149 </w:t>
            </w:r>
          </w:p>
        </w:tc>
        <w:tc>
          <w:tcPr>
            <w:tcW w:w="0" w:type="auto"/>
            <w:shd w:val="clear" w:color="auto" w:fill="CCEEFF"/>
            <w:tcMar>
              <w:top w:w="40" w:type="dxa"/>
              <w:left w:w="0" w:type="dxa"/>
              <w:bottom w:w="40" w:type="dxa"/>
              <w:right w:w="20" w:type="dxa"/>
            </w:tcMar>
            <w:vAlign w:val="bottom"/>
          </w:tcPr>
          <w:p w14:paraId="71D468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9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89B" w14:textId="77777777" w:rsidR="006A3667" w:rsidRDefault="00045F32">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71D468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9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89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8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A0" w14:textId="77777777" w:rsidR="006A3667" w:rsidRDefault="006A3667">
            <w:pPr>
              <w:rPr>
                <w:rFonts w:ascii="宋体"/>
              </w:rPr>
            </w:pPr>
          </w:p>
        </w:tc>
        <w:tc>
          <w:tcPr>
            <w:tcW w:w="0" w:type="auto"/>
            <w:shd w:val="clear" w:color="auto" w:fill="auto"/>
            <w:vAlign w:val="bottom"/>
          </w:tcPr>
          <w:p w14:paraId="71D468A1" w14:textId="77777777" w:rsidR="006A3667" w:rsidRDefault="006A3667">
            <w:pPr>
              <w:rPr>
                <w:rFonts w:ascii="宋体"/>
                <w:vanish/>
              </w:rPr>
            </w:pPr>
          </w:p>
        </w:tc>
        <w:tc>
          <w:tcPr>
            <w:tcW w:w="0" w:type="auto"/>
            <w:shd w:val="clear" w:color="auto" w:fill="auto"/>
            <w:vAlign w:val="bottom"/>
          </w:tcPr>
          <w:p w14:paraId="71D468A2"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68A3" w14:textId="77777777" w:rsidR="006A3667" w:rsidRDefault="00045F32">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71D468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A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8A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8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8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8A9" w14:textId="77777777" w:rsidR="006A3667" w:rsidRDefault="00045F32">
            <w:pPr>
              <w:jc w:val="right"/>
              <w:textAlignment w:val="bottom"/>
            </w:pPr>
            <w:r>
              <w:rPr>
                <w:rFonts w:ascii="Arial" w:eastAsia="宋体" w:hAnsi="Arial" w:cs="Arial"/>
                <w:color w:val="000000"/>
                <w:sz w:val="14"/>
                <w:szCs w:val="14"/>
              </w:rPr>
              <w:t>270 </w:t>
            </w:r>
          </w:p>
        </w:tc>
        <w:tc>
          <w:tcPr>
            <w:tcW w:w="0" w:type="auto"/>
            <w:shd w:val="clear" w:color="auto" w:fill="CCEEFF"/>
            <w:tcMar>
              <w:top w:w="40" w:type="dxa"/>
              <w:left w:w="0" w:type="dxa"/>
              <w:bottom w:w="40" w:type="dxa"/>
              <w:right w:w="20" w:type="dxa"/>
            </w:tcMar>
            <w:vAlign w:val="bottom"/>
          </w:tcPr>
          <w:p w14:paraId="71D468AA" w14:textId="77777777" w:rsidR="006A3667" w:rsidRDefault="006A3667">
            <w:pPr>
              <w:jc w:val="right"/>
              <w:rPr>
                <w:rFonts w:ascii="宋体"/>
              </w:rPr>
            </w:pPr>
          </w:p>
        </w:tc>
      </w:tr>
      <w:tr w:rsidR="006A3667" w14:paraId="71D468C6" w14:textId="77777777">
        <w:tc>
          <w:tcPr>
            <w:tcW w:w="0" w:type="auto"/>
            <w:gridSpan w:val="3"/>
            <w:shd w:val="clear" w:color="auto" w:fill="FFFFFF"/>
            <w:tcMar>
              <w:top w:w="40" w:type="dxa"/>
              <w:left w:w="380" w:type="dxa"/>
              <w:bottom w:w="40" w:type="dxa"/>
              <w:right w:w="20" w:type="dxa"/>
            </w:tcMar>
            <w:vAlign w:val="bottom"/>
          </w:tcPr>
          <w:p w14:paraId="71D468AC" w14:textId="77777777" w:rsidR="006A3667" w:rsidRDefault="00045F32">
            <w:pPr>
              <w:textAlignment w:val="bottom"/>
            </w:pPr>
            <w:r>
              <w:rPr>
                <w:rFonts w:ascii="Arial" w:eastAsia="宋体" w:hAnsi="Arial" w:cs="Arial"/>
                <w:color w:val="000000"/>
                <w:sz w:val="14"/>
                <w:szCs w:val="14"/>
              </w:rPr>
              <w:t>Special mention</w:t>
            </w:r>
          </w:p>
        </w:tc>
        <w:tc>
          <w:tcPr>
            <w:tcW w:w="0" w:type="auto"/>
            <w:gridSpan w:val="2"/>
            <w:shd w:val="clear" w:color="auto" w:fill="FFFFFF"/>
            <w:tcMar>
              <w:top w:w="40" w:type="dxa"/>
              <w:left w:w="20" w:type="dxa"/>
              <w:bottom w:w="40" w:type="dxa"/>
              <w:right w:w="0" w:type="dxa"/>
            </w:tcMar>
            <w:vAlign w:val="bottom"/>
          </w:tcPr>
          <w:p w14:paraId="71D468A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8A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A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8B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8B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B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8B3" w14:textId="77777777" w:rsidR="006A3667" w:rsidRDefault="00045F32">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71D468B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B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8B6" w14:textId="77777777" w:rsidR="006A3667" w:rsidRDefault="00045F32">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71D468B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B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8B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8B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BB" w14:textId="77777777" w:rsidR="006A3667" w:rsidRDefault="006A3667">
            <w:pPr>
              <w:rPr>
                <w:rFonts w:ascii="宋体"/>
              </w:rPr>
            </w:pPr>
          </w:p>
        </w:tc>
        <w:tc>
          <w:tcPr>
            <w:tcW w:w="0" w:type="auto"/>
            <w:shd w:val="clear" w:color="auto" w:fill="auto"/>
            <w:vAlign w:val="bottom"/>
          </w:tcPr>
          <w:p w14:paraId="71D468BC" w14:textId="77777777" w:rsidR="006A3667" w:rsidRDefault="006A3667">
            <w:pPr>
              <w:rPr>
                <w:rFonts w:ascii="宋体"/>
                <w:vanish/>
              </w:rPr>
            </w:pPr>
          </w:p>
        </w:tc>
        <w:tc>
          <w:tcPr>
            <w:tcW w:w="0" w:type="auto"/>
            <w:shd w:val="clear" w:color="auto" w:fill="auto"/>
            <w:vAlign w:val="bottom"/>
          </w:tcPr>
          <w:p w14:paraId="71D468BD"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8B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8B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C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8C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8C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8C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8C4" w14:textId="77777777" w:rsidR="006A3667" w:rsidRDefault="00045F32">
            <w:pPr>
              <w:jc w:val="right"/>
              <w:textAlignment w:val="bottom"/>
            </w:pPr>
            <w:r>
              <w:rPr>
                <w:rFonts w:ascii="Arial" w:eastAsia="宋体" w:hAnsi="Arial" w:cs="Arial"/>
                <w:color w:val="000000"/>
                <w:sz w:val="14"/>
                <w:szCs w:val="14"/>
              </w:rPr>
              <w:t>62 </w:t>
            </w:r>
          </w:p>
        </w:tc>
        <w:tc>
          <w:tcPr>
            <w:tcW w:w="0" w:type="auto"/>
            <w:shd w:val="clear" w:color="auto" w:fill="FFFFFF"/>
            <w:tcMar>
              <w:top w:w="40" w:type="dxa"/>
              <w:left w:w="0" w:type="dxa"/>
              <w:bottom w:w="40" w:type="dxa"/>
              <w:right w:w="20" w:type="dxa"/>
            </w:tcMar>
            <w:vAlign w:val="bottom"/>
          </w:tcPr>
          <w:p w14:paraId="71D468C5" w14:textId="77777777" w:rsidR="006A3667" w:rsidRDefault="006A3667">
            <w:pPr>
              <w:jc w:val="right"/>
              <w:rPr>
                <w:rFonts w:ascii="宋体"/>
              </w:rPr>
            </w:pPr>
          </w:p>
        </w:tc>
      </w:tr>
      <w:tr w:rsidR="006A3667" w14:paraId="71D468D9" w14:textId="77777777">
        <w:trPr>
          <w:hidden/>
        </w:trPr>
        <w:tc>
          <w:tcPr>
            <w:tcW w:w="0" w:type="auto"/>
            <w:gridSpan w:val="3"/>
            <w:shd w:val="clear" w:color="auto" w:fill="auto"/>
            <w:vAlign w:val="bottom"/>
          </w:tcPr>
          <w:p w14:paraId="71D468C7" w14:textId="77777777" w:rsidR="006A3667" w:rsidRDefault="006A3667">
            <w:pPr>
              <w:rPr>
                <w:rFonts w:ascii="宋体"/>
                <w:vanish/>
              </w:rPr>
            </w:pPr>
          </w:p>
        </w:tc>
        <w:tc>
          <w:tcPr>
            <w:tcW w:w="0" w:type="auto"/>
            <w:gridSpan w:val="3"/>
            <w:shd w:val="clear" w:color="auto" w:fill="auto"/>
            <w:vAlign w:val="bottom"/>
          </w:tcPr>
          <w:p w14:paraId="71D468C8" w14:textId="77777777" w:rsidR="006A3667" w:rsidRDefault="006A3667">
            <w:pPr>
              <w:rPr>
                <w:rFonts w:ascii="宋体"/>
                <w:vanish/>
              </w:rPr>
            </w:pPr>
          </w:p>
        </w:tc>
        <w:tc>
          <w:tcPr>
            <w:tcW w:w="0" w:type="auto"/>
            <w:gridSpan w:val="3"/>
            <w:shd w:val="clear" w:color="auto" w:fill="auto"/>
            <w:vAlign w:val="bottom"/>
          </w:tcPr>
          <w:p w14:paraId="71D468C9" w14:textId="77777777" w:rsidR="006A3667" w:rsidRDefault="006A3667">
            <w:pPr>
              <w:rPr>
                <w:rFonts w:ascii="宋体"/>
                <w:vanish/>
              </w:rPr>
            </w:pPr>
          </w:p>
        </w:tc>
        <w:tc>
          <w:tcPr>
            <w:tcW w:w="0" w:type="auto"/>
            <w:gridSpan w:val="3"/>
            <w:shd w:val="clear" w:color="auto" w:fill="auto"/>
            <w:vAlign w:val="bottom"/>
          </w:tcPr>
          <w:p w14:paraId="71D468CA" w14:textId="77777777" w:rsidR="006A3667" w:rsidRDefault="006A3667">
            <w:pPr>
              <w:rPr>
                <w:rFonts w:ascii="宋体"/>
                <w:vanish/>
              </w:rPr>
            </w:pPr>
          </w:p>
        </w:tc>
        <w:tc>
          <w:tcPr>
            <w:tcW w:w="0" w:type="auto"/>
            <w:gridSpan w:val="3"/>
            <w:shd w:val="clear" w:color="auto" w:fill="auto"/>
            <w:vAlign w:val="bottom"/>
          </w:tcPr>
          <w:p w14:paraId="71D468CB" w14:textId="77777777" w:rsidR="006A3667" w:rsidRDefault="006A3667">
            <w:pPr>
              <w:rPr>
                <w:rFonts w:ascii="宋体"/>
                <w:vanish/>
              </w:rPr>
            </w:pPr>
          </w:p>
        </w:tc>
        <w:tc>
          <w:tcPr>
            <w:tcW w:w="0" w:type="auto"/>
            <w:gridSpan w:val="3"/>
            <w:shd w:val="clear" w:color="auto" w:fill="auto"/>
            <w:vAlign w:val="bottom"/>
          </w:tcPr>
          <w:p w14:paraId="71D468CC" w14:textId="77777777" w:rsidR="006A3667" w:rsidRDefault="006A3667">
            <w:pPr>
              <w:rPr>
                <w:rFonts w:ascii="宋体"/>
                <w:vanish/>
              </w:rPr>
            </w:pPr>
          </w:p>
        </w:tc>
        <w:tc>
          <w:tcPr>
            <w:tcW w:w="0" w:type="auto"/>
            <w:gridSpan w:val="3"/>
            <w:shd w:val="clear" w:color="auto" w:fill="auto"/>
            <w:vAlign w:val="bottom"/>
          </w:tcPr>
          <w:p w14:paraId="71D468CD" w14:textId="77777777" w:rsidR="006A3667" w:rsidRDefault="006A3667">
            <w:pPr>
              <w:rPr>
                <w:rFonts w:ascii="宋体"/>
                <w:vanish/>
              </w:rPr>
            </w:pPr>
          </w:p>
        </w:tc>
        <w:tc>
          <w:tcPr>
            <w:tcW w:w="0" w:type="auto"/>
            <w:gridSpan w:val="3"/>
            <w:shd w:val="clear" w:color="auto" w:fill="auto"/>
            <w:vAlign w:val="bottom"/>
          </w:tcPr>
          <w:p w14:paraId="71D468CE" w14:textId="77777777" w:rsidR="006A3667" w:rsidRDefault="006A3667">
            <w:pPr>
              <w:rPr>
                <w:rFonts w:ascii="宋体"/>
                <w:vanish/>
              </w:rPr>
            </w:pPr>
          </w:p>
        </w:tc>
        <w:tc>
          <w:tcPr>
            <w:tcW w:w="0" w:type="auto"/>
            <w:gridSpan w:val="3"/>
            <w:shd w:val="clear" w:color="auto" w:fill="auto"/>
            <w:vAlign w:val="bottom"/>
          </w:tcPr>
          <w:p w14:paraId="71D468CF" w14:textId="77777777" w:rsidR="006A3667" w:rsidRDefault="006A3667">
            <w:pPr>
              <w:rPr>
                <w:rFonts w:ascii="宋体"/>
                <w:vanish/>
              </w:rPr>
            </w:pPr>
          </w:p>
        </w:tc>
        <w:tc>
          <w:tcPr>
            <w:tcW w:w="0" w:type="auto"/>
            <w:gridSpan w:val="3"/>
            <w:shd w:val="clear" w:color="auto" w:fill="auto"/>
            <w:vAlign w:val="bottom"/>
          </w:tcPr>
          <w:p w14:paraId="71D468D0" w14:textId="77777777" w:rsidR="006A3667" w:rsidRDefault="006A3667">
            <w:pPr>
              <w:rPr>
                <w:rFonts w:ascii="宋体"/>
                <w:vanish/>
              </w:rPr>
            </w:pPr>
          </w:p>
        </w:tc>
        <w:tc>
          <w:tcPr>
            <w:tcW w:w="0" w:type="auto"/>
            <w:gridSpan w:val="3"/>
            <w:shd w:val="clear" w:color="auto" w:fill="auto"/>
            <w:vAlign w:val="bottom"/>
          </w:tcPr>
          <w:p w14:paraId="71D468D1" w14:textId="77777777" w:rsidR="006A3667" w:rsidRDefault="006A3667">
            <w:pPr>
              <w:rPr>
                <w:rFonts w:ascii="宋体"/>
                <w:vanish/>
              </w:rPr>
            </w:pPr>
          </w:p>
        </w:tc>
        <w:tc>
          <w:tcPr>
            <w:tcW w:w="0" w:type="auto"/>
            <w:shd w:val="clear" w:color="auto" w:fill="auto"/>
            <w:vAlign w:val="bottom"/>
          </w:tcPr>
          <w:p w14:paraId="71D468D2" w14:textId="77777777" w:rsidR="006A3667" w:rsidRDefault="006A3667">
            <w:pPr>
              <w:rPr>
                <w:rFonts w:ascii="宋体"/>
                <w:vanish/>
              </w:rPr>
            </w:pPr>
          </w:p>
        </w:tc>
        <w:tc>
          <w:tcPr>
            <w:tcW w:w="0" w:type="auto"/>
            <w:shd w:val="clear" w:color="auto" w:fill="auto"/>
            <w:vAlign w:val="bottom"/>
          </w:tcPr>
          <w:p w14:paraId="71D468D3" w14:textId="77777777" w:rsidR="006A3667" w:rsidRDefault="006A3667">
            <w:pPr>
              <w:rPr>
                <w:rFonts w:ascii="宋体"/>
                <w:vanish/>
              </w:rPr>
            </w:pPr>
          </w:p>
        </w:tc>
        <w:tc>
          <w:tcPr>
            <w:tcW w:w="0" w:type="auto"/>
            <w:gridSpan w:val="3"/>
            <w:shd w:val="clear" w:color="auto" w:fill="auto"/>
            <w:vAlign w:val="bottom"/>
          </w:tcPr>
          <w:p w14:paraId="71D468D4" w14:textId="77777777" w:rsidR="006A3667" w:rsidRDefault="006A3667">
            <w:pPr>
              <w:rPr>
                <w:rFonts w:ascii="宋体"/>
                <w:vanish/>
              </w:rPr>
            </w:pPr>
          </w:p>
        </w:tc>
        <w:tc>
          <w:tcPr>
            <w:tcW w:w="0" w:type="auto"/>
            <w:gridSpan w:val="3"/>
            <w:shd w:val="clear" w:color="auto" w:fill="auto"/>
            <w:vAlign w:val="bottom"/>
          </w:tcPr>
          <w:p w14:paraId="71D468D5" w14:textId="77777777" w:rsidR="006A3667" w:rsidRDefault="006A3667">
            <w:pPr>
              <w:rPr>
                <w:rFonts w:ascii="宋体"/>
                <w:vanish/>
              </w:rPr>
            </w:pPr>
          </w:p>
        </w:tc>
        <w:tc>
          <w:tcPr>
            <w:tcW w:w="0" w:type="auto"/>
            <w:gridSpan w:val="3"/>
            <w:shd w:val="clear" w:color="auto" w:fill="auto"/>
            <w:vAlign w:val="bottom"/>
          </w:tcPr>
          <w:p w14:paraId="71D468D6" w14:textId="77777777" w:rsidR="006A3667" w:rsidRDefault="006A3667">
            <w:pPr>
              <w:rPr>
                <w:rFonts w:ascii="宋体"/>
                <w:vanish/>
              </w:rPr>
            </w:pPr>
          </w:p>
        </w:tc>
        <w:tc>
          <w:tcPr>
            <w:tcW w:w="0" w:type="auto"/>
            <w:gridSpan w:val="3"/>
            <w:shd w:val="clear" w:color="auto" w:fill="auto"/>
            <w:vAlign w:val="bottom"/>
          </w:tcPr>
          <w:p w14:paraId="71D468D7" w14:textId="77777777" w:rsidR="006A3667" w:rsidRDefault="006A3667">
            <w:pPr>
              <w:rPr>
                <w:rFonts w:ascii="宋体"/>
                <w:vanish/>
              </w:rPr>
            </w:pPr>
          </w:p>
        </w:tc>
        <w:tc>
          <w:tcPr>
            <w:tcW w:w="0" w:type="auto"/>
            <w:gridSpan w:val="3"/>
            <w:shd w:val="clear" w:color="auto" w:fill="auto"/>
            <w:vAlign w:val="bottom"/>
          </w:tcPr>
          <w:p w14:paraId="71D468D8" w14:textId="77777777" w:rsidR="006A3667" w:rsidRDefault="006A3667">
            <w:pPr>
              <w:rPr>
                <w:rFonts w:ascii="宋体"/>
                <w:vanish/>
              </w:rPr>
            </w:pPr>
          </w:p>
        </w:tc>
      </w:tr>
      <w:tr w:rsidR="006A3667" w14:paraId="71D468EC" w14:textId="77777777">
        <w:trPr>
          <w:hidden/>
        </w:trPr>
        <w:tc>
          <w:tcPr>
            <w:tcW w:w="0" w:type="auto"/>
            <w:gridSpan w:val="3"/>
            <w:shd w:val="clear" w:color="auto" w:fill="auto"/>
            <w:vAlign w:val="bottom"/>
          </w:tcPr>
          <w:p w14:paraId="71D468DA" w14:textId="77777777" w:rsidR="006A3667" w:rsidRDefault="006A3667">
            <w:pPr>
              <w:rPr>
                <w:rFonts w:ascii="宋体"/>
                <w:vanish/>
              </w:rPr>
            </w:pPr>
          </w:p>
        </w:tc>
        <w:tc>
          <w:tcPr>
            <w:tcW w:w="0" w:type="auto"/>
            <w:gridSpan w:val="3"/>
            <w:shd w:val="clear" w:color="auto" w:fill="auto"/>
            <w:vAlign w:val="bottom"/>
          </w:tcPr>
          <w:p w14:paraId="71D468DB" w14:textId="77777777" w:rsidR="006A3667" w:rsidRDefault="006A3667">
            <w:pPr>
              <w:rPr>
                <w:rFonts w:ascii="宋体"/>
                <w:vanish/>
              </w:rPr>
            </w:pPr>
          </w:p>
        </w:tc>
        <w:tc>
          <w:tcPr>
            <w:tcW w:w="0" w:type="auto"/>
            <w:gridSpan w:val="3"/>
            <w:shd w:val="clear" w:color="auto" w:fill="auto"/>
            <w:vAlign w:val="bottom"/>
          </w:tcPr>
          <w:p w14:paraId="71D468DC" w14:textId="77777777" w:rsidR="006A3667" w:rsidRDefault="006A3667">
            <w:pPr>
              <w:rPr>
                <w:rFonts w:ascii="宋体"/>
                <w:vanish/>
              </w:rPr>
            </w:pPr>
          </w:p>
        </w:tc>
        <w:tc>
          <w:tcPr>
            <w:tcW w:w="0" w:type="auto"/>
            <w:gridSpan w:val="3"/>
            <w:shd w:val="clear" w:color="auto" w:fill="auto"/>
            <w:vAlign w:val="bottom"/>
          </w:tcPr>
          <w:p w14:paraId="71D468DD" w14:textId="77777777" w:rsidR="006A3667" w:rsidRDefault="006A3667">
            <w:pPr>
              <w:rPr>
                <w:rFonts w:ascii="宋体"/>
                <w:vanish/>
              </w:rPr>
            </w:pPr>
          </w:p>
        </w:tc>
        <w:tc>
          <w:tcPr>
            <w:tcW w:w="0" w:type="auto"/>
            <w:gridSpan w:val="3"/>
            <w:shd w:val="clear" w:color="auto" w:fill="auto"/>
            <w:vAlign w:val="bottom"/>
          </w:tcPr>
          <w:p w14:paraId="71D468DE" w14:textId="77777777" w:rsidR="006A3667" w:rsidRDefault="006A3667">
            <w:pPr>
              <w:rPr>
                <w:rFonts w:ascii="宋体"/>
                <w:vanish/>
              </w:rPr>
            </w:pPr>
          </w:p>
        </w:tc>
        <w:tc>
          <w:tcPr>
            <w:tcW w:w="0" w:type="auto"/>
            <w:gridSpan w:val="3"/>
            <w:shd w:val="clear" w:color="auto" w:fill="auto"/>
            <w:vAlign w:val="bottom"/>
          </w:tcPr>
          <w:p w14:paraId="71D468DF" w14:textId="77777777" w:rsidR="006A3667" w:rsidRDefault="006A3667">
            <w:pPr>
              <w:rPr>
                <w:rFonts w:ascii="宋体"/>
                <w:vanish/>
              </w:rPr>
            </w:pPr>
          </w:p>
        </w:tc>
        <w:tc>
          <w:tcPr>
            <w:tcW w:w="0" w:type="auto"/>
            <w:gridSpan w:val="3"/>
            <w:shd w:val="clear" w:color="auto" w:fill="auto"/>
            <w:vAlign w:val="bottom"/>
          </w:tcPr>
          <w:p w14:paraId="71D468E0" w14:textId="77777777" w:rsidR="006A3667" w:rsidRDefault="006A3667">
            <w:pPr>
              <w:rPr>
                <w:rFonts w:ascii="宋体"/>
                <w:vanish/>
              </w:rPr>
            </w:pPr>
          </w:p>
        </w:tc>
        <w:tc>
          <w:tcPr>
            <w:tcW w:w="0" w:type="auto"/>
            <w:gridSpan w:val="3"/>
            <w:shd w:val="clear" w:color="auto" w:fill="auto"/>
            <w:vAlign w:val="bottom"/>
          </w:tcPr>
          <w:p w14:paraId="71D468E1" w14:textId="77777777" w:rsidR="006A3667" w:rsidRDefault="006A3667">
            <w:pPr>
              <w:rPr>
                <w:rFonts w:ascii="宋体"/>
                <w:vanish/>
              </w:rPr>
            </w:pPr>
          </w:p>
        </w:tc>
        <w:tc>
          <w:tcPr>
            <w:tcW w:w="0" w:type="auto"/>
            <w:gridSpan w:val="3"/>
            <w:shd w:val="clear" w:color="auto" w:fill="auto"/>
            <w:vAlign w:val="bottom"/>
          </w:tcPr>
          <w:p w14:paraId="71D468E2" w14:textId="77777777" w:rsidR="006A3667" w:rsidRDefault="006A3667">
            <w:pPr>
              <w:rPr>
                <w:rFonts w:ascii="宋体"/>
                <w:vanish/>
              </w:rPr>
            </w:pPr>
          </w:p>
        </w:tc>
        <w:tc>
          <w:tcPr>
            <w:tcW w:w="0" w:type="auto"/>
            <w:gridSpan w:val="3"/>
            <w:shd w:val="clear" w:color="auto" w:fill="auto"/>
            <w:vAlign w:val="bottom"/>
          </w:tcPr>
          <w:p w14:paraId="71D468E3" w14:textId="77777777" w:rsidR="006A3667" w:rsidRDefault="006A3667">
            <w:pPr>
              <w:rPr>
                <w:rFonts w:ascii="宋体"/>
                <w:vanish/>
              </w:rPr>
            </w:pPr>
          </w:p>
        </w:tc>
        <w:tc>
          <w:tcPr>
            <w:tcW w:w="0" w:type="auto"/>
            <w:gridSpan w:val="3"/>
            <w:shd w:val="clear" w:color="auto" w:fill="auto"/>
            <w:vAlign w:val="bottom"/>
          </w:tcPr>
          <w:p w14:paraId="71D468E4" w14:textId="77777777" w:rsidR="006A3667" w:rsidRDefault="006A3667">
            <w:pPr>
              <w:rPr>
                <w:rFonts w:ascii="宋体"/>
                <w:vanish/>
              </w:rPr>
            </w:pPr>
          </w:p>
        </w:tc>
        <w:tc>
          <w:tcPr>
            <w:tcW w:w="0" w:type="auto"/>
            <w:shd w:val="clear" w:color="auto" w:fill="auto"/>
            <w:vAlign w:val="bottom"/>
          </w:tcPr>
          <w:p w14:paraId="71D468E5" w14:textId="77777777" w:rsidR="006A3667" w:rsidRDefault="006A3667">
            <w:pPr>
              <w:rPr>
                <w:rFonts w:ascii="宋体"/>
                <w:vanish/>
              </w:rPr>
            </w:pPr>
          </w:p>
        </w:tc>
        <w:tc>
          <w:tcPr>
            <w:tcW w:w="0" w:type="auto"/>
            <w:shd w:val="clear" w:color="auto" w:fill="auto"/>
            <w:vAlign w:val="bottom"/>
          </w:tcPr>
          <w:p w14:paraId="71D468E6" w14:textId="77777777" w:rsidR="006A3667" w:rsidRDefault="006A3667">
            <w:pPr>
              <w:rPr>
                <w:rFonts w:ascii="宋体"/>
                <w:vanish/>
              </w:rPr>
            </w:pPr>
          </w:p>
        </w:tc>
        <w:tc>
          <w:tcPr>
            <w:tcW w:w="0" w:type="auto"/>
            <w:gridSpan w:val="3"/>
            <w:shd w:val="clear" w:color="auto" w:fill="auto"/>
            <w:vAlign w:val="bottom"/>
          </w:tcPr>
          <w:p w14:paraId="71D468E7" w14:textId="77777777" w:rsidR="006A3667" w:rsidRDefault="006A3667">
            <w:pPr>
              <w:rPr>
                <w:rFonts w:ascii="宋体"/>
                <w:vanish/>
              </w:rPr>
            </w:pPr>
          </w:p>
        </w:tc>
        <w:tc>
          <w:tcPr>
            <w:tcW w:w="0" w:type="auto"/>
            <w:gridSpan w:val="3"/>
            <w:shd w:val="clear" w:color="auto" w:fill="auto"/>
            <w:vAlign w:val="bottom"/>
          </w:tcPr>
          <w:p w14:paraId="71D468E8" w14:textId="77777777" w:rsidR="006A3667" w:rsidRDefault="006A3667">
            <w:pPr>
              <w:rPr>
                <w:rFonts w:ascii="宋体"/>
                <w:vanish/>
              </w:rPr>
            </w:pPr>
          </w:p>
        </w:tc>
        <w:tc>
          <w:tcPr>
            <w:tcW w:w="0" w:type="auto"/>
            <w:gridSpan w:val="3"/>
            <w:shd w:val="clear" w:color="auto" w:fill="auto"/>
            <w:vAlign w:val="bottom"/>
          </w:tcPr>
          <w:p w14:paraId="71D468E9" w14:textId="77777777" w:rsidR="006A3667" w:rsidRDefault="006A3667">
            <w:pPr>
              <w:rPr>
                <w:rFonts w:ascii="宋体"/>
                <w:vanish/>
              </w:rPr>
            </w:pPr>
          </w:p>
        </w:tc>
        <w:tc>
          <w:tcPr>
            <w:tcW w:w="0" w:type="auto"/>
            <w:gridSpan w:val="3"/>
            <w:shd w:val="clear" w:color="auto" w:fill="auto"/>
            <w:vAlign w:val="bottom"/>
          </w:tcPr>
          <w:p w14:paraId="71D468EA" w14:textId="77777777" w:rsidR="006A3667" w:rsidRDefault="006A3667">
            <w:pPr>
              <w:rPr>
                <w:rFonts w:ascii="宋体"/>
                <w:vanish/>
              </w:rPr>
            </w:pPr>
          </w:p>
        </w:tc>
        <w:tc>
          <w:tcPr>
            <w:tcW w:w="0" w:type="auto"/>
            <w:gridSpan w:val="3"/>
            <w:shd w:val="clear" w:color="auto" w:fill="auto"/>
            <w:vAlign w:val="bottom"/>
          </w:tcPr>
          <w:p w14:paraId="71D468EB" w14:textId="77777777" w:rsidR="006A3667" w:rsidRDefault="006A3667">
            <w:pPr>
              <w:rPr>
                <w:rFonts w:ascii="宋体"/>
                <w:vanish/>
              </w:rPr>
            </w:pPr>
          </w:p>
        </w:tc>
      </w:tr>
      <w:tr w:rsidR="006A3667" w14:paraId="71D468FF" w14:textId="77777777">
        <w:trPr>
          <w:hidden/>
        </w:trPr>
        <w:tc>
          <w:tcPr>
            <w:tcW w:w="0" w:type="auto"/>
            <w:gridSpan w:val="3"/>
            <w:shd w:val="clear" w:color="auto" w:fill="auto"/>
            <w:vAlign w:val="bottom"/>
          </w:tcPr>
          <w:p w14:paraId="71D468ED" w14:textId="77777777" w:rsidR="006A3667" w:rsidRDefault="006A3667">
            <w:pPr>
              <w:rPr>
                <w:rFonts w:ascii="宋体"/>
                <w:vanish/>
              </w:rPr>
            </w:pPr>
          </w:p>
        </w:tc>
        <w:tc>
          <w:tcPr>
            <w:tcW w:w="0" w:type="auto"/>
            <w:gridSpan w:val="3"/>
            <w:shd w:val="clear" w:color="auto" w:fill="auto"/>
            <w:vAlign w:val="bottom"/>
          </w:tcPr>
          <w:p w14:paraId="71D468EE" w14:textId="77777777" w:rsidR="006A3667" w:rsidRDefault="006A3667">
            <w:pPr>
              <w:rPr>
                <w:rFonts w:ascii="宋体"/>
                <w:vanish/>
              </w:rPr>
            </w:pPr>
          </w:p>
        </w:tc>
        <w:tc>
          <w:tcPr>
            <w:tcW w:w="0" w:type="auto"/>
            <w:gridSpan w:val="3"/>
            <w:shd w:val="clear" w:color="auto" w:fill="auto"/>
            <w:vAlign w:val="bottom"/>
          </w:tcPr>
          <w:p w14:paraId="71D468EF" w14:textId="77777777" w:rsidR="006A3667" w:rsidRDefault="006A3667">
            <w:pPr>
              <w:rPr>
                <w:rFonts w:ascii="宋体"/>
                <w:vanish/>
              </w:rPr>
            </w:pPr>
          </w:p>
        </w:tc>
        <w:tc>
          <w:tcPr>
            <w:tcW w:w="0" w:type="auto"/>
            <w:gridSpan w:val="3"/>
            <w:shd w:val="clear" w:color="auto" w:fill="auto"/>
            <w:vAlign w:val="bottom"/>
          </w:tcPr>
          <w:p w14:paraId="71D468F0" w14:textId="77777777" w:rsidR="006A3667" w:rsidRDefault="006A3667">
            <w:pPr>
              <w:rPr>
                <w:rFonts w:ascii="宋体"/>
                <w:vanish/>
              </w:rPr>
            </w:pPr>
          </w:p>
        </w:tc>
        <w:tc>
          <w:tcPr>
            <w:tcW w:w="0" w:type="auto"/>
            <w:gridSpan w:val="3"/>
            <w:shd w:val="clear" w:color="auto" w:fill="auto"/>
            <w:vAlign w:val="bottom"/>
          </w:tcPr>
          <w:p w14:paraId="71D468F1" w14:textId="77777777" w:rsidR="006A3667" w:rsidRDefault="006A3667">
            <w:pPr>
              <w:rPr>
                <w:rFonts w:ascii="宋体"/>
                <w:vanish/>
              </w:rPr>
            </w:pPr>
          </w:p>
        </w:tc>
        <w:tc>
          <w:tcPr>
            <w:tcW w:w="0" w:type="auto"/>
            <w:gridSpan w:val="3"/>
            <w:shd w:val="clear" w:color="auto" w:fill="auto"/>
            <w:vAlign w:val="bottom"/>
          </w:tcPr>
          <w:p w14:paraId="71D468F2" w14:textId="77777777" w:rsidR="006A3667" w:rsidRDefault="006A3667">
            <w:pPr>
              <w:rPr>
                <w:rFonts w:ascii="宋体"/>
                <w:vanish/>
              </w:rPr>
            </w:pPr>
          </w:p>
        </w:tc>
        <w:tc>
          <w:tcPr>
            <w:tcW w:w="0" w:type="auto"/>
            <w:gridSpan w:val="3"/>
            <w:shd w:val="clear" w:color="auto" w:fill="auto"/>
            <w:vAlign w:val="bottom"/>
          </w:tcPr>
          <w:p w14:paraId="71D468F3" w14:textId="77777777" w:rsidR="006A3667" w:rsidRDefault="006A3667">
            <w:pPr>
              <w:rPr>
                <w:rFonts w:ascii="宋体"/>
                <w:vanish/>
              </w:rPr>
            </w:pPr>
          </w:p>
        </w:tc>
        <w:tc>
          <w:tcPr>
            <w:tcW w:w="0" w:type="auto"/>
            <w:gridSpan w:val="3"/>
            <w:shd w:val="clear" w:color="auto" w:fill="auto"/>
            <w:vAlign w:val="bottom"/>
          </w:tcPr>
          <w:p w14:paraId="71D468F4" w14:textId="77777777" w:rsidR="006A3667" w:rsidRDefault="006A3667">
            <w:pPr>
              <w:rPr>
                <w:rFonts w:ascii="宋体"/>
                <w:vanish/>
              </w:rPr>
            </w:pPr>
          </w:p>
        </w:tc>
        <w:tc>
          <w:tcPr>
            <w:tcW w:w="0" w:type="auto"/>
            <w:gridSpan w:val="3"/>
            <w:shd w:val="clear" w:color="auto" w:fill="auto"/>
            <w:vAlign w:val="bottom"/>
          </w:tcPr>
          <w:p w14:paraId="71D468F5" w14:textId="77777777" w:rsidR="006A3667" w:rsidRDefault="006A3667">
            <w:pPr>
              <w:rPr>
                <w:rFonts w:ascii="宋体"/>
                <w:vanish/>
              </w:rPr>
            </w:pPr>
          </w:p>
        </w:tc>
        <w:tc>
          <w:tcPr>
            <w:tcW w:w="0" w:type="auto"/>
            <w:gridSpan w:val="3"/>
            <w:shd w:val="clear" w:color="auto" w:fill="auto"/>
            <w:vAlign w:val="bottom"/>
          </w:tcPr>
          <w:p w14:paraId="71D468F6" w14:textId="77777777" w:rsidR="006A3667" w:rsidRDefault="006A3667">
            <w:pPr>
              <w:rPr>
                <w:rFonts w:ascii="宋体"/>
                <w:vanish/>
              </w:rPr>
            </w:pPr>
          </w:p>
        </w:tc>
        <w:tc>
          <w:tcPr>
            <w:tcW w:w="0" w:type="auto"/>
            <w:gridSpan w:val="3"/>
            <w:shd w:val="clear" w:color="auto" w:fill="auto"/>
            <w:vAlign w:val="bottom"/>
          </w:tcPr>
          <w:p w14:paraId="71D468F7" w14:textId="77777777" w:rsidR="006A3667" w:rsidRDefault="006A3667">
            <w:pPr>
              <w:rPr>
                <w:rFonts w:ascii="宋体"/>
                <w:vanish/>
              </w:rPr>
            </w:pPr>
          </w:p>
        </w:tc>
        <w:tc>
          <w:tcPr>
            <w:tcW w:w="0" w:type="auto"/>
            <w:shd w:val="clear" w:color="auto" w:fill="auto"/>
            <w:vAlign w:val="bottom"/>
          </w:tcPr>
          <w:p w14:paraId="71D468F8" w14:textId="77777777" w:rsidR="006A3667" w:rsidRDefault="006A3667">
            <w:pPr>
              <w:rPr>
                <w:rFonts w:ascii="宋体"/>
                <w:vanish/>
              </w:rPr>
            </w:pPr>
          </w:p>
        </w:tc>
        <w:tc>
          <w:tcPr>
            <w:tcW w:w="0" w:type="auto"/>
            <w:shd w:val="clear" w:color="auto" w:fill="auto"/>
            <w:vAlign w:val="bottom"/>
          </w:tcPr>
          <w:p w14:paraId="71D468F9" w14:textId="77777777" w:rsidR="006A3667" w:rsidRDefault="006A3667">
            <w:pPr>
              <w:rPr>
                <w:rFonts w:ascii="宋体"/>
                <w:vanish/>
              </w:rPr>
            </w:pPr>
          </w:p>
        </w:tc>
        <w:tc>
          <w:tcPr>
            <w:tcW w:w="0" w:type="auto"/>
            <w:gridSpan w:val="3"/>
            <w:shd w:val="clear" w:color="auto" w:fill="auto"/>
            <w:vAlign w:val="bottom"/>
          </w:tcPr>
          <w:p w14:paraId="71D468FA" w14:textId="77777777" w:rsidR="006A3667" w:rsidRDefault="006A3667">
            <w:pPr>
              <w:rPr>
                <w:rFonts w:ascii="宋体"/>
                <w:vanish/>
              </w:rPr>
            </w:pPr>
          </w:p>
        </w:tc>
        <w:tc>
          <w:tcPr>
            <w:tcW w:w="0" w:type="auto"/>
            <w:gridSpan w:val="3"/>
            <w:shd w:val="clear" w:color="auto" w:fill="auto"/>
            <w:vAlign w:val="bottom"/>
          </w:tcPr>
          <w:p w14:paraId="71D468FB" w14:textId="77777777" w:rsidR="006A3667" w:rsidRDefault="006A3667">
            <w:pPr>
              <w:rPr>
                <w:rFonts w:ascii="宋体"/>
                <w:vanish/>
              </w:rPr>
            </w:pPr>
          </w:p>
        </w:tc>
        <w:tc>
          <w:tcPr>
            <w:tcW w:w="0" w:type="auto"/>
            <w:gridSpan w:val="3"/>
            <w:shd w:val="clear" w:color="auto" w:fill="auto"/>
            <w:vAlign w:val="bottom"/>
          </w:tcPr>
          <w:p w14:paraId="71D468FC" w14:textId="77777777" w:rsidR="006A3667" w:rsidRDefault="006A3667">
            <w:pPr>
              <w:rPr>
                <w:rFonts w:ascii="宋体"/>
                <w:vanish/>
              </w:rPr>
            </w:pPr>
          </w:p>
        </w:tc>
        <w:tc>
          <w:tcPr>
            <w:tcW w:w="0" w:type="auto"/>
            <w:gridSpan w:val="3"/>
            <w:shd w:val="clear" w:color="auto" w:fill="auto"/>
            <w:vAlign w:val="bottom"/>
          </w:tcPr>
          <w:p w14:paraId="71D468FD" w14:textId="77777777" w:rsidR="006A3667" w:rsidRDefault="006A3667">
            <w:pPr>
              <w:rPr>
                <w:rFonts w:ascii="宋体"/>
                <w:vanish/>
              </w:rPr>
            </w:pPr>
          </w:p>
        </w:tc>
        <w:tc>
          <w:tcPr>
            <w:tcW w:w="0" w:type="auto"/>
            <w:gridSpan w:val="3"/>
            <w:shd w:val="clear" w:color="auto" w:fill="auto"/>
            <w:vAlign w:val="bottom"/>
          </w:tcPr>
          <w:p w14:paraId="71D468FE" w14:textId="77777777" w:rsidR="006A3667" w:rsidRDefault="006A3667">
            <w:pPr>
              <w:rPr>
                <w:rFonts w:ascii="宋体"/>
                <w:vanish/>
              </w:rPr>
            </w:pPr>
          </w:p>
        </w:tc>
      </w:tr>
      <w:tr w:rsidR="006A3667" w14:paraId="71D46922" w14:textId="77777777">
        <w:tc>
          <w:tcPr>
            <w:tcW w:w="0" w:type="auto"/>
            <w:gridSpan w:val="3"/>
            <w:shd w:val="clear" w:color="auto" w:fill="CCEEFF"/>
            <w:tcMar>
              <w:top w:w="40" w:type="dxa"/>
              <w:left w:w="155" w:type="dxa"/>
              <w:bottom w:w="40" w:type="dxa"/>
              <w:right w:w="20" w:type="dxa"/>
            </w:tcMar>
            <w:vAlign w:val="bottom"/>
          </w:tcPr>
          <w:p w14:paraId="71D46900" w14:textId="77777777" w:rsidR="006A3667" w:rsidRDefault="00045F32">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690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902" w14:textId="77777777" w:rsidR="006A3667" w:rsidRDefault="00045F32">
            <w:pPr>
              <w:jc w:val="right"/>
              <w:textAlignment w:val="bottom"/>
            </w:pPr>
            <w:r>
              <w:rPr>
                <w:rFonts w:ascii="Arial" w:eastAsia="宋体" w:hAnsi="Arial" w:cs="Arial"/>
                <w:color w:val="000000"/>
                <w:sz w:val="14"/>
                <w:szCs w:val="14"/>
              </w:rPr>
              <w:t>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90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0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90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906" w14:textId="77777777" w:rsidR="006A3667" w:rsidRDefault="00045F32">
            <w:pPr>
              <w:jc w:val="right"/>
              <w:textAlignment w:val="bottom"/>
            </w:pPr>
            <w:r>
              <w:rPr>
                <w:rFonts w:ascii="Arial" w:eastAsia="宋体" w:hAnsi="Arial" w:cs="Arial"/>
                <w:color w:val="000000"/>
                <w:sz w:val="14"/>
                <w:szCs w:val="14"/>
              </w:rPr>
              <w:t>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9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0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90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90A" w14:textId="77777777" w:rsidR="006A3667" w:rsidRDefault="00045F32">
            <w:pPr>
              <w:jc w:val="right"/>
              <w:textAlignment w:val="bottom"/>
            </w:pPr>
            <w:r>
              <w:rPr>
                <w:rFonts w:ascii="Arial" w:eastAsia="宋体" w:hAnsi="Arial" w:cs="Arial"/>
                <w:color w:val="000000"/>
                <w:sz w:val="14"/>
                <w:szCs w:val="14"/>
              </w:rPr>
              <w:t>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9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0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90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90E" w14:textId="77777777" w:rsidR="006A3667" w:rsidRDefault="00045F32">
            <w:pPr>
              <w:jc w:val="right"/>
              <w:textAlignment w:val="bottom"/>
            </w:pPr>
            <w:r>
              <w:rPr>
                <w:rFonts w:ascii="Arial" w:eastAsia="宋体" w:hAnsi="Arial" w:cs="Arial"/>
                <w:color w:val="000000"/>
                <w:sz w:val="14"/>
                <w:szCs w:val="14"/>
              </w:rPr>
              <w:t>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90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1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91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912" w14:textId="77777777" w:rsidR="006A3667" w:rsidRDefault="00045F32">
            <w:pPr>
              <w:jc w:val="right"/>
              <w:textAlignment w:val="bottom"/>
            </w:pPr>
            <w:r>
              <w:rPr>
                <w:rFonts w:ascii="Arial" w:eastAsia="宋体" w:hAnsi="Arial" w:cs="Arial"/>
                <w:color w:val="000000"/>
                <w:sz w:val="14"/>
                <w:szCs w:val="14"/>
              </w:rPr>
              <w:t>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9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14" w14:textId="77777777" w:rsidR="006A3667" w:rsidRDefault="006A3667">
            <w:pPr>
              <w:rPr>
                <w:rFonts w:ascii="宋体"/>
              </w:rPr>
            </w:pPr>
          </w:p>
        </w:tc>
        <w:tc>
          <w:tcPr>
            <w:tcW w:w="0" w:type="auto"/>
            <w:shd w:val="clear" w:color="auto" w:fill="auto"/>
            <w:vAlign w:val="bottom"/>
          </w:tcPr>
          <w:p w14:paraId="71D46915" w14:textId="77777777" w:rsidR="006A3667" w:rsidRDefault="006A3667">
            <w:pPr>
              <w:rPr>
                <w:rFonts w:ascii="宋体"/>
                <w:vanish/>
              </w:rPr>
            </w:pPr>
          </w:p>
        </w:tc>
        <w:tc>
          <w:tcPr>
            <w:tcW w:w="0" w:type="auto"/>
            <w:shd w:val="clear" w:color="auto" w:fill="auto"/>
            <w:vAlign w:val="bottom"/>
          </w:tcPr>
          <w:p w14:paraId="71D46916"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917"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918" w14:textId="77777777" w:rsidR="006A3667" w:rsidRDefault="00045F32">
            <w:pPr>
              <w:jc w:val="right"/>
              <w:textAlignment w:val="bottom"/>
            </w:pPr>
            <w:r>
              <w:rPr>
                <w:rFonts w:ascii="Arial" w:eastAsia="宋体" w:hAnsi="Arial" w:cs="Arial"/>
                <w:color w:val="000000"/>
                <w:sz w:val="14"/>
                <w:szCs w:val="14"/>
              </w:rPr>
              <w:t>225 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91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1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91B"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91C"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9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1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91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920" w14:textId="77777777" w:rsidR="006A3667" w:rsidRDefault="00045F32">
            <w:pPr>
              <w:jc w:val="right"/>
              <w:textAlignment w:val="bottom"/>
            </w:pPr>
            <w:r>
              <w:rPr>
                <w:rFonts w:ascii="Arial" w:eastAsia="宋体" w:hAnsi="Arial" w:cs="Arial"/>
                <w:color w:val="000000"/>
                <w:sz w:val="14"/>
                <w:szCs w:val="14"/>
              </w:rPr>
              <w:t>2,554 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921" w14:textId="77777777" w:rsidR="006A3667" w:rsidRDefault="006A3667">
            <w:pPr>
              <w:jc w:val="right"/>
              <w:rPr>
                <w:rFonts w:ascii="宋体"/>
              </w:rPr>
            </w:pPr>
          </w:p>
        </w:tc>
      </w:tr>
      <w:tr w:rsidR="006A3667" w14:paraId="71D46935" w14:textId="77777777">
        <w:tc>
          <w:tcPr>
            <w:tcW w:w="0" w:type="auto"/>
            <w:gridSpan w:val="3"/>
            <w:shd w:val="clear" w:color="auto" w:fill="FFFFFF"/>
            <w:tcMar>
              <w:top w:w="40" w:type="dxa"/>
              <w:left w:w="20" w:type="dxa"/>
              <w:bottom w:w="40" w:type="dxa"/>
              <w:right w:w="20" w:type="dxa"/>
            </w:tcMar>
            <w:vAlign w:val="bottom"/>
          </w:tcPr>
          <w:p w14:paraId="71D46923" w14:textId="77777777" w:rsidR="006A3667" w:rsidRDefault="00045F32">
            <w:pPr>
              <w:textAlignment w:val="bottom"/>
            </w:pPr>
            <w:r>
              <w:rPr>
                <w:rFonts w:ascii="Arial" w:eastAsia="宋体" w:hAnsi="Arial" w:cs="Arial"/>
                <w:color w:val="000000"/>
                <w:sz w:val="14"/>
                <w:szCs w:val="14"/>
              </w:rPr>
              <w:t>Non-U.S. loans: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92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25"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92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27"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92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29"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92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2B"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92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2D" w14:textId="77777777" w:rsidR="006A3667" w:rsidRDefault="006A3667">
            <w:pPr>
              <w:rPr>
                <w:rFonts w:ascii="宋体"/>
              </w:rPr>
            </w:pPr>
          </w:p>
        </w:tc>
        <w:tc>
          <w:tcPr>
            <w:tcW w:w="0" w:type="auto"/>
            <w:shd w:val="clear" w:color="auto" w:fill="auto"/>
            <w:vAlign w:val="bottom"/>
          </w:tcPr>
          <w:p w14:paraId="71D4692E" w14:textId="77777777" w:rsidR="006A3667" w:rsidRDefault="006A3667">
            <w:pPr>
              <w:rPr>
                <w:rFonts w:ascii="宋体"/>
                <w:vanish/>
              </w:rPr>
            </w:pPr>
          </w:p>
        </w:tc>
        <w:tc>
          <w:tcPr>
            <w:tcW w:w="0" w:type="auto"/>
            <w:shd w:val="clear" w:color="auto" w:fill="auto"/>
            <w:vAlign w:val="bottom"/>
          </w:tcPr>
          <w:p w14:paraId="71D4692F" w14:textId="77777777" w:rsidR="006A3667" w:rsidRDefault="006A3667">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93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31"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93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33"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934" w14:textId="77777777" w:rsidR="006A3667" w:rsidRDefault="006A3667">
            <w:pPr>
              <w:rPr>
                <w:rFonts w:ascii="宋体"/>
              </w:rPr>
            </w:pPr>
          </w:p>
        </w:tc>
      </w:tr>
      <w:tr w:rsidR="006A3667" w14:paraId="71D46948" w14:textId="77777777">
        <w:tc>
          <w:tcPr>
            <w:tcW w:w="0" w:type="auto"/>
            <w:gridSpan w:val="3"/>
            <w:shd w:val="clear" w:color="auto" w:fill="CCEEFF"/>
            <w:tcMar>
              <w:top w:w="40" w:type="dxa"/>
              <w:left w:w="155" w:type="dxa"/>
              <w:bottom w:w="40" w:type="dxa"/>
              <w:right w:w="20" w:type="dxa"/>
            </w:tcMar>
            <w:vAlign w:val="bottom"/>
          </w:tcPr>
          <w:p w14:paraId="71D46936" w14:textId="77777777" w:rsidR="006A3667" w:rsidRDefault="00045F32">
            <w:pPr>
              <w:textAlignment w:val="bottom"/>
            </w:pPr>
            <w:r>
              <w:rPr>
                <w:rFonts w:ascii="Arial" w:eastAsia="宋体" w:hAnsi="Arial" w:cs="Arial"/>
                <w:color w:val="000000"/>
                <w:sz w:val="14"/>
                <w:szCs w:val="14"/>
              </w:rPr>
              <w:t>Commercial and financial:</w:t>
            </w:r>
          </w:p>
        </w:tc>
        <w:tc>
          <w:tcPr>
            <w:tcW w:w="0" w:type="auto"/>
            <w:gridSpan w:val="3"/>
            <w:shd w:val="clear" w:color="auto" w:fill="CCEEFF"/>
            <w:tcMar>
              <w:top w:w="0" w:type="dxa"/>
              <w:left w:w="20" w:type="dxa"/>
              <w:bottom w:w="0" w:type="dxa"/>
              <w:right w:w="20" w:type="dxa"/>
            </w:tcMar>
            <w:vAlign w:val="bottom"/>
          </w:tcPr>
          <w:p w14:paraId="71D4693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3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3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3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3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3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3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3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3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40" w14:textId="77777777" w:rsidR="006A3667" w:rsidRDefault="006A3667">
            <w:pPr>
              <w:rPr>
                <w:rFonts w:ascii="宋体"/>
              </w:rPr>
            </w:pPr>
          </w:p>
        </w:tc>
        <w:tc>
          <w:tcPr>
            <w:tcW w:w="0" w:type="auto"/>
            <w:shd w:val="clear" w:color="auto" w:fill="auto"/>
            <w:vAlign w:val="bottom"/>
          </w:tcPr>
          <w:p w14:paraId="71D46941" w14:textId="77777777" w:rsidR="006A3667" w:rsidRDefault="006A3667">
            <w:pPr>
              <w:rPr>
                <w:rFonts w:ascii="宋体"/>
                <w:vanish/>
              </w:rPr>
            </w:pPr>
          </w:p>
        </w:tc>
        <w:tc>
          <w:tcPr>
            <w:tcW w:w="0" w:type="auto"/>
            <w:shd w:val="clear" w:color="auto" w:fill="auto"/>
            <w:vAlign w:val="bottom"/>
          </w:tcPr>
          <w:p w14:paraId="71D46942"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694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4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4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4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947" w14:textId="77777777" w:rsidR="006A3667" w:rsidRDefault="006A3667">
            <w:pPr>
              <w:rPr>
                <w:rFonts w:ascii="宋体"/>
              </w:rPr>
            </w:pPr>
          </w:p>
        </w:tc>
      </w:tr>
      <w:tr w:rsidR="006A3667" w14:paraId="71D4695B" w14:textId="77777777">
        <w:tc>
          <w:tcPr>
            <w:tcW w:w="0" w:type="auto"/>
            <w:gridSpan w:val="3"/>
            <w:shd w:val="clear" w:color="auto" w:fill="FFFFFF"/>
            <w:tcMar>
              <w:top w:w="40" w:type="dxa"/>
              <w:left w:w="245" w:type="dxa"/>
              <w:bottom w:w="40" w:type="dxa"/>
              <w:right w:w="20" w:type="dxa"/>
            </w:tcMar>
            <w:vAlign w:val="bottom"/>
          </w:tcPr>
          <w:p w14:paraId="71D46949" w14:textId="77777777" w:rsidR="006A3667" w:rsidRDefault="00045F32">
            <w:pPr>
              <w:textAlignment w:val="bottom"/>
            </w:pPr>
            <w:r>
              <w:rPr>
                <w:rFonts w:ascii="Arial" w:eastAsia="宋体" w:hAnsi="Arial" w:cs="Arial"/>
                <w:color w:val="000000"/>
                <w:sz w:val="14"/>
                <w:szCs w:val="14"/>
              </w:rPr>
              <w:t>Risk Rating:</w:t>
            </w:r>
          </w:p>
        </w:tc>
        <w:tc>
          <w:tcPr>
            <w:tcW w:w="0" w:type="auto"/>
            <w:gridSpan w:val="3"/>
            <w:shd w:val="clear" w:color="auto" w:fill="FFFFFF"/>
            <w:tcMar>
              <w:top w:w="0" w:type="dxa"/>
              <w:left w:w="20" w:type="dxa"/>
              <w:bottom w:w="0" w:type="dxa"/>
              <w:right w:w="20" w:type="dxa"/>
            </w:tcMar>
            <w:vAlign w:val="bottom"/>
          </w:tcPr>
          <w:p w14:paraId="71D4694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4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4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4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4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5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5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5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53" w14:textId="77777777" w:rsidR="006A3667" w:rsidRDefault="006A3667">
            <w:pPr>
              <w:rPr>
                <w:rFonts w:ascii="宋体"/>
              </w:rPr>
            </w:pPr>
          </w:p>
        </w:tc>
        <w:tc>
          <w:tcPr>
            <w:tcW w:w="0" w:type="auto"/>
            <w:shd w:val="clear" w:color="auto" w:fill="auto"/>
            <w:vAlign w:val="bottom"/>
          </w:tcPr>
          <w:p w14:paraId="71D46954" w14:textId="77777777" w:rsidR="006A3667" w:rsidRDefault="006A3667">
            <w:pPr>
              <w:rPr>
                <w:rFonts w:ascii="宋体"/>
                <w:vanish/>
              </w:rPr>
            </w:pPr>
          </w:p>
        </w:tc>
        <w:tc>
          <w:tcPr>
            <w:tcW w:w="0" w:type="auto"/>
            <w:shd w:val="clear" w:color="auto" w:fill="auto"/>
            <w:vAlign w:val="bottom"/>
          </w:tcPr>
          <w:p w14:paraId="71D46955"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695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5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5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5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95A" w14:textId="77777777" w:rsidR="006A3667" w:rsidRDefault="006A3667">
            <w:pPr>
              <w:rPr>
                <w:rFonts w:ascii="宋体"/>
              </w:rPr>
            </w:pPr>
          </w:p>
        </w:tc>
      </w:tr>
      <w:tr w:rsidR="006A3667" w14:paraId="71D4697E" w14:textId="77777777">
        <w:tc>
          <w:tcPr>
            <w:tcW w:w="0" w:type="auto"/>
            <w:gridSpan w:val="3"/>
            <w:shd w:val="clear" w:color="auto" w:fill="CCEEFF"/>
            <w:tcMar>
              <w:top w:w="40" w:type="dxa"/>
              <w:left w:w="380" w:type="dxa"/>
              <w:bottom w:w="40" w:type="dxa"/>
              <w:right w:w="20" w:type="dxa"/>
            </w:tcMar>
            <w:vAlign w:val="bottom"/>
          </w:tcPr>
          <w:p w14:paraId="71D4695C" w14:textId="77777777" w:rsidR="006A3667" w:rsidRDefault="00045F32">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71D4695D"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95E" w14:textId="77777777" w:rsidR="006A3667" w:rsidRDefault="00045F32">
            <w:pPr>
              <w:jc w:val="right"/>
              <w:textAlignment w:val="bottom"/>
            </w:pPr>
            <w:r>
              <w:rPr>
                <w:rFonts w:ascii="Arial" w:eastAsia="宋体" w:hAnsi="Arial" w:cs="Arial"/>
                <w:color w:val="000000"/>
                <w:sz w:val="14"/>
                <w:szCs w:val="14"/>
              </w:rPr>
              <w:t>4,087 </w:t>
            </w:r>
          </w:p>
        </w:tc>
        <w:tc>
          <w:tcPr>
            <w:tcW w:w="0" w:type="auto"/>
            <w:shd w:val="clear" w:color="auto" w:fill="CCEEFF"/>
            <w:tcMar>
              <w:top w:w="40" w:type="dxa"/>
              <w:left w:w="0" w:type="dxa"/>
              <w:bottom w:w="40" w:type="dxa"/>
              <w:right w:w="20" w:type="dxa"/>
            </w:tcMar>
            <w:vAlign w:val="bottom"/>
          </w:tcPr>
          <w:p w14:paraId="71D469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6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961"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96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6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965"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96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6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969"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96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6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96D"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96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70" w14:textId="77777777" w:rsidR="006A3667" w:rsidRDefault="006A3667">
            <w:pPr>
              <w:rPr>
                <w:rFonts w:ascii="宋体"/>
              </w:rPr>
            </w:pPr>
          </w:p>
        </w:tc>
        <w:tc>
          <w:tcPr>
            <w:tcW w:w="0" w:type="auto"/>
            <w:shd w:val="clear" w:color="auto" w:fill="auto"/>
            <w:vAlign w:val="bottom"/>
          </w:tcPr>
          <w:p w14:paraId="71D46971" w14:textId="77777777" w:rsidR="006A3667" w:rsidRDefault="006A3667">
            <w:pPr>
              <w:rPr>
                <w:rFonts w:ascii="宋体"/>
                <w:vanish/>
              </w:rPr>
            </w:pPr>
          </w:p>
        </w:tc>
        <w:tc>
          <w:tcPr>
            <w:tcW w:w="0" w:type="auto"/>
            <w:shd w:val="clear" w:color="auto" w:fill="auto"/>
            <w:vAlign w:val="bottom"/>
          </w:tcPr>
          <w:p w14:paraId="71D46972"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bottom"/>
          </w:tcPr>
          <w:p w14:paraId="71D4697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97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7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97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978" w14:textId="77777777" w:rsidR="006A3667" w:rsidRDefault="00045F32">
            <w:pPr>
              <w:jc w:val="right"/>
              <w:textAlignment w:val="bottom"/>
            </w:pPr>
            <w:r>
              <w:rPr>
                <w:rFonts w:ascii="Arial" w:eastAsia="宋体" w:hAnsi="Arial" w:cs="Arial"/>
                <w:color w:val="000000"/>
                <w:sz w:val="14"/>
                <w:szCs w:val="14"/>
              </w:rPr>
              <w:t>4,863 </w:t>
            </w:r>
          </w:p>
        </w:tc>
        <w:tc>
          <w:tcPr>
            <w:tcW w:w="0" w:type="auto"/>
            <w:shd w:val="clear" w:color="auto" w:fill="CCEEFF"/>
            <w:tcMar>
              <w:top w:w="40" w:type="dxa"/>
              <w:left w:w="0" w:type="dxa"/>
              <w:bottom w:w="40" w:type="dxa"/>
              <w:right w:w="20" w:type="dxa"/>
            </w:tcMar>
            <w:vAlign w:val="bottom"/>
          </w:tcPr>
          <w:p w14:paraId="71D469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7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97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97C" w14:textId="77777777" w:rsidR="006A3667" w:rsidRDefault="00045F32">
            <w:pPr>
              <w:jc w:val="right"/>
              <w:textAlignment w:val="bottom"/>
            </w:pPr>
            <w:r>
              <w:rPr>
                <w:rFonts w:ascii="Arial" w:eastAsia="宋体" w:hAnsi="Arial" w:cs="Arial"/>
                <w:color w:val="000000"/>
                <w:sz w:val="14"/>
                <w:szCs w:val="14"/>
              </w:rPr>
              <w:t>8,950 </w:t>
            </w:r>
          </w:p>
        </w:tc>
        <w:tc>
          <w:tcPr>
            <w:tcW w:w="0" w:type="auto"/>
            <w:shd w:val="clear" w:color="auto" w:fill="CCEEFF"/>
            <w:tcMar>
              <w:top w:w="40" w:type="dxa"/>
              <w:left w:w="0" w:type="dxa"/>
              <w:bottom w:w="40" w:type="dxa"/>
              <w:right w:w="20" w:type="dxa"/>
            </w:tcMar>
            <w:vAlign w:val="bottom"/>
          </w:tcPr>
          <w:p w14:paraId="71D4697D" w14:textId="77777777" w:rsidR="006A3667" w:rsidRDefault="006A3667">
            <w:pPr>
              <w:jc w:val="right"/>
              <w:rPr>
                <w:rFonts w:ascii="宋体"/>
              </w:rPr>
            </w:pPr>
          </w:p>
        </w:tc>
      </w:tr>
      <w:tr w:rsidR="006A3667" w14:paraId="71D46999" w14:textId="77777777">
        <w:tc>
          <w:tcPr>
            <w:tcW w:w="0" w:type="auto"/>
            <w:gridSpan w:val="3"/>
            <w:shd w:val="clear" w:color="auto" w:fill="FFFFFF"/>
            <w:tcMar>
              <w:top w:w="40" w:type="dxa"/>
              <w:left w:w="380" w:type="dxa"/>
              <w:bottom w:w="40" w:type="dxa"/>
              <w:right w:w="20" w:type="dxa"/>
            </w:tcMar>
            <w:vAlign w:val="bottom"/>
          </w:tcPr>
          <w:p w14:paraId="71D4697F" w14:textId="77777777" w:rsidR="006A3667" w:rsidRDefault="00045F32">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71D46980" w14:textId="77777777" w:rsidR="006A3667" w:rsidRDefault="00045F32">
            <w:pPr>
              <w:jc w:val="right"/>
              <w:textAlignment w:val="bottom"/>
            </w:pPr>
            <w:r>
              <w:rPr>
                <w:rFonts w:ascii="Arial" w:eastAsia="宋体" w:hAnsi="Arial" w:cs="Arial"/>
                <w:color w:val="000000"/>
                <w:sz w:val="14"/>
                <w:szCs w:val="14"/>
              </w:rPr>
              <w:t>561 </w:t>
            </w:r>
          </w:p>
        </w:tc>
        <w:tc>
          <w:tcPr>
            <w:tcW w:w="0" w:type="auto"/>
            <w:shd w:val="clear" w:color="auto" w:fill="FFFFFF"/>
            <w:tcMar>
              <w:top w:w="40" w:type="dxa"/>
              <w:left w:w="0" w:type="dxa"/>
              <w:bottom w:w="40" w:type="dxa"/>
              <w:right w:w="20" w:type="dxa"/>
            </w:tcMar>
            <w:vAlign w:val="bottom"/>
          </w:tcPr>
          <w:p w14:paraId="71D4698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8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983" w14:textId="77777777" w:rsidR="006A3667" w:rsidRDefault="00045F32">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71D469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986" w14:textId="77777777" w:rsidR="006A3667" w:rsidRDefault="00045F32">
            <w:pPr>
              <w:jc w:val="right"/>
              <w:textAlignment w:val="bottom"/>
            </w:pPr>
            <w:r>
              <w:rPr>
                <w:rFonts w:ascii="Arial" w:eastAsia="宋体" w:hAnsi="Arial" w:cs="Arial"/>
                <w:color w:val="000000"/>
                <w:sz w:val="14"/>
                <w:szCs w:val="14"/>
              </w:rPr>
              <w:t>264 </w:t>
            </w:r>
          </w:p>
        </w:tc>
        <w:tc>
          <w:tcPr>
            <w:tcW w:w="0" w:type="auto"/>
            <w:shd w:val="clear" w:color="auto" w:fill="FFFFFF"/>
            <w:tcMar>
              <w:top w:w="40" w:type="dxa"/>
              <w:left w:w="0" w:type="dxa"/>
              <w:bottom w:w="40" w:type="dxa"/>
              <w:right w:w="20" w:type="dxa"/>
            </w:tcMar>
            <w:vAlign w:val="bottom"/>
          </w:tcPr>
          <w:p w14:paraId="71D469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989" w14:textId="77777777" w:rsidR="006A3667" w:rsidRDefault="00045F32">
            <w:pPr>
              <w:jc w:val="right"/>
              <w:textAlignment w:val="bottom"/>
            </w:pPr>
            <w:r>
              <w:rPr>
                <w:rFonts w:ascii="Arial" w:eastAsia="宋体" w:hAnsi="Arial" w:cs="Arial"/>
                <w:color w:val="000000"/>
                <w:sz w:val="14"/>
                <w:szCs w:val="14"/>
              </w:rPr>
              <w:t>204 </w:t>
            </w:r>
          </w:p>
        </w:tc>
        <w:tc>
          <w:tcPr>
            <w:tcW w:w="0" w:type="auto"/>
            <w:shd w:val="clear" w:color="auto" w:fill="FFFFFF"/>
            <w:tcMar>
              <w:top w:w="40" w:type="dxa"/>
              <w:left w:w="0" w:type="dxa"/>
              <w:bottom w:w="40" w:type="dxa"/>
              <w:right w:w="20" w:type="dxa"/>
            </w:tcMar>
            <w:vAlign w:val="bottom"/>
          </w:tcPr>
          <w:p w14:paraId="71D4698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8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98C" w14:textId="77777777" w:rsidR="006A3667" w:rsidRDefault="00045F32">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71D4698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8E" w14:textId="77777777" w:rsidR="006A3667" w:rsidRDefault="006A3667">
            <w:pPr>
              <w:rPr>
                <w:rFonts w:ascii="宋体"/>
              </w:rPr>
            </w:pPr>
          </w:p>
        </w:tc>
        <w:tc>
          <w:tcPr>
            <w:tcW w:w="0" w:type="auto"/>
            <w:shd w:val="clear" w:color="auto" w:fill="auto"/>
            <w:vAlign w:val="bottom"/>
          </w:tcPr>
          <w:p w14:paraId="71D4698F" w14:textId="77777777" w:rsidR="006A3667" w:rsidRDefault="006A3667">
            <w:pPr>
              <w:rPr>
                <w:rFonts w:ascii="宋体"/>
                <w:vanish/>
              </w:rPr>
            </w:pPr>
          </w:p>
        </w:tc>
        <w:tc>
          <w:tcPr>
            <w:tcW w:w="0" w:type="auto"/>
            <w:shd w:val="clear" w:color="auto" w:fill="auto"/>
            <w:vAlign w:val="bottom"/>
          </w:tcPr>
          <w:p w14:paraId="71D46990"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991" w14:textId="77777777" w:rsidR="006A3667" w:rsidRDefault="00045F32">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71D4699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9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994" w14:textId="77777777" w:rsidR="006A3667" w:rsidRDefault="00045F32">
            <w:pPr>
              <w:jc w:val="right"/>
              <w:textAlignment w:val="bottom"/>
            </w:pPr>
            <w:r>
              <w:rPr>
                <w:rFonts w:ascii="Arial" w:eastAsia="宋体" w:hAnsi="Arial" w:cs="Arial"/>
                <w:color w:val="000000"/>
                <w:sz w:val="14"/>
                <w:szCs w:val="14"/>
              </w:rPr>
              <w:t>55 </w:t>
            </w:r>
          </w:p>
        </w:tc>
        <w:tc>
          <w:tcPr>
            <w:tcW w:w="0" w:type="auto"/>
            <w:shd w:val="clear" w:color="auto" w:fill="FFFFFF"/>
            <w:tcMar>
              <w:top w:w="40" w:type="dxa"/>
              <w:left w:w="0" w:type="dxa"/>
              <w:bottom w:w="40" w:type="dxa"/>
              <w:right w:w="20" w:type="dxa"/>
            </w:tcMar>
            <w:vAlign w:val="bottom"/>
          </w:tcPr>
          <w:p w14:paraId="71D4699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9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997" w14:textId="77777777" w:rsidR="006A3667" w:rsidRDefault="00045F32">
            <w:pPr>
              <w:jc w:val="right"/>
              <w:textAlignment w:val="bottom"/>
            </w:pPr>
            <w:r>
              <w:rPr>
                <w:rFonts w:ascii="Arial" w:eastAsia="宋体" w:hAnsi="Arial" w:cs="Arial"/>
                <w:color w:val="000000"/>
                <w:sz w:val="14"/>
                <w:szCs w:val="14"/>
              </w:rPr>
              <w:t>1,436 </w:t>
            </w:r>
          </w:p>
        </w:tc>
        <w:tc>
          <w:tcPr>
            <w:tcW w:w="0" w:type="auto"/>
            <w:shd w:val="clear" w:color="auto" w:fill="FFFFFF"/>
            <w:tcMar>
              <w:top w:w="40" w:type="dxa"/>
              <w:left w:w="0" w:type="dxa"/>
              <w:bottom w:w="40" w:type="dxa"/>
              <w:right w:w="20" w:type="dxa"/>
            </w:tcMar>
            <w:vAlign w:val="bottom"/>
          </w:tcPr>
          <w:p w14:paraId="71D46998" w14:textId="77777777" w:rsidR="006A3667" w:rsidRDefault="006A3667">
            <w:pPr>
              <w:jc w:val="right"/>
              <w:rPr>
                <w:rFonts w:ascii="宋体"/>
              </w:rPr>
            </w:pPr>
          </w:p>
        </w:tc>
      </w:tr>
      <w:tr w:rsidR="006A3667" w14:paraId="71D469AC" w14:textId="77777777">
        <w:trPr>
          <w:hidden/>
        </w:trPr>
        <w:tc>
          <w:tcPr>
            <w:tcW w:w="0" w:type="auto"/>
            <w:gridSpan w:val="3"/>
            <w:shd w:val="clear" w:color="auto" w:fill="auto"/>
            <w:vAlign w:val="bottom"/>
          </w:tcPr>
          <w:p w14:paraId="71D4699A" w14:textId="77777777" w:rsidR="006A3667" w:rsidRDefault="006A3667">
            <w:pPr>
              <w:rPr>
                <w:rFonts w:ascii="宋体"/>
                <w:vanish/>
              </w:rPr>
            </w:pPr>
          </w:p>
        </w:tc>
        <w:tc>
          <w:tcPr>
            <w:tcW w:w="0" w:type="auto"/>
            <w:gridSpan w:val="3"/>
            <w:shd w:val="clear" w:color="auto" w:fill="auto"/>
            <w:vAlign w:val="bottom"/>
          </w:tcPr>
          <w:p w14:paraId="71D4699B" w14:textId="77777777" w:rsidR="006A3667" w:rsidRDefault="006A3667">
            <w:pPr>
              <w:rPr>
                <w:rFonts w:ascii="宋体"/>
                <w:vanish/>
              </w:rPr>
            </w:pPr>
          </w:p>
        </w:tc>
        <w:tc>
          <w:tcPr>
            <w:tcW w:w="0" w:type="auto"/>
            <w:gridSpan w:val="3"/>
            <w:shd w:val="clear" w:color="auto" w:fill="auto"/>
            <w:vAlign w:val="bottom"/>
          </w:tcPr>
          <w:p w14:paraId="71D4699C" w14:textId="77777777" w:rsidR="006A3667" w:rsidRDefault="006A3667">
            <w:pPr>
              <w:rPr>
                <w:rFonts w:ascii="宋体"/>
                <w:vanish/>
              </w:rPr>
            </w:pPr>
          </w:p>
        </w:tc>
        <w:tc>
          <w:tcPr>
            <w:tcW w:w="0" w:type="auto"/>
            <w:gridSpan w:val="3"/>
            <w:shd w:val="clear" w:color="auto" w:fill="auto"/>
            <w:vAlign w:val="bottom"/>
          </w:tcPr>
          <w:p w14:paraId="71D4699D" w14:textId="77777777" w:rsidR="006A3667" w:rsidRDefault="006A3667">
            <w:pPr>
              <w:rPr>
                <w:rFonts w:ascii="宋体"/>
                <w:vanish/>
              </w:rPr>
            </w:pPr>
          </w:p>
        </w:tc>
        <w:tc>
          <w:tcPr>
            <w:tcW w:w="0" w:type="auto"/>
            <w:gridSpan w:val="3"/>
            <w:shd w:val="clear" w:color="auto" w:fill="auto"/>
            <w:vAlign w:val="bottom"/>
          </w:tcPr>
          <w:p w14:paraId="71D4699E" w14:textId="77777777" w:rsidR="006A3667" w:rsidRDefault="006A3667">
            <w:pPr>
              <w:rPr>
                <w:rFonts w:ascii="宋体"/>
                <w:vanish/>
              </w:rPr>
            </w:pPr>
          </w:p>
        </w:tc>
        <w:tc>
          <w:tcPr>
            <w:tcW w:w="0" w:type="auto"/>
            <w:gridSpan w:val="3"/>
            <w:shd w:val="clear" w:color="auto" w:fill="auto"/>
            <w:vAlign w:val="bottom"/>
          </w:tcPr>
          <w:p w14:paraId="71D4699F" w14:textId="77777777" w:rsidR="006A3667" w:rsidRDefault="006A3667">
            <w:pPr>
              <w:rPr>
                <w:rFonts w:ascii="宋体"/>
                <w:vanish/>
              </w:rPr>
            </w:pPr>
          </w:p>
        </w:tc>
        <w:tc>
          <w:tcPr>
            <w:tcW w:w="0" w:type="auto"/>
            <w:gridSpan w:val="3"/>
            <w:shd w:val="clear" w:color="auto" w:fill="auto"/>
            <w:vAlign w:val="bottom"/>
          </w:tcPr>
          <w:p w14:paraId="71D469A0" w14:textId="77777777" w:rsidR="006A3667" w:rsidRDefault="006A3667">
            <w:pPr>
              <w:rPr>
                <w:rFonts w:ascii="宋体"/>
                <w:vanish/>
              </w:rPr>
            </w:pPr>
          </w:p>
        </w:tc>
        <w:tc>
          <w:tcPr>
            <w:tcW w:w="0" w:type="auto"/>
            <w:gridSpan w:val="3"/>
            <w:shd w:val="clear" w:color="auto" w:fill="auto"/>
            <w:vAlign w:val="bottom"/>
          </w:tcPr>
          <w:p w14:paraId="71D469A1" w14:textId="77777777" w:rsidR="006A3667" w:rsidRDefault="006A3667">
            <w:pPr>
              <w:rPr>
                <w:rFonts w:ascii="宋体"/>
                <w:vanish/>
              </w:rPr>
            </w:pPr>
          </w:p>
        </w:tc>
        <w:tc>
          <w:tcPr>
            <w:tcW w:w="0" w:type="auto"/>
            <w:gridSpan w:val="3"/>
            <w:shd w:val="clear" w:color="auto" w:fill="auto"/>
            <w:vAlign w:val="bottom"/>
          </w:tcPr>
          <w:p w14:paraId="71D469A2" w14:textId="77777777" w:rsidR="006A3667" w:rsidRDefault="006A3667">
            <w:pPr>
              <w:rPr>
                <w:rFonts w:ascii="宋体"/>
                <w:vanish/>
              </w:rPr>
            </w:pPr>
          </w:p>
        </w:tc>
        <w:tc>
          <w:tcPr>
            <w:tcW w:w="0" w:type="auto"/>
            <w:gridSpan w:val="3"/>
            <w:shd w:val="clear" w:color="auto" w:fill="auto"/>
            <w:vAlign w:val="bottom"/>
          </w:tcPr>
          <w:p w14:paraId="71D469A3" w14:textId="77777777" w:rsidR="006A3667" w:rsidRDefault="006A3667">
            <w:pPr>
              <w:rPr>
                <w:rFonts w:ascii="宋体"/>
                <w:vanish/>
              </w:rPr>
            </w:pPr>
          </w:p>
        </w:tc>
        <w:tc>
          <w:tcPr>
            <w:tcW w:w="0" w:type="auto"/>
            <w:gridSpan w:val="3"/>
            <w:shd w:val="clear" w:color="auto" w:fill="auto"/>
            <w:vAlign w:val="bottom"/>
          </w:tcPr>
          <w:p w14:paraId="71D469A4" w14:textId="77777777" w:rsidR="006A3667" w:rsidRDefault="006A3667">
            <w:pPr>
              <w:rPr>
                <w:rFonts w:ascii="宋体"/>
                <w:vanish/>
              </w:rPr>
            </w:pPr>
          </w:p>
        </w:tc>
        <w:tc>
          <w:tcPr>
            <w:tcW w:w="0" w:type="auto"/>
            <w:shd w:val="clear" w:color="auto" w:fill="auto"/>
            <w:vAlign w:val="bottom"/>
          </w:tcPr>
          <w:p w14:paraId="71D469A5" w14:textId="77777777" w:rsidR="006A3667" w:rsidRDefault="006A3667">
            <w:pPr>
              <w:rPr>
                <w:rFonts w:ascii="宋体"/>
                <w:vanish/>
              </w:rPr>
            </w:pPr>
          </w:p>
        </w:tc>
        <w:tc>
          <w:tcPr>
            <w:tcW w:w="0" w:type="auto"/>
            <w:shd w:val="clear" w:color="auto" w:fill="auto"/>
            <w:vAlign w:val="bottom"/>
          </w:tcPr>
          <w:p w14:paraId="71D469A6" w14:textId="77777777" w:rsidR="006A3667" w:rsidRDefault="006A3667">
            <w:pPr>
              <w:rPr>
                <w:rFonts w:ascii="宋体"/>
                <w:vanish/>
              </w:rPr>
            </w:pPr>
          </w:p>
        </w:tc>
        <w:tc>
          <w:tcPr>
            <w:tcW w:w="0" w:type="auto"/>
            <w:gridSpan w:val="3"/>
            <w:shd w:val="clear" w:color="auto" w:fill="auto"/>
            <w:vAlign w:val="bottom"/>
          </w:tcPr>
          <w:p w14:paraId="71D469A7" w14:textId="77777777" w:rsidR="006A3667" w:rsidRDefault="006A3667">
            <w:pPr>
              <w:rPr>
                <w:rFonts w:ascii="宋体"/>
                <w:vanish/>
              </w:rPr>
            </w:pPr>
          </w:p>
        </w:tc>
        <w:tc>
          <w:tcPr>
            <w:tcW w:w="0" w:type="auto"/>
            <w:gridSpan w:val="3"/>
            <w:shd w:val="clear" w:color="auto" w:fill="auto"/>
            <w:vAlign w:val="bottom"/>
          </w:tcPr>
          <w:p w14:paraId="71D469A8" w14:textId="77777777" w:rsidR="006A3667" w:rsidRDefault="006A3667">
            <w:pPr>
              <w:rPr>
                <w:rFonts w:ascii="宋体"/>
                <w:vanish/>
              </w:rPr>
            </w:pPr>
          </w:p>
        </w:tc>
        <w:tc>
          <w:tcPr>
            <w:tcW w:w="0" w:type="auto"/>
            <w:gridSpan w:val="3"/>
            <w:shd w:val="clear" w:color="auto" w:fill="auto"/>
            <w:vAlign w:val="bottom"/>
          </w:tcPr>
          <w:p w14:paraId="71D469A9" w14:textId="77777777" w:rsidR="006A3667" w:rsidRDefault="006A3667">
            <w:pPr>
              <w:rPr>
                <w:rFonts w:ascii="宋体"/>
                <w:vanish/>
              </w:rPr>
            </w:pPr>
          </w:p>
        </w:tc>
        <w:tc>
          <w:tcPr>
            <w:tcW w:w="0" w:type="auto"/>
            <w:gridSpan w:val="3"/>
            <w:shd w:val="clear" w:color="auto" w:fill="auto"/>
            <w:vAlign w:val="bottom"/>
          </w:tcPr>
          <w:p w14:paraId="71D469AA" w14:textId="77777777" w:rsidR="006A3667" w:rsidRDefault="006A3667">
            <w:pPr>
              <w:rPr>
                <w:rFonts w:ascii="宋体"/>
                <w:vanish/>
              </w:rPr>
            </w:pPr>
          </w:p>
        </w:tc>
        <w:tc>
          <w:tcPr>
            <w:tcW w:w="0" w:type="auto"/>
            <w:gridSpan w:val="3"/>
            <w:shd w:val="clear" w:color="auto" w:fill="auto"/>
            <w:vAlign w:val="bottom"/>
          </w:tcPr>
          <w:p w14:paraId="71D469AB" w14:textId="77777777" w:rsidR="006A3667" w:rsidRDefault="006A3667">
            <w:pPr>
              <w:rPr>
                <w:rFonts w:ascii="宋体"/>
                <w:vanish/>
              </w:rPr>
            </w:pPr>
          </w:p>
        </w:tc>
      </w:tr>
      <w:tr w:rsidR="006A3667" w14:paraId="71D469BF" w14:textId="77777777">
        <w:trPr>
          <w:hidden/>
        </w:trPr>
        <w:tc>
          <w:tcPr>
            <w:tcW w:w="0" w:type="auto"/>
            <w:gridSpan w:val="3"/>
            <w:shd w:val="clear" w:color="auto" w:fill="auto"/>
            <w:vAlign w:val="bottom"/>
          </w:tcPr>
          <w:p w14:paraId="71D469AD" w14:textId="77777777" w:rsidR="006A3667" w:rsidRDefault="006A3667">
            <w:pPr>
              <w:rPr>
                <w:rFonts w:ascii="宋体"/>
                <w:vanish/>
              </w:rPr>
            </w:pPr>
          </w:p>
        </w:tc>
        <w:tc>
          <w:tcPr>
            <w:tcW w:w="0" w:type="auto"/>
            <w:gridSpan w:val="3"/>
            <w:shd w:val="clear" w:color="auto" w:fill="auto"/>
            <w:vAlign w:val="bottom"/>
          </w:tcPr>
          <w:p w14:paraId="71D469AE" w14:textId="77777777" w:rsidR="006A3667" w:rsidRDefault="006A3667">
            <w:pPr>
              <w:rPr>
                <w:rFonts w:ascii="宋体"/>
                <w:vanish/>
              </w:rPr>
            </w:pPr>
          </w:p>
        </w:tc>
        <w:tc>
          <w:tcPr>
            <w:tcW w:w="0" w:type="auto"/>
            <w:gridSpan w:val="3"/>
            <w:shd w:val="clear" w:color="auto" w:fill="auto"/>
            <w:vAlign w:val="bottom"/>
          </w:tcPr>
          <w:p w14:paraId="71D469AF" w14:textId="77777777" w:rsidR="006A3667" w:rsidRDefault="006A3667">
            <w:pPr>
              <w:rPr>
                <w:rFonts w:ascii="宋体"/>
                <w:vanish/>
              </w:rPr>
            </w:pPr>
          </w:p>
        </w:tc>
        <w:tc>
          <w:tcPr>
            <w:tcW w:w="0" w:type="auto"/>
            <w:gridSpan w:val="3"/>
            <w:shd w:val="clear" w:color="auto" w:fill="auto"/>
            <w:vAlign w:val="bottom"/>
          </w:tcPr>
          <w:p w14:paraId="71D469B0" w14:textId="77777777" w:rsidR="006A3667" w:rsidRDefault="006A3667">
            <w:pPr>
              <w:rPr>
                <w:rFonts w:ascii="宋体"/>
                <w:vanish/>
              </w:rPr>
            </w:pPr>
          </w:p>
        </w:tc>
        <w:tc>
          <w:tcPr>
            <w:tcW w:w="0" w:type="auto"/>
            <w:gridSpan w:val="3"/>
            <w:shd w:val="clear" w:color="auto" w:fill="auto"/>
            <w:vAlign w:val="bottom"/>
          </w:tcPr>
          <w:p w14:paraId="71D469B1" w14:textId="77777777" w:rsidR="006A3667" w:rsidRDefault="006A3667">
            <w:pPr>
              <w:rPr>
                <w:rFonts w:ascii="宋体"/>
                <w:vanish/>
              </w:rPr>
            </w:pPr>
          </w:p>
        </w:tc>
        <w:tc>
          <w:tcPr>
            <w:tcW w:w="0" w:type="auto"/>
            <w:gridSpan w:val="3"/>
            <w:shd w:val="clear" w:color="auto" w:fill="auto"/>
            <w:vAlign w:val="bottom"/>
          </w:tcPr>
          <w:p w14:paraId="71D469B2" w14:textId="77777777" w:rsidR="006A3667" w:rsidRDefault="006A3667">
            <w:pPr>
              <w:rPr>
                <w:rFonts w:ascii="宋体"/>
                <w:vanish/>
              </w:rPr>
            </w:pPr>
          </w:p>
        </w:tc>
        <w:tc>
          <w:tcPr>
            <w:tcW w:w="0" w:type="auto"/>
            <w:gridSpan w:val="3"/>
            <w:shd w:val="clear" w:color="auto" w:fill="auto"/>
            <w:vAlign w:val="bottom"/>
          </w:tcPr>
          <w:p w14:paraId="71D469B3" w14:textId="77777777" w:rsidR="006A3667" w:rsidRDefault="006A3667">
            <w:pPr>
              <w:rPr>
                <w:rFonts w:ascii="宋体"/>
                <w:vanish/>
              </w:rPr>
            </w:pPr>
          </w:p>
        </w:tc>
        <w:tc>
          <w:tcPr>
            <w:tcW w:w="0" w:type="auto"/>
            <w:gridSpan w:val="3"/>
            <w:shd w:val="clear" w:color="auto" w:fill="auto"/>
            <w:vAlign w:val="bottom"/>
          </w:tcPr>
          <w:p w14:paraId="71D469B4" w14:textId="77777777" w:rsidR="006A3667" w:rsidRDefault="006A3667">
            <w:pPr>
              <w:rPr>
                <w:rFonts w:ascii="宋体"/>
                <w:vanish/>
              </w:rPr>
            </w:pPr>
          </w:p>
        </w:tc>
        <w:tc>
          <w:tcPr>
            <w:tcW w:w="0" w:type="auto"/>
            <w:gridSpan w:val="3"/>
            <w:shd w:val="clear" w:color="auto" w:fill="auto"/>
            <w:vAlign w:val="bottom"/>
          </w:tcPr>
          <w:p w14:paraId="71D469B5" w14:textId="77777777" w:rsidR="006A3667" w:rsidRDefault="006A3667">
            <w:pPr>
              <w:rPr>
                <w:rFonts w:ascii="宋体"/>
                <w:vanish/>
              </w:rPr>
            </w:pPr>
          </w:p>
        </w:tc>
        <w:tc>
          <w:tcPr>
            <w:tcW w:w="0" w:type="auto"/>
            <w:gridSpan w:val="3"/>
            <w:shd w:val="clear" w:color="auto" w:fill="auto"/>
            <w:vAlign w:val="bottom"/>
          </w:tcPr>
          <w:p w14:paraId="71D469B6" w14:textId="77777777" w:rsidR="006A3667" w:rsidRDefault="006A3667">
            <w:pPr>
              <w:rPr>
                <w:rFonts w:ascii="宋体"/>
                <w:vanish/>
              </w:rPr>
            </w:pPr>
          </w:p>
        </w:tc>
        <w:tc>
          <w:tcPr>
            <w:tcW w:w="0" w:type="auto"/>
            <w:gridSpan w:val="3"/>
            <w:shd w:val="clear" w:color="auto" w:fill="auto"/>
            <w:vAlign w:val="bottom"/>
          </w:tcPr>
          <w:p w14:paraId="71D469B7" w14:textId="77777777" w:rsidR="006A3667" w:rsidRDefault="006A3667">
            <w:pPr>
              <w:rPr>
                <w:rFonts w:ascii="宋体"/>
                <w:vanish/>
              </w:rPr>
            </w:pPr>
          </w:p>
        </w:tc>
        <w:tc>
          <w:tcPr>
            <w:tcW w:w="0" w:type="auto"/>
            <w:shd w:val="clear" w:color="auto" w:fill="auto"/>
            <w:vAlign w:val="bottom"/>
          </w:tcPr>
          <w:p w14:paraId="71D469B8" w14:textId="77777777" w:rsidR="006A3667" w:rsidRDefault="006A3667">
            <w:pPr>
              <w:rPr>
                <w:rFonts w:ascii="宋体"/>
                <w:vanish/>
              </w:rPr>
            </w:pPr>
          </w:p>
        </w:tc>
        <w:tc>
          <w:tcPr>
            <w:tcW w:w="0" w:type="auto"/>
            <w:shd w:val="clear" w:color="auto" w:fill="auto"/>
            <w:vAlign w:val="bottom"/>
          </w:tcPr>
          <w:p w14:paraId="71D469B9" w14:textId="77777777" w:rsidR="006A3667" w:rsidRDefault="006A3667">
            <w:pPr>
              <w:rPr>
                <w:rFonts w:ascii="宋体"/>
                <w:vanish/>
              </w:rPr>
            </w:pPr>
          </w:p>
        </w:tc>
        <w:tc>
          <w:tcPr>
            <w:tcW w:w="0" w:type="auto"/>
            <w:gridSpan w:val="3"/>
            <w:shd w:val="clear" w:color="auto" w:fill="auto"/>
            <w:vAlign w:val="bottom"/>
          </w:tcPr>
          <w:p w14:paraId="71D469BA" w14:textId="77777777" w:rsidR="006A3667" w:rsidRDefault="006A3667">
            <w:pPr>
              <w:rPr>
                <w:rFonts w:ascii="宋体"/>
                <w:vanish/>
              </w:rPr>
            </w:pPr>
          </w:p>
        </w:tc>
        <w:tc>
          <w:tcPr>
            <w:tcW w:w="0" w:type="auto"/>
            <w:gridSpan w:val="3"/>
            <w:shd w:val="clear" w:color="auto" w:fill="auto"/>
            <w:vAlign w:val="bottom"/>
          </w:tcPr>
          <w:p w14:paraId="71D469BB" w14:textId="77777777" w:rsidR="006A3667" w:rsidRDefault="006A3667">
            <w:pPr>
              <w:rPr>
                <w:rFonts w:ascii="宋体"/>
                <w:vanish/>
              </w:rPr>
            </w:pPr>
          </w:p>
        </w:tc>
        <w:tc>
          <w:tcPr>
            <w:tcW w:w="0" w:type="auto"/>
            <w:gridSpan w:val="3"/>
            <w:shd w:val="clear" w:color="auto" w:fill="auto"/>
            <w:vAlign w:val="bottom"/>
          </w:tcPr>
          <w:p w14:paraId="71D469BC" w14:textId="77777777" w:rsidR="006A3667" w:rsidRDefault="006A3667">
            <w:pPr>
              <w:rPr>
                <w:rFonts w:ascii="宋体"/>
                <w:vanish/>
              </w:rPr>
            </w:pPr>
          </w:p>
        </w:tc>
        <w:tc>
          <w:tcPr>
            <w:tcW w:w="0" w:type="auto"/>
            <w:gridSpan w:val="3"/>
            <w:shd w:val="clear" w:color="auto" w:fill="auto"/>
            <w:vAlign w:val="bottom"/>
          </w:tcPr>
          <w:p w14:paraId="71D469BD" w14:textId="77777777" w:rsidR="006A3667" w:rsidRDefault="006A3667">
            <w:pPr>
              <w:rPr>
                <w:rFonts w:ascii="宋体"/>
                <w:vanish/>
              </w:rPr>
            </w:pPr>
          </w:p>
        </w:tc>
        <w:tc>
          <w:tcPr>
            <w:tcW w:w="0" w:type="auto"/>
            <w:gridSpan w:val="3"/>
            <w:shd w:val="clear" w:color="auto" w:fill="auto"/>
            <w:vAlign w:val="bottom"/>
          </w:tcPr>
          <w:p w14:paraId="71D469BE" w14:textId="77777777" w:rsidR="006A3667" w:rsidRDefault="006A3667">
            <w:pPr>
              <w:rPr>
                <w:rFonts w:ascii="宋体"/>
                <w:vanish/>
              </w:rPr>
            </w:pPr>
          </w:p>
        </w:tc>
      </w:tr>
      <w:tr w:rsidR="006A3667" w14:paraId="71D469DA" w14:textId="77777777">
        <w:tc>
          <w:tcPr>
            <w:tcW w:w="0" w:type="auto"/>
            <w:gridSpan w:val="3"/>
            <w:shd w:val="clear" w:color="auto" w:fill="CCEEFF"/>
            <w:tcMar>
              <w:top w:w="40" w:type="dxa"/>
              <w:left w:w="380" w:type="dxa"/>
              <w:bottom w:w="40" w:type="dxa"/>
              <w:right w:w="20" w:type="dxa"/>
            </w:tcMar>
            <w:vAlign w:val="bottom"/>
          </w:tcPr>
          <w:p w14:paraId="71D469C0" w14:textId="77777777" w:rsidR="006A3667" w:rsidRDefault="00045F32">
            <w:pPr>
              <w:textAlignment w:val="bottom"/>
            </w:pPr>
            <w:r>
              <w:rPr>
                <w:rFonts w:ascii="Arial" w:eastAsia="宋体" w:hAnsi="Arial" w:cs="Arial"/>
                <w:color w:val="000000"/>
                <w:sz w:val="14"/>
                <w:szCs w:val="14"/>
              </w:rPr>
              <w:t>Substandard</w:t>
            </w:r>
          </w:p>
        </w:tc>
        <w:tc>
          <w:tcPr>
            <w:tcW w:w="0" w:type="auto"/>
            <w:gridSpan w:val="2"/>
            <w:shd w:val="clear" w:color="auto" w:fill="CCEEFF"/>
            <w:tcMar>
              <w:top w:w="40" w:type="dxa"/>
              <w:left w:w="20" w:type="dxa"/>
              <w:bottom w:w="40" w:type="dxa"/>
              <w:right w:w="0" w:type="dxa"/>
            </w:tcMar>
            <w:vAlign w:val="bottom"/>
          </w:tcPr>
          <w:p w14:paraId="71D469C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C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9C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C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9C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C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9CA" w14:textId="77777777" w:rsidR="006A3667" w:rsidRDefault="00045F32">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71D469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C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9C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CF" w14:textId="77777777" w:rsidR="006A3667" w:rsidRDefault="006A3667">
            <w:pPr>
              <w:rPr>
                <w:rFonts w:ascii="宋体"/>
              </w:rPr>
            </w:pPr>
          </w:p>
        </w:tc>
        <w:tc>
          <w:tcPr>
            <w:tcW w:w="0" w:type="auto"/>
            <w:shd w:val="clear" w:color="auto" w:fill="auto"/>
            <w:vAlign w:val="bottom"/>
          </w:tcPr>
          <w:p w14:paraId="71D469D0" w14:textId="77777777" w:rsidR="006A3667" w:rsidRDefault="006A3667">
            <w:pPr>
              <w:rPr>
                <w:rFonts w:ascii="宋体"/>
                <w:vanish/>
              </w:rPr>
            </w:pPr>
          </w:p>
        </w:tc>
        <w:tc>
          <w:tcPr>
            <w:tcW w:w="0" w:type="auto"/>
            <w:shd w:val="clear" w:color="auto" w:fill="auto"/>
            <w:vAlign w:val="bottom"/>
          </w:tcPr>
          <w:p w14:paraId="71D469D1"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69D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D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D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9D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9D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9D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9D8" w14:textId="77777777" w:rsidR="006A3667" w:rsidRDefault="00045F32">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71D469D9" w14:textId="77777777" w:rsidR="006A3667" w:rsidRDefault="006A3667">
            <w:pPr>
              <w:jc w:val="right"/>
              <w:rPr>
                <w:rFonts w:ascii="宋体"/>
              </w:rPr>
            </w:pPr>
          </w:p>
        </w:tc>
      </w:tr>
      <w:tr w:rsidR="006A3667" w14:paraId="71D469ED" w14:textId="77777777">
        <w:trPr>
          <w:hidden/>
        </w:trPr>
        <w:tc>
          <w:tcPr>
            <w:tcW w:w="0" w:type="auto"/>
            <w:gridSpan w:val="3"/>
            <w:shd w:val="clear" w:color="auto" w:fill="auto"/>
            <w:vAlign w:val="bottom"/>
          </w:tcPr>
          <w:p w14:paraId="71D469DB" w14:textId="77777777" w:rsidR="006A3667" w:rsidRDefault="006A3667">
            <w:pPr>
              <w:rPr>
                <w:rFonts w:ascii="宋体"/>
                <w:vanish/>
              </w:rPr>
            </w:pPr>
          </w:p>
        </w:tc>
        <w:tc>
          <w:tcPr>
            <w:tcW w:w="0" w:type="auto"/>
            <w:gridSpan w:val="3"/>
            <w:shd w:val="clear" w:color="auto" w:fill="auto"/>
            <w:vAlign w:val="bottom"/>
          </w:tcPr>
          <w:p w14:paraId="71D469DC" w14:textId="77777777" w:rsidR="006A3667" w:rsidRDefault="006A3667">
            <w:pPr>
              <w:rPr>
                <w:rFonts w:ascii="宋体"/>
                <w:vanish/>
              </w:rPr>
            </w:pPr>
          </w:p>
        </w:tc>
        <w:tc>
          <w:tcPr>
            <w:tcW w:w="0" w:type="auto"/>
            <w:gridSpan w:val="3"/>
            <w:shd w:val="clear" w:color="auto" w:fill="auto"/>
            <w:vAlign w:val="bottom"/>
          </w:tcPr>
          <w:p w14:paraId="71D469DD" w14:textId="77777777" w:rsidR="006A3667" w:rsidRDefault="006A3667">
            <w:pPr>
              <w:rPr>
                <w:rFonts w:ascii="宋体"/>
                <w:vanish/>
              </w:rPr>
            </w:pPr>
          </w:p>
        </w:tc>
        <w:tc>
          <w:tcPr>
            <w:tcW w:w="0" w:type="auto"/>
            <w:gridSpan w:val="3"/>
            <w:shd w:val="clear" w:color="auto" w:fill="auto"/>
            <w:vAlign w:val="bottom"/>
          </w:tcPr>
          <w:p w14:paraId="71D469DE" w14:textId="77777777" w:rsidR="006A3667" w:rsidRDefault="006A3667">
            <w:pPr>
              <w:rPr>
                <w:rFonts w:ascii="宋体"/>
                <w:vanish/>
              </w:rPr>
            </w:pPr>
          </w:p>
        </w:tc>
        <w:tc>
          <w:tcPr>
            <w:tcW w:w="0" w:type="auto"/>
            <w:gridSpan w:val="3"/>
            <w:shd w:val="clear" w:color="auto" w:fill="auto"/>
            <w:vAlign w:val="bottom"/>
          </w:tcPr>
          <w:p w14:paraId="71D469DF" w14:textId="77777777" w:rsidR="006A3667" w:rsidRDefault="006A3667">
            <w:pPr>
              <w:rPr>
                <w:rFonts w:ascii="宋体"/>
                <w:vanish/>
              </w:rPr>
            </w:pPr>
          </w:p>
        </w:tc>
        <w:tc>
          <w:tcPr>
            <w:tcW w:w="0" w:type="auto"/>
            <w:gridSpan w:val="3"/>
            <w:shd w:val="clear" w:color="auto" w:fill="auto"/>
            <w:vAlign w:val="bottom"/>
          </w:tcPr>
          <w:p w14:paraId="71D469E0" w14:textId="77777777" w:rsidR="006A3667" w:rsidRDefault="006A3667">
            <w:pPr>
              <w:rPr>
                <w:rFonts w:ascii="宋体"/>
                <w:vanish/>
              </w:rPr>
            </w:pPr>
          </w:p>
        </w:tc>
        <w:tc>
          <w:tcPr>
            <w:tcW w:w="0" w:type="auto"/>
            <w:gridSpan w:val="3"/>
            <w:shd w:val="clear" w:color="auto" w:fill="auto"/>
            <w:vAlign w:val="bottom"/>
          </w:tcPr>
          <w:p w14:paraId="71D469E1" w14:textId="77777777" w:rsidR="006A3667" w:rsidRDefault="006A3667">
            <w:pPr>
              <w:rPr>
                <w:rFonts w:ascii="宋体"/>
                <w:vanish/>
              </w:rPr>
            </w:pPr>
          </w:p>
        </w:tc>
        <w:tc>
          <w:tcPr>
            <w:tcW w:w="0" w:type="auto"/>
            <w:gridSpan w:val="3"/>
            <w:shd w:val="clear" w:color="auto" w:fill="auto"/>
            <w:vAlign w:val="bottom"/>
          </w:tcPr>
          <w:p w14:paraId="71D469E2" w14:textId="77777777" w:rsidR="006A3667" w:rsidRDefault="006A3667">
            <w:pPr>
              <w:rPr>
                <w:rFonts w:ascii="宋体"/>
                <w:vanish/>
              </w:rPr>
            </w:pPr>
          </w:p>
        </w:tc>
        <w:tc>
          <w:tcPr>
            <w:tcW w:w="0" w:type="auto"/>
            <w:gridSpan w:val="3"/>
            <w:shd w:val="clear" w:color="auto" w:fill="auto"/>
            <w:vAlign w:val="bottom"/>
          </w:tcPr>
          <w:p w14:paraId="71D469E3" w14:textId="77777777" w:rsidR="006A3667" w:rsidRDefault="006A3667">
            <w:pPr>
              <w:rPr>
                <w:rFonts w:ascii="宋体"/>
                <w:vanish/>
              </w:rPr>
            </w:pPr>
          </w:p>
        </w:tc>
        <w:tc>
          <w:tcPr>
            <w:tcW w:w="0" w:type="auto"/>
            <w:gridSpan w:val="3"/>
            <w:shd w:val="clear" w:color="auto" w:fill="auto"/>
            <w:vAlign w:val="bottom"/>
          </w:tcPr>
          <w:p w14:paraId="71D469E4" w14:textId="77777777" w:rsidR="006A3667" w:rsidRDefault="006A3667">
            <w:pPr>
              <w:rPr>
                <w:rFonts w:ascii="宋体"/>
                <w:vanish/>
              </w:rPr>
            </w:pPr>
          </w:p>
        </w:tc>
        <w:tc>
          <w:tcPr>
            <w:tcW w:w="0" w:type="auto"/>
            <w:gridSpan w:val="3"/>
            <w:shd w:val="clear" w:color="auto" w:fill="auto"/>
            <w:vAlign w:val="bottom"/>
          </w:tcPr>
          <w:p w14:paraId="71D469E5" w14:textId="77777777" w:rsidR="006A3667" w:rsidRDefault="006A3667">
            <w:pPr>
              <w:rPr>
                <w:rFonts w:ascii="宋体"/>
                <w:vanish/>
              </w:rPr>
            </w:pPr>
          </w:p>
        </w:tc>
        <w:tc>
          <w:tcPr>
            <w:tcW w:w="0" w:type="auto"/>
            <w:shd w:val="clear" w:color="auto" w:fill="auto"/>
            <w:vAlign w:val="bottom"/>
          </w:tcPr>
          <w:p w14:paraId="71D469E6" w14:textId="77777777" w:rsidR="006A3667" w:rsidRDefault="006A3667">
            <w:pPr>
              <w:rPr>
                <w:rFonts w:ascii="宋体"/>
                <w:vanish/>
              </w:rPr>
            </w:pPr>
          </w:p>
        </w:tc>
        <w:tc>
          <w:tcPr>
            <w:tcW w:w="0" w:type="auto"/>
            <w:shd w:val="clear" w:color="auto" w:fill="auto"/>
            <w:vAlign w:val="bottom"/>
          </w:tcPr>
          <w:p w14:paraId="71D469E7" w14:textId="77777777" w:rsidR="006A3667" w:rsidRDefault="006A3667">
            <w:pPr>
              <w:rPr>
                <w:rFonts w:ascii="宋体"/>
                <w:vanish/>
              </w:rPr>
            </w:pPr>
          </w:p>
        </w:tc>
        <w:tc>
          <w:tcPr>
            <w:tcW w:w="0" w:type="auto"/>
            <w:gridSpan w:val="3"/>
            <w:shd w:val="clear" w:color="auto" w:fill="auto"/>
            <w:vAlign w:val="bottom"/>
          </w:tcPr>
          <w:p w14:paraId="71D469E8" w14:textId="77777777" w:rsidR="006A3667" w:rsidRDefault="006A3667">
            <w:pPr>
              <w:rPr>
                <w:rFonts w:ascii="宋体"/>
                <w:vanish/>
              </w:rPr>
            </w:pPr>
          </w:p>
        </w:tc>
        <w:tc>
          <w:tcPr>
            <w:tcW w:w="0" w:type="auto"/>
            <w:gridSpan w:val="3"/>
            <w:shd w:val="clear" w:color="auto" w:fill="auto"/>
            <w:vAlign w:val="bottom"/>
          </w:tcPr>
          <w:p w14:paraId="71D469E9" w14:textId="77777777" w:rsidR="006A3667" w:rsidRDefault="006A3667">
            <w:pPr>
              <w:rPr>
                <w:rFonts w:ascii="宋体"/>
                <w:vanish/>
              </w:rPr>
            </w:pPr>
          </w:p>
        </w:tc>
        <w:tc>
          <w:tcPr>
            <w:tcW w:w="0" w:type="auto"/>
            <w:gridSpan w:val="3"/>
            <w:shd w:val="clear" w:color="auto" w:fill="auto"/>
            <w:vAlign w:val="bottom"/>
          </w:tcPr>
          <w:p w14:paraId="71D469EA" w14:textId="77777777" w:rsidR="006A3667" w:rsidRDefault="006A3667">
            <w:pPr>
              <w:rPr>
                <w:rFonts w:ascii="宋体"/>
                <w:vanish/>
              </w:rPr>
            </w:pPr>
          </w:p>
        </w:tc>
        <w:tc>
          <w:tcPr>
            <w:tcW w:w="0" w:type="auto"/>
            <w:gridSpan w:val="3"/>
            <w:shd w:val="clear" w:color="auto" w:fill="auto"/>
            <w:vAlign w:val="bottom"/>
          </w:tcPr>
          <w:p w14:paraId="71D469EB" w14:textId="77777777" w:rsidR="006A3667" w:rsidRDefault="006A3667">
            <w:pPr>
              <w:rPr>
                <w:rFonts w:ascii="宋体"/>
                <w:vanish/>
              </w:rPr>
            </w:pPr>
          </w:p>
        </w:tc>
        <w:tc>
          <w:tcPr>
            <w:tcW w:w="0" w:type="auto"/>
            <w:gridSpan w:val="3"/>
            <w:shd w:val="clear" w:color="auto" w:fill="auto"/>
            <w:vAlign w:val="bottom"/>
          </w:tcPr>
          <w:p w14:paraId="71D469EC" w14:textId="77777777" w:rsidR="006A3667" w:rsidRDefault="006A3667">
            <w:pPr>
              <w:rPr>
                <w:rFonts w:ascii="宋体"/>
                <w:vanish/>
              </w:rPr>
            </w:pPr>
          </w:p>
        </w:tc>
      </w:tr>
      <w:tr w:rsidR="006A3667" w14:paraId="71D46A10" w14:textId="77777777">
        <w:tc>
          <w:tcPr>
            <w:tcW w:w="0" w:type="auto"/>
            <w:gridSpan w:val="3"/>
            <w:shd w:val="clear" w:color="auto" w:fill="FFFFFF"/>
            <w:tcMar>
              <w:top w:w="40" w:type="dxa"/>
              <w:left w:w="155" w:type="dxa"/>
              <w:bottom w:w="40" w:type="dxa"/>
              <w:right w:w="20" w:type="dxa"/>
            </w:tcMar>
            <w:vAlign w:val="bottom"/>
          </w:tcPr>
          <w:p w14:paraId="71D469EE" w14:textId="77777777" w:rsidR="006A3667" w:rsidRDefault="00045F32">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69E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69F0" w14:textId="77777777" w:rsidR="006A3667" w:rsidRDefault="00045F32">
            <w:pPr>
              <w:jc w:val="right"/>
              <w:textAlignment w:val="bottom"/>
            </w:pPr>
            <w:r>
              <w:rPr>
                <w:rFonts w:ascii="Arial" w:eastAsia="宋体" w:hAnsi="Arial" w:cs="Arial"/>
                <w:color w:val="000000"/>
                <w:sz w:val="14"/>
                <w:szCs w:val="14"/>
              </w:rPr>
              <w:t>4,648 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9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F2"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69F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69F4" w14:textId="77777777" w:rsidR="006A3667" w:rsidRDefault="00045F32">
            <w:pPr>
              <w:jc w:val="right"/>
              <w:textAlignment w:val="bottom"/>
            </w:pPr>
            <w:r>
              <w:rPr>
                <w:rFonts w:ascii="Arial" w:eastAsia="宋体" w:hAnsi="Arial" w:cs="Arial"/>
                <w:color w:val="000000"/>
                <w:sz w:val="14"/>
                <w:szCs w:val="14"/>
              </w:rPr>
              <w:t>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9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F6"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69F7"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69F8" w14:textId="77777777" w:rsidR="006A3667" w:rsidRDefault="00045F32">
            <w:pPr>
              <w:jc w:val="right"/>
              <w:textAlignment w:val="bottom"/>
            </w:pPr>
            <w:r>
              <w:rPr>
                <w:rFonts w:ascii="Arial" w:eastAsia="宋体" w:hAnsi="Arial" w:cs="Arial"/>
                <w:color w:val="000000"/>
                <w:sz w:val="14"/>
                <w:szCs w:val="14"/>
              </w:rPr>
              <w:t>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9F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FA"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69FB"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69FC" w14:textId="77777777" w:rsidR="006A3667" w:rsidRDefault="00045F32">
            <w:pPr>
              <w:jc w:val="right"/>
              <w:textAlignment w:val="bottom"/>
            </w:pPr>
            <w:r>
              <w:rPr>
                <w:rFonts w:ascii="Arial" w:eastAsia="宋体" w:hAnsi="Arial" w:cs="Arial"/>
                <w:color w:val="000000"/>
                <w:sz w:val="14"/>
                <w:szCs w:val="14"/>
              </w:rPr>
              <w:t>228 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9F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9FE"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69F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6A00" w14:textId="77777777" w:rsidR="006A3667" w:rsidRDefault="00045F32">
            <w:pPr>
              <w:jc w:val="right"/>
              <w:textAlignment w:val="bottom"/>
            </w:pPr>
            <w:r>
              <w:rPr>
                <w:rFonts w:ascii="Arial" w:eastAsia="宋体" w:hAnsi="Arial" w:cs="Arial"/>
                <w:color w:val="000000"/>
                <w:sz w:val="14"/>
                <w:szCs w:val="14"/>
              </w:rPr>
              <w:t>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A0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02" w14:textId="77777777" w:rsidR="006A3667" w:rsidRDefault="006A3667">
            <w:pPr>
              <w:rPr>
                <w:rFonts w:ascii="宋体"/>
              </w:rPr>
            </w:pPr>
          </w:p>
        </w:tc>
        <w:tc>
          <w:tcPr>
            <w:tcW w:w="0" w:type="auto"/>
            <w:shd w:val="clear" w:color="auto" w:fill="auto"/>
            <w:vAlign w:val="bottom"/>
          </w:tcPr>
          <w:p w14:paraId="71D46A03" w14:textId="77777777" w:rsidR="006A3667" w:rsidRDefault="006A3667">
            <w:pPr>
              <w:rPr>
                <w:rFonts w:ascii="宋体"/>
                <w:vanish/>
              </w:rPr>
            </w:pPr>
          </w:p>
        </w:tc>
        <w:tc>
          <w:tcPr>
            <w:tcW w:w="0" w:type="auto"/>
            <w:shd w:val="clear" w:color="auto" w:fill="auto"/>
            <w:vAlign w:val="bottom"/>
          </w:tcPr>
          <w:p w14:paraId="71D46A04" w14:textId="77777777" w:rsidR="006A3667" w:rsidRDefault="006A3667">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6A0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6A06" w14:textId="77777777" w:rsidR="006A3667" w:rsidRDefault="00045F32">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A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0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6A0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6A0A" w14:textId="77777777" w:rsidR="006A3667" w:rsidRDefault="00045F32">
            <w:pPr>
              <w:jc w:val="right"/>
              <w:textAlignment w:val="bottom"/>
            </w:pPr>
            <w:r>
              <w:rPr>
                <w:rFonts w:ascii="Arial" w:eastAsia="宋体" w:hAnsi="Arial" w:cs="Arial"/>
                <w:color w:val="000000"/>
                <w:sz w:val="14"/>
                <w:szCs w:val="14"/>
              </w:rPr>
              <w:t>4,918 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A0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0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6A0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6A0E" w14:textId="77777777" w:rsidR="006A3667" w:rsidRDefault="00045F32">
            <w:pPr>
              <w:jc w:val="right"/>
              <w:textAlignment w:val="bottom"/>
            </w:pPr>
            <w:r>
              <w:rPr>
                <w:rFonts w:ascii="Arial" w:eastAsia="宋体" w:hAnsi="Arial" w:cs="Arial"/>
                <w:color w:val="000000"/>
                <w:sz w:val="14"/>
                <w:szCs w:val="14"/>
              </w:rPr>
              <w:t>10,410 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6A0F" w14:textId="77777777" w:rsidR="006A3667" w:rsidRDefault="006A3667">
            <w:pPr>
              <w:jc w:val="right"/>
              <w:rPr>
                <w:rFonts w:ascii="宋体"/>
              </w:rPr>
            </w:pPr>
          </w:p>
        </w:tc>
      </w:tr>
      <w:tr w:rsidR="006A3667" w14:paraId="71D46A23" w14:textId="77777777">
        <w:trPr>
          <w:trHeight w:val="220"/>
        </w:trPr>
        <w:tc>
          <w:tcPr>
            <w:tcW w:w="0" w:type="auto"/>
            <w:gridSpan w:val="3"/>
            <w:shd w:val="clear" w:color="auto" w:fill="CCEEFF"/>
            <w:tcMar>
              <w:top w:w="0" w:type="dxa"/>
              <w:left w:w="20" w:type="dxa"/>
              <w:bottom w:w="0" w:type="dxa"/>
              <w:right w:w="20" w:type="dxa"/>
            </w:tcMar>
            <w:vAlign w:val="bottom"/>
          </w:tcPr>
          <w:p w14:paraId="71D46A11"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6A1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A13"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6A1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A15"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6A1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A17"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6A1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A19"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6A1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A1B" w14:textId="77777777" w:rsidR="006A3667" w:rsidRDefault="006A3667">
            <w:pPr>
              <w:rPr>
                <w:rFonts w:ascii="宋体"/>
              </w:rPr>
            </w:pPr>
          </w:p>
        </w:tc>
        <w:tc>
          <w:tcPr>
            <w:tcW w:w="0" w:type="auto"/>
            <w:shd w:val="clear" w:color="auto" w:fill="auto"/>
            <w:vAlign w:val="bottom"/>
          </w:tcPr>
          <w:p w14:paraId="71D46A1C" w14:textId="77777777" w:rsidR="006A3667" w:rsidRDefault="006A3667">
            <w:pPr>
              <w:rPr>
                <w:rFonts w:ascii="宋体"/>
                <w:vanish/>
              </w:rPr>
            </w:pPr>
          </w:p>
        </w:tc>
        <w:tc>
          <w:tcPr>
            <w:tcW w:w="0" w:type="auto"/>
            <w:shd w:val="clear" w:color="auto" w:fill="auto"/>
            <w:vAlign w:val="bottom"/>
          </w:tcPr>
          <w:p w14:paraId="71D46A1D" w14:textId="77777777" w:rsidR="006A3667" w:rsidRDefault="006A3667">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6A1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A1F"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6A2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6A21"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6A22" w14:textId="77777777" w:rsidR="006A3667" w:rsidRDefault="006A3667">
            <w:pPr>
              <w:rPr>
                <w:rFonts w:ascii="宋体"/>
              </w:rPr>
            </w:pPr>
          </w:p>
        </w:tc>
      </w:tr>
      <w:tr w:rsidR="006A3667" w14:paraId="71D46A36" w14:textId="77777777">
        <w:trPr>
          <w:hidden/>
        </w:trPr>
        <w:tc>
          <w:tcPr>
            <w:tcW w:w="0" w:type="auto"/>
            <w:gridSpan w:val="3"/>
            <w:shd w:val="clear" w:color="auto" w:fill="auto"/>
            <w:vAlign w:val="bottom"/>
          </w:tcPr>
          <w:p w14:paraId="71D46A24" w14:textId="77777777" w:rsidR="006A3667" w:rsidRDefault="006A3667">
            <w:pPr>
              <w:rPr>
                <w:rFonts w:ascii="宋体"/>
                <w:vanish/>
              </w:rPr>
            </w:pPr>
          </w:p>
        </w:tc>
        <w:tc>
          <w:tcPr>
            <w:tcW w:w="0" w:type="auto"/>
            <w:gridSpan w:val="3"/>
            <w:shd w:val="clear" w:color="auto" w:fill="auto"/>
            <w:vAlign w:val="bottom"/>
          </w:tcPr>
          <w:p w14:paraId="71D46A25" w14:textId="77777777" w:rsidR="006A3667" w:rsidRDefault="006A3667">
            <w:pPr>
              <w:rPr>
                <w:rFonts w:ascii="宋体"/>
                <w:vanish/>
              </w:rPr>
            </w:pPr>
          </w:p>
        </w:tc>
        <w:tc>
          <w:tcPr>
            <w:tcW w:w="0" w:type="auto"/>
            <w:gridSpan w:val="3"/>
            <w:shd w:val="clear" w:color="auto" w:fill="auto"/>
            <w:vAlign w:val="bottom"/>
          </w:tcPr>
          <w:p w14:paraId="71D46A26" w14:textId="77777777" w:rsidR="006A3667" w:rsidRDefault="006A3667">
            <w:pPr>
              <w:rPr>
                <w:rFonts w:ascii="宋体"/>
                <w:vanish/>
              </w:rPr>
            </w:pPr>
          </w:p>
        </w:tc>
        <w:tc>
          <w:tcPr>
            <w:tcW w:w="0" w:type="auto"/>
            <w:gridSpan w:val="3"/>
            <w:shd w:val="clear" w:color="auto" w:fill="auto"/>
            <w:vAlign w:val="bottom"/>
          </w:tcPr>
          <w:p w14:paraId="71D46A27" w14:textId="77777777" w:rsidR="006A3667" w:rsidRDefault="006A3667">
            <w:pPr>
              <w:rPr>
                <w:rFonts w:ascii="宋体"/>
                <w:vanish/>
              </w:rPr>
            </w:pPr>
          </w:p>
        </w:tc>
        <w:tc>
          <w:tcPr>
            <w:tcW w:w="0" w:type="auto"/>
            <w:gridSpan w:val="3"/>
            <w:shd w:val="clear" w:color="auto" w:fill="auto"/>
            <w:vAlign w:val="bottom"/>
          </w:tcPr>
          <w:p w14:paraId="71D46A28" w14:textId="77777777" w:rsidR="006A3667" w:rsidRDefault="006A3667">
            <w:pPr>
              <w:rPr>
                <w:rFonts w:ascii="宋体"/>
                <w:vanish/>
              </w:rPr>
            </w:pPr>
          </w:p>
        </w:tc>
        <w:tc>
          <w:tcPr>
            <w:tcW w:w="0" w:type="auto"/>
            <w:gridSpan w:val="3"/>
            <w:shd w:val="clear" w:color="auto" w:fill="auto"/>
            <w:vAlign w:val="bottom"/>
          </w:tcPr>
          <w:p w14:paraId="71D46A29" w14:textId="77777777" w:rsidR="006A3667" w:rsidRDefault="006A3667">
            <w:pPr>
              <w:rPr>
                <w:rFonts w:ascii="宋体"/>
                <w:vanish/>
              </w:rPr>
            </w:pPr>
          </w:p>
        </w:tc>
        <w:tc>
          <w:tcPr>
            <w:tcW w:w="0" w:type="auto"/>
            <w:gridSpan w:val="3"/>
            <w:shd w:val="clear" w:color="auto" w:fill="auto"/>
            <w:vAlign w:val="bottom"/>
          </w:tcPr>
          <w:p w14:paraId="71D46A2A" w14:textId="77777777" w:rsidR="006A3667" w:rsidRDefault="006A3667">
            <w:pPr>
              <w:rPr>
                <w:rFonts w:ascii="宋体"/>
                <w:vanish/>
              </w:rPr>
            </w:pPr>
          </w:p>
        </w:tc>
        <w:tc>
          <w:tcPr>
            <w:tcW w:w="0" w:type="auto"/>
            <w:gridSpan w:val="3"/>
            <w:shd w:val="clear" w:color="auto" w:fill="auto"/>
            <w:vAlign w:val="bottom"/>
          </w:tcPr>
          <w:p w14:paraId="71D46A2B" w14:textId="77777777" w:rsidR="006A3667" w:rsidRDefault="006A3667">
            <w:pPr>
              <w:rPr>
                <w:rFonts w:ascii="宋体"/>
                <w:vanish/>
              </w:rPr>
            </w:pPr>
          </w:p>
        </w:tc>
        <w:tc>
          <w:tcPr>
            <w:tcW w:w="0" w:type="auto"/>
            <w:gridSpan w:val="3"/>
            <w:shd w:val="clear" w:color="auto" w:fill="auto"/>
            <w:vAlign w:val="bottom"/>
          </w:tcPr>
          <w:p w14:paraId="71D46A2C" w14:textId="77777777" w:rsidR="006A3667" w:rsidRDefault="006A3667">
            <w:pPr>
              <w:rPr>
                <w:rFonts w:ascii="宋体"/>
                <w:vanish/>
              </w:rPr>
            </w:pPr>
          </w:p>
        </w:tc>
        <w:tc>
          <w:tcPr>
            <w:tcW w:w="0" w:type="auto"/>
            <w:gridSpan w:val="3"/>
            <w:shd w:val="clear" w:color="auto" w:fill="auto"/>
            <w:vAlign w:val="bottom"/>
          </w:tcPr>
          <w:p w14:paraId="71D46A2D" w14:textId="77777777" w:rsidR="006A3667" w:rsidRDefault="006A3667">
            <w:pPr>
              <w:rPr>
                <w:rFonts w:ascii="宋体"/>
                <w:vanish/>
              </w:rPr>
            </w:pPr>
          </w:p>
        </w:tc>
        <w:tc>
          <w:tcPr>
            <w:tcW w:w="0" w:type="auto"/>
            <w:gridSpan w:val="3"/>
            <w:shd w:val="clear" w:color="auto" w:fill="auto"/>
            <w:vAlign w:val="bottom"/>
          </w:tcPr>
          <w:p w14:paraId="71D46A2E" w14:textId="77777777" w:rsidR="006A3667" w:rsidRDefault="006A3667">
            <w:pPr>
              <w:rPr>
                <w:rFonts w:ascii="宋体"/>
                <w:vanish/>
              </w:rPr>
            </w:pPr>
          </w:p>
        </w:tc>
        <w:tc>
          <w:tcPr>
            <w:tcW w:w="0" w:type="auto"/>
            <w:shd w:val="clear" w:color="auto" w:fill="auto"/>
            <w:vAlign w:val="bottom"/>
          </w:tcPr>
          <w:p w14:paraId="71D46A2F" w14:textId="77777777" w:rsidR="006A3667" w:rsidRDefault="006A3667">
            <w:pPr>
              <w:rPr>
                <w:rFonts w:ascii="宋体"/>
                <w:vanish/>
              </w:rPr>
            </w:pPr>
          </w:p>
        </w:tc>
        <w:tc>
          <w:tcPr>
            <w:tcW w:w="0" w:type="auto"/>
            <w:shd w:val="clear" w:color="auto" w:fill="auto"/>
            <w:vAlign w:val="bottom"/>
          </w:tcPr>
          <w:p w14:paraId="71D46A30" w14:textId="77777777" w:rsidR="006A3667" w:rsidRDefault="006A3667">
            <w:pPr>
              <w:rPr>
                <w:rFonts w:ascii="宋体"/>
                <w:vanish/>
              </w:rPr>
            </w:pPr>
          </w:p>
        </w:tc>
        <w:tc>
          <w:tcPr>
            <w:tcW w:w="0" w:type="auto"/>
            <w:gridSpan w:val="3"/>
            <w:shd w:val="clear" w:color="auto" w:fill="auto"/>
            <w:vAlign w:val="bottom"/>
          </w:tcPr>
          <w:p w14:paraId="71D46A31" w14:textId="77777777" w:rsidR="006A3667" w:rsidRDefault="006A3667">
            <w:pPr>
              <w:rPr>
                <w:rFonts w:ascii="宋体"/>
                <w:vanish/>
              </w:rPr>
            </w:pPr>
          </w:p>
        </w:tc>
        <w:tc>
          <w:tcPr>
            <w:tcW w:w="0" w:type="auto"/>
            <w:gridSpan w:val="3"/>
            <w:shd w:val="clear" w:color="auto" w:fill="auto"/>
            <w:vAlign w:val="bottom"/>
          </w:tcPr>
          <w:p w14:paraId="71D46A32" w14:textId="77777777" w:rsidR="006A3667" w:rsidRDefault="006A3667">
            <w:pPr>
              <w:rPr>
                <w:rFonts w:ascii="宋体"/>
                <w:vanish/>
              </w:rPr>
            </w:pPr>
          </w:p>
        </w:tc>
        <w:tc>
          <w:tcPr>
            <w:tcW w:w="0" w:type="auto"/>
            <w:gridSpan w:val="3"/>
            <w:shd w:val="clear" w:color="auto" w:fill="auto"/>
            <w:vAlign w:val="bottom"/>
          </w:tcPr>
          <w:p w14:paraId="71D46A33" w14:textId="77777777" w:rsidR="006A3667" w:rsidRDefault="006A3667">
            <w:pPr>
              <w:rPr>
                <w:rFonts w:ascii="宋体"/>
                <w:vanish/>
              </w:rPr>
            </w:pPr>
          </w:p>
        </w:tc>
        <w:tc>
          <w:tcPr>
            <w:tcW w:w="0" w:type="auto"/>
            <w:gridSpan w:val="3"/>
            <w:shd w:val="clear" w:color="auto" w:fill="auto"/>
            <w:vAlign w:val="bottom"/>
          </w:tcPr>
          <w:p w14:paraId="71D46A34" w14:textId="77777777" w:rsidR="006A3667" w:rsidRDefault="006A3667">
            <w:pPr>
              <w:rPr>
                <w:rFonts w:ascii="宋体"/>
                <w:vanish/>
              </w:rPr>
            </w:pPr>
          </w:p>
        </w:tc>
        <w:tc>
          <w:tcPr>
            <w:tcW w:w="0" w:type="auto"/>
            <w:gridSpan w:val="3"/>
            <w:shd w:val="clear" w:color="auto" w:fill="auto"/>
            <w:vAlign w:val="bottom"/>
          </w:tcPr>
          <w:p w14:paraId="71D46A35" w14:textId="77777777" w:rsidR="006A3667" w:rsidRDefault="006A3667">
            <w:pPr>
              <w:rPr>
                <w:rFonts w:ascii="宋体"/>
                <w:vanish/>
              </w:rPr>
            </w:pPr>
          </w:p>
        </w:tc>
      </w:tr>
      <w:tr w:rsidR="006A3667" w14:paraId="71D46A49" w14:textId="77777777">
        <w:trPr>
          <w:hidden/>
        </w:trPr>
        <w:tc>
          <w:tcPr>
            <w:tcW w:w="0" w:type="auto"/>
            <w:gridSpan w:val="3"/>
            <w:shd w:val="clear" w:color="auto" w:fill="auto"/>
            <w:vAlign w:val="bottom"/>
          </w:tcPr>
          <w:p w14:paraId="71D46A37" w14:textId="77777777" w:rsidR="006A3667" w:rsidRDefault="006A3667">
            <w:pPr>
              <w:rPr>
                <w:rFonts w:ascii="宋体"/>
                <w:vanish/>
              </w:rPr>
            </w:pPr>
          </w:p>
        </w:tc>
        <w:tc>
          <w:tcPr>
            <w:tcW w:w="0" w:type="auto"/>
            <w:gridSpan w:val="3"/>
            <w:shd w:val="clear" w:color="auto" w:fill="auto"/>
            <w:vAlign w:val="bottom"/>
          </w:tcPr>
          <w:p w14:paraId="71D46A38" w14:textId="77777777" w:rsidR="006A3667" w:rsidRDefault="006A3667">
            <w:pPr>
              <w:rPr>
                <w:rFonts w:ascii="宋体"/>
                <w:vanish/>
              </w:rPr>
            </w:pPr>
          </w:p>
        </w:tc>
        <w:tc>
          <w:tcPr>
            <w:tcW w:w="0" w:type="auto"/>
            <w:gridSpan w:val="3"/>
            <w:shd w:val="clear" w:color="auto" w:fill="auto"/>
            <w:vAlign w:val="bottom"/>
          </w:tcPr>
          <w:p w14:paraId="71D46A39" w14:textId="77777777" w:rsidR="006A3667" w:rsidRDefault="006A3667">
            <w:pPr>
              <w:rPr>
                <w:rFonts w:ascii="宋体"/>
                <w:vanish/>
              </w:rPr>
            </w:pPr>
          </w:p>
        </w:tc>
        <w:tc>
          <w:tcPr>
            <w:tcW w:w="0" w:type="auto"/>
            <w:gridSpan w:val="3"/>
            <w:shd w:val="clear" w:color="auto" w:fill="auto"/>
            <w:vAlign w:val="bottom"/>
          </w:tcPr>
          <w:p w14:paraId="71D46A3A" w14:textId="77777777" w:rsidR="006A3667" w:rsidRDefault="006A3667">
            <w:pPr>
              <w:rPr>
                <w:rFonts w:ascii="宋体"/>
                <w:vanish/>
              </w:rPr>
            </w:pPr>
          </w:p>
        </w:tc>
        <w:tc>
          <w:tcPr>
            <w:tcW w:w="0" w:type="auto"/>
            <w:gridSpan w:val="3"/>
            <w:shd w:val="clear" w:color="auto" w:fill="auto"/>
            <w:vAlign w:val="bottom"/>
          </w:tcPr>
          <w:p w14:paraId="71D46A3B" w14:textId="77777777" w:rsidR="006A3667" w:rsidRDefault="006A3667">
            <w:pPr>
              <w:rPr>
                <w:rFonts w:ascii="宋体"/>
                <w:vanish/>
              </w:rPr>
            </w:pPr>
          </w:p>
        </w:tc>
        <w:tc>
          <w:tcPr>
            <w:tcW w:w="0" w:type="auto"/>
            <w:gridSpan w:val="3"/>
            <w:shd w:val="clear" w:color="auto" w:fill="auto"/>
            <w:vAlign w:val="bottom"/>
          </w:tcPr>
          <w:p w14:paraId="71D46A3C" w14:textId="77777777" w:rsidR="006A3667" w:rsidRDefault="006A3667">
            <w:pPr>
              <w:rPr>
                <w:rFonts w:ascii="宋体"/>
                <w:vanish/>
              </w:rPr>
            </w:pPr>
          </w:p>
        </w:tc>
        <w:tc>
          <w:tcPr>
            <w:tcW w:w="0" w:type="auto"/>
            <w:gridSpan w:val="3"/>
            <w:shd w:val="clear" w:color="auto" w:fill="auto"/>
            <w:vAlign w:val="bottom"/>
          </w:tcPr>
          <w:p w14:paraId="71D46A3D" w14:textId="77777777" w:rsidR="006A3667" w:rsidRDefault="006A3667">
            <w:pPr>
              <w:rPr>
                <w:rFonts w:ascii="宋体"/>
                <w:vanish/>
              </w:rPr>
            </w:pPr>
          </w:p>
        </w:tc>
        <w:tc>
          <w:tcPr>
            <w:tcW w:w="0" w:type="auto"/>
            <w:gridSpan w:val="3"/>
            <w:shd w:val="clear" w:color="auto" w:fill="auto"/>
            <w:vAlign w:val="bottom"/>
          </w:tcPr>
          <w:p w14:paraId="71D46A3E" w14:textId="77777777" w:rsidR="006A3667" w:rsidRDefault="006A3667">
            <w:pPr>
              <w:rPr>
                <w:rFonts w:ascii="宋体"/>
                <w:vanish/>
              </w:rPr>
            </w:pPr>
          </w:p>
        </w:tc>
        <w:tc>
          <w:tcPr>
            <w:tcW w:w="0" w:type="auto"/>
            <w:gridSpan w:val="3"/>
            <w:shd w:val="clear" w:color="auto" w:fill="auto"/>
            <w:vAlign w:val="bottom"/>
          </w:tcPr>
          <w:p w14:paraId="71D46A3F" w14:textId="77777777" w:rsidR="006A3667" w:rsidRDefault="006A3667">
            <w:pPr>
              <w:rPr>
                <w:rFonts w:ascii="宋体"/>
                <w:vanish/>
              </w:rPr>
            </w:pPr>
          </w:p>
        </w:tc>
        <w:tc>
          <w:tcPr>
            <w:tcW w:w="0" w:type="auto"/>
            <w:gridSpan w:val="3"/>
            <w:shd w:val="clear" w:color="auto" w:fill="auto"/>
            <w:vAlign w:val="bottom"/>
          </w:tcPr>
          <w:p w14:paraId="71D46A40" w14:textId="77777777" w:rsidR="006A3667" w:rsidRDefault="006A3667">
            <w:pPr>
              <w:rPr>
                <w:rFonts w:ascii="宋体"/>
                <w:vanish/>
              </w:rPr>
            </w:pPr>
          </w:p>
        </w:tc>
        <w:tc>
          <w:tcPr>
            <w:tcW w:w="0" w:type="auto"/>
            <w:gridSpan w:val="3"/>
            <w:shd w:val="clear" w:color="auto" w:fill="auto"/>
            <w:vAlign w:val="bottom"/>
          </w:tcPr>
          <w:p w14:paraId="71D46A41" w14:textId="77777777" w:rsidR="006A3667" w:rsidRDefault="006A3667">
            <w:pPr>
              <w:rPr>
                <w:rFonts w:ascii="宋体"/>
                <w:vanish/>
              </w:rPr>
            </w:pPr>
          </w:p>
        </w:tc>
        <w:tc>
          <w:tcPr>
            <w:tcW w:w="0" w:type="auto"/>
            <w:shd w:val="clear" w:color="auto" w:fill="auto"/>
            <w:vAlign w:val="bottom"/>
          </w:tcPr>
          <w:p w14:paraId="71D46A42" w14:textId="77777777" w:rsidR="006A3667" w:rsidRDefault="006A3667">
            <w:pPr>
              <w:rPr>
                <w:rFonts w:ascii="宋体"/>
                <w:vanish/>
              </w:rPr>
            </w:pPr>
          </w:p>
        </w:tc>
        <w:tc>
          <w:tcPr>
            <w:tcW w:w="0" w:type="auto"/>
            <w:shd w:val="clear" w:color="auto" w:fill="auto"/>
            <w:vAlign w:val="bottom"/>
          </w:tcPr>
          <w:p w14:paraId="71D46A43" w14:textId="77777777" w:rsidR="006A3667" w:rsidRDefault="006A3667">
            <w:pPr>
              <w:rPr>
                <w:rFonts w:ascii="宋体"/>
                <w:vanish/>
              </w:rPr>
            </w:pPr>
          </w:p>
        </w:tc>
        <w:tc>
          <w:tcPr>
            <w:tcW w:w="0" w:type="auto"/>
            <w:gridSpan w:val="3"/>
            <w:shd w:val="clear" w:color="auto" w:fill="auto"/>
            <w:vAlign w:val="bottom"/>
          </w:tcPr>
          <w:p w14:paraId="71D46A44" w14:textId="77777777" w:rsidR="006A3667" w:rsidRDefault="006A3667">
            <w:pPr>
              <w:rPr>
                <w:rFonts w:ascii="宋体"/>
                <w:vanish/>
              </w:rPr>
            </w:pPr>
          </w:p>
        </w:tc>
        <w:tc>
          <w:tcPr>
            <w:tcW w:w="0" w:type="auto"/>
            <w:gridSpan w:val="3"/>
            <w:shd w:val="clear" w:color="auto" w:fill="auto"/>
            <w:vAlign w:val="bottom"/>
          </w:tcPr>
          <w:p w14:paraId="71D46A45" w14:textId="77777777" w:rsidR="006A3667" w:rsidRDefault="006A3667">
            <w:pPr>
              <w:rPr>
                <w:rFonts w:ascii="宋体"/>
                <w:vanish/>
              </w:rPr>
            </w:pPr>
          </w:p>
        </w:tc>
        <w:tc>
          <w:tcPr>
            <w:tcW w:w="0" w:type="auto"/>
            <w:gridSpan w:val="3"/>
            <w:shd w:val="clear" w:color="auto" w:fill="auto"/>
            <w:vAlign w:val="bottom"/>
          </w:tcPr>
          <w:p w14:paraId="71D46A46" w14:textId="77777777" w:rsidR="006A3667" w:rsidRDefault="006A3667">
            <w:pPr>
              <w:rPr>
                <w:rFonts w:ascii="宋体"/>
                <w:vanish/>
              </w:rPr>
            </w:pPr>
          </w:p>
        </w:tc>
        <w:tc>
          <w:tcPr>
            <w:tcW w:w="0" w:type="auto"/>
            <w:gridSpan w:val="3"/>
            <w:shd w:val="clear" w:color="auto" w:fill="auto"/>
            <w:vAlign w:val="bottom"/>
          </w:tcPr>
          <w:p w14:paraId="71D46A47" w14:textId="77777777" w:rsidR="006A3667" w:rsidRDefault="006A3667">
            <w:pPr>
              <w:rPr>
                <w:rFonts w:ascii="宋体"/>
                <w:vanish/>
              </w:rPr>
            </w:pPr>
          </w:p>
        </w:tc>
        <w:tc>
          <w:tcPr>
            <w:tcW w:w="0" w:type="auto"/>
            <w:gridSpan w:val="3"/>
            <w:shd w:val="clear" w:color="auto" w:fill="auto"/>
            <w:vAlign w:val="bottom"/>
          </w:tcPr>
          <w:p w14:paraId="71D46A48" w14:textId="77777777" w:rsidR="006A3667" w:rsidRDefault="006A3667">
            <w:pPr>
              <w:rPr>
                <w:rFonts w:ascii="宋体"/>
                <w:vanish/>
              </w:rPr>
            </w:pPr>
          </w:p>
        </w:tc>
      </w:tr>
      <w:tr w:rsidR="006A3667" w14:paraId="71D46A5C" w14:textId="77777777">
        <w:trPr>
          <w:hidden/>
        </w:trPr>
        <w:tc>
          <w:tcPr>
            <w:tcW w:w="0" w:type="auto"/>
            <w:gridSpan w:val="3"/>
            <w:shd w:val="clear" w:color="auto" w:fill="auto"/>
            <w:vAlign w:val="bottom"/>
          </w:tcPr>
          <w:p w14:paraId="71D46A4A" w14:textId="77777777" w:rsidR="006A3667" w:rsidRDefault="006A3667">
            <w:pPr>
              <w:rPr>
                <w:rFonts w:ascii="宋体"/>
                <w:vanish/>
              </w:rPr>
            </w:pPr>
          </w:p>
        </w:tc>
        <w:tc>
          <w:tcPr>
            <w:tcW w:w="0" w:type="auto"/>
            <w:gridSpan w:val="3"/>
            <w:shd w:val="clear" w:color="auto" w:fill="auto"/>
            <w:vAlign w:val="bottom"/>
          </w:tcPr>
          <w:p w14:paraId="71D46A4B" w14:textId="77777777" w:rsidR="006A3667" w:rsidRDefault="006A3667">
            <w:pPr>
              <w:rPr>
                <w:rFonts w:ascii="宋体"/>
                <w:vanish/>
              </w:rPr>
            </w:pPr>
          </w:p>
        </w:tc>
        <w:tc>
          <w:tcPr>
            <w:tcW w:w="0" w:type="auto"/>
            <w:gridSpan w:val="3"/>
            <w:shd w:val="clear" w:color="auto" w:fill="auto"/>
            <w:vAlign w:val="bottom"/>
          </w:tcPr>
          <w:p w14:paraId="71D46A4C" w14:textId="77777777" w:rsidR="006A3667" w:rsidRDefault="006A3667">
            <w:pPr>
              <w:rPr>
                <w:rFonts w:ascii="宋体"/>
                <w:vanish/>
              </w:rPr>
            </w:pPr>
          </w:p>
        </w:tc>
        <w:tc>
          <w:tcPr>
            <w:tcW w:w="0" w:type="auto"/>
            <w:gridSpan w:val="3"/>
            <w:shd w:val="clear" w:color="auto" w:fill="auto"/>
            <w:vAlign w:val="bottom"/>
          </w:tcPr>
          <w:p w14:paraId="71D46A4D" w14:textId="77777777" w:rsidR="006A3667" w:rsidRDefault="006A3667">
            <w:pPr>
              <w:rPr>
                <w:rFonts w:ascii="宋体"/>
                <w:vanish/>
              </w:rPr>
            </w:pPr>
          </w:p>
        </w:tc>
        <w:tc>
          <w:tcPr>
            <w:tcW w:w="0" w:type="auto"/>
            <w:gridSpan w:val="3"/>
            <w:shd w:val="clear" w:color="auto" w:fill="auto"/>
            <w:vAlign w:val="bottom"/>
          </w:tcPr>
          <w:p w14:paraId="71D46A4E" w14:textId="77777777" w:rsidR="006A3667" w:rsidRDefault="006A3667">
            <w:pPr>
              <w:rPr>
                <w:rFonts w:ascii="宋体"/>
                <w:vanish/>
              </w:rPr>
            </w:pPr>
          </w:p>
        </w:tc>
        <w:tc>
          <w:tcPr>
            <w:tcW w:w="0" w:type="auto"/>
            <w:gridSpan w:val="3"/>
            <w:shd w:val="clear" w:color="auto" w:fill="auto"/>
            <w:vAlign w:val="bottom"/>
          </w:tcPr>
          <w:p w14:paraId="71D46A4F" w14:textId="77777777" w:rsidR="006A3667" w:rsidRDefault="006A3667">
            <w:pPr>
              <w:rPr>
                <w:rFonts w:ascii="宋体"/>
                <w:vanish/>
              </w:rPr>
            </w:pPr>
          </w:p>
        </w:tc>
        <w:tc>
          <w:tcPr>
            <w:tcW w:w="0" w:type="auto"/>
            <w:gridSpan w:val="3"/>
            <w:shd w:val="clear" w:color="auto" w:fill="auto"/>
            <w:vAlign w:val="bottom"/>
          </w:tcPr>
          <w:p w14:paraId="71D46A50" w14:textId="77777777" w:rsidR="006A3667" w:rsidRDefault="006A3667">
            <w:pPr>
              <w:rPr>
                <w:rFonts w:ascii="宋体"/>
                <w:vanish/>
              </w:rPr>
            </w:pPr>
          </w:p>
        </w:tc>
        <w:tc>
          <w:tcPr>
            <w:tcW w:w="0" w:type="auto"/>
            <w:gridSpan w:val="3"/>
            <w:shd w:val="clear" w:color="auto" w:fill="auto"/>
            <w:vAlign w:val="bottom"/>
          </w:tcPr>
          <w:p w14:paraId="71D46A51" w14:textId="77777777" w:rsidR="006A3667" w:rsidRDefault="006A3667">
            <w:pPr>
              <w:rPr>
                <w:rFonts w:ascii="宋体"/>
                <w:vanish/>
              </w:rPr>
            </w:pPr>
          </w:p>
        </w:tc>
        <w:tc>
          <w:tcPr>
            <w:tcW w:w="0" w:type="auto"/>
            <w:gridSpan w:val="3"/>
            <w:shd w:val="clear" w:color="auto" w:fill="auto"/>
            <w:vAlign w:val="bottom"/>
          </w:tcPr>
          <w:p w14:paraId="71D46A52" w14:textId="77777777" w:rsidR="006A3667" w:rsidRDefault="006A3667">
            <w:pPr>
              <w:rPr>
                <w:rFonts w:ascii="宋体"/>
                <w:vanish/>
              </w:rPr>
            </w:pPr>
          </w:p>
        </w:tc>
        <w:tc>
          <w:tcPr>
            <w:tcW w:w="0" w:type="auto"/>
            <w:gridSpan w:val="3"/>
            <w:shd w:val="clear" w:color="auto" w:fill="auto"/>
            <w:vAlign w:val="bottom"/>
          </w:tcPr>
          <w:p w14:paraId="71D46A53" w14:textId="77777777" w:rsidR="006A3667" w:rsidRDefault="006A3667">
            <w:pPr>
              <w:rPr>
                <w:rFonts w:ascii="宋体"/>
                <w:vanish/>
              </w:rPr>
            </w:pPr>
          </w:p>
        </w:tc>
        <w:tc>
          <w:tcPr>
            <w:tcW w:w="0" w:type="auto"/>
            <w:gridSpan w:val="3"/>
            <w:shd w:val="clear" w:color="auto" w:fill="auto"/>
            <w:vAlign w:val="bottom"/>
          </w:tcPr>
          <w:p w14:paraId="71D46A54" w14:textId="77777777" w:rsidR="006A3667" w:rsidRDefault="006A3667">
            <w:pPr>
              <w:rPr>
                <w:rFonts w:ascii="宋体"/>
                <w:vanish/>
              </w:rPr>
            </w:pPr>
          </w:p>
        </w:tc>
        <w:tc>
          <w:tcPr>
            <w:tcW w:w="0" w:type="auto"/>
            <w:shd w:val="clear" w:color="auto" w:fill="auto"/>
            <w:vAlign w:val="bottom"/>
          </w:tcPr>
          <w:p w14:paraId="71D46A55" w14:textId="77777777" w:rsidR="006A3667" w:rsidRDefault="006A3667">
            <w:pPr>
              <w:rPr>
                <w:rFonts w:ascii="宋体"/>
                <w:vanish/>
              </w:rPr>
            </w:pPr>
          </w:p>
        </w:tc>
        <w:tc>
          <w:tcPr>
            <w:tcW w:w="0" w:type="auto"/>
            <w:shd w:val="clear" w:color="auto" w:fill="auto"/>
            <w:vAlign w:val="bottom"/>
          </w:tcPr>
          <w:p w14:paraId="71D46A56" w14:textId="77777777" w:rsidR="006A3667" w:rsidRDefault="006A3667">
            <w:pPr>
              <w:rPr>
                <w:rFonts w:ascii="宋体"/>
                <w:vanish/>
              </w:rPr>
            </w:pPr>
          </w:p>
        </w:tc>
        <w:tc>
          <w:tcPr>
            <w:tcW w:w="0" w:type="auto"/>
            <w:gridSpan w:val="3"/>
            <w:shd w:val="clear" w:color="auto" w:fill="auto"/>
            <w:vAlign w:val="bottom"/>
          </w:tcPr>
          <w:p w14:paraId="71D46A57" w14:textId="77777777" w:rsidR="006A3667" w:rsidRDefault="006A3667">
            <w:pPr>
              <w:rPr>
                <w:rFonts w:ascii="宋体"/>
                <w:vanish/>
              </w:rPr>
            </w:pPr>
          </w:p>
        </w:tc>
        <w:tc>
          <w:tcPr>
            <w:tcW w:w="0" w:type="auto"/>
            <w:gridSpan w:val="3"/>
            <w:shd w:val="clear" w:color="auto" w:fill="auto"/>
            <w:vAlign w:val="bottom"/>
          </w:tcPr>
          <w:p w14:paraId="71D46A58" w14:textId="77777777" w:rsidR="006A3667" w:rsidRDefault="006A3667">
            <w:pPr>
              <w:rPr>
                <w:rFonts w:ascii="宋体"/>
                <w:vanish/>
              </w:rPr>
            </w:pPr>
          </w:p>
        </w:tc>
        <w:tc>
          <w:tcPr>
            <w:tcW w:w="0" w:type="auto"/>
            <w:gridSpan w:val="3"/>
            <w:shd w:val="clear" w:color="auto" w:fill="auto"/>
            <w:vAlign w:val="bottom"/>
          </w:tcPr>
          <w:p w14:paraId="71D46A59" w14:textId="77777777" w:rsidR="006A3667" w:rsidRDefault="006A3667">
            <w:pPr>
              <w:rPr>
                <w:rFonts w:ascii="宋体"/>
                <w:vanish/>
              </w:rPr>
            </w:pPr>
          </w:p>
        </w:tc>
        <w:tc>
          <w:tcPr>
            <w:tcW w:w="0" w:type="auto"/>
            <w:gridSpan w:val="3"/>
            <w:shd w:val="clear" w:color="auto" w:fill="auto"/>
            <w:vAlign w:val="bottom"/>
          </w:tcPr>
          <w:p w14:paraId="71D46A5A" w14:textId="77777777" w:rsidR="006A3667" w:rsidRDefault="006A3667">
            <w:pPr>
              <w:rPr>
                <w:rFonts w:ascii="宋体"/>
                <w:vanish/>
              </w:rPr>
            </w:pPr>
          </w:p>
        </w:tc>
        <w:tc>
          <w:tcPr>
            <w:tcW w:w="0" w:type="auto"/>
            <w:gridSpan w:val="3"/>
            <w:shd w:val="clear" w:color="auto" w:fill="auto"/>
            <w:vAlign w:val="bottom"/>
          </w:tcPr>
          <w:p w14:paraId="71D46A5B" w14:textId="77777777" w:rsidR="006A3667" w:rsidRDefault="006A3667">
            <w:pPr>
              <w:rPr>
                <w:rFonts w:ascii="宋体"/>
                <w:vanish/>
              </w:rPr>
            </w:pPr>
          </w:p>
        </w:tc>
      </w:tr>
      <w:tr w:rsidR="006A3667" w14:paraId="71D46A6F" w14:textId="77777777">
        <w:trPr>
          <w:hidden/>
        </w:trPr>
        <w:tc>
          <w:tcPr>
            <w:tcW w:w="0" w:type="auto"/>
            <w:gridSpan w:val="3"/>
            <w:shd w:val="clear" w:color="auto" w:fill="auto"/>
            <w:vAlign w:val="bottom"/>
          </w:tcPr>
          <w:p w14:paraId="71D46A5D" w14:textId="77777777" w:rsidR="006A3667" w:rsidRDefault="006A3667">
            <w:pPr>
              <w:rPr>
                <w:rFonts w:ascii="宋体"/>
                <w:vanish/>
              </w:rPr>
            </w:pPr>
          </w:p>
        </w:tc>
        <w:tc>
          <w:tcPr>
            <w:tcW w:w="0" w:type="auto"/>
            <w:gridSpan w:val="3"/>
            <w:shd w:val="clear" w:color="auto" w:fill="auto"/>
            <w:vAlign w:val="bottom"/>
          </w:tcPr>
          <w:p w14:paraId="71D46A5E" w14:textId="77777777" w:rsidR="006A3667" w:rsidRDefault="006A3667">
            <w:pPr>
              <w:rPr>
                <w:rFonts w:ascii="宋体"/>
                <w:vanish/>
              </w:rPr>
            </w:pPr>
          </w:p>
        </w:tc>
        <w:tc>
          <w:tcPr>
            <w:tcW w:w="0" w:type="auto"/>
            <w:gridSpan w:val="3"/>
            <w:shd w:val="clear" w:color="auto" w:fill="auto"/>
            <w:vAlign w:val="bottom"/>
          </w:tcPr>
          <w:p w14:paraId="71D46A5F" w14:textId="77777777" w:rsidR="006A3667" w:rsidRDefault="006A3667">
            <w:pPr>
              <w:rPr>
                <w:rFonts w:ascii="宋体"/>
                <w:vanish/>
              </w:rPr>
            </w:pPr>
          </w:p>
        </w:tc>
        <w:tc>
          <w:tcPr>
            <w:tcW w:w="0" w:type="auto"/>
            <w:gridSpan w:val="3"/>
            <w:shd w:val="clear" w:color="auto" w:fill="auto"/>
            <w:vAlign w:val="bottom"/>
          </w:tcPr>
          <w:p w14:paraId="71D46A60" w14:textId="77777777" w:rsidR="006A3667" w:rsidRDefault="006A3667">
            <w:pPr>
              <w:rPr>
                <w:rFonts w:ascii="宋体"/>
                <w:vanish/>
              </w:rPr>
            </w:pPr>
          </w:p>
        </w:tc>
        <w:tc>
          <w:tcPr>
            <w:tcW w:w="0" w:type="auto"/>
            <w:gridSpan w:val="3"/>
            <w:shd w:val="clear" w:color="auto" w:fill="auto"/>
            <w:vAlign w:val="bottom"/>
          </w:tcPr>
          <w:p w14:paraId="71D46A61" w14:textId="77777777" w:rsidR="006A3667" w:rsidRDefault="006A3667">
            <w:pPr>
              <w:rPr>
                <w:rFonts w:ascii="宋体"/>
                <w:vanish/>
              </w:rPr>
            </w:pPr>
          </w:p>
        </w:tc>
        <w:tc>
          <w:tcPr>
            <w:tcW w:w="0" w:type="auto"/>
            <w:gridSpan w:val="3"/>
            <w:shd w:val="clear" w:color="auto" w:fill="auto"/>
            <w:vAlign w:val="bottom"/>
          </w:tcPr>
          <w:p w14:paraId="71D46A62" w14:textId="77777777" w:rsidR="006A3667" w:rsidRDefault="006A3667">
            <w:pPr>
              <w:rPr>
                <w:rFonts w:ascii="宋体"/>
                <w:vanish/>
              </w:rPr>
            </w:pPr>
          </w:p>
        </w:tc>
        <w:tc>
          <w:tcPr>
            <w:tcW w:w="0" w:type="auto"/>
            <w:gridSpan w:val="3"/>
            <w:shd w:val="clear" w:color="auto" w:fill="auto"/>
            <w:vAlign w:val="bottom"/>
          </w:tcPr>
          <w:p w14:paraId="71D46A63" w14:textId="77777777" w:rsidR="006A3667" w:rsidRDefault="006A3667">
            <w:pPr>
              <w:rPr>
                <w:rFonts w:ascii="宋体"/>
                <w:vanish/>
              </w:rPr>
            </w:pPr>
          </w:p>
        </w:tc>
        <w:tc>
          <w:tcPr>
            <w:tcW w:w="0" w:type="auto"/>
            <w:gridSpan w:val="3"/>
            <w:shd w:val="clear" w:color="auto" w:fill="auto"/>
            <w:vAlign w:val="bottom"/>
          </w:tcPr>
          <w:p w14:paraId="71D46A64" w14:textId="77777777" w:rsidR="006A3667" w:rsidRDefault="006A3667">
            <w:pPr>
              <w:rPr>
                <w:rFonts w:ascii="宋体"/>
                <w:vanish/>
              </w:rPr>
            </w:pPr>
          </w:p>
        </w:tc>
        <w:tc>
          <w:tcPr>
            <w:tcW w:w="0" w:type="auto"/>
            <w:gridSpan w:val="3"/>
            <w:shd w:val="clear" w:color="auto" w:fill="auto"/>
            <w:vAlign w:val="bottom"/>
          </w:tcPr>
          <w:p w14:paraId="71D46A65" w14:textId="77777777" w:rsidR="006A3667" w:rsidRDefault="006A3667">
            <w:pPr>
              <w:rPr>
                <w:rFonts w:ascii="宋体"/>
                <w:vanish/>
              </w:rPr>
            </w:pPr>
          </w:p>
        </w:tc>
        <w:tc>
          <w:tcPr>
            <w:tcW w:w="0" w:type="auto"/>
            <w:gridSpan w:val="3"/>
            <w:shd w:val="clear" w:color="auto" w:fill="auto"/>
            <w:vAlign w:val="bottom"/>
          </w:tcPr>
          <w:p w14:paraId="71D46A66" w14:textId="77777777" w:rsidR="006A3667" w:rsidRDefault="006A3667">
            <w:pPr>
              <w:rPr>
                <w:rFonts w:ascii="宋体"/>
                <w:vanish/>
              </w:rPr>
            </w:pPr>
          </w:p>
        </w:tc>
        <w:tc>
          <w:tcPr>
            <w:tcW w:w="0" w:type="auto"/>
            <w:gridSpan w:val="3"/>
            <w:shd w:val="clear" w:color="auto" w:fill="auto"/>
            <w:vAlign w:val="bottom"/>
          </w:tcPr>
          <w:p w14:paraId="71D46A67" w14:textId="77777777" w:rsidR="006A3667" w:rsidRDefault="006A3667">
            <w:pPr>
              <w:rPr>
                <w:rFonts w:ascii="宋体"/>
                <w:vanish/>
              </w:rPr>
            </w:pPr>
          </w:p>
        </w:tc>
        <w:tc>
          <w:tcPr>
            <w:tcW w:w="0" w:type="auto"/>
            <w:shd w:val="clear" w:color="auto" w:fill="auto"/>
            <w:vAlign w:val="bottom"/>
          </w:tcPr>
          <w:p w14:paraId="71D46A68" w14:textId="77777777" w:rsidR="006A3667" w:rsidRDefault="006A3667">
            <w:pPr>
              <w:rPr>
                <w:rFonts w:ascii="宋体"/>
                <w:vanish/>
              </w:rPr>
            </w:pPr>
          </w:p>
        </w:tc>
        <w:tc>
          <w:tcPr>
            <w:tcW w:w="0" w:type="auto"/>
            <w:shd w:val="clear" w:color="auto" w:fill="auto"/>
            <w:vAlign w:val="bottom"/>
          </w:tcPr>
          <w:p w14:paraId="71D46A69" w14:textId="77777777" w:rsidR="006A3667" w:rsidRDefault="006A3667">
            <w:pPr>
              <w:rPr>
                <w:rFonts w:ascii="宋体"/>
                <w:vanish/>
              </w:rPr>
            </w:pPr>
          </w:p>
        </w:tc>
        <w:tc>
          <w:tcPr>
            <w:tcW w:w="0" w:type="auto"/>
            <w:gridSpan w:val="3"/>
            <w:shd w:val="clear" w:color="auto" w:fill="auto"/>
            <w:vAlign w:val="bottom"/>
          </w:tcPr>
          <w:p w14:paraId="71D46A6A" w14:textId="77777777" w:rsidR="006A3667" w:rsidRDefault="006A3667">
            <w:pPr>
              <w:rPr>
                <w:rFonts w:ascii="宋体"/>
                <w:vanish/>
              </w:rPr>
            </w:pPr>
          </w:p>
        </w:tc>
        <w:tc>
          <w:tcPr>
            <w:tcW w:w="0" w:type="auto"/>
            <w:gridSpan w:val="3"/>
            <w:shd w:val="clear" w:color="auto" w:fill="auto"/>
            <w:vAlign w:val="bottom"/>
          </w:tcPr>
          <w:p w14:paraId="71D46A6B" w14:textId="77777777" w:rsidR="006A3667" w:rsidRDefault="006A3667">
            <w:pPr>
              <w:rPr>
                <w:rFonts w:ascii="宋体"/>
                <w:vanish/>
              </w:rPr>
            </w:pPr>
          </w:p>
        </w:tc>
        <w:tc>
          <w:tcPr>
            <w:tcW w:w="0" w:type="auto"/>
            <w:gridSpan w:val="3"/>
            <w:shd w:val="clear" w:color="auto" w:fill="auto"/>
            <w:vAlign w:val="bottom"/>
          </w:tcPr>
          <w:p w14:paraId="71D46A6C" w14:textId="77777777" w:rsidR="006A3667" w:rsidRDefault="006A3667">
            <w:pPr>
              <w:rPr>
                <w:rFonts w:ascii="宋体"/>
                <w:vanish/>
              </w:rPr>
            </w:pPr>
          </w:p>
        </w:tc>
        <w:tc>
          <w:tcPr>
            <w:tcW w:w="0" w:type="auto"/>
            <w:gridSpan w:val="3"/>
            <w:shd w:val="clear" w:color="auto" w:fill="auto"/>
            <w:vAlign w:val="bottom"/>
          </w:tcPr>
          <w:p w14:paraId="71D46A6D" w14:textId="77777777" w:rsidR="006A3667" w:rsidRDefault="006A3667">
            <w:pPr>
              <w:rPr>
                <w:rFonts w:ascii="宋体"/>
                <w:vanish/>
              </w:rPr>
            </w:pPr>
          </w:p>
        </w:tc>
        <w:tc>
          <w:tcPr>
            <w:tcW w:w="0" w:type="auto"/>
            <w:gridSpan w:val="3"/>
            <w:shd w:val="clear" w:color="auto" w:fill="auto"/>
            <w:vAlign w:val="bottom"/>
          </w:tcPr>
          <w:p w14:paraId="71D46A6E" w14:textId="77777777" w:rsidR="006A3667" w:rsidRDefault="006A3667">
            <w:pPr>
              <w:rPr>
                <w:rFonts w:ascii="宋体"/>
                <w:vanish/>
              </w:rPr>
            </w:pPr>
          </w:p>
        </w:tc>
      </w:tr>
      <w:tr w:rsidR="006A3667" w14:paraId="71D46A82" w14:textId="77777777">
        <w:trPr>
          <w:hidden/>
        </w:trPr>
        <w:tc>
          <w:tcPr>
            <w:tcW w:w="0" w:type="auto"/>
            <w:gridSpan w:val="3"/>
            <w:shd w:val="clear" w:color="auto" w:fill="auto"/>
            <w:vAlign w:val="bottom"/>
          </w:tcPr>
          <w:p w14:paraId="71D46A70" w14:textId="77777777" w:rsidR="006A3667" w:rsidRDefault="006A3667">
            <w:pPr>
              <w:rPr>
                <w:rFonts w:ascii="宋体"/>
                <w:vanish/>
              </w:rPr>
            </w:pPr>
          </w:p>
        </w:tc>
        <w:tc>
          <w:tcPr>
            <w:tcW w:w="0" w:type="auto"/>
            <w:gridSpan w:val="3"/>
            <w:shd w:val="clear" w:color="auto" w:fill="auto"/>
            <w:vAlign w:val="bottom"/>
          </w:tcPr>
          <w:p w14:paraId="71D46A71" w14:textId="77777777" w:rsidR="006A3667" w:rsidRDefault="006A3667">
            <w:pPr>
              <w:rPr>
                <w:rFonts w:ascii="宋体"/>
                <w:vanish/>
              </w:rPr>
            </w:pPr>
          </w:p>
        </w:tc>
        <w:tc>
          <w:tcPr>
            <w:tcW w:w="0" w:type="auto"/>
            <w:gridSpan w:val="3"/>
            <w:shd w:val="clear" w:color="auto" w:fill="auto"/>
            <w:vAlign w:val="bottom"/>
          </w:tcPr>
          <w:p w14:paraId="71D46A72" w14:textId="77777777" w:rsidR="006A3667" w:rsidRDefault="006A3667">
            <w:pPr>
              <w:rPr>
                <w:rFonts w:ascii="宋体"/>
                <w:vanish/>
              </w:rPr>
            </w:pPr>
          </w:p>
        </w:tc>
        <w:tc>
          <w:tcPr>
            <w:tcW w:w="0" w:type="auto"/>
            <w:gridSpan w:val="3"/>
            <w:shd w:val="clear" w:color="auto" w:fill="auto"/>
            <w:vAlign w:val="bottom"/>
          </w:tcPr>
          <w:p w14:paraId="71D46A73" w14:textId="77777777" w:rsidR="006A3667" w:rsidRDefault="006A3667">
            <w:pPr>
              <w:rPr>
                <w:rFonts w:ascii="宋体"/>
                <w:vanish/>
              </w:rPr>
            </w:pPr>
          </w:p>
        </w:tc>
        <w:tc>
          <w:tcPr>
            <w:tcW w:w="0" w:type="auto"/>
            <w:gridSpan w:val="3"/>
            <w:shd w:val="clear" w:color="auto" w:fill="auto"/>
            <w:vAlign w:val="bottom"/>
          </w:tcPr>
          <w:p w14:paraId="71D46A74" w14:textId="77777777" w:rsidR="006A3667" w:rsidRDefault="006A3667">
            <w:pPr>
              <w:rPr>
                <w:rFonts w:ascii="宋体"/>
                <w:vanish/>
              </w:rPr>
            </w:pPr>
          </w:p>
        </w:tc>
        <w:tc>
          <w:tcPr>
            <w:tcW w:w="0" w:type="auto"/>
            <w:gridSpan w:val="3"/>
            <w:shd w:val="clear" w:color="auto" w:fill="auto"/>
            <w:vAlign w:val="bottom"/>
          </w:tcPr>
          <w:p w14:paraId="71D46A75" w14:textId="77777777" w:rsidR="006A3667" w:rsidRDefault="006A3667">
            <w:pPr>
              <w:rPr>
                <w:rFonts w:ascii="宋体"/>
                <w:vanish/>
              </w:rPr>
            </w:pPr>
          </w:p>
        </w:tc>
        <w:tc>
          <w:tcPr>
            <w:tcW w:w="0" w:type="auto"/>
            <w:gridSpan w:val="3"/>
            <w:shd w:val="clear" w:color="auto" w:fill="auto"/>
            <w:vAlign w:val="bottom"/>
          </w:tcPr>
          <w:p w14:paraId="71D46A76" w14:textId="77777777" w:rsidR="006A3667" w:rsidRDefault="006A3667">
            <w:pPr>
              <w:rPr>
                <w:rFonts w:ascii="宋体"/>
                <w:vanish/>
              </w:rPr>
            </w:pPr>
          </w:p>
        </w:tc>
        <w:tc>
          <w:tcPr>
            <w:tcW w:w="0" w:type="auto"/>
            <w:gridSpan w:val="3"/>
            <w:shd w:val="clear" w:color="auto" w:fill="auto"/>
            <w:vAlign w:val="bottom"/>
          </w:tcPr>
          <w:p w14:paraId="71D46A77" w14:textId="77777777" w:rsidR="006A3667" w:rsidRDefault="006A3667">
            <w:pPr>
              <w:rPr>
                <w:rFonts w:ascii="宋体"/>
                <w:vanish/>
              </w:rPr>
            </w:pPr>
          </w:p>
        </w:tc>
        <w:tc>
          <w:tcPr>
            <w:tcW w:w="0" w:type="auto"/>
            <w:gridSpan w:val="3"/>
            <w:shd w:val="clear" w:color="auto" w:fill="auto"/>
            <w:vAlign w:val="bottom"/>
          </w:tcPr>
          <w:p w14:paraId="71D46A78" w14:textId="77777777" w:rsidR="006A3667" w:rsidRDefault="006A3667">
            <w:pPr>
              <w:rPr>
                <w:rFonts w:ascii="宋体"/>
                <w:vanish/>
              </w:rPr>
            </w:pPr>
          </w:p>
        </w:tc>
        <w:tc>
          <w:tcPr>
            <w:tcW w:w="0" w:type="auto"/>
            <w:gridSpan w:val="3"/>
            <w:shd w:val="clear" w:color="auto" w:fill="auto"/>
            <w:vAlign w:val="bottom"/>
          </w:tcPr>
          <w:p w14:paraId="71D46A79" w14:textId="77777777" w:rsidR="006A3667" w:rsidRDefault="006A3667">
            <w:pPr>
              <w:rPr>
                <w:rFonts w:ascii="宋体"/>
                <w:vanish/>
              </w:rPr>
            </w:pPr>
          </w:p>
        </w:tc>
        <w:tc>
          <w:tcPr>
            <w:tcW w:w="0" w:type="auto"/>
            <w:gridSpan w:val="3"/>
            <w:shd w:val="clear" w:color="auto" w:fill="auto"/>
            <w:vAlign w:val="bottom"/>
          </w:tcPr>
          <w:p w14:paraId="71D46A7A" w14:textId="77777777" w:rsidR="006A3667" w:rsidRDefault="006A3667">
            <w:pPr>
              <w:rPr>
                <w:rFonts w:ascii="宋体"/>
                <w:vanish/>
              </w:rPr>
            </w:pPr>
          </w:p>
        </w:tc>
        <w:tc>
          <w:tcPr>
            <w:tcW w:w="0" w:type="auto"/>
            <w:shd w:val="clear" w:color="auto" w:fill="auto"/>
            <w:vAlign w:val="bottom"/>
          </w:tcPr>
          <w:p w14:paraId="71D46A7B" w14:textId="77777777" w:rsidR="006A3667" w:rsidRDefault="006A3667">
            <w:pPr>
              <w:rPr>
                <w:rFonts w:ascii="宋体"/>
                <w:vanish/>
              </w:rPr>
            </w:pPr>
          </w:p>
        </w:tc>
        <w:tc>
          <w:tcPr>
            <w:tcW w:w="0" w:type="auto"/>
            <w:shd w:val="clear" w:color="auto" w:fill="auto"/>
            <w:vAlign w:val="bottom"/>
          </w:tcPr>
          <w:p w14:paraId="71D46A7C" w14:textId="77777777" w:rsidR="006A3667" w:rsidRDefault="006A3667">
            <w:pPr>
              <w:rPr>
                <w:rFonts w:ascii="宋体"/>
                <w:vanish/>
              </w:rPr>
            </w:pPr>
          </w:p>
        </w:tc>
        <w:tc>
          <w:tcPr>
            <w:tcW w:w="0" w:type="auto"/>
            <w:gridSpan w:val="3"/>
            <w:shd w:val="clear" w:color="auto" w:fill="auto"/>
            <w:vAlign w:val="bottom"/>
          </w:tcPr>
          <w:p w14:paraId="71D46A7D" w14:textId="77777777" w:rsidR="006A3667" w:rsidRDefault="006A3667">
            <w:pPr>
              <w:rPr>
                <w:rFonts w:ascii="宋体"/>
                <w:vanish/>
              </w:rPr>
            </w:pPr>
          </w:p>
        </w:tc>
        <w:tc>
          <w:tcPr>
            <w:tcW w:w="0" w:type="auto"/>
            <w:gridSpan w:val="3"/>
            <w:shd w:val="clear" w:color="auto" w:fill="auto"/>
            <w:vAlign w:val="bottom"/>
          </w:tcPr>
          <w:p w14:paraId="71D46A7E" w14:textId="77777777" w:rsidR="006A3667" w:rsidRDefault="006A3667">
            <w:pPr>
              <w:rPr>
                <w:rFonts w:ascii="宋体"/>
                <w:vanish/>
              </w:rPr>
            </w:pPr>
          </w:p>
        </w:tc>
        <w:tc>
          <w:tcPr>
            <w:tcW w:w="0" w:type="auto"/>
            <w:gridSpan w:val="3"/>
            <w:shd w:val="clear" w:color="auto" w:fill="auto"/>
            <w:vAlign w:val="bottom"/>
          </w:tcPr>
          <w:p w14:paraId="71D46A7F" w14:textId="77777777" w:rsidR="006A3667" w:rsidRDefault="006A3667">
            <w:pPr>
              <w:rPr>
                <w:rFonts w:ascii="宋体"/>
                <w:vanish/>
              </w:rPr>
            </w:pPr>
          </w:p>
        </w:tc>
        <w:tc>
          <w:tcPr>
            <w:tcW w:w="0" w:type="auto"/>
            <w:gridSpan w:val="3"/>
            <w:shd w:val="clear" w:color="auto" w:fill="auto"/>
            <w:vAlign w:val="bottom"/>
          </w:tcPr>
          <w:p w14:paraId="71D46A80" w14:textId="77777777" w:rsidR="006A3667" w:rsidRDefault="006A3667">
            <w:pPr>
              <w:rPr>
                <w:rFonts w:ascii="宋体"/>
                <w:vanish/>
              </w:rPr>
            </w:pPr>
          </w:p>
        </w:tc>
        <w:tc>
          <w:tcPr>
            <w:tcW w:w="0" w:type="auto"/>
            <w:gridSpan w:val="3"/>
            <w:shd w:val="clear" w:color="auto" w:fill="auto"/>
            <w:vAlign w:val="bottom"/>
          </w:tcPr>
          <w:p w14:paraId="71D46A81" w14:textId="77777777" w:rsidR="006A3667" w:rsidRDefault="006A3667">
            <w:pPr>
              <w:rPr>
                <w:rFonts w:ascii="宋体"/>
                <w:vanish/>
              </w:rPr>
            </w:pPr>
          </w:p>
        </w:tc>
      </w:tr>
      <w:tr w:rsidR="006A3667" w14:paraId="71D46A95" w14:textId="77777777">
        <w:trPr>
          <w:hidden/>
        </w:trPr>
        <w:tc>
          <w:tcPr>
            <w:tcW w:w="0" w:type="auto"/>
            <w:gridSpan w:val="3"/>
            <w:shd w:val="clear" w:color="auto" w:fill="auto"/>
            <w:vAlign w:val="bottom"/>
          </w:tcPr>
          <w:p w14:paraId="71D46A83" w14:textId="77777777" w:rsidR="006A3667" w:rsidRDefault="006A3667">
            <w:pPr>
              <w:rPr>
                <w:rFonts w:ascii="宋体"/>
                <w:vanish/>
              </w:rPr>
            </w:pPr>
          </w:p>
        </w:tc>
        <w:tc>
          <w:tcPr>
            <w:tcW w:w="0" w:type="auto"/>
            <w:gridSpan w:val="3"/>
            <w:shd w:val="clear" w:color="auto" w:fill="auto"/>
            <w:vAlign w:val="bottom"/>
          </w:tcPr>
          <w:p w14:paraId="71D46A84" w14:textId="77777777" w:rsidR="006A3667" w:rsidRDefault="006A3667">
            <w:pPr>
              <w:rPr>
                <w:rFonts w:ascii="宋体"/>
                <w:vanish/>
              </w:rPr>
            </w:pPr>
          </w:p>
        </w:tc>
        <w:tc>
          <w:tcPr>
            <w:tcW w:w="0" w:type="auto"/>
            <w:gridSpan w:val="3"/>
            <w:shd w:val="clear" w:color="auto" w:fill="auto"/>
            <w:vAlign w:val="bottom"/>
          </w:tcPr>
          <w:p w14:paraId="71D46A85" w14:textId="77777777" w:rsidR="006A3667" w:rsidRDefault="006A3667">
            <w:pPr>
              <w:rPr>
                <w:rFonts w:ascii="宋体"/>
                <w:vanish/>
              </w:rPr>
            </w:pPr>
          </w:p>
        </w:tc>
        <w:tc>
          <w:tcPr>
            <w:tcW w:w="0" w:type="auto"/>
            <w:gridSpan w:val="3"/>
            <w:shd w:val="clear" w:color="auto" w:fill="auto"/>
            <w:vAlign w:val="bottom"/>
          </w:tcPr>
          <w:p w14:paraId="71D46A86" w14:textId="77777777" w:rsidR="006A3667" w:rsidRDefault="006A3667">
            <w:pPr>
              <w:rPr>
                <w:rFonts w:ascii="宋体"/>
                <w:vanish/>
              </w:rPr>
            </w:pPr>
          </w:p>
        </w:tc>
        <w:tc>
          <w:tcPr>
            <w:tcW w:w="0" w:type="auto"/>
            <w:gridSpan w:val="3"/>
            <w:shd w:val="clear" w:color="auto" w:fill="auto"/>
            <w:vAlign w:val="bottom"/>
          </w:tcPr>
          <w:p w14:paraId="71D46A87" w14:textId="77777777" w:rsidR="006A3667" w:rsidRDefault="006A3667">
            <w:pPr>
              <w:rPr>
                <w:rFonts w:ascii="宋体"/>
                <w:vanish/>
              </w:rPr>
            </w:pPr>
          </w:p>
        </w:tc>
        <w:tc>
          <w:tcPr>
            <w:tcW w:w="0" w:type="auto"/>
            <w:gridSpan w:val="3"/>
            <w:shd w:val="clear" w:color="auto" w:fill="auto"/>
            <w:vAlign w:val="bottom"/>
          </w:tcPr>
          <w:p w14:paraId="71D46A88" w14:textId="77777777" w:rsidR="006A3667" w:rsidRDefault="006A3667">
            <w:pPr>
              <w:rPr>
                <w:rFonts w:ascii="宋体"/>
                <w:vanish/>
              </w:rPr>
            </w:pPr>
          </w:p>
        </w:tc>
        <w:tc>
          <w:tcPr>
            <w:tcW w:w="0" w:type="auto"/>
            <w:gridSpan w:val="3"/>
            <w:shd w:val="clear" w:color="auto" w:fill="auto"/>
            <w:vAlign w:val="bottom"/>
          </w:tcPr>
          <w:p w14:paraId="71D46A89" w14:textId="77777777" w:rsidR="006A3667" w:rsidRDefault="006A3667">
            <w:pPr>
              <w:rPr>
                <w:rFonts w:ascii="宋体"/>
                <w:vanish/>
              </w:rPr>
            </w:pPr>
          </w:p>
        </w:tc>
        <w:tc>
          <w:tcPr>
            <w:tcW w:w="0" w:type="auto"/>
            <w:gridSpan w:val="3"/>
            <w:shd w:val="clear" w:color="auto" w:fill="auto"/>
            <w:vAlign w:val="bottom"/>
          </w:tcPr>
          <w:p w14:paraId="71D46A8A" w14:textId="77777777" w:rsidR="006A3667" w:rsidRDefault="006A3667">
            <w:pPr>
              <w:rPr>
                <w:rFonts w:ascii="宋体"/>
                <w:vanish/>
              </w:rPr>
            </w:pPr>
          </w:p>
        </w:tc>
        <w:tc>
          <w:tcPr>
            <w:tcW w:w="0" w:type="auto"/>
            <w:gridSpan w:val="3"/>
            <w:shd w:val="clear" w:color="auto" w:fill="auto"/>
            <w:vAlign w:val="bottom"/>
          </w:tcPr>
          <w:p w14:paraId="71D46A8B" w14:textId="77777777" w:rsidR="006A3667" w:rsidRDefault="006A3667">
            <w:pPr>
              <w:rPr>
                <w:rFonts w:ascii="宋体"/>
                <w:vanish/>
              </w:rPr>
            </w:pPr>
          </w:p>
        </w:tc>
        <w:tc>
          <w:tcPr>
            <w:tcW w:w="0" w:type="auto"/>
            <w:gridSpan w:val="3"/>
            <w:shd w:val="clear" w:color="auto" w:fill="auto"/>
            <w:vAlign w:val="bottom"/>
          </w:tcPr>
          <w:p w14:paraId="71D46A8C" w14:textId="77777777" w:rsidR="006A3667" w:rsidRDefault="006A3667">
            <w:pPr>
              <w:rPr>
                <w:rFonts w:ascii="宋体"/>
                <w:vanish/>
              </w:rPr>
            </w:pPr>
          </w:p>
        </w:tc>
        <w:tc>
          <w:tcPr>
            <w:tcW w:w="0" w:type="auto"/>
            <w:gridSpan w:val="3"/>
            <w:shd w:val="clear" w:color="auto" w:fill="auto"/>
            <w:vAlign w:val="bottom"/>
          </w:tcPr>
          <w:p w14:paraId="71D46A8D" w14:textId="77777777" w:rsidR="006A3667" w:rsidRDefault="006A3667">
            <w:pPr>
              <w:rPr>
                <w:rFonts w:ascii="宋体"/>
                <w:vanish/>
              </w:rPr>
            </w:pPr>
          </w:p>
        </w:tc>
        <w:tc>
          <w:tcPr>
            <w:tcW w:w="0" w:type="auto"/>
            <w:shd w:val="clear" w:color="auto" w:fill="auto"/>
            <w:vAlign w:val="bottom"/>
          </w:tcPr>
          <w:p w14:paraId="71D46A8E" w14:textId="77777777" w:rsidR="006A3667" w:rsidRDefault="006A3667">
            <w:pPr>
              <w:rPr>
                <w:rFonts w:ascii="宋体"/>
                <w:vanish/>
              </w:rPr>
            </w:pPr>
          </w:p>
        </w:tc>
        <w:tc>
          <w:tcPr>
            <w:tcW w:w="0" w:type="auto"/>
            <w:shd w:val="clear" w:color="auto" w:fill="auto"/>
            <w:vAlign w:val="bottom"/>
          </w:tcPr>
          <w:p w14:paraId="71D46A8F" w14:textId="77777777" w:rsidR="006A3667" w:rsidRDefault="006A3667">
            <w:pPr>
              <w:rPr>
                <w:rFonts w:ascii="宋体"/>
                <w:vanish/>
              </w:rPr>
            </w:pPr>
          </w:p>
        </w:tc>
        <w:tc>
          <w:tcPr>
            <w:tcW w:w="0" w:type="auto"/>
            <w:gridSpan w:val="3"/>
            <w:shd w:val="clear" w:color="auto" w:fill="auto"/>
            <w:vAlign w:val="bottom"/>
          </w:tcPr>
          <w:p w14:paraId="71D46A90" w14:textId="77777777" w:rsidR="006A3667" w:rsidRDefault="006A3667">
            <w:pPr>
              <w:rPr>
                <w:rFonts w:ascii="宋体"/>
                <w:vanish/>
              </w:rPr>
            </w:pPr>
          </w:p>
        </w:tc>
        <w:tc>
          <w:tcPr>
            <w:tcW w:w="0" w:type="auto"/>
            <w:gridSpan w:val="3"/>
            <w:shd w:val="clear" w:color="auto" w:fill="auto"/>
            <w:vAlign w:val="bottom"/>
          </w:tcPr>
          <w:p w14:paraId="71D46A91" w14:textId="77777777" w:rsidR="006A3667" w:rsidRDefault="006A3667">
            <w:pPr>
              <w:rPr>
                <w:rFonts w:ascii="宋体"/>
                <w:vanish/>
              </w:rPr>
            </w:pPr>
          </w:p>
        </w:tc>
        <w:tc>
          <w:tcPr>
            <w:tcW w:w="0" w:type="auto"/>
            <w:gridSpan w:val="3"/>
            <w:shd w:val="clear" w:color="auto" w:fill="auto"/>
            <w:vAlign w:val="bottom"/>
          </w:tcPr>
          <w:p w14:paraId="71D46A92" w14:textId="77777777" w:rsidR="006A3667" w:rsidRDefault="006A3667">
            <w:pPr>
              <w:rPr>
                <w:rFonts w:ascii="宋体"/>
                <w:vanish/>
              </w:rPr>
            </w:pPr>
          </w:p>
        </w:tc>
        <w:tc>
          <w:tcPr>
            <w:tcW w:w="0" w:type="auto"/>
            <w:gridSpan w:val="3"/>
            <w:shd w:val="clear" w:color="auto" w:fill="auto"/>
            <w:vAlign w:val="bottom"/>
          </w:tcPr>
          <w:p w14:paraId="71D46A93" w14:textId="77777777" w:rsidR="006A3667" w:rsidRDefault="006A3667">
            <w:pPr>
              <w:rPr>
                <w:rFonts w:ascii="宋体"/>
                <w:vanish/>
              </w:rPr>
            </w:pPr>
          </w:p>
        </w:tc>
        <w:tc>
          <w:tcPr>
            <w:tcW w:w="0" w:type="auto"/>
            <w:gridSpan w:val="3"/>
            <w:shd w:val="clear" w:color="auto" w:fill="auto"/>
            <w:vAlign w:val="bottom"/>
          </w:tcPr>
          <w:p w14:paraId="71D46A94" w14:textId="77777777" w:rsidR="006A3667" w:rsidRDefault="006A3667">
            <w:pPr>
              <w:rPr>
                <w:rFonts w:ascii="宋体"/>
                <w:vanish/>
              </w:rPr>
            </w:pPr>
          </w:p>
        </w:tc>
      </w:tr>
      <w:tr w:rsidR="006A3667" w14:paraId="71D46AA8" w14:textId="77777777">
        <w:trPr>
          <w:hidden/>
        </w:trPr>
        <w:tc>
          <w:tcPr>
            <w:tcW w:w="0" w:type="auto"/>
            <w:gridSpan w:val="3"/>
            <w:shd w:val="clear" w:color="auto" w:fill="auto"/>
            <w:vAlign w:val="bottom"/>
          </w:tcPr>
          <w:p w14:paraId="71D46A96" w14:textId="77777777" w:rsidR="006A3667" w:rsidRDefault="006A3667">
            <w:pPr>
              <w:rPr>
                <w:rFonts w:ascii="宋体"/>
                <w:vanish/>
              </w:rPr>
            </w:pPr>
          </w:p>
        </w:tc>
        <w:tc>
          <w:tcPr>
            <w:tcW w:w="0" w:type="auto"/>
            <w:gridSpan w:val="3"/>
            <w:shd w:val="clear" w:color="auto" w:fill="auto"/>
            <w:vAlign w:val="bottom"/>
          </w:tcPr>
          <w:p w14:paraId="71D46A97" w14:textId="77777777" w:rsidR="006A3667" w:rsidRDefault="006A3667">
            <w:pPr>
              <w:rPr>
                <w:rFonts w:ascii="宋体"/>
                <w:vanish/>
              </w:rPr>
            </w:pPr>
          </w:p>
        </w:tc>
        <w:tc>
          <w:tcPr>
            <w:tcW w:w="0" w:type="auto"/>
            <w:gridSpan w:val="3"/>
            <w:shd w:val="clear" w:color="auto" w:fill="auto"/>
            <w:vAlign w:val="bottom"/>
          </w:tcPr>
          <w:p w14:paraId="71D46A98" w14:textId="77777777" w:rsidR="006A3667" w:rsidRDefault="006A3667">
            <w:pPr>
              <w:rPr>
                <w:rFonts w:ascii="宋体"/>
                <w:vanish/>
              </w:rPr>
            </w:pPr>
          </w:p>
        </w:tc>
        <w:tc>
          <w:tcPr>
            <w:tcW w:w="0" w:type="auto"/>
            <w:gridSpan w:val="3"/>
            <w:shd w:val="clear" w:color="auto" w:fill="auto"/>
            <w:vAlign w:val="bottom"/>
          </w:tcPr>
          <w:p w14:paraId="71D46A99" w14:textId="77777777" w:rsidR="006A3667" w:rsidRDefault="006A3667">
            <w:pPr>
              <w:rPr>
                <w:rFonts w:ascii="宋体"/>
                <w:vanish/>
              </w:rPr>
            </w:pPr>
          </w:p>
        </w:tc>
        <w:tc>
          <w:tcPr>
            <w:tcW w:w="0" w:type="auto"/>
            <w:gridSpan w:val="3"/>
            <w:shd w:val="clear" w:color="auto" w:fill="auto"/>
            <w:vAlign w:val="bottom"/>
          </w:tcPr>
          <w:p w14:paraId="71D46A9A" w14:textId="77777777" w:rsidR="006A3667" w:rsidRDefault="006A3667">
            <w:pPr>
              <w:rPr>
                <w:rFonts w:ascii="宋体"/>
                <w:vanish/>
              </w:rPr>
            </w:pPr>
          </w:p>
        </w:tc>
        <w:tc>
          <w:tcPr>
            <w:tcW w:w="0" w:type="auto"/>
            <w:gridSpan w:val="3"/>
            <w:shd w:val="clear" w:color="auto" w:fill="auto"/>
            <w:vAlign w:val="bottom"/>
          </w:tcPr>
          <w:p w14:paraId="71D46A9B" w14:textId="77777777" w:rsidR="006A3667" w:rsidRDefault="006A3667">
            <w:pPr>
              <w:rPr>
                <w:rFonts w:ascii="宋体"/>
                <w:vanish/>
              </w:rPr>
            </w:pPr>
          </w:p>
        </w:tc>
        <w:tc>
          <w:tcPr>
            <w:tcW w:w="0" w:type="auto"/>
            <w:gridSpan w:val="3"/>
            <w:shd w:val="clear" w:color="auto" w:fill="auto"/>
            <w:vAlign w:val="bottom"/>
          </w:tcPr>
          <w:p w14:paraId="71D46A9C" w14:textId="77777777" w:rsidR="006A3667" w:rsidRDefault="006A3667">
            <w:pPr>
              <w:rPr>
                <w:rFonts w:ascii="宋体"/>
                <w:vanish/>
              </w:rPr>
            </w:pPr>
          </w:p>
        </w:tc>
        <w:tc>
          <w:tcPr>
            <w:tcW w:w="0" w:type="auto"/>
            <w:gridSpan w:val="3"/>
            <w:shd w:val="clear" w:color="auto" w:fill="auto"/>
            <w:vAlign w:val="bottom"/>
          </w:tcPr>
          <w:p w14:paraId="71D46A9D" w14:textId="77777777" w:rsidR="006A3667" w:rsidRDefault="006A3667">
            <w:pPr>
              <w:rPr>
                <w:rFonts w:ascii="宋体"/>
                <w:vanish/>
              </w:rPr>
            </w:pPr>
          </w:p>
        </w:tc>
        <w:tc>
          <w:tcPr>
            <w:tcW w:w="0" w:type="auto"/>
            <w:gridSpan w:val="3"/>
            <w:shd w:val="clear" w:color="auto" w:fill="auto"/>
            <w:vAlign w:val="bottom"/>
          </w:tcPr>
          <w:p w14:paraId="71D46A9E" w14:textId="77777777" w:rsidR="006A3667" w:rsidRDefault="006A3667">
            <w:pPr>
              <w:rPr>
                <w:rFonts w:ascii="宋体"/>
                <w:vanish/>
              </w:rPr>
            </w:pPr>
          </w:p>
        </w:tc>
        <w:tc>
          <w:tcPr>
            <w:tcW w:w="0" w:type="auto"/>
            <w:gridSpan w:val="3"/>
            <w:shd w:val="clear" w:color="auto" w:fill="auto"/>
            <w:vAlign w:val="bottom"/>
          </w:tcPr>
          <w:p w14:paraId="71D46A9F" w14:textId="77777777" w:rsidR="006A3667" w:rsidRDefault="006A3667">
            <w:pPr>
              <w:rPr>
                <w:rFonts w:ascii="宋体"/>
                <w:vanish/>
              </w:rPr>
            </w:pPr>
          </w:p>
        </w:tc>
        <w:tc>
          <w:tcPr>
            <w:tcW w:w="0" w:type="auto"/>
            <w:gridSpan w:val="3"/>
            <w:shd w:val="clear" w:color="auto" w:fill="auto"/>
            <w:vAlign w:val="bottom"/>
          </w:tcPr>
          <w:p w14:paraId="71D46AA0" w14:textId="77777777" w:rsidR="006A3667" w:rsidRDefault="006A3667">
            <w:pPr>
              <w:rPr>
                <w:rFonts w:ascii="宋体"/>
                <w:vanish/>
              </w:rPr>
            </w:pPr>
          </w:p>
        </w:tc>
        <w:tc>
          <w:tcPr>
            <w:tcW w:w="0" w:type="auto"/>
            <w:shd w:val="clear" w:color="auto" w:fill="auto"/>
            <w:vAlign w:val="bottom"/>
          </w:tcPr>
          <w:p w14:paraId="71D46AA1" w14:textId="77777777" w:rsidR="006A3667" w:rsidRDefault="006A3667">
            <w:pPr>
              <w:rPr>
                <w:rFonts w:ascii="宋体"/>
                <w:vanish/>
              </w:rPr>
            </w:pPr>
          </w:p>
        </w:tc>
        <w:tc>
          <w:tcPr>
            <w:tcW w:w="0" w:type="auto"/>
            <w:shd w:val="clear" w:color="auto" w:fill="auto"/>
            <w:vAlign w:val="bottom"/>
          </w:tcPr>
          <w:p w14:paraId="71D46AA2" w14:textId="77777777" w:rsidR="006A3667" w:rsidRDefault="006A3667">
            <w:pPr>
              <w:rPr>
                <w:rFonts w:ascii="宋体"/>
                <w:vanish/>
              </w:rPr>
            </w:pPr>
          </w:p>
        </w:tc>
        <w:tc>
          <w:tcPr>
            <w:tcW w:w="0" w:type="auto"/>
            <w:gridSpan w:val="3"/>
            <w:shd w:val="clear" w:color="auto" w:fill="auto"/>
            <w:vAlign w:val="bottom"/>
          </w:tcPr>
          <w:p w14:paraId="71D46AA3" w14:textId="77777777" w:rsidR="006A3667" w:rsidRDefault="006A3667">
            <w:pPr>
              <w:rPr>
                <w:rFonts w:ascii="宋体"/>
                <w:vanish/>
              </w:rPr>
            </w:pPr>
          </w:p>
        </w:tc>
        <w:tc>
          <w:tcPr>
            <w:tcW w:w="0" w:type="auto"/>
            <w:gridSpan w:val="3"/>
            <w:shd w:val="clear" w:color="auto" w:fill="auto"/>
            <w:vAlign w:val="bottom"/>
          </w:tcPr>
          <w:p w14:paraId="71D46AA4" w14:textId="77777777" w:rsidR="006A3667" w:rsidRDefault="006A3667">
            <w:pPr>
              <w:rPr>
                <w:rFonts w:ascii="宋体"/>
                <w:vanish/>
              </w:rPr>
            </w:pPr>
          </w:p>
        </w:tc>
        <w:tc>
          <w:tcPr>
            <w:tcW w:w="0" w:type="auto"/>
            <w:gridSpan w:val="3"/>
            <w:shd w:val="clear" w:color="auto" w:fill="auto"/>
            <w:vAlign w:val="bottom"/>
          </w:tcPr>
          <w:p w14:paraId="71D46AA5" w14:textId="77777777" w:rsidR="006A3667" w:rsidRDefault="006A3667">
            <w:pPr>
              <w:rPr>
                <w:rFonts w:ascii="宋体"/>
                <w:vanish/>
              </w:rPr>
            </w:pPr>
          </w:p>
        </w:tc>
        <w:tc>
          <w:tcPr>
            <w:tcW w:w="0" w:type="auto"/>
            <w:gridSpan w:val="3"/>
            <w:shd w:val="clear" w:color="auto" w:fill="auto"/>
            <w:vAlign w:val="bottom"/>
          </w:tcPr>
          <w:p w14:paraId="71D46AA6" w14:textId="77777777" w:rsidR="006A3667" w:rsidRDefault="006A3667">
            <w:pPr>
              <w:rPr>
                <w:rFonts w:ascii="宋体"/>
                <w:vanish/>
              </w:rPr>
            </w:pPr>
          </w:p>
        </w:tc>
        <w:tc>
          <w:tcPr>
            <w:tcW w:w="0" w:type="auto"/>
            <w:gridSpan w:val="3"/>
            <w:shd w:val="clear" w:color="auto" w:fill="auto"/>
            <w:vAlign w:val="bottom"/>
          </w:tcPr>
          <w:p w14:paraId="71D46AA7" w14:textId="77777777" w:rsidR="006A3667" w:rsidRDefault="006A3667">
            <w:pPr>
              <w:rPr>
                <w:rFonts w:ascii="宋体"/>
                <w:vanish/>
              </w:rPr>
            </w:pPr>
          </w:p>
        </w:tc>
      </w:tr>
      <w:tr w:rsidR="006A3667" w14:paraId="71D46ABB" w14:textId="77777777">
        <w:trPr>
          <w:hidden/>
        </w:trPr>
        <w:tc>
          <w:tcPr>
            <w:tcW w:w="0" w:type="auto"/>
            <w:gridSpan w:val="3"/>
            <w:shd w:val="clear" w:color="auto" w:fill="auto"/>
            <w:vAlign w:val="bottom"/>
          </w:tcPr>
          <w:p w14:paraId="71D46AA9" w14:textId="77777777" w:rsidR="006A3667" w:rsidRDefault="006A3667">
            <w:pPr>
              <w:rPr>
                <w:rFonts w:ascii="宋体"/>
                <w:vanish/>
              </w:rPr>
            </w:pPr>
          </w:p>
        </w:tc>
        <w:tc>
          <w:tcPr>
            <w:tcW w:w="0" w:type="auto"/>
            <w:gridSpan w:val="3"/>
            <w:shd w:val="clear" w:color="auto" w:fill="auto"/>
            <w:vAlign w:val="bottom"/>
          </w:tcPr>
          <w:p w14:paraId="71D46AAA" w14:textId="77777777" w:rsidR="006A3667" w:rsidRDefault="006A3667">
            <w:pPr>
              <w:rPr>
                <w:rFonts w:ascii="宋体"/>
                <w:vanish/>
              </w:rPr>
            </w:pPr>
          </w:p>
        </w:tc>
        <w:tc>
          <w:tcPr>
            <w:tcW w:w="0" w:type="auto"/>
            <w:gridSpan w:val="3"/>
            <w:shd w:val="clear" w:color="auto" w:fill="auto"/>
            <w:vAlign w:val="bottom"/>
          </w:tcPr>
          <w:p w14:paraId="71D46AAB" w14:textId="77777777" w:rsidR="006A3667" w:rsidRDefault="006A3667">
            <w:pPr>
              <w:rPr>
                <w:rFonts w:ascii="宋体"/>
                <w:vanish/>
              </w:rPr>
            </w:pPr>
          </w:p>
        </w:tc>
        <w:tc>
          <w:tcPr>
            <w:tcW w:w="0" w:type="auto"/>
            <w:gridSpan w:val="3"/>
            <w:shd w:val="clear" w:color="auto" w:fill="auto"/>
            <w:vAlign w:val="bottom"/>
          </w:tcPr>
          <w:p w14:paraId="71D46AAC" w14:textId="77777777" w:rsidR="006A3667" w:rsidRDefault="006A3667">
            <w:pPr>
              <w:rPr>
                <w:rFonts w:ascii="宋体"/>
                <w:vanish/>
              </w:rPr>
            </w:pPr>
          </w:p>
        </w:tc>
        <w:tc>
          <w:tcPr>
            <w:tcW w:w="0" w:type="auto"/>
            <w:gridSpan w:val="3"/>
            <w:shd w:val="clear" w:color="auto" w:fill="auto"/>
            <w:vAlign w:val="bottom"/>
          </w:tcPr>
          <w:p w14:paraId="71D46AAD" w14:textId="77777777" w:rsidR="006A3667" w:rsidRDefault="006A3667">
            <w:pPr>
              <w:rPr>
                <w:rFonts w:ascii="宋体"/>
                <w:vanish/>
              </w:rPr>
            </w:pPr>
          </w:p>
        </w:tc>
        <w:tc>
          <w:tcPr>
            <w:tcW w:w="0" w:type="auto"/>
            <w:gridSpan w:val="3"/>
            <w:shd w:val="clear" w:color="auto" w:fill="auto"/>
            <w:vAlign w:val="bottom"/>
          </w:tcPr>
          <w:p w14:paraId="71D46AAE" w14:textId="77777777" w:rsidR="006A3667" w:rsidRDefault="006A3667">
            <w:pPr>
              <w:rPr>
                <w:rFonts w:ascii="宋体"/>
                <w:vanish/>
              </w:rPr>
            </w:pPr>
          </w:p>
        </w:tc>
        <w:tc>
          <w:tcPr>
            <w:tcW w:w="0" w:type="auto"/>
            <w:gridSpan w:val="3"/>
            <w:shd w:val="clear" w:color="auto" w:fill="auto"/>
            <w:vAlign w:val="bottom"/>
          </w:tcPr>
          <w:p w14:paraId="71D46AAF" w14:textId="77777777" w:rsidR="006A3667" w:rsidRDefault="006A3667">
            <w:pPr>
              <w:rPr>
                <w:rFonts w:ascii="宋体"/>
                <w:vanish/>
              </w:rPr>
            </w:pPr>
          </w:p>
        </w:tc>
        <w:tc>
          <w:tcPr>
            <w:tcW w:w="0" w:type="auto"/>
            <w:gridSpan w:val="3"/>
            <w:shd w:val="clear" w:color="auto" w:fill="auto"/>
            <w:vAlign w:val="bottom"/>
          </w:tcPr>
          <w:p w14:paraId="71D46AB0" w14:textId="77777777" w:rsidR="006A3667" w:rsidRDefault="006A3667">
            <w:pPr>
              <w:rPr>
                <w:rFonts w:ascii="宋体"/>
                <w:vanish/>
              </w:rPr>
            </w:pPr>
          </w:p>
        </w:tc>
        <w:tc>
          <w:tcPr>
            <w:tcW w:w="0" w:type="auto"/>
            <w:gridSpan w:val="3"/>
            <w:shd w:val="clear" w:color="auto" w:fill="auto"/>
            <w:vAlign w:val="bottom"/>
          </w:tcPr>
          <w:p w14:paraId="71D46AB1" w14:textId="77777777" w:rsidR="006A3667" w:rsidRDefault="006A3667">
            <w:pPr>
              <w:rPr>
                <w:rFonts w:ascii="宋体"/>
                <w:vanish/>
              </w:rPr>
            </w:pPr>
          </w:p>
        </w:tc>
        <w:tc>
          <w:tcPr>
            <w:tcW w:w="0" w:type="auto"/>
            <w:gridSpan w:val="3"/>
            <w:shd w:val="clear" w:color="auto" w:fill="auto"/>
            <w:vAlign w:val="bottom"/>
          </w:tcPr>
          <w:p w14:paraId="71D46AB2" w14:textId="77777777" w:rsidR="006A3667" w:rsidRDefault="006A3667">
            <w:pPr>
              <w:rPr>
                <w:rFonts w:ascii="宋体"/>
                <w:vanish/>
              </w:rPr>
            </w:pPr>
          </w:p>
        </w:tc>
        <w:tc>
          <w:tcPr>
            <w:tcW w:w="0" w:type="auto"/>
            <w:gridSpan w:val="3"/>
            <w:shd w:val="clear" w:color="auto" w:fill="auto"/>
            <w:vAlign w:val="bottom"/>
          </w:tcPr>
          <w:p w14:paraId="71D46AB3" w14:textId="77777777" w:rsidR="006A3667" w:rsidRDefault="006A3667">
            <w:pPr>
              <w:rPr>
                <w:rFonts w:ascii="宋体"/>
                <w:vanish/>
              </w:rPr>
            </w:pPr>
          </w:p>
        </w:tc>
        <w:tc>
          <w:tcPr>
            <w:tcW w:w="0" w:type="auto"/>
            <w:shd w:val="clear" w:color="auto" w:fill="auto"/>
            <w:vAlign w:val="bottom"/>
          </w:tcPr>
          <w:p w14:paraId="71D46AB4" w14:textId="77777777" w:rsidR="006A3667" w:rsidRDefault="006A3667">
            <w:pPr>
              <w:rPr>
                <w:rFonts w:ascii="宋体"/>
                <w:vanish/>
              </w:rPr>
            </w:pPr>
          </w:p>
        </w:tc>
        <w:tc>
          <w:tcPr>
            <w:tcW w:w="0" w:type="auto"/>
            <w:shd w:val="clear" w:color="auto" w:fill="auto"/>
            <w:vAlign w:val="bottom"/>
          </w:tcPr>
          <w:p w14:paraId="71D46AB5" w14:textId="77777777" w:rsidR="006A3667" w:rsidRDefault="006A3667">
            <w:pPr>
              <w:rPr>
                <w:rFonts w:ascii="宋体"/>
                <w:vanish/>
              </w:rPr>
            </w:pPr>
          </w:p>
        </w:tc>
        <w:tc>
          <w:tcPr>
            <w:tcW w:w="0" w:type="auto"/>
            <w:gridSpan w:val="3"/>
            <w:shd w:val="clear" w:color="auto" w:fill="auto"/>
            <w:vAlign w:val="bottom"/>
          </w:tcPr>
          <w:p w14:paraId="71D46AB6" w14:textId="77777777" w:rsidR="006A3667" w:rsidRDefault="006A3667">
            <w:pPr>
              <w:rPr>
                <w:rFonts w:ascii="宋体"/>
                <w:vanish/>
              </w:rPr>
            </w:pPr>
          </w:p>
        </w:tc>
        <w:tc>
          <w:tcPr>
            <w:tcW w:w="0" w:type="auto"/>
            <w:gridSpan w:val="3"/>
            <w:shd w:val="clear" w:color="auto" w:fill="auto"/>
            <w:vAlign w:val="bottom"/>
          </w:tcPr>
          <w:p w14:paraId="71D46AB7" w14:textId="77777777" w:rsidR="006A3667" w:rsidRDefault="006A3667">
            <w:pPr>
              <w:rPr>
                <w:rFonts w:ascii="宋体"/>
                <w:vanish/>
              </w:rPr>
            </w:pPr>
          </w:p>
        </w:tc>
        <w:tc>
          <w:tcPr>
            <w:tcW w:w="0" w:type="auto"/>
            <w:gridSpan w:val="3"/>
            <w:shd w:val="clear" w:color="auto" w:fill="auto"/>
            <w:vAlign w:val="bottom"/>
          </w:tcPr>
          <w:p w14:paraId="71D46AB8" w14:textId="77777777" w:rsidR="006A3667" w:rsidRDefault="006A3667">
            <w:pPr>
              <w:rPr>
                <w:rFonts w:ascii="宋体"/>
                <w:vanish/>
              </w:rPr>
            </w:pPr>
          </w:p>
        </w:tc>
        <w:tc>
          <w:tcPr>
            <w:tcW w:w="0" w:type="auto"/>
            <w:gridSpan w:val="3"/>
            <w:shd w:val="clear" w:color="auto" w:fill="auto"/>
            <w:vAlign w:val="bottom"/>
          </w:tcPr>
          <w:p w14:paraId="71D46AB9" w14:textId="77777777" w:rsidR="006A3667" w:rsidRDefault="006A3667">
            <w:pPr>
              <w:rPr>
                <w:rFonts w:ascii="宋体"/>
                <w:vanish/>
              </w:rPr>
            </w:pPr>
          </w:p>
        </w:tc>
        <w:tc>
          <w:tcPr>
            <w:tcW w:w="0" w:type="auto"/>
            <w:gridSpan w:val="3"/>
            <w:shd w:val="clear" w:color="auto" w:fill="auto"/>
            <w:vAlign w:val="bottom"/>
          </w:tcPr>
          <w:p w14:paraId="71D46ABA" w14:textId="77777777" w:rsidR="006A3667" w:rsidRDefault="006A3667">
            <w:pPr>
              <w:rPr>
                <w:rFonts w:ascii="宋体"/>
                <w:vanish/>
              </w:rPr>
            </w:pPr>
          </w:p>
        </w:tc>
      </w:tr>
      <w:tr w:rsidR="006A3667" w14:paraId="71D46ACE" w14:textId="77777777">
        <w:trPr>
          <w:hidden/>
        </w:trPr>
        <w:tc>
          <w:tcPr>
            <w:tcW w:w="0" w:type="auto"/>
            <w:gridSpan w:val="3"/>
            <w:shd w:val="clear" w:color="auto" w:fill="auto"/>
            <w:vAlign w:val="bottom"/>
          </w:tcPr>
          <w:p w14:paraId="71D46ABC" w14:textId="77777777" w:rsidR="006A3667" w:rsidRDefault="006A3667">
            <w:pPr>
              <w:rPr>
                <w:rFonts w:ascii="宋体"/>
                <w:vanish/>
              </w:rPr>
            </w:pPr>
          </w:p>
        </w:tc>
        <w:tc>
          <w:tcPr>
            <w:tcW w:w="0" w:type="auto"/>
            <w:gridSpan w:val="3"/>
            <w:shd w:val="clear" w:color="auto" w:fill="auto"/>
            <w:vAlign w:val="bottom"/>
          </w:tcPr>
          <w:p w14:paraId="71D46ABD" w14:textId="77777777" w:rsidR="006A3667" w:rsidRDefault="006A3667">
            <w:pPr>
              <w:rPr>
                <w:rFonts w:ascii="宋体"/>
                <w:vanish/>
              </w:rPr>
            </w:pPr>
          </w:p>
        </w:tc>
        <w:tc>
          <w:tcPr>
            <w:tcW w:w="0" w:type="auto"/>
            <w:gridSpan w:val="3"/>
            <w:shd w:val="clear" w:color="auto" w:fill="auto"/>
            <w:vAlign w:val="bottom"/>
          </w:tcPr>
          <w:p w14:paraId="71D46ABE" w14:textId="77777777" w:rsidR="006A3667" w:rsidRDefault="006A3667">
            <w:pPr>
              <w:rPr>
                <w:rFonts w:ascii="宋体"/>
                <w:vanish/>
              </w:rPr>
            </w:pPr>
          </w:p>
        </w:tc>
        <w:tc>
          <w:tcPr>
            <w:tcW w:w="0" w:type="auto"/>
            <w:gridSpan w:val="3"/>
            <w:shd w:val="clear" w:color="auto" w:fill="auto"/>
            <w:vAlign w:val="bottom"/>
          </w:tcPr>
          <w:p w14:paraId="71D46ABF" w14:textId="77777777" w:rsidR="006A3667" w:rsidRDefault="006A3667">
            <w:pPr>
              <w:rPr>
                <w:rFonts w:ascii="宋体"/>
                <w:vanish/>
              </w:rPr>
            </w:pPr>
          </w:p>
        </w:tc>
        <w:tc>
          <w:tcPr>
            <w:tcW w:w="0" w:type="auto"/>
            <w:gridSpan w:val="3"/>
            <w:shd w:val="clear" w:color="auto" w:fill="auto"/>
            <w:vAlign w:val="bottom"/>
          </w:tcPr>
          <w:p w14:paraId="71D46AC0" w14:textId="77777777" w:rsidR="006A3667" w:rsidRDefault="006A3667">
            <w:pPr>
              <w:rPr>
                <w:rFonts w:ascii="宋体"/>
                <w:vanish/>
              </w:rPr>
            </w:pPr>
          </w:p>
        </w:tc>
        <w:tc>
          <w:tcPr>
            <w:tcW w:w="0" w:type="auto"/>
            <w:gridSpan w:val="3"/>
            <w:shd w:val="clear" w:color="auto" w:fill="auto"/>
            <w:vAlign w:val="bottom"/>
          </w:tcPr>
          <w:p w14:paraId="71D46AC1" w14:textId="77777777" w:rsidR="006A3667" w:rsidRDefault="006A3667">
            <w:pPr>
              <w:rPr>
                <w:rFonts w:ascii="宋体"/>
                <w:vanish/>
              </w:rPr>
            </w:pPr>
          </w:p>
        </w:tc>
        <w:tc>
          <w:tcPr>
            <w:tcW w:w="0" w:type="auto"/>
            <w:gridSpan w:val="3"/>
            <w:shd w:val="clear" w:color="auto" w:fill="auto"/>
            <w:vAlign w:val="bottom"/>
          </w:tcPr>
          <w:p w14:paraId="71D46AC2" w14:textId="77777777" w:rsidR="006A3667" w:rsidRDefault="006A3667">
            <w:pPr>
              <w:rPr>
                <w:rFonts w:ascii="宋体"/>
                <w:vanish/>
              </w:rPr>
            </w:pPr>
          </w:p>
        </w:tc>
        <w:tc>
          <w:tcPr>
            <w:tcW w:w="0" w:type="auto"/>
            <w:gridSpan w:val="3"/>
            <w:shd w:val="clear" w:color="auto" w:fill="auto"/>
            <w:vAlign w:val="bottom"/>
          </w:tcPr>
          <w:p w14:paraId="71D46AC3" w14:textId="77777777" w:rsidR="006A3667" w:rsidRDefault="006A3667">
            <w:pPr>
              <w:rPr>
                <w:rFonts w:ascii="宋体"/>
                <w:vanish/>
              </w:rPr>
            </w:pPr>
          </w:p>
        </w:tc>
        <w:tc>
          <w:tcPr>
            <w:tcW w:w="0" w:type="auto"/>
            <w:gridSpan w:val="3"/>
            <w:shd w:val="clear" w:color="auto" w:fill="auto"/>
            <w:vAlign w:val="bottom"/>
          </w:tcPr>
          <w:p w14:paraId="71D46AC4" w14:textId="77777777" w:rsidR="006A3667" w:rsidRDefault="006A3667">
            <w:pPr>
              <w:rPr>
                <w:rFonts w:ascii="宋体"/>
                <w:vanish/>
              </w:rPr>
            </w:pPr>
          </w:p>
        </w:tc>
        <w:tc>
          <w:tcPr>
            <w:tcW w:w="0" w:type="auto"/>
            <w:gridSpan w:val="3"/>
            <w:shd w:val="clear" w:color="auto" w:fill="auto"/>
            <w:vAlign w:val="bottom"/>
          </w:tcPr>
          <w:p w14:paraId="71D46AC5" w14:textId="77777777" w:rsidR="006A3667" w:rsidRDefault="006A3667">
            <w:pPr>
              <w:rPr>
                <w:rFonts w:ascii="宋体"/>
                <w:vanish/>
              </w:rPr>
            </w:pPr>
          </w:p>
        </w:tc>
        <w:tc>
          <w:tcPr>
            <w:tcW w:w="0" w:type="auto"/>
            <w:gridSpan w:val="3"/>
            <w:shd w:val="clear" w:color="auto" w:fill="auto"/>
            <w:vAlign w:val="bottom"/>
          </w:tcPr>
          <w:p w14:paraId="71D46AC6" w14:textId="77777777" w:rsidR="006A3667" w:rsidRDefault="006A3667">
            <w:pPr>
              <w:rPr>
                <w:rFonts w:ascii="宋体"/>
                <w:vanish/>
              </w:rPr>
            </w:pPr>
          </w:p>
        </w:tc>
        <w:tc>
          <w:tcPr>
            <w:tcW w:w="0" w:type="auto"/>
            <w:shd w:val="clear" w:color="auto" w:fill="auto"/>
            <w:vAlign w:val="bottom"/>
          </w:tcPr>
          <w:p w14:paraId="71D46AC7" w14:textId="77777777" w:rsidR="006A3667" w:rsidRDefault="006A3667">
            <w:pPr>
              <w:rPr>
                <w:rFonts w:ascii="宋体"/>
                <w:vanish/>
              </w:rPr>
            </w:pPr>
          </w:p>
        </w:tc>
        <w:tc>
          <w:tcPr>
            <w:tcW w:w="0" w:type="auto"/>
            <w:shd w:val="clear" w:color="auto" w:fill="auto"/>
            <w:vAlign w:val="bottom"/>
          </w:tcPr>
          <w:p w14:paraId="71D46AC8" w14:textId="77777777" w:rsidR="006A3667" w:rsidRDefault="006A3667">
            <w:pPr>
              <w:rPr>
                <w:rFonts w:ascii="宋体"/>
                <w:vanish/>
              </w:rPr>
            </w:pPr>
          </w:p>
        </w:tc>
        <w:tc>
          <w:tcPr>
            <w:tcW w:w="0" w:type="auto"/>
            <w:gridSpan w:val="3"/>
            <w:shd w:val="clear" w:color="auto" w:fill="auto"/>
            <w:vAlign w:val="bottom"/>
          </w:tcPr>
          <w:p w14:paraId="71D46AC9" w14:textId="77777777" w:rsidR="006A3667" w:rsidRDefault="006A3667">
            <w:pPr>
              <w:rPr>
                <w:rFonts w:ascii="宋体"/>
                <w:vanish/>
              </w:rPr>
            </w:pPr>
          </w:p>
        </w:tc>
        <w:tc>
          <w:tcPr>
            <w:tcW w:w="0" w:type="auto"/>
            <w:gridSpan w:val="3"/>
            <w:shd w:val="clear" w:color="auto" w:fill="auto"/>
            <w:vAlign w:val="bottom"/>
          </w:tcPr>
          <w:p w14:paraId="71D46ACA" w14:textId="77777777" w:rsidR="006A3667" w:rsidRDefault="006A3667">
            <w:pPr>
              <w:rPr>
                <w:rFonts w:ascii="宋体"/>
                <w:vanish/>
              </w:rPr>
            </w:pPr>
          </w:p>
        </w:tc>
        <w:tc>
          <w:tcPr>
            <w:tcW w:w="0" w:type="auto"/>
            <w:gridSpan w:val="3"/>
            <w:shd w:val="clear" w:color="auto" w:fill="auto"/>
            <w:vAlign w:val="bottom"/>
          </w:tcPr>
          <w:p w14:paraId="71D46ACB" w14:textId="77777777" w:rsidR="006A3667" w:rsidRDefault="006A3667">
            <w:pPr>
              <w:rPr>
                <w:rFonts w:ascii="宋体"/>
                <w:vanish/>
              </w:rPr>
            </w:pPr>
          </w:p>
        </w:tc>
        <w:tc>
          <w:tcPr>
            <w:tcW w:w="0" w:type="auto"/>
            <w:gridSpan w:val="3"/>
            <w:shd w:val="clear" w:color="auto" w:fill="auto"/>
            <w:vAlign w:val="bottom"/>
          </w:tcPr>
          <w:p w14:paraId="71D46ACC" w14:textId="77777777" w:rsidR="006A3667" w:rsidRDefault="006A3667">
            <w:pPr>
              <w:rPr>
                <w:rFonts w:ascii="宋体"/>
                <w:vanish/>
              </w:rPr>
            </w:pPr>
          </w:p>
        </w:tc>
        <w:tc>
          <w:tcPr>
            <w:tcW w:w="0" w:type="auto"/>
            <w:gridSpan w:val="3"/>
            <w:shd w:val="clear" w:color="auto" w:fill="auto"/>
            <w:vAlign w:val="bottom"/>
          </w:tcPr>
          <w:p w14:paraId="71D46ACD" w14:textId="77777777" w:rsidR="006A3667" w:rsidRDefault="006A3667">
            <w:pPr>
              <w:rPr>
                <w:rFonts w:ascii="宋体"/>
                <w:vanish/>
              </w:rPr>
            </w:pPr>
          </w:p>
        </w:tc>
      </w:tr>
      <w:tr w:rsidR="006A3667" w14:paraId="71D46AE1" w14:textId="77777777">
        <w:trPr>
          <w:hidden/>
        </w:trPr>
        <w:tc>
          <w:tcPr>
            <w:tcW w:w="0" w:type="auto"/>
            <w:gridSpan w:val="3"/>
            <w:shd w:val="clear" w:color="auto" w:fill="auto"/>
            <w:vAlign w:val="bottom"/>
          </w:tcPr>
          <w:p w14:paraId="71D46ACF" w14:textId="77777777" w:rsidR="006A3667" w:rsidRDefault="006A3667">
            <w:pPr>
              <w:rPr>
                <w:rFonts w:ascii="宋体"/>
                <w:vanish/>
              </w:rPr>
            </w:pPr>
          </w:p>
        </w:tc>
        <w:tc>
          <w:tcPr>
            <w:tcW w:w="0" w:type="auto"/>
            <w:gridSpan w:val="3"/>
            <w:shd w:val="clear" w:color="auto" w:fill="auto"/>
            <w:vAlign w:val="bottom"/>
          </w:tcPr>
          <w:p w14:paraId="71D46AD0" w14:textId="77777777" w:rsidR="006A3667" w:rsidRDefault="006A3667">
            <w:pPr>
              <w:rPr>
                <w:rFonts w:ascii="宋体"/>
                <w:vanish/>
              </w:rPr>
            </w:pPr>
          </w:p>
        </w:tc>
        <w:tc>
          <w:tcPr>
            <w:tcW w:w="0" w:type="auto"/>
            <w:gridSpan w:val="3"/>
            <w:shd w:val="clear" w:color="auto" w:fill="auto"/>
            <w:vAlign w:val="bottom"/>
          </w:tcPr>
          <w:p w14:paraId="71D46AD1" w14:textId="77777777" w:rsidR="006A3667" w:rsidRDefault="006A3667">
            <w:pPr>
              <w:rPr>
                <w:rFonts w:ascii="宋体"/>
                <w:vanish/>
              </w:rPr>
            </w:pPr>
          </w:p>
        </w:tc>
        <w:tc>
          <w:tcPr>
            <w:tcW w:w="0" w:type="auto"/>
            <w:gridSpan w:val="3"/>
            <w:shd w:val="clear" w:color="auto" w:fill="auto"/>
            <w:vAlign w:val="bottom"/>
          </w:tcPr>
          <w:p w14:paraId="71D46AD2" w14:textId="77777777" w:rsidR="006A3667" w:rsidRDefault="006A3667">
            <w:pPr>
              <w:rPr>
                <w:rFonts w:ascii="宋体"/>
                <w:vanish/>
              </w:rPr>
            </w:pPr>
          </w:p>
        </w:tc>
        <w:tc>
          <w:tcPr>
            <w:tcW w:w="0" w:type="auto"/>
            <w:gridSpan w:val="3"/>
            <w:shd w:val="clear" w:color="auto" w:fill="auto"/>
            <w:vAlign w:val="bottom"/>
          </w:tcPr>
          <w:p w14:paraId="71D46AD3" w14:textId="77777777" w:rsidR="006A3667" w:rsidRDefault="006A3667">
            <w:pPr>
              <w:rPr>
                <w:rFonts w:ascii="宋体"/>
                <w:vanish/>
              </w:rPr>
            </w:pPr>
          </w:p>
        </w:tc>
        <w:tc>
          <w:tcPr>
            <w:tcW w:w="0" w:type="auto"/>
            <w:gridSpan w:val="3"/>
            <w:shd w:val="clear" w:color="auto" w:fill="auto"/>
            <w:vAlign w:val="bottom"/>
          </w:tcPr>
          <w:p w14:paraId="71D46AD4" w14:textId="77777777" w:rsidR="006A3667" w:rsidRDefault="006A3667">
            <w:pPr>
              <w:rPr>
                <w:rFonts w:ascii="宋体"/>
                <w:vanish/>
              </w:rPr>
            </w:pPr>
          </w:p>
        </w:tc>
        <w:tc>
          <w:tcPr>
            <w:tcW w:w="0" w:type="auto"/>
            <w:gridSpan w:val="3"/>
            <w:shd w:val="clear" w:color="auto" w:fill="auto"/>
            <w:vAlign w:val="bottom"/>
          </w:tcPr>
          <w:p w14:paraId="71D46AD5" w14:textId="77777777" w:rsidR="006A3667" w:rsidRDefault="006A3667">
            <w:pPr>
              <w:rPr>
                <w:rFonts w:ascii="宋体"/>
                <w:vanish/>
              </w:rPr>
            </w:pPr>
          </w:p>
        </w:tc>
        <w:tc>
          <w:tcPr>
            <w:tcW w:w="0" w:type="auto"/>
            <w:gridSpan w:val="3"/>
            <w:shd w:val="clear" w:color="auto" w:fill="auto"/>
            <w:vAlign w:val="bottom"/>
          </w:tcPr>
          <w:p w14:paraId="71D46AD6" w14:textId="77777777" w:rsidR="006A3667" w:rsidRDefault="006A3667">
            <w:pPr>
              <w:rPr>
                <w:rFonts w:ascii="宋体"/>
                <w:vanish/>
              </w:rPr>
            </w:pPr>
          </w:p>
        </w:tc>
        <w:tc>
          <w:tcPr>
            <w:tcW w:w="0" w:type="auto"/>
            <w:gridSpan w:val="3"/>
            <w:shd w:val="clear" w:color="auto" w:fill="auto"/>
            <w:vAlign w:val="bottom"/>
          </w:tcPr>
          <w:p w14:paraId="71D46AD7" w14:textId="77777777" w:rsidR="006A3667" w:rsidRDefault="006A3667">
            <w:pPr>
              <w:rPr>
                <w:rFonts w:ascii="宋体"/>
                <w:vanish/>
              </w:rPr>
            </w:pPr>
          </w:p>
        </w:tc>
        <w:tc>
          <w:tcPr>
            <w:tcW w:w="0" w:type="auto"/>
            <w:gridSpan w:val="3"/>
            <w:shd w:val="clear" w:color="auto" w:fill="auto"/>
            <w:vAlign w:val="bottom"/>
          </w:tcPr>
          <w:p w14:paraId="71D46AD8" w14:textId="77777777" w:rsidR="006A3667" w:rsidRDefault="006A3667">
            <w:pPr>
              <w:rPr>
                <w:rFonts w:ascii="宋体"/>
                <w:vanish/>
              </w:rPr>
            </w:pPr>
          </w:p>
        </w:tc>
        <w:tc>
          <w:tcPr>
            <w:tcW w:w="0" w:type="auto"/>
            <w:gridSpan w:val="3"/>
            <w:shd w:val="clear" w:color="auto" w:fill="auto"/>
            <w:vAlign w:val="bottom"/>
          </w:tcPr>
          <w:p w14:paraId="71D46AD9" w14:textId="77777777" w:rsidR="006A3667" w:rsidRDefault="006A3667">
            <w:pPr>
              <w:rPr>
                <w:rFonts w:ascii="宋体"/>
                <w:vanish/>
              </w:rPr>
            </w:pPr>
          </w:p>
        </w:tc>
        <w:tc>
          <w:tcPr>
            <w:tcW w:w="0" w:type="auto"/>
            <w:shd w:val="clear" w:color="auto" w:fill="auto"/>
            <w:vAlign w:val="bottom"/>
          </w:tcPr>
          <w:p w14:paraId="71D46ADA" w14:textId="77777777" w:rsidR="006A3667" w:rsidRDefault="006A3667">
            <w:pPr>
              <w:rPr>
                <w:rFonts w:ascii="宋体"/>
                <w:vanish/>
              </w:rPr>
            </w:pPr>
          </w:p>
        </w:tc>
        <w:tc>
          <w:tcPr>
            <w:tcW w:w="0" w:type="auto"/>
            <w:shd w:val="clear" w:color="auto" w:fill="auto"/>
            <w:vAlign w:val="bottom"/>
          </w:tcPr>
          <w:p w14:paraId="71D46ADB" w14:textId="77777777" w:rsidR="006A3667" w:rsidRDefault="006A3667">
            <w:pPr>
              <w:rPr>
                <w:rFonts w:ascii="宋体"/>
                <w:vanish/>
              </w:rPr>
            </w:pPr>
          </w:p>
        </w:tc>
        <w:tc>
          <w:tcPr>
            <w:tcW w:w="0" w:type="auto"/>
            <w:gridSpan w:val="3"/>
            <w:shd w:val="clear" w:color="auto" w:fill="auto"/>
            <w:vAlign w:val="bottom"/>
          </w:tcPr>
          <w:p w14:paraId="71D46ADC" w14:textId="77777777" w:rsidR="006A3667" w:rsidRDefault="006A3667">
            <w:pPr>
              <w:rPr>
                <w:rFonts w:ascii="宋体"/>
                <w:vanish/>
              </w:rPr>
            </w:pPr>
          </w:p>
        </w:tc>
        <w:tc>
          <w:tcPr>
            <w:tcW w:w="0" w:type="auto"/>
            <w:gridSpan w:val="3"/>
            <w:shd w:val="clear" w:color="auto" w:fill="auto"/>
            <w:vAlign w:val="bottom"/>
          </w:tcPr>
          <w:p w14:paraId="71D46ADD" w14:textId="77777777" w:rsidR="006A3667" w:rsidRDefault="006A3667">
            <w:pPr>
              <w:rPr>
                <w:rFonts w:ascii="宋体"/>
                <w:vanish/>
              </w:rPr>
            </w:pPr>
          </w:p>
        </w:tc>
        <w:tc>
          <w:tcPr>
            <w:tcW w:w="0" w:type="auto"/>
            <w:gridSpan w:val="3"/>
            <w:shd w:val="clear" w:color="auto" w:fill="auto"/>
            <w:vAlign w:val="bottom"/>
          </w:tcPr>
          <w:p w14:paraId="71D46ADE" w14:textId="77777777" w:rsidR="006A3667" w:rsidRDefault="006A3667">
            <w:pPr>
              <w:rPr>
                <w:rFonts w:ascii="宋体"/>
                <w:vanish/>
              </w:rPr>
            </w:pPr>
          </w:p>
        </w:tc>
        <w:tc>
          <w:tcPr>
            <w:tcW w:w="0" w:type="auto"/>
            <w:gridSpan w:val="3"/>
            <w:shd w:val="clear" w:color="auto" w:fill="auto"/>
            <w:vAlign w:val="bottom"/>
          </w:tcPr>
          <w:p w14:paraId="71D46ADF" w14:textId="77777777" w:rsidR="006A3667" w:rsidRDefault="006A3667">
            <w:pPr>
              <w:rPr>
                <w:rFonts w:ascii="宋体"/>
                <w:vanish/>
              </w:rPr>
            </w:pPr>
          </w:p>
        </w:tc>
        <w:tc>
          <w:tcPr>
            <w:tcW w:w="0" w:type="auto"/>
            <w:gridSpan w:val="3"/>
            <w:shd w:val="clear" w:color="auto" w:fill="auto"/>
            <w:vAlign w:val="bottom"/>
          </w:tcPr>
          <w:p w14:paraId="71D46AE0" w14:textId="77777777" w:rsidR="006A3667" w:rsidRDefault="006A3667">
            <w:pPr>
              <w:rPr>
                <w:rFonts w:ascii="宋体"/>
                <w:vanish/>
              </w:rPr>
            </w:pPr>
          </w:p>
        </w:tc>
      </w:tr>
      <w:tr w:rsidR="006A3667" w14:paraId="71D46B04" w14:textId="77777777">
        <w:tc>
          <w:tcPr>
            <w:tcW w:w="0" w:type="auto"/>
            <w:gridSpan w:val="3"/>
            <w:shd w:val="clear" w:color="auto" w:fill="FFFFFF"/>
            <w:tcMar>
              <w:top w:w="40" w:type="dxa"/>
              <w:left w:w="20" w:type="dxa"/>
              <w:bottom w:w="40" w:type="dxa"/>
              <w:right w:w="20" w:type="dxa"/>
            </w:tcMar>
            <w:vAlign w:val="bottom"/>
          </w:tcPr>
          <w:p w14:paraId="71D46AE2" w14:textId="77777777" w:rsidR="006A3667" w:rsidRDefault="00045F32">
            <w:pPr>
              <w:textAlignment w:val="bottom"/>
            </w:pPr>
            <w:r>
              <w:rPr>
                <w:rFonts w:ascii="Arial" w:eastAsia="宋体" w:hAnsi="Arial" w:cs="Arial"/>
                <w:color w:val="000000"/>
                <w:sz w:val="14"/>
                <w:szCs w:val="14"/>
              </w:rPr>
              <w:t>Total loans</w:t>
            </w:r>
            <w:r>
              <w:rPr>
                <w:rFonts w:ascii="Arial" w:eastAsia="宋体" w:hAnsi="Arial" w:cs="Arial"/>
                <w:color w:val="000000"/>
                <w:sz w:val="9"/>
                <w:szCs w:val="9"/>
              </w:rPr>
              <w:t>(2)</w:t>
            </w:r>
          </w:p>
        </w:tc>
        <w:tc>
          <w:tcPr>
            <w:tcW w:w="0" w:type="auto"/>
            <w:shd w:val="clear" w:color="auto" w:fill="FFFFFF"/>
            <w:tcMar>
              <w:top w:w="40" w:type="dxa"/>
              <w:left w:w="20" w:type="dxa"/>
              <w:bottom w:w="40" w:type="dxa"/>
              <w:right w:w="0" w:type="dxa"/>
            </w:tcMar>
            <w:vAlign w:val="bottom"/>
          </w:tcPr>
          <w:p w14:paraId="71D46AE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AE4" w14:textId="77777777" w:rsidR="006A3667" w:rsidRDefault="00045F32">
            <w:pPr>
              <w:jc w:val="right"/>
              <w:textAlignment w:val="bottom"/>
            </w:pPr>
            <w:r>
              <w:rPr>
                <w:rFonts w:ascii="Arial" w:eastAsia="宋体" w:hAnsi="Arial" w:cs="Arial"/>
                <w:color w:val="000000"/>
                <w:sz w:val="14"/>
                <w:szCs w:val="14"/>
              </w:rPr>
              <w:t>8,336 </w:t>
            </w:r>
          </w:p>
        </w:tc>
        <w:tc>
          <w:tcPr>
            <w:tcW w:w="0" w:type="auto"/>
            <w:shd w:val="clear" w:color="auto" w:fill="FFFFFF"/>
            <w:tcMar>
              <w:top w:w="40" w:type="dxa"/>
              <w:left w:w="0" w:type="dxa"/>
              <w:bottom w:w="40" w:type="dxa"/>
              <w:right w:w="20" w:type="dxa"/>
            </w:tcMar>
            <w:vAlign w:val="bottom"/>
          </w:tcPr>
          <w:p w14:paraId="71D46AE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E6"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AE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AE8" w14:textId="77777777" w:rsidR="006A3667" w:rsidRDefault="00045F32">
            <w:pPr>
              <w:jc w:val="right"/>
              <w:textAlignment w:val="bottom"/>
            </w:pPr>
            <w:r>
              <w:rPr>
                <w:rFonts w:ascii="Arial" w:eastAsia="宋体" w:hAnsi="Arial" w:cs="Arial"/>
                <w:color w:val="000000"/>
                <w:sz w:val="14"/>
                <w:szCs w:val="14"/>
              </w:rPr>
              <w:t>794 </w:t>
            </w:r>
          </w:p>
        </w:tc>
        <w:tc>
          <w:tcPr>
            <w:tcW w:w="0" w:type="auto"/>
            <w:shd w:val="clear" w:color="auto" w:fill="FFFFFF"/>
            <w:tcMar>
              <w:top w:w="40" w:type="dxa"/>
              <w:left w:w="0" w:type="dxa"/>
              <w:bottom w:w="40" w:type="dxa"/>
              <w:right w:w="20" w:type="dxa"/>
            </w:tcMar>
            <w:vAlign w:val="bottom"/>
          </w:tcPr>
          <w:p w14:paraId="71D46AE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EA"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AE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AEC" w14:textId="77777777" w:rsidR="006A3667" w:rsidRDefault="00045F32">
            <w:pPr>
              <w:jc w:val="right"/>
              <w:textAlignment w:val="bottom"/>
            </w:pPr>
            <w:r>
              <w:rPr>
                <w:rFonts w:ascii="Arial" w:eastAsia="宋体" w:hAnsi="Arial" w:cs="Arial"/>
                <w:color w:val="000000"/>
                <w:sz w:val="14"/>
                <w:szCs w:val="14"/>
              </w:rPr>
              <w:t>2,012 </w:t>
            </w:r>
          </w:p>
        </w:tc>
        <w:tc>
          <w:tcPr>
            <w:tcW w:w="0" w:type="auto"/>
            <w:shd w:val="clear" w:color="auto" w:fill="FFFFFF"/>
            <w:tcMar>
              <w:top w:w="40" w:type="dxa"/>
              <w:left w:w="0" w:type="dxa"/>
              <w:bottom w:w="40" w:type="dxa"/>
              <w:right w:w="20" w:type="dxa"/>
            </w:tcMar>
            <w:vAlign w:val="bottom"/>
          </w:tcPr>
          <w:p w14:paraId="71D46AE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EE"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AE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AF0" w14:textId="77777777" w:rsidR="006A3667" w:rsidRDefault="00045F32">
            <w:pPr>
              <w:jc w:val="right"/>
              <w:textAlignment w:val="bottom"/>
            </w:pPr>
            <w:r>
              <w:rPr>
                <w:rFonts w:ascii="Arial" w:eastAsia="宋体" w:hAnsi="Arial" w:cs="Arial"/>
                <w:color w:val="000000"/>
                <w:sz w:val="14"/>
                <w:szCs w:val="14"/>
              </w:rPr>
              <w:t>1,457 </w:t>
            </w:r>
          </w:p>
        </w:tc>
        <w:tc>
          <w:tcPr>
            <w:tcW w:w="0" w:type="auto"/>
            <w:shd w:val="clear" w:color="auto" w:fill="FFFFFF"/>
            <w:tcMar>
              <w:top w:w="40" w:type="dxa"/>
              <w:left w:w="0" w:type="dxa"/>
              <w:bottom w:w="40" w:type="dxa"/>
              <w:right w:w="20" w:type="dxa"/>
            </w:tcMar>
            <w:vAlign w:val="bottom"/>
          </w:tcPr>
          <w:p w14:paraId="71D46A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F2"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AF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AF4" w14:textId="77777777" w:rsidR="006A3667" w:rsidRDefault="00045F32">
            <w:pPr>
              <w:jc w:val="right"/>
              <w:textAlignment w:val="bottom"/>
            </w:pPr>
            <w:r>
              <w:rPr>
                <w:rFonts w:ascii="Arial" w:eastAsia="宋体" w:hAnsi="Arial" w:cs="Arial"/>
                <w:color w:val="000000"/>
                <w:sz w:val="14"/>
                <w:szCs w:val="14"/>
              </w:rPr>
              <w:t>810 </w:t>
            </w:r>
          </w:p>
        </w:tc>
        <w:tc>
          <w:tcPr>
            <w:tcW w:w="0" w:type="auto"/>
            <w:shd w:val="clear" w:color="auto" w:fill="FFFFFF"/>
            <w:tcMar>
              <w:top w:w="40" w:type="dxa"/>
              <w:left w:w="0" w:type="dxa"/>
              <w:bottom w:w="40" w:type="dxa"/>
              <w:right w:w="20" w:type="dxa"/>
            </w:tcMar>
            <w:vAlign w:val="bottom"/>
          </w:tcPr>
          <w:p w14:paraId="71D46A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F6" w14:textId="77777777" w:rsidR="006A3667" w:rsidRDefault="006A3667">
            <w:pPr>
              <w:rPr>
                <w:rFonts w:ascii="宋体"/>
              </w:rPr>
            </w:pPr>
          </w:p>
        </w:tc>
        <w:tc>
          <w:tcPr>
            <w:tcW w:w="0" w:type="auto"/>
            <w:shd w:val="clear" w:color="auto" w:fill="auto"/>
            <w:vAlign w:val="bottom"/>
          </w:tcPr>
          <w:p w14:paraId="71D46AF7" w14:textId="77777777" w:rsidR="006A3667" w:rsidRDefault="006A3667">
            <w:pPr>
              <w:rPr>
                <w:rFonts w:ascii="宋体"/>
                <w:vanish/>
              </w:rPr>
            </w:pPr>
          </w:p>
        </w:tc>
        <w:tc>
          <w:tcPr>
            <w:tcW w:w="0" w:type="auto"/>
            <w:shd w:val="clear" w:color="auto" w:fill="auto"/>
            <w:vAlign w:val="bottom"/>
          </w:tcPr>
          <w:p w14:paraId="71D46AF8" w14:textId="77777777" w:rsidR="006A3667" w:rsidRDefault="006A3667">
            <w:pPr>
              <w:rPr>
                <w:rFonts w:ascii="宋体"/>
                <w:vanish/>
              </w:rPr>
            </w:pPr>
          </w:p>
        </w:tc>
        <w:tc>
          <w:tcPr>
            <w:tcW w:w="0" w:type="auto"/>
            <w:shd w:val="clear" w:color="auto" w:fill="FFFFFF"/>
            <w:tcMar>
              <w:top w:w="40" w:type="dxa"/>
              <w:left w:w="20" w:type="dxa"/>
              <w:bottom w:w="40" w:type="dxa"/>
              <w:right w:w="0" w:type="dxa"/>
            </w:tcMar>
            <w:vAlign w:val="bottom"/>
          </w:tcPr>
          <w:p w14:paraId="71D46AF9"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AFA" w14:textId="77777777" w:rsidR="006A3667" w:rsidRDefault="00045F32">
            <w:pPr>
              <w:jc w:val="right"/>
              <w:textAlignment w:val="bottom"/>
            </w:pPr>
            <w:r>
              <w:rPr>
                <w:rFonts w:ascii="Arial" w:eastAsia="宋体" w:hAnsi="Arial" w:cs="Arial"/>
                <w:color w:val="000000"/>
                <w:sz w:val="14"/>
                <w:szCs w:val="14"/>
              </w:rPr>
              <w:t>263 </w:t>
            </w:r>
          </w:p>
        </w:tc>
        <w:tc>
          <w:tcPr>
            <w:tcW w:w="0" w:type="auto"/>
            <w:shd w:val="clear" w:color="auto" w:fill="FFFFFF"/>
            <w:tcMar>
              <w:top w:w="40" w:type="dxa"/>
              <w:left w:w="0" w:type="dxa"/>
              <w:bottom w:w="40" w:type="dxa"/>
              <w:right w:w="20" w:type="dxa"/>
            </w:tcMar>
            <w:vAlign w:val="bottom"/>
          </w:tcPr>
          <w:p w14:paraId="71D46AF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AFC"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AFD"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AFE" w14:textId="77777777" w:rsidR="006A3667" w:rsidRDefault="00045F32">
            <w:pPr>
              <w:jc w:val="right"/>
              <w:textAlignment w:val="bottom"/>
            </w:pPr>
            <w:r>
              <w:rPr>
                <w:rFonts w:ascii="Arial" w:eastAsia="宋体" w:hAnsi="Arial" w:cs="Arial"/>
                <w:color w:val="000000"/>
                <w:sz w:val="14"/>
                <w:szCs w:val="14"/>
              </w:rPr>
              <w:t>18,852 </w:t>
            </w:r>
          </w:p>
        </w:tc>
        <w:tc>
          <w:tcPr>
            <w:tcW w:w="0" w:type="auto"/>
            <w:shd w:val="clear" w:color="auto" w:fill="FFFFFF"/>
            <w:tcMar>
              <w:top w:w="40" w:type="dxa"/>
              <w:left w:w="0" w:type="dxa"/>
              <w:bottom w:w="40" w:type="dxa"/>
              <w:right w:w="20" w:type="dxa"/>
            </w:tcMar>
            <w:vAlign w:val="bottom"/>
          </w:tcPr>
          <w:p w14:paraId="71D46AF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B00"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6B01"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6B02" w14:textId="77777777" w:rsidR="006A3667" w:rsidRDefault="00045F32">
            <w:pPr>
              <w:jc w:val="right"/>
              <w:textAlignment w:val="bottom"/>
            </w:pPr>
            <w:r>
              <w:rPr>
                <w:rFonts w:ascii="Arial" w:eastAsia="宋体" w:hAnsi="Arial" w:cs="Arial"/>
                <w:color w:val="000000"/>
                <w:sz w:val="14"/>
                <w:szCs w:val="14"/>
              </w:rPr>
              <w:t>32,524 </w:t>
            </w:r>
          </w:p>
        </w:tc>
        <w:tc>
          <w:tcPr>
            <w:tcW w:w="0" w:type="auto"/>
            <w:shd w:val="clear" w:color="auto" w:fill="FFFFFF"/>
            <w:tcMar>
              <w:top w:w="40" w:type="dxa"/>
              <w:left w:w="0" w:type="dxa"/>
              <w:bottom w:w="40" w:type="dxa"/>
              <w:right w:w="20" w:type="dxa"/>
            </w:tcMar>
            <w:vAlign w:val="bottom"/>
          </w:tcPr>
          <w:p w14:paraId="71D46B03" w14:textId="77777777" w:rsidR="006A3667" w:rsidRDefault="006A3667">
            <w:pPr>
              <w:jc w:val="right"/>
              <w:rPr>
                <w:rFonts w:ascii="宋体"/>
              </w:rPr>
            </w:pPr>
          </w:p>
        </w:tc>
      </w:tr>
      <w:tr w:rsidR="006A3667" w14:paraId="71D46B17" w14:textId="77777777">
        <w:trPr>
          <w:hidden/>
        </w:trPr>
        <w:tc>
          <w:tcPr>
            <w:tcW w:w="0" w:type="auto"/>
            <w:gridSpan w:val="3"/>
            <w:shd w:val="clear" w:color="auto" w:fill="auto"/>
            <w:vAlign w:val="bottom"/>
          </w:tcPr>
          <w:p w14:paraId="71D46B05" w14:textId="77777777" w:rsidR="006A3667" w:rsidRDefault="006A3667">
            <w:pPr>
              <w:rPr>
                <w:rFonts w:ascii="宋体"/>
                <w:vanish/>
              </w:rPr>
            </w:pPr>
          </w:p>
        </w:tc>
        <w:tc>
          <w:tcPr>
            <w:tcW w:w="0" w:type="auto"/>
            <w:gridSpan w:val="3"/>
            <w:shd w:val="clear" w:color="auto" w:fill="auto"/>
            <w:vAlign w:val="bottom"/>
          </w:tcPr>
          <w:p w14:paraId="71D46B06" w14:textId="77777777" w:rsidR="006A3667" w:rsidRDefault="006A3667">
            <w:pPr>
              <w:rPr>
                <w:rFonts w:ascii="宋体"/>
                <w:vanish/>
              </w:rPr>
            </w:pPr>
          </w:p>
        </w:tc>
        <w:tc>
          <w:tcPr>
            <w:tcW w:w="0" w:type="auto"/>
            <w:gridSpan w:val="3"/>
            <w:shd w:val="clear" w:color="auto" w:fill="auto"/>
            <w:vAlign w:val="bottom"/>
          </w:tcPr>
          <w:p w14:paraId="71D46B07" w14:textId="77777777" w:rsidR="006A3667" w:rsidRDefault="006A3667">
            <w:pPr>
              <w:rPr>
                <w:rFonts w:ascii="宋体"/>
                <w:vanish/>
              </w:rPr>
            </w:pPr>
          </w:p>
        </w:tc>
        <w:tc>
          <w:tcPr>
            <w:tcW w:w="0" w:type="auto"/>
            <w:gridSpan w:val="3"/>
            <w:shd w:val="clear" w:color="auto" w:fill="auto"/>
            <w:vAlign w:val="bottom"/>
          </w:tcPr>
          <w:p w14:paraId="71D46B08" w14:textId="77777777" w:rsidR="006A3667" w:rsidRDefault="006A3667">
            <w:pPr>
              <w:rPr>
                <w:rFonts w:ascii="宋体"/>
                <w:vanish/>
              </w:rPr>
            </w:pPr>
          </w:p>
        </w:tc>
        <w:tc>
          <w:tcPr>
            <w:tcW w:w="0" w:type="auto"/>
            <w:gridSpan w:val="3"/>
            <w:shd w:val="clear" w:color="auto" w:fill="auto"/>
            <w:vAlign w:val="bottom"/>
          </w:tcPr>
          <w:p w14:paraId="71D46B09" w14:textId="77777777" w:rsidR="006A3667" w:rsidRDefault="006A3667">
            <w:pPr>
              <w:rPr>
                <w:rFonts w:ascii="宋体"/>
                <w:vanish/>
              </w:rPr>
            </w:pPr>
          </w:p>
        </w:tc>
        <w:tc>
          <w:tcPr>
            <w:tcW w:w="0" w:type="auto"/>
            <w:gridSpan w:val="3"/>
            <w:shd w:val="clear" w:color="auto" w:fill="auto"/>
            <w:vAlign w:val="bottom"/>
          </w:tcPr>
          <w:p w14:paraId="71D46B0A" w14:textId="77777777" w:rsidR="006A3667" w:rsidRDefault="006A3667">
            <w:pPr>
              <w:rPr>
                <w:rFonts w:ascii="宋体"/>
                <w:vanish/>
              </w:rPr>
            </w:pPr>
          </w:p>
        </w:tc>
        <w:tc>
          <w:tcPr>
            <w:tcW w:w="0" w:type="auto"/>
            <w:gridSpan w:val="3"/>
            <w:shd w:val="clear" w:color="auto" w:fill="auto"/>
            <w:vAlign w:val="bottom"/>
          </w:tcPr>
          <w:p w14:paraId="71D46B0B" w14:textId="77777777" w:rsidR="006A3667" w:rsidRDefault="006A3667">
            <w:pPr>
              <w:rPr>
                <w:rFonts w:ascii="宋体"/>
                <w:vanish/>
              </w:rPr>
            </w:pPr>
          </w:p>
        </w:tc>
        <w:tc>
          <w:tcPr>
            <w:tcW w:w="0" w:type="auto"/>
            <w:gridSpan w:val="3"/>
            <w:shd w:val="clear" w:color="auto" w:fill="auto"/>
            <w:vAlign w:val="bottom"/>
          </w:tcPr>
          <w:p w14:paraId="71D46B0C" w14:textId="77777777" w:rsidR="006A3667" w:rsidRDefault="006A3667">
            <w:pPr>
              <w:rPr>
                <w:rFonts w:ascii="宋体"/>
                <w:vanish/>
              </w:rPr>
            </w:pPr>
          </w:p>
        </w:tc>
        <w:tc>
          <w:tcPr>
            <w:tcW w:w="0" w:type="auto"/>
            <w:gridSpan w:val="3"/>
            <w:shd w:val="clear" w:color="auto" w:fill="auto"/>
            <w:vAlign w:val="bottom"/>
          </w:tcPr>
          <w:p w14:paraId="71D46B0D" w14:textId="77777777" w:rsidR="006A3667" w:rsidRDefault="006A3667">
            <w:pPr>
              <w:rPr>
                <w:rFonts w:ascii="宋体"/>
                <w:vanish/>
              </w:rPr>
            </w:pPr>
          </w:p>
        </w:tc>
        <w:tc>
          <w:tcPr>
            <w:tcW w:w="0" w:type="auto"/>
            <w:gridSpan w:val="3"/>
            <w:shd w:val="clear" w:color="auto" w:fill="auto"/>
            <w:vAlign w:val="bottom"/>
          </w:tcPr>
          <w:p w14:paraId="71D46B0E" w14:textId="77777777" w:rsidR="006A3667" w:rsidRDefault="006A3667">
            <w:pPr>
              <w:rPr>
                <w:rFonts w:ascii="宋体"/>
                <w:vanish/>
              </w:rPr>
            </w:pPr>
          </w:p>
        </w:tc>
        <w:tc>
          <w:tcPr>
            <w:tcW w:w="0" w:type="auto"/>
            <w:gridSpan w:val="3"/>
            <w:shd w:val="clear" w:color="auto" w:fill="auto"/>
            <w:vAlign w:val="bottom"/>
          </w:tcPr>
          <w:p w14:paraId="71D46B0F" w14:textId="77777777" w:rsidR="006A3667" w:rsidRDefault="006A3667">
            <w:pPr>
              <w:rPr>
                <w:rFonts w:ascii="宋体"/>
                <w:vanish/>
              </w:rPr>
            </w:pPr>
          </w:p>
        </w:tc>
        <w:tc>
          <w:tcPr>
            <w:tcW w:w="0" w:type="auto"/>
            <w:shd w:val="clear" w:color="auto" w:fill="auto"/>
            <w:vAlign w:val="bottom"/>
          </w:tcPr>
          <w:p w14:paraId="71D46B10" w14:textId="77777777" w:rsidR="006A3667" w:rsidRDefault="006A3667">
            <w:pPr>
              <w:rPr>
                <w:rFonts w:ascii="宋体"/>
                <w:vanish/>
              </w:rPr>
            </w:pPr>
          </w:p>
        </w:tc>
        <w:tc>
          <w:tcPr>
            <w:tcW w:w="0" w:type="auto"/>
            <w:shd w:val="clear" w:color="auto" w:fill="auto"/>
            <w:vAlign w:val="bottom"/>
          </w:tcPr>
          <w:p w14:paraId="71D46B11" w14:textId="77777777" w:rsidR="006A3667" w:rsidRDefault="006A3667">
            <w:pPr>
              <w:rPr>
                <w:rFonts w:ascii="宋体"/>
                <w:vanish/>
              </w:rPr>
            </w:pPr>
          </w:p>
        </w:tc>
        <w:tc>
          <w:tcPr>
            <w:tcW w:w="0" w:type="auto"/>
            <w:gridSpan w:val="3"/>
            <w:shd w:val="clear" w:color="auto" w:fill="auto"/>
            <w:vAlign w:val="bottom"/>
          </w:tcPr>
          <w:p w14:paraId="71D46B12" w14:textId="77777777" w:rsidR="006A3667" w:rsidRDefault="006A3667">
            <w:pPr>
              <w:rPr>
                <w:rFonts w:ascii="宋体"/>
                <w:vanish/>
              </w:rPr>
            </w:pPr>
          </w:p>
        </w:tc>
        <w:tc>
          <w:tcPr>
            <w:tcW w:w="0" w:type="auto"/>
            <w:gridSpan w:val="3"/>
            <w:shd w:val="clear" w:color="auto" w:fill="auto"/>
            <w:vAlign w:val="bottom"/>
          </w:tcPr>
          <w:p w14:paraId="71D46B13" w14:textId="77777777" w:rsidR="006A3667" w:rsidRDefault="006A3667">
            <w:pPr>
              <w:rPr>
                <w:rFonts w:ascii="宋体"/>
                <w:vanish/>
              </w:rPr>
            </w:pPr>
          </w:p>
        </w:tc>
        <w:tc>
          <w:tcPr>
            <w:tcW w:w="0" w:type="auto"/>
            <w:gridSpan w:val="3"/>
            <w:shd w:val="clear" w:color="auto" w:fill="auto"/>
            <w:vAlign w:val="bottom"/>
          </w:tcPr>
          <w:p w14:paraId="71D46B14" w14:textId="77777777" w:rsidR="006A3667" w:rsidRDefault="006A3667">
            <w:pPr>
              <w:rPr>
                <w:rFonts w:ascii="宋体"/>
                <w:vanish/>
              </w:rPr>
            </w:pPr>
          </w:p>
        </w:tc>
        <w:tc>
          <w:tcPr>
            <w:tcW w:w="0" w:type="auto"/>
            <w:gridSpan w:val="3"/>
            <w:shd w:val="clear" w:color="auto" w:fill="auto"/>
            <w:vAlign w:val="bottom"/>
          </w:tcPr>
          <w:p w14:paraId="71D46B15" w14:textId="77777777" w:rsidR="006A3667" w:rsidRDefault="006A3667">
            <w:pPr>
              <w:rPr>
                <w:rFonts w:ascii="宋体"/>
                <w:vanish/>
              </w:rPr>
            </w:pPr>
          </w:p>
        </w:tc>
        <w:tc>
          <w:tcPr>
            <w:tcW w:w="0" w:type="auto"/>
            <w:gridSpan w:val="3"/>
            <w:shd w:val="clear" w:color="auto" w:fill="auto"/>
            <w:vAlign w:val="bottom"/>
          </w:tcPr>
          <w:p w14:paraId="71D46B16" w14:textId="77777777" w:rsidR="006A3667" w:rsidRDefault="006A3667">
            <w:pPr>
              <w:rPr>
                <w:rFonts w:ascii="宋体"/>
                <w:vanish/>
              </w:rPr>
            </w:pPr>
          </w:p>
        </w:tc>
      </w:tr>
      <w:tr w:rsidR="006A3667" w14:paraId="71D46B2A" w14:textId="77777777">
        <w:trPr>
          <w:hidden/>
        </w:trPr>
        <w:tc>
          <w:tcPr>
            <w:tcW w:w="0" w:type="auto"/>
            <w:gridSpan w:val="3"/>
            <w:shd w:val="clear" w:color="auto" w:fill="auto"/>
            <w:vAlign w:val="bottom"/>
          </w:tcPr>
          <w:p w14:paraId="71D46B18" w14:textId="77777777" w:rsidR="006A3667" w:rsidRDefault="006A3667">
            <w:pPr>
              <w:rPr>
                <w:rFonts w:ascii="宋体"/>
                <w:vanish/>
              </w:rPr>
            </w:pPr>
          </w:p>
        </w:tc>
        <w:tc>
          <w:tcPr>
            <w:tcW w:w="0" w:type="auto"/>
            <w:gridSpan w:val="3"/>
            <w:shd w:val="clear" w:color="auto" w:fill="auto"/>
            <w:vAlign w:val="bottom"/>
          </w:tcPr>
          <w:p w14:paraId="71D46B19" w14:textId="77777777" w:rsidR="006A3667" w:rsidRDefault="006A3667">
            <w:pPr>
              <w:rPr>
                <w:rFonts w:ascii="宋体"/>
                <w:vanish/>
              </w:rPr>
            </w:pPr>
          </w:p>
        </w:tc>
        <w:tc>
          <w:tcPr>
            <w:tcW w:w="0" w:type="auto"/>
            <w:gridSpan w:val="3"/>
            <w:shd w:val="clear" w:color="auto" w:fill="auto"/>
            <w:vAlign w:val="bottom"/>
          </w:tcPr>
          <w:p w14:paraId="71D46B1A" w14:textId="77777777" w:rsidR="006A3667" w:rsidRDefault="006A3667">
            <w:pPr>
              <w:rPr>
                <w:rFonts w:ascii="宋体"/>
                <w:vanish/>
              </w:rPr>
            </w:pPr>
          </w:p>
        </w:tc>
        <w:tc>
          <w:tcPr>
            <w:tcW w:w="0" w:type="auto"/>
            <w:gridSpan w:val="3"/>
            <w:shd w:val="clear" w:color="auto" w:fill="auto"/>
            <w:vAlign w:val="bottom"/>
          </w:tcPr>
          <w:p w14:paraId="71D46B1B" w14:textId="77777777" w:rsidR="006A3667" w:rsidRDefault="006A3667">
            <w:pPr>
              <w:rPr>
                <w:rFonts w:ascii="宋体"/>
                <w:vanish/>
              </w:rPr>
            </w:pPr>
          </w:p>
        </w:tc>
        <w:tc>
          <w:tcPr>
            <w:tcW w:w="0" w:type="auto"/>
            <w:gridSpan w:val="3"/>
            <w:shd w:val="clear" w:color="auto" w:fill="auto"/>
            <w:vAlign w:val="bottom"/>
          </w:tcPr>
          <w:p w14:paraId="71D46B1C" w14:textId="77777777" w:rsidR="006A3667" w:rsidRDefault="006A3667">
            <w:pPr>
              <w:rPr>
                <w:rFonts w:ascii="宋体"/>
                <w:vanish/>
              </w:rPr>
            </w:pPr>
          </w:p>
        </w:tc>
        <w:tc>
          <w:tcPr>
            <w:tcW w:w="0" w:type="auto"/>
            <w:gridSpan w:val="3"/>
            <w:shd w:val="clear" w:color="auto" w:fill="auto"/>
            <w:vAlign w:val="bottom"/>
          </w:tcPr>
          <w:p w14:paraId="71D46B1D" w14:textId="77777777" w:rsidR="006A3667" w:rsidRDefault="006A3667">
            <w:pPr>
              <w:rPr>
                <w:rFonts w:ascii="宋体"/>
                <w:vanish/>
              </w:rPr>
            </w:pPr>
          </w:p>
        </w:tc>
        <w:tc>
          <w:tcPr>
            <w:tcW w:w="0" w:type="auto"/>
            <w:gridSpan w:val="3"/>
            <w:shd w:val="clear" w:color="auto" w:fill="auto"/>
            <w:vAlign w:val="bottom"/>
          </w:tcPr>
          <w:p w14:paraId="71D46B1E" w14:textId="77777777" w:rsidR="006A3667" w:rsidRDefault="006A3667">
            <w:pPr>
              <w:rPr>
                <w:rFonts w:ascii="宋体"/>
                <w:vanish/>
              </w:rPr>
            </w:pPr>
          </w:p>
        </w:tc>
        <w:tc>
          <w:tcPr>
            <w:tcW w:w="0" w:type="auto"/>
            <w:gridSpan w:val="3"/>
            <w:shd w:val="clear" w:color="auto" w:fill="auto"/>
            <w:vAlign w:val="bottom"/>
          </w:tcPr>
          <w:p w14:paraId="71D46B1F" w14:textId="77777777" w:rsidR="006A3667" w:rsidRDefault="006A3667">
            <w:pPr>
              <w:rPr>
                <w:rFonts w:ascii="宋体"/>
                <w:vanish/>
              </w:rPr>
            </w:pPr>
          </w:p>
        </w:tc>
        <w:tc>
          <w:tcPr>
            <w:tcW w:w="0" w:type="auto"/>
            <w:gridSpan w:val="3"/>
            <w:shd w:val="clear" w:color="auto" w:fill="auto"/>
            <w:vAlign w:val="bottom"/>
          </w:tcPr>
          <w:p w14:paraId="71D46B20" w14:textId="77777777" w:rsidR="006A3667" w:rsidRDefault="006A3667">
            <w:pPr>
              <w:rPr>
                <w:rFonts w:ascii="宋体"/>
                <w:vanish/>
              </w:rPr>
            </w:pPr>
          </w:p>
        </w:tc>
        <w:tc>
          <w:tcPr>
            <w:tcW w:w="0" w:type="auto"/>
            <w:gridSpan w:val="3"/>
            <w:shd w:val="clear" w:color="auto" w:fill="auto"/>
            <w:vAlign w:val="bottom"/>
          </w:tcPr>
          <w:p w14:paraId="71D46B21" w14:textId="77777777" w:rsidR="006A3667" w:rsidRDefault="006A3667">
            <w:pPr>
              <w:rPr>
                <w:rFonts w:ascii="宋体"/>
                <w:vanish/>
              </w:rPr>
            </w:pPr>
          </w:p>
        </w:tc>
        <w:tc>
          <w:tcPr>
            <w:tcW w:w="0" w:type="auto"/>
            <w:gridSpan w:val="3"/>
            <w:shd w:val="clear" w:color="auto" w:fill="auto"/>
            <w:vAlign w:val="bottom"/>
          </w:tcPr>
          <w:p w14:paraId="71D46B22" w14:textId="77777777" w:rsidR="006A3667" w:rsidRDefault="006A3667">
            <w:pPr>
              <w:rPr>
                <w:rFonts w:ascii="宋体"/>
                <w:vanish/>
              </w:rPr>
            </w:pPr>
          </w:p>
        </w:tc>
        <w:tc>
          <w:tcPr>
            <w:tcW w:w="0" w:type="auto"/>
            <w:shd w:val="clear" w:color="auto" w:fill="auto"/>
            <w:vAlign w:val="bottom"/>
          </w:tcPr>
          <w:p w14:paraId="71D46B23" w14:textId="77777777" w:rsidR="006A3667" w:rsidRDefault="006A3667">
            <w:pPr>
              <w:rPr>
                <w:rFonts w:ascii="宋体"/>
                <w:vanish/>
              </w:rPr>
            </w:pPr>
          </w:p>
        </w:tc>
        <w:tc>
          <w:tcPr>
            <w:tcW w:w="0" w:type="auto"/>
            <w:shd w:val="clear" w:color="auto" w:fill="auto"/>
            <w:vAlign w:val="bottom"/>
          </w:tcPr>
          <w:p w14:paraId="71D46B24" w14:textId="77777777" w:rsidR="006A3667" w:rsidRDefault="006A3667">
            <w:pPr>
              <w:rPr>
                <w:rFonts w:ascii="宋体"/>
                <w:vanish/>
              </w:rPr>
            </w:pPr>
          </w:p>
        </w:tc>
        <w:tc>
          <w:tcPr>
            <w:tcW w:w="0" w:type="auto"/>
            <w:gridSpan w:val="3"/>
            <w:shd w:val="clear" w:color="auto" w:fill="auto"/>
            <w:vAlign w:val="bottom"/>
          </w:tcPr>
          <w:p w14:paraId="71D46B25" w14:textId="77777777" w:rsidR="006A3667" w:rsidRDefault="006A3667">
            <w:pPr>
              <w:rPr>
                <w:rFonts w:ascii="宋体"/>
                <w:vanish/>
              </w:rPr>
            </w:pPr>
          </w:p>
        </w:tc>
        <w:tc>
          <w:tcPr>
            <w:tcW w:w="0" w:type="auto"/>
            <w:gridSpan w:val="3"/>
            <w:shd w:val="clear" w:color="auto" w:fill="auto"/>
            <w:vAlign w:val="bottom"/>
          </w:tcPr>
          <w:p w14:paraId="71D46B26" w14:textId="77777777" w:rsidR="006A3667" w:rsidRDefault="006A3667">
            <w:pPr>
              <w:rPr>
                <w:rFonts w:ascii="宋体"/>
                <w:vanish/>
              </w:rPr>
            </w:pPr>
          </w:p>
        </w:tc>
        <w:tc>
          <w:tcPr>
            <w:tcW w:w="0" w:type="auto"/>
            <w:gridSpan w:val="3"/>
            <w:shd w:val="clear" w:color="auto" w:fill="auto"/>
            <w:vAlign w:val="bottom"/>
          </w:tcPr>
          <w:p w14:paraId="71D46B27" w14:textId="77777777" w:rsidR="006A3667" w:rsidRDefault="006A3667">
            <w:pPr>
              <w:rPr>
                <w:rFonts w:ascii="宋体"/>
                <w:vanish/>
              </w:rPr>
            </w:pPr>
          </w:p>
        </w:tc>
        <w:tc>
          <w:tcPr>
            <w:tcW w:w="0" w:type="auto"/>
            <w:gridSpan w:val="3"/>
            <w:shd w:val="clear" w:color="auto" w:fill="auto"/>
            <w:vAlign w:val="bottom"/>
          </w:tcPr>
          <w:p w14:paraId="71D46B28" w14:textId="77777777" w:rsidR="006A3667" w:rsidRDefault="006A3667">
            <w:pPr>
              <w:rPr>
                <w:rFonts w:ascii="宋体"/>
                <w:vanish/>
              </w:rPr>
            </w:pPr>
          </w:p>
        </w:tc>
        <w:tc>
          <w:tcPr>
            <w:tcW w:w="0" w:type="auto"/>
            <w:gridSpan w:val="3"/>
            <w:shd w:val="clear" w:color="auto" w:fill="auto"/>
            <w:vAlign w:val="bottom"/>
          </w:tcPr>
          <w:p w14:paraId="71D46B29" w14:textId="77777777" w:rsidR="006A3667" w:rsidRDefault="006A3667">
            <w:pPr>
              <w:rPr>
                <w:rFonts w:ascii="宋体"/>
                <w:vanish/>
              </w:rPr>
            </w:pPr>
          </w:p>
        </w:tc>
      </w:tr>
      <w:tr w:rsidR="006A3667" w14:paraId="71D46B3D" w14:textId="77777777">
        <w:trPr>
          <w:hidden/>
        </w:trPr>
        <w:tc>
          <w:tcPr>
            <w:tcW w:w="0" w:type="auto"/>
            <w:gridSpan w:val="3"/>
            <w:shd w:val="clear" w:color="auto" w:fill="auto"/>
            <w:vAlign w:val="bottom"/>
          </w:tcPr>
          <w:p w14:paraId="71D46B2B" w14:textId="77777777" w:rsidR="006A3667" w:rsidRDefault="006A3667">
            <w:pPr>
              <w:rPr>
                <w:rFonts w:ascii="宋体"/>
                <w:vanish/>
              </w:rPr>
            </w:pPr>
          </w:p>
        </w:tc>
        <w:tc>
          <w:tcPr>
            <w:tcW w:w="0" w:type="auto"/>
            <w:gridSpan w:val="3"/>
            <w:shd w:val="clear" w:color="auto" w:fill="auto"/>
            <w:vAlign w:val="bottom"/>
          </w:tcPr>
          <w:p w14:paraId="71D46B2C" w14:textId="77777777" w:rsidR="006A3667" w:rsidRDefault="006A3667">
            <w:pPr>
              <w:rPr>
                <w:rFonts w:ascii="宋体"/>
                <w:vanish/>
              </w:rPr>
            </w:pPr>
          </w:p>
        </w:tc>
        <w:tc>
          <w:tcPr>
            <w:tcW w:w="0" w:type="auto"/>
            <w:gridSpan w:val="3"/>
            <w:shd w:val="clear" w:color="auto" w:fill="auto"/>
            <w:vAlign w:val="bottom"/>
          </w:tcPr>
          <w:p w14:paraId="71D46B2D" w14:textId="77777777" w:rsidR="006A3667" w:rsidRDefault="006A3667">
            <w:pPr>
              <w:rPr>
                <w:rFonts w:ascii="宋体"/>
                <w:vanish/>
              </w:rPr>
            </w:pPr>
          </w:p>
        </w:tc>
        <w:tc>
          <w:tcPr>
            <w:tcW w:w="0" w:type="auto"/>
            <w:gridSpan w:val="3"/>
            <w:shd w:val="clear" w:color="auto" w:fill="auto"/>
            <w:vAlign w:val="bottom"/>
          </w:tcPr>
          <w:p w14:paraId="71D46B2E" w14:textId="77777777" w:rsidR="006A3667" w:rsidRDefault="006A3667">
            <w:pPr>
              <w:rPr>
                <w:rFonts w:ascii="宋体"/>
                <w:vanish/>
              </w:rPr>
            </w:pPr>
          </w:p>
        </w:tc>
        <w:tc>
          <w:tcPr>
            <w:tcW w:w="0" w:type="auto"/>
            <w:gridSpan w:val="3"/>
            <w:shd w:val="clear" w:color="auto" w:fill="auto"/>
            <w:vAlign w:val="bottom"/>
          </w:tcPr>
          <w:p w14:paraId="71D46B2F" w14:textId="77777777" w:rsidR="006A3667" w:rsidRDefault="006A3667">
            <w:pPr>
              <w:rPr>
                <w:rFonts w:ascii="宋体"/>
                <w:vanish/>
              </w:rPr>
            </w:pPr>
          </w:p>
        </w:tc>
        <w:tc>
          <w:tcPr>
            <w:tcW w:w="0" w:type="auto"/>
            <w:gridSpan w:val="3"/>
            <w:shd w:val="clear" w:color="auto" w:fill="auto"/>
            <w:vAlign w:val="bottom"/>
          </w:tcPr>
          <w:p w14:paraId="71D46B30" w14:textId="77777777" w:rsidR="006A3667" w:rsidRDefault="006A3667">
            <w:pPr>
              <w:rPr>
                <w:rFonts w:ascii="宋体"/>
                <w:vanish/>
              </w:rPr>
            </w:pPr>
          </w:p>
        </w:tc>
        <w:tc>
          <w:tcPr>
            <w:tcW w:w="0" w:type="auto"/>
            <w:gridSpan w:val="3"/>
            <w:shd w:val="clear" w:color="auto" w:fill="auto"/>
            <w:vAlign w:val="bottom"/>
          </w:tcPr>
          <w:p w14:paraId="71D46B31" w14:textId="77777777" w:rsidR="006A3667" w:rsidRDefault="006A3667">
            <w:pPr>
              <w:rPr>
                <w:rFonts w:ascii="宋体"/>
                <w:vanish/>
              </w:rPr>
            </w:pPr>
          </w:p>
        </w:tc>
        <w:tc>
          <w:tcPr>
            <w:tcW w:w="0" w:type="auto"/>
            <w:gridSpan w:val="3"/>
            <w:shd w:val="clear" w:color="auto" w:fill="auto"/>
            <w:vAlign w:val="bottom"/>
          </w:tcPr>
          <w:p w14:paraId="71D46B32" w14:textId="77777777" w:rsidR="006A3667" w:rsidRDefault="006A3667">
            <w:pPr>
              <w:rPr>
                <w:rFonts w:ascii="宋体"/>
                <w:vanish/>
              </w:rPr>
            </w:pPr>
          </w:p>
        </w:tc>
        <w:tc>
          <w:tcPr>
            <w:tcW w:w="0" w:type="auto"/>
            <w:gridSpan w:val="3"/>
            <w:shd w:val="clear" w:color="auto" w:fill="auto"/>
            <w:vAlign w:val="bottom"/>
          </w:tcPr>
          <w:p w14:paraId="71D46B33" w14:textId="77777777" w:rsidR="006A3667" w:rsidRDefault="006A3667">
            <w:pPr>
              <w:rPr>
                <w:rFonts w:ascii="宋体"/>
                <w:vanish/>
              </w:rPr>
            </w:pPr>
          </w:p>
        </w:tc>
        <w:tc>
          <w:tcPr>
            <w:tcW w:w="0" w:type="auto"/>
            <w:gridSpan w:val="3"/>
            <w:shd w:val="clear" w:color="auto" w:fill="auto"/>
            <w:vAlign w:val="bottom"/>
          </w:tcPr>
          <w:p w14:paraId="71D46B34" w14:textId="77777777" w:rsidR="006A3667" w:rsidRDefault="006A3667">
            <w:pPr>
              <w:rPr>
                <w:rFonts w:ascii="宋体"/>
                <w:vanish/>
              </w:rPr>
            </w:pPr>
          </w:p>
        </w:tc>
        <w:tc>
          <w:tcPr>
            <w:tcW w:w="0" w:type="auto"/>
            <w:gridSpan w:val="3"/>
            <w:shd w:val="clear" w:color="auto" w:fill="auto"/>
            <w:vAlign w:val="bottom"/>
          </w:tcPr>
          <w:p w14:paraId="71D46B35" w14:textId="77777777" w:rsidR="006A3667" w:rsidRDefault="006A3667">
            <w:pPr>
              <w:rPr>
                <w:rFonts w:ascii="宋体"/>
                <w:vanish/>
              </w:rPr>
            </w:pPr>
          </w:p>
        </w:tc>
        <w:tc>
          <w:tcPr>
            <w:tcW w:w="0" w:type="auto"/>
            <w:shd w:val="clear" w:color="auto" w:fill="auto"/>
            <w:vAlign w:val="bottom"/>
          </w:tcPr>
          <w:p w14:paraId="71D46B36" w14:textId="77777777" w:rsidR="006A3667" w:rsidRDefault="006A3667">
            <w:pPr>
              <w:rPr>
                <w:rFonts w:ascii="宋体"/>
                <w:vanish/>
              </w:rPr>
            </w:pPr>
          </w:p>
        </w:tc>
        <w:tc>
          <w:tcPr>
            <w:tcW w:w="0" w:type="auto"/>
            <w:shd w:val="clear" w:color="auto" w:fill="auto"/>
            <w:vAlign w:val="bottom"/>
          </w:tcPr>
          <w:p w14:paraId="71D46B37" w14:textId="77777777" w:rsidR="006A3667" w:rsidRDefault="006A3667">
            <w:pPr>
              <w:rPr>
                <w:rFonts w:ascii="宋体"/>
                <w:vanish/>
              </w:rPr>
            </w:pPr>
          </w:p>
        </w:tc>
        <w:tc>
          <w:tcPr>
            <w:tcW w:w="0" w:type="auto"/>
            <w:gridSpan w:val="3"/>
            <w:shd w:val="clear" w:color="auto" w:fill="auto"/>
            <w:vAlign w:val="bottom"/>
          </w:tcPr>
          <w:p w14:paraId="71D46B38" w14:textId="77777777" w:rsidR="006A3667" w:rsidRDefault="006A3667">
            <w:pPr>
              <w:rPr>
                <w:rFonts w:ascii="宋体"/>
                <w:vanish/>
              </w:rPr>
            </w:pPr>
          </w:p>
        </w:tc>
        <w:tc>
          <w:tcPr>
            <w:tcW w:w="0" w:type="auto"/>
            <w:gridSpan w:val="3"/>
            <w:shd w:val="clear" w:color="auto" w:fill="auto"/>
            <w:vAlign w:val="bottom"/>
          </w:tcPr>
          <w:p w14:paraId="71D46B39" w14:textId="77777777" w:rsidR="006A3667" w:rsidRDefault="006A3667">
            <w:pPr>
              <w:rPr>
                <w:rFonts w:ascii="宋体"/>
                <w:vanish/>
              </w:rPr>
            </w:pPr>
          </w:p>
        </w:tc>
        <w:tc>
          <w:tcPr>
            <w:tcW w:w="0" w:type="auto"/>
            <w:gridSpan w:val="3"/>
            <w:shd w:val="clear" w:color="auto" w:fill="auto"/>
            <w:vAlign w:val="bottom"/>
          </w:tcPr>
          <w:p w14:paraId="71D46B3A" w14:textId="77777777" w:rsidR="006A3667" w:rsidRDefault="006A3667">
            <w:pPr>
              <w:rPr>
                <w:rFonts w:ascii="宋体"/>
                <w:vanish/>
              </w:rPr>
            </w:pPr>
          </w:p>
        </w:tc>
        <w:tc>
          <w:tcPr>
            <w:tcW w:w="0" w:type="auto"/>
            <w:gridSpan w:val="3"/>
            <w:shd w:val="clear" w:color="auto" w:fill="auto"/>
            <w:vAlign w:val="bottom"/>
          </w:tcPr>
          <w:p w14:paraId="71D46B3B" w14:textId="77777777" w:rsidR="006A3667" w:rsidRDefault="006A3667">
            <w:pPr>
              <w:rPr>
                <w:rFonts w:ascii="宋体"/>
                <w:vanish/>
              </w:rPr>
            </w:pPr>
          </w:p>
        </w:tc>
        <w:tc>
          <w:tcPr>
            <w:tcW w:w="0" w:type="auto"/>
            <w:gridSpan w:val="3"/>
            <w:shd w:val="clear" w:color="auto" w:fill="auto"/>
            <w:vAlign w:val="bottom"/>
          </w:tcPr>
          <w:p w14:paraId="71D46B3C" w14:textId="77777777" w:rsidR="006A3667" w:rsidRDefault="006A3667">
            <w:pPr>
              <w:rPr>
                <w:rFonts w:ascii="宋体"/>
                <w:vanish/>
              </w:rPr>
            </w:pPr>
          </w:p>
        </w:tc>
      </w:tr>
      <w:tr w:rsidR="006A3667" w14:paraId="71D46B50" w14:textId="77777777">
        <w:trPr>
          <w:hidden/>
        </w:trPr>
        <w:tc>
          <w:tcPr>
            <w:tcW w:w="0" w:type="auto"/>
            <w:gridSpan w:val="3"/>
            <w:shd w:val="clear" w:color="auto" w:fill="auto"/>
            <w:vAlign w:val="bottom"/>
          </w:tcPr>
          <w:p w14:paraId="71D46B3E" w14:textId="77777777" w:rsidR="006A3667" w:rsidRDefault="006A3667">
            <w:pPr>
              <w:rPr>
                <w:rFonts w:ascii="宋体"/>
                <w:vanish/>
              </w:rPr>
            </w:pPr>
          </w:p>
        </w:tc>
        <w:tc>
          <w:tcPr>
            <w:tcW w:w="0" w:type="auto"/>
            <w:gridSpan w:val="3"/>
            <w:shd w:val="clear" w:color="auto" w:fill="auto"/>
            <w:vAlign w:val="bottom"/>
          </w:tcPr>
          <w:p w14:paraId="71D46B3F" w14:textId="77777777" w:rsidR="006A3667" w:rsidRDefault="006A3667">
            <w:pPr>
              <w:rPr>
                <w:rFonts w:ascii="宋体"/>
                <w:vanish/>
              </w:rPr>
            </w:pPr>
          </w:p>
        </w:tc>
        <w:tc>
          <w:tcPr>
            <w:tcW w:w="0" w:type="auto"/>
            <w:gridSpan w:val="3"/>
            <w:shd w:val="clear" w:color="auto" w:fill="auto"/>
            <w:vAlign w:val="bottom"/>
          </w:tcPr>
          <w:p w14:paraId="71D46B40" w14:textId="77777777" w:rsidR="006A3667" w:rsidRDefault="006A3667">
            <w:pPr>
              <w:rPr>
                <w:rFonts w:ascii="宋体"/>
                <w:vanish/>
              </w:rPr>
            </w:pPr>
          </w:p>
        </w:tc>
        <w:tc>
          <w:tcPr>
            <w:tcW w:w="0" w:type="auto"/>
            <w:gridSpan w:val="3"/>
            <w:shd w:val="clear" w:color="auto" w:fill="auto"/>
            <w:vAlign w:val="bottom"/>
          </w:tcPr>
          <w:p w14:paraId="71D46B41" w14:textId="77777777" w:rsidR="006A3667" w:rsidRDefault="006A3667">
            <w:pPr>
              <w:rPr>
                <w:rFonts w:ascii="宋体"/>
                <w:vanish/>
              </w:rPr>
            </w:pPr>
          </w:p>
        </w:tc>
        <w:tc>
          <w:tcPr>
            <w:tcW w:w="0" w:type="auto"/>
            <w:gridSpan w:val="3"/>
            <w:shd w:val="clear" w:color="auto" w:fill="auto"/>
            <w:vAlign w:val="bottom"/>
          </w:tcPr>
          <w:p w14:paraId="71D46B42" w14:textId="77777777" w:rsidR="006A3667" w:rsidRDefault="006A3667">
            <w:pPr>
              <w:rPr>
                <w:rFonts w:ascii="宋体"/>
                <w:vanish/>
              </w:rPr>
            </w:pPr>
          </w:p>
        </w:tc>
        <w:tc>
          <w:tcPr>
            <w:tcW w:w="0" w:type="auto"/>
            <w:gridSpan w:val="3"/>
            <w:shd w:val="clear" w:color="auto" w:fill="auto"/>
            <w:vAlign w:val="bottom"/>
          </w:tcPr>
          <w:p w14:paraId="71D46B43" w14:textId="77777777" w:rsidR="006A3667" w:rsidRDefault="006A3667">
            <w:pPr>
              <w:rPr>
                <w:rFonts w:ascii="宋体"/>
                <w:vanish/>
              </w:rPr>
            </w:pPr>
          </w:p>
        </w:tc>
        <w:tc>
          <w:tcPr>
            <w:tcW w:w="0" w:type="auto"/>
            <w:gridSpan w:val="3"/>
            <w:shd w:val="clear" w:color="auto" w:fill="auto"/>
            <w:vAlign w:val="bottom"/>
          </w:tcPr>
          <w:p w14:paraId="71D46B44" w14:textId="77777777" w:rsidR="006A3667" w:rsidRDefault="006A3667">
            <w:pPr>
              <w:rPr>
                <w:rFonts w:ascii="宋体"/>
                <w:vanish/>
              </w:rPr>
            </w:pPr>
          </w:p>
        </w:tc>
        <w:tc>
          <w:tcPr>
            <w:tcW w:w="0" w:type="auto"/>
            <w:gridSpan w:val="3"/>
            <w:shd w:val="clear" w:color="auto" w:fill="auto"/>
            <w:vAlign w:val="bottom"/>
          </w:tcPr>
          <w:p w14:paraId="71D46B45" w14:textId="77777777" w:rsidR="006A3667" w:rsidRDefault="006A3667">
            <w:pPr>
              <w:rPr>
                <w:rFonts w:ascii="宋体"/>
                <w:vanish/>
              </w:rPr>
            </w:pPr>
          </w:p>
        </w:tc>
        <w:tc>
          <w:tcPr>
            <w:tcW w:w="0" w:type="auto"/>
            <w:gridSpan w:val="3"/>
            <w:shd w:val="clear" w:color="auto" w:fill="auto"/>
            <w:vAlign w:val="bottom"/>
          </w:tcPr>
          <w:p w14:paraId="71D46B46" w14:textId="77777777" w:rsidR="006A3667" w:rsidRDefault="006A3667">
            <w:pPr>
              <w:rPr>
                <w:rFonts w:ascii="宋体"/>
                <w:vanish/>
              </w:rPr>
            </w:pPr>
          </w:p>
        </w:tc>
        <w:tc>
          <w:tcPr>
            <w:tcW w:w="0" w:type="auto"/>
            <w:gridSpan w:val="3"/>
            <w:shd w:val="clear" w:color="auto" w:fill="auto"/>
            <w:vAlign w:val="bottom"/>
          </w:tcPr>
          <w:p w14:paraId="71D46B47" w14:textId="77777777" w:rsidR="006A3667" w:rsidRDefault="006A3667">
            <w:pPr>
              <w:rPr>
                <w:rFonts w:ascii="宋体"/>
                <w:vanish/>
              </w:rPr>
            </w:pPr>
          </w:p>
        </w:tc>
        <w:tc>
          <w:tcPr>
            <w:tcW w:w="0" w:type="auto"/>
            <w:gridSpan w:val="3"/>
            <w:shd w:val="clear" w:color="auto" w:fill="auto"/>
            <w:vAlign w:val="bottom"/>
          </w:tcPr>
          <w:p w14:paraId="71D46B48" w14:textId="77777777" w:rsidR="006A3667" w:rsidRDefault="006A3667">
            <w:pPr>
              <w:rPr>
                <w:rFonts w:ascii="宋体"/>
                <w:vanish/>
              </w:rPr>
            </w:pPr>
          </w:p>
        </w:tc>
        <w:tc>
          <w:tcPr>
            <w:tcW w:w="0" w:type="auto"/>
            <w:shd w:val="clear" w:color="auto" w:fill="auto"/>
            <w:vAlign w:val="bottom"/>
          </w:tcPr>
          <w:p w14:paraId="71D46B49" w14:textId="77777777" w:rsidR="006A3667" w:rsidRDefault="006A3667">
            <w:pPr>
              <w:rPr>
                <w:rFonts w:ascii="宋体"/>
                <w:vanish/>
              </w:rPr>
            </w:pPr>
          </w:p>
        </w:tc>
        <w:tc>
          <w:tcPr>
            <w:tcW w:w="0" w:type="auto"/>
            <w:shd w:val="clear" w:color="auto" w:fill="auto"/>
            <w:vAlign w:val="bottom"/>
          </w:tcPr>
          <w:p w14:paraId="71D46B4A" w14:textId="77777777" w:rsidR="006A3667" w:rsidRDefault="006A3667">
            <w:pPr>
              <w:rPr>
                <w:rFonts w:ascii="宋体"/>
                <w:vanish/>
              </w:rPr>
            </w:pPr>
          </w:p>
        </w:tc>
        <w:tc>
          <w:tcPr>
            <w:tcW w:w="0" w:type="auto"/>
            <w:gridSpan w:val="3"/>
            <w:shd w:val="clear" w:color="auto" w:fill="auto"/>
            <w:vAlign w:val="bottom"/>
          </w:tcPr>
          <w:p w14:paraId="71D46B4B" w14:textId="77777777" w:rsidR="006A3667" w:rsidRDefault="006A3667">
            <w:pPr>
              <w:rPr>
                <w:rFonts w:ascii="宋体"/>
                <w:vanish/>
              </w:rPr>
            </w:pPr>
          </w:p>
        </w:tc>
        <w:tc>
          <w:tcPr>
            <w:tcW w:w="0" w:type="auto"/>
            <w:gridSpan w:val="3"/>
            <w:shd w:val="clear" w:color="auto" w:fill="auto"/>
            <w:vAlign w:val="bottom"/>
          </w:tcPr>
          <w:p w14:paraId="71D46B4C" w14:textId="77777777" w:rsidR="006A3667" w:rsidRDefault="006A3667">
            <w:pPr>
              <w:rPr>
                <w:rFonts w:ascii="宋体"/>
                <w:vanish/>
              </w:rPr>
            </w:pPr>
          </w:p>
        </w:tc>
        <w:tc>
          <w:tcPr>
            <w:tcW w:w="0" w:type="auto"/>
            <w:gridSpan w:val="3"/>
            <w:shd w:val="clear" w:color="auto" w:fill="auto"/>
            <w:vAlign w:val="bottom"/>
          </w:tcPr>
          <w:p w14:paraId="71D46B4D" w14:textId="77777777" w:rsidR="006A3667" w:rsidRDefault="006A3667">
            <w:pPr>
              <w:rPr>
                <w:rFonts w:ascii="宋体"/>
                <w:vanish/>
              </w:rPr>
            </w:pPr>
          </w:p>
        </w:tc>
        <w:tc>
          <w:tcPr>
            <w:tcW w:w="0" w:type="auto"/>
            <w:gridSpan w:val="3"/>
            <w:shd w:val="clear" w:color="auto" w:fill="auto"/>
            <w:vAlign w:val="bottom"/>
          </w:tcPr>
          <w:p w14:paraId="71D46B4E" w14:textId="77777777" w:rsidR="006A3667" w:rsidRDefault="006A3667">
            <w:pPr>
              <w:rPr>
                <w:rFonts w:ascii="宋体"/>
                <w:vanish/>
              </w:rPr>
            </w:pPr>
          </w:p>
        </w:tc>
        <w:tc>
          <w:tcPr>
            <w:tcW w:w="0" w:type="auto"/>
            <w:gridSpan w:val="3"/>
            <w:shd w:val="clear" w:color="auto" w:fill="auto"/>
            <w:vAlign w:val="bottom"/>
          </w:tcPr>
          <w:p w14:paraId="71D46B4F" w14:textId="77777777" w:rsidR="006A3667" w:rsidRDefault="006A3667">
            <w:pPr>
              <w:rPr>
                <w:rFonts w:ascii="宋体"/>
                <w:vanish/>
              </w:rPr>
            </w:pPr>
          </w:p>
        </w:tc>
      </w:tr>
      <w:tr w:rsidR="006A3667" w14:paraId="71D46B63" w14:textId="77777777">
        <w:trPr>
          <w:hidden/>
        </w:trPr>
        <w:tc>
          <w:tcPr>
            <w:tcW w:w="0" w:type="auto"/>
            <w:gridSpan w:val="3"/>
            <w:shd w:val="clear" w:color="auto" w:fill="auto"/>
            <w:vAlign w:val="bottom"/>
          </w:tcPr>
          <w:p w14:paraId="71D46B51" w14:textId="77777777" w:rsidR="006A3667" w:rsidRDefault="006A3667">
            <w:pPr>
              <w:rPr>
                <w:rFonts w:ascii="宋体"/>
                <w:vanish/>
              </w:rPr>
            </w:pPr>
          </w:p>
        </w:tc>
        <w:tc>
          <w:tcPr>
            <w:tcW w:w="0" w:type="auto"/>
            <w:gridSpan w:val="3"/>
            <w:shd w:val="clear" w:color="auto" w:fill="auto"/>
            <w:vAlign w:val="bottom"/>
          </w:tcPr>
          <w:p w14:paraId="71D46B52" w14:textId="77777777" w:rsidR="006A3667" w:rsidRDefault="006A3667">
            <w:pPr>
              <w:rPr>
                <w:rFonts w:ascii="宋体"/>
                <w:vanish/>
              </w:rPr>
            </w:pPr>
          </w:p>
        </w:tc>
        <w:tc>
          <w:tcPr>
            <w:tcW w:w="0" w:type="auto"/>
            <w:gridSpan w:val="3"/>
            <w:shd w:val="clear" w:color="auto" w:fill="auto"/>
            <w:vAlign w:val="bottom"/>
          </w:tcPr>
          <w:p w14:paraId="71D46B53" w14:textId="77777777" w:rsidR="006A3667" w:rsidRDefault="006A3667">
            <w:pPr>
              <w:rPr>
                <w:rFonts w:ascii="宋体"/>
                <w:vanish/>
              </w:rPr>
            </w:pPr>
          </w:p>
        </w:tc>
        <w:tc>
          <w:tcPr>
            <w:tcW w:w="0" w:type="auto"/>
            <w:gridSpan w:val="3"/>
            <w:shd w:val="clear" w:color="auto" w:fill="auto"/>
            <w:vAlign w:val="bottom"/>
          </w:tcPr>
          <w:p w14:paraId="71D46B54" w14:textId="77777777" w:rsidR="006A3667" w:rsidRDefault="006A3667">
            <w:pPr>
              <w:rPr>
                <w:rFonts w:ascii="宋体"/>
                <w:vanish/>
              </w:rPr>
            </w:pPr>
          </w:p>
        </w:tc>
        <w:tc>
          <w:tcPr>
            <w:tcW w:w="0" w:type="auto"/>
            <w:gridSpan w:val="3"/>
            <w:shd w:val="clear" w:color="auto" w:fill="auto"/>
            <w:vAlign w:val="bottom"/>
          </w:tcPr>
          <w:p w14:paraId="71D46B55" w14:textId="77777777" w:rsidR="006A3667" w:rsidRDefault="006A3667">
            <w:pPr>
              <w:rPr>
                <w:rFonts w:ascii="宋体"/>
                <w:vanish/>
              </w:rPr>
            </w:pPr>
          </w:p>
        </w:tc>
        <w:tc>
          <w:tcPr>
            <w:tcW w:w="0" w:type="auto"/>
            <w:gridSpan w:val="3"/>
            <w:shd w:val="clear" w:color="auto" w:fill="auto"/>
            <w:vAlign w:val="bottom"/>
          </w:tcPr>
          <w:p w14:paraId="71D46B56" w14:textId="77777777" w:rsidR="006A3667" w:rsidRDefault="006A3667">
            <w:pPr>
              <w:rPr>
                <w:rFonts w:ascii="宋体"/>
                <w:vanish/>
              </w:rPr>
            </w:pPr>
          </w:p>
        </w:tc>
        <w:tc>
          <w:tcPr>
            <w:tcW w:w="0" w:type="auto"/>
            <w:gridSpan w:val="3"/>
            <w:shd w:val="clear" w:color="auto" w:fill="auto"/>
            <w:vAlign w:val="bottom"/>
          </w:tcPr>
          <w:p w14:paraId="71D46B57" w14:textId="77777777" w:rsidR="006A3667" w:rsidRDefault="006A3667">
            <w:pPr>
              <w:rPr>
                <w:rFonts w:ascii="宋体"/>
                <w:vanish/>
              </w:rPr>
            </w:pPr>
          </w:p>
        </w:tc>
        <w:tc>
          <w:tcPr>
            <w:tcW w:w="0" w:type="auto"/>
            <w:gridSpan w:val="3"/>
            <w:shd w:val="clear" w:color="auto" w:fill="auto"/>
            <w:vAlign w:val="bottom"/>
          </w:tcPr>
          <w:p w14:paraId="71D46B58" w14:textId="77777777" w:rsidR="006A3667" w:rsidRDefault="006A3667">
            <w:pPr>
              <w:rPr>
                <w:rFonts w:ascii="宋体"/>
                <w:vanish/>
              </w:rPr>
            </w:pPr>
          </w:p>
        </w:tc>
        <w:tc>
          <w:tcPr>
            <w:tcW w:w="0" w:type="auto"/>
            <w:gridSpan w:val="3"/>
            <w:shd w:val="clear" w:color="auto" w:fill="auto"/>
            <w:vAlign w:val="bottom"/>
          </w:tcPr>
          <w:p w14:paraId="71D46B59" w14:textId="77777777" w:rsidR="006A3667" w:rsidRDefault="006A3667">
            <w:pPr>
              <w:rPr>
                <w:rFonts w:ascii="宋体"/>
                <w:vanish/>
              </w:rPr>
            </w:pPr>
          </w:p>
        </w:tc>
        <w:tc>
          <w:tcPr>
            <w:tcW w:w="0" w:type="auto"/>
            <w:gridSpan w:val="3"/>
            <w:shd w:val="clear" w:color="auto" w:fill="auto"/>
            <w:vAlign w:val="bottom"/>
          </w:tcPr>
          <w:p w14:paraId="71D46B5A" w14:textId="77777777" w:rsidR="006A3667" w:rsidRDefault="006A3667">
            <w:pPr>
              <w:rPr>
                <w:rFonts w:ascii="宋体"/>
                <w:vanish/>
              </w:rPr>
            </w:pPr>
          </w:p>
        </w:tc>
        <w:tc>
          <w:tcPr>
            <w:tcW w:w="0" w:type="auto"/>
            <w:gridSpan w:val="3"/>
            <w:shd w:val="clear" w:color="auto" w:fill="auto"/>
            <w:vAlign w:val="bottom"/>
          </w:tcPr>
          <w:p w14:paraId="71D46B5B" w14:textId="77777777" w:rsidR="006A3667" w:rsidRDefault="006A3667">
            <w:pPr>
              <w:rPr>
                <w:rFonts w:ascii="宋体"/>
                <w:vanish/>
              </w:rPr>
            </w:pPr>
          </w:p>
        </w:tc>
        <w:tc>
          <w:tcPr>
            <w:tcW w:w="0" w:type="auto"/>
            <w:shd w:val="clear" w:color="auto" w:fill="auto"/>
            <w:vAlign w:val="bottom"/>
          </w:tcPr>
          <w:p w14:paraId="71D46B5C" w14:textId="77777777" w:rsidR="006A3667" w:rsidRDefault="006A3667">
            <w:pPr>
              <w:rPr>
                <w:rFonts w:ascii="宋体"/>
                <w:vanish/>
              </w:rPr>
            </w:pPr>
          </w:p>
        </w:tc>
        <w:tc>
          <w:tcPr>
            <w:tcW w:w="0" w:type="auto"/>
            <w:shd w:val="clear" w:color="auto" w:fill="auto"/>
            <w:vAlign w:val="bottom"/>
          </w:tcPr>
          <w:p w14:paraId="71D46B5D" w14:textId="77777777" w:rsidR="006A3667" w:rsidRDefault="006A3667">
            <w:pPr>
              <w:rPr>
                <w:rFonts w:ascii="宋体"/>
                <w:vanish/>
              </w:rPr>
            </w:pPr>
          </w:p>
        </w:tc>
        <w:tc>
          <w:tcPr>
            <w:tcW w:w="0" w:type="auto"/>
            <w:gridSpan w:val="3"/>
            <w:shd w:val="clear" w:color="auto" w:fill="auto"/>
            <w:vAlign w:val="bottom"/>
          </w:tcPr>
          <w:p w14:paraId="71D46B5E" w14:textId="77777777" w:rsidR="006A3667" w:rsidRDefault="006A3667">
            <w:pPr>
              <w:rPr>
                <w:rFonts w:ascii="宋体"/>
                <w:vanish/>
              </w:rPr>
            </w:pPr>
          </w:p>
        </w:tc>
        <w:tc>
          <w:tcPr>
            <w:tcW w:w="0" w:type="auto"/>
            <w:gridSpan w:val="3"/>
            <w:shd w:val="clear" w:color="auto" w:fill="auto"/>
            <w:vAlign w:val="bottom"/>
          </w:tcPr>
          <w:p w14:paraId="71D46B5F" w14:textId="77777777" w:rsidR="006A3667" w:rsidRDefault="006A3667">
            <w:pPr>
              <w:rPr>
                <w:rFonts w:ascii="宋体"/>
                <w:vanish/>
              </w:rPr>
            </w:pPr>
          </w:p>
        </w:tc>
        <w:tc>
          <w:tcPr>
            <w:tcW w:w="0" w:type="auto"/>
            <w:gridSpan w:val="3"/>
            <w:shd w:val="clear" w:color="auto" w:fill="auto"/>
            <w:vAlign w:val="bottom"/>
          </w:tcPr>
          <w:p w14:paraId="71D46B60" w14:textId="77777777" w:rsidR="006A3667" w:rsidRDefault="006A3667">
            <w:pPr>
              <w:rPr>
                <w:rFonts w:ascii="宋体"/>
                <w:vanish/>
              </w:rPr>
            </w:pPr>
          </w:p>
        </w:tc>
        <w:tc>
          <w:tcPr>
            <w:tcW w:w="0" w:type="auto"/>
            <w:gridSpan w:val="3"/>
            <w:shd w:val="clear" w:color="auto" w:fill="auto"/>
            <w:vAlign w:val="bottom"/>
          </w:tcPr>
          <w:p w14:paraId="71D46B61" w14:textId="77777777" w:rsidR="006A3667" w:rsidRDefault="006A3667">
            <w:pPr>
              <w:rPr>
                <w:rFonts w:ascii="宋体"/>
                <w:vanish/>
              </w:rPr>
            </w:pPr>
          </w:p>
        </w:tc>
        <w:tc>
          <w:tcPr>
            <w:tcW w:w="0" w:type="auto"/>
            <w:gridSpan w:val="3"/>
            <w:shd w:val="clear" w:color="auto" w:fill="auto"/>
            <w:vAlign w:val="bottom"/>
          </w:tcPr>
          <w:p w14:paraId="71D46B62" w14:textId="77777777" w:rsidR="006A3667" w:rsidRDefault="006A3667">
            <w:pPr>
              <w:rPr>
                <w:rFonts w:ascii="宋体"/>
                <w:vanish/>
              </w:rPr>
            </w:pPr>
          </w:p>
        </w:tc>
      </w:tr>
      <w:tr w:rsidR="006A3667" w14:paraId="71D46B76" w14:textId="77777777">
        <w:trPr>
          <w:hidden/>
        </w:trPr>
        <w:tc>
          <w:tcPr>
            <w:tcW w:w="0" w:type="auto"/>
            <w:gridSpan w:val="3"/>
            <w:shd w:val="clear" w:color="auto" w:fill="auto"/>
            <w:vAlign w:val="bottom"/>
          </w:tcPr>
          <w:p w14:paraId="71D46B64" w14:textId="77777777" w:rsidR="006A3667" w:rsidRDefault="006A3667">
            <w:pPr>
              <w:rPr>
                <w:rFonts w:ascii="宋体"/>
                <w:vanish/>
              </w:rPr>
            </w:pPr>
          </w:p>
        </w:tc>
        <w:tc>
          <w:tcPr>
            <w:tcW w:w="0" w:type="auto"/>
            <w:gridSpan w:val="3"/>
            <w:shd w:val="clear" w:color="auto" w:fill="auto"/>
            <w:vAlign w:val="bottom"/>
          </w:tcPr>
          <w:p w14:paraId="71D46B65" w14:textId="77777777" w:rsidR="006A3667" w:rsidRDefault="006A3667">
            <w:pPr>
              <w:rPr>
                <w:rFonts w:ascii="宋体"/>
                <w:vanish/>
              </w:rPr>
            </w:pPr>
          </w:p>
        </w:tc>
        <w:tc>
          <w:tcPr>
            <w:tcW w:w="0" w:type="auto"/>
            <w:gridSpan w:val="3"/>
            <w:shd w:val="clear" w:color="auto" w:fill="auto"/>
            <w:vAlign w:val="bottom"/>
          </w:tcPr>
          <w:p w14:paraId="71D46B66" w14:textId="77777777" w:rsidR="006A3667" w:rsidRDefault="006A3667">
            <w:pPr>
              <w:rPr>
                <w:rFonts w:ascii="宋体"/>
                <w:vanish/>
              </w:rPr>
            </w:pPr>
          </w:p>
        </w:tc>
        <w:tc>
          <w:tcPr>
            <w:tcW w:w="0" w:type="auto"/>
            <w:gridSpan w:val="3"/>
            <w:shd w:val="clear" w:color="auto" w:fill="auto"/>
            <w:vAlign w:val="bottom"/>
          </w:tcPr>
          <w:p w14:paraId="71D46B67" w14:textId="77777777" w:rsidR="006A3667" w:rsidRDefault="006A3667">
            <w:pPr>
              <w:rPr>
                <w:rFonts w:ascii="宋体"/>
                <w:vanish/>
              </w:rPr>
            </w:pPr>
          </w:p>
        </w:tc>
        <w:tc>
          <w:tcPr>
            <w:tcW w:w="0" w:type="auto"/>
            <w:gridSpan w:val="3"/>
            <w:shd w:val="clear" w:color="auto" w:fill="auto"/>
            <w:vAlign w:val="bottom"/>
          </w:tcPr>
          <w:p w14:paraId="71D46B68" w14:textId="77777777" w:rsidR="006A3667" w:rsidRDefault="006A3667">
            <w:pPr>
              <w:rPr>
                <w:rFonts w:ascii="宋体"/>
                <w:vanish/>
              </w:rPr>
            </w:pPr>
          </w:p>
        </w:tc>
        <w:tc>
          <w:tcPr>
            <w:tcW w:w="0" w:type="auto"/>
            <w:gridSpan w:val="3"/>
            <w:shd w:val="clear" w:color="auto" w:fill="auto"/>
            <w:vAlign w:val="bottom"/>
          </w:tcPr>
          <w:p w14:paraId="71D46B69" w14:textId="77777777" w:rsidR="006A3667" w:rsidRDefault="006A3667">
            <w:pPr>
              <w:rPr>
                <w:rFonts w:ascii="宋体"/>
                <w:vanish/>
              </w:rPr>
            </w:pPr>
          </w:p>
        </w:tc>
        <w:tc>
          <w:tcPr>
            <w:tcW w:w="0" w:type="auto"/>
            <w:gridSpan w:val="3"/>
            <w:shd w:val="clear" w:color="auto" w:fill="auto"/>
            <w:vAlign w:val="bottom"/>
          </w:tcPr>
          <w:p w14:paraId="71D46B6A" w14:textId="77777777" w:rsidR="006A3667" w:rsidRDefault="006A3667">
            <w:pPr>
              <w:rPr>
                <w:rFonts w:ascii="宋体"/>
                <w:vanish/>
              </w:rPr>
            </w:pPr>
          </w:p>
        </w:tc>
        <w:tc>
          <w:tcPr>
            <w:tcW w:w="0" w:type="auto"/>
            <w:gridSpan w:val="3"/>
            <w:shd w:val="clear" w:color="auto" w:fill="auto"/>
            <w:vAlign w:val="bottom"/>
          </w:tcPr>
          <w:p w14:paraId="71D46B6B" w14:textId="77777777" w:rsidR="006A3667" w:rsidRDefault="006A3667">
            <w:pPr>
              <w:rPr>
                <w:rFonts w:ascii="宋体"/>
                <w:vanish/>
              </w:rPr>
            </w:pPr>
          </w:p>
        </w:tc>
        <w:tc>
          <w:tcPr>
            <w:tcW w:w="0" w:type="auto"/>
            <w:gridSpan w:val="3"/>
            <w:shd w:val="clear" w:color="auto" w:fill="auto"/>
            <w:vAlign w:val="bottom"/>
          </w:tcPr>
          <w:p w14:paraId="71D46B6C" w14:textId="77777777" w:rsidR="006A3667" w:rsidRDefault="006A3667">
            <w:pPr>
              <w:rPr>
                <w:rFonts w:ascii="宋体"/>
                <w:vanish/>
              </w:rPr>
            </w:pPr>
          </w:p>
        </w:tc>
        <w:tc>
          <w:tcPr>
            <w:tcW w:w="0" w:type="auto"/>
            <w:gridSpan w:val="3"/>
            <w:shd w:val="clear" w:color="auto" w:fill="auto"/>
            <w:vAlign w:val="bottom"/>
          </w:tcPr>
          <w:p w14:paraId="71D46B6D" w14:textId="77777777" w:rsidR="006A3667" w:rsidRDefault="006A3667">
            <w:pPr>
              <w:rPr>
                <w:rFonts w:ascii="宋体"/>
                <w:vanish/>
              </w:rPr>
            </w:pPr>
          </w:p>
        </w:tc>
        <w:tc>
          <w:tcPr>
            <w:tcW w:w="0" w:type="auto"/>
            <w:gridSpan w:val="3"/>
            <w:shd w:val="clear" w:color="auto" w:fill="auto"/>
            <w:vAlign w:val="bottom"/>
          </w:tcPr>
          <w:p w14:paraId="71D46B6E" w14:textId="77777777" w:rsidR="006A3667" w:rsidRDefault="006A3667">
            <w:pPr>
              <w:rPr>
                <w:rFonts w:ascii="宋体"/>
                <w:vanish/>
              </w:rPr>
            </w:pPr>
          </w:p>
        </w:tc>
        <w:tc>
          <w:tcPr>
            <w:tcW w:w="0" w:type="auto"/>
            <w:shd w:val="clear" w:color="auto" w:fill="auto"/>
            <w:vAlign w:val="bottom"/>
          </w:tcPr>
          <w:p w14:paraId="71D46B6F" w14:textId="77777777" w:rsidR="006A3667" w:rsidRDefault="006A3667">
            <w:pPr>
              <w:rPr>
                <w:rFonts w:ascii="宋体"/>
                <w:vanish/>
              </w:rPr>
            </w:pPr>
          </w:p>
        </w:tc>
        <w:tc>
          <w:tcPr>
            <w:tcW w:w="0" w:type="auto"/>
            <w:shd w:val="clear" w:color="auto" w:fill="auto"/>
            <w:vAlign w:val="bottom"/>
          </w:tcPr>
          <w:p w14:paraId="71D46B70" w14:textId="77777777" w:rsidR="006A3667" w:rsidRDefault="006A3667">
            <w:pPr>
              <w:rPr>
                <w:rFonts w:ascii="宋体"/>
                <w:vanish/>
              </w:rPr>
            </w:pPr>
          </w:p>
        </w:tc>
        <w:tc>
          <w:tcPr>
            <w:tcW w:w="0" w:type="auto"/>
            <w:gridSpan w:val="3"/>
            <w:shd w:val="clear" w:color="auto" w:fill="auto"/>
            <w:vAlign w:val="bottom"/>
          </w:tcPr>
          <w:p w14:paraId="71D46B71" w14:textId="77777777" w:rsidR="006A3667" w:rsidRDefault="006A3667">
            <w:pPr>
              <w:rPr>
                <w:rFonts w:ascii="宋体"/>
                <w:vanish/>
              </w:rPr>
            </w:pPr>
          </w:p>
        </w:tc>
        <w:tc>
          <w:tcPr>
            <w:tcW w:w="0" w:type="auto"/>
            <w:gridSpan w:val="3"/>
            <w:shd w:val="clear" w:color="auto" w:fill="auto"/>
            <w:vAlign w:val="bottom"/>
          </w:tcPr>
          <w:p w14:paraId="71D46B72" w14:textId="77777777" w:rsidR="006A3667" w:rsidRDefault="006A3667">
            <w:pPr>
              <w:rPr>
                <w:rFonts w:ascii="宋体"/>
                <w:vanish/>
              </w:rPr>
            </w:pPr>
          </w:p>
        </w:tc>
        <w:tc>
          <w:tcPr>
            <w:tcW w:w="0" w:type="auto"/>
            <w:gridSpan w:val="3"/>
            <w:shd w:val="clear" w:color="auto" w:fill="auto"/>
            <w:vAlign w:val="bottom"/>
          </w:tcPr>
          <w:p w14:paraId="71D46B73" w14:textId="77777777" w:rsidR="006A3667" w:rsidRDefault="006A3667">
            <w:pPr>
              <w:rPr>
                <w:rFonts w:ascii="宋体"/>
                <w:vanish/>
              </w:rPr>
            </w:pPr>
          </w:p>
        </w:tc>
        <w:tc>
          <w:tcPr>
            <w:tcW w:w="0" w:type="auto"/>
            <w:gridSpan w:val="3"/>
            <w:shd w:val="clear" w:color="auto" w:fill="auto"/>
            <w:vAlign w:val="bottom"/>
          </w:tcPr>
          <w:p w14:paraId="71D46B74" w14:textId="77777777" w:rsidR="006A3667" w:rsidRDefault="006A3667">
            <w:pPr>
              <w:rPr>
                <w:rFonts w:ascii="宋体"/>
                <w:vanish/>
              </w:rPr>
            </w:pPr>
          </w:p>
        </w:tc>
        <w:tc>
          <w:tcPr>
            <w:tcW w:w="0" w:type="auto"/>
            <w:gridSpan w:val="3"/>
            <w:shd w:val="clear" w:color="auto" w:fill="auto"/>
            <w:vAlign w:val="bottom"/>
          </w:tcPr>
          <w:p w14:paraId="71D46B75" w14:textId="77777777" w:rsidR="006A3667" w:rsidRDefault="006A3667">
            <w:pPr>
              <w:rPr>
                <w:rFonts w:ascii="宋体"/>
                <w:vanish/>
              </w:rPr>
            </w:pPr>
          </w:p>
        </w:tc>
      </w:tr>
      <w:tr w:rsidR="006A3667" w14:paraId="71D46B89" w14:textId="77777777">
        <w:trPr>
          <w:hidden/>
        </w:trPr>
        <w:tc>
          <w:tcPr>
            <w:tcW w:w="0" w:type="auto"/>
            <w:gridSpan w:val="3"/>
            <w:shd w:val="clear" w:color="auto" w:fill="auto"/>
            <w:vAlign w:val="bottom"/>
          </w:tcPr>
          <w:p w14:paraId="71D46B77" w14:textId="77777777" w:rsidR="006A3667" w:rsidRDefault="006A3667">
            <w:pPr>
              <w:rPr>
                <w:rFonts w:ascii="宋体"/>
                <w:vanish/>
              </w:rPr>
            </w:pPr>
          </w:p>
        </w:tc>
        <w:tc>
          <w:tcPr>
            <w:tcW w:w="0" w:type="auto"/>
            <w:gridSpan w:val="3"/>
            <w:shd w:val="clear" w:color="auto" w:fill="auto"/>
            <w:vAlign w:val="bottom"/>
          </w:tcPr>
          <w:p w14:paraId="71D46B78" w14:textId="77777777" w:rsidR="006A3667" w:rsidRDefault="006A3667">
            <w:pPr>
              <w:rPr>
                <w:rFonts w:ascii="宋体"/>
                <w:vanish/>
              </w:rPr>
            </w:pPr>
          </w:p>
        </w:tc>
        <w:tc>
          <w:tcPr>
            <w:tcW w:w="0" w:type="auto"/>
            <w:gridSpan w:val="3"/>
            <w:shd w:val="clear" w:color="auto" w:fill="auto"/>
            <w:vAlign w:val="bottom"/>
          </w:tcPr>
          <w:p w14:paraId="71D46B79" w14:textId="77777777" w:rsidR="006A3667" w:rsidRDefault="006A3667">
            <w:pPr>
              <w:rPr>
                <w:rFonts w:ascii="宋体"/>
                <w:vanish/>
              </w:rPr>
            </w:pPr>
          </w:p>
        </w:tc>
        <w:tc>
          <w:tcPr>
            <w:tcW w:w="0" w:type="auto"/>
            <w:gridSpan w:val="3"/>
            <w:shd w:val="clear" w:color="auto" w:fill="auto"/>
            <w:vAlign w:val="bottom"/>
          </w:tcPr>
          <w:p w14:paraId="71D46B7A" w14:textId="77777777" w:rsidR="006A3667" w:rsidRDefault="006A3667">
            <w:pPr>
              <w:rPr>
                <w:rFonts w:ascii="宋体"/>
                <w:vanish/>
              </w:rPr>
            </w:pPr>
          </w:p>
        </w:tc>
        <w:tc>
          <w:tcPr>
            <w:tcW w:w="0" w:type="auto"/>
            <w:gridSpan w:val="3"/>
            <w:shd w:val="clear" w:color="auto" w:fill="auto"/>
            <w:vAlign w:val="bottom"/>
          </w:tcPr>
          <w:p w14:paraId="71D46B7B" w14:textId="77777777" w:rsidR="006A3667" w:rsidRDefault="006A3667">
            <w:pPr>
              <w:rPr>
                <w:rFonts w:ascii="宋体"/>
                <w:vanish/>
              </w:rPr>
            </w:pPr>
          </w:p>
        </w:tc>
        <w:tc>
          <w:tcPr>
            <w:tcW w:w="0" w:type="auto"/>
            <w:gridSpan w:val="3"/>
            <w:shd w:val="clear" w:color="auto" w:fill="auto"/>
            <w:vAlign w:val="bottom"/>
          </w:tcPr>
          <w:p w14:paraId="71D46B7C" w14:textId="77777777" w:rsidR="006A3667" w:rsidRDefault="006A3667">
            <w:pPr>
              <w:rPr>
                <w:rFonts w:ascii="宋体"/>
                <w:vanish/>
              </w:rPr>
            </w:pPr>
          </w:p>
        </w:tc>
        <w:tc>
          <w:tcPr>
            <w:tcW w:w="0" w:type="auto"/>
            <w:gridSpan w:val="3"/>
            <w:shd w:val="clear" w:color="auto" w:fill="auto"/>
            <w:vAlign w:val="bottom"/>
          </w:tcPr>
          <w:p w14:paraId="71D46B7D" w14:textId="77777777" w:rsidR="006A3667" w:rsidRDefault="006A3667">
            <w:pPr>
              <w:rPr>
                <w:rFonts w:ascii="宋体"/>
                <w:vanish/>
              </w:rPr>
            </w:pPr>
          </w:p>
        </w:tc>
        <w:tc>
          <w:tcPr>
            <w:tcW w:w="0" w:type="auto"/>
            <w:gridSpan w:val="3"/>
            <w:shd w:val="clear" w:color="auto" w:fill="auto"/>
            <w:vAlign w:val="bottom"/>
          </w:tcPr>
          <w:p w14:paraId="71D46B7E" w14:textId="77777777" w:rsidR="006A3667" w:rsidRDefault="006A3667">
            <w:pPr>
              <w:rPr>
                <w:rFonts w:ascii="宋体"/>
                <w:vanish/>
              </w:rPr>
            </w:pPr>
          </w:p>
        </w:tc>
        <w:tc>
          <w:tcPr>
            <w:tcW w:w="0" w:type="auto"/>
            <w:gridSpan w:val="3"/>
            <w:shd w:val="clear" w:color="auto" w:fill="auto"/>
            <w:vAlign w:val="bottom"/>
          </w:tcPr>
          <w:p w14:paraId="71D46B7F" w14:textId="77777777" w:rsidR="006A3667" w:rsidRDefault="006A3667">
            <w:pPr>
              <w:rPr>
                <w:rFonts w:ascii="宋体"/>
                <w:vanish/>
              </w:rPr>
            </w:pPr>
          </w:p>
        </w:tc>
        <w:tc>
          <w:tcPr>
            <w:tcW w:w="0" w:type="auto"/>
            <w:gridSpan w:val="3"/>
            <w:shd w:val="clear" w:color="auto" w:fill="auto"/>
            <w:vAlign w:val="bottom"/>
          </w:tcPr>
          <w:p w14:paraId="71D46B80" w14:textId="77777777" w:rsidR="006A3667" w:rsidRDefault="006A3667">
            <w:pPr>
              <w:rPr>
                <w:rFonts w:ascii="宋体"/>
                <w:vanish/>
              </w:rPr>
            </w:pPr>
          </w:p>
        </w:tc>
        <w:tc>
          <w:tcPr>
            <w:tcW w:w="0" w:type="auto"/>
            <w:gridSpan w:val="3"/>
            <w:shd w:val="clear" w:color="auto" w:fill="auto"/>
            <w:vAlign w:val="bottom"/>
          </w:tcPr>
          <w:p w14:paraId="71D46B81" w14:textId="77777777" w:rsidR="006A3667" w:rsidRDefault="006A3667">
            <w:pPr>
              <w:rPr>
                <w:rFonts w:ascii="宋体"/>
                <w:vanish/>
              </w:rPr>
            </w:pPr>
          </w:p>
        </w:tc>
        <w:tc>
          <w:tcPr>
            <w:tcW w:w="0" w:type="auto"/>
            <w:shd w:val="clear" w:color="auto" w:fill="auto"/>
            <w:vAlign w:val="bottom"/>
          </w:tcPr>
          <w:p w14:paraId="71D46B82" w14:textId="77777777" w:rsidR="006A3667" w:rsidRDefault="006A3667">
            <w:pPr>
              <w:rPr>
                <w:rFonts w:ascii="宋体"/>
                <w:vanish/>
              </w:rPr>
            </w:pPr>
          </w:p>
        </w:tc>
        <w:tc>
          <w:tcPr>
            <w:tcW w:w="0" w:type="auto"/>
            <w:shd w:val="clear" w:color="auto" w:fill="auto"/>
            <w:vAlign w:val="bottom"/>
          </w:tcPr>
          <w:p w14:paraId="71D46B83" w14:textId="77777777" w:rsidR="006A3667" w:rsidRDefault="006A3667">
            <w:pPr>
              <w:rPr>
                <w:rFonts w:ascii="宋体"/>
                <w:vanish/>
              </w:rPr>
            </w:pPr>
          </w:p>
        </w:tc>
        <w:tc>
          <w:tcPr>
            <w:tcW w:w="0" w:type="auto"/>
            <w:gridSpan w:val="3"/>
            <w:shd w:val="clear" w:color="auto" w:fill="auto"/>
            <w:vAlign w:val="bottom"/>
          </w:tcPr>
          <w:p w14:paraId="71D46B84" w14:textId="77777777" w:rsidR="006A3667" w:rsidRDefault="006A3667">
            <w:pPr>
              <w:rPr>
                <w:rFonts w:ascii="宋体"/>
                <w:vanish/>
              </w:rPr>
            </w:pPr>
          </w:p>
        </w:tc>
        <w:tc>
          <w:tcPr>
            <w:tcW w:w="0" w:type="auto"/>
            <w:gridSpan w:val="3"/>
            <w:shd w:val="clear" w:color="auto" w:fill="auto"/>
            <w:vAlign w:val="bottom"/>
          </w:tcPr>
          <w:p w14:paraId="71D46B85" w14:textId="77777777" w:rsidR="006A3667" w:rsidRDefault="006A3667">
            <w:pPr>
              <w:rPr>
                <w:rFonts w:ascii="宋体"/>
                <w:vanish/>
              </w:rPr>
            </w:pPr>
          </w:p>
        </w:tc>
        <w:tc>
          <w:tcPr>
            <w:tcW w:w="0" w:type="auto"/>
            <w:gridSpan w:val="3"/>
            <w:shd w:val="clear" w:color="auto" w:fill="auto"/>
            <w:vAlign w:val="bottom"/>
          </w:tcPr>
          <w:p w14:paraId="71D46B86" w14:textId="77777777" w:rsidR="006A3667" w:rsidRDefault="006A3667">
            <w:pPr>
              <w:rPr>
                <w:rFonts w:ascii="宋体"/>
                <w:vanish/>
              </w:rPr>
            </w:pPr>
          </w:p>
        </w:tc>
        <w:tc>
          <w:tcPr>
            <w:tcW w:w="0" w:type="auto"/>
            <w:gridSpan w:val="3"/>
            <w:shd w:val="clear" w:color="auto" w:fill="auto"/>
            <w:vAlign w:val="bottom"/>
          </w:tcPr>
          <w:p w14:paraId="71D46B87" w14:textId="77777777" w:rsidR="006A3667" w:rsidRDefault="006A3667">
            <w:pPr>
              <w:rPr>
                <w:rFonts w:ascii="宋体"/>
                <w:vanish/>
              </w:rPr>
            </w:pPr>
          </w:p>
        </w:tc>
        <w:tc>
          <w:tcPr>
            <w:tcW w:w="0" w:type="auto"/>
            <w:gridSpan w:val="3"/>
            <w:shd w:val="clear" w:color="auto" w:fill="auto"/>
            <w:vAlign w:val="bottom"/>
          </w:tcPr>
          <w:p w14:paraId="71D46B88" w14:textId="77777777" w:rsidR="006A3667" w:rsidRDefault="006A3667">
            <w:pPr>
              <w:rPr>
                <w:rFonts w:ascii="宋体"/>
                <w:vanish/>
              </w:rPr>
            </w:pPr>
          </w:p>
        </w:tc>
      </w:tr>
      <w:tr w:rsidR="006A3667" w14:paraId="71D46B9C" w14:textId="77777777">
        <w:trPr>
          <w:hidden/>
        </w:trPr>
        <w:tc>
          <w:tcPr>
            <w:tcW w:w="0" w:type="auto"/>
            <w:gridSpan w:val="3"/>
            <w:shd w:val="clear" w:color="auto" w:fill="auto"/>
            <w:vAlign w:val="bottom"/>
          </w:tcPr>
          <w:p w14:paraId="71D46B8A" w14:textId="77777777" w:rsidR="006A3667" w:rsidRDefault="006A3667">
            <w:pPr>
              <w:rPr>
                <w:rFonts w:ascii="宋体"/>
                <w:vanish/>
              </w:rPr>
            </w:pPr>
          </w:p>
        </w:tc>
        <w:tc>
          <w:tcPr>
            <w:tcW w:w="0" w:type="auto"/>
            <w:gridSpan w:val="3"/>
            <w:shd w:val="clear" w:color="auto" w:fill="auto"/>
            <w:vAlign w:val="bottom"/>
          </w:tcPr>
          <w:p w14:paraId="71D46B8B" w14:textId="77777777" w:rsidR="006A3667" w:rsidRDefault="006A3667">
            <w:pPr>
              <w:rPr>
                <w:rFonts w:ascii="宋体"/>
                <w:vanish/>
              </w:rPr>
            </w:pPr>
          </w:p>
        </w:tc>
        <w:tc>
          <w:tcPr>
            <w:tcW w:w="0" w:type="auto"/>
            <w:gridSpan w:val="3"/>
            <w:shd w:val="clear" w:color="auto" w:fill="auto"/>
            <w:vAlign w:val="bottom"/>
          </w:tcPr>
          <w:p w14:paraId="71D46B8C" w14:textId="77777777" w:rsidR="006A3667" w:rsidRDefault="006A3667">
            <w:pPr>
              <w:rPr>
                <w:rFonts w:ascii="宋体"/>
                <w:vanish/>
              </w:rPr>
            </w:pPr>
          </w:p>
        </w:tc>
        <w:tc>
          <w:tcPr>
            <w:tcW w:w="0" w:type="auto"/>
            <w:gridSpan w:val="3"/>
            <w:shd w:val="clear" w:color="auto" w:fill="auto"/>
            <w:vAlign w:val="bottom"/>
          </w:tcPr>
          <w:p w14:paraId="71D46B8D" w14:textId="77777777" w:rsidR="006A3667" w:rsidRDefault="006A3667">
            <w:pPr>
              <w:rPr>
                <w:rFonts w:ascii="宋体"/>
                <w:vanish/>
              </w:rPr>
            </w:pPr>
          </w:p>
        </w:tc>
        <w:tc>
          <w:tcPr>
            <w:tcW w:w="0" w:type="auto"/>
            <w:gridSpan w:val="3"/>
            <w:shd w:val="clear" w:color="auto" w:fill="auto"/>
            <w:vAlign w:val="bottom"/>
          </w:tcPr>
          <w:p w14:paraId="71D46B8E" w14:textId="77777777" w:rsidR="006A3667" w:rsidRDefault="006A3667">
            <w:pPr>
              <w:rPr>
                <w:rFonts w:ascii="宋体"/>
                <w:vanish/>
              </w:rPr>
            </w:pPr>
          </w:p>
        </w:tc>
        <w:tc>
          <w:tcPr>
            <w:tcW w:w="0" w:type="auto"/>
            <w:gridSpan w:val="3"/>
            <w:shd w:val="clear" w:color="auto" w:fill="auto"/>
            <w:vAlign w:val="bottom"/>
          </w:tcPr>
          <w:p w14:paraId="71D46B8F" w14:textId="77777777" w:rsidR="006A3667" w:rsidRDefault="006A3667">
            <w:pPr>
              <w:rPr>
                <w:rFonts w:ascii="宋体"/>
                <w:vanish/>
              </w:rPr>
            </w:pPr>
          </w:p>
        </w:tc>
        <w:tc>
          <w:tcPr>
            <w:tcW w:w="0" w:type="auto"/>
            <w:gridSpan w:val="3"/>
            <w:shd w:val="clear" w:color="auto" w:fill="auto"/>
            <w:vAlign w:val="bottom"/>
          </w:tcPr>
          <w:p w14:paraId="71D46B90" w14:textId="77777777" w:rsidR="006A3667" w:rsidRDefault="006A3667">
            <w:pPr>
              <w:rPr>
                <w:rFonts w:ascii="宋体"/>
                <w:vanish/>
              </w:rPr>
            </w:pPr>
          </w:p>
        </w:tc>
        <w:tc>
          <w:tcPr>
            <w:tcW w:w="0" w:type="auto"/>
            <w:gridSpan w:val="3"/>
            <w:shd w:val="clear" w:color="auto" w:fill="auto"/>
            <w:vAlign w:val="bottom"/>
          </w:tcPr>
          <w:p w14:paraId="71D46B91" w14:textId="77777777" w:rsidR="006A3667" w:rsidRDefault="006A3667">
            <w:pPr>
              <w:rPr>
                <w:rFonts w:ascii="宋体"/>
                <w:vanish/>
              </w:rPr>
            </w:pPr>
          </w:p>
        </w:tc>
        <w:tc>
          <w:tcPr>
            <w:tcW w:w="0" w:type="auto"/>
            <w:gridSpan w:val="3"/>
            <w:shd w:val="clear" w:color="auto" w:fill="auto"/>
            <w:vAlign w:val="bottom"/>
          </w:tcPr>
          <w:p w14:paraId="71D46B92" w14:textId="77777777" w:rsidR="006A3667" w:rsidRDefault="006A3667">
            <w:pPr>
              <w:rPr>
                <w:rFonts w:ascii="宋体"/>
                <w:vanish/>
              </w:rPr>
            </w:pPr>
          </w:p>
        </w:tc>
        <w:tc>
          <w:tcPr>
            <w:tcW w:w="0" w:type="auto"/>
            <w:gridSpan w:val="3"/>
            <w:shd w:val="clear" w:color="auto" w:fill="auto"/>
            <w:vAlign w:val="bottom"/>
          </w:tcPr>
          <w:p w14:paraId="71D46B93" w14:textId="77777777" w:rsidR="006A3667" w:rsidRDefault="006A3667">
            <w:pPr>
              <w:rPr>
                <w:rFonts w:ascii="宋体"/>
                <w:vanish/>
              </w:rPr>
            </w:pPr>
          </w:p>
        </w:tc>
        <w:tc>
          <w:tcPr>
            <w:tcW w:w="0" w:type="auto"/>
            <w:gridSpan w:val="3"/>
            <w:shd w:val="clear" w:color="auto" w:fill="auto"/>
            <w:vAlign w:val="bottom"/>
          </w:tcPr>
          <w:p w14:paraId="71D46B94" w14:textId="77777777" w:rsidR="006A3667" w:rsidRDefault="006A3667">
            <w:pPr>
              <w:rPr>
                <w:rFonts w:ascii="宋体"/>
                <w:vanish/>
              </w:rPr>
            </w:pPr>
          </w:p>
        </w:tc>
        <w:tc>
          <w:tcPr>
            <w:tcW w:w="0" w:type="auto"/>
            <w:shd w:val="clear" w:color="auto" w:fill="auto"/>
            <w:vAlign w:val="bottom"/>
          </w:tcPr>
          <w:p w14:paraId="71D46B95" w14:textId="77777777" w:rsidR="006A3667" w:rsidRDefault="006A3667">
            <w:pPr>
              <w:rPr>
                <w:rFonts w:ascii="宋体"/>
                <w:vanish/>
              </w:rPr>
            </w:pPr>
          </w:p>
        </w:tc>
        <w:tc>
          <w:tcPr>
            <w:tcW w:w="0" w:type="auto"/>
            <w:shd w:val="clear" w:color="auto" w:fill="auto"/>
            <w:vAlign w:val="bottom"/>
          </w:tcPr>
          <w:p w14:paraId="71D46B96" w14:textId="77777777" w:rsidR="006A3667" w:rsidRDefault="006A3667">
            <w:pPr>
              <w:rPr>
                <w:rFonts w:ascii="宋体"/>
                <w:vanish/>
              </w:rPr>
            </w:pPr>
          </w:p>
        </w:tc>
        <w:tc>
          <w:tcPr>
            <w:tcW w:w="0" w:type="auto"/>
            <w:gridSpan w:val="3"/>
            <w:shd w:val="clear" w:color="auto" w:fill="auto"/>
            <w:vAlign w:val="bottom"/>
          </w:tcPr>
          <w:p w14:paraId="71D46B97" w14:textId="77777777" w:rsidR="006A3667" w:rsidRDefault="006A3667">
            <w:pPr>
              <w:rPr>
                <w:rFonts w:ascii="宋体"/>
                <w:vanish/>
              </w:rPr>
            </w:pPr>
          </w:p>
        </w:tc>
        <w:tc>
          <w:tcPr>
            <w:tcW w:w="0" w:type="auto"/>
            <w:gridSpan w:val="3"/>
            <w:shd w:val="clear" w:color="auto" w:fill="auto"/>
            <w:vAlign w:val="bottom"/>
          </w:tcPr>
          <w:p w14:paraId="71D46B98" w14:textId="77777777" w:rsidR="006A3667" w:rsidRDefault="006A3667">
            <w:pPr>
              <w:rPr>
                <w:rFonts w:ascii="宋体"/>
                <w:vanish/>
              </w:rPr>
            </w:pPr>
          </w:p>
        </w:tc>
        <w:tc>
          <w:tcPr>
            <w:tcW w:w="0" w:type="auto"/>
            <w:gridSpan w:val="3"/>
            <w:shd w:val="clear" w:color="auto" w:fill="auto"/>
            <w:vAlign w:val="bottom"/>
          </w:tcPr>
          <w:p w14:paraId="71D46B99" w14:textId="77777777" w:rsidR="006A3667" w:rsidRDefault="006A3667">
            <w:pPr>
              <w:rPr>
                <w:rFonts w:ascii="宋体"/>
                <w:vanish/>
              </w:rPr>
            </w:pPr>
          </w:p>
        </w:tc>
        <w:tc>
          <w:tcPr>
            <w:tcW w:w="0" w:type="auto"/>
            <w:gridSpan w:val="3"/>
            <w:shd w:val="clear" w:color="auto" w:fill="auto"/>
            <w:vAlign w:val="bottom"/>
          </w:tcPr>
          <w:p w14:paraId="71D46B9A" w14:textId="77777777" w:rsidR="006A3667" w:rsidRDefault="006A3667">
            <w:pPr>
              <w:rPr>
                <w:rFonts w:ascii="宋体"/>
                <w:vanish/>
              </w:rPr>
            </w:pPr>
          </w:p>
        </w:tc>
        <w:tc>
          <w:tcPr>
            <w:tcW w:w="0" w:type="auto"/>
            <w:gridSpan w:val="3"/>
            <w:shd w:val="clear" w:color="auto" w:fill="auto"/>
            <w:vAlign w:val="bottom"/>
          </w:tcPr>
          <w:p w14:paraId="71D46B9B" w14:textId="77777777" w:rsidR="006A3667" w:rsidRDefault="006A3667">
            <w:pPr>
              <w:rPr>
                <w:rFonts w:ascii="宋体"/>
                <w:vanish/>
              </w:rPr>
            </w:pPr>
          </w:p>
        </w:tc>
      </w:tr>
    </w:tbl>
    <w:p w14:paraId="71D46B9D"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46BA4" w14:textId="77777777">
        <w:tc>
          <w:tcPr>
            <w:tcW w:w="50" w:type="pct"/>
            <w:shd w:val="clear" w:color="auto" w:fill="auto"/>
            <w:vAlign w:val="bottom"/>
          </w:tcPr>
          <w:p w14:paraId="71D46B9E" w14:textId="77777777" w:rsidR="006A3667" w:rsidRDefault="006A3667">
            <w:pPr>
              <w:rPr>
                <w:rFonts w:ascii="宋体"/>
              </w:rPr>
            </w:pPr>
          </w:p>
        </w:tc>
        <w:tc>
          <w:tcPr>
            <w:tcW w:w="1348" w:type="pct"/>
            <w:shd w:val="clear" w:color="auto" w:fill="auto"/>
            <w:vAlign w:val="bottom"/>
          </w:tcPr>
          <w:p w14:paraId="71D46B9F" w14:textId="77777777" w:rsidR="006A3667" w:rsidRDefault="006A3667">
            <w:pPr>
              <w:rPr>
                <w:rFonts w:ascii="宋体"/>
              </w:rPr>
            </w:pPr>
          </w:p>
        </w:tc>
        <w:tc>
          <w:tcPr>
            <w:tcW w:w="5" w:type="pct"/>
            <w:shd w:val="clear" w:color="auto" w:fill="auto"/>
            <w:vAlign w:val="bottom"/>
          </w:tcPr>
          <w:p w14:paraId="71D46BA0" w14:textId="77777777" w:rsidR="006A3667" w:rsidRDefault="006A3667">
            <w:pPr>
              <w:rPr>
                <w:rFonts w:ascii="宋体"/>
              </w:rPr>
            </w:pPr>
          </w:p>
        </w:tc>
        <w:tc>
          <w:tcPr>
            <w:tcW w:w="50" w:type="pct"/>
            <w:shd w:val="clear" w:color="auto" w:fill="auto"/>
            <w:vAlign w:val="bottom"/>
          </w:tcPr>
          <w:p w14:paraId="71D46BA1" w14:textId="77777777" w:rsidR="006A3667" w:rsidRDefault="006A3667">
            <w:pPr>
              <w:rPr>
                <w:rFonts w:ascii="宋体"/>
              </w:rPr>
            </w:pPr>
          </w:p>
        </w:tc>
        <w:tc>
          <w:tcPr>
            <w:tcW w:w="3541" w:type="pct"/>
            <w:shd w:val="clear" w:color="auto" w:fill="auto"/>
            <w:vAlign w:val="bottom"/>
          </w:tcPr>
          <w:p w14:paraId="71D46BA2" w14:textId="77777777" w:rsidR="006A3667" w:rsidRDefault="006A3667">
            <w:pPr>
              <w:rPr>
                <w:rFonts w:ascii="宋体"/>
              </w:rPr>
            </w:pPr>
          </w:p>
        </w:tc>
        <w:tc>
          <w:tcPr>
            <w:tcW w:w="5" w:type="pct"/>
            <w:shd w:val="clear" w:color="auto" w:fill="auto"/>
            <w:vAlign w:val="bottom"/>
          </w:tcPr>
          <w:p w14:paraId="71D46BA3" w14:textId="77777777" w:rsidR="006A3667" w:rsidRDefault="006A3667">
            <w:pPr>
              <w:rPr>
                <w:rFonts w:ascii="宋体"/>
              </w:rPr>
            </w:pPr>
          </w:p>
        </w:tc>
      </w:tr>
      <w:tr w:rsidR="006A3667" w14:paraId="71D46BA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6BA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BA6" w14:textId="77777777" w:rsidR="006A3667" w:rsidRDefault="006A3667">
            <w:pPr>
              <w:rPr>
                <w:rFonts w:ascii="宋体"/>
              </w:rPr>
            </w:pPr>
          </w:p>
        </w:tc>
      </w:tr>
    </w:tbl>
    <w:p w14:paraId="71D46BA8" w14:textId="77777777" w:rsidR="006A3667" w:rsidRDefault="00045F32">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2021, accrued interest receivable of $86 million included in the amortized cost basis of loans has been </w:t>
      </w:r>
      <w:r>
        <w:rPr>
          <w:rFonts w:ascii="Arial" w:eastAsia="宋体" w:hAnsi="Arial" w:cs="Arial"/>
          <w:color w:val="000000"/>
          <w:sz w:val="13"/>
          <w:szCs w:val="13"/>
        </w:rPr>
        <w:t>excluded from the amortized cost basis within this table.</w:t>
      </w:r>
    </w:p>
    <w:p w14:paraId="71D46BA9" w14:textId="77777777" w:rsidR="006A3667" w:rsidRDefault="00045F32">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Total does not include $8 million of loans classified as held-for-sale as of December 31, 2021.</w:t>
      </w:r>
    </w:p>
    <w:p w14:paraId="71D46BAA" w14:textId="77777777" w:rsidR="006A3667" w:rsidRDefault="006A3667">
      <w:pPr>
        <w:spacing w:before="60"/>
        <w:jc w:val="both"/>
      </w:pPr>
    </w:p>
    <w:p w14:paraId="71D46BAB" w14:textId="77777777" w:rsidR="006A3667" w:rsidRDefault="00045F32">
      <w:pPr>
        <w:spacing w:before="60"/>
        <w:ind w:firstLine="450"/>
        <w:jc w:val="both"/>
      </w:pPr>
      <w:r>
        <w:rPr>
          <w:rFonts w:ascii="Arial" w:eastAsia="宋体" w:hAnsi="Arial" w:cs="Arial"/>
          <w:color w:val="000000"/>
          <w:sz w:val="20"/>
          <w:szCs w:val="20"/>
        </w:rPr>
        <w:t xml:space="preserve">The following tables present the activity in the allowance for credit losses by </w:t>
      </w:r>
      <w:r>
        <w:rPr>
          <w:rFonts w:ascii="Arial" w:eastAsia="宋体" w:hAnsi="Arial" w:cs="Arial"/>
          <w:color w:val="000000"/>
          <w:sz w:val="20"/>
          <w:szCs w:val="20"/>
        </w:rPr>
        <w:t>portfolio and class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423"/>
        <w:gridCol w:w="38"/>
        <w:gridCol w:w="100"/>
        <w:gridCol w:w="660"/>
        <w:gridCol w:w="38"/>
        <w:gridCol w:w="37"/>
        <w:gridCol w:w="37"/>
        <w:gridCol w:w="37"/>
        <w:gridCol w:w="100"/>
        <w:gridCol w:w="559"/>
        <w:gridCol w:w="38"/>
        <w:gridCol w:w="36"/>
        <w:gridCol w:w="36"/>
        <w:gridCol w:w="36"/>
        <w:gridCol w:w="99"/>
        <w:gridCol w:w="750"/>
        <w:gridCol w:w="36"/>
        <w:gridCol w:w="36"/>
        <w:gridCol w:w="36"/>
        <w:gridCol w:w="36"/>
        <w:gridCol w:w="104"/>
        <w:gridCol w:w="1094"/>
        <w:gridCol w:w="36"/>
        <w:gridCol w:w="36"/>
        <w:gridCol w:w="36"/>
        <w:gridCol w:w="36"/>
        <w:gridCol w:w="36"/>
        <w:gridCol w:w="36"/>
        <w:gridCol w:w="99"/>
        <w:gridCol w:w="893"/>
        <w:gridCol w:w="36"/>
        <w:gridCol w:w="36"/>
        <w:gridCol w:w="36"/>
        <w:gridCol w:w="36"/>
        <w:gridCol w:w="99"/>
        <w:gridCol w:w="592"/>
        <w:gridCol w:w="36"/>
        <w:gridCol w:w="36"/>
        <w:gridCol w:w="36"/>
        <w:gridCol w:w="36"/>
        <w:gridCol w:w="98"/>
        <w:gridCol w:w="610"/>
        <w:gridCol w:w="36"/>
      </w:tblGrid>
      <w:tr w:rsidR="006A3667" w14:paraId="71D46BD8" w14:textId="77777777">
        <w:tc>
          <w:tcPr>
            <w:tcW w:w="50" w:type="pct"/>
            <w:shd w:val="clear" w:color="auto" w:fill="auto"/>
            <w:vAlign w:val="bottom"/>
          </w:tcPr>
          <w:p w14:paraId="71D46BAC" w14:textId="77777777" w:rsidR="006A3667" w:rsidRDefault="006A3667">
            <w:pPr>
              <w:rPr>
                <w:rFonts w:ascii="宋体"/>
              </w:rPr>
            </w:pPr>
          </w:p>
        </w:tc>
        <w:tc>
          <w:tcPr>
            <w:tcW w:w="997" w:type="pct"/>
            <w:shd w:val="clear" w:color="auto" w:fill="auto"/>
            <w:vAlign w:val="bottom"/>
          </w:tcPr>
          <w:p w14:paraId="71D46BAD" w14:textId="77777777" w:rsidR="006A3667" w:rsidRDefault="006A3667">
            <w:pPr>
              <w:rPr>
                <w:rFonts w:ascii="宋体"/>
              </w:rPr>
            </w:pPr>
          </w:p>
        </w:tc>
        <w:tc>
          <w:tcPr>
            <w:tcW w:w="5" w:type="pct"/>
            <w:shd w:val="clear" w:color="auto" w:fill="auto"/>
            <w:vAlign w:val="bottom"/>
          </w:tcPr>
          <w:p w14:paraId="71D46BAE" w14:textId="77777777" w:rsidR="006A3667" w:rsidRDefault="006A3667">
            <w:pPr>
              <w:rPr>
                <w:rFonts w:ascii="宋体"/>
              </w:rPr>
            </w:pPr>
          </w:p>
        </w:tc>
        <w:tc>
          <w:tcPr>
            <w:tcW w:w="50" w:type="pct"/>
            <w:shd w:val="clear" w:color="auto" w:fill="auto"/>
            <w:vAlign w:val="bottom"/>
          </w:tcPr>
          <w:p w14:paraId="71D46BAF" w14:textId="77777777" w:rsidR="006A3667" w:rsidRDefault="006A3667">
            <w:pPr>
              <w:rPr>
                <w:rFonts w:ascii="宋体"/>
              </w:rPr>
            </w:pPr>
          </w:p>
        </w:tc>
        <w:tc>
          <w:tcPr>
            <w:tcW w:w="449" w:type="pct"/>
            <w:shd w:val="clear" w:color="auto" w:fill="auto"/>
            <w:vAlign w:val="bottom"/>
          </w:tcPr>
          <w:p w14:paraId="71D46BB0" w14:textId="77777777" w:rsidR="006A3667" w:rsidRDefault="006A3667">
            <w:pPr>
              <w:rPr>
                <w:rFonts w:ascii="宋体"/>
              </w:rPr>
            </w:pPr>
          </w:p>
        </w:tc>
        <w:tc>
          <w:tcPr>
            <w:tcW w:w="5" w:type="pct"/>
            <w:shd w:val="clear" w:color="auto" w:fill="auto"/>
            <w:vAlign w:val="bottom"/>
          </w:tcPr>
          <w:p w14:paraId="71D46BB1" w14:textId="77777777" w:rsidR="006A3667" w:rsidRDefault="006A3667">
            <w:pPr>
              <w:rPr>
                <w:rFonts w:ascii="宋体"/>
              </w:rPr>
            </w:pPr>
          </w:p>
        </w:tc>
        <w:tc>
          <w:tcPr>
            <w:tcW w:w="5" w:type="pct"/>
            <w:shd w:val="clear" w:color="auto" w:fill="auto"/>
            <w:vAlign w:val="bottom"/>
          </w:tcPr>
          <w:p w14:paraId="71D46BB2" w14:textId="77777777" w:rsidR="006A3667" w:rsidRDefault="006A3667">
            <w:pPr>
              <w:rPr>
                <w:rFonts w:ascii="宋体"/>
              </w:rPr>
            </w:pPr>
          </w:p>
        </w:tc>
        <w:tc>
          <w:tcPr>
            <w:tcW w:w="19" w:type="pct"/>
            <w:shd w:val="clear" w:color="auto" w:fill="auto"/>
            <w:vAlign w:val="bottom"/>
          </w:tcPr>
          <w:p w14:paraId="71D46BB3" w14:textId="77777777" w:rsidR="006A3667" w:rsidRDefault="006A3667">
            <w:pPr>
              <w:rPr>
                <w:rFonts w:ascii="宋体"/>
              </w:rPr>
            </w:pPr>
          </w:p>
        </w:tc>
        <w:tc>
          <w:tcPr>
            <w:tcW w:w="5" w:type="pct"/>
            <w:shd w:val="clear" w:color="auto" w:fill="auto"/>
            <w:vAlign w:val="bottom"/>
          </w:tcPr>
          <w:p w14:paraId="71D46BB4" w14:textId="77777777" w:rsidR="006A3667" w:rsidRDefault="006A3667">
            <w:pPr>
              <w:rPr>
                <w:rFonts w:ascii="宋体"/>
              </w:rPr>
            </w:pPr>
          </w:p>
        </w:tc>
        <w:tc>
          <w:tcPr>
            <w:tcW w:w="50" w:type="pct"/>
            <w:shd w:val="clear" w:color="auto" w:fill="auto"/>
            <w:vAlign w:val="bottom"/>
          </w:tcPr>
          <w:p w14:paraId="71D46BB5" w14:textId="77777777" w:rsidR="006A3667" w:rsidRDefault="006A3667">
            <w:pPr>
              <w:rPr>
                <w:rFonts w:ascii="宋体"/>
              </w:rPr>
            </w:pPr>
          </w:p>
        </w:tc>
        <w:tc>
          <w:tcPr>
            <w:tcW w:w="449" w:type="pct"/>
            <w:shd w:val="clear" w:color="auto" w:fill="auto"/>
            <w:vAlign w:val="bottom"/>
          </w:tcPr>
          <w:p w14:paraId="71D46BB6" w14:textId="77777777" w:rsidR="006A3667" w:rsidRDefault="006A3667">
            <w:pPr>
              <w:rPr>
                <w:rFonts w:ascii="宋体"/>
              </w:rPr>
            </w:pPr>
          </w:p>
        </w:tc>
        <w:tc>
          <w:tcPr>
            <w:tcW w:w="5" w:type="pct"/>
            <w:shd w:val="clear" w:color="auto" w:fill="auto"/>
            <w:vAlign w:val="bottom"/>
          </w:tcPr>
          <w:p w14:paraId="71D46BB7" w14:textId="77777777" w:rsidR="006A3667" w:rsidRDefault="006A3667">
            <w:pPr>
              <w:rPr>
                <w:rFonts w:ascii="宋体"/>
              </w:rPr>
            </w:pPr>
          </w:p>
        </w:tc>
        <w:tc>
          <w:tcPr>
            <w:tcW w:w="5" w:type="pct"/>
            <w:shd w:val="clear" w:color="auto" w:fill="auto"/>
            <w:vAlign w:val="bottom"/>
          </w:tcPr>
          <w:p w14:paraId="71D46BB8" w14:textId="77777777" w:rsidR="006A3667" w:rsidRDefault="006A3667">
            <w:pPr>
              <w:rPr>
                <w:rFonts w:ascii="宋体"/>
              </w:rPr>
            </w:pPr>
          </w:p>
        </w:tc>
        <w:tc>
          <w:tcPr>
            <w:tcW w:w="19" w:type="pct"/>
            <w:shd w:val="clear" w:color="auto" w:fill="auto"/>
            <w:vAlign w:val="bottom"/>
          </w:tcPr>
          <w:p w14:paraId="71D46BB9" w14:textId="77777777" w:rsidR="006A3667" w:rsidRDefault="006A3667">
            <w:pPr>
              <w:rPr>
                <w:rFonts w:ascii="宋体"/>
              </w:rPr>
            </w:pPr>
          </w:p>
        </w:tc>
        <w:tc>
          <w:tcPr>
            <w:tcW w:w="5" w:type="pct"/>
            <w:shd w:val="clear" w:color="auto" w:fill="auto"/>
            <w:vAlign w:val="bottom"/>
          </w:tcPr>
          <w:p w14:paraId="71D46BBA" w14:textId="77777777" w:rsidR="006A3667" w:rsidRDefault="006A3667">
            <w:pPr>
              <w:rPr>
                <w:rFonts w:ascii="宋体"/>
              </w:rPr>
            </w:pPr>
          </w:p>
        </w:tc>
        <w:tc>
          <w:tcPr>
            <w:tcW w:w="50" w:type="pct"/>
            <w:shd w:val="clear" w:color="auto" w:fill="auto"/>
            <w:vAlign w:val="bottom"/>
          </w:tcPr>
          <w:p w14:paraId="71D46BBB" w14:textId="77777777" w:rsidR="006A3667" w:rsidRDefault="006A3667">
            <w:pPr>
              <w:rPr>
                <w:rFonts w:ascii="宋体"/>
              </w:rPr>
            </w:pPr>
          </w:p>
        </w:tc>
        <w:tc>
          <w:tcPr>
            <w:tcW w:w="449" w:type="pct"/>
            <w:shd w:val="clear" w:color="auto" w:fill="auto"/>
            <w:vAlign w:val="bottom"/>
          </w:tcPr>
          <w:p w14:paraId="71D46BBC" w14:textId="77777777" w:rsidR="006A3667" w:rsidRDefault="006A3667">
            <w:pPr>
              <w:rPr>
                <w:rFonts w:ascii="宋体"/>
              </w:rPr>
            </w:pPr>
          </w:p>
        </w:tc>
        <w:tc>
          <w:tcPr>
            <w:tcW w:w="5" w:type="pct"/>
            <w:shd w:val="clear" w:color="auto" w:fill="auto"/>
            <w:vAlign w:val="bottom"/>
          </w:tcPr>
          <w:p w14:paraId="71D46BBD" w14:textId="77777777" w:rsidR="006A3667" w:rsidRDefault="006A3667">
            <w:pPr>
              <w:rPr>
                <w:rFonts w:ascii="宋体"/>
              </w:rPr>
            </w:pPr>
          </w:p>
        </w:tc>
        <w:tc>
          <w:tcPr>
            <w:tcW w:w="5" w:type="pct"/>
            <w:shd w:val="clear" w:color="auto" w:fill="auto"/>
            <w:vAlign w:val="bottom"/>
          </w:tcPr>
          <w:p w14:paraId="71D46BBE" w14:textId="77777777" w:rsidR="006A3667" w:rsidRDefault="006A3667">
            <w:pPr>
              <w:rPr>
                <w:rFonts w:ascii="宋体"/>
              </w:rPr>
            </w:pPr>
          </w:p>
        </w:tc>
        <w:tc>
          <w:tcPr>
            <w:tcW w:w="19" w:type="pct"/>
            <w:shd w:val="clear" w:color="auto" w:fill="auto"/>
            <w:vAlign w:val="bottom"/>
          </w:tcPr>
          <w:p w14:paraId="71D46BBF" w14:textId="77777777" w:rsidR="006A3667" w:rsidRDefault="006A3667">
            <w:pPr>
              <w:rPr>
                <w:rFonts w:ascii="宋体"/>
              </w:rPr>
            </w:pPr>
          </w:p>
        </w:tc>
        <w:tc>
          <w:tcPr>
            <w:tcW w:w="5" w:type="pct"/>
            <w:shd w:val="clear" w:color="auto" w:fill="auto"/>
            <w:vAlign w:val="bottom"/>
          </w:tcPr>
          <w:p w14:paraId="71D46BC0" w14:textId="77777777" w:rsidR="006A3667" w:rsidRDefault="006A3667">
            <w:pPr>
              <w:rPr>
                <w:rFonts w:ascii="宋体"/>
              </w:rPr>
            </w:pPr>
          </w:p>
        </w:tc>
        <w:tc>
          <w:tcPr>
            <w:tcW w:w="50" w:type="pct"/>
            <w:shd w:val="clear" w:color="auto" w:fill="auto"/>
            <w:vAlign w:val="bottom"/>
          </w:tcPr>
          <w:p w14:paraId="71D46BC1" w14:textId="77777777" w:rsidR="006A3667" w:rsidRDefault="006A3667">
            <w:pPr>
              <w:rPr>
                <w:rFonts w:ascii="宋体"/>
              </w:rPr>
            </w:pPr>
          </w:p>
        </w:tc>
        <w:tc>
          <w:tcPr>
            <w:tcW w:w="529" w:type="pct"/>
            <w:shd w:val="clear" w:color="auto" w:fill="auto"/>
            <w:vAlign w:val="bottom"/>
          </w:tcPr>
          <w:p w14:paraId="71D46BC2" w14:textId="77777777" w:rsidR="006A3667" w:rsidRDefault="006A3667">
            <w:pPr>
              <w:rPr>
                <w:rFonts w:ascii="宋体"/>
              </w:rPr>
            </w:pPr>
          </w:p>
        </w:tc>
        <w:tc>
          <w:tcPr>
            <w:tcW w:w="5" w:type="pct"/>
            <w:shd w:val="clear" w:color="auto" w:fill="auto"/>
            <w:vAlign w:val="bottom"/>
          </w:tcPr>
          <w:p w14:paraId="71D46BC3" w14:textId="77777777" w:rsidR="006A3667" w:rsidRDefault="006A3667">
            <w:pPr>
              <w:rPr>
                <w:rFonts w:ascii="宋体"/>
              </w:rPr>
            </w:pPr>
          </w:p>
        </w:tc>
        <w:tc>
          <w:tcPr>
            <w:tcW w:w="5" w:type="pct"/>
            <w:shd w:val="clear" w:color="auto" w:fill="auto"/>
            <w:vAlign w:val="bottom"/>
          </w:tcPr>
          <w:p w14:paraId="71D46BC4" w14:textId="77777777" w:rsidR="006A3667" w:rsidRDefault="006A3667">
            <w:pPr>
              <w:rPr>
                <w:rFonts w:ascii="宋体"/>
              </w:rPr>
            </w:pPr>
          </w:p>
        </w:tc>
        <w:tc>
          <w:tcPr>
            <w:tcW w:w="19" w:type="pct"/>
            <w:shd w:val="clear" w:color="auto" w:fill="auto"/>
            <w:vAlign w:val="bottom"/>
          </w:tcPr>
          <w:p w14:paraId="71D46BC5" w14:textId="77777777" w:rsidR="006A3667" w:rsidRDefault="006A3667">
            <w:pPr>
              <w:rPr>
                <w:rFonts w:ascii="宋体"/>
              </w:rPr>
            </w:pPr>
          </w:p>
        </w:tc>
        <w:tc>
          <w:tcPr>
            <w:tcW w:w="5" w:type="pct"/>
            <w:shd w:val="clear" w:color="auto" w:fill="auto"/>
            <w:vAlign w:val="bottom"/>
          </w:tcPr>
          <w:p w14:paraId="71D46BC6" w14:textId="77777777" w:rsidR="006A3667" w:rsidRDefault="006A3667">
            <w:pPr>
              <w:rPr>
                <w:rFonts w:ascii="宋体"/>
              </w:rPr>
            </w:pPr>
          </w:p>
        </w:tc>
        <w:tc>
          <w:tcPr>
            <w:tcW w:w="0" w:type="auto"/>
            <w:shd w:val="clear" w:color="auto" w:fill="auto"/>
            <w:vAlign w:val="bottom"/>
          </w:tcPr>
          <w:p w14:paraId="71D46BC7" w14:textId="77777777" w:rsidR="006A3667" w:rsidRDefault="006A3667">
            <w:pPr>
              <w:rPr>
                <w:rFonts w:ascii="宋体"/>
                <w:vanish/>
              </w:rPr>
            </w:pPr>
          </w:p>
        </w:tc>
        <w:tc>
          <w:tcPr>
            <w:tcW w:w="0" w:type="auto"/>
            <w:shd w:val="clear" w:color="auto" w:fill="auto"/>
            <w:vAlign w:val="bottom"/>
          </w:tcPr>
          <w:p w14:paraId="71D46BC8" w14:textId="77777777" w:rsidR="006A3667" w:rsidRDefault="006A3667">
            <w:pPr>
              <w:rPr>
                <w:rFonts w:ascii="宋体"/>
                <w:vanish/>
              </w:rPr>
            </w:pPr>
          </w:p>
        </w:tc>
        <w:tc>
          <w:tcPr>
            <w:tcW w:w="50" w:type="pct"/>
            <w:shd w:val="clear" w:color="auto" w:fill="auto"/>
            <w:vAlign w:val="bottom"/>
          </w:tcPr>
          <w:p w14:paraId="71D46BC9" w14:textId="77777777" w:rsidR="006A3667" w:rsidRDefault="006A3667">
            <w:pPr>
              <w:rPr>
                <w:rFonts w:ascii="宋体"/>
              </w:rPr>
            </w:pPr>
          </w:p>
        </w:tc>
        <w:tc>
          <w:tcPr>
            <w:tcW w:w="610" w:type="pct"/>
            <w:shd w:val="clear" w:color="auto" w:fill="auto"/>
            <w:vAlign w:val="bottom"/>
          </w:tcPr>
          <w:p w14:paraId="71D46BCA" w14:textId="77777777" w:rsidR="006A3667" w:rsidRDefault="006A3667">
            <w:pPr>
              <w:rPr>
                <w:rFonts w:ascii="宋体"/>
              </w:rPr>
            </w:pPr>
          </w:p>
        </w:tc>
        <w:tc>
          <w:tcPr>
            <w:tcW w:w="5" w:type="pct"/>
            <w:shd w:val="clear" w:color="auto" w:fill="auto"/>
            <w:vAlign w:val="bottom"/>
          </w:tcPr>
          <w:p w14:paraId="71D46BCB" w14:textId="77777777" w:rsidR="006A3667" w:rsidRDefault="006A3667">
            <w:pPr>
              <w:rPr>
                <w:rFonts w:ascii="宋体"/>
              </w:rPr>
            </w:pPr>
          </w:p>
        </w:tc>
        <w:tc>
          <w:tcPr>
            <w:tcW w:w="5" w:type="pct"/>
            <w:shd w:val="clear" w:color="auto" w:fill="auto"/>
            <w:vAlign w:val="bottom"/>
          </w:tcPr>
          <w:p w14:paraId="71D46BCC" w14:textId="77777777" w:rsidR="006A3667" w:rsidRDefault="006A3667">
            <w:pPr>
              <w:rPr>
                <w:rFonts w:ascii="宋体"/>
              </w:rPr>
            </w:pPr>
          </w:p>
        </w:tc>
        <w:tc>
          <w:tcPr>
            <w:tcW w:w="19" w:type="pct"/>
            <w:shd w:val="clear" w:color="auto" w:fill="auto"/>
            <w:vAlign w:val="bottom"/>
          </w:tcPr>
          <w:p w14:paraId="71D46BCD" w14:textId="77777777" w:rsidR="006A3667" w:rsidRDefault="006A3667">
            <w:pPr>
              <w:rPr>
                <w:rFonts w:ascii="宋体"/>
              </w:rPr>
            </w:pPr>
          </w:p>
        </w:tc>
        <w:tc>
          <w:tcPr>
            <w:tcW w:w="5" w:type="pct"/>
            <w:shd w:val="clear" w:color="auto" w:fill="auto"/>
            <w:vAlign w:val="bottom"/>
          </w:tcPr>
          <w:p w14:paraId="71D46BCE" w14:textId="77777777" w:rsidR="006A3667" w:rsidRDefault="006A3667">
            <w:pPr>
              <w:rPr>
                <w:rFonts w:ascii="宋体"/>
              </w:rPr>
            </w:pPr>
          </w:p>
        </w:tc>
        <w:tc>
          <w:tcPr>
            <w:tcW w:w="50" w:type="pct"/>
            <w:shd w:val="clear" w:color="auto" w:fill="auto"/>
            <w:vAlign w:val="bottom"/>
          </w:tcPr>
          <w:p w14:paraId="71D46BCF" w14:textId="77777777" w:rsidR="006A3667" w:rsidRDefault="006A3667">
            <w:pPr>
              <w:rPr>
                <w:rFonts w:ascii="宋体"/>
              </w:rPr>
            </w:pPr>
          </w:p>
        </w:tc>
        <w:tc>
          <w:tcPr>
            <w:tcW w:w="449" w:type="pct"/>
            <w:shd w:val="clear" w:color="auto" w:fill="auto"/>
            <w:vAlign w:val="bottom"/>
          </w:tcPr>
          <w:p w14:paraId="71D46BD0" w14:textId="77777777" w:rsidR="006A3667" w:rsidRDefault="006A3667">
            <w:pPr>
              <w:rPr>
                <w:rFonts w:ascii="宋体"/>
              </w:rPr>
            </w:pPr>
          </w:p>
        </w:tc>
        <w:tc>
          <w:tcPr>
            <w:tcW w:w="5" w:type="pct"/>
            <w:shd w:val="clear" w:color="auto" w:fill="auto"/>
            <w:vAlign w:val="bottom"/>
          </w:tcPr>
          <w:p w14:paraId="71D46BD1" w14:textId="77777777" w:rsidR="006A3667" w:rsidRDefault="006A3667">
            <w:pPr>
              <w:rPr>
                <w:rFonts w:ascii="宋体"/>
              </w:rPr>
            </w:pPr>
          </w:p>
        </w:tc>
        <w:tc>
          <w:tcPr>
            <w:tcW w:w="5" w:type="pct"/>
            <w:shd w:val="clear" w:color="auto" w:fill="auto"/>
            <w:vAlign w:val="bottom"/>
          </w:tcPr>
          <w:p w14:paraId="71D46BD2" w14:textId="77777777" w:rsidR="006A3667" w:rsidRDefault="006A3667">
            <w:pPr>
              <w:rPr>
                <w:rFonts w:ascii="宋体"/>
              </w:rPr>
            </w:pPr>
          </w:p>
        </w:tc>
        <w:tc>
          <w:tcPr>
            <w:tcW w:w="19" w:type="pct"/>
            <w:shd w:val="clear" w:color="auto" w:fill="auto"/>
            <w:vAlign w:val="bottom"/>
          </w:tcPr>
          <w:p w14:paraId="71D46BD3" w14:textId="77777777" w:rsidR="006A3667" w:rsidRDefault="006A3667">
            <w:pPr>
              <w:rPr>
                <w:rFonts w:ascii="宋体"/>
              </w:rPr>
            </w:pPr>
          </w:p>
        </w:tc>
        <w:tc>
          <w:tcPr>
            <w:tcW w:w="5" w:type="pct"/>
            <w:shd w:val="clear" w:color="auto" w:fill="auto"/>
            <w:vAlign w:val="bottom"/>
          </w:tcPr>
          <w:p w14:paraId="71D46BD4" w14:textId="77777777" w:rsidR="006A3667" w:rsidRDefault="006A3667">
            <w:pPr>
              <w:rPr>
                <w:rFonts w:ascii="宋体"/>
              </w:rPr>
            </w:pPr>
          </w:p>
        </w:tc>
        <w:tc>
          <w:tcPr>
            <w:tcW w:w="50" w:type="pct"/>
            <w:shd w:val="clear" w:color="auto" w:fill="auto"/>
            <w:vAlign w:val="bottom"/>
          </w:tcPr>
          <w:p w14:paraId="71D46BD5" w14:textId="77777777" w:rsidR="006A3667" w:rsidRDefault="006A3667">
            <w:pPr>
              <w:rPr>
                <w:rFonts w:ascii="宋体"/>
              </w:rPr>
            </w:pPr>
          </w:p>
        </w:tc>
        <w:tc>
          <w:tcPr>
            <w:tcW w:w="449" w:type="pct"/>
            <w:shd w:val="clear" w:color="auto" w:fill="auto"/>
            <w:vAlign w:val="bottom"/>
          </w:tcPr>
          <w:p w14:paraId="71D46BD6" w14:textId="77777777" w:rsidR="006A3667" w:rsidRDefault="006A3667">
            <w:pPr>
              <w:rPr>
                <w:rFonts w:ascii="宋体"/>
              </w:rPr>
            </w:pPr>
          </w:p>
        </w:tc>
        <w:tc>
          <w:tcPr>
            <w:tcW w:w="5" w:type="pct"/>
            <w:shd w:val="clear" w:color="auto" w:fill="auto"/>
            <w:vAlign w:val="bottom"/>
          </w:tcPr>
          <w:p w14:paraId="71D46BD7" w14:textId="77777777" w:rsidR="006A3667" w:rsidRDefault="006A3667">
            <w:pPr>
              <w:rPr>
                <w:rFonts w:ascii="宋体"/>
              </w:rPr>
            </w:pPr>
          </w:p>
        </w:tc>
      </w:tr>
      <w:tr w:rsidR="006A3667" w14:paraId="71D46BE1" w14:textId="77777777">
        <w:tc>
          <w:tcPr>
            <w:tcW w:w="0" w:type="auto"/>
            <w:gridSpan w:val="3"/>
            <w:shd w:val="clear" w:color="auto" w:fill="auto"/>
            <w:tcMar>
              <w:top w:w="0" w:type="dxa"/>
              <w:left w:w="20" w:type="dxa"/>
              <w:bottom w:w="0" w:type="dxa"/>
              <w:right w:w="20" w:type="dxa"/>
            </w:tcMar>
            <w:vAlign w:val="bottom"/>
          </w:tcPr>
          <w:p w14:paraId="71D46BD9" w14:textId="77777777" w:rsidR="006A3667" w:rsidRDefault="006A3667">
            <w:pPr>
              <w:rPr>
                <w:rFonts w:ascii="宋体"/>
              </w:rPr>
            </w:pPr>
          </w:p>
        </w:tc>
        <w:tc>
          <w:tcPr>
            <w:tcW w:w="0" w:type="auto"/>
            <w:gridSpan w:val="35"/>
            <w:shd w:val="clear" w:color="auto" w:fill="auto"/>
            <w:tcMar>
              <w:top w:w="40" w:type="dxa"/>
              <w:left w:w="20" w:type="dxa"/>
              <w:bottom w:w="40" w:type="dxa"/>
              <w:right w:w="20" w:type="dxa"/>
            </w:tcMar>
            <w:vAlign w:val="bottom"/>
          </w:tcPr>
          <w:p w14:paraId="71D46BDA" w14:textId="77777777" w:rsidR="006A3667" w:rsidRDefault="00045F32">
            <w:pPr>
              <w:jc w:val="center"/>
              <w:textAlignment w:val="bottom"/>
            </w:pPr>
            <w:r>
              <w:rPr>
                <w:rFonts w:ascii="Arial" w:eastAsia="宋体" w:hAnsi="Arial" w:cs="Arial"/>
                <w:b/>
                <w:bCs/>
                <w:color w:val="000000"/>
                <w:sz w:val="14"/>
                <w:szCs w:val="14"/>
              </w:rPr>
              <w:t xml:space="preserve">Three Months Ended September 30, </w:t>
            </w:r>
            <w:r>
              <w:rPr>
                <w:rFonts w:ascii="Arial" w:eastAsia="宋体" w:hAnsi="Arial" w:cs="Arial"/>
                <w:b/>
                <w:bCs/>
                <w:color w:val="000000"/>
                <w:sz w:val="14"/>
                <w:szCs w:val="14"/>
              </w:rPr>
              <w:t>2022</w:t>
            </w:r>
          </w:p>
        </w:tc>
        <w:tc>
          <w:tcPr>
            <w:tcW w:w="0" w:type="auto"/>
            <w:shd w:val="clear" w:color="auto" w:fill="auto"/>
            <w:vAlign w:val="bottom"/>
          </w:tcPr>
          <w:p w14:paraId="71D46BDB" w14:textId="77777777" w:rsidR="006A3667" w:rsidRDefault="006A3667">
            <w:pPr>
              <w:rPr>
                <w:rFonts w:ascii="宋体"/>
              </w:rPr>
            </w:pPr>
          </w:p>
        </w:tc>
        <w:tc>
          <w:tcPr>
            <w:tcW w:w="0" w:type="auto"/>
            <w:shd w:val="clear" w:color="auto" w:fill="auto"/>
            <w:vAlign w:val="bottom"/>
          </w:tcPr>
          <w:p w14:paraId="71D46BDC" w14:textId="77777777" w:rsidR="006A3667" w:rsidRDefault="006A3667">
            <w:pPr>
              <w:rPr>
                <w:rFonts w:ascii="宋体"/>
              </w:rPr>
            </w:pPr>
          </w:p>
        </w:tc>
        <w:tc>
          <w:tcPr>
            <w:tcW w:w="0" w:type="auto"/>
            <w:shd w:val="clear" w:color="auto" w:fill="auto"/>
            <w:vAlign w:val="bottom"/>
          </w:tcPr>
          <w:p w14:paraId="71D46BDD" w14:textId="77777777" w:rsidR="006A3667" w:rsidRDefault="006A3667">
            <w:pPr>
              <w:rPr>
                <w:rFonts w:ascii="宋体"/>
              </w:rPr>
            </w:pPr>
          </w:p>
        </w:tc>
        <w:tc>
          <w:tcPr>
            <w:tcW w:w="0" w:type="auto"/>
            <w:shd w:val="clear" w:color="auto" w:fill="auto"/>
            <w:vAlign w:val="bottom"/>
          </w:tcPr>
          <w:p w14:paraId="71D46BDE" w14:textId="77777777" w:rsidR="006A3667" w:rsidRDefault="006A3667">
            <w:pPr>
              <w:rPr>
                <w:rFonts w:ascii="宋体"/>
              </w:rPr>
            </w:pPr>
          </w:p>
        </w:tc>
        <w:tc>
          <w:tcPr>
            <w:tcW w:w="0" w:type="auto"/>
            <w:shd w:val="clear" w:color="auto" w:fill="auto"/>
            <w:vAlign w:val="bottom"/>
          </w:tcPr>
          <w:p w14:paraId="71D46BDF" w14:textId="77777777" w:rsidR="006A3667" w:rsidRDefault="006A3667">
            <w:pPr>
              <w:rPr>
                <w:rFonts w:ascii="宋体"/>
              </w:rPr>
            </w:pPr>
          </w:p>
        </w:tc>
        <w:tc>
          <w:tcPr>
            <w:tcW w:w="0" w:type="auto"/>
            <w:shd w:val="clear" w:color="auto" w:fill="auto"/>
            <w:vAlign w:val="bottom"/>
          </w:tcPr>
          <w:p w14:paraId="71D46BE0" w14:textId="77777777" w:rsidR="006A3667" w:rsidRDefault="006A3667">
            <w:pPr>
              <w:rPr>
                <w:rFonts w:ascii="宋体"/>
              </w:rPr>
            </w:pPr>
          </w:p>
        </w:tc>
      </w:tr>
      <w:tr w:rsidR="006A3667" w14:paraId="71D46BEF" w14:textId="77777777">
        <w:tc>
          <w:tcPr>
            <w:tcW w:w="0" w:type="auto"/>
            <w:gridSpan w:val="3"/>
            <w:shd w:val="clear" w:color="auto" w:fill="auto"/>
            <w:tcMar>
              <w:top w:w="0" w:type="dxa"/>
              <w:left w:w="20" w:type="dxa"/>
              <w:bottom w:w="0" w:type="dxa"/>
              <w:right w:w="20" w:type="dxa"/>
            </w:tcMar>
            <w:vAlign w:val="bottom"/>
          </w:tcPr>
          <w:p w14:paraId="71D46BE2"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6BE3" w14:textId="77777777" w:rsidR="006A3667" w:rsidRDefault="00045F32">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E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E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E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E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E8" w14:textId="77777777" w:rsidR="006A3667" w:rsidRDefault="006A3667">
            <w:pPr>
              <w:rPr>
                <w:rFonts w:ascii="宋体"/>
              </w:rPr>
            </w:pPr>
          </w:p>
        </w:tc>
        <w:tc>
          <w:tcPr>
            <w:tcW w:w="0" w:type="auto"/>
            <w:shd w:val="clear" w:color="auto" w:fill="auto"/>
            <w:vAlign w:val="bottom"/>
          </w:tcPr>
          <w:p w14:paraId="71D46BE9" w14:textId="77777777" w:rsidR="006A3667" w:rsidRDefault="006A3667">
            <w:pPr>
              <w:rPr>
                <w:rFonts w:ascii="宋体"/>
                <w:vanish/>
              </w:rPr>
            </w:pPr>
          </w:p>
        </w:tc>
        <w:tc>
          <w:tcPr>
            <w:tcW w:w="0" w:type="auto"/>
            <w:shd w:val="clear" w:color="auto" w:fill="auto"/>
            <w:vAlign w:val="bottom"/>
          </w:tcPr>
          <w:p w14:paraId="71D46BEA"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E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EC" w14:textId="77777777" w:rsidR="006A3667" w:rsidRDefault="006A3667">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71D46BE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EE" w14:textId="77777777" w:rsidR="006A3667" w:rsidRDefault="006A3667">
            <w:pPr>
              <w:rPr>
                <w:rFonts w:ascii="宋体"/>
              </w:rPr>
            </w:pPr>
          </w:p>
        </w:tc>
      </w:tr>
      <w:tr w:rsidR="006A3667" w14:paraId="71D46C00" w14:textId="77777777">
        <w:tc>
          <w:tcPr>
            <w:tcW w:w="0" w:type="auto"/>
            <w:gridSpan w:val="3"/>
            <w:shd w:val="clear" w:color="auto" w:fill="auto"/>
            <w:tcMar>
              <w:top w:w="40" w:type="dxa"/>
              <w:left w:w="20" w:type="dxa"/>
              <w:bottom w:w="40" w:type="dxa"/>
              <w:right w:w="20" w:type="dxa"/>
            </w:tcMar>
            <w:vAlign w:val="bottom"/>
          </w:tcPr>
          <w:p w14:paraId="71D46BF0"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6BF1" w14:textId="77777777" w:rsidR="006A3667" w:rsidRDefault="00045F32">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BF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6BF3" w14:textId="77777777" w:rsidR="006A3667" w:rsidRDefault="00045F32">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46BF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BF5" w14:textId="77777777" w:rsidR="006A3667" w:rsidRDefault="00045F32">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71D46BF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BF7" w14:textId="77777777" w:rsidR="006A3667" w:rsidRDefault="00045F32">
            <w:pPr>
              <w:jc w:val="center"/>
              <w:textAlignment w:val="bottom"/>
            </w:pPr>
            <w:r>
              <w:rPr>
                <w:rFonts w:ascii="Arial" w:eastAsia="宋体" w:hAnsi="Arial" w:cs="Arial"/>
                <w:b/>
                <w:bCs/>
                <w:color w:val="000000"/>
                <w:sz w:val="14"/>
                <w:szCs w:val="14"/>
              </w:rPr>
              <w:t>Available-for-sale Securities</w:t>
            </w:r>
          </w:p>
        </w:tc>
        <w:tc>
          <w:tcPr>
            <w:tcW w:w="0" w:type="auto"/>
            <w:gridSpan w:val="3"/>
            <w:shd w:val="clear" w:color="auto" w:fill="auto"/>
            <w:tcMar>
              <w:top w:w="0" w:type="dxa"/>
              <w:left w:w="20" w:type="dxa"/>
              <w:bottom w:w="0" w:type="dxa"/>
              <w:right w:w="20" w:type="dxa"/>
            </w:tcMar>
            <w:vAlign w:val="bottom"/>
          </w:tcPr>
          <w:p w14:paraId="71D46BF8" w14:textId="77777777" w:rsidR="006A3667" w:rsidRDefault="006A3667">
            <w:pPr>
              <w:rPr>
                <w:rFonts w:ascii="宋体"/>
              </w:rPr>
            </w:pPr>
          </w:p>
        </w:tc>
        <w:tc>
          <w:tcPr>
            <w:tcW w:w="0" w:type="auto"/>
            <w:shd w:val="clear" w:color="auto" w:fill="auto"/>
            <w:vAlign w:val="bottom"/>
          </w:tcPr>
          <w:p w14:paraId="71D46BF9" w14:textId="77777777" w:rsidR="006A3667" w:rsidRDefault="006A3667">
            <w:pPr>
              <w:rPr>
                <w:rFonts w:ascii="宋体"/>
                <w:vanish/>
              </w:rPr>
            </w:pPr>
          </w:p>
        </w:tc>
        <w:tc>
          <w:tcPr>
            <w:tcW w:w="0" w:type="auto"/>
            <w:shd w:val="clear" w:color="auto" w:fill="auto"/>
            <w:vAlign w:val="bottom"/>
          </w:tcPr>
          <w:p w14:paraId="71D46BFA" w14:textId="77777777" w:rsidR="006A3667" w:rsidRDefault="006A3667">
            <w:pPr>
              <w:rPr>
                <w:rFonts w:ascii="宋体"/>
                <w:vanish/>
              </w:rPr>
            </w:pPr>
          </w:p>
        </w:tc>
        <w:tc>
          <w:tcPr>
            <w:tcW w:w="0" w:type="auto"/>
            <w:gridSpan w:val="3"/>
            <w:shd w:val="clear" w:color="auto" w:fill="auto"/>
            <w:tcMar>
              <w:top w:w="40" w:type="dxa"/>
              <w:left w:w="20" w:type="dxa"/>
              <w:bottom w:w="40" w:type="dxa"/>
              <w:right w:w="20" w:type="dxa"/>
            </w:tcMar>
            <w:vAlign w:val="bottom"/>
          </w:tcPr>
          <w:p w14:paraId="71D46BFB" w14:textId="77777777" w:rsidR="006A3667" w:rsidRDefault="00045F32">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71D46BF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BFD" w14:textId="77777777" w:rsidR="006A3667" w:rsidRDefault="00045F32">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71D46BF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BFF"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6C11" w14:textId="77777777">
        <w:tc>
          <w:tcPr>
            <w:tcW w:w="0" w:type="auto"/>
            <w:gridSpan w:val="3"/>
            <w:shd w:val="clear" w:color="auto" w:fill="auto"/>
            <w:tcMar>
              <w:top w:w="40" w:type="dxa"/>
              <w:left w:w="20" w:type="dxa"/>
              <w:bottom w:w="40" w:type="dxa"/>
              <w:right w:w="20" w:type="dxa"/>
            </w:tcMar>
            <w:vAlign w:val="bottom"/>
          </w:tcPr>
          <w:p w14:paraId="71D46C01" w14:textId="77777777" w:rsidR="006A3667" w:rsidRDefault="00045F32">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0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C0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0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C0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0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C0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0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C09" w14:textId="77777777" w:rsidR="006A3667" w:rsidRDefault="006A3667">
            <w:pPr>
              <w:rPr>
                <w:rFonts w:ascii="宋体"/>
              </w:rPr>
            </w:pPr>
          </w:p>
        </w:tc>
        <w:tc>
          <w:tcPr>
            <w:tcW w:w="0" w:type="auto"/>
            <w:shd w:val="clear" w:color="auto" w:fill="auto"/>
            <w:vAlign w:val="bottom"/>
          </w:tcPr>
          <w:p w14:paraId="71D46C0A" w14:textId="77777777" w:rsidR="006A3667" w:rsidRDefault="006A3667">
            <w:pPr>
              <w:rPr>
                <w:rFonts w:ascii="宋体"/>
                <w:vanish/>
              </w:rPr>
            </w:pPr>
          </w:p>
        </w:tc>
        <w:tc>
          <w:tcPr>
            <w:tcW w:w="0" w:type="auto"/>
            <w:shd w:val="clear" w:color="auto" w:fill="auto"/>
            <w:vAlign w:val="bottom"/>
          </w:tcPr>
          <w:p w14:paraId="71D46C0B"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0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C0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0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C0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10" w14:textId="77777777" w:rsidR="006A3667" w:rsidRDefault="006A3667">
            <w:pPr>
              <w:rPr>
                <w:rFonts w:ascii="宋体"/>
              </w:rPr>
            </w:pPr>
          </w:p>
        </w:tc>
      </w:tr>
      <w:tr w:rsidR="006A3667" w14:paraId="71D46C30" w14:textId="77777777">
        <w:tc>
          <w:tcPr>
            <w:tcW w:w="0" w:type="auto"/>
            <w:gridSpan w:val="3"/>
            <w:shd w:val="clear" w:color="auto" w:fill="CCEEFF"/>
            <w:tcMar>
              <w:top w:w="40" w:type="dxa"/>
              <w:left w:w="20" w:type="dxa"/>
              <w:bottom w:w="40" w:type="dxa"/>
              <w:right w:w="20" w:type="dxa"/>
            </w:tcMar>
            <w:vAlign w:val="bottom"/>
          </w:tcPr>
          <w:p w14:paraId="71D46C12" w14:textId="77777777" w:rsidR="006A3667" w:rsidRDefault="00045F32">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1D46C13"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C14" w14:textId="77777777" w:rsidR="006A3667" w:rsidRDefault="00045F32">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1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C17"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C18" w14:textId="77777777" w:rsidR="006A3667" w:rsidRDefault="00045F32">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1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1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C1B"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C1C" w14:textId="77777777" w:rsidR="006A3667" w:rsidRDefault="00045F32">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1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C1F"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C20"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2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22" w14:textId="77777777" w:rsidR="006A3667" w:rsidRDefault="006A3667">
            <w:pPr>
              <w:rPr>
                <w:rFonts w:ascii="宋体"/>
              </w:rPr>
            </w:pPr>
          </w:p>
        </w:tc>
        <w:tc>
          <w:tcPr>
            <w:tcW w:w="0" w:type="auto"/>
            <w:shd w:val="clear" w:color="auto" w:fill="auto"/>
            <w:vAlign w:val="bottom"/>
          </w:tcPr>
          <w:p w14:paraId="71D46C23" w14:textId="77777777" w:rsidR="006A3667" w:rsidRDefault="006A3667">
            <w:pPr>
              <w:rPr>
                <w:rFonts w:ascii="宋体"/>
                <w:vanish/>
              </w:rPr>
            </w:pPr>
          </w:p>
        </w:tc>
        <w:tc>
          <w:tcPr>
            <w:tcW w:w="0" w:type="auto"/>
            <w:shd w:val="clear" w:color="auto" w:fill="auto"/>
            <w:vAlign w:val="bottom"/>
          </w:tcPr>
          <w:p w14:paraId="71D46C24"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bottom"/>
          </w:tcPr>
          <w:p w14:paraId="71D46C25"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C26" w14:textId="77777777" w:rsidR="006A3667" w:rsidRDefault="00045F32">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2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2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C29"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C2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2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C2D"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C2E" w14:textId="77777777" w:rsidR="006A3667" w:rsidRDefault="00045F32">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2F" w14:textId="77777777" w:rsidR="006A3667" w:rsidRDefault="006A3667">
            <w:pPr>
              <w:jc w:val="right"/>
              <w:rPr>
                <w:rFonts w:ascii="宋体"/>
              </w:rPr>
            </w:pPr>
          </w:p>
        </w:tc>
      </w:tr>
      <w:tr w:rsidR="006A3667" w14:paraId="71D46C48" w14:textId="77777777">
        <w:tc>
          <w:tcPr>
            <w:tcW w:w="0" w:type="auto"/>
            <w:gridSpan w:val="3"/>
            <w:shd w:val="clear" w:color="auto" w:fill="FFFFFF"/>
            <w:tcMar>
              <w:top w:w="40" w:type="dxa"/>
              <w:left w:w="20" w:type="dxa"/>
              <w:bottom w:w="40" w:type="dxa"/>
              <w:right w:w="20" w:type="dxa"/>
            </w:tcMar>
            <w:vAlign w:val="bottom"/>
          </w:tcPr>
          <w:p w14:paraId="71D46C31" w14:textId="77777777" w:rsidR="006A3667" w:rsidRDefault="00045F32">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71D46C3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C3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3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C3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C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3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C3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C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3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C3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C3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3D" w14:textId="77777777" w:rsidR="006A3667" w:rsidRDefault="006A3667">
            <w:pPr>
              <w:rPr>
                <w:rFonts w:ascii="宋体"/>
              </w:rPr>
            </w:pPr>
          </w:p>
        </w:tc>
        <w:tc>
          <w:tcPr>
            <w:tcW w:w="0" w:type="auto"/>
            <w:shd w:val="clear" w:color="auto" w:fill="auto"/>
            <w:vAlign w:val="bottom"/>
          </w:tcPr>
          <w:p w14:paraId="71D46C3E" w14:textId="77777777" w:rsidR="006A3667" w:rsidRDefault="006A3667">
            <w:pPr>
              <w:rPr>
                <w:rFonts w:ascii="宋体"/>
                <w:vanish/>
              </w:rPr>
            </w:pPr>
          </w:p>
        </w:tc>
        <w:tc>
          <w:tcPr>
            <w:tcW w:w="0" w:type="auto"/>
            <w:shd w:val="clear" w:color="auto" w:fill="auto"/>
            <w:vAlign w:val="bottom"/>
          </w:tcPr>
          <w:p w14:paraId="71D46C3F"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C4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C4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4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C4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C4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4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C4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C47" w14:textId="77777777" w:rsidR="006A3667" w:rsidRDefault="006A3667">
            <w:pPr>
              <w:jc w:val="right"/>
              <w:rPr>
                <w:rFonts w:ascii="宋体"/>
              </w:rPr>
            </w:pPr>
          </w:p>
        </w:tc>
      </w:tr>
      <w:tr w:rsidR="006A3667" w14:paraId="71D46C60" w14:textId="77777777">
        <w:tc>
          <w:tcPr>
            <w:tcW w:w="0" w:type="auto"/>
            <w:gridSpan w:val="3"/>
            <w:shd w:val="clear" w:color="auto" w:fill="CCEEFF"/>
            <w:tcMar>
              <w:top w:w="40" w:type="dxa"/>
              <w:left w:w="20" w:type="dxa"/>
              <w:bottom w:w="40" w:type="dxa"/>
              <w:right w:w="20" w:type="dxa"/>
            </w:tcMar>
            <w:vAlign w:val="bottom"/>
          </w:tcPr>
          <w:p w14:paraId="71D46C49" w14:textId="77777777" w:rsidR="006A3667" w:rsidRDefault="00045F32">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71D46C4A" w14:textId="77777777" w:rsidR="006A3667" w:rsidRDefault="00045F32">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4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4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C4D" w14:textId="77777777" w:rsidR="006A3667" w:rsidRDefault="00045F32">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71D46C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4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C50"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5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C53" w14:textId="77777777" w:rsidR="006A3667" w:rsidRDefault="00045F32">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71D46C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55" w14:textId="77777777" w:rsidR="006A3667" w:rsidRDefault="006A3667">
            <w:pPr>
              <w:rPr>
                <w:rFonts w:ascii="宋体"/>
              </w:rPr>
            </w:pPr>
          </w:p>
        </w:tc>
        <w:tc>
          <w:tcPr>
            <w:tcW w:w="0" w:type="auto"/>
            <w:shd w:val="clear" w:color="auto" w:fill="auto"/>
            <w:vAlign w:val="bottom"/>
          </w:tcPr>
          <w:p w14:paraId="71D46C56" w14:textId="77777777" w:rsidR="006A3667" w:rsidRDefault="006A3667">
            <w:pPr>
              <w:rPr>
                <w:rFonts w:ascii="宋体"/>
                <w:vanish/>
              </w:rPr>
            </w:pPr>
          </w:p>
        </w:tc>
        <w:tc>
          <w:tcPr>
            <w:tcW w:w="0" w:type="auto"/>
            <w:shd w:val="clear" w:color="auto" w:fill="auto"/>
            <w:vAlign w:val="bottom"/>
          </w:tcPr>
          <w:p w14:paraId="71D46C57"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6C58"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1D46C5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5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C5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C5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C5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C5F" w14:textId="77777777" w:rsidR="006A3667" w:rsidRDefault="006A3667">
            <w:pPr>
              <w:jc w:val="right"/>
              <w:rPr>
                <w:rFonts w:ascii="宋体"/>
              </w:rPr>
            </w:pPr>
          </w:p>
        </w:tc>
      </w:tr>
      <w:tr w:rsidR="006A3667" w14:paraId="71D46C71" w14:textId="77777777">
        <w:trPr>
          <w:hidden/>
        </w:trPr>
        <w:tc>
          <w:tcPr>
            <w:tcW w:w="0" w:type="auto"/>
            <w:gridSpan w:val="3"/>
            <w:shd w:val="clear" w:color="auto" w:fill="auto"/>
            <w:vAlign w:val="bottom"/>
          </w:tcPr>
          <w:p w14:paraId="71D46C61" w14:textId="77777777" w:rsidR="006A3667" w:rsidRDefault="006A3667">
            <w:pPr>
              <w:rPr>
                <w:rFonts w:ascii="宋体"/>
                <w:vanish/>
              </w:rPr>
            </w:pPr>
          </w:p>
        </w:tc>
        <w:tc>
          <w:tcPr>
            <w:tcW w:w="0" w:type="auto"/>
            <w:gridSpan w:val="3"/>
            <w:shd w:val="clear" w:color="auto" w:fill="auto"/>
            <w:vAlign w:val="bottom"/>
          </w:tcPr>
          <w:p w14:paraId="71D46C62" w14:textId="77777777" w:rsidR="006A3667" w:rsidRDefault="006A3667">
            <w:pPr>
              <w:rPr>
                <w:rFonts w:ascii="宋体"/>
                <w:vanish/>
              </w:rPr>
            </w:pPr>
          </w:p>
        </w:tc>
        <w:tc>
          <w:tcPr>
            <w:tcW w:w="0" w:type="auto"/>
            <w:gridSpan w:val="3"/>
            <w:shd w:val="clear" w:color="auto" w:fill="auto"/>
            <w:vAlign w:val="bottom"/>
          </w:tcPr>
          <w:p w14:paraId="71D46C63" w14:textId="77777777" w:rsidR="006A3667" w:rsidRDefault="006A3667">
            <w:pPr>
              <w:rPr>
                <w:rFonts w:ascii="宋体"/>
                <w:vanish/>
              </w:rPr>
            </w:pPr>
          </w:p>
        </w:tc>
        <w:tc>
          <w:tcPr>
            <w:tcW w:w="0" w:type="auto"/>
            <w:gridSpan w:val="3"/>
            <w:shd w:val="clear" w:color="auto" w:fill="auto"/>
            <w:vAlign w:val="bottom"/>
          </w:tcPr>
          <w:p w14:paraId="71D46C64" w14:textId="77777777" w:rsidR="006A3667" w:rsidRDefault="006A3667">
            <w:pPr>
              <w:rPr>
                <w:rFonts w:ascii="宋体"/>
                <w:vanish/>
              </w:rPr>
            </w:pPr>
          </w:p>
        </w:tc>
        <w:tc>
          <w:tcPr>
            <w:tcW w:w="0" w:type="auto"/>
            <w:gridSpan w:val="3"/>
            <w:shd w:val="clear" w:color="auto" w:fill="auto"/>
            <w:vAlign w:val="bottom"/>
          </w:tcPr>
          <w:p w14:paraId="71D46C65" w14:textId="77777777" w:rsidR="006A3667" w:rsidRDefault="006A3667">
            <w:pPr>
              <w:rPr>
                <w:rFonts w:ascii="宋体"/>
                <w:vanish/>
              </w:rPr>
            </w:pPr>
          </w:p>
        </w:tc>
        <w:tc>
          <w:tcPr>
            <w:tcW w:w="0" w:type="auto"/>
            <w:gridSpan w:val="3"/>
            <w:shd w:val="clear" w:color="auto" w:fill="auto"/>
            <w:vAlign w:val="bottom"/>
          </w:tcPr>
          <w:p w14:paraId="71D46C66" w14:textId="77777777" w:rsidR="006A3667" w:rsidRDefault="006A3667">
            <w:pPr>
              <w:rPr>
                <w:rFonts w:ascii="宋体"/>
                <w:vanish/>
              </w:rPr>
            </w:pPr>
          </w:p>
        </w:tc>
        <w:tc>
          <w:tcPr>
            <w:tcW w:w="0" w:type="auto"/>
            <w:gridSpan w:val="3"/>
            <w:shd w:val="clear" w:color="auto" w:fill="auto"/>
            <w:vAlign w:val="bottom"/>
          </w:tcPr>
          <w:p w14:paraId="71D46C67" w14:textId="77777777" w:rsidR="006A3667" w:rsidRDefault="006A3667">
            <w:pPr>
              <w:rPr>
                <w:rFonts w:ascii="宋体"/>
                <w:vanish/>
              </w:rPr>
            </w:pPr>
          </w:p>
        </w:tc>
        <w:tc>
          <w:tcPr>
            <w:tcW w:w="0" w:type="auto"/>
            <w:gridSpan w:val="3"/>
            <w:shd w:val="clear" w:color="auto" w:fill="auto"/>
            <w:vAlign w:val="bottom"/>
          </w:tcPr>
          <w:p w14:paraId="71D46C68" w14:textId="77777777" w:rsidR="006A3667" w:rsidRDefault="006A3667">
            <w:pPr>
              <w:rPr>
                <w:rFonts w:ascii="宋体"/>
                <w:vanish/>
              </w:rPr>
            </w:pPr>
          </w:p>
        </w:tc>
        <w:tc>
          <w:tcPr>
            <w:tcW w:w="0" w:type="auto"/>
            <w:gridSpan w:val="3"/>
            <w:shd w:val="clear" w:color="auto" w:fill="auto"/>
            <w:vAlign w:val="bottom"/>
          </w:tcPr>
          <w:p w14:paraId="71D46C69" w14:textId="77777777" w:rsidR="006A3667" w:rsidRDefault="006A3667">
            <w:pPr>
              <w:rPr>
                <w:rFonts w:ascii="宋体"/>
                <w:vanish/>
              </w:rPr>
            </w:pPr>
          </w:p>
        </w:tc>
        <w:tc>
          <w:tcPr>
            <w:tcW w:w="0" w:type="auto"/>
            <w:shd w:val="clear" w:color="auto" w:fill="auto"/>
            <w:vAlign w:val="bottom"/>
          </w:tcPr>
          <w:p w14:paraId="71D46C6A" w14:textId="77777777" w:rsidR="006A3667" w:rsidRDefault="006A3667">
            <w:pPr>
              <w:rPr>
                <w:rFonts w:ascii="宋体"/>
                <w:vanish/>
              </w:rPr>
            </w:pPr>
          </w:p>
        </w:tc>
        <w:tc>
          <w:tcPr>
            <w:tcW w:w="0" w:type="auto"/>
            <w:shd w:val="clear" w:color="auto" w:fill="auto"/>
            <w:vAlign w:val="bottom"/>
          </w:tcPr>
          <w:p w14:paraId="71D46C6B" w14:textId="77777777" w:rsidR="006A3667" w:rsidRDefault="006A3667">
            <w:pPr>
              <w:rPr>
                <w:rFonts w:ascii="宋体"/>
                <w:vanish/>
              </w:rPr>
            </w:pPr>
          </w:p>
        </w:tc>
        <w:tc>
          <w:tcPr>
            <w:tcW w:w="0" w:type="auto"/>
            <w:gridSpan w:val="3"/>
            <w:shd w:val="clear" w:color="auto" w:fill="auto"/>
            <w:vAlign w:val="bottom"/>
          </w:tcPr>
          <w:p w14:paraId="71D46C6C" w14:textId="77777777" w:rsidR="006A3667" w:rsidRDefault="006A3667">
            <w:pPr>
              <w:rPr>
                <w:rFonts w:ascii="宋体"/>
                <w:vanish/>
              </w:rPr>
            </w:pPr>
          </w:p>
        </w:tc>
        <w:tc>
          <w:tcPr>
            <w:tcW w:w="0" w:type="auto"/>
            <w:gridSpan w:val="3"/>
            <w:shd w:val="clear" w:color="auto" w:fill="auto"/>
            <w:vAlign w:val="bottom"/>
          </w:tcPr>
          <w:p w14:paraId="71D46C6D" w14:textId="77777777" w:rsidR="006A3667" w:rsidRDefault="006A3667">
            <w:pPr>
              <w:rPr>
                <w:rFonts w:ascii="宋体"/>
                <w:vanish/>
              </w:rPr>
            </w:pPr>
          </w:p>
        </w:tc>
        <w:tc>
          <w:tcPr>
            <w:tcW w:w="0" w:type="auto"/>
            <w:gridSpan w:val="3"/>
            <w:shd w:val="clear" w:color="auto" w:fill="auto"/>
            <w:vAlign w:val="bottom"/>
          </w:tcPr>
          <w:p w14:paraId="71D46C6E" w14:textId="77777777" w:rsidR="006A3667" w:rsidRDefault="006A3667">
            <w:pPr>
              <w:rPr>
                <w:rFonts w:ascii="宋体"/>
                <w:vanish/>
              </w:rPr>
            </w:pPr>
          </w:p>
        </w:tc>
        <w:tc>
          <w:tcPr>
            <w:tcW w:w="0" w:type="auto"/>
            <w:gridSpan w:val="3"/>
            <w:shd w:val="clear" w:color="auto" w:fill="auto"/>
            <w:vAlign w:val="bottom"/>
          </w:tcPr>
          <w:p w14:paraId="71D46C6F" w14:textId="77777777" w:rsidR="006A3667" w:rsidRDefault="006A3667">
            <w:pPr>
              <w:rPr>
                <w:rFonts w:ascii="宋体"/>
                <w:vanish/>
              </w:rPr>
            </w:pPr>
          </w:p>
        </w:tc>
        <w:tc>
          <w:tcPr>
            <w:tcW w:w="0" w:type="auto"/>
            <w:gridSpan w:val="3"/>
            <w:shd w:val="clear" w:color="auto" w:fill="auto"/>
            <w:vAlign w:val="bottom"/>
          </w:tcPr>
          <w:p w14:paraId="71D46C70" w14:textId="77777777" w:rsidR="006A3667" w:rsidRDefault="006A3667">
            <w:pPr>
              <w:rPr>
                <w:rFonts w:ascii="宋体"/>
                <w:vanish/>
              </w:rPr>
            </w:pPr>
          </w:p>
        </w:tc>
      </w:tr>
      <w:tr w:rsidR="006A3667" w14:paraId="71D46C82" w14:textId="77777777">
        <w:trPr>
          <w:hidden/>
        </w:trPr>
        <w:tc>
          <w:tcPr>
            <w:tcW w:w="0" w:type="auto"/>
            <w:gridSpan w:val="3"/>
            <w:shd w:val="clear" w:color="auto" w:fill="auto"/>
            <w:vAlign w:val="bottom"/>
          </w:tcPr>
          <w:p w14:paraId="71D46C72" w14:textId="77777777" w:rsidR="006A3667" w:rsidRDefault="006A3667">
            <w:pPr>
              <w:rPr>
                <w:rFonts w:ascii="宋体"/>
                <w:vanish/>
              </w:rPr>
            </w:pPr>
          </w:p>
        </w:tc>
        <w:tc>
          <w:tcPr>
            <w:tcW w:w="0" w:type="auto"/>
            <w:gridSpan w:val="3"/>
            <w:shd w:val="clear" w:color="auto" w:fill="auto"/>
            <w:vAlign w:val="bottom"/>
          </w:tcPr>
          <w:p w14:paraId="71D46C73" w14:textId="77777777" w:rsidR="006A3667" w:rsidRDefault="006A3667">
            <w:pPr>
              <w:rPr>
                <w:rFonts w:ascii="宋体"/>
                <w:vanish/>
              </w:rPr>
            </w:pPr>
          </w:p>
        </w:tc>
        <w:tc>
          <w:tcPr>
            <w:tcW w:w="0" w:type="auto"/>
            <w:gridSpan w:val="3"/>
            <w:shd w:val="clear" w:color="auto" w:fill="auto"/>
            <w:vAlign w:val="bottom"/>
          </w:tcPr>
          <w:p w14:paraId="71D46C74" w14:textId="77777777" w:rsidR="006A3667" w:rsidRDefault="006A3667">
            <w:pPr>
              <w:rPr>
                <w:rFonts w:ascii="宋体"/>
                <w:vanish/>
              </w:rPr>
            </w:pPr>
          </w:p>
        </w:tc>
        <w:tc>
          <w:tcPr>
            <w:tcW w:w="0" w:type="auto"/>
            <w:gridSpan w:val="3"/>
            <w:shd w:val="clear" w:color="auto" w:fill="auto"/>
            <w:vAlign w:val="bottom"/>
          </w:tcPr>
          <w:p w14:paraId="71D46C75" w14:textId="77777777" w:rsidR="006A3667" w:rsidRDefault="006A3667">
            <w:pPr>
              <w:rPr>
                <w:rFonts w:ascii="宋体"/>
                <w:vanish/>
              </w:rPr>
            </w:pPr>
          </w:p>
        </w:tc>
        <w:tc>
          <w:tcPr>
            <w:tcW w:w="0" w:type="auto"/>
            <w:gridSpan w:val="3"/>
            <w:shd w:val="clear" w:color="auto" w:fill="auto"/>
            <w:vAlign w:val="bottom"/>
          </w:tcPr>
          <w:p w14:paraId="71D46C76" w14:textId="77777777" w:rsidR="006A3667" w:rsidRDefault="006A3667">
            <w:pPr>
              <w:rPr>
                <w:rFonts w:ascii="宋体"/>
                <w:vanish/>
              </w:rPr>
            </w:pPr>
          </w:p>
        </w:tc>
        <w:tc>
          <w:tcPr>
            <w:tcW w:w="0" w:type="auto"/>
            <w:gridSpan w:val="3"/>
            <w:shd w:val="clear" w:color="auto" w:fill="auto"/>
            <w:vAlign w:val="bottom"/>
          </w:tcPr>
          <w:p w14:paraId="71D46C77" w14:textId="77777777" w:rsidR="006A3667" w:rsidRDefault="006A3667">
            <w:pPr>
              <w:rPr>
                <w:rFonts w:ascii="宋体"/>
                <w:vanish/>
              </w:rPr>
            </w:pPr>
          </w:p>
        </w:tc>
        <w:tc>
          <w:tcPr>
            <w:tcW w:w="0" w:type="auto"/>
            <w:gridSpan w:val="3"/>
            <w:shd w:val="clear" w:color="auto" w:fill="auto"/>
            <w:vAlign w:val="bottom"/>
          </w:tcPr>
          <w:p w14:paraId="71D46C78" w14:textId="77777777" w:rsidR="006A3667" w:rsidRDefault="006A3667">
            <w:pPr>
              <w:rPr>
                <w:rFonts w:ascii="宋体"/>
                <w:vanish/>
              </w:rPr>
            </w:pPr>
          </w:p>
        </w:tc>
        <w:tc>
          <w:tcPr>
            <w:tcW w:w="0" w:type="auto"/>
            <w:gridSpan w:val="3"/>
            <w:shd w:val="clear" w:color="auto" w:fill="auto"/>
            <w:vAlign w:val="bottom"/>
          </w:tcPr>
          <w:p w14:paraId="71D46C79" w14:textId="77777777" w:rsidR="006A3667" w:rsidRDefault="006A3667">
            <w:pPr>
              <w:rPr>
                <w:rFonts w:ascii="宋体"/>
                <w:vanish/>
              </w:rPr>
            </w:pPr>
          </w:p>
        </w:tc>
        <w:tc>
          <w:tcPr>
            <w:tcW w:w="0" w:type="auto"/>
            <w:gridSpan w:val="3"/>
            <w:shd w:val="clear" w:color="auto" w:fill="auto"/>
            <w:vAlign w:val="bottom"/>
          </w:tcPr>
          <w:p w14:paraId="71D46C7A" w14:textId="77777777" w:rsidR="006A3667" w:rsidRDefault="006A3667">
            <w:pPr>
              <w:rPr>
                <w:rFonts w:ascii="宋体"/>
                <w:vanish/>
              </w:rPr>
            </w:pPr>
          </w:p>
        </w:tc>
        <w:tc>
          <w:tcPr>
            <w:tcW w:w="0" w:type="auto"/>
            <w:shd w:val="clear" w:color="auto" w:fill="auto"/>
            <w:vAlign w:val="bottom"/>
          </w:tcPr>
          <w:p w14:paraId="71D46C7B" w14:textId="77777777" w:rsidR="006A3667" w:rsidRDefault="006A3667">
            <w:pPr>
              <w:rPr>
                <w:rFonts w:ascii="宋体"/>
                <w:vanish/>
              </w:rPr>
            </w:pPr>
          </w:p>
        </w:tc>
        <w:tc>
          <w:tcPr>
            <w:tcW w:w="0" w:type="auto"/>
            <w:shd w:val="clear" w:color="auto" w:fill="auto"/>
            <w:vAlign w:val="bottom"/>
          </w:tcPr>
          <w:p w14:paraId="71D46C7C" w14:textId="77777777" w:rsidR="006A3667" w:rsidRDefault="006A3667">
            <w:pPr>
              <w:rPr>
                <w:rFonts w:ascii="宋体"/>
                <w:vanish/>
              </w:rPr>
            </w:pPr>
          </w:p>
        </w:tc>
        <w:tc>
          <w:tcPr>
            <w:tcW w:w="0" w:type="auto"/>
            <w:gridSpan w:val="3"/>
            <w:shd w:val="clear" w:color="auto" w:fill="auto"/>
            <w:vAlign w:val="bottom"/>
          </w:tcPr>
          <w:p w14:paraId="71D46C7D" w14:textId="77777777" w:rsidR="006A3667" w:rsidRDefault="006A3667">
            <w:pPr>
              <w:rPr>
                <w:rFonts w:ascii="宋体"/>
                <w:vanish/>
              </w:rPr>
            </w:pPr>
          </w:p>
        </w:tc>
        <w:tc>
          <w:tcPr>
            <w:tcW w:w="0" w:type="auto"/>
            <w:gridSpan w:val="3"/>
            <w:shd w:val="clear" w:color="auto" w:fill="auto"/>
            <w:vAlign w:val="bottom"/>
          </w:tcPr>
          <w:p w14:paraId="71D46C7E" w14:textId="77777777" w:rsidR="006A3667" w:rsidRDefault="006A3667">
            <w:pPr>
              <w:rPr>
                <w:rFonts w:ascii="宋体"/>
                <w:vanish/>
              </w:rPr>
            </w:pPr>
          </w:p>
        </w:tc>
        <w:tc>
          <w:tcPr>
            <w:tcW w:w="0" w:type="auto"/>
            <w:gridSpan w:val="3"/>
            <w:shd w:val="clear" w:color="auto" w:fill="auto"/>
            <w:vAlign w:val="bottom"/>
          </w:tcPr>
          <w:p w14:paraId="71D46C7F" w14:textId="77777777" w:rsidR="006A3667" w:rsidRDefault="006A3667">
            <w:pPr>
              <w:rPr>
                <w:rFonts w:ascii="宋体"/>
                <w:vanish/>
              </w:rPr>
            </w:pPr>
          </w:p>
        </w:tc>
        <w:tc>
          <w:tcPr>
            <w:tcW w:w="0" w:type="auto"/>
            <w:gridSpan w:val="3"/>
            <w:shd w:val="clear" w:color="auto" w:fill="auto"/>
            <w:vAlign w:val="bottom"/>
          </w:tcPr>
          <w:p w14:paraId="71D46C80" w14:textId="77777777" w:rsidR="006A3667" w:rsidRDefault="006A3667">
            <w:pPr>
              <w:rPr>
                <w:rFonts w:ascii="宋体"/>
                <w:vanish/>
              </w:rPr>
            </w:pPr>
          </w:p>
        </w:tc>
        <w:tc>
          <w:tcPr>
            <w:tcW w:w="0" w:type="auto"/>
            <w:gridSpan w:val="3"/>
            <w:shd w:val="clear" w:color="auto" w:fill="auto"/>
            <w:vAlign w:val="bottom"/>
          </w:tcPr>
          <w:p w14:paraId="71D46C81" w14:textId="77777777" w:rsidR="006A3667" w:rsidRDefault="006A3667">
            <w:pPr>
              <w:rPr>
                <w:rFonts w:ascii="宋体"/>
                <w:vanish/>
              </w:rPr>
            </w:pPr>
          </w:p>
        </w:tc>
      </w:tr>
      <w:tr w:rsidR="006A3667" w14:paraId="71D46C93" w14:textId="77777777">
        <w:trPr>
          <w:hidden/>
        </w:trPr>
        <w:tc>
          <w:tcPr>
            <w:tcW w:w="0" w:type="auto"/>
            <w:gridSpan w:val="3"/>
            <w:shd w:val="clear" w:color="auto" w:fill="auto"/>
            <w:vAlign w:val="bottom"/>
          </w:tcPr>
          <w:p w14:paraId="71D46C83" w14:textId="77777777" w:rsidR="006A3667" w:rsidRDefault="006A3667">
            <w:pPr>
              <w:rPr>
                <w:rFonts w:ascii="宋体"/>
                <w:vanish/>
              </w:rPr>
            </w:pPr>
          </w:p>
        </w:tc>
        <w:tc>
          <w:tcPr>
            <w:tcW w:w="0" w:type="auto"/>
            <w:gridSpan w:val="3"/>
            <w:shd w:val="clear" w:color="auto" w:fill="auto"/>
            <w:vAlign w:val="bottom"/>
          </w:tcPr>
          <w:p w14:paraId="71D46C84" w14:textId="77777777" w:rsidR="006A3667" w:rsidRDefault="006A3667">
            <w:pPr>
              <w:rPr>
                <w:rFonts w:ascii="宋体"/>
                <w:vanish/>
              </w:rPr>
            </w:pPr>
          </w:p>
        </w:tc>
        <w:tc>
          <w:tcPr>
            <w:tcW w:w="0" w:type="auto"/>
            <w:gridSpan w:val="3"/>
            <w:shd w:val="clear" w:color="auto" w:fill="auto"/>
            <w:vAlign w:val="bottom"/>
          </w:tcPr>
          <w:p w14:paraId="71D46C85" w14:textId="77777777" w:rsidR="006A3667" w:rsidRDefault="006A3667">
            <w:pPr>
              <w:rPr>
                <w:rFonts w:ascii="宋体"/>
                <w:vanish/>
              </w:rPr>
            </w:pPr>
          </w:p>
        </w:tc>
        <w:tc>
          <w:tcPr>
            <w:tcW w:w="0" w:type="auto"/>
            <w:gridSpan w:val="3"/>
            <w:shd w:val="clear" w:color="auto" w:fill="auto"/>
            <w:vAlign w:val="bottom"/>
          </w:tcPr>
          <w:p w14:paraId="71D46C86" w14:textId="77777777" w:rsidR="006A3667" w:rsidRDefault="006A3667">
            <w:pPr>
              <w:rPr>
                <w:rFonts w:ascii="宋体"/>
                <w:vanish/>
              </w:rPr>
            </w:pPr>
          </w:p>
        </w:tc>
        <w:tc>
          <w:tcPr>
            <w:tcW w:w="0" w:type="auto"/>
            <w:gridSpan w:val="3"/>
            <w:shd w:val="clear" w:color="auto" w:fill="auto"/>
            <w:vAlign w:val="bottom"/>
          </w:tcPr>
          <w:p w14:paraId="71D46C87" w14:textId="77777777" w:rsidR="006A3667" w:rsidRDefault="006A3667">
            <w:pPr>
              <w:rPr>
                <w:rFonts w:ascii="宋体"/>
                <w:vanish/>
              </w:rPr>
            </w:pPr>
          </w:p>
        </w:tc>
        <w:tc>
          <w:tcPr>
            <w:tcW w:w="0" w:type="auto"/>
            <w:gridSpan w:val="3"/>
            <w:shd w:val="clear" w:color="auto" w:fill="auto"/>
            <w:vAlign w:val="bottom"/>
          </w:tcPr>
          <w:p w14:paraId="71D46C88" w14:textId="77777777" w:rsidR="006A3667" w:rsidRDefault="006A3667">
            <w:pPr>
              <w:rPr>
                <w:rFonts w:ascii="宋体"/>
                <w:vanish/>
              </w:rPr>
            </w:pPr>
          </w:p>
        </w:tc>
        <w:tc>
          <w:tcPr>
            <w:tcW w:w="0" w:type="auto"/>
            <w:gridSpan w:val="3"/>
            <w:shd w:val="clear" w:color="auto" w:fill="auto"/>
            <w:vAlign w:val="bottom"/>
          </w:tcPr>
          <w:p w14:paraId="71D46C89" w14:textId="77777777" w:rsidR="006A3667" w:rsidRDefault="006A3667">
            <w:pPr>
              <w:rPr>
                <w:rFonts w:ascii="宋体"/>
                <w:vanish/>
              </w:rPr>
            </w:pPr>
          </w:p>
        </w:tc>
        <w:tc>
          <w:tcPr>
            <w:tcW w:w="0" w:type="auto"/>
            <w:gridSpan w:val="3"/>
            <w:shd w:val="clear" w:color="auto" w:fill="auto"/>
            <w:vAlign w:val="bottom"/>
          </w:tcPr>
          <w:p w14:paraId="71D46C8A" w14:textId="77777777" w:rsidR="006A3667" w:rsidRDefault="006A3667">
            <w:pPr>
              <w:rPr>
                <w:rFonts w:ascii="宋体"/>
                <w:vanish/>
              </w:rPr>
            </w:pPr>
          </w:p>
        </w:tc>
        <w:tc>
          <w:tcPr>
            <w:tcW w:w="0" w:type="auto"/>
            <w:gridSpan w:val="3"/>
            <w:shd w:val="clear" w:color="auto" w:fill="auto"/>
            <w:vAlign w:val="bottom"/>
          </w:tcPr>
          <w:p w14:paraId="71D46C8B" w14:textId="77777777" w:rsidR="006A3667" w:rsidRDefault="006A3667">
            <w:pPr>
              <w:rPr>
                <w:rFonts w:ascii="宋体"/>
                <w:vanish/>
              </w:rPr>
            </w:pPr>
          </w:p>
        </w:tc>
        <w:tc>
          <w:tcPr>
            <w:tcW w:w="0" w:type="auto"/>
            <w:shd w:val="clear" w:color="auto" w:fill="auto"/>
            <w:vAlign w:val="bottom"/>
          </w:tcPr>
          <w:p w14:paraId="71D46C8C" w14:textId="77777777" w:rsidR="006A3667" w:rsidRDefault="006A3667">
            <w:pPr>
              <w:rPr>
                <w:rFonts w:ascii="宋体"/>
                <w:vanish/>
              </w:rPr>
            </w:pPr>
          </w:p>
        </w:tc>
        <w:tc>
          <w:tcPr>
            <w:tcW w:w="0" w:type="auto"/>
            <w:shd w:val="clear" w:color="auto" w:fill="auto"/>
            <w:vAlign w:val="bottom"/>
          </w:tcPr>
          <w:p w14:paraId="71D46C8D" w14:textId="77777777" w:rsidR="006A3667" w:rsidRDefault="006A3667">
            <w:pPr>
              <w:rPr>
                <w:rFonts w:ascii="宋体"/>
                <w:vanish/>
              </w:rPr>
            </w:pPr>
          </w:p>
        </w:tc>
        <w:tc>
          <w:tcPr>
            <w:tcW w:w="0" w:type="auto"/>
            <w:gridSpan w:val="3"/>
            <w:shd w:val="clear" w:color="auto" w:fill="auto"/>
            <w:vAlign w:val="bottom"/>
          </w:tcPr>
          <w:p w14:paraId="71D46C8E" w14:textId="77777777" w:rsidR="006A3667" w:rsidRDefault="006A3667">
            <w:pPr>
              <w:rPr>
                <w:rFonts w:ascii="宋体"/>
                <w:vanish/>
              </w:rPr>
            </w:pPr>
          </w:p>
        </w:tc>
        <w:tc>
          <w:tcPr>
            <w:tcW w:w="0" w:type="auto"/>
            <w:gridSpan w:val="3"/>
            <w:shd w:val="clear" w:color="auto" w:fill="auto"/>
            <w:vAlign w:val="bottom"/>
          </w:tcPr>
          <w:p w14:paraId="71D46C8F" w14:textId="77777777" w:rsidR="006A3667" w:rsidRDefault="006A3667">
            <w:pPr>
              <w:rPr>
                <w:rFonts w:ascii="宋体"/>
                <w:vanish/>
              </w:rPr>
            </w:pPr>
          </w:p>
        </w:tc>
        <w:tc>
          <w:tcPr>
            <w:tcW w:w="0" w:type="auto"/>
            <w:gridSpan w:val="3"/>
            <w:shd w:val="clear" w:color="auto" w:fill="auto"/>
            <w:vAlign w:val="bottom"/>
          </w:tcPr>
          <w:p w14:paraId="71D46C90" w14:textId="77777777" w:rsidR="006A3667" w:rsidRDefault="006A3667">
            <w:pPr>
              <w:rPr>
                <w:rFonts w:ascii="宋体"/>
                <w:vanish/>
              </w:rPr>
            </w:pPr>
          </w:p>
        </w:tc>
        <w:tc>
          <w:tcPr>
            <w:tcW w:w="0" w:type="auto"/>
            <w:gridSpan w:val="3"/>
            <w:shd w:val="clear" w:color="auto" w:fill="auto"/>
            <w:vAlign w:val="bottom"/>
          </w:tcPr>
          <w:p w14:paraId="71D46C91" w14:textId="77777777" w:rsidR="006A3667" w:rsidRDefault="006A3667">
            <w:pPr>
              <w:rPr>
                <w:rFonts w:ascii="宋体"/>
                <w:vanish/>
              </w:rPr>
            </w:pPr>
          </w:p>
        </w:tc>
        <w:tc>
          <w:tcPr>
            <w:tcW w:w="0" w:type="auto"/>
            <w:gridSpan w:val="3"/>
            <w:shd w:val="clear" w:color="auto" w:fill="auto"/>
            <w:vAlign w:val="bottom"/>
          </w:tcPr>
          <w:p w14:paraId="71D46C92" w14:textId="77777777" w:rsidR="006A3667" w:rsidRDefault="006A3667">
            <w:pPr>
              <w:rPr>
                <w:rFonts w:ascii="宋体"/>
                <w:vanish/>
              </w:rPr>
            </w:pPr>
          </w:p>
        </w:tc>
      </w:tr>
      <w:tr w:rsidR="006A3667" w14:paraId="71D46CB2" w14:textId="77777777">
        <w:tc>
          <w:tcPr>
            <w:tcW w:w="0" w:type="auto"/>
            <w:gridSpan w:val="3"/>
            <w:shd w:val="clear" w:color="auto" w:fill="FFFFFF"/>
            <w:tcMar>
              <w:top w:w="40" w:type="dxa"/>
              <w:left w:w="20" w:type="dxa"/>
              <w:bottom w:w="40" w:type="dxa"/>
              <w:right w:w="20" w:type="dxa"/>
            </w:tcMar>
            <w:vAlign w:val="bottom"/>
          </w:tcPr>
          <w:p w14:paraId="71D46C94" w14:textId="77777777" w:rsidR="006A3667" w:rsidRDefault="00045F32">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C9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C96" w14:textId="77777777" w:rsidR="006A3667" w:rsidRDefault="00045F32">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C9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9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C9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C9A"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C9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9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C9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C9E" w14:textId="77777777" w:rsidR="006A3667" w:rsidRDefault="00045F32">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C9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A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CA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CA2" w14:textId="77777777" w:rsidR="006A3667" w:rsidRDefault="00045F32">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C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A4" w14:textId="77777777" w:rsidR="006A3667" w:rsidRDefault="006A3667">
            <w:pPr>
              <w:rPr>
                <w:rFonts w:ascii="宋体"/>
              </w:rPr>
            </w:pPr>
          </w:p>
        </w:tc>
        <w:tc>
          <w:tcPr>
            <w:tcW w:w="0" w:type="auto"/>
            <w:shd w:val="clear" w:color="auto" w:fill="auto"/>
            <w:vAlign w:val="bottom"/>
          </w:tcPr>
          <w:p w14:paraId="71D46CA5" w14:textId="77777777" w:rsidR="006A3667" w:rsidRDefault="006A3667">
            <w:pPr>
              <w:rPr>
                <w:rFonts w:ascii="宋体"/>
                <w:vanish/>
              </w:rPr>
            </w:pPr>
          </w:p>
        </w:tc>
        <w:tc>
          <w:tcPr>
            <w:tcW w:w="0" w:type="auto"/>
            <w:shd w:val="clear" w:color="auto" w:fill="auto"/>
            <w:vAlign w:val="bottom"/>
          </w:tcPr>
          <w:p w14:paraId="71D46CA6" w14:textId="77777777" w:rsidR="006A3667" w:rsidRDefault="006A3667">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CA7"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CA8" w14:textId="77777777" w:rsidR="006A3667" w:rsidRDefault="00045F32">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CA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AA"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CAB"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CA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CA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CAE"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CA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CB0" w14:textId="77777777" w:rsidR="006A3667" w:rsidRDefault="00045F32">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CB1" w14:textId="77777777" w:rsidR="006A3667" w:rsidRDefault="006A3667">
            <w:pPr>
              <w:jc w:val="right"/>
              <w:rPr>
                <w:rFonts w:ascii="宋体"/>
              </w:rPr>
            </w:pPr>
          </w:p>
        </w:tc>
      </w:tr>
    </w:tbl>
    <w:p w14:paraId="71D46CB3"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648"/>
        <w:gridCol w:w="36"/>
        <w:gridCol w:w="69"/>
        <w:gridCol w:w="5210"/>
        <w:gridCol w:w="36"/>
        <w:gridCol w:w="70"/>
        <w:gridCol w:w="1162"/>
        <w:gridCol w:w="36"/>
      </w:tblGrid>
      <w:tr w:rsidR="006A3667" w14:paraId="71D46CBD" w14:textId="77777777">
        <w:tc>
          <w:tcPr>
            <w:tcW w:w="50" w:type="pct"/>
            <w:shd w:val="clear" w:color="auto" w:fill="auto"/>
            <w:vAlign w:val="bottom"/>
          </w:tcPr>
          <w:p w14:paraId="71D46CB4" w14:textId="77777777" w:rsidR="006A3667" w:rsidRDefault="006A3667">
            <w:pPr>
              <w:rPr>
                <w:rFonts w:ascii="宋体"/>
              </w:rPr>
            </w:pPr>
          </w:p>
        </w:tc>
        <w:tc>
          <w:tcPr>
            <w:tcW w:w="997" w:type="pct"/>
            <w:shd w:val="clear" w:color="auto" w:fill="auto"/>
            <w:vAlign w:val="bottom"/>
          </w:tcPr>
          <w:p w14:paraId="71D46CB5" w14:textId="77777777" w:rsidR="006A3667" w:rsidRDefault="006A3667">
            <w:pPr>
              <w:rPr>
                <w:rFonts w:ascii="宋体"/>
              </w:rPr>
            </w:pPr>
          </w:p>
        </w:tc>
        <w:tc>
          <w:tcPr>
            <w:tcW w:w="5" w:type="pct"/>
            <w:shd w:val="clear" w:color="auto" w:fill="auto"/>
            <w:vAlign w:val="bottom"/>
          </w:tcPr>
          <w:p w14:paraId="71D46CB6" w14:textId="77777777" w:rsidR="006A3667" w:rsidRDefault="006A3667">
            <w:pPr>
              <w:rPr>
                <w:rFonts w:ascii="宋体"/>
              </w:rPr>
            </w:pPr>
          </w:p>
        </w:tc>
        <w:tc>
          <w:tcPr>
            <w:tcW w:w="50" w:type="pct"/>
            <w:shd w:val="clear" w:color="auto" w:fill="auto"/>
            <w:vAlign w:val="bottom"/>
          </w:tcPr>
          <w:p w14:paraId="71D46CB7" w14:textId="77777777" w:rsidR="006A3667" w:rsidRDefault="006A3667">
            <w:pPr>
              <w:rPr>
                <w:rFonts w:ascii="宋体"/>
              </w:rPr>
            </w:pPr>
          </w:p>
        </w:tc>
        <w:tc>
          <w:tcPr>
            <w:tcW w:w="3132" w:type="pct"/>
            <w:shd w:val="clear" w:color="auto" w:fill="auto"/>
            <w:vAlign w:val="bottom"/>
          </w:tcPr>
          <w:p w14:paraId="71D46CB8" w14:textId="77777777" w:rsidR="006A3667" w:rsidRDefault="006A3667">
            <w:pPr>
              <w:rPr>
                <w:rFonts w:ascii="宋体"/>
              </w:rPr>
            </w:pPr>
          </w:p>
        </w:tc>
        <w:tc>
          <w:tcPr>
            <w:tcW w:w="5" w:type="pct"/>
            <w:shd w:val="clear" w:color="auto" w:fill="auto"/>
            <w:vAlign w:val="bottom"/>
          </w:tcPr>
          <w:p w14:paraId="71D46CB9" w14:textId="77777777" w:rsidR="006A3667" w:rsidRDefault="006A3667">
            <w:pPr>
              <w:rPr>
                <w:rFonts w:ascii="宋体"/>
              </w:rPr>
            </w:pPr>
          </w:p>
        </w:tc>
        <w:tc>
          <w:tcPr>
            <w:tcW w:w="50" w:type="pct"/>
            <w:shd w:val="clear" w:color="auto" w:fill="auto"/>
            <w:vAlign w:val="bottom"/>
          </w:tcPr>
          <w:p w14:paraId="71D46CBA" w14:textId="77777777" w:rsidR="006A3667" w:rsidRDefault="006A3667">
            <w:pPr>
              <w:rPr>
                <w:rFonts w:ascii="宋体"/>
              </w:rPr>
            </w:pPr>
          </w:p>
        </w:tc>
        <w:tc>
          <w:tcPr>
            <w:tcW w:w="705" w:type="pct"/>
            <w:shd w:val="clear" w:color="auto" w:fill="auto"/>
            <w:vAlign w:val="bottom"/>
          </w:tcPr>
          <w:p w14:paraId="71D46CBB" w14:textId="77777777" w:rsidR="006A3667" w:rsidRDefault="006A3667">
            <w:pPr>
              <w:rPr>
                <w:rFonts w:ascii="宋体"/>
              </w:rPr>
            </w:pPr>
          </w:p>
        </w:tc>
        <w:tc>
          <w:tcPr>
            <w:tcW w:w="5" w:type="pct"/>
            <w:shd w:val="clear" w:color="auto" w:fill="auto"/>
            <w:vAlign w:val="bottom"/>
          </w:tcPr>
          <w:p w14:paraId="71D46CBC" w14:textId="77777777" w:rsidR="006A3667" w:rsidRDefault="006A3667">
            <w:pPr>
              <w:rPr>
                <w:rFonts w:ascii="宋体"/>
              </w:rPr>
            </w:pPr>
          </w:p>
        </w:tc>
      </w:tr>
      <w:tr w:rsidR="006A3667" w14:paraId="71D46CC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6CB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CB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CC0" w14:textId="77777777" w:rsidR="006A3667" w:rsidRDefault="006A3667">
            <w:pPr>
              <w:rPr>
                <w:rFonts w:ascii="宋体"/>
              </w:rPr>
            </w:pPr>
          </w:p>
        </w:tc>
      </w:tr>
    </w:tbl>
    <w:p w14:paraId="71D46CC2" w14:textId="77777777" w:rsidR="006A3667" w:rsidRDefault="00045F32">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$4 million allowance for credit losses on Fund Finance loans and $1 million on other loans.</w:t>
      </w:r>
    </w:p>
    <w:p w14:paraId="71D46CC3" w14:textId="77777777" w:rsidR="006A3667" w:rsidRDefault="006A3667">
      <w:pPr>
        <w:spacing w:before="90"/>
      </w:pPr>
    </w:p>
    <w:tbl>
      <w:tblPr>
        <w:tblW w:w="5000" w:type="pct"/>
        <w:tblCellMar>
          <w:top w:w="15" w:type="dxa"/>
          <w:left w:w="15" w:type="dxa"/>
          <w:bottom w:w="15" w:type="dxa"/>
          <w:right w:w="15" w:type="dxa"/>
        </w:tblCellMar>
        <w:tblLook w:val="04A0" w:firstRow="1" w:lastRow="0" w:firstColumn="1" w:lastColumn="0" w:noHBand="0" w:noVBand="1"/>
      </w:tblPr>
      <w:tblGrid>
        <w:gridCol w:w="39"/>
        <w:gridCol w:w="1425"/>
        <w:gridCol w:w="38"/>
        <w:gridCol w:w="100"/>
        <w:gridCol w:w="660"/>
        <w:gridCol w:w="38"/>
        <w:gridCol w:w="36"/>
        <w:gridCol w:w="36"/>
        <w:gridCol w:w="36"/>
        <w:gridCol w:w="99"/>
        <w:gridCol w:w="560"/>
        <w:gridCol w:w="37"/>
        <w:gridCol w:w="36"/>
        <w:gridCol w:w="36"/>
        <w:gridCol w:w="36"/>
        <w:gridCol w:w="99"/>
        <w:gridCol w:w="750"/>
        <w:gridCol w:w="36"/>
        <w:gridCol w:w="36"/>
        <w:gridCol w:w="36"/>
        <w:gridCol w:w="36"/>
        <w:gridCol w:w="104"/>
        <w:gridCol w:w="1094"/>
        <w:gridCol w:w="36"/>
        <w:gridCol w:w="36"/>
        <w:gridCol w:w="36"/>
        <w:gridCol w:w="36"/>
        <w:gridCol w:w="36"/>
        <w:gridCol w:w="36"/>
        <w:gridCol w:w="99"/>
        <w:gridCol w:w="893"/>
        <w:gridCol w:w="36"/>
        <w:gridCol w:w="36"/>
        <w:gridCol w:w="36"/>
        <w:gridCol w:w="36"/>
        <w:gridCol w:w="99"/>
        <w:gridCol w:w="593"/>
        <w:gridCol w:w="36"/>
        <w:gridCol w:w="36"/>
        <w:gridCol w:w="36"/>
        <w:gridCol w:w="36"/>
        <w:gridCol w:w="98"/>
        <w:gridCol w:w="611"/>
        <w:gridCol w:w="36"/>
      </w:tblGrid>
      <w:tr w:rsidR="006A3667" w14:paraId="71D46CF0" w14:textId="77777777">
        <w:tc>
          <w:tcPr>
            <w:tcW w:w="50" w:type="pct"/>
            <w:shd w:val="clear" w:color="auto" w:fill="auto"/>
            <w:vAlign w:val="bottom"/>
          </w:tcPr>
          <w:p w14:paraId="71D46CC4" w14:textId="77777777" w:rsidR="006A3667" w:rsidRDefault="006A3667">
            <w:pPr>
              <w:rPr>
                <w:rFonts w:ascii="宋体"/>
              </w:rPr>
            </w:pPr>
          </w:p>
        </w:tc>
        <w:tc>
          <w:tcPr>
            <w:tcW w:w="997" w:type="pct"/>
            <w:shd w:val="clear" w:color="auto" w:fill="auto"/>
            <w:vAlign w:val="bottom"/>
          </w:tcPr>
          <w:p w14:paraId="71D46CC5" w14:textId="77777777" w:rsidR="006A3667" w:rsidRDefault="006A3667">
            <w:pPr>
              <w:rPr>
                <w:rFonts w:ascii="宋体"/>
              </w:rPr>
            </w:pPr>
          </w:p>
        </w:tc>
        <w:tc>
          <w:tcPr>
            <w:tcW w:w="5" w:type="pct"/>
            <w:shd w:val="clear" w:color="auto" w:fill="auto"/>
            <w:vAlign w:val="bottom"/>
          </w:tcPr>
          <w:p w14:paraId="71D46CC6" w14:textId="77777777" w:rsidR="006A3667" w:rsidRDefault="006A3667">
            <w:pPr>
              <w:rPr>
                <w:rFonts w:ascii="宋体"/>
              </w:rPr>
            </w:pPr>
          </w:p>
        </w:tc>
        <w:tc>
          <w:tcPr>
            <w:tcW w:w="50" w:type="pct"/>
            <w:shd w:val="clear" w:color="auto" w:fill="auto"/>
            <w:vAlign w:val="bottom"/>
          </w:tcPr>
          <w:p w14:paraId="71D46CC7" w14:textId="77777777" w:rsidR="006A3667" w:rsidRDefault="006A3667">
            <w:pPr>
              <w:rPr>
                <w:rFonts w:ascii="宋体"/>
              </w:rPr>
            </w:pPr>
          </w:p>
        </w:tc>
        <w:tc>
          <w:tcPr>
            <w:tcW w:w="449" w:type="pct"/>
            <w:shd w:val="clear" w:color="auto" w:fill="auto"/>
            <w:vAlign w:val="bottom"/>
          </w:tcPr>
          <w:p w14:paraId="71D46CC8" w14:textId="77777777" w:rsidR="006A3667" w:rsidRDefault="006A3667">
            <w:pPr>
              <w:rPr>
                <w:rFonts w:ascii="宋体"/>
              </w:rPr>
            </w:pPr>
          </w:p>
        </w:tc>
        <w:tc>
          <w:tcPr>
            <w:tcW w:w="5" w:type="pct"/>
            <w:shd w:val="clear" w:color="auto" w:fill="auto"/>
            <w:vAlign w:val="bottom"/>
          </w:tcPr>
          <w:p w14:paraId="71D46CC9" w14:textId="77777777" w:rsidR="006A3667" w:rsidRDefault="006A3667">
            <w:pPr>
              <w:rPr>
                <w:rFonts w:ascii="宋体"/>
              </w:rPr>
            </w:pPr>
          </w:p>
        </w:tc>
        <w:tc>
          <w:tcPr>
            <w:tcW w:w="5" w:type="pct"/>
            <w:shd w:val="clear" w:color="auto" w:fill="auto"/>
            <w:vAlign w:val="bottom"/>
          </w:tcPr>
          <w:p w14:paraId="71D46CCA" w14:textId="77777777" w:rsidR="006A3667" w:rsidRDefault="006A3667">
            <w:pPr>
              <w:rPr>
                <w:rFonts w:ascii="宋体"/>
              </w:rPr>
            </w:pPr>
          </w:p>
        </w:tc>
        <w:tc>
          <w:tcPr>
            <w:tcW w:w="19" w:type="pct"/>
            <w:shd w:val="clear" w:color="auto" w:fill="auto"/>
            <w:vAlign w:val="bottom"/>
          </w:tcPr>
          <w:p w14:paraId="71D46CCB" w14:textId="77777777" w:rsidR="006A3667" w:rsidRDefault="006A3667">
            <w:pPr>
              <w:rPr>
                <w:rFonts w:ascii="宋体"/>
              </w:rPr>
            </w:pPr>
          </w:p>
        </w:tc>
        <w:tc>
          <w:tcPr>
            <w:tcW w:w="5" w:type="pct"/>
            <w:shd w:val="clear" w:color="auto" w:fill="auto"/>
            <w:vAlign w:val="bottom"/>
          </w:tcPr>
          <w:p w14:paraId="71D46CCC" w14:textId="77777777" w:rsidR="006A3667" w:rsidRDefault="006A3667">
            <w:pPr>
              <w:rPr>
                <w:rFonts w:ascii="宋体"/>
              </w:rPr>
            </w:pPr>
          </w:p>
        </w:tc>
        <w:tc>
          <w:tcPr>
            <w:tcW w:w="50" w:type="pct"/>
            <w:shd w:val="clear" w:color="auto" w:fill="auto"/>
            <w:vAlign w:val="bottom"/>
          </w:tcPr>
          <w:p w14:paraId="71D46CCD" w14:textId="77777777" w:rsidR="006A3667" w:rsidRDefault="006A3667">
            <w:pPr>
              <w:rPr>
                <w:rFonts w:ascii="宋体"/>
              </w:rPr>
            </w:pPr>
          </w:p>
        </w:tc>
        <w:tc>
          <w:tcPr>
            <w:tcW w:w="449" w:type="pct"/>
            <w:shd w:val="clear" w:color="auto" w:fill="auto"/>
            <w:vAlign w:val="bottom"/>
          </w:tcPr>
          <w:p w14:paraId="71D46CCE" w14:textId="77777777" w:rsidR="006A3667" w:rsidRDefault="006A3667">
            <w:pPr>
              <w:rPr>
                <w:rFonts w:ascii="宋体"/>
              </w:rPr>
            </w:pPr>
          </w:p>
        </w:tc>
        <w:tc>
          <w:tcPr>
            <w:tcW w:w="5" w:type="pct"/>
            <w:shd w:val="clear" w:color="auto" w:fill="auto"/>
            <w:vAlign w:val="bottom"/>
          </w:tcPr>
          <w:p w14:paraId="71D46CCF" w14:textId="77777777" w:rsidR="006A3667" w:rsidRDefault="006A3667">
            <w:pPr>
              <w:rPr>
                <w:rFonts w:ascii="宋体"/>
              </w:rPr>
            </w:pPr>
          </w:p>
        </w:tc>
        <w:tc>
          <w:tcPr>
            <w:tcW w:w="5" w:type="pct"/>
            <w:shd w:val="clear" w:color="auto" w:fill="auto"/>
            <w:vAlign w:val="bottom"/>
          </w:tcPr>
          <w:p w14:paraId="71D46CD0" w14:textId="77777777" w:rsidR="006A3667" w:rsidRDefault="006A3667">
            <w:pPr>
              <w:rPr>
                <w:rFonts w:ascii="宋体"/>
              </w:rPr>
            </w:pPr>
          </w:p>
        </w:tc>
        <w:tc>
          <w:tcPr>
            <w:tcW w:w="19" w:type="pct"/>
            <w:shd w:val="clear" w:color="auto" w:fill="auto"/>
            <w:vAlign w:val="bottom"/>
          </w:tcPr>
          <w:p w14:paraId="71D46CD1" w14:textId="77777777" w:rsidR="006A3667" w:rsidRDefault="006A3667">
            <w:pPr>
              <w:rPr>
                <w:rFonts w:ascii="宋体"/>
              </w:rPr>
            </w:pPr>
          </w:p>
        </w:tc>
        <w:tc>
          <w:tcPr>
            <w:tcW w:w="5" w:type="pct"/>
            <w:shd w:val="clear" w:color="auto" w:fill="auto"/>
            <w:vAlign w:val="bottom"/>
          </w:tcPr>
          <w:p w14:paraId="71D46CD2" w14:textId="77777777" w:rsidR="006A3667" w:rsidRDefault="006A3667">
            <w:pPr>
              <w:rPr>
                <w:rFonts w:ascii="宋体"/>
              </w:rPr>
            </w:pPr>
          </w:p>
        </w:tc>
        <w:tc>
          <w:tcPr>
            <w:tcW w:w="50" w:type="pct"/>
            <w:shd w:val="clear" w:color="auto" w:fill="auto"/>
            <w:vAlign w:val="bottom"/>
          </w:tcPr>
          <w:p w14:paraId="71D46CD3" w14:textId="77777777" w:rsidR="006A3667" w:rsidRDefault="006A3667">
            <w:pPr>
              <w:rPr>
                <w:rFonts w:ascii="宋体"/>
              </w:rPr>
            </w:pPr>
          </w:p>
        </w:tc>
        <w:tc>
          <w:tcPr>
            <w:tcW w:w="449" w:type="pct"/>
            <w:shd w:val="clear" w:color="auto" w:fill="auto"/>
            <w:vAlign w:val="bottom"/>
          </w:tcPr>
          <w:p w14:paraId="71D46CD4" w14:textId="77777777" w:rsidR="006A3667" w:rsidRDefault="006A3667">
            <w:pPr>
              <w:rPr>
                <w:rFonts w:ascii="宋体"/>
              </w:rPr>
            </w:pPr>
          </w:p>
        </w:tc>
        <w:tc>
          <w:tcPr>
            <w:tcW w:w="5" w:type="pct"/>
            <w:shd w:val="clear" w:color="auto" w:fill="auto"/>
            <w:vAlign w:val="bottom"/>
          </w:tcPr>
          <w:p w14:paraId="71D46CD5" w14:textId="77777777" w:rsidR="006A3667" w:rsidRDefault="006A3667">
            <w:pPr>
              <w:rPr>
                <w:rFonts w:ascii="宋体"/>
              </w:rPr>
            </w:pPr>
          </w:p>
        </w:tc>
        <w:tc>
          <w:tcPr>
            <w:tcW w:w="5" w:type="pct"/>
            <w:shd w:val="clear" w:color="auto" w:fill="auto"/>
            <w:vAlign w:val="bottom"/>
          </w:tcPr>
          <w:p w14:paraId="71D46CD6" w14:textId="77777777" w:rsidR="006A3667" w:rsidRDefault="006A3667">
            <w:pPr>
              <w:rPr>
                <w:rFonts w:ascii="宋体"/>
              </w:rPr>
            </w:pPr>
          </w:p>
        </w:tc>
        <w:tc>
          <w:tcPr>
            <w:tcW w:w="19" w:type="pct"/>
            <w:shd w:val="clear" w:color="auto" w:fill="auto"/>
            <w:vAlign w:val="bottom"/>
          </w:tcPr>
          <w:p w14:paraId="71D46CD7" w14:textId="77777777" w:rsidR="006A3667" w:rsidRDefault="006A3667">
            <w:pPr>
              <w:rPr>
                <w:rFonts w:ascii="宋体"/>
              </w:rPr>
            </w:pPr>
          </w:p>
        </w:tc>
        <w:tc>
          <w:tcPr>
            <w:tcW w:w="5" w:type="pct"/>
            <w:shd w:val="clear" w:color="auto" w:fill="auto"/>
            <w:vAlign w:val="bottom"/>
          </w:tcPr>
          <w:p w14:paraId="71D46CD8" w14:textId="77777777" w:rsidR="006A3667" w:rsidRDefault="006A3667">
            <w:pPr>
              <w:rPr>
                <w:rFonts w:ascii="宋体"/>
              </w:rPr>
            </w:pPr>
          </w:p>
        </w:tc>
        <w:tc>
          <w:tcPr>
            <w:tcW w:w="50" w:type="pct"/>
            <w:shd w:val="clear" w:color="auto" w:fill="auto"/>
            <w:vAlign w:val="bottom"/>
          </w:tcPr>
          <w:p w14:paraId="71D46CD9" w14:textId="77777777" w:rsidR="006A3667" w:rsidRDefault="006A3667">
            <w:pPr>
              <w:rPr>
                <w:rFonts w:ascii="宋体"/>
              </w:rPr>
            </w:pPr>
          </w:p>
        </w:tc>
        <w:tc>
          <w:tcPr>
            <w:tcW w:w="529" w:type="pct"/>
            <w:shd w:val="clear" w:color="auto" w:fill="auto"/>
            <w:vAlign w:val="bottom"/>
          </w:tcPr>
          <w:p w14:paraId="71D46CDA" w14:textId="77777777" w:rsidR="006A3667" w:rsidRDefault="006A3667">
            <w:pPr>
              <w:rPr>
                <w:rFonts w:ascii="宋体"/>
              </w:rPr>
            </w:pPr>
          </w:p>
        </w:tc>
        <w:tc>
          <w:tcPr>
            <w:tcW w:w="5" w:type="pct"/>
            <w:shd w:val="clear" w:color="auto" w:fill="auto"/>
            <w:vAlign w:val="bottom"/>
          </w:tcPr>
          <w:p w14:paraId="71D46CDB" w14:textId="77777777" w:rsidR="006A3667" w:rsidRDefault="006A3667">
            <w:pPr>
              <w:rPr>
                <w:rFonts w:ascii="宋体"/>
              </w:rPr>
            </w:pPr>
          </w:p>
        </w:tc>
        <w:tc>
          <w:tcPr>
            <w:tcW w:w="5" w:type="pct"/>
            <w:shd w:val="clear" w:color="auto" w:fill="auto"/>
            <w:vAlign w:val="bottom"/>
          </w:tcPr>
          <w:p w14:paraId="71D46CDC" w14:textId="77777777" w:rsidR="006A3667" w:rsidRDefault="006A3667">
            <w:pPr>
              <w:rPr>
                <w:rFonts w:ascii="宋体"/>
              </w:rPr>
            </w:pPr>
          </w:p>
        </w:tc>
        <w:tc>
          <w:tcPr>
            <w:tcW w:w="19" w:type="pct"/>
            <w:shd w:val="clear" w:color="auto" w:fill="auto"/>
            <w:vAlign w:val="bottom"/>
          </w:tcPr>
          <w:p w14:paraId="71D46CDD" w14:textId="77777777" w:rsidR="006A3667" w:rsidRDefault="006A3667">
            <w:pPr>
              <w:rPr>
                <w:rFonts w:ascii="宋体"/>
              </w:rPr>
            </w:pPr>
          </w:p>
        </w:tc>
        <w:tc>
          <w:tcPr>
            <w:tcW w:w="5" w:type="pct"/>
            <w:shd w:val="clear" w:color="auto" w:fill="auto"/>
            <w:vAlign w:val="bottom"/>
          </w:tcPr>
          <w:p w14:paraId="71D46CDE" w14:textId="77777777" w:rsidR="006A3667" w:rsidRDefault="006A3667">
            <w:pPr>
              <w:rPr>
                <w:rFonts w:ascii="宋体"/>
              </w:rPr>
            </w:pPr>
          </w:p>
        </w:tc>
        <w:tc>
          <w:tcPr>
            <w:tcW w:w="0" w:type="auto"/>
            <w:shd w:val="clear" w:color="auto" w:fill="auto"/>
            <w:vAlign w:val="bottom"/>
          </w:tcPr>
          <w:p w14:paraId="71D46CDF" w14:textId="77777777" w:rsidR="006A3667" w:rsidRDefault="006A3667">
            <w:pPr>
              <w:rPr>
                <w:rFonts w:ascii="宋体"/>
                <w:vanish/>
              </w:rPr>
            </w:pPr>
          </w:p>
        </w:tc>
        <w:tc>
          <w:tcPr>
            <w:tcW w:w="0" w:type="auto"/>
            <w:shd w:val="clear" w:color="auto" w:fill="auto"/>
            <w:vAlign w:val="bottom"/>
          </w:tcPr>
          <w:p w14:paraId="71D46CE0" w14:textId="77777777" w:rsidR="006A3667" w:rsidRDefault="006A3667">
            <w:pPr>
              <w:rPr>
                <w:rFonts w:ascii="宋体"/>
                <w:vanish/>
              </w:rPr>
            </w:pPr>
          </w:p>
        </w:tc>
        <w:tc>
          <w:tcPr>
            <w:tcW w:w="50" w:type="pct"/>
            <w:shd w:val="clear" w:color="auto" w:fill="auto"/>
            <w:vAlign w:val="bottom"/>
          </w:tcPr>
          <w:p w14:paraId="71D46CE1" w14:textId="77777777" w:rsidR="006A3667" w:rsidRDefault="006A3667">
            <w:pPr>
              <w:rPr>
                <w:rFonts w:ascii="宋体"/>
              </w:rPr>
            </w:pPr>
          </w:p>
        </w:tc>
        <w:tc>
          <w:tcPr>
            <w:tcW w:w="610" w:type="pct"/>
            <w:shd w:val="clear" w:color="auto" w:fill="auto"/>
            <w:vAlign w:val="bottom"/>
          </w:tcPr>
          <w:p w14:paraId="71D46CE2" w14:textId="77777777" w:rsidR="006A3667" w:rsidRDefault="006A3667">
            <w:pPr>
              <w:rPr>
                <w:rFonts w:ascii="宋体"/>
              </w:rPr>
            </w:pPr>
          </w:p>
        </w:tc>
        <w:tc>
          <w:tcPr>
            <w:tcW w:w="5" w:type="pct"/>
            <w:shd w:val="clear" w:color="auto" w:fill="auto"/>
            <w:vAlign w:val="bottom"/>
          </w:tcPr>
          <w:p w14:paraId="71D46CE3" w14:textId="77777777" w:rsidR="006A3667" w:rsidRDefault="006A3667">
            <w:pPr>
              <w:rPr>
                <w:rFonts w:ascii="宋体"/>
              </w:rPr>
            </w:pPr>
          </w:p>
        </w:tc>
        <w:tc>
          <w:tcPr>
            <w:tcW w:w="5" w:type="pct"/>
            <w:shd w:val="clear" w:color="auto" w:fill="auto"/>
            <w:vAlign w:val="bottom"/>
          </w:tcPr>
          <w:p w14:paraId="71D46CE4" w14:textId="77777777" w:rsidR="006A3667" w:rsidRDefault="006A3667">
            <w:pPr>
              <w:rPr>
                <w:rFonts w:ascii="宋体"/>
              </w:rPr>
            </w:pPr>
          </w:p>
        </w:tc>
        <w:tc>
          <w:tcPr>
            <w:tcW w:w="19" w:type="pct"/>
            <w:shd w:val="clear" w:color="auto" w:fill="auto"/>
            <w:vAlign w:val="bottom"/>
          </w:tcPr>
          <w:p w14:paraId="71D46CE5" w14:textId="77777777" w:rsidR="006A3667" w:rsidRDefault="006A3667">
            <w:pPr>
              <w:rPr>
                <w:rFonts w:ascii="宋体"/>
              </w:rPr>
            </w:pPr>
          </w:p>
        </w:tc>
        <w:tc>
          <w:tcPr>
            <w:tcW w:w="5" w:type="pct"/>
            <w:shd w:val="clear" w:color="auto" w:fill="auto"/>
            <w:vAlign w:val="bottom"/>
          </w:tcPr>
          <w:p w14:paraId="71D46CE6" w14:textId="77777777" w:rsidR="006A3667" w:rsidRDefault="006A3667">
            <w:pPr>
              <w:rPr>
                <w:rFonts w:ascii="宋体"/>
              </w:rPr>
            </w:pPr>
          </w:p>
        </w:tc>
        <w:tc>
          <w:tcPr>
            <w:tcW w:w="50" w:type="pct"/>
            <w:shd w:val="clear" w:color="auto" w:fill="auto"/>
            <w:vAlign w:val="bottom"/>
          </w:tcPr>
          <w:p w14:paraId="71D46CE7" w14:textId="77777777" w:rsidR="006A3667" w:rsidRDefault="006A3667">
            <w:pPr>
              <w:rPr>
                <w:rFonts w:ascii="宋体"/>
              </w:rPr>
            </w:pPr>
          </w:p>
        </w:tc>
        <w:tc>
          <w:tcPr>
            <w:tcW w:w="449" w:type="pct"/>
            <w:shd w:val="clear" w:color="auto" w:fill="auto"/>
            <w:vAlign w:val="bottom"/>
          </w:tcPr>
          <w:p w14:paraId="71D46CE8" w14:textId="77777777" w:rsidR="006A3667" w:rsidRDefault="006A3667">
            <w:pPr>
              <w:rPr>
                <w:rFonts w:ascii="宋体"/>
              </w:rPr>
            </w:pPr>
          </w:p>
        </w:tc>
        <w:tc>
          <w:tcPr>
            <w:tcW w:w="5" w:type="pct"/>
            <w:shd w:val="clear" w:color="auto" w:fill="auto"/>
            <w:vAlign w:val="bottom"/>
          </w:tcPr>
          <w:p w14:paraId="71D46CE9" w14:textId="77777777" w:rsidR="006A3667" w:rsidRDefault="006A3667">
            <w:pPr>
              <w:rPr>
                <w:rFonts w:ascii="宋体"/>
              </w:rPr>
            </w:pPr>
          </w:p>
        </w:tc>
        <w:tc>
          <w:tcPr>
            <w:tcW w:w="5" w:type="pct"/>
            <w:shd w:val="clear" w:color="auto" w:fill="auto"/>
            <w:vAlign w:val="bottom"/>
          </w:tcPr>
          <w:p w14:paraId="71D46CEA" w14:textId="77777777" w:rsidR="006A3667" w:rsidRDefault="006A3667">
            <w:pPr>
              <w:rPr>
                <w:rFonts w:ascii="宋体"/>
              </w:rPr>
            </w:pPr>
          </w:p>
        </w:tc>
        <w:tc>
          <w:tcPr>
            <w:tcW w:w="19" w:type="pct"/>
            <w:shd w:val="clear" w:color="auto" w:fill="auto"/>
            <w:vAlign w:val="bottom"/>
          </w:tcPr>
          <w:p w14:paraId="71D46CEB" w14:textId="77777777" w:rsidR="006A3667" w:rsidRDefault="006A3667">
            <w:pPr>
              <w:rPr>
                <w:rFonts w:ascii="宋体"/>
              </w:rPr>
            </w:pPr>
          </w:p>
        </w:tc>
        <w:tc>
          <w:tcPr>
            <w:tcW w:w="5" w:type="pct"/>
            <w:shd w:val="clear" w:color="auto" w:fill="auto"/>
            <w:vAlign w:val="bottom"/>
          </w:tcPr>
          <w:p w14:paraId="71D46CEC" w14:textId="77777777" w:rsidR="006A3667" w:rsidRDefault="006A3667">
            <w:pPr>
              <w:rPr>
                <w:rFonts w:ascii="宋体"/>
              </w:rPr>
            </w:pPr>
          </w:p>
        </w:tc>
        <w:tc>
          <w:tcPr>
            <w:tcW w:w="50" w:type="pct"/>
            <w:shd w:val="clear" w:color="auto" w:fill="auto"/>
            <w:vAlign w:val="bottom"/>
          </w:tcPr>
          <w:p w14:paraId="71D46CED" w14:textId="77777777" w:rsidR="006A3667" w:rsidRDefault="006A3667">
            <w:pPr>
              <w:rPr>
                <w:rFonts w:ascii="宋体"/>
              </w:rPr>
            </w:pPr>
          </w:p>
        </w:tc>
        <w:tc>
          <w:tcPr>
            <w:tcW w:w="449" w:type="pct"/>
            <w:shd w:val="clear" w:color="auto" w:fill="auto"/>
            <w:vAlign w:val="bottom"/>
          </w:tcPr>
          <w:p w14:paraId="71D46CEE" w14:textId="77777777" w:rsidR="006A3667" w:rsidRDefault="006A3667">
            <w:pPr>
              <w:rPr>
                <w:rFonts w:ascii="宋体"/>
              </w:rPr>
            </w:pPr>
          </w:p>
        </w:tc>
        <w:tc>
          <w:tcPr>
            <w:tcW w:w="5" w:type="pct"/>
            <w:shd w:val="clear" w:color="auto" w:fill="auto"/>
            <w:vAlign w:val="bottom"/>
          </w:tcPr>
          <w:p w14:paraId="71D46CEF" w14:textId="77777777" w:rsidR="006A3667" w:rsidRDefault="006A3667">
            <w:pPr>
              <w:rPr>
                <w:rFonts w:ascii="宋体"/>
              </w:rPr>
            </w:pPr>
          </w:p>
        </w:tc>
      </w:tr>
      <w:tr w:rsidR="006A3667" w14:paraId="71D46CF9" w14:textId="77777777">
        <w:tc>
          <w:tcPr>
            <w:tcW w:w="0" w:type="auto"/>
            <w:gridSpan w:val="3"/>
            <w:shd w:val="clear" w:color="auto" w:fill="auto"/>
            <w:tcMar>
              <w:top w:w="0" w:type="dxa"/>
              <w:left w:w="20" w:type="dxa"/>
              <w:bottom w:w="0" w:type="dxa"/>
              <w:right w:w="20" w:type="dxa"/>
            </w:tcMar>
            <w:vAlign w:val="bottom"/>
          </w:tcPr>
          <w:p w14:paraId="71D46CF1" w14:textId="77777777" w:rsidR="006A3667" w:rsidRDefault="006A3667">
            <w:pPr>
              <w:rPr>
                <w:rFonts w:ascii="宋体"/>
              </w:rPr>
            </w:pPr>
          </w:p>
        </w:tc>
        <w:tc>
          <w:tcPr>
            <w:tcW w:w="0" w:type="auto"/>
            <w:gridSpan w:val="35"/>
            <w:shd w:val="clear" w:color="auto" w:fill="auto"/>
            <w:tcMar>
              <w:top w:w="40" w:type="dxa"/>
              <w:left w:w="20" w:type="dxa"/>
              <w:bottom w:w="40" w:type="dxa"/>
              <w:right w:w="20" w:type="dxa"/>
            </w:tcMar>
            <w:vAlign w:val="bottom"/>
          </w:tcPr>
          <w:p w14:paraId="71D46CF2" w14:textId="77777777" w:rsidR="006A3667" w:rsidRDefault="00045F32">
            <w:pPr>
              <w:jc w:val="center"/>
              <w:textAlignment w:val="bottom"/>
            </w:pPr>
            <w:r>
              <w:rPr>
                <w:rFonts w:ascii="Arial" w:eastAsia="宋体" w:hAnsi="Arial" w:cs="Arial"/>
                <w:b/>
                <w:bCs/>
                <w:color w:val="000000"/>
                <w:sz w:val="14"/>
                <w:szCs w:val="14"/>
              </w:rPr>
              <w:t xml:space="preserve">Nine Months Ended </w:t>
            </w:r>
            <w:r>
              <w:rPr>
                <w:rFonts w:ascii="Arial" w:eastAsia="宋体" w:hAnsi="Arial" w:cs="Arial"/>
                <w:b/>
                <w:bCs/>
                <w:color w:val="000000"/>
                <w:sz w:val="14"/>
                <w:szCs w:val="14"/>
              </w:rPr>
              <w:t>September 30, 2022</w:t>
            </w:r>
          </w:p>
        </w:tc>
        <w:tc>
          <w:tcPr>
            <w:tcW w:w="0" w:type="auto"/>
            <w:shd w:val="clear" w:color="auto" w:fill="auto"/>
            <w:vAlign w:val="bottom"/>
          </w:tcPr>
          <w:p w14:paraId="71D46CF3" w14:textId="77777777" w:rsidR="006A3667" w:rsidRDefault="006A3667">
            <w:pPr>
              <w:rPr>
                <w:rFonts w:ascii="宋体"/>
              </w:rPr>
            </w:pPr>
          </w:p>
        </w:tc>
        <w:tc>
          <w:tcPr>
            <w:tcW w:w="0" w:type="auto"/>
            <w:shd w:val="clear" w:color="auto" w:fill="auto"/>
            <w:vAlign w:val="bottom"/>
          </w:tcPr>
          <w:p w14:paraId="71D46CF4" w14:textId="77777777" w:rsidR="006A3667" w:rsidRDefault="006A3667">
            <w:pPr>
              <w:rPr>
                <w:rFonts w:ascii="宋体"/>
              </w:rPr>
            </w:pPr>
          </w:p>
        </w:tc>
        <w:tc>
          <w:tcPr>
            <w:tcW w:w="0" w:type="auto"/>
            <w:shd w:val="clear" w:color="auto" w:fill="auto"/>
            <w:vAlign w:val="bottom"/>
          </w:tcPr>
          <w:p w14:paraId="71D46CF5" w14:textId="77777777" w:rsidR="006A3667" w:rsidRDefault="006A3667">
            <w:pPr>
              <w:rPr>
                <w:rFonts w:ascii="宋体"/>
              </w:rPr>
            </w:pPr>
          </w:p>
        </w:tc>
        <w:tc>
          <w:tcPr>
            <w:tcW w:w="0" w:type="auto"/>
            <w:shd w:val="clear" w:color="auto" w:fill="auto"/>
            <w:vAlign w:val="bottom"/>
          </w:tcPr>
          <w:p w14:paraId="71D46CF6" w14:textId="77777777" w:rsidR="006A3667" w:rsidRDefault="006A3667">
            <w:pPr>
              <w:rPr>
                <w:rFonts w:ascii="宋体"/>
              </w:rPr>
            </w:pPr>
          </w:p>
        </w:tc>
        <w:tc>
          <w:tcPr>
            <w:tcW w:w="0" w:type="auto"/>
            <w:shd w:val="clear" w:color="auto" w:fill="auto"/>
            <w:vAlign w:val="bottom"/>
          </w:tcPr>
          <w:p w14:paraId="71D46CF7" w14:textId="77777777" w:rsidR="006A3667" w:rsidRDefault="006A3667">
            <w:pPr>
              <w:rPr>
                <w:rFonts w:ascii="宋体"/>
              </w:rPr>
            </w:pPr>
          </w:p>
        </w:tc>
        <w:tc>
          <w:tcPr>
            <w:tcW w:w="0" w:type="auto"/>
            <w:shd w:val="clear" w:color="auto" w:fill="auto"/>
            <w:vAlign w:val="bottom"/>
          </w:tcPr>
          <w:p w14:paraId="71D46CF8" w14:textId="77777777" w:rsidR="006A3667" w:rsidRDefault="006A3667">
            <w:pPr>
              <w:rPr>
                <w:rFonts w:ascii="宋体"/>
              </w:rPr>
            </w:pPr>
          </w:p>
        </w:tc>
      </w:tr>
      <w:tr w:rsidR="006A3667" w14:paraId="71D46D07" w14:textId="77777777">
        <w:tc>
          <w:tcPr>
            <w:tcW w:w="0" w:type="auto"/>
            <w:gridSpan w:val="3"/>
            <w:shd w:val="clear" w:color="auto" w:fill="auto"/>
            <w:tcMar>
              <w:top w:w="0" w:type="dxa"/>
              <w:left w:w="20" w:type="dxa"/>
              <w:bottom w:w="0" w:type="dxa"/>
              <w:right w:w="20" w:type="dxa"/>
            </w:tcMar>
            <w:vAlign w:val="bottom"/>
          </w:tcPr>
          <w:p w14:paraId="71D46CFA"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6CFB" w14:textId="77777777" w:rsidR="006A3667" w:rsidRDefault="00045F32">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F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F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F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CF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00" w14:textId="77777777" w:rsidR="006A3667" w:rsidRDefault="006A3667">
            <w:pPr>
              <w:rPr>
                <w:rFonts w:ascii="宋体"/>
              </w:rPr>
            </w:pPr>
          </w:p>
        </w:tc>
        <w:tc>
          <w:tcPr>
            <w:tcW w:w="0" w:type="auto"/>
            <w:shd w:val="clear" w:color="auto" w:fill="auto"/>
            <w:vAlign w:val="bottom"/>
          </w:tcPr>
          <w:p w14:paraId="71D46D01" w14:textId="77777777" w:rsidR="006A3667" w:rsidRDefault="006A3667">
            <w:pPr>
              <w:rPr>
                <w:rFonts w:ascii="宋体"/>
                <w:vanish/>
              </w:rPr>
            </w:pPr>
          </w:p>
        </w:tc>
        <w:tc>
          <w:tcPr>
            <w:tcW w:w="0" w:type="auto"/>
            <w:shd w:val="clear" w:color="auto" w:fill="auto"/>
            <w:vAlign w:val="bottom"/>
          </w:tcPr>
          <w:p w14:paraId="71D46D02"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0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04" w14:textId="77777777" w:rsidR="006A3667" w:rsidRDefault="006A3667">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71D46D0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06" w14:textId="77777777" w:rsidR="006A3667" w:rsidRDefault="006A3667">
            <w:pPr>
              <w:rPr>
                <w:rFonts w:ascii="宋体"/>
              </w:rPr>
            </w:pPr>
          </w:p>
        </w:tc>
      </w:tr>
      <w:tr w:rsidR="006A3667" w14:paraId="71D46D18" w14:textId="77777777">
        <w:tc>
          <w:tcPr>
            <w:tcW w:w="0" w:type="auto"/>
            <w:gridSpan w:val="3"/>
            <w:shd w:val="clear" w:color="auto" w:fill="auto"/>
            <w:tcMar>
              <w:top w:w="40" w:type="dxa"/>
              <w:left w:w="20" w:type="dxa"/>
              <w:bottom w:w="40" w:type="dxa"/>
              <w:right w:w="20" w:type="dxa"/>
            </w:tcMar>
            <w:vAlign w:val="bottom"/>
          </w:tcPr>
          <w:p w14:paraId="71D46D08"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6D09" w14:textId="77777777" w:rsidR="006A3667" w:rsidRDefault="00045F32">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0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6D0B" w14:textId="77777777" w:rsidR="006A3667" w:rsidRDefault="00045F32">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46D0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D0D" w14:textId="77777777" w:rsidR="006A3667" w:rsidRDefault="00045F32">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71D46D0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D0F" w14:textId="77777777" w:rsidR="006A3667" w:rsidRDefault="00045F32">
            <w:pPr>
              <w:jc w:val="center"/>
              <w:textAlignment w:val="bottom"/>
            </w:pPr>
            <w:r>
              <w:rPr>
                <w:rFonts w:ascii="Arial" w:eastAsia="宋体" w:hAnsi="Arial" w:cs="Arial"/>
                <w:b/>
                <w:bCs/>
                <w:color w:val="000000"/>
                <w:sz w:val="14"/>
                <w:szCs w:val="14"/>
              </w:rPr>
              <w:t>Available-for-sale Securities</w:t>
            </w:r>
          </w:p>
        </w:tc>
        <w:tc>
          <w:tcPr>
            <w:tcW w:w="0" w:type="auto"/>
            <w:gridSpan w:val="3"/>
            <w:shd w:val="clear" w:color="auto" w:fill="auto"/>
            <w:tcMar>
              <w:top w:w="0" w:type="dxa"/>
              <w:left w:w="20" w:type="dxa"/>
              <w:bottom w:w="0" w:type="dxa"/>
              <w:right w:w="20" w:type="dxa"/>
            </w:tcMar>
            <w:vAlign w:val="bottom"/>
          </w:tcPr>
          <w:p w14:paraId="71D46D10" w14:textId="77777777" w:rsidR="006A3667" w:rsidRDefault="006A3667">
            <w:pPr>
              <w:rPr>
                <w:rFonts w:ascii="宋体"/>
              </w:rPr>
            </w:pPr>
          </w:p>
        </w:tc>
        <w:tc>
          <w:tcPr>
            <w:tcW w:w="0" w:type="auto"/>
            <w:shd w:val="clear" w:color="auto" w:fill="auto"/>
            <w:vAlign w:val="bottom"/>
          </w:tcPr>
          <w:p w14:paraId="71D46D11" w14:textId="77777777" w:rsidR="006A3667" w:rsidRDefault="006A3667">
            <w:pPr>
              <w:rPr>
                <w:rFonts w:ascii="宋体"/>
                <w:vanish/>
              </w:rPr>
            </w:pPr>
          </w:p>
        </w:tc>
        <w:tc>
          <w:tcPr>
            <w:tcW w:w="0" w:type="auto"/>
            <w:shd w:val="clear" w:color="auto" w:fill="auto"/>
            <w:vAlign w:val="bottom"/>
          </w:tcPr>
          <w:p w14:paraId="71D46D12" w14:textId="77777777" w:rsidR="006A3667" w:rsidRDefault="006A3667">
            <w:pPr>
              <w:rPr>
                <w:rFonts w:ascii="宋体"/>
                <w:vanish/>
              </w:rPr>
            </w:pPr>
          </w:p>
        </w:tc>
        <w:tc>
          <w:tcPr>
            <w:tcW w:w="0" w:type="auto"/>
            <w:gridSpan w:val="3"/>
            <w:shd w:val="clear" w:color="auto" w:fill="auto"/>
            <w:tcMar>
              <w:top w:w="40" w:type="dxa"/>
              <w:left w:w="20" w:type="dxa"/>
              <w:bottom w:w="40" w:type="dxa"/>
              <w:right w:w="20" w:type="dxa"/>
            </w:tcMar>
            <w:vAlign w:val="bottom"/>
          </w:tcPr>
          <w:p w14:paraId="71D46D13" w14:textId="77777777" w:rsidR="006A3667" w:rsidRDefault="00045F32">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71D46D1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D15" w14:textId="77777777" w:rsidR="006A3667" w:rsidRDefault="00045F32">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71D46D1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D17"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6D29" w14:textId="77777777">
        <w:tc>
          <w:tcPr>
            <w:tcW w:w="0" w:type="auto"/>
            <w:gridSpan w:val="3"/>
            <w:shd w:val="clear" w:color="auto" w:fill="auto"/>
            <w:tcMar>
              <w:top w:w="40" w:type="dxa"/>
              <w:left w:w="20" w:type="dxa"/>
              <w:bottom w:w="40" w:type="dxa"/>
              <w:right w:w="20" w:type="dxa"/>
            </w:tcMar>
            <w:vAlign w:val="bottom"/>
          </w:tcPr>
          <w:p w14:paraId="71D46D19" w14:textId="77777777" w:rsidR="006A3667" w:rsidRDefault="00045F32">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1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D1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1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D1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1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D1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2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D21" w14:textId="77777777" w:rsidR="006A3667" w:rsidRDefault="006A3667">
            <w:pPr>
              <w:rPr>
                <w:rFonts w:ascii="宋体"/>
              </w:rPr>
            </w:pPr>
          </w:p>
        </w:tc>
        <w:tc>
          <w:tcPr>
            <w:tcW w:w="0" w:type="auto"/>
            <w:shd w:val="clear" w:color="auto" w:fill="auto"/>
            <w:vAlign w:val="bottom"/>
          </w:tcPr>
          <w:p w14:paraId="71D46D22" w14:textId="77777777" w:rsidR="006A3667" w:rsidRDefault="006A3667">
            <w:pPr>
              <w:rPr>
                <w:rFonts w:ascii="宋体"/>
                <w:vanish/>
              </w:rPr>
            </w:pPr>
          </w:p>
        </w:tc>
        <w:tc>
          <w:tcPr>
            <w:tcW w:w="0" w:type="auto"/>
            <w:shd w:val="clear" w:color="auto" w:fill="auto"/>
            <w:vAlign w:val="bottom"/>
          </w:tcPr>
          <w:p w14:paraId="71D46D23" w14:textId="77777777" w:rsidR="006A3667" w:rsidRDefault="006A3667">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2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D2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2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D2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D28" w14:textId="77777777" w:rsidR="006A3667" w:rsidRDefault="006A3667">
            <w:pPr>
              <w:rPr>
                <w:rFonts w:ascii="宋体"/>
              </w:rPr>
            </w:pPr>
          </w:p>
        </w:tc>
      </w:tr>
      <w:tr w:rsidR="006A3667" w14:paraId="71D46D48" w14:textId="77777777">
        <w:tc>
          <w:tcPr>
            <w:tcW w:w="0" w:type="auto"/>
            <w:gridSpan w:val="3"/>
            <w:shd w:val="clear" w:color="auto" w:fill="CCEEFF"/>
            <w:tcMar>
              <w:top w:w="40" w:type="dxa"/>
              <w:left w:w="20" w:type="dxa"/>
              <w:bottom w:w="40" w:type="dxa"/>
              <w:right w:w="20" w:type="dxa"/>
            </w:tcMar>
            <w:vAlign w:val="bottom"/>
          </w:tcPr>
          <w:p w14:paraId="71D46D2A" w14:textId="77777777" w:rsidR="006A3667" w:rsidRDefault="00045F32">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1D46D2B"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D2C" w14:textId="77777777" w:rsidR="006A3667" w:rsidRDefault="00045F32">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2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D2F"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D30" w14:textId="77777777" w:rsidR="006A3667" w:rsidRDefault="00045F32">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3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D33"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D34" w14:textId="77777777" w:rsidR="006A3667" w:rsidRDefault="00045F32">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3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D37"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D38"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3A" w14:textId="77777777" w:rsidR="006A3667" w:rsidRDefault="006A3667">
            <w:pPr>
              <w:rPr>
                <w:rFonts w:ascii="宋体"/>
              </w:rPr>
            </w:pPr>
          </w:p>
        </w:tc>
        <w:tc>
          <w:tcPr>
            <w:tcW w:w="0" w:type="auto"/>
            <w:shd w:val="clear" w:color="auto" w:fill="auto"/>
            <w:vAlign w:val="bottom"/>
          </w:tcPr>
          <w:p w14:paraId="71D46D3B" w14:textId="77777777" w:rsidR="006A3667" w:rsidRDefault="006A3667">
            <w:pPr>
              <w:rPr>
                <w:rFonts w:ascii="宋体"/>
                <w:vanish/>
              </w:rPr>
            </w:pPr>
          </w:p>
        </w:tc>
        <w:tc>
          <w:tcPr>
            <w:tcW w:w="0" w:type="auto"/>
            <w:shd w:val="clear" w:color="auto" w:fill="auto"/>
            <w:vAlign w:val="bottom"/>
          </w:tcPr>
          <w:p w14:paraId="71D46D3C" w14:textId="77777777" w:rsidR="006A3667" w:rsidRDefault="006A3667">
            <w:pPr>
              <w:rPr>
                <w:rFonts w:ascii="宋体"/>
                <w:vanish/>
              </w:rPr>
            </w:pPr>
          </w:p>
        </w:tc>
        <w:tc>
          <w:tcPr>
            <w:tcW w:w="0" w:type="auto"/>
            <w:shd w:val="clear" w:color="auto" w:fill="CCEEFF"/>
            <w:tcMar>
              <w:top w:w="40" w:type="dxa"/>
              <w:left w:w="20" w:type="dxa"/>
              <w:bottom w:w="40" w:type="dxa"/>
              <w:right w:w="0" w:type="dxa"/>
            </w:tcMar>
            <w:vAlign w:val="bottom"/>
          </w:tcPr>
          <w:p w14:paraId="71D46D3D"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D3E" w14:textId="77777777" w:rsidR="006A3667" w:rsidRDefault="00045F32">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3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4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D41"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D4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4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D45"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6D46" w14:textId="77777777" w:rsidR="006A3667" w:rsidRDefault="00045F32">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47" w14:textId="77777777" w:rsidR="006A3667" w:rsidRDefault="006A3667">
            <w:pPr>
              <w:jc w:val="right"/>
              <w:rPr>
                <w:rFonts w:ascii="宋体"/>
              </w:rPr>
            </w:pPr>
          </w:p>
        </w:tc>
      </w:tr>
      <w:tr w:rsidR="006A3667" w14:paraId="71D46D60" w14:textId="77777777">
        <w:tc>
          <w:tcPr>
            <w:tcW w:w="0" w:type="auto"/>
            <w:gridSpan w:val="3"/>
            <w:shd w:val="clear" w:color="auto" w:fill="FFFFFF"/>
            <w:tcMar>
              <w:top w:w="40" w:type="dxa"/>
              <w:left w:w="20" w:type="dxa"/>
              <w:bottom w:w="40" w:type="dxa"/>
              <w:right w:w="20" w:type="dxa"/>
            </w:tcMar>
            <w:vAlign w:val="bottom"/>
          </w:tcPr>
          <w:p w14:paraId="71D46D49" w14:textId="77777777" w:rsidR="006A3667" w:rsidRDefault="00045F32">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71D46D4A" w14:textId="77777777" w:rsidR="006A3667" w:rsidRDefault="00045F32">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71D46D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D4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D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D5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D5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5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D5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D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55" w14:textId="77777777" w:rsidR="006A3667" w:rsidRDefault="006A3667">
            <w:pPr>
              <w:rPr>
                <w:rFonts w:ascii="宋体"/>
              </w:rPr>
            </w:pPr>
          </w:p>
        </w:tc>
        <w:tc>
          <w:tcPr>
            <w:tcW w:w="0" w:type="auto"/>
            <w:shd w:val="clear" w:color="auto" w:fill="auto"/>
            <w:vAlign w:val="bottom"/>
          </w:tcPr>
          <w:p w14:paraId="71D46D56" w14:textId="77777777" w:rsidR="006A3667" w:rsidRDefault="006A3667">
            <w:pPr>
              <w:rPr>
                <w:rFonts w:ascii="宋体"/>
                <w:vanish/>
              </w:rPr>
            </w:pPr>
          </w:p>
        </w:tc>
        <w:tc>
          <w:tcPr>
            <w:tcW w:w="0" w:type="auto"/>
            <w:shd w:val="clear" w:color="auto" w:fill="auto"/>
            <w:vAlign w:val="bottom"/>
          </w:tcPr>
          <w:p w14:paraId="71D46D57"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6D5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D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5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D5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D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D5E" w14:textId="77777777" w:rsidR="006A3667" w:rsidRDefault="00045F32">
            <w:pPr>
              <w:jc w:val="right"/>
              <w:textAlignment w:val="bottom"/>
            </w:pPr>
            <w:r>
              <w:rPr>
                <w:rFonts w:ascii="Arial" w:eastAsia="宋体" w:hAnsi="Arial" w:cs="Arial"/>
                <w:b/>
                <w:bCs/>
                <w:color w:val="000000"/>
                <w:sz w:val="14"/>
                <w:szCs w:val="14"/>
              </w:rPr>
              <w:t>(4)</w:t>
            </w:r>
          </w:p>
        </w:tc>
        <w:tc>
          <w:tcPr>
            <w:tcW w:w="0" w:type="auto"/>
            <w:shd w:val="clear" w:color="auto" w:fill="FFFFFF"/>
            <w:tcMar>
              <w:top w:w="40" w:type="dxa"/>
              <w:left w:w="0" w:type="dxa"/>
              <w:bottom w:w="40" w:type="dxa"/>
              <w:right w:w="20" w:type="dxa"/>
            </w:tcMar>
            <w:vAlign w:val="bottom"/>
          </w:tcPr>
          <w:p w14:paraId="71D46D5F" w14:textId="77777777" w:rsidR="006A3667" w:rsidRDefault="006A3667">
            <w:pPr>
              <w:jc w:val="right"/>
              <w:rPr>
                <w:rFonts w:ascii="宋体"/>
              </w:rPr>
            </w:pPr>
          </w:p>
        </w:tc>
      </w:tr>
      <w:tr w:rsidR="006A3667" w14:paraId="71D46D78" w14:textId="77777777">
        <w:tc>
          <w:tcPr>
            <w:tcW w:w="0" w:type="auto"/>
            <w:gridSpan w:val="3"/>
            <w:shd w:val="clear" w:color="auto" w:fill="CCEEFF"/>
            <w:tcMar>
              <w:top w:w="40" w:type="dxa"/>
              <w:left w:w="20" w:type="dxa"/>
              <w:bottom w:w="40" w:type="dxa"/>
              <w:right w:w="20" w:type="dxa"/>
            </w:tcMar>
            <w:vAlign w:val="bottom"/>
          </w:tcPr>
          <w:p w14:paraId="71D46D61" w14:textId="77777777" w:rsidR="006A3667" w:rsidRDefault="00045F32">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71D46D62" w14:textId="77777777" w:rsidR="006A3667" w:rsidRDefault="00045F32">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6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D65" w14:textId="77777777" w:rsidR="006A3667" w:rsidRDefault="00045F32">
            <w:pPr>
              <w:jc w:val="right"/>
              <w:textAlignment w:val="bottom"/>
            </w:pPr>
            <w:r>
              <w:rPr>
                <w:rFonts w:ascii="Arial" w:eastAsia="宋体" w:hAnsi="Arial" w:cs="Arial"/>
                <w:b/>
                <w:bCs/>
                <w:color w:val="000000"/>
                <w:sz w:val="14"/>
                <w:szCs w:val="14"/>
              </w:rPr>
              <w:t>(7)</w:t>
            </w:r>
          </w:p>
        </w:tc>
        <w:tc>
          <w:tcPr>
            <w:tcW w:w="0" w:type="auto"/>
            <w:shd w:val="clear" w:color="auto" w:fill="CCEEFF"/>
            <w:tcMar>
              <w:top w:w="40" w:type="dxa"/>
              <w:left w:w="0" w:type="dxa"/>
              <w:bottom w:w="40" w:type="dxa"/>
              <w:right w:w="20" w:type="dxa"/>
            </w:tcMar>
            <w:vAlign w:val="bottom"/>
          </w:tcPr>
          <w:p w14:paraId="71D46D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6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D68" w14:textId="77777777" w:rsidR="006A3667" w:rsidRDefault="00045F32">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6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6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D6B" w14:textId="77777777" w:rsidR="006A3667" w:rsidRDefault="00045F32">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71D46D6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6D" w14:textId="77777777" w:rsidR="006A3667" w:rsidRDefault="006A3667">
            <w:pPr>
              <w:rPr>
                <w:rFonts w:ascii="宋体"/>
              </w:rPr>
            </w:pPr>
          </w:p>
        </w:tc>
        <w:tc>
          <w:tcPr>
            <w:tcW w:w="0" w:type="auto"/>
            <w:shd w:val="clear" w:color="auto" w:fill="auto"/>
            <w:vAlign w:val="bottom"/>
          </w:tcPr>
          <w:p w14:paraId="71D46D6E" w14:textId="77777777" w:rsidR="006A3667" w:rsidRDefault="006A3667">
            <w:pPr>
              <w:rPr>
                <w:rFonts w:ascii="宋体"/>
                <w:vanish/>
              </w:rPr>
            </w:pPr>
          </w:p>
        </w:tc>
        <w:tc>
          <w:tcPr>
            <w:tcW w:w="0" w:type="auto"/>
            <w:shd w:val="clear" w:color="auto" w:fill="auto"/>
            <w:vAlign w:val="bottom"/>
          </w:tcPr>
          <w:p w14:paraId="71D46D6F"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6D70" w14:textId="77777777" w:rsidR="006A3667" w:rsidRDefault="00045F32">
            <w:pPr>
              <w:jc w:val="right"/>
              <w:textAlignment w:val="bottom"/>
            </w:pPr>
            <w:r>
              <w:rPr>
                <w:rFonts w:ascii="Arial" w:eastAsia="宋体" w:hAnsi="Arial" w:cs="Arial"/>
                <w:b/>
                <w:bCs/>
                <w:color w:val="000000"/>
                <w:sz w:val="14"/>
                <w:szCs w:val="14"/>
              </w:rPr>
              <w:t>(4)</w:t>
            </w:r>
          </w:p>
        </w:tc>
        <w:tc>
          <w:tcPr>
            <w:tcW w:w="0" w:type="auto"/>
            <w:shd w:val="clear" w:color="auto" w:fill="CCEEFF"/>
            <w:tcMar>
              <w:top w:w="40" w:type="dxa"/>
              <w:left w:w="0" w:type="dxa"/>
              <w:bottom w:w="40" w:type="dxa"/>
              <w:right w:w="20" w:type="dxa"/>
            </w:tcMar>
            <w:vAlign w:val="bottom"/>
          </w:tcPr>
          <w:p w14:paraId="71D46D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7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D7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D7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D76" w14:textId="77777777" w:rsidR="006A3667" w:rsidRDefault="00045F32">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D77" w14:textId="77777777" w:rsidR="006A3667" w:rsidRDefault="006A3667">
            <w:pPr>
              <w:jc w:val="right"/>
              <w:rPr>
                <w:rFonts w:ascii="宋体"/>
              </w:rPr>
            </w:pPr>
          </w:p>
        </w:tc>
      </w:tr>
      <w:tr w:rsidR="006A3667" w14:paraId="71D46D89" w14:textId="77777777">
        <w:trPr>
          <w:hidden/>
        </w:trPr>
        <w:tc>
          <w:tcPr>
            <w:tcW w:w="0" w:type="auto"/>
            <w:gridSpan w:val="3"/>
            <w:shd w:val="clear" w:color="auto" w:fill="auto"/>
            <w:vAlign w:val="bottom"/>
          </w:tcPr>
          <w:p w14:paraId="71D46D79" w14:textId="77777777" w:rsidR="006A3667" w:rsidRDefault="006A3667">
            <w:pPr>
              <w:rPr>
                <w:rFonts w:ascii="宋体"/>
                <w:vanish/>
              </w:rPr>
            </w:pPr>
          </w:p>
        </w:tc>
        <w:tc>
          <w:tcPr>
            <w:tcW w:w="0" w:type="auto"/>
            <w:gridSpan w:val="3"/>
            <w:shd w:val="clear" w:color="auto" w:fill="auto"/>
            <w:vAlign w:val="bottom"/>
          </w:tcPr>
          <w:p w14:paraId="71D46D7A" w14:textId="77777777" w:rsidR="006A3667" w:rsidRDefault="006A3667">
            <w:pPr>
              <w:rPr>
                <w:rFonts w:ascii="宋体"/>
                <w:vanish/>
              </w:rPr>
            </w:pPr>
          </w:p>
        </w:tc>
        <w:tc>
          <w:tcPr>
            <w:tcW w:w="0" w:type="auto"/>
            <w:gridSpan w:val="3"/>
            <w:shd w:val="clear" w:color="auto" w:fill="auto"/>
            <w:vAlign w:val="bottom"/>
          </w:tcPr>
          <w:p w14:paraId="71D46D7B" w14:textId="77777777" w:rsidR="006A3667" w:rsidRDefault="006A3667">
            <w:pPr>
              <w:rPr>
                <w:rFonts w:ascii="宋体"/>
                <w:vanish/>
              </w:rPr>
            </w:pPr>
          </w:p>
        </w:tc>
        <w:tc>
          <w:tcPr>
            <w:tcW w:w="0" w:type="auto"/>
            <w:gridSpan w:val="3"/>
            <w:shd w:val="clear" w:color="auto" w:fill="auto"/>
            <w:vAlign w:val="bottom"/>
          </w:tcPr>
          <w:p w14:paraId="71D46D7C" w14:textId="77777777" w:rsidR="006A3667" w:rsidRDefault="006A3667">
            <w:pPr>
              <w:rPr>
                <w:rFonts w:ascii="宋体"/>
                <w:vanish/>
              </w:rPr>
            </w:pPr>
          </w:p>
        </w:tc>
        <w:tc>
          <w:tcPr>
            <w:tcW w:w="0" w:type="auto"/>
            <w:gridSpan w:val="3"/>
            <w:shd w:val="clear" w:color="auto" w:fill="auto"/>
            <w:vAlign w:val="bottom"/>
          </w:tcPr>
          <w:p w14:paraId="71D46D7D" w14:textId="77777777" w:rsidR="006A3667" w:rsidRDefault="006A3667">
            <w:pPr>
              <w:rPr>
                <w:rFonts w:ascii="宋体"/>
                <w:vanish/>
              </w:rPr>
            </w:pPr>
          </w:p>
        </w:tc>
        <w:tc>
          <w:tcPr>
            <w:tcW w:w="0" w:type="auto"/>
            <w:gridSpan w:val="3"/>
            <w:shd w:val="clear" w:color="auto" w:fill="auto"/>
            <w:vAlign w:val="bottom"/>
          </w:tcPr>
          <w:p w14:paraId="71D46D7E" w14:textId="77777777" w:rsidR="006A3667" w:rsidRDefault="006A3667">
            <w:pPr>
              <w:rPr>
                <w:rFonts w:ascii="宋体"/>
                <w:vanish/>
              </w:rPr>
            </w:pPr>
          </w:p>
        </w:tc>
        <w:tc>
          <w:tcPr>
            <w:tcW w:w="0" w:type="auto"/>
            <w:gridSpan w:val="3"/>
            <w:shd w:val="clear" w:color="auto" w:fill="auto"/>
            <w:vAlign w:val="bottom"/>
          </w:tcPr>
          <w:p w14:paraId="71D46D7F" w14:textId="77777777" w:rsidR="006A3667" w:rsidRDefault="006A3667">
            <w:pPr>
              <w:rPr>
                <w:rFonts w:ascii="宋体"/>
                <w:vanish/>
              </w:rPr>
            </w:pPr>
          </w:p>
        </w:tc>
        <w:tc>
          <w:tcPr>
            <w:tcW w:w="0" w:type="auto"/>
            <w:gridSpan w:val="3"/>
            <w:shd w:val="clear" w:color="auto" w:fill="auto"/>
            <w:vAlign w:val="bottom"/>
          </w:tcPr>
          <w:p w14:paraId="71D46D80" w14:textId="77777777" w:rsidR="006A3667" w:rsidRDefault="006A3667">
            <w:pPr>
              <w:rPr>
                <w:rFonts w:ascii="宋体"/>
                <w:vanish/>
              </w:rPr>
            </w:pPr>
          </w:p>
        </w:tc>
        <w:tc>
          <w:tcPr>
            <w:tcW w:w="0" w:type="auto"/>
            <w:gridSpan w:val="3"/>
            <w:shd w:val="clear" w:color="auto" w:fill="auto"/>
            <w:vAlign w:val="bottom"/>
          </w:tcPr>
          <w:p w14:paraId="71D46D81" w14:textId="77777777" w:rsidR="006A3667" w:rsidRDefault="006A3667">
            <w:pPr>
              <w:rPr>
                <w:rFonts w:ascii="宋体"/>
                <w:vanish/>
              </w:rPr>
            </w:pPr>
          </w:p>
        </w:tc>
        <w:tc>
          <w:tcPr>
            <w:tcW w:w="0" w:type="auto"/>
            <w:shd w:val="clear" w:color="auto" w:fill="auto"/>
            <w:vAlign w:val="bottom"/>
          </w:tcPr>
          <w:p w14:paraId="71D46D82" w14:textId="77777777" w:rsidR="006A3667" w:rsidRDefault="006A3667">
            <w:pPr>
              <w:rPr>
                <w:rFonts w:ascii="宋体"/>
                <w:vanish/>
              </w:rPr>
            </w:pPr>
          </w:p>
        </w:tc>
        <w:tc>
          <w:tcPr>
            <w:tcW w:w="0" w:type="auto"/>
            <w:shd w:val="clear" w:color="auto" w:fill="auto"/>
            <w:vAlign w:val="bottom"/>
          </w:tcPr>
          <w:p w14:paraId="71D46D83" w14:textId="77777777" w:rsidR="006A3667" w:rsidRDefault="006A3667">
            <w:pPr>
              <w:rPr>
                <w:rFonts w:ascii="宋体"/>
                <w:vanish/>
              </w:rPr>
            </w:pPr>
          </w:p>
        </w:tc>
        <w:tc>
          <w:tcPr>
            <w:tcW w:w="0" w:type="auto"/>
            <w:gridSpan w:val="3"/>
            <w:shd w:val="clear" w:color="auto" w:fill="auto"/>
            <w:vAlign w:val="bottom"/>
          </w:tcPr>
          <w:p w14:paraId="71D46D84" w14:textId="77777777" w:rsidR="006A3667" w:rsidRDefault="006A3667">
            <w:pPr>
              <w:rPr>
                <w:rFonts w:ascii="宋体"/>
                <w:vanish/>
              </w:rPr>
            </w:pPr>
          </w:p>
        </w:tc>
        <w:tc>
          <w:tcPr>
            <w:tcW w:w="0" w:type="auto"/>
            <w:gridSpan w:val="3"/>
            <w:shd w:val="clear" w:color="auto" w:fill="auto"/>
            <w:vAlign w:val="bottom"/>
          </w:tcPr>
          <w:p w14:paraId="71D46D85" w14:textId="77777777" w:rsidR="006A3667" w:rsidRDefault="006A3667">
            <w:pPr>
              <w:rPr>
                <w:rFonts w:ascii="宋体"/>
                <w:vanish/>
              </w:rPr>
            </w:pPr>
          </w:p>
        </w:tc>
        <w:tc>
          <w:tcPr>
            <w:tcW w:w="0" w:type="auto"/>
            <w:gridSpan w:val="3"/>
            <w:shd w:val="clear" w:color="auto" w:fill="auto"/>
            <w:vAlign w:val="bottom"/>
          </w:tcPr>
          <w:p w14:paraId="71D46D86" w14:textId="77777777" w:rsidR="006A3667" w:rsidRDefault="006A3667">
            <w:pPr>
              <w:rPr>
                <w:rFonts w:ascii="宋体"/>
                <w:vanish/>
              </w:rPr>
            </w:pPr>
          </w:p>
        </w:tc>
        <w:tc>
          <w:tcPr>
            <w:tcW w:w="0" w:type="auto"/>
            <w:gridSpan w:val="3"/>
            <w:shd w:val="clear" w:color="auto" w:fill="auto"/>
            <w:vAlign w:val="bottom"/>
          </w:tcPr>
          <w:p w14:paraId="71D46D87" w14:textId="77777777" w:rsidR="006A3667" w:rsidRDefault="006A3667">
            <w:pPr>
              <w:rPr>
                <w:rFonts w:ascii="宋体"/>
                <w:vanish/>
              </w:rPr>
            </w:pPr>
          </w:p>
        </w:tc>
        <w:tc>
          <w:tcPr>
            <w:tcW w:w="0" w:type="auto"/>
            <w:gridSpan w:val="3"/>
            <w:shd w:val="clear" w:color="auto" w:fill="auto"/>
            <w:vAlign w:val="bottom"/>
          </w:tcPr>
          <w:p w14:paraId="71D46D88" w14:textId="77777777" w:rsidR="006A3667" w:rsidRDefault="006A3667">
            <w:pPr>
              <w:rPr>
                <w:rFonts w:ascii="宋体"/>
                <w:vanish/>
              </w:rPr>
            </w:pPr>
          </w:p>
        </w:tc>
      </w:tr>
      <w:tr w:rsidR="006A3667" w14:paraId="71D46D9A" w14:textId="77777777">
        <w:trPr>
          <w:hidden/>
        </w:trPr>
        <w:tc>
          <w:tcPr>
            <w:tcW w:w="0" w:type="auto"/>
            <w:gridSpan w:val="3"/>
            <w:shd w:val="clear" w:color="auto" w:fill="auto"/>
            <w:vAlign w:val="bottom"/>
          </w:tcPr>
          <w:p w14:paraId="71D46D8A" w14:textId="77777777" w:rsidR="006A3667" w:rsidRDefault="006A3667">
            <w:pPr>
              <w:rPr>
                <w:rFonts w:ascii="宋体"/>
                <w:vanish/>
              </w:rPr>
            </w:pPr>
          </w:p>
        </w:tc>
        <w:tc>
          <w:tcPr>
            <w:tcW w:w="0" w:type="auto"/>
            <w:gridSpan w:val="3"/>
            <w:shd w:val="clear" w:color="auto" w:fill="auto"/>
            <w:vAlign w:val="bottom"/>
          </w:tcPr>
          <w:p w14:paraId="71D46D8B" w14:textId="77777777" w:rsidR="006A3667" w:rsidRDefault="006A3667">
            <w:pPr>
              <w:rPr>
                <w:rFonts w:ascii="宋体"/>
                <w:vanish/>
              </w:rPr>
            </w:pPr>
          </w:p>
        </w:tc>
        <w:tc>
          <w:tcPr>
            <w:tcW w:w="0" w:type="auto"/>
            <w:gridSpan w:val="3"/>
            <w:shd w:val="clear" w:color="auto" w:fill="auto"/>
            <w:vAlign w:val="bottom"/>
          </w:tcPr>
          <w:p w14:paraId="71D46D8C" w14:textId="77777777" w:rsidR="006A3667" w:rsidRDefault="006A3667">
            <w:pPr>
              <w:rPr>
                <w:rFonts w:ascii="宋体"/>
                <w:vanish/>
              </w:rPr>
            </w:pPr>
          </w:p>
        </w:tc>
        <w:tc>
          <w:tcPr>
            <w:tcW w:w="0" w:type="auto"/>
            <w:gridSpan w:val="3"/>
            <w:shd w:val="clear" w:color="auto" w:fill="auto"/>
            <w:vAlign w:val="bottom"/>
          </w:tcPr>
          <w:p w14:paraId="71D46D8D" w14:textId="77777777" w:rsidR="006A3667" w:rsidRDefault="006A3667">
            <w:pPr>
              <w:rPr>
                <w:rFonts w:ascii="宋体"/>
                <w:vanish/>
              </w:rPr>
            </w:pPr>
          </w:p>
        </w:tc>
        <w:tc>
          <w:tcPr>
            <w:tcW w:w="0" w:type="auto"/>
            <w:gridSpan w:val="3"/>
            <w:shd w:val="clear" w:color="auto" w:fill="auto"/>
            <w:vAlign w:val="bottom"/>
          </w:tcPr>
          <w:p w14:paraId="71D46D8E" w14:textId="77777777" w:rsidR="006A3667" w:rsidRDefault="006A3667">
            <w:pPr>
              <w:rPr>
                <w:rFonts w:ascii="宋体"/>
                <w:vanish/>
              </w:rPr>
            </w:pPr>
          </w:p>
        </w:tc>
        <w:tc>
          <w:tcPr>
            <w:tcW w:w="0" w:type="auto"/>
            <w:gridSpan w:val="3"/>
            <w:shd w:val="clear" w:color="auto" w:fill="auto"/>
            <w:vAlign w:val="bottom"/>
          </w:tcPr>
          <w:p w14:paraId="71D46D8F" w14:textId="77777777" w:rsidR="006A3667" w:rsidRDefault="006A3667">
            <w:pPr>
              <w:rPr>
                <w:rFonts w:ascii="宋体"/>
                <w:vanish/>
              </w:rPr>
            </w:pPr>
          </w:p>
        </w:tc>
        <w:tc>
          <w:tcPr>
            <w:tcW w:w="0" w:type="auto"/>
            <w:gridSpan w:val="3"/>
            <w:shd w:val="clear" w:color="auto" w:fill="auto"/>
            <w:vAlign w:val="bottom"/>
          </w:tcPr>
          <w:p w14:paraId="71D46D90" w14:textId="77777777" w:rsidR="006A3667" w:rsidRDefault="006A3667">
            <w:pPr>
              <w:rPr>
                <w:rFonts w:ascii="宋体"/>
                <w:vanish/>
              </w:rPr>
            </w:pPr>
          </w:p>
        </w:tc>
        <w:tc>
          <w:tcPr>
            <w:tcW w:w="0" w:type="auto"/>
            <w:gridSpan w:val="3"/>
            <w:shd w:val="clear" w:color="auto" w:fill="auto"/>
            <w:vAlign w:val="bottom"/>
          </w:tcPr>
          <w:p w14:paraId="71D46D91" w14:textId="77777777" w:rsidR="006A3667" w:rsidRDefault="006A3667">
            <w:pPr>
              <w:rPr>
                <w:rFonts w:ascii="宋体"/>
                <w:vanish/>
              </w:rPr>
            </w:pPr>
          </w:p>
        </w:tc>
        <w:tc>
          <w:tcPr>
            <w:tcW w:w="0" w:type="auto"/>
            <w:gridSpan w:val="3"/>
            <w:shd w:val="clear" w:color="auto" w:fill="auto"/>
            <w:vAlign w:val="bottom"/>
          </w:tcPr>
          <w:p w14:paraId="71D46D92" w14:textId="77777777" w:rsidR="006A3667" w:rsidRDefault="006A3667">
            <w:pPr>
              <w:rPr>
                <w:rFonts w:ascii="宋体"/>
                <w:vanish/>
              </w:rPr>
            </w:pPr>
          </w:p>
        </w:tc>
        <w:tc>
          <w:tcPr>
            <w:tcW w:w="0" w:type="auto"/>
            <w:shd w:val="clear" w:color="auto" w:fill="auto"/>
            <w:vAlign w:val="bottom"/>
          </w:tcPr>
          <w:p w14:paraId="71D46D93" w14:textId="77777777" w:rsidR="006A3667" w:rsidRDefault="006A3667">
            <w:pPr>
              <w:rPr>
                <w:rFonts w:ascii="宋体"/>
                <w:vanish/>
              </w:rPr>
            </w:pPr>
          </w:p>
        </w:tc>
        <w:tc>
          <w:tcPr>
            <w:tcW w:w="0" w:type="auto"/>
            <w:shd w:val="clear" w:color="auto" w:fill="auto"/>
            <w:vAlign w:val="bottom"/>
          </w:tcPr>
          <w:p w14:paraId="71D46D94" w14:textId="77777777" w:rsidR="006A3667" w:rsidRDefault="006A3667">
            <w:pPr>
              <w:rPr>
                <w:rFonts w:ascii="宋体"/>
                <w:vanish/>
              </w:rPr>
            </w:pPr>
          </w:p>
        </w:tc>
        <w:tc>
          <w:tcPr>
            <w:tcW w:w="0" w:type="auto"/>
            <w:gridSpan w:val="3"/>
            <w:shd w:val="clear" w:color="auto" w:fill="auto"/>
            <w:vAlign w:val="bottom"/>
          </w:tcPr>
          <w:p w14:paraId="71D46D95" w14:textId="77777777" w:rsidR="006A3667" w:rsidRDefault="006A3667">
            <w:pPr>
              <w:rPr>
                <w:rFonts w:ascii="宋体"/>
                <w:vanish/>
              </w:rPr>
            </w:pPr>
          </w:p>
        </w:tc>
        <w:tc>
          <w:tcPr>
            <w:tcW w:w="0" w:type="auto"/>
            <w:gridSpan w:val="3"/>
            <w:shd w:val="clear" w:color="auto" w:fill="auto"/>
            <w:vAlign w:val="bottom"/>
          </w:tcPr>
          <w:p w14:paraId="71D46D96" w14:textId="77777777" w:rsidR="006A3667" w:rsidRDefault="006A3667">
            <w:pPr>
              <w:rPr>
                <w:rFonts w:ascii="宋体"/>
                <w:vanish/>
              </w:rPr>
            </w:pPr>
          </w:p>
        </w:tc>
        <w:tc>
          <w:tcPr>
            <w:tcW w:w="0" w:type="auto"/>
            <w:gridSpan w:val="3"/>
            <w:shd w:val="clear" w:color="auto" w:fill="auto"/>
            <w:vAlign w:val="bottom"/>
          </w:tcPr>
          <w:p w14:paraId="71D46D97" w14:textId="77777777" w:rsidR="006A3667" w:rsidRDefault="006A3667">
            <w:pPr>
              <w:rPr>
                <w:rFonts w:ascii="宋体"/>
                <w:vanish/>
              </w:rPr>
            </w:pPr>
          </w:p>
        </w:tc>
        <w:tc>
          <w:tcPr>
            <w:tcW w:w="0" w:type="auto"/>
            <w:gridSpan w:val="3"/>
            <w:shd w:val="clear" w:color="auto" w:fill="auto"/>
            <w:vAlign w:val="bottom"/>
          </w:tcPr>
          <w:p w14:paraId="71D46D98" w14:textId="77777777" w:rsidR="006A3667" w:rsidRDefault="006A3667">
            <w:pPr>
              <w:rPr>
                <w:rFonts w:ascii="宋体"/>
                <w:vanish/>
              </w:rPr>
            </w:pPr>
          </w:p>
        </w:tc>
        <w:tc>
          <w:tcPr>
            <w:tcW w:w="0" w:type="auto"/>
            <w:gridSpan w:val="3"/>
            <w:shd w:val="clear" w:color="auto" w:fill="auto"/>
            <w:vAlign w:val="bottom"/>
          </w:tcPr>
          <w:p w14:paraId="71D46D99" w14:textId="77777777" w:rsidR="006A3667" w:rsidRDefault="006A3667">
            <w:pPr>
              <w:rPr>
                <w:rFonts w:ascii="宋体"/>
                <w:vanish/>
              </w:rPr>
            </w:pPr>
          </w:p>
        </w:tc>
      </w:tr>
      <w:tr w:rsidR="006A3667" w14:paraId="71D46DAB" w14:textId="77777777">
        <w:trPr>
          <w:hidden/>
        </w:trPr>
        <w:tc>
          <w:tcPr>
            <w:tcW w:w="0" w:type="auto"/>
            <w:gridSpan w:val="3"/>
            <w:shd w:val="clear" w:color="auto" w:fill="auto"/>
            <w:vAlign w:val="bottom"/>
          </w:tcPr>
          <w:p w14:paraId="71D46D9B" w14:textId="77777777" w:rsidR="006A3667" w:rsidRDefault="006A3667">
            <w:pPr>
              <w:rPr>
                <w:rFonts w:ascii="宋体"/>
                <w:vanish/>
              </w:rPr>
            </w:pPr>
          </w:p>
        </w:tc>
        <w:tc>
          <w:tcPr>
            <w:tcW w:w="0" w:type="auto"/>
            <w:gridSpan w:val="3"/>
            <w:shd w:val="clear" w:color="auto" w:fill="auto"/>
            <w:vAlign w:val="bottom"/>
          </w:tcPr>
          <w:p w14:paraId="71D46D9C" w14:textId="77777777" w:rsidR="006A3667" w:rsidRDefault="006A3667">
            <w:pPr>
              <w:rPr>
                <w:rFonts w:ascii="宋体"/>
                <w:vanish/>
              </w:rPr>
            </w:pPr>
          </w:p>
        </w:tc>
        <w:tc>
          <w:tcPr>
            <w:tcW w:w="0" w:type="auto"/>
            <w:gridSpan w:val="3"/>
            <w:shd w:val="clear" w:color="auto" w:fill="auto"/>
            <w:vAlign w:val="bottom"/>
          </w:tcPr>
          <w:p w14:paraId="71D46D9D" w14:textId="77777777" w:rsidR="006A3667" w:rsidRDefault="006A3667">
            <w:pPr>
              <w:rPr>
                <w:rFonts w:ascii="宋体"/>
                <w:vanish/>
              </w:rPr>
            </w:pPr>
          </w:p>
        </w:tc>
        <w:tc>
          <w:tcPr>
            <w:tcW w:w="0" w:type="auto"/>
            <w:gridSpan w:val="3"/>
            <w:shd w:val="clear" w:color="auto" w:fill="auto"/>
            <w:vAlign w:val="bottom"/>
          </w:tcPr>
          <w:p w14:paraId="71D46D9E" w14:textId="77777777" w:rsidR="006A3667" w:rsidRDefault="006A3667">
            <w:pPr>
              <w:rPr>
                <w:rFonts w:ascii="宋体"/>
                <w:vanish/>
              </w:rPr>
            </w:pPr>
          </w:p>
        </w:tc>
        <w:tc>
          <w:tcPr>
            <w:tcW w:w="0" w:type="auto"/>
            <w:gridSpan w:val="3"/>
            <w:shd w:val="clear" w:color="auto" w:fill="auto"/>
            <w:vAlign w:val="bottom"/>
          </w:tcPr>
          <w:p w14:paraId="71D46D9F" w14:textId="77777777" w:rsidR="006A3667" w:rsidRDefault="006A3667">
            <w:pPr>
              <w:rPr>
                <w:rFonts w:ascii="宋体"/>
                <w:vanish/>
              </w:rPr>
            </w:pPr>
          </w:p>
        </w:tc>
        <w:tc>
          <w:tcPr>
            <w:tcW w:w="0" w:type="auto"/>
            <w:gridSpan w:val="3"/>
            <w:shd w:val="clear" w:color="auto" w:fill="auto"/>
            <w:vAlign w:val="bottom"/>
          </w:tcPr>
          <w:p w14:paraId="71D46DA0" w14:textId="77777777" w:rsidR="006A3667" w:rsidRDefault="006A3667">
            <w:pPr>
              <w:rPr>
                <w:rFonts w:ascii="宋体"/>
                <w:vanish/>
              </w:rPr>
            </w:pPr>
          </w:p>
        </w:tc>
        <w:tc>
          <w:tcPr>
            <w:tcW w:w="0" w:type="auto"/>
            <w:gridSpan w:val="3"/>
            <w:shd w:val="clear" w:color="auto" w:fill="auto"/>
            <w:vAlign w:val="bottom"/>
          </w:tcPr>
          <w:p w14:paraId="71D46DA1" w14:textId="77777777" w:rsidR="006A3667" w:rsidRDefault="006A3667">
            <w:pPr>
              <w:rPr>
                <w:rFonts w:ascii="宋体"/>
                <w:vanish/>
              </w:rPr>
            </w:pPr>
          </w:p>
        </w:tc>
        <w:tc>
          <w:tcPr>
            <w:tcW w:w="0" w:type="auto"/>
            <w:gridSpan w:val="3"/>
            <w:shd w:val="clear" w:color="auto" w:fill="auto"/>
            <w:vAlign w:val="bottom"/>
          </w:tcPr>
          <w:p w14:paraId="71D46DA2" w14:textId="77777777" w:rsidR="006A3667" w:rsidRDefault="006A3667">
            <w:pPr>
              <w:rPr>
                <w:rFonts w:ascii="宋体"/>
                <w:vanish/>
              </w:rPr>
            </w:pPr>
          </w:p>
        </w:tc>
        <w:tc>
          <w:tcPr>
            <w:tcW w:w="0" w:type="auto"/>
            <w:gridSpan w:val="3"/>
            <w:shd w:val="clear" w:color="auto" w:fill="auto"/>
            <w:vAlign w:val="bottom"/>
          </w:tcPr>
          <w:p w14:paraId="71D46DA3" w14:textId="77777777" w:rsidR="006A3667" w:rsidRDefault="006A3667">
            <w:pPr>
              <w:rPr>
                <w:rFonts w:ascii="宋体"/>
                <w:vanish/>
              </w:rPr>
            </w:pPr>
          </w:p>
        </w:tc>
        <w:tc>
          <w:tcPr>
            <w:tcW w:w="0" w:type="auto"/>
            <w:shd w:val="clear" w:color="auto" w:fill="auto"/>
            <w:vAlign w:val="bottom"/>
          </w:tcPr>
          <w:p w14:paraId="71D46DA4" w14:textId="77777777" w:rsidR="006A3667" w:rsidRDefault="006A3667">
            <w:pPr>
              <w:rPr>
                <w:rFonts w:ascii="宋体"/>
                <w:vanish/>
              </w:rPr>
            </w:pPr>
          </w:p>
        </w:tc>
        <w:tc>
          <w:tcPr>
            <w:tcW w:w="0" w:type="auto"/>
            <w:shd w:val="clear" w:color="auto" w:fill="auto"/>
            <w:vAlign w:val="bottom"/>
          </w:tcPr>
          <w:p w14:paraId="71D46DA5" w14:textId="77777777" w:rsidR="006A3667" w:rsidRDefault="006A3667">
            <w:pPr>
              <w:rPr>
                <w:rFonts w:ascii="宋体"/>
                <w:vanish/>
              </w:rPr>
            </w:pPr>
          </w:p>
        </w:tc>
        <w:tc>
          <w:tcPr>
            <w:tcW w:w="0" w:type="auto"/>
            <w:gridSpan w:val="3"/>
            <w:shd w:val="clear" w:color="auto" w:fill="auto"/>
            <w:vAlign w:val="bottom"/>
          </w:tcPr>
          <w:p w14:paraId="71D46DA6" w14:textId="77777777" w:rsidR="006A3667" w:rsidRDefault="006A3667">
            <w:pPr>
              <w:rPr>
                <w:rFonts w:ascii="宋体"/>
                <w:vanish/>
              </w:rPr>
            </w:pPr>
          </w:p>
        </w:tc>
        <w:tc>
          <w:tcPr>
            <w:tcW w:w="0" w:type="auto"/>
            <w:gridSpan w:val="3"/>
            <w:shd w:val="clear" w:color="auto" w:fill="auto"/>
            <w:vAlign w:val="bottom"/>
          </w:tcPr>
          <w:p w14:paraId="71D46DA7" w14:textId="77777777" w:rsidR="006A3667" w:rsidRDefault="006A3667">
            <w:pPr>
              <w:rPr>
                <w:rFonts w:ascii="宋体"/>
                <w:vanish/>
              </w:rPr>
            </w:pPr>
          </w:p>
        </w:tc>
        <w:tc>
          <w:tcPr>
            <w:tcW w:w="0" w:type="auto"/>
            <w:gridSpan w:val="3"/>
            <w:shd w:val="clear" w:color="auto" w:fill="auto"/>
            <w:vAlign w:val="bottom"/>
          </w:tcPr>
          <w:p w14:paraId="71D46DA8" w14:textId="77777777" w:rsidR="006A3667" w:rsidRDefault="006A3667">
            <w:pPr>
              <w:rPr>
                <w:rFonts w:ascii="宋体"/>
                <w:vanish/>
              </w:rPr>
            </w:pPr>
          </w:p>
        </w:tc>
        <w:tc>
          <w:tcPr>
            <w:tcW w:w="0" w:type="auto"/>
            <w:gridSpan w:val="3"/>
            <w:shd w:val="clear" w:color="auto" w:fill="auto"/>
            <w:vAlign w:val="bottom"/>
          </w:tcPr>
          <w:p w14:paraId="71D46DA9" w14:textId="77777777" w:rsidR="006A3667" w:rsidRDefault="006A3667">
            <w:pPr>
              <w:rPr>
                <w:rFonts w:ascii="宋体"/>
                <w:vanish/>
              </w:rPr>
            </w:pPr>
          </w:p>
        </w:tc>
        <w:tc>
          <w:tcPr>
            <w:tcW w:w="0" w:type="auto"/>
            <w:gridSpan w:val="3"/>
            <w:shd w:val="clear" w:color="auto" w:fill="auto"/>
            <w:vAlign w:val="bottom"/>
          </w:tcPr>
          <w:p w14:paraId="71D46DAA" w14:textId="77777777" w:rsidR="006A3667" w:rsidRDefault="006A3667">
            <w:pPr>
              <w:rPr>
                <w:rFonts w:ascii="宋体"/>
                <w:vanish/>
              </w:rPr>
            </w:pPr>
          </w:p>
        </w:tc>
      </w:tr>
      <w:tr w:rsidR="006A3667" w14:paraId="71D46DCA" w14:textId="77777777">
        <w:tc>
          <w:tcPr>
            <w:tcW w:w="0" w:type="auto"/>
            <w:gridSpan w:val="3"/>
            <w:shd w:val="clear" w:color="auto" w:fill="FFFFFF"/>
            <w:tcMar>
              <w:top w:w="40" w:type="dxa"/>
              <w:left w:w="20" w:type="dxa"/>
              <w:bottom w:w="40" w:type="dxa"/>
              <w:right w:w="20" w:type="dxa"/>
            </w:tcMar>
            <w:vAlign w:val="bottom"/>
          </w:tcPr>
          <w:p w14:paraId="71D46DAC" w14:textId="77777777" w:rsidR="006A3667" w:rsidRDefault="00045F32">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DA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DAE" w14:textId="77777777" w:rsidR="006A3667" w:rsidRDefault="00045F32">
            <w:pPr>
              <w:jc w:val="right"/>
              <w:textAlignment w:val="bottom"/>
            </w:pPr>
            <w:r>
              <w:rPr>
                <w:rFonts w:ascii="Arial" w:eastAsia="宋体" w:hAnsi="Arial" w:cs="Arial"/>
                <w:b/>
                <w:bCs/>
                <w:color w:val="000000"/>
                <w:sz w:val="14"/>
                <w:szCs w:val="14"/>
              </w:rPr>
              <w:t>75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D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B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DB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DB2"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D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B4"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DB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DB6" w14:textId="77777777" w:rsidR="006A3667" w:rsidRDefault="00045F32">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DB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B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DB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DBA" w14:textId="77777777" w:rsidR="006A3667" w:rsidRDefault="00045F32">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D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BC" w14:textId="77777777" w:rsidR="006A3667" w:rsidRDefault="006A3667">
            <w:pPr>
              <w:rPr>
                <w:rFonts w:ascii="宋体"/>
              </w:rPr>
            </w:pPr>
          </w:p>
        </w:tc>
        <w:tc>
          <w:tcPr>
            <w:tcW w:w="0" w:type="auto"/>
            <w:shd w:val="clear" w:color="auto" w:fill="auto"/>
            <w:vAlign w:val="bottom"/>
          </w:tcPr>
          <w:p w14:paraId="71D46DBD" w14:textId="77777777" w:rsidR="006A3667" w:rsidRDefault="006A3667">
            <w:pPr>
              <w:rPr>
                <w:rFonts w:ascii="宋体"/>
                <w:vanish/>
              </w:rPr>
            </w:pPr>
          </w:p>
        </w:tc>
        <w:tc>
          <w:tcPr>
            <w:tcW w:w="0" w:type="auto"/>
            <w:shd w:val="clear" w:color="auto" w:fill="auto"/>
            <w:vAlign w:val="bottom"/>
          </w:tcPr>
          <w:p w14:paraId="71D46DBE" w14:textId="77777777" w:rsidR="006A3667" w:rsidRDefault="006A3667">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DB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DC0" w14:textId="77777777" w:rsidR="006A3667" w:rsidRDefault="00045F32">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D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C2"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DC3"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DC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DC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DC6"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6DC7"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6DC8" w14:textId="77777777" w:rsidR="006A3667" w:rsidRDefault="00045F32">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6DC9" w14:textId="77777777" w:rsidR="006A3667" w:rsidRDefault="006A3667">
            <w:pPr>
              <w:jc w:val="right"/>
              <w:rPr>
                <w:rFonts w:ascii="宋体"/>
              </w:rPr>
            </w:pPr>
          </w:p>
        </w:tc>
      </w:tr>
    </w:tbl>
    <w:p w14:paraId="71D46DCB"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648"/>
        <w:gridCol w:w="36"/>
        <w:gridCol w:w="69"/>
        <w:gridCol w:w="5210"/>
        <w:gridCol w:w="36"/>
        <w:gridCol w:w="70"/>
        <w:gridCol w:w="1162"/>
        <w:gridCol w:w="36"/>
      </w:tblGrid>
      <w:tr w:rsidR="006A3667" w14:paraId="71D46DD5" w14:textId="77777777">
        <w:tc>
          <w:tcPr>
            <w:tcW w:w="50" w:type="pct"/>
            <w:shd w:val="clear" w:color="auto" w:fill="auto"/>
            <w:vAlign w:val="bottom"/>
          </w:tcPr>
          <w:p w14:paraId="71D46DCC" w14:textId="77777777" w:rsidR="006A3667" w:rsidRDefault="006A3667">
            <w:pPr>
              <w:rPr>
                <w:rFonts w:ascii="宋体"/>
              </w:rPr>
            </w:pPr>
          </w:p>
        </w:tc>
        <w:tc>
          <w:tcPr>
            <w:tcW w:w="997" w:type="pct"/>
            <w:shd w:val="clear" w:color="auto" w:fill="auto"/>
            <w:vAlign w:val="bottom"/>
          </w:tcPr>
          <w:p w14:paraId="71D46DCD" w14:textId="77777777" w:rsidR="006A3667" w:rsidRDefault="006A3667">
            <w:pPr>
              <w:rPr>
                <w:rFonts w:ascii="宋体"/>
              </w:rPr>
            </w:pPr>
          </w:p>
        </w:tc>
        <w:tc>
          <w:tcPr>
            <w:tcW w:w="5" w:type="pct"/>
            <w:shd w:val="clear" w:color="auto" w:fill="auto"/>
            <w:vAlign w:val="bottom"/>
          </w:tcPr>
          <w:p w14:paraId="71D46DCE" w14:textId="77777777" w:rsidR="006A3667" w:rsidRDefault="006A3667">
            <w:pPr>
              <w:rPr>
                <w:rFonts w:ascii="宋体"/>
              </w:rPr>
            </w:pPr>
          </w:p>
        </w:tc>
        <w:tc>
          <w:tcPr>
            <w:tcW w:w="50" w:type="pct"/>
            <w:shd w:val="clear" w:color="auto" w:fill="auto"/>
            <w:vAlign w:val="bottom"/>
          </w:tcPr>
          <w:p w14:paraId="71D46DCF" w14:textId="77777777" w:rsidR="006A3667" w:rsidRDefault="006A3667">
            <w:pPr>
              <w:rPr>
                <w:rFonts w:ascii="宋体"/>
              </w:rPr>
            </w:pPr>
          </w:p>
        </w:tc>
        <w:tc>
          <w:tcPr>
            <w:tcW w:w="3132" w:type="pct"/>
            <w:shd w:val="clear" w:color="auto" w:fill="auto"/>
            <w:vAlign w:val="bottom"/>
          </w:tcPr>
          <w:p w14:paraId="71D46DD0" w14:textId="77777777" w:rsidR="006A3667" w:rsidRDefault="006A3667">
            <w:pPr>
              <w:rPr>
                <w:rFonts w:ascii="宋体"/>
              </w:rPr>
            </w:pPr>
          </w:p>
        </w:tc>
        <w:tc>
          <w:tcPr>
            <w:tcW w:w="5" w:type="pct"/>
            <w:shd w:val="clear" w:color="auto" w:fill="auto"/>
            <w:vAlign w:val="bottom"/>
          </w:tcPr>
          <w:p w14:paraId="71D46DD1" w14:textId="77777777" w:rsidR="006A3667" w:rsidRDefault="006A3667">
            <w:pPr>
              <w:rPr>
                <w:rFonts w:ascii="宋体"/>
              </w:rPr>
            </w:pPr>
          </w:p>
        </w:tc>
        <w:tc>
          <w:tcPr>
            <w:tcW w:w="50" w:type="pct"/>
            <w:shd w:val="clear" w:color="auto" w:fill="auto"/>
            <w:vAlign w:val="bottom"/>
          </w:tcPr>
          <w:p w14:paraId="71D46DD2" w14:textId="77777777" w:rsidR="006A3667" w:rsidRDefault="006A3667">
            <w:pPr>
              <w:rPr>
                <w:rFonts w:ascii="宋体"/>
              </w:rPr>
            </w:pPr>
          </w:p>
        </w:tc>
        <w:tc>
          <w:tcPr>
            <w:tcW w:w="705" w:type="pct"/>
            <w:shd w:val="clear" w:color="auto" w:fill="auto"/>
            <w:vAlign w:val="bottom"/>
          </w:tcPr>
          <w:p w14:paraId="71D46DD3" w14:textId="77777777" w:rsidR="006A3667" w:rsidRDefault="006A3667">
            <w:pPr>
              <w:rPr>
                <w:rFonts w:ascii="宋体"/>
              </w:rPr>
            </w:pPr>
          </w:p>
        </w:tc>
        <w:tc>
          <w:tcPr>
            <w:tcW w:w="5" w:type="pct"/>
            <w:shd w:val="clear" w:color="auto" w:fill="auto"/>
            <w:vAlign w:val="bottom"/>
          </w:tcPr>
          <w:p w14:paraId="71D46DD4" w14:textId="77777777" w:rsidR="006A3667" w:rsidRDefault="006A3667">
            <w:pPr>
              <w:rPr>
                <w:rFonts w:ascii="宋体"/>
              </w:rPr>
            </w:pPr>
          </w:p>
        </w:tc>
      </w:tr>
      <w:tr w:rsidR="006A3667" w14:paraId="71D46DD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6DD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DD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DD8" w14:textId="77777777" w:rsidR="006A3667" w:rsidRDefault="006A3667">
            <w:pPr>
              <w:rPr>
                <w:rFonts w:ascii="宋体"/>
              </w:rPr>
            </w:pPr>
          </w:p>
        </w:tc>
      </w:tr>
    </w:tbl>
    <w:p w14:paraId="71D46DDA" w14:textId="77777777" w:rsidR="006A3667" w:rsidRDefault="00045F32">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$4 million allowance for credit losses on Fund Finance loans and $1 million on other loans.</w:t>
      </w:r>
    </w:p>
    <w:tbl>
      <w:tblPr>
        <w:tblW w:w="5000" w:type="pct"/>
        <w:tblCellMar>
          <w:top w:w="15" w:type="dxa"/>
          <w:left w:w="15" w:type="dxa"/>
          <w:bottom w:w="15" w:type="dxa"/>
          <w:right w:w="15" w:type="dxa"/>
        </w:tblCellMar>
        <w:tblLook w:val="04A0" w:firstRow="1" w:lastRow="0" w:firstColumn="1" w:lastColumn="0" w:noHBand="0" w:noVBand="1"/>
      </w:tblPr>
      <w:tblGrid>
        <w:gridCol w:w="58"/>
        <w:gridCol w:w="1602"/>
        <w:gridCol w:w="36"/>
        <w:gridCol w:w="58"/>
        <w:gridCol w:w="650"/>
        <w:gridCol w:w="36"/>
        <w:gridCol w:w="36"/>
        <w:gridCol w:w="36"/>
        <w:gridCol w:w="36"/>
        <w:gridCol w:w="40"/>
        <w:gridCol w:w="677"/>
        <w:gridCol w:w="36"/>
        <w:gridCol w:w="36"/>
        <w:gridCol w:w="36"/>
        <w:gridCol w:w="36"/>
        <w:gridCol w:w="40"/>
        <w:gridCol w:w="677"/>
        <w:gridCol w:w="36"/>
        <w:gridCol w:w="36"/>
        <w:gridCol w:w="36"/>
        <w:gridCol w:w="36"/>
        <w:gridCol w:w="40"/>
        <w:gridCol w:w="1017"/>
        <w:gridCol w:w="36"/>
        <w:gridCol w:w="36"/>
        <w:gridCol w:w="36"/>
        <w:gridCol w:w="36"/>
        <w:gridCol w:w="40"/>
        <w:gridCol w:w="1042"/>
        <w:gridCol w:w="36"/>
        <w:gridCol w:w="36"/>
        <w:gridCol w:w="36"/>
        <w:gridCol w:w="36"/>
        <w:gridCol w:w="40"/>
        <w:gridCol w:w="677"/>
        <w:gridCol w:w="36"/>
        <w:gridCol w:w="36"/>
        <w:gridCol w:w="36"/>
        <w:gridCol w:w="36"/>
        <w:gridCol w:w="40"/>
        <w:gridCol w:w="702"/>
        <w:gridCol w:w="36"/>
      </w:tblGrid>
      <w:tr w:rsidR="006A3667" w14:paraId="71D46E05" w14:textId="77777777">
        <w:tc>
          <w:tcPr>
            <w:tcW w:w="50" w:type="pct"/>
            <w:shd w:val="clear" w:color="auto" w:fill="auto"/>
            <w:vAlign w:val="bottom"/>
          </w:tcPr>
          <w:p w14:paraId="71D46DDB" w14:textId="77777777" w:rsidR="006A3667" w:rsidRDefault="006A3667">
            <w:pPr>
              <w:rPr>
                <w:rFonts w:ascii="宋体"/>
              </w:rPr>
            </w:pPr>
          </w:p>
        </w:tc>
        <w:tc>
          <w:tcPr>
            <w:tcW w:w="975" w:type="pct"/>
            <w:shd w:val="clear" w:color="auto" w:fill="auto"/>
            <w:vAlign w:val="bottom"/>
          </w:tcPr>
          <w:p w14:paraId="71D46DDC" w14:textId="77777777" w:rsidR="006A3667" w:rsidRDefault="006A3667">
            <w:pPr>
              <w:rPr>
                <w:rFonts w:ascii="宋体"/>
              </w:rPr>
            </w:pPr>
          </w:p>
        </w:tc>
        <w:tc>
          <w:tcPr>
            <w:tcW w:w="5" w:type="pct"/>
            <w:shd w:val="clear" w:color="auto" w:fill="auto"/>
            <w:vAlign w:val="bottom"/>
          </w:tcPr>
          <w:p w14:paraId="71D46DDD" w14:textId="77777777" w:rsidR="006A3667" w:rsidRDefault="006A3667">
            <w:pPr>
              <w:rPr>
                <w:rFonts w:ascii="宋体"/>
              </w:rPr>
            </w:pPr>
          </w:p>
        </w:tc>
        <w:tc>
          <w:tcPr>
            <w:tcW w:w="50" w:type="pct"/>
            <w:shd w:val="clear" w:color="auto" w:fill="auto"/>
            <w:vAlign w:val="bottom"/>
          </w:tcPr>
          <w:p w14:paraId="71D46DDE" w14:textId="77777777" w:rsidR="006A3667" w:rsidRDefault="006A3667">
            <w:pPr>
              <w:rPr>
                <w:rFonts w:ascii="宋体"/>
              </w:rPr>
            </w:pPr>
          </w:p>
        </w:tc>
        <w:tc>
          <w:tcPr>
            <w:tcW w:w="405" w:type="pct"/>
            <w:shd w:val="clear" w:color="auto" w:fill="auto"/>
            <w:vAlign w:val="bottom"/>
          </w:tcPr>
          <w:p w14:paraId="71D46DDF" w14:textId="77777777" w:rsidR="006A3667" w:rsidRDefault="006A3667">
            <w:pPr>
              <w:rPr>
                <w:rFonts w:ascii="宋体"/>
              </w:rPr>
            </w:pPr>
          </w:p>
        </w:tc>
        <w:tc>
          <w:tcPr>
            <w:tcW w:w="5" w:type="pct"/>
            <w:shd w:val="clear" w:color="auto" w:fill="auto"/>
            <w:vAlign w:val="bottom"/>
          </w:tcPr>
          <w:p w14:paraId="71D46DE0" w14:textId="77777777" w:rsidR="006A3667" w:rsidRDefault="006A3667">
            <w:pPr>
              <w:rPr>
                <w:rFonts w:ascii="宋体"/>
              </w:rPr>
            </w:pPr>
          </w:p>
        </w:tc>
        <w:tc>
          <w:tcPr>
            <w:tcW w:w="5" w:type="pct"/>
            <w:shd w:val="clear" w:color="auto" w:fill="auto"/>
            <w:vAlign w:val="bottom"/>
          </w:tcPr>
          <w:p w14:paraId="71D46DE1" w14:textId="77777777" w:rsidR="006A3667" w:rsidRDefault="006A3667">
            <w:pPr>
              <w:rPr>
                <w:rFonts w:ascii="宋体"/>
              </w:rPr>
            </w:pPr>
          </w:p>
        </w:tc>
        <w:tc>
          <w:tcPr>
            <w:tcW w:w="26" w:type="pct"/>
            <w:shd w:val="clear" w:color="auto" w:fill="auto"/>
            <w:vAlign w:val="bottom"/>
          </w:tcPr>
          <w:p w14:paraId="71D46DE2" w14:textId="77777777" w:rsidR="006A3667" w:rsidRDefault="006A3667">
            <w:pPr>
              <w:rPr>
                <w:rFonts w:ascii="宋体"/>
              </w:rPr>
            </w:pPr>
          </w:p>
        </w:tc>
        <w:tc>
          <w:tcPr>
            <w:tcW w:w="5" w:type="pct"/>
            <w:shd w:val="clear" w:color="auto" w:fill="auto"/>
            <w:vAlign w:val="bottom"/>
          </w:tcPr>
          <w:p w14:paraId="71D46DE3" w14:textId="77777777" w:rsidR="006A3667" w:rsidRDefault="006A3667">
            <w:pPr>
              <w:rPr>
                <w:rFonts w:ascii="宋体"/>
              </w:rPr>
            </w:pPr>
          </w:p>
        </w:tc>
        <w:tc>
          <w:tcPr>
            <w:tcW w:w="50" w:type="pct"/>
            <w:shd w:val="clear" w:color="auto" w:fill="auto"/>
            <w:vAlign w:val="bottom"/>
          </w:tcPr>
          <w:p w14:paraId="71D46DE4" w14:textId="77777777" w:rsidR="006A3667" w:rsidRDefault="006A3667">
            <w:pPr>
              <w:rPr>
                <w:rFonts w:ascii="宋体"/>
              </w:rPr>
            </w:pPr>
          </w:p>
        </w:tc>
        <w:tc>
          <w:tcPr>
            <w:tcW w:w="420" w:type="pct"/>
            <w:shd w:val="clear" w:color="auto" w:fill="auto"/>
            <w:vAlign w:val="bottom"/>
          </w:tcPr>
          <w:p w14:paraId="71D46DE5" w14:textId="77777777" w:rsidR="006A3667" w:rsidRDefault="006A3667">
            <w:pPr>
              <w:rPr>
                <w:rFonts w:ascii="宋体"/>
              </w:rPr>
            </w:pPr>
          </w:p>
        </w:tc>
        <w:tc>
          <w:tcPr>
            <w:tcW w:w="5" w:type="pct"/>
            <w:shd w:val="clear" w:color="auto" w:fill="auto"/>
            <w:vAlign w:val="bottom"/>
          </w:tcPr>
          <w:p w14:paraId="71D46DE6" w14:textId="77777777" w:rsidR="006A3667" w:rsidRDefault="006A3667">
            <w:pPr>
              <w:rPr>
                <w:rFonts w:ascii="宋体"/>
              </w:rPr>
            </w:pPr>
          </w:p>
        </w:tc>
        <w:tc>
          <w:tcPr>
            <w:tcW w:w="5" w:type="pct"/>
            <w:shd w:val="clear" w:color="auto" w:fill="auto"/>
            <w:vAlign w:val="bottom"/>
          </w:tcPr>
          <w:p w14:paraId="71D46DE7" w14:textId="77777777" w:rsidR="006A3667" w:rsidRDefault="006A3667">
            <w:pPr>
              <w:rPr>
                <w:rFonts w:ascii="宋体"/>
              </w:rPr>
            </w:pPr>
          </w:p>
        </w:tc>
        <w:tc>
          <w:tcPr>
            <w:tcW w:w="26" w:type="pct"/>
            <w:shd w:val="clear" w:color="auto" w:fill="auto"/>
            <w:vAlign w:val="bottom"/>
          </w:tcPr>
          <w:p w14:paraId="71D46DE8" w14:textId="77777777" w:rsidR="006A3667" w:rsidRDefault="006A3667">
            <w:pPr>
              <w:rPr>
                <w:rFonts w:ascii="宋体"/>
              </w:rPr>
            </w:pPr>
          </w:p>
        </w:tc>
        <w:tc>
          <w:tcPr>
            <w:tcW w:w="5" w:type="pct"/>
            <w:shd w:val="clear" w:color="auto" w:fill="auto"/>
            <w:vAlign w:val="bottom"/>
          </w:tcPr>
          <w:p w14:paraId="71D46DE9" w14:textId="77777777" w:rsidR="006A3667" w:rsidRDefault="006A3667">
            <w:pPr>
              <w:rPr>
                <w:rFonts w:ascii="宋体"/>
              </w:rPr>
            </w:pPr>
          </w:p>
        </w:tc>
        <w:tc>
          <w:tcPr>
            <w:tcW w:w="50" w:type="pct"/>
            <w:shd w:val="clear" w:color="auto" w:fill="auto"/>
            <w:vAlign w:val="bottom"/>
          </w:tcPr>
          <w:p w14:paraId="71D46DEA" w14:textId="77777777" w:rsidR="006A3667" w:rsidRDefault="006A3667">
            <w:pPr>
              <w:rPr>
                <w:rFonts w:ascii="宋体"/>
              </w:rPr>
            </w:pPr>
          </w:p>
        </w:tc>
        <w:tc>
          <w:tcPr>
            <w:tcW w:w="420" w:type="pct"/>
            <w:shd w:val="clear" w:color="auto" w:fill="auto"/>
            <w:vAlign w:val="bottom"/>
          </w:tcPr>
          <w:p w14:paraId="71D46DEB" w14:textId="77777777" w:rsidR="006A3667" w:rsidRDefault="006A3667">
            <w:pPr>
              <w:rPr>
                <w:rFonts w:ascii="宋体"/>
              </w:rPr>
            </w:pPr>
          </w:p>
        </w:tc>
        <w:tc>
          <w:tcPr>
            <w:tcW w:w="5" w:type="pct"/>
            <w:shd w:val="clear" w:color="auto" w:fill="auto"/>
            <w:vAlign w:val="bottom"/>
          </w:tcPr>
          <w:p w14:paraId="71D46DEC" w14:textId="77777777" w:rsidR="006A3667" w:rsidRDefault="006A3667">
            <w:pPr>
              <w:rPr>
                <w:rFonts w:ascii="宋体"/>
              </w:rPr>
            </w:pPr>
          </w:p>
        </w:tc>
        <w:tc>
          <w:tcPr>
            <w:tcW w:w="5" w:type="pct"/>
            <w:shd w:val="clear" w:color="auto" w:fill="auto"/>
            <w:vAlign w:val="bottom"/>
          </w:tcPr>
          <w:p w14:paraId="71D46DED" w14:textId="77777777" w:rsidR="006A3667" w:rsidRDefault="006A3667">
            <w:pPr>
              <w:rPr>
                <w:rFonts w:ascii="宋体"/>
              </w:rPr>
            </w:pPr>
          </w:p>
        </w:tc>
        <w:tc>
          <w:tcPr>
            <w:tcW w:w="26" w:type="pct"/>
            <w:shd w:val="clear" w:color="auto" w:fill="auto"/>
            <w:vAlign w:val="bottom"/>
          </w:tcPr>
          <w:p w14:paraId="71D46DEE" w14:textId="77777777" w:rsidR="006A3667" w:rsidRDefault="006A3667">
            <w:pPr>
              <w:rPr>
                <w:rFonts w:ascii="宋体"/>
              </w:rPr>
            </w:pPr>
          </w:p>
        </w:tc>
        <w:tc>
          <w:tcPr>
            <w:tcW w:w="5" w:type="pct"/>
            <w:shd w:val="clear" w:color="auto" w:fill="auto"/>
            <w:vAlign w:val="bottom"/>
          </w:tcPr>
          <w:p w14:paraId="71D46DEF" w14:textId="77777777" w:rsidR="006A3667" w:rsidRDefault="006A3667">
            <w:pPr>
              <w:rPr>
                <w:rFonts w:ascii="宋体"/>
              </w:rPr>
            </w:pPr>
          </w:p>
        </w:tc>
        <w:tc>
          <w:tcPr>
            <w:tcW w:w="50" w:type="pct"/>
            <w:shd w:val="clear" w:color="auto" w:fill="auto"/>
            <w:vAlign w:val="bottom"/>
          </w:tcPr>
          <w:p w14:paraId="71D46DF0" w14:textId="77777777" w:rsidR="006A3667" w:rsidRDefault="006A3667">
            <w:pPr>
              <w:rPr>
                <w:rFonts w:ascii="宋体"/>
              </w:rPr>
            </w:pPr>
          </w:p>
        </w:tc>
        <w:tc>
          <w:tcPr>
            <w:tcW w:w="624" w:type="pct"/>
            <w:shd w:val="clear" w:color="auto" w:fill="auto"/>
            <w:vAlign w:val="bottom"/>
          </w:tcPr>
          <w:p w14:paraId="71D46DF1" w14:textId="77777777" w:rsidR="006A3667" w:rsidRDefault="006A3667">
            <w:pPr>
              <w:rPr>
                <w:rFonts w:ascii="宋体"/>
              </w:rPr>
            </w:pPr>
          </w:p>
        </w:tc>
        <w:tc>
          <w:tcPr>
            <w:tcW w:w="5" w:type="pct"/>
            <w:shd w:val="clear" w:color="auto" w:fill="auto"/>
            <w:vAlign w:val="bottom"/>
          </w:tcPr>
          <w:p w14:paraId="71D46DF2" w14:textId="77777777" w:rsidR="006A3667" w:rsidRDefault="006A3667">
            <w:pPr>
              <w:rPr>
                <w:rFonts w:ascii="宋体"/>
              </w:rPr>
            </w:pPr>
          </w:p>
        </w:tc>
        <w:tc>
          <w:tcPr>
            <w:tcW w:w="5" w:type="pct"/>
            <w:shd w:val="clear" w:color="auto" w:fill="auto"/>
            <w:vAlign w:val="bottom"/>
          </w:tcPr>
          <w:p w14:paraId="71D46DF3" w14:textId="77777777" w:rsidR="006A3667" w:rsidRDefault="006A3667">
            <w:pPr>
              <w:rPr>
                <w:rFonts w:ascii="宋体"/>
              </w:rPr>
            </w:pPr>
          </w:p>
        </w:tc>
        <w:tc>
          <w:tcPr>
            <w:tcW w:w="26" w:type="pct"/>
            <w:shd w:val="clear" w:color="auto" w:fill="auto"/>
            <w:vAlign w:val="bottom"/>
          </w:tcPr>
          <w:p w14:paraId="71D46DF4" w14:textId="77777777" w:rsidR="006A3667" w:rsidRDefault="006A3667">
            <w:pPr>
              <w:rPr>
                <w:rFonts w:ascii="宋体"/>
              </w:rPr>
            </w:pPr>
          </w:p>
        </w:tc>
        <w:tc>
          <w:tcPr>
            <w:tcW w:w="5" w:type="pct"/>
            <w:shd w:val="clear" w:color="auto" w:fill="auto"/>
            <w:vAlign w:val="bottom"/>
          </w:tcPr>
          <w:p w14:paraId="71D46DF5" w14:textId="77777777" w:rsidR="006A3667" w:rsidRDefault="006A3667">
            <w:pPr>
              <w:rPr>
                <w:rFonts w:ascii="宋体"/>
              </w:rPr>
            </w:pPr>
          </w:p>
        </w:tc>
        <w:tc>
          <w:tcPr>
            <w:tcW w:w="50" w:type="pct"/>
            <w:shd w:val="clear" w:color="auto" w:fill="auto"/>
            <w:vAlign w:val="bottom"/>
          </w:tcPr>
          <w:p w14:paraId="71D46DF6" w14:textId="77777777" w:rsidR="006A3667" w:rsidRDefault="006A3667">
            <w:pPr>
              <w:rPr>
                <w:rFonts w:ascii="宋体"/>
              </w:rPr>
            </w:pPr>
          </w:p>
        </w:tc>
        <w:tc>
          <w:tcPr>
            <w:tcW w:w="639" w:type="pct"/>
            <w:shd w:val="clear" w:color="auto" w:fill="auto"/>
            <w:vAlign w:val="bottom"/>
          </w:tcPr>
          <w:p w14:paraId="71D46DF7" w14:textId="77777777" w:rsidR="006A3667" w:rsidRDefault="006A3667">
            <w:pPr>
              <w:rPr>
                <w:rFonts w:ascii="宋体"/>
              </w:rPr>
            </w:pPr>
          </w:p>
        </w:tc>
        <w:tc>
          <w:tcPr>
            <w:tcW w:w="5" w:type="pct"/>
            <w:shd w:val="clear" w:color="auto" w:fill="auto"/>
            <w:vAlign w:val="bottom"/>
          </w:tcPr>
          <w:p w14:paraId="71D46DF8" w14:textId="77777777" w:rsidR="006A3667" w:rsidRDefault="006A3667">
            <w:pPr>
              <w:rPr>
                <w:rFonts w:ascii="宋体"/>
              </w:rPr>
            </w:pPr>
          </w:p>
        </w:tc>
        <w:tc>
          <w:tcPr>
            <w:tcW w:w="5" w:type="pct"/>
            <w:shd w:val="clear" w:color="auto" w:fill="auto"/>
            <w:vAlign w:val="bottom"/>
          </w:tcPr>
          <w:p w14:paraId="71D46DF9" w14:textId="77777777" w:rsidR="006A3667" w:rsidRDefault="006A3667">
            <w:pPr>
              <w:rPr>
                <w:rFonts w:ascii="宋体"/>
              </w:rPr>
            </w:pPr>
          </w:p>
        </w:tc>
        <w:tc>
          <w:tcPr>
            <w:tcW w:w="26" w:type="pct"/>
            <w:shd w:val="clear" w:color="auto" w:fill="auto"/>
            <w:vAlign w:val="bottom"/>
          </w:tcPr>
          <w:p w14:paraId="71D46DFA" w14:textId="77777777" w:rsidR="006A3667" w:rsidRDefault="006A3667">
            <w:pPr>
              <w:rPr>
                <w:rFonts w:ascii="宋体"/>
              </w:rPr>
            </w:pPr>
          </w:p>
        </w:tc>
        <w:tc>
          <w:tcPr>
            <w:tcW w:w="5" w:type="pct"/>
            <w:shd w:val="clear" w:color="auto" w:fill="auto"/>
            <w:vAlign w:val="bottom"/>
          </w:tcPr>
          <w:p w14:paraId="71D46DFB" w14:textId="77777777" w:rsidR="006A3667" w:rsidRDefault="006A3667">
            <w:pPr>
              <w:rPr>
                <w:rFonts w:ascii="宋体"/>
              </w:rPr>
            </w:pPr>
          </w:p>
        </w:tc>
        <w:tc>
          <w:tcPr>
            <w:tcW w:w="50" w:type="pct"/>
            <w:shd w:val="clear" w:color="auto" w:fill="auto"/>
            <w:vAlign w:val="bottom"/>
          </w:tcPr>
          <w:p w14:paraId="71D46DFC" w14:textId="77777777" w:rsidR="006A3667" w:rsidRDefault="006A3667">
            <w:pPr>
              <w:rPr>
                <w:rFonts w:ascii="宋体"/>
              </w:rPr>
            </w:pPr>
          </w:p>
        </w:tc>
        <w:tc>
          <w:tcPr>
            <w:tcW w:w="420" w:type="pct"/>
            <w:shd w:val="clear" w:color="auto" w:fill="auto"/>
            <w:vAlign w:val="bottom"/>
          </w:tcPr>
          <w:p w14:paraId="71D46DFD" w14:textId="77777777" w:rsidR="006A3667" w:rsidRDefault="006A3667">
            <w:pPr>
              <w:rPr>
                <w:rFonts w:ascii="宋体"/>
              </w:rPr>
            </w:pPr>
          </w:p>
        </w:tc>
        <w:tc>
          <w:tcPr>
            <w:tcW w:w="5" w:type="pct"/>
            <w:shd w:val="clear" w:color="auto" w:fill="auto"/>
            <w:vAlign w:val="bottom"/>
          </w:tcPr>
          <w:p w14:paraId="71D46DFE" w14:textId="77777777" w:rsidR="006A3667" w:rsidRDefault="006A3667">
            <w:pPr>
              <w:rPr>
                <w:rFonts w:ascii="宋体"/>
              </w:rPr>
            </w:pPr>
          </w:p>
        </w:tc>
        <w:tc>
          <w:tcPr>
            <w:tcW w:w="5" w:type="pct"/>
            <w:shd w:val="clear" w:color="auto" w:fill="auto"/>
            <w:vAlign w:val="bottom"/>
          </w:tcPr>
          <w:p w14:paraId="71D46DFF" w14:textId="77777777" w:rsidR="006A3667" w:rsidRDefault="006A3667">
            <w:pPr>
              <w:rPr>
                <w:rFonts w:ascii="宋体"/>
              </w:rPr>
            </w:pPr>
          </w:p>
        </w:tc>
        <w:tc>
          <w:tcPr>
            <w:tcW w:w="26" w:type="pct"/>
            <w:shd w:val="clear" w:color="auto" w:fill="auto"/>
            <w:vAlign w:val="bottom"/>
          </w:tcPr>
          <w:p w14:paraId="71D46E00" w14:textId="77777777" w:rsidR="006A3667" w:rsidRDefault="006A3667">
            <w:pPr>
              <w:rPr>
                <w:rFonts w:ascii="宋体"/>
              </w:rPr>
            </w:pPr>
          </w:p>
        </w:tc>
        <w:tc>
          <w:tcPr>
            <w:tcW w:w="5" w:type="pct"/>
            <w:shd w:val="clear" w:color="auto" w:fill="auto"/>
            <w:vAlign w:val="bottom"/>
          </w:tcPr>
          <w:p w14:paraId="71D46E01" w14:textId="77777777" w:rsidR="006A3667" w:rsidRDefault="006A3667">
            <w:pPr>
              <w:rPr>
                <w:rFonts w:ascii="宋体"/>
              </w:rPr>
            </w:pPr>
          </w:p>
        </w:tc>
        <w:tc>
          <w:tcPr>
            <w:tcW w:w="50" w:type="pct"/>
            <w:shd w:val="clear" w:color="auto" w:fill="auto"/>
            <w:vAlign w:val="bottom"/>
          </w:tcPr>
          <w:p w14:paraId="71D46E02" w14:textId="77777777" w:rsidR="006A3667" w:rsidRDefault="006A3667">
            <w:pPr>
              <w:rPr>
                <w:rFonts w:ascii="宋体"/>
              </w:rPr>
            </w:pPr>
          </w:p>
        </w:tc>
        <w:tc>
          <w:tcPr>
            <w:tcW w:w="435" w:type="pct"/>
            <w:shd w:val="clear" w:color="auto" w:fill="auto"/>
            <w:vAlign w:val="bottom"/>
          </w:tcPr>
          <w:p w14:paraId="71D46E03" w14:textId="77777777" w:rsidR="006A3667" w:rsidRDefault="006A3667">
            <w:pPr>
              <w:rPr>
                <w:rFonts w:ascii="宋体"/>
              </w:rPr>
            </w:pPr>
          </w:p>
        </w:tc>
        <w:tc>
          <w:tcPr>
            <w:tcW w:w="5" w:type="pct"/>
            <w:shd w:val="clear" w:color="auto" w:fill="auto"/>
            <w:vAlign w:val="bottom"/>
          </w:tcPr>
          <w:p w14:paraId="71D46E04" w14:textId="77777777" w:rsidR="006A3667" w:rsidRDefault="006A3667">
            <w:pPr>
              <w:rPr>
                <w:rFonts w:ascii="宋体"/>
              </w:rPr>
            </w:pPr>
          </w:p>
        </w:tc>
      </w:tr>
      <w:tr w:rsidR="006A3667" w14:paraId="71D46E14" w14:textId="77777777">
        <w:trPr>
          <w:trHeight w:val="60"/>
        </w:trPr>
        <w:tc>
          <w:tcPr>
            <w:tcW w:w="0" w:type="auto"/>
            <w:gridSpan w:val="3"/>
            <w:shd w:val="clear" w:color="auto" w:fill="auto"/>
            <w:tcMar>
              <w:top w:w="0" w:type="dxa"/>
              <w:left w:w="20" w:type="dxa"/>
              <w:bottom w:w="0" w:type="dxa"/>
              <w:right w:w="20" w:type="dxa"/>
            </w:tcMar>
            <w:vAlign w:val="bottom"/>
          </w:tcPr>
          <w:p w14:paraId="71D46E0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0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1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1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1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E13" w14:textId="77777777" w:rsidR="006A3667" w:rsidRDefault="006A3667">
            <w:pPr>
              <w:rPr>
                <w:rFonts w:ascii="宋体"/>
              </w:rPr>
            </w:pPr>
          </w:p>
        </w:tc>
      </w:tr>
      <w:tr w:rsidR="006A3667" w14:paraId="71D46E3B" w14:textId="77777777">
        <w:trPr>
          <w:hidden/>
        </w:trPr>
        <w:tc>
          <w:tcPr>
            <w:tcW w:w="0" w:type="auto"/>
            <w:gridSpan w:val="3"/>
            <w:shd w:val="clear" w:color="auto" w:fill="auto"/>
            <w:vAlign w:val="bottom"/>
          </w:tcPr>
          <w:p w14:paraId="71D46E15" w14:textId="77777777" w:rsidR="006A3667" w:rsidRDefault="006A3667">
            <w:pPr>
              <w:rPr>
                <w:rFonts w:ascii="宋体"/>
                <w:vanish/>
              </w:rPr>
            </w:pPr>
          </w:p>
        </w:tc>
        <w:tc>
          <w:tcPr>
            <w:tcW w:w="0" w:type="auto"/>
            <w:gridSpan w:val="3"/>
            <w:shd w:val="clear" w:color="auto" w:fill="auto"/>
            <w:vAlign w:val="bottom"/>
          </w:tcPr>
          <w:p w14:paraId="71D46E16" w14:textId="77777777" w:rsidR="006A3667" w:rsidRDefault="006A3667">
            <w:pPr>
              <w:rPr>
                <w:rFonts w:ascii="宋体"/>
                <w:vanish/>
              </w:rPr>
            </w:pPr>
          </w:p>
        </w:tc>
        <w:tc>
          <w:tcPr>
            <w:tcW w:w="0" w:type="auto"/>
            <w:shd w:val="clear" w:color="auto" w:fill="auto"/>
            <w:vAlign w:val="bottom"/>
          </w:tcPr>
          <w:p w14:paraId="71D46E17" w14:textId="77777777" w:rsidR="006A3667" w:rsidRDefault="006A3667">
            <w:pPr>
              <w:rPr>
                <w:rFonts w:ascii="宋体"/>
              </w:rPr>
            </w:pPr>
          </w:p>
        </w:tc>
        <w:tc>
          <w:tcPr>
            <w:tcW w:w="0" w:type="auto"/>
            <w:shd w:val="clear" w:color="auto" w:fill="auto"/>
            <w:vAlign w:val="bottom"/>
          </w:tcPr>
          <w:p w14:paraId="71D46E18" w14:textId="77777777" w:rsidR="006A3667" w:rsidRDefault="006A3667">
            <w:pPr>
              <w:rPr>
                <w:rFonts w:ascii="宋体"/>
              </w:rPr>
            </w:pPr>
          </w:p>
        </w:tc>
        <w:tc>
          <w:tcPr>
            <w:tcW w:w="0" w:type="auto"/>
            <w:shd w:val="clear" w:color="auto" w:fill="auto"/>
            <w:vAlign w:val="bottom"/>
          </w:tcPr>
          <w:p w14:paraId="71D46E19" w14:textId="77777777" w:rsidR="006A3667" w:rsidRDefault="006A3667">
            <w:pPr>
              <w:rPr>
                <w:rFonts w:ascii="宋体"/>
              </w:rPr>
            </w:pPr>
          </w:p>
        </w:tc>
        <w:tc>
          <w:tcPr>
            <w:tcW w:w="0" w:type="auto"/>
            <w:shd w:val="clear" w:color="auto" w:fill="auto"/>
            <w:vAlign w:val="bottom"/>
          </w:tcPr>
          <w:p w14:paraId="71D46E1A" w14:textId="77777777" w:rsidR="006A3667" w:rsidRDefault="006A3667">
            <w:pPr>
              <w:rPr>
                <w:rFonts w:ascii="宋体"/>
              </w:rPr>
            </w:pPr>
          </w:p>
        </w:tc>
        <w:tc>
          <w:tcPr>
            <w:tcW w:w="0" w:type="auto"/>
            <w:shd w:val="clear" w:color="auto" w:fill="auto"/>
            <w:vAlign w:val="bottom"/>
          </w:tcPr>
          <w:p w14:paraId="71D46E1B" w14:textId="77777777" w:rsidR="006A3667" w:rsidRDefault="006A3667">
            <w:pPr>
              <w:rPr>
                <w:rFonts w:ascii="宋体"/>
              </w:rPr>
            </w:pPr>
          </w:p>
        </w:tc>
        <w:tc>
          <w:tcPr>
            <w:tcW w:w="0" w:type="auto"/>
            <w:shd w:val="clear" w:color="auto" w:fill="auto"/>
            <w:vAlign w:val="bottom"/>
          </w:tcPr>
          <w:p w14:paraId="71D46E1C" w14:textId="77777777" w:rsidR="006A3667" w:rsidRDefault="006A3667">
            <w:pPr>
              <w:rPr>
                <w:rFonts w:ascii="宋体"/>
              </w:rPr>
            </w:pPr>
          </w:p>
        </w:tc>
        <w:tc>
          <w:tcPr>
            <w:tcW w:w="0" w:type="auto"/>
            <w:shd w:val="clear" w:color="auto" w:fill="auto"/>
            <w:vAlign w:val="bottom"/>
          </w:tcPr>
          <w:p w14:paraId="71D46E1D" w14:textId="77777777" w:rsidR="006A3667" w:rsidRDefault="006A3667">
            <w:pPr>
              <w:rPr>
                <w:rFonts w:ascii="宋体"/>
              </w:rPr>
            </w:pPr>
          </w:p>
        </w:tc>
        <w:tc>
          <w:tcPr>
            <w:tcW w:w="0" w:type="auto"/>
            <w:shd w:val="clear" w:color="auto" w:fill="auto"/>
            <w:vAlign w:val="bottom"/>
          </w:tcPr>
          <w:p w14:paraId="71D46E1E" w14:textId="77777777" w:rsidR="006A3667" w:rsidRDefault="006A3667">
            <w:pPr>
              <w:rPr>
                <w:rFonts w:ascii="宋体"/>
              </w:rPr>
            </w:pPr>
          </w:p>
        </w:tc>
        <w:tc>
          <w:tcPr>
            <w:tcW w:w="0" w:type="auto"/>
            <w:shd w:val="clear" w:color="auto" w:fill="auto"/>
            <w:vAlign w:val="bottom"/>
          </w:tcPr>
          <w:p w14:paraId="71D46E1F" w14:textId="77777777" w:rsidR="006A3667" w:rsidRDefault="006A3667">
            <w:pPr>
              <w:rPr>
                <w:rFonts w:ascii="宋体"/>
              </w:rPr>
            </w:pPr>
          </w:p>
        </w:tc>
        <w:tc>
          <w:tcPr>
            <w:tcW w:w="0" w:type="auto"/>
            <w:shd w:val="clear" w:color="auto" w:fill="auto"/>
            <w:vAlign w:val="bottom"/>
          </w:tcPr>
          <w:p w14:paraId="71D46E20" w14:textId="77777777" w:rsidR="006A3667" w:rsidRDefault="006A3667">
            <w:pPr>
              <w:rPr>
                <w:rFonts w:ascii="宋体"/>
              </w:rPr>
            </w:pPr>
          </w:p>
        </w:tc>
        <w:tc>
          <w:tcPr>
            <w:tcW w:w="0" w:type="auto"/>
            <w:shd w:val="clear" w:color="auto" w:fill="auto"/>
            <w:vAlign w:val="bottom"/>
          </w:tcPr>
          <w:p w14:paraId="71D46E21" w14:textId="77777777" w:rsidR="006A3667" w:rsidRDefault="006A3667">
            <w:pPr>
              <w:rPr>
                <w:rFonts w:ascii="宋体"/>
              </w:rPr>
            </w:pPr>
          </w:p>
        </w:tc>
        <w:tc>
          <w:tcPr>
            <w:tcW w:w="0" w:type="auto"/>
            <w:shd w:val="clear" w:color="auto" w:fill="auto"/>
            <w:vAlign w:val="bottom"/>
          </w:tcPr>
          <w:p w14:paraId="71D46E22" w14:textId="77777777" w:rsidR="006A3667" w:rsidRDefault="006A3667">
            <w:pPr>
              <w:rPr>
                <w:rFonts w:ascii="宋体"/>
              </w:rPr>
            </w:pPr>
          </w:p>
        </w:tc>
        <w:tc>
          <w:tcPr>
            <w:tcW w:w="0" w:type="auto"/>
            <w:shd w:val="clear" w:color="auto" w:fill="auto"/>
            <w:vAlign w:val="bottom"/>
          </w:tcPr>
          <w:p w14:paraId="71D46E23" w14:textId="77777777" w:rsidR="006A3667" w:rsidRDefault="006A3667">
            <w:pPr>
              <w:rPr>
                <w:rFonts w:ascii="宋体"/>
              </w:rPr>
            </w:pPr>
          </w:p>
        </w:tc>
        <w:tc>
          <w:tcPr>
            <w:tcW w:w="0" w:type="auto"/>
            <w:shd w:val="clear" w:color="auto" w:fill="auto"/>
            <w:vAlign w:val="bottom"/>
          </w:tcPr>
          <w:p w14:paraId="71D46E24" w14:textId="77777777" w:rsidR="006A3667" w:rsidRDefault="006A3667">
            <w:pPr>
              <w:rPr>
                <w:rFonts w:ascii="宋体"/>
              </w:rPr>
            </w:pPr>
          </w:p>
        </w:tc>
        <w:tc>
          <w:tcPr>
            <w:tcW w:w="0" w:type="auto"/>
            <w:shd w:val="clear" w:color="auto" w:fill="auto"/>
            <w:vAlign w:val="bottom"/>
          </w:tcPr>
          <w:p w14:paraId="71D46E25" w14:textId="77777777" w:rsidR="006A3667" w:rsidRDefault="006A3667">
            <w:pPr>
              <w:rPr>
                <w:rFonts w:ascii="宋体"/>
              </w:rPr>
            </w:pPr>
          </w:p>
        </w:tc>
        <w:tc>
          <w:tcPr>
            <w:tcW w:w="0" w:type="auto"/>
            <w:shd w:val="clear" w:color="auto" w:fill="auto"/>
            <w:vAlign w:val="bottom"/>
          </w:tcPr>
          <w:p w14:paraId="71D46E26" w14:textId="77777777" w:rsidR="006A3667" w:rsidRDefault="006A3667">
            <w:pPr>
              <w:rPr>
                <w:rFonts w:ascii="宋体"/>
              </w:rPr>
            </w:pPr>
          </w:p>
        </w:tc>
        <w:tc>
          <w:tcPr>
            <w:tcW w:w="0" w:type="auto"/>
            <w:shd w:val="clear" w:color="auto" w:fill="auto"/>
            <w:vAlign w:val="bottom"/>
          </w:tcPr>
          <w:p w14:paraId="71D46E27" w14:textId="77777777" w:rsidR="006A3667" w:rsidRDefault="006A3667">
            <w:pPr>
              <w:rPr>
                <w:rFonts w:ascii="宋体"/>
              </w:rPr>
            </w:pPr>
          </w:p>
        </w:tc>
        <w:tc>
          <w:tcPr>
            <w:tcW w:w="0" w:type="auto"/>
            <w:shd w:val="clear" w:color="auto" w:fill="auto"/>
            <w:vAlign w:val="bottom"/>
          </w:tcPr>
          <w:p w14:paraId="71D46E28" w14:textId="77777777" w:rsidR="006A3667" w:rsidRDefault="006A3667">
            <w:pPr>
              <w:rPr>
                <w:rFonts w:ascii="宋体"/>
              </w:rPr>
            </w:pPr>
          </w:p>
        </w:tc>
        <w:tc>
          <w:tcPr>
            <w:tcW w:w="0" w:type="auto"/>
            <w:shd w:val="clear" w:color="auto" w:fill="auto"/>
            <w:vAlign w:val="bottom"/>
          </w:tcPr>
          <w:p w14:paraId="71D46E29" w14:textId="77777777" w:rsidR="006A3667" w:rsidRDefault="006A3667">
            <w:pPr>
              <w:rPr>
                <w:rFonts w:ascii="宋体"/>
              </w:rPr>
            </w:pPr>
          </w:p>
        </w:tc>
        <w:tc>
          <w:tcPr>
            <w:tcW w:w="0" w:type="auto"/>
            <w:shd w:val="clear" w:color="auto" w:fill="auto"/>
            <w:vAlign w:val="bottom"/>
          </w:tcPr>
          <w:p w14:paraId="71D46E2A" w14:textId="77777777" w:rsidR="006A3667" w:rsidRDefault="006A3667">
            <w:pPr>
              <w:rPr>
                <w:rFonts w:ascii="宋体"/>
              </w:rPr>
            </w:pPr>
          </w:p>
        </w:tc>
        <w:tc>
          <w:tcPr>
            <w:tcW w:w="0" w:type="auto"/>
            <w:shd w:val="clear" w:color="auto" w:fill="auto"/>
            <w:vAlign w:val="bottom"/>
          </w:tcPr>
          <w:p w14:paraId="71D46E2B" w14:textId="77777777" w:rsidR="006A3667" w:rsidRDefault="006A3667">
            <w:pPr>
              <w:rPr>
                <w:rFonts w:ascii="宋体"/>
              </w:rPr>
            </w:pPr>
          </w:p>
        </w:tc>
        <w:tc>
          <w:tcPr>
            <w:tcW w:w="0" w:type="auto"/>
            <w:shd w:val="clear" w:color="auto" w:fill="auto"/>
            <w:vAlign w:val="bottom"/>
          </w:tcPr>
          <w:p w14:paraId="71D46E2C" w14:textId="77777777" w:rsidR="006A3667" w:rsidRDefault="006A3667">
            <w:pPr>
              <w:rPr>
                <w:rFonts w:ascii="宋体"/>
              </w:rPr>
            </w:pPr>
          </w:p>
        </w:tc>
        <w:tc>
          <w:tcPr>
            <w:tcW w:w="0" w:type="auto"/>
            <w:shd w:val="clear" w:color="auto" w:fill="auto"/>
            <w:vAlign w:val="bottom"/>
          </w:tcPr>
          <w:p w14:paraId="71D46E2D" w14:textId="77777777" w:rsidR="006A3667" w:rsidRDefault="006A3667">
            <w:pPr>
              <w:rPr>
                <w:rFonts w:ascii="宋体"/>
              </w:rPr>
            </w:pPr>
          </w:p>
        </w:tc>
        <w:tc>
          <w:tcPr>
            <w:tcW w:w="0" w:type="auto"/>
            <w:shd w:val="clear" w:color="auto" w:fill="auto"/>
            <w:vAlign w:val="bottom"/>
          </w:tcPr>
          <w:p w14:paraId="71D46E2E" w14:textId="77777777" w:rsidR="006A3667" w:rsidRDefault="006A3667">
            <w:pPr>
              <w:rPr>
                <w:rFonts w:ascii="宋体"/>
              </w:rPr>
            </w:pPr>
          </w:p>
        </w:tc>
        <w:tc>
          <w:tcPr>
            <w:tcW w:w="0" w:type="auto"/>
            <w:shd w:val="clear" w:color="auto" w:fill="auto"/>
            <w:vAlign w:val="bottom"/>
          </w:tcPr>
          <w:p w14:paraId="71D46E2F" w14:textId="77777777" w:rsidR="006A3667" w:rsidRDefault="006A3667">
            <w:pPr>
              <w:rPr>
                <w:rFonts w:ascii="宋体"/>
              </w:rPr>
            </w:pPr>
          </w:p>
        </w:tc>
        <w:tc>
          <w:tcPr>
            <w:tcW w:w="0" w:type="auto"/>
            <w:shd w:val="clear" w:color="auto" w:fill="auto"/>
            <w:vAlign w:val="bottom"/>
          </w:tcPr>
          <w:p w14:paraId="71D46E30" w14:textId="77777777" w:rsidR="006A3667" w:rsidRDefault="006A3667">
            <w:pPr>
              <w:rPr>
                <w:rFonts w:ascii="宋体"/>
              </w:rPr>
            </w:pPr>
          </w:p>
        </w:tc>
        <w:tc>
          <w:tcPr>
            <w:tcW w:w="0" w:type="auto"/>
            <w:shd w:val="clear" w:color="auto" w:fill="auto"/>
            <w:vAlign w:val="bottom"/>
          </w:tcPr>
          <w:p w14:paraId="71D46E31" w14:textId="77777777" w:rsidR="006A3667" w:rsidRDefault="006A3667">
            <w:pPr>
              <w:rPr>
                <w:rFonts w:ascii="宋体"/>
              </w:rPr>
            </w:pPr>
          </w:p>
        </w:tc>
        <w:tc>
          <w:tcPr>
            <w:tcW w:w="0" w:type="auto"/>
            <w:shd w:val="clear" w:color="auto" w:fill="auto"/>
            <w:vAlign w:val="bottom"/>
          </w:tcPr>
          <w:p w14:paraId="71D46E32" w14:textId="77777777" w:rsidR="006A3667" w:rsidRDefault="006A3667">
            <w:pPr>
              <w:rPr>
                <w:rFonts w:ascii="宋体"/>
              </w:rPr>
            </w:pPr>
          </w:p>
        </w:tc>
        <w:tc>
          <w:tcPr>
            <w:tcW w:w="0" w:type="auto"/>
            <w:shd w:val="clear" w:color="auto" w:fill="auto"/>
            <w:vAlign w:val="bottom"/>
          </w:tcPr>
          <w:p w14:paraId="71D46E33" w14:textId="77777777" w:rsidR="006A3667" w:rsidRDefault="006A3667">
            <w:pPr>
              <w:rPr>
                <w:rFonts w:ascii="宋体"/>
              </w:rPr>
            </w:pPr>
          </w:p>
        </w:tc>
        <w:tc>
          <w:tcPr>
            <w:tcW w:w="0" w:type="auto"/>
            <w:shd w:val="clear" w:color="auto" w:fill="auto"/>
            <w:vAlign w:val="bottom"/>
          </w:tcPr>
          <w:p w14:paraId="71D46E34" w14:textId="77777777" w:rsidR="006A3667" w:rsidRDefault="006A3667">
            <w:pPr>
              <w:rPr>
                <w:rFonts w:ascii="宋体"/>
              </w:rPr>
            </w:pPr>
          </w:p>
        </w:tc>
        <w:tc>
          <w:tcPr>
            <w:tcW w:w="0" w:type="auto"/>
            <w:shd w:val="clear" w:color="auto" w:fill="auto"/>
            <w:vAlign w:val="bottom"/>
          </w:tcPr>
          <w:p w14:paraId="71D46E35" w14:textId="77777777" w:rsidR="006A3667" w:rsidRDefault="006A3667">
            <w:pPr>
              <w:rPr>
                <w:rFonts w:ascii="宋体"/>
              </w:rPr>
            </w:pPr>
          </w:p>
        </w:tc>
        <w:tc>
          <w:tcPr>
            <w:tcW w:w="0" w:type="auto"/>
            <w:shd w:val="clear" w:color="auto" w:fill="auto"/>
            <w:vAlign w:val="bottom"/>
          </w:tcPr>
          <w:p w14:paraId="71D46E36" w14:textId="77777777" w:rsidR="006A3667" w:rsidRDefault="006A3667">
            <w:pPr>
              <w:rPr>
                <w:rFonts w:ascii="宋体"/>
              </w:rPr>
            </w:pPr>
          </w:p>
        </w:tc>
        <w:tc>
          <w:tcPr>
            <w:tcW w:w="0" w:type="auto"/>
            <w:shd w:val="clear" w:color="auto" w:fill="auto"/>
            <w:vAlign w:val="bottom"/>
          </w:tcPr>
          <w:p w14:paraId="71D46E37" w14:textId="77777777" w:rsidR="006A3667" w:rsidRDefault="006A3667">
            <w:pPr>
              <w:rPr>
                <w:rFonts w:ascii="宋体"/>
              </w:rPr>
            </w:pPr>
          </w:p>
        </w:tc>
        <w:tc>
          <w:tcPr>
            <w:tcW w:w="0" w:type="auto"/>
            <w:shd w:val="clear" w:color="auto" w:fill="auto"/>
            <w:vAlign w:val="bottom"/>
          </w:tcPr>
          <w:p w14:paraId="71D46E38" w14:textId="77777777" w:rsidR="006A3667" w:rsidRDefault="006A3667">
            <w:pPr>
              <w:rPr>
                <w:rFonts w:ascii="宋体"/>
              </w:rPr>
            </w:pPr>
          </w:p>
        </w:tc>
        <w:tc>
          <w:tcPr>
            <w:tcW w:w="0" w:type="auto"/>
            <w:shd w:val="clear" w:color="auto" w:fill="auto"/>
            <w:vAlign w:val="bottom"/>
          </w:tcPr>
          <w:p w14:paraId="71D46E39" w14:textId="77777777" w:rsidR="006A3667" w:rsidRDefault="006A3667">
            <w:pPr>
              <w:rPr>
                <w:rFonts w:ascii="宋体"/>
              </w:rPr>
            </w:pPr>
          </w:p>
        </w:tc>
        <w:tc>
          <w:tcPr>
            <w:tcW w:w="0" w:type="auto"/>
            <w:shd w:val="clear" w:color="auto" w:fill="auto"/>
            <w:vAlign w:val="bottom"/>
          </w:tcPr>
          <w:p w14:paraId="71D46E3A" w14:textId="77777777" w:rsidR="006A3667" w:rsidRDefault="006A3667">
            <w:pPr>
              <w:rPr>
                <w:rFonts w:ascii="宋体"/>
              </w:rPr>
            </w:pPr>
          </w:p>
        </w:tc>
      </w:tr>
      <w:tr w:rsidR="006A3667" w14:paraId="71D46E50" w14:textId="77777777">
        <w:trPr>
          <w:hidden/>
        </w:trPr>
        <w:tc>
          <w:tcPr>
            <w:tcW w:w="0" w:type="auto"/>
            <w:gridSpan w:val="3"/>
            <w:shd w:val="clear" w:color="auto" w:fill="auto"/>
            <w:vAlign w:val="bottom"/>
          </w:tcPr>
          <w:p w14:paraId="71D46E3C" w14:textId="77777777" w:rsidR="006A3667" w:rsidRDefault="006A3667">
            <w:pPr>
              <w:rPr>
                <w:rFonts w:ascii="宋体"/>
                <w:vanish/>
              </w:rPr>
            </w:pPr>
          </w:p>
        </w:tc>
        <w:tc>
          <w:tcPr>
            <w:tcW w:w="0" w:type="auto"/>
            <w:gridSpan w:val="3"/>
            <w:shd w:val="clear" w:color="auto" w:fill="auto"/>
            <w:vAlign w:val="bottom"/>
          </w:tcPr>
          <w:p w14:paraId="71D46E3D" w14:textId="77777777" w:rsidR="006A3667" w:rsidRDefault="006A3667">
            <w:pPr>
              <w:rPr>
                <w:rFonts w:ascii="宋体"/>
                <w:vanish/>
              </w:rPr>
            </w:pPr>
          </w:p>
        </w:tc>
        <w:tc>
          <w:tcPr>
            <w:tcW w:w="0" w:type="auto"/>
            <w:gridSpan w:val="3"/>
            <w:shd w:val="clear" w:color="auto" w:fill="auto"/>
            <w:vAlign w:val="bottom"/>
          </w:tcPr>
          <w:p w14:paraId="71D46E3E" w14:textId="77777777" w:rsidR="006A3667" w:rsidRDefault="006A3667">
            <w:pPr>
              <w:rPr>
                <w:rFonts w:ascii="宋体"/>
                <w:vanish/>
              </w:rPr>
            </w:pPr>
          </w:p>
        </w:tc>
        <w:tc>
          <w:tcPr>
            <w:tcW w:w="0" w:type="auto"/>
            <w:gridSpan w:val="3"/>
            <w:shd w:val="clear" w:color="auto" w:fill="auto"/>
            <w:vAlign w:val="bottom"/>
          </w:tcPr>
          <w:p w14:paraId="71D46E3F" w14:textId="77777777" w:rsidR="006A3667" w:rsidRDefault="006A3667">
            <w:pPr>
              <w:rPr>
                <w:rFonts w:ascii="宋体"/>
                <w:vanish/>
              </w:rPr>
            </w:pPr>
          </w:p>
        </w:tc>
        <w:tc>
          <w:tcPr>
            <w:tcW w:w="0" w:type="auto"/>
            <w:gridSpan w:val="3"/>
            <w:shd w:val="clear" w:color="auto" w:fill="auto"/>
            <w:vAlign w:val="bottom"/>
          </w:tcPr>
          <w:p w14:paraId="71D46E40" w14:textId="77777777" w:rsidR="006A3667" w:rsidRDefault="006A3667">
            <w:pPr>
              <w:rPr>
                <w:rFonts w:ascii="宋体"/>
                <w:vanish/>
              </w:rPr>
            </w:pPr>
          </w:p>
        </w:tc>
        <w:tc>
          <w:tcPr>
            <w:tcW w:w="0" w:type="auto"/>
            <w:gridSpan w:val="3"/>
            <w:shd w:val="clear" w:color="auto" w:fill="auto"/>
            <w:vAlign w:val="bottom"/>
          </w:tcPr>
          <w:p w14:paraId="71D46E41" w14:textId="77777777" w:rsidR="006A3667" w:rsidRDefault="006A3667">
            <w:pPr>
              <w:rPr>
                <w:rFonts w:ascii="宋体"/>
                <w:vanish/>
              </w:rPr>
            </w:pPr>
          </w:p>
        </w:tc>
        <w:tc>
          <w:tcPr>
            <w:tcW w:w="0" w:type="auto"/>
            <w:gridSpan w:val="3"/>
            <w:shd w:val="clear" w:color="auto" w:fill="auto"/>
            <w:vAlign w:val="bottom"/>
          </w:tcPr>
          <w:p w14:paraId="71D46E42" w14:textId="77777777" w:rsidR="006A3667" w:rsidRDefault="006A3667">
            <w:pPr>
              <w:rPr>
                <w:rFonts w:ascii="宋体"/>
                <w:vanish/>
              </w:rPr>
            </w:pPr>
          </w:p>
        </w:tc>
        <w:tc>
          <w:tcPr>
            <w:tcW w:w="0" w:type="auto"/>
            <w:gridSpan w:val="3"/>
            <w:shd w:val="clear" w:color="auto" w:fill="auto"/>
            <w:vAlign w:val="bottom"/>
          </w:tcPr>
          <w:p w14:paraId="71D46E43" w14:textId="77777777" w:rsidR="006A3667" w:rsidRDefault="006A3667">
            <w:pPr>
              <w:rPr>
                <w:rFonts w:ascii="宋体"/>
                <w:vanish/>
              </w:rPr>
            </w:pPr>
          </w:p>
        </w:tc>
        <w:tc>
          <w:tcPr>
            <w:tcW w:w="0" w:type="auto"/>
            <w:gridSpan w:val="3"/>
            <w:shd w:val="clear" w:color="auto" w:fill="auto"/>
            <w:vAlign w:val="bottom"/>
          </w:tcPr>
          <w:p w14:paraId="71D46E44" w14:textId="77777777" w:rsidR="006A3667" w:rsidRDefault="006A3667">
            <w:pPr>
              <w:rPr>
                <w:rFonts w:ascii="宋体"/>
                <w:vanish/>
              </w:rPr>
            </w:pPr>
          </w:p>
        </w:tc>
        <w:tc>
          <w:tcPr>
            <w:tcW w:w="0" w:type="auto"/>
            <w:gridSpan w:val="3"/>
            <w:shd w:val="clear" w:color="auto" w:fill="auto"/>
            <w:vAlign w:val="bottom"/>
          </w:tcPr>
          <w:p w14:paraId="71D46E45" w14:textId="77777777" w:rsidR="006A3667" w:rsidRDefault="006A3667">
            <w:pPr>
              <w:rPr>
                <w:rFonts w:ascii="宋体"/>
                <w:vanish/>
              </w:rPr>
            </w:pPr>
          </w:p>
        </w:tc>
        <w:tc>
          <w:tcPr>
            <w:tcW w:w="0" w:type="auto"/>
            <w:gridSpan w:val="3"/>
            <w:shd w:val="clear" w:color="auto" w:fill="auto"/>
            <w:vAlign w:val="bottom"/>
          </w:tcPr>
          <w:p w14:paraId="71D46E46" w14:textId="77777777" w:rsidR="006A3667" w:rsidRDefault="006A3667">
            <w:pPr>
              <w:rPr>
                <w:rFonts w:ascii="宋体"/>
                <w:vanish/>
              </w:rPr>
            </w:pPr>
          </w:p>
        </w:tc>
        <w:tc>
          <w:tcPr>
            <w:tcW w:w="0" w:type="auto"/>
            <w:shd w:val="clear" w:color="auto" w:fill="auto"/>
            <w:vAlign w:val="bottom"/>
          </w:tcPr>
          <w:p w14:paraId="71D46E47" w14:textId="77777777" w:rsidR="006A3667" w:rsidRDefault="006A3667">
            <w:pPr>
              <w:rPr>
                <w:rFonts w:ascii="宋体"/>
              </w:rPr>
            </w:pPr>
          </w:p>
        </w:tc>
        <w:tc>
          <w:tcPr>
            <w:tcW w:w="0" w:type="auto"/>
            <w:shd w:val="clear" w:color="auto" w:fill="auto"/>
            <w:vAlign w:val="bottom"/>
          </w:tcPr>
          <w:p w14:paraId="71D46E48" w14:textId="77777777" w:rsidR="006A3667" w:rsidRDefault="006A3667">
            <w:pPr>
              <w:rPr>
                <w:rFonts w:ascii="宋体"/>
              </w:rPr>
            </w:pPr>
          </w:p>
        </w:tc>
        <w:tc>
          <w:tcPr>
            <w:tcW w:w="0" w:type="auto"/>
            <w:shd w:val="clear" w:color="auto" w:fill="auto"/>
            <w:vAlign w:val="bottom"/>
          </w:tcPr>
          <w:p w14:paraId="71D46E49" w14:textId="77777777" w:rsidR="006A3667" w:rsidRDefault="006A3667">
            <w:pPr>
              <w:rPr>
                <w:rFonts w:ascii="宋体"/>
              </w:rPr>
            </w:pPr>
          </w:p>
        </w:tc>
        <w:tc>
          <w:tcPr>
            <w:tcW w:w="0" w:type="auto"/>
            <w:shd w:val="clear" w:color="auto" w:fill="auto"/>
            <w:vAlign w:val="bottom"/>
          </w:tcPr>
          <w:p w14:paraId="71D46E4A" w14:textId="77777777" w:rsidR="006A3667" w:rsidRDefault="006A3667">
            <w:pPr>
              <w:rPr>
                <w:rFonts w:ascii="宋体"/>
              </w:rPr>
            </w:pPr>
          </w:p>
        </w:tc>
        <w:tc>
          <w:tcPr>
            <w:tcW w:w="0" w:type="auto"/>
            <w:shd w:val="clear" w:color="auto" w:fill="auto"/>
            <w:vAlign w:val="bottom"/>
          </w:tcPr>
          <w:p w14:paraId="71D46E4B" w14:textId="77777777" w:rsidR="006A3667" w:rsidRDefault="006A3667">
            <w:pPr>
              <w:rPr>
                <w:rFonts w:ascii="宋体"/>
              </w:rPr>
            </w:pPr>
          </w:p>
        </w:tc>
        <w:tc>
          <w:tcPr>
            <w:tcW w:w="0" w:type="auto"/>
            <w:shd w:val="clear" w:color="auto" w:fill="auto"/>
            <w:vAlign w:val="bottom"/>
          </w:tcPr>
          <w:p w14:paraId="71D46E4C" w14:textId="77777777" w:rsidR="006A3667" w:rsidRDefault="006A3667">
            <w:pPr>
              <w:rPr>
                <w:rFonts w:ascii="宋体"/>
              </w:rPr>
            </w:pPr>
          </w:p>
        </w:tc>
        <w:tc>
          <w:tcPr>
            <w:tcW w:w="0" w:type="auto"/>
            <w:shd w:val="clear" w:color="auto" w:fill="auto"/>
            <w:vAlign w:val="bottom"/>
          </w:tcPr>
          <w:p w14:paraId="71D46E4D" w14:textId="77777777" w:rsidR="006A3667" w:rsidRDefault="006A3667">
            <w:pPr>
              <w:rPr>
                <w:rFonts w:ascii="宋体"/>
              </w:rPr>
            </w:pPr>
          </w:p>
        </w:tc>
        <w:tc>
          <w:tcPr>
            <w:tcW w:w="0" w:type="auto"/>
            <w:shd w:val="clear" w:color="auto" w:fill="auto"/>
            <w:vAlign w:val="bottom"/>
          </w:tcPr>
          <w:p w14:paraId="71D46E4E" w14:textId="77777777" w:rsidR="006A3667" w:rsidRDefault="006A3667">
            <w:pPr>
              <w:rPr>
                <w:rFonts w:ascii="宋体"/>
              </w:rPr>
            </w:pPr>
          </w:p>
        </w:tc>
        <w:tc>
          <w:tcPr>
            <w:tcW w:w="0" w:type="auto"/>
            <w:shd w:val="clear" w:color="auto" w:fill="auto"/>
            <w:vAlign w:val="bottom"/>
          </w:tcPr>
          <w:p w14:paraId="71D46E4F" w14:textId="77777777" w:rsidR="006A3667" w:rsidRDefault="006A3667">
            <w:pPr>
              <w:rPr>
                <w:rFonts w:ascii="宋体"/>
              </w:rPr>
            </w:pPr>
          </w:p>
        </w:tc>
      </w:tr>
      <w:tr w:rsidR="006A3667" w14:paraId="71D46E5F" w14:textId="77777777">
        <w:trPr>
          <w:hidden/>
        </w:trPr>
        <w:tc>
          <w:tcPr>
            <w:tcW w:w="0" w:type="auto"/>
            <w:gridSpan w:val="3"/>
            <w:shd w:val="clear" w:color="auto" w:fill="auto"/>
            <w:vAlign w:val="bottom"/>
          </w:tcPr>
          <w:p w14:paraId="71D46E51" w14:textId="77777777" w:rsidR="006A3667" w:rsidRDefault="006A3667">
            <w:pPr>
              <w:rPr>
                <w:rFonts w:ascii="宋体"/>
                <w:vanish/>
              </w:rPr>
            </w:pPr>
          </w:p>
        </w:tc>
        <w:tc>
          <w:tcPr>
            <w:tcW w:w="0" w:type="auto"/>
            <w:gridSpan w:val="3"/>
            <w:shd w:val="clear" w:color="auto" w:fill="auto"/>
            <w:vAlign w:val="bottom"/>
          </w:tcPr>
          <w:p w14:paraId="71D46E52" w14:textId="77777777" w:rsidR="006A3667" w:rsidRDefault="006A3667">
            <w:pPr>
              <w:rPr>
                <w:rFonts w:ascii="宋体"/>
                <w:vanish/>
              </w:rPr>
            </w:pPr>
          </w:p>
        </w:tc>
        <w:tc>
          <w:tcPr>
            <w:tcW w:w="0" w:type="auto"/>
            <w:gridSpan w:val="3"/>
            <w:shd w:val="clear" w:color="auto" w:fill="auto"/>
            <w:vAlign w:val="bottom"/>
          </w:tcPr>
          <w:p w14:paraId="71D46E53" w14:textId="77777777" w:rsidR="006A3667" w:rsidRDefault="006A3667">
            <w:pPr>
              <w:rPr>
                <w:rFonts w:ascii="宋体"/>
                <w:vanish/>
              </w:rPr>
            </w:pPr>
          </w:p>
        </w:tc>
        <w:tc>
          <w:tcPr>
            <w:tcW w:w="0" w:type="auto"/>
            <w:gridSpan w:val="3"/>
            <w:shd w:val="clear" w:color="auto" w:fill="auto"/>
            <w:vAlign w:val="bottom"/>
          </w:tcPr>
          <w:p w14:paraId="71D46E54" w14:textId="77777777" w:rsidR="006A3667" w:rsidRDefault="006A3667">
            <w:pPr>
              <w:rPr>
                <w:rFonts w:ascii="宋体"/>
                <w:vanish/>
              </w:rPr>
            </w:pPr>
          </w:p>
        </w:tc>
        <w:tc>
          <w:tcPr>
            <w:tcW w:w="0" w:type="auto"/>
            <w:gridSpan w:val="3"/>
            <w:shd w:val="clear" w:color="auto" w:fill="auto"/>
            <w:vAlign w:val="bottom"/>
          </w:tcPr>
          <w:p w14:paraId="71D46E55" w14:textId="77777777" w:rsidR="006A3667" w:rsidRDefault="006A3667">
            <w:pPr>
              <w:rPr>
                <w:rFonts w:ascii="宋体"/>
                <w:vanish/>
              </w:rPr>
            </w:pPr>
          </w:p>
        </w:tc>
        <w:tc>
          <w:tcPr>
            <w:tcW w:w="0" w:type="auto"/>
            <w:gridSpan w:val="3"/>
            <w:shd w:val="clear" w:color="auto" w:fill="auto"/>
            <w:vAlign w:val="bottom"/>
          </w:tcPr>
          <w:p w14:paraId="71D46E56" w14:textId="77777777" w:rsidR="006A3667" w:rsidRDefault="006A3667">
            <w:pPr>
              <w:rPr>
                <w:rFonts w:ascii="宋体"/>
                <w:vanish/>
              </w:rPr>
            </w:pPr>
          </w:p>
        </w:tc>
        <w:tc>
          <w:tcPr>
            <w:tcW w:w="0" w:type="auto"/>
            <w:gridSpan w:val="3"/>
            <w:shd w:val="clear" w:color="auto" w:fill="auto"/>
            <w:vAlign w:val="bottom"/>
          </w:tcPr>
          <w:p w14:paraId="71D46E57" w14:textId="77777777" w:rsidR="006A3667" w:rsidRDefault="006A3667">
            <w:pPr>
              <w:rPr>
                <w:rFonts w:ascii="宋体"/>
                <w:vanish/>
              </w:rPr>
            </w:pPr>
          </w:p>
        </w:tc>
        <w:tc>
          <w:tcPr>
            <w:tcW w:w="0" w:type="auto"/>
            <w:gridSpan w:val="3"/>
            <w:shd w:val="clear" w:color="auto" w:fill="auto"/>
            <w:vAlign w:val="bottom"/>
          </w:tcPr>
          <w:p w14:paraId="71D46E58" w14:textId="77777777" w:rsidR="006A3667" w:rsidRDefault="006A3667">
            <w:pPr>
              <w:rPr>
                <w:rFonts w:ascii="宋体"/>
                <w:vanish/>
              </w:rPr>
            </w:pPr>
          </w:p>
        </w:tc>
        <w:tc>
          <w:tcPr>
            <w:tcW w:w="0" w:type="auto"/>
            <w:gridSpan w:val="3"/>
            <w:shd w:val="clear" w:color="auto" w:fill="auto"/>
            <w:vAlign w:val="bottom"/>
          </w:tcPr>
          <w:p w14:paraId="71D46E59" w14:textId="77777777" w:rsidR="006A3667" w:rsidRDefault="006A3667">
            <w:pPr>
              <w:rPr>
                <w:rFonts w:ascii="宋体"/>
                <w:vanish/>
              </w:rPr>
            </w:pPr>
          </w:p>
        </w:tc>
        <w:tc>
          <w:tcPr>
            <w:tcW w:w="0" w:type="auto"/>
            <w:gridSpan w:val="3"/>
            <w:shd w:val="clear" w:color="auto" w:fill="auto"/>
            <w:vAlign w:val="bottom"/>
          </w:tcPr>
          <w:p w14:paraId="71D46E5A" w14:textId="77777777" w:rsidR="006A3667" w:rsidRDefault="006A3667">
            <w:pPr>
              <w:rPr>
                <w:rFonts w:ascii="宋体"/>
                <w:vanish/>
              </w:rPr>
            </w:pPr>
          </w:p>
        </w:tc>
        <w:tc>
          <w:tcPr>
            <w:tcW w:w="0" w:type="auto"/>
            <w:gridSpan w:val="3"/>
            <w:shd w:val="clear" w:color="auto" w:fill="auto"/>
            <w:vAlign w:val="bottom"/>
          </w:tcPr>
          <w:p w14:paraId="71D46E5B" w14:textId="77777777" w:rsidR="006A3667" w:rsidRDefault="006A3667">
            <w:pPr>
              <w:rPr>
                <w:rFonts w:ascii="宋体"/>
                <w:vanish/>
              </w:rPr>
            </w:pPr>
          </w:p>
        </w:tc>
        <w:tc>
          <w:tcPr>
            <w:tcW w:w="0" w:type="auto"/>
            <w:gridSpan w:val="3"/>
            <w:shd w:val="clear" w:color="auto" w:fill="auto"/>
            <w:vAlign w:val="bottom"/>
          </w:tcPr>
          <w:p w14:paraId="71D46E5C" w14:textId="77777777" w:rsidR="006A3667" w:rsidRDefault="006A3667">
            <w:pPr>
              <w:rPr>
                <w:rFonts w:ascii="宋体"/>
                <w:vanish/>
              </w:rPr>
            </w:pPr>
          </w:p>
        </w:tc>
        <w:tc>
          <w:tcPr>
            <w:tcW w:w="0" w:type="auto"/>
            <w:gridSpan w:val="3"/>
            <w:shd w:val="clear" w:color="auto" w:fill="auto"/>
            <w:vAlign w:val="bottom"/>
          </w:tcPr>
          <w:p w14:paraId="71D46E5D" w14:textId="77777777" w:rsidR="006A3667" w:rsidRDefault="006A3667">
            <w:pPr>
              <w:rPr>
                <w:rFonts w:ascii="宋体"/>
                <w:vanish/>
              </w:rPr>
            </w:pPr>
          </w:p>
        </w:tc>
        <w:tc>
          <w:tcPr>
            <w:tcW w:w="0" w:type="auto"/>
            <w:gridSpan w:val="3"/>
            <w:shd w:val="clear" w:color="auto" w:fill="auto"/>
            <w:vAlign w:val="bottom"/>
          </w:tcPr>
          <w:p w14:paraId="71D46E5E" w14:textId="77777777" w:rsidR="006A3667" w:rsidRDefault="006A3667">
            <w:pPr>
              <w:rPr>
                <w:rFonts w:ascii="宋体"/>
                <w:vanish/>
              </w:rPr>
            </w:pPr>
          </w:p>
        </w:tc>
      </w:tr>
      <w:tr w:rsidR="006A3667" w14:paraId="71D46E6E" w14:textId="77777777">
        <w:trPr>
          <w:hidden/>
        </w:trPr>
        <w:tc>
          <w:tcPr>
            <w:tcW w:w="0" w:type="auto"/>
            <w:gridSpan w:val="3"/>
            <w:shd w:val="clear" w:color="auto" w:fill="auto"/>
            <w:vAlign w:val="bottom"/>
          </w:tcPr>
          <w:p w14:paraId="71D46E60" w14:textId="77777777" w:rsidR="006A3667" w:rsidRDefault="006A3667">
            <w:pPr>
              <w:rPr>
                <w:rFonts w:ascii="宋体"/>
                <w:vanish/>
              </w:rPr>
            </w:pPr>
          </w:p>
        </w:tc>
        <w:tc>
          <w:tcPr>
            <w:tcW w:w="0" w:type="auto"/>
            <w:gridSpan w:val="3"/>
            <w:shd w:val="clear" w:color="auto" w:fill="auto"/>
            <w:vAlign w:val="bottom"/>
          </w:tcPr>
          <w:p w14:paraId="71D46E61" w14:textId="77777777" w:rsidR="006A3667" w:rsidRDefault="006A3667">
            <w:pPr>
              <w:rPr>
                <w:rFonts w:ascii="宋体"/>
                <w:vanish/>
              </w:rPr>
            </w:pPr>
          </w:p>
        </w:tc>
        <w:tc>
          <w:tcPr>
            <w:tcW w:w="0" w:type="auto"/>
            <w:gridSpan w:val="3"/>
            <w:shd w:val="clear" w:color="auto" w:fill="auto"/>
            <w:vAlign w:val="bottom"/>
          </w:tcPr>
          <w:p w14:paraId="71D46E62" w14:textId="77777777" w:rsidR="006A3667" w:rsidRDefault="006A3667">
            <w:pPr>
              <w:rPr>
                <w:rFonts w:ascii="宋体"/>
                <w:vanish/>
              </w:rPr>
            </w:pPr>
          </w:p>
        </w:tc>
        <w:tc>
          <w:tcPr>
            <w:tcW w:w="0" w:type="auto"/>
            <w:gridSpan w:val="3"/>
            <w:shd w:val="clear" w:color="auto" w:fill="auto"/>
            <w:vAlign w:val="bottom"/>
          </w:tcPr>
          <w:p w14:paraId="71D46E63" w14:textId="77777777" w:rsidR="006A3667" w:rsidRDefault="006A3667">
            <w:pPr>
              <w:rPr>
                <w:rFonts w:ascii="宋体"/>
                <w:vanish/>
              </w:rPr>
            </w:pPr>
          </w:p>
        </w:tc>
        <w:tc>
          <w:tcPr>
            <w:tcW w:w="0" w:type="auto"/>
            <w:gridSpan w:val="3"/>
            <w:shd w:val="clear" w:color="auto" w:fill="auto"/>
            <w:vAlign w:val="bottom"/>
          </w:tcPr>
          <w:p w14:paraId="71D46E64" w14:textId="77777777" w:rsidR="006A3667" w:rsidRDefault="006A3667">
            <w:pPr>
              <w:rPr>
                <w:rFonts w:ascii="宋体"/>
                <w:vanish/>
              </w:rPr>
            </w:pPr>
          </w:p>
        </w:tc>
        <w:tc>
          <w:tcPr>
            <w:tcW w:w="0" w:type="auto"/>
            <w:gridSpan w:val="3"/>
            <w:shd w:val="clear" w:color="auto" w:fill="auto"/>
            <w:vAlign w:val="bottom"/>
          </w:tcPr>
          <w:p w14:paraId="71D46E65" w14:textId="77777777" w:rsidR="006A3667" w:rsidRDefault="006A3667">
            <w:pPr>
              <w:rPr>
                <w:rFonts w:ascii="宋体"/>
                <w:vanish/>
              </w:rPr>
            </w:pPr>
          </w:p>
        </w:tc>
        <w:tc>
          <w:tcPr>
            <w:tcW w:w="0" w:type="auto"/>
            <w:gridSpan w:val="3"/>
            <w:shd w:val="clear" w:color="auto" w:fill="auto"/>
            <w:vAlign w:val="bottom"/>
          </w:tcPr>
          <w:p w14:paraId="71D46E66" w14:textId="77777777" w:rsidR="006A3667" w:rsidRDefault="006A3667">
            <w:pPr>
              <w:rPr>
                <w:rFonts w:ascii="宋体"/>
                <w:vanish/>
              </w:rPr>
            </w:pPr>
          </w:p>
        </w:tc>
        <w:tc>
          <w:tcPr>
            <w:tcW w:w="0" w:type="auto"/>
            <w:gridSpan w:val="3"/>
            <w:shd w:val="clear" w:color="auto" w:fill="auto"/>
            <w:vAlign w:val="bottom"/>
          </w:tcPr>
          <w:p w14:paraId="71D46E67" w14:textId="77777777" w:rsidR="006A3667" w:rsidRDefault="006A3667">
            <w:pPr>
              <w:rPr>
                <w:rFonts w:ascii="宋体"/>
                <w:vanish/>
              </w:rPr>
            </w:pPr>
          </w:p>
        </w:tc>
        <w:tc>
          <w:tcPr>
            <w:tcW w:w="0" w:type="auto"/>
            <w:gridSpan w:val="3"/>
            <w:shd w:val="clear" w:color="auto" w:fill="auto"/>
            <w:vAlign w:val="bottom"/>
          </w:tcPr>
          <w:p w14:paraId="71D46E68" w14:textId="77777777" w:rsidR="006A3667" w:rsidRDefault="006A3667">
            <w:pPr>
              <w:rPr>
                <w:rFonts w:ascii="宋体"/>
                <w:vanish/>
              </w:rPr>
            </w:pPr>
          </w:p>
        </w:tc>
        <w:tc>
          <w:tcPr>
            <w:tcW w:w="0" w:type="auto"/>
            <w:gridSpan w:val="3"/>
            <w:shd w:val="clear" w:color="auto" w:fill="auto"/>
            <w:vAlign w:val="bottom"/>
          </w:tcPr>
          <w:p w14:paraId="71D46E69" w14:textId="77777777" w:rsidR="006A3667" w:rsidRDefault="006A3667">
            <w:pPr>
              <w:rPr>
                <w:rFonts w:ascii="宋体"/>
                <w:vanish/>
              </w:rPr>
            </w:pPr>
          </w:p>
        </w:tc>
        <w:tc>
          <w:tcPr>
            <w:tcW w:w="0" w:type="auto"/>
            <w:gridSpan w:val="3"/>
            <w:shd w:val="clear" w:color="auto" w:fill="auto"/>
            <w:vAlign w:val="bottom"/>
          </w:tcPr>
          <w:p w14:paraId="71D46E6A" w14:textId="77777777" w:rsidR="006A3667" w:rsidRDefault="006A3667">
            <w:pPr>
              <w:rPr>
                <w:rFonts w:ascii="宋体"/>
                <w:vanish/>
              </w:rPr>
            </w:pPr>
          </w:p>
        </w:tc>
        <w:tc>
          <w:tcPr>
            <w:tcW w:w="0" w:type="auto"/>
            <w:gridSpan w:val="3"/>
            <w:shd w:val="clear" w:color="auto" w:fill="auto"/>
            <w:vAlign w:val="bottom"/>
          </w:tcPr>
          <w:p w14:paraId="71D46E6B" w14:textId="77777777" w:rsidR="006A3667" w:rsidRDefault="006A3667">
            <w:pPr>
              <w:rPr>
                <w:rFonts w:ascii="宋体"/>
                <w:vanish/>
              </w:rPr>
            </w:pPr>
          </w:p>
        </w:tc>
        <w:tc>
          <w:tcPr>
            <w:tcW w:w="0" w:type="auto"/>
            <w:gridSpan w:val="3"/>
            <w:shd w:val="clear" w:color="auto" w:fill="auto"/>
            <w:vAlign w:val="bottom"/>
          </w:tcPr>
          <w:p w14:paraId="71D46E6C" w14:textId="77777777" w:rsidR="006A3667" w:rsidRDefault="006A3667">
            <w:pPr>
              <w:rPr>
                <w:rFonts w:ascii="宋体"/>
                <w:vanish/>
              </w:rPr>
            </w:pPr>
          </w:p>
        </w:tc>
        <w:tc>
          <w:tcPr>
            <w:tcW w:w="0" w:type="auto"/>
            <w:gridSpan w:val="3"/>
            <w:shd w:val="clear" w:color="auto" w:fill="auto"/>
            <w:vAlign w:val="bottom"/>
          </w:tcPr>
          <w:p w14:paraId="71D46E6D" w14:textId="77777777" w:rsidR="006A3667" w:rsidRDefault="006A3667">
            <w:pPr>
              <w:rPr>
                <w:rFonts w:ascii="宋体"/>
                <w:vanish/>
              </w:rPr>
            </w:pPr>
          </w:p>
        </w:tc>
      </w:tr>
      <w:tr w:rsidR="006A3667" w14:paraId="71D46E7D" w14:textId="77777777">
        <w:trPr>
          <w:hidden/>
        </w:trPr>
        <w:tc>
          <w:tcPr>
            <w:tcW w:w="0" w:type="auto"/>
            <w:gridSpan w:val="3"/>
            <w:shd w:val="clear" w:color="auto" w:fill="auto"/>
            <w:vAlign w:val="bottom"/>
          </w:tcPr>
          <w:p w14:paraId="71D46E6F" w14:textId="77777777" w:rsidR="006A3667" w:rsidRDefault="006A3667">
            <w:pPr>
              <w:rPr>
                <w:rFonts w:ascii="宋体"/>
                <w:vanish/>
              </w:rPr>
            </w:pPr>
          </w:p>
        </w:tc>
        <w:tc>
          <w:tcPr>
            <w:tcW w:w="0" w:type="auto"/>
            <w:gridSpan w:val="3"/>
            <w:shd w:val="clear" w:color="auto" w:fill="auto"/>
            <w:vAlign w:val="bottom"/>
          </w:tcPr>
          <w:p w14:paraId="71D46E70" w14:textId="77777777" w:rsidR="006A3667" w:rsidRDefault="006A3667">
            <w:pPr>
              <w:rPr>
                <w:rFonts w:ascii="宋体"/>
                <w:vanish/>
              </w:rPr>
            </w:pPr>
          </w:p>
        </w:tc>
        <w:tc>
          <w:tcPr>
            <w:tcW w:w="0" w:type="auto"/>
            <w:gridSpan w:val="3"/>
            <w:shd w:val="clear" w:color="auto" w:fill="auto"/>
            <w:vAlign w:val="bottom"/>
          </w:tcPr>
          <w:p w14:paraId="71D46E71" w14:textId="77777777" w:rsidR="006A3667" w:rsidRDefault="006A3667">
            <w:pPr>
              <w:rPr>
                <w:rFonts w:ascii="宋体"/>
                <w:vanish/>
              </w:rPr>
            </w:pPr>
          </w:p>
        </w:tc>
        <w:tc>
          <w:tcPr>
            <w:tcW w:w="0" w:type="auto"/>
            <w:gridSpan w:val="3"/>
            <w:shd w:val="clear" w:color="auto" w:fill="auto"/>
            <w:vAlign w:val="bottom"/>
          </w:tcPr>
          <w:p w14:paraId="71D46E72" w14:textId="77777777" w:rsidR="006A3667" w:rsidRDefault="006A3667">
            <w:pPr>
              <w:rPr>
                <w:rFonts w:ascii="宋体"/>
                <w:vanish/>
              </w:rPr>
            </w:pPr>
          </w:p>
        </w:tc>
        <w:tc>
          <w:tcPr>
            <w:tcW w:w="0" w:type="auto"/>
            <w:gridSpan w:val="3"/>
            <w:shd w:val="clear" w:color="auto" w:fill="auto"/>
            <w:vAlign w:val="bottom"/>
          </w:tcPr>
          <w:p w14:paraId="71D46E73" w14:textId="77777777" w:rsidR="006A3667" w:rsidRDefault="006A3667">
            <w:pPr>
              <w:rPr>
                <w:rFonts w:ascii="宋体"/>
                <w:vanish/>
              </w:rPr>
            </w:pPr>
          </w:p>
        </w:tc>
        <w:tc>
          <w:tcPr>
            <w:tcW w:w="0" w:type="auto"/>
            <w:gridSpan w:val="3"/>
            <w:shd w:val="clear" w:color="auto" w:fill="auto"/>
            <w:vAlign w:val="bottom"/>
          </w:tcPr>
          <w:p w14:paraId="71D46E74" w14:textId="77777777" w:rsidR="006A3667" w:rsidRDefault="006A3667">
            <w:pPr>
              <w:rPr>
                <w:rFonts w:ascii="宋体"/>
                <w:vanish/>
              </w:rPr>
            </w:pPr>
          </w:p>
        </w:tc>
        <w:tc>
          <w:tcPr>
            <w:tcW w:w="0" w:type="auto"/>
            <w:gridSpan w:val="3"/>
            <w:shd w:val="clear" w:color="auto" w:fill="auto"/>
            <w:vAlign w:val="bottom"/>
          </w:tcPr>
          <w:p w14:paraId="71D46E75" w14:textId="77777777" w:rsidR="006A3667" w:rsidRDefault="006A3667">
            <w:pPr>
              <w:rPr>
                <w:rFonts w:ascii="宋体"/>
                <w:vanish/>
              </w:rPr>
            </w:pPr>
          </w:p>
        </w:tc>
        <w:tc>
          <w:tcPr>
            <w:tcW w:w="0" w:type="auto"/>
            <w:gridSpan w:val="3"/>
            <w:shd w:val="clear" w:color="auto" w:fill="auto"/>
            <w:vAlign w:val="bottom"/>
          </w:tcPr>
          <w:p w14:paraId="71D46E76" w14:textId="77777777" w:rsidR="006A3667" w:rsidRDefault="006A3667">
            <w:pPr>
              <w:rPr>
                <w:rFonts w:ascii="宋体"/>
                <w:vanish/>
              </w:rPr>
            </w:pPr>
          </w:p>
        </w:tc>
        <w:tc>
          <w:tcPr>
            <w:tcW w:w="0" w:type="auto"/>
            <w:gridSpan w:val="3"/>
            <w:shd w:val="clear" w:color="auto" w:fill="auto"/>
            <w:vAlign w:val="bottom"/>
          </w:tcPr>
          <w:p w14:paraId="71D46E77" w14:textId="77777777" w:rsidR="006A3667" w:rsidRDefault="006A3667">
            <w:pPr>
              <w:rPr>
                <w:rFonts w:ascii="宋体"/>
                <w:vanish/>
              </w:rPr>
            </w:pPr>
          </w:p>
        </w:tc>
        <w:tc>
          <w:tcPr>
            <w:tcW w:w="0" w:type="auto"/>
            <w:gridSpan w:val="3"/>
            <w:shd w:val="clear" w:color="auto" w:fill="auto"/>
            <w:vAlign w:val="bottom"/>
          </w:tcPr>
          <w:p w14:paraId="71D46E78" w14:textId="77777777" w:rsidR="006A3667" w:rsidRDefault="006A3667">
            <w:pPr>
              <w:rPr>
                <w:rFonts w:ascii="宋体"/>
                <w:vanish/>
              </w:rPr>
            </w:pPr>
          </w:p>
        </w:tc>
        <w:tc>
          <w:tcPr>
            <w:tcW w:w="0" w:type="auto"/>
            <w:gridSpan w:val="3"/>
            <w:shd w:val="clear" w:color="auto" w:fill="auto"/>
            <w:vAlign w:val="bottom"/>
          </w:tcPr>
          <w:p w14:paraId="71D46E79" w14:textId="77777777" w:rsidR="006A3667" w:rsidRDefault="006A3667">
            <w:pPr>
              <w:rPr>
                <w:rFonts w:ascii="宋体"/>
                <w:vanish/>
              </w:rPr>
            </w:pPr>
          </w:p>
        </w:tc>
        <w:tc>
          <w:tcPr>
            <w:tcW w:w="0" w:type="auto"/>
            <w:gridSpan w:val="3"/>
            <w:shd w:val="clear" w:color="auto" w:fill="auto"/>
            <w:vAlign w:val="bottom"/>
          </w:tcPr>
          <w:p w14:paraId="71D46E7A" w14:textId="77777777" w:rsidR="006A3667" w:rsidRDefault="006A3667">
            <w:pPr>
              <w:rPr>
                <w:rFonts w:ascii="宋体"/>
                <w:vanish/>
              </w:rPr>
            </w:pPr>
          </w:p>
        </w:tc>
        <w:tc>
          <w:tcPr>
            <w:tcW w:w="0" w:type="auto"/>
            <w:gridSpan w:val="3"/>
            <w:shd w:val="clear" w:color="auto" w:fill="auto"/>
            <w:vAlign w:val="bottom"/>
          </w:tcPr>
          <w:p w14:paraId="71D46E7B" w14:textId="77777777" w:rsidR="006A3667" w:rsidRDefault="006A3667">
            <w:pPr>
              <w:rPr>
                <w:rFonts w:ascii="宋体"/>
                <w:vanish/>
              </w:rPr>
            </w:pPr>
          </w:p>
        </w:tc>
        <w:tc>
          <w:tcPr>
            <w:tcW w:w="0" w:type="auto"/>
            <w:gridSpan w:val="3"/>
            <w:shd w:val="clear" w:color="auto" w:fill="auto"/>
            <w:vAlign w:val="bottom"/>
          </w:tcPr>
          <w:p w14:paraId="71D46E7C" w14:textId="77777777" w:rsidR="006A3667" w:rsidRDefault="006A3667">
            <w:pPr>
              <w:rPr>
                <w:rFonts w:ascii="宋体"/>
                <w:vanish/>
              </w:rPr>
            </w:pPr>
          </w:p>
        </w:tc>
      </w:tr>
      <w:tr w:rsidR="006A3667" w14:paraId="71D46E8C" w14:textId="77777777">
        <w:trPr>
          <w:hidden/>
        </w:trPr>
        <w:tc>
          <w:tcPr>
            <w:tcW w:w="0" w:type="auto"/>
            <w:gridSpan w:val="3"/>
            <w:shd w:val="clear" w:color="auto" w:fill="auto"/>
            <w:vAlign w:val="bottom"/>
          </w:tcPr>
          <w:p w14:paraId="71D46E7E" w14:textId="77777777" w:rsidR="006A3667" w:rsidRDefault="006A3667">
            <w:pPr>
              <w:rPr>
                <w:rFonts w:ascii="宋体"/>
                <w:vanish/>
              </w:rPr>
            </w:pPr>
          </w:p>
        </w:tc>
        <w:tc>
          <w:tcPr>
            <w:tcW w:w="0" w:type="auto"/>
            <w:gridSpan w:val="3"/>
            <w:shd w:val="clear" w:color="auto" w:fill="auto"/>
            <w:vAlign w:val="bottom"/>
          </w:tcPr>
          <w:p w14:paraId="71D46E7F" w14:textId="77777777" w:rsidR="006A3667" w:rsidRDefault="006A3667">
            <w:pPr>
              <w:rPr>
                <w:rFonts w:ascii="宋体"/>
                <w:vanish/>
              </w:rPr>
            </w:pPr>
          </w:p>
        </w:tc>
        <w:tc>
          <w:tcPr>
            <w:tcW w:w="0" w:type="auto"/>
            <w:gridSpan w:val="3"/>
            <w:shd w:val="clear" w:color="auto" w:fill="auto"/>
            <w:vAlign w:val="bottom"/>
          </w:tcPr>
          <w:p w14:paraId="71D46E80" w14:textId="77777777" w:rsidR="006A3667" w:rsidRDefault="006A3667">
            <w:pPr>
              <w:rPr>
                <w:rFonts w:ascii="宋体"/>
                <w:vanish/>
              </w:rPr>
            </w:pPr>
          </w:p>
        </w:tc>
        <w:tc>
          <w:tcPr>
            <w:tcW w:w="0" w:type="auto"/>
            <w:gridSpan w:val="3"/>
            <w:shd w:val="clear" w:color="auto" w:fill="auto"/>
            <w:vAlign w:val="bottom"/>
          </w:tcPr>
          <w:p w14:paraId="71D46E81" w14:textId="77777777" w:rsidR="006A3667" w:rsidRDefault="006A3667">
            <w:pPr>
              <w:rPr>
                <w:rFonts w:ascii="宋体"/>
                <w:vanish/>
              </w:rPr>
            </w:pPr>
          </w:p>
        </w:tc>
        <w:tc>
          <w:tcPr>
            <w:tcW w:w="0" w:type="auto"/>
            <w:gridSpan w:val="3"/>
            <w:shd w:val="clear" w:color="auto" w:fill="auto"/>
            <w:vAlign w:val="bottom"/>
          </w:tcPr>
          <w:p w14:paraId="71D46E82" w14:textId="77777777" w:rsidR="006A3667" w:rsidRDefault="006A3667">
            <w:pPr>
              <w:rPr>
                <w:rFonts w:ascii="宋体"/>
                <w:vanish/>
              </w:rPr>
            </w:pPr>
          </w:p>
        </w:tc>
        <w:tc>
          <w:tcPr>
            <w:tcW w:w="0" w:type="auto"/>
            <w:gridSpan w:val="3"/>
            <w:shd w:val="clear" w:color="auto" w:fill="auto"/>
            <w:vAlign w:val="bottom"/>
          </w:tcPr>
          <w:p w14:paraId="71D46E83" w14:textId="77777777" w:rsidR="006A3667" w:rsidRDefault="006A3667">
            <w:pPr>
              <w:rPr>
                <w:rFonts w:ascii="宋体"/>
                <w:vanish/>
              </w:rPr>
            </w:pPr>
          </w:p>
        </w:tc>
        <w:tc>
          <w:tcPr>
            <w:tcW w:w="0" w:type="auto"/>
            <w:gridSpan w:val="3"/>
            <w:shd w:val="clear" w:color="auto" w:fill="auto"/>
            <w:vAlign w:val="bottom"/>
          </w:tcPr>
          <w:p w14:paraId="71D46E84" w14:textId="77777777" w:rsidR="006A3667" w:rsidRDefault="006A3667">
            <w:pPr>
              <w:rPr>
                <w:rFonts w:ascii="宋体"/>
                <w:vanish/>
              </w:rPr>
            </w:pPr>
          </w:p>
        </w:tc>
        <w:tc>
          <w:tcPr>
            <w:tcW w:w="0" w:type="auto"/>
            <w:gridSpan w:val="3"/>
            <w:shd w:val="clear" w:color="auto" w:fill="auto"/>
            <w:vAlign w:val="bottom"/>
          </w:tcPr>
          <w:p w14:paraId="71D46E85" w14:textId="77777777" w:rsidR="006A3667" w:rsidRDefault="006A3667">
            <w:pPr>
              <w:rPr>
                <w:rFonts w:ascii="宋体"/>
                <w:vanish/>
              </w:rPr>
            </w:pPr>
          </w:p>
        </w:tc>
        <w:tc>
          <w:tcPr>
            <w:tcW w:w="0" w:type="auto"/>
            <w:gridSpan w:val="3"/>
            <w:shd w:val="clear" w:color="auto" w:fill="auto"/>
            <w:vAlign w:val="bottom"/>
          </w:tcPr>
          <w:p w14:paraId="71D46E86" w14:textId="77777777" w:rsidR="006A3667" w:rsidRDefault="006A3667">
            <w:pPr>
              <w:rPr>
                <w:rFonts w:ascii="宋体"/>
                <w:vanish/>
              </w:rPr>
            </w:pPr>
          </w:p>
        </w:tc>
        <w:tc>
          <w:tcPr>
            <w:tcW w:w="0" w:type="auto"/>
            <w:gridSpan w:val="3"/>
            <w:shd w:val="clear" w:color="auto" w:fill="auto"/>
            <w:vAlign w:val="bottom"/>
          </w:tcPr>
          <w:p w14:paraId="71D46E87" w14:textId="77777777" w:rsidR="006A3667" w:rsidRDefault="006A3667">
            <w:pPr>
              <w:rPr>
                <w:rFonts w:ascii="宋体"/>
                <w:vanish/>
              </w:rPr>
            </w:pPr>
          </w:p>
        </w:tc>
        <w:tc>
          <w:tcPr>
            <w:tcW w:w="0" w:type="auto"/>
            <w:gridSpan w:val="3"/>
            <w:shd w:val="clear" w:color="auto" w:fill="auto"/>
            <w:vAlign w:val="bottom"/>
          </w:tcPr>
          <w:p w14:paraId="71D46E88" w14:textId="77777777" w:rsidR="006A3667" w:rsidRDefault="006A3667">
            <w:pPr>
              <w:rPr>
                <w:rFonts w:ascii="宋体"/>
                <w:vanish/>
              </w:rPr>
            </w:pPr>
          </w:p>
        </w:tc>
        <w:tc>
          <w:tcPr>
            <w:tcW w:w="0" w:type="auto"/>
            <w:gridSpan w:val="3"/>
            <w:shd w:val="clear" w:color="auto" w:fill="auto"/>
            <w:vAlign w:val="bottom"/>
          </w:tcPr>
          <w:p w14:paraId="71D46E89" w14:textId="77777777" w:rsidR="006A3667" w:rsidRDefault="006A3667">
            <w:pPr>
              <w:rPr>
                <w:rFonts w:ascii="宋体"/>
                <w:vanish/>
              </w:rPr>
            </w:pPr>
          </w:p>
        </w:tc>
        <w:tc>
          <w:tcPr>
            <w:tcW w:w="0" w:type="auto"/>
            <w:gridSpan w:val="3"/>
            <w:shd w:val="clear" w:color="auto" w:fill="auto"/>
            <w:vAlign w:val="bottom"/>
          </w:tcPr>
          <w:p w14:paraId="71D46E8A" w14:textId="77777777" w:rsidR="006A3667" w:rsidRDefault="006A3667">
            <w:pPr>
              <w:rPr>
                <w:rFonts w:ascii="宋体"/>
                <w:vanish/>
              </w:rPr>
            </w:pPr>
          </w:p>
        </w:tc>
        <w:tc>
          <w:tcPr>
            <w:tcW w:w="0" w:type="auto"/>
            <w:gridSpan w:val="3"/>
            <w:shd w:val="clear" w:color="auto" w:fill="auto"/>
            <w:vAlign w:val="bottom"/>
          </w:tcPr>
          <w:p w14:paraId="71D46E8B" w14:textId="77777777" w:rsidR="006A3667" w:rsidRDefault="006A3667">
            <w:pPr>
              <w:rPr>
                <w:rFonts w:ascii="宋体"/>
                <w:vanish/>
              </w:rPr>
            </w:pPr>
          </w:p>
        </w:tc>
      </w:tr>
      <w:tr w:rsidR="006A3667" w14:paraId="71D46E9B" w14:textId="77777777">
        <w:trPr>
          <w:hidden/>
        </w:trPr>
        <w:tc>
          <w:tcPr>
            <w:tcW w:w="0" w:type="auto"/>
            <w:gridSpan w:val="3"/>
            <w:shd w:val="clear" w:color="auto" w:fill="auto"/>
            <w:vAlign w:val="bottom"/>
          </w:tcPr>
          <w:p w14:paraId="71D46E8D" w14:textId="77777777" w:rsidR="006A3667" w:rsidRDefault="006A3667">
            <w:pPr>
              <w:rPr>
                <w:rFonts w:ascii="宋体"/>
                <w:vanish/>
              </w:rPr>
            </w:pPr>
          </w:p>
        </w:tc>
        <w:tc>
          <w:tcPr>
            <w:tcW w:w="0" w:type="auto"/>
            <w:gridSpan w:val="3"/>
            <w:shd w:val="clear" w:color="auto" w:fill="auto"/>
            <w:vAlign w:val="bottom"/>
          </w:tcPr>
          <w:p w14:paraId="71D46E8E" w14:textId="77777777" w:rsidR="006A3667" w:rsidRDefault="006A3667">
            <w:pPr>
              <w:rPr>
                <w:rFonts w:ascii="宋体"/>
                <w:vanish/>
              </w:rPr>
            </w:pPr>
          </w:p>
        </w:tc>
        <w:tc>
          <w:tcPr>
            <w:tcW w:w="0" w:type="auto"/>
            <w:gridSpan w:val="3"/>
            <w:shd w:val="clear" w:color="auto" w:fill="auto"/>
            <w:vAlign w:val="bottom"/>
          </w:tcPr>
          <w:p w14:paraId="71D46E8F" w14:textId="77777777" w:rsidR="006A3667" w:rsidRDefault="006A3667">
            <w:pPr>
              <w:rPr>
                <w:rFonts w:ascii="宋体"/>
                <w:vanish/>
              </w:rPr>
            </w:pPr>
          </w:p>
        </w:tc>
        <w:tc>
          <w:tcPr>
            <w:tcW w:w="0" w:type="auto"/>
            <w:gridSpan w:val="3"/>
            <w:shd w:val="clear" w:color="auto" w:fill="auto"/>
            <w:vAlign w:val="bottom"/>
          </w:tcPr>
          <w:p w14:paraId="71D46E90" w14:textId="77777777" w:rsidR="006A3667" w:rsidRDefault="006A3667">
            <w:pPr>
              <w:rPr>
                <w:rFonts w:ascii="宋体"/>
                <w:vanish/>
              </w:rPr>
            </w:pPr>
          </w:p>
        </w:tc>
        <w:tc>
          <w:tcPr>
            <w:tcW w:w="0" w:type="auto"/>
            <w:gridSpan w:val="3"/>
            <w:shd w:val="clear" w:color="auto" w:fill="auto"/>
            <w:vAlign w:val="bottom"/>
          </w:tcPr>
          <w:p w14:paraId="71D46E91" w14:textId="77777777" w:rsidR="006A3667" w:rsidRDefault="006A3667">
            <w:pPr>
              <w:rPr>
                <w:rFonts w:ascii="宋体"/>
                <w:vanish/>
              </w:rPr>
            </w:pPr>
          </w:p>
        </w:tc>
        <w:tc>
          <w:tcPr>
            <w:tcW w:w="0" w:type="auto"/>
            <w:gridSpan w:val="3"/>
            <w:shd w:val="clear" w:color="auto" w:fill="auto"/>
            <w:vAlign w:val="bottom"/>
          </w:tcPr>
          <w:p w14:paraId="71D46E92" w14:textId="77777777" w:rsidR="006A3667" w:rsidRDefault="006A3667">
            <w:pPr>
              <w:rPr>
                <w:rFonts w:ascii="宋体"/>
                <w:vanish/>
              </w:rPr>
            </w:pPr>
          </w:p>
        </w:tc>
        <w:tc>
          <w:tcPr>
            <w:tcW w:w="0" w:type="auto"/>
            <w:gridSpan w:val="3"/>
            <w:shd w:val="clear" w:color="auto" w:fill="auto"/>
            <w:vAlign w:val="bottom"/>
          </w:tcPr>
          <w:p w14:paraId="71D46E93" w14:textId="77777777" w:rsidR="006A3667" w:rsidRDefault="006A3667">
            <w:pPr>
              <w:rPr>
                <w:rFonts w:ascii="宋体"/>
                <w:vanish/>
              </w:rPr>
            </w:pPr>
          </w:p>
        </w:tc>
        <w:tc>
          <w:tcPr>
            <w:tcW w:w="0" w:type="auto"/>
            <w:gridSpan w:val="3"/>
            <w:shd w:val="clear" w:color="auto" w:fill="auto"/>
            <w:vAlign w:val="bottom"/>
          </w:tcPr>
          <w:p w14:paraId="71D46E94" w14:textId="77777777" w:rsidR="006A3667" w:rsidRDefault="006A3667">
            <w:pPr>
              <w:rPr>
                <w:rFonts w:ascii="宋体"/>
                <w:vanish/>
              </w:rPr>
            </w:pPr>
          </w:p>
        </w:tc>
        <w:tc>
          <w:tcPr>
            <w:tcW w:w="0" w:type="auto"/>
            <w:gridSpan w:val="3"/>
            <w:shd w:val="clear" w:color="auto" w:fill="auto"/>
            <w:vAlign w:val="bottom"/>
          </w:tcPr>
          <w:p w14:paraId="71D46E95" w14:textId="77777777" w:rsidR="006A3667" w:rsidRDefault="006A3667">
            <w:pPr>
              <w:rPr>
                <w:rFonts w:ascii="宋体"/>
                <w:vanish/>
              </w:rPr>
            </w:pPr>
          </w:p>
        </w:tc>
        <w:tc>
          <w:tcPr>
            <w:tcW w:w="0" w:type="auto"/>
            <w:gridSpan w:val="3"/>
            <w:shd w:val="clear" w:color="auto" w:fill="auto"/>
            <w:vAlign w:val="bottom"/>
          </w:tcPr>
          <w:p w14:paraId="71D46E96" w14:textId="77777777" w:rsidR="006A3667" w:rsidRDefault="006A3667">
            <w:pPr>
              <w:rPr>
                <w:rFonts w:ascii="宋体"/>
                <w:vanish/>
              </w:rPr>
            </w:pPr>
          </w:p>
        </w:tc>
        <w:tc>
          <w:tcPr>
            <w:tcW w:w="0" w:type="auto"/>
            <w:gridSpan w:val="3"/>
            <w:shd w:val="clear" w:color="auto" w:fill="auto"/>
            <w:vAlign w:val="bottom"/>
          </w:tcPr>
          <w:p w14:paraId="71D46E97" w14:textId="77777777" w:rsidR="006A3667" w:rsidRDefault="006A3667">
            <w:pPr>
              <w:rPr>
                <w:rFonts w:ascii="宋体"/>
                <w:vanish/>
              </w:rPr>
            </w:pPr>
          </w:p>
        </w:tc>
        <w:tc>
          <w:tcPr>
            <w:tcW w:w="0" w:type="auto"/>
            <w:gridSpan w:val="3"/>
            <w:shd w:val="clear" w:color="auto" w:fill="auto"/>
            <w:vAlign w:val="bottom"/>
          </w:tcPr>
          <w:p w14:paraId="71D46E98" w14:textId="77777777" w:rsidR="006A3667" w:rsidRDefault="006A3667">
            <w:pPr>
              <w:rPr>
                <w:rFonts w:ascii="宋体"/>
                <w:vanish/>
              </w:rPr>
            </w:pPr>
          </w:p>
        </w:tc>
        <w:tc>
          <w:tcPr>
            <w:tcW w:w="0" w:type="auto"/>
            <w:gridSpan w:val="3"/>
            <w:shd w:val="clear" w:color="auto" w:fill="auto"/>
            <w:vAlign w:val="bottom"/>
          </w:tcPr>
          <w:p w14:paraId="71D46E99" w14:textId="77777777" w:rsidR="006A3667" w:rsidRDefault="006A3667">
            <w:pPr>
              <w:rPr>
                <w:rFonts w:ascii="宋体"/>
                <w:vanish/>
              </w:rPr>
            </w:pPr>
          </w:p>
        </w:tc>
        <w:tc>
          <w:tcPr>
            <w:tcW w:w="0" w:type="auto"/>
            <w:gridSpan w:val="3"/>
            <w:shd w:val="clear" w:color="auto" w:fill="auto"/>
            <w:vAlign w:val="bottom"/>
          </w:tcPr>
          <w:p w14:paraId="71D46E9A" w14:textId="77777777" w:rsidR="006A3667" w:rsidRDefault="006A3667">
            <w:pPr>
              <w:rPr>
                <w:rFonts w:ascii="宋体"/>
                <w:vanish/>
              </w:rPr>
            </w:pPr>
          </w:p>
        </w:tc>
      </w:tr>
      <w:tr w:rsidR="006A3667" w14:paraId="71D46EAA" w14:textId="77777777">
        <w:trPr>
          <w:hidden/>
        </w:trPr>
        <w:tc>
          <w:tcPr>
            <w:tcW w:w="0" w:type="auto"/>
            <w:gridSpan w:val="3"/>
            <w:shd w:val="clear" w:color="auto" w:fill="auto"/>
            <w:vAlign w:val="bottom"/>
          </w:tcPr>
          <w:p w14:paraId="71D46E9C" w14:textId="77777777" w:rsidR="006A3667" w:rsidRDefault="006A3667">
            <w:pPr>
              <w:rPr>
                <w:rFonts w:ascii="宋体"/>
                <w:vanish/>
              </w:rPr>
            </w:pPr>
          </w:p>
        </w:tc>
        <w:tc>
          <w:tcPr>
            <w:tcW w:w="0" w:type="auto"/>
            <w:gridSpan w:val="3"/>
            <w:shd w:val="clear" w:color="auto" w:fill="auto"/>
            <w:vAlign w:val="bottom"/>
          </w:tcPr>
          <w:p w14:paraId="71D46E9D" w14:textId="77777777" w:rsidR="006A3667" w:rsidRDefault="006A3667">
            <w:pPr>
              <w:rPr>
                <w:rFonts w:ascii="宋体"/>
                <w:vanish/>
              </w:rPr>
            </w:pPr>
          </w:p>
        </w:tc>
        <w:tc>
          <w:tcPr>
            <w:tcW w:w="0" w:type="auto"/>
            <w:gridSpan w:val="3"/>
            <w:shd w:val="clear" w:color="auto" w:fill="auto"/>
            <w:vAlign w:val="bottom"/>
          </w:tcPr>
          <w:p w14:paraId="71D46E9E" w14:textId="77777777" w:rsidR="006A3667" w:rsidRDefault="006A3667">
            <w:pPr>
              <w:rPr>
                <w:rFonts w:ascii="宋体"/>
                <w:vanish/>
              </w:rPr>
            </w:pPr>
          </w:p>
        </w:tc>
        <w:tc>
          <w:tcPr>
            <w:tcW w:w="0" w:type="auto"/>
            <w:gridSpan w:val="3"/>
            <w:shd w:val="clear" w:color="auto" w:fill="auto"/>
            <w:vAlign w:val="bottom"/>
          </w:tcPr>
          <w:p w14:paraId="71D46E9F" w14:textId="77777777" w:rsidR="006A3667" w:rsidRDefault="006A3667">
            <w:pPr>
              <w:rPr>
                <w:rFonts w:ascii="宋体"/>
                <w:vanish/>
              </w:rPr>
            </w:pPr>
          </w:p>
        </w:tc>
        <w:tc>
          <w:tcPr>
            <w:tcW w:w="0" w:type="auto"/>
            <w:gridSpan w:val="3"/>
            <w:shd w:val="clear" w:color="auto" w:fill="auto"/>
            <w:vAlign w:val="bottom"/>
          </w:tcPr>
          <w:p w14:paraId="71D46EA0" w14:textId="77777777" w:rsidR="006A3667" w:rsidRDefault="006A3667">
            <w:pPr>
              <w:rPr>
                <w:rFonts w:ascii="宋体"/>
                <w:vanish/>
              </w:rPr>
            </w:pPr>
          </w:p>
        </w:tc>
        <w:tc>
          <w:tcPr>
            <w:tcW w:w="0" w:type="auto"/>
            <w:gridSpan w:val="3"/>
            <w:shd w:val="clear" w:color="auto" w:fill="auto"/>
            <w:vAlign w:val="bottom"/>
          </w:tcPr>
          <w:p w14:paraId="71D46EA1" w14:textId="77777777" w:rsidR="006A3667" w:rsidRDefault="006A3667">
            <w:pPr>
              <w:rPr>
                <w:rFonts w:ascii="宋体"/>
                <w:vanish/>
              </w:rPr>
            </w:pPr>
          </w:p>
        </w:tc>
        <w:tc>
          <w:tcPr>
            <w:tcW w:w="0" w:type="auto"/>
            <w:gridSpan w:val="3"/>
            <w:shd w:val="clear" w:color="auto" w:fill="auto"/>
            <w:vAlign w:val="bottom"/>
          </w:tcPr>
          <w:p w14:paraId="71D46EA2" w14:textId="77777777" w:rsidR="006A3667" w:rsidRDefault="006A3667">
            <w:pPr>
              <w:rPr>
                <w:rFonts w:ascii="宋体"/>
                <w:vanish/>
              </w:rPr>
            </w:pPr>
          </w:p>
        </w:tc>
        <w:tc>
          <w:tcPr>
            <w:tcW w:w="0" w:type="auto"/>
            <w:gridSpan w:val="3"/>
            <w:shd w:val="clear" w:color="auto" w:fill="auto"/>
            <w:vAlign w:val="bottom"/>
          </w:tcPr>
          <w:p w14:paraId="71D46EA3" w14:textId="77777777" w:rsidR="006A3667" w:rsidRDefault="006A3667">
            <w:pPr>
              <w:rPr>
                <w:rFonts w:ascii="宋体"/>
                <w:vanish/>
              </w:rPr>
            </w:pPr>
          </w:p>
        </w:tc>
        <w:tc>
          <w:tcPr>
            <w:tcW w:w="0" w:type="auto"/>
            <w:gridSpan w:val="3"/>
            <w:shd w:val="clear" w:color="auto" w:fill="auto"/>
            <w:vAlign w:val="bottom"/>
          </w:tcPr>
          <w:p w14:paraId="71D46EA4" w14:textId="77777777" w:rsidR="006A3667" w:rsidRDefault="006A3667">
            <w:pPr>
              <w:rPr>
                <w:rFonts w:ascii="宋体"/>
                <w:vanish/>
              </w:rPr>
            </w:pPr>
          </w:p>
        </w:tc>
        <w:tc>
          <w:tcPr>
            <w:tcW w:w="0" w:type="auto"/>
            <w:gridSpan w:val="3"/>
            <w:shd w:val="clear" w:color="auto" w:fill="auto"/>
            <w:vAlign w:val="bottom"/>
          </w:tcPr>
          <w:p w14:paraId="71D46EA5" w14:textId="77777777" w:rsidR="006A3667" w:rsidRDefault="006A3667">
            <w:pPr>
              <w:rPr>
                <w:rFonts w:ascii="宋体"/>
                <w:vanish/>
              </w:rPr>
            </w:pPr>
          </w:p>
        </w:tc>
        <w:tc>
          <w:tcPr>
            <w:tcW w:w="0" w:type="auto"/>
            <w:gridSpan w:val="3"/>
            <w:shd w:val="clear" w:color="auto" w:fill="auto"/>
            <w:vAlign w:val="bottom"/>
          </w:tcPr>
          <w:p w14:paraId="71D46EA6" w14:textId="77777777" w:rsidR="006A3667" w:rsidRDefault="006A3667">
            <w:pPr>
              <w:rPr>
                <w:rFonts w:ascii="宋体"/>
                <w:vanish/>
              </w:rPr>
            </w:pPr>
          </w:p>
        </w:tc>
        <w:tc>
          <w:tcPr>
            <w:tcW w:w="0" w:type="auto"/>
            <w:gridSpan w:val="3"/>
            <w:shd w:val="clear" w:color="auto" w:fill="auto"/>
            <w:vAlign w:val="bottom"/>
          </w:tcPr>
          <w:p w14:paraId="71D46EA7" w14:textId="77777777" w:rsidR="006A3667" w:rsidRDefault="006A3667">
            <w:pPr>
              <w:rPr>
                <w:rFonts w:ascii="宋体"/>
                <w:vanish/>
              </w:rPr>
            </w:pPr>
          </w:p>
        </w:tc>
        <w:tc>
          <w:tcPr>
            <w:tcW w:w="0" w:type="auto"/>
            <w:gridSpan w:val="3"/>
            <w:shd w:val="clear" w:color="auto" w:fill="auto"/>
            <w:vAlign w:val="bottom"/>
          </w:tcPr>
          <w:p w14:paraId="71D46EA8" w14:textId="77777777" w:rsidR="006A3667" w:rsidRDefault="006A3667">
            <w:pPr>
              <w:rPr>
                <w:rFonts w:ascii="宋体"/>
                <w:vanish/>
              </w:rPr>
            </w:pPr>
          </w:p>
        </w:tc>
        <w:tc>
          <w:tcPr>
            <w:tcW w:w="0" w:type="auto"/>
            <w:gridSpan w:val="3"/>
            <w:shd w:val="clear" w:color="auto" w:fill="auto"/>
            <w:vAlign w:val="bottom"/>
          </w:tcPr>
          <w:p w14:paraId="71D46EA9" w14:textId="77777777" w:rsidR="006A3667" w:rsidRDefault="006A3667">
            <w:pPr>
              <w:rPr>
                <w:rFonts w:ascii="宋体"/>
                <w:vanish/>
              </w:rPr>
            </w:pPr>
          </w:p>
        </w:tc>
      </w:tr>
      <w:tr w:rsidR="006A3667" w14:paraId="71D46EB9" w14:textId="77777777">
        <w:trPr>
          <w:hidden/>
        </w:trPr>
        <w:tc>
          <w:tcPr>
            <w:tcW w:w="0" w:type="auto"/>
            <w:gridSpan w:val="3"/>
            <w:shd w:val="clear" w:color="auto" w:fill="auto"/>
            <w:vAlign w:val="bottom"/>
          </w:tcPr>
          <w:p w14:paraId="71D46EAB" w14:textId="77777777" w:rsidR="006A3667" w:rsidRDefault="006A3667">
            <w:pPr>
              <w:rPr>
                <w:rFonts w:ascii="宋体"/>
                <w:vanish/>
              </w:rPr>
            </w:pPr>
          </w:p>
        </w:tc>
        <w:tc>
          <w:tcPr>
            <w:tcW w:w="0" w:type="auto"/>
            <w:gridSpan w:val="3"/>
            <w:shd w:val="clear" w:color="auto" w:fill="auto"/>
            <w:vAlign w:val="bottom"/>
          </w:tcPr>
          <w:p w14:paraId="71D46EAC" w14:textId="77777777" w:rsidR="006A3667" w:rsidRDefault="006A3667">
            <w:pPr>
              <w:rPr>
                <w:rFonts w:ascii="宋体"/>
                <w:vanish/>
              </w:rPr>
            </w:pPr>
          </w:p>
        </w:tc>
        <w:tc>
          <w:tcPr>
            <w:tcW w:w="0" w:type="auto"/>
            <w:gridSpan w:val="3"/>
            <w:shd w:val="clear" w:color="auto" w:fill="auto"/>
            <w:vAlign w:val="bottom"/>
          </w:tcPr>
          <w:p w14:paraId="71D46EAD" w14:textId="77777777" w:rsidR="006A3667" w:rsidRDefault="006A3667">
            <w:pPr>
              <w:rPr>
                <w:rFonts w:ascii="宋体"/>
                <w:vanish/>
              </w:rPr>
            </w:pPr>
          </w:p>
        </w:tc>
        <w:tc>
          <w:tcPr>
            <w:tcW w:w="0" w:type="auto"/>
            <w:gridSpan w:val="3"/>
            <w:shd w:val="clear" w:color="auto" w:fill="auto"/>
            <w:vAlign w:val="bottom"/>
          </w:tcPr>
          <w:p w14:paraId="71D46EAE" w14:textId="77777777" w:rsidR="006A3667" w:rsidRDefault="006A3667">
            <w:pPr>
              <w:rPr>
                <w:rFonts w:ascii="宋体"/>
                <w:vanish/>
              </w:rPr>
            </w:pPr>
          </w:p>
        </w:tc>
        <w:tc>
          <w:tcPr>
            <w:tcW w:w="0" w:type="auto"/>
            <w:gridSpan w:val="3"/>
            <w:shd w:val="clear" w:color="auto" w:fill="auto"/>
            <w:vAlign w:val="bottom"/>
          </w:tcPr>
          <w:p w14:paraId="71D46EAF" w14:textId="77777777" w:rsidR="006A3667" w:rsidRDefault="006A3667">
            <w:pPr>
              <w:rPr>
                <w:rFonts w:ascii="宋体"/>
                <w:vanish/>
              </w:rPr>
            </w:pPr>
          </w:p>
        </w:tc>
        <w:tc>
          <w:tcPr>
            <w:tcW w:w="0" w:type="auto"/>
            <w:gridSpan w:val="3"/>
            <w:shd w:val="clear" w:color="auto" w:fill="auto"/>
            <w:vAlign w:val="bottom"/>
          </w:tcPr>
          <w:p w14:paraId="71D46EB0" w14:textId="77777777" w:rsidR="006A3667" w:rsidRDefault="006A3667">
            <w:pPr>
              <w:rPr>
                <w:rFonts w:ascii="宋体"/>
                <w:vanish/>
              </w:rPr>
            </w:pPr>
          </w:p>
        </w:tc>
        <w:tc>
          <w:tcPr>
            <w:tcW w:w="0" w:type="auto"/>
            <w:gridSpan w:val="3"/>
            <w:shd w:val="clear" w:color="auto" w:fill="auto"/>
            <w:vAlign w:val="bottom"/>
          </w:tcPr>
          <w:p w14:paraId="71D46EB1" w14:textId="77777777" w:rsidR="006A3667" w:rsidRDefault="006A3667">
            <w:pPr>
              <w:rPr>
                <w:rFonts w:ascii="宋体"/>
                <w:vanish/>
              </w:rPr>
            </w:pPr>
          </w:p>
        </w:tc>
        <w:tc>
          <w:tcPr>
            <w:tcW w:w="0" w:type="auto"/>
            <w:gridSpan w:val="3"/>
            <w:shd w:val="clear" w:color="auto" w:fill="auto"/>
            <w:vAlign w:val="bottom"/>
          </w:tcPr>
          <w:p w14:paraId="71D46EB2" w14:textId="77777777" w:rsidR="006A3667" w:rsidRDefault="006A3667">
            <w:pPr>
              <w:rPr>
                <w:rFonts w:ascii="宋体"/>
                <w:vanish/>
              </w:rPr>
            </w:pPr>
          </w:p>
        </w:tc>
        <w:tc>
          <w:tcPr>
            <w:tcW w:w="0" w:type="auto"/>
            <w:gridSpan w:val="3"/>
            <w:shd w:val="clear" w:color="auto" w:fill="auto"/>
            <w:vAlign w:val="bottom"/>
          </w:tcPr>
          <w:p w14:paraId="71D46EB3" w14:textId="77777777" w:rsidR="006A3667" w:rsidRDefault="006A3667">
            <w:pPr>
              <w:rPr>
                <w:rFonts w:ascii="宋体"/>
                <w:vanish/>
              </w:rPr>
            </w:pPr>
          </w:p>
        </w:tc>
        <w:tc>
          <w:tcPr>
            <w:tcW w:w="0" w:type="auto"/>
            <w:gridSpan w:val="3"/>
            <w:shd w:val="clear" w:color="auto" w:fill="auto"/>
            <w:vAlign w:val="bottom"/>
          </w:tcPr>
          <w:p w14:paraId="71D46EB4" w14:textId="77777777" w:rsidR="006A3667" w:rsidRDefault="006A3667">
            <w:pPr>
              <w:rPr>
                <w:rFonts w:ascii="宋体"/>
                <w:vanish/>
              </w:rPr>
            </w:pPr>
          </w:p>
        </w:tc>
        <w:tc>
          <w:tcPr>
            <w:tcW w:w="0" w:type="auto"/>
            <w:gridSpan w:val="3"/>
            <w:shd w:val="clear" w:color="auto" w:fill="auto"/>
            <w:vAlign w:val="bottom"/>
          </w:tcPr>
          <w:p w14:paraId="71D46EB5" w14:textId="77777777" w:rsidR="006A3667" w:rsidRDefault="006A3667">
            <w:pPr>
              <w:rPr>
                <w:rFonts w:ascii="宋体"/>
                <w:vanish/>
              </w:rPr>
            </w:pPr>
          </w:p>
        </w:tc>
        <w:tc>
          <w:tcPr>
            <w:tcW w:w="0" w:type="auto"/>
            <w:gridSpan w:val="3"/>
            <w:shd w:val="clear" w:color="auto" w:fill="auto"/>
            <w:vAlign w:val="bottom"/>
          </w:tcPr>
          <w:p w14:paraId="71D46EB6" w14:textId="77777777" w:rsidR="006A3667" w:rsidRDefault="006A3667">
            <w:pPr>
              <w:rPr>
                <w:rFonts w:ascii="宋体"/>
                <w:vanish/>
              </w:rPr>
            </w:pPr>
          </w:p>
        </w:tc>
        <w:tc>
          <w:tcPr>
            <w:tcW w:w="0" w:type="auto"/>
            <w:gridSpan w:val="3"/>
            <w:shd w:val="clear" w:color="auto" w:fill="auto"/>
            <w:vAlign w:val="bottom"/>
          </w:tcPr>
          <w:p w14:paraId="71D46EB7" w14:textId="77777777" w:rsidR="006A3667" w:rsidRDefault="006A3667">
            <w:pPr>
              <w:rPr>
                <w:rFonts w:ascii="宋体"/>
                <w:vanish/>
              </w:rPr>
            </w:pPr>
          </w:p>
        </w:tc>
        <w:tc>
          <w:tcPr>
            <w:tcW w:w="0" w:type="auto"/>
            <w:gridSpan w:val="3"/>
            <w:shd w:val="clear" w:color="auto" w:fill="auto"/>
            <w:vAlign w:val="bottom"/>
          </w:tcPr>
          <w:p w14:paraId="71D46EB8" w14:textId="77777777" w:rsidR="006A3667" w:rsidRDefault="006A3667">
            <w:pPr>
              <w:rPr>
                <w:rFonts w:ascii="宋体"/>
                <w:vanish/>
              </w:rPr>
            </w:pPr>
          </w:p>
        </w:tc>
      </w:tr>
      <w:tr w:rsidR="006A3667" w14:paraId="71D46EC8" w14:textId="77777777">
        <w:trPr>
          <w:hidden/>
        </w:trPr>
        <w:tc>
          <w:tcPr>
            <w:tcW w:w="0" w:type="auto"/>
            <w:gridSpan w:val="3"/>
            <w:shd w:val="clear" w:color="auto" w:fill="auto"/>
            <w:vAlign w:val="bottom"/>
          </w:tcPr>
          <w:p w14:paraId="71D46EBA" w14:textId="77777777" w:rsidR="006A3667" w:rsidRDefault="006A3667">
            <w:pPr>
              <w:rPr>
                <w:rFonts w:ascii="宋体"/>
                <w:vanish/>
              </w:rPr>
            </w:pPr>
          </w:p>
        </w:tc>
        <w:tc>
          <w:tcPr>
            <w:tcW w:w="0" w:type="auto"/>
            <w:gridSpan w:val="3"/>
            <w:shd w:val="clear" w:color="auto" w:fill="auto"/>
            <w:vAlign w:val="bottom"/>
          </w:tcPr>
          <w:p w14:paraId="71D46EBB" w14:textId="77777777" w:rsidR="006A3667" w:rsidRDefault="006A3667">
            <w:pPr>
              <w:rPr>
                <w:rFonts w:ascii="宋体"/>
                <w:vanish/>
              </w:rPr>
            </w:pPr>
          </w:p>
        </w:tc>
        <w:tc>
          <w:tcPr>
            <w:tcW w:w="0" w:type="auto"/>
            <w:gridSpan w:val="3"/>
            <w:shd w:val="clear" w:color="auto" w:fill="auto"/>
            <w:vAlign w:val="bottom"/>
          </w:tcPr>
          <w:p w14:paraId="71D46EBC" w14:textId="77777777" w:rsidR="006A3667" w:rsidRDefault="006A3667">
            <w:pPr>
              <w:rPr>
                <w:rFonts w:ascii="宋体"/>
                <w:vanish/>
              </w:rPr>
            </w:pPr>
          </w:p>
        </w:tc>
        <w:tc>
          <w:tcPr>
            <w:tcW w:w="0" w:type="auto"/>
            <w:gridSpan w:val="3"/>
            <w:shd w:val="clear" w:color="auto" w:fill="auto"/>
            <w:vAlign w:val="bottom"/>
          </w:tcPr>
          <w:p w14:paraId="71D46EBD" w14:textId="77777777" w:rsidR="006A3667" w:rsidRDefault="006A3667">
            <w:pPr>
              <w:rPr>
                <w:rFonts w:ascii="宋体"/>
                <w:vanish/>
              </w:rPr>
            </w:pPr>
          </w:p>
        </w:tc>
        <w:tc>
          <w:tcPr>
            <w:tcW w:w="0" w:type="auto"/>
            <w:gridSpan w:val="3"/>
            <w:shd w:val="clear" w:color="auto" w:fill="auto"/>
            <w:vAlign w:val="bottom"/>
          </w:tcPr>
          <w:p w14:paraId="71D46EBE" w14:textId="77777777" w:rsidR="006A3667" w:rsidRDefault="006A3667">
            <w:pPr>
              <w:rPr>
                <w:rFonts w:ascii="宋体"/>
                <w:vanish/>
              </w:rPr>
            </w:pPr>
          </w:p>
        </w:tc>
        <w:tc>
          <w:tcPr>
            <w:tcW w:w="0" w:type="auto"/>
            <w:gridSpan w:val="3"/>
            <w:shd w:val="clear" w:color="auto" w:fill="auto"/>
            <w:vAlign w:val="bottom"/>
          </w:tcPr>
          <w:p w14:paraId="71D46EBF" w14:textId="77777777" w:rsidR="006A3667" w:rsidRDefault="006A3667">
            <w:pPr>
              <w:rPr>
                <w:rFonts w:ascii="宋体"/>
                <w:vanish/>
              </w:rPr>
            </w:pPr>
          </w:p>
        </w:tc>
        <w:tc>
          <w:tcPr>
            <w:tcW w:w="0" w:type="auto"/>
            <w:gridSpan w:val="3"/>
            <w:shd w:val="clear" w:color="auto" w:fill="auto"/>
            <w:vAlign w:val="bottom"/>
          </w:tcPr>
          <w:p w14:paraId="71D46EC0" w14:textId="77777777" w:rsidR="006A3667" w:rsidRDefault="006A3667">
            <w:pPr>
              <w:rPr>
                <w:rFonts w:ascii="宋体"/>
                <w:vanish/>
              </w:rPr>
            </w:pPr>
          </w:p>
        </w:tc>
        <w:tc>
          <w:tcPr>
            <w:tcW w:w="0" w:type="auto"/>
            <w:gridSpan w:val="3"/>
            <w:shd w:val="clear" w:color="auto" w:fill="auto"/>
            <w:vAlign w:val="bottom"/>
          </w:tcPr>
          <w:p w14:paraId="71D46EC1" w14:textId="77777777" w:rsidR="006A3667" w:rsidRDefault="006A3667">
            <w:pPr>
              <w:rPr>
                <w:rFonts w:ascii="宋体"/>
                <w:vanish/>
              </w:rPr>
            </w:pPr>
          </w:p>
        </w:tc>
        <w:tc>
          <w:tcPr>
            <w:tcW w:w="0" w:type="auto"/>
            <w:gridSpan w:val="3"/>
            <w:shd w:val="clear" w:color="auto" w:fill="auto"/>
            <w:vAlign w:val="bottom"/>
          </w:tcPr>
          <w:p w14:paraId="71D46EC2" w14:textId="77777777" w:rsidR="006A3667" w:rsidRDefault="006A3667">
            <w:pPr>
              <w:rPr>
                <w:rFonts w:ascii="宋体"/>
                <w:vanish/>
              </w:rPr>
            </w:pPr>
          </w:p>
        </w:tc>
        <w:tc>
          <w:tcPr>
            <w:tcW w:w="0" w:type="auto"/>
            <w:gridSpan w:val="3"/>
            <w:shd w:val="clear" w:color="auto" w:fill="auto"/>
            <w:vAlign w:val="bottom"/>
          </w:tcPr>
          <w:p w14:paraId="71D46EC3" w14:textId="77777777" w:rsidR="006A3667" w:rsidRDefault="006A3667">
            <w:pPr>
              <w:rPr>
                <w:rFonts w:ascii="宋体"/>
                <w:vanish/>
              </w:rPr>
            </w:pPr>
          </w:p>
        </w:tc>
        <w:tc>
          <w:tcPr>
            <w:tcW w:w="0" w:type="auto"/>
            <w:gridSpan w:val="3"/>
            <w:shd w:val="clear" w:color="auto" w:fill="auto"/>
            <w:vAlign w:val="bottom"/>
          </w:tcPr>
          <w:p w14:paraId="71D46EC4" w14:textId="77777777" w:rsidR="006A3667" w:rsidRDefault="006A3667">
            <w:pPr>
              <w:rPr>
                <w:rFonts w:ascii="宋体"/>
                <w:vanish/>
              </w:rPr>
            </w:pPr>
          </w:p>
        </w:tc>
        <w:tc>
          <w:tcPr>
            <w:tcW w:w="0" w:type="auto"/>
            <w:gridSpan w:val="3"/>
            <w:shd w:val="clear" w:color="auto" w:fill="auto"/>
            <w:vAlign w:val="bottom"/>
          </w:tcPr>
          <w:p w14:paraId="71D46EC5" w14:textId="77777777" w:rsidR="006A3667" w:rsidRDefault="006A3667">
            <w:pPr>
              <w:rPr>
                <w:rFonts w:ascii="宋体"/>
                <w:vanish/>
              </w:rPr>
            </w:pPr>
          </w:p>
        </w:tc>
        <w:tc>
          <w:tcPr>
            <w:tcW w:w="0" w:type="auto"/>
            <w:gridSpan w:val="3"/>
            <w:shd w:val="clear" w:color="auto" w:fill="auto"/>
            <w:vAlign w:val="bottom"/>
          </w:tcPr>
          <w:p w14:paraId="71D46EC6" w14:textId="77777777" w:rsidR="006A3667" w:rsidRDefault="006A3667">
            <w:pPr>
              <w:rPr>
                <w:rFonts w:ascii="宋体"/>
                <w:vanish/>
              </w:rPr>
            </w:pPr>
          </w:p>
        </w:tc>
        <w:tc>
          <w:tcPr>
            <w:tcW w:w="0" w:type="auto"/>
            <w:gridSpan w:val="3"/>
            <w:shd w:val="clear" w:color="auto" w:fill="auto"/>
            <w:vAlign w:val="bottom"/>
          </w:tcPr>
          <w:p w14:paraId="71D46EC7" w14:textId="77777777" w:rsidR="006A3667" w:rsidRDefault="006A3667">
            <w:pPr>
              <w:rPr>
                <w:rFonts w:ascii="宋体"/>
                <w:vanish/>
              </w:rPr>
            </w:pPr>
          </w:p>
        </w:tc>
      </w:tr>
      <w:tr w:rsidR="006A3667" w14:paraId="71D46ED7" w14:textId="77777777">
        <w:trPr>
          <w:hidden/>
        </w:trPr>
        <w:tc>
          <w:tcPr>
            <w:tcW w:w="0" w:type="auto"/>
            <w:gridSpan w:val="3"/>
            <w:shd w:val="clear" w:color="auto" w:fill="auto"/>
            <w:vAlign w:val="bottom"/>
          </w:tcPr>
          <w:p w14:paraId="71D46EC9" w14:textId="77777777" w:rsidR="006A3667" w:rsidRDefault="006A3667">
            <w:pPr>
              <w:rPr>
                <w:rFonts w:ascii="宋体"/>
                <w:vanish/>
              </w:rPr>
            </w:pPr>
          </w:p>
        </w:tc>
        <w:tc>
          <w:tcPr>
            <w:tcW w:w="0" w:type="auto"/>
            <w:gridSpan w:val="3"/>
            <w:shd w:val="clear" w:color="auto" w:fill="auto"/>
            <w:vAlign w:val="bottom"/>
          </w:tcPr>
          <w:p w14:paraId="71D46ECA" w14:textId="77777777" w:rsidR="006A3667" w:rsidRDefault="006A3667">
            <w:pPr>
              <w:rPr>
                <w:rFonts w:ascii="宋体"/>
                <w:vanish/>
              </w:rPr>
            </w:pPr>
          </w:p>
        </w:tc>
        <w:tc>
          <w:tcPr>
            <w:tcW w:w="0" w:type="auto"/>
            <w:gridSpan w:val="3"/>
            <w:shd w:val="clear" w:color="auto" w:fill="auto"/>
            <w:vAlign w:val="bottom"/>
          </w:tcPr>
          <w:p w14:paraId="71D46ECB" w14:textId="77777777" w:rsidR="006A3667" w:rsidRDefault="006A3667">
            <w:pPr>
              <w:rPr>
                <w:rFonts w:ascii="宋体"/>
                <w:vanish/>
              </w:rPr>
            </w:pPr>
          </w:p>
        </w:tc>
        <w:tc>
          <w:tcPr>
            <w:tcW w:w="0" w:type="auto"/>
            <w:gridSpan w:val="3"/>
            <w:shd w:val="clear" w:color="auto" w:fill="auto"/>
            <w:vAlign w:val="bottom"/>
          </w:tcPr>
          <w:p w14:paraId="71D46ECC" w14:textId="77777777" w:rsidR="006A3667" w:rsidRDefault="006A3667">
            <w:pPr>
              <w:rPr>
                <w:rFonts w:ascii="宋体"/>
                <w:vanish/>
              </w:rPr>
            </w:pPr>
          </w:p>
        </w:tc>
        <w:tc>
          <w:tcPr>
            <w:tcW w:w="0" w:type="auto"/>
            <w:gridSpan w:val="3"/>
            <w:shd w:val="clear" w:color="auto" w:fill="auto"/>
            <w:vAlign w:val="bottom"/>
          </w:tcPr>
          <w:p w14:paraId="71D46ECD" w14:textId="77777777" w:rsidR="006A3667" w:rsidRDefault="006A3667">
            <w:pPr>
              <w:rPr>
                <w:rFonts w:ascii="宋体"/>
                <w:vanish/>
              </w:rPr>
            </w:pPr>
          </w:p>
        </w:tc>
        <w:tc>
          <w:tcPr>
            <w:tcW w:w="0" w:type="auto"/>
            <w:gridSpan w:val="3"/>
            <w:shd w:val="clear" w:color="auto" w:fill="auto"/>
            <w:vAlign w:val="bottom"/>
          </w:tcPr>
          <w:p w14:paraId="71D46ECE" w14:textId="77777777" w:rsidR="006A3667" w:rsidRDefault="006A3667">
            <w:pPr>
              <w:rPr>
                <w:rFonts w:ascii="宋体"/>
                <w:vanish/>
              </w:rPr>
            </w:pPr>
          </w:p>
        </w:tc>
        <w:tc>
          <w:tcPr>
            <w:tcW w:w="0" w:type="auto"/>
            <w:gridSpan w:val="3"/>
            <w:shd w:val="clear" w:color="auto" w:fill="auto"/>
            <w:vAlign w:val="bottom"/>
          </w:tcPr>
          <w:p w14:paraId="71D46ECF" w14:textId="77777777" w:rsidR="006A3667" w:rsidRDefault="006A3667">
            <w:pPr>
              <w:rPr>
                <w:rFonts w:ascii="宋体"/>
                <w:vanish/>
              </w:rPr>
            </w:pPr>
          </w:p>
        </w:tc>
        <w:tc>
          <w:tcPr>
            <w:tcW w:w="0" w:type="auto"/>
            <w:gridSpan w:val="3"/>
            <w:shd w:val="clear" w:color="auto" w:fill="auto"/>
            <w:vAlign w:val="bottom"/>
          </w:tcPr>
          <w:p w14:paraId="71D46ED0" w14:textId="77777777" w:rsidR="006A3667" w:rsidRDefault="006A3667">
            <w:pPr>
              <w:rPr>
                <w:rFonts w:ascii="宋体"/>
                <w:vanish/>
              </w:rPr>
            </w:pPr>
          </w:p>
        </w:tc>
        <w:tc>
          <w:tcPr>
            <w:tcW w:w="0" w:type="auto"/>
            <w:gridSpan w:val="3"/>
            <w:shd w:val="clear" w:color="auto" w:fill="auto"/>
            <w:vAlign w:val="bottom"/>
          </w:tcPr>
          <w:p w14:paraId="71D46ED1" w14:textId="77777777" w:rsidR="006A3667" w:rsidRDefault="006A3667">
            <w:pPr>
              <w:rPr>
                <w:rFonts w:ascii="宋体"/>
                <w:vanish/>
              </w:rPr>
            </w:pPr>
          </w:p>
        </w:tc>
        <w:tc>
          <w:tcPr>
            <w:tcW w:w="0" w:type="auto"/>
            <w:gridSpan w:val="3"/>
            <w:shd w:val="clear" w:color="auto" w:fill="auto"/>
            <w:vAlign w:val="bottom"/>
          </w:tcPr>
          <w:p w14:paraId="71D46ED2" w14:textId="77777777" w:rsidR="006A3667" w:rsidRDefault="006A3667">
            <w:pPr>
              <w:rPr>
                <w:rFonts w:ascii="宋体"/>
                <w:vanish/>
              </w:rPr>
            </w:pPr>
          </w:p>
        </w:tc>
        <w:tc>
          <w:tcPr>
            <w:tcW w:w="0" w:type="auto"/>
            <w:gridSpan w:val="3"/>
            <w:shd w:val="clear" w:color="auto" w:fill="auto"/>
            <w:vAlign w:val="bottom"/>
          </w:tcPr>
          <w:p w14:paraId="71D46ED3" w14:textId="77777777" w:rsidR="006A3667" w:rsidRDefault="006A3667">
            <w:pPr>
              <w:rPr>
                <w:rFonts w:ascii="宋体"/>
                <w:vanish/>
              </w:rPr>
            </w:pPr>
          </w:p>
        </w:tc>
        <w:tc>
          <w:tcPr>
            <w:tcW w:w="0" w:type="auto"/>
            <w:gridSpan w:val="3"/>
            <w:shd w:val="clear" w:color="auto" w:fill="auto"/>
            <w:vAlign w:val="bottom"/>
          </w:tcPr>
          <w:p w14:paraId="71D46ED4" w14:textId="77777777" w:rsidR="006A3667" w:rsidRDefault="006A3667">
            <w:pPr>
              <w:rPr>
                <w:rFonts w:ascii="宋体"/>
                <w:vanish/>
              </w:rPr>
            </w:pPr>
          </w:p>
        </w:tc>
        <w:tc>
          <w:tcPr>
            <w:tcW w:w="0" w:type="auto"/>
            <w:gridSpan w:val="3"/>
            <w:shd w:val="clear" w:color="auto" w:fill="auto"/>
            <w:vAlign w:val="bottom"/>
          </w:tcPr>
          <w:p w14:paraId="71D46ED5" w14:textId="77777777" w:rsidR="006A3667" w:rsidRDefault="006A3667">
            <w:pPr>
              <w:rPr>
                <w:rFonts w:ascii="宋体"/>
                <w:vanish/>
              </w:rPr>
            </w:pPr>
          </w:p>
        </w:tc>
        <w:tc>
          <w:tcPr>
            <w:tcW w:w="0" w:type="auto"/>
            <w:gridSpan w:val="3"/>
            <w:shd w:val="clear" w:color="auto" w:fill="auto"/>
            <w:vAlign w:val="bottom"/>
          </w:tcPr>
          <w:p w14:paraId="71D46ED6" w14:textId="77777777" w:rsidR="006A3667" w:rsidRDefault="006A3667">
            <w:pPr>
              <w:rPr>
                <w:rFonts w:ascii="宋体"/>
                <w:vanish/>
              </w:rPr>
            </w:pPr>
          </w:p>
        </w:tc>
      </w:tr>
    </w:tbl>
    <w:p w14:paraId="71D46ED8" w14:textId="77777777" w:rsidR="006A3667" w:rsidRDefault="00045F32">
      <w:pPr>
        <w:ind w:firstLine="450"/>
        <w:jc w:val="right"/>
      </w:pPr>
      <w:r>
        <w:rPr>
          <w:rFonts w:ascii="Arial" w:eastAsia="宋体" w:hAnsi="Arial" w:cs="Arial"/>
          <w:color w:val="000000"/>
          <w:sz w:val="18"/>
          <w:szCs w:val="18"/>
        </w:rPr>
        <w:t>State Street Corporation | 74</w:t>
      </w:r>
    </w:p>
    <w:p w14:paraId="71D46ED9" w14:textId="77777777" w:rsidR="006A3667" w:rsidRDefault="006A3667">
      <w:pPr>
        <w:ind w:firstLine="450"/>
        <w:jc w:val="center"/>
      </w:pPr>
    </w:p>
    <w:p w14:paraId="71D46EDA" w14:textId="77777777" w:rsidR="006A3667" w:rsidRDefault="00045F32">
      <w:r>
        <w:pict w14:anchorId="71D4AC5E">
          <v:rect id="_x0000_i1098" style="width:415.3pt;height:1.5pt" o:hralign="center" o:hrstd="t" o:hr="t" fillcolor="#a0a0a0" stroked="f"/>
        </w:pict>
      </w:r>
    </w:p>
    <w:p w14:paraId="71D46EDB" w14:textId="77777777" w:rsidR="006A3667" w:rsidRDefault="00045F32">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71D46EDC"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6EDD" w14:textId="77777777" w:rsidR="006A3667" w:rsidRDefault="00045F32">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474"/>
        <w:gridCol w:w="38"/>
        <w:gridCol w:w="100"/>
        <w:gridCol w:w="660"/>
        <w:gridCol w:w="38"/>
        <w:gridCol w:w="36"/>
        <w:gridCol w:w="36"/>
        <w:gridCol w:w="36"/>
        <w:gridCol w:w="99"/>
        <w:gridCol w:w="604"/>
        <w:gridCol w:w="37"/>
        <w:gridCol w:w="36"/>
        <w:gridCol w:w="36"/>
        <w:gridCol w:w="36"/>
        <w:gridCol w:w="99"/>
        <w:gridCol w:w="750"/>
        <w:gridCol w:w="36"/>
        <w:gridCol w:w="36"/>
        <w:gridCol w:w="36"/>
        <w:gridCol w:w="36"/>
        <w:gridCol w:w="99"/>
        <w:gridCol w:w="1009"/>
        <w:gridCol w:w="36"/>
        <w:gridCol w:w="36"/>
        <w:gridCol w:w="36"/>
        <w:gridCol w:w="36"/>
        <w:gridCol w:w="99"/>
        <w:gridCol w:w="902"/>
        <w:gridCol w:w="36"/>
        <w:gridCol w:w="36"/>
        <w:gridCol w:w="36"/>
        <w:gridCol w:w="36"/>
        <w:gridCol w:w="99"/>
        <w:gridCol w:w="632"/>
        <w:gridCol w:w="36"/>
        <w:gridCol w:w="36"/>
        <w:gridCol w:w="36"/>
        <w:gridCol w:w="36"/>
        <w:gridCol w:w="98"/>
        <w:gridCol w:w="632"/>
        <w:gridCol w:w="36"/>
      </w:tblGrid>
      <w:tr w:rsidR="006A3667" w14:paraId="71D46F08" w14:textId="77777777">
        <w:tc>
          <w:tcPr>
            <w:tcW w:w="50" w:type="pct"/>
            <w:shd w:val="clear" w:color="auto" w:fill="auto"/>
            <w:vAlign w:val="bottom"/>
          </w:tcPr>
          <w:p w14:paraId="71D46EDE" w14:textId="77777777" w:rsidR="006A3667" w:rsidRDefault="006A3667">
            <w:pPr>
              <w:rPr>
                <w:rFonts w:ascii="宋体"/>
              </w:rPr>
            </w:pPr>
          </w:p>
        </w:tc>
        <w:tc>
          <w:tcPr>
            <w:tcW w:w="997" w:type="pct"/>
            <w:shd w:val="clear" w:color="auto" w:fill="auto"/>
            <w:vAlign w:val="bottom"/>
          </w:tcPr>
          <w:p w14:paraId="71D46EDF" w14:textId="77777777" w:rsidR="006A3667" w:rsidRDefault="006A3667">
            <w:pPr>
              <w:rPr>
                <w:rFonts w:ascii="宋体"/>
              </w:rPr>
            </w:pPr>
          </w:p>
        </w:tc>
        <w:tc>
          <w:tcPr>
            <w:tcW w:w="5" w:type="pct"/>
            <w:shd w:val="clear" w:color="auto" w:fill="auto"/>
            <w:vAlign w:val="bottom"/>
          </w:tcPr>
          <w:p w14:paraId="71D46EE0" w14:textId="77777777" w:rsidR="006A3667" w:rsidRDefault="006A3667">
            <w:pPr>
              <w:rPr>
                <w:rFonts w:ascii="宋体"/>
              </w:rPr>
            </w:pPr>
          </w:p>
        </w:tc>
        <w:tc>
          <w:tcPr>
            <w:tcW w:w="50" w:type="pct"/>
            <w:shd w:val="clear" w:color="auto" w:fill="auto"/>
            <w:vAlign w:val="bottom"/>
          </w:tcPr>
          <w:p w14:paraId="71D46EE1" w14:textId="77777777" w:rsidR="006A3667" w:rsidRDefault="006A3667">
            <w:pPr>
              <w:rPr>
                <w:rFonts w:ascii="宋体"/>
              </w:rPr>
            </w:pPr>
          </w:p>
        </w:tc>
        <w:tc>
          <w:tcPr>
            <w:tcW w:w="449" w:type="pct"/>
            <w:shd w:val="clear" w:color="auto" w:fill="auto"/>
            <w:vAlign w:val="bottom"/>
          </w:tcPr>
          <w:p w14:paraId="71D46EE2" w14:textId="77777777" w:rsidR="006A3667" w:rsidRDefault="006A3667">
            <w:pPr>
              <w:rPr>
                <w:rFonts w:ascii="宋体"/>
              </w:rPr>
            </w:pPr>
          </w:p>
        </w:tc>
        <w:tc>
          <w:tcPr>
            <w:tcW w:w="5" w:type="pct"/>
            <w:shd w:val="clear" w:color="auto" w:fill="auto"/>
            <w:vAlign w:val="bottom"/>
          </w:tcPr>
          <w:p w14:paraId="71D46EE3" w14:textId="77777777" w:rsidR="006A3667" w:rsidRDefault="006A3667">
            <w:pPr>
              <w:rPr>
                <w:rFonts w:ascii="宋体"/>
              </w:rPr>
            </w:pPr>
          </w:p>
        </w:tc>
        <w:tc>
          <w:tcPr>
            <w:tcW w:w="5" w:type="pct"/>
            <w:shd w:val="clear" w:color="auto" w:fill="auto"/>
            <w:vAlign w:val="bottom"/>
          </w:tcPr>
          <w:p w14:paraId="71D46EE4" w14:textId="77777777" w:rsidR="006A3667" w:rsidRDefault="006A3667">
            <w:pPr>
              <w:rPr>
                <w:rFonts w:ascii="宋体"/>
              </w:rPr>
            </w:pPr>
          </w:p>
        </w:tc>
        <w:tc>
          <w:tcPr>
            <w:tcW w:w="19" w:type="pct"/>
            <w:shd w:val="clear" w:color="auto" w:fill="auto"/>
            <w:vAlign w:val="bottom"/>
          </w:tcPr>
          <w:p w14:paraId="71D46EE5" w14:textId="77777777" w:rsidR="006A3667" w:rsidRDefault="006A3667">
            <w:pPr>
              <w:rPr>
                <w:rFonts w:ascii="宋体"/>
              </w:rPr>
            </w:pPr>
          </w:p>
        </w:tc>
        <w:tc>
          <w:tcPr>
            <w:tcW w:w="5" w:type="pct"/>
            <w:shd w:val="clear" w:color="auto" w:fill="auto"/>
            <w:vAlign w:val="bottom"/>
          </w:tcPr>
          <w:p w14:paraId="71D46EE6" w14:textId="77777777" w:rsidR="006A3667" w:rsidRDefault="006A3667">
            <w:pPr>
              <w:rPr>
                <w:rFonts w:ascii="宋体"/>
              </w:rPr>
            </w:pPr>
          </w:p>
        </w:tc>
        <w:tc>
          <w:tcPr>
            <w:tcW w:w="50" w:type="pct"/>
            <w:shd w:val="clear" w:color="auto" w:fill="auto"/>
            <w:vAlign w:val="bottom"/>
          </w:tcPr>
          <w:p w14:paraId="71D46EE7" w14:textId="77777777" w:rsidR="006A3667" w:rsidRDefault="006A3667">
            <w:pPr>
              <w:rPr>
                <w:rFonts w:ascii="宋体"/>
              </w:rPr>
            </w:pPr>
          </w:p>
        </w:tc>
        <w:tc>
          <w:tcPr>
            <w:tcW w:w="449" w:type="pct"/>
            <w:shd w:val="clear" w:color="auto" w:fill="auto"/>
            <w:vAlign w:val="bottom"/>
          </w:tcPr>
          <w:p w14:paraId="71D46EE8" w14:textId="77777777" w:rsidR="006A3667" w:rsidRDefault="006A3667">
            <w:pPr>
              <w:rPr>
                <w:rFonts w:ascii="宋体"/>
              </w:rPr>
            </w:pPr>
          </w:p>
        </w:tc>
        <w:tc>
          <w:tcPr>
            <w:tcW w:w="5" w:type="pct"/>
            <w:shd w:val="clear" w:color="auto" w:fill="auto"/>
            <w:vAlign w:val="bottom"/>
          </w:tcPr>
          <w:p w14:paraId="71D46EE9" w14:textId="77777777" w:rsidR="006A3667" w:rsidRDefault="006A3667">
            <w:pPr>
              <w:rPr>
                <w:rFonts w:ascii="宋体"/>
              </w:rPr>
            </w:pPr>
          </w:p>
        </w:tc>
        <w:tc>
          <w:tcPr>
            <w:tcW w:w="5" w:type="pct"/>
            <w:shd w:val="clear" w:color="auto" w:fill="auto"/>
            <w:vAlign w:val="bottom"/>
          </w:tcPr>
          <w:p w14:paraId="71D46EEA" w14:textId="77777777" w:rsidR="006A3667" w:rsidRDefault="006A3667">
            <w:pPr>
              <w:rPr>
                <w:rFonts w:ascii="宋体"/>
              </w:rPr>
            </w:pPr>
          </w:p>
        </w:tc>
        <w:tc>
          <w:tcPr>
            <w:tcW w:w="19" w:type="pct"/>
            <w:shd w:val="clear" w:color="auto" w:fill="auto"/>
            <w:vAlign w:val="bottom"/>
          </w:tcPr>
          <w:p w14:paraId="71D46EEB" w14:textId="77777777" w:rsidR="006A3667" w:rsidRDefault="006A3667">
            <w:pPr>
              <w:rPr>
                <w:rFonts w:ascii="宋体"/>
              </w:rPr>
            </w:pPr>
          </w:p>
        </w:tc>
        <w:tc>
          <w:tcPr>
            <w:tcW w:w="5" w:type="pct"/>
            <w:shd w:val="clear" w:color="auto" w:fill="auto"/>
            <w:vAlign w:val="bottom"/>
          </w:tcPr>
          <w:p w14:paraId="71D46EEC" w14:textId="77777777" w:rsidR="006A3667" w:rsidRDefault="006A3667">
            <w:pPr>
              <w:rPr>
                <w:rFonts w:ascii="宋体"/>
              </w:rPr>
            </w:pPr>
          </w:p>
        </w:tc>
        <w:tc>
          <w:tcPr>
            <w:tcW w:w="50" w:type="pct"/>
            <w:shd w:val="clear" w:color="auto" w:fill="auto"/>
            <w:vAlign w:val="bottom"/>
          </w:tcPr>
          <w:p w14:paraId="71D46EED" w14:textId="77777777" w:rsidR="006A3667" w:rsidRDefault="006A3667">
            <w:pPr>
              <w:rPr>
                <w:rFonts w:ascii="宋体"/>
              </w:rPr>
            </w:pPr>
          </w:p>
        </w:tc>
        <w:tc>
          <w:tcPr>
            <w:tcW w:w="449" w:type="pct"/>
            <w:shd w:val="clear" w:color="auto" w:fill="auto"/>
            <w:vAlign w:val="bottom"/>
          </w:tcPr>
          <w:p w14:paraId="71D46EEE" w14:textId="77777777" w:rsidR="006A3667" w:rsidRDefault="006A3667">
            <w:pPr>
              <w:rPr>
                <w:rFonts w:ascii="宋体"/>
              </w:rPr>
            </w:pPr>
          </w:p>
        </w:tc>
        <w:tc>
          <w:tcPr>
            <w:tcW w:w="5" w:type="pct"/>
            <w:shd w:val="clear" w:color="auto" w:fill="auto"/>
            <w:vAlign w:val="bottom"/>
          </w:tcPr>
          <w:p w14:paraId="71D46EEF" w14:textId="77777777" w:rsidR="006A3667" w:rsidRDefault="006A3667">
            <w:pPr>
              <w:rPr>
                <w:rFonts w:ascii="宋体"/>
              </w:rPr>
            </w:pPr>
          </w:p>
        </w:tc>
        <w:tc>
          <w:tcPr>
            <w:tcW w:w="5" w:type="pct"/>
            <w:shd w:val="clear" w:color="auto" w:fill="auto"/>
            <w:vAlign w:val="bottom"/>
          </w:tcPr>
          <w:p w14:paraId="71D46EF0" w14:textId="77777777" w:rsidR="006A3667" w:rsidRDefault="006A3667">
            <w:pPr>
              <w:rPr>
                <w:rFonts w:ascii="宋体"/>
              </w:rPr>
            </w:pPr>
          </w:p>
        </w:tc>
        <w:tc>
          <w:tcPr>
            <w:tcW w:w="19" w:type="pct"/>
            <w:shd w:val="clear" w:color="auto" w:fill="auto"/>
            <w:vAlign w:val="bottom"/>
          </w:tcPr>
          <w:p w14:paraId="71D46EF1" w14:textId="77777777" w:rsidR="006A3667" w:rsidRDefault="006A3667">
            <w:pPr>
              <w:rPr>
                <w:rFonts w:ascii="宋体"/>
              </w:rPr>
            </w:pPr>
          </w:p>
        </w:tc>
        <w:tc>
          <w:tcPr>
            <w:tcW w:w="5" w:type="pct"/>
            <w:shd w:val="clear" w:color="auto" w:fill="auto"/>
            <w:vAlign w:val="bottom"/>
          </w:tcPr>
          <w:p w14:paraId="71D46EF2" w14:textId="77777777" w:rsidR="006A3667" w:rsidRDefault="006A3667">
            <w:pPr>
              <w:rPr>
                <w:rFonts w:ascii="宋体"/>
              </w:rPr>
            </w:pPr>
          </w:p>
        </w:tc>
        <w:tc>
          <w:tcPr>
            <w:tcW w:w="50" w:type="pct"/>
            <w:shd w:val="clear" w:color="auto" w:fill="auto"/>
            <w:vAlign w:val="bottom"/>
          </w:tcPr>
          <w:p w14:paraId="71D46EF3" w14:textId="77777777" w:rsidR="006A3667" w:rsidRDefault="006A3667">
            <w:pPr>
              <w:rPr>
                <w:rFonts w:ascii="宋体"/>
              </w:rPr>
            </w:pPr>
          </w:p>
        </w:tc>
        <w:tc>
          <w:tcPr>
            <w:tcW w:w="529" w:type="pct"/>
            <w:shd w:val="clear" w:color="auto" w:fill="auto"/>
            <w:vAlign w:val="bottom"/>
          </w:tcPr>
          <w:p w14:paraId="71D46EF4" w14:textId="77777777" w:rsidR="006A3667" w:rsidRDefault="006A3667">
            <w:pPr>
              <w:rPr>
                <w:rFonts w:ascii="宋体"/>
              </w:rPr>
            </w:pPr>
          </w:p>
        </w:tc>
        <w:tc>
          <w:tcPr>
            <w:tcW w:w="5" w:type="pct"/>
            <w:shd w:val="clear" w:color="auto" w:fill="auto"/>
            <w:vAlign w:val="bottom"/>
          </w:tcPr>
          <w:p w14:paraId="71D46EF5" w14:textId="77777777" w:rsidR="006A3667" w:rsidRDefault="006A3667">
            <w:pPr>
              <w:rPr>
                <w:rFonts w:ascii="宋体"/>
              </w:rPr>
            </w:pPr>
          </w:p>
        </w:tc>
        <w:tc>
          <w:tcPr>
            <w:tcW w:w="5" w:type="pct"/>
            <w:shd w:val="clear" w:color="auto" w:fill="auto"/>
            <w:vAlign w:val="bottom"/>
          </w:tcPr>
          <w:p w14:paraId="71D46EF6" w14:textId="77777777" w:rsidR="006A3667" w:rsidRDefault="006A3667">
            <w:pPr>
              <w:rPr>
                <w:rFonts w:ascii="宋体"/>
              </w:rPr>
            </w:pPr>
          </w:p>
        </w:tc>
        <w:tc>
          <w:tcPr>
            <w:tcW w:w="19" w:type="pct"/>
            <w:shd w:val="clear" w:color="auto" w:fill="auto"/>
            <w:vAlign w:val="bottom"/>
          </w:tcPr>
          <w:p w14:paraId="71D46EF7" w14:textId="77777777" w:rsidR="006A3667" w:rsidRDefault="006A3667">
            <w:pPr>
              <w:rPr>
                <w:rFonts w:ascii="宋体"/>
              </w:rPr>
            </w:pPr>
          </w:p>
        </w:tc>
        <w:tc>
          <w:tcPr>
            <w:tcW w:w="5" w:type="pct"/>
            <w:shd w:val="clear" w:color="auto" w:fill="auto"/>
            <w:vAlign w:val="bottom"/>
          </w:tcPr>
          <w:p w14:paraId="71D46EF8" w14:textId="77777777" w:rsidR="006A3667" w:rsidRDefault="006A3667">
            <w:pPr>
              <w:rPr>
                <w:rFonts w:ascii="宋体"/>
              </w:rPr>
            </w:pPr>
          </w:p>
        </w:tc>
        <w:tc>
          <w:tcPr>
            <w:tcW w:w="50" w:type="pct"/>
            <w:shd w:val="clear" w:color="auto" w:fill="auto"/>
            <w:vAlign w:val="bottom"/>
          </w:tcPr>
          <w:p w14:paraId="71D46EF9" w14:textId="77777777" w:rsidR="006A3667" w:rsidRDefault="006A3667">
            <w:pPr>
              <w:rPr>
                <w:rFonts w:ascii="宋体"/>
              </w:rPr>
            </w:pPr>
          </w:p>
        </w:tc>
        <w:tc>
          <w:tcPr>
            <w:tcW w:w="610" w:type="pct"/>
            <w:shd w:val="clear" w:color="auto" w:fill="auto"/>
            <w:vAlign w:val="bottom"/>
          </w:tcPr>
          <w:p w14:paraId="71D46EFA" w14:textId="77777777" w:rsidR="006A3667" w:rsidRDefault="006A3667">
            <w:pPr>
              <w:rPr>
                <w:rFonts w:ascii="宋体"/>
              </w:rPr>
            </w:pPr>
          </w:p>
        </w:tc>
        <w:tc>
          <w:tcPr>
            <w:tcW w:w="5" w:type="pct"/>
            <w:shd w:val="clear" w:color="auto" w:fill="auto"/>
            <w:vAlign w:val="bottom"/>
          </w:tcPr>
          <w:p w14:paraId="71D46EFB" w14:textId="77777777" w:rsidR="006A3667" w:rsidRDefault="006A3667">
            <w:pPr>
              <w:rPr>
                <w:rFonts w:ascii="宋体"/>
              </w:rPr>
            </w:pPr>
          </w:p>
        </w:tc>
        <w:tc>
          <w:tcPr>
            <w:tcW w:w="5" w:type="pct"/>
            <w:shd w:val="clear" w:color="auto" w:fill="auto"/>
            <w:vAlign w:val="bottom"/>
          </w:tcPr>
          <w:p w14:paraId="71D46EFC" w14:textId="77777777" w:rsidR="006A3667" w:rsidRDefault="006A3667">
            <w:pPr>
              <w:rPr>
                <w:rFonts w:ascii="宋体"/>
              </w:rPr>
            </w:pPr>
          </w:p>
        </w:tc>
        <w:tc>
          <w:tcPr>
            <w:tcW w:w="19" w:type="pct"/>
            <w:shd w:val="clear" w:color="auto" w:fill="auto"/>
            <w:vAlign w:val="bottom"/>
          </w:tcPr>
          <w:p w14:paraId="71D46EFD" w14:textId="77777777" w:rsidR="006A3667" w:rsidRDefault="006A3667">
            <w:pPr>
              <w:rPr>
                <w:rFonts w:ascii="宋体"/>
              </w:rPr>
            </w:pPr>
          </w:p>
        </w:tc>
        <w:tc>
          <w:tcPr>
            <w:tcW w:w="5" w:type="pct"/>
            <w:shd w:val="clear" w:color="auto" w:fill="auto"/>
            <w:vAlign w:val="bottom"/>
          </w:tcPr>
          <w:p w14:paraId="71D46EFE" w14:textId="77777777" w:rsidR="006A3667" w:rsidRDefault="006A3667">
            <w:pPr>
              <w:rPr>
                <w:rFonts w:ascii="宋体"/>
              </w:rPr>
            </w:pPr>
          </w:p>
        </w:tc>
        <w:tc>
          <w:tcPr>
            <w:tcW w:w="50" w:type="pct"/>
            <w:shd w:val="clear" w:color="auto" w:fill="auto"/>
            <w:vAlign w:val="bottom"/>
          </w:tcPr>
          <w:p w14:paraId="71D46EFF" w14:textId="77777777" w:rsidR="006A3667" w:rsidRDefault="006A3667">
            <w:pPr>
              <w:rPr>
                <w:rFonts w:ascii="宋体"/>
              </w:rPr>
            </w:pPr>
          </w:p>
        </w:tc>
        <w:tc>
          <w:tcPr>
            <w:tcW w:w="449" w:type="pct"/>
            <w:shd w:val="clear" w:color="auto" w:fill="auto"/>
            <w:vAlign w:val="bottom"/>
          </w:tcPr>
          <w:p w14:paraId="71D46F00" w14:textId="77777777" w:rsidR="006A3667" w:rsidRDefault="006A3667">
            <w:pPr>
              <w:rPr>
                <w:rFonts w:ascii="宋体"/>
              </w:rPr>
            </w:pPr>
          </w:p>
        </w:tc>
        <w:tc>
          <w:tcPr>
            <w:tcW w:w="5" w:type="pct"/>
            <w:shd w:val="clear" w:color="auto" w:fill="auto"/>
            <w:vAlign w:val="bottom"/>
          </w:tcPr>
          <w:p w14:paraId="71D46F01" w14:textId="77777777" w:rsidR="006A3667" w:rsidRDefault="006A3667">
            <w:pPr>
              <w:rPr>
                <w:rFonts w:ascii="宋体"/>
              </w:rPr>
            </w:pPr>
          </w:p>
        </w:tc>
        <w:tc>
          <w:tcPr>
            <w:tcW w:w="5" w:type="pct"/>
            <w:shd w:val="clear" w:color="auto" w:fill="auto"/>
            <w:vAlign w:val="bottom"/>
          </w:tcPr>
          <w:p w14:paraId="71D46F02" w14:textId="77777777" w:rsidR="006A3667" w:rsidRDefault="006A3667">
            <w:pPr>
              <w:rPr>
                <w:rFonts w:ascii="宋体"/>
              </w:rPr>
            </w:pPr>
          </w:p>
        </w:tc>
        <w:tc>
          <w:tcPr>
            <w:tcW w:w="19" w:type="pct"/>
            <w:shd w:val="clear" w:color="auto" w:fill="auto"/>
            <w:vAlign w:val="bottom"/>
          </w:tcPr>
          <w:p w14:paraId="71D46F03" w14:textId="77777777" w:rsidR="006A3667" w:rsidRDefault="006A3667">
            <w:pPr>
              <w:rPr>
                <w:rFonts w:ascii="宋体"/>
              </w:rPr>
            </w:pPr>
          </w:p>
        </w:tc>
        <w:tc>
          <w:tcPr>
            <w:tcW w:w="5" w:type="pct"/>
            <w:shd w:val="clear" w:color="auto" w:fill="auto"/>
            <w:vAlign w:val="bottom"/>
          </w:tcPr>
          <w:p w14:paraId="71D46F04" w14:textId="77777777" w:rsidR="006A3667" w:rsidRDefault="006A3667">
            <w:pPr>
              <w:rPr>
                <w:rFonts w:ascii="宋体"/>
              </w:rPr>
            </w:pPr>
          </w:p>
        </w:tc>
        <w:tc>
          <w:tcPr>
            <w:tcW w:w="50" w:type="pct"/>
            <w:shd w:val="clear" w:color="auto" w:fill="auto"/>
            <w:vAlign w:val="bottom"/>
          </w:tcPr>
          <w:p w14:paraId="71D46F05" w14:textId="77777777" w:rsidR="006A3667" w:rsidRDefault="006A3667">
            <w:pPr>
              <w:rPr>
                <w:rFonts w:ascii="宋体"/>
              </w:rPr>
            </w:pPr>
          </w:p>
        </w:tc>
        <w:tc>
          <w:tcPr>
            <w:tcW w:w="449" w:type="pct"/>
            <w:shd w:val="clear" w:color="auto" w:fill="auto"/>
            <w:vAlign w:val="bottom"/>
          </w:tcPr>
          <w:p w14:paraId="71D46F06" w14:textId="77777777" w:rsidR="006A3667" w:rsidRDefault="006A3667">
            <w:pPr>
              <w:rPr>
                <w:rFonts w:ascii="宋体"/>
              </w:rPr>
            </w:pPr>
          </w:p>
        </w:tc>
        <w:tc>
          <w:tcPr>
            <w:tcW w:w="5" w:type="pct"/>
            <w:shd w:val="clear" w:color="auto" w:fill="auto"/>
            <w:vAlign w:val="bottom"/>
          </w:tcPr>
          <w:p w14:paraId="71D46F07" w14:textId="77777777" w:rsidR="006A3667" w:rsidRDefault="006A3667">
            <w:pPr>
              <w:rPr>
                <w:rFonts w:ascii="宋体"/>
              </w:rPr>
            </w:pPr>
          </w:p>
        </w:tc>
      </w:tr>
      <w:tr w:rsidR="006A3667" w14:paraId="71D46F0B" w14:textId="77777777">
        <w:tc>
          <w:tcPr>
            <w:tcW w:w="0" w:type="auto"/>
            <w:gridSpan w:val="3"/>
            <w:shd w:val="clear" w:color="auto" w:fill="auto"/>
            <w:tcMar>
              <w:top w:w="0" w:type="dxa"/>
              <w:left w:w="20" w:type="dxa"/>
              <w:bottom w:w="0" w:type="dxa"/>
              <w:right w:w="20" w:type="dxa"/>
            </w:tcMar>
            <w:vAlign w:val="bottom"/>
          </w:tcPr>
          <w:p w14:paraId="71D46F09" w14:textId="77777777" w:rsidR="006A3667" w:rsidRDefault="006A3667">
            <w:pPr>
              <w:rPr>
                <w:rFonts w:ascii="宋体"/>
              </w:rPr>
            </w:pPr>
          </w:p>
        </w:tc>
        <w:tc>
          <w:tcPr>
            <w:tcW w:w="0" w:type="auto"/>
            <w:gridSpan w:val="39"/>
            <w:shd w:val="clear" w:color="auto" w:fill="auto"/>
            <w:tcMar>
              <w:top w:w="40" w:type="dxa"/>
              <w:left w:w="20" w:type="dxa"/>
              <w:bottom w:w="40" w:type="dxa"/>
              <w:right w:w="20" w:type="dxa"/>
            </w:tcMar>
            <w:vAlign w:val="bottom"/>
          </w:tcPr>
          <w:p w14:paraId="71D46F0A" w14:textId="77777777" w:rsidR="006A3667" w:rsidRDefault="00045F32">
            <w:pPr>
              <w:jc w:val="center"/>
              <w:textAlignment w:val="bottom"/>
            </w:pPr>
            <w:r>
              <w:rPr>
                <w:rFonts w:ascii="Arial" w:eastAsia="宋体" w:hAnsi="Arial" w:cs="Arial"/>
                <w:b/>
                <w:bCs/>
                <w:color w:val="000000"/>
                <w:sz w:val="14"/>
                <w:szCs w:val="14"/>
              </w:rPr>
              <w:t>Three Months Ended September 30, 2021</w:t>
            </w:r>
          </w:p>
        </w:tc>
      </w:tr>
      <w:tr w:rsidR="006A3667" w14:paraId="71D46F17" w14:textId="77777777">
        <w:tc>
          <w:tcPr>
            <w:tcW w:w="0" w:type="auto"/>
            <w:gridSpan w:val="3"/>
            <w:shd w:val="clear" w:color="auto" w:fill="auto"/>
            <w:tcMar>
              <w:top w:w="0" w:type="dxa"/>
              <w:left w:w="20" w:type="dxa"/>
              <w:bottom w:w="0" w:type="dxa"/>
              <w:right w:w="20" w:type="dxa"/>
            </w:tcMar>
            <w:vAlign w:val="bottom"/>
          </w:tcPr>
          <w:p w14:paraId="71D46F0C"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6F0D" w14:textId="77777777" w:rsidR="006A3667" w:rsidRDefault="00045F32">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0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0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1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1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1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1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14" w14:textId="77777777" w:rsidR="006A3667" w:rsidRDefault="006A3667">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71D46F1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16" w14:textId="77777777" w:rsidR="006A3667" w:rsidRDefault="006A3667">
            <w:pPr>
              <w:rPr>
                <w:rFonts w:ascii="宋体"/>
              </w:rPr>
            </w:pPr>
          </w:p>
        </w:tc>
      </w:tr>
      <w:tr w:rsidR="006A3667" w14:paraId="71D46F26" w14:textId="77777777">
        <w:tc>
          <w:tcPr>
            <w:tcW w:w="0" w:type="auto"/>
            <w:gridSpan w:val="3"/>
            <w:shd w:val="clear" w:color="auto" w:fill="auto"/>
            <w:tcMar>
              <w:top w:w="40" w:type="dxa"/>
              <w:left w:w="20" w:type="dxa"/>
              <w:bottom w:w="40" w:type="dxa"/>
              <w:right w:w="20" w:type="dxa"/>
            </w:tcMar>
            <w:vAlign w:val="bottom"/>
          </w:tcPr>
          <w:p w14:paraId="71D46F18"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6F19" w14:textId="77777777" w:rsidR="006A3667" w:rsidRDefault="00045F32">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1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6F1B" w14:textId="77777777" w:rsidR="006A3667" w:rsidRDefault="00045F32">
            <w:pP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46F1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F1D" w14:textId="77777777" w:rsidR="006A3667" w:rsidRDefault="00045F32">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71D46F1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F1F" w14:textId="77777777" w:rsidR="006A3667" w:rsidRDefault="00045F32">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71D46F20"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F21" w14:textId="77777777" w:rsidR="006A3667" w:rsidRDefault="00045F32">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71D46F22"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F23" w14:textId="77777777" w:rsidR="006A3667" w:rsidRDefault="00045F32">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71D46F2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6F25"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6F35" w14:textId="77777777">
        <w:tc>
          <w:tcPr>
            <w:tcW w:w="0" w:type="auto"/>
            <w:gridSpan w:val="3"/>
            <w:shd w:val="clear" w:color="auto" w:fill="auto"/>
            <w:tcMar>
              <w:top w:w="40" w:type="dxa"/>
              <w:left w:w="20" w:type="dxa"/>
              <w:bottom w:w="40" w:type="dxa"/>
              <w:right w:w="20" w:type="dxa"/>
            </w:tcMar>
            <w:vAlign w:val="bottom"/>
          </w:tcPr>
          <w:p w14:paraId="71D46F27" w14:textId="77777777" w:rsidR="006A3667" w:rsidRDefault="00045F32">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2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F2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F2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2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F2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2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F2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3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F3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3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6F3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6F34" w14:textId="77777777" w:rsidR="006A3667" w:rsidRDefault="006A3667">
            <w:pPr>
              <w:rPr>
                <w:rFonts w:ascii="宋体"/>
              </w:rPr>
            </w:pPr>
          </w:p>
        </w:tc>
      </w:tr>
      <w:tr w:rsidR="006A3667" w14:paraId="71D46F52" w14:textId="77777777">
        <w:tc>
          <w:tcPr>
            <w:tcW w:w="0" w:type="auto"/>
            <w:gridSpan w:val="3"/>
            <w:shd w:val="clear" w:color="auto" w:fill="CCEEFF"/>
            <w:tcMar>
              <w:top w:w="40" w:type="dxa"/>
              <w:left w:w="20" w:type="dxa"/>
              <w:bottom w:w="40" w:type="dxa"/>
              <w:right w:w="20" w:type="dxa"/>
            </w:tcMar>
            <w:vAlign w:val="bottom"/>
          </w:tcPr>
          <w:p w14:paraId="71D46F36" w14:textId="77777777" w:rsidR="006A3667" w:rsidRDefault="00045F32">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1D46F3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F38" w14:textId="77777777" w:rsidR="006A3667" w:rsidRDefault="00045F32">
            <w:pPr>
              <w:jc w:val="right"/>
              <w:textAlignment w:val="bottom"/>
            </w:pPr>
            <w:r>
              <w:rPr>
                <w:rFonts w:ascii="Arial" w:eastAsia="宋体" w:hAnsi="Arial" w:cs="Arial"/>
                <w:color w:val="000000"/>
                <w:sz w:val="14"/>
                <w:szCs w:val="14"/>
              </w:rPr>
              <w:t>74 </w:t>
            </w:r>
          </w:p>
        </w:tc>
        <w:tc>
          <w:tcPr>
            <w:tcW w:w="0" w:type="auto"/>
            <w:shd w:val="clear" w:color="auto" w:fill="CCEEFF"/>
            <w:tcMar>
              <w:top w:w="40" w:type="dxa"/>
              <w:left w:w="0" w:type="dxa"/>
              <w:bottom w:w="40" w:type="dxa"/>
              <w:right w:w="20" w:type="dxa"/>
            </w:tcMar>
            <w:vAlign w:val="bottom"/>
          </w:tcPr>
          <w:p w14:paraId="71D46F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3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F3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F3C" w14:textId="77777777" w:rsidR="006A3667" w:rsidRDefault="00045F32">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71D46F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3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F3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F40" w14:textId="77777777" w:rsidR="006A3667" w:rsidRDefault="00045F32">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71D46F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4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F4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F44"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6F4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4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F4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F48" w14:textId="77777777" w:rsidR="006A3667" w:rsidRDefault="00045F32">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71D46F4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4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F4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F4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F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4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6F4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6F50" w14:textId="77777777" w:rsidR="006A3667" w:rsidRDefault="00045F32">
            <w:pPr>
              <w:jc w:val="right"/>
              <w:textAlignment w:val="bottom"/>
            </w:pPr>
            <w:r>
              <w:rPr>
                <w:rFonts w:ascii="Arial" w:eastAsia="宋体" w:hAnsi="Arial" w:cs="Arial"/>
                <w:color w:val="000000"/>
                <w:sz w:val="14"/>
                <w:szCs w:val="14"/>
              </w:rPr>
              <w:t>121 </w:t>
            </w:r>
          </w:p>
        </w:tc>
        <w:tc>
          <w:tcPr>
            <w:tcW w:w="0" w:type="auto"/>
            <w:shd w:val="clear" w:color="auto" w:fill="CCEEFF"/>
            <w:tcMar>
              <w:top w:w="40" w:type="dxa"/>
              <w:left w:w="0" w:type="dxa"/>
              <w:bottom w:w="40" w:type="dxa"/>
              <w:right w:w="20" w:type="dxa"/>
            </w:tcMar>
            <w:vAlign w:val="bottom"/>
          </w:tcPr>
          <w:p w14:paraId="71D46F51" w14:textId="77777777" w:rsidR="006A3667" w:rsidRDefault="006A3667">
            <w:pPr>
              <w:jc w:val="right"/>
              <w:rPr>
                <w:rFonts w:ascii="宋体"/>
              </w:rPr>
            </w:pPr>
          </w:p>
        </w:tc>
      </w:tr>
      <w:tr w:rsidR="006A3667" w14:paraId="71D46F68" w14:textId="77777777">
        <w:tc>
          <w:tcPr>
            <w:tcW w:w="0" w:type="auto"/>
            <w:gridSpan w:val="3"/>
            <w:shd w:val="clear" w:color="auto" w:fill="FFFFFF"/>
            <w:tcMar>
              <w:top w:w="40" w:type="dxa"/>
              <w:left w:w="20" w:type="dxa"/>
              <w:bottom w:w="40" w:type="dxa"/>
              <w:right w:w="20" w:type="dxa"/>
            </w:tcMar>
            <w:vAlign w:val="bottom"/>
          </w:tcPr>
          <w:p w14:paraId="71D46F53" w14:textId="77777777" w:rsidR="006A3667" w:rsidRDefault="00045F32">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71D46F54"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46F5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5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5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5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5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5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5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5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6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6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6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6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6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6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66"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46F67" w14:textId="77777777" w:rsidR="006A3667" w:rsidRDefault="006A3667">
            <w:pPr>
              <w:jc w:val="right"/>
              <w:rPr>
                <w:rFonts w:ascii="宋体"/>
              </w:rPr>
            </w:pPr>
          </w:p>
        </w:tc>
      </w:tr>
      <w:tr w:rsidR="006A3667" w14:paraId="71D46F7E" w14:textId="77777777">
        <w:tc>
          <w:tcPr>
            <w:tcW w:w="0" w:type="auto"/>
            <w:gridSpan w:val="3"/>
            <w:shd w:val="clear" w:color="auto" w:fill="CCEEFF"/>
            <w:tcMar>
              <w:top w:w="40" w:type="dxa"/>
              <w:left w:w="20" w:type="dxa"/>
              <w:bottom w:w="40" w:type="dxa"/>
              <w:right w:w="20" w:type="dxa"/>
            </w:tcMar>
            <w:vAlign w:val="bottom"/>
          </w:tcPr>
          <w:p w14:paraId="71D46F69" w14:textId="77777777" w:rsidR="006A3667" w:rsidRDefault="00045F32">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71D46F6A" w14:textId="77777777" w:rsidR="006A3667" w:rsidRDefault="00045F32">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71D46F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6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F6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F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6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F70"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46F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7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F7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F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7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F76"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46F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7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F7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6F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7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6F7C"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71D46F7D" w14:textId="77777777" w:rsidR="006A3667" w:rsidRDefault="006A3667">
            <w:pPr>
              <w:jc w:val="right"/>
              <w:rPr>
                <w:rFonts w:ascii="宋体"/>
              </w:rPr>
            </w:pPr>
          </w:p>
        </w:tc>
      </w:tr>
      <w:tr w:rsidR="006A3667" w14:paraId="71D46F8D" w14:textId="77777777">
        <w:trPr>
          <w:hidden/>
        </w:trPr>
        <w:tc>
          <w:tcPr>
            <w:tcW w:w="0" w:type="auto"/>
            <w:gridSpan w:val="3"/>
            <w:shd w:val="clear" w:color="auto" w:fill="auto"/>
            <w:vAlign w:val="bottom"/>
          </w:tcPr>
          <w:p w14:paraId="71D46F7F" w14:textId="77777777" w:rsidR="006A3667" w:rsidRDefault="006A3667">
            <w:pPr>
              <w:rPr>
                <w:rFonts w:ascii="宋体"/>
                <w:vanish/>
              </w:rPr>
            </w:pPr>
          </w:p>
        </w:tc>
        <w:tc>
          <w:tcPr>
            <w:tcW w:w="0" w:type="auto"/>
            <w:gridSpan w:val="3"/>
            <w:shd w:val="clear" w:color="auto" w:fill="auto"/>
            <w:vAlign w:val="bottom"/>
          </w:tcPr>
          <w:p w14:paraId="71D46F80" w14:textId="77777777" w:rsidR="006A3667" w:rsidRDefault="006A3667">
            <w:pPr>
              <w:rPr>
                <w:rFonts w:ascii="宋体"/>
                <w:vanish/>
              </w:rPr>
            </w:pPr>
          </w:p>
        </w:tc>
        <w:tc>
          <w:tcPr>
            <w:tcW w:w="0" w:type="auto"/>
            <w:gridSpan w:val="3"/>
            <w:shd w:val="clear" w:color="auto" w:fill="auto"/>
            <w:vAlign w:val="bottom"/>
          </w:tcPr>
          <w:p w14:paraId="71D46F81" w14:textId="77777777" w:rsidR="006A3667" w:rsidRDefault="006A3667">
            <w:pPr>
              <w:rPr>
                <w:rFonts w:ascii="宋体"/>
                <w:vanish/>
              </w:rPr>
            </w:pPr>
          </w:p>
        </w:tc>
        <w:tc>
          <w:tcPr>
            <w:tcW w:w="0" w:type="auto"/>
            <w:gridSpan w:val="3"/>
            <w:shd w:val="clear" w:color="auto" w:fill="auto"/>
            <w:vAlign w:val="bottom"/>
          </w:tcPr>
          <w:p w14:paraId="71D46F82" w14:textId="77777777" w:rsidR="006A3667" w:rsidRDefault="006A3667">
            <w:pPr>
              <w:rPr>
                <w:rFonts w:ascii="宋体"/>
                <w:vanish/>
              </w:rPr>
            </w:pPr>
          </w:p>
        </w:tc>
        <w:tc>
          <w:tcPr>
            <w:tcW w:w="0" w:type="auto"/>
            <w:gridSpan w:val="3"/>
            <w:shd w:val="clear" w:color="auto" w:fill="auto"/>
            <w:vAlign w:val="bottom"/>
          </w:tcPr>
          <w:p w14:paraId="71D46F83" w14:textId="77777777" w:rsidR="006A3667" w:rsidRDefault="006A3667">
            <w:pPr>
              <w:rPr>
                <w:rFonts w:ascii="宋体"/>
                <w:vanish/>
              </w:rPr>
            </w:pPr>
          </w:p>
        </w:tc>
        <w:tc>
          <w:tcPr>
            <w:tcW w:w="0" w:type="auto"/>
            <w:gridSpan w:val="3"/>
            <w:shd w:val="clear" w:color="auto" w:fill="auto"/>
            <w:vAlign w:val="bottom"/>
          </w:tcPr>
          <w:p w14:paraId="71D46F84" w14:textId="77777777" w:rsidR="006A3667" w:rsidRDefault="006A3667">
            <w:pPr>
              <w:rPr>
                <w:rFonts w:ascii="宋体"/>
                <w:vanish/>
              </w:rPr>
            </w:pPr>
          </w:p>
        </w:tc>
        <w:tc>
          <w:tcPr>
            <w:tcW w:w="0" w:type="auto"/>
            <w:gridSpan w:val="3"/>
            <w:shd w:val="clear" w:color="auto" w:fill="auto"/>
            <w:vAlign w:val="bottom"/>
          </w:tcPr>
          <w:p w14:paraId="71D46F85" w14:textId="77777777" w:rsidR="006A3667" w:rsidRDefault="006A3667">
            <w:pPr>
              <w:rPr>
                <w:rFonts w:ascii="宋体"/>
                <w:vanish/>
              </w:rPr>
            </w:pPr>
          </w:p>
        </w:tc>
        <w:tc>
          <w:tcPr>
            <w:tcW w:w="0" w:type="auto"/>
            <w:gridSpan w:val="3"/>
            <w:shd w:val="clear" w:color="auto" w:fill="auto"/>
            <w:vAlign w:val="bottom"/>
          </w:tcPr>
          <w:p w14:paraId="71D46F86" w14:textId="77777777" w:rsidR="006A3667" w:rsidRDefault="006A3667">
            <w:pPr>
              <w:rPr>
                <w:rFonts w:ascii="宋体"/>
                <w:vanish/>
              </w:rPr>
            </w:pPr>
          </w:p>
        </w:tc>
        <w:tc>
          <w:tcPr>
            <w:tcW w:w="0" w:type="auto"/>
            <w:gridSpan w:val="3"/>
            <w:shd w:val="clear" w:color="auto" w:fill="auto"/>
            <w:vAlign w:val="bottom"/>
          </w:tcPr>
          <w:p w14:paraId="71D46F87" w14:textId="77777777" w:rsidR="006A3667" w:rsidRDefault="006A3667">
            <w:pPr>
              <w:rPr>
                <w:rFonts w:ascii="宋体"/>
                <w:vanish/>
              </w:rPr>
            </w:pPr>
          </w:p>
        </w:tc>
        <w:tc>
          <w:tcPr>
            <w:tcW w:w="0" w:type="auto"/>
            <w:gridSpan w:val="3"/>
            <w:shd w:val="clear" w:color="auto" w:fill="auto"/>
            <w:vAlign w:val="bottom"/>
          </w:tcPr>
          <w:p w14:paraId="71D46F88" w14:textId="77777777" w:rsidR="006A3667" w:rsidRDefault="006A3667">
            <w:pPr>
              <w:rPr>
                <w:rFonts w:ascii="宋体"/>
                <w:vanish/>
              </w:rPr>
            </w:pPr>
          </w:p>
        </w:tc>
        <w:tc>
          <w:tcPr>
            <w:tcW w:w="0" w:type="auto"/>
            <w:gridSpan w:val="3"/>
            <w:shd w:val="clear" w:color="auto" w:fill="auto"/>
            <w:vAlign w:val="bottom"/>
          </w:tcPr>
          <w:p w14:paraId="71D46F89" w14:textId="77777777" w:rsidR="006A3667" w:rsidRDefault="006A3667">
            <w:pPr>
              <w:rPr>
                <w:rFonts w:ascii="宋体"/>
                <w:vanish/>
              </w:rPr>
            </w:pPr>
          </w:p>
        </w:tc>
        <w:tc>
          <w:tcPr>
            <w:tcW w:w="0" w:type="auto"/>
            <w:gridSpan w:val="3"/>
            <w:shd w:val="clear" w:color="auto" w:fill="auto"/>
            <w:vAlign w:val="bottom"/>
          </w:tcPr>
          <w:p w14:paraId="71D46F8A" w14:textId="77777777" w:rsidR="006A3667" w:rsidRDefault="006A3667">
            <w:pPr>
              <w:rPr>
                <w:rFonts w:ascii="宋体"/>
                <w:vanish/>
              </w:rPr>
            </w:pPr>
          </w:p>
        </w:tc>
        <w:tc>
          <w:tcPr>
            <w:tcW w:w="0" w:type="auto"/>
            <w:gridSpan w:val="3"/>
            <w:shd w:val="clear" w:color="auto" w:fill="auto"/>
            <w:vAlign w:val="bottom"/>
          </w:tcPr>
          <w:p w14:paraId="71D46F8B" w14:textId="77777777" w:rsidR="006A3667" w:rsidRDefault="006A3667">
            <w:pPr>
              <w:rPr>
                <w:rFonts w:ascii="宋体"/>
                <w:vanish/>
              </w:rPr>
            </w:pPr>
          </w:p>
        </w:tc>
        <w:tc>
          <w:tcPr>
            <w:tcW w:w="0" w:type="auto"/>
            <w:gridSpan w:val="3"/>
            <w:shd w:val="clear" w:color="auto" w:fill="auto"/>
            <w:vAlign w:val="bottom"/>
          </w:tcPr>
          <w:p w14:paraId="71D46F8C" w14:textId="77777777" w:rsidR="006A3667" w:rsidRDefault="006A3667">
            <w:pPr>
              <w:rPr>
                <w:rFonts w:ascii="宋体"/>
                <w:vanish/>
              </w:rPr>
            </w:pPr>
          </w:p>
        </w:tc>
      </w:tr>
      <w:tr w:rsidR="006A3667" w14:paraId="71D46FA3" w14:textId="77777777">
        <w:tc>
          <w:tcPr>
            <w:tcW w:w="0" w:type="auto"/>
            <w:gridSpan w:val="3"/>
            <w:shd w:val="clear" w:color="auto" w:fill="FFFFFF"/>
            <w:tcMar>
              <w:top w:w="40" w:type="dxa"/>
              <w:left w:w="20" w:type="dxa"/>
              <w:bottom w:w="40" w:type="dxa"/>
              <w:right w:w="20" w:type="dxa"/>
            </w:tcMar>
            <w:vAlign w:val="bottom"/>
          </w:tcPr>
          <w:p w14:paraId="71D46F8E" w14:textId="77777777" w:rsidR="006A3667" w:rsidRDefault="00045F32">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71D46F8F"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46F9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9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9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9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9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9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9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9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9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9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9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9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6F9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6FA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6FA1"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46FA2" w14:textId="77777777" w:rsidR="006A3667" w:rsidRDefault="006A3667">
            <w:pPr>
              <w:jc w:val="right"/>
              <w:rPr>
                <w:rFonts w:ascii="宋体"/>
              </w:rPr>
            </w:pPr>
          </w:p>
        </w:tc>
      </w:tr>
      <w:tr w:rsidR="006A3667" w14:paraId="71D46FB2" w14:textId="77777777">
        <w:trPr>
          <w:hidden/>
        </w:trPr>
        <w:tc>
          <w:tcPr>
            <w:tcW w:w="0" w:type="auto"/>
            <w:gridSpan w:val="3"/>
            <w:shd w:val="clear" w:color="auto" w:fill="auto"/>
            <w:vAlign w:val="bottom"/>
          </w:tcPr>
          <w:p w14:paraId="71D46FA4" w14:textId="77777777" w:rsidR="006A3667" w:rsidRDefault="006A3667">
            <w:pPr>
              <w:rPr>
                <w:rFonts w:ascii="宋体"/>
                <w:vanish/>
              </w:rPr>
            </w:pPr>
          </w:p>
        </w:tc>
        <w:tc>
          <w:tcPr>
            <w:tcW w:w="0" w:type="auto"/>
            <w:gridSpan w:val="3"/>
            <w:shd w:val="clear" w:color="auto" w:fill="auto"/>
            <w:vAlign w:val="bottom"/>
          </w:tcPr>
          <w:p w14:paraId="71D46FA5" w14:textId="77777777" w:rsidR="006A3667" w:rsidRDefault="006A3667">
            <w:pPr>
              <w:rPr>
                <w:rFonts w:ascii="宋体"/>
                <w:vanish/>
              </w:rPr>
            </w:pPr>
          </w:p>
        </w:tc>
        <w:tc>
          <w:tcPr>
            <w:tcW w:w="0" w:type="auto"/>
            <w:gridSpan w:val="3"/>
            <w:shd w:val="clear" w:color="auto" w:fill="auto"/>
            <w:vAlign w:val="bottom"/>
          </w:tcPr>
          <w:p w14:paraId="71D46FA6" w14:textId="77777777" w:rsidR="006A3667" w:rsidRDefault="006A3667">
            <w:pPr>
              <w:rPr>
                <w:rFonts w:ascii="宋体"/>
                <w:vanish/>
              </w:rPr>
            </w:pPr>
          </w:p>
        </w:tc>
        <w:tc>
          <w:tcPr>
            <w:tcW w:w="0" w:type="auto"/>
            <w:gridSpan w:val="3"/>
            <w:shd w:val="clear" w:color="auto" w:fill="auto"/>
            <w:vAlign w:val="bottom"/>
          </w:tcPr>
          <w:p w14:paraId="71D46FA7" w14:textId="77777777" w:rsidR="006A3667" w:rsidRDefault="006A3667">
            <w:pPr>
              <w:rPr>
                <w:rFonts w:ascii="宋体"/>
                <w:vanish/>
              </w:rPr>
            </w:pPr>
          </w:p>
        </w:tc>
        <w:tc>
          <w:tcPr>
            <w:tcW w:w="0" w:type="auto"/>
            <w:gridSpan w:val="3"/>
            <w:shd w:val="clear" w:color="auto" w:fill="auto"/>
            <w:vAlign w:val="bottom"/>
          </w:tcPr>
          <w:p w14:paraId="71D46FA8" w14:textId="77777777" w:rsidR="006A3667" w:rsidRDefault="006A3667">
            <w:pPr>
              <w:rPr>
                <w:rFonts w:ascii="宋体"/>
                <w:vanish/>
              </w:rPr>
            </w:pPr>
          </w:p>
        </w:tc>
        <w:tc>
          <w:tcPr>
            <w:tcW w:w="0" w:type="auto"/>
            <w:gridSpan w:val="3"/>
            <w:shd w:val="clear" w:color="auto" w:fill="auto"/>
            <w:vAlign w:val="bottom"/>
          </w:tcPr>
          <w:p w14:paraId="71D46FA9" w14:textId="77777777" w:rsidR="006A3667" w:rsidRDefault="006A3667">
            <w:pPr>
              <w:rPr>
                <w:rFonts w:ascii="宋体"/>
                <w:vanish/>
              </w:rPr>
            </w:pPr>
          </w:p>
        </w:tc>
        <w:tc>
          <w:tcPr>
            <w:tcW w:w="0" w:type="auto"/>
            <w:gridSpan w:val="3"/>
            <w:shd w:val="clear" w:color="auto" w:fill="auto"/>
            <w:vAlign w:val="bottom"/>
          </w:tcPr>
          <w:p w14:paraId="71D46FAA" w14:textId="77777777" w:rsidR="006A3667" w:rsidRDefault="006A3667">
            <w:pPr>
              <w:rPr>
                <w:rFonts w:ascii="宋体"/>
                <w:vanish/>
              </w:rPr>
            </w:pPr>
          </w:p>
        </w:tc>
        <w:tc>
          <w:tcPr>
            <w:tcW w:w="0" w:type="auto"/>
            <w:gridSpan w:val="3"/>
            <w:shd w:val="clear" w:color="auto" w:fill="auto"/>
            <w:vAlign w:val="bottom"/>
          </w:tcPr>
          <w:p w14:paraId="71D46FAB" w14:textId="77777777" w:rsidR="006A3667" w:rsidRDefault="006A3667">
            <w:pPr>
              <w:rPr>
                <w:rFonts w:ascii="宋体"/>
                <w:vanish/>
              </w:rPr>
            </w:pPr>
          </w:p>
        </w:tc>
        <w:tc>
          <w:tcPr>
            <w:tcW w:w="0" w:type="auto"/>
            <w:gridSpan w:val="3"/>
            <w:shd w:val="clear" w:color="auto" w:fill="auto"/>
            <w:vAlign w:val="bottom"/>
          </w:tcPr>
          <w:p w14:paraId="71D46FAC" w14:textId="77777777" w:rsidR="006A3667" w:rsidRDefault="006A3667">
            <w:pPr>
              <w:rPr>
                <w:rFonts w:ascii="宋体"/>
                <w:vanish/>
              </w:rPr>
            </w:pPr>
          </w:p>
        </w:tc>
        <w:tc>
          <w:tcPr>
            <w:tcW w:w="0" w:type="auto"/>
            <w:gridSpan w:val="3"/>
            <w:shd w:val="clear" w:color="auto" w:fill="auto"/>
            <w:vAlign w:val="bottom"/>
          </w:tcPr>
          <w:p w14:paraId="71D46FAD" w14:textId="77777777" w:rsidR="006A3667" w:rsidRDefault="006A3667">
            <w:pPr>
              <w:rPr>
                <w:rFonts w:ascii="宋体"/>
                <w:vanish/>
              </w:rPr>
            </w:pPr>
          </w:p>
        </w:tc>
        <w:tc>
          <w:tcPr>
            <w:tcW w:w="0" w:type="auto"/>
            <w:gridSpan w:val="3"/>
            <w:shd w:val="clear" w:color="auto" w:fill="auto"/>
            <w:vAlign w:val="bottom"/>
          </w:tcPr>
          <w:p w14:paraId="71D46FAE" w14:textId="77777777" w:rsidR="006A3667" w:rsidRDefault="006A3667">
            <w:pPr>
              <w:rPr>
                <w:rFonts w:ascii="宋体"/>
                <w:vanish/>
              </w:rPr>
            </w:pPr>
          </w:p>
        </w:tc>
        <w:tc>
          <w:tcPr>
            <w:tcW w:w="0" w:type="auto"/>
            <w:gridSpan w:val="3"/>
            <w:shd w:val="clear" w:color="auto" w:fill="auto"/>
            <w:vAlign w:val="bottom"/>
          </w:tcPr>
          <w:p w14:paraId="71D46FAF" w14:textId="77777777" w:rsidR="006A3667" w:rsidRDefault="006A3667">
            <w:pPr>
              <w:rPr>
                <w:rFonts w:ascii="宋体"/>
                <w:vanish/>
              </w:rPr>
            </w:pPr>
          </w:p>
        </w:tc>
        <w:tc>
          <w:tcPr>
            <w:tcW w:w="0" w:type="auto"/>
            <w:gridSpan w:val="3"/>
            <w:shd w:val="clear" w:color="auto" w:fill="auto"/>
            <w:vAlign w:val="bottom"/>
          </w:tcPr>
          <w:p w14:paraId="71D46FB0" w14:textId="77777777" w:rsidR="006A3667" w:rsidRDefault="006A3667">
            <w:pPr>
              <w:rPr>
                <w:rFonts w:ascii="宋体"/>
                <w:vanish/>
              </w:rPr>
            </w:pPr>
          </w:p>
        </w:tc>
        <w:tc>
          <w:tcPr>
            <w:tcW w:w="0" w:type="auto"/>
            <w:gridSpan w:val="3"/>
            <w:shd w:val="clear" w:color="auto" w:fill="auto"/>
            <w:vAlign w:val="bottom"/>
          </w:tcPr>
          <w:p w14:paraId="71D46FB1" w14:textId="77777777" w:rsidR="006A3667" w:rsidRDefault="006A3667">
            <w:pPr>
              <w:rPr>
                <w:rFonts w:ascii="宋体"/>
                <w:vanish/>
              </w:rPr>
            </w:pPr>
          </w:p>
        </w:tc>
      </w:tr>
      <w:tr w:rsidR="006A3667" w14:paraId="71D46FCF" w14:textId="77777777">
        <w:tc>
          <w:tcPr>
            <w:tcW w:w="0" w:type="auto"/>
            <w:gridSpan w:val="3"/>
            <w:shd w:val="clear" w:color="auto" w:fill="CCEEFF"/>
            <w:tcMar>
              <w:top w:w="40" w:type="dxa"/>
              <w:left w:w="20" w:type="dxa"/>
              <w:bottom w:w="40" w:type="dxa"/>
              <w:right w:w="20" w:type="dxa"/>
            </w:tcMar>
            <w:vAlign w:val="bottom"/>
          </w:tcPr>
          <w:p w14:paraId="71D46FB3" w14:textId="77777777" w:rsidR="006A3667" w:rsidRDefault="00045F32">
            <w:pPr>
              <w:textAlignment w:val="bottom"/>
            </w:pPr>
            <w:r>
              <w:rPr>
                <w:rFonts w:ascii="Arial" w:eastAsia="宋体" w:hAnsi="Arial" w:cs="Arial"/>
                <w:color w:val="000000"/>
                <w:sz w:val="14"/>
                <w:szCs w:val="14"/>
              </w:rPr>
              <w:t xml:space="preserve">Ending </w:t>
            </w:r>
            <w:r>
              <w:rPr>
                <w:rFonts w:ascii="Arial" w:eastAsia="宋体" w:hAnsi="Arial" w:cs="Arial"/>
                <w:color w:val="000000"/>
                <w:sz w:val="14"/>
                <w:szCs w:val="14"/>
              </w:rPr>
              <w:t>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6FB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FB5" w14:textId="77777777" w:rsidR="006A3667" w:rsidRDefault="00045F32">
            <w:pPr>
              <w:jc w:val="right"/>
              <w:textAlignment w:val="bottom"/>
            </w:pPr>
            <w:r>
              <w:rPr>
                <w:rFonts w:ascii="Arial" w:eastAsia="宋体" w:hAnsi="Arial" w:cs="Arial"/>
                <w:color w:val="000000"/>
                <w:sz w:val="14"/>
                <w:szCs w:val="14"/>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F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B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FB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FB9" w14:textId="77777777" w:rsidR="006A3667" w:rsidRDefault="00045F32">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F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B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FB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FBD" w14:textId="77777777" w:rsidR="006A3667" w:rsidRDefault="00045F32">
            <w:pPr>
              <w:jc w:val="right"/>
              <w:textAlignment w:val="bottom"/>
            </w:pPr>
            <w:r>
              <w:rPr>
                <w:rFonts w:ascii="Arial" w:eastAsia="宋体" w:hAnsi="Arial" w:cs="Arial"/>
                <w:color w:val="000000"/>
                <w:sz w:val="14"/>
                <w:szCs w:val="14"/>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F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B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FC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FC1"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F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C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FC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FC5" w14:textId="77777777" w:rsidR="006A3667" w:rsidRDefault="00045F32">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FC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C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FC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FC9"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FC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6FC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6FC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6FCD" w14:textId="77777777" w:rsidR="006A3667" w:rsidRDefault="00045F32">
            <w:pPr>
              <w:jc w:val="right"/>
              <w:textAlignment w:val="bottom"/>
            </w:pPr>
            <w:r>
              <w:rPr>
                <w:rFonts w:ascii="Arial" w:eastAsia="宋体" w:hAnsi="Arial" w:cs="Arial"/>
                <w:color w:val="000000"/>
                <w:sz w:val="14"/>
                <w:szCs w:val="14"/>
              </w:rPr>
              <w:t>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6FCE" w14:textId="77777777" w:rsidR="006A3667" w:rsidRDefault="006A3667">
            <w:pPr>
              <w:jc w:val="right"/>
              <w:rPr>
                <w:rFonts w:ascii="宋体"/>
              </w:rPr>
            </w:pPr>
          </w:p>
        </w:tc>
      </w:tr>
      <w:tr w:rsidR="006A3667" w14:paraId="71D46FDE" w14:textId="77777777">
        <w:trPr>
          <w:trHeight w:val="160"/>
        </w:trPr>
        <w:tc>
          <w:tcPr>
            <w:tcW w:w="0" w:type="auto"/>
            <w:gridSpan w:val="3"/>
            <w:shd w:val="clear" w:color="auto" w:fill="FFFFFF"/>
            <w:tcMar>
              <w:top w:w="0" w:type="dxa"/>
              <w:left w:w="20" w:type="dxa"/>
              <w:bottom w:w="0" w:type="dxa"/>
              <w:right w:w="20" w:type="dxa"/>
            </w:tcMar>
            <w:vAlign w:val="bottom"/>
          </w:tcPr>
          <w:p w14:paraId="71D46FD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FD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FD2"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FD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FD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FD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FD6"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FD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FD8"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FD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FDA"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FD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6FD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6FDD" w14:textId="77777777" w:rsidR="006A3667" w:rsidRDefault="006A3667">
            <w:pPr>
              <w:rPr>
                <w:rFonts w:ascii="宋体"/>
              </w:rPr>
            </w:pPr>
          </w:p>
        </w:tc>
      </w:tr>
      <w:tr w:rsidR="006A3667" w14:paraId="71D46FE0" w14:textId="77777777">
        <w:tc>
          <w:tcPr>
            <w:tcW w:w="0" w:type="auto"/>
            <w:gridSpan w:val="42"/>
            <w:tcBorders>
              <w:top w:val="single" w:sz="8" w:space="0" w:color="000000"/>
            </w:tcBorders>
            <w:shd w:val="clear" w:color="auto" w:fill="auto"/>
            <w:tcMar>
              <w:top w:w="40" w:type="dxa"/>
              <w:left w:w="20" w:type="dxa"/>
              <w:bottom w:w="40" w:type="dxa"/>
              <w:right w:w="20" w:type="dxa"/>
            </w:tcMar>
            <w:vAlign w:val="bottom"/>
          </w:tcPr>
          <w:p w14:paraId="71D46FDF" w14:textId="77777777" w:rsidR="006A3667" w:rsidRDefault="00045F32">
            <w:pPr>
              <w:textAlignment w:val="bottom"/>
            </w:pPr>
            <w:r>
              <w:rPr>
                <w:rFonts w:ascii="Arial" w:eastAsia="宋体" w:hAnsi="Arial" w:cs="Arial"/>
                <w:color w:val="000000"/>
                <w:sz w:val="8"/>
                <w:szCs w:val="8"/>
              </w:rPr>
              <w:t>(1)</w:t>
            </w:r>
            <w:r>
              <w:rPr>
                <w:rFonts w:ascii="Arial" w:eastAsia="宋体" w:hAnsi="Arial" w:cs="Arial"/>
                <w:color w:val="000000"/>
                <w:sz w:val="13"/>
                <w:szCs w:val="13"/>
              </w:rPr>
              <w:t xml:space="preserve"> Includes $11 million allowance for credit losses on Fund Finance loans and $1 million on other loans.</w:t>
            </w:r>
          </w:p>
        </w:tc>
      </w:tr>
      <w:tr w:rsidR="006A3667" w14:paraId="71D47009" w14:textId="77777777">
        <w:trPr>
          <w:hidden/>
        </w:trPr>
        <w:tc>
          <w:tcPr>
            <w:tcW w:w="0" w:type="auto"/>
            <w:gridSpan w:val="3"/>
            <w:shd w:val="clear" w:color="auto" w:fill="auto"/>
            <w:vAlign w:val="bottom"/>
          </w:tcPr>
          <w:p w14:paraId="71D46FE1" w14:textId="77777777" w:rsidR="006A3667" w:rsidRDefault="006A3667">
            <w:pPr>
              <w:rPr>
                <w:rFonts w:ascii="宋体"/>
                <w:vanish/>
              </w:rPr>
            </w:pPr>
          </w:p>
        </w:tc>
        <w:tc>
          <w:tcPr>
            <w:tcW w:w="0" w:type="auto"/>
            <w:shd w:val="clear" w:color="auto" w:fill="auto"/>
            <w:vAlign w:val="bottom"/>
          </w:tcPr>
          <w:p w14:paraId="71D46FE2" w14:textId="77777777" w:rsidR="006A3667" w:rsidRDefault="006A3667">
            <w:pPr>
              <w:rPr>
                <w:rFonts w:ascii="宋体"/>
              </w:rPr>
            </w:pPr>
          </w:p>
        </w:tc>
        <w:tc>
          <w:tcPr>
            <w:tcW w:w="0" w:type="auto"/>
            <w:shd w:val="clear" w:color="auto" w:fill="auto"/>
            <w:vAlign w:val="bottom"/>
          </w:tcPr>
          <w:p w14:paraId="71D46FE3" w14:textId="77777777" w:rsidR="006A3667" w:rsidRDefault="006A3667">
            <w:pPr>
              <w:rPr>
                <w:rFonts w:ascii="宋体"/>
              </w:rPr>
            </w:pPr>
          </w:p>
        </w:tc>
        <w:tc>
          <w:tcPr>
            <w:tcW w:w="0" w:type="auto"/>
            <w:shd w:val="clear" w:color="auto" w:fill="auto"/>
            <w:vAlign w:val="bottom"/>
          </w:tcPr>
          <w:p w14:paraId="71D46FE4" w14:textId="77777777" w:rsidR="006A3667" w:rsidRDefault="006A3667">
            <w:pPr>
              <w:rPr>
                <w:rFonts w:ascii="宋体"/>
              </w:rPr>
            </w:pPr>
          </w:p>
        </w:tc>
        <w:tc>
          <w:tcPr>
            <w:tcW w:w="0" w:type="auto"/>
            <w:shd w:val="clear" w:color="auto" w:fill="auto"/>
            <w:vAlign w:val="bottom"/>
          </w:tcPr>
          <w:p w14:paraId="71D46FE5" w14:textId="77777777" w:rsidR="006A3667" w:rsidRDefault="006A3667">
            <w:pPr>
              <w:rPr>
                <w:rFonts w:ascii="宋体"/>
              </w:rPr>
            </w:pPr>
          </w:p>
        </w:tc>
        <w:tc>
          <w:tcPr>
            <w:tcW w:w="0" w:type="auto"/>
            <w:shd w:val="clear" w:color="auto" w:fill="auto"/>
            <w:vAlign w:val="bottom"/>
          </w:tcPr>
          <w:p w14:paraId="71D46FE6" w14:textId="77777777" w:rsidR="006A3667" w:rsidRDefault="006A3667">
            <w:pPr>
              <w:rPr>
                <w:rFonts w:ascii="宋体"/>
              </w:rPr>
            </w:pPr>
          </w:p>
        </w:tc>
        <w:tc>
          <w:tcPr>
            <w:tcW w:w="0" w:type="auto"/>
            <w:shd w:val="clear" w:color="auto" w:fill="auto"/>
            <w:vAlign w:val="bottom"/>
          </w:tcPr>
          <w:p w14:paraId="71D46FE7" w14:textId="77777777" w:rsidR="006A3667" w:rsidRDefault="006A3667">
            <w:pPr>
              <w:rPr>
                <w:rFonts w:ascii="宋体"/>
              </w:rPr>
            </w:pPr>
          </w:p>
        </w:tc>
        <w:tc>
          <w:tcPr>
            <w:tcW w:w="0" w:type="auto"/>
            <w:shd w:val="clear" w:color="auto" w:fill="auto"/>
            <w:vAlign w:val="bottom"/>
          </w:tcPr>
          <w:p w14:paraId="71D46FE8" w14:textId="77777777" w:rsidR="006A3667" w:rsidRDefault="006A3667">
            <w:pPr>
              <w:rPr>
                <w:rFonts w:ascii="宋体"/>
              </w:rPr>
            </w:pPr>
          </w:p>
        </w:tc>
        <w:tc>
          <w:tcPr>
            <w:tcW w:w="0" w:type="auto"/>
            <w:shd w:val="clear" w:color="auto" w:fill="auto"/>
            <w:vAlign w:val="bottom"/>
          </w:tcPr>
          <w:p w14:paraId="71D46FE9" w14:textId="77777777" w:rsidR="006A3667" w:rsidRDefault="006A3667">
            <w:pPr>
              <w:rPr>
                <w:rFonts w:ascii="宋体"/>
              </w:rPr>
            </w:pPr>
          </w:p>
        </w:tc>
        <w:tc>
          <w:tcPr>
            <w:tcW w:w="0" w:type="auto"/>
            <w:shd w:val="clear" w:color="auto" w:fill="auto"/>
            <w:vAlign w:val="bottom"/>
          </w:tcPr>
          <w:p w14:paraId="71D46FEA" w14:textId="77777777" w:rsidR="006A3667" w:rsidRDefault="006A3667">
            <w:pPr>
              <w:rPr>
                <w:rFonts w:ascii="宋体"/>
              </w:rPr>
            </w:pPr>
          </w:p>
        </w:tc>
        <w:tc>
          <w:tcPr>
            <w:tcW w:w="0" w:type="auto"/>
            <w:shd w:val="clear" w:color="auto" w:fill="auto"/>
            <w:vAlign w:val="bottom"/>
          </w:tcPr>
          <w:p w14:paraId="71D46FEB" w14:textId="77777777" w:rsidR="006A3667" w:rsidRDefault="006A3667">
            <w:pPr>
              <w:rPr>
                <w:rFonts w:ascii="宋体"/>
              </w:rPr>
            </w:pPr>
          </w:p>
        </w:tc>
        <w:tc>
          <w:tcPr>
            <w:tcW w:w="0" w:type="auto"/>
            <w:shd w:val="clear" w:color="auto" w:fill="auto"/>
            <w:vAlign w:val="bottom"/>
          </w:tcPr>
          <w:p w14:paraId="71D46FEC" w14:textId="77777777" w:rsidR="006A3667" w:rsidRDefault="006A3667">
            <w:pPr>
              <w:rPr>
                <w:rFonts w:ascii="宋体"/>
              </w:rPr>
            </w:pPr>
          </w:p>
        </w:tc>
        <w:tc>
          <w:tcPr>
            <w:tcW w:w="0" w:type="auto"/>
            <w:shd w:val="clear" w:color="auto" w:fill="auto"/>
            <w:vAlign w:val="bottom"/>
          </w:tcPr>
          <w:p w14:paraId="71D46FED" w14:textId="77777777" w:rsidR="006A3667" w:rsidRDefault="006A3667">
            <w:pPr>
              <w:rPr>
                <w:rFonts w:ascii="宋体"/>
              </w:rPr>
            </w:pPr>
          </w:p>
        </w:tc>
        <w:tc>
          <w:tcPr>
            <w:tcW w:w="0" w:type="auto"/>
            <w:shd w:val="clear" w:color="auto" w:fill="auto"/>
            <w:vAlign w:val="bottom"/>
          </w:tcPr>
          <w:p w14:paraId="71D46FEE" w14:textId="77777777" w:rsidR="006A3667" w:rsidRDefault="006A3667">
            <w:pPr>
              <w:rPr>
                <w:rFonts w:ascii="宋体"/>
              </w:rPr>
            </w:pPr>
          </w:p>
        </w:tc>
        <w:tc>
          <w:tcPr>
            <w:tcW w:w="0" w:type="auto"/>
            <w:shd w:val="clear" w:color="auto" w:fill="auto"/>
            <w:vAlign w:val="bottom"/>
          </w:tcPr>
          <w:p w14:paraId="71D46FEF" w14:textId="77777777" w:rsidR="006A3667" w:rsidRDefault="006A3667">
            <w:pPr>
              <w:rPr>
                <w:rFonts w:ascii="宋体"/>
              </w:rPr>
            </w:pPr>
          </w:p>
        </w:tc>
        <w:tc>
          <w:tcPr>
            <w:tcW w:w="0" w:type="auto"/>
            <w:shd w:val="clear" w:color="auto" w:fill="auto"/>
            <w:vAlign w:val="bottom"/>
          </w:tcPr>
          <w:p w14:paraId="71D46FF0" w14:textId="77777777" w:rsidR="006A3667" w:rsidRDefault="006A3667">
            <w:pPr>
              <w:rPr>
                <w:rFonts w:ascii="宋体"/>
              </w:rPr>
            </w:pPr>
          </w:p>
        </w:tc>
        <w:tc>
          <w:tcPr>
            <w:tcW w:w="0" w:type="auto"/>
            <w:shd w:val="clear" w:color="auto" w:fill="auto"/>
            <w:vAlign w:val="bottom"/>
          </w:tcPr>
          <w:p w14:paraId="71D46FF1" w14:textId="77777777" w:rsidR="006A3667" w:rsidRDefault="006A3667">
            <w:pPr>
              <w:rPr>
                <w:rFonts w:ascii="宋体"/>
              </w:rPr>
            </w:pPr>
          </w:p>
        </w:tc>
        <w:tc>
          <w:tcPr>
            <w:tcW w:w="0" w:type="auto"/>
            <w:shd w:val="clear" w:color="auto" w:fill="auto"/>
            <w:vAlign w:val="bottom"/>
          </w:tcPr>
          <w:p w14:paraId="71D46FF2" w14:textId="77777777" w:rsidR="006A3667" w:rsidRDefault="006A3667">
            <w:pPr>
              <w:rPr>
                <w:rFonts w:ascii="宋体"/>
              </w:rPr>
            </w:pPr>
          </w:p>
        </w:tc>
        <w:tc>
          <w:tcPr>
            <w:tcW w:w="0" w:type="auto"/>
            <w:shd w:val="clear" w:color="auto" w:fill="auto"/>
            <w:vAlign w:val="bottom"/>
          </w:tcPr>
          <w:p w14:paraId="71D46FF3" w14:textId="77777777" w:rsidR="006A3667" w:rsidRDefault="006A3667">
            <w:pPr>
              <w:rPr>
                <w:rFonts w:ascii="宋体"/>
              </w:rPr>
            </w:pPr>
          </w:p>
        </w:tc>
        <w:tc>
          <w:tcPr>
            <w:tcW w:w="0" w:type="auto"/>
            <w:shd w:val="clear" w:color="auto" w:fill="auto"/>
            <w:vAlign w:val="bottom"/>
          </w:tcPr>
          <w:p w14:paraId="71D46FF4" w14:textId="77777777" w:rsidR="006A3667" w:rsidRDefault="006A3667">
            <w:pPr>
              <w:rPr>
                <w:rFonts w:ascii="宋体"/>
              </w:rPr>
            </w:pPr>
          </w:p>
        </w:tc>
        <w:tc>
          <w:tcPr>
            <w:tcW w:w="0" w:type="auto"/>
            <w:shd w:val="clear" w:color="auto" w:fill="auto"/>
            <w:vAlign w:val="bottom"/>
          </w:tcPr>
          <w:p w14:paraId="71D46FF5" w14:textId="77777777" w:rsidR="006A3667" w:rsidRDefault="006A3667">
            <w:pPr>
              <w:rPr>
                <w:rFonts w:ascii="宋体"/>
              </w:rPr>
            </w:pPr>
          </w:p>
        </w:tc>
        <w:tc>
          <w:tcPr>
            <w:tcW w:w="0" w:type="auto"/>
            <w:shd w:val="clear" w:color="auto" w:fill="auto"/>
            <w:vAlign w:val="bottom"/>
          </w:tcPr>
          <w:p w14:paraId="71D46FF6" w14:textId="77777777" w:rsidR="006A3667" w:rsidRDefault="006A3667">
            <w:pPr>
              <w:rPr>
                <w:rFonts w:ascii="宋体"/>
              </w:rPr>
            </w:pPr>
          </w:p>
        </w:tc>
        <w:tc>
          <w:tcPr>
            <w:tcW w:w="0" w:type="auto"/>
            <w:shd w:val="clear" w:color="auto" w:fill="auto"/>
            <w:vAlign w:val="bottom"/>
          </w:tcPr>
          <w:p w14:paraId="71D46FF7" w14:textId="77777777" w:rsidR="006A3667" w:rsidRDefault="006A3667">
            <w:pPr>
              <w:rPr>
                <w:rFonts w:ascii="宋体"/>
              </w:rPr>
            </w:pPr>
          </w:p>
        </w:tc>
        <w:tc>
          <w:tcPr>
            <w:tcW w:w="0" w:type="auto"/>
            <w:shd w:val="clear" w:color="auto" w:fill="auto"/>
            <w:vAlign w:val="bottom"/>
          </w:tcPr>
          <w:p w14:paraId="71D46FF8" w14:textId="77777777" w:rsidR="006A3667" w:rsidRDefault="006A3667">
            <w:pPr>
              <w:rPr>
                <w:rFonts w:ascii="宋体"/>
              </w:rPr>
            </w:pPr>
          </w:p>
        </w:tc>
        <w:tc>
          <w:tcPr>
            <w:tcW w:w="0" w:type="auto"/>
            <w:shd w:val="clear" w:color="auto" w:fill="auto"/>
            <w:vAlign w:val="bottom"/>
          </w:tcPr>
          <w:p w14:paraId="71D46FF9" w14:textId="77777777" w:rsidR="006A3667" w:rsidRDefault="006A3667">
            <w:pPr>
              <w:rPr>
                <w:rFonts w:ascii="宋体"/>
              </w:rPr>
            </w:pPr>
          </w:p>
        </w:tc>
        <w:tc>
          <w:tcPr>
            <w:tcW w:w="0" w:type="auto"/>
            <w:shd w:val="clear" w:color="auto" w:fill="auto"/>
            <w:vAlign w:val="bottom"/>
          </w:tcPr>
          <w:p w14:paraId="71D46FFA" w14:textId="77777777" w:rsidR="006A3667" w:rsidRDefault="006A3667">
            <w:pPr>
              <w:rPr>
                <w:rFonts w:ascii="宋体"/>
              </w:rPr>
            </w:pPr>
          </w:p>
        </w:tc>
        <w:tc>
          <w:tcPr>
            <w:tcW w:w="0" w:type="auto"/>
            <w:shd w:val="clear" w:color="auto" w:fill="auto"/>
            <w:vAlign w:val="bottom"/>
          </w:tcPr>
          <w:p w14:paraId="71D46FFB" w14:textId="77777777" w:rsidR="006A3667" w:rsidRDefault="006A3667">
            <w:pPr>
              <w:rPr>
                <w:rFonts w:ascii="宋体"/>
              </w:rPr>
            </w:pPr>
          </w:p>
        </w:tc>
        <w:tc>
          <w:tcPr>
            <w:tcW w:w="0" w:type="auto"/>
            <w:shd w:val="clear" w:color="auto" w:fill="auto"/>
            <w:vAlign w:val="bottom"/>
          </w:tcPr>
          <w:p w14:paraId="71D46FFC" w14:textId="77777777" w:rsidR="006A3667" w:rsidRDefault="006A3667">
            <w:pPr>
              <w:rPr>
                <w:rFonts w:ascii="宋体"/>
              </w:rPr>
            </w:pPr>
          </w:p>
        </w:tc>
        <w:tc>
          <w:tcPr>
            <w:tcW w:w="0" w:type="auto"/>
            <w:shd w:val="clear" w:color="auto" w:fill="auto"/>
            <w:vAlign w:val="bottom"/>
          </w:tcPr>
          <w:p w14:paraId="71D46FFD" w14:textId="77777777" w:rsidR="006A3667" w:rsidRDefault="006A3667">
            <w:pPr>
              <w:rPr>
                <w:rFonts w:ascii="宋体"/>
              </w:rPr>
            </w:pPr>
          </w:p>
        </w:tc>
        <w:tc>
          <w:tcPr>
            <w:tcW w:w="0" w:type="auto"/>
            <w:shd w:val="clear" w:color="auto" w:fill="auto"/>
            <w:vAlign w:val="bottom"/>
          </w:tcPr>
          <w:p w14:paraId="71D46FFE" w14:textId="77777777" w:rsidR="006A3667" w:rsidRDefault="006A3667">
            <w:pPr>
              <w:rPr>
                <w:rFonts w:ascii="宋体"/>
              </w:rPr>
            </w:pPr>
          </w:p>
        </w:tc>
        <w:tc>
          <w:tcPr>
            <w:tcW w:w="0" w:type="auto"/>
            <w:shd w:val="clear" w:color="auto" w:fill="auto"/>
            <w:vAlign w:val="bottom"/>
          </w:tcPr>
          <w:p w14:paraId="71D46FFF" w14:textId="77777777" w:rsidR="006A3667" w:rsidRDefault="006A3667">
            <w:pPr>
              <w:rPr>
                <w:rFonts w:ascii="宋体"/>
              </w:rPr>
            </w:pPr>
          </w:p>
        </w:tc>
        <w:tc>
          <w:tcPr>
            <w:tcW w:w="0" w:type="auto"/>
            <w:shd w:val="clear" w:color="auto" w:fill="auto"/>
            <w:vAlign w:val="bottom"/>
          </w:tcPr>
          <w:p w14:paraId="71D47000" w14:textId="77777777" w:rsidR="006A3667" w:rsidRDefault="006A3667">
            <w:pPr>
              <w:rPr>
                <w:rFonts w:ascii="宋体"/>
              </w:rPr>
            </w:pPr>
          </w:p>
        </w:tc>
        <w:tc>
          <w:tcPr>
            <w:tcW w:w="0" w:type="auto"/>
            <w:shd w:val="clear" w:color="auto" w:fill="auto"/>
            <w:vAlign w:val="bottom"/>
          </w:tcPr>
          <w:p w14:paraId="71D47001" w14:textId="77777777" w:rsidR="006A3667" w:rsidRDefault="006A3667">
            <w:pPr>
              <w:rPr>
                <w:rFonts w:ascii="宋体"/>
              </w:rPr>
            </w:pPr>
          </w:p>
        </w:tc>
        <w:tc>
          <w:tcPr>
            <w:tcW w:w="0" w:type="auto"/>
            <w:shd w:val="clear" w:color="auto" w:fill="auto"/>
            <w:vAlign w:val="bottom"/>
          </w:tcPr>
          <w:p w14:paraId="71D47002" w14:textId="77777777" w:rsidR="006A3667" w:rsidRDefault="006A3667">
            <w:pPr>
              <w:rPr>
                <w:rFonts w:ascii="宋体"/>
              </w:rPr>
            </w:pPr>
          </w:p>
        </w:tc>
        <w:tc>
          <w:tcPr>
            <w:tcW w:w="0" w:type="auto"/>
            <w:shd w:val="clear" w:color="auto" w:fill="auto"/>
            <w:vAlign w:val="bottom"/>
          </w:tcPr>
          <w:p w14:paraId="71D47003" w14:textId="77777777" w:rsidR="006A3667" w:rsidRDefault="006A3667">
            <w:pPr>
              <w:rPr>
                <w:rFonts w:ascii="宋体"/>
              </w:rPr>
            </w:pPr>
          </w:p>
        </w:tc>
        <w:tc>
          <w:tcPr>
            <w:tcW w:w="0" w:type="auto"/>
            <w:shd w:val="clear" w:color="auto" w:fill="auto"/>
            <w:vAlign w:val="bottom"/>
          </w:tcPr>
          <w:p w14:paraId="71D47004" w14:textId="77777777" w:rsidR="006A3667" w:rsidRDefault="006A3667">
            <w:pPr>
              <w:rPr>
                <w:rFonts w:ascii="宋体"/>
              </w:rPr>
            </w:pPr>
          </w:p>
        </w:tc>
        <w:tc>
          <w:tcPr>
            <w:tcW w:w="0" w:type="auto"/>
            <w:shd w:val="clear" w:color="auto" w:fill="auto"/>
            <w:vAlign w:val="bottom"/>
          </w:tcPr>
          <w:p w14:paraId="71D47005" w14:textId="77777777" w:rsidR="006A3667" w:rsidRDefault="006A3667">
            <w:pPr>
              <w:rPr>
                <w:rFonts w:ascii="宋体"/>
              </w:rPr>
            </w:pPr>
          </w:p>
        </w:tc>
        <w:tc>
          <w:tcPr>
            <w:tcW w:w="0" w:type="auto"/>
            <w:shd w:val="clear" w:color="auto" w:fill="auto"/>
            <w:vAlign w:val="bottom"/>
          </w:tcPr>
          <w:p w14:paraId="71D47006" w14:textId="77777777" w:rsidR="006A3667" w:rsidRDefault="006A3667">
            <w:pPr>
              <w:rPr>
                <w:rFonts w:ascii="宋体"/>
              </w:rPr>
            </w:pPr>
          </w:p>
        </w:tc>
        <w:tc>
          <w:tcPr>
            <w:tcW w:w="0" w:type="auto"/>
            <w:shd w:val="clear" w:color="auto" w:fill="auto"/>
            <w:vAlign w:val="bottom"/>
          </w:tcPr>
          <w:p w14:paraId="71D47007" w14:textId="77777777" w:rsidR="006A3667" w:rsidRDefault="006A3667">
            <w:pPr>
              <w:rPr>
                <w:rFonts w:ascii="宋体"/>
              </w:rPr>
            </w:pPr>
          </w:p>
        </w:tc>
        <w:tc>
          <w:tcPr>
            <w:tcW w:w="0" w:type="auto"/>
            <w:shd w:val="clear" w:color="auto" w:fill="auto"/>
            <w:vAlign w:val="bottom"/>
          </w:tcPr>
          <w:p w14:paraId="71D47008" w14:textId="77777777" w:rsidR="006A3667" w:rsidRDefault="006A3667">
            <w:pPr>
              <w:rPr>
                <w:rFonts w:ascii="宋体"/>
              </w:rPr>
            </w:pPr>
          </w:p>
        </w:tc>
      </w:tr>
    </w:tbl>
    <w:p w14:paraId="71D4700A"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1497"/>
        <w:gridCol w:w="38"/>
        <w:gridCol w:w="100"/>
        <w:gridCol w:w="677"/>
        <w:gridCol w:w="38"/>
        <w:gridCol w:w="36"/>
        <w:gridCol w:w="36"/>
        <w:gridCol w:w="36"/>
        <w:gridCol w:w="98"/>
        <w:gridCol w:w="677"/>
        <w:gridCol w:w="36"/>
        <w:gridCol w:w="36"/>
        <w:gridCol w:w="36"/>
        <w:gridCol w:w="36"/>
        <w:gridCol w:w="99"/>
        <w:gridCol w:w="750"/>
        <w:gridCol w:w="36"/>
        <w:gridCol w:w="36"/>
        <w:gridCol w:w="36"/>
        <w:gridCol w:w="36"/>
        <w:gridCol w:w="99"/>
        <w:gridCol w:w="1009"/>
        <w:gridCol w:w="36"/>
        <w:gridCol w:w="36"/>
        <w:gridCol w:w="36"/>
        <w:gridCol w:w="36"/>
        <w:gridCol w:w="99"/>
        <w:gridCol w:w="894"/>
        <w:gridCol w:w="36"/>
        <w:gridCol w:w="36"/>
        <w:gridCol w:w="36"/>
        <w:gridCol w:w="36"/>
        <w:gridCol w:w="99"/>
        <w:gridCol w:w="543"/>
        <w:gridCol w:w="36"/>
        <w:gridCol w:w="36"/>
        <w:gridCol w:w="36"/>
        <w:gridCol w:w="36"/>
        <w:gridCol w:w="98"/>
        <w:gridCol w:w="613"/>
        <w:gridCol w:w="36"/>
      </w:tblGrid>
      <w:tr w:rsidR="006A3667" w14:paraId="71D47035" w14:textId="77777777">
        <w:tc>
          <w:tcPr>
            <w:tcW w:w="50" w:type="pct"/>
            <w:shd w:val="clear" w:color="auto" w:fill="auto"/>
            <w:vAlign w:val="bottom"/>
          </w:tcPr>
          <w:p w14:paraId="71D4700B" w14:textId="77777777" w:rsidR="006A3667" w:rsidRDefault="006A3667">
            <w:pPr>
              <w:rPr>
                <w:rFonts w:ascii="宋体"/>
              </w:rPr>
            </w:pPr>
          </w:p>
        </w:tc>
        <w:tc>
          <w:tcPr>
            <w:tcW w:w="961" w:type="pct"/>
            <w:shd w:val="clear" w:color="auto" w:fill="auto"/>
            <w:vAlign w:val="bottom"/>
          </w:tcPr>
          <w:p w14:paraId="71D4700C" w14:textId="77777777" w:rsidR="006A3667" w:rsidRDefault="006A3667">
            <w:pPr>
              <w:rPr>
                <w:rFonts w:ascii="宋体"/>
              </w:rPr>
            </w:pPr>
          </w:p>
        </w:tc>
        <w:tc>
          <w:tcPr>
            <w:tcW w:w="5" w:type="pct"/>
            <w:shd w:val="clear" w:color="auto" w:fill="auto"/>
            <w:vAlign w:val="bottom"/>
          </w:tcPr>
          <w:p w14:paraId="71D4700D" w14:textId="77777777" w:rsidR="006A3667" w:rsidRDefault="006A3667">
            <w:pPr>
              <w:rPr>
                <w:rFonts w:ascii="宋体"/>
              </w:rPr>
            </w:pPr>
          </w:p>
        </w:tc>
        <w:tc>
          <w:tcPr>
            <w:tcW w:w="50" w:type="pct"/>
            <w:shd w:val="clear" w:color="auto" w:fill="auto"/>
            <w:vAlign w:val="bottom"/>
          </w:tcPr>
          <w:p w14:paraId="71D4700E" w14:textId="77777777" w:rsidR="006A3667" w:rsidRDefault="006A3667">
            <w:pPr>
              <w:rPr>
                <w:rFonts w:ascii="宋体"/>
              </w:rPr>
            </w:pPr>
          </w:p>
        </w:tc>
        <w:tc>
          <w:tcPr>
            <w:tcW w:w="449" w:type="pct"/>
            <w:shd w:val="clear" w:color="auto" w:fill="auto"/>
            <w:vAlign w:val="bottom"/>
          </w:tcPr>
          <w:p w14:paraId="71D4700F" w14:textId="77777777" w:rsidR="006A3667" w:rsidRDefault="006A3667">
            <w:pPr>
              <w:rPr>
                <w:rFonts w:ascii="宋体"/>
              </w:rPr>
            </w:pPr>
          </w:p>
        </w:tc>
        <w:tc>
          <w:tcPr>
            <w:tcW w:w="5" w:type="pct"/>
            <w:shd w:val="clear" w:color="auto" w:fill="auto"/>
            <w:vAlign w:val="bottom"/>
          </w:tcPr>
          <w:p w14:paraId="71D47010" w14:textId="77777777" w:rsidR="006A3667" w:rsidRDefault="006A3667">
            <w:pPr>
              <w:rPr>
                <w:rFonts w:ascii="宋体"/>
              </w:rPr>
            </w:pPr>
          </w:p>
        </w:tc>
        <w:tc>
          <w:tcPr>
            <w:tcW w:w="5" w:type="pct"/>
            <w:shd w:val="clear" w:color="auto" w:fill="auto"/>
            <w:vAlign w:val="bottom"/>
          </w:tcPr>
          <w:p w14:paraId="71D47011" w14:textId="77777777" w:rsidR="006A3667" w:rsidRDefault="006A3667">
            <w:pPr>
              <w:rPr>
                <w:rFonts w:ascii="宋体"/>
              </w:rPr>
            </w:pPr>
          </w:p>
        </w:tc>
        <w:tc>
          <w:tcPr>
            <w:tcW w:w="19" w:type="pct"/>
            <w:shd w:val="clear" w:color="auto" w:fill="auto"/>
            <w:vAlign w:val="bottom"/>
          </w:tcPr>
          <w:p w14:paraId="71D47012" w14:textId="77777777" w:rsidR="006A3667" w:rsidRDefault="006A3667">
            <w:pPr>
              <w:rPr>
                <w:rFonts w:ascii="宋体"/>
              </w:rPr>
            </w:pPr>
          </w:p>
        </w:tc>
        <w:tc>
          <w:tcPr>
            <w:tcW w:w="5" w:type="pct"/>
            <w:shd w:val="clear" w:color="auto" w:fill="auto"/>
            <w:vAlign w:val="bottom"/>
          </w:tcPr>
          <w:p w14:paraId="71D47013" w14:textId="77777777" w:rsidR="006A3667" w:rsidRDefault="006A3667">
            <w:pPr>
              <w:rPr>
                <w:rFonts w:ascii="宋体"/>
              </w:rPr>
            </w:pPr>
          </w:p>
        </w:tc>
        <w:tc>
          <w:tcPr>
            <w:tcW w:w="50" w:type="pct"/>
            <w:shd w:val="clear" w:color="auto" w:fill="auto"/>
            <w:vAlign w:val="bottom"/>
          </w:tcPr>
          <w:p w14:paraId="71D47014" w14:textId="77777777" w:rsidR="006A3667" w:rsidRDefault="006A3667">
            <w:pPr>
              <w:rPr>
                <w:rFonts w:ascii="宋体"/>
              </w:rPr>
            </w:pPr>
          </w:p>
        </w:tc>
        <w:tc>
          <w:tcPr>
            <w:tcW w:w="449" w:type="pct"/>
            <w:shd w:val="clear" w:color="auto" w:fill="auto"/>
            <w:vAlign w:val="bottom"/>
          </w:tcPr>
          <w:p w14:paraId="71D47015" w14:textId="77777777" w:rsidR="006A3667" w:rsidRDefault="006A3667">
            <w:pPr>
              <w:rPr>
                <w:rFonts w:ascii="宋体"/>
              </w:rPr>
            </w:pPr>
          </w:p>
        </w:tc>
        <w:tc>
          <w:tcPr>
            <w:tcW w:w="5" w:type="pct"/>
            <w:shd w:val="clear" w:color="auto" w:fill="auto"/>
            <w:vAlign w:val="bottom"/>
          </w:tcPr>
          <w:p w14:paraId="71D47016" w14:textId="77777777" w:rsidR="006A3667" w:rsidRDefault="006A3667">
            <w:pPr>
              <w:rPr>
                <w:rFonts w:ascii="宋体"/>
              </w:rPr>
            </w:pPr>
          </w:p>
        </w:tc>
        <w:tc>
          <w:tcPr>
            <w:tcW w:w="5" w:type="pct"/>
            <w:shd w:val="clear" w:color="auto" w:fill="auto"/>
            <w:vAlign w:val="bottom"/>
          </w:tcPr>
          <w:p w14:paraId="71D47017" w14:textId="77777777" w:rsidR="006A3667" w:rsidRDefault="006A3667">
            <w:pPr>
              <w:rPr>
                <w:rFonts w:ascii="宋体"/>
              </w:rPr>
            </w:pPr>
          </w:p>
        </w:tc>
        <w:tc>
          <w:tcPr>
            <w:tcW w:w="26" w:type="pct"/>
            <w:shd w:val="clear" w:color="auto" w:fill="auto"/>
            <w:vAlign w:val="bottom"/>
          </w:tcPr>
          <w:p w14:paraId="71D47018" w14:textId="77777777" w:rsidR="006A3667" w:rsidRDefault="006A3667">
            <w:pPr>
              <w:rPr>
                <w:rFonts w:ascii="宋体"/>
              </w:rPr>
            </w:pPr>
          </w:p>
        </w:tc>
        <w:tc>
          <w:tcPr>
            <w:tcW w:w="5" w:type="pct"/>
            <w:shd w:val="clear" w:color="auto" w:fill="auto"/>
            <w:vAlign w:val="bottom"/>
          </w:tcPr>
          <w:p w14:paraId="71D47019" w14:textId="77777777" w:rsidR="006A3667" w:rsidRDefault="006A3667">
            <w:pPr>
              <w:rPr>
                <w:rFonts w:ascii="宋体"/>
              </w:rPr>
            </w:pPr>
          </w:p>
        </w:tc>
        <w:tc>
          <w:tcPr>
            <w:tcW w:w="50" w:type="pct"/>
            <w:shd w:val="clear" w:color="auto" w:fill="auto"/>
            <w:vAlign w:val="bottom"/>
          </w:tcPr>
          <w:p w14:paraId="71D4701A" w14:textId="77777777" w:rsidR="006A3667" w:rsidRDefault="006A3667">
            <w:pPr>
              <w:rPr>
                <w:rFonts w:ascii="宋体"/>
              </w:rPr>
            </w:pPr>
          </w:p>
        </w:tc>
        <w:tc>
          <w:tcPr>
            <w:tcW w:w="449" w:type="pct"/>
            <w:shd w:val="clear" w:color="auto" w:fill="auto"/>
            <w:vAlign w:val="bottom"/>
          </w:tcPr>
          <w:p w14:paraId="71D4701B" w14:textId="77777777" w:rsidR="006A3667" w:rsidRDefault="006A3667">
            <w:pPr>
              <w:rPr>
                <w:rFonts w:ascii="宋体"/>
              </w:rPr>
            </w:pPr>
          </w:p>
        </w:tc>
        <w:tc>
          <w:tcPr>
            <w:tcW w:w="5" w:type="pct"/>
            <w:shd w:val="clear" w:color="auto" w:fill="auto"/>
            <w:vAlign w:val="bottom"/>
          </w:tcPr>
          <w:p w14:paraId="71D4701C" w14:textId="77777777" w:rsidR="006A3667" w:rsidRDefault="006A3667">
            <w:pPr>
              <w:rPr>
                <w:rFonts w:ascii="宋体"/>
              </w:rPr>
            </w:pPr>
          </w:p>
        </w:tc>
        <w:tc>
          <w:tcPr>
            <w:tcW w:w="5" w:type="pct"/>
            <w:shd w:val="clear" w:color="auto" w:fill="auto"/>
            <w:vAlign w:val="bottom"/>
          </w:tcPr>
          <w:p w14:paraId="71D4701D" w14:textId="77777777" w:rsidR="006A3667" w:rsidRDefault="006A3667">
            <w:pPr>
              <w:rPr>
                <w:rFonts w:ascii="宋体"/>
              </w:rPr>
            </w:pPr>
          </w:p>
        </w:tc>
        <w:tc>
          <w:tcPr>
            <w:tcW w:w="26" w:type="pct"/>
            <w:shd w:val="clear" w:color="auto" w:fill="auto"/>
            <w:vAlign w:val="bottom"/>
          </w:tcPr>
          <w:p w14:paraId="71D4701E" w14:textId="77777777" w:rsidR="006A3667" w:rsidRDefault="006A3667">
            <w:pPr>
              <w:rPr>
                <w:rFonts w:ascii="宋体"/>
              </w:rPr>
            </w:pPr>
          </w:p>
        </w:tc>
        <w:tc>
          <w:tcPr>
            <w:tcW w:w="5" w:type="pct"/>
            <w:shd w:val="clear" w:color="auto" w:fill="auto"/>
            <w:vAlign w:val="bottom"/>
          </w:tcPr>
          <w:p w14:paraId="71D4701F" w14:textId="77777777" w:rsidR="006A3667" w:rsidRDefault="006A3667">
            <w:pPr>
              <w:rPr>
                <w:rFonts w:ascii="宋体"/>
              </w:rPr>
            </w:pPr>
          </w:p>
        </w:tc>
        <w:tc>
          <w:tcPr>
            <w:tcW w:w="50" w:type="pct"/>
            <w:shd w:val="clear" w:color="auto" w:fill="auto"/>
            <w:vAlign w:val="bottom"/>
          </w:tcPr>
          <w:p w14:paraId="71D47020" w14:textId="77777777" w:rsidR="006A3667" w:rsidRDefault="006A3667">
            <w:pPr>
              <w:rPr>
                <w:rFonts w:ascii="宋体"/>
              </w:rPr>
            </w:pPr>
          </w:p>
        </w:tc>
        <w:tc>
          <w:tcPr>
            <w:tcW w:w="529" w:type="pct"/>
            <w:shd w:val="clear" w:color="auto" w:fill="auto"/>
            <w:vAlign w:val="bottom"/>
          </w:tcPr>
          <w:p w14:paraId="71D47021" w14:textId="77777777" w:rsidR="006A3667" w:rsidRDefault="006A3667">
            <w:pPr>
              <w:rPr>
                <w:rFonts w:ascii="宋体"/>
              </w:rPr>
            </w:pPr>
          </w:p>
        </w:tc>
        <w:tc>
          <w:tcPr>
            <w:tcW w:w="5" w:type="pct"/>
            <w:shd w:val="clear" w:color="auto" w:fill="auto"/>
            <w:vAlign w:val="bottom"/>
          </w:tcPr>
          <w:p w14:paraId="71D47022" w14:textId="77777777" w:rsidR="006A3667" w:rsidRDefault="006A3667">
            <w:pPr>
              <w:rPr>
                <w:rFonts w:ascii="宋体"/>
              </w:rPr>
            </w:pPr>
          </w:p>
        </w:tc>
        <w:tc>
          <w:tcPr>
            <w:tcW w:w="5" w:type="pct"/>
            <w:shd w:val="clear" w:color="auto" w:fill="auto"/>
            <w:vAlign w:val="bottom"/>
          </w:tcPr>
          <w:p w14:paraId="71D47023" w14:textId="77777777" w:rsidR="006A3667" w:rsidRDefault="006A3667">
            <w:pPr>
              <w:rPr>
                <w:rFonts w:ascii="宋体"/>
              </w:rPr>
            </w:pPr>
          </w:p>
        </w:tc>
        <w:tc>
          <w:tcPr>
            <w:tcW w:w="26" w:type="pct"/>
            <w:shd w:val="clear" w:color="auto" w:fill="auto"/>
            <w:vAlign w:val="bottom"/>
          </w:tcPr>
          <w:p w14:paraId="71D47024" w14:textId="77777777" w:rsidR="006A3667" w:rsidRDefault="006A3667">
            <w:pPr>
              <w:rPr>
                <w:rFonts w:ascii="宋体"/>
              </w:rPr>
            </w:pPr>
          </w:p>
        </w:tc>
        <w:tc>
          <w:tcPr>
            <w:tcW w:w="5" w:type="pct"/>
            <w:shd w:val="clear" w:color="auto" w:fill="auto"/>
            <w:vAlign w:val="bottom"/>
          </w:tcPr>
          <w:p w14:paraId="71D47025" w14:textId="77777777" w:rsidR="006A3667" w:rsidRDefault="006A3667">
            <w:pPr>
              <w:rPr>
                <w:rFonts w:ascii="宋体"/>
              </w:rPr>
            </w:pPr>
          </w:p>
        </w:tc>
        <w:tc>
          <w:tcPr>
            <w:tcW w:w="50" w:type="pct"/>
            <w:shd w:val="clear" w:color="auto" w:fill="auto"/>
            <w:vAlign w:val="bottom"/>
          </w:tcPr>
          <w:p w14:paraId="71D47026" w14:textId="77777777" w:rsidR="006A3667" w:rsidRDefault="006A3667">
            <w:pPr>
              <w:rPr>
                <w:rFonts w:ascii="宋体"/>
              </w:rPr>
            </w:pPr>
          </w:p>
        </w:tc>
        <w:tc>
          <w:tcPr>
            <w:tcW w:w="617" w:type="pct"/>
            <w:shd w:val="clear" w:color="auto" w:fill="auto"/>
            <w:vAlign w:val="bottom"/>
          </w:tcPr>
          <w:p w14:paraId="71D47027" w14:textId="77777777" w:rsidR="006A3667" w:rsidRDefault="006A3667">
            <w:pPr>
              <w:rPr>
                <w:rFonts w:ascii="宋体"/>
              </w:rPr>
            </w:pPr>
          </w:p>
        </w:tc>
        <w:tc>
          <w:tcPr>
            <w:tcW w:w="5" w:type="pct"/>
            <w:shd w:val="clear" w:color="auto" w:fill="auto"/>
            <w:vAlign w:val="bottom"/>
          </w:tcPr>
          <w:p w14:paraId="71D47028" w14:textId="77777777" w:rsidR="006A3667" w:rsidRDefault="006A3667">
            <w:pPr>
              <w:rPr>
                <w:rFonts w:ascii="宋体"/>
              </w:rPr>
            </w:pPr>
          </w:p>
        </w:tc>
        <w:tc>
          <w:tcPr>
            <w:tcW w:w="5" w:type="pct"/>
            <w:shd w:val="clear" w:color="auto" w:fill="auto"/>
            <w:vAlign w:val="bottom"/>
          </w:tcPr>
          <w:p w14:paraId="71D47029" w14:textId="77777777" w:rsidR="006A3667" w:rsidRDefault="006A3667">
            <w:pPr>
              <w:rPr>
                <w:rFonts w:ascii="宋体"/>
              </w:rPr>
            </w:pPr>
          </w:p>
        </w:tc>
        <w:tc>
          <w:tcPr>
            <w:tcW w:w="19" w:type="pct"/>
            <w:shd w:val="clear" w:color="auto" w:fill="auto"/>
            <w:vAlign w:val="bottom"/>
          </w:tcPr>
          <w:p w14:paraId="71D4702A" w14:textId="77777777" w:rsidR="006A3667" w:rsidRDefault="006A3667">
            <w:pPr>
              <w:rPr>
                <w:rFonts w:ascii="宋体"/>
              </w:rPr>
            </w:pPr>
          </w:p>
        </w:tc>
        <w:tc>
          <w:tcPr>
            <w:tcW w:w="5" w:type="pct"/>
            <w:shd w:val="clear" w:color="auto" w:fill="auto"/>
            <w:vAlign w:val="bottom"/>
          </w:tcPr>
          <w:p w14:paraId="71D4702B" w14:textId="77777777" w:rsidR="006A3667" w:rsidRDefault="006A3667">
            <w:pPr>
              <w:rPr>
                <w:rFonts w:ascii="宋体"/>
              </w:rPr>
            </w:pPr>
          </w:p>
        </w:tc>
        <w:tc>
          <w:tcPr>
            <w:tcW w:w="50" w:type="pct"/>
            <w:shd w:val="clear" w:color="auto" w:fill="auto"/>
            <w:vAlign w:val="bottom"/>
          </w:tcPr>
          <w:p w14:paraId="71D4702C" w14:textId="77777777" w:rsidR="006A3667" w:rsidRDefault="006A3667">
            <w:pPr>
              <w:rPr>
                <w:rFonts w:ascii="宋体"/>
              </w:rPr>
            </w:pPr>
          </w:p>
        </w:tc>
        <w:tc>
          <w:tcPr>
            <w:tcW w:w="449" w:type="pct"/>
            <w:shd w:val="clear" w:color="auto" w:fill="auto"/>
            <w:vAlign w:val="bottom"/>
          </w:tcPr>
          <w:p w14:paraId="71D4702D" w14:textId="77777777" w:rsidR="006A3667" w:rsidRDefault="006A3667">
            <w:pPr>
              <w:rPr>
                <w:rFonts w:ascii="宋体"/>
              </w:rPr>
            </w:pPr>
          </w:p>
        </w:tc>
        <w:tc>
          <w:tcPr>
            <w:tcW w:w="5" w:type="pct"/>
            <w:shd w:val="clear" w:color="auto" w:fill="auto"/>
            <w:vAlign w:val="bottom"/>
          </w:tcPr>
          <w:p w14:paraId="71D4702E" w14:textId="77777777" w:rsidR="006A3667" w:rsidRDefault="006A3667">
            <w:pPr>
              <w:rPr>
                <w:rFonts w:ascii="宋体"/>
              </w:rPr>
            </w:pPr>
          </w:p>
        </w:tc>
        <w:tc>
          <w:tcPr>
            <w:tcW w:w="5" w:type="pct"/>
            <w:shd w:val="clear" w:color="auto" w:fill="auto"/>
            <w:vAlign w:val="bottom"/>
          </w:tcPr>
          <w:p w14:paraId="71D4702F" w14:textId="77777777" w:rsidR="006A3667" w:rsidRDefault="006A3667">
            <w:pPr>
              <w:rPr>
                <w:rFonts w:ascii="宋体"/>
              </w:rPr>
            </w:pPr>
          </w:p>
        </w:tc>
        <w:tc>
          <w:tcPr>
            <w:tcW w:w="26" w:type="pct"/>
            <w:shd w:val="clear" w:color="auto" w:fill="auto"/>
            <w:vAlign w:val="bottom"/>
          </w:tcPr>
          <w:p w14:paraId="71D47030" w14:textId="77777777" w:rsidR="006A3667" w:rsidRDefault="006A3667">
            <w:pPr>
              <w:rPr>
                <w:rFonts w:ascii="宋体"/>
              </w:rPr>
            </w:pPr>
          </w:p>
        </w:tc>
        <w:tc>
          <w:tcPr>
            <w:tcW w:w="5" w:type="pct"/>
            <w:shd w:val="clear" w:color="auto" w:fill="auto"/>
            <w:vAlign w:val="bottom"/>
          </w:tcPr>
          <w:p w14:paraId="71D47031" w14:textId="77777777" w:rsidR="006A3667" w:rsidRDefault="006A3667">
            <w:pPr>
              <w:rPr>
                <w:rFonts w:ascii="宋体"/>
              </w:rPr>
            </w:pPr>
          </w:p>
        </w:tc>
        <w:tc>
          <w:tcPr>
            <w:tcW w:w="50" w:type="pct"/>
            <w:shd w:val="clear" w:color="auto" w:fill="auto"/>
            <w:vAlign w:val="bottom"/>
          </w:tcPr>
          <w:p w14:paraId="71D47032" w14:textId="77777777" w:rsidR="006A3667" w:rsidRDefault="006A3667">
            <w:pPr>
              <w:rPr>
                <w:rFonts w:ascii="宋体"/>
              </w:rPr>
            </w:pPr>
          </w:p>
        </w:tc>
        <w:tc>
          <w:tcPr>
            <w:tcW w:w="449" w:type="pct"/>
            <w:shd w:val="clear" w:color="auto" w:fill="auto"/>
            <w:vAlign w:val="bottom"/>
          </w:tcPr>
          <w:p w14:paraId="71D47033" w14:textId="77777777" w:rsidR="006A3667" w:rsidRDefault="006A3667">
            <w:pPr>
              <w:rPr>
                <w:rFonts w:ascii="宋体"/>
              </w:rPr>
            </w:pPr>
          </w:p>
        </w:tc>
        <w:tc>
          <w:tcPr>
            <w:tcW w:w="5" w:type="pct"/>
            <w:shd w:val="clear" w:color="auto" w:fill="auto"/>
            <w:vAlign w:val="bottom"/>
          </w:tcPr>
          <w:p w14:paraId="71D47034" w14:textId="77777777" w:rsidR="006A3667" w:rsidRDefault="006A3667">
            <w:pPr>
              <w:rPr>
                <w:rFonts w:ascii="宋体"/>
              </w:rPr>
            </w:pPr>
          </w:p>
        </w:tc>
      </w:tr>
      <w:tr w:rsidR="006A3667" w14:paraId="71D47044" w14:textId="77777777">
        <w:trPr>
          <w:trHeight w:val="60"/>
        </w:trPr>
        <w:tc>
          <w:tcPr>
            <w:tcW w:w="0" w:type="auto"/>
            <w:gridSpan w:val="3"/>
            <w:shd w:val="clear" w:color="auto" w:fill="auto"/>
            <w:tcMar>
              <w:top w:w="0" w:type="dxa"/>
              <w:left w:w="20" w:type="dxa"/>
              <w:bottom w:w="0" w:type="dxa"/>
              <w:right w:w="20" w:type="dxa"/>
            </w:tcMar>
            <w:vAlign w:val="bottom"/>
          </w:tcPr>
          <w:p w14:paraId="71D4703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3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4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4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4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43" w14:textId="77777777" w:rsidR="006A3667" w:rsidRDefault="006A3667">
            <w:pPr>
              <w:rPr>
                <w:rFonts w:ascii="宋体"/>
              </w:rPr>
            </w:pPr>
          </w:p>
        </w:tc>
      </w:tr>
      <w:tr w:rsidR="006A3667" w14:paraId="71D47047" w14:textId="77777777">
        <w:tc>
          <w:tcPr>
            <w:tcW w:w="0" w:type="auto"/>
            <w:gridSpan w:val="3"/>
            <w:shd w:val="clear" w:color="auto" w:fill="auto"/>
            <w:tcMar>
              <w:top w:w="0" w:type="dxa"/>
              <w:left w:w="20" w:type="dxa"/>
              <w:bottom w:w="0" w:type="dxa"/>
              <w:right w:w="20" w:type="dxa"/>
            </w:tcMar>
            <w:vAlign w:val="bottom"/>
          </w:tcPr>
          <w:p w14:paraId="71D47045" w14:textId="77777777" w:rsidR="006A3667" w:rsidRDefault="006A3667">
            <w:pPr>
              <w:rPr>
                <w:rFonts w:ascii="宋体"/>
              </w:rPr>
            </w:pPr>
          </w:p>
        </w:tc>
        <w:tc>
          <w:tcPr>
            <w:tcW w:w="0" w:type="auto"/>
            <w:gridSpan w:val="39"/>
            <w:shd w:val="clear" w:color="auto" w:fill="auto"/>
            <w:tcMar>
              <w:top w:w="40" w:type="dxa"/>
              <w:left w:w="20" w:type="dxa"/>
              <w:bottom w:w="40" w:type="dxa"/>
              <w:right w:w="20" w:type="dxa"/>
            </w:tcMar>
            <w:vAlign w:val="bottom"/>
          </w:tcPr>
          <w:p w14:paraId="71D47046" w14:textId="77777777" w:rsidR="006A3667" w:rsidRDefault="00045F32">
            <w:pPr>
              <w:jc w:val="center"/>
              <w:textAlignment w:val="bottom"/>
            </w:pPr>
            <w:r>
              <w:rPr>
                <w:rFonts w:ascii="Arial" w:eastAsia="宋体" w:hAnsi="Arial" w:cs="Arial"/>
                <w:b/>
                <w:bCs/>
                <w:color w:val="000000"/>
                <w:sz w:val="14"/>
                <w:szCs w:val="14"/>
              </w:rPr>
              <w:t xml:space="preserve">Nine Months Ended </w:t>
            </w:r>
            <w:r>
              <w:rPr>
                <w:rFonts w:ascii="Arial" w:eastAsia="宋体" w:hAnsi="Arial" w:cs="Arial"/>
                <w:b/>
                <w:bCs/>
                <w:color w:val="000000"/>
                <w:sz w:val="14"/>
                <w:szCs w:val="14"/>
              </w:rPr>
              <w:t>September 30, 2021</w:t>
            </w:r>
          </w:p>
        </w:tc>
      </w:tr>
      <w:tr w:rsidR="006A3667" w14:paraId="71D47053" w14:textId="77777777">
        <w:tc>
          <w:tcPr>
            <w:tcW w:w="0" w:type="auto"/>
            <w:gridSpan w:val="3"/>
            <w:shd w:val="clear" w:color="auto" w:fill="auto"/>
            <w:tcMar>
              <w:top w:w="0" w:type="dxa"/>
              <w:left w:w="20" w:type="dxa"/>
              <w:bottom w:w="0" w:type="dxa"/>
              <w:right w:w="20" w:type="dxa"/>
            </w:tcMar>
            <w:vAlign w:val="bottom"/>
          </w:tcPr>
          <w:p w14:paraId="71D47048"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049" w14:textId="77777777" w:rsidR="006A3667" w:rsidRDefault="00045F32">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4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4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4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4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4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4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50" w14:textId="77777777" w:rsidR="006A3667" w:rsidRDefault="006A3667">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71D4705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52" w14:textId="77777777" w:rsidR="006A3667" w:rsidRDefault="006A3667">
            <w:pPr>
              <w:rPr>
                <w:rFonts w:ascii="宋体"/>
              </w:rPr>
            </w:pPr>
          </w:p>
        </w:tc>
      </w:tr>
      <w:tr w:rsidR="006A3667" w14:paraId="71D47062" w14:textId="77777777">
        <w:tc>
          <w:tcPr>
            <w:tcW w:w="0" w:type="auto"/>
            <w:gridSpan w:val="3"/>
            <w:shd w:val="clear" w:color="auto" w:fill="auto"/>
            <w:tcMar>
              <w:top w:w="40" w:type="dxa"/>
              <w:left w:w="20" w:type="dxa"/>
              <w:bottom w:w="40" w:type="dxa"/>
              <w:right w:w="20" w:type="dxa"/>
            </w:tcMar>
            <w:vAlign w:val="bottom"/>
          </w:tcPr>
          <w:p w14:paraId="71D47054"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055" w14:textId="77777777" w:rsidR="006A3667" w:rsidRDefault="00045F32">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5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057" w14:textId="77777777" w:rsidR="006A3667" w:rsidRDefault="00045F32">
            <w:pPr>
              <w:jc w:val="center"/>
              <w:textAlignment w:val="bottom"/>
            </w:pPr>
            <w:r>
              <w:rPr>
                <w:rFonts w:ascii="Arial" w:eastAsia="宋体" w:hAnsi="Arial" w:cs="Arial"/>
                <w:b/>
                <w:bCs/>
                <w:color w:val="000000"/>
                <w:sz w:val="14"/>
                <w:szCs w:val="14"/>
              </w:rPr>
              <w:t>Other Loans</w:t>
            </w:r>
          </w:p>
        </w:tc>
        <w:tc>
          <w:tcPr>
            <w:tcW w:w="0" w:type="auto"/>
            <w:gridSpan w:val="3"/>
            <w:shd w:val="clear" w:color="auto" w:fill="auto"/>
            <w:tcMar>
              <w:top w:w="0" w:type="dxa"/>
              <w:left w:w="20" w:type="dxa"/>
              <w:bottom w:w="0" w:type="dxa"/>
              <w:right w:w="20" w:type="dxa"/>
            </w:tcMar>
            <w:vAlign w:val="bottom"/>
          </w:tcPr>
          <w:p w14:paraId="71D47058"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059" w14:textId="77777777" w:rsidR="006A3667" w:rsidRDefault="00045F32">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71D4705A"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05B" w14:textId="77777777" w:rsidR="006A3667" w:rsidRDefault="00045F32">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71D4705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05D" w14:textId="77777777" w:rsidR="006A3667" w:rsidRDefault="00045F32">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71D4705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05F" w14:textId="77777777" w:rsidR="006A3667" w:rsidRDefault="00045F32">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71D47060"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061"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7071" w14:textId="77777777">
        <w:tc>
          <w:tcPr>
            <w:tcW w:w="0" w:type="auto"/>
            <w:gridSpan w:val="3"/>
            <w:shd w:val="clear" w:color="auto" w:fill="auto"/>
            <w:tcMar>
              <w:top w:w="40" w:type="dxa"/>
              <w:left w:w="20" w:type="dxa"/>
              <w:bottom w:w="40" w:type="dxa"/>
              <w:right w:w="20" w:type="dxa"/>
            </w:tcMar>
            <w:vAlign w:val="bottom"/>
          </w:tcPr>
          <w:p w14:paraId="71D47063" w14:textId="77777777" w:rsidR="006A3667" w:rsidRDefault="00045F32">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6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6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6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6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6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6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6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6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6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6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06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070" w14:textId="77777777" w:rsidR="006A3667" w:rsidRDefault="006A3667">
            <w:pPr>
              <w:rPr>
                <w:rFonts w:ascii="宋体"/>
              </w:rPr>
            </w:pPr>
          </w:p>
        </w:tc>
      </w:tr>
      <w:tr w:rsidR="006A3667" w14:paraId="71D4708E" w14:textId="77777777">
        <w:tc>
          <w:tcPr>
            <w:tcW w:w="0" w:type="auto"/>
            <w:gridSpan w:val="3"/>
            <w:shd w:val="clear" w:color="auto" w:fill="CCEEFF"/>
            <w:tcMar>
              <w:top w:w="40" w:type="dxa"/>
              <w:left w:w="20" w:type="dxa"/>
              <w:bottom w:w="40" w:type="dxa"/>
              <w:right w:w="20" w:type="dxa"/>
            </w:tcMar>
            <w:vAlign w:val="bottom"/>
          </w:tcPr>
          <w:p w14:paraId="71D47072" w14:textId="77777777" w:rsidR="006A3667" w:rsidRDefault="00045F32">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71D4707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074" w14:textId="77777777" w:rsidR="006A3667" w:rsidRDefault="00045F32">
            <w:pPr>
              <w:jc w:val="right"/>
              <w:textAlignment w:val="bottom"/>
            </w:pPr>
            <w:r>
              <w:rPr>
                <w:rFonts w:ascii="Arial" w:eastAsia="宋体" w:hAnsi="Arial" w:cs="Arial"/>
                <w:color w:val="000000"/>
                <w:sz w:val="14"/>
                <w:szCs w:val="14"/>
              </w:rPr>
              <w:t>97 </w:t>
            </w:r>
          </w:p>
        </w:tc>
        <w:tc>
          <w:tcPr>
            <w:tcW w:w="0" w:type="auto"/>
            <w:shd w:val="clear" w:color="auto" w:fill="CCEEFF"/>
            <w:tcMar>
              <w:top w:w="40" w:type="dxa"/>
              <w:left w:w="0" w:type="dxa"/>
              <w:bottom w:w="40" w:type="dxa"/>
              <w:right w:w="20" w:type="dxa"/>
            </w:tcMar>
            <w:vAlign w:val="bottom"/>
          </w:tcPr>
          <w:p w14:paraId="71D470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7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07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078" w14:textId="77777777" w:rsidR="006A3667" w:rsidRDefault="00045F32">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71D470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7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07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07C" w14:textId="77777777" w:rsidR="006A3667" w:rsidRDefault="00045F32">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71D470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7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07F"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080"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1D470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8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08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084" w14:textId="77777777" w:rsidR="006A3667" w:rsidRDefault="00045F32">
            <w:pPr>
              <w:jc w:val="right"/>
              <w:textAlignment w:val="bottom"/>
            </w:pPr>
            <w:r>
              <w:rPr>
                <w:rFonts w:ascii="Arial" w:eastAsia="宋体" w:hAnsi="Arial" w:cs="Arial"/>
                <w:color w:val="000000"/>
                <w:sz w:val="14"/>
                <w:szCs w:val="14"/>
              </w:rPr>
              <w:t>22 </w:t>
            </w:r>
          </w:p>
        </w:tc>
        <w:tc>
          <w:tcPr>
            <w:tcW w:w="0" w:type="auto"/>
            <w:shd w:val="clear" w:color="auto" w:fill="CCEEFF"/>
            <w:tcMar>
              <w:top w:w="40" w:type="dxa"/>
              <w:left w:w="0" w:type="dxa"/>
              <w:bottom w:w="40" w:type="dxa"/>
              <w:right w:w="20" w:type="dxa"/>
            </w:tcMar>
            <w:vAlign w:val="bottom"/>
          </w:tcPr>
          <w:p w14:paraId="71D4708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8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08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088"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470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8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08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08C" w14:textId="77777777" w:rsidR="006A3667" w:rsidRDefault="00045F32">
            <w:pPr>
              <w:jc w:val="right"/>
              <w:textAlignment w:val="bottom"/>
            </w:pPr>
            <w:r>
              <w:rPr>
                <w:rFonts w:ascii="Arial" w:eastAsia="宋体" w:hAnsi="Arial" w:cs="Arial"/>
                <w:color w:val="000000"/>
                <w:sz w:val="14"/>
                <w:szCs w:val="14"/>
              </w:rPr>
              <w:t>148 </w:t>
            </w:r>
          </w:p>
        </w:tc>
        <w:tc>
          <w:tcPr>
            <w:tcW w:w="0" w:type="auto"/>
            <w:shd w:val="clear" w:color="auto" w:fill="CCEEFF"/>
            <w:tcMar>
              <w:top w:w="40" w:type="dxa"/>
              <w:left w:w="0" w:type="dxa"/>
              <w:bottom w:w="40" w:type="dxa"/>
              <w:right w:w="20" w:type="dxa"/>
            </w:tcMar>
            <w:vAlign w:val="bottom"/>
          </w:tcPr>
          <w:p w14:paraId="71D4708D" w14:textId="77777777" w:rsidR="006A3667" w:rsidRDefault="006A3667">
            <w:pPr>
              <w:jc w:val="right"/>
              <w:rPr>
                <w:rFonts w:ascii="宋体"/>
              </w:rPr>
            </w:pPr>
          </w:p>
        </w:tc>
      </w:tr>
      <w:tr w:rsidR="006A3667" w14:paraId="71D470A4" w14:textId="77777777">
        <w:tc>
          <w:tcPr>
            <w:tcW w:w="0" w:type="auto"/>
            <w:gridSpan w:val="3"/>
            <w:shd w:val="clear" w:color="auto" w:fill="FFFFFF"/>
            <w:tcMar>
              <w:top w:w="40" w:type="dxa"/>
              <w:left w:w="20" w:type="dxa"/>
              <w:bottom w:w="40" w:type="dxa"/>
              <w:right w:w="20" w:type="dxa"/>
            </w:tcMar>
            <w:vAlign w:val="bottom"/>
          </w:tcPr>
          <w:p w14:paraId="71D4708F" w14:textId="77777777" w:rsidR="006A3667" w:rsidRDefault="00045F32">
            <w:pP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47090"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71D4709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9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9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9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9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9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9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9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9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9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9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9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9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9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9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A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A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A2"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71D470A3" w14:textId="77777777" w:rsidR="006A3667" w:rsidRDefault="006A3667">
            <w:pPr>
              <w:jc w:val="right"/>
              <w:rPr>
                <w:rFonts w:ascii="宋体"/>
              </w:rPr>
            </w:pPr>
          </w:p>
        </w:tc>
      </w:tr>
      <w:tr w:rsidR="006A3667" w14:paraId="71D470BA" w14:textId="77777777">
        <w:tc>
          <w:tcPr>
            <w:tcW w:w="0" w:type="auto"/>
            <w:gridSpan w:val="3"/>
            <w:shd w:val="clear" w:color="auto" w:fill="CCEEFF"/>
            <w:tcMar>
              <w:top w:w="40" w:type="dxa"/>
              <w:left w:w="20" w:type="dxa"/>
              <w:bottom w:w="40" w:type="dxa"/>
              <w:right w:w="20" w:type="dxa"/>
            </w:tcMar>
            <w:vAlign w:val="bottom"/>
          </w:tcPr>
          <w:p w14:paraId="71D470A5" w14:textId="77777777" w:rsidR="006A3667" w:rsidRDefault="00045F32">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71D470A6" w14:textId="77777777" w:rsidR="006A3667" w:rsidRDefault="00045F32">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71D470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0A9" w14:textId="77777777" w:rsidR="006A3667" w:rsidRDefault="00045F32">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71D470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A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0AC" w14:textId="77777777" w:rsidR="006A3667" w:rsidRDefault="00045F32">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71D470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A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0AF"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70B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B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0B2"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71D470B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B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0B5"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70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B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0B8" w14:textId="77777777" w:rsidR="006A3667" w:rsidRDefault="00045F32">
            <w:pPr>
              <w:jc w:val="right"/>
              <w:textAlignment w:val="bottom"/>
            </w:pPr>
            <w:r>
              <w:rPr>
                <w:rFonts w:ascii="Arial" w:eastAsia="宋体" w:hAnsi="Arial" w:cs="Arial"/>
                <w:color w:val="000000"/>
                <w:sz w:val="14"/>
                <w:szCs w:val="14"/>
              </w:rPr>
              <w:t>(26)</w:t>
            </w:r>
          </w:p>
        </w:tc>
        <w:tc>
          <w:tcPr>
            <w:tcW w:w="0" w:type="auto"/>
            <w:shd w:val="clear" w:color="auto" w:fill="CCEEFF"/>
            <w:tcMar>
              <w:top w:w="40" w:type="dxa"/>
              <w:left w:w="0" w:type="dxa"/>
              <w:bottom w:w="40" w:type="dxa"/>
              <w:right w:w="20" w:type="dxa"/>
            </w:tcMar>
            <w:vAlign w:val="bottom"/>
          </w:tcPr>
          <w:p w14:paraId="71D470B9" w14:textId="77777777" w:rsidR="006A3667" w:rsidRDefault="006A3667">
            <w:pPr>
              <w:jc w:val="right"/>
              <w:rPr>
                <w:rFonts w:ascii="宋体"/>
              </w:rPr>
            </w:pPr>
          </w:p>
        </w:tc>
      </w:tr>
      <w:tr w:rsidR="006A3667" w14:paraId="71D470C9" w14:textId="77777777">
        <w:trPr>
          <w:hidden/>
        </w:trPr>
        <w:tc>
          <w:tcPr>
            <w:tcW w:w="0" w:type="auto"/>
            <w:gridSpan w:val="3"/>
            <w:shd w:val="clear" w:color="auto" w:fill="auto"/>
            <w:vAlign w:val="bottom"/>
          </w:tcPr>
          <w:p w14:paraId="71D470BB" w14:textId="77777777" w:rsidR="006A3667" w:rsidRDefault="006A3667">
            <w:pPr>
              <w:rPr>
                <w:rFonts w:ascii="宋体"/>
                <w:vanish/>
              </w:rPr>
            </w:pPr>
          </w:p>
        </w:tc>
        <w:tc>
          <w:tcPr>
            <w:tcW w:w="0" w:type="auto"/>
            <w:gridSpan w:val="3"/>
            <w:shd w:val="clear" w:color="auto" w:fill="auto"/>
            <w:vAlign w:val="bottom"/>
          </w:tcPr>
          <w:p w14:paraId="71D470BC" w14:textId="77777777" w:rsidR="006A3667" w:rsidRDefault="006A3667">
            <w:pPr>
              <w:rPr>
                <w:rFonts w:ascii="宋体"/>
                <w:vanish/>
              </w:rPr>
            </w:pPr>
          </w:p>
        </w:tc>
        <w:tc>
          <w:tcPr>
            <w:tcW w:w="0" w:type="auto"/>
            <w:gridSpan w:val="3"/>
            <w:shd w:val="clear" w:color="auto" w:fill="auto"/>
            <w:vAlign w:val="bottom"/>
          </w:tcPr>
          <w:p w14:paraId="71D470BD" w14:textId="77777777" w:rsidR="006A3667" w:rsidRDefault="006A3667">
            <w:pPr>
              <w:rPr>
                <w:rFonts w:ascii="宋体"/>
                <w:vanish/>
              </w:rPr>
            </w:pPr>
          </w:p>
        </w:tc>
        <w:tc>
          <w:tcPr>
            <w:tcW w:w="0" w:type="auto"/>
            <w:gridSpan w:val="3"/>
            <w:shd w:val="clear" w:color="auto" w:fill="auto"/>
            <w:vAlign w:val="bottom"/>
          </w:tcPr>
          <w:p w14:paraId="71D470BE" w14:textId="77777777" w:rsidR="006A3667" w:rsidRDefault="006A3667">
            <w:pPr>
              <w:rPr>
                <w:rFonts w:ascii="宋体"/>
                <w:vanish/>
              </w:rPr>
            </w:pPr>
          </w:p>
        </w:tc>
        <w:tc>
          <w:tcPr>
            <w:tcW w:w="0" w:type="auto"/>
            <w:gridSpan w:val="3"/>
            <w:shd w:val="clear" w:color="auto" w:fill="auto"/>
            <w:vAlign w:val="bottom"/>
          </w:tcPr>
          <w:p w14:paraId="71D470BF" w14:textId="77777777" w:rsidR="006A3667" w:rsidRDefault="006A3667">
            <w:pPr>
              <w:rPr>
                <w:rFonts w:ascii="宋体"/>
                <w:vanish/>
              </w:rPr>
            </w:pPr>
          </w:p>
        </w:tc>
        <w:tc>
          <w:tcPr>
            <w:tcW w:w="0" w:type="auto"/>
            <w:gridSpan w:val="3"/>
            <w:shd w:val="clear" w:color="auto" w:fill="auto"/>
            <w:vAlign w:val="bottom"/>
          </w:tcPr>
          <w:p w14:paraId="71D470C0" w14:textId="77777777" w:rsidR="006A3667" w:rsidRDefault="006A3667">
            <w:pPr>
              <w:rPr>
                <w:rFonts w:ascii="宋体"/>
                <w:vanish/>
              </w:rPr>
            </w:pPr>
          </w:p>
        </w:tc>
        <w:tc>
          <w:tcPr>
            <w:tcW w:w="0" w:type="auto"/>
            <w:gridSpan w:val="3"/>
            <w:shd w:val="clear" w:color="auto" w:fill="auto"/>
            <w:vAlign w:val="bottom"/>
          </w:tcPr>
          <w:p w14:paraId="71D470C1" w14:textId="77777777" w:rsidR="006A3667" w:rsidRDefault="006A3667">
            <w:pPr>
              <w:rPr>
                <w:rFonts w:ascii="宋体"/>
                <w:vanish/>
              </w:rPr>
            </w:pPr>
          </w:p>
        </w:tc>
        <w:tc>
          <w:tcPr>
            <w:tcW w:w="0" w:type="auto"/>
            <w:gridSpan w:val="3"/>
            <w:shd w:val="clear" w:color="auto" w:fill="auto"/>
            <w:vAlign w:val="bottom"/>
          </w:tcPr>
          <w:p w14:paraId="71D470C2" w14:textId="77777777" w:rsidR="006A3667" w:rsidRDefault="006A3667">
            <w:pPr>
              <w:rPr>
                <w:rFonts w:ascii="宋体"/>
                <w:vanish/>
              </w:rPr>
            </w:pPr>
          </w:p>
        </w:tc>
        <w:tc>
          <w:tcPr>
            <w:tcW w:w="0" w:type="auto"/>
            <w:gridSpan w:val="3"/>
            <w:shd w:val="clear" w:color="auto" w:fill="auto"/>
            <w:vAlign w:val="bottom"/>
          </w:tcPr>
          <w:p w14:paraId="71D470C3" w14:textId="77777777" w:rsidR="006A3667" w:rsidRDefault="006A3667">
            <w:pPr>
              <w:rPr>
                <w:rFonts w:ascii="宋体"/>
                <w:vanish/>
              </w:rPr>
            </w:pPr>
          </w:p>
        </w:tc>
        <w:tc>
          <w:tcPr>
            <w:tcW w:w="0" w:type="auto"/>
            <w:gridSpan w:val="3"/>
            <w:shd w:val="clear" w:color="auto" w:fill="auto"/>
            <w:vAlign w:val="bottom"/>
          </w:tcPr>
          <w:p w14:paraId="71D470C4" w14:textId="77777777" w:rsidR="006A3667" w:rsidRDefault="006A3667">
            <w:pPr>
              <w:rPr>
                <w:rFonts w:ascii="宋体"/>
                <w:vanish/>
              </w:rPr>
            </w:pPr>
          </w:p>
        </w:tc>
        <w:tc>
          <w:tcPr>
            <w:tcW w:w="0" w:type="auto"/>
            <w:gridSpan w:val="3"/>
            <w:shd w:val="clear" w:color="auto" w:fill="auto"/>
            <w:vAlign w:val="bottom"/>
          </w:tcPr>
          <w:p w14:paraId="71D470C5" w14:textId="77777777" w:rsidR="006A3667" w:rsidRDefault="006A3667">
            <w:pPr>
              <w:rPr>
                <w:rFonts w:ascii="宋体"/>
                <w:vanish/>
              </w:rPr>
            </w:pPr>
          </w:p>
        </w:tc>
        <w:tc>
          <w:tcPr>
            <w:tcW w:w="0" w:type="auto"/>
            <w:gridSpan w:val="3"/>
            <w:shd w:val="clear" w:color="auto" w:fill="auto"/>
            <w:vAlign w:val="bottom"/>
          </w:tcPr>
          <w:p w14:paraId="71D470C6" w14:textId="77777777" w:rsidR="006A3667" w:rsidRDefault="006A3667">
            <w:pPr>
              <w:rPr>
                <w:rFonts w:ascii="宋体"/>
                <w:vanish/>
              </w:rPr>
            </w:pPr>
          </w:p>
        </w:tc>
        <w:tc>
          <w:tcPr>
            <w:tcW w:w="0" w:type="auto"/>
            <w:gridSpan w:val="3"/>
            <w:shd w:val="clear" w:color="auto" w:fill="auto"/>
            <w:vAlign w:val="bottom"/>
          </w:tcPr>
          <w:p w14:paraId="71D470C7" w14:textId="77777777" w:rsidR="006A3667" w:rsidRDefault="006A3667">
            <w:pPr>
              <w:rPr>
                <w:rFonts w:ascii="宋体"/>
                <w:vanish/>
              </w:rPr>
            </w:pPr>
          </w:p>
        </w:tc>
        <w:tc>
          <w:tcPr>
            <w:tcW w:w="0" w:type="auto"/>
            <w:gridSpan w:val="3"/>
            <w:shd w:val="clear" w:color="auto" w:fill="auto"/>
            <w:vAlign w:val="bottom"/>
          </w:tcPr>
          <w:p w14:paraId="71D470C8" w14:textId="77777777" w:rsidR="006A3667" w:rsidRDefault="006A3667">
            <w:pPr>
              <w:rPr>
                <w:rFonts w:ascii="宋体"/>
                <w:vanish/>
              </w:rPr>
            </w:pPr>
          </w:p>
        </w:tc>
      </w:tr>
      <w:tr w:rsidR="006A3667" w14:paraId="71D470DF" w14:textId="77777777">
        <w:tc>
          <w:tcPr>
            <w:tcW w:w="0" w:type="auto"/>
            <w:gridSpan w:val="3"/>
            <w:shd w:val="clear" w:color="auto" w:fill="FFFFFF"/>
            <w:tcMar>
              <w:top w:w="40" w:type="dxa"/>
              <w:left w:w="20" w:type="dxa"/>
              <w:bottom w:w="40" w:type="dxa"/>
              <w:right w:w="20" w:type="dxa"/>
            </w:tcMar>
            <w:vAlign w:val="bottom"/>
          </w:tcPr>
          <w:p w14:paraId="71D470CA" w14:textId="77777777" w:rsidR="006A3667" w:rsidRDefault="00045F32">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71D470CB"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71D470C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C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C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D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D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D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D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D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D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D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D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D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0D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0D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0DD" w14:textId="77777777" w:rsidR="006A3667" w:rsidRDefault="00045F32">
            <w:pPr>
              <w:jc w:val="right"/>
              <w:textAlignment w:val="bottom"/>
            </w:pPr>
            <w:r>
              <w:rPr>
                <w:rFonts w:ascii="Arial" w:eastAsia="宋体" w:hAnsi="Arial" w:cs="Arial"/>
                <w:color w:val="000000"/>
                <w:sz w:val="14"/>
                <w:szCs w:val="14"/>
              </w:rPr>
              <w:t>(3)</w:t>
            </w:r>
          </w:p>
        </w:tc>
        <w:tc>
          <w:tcPr>
            <w:tcW w:w="0" w:type="auto"/>
            <w:shd w:val="clear" w:color="auto" w:fill="FFFFFF"/>
            <w:tcMar>
              <w:top w:w="40" w:type="dxa"/>
              <w:left w:w="0" w:type="dxa"/>
              <w:bottom w:w="40" w:type="dxa"/>
              <w:right w:w="20" w:type="dxa"/>
            </w:tcMar>
            <w:vAlign w:val="bottom"/>
          </w:tcPr>
          <w:p w14:paraId="71D470DE" w14:textId="77777777" w:rsidR="006A3667" w:rsidRDefault="006A3667">
            <w:pPr>
              <w:jc w:val="right"/>
              <w:rPr>
                <w:rFonts w:ascii="宋体"/>
              </w:rPr>
            </w:pPr>
          </w:p>
        </w:tc>
      </w:tr>
      <w:tr w:rsidR="006A3667" w14:paraId="71D470EE" w14:textId="77777777">
        <w:trPr>
          <w:hidden/>
        </w:trPr>
        <w:tc>
          <w:tcPr>
            <w:tcW w:w="0" w:type="auto"/>
            <w:gridSpan w:val="3"/>
            <w:shd w:val="clear" w:color="auto" w:fill="auto"/>
            <w:vAlign w:val="bottom"/>
          </w:tcPr>
          <w:p w14:paraId="71D470E0" w14:textId="77777777" w:rsidR="006A3667" w:rsidRDefault="006A3667">
            <w:pPr>
              <w:rPr>
                <w:rFonts w:ascii="宋体"/>
                <w:vanish/>
              </w:rPr>
            </w:pPr>
          </w:p>
        </w:tc>
        <w:tc>
          <w:tcPr>
            <w:tcW w:w="0" w:type="auto"/>
            <w:gridSpan w:val="3"/>
            <w:shd w:val="clear" w:color="auto" w:fill="auto"/>
            <w:vAlign w:val="bottom"/>
          </w:tcPr>
          <w:p w14:paraId="71D470E1" w14:textId="77777777" w:rsidR="006A3667" w:rsidRDefault="006A3667">
            <w:pPr>
              <w:rPr>
                <w:rFonts w:ascii="宋体"/>
                <w:vanish/>
              </w:rPr>
            </w:pPr>
          </w:p>
        </w:tc>
        <w:tc>
          <w:tcPr>
            <w:tcW w:w="0" w:type="auto"/>
            <w:gridSpan w:val="3"/>
            <w:shd w:val="clear" w:color="auto" w:fill="auto"/>
            <w:vAlign w:val="bottom"/>
          </w:tcPr>
          <w:p w14:paraId="71D470E2" w14:textId="77777777" w:rsidR="006A3667" w:rsidRDefault="006A3667">
            <w:pPr>
              <w:rPr>
                <w:rFonts w:ascii="宋体"/>
                <w:vanish/>
              </w:rPr>
            </w:pPr>
          </w:p>
        </w:tc>
        <w:tc>
          <w:tcPr>
            <w:tcW w:w="0" w:type="auto"/>
            <w:gridSpan w:val="3"/>
            <w:shd w:val="clear" w:color="auto" w:fill="auto"/>
            <w:vAlign w:val="bottom"/>
          </w:tcPr>
          <w:p w14:paraId="71D470E3" w14:textId="77777777" w:rsidR="006A3667" w:rsidRDefault="006A3667">
            <w:pPr>
              <w:rPr>
                <w:rFonts w:ascii="宋体"/>
                <w:vanish/>
              </w:rPr>
            </w:pPr>
          </w:p>
        </w:tc>
        <w:tc>
          <w:tcPr>
            <w:tcW w:w="0" w:type="auto"/>
            <w:gridSpan w:val="3"/>
            <w:shd w:val="clear" w:color="auto" w:fill="auto"/>
            <w:vAlign w:val="bottom"/>
          </w:tcPr>
          <w:p w14:paraId="71D470E4" w14:textId="77777777" w:rsidR="006A3667" w:rsidRDefault="006A3667">
            <w:pPr>
              <w:rPr>
                <w:rFonts w:ascii="宋体"/>
                <w:vanish/>
              </w:rPr>
            </w:pPr>
          </w:p>
        </w:tc>
        <w:tc>
          <w:tcPr>
            <w:tcW w:w="0" w:type="auto"/>
            <w:gridSpan w:val="3"/>
            <w:shd w:val="clear" w:color="auto" w:fill="auto"/>
            <w:vAlign w:val="bottom"/>
          </w:tcPr>
          <w:p w14:paraId="71D470E5" w14:textId="77777777" w:rsidR="006A3667" w:rsidRDefault="006A3667">
            <w:pPr>
              <w:rPr>
                <w:rFonts w:ascii="宋体"/>
                <w:vanish/>
              </w:rPr>
            </w:pPr>
          </w:p>
        </w:tc>
        <w:tc>
          <w:tcPr>
            <w:tcW w:w="0" w:type="auto"/>
            <w:gridSpan w:val="3"/>
            <w:shd w:val="clear" w:color="auto" w:fill="auto"/>
            <w:vAlign w:val="bottom"/>
          </w:tcPr>
          <w:p w14:paraId="71D470E6" w14:textId="77777777" w:rsidR="006A3667" w:rsidRDefault="006A3667">
            <w:pPr>
              <w:rPr>
                <w:rFonts w:ascii="宋体"/>
                <w:vanish/>
              </w:rPr>
            </w:pPr>
          </w:p>
        </w:tc>
        <w:tc>
          <w:tcPr>
            <w:tcW w:w="0" w:type="auto"/>
            <w:gridSpan w:val="3"/>
            <w:shd w:val="clear" w:color="auto" w:fill="auto"/>
            <w:vAlign w:val="bottom"/>
          </w:tcPr>
          <w:p w14:paraId="71D470E7" w14:textId="77777777" w:rsidR="006A3667" w:rsidRDefault="006A3667">
            <w:pPr>
              <w:rPr>
                <w:rFonts w:ascii="宋体"/>
                <w:vanish/>
              </w:rPr>
            </w:pPr>
          </w:p>
        </w:tc>
        <w:tc>
          <w:tcPr>
            <w:tcW w:w="0" w:type="auto"/>
            <w:gridSpan w:val="3"/>
            <w:shd w:val="clear" w:color="auto" w:fill="auto"/>
            <w:vAlign w:val="bottom"/>
          </w:tcPr>
          <w:p w14:paraId="71D470E8" w14:textId="77777777" w:rsidR="006A3667" w:rsidRDefault="006A3667">
            <w:pPr>
              <w:rPr>
                <w:rFonts w:ascii="宋体"/>
                <w:vanish/>
              </w:rPr>
            </w:pPr>
          </w:p>
        </w:tc>
        <w:tc>
          <w:tcPr>
            <w:tcW w:w="0" w:type="auto"/>
            <w:gridSpan w:val="3"/>
            <w:shd w:val="clear" w:color="auto" w:fill="auto"/>
            <w:vAlign w:val="bottom"/>
          </w:tcPr>
          <w:p w14:paraId="71D470E9" w14:textId="77777777" w:rsidR="006A3667" w:rsidRDefault="006A3667">
            <w:pPr>
              <w:rPr>
                <w:rFonts w:ascii="宋体"/>
                <w:vanish/>
              </w:rPr>
            </w:pPr>
          </w:p>
        </w:tc>
        <w:tc>
          <w:tcPr>
            <w:tcW w:w="0" w:type="auto"/>
            <w:gridSpan w:val="3"/>
            <w:shd w:val="clear" w:color="auto" w:fill="auto"/>
            <w:vAlign w:val="bottom"/>
          </w:tcPr>
          <w:p w14:paraId="71D470EA" w14:textId="77777777" w:rsidR="006A3667" w:rsidRDefault="006A3667">
            <w:pPr>
              <w:rPr>
                <w:rFonts w:ascii="宋体"/>
                <w:vanish/>
              </w:rPr>
            </w:pPr>
          </w:p>
        </w:tc>
        <w:tc>
          <w:tcPr>
            <w:tcW w:w="0" w:type="auto"/>
            <w:gridSpan w:val="3"/>
            <w:shd w:val="clear" w:color="auto" w:fill="auto"/>
            <w:vAlign w:val="bottom"/>
          </w:tcPr>
          <w:p w14:paraId="71D470EB" w14:textId="77777777" w:rsidR="006A3667" w:rsidRDefault="006A3667">
            <w:pPr>
              <w:rPr>
                <w:rFonts w:ascii="宋体"/>
                <w:vanish/>
              </w:rPr>
            </w:pPr>
          </w:p>
        </w:tc>
        <w:tc>
          <w:tcPr>
            <w:tcW w:w="0" w:type="auto"/>
            <w:gridSpan w:val="3"/>
            <w:shd w:val="clear" w:color="auto" w:fill="auto"/>
            <w:vAlign w:val="bottom"/>
          </w:tcPr>
          <w:p w14:paraId="71D470EC" w14:textId="77777777" w:rsidR="006A3667" w:rsidRDefault="006A3667">
            <w:pPr>
              <w:rPr>
                <w:rFonts w:ascii="宋体"/>
                <w:vanish/>
              </w:rPr>
            </w:pPr>
          </w:p>
        </w:tc>
        <w:tc>
          <w:tcPr>
            <w:tcW w:w="0" w:type="auto"/>
            <w:gridSpan w:val="3"/>
            <w:shd w:val="clear" w:color="auto" w:fill="auto"/>
            <w:vAlign w:val="bottom"/>
          </w:tcPr>
          <w:p w14:paraId="71D470ED" w14:textId="77777777" w:rsidR="006A3667" w:rsidRDefault="006A3667">
            <w:pPr>
              <w:rPr>
                <w:rFonts w:ascii="宋体"/>
                <w:vanish/>
              </w:rPr>
            </w:pPr>
          </w:p>
        </w:tc>
      </w:tr>
      <w:tr w:rsidR="006A3667" w14:paraId="71D4710B" w14:textId="77777777">
        <w:tc>
          <w:tcPr>
            <w:tcW w:w="0" w:type="auto"/>
            <w:gridSpan w:val="3"/>
            <w:shd w:val="clear" w:color="auto" w:fill="CCEEFF"/>
            <w:tcMar>
              <w:top w:w="40" w:type="dxa"/>
              <w:left w:w="20" w:type="dxa"/>
              <w:bottom w:w="40" w:type="dxa"/>
              <w:right w:w="20" w:type="dxa"/>
            </w:tcMar>
            <w:vAlign w:val="bottom"/>
          </w:tcPr>
          <w:p w14:paraId="71D470EF" w14:textId="77777777" w:rsidR="006A3667" w:rsidRDefault="00045F32">
            <w:pPr>
              <w:textAlignment w:val="bottom"/>
            </w:pPr>
            <w:r>
              <w:rPr>
                <w:rFonts w:ascii="Arial" w:eastAsia="宋体" w:hAnsi="Arial" w:cs="Arial"/>
                <w:color w:val="000000"/>
                <w:sz w:val="14"/>
                <w:szCs w:val="14"/>
              </w:rPr>
              <w:t xml:space="preserve">Ending </w:t>
            </w:r>
            <w:r>
              <w:rPr>
                <w:rFonts w:ascii="Arial" w:eastAsia="宋体" w:hAnsi="Arial" w:cs="Arial"/>
                <w:color w:val="000000"/>
                <w:sz w:val="14"/>
                <w:szCs w:val="14"/>
              </w:rPr>
              <w:t>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0F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0F1" w14:textId="77777777" w:rsidR="006A3667" w:rsidRDefault="00045F32">
            <w:pPr>
              <w:jc w:val="right"/>
              <w:textAlignment w:val="bottom"/>
            </w:pPr>
            <w:r>
              <w:rPr>
                <w:rFonts w:ascii="Arial" w:eastAsia="宋体" w:hAnsi="Arial" w:cs="Arial"/>
                <w:color w:val="000000"/>
                <w:sz w:val="14"/>
                <w:szCs w:val="14"/>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0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F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0F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0F5" w14:textId="77777777" w:rsidR="006A3667" w:rsidRDefault="00045F32">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0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F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0F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0F9" w14:textId="77777777" w:rsidR="006A3667" w:rsidRDefault="00045F32">
            <w:pPr>
              <w:jc w:val="right"/>
              <w:textAlignment w:val="bottom"/>
            </w:pPr>
            <w:r>
              <w:rPr>
                <w:rFonts w:ascii="Arial" w:eastAsia="宋体" w:hAnsi="Arial" w:cs="Arial"/>
                <w:color w:val="000000"/>
                <w:sz w:val="14"/>
                <w:szCs w:val="14"/>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0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F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0F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0FD"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0F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0F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10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101" w14:textId="77777777" w:rsidR="006A3667" w:rsidRDefault="00045F32">
            <w:pPr>
              <w:jc w:val="right"/>
              <w:textAlignment w:val="bottom"/>
            </w:pPr>
            <w:r>
              <w:rPr>
                <w:rFonts w:ascii="Arial" w:eastAsia="宋体" w:hAnsi="Arial" w:cs="Arial"/>
                <w:color w:val="000000"/>
                <w:sz w:val="14"/>
                <w:szCs w:val="14"/>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1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0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10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105"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1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0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10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109" w14:textId="77777777" w:rsidR="006A3667" w:rsidRDefault="00045F32">
            <w:pPr>
              <w:jc w:val="right"/>
              <w:textAlignment w:val="bottom"/>
            </w:pPr>
            <w:r>
              <w:rPr>
                <w:rFonts w:ascii="Arial" w:eastAsia="宋体" w:hAnsi="Arial" w:cs="Arial"/>
                <w:color w:val="000000"/>
                <w:sz w:val="14"/>
                <w:szCs w:val="14"/>
              </w:rPr>
              <w:t>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10A" w14:textId="77777777" w:rsidR="006A3667" w:rsidRDefault="006A3667">
            <w:pPr>
              <w:jc w:val="right"/>
              <w:rPr>
                <w:rFonts w:ascii="宋体"/>
              </w:rPr>
            </w:pPr>
          </w:p>
        </w:tc>
      </w:tr>
      <w:tr w:rsidR="006A3667" w14:paraId="71D4711A" w14:textId="77777777">
        <w:trPr>
          <w:trHeight w:val="100"/>
        </w:trPr>
        <w:tc>
          <w:tcPr>
            <w:tcW w:w="0" w:type="auto"/>
            <w:gridSpan w:val="3"/>
            <w:shd w:val="clear" w:color="auto" w:fill="FFFFFF"/>
            <w:tcMar>
              <w:top w:w="0" w:type="dxa"/>
              <w:left w:w="20" w:type="dxa"/>
              <w:bottom w:w="0" w:type="dxa"/>
              <w:right w:w="20" w:type="dxa"/>
            </w:tcMar>
            <w:vAlign w:val="bottom"/>
          </w:tcPr>
          <w:p w14:paraId="71D4710C"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10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10E"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10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110"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11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112"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11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11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11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116"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11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118"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119" w14:textId="77777777" w:rsidR="006A3667" w:rsidRDefault="006A3667">
            <w:pPr>
              <w:rPr>
                <w:rFonts w:ascii="宋体"/>
              </w:rPr>
            </w:pPr>
          </w:p>
        </w:tc>
      </w:tr>
      <w:tr w:rsidR="006A3667" w14:paraId="71D4711C" w14:textId="77777777">
        <w:tc>
          <w:tcPr>
            <w:tcW w:w="0" w:type="auto"/>
            <w:gridSpan w:val="42"/>
            <w:tcBorders>
              <w:top w:val="single" w:sz="8" w:space="0" w:color="000000"/>
            </w:tcBorders>
            <w:shd w:val="clear" w:color="auto" w:fill="auto"/>
            <w:tcMar>
              <w:top w:w="40" w:type="dxa"/>
              <w:left w:w="20" w:type="dxa"/>
              <w:bottom w:w="40" w:type="dxa"/>
              <w:right w:w="20" w:type="dxa"/>
            </w:tcMar>
            <w:vAlign w:val="bottom"/>
          </w:tcPr>
          <w:p w14:paraId="71D4711B" w14:textId="77777777" w:rsidR="006A3667" w:rsidRDefault="00045F32">
            <w:pPr>
              <w:textAlignment w:val="bottom"/>
            </w:pPr>
            <w:r>
              <w:rPr>
                <w:rFonts w:ascii="Arial" w:eastAsia="宋体" w:hAnsi="Arial" w:cs="Arial"/>
                <w:color w:val="000000"/>
                <w:sz w:val="8"/>
                <w:szCs w:val="8"/>
              </w:rPr>
              <w:t>(1)</w:t>
            </w:r>
            <w:r>
              <w:rPr>
                <w:rFonts w:ascii="Arial" w:eastAsia="宋体" w:hAnsi="Arial" w:cs="Arial"/>
                <w:color w:val="000000"/>
                <w:sz w:val="13"/>
                <w:szCs w:val="13"/>
              </w:rPr>
              <w:t xml:space="preserve"> Includes $11 million allowance for credit losses on Fund Finance loans and $1 million on other loans.</w:t>
            </w:r>
          </w:p>
        </w:tc>
      </w:tr>
    </w:tbl>
    <w:p w14:paraId="71D4711D" w14:textId="77777777" w:rsidR="006A3667" w:rsidRDefault="00045F32">
      <w:pPr>
        <w:spacing w:before="60"/>
        <w:ind w:firstLine="450"/>
        <w:jc w:val="both"/>
      </w:pPr>
      <w:r>
        <w:rPr>
          <w:rFonts w:ascii="Arial" w:eastAsia="宋体" w:hAnsi="Arial" w:cs="Arial"/>
          <w:color w:val="000000"/>
          <w:sz w:val="20"/>
          <w:szCs w:val="20"/>
        </w:rPr>
        <w:t xml:space="preserve">Loans are reviewed on a regular basis, and any provisions for credit losses that are recorded reflect management's estimate of the amount </w:t>
      </w:r>
      <w:r>
        <w:rPr>
          <w:rFonts w:ascii="Arial" w:eastAsia="宋体" w:hAnsi="Arial" w:cs="Arial"/>
          <w:color w:val="000000"/>
          <w:sz w:val="20"/>
          <w:szCs w:val="20"/>
        </w:rPr>
        <w:t>necessary to maintain the allowance for loan losses at a level considered appropriate to absorb estimated credit losses in the loan portfolio. In the third quarter of 2022, we recorded no provision for credit losses, as a downward shift in management's eco</w:t>
      </w:r>
      <w:r>
        <w:rPr>
          <w:rFonts w:ascii="Arial" w:eastAsia="宋体" w:hAnsi="Arial" w:cs="Arial"/>
          <w:color w:val="000000"/>
          <w:sz w:val="20"/>
          <w:szCs w:val="20"/>
        </w:rPr>
        <w:t>nomic outlook was offset by a reduction in loan portfolio risk. In the third quarter of 2021, we reduced the allowance for credit losses by $4 million, principally through a $2 million reserve release in the provision for credit losses. Allowance estimates</w:t>
      </w:r>
      <w:r>
        <w:rPr>
          <w:rFonts w:ascii="Arial" w:eastAsia="宋体" w:hAnsi="Arial" w:cs="Arial"/>
          <w:color w:val="000000"/>
          <w:sz w:val="20"/>
          <w:szCs w:val="20"/>
        </w:rPr>
        <w:t xml:space="preserve"> remain subject to continued model and economic uncertainty and management may use qualitative adjustments in the allowance estimates. If future data and forecasts deviate relative to the forecasts utilized to determine our allowance for credit losses as o</w:t>
      </w:r>
      <w:r>
        <w:rPr>
          <w:rFonts w:ascii="Arial" w:eastAsia="宋体" w:hAnsi="Arial" w:cs="Arial"/>
          <w:color w:val="000000"/>
          <w:sz w:val="20"/>
          <w:szCs w:val="20"/>
        </w:rPr>
        <w:t>f September 30, 2022, or if credit risk migration is higher or lower than forecasted for reasons independent of the economic forecast, our allowance for credit losses will also change.</w:t>
      </w:r>
    </w:p>
    <w:p w14:paraId="71D4711E" w14:textId="77777777" w:rsidR="006A3667" w:rsidRDefault="00045F32">
      <w:pPr>
        <w:spacing w:before="90"/>
        <w:jc w:val="both"/>
      </w:pPr>
      <w:r>
        <w:rPr>
          <w:rFonts w:ascii="Arial" w:eastAsia="宋体" w:hAnsi="Arial" w:cs="Arial"/>
          <w:b/>
          <w:bCs/>
          <w:color w:val="000000"/>
          <w:sz w:val="20"/>
          <w:szCs w:val="20"/>
        </w:rPr>
        <w:t>Note 5.    Goodwill and Other Intangible Assets</w:t>
      </w:r>
    </w:p>
    <w:p w14:paraId="71D4711F" w14:textId="77777777" w:rsidR="006A3667" w:rsidRDefault="00045F32">
      <w:pPr>
        <w:spacing w:before="60"/>
        <w:ind w:firstLine="450"/>
        <w:jc w:val="both"/>
      </w:pPr>
      <w:r>
        <w:rPr>
          <w:rFonts w:ascii="Arial" w:eastAsia="宋体" w:hAnsi="Arial" w:cs="Arial"/>
          <w:color w:val="000000"/>
          <w:sz w:val="20"/>
          <w:szCs w:val="20"/>
        </w:rPr>
        <w:t xml:space="preserve">The following </w:t>
      </w:r>
      <w:r>
        <w:rPr>
          <w:rFonts w:ascii="Arial" w:eastAsia="宋体" w:hAnsi="Arial" w:cs="Arial"/>
          <w:color w:val="000000"/>
          <w:sz w:val="20"/>
          <w:szCs w:val="20"/>
        </w:rPr>
        <w:t>table presents changes in the carrying amount of 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4280"/>
        <w:gridCol w:w="38"/>
        <w:gridCol w:w="105"/>
        <w:gridCol w:w="1134"/>
        <w:gridCol w:w="36"/>
        <w:gridCol w:w="36"/>
        <w:gridCol w:w="36"/>
        <w:gridCol w:w="36"/>
        <w:gridCol w:w="105"/>
        <w:gridCol w:w="1102"/>
        <w:gridCol w:w="36"/>
        <w:gridCol w:w="36"/>
        <w:gridCol w:w="36"/>
        <w:gridCol w:w="36"/>
        <w:gridCol w:w="104"/>
        <w:gridCol w:w="1102"/>
        <w:gridCol w:w="36"/>
      </w:tblGrid>
      <w:tr w:rsidR="006A3667" w14:paraId="71D47132" w14:textId="77777777">
        <w:tc>
          <w:tcPr>
            <w:tcW w:w="50" w:type="pct"/>
            <w:shd w:val="clear" w:color="auto" w:fill="auto"/>
            <w:vAlign w:val="bottom"/>
          </w:tcPr>
          <w:p w14:paraId="71D47120" w14:textId="77777777" w:rsidR="006A3667" w:rsidRDefault="006A3667">
            <w:pPr>
              <w:rPr>
                <w:rFonts w:ascii="宋体"/>
              </w:rPr>
            </w:pPr>
          </w:p>
        </w:tc>
        <w:tc>
          <w:tcPr>
            <w:tcW w:w="2591" w:type="pct"/>
            <w:shd w:val="clear" w:color="auto" w:fill="auto"/>
            <w:vAlign w:val="bottom"/>
          </w:tcPr>
          <w:p w14:paraId="71D47121" w14:textId="77777777" w:rsidR="006A3667" w:rsidRDefault="006A3667">
            <w:pPr>
              <w:rPr>
                <w:rFonts w:ascii="宋体"/>
              </w:rPr>
            </w:pPr>
          </w:p>
        </w:tc>
        <w:tc>
          <w:tcPr>
            <w:tcW w:w="5" w:type="pct"/>
            <w:shd w:val="clear" w:color="auto" w:fill="auto"/>
            <w:vAlign w:val="bottom"/>
          </w:tcPr>
          <w:p w14:paraId="71D47122" w14:textId="77777777" w:rsidR="006A3667" w:rsidRDefault="006A3667">
            <w:pPr>
              <w:rPr>
                <w:rFonts w:ascii="宋体"/>
              </w:rPr>
            </w:pPr>
          </w:p>
        </w:tc>
        <w:tc>
          <w:tcPr>
            <w:tcW w:w="50" w:type="pct"/>
            <w:shd w:val="clear" w:color="auto" w:fill="auto"/>
            <w:vAlign w:val="bottom"/>
          </w:tcPr>
          <w:p w14:paraId="71D47123" w14:textId="77777777" w:rsidR="006A3667" w:rsidRDefault="006A3667">
            <w:pPr>
              <w:rPr>
                <w:rFonts w:ascii="宋体"/>
              </w:rPr>
            </w:pPr>
          </w:p>
        </w:tc>
        <w:tc>
          <w:tcPr>
            <w:tcW w:w="705" w:type="pct"/>
            <w:shd w:val="clear" w:color="auto" w:fill="auto"/>
            <w:vAlign w:val="bottom"/>
          </w:tcPr>
          <w:p w14:paraId="71D47124" w14:textId="77777777" w:rsidR="006A3667" w:rsidRDefault="006A3667">
            <w:pPr>
              <w:rPr>
                <w:rFonts w:ascii="宋体"/>
              </w:rPr>
            </w:pPr>
          </w:p>
        </w:tc>
        <w:tc>
          <w:tcPr>
            <w:tcW w:w="5" w:type="pct"/>
            <w:shd w:val="clear" w:color="auto" w:fill="auto"/>
            <w:vAlign w:val="bottom"/>
          </w:tcPr>
          <w:p w14:paraId="71D47125" w14:textId="77777777" w:rsidR="006A3667" w:rsidRDefault="006A3667">
            <w:pPr>
              <w:rPr>
                <w:rFonts w:ascii="宋体"/>
              </w:rPr>
            </w:pPr>
          </w:p>
        </w:tc>
        <w:tc>
          <w:tcPr>
            <w:tcW w:w="5" w:type="pct"/>
            <w:shd w:val="clear" w:color="auto" w:fill="auto"/>
            <w:vAlign w:val="bottom"/>
          </w:tcPr>
          <w:p w14:paraId="71D47126" w14:textId="77777777" w:rsidR="006A3667" w:rsidRDefault="006A3667">
            <w:pPr>
              <w:rPr>
                <w:rFonts w:ascii="宋体"/>
              </w:rPr>
            </w:pPr>
          </w:p>
        </w:tc>
        <w:tc>
          <w:tcPr>
            <w:tcW w:w="26" w:type="pct"/>
            <w:shd w:val="clear" w:color="auto" w:fill="auto"/>
            <w:vAlign w:val="bottom"/>
          </w:tcPr>
          <w:p w14:paraId="71D47127" w14:textId="77777777" w:rsidR="006A3667" w:rsidRDefault="006A3667">
            <w:pPr>
              <w:rPr>
                <w:rFonts w:ascii="宋体"/>
              </w:rPr>
            </w:pPr>
          </w:p>
        </w:tc>
        <w:tc>
          <w:tcPr>
            <w:tcW w:w="5" w:type="pct"/>
            <w:shd w:val="clear" w:color="auto" w:fill="auto"/>
            <w:vAlign w:val="bottom"/>
          </w:tcPr>
          <w:p w14:paraId="71D47128" w14:textId="77777777" w:rsidR="006A3667" w:rsidRDefault="006A3667">
            <w:pPr>
              <w:rPr>
                <w:rFonts w:ascii="宋体"/>
              </w:rPr>
            </w:pPr>
          </w:p>
        </w:tc>
        <w:tc>
          <w:tcPr>
            <w:tcW w:w="50" w:type="pct"/>
            <w:shd w:val="clear" w:color="auto" w:fill="auto"/>
            <w:vAlign w:val="bottom"/>
          </w:tcPr>
          <w:p w14:paraId="71D47129" w14:textId="77777777" w:rsidR="006A3667" w:rsidRDefault="006A3667">
            <w:pPr>
              <w:rPr>
                <w:rFonts w:ascii="宋体"/>
              </w:rPr>
            </w:pPr>
          </w:p>
        </w:tc>
        <w:tc>
          <w:tcPr>
            <w:tcW w:w="705" w:type="pct"/>
            <w:shd w:val="clear" w:color="auto" w:fill="auto"/>
            <w:vAlign w:val="bottom"/>
          </w:tcPr>
          <w:p w14:paraId="71D4712A" w14:textId="77777777" w:rsidR="006A3667" w:rsidRDefault="006A3667">
            <w:pPr>
              <w:rPr>
                <w:rFonts w:ascii="宋体"/>
              </w:rPr>
            </w:pPr>
          </w:p>
        </w:tc>
        <w:tc>
          <w:tcPr>
            <w:tcW w:w="5" w:type="pct"/>
            <w:shd w:val="clear" w:color="auto" w:fill="auto"/>
            <w:vAlign w:val="bottom"/>
          </w:tcPr>
          <w:p w14:paraId="71D4712B" w14:textId="77777777" w:rsidR="006A3667" w:rsidRDefault="006A3667">
            <w:pPr>
              <w:rPr>
                <w:rFonts w:ascii="宋体"/>
              </w:rPr>
            </w:pPr>
          </w:p>
        </w:tc>
        <w:tc>
          <w:tcPr>
            <w:tcW w:w="5" w:type="pct"/>
            <w:shd w:val="clear" w:color="auto" w:fill="auto"/>
            <w:vAlign w:val="bottom"/>
          </w:tcPr>
          <w:p w14:paraId="71D4712C" w14:textId="77777777" w:rsidR="006A3667" w:rsidRDefault="006A3667">
            <w:pPr>
              <w:rPr>
                <w:rFonts w:ascii="宋体"/>
              </w:rPr>
            </w:pPr>
          </w:p>
        </w:tc>
        <w:tc>
          <w:tcPr>
            <w:tcW w:w="26" w:type="pct"/>
            <w:shd w:val="clear" w:color="auto" w:fill="auto"/>
            <w:vAlign w:val="bottom"/>
          </w:tcPr>
          <w:p w14:paraId="71D4712D" w14:textId="77777777" w:rsidR="006A3667" w:rsidRDefault="006A3667">
            <w:pPr>
              <w:rPr>
                <w:rFonts w:ascii="宋体"/>
              </w:rPr>
            </w:pPr>
          </w:p>
        </w:tc>
        <w:tc>
          <w:tcPr>
            <w:tcW w:w="5" w:type="pct"/>
            <w:shd w:val="clear" w:color="auto" w:fill="auto"/>
            <w:vAlign w:val="bottom"/>
          </w:tcPr>
          <w:p w14:paraId="71D4712E" w14:textId="77777777" w:rsidR="006A3667" w:rsidRDefault="006A3667">
            <w:pPr>
              <w:rPr>
                <w:rFonts w:ascii="宋体"/>
              </w:rPr>
            </w:pPr>
          </w:p>
        </w:tc>
        <w:tc>
          <w:tcPr>
            <w:tcW w:w="50" w:type="pct"/>
            <w:shd w:val="clear" w:color="auto" w:fill="auto"/>
            <w:vAlign w:val="bottom"/>
          </w:tcPr>
          <w:p w14:paraId="71D4712F" w14:textId="77777777" w:rsidR="006A3667" w:rsidRDefault="006A3667">
            <w:pPr>
              <w:rPr>
                <w:rFonts w:ascii="宋体"/>
              </w:rPr>
            </w:pPr>
          </w:p>
        </w:tc>
        <w:tc>
          <w:tcPr>
            <w:tcW w:w="705" w:type="pct"/>
            <w:shd w:val="clear" w:color="auto" w:fill="auto"/>
            <w:vAlign w:val="bottom"/>
          </w:tcPr>
          <w:p w14:paraId="71D47130" w14:textId="77777777" w:rsidR="006A3667" w:rsidRDefault="006A3667">
            <w:pPr>
              <w:rPr>
                <w:rFonts w:ascii="宋体"/>
              </w:rPr>
            </w:pPr>
          </w:p>
        </w:tc>
        <w:tc>
          <w:tcPr>
            <w:tcW w:w="5" w:type="pct"/>
            <w:shd w:val="clear" w:color="auto" w:fill="auto"/>
            <w:vAlign w:val="bottom"/>
          </w:tcPr>
          <w:p w14:paraId="71D47131" w14:textId="77777777" w:rsidR="006A3667" w:rsidRDefault="006A3667">
            <w:pPr>
              <w:rPr>
                <w:rFonts w:ascii="宋体"/>
              </w:rPr>
            </w:pPr>
          </w:p>
        </w:tc>
      </w:tr>
      <w:tr w:rsidR="006A3667" w14:paraId="71D47139" w14:textId="77777777">
        <w:tc>
          <w:tcPr>
            <w:tcW w:w="0" w:type="auto"/>
            <w:gridSpan w:val="3"/>
            <w:shd w:val="clear" w:color="auto" w:fill="auto"/>
            <w:tcMar>
              <w:top w:w="40" w:type="dxa"/>
              <w:left w:w="20" w:type="dxa"/>
              <w:bottom w:w="40" w:type="dxa"/>
              <w:right w:w="20" w:type="dxa"/>
            </w:tcMar>
            <w:vAlign w:val="bottom"/>
          </w:tcPr>
          <w:p w14:paraId="71D47133" w14:textId="77777777" w:rsidR="006A3667" w:rsidRDefault="00045F32">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71D47134" w14:textId="77777777" w:rsidR="006A3667" w:rsidRDefault="00045F32">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  Servicing</w:t>
            </w:r>
          </w:p>
        </w:tc>
        <w:tc>
          <w:tcPr>
            <w:tcW w:w="0" w:type="auto"/>
            <w:gridSpan w:val="3"/>
            <w:shd w:val="clear" w:color="auto" w:fill="auto"/>
            <w:tcMar>
              <w:top w:w="0" w:type="dxa"/>
              <w:left w:w="20" w:type="dxa"/>
              <w:bottom w:w="0" w:type="dxa"/>
              <w:right w:w="20" w:type="dxa"/>
            </w:tcMar>
            <w:vAlign w:val="bottom"/>
          </w:tcPr>
          <w:p w14:paraId="71D4713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136" w14:textId="77777777" w:rsidR="006A3667" w:rsidRDefault="00045F32">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71D4713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138" w14:textId="77777777" w:rsidR="006A3667" w:rsidRDefault="00045F32">
            <w:pPr>
              <w:jc w:val="center"/>
              <w:textAlignment w:val="bottom"/>
            </w:pPr>
            <w:r>
              <w:rPr>
                <w:rFonts w:ascii="Arial" w:eastAsia="宋体" w:hAnsi="Arial" w:cs="Arial"/>
                <w:b/>
                <w:bCs/>
                <w:color w:val="000000"/>
                <w:sz w:val="15"/>
                <w:szCs w:val="15"/>
              </w:rPr>
              <w:t>Total</w:t>
            </w:r>
          </w:p>
        </w:tc>
      </w:tr>
      <w:tr w:rsidR="006A3667" w14:paraId="71D47140" w14:textId="77777777">
        <w:tc>
          <w:tcPr>
            <w:tcW w:w="0" w:type="auto"/>
            <w:gridSpan w:val="3"/>
            <w:shd w:val="clear" w:color="auto" w:fill="auto"/>
            <w:tcMar>
              <w:top w:w="40" w:type="dxa"/>
              <w:left w:w="20" w:type="dxa"/>
              <w:bottom w:w="40" w:type="dxa"/>
              <w:right w:w="20" w:type="dxa"/>
            </w:tcMar>
            <w:vAlign w:val="bottom"/>
          </w:tcPr>
          <w:p w14:paraId="71D4713A" w14:textId="77777777" w:rsidR="006A3667" w:rsidRDefault="00045F32">
            <w:pPr>
              <w:textAlignment w:val="bottom"/>
            </w:pPr>
            <w:r>
              <w:rPr>
                <w:rFonts w:ascii="Arial" w:eastAsia="宋体" w:hAnsi="Arial" w:cs="Arial"/>
                <w:b/>
                <w:bCs/>
                <w:color w:val="000000"/>
                <w:sz w:val="15"/>
                <w:szCs w:val="15"/>
              </w:rPr>
              <w:t>Goodwill: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1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13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13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13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13F" w14:textId="77777777" w:rsidR="006A3667" w:rsidRDefault="006A3667">
            <w:pPr>
              <w:rPr>
                <w:rFonts w:ascii="宋体"/>
              </w:rPr>
            </w:pPr>
          </w:p>
        </w:tc>
      </w:tr>
      <w:tr w:rsidR="006A3667" w14:paraId="71D4714D" w14:textId="77777777">
        <w:tc>
          <w:tcPr>
            <w:tcW w:w="0" w:type="auto"/>
            <w:gridSpan w:val="3"/>
            <w:shd w:val="clear" w:color="auto" w:fill="CCEEFF"/>
            <w:tcMar>
              <w:top w:w="40" w:type="dxa"/>
              <w:left w:w="20" w:type="dxa"/>
              <w:bottom w:w="40" w:type="dxa"/>
              <w:right w:w="20" w:type="dxa"/>
            </w:tcMar>
            <w:vAlign w:val="bottom"/>
          </w:tcPr>
          <w:p w14:paraId="71D47141" w14:textId="77777777" w:rsidR="006A3667" w:rsidRDefault="00045F32">
            <w:pPr>
              <w:textAlignment w:val="bottom"/>
            </w:pPr>
            <w:r>
              <w:rPr>
                <w:rFonts w:ascii="Arial" w:eastAsia="宋体" w:hAnsi="Arial" w:cs="Arial"/>
                <w:b/>
                <w:bCs/>
                <w:color w:val="000000"/>
                <w:sz w:val="15"/>
                <w:szCs w:val="15"/>
              </w:rPr>
              <w:t>Ending balance December 31, 2020</w:t>
            </w:r>
          </w:p>
        </w:tc>
        <w:tc>
          <w:tcPr>
            <w:tcW w:w="0" w:type="auto"/>
            <w:shd w:val="clear" w:color="auto" w:fill="CCEEFF"/>
            <w:tcMar>
              <w:top w:w="40" w:type="dxa"/>
              <w:left w:w="20" w:type="dxa"/>
              <w:bottom w:w="40" w:type="dxa"/>
              <w:right w:w="0" w:type="dxa"/>
            </w:tcMar>
            <w:vAlign w:val="bottom"/>
          </w:tcPr>
          <w:p w14:paraId="71D47142"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143" w14:textId="77777777" w:rsidR="006A3667" w:rsidRDefault="00045F32">
            <w:pPr>
              <w:jc w:val="right"/>
              <w:textAlignment w:val="bottom"/>
            </w:pPr>
            <w:r>
              <w:rPr>
                <w:rFonts w:ascii="Arial" w:eastAsia="宋体" w:hAnsi="Arial" w:cs="Arial"/>
                <w:color w:val="000000"/>
                <w:sz w:val="15"/>
                <w:szCs w:val="15"/>
              </w:rPr>
              <w:t>7,413 </w:t>
            </w:r>
          </w:p>
        </w:tc>
        <w:tc>
          <w:tcPr>
            <w:tcW w:w="0" w:type="auto"/>
            <w:shd w:val="clear" w:color="auto" w:fill="CCEEFF"/>
            <w:tcMar>
              <w:top w:w="40" w:type="dxa"/>
              <w:left w:w="0" w:type="dxa"/>
              <w:bottom w:w="40" w:type="dxa"/>
              <w:right w:w="20" w:type="dxa"/>
            </w:tcMar>
            <w:vAlign w:val="bottom"/>
          </w:tcPr>
          <w:p w14:paraId="71D471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4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146"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147" w14:textId="77777777" w:rsidR="006A3667" w:rsidRDefault="00045F32">
            <w:pPr>
              <w:jc w:val="right"/>
              <w:textAlignment w:val="bottom"/>
            </w:pPr>
            <w:r>
              <w:rPr>
                <w:rFonts w:ascii="Arial" w:eastAsia="宋体" w:hAnsi="Arial" w:cs="Arial"/>
                <w:color w:val="000000"/>
                <w:sz w:val="15"/>
                <w:szCs w:val="15"/>
              </w:rPr>
              <w:t>270 </w:t>
            </w:r>
          </w:p>
        </w:tc>
        <w:tc>
          <w:tcPr>
            <w:tcW w:w="0" w:type="auto"/>
            <w:shd w:val="clear" w:color="auto" w:fill="CCEEFF"/>
            <w:tcMar>
              <w:top w:w="40" w:type="dxa"/>
              <w:left w:w="0" w:type="dxa"/>
              <w:bottom w:w="40" w:type="dxa"/>
              <w:right w:w="20" w:type="dxa"/>
            </w:tcMar>
            <w:vAlign w:val="bottom"/>
          </w:tcPr>
          <w:p w14:paraId="71D4714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4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14A"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14B" w14:textId="77777777" w:rsidR="006A3667" w:rsidRDefault="00045F32">
            <w:pPr>
              <w:jc w:val="right"/>
              <w:textAlignment w:val="bottom"/>
            </w:pPr>
            <w:r>
              <w:rPr>
                <w:rFonts w:ascii="Arial" w:eastAsia="宋体" w:hAnsi="Arial" w:cs="Arial"/>
                <w:color w:val="000000"/>
                <w:sz w:val="15"/>
                <w:szCs w:val="15"/>
              </w:rPr>
              <w:t>7,683 </w:t>
            </w:r>
          </w:p>
        </w:tc>
        <w:tc>
          <w:tcPr>
            <w:tcW w:w="0" w:type="auto"/>
            <w:shd w:val="clear" w:color="auto" w:fill="CCEEFF"/>
            <w:tcMar>
              <w:top w:w="40" w:type="dxa"/>
              <w:left w:w="0" w:type="dxa"/>
              <w:bottom w:w="40" w:type="dxa"/>
              <w:right w:w="20" w:type="dxa"/>
            </w:tcMar>
            <w:vAlign w:val="bottom"/>
          </w:tcPr>
          <w:p w14:paraId="71D4714C" w14:textId="77777777" w:rsidR="006A3667" w:rsidRDefault="006A3667">
            <w:pPr>
              <w:jc w:val="right"/>
              <w:rPr>
                <w:rFonts w:ascii="宋体"/>
              </w:rPr>
            </w:pPr>
          </w:p>
        </w:tc>
      </w:tr>
      <w:tr w:rsidR="006A3667" w14:paraId="71D47157" w14:textId="77777777">
        <w:tc>
          <w:tcPr>
            <w:tcW w:w="0" w:type="auto"/>
            <w:gridSpan w:val="3"/>
            <w:shd w:val="clear" w:color="auto" w:fill="FFFFFF"/>
            <w:tcMar>
              <w:top w:w="40" w:type="dxa"/>
              <w:left w:w="20" w:type="dxa"/>
              <w:bottom w:w="40" w:type="dxa"/>
              <w:right w:w="20" w:type="dxa"/>
            </w:tcMar>
            <w:vAlign w:val="bottom"/>
          </w:tcPr>
          <w:p w14:paraId="71D4714E" w14:textId="77777777" w:rsidR="006A3667" w:rsidRDefault="00045F32">
            <w:pPr>
              <w:textAlignment w:val="bottom"/>
            </w:pPr>
            <w:r>
              <w:rPr>
                <w:rFonts w:ascii="Arial" w:eastAsia="宋体" w:hAnsi="Arial" w:cs="Arial"/>
                <w:color w:val="000000"/>
                <w:sz w:val="15"/>
                <w:szCs w:val="15"/>
              </w:rPr>
              <w:t>Acquisitions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4714F" w14:textId="77777777" w:rsidR="006A3667" w:rsidRDefault="00045F32">
            <w:pPr>
              <w:jc w:val="right"/>
              <w:textAlignment w:val="bottom"/>
            </w:pPr>
            <w:r>
              <w:rPr>
                <w:rFonts w:ascii="Arial" w:eastAsia="宋体" w:hAnsi="Arial" w:cs="Arial"/>
                <w:color w:val="000000"/>
                <w:sz w:val="15"/>
                <w:szCs w:val="15"/>
              </w:rPr>
              <w:t>66 </w:t>
            </w:r>
          </w:p>
        </w:tc>
        <w:tc>
          <w:tcPr>
            <w:tcW w:w="0" w:type="auto"/>
            <w:shd w:val="clear" w:color="auto" w:fill="FFFFFF"/>
            <w:tcMar>
              <w:top w:w="40" w:type="dxa"/>
              <w:left w:w="0" w:type="dxa"/>
              <w:bottom w:w="40" w:type="dxa"/>
              <w:right w:w="20" w:type="dxa"/>
            </w:tcMar>
            <w:vAlign w:val="bottom"/>
          </w:tcPr>
          <w:p w14:paraId="71D4715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15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152"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1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15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155" w14:textId="77777777" w:rsidR="006A3667" w:rsidRDefault="00045F32">
            <w:pPr>
              <w:jc w:val="right"/>
              <w:textAlignment w:val="bottom"/>
            </w:pPr>
            <w:r>
              <w:rPr>
                <w:rFonts w:ascii="Arial" w:eastAsia="宋体" w:hAnsi="Arial" w:cs="Arial"/>
                <w:color w:val="000000"/>
                <w:sz w:val="15"/>
                <w:szCs w:val="15"/>
              </w:rPr>
              <w:t>66 </w:t>
            </w:r>
          </w:p>
        </w:tc>
        <w:tc>
          <w:tcPr>
            <w:tcW w:w="0" w:type="auto"/>
            <w:shd w:val="clear" w:color="auto" w:fill="FFFFFF"/>
            <w:tcMar>
              <w:top w:w="40" w:type="dxa"/>
              <w:left w:w="0" w:type="dxa"/>
              <w:bottom w:w="40" w:type="dxa"/>
              <w:right w:w="20" w:type="dxa"/>
            </w:tcMar>
            <w:vAlign w:val="bottom"/>
          </w:tcPr>
          <w:p w14:paraId="71D47156" w14:textId="77777777" w:rsidR="006A3667" w:rsidRDefault="006A3667">
            <w:pPr>
              <w:jc w:val="right"/>
              <w:rPr>
                <w:rFonts w:ascii="宋体"/>
              </w:rPr>
            </w:pPr>
          </w:p>
        </w:tc>
      </w:tr>
      <w:tr w:rsidR="006A3667" w14:paraId="71D47161" w14:textId="77777777">
        <w:tc>
          <w:tcPr>
            <w:tcW w:w="0" w:type="auto"/>
            <w:gridSpan w:val="3"/>
            <w:shd w:val="clear" w:color="auto" w:fill="CCEEFF"/>
            <w:tcMar>
              <w:top w:w="40" w:type="dxa"/>
              <w:left w:w="20" w:type="dxa"/>
              <w:bottom w:w="40" w:type="dxa"/>
              <w:right w:w="20" w:type="dxa"/>
            </w:tcMar>
            <w:vAlign w:val="bottom"/>
          </w:tcPr>
          <w:p w14:paraId="71D47158" w14:textId="77777777" w:rsidR="006A3667" w:rsidRDefault="00045F32">
            <w:pPr>
              <w:textAlignment w:val="bottom"/>
            </w:pPr>
            <w:r>
              <w:rPr>
                <w:rFonts w:ascii="Arial" w:eastAsia="宋体" w:hAnsi="Arial" w:cs="Arial"/>
                <w:color w:val="000000"/>
                <w:sz w:val="15"/>
                <w:szCs w:val="15"/>
              </w:rPr>
              <w:t>Divestitures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7159" w14:textId="77777777" w:rsidR="006A3667" w:rsidRDefault="00045F32">
            <w:pPr>
              <w:jc w:val="right"/>
              <w:textAlignment w:val="bottom"/>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bottom"/>
          </w:tcPr>
          <w:p w14:paraId="71D471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5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15C"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1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5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15F" w14:textId="77777777" w:rsidR="006A3667" w:rsidRDefault="00045F32">
            <w:pPr>
              <w:jc w:val="right"/>
              <w:textAlignment w:val="bottom"/>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bottom"/>
          </w:tcPr>
          <w:p w14:paraId="71D47160" w14:textId="77777777" w:rsidR="006A3667" w:rsidRDefault="006A3667">
            <w:pPr>
              <w:jc w:val="right"/>
              <w:rPr>
                <w:rFonts w:ascii="宋体"/>
              </w:rPr>
            </w:pPr>
          </w:p>
        </w:tc>
      </w:tr>
      <w:tr w:rsidR="006A3667" w14:paraId="71D4716B" w14:textId="77777777">
        <w:tc>
          <w:tcPr>
            <w:tcW w:w="0" w:type="auto"/>
            <w:gridSpan w:val="3"/>
            <w:shd w:val="clear" w:color="auto" w:fill="FFFFFF"/>
            <w:tcMar>
              <w:top w:w="40" w:type="dxa"/>
              <w:left w:w="20" w:type="dxa"/>
              <w:bottom w:w="40" w:type="dxa"/>
              <w:right w:w="20" w:type="dxa"/>
            </w:tcMar>
            <w:vAlign w:val="bottom"/>
          </w:tcPr>
          <w:p w14:paraId="71D47162" w14:textId="77777777" w:rsidR="006A3667" w:rsidRDefault="00045F32">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71D47163" w14:textId="77777777" w:rsidR="006A3667" w:rsidRDefault="00045F32">
            <w:pPr>
              <w:jc w:val="right"/>
              <w:textAlignment w:val="bottom"/>
            </w:pPr>
            <w:r>
              <w:rPr>
                <w:rFonts w:ascii="Arial" w:eastAsia="宋体" w:hAnsi="Arial" w:cs="Arial"/>
                <w:color w:val="000000"/>
                <w:sz w:val="15"/>
                <w:szCs w:val="15"/>
              </w:rPr>
              <w:t>(108)</w:t>
            </w:r>
          </w:p>
        </w:tc>
        <w:tc>
          <w:tcPr>
            <w:tcW w:w="0" w:type="auto"/>
            <w:shd w:val="clear" w:color="auto" w:fill="FFFFFF"/>
            <w:tcMar>
              <w:top w:w="40" w:type="dxa"/>
              <w:left w:w="0" w:type="dxa"/>
              <w:bottom w:w="40" w:type="dxa"/>
              <w:right w:w="20" w:type="dxa"/>
            </w:tcMar>
            <w:vAlign w:val="bottom"/>
          </w:tcPr>
          <w:p w14:paraId="71D4716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16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166" w14:textId="77777777" w:rsidR="006A3667" w:rsidRDefault="00045F32">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71D471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16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169" w14:textId="77777777" w:rsidR="006A3667" w:rsidRDefault="00045F32">
            <w:pPr>
              <w:jc w:val="right"/>
              <w:textAlignment w:val="bottom"/>
            </w:pPr>
            <w:r>
              <w:rPr>
                <w:rFonts w:ascii="Arial" w:eastAsia="宋体" w:hAnsi="Arial" w:cs="Arial"/>
                <w:color w:val="000000"/>
                <w:sz w:val="15"/>
                <w:szCs w:val="15"/>
              </w:rPr>
              <w:t>(111)</w:t>
            </w:r>
          </w:p>
        </w:tc>
        <w:tc>
          <w:tcPr>
            <w:tcW w:w="0" w:type="auto"/>
            <w:shd w:val="clear" w:color="auto" w:fill="FFFFFF"/>
            <w:tcMar>
              <w:top w:w="40" w:type="dxa"/>
              <w:left w:w="0" w:type="dxa"/>
              <w:bottom w:w="40" w:type="dxa"/>
              <w:right w:w="20" w:type="dxa"/>
            </w:tcMar>
            <w:vAlign w:val="bottom"/>
          </w:tcPr>
          <w:p w14:paraId="71D4716A" w14:textId="77777777" w:rsidR="006A3667" w:rsidRDefault="006A3667">
            <w:pPr>
              <w:jc w:val="right"/>
              <w:rPr>
                <w:rFonts w:ascii="宋体"/>
              </w:rPr>
            </w:pPr>
          </w:p>
        </w:tc>
      </w:tr>
      <w:tr w:rsidR="006A3667" w14:paraId="71D47178" w14:textId="77777777">
        <w:tc>
          <w:tcPr>
            <w:tcW w:w="0" w:type="auto"/>
            <w:gridSpan w:val="3"/>
            <w:shd w:val="clear" w:color="auto" w:fill="CCEEFF"/>
            <w:tcMar>
              <w:top w:w="40" w:type="dxa"/>
              <w:left w:w="20" w:type="dxa"/>
              <w:bottom w:w="40" w:type="dxa"/>
              <w:right w:w="20" w:type="dxa"/>
            </w:tcMar>
            <w:vAlign w:val="bottom"/>
          </w:tcPr>
          <w:p w14:paraId="71D4716C" w14:textId="77777777" w:rsidR="006A3667" w:rsidRDefault="00045F32">
            <w:pPr>
              <w:textAlignment w:val="bottom"/>
            </w:pPr>
            <w:r>
              <w:rPr>
                <w:rFonts w:ascii="Arial" w:eastAsia="宋体" w:hAnsi="Arial" w:cs="Arial"/>
                <w:b/>
                <w:bCs/>
                <w:color w:val="000000"/>
                <w:sz w:val="15"/>
                <w:szCs w:val="15"/>
              </w:rPr>
              <w:t>Ending balance December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16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16E" w14:textId="77777777" w:rsidR="006A3667" w:rsidRDefault="00045F32">
            <w:pPr>
              <w:jc w:val="right"/>
              <w:textAlignment w:val="bottom"/>
            </w:pPr>
            <w:r>
              <w:rPr>
                <w:rFonts w:ascii="Arial" w:eastAsia="宋体" w:hAnsi="Arial" w:cs="Arial"/>
                <w:color w:val="000000"/>
                <w:sz w:val="15"/>
                <w:szCs w:val="15"/>
              </w:rPr>
              <w:t>7,354 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1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7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171"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172" w14:textId="77777777" w:rsidR="006A3667" w:rsidRDefault="00045F32">
            <w:pPr>
              <w:jc w:val="right"/>
              <w:textAlignment w:val="bottom"/>
            </w:pPr>
            <w:r>
              <w:rPr>
                <w:rFonts w:ascii="Arial" w:eastAsia="宋体" w:hAnsi="Arial" w:cs="Arial"/>
                <w:color w:val="000000"/>
                <w:sz w:val="15"/>
                <w:szCs w:val="15"/>
              </w:rPr>
              <w:t>267 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1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7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175"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176" w14:textId="77777777" w:rsidR="006A3667" w:rsidRDefault="00045F32">
            <w:pPr>
              <w:jc w:val="right"/>
              <w:textAlignment w:val="bottom"/>
            </w:pPr>
            <w:r>
              <w:rPr>
                <w:rFonts w:ascii="Arial" w:eastAsia="宋体" w:hAnsi="Arial" w:cs="Arial"/>
                <w:color w:val="000000"/>
                <w:sz w:val="15"/>
                <w:szCs w:val="15"/>
              </w:rPr>
              <w:t>7,621 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177" w14:textId="77777777" w:rsidR="006A3667" w:rsidRDefault="006A3667">
            <w:pPr>
              <w:jc w:val="right"/>
              <w:rPr>
                <w:rFonts w:ascii="宋体"/>
              </w:rPr>
            </w:pPr>
          </w:p>
        </w:tc>
      </w:tr>
      <w:tr w:rsidR="006A3667" w14:paraId="71D47182" w14:textId="77777777">
        <w:tc>
          <w:tcPr>
            <w:tcW w:w="0" w:type="auto"/>
            <w:gridSpan w:val="3"/>
            <w:shd w:val="clear" w:color="auto" w:fill="FFFFFF"/>
            <w:tcMar>
              <w:top w:w="40" w:type="dxa"/>
              <w:left w:w="20" w:type="dxa"/>
              <w:bottom w:w="40" w:type="dxa"/>
              <w:right w:w="20" w:type="dxa"/>
            </w:tcMar>
            <w:vAlign w:val="bottom"/>
          </w:tcPr>
          <w:p w14:paraId="71D47179" w14:textId="77777777" w:rsidR="006A3667" w:rsidRDefault="00045F32">
            <w:pPr>
              <w:textAlignment w:val="bottom"/>
            </w:pPr>
            <w:r>
              <w:rPr>
                <w:rFonts w:ascii="Arial" w:eastAsia="宋体" w:hAnsi="Arial" w:cs="Arial"/>
                <w:color w:val="000000"/>
                <w:sz w:val="15"/>
                <w:szCs w:val="15"/>
              </w:rPr>
              <w:t>Acquisitions</w:t>
            </w:r>
          </w:p>
        </w:tc>
        <w:tc>
          <w:tcPr>
            <w:tcW w:w="0" w:type="auto"/>
            <w:gridSpan w:val="2"/>
            <w:shd w:val="clear" w:color="auto" w:fill="FFFFFF"/>
            <w:tcMar>
              <w:top w:w="40" w:type="dxa"/>
              <w:left w:w="20" w:type="dxa"/>
              <w:bottom w:w="40" w:type="dxa"/>
              <w:right w:w="0" w:type="dxa"/>
            </w:tcMar>
            <w:vAlign w:val="bottom"/>
          </w:tcPr>
          <w:p w14:paraId="71D4717A" w14:textId="77777777" w:rsidR="006A3667" w:rsidRDefault="00045F32">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17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17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17D"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1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17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180" w14:textId="77777777" w:rsidR="006A3667" w:rsidRDefault="00045F32">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181" w14:textId="77777777" w:rsidR="006A3667" w:rsidRDefault="006A3667">
            <w:pPr>
              <w:jc w:val="right"/>
              <w:rPr>
                <w:rFonts w:ascii="宋体"/>
              </w:rPr>
            </w:pPr>
          </w:p>
        </w:tc>
      </w:tr>
      <w:tr w:rsidR="006A3667" w14:paraId="71D47189" w14:textId="77777777">
        <w:trPr>
          <w:hidden/>
        </w:trPr>
        <w:tc>
          <w:tcPr>
            <w:tcW w:w="0" w:type="auto"/>
            <w:gridSpan w:val="3"/>
            <w:shd w:val="clear" w:color="auto" w:fill="auto"/>
            <w:vAlign w:val="bottom"/>
          </w:tcPr>
          <w:p w14:paraId="71D47183" w14:textId="77777777" w:rsidR="006A3667" w:rsidRDefault="006A3667">
            <w:pPr>
              <w:rPr>
                <w:rFonts w:ascii="宋体"/>
                <w:vanish/>
              </w:rPr>
            </w:pPr>
          </w:p>
        </w:tc>
        <w:tc>
          <w:tcPr>
            <w:tcW w:w="0" w:type="auto"/>
            <w:gridSpan w:val="3"/>
            <w:shd w:val="clear" w:color="auto" w:fill="auto"/>
            <w:vAlign w:val="bottom"/>
          </w:tcPr>
          <w:p w14:paraId="71D47184" w14:textId="77777777" w:rsidR="006A3667" w:rsidRDefault="006A3667">
            <w:pPr>
              <w:rPr>
                <w:rFonts w:ascii="宋体"/>
                <w:vanish/>
              </w:rPr>
            </w:pPr>
          </w:p>
        </w:tc>
        <w:tc>
          <w:tcPr>
            <w:tcW w:w="0" w:type="auto"/>
            <w:gridSpan w:val="3"/>
            <w:shd w:val="clear" w:color="auto" w:fill="auto"/>
            <w:vAlign w:val="bottom"/>
          </w:tcPr>
          <w:p w14:paraId="71D47185" w14:textId="77777777" w:rsidR="006A3667" w:rsidRDefault="006A3667">
            <w:pPr>
              <w:rPr>
                <w:rFonts w:ascii="宋体"/>
                <w:vanish/>
              </w:rPr>
            </w:pPr>
          </w:p>
        </w:tc>
        <w:tc>
          <w:tcPr>
            <w:tcW w:w="0" w:type="auto"/>
            <w:gridSpan w:val="3"/>
            <w:shd w:val="clear" w:color="auto" w:fill="auto"/>
            <w:vAlign w:val="bottom"/>
          </w:tcPr>
          <w:p w14:paraId="71D47186" w14:textId="77777777" w:rsidR="006A3667" w:rsidRDefault="006A3667">
            <w:pPr>
              <w:rPr>
                <w:rFonts w:ascii="宋体"/>
                <w:vanish/>
              </w:rPr>
            </w:pPr>
          </w:p>
        </w:tc>
        <w:tc>
          <w:tcPr>
            <w:tcW w:w="0" w:type="auto"/>
            <w:gridSpan w:val="3"/>
            <w:shd w:val="clear" w:color="auto" w:fill="auto"/>
            <w:vAlign w:val="bottom"/>
          </w:tcPr>
          <w:p w14:paraId="71D47187" w14:textId="77777777" w:rsidR="006A3667" w:rsidRDefault="006A3667">
            <w:pPr>
              <w:rPr>
                <w:rFonts w:ascii="宋体"/>
                <w:vanish/>
              </w:rPr>
            </w:pPr>
          </w:p>
        </w:tc>
        <w:tc>
          <w:tcPr>
            <w:tcW w:w="0" w:type="auto"/>
            <w:gridSpan w:val="3"/>
            <w:shd w:val="clear" w:color="auto" w:fill="auto"/>
            <w:vAlign w:val="bottom"/>
          </w:tcPr>
          <w:p w14:paraId="71D47188" w14:textId="77777777" w:rsidR="006A3667" w:rsidRDefault="006A3667">
            <w:pPr>
              <w:rPr>
                <w:rFonts w:ascii="宋体"/>
                <w:vanish/>
              </w:rPr>
            </w:pPr>
          </w:p>
        </w:tc>
      </w:tr>
      <w:tr w:rsidR="006A3667" w14:paraId="71D47193" w14:textId="77777777">
        <w:tc>
          <w:tcPr>
            <w:tcW w:w="0" w:type="auto"/>
            <w:gridSpan w:val="3"/>
            <w:shd w:val="clear" w:color="auto" w:fill="CCEEFF"/>
            <w:tcMar>
              <w:top w:w="40" w:type="dxa"/>
              <w:left w:w="20" w:type="dxa"/>
              <w:bottom w:w="40" w:type="dxa"/>
              <w:right w:w="20" w:type="dxa"/>
            </w:tcMar>
            <w:vAlign w:val="bottom"/>
          </w:tcPr>
          <w:p w14:paraId="71D4718A" w14:textId="77777777" w:rsidR="006A3667" w:rsidRDefault="00045F32">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71D4718B" w14:textId="77777777" w:rsidR="006A3667" w:rsidRDefault="00045F32">
            <w:pPr>
              <w:jc w:val="right"/>
              <w:textAlignment w:val="bottom"/>
            </w:pPr>
            <w:r>
              <w:rPr>
                <w:rFonts w:ascii="Arial" w:eastAsia="宋体" w:hAnsi="Arial" w:cs="Arial"/>
                <w:b/>
                <w:bCs/>
                <w:color w:val="000000"/>
                <w:sz w:val="15"/>
                <w:szCs w:val="15"/>
              </w:rPr>
              <w:t>(265)</w:t>
            </w:r>
          </w:p>
        </w:tc>
        <w:tc>
          <w:tcPr>
            <w:tcW w:w="0" w:type="auto"/>
            <w:shd w:val="clear" w:color="auto" w:fill="CCEEFF"/>
            <w:tcMar>
              <w:top w:w="40" w:type="dxa"/>
              <w:left w:w="0" w:type="dxa"/>
              <w:bottom w:w="40" w:type="dxa"/>
              <w:right w:w="20" w:type="dxa"/>
            </w:tcMar>
            <w:vAlign w:val="bottom"/>
          </w:tcPr>
          <w:p w14:paraId="71D471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18E" w14:textId="77777777" w:rsidR="006A3667" w:rsidRDefault="00045F32">
            <w:pPr>
              <w:jc w:val="right"/>
              <w:textAlignment w:val="bottom"/>
            </w:pPr>
            <w:r>
              <w:rPr>
                <w:rFonts w:ascii="Arial" w:eastAsia="宋体" w:hAnsi="Arial" w:cs="Arial"/>
                <w:b/>
                <w:bCs/>
                <w:color w:val="000000"/>
                <w:sz w:val="15"/>
                <w:szCs w:val="15"/>
              </w:rPr>
              <w:t>(8)</w:t>
            </w:r>
          </w:p>
        </w:tc>
        <w:tc>
          <w:tcPr>
            <w:tcW w:w="0" w:type="auto"/>
            <w:shd w:val="clear" w:color="auto" w:fill="CCEEFF"/>
            <w:tcMar>
              <w:top w:w="40" w:type="dxa"/>
              <w:left w:w="0" w:type="dxa"/>
              <w:bottom w:w="40" w:type="dxa"/>
              <w:right w:w="20" w:type="dxa"/>
            </w:tcMar>
            <w:vAlign w:val="bottom"/>
          </w:tcPr>
          <w:p w14:paraId="71D471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19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191" w14:textId="77777777" w:rsidR="006A3667" w:rsidRDefault="00045F32">
            <w:pPr>
              <w:jc w:val="right"/>
              <w:textAlignment w:val="bottom"/>
            </w:pPr>
            <w:r>
              <w:rPr>
                <w:rFonts w:ascii="Arial" w:eastAsia="宋体" w:hAnsi="Arial" w:cs="Arial"/>
                <w:b/>
                <w:bCs/>
                <w:color w:val="000000"/>
                <w:sz w:val="15"/>
                <w:szCs w:val="15"/>
              </w:rPr>
              <w:t>(273)</w:t>
            </w:r>
          </w:p>
        </w:tc>
        <w:tc>
          <w:tcPr>
            <w:tcW w:w="0" w:type="auto"/>
            <w:shd w:val="clear" w:color="auto" w:fill="CCEEFF"/>
            <w:tcMar>
              <w:top w:w="40" w:type="dxa"/>
              <w:left w:w="0" w:type="dxa"/>
              <w:bottom w:w="40" w:type="dxa"/>
              <w:right w:w="20" w:type="dxa"/>
            </w:tcMar>
            <w:vAlign w:val="bottom"/>
          </w:tcPr>
          <w:p w14:paraId="71D47192" w14:textId="77777777" w:rsidR="006A3667" w:rsidRDefault="006A3667">
            <w:pPr>
              <w:jc w:val="right"/>
              <w:rPr>
                <w:rFonts w:ascii="宋体"/>
              </w:rPr>
            </w:pPr>
          </w:p>
        </w:tc>
      </w:tr>
      <w:tr w:rsidR="006A3667" w14:paraId="71D471A0" w14:textId="77777777">
        <w:tc>
          <w:tcPr>
            <w:tcW w:w="0" w:type="auto"/>
            <w:gridSpan w:val="3"/>
            <w:shd w:val="clear" w:color="auto" w:fill="FFFFFF"/>
            <w:tcMar>
              <w:top w:w="40" w:type="dxa"/>
              <w:left w:w="20" w:type="dxa"/>
              <w:bottom w:w="40" w:type="dxa"/>
              <w:right w:w="20" w:type="dxa"/>
            </w:tcMar>
            <w:vAlign w:val="bottom"/>
          </w:tcPr>
          <w:p w14:paraId="71D47194" w14:textId="77777777" w:rsidR="006A3667" w:rsidRDefault="00045F32">
            <w:pPr>
              <w:textAlignment w:val="bottom"/>
            </w:pPr>
            <w:r>
              <w:rPr>
                <w:rFonts w:ascii="Arial" w:eastAsia="宋体" w:hAnsi="Arial" w:cs="Arial"/>
                <w:b/>
                <w:bCs/>
                <w:color w:val="000000"/>
                <w:sz w:val="15"/>
                <w:szCs w:val="15"/>
              </w:rPr>
              <w:t>Ending balance September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195"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196" w14:textId="77777777" w:rsidR="006A3667" w:rsidRDefault="00045F32">
            <w:pPr>
              <w:jc w:val="right"/>
              <w:textAlignment w:val="bottom"/>
            </w:pPr>
            <w:r>
              <w:rPr>
                <w:rFonts w:ascii="Arial" w:eastAsia="宋体" w:hAnsi="Arial" w:cs="Arial"/>
                <w:b/>
                <w:bCs/>
                <w:color w:val="000000"/>
                <w:sz w:val="15"/>
                <w:szCs w:val="15"/>
              </w:rPr>
              <w:t>7,092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19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19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199"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19A" w14:textId="77777777" w:rsidR="006A3667" w:rsidRDefault="00045F32">
            <w:pPr>
              <w:jc w:val="right"/>
              <w:textAlignment w:val="bottom"/>
            </w:pPr>
            <w:r>
              <w:rPr>
                <w:rFonts w:ascii="Arial" w:eastAsia="宋体" w:hAnsi="Arial" w:cs="Arial"/>
                <w:b/>
                <w:bCs/>
                <w:color w:val="000000"/>
                <w:sz w:val="15"/>
                <w:szCs w:val="15"/>
              </w:rPr>
              <w:t>259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19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19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19D"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19E" w14:textId="77777777" w:rsidR="006A3667" w:rsidRDefault="00045F32">
            <w:pPr>
              <w:jc w:val="right"/>
              <w:textAlignment w:val="bottom"/>
            </w:pPr>
            <w:r>
              <w:rPr>
                <w:rFonts w:ascii="Arial" w:eastAsia="宋体" w:hAnsi="Arial" w:cs="Arial"/>
                <w:b/>
                <w:bCs/>
                <w:color w:val="000000"/>
                <w:sz w:val="15"/>
                <w:szCs w:val="15"/>
              </w:rPr>
              <w:t>7,351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19F" w14:textId="77777777" w:rsidR="006A3667" w:rsidRDefault="006A3667">
            <w:pPr>
              <w:jc w:val="right"/>
              <w:rPr>
                <w:rFonts w:ascii="宋体"/>
              </w:rPr>
            </w:pPr>
          </w:p>
        </w:tc>
      </w:tr>
      <w:tr w:rsidR="006A3667" w14:paraId="71D471A7" w14:textId="77777777">
        <w:trPr>
          <w:hidden/>
        </w:trPr>
        <w:tc>
          <w:tcPr>
            <w:tcW w:w="0" w:type="auto"/>
            <w:gridSpan w:val="3"/>
            <w:shd w:val="clear" w:color="auto" w:fill="auto"/>
            <w:vAlign w:val="bottom"/>
          </w:tcPr>
          <w:p w14:paraId="71D471A1" w14:textId="77777777" w:rsidR="006A3667" w:rsidRDefault="006A3667">
            <w:pPr>
              <w:rPr>
                <w:rFonts w:ascii="宋体"/>
                <w:vanish/>
              </w:rPr>
            </w:pPr>
          </w:p>
        </w:tc>
        <w:tc>
          <w:tcPr>
            <w:tcW w:w="0" w:type="auto"/>
            <w:gridSpan w:val="3"/>
            <w:shd w:val="clear" w:color="auto" w:fill="auto"/>
            <w:vAlign w:val="bottom"/>
          </w:tcPr>
          <w:p w14:paraId="71D471A2" w14:textId="77777777" w:rsidR="006A3667" w:rsidRDefault="006A3667">
            <w:pPr>
              <w:rPr>
                <w:rFonts w:ascii="宋体"/>
                <w:vanish/>
              </w:rPr>
            </w:pPr>
          </w:p>
        </w:tc>
        <w:tc>
          <w:tcPr>
            <w:tcW w:w="0" w:type="auto"/>
            <w:gridSpan w:val="3"/>
            <w:shd w:val="clear" w:color="auto" w:fill="auto"/>
            <w:vAlign w:val="bottom"/>
          </w:tcPr>
          <w:p w14:paraId="71D471A3" w14:textId="77777777" w:rsidR="006A3667" w:rsidRDefault="006A3667">
            <w:pPr>
              <w:rPr>
                <w:rFonts w:ascii="宋体"/>
                <w:vanish/>
              </w:rPr>
            </w:pPr>
          </w:p>
        </w:tc>
        <w:tc>
          <w:tcPr>
            <w:tcW w:w="0" w:type="auto"/>
            <w:gridSpan w:val="3"/>
            <w:shd w:val="clear" w:color="auto" w:fill="auto"/>
            <w:vAlign w:val="bottom"/>
          </w:tcPr>
          <w:p w14:paraId="71D471A4" w14:textId="77777777" w:rsidR="006A3667" w:rsidRDefault="006A3667">
            <w:pPr>
              <w:rPr>
                <w:rFonts w:ascii="宋体"/>
                <w:vanish/>
              </w:rPr>
            </w:pPr>
          </w:p>
        </w:tc>
        <w:tc>
          <w:tcPr>
            <w:tcW w:w="0" w:type="auto"/>
            <w:gridSpan w:val="3"/>
            <w:shd w:val="clear" w:color="auto" w:fill="auto"/>
            <w:vAlign w:val="bottom"/>
          </w:tcPr>
          <w:p w14:paraId="71D471A5" w14:textId="77777777" w:rsidR="006A3667" w:rsidRDefault="006A3667">
            <w:pPr>
              <w:rPr>
                <w:rFonts w:ascii="宋体"/>
                <w:vanish/>
              </w:rPr>
            </w:pPr>
          </w:p>
        </w:tc>
        <w:tc>
          <w:tcPr>
            <w:tcW w:w="0" w:type="auto"/>
            <w:gridSpan w:val="3"/>
            <w:shd w:val="clear" w:color="auto" w:fill="auto"/>
            <w:vAlign w:val="bottom"/>
          </w:tcPr>
          <w:p w14:paraId="71D471A6" w14:textId="77777777" w:rsidR="006A3667" w:rsidRDefault="006A3667">
            <w:pPr>
              <w:rPr>
                <w:rFonts w:ascii="宋体"/>
                <w:vanish/>
              </w:rPr>
            </w:pPr>
          </w:p>
        </w:tc>
      </w:tr>
      <w:tr w:rsidR="006A3667" w14:paraId="71D471AE" w14:textId="77777777">
        <w:trPr>
          <w:hidden/>
        </w:trPr>
        <w:tc>
          <w:tcPr>
            <w:tcW w:w="0" w:type="auto"/>
            <w:gridSpan w:val="3"/>
            <w:shd w:val="clear" w:color="auto" w:fill="auto"/>
            <w:vAlign w:val="bottom"/>
          </w:tcPr>
          <w:p w14:paraId="71D471A8" w14:textId="77777777" w:rsidR="006A3667" w:rsidRDefault="006A3667">
            <w:pPr>
              <w:rPr>
                <w:rFonts w:ascii="宋体"/>
                <w:vanish/>
              </w:rPr>
            </w:pPr>
          </w:p>
        </w:tc>
        <w:tc>
          <w:tcPr>
            <w:tcW w:w="0" w:type="auto"/>
            <w:gridSpan w:val="3"/>
            <w:shd w:val="clear" w:color="auto" w:fill="auto"/>
            <w:vAlign w:val="bottom"/>
          </w:tcPr>
          <w:p w14:paraId="71D471A9" w14:textId="77777777" w:rsidR="006A3667" w:rsidRDefault="006A3667">
            <w:pPr>
              <w:rPr>
                <w:rFonts w:ascii="宋体"/>
                <w:vanish/>
              </w:rPr>
            </w:pPr>
          </w:p>
        </w:tc>
        <w:tc>
          <w:tcPr>
            <w:tcW w:w="0" w:type="auto"/>
            <w:gridSpan w:val="3"/>
            <w:shd w:val="clear" w:color="auto" w:fill="auto"/>
            <w:vAlign w:val="bottom"/>
          </w:tcPr>
          <w:p w14:paraId="71D471AA" w14:textId="77777777" w:rsidR="006A3667" w:rsidRDefault="006A3667">
            <w:pPr>
              <w:rPr>
                <w:rFonts w:ascii="宋体"/>
                <w:vanish/>
              </w:rPr>
            </w:pPr>
          </w:p>
        </w:tc>
        <w:tc>
          <w:tcPr>
            <w:tcW w:w="0" w:type="auto"/>
            <w:gridSpan w:val="3"/>
            <w:shd w:val="clear" w:color="auto" w:fill="auto"/>
            <w:vAlign w:val="bottom"/>
          </w:tcPr>
          <w:p w14:paraId="71D471AB" w14:textId="77777777" w:rsidR="006A3667" w:rsidRDefault="006A3667">
            <w:pPr>
              <w:rPr>
                <w:rFonts w:ascii="宋体"/>
                <w:vanish/>
              </w:rPr>
            </w:pPr>
          </w:p>
        </w:tc>
        <w:tc>
          <w:tcPr>
            <w:tcW w:w="0" w:type="auto"/>
            <w:gridSpan w:val="3"/>
            <w:shd w:val="clear" w:color="auto" w:fill="auto"/>
            <w:vAlign w:val="bottom"/>
          </w:tcPr>
          <w:p w14:paraId="71D471AC" w14:textId="77777777" w:rsidR="006A3667" w:rsidRDefault="006A3667">
            <w:pPr>
              <w:rPr>
                <w:rFonts w:ascii="宋体"/>
                <w:vanish/>
              </w:rPr>
            </w:pPr>
          </w:p>
        </w:tc>
        <w:tc>
          <w:tcPr>
            <w:tcW w:w="0" w:type="auto"/>
            <w:gridSpan w:val="3"/>
            <w:shd w:val="clear" w:color="auto" w:fill="auto"/>
            <w:vAlign w:val="bottom"/>
          </w:tcPr>
          <w:p w14:paraId="71D471AD" w14:textId="77777777" w:rsidR="006A3667" w:rsidRDefault="006A3667">
            <w:pPr>
              <w:rPr>
                <w:rFonts w:ascii="宋体"/>
                <w:vanish/>
              </w:rPr>
            </w:pPr>
          </w:p>
        </w:tc>
      </w:tr>
      <w:tr w:rsidR="006A3667" w14:paraId="71D471B5" w14:textId="77777777">
        <w:trPr>
          <w:hidden/>
        </w:trPr>
        <w:tc>
          <w:tcPr>
            <w:tcW w:w="0" w:type="auto"/>
            <w:gridSpan w:val="3"/>
            <w:shd w:val="clear" w:color="auto" w:fill="auto"/>
            <w:vAlign w:val="bottom"/>
          </w:tcPr>
          <w:p w14:paraId="71D471AF" w14:textId="77777777" w:rsidR="006A3667" w:rsidRDefault="006A3667">
            <w:pPr>
              <w:rPr>
                <w:rFonts w:ascii="宋体"/>
                <w:vanish/>
              </w:rPr>
            </w:pPr>
          </w:p>
        </w:tc>
        <w:tc>
          <w:tcPr>
            <w:tcW w:w="0" w:type="auto"/>
            <w:gridSpan w:val="3"/>
            <w:shd w:val="clear" w:color="auto" w:fill="auto"/>
            <w:vAlign w:val="bottom"/>
          </w:tcPr>
          <w:p w14:paraId="71D471B0" w14:textId="77777777" w:rsidR="006A3667" w:rsidRDefault="006A3667">
            <w:pPr>
              <w:rPr>
                <w:rFonts w:ascii="宋体"/>
                <w:vanish/>
              </w:rPr>
            </w:pPr>
          </w:p>
        </w:tc>
        <w:tc>
          <w:tcPr>
            <w:tcW w:w="0" w:type="auto"/>
            <w:gridSpan w:val="3"/>
            <w:shd w:val="clear" w:color="auto" w:fill="auto"/>
            <w:vAlign w:val="bottom"/>
          </w:tcPr>
          <w:p w14:paraId="71D471B1" w14:textId="77777777" w:rsidR="006A3667" w:rsidRDefault="006A3667">
            <w:pPr>
              <w:rPr>
                <w:rFonts w:ascii="宋体"/>
                <w:vanish/>
              </w:rPr>
            </w:pPr>
          </w:p>
        </w:tc>
        <w:tc>
          <w:tcPr>
            <w:tcW w:w="0" w:type="auto"/>
            <w:gridSpan w:val="3"/>
            <w:shd w:val="clear" w:color="auto" w:fill="auto"/>
            <w:vAlign w:val="bottom"/>
          </w:tcPr>
          <w:p w14:paraId="71D471B2" w14:textId="77777777" w:rsidR="006A3667" w:rsidRDefault="006A3667">
            <w:pPr>
              <w:rPr>
                <w:rFonts w:ascii="宋体"/>
                <w:vanish/>
              </w:rPr>
            </w:pPr>
          </w:p>
        </w:tc>
        <w:tc>
          <w:tcPr>
            <w:tcW w:w="0" w:type="auto"/>
            <w:gridSpan w:val="3"/>
            <w:shd w:val="clear" w:color="auto" w:fill="auto"/>
            <w:vAlign w:val="bottom"/>
          </w:tcPr>
          <w:p w14:paraId="71D471B3" w14:textId="77777777" w:rsidR="006A3667" w:rsidRDefault="006A3667">
            <w:pPr>
              <w:rPr>
                <w:rFonts w:ascii="宋体"/>
                <w:vanish/>
              </w:rPr>
            </w:pPr>
          </w:p>
        </w:tc>
        <w:tc>
          <w:tcPr>
            <w:tcW w:w="0" w:type="auto"/>
            <w:gridSpan w:val="3"/>
            <w:shd w:val="clear" w:color="auto" w:fill="auto"/>
            <w:vAlign w:val="bottom"/>
          </w:tcPr>
          <w:p w14:paraId="71D471B4" w14:textId="77777777" w:rsidR="006A3667" w:rsidRDefault="006A3667">
            <w:pPr>
              <w:rPr>
                <w:rFonts w:ascii="宋体"/>
                <w:vanish/>
              </w:rPr>
            </w:pPr>
          </w:p>
        </w:tc>
      </w:tr>
      <w:tr w:rsidR="006A3667" w14:paraId="71D471BC" w14:textId="77777777">
        <w:trPr>
          <w:hidden/>
        </w:trPr>
        <w:tc>
          <w:tcPr>
            <w:tcW w:w="0" w:type="auto"/>
            <w:gridSpan w:val="3"/>
            <w:shd w:val="clear" w:color="auto" w:fill="auto"/>
            <w:vAlign w:val="bottom"/>
          </w:tcPr>
          <w:p w14:paraId="71D471B6" w14:textId="77777777" w:rsidR="006A3667" w:rsidRDefault="006A3667">
            <w:pPr>
              <w:rPr>
                <w:rFonts w:ascii="宋体"/>
                <w:vanish/>
              </w:rPr>
            </w:pPr>
          </w:p>
        </w:tc>
        <w:tc>
          <w:tcPr>
            <w:tcW w:w="0" w:type="auto"/>
            <w:gridSpan w:val="3"/>
            <w:shd w:val="clear" w:color="auto" w:fill="auto"/>
            <w:vAlign w:val="bottom"/>
          </w:tcPr>
          <w:p w14:paraId="71D471B7" w14:textId="77777777" w:rsidR="006A3667" w:rsidRDefault="006A3667">
            <w:pPr>
              <w:rPr>
                <w:rFonts w:ascii="宋体"/>
                <w:vanish/>
              </w:rPr>
            </w:pPr>
          </w:p>
        </w:tc>
        <w:tc>
          <w:tcPr>
            <w:tcW w:w="0" w:type="auto"/>
            <w:gridSpan w:val="3"/>
            <w:shd w:val="clear" w:color="auto" w:fill="auto"/>
            <w:vAlign w:val="bottom"/>
          </w:tcPr>
          <w:p w14:paraId="71D471B8" w14:textId="77777777" w:rsidR="006A3667" w:rsidRDefault="006A3667">
            <w:pPr>
              <w:rPr>
                <w:rFonts w:ascii="宋体"/>
                <w:vanish/>
              </w:rPr>
            </w:pPr>
          </w:p>
        </w:tc>
        <w:tc>
          <w:tcPr>
            <w:tcW w:w="0" w:type="auto"/>
            <w:gridSpan w:val="3"/>
            <w:shd w:val="clear" w:color="auto" w:fill="auto"/>
            <w:vAlign w:val="bottom"/>
          </w:tcPr>
          <w:p w14:paraId="71D471B9" w14:textId="77777777" w:rsidR="006A3667" w:rsidRDefault="006A3667">
            <w:pPr>
              <w:rPr>
                <w:rFonts w:ascii="宋体"/>
                <w:vanish/>
              </w:rPr>
            </w:pPr>
          </w:p>
        </w:tc>
        <w:tc>
          <w:tcPr>
            <w:tcW w:w="0" w:type="auto"/>
            <w:gridSpan w:val="3"/>
            <w:shd w:val="clear" w:color="auto" w:fill="auto"/>
            <w:vAlign w:val="bottom"/>
          </w:tcPr>
          <w:p w14:paraId="71D471BA" w14:textId="77777777" w:rsidR="006A3667" w:rsidRDefault="006A3667">
            <w:pPr>
              <w:rPr>
                <w:rFonts w:ascii="宋体"/>
                <w:vanish/>
              </w:rPr>
            </w:pPr>
          </w:p>
        </w:tc>
        <w:tc>
          <w:tcPr>
            <w:tcW w:w="0" w:type="auto"/>
            <w:gridSpan w:val="3"/>
            <w:shd w:val="clear" w:color="auto" w:fill="auto"/>
            <w:vAlign w:val="bottom"/>
          </w:tcPr>
          <w:p w14:paraId="71D471BB" w14:textId="77777777" w:rsidR="006A3667" w:rsidRDefault="006A3667">
            <w:pPr>
              <w:rPr>
                <w:rFonts w:ascii="宋体"/>
                <w:vanish/>
              </w:rPr>
            </w:pPr>
          </w:p>
        </w:tc>
      </w:tr>
      <w:tr w:rsidR="006A3667" w14:paraId="71D471C3" w14:textId="77777777">
        <w:trPr>
          <w:hidden/>
        </w:trPr>
        <w:tc>
          <w:tcPr>
            <w:tcW w:w="0" w:type="auto"/>
            <w:gridSpan w:val="3"/>
            <w:shd w:val="clear" w:color="auto" w:fill="auto"/>
            <w:vAlign w:val="bottom"/>
          </w:tcPr>
          <w:p w14:paraId="71D471BD" w14:textId="77777777" w:rsidR="006A3667" w:rsidRDefault="006A3667">
            <w:pPr>
              <w:rPr>
                <w:rFonts w:ascii="宋体"/>
                <w:vanish/>
              </w:rPr>
            </w:pPr>
          </w:p>
        </w:tc>
        <w:tc>
          <w:tcPr>
            <w:tcW w:w="0" w:type="auto"/>
            <w:gridSpan w:val="3"/>
            <w:shd w:val="clear" w:color="auto" w:fill="auto"/>
            <w:vAlign w:val="bottom"/>
          </w:tcPr>
          <w:p w14:paraId="71D471BE" w14:textId="77777777" w:rsidR="006A3667" w:rsidRDefault="006A3667">
            <w:pPr>
              <w:rPr>
                <w:rFonts w:ascii="宋体"/>
                <w:vanish/>
              </w:rPr>
            </w:pPr>
          </w:p>
        </w:tc>
        <w:tc>
          <w:tcPr>
            <w:tcW w:w="0" w:type="auto"/>
            <w:gridSpan w:val="3"/>
            <w:shd w:val="clear" w:color="auto" w:fill="auto"/>
            <w:vAlign w:val="bottom"/>
          </w:tcPr>
          <w:p w14:paraId="71D471BF" w14:textId="77777777" w:rsidR="006A3667" w:rsidRDefault="006A3667">
            <w:pPr>
              <w:rPr>
                <w:rFonts w:ascii="宋体"/>
                <w:vanish/>
              </w:rPr>
            </w:pPr>
          </w:p>
        </w:tc>
        <w:tc>
          <w:tcPr>
            <w:tcW w:w="0" w:type="auto"/>
            <w:gridSpan w:val="3"/>
            <w:shd w:val="clear" w:color="auto" w:fill="auto"/>
            <w:vAlign w:val="bottom"/>
          </w:tcPr>
          <w:p w14:paraId="71D471C0" w14:textId="77777777" w:rsidR="006A3667" w:rsidRDefault="006A3667">
            <w:pPr>
              <w:rPr>
                <w:rFonts w:ascii="宋体"/>
                <w:vanish/>
              </w:rPr>
            </w:pPr>
          </w:p>
        </w:tc>
        <w:tc>
          <w:tcPr>
            <w:tcW w:w="0" w:type="auto"/>
            <w:gridSpan w:val="3"/>
            <w:shd w:val="clear" w:color="auto" w:fill="auto"/>
            <w:vAlign w:val="bottom"/>
          </w:tcPr>
          <w:p w14:paraId="71D471C1" w14:textId="77777777" w:rsidR="006A3667" w:rsidRDefault="006A3667">
            <w:pPr>
              <w:rPr>
                <w:rFonts w:ascii="宋体"/>
                <w:vanish/>
              </w:rPr>
            </w:pPr>
          </w:p>
        </w:tc>
        <w:tc>
          <w:tcPr>
            <w:tcW w:w="0" w:type="auto"/>
            <w:gridSpan w:val="3"/>
            <w:shd w:val="clear" w:color="auto" w:fill="auto"/>
            <w:vAlign w:val="bottom"/>
          </w:tcPr>
          <w:p w14:paraId="71D471C2" w14:textId="77777777" w:rsidR="006A3667" w:rsidRDefault="006A3667">
            <w:pPr>
              <w:rPr>
                <w:rFonts w:ascii="宋体"/>
                <w:vanish/>
              </w:rPr>
            </w:pPr>
          </w:p>
        </w:tc>
      </w:tr>
      <w:tr w:rsidR="006A3667" w14:paraId="71D471CA" w14:textId="77777777">
        <w:trPr>
          <w:hidden/>
        </w:trPr>
        <w:tc>
          <w:tcPr>
            <w:tcW w:w="0" w:type="auto"/>
            <w:gridSpan w:val="3"/>
            <w:shd w:val="clear" w:color="auto" w:fill="auto"/>
            <w:vAlign w:val="bottom"/>
          </w:tcPr>
          <w:p w14:paraId="71D471C4" w14:textId="77777777" w:rsidR="006A3667" w:rsidRDefault="006A3667">
            <w:pPr>
              <w:rPr>
                <w:rFonts w:ascii="宋体"/>
                <w:vanish/>
              </w:rPr>
            </w:pPr>
          </w:p>
        </w:tc>
        <w:tc>
          <w:tcPr>
            <w:tcW w:w="0" w:type="auto"/>
            <w:gridSpan w:val="3"/>
            <w:shd w:val="clear" w:color="auto" w:fill="auto"/>
            <w:vAlign w:val="bottom"/>
          </w:tcPr>
          <w:p w14:paraId="71D471C5" w14:textId="77777777" w:rsidR="006A3667" w:rsidRDefault="006A3667">
            <w:pPr>
              <w:rPr>
                <w:rFonts w:ascii="宋体"/>
                <w:vanish/>
              </w:rPr>
            </w:pPr>
          </w:p>
        </w:tc>
        <w:tc>
          <w:tcPr>
            <w:tcW w:w="0" w:type="auto"/>
            <w:gridSpan w:val="3"/>
            <w:shd w:val="clear" w:color="auto" w:fill="auto"/>
            <w:vAlign w:val="bottom"/>
          </w:tcPr>
          <w:p w14:paraId="71D471C6" w14:textId="77777777" w:rsidR="006A3667" w:rsidRDefault="006A3667">
            <w:pPr>
              <w:rPr>
                <w:rFonts w:ascii="宋体"/>
                <w:vanish/>
              </w:rPr>
            </w:pPr>
          </w:p>
        </w:tc>
        <w:tc>
          <w:tcPr>
            <w:tcW w:w="0" w:type="auto"/>
            <w:gridSpan w:val="3"/>
            <w:shd w:val="clear" w:color="auto" w:fill="auto"/>
            <w:vAlign w:val="bottom"/>
          </w:tcPr>
          <w:p w14:paraId="71D471C7" w14:textId="77777777" w:rsidR="006A3667" w:rsidRDefault="006A3667">
            <w:pPr>
              <w:rPr>
                <w:rFonts w:ascii="宋体"/>
                <w:vanish/>
              </w:rPr>
            </w:pPr>
          </w:p>
        </w:tc>
        <w:tc>
          <w:tcPr>
            <w:tcW w:w="0" w:type="auto"/>
            <w:gridSpan w:val="3"/>
            <w:shd w:val="clear" w:color="auto" w:fill="auto"/>
            <w:vAlign w:val="bottom"/>
          </w:tcPr>
          <w:p w14:paraId="71D471C8" w14:textId="77777777" w:rsidR="006A3667" w:rsidRDefault="006A3667">
            <w:pPr>
              <w:rPr>
                <w:rFonts w:ascii="宋体"/>
                <w:vanish/>
              </w:rPr>
            </w:pPr>
          </w:p>
        </w:tc>
        <w:tc>
          <w:tcPr>
            <w:tcW w:w="0" w:type="auto"/>
            <w:gridSpan w:val="3"/>
            <w:shd w:val="clear" w:color="auto" w:fill="auto"/>
            <w:vAlign w:val="bottom"/>
          </w:tcPr>
          <w:p w14:paraId="71D471C9" w14:textId="77777777" w:rsidR="006A3667" w:rsidRDefault="006A3667">
            <w:pPr>
              <w:rPr>
                <w:rFonts w:ascii="宋体"/>
                <w:vanish/>
              </w:rPr>
            </w:pPr>
          </w:p>
        </w:tc>
      </w:tr>
      <w:tr w:rsidR="006A3667" w14:paraId="71D471D1" w14:textId="77777777">
        <w:trPr>
          <w:hidden/>
        </w:trPr>
        <w:tc>
          <w:tcPr>
            <w:tcW w:w="0" w:type="auto"/>
            <w:gridSpan w:val="3"/>
            <w:shd w:val="clear" w:color="auto" w:fill="auto"/>
            <w:vAlign w:val="bottom"/>
          </w:tcPr>
          <w:p w14:paraId="71D471CB" w14:textId="77777777" w:rsidR="006A3667" w:rsidRDefault="006A3667">
            <w:pPr>
              <w:rPr>
                <w:rFonts w:ascii="宋体"/>
                <w:vanish/>
              </w:rPr>
            </w:pPr>
          </w:p>
        </w:tc>
        <w:tc>
          <w:tcPr>
            <w:tcW w:w="0" w:type="auto"/>
            <w:gridSpan w:val="3"/>
            <w:shd w:val="clear" w:color="auto" w:fill="auto"/>
            <w:vAlign w:val="bottom"/>
          </w:tcPr>
          <w:p w14:paraId="71D471CC" w14:textId="77777777" w:rsidR="006A3667" w:rsidRDefault="006A3667">
            <w:pPr>
              <w:rPr>
                <w:rFonts w:ascii="宋体"/>
                <w:vanish/>
              </w:rPr>
            </w:pPr>
          </w:p>
        </w:tc>
        <w:tc>
          <w:tcPr>
            <w:tcW w:w="0" w:type="auto"/>
            <w:gridSpan w:val="3"/>
            <w:shd w:val="clear" w:color="auto" w:fill="auto"/>
            <w:vAlign w:val="bottom"/>
          </w:tcPr>
          <w:p w14:paraId="71D471CD" w14:textId="77777777" w:rsidR="006A3667" w:rsidRDefault="006A3667">
            <w:pPr>
              <w:rPr>
                <w:rFonts w:ascii="宋体"/>
                <w:vanish/>
              </w:rPr>
            </w:pPr>
          </w:p>
        </w:tc>
        <w:tc>
          <w:tcPr>
            <w:tcW w:w="0" w:type="auto"/>
            <w:gridSpan w:val="3"/>
            <w:shd w:val="clear" w:color="auto" w:fill="auto"/>
            <w:vAlign w:val="bottom"/>
          </w:tcPr>
          <w:p w14:paraId="71D471CE" w14:textId="77777777" w:rsidR="006A3667" w:rsidRDefault="006A3667">
            <w:pPr>
              <w:rPr>
                <w:rFonts w:ascii="宋体"/>
                <w:vanish/>
              </w:rPr>
            </w:pPr>
          </w:p>
        </w:tc>
        <w:tc>
          <w:tcPr>
            <w:tcW w:w="0" w:type="auto"/>
            <w:gridSpan w:val="3"/>
            <w:shd w:val="clear" w:color="auto" w:fill="auto"/>
            <w:vAlign w:val="bottom"/>
          </w:tcPr>
          <w:p w14:paraId="71D471CF" w14:textId="77777777" w:rsidR="006A3667" w:rsidRDefault="006A3667">
            <w:pPr>
              <w:rPr>
                <w:rFonts w:ascii="宋体"/>
                <w:vanish/>
              </w:rPr>
            </w:pPr>
          </w:p>
        </w:tc>
        <w:tc>
          <w:tcPr>
            <w:tcW w:w="0" w:type="auto"/>
            <w:gridSpan w:val="3"/>
            <w:shd w:val="clear" w:color="auto" w:fill="auto"/>
            <w:vAlign w:val="bottom"/>
          </w:tcPr>
          <w:p w14:paraId="71D471D0" w14:textId="77777777" w:rsidR="006A3667" w:rsidRDefault="006A3667">
            <w:pPr>
              <w:rPr>
                <w:rFonts w:ascii="宋体"/>
                <w:vanish/>
              </w:rPr>
            </w:pPr>
          </w:p>
        </w:tc>
      </w:tr>
    </w:tbl>
    <w:p w14:paraId="71D471D2" w14:textId="77777777" w:rsidR="006A3667" w:rsidRDefault="006A3667">
      <w:pPr>
        <w:rPr>
          <w:vanish/>
        </w:rPr>
      </w:pPr>
    </w:p>
    <w:tbl>
      <w:tblPr>
        <w:tblW w:w="236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537"/>
        <w:gridCol w:w="36"/>
      </w:tblGrid>
      <w:tr w:rsidR="006A3667" w14:paraId="71D471D9" w14:textId="77777777">
        <w:tc>
          <w:tcPr>
            <w:tcW w:w="50" w:type="pct"/>
            <w:shd w:val="clear" w:color="auto" w:fill="auto"/>
            <w:vAlign w:val="bottom"/>
          </w:tcPr>
          <w:p w14:paraId="71D471D3" w14:textId="77777777" w:rsidR="006A3667" w:rsidRDefault="006A3667">
            <w:pPr>
              <w:rPr>
                <w:rFonts w:ascii="宋体"/>
              </w:rPr>
            </w:pPr>
          </w:p>
        </w:tc>
        <w:tc>
          <w:tcPr>
            <w:tcW w:w="2907" w:type="pct"/>
            <w:shd w:val="clear" w:color="auto" w:fill="auto"/>
            <w:vAlign w:val="bottom"/>
          </w:tcPr>
          <w:p w14:paraId="71D471D4" w14:textId="77777777" w:rsidR="006A3667" w:rsidRDefault="006A3667">
            <w:pPr>
              <w:rPr>
                <w:rFonts w:ascii="宋体"/>
              </w:rPr>
            </w:pPr>
          </w:p>
        </w:tc>
        <w:tc>
          <w:tcPr>
            <w:tcW w:w="5" w:type="pct"/>
            <w:shd w:val="clear" w:color="auto" w:fill="auto"/>
            <w:vAlign w:val="bottom"/>
          </w:tcPr>
          <w:p w14:paraId="71D471D5" w14:textId="77777777" w:rsidR="006A3667" w:rsidRDefault="006A3667">
            <w:pPr>
              <w:rPr>
                <w:rFonts w:ascii="宋体"/>
              </w:rPr>
            </w:pPr>
          </w:p>
        </w:tc>
        <w:tc>
          <w:tcPr>
            <w:tcW w:w="50" w:type="pct"/>
            <w:shd w:val="clear" w:color="auto" w:fill="auto"/>
            <w:vAlign w:val="bottom"/>
          </w:tcPr>
          <w:p w14:paraId="71D471D6" w14:textId="77777777" w:rsidR="006A3667" w:rsidRDefault="006A3667">
            <w:pPr>
              <w:rPr>
                <w:rFonts w:ascii="宋体"/>
              </w:rPr>
            </w:pPr>
          </w:p>
        </w:tc>
        <w:tc>
          <w:tcPr>
            <w:tcW w:w="1982" w:type="pct"/>
            <w:shd w:val="clear" w:color="auto" w:fill="auto"/>
            <w:vAlign w:val="bottom"/>
          </w:tcPr>
          <w:p w14:paraId="71D471D7" w14:textId="77777777" w:rsidR="006A3667" w:rsidRDefault="006A3667">
            <w:pPr>
              <w:rPr>
                <w:rFonts w:ascii="宋体"/>
              </w:rPr>
            </w:pPr>
          </w:p>
        </w:tc>
        <w:tc>
          <w:tcPr>
            <w:tcW w:w="5" w:type="pct"/>
            <w:shd w:val="clear" w:color="auto" w:fill="auto"/>
            <w:vAlign w:val="bottom"/>
          </w:tcPr>
          <w:p w14:paraId="71D471D8" w14:textId="77777777" w:rsidR="006A3667" w:rsidRDefault="006A3667">
            <w:pPr>
              <w:rPr>
                <w:rFonts w:ascii="宋体"/>
              </w:rPr>
            </w:pPr>
          </w:p>
        </w:tc>
      </w:tr>
      <w:tr w:rsidR="006A3667" w14:paraId="71D471D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1D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1DB" w14:textId="77777777" w:rsidR="006A3667" w:rsidRDefault="006A3667">
            <w:pPr>
              <w:rPr>
                <w:rFonts w:ascii="宋体"/>
              </w:rPr>
            </w:pPr>
          </w:p>
        </w:tc>
      </w:tr>
    </w:tbl>
    <w:p w14:paraId="71D471DD" w14:textId="77777777" w:rsidR="006A3667" w:rsidRDefault="00045F32">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acquisitions of the depositary bank and fund administrator activities of Fideuram Bank Luxembourg, a subsidiary of Intesa Sanpaolo, in the first quarter of 2021, with a total purchase price of approximately EUR 220 millio</w:t>
      </w:r>
      <w:r>
        <w:rPr>
          <w:rFonts w:ascii="Arial" w:eastAsia="宋体" w:hAnsi="Arial" w:cs="Arial"/>
          <w:color w:val="000000"/>
          <w:sz w:val="13"/>
          <w:szCs w:val="13"/>
        </w:rPr>
        <w:t>n or approximately $258 million, and our acquisition of Mercatus, Inc. in the third quarter of 2021, with a total purchase price of approximately $88 million. We accounted for these acquisitions as business combinations and, in accordance with ASC Topic 80</w:t>
      </w:r>
      <w:r>
        <w:rPr>
          <w:rFonts w:ascii="Arial" w:eastAsia="宋体" w:hAnsi="Arial" w:cs="Arial"/>
          <w:color w:val="000000"/>
          <w:sz w:val="13"/>
          <w:szCs w:val="13"/>
        </w:rPr>
        <w:t xml:space="preserve">5, Business Combinations, we have recorded assets acquired and liabilities assumed at their respective fair values as of the acquisition date. </w:t>
      </w:r>
    </w:p>
    <w:p w14:paraId="71D471DE" w14:textId="77777777" w:rsidR="006A3667" w:rsidRDefault="00045F32">
      <w:pPr>
        <w:spacing w:before="90"/>
        <w:jc w:val="both"/>
      </w:pPr>
      <w:r>
        <w:rPr>
          <w:rFonts w:ascii="Arial" w:eastAsia="宋体" w:hAnsi="Arial" w:cs="Arial"/>
          <w:color w:val="000000"/>
          <w:sz w:val="8"/>
          <w:szCs w:val="8"/>
        </w:rPr>
        <w:t xml:space="preserve">(2) </w:t>
      </w:r>
      <w:r>
        <w:rPr>
          <w:rFonts w:ascii="Arial" w:eastAsia="宋体" w:hAnsi="Arial" w:cs="Arial"/>
          <w:color w:val="000000"/>
          <w:sz w:val="13"/>
          <w:szCs w:val="13"/>
        </w:rPr>
        <w:t xml:space="preserve">In the second quarter of 2021, we sold a majority share of our WMS business. </w:t>
      </w:r>
    </w:p>
    <w:p w14:paraId="71D471DF" w14:textId="77777777" w:rsidR="006A3667" w:rsidRDefault="006A3667">
      <w:pPr>
        <w:ind w:hanging="360"/>
        <w:jc w:val="both"/>
      </w:pPr>
    </w:p>
    <w:p w14:paraId="71D471E0" w14:textId="77777777" w:rsidR="006A3667" w:rsidRDefault="00045F32">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75</w:t>
      </w:r>
    </w:p>
    <w:p w14:paraId="71D471E1" w14:textId="77777777" w:rsidR="006A3667" w:rsidRDefault="006A3667">
      <w:pPr>
        <w:ind w:firstLine="450"/>
        <w:jc w:val="center"/>
      </w:pPr>
    </w:p>
    <w:p w14:paraId="71D471E2" w14:textId="77777777" w:rsidR="006A3667" w:rsidRDefault="00045F32">
      <w:r>
        <w:pict w14:anchorId="71D4AC5F">
          <v:rect id="_x0000_i1099" style="width:415.3pt;height:1.5pt" o:hralign="center" o:hrstd="t" o:hr="t" fillcolor="#a0a0a0" stroked="f"/>
        </w:pict>
      </w:r>
    </w:p>
    <w:p w14:paraId="71D471E3" w14:textId="77777777" w:rsidR="006A3667" w:rsidRDefault="00045F32">
      <w:pPr>
        <w:ind w:firstLine="450"/>
        <w:jc w:val="center"/>
      </w:pPr>
      <w:r>
        <w:rPr>
          <w:rFonts w:ascii="Arial" w:eastAsia="宋体" w:hAnsi="Arial" w:cs="Arial"/>
          <w:b/>
          <w:bCs/>
          <w:color w:val="000000"/>
          <w:sz w:val="20"/>
          <w:szCs w:val="20"/>
        </w:rPr>
        <w:t>STATE STREET CORPORATION</w:t>
      </w:r>
    </w:p>
    <w:p w14:paraId="71D471E4"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71E5" w14:textId="77777777" w:rsidR="006A3667" w:rsidRDefault="00045F32">
      <w:pPr>
        <w:ind w:firstLine="450"/>
        <w:jc w:val="center"/>
      </w:pPr>
      <w:r>
        <w:rPr>
          <w:rFonts w:ascii="Arial" w:eastAsia="宋体" w:hAnsi="Arial" w:cs="Arial"/>
          <w:b/>
          <w:bCs/>
          <w:color w:val="000000"/>
          <w:sz w:val="20"/>
          <w:szCs w:val="20"/>
        </w:rPr>
        <w:t>(UNAUDITED)</w:t>
      </w:r>
    </w:p>
    <w:p w14:paraId="71D471E6" w14:textId="77777777" w:rsidR="006A3667" w:rsidRDefault="00045F32">
      <w:pPr>
        <w:spacing w:before="60"/>
        <w:ind w:firstLine="450"/>
        <w:jc w:val="both"/>
      </w:pPr>
      <w:r>
        <w:rPr>
          <w:rFonts w:ascii="Arial" w:eastAsia="宋体" w:hAnsi="Arial" w:cs="Arial"/>
          <w:color w:val="000000"/>
          <w:sz w:val="20"/>
          <w:szCs w:val="20"/>
        </w:rPr>
        <w:t>The following table presents changes in the net carrying amount of other intangible assets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4466"/>
        <w:gridCol w:w="38"/>
        <w:gridCol w:w="99"/>
        <w:gridCol w:w="1076"/>
        <w:gridCol w:w="36"/>
        <w:gridCol w:w="36"/>
        <w:gridCol w:w="36"/>
        <w:gridCol w:w="36"/>
        <w:gridCol w:w="99"/>
        <w:gridCol w:w="1046"/>
        <w:gridCol w:w="36"/>
        <w:gridCol w:w="36"/>
        <w:gridCol w:w="36"/>
        <w:gridCol w:w="36"/>
        <w:gridCol w:w="98"/>
        <w:gridCol w:w="1046"/>
        <w:gridCol w:w="36"/>
      </w:tblGrid>
      <w:tr w:rsidR="006A3667" w14:paraId="71D471F9" w14:textId="77777777">
        <w:tc>
          <w:tcPr>
            <w:tcW w:w="50" w:type="pct"/>
            <w:shd w:val="clear" w:color="auto" w:fill="auto"/>
            <w:vAlign w:val="bottom"/>
          </w:tcPr>
          <w:p w14:paraId="71D471E7" w14:textId="77777777" w:rsidR="006A3667" w:rsidRDefault="006A3667">
            <w:pPr>
              <w:rPr>
                <w:rFonts w:ascii="宋体"/>
              </w:rPr>
            </w:pPr>
          </w:p>
        </w:tc>
        <w:tc>
          <w:tcPr>
            <w:tcW w:w="2700" w:type="pct"/>
            <w:shd w:val="clear" w:color="auto" w:fill="auto"/>
            <w:vAlign w:val="bottom"/>
          </w:tcPr>
          <w:p w14:paraId="71D471E8" w14:textId="77777777" w:rsidR="006A3667" w:rsidRDefault="006A3667">
            <w:pPr>
              <w:rPr>
                <w:rFonts w:ascii="宋体"/>
              </w:rPr>
            </w:pPr>
          </w:p>
        </w:tc>
        <w:tc>
          <w:tcPr>
            <w:tcW w:w="5" w:type="pct"/>
            <w:shd w:val="clear" w:color="auto" w:fill="auto"/>
            <w:vAlign w:val="bottom"/>
          </w:tcPr>
          <w:p w14:paraId="71D471E9" w14:textId="77777777" w:rsidR="006A3667" w:rsidRDefault="006A3667">
            <w:pPr>
              <w:rPr>
                <w:rFonts w:ascii="宋体"/>
              </w:rPr>
            </w:pPr>
          </w:p>
        </w:tc>
        <w:tc>
          <w:tcPr>
            <w:tcW w:w="50" w:type="pct"/>
            <w:shd w:val="clear" w:color="auto" w:fill="auto"/>
            <w:vAlign w:val="bottom"/>
          </w:tcPr>
          <w:p w14:paraId="71D471EA" w14:textId="77777777" w:rsidR="006A3667" w:rsidRDefault="006A3667">
            <w:pPr>
              <w:rPr>
                <w:rFonts w:ascii="宋体"/>
              </w:rPr>
            </w:pPr>
          </w:p>
        </w:tc>
        <w:tc>
          <w:tcPr>
            <w:tcW w:w="668" w:type="pct"/>
            <w:shd w:val="clear" w:color="auto" w:fill="auto"/>
            <w:vAlign w:val="bottom"/>
          </w:tcPr>
          <w:p w14:paraId="71D471EB" w14:textId="77777777" w:rsidR="006A3667" w:rsidRDefault="006A3667">
            <w:pPr>
              <w:rPr>
                <w:rFonts w:ascii="宋体"/>
              </w:rPr>
            </w:pPr>
          </w:p>
        </w:tc>
        <w:tc>
          <w:tcPr>
            <w:tcW w:w="5" w:type="pct"/>
            <w:shd w:val="clear" w:color="auto" w:fill="auto"/>
            <w:vAlign w:val="bottom"/>
          </w:tcPr>
          <w:p w14:paraId="71D471EC" w14:textId="77777777" w:rsidR="006A3667" w:rsidRDefault="006A3667">
            <w:pPr>
              <w:rPr>
                <w:rFonts w:ascii="宋体"/>
              </w:rPr>
            </w:pPr>
          </w:p>
        </w:tc>
        <w:tc>
          <w:tcPr>
            <w:tcW w:w="5" w:type="pct"/>
            <w:shd w:val="clear" w:color="auto" w:fill="auto"/>
            <w:vAlign w:val="bottom"/>
          </w:tcPr>
          <w:p w14:paraId="71D471ED" w14:textId="77777777" w:rsidR="006A3667" w:rsidRDefault="006A3667">
            <w:pPr>
              <w:rPr>
                <w:rFonts w:ascii="宋体"/>
              </w:rPr>
            </w:pPr>
          </w:p>
        </w:tc>
        <w:tc>
          <w:tcPr>
            <w:tcW w:w="26" w:type="pct"/>
            <w:shd w:val="clear" w:color="auto" w:fill="auto"/>
            <w:vAlign w:val="bottom"/>
          </w:tcPr>
          <w:p w14:paraId="71D471EE" w14:textId="77777777" w:rsidR="006A3667" w:rsidRDefault="006A3667">
            <w:pPr>
              <w:rPr>
                <w:rFonts w:ascii="宋体"/>
              </w:rPr>
            </w:pPr>
          </w:p>
        </w:tc>
        <w:tc>
          <w:tcPr>
            <w:tcW w:w="5" w:type="pct"/>
            <w:shd w:val="clear" w:color="auto" w:fill="auto"/>
            <w:vAlign w:val="bottom"/>
          </w:tcPr>
          <w:p w14:paraId="71D471EF" w14:textId="77777777" w:rsidR="006A3667" w:rsidRDefault="006A3667">
            <w:pPr>
              <w:rPr>
                <w:rFonts w:ascii="宋体"/>
              </w:rPr>
            </w:pPr>
          </w:p>
        </w:tc>
        <w:tc>
          <w:tcPr>
            <w:tcW w:w="50" w:type="pct"/>
            <w:shd w:val="clear" w:color="auto" w:fill="auto"/>
            <w:vAlign w:val="bottom"/>
          </w:tcPr>
          <w:p w14:paraId="71D471F0" w14:textId="77777777" w:rsidR="006A3667" w:rsidRDefault="006A3667">
            <w:pPr>
              <w:rPr>
                <w:rFonts w:ascii="宋体"/>
              </w:rPr>
            </w:pPr>
          </w:p>
        </w:tc>
        <w:tc>
          <w:tcPr>
            <w:tcW w:w="668" w:type="pct"/>
            <w:shd w:val="clear" w:color="auto" w:fill="auto"/>
            <w:vAlign w:val="bottom"/>
          </w:tcPr>
          <w:p w14:paraId="71D471F1" w14:textId="77777777" w:rsidR="006A3667" w:rsidRDefault="006A3667">
            <w:pPr>
              <w:rPr>
                <w:rFonts w:ascii="宋体"/>
              </w:rPr>
            </w:pPr>
          </w:p>
        </w:tc>
        <w:tc>
          <w:tcPr>
            <w:tcW w:w="5" w:type="pct"/>
            <w:shd w:val="clear" w:color="auto" w:fill="auto"/>
            <w:vAlign w:val="bottom"/>
          </w:tcPr>
          <w:p w14:paraId="71D471F2" w14:textId="77777777" w:rsidR="006A3667" w:rsidRDefault="006A3667">
            <w:pPr>
              <w:rPr>
                <w:rFonts w:ascii="宋体"/>
              </w:rPr>
            </w:pPr>
          </w:p>
        </w:tc>
        <w:tc>
          <w:tcPr>
            <w:tcW w:w="5" w:type="pct"/>
            <w:shd w:val="clear" w:color="auto" w:fill="auto"/>
            <w:vAlign w:val="bottom"/>
          </w:tcPr>
          <w:p w14:paraId="71D471F3" w14:textId="77777777" w:rsidR="006A3667" w:rsidRDefault="006A3667">
            <w:pPr>
              <w:rPr>
                <w:rFonts w:ascii="宋体"/>
              </w:rPr>
            </w:pPr>
          </w:p>
        </w:tc>
        <w:tc>
          <w:tcPr>
            <w:tcW w:w="26" w:type="pct"/>
            <w:shd w:val="clear" w:color="auto" w:fill="auto"/>
            <w:vAlign w:val="bottom"/>
          </w:tcPr>
          <w:p w14:paraId="71D471F4" w14:textId="77777777" w:rsidR="006A3667" w:rsidRDefault="006A3667">
            <w:pPr>
              <w:rPr>
                <w:rFonts w:ascii="宋体"/>
              </w:rPr>
            </w:pPr>
          </w:p>
        </w:tc>
        <w:tc>
          <w:tcPr>
            <w:tcW w:w="5" w:type="pct"/>
            <w:shd w:val="clear" w:color="auto" w:fill="auto"/>
            <w:vAlign w:val="bottom"/>
          </w:tcPr>
          <w:p w14:paraId="71D471F5" w14:textId="77777777" w:rsidR="006A3667" w:rsidRDefault="006A3667">
            <w:pPr>
              <w:rPr>
                <w:rFonts w:ascii="宋体"/>
              </w:rPr>
            </w:pPr>
          </w:p>
        </w:tc>
        <w:tc>
          <w:tcPr>
            <w:tcW w:w="50" w:type="pct"/>
            <w:shd w:val="clear" w:color="auto" w:fill="auto"/>
            <w:vAlign w:val="bottom"/>
          </w:tcPr>
          <w:p w14:paraId="71D471F6" w14:textId="77777777" w:rsidR="006A3667" w:rsidRDefault="006A3667">
            <w:pPr>
              <w:rPr>
                <w:rFonts w:ascii="宋体"/>
              </w:rPr>
            </w:pPr>
          </w:p>
        </w:tc>
        <w:tc>
          <w:tcPr>
            <w:tcW w:w="668" w:type="pct"/>
            <w:shd w:val="clear" w:color="auto" w:fill="auto"/>
            <w:vAlign w:val="bottom"/>
          </w:tcPr>
          <w:p w14:paraId="71D471F7" w14:textId="77777777" w:rsidR="006A3667" w:rsidRDefault="006A3667">
            <w:pPr>
              <w:rPr>
                <w:rFonts w:ascii="宋体"/>
              </w:rPr>
            </w:pPr>
          </w:p>
        </w:tc>
        <w:tc>
          <w:tcPr>
            <w:tcW w:w="5" w:type="pct"/>
            <w:shd w:val="clear" w:color="auto" w:fill="auto"/>
            <w:vAlign w:val="bottom"/>
          </w:tcPr>
          <w:p w14:paraId="71D471F8" w14:textId="77777777" w:rsidR="006A3667" w:rsidRDefault="006A3667">
            <w:pPr>
              <w:rPr>
                <w:rFonts w:ascii="宋体"/>
              </w:rPr>
            </w:pPr>
          </w:p>
        </w:tc>
      </w:tr>
      <w:tr w:rsidR="006A3667" w14:paraId="71D47200" w14:textId="77777777">
        <w:tc>
          <w:tcPr>
            <w:tcW w:w="0" w:type="auto"/>
            <w:gridSpan w:val="3"/>
            <w:shd w:val="clear" w:color="auto" w:fill="auto"/>
            <w:tcMar>
              <w:top w:w="40" w:type="dxa"/>
              <w:left w:w="20" w:type="dxa"/>
              <w:bottom w:w="40" w:type="dxa"/>
              <w:right w:w="20" w:type="dxa"/>
            </w:tcMar>
            <w:vAlign w:val="bottom"/>
          </w:tcPr>
          <w:p w14:paraId="71D471FA" w14:textId="77777777" w:rsidR="006A3667" w:rsidRDefault="00045F32">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shd w:val="clear" w:color="auto" w:fill="auto"/>
            <w:tcMar>
              <w:top w:w="40" w:type="dxa"/>
              <w:left w:w="20" w:type="dxa"/>
              <w:bottom w:w="40" w:type="dxa"/>
              <w:right w:w="20" w:type="dxa"/>
            </w:tcMar>
            <w:vAlign w:val="bottom"/>
          </w:tcPr>
          <w:p w14:paraId="71D471FB" w14:textId="77777777" w:rsidR="006A3667" w:rsidRDefault="00045F32">
            <w:pPr>
              <w:jc w:val="center"/>
              <w:textAlignment w:val="bottom"/>
            </w:pPr>
            <w:r>
              <w:rPr>
                <w:rFonts w:ascii="Arial" w:eastAsia="宋体" w:hAnsi="Arial" w:cs="Arial"/>
                <w:b/>
                <w:bCs/>
                <w:color w:val="000000"/>
                <w:sz w:val="14"/>
                <w:szCs w:val="14"/>
              </w:rPr>
              <w:t>Investment Servicing</w:t>
            </w:r>
          </w:p>
        </w:tc>
        <w:tc>
          <w:tcPr>
            <w:tcW w:w="0" w:type="auto"/>
            <w:gridSpan w:val="3"/>
            <w:shd w:val="clear" w:color="auto" w:fill="auto"/>
            <w:tcMar>
              <w:top w:w="0" w:type="dxa"/>
              <w:left w:w="20" w:type="dxa"/>
              <w:bottom w:w="0" w:type="dxa"/>
              <w:right w:w="20" w:type="dxa"/>
            </w:tcMar>
            <w:vAlign w:val="bottom"/>
          </w:tcPr>
          <w:p w14:paraId="71D471F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1FD" w14:textId="77777777" w:rsidR="006A3667" w:rsidRDefault="00045F32">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shd w:val="clear" w:color="auto" w:fill="auto"/>
            <w:tcMar>
              <w:top w:w="0" w:type="dxa"/>
              <w:left w:w="20" w:type="dxa"/>
              <w:bottom w:w="0" w:type="dxa"/>
              <w:right w:w="20" w:type="dxa"/>
            </w:tcMar>
            <w:vAlign w:val="bottom"/>
          </w:tcPr>
          <w:p w14:paraId="71D471F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1FF"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7207" w14:textId="77777777">
        <w:tc>
          <w:tcPr>
            <w:tcW w:w="0" w:type="auto"/>
            <w:gridSpan w:val="3"/>
            <w:shd w:val="clear" w:color="auto" w:fill="auto"/>
            <w:tcMar>
              <w:top w:w="40" w:type="dxa"/>
              <w:left w:w="20" w:type="dxa"/>
              <w:bottom w:w="40" w:type="dxa"/>
              <w:right w:w="20" w:type="dxa"/>
            </w:tcMar>
            <w:vAlign w:val="bottom"/>
          </w:tcPr>
          <w:p w14:paraId="71D47201" w14:textId="77777777" w:rsidR="006A3667" w:rsidRDefault="00045F32">
            <w:pPr>
              <w:textAlignment w:val="bottom"/>
            </w:pPr>
            <w:r>
              <w:rPr>
                <w:rFonts w:ascii="Arial" w:eastAsia="宋体" w:hAnsi="Arial" w:cs="Arial"/>
                <w:b/>
                <w:bCs/>
                <w:color w:val="000000"/>
                <w:sz w:val="14"/>
                <w:szCs w:val="14"/>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20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20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20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20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206" w14:textId="77777777" w:rsidR="006A3667" w:rsidRDefault="006A3667">
            <w:pPr>
              <w:rPr>
                <w:rFonts w:ascii="宋体"/>
              </w:rPr>
            </w:pPr>
          </w:p>
        </w:tc>
      </w:tr>
      <w:tr w:rsidR="006A3667" w14:paraId="71D4720E" w14:textId="77777777">
        <w:trPr>
          <w:hidden/>
        </w:trPr>
        <w:tc>
          <w:tcPr>
            <w:tcW w:w="0" w:type="auto"/>
            <w:gridSpan w:val="3"/>
            <w:shd w:val="clear" w:color="auto" w:fill="auto"/>
            <w:vAlign w:val="bottom"/>
          </w:tcPr>
          <w:p w14:paraId="71D47208" w14:textId="77777777" w:rsidR="006A3667" w:rsidRDefault="006A3667">
            <w:pPr>
              <w:rPr>
                <w:rFonts w:ascii="宋体"/>
                <w:vanish/>
              </w:rPr>
            </w:pPr>
          </w:p>
        </w:tc>
        <w:tc>
          <w:tcPr>
            <w:tcW w:w="0" w:type="auto"/>
            <w:gridSpan w:val="3"/>
            <w:shd w:val="clear" w:color="auto" w:fill="auto"/>
            <w:vAlign w:val="bottom"/>
          </w:tcPr>
          <w:p w14:paraId="71D47209" w14:textId="77777777" w:rsidR="006A3667" w:rsidRDefault="006A3667">
            <w:pPr>
              <w:rPr>
                <w:rFonts w:ascii="宋体"/>
                <w:vanish/>
              </w:rPr>
            </w:pPr>
          </w:p>
        </w:tc>
        <w:tc>
          <w:tcPr>
            <w:tcW w:w="0" w:type="auto"/>
            <w:gridSpan w:val="3"/>
            <w:shd w:val="clear" w:color="auto" w:fill="auto"/>
            <w:vAlign w:val="bottom"/>
          </w:tcPr>
          <w:p w14:paraId="71D4720A" w14:textId="77777777" w:rsidR="006A3667" w:rsidRDefault="006A3667">
            <w:pPr>
              <w:rPr>
                <w:rFonts w:ascii="宋体"/>
                <w:vanish/>
              </w:rPr>
            </w:pPr>
          </w:p>
        </w:tc>
        <w:tc>
          <w:tcPr>
            <w:tcW w:w="0" w:type="auto"/>
            <w:gridSpan w:val="3"/>
            <w:shd w:val="clear" w:color="auto" w:fill="auto"/>
            <w:vAlign w:val="bottom"/>
          </w:tcPr>
          <w:p w14:paraId="71D4720B" w14:textId="77777777" w:rsidR="006A3667" w:rsidRDefault="006A3667">
            <w:pPr>
              <w:rPr>
                <w:rFonts w:ascii="宋体"/>
                <w:vanish/>
              </w:rPr>
            </w:pPr>
          </w:p>
        </w:tc>
        <w:tc>
          <w:tcPr>
            <w:tcW w:w="0" w:type="auto"/>
            <w:gridSpan w:val="3"/>
            <w:shd w:val="clear" w:color="auto" w:fill="auto"/>
            <w:vAlign w:val="bottom"/>
          </w:tcPr>
          <w:p w14:paraId="71D4720C" w14:textId="77777777" w:rsidR="006A3667" w:rsidRDefault="006A3667">
            <w:pPr>
              <w:rPr>
                <w:rFonts w:ascii="宋体"/>
                <w:vanish/>
              </w:rPr>
            </w:pPr>
          </w:p>
        </w:tc>
        <w:tc>
          <w:tcPr>
            <w:tcW w:w="0" w:type="auto"/>
            <w:gridSpan w:val="3"/>
            <w:shd w:val="clear" w:color="auto" w:fill="auto"/>
            <w:vAlign w:val="bottom"/>
          </w:tcPr>
          <w:p w14:paraId="71D4720D" w14:textId="77777777" w:rsidR="006A3667" w:rsidRDefault="006A3667">
            <w:pPr>
              <w:rPr>
                <w:rFonts w:ascii="宋体"/>
                <w:vanish/>
              </w:rPr>
            </w:pPr>
          </w:p>
        </w:tc>
      </w:tr>
      <w:tr w:rsidR="006A3667" w14:paraId="71D47215" w14:textId="77777777">
        <w:trPr>
          <w:hidden/>
        </w:trPr>
        <w:tc>
          <w:tcPr>
            <w:tcW w:w="0" w:type="auto"/>
            <w:gridSpan w:val="3"/>
            <w:shd w:val="clear" w:color="auto" w:fill="auto"/>
            <w:vAlign w:val="bottom"/>
          </w:tcPr>
          <w:p w14:paraId="71D4720F" w14:textId="77777777" w:rsidR="006A3667" w:rsidRDefault="006A3667">
            <w:pPr>
              <w:rPr>
                <w:rFonts w:ascii="宋体"/>
                <w:vanish/>
              </w:rPr>
            </w:pPr>
          </w:p>
        </w:tc>
        <w:tc>
          <w:tcPr>
            <w:tcW w:w="0" w:type="auto"/>
            <w:gridSpan w:val="3"/>
            <w:shd w:val="clear" w:color="auto" w:fill="auto"/>
            <w:vAlign w:val="bottom"/>
          </w:tcPr>
          <w:p w14:paraId="71D47210" w14:textId="77777777" w:rsidR="006A3667" w:rsidRDefault="006A3667">
            <w:pPr>
              <w:rPr>
                <w:rFonts w:ascii="宋体"/>
                <w:vanish/>
              </w:rPr>
            </w:pPr>
          </w:p>
        </w:tc>
        <w:tc>
          <w:tcPr>
            <w:tcW w:w="0" w:type="auto"/>
            <w:gridSpan w:val="3"/>
            <w:shd w:val="clear" w:color="auto" w:fill="auto"/>
            <w:vAlign w:val="bottom"/>
          </w:tcPr>
          <w:p w14:paraId="71D47211" w14:textId="77777777" w:rsidR="006A3667" w:rsidRDefault="006A3667">
            <w:pPr>
              <w:rPr>
                <w:rFonts w:ascii="宋体"/>
                <w:vanish/>
              </w:rPr>
            </w:pPr>
          </w:p>
        </w:tc>
        <w:tc>
          <w:tcPr>
            <w:tcW w:w="0" w:type="auto"/>
            <w:gridSpan w:val="3"/>
            <w:shd w:val="clear" w:color="auto" w:fill="auto"/>
            <w:vAlign w:val="bottom"/>
          </w:tcPr>
          <w:p w14:paraId="71D47212" w14:textId="77777777" w:rsidR="006A3667" w:rsidRDefault="006A3667">
            <w:pPr>
              <w:rPr>
                <w:rFonts w:ascii="宋体"/>
                <w:vanish/>
              </w:rPr>
            </w:pPr>
          </w:p>
        </w:tc>
        <w:tc>
          <w:tcPr>
            <w:tcW w:w="0" w:type="auto"/>
            <w:gridSpan w:val="3"/>
            <w:shd w:val="clear" w:color="auto" w:fill="auto"/>
            <w:vAlign w:val="bottom"/>
          </w:tcPr>
          <w:p w14:paraId="71D47213" w14:textId="77777777" w:rsidR="006A3667" w:rsidRDefault="006A3667">
            <w:pPr>
              <w:rPr>
                <w:rFonts w:ascii="宋体"/>
                <w:vanish/>
              </w:rPr>
            </w:pPr>
          </w:p>
        </w:tc>
        <w:tc>
          <w:tcPr>
            <w:tcW w:w="0" w:type="auto"/>
            <w:gridSpan w:val="3"/>
            <w:shd w:val="clear" w:color="auto" w:fill="auto"/>
            <w:vAlign w:val="bottom"/>
          </w:tcPr>
          <w:p w14:paraId="71D47214" w14:textId="77777777" w:rsidR="006A3667" w:rsidRDefault="006A3667">
            <w:pPr>
              <w:rPr>
                <w:rFonts w:ascii="宋体"/>
                <w:vanish/>
              </w:rPr>
            </w:pPr>
          </w:p>
        </w:tc>
      </w:tr>
      <w:tr w:rsidR="006A3667" w14:paraId="71D4721C" w14:textId="77777777">
        <w:trPr>
          <w:hidden/>
        </w:trPr>
        <w:tc>
          <w:tcPr>
            <w:tcW w:w="0" w:type="auto"/>
            <w:gridSpan w:val="3"/>
            <w:shd w:val="clear" w:color="auto" w:fill="auto"/>
            <w:vAlign w:val="bottom"/>
          </w:tcPr>
          <w:p w14:paraId="71D47216" w14:textId="77777777" w:rsidR="006A3667" w:rsidRDefault="006A3667">
            <w:pPr>
              <w:rPr>
                <w:rFonts w:ascii="宋体"/>
                <w:vanish/>
              </w:rPr>
            </w:pPr>
          </w:p>
        </w:tc>
        <w:tc>
          <w:tcPr>
            <w:tcW w:w="0" w:type="auto"/>
            <w:gridSpan w:val="3"/>
            <w:shd w:val="clear" w:color="auto" w:fill="auto"/>
            <w:vAlign w:val="bottom"/>
          </w:tcPr>
          <w:p w14:paraId="71D47217" w14:textId="77777777" w:rsidR="006A3667" w:rsidRDefault="006A3667">
            <w:pPr>
              <w:rPr>
                <w:rFonts w:ascii="宋体"/>
                <w:vanish/>
              </w:rPr>
            </w:pPr>
          </w:p>
        </w:tc>
        <w:tc>
          <w:tcPr>
            <w:tcW w:w="0" w:type="auto"/>
            <w:gridSpan w:val="3"/>
            <w:shd w:val="clear" w:color="auto" w:fill="auto"/>
            <w:vAlign w:val="bottom"/>
          </w:tcPr>
          <w:p w14:paraId="71D47218" w14:textId="77777777" w:rsidR="006A3667" w:rsidRDefault="006A3667">
            <w:pPr>
              <w:rPr>
                <w:rFonts w:ascii="宋体"/>
                <w:vanish/>
              </w:rPr>
            </w:pPr>
          </w:p>
        </w:tc>
        <w:tc>
          <w:tcPr>
            <w:tcW w:w="0" w:type="auto"/>
            <w:gridSpan w:val="3"/>
            <w:shd w:val="clear" w:color="auto" w:fill="auto"/>
            <w:vAlign w:val="bottom"/>
          </w:tcPr>
          <w:p w14:paraId="71D47219" w14:textId="77777777" w:rsidR="006A3667" w:rsidRDefault="006A3667">
            <w:pPr>
              <w:rPr>
                <w:rFonts w:ascii="宋体"/>
                <w:vanish/>
              </w:rPr>
            </w:pPr>
          </w:p>
        </w:tc>
        <w:tc>
          <w:tcPr>
            <w:tcW w:w="0" w:type="auto"/>
            <w:gridSpan w:val="3"/>
            <w:shd w:val="clear" w:color="auto" w:fill="auto"/>
            <w:vAlign w:val="bottom"/>
          </w:tcPr>
          <w:p w14:paraId="71D4721A" w14:textId="77777777" w:rsidR="006A3667" w:rsidRDefault="006A3667">
            <w:pPr>
              <w:rPr>
                <w:rFonts w:ascii="宋体"/>
                <w:vanish/>
              </w:rPr>
            </w:pPr>
          </w:p>
        </w:tc>
        <w:tc>
          <w:tcPr>
            <w:tcW w:w="0" w:type="auto"/>
            <w:gridSpan w:val="3"/>
            <w:shd w:val="clear" w:color="auto" w:fill="auto"/>
            <w:vAlign w:val="bottom"/>
          </w:tcPr>
          <w:p w14:paraId="71D4721B" w14:textId="77777777" w:rsidR="006A3667" w:rsidRDefault="006A3667">
            <w:pPr>
              <w:rPr>
                <w:rFonts w:ascii="宋体"/>
                <w:vanish/>
              </w:rPr>
            </w:pPr>
          </w:p>
        </w:tc>
      </w:tr>
      <w:tr w:rsidR="006A3667" w14:paraId="71D47223" w14:textId="77777777">
        <w:trPr>
          <w:hidden/>
        </w:trPr>
        <w:tc>
          <w:tcPr>
            <w:tcW w:w="0" w:type="auto"/>
            <w:gridSpan w:val="3"/>
            <w:shd w:val="clear" w:color="auto" w:fill="auto"/>
            <w:vAlign w:val="bottom"/>
          </w:tcPr>
          <w:p w14:paraId="71D4721D" w14:textId="77777777" w:rsidR="006A3667" w:rsidRDefault="006A3667">
            <w:pPr>
              <w:rPr>
                <w:rFonts w:ascii="宋体"/>
                <w:vanish/>
              </w:rPr>
            </w:pPr>
          </w:p>
        </w:tc>
        <w:tc>
          <w:tcPr>
            <w:tcW w:w="0" w:type="auto"/>
            <w:gridSpan w:val="3"/>
            <w:shd w:val="clear" w:color="auto" w:fill="auto"/>
            <w:vAlign w:val="bottom"/>
          </w:tcPr>
          <w:p w14:paraId="71D4721E" w14:textId="77777777" w:rsidR="006A3667" w:rsidRDefault="006A3667">
            <w:pPr>
              <w:rPr>
                <w:rFonts w:ascii="宋体"/>
                <w:vanish/>
              </w:rPr>
            </w:pPr>
          </w:p>
        </w:tc>
        <w:tc>
          <w:tcPr>
            <w:tcW w:w="0" w:type="auto"/>
            <w:gridSpan w:val="3"/>
            <w:shd w:val="clear" w:color="auto" w:fill="auto"/>
            <w:vAlign w:val="bottom"/>
          </w:tcPr>
          <w:p w14:paraId="71D4721F" w14:textId="77777777" w:rsidR="006A3667" w:rsidRDefault="006A3667">
            <w:pPr>
              <w:rPr>
                <w:rFonts w:ascii="宋体"/>
                <w:vanish/>
              </w:rPr>
            </w:pPr>
          </w:p>
        </w:tc>
        <w:tc>
          <w:tcPr>
            <w:tcW w:w="0" w:type="auto"/>
            <w:gridSpan w:val="3"/>
            <w:shd w:val="clear" w:color="auto" w:fill="auto"/>
            <w:vAlign w:val="bottom"/>
          </w:tcPr>
          <w:p w14:paraId="71D47220" w14:textId="77777777" w:rsidR="006A3667" w:rsidRDefault="006A3667">
            <w:pPr>
              <w:rPr>
                <w:rFonts w:ascii="宋体"/>
                <w:vanish/>
              </w:rPr>
            </w:pPr>
          </w:p>
        </w:tc>
        <w:tc>
          <w:tcPr>
            <w:tcW w:w="0" w:type="auto"/>
            <w:gridSpan w:val="3"/>
            <w:shd w:val="clear" w:color="auto" w:fill="auto"/>
            <w:vAlign w:val="bottom"/>
          </w:tcPr>
          <w:p w14:paraId="71D47221" w14:textId="77777777" w:rsidR="006A3667" w:rsidRDefault="006A3667">
            <w:pPr>
              <w:rPr>
                <w:rFonts w:ascii="宋体"/>
                <w:vanish/>
              </w:rPr>
            </w:pPr>
          </w:p>
        </w:tc>
        <w:tc>
          <w:tcPr>
            <w:tcW w:w="0" w:type="auto"/>
            <w:gridSpan w:val="3"/>
            <w:shd w:val="clear" w:color="auto" w:fill="auto"/>
            <w:vAlign w:val="bottom"/>
          </w:tcPr>
          <w:p w14:paraId="71D47222" w14:textId="77777777" w:rsidR="006A3667" w:rsidRDefault="006A3667">
            <w:pPr>
              <w:rPr>
                <w:rFonts w:ascii="宋体"/>
                <w:vanish/>
              </w:rPr>
            </w:pPr>
          </w:p>
        </w:tc>
      </w:tr>
      <w:tr w:rsidR="006A3667" w14:paraId="71D4722A" w14:textId="77777777">
        <w:trPr>
          <w:hidden/>
        </w:trPr>
        <w:tc>
          <w:tcPr>
            <w:tcW w:w="0" w:type="auto"/>
            <w:gridSpan w:val="3"/>
            <w:shd w:val="clear" w:color="auto" w:fill="auto"/>
            <w:vAlign w:val="bottom"/>
          </w:tcPr>
          <w:p w14:paraId="71D47224" w14:textId="77777777" w:rsidR="006A3667" w:rsidRDefault="006A3667">
            <w:pPr>
              <w:rPr>
                <w:rFonts w:ascii="宋体"/>
                <w:vanish/>
              </w:rPr>
            </w:pPr>
          </w:p>
        </w:tc>
        <w:tc>
          <w:tcPr>
            <w:tcW w:w="0" w:type="auto"/>
            <w:gridSpan w:val="3"/>
            <w:shd w:val="clear" w:color="auto" w:fill="auto"/>
            <w:vAlign w:val="bottom"/>
          </w:tcPr>
          <w:p w14:paraId="71D47225" w14:textId="77777777" w:rsidR="006A3667" w:rsidRDefault="006A3667">
            <w:pPr>
              <w:rPr>
                <w:rFonts w:ascii="宋体"/>
                <w:vanish/>
              </w:rPr>
            </w:pPr>
          </w:p>
        </w:tc>
        <w:tc>
          <w:tcPr>
            <w:tcW w:w="0" w:type="auto"/>
            <w:gridSpan w:val="3"/>
            <w:shd w:val="clear" w:color="auto" w:fill="auto"/>
            <w:vAlign w:val="bottom"/>
          </w:tcPr>
          <w:p w14:paraId="71D47226" w14:textId="77777777" w:rsidR="006A3667" w:rsidRDefault="006A3667">
            <w:pPr>
              <w:rPr>
                <w:rFonts w:ascii="宋体"/>
                <w:vanish/>
              </w:rPr>
            </w:pPr>
          </w:p>
        </w:tc>
        <w:tc>
          <w:tcPr>
            <w:tcW w:w="0" w:type="auto"/>
            <w:gridSpan w:val="3"/>
            <w:shd w:val="clear" w:color="auto" w:fill="auto"/>
            <w:vAlign w:val="bottom"/>
          </w:tcPr>
          <w:p w14:paraId="71D47227" w14:textId="77777777" w:rsidR="006A3667" w:rsidRDefault="006A3667">
            <w:pPr>
              <w:rPr>
                <w:rFonts w:ascii="宋体"/>
                <w:vanish/>
              </w:rPr>
            </w:pPr>
          </w:p>
        </w:tc>
        <w:tc>
          <w:tcPr>
            <w:tcW w:w="0" w:type="auto"/>
            <w:gridSpan w:val="3"/>
            <w:shd w:val="clear" w:color="auto" w:fill="auto"/>
            <w:vAlign w:val="bottom"/>
          </w:tcPr>
          <w:p w14:paraId="71D47228" w14:textId="77777777" w:rsidR="006A3667" w:rsidRDefault="006A3667">
            <w:pPr>
              <w:rPr>
                <w:rFonts w:ascii="宋体"/>
                <w:vanish/>
              </w:rPr>
            </w:pPr>
          </w:p>
        </w:tc>
        <w:tc>
          <w:tcPr>
            <w:tcW w:w="0" w:type="auto"/>
            <w:gridSpan w:val="3"/>
            <w:shd w:val="clear" w:color="auto" w:fill="auto"/>
            <w:vAlign w:val="bottom"/>
          </w:tcPr>
          <w:p w14:paraId="71D47229" w14:textId="77777777" w:rsidR="006A3667" w:rsidRDefault="006A3667">
            <w:pPr>
              <w:rPr>
                <w:rFonts w:ascii="宋体"/>
                <w:vanish/>
              </w:rPr>
            </w:pPr>
          </w:p>
        </w:tc>
      </w:tr>
      <w:tr w:rsidR="006A3667" w14:paraId="71D47237" w14:textId="77777777">
        <w:tc>
          <w:tcPr>
            <w:tcW w:w="0" w:type="auto"/>
            <w:gridSpan w:val="3"/>
            <w:shd w:val="clear" w:color="auto" w:fill="CCEEFF"/>
            <w:tcMar>
              <w:top w:w="40" w:type="dxa"/>
              <w:left w:w="20" w:type="dxa"/>
              <w:bottom w:w="40" w:type="dxa"/>
              <w:right w:w="20" w:type="dxa"/>
            </w:tcMar>
            <w:vAlign w:val="bottom"/>
          </w:tcPr>
          <w:p w14:paraId="71D4722B" w14:textId="77777777" w:rsidR="006A3667" w:rsidRDefault="00045F32">
            <w:pPr>
              <w:textAlignment w:val="bottom"/>
            </w:pPr>
            <w:r>
              <w:rPr>
                <w:rFonts w:ascii="Arial" w:eastAsia="宋体" w:hAnsi="Arial" w:cs="Arial"/>
                <w:b/>
                <w:bCs/>
                <w:color w:val="000000"/>
                <w:sz w:val="14"/>
                <w:szCs w:val="14"/>
              </w:rPr>
              <w:t>Ending balance December 31, 2020</w:t>
            </w:r>
          </w:p>
        </w:tc>
        <w:tc>
          <w:tcPr>
            <w:tcW w:w="0" w:type="auto"/>
            <w:shd w:val="clear" w:color="auto" w:fill="CCEEFF"/>
            <w:tcMar>
              <w:top w:w="40" w:type="dxa"/>
              <w:left w:w="20" w:type="dxa"/>
              <w:bottom w:w="40" w:type="dxa"/>
              <w:right w:w="0" w:type="dxa"/>
            </w:tcMar>
            <w:vAlign w:val="bottom"/>
          </w:tcPr>
          <w:p w14:paraId="71D4722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22D" w14:textId="77777777" w:rsidR="006A3667" w:rsidRDefault="00045F32">
            <w:pPr>
              <w:jc w:val="right"/>
              <w:textAlignment w:val="bottom"/>
            </w:pPr>
            <w:r>
              <w:rPr>
                <w:rFonts w:ascii="Arial" w:eastAsia="宋体" w:hAnsi="Arial" w:cs="Arial"/>
                <w:color w:val="000000"/>
                <w:sz w:val="14"/>
                <w:szCs w:val="14"/>
              </w:rPr>
              <w:t>1,733 </w:t>
            </w:r>
          </w:p>
        </w:tc>
        <w:tc>
          <w:tcPr>
            <w:tcW w:w="0" w:type="auto"/>
            <w:shd w:val="clear" w:color="auto" w:fill="CCEEFF"/>
            <w:tcMar>
              <w:top w:w="40" w:type="dxa"/>
              <w:left w:w="0" w:type="dxa"/>
              <w:bottom w:w="40" w:type="dxa"/>
              <w:right w:w="20" w:type="dxa"/>
            </w:tcMar>
            <w:vAlign w:val="bottom"/>
          </w:tcPr>
          <w:p w14:paraId="71D472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2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23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231" w14:textId="77777777" w:rsidR="006A3667" w:rsidRDefault="00045F32">
            <w:pPr>
              <w:jc w:val="right"/>
              <w:textAlignment w:val="bottom"/>
            </w:pPr>
            <w:r>
              <w:rPr>
                <w:rFonts w:ascii="Arial" w:eastAsia="宋体" w:hAnsi="Arial" w:cs="Arial"/>
                <w:color w:val="000000"/>
                <w:sz w:val="14"/>
                <w:szCs w:val="14"/>
              </w:rPr>
              <w:t>94 </w:t>
            </w:r>
          </w:p>
        </w:tc>
        <w:tc>
          <w:tcPr>
            <w:tcW w:w="0" w:type="auto"/>
            <w:shd w:val="clear" w:color="auto" w:fill="CCEEFF"/>
            <w:tcMar>
              <w:top w:w="40" w:type="dxa"/>
              <w:left w:w="0" w:type="dxa"/>
              <w:bottom w:w="40" w:type="dxa"/>
              <w:right w:w="20" w:type="dxa"/>
            </w:tcMar>
            <w:vAlign w:val="bottom"/>
          </w:tcPr>
          <w:p w14:paraId="71D472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3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23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235" w14:textId="77777777" w:rsidR="006A3667" w:rsidRDefault="00045F32">
            <w:pPr>
              <w:jc w:val="right"/>
              <w:textAlignment w:val="bottom"/>
            </w:pPr>
            <w:r>
              <w:rPr>
                <w:rFonts w:ascii="Arial" w:eastAsia="宋体" w:hAnsi="Arial" w:cs="Arial"/>
                <w:color w:val="000000"/>
                <w:sz w:val="14"/>
                <w:szCs w:val="14"/>
              </w:rPr>
              <w:t>1,827 </w:t>
            </w:r>
          </w:p>
        </w:tc>
        <w:tc>
          <w:tcPr>
            <w:tcW w:w="0" w:type="auto"/>
            <w:shd w:val="clear" w:color="auto" w:fill="CCEEFF"/>
            <w:tcMar>
              <w:top w:w="40" w:type="dxa"/>
              <w:left w:w="0" w:type="dxa"/>
              <w:bottom w:w="40" w:type="dxa"/>
              <w:right w:w="20" w:type="dxa"/>
            </w:tcMar>
            <w:vAlign w:val="bottom"/>
          </w:tcPr>
          <w:p w14:paraId="71D47236" w14:textId="77777777" w:rsidR="006A3667" w:rsidRDefault="006A3667">
            <w:pPr>
              <w:jc w:val="right"/>
              <w:rPr>
                <w:rFonts w:ascii="宋体"/>
              </w:rPr>
            </w:pPr>
          </w:p>
        </w:tc>
      </w:tr>
      <w:tr w:rsidR="006A3667" w14:paraId="71D47241" w14:textId="77777777">
        <w:tc>
          <w:tcPr>
            <w:tcW w:w="0" w:type="auto"/>
            <w:gridSpan w:val="3"/>
            <w:shd w:val="clear" w:color="auto" w:fill="FFFFFF"/>
            <w:tcMar>
              <w:top w:w="40" w:type="dxa"/>
              <w:left w:w="20" w:type="dxa"/>
              <w:bottom w:w="40" w:type="dxa"/>
              <w:right w:w="20" w:type="dxa"/>
            </w:tcMar>
            <w:vAlign w:val="bottom"/>
          </w:tcPr>
          <w:p w14:paraId="71D47238" w14:textId="77777777" w:rsidR="006A3667" w:rsidRDefault="00045F32">
            <w:pPr>
              <w:textAlignment w:val="bottom"/>
            </w:pPr>
            <w:r>
              <w:rPr>
                <w:rFonts w:ascii="Arial" w:eastAsia="宋体" w:hAnsi="Arial" w:cs="Arial"/>
                <w:color w:val="000000"/>
                <w:sz w:val="14"/>
                <w:szCs w:val="14"/>
              </w:rPr>
              <w:t>Acquisitions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47239" w14:textId="77777777" w:rsidR="006A3667" w:rsidRDefault="00045F32">
            <w:pPr>
              <w:jc w:val="right"/>
              <w:textAlignment w:val="bottom"/>
            </w:pPr>
            <w:r>
              <w:rPr>
                <w:rFonts w:ascii="Arial" w:eastAsia="宋体" w:hAnsi="Arial" w:cs="Arial"/>
                <w:color w:val="000000"/>
                <w:sz w:val="14"/>
                <w:szCs w:val="14"/>
              </w:rPr>
              <w:t>264 </w:t>
            </w:r>
          </w:p>
        </w:tc>
        <w:tc>
          <w:tcPr>
            <w:tcW w:w="0" w:type="auto"/>
            <w:shd w:val="clear" w:color="auto" w:fill="FFFFFF"/>
            <w:tcMar>
              <w:top w:w="40" w:type="dxa"/>
              <w:left w:w="0" w:type="dxa"/>
              <w:bottom w:w="40" w:type="dxa"/>
              <w:right w:w="20" w:type="dxa"/>
            </w:tcMar>
            <w:vAlign w:val="bottom"/>
          </w:tcPr>
          <w:p w14:paraId="71D472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3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3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3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3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3F" w14:textId="77777777" w:rsidR="006A3667" w:rsidRDefault="00045F32">
            <w:pPr>
              <w:jc w:val="right"/>
              <w:textAlignment w:val="bottom"/>
            </w:pPr>
            <w:r>
              <w:rPr>
                <w:rFonts w:ascii="Arial" w:eastAsia="宋体" w:hAnsi="Arial" w:cs="Arial"/>
                <w:color w:val="000000"/>
                <w:sz w:val="14"/>
                <w:szCs w:val="14"/>
              </w:rPr>
              <w:t>264 </w:t>
            </w:r>
          </w:p>
        </w:tc>
        <w:tc>
          <w:tcPr>
            <w:tcW w:w="0" w:type="auto"/>
            <w:shd w:val="clear" w:color="auto" w:fill="FFFFFF"/>
            <w:tcMar>
              <w:top w:w="40" w:type="dxa"/>
              <w:left w:w="0" w:type="dxa"/>
              <w:bottom w:w="40" w:type="dxa"/>
              <w:right w:w="20" w:type="dxa"/>
            </w:tcMar>
            <w:vAlign w:val="bottom"/>
          </w:tcPr>
          <w:p w14:paraId="71D47240" w14:textId="77777777" w:rsidR="006A3667" w:rsidRDefault="006A3667">
            <w:pPr>
              <w:jc w:val="right"/>
              <w:rPr>
                <w:rFonts w:ascii="宋体"/>
              </w:rPr>
            </w:pPr>
          </w:p>
        </w:tc>
      </w:tr>
      <w:tr w:rsidR="006A3667" w14:paraId="71D4724B" w14:textId="77777777">
        <w:tc>
          <w:tcPr>
            <w:tcW w:w="0" w:type="auto"/>
            <w:gridSpan w:val="3"/>
            <w:shd w:val="clear" w:color="auto" w:fill="CCEEFF"/>
            <w:tcMar>
              <w:top w:w="40" w:type="dxa"/>
              <w:left w:w="20" w:type="dxa"/>
              <w:bottom w:w="40" w:type="dxa"/>
              <w:right w:w="20" w:type="dxa"/>
            </w:tcMar>
            <w:vAlign w:val="bottom"/>
          </w:tcPr>
          <w:p w14:paraId="71D47242" w14:textId="77777777" w:rsidR="006A3667" w:rsidRDefault="00045F32">
            <w:pPr>
              <w:textAlignment w:val="bottom"/>
            </w:pPr>
            <w:r>
              <w:rPr>
                <w:rFonts w:ascii="Arial" w:eastAsia="宋体" w:hAnsi="Arial" w:cs="Arial"/>
                <w:color w:val="000000"/>
                <w:sz w:val="14"/>
                <w:szCs w:val="14"/>
              </w:rPr>
              <w:t>Amortization</w:t>
            </w:r>
          </w:p>
        </w:tc>
        <w:tc>
          <w:tcPr>
            <w:tcW w:w="0" w:type="auto"/>
            <w:gridSpan w:val="2"/>
            <w:shd w:val="clear" w:color="auto" w:fill="CCEEFF"/>
            <w:tcMar>
              <w:top w:w="40" w:type="dxa"/>
              <w:left w:w="20" w:type="dxa"/>
              <w:bottom w:w="40" w:type="dxa"/>
              <w:right w:w="0" w:type="dxa"/>
            </w:tcMar>
            <w:vAlign w:val="bottom"/>
          </w:tcPr>
          <w:p w14:paraId="71D47243" w14:textId="77777777" w:rsidR="006A3667" w:rsidRDefault="00045F32">
            <w:pPr>
              <w:jc w:val="right"/>
              <w:textAlignment w:val="bottom"/>
            </w:pPr>
            <w:r>
              <w:rPr>
                <w:rFonts w:ascii="Arial" w:eastAsia="宋体" w:hAnsi="Arial" w:cs="Arial"/>
                <w:color w:val="000000"/>
                <w:sz w:val="14"/>
                <w:szCs w:val="14"/>
              </w:rPr>
              <w:t>(221)</w:t>
            </w:r>
          </w:p>
        </w:tc>
        <w:tc>
          <w:tcPr>
            <w:tcW w:w="0" w:type="auto"/>
            <w:shd w:val="clear" w:color="auto" w:fill="CCEEFF"/>
            <w:tcMar>
              <w:top w:w="40" w:type="dxa"/>
              <w:left w:w="0" w:type="dxa"/>
              <w:bottom w:w="40" w:type="dxa"/>
              <w:right w:w="20" w:type="dxa"/>
            </w:tcMar>
            <w:vAlign w:val="bottom"/>
          </w:tcPr>
          <w:p w14:paraId="71D472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4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246" w14:textId="77777777" w:rsidR="006A3667" w:rsidRDefault="00045F32">
            <w:pPr>
              <w:jc w:val="right"/>
              <w:textAlignment w:val="bottom"/>
            </w:pPr>
            <w:r>
              <w:rPr>
                <w:rFonts w:ascii="Arial" w:eastAsia="宋体" w:hAnsi="Arial" w:cs="Arial"/>
                <w:color w:val="000000"/>
                <w:sz w:val="14"/>
                <w:szCs w:val="14"/>
              </w:rPr>
              <w:t>(24)</w:t>
            </w:r>
          </w:p>
        </w:tc>
        <w:tc>
          <w:tcPr>
            <w:tcW w:w="0" w:type="auto"/>
            <w:shd w:val="clear" w:color="auto" w:fill="CCEEFF"/>
            <w:tcMar>
              <w:top w:w="40" w:type="dxa"/>
              <w:left w:w="0" w:type="dxa"/>
              <w:bottom w:w="40" w:type="dxa"/>
              <w:right w:w="20" w:type="dxa"/>
            </w:tcMar>
            <w:vAlign w:val="bottom"/>
          </w:tcPr>
          <w:p w14:paraId="71D4724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4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249" w14:textId="77777777" w:rsidR="006A3667" w:rsidRDefault="00045F32">
            <w:pPr>
              <w:jc w:val="right"/>
              <w:textAlignment w:val="bottom"/>
            </w:pPr>
            <w:r>
              <w:rPr>
                <w:rFonts w:ascii="Arial" w:eastAsia="宋体" w:hAnsi="Arial" w:cs="Arial"/>
                <w:color w:val="000000"/>
                <w:sz w:val="14"/>
                <w:szCs w:val="14"/>
              </w:rPr>
              <w:t>(245)</w:t>
            </w:r>
          </w:p>
        </w:tc>
        <w:tc>
          <w:tcPr>
            <w:tcW w:w="0" w:type="auto"/>
            <w:shd w:val="clear" w:color="auto" w:fill="CCEEFF"/>
            <w:tcMar>
              <w:top w:w="40" w:type="dxa"/>
              <w:left w:w="0" w:type="dxa"/>
              <w:bottom w:w="40" w:type="dxa"/>
              <w:right w:w="20" w:type="dxa"/>
            </w:tcMar>
            <w:vAlign w:val="bottom"/>
          </w:tcPr>
          <w:p w14:paraId="71D4724A" w14:textId="77777777" w:rsidR="006A3667" w:rsidRDefault="006A3667">
            <w:pPr>
              <w:jc w:val="right"/>
              <w:rPr>
                <w:rFonts w:ascii="宋体"/>
              </w:rPr>
            </w:pPr>
          </w:p>
        </w:tc>
      </w:tr>
      <w:tr w:rsidR="006A3667" w14:paraId="71D47252" w14:textId="77777777">
        <w:trPr>
          <w:hidden/>
        </w:trPr>
        <w:tc>
          <w:tcPr>
            <w:tcW w:w="0" w:type="auto"/>
            <w:gridSpan w:val="3"/>
            <w:shd w:val="clear" w:color="auto" w:fill="auto"/>
            <w:vAlign w:val="bottom"/>
          </w:tcPr>
          <w:p w14:paraId="71D4724C" w14:textId="77777777" w:rsidR="006A3667" w:rsidRDefault="006A3667">
            <w:pPr>
              <w:rPr>
                <w:rFonts w:ascii="宋体"/>
                <w:vanish/>
              </w:rPr>
            </w:pPr>
          </w:p>
        </w:tc>
        <w:tc>
          <w:tcPr>
            <w:tcW w:w="0" w:type="auto"/>
            <w:gridSpan w:val="3"/>
            <w:shd w:val="clear" w:color="auto" w:fill="auto"/>
            <w:vAlign w:val="bottom"/>
          </w:tcPr>
          <w:p w14:paraId="71D4724D" w14:textId="77777777" w:rsidR="006A3667" w:rsidRDefault="006A3667">
            <w:pPr>
              <w:rPr>
                <w:rFonts w:ascii="宋体"/>
                <w:vanish/>
              </w:rPr>
            </w:pPr>
          </w:p>
        </w:tc>
        <w:tc>
          <w:tcPr>
            <w:tcW w:w="0" w:type="auto"/>
            <w:gridSpan w:val="3"/>
            <w:shd w:val="clear" w:color="auto" w:fill="auto"/>
            <w:vAlign w:val="bottom"/>
          </w:tcPr>
          <w:p w14:paraId="71D4724E" w14:textId="77777777" w:rsidR="006A3667" w:rsidRDefault="006A3667">
            <w:pPr>
              <w:rPr>
                <w:rFonts w:ascii="宋体"/>
                <w:vanish/>
              </w:rPr>
            </w:pPr>
          </w:p>
        </w:tc>
        <w:tc>
          <w:tcPr>
            <w:tcW w:w="0" w:type="auto"/>
            <w:gridSpan w:val="3"/>
            <w:shd w:val="clear" w:color="auto" w:fill="auto"/>
            <w:vAlign w:val="bottom"/>
          </w:tcPr>
          <w:p w14:paraId="71D4724F" w14:textId="77777777" w:rsidR="006A3667" w:rsidRDefault="006A3667">
            <w:pPr>
              <w:rPr>
                <w:rFonts w:ascii="宋体"/>
                <w:vanish/>
              </w:rPr>
            </w:pPr>
          </w:p>
        </w:tc>
        <w:tc>
          <w:tcPr>
            <w:tcW w:w="0" w:type="auto"/>
            <w:gridSpan w:val="3"/>
            <w:shd w:val="clear" w:color="auto" w:fill="auto"/>
            <w:vAlign w:val="bottom"/>
          </w:tcPr>
          <w:p w14:paraId="71D47250" w14:textId="77777777" w:rsidR="006A3667" w:rsidRDefault="006A3667">
            <w:pPr>
              <w:rPr>
                <w:rFonts w:ascii="宋体"/>
                <w:vanish/>
              </w:rPr>
            </w:pPr>
          </w:p>
        </w:tc>
        <w:tc>
          <w:tcPr>
            <w:tcW w:w="0" w:type="auto"/>
            <w:gridSpan w:val="3"/>
            <w:shd w:val="clear" w:color="auto" w:fill="auto"/>
            <w:vAlign w:val="bottom"/>
          </w:tcPr>
          <w:p w14:paraId="71D47251" w14:textId="77777777" w:rsidR="006A3667" w:rsidRDefault="006A3667">
            <w:pPr>
              <w:rPr>
                <w:rFonts w:ascii="宋体"/>
                <w:vanish/>
              </w:rPr>
            </w:pPr>
          </w:p>
        </w:tc>
      </w:tr>
      <w:tr w:rsidR="006A3667" w14:paraId="71D47259" w14:textId="77777777">
        <w:trPr>
          <w:hidden/>
        </w:trPr>
        <w:tc>
          <w:tcPr>
            <w:tcW w:w="0" w:type="auto"/>
            <w:gridSpan w:val="3"/>
            <w:shd w:val="clear" w:color="auto" w:fill="auto"/>
            <w:vAlign w:val="bottom"/>
          </w:tcPr>
          <w:p w14:paraId="71D47253" w14:textId="77777777" w:rsidR="006A3667" w:rsidRDefault="006A3667">
            <w:pPr>
              <w:rPr>
                <w:rFonts w:ascii="宋体"/>
                <w:vanish/>
              </w:rPr>
            </w:pPr>
          </w:p>
        </w:tc>
        <w:tc>
          <w:tcPr>
            <w:tcW w:w="0" w:type="auto"/>
            <w:gridSpan w:val="3"/>
            <w:shd w:val="clear" w:color="auto" w:fill="auto"/>
            <w:vAlign w:val="bottom"/>
          </w:tcPr>
          <w:p w14:paraId="71D47254" w14:textId="77777777" w:rsidR="006A3667" w:rsidRDefault="006A3667">
            <w:pPr>
              <w:rPr>
                <w:rFonts w:ascii="宋体"/>
                <w:vanish/>
              </w:rPr>
            </w:pPr>
          </w:p>
        </w:tc>
        <w:tc>
          <w:tcPr>
            <w:tcW w:w="0" w:type="auto"/>
            <w:gridSpan w:val="3"/>
            <w:shd w:val="clear" w:color="auto" w:fill="auto"/>
            <w:vAlign w:val="bottom"/>
          </w:tcPr>
          <w:p w14:paraId="71D47255" w14:textId="77777777" w:rsidR="006A3667" w:rsidRDefault="006A3667">
            <w:pPr>
              <w:rPr>
                <w:rFonts w:ascii="宋体"/>
                <w:vanish/>
              </w:rPr>
            </w:pPr>
          </w:p>
        </w:tc>
        <w:tc>
          <w:tcPr>
            <w:tcW w:w="0" w:type="auto"/>
            <w:gridSpan w:val="3"/>
            <w:shd w:val="clear" w:color="auto" w:fill="auto"/>
            <w:vAlign w:val="bottom"/>
          </w:tcPr>
          <w:p w14:paraId="71D47256" w14:textId="77777777" w:rsidR="006A3667" w:rsidRDefault="006A3667">
            <w:pPr>
              <w:rPr>
                <w:rFonts w:ascii="宋体"/>
                <w:vanish/>
              </w:rPr>
            </w:pPr>
          </w:p>
        </w:tc>
        <w:tc>
          <w:tcPr>
            <w:tcW w:w="0" w:type="auto"/>
            <w:gridSpan w:val="3"/>
            <w:shd w:val="clear" w:color="auto" w:fill="auto"/>
            <w:vAlign w:val="bottom"/>
          </w:tcPr>
          <w:p w14:paraId="71D47257" w14:textId="77777777" w:rsidR="006A3667" w:rsidRDefault="006A3667">
            <w:pPr>
              <w:rPr>
                <w:rFonts w:ascii="宋体"/>
                <w:vanish/>
              </w:rPr>
            </w:pPr>
          </w:p>
        </w:tc>
        <w:tc>
          <w:tcPr>
            <w:tcW w:w="0" w:type="auto"/>
            <w:gridSpan w:val="3"/>
            <w:shd w:val="clear" w:color="auto" w:fill="auto"/>
            <w:vAlign w:val="bottom"/>
          </w:tcPr>
          <w:p w14:paraId="71D47258" w14:textId="77777777" w:rsidR="006A3667" w:rsidRDefault="006A3667">
            <w:pPr>
              <w:rPr>
                <w:rFonts w:ascii="宋体"/>
                <w:vanish/>
              </w:rPr>
            </w:pPr>
          </w:p>
        </w:tc>
      </w:tr>
      <w:tr w:rsidR="006A3667" w14:paraId="71D47263" w14:textId="77777777">
        <w:tc>
          <w:tcPr>
            <w:tcW w:w="0" w:type="auto"/>
            <w:gridSpan w:val="3"/>
            <w:shd w:val="clear" w:color="auto" w:fill="FFFFFF"/>
            <w:tcMar>
              <w:top w:w="40" w:type="dxa"/>
              <w:left w:w="20" w:type="dxa"/>
              <w:bottom w:w="40" w:type="dxa"/>
              <w:right w:w="20" w:type="dxa"/>
            </w:tcMar>
            <w:vAlign w:val="bottom"/>
          </w:tcPr>
          <w:p w14:paraId="71D4725A" w14:textId="77777777" w:rsidR="006A3667" w:rsidRDefault="00045F32">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71D4725B" w14:textId="77777777" w:rsidR="006A3667" w:rsidRDefault="00045F32">
            <w:pPr>
              <w:jc w:val="right"/>
              <w:textAlignment w:val="bottom"/>
            </w:pPr>
            <w:r>
              <w:rPr>
                <w:rFonts w:ascii="Arial" w:eastAsia="宋体" w:hAnsi="Arial" w:cs="Arial"/>
                <w:color w:val="000000"/>
                <w:sz w:val="14"/>
                <w:szCs w:val="14"/>
              </w:rPr>
              <w:t>(30)</w:t>
            </w:r>
          </w:p>
        </w:tc>
        <w:tc>
          <w:tcPr>
            <w:tcW w:w="0" w:type="auto"/>
            <w:shd w:val="clear" w:color="auto" w:fill="FFFFFF"/>
            <w:tcMar>
              <w:top w:w="40" w:type="dxa"/>
              <w:left w:w="0" w:type="dxa"/>
              <w:bottom w:w="40" w:type="dxa"/>
              <w:right w:w="20" w:type="dxa"/>
            </w:tcMar>
            <w:vAlign w:val="bottom"/>
          </w:tcPr>
          <w:p w14:paraId="71D472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5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61" w14:textId="77777777" w:rsidR="006A3667" w:rsidRDefault="00045F32">
            <w:pPr>
              <w:jc w:val="right"/>
              <w:textAlignment w:val="bottom"/>
            </w:pPr>
            <w:r>
              <w:rPr>
                <w:rFonts w:ascii="Arial" w:eastAsia="宋体" w:hAnsi="Arial" w:cs="Arial"/>
                <w:color w:val="000000"/>
                <w:sz w:val="14"/>
                <w:szCs w:val="14"/>
              </w:rPr>
              <w:t>(30)</w:t>
            </w:r>
          </w:p>
        </w:tc>
        <w:tc>
          <w:tcPr>
            <w:tcW w:w="0" w:type="auto"/>
            <w:shd w:val="clear" w:color="auto" w:fill="FFFFFF"/>
            <w:tcMar>
              <w:top w:w="40" w:type="dxa"/>
              <w:left w:w="0" w:type="dxa"/>
              <w:bottom w:w="40" w:type="dxa"/>
              <w:right w:w="20" w:type="dxa"/>
            </w:tcMar>
            <w:vAlign w:val="bottom"/>
          </w:tcPr>
          <w:p w14:paraId="71D47262" w14:textId="77777777" w:rsidR="006A3667" w:rsidRDefault="006A3667">
            <w:pPr>
              <w:jc w:val="right"/>
              <w:rPr>
                <w:rFonts w:ascii="宋体"/>
              </w:rPr>
            </w:pPr>
          </w:p>
        </w:tc>
      </w:tr>
      <w:tr w:rsidR="006A3667" w14:paraId="71D4726D" w14:textId="77777777">
        <w:tc>
          <w:tcPr>
            <w:tcW w:w="0" w:type="auto"/>
            <w:gridSpan w:val="3"/>
            <w:shd w:val="clear" w:color="auto" w:fill="CCEEFF"/>
            <w:tcMar>
              <w:top w:w="40" w:type="dxa"/>
              <w:left w:w="20" w:type="dxa"/>
              <w:bottom w:w="40" w:type="dxa"/>
              <w:right w:w="20" w:type="dxa"/>
            </w:tcMar>
            <w:vAlign w:val="bottom"/>
          </w:tcPr>
          <w:p w14:paraId="71D47264" w14:textId="77777777" w:rsidR="006A3667" w:rsidRDefault="00045F32">
            <w:pPr>
              <w:textAlignment w:val="bottom"/>
            </w:pPr>
            <w:r>
              <w:rPr>
                <w:rFonts w:ascii="Arial" w:eastAsia="宋体" w:hAnsi="Arial" w:cs="Arial"/>
                <w:b/>
                <w:bCs/>
                <w:color w:val="000000"/>
                <w:sz w:val="14"/>
                <w:szCs w:val="14"/>
              </w:rPr>
              <w:t>Ending balance December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7265" w14:textId="77777777" w:rsidR="006A3667" w:rsidRDefault="00045F32">
            <w:pPr>
              <w:jc w:val="right"/>
              <w:textAlignment w:val="bottom"/>
            </w:pPr>
            <w:r>
              <w:rPr>
                <w:rFonts w:ascii="Arial" w:eastAsia="宋体" w:hAnsi="Arial" w:cs="Arial"/>
                <w:color w:val="000000"/>
                <w:sz w:val="14"/>
                <w:szCs w:val="14"/>
              </w:rPr>
              <w:t>1,746 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2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6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7268" w14:textId="77777777" w:rsidR="006A3667" w:rsidRDefault="00045F32">
            <w:pPr>
              <w:jc w:val="right"/>
              <w:textAlignment w:val="bottom"/>
            </w:pPr>
            <w:r>
              <w:rPr>
                <w:rFonts w:ascii="Arial" w:eastAsia="宋体" w:hAnsi="Arial" w:cs="Arial"/>
                <w:color w:val="000000"/>
                <w:sz w:val="14"/>
                <w:szCs w:val="14"/>
              </w:rPr>
              <w:t>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26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6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726B" w14:textId="77777777" w:rsidR="006A3667" w:rsidRDefault="00045F32">
            <w:pPr>
              <w:jc w:val="right"/>
              <w:textAlignment w:val="bottom"/>
            </w:pPr>
            <w:r>
              <w:rPr>
                <w:rFonts w:ascii="Arial" w:eastAsia="宋体" w:hAnsi="Arial" w:cs="Arial"/>
                <w:color w:val="000000"/>
                <w:sz w:val="14"/>
                <w:szCs w:val="14"/>
              </w:rPr>
              <w:t>1,816 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26C" w14:textId="77777777" w:rsidR="006A3667" w:rsidRDefault="006A3667">
            <w:pPr>
              <w:jc w:val="right"/>
              <w:rPr>
                <w:rFonts w:ascii="宋体"/>
              </w:rPr>
            </w:pPr>
          </w:p>
        </w:tc>
      </w:tr>
      <w:tr w:rsidR="006A3667" w14:paraId="71D47277" w14:textId="77777777">
        <w:tc>
          <w:tcPr>
            <w:tcW w:w="0" w:type="auto"/>
            <w:gridSpan w:val="3"/>
            <w:shd w:val="clear" w:color="auto" w:fill="FFFFFF"/>
            <w:tcMar>
              <w:top w:w="40" w:type="dxa"/>
              <w:left w:w="20" w:type="dxa"/>
              <w:bottom w:w="40" w:type="dxa"/>
              <w:right w:w="20" w:type="dxa"/>
            </w:tcMar>
            <w:vAlign w:val="bottom"/>
          </w:tcPr>
          <w:p w14:paraId="71D4726E" w14:textId="77777777" w:rsidR="006A3667" w:rsidRDefault="00045F32">
            <w:pPr>
              <w:textAlignment w:val="bottom"/>
            </w:pPr>
            <w:r>
              <w:rPr>
                <w:rFonts w:ascii="Arial" w:eastAsia="宋体" w:hAnsi="Arial" w:cs="Arial"/>
                <w:color w:val="000000"/>
                <w:sz w:val="14"/>
                <w:szCs w:val="14"/>
              </w:rPr>
              <w:t>Acquisitions</w:t>
            </w:r>
          </w:p>
        </w:tc>
        <w:tc>
          <w:tcPr>
            <w:tcW w:w="0" w:type="auto"/>
            <w:gridSpan w:val="2"/>
            <w:shd w:val="clear" w:color="auto" w:fill="FFFFFF"/>
            <w:tcMar>
              <w:top w:w="40" w:type="dxa"/>
              <w:left w:w="20" w:type="dxa"/>
              <w:bottom w:w="40" w:type="dxa"/>
              <w:right w:w="0" w:type="dxa"/>
            </w:tcMar>
            <w:vAlign w:val="bottom"/>
          </w:tcPr>
          <w:p w14:paraId="71D4726F"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7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7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7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7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7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7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76" w14:textId="77777777" w:rsidR="006A3667" w:rsidRDefault="006A3667">
            <w:pPr>
              <w:jc w:val="right"/>
              <w:rPr>
                <w:rFonts w:ascii="宋体"/>
              </w:rPr>
            </w:pPr>
          </w:p>
        </w:tc>
      </w:tr>
      <w:tr w:rsidR="006A3667" w14:paraId="71D47281" w14:textId="77777777">
        <w:tc>
          <w:tcPr>
            <w:tcW w:w="0" w:type="auto"/>
            <w:gridSpan w:val="3"/>
            <w:shd w:val="clear" w:color="auto" w:fill="CCEEFF"/>
            <w:tcMar>
              <w:top w:w="40" w:type="dxa"/>
              <w:left w:w="20" w:type="dxa"/>
              <w:bottom w:w="40" w:type="dxa"/>
              <w:right w:w="20" w:type="dxa"/>
            </w:tcMar>
            <w:vAlign w:val="bottom"/>
          </w:tcPr>
          <w:p w14:paraId="71D47278" w14:textId="77777777" w:rsidR="006A3667" w:rsidRDefault="00045F32">
            <w:pPr>
              <w:textAlignment w:val="bottom"/>
            </w:pPr>
            <w:r>
              <w:rPr>
                <w:rFonts w:ascii="Arial" w:eastAsia="宋体" w:hAnsi="Arial" w:cs="Arial"/>
                <w:color w:val="000000"/>
                <w:sz w:val="14"/>
                <w:szCs w:val="14"/>
              </w:rPr>
              <w:t>Amortization</w:t>
            </w:r>
          </w:p>
        </w:tc>
        <w:tc>
          <w:tcPr>
            <w:tcW w:w="0" w:type="auto"/>
            <w:gridSpan w:val="2"/>
            <w:shd w:val="clear" w:color="auto" w:fill="CCEEFF"/>
            <w:tcMar>
              <w:top w:w="40" w:type="dxa"/>
              <w:left w:w="20" w:type="dxa"/>
              <w:bottom w:w="40" w:type="dxa"/>
              <w:right w:w="0" w:type="dxa"/>
            </w:tcMar>
            <w:vAlign w:val="bottom"/>
          </w:tcPr>
          <w:p w14:paraId="71D47279" w14:textId="77777777" w:rsidR="006A3667" w:rsidRDefault="00045F32">
            <w:pPr>
              <w:jc w:val="right"/>
              <w:textAlignment w:val="bottom"/>
            </w:pPr>
            <w:r>
              <w:rPr>
                <w:rFonts w:ascii="Arial" w:eastAsia="宋体" w:hAnsi="Arial" w:cs="Arial"/>
                <w:b/>
                <w:bCs/>
                <w:color w:val="000000"/>
                <w:sz w:val="14"/>
                <w:szCs w:val="14"/>
              </w:rPr>
              <w:t>(163)</w:t>
            </w:r>
          </w:p>
        </w:tc>
        <w:tc>
          <w:tcPr>
            <w:tcW w:w="0" w:type="auto"/>
            <w:shd w:val="clear" w:color="auto" w:fill="CCEEFF"/>
            <w:tcMar>
              <w:top w:w="40" w:type="dxa"/>
              <w:left w:w="0" w:type="dxa"/>
              <w:bottom w:w="40" w:type="dxa"/>
              <w:right w:w="20" w:type="dxa"/>
            </w:tcMar>
            <w:vAlign w:val="bottom"/>
          </w:tcPr>
          <w:p w14:paraId="71D472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7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27C" w14:textId="77777777" w:rsidR="006A3667" w:rsidRDefault="00045F32">
            <w:pPr>
              <w:jc w:val="right"/>
              <w:textAlignment w:val="bottom"/>
            </w:pPr>
            <w:r>
              <w:rPr>
                <w:rFonts w:ascii="Arial" w:eastAsia="宋体" w:hAnsi="Arial" w:cs="Arial"/>
                <w:b/>
                <w:bCs/>
                <w:color w:val="000000"/>
                <w:sz w:val="14"/>
                <w:szCs w:val="14"/>
              </w:rPr>
              <w:t>(16)</w:t>
            </w:r>
          </w:p>
        </w:tc>
        <w:tc>
          <w:tcPr>
            <w:tcW w:w="0" w:type="auto"/>
            <w:shd w:val="clear" w:color="auto" w:fill="CCEEFF"/>
            <w:tcMar>
              <w:top w:w="40" w:type="dxa"/>
              <w:left w:w="0" w:type="dxa"/>
              <w:bottom w:w="40" w:type="dxa"/>
              <w:right w:w="20" w:type="dxa"/>
            </w:tcMar>
            <w:vAlign w:val="bottom"/>
          </w:tcPr>
          <w:p w14:paraId="71D472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7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27F" w14:textId="77777777" w:rsidR="006A3667" w:rsidRDefault="00045F32">
            <w:pPr>
              <w:jc w:val="right"/>
              <w:textAlignment w:val="bottom"/>
            </w:pPr>
            <w:r>
              <w:rPr>
                <w:rFonts w:ascii="Arial" w:eastAsia="宋体" w:hAnsi="Arial" w:cs="Arial"/>
                <w:b/>
                <w:bCs/>
                <w:color w:val="000000"/>
                <w:sz w:val="14"/>
                <w:szCs w:val="14"/>
              </w:rPr>
              <w:t>(179)</w:t>
            </w:r>
          </w:p>
        </w:tc>
        <w:tc>
          <w:tcPr>
            <w:tcW w:w="0" w:type="auto"/>
            <w:shd w:val="clear" w:color="auto" w:fill="CCEEFF"/>
            <w:tcMar>
              <w:top w:w="40" w:type="dxa"/>
              <w:left w:w="0" w:type="dxa"/>
              <w:bottom w:w="40" w:type="dxa"/>
              <w:right w:w="20" w:type="dxa"/>
            </w:tcMar>
            <w:vAlign w:val="bottom"/>
          </w:tcPr>
          <w:p w14:paraId="71D47280" w14:textId="77777777" w:rsidR="006A3667" w:rsidRDefault="006A3667">
            <w:pPr>
              <w:jc w:val="right"/>
              <w:rPr>
                <w:rFonts w:ascii="宋体"/>
              </w:rPr>
            </w:pPr>
          </w:p>
        </w:tc>
      </w:tr>
      <w:tr w:rsidR="006A3667" w14:paraId="71D4728B" w14:textId="77777777">
        <w:tc>
          <w:tcPr>
            <w:tcW w:w="0" w:type="auto"/>
            <w:gridSpan w:val="3"/>
            <w:shd w:val="clear" w:color="auto" w:fill="FFFFFF"/>
            <w:tcMar>
              <w:top w:w="40" w:type="dxa"/>
              <w:left w:w="20" w:type="dxa"/>
              <w:bottom w:w="40" w:type="dxa"/>
              <w:right w:w="20" w:type="dxa"/>
            </w:tcMar>
            <w:vAlign w:val="bottom"/>
          </w:tcPr>
          <w:p w14:paraId="71D47282" w14:textId="77777777" w:rsidR="006A3667" w:rsidRDefault="00045F32">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71D47283" w14:textId="77777777" w:rsidR="006A3667" w:rsidRDefault="00045F32">
            <w:pPr>
              <w:jc w:val="right"/>
              <w:textAlignment w:val="bottom"/>
            </w:pPr>
            <w:r>
              <w:rPr>
                <w:rFonts w:ascii="Arial" w:eastAsia="宋体" w:hAnsi="Arial" w:cs="Arial"/>
                <w:b/>
                <w:bCs/>
                <w:color w:val="000000"/>
                <w:sz w:val="14"/>
                <w:szCs w:val="14"/>
              </w:rPr>
              <w:t>(69)</w:t>
            </w:r>
          </w:p>
        </w:tc>
        <w:tc>
          <w:tcPr>
            <w:tcW w:w="0" w:type="auto"/>
            <w:shd w:val="clear" w:color="auto" w:fill="FFFFFF"/>
            <w:tcMar>
              <w:top w:w="40" w:type="dxa"/>
              <w:left w:w="0" w:type="dxa"/>
              <w:bottom w:w="40" w:type="dxa"/>
              <w:right w:w="20" w:type="dxa"/>
            </w:tcMar>
            <w:vAlign w:val="bottom"/>
          </w:tcPr>
          <w:p w14:paraId="71D472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8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89" w14:textId="77777777" w:rsidR="006A3667" w:rsidRDefault="00045F32">
            <w:pPr>
              <w:jc w:val="right"/>
              <w:textAlignment w:val="bottom"/>
            </w:pPr>
            <w:r>
              <w:rPr>
                <w:rFonts w:ascii="Arial" w:eastAsia="宋体" w:hAnsi="Arial" w:cs="Arial"/>
                <w:b/>
                <w:bCs/>
                <w:color w:val="000000"/>
                <w:sz w:val="14"/>
                <w:szCs w:val="14"/>
              </w:rPr>
              <w:t>(69)</w:t>
            </w:r>
          </w:p>
        </w:tc>
        <w:tc>
          <w:tcPr>
            <w:tcW w:w="0" w:type="auto"/>
            <w:shd w:val="clear" w:color="auto" w:fill="FFFFFF"/>
            <w:tcMar>
              <w:top w:w="40" w:type="dxa"/>
              <w:left w:w="0" w:type="dxa"/>
              <w:bottom w:w="40" w:type="dxa"/>
              <w:right w:w="20" w:type="dxa"/>
            </w:tcMar>
            <w:vAlign w:val="bottom"/>
          </w:tcPr>
          <w:p w14:paraId="71D4728A" w14:textId="77777777" w:rsidR="006A3667" w:rsidRDefault="006A3667">
            <w:pPr>
              <w:jc w:val="right"/>
              <w:rPr>
                <w:rFonts w:ascii="宋体"/>
              </w:rPr>
            </w:pPr>
          </w:p>
        </w:tc>
      </w:tr>
      <w:tr w:rsidR="006A3667" w14:paraId="71D47298" w14:textId="77777777">
        <w:tc>
          <w:tcPr>
            <w:tcW w:w="0" w:type="auto"/>
            <w:gridSpan w:val="3"/>
            <w:shd w:val="clear" w:color="auto" w:fill="CCEEFF"/>
            <w:tcMar>
              <w:top w:w="40" w:type="dxa"/>
              <w:left w:w="20" w:type="dxa"/>
              <w:bottom w:w="40" w:type="dxa"/>
              <w:right w:w="20" w:type="dxa"/>
            </w:tcMar>
            <w:vAlign w:val="bottom"/>
          </w:tcPr>
          <w:p w14:paraId="71D4728C" w14:textId="77777777" w:rsidR="006A3667" w:rsidRDefault="00045F32">
            <w:pPr>
              <w:textAlignment w:val="bottom"/>
            </w:pPr>
            <w:r>
              <w:rPr>
                <w:rFonts w:ascii="Arial" w:eastAsia="宋体" w:hAnsi="Arial" w:cs="Arial"/>
                <w:b/>
                <w:bCs/>
                <w:color w:val="000000"/>
                <w:sz w:val="14"/>
                <w:szCs w:val="14"/>
              </w:rPr>
              <w:t>Ending balance September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28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28E" w14:textId="77777777" w:rsidR="006A3667" w:rsidRDefault="00045F32">
            <w:pPr>
              <w:jc w:val="right"/>
              <w:textAlignment w:val="bottom"/>
            </w:pPr>
            <w:r>
              <w:rPr>
                <w:rFonts w:ascii="Arial" w:eastAsia="宋体" w:hAnsi="Arial" w:cs="Arial"/>
                <w:b/>
                <w:bCs/>
                <w:color w:val="000000"/>
                <w:sz w:val="14"/>
                <w:szCs w:val="14"/>
              </w:rPr>
              <w:t>1,514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2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90"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29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292" w14:textId="77777777" w:rsidR="006A3667" w:rsidRDefault="00045F32">
            <w:pPr>
              <w:jc w:val="right"/>
              <w:textAlignment w:val="bottom"/>
            </w:pPr>
            <w:r>
              <w:rPr>
                <w:rFonts w:ascii="Arial" w:eastAsia="宋体" w:hAnsi="Arial" w:cs="Arial"/>
                <w:b/>
                <w:bCs/>
                <w:color w:val="000000"/>
                <w:sz w:val="14"/>
                <w:szCs w:val="14"/>
              </w:rPr>
              <w:t>54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29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9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29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296" w14:textId="77777777" w:rsidR="006A3667" w:rsidRDefault="00045F32">
            <w:pPr>
              <w:jc w:val="right"/>
              <w:textAlignment w:val="bottom"/>
            </w:pPr>
            <w:r>
              <w:rPr>
                <w:rFonts w:ascii="Arial" w:eastAsia="宋体" w:hAnsi="Arial" w:cs="Arial"/>
                <w:b/>
                <w:bCs/>
                <w:color w:val="000000"/>
                <w:sz w:val="14"/>
                <w:szCs w:val="14"/>
              </w:rPr>
              <w:t>1,568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297" w14:textId="77777777" w:rsidR="006A3667" w:rsidRDefault="006A3667">
            <w:pPr>
              <w:jc w:val="right"/>
              <w:rPr>
                <w:rFonts w:ascii="宋体"/>
              </w:rPr>
            </w:pPr>
          </w:p>
        </w:tc>
      </w:tr>
    </w:tbl>
    <w:p w14:paraId="71D47299" w14:textId="77777777" w:rsidR="006A3667" w:rsidRDefault="006A3667">
      <w:pPr>
        <w:rPr>
          <w:vanish/>
        </w:rPr>
      </w:pPr>
    </w:p>
    <w:tbl>
      <w:tblPr>
        <w:tblW w:w="236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537"/>
        <w:gridCol w:w="36"/>
      </w:tblGrid>
      <w:tr w:rsidR="006A3667" w14:paraId="71D472A0" w14:textId="77777777">
        <w:tc>
          <w:tcPr>
            <w:tcW w:w="50" w:type="pct"/>
            <w:shd w:val="clear" w:color="auto" w:fill="auto"/>
            <w:vAlign w:val="bottom"/>
          </w:tcPr>
          <w:p w14:paraId="71D4729A" w14:textId="77777777" w:rsidR="006A3667" w:rsidRDefault="006A3667">
            <w:pPr>
              <w:rPr>
                <w:rFonts w:ascii="宋体"/>
              </w:rPr>
            </w:pPr>
          </w:p>
        </w:tc>
        <w:tc>
          <w:tcPr>
            <w:tcW w:w="2907" w:type="pct"/>
            <w:shd w:val="clear" w:color="auto" w:fill="auto"/>
            <w:vAlign w:val="bottom"/>
          </w:tcPr>
          <w:p w14:paraId="71D4729B" w14:textId="77777777" w:rsidR="006A3667" w:rsidRDefault="006A3667">
            <w:pPr>
              <w:rPr>
                <w:rFonts w:ascii="宋体"/>
              </w:rPr>
            </w:pPr>
          </w:p>
        </w:tc>
        <w:tc>
          <w:tcPr>
            <w:tcW w:w="5" w:type="pct"/>
            <w:shd w:val="clear" w:color="auto" w:fill="auto"/>
            <w:vAlign w:val="bottom"/>
          </w:tcPr>
          <w:p w14:paraId="71D4729C" w14:textId="77777777" w:rsidR="006A3667" w:rsidRDefault="006A3667">
            <w:pPr>
              <w:rPr>
                <w:rFonts w:ascii="宋体"/>
              </w:rPr>
            </w:pPr>
          </w:p>
        </w:tc>
        <w:tc>
          <w:tcPr>
            <w:tcW w:w="50" w:type="pct"/>
            <w:shd w:val="clear" w:color="auto" w:fill="auto"/>
            <w:vAlign w:val="bottom"/>
          </w:tcPr>
          <w:p w14:paraId="71D4729D" w14:textId="77777777" w:rsidR="006A3667" w:rsidRDefault="006A3667">
            <w:pPr>
              <w:rPr>
                <w:rFonts w:ascii="宋体"/>
              </w:rPr>
            </w:pPr>
          </w:p>
        </w:tc>
        <w:tc>
          <w:tcPr>
            <w:tcW w:w="1982" w:type="pct"/>
            <w:shd w:val="clear" w:color="auto" w:fill="auto"/>
            <w:vAlign w:val="bottom"/>
          </w:tcPr>
          <w:p w14:paraId="71D4729E" w14:textId="77777777" w:rsidR="006A3667" w:rsidRDefault="006A3667">
            <w:pPr>
              <w:rPr>
                <w:rFonts w:ascii="宋体"/>
              </w:rPr>
            </w:pPr>
          </w:p>
        </w:tc>
        <w:tc>
          <w:tcPr>
            <w:tcW w:w="5" w:type="pct"/>
            <w:shd w:val="clear" w:color="auto" w:fill="auto"/>
            <w:vAlign w:val="bottom"/>
          </w:tcPr>
          <w:p w14:paraId="71D4729F" w14:textId="77777777" w:rsidR="006A3667" w:rsidRDefault="006A3667">
            <w:pPr>
              <w:rPr>
                <w:rFonts w:ascii="宋体"/>
              </w:rPr>
            </w:pPr>
          </w:p>
        </w:tc>
      </w:tr>
      <w:tr w:rsidR="006A3667" w14:paraId="71D472A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2A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2A2" w14:textId="77777777" w:rsidR="006A3667" w:rsidRDefault="006A3667">
            <w:pPr>
              <w:rPr>
                <w:rFonts w:ascii="宋体"/>
              </w:rPr>
            </w:pPr>
          </w:p>
        </w:tc>
      </w:tr>
    </w:tbl>
    <w:p w14:paraId="71D472A4" w14:textId="77777777" w:rsidR="006A3667" w:rsidRDefault="00045F32">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acquisitions of the depositary bank and fund administrator activities of Fideuram Bank Luxembourg, a subsidiary of Intesa Sanpaolo, in the first quarter of 2021, with a total purchase price of approximately EUR 220 millio</w:t>
      </w:r>
      <w:r>
        <w:rPr>
          <w:rFonts w:ascii="Arial" w:eastAsia="宋体" w:hAnsi="Arial" w:cs="Arial"/>
          <w:color w:val="000000"/>
          <w:sz w:val="13"/>
          <w:szCs w:val="13"/>
        </w:rPr>
        <w:t>n or approximately $258 million, and our acquisition of Mercatus, Inc. in the third quarter of 2021, with a total purchase price of approximately $88 million. We accounted for these acquisitions as business combinations and, in accordance with ASC Topic 80</w:t>
      </w:r>
      <w:r>
        <w:rPr>
          <w:rFonts w:ascii="Arial" w:eastAsia="宋体" w:hAnsi="Arial" w:cs="Arial"/>
          <w:color w:val="000000"/>
          <w:sz w:val="13"/>
          <w:szCs w:val="13"/>
        </w:rPr>
        <w:t>5, Business Combinations, we have recorded assets acquired and liabilities assumed at their respective fair values as of the acquisition date.</w:t>
      </w:r>
    </w:p>
    <w:p w14:paraId="71D472A5" w14:textId="77777777" w:rsidR="006A3667" w:rsidRDefault="00045F32">
      <w:pPr>
        <w:spacing w:before="60"/>
        <w:ind w:firstLine="450"/>
        <w:jc w:val="both"/>
      </w:pPr>
      <w:r>
        <w:rPr>
          <w:rFonts w:ascii="Arial" w:eastAsia="宋体" w:hAnsi="Arial" w:cs="Arial"/>
          <w:color w:val="000000"/>
          <w:sz w:val="20"/>
          <w:szCs w:val="20"/>
        </w:rPr>
        <w:t>The following table presents the gross carrying amount, accumulated amortization and net carrying amount of other</w:t>
      </w:r>
      <w:r>
        <w:rPr>
          <w:rFonts w:ascii="Arial" w:eastAsia="宋体" w:hAnsi="Arial" w:cs="Arial"/>
          <w:color w:val="000000"/>
          <w:sz w:val="20"/>
          <w:szCs w:val="20"/>
        </w:rPr>
        <w:t xml:space="preserve"> intangible assets by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4466"/>
        <w:gridCol w:w="37"/>
        <w:gridCol w:w="99"/>
        <w:gridCol w:w="1076"/>
        <w:gridCol w:w="36"/>
        <w:gridCol w:w="36"/>
        <w:gridCol w:w="36"/>
        <w:gridCol w:w="36"/>
        <w:gridCol w:w="99"/>
        <w:gridCol w:w="1046"/>
        <w:gridCol w:w="36"/>
        <w:gridCol w:w="36"/>
        <w:gridCol w:w="36"/>
        <w:gridCol w:w="36"/>
        <w:gridCol w:w="99"/>
        <w:gridCol w:w="1046"/>
        <w:gridCol w:w="36"/>
      </w:tblGrid>
      <w:tr w:rsidR="006A3667" w14:paraId="71D472B8" w14:textId="77777777">
        <w:tc>
          <w:tcPr>
            <w:tcW w:w="50" w:type="pct"/>
            <w:shd w:val="clear" w:color="auto" w:fill="auto"/>
            <w:vAlign w:val="bottom"/>
          </w:tcPr>
          <w:p w14:paraId="71D472A6" w14:textId="77777777" w:rsidR="006A3667" w:rsidRDefault="006A3667">
            <w:pPr>
              <w:rPr>
                <w:rFonts w:ascii="宋体"/>
              </w:rPr>
            </w:pPr>
          </w:p>
        </w:tc>
        <w:tc>
          <w:tcPr>
            <w:tcW w:w="2700" w:type="pct"/>
            <w:shd w:val="clear" w:color="auto" w:fill="auto"/>
            <w:vAlign w:val="bottom"/>
          </w:tcPr>
          <w:p w14:paraId="71D472A7" w14:textId="77777777" w:rsidR="006A3667" w:rsidRDefault="006A3667">
            <w:pPr>
              <w:rPr>
                <w:rFonts w:ascii="宋体"/>
              </w:rPr>
            </w:pPr>
          </w:p>
        </w:tc>
        <w:tc>
          <w:tcPr>
            <w:tcW w:w="5" w:type="pct"/>
            <w:shd w:val="clear" w:color="auto" w:fill="auto"/>
            <w:vAlign w:val="bottom"/>
          </w:tcPr>
          <w:p w14:paraId="71D472A8" w14:textId="77777777" w:rsidR="006A3667" w:rsidRDefault="006A3667">
            <w:pPr>
              <w:rPr>
                <w:rFonts w:ascii="宋体"/>
              </w:rPr>
            </w:pPr>
          </w:p>
        </w:tc>
        <w:tc>
          <w:tcPr>
            <w:tcW w:w="50" w:type="pct"/>
            <w:shd w:val="clear" w:color="auto" w:fill="auto"/>
            <w:vAlign w:val="bottom"/>
          </w:tcPr>
          <w:p w14:paraId="71D472A9" w14:textId="77777777" w:rsidR="006A3667" w:rsidRDefault="006A3667">
            <w:pPr>
              <w:rPr>
                <w:rFonts w:ascii="宋体"/>
              </w:rPr>
            </w:pPr>
          </w:p>
        </w:tc>
        <w:tc>
          <w:tcPr>
            <w:tcW w:w="668" w:type="pct"/>
            <w:shd w:val="clear" w:color="auto" w:fill="auto"/>
            <w:vAlign w:val="bottom"/>
          </w:tcPr>
          <w:p w14:paraId="71D472AA" w14:textId="77777777" w:rsidR="006A3667" w:rsidRDefault="006A3667">
            <w:pPr>
              <w:rPr>
                <w:rFonts w:ascii="宋体"/>
              </w:rPr>
            </w:pPr>
          </w:p>
        </w:tc>
        <w:tc>
          <w:tcPr>
            <w:tcW w:w="5" w:type="pct"/>
            <w:shd w:val="clear" w:color="auto" w:fill="auto"/>
            <w:vAlign w:val="bottom"/>
          </w:tcPr>
          <w:p w14:paraId="71D472AB" w14:textId="77777777" w:rsidR="006A3667" w:rsidRDefault="006A3667">
            <w:pPr>
              <w:rPr>
                <w:rFonts w:ascii="宋体"/>
              </w:rPr>
            </w:pPr>
          </w:p>
        </w:tc>
        <w:tc>
          <w:tcPr>
            <w:tcW w:w="5" w:type="pct"/>
            <w:shd w:val="clear" w:color="auto" w:fill="auto"/>
            <w:vAlign w:val="bottom"/>
          </w:tcPr>
          <w:p w14:paraId="71D472AC" w14:textId="77777777" w:rsidR="006A3667" w:rsidRDefault="006A3667">
            <w:pPr>
              <w:rPr>
                <w:rFonts w:ascii="宋体"/>
              </w:rPr>
            </w:pPr>
          </w:p>
        </w:tc>
        <w:tc>
          <w:tcPr>
            <w:tcW w:w="26" w:type="pct"/>
            <w:shd w:val="clear" w:color="auto" w:fill="auto"/>
            <w:vAlign w:val="bottom"/>
          </w:tcPr>
          <w:p w14:paraId="71D472AD" w14:textId="77777777" w:rsidR="006A3667" w:rsidRDefault="006A3667">
            <w:pPr>
              <w:rPr>
                <w:rFonts w:ascii="宋体"/>
              </w:rPr>
            </w:pPr>
          </w:p>
        </w:tc>
        <w:tc>
          <w:tcPr>
            <w:tcW w:w="5" w:type="pct"/>
            <w:shd w:val="clear" w:color="auto" w:fill="auto"/>
            <w:vAlign w:val="bottom"/>
          </w:tcPr>
          <w:p w14:paraId="71D472AE" w14:textId="77777777" w:rsidR="006A3667" w:rsidRDefault="006A3667">
            <w:pPr>
              <w:rPr>
                <w:rFonts w:ascii="宋体"/>
              </w:rPr>
            </w:pPr>
          </w:p>
        </w:tc>
        <w:tc>
          <w:tcPr>
            <w:tcW w:w="50" w:type="pct"/>
            <w:shd w:val="clear" w:color="auto" w:fill="auto"/>
            <w:vAlign w:val="bottom"/>
          </w:tcPr>
          <w:p w14:paraId="71D472AF" w14:textId="77777777" w:rsidR="006A3667" w:rsidRDefault="006A3667">
            <w:pPr>
              <w:rPr>
                <w:rFonts w:ascii="宋体"/>
              </w:rPr>
            </w:pPr>
          </w:p>
        </w:tc>
        <w:tc>
          <w:tcPr>
            <w:tcW w:w="668" w:type="pct"/>
            <w:shd w:val="clear" w:color="auto" w:fill="auto"/>
            <w:vAlign w:val="bottom"/>
          </w:tcPr>
          <w:p w14:paraId="71D472B0" w14:textId="77777777" w:rsidR="006A3667" w:rsidRDefault="006A3667">
            <w:pPr>
              <w:rPr>
                <w:rFonts w:ascii="宋体"/>
              </w:rPr>
            </w:pPr>
          </w:p>
        </w:tc>
        <w:tc>
          <w:tcPr>
            <w:tcW w:w="5" w:type="pct"/>
            <w:shd w:val="clear" w:color="auto" w:fill="auto"/>
            <w:vAlign w:val="bottom"/>
          </w:tcPr>
          <w:p w14:paraId="71D472B1" w14:textId="77777777" w:rsidR="006A3667" w:rsidRDefault="006A3667">
            <w:pPr>
              <w:rPr>
                <w:rFonts w:ascii="宋体"/>
              </w:rPr>
            </w:pPr>
          </w:p>
        </w:tc>
        <w:tc>
          <w:tcPr>
            <w:tcW w:w="5" w:type="pct"/>
            <w:shd w:val="clear" w:color="auto" w:fill="auto"/>
            <w:vAlign w:val="bottom"/>
          </w:tcPr>
          <w:p w14:paraId="71D472B2" w14:textId="77777777" w:rsidR="006A3667" w:rsidRDefault="006A3667">
            <w:pPr>
              <w:rPr>
                <w:rFonts w:ascii="宋体"/>
              </w:rPr>
            </w:pPr>
          </w:p>
        </w:tc>
        <w:tc>
          <w:tcPr>
            <w:tcW w:w="26" w:type="pct"/>
            <w:shd w:val="clear" w:color="auto" w:fill="auto"/>
            <w:vAlign w:val="bottom"/>
          </w:tcPr>
          <w:p w14:paraId="71D472B3" w14:textId="77777777" w:rsidR="006A3667" w:rsidRDefault="006A3667">
            <w:pPr>
              <w:rPr>
                <w:rFonts w:ascii="宋体"/>
              </w:rPr>
            </w:pPr>
          </w:p>
        </w:tc>
        <w:tc>
          <w:tcPr>
            <w:tcW w:w="5" w:type="pct"/>
            <w:shd w:val="clear" w:color="auto" w:fill="auto"/>
            <w:vAlign w:val="bottom"/>
          </w:tcPr>
          <w:p w14:paraId="71D472B4" w14:textId="77777777" w:rsidR="006A3667" w:rsidRDefault="006A3667">
            <w:pPr>
              <w:rPr>
                <w:rFonts w:ascii="宋体"/>
              </w:rPr>
            </w:pPr>
          </w:p>
        </w:tc>
        <w:tc>
          <w:tcPr>
            <w:tcW w:w="50" w:type="pct"/>
            <w:shd w:val="clear" w:color="auto" w:fill="auto"/>
            <w:vAlign w:val="bottom"/>
          </w:tcPr>
          <w:p w14:paraId="71D472B5" w14:textId="77777777" w:rsidR="006A3667" w:rsidRDefault="006A3667">
            <w:pPr>
              <w:rPr>
                <w:rFonts w:ascii="宋体"/>
              </w:rPr>
            </w:pPr>
          </w:p>
        </w:tc>
        <w:tc>
          <w:tcPr>
            <w:tcW w:w="668" w:type="pct"/>
            <w:shd w:val="clear" w:color="auto" w:fill="auto"/>
            <w:vAlign w:val="bottom"/>
          </w:tcPr>
          <w:p w14:paraId="71D472B6" w14:textId="77777777" w:rsidR="006A3667" w:rsidRDefault="006A3667">
            <w:pPr>
              <w:rPr>
                <w:rFonts w:ascii="宋体"/>
              </w:rPr>
            </w:pPr>
          </w:p>
        </w:tc>
        <w:tc>
          <w:tcPr>
            <w:tcW w:w="5" w:type="pct"/>
            <w:shd w:val="clear" w:color="auto" w:fill="auto"/>
            <w:vAlign w:val="bottom"/>
          </w:tcPr>
          <w:p w14:paraId="71D472B7" w14:textId="77777777" w:rsidR="006A3667" w:rsidRDefault="006A3667">
            <w:pPr>
              <w:rPr>
                <w:rFonts w:ascii="宋体"/>
              </w:rPr>
            </w:pPr>
          </w:p>
        </w:tc>
      </w:tr>
      <w:tr w:rsidR="006A3667" w14:paraId="71D472BF" w14:textId="77777777">
        <w:trPr>
          <w:trHeight w:val="300"/>
        </w:trPr>
        <w:tc>
          <w:tcPr>
            <w:tcW w:w="0" w:type="auto"/>
            <w:gridSpan w:val="3"/>
            <w:shd w:val="clear" w:color="auto" w:fill="auto"/>
            <w:tcMar>
              <w:top w:w="40" w:type="dxa"/>
              <w:left w:w="20" w:type="dxa"/>
              <w:bottom w:w="40" w:type="dxa"/>
              <w:right w:w="20" w:type="dxa"/>
            </w:tcMar>
            <w:vAlign w:val="bottom"/>
          </w:tcPr>
          <w:p w14:paraId="71D472B9" w14:textId="77777777" w:rsidR="006A3667" w:rsidRDefault="00045F32">
            <w:pPr>
              <w:textAlignment w:val="bottom"/>
            </w:pPr>
            <w:r>
              <w:rPr>
                <w:rFonts w:ascii="Arial" w:eastAsia="宋体" w:hAnsi="Arial" w:cs="Arial"/>
                <w:b/>
                <w:bCs/>
                <w:color w:val="000000"/>
                <w:sz w:val="14"/>
                <w:szCs w:val="14"/>
              </w:rPr>
              <w:t>September 30, 2022</w:t>
            </w:r>
          </w:p>
        </w:tc>
        <w:tc>
          <w:tcPr>
            <w:tcW w:w="0" w:type="auto"/>
            <w:gridSpan w:val="3"/>
            <w:vMerge w:val="restart"/>
            <w:shd w:val="clear" w:color="auto" w:fill="auto"/>
            <w:tcMar>
              <w:top w:w="40" w:type="dxa"/>
              <w:left w:w="20" w:type="dxa"/>
              <w:bottom w:w="40" w:type="dxa"/>
              <w:right w:w="20" w:type="dxa"/>
            </w:tcMar>
            <w:vAlign w:val="bottom"/>
          </w:tcPr>
          <w:p w14:paraId="71D472BA" w14:textId="77777777" w:rsidR="006A3667" w:rsidRDefault="00045F32">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Carrying</w:t>
            </w:r>
            <w:r>
              <w:rPr>
                <w:rFonts w:ascii="Arial" w:eastAsia="宋体" w:hAnsi="Arial" w:cs="Arial"/>
                <w:b/>
                <w:bCs/>
                <w:color w:val="000000"/>
                <w:sz w:val="14"/>
                <w:szCs w:val="14"/>
              </w:rPr>
              <w:br/>
              <w:t>Amount</w:t>
            </w:r>
          </w:p>
        </w:tc>
        <w:tc>
          <w:tcPr>
            <w:tcW w:w="0" w:type="auto"/>
            <w:gridSpan w:val="3"/>
            <w:shd w:val="clear" w:color="auto" w:fill="auto"/>
            <w:tcMar>
              <w:top w:w="0" w:type="dxa"/>
              <w:left w:w="20" w:type="dxa"/>
              <w:bottom w:w="0" w:type="dxa"/>
              <w:right w:w="20" w:type="dxa"/>
            </w:tcMar>
            <w:vAlign w:val="bottom"/>
          </w:tcPr>
          <w:p w14:paraId="71D472BB"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72BC" w14:textId="77777777" w:rsidR="006A3667" w:rsidRDefault="00045F32">
            <w:pPr>
              <w:jc w:val="center"/>
              <w:textAlignment w:val="bottom"/>
            </w:pPr>
            <w:r>
              <w:rPr>
                <w:rFonts w:ascii="Arial" w:eastAsia="宋体" w:hAnsi="Arial" w:cs="Arial"/>
                <w:b/>
                <w:bCs/>
                <w:color w:val="000000"/>
                <w:sz w:val="14"/>
                <w:szCs w:val="14"/>
              </w:rPr>
              <w:t>Accumulated</w:t>
            </w:r>
            <w:r>
              <w:rPr>
                <w:rFonts w:ascii="Arial" w:eastAsia="宋体" w:hAnsi="Arial" w:cs="Arial"/>
                <w:b/>
                <w:bCs/>
                <w:color w:val="000000"/>
                <w:sz w:val="14"/>
                <w:szCs w:val="14"/>
              </w:rPr>
              <w:br/>
              <w:t>Amortization</w:t>
            </w:r>
          </w:p>
        </w:tc>
        <w:tc>
          <w:tcPr>
            <w:tcW w:w="0" w:type="auto"/>
            <w:gridSpan w:val="3"/>
            <w:shd w:val="clear" w:color="auto" w:fill="auto"/>
            <w:tcMar>
              <w:top w:w="0" w:type="dxa"/>
              <w:left w:w="20" w:type="dxa"/>
              <w:bottom w:w="0" w:type="dxa"/>
              <w:right w:w="20" w:type="dxa"/>
            </w:tcMar>
            <w:vAlign w:val="bottom"/>
          </w:tcPr>
          <w:p w14:paraId="71D472BD"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72BE" w14:textId="77777777" w:rsidR="006A3667" w:rsidRDefault="00045F32">
            <w:pPr>
              <w:jc w:val="center"/>
              <w:textAlignment w:val="bottom"/>
            </w:pPr>
            <w:r>
              <w:rPr>
                <w:rFonts w:ascii="Arial" w:eastAsia="宋体" w:hAnsi="Arial" w:cs="Arial"/>
                <w:b/>
                <w:bCs/>
                <w:color w:val="000000"/>
                <w:sz w:val="14"/>
                <w:szCs w:val="14"/>
              </w:rPr>
              <w:t>Net</w:t>
            </w:r>
            <w:r>
              <w:rPr>
                <w:rFonts w:ascii="Arial" w:eastAsia="宋体" w:hAnsi="Arial" w:cs="Arial"/>
                <w:b/>
                <w:bCs/>
                <w:color w:val="000000"/>
                <w:sz w:val="14"/>
                <w:szCs w:val="14"/>
              </w:rPr>
              <w:br/>
              <w:t>Carrying</w:t>
            </w:r>
            <w:r>
              <w:rPr>
                <w:rFonts w:ascii="Arial" w:eastAsia="宋体" w:hAnsi="Arial" w:cs="Arial"/>
                <w:b/>
                <w:bCs/>
                <w:color w:val="000000"/>
                <w:sz w:val="14"/>
                <w:szCs w:val="14"/>
              </w:rPr>
              <w:br/>
              <w:t>Amount</w:t>
            </w:r>
          </w:p>
        </w:tc>
      </w:tr>
      <w:tr w:rsidR="006A3667" w14:paraId="71D472C6" w14:textId="77777777">
        <w:trPr>
          <w:trHeight w:val="220"/>
        </w:trPr>
        <w:tc>
          <w:tcPr>
            <w:tcW w:w="0" w:type="auto"/>
            <w:gridSpan w:val="3"/>
            <w:shd w:val="clear" w:color="auto" w:fill="auto"/>
            <w:tcMar>
              <w:top w:w="40" w:type="dxa"/>
              <w:left w:w="20" w:type="dxa"/>
              <w:bottom w:w="40" w:type="dxa"/>
              <w:right w:w="20" w:type="dxa"/>
            </w:tcMar>
            <w:vAlign w:val="bottom"/>
          </w:tcPr>
          <w:p w14:paraId="71D472C0"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71D472C1"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72C2"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72C3"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72C4"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72C5" w14:textId="77777777" w:rsidR="006A3667" w:rsidRDefault="006A3667">
            <w:pPr>
              <w:jc w:val="center"/>
              <w:rPr>
                <w:rFonts w:ascii="宋体"/>
              </w:rPr>
            </w:pPr>
          </w:p>
        </w:tc>
      </w:tr>
      <w:tr w:rsidR="006A3667" w14:paraId="71D472CD" w14:textId="77777777">
        <w:tc>
          <w:tcPr>
            <w:tcW w:w="0" w:type="auto"/>
            <w:gridSpan w:val="3"/>
            <w:shd w:val="clear" w:color="auto" w:fill="FFFFFF"/>
            <w:tcMar>
              <w:top w:w="40" w:type="dxa"/>
              <w:left w:w="20" w:type="dxa"/>
              <w:bottom w:w="40" w:type="dxa"/>
              <w:right w:w="20" w:type="dxa"/>
            </w:tcMar>
            <w:vAlign w:val="bottom"/>
          </w:tcPr>
          <w:p w14:paraId="71D472C7" w14:textId="77777777" w:rsidR="006A3667" w:rsidRDefault="00045F32">
            <w:pPr>
              <w:textAlignment w:val="bottom"/>
            </w:pPr>
            <w:r>
              <w:rPr>
                <w:rFonts w:ascii="Arial" w:eastAsia="宋体" w:hAnsi="Arial" w:cs="Arial"/>
                <w:b/>
                <w:bCs/>
                <w:color w:val="000000"/>
                <w:sz w:val="14"/>
                <w:szCs w:val="14"/>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2C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2C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2C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2C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2CC" w14:textId="77777777" w:rsidR="006A3667" w:rsidRDefault="006A3667">
            <w:pPr>
              <w:rPr>
                <w:rFonts w:ascii="宋体"/>
              </w:rPr>
            </w:pPr>
          </w:p>
        </w:tc>
      </w:tr>
      <w:tr w:rsidR="006A3667" w14:paraId="71D472DA" w14:textId="77777777">
        <w:tc>
          <w:tcPr>
            <w:tcW w:w="0" w:type="auto"/>
            <w:gridSpan w:val="3"/>
            <w:shd w:val="clear" w:color="auto" w:fill="CCEEFF"/>
            <w:tcMar>
              <w:top w:w="40" w:type="dxa"/>
              <w:left w:w="20" w:type="dxa"/>
              <w:bottom w:w="40" w:type="dxa"/>
              <w:right w:w="20" w:type="dxa"/>
            </w:tcMar>
            <w:vAlign w:val="bottom"/>
          </w:tcPr>
          <w:p w14:paraId="71D472CE" w14:textId="77777777" w:rsidR="006A3667" w:rsidRDefault="00045F32">
            <w:pPr>
              <w:textAlignment w:val="bottom"/>
            </w:pPr>
            <w:r>
              <w:rPr>
                <w:rFonts w:ascii="Arial" w:eastAsia="宋体" w:hAnsi="Arial" w:cs="Arial"/>
                <w:color w:val="000000"/>
                <w:sz w:val="14"/>
                <w:szCs w:val="14"/>
              </w:rPr>
              <w:t>Client relationships</w:t>
            </w:r>
          </w:p>
        </w:tc>
        <w:tc>
          <w:tcPr>
            <w:tcW w:w="0" w:type="auto"/>
            <w:shd w:val="clear" w:color="auto" w:fill="CCEEFF"/>
            <w:tcMar>
              <w:top w:w="40" w:type="dxa"/>
              <w:left w:w="20" w:type="dxa"/>
              <w:bottom w:w="40" w:type="dxa"/>
              <w:right w:w="0" w:type="dxa"/>
            </w:tcMar>
            <w:vAlign w:val="bottom"/>
          </w:tcPr>
          <w:p w14:paraId="71D472CF"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2D0" w14:textId="77777777" w:rsidR="006A3667" w:rsidRDefault="00045F32">
            <w:pPr>
              <w:jc w:val="right"/>
              <w:textAlignment w:val="bottom"/>
            </w:pPr>
            <w:r>
              <w:rPr>
                <w:rFonts w:ascii="Arial" w:eastAsia="宋体" w:hAnsi="Arial" w:cs="Arial"/>
                <w:b/>
                <w:bCs/>
                <w:color w:val="000000"/>
                <w:sz w:val="14"/>
                <w:szCs w:val="14"/>
              </w:rPr>
              <w:t>2,655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2D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D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2D3"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2D4" w14:textId="77777777" w:rsidR="006A3667" w:rsidRDefault="00045F32">
            <w:pPr>
              <w:jc w:val="right"/>
              <w:textAlignment w:val="bottom"/>
            </w:pPr>
            <w:r>
              <w:rPr>
                <w:rFonts w:ascii="Arial" w:eastAsia="宋体" w:hAnsi="Arial" w:cs="Arial"/>
                <w:b/>
                <w:bCs/>
                <w:color w:val="000000"/>
                <w:sz w:val="14"/>
                <w:szCs w:val="14"/>
              </w:rPr>
              <w:t>(1,543)</w:t>
            </w:r>
          </w:p>
        </w:tc>
        <w:tc>
          <w:tcPr>
            <w:tcW w:w="0" w:type="auto"/>
            <w:shd w:val="clear" w:color="auto" w:fill="CCEEFF"/>
            <w:tcMar>
              <w:top w:w="40" w:type="dxa"/>
              <w:left w:w="0" w:type="dxa"/>
              <w:bottom w:w="40" w:type="dxa"/>
              <w:right w:w="20" w:type="dxa"/>
            </w:tcMar>
            <w:vAlign w:val="bottom"/>
          </w:tcPr>
          <w:p w14:paraId="71D472D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D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2D7"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2D8" w14:textId="77777777" w:rsidR="006A3667" w:rsidRDefault="00045F32">
            <w:pPr>
              <w:jc w:val="right"/>
              <w:textAlignment w:val="bottom"/>
            </w:pPr>
            <w:r>
              <w:rPr>
                <w:rFonts w:ascii="Arial" w:eastAsia="宋体" w:hAnsi="Arial" w:cs="Arial"/>
                <w:b/>
                <w:bCs/>
                <w:color w:val="000000"/>
                <w:sz w:val="14"/>
                <w:szCs w:val="14"/>
              </w:rPr>
              <w:t>1,112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2D9" w14:textId="77777777" w:rsidR="006A3667" w:rsidRDefault="006A3667">
            <w:pPr>
              <w:jc w:val="right"/>
              <w:rPr>
                <w:rFonts w:ascii="宋体"/>
              </w:rPr>
            </w:pPr>
          </w:p>
        </w:tc>
      </w:tr>
      <w:tr w:rsidR="006A3667" w14:paraId="71D472E4" w14:textId="77777777">
        <w:tc>
          <w:tcPr>
            <w:tcW w:w="0" w:type="auto"/>
            <w:gridSpan w:val="3"/>
            <w:shd w:val="clear" w:color="auto" w:fill="auto"/>
            <w:tcMar>
              <w:top w:w="40" w:type="dxa"/>
              <w:left w:w="20" w:type="dxa"/>
              <w:bottom w:w="40" w:type="dxa"/>
              <w:right w:w="20" w:type="dxa"/>
            </w:tcMar>
            <w:vAlign w:val="bottom"/>
          </w:tcPr>
          <w:p w14:paraId="71D472DB" w14:textId="77777777" w:rsidR="006A3667" w:rsidRDefault="00045F32">
            <w:pPr>
              <w:textAlignment w:val="bottom"/>
            </w:pPr>
            <w:r>
              <w:rPr>
                <w:rFonts w:ascii="Arial" w:eastAsia="宋体" w:hAnsi="Arial" w:cs="Arial"/>
                <w:color w:val="000000"/>
                <w:sz w:val="14"/>
                <w:szCs w:val="14"/>
              </w:rPr>
              <w:t>Technology</w:t>
            </w:r>
          </w:p>
        </w:tc>
        <w:tc>
          <w:tcPr>
            <w:tcW w:w="0" w:type="auto"/>
            <w:gridSpan w:val="2"/>
            <w:shd w:val="clear" w:color="auto" w:fill="FFFFFF"/>
            <w:tcMar>
              <w:top w:w="40" w:type="dxa"/>
              <w:left w:w="20" w:type="dxa"/>
              <w:bottom w:w="40" w:type="dxa"/>
              <w:right w:w="0" w:type="dxa"/>
            </w:tcMar>
            <w:vAlign w:val="bottom"/>
          </w:tcPr>
          <w:p w14:paraId="71D472DC" w14:textId="77777777" w:rsidR="006A3667" w:rsidRDefault="00045F32">
            <w:pPr>
              <w:jc w:val="right"/>
              <w:textAlignment w:val="bottom"/>
            </w:pPr>
            <w:r>
              <w:rPr>
                <w:rFonts w:ascii="Arial" w:eastAsia="宋体" w:hAnsi="Arial" w:cs="Arial"/>
                <w:b/>
                <w:bCs/>
                <w:color w:val="000000"/>
                <w:sz w:val="14"/>
                <w:szCs w:val="14"/>
              </w:rPr>
              <w:t>399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D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DF" w14:textId="77777777" w:rsidR="006A3667" w:rsidRDefault="00045F32">
            <w:pPr>
              <w:jc w:val="right"/>
              <w:textAlignment w:val="bottom"/>
            </w:pPr>
            <w:r>
              <w:rPr>
                <w:rFonts w:ascii="Arial" w:eastAsia="宋体" w:hAnsi="Arial" w:cs="Arial"/>
                <w:b/>
                <w:bCs/>
                <w:color w:val="000000"/>
                <w:sz w:val="14"/>
                <w:szCs w:val="14"/>
              </w:rPr>
              <w:t>(166)</w:t>
            </w:r>
          </w:p>
        </w:tc>
        <w:tc>
          <w:tcPr>
            <w:tcW w:w="0" w:type="auto"/>
            <w:shd w:val="clear" w:color="auto" w:fill="FFFFFF"/>
            <w:tcMar>
              <w:top w:w="40" w:type="dxa"/>
              <w:left w:w="0" w:type="dxa"/>
              <w:bottom w:w="40" w:type="dxa"/>
              <w:right w:w="20" w:type="dxa"/>
            </w:tcMar>
            <w:vAlign w:val="bottom"/>
          </w:tcPr>
          <w:p w14:paraId="71D472E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E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E2" w14:textId="77777777" w:rsidR="006A3667" w:rsidRDefault="00045F32">
            <w:pPr>
              <w:jc w:val="right"/>
              <w:textAlignment w:val="bottom"/>
            </w:pPr>
            <w:r>
              <w:rPr>
                <w:rFonts w:ascii="Arial" w:eastAsia="宋体" w:hAnsi="Arial" w:cs="Arial"/>
                <w:b/>
                <w:bCs/>
                <w:color w:val="000000"/>
                <w:sz w:val="14"/>
                <w:szCs w:val="14"/>
              </w:rPr>
              <w:t>233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E3" w14:textId="77777777" w:rsidR="006A3667" w:rsidRDefault="006A3667">
            <w:pPr>
              <w:jc w:val="right"/>
              <w:rPr>
                <w:rFonts w:ascii="宋体"/>
              </w:rPr>
            </w:pPr>
          </w:p>
        </w:tc>
      </w:tr>
      <w:tr w:rsidR="006A3667" w14:paraId="71D472EE" w14:textId="77777777">
        <w:tc>
          <w:tcPr>
            <w:tcW w:w="0" w:type="auto"/>
            <w:gridSpan w:val="3"/>
            <w:shd w:val="clear" w:color="auto" w:fill="CCEEFF"/>
            <w:tcMar>
              <w:top w:w="40" w:type="dxa"/>
              <w:left w:w="20" w:type="dxa"/>
              <w:bottom w:w="40" w:type="dxa"/>
              <w:right w:w="20" w:type="dxa"/>
            </w:tcMar>
            <w:vAlign w:val="bottom"/>
          </w:tcPr>
          <w:p w14:paraId="71D472E5" w14:textId="77777777" w:rsidR="006A3667" w:rsidRDefault="00045F32">
            <w:pPr>
              <w:textAlignment w:val="bottom"/>
            </w:pPr>
            <w:r>
              <w:rPr>
                <w:rFonts w:ascii="Arial" w:eastAsia="宋体" w:hAnsi="Arial" w:cs="Arial"/>
                <w:color w:val="000000"/>
                <w:sz w:val="14"/>
                <w:szCs w:val="14"/>
              </w:rPr>
              <w:t>Core deposits</w:t>
            </w:r>
          </w:p>
        </w:tc>
        <w:tc>
          <w:tcPr>
            <w:tcW w:w="0" w:type="auto"/>
            <w:gridSpan w:val="2"/>
            <w:shd w:val="clear" w:color="auto" w:fill="CCEEFF"/>
            <w:tcMar>
              <w:top w:w="40" w:type="dxa"/>
              <w:left w:w="20" w:type="dxa"/>
              <w:bottom w:w="40" w:type="dxa"/>
              <w:right w:w="0" w:type="dxa"/>
            </w:tcMar>
            <w:vAlign w:val="bottom"/>
          </w:tcPr>
          <w:p w14:paraId="71D472E6" w14:textId="77777777" w:rsidR="006A3667" w:rsidRDefault="00045F32">
            <w:pPr>
              <w:jc w:val="right"/>
              <w:textAlignment w:val="bottom"/>
            </w:pPr>
            <w:r>
              <w:rPr>
                <w:rFonts w:ascii="Arial" w:eastAsia="宋体" w:hAnsi="Arial" w:cs="Arial"/>
                <w:b/>
                <w:bCs/>
                <w:color w:val="000000"/>
                <w:sz w:val="14"/>
                <w:szCs w:val="14"/>
              </w:rPr>
              <w:t>666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2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E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2E9" w14:textId="77777777" w:rsidR="006A3667" w:rsidRDefault="00045F32">
            <w:pPr>
              <w:jc w:val="right"/>
              <w:textAlignment w:val="bottom"/>
            </w:pPr>
            <w:r>
              <w:rPr>
                <w:rFonts w:ascii="Arial" w:eastAsia="宋体" w:hAnsi="Arial" w:cs="Arial"/>
                <w:b/>
                <w:bCs/>
                <w:color w:val="000000"/>
                <w:sz w:val="14"/>
                <w:szCs w:val="14"/>
              </w:rPr>
              <w:t>(457)</w:t>
            </w:r>
          </w:p>
        </w:tc>
        <w:tc>
          <w:tcPr>
            <w:tcW w:w="0" w:type="auto"/>
            <w:shd w:val="clear" w:color="auto" w:fill="CCEEFF"/>
            <w:tcMar>
              <w:top w:w="40" w:type="dxa"/>
              <w:left w:w="0" w:type="dxa"/>
              <w:bottom w:w="40" w:type="dxa"/>
              <w:right w:w="20" w:type="dxa"/>
            </w:tcMar>
            <w:vAlign w:val="bottom"/>
          </w:tcPr>
          <w:p w14:paraId="71D472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E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2EC" w14:textId="77777777" w:rsidR="006A3667" w:rsidRDefault="00045F32">
            <w:pPr>
              <w:jc w:val="right"/>
              <w:textAlignment w:val="bottom"/>
            </w:pPr>
            <w:r>
              <w:rPr>
                <w:rFonts w:ascii="Arial" w:eastAsia="宋体" w:hAnsi="Arial" w:cs="Arial"/>
                <w:b/>
                <w:bCs/>
                <w:color w:val="000000"/>
                <w:sz w:val="14"/>
                <w:szCs w:val="14"/>
              </w:rPr>
              <w:t>209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2ED" w14:textId="77777777" w:rsidR="006A3667" w:rsidRDefault="006A3667">
            <w:pPr>
              <w:jc w:val="right"/>
              <w:rPr>
                <w:rFonts w:ascii="宋体"/>
              </w:rPr>
            </w:pPr>
          </w:p>
        </w:tc>
      </w:tr>
      <w:tr w:rsidR="006A3667" w14:paraId="71D472F8" w14:textId="77777777">
        <w:tc>
          <w:tcPr>
            <w:tcW w:w="0" w:type="auto"/>
            <w:gridSpan w:val="3"/>
            <w:shd w:val="clear" w:color="auto" w:fill="auto"/>
            <w:tcMar>
              <w:top w:w="40" w:type="dxa"/>
              <w:left w:w="20" w:type="dxa"/>
              <w:bottom w:w="40" w:type="dxa"/>
              <w:right w:w="20" w:type="dxa"/>
            </w:tcMar>
            <w:vAlign w:val="bottom"/>
          </w:tcPr>
          <w:p w14:paraId="71D472EF"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72F0" w14:textId="77777777" w:rsidR="006A3667" w:rsidRDefault="00045F32">
            <w:pPr>
              <w:jc w:val="right"/>
              <w:textAlignment w:val="bottom"/>
            </w:pPr>
            <w:r>
              <w:rPr>
                <w:rFonts w:ascii="Arial" w:eastAsia="宋体" w:hAnsi="Arial" w:cs="Arial"/>
                <w:b/>
                <w:bCs/>
                <w:color w:val="000000"/>
                <w:sz w:val="14"/>
                <w:szCs w:val="14"/>
              </w:rPr>
              <w:t>86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F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F3" w14:textId="77777777" w:rsidR="006A3667" w:rsidRDefault="00045F32">
            <w:pPr>
              <w:jc w:val="right"/>
              <w:textAlignment w:val="bottom"/>
            </w:pPr>
            <w:r>
              <w:rPr>
                <w:rFonts w:ascii="Arial" w:eastAsia="宋体" w:hAnsi="Arial" w:cs="Arial"/>
                <w:b/>
                <w:bCs/>
                <w:color w:val="000000"/>
                <w:sz w:val="14"/>
                <w:szCs w:val="14"/>
              </w:rPr>
              <w:t>(72)</w:t>
            </w:r>
          </w:p>
        </w:tc>
        <w:tc>
          <w:tcPr>
            <w:tcW w:w="0" w:type="auto"/>
            <w:shd w:val="clear" w:color="auto" w:fill="FFFFFF"/>
            <w:tcMar>
              <w:top w:w="40" w:type="dxa"/>
              <w:left w:w="0" w:type="dxa"/>
              <w:bottom w:w="40" w:type="dxa"/>
              <w:right w:w="20" w:type="dxa"/>
            </w:tcMar>
            <w:vAlign w:val="bottom"/>
          </w:tcPr>
          <w:p w14:paraId="71D472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2F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2F6" w14:textId="77777777" w:rsidR="006A3667" w:rsidRDefault="00045F32">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2F7" w14:textId="77777777" w:rsidR="006A3667" w:rsidRDefault="006A3667">
            <w:pPr>
              <w:jc w:val="right"/>
              <w:rPr>
                <w:rFonts w:ascii="宋体"/>
              </w:rPr>
            </w:pPr>
          </w:p>
        </w:tc>
      </w:tr>
      <w:tr w:rsidR="006A3667" w14:paraId="71D47305" w14:textId="77777777">
        <w:tc>
          <w:tcPr>
            <w:tcW w:w="0" w:type="auto"/>
            <w:gridSpan w:val="3"/>
            <w:shd w:val="clear" w:color="auto" w:fill="CCEEFF"/>
            <w:tcMar>
              <w:top w:w="40" w:type="dxa"/>
              <w:left w:w="20" w:type="dxa"/>
              <w:bottom w:w="40" w:type="dxa"/>
              <w:right w:w="20" w:type="dxa"/>
            </w:tcMar>
            <w:vAlign w:val="bottom"/>
          </w:tcPr>
          <w:p w14:paraId="71D472F9"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2FA"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2FB" w14:textId="77777777" w:rsidR="006A3667" w:rsidRDefault="00045F32">
            <w:pPr>
              <w:jc w:val="right"/>
              <w:textAlignment w:val="bottom"/>
            </w:pPr>
            <w:r>
              <w:rPr>
                <w:rFonts w:ascii="Arial" w:eastAsia="宋体" w:hAnsi="Arial" w:cs="Arial"/>
                <w:b/>
                <w:bCs/>
                <w:color w:val="000000"/>
                <w:sz w:val="14"/>
                <w:szCs w:val="14"/>
              </w:rPr>
              <w:t>3,806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2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2F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2F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2FF" w14:textId="77777777" w:rsidR="006A3667" w:rsidRDefault="00045F32">
            <w:pPr>
              <w:jc w:val="right"/>
              <w:textAlignment w:val="bottom"/>
            </w:pPr>
            <w:r>
              <w:rPr>
                <w:rFonts w:ascii="Arial" w:eastAsia="宋体" w:hAnsi="Arial" w:cs="Arial"/>
                <w:b/>
                <w:bCs/>
                <w:color w:val="000000"/>
                <w:sz w:val="14"/>
                <w:szCs w:val="14"/>
              </w:rPr>
              <w:t>(2,238)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3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0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302"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303" w14:textId="77777777" w:rsidR="006A3667" w:rsidRDefault="00045F32">
            <w:pPr>
              <w:jc w:val="right"/>
              <w:textAlignment w:val="bottom"/>
            </w:pPr>
            <w:r>
              <w:rPr>
                <w:rFonts w:ascii="Arial" w:eastAsia="宋体" w:hAnsi="Arial" w:cs="Arial"/>
                <w:b/>
                <w:bCs/>
                <w:color w:val="000000"/>
                <w:sz w:val="14"/>
                <w:szCs w:val="14"/>
              </w:rPr>
              <w:t>1,568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304" w14:textId="77777777" w:rsidR="006A3667" w:rsidRDefault="006A3667">
            <w:pPr>
              <w:jc w:val="right"/>
              <w:rPr>
                <w:rFonts w:ascii="宋体"/>
              </w:rPr>
            </w:pPr>
          </w:p>
        </w:tc>
      </w:tr>
      <w:tr w:rsidR="006A3667" w14:paraId="71D4730C" w14:textId="77777777">
        <w:trPr>
          <w:trHeight w:val="220"/>
        </w:trPr>
        <w:tc>
          <w:tcPr>
            <w:tcW w:w="0" w:type="auto"/>
            <w:gridSpan w:val="3"/>
            <w:shd w:val="clear" w:color="auto" w:fill="auto"/>
            <w:tcMar>
              <w:top w:w="0" w:type="dxa"/>
              <w:left w:w="20" w:type="dxa"/>
              <w:bottom w:w="0" w:type="dxa"/>
              <w:right w:w="20" w:type="dxa"/>
            </w:tcMar>
            <w:vAlign w:val="bottom"/>
          </w:tcPr>
          <w:p w14:paraId="71D47306"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30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30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30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30A"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30B" w14:textId="77777777" w:rsidR="006A3667" w:rsidRDefault="006A3667">
            <w:pPr>
              <w:rPr>
                <w:rFonts w:ascii="宋体"/>
              </w:rPr>
            </w:pPr>
          </w:p>
        </w:tc>
      </w:tr>
      <w:tr w:rsidR="006A3667" w14:paraId="71D47313" w14:textId="77777777">
        <w:trPr>
          <w:trHeight w:val="260"/>
        </w:trPr>
        <w:tc>
          <w:tcPr>
            <w:tcW w:w="0" w:type="auto"/>
            <w:gridSpan w:val="3"/>
            <w:shd w:val="clear" w:color="auto" w:fill="auto"/>
            <w:tcMar>
              <w:top w:w="40" w:type="dxa"/>
              <w:left w:w="20" w:type="dxa"/>
              <w:bottom w:w="40" w:type="dxa"/>
              <w:right w:w="20" w:type="dxa"/>
            </w:tcMar>
            <w:vAlign w:val="bottom"/>
          </w:tcPr>
          <w:p w14:paraId="71D4730D" w14:textId="77777777" w:rsidR="006A3667" w:rsidRDefault="00045F32">
            <w:pPr>
              <w:textAlignment w:val="bottom"/>
            </w:pPr>
            <w:r>
              <w:rPr>
                <w:rFonts w:ascii="Arial" w:eastAsia="宋体" w:hAnsi="Arial" w:cs="Arial"/>
                <w:b/>
                <w:bCs/>
                <w:color w:val="000000"/>
                <w:sz w:val="14"/>
                <w:szCs w:val="14"/>
              </w:rPr>
              <w:t>December 31, 2021</w:t>
            </w:r>
          </w:p>
        </w:tc>
        <w:tc>
          <w:tcPr>
            <w:tcW w:w="0" w:type="auto"/>
            <w:gridSpan w:val="3"/>
            <w:vMerge w:val="restart"/>
            <w:shd w:val="clear" w:color="auto" w:fill="auto"/>
            <w:tcMar>
              <w:top w:w="40" w:type="dxa"/>
              <w:left w:w="20" w:type="dxa"/>
              <w:bottom w:w="40" w:type="dxa"/>
              <w:right w:w="20" w:type="dxa"/>
            </w:tcMar>
            <w:vAlign w:val="bottom"/>
          </w:tcPr>
          <w:p w14:paraId="71D4730E" w14:textId="77777777" w:rsidR="006A3667" w:rsidRDefault="00045F32">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Carrying</w:t>
            </w:r>
            <w:r>
              <w:rPr>
                <w:rFonts w:ascii="Arial" w:eastAsia="宋体" w:hAnsi="Arial" w:cs="Arial"/>
                <w:b/>
                <w:bCs/>
                <w:color w:val="000000"/>
                <w:sz w:val="14"/>
                <w:szCs w:val="14"/>
              </w:rPr>
              <w:br/>
              <w:t>Amount</w:t>
            </w:r>
          </w:p>
        </w:tc>
        <w:tc>
          <w:tcPr>
            <w:tcW w:w="0" w:type="auto"/>
            <w:gridSpan w:val="3"/>
            <w:shd w:val="clear" w:color="auto" w:fill="auto"/>
            <w:tcMar>
              <w:top w:w="0" w:type="dxa"/>
              <w:left w:w="20" w:type="dxa"/>
              <w:bottom w:w="0" w:type="dxa"/>
              <w:right w:w="20" w:type="dxa"/>
            </w:tcMar>
            <w:vAlign w:val="bottom"/>
          </w:tcPr>
          <w:p w14:paraId="71D4730F"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7310" w14:textId="77777777" w:rsidR="006A3667" w:rsidRDefault="00045F32">
            <w:pPr>
              <w:jc w:val="center"/>
              <w:textAlignment w:val="bottom"/>
            </w:pPr>
            <w:r>
              <w:rPr>
                <w:rFonts w:ascii="Arial" w:eastAsia="宋体" w:hAnsi="Arial" w:cs="Arial"/>
                <w:b/>
                <w:bCs/>
                <w:color w:val="000000"/>
                <w:sz w:val="14"/>
                <w:szCs w:val="14"/>
              </w:rPr>
              <w:t>Accumulated</w:t>
            </w:r>
            <w:r>
              <w:rPr>
                <w:rFonts w:ascii="Arial" w:eastAsia="宋体" w:hAnsi="Arial" w:cs="Arial"/>
                <w:b/>
                <w:bCs/>
                <w:color w:val="000000"/>
                <w:sz w:val="14"/>
                <w:szCs w:val="14"/>
              </w:rPr>
              <w:br/>
              <w:t>Amortization</w:t>
            </w:r>
          </w:p>
        </w:tc>
        <w:tc>
          <w:tcPr>
            <w:tcW w:w="0" w:type="auto"/>
            <w:gridSpan w:val="3"/>
            <w:shd w:val="clear" w:color="auto" w:fill="auto"/>
            <w:tcMar>
              <w:top w:w="0" w:type="dxa"/>
              <w:left w:w="20" w:type="dxa"/>
              <w:bottom w:w="0" w:type="dxa"/>
              <w:right w:w="20" w:type="dxa"/>
            </w:tcMar>
            <w:vAlign w:val="bottom"/>
          </w:tcPr>
          <w:p w14:paraId="71D47311"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7312" w14:textId="77777777" w:rsidR="006A3667" w:rsidRDefault="00045F32">
            <w:pPr>
              <w:jc w:val="center"/>
              <w:textAlignment w:val="bottom"/>
            </w:pPr>
            <w:r>
              <w:rPr>
                <w:rFonts w:ascii="Arial" w:eastAsia="宋体" w:hAnsi="Arial" w:cs="Arial"/>
                <w:b/>
                <w:bCs/>
                <w:color w:val="000000"/>
                <w:sz w:val="14"/>
                <w:szCs w:val="14"/>
              </w:rPr>
              <w:t>Net</w:t>
            </w:r>
            <w:r>
              <w:rPr>
                <w:rFonts w:ascii="Arial" w:eastAsia="宋体" w:hAnsi="Arial" w:cs="Arial"/>
                <w:b/>
                <w:bCs/>
                <w:color w:val="000000"/>
                <w:sz w:val="14"/>
                <w:szCs w:val="14"/>
              </w:rPr>
              <w:br/>
              <w:t>Carrying</w:t>
            </w:r>
            <w:r>
              <w:rPr>
                <w:rFonts w:ascii="Arial" w:eastAsia="宋体" w:hAnsi="Arial" w:cs="Arial"/>
                <w:b/>
                <w:bCs/>
                <w:color w:val="000000"/>
                <w:sz w:val="14"/>
                <w:szCs w:val="14"/>
              </w:rPr>
              <w:br/>
              <w:t>Amount</w:t>
            </w:r>
          </w:p>
        </w:tc>
      </w:tr>
      <w:tr w:rsidR="006A3667" w14:paraId="71D4731A" w14:textId="77777777">
        <w:trPr>
          <w:trHeight w:val="220"/>
        </w:trPr>
        <w:tc>
          <w:tcPr>
            <w:tcW w:w="0" w:type="auto"/>
            <w:gridSpan w:val="3"/>
            <w:shd w:val="clear" w:color="auto" w:fill="auto"/>
            <w:tcMar>
              <w:top w:w="40" w:type="dxa"/>
              <w:left w:w="20" w:type="dxa"/>
              <w:bottom w:w="40" w:type="dxa"/>
              <w:right w:w="20" w:type="dxa"/>
            </w:tcMar>
            <w:vAlign w:val="bottom"/>
          </w:tcPr>
          <w:p w14:paraId="71D47314"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71D47315"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7316"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7317"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7318" w14:textId="77777777" w:rsidR="006A3667" w:rsidRDefault="006A3667">
            <w:pPr>
              <w:rPr>
                <w:rFonts w:ascii="宋体"/>
              </w:rPr>
            </w:pPr>
          </w:p>
        </w:tc>
        <w:tc>
          <w:tcPr>
            <w:tcW w:w="0" w:type="auto"/>
            <w:gridSpan w:val="3"/>
            <w:vMerge/>
            <w:shd w:val="clear" w:color="auto" w:fill="auto"/>
            <w:tcMar>
              <w:top w:w="40" w:type="dxa"/>
              <w:left w:w="20" w:type="dxa"/>
              <w:bottom w:w="40" w:type="dxa"/>
              <w:right w:w="20" w:type="dxa"/>
            </w:tcMar>
            <w:vAlign w:val="bottom"/>
          </w:tcPr>
          <w:p w14:paraId="71D47319" w14:textId="77777777" w:rsidR="006A3667" w:rsidRDefault="006A3667">
            <w:pPr>
              <w:jc w:val="center"/>
              <w:rPr>
                <w:rFonts w:ascii="宋体"/>
              </w:rPr>
            </w:pPr>
          </w:p>
        </w:tc>
      </w:tr>
      <w:tr w:rsidR="006A3667" w14:paraId="71D47321" w14:textId="77777777">
        <w:tc>
          <w:tcPr>
            <w:tcW w:w="0" w:type="auto"/>
            <w:gridSpan w:val="3"/>
            <w:shd w:val="clear" w:color="auto" w:fill="auto"/>
            <w:tcMar>
              <w:top w:w="40" w:type="dxa"/>
              <w:left w:w="20" w:type="dxa"/>
              <w:bottom w:w="40" w:type="dxa"/>
              <w:right w:w="20" w:type="dxa"/>
            </w:tcMar>
            <w:vAlign w:val="bottom"/>
          </w:tcPr>
          <w:p w14:paraId="71D4731B" w14:textId="77777777" w:rsidR="006A3667" w:rsidRDefault="00045F32">
            <w:pPr>
              <w:textAlignment w:val="bottom"/>
            </w:pPr>
            <w:r>
              <w:rPr>
                <w:rFonts w:ascii="Arial" w:eastAsia="宋体" w:hAnsi="Arial" w:cs="Arial"/>
                <w:b/>
                <w:bCs/>
                <w:color w:val="000000"/>
                <w:sz w:val="14"/>
                <w:szCs w:val="14"/>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31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31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31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31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320" w14:textId="77777777" w:rsidR="006A3667" w:rsidRDefault="006A3667">
            <w:pPr>
              <w:rPr>
                <w:rFonts w:ascii="宋体"/>
              </w:rPr>
            </w:pPr>
          </w:p>
        </w:tc>
      </w:tr>
      <w:tr w:rsidR="006A3667" w14:paraId="71D4732E" w14:textId="77777777">
        <w:tc>
          <w:tcPr>
            <w:tcW w:w="0" w:type="auto"/>
            <w:gridSpan w:val="3"/>
            <w:shd w:val="clear" w:color="auto" w:fill="CCEEFF"/>
            <w:tcMar>
              <w:top w:w="40" w:type="dxa"/>
              <w:left w:w="20" w:type="dxa"/>
              <w:bottom w:w="40" w:type="dxa"/>
              <w:right w:w="20" w:type="dxa"/>
            </w:tcMar>
            <w:vAlign w:val="bottom"/>
          </w:tcPr>
          <w:p w14:paraId="71D47322" w14:textId="77777777" w:rsidR="006A3667" w:rsidRDefault="00045F32">
            <w:pPr>
              <w:textAlignment w:val="bottom"/>
            </w:pPr>
            <w:r>
              <w:rPr>
                <w:rFonts w:ascii="Arial" w:eastAsia="宋体" w:hAnsi="Arial" w:cs="Arial"/>
                <w:color w:val="000000"/>
                <w:sz w:val="14"/>
                <w:szCs w:val="14"/>
              </w:rPr>
              <w:t>Client relationships</w:t>
            </w:r>
          </w:p>
        </w:tc>
        <w:tc>
          <w:tcPr>
            <w:tcW w:w="0" w:type="auto"/>
            <w:shd w:val="clear" w:color="auto" w:fill="CCEEFF"/>
            <w:tcMar>
              <w:top w:w="40" w:type="dxa"/>
              <w:left w:w="20" w:type="dxa"/>
              <w:bottom w:w="40" w:type="dxa"/>
              <w:right w:w="0" w:type="dxa"/>
            </w:tcMar>
            <w:vAlign w:val="bottom"/>
          </w:tcPr>
          <w:p w14:paraId="71D4732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324" w14:textId="77777777" w:rsidR="006A3667" w:rsidRDefault="00045F32">
            <w:pPr>
              <w:jc w:val="right"/>
              <w:textAlignment w:val="bottom"/>
            </w:pPr>
            <w:r>
              <w:rPr>
                <w:rFonts w:ascii="Arial" w:eastAsia="宋体" w:hAnsi="Arial" w:cs="Arial"/>
                <w:color w:val="000000"/>
                <w:sz w:val="14"/>
                <w:szCs w:val="14"/>
              </w:rPr>
              <w:t>2,786 </w:t>
            </w:r>
          </w:p>
        </w:tc>
        <w:tc>
          <w:tcPr>
            <w:tcW w:w="0" w:type="auto"/>
            <w:shd w:val="clear" w:color="auto" w:fill="CCEEFF"/>
            <w:tcMar>
              <w:top w:w="40" w:type="dxa"/>
              <w:left w:w="0" w:type="dxa"/>
              <w:bottom w:w="40" w:type="dxa"/>
              <w:right w:w="20" w:type="dxa"/>
            </w:tcMar>
            <w:vAlign w:val="bottom"/>
          </w:tcPr>
          <w:p w14:paraId="71D473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2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32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328" w14:textId="77777777" w:rsidR="006A3667" w:rsidRDefault="00045F32">
            <w:pPr>
              <w:jc w:val="right"/>
              <w:textAlignment w:val="bottom"/>
            </w:pPr>
            <w:r>
              <w:rPr>
                <w:rFonts w:ascii="Arial" w:eastAsia="宋体" w:hAnsi="Arial" w:cs="Arial"/>
                <w:color w:val="000000"/>
                <w:sz w:val="14"/>
                <w:szCs w:val="14"/>
              </w:rPr>
              <w:t>(1,497)</w:t>
            </w:r>
          </w:p>
        </w:tc>
        <w:tc>
          <w:tcPr>
            <w:tcW w:w="0" w:type="auto"/>
            <w:shd w:val="clear" w:color="auto" w:fill="CCEEFF"/>
            <w:tcMar>
              <w:top w:w="40" w:type="dxa"/>
              <w:left w:w="0" w:type="dxa"/>
              <w:bottom w:w="40" w:type="dxa"/>
              <w:right w:w="20" w:type="dxa"/>
            </w:tcMar>
            <w:vAlign w:val="bottom"/>
          </w:tcPr>
          <w:p w14:paraId="71D473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2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32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32C" w14:textId="77777777" w:rsidR="006A3667" w:rsidRDefault="00045F32">
            <w:pPr>
              <w:jc w:val="right"/>
              <w:textAlignment w:val="bottom"/>
            </w:pPr>
            <w:r>
              <w:rPr>
                <w:rFonts w:ascii="Arial" w:eastAsia="宋体" w:hAnsi="Arial" w:cs="Arial"/>
                <w:color w:val="000000"/>
                <w:sz w:val="14"/>
                <w:szCs w:val="14"/>
              </w:rPr>
              <w:t>1,289 </w:t>
            </w:r>
          </w:p>
        </w:tc>
        <w:tc>
          <w:tcPr>
            <w:tcW w:w="0" w:type="auto"/>
            <w:shd w:val="clear" w:color="auto" w:fill="CCEEFF"/>
            <w:tcMar>
              <w:top w:w="40" w:type="dxa"/>
              <w:left w:w="0" w:type="dxa"/>
              <w:bottom w:w="40" w:type="dxa"/>
              <w:right w:w="20" w:type="dxa"/>
            </w:tcMar>
            <w:vAlign w:val="bottom"/>
          </w:tcPr>
          <w:p w14:paraId="71D4732D" w14:textId="77777777" w:rsidR="006A3667" w:rsidRDefault="006A3667">
            <w:pPr>
              <w:jc w:val="right"/>
              <w:rPr>
                <w:rFonts w:ascii="宋体"/>
              </w:rPr>
            </w:pPr>
          </w:p>
        </w:tc>
      </w:tr>
      <w:tr w:rsidR="006A3667" w14:paraId="71D47338" w14:textId="77777777">
        <w:tc>
          <w:tcPr>
            <w:tcW w:w="0" w:type="auto"/>
            <w:gridSpan w:val="3"/>
            <w:shd w:val="clear" w:color="auto" w:fill="auto"/>
            <w:tcMar>
              <w:top w:w="40" w:type="dxa"/>
              <w:left w:w="20" w:type="dxa"/>
              <w:bottom w:w="40" w:type="dxa"/>
              <w:right w:w="20" w:type="dxa"/>
            </w:tcMar>
            <w:vAlign w:val="bottom"/>
          </w:tcPr>
          <w:p w14:paraId="71D4732F" w14:textId="77777777" w:rsidR="006A3667" w:rsidRDefault="00045F32">
            <w:pPr>
              <w:textAlignment w:val="bottom"/>
            </w:pPr>
            <w:r>
              <w:rPr>
                <w:rFonts w:ascii="Arial" w:eastAsia="宋体" w:hAnsi="Arial" w:cs="Arial"/>
                <w:color w:val="000000"/>
                <w:sz w:val="14"/>
                <w:szCs w:val="14"/>
              </w:rPr>
              <w:t>Technology</w:t>
            </w:r>
          </w:p>
        </w:tc>
        <w:tc>
          <w:tcPr>
            <w:tcW w:w="0" w:type="auto"/>
            <w:gridSpan w:val="2"/>
            <w:shd w:val="clear" w:color="auto" w:fill="FFFFFF"/>
            <w:tcMar>
              <w:top w:w="40" w:type="dxa"/>
              <w:left w:w="20" w:type="dxa"/>
              <w:bottom w:w="40" w:type="dxa"/>
              <w:right w:w="0" w:type="dxa"/>
            </w:tcMar>
            <w:vAlign w:val="bottom"/>
          </w:tcPr>
          <w:p w14:paraId="71D47330" w14:textId="77777777" w:rsidR="006A3667" w:rsidRDefault="00045F32">
            <w:pPr>
              <w:jc w:val="right"/>
              <w:textAlignment w:val="bottom"/>
            </w:pPr>
            <w:r>
              <w:rPr>
                <w:rFonts w:ascii="Arial" w:eastAsia="宋体" w:hAnsi="Arial" w:cs="Arial"/>
                <w:color w:val="000000"/>
                <w:sz w:val="14"/>
                <w:szCs w:val="14"/>
              </w:rPr>
              <w:t>403 </w:t>
            </w:r>
          </w:p>
        </w:tc>
        <w:tc>
          <w:tcPr>
            <w:tcW w:w="0" w:type="auto"/>
            <w:shd w:val="clear" w:color="auto" w:fill="FFFFFF"/>
            <w:tcMar>
              <w:top w:w="40" w:type="dxa"/>
              <w:left w:w="0" w:type="dxa"/>
              <w:bottom w:w="40" w:type="dxa"/>
              <w:right w:w="20" w:type="dxa"/>
            </w:tcMar>
            <w:vAlign w:val="bottom"/>
          </w:tcPr>
          <w:p w14:paraId="71D4733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3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33" w14:textId="77777777" w:rsidR="006A3667" w:rsidRDefault="00045F32">
            <w:pPr>
              <w:jc w:val="right"/>
              <w:textAlignment w:val="bottom"/>
            </w:pPr>
            <w:r>
              <w:rPr>
                <w:rFonts w:ascii="Arial" w:eastAsia="宋体" w:hAnsi="Arial" w:cs="Arial"/>
                <w:color w:val="000000"/>
                <w:sz w:val="14"/>
                <w:szCs w:val="14"/>
              </w:rPr>
              <w:t>(142)</w:t>
            </w:r>
          </w:p>
        </w:tc>
        <w:tc>
          <w:tcPr>
            <w:tcW w:w="0" w:type="auto"/>
            <w:shd w:val="clear" w:color="auto" w:fill="FFFFFF"/>
            <w:tcMar>
              <w:top w:w="40" w:type="dxa"/>
              <w:left w:w="0" w:type="dxa"/>
              <w:bottom w:w="40" w:type="dxa"/>
              <w:right w:w="20" w:type="dxa"/>
            </w:tcMar>
            <w:vAlign w:val="bottom"/>
          </w:tcPr>
          <w:p w14:paraId="71D4733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3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36" w14:textId="77777777" w:rsidR="006A3667" w:rsidRDefault="00045F32">
            <w:pPr>
              <w:jc w:val="right"/>
              <w:textAlignment w:val="bottom"/>
            </w:pPr>
            <w:r>
              <w:rPr>
                <w:rFonts w:ascii="Arial" w:eastAsia="宋体" w:hAnsi="Arial" w:cs="Arial"/>
                <w:color w:val="000000"/>
                <w:sz w:val="14"/>
                <w:szCs w:val="14"/>
              </w:rPr>
              <w:t>261 </w:t>
            </w:r>
          </w:p>
        </w:tc>
        <w:tc>
          <w:tcPr>
            <w:tcW w:w="0" w:type="auto"/>
            <w:shd w:val="clear" w:color="auto" w:fill="FFFFFF"/>
            <w:tcMar>
              <w:top w:w="40" w:type="dxa"/>
              <w:left w:w="0" w:type="dxa"/>
              <w:bottom w:w="40" w:type="dxa"/>
              <w:right w:w="20" w:type="dxa"/>
            </w:tcMar>
            <w:vAlign w:val="bottom"/>
          </w:tcPr>
          <w:p w14:paraId="71D47337" w14:textId="77777777" w:rsidR="006A3667" w:rsidRDefault="006A3667">
            <w:pPr>
              <w:jc w:val="right"/>
              <w:rPr>
                <w:rFonts w:ascii="宋体"/>
              </w:rPr>
            </w:pPr>
          </w:p>
        </w:tc>
      </w:tr>
      <w:tr w:rsidR="006A3667" w14:paraId="71D47342" w14:textId="77777777">
        <w:tc>
          <w:tcPr>
            <w:tcW w:w="0" w:type="auto"/>
            <w:gridSpan w:val="3"/>
            <w:shd w:val="clear" w:color="auto" w:fill="CCEEFF"/>
            <w:tcMar>
              <w:top w:w="40" w:type="dxa"/>
              <w:left w:w="20" w:type="dxa"/>
              <w:bottom w:w="40" w:type="dxa"/>
              <w:right w:w="20" w:type="dxa"/>
            </w:tcMar>
            <w:vAlign w:val="bottom"/>
          </w:tcPr>
          <w:p w14:paraId="71D47339" w14:textId="77777777" w:rsidR="006A3667" w:rsidRDefault="00045F32">
            <w:pPr>
              <w:textAlignment w:val="bottom"/>
            </w:pPr>
            <w:r>
              <w:rPr>
                <w:rFonts w:ascii="Arial" w:eastAsia="宋体" w:hAnsi="Arial" w:cs="Arial"/>
                <w:color w:val="000000"/>
                <w:sz w:val="14"/>
                <w:szCs w:val="14"/>
              </w:rPr>
              <w:t>Core deposits</w:t>
            </w:r>
          </w:p>
        </w:tc>
        <w:tc>
          <w:tcPr>
            <w:tcW w:w="0" w:type="auto"/>
            <w:gridSpan w:val="2"/>
            <w:shd w:val="clear" w:color="auto" w:fill="CCEEFF"/>
            <w:tcMar>
              <w:top w:w="40" w:type="dxa"/>
              <w:left w:w="20" w:type="dxa"/>
              <w:bottom w:w="40" w:type="dxa"/>
              <w:right w:w="0" w:type="dxa"/>
            </w:tcMar>
            <w:vAlign w:val="bottom"/>
          </w:tcPr>
          <w:p w14:paraId="71D4733A" w14:textId="77777777" w:rsidR="006A3667" w:rsidRDefault="00045F32">
            <w:pPr>
              <w:jc w:val="right"/>
              <w:textAlignment w:val="bottom"/>
            </w:pPr>
            <w:r>
              <w:rPr>
                <w:rFonts w:ascii="Arial" w:eastAsia="宋体" w:hAnsi="Arial" w:cs="Arial"/>
                <w:color w:val="000000"/>
                <w:sz w:val="14"/>
                <w:szCs w:val="14"/>
              </w:rPr>
              <w:t>696 </w:t>
            </w:r>
          </w:p>
        </w:tc>
        <w:tc>
          <w:tcPr>
            <w:tcW w:w="0" w:type="auto"/>
            <w:shd w:val="clear" w:color="auto" w:fill="CCEEFF"/>
            <w:tcMar>
              <w:top w:w="40" w:type="dxa"/>
              <w:left w:w="0" w:type="dxa"/>
              <w:bottom w:w="40" w:type="dxa"/>
              <w:right w:w="20" w:type="dxa"/>
            </w:tcMar>
            <w:vAlign w:val="bottom"/>
          </w:tcPr>
          <w:p w14:paraId="71D473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33D" w14:textId="77777777" w:rsidR="006A3667" w:rsidRDefault="00045F32">
            <w:pPr>
              <w:jc w:val="right"/>
              <w:textAlignment w:val="bottom"/>
            </w:pPr>
            <w:r>
              <w:rPr>
                <w:rFonts w:ascii="Arial" w:eastAsia="宋体" w:hAnsi="Arial" w:cs="Arial"/>
                <w:color w:val="000000"/>
                <w:sz w:val="14"/>
                <w:szCs w:val="14"/>
              </w:rPr>
              <w:t>(451)</w:t>
            </w:r>
          </w:p>
        </w:tc>
        <w:tc>
          <w:tcPr>
            <w:tcW w:w="0" w:type="auto"/>
            <w:shd w:val="clear" w:color="auto" w:fill="CCEEFF"/>
            <w:tcMar>
              <w:top w:w="40" w:type="dxa"/>
              <w:left w:w="0" w:type="dxa"/>
              <w:bottom w:w="40" w:type="dxa"/>
              <w:right w:w="20" w:type="dxa"/>
            </w:tcMar>
            <w:vAlign w:val="bottom"/>
          </w:tcPr>
          <w:p w14:paraId="71D473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3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340" w14:textId="77777777" w:rsidR="006A3667" w:rsidRDefault="00045F32">
            <w:pPr>
              <w:jc w:val="right"/>
              <w:textAlignment w:val="bottom"/>
            </w:pPr>
            <w:r>
              <w:rPr>
                <w:rFonts w:ascii="Arial" w:eastAsia="宋体" w:hAnsi="Arial" w:cs="Arial"/>
                <w:color w:val="000000"/>
                <w:sz w:val="14"/>
                <w:szCs w:val="14"/>
              </w:rPr>
              <w:t>245 </w:t>
            </w:r>
          </w:p>
        </w:tc>
        <w:tc>
          <w:tcPr>
            <w:tcW w:w="0" w:type="auto"/>
            <w:shd w:val="clear" w:color="auto" w:fill="CCEEFF"/>
            <w:tcMar>
              <w:top w:w="40" w:type="dxa"/>
              <w:left w:w="0" w:type="dxa"/>
              <w:bottom w:w="40" w:type="dxa"/>
              <w:right w:w="20" w:type="dxa"/>
            </w:tcMar>
            <w:vAlign w:val="bottom"/>
          </w:tcPr>
          <w:p w14:paraId="71D47341" w14:textId="77777777" w:rsidR="006A3667" w:rsidRDefault="006A3667">
            <w:pPr>
              <w:jc w:val="right"/>
              <w:rPr>
                <w:rFonts w:ascii="宋体"/>
              </w:rPr>
            </w:pPr>
          </w:p>
        </w:tc>
      </w:tr>
      <w:tr w:rsidR="006A3667" w14:paraId="71D4734C" w14:textId="77777777">
        <w:tc>
          <w:tcPr>
            <w:tcW w:w="0" w:type="auto"/>
            <w:gridSpan w:val="3"/>
            <w:shd w:val="clear" w:color="auto" w:fill="auto"/>
            <w:tcMar>
              <w:top w:w="40" w:type="dxa"/>
              <w:left w:w="20" w:type="dxa"/>
              <w:bottom w:w="40" w:type="dxa"/>
              <w:right w:w="20" w:type="dxa"/>
            </w:tcMar>
            <w:vAlign w:val="bottom"/>
          </w:tcPr>
          <w:p w14:paraId="71D47343"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71D47344" w14:textId="77777777" w:rsidR="006A3667" w:rsidRDefault="00045F32">
            <w:pPr>
              <w:jc w:val="right"/>
              <w:textAlignment w:val="bottom"/>
            </w:pPr>
            <w:r>
              <w:rPr>
                <w:rFonts w:ascii="Arial" w:eastAsia="宋体" w:hAnsi="Arial" w:cs="Arial"/>
                <w:color w:val="000000"/>
                <w:sz w:val="14"/>
                <w:szCs w:val="14"/>
              </w:rPr>
              <w:t>96 </w:t>
            </w:r>
          </w:p>
        </w:tc>
        <w:tc>
          <w:tcPr>
            <w:tcW w:w="0" w:type="auto"/>
            <w:shd w:val="clear" w:color="auto" w:fill="FFFFFF"/>
            <w:tcMar>
              <w:top w:w="40" w:type="dxa"/>
              <w:left w:w="0" w:type="dxa"/>
              <w:bottom w:w="40" w:type="dxa"/>
              <w:right w:w="20" w:type="dxa"/>
            </w:tcMar>
            <w:vAlign w:val="bottom"/>
          </w:tcPr>
          <w:p w14:paraId="71D473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4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47" w14:textId="77777777" w:rsidR="006A3667" w:rsidRDefault="00045F32">
            <w:pPr>
              <w:jc w:val="right"/>
              <w:textAlignment w:val="bottom"/>
            </w:pPr>
            <w:r>
              <w:rPr>
                <w:rFonts w:ascii="Arial" w:eastAsia="宋体" w:hAnsi="Arial" w:cs="Arial"/>
                <w:color w:val="000000"/>
                <w:sz w:val="14"/>
                <w:szCs w:val="14"/>
              </w:rPr>
              <w:t>(75)</w:t>
            </w:r>
          </w:p>
        </w:tc>
        <w:tc>
          <w:tcPr>
            <w:tcW w:w="0" w:type="auto"/>
            <w:shd w:val="clear" w:color="auto" w:fill="FFFFFF"/>
            <w:tcMar>
              <w:top w:w="40" w:type="dxa"/>
              <w:left w:w="0" w:type="dxa"/>
              <w:bottom w:w="40" w:type="dxa"/>
              <w:right w:w="20" w:type="dxa"/>
            </w:tcMar>
            <w:vAlign w:val="bottom"/>
          </w:tcPr>
          <w:p w14:paraId="71D473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4A" w14:textId="77777777" w:rsidR="006A3667" w:rsidRDefault="00045F32">
            <w:pPr>
              <w:jc w:val="right"/>
              <w:textAlignment w:val="bottom"/>
            </w:pPr>
            <w:r>
              <w:rPr>
                <w:rFonts w:ascii="Arial" w:eastAsia="宋体" w:hAnsi="Arial" w:cs="Arial"/>
                <w:color w:val="000000"/>
                <w:sz w:val="14"/>
                <w:szCs w:val="14"/>
              </w:rPr>
              <w:t>21 </w:t>
            </w:r>
          </w:p>
        </w:tc>
        <w:tc>
          <w:tcPr>
            <w:tcW w:w="0" w:type="auto"/>
            <w:shd w:val="clear" w:color="auto" w:fill="FFFFFF"/>
            <w:tcMar>
              <w:top w:w="40" w:type="dxa"/>
              <w:left w:w="0" w:type="dxa"/>
              <w:bottom w:w="40" w:type="dxa"/>
              <w:right w:w="20" w:type="dxa"/>
            </w:tcMar>
            <w:vAlign w:val="bottom"/>
          </w:tcPr>
          <w:p w14:paraId="71D4734B" w14:textId="77777777" w:rsidR="006A3667" w:rsidRDefault="006A3667">
            <w:pPr>
              <w:jc w:val="right"/>
              <w:rPr>
                <w:rFonts w:ascii="宋体"/>
              </w:rPr>
            </w:pPr>
          </w:p>
        </w:tc>
      </w:tr>
      <w:tr w:rsidR="006A3667" w14:paraId="71D47359" w14:textId="77777777">
        <w:tc>
          <w:tcPr>
            <w:tcW w:w="0" w:type="auto"/>
            <w:gridSpan w:val="3"/>
            <w:shd w:val="clear" w:color="auto" w:fill="CCEEFF"/>
            <w:tcMar>
              <w:top w:w="40" w:type="dxa"/>
              <w:left w:w="20" w:type="dxa"/>
              <w:bottom w:w="40" w:type="dxa"/>
              <w:right w:w="20" w:type="dxa"/>
            </w:tcMar>
            <w:vAlign w:val="bottom"/>
          </w:tcPr>
          <w:p w14:paraId="71D4734D"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34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34F" w14:textId="77777777" w:rsidR="006A3667" w:rsidRDefault="00045F32">
            <w:pPr>
              <w:jc w:val="right"/>
              <w:textAlignment w:val="bottom"/>
            </w:pPr>
            <w:r>
              <w:rPr>
                <w:rFonts w:ascii="Arial" w:eastAsia="宋体" w:hAnsi="Arial" w:cs="Arial"/>
                <w:color w:val="000000"/>
                <w:sz w:val="14"/>
                <w:szCs w:val="14"/>
              </w:rPr>
              <w:t>3,981 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3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51"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35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353" w14:textId="77777777" w:rsidR="006A3667" w:rsidRDefault="00045F32">
            <w:pPr>
              <w:jc w:val="right"/>
              <w:textAlignment w:val="bottom"/>
            </w:pPr>
            <w:r>
              <w:rPr>
                <w:rFonts w:ascii="Arial" w:eastAsia="宋体" w:hAnsi="Arial" w:cs="Arial"/>
                <w:color w:val="000000"/>
                <w:sz w:val="14"/>
                <w:szCs w:val="14"/>
              </w:rPr>
              <w:t>(2,165)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3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55"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35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357" w14:textId="77777777" w:rsidR="006A3667" w:rsidRDefault="00045F32">
            <w:pPr>
              <w:jc w:val="right"/>
              <w:textAlignment w:val="bottom"/>
            </w:pPr>
            <w:r>
              <w:rPr>
                <w:rFonts w:ascii="Arial" w:eastAsia="宋体" w:hAnsi="Arial" w:cs="Arial"/>
                <w:color w:val="000000"/>
                <w:sz w:val="14"/>
                <w:szCs w:val="14"/>
              </w:rPr>
              <w:t>1,816 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358" w14:textId="77777777" w:rsidR="006A3667" w:rsidRDefault="006A3667">
            <w:pPr>
              <w:jc w:val="right"/>
              <w:rPr>
                <w:rFonts w:ascii="宋体"/>
              </w:rPr>
            </w:pPr>
          </w:p>
        </w:tc>
      </w:tr>
      <w:tr w:rsidR="006A3667" w14:paraId="71D47360" w14:textId="77777777">
        <w:trPr>
          <w:hidden/>
        </w:trPr>
        <w:tc>
          <w:tcPr>
            <w:tcW w:w="0" w:type="auto"/>
            <w:gridSpan w:val="3"/>
            <w:shd w:val="clear" w:color="auto" w:fill="auto"/>
            <w:vAlign w:val="bottom"/>
          </w:tcPr>
          <w:p w14:paraId="71D4735A" w14:textId="77777777" w:rsidR="006A3667" w:rsidRDefault="006A3667">
            <w:pPr>
              <w:rPr>
                <w:rFonts w:ascii="宋体"/>
                <w:vanish/>
              </w:rPr>
            </w:pPr>
          </w:p>
        </w:tc>
        <w:tc>
          <w:tcPr>
            <w:tcW w:w="0" w:type="auto"/>
            <w:gridSpan w:val="3"/>
            <w:shd w:val="clear" w:color="auto" w:fill="auto"/>
            <w:vAlign w:val="bottom"/>
          </w:tcPr>
          <w:p w14:paraId="71D4735B" w14:textId="77777777" w:rsidR="006A3667" w:rsidRDefault="006A3667">
            <w:pPr>
              <w:rPr>
                <w:rFonts w:ascii="宋体"/>
                <w:vanish/>
              </w:rPr>
            </w:pPr>
          </w:p>
        </w:tc>
        <w:tc>
          <w:tcPr>
            <w:tcW w:w="0" w:type="auto"/>
            <w:gridSpan w:val="3"/>
            <w:shd w:val="clear" w:color="auto" w:fill="auto"/>
            <w:vAlign w:val="bottom"/>
          </w:tcPr>
          <w:p w14:paraId="71D4735C" w14:textId="77777777" w:rsidR="006A3667" w:rsidRDefault="006A3667">
            <w:pPr>
              <w:rPr>
                <w:rFonts w:ascii="宋体"/>
                <w:vanish/>
              </w:rPr>
            </w:pPr>
          </w:p>
        </w:tc>
        <w:tc>
          <w:tcPr>
            <w:tcW w:w="0" w:type="auto"/>
            <w:gridSpan w:val="3"/>
            <w:shd w:val="clear" w:color="auto" w:fill="auto"/>
            <w:vAlign w:val="bottom"/>
          </w:tcPr>
          <w:p w14:paraId="71D4735D" w14:textId="77777777" w:rsidR="006A3667" w:rsidRDefault="006A3667">
            <w:pPr>
              <w:rPr>
                <w:rFonts w:ascii="宋体"/>
                <w:vanish/>
              </w:rPr>
            </w:pPr>
          </w:p>
        </w:tc>
        <w:tc>
          <w:tcPr>
            <w:tcW w:w="0" w:type="auto"/>
            <w:gridSpan w:val="3"/>
            <w:shd w:val="clear" w:color="auto" w:fill="auto"/>
            <w:vAlign w:val="bottom"/>
          </w:tcPr>
          <w:p w14:paraId="71D4735E" w14:textId="77777777" w:rsidR="006A3667" w:rsidRDefault="006A3667">
            <w:pPr>
              <w:rPr>
                <w:rFonts w:ascii="宋体"/>
                <w:vanish/>
              </w:rPr>
            </w:pPr>
          </w:p>
        </w:tc>
        <w:tc>
          <w:tcPr>
            <w:tcW w:w="0" w:type="auto"/>
            <w:gridSpan w:val="3"/>
            <w:shd w:val="clear" w:color="auto" w:fill="auto"/>
            <w:vAlign w:val="bottom"/>
          </w:tcPr>
          <w:p w14:paraId="71D4735F" w14:textId="77777777" w:rsidR="006A3667" w:rsidRDefault="006A3667">
            <w:pPr>
              <w:rPr>
                <w:rFonts w:ascii="宋体"/>
                <w:vanish/>
              </w:rPr>
            </w:pPr>
          </w:p>
        </w:tc>
      </w:tr>
    </w:tbl>
    <w:p w14:paraId="71D47361" w14:textId="77777777" w:rsidR="006A3667" w:rsidRDefault="00045F32">
      <w:pPr>
        <w:spacing w:before="180"/>
      </w:pPr>
      <w:r>
        <w:rPr>
          <w:rFonts w:ascii="Arial" w:eastAsia="宋体" w:hAnsi="Arial" w:cs="Arial"/>
          <w:b/>
          <w:bCs/>
          <w:color w:val="000000"/>
          <w:sz w:val="20"/>
          <w:szCs w:val="20"/>
        </w:rPr>
        <w:t>Note 6.    Other Assets</w:t>
      </w:r>
    </w:p>
    <w:p w14:paraId="71D47362" w14:textId="77777777" w:rsidR="006A3667" w:rsidRDefault="00045F32">
      <w:pPr>
        <w:spacing w:before="60"/>
        <w:ind w:firstLine="450"/>
        <w:jc w:val="both"/>
      </w:pPr>
      <w:r>
        <w:rPr>
          <w:rFonts w:ascii="Arial" w:eastAsia="宋体" w:hAnsi="Arial" w:cs="Arial"/>
          <w:color w:val="000000"/>
          <w:sz w:val="20"/>
          <w:szCs w:val="20"/>
        </w:rPr>
        <w:t>The following table presents the components of other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8"/>
        <w:gridCol w:w="4396"/>
        <w:gridCol w:w="39"/>
        <w:gridCol w:w="99"/>
        <w:gridCol w:w="1751"/>
        <w:gridCol w:w="36"/>
        <w:gridCol w:w="36"/>
        <w:gridCol w:w="36"/>
        <w:gridCol w:w="36"/>
        <w:gridCol w:w="99"/>
        <w:gridCol w:w="1724"/>
        <w:gridCol w:w="36"/>
      </w:tblGrid>
      <w:tr w:rsidR="006A3667" w14:paraId="71D4736F" w14:textId="77777777">
        <w:tc>
          <w:tcPr>
            <w:tcW w:w="50" w:type="pct"/>
            <w:shd w:val="clear" w:color="auto" w:fill="auto"/>
            <w:vAlign w:val="bottom"/>
          </w:tcPr>
          <w:p w14:paraId="71D47363" w14:textId="77777777" w:rsidR="006A3667" w:rsidRDefault="006A3667">
            <w:pPr>
              <w:rPr>
                <w:rFonts w:ascii="宋体"/>
              </w:rPr>
            </w:pPr>
          </w:p>
        </w:tc>
        <w:tc>
          <w:tcPr>
            <w:tcW w:w="2656" w:type="pct"/>
            <w:shd w:val="clear" w:color="auto" w:fill="auto"/>
            <w:vAlign w:val="bottom"/>
          </w:tcPr>
          <w:p w14:paraId="71D47364" w14:textId="77777777" w:rsidR="006A3667" w:rsidRDefault="006A3667">
            <w:pPr>
              <w:rPr>
                <w:rFonts w:ascii="宋体"/>
              </w:rPr>
            </w:pPr>
          </w:p>
        </w:tc>
        <w:tc>
          <w:tcPr>
            <w:tcW w:w="5" w:type="pct"/>
            <w:shd w:val="clear" w:color="auto" w:fill="auto"/>
            <w:vAlign w:val="bottom"/>
          </w:tcPr>
          <w:p w14:paraId="71D47365" w14:textId="77777777" w:rsidR="006A3667" w:rsidRDefault="006A3667">
            <w:pPr>
              <w:rPr>
                <w:rFonts w:ascii="宋体"/>
              </w:rPr>
            </w:pPr>
          </w:p>
        </w:tc>
        <w:tc>
          <w:tcPr>
            <w:tcW w:w="50" w:type="pct"/>
            <w:shd w:val="clear" w:color="auto" w:fill="auto"/>
            <w:vAlign w:val="bottom"/>
          </w:tcPr>
          <w:p w14:paraId="71D47366" w14:textId="77777777" w:rsidR="006A3667" w:rsidRDefault="006A3667">
            <w:pPr>
              <w:rPr>
                <w:rFonts w:ascii="宋体"/>
              </w:rPr>
            </w:pPr>
          </w:p>
        </w:tc>
        <w:tc>
          <w:tcPr>
            <w:tcW w:w="1070" w:type="pct"/>
            <w:shd w:val="clear" w:color="auto" w:fill="auto"/>
            <w:vAlign w:val="bottom"/>
          </w:tcPr>
          <w:p w14:paraId="71D47367" w14:textId="77777777" w:rsidR="006A3667" w:rsidRDefault="006A3667">
            <w:pPr>
              <w:rPr>
                <w:rFonts w:ascii="宋体"/>
              </w:rPr>
            </w:pPr>
          </w:p>
        </w:tc>
        <w:tc>
          <w:tcPr>
            <w:tcW w:w="5" w:type="pct"/>
            <w:shd w:val="clear" w:color="auto" w:fill="auto"/>
            <w:vAlign w:val="bottom"/>
          </w:tcPr>
          <w:p w14:paraId="71D47368" w14:textId="77777777" w:rsidR="006A3667" w:rsidRDefault="006A3667">
            <w:pPr>
              <w:rPr>
                <w:rFonts w:ascii="宋体"/>
              </w:rPr>
            </w:pPr>
          </w:p>
        </w:tc>
        <w:tc>
          <w:tcPr>
            <w:tcW w:w="5" w:type="pct"/>
            <w:shd w:val="clear" w:color="auto" w:fill="auto"/>
            <w:vAlign w:val="bottom"/>
          </w:tcPr>
          <w:p w14:paraId="71D47369" w14:textId="77777777" w:rsidR="006A3667" w:rsidRDefault="006A3667">
            <w:pPr>
              <w:rPr>
                <w:rFonts w:ascii="宋体"/>
              </w:rPr>
            </w:pPr>
          </w:p>
        </w:tc>
        <w:tc>
          <w:tcPr>
            <w:tcW w:w="26" w:type="pct"/>
            <w:shd w:val="clear" w:color="auto" w:fill="auto"/>
            <w:vAlign w:val="bottom"/>
          </w:tcPr>
          <w:p w14:paraId="71D4736A" w14:textId="77777777" w:rsidR="006A3667" w:rsidRDefault="006A3667">
            <w:pPr>
              <w:rPr>
                <w:rFonts w:ascii="宋体"/>
              </w:rPr>
            </w:pPr>
          </w:p>
        </w:tc>
        <w:tc>
          <w:tcPr>
            <w:tcW w:w="5" w:type="pct"/>
            <w:shd w:val="clear" w:color="auto" w:fill="auto"/>
            <w:vAlign w:val="bottom"/>
          </w:tcPr>
          <w:p w14:paraId="71D4736B" w14:textId="77777777" w:rsidR="006A3667" w:rsidRDefault="006A3667">
            <w:pPr>
              <w:rPr>
                <w:rFonts w:ascii="宋体"/>
              </w:rPr>
            </w:pPr>
          </w:p>
        </w:tc>
        <w:tc>
          <w:tcPr>
            <w:tcW w:w="50" w:type="pct"/>
            <w:shd w:val="clear" w:color="auto" w:fill="auto"/>
            <w:vAlign w:val="bottom"/>
          </w:tcPr>
          <w:p w14:paraId="71D4736C" w14:textId="77777777" w:rsidR="006A3667" w:rsidRDefault="006A3667">
            <w:pPr>
              <w:rPr>
                <w:rFonts w:ascii="宋体"/>
              </w:rPr>
            </w:pPr>
          </w:p>
        </w:tc>
        <w:tc>
          <w:tcPr>
            <w:tcW w:w="1070" w:type="pct"/>
            <w:shd w:val="clear" w:color="auto" w:fill="auto"/>
            <w:vAlign w:val="bottom"/>
          </w:tcPr>
          <w:p w14:paraId="71D4736D" w14:textId="77777777" w:rsidR="006A3667" w:rsidRDefault="006A3667">
            <w:pPr>
              <w:rPr>
                <w:rFonts w:ascii="宋体"/>
              </w:rPr>
            </w:pPr>
          </w:p>
        </w:tc>
        <w:tc>
          <w:tcPr>
            <w:tcW w:w="5" w:type="pct"/>
            <w:shd w:val="clear" w:color="auto" w:fill="auto"/>
            <w:vAlign w:val="bottom"/>
          </w:tcPr>
          <w:p w14:paraId="71D4736E" w14:textId="77777777" w:rsidR="006A3667" w:rsidRDefault="006A3667">
            <w:pPr>
              <w:rPr>
                <w:rFonts w:ascii="宋体"/>
              </w:rPr>
            </w:pPr>
          </w:p>
        </w:tc>
      </w:tr>
      <w:tr w:rsidR="006A3667" w14:paraId="71D47374" w14:textId="77777777">
        <w:tc>
          <w:tcPr>
            <w:tcW w:w="0" w:type="auto"/>
            <w:gridSpan w:val="3"/>
            <w:shd w:val="clear" w:color="auto" w:fill="auto"/>
            <w:tcMar>
              <w:top w:w="40" w:type="dxa"/>
              <w:left w:w="20" w:type="dxa"/>
              <w:bottom w:w="40" w:type="dxa"/>
              <w:right w:w="20" w:type="dxa"/>
            </w:tcMar>
            <w:vAlign w:val="bottom"/>
          </w:tcPr>
          <w:p w14:paraId="71D47370"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7371"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7372"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373"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737D" w14:textId="77777777">
        <w:tc>
          <w:tcPr>
            <w:tcW w:w="0" w:type="auto"/>
            <w:gridSpan w:val="3"/>
            <w:shd w:val="clear" w:color="auto" w:fill="CCEEFF"/>
            <w:tcMar>
              <w:top w:w="40" w:type="dxa"/>
              <w:left w:w="20" w:type="dxa"/>
              <w:bottom w:w="40" w:type="dxa"/>
              <w:right w:w="20" w:type="dxa"/>
            </w:tcMar>
            <w:vAlign w:val="bottom"/>
          </w:tcPr>
          <w:p w14:paraId="71D47375" w14:textId="77777777" w:rsidR="006A3667" w:rsidRDefault="00045F32">
            <w:pPr>
              <w:textAlignment w:val="bottom"/>
            </w:pPr>
            <w:r>
              <w:rPr>
                <w:rFonts w:ascii="Arial" w:eastAsia="宋体" w:hAnsi="Arial" w:cs="Arial"/>
                <w:color w:val="000000"/>
                <w:sz w:val="14"/>
                <w:szCs w:val="14"/>
              </w:rPr>
              <w:t>Securities 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376"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377" w14:textId="77777777" w:rsidR="006A3667" w:rsidRDefault="00045F32">
            <w:pPr>
              <w:jc w:val="right"/>
              <w:textAlignment w:val="bottom"/>
            </w:pPr>
            <w:r>
              <w:rPr>
                <w:rFonts w:ascii="Arial" w:eastAsia="宋体" w:hAnsi="Arial" w:cs="Arial"/>
                <w:b/>
                <w:bCs/>
                <w:color w:val="000000"/>
                <w:sz w:val="14"/>
                <w:szCs w:val="14"/>
              </w:rPr>
              <w:t>16,891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37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7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37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37B" w14:textId="77777777" w:rsidR="006A3667" w:rsidRDefault="00045F32">
            <w:pPr>
              <w:jc w:val="right"/>
              <w:textAlignment w:val="bottom"/>
            </w:pPr>
            <w:r>
              <w:rPr>
                <w:rFonts w:ascii="Arial" w:eastAsia="宋体" w:hAnsi="Arial" w:cs="Arial"/>
                <w:color w:val="000000"/>
                <w:sz w:val="14"/>
                <w:szCs w:val="14"/>
              </w:rPr>
              <w:t>22,300 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37C" w14:textId="77777777" w:rsidR="006A3667" w:rsidRDefault="006A3667">
            <w:pPr>
              <w:jc w:val="right"/>
              <w:rPr>
                <w:rFonts w:ascii="宋体"/>
              </w:rPr>
            </w:pPr>
          </w:p>
        </w:tc>
      </w:tr>
      <w:tr w:rsidR="006A3667" w14:paraId="71D47384" w14:textId="77777777">
        <w:tc>
          <w:tcPr>
            <w:tcW w:w="0" w:type="auto"/>
            <w:gridSpan w:val="3"/>
            <w:shd w:val="clear" w:color="auto" w:fill="FFFFFF"/>
            <w:tcMar>
              <w:top w:w="40" w:type="dxa"/>
              <w:left w:w="20" w:type="dxa"/>
              <w:bottom w:w="40" w:type="dxa"/>
              <w:right w:w="20" w:type="dxa"/>
            </w:tcMar>
            <w:vAlign w:val="bottom"/>
          </w:tcPr>
          <w:p w14:paraId="71D4737E" w14:textId="77777777" w:rsidR="006A3667" w:rsidRDefault="00045F32">
            <w:pPr>
              <w:textAlignment w:val="bottom"/>
            </w:pPr>
            <w:r>
              <w:rPr>
                <w:rFonts w:ascii="Arial" w:eastAsia="宋体" w:hAnsi="Arial" w:cs="Arial"/>
                <w:color w:val="000000"/>
                <w:sz w:val="14"/>
                <w:szCs w:val="14"/>
              </w:rPr>
              <w:t>Derivative instruments, net</w:t>
            </w:r>
          </w:p>
        </w:tc>
        <w:tc>
          <w:tcPr>
            <w:tcW w:w="0" w:type="auto"/>
            <w:gridSpan w:val="2"/>
            <w:shd w:val="clear" w:color="auto" w:fill="FFFFFF"/>
            <w:tcMar>
              <w:top w:w="40" w:type="dxa"/>
              <w:left w:w="20" w:type="dxa"/>
              <w:bottom w:w="40" w:type="dxa"/>
              <w:right w:w="0" w:type="dxa"/>
            </w:tcMar>
            <w:vAlign w:val="bottom"/>
          </w:tcPr>
          <w:p w14:paraId="71D4737F" w14:textId="77777777" w:rsidR="006A3667" w:rsidRDefault="00045F32">
            <w:pPr>
              <w:jc w:val="right"/>
              <w:textAlignment w:val="bottom"/>
            </w:pPr>
            <w:r>
              <w:rPr>
                <w:rFonts w:ascii="Arial" w:eastAsia="宋体" w:hAnsi="Arial" w:cs="Arial"/>
                <w:b/>
                <w:bCs/>
                <w:color w:val="000000"/>
                <w:sz w:val="14"/>
                <w:szCs w:val="14"/>
              </w:rPr>
              <w:t>11,184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38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8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82" w14:textId="77777777" w:rsidR="006A3667" w:rsidRDefault="00045F32">
            <w:pPr>
              <w:jc w:val="right"/>
              <w:textAlignment w:val="bottom"/>
            </w:pPr>
            <w:r>
              <w:rPr>
                <w:rFonts w:ascii="Arial" w:eastAsia="宋体" w:hAnsi="Arial" w:cs="Arial"/>
                <w:color w:val="000000"/>
                <w:sz w:val="14"/>
                <w:szCs w:val="14"/>
              </w:rPr>
              <w:t>4,108 </w:t>
            </w:r>
          </w:p>
        </w:tc>
        <w:tc>
          <w:tcPr>
            <w:tcW w:w="0" w:type="auto"/>
            <w:shd w:val="clear" w:color="auto" w:fill="FFFFFF"/>
            <w:tcMar>
              <w:top w:w="40" w:type="dxa"/>
              <w:left w:w="0" w:type="dxa"/>
              <w:bottom w:w="40" w:type="dxa"/>
              <w:right w:w="20" w:type="dxa"/>
            </w:tcMar>
            <w:vAlign w:val="bottom"/>
          </w:tcPr>
          <w:p w14:paraId="71D47383" w14:textId="77777777" w:rsidR="006A3667" w:rsidRDefault="006A3667">
            <w:pPr>
              <w:jc w:val="right"/>
              <w:rPr>
                <w:rFonts w:ascii="宋体"/>
              </w:rPr>
            </w:pPr>
          </w:p>
        </w:tc>
      </w:tr>
      <w:tr w:rsidR="006A3667" w14:paraId="71D4738B" w14:textId="77777777">
        <w:tc>
          <w:tcPr>
            <w:tcW w:w="0" w:type="auto"/>
            <w:gridSpan w:val="3"/>
            <w:shd w:val="clear" w:color="auto" w:fill="CCEEFF"/>
            <w:tcMar>
              <w:top w:w="40" w:type="dxa"/>
              <w:left w:w="20" w:type="dxa"/>
              <w:bottom w:w="40" w:type="dxa"/>
              <w:right w:w="20" w:type="dxa"/>
            </w:tcMar>
            <w:vAlign w:val="bottom"/>
          </w:tcPr>
          <w:p w14:paraId="71D47385" w14:textId="77777777" w:rsidR="006A3667" w:rsidRDefault="00045F32">
            <w:pPr>
              <w:textAlignment w:val="bottom"/>
            </w:pPr>
            <w:r>
              <w:rPr>
                <w:rFonts w:ascii="Arial" w:eastAsia="宋体" w:hAnsi="Arial" w:cs="Arial"/>
                <w:color w:val="000000"/>
                <w:sz w:val="14"/>
                <w:szCs w:val="14"/>
              </w:rPr>
              <w:t>Bank-owned life insurance</w:t>
            </w:r>
          </w:p>
        </w:tc>
        <w:tc>
          <w:tcPr>
            <w:tcW w:w="0" w:type="auto"/>
            <w:gridSpan w:val="2"/>
            <w:shd w:val="clear" w:color="auto" w:fill="CCEEFF"/>
            <w:tcMar>
              <w:top w:w="40" w:type="dxa"/>
              <w:left w:w="20" w:type="dxa"/>
              <w:bottom w:w="40" w:type="dxa"/>
              <w:right w:w="0" w:type="dxa"/>
            </w:tcMar>
            <w:vAlign w:val="bottom"/>
          </w:tcPr>
          <w:p w14:paraId="71D47386" w14:textId="77777777" w:rsidR="006A3667" w:rsidRDefault="00045F32">
            <w:pPr>
              <w:jc w:val="right"/>
              <w:textAlignment w:val="bottom"/>
            </w:pPr>
            <w:r>
              <w:rPr>
                <w:rFonts w:ascii="Arial" w:eastAsia="宋体" w:hAnsi="Arial" w:cs="Arial"/>
                <w:b/>
                <w:bCs/>
                <w:color w:val="000000"/>
                <w:sz w:val="14"/>
                <w:szCs w:val="14"/>
              </w:rPr>
              <w:t>3,628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38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8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389" w14:textId="77777777" w:rsidR="006A3667" w:rsidRDefault="00045F32">
            <w:pPr>
              <w:jc w:val="right"/>
              <w:textAlignment w:val="bottom"/>
            </w:pPr>
            <w:r>
              <w:rPr>
                <w:rFonts w:ascii="Arial" w:eastAsia="宋体" w:hAnsi="Arial" w:cs="Arial"/>
                <w:color w:val="000000"/>
                <w:sz w:val="14"/>
                <w:szCs w:val="14"/>
              </w:rPr>
              <w:t>3,554 </w:t>
            </w:r>
          </w:p>
        </w:tc>
        <w:tc>
          <w:tcPr>
            <w:tcW w:w="0" w:type="auto"/>
            <w:shd w:val="clear" w:color="auto" w:fill="CCEEFF"/>
            <w:tcMar>
              <w:top w:w="40" w:type="dxa"/>
              <w:left w:w="0" w:type="dxa"/>
              <w:bottom w:w="40" w:type="dxa"/>
              <w:right w:w="20" w:type="dxa"/>
            </w:tcMar>
            <w:vAlign w:val="bottom"/>
          </w:tcPr>
          <w:p w14:paraId="71D4738A" w14:textId="77777777" w:rsidR="006A3667" w:rsidRDefault="006A3667">
            <w:pPr>
              <w:jc w:val="right"/>
              <w:rPr>
                <w:rFonts w:ascii="宋体"/>
              </w:rPr>
            </w:pPr>
          </w:p>
        </w:tc>
      </w:tr>
      <w:tr w:rsidR="006A3667" w14:paraId="71D47392" w14:textId="77777777">
        <w:tc>
          <w:tcPr>
            <w:tcW w:w="0" w:type="auto"/>
            <w:gridSpan w:val="3"/>
            <w:shd w:val="clear" w:color="auto" w:fill="FFFFFF"/>
            <w:tcMar>
              <w:top w:w="40" w:type="dxa"/>
              <w:left w:w="20" w:type="dxa"/>
              <w:bottom w:w="40" w:type="dxa"/>
              <w:right w:w="20" w:type="dxa"/>
            </w:tcMar>
            <w:vAlign w:val="bottom"/>
          </w:tcPr>
          <w:p w14:paraId="71D4738C" w14:textId="77777777" w:rsidR="006A3667" w:rsidRDefault="00045F32">
            <w:pPr>
              <w:textAlignment w:val="bottom"/>
            </w:pPr>
            <w:r>
              <w:rPr>
                <w:rFonts w:ascii="Arial" w:eastAsia="宋体" w:hAnsi="Arial" w:cs="Arial"/>
                <w:color w:val="000000"/>
                <w:sz w:val="14"/>
                <w:szCs w:val="14"/>
              </w:rPr>
              <w:t>Investments in joint ventures and other unconsolidated entities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71D4738D" w14:textId="77777777" w:rsidR="006A3667" w:rsidRDefault="00045F32">
            <w:pPr>
              <w:jc w:val="right"/>
              <w:textAlignment w:val="bottom"/>
            </w:pPr>
            <w:r>
              <w:rPr>
                <w:rFonts w:ascii="Arial" w:eastAsia="宋体" w:hAnsi="Arial" w:cs="Arial"/>
                <w:b/>
                <w:bCs/>
                <w:color w:val="000000"/>
                <w:sz w:val="14"/>
                <w:szCs w:val="14"/>
              </w:rPr>
              <w:t>3,250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38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8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90" w14:textId="77777777" w:rsidR="006A3667" w:rsidRDefault="00045F32">
            <w:pPr>
              <w:jc w:val="right"/>
              <w:textAlignment w:val="bottom"/>
            </w:pPr>
            <w:r>
              <w:rPr>
                <w:rFonts w:ascii="Arial" w:eastAsia="宋体" w:hAnsi="Arial" w:cs="Arial"/>
                <w:color w:val="000000"/>
                <w:sz w:val="14"/>
                <w:szCs w:val="14"/>
              </w:rPr>
              <w:t>3,162 </w:t>
            </w:r>
          </w:p>
        </w:tc>
        <w:tc>
          <w:tcPr>
            <w:tcW w:w="0" w:type="auto"/>
            <w:shd w:val="clear" w:color="auto" w:fill="FFFFFF"/>
            <w:tcMar>
              <w:top w:w="40" w:type="dxa"/>
              <w:left w:w="0" w:type="dxa"/>
              <w:bottom w:w="40" w:type="dxa"/>
              <w:right w:w="20" w:type="dxa"/>
            </w:tcMar>
            <w:vAlign w:val="bottom"/>
          </w:tcPr>
          <w:p w14:paraId="71D47391" w14:textId="77777777" w:rsidR="006A3667" w:rsidRDefault="006A3667">
            <w:pPr>
              <w:jc w:val="right"/>
              <w:rPr>
                <w:rFonts w:ascii="宋体"/>
              </w:rPr>
            </w:pPr>
          </w:p>
        </w:tc>
      </w:tr>
      <w:tr w:rsidR="006A3667" w14:paraId="71D47399" w14:textId="77777777">
        <w:tc>
          <w:tcPr>
            <w:tcW w:w="0" w:type="auto"/>
            <w:gridSpan w:val="3"/>
            <w:shd w:val="clear" w:color="auto" w:fill="CCEEFF"/>
            <w:tcMar>
              <w:top w:w="40" w:type="dxa"/>
              <w:left w:w="20" w:type="dxa"/>
              <w:bottom w:w="40" w:type="dxa"/>
              <w:right w:w="20" w:type="dxa"/>
            </w:tcMar>
            <w:vAlign w:val="bottom"/>
          </w:tcPr>
          <w:p w14:paraId="71D47393" w14:textId="77777777" w:rsidR="006A3667" w:rsidRDefault="00045F32">
            <w:pPr>
              <w:textAlignment w:val="bottom"/>
            </w:pPr>
            <w:r>
              <w:rPr>
                <w:rFonts w:ascii="Arial" w:eastAsia="宋体" w:hAnsi="Arial" w:cs="Arial"/>
                <w:color w:val="000000"/>
                <w:sz w:val="14"/>
                <w:szCs w:val="14"/>
              </w:rPr>
              <w:t>Collateral, net</w:t>
            </w:r>
          </w:p>
        </w:tc>
        <w:tc>
          <w:tcPr>
            <w:tcW w:w="0" w:type="auto"/>
            <w:gridSpan w:val="2"/>
            <w:shd w:val="clear" w:color="auto" w:fill="CCEEFF"/>
            <w:tcMar>
              <w:top w:w="40" w:type="dxa"/>
              <w:left w:w="20" w:type="dxa"/>
              <w:bottom w:w="40" w:type="dxa"/>
              <w:right w:w="0" w:type="dxa"/>
            </w:tcMar>
            <w:vAlign w:val="bottom"/>
          </w:tcPr>
          <w:p w14:paraId="71D47394" w14:textId="77777777" w:rsidR="006A3667" w:rsidRDefault="00045F32">
            <w:pPr>
              <w:jc w:val="right"/>
              <w:textAlignment w:val="bottom"/>
            </w:pPr>
            <w:r>
              <w:rPr>
                <w:rFonts w:ascii="Arial" w:eastAsia="宋体" w:hAnsi="Arial" w:cs="Arial"/>
                <w:b/>
                <w:bCs/>
                <w:color w:val="000000"/>
                <w:sz w:val="14"/>
                <w:szCs w:val="14"/>
              </w:rPr>
              <w:t>2,703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39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9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397" w14:textId="77777777" w:rsidR="006A3667" w:rsidRDefault="00045F32">
            <w:pPr>
              <w:jc w:val="right"/>
              <w:textAlignment w:val="bottom"/>
            </w:pPr>
            <w:r>
              <w:rPr>
                <w:rFonts w:ascii="Arial" w:eastAsia="宋体" w:hAnsi="Arial" w:cs="Arial"/>
                <w:color w:val="000000"/>
                <w:sz w:val="14"/>
                <w:szCs w:val="14"/>
              </w:rPr>
              <w:t>1,011 </w:t>
            </w:r>
          </w:p>
        </w:tc>
        <w:tc>
          <w:tcPr>
            <w:tcW w:w="0" w:type="auto"/>
            <w:shd w:val="clear" w:color="auto" w:fill="CCEEFF"/>
            <w:tcMar>
              <w:top w:w="40" w:type="dxa"/>
              <w:left w:w="0" w:type="dxa"/>
              <w:bottom w:w="40" w:type="dxa"/>
              <w:right w:w="20" w:type="dxa"/>
            </w:tcMar>
            <w:vAlign w:val="bottom"/>
          </w:tcPr>
          <w:p w14:paraId="71D47398" w14:textId="77777777" w:rsidR="006A3667" w:rsidRDefault="006A3667">
            <w:pPr>
              <w:jc w:val="right"/>
              <w:rPr>
                <w:rFonts w:ascii="宋体"/>
              </w:rPr>
            </w:pPr>
          </w:p>
        </w:tc>
      </w:tr>
      <w:tr w:rsidR="006A3667" w14:paraId="71D4739E" w14:textId="77777777">
        <w:trPr>
          <w:hidden/>
        </w:trPr>
        <w:tc>
          <w:tcPr>
            <w:tcW w:w="0" w:type="auto"/>
            <w:gridSpan w:val="3"/>
            <w:shd w:val="clear" w:color="auto" w:fill="auto"/>
            <w:vAlign w:val="bottom"/>
          </w:tcPr>
          <w:p w14:paraId="71D4739A" w14:textId="77777777" w:rsidR="006A3667" w:rsidRDefault="006A3667">
            <w:pPr>
              <w:rPr>
                <w:rFonts w:ascii="宋体"/>
                <w:vanish/>
              </w:rPr>
            </w:pPr>
          </w:p>
        </w:tc>
        <w:tc>
          <w:tcPr>
            <w:tcW w:w="0" w:type="auto"/>
            <w:gridSpan w:val="3"/>
            <w:shd w:val="clear" w:color="auto" w:fill="auto"/>
            <w:vAlign w:val="bottom"/>
          </w:tcPr>
          <w:p w14:paraId="71D4739B" w14:textId="77777777" w:rsidR="006A3667" w:rsidRDefault="006A3667">
            <w:pPr>
              <w:rPr>
                <w:rFonts w:ascii="宋体"/>
                <w:vanish/>
              </w:rPr>
            </w:pPr>
          </w:p>
        </w:tc>
        <w:tc>
          <w:tcPr>
            <w:tcW w:w="0" w:type="auto"/>
            <w:gridSpan w:val="3"/>
            <w:shd w:val="clear" w:color="auto" w:fill="auto"/>
            <w:vAlign w:val="bottom"/>
          </w:tcPr>
          <w:p w14:paraId="71D4739C" w14:textId="77777777" w:rsidR="006A3667" w:rsidRDefault="006A3667">
            <w:pPr>
              <w:rPr>
                <w:rFonts w:ascii="宋体"/>
                <w:vanish/>
              </w:rPr>
            </w:pPr>
          </w:p>
        </w:tc>
        <w:tc>
          <w:tcPr>
            <w:tcW w:w="0" w:type="auto"/>
            <w:gridSpan w:val="3"/>
            <w:shd w:val="clear" w:color="auto" w:fill="auto"/>
            <w:vAlign w:val="bottom"/>
          </w:tcPr>
          <w:p w14:paraId="71D4739D" w14:textId="77777777" w:rsidR="006A3667" w:rsidRDefault="006A3667">
            <w:pPr>
              <w:rPr>
                <w:rFonts w:ascii="宋体"/>
                <w:vanish/>
              </w:rPr>
            </w:pPr>
          </w:p>
        </w:tc>
      </w:tr>
      <w:tr w:rsidR="006A3667" w14:paraId="71D473A3" w14:textId="77777777">
        <w:trPr>
          <w:hidden/>
        </w:trPr>
        <w:tc>
          <w:tcPr>
            <w:tcW w:w="0" w:type="auto"/>
            <w:gridSpan w:val="3"/>
            <w:shd w:val="clear" w:color="auto" w:fill="auto"/>
            <w:vAlign w:val="bottom"/>
          </w:tcPr>
          <w:p w14:paraId="71D4739F" w14:textId="77777777" w:rsidR="006A3667" w:rsidRDefault="006A3667">
            <w:pPr>
              <w:rPr>
                <w:rFonts w:ascii="宋体"/>
                <w:vanish/>
              </w:rPr>
            </w:pPr>
          </w:p>
        </w:tc>
        <w:tc>
          <w:tcPr>
            <w:tcW w:w="0" w:type="auto"/>
            <w:gridSpan w:val="3"/>
            <w:shd w:val="clear" w:color="auto" w:fill="auto"/>
            <w:vAlign w:val="bottom"/>
          </w:tcPr>
          <w:p w14:paraId="71D473A0" w14:textId="77777777" w:rsidR="006A3667" w:rsidRDefault="006A3667">
            <w:pPr>
              <w:rPr>
                <w:rFonts w:ascii="宋体"/>
                <w:vanish/>
              </w:rPr>
            </w:pPr>
          </w:p>
        </w:tc>
        <w:tc>
          <w:tcPr>
            <w:tcW w:w="0" w:type="auto"/>
            <w:gridSpan w:val="3"/>
            <w:shd w:val="clear" w:color="auto" w:fill="auto"/>
            <w:vAlign w:val="bottom"/>
          </w:tcPr>
          <w:p w14:paraId="71D473A1" w14:textId="77777777" w:rsidR="006A3667" w:rsidRDefault="006A3667">
            <w:pPr>
              <w:rPr>
                <w:rFonts w:ascii="宋体"/>
                <w:vanish/>
              </w:rPr>
            </w:pPr>
          </w:p>
        </w:tc>
        <w:tc>
          <w:tcPr>
            <w:tcW w:w="0" w:type="auto"/>
            <w:gridSpan w:val="3"/>
            <w:shd w:val="clear" w:color="auto" w:fill="auto"/>
            <w:vAlign w:val="bottom"/>
          </w:tcPr>
          <w:p w14:paraId="71D473A2" w14:textId="77777777" w:rsidR="006A3667" w:rsidRDefault="006A3667">
            <w:pPr>
              <w:rPr>
                <w:rFonts w:ascii="宋体"/>
                <w:vanish/>
              </w:rPr>
            </w:pPr>
          </w:p>
        </w:tc>
      </w:tr>
      <w:tr w:rsidR="006A3667" w14:paraId="71D473A8" w14:textId="77777777">
        <w:trPr>
          <w:hidden/>
        </w:trPr>
        <w:tc>
          <w:tcPr>
            <w:tcW w:w="0" w:type="auto"/>
            <w:gridSpan w:val="3"/>
            <w:shd w:val="clear" w:color="auto" w:fill="auto"/>
            <w:vAlign w:val="bottom"/>
          </w:tcPr>
          <w:p w14:paraId="71D473A4" w14:textId="77777777" w:rsidR="006A3667" w:rsidRDefault="006A3667">
            <w:pPr>
              <w:rPr>
                <w:rFonts w:ascii="宋体"/>
                <w:vanish/>
              </w:rPr>
            </w:pPr>
          </w:p>
        </w:tc>
        <w:tc>
          <w:tcPr>
            <w:tcW w:w="0" w:type="auto"/>
            <w:gridSpan w:val="3"/>
            <w:shd w:val="clear" w:color="auto" w:fill="auto"/>
            <w:vAlign w:val="bottom"/>
          </w:tcPr>
          <w:p w14:paraId="71D473A5" w14:textId="77777777" w:rsidR="006A3667" w:rsidRDefault="006A3667">
            <w:pPr>
              <w:rPr>
                <w:rFonts w:ascii="宋体"/>
                <w:vanish/>
              </w:rPr>
            </w:pPr>
          </w:p>
        </w:tc>
        <w:tc>
          <w:tcPr>
            <w:tcW w:w="0" w:type="auto"/>
            <w:gridSpan w:val="3"/>
            <w:shd w:val="clear" w:color="auto" w:fill="auto"/>
            <w:vAlign w:val="bottom"/>
          </w:tcPr>
          <w:p w14:paraId="71D473A6" w14:textId="77777777" w:rsidR="006A3667" w:rsidRDefault="006A3667">
            <w:pPr>
              <w:rPr>
                <w:rFonts w:ascii="宋体"/>
                <w:vanish/>
              </w:rPr>
            </w:pPr>
          </w:p>
        </w:tc>
        <w:tc>
          <w:tcPr>
            <w:tcW w:w="0" w:type="auto"/>
            <w:gridSpan w:val="3"/>
            <w:shd w:val="clear" w:color="auto" w:fill="auto"/>
            <w:vAlign w:val="bottom"/>
          </w:tcPr>
          <w:p w14:paraId="71D473A7" w14:textId="77777777" w:rsidR="006A3667" w:rsidRDefault="006A3667">
            <w:pPr>
              <w:rPr>
                <w:rFonts w:ascii="宋体"/>
                <w:vanish/>
              </w:rPr>
            </w:pPr>
          </w:p>
        </w:tc>
      </w:tr>
      <w:tr w:rsidR="006A3667" w14:paraId="71D473AF" w14:textId="77777777">
        <w:tc>
          <w:tcPr>
            <w:tcW w:w="0" w:type="auto"/>
            <w:gridSpan w:val="3"/>
            <w:shd w:val="clear" w:color="auto" w:fill="FFFFFF"/>
            <w:tcMar>
              <w:top w:w="40" w:type="dxa"/>
              <w:left w:w="20" w:type="dxa"/>
              <w:bottom w:w="40" w:type="dxa"/>
              <w:right w:w="20" w:type="dxa"/>
            </w:tcMar>
            <w:vAlign w:val="bottom"/>
          </w:tcPr>
          <w:p w14:paraId="71D473A9" w14:textId="77777777" w:rsidR="006A3667" w:rsidRDefault="00045F32">
            <w:pPr>
              <w:textAlignment w:val="bottom"/>
            </w:pPr>
            <w:r>
              <w:rPr>
                <w:rFonts w:ascii="Arial" w:eastAsia="宋体" w:hAnsi="Arial" w:cs="Arial"/>
                <w:color w:val="000000"/>
                <w:sz w:val="14"/>
                <w:szCs w:val="14"/>
              </w:rPr>
              <w:t>Deferred tax assets, net of valuation allowance</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71D473AA" w14:textId="77777777" w:rsidR="006A3667" w:rsidRDefault="00045F32">
            <w:pPr>
              <w:jc w:val="right"/>
              <w:textAlignment w:val="bottom"/>
            </w:pPr>
            <w:r>
              <w:rPr>
                <w:rFonts w:ascii="Arial" w:eastAsia="宋体" w:hAnsi="Arial" w:cs="Arial"/>
                <w:b/>
                <w:bCs/>
                <w:color w:val="000000"/>
                <w:sz w:val="14"/>
                <w:szCs w:val="14"/>
              </w:rPr>
              <w:t>1,083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3A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A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AD" w14:textId="77777777" w:rsidR="006A3667" w:rsidRDefault="00045F32">
            <w:pPr>
              <w:jc w:val="right"/>
              <w:textAlignment w:val="bottom"/>
            </w:pPr>
            <w:r>
              <w:rPr>
                <w:rFonts w:ascii="Arial" w:eastAsia="宋体" w:hAnsi="Arial" w:cs="Arial"/>
                <w:color w:val="000000"/>
                <w:sz w:val="14"/>
                <w:szCs w:val="14"/>
              </w:rPr>
              <w:t>254 </w:t>
            </w:r>
          </w:p>
        </w:tc>
        <w:tc>
          <w:tcPr>
            <w:tcW w:w="0" w:type="auto"/>
            <w:shd w:val="clear" w:color="auto" w:fill="FFFFFF"/>
            <w:tcMar>
              <w:top w:w="40" w:type="dxa"/>
              <w:left w:w="0" w:type="dxa"/>
              <w:bottom w:w="40" w:type="dxa"/>
              <w:right w:w="20" w:type="dxa"/>
            </w:tcMar>
            <w:vAlign w:val="bottom"/>
          </w:tcPr>
          <w:p w14:paraId="71D473AE" w14:textId="77777777" w:rsidR="006A3667" w:rsidRDefault="006A3667">
            <w:pPr>
              <w:jc w:val="right"/>
              <w:rPr>
                <w:rFonts w:ascii="宋体"/>
              </w:rPr>
            </w:pPr>
          </w:p>
        </w:tc>
      </w:tr>
      <w:tr w:rsidR="006A3667" w14:paraId="71D473B6" w14:textId="77777777">
        <w:tc>
          <w:tcPr>
            <w:tcW w:w="0" w:type="auto"/>
            <w:gridSpan w:val="3"/>
            <w:shd w:val="clear" w:color="auto" w:fill="CCEEFF"/>
            <w:tcMar>
              <w:top w:w="40" w:type="dxa"/>
              <w:left w:w="20" w:type="dxa"/>
              <w:bottom w:w="40" w:type="dxa"/>
              <w:right w:w="20" w:type="dxa"/>
            </w:tcMar>
            <w:vAlign w:val="bottom"/>
          </w:tcPr>
          <w:p w14:paraId="71D473B0" w14:textId="77777777" w:rsidR="006A3667" w:rsidRDefault="00045F32">
            <w:pPr>
              <w:textAlignment w:val="bottom"/>
            </w:pPr>
            <w:r>
              <w:rPr>
                <w:rFonts w:ascii="Arial" w:eastAsia="宋体" w:hAnsi="Arial" w:cs="Arial"/>
                <w:color w:val="000000"/>
                <w:sz w:val="14"/>
                <w:szCs w:val="14"/>
              </w:rPr>
              <w:t>Receivable for securities settlement</w:t>
            </w:r>
          </w:p>
        </w:tc>
        <w:tc>
          <w:tcPr>
            <w:tcW w:w="0" w:type="auto"/>
            <w:gridSpan w:val="2"/>
            <w:shd w:val="clear" w:color="auto" w:fill="CCEEFF"/>
            <w:tcMar>
              <w:top w:w="40" w:type="dxa"/>
              <w:left w:w="20" w:type="dxa"/>
              <w:bottom w:w="40" w:type="dxa"/>
              <w:right w:w="0" w:type="dxa"/>
            </w:tcMar>
            <w:vAlign w:val="bottom"/>
          </w:tcPr>
          <w:p w14:paraId="71D473B1" w14:textId="77777777" w:rsidR="006A3667" w:rsidRDefault="00045F32">
            <w:pPr>
              <w:jc w:val="right"/>
              <w:textAlignment w:val="bottom"/>
            </w:pPr>
            <w:r>
              <w:rPr>
                <w:rFonts w:ascii="Arial" w:eastAsia="宋体" w:hAnsi="Arial" w:cs="Arial"/>
                <w:b/>
                <w:bCs/>
                <w:color w:val="000000"/>
                <w:sz w:val="14"/>
                <w:szCs w:val="14"/>
              </w:rPr>
              <w:t>1,021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3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B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3B4" w14:textId="77777777" w:rsidR="006A3667" w:rsidRDefault="00045F32">
            <w:pPr>
              <w:jc w:val="right"/>
              <w:textAlignment w:val="bottom"/>
            </w:pPr>
            <w:r>
              <w:rPr>
                <w:rFonts w:ascii="Arial" w:eastAsia="宋体" w:hAnsi="Arial" w:cs="Arial"/>
                <w:color w:val="000000"/>
                <w:sz w:val="14"/>
                <w:szCs w:val="14"/>
              </w:rPr>
              <w:t>213 </w:t>
            </w:r>
          </w:p>
        </w:tc>
        <w:tc>
          <w:tcPr>
            <w:tcW w:w="0" w:type="auto"/>
            <w:shd w:val="clear" w:color="auto" w:fill="CCEEFF"/>
            <w:tcMar>
              <w:top w:w="40" w:type="dxa"/>
              <w:left w:w="0" w:type="dxa"/>
              <w:bottom w:w="40" w:type="dxa"/>
              <w:right w:w="20" w:type="dxa"/>
            </w:tcMar>
            <w:vAlign w:val="bottom"/>
          </w:tcPr>
          <w:p w14:paraId="71D473B5" w14:textId="77777777" w:rsidR="006A3667" w:rsidRDefault="006A3667">
            <w:pPr>
              <w:jc w:val="right"/>
              <w:rPr>
                <w:rFonts w:ascii="宋体"/>
              </w:rPr>
            </w:pPr>
          </w:p>
        </w:tc>
      </w:tr>
      <w:tr w:rsidR="006A3667" w14:paraId="71D473BD" w14:textId="77777777">
        <w:tc>
          <w:tcPr>
            <w:tcW w:w="0" w:type="auto"/>
            <w:gridSpan w:val="3"/>
            <w:shd w:val="clear" w:color="auto" w:fill="FFFFFF"/>
            <w:tcMar>
              <w:top w:w="40" w:type="dxa"/>
              <w:left w:w="20" w:type="dxa"/>
              <w:bottom w:w="40" w:type="dxa"/>
              <w:right w:w="20" w:type="dxa"/>
            </w:tcMar>
            <w:vAlign w:val="bottom"/>
          </w:tcPr>
          <w:p w14:paraId="71D473B7" w14:textId="77777777" w:rsidR="006A3667" w:rsidRDefault="00045F32">
            <w:pPr>
              <w:textAlignment w:val="bottom"/>
            </w:pPr>
            <w:r>
              <w:rPr>
                <w:rFonts w:ascii="Arial" w:eastAsia="宋体" w:hAnsi="Arial" w:cs="Arial"/>
                <w:color w:val="000000"/>
                <w:sz w:val="14"/>
                <w:szCs w:val="14"/>
              </w:rPr>
              <w:t>Prepaid expenses</w:t>
            </w:r>
          </w:p>
        </w:tc>
        <w:tc>
          <w:tcPr>
            <w:tcW w:w="0" w:type="auto"/>
            <w:gridSpan w:val="2"/>
            <w:shd w:val="clear" w:color="auto" w:fill="FFFFFF"/>
            <w:tcMar>
              <w:top w:w="40" w:type="dxa"/>
              <w:left w:w="20" w:type="dxa"/>
              <w:bottom w:w="40" w:type="dxa"/>
              <w:right w:w="0" w:type="dxa"/>
            </w:tcMar>
            <w:vAlign w:val="bottom"/>
          </w:tcPr>
          <w:p w14:paraId="71D473B8" w14:textId="77777777" w:rsidR="006A3667" w:rsidRDefault="00045F32">
            <w:pPr>
              <w:jc w:val="right"/>
              <w:textAlignment w:val="bottom"/>
            </w:pPr>
            <w:r>
              <w:rPr>
                <w:rFonts w:ascii="Arial" w:eastAsia="宋体" w:hAnsi="Arial" w:cs="Arial"/>
                <w:b/>
                <w:bCs/>
                <w:color w:val="000000"/>
                <w:sz w:val="14"/>
                <w:szCs w:val="14"/>
              </w:rPr>
              <w:t>642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3B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B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BB" w14:textId="77777777" w:rsidR="006A3667" w:rsidRDefault="00045F32">
            <w:pPr>
              <w:jc w:val="right"/>
              <w:textAlignment w:val="bottom"/>
            </w:pPr>
            <w:r>
              <w:rPr>
                <w:rFonts w:ascii="Arial" w:eastAsia="宋体" w:hAnsi="Arial" w:cs="Arial"/>
                <w:color w:val="000000"/>
                <w:sz w:val="14"/>
                <w:szCs w:val="14"/>
              </w:rPr>
              <w:t>612 </w:t>
            </w:r>
          </w:p>
        </w:tc>
        <w:tc>
          <w:tcPr>
            <w:tcW w:w="0" w:type="auto"/>
            <w:shd w:val="clear" w:color="auto" w:fill="FFFFFF"/>
            <w:tcMar>
              <w:top w:w="40" w:type="dxa"/>
              <w:left w:w="0" w:type="dxa"/>
              <w:bottom w:w="40" w:type="dxa"/>
              <w:right w:w="20" w:type="dxa"/>
            </w:tcMar>
            <w:vAlign w:val="bottom"/>
          </w:tcPr>
          <w:p w14:paraId="71D473BC" w14:textId="77777777" w:rsidR="006A3667" w:rsidRDefault="006A3667">
            <w:pPr>
              <w:jc w:val="right"/>
              <w:rPr>
                <w:rFonts w:ascii="宋体"/>
              </w:rPr>
            </w:pPr>
          </w:p>
        </w:tc>
      </w:tr>
      <w:tr w:rsidR="006A3667" w14:paraId="71D473C4" w14:textId="77777777">
        <w:tc>
          <w:tcPr>
            <w:tcW w:w="0" w:type="auto"/>
            <w:gridSpan w:val="3"/>
            <w:shd w:val="clear" w:color="auto" w:fill="CCEEFF"/>
            <w:tcMar>
              <w:top w:w="40" w:type="dxa"/>
              <w:left w:w="20" w:type="dxa"/>
              <w:bottom w:w="40" w:type="dxa"/>
              <w:right w:w="20" w:type="dxa"/>
            </w:tcMar>
            <w:vAlign w:val="bottom"/>
          </w:tcPr>
          <w:p w14:paraId="71D473BE" w14:textId="77777777" w:rsidR="006A3667" w:rsidRDefault="00045F32">
            <w:pPr>
              <w:textAlignment w:val="bottom"/>
            </w:pPr>
            <w:r>
              <w:rPr>
                <w:rFonts w:ascii="Arial" w:eastAsia="宋体" w:hAnsi="Arial" w:cs="Arial"/>
                <w:color w:val="000000"/>
                <w:sz w:val="14"/>
                <w:szCs w:val="14"/>
              </w:rPr>
              <w:t>Right-of-use assets</w:t>
            </w:r>
          </w:p>
        </w:tc>
        <w:tc>
          <w:tcPr>
            <w:tcW w:w="0" w:type="auto"/>
            <w:gridSpan w:val="2"/>
            <w:shd w:val="clear" w:color="auto" w:fill="CCEEFF"/>
            <w:tcMar>
              <w:top w:w="40" w:type="dxa"/>
              <w:left w:w="20" w:type="dxa"/>
              <w:bottom w:w="40" w:type="dxa"/>
              <w:right w:w="0" w:type="dxa"/>
            </w:tcMar>
            <w:vAlign w:val="bottom"/>
          </w:tcPr>
          <w:p w14:paraId="71D473BF" w14:textId="77777777" w:rsidR="006A3667" w:rsidRDefault="00045F32">
            <w:pPr>
              <w:jc w:val="right"/>
              <w:textAlignment w:val="bottom"/>
            </w:pPr>
            <w:r>
              <w:rPr>
                <w:rFonts w:ascii="Arial" w:eastAsia="宋体" w:hAnsi="Arial" w:cs="Arial"/>
                <w:b/>
                <w:bCs/>
                <w:color w:val="000000"/>
                <w:sz w:val="14"/>
                <w:szCs w:val="14"/>
              </w:rPr>
              <w:t>478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3C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C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3C2" w14:textId="77777777" w:rsidR="006A3667" w:rsidRDefault="00045F32">
            <w:pPr>
              <w:jc w:val="right"/>
              <w:textAlignment w:val="bottom"/>
            </w:pPr>
            <w:r>
              <w:rPr>
                <w:rFonts w:ascii="Arial" w:eastAsia="宋体" w:hAnsi="Arial" w:cs="Arial"/>
                <w:color w:val="000000"/>
                <w:sz w:val="14"/>
                <w:szCs w:val="14"/>
              </w:rPr>
              <w:t>542 </w:t>
            </w:r>
          </w:p>
        </w:tc>
        <w:tc>
          <w:tcPr>
            <w:tcW w:w="0" w:type="auto"/>
            <w:shd w:val="clear" w:color="auto" w:fill="CCEEFF"/>
            <w:tcMar>
              <w:top w:w="40" w:type="dxa"/>
              <w:left w:w="0" w:type="dxa"/>
              <w:bottom w:w="40" w:type="dxa"/>
              <w:right w:w="20" w:type="dxa"/>
            </w:tcMar>
            <w:vAlign w:val="bottom"/>
          </w:tcPr>
          <w:p w14:paraId="71D473C3" w14:textId="77777777" w:rsidR="006A3667" w:rsidRDefault="006A3667">
            <w:pPr>
              <w:jc w:val="right"/>
              <w:rPr>
                <w:rFonts w:ascii="宋体"/>
              </w:rPr>
            </w:pPr>
          </w:p>
        </w:tc>
      </w:tr>
      <w:tr w:rsidR="006A3667" w14:paraId="71D473CB" w14:textId="77777777">
        <w:tc>
          <w:tcPr>
            <w:tcW w:w="0" w:type="auto"/>
            <w:gridSpan w:val="3"/>
            <w:shd w:val="clear" w:color="auto" w:fill="FFFFFF"/>
            <w:tcMar>
              <w:top w:w="40" w:type="dxa"/>
              <w:left w:w="20" w:type="dxa"/>
              <w:bottom w:w="40" w:type="dxa"/>
              <w:right w:w="20" w:type="dxa"/>
            </w:tcMar>
            <w:vAlign w:val="bottom"/>
          </w:tcPr>
          <w:p w14:paraId="71D473C5" w14:textId="77777777" w:rsidR="006A3667" w:rsidRDefault="00045F32">
            <w:pPr>
              <w:jc w:val="both"/>
              <w:textAlignment w:val="bottom"/>
            </w:pPr>
            <w:r>
              <w:rPr>
                <w:rFonts w:ascii="Arial" w:eastAsia="宋体" w:hAnsi="Arial" w:cs="Arial"/>
                <w:color w:val="000000"/>
                <w:sz w:val="14"/>
                <w:szCs w:val="14"/>
              </w:rPr>
              <w:t>Accounts receivable</w:t>
            </w:r>
          </w:p>
        </w:tc>
        <w:tc>
          <w:tcPr>
            <w:tcW w:w="0" w:type="auto"/>
            <w:gridSpan w:val="2"/>
            <w:shd w:val="clear" w:color="auto" w:fill="FFFFFF"/>
            <w:tcMar>
              <w:top w:w="40" w:type="dxa"/>
              <w:left w:w="20" w:type="dxa"/>
              <w:bottom w:w="40" w:type="dxa"/>
              <w:right w:w="0" w:type="dxa"/>
            </w:tcMar>
            <w:vAlign w:val="bottom"/>
          </w:tcPr>
          <w:p w14:paraId="71D473C6" w14:textId="77777777" w:rsidR="006A3667" w:rsidRDefault="00045F32">
            <w:pPr>
              <w:jc w:val="right"/>
              <w:textAlignment w:val="bottom"/>
            </w:pPr>
            <w:r>
              <w:rPr>
                <w:rFonts w:ascii="Arial" w:eastAsia="宋体" w:hAnsi="Arial" w:cs="Arial"/>
                <w:b/>
                <w:bCs/>
                <w:color w:val="000000"/>
                <w:sz w:val="14"/>
                <w:szCs w:val="14"/>
              </w:rPr>
              <w:t>418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3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C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C9" w14:textId="77777777" w:rsidR="006A3667" w:rsidRDefault="00045F32">
            <w:pPr>
              <w:jc w:val="right"/>
              <w:textAlignment w:val="bottom"/>
            </w:pPr>
            <w:r>
              <w:rPr>
                <w:rFonts w:ascii="Arial" w:eastAsia="宋体" w:hAnsi="Arial" w:cs="Arial"/>
                <w:color w:val="000000"/>
                <w:sz w:val="14"/>
                <w:szCs w:val="14"/>
              </w:rPr>
              <w:t>236 </w:t>
            </w:r>
          </w:p>
        </w:tc>
        <w:tc>
          <w:tcPr>
            <w:tcW w:w="0" w:type="auto"/>
            <w:shd w:val="clear" w:color="auto" w:fill="FFFFFF"/>
            <w:tcMar>
              <w:top w:w="40" w:type="dxa"/>
              <w:left w:w="0" w:type="dxa"/>
              <w:bottom w:w="40" w:type="dxa"/>
              <w:right w:w="20" w:type="dxa"/>
            </w:tcMar>
            <w:vAlign w:val="bottom"/>
          </w:tcPr>
          <w:p w14:paraId="71D473CA" w14:textId="77777777" w:rsidR="006A3667" w:rsidRDefault="006A3667">
            <w:pPr>
              <w:jc w:val="right"/>
              <w:rPr>
                <w:rFonts w:ascii="宋体"/>
              </w:rPr>
            </w:pPr>
          </w:p>
        </w:tc>
      </w:tr>
      <w:tr w:rsidR="006A3667" w14:paraId="71D473D2" w14:textId="77777777">
        <w:tc>
          <w:tcPr>
            <w:tcW w:w="0" w:type="auto"/>
            <w:gridSpan w:val="3"/>
            <w:shd w:val="clear" w:color="auto" w:fill="CCEEFF"/>
            <w:tcMar>
              <w:top w:w="40" w:type="dxa"/>
              <w:left w:w="20" w:type="dxa"/>
              <w:bottom w:w="40" w:type="dxa"/>
              <w:right w:w="20" w:type="dxa"/>
            </w:tcMar>
            <w:vAlign w:val="bottom"/>
          </w:tcPr>
          <w:p w14:paraId="71D473CC" w14:textId="77777777" w:rsidR="006A3667" w:rsidRDefault="00045F32">
            <w:pPr>
              <w:textAlignment w:val="bottom"/>
            </w:pPr>
            <w:r>
              <w:rPr>
                <w:rFonts w:ascii="Arial" w:eastAsia="宋体" w:hAnsi="Arial" w:cs="Arial"/>
                <w:color w:val="000000"/>
                <w:sz w:val="14"/>
                <w:szCs w:val="14"/>
              </w:rPr>
              <w:t xml:space="preserve">Income </w:t>
            </w:r>
            <w:r>
              <w:rPr>
                <w:rFonts w:ascii="Arial" w:eastAsia="宋体" w:hAnsi="Arial" w:cs="Arial"/>
                <w:color w:val="000000"/>
                <w:sz w:val="14"/>
                <w:szCs w:val="14"/>
              </w:rPr>
              <w:t>taxes receivable</w:t>
            </w:r>
          </w:p>
        </w:tc>
        <w:tc>
          <w:tcPr>
            <w:tcW w:w="0" w:type="auto"/>
            <w:gridSpan w:val="2"/>
            <w:shd w:val="clear" w:color="auto" w:fill="CCEEFF"/>
            <w:tcMar>
              <w:top w:w="40" w:type="dxa"/>
              <w:left w:w="20" w:type="dxa"/>
              <w:bottom w:w="40" w:type="dxa"/>
              <w:right w:w="0" w:type="dxa"/>
            </w:tcMar>
            <w:vAlign w:val="bottom"/>
          </w:tcPr>
          <w:p w14:paraId="71D473CD" w14:textId="77777777" w:rsidR="006A3667" w:rsidRDefault="00045F32">
            <w:pPr>
              <w:jc w:val="right"/>
              <w:textAlignment w:val="bottom"/>
            </w:pPr>
            <w:r>
              <w:rPr>
                <w:rFonts w:ascii="Arial" w:eastAsia="宋体" w:hAnsi="Arial" w:cs="Arial"/>
                <w:b/>
                <w:bCs/>
                <w:color w:val="000000"/>
                <w:sz w:val="14"/>
                <w:szCs w:val="14"/>
              </w:rPr>
              <w:t>161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3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C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3D0" w14:textId="77777777" w:rsidR="006A3667" w:rsidRDefault="00045F32">
            <w:pPr>
              <w:jc w:val="right"/>
              <w:textAlignment w:val="bottom"/>
            </w:pPr>
            <w:r>
              <w:rPr>
                <w:rFonts w:ascii="Arial" w:eastAsia="宋体" w:hAnsi="Arial" w:cs="Arial"/>
                <w:color w:val="000000"/>
                <w:sz w:val="14"/>
                <w:szCs w:val="14"/>
              </w:rPr>
              <w:t>317 </w:t>
            </w:r>
          </w:p>
        </w:tc>
        <w:tc>
          <w:tcPr>
            <w:tcW w:w="0" w:type="auto"/>
            <w:shd w:val="clear" w:color="auto" w:fill="CCEEFF"/>
            <w:tcMar>
              <w:top w:w="40" w:type="dxa"/>
              <w:left w:w="0" w:type="dxa"/>
              <w:bottom w:w="40" w:type="dxa"/>
              <w:right w:w="20" w:type="dxa"/>
            </w:tcMar>
            <w:vAlign w:val="bottom"/>
          </w:tcPr>
          <w:p w14:paraId="71D473D1" w14:textId="77777777" w:rsidR="006A3667" w:rsidRDefault="006A3667">
            <w:pPr>
              <w:jc w:val="right"/>
              <w:rPr>
                <w:rFonts w:ascii="宋体"/>
              </w:rPr>
            </w:pPr>
          </w:p>
        </w:tc>
      </w:tr>
      <w:tr w:rsidR="006A3667" w14:paraId="71D473D9" w14:textId="77777777">
        <w:tc>
          <w:tcPr>
            <w:tcW w:w="0" w:type="auto"/>
            <w:gridSpan w:val="3"/>
            <w:shd w:val="clear" w:color="auto" w:fill="FFFFFF"/>
            <w:tcMar>
              <w:top w:w="40" w:type="dxa"/>
              <w:left w:w="20" w:type="dxa"/>
              <w:bottom w:w="40" w:type="dxa"/>
              <w:right w:w="20" w:type="dxa"/>
            </w:tcMar>
            <w:vAlign w:val="bottom"/>
          </w:tcPr>
          <w:p w14:paraId="71D473D3" w14:textId="77777777" w:rsidR="006A3667" w:rsidRDefault="00045F32">
            <w:pPr>
              <w:textAlignment w:val="bottom"/>
            </w:pPr>
            <w:r>
              <w:rPr>
                <w:rFonts w:ascii="Arial" w:eastAsia="宋体" w:hAnsi="Arial" w:cs="Arial"/>
                <w:color w:val="000000"/>
                <w:sz w:val="14"/>
                <w:szCs w:val="14"/>
              </w:rPr>
              <w:t>Deposits with clearing organizations</w:t>
            </w:r>
          </w:p>
        </w:tc>
        <w:tc>
          <w:tcPr>
            <w:tcW w:w="0" w:type="auto"/>
            <w:gridSpan w:val="2"/>
            <w:shd w:val="clear" w:color="auto" w:fill="FFFFFF"/>
            <w:tcMar>
              <w:top w:w="40" w:type="dxa"/>
              <w:left w:w="20" w:type="dxa"/>
              <w:bottom w:w="40" w:type="dxa"/>
              <w:right w:w="0" w:type="dxa"/>
            </w:tcMar>
            <w:vAlign w:val="bottom"/>
          </w:tcPr>
          <w:p w14:paraId="71D473D4" w14:textId="77777777" w:rsidR="006A3667" w:rsidRDefault="00045F32">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3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3D7" w14:textId="77777777" w:rsidR="006A3667" w:rsidRDefault="00045F32">
            <w:pPr>
              <w:jc w:val="right"/>
              <w:textAlignment w:val="bottom"/>
            </w:pPr>
            <w:r>
              <w:rPr>
                <w:rFonts w:ascii="Arial" w:eastAsia="宋体" w:hAnsi="Arial" w:cs="Arial"/>
                <w:color w:val="000000"/>
                <w:sz w:val="14"/>
                <w:szCs w:val="14"/>
              </w:rPr>
              <w:t>62 </w:t>
            </w:r>
          </w:p>
        </w:tc>
        <w:tc>
          <w:tcPr>
            <w:tcW w:w="0" w:type="auto"/>
            <w:shd w:val="clear" w:color="auto" w:fill="FFFFFF"/>
            <w:tcMar>
              <w:top w:w="40" w:type="dxa"/>
              <w:left w:w="0" w:type="dxa"/>
              <w:bottom w:w="40" w:type="dxa"/>
              <w:right w:w="20" w:type="dxa"/>
            </w:tcMar>
            <w:vAlign w:val="bottom"/>
          </w:tcPr>
          <w:p w14:paraId="71D473D8" w14:textId="77777777" w:rsidR="006A3667" w:rsidRDefault="006A3667">
            <w:pPr>
              <w:jc w:val="right"/>
              <w:rPr>
                <w:rFonts w:ascii="宋体"/>
              </w:rPr>
            </w:pPr>
          </w:p>
        </w:tc>
      </w:tr>
      <w:tr w:rsidR="006A3667" w14:paraId="71D473E0" w14:textId="77777777">
        <w:tc>
          <w:tcPr>
            <w:tcW w:w="0" w:type="auto"/>
            <w:gridSpan w:val="3"/>
            <w:shd w:val="clear" w:color="auto" w:fill="CCEEFF"/>
            <w:tcMar>
              <w:top w:w="40" w:type="dxa"/>
              <w:left w:w="20" w:type="dxa"/>
              <w:bottom w:w="40" w:type="dxa"/>
              <w:right w:w="20" w:type="dxa"/>
            </w:tcMar>
            <w:vAlign w:val="bottom"/>
          </w:tcPr>
          <w:p w14:paraId="71D473DA" w14:textId="77777777" w:rsidR="006A3667" w:rsidRDefault="00045F32">
            <w:pPr>
              <w:textAlignment w:val="bottom"/>
            </w:pPr>
            <w:r>
              <w:rPr>
                <w:rFonts w:ascii="Arial" w:eastAsia="宋体" w:hAnsi="Arial" w:cs="Arial"/>
                <w:color w:val="000000"/>
                <w:sz w:val="14"/>
                <w:szCs w:val="14"/>
              </w:rPr>
              <w:t>Other</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71D473DB" w14:textId="77777777" w:rsidR="006A3667" w:rsidRDefault="00045F32">
            <w:pPr>
              <w:jc w:val="right"/>
              <w:textAlignment w:val="bottom"/>
            </w:pPr>
            <w:r>
              <w:rPr>
                <w:rFonts w:ascii="Arial" w:eastAsia="宋体" w:hAnsi="Arial" w:cs="Arial"/>
                <w:b/>
                <w:bCs/>
                <w:color w:val="000000"/>
                <w:sz w:val="14"/>
                <w:szCs w:val="14"/>
              </w:rPr>
              <w:t>1,145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3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3D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3DE" w14:textId="77777777" w:rsidR="006A3667" w:rsidRDefault="00045F32">
            <w:pPr>
              <w:jc w:val="right"/>
              <w:textAlignment w:val="bottom"/>
            </w:pPr>
            <w:r>
              <w:rPr>
                <w:rFonts w:ascii="Arial" w:eastAsia="宋体" w:hAnsi="Arial" w:cs="Arial"/>
                <w:color w:val="000000"/>
                <w:sz w:val="14"/>
                <w:szCs w:val="14"/>
              </w:rPr>
              <w:t>1,244 </w:t>
            </w:r>
          </w:p>
        </w:tc>
        <w:tc>
          <w:tcPr>
            <w:tcW w:w="0" w:type="auto"/>
            <w:shd w:val="clear" w:color="auto" w:fill="CCEEFF"/>
            <w:tcMar>
              <w:top w:w="40" w:type="dxa"/>
              <w:left w:w="0" w:type="dxa"/>
              <w:bottom w:w="40" w:type="dxa"/>
              <w:right w:w="20" w:type="dxa"/>
            </w:tcMar>
            <w:vAlign w:val="bottom"/>
          </w:tcPr>
          <w:p w14:paraId="71D473DF" w14:textId="77777777" w:rsidR="006A3667" w:rsidRDefault="006A3667">
            <w:pPr>
              <w:jc w:val="right"/>
              <w:rPr>
                <w:rFonts w:ascii="宋体"/>
              </w:rPr>
            </w:pPr>
          </w:p>
        </w:tc>
      </w:tr>
      <w:tr w:rsidR="006A3667" w14:paraId="71D473E9" w14:textId="77777777">
        <w:tc>
          <w:tcPr>
            <w:tcW w:w="0" w:type="auto"/>
            <w:gridSpan w:val="3"/>
            <w:shd w:val="clear" w:color="auto" w:fill="FFFFFF"/>
            <w:tcMar>
              <w:top w:w="40" w:type="dxa"/>
              <w:left w:w="20" w:type="dxa"/>
              <w:bottom w:w="40" w:type="dxa"/>
              <w:right w:w="20" w:type="dxa"/>
            </w:tcMar>
            <w:vAlign w:val="bottom"/>
          </w:tcPr>
          <w:p w14:paraId="71D473E1"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3E2"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3E3" w14:textId="77777777" w:rsidR="006A3667" w:rsidRDefault="00045F32">
            <w:pPr>
              <w:jc w:val="right"/>
              <w:textAlignment w:val="bottom"/>
            </w:pPr>
            <w:r>
              <w:rPr>
                <w:rFonts w:ascii="Arial" w:eastAsia="宋体" w:hAnsi="Arial" w:cs="Arial"/>
                <w:b/>
                <w:bCs/>
                <w:color w:val="000000"/>
                <w:sz w:val="14"/>
                <w:szCs w:val="14"/>
              </w:rPr>
              <w:t>42,666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3E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3E5"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3E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3E7" w14:textId="77777777" w:rsidR="006A3667" w:rsidRDefault="00045F32">
            <w:pPr>
              <w:jc w:val="right"/>
              <w:textAlignment w:val="bottom"/>
            </w:pPr>
            <w:r>
              <w:rPr>
                <w:rFonts w:ascii="Arial" w:eastAsia="宋体" w:hAnsi="Arial" w:cs="Arial"/>
                <w:color w:val="000000"/>
                <w:sz w:val="14"/>
                <w:szCs w:val="14"/>
              </w:rPr>
              <w:t>37,615 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3E8" w14:textId="77777777" w:rsidR="006A3667" w:rsidRDefault="006A3667">
            <w:pPr>
              <w:jc w:val="right"/>
              <w:rPr>
                <w:rFonts w:ascii="宋体"/>
              </w:rPr>
            </w:pPr>
          </w:p>
        </w:tc>
      </w:tr>
    </w:tbl>
    <w:p w14:paraId="71D473EA"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473F1" w14:textId="77777777">
        <w:tc>
          <w:tcPr>
            <w:tcW w:w="50" w:type="pct"/>
            <w:shd w:val="clear" w:color="auto" w:fill="auto"/>
            <w:vAlign w:val="bottom"/>
          </w:tcPr>
          <w:p w14:paraId="71D473EB" w14:textId="77777777" w:rsidR="006A3667" w:rsidRDefault="006A3667">
            <w:pPr>
              <w:rPr>
                <w:rFonts w:ascii="宋体"/>
              </w:rPr>
            </w:pPr>
          </w:p>
        </w:tc>
        <w:tc>
          <w:tcPr>
            <w:tcW w:w="1348" w:type="pct"/>
            <w:shd w:val="clear" w:color="auto" w:fill="auto"/>
            <w:vAlign w:val="bottom"/>
          </w:tcPr>
          <w:p w14:paraId="71D473EC" w14:textId="77777777" w:rsidR="006A3667" w:rsidRDefault="006A3667">
            <w:pPr>
              <w:rPr>
                <w:rFonts w:ascii="宋体"/>
              </w:rPr>
            </w:pPr>
          </w:p>
        </w:tc>
        <w:tc>
          <w:tcPr>
            <w:tcW w:w="5" w:type="pct"/>
            <w:shd w:val="clear" w:color="auto" w:fill="auto"/>
            <w:vAlign w:val="bottom"/>
          </w:tcPr>
          <w:p w14:paraId="71D473ED" w14:textId="77777777" w:rsidR="006A3667" w:rsidRDefault="006A3667">
            <w:pPr>
              <w:rPr>
                <w:rFonts w:ascii="宋体"/>
              </w:rPr>
            </w:pPr>
          </w:p>
        </w:tc>
        <w:tc>
          <w:tcPr>
            <w:tcW w:w="50" w:type="pct"/>
            <w:shd w:val="clear" w:color="auto" w:fill="auto"/>
            <w:vAlign w:val="bottom"/>
          </w:tcPr>
          <w:p w14:paraId="71D473EE" w14:textId="77777777" w:rsidR="006A3667" w:rsidRDefault="006A3667">
            <w:pPr>
              <w:rPr>
                <w:rFonts w:ascii="宋体"/>
              </w:rPr>
            </w:pPr>
          </w:p>
        </w:tc>
        <w:tc>
          <w:tcPr>
            <w:tcW w:w="3541" w:type="pct"/>
            <w:shd w:val="clear" w:color="auto" w:fill="auto"/>
            <w:vAlign w:val="bottom"/>
          </w:tcPr>
          <w:p w14:paraId="71D473EF" w14:textId="77777777" w:rsidR="006A3667" w:rsidRDefault="006A3667">
            <w:pPr>
              <w:rPr>
                <w:rFonts w:ascii="宋体"/>
              </w:rPr>
            </w:pPr>
          </w:p>
        </w:tc>
        <w:tc>
          <w:tcPr>
            <w:tcW w:w="5" w:type="pct"/>
            <w:shd w:val="clear" w:color="auto" w:fill="auto"/>
            <w:vAlign w:val="bottom"/>
          </w:tcPr>
          <w:p w14:paraId="71D473F0" w14:textId="77777777" w:rsidR="006A3667" w:rsidRDefault="006A3667">
            <w:pPr>
              <w:rPr>
                <w:rFonts w:ascii="宋体"/>
              </w:rPr>
            </w:pPr>
          </w:p>
        </w:tc>
      </w:tr>
      <w:tr w:rsidR="006A3667" w14:paraId="71D473F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3F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3F3" w14:textId="77777777" w:rsidR="006A3667" w:rsidRDefault="006A3667">
            <w:pPr>
              <w:rPr>
                <w:rFonts w:ascii="宋体"/>
              </w:rPr>
            </w:pPr>
          </w:p>
        </w:tc>
      </w:tr>
    </w:tbl>
    <w:p w14:paraId="71D473F5" w14:textId="77777777" w:rsidR="006A3667" w:rsidRDefault="00045F32">
      <w:pPr>
        <w:spacing w:before="40"/>
      </w:pPr>
      <w:r>
        <w:rPr>
          <w:rFonts w:ascii="Arial" w:eastAsia="宋体" w:hAnsi="Arial" w:cs="Arial"/>
          <w:color w:val="000000"/>
          <w:sz w:val="8"/>
          <w:szCs w:val="8"/>
        </w:rPr>
        <w:t>(1)</w:t>
      </w:r>
      <w:r>
        <w:rPr>
          <w:rFonts w:ascii="Arial" w:eastAsia="宋体" w:hAnsi="Arial" w:cs="Arial"/>
          <w:color w:val="000000"/>
          <w:sz w:val="13"/>
          <w:szCs w:val="13"/>
        </w:rPr>
        <w:t xml:space="preserve"> Refer to Note 8, for further information on the impact of collateral on our financial statement presentation of securities borrowing and securities lending transactions.</w:t>
      </w:r>
    </w:p>
    <w:p w14:paraId="71D473F6" w14:textId="77777777" w:rsidR="006A3667" w:rsidRDefault="00045F32">
      <w:pPr>
        <w:spacing w:before="40"/>
        <w:jc w:val="both"/>
      </w:pPr>
      <w:r>
        <w:rPr>
          <w:rFonts w:ascii="Arial" w:eastAsia="宋体" w:hAnsi="Arial" w:cs="Arial"/>
          <w:color w:val="000000"/>
          <w:sz w:val="8"/>
          <w:szCs w:val="8"/>
        </w:rPr>
        <w:t>(2)</w:t>
      </w:r>
      <w:r>
        <w:rPr>
          <w:rFonts w:ascii="Arial" w:eastAsia="宋体" w:hAnsi="Arial" w:cs="Arial"/>
          <w:color w:val="000000"/>
          <w:sz w:val="13"/>
          <w:szCs w:val="13"/>
        </w:rPr>
        <w:t xml:space="preserve"> Includes equity securities without readily determinable fair values that are acco</w:t>
      </w:r>
      <w:r>
        <w:rPr>
          <w:rFonts w:ascii="Arial" w:eastAsia="宋体" w:hAnsi="Arial" w:cs="Arial"/>
          <w:color w:val="000000"/>
          <w:sz w:val="13"/>
          <w:szCs w:val="13"/>
        </w:rPr>
        <w:t xml:space="preserve">unted for under the ASC 321 measurement alternative of </w:t>
      </w:r>
      <w:r>
        <w:rPr>
          <w:rFonts w:ascii="Arial" w:eastAsia="宋体" w:hAnsi="Arial" w:cs="Arial"/>
          <w:color w:val="000000"/>
          <w:sz w:val="13"/>
          <w:szCs w:val="13"/>
          <w:shd w:val="clear" w:color="auto" w:fill="FFFFFF"/>
        </w:rPr>
        <w:t>$174 million</w:t>
      </w:r>
      <w:r>
        <w:rPr>
          <w:rFonts w:ascii="Arial" w:eastAsia="宋体" w:hAnsi="Arial" w:cs="Arial"/>
          <w:color w:val="000000"/>
          <w:sz w:val="13"/>
          <w:szCs w:val="13"/>
        </w:rPr>
        <w:t xml:space="preserve"> and $109 million as of September 30, 2022 and December 31, 2021, respectively. For the three months ended September 30, 2022, there were no upward adjustments resulting from observable pricing changes that were recognized in other fee revenue related to s</w:t>
      </w:r>
      <w:r>
        <w:rPr>
          <w:rFonts w:ascii="Arial" w:eastAsia="宋体" w:hAnsi="Arial" w:cs="Arial"/>
          <w:color w:val="000000"/>
          <w:sz w:val="13"/>
          <w:szCs w:val="13"/>
        </w:rPr>
        <w:t>uch equity securities.</w:t>
      </w:r>
    </w:p>
    <w:p w14:paraId="71D473F7" w14:textId="77777777" w:rsidR="006A3667" w:rsidRDefault="00045F32">
      <w:pPr>
        <w:spacing w:before="40"/>
        <w:jc w:val="both"/>
      </w:pPr>
      <w:r>
        <w:rPr>
          <w:rFonts w:ascii="Arial" w:eastAsia="宋体" w:hAnsi="Arial" w:cs="Arial"/>
          <w:color w:val="000000"/>
          <w:sz w:val="8"/>
          <w:szCs w:val="8"/>
        </w:rPr>
        <w:t>(3)</w:t>
      </w:r>
      <w:r>
        <w:rPr>
          <w:rFonts w:ascii="Arial" w:eastAsia="宋体" w:hAnsi="Arial" w:cs="Arial"/>
          <w:color w:val="000000"/>
          <w:sz w:val="13"/>
          <w:szCs w:val="13"/>
        </w:rPr>
        <w:t xml:space="preserve"> Deferred tax assets and liabilities recorded in our consolidated statement of condition are netted within the same tax jurisdiction.</w:t>
      </w:r>
    </w:p>
    <w:p w14:paraId="71D473F8" w14:textId="77777777" w:rsidR="006A3667" w:rsidRDefault="00045F32">
      <w:pPr>
        <w:spacing w:before="40"/>
        <w:jc w:val="both"/>
      </w:pPr>
      <w:r>
        <w:rPr>
          <w:rFonts w:ascii="Arial" w:eastAsia="宋体" w:hAnsi="Arial" w:cs="Arial"/>
          <w:color w:val="000000"/>
          <w:sz w:val="8"/>
          <w:szCs w:val="8"/>
        </w:rPr>
        <w:t xml:space="preserve">(4) </w:t>
      </w:r>
      <w:r>
        <w:rPr>
          <w:rFonts w:ascii="Arial" w:eastAsia="宋体" w:hAnsi="Arial" w:cs="Arial"/>
          <w:color w:val="000000"/>
          <w:sz w:val="13"/>
          <w:szCs w:val="13"/>
        </w:rPr>
        <w:t>Includes advances of</w:t>
      </w:r>
      <w:r>
        <w:rPr>
          <w:rFonts w:ascii="Arial" w:eastAsia="宋体" w:hAnsi="Arial" w:cs="Arial"/>
          <w:color w:val="000000"/>
          <w:sz w:val="13"/>
          <w:szCs w:val="13"/>
          <w:shd w:val="clear" w:color="auto" w:fill="FFFFFF"/>
        </w:rPr>
        <w:t xml:space="preserve"> $740 million</w:t>
      </w:r>
      <w:r>
        <w:rPr>
          <w:rFonts w:ascii="Arial" w:eastAsia="宋体" w:hAnsi="Arial" w:cs="Arial"/>
          <w:color w:val="000000"/>
          <w:sz w:val="13"/>
          <w:szCs w:val="13"/>
        </w:rPr>
        <w:t xml:space="preserve"> and $544 million as of September 30, 2022 and December 31,</w:t>
      </w:r>
      <w:r>
        <w:rPr>
          <w:rFonts w:ascii="Arial" w:eastAsia="宋体" w:hAnsi="Arial" w:cs="Arial"/>
          <w:color w:val="000000"/>
          <w:sz w:val="13"/>
          <w:szCs w:val="13"/>
        </w:rPr>
        <w:t xml:space="preserve"> 2021, respectively.</w:t>
      </w:r>
    </w:p>
    <w:p w14:paraId="71D473F9" w14:textId="77777777" w:rsidR="006A3667" w:rsidRDefault="00045F32">
      <w:pPr>
        <w:ind w:firstLine="450"/>
        <w:jc w:val="right"/>
      </w:pPr>
      <w:r>
        <w:rPr>
          <w:rFonts w:ascii="Arial" w:eastAsia="宋体" w:hAnsi="Arial" w:cs="Arial"/>
          <w:color w:val="000000"/>
          <w:sz w:val="18"/>
          <w:szCs w:val="18"/>
        </w:rPr>
        <w:t>State Street Corporation | 76</w:t>
      </w:r>
    </w:p>
    <w:p w14:paraId="71D473FA" w14:textId="77777777" w:rsidR="006A3667" w:rsidRDefault="006A3667">
      <w:pPr>
        <w:ind w:firstLine="450"/>
        <w:jc w:val="center"/>
      </w:pPr>
    </w:p>
    <w:p w14:paraId="71D473FB" w14:textId="77777777" w:rsidR="006A3667" w:rsidRDefault="00045F32">
      <w:r>
        <w:pict w14:anchorId="71D4AC60">
          <v:rect id="_x0000_i1100" style="width:415.3pt;height:1.5pt" o:hralign="center" o:hrstd="t" o:hr="t" fillcolor="#a0a0a0" stroked="f"/>
        </w:pict>
      </w:r>
    </w:p>
    <w:p w14:paraId="71D473FC" w14:textId="77777777" w:rsidR="006A3667" w:rsidRDefault="00045F32">
      <w:pPr>
        <w:ind w:firstLine="450"/>
        <w:jc w:val="center"/>
      </w:pPr>
      <w:r>
        <w:rPr>
          <w:rFonts w:ascii="Arial" w:eastAsia="宋体" w:hAnsi="Arial" w:cs="Arial"/>
          <w:b/>
          <w:bCs/>
          <w:color w:val="000000"/>
          <w:sz w:val="20"/>
          <w:szCs w:val="20"/>
        </w:rPr>
        <w:t>STATE STREET CORPORATION</w:t>
      </w:r>
    </w:p>
    <w:p w14:paraId="71D473FD"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73FE" w14:textId="77777777" w:rsidR="006A3667" w:rsidRDefault="00045F32">
      <w:pPr>
        <w:ind w:firstLine="450"/>
        <w:jc w:val="center"/>
      </w:pPr>
      <w:r>
        <w:rPr>
          <w:rFonts w:ascii="Arial" w:eastAsia="宋体" w:hAnsi="Arial" w:cs="Arial"/>
          <w:b/>
          <w:bCs/>
          <w:color w:val="000000"/>
          <w:sz w:val="20"/>
          <w:szCs w:val="20"/>
        </w:rPr>
        <w:t>(UNAUDITED)</w:t>
      </w:r>
    </w:p>
    <w:p w14:paraId="71D473FF" w14:textId="77777777" w:rsidR="006A3667" w:rsidRDefault="00045F32">
      <w:pPr>
        <w:spacing w:before="180"/>
        <w:jc w:val="both"/>
        <w:textAlignment w:val="top"/>
      </w:pPr>
      <w:r>
        <w:rPr>
          <w:rFonts w:ascii="Arial" w:eastAsia="宋体" w:hAnsi="Arial" w:cs="Arial"/>
          <w:b/>
          <w:bCs/>
          <w:color w:val="000000"/>
          <w:sz w:val="20"/>
          <w:szCs w:val="20"/>
        </w:rPr>
        <w:t>Note 7. Derivative Financial Instruments</w:t>
      </w:r>
    </w:p>
    <w:p w14:paraId="71D47400" w14:textId="77777777" w:rsidR="006A3667" w:rsidRDefault="00045F32">
      <w:pPr>
        <w:spacing w:before="60"/>
        <w:ind w:firstLine="450"/>
        <w:jc w:val="both"/>
        <w:textAlignment w:val="top"/>
      </w:pPr>
      <w:r>
        <w:rPr>
          <w:rFonts w:ascii="Arial" w:eastAsia="宋体" w:hAnsi="Arial" w:cs="Arial"/>
          <w:color w:val="000000"/>
          <w:sz w:val="20"/>
          <w:szCs w:val="20"/>
        </w:rPr>
        <w:t>We use derivative financial instruments to support our clients' needs a</w:t>
      </w:r>
      <w:r>
        <w:rPr>
          <w:rFonts w:ascii="Arial" w:eastAsia="宋体" w:hAnsi="Arial" w:cs="Arial"/>
          <w:color w:val="000000"/>
          <w:sz w:val="20"/>
          <w:szCs w:val="20"/>
        </w:rPr>
        <w:t>nd to manage our interest rate and currency risks. These financial instruments consist of FX contracts such as forwards, futures and options contracts; interest rate contracts such as interest rate swaps (cross currency and single currency) and futures; an</w:t>
      </w:r>
      <w:r>
        <w:rPr>
          <w:rFonts w:ascii="Arial" w:eastAsia="宋体" w:hAnsi="Arial" w:cs="Arial"/>
          <w:color w:val="000000"/>
          <w:sz w:val="20"/>
          <w:szCs w:val="20"/>
        </w:rPr>
        <w:t>d other derivative contracts. Derivative instruments used for risk management purposes that are highly effective in offsetting the risk being hedged are generally designated as hedging instruments in hedge accounting relationships, while others are economi</w:t>
      </w:r>
      <w:r>
        <w:rPr>
          <w:rFonts w:ascii="Arial" w:eastAsia="宋体" w:hAnsi="Arial" w:cs="Arial"/>
          <w:color w:val="000000"/>
          <w:sz w:val="20"/>
          <w:szCs w:val="20"/>
        </w:rPr>
        <w:t>c hedges and not designated in hedge accounting relationships. For additional information on our use and accounting policies on derivative financial instruments, including derivatives not designated as hedging instruments, refer to pages 158 to 159 in Note</w:t>
      </w:r>
      <w:r>
        <w:rPr>
          <w:rFonts w:ascii="Arial" w:eastAsia="宋体" w:hAnsi="Arial" w:cs="Arial"/>
          <w:color w:val="000000"/>
          <w:sz w:val="20"/>
          <w:szCs w:val="20"/>
        </w:rPr>
        <w:t xml:space="preserve"> 10 to the consolidated financial statements included under Item 8, Financial Statements and Supplementary Data, in our 2021 Form 10-K.</w:t>
      </w:r>
    </w:p>
    <w:p w14:paraId="71D47401" w14:textId="77777777" w:rsidR="006A3667" w:rsidRDefault="00045F32">
      <w:pPr>
        <w:spacing w:before="60"/>
        <w:jc w:val="both"/>
        <w:textAlignment w:val="top"/>
      </w:pPr>
      <w:r>
        <w:rPr>
          <w:rFonts w:ascii="Arial" w:eastAsia="宋体" w:hAnsi="Arial" w:cs="Arial"/>
          <w:b/>
          <w:bCs/>
          <w:i/>
          <w:iCs/>
          <w:color w:val="000000"/>
          <w:sz w:val="20"/>
          <w:szCs w:val="20"/>
        </w:rPr>
        <w:t>Derivatives Designated as Hedging Instruments</w:t>
      </w:r>
    </w:p>
    <w:p w14:paraId="71D47402" w14:textId="77777777" w:rsidR="006A3667" w:rsidRDefault="00045F32">
      <w:pPr>
        <w:spacing w:before="60"/>
        <w:ind w:firstLine="450"/>
        <w:jc w:val="both"/>
        <w:textAlignment w:val="top"/>
      </w:pPr>
      <w:r>
        <w:rPr>
          <w:rFonts w:ascii="Arial" w:eastAsia="宋体" w:hAnsi="Arial" w:cs="Arial"/>
          <w:color w:val="000000"/>
          <w:sz w:val="20"/>
          <w:szCs w:val="20"/>
        </w:rPr>
        <w:t xml:space="preserve">For additional information on our derivatives designated as hedging </w:t>
      </w:r>
      <w:r>
        <w:rPr>
          <w:rFonts w:ascii="Arial" w:eastAsia="宋体" w:hAnsi="Arial" w:cs="Arial"/>
          <w:color w:val="000000"/>
          <w:sz w:val="20"/>
          <w:szCs w:val="20"/>
        </w:rPr>
        <w:t>instruments, including our risk management objectives and hedging documentation methodologies, refer to page 159 in Note 10 to the consolidated financial statements included under Item 8, Financial Statements and Supplementary Data, in our 2021 Form 10-K.</w:t>
      </w:r>
    </w:p>
    <w:p w14:paraId="71D47403" w14:textId="77777777" w:rsidR="006A3667" w:rsidRDefault="00045F32">
      <w:pPr>
        <w:spacing w:before="60"/>
        <w:jc w:val="both"/>
        <w:textAlignment w:val="top"/>
      </w:pPr>
      <w:r>
        <w:rPr>
          <w:rFonts w:ascii="Arial" w:eastAsia="宋体" w:hAnsi="Arial" w:cs="Arial"/>
          <w:i/>
          <w:iCs/>
          <w:color w:val="000000"/>
          <w:sz w:val="20"/>
          <w:szCs w:val="20"/>
        </w:rPr>
        <w:t>Fair Value Hedges</w:t>
      </w:r>
    </w:p>
    <w:p w14:paraId="71D47404" w14:textId="77777777" w:rsidR="006A3667" w:rsidRDefault="00045F32">
      <w:pPr>
        <w:spacing w:before="60"/>
        <w:ind w:firstLine="450"/>
        <w:jc w:val="both"/>
        <w:textAlignment w:val="top"/>
      </w:pPr>
      <w:r>
        <w:rPr>
          <w:rFonts w:ascii="Arial" w:eastAsia="宋体" w:hAnsi="Arial" w:cs="Arial"/>
          <w:color w:val="000000"/>
          <w:sz w:val="20"/>
          <w:szCs w:val="20"/>
        </w:rPr>
        <w:t>Derivatives designated as fair value hedges are utilized to mitigate the risk of changes in the fair values of recognized assets and liabilities, including long-term debt and AFS securities. We use interest rate contracts in this manner to manage our expos</w:t>
      </w:r>
      <w:r>
        <w:rPr>
          <w:rFonts w:ascii="Arial" w:eastAsia="宋体" w:hAnsi="Arial" w:cs="Arial"/>
          <w:color w:val="000000"/>
          <w:sz w:val="20"/>
          <w:szCs w:val="20"/>
        </w:rPr>
        <w:t xml:space="preserve">ure to changes in the fair value of hedged items caused by changes in interest rates. </w:t>
      </w:r>
    </w:p>
    <w:p w14:paraId="71D47405" w14:textId="77777777" w:rsidR="006A3667" w:rsidRDefault="00045F32">
      <w:pPr>
        <w:spacing w:before="60"/>
        <w:ind w:firstLine="450"/>
        <w:jc w:val="both"/>
        <w:textAlignment w:val="top"/>
      </w:pPr>
      <w:r>
        <w:rPr>
          <w:rFonts w:ascii="Arial" w:eastAsia="宋体" w:hAnsi="Arial" w:cs="Arial"/>
          <w:color w:val="000000"/>
          <w:sz w:val="20"/>
          <w:szCs w:val="20"/>
        </w:rPr>
        <w:t>Changes in the fair value of the derivative and changes in fair value of the hedged item due to changes in the hedged risk are recognized in earnings in the same line it</w:t>
      </w:r>
      <w:r>
        <w:rPr>
          <w:rFonts w:ascii="Arial" w:eastAsia="宋体" w:hAnsi="Arial" w:cs="Arial"/>
          <w:color w:val="000000"/>
          <w:sz w:val="20"/>
          <w:szCs w:val="20"/>
        </w:rPr>
        <w:t xml:space="preserve">em. If a hedge is terminated, but the hedged item was not derecognized, all remaining adjustments to the carrying amount of the hedged item are amortized over a period that is consistent with the amortization of other discounts or premiums associated with </w:t>
      </w:r>
      <w:r>
        <w:rPr>
          <w:rFonts w:ascii="Arial" w:eastAsia="宋体" w:hAnsi="Arial" w:cs="Arial"/>
          <w:color w:val="000000"/>
          <w:sz w:val="20"/>
          <w:szCs w:val="20"/>
        </w:rPr>
        <w:t>the hedged item</w:t>
      </w:r>
      <w:r>
        <w:rPr>
          <w:rFonts w:ascii="Times New Roman" w:eastAsia="宋体" w:hAnsi="Times New Roman"/>
          <w:color w:val="000000"/>
          <w:sz w:val="20"/>
          <w:szCs w:val="20"/>
        </w:rPr>
        <w:t xml:space="preserve">. </w:t>
      </w:r>
    </w:p>
    <w:p w14:paraId="71D47406" w14:textId="77777777" w:rsidR="006A3667" w:rsidRDefault="00045F32">
      <w:pPr>
        <w:spacing w:before="60"/>
        <w:jc w:val="both"/>
        <w:textAlignment w:val="top"/>
      </w:pPr>
      <w:r>
        <w:rPr>
          <w:rFonts w:ascii="Arial" w:eastAsia="宋体" w:hAnsi="Arial" w:cs="Arial"/>
          <w:i/>
          <w:iCs/>
          <w:color w:val="000000"/>
          <w:sz w:val="20"/>
          <w:szCs w:val="20"/>
        </w:rPr>
        <w:t>Cash Flow Hedges</w:t>
      </w:r>
    </w:p>
    <w:p w14:paraId="71D47407" w14:textId="77777777" w:rsidR="006A3667" w:rsidRDefault="00045F32">
      <w:pPr>
        <w:spacing w:before="60"/>
        <w:ind w:firstLine="450"/>
        <w:jc w:val="both"/>
        <w:textAlignment w:val="top"/>
      </w:pPr>
      <w:r>
        <w:rPr>
          <w:rFonts w:ascii="Arial" w:eastAsia="宋体" w:hAnsi="Arial" w:cs="Arial"/>
          <w:color w:val="000000"/>
          <w:sz w:val="20"/>
          <w:szCs w:val="20"/>
        </w:rPr>
        <w:t>Derivatives designated as cash flow hedges are utilized to offset the variability of cash flows of recognized assets, liabilities or forecasted transactions. We have entered into FX contracts to hedge the change in cash f</w:t>
      </w:r>
      <w:r>
        <w:rPr>
          <w:rFonts w:ascii="Arial" w:eastAsia="宋体" w:hAnsi="Arial" w:cs="Arial"/>
          <w:color w:val="000000"/>
          <w:sz w:val="20"/>
          <w:szCs w:val="20"/>
        </w:rPr>
        <w:t>lows attributable to FX movements in foreign currency denominated investment securities. Additionally, we have entered into interest rate swap agreements to hedge the forecasted cash flows associated with LIBOR indexed floating-rate loans. The interest rat</w:t>
      </w:r>
      <w:r>
        <w:rPr>
          <w:rFonts w:ascii="Arial" w:eastAsia="宋体" w:hAnsi="Arial" w:cs="Arial"/>
          <w:color w:val="000000"/>
          <w:sz w:val="20"/>
          <w:szCs w:val="20"/>
        </w:rPr>
        <w:t>e swaps synthetically convert the loan interest receipts from a variable-rate to a fixed-rate, thereby mitigating the risk attributable to changes in the LIBOR benchmark rate.</w:t>
      </w:r>
    </w:p>
    <w:p w14:paraId="71D47408" w14:textId="77777777" w:rsidR="006A3667" w:rsidRDefault="00045F32">
      <w:pPr>
        <w:spacing w:before="60"/>
        <w:ind w:firstLine="450"/>
        <w:jc w:val="both"/>
        <w:textAlignment w:val="top"/>
      </w:pPr>
      <w:r>
        <w:rPr>
          <w:rFonts w:ascii="Arial" w:eastAsia="宋体" w:hAnsi="Arial" w:cs="Arial"/>
          <w:color w:val="000000"/>
          <w:sz w:val="20"/>
          <w:szCs w:val="20"/>
        </w:rPr>
        <w:t>Changes in fair value of the derivatives designated as cash flow hedges are init</w:t>
      </w:r>
      <w:r>
        <w:rPr>
          <w:rFonts w:ascii="Arial" w:eastAsia="宋体" w:hAnsi="Arial" w:cs="Arial"/>
          <w:color w:val="000000"/>
          <w:sz w:val="20"/>
          <w:szCs w:val="20"/>
        </w:rPr>
        <w:t xml:space="preserve">ially recorded in AOCI and then reclassified into earnings in the same period or periods during which the hedged forecasted transaction affects earnings and are presented in the same income statement line item as the earnings effect of the hedged item. If </w:t>
      </w:r>
      <w:r>
        <w:rPr>
          <w:rFonts w:ascii="Arial" w:eastAsia="宋体" w:hAnsi="Arial" w:cs="Arial"/>
          <w:color w:val="000000"/>
          <w:sz w:val="20"/>
          <w:szCs w:val="20"/>
        </w:rPr>
        <w:t>the hedge relationship is terminated, the change in fair value on the derivative recorded in AOCI is reclassified into earnings consistent with the timing of the hedged item. For hedge relationships that are discontinued because a forecasted transaction is</w:t>
      </w:r>
      <w:r>
        <w:rPr>
          <w:rFonts w:ascii="Arial" w:eastAsia="宋体" w:hAnsi="Arial" w:cs="Arial"/>
          <w:color w:val="000000"/>
          <w:sz w:val="20"/>
          <w:szCs w:val="20"/>
        </w:rPr>
        <w:t xml:space="preserve"> not expected to occur according to the original hedge terms, any related derivative values recorded in AOCI are immediately recognized in earnings. The net loss associated with cash flow hedges expected to be reclassified from AOCI within 12 months of Sep</w:t>
      </w:r>
      <w:r>
        <w:rPr>
          <w:rFonts w:ascii="Arial" w:eastAsia="宋体" w:hAnsi="Arial" w:cs="Arial"/>
          <w:color w:val="000000"/>
          <w:sz w:val="20"/>
          <w:szCs w:val="20"/>
        </w:rPr>
        <w:t>tember 30, 2022, is approximately $233 million. The maximum length of time over which forecasted cash flows are hedged is 5 years.</w:t>
      </w:r>
    </w:p>
    <w:p w14:paraId="71D47409" w14:textId="77777777" w:rsidR="006A3667" w:rsidRDefault="00045F32">
      <w:pPr>
        <w:spacing w:before="60"/>
        <w:jc w:val="both"/>
        <w:textAlignment w:val="top"/>
      </w:pPr>
      <w:r>
        <w:rPr>
          <w:rFonts w:ascii="Arial" w:eastAsia="宋体" w:hAnsi="Arial" w:cs="Arial"/>
          <w:i/>
          <w:iCs/>
          <w:color w:val="000000"/>
          <w:sz w:val="20"/>
          <w:szCs w:val="20"/>
        </w:rPr>
        <w:t>Net Investment Hedges</w:t>
      </w:r>
    </w:p>
    <w:p w14:paraId="71D4740A" w14:textId="77777777" w:rsidR="006A3667" w:rsidRDefault="00045F32">
      <w:pPr>
        <w:spacing w:before="60"/>
        <w:ind w:firstLine="450"/>
        <w:jc w:val="both"/>
        <w:textAlignment w:val="top"/>
      </w:pPr>
      <w:r>
        <w:rPr>
          <w:rFonts w:ascii="Arial" w:eastAsia="宋体" w:hAnsi="Arial" w:cs="Arial"/>
          <w:color w:val="000000"/>
          <w:sz w:val="20"/>
          <w:szCs w:val="20"/>
        </w:rPr>
        <w:t xml:space="preserve">Derivatives categorized as net investment hedges are entered into to protect the net investment in our </w:t>
      </w:r>
      <w:r>
        <w:rPr>
          <w:rFonts w:ascii="Arial" w:eastAsia="宋体" w:hAnsi="Arial" w:cs="Arial"/>
          <w:color w:val="000000"/>
          <w:sz w:val="20"/>
          <w:szCs w:val="20"/>
        </w:rPr>
        <w:t>foreign operations against adverse changes in exchange rates. We use FX forward contracts to convert the foreign currency risk to U.S. dollars to mitigate our exposure to fluctuations in FX rates. The changes in fair value of the FX forward contracts are r</w:t>
      </w:r>
      <w:r>
        <w:rPr>
          <w:rFonts w:ascii="Arial" w:eastAsia="宋体" w:hAnsi="Arial" w:cs="Arial"/>
          <w:color w:val="000000"/>
          <w:sz w:val="20"/>
          <w:szCs w:val="20"/>
        </w:rPr>
        <w:t>ecorded, net of taxes, in the foreign currency translation component of OCI.</w:t>
      </w:r>
    </w:p>
    <w:p w14:paraId="71D4740B" w14:textId="77777777" w:rsidR="006A3667" w:rsidRDefault="00045F32">
      <w:pPr>
        <w:ind w:firstLine="450"/>
        <w:jc w:val="right"/>
      </w:pPr>
      <w:r>
        <w:rPr>
          <w:rFonts w:ascii="Arial" w:eastAsia="宋体" w:hAnsi="Arial" w:cs="Arial"/>
          <w:color w:val="000000"/>
          <w:sz w:val="18"/>
          <w:szCs w:val="18"/>
        </w:rPr>
        <w:t>State Street Corporation | 77</w:t>
      </w:r>
    </w:p>
    <w:p w14:paraId="71D4740C" w14:textId="77777777" w:rsidR="006A3667" w:rsidRDefault="006A3667">
      <w:pPr>
        <w:ind w:firstLine="450"/>
        <w:jc w:val="center"/>
      </w:pPr>
    </w:p>
    <w:p w14:paraId="71D4740D" w14:textId="77777777" w:rsidR="006A3667" w:rsidRDefault="00045F32">
      <w:r>
        <w:pict w14:anchorId="71D4AC61">
          <v:rect id="_x0000_i1101" style="width:415.3pt;height:1.5pt" o:hralign="center" o:hrstd="t" o:hr="t" fillcolor="#a0a0a0" stroked="f"/>
        </w:pict>
      </w:r>
    </w:p>
    <w:p w14:paraId="71D4740E" w14:textId="77777777" w:rsidR="006A3667" w:rsidRDefault="00045F32">
      <w:pPr>
        <w:ind w:firstLine="450"/>
        <w:jc w:val="center"/>
      </w:pPr>
      <w:r>
        <w:rPr>
          <w:rFonts w:ascii="Arial" w:eastAsia="宋体" w:hAnsi="Arial" w:cs="Arial"/>
          <w:b/>
          <w:bCs/>
          <w:color w:val="000000"/>
          <w:sz w:val="20"/>
          <w:szCs w:val="20"/>
        </w:rPr>
        <w:t>STATE STREET CORPORATION</w:t>
      </w:r>
    </w:p>
    <w:p w14:paraId="71D4740F"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7410" w14:textId="77777777" w:rsidR="006A3667" w:rsidRDefault="00045F32">
      <w:pPr>
        <w:ind w:firstLine="450"/>
        <w:jc w:val="center"/>
      </w:pPr>
      <w:r>
        <w:rPr>
          <w:rFonts w:ascii="Arial" w:eastAsia="宋体" w:hAnsi="Arial" w:cs="Arial"/>
          <w:b/>
          <w:bCs/>
          <w:color w:val="000000"/>
          <w:sz w:val="20"/>
          <w:szCs w:val="20"/>
        </w:rPr>
        <w:t>(UNAUDITED)</w:t>
      </w:r>
    </w:p>
    <w:p w14:paraId="71D47411" w14:textId="77777777" w:rsidR="006A3667" w:rsidRDefault="00045F32">
      <w:pPr>
        <w:spacing w:before="60"/>
        <w:ind w:firstLine="450"/>
        <w:jc w:val="both"/>
      </w:pPr>
      <w:r>
        <w:rPr>
          <w:rFonts w:ascii="Arial" w:eastAsia="宋体" w:hAnsi="Arial" w:cs="Arial"/>
          <w:color w:val="000000"/>
          <w:sz w:val="20"/>
          <w:szCs w:val="20"/>
        </w:rPr>
        <w:t xml:space="preserve">The following table presents the aggregate contractual, </w:t>
      </w:r>
      <w:r>
        <w:rPr>
          <w:rFonts w:ascii="Arial" w:eastAsia="宋体" w:hAnsi="Arial" w:cs="Arial"/>
          <w:color w:val="000000"/>
          <w:sz w:val="20"/>
          <w:szCs w:val="20"/>
        </w:rPr>
        <w:t>or notional, amounts of derivative financial instruments, including those entered into for trading and asset-and-liability management activities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570"/>
        <w:gridCol w:w="36"/>
        <w:gridCol w:w="99"/>
        <w:gridCol w:w="1656"/>
        <w:gridCol w:w="36"/>
        <w:gridCol w:w="36"/>
        <w:gridCol w:w="36"/>
        <w:gridCol w:w="36"/>
        <w:gridCol w:w="99"/>
        <w:gridCol w:w="1656"/>
        <w:gridCol w:w="36"/>
      </w:tblGrid>
      <w:tr w:rsidR="006A3667" w14:paraId="71D4741E" w14:textId="77777777">
        <w:tc>
          <w:tcPr>
            <w:tcW w:w="50" w:type="pct"/>
            <w:shd w:val="clear" w:color="auto" w:fill="auto"/>
            <w:vAlign w:val="bottom"/>
          </w:tcPr>
          <w:p w14:paraId="71D47412" w14:textId="77777777" w:rsidR="006A3667" w:rsidRDefault="006A3667">
            <w:pPr>
              <w:rPr>
                <w:rFonts w:ascii="宋体"/>
              </w:rPr>
            </w:pPr>
          </w:p>
        </w:tc>
        <w:tc>
          <w:tcPr>
            <w:tcW w:w="2766" w:type="pct"/>
            <w:shd w:val="clear" w:color="auto" w:fill="auto"/>
            <w:vAlign w:val="bottom"/>
          </w:tcPr>
          <w:p w14:paraId="71D47413" w14:textId="77777777" w:rsidR="006A3667" w:rsidRDefault="006A3667">
            <w:pPr>
              <w:rPr>
                <w:rFonts w:ascii="宋体"/>
              </w:rPr>
            </w:pPr>
          </w:p>
        </w:tc>
        <w:tc>
          <w:tcPr>
            <w:tcW w:w="5" w:type="pct"/>
            <w:shd w:val="clear" w:color="auto" w:fill="auto"/>
            <w:vAlign w:val="bottom"/>
          </w:tcPr>
          <w:p w14:paraId="71D47414" w14:textId="77777777" w:rsidR="006A3667" w:rsidRDefault="006A3667">
            <w:pPr>
              <w:rPr>
                <w:rFonts w:ascii="宋体"/>
              </w:rPr>
            </w:pPr>
          </w:p>
        </w:tc>
        <w:tc>
          <w:tcPr>
            <w:tcW w:w="50" w:type="pct"/>
            <w:shd w:val="clear" w:color="auto" w:fill="auto"/>
            <w:vAlign w:val="bottom"/>
          </w:tcPr>
          <w:p w14:paraId="71D47415" w14:textId="77777777" w:rsidR="006A3667" w:rsidRDefault="006A3667">
            <w:pPr>
              <w:rPr>
                <w:rFonts w:ascii="宋体"/>
              </w:rPr>
            </w:pPr>
          </w:p>
        </w:tc>
        <w:tc>
          <w:tcPr>
            <w:tcW w:w="1019" w:type="pct"/>
            <w:shd w:val="clear" w:color="auto" w:fill="auto"/>
            <w:vAlign w:val="bottom"/>
          </w:tcPr>
          <w:p w14:paraId="71D47416" w14:textId="77777777" w:rsidR="006A3667" w:rsidRDefault="006A3667">
            <w:pPr>
              <w:rPr>
                <w:rFonts w:ascii="宋体"/>
              </w:rPr>
            </w:pPr>
          </w:p>
        </w:tc>
        <w:tc>
          <w:tcPr>
            <w:tcW w:w="5" w:type="pct"/>
            <w:shd w:val="clear" w:color="auto" w:fill="auto"/>
            <w:vAlign w:val="bottom"/>
          </w:tcPr>
          <w:p w14:paraId="71D47417" w14:textId="77777777" w:rsidR="006A3667" w:rsidRDefault="006A3667">
            <w:pPr>
              <w:rPr>
                <w:rFonts w:ascii="宋体"/>
              </w:rPr>
            </w:pPr>
          </w:p>
        </w:tc>
        <w:tc>
          <w:tcPr>
            <w:tcW w:w="5" w:type="pct"/>
            <w:shd w:val="clear" w:color="auto" w:fill="auto"/>
            <w:vAlign w:val="bottom"/>
          </w:tcPr>
          <w:p w14:paraId="71D47418" w14:textId="77777777" w:rsidR="006A3667" w:rsidRDefault="006A3667">
            <w:pPr>
              <w:rPr>
                <w:rFonts w:ascii="宋体"/>
              </w:rPr>
            </w:pPr>
          </w:p>
        </w:tc>
        <w:tc>
          <w:tcPr>
            <w:tcW w:w="19" w:type="pct"/>
            <w:shd w:val="clear" w:color="auto" w:fill="auto"/>
            <w:vAlign w:val="bottom"/>
          </w:tcPr>
          <w:p w14:paraId="71D47419" w14:textId="77777777" w:rsidR="006A3667" w:rsidRDefault="006A3667">
            <w:pPr>
              <w:rPr>
                <w:rFonts w:ascii="宋体"/>
              </w:rPr>
            </w:pPr>
          </w:p>
        </w:tc>
        <w:tc>
          <w:tcPr>
            <w:tcW w:w="5" w:type="pct"/>
            <w:shd w:val="clear" w:color="auto" w:fill="auto"/>
            <w:vAlign w:val="bottom"/>
          </w:tcPr>
          <w:p w14:paraId="71D4741A" w14:textId="77777777" w:rsidR="006A3667" w:rsidRDefault="006A3667">
            <w:pPr>
              <w:rPr>
                <w:rFonts w:ascii="宋体"/>
              </w:rPr>
            </w:pPr>
          </w:p>
        </w:tc>
        <w:tc>
          <w:tcPr>
            <w:tcW w:w="50" w:type="pct"/>
            <w:shd w:val="clear" w:color="auto" w:fill="auto"/>
            <w:vAlign w:val="bottom"/>
          </w:tcPr>
          <w:p w14:paraId="71D4741B" w14:textId="77777777" w:rsidR="006A3667" w:rsidRDefault="006A3667">
            <w:pPr>
              <w:rPr>
                <w:rFonts w:ascii="宋体"/>
              </w:rPr>
            </w:pPr>
          </w:p>
        </w:tc>
        <w:tc>
          <w:tcPr>
            <w:tcW w:w="1019" w:type="pct"/>
            <w:shd w:val="clear" w:color="auto" w:fill="auto"/>
            <w:vAlign w:val="bottom"/>
          </w:tcPr>
          <w:p w14:paraId="71D4741C" w14:textId="77777777" w:rsidR="006A3667" w:rsidRDefault="006A3667">
            <w:pPr>
              <w:rPr>
                <w:rFonts w:ascii="宋体"/>
              </w:rPr>
            </w:pPr>
          </w:p>
        </w:tc>
        <w:tc>
          <w:tcPr>
            <w:tcW w:w="5" w:type="pct"/>
            <w:shd w:val="clear" w:color="auto" w:fill="auto"/>
            <w:vAlign w:val="bottom"/>
          </w:tcPr>
          <w:p w14:paraId="71D4741D" w14:textId="77777777" w:rsidR="006A3667" w:rsidRDefault="006A3667">
            <w:pPr>
              <w:rPr>
                <w:rFonts w:ascii="宋体"/>
              </w:rPr>
            </w:pPr>
          </w:p>
        </w:tc>
      </w:tr>
      <w:tr w:rsidR="006A3667" w14:paraId="71D47423" w14:textId="77777777">
        <w:tc>
          <w:tcPr>
            <w:tcW w:w="0" w:type="auto"/>
            <w:gridSpan w:val="3"/>
            <w:shd w:val="clear" w:color="auto" w:fill="auto"/>
            <w:tcMar>
              <w:top w:w="40" w:type="dxa"/>
              <w:left w:w="20" w:type="dxa"/>
              <w:bottom w:w="40" w:type="dxa"/>
              <w:right w:w="20" w:type="dxa"/>
            </w:tcMar>
            <w:vAlign w:val="bottom"/>
          </w:tcPr>
          <w:p w14:paraId="71D4741F"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7420"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742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422"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7428" w14:textId="77777777">
        <w:tc>
          <w:tcPr>
            <w:tcW w:w="0" w:type="auto"/>
            <w:gridSpan w:val="3"/>
            <w:shd w:val="clear" w:color="auto" w:fill="auto"/>
            <w:tcMar>
              <w:top w:w="40" w:type="dxa"/>
              <w:left w:w="20" w:type="dxa"/>
              <w:bottom w:w="40" w:type="dxa"/>
              <w:right w:w="20" w:type="dxa"/>
            </w:tcMar>
            <w:vAlign w:val="bottom"/>
          </w:tcPr>
          <w:p w14:paraId="71D47424" w14:textId="77777777" w:rsidR="006A3667" w:rsidRDefault="00045F32">
            <w:pPr>
              <w:textAlignment w:val="bottom"/>
            </w:pPr>
            <w:r>
              <w:rPr>
                <w:rFonts w:ascii="Arial" w:eastAsia="宋体" w:hAnsi="Arial" w:cs="Arial"/>
                <w:b/>
                <w:bCs/>
                <w:color w:val="000000"/>
                <w:sz w:val="14"/>
                <w:szCs w:val="14"/>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42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42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427" w14:textId="77777777" w:rsidR="006A3667" w:rsidRDefault="006A3667">
            <w:pPr>
              <w:rPr>
                <w:rFonts w:ascii="宋体"/>
              </w:rPr>
            </w:pPr>
          </w:p>
        </w:tc>
      </w:tr>
      <w:tr w:rsidR="006A3667" w14:paraId="71D4742D" w14:textId="77777777">
        <w:tc>
          <w:tcPr>
            <w:tcW w:w="0" w:type="auto"/>
            <w:gridSpan w:val="3"/>
            <w:shd w:val="clear" w:color="auto" w:fill="auto"/>
            <w:tcMar>
              <w:top w:w="40" w:type="dxa"/>
              <w:left w:w="20" w:type="dxa"/>
              <w:bottom w:w="40" w:type="dxa"/>
              <w:right w:w="20" w:type="dxa"/>
            </w:tcMar>
            <w:vAlign w:val="bottom"/>
          </w:tcPr>
          <w:p w14:paraId="71D47429" w14:textId="77777777" w:rsidR="006A3667" w:rsidRDefault="00045F32">
            <w:pPr>
              <w:textAlignment w:val="bottom"/>
            </w:pPr>
            <w:r>
              <w:rPr>
                <w:rFonts w:ascii="Arial" w:eastAsia="宋体" w:hAnsi="Arial" w:cs="Arial"/>
                <w:color w:val="000000"/>
                <w:sz w:val="14"/>
                <w:szCs w:val="14"/>
              </w:rPr>
              <w:t>Interest rate contracts:</w:t>
            </w:r>
          </w:p>
        </w:tc>
        <w:tc>
          <w:tcPr>
            <w:tcW w:w="0" w:type="auto"/>
            <w:gridSpan w:val="3"/>
            <w:shd w:val="clear" w:color="auto" w:fill="auto"/>
            <w:tcMar>
              <w:top w:w="0" w:type="dxa"/>
              <w:left w:w="20" w:type="dxa"/>
              <w:bottom w:w="0" w:type="dxa"/>
              <w:right w:w="20" w:type="dxa"/>
            </w:tcMar>
            <w:vAlign w:val="bottom"/>
          </w:tcPr>
          <w:p w14:paraId="71D474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42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42C" w14:textId="77777777" w:rsidR="006A3667" w:rsidRDefault="006A3667">
            <w:pPr>
              <w:rPr>
                <w:rFonts w:ascii="宋体"/>
              </w:rPr>
            </w:pPr>
          </w:p>
        </w:tc>
      </w:tr>
      <w:tr w:rsidR="006A3667" w14:paraId="71D47432" w14:textId="77777777">
        <w:trPr>
          <w:hidden/>
        </w:trPr>
        <w:tc>
          <w:tcPr>
            <w:tcW w:w="0" w:type="auto"/>
            <w:gridSpan w:val="3"/>
            <w:shd w:val="clear" w:color="auto" w:fill="auto"/>
            <w:vAlign w:val="bottom"/>
          </w:tcPr>
          <w:p w14:paraId="71D4742E" w14:textId="77777777" w:rsidR="006A3667" w:rsidRDefault="006A3667">
            <w:pPr>
              <w:rPr>
                <w:rFonts w:ascii="宋体"/>
                <w:vanish/>
              </w:rPr>
            </w:pPr>
          </w:p>
        </w:tc>
        <w:tc>
          <w:tcPr>
            <w:tcW w:w="0" w:type="auto"/>
            <w:gridSpan w:val="3"/>
            <w:shd w:val="clear" w:color="auto" w:fill="auto"/>
            <w:vAlign w:val="bottom"/>
          </w:tcPr>
          <w:p w14:paraId="71D4742F" w14:textId="77777777" w:rsidR="006A3667" w:rsidRDefault="006A3667">
            <w:pPr>
              <w:rPr>
                <w:rFonts w:ascii="宋体"/>
                <w:vanish/>
              </w:rPr>
            </w:pPr>
          </w:p>
        </w:tc>
        <w:tc>
          <w:tcPr>
            <w:tcW w:w="0" w:type="auto"/>
            <w:gridSpan w:val="3"/>
            <w:shd w:val="clear" w:color="auto" w:fill="auto"/>
            <w:vAlign w:val="bottom"/>
          </w:tcPr>
          <w:p w14:paraId="71D47430" w14:textId="77777777" w:rsidR="006A3667" w:rsidRDefault="006A3667">
            <w:pPr>
              <w:rPr>
                <w:rFonts w:ascii="宋体"/>
                <w:vanish/>
              </w:rPr>
            </w:pPr>
          </w:p>
        </w:tc>
        <w:tc>
          <w:tcPr>
            <w:tcW w:w="0" w:type="auto"/>
            <w:gridSpan w:val="3"/>
            <w:shd w:val="clear" w:color="auto" w:fill="auto"/>
            <w:vAlign w:val="bottom"/>
          </w:tcPr>
          <w:p w14:paraId="71D47431" w14:textId="77777777" w:rsidR="006A3667" w:rsidRDefault="006A3667">
            <w:pPr>
              <w:rPr>
                <w:rFonts w:ascii="宋体"/>
                <w:vanish/>
              </w:rPr>
            </w:pPr>
          </w:p>
        </w:tc>
      </w:tr>
      <w:tr w:rsidR="006A3667" w14:paraId="71D47437" w14:textId="77777777">
        <w:trPr>
          <w:hidden/>
        </w:trPr>
        <w:tc>
          <w:tcPr>
            <w:tcW w:w="0" w:type="auto"/>
            <w:gridSpan w:val="3"/>
            <w:shd w:val="clear" w:color="auto" w:fill="auto"/>
            <w:vAlign w:val="bottom"/>
          </w:tcPr>
          <w:p w14:paraId="71D47433" w14:textId="77777777" w:rsidR="006A3667" w:rsidRDefault="006A3667">
            <w:pPr>
              <w:rPr>
                <w:rFonts w:ascii="宋体"/>
                <w:vanish/>
              </w:rPr>
            </w:pPr>
          </w:p>
        </w:tc>
        <w:tc>
          <w:tcPr>
            <w:tcW w:w="0" w:type="auto"/>
            <w:gridSpan w:val="3"/>
            <w:shd w:val="clear" w:color="auto" w:fill="auto"/>
            <w:vAlign w:val="bottom"/>
          </w:tcPr>
          <w:p w14:paraId="71D47434" w14:textId="77777777" w:rsidR="006A3667" w:rsidRDefault="006A3667">
            <w:pPr>
              <w:rPr>
                <w:rFonts w:ascii="宋体"/>
                <w:vanish/>
              </w:rPr>
            </w:pPr>
          </w:p>
        </w:tc>
        <w:tc>
          <w:tcPr>
            <w:tcW w:w="0" w:type="auto"/>
            <w:gridSpan w:val="3"/>
            <w:shd w:val="clear" w:color="auto" w:fill="auto"/>
            <w:vAlign w:val="bottom"/>
          </w:tcPr>
          <w:p w14:paraId="71D47435" w14:textId="77777777" w:rsidR="006A3667" w:rsidRDefault="006A3667">
            <w:pPr>
              <w:rPr>
                <w:rFonts w:ascii="宋体"/>
                <w:vanish/>
              </w:rPr>
            </w:pPr>
          </w:p>
        </w:tc>
        <w:tc>
          <w:tcPr>
            <w:tcW w:w="0" w:type="auto"/>
            <w:gridSpan w:val="3"/>
            <w:shd w:val="clear" w:color="auto" w:fill="auto"/>
            <w:vAlign w:val="bottom"/>
          </w:tcPr>
          <w:p w14:paraId="71D47436" w14:textId="77777777" w:rsidR="006A3667" w:rsidRDefault="006A3667">
            <w:pPr>
              <w:rPr>
                <w:rFonts w:ascii="宋体"/>
                <w:vanish/>
              </w:rPr>
            </w:pPr>
          </w:p>
        </w:tc>
      </w:tr>
      <w:tr w:rsidR="006A3667" w14:paraId="71D4743C" w14:textId="77777777">
        <w:trPr>
          <w:hidden/>
        </w:trPr>
        <w:tc>
          <w:tcPr>
            <w:tcW w:w="0" w:type="auto"/>
            <w:gridSpan w:val="3"/>
            <w:shd w:val="clear" w:color="auto" w:fill="auto"/>
            <w:vAlign w:val="bottom"/>
          </w:tcPr>
          <w:p w14:paraId="71D47438" w14:textId="77777777" w:rsidR="006A3667" w:rsidRDefault="006A3667">
            <w:pPr>
              <w:rPr>
                <w:rFonts w:ascii="宋体"/>
                <w:vanish/>
              </w:rPr>
            </w:pPr>
          </w:p>
        </w:tc>
        <w:tc>
          <w:tcPr>
            <w:tcW w:w="0" w:type="auto"/>
            <w:gridSpan w:val="3"/>
            <w:shd w:val="clear" w:color="auto" w:fill="auto"/>
            <w:vAlign w:val="bottom"/>
          </w:tcPr>
          <w:p w14:paraId="71D47439" w14:textId="77777777" w:rsidR="006A3667" w:rsidRDefault="006A3667">
            <w:pPr>
              <w:rPr>
                <w:rFonts w:ascii="宋体"/>
                <w:vanish/>
              </w:rPr>
            </w:pPr>
          </w:p>
        </w:tc>
        <w:tc>
          <w:tcPr>
            <w:tcW w:w="0" w:type="auto"/>
            <w:gridSpan w:val="3"/>
            <w:shd w:val="clear" w:color="auto" w:fill="auto"/>
            <w:vAlign w:val="bottom"/>
          </w:tcPr>
          <w:p w14:paraId="71D4743A" w14:textId="77777777" w:rsidR="006A3667" w:rsidRDefault="006A3667">
            <w:pPr>
              <w:rPr>
                <w:rFonts w:ascii="宋体"/>
                <w:vanish/>
              </w:rPr>
            </w:pPr>
          </w:p>
        </w:tc>
        <w:tc>
          <w:tcPr>
            <w:tcW w:w="0" w:type="auto"/>
            <w:gridSpan w:val="3"/>
            <w:shd w:val="clear" w:color="auto" w:fill="auto"/>
            <w:vAlign w:val="bottom"/>
          </w:tcPr>
          <w:p w14:paraId="71D4743B" w14:textId="77777777" w:rsidR="006A3667" w:rsidRDefault="006A3667">
            <w:pPr>
              <w:rPr>
                <w:rFonts w:ascii="宋体"/>
                <w:vanish/>
              </w:rPr>
            </w:pPr>
          </w:p>
        </w:tc>
      </w:tr>
      <w:tr w:rsidR="006A3667" w14:paraId="71D47445" w14:textId="77777777">
        <w:tc>
          <w:tcPr>
            <w:tcW w:w="0" w:type="auto"/>
            <w:gridSpan w:val="3"/>
            <w:shd w:val="clear" w:color="auto" w:fill="CCEEFF"/>
            <w:tcMar>
              <w:top w:w="40" w:type="dxa"/>
              <w:left w:w="155" w:type="dxa"/>
              <w:bottom w:w="40" w:type="dxa"/>
              <w:right w:w="20" w:type="dxa"/>
            </w:tcMar>
            <w:vAlign w:val="bottom"/>
          </w:tcPr>
          <w:p w14:paraId="71D4743D" w14:textId="77777777" w:rsidR="006A3667" w:rsidRDefault="00045F32">
            <w:pPr>
              <w:textAlignment w:val="bottom"/>
            </w:pPr>
            <w:r>
              <w:rPr>
                <w:rFonts w:ascii="Arial" w:eastAsia="宋体" w:hAnsi="Arial" w:cs="Arial"/>
                <w:color w:val="000000"/>
                <w:sz w:val="14"/>
                <w:szCs w:val="14"/>
              </w:rPr>
              <w:t>Futures</w:t>
            </w:r>
          </w:p>
        </w:tc>
        <w:tc>
          <w:tcPr>
            <w:tcW w:w="0" w:type="auto"/>
            <w:shd w:val="clear" w:color="auto" w:fill="CCEEFF"/>
            <w:tcMar>
              <w:top w:w="40" w:type="dxa"/>
              <w:left w:w="20" w:type="dxa"/>
              <w:bottom w:w="40" w:type="dxa"/>
              <w:right w:w="0" w:type="dxa"/>
            </w:tcMar>
            <w:vAlign w:val="bottom"/>
          </w:tcPr>
          <w:p w14:paraId="71D4743E"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43F" w14:textId="77777777" w:rsidR="006A3667" w:rsidRDefault="00045F32">
            <w:pPr>
              <w:jc w:val="right"/>
              <w:textAlignment w:val="bottom"/>
            </w:pPr>
            <w:r>
              <w:rPr>
                <w:rFonts w:ascii="Arial" w:eastAsia="宋体" w:hAnsi="Arial" w:cs="Arial"/>
                <w:b/>
                <w:bCs/>
                <w:color w:val="000000"/>
                <w:sz w:val="14"/>
                <w:szCs w:val="14"/>
              </w:rPr>
              <w:t>1,856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4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44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442"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443" w14:textId="77777777" w:rsidR="006A3667" w:rsidRDefault="00045F32">
            <w:pPr>
              <w:jc w:val="right"/>
              <w:textAlignment w:val="bottom"/>
            </w:pPr>
            <w:r>
              <w:rPr>
                <w:rFonts w:ascii="Arial" w:eastAsia="宋体" w:hAnsi="Arial" w:cs="Arial"/>
                <w:color w:val="000000"/>
                <w:sz w:val="14"/>
                <w:szCs w:val="14"/>
              </w:rPr>
              <w:t>9,604 </w:t>
            </w:r>
          </w:p>
        </w:tc>
        <w:tc>
          <w:tcPr>
            <w:tcW w:w="0" w:type="auto"/>
            <w:shd w:val="clear" w:color="auto" w:fill="CCEEFF"/>
            <w:tcMar>
              <w:top w:w="40" w:type="dxa"/>
              <w:left w:w="0" w:type="dxa"/>
              <w:bottom w:w="40" w:type="dxa"/>
              <w:right w:w="20" w:type="dxa"/>
            </w:tcMar>
            <w:vAlign w:val="bottom"/>
          </w:tcPr>
          <w:p w14:paraId="71D47444" w14:textId="77777777" w:rsidR="006A3667" w:rsidRDefault="006A3667">
            <w:pPr>
              <w:jc w:val="right"/>
              <w:rPr>
                <w:rFonts w:ascii="宋体"/>
              </w:rPr>
            </w:pPr>
          </w:p>
        </w:tc>
      </w:tr>
      <w:tr w:rsidR="006A3667" w14:paraId="71D4744A" w14:textId="77777777">
        <w:tc>
          <w:tcPr>
            <w:tcW w:w="0" w:type="auto"/>
            <w:gridSpan w:val="3"/>
            <w:shd w:val="clear" w:color="auto" w:fill="FFFFFF"/>
            <w:tcMar>
              <w:top w:w="40" w:type="dxa"/>
              <w:left w:w="20" w:type="dxa"/>
              <w:bottom w:w="40" w:type="dxa"/>
              <w:right w:w="20" w:type="dxa"/>
            </w:tcMar>
            <w:vAlign w:val="bottom"/>
          </w:tcPr>
          <w:p w14:paraId="71D47446" w14:textId="77777777" w:rsidR="006A3667" w:rsidRDefault="00045F32">
            <w:pPr>
              <w:textAlignment w:val="bottom"/>
            </w:pPr>
            <w:r>
              <w:rPr>
                <w:rFonts w:ascii="Arial" w:eastAsia="宋体" w:hAnsi="Arial" w:cs="Arial"/>
                <w:color w:val="000000"/>
                <w:sz w:val="14"/>
                <w:szCs w:val="14"/>
              </w:rPr>
              <w:t>Foreign exchange contracts:</w:t>
            </w:r>
          </w:p>
        </w:tc>
        <w:tc>
          <w:tcPr>
            <w:tcW w:w="0" w:type="auto"/>
            <w:gridSpan w:val="3"/>
            <w:shd w:val="clear" w:color="auto" w:fill="FFFFFF"/>
            <w:tcMar>
              <w:top w:w="0" w:type="dxa"/>
              <w:left w:w="20" w:type="dxa"/>
              <w:bottom w:w="0" w:type="dxa"/>
              <w:right w:w="20" w:type="dxa"/>
            </w:tcMar>
            <w:vAlign w:val="bottom"/>
          </w:tcPr>
          <w:p w14:paraId="71D4744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44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449" w14:textId="77777777" w:rsidR="006A3667" w:rsidRDefault="006A3667">
            <w:pPr>
              <w:rPr>
                <w:rFonts w:ascii="宋体"/>
              </w:rPr>
            </w:pPr>
          </w:p>
        </w:tc>
      </w:tr>
      <w:tr w:rsidR="006A3667" w14:paraId="71D47451" w14:textId="77777777">
        <w:tc>
          <w:tcPr>
            <w:tcW w:w="0" w:type="auto"/>
            <w:gridSpan w:val="3"/>
            <w:shd w:val="clear" w:color="auto" w:fill="CCEEFF"/>
            <w:tcMar>
              <w:top w:w="40" w:type="dxa"/>
              <w:left w:w="155" w:type="dxa"/>
              <w:bottom w:w="40" w:type="dxa"/>
              <w:right w:w="20" w:type="dxa"/>
            </w:tcMar>
            <w:vAlign w:val="bottom"/>
          </w:tcPr>
          <w:p w14:paraId="71D4744B" w14:textId="77777777" w:rsidR="006A3667" w:rsidRDefault="00045F32">
            <w:pPr>
              <w:textAlignment w:val="bottom"/>
            </w:pPr>
            <w:r>
              <w:rPr>
                <w:rFonts w:ascii="Arial" w:eastAsia="宋体" w:hAnsi="Arial" w:cs="Arial"/>
                <w:color w:val="000000"/>
                <w:sz w:val="14"/>
                <w:szCs w:val="14"/>
              </w:rPr>
              <w:t>Forward, swap and spot</w:t>
            </w:r>
          </w:p>
        </w:tc>
        <w:tc>
          <w:tcPr>
            <w:tcW w:w="0" w:type="auto"/>
            <w:gridSpan w:val="2"/>
            <w:shd w:val="clear" w:color="auto" w:fill="CCEEFF"/>
            <w:tcMar>
              <w:top w:w="40" w:type="dxa"/>
              <w:left w:w="20" w:type="dxa"/>
              <w:bottom w:w="40" w:type="dxa"/>
              <w:right w:w="0" w:type="dxa"/>
            </w:tcMar>
            <w:vAlign w:val="bottom"/>
          </w:tcPr>
          <w:p w14:paraId="71D4744C" w14:textId="77777777" w:rsidR="006A3667" w:rsidRDefault="00045F32">
            <w:pPr>
              <w:jc w:val="right"/>
              <w:textAlignment w:val="bottom"/>
            </w:pPr>
            <w:r>
              <w:rPr>
                <w:rFonts w:ascii="Arial" w:eastAsia="宋体" w:hAnsi="Arial" w:cs="Arial"/>
                <w:b/>
                <w:bCs/>
                <w:color w:val="000000"/>
                <w:sz w:val="14"/>
                <w:szCs w:val="14"/>
              </w:rPr>
              <w:t>2,054,428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4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44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44F" w14:textId="77777777" w:rsidR="006A3667" w:rsidRDefault="00045F32">
            <w:pPr>
              <w:jc w:val="right"/>
              <w:textAlignment w:val="bottom"/>
            </w:pPr>
            <w:r>
              <w:rPr>
                <w:rFonts w:ascii="Arial" w:eastAsia="宋体" w:hAnsi="Arial" w:cs="Arial"/>
                <w:color w:val="000000"/>
                <w:sz w:val="14"/>
                <w:szCs w:val="14"/>
              </w:rPr>
              <w:t>2,569,449 </w:t>
            </w:r>
          </w:p>
        </w:tc>
        <w:tc>
          <w:tcPr>
            <w:tcW w:w="0" w:type="auto"/>
            <w:shd w:val="clear" w:color="auto" w:fill="CCEEFF"/>
            <w:tcMar>
              <w:top w:w="40" w:type="dxa"/>
              <w:left w:w="0" w:type="dxa"/>
              <w:bottom w:w="40" w:type="dxa"/>
              <w:right w:w="20" w:type="dxa"/>
            </w:tcMar>
            <w:vAlign w:val="bottom"/>
          </w:tcPr>
          <w:p w14:paraId="71D47450" w14:textId="77777777" w:rsidR="006A3667" w:rsidRDefault="006A3667">
            <w:pPr>
              <w:jc w:val="right"/>
              <w:rPr>
                <w:rFonts w:ascii="宋体"/>
              </w:rPr>
            </w:pPr>
          </w:p>
        </w:tc>
      </w:tr>
      <w:tr w:rsidR="006A3667" w14:paraId="71D47458" w14:textId="77777777">
        <w:tc>
          <w:tcPr>
            <w:tcW w:w="0" w:type="auto"/>
            <w:gridSpan w:val="3"/>
            <w:shd w:val="clear" w:color="auto" w:fill="FFFFFF"/>
            <w:tcMar>
              <w:top w:w="40" w:type="dxa"/>
              <w:left w:w="155" w:type="dxa"/>
              <w:bottom w:w="40" w:type="dxa"/>
              <w:right w:w="20" w:type="dxa"/>
            </w:tcMar>
            <w:vAlign w:val="bottom"/>
          </w:tcPr>
          <w:p w14:paraId="71D47452" w14:textId="77777777" w:rsidR="006A3667" w:rsidRDefault="00045F32">
            <w:pPr>
              <w:textAlignment w:val="bottom"/>
            </w:pPr>
            <w:r>
              <w:rPr>
                <w:rFonts w:ascii="Arial" w:eastAsia="宋体" w:hAnsi="Arial" w:cs="Arial"/>
                <w:color w:val="000000"/>
                <w:sz w:val="14"/>
                <w:szCs w:val="14"/>
              </w:rPr>
              <w:t>Options purchased</w:t>
            </w:r>
          </w:p>
        </w:tc>
        <w:tc>
          <w:tcPr>
            <w:tcW w:w="0" w:type="auto"/>
            <w:gridSpan w:val="2"/>
            <w:shd w:val="clear" w:color="auto" w:fill="FFFFFF"/>
            <w:tcMar>
              <w:top w:w="40" w:type="dxa"/>
              <w:left w:w="20" w:type="dxa"/>
              <w:bottom w:w="40" w:type="dxa"/>
              <w:right w:w="0" w:type="dxa"/>
            </w:tcMar>
            <w:vAlign w:val="bottom"/>
          </w:tcPr>
          <w:p w14:paraId="71D47453" w14:textId="77777777" w:rsidR="006A3667" w:rsidRDefault="00045F32">
            <w:pPr>
              <w:jc w:val="right"/>
              <w:textAlignment w:val="bottom"/>
            </w:pPr>
            <w:r>
              <w:rPr>
                <w:rFonts w:ascii="Arial" w:eastAsia="宋体" w:hAnsi="Arial" w:cs="Arial"/>
                <w:b/>
                <w:bCs/>
                <w:color w:val="000000"/>
                <w:sz w:val="14"/>
                <w:szCs w:val="14"/>
              </w:rPr>
              <w:t>1,032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4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4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456" w14:textId="77777777" w:rsidR="006A3667" w:rsidRDefault="00045F32">
            <w:pPr>
              <w:jc w:val="right"/>
              <w:textAlignment w:val="bottom"/>
            </w:pPr>
            <w:r>
              <w:rPr>
                <w:rFonts w:ascii="Arial" w:eastAsia="宋体" w:hAnsi="Arial" w:cs="Arial"/>
                <w:color w:val="000000"/>
                <w:sz w:val="14"/>
                <w:szCs w:val="14"/>
              </w:rPr>
              <w:t>328 </w:t>
            </w:r>
          </w:p>
        </w:tc>
        <w:tc>
          <w:tcPr>
            <w:tcW w:w="0" w:type="auto"/>
            <w:shd w:val="clear" w:color="auto" w:fill="FFFFFF"/>
            <w:tcMar>
              <w:top w:w="40" w:type="dxa"/>
              <w:left w:w="0" w:type="dxa"/>
              <w:bottom w:w="40" w:type="dxa"/>
              <w:right w:w="20" w:type="dxa"/>
            </w:tcMar>
            <w:vAlign w:val="bottom"/>
          </w:tcPr>
          <w:p w14:paraId="71D47457" w14:textId="77777777" w:rsidR="006A3667" w:rsidRDefault="006A3667">
            <w:pPr>
              <w:jc w:val="right"/>
              <w:rPr>
                <w:rFonts w:ascii="宋体"/>
              </w:rPr>
            </w:pPr>
          </w:p>
        </w:tc>
      </w:tr>
      <w:tr w:rsidR="006A3667" w14:paraId="71D4745F" w14:textId="77777777">
        <w:tc>
          <w:tcPr>
            <w:tcW w:w="0" w:type="auto"/>
            <w:gridSpan w:val="3"/>
            <w:shd w:val="clear" w:color="auto" w:fill="CCEEFF"/>
            <w:tcMar>
              <w:top w:w="40" w:type="dxa"/>
              <w:left w:w="155" w:type="dxa"/>
              <w:bottom w:w="40" w:type="dxa"/>
              <w:right w:w="20" w:type="dxa"/>
            </w:tcMar>
            <w:vAlign w:val="bottom"/>
          </w:tcPr>
          <w:p w14:paraId="71D47459" w14:textId="77777777" w:rsidR="006A3667" w:rsidRDefault="00045F32">
            <w:pPr>
              <w:textAlignment w:val="bottom"/>
            </w:pPr>
            <w:r>
              <w:rPr>
                <w:rFonts w:ascii="Arial" w:eastAsia="宋体" w:hAnsi="Arial" w:cs="Arial"/>
                <w:color w:val="000000"/>
                <w:sz w:val="14"/>
                <w:szCs w:val="14"/>
              </w:rPr>
              <w:t>Options written</w:t>
            </w:r>
          </w:p>
        </w:tc>
        <w:tc>
          <w:tcPr>
            <w:tcW w:w="0" w:type="auto"/>
            <w:gridSpan w:val="2"/>
            <w:shd w:val="clear" w:color="auto" w:fill="CCEEFF"/>
            <w:tcMar>
              <w:top w:w="40" w:type="dxa"/>
              <w:left w:w="20" w:type="dxa"/>
              <w:bottom w:w="40" w:type="dxa"/>
              <w:right w:w="0" w:type="dxa"/>
            </w:tcMar>
            <w:vAlign w:val="bottom"/>
          </w:tcPr>
          <w:p w14:paraId="71D4745A" w14:textId="77777777" w:rsidR="006A3667" w:rsidRDefault="00045F32">
            <w:pPr>
              <w:jc w:val="right"/>
              <w:textAlignment w:val="bottom"/>
            </w:pPr>
            <w:r>
              <w:rPr>
                <w:rFonts w:ascii="Arial" w:eastAsia="宋体" w:hAnsi="Arial" w:cs="Arial"/>
                <w:b/>
                <w:bCs/>
                <w:color w:val="000000"/>
                <w:sz w:val="14"/>
                <w:szCs w:val="14"/>
              </w:rPr>
              <w:t>697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4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45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45D" w14:textId="77777777" w:rsidR="006A3667" w:rsidRDefault="00045F32">
            <w:pPr>
              <w:jc w:val="right"/>
              <w:textAlignment w:val="bottom"/>
            </w:pPr>
            <w:r>
              <w:rPr>
                <w:rFonts w:ascii="Arial" w:eastAsia="宋体" w:hAnsi="Arial" w:cs="Arial"/>
                <w:color w:val="000000"/>
                <w:sz w:val="14"/>
                <w:szCs w:val="14"/>
              </w:rPr>
              <w:t>210 </w:t>
            </w:r>
          </w:p>
        </w:tc>
        <w:tc>
          <w:tcPr>
            <w:tcW w:w="0" w:type="auto"/>
            <w:shd w:val="clear" w:color="auto" w:fill="CCEEFF"/>
            <w:tcMar>
              <w:top w:w="40" w:type="dxa"/>
              <w:left w:w="0" w:type="dxa"/>
              <w:bottom w:w="40" w:type="dxa"/>
              <w:right w:w="20" w:type="dxa"/>
            </w:tcMar>
            <w:vAlign w:val="bottom"/>
          </w:tcPr>
          <w:p w14:paraId="71D4745E" w14:textId="77777777" w:rsidR="006A3667" w:rsidRDefault="006A3667">
            <w:pPr>
              <w:jc w:val="right"/>
              <w:rPr>
                <w:rFonts w:ascii="宋体"/>
              </w:rPr>
            </w:pPr>
          </w:p>
        </w:tc>
      </w:tr>
      <w:tr w:rsidR="006A3667" w14:paraId="71D47466" w14:textId="77777777">
        <w:tc>
          <w:tcPr>
            <w:tcW w:w="0" w:type="auto"/>
            <w:gridSpan w:val="3"/>
            <w:shd w:val="clear" w:color="auto" w:fill="FFFFFF"/>
            <w:tcMar>
              <w:top w:w="40" w:type="dxa"/>
              <w:left w:w="155" w:type="dxa"/>
              <w:bottom w:w="40" w:type="dxa"/>
              <w:right w:w="20" w:type="dxa"/>
            </w:tcMar>
            <w:vAlign w:val="bottom"/>
          </w:tcPr>
          <w:p w14:paraId="71D47460" w14:textId="77777777" w:rsidR="006A3667" w:rsidRDefault="00045F32">
            <w:pPr>
              <w:textAlignment w:val="bottom"/>
            </w:pPr>
            <w:r>
              <w:rPr>
                <w:rFonts w:ascii="Arial" w:eastAsia="宋体" w:hAnsi="Arial" w:cs="Arial"/>
                <w:color w:val="000000"/>
                <w:sz w:val="14"/>
                <w:szCs w:val="14"/>
              </w:rPr>
              <w:t>Futures</w:t>
            </w:r>
          </w:p>
        </w:tc>
        <w:tc>
          <w:tcPr>
            <w:tcW w:w="0" w:type="auto"/>
            <w:gridSpan w:val="2"/>
            <w:shd w:val="clear" w:color="auto" w:fill="FFFFFF"/>
            <w:tcMar>
              <w:top w:w="40" w:type="dxa"/>
              <w:left w:w="20" w:type="dxa"/>
              <w:bottom w:w="40" w:type="dxa"/>
              <w:right w:w="0" w:type="dxa"/>
            </w:tcMar>
            <w:vAlign w:val="bottom"/>
          </w:tcPr>
          <w:p w14:paraId="71D47461" w14:textId="77777777" w:rsidR="006A3667" w:rsidRDefault="00045F32">
            <w:pPr>
              <w:jc w:val="right"/>
              <w:textAlignment w:val="bottom"/>
            </w:pPr>
            <w:r>
              <w:rPr>
                <w:rFonts w:ascii="Arial" w:eastAsia="宋体" w:hAnsi="Arial" w:cs="Arial"/>
                <w:b/>
                <w:bCs/>
                <w:color w:val="000000"/>
                <w:sz w:val="14"/>
                <w:szCs w:val="14"/>
              </w:rPr>
              <w:t>1,537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4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46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464" w14:textId="77777777" w:rsidR="006A3667" w:rsidRDefault="00045F32">
            <w:pPr>
              <w:jc w:val="right"/>
              <w:textAlignment w:val="bottom"/>
            </w:pPr>
            <w:r>
              <w:rPr>
                <w:rFonts w:ascii="Arial" w:eastAsia="宋体" w:hAnsi="Arial" w:cs="Arial"/>
                <w:color w:val="000000"/>
                <w:sz w:val="14"/>
                <w:szCs w:val="14"/>
              </w:rPr>
              <w:t>2,359 </w:t>
            </w:r>
          </w:p>
        </w:tc>
        <w:tc>
          <w:tcPr>
            <w:tcW w:w="0" w:type="auto"/>
            <w:shd w:val="clear" w:color="auto" w:fill="FFFFFF"/>
            <w:tcMar>
              <w:top w:w="40" w:type="dxa"/>
              <w:left w:w="0" w:type="dxa"/>
              <w:bottom w:w="40" w:type="dxa"/>
              <w:right w:w="20" w:type="dxa"/>
            </w:tcMar>
            <w:vAlign w:val="bottom"/>
          </w:tcPr>
          <w:p w14:paraId="71D47465" w14:textId="77777777" w:rsidR="006A3667" w:rsidRDefault="006A3667">
            <w:pPr>
              <w:jc w:val="right"/>
              <w:rPr>
                <w:rFonts w:ascii="宋体"/>
              </w:rPr>
            </w:pPr>
          </w:p>
        </w:tc>
      </w:tr>
      <w:tr w:rsidR="006A3667" w14:paraId="71D4746B" w14:textId="77777777">
        <w:trPr>
          <w:hidden/>
        </w:trPr>
        <w:tc>
          <w:tcPr>
            <w:tcW w:w="0" w:type="auto"/>
            <w:gridSpan w:val="3"/>
            <w:shd w:val="clear" w:color="auto" w:fill="auto"/>
            <w:vAlign w:val="bottom"/>
          </w:tcPr>
          <w:p w14:paraId="71D47467" w14:textId="77777777" w:rsidR="006A3667" w:rsidRDefault="006A3667">
            <w:pPr>
              <w:rPr>
                <w:rFonts w:ascii="宋体"/>
                <w:vanish/>
              </w:rPr>
            </w:pPr>
          </w:p>
        </w:tc>
        <w:tc>
          <w:tcPr>
            <w:tcW w:w="0" w:type="auto"/>
            <w:gridSpan w:val="3"/>
            <w:shd w:val="clear" w:color="auto" w:fill="auto"/>
            <w:vAlign w:val="bottom"/>
          </w:tcPr>
          <w:p w14:paraId="71D47468" w14:textId="77777777" w:rsidR="006A3667" w:rsidRDefault="006A3667">
            <w:pPr>
              <w:rPr>
                <w:rFonts w:ascii="宋体"/>
                <w:vanish/>
              </w:rPr>
            </w:pPr>
          </w:p>
        </w:tc>
        <w:tc>
          <w:tcPr>
            <w:tcW w:w="0" w:type="auto"/>
            <w:gridSpan w:val="3"/>
            <w:shd w:val="clear" w:color="auto" w:fill="auto"/>
            <w:vAlign w:val="bottom"/>
          </w:tcPr>
          <w:p w14:paraId="71D47469" w14:textId="77777777" w:rsidR="006A3667" w:rsidRDefault="006A3667">
            <w:pPr>
              <w:rPr>
                <w:rFonts w:ascii="宋体"/>
                <w:vanish/>
              </w:rPr>
            </w:pPr>
          </w:p>
        </w:tc>
        <w:tc>
          <w:tcPr>
            <w:tcW w:w="0" w:type="auto"/>
            <w:gridSpan w:val="3"/>
            <w:shd w:val="clear" w:color="auto" w:fill="auto"/>
            <w:vAlign w:val="bottom"/>
          </w:tcPr>
          <w:p w14:paraId="71D4746A" w14:textId="77777777" w:rsidR="006A3667" w:rsidRDefault="006A3667">
            <w:pPr>
              <w:rPr>
                <w:rFonts w:ascii="宋体"/>
                <w:vanish/>
              </w:rPr>
            </w:pPr>
          </w:p>
        </w:tc>
      </w:tr>
      <w:tr w:rsidR="006A3667" w14:paraId="71D47470" w14:textId="77777777">
        <w:trPr>
          <w:hidden/>
        </w:trPr>
        <w:tc>
          <w:tcPr>
            <w:tcW w:w="0" w:type="auto"/>
            <w:gridSpan w:val="3"/>
            <w:shd w:val="clear" w:color="auto" w:fill="auto"/>
            <w:vAlign w:val="bottom"/>
          </w:tcPr>
          <w:p w14:paraId="71D4746C" w14:textId="77777777" w:rsidR="006A3667" w:rsidRDefault="006A3667">
            <w:pPr>
              <w:rPr>
                <w:rFonts w:ascii="宋体"/>
                <w:vanish/>
              </w:rPr>
            </w:pPr>
          </w:p>
        </w:tc>
        <w:tc>
          <w:tcPr>
            <w:tcW w:w="0" w:type="auto"/>
            <w:gridSpan w:val="3"/>
            <w:shd w:val="clear" w:color="auto" w:fill="auto"/>
            <w:vAlign w:val="bottom"/>
          </w:tcPr>
          <w:p w14:paraId="71D4746D" w14:textId="77777777" w:rsidR="006A3667" w:rsidRDefault="006A3667">
            <w:pPr>
              <w:rPr>
                <w:rFonts w:ascii="宋体"/>
                <w:vanish/>
              </w:rPr>
            </w:pPr>
          </w:p>
        </w:tc>
        <w:tc>
          <w:tcPr>
            <w:tcW w:w="0" w:type="auto"/>
            <w:gridSpan w:val="3"/>
            <w:shd w:val="clear" w:color="auto" w:fill="auto"/>
            <w:vAlign w:val="bottom"/>
          </w:tcPr>
          <w:p w14:paraId="71D4746E" w14:textId="77777777" w:rsidR="006A3667" w:rsidRDefault="006A3667">
            <w:pPr>
              <w:rPr>
                <w:rFonts w:ascii="宋体"/>
                <w:vanish/>
              </w:rPr>
            </w:pPr>
          </w:p>
        </w:tc>
        <w:tc>
          <w:tcPr>
            <w:tcW w:w="0" w:type="auto"/>
            <w:gridSpan w:val="3"/>
            <w:shd w:val="clear" w:color="auto" w:fill="auto"/>
            <w:vAlign w:val="bottom"/>
          </w:tcPr>
          <w:p w14:paraId="71D4746F" w14:textId="77777777" w:rsidR="006A3667" w:rsidRDefault="006A3667">
            <w:pPr>
              <w:rPr>
                <w:rFonts w:ascii="宋体"/>
                <w:vanish/>
              </w:rPr>
            </w:pPr>
          </w:p>
        </w:tc>
      </w:tr>
      <w:tr w:rsidR="006A3667" w14:paraId="71D47475" w14:textId="77777777">
        <w:trPr>
          <w:hidden/>
        </w:trPr>
        <w:tc>
          <w:tcPr>
            <w:tcW w:w="0" w:type="auto"/>
            <w:gridSpan w:val="3"/>
            <w:shd w:val="clear" w:color="auto" w:fill="auto"/>
            <w:vAlign w:val="bottom"/>
          </w:tcPr>
          <w:p w14:paraId="71D47471" w14:textId="77777777" w:rsidR="006A3667" w:rsidRDefault="006A3667">
            <w:pPr>
              <w:rPr>
                <w:rFonts w:ascii="宋体"/>
                <w:vanish/>
              </w:rPr>
            </w:pPr>
          </w:p>
        </w:tc>
        <w:tc>
          <w:tcPr>
            <w:tcW w:w="0" w:type="auto"/>
            <w:gridSpan w:val="3"/>
            <w:shd w:val="clear" w:color="auto" w:fill="auto"/>
            <w:vAlign w:val="bottom"/>
          </w:tcPr>
          <w:p w14:paraId="71D47472" w14:textId="77777777" w:rsidR="006A3667" w:rsidRDefault="006A3667">
            <w:pPr>
              <w:rPr>
                <w:rFonts w:ascii="宋体"/>
                <w:vanish/>
              </w:rPr>
            </w:pPr>
          </w:p>
        </w:tc>
        <w:tc>
          <w:tcPr>
            <w:tcW w:w="0" w:type="auto"/>
            <w:gridSpan w:val="3"/>
            <w:shd w:val="clear" w:color="auto" w:fill="auto"/>
            <w:vAlign w:val="bottom"/>
          </w:tcPr>
          <w:p w14:paraId="71D47473" w14:textId="77777777" w:rsidR="006A3667" w:rsidRDefault="006A3667">
            <w:pPr>
              <w:rPr>
                <w:rFonts w:ascii="宋体"/>
                <w:vanish/>
              </w:rPr>
            </w:pPr>
          </w:p>
        </w:tc>
        <w:tc>
          <w:tcPr>
            <w:tcW w:w="0" w:type="auto"/>
            <w:gridSpan w:val="3"/>
            <w:shd w:val="clear" w:color="auto" w:fill="auto"/>
            <w:vAlign w:val="bottom"/>
          </w:tcPr>
          <w:p w14:paraId="71D47474" w14:textId="77777777" w:rsidR="006A3667" w:rsidRDefault="006A3667">
            <w:pPr>
              <w:rPr>
                <w:rFonts w:ascii="宋体"/>
                <w:vanish/>
              </w:rPr>
            </w:pPr>
          </w:p>
        </w:tc>
      </w:tr>
      <w:tr w:rsidR="006A3667" w14:paraId="71D4747A" w14:textId="77777777">
        <w:trPr>
          <w:hidden/>
        </w:trPr>
        <w:tc>
          <w:tcPr>
            <w:tcW w:w="0" w:type="auto"/>
            <w:gridSpan w:val="3"/>
            <w:shd w:val="clear" w:color="auto" w:fill="auto"/>
            <w:vAlign w:val="bottom"/>
          </w:tcPr>
          <w:p w14:paraId="71D47476" w14:textId="77777777" w:rsidR="006A3667" w:rsidRDefault="006A3667">
            <w:pPr>
              <w:rPr>
                <w:rFonts w:ascii="宋体"/>
                <w:vanish/>
              </w:rPr>
            </w:pPr>
          </w:p>
        </w:tc>
        <w:tc>
          <w:tcPr>
            <w:tcW w:w="0" w:type="auto"/>
            <w:gridSpan w:val="3"/>
            <w:shd w:val="clear" w:color="auto" w:fill="auto"/>
            <w:vAlign w:val="bottom"/>
          </w:tcPr>
          <w:p w14:paraId="71D47477" w14:textId="77777777" w:rsidR="006A3667" w:rsidRDefault="006A3667">
            <w:pPr>
              <w:rPr>
                <w:rFonts w:ascii="宋体"/>
                <w:vanish/>
              </w:rPr>
            </w:pPr>
          </w:p>
        </w:tc>
        <w:tc>
          <w:tcPr>
            <w:tcW w:w="0" w:type="auto"/>
            <w:gridSpan w:val="3"/>
            <w:shd w:val="clear" w:color="auto" w:fill="auto"/>
            <w:vAlign w:val="bottom"/>
          </w:tcPr>
          <w:p w14:paraId="71D47478" w14:textId="77777777" w:rsidR="006A3667" w:rsidRDefault="006A3667">
            <w:pPr>
              <w:rPr>
                <w:rFonts w:ascii="宋体"/>
                <w:vanish/>
              </w:rPr>
            </w:pPr>
          </w:p>
        </w:tc>
        <w:tc>
          <w:tcPr>
            <w:tcW w:w="0" w:type="auto"/>
            <w:gridSpan w:val="3"/>
            <w:shd w:val="clear" w:color="auto" w:fill="auto"/>
            <w:vAlign w:val="bottom"/>
          </w:tcPr>
          <w:p w14:paraId="71D47479" w14:textId="77777777" w:rsidR="006A3667" w:rsidRDefault="006A3667">
            <w:pPr>
              <w:rPr>
                <w:rFonts w:ascii="宋体"/>
                <w:vanish/>
              </w:rPr>
            </w:pPr>
          </w:p>
        </w:tc>
      </w:tr>
      <w:tr w:rsidR="006A3667" w14:paraId="71D4747F" w14:textId="77777777">
        <w:trPr>
          <w:hidden/>
        </w:trPr>
        <w:tc>
          <w:tcPr>
            <w:tcW w:w="0" w:type="auto"/>
            <w:gridSpan w:val="3"/>
            <w:shd w:val="clear" w:color="auto" w:fill="auto"/>
            <w:vAlign w:val="bottom"/>
          </w:tcPr>
          <w:p w14:paraId="71D4747B" w14:textId="77777777" w:rsidR="006A3667" w:rsidRDefault="006A3667">
            <w:pPr>
              <w:rPr>
                <w:rFonts w:ascii="宋体"/>
                <w:vanish/>
              </w:rPr>
            </w:pPr>
          </w:p>
        </w:tc>
        <w:tc>
          <w:tcPr>
            <w:tcW w:w="0" w:type="auto"/>
            <w:gridSpan w:val="3"/>
            <w:shd w:val="clear" w:color="auto" w:fill="auto"/>
            <w:vAlign w:val="bottom"/>
          </w:tcPr>
          <w:p w14:paraId="71D4747C" w14:textId="77777777" w:rsidR="006A3667" w:rsidRDefault="006A3667">
            <w:pPr>
              <w:rPr>
                <w:rFonts w:ascii="宋体"/>
                <w:vanish/>
              </w:rPr>
            </w:pPr>
          </w:p>
        </w:tc>
        <w:tc>
          <w:tcPr>
            <w:tcW w:w="0" w:type="auto"/>
            <w:gridSpan w:val="3"/>
            <w:shd w:val="clear" w:color="auto" w:fill="auto"/>
            <w:vAlign w:val="bottom"/>
          </w:tcPr>
          <w:p w14:paraId="71D4747D" w14:textId="77777777" w:rsidR="006A3667" w:rsidRDefault="006A3667">
            <w:pPr>
              <w:rPr>
                <w:rFonts w:ascii="宋体"/>
                <w:vanish/>
              </w:rPr>
            </w:pPr>
          </w:p>
        </w:tc>
        <w:tc>
          <w:tcPr>
            <w:tcW w:w="0" w:type="auto"/>
            <w:gridSpan w:val="3"/>
            <w:shd w:val="clear" w:color="auto" w:fill="auto"/>
            <w:vAlign w:val="bottom"/>
          </w:tcPr>
          <w:p w14:paraId="71D4747E" w14:textId="77777777" w:rsidR="006A3667" w:rsidRDefault="006A3667">
            <w:pPr>
              <w:rPr>
                <w:rFonts w:ascii="宋体"/>
                <w:vanish/>
              </w:rPr>
            </w:pPr>
          </w:p>
        </w:tc>
      </w:tr>
      <w:tr w:rsidR="006A3667" w14:paraId="71D47484" w14:textId="77777777">
        <w:trPr>
          <w:hidden/>
        </w:trPr>
        <w:tc>
          <w:tcPr>
            <w:tcW w:w="0" w:type="auto"/>
            <w:gridSpan w:val="3"/>
            <w:shd w:val="clear" w:color="auto" w:fill="auto"/>
            <w:vAlign w:val="bottom"/>
          </w:tcPr>
          <w:p w14:paraId="71D47480" w14:textId="77777777" w:rsidR="006A3667" w:rsidRDefault="006A3667">
            <w:pPr>
              <w:rPr>
                <w:rFonts w:ascii="宋体"/>
                <w:vanish/>
              </w:rPr>
            </w:pPr>
          </w:p>
        </w:tc>
        <w:tc>
          <w:tcPr>
            <w:tcW w:w="0" w:type="auto"/>
            <w:gridSpan w:val="3"/>
            <w:shd w:val="clear" w:color="auto" w:fill="auto"/>
            <w:vAlign w:val="bottom"/>
          </w:tcPr>
          <w:p w14:paraId="71D47481" w14:textId="77777777" w:rsidR="006A3667" w:rsidRDefault="006A3667">
            <w:pPr>
              <w:rPr>
                <w:rFonts w:ascii="宋体"/>
                <w:vanish/>
              </w:rPr>
            </w:pPr>
          </w:p>
        </w:tc>
        <w:tc>
          <w:tcPr>
            <w:tcW w:w="0" w:type="auto"/>
            <w:gridSpan w:val="3"/>
            <w:shd w:val="clear" w:color="auto" w:fill="auto"/>
            <w:vAlign w:val="bottom"/>
          </w:tcPr>
          <w:p w14:paraId="71D47482" w14:textId="77777777" w:rsidR="006A3667" w:rsidRDefault="006A3667">
            <w:pPr>
              <w:rPr>
                <w:rFonts w:ascii="宋体"/>
                <w:vanish/>
              </w:rPr>
            </w:pPr>
          </w:p>
        </w:tc>
        <w:tc>
          <w:tcPr>
            <w:tcW w:w="0" w:type="auto"/>
            <w:gridSpan w:val="3"/>
            <w:shd w:val="clear" w:color="auto" w:fill="auto"/>
            <w:vAlign w:val="bottom"/>
          </w:tcPr>
          <w:p w14:paraId="71D47483" w14:textId="77777777" w:rsidR="006A3667" w:rsidRDefault="006A3667">
            <w:pPr>
              <w:rPr>
                <w:rFonts w:ascii="宋体"/>
                <w:vanish/>
              </w:rPr>
            </w:pPr>
          </w:p>
        </w:tc>
      </w:tr>
      <w:tr w:rsidR="006A3667" w14:paraId="71D47489" w14:textId="77777777">
        <w:tc>
          <w:tcPr>
            <w:tcW w:w="0" w:type="auto"/>
            <w:gridSpan w:val="3"/>
            <w:shd w:val="clear" w:color="auto" w:fill="CCEEFF"/>
            <w:tcMar>
              <w:top w:w="40" w:type="dxa"/>
              <w:left w:w="20" w:type="dxa"/>
              <w:bottom w:w="40" w:type="dxa"/>
              <w:right w:w="20" w:type="dxa"/>
            </w:tcMar>
            <w:vAlign w:val="bottom"/>
          </w:tcPr>
          <w:p w14:paraId="71D47485" w14:textId="77777777" w:rsidR="006A3667" w:rsidRDefault="00045F32">
            <w:pPr>
              <w:textAlignment w:val="bottom"/>
            </w:pPr>
            <w:r>
              <w:rPr>
                <w:rFonts w:ascii="Arial" w:eastAsia="宋体" w:hAnsi="Arial" w:cs="Arial"/>
                <w:color w:val="000000"/>
                <w:sz w:val="14"/>
                <w:szCs w:val="14"/>
              </w:rPr>
              <w:t>Other:</w:t>
            </w:r>
          </w:p>
        </w:tc>
        <w:tc>
          <w:tcPr>
            <w:tcW w:w="0" w:type="auto"/>
            <w:gridSpan w:val="3"/>
            <w:shd w:val="clear" w:color="auto" w:fill="CCEEFF"/>
            <w:tcMar>
              <w:top w:w="0" w:type="dxa"/>
              <w:left w:w="20" w:type="dxa"/>
              <w:bottom w:w="0" w:type="dxa"/>
              <w:right w:w="20" w:type="dxa"/>
            </w:tcMar>
            <w:vAlign w:val="bottom"/>
          </w:tcPr>
          <w:p w14:paraId="71D4748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48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488" w14:textId="77777777" w:rsidR="006A3667" w:rsidRDefault="006A3667">
            <w:pPr>
              <w:rPr>
                <w:rFonts w:ascii="宋体"/>
              </w:rPr>
            </w:pPr>
          </w:p>
        </w:tc>
      </w:tr>
      <w:tr w:rsidR="006A3667" w14:paraId="71D47490" w14:textId="77777777">
        <w:tc>
          <w:tcPr>
            <w:tcW w:w="0" w:type="auto"/>
            <w:gridSpan w:val="3"/>
            <w:shd w:val="clear" w:color="auto" w:fill="FFFFFF"/>
            <w:tcMar>
              <w:top w:w="40" w:type="dxa"/>
              <w:left w:w="20" w:type="dxa"/>
              <w:bottom w:w="40" w:type="dxa"/>
              <w:right w:w="20" w:type="dxa"/>
            </w:tcMar>
            <w:vAlign w:val="bottom"/>
          </w:tcPr>
          <w:p w14:paraId="71D4748A" w14:textId="77777777" w:rsidR="006A3667" w:rsidRDefault="00045F32">
            <w:pPr>
              <w:textAlignment w:val="bottom"/>
            </w:pPr>
            <w:r>
              <w:rPr>
                <w:rFonts w:ascii="Arial" w:eastAsia="宋体" w:hAnsi="Arial" w:cs="Arial"/>
                <w:color w:val="000000"/>
                <w:sz w:val="14"/>
                <w:szCs w:val="14"/>
              </w:rPr>
              <w:t>Stable 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4748B" w14:textId="77777777" w:rsidR="006A3667" w:rsidRDefault="00045F32">
            <w:pPr>
              <w:jc w:val="right"/>
              <w:textAlignment w:val="bottom"/>
            </w:pPr>
            <w:r>
              <w:rPr>
                <w:rFonts w:ascii="Arial" w:eastAsia="宋体" w:hAnsi="Arial" w:cs="Arial"/>
                <w:b/>
                <w:bCs/>
                <w:color w:val="000000"/>
                <w:sz w:val="14"/>
                <w:szCs w:val="14"/>
              </w:rPr>
              <w:t>31,749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48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48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48E" w14:textId="77777777" w:rsidR="006A3667" w:rsidRDefault="00045F32">
            <w:pPr>
              <w:jc w:val="right"/>
              <w:textAlignment w:val="bottom"/>
            </w:pPr>
            <w:r>
              <w:rPr>
                <w:rFonts w:ascii="Arial" w:eastAsia="宋体" w:hAnsi="Arial" w:cs="Arial"/>
                <w:color w:val="000000"/>
                <w:sz w:val="14"/>
                <w:szCs w:val="14"/>
              </w:rPr>
              <w:t>32,868 </w:t>
            </w:r>
          </w:p>
        </w:tc>
        <w:tc>
          <w:tcPr>
            <w:tcW w:w="0" w:type="auto"/>
            <w:shd w:val="clear" w:color="auto" w:fill="FFFFFF"/>
            <w:tcMar>
              <w:top w:w="40" w:type="dxa"/>
              <w:left w:w="0" w:type="dxa"/>
              <w:bottom w:w="40" w:type="dxa"/>
              <w:right w:w="20" w:type="dxa"/>
            </w:tcMar>
            <w:vAlign w:val="bottom"/>
          </w:tcPr>
          <w:p w14:paraId="71D4748F" w14:textId="77777777" w:rsidR="006A3667" w:rsidRDefault="006A3667">
            <w:pPr>
              <w:jc w:val="right"/>
              <w:rPr>
                <w:rFonts w:ascii="宋体"/>
              </w:rPr>
            </w:pPr>
          </w:p>
        </w:tc>
      </w:tr>
      <w:tr w:rsidR="006A3667" w14:paraId="71D47497" w14:textId="77777777">
        <w:tc>
          <w:tcPr>
            <w:tcW w:w="0" w:type="auto"/>
            <w:gridSpan w:val="3"/>
            <w:shd w:val="clear" w:color="auto" w:fill="CCEEFF"/>
            <w:tcMar>
              <w:top w:w="40" w:type="dxa"/>
              <w:left w:w="20" w:type="dxa"/>
              <w:bottom w:w="40" w:type="dxa"/>
              <w:right w:w="20" w:type="dxa"/>
            </w:tcMar>
            <w:vAlign w:val="bottom"/>
          </w:tcPr>
          <w:p w14:paraId="71D47491" w14:textId="77777777" w:rsidR="006A3667" w:rsidRDefault="00045F32">
            <w:pPr>
              <w:textAlignment w:val="bottom"/>
            </w:pPr>
            <w:r>
              <w:rPr>
                <w:rFonts w:ascii="Arial" w:eastAsia="宋体" w:hAnsi="Arial" w:cs="Arial"/>
                <w:color w:val="000000"/>
                <w:sz w:val="14"/>
                <w:szCs w:val="14"/>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71D47492" w14:textId="77777777" w:rsidR="006A3667" w:rsidRDefault="00045F32">
            <w:pPr>
              <w:jc w:val="right"/>
              <w:textAlignment w:val="bottom"/>
            </w:pPr>
            <w:r>
              <w:rPr>
                <w:rFonts w:ascii="Arial" w:eastAsia="宋体" w:hAnsi="Arial" w:cs="Arial"/>
                <w:b/>
                <w:bCs/>
                <w:color w:val="000000"/>
                <w:sz w:val="14"/>
                <w:szCs w:val="14"/>
              </w:rPr>
              <w:t>341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49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49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495" w14:textId="77777777" w:rsidR="006A3667" w:rsidRDefault="00045F32">
            <w:pPr>
              <w:jc w:val="right"/>
              <w:textAlignment w:val="bottom"/>
            </w:pPr>
            <w:r>
              <w:rPr>
                <w:rFonts w:ascii="Arial" w:eastAsia="宋体" w:hAnsi="Arial" w:cs="Arial"/>
                <w:color w:val="000000"/>
                <w:sz w:val="14"/>
                <w:szCs w:val="14"/>
              </w:rPr>
              <w:t>308 </w:t>
            </w:r>
          </w:p>
        </w:tc>
        <w:tc>
          <w:tcPr>
            <w:tcW w:w="0" w:type="auto"/>
            <w:shd w:val="clear" w:color="auto" w:fill="CCEEFF"/>
            <w:tcMar>
              <w:top w:w="40" w:type="dxa"/>
              <w:left w:w="0" w:type="dxa"/>
              <w:bottom w:w="40" w:type="dxa"/>
              <w:right w:w="20" w:type="dxa"/>
            </w:tcMar>
            <w:vAlign w:val="bottom"/>
          </w:tcPr>
          <w:p w14:paraId="71D47496" w14:textId="77777777" w:rsidR="006A3667" w:rsidRDefault="006A3667">
            <w:pPr>
              <w:jc w:val="right"/>
              <w:rPr>
                <w:rFonts w:ascii="宋体"/>
              </w:rPr>
            </w:pPr>
          </w:p>
        </w:tc>
      </w:tr>
      <w:tr w:rsidR="006A3667" w14:paraId="71D4749C" w14:textId="77777777">
        <w:tc>
          <w:tcPr>
            <w:tcW w:w="0" w:type="auto"/>
            <w:gridSpan w:val="3"/>
            <w:shd w:val="clear" w:color="auto" w:fill="FFFFFF"/>
            <w:tcMar>
              <w:top w:w="40" w:type="dxa"/>
              <w:left w:w="20" w:type="dxa"/>
              <w:bottom w:w="40" w:type="dxa"/>
              <w:right w:w="20" w:type="dxa"/>
            </w:tcMar>
            <w:vAlign w:val="bottom"/>
          </w:tcPr>
          <w:p w14:paraId="71D47498" w14:textId="77777777" w:rsidR="006A3667" w:rsidRDefault="00045F32">
            <w:pPr>
              <w:textAlignment w:val="bottom"/>
            </w:pPr>
            <w:r>
              <w:rPr>
                <w:rFonts w:ascii="Arial" w:eastAsia="宋体" w:hAnsi="Arial" w:cs="Arial"/>
                <w:b/>
                <w:bCs/>
                <w:color w:val="000000"/>
                <w:sz w:val="14"/>
                <w:szCs w:val="14"/>
              </w:rPr>
              <w:t>Derivatives designated as hedging instruments:</w:t>
            </w:r>
          </w:p>
        </w:tc>
        <w:tc>
          <w:tcPr>
            <w:tcW w:w="0" w:type="auto"/>
            <w:gridSpan w:val="3"/>
            <w:shd w:val="clear" w:color="auto" w:fill="FFFFFF"/>
            <w:tcMar>
              <w:top w:w="0" w:type="dxa"/>
              <w:left w:w="20" w:type="dxa"/>
              <w:bottom w:w="0" w:type="dxa"/>
              <w:right w:w="20" w:type="dxa"/>
            </w:tcMar>
            <w:vAlign w:val="bottom"/>
          </w:tcPr>
          <w:p w14:paraId="71D4749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49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49B" w14:textId="77777777" w:rsidR="006A3667" w:rsidRDefault="006A3667">
            <w:pPr>
              <w:rPr>
                <w:rFonts w:ascii="宋体"/>
              </w:rPr>
            </w:pPr>
          </w:p>
        </w:tc>
      </w:tr>
      <w:tr w:rsidR="006A3667" w14:paraId="71D474A1" w14:textId="77777777">
        <w:tc>
          <w:tcPr>
            <w:tcW w:w="0" w:type="auto"/>
            <w:gridSpan w:val="3"/>
            <w:shd w:val="clear" w:color="auto" w:fill="CCEEFF"/>
            <w:tcMar>
              <w:top w:w="40" w:type="dxa"/>
              <w:left w:w="20" w:type="dxa"/>
              <w:bottom w:w="40" w:type="dxa"/>
              <w:right w:w="20" w:type="dxa"/>
            </w:tcMar>
            <w:vAlign w:val="bottom"/>
          </w:tcPr>
          <w:p w14:paraId="71D4749D" w14:textId="77777777" w:rsidR="006A3667" w:rsidRDefault="00045F32">
            <w:pPr>
              <w:textAlignment w:val="bottom"/>
            </w:pPr>
            <w:r>
              <w:rPr>
                <w:rFonts w:ascii="Arial" w:eastAsia="宋体" w:hAnsi="Arial" w:cs="Arial"/>
                <w:color w:val="000000"/>
                <w:sz w:val="14"/>
                <w:szCs w:val="14"/>
              </w:rPr>
              <w:t xml:space="preserve">Interest rate </w:t>
            </w:r>
            <w:r>
              <w:rPr>
                <w:rFonts w:ascii="Arial" w:eastAsia="宋体" w:hAnsi="Arial" w:cs="Arial"/>
                <w:color w:val="000000"/>
                <w:sz w:val="14"/>
                <w:szCs w:val="14"/>
              </w:rPr>
              <w:t>contracts:</w:t>
            </w:r>
          </w:p>
        </w:tc>
        <w:tc>
          <w:tcPr>
            <w:tcW w:w="0" w:type="auto"/>
            <w:gridSpan w:val="3"/>
            <w:shd w:val="clear" w:color="auto" w:fill="CCEEFF"/>
            <w:tcMar>
              <w:top w:w="0" w:type="dxa"/>
              <w:left w:w="20" w:type="dxa"/>
              <w:bottom w:w="0" w:type="dxa"/>
              <w:right w:w="20" w:type="dxa"/>
            </w:tcMar>
            <w:vAlign w:val="bottom"/>
          </w:tcPr>
          <w:p w14:paraId="71D4749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49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4A0" w14:textId="77777777" w:rsidR="006A3667" w:rsidRDefault="006A3667">
            <w:pPr>
              <w:rPr>
                <w:rFonts w:ascii="宋体"/>
              </w:rPr>
            </w:pPr>
          </w:p>
        </w:tc>
      </w:tr>
      <w:tr w:rsidR="006A3667" w14:paraId="71D474A8" w14:textId="77777777">
        <w:tc>
          <w:tcPr>
            <w:tcW w:w="0" w:type="auto"/>
            <w:gridSpan w:val="3"/>
            <w:shd w:val="clear" w:color="auto" w:fill="FFFFFF"/>
            <w:tcMar>
              <w:top w:w="40" w:type="dxa"/>
              <w:left w:w="155" w:type="dxa"/>
              <w:bottom w:w="40" w:type="dxa"/>
              <w:right w:w="20" w:type="dxa"/>
            </w:tcMar>
            <w:vAlign w:val="bottom"/>
          </w:tcPr>
          <w:p w14:paraId="71D474A2" w14:textId="77777777" w:rsidR="006A3667" w:rsidRDefault="00045F32">
            <w:pPr>
              <w:textAlignment w:val="bottom"/>
            </w:pPr>
            <w:r>
              <w:rPr>
                <w:rFonts w:ascii="Arial" w:eastAsia="宋体" w:hAnsi="Arial" w:cs="Arial"/>
                <w:color w:val="000000"/>
                <w:sz w:val="14"/>
                <w:szCs w:val="14"/>
              </w:rPr>
              <w:t>Swap agreements</w:t>
            </w:r>
          </w:p>
        </w:tc>
        <w:tc>
          <w:tcPr>
            <w:tcW w:w="0" w:type="auto"/>
            <w:gridSpan w:val="2"/>
            <w:shd w:val="clear" w:color="auto" w:fill="FFFFFF"/>
            <w:tcMar>
              <w:top w:w="40" w:type="dxa"/>
              <w:left w:w="20" w:type="dxa"/>
              <w:bottom w:w="40" w:type="dxa"/>
              <w:right w:w="0" w:type="dxa"/>
            </w:tcMar>
            <w:vAlign w:val="bottom"/>
          </w:tcPr>
          <w:p w14:paraId="71D474A3" w14:textId="77777777" w:rsidR="006A3667" w:rsidRDefault="00045F32">
            <w:pPr>
              <w:jc w:val="right"/>
              <w:textAlignment w:val="bottom"/>
            </w:pPr>
            <w:r>
              <w:rPr>
                <w:rFonts w:ascii="Arial" w:eastAsia="宋体" w:hAnsi="Arial" w:cs="Arial"/>
                <w:b/>
                <w:bCs/>
                <w:color w:val="000000"/>
                <w:sz w:val="14"/>
                <w:szCs w:val="14"/>
              </w:rPr>
              <w:t>24,816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4A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4A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4A6" w14:textId="77777777" w:rsidR="006A3667" w:rsidRDefault="00045F32">
            <w:pPr>
              <w:jc w:val="right"/>
              <w:textAlignment w:val="bottom"/>
            </w:pPr>
            <w:r>
              <w:rPr>
                <w:rFonts w:ascii="Arial" w:eastAsia="宋体" w:hAnsi="Arial" w:cs="Arial"/>
                <w:color w:val="000000"/>
                <w:sz w:val="14"/>
                <w:szCs w:val="14"/>
              </w:rPr>
              <w:t>15,100 </w:t>
            </w:r>
          </w:p>
        </w:tc>
        <w:tc>
          <w:tcPr>
            <w:tcW w:w="0" w:type="auto"/>
            <w:shd w:val="clear" w:color="auto" w:fill="FFFFFF"/>
            <w:tcMar>
              <w:top w:w="40" w:type="dxa"/>
              <w:left w:w="0" w:type="dxa"/>
              <w:bottom w:w="40" w:type="dxa"/>
              <w:right w:w="20" w:type="dxa"/>
            </w:tcMar>
            <w:vAlign w:val="bottom"/>
          </w:tcPr>
          <w:p w14:paraId="71D474A7" w14:textId="77777777" w:rsidR="006A3667" w:rsidRDefault="006A3667">
            <w:pPr>
              <w:jc w:val="right"/>
              <w:rPr>
                <w:rFonts w:ascii="宋体"/>
              </w:rPr>
            </w:pPr>
          </w:p>
        </w:tc>
      </w:tr>
      <w:tr w:rsidR="006A3667" w14:paraId="71D474AD" w14:textId="77777777">
        <w:tc>
          <w:tcPr>
            <w:tcW w:w="0" w:type="auto"/>
            <w:gridSpan w:val="3"/>
            <w:shd w:val="clear" w:color="auto" w:fill="CCEEFF"/>
            <w:tcMar>
              <w:top w:w="40" w:type="dxa"/>
              <w:left w:w="20" w:type="dxa"/>
              <w:bottom w:w="40" w:type="dxa"/>
              <w:right w:w="20" w:type="dxa"/>
            </w:tcMar>
            <w:vAlign w:val="bottom"/>
          </w:tcPr>
          <w:p w14:paraId="71D474A9" w14:textId="77777777" w:rsidR="006A3667" w:rsidRDefault="00045F32">
            <w:pPr>
              <w:textAlignment w:val="bottom"/>
            </w:pPr>
            <w:r>
              <w:rPr>
                <w:rFonts w:ascii="Arial" w:eastAsia="宋体" w:hAnsi="Arial" w:cs="Arial"/>
                <w:color w:val="000000"/>
                <w:sz w:val="14"/>
                <w:szCs w:val="14"/>
              </w:rPr>
              <w:t>Foreign exchange contracts:</w:t>
            </w:r>
          </w:p>
        </w:tc>
        <w:tc>
          <w:tcPr>
            <w:tcW w:w="0" w:type="auto"/>
            <w:gridSpan w:val="3"/>
            <w:shd w:val="clear" w:color="auto" w:fill="CCEEFF"/>
            <w:tcMar>
              <w:top w:w="0" w:type="dxa"/>
              <w:left w:w="20" w:type="dxa"/>
              <w:bottom w:w="0" w:type="dxa"/>
              <w:right w:w="20" w:type="dxa"/>
            </w:tcMar>
            <w:vAlign w:val="bottom"/>
          </w:tcPr>
          <w:p w14:paraId="71D474A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4A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4AC" w14:textId="77777777" w:rsidR="006A3667" w:rsidRDefault="006A3667">
            <w:pPr>
              <w:rPr>
                <w:rFonts w:ascii="宋体"/>
              </w:rPr>
            </w:pPr>
          </w:p>
        </w:tc>
      </w:tr>
      <w:tr w:rsidR="006A3667" w14:paraId="71D474B4" w14:textId="77777777">
        <w:tc>
          <w:tcPr>
            <w:tcW w:w="0" w:type="auto"/>
            <w:gridSpan w:val="3"/>
            <w:shd w:val="clear" w:color="auto" w:fill="FFFFFF"/>
            <w:tcMar>
              <w:top w:w="40" w:type="dxa"/>
              <w:left w:w="155" w:type="dxa"/>
              <w:bottom w:w="40" w:type="dxa"/>
              <w:right w:w="20" w:type="dxa"/>
            </w:tcMar>
            <w:vAlign w:val="bottom"/>
          </w:tcPr>
          <w:p w14:paraId="71D474AE" w14:textId="77777777" w:rsidR="006A3667" w:rsidRDefault="00045F32">
            <w:pPr>
              <w:textAlignment w:val="bottom"/>
            </w:pPr>
            <w:r>
              <w:rPr>
                <w:rFonts w:ascii="Arial" w:eastAsia="宋体" w:hAnsi="Arial" w:cs="Arial"/>
                <w:color w:val="000000"/>
                <w:sz w:val="14"/>
                <w:szCs w:val="14"/>
              </w:rPr>
              <w:t>Forward and swap</w:t>
            </w:r>
          </w:p>
        </w:tc>
        <w:tc>
          <w:tcPr>
            <w:tcW w:w="0" w:type="auto"/>
            <w:gridSpan w:val="2"/>
            <w:shd w:val="clear" w:color="auto" w:fill="FFFFFF"/>
            <w:tcMar>
              <w:top w:w="40" w:type="dxa"/>
              <w:left w:w="20" w:type="dxa"/>
              <w:bottom w:w="40" w:type="dxa"/>
              <w:right w:w="0" w:type="dxa"/>
            </w:tcMar>
            <w:vAlign w:val="bottom"/>
          </w:tcPr>
          <w:p w14:paraId="71D474AF" w14:textId="77777777" w:rsidR="006A3667" w:rsidRDefault="00045F32">
            <w:pPr>
              <w:jc w:val="right"/>
              <w:textAlignment w:val="bottom"/>
            </w:pPr>
            <w:r>
              <w:rPr>
                <w:rFonts w:ascii="Arial" w:eastAsia="宋体" w:hAnsi="Arial" w:cs="Arial"/>
                <w:b/>
                <w:bCs/>
                <w:color w:val="000000"/>
                <w:sz w:val="14"/>
                <w:szCs w:val="14"/>
              </w:rPr>
              <w:t>8,387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4B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4B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4B2" w14:textId="77777777" w:rsidR="006A3667" w:rsidRDefault="00045F32">
            <w:pPr>
              <w:jc w:val="right"/>
              <w:textAlignment w:val="bottom"/>
            </w:pPr>
            <w:r>
              <w:rPr>
                <w:rFonts w:ascii="Arial" w:eastAsia="宋体" w:hAnsi="Arial" w:cs="Arial"/>
                <w:color w:val="000000"/>
                <w:sz w:val="14"/>
                <w:szCs w:val="14"/>
              </w:rPr>
              <w:t>6,700 </w:t>
            </w:r>
          </w:p>
        </w:tc>
        <w:tc>
          <w:tcPr>
            <w:tcW w:w="0" w:type="auto"/>
            <w:shd w:val="clear" w:color="auto" w:fill="FFFFFF"/>
            <w:tcMar>
              <w:top w:w="40" w:type="dxa"/>
              <w:left w:w="0" w:type="dxa"/>
              <w:bottom w:w="40" w:type="dxa"/>
              <w:right w:w="20" w:type="dxa"/>
            </w:tcMar>
            <w:vAlign w:val="bottom"/>
          </w:tcPr>
          <w:p w14:paraId="71D474B3" w14:textId="77777777" w:rsidR="006A3667" w:rsidRDefault="006A3667">
            <w:pPr>
              <w:jc w:val="right"/>
              <w:rPr>
                <w:rFonts w:ascii="宋体"/>
              </w:rPr>
            </w:pPr>
          </w:p>
        </w:tc>
      </w:tr>
    </w:tbl>
    <w:p w14:paraId="71D474B5" w14:textId="77777777" w:rsidR="006A3667" w:rsidRDefault="006A3667">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799"/>
        <w:gridCol w:w="36"/>
        <w:gridCol w:w="36"/>
        <w:gridCol w:w="1897"/>
        <w:gridCol w:w="36"/>
        <w:gridCol w:w="36"/>
      </w:tblGrid>
      <w:tr w:rsidR="006A3667" w14:paraId="71D474BD" w14:textId="77777777">
        <w:tc>
          <w:tcPr>
            <w:tcW w:w="50" w:type="pct"/>
            <w:shd w:val="clear" w:color="auto" w:fill="auto"/>
            <w:vAlign w:val="bottom"/>
          </w:tcPr>
          <w:p w14:paraId="71D474B6" w14:textId="77777777" w:rsidR="006A3667" w:rsidRDefault="006A3667">
            <w:pPr>
              <w:rPr>
                <w:rFonts w:ascii="宋体"/>
              </w:rPr>
            </w:pPr>
          </w:p>
        </w:tc>
        <w:tc>
          <w:tcPr>
            <w:tcW w:w="2382" w:type="pct"/>
            <w:shd w:val="clear" w:color="auto" w:fill="auto"/>
            <w:vAlign w:val="bottom"/>
          </w:tcPr>
          <w:p w14:paraId="71D474B7" w14:textId="77777777" w:rsidR="006A3667" w:rsidRDefault="006A3667">
            <w:pPr>
              <w:rPr>
                <w:rFonts w:ascii="宋体"/>
              </w:rPr>
            </w:pPr>
          </w:p>
        </w:tc>
        <w:tc>
          <w:tcPr>
            <w:tcW w:w="5" w:type="pct"/>
            <w:shd w:val="clear" w:color="auto" w:fill="auto"/>
            <w:vAlign w:val="bottom"/>
          </w:tcPr>
          <w:p w14:paraId="71D474B8" w14:textId="77777777" w:rsidR="006A3667" w:rsidRDefault="006A3667">
            <w:pPr>
              <w:rPr>
                <w:rFonts w:ascii="宋体"/>
              </w:rPr>
            </w:pPr>
          </w:p>
        </w:tc>
        <w:tc>
          <w:tcPr>
            <w:tcW w:w="50" w:type="pct"/>
            <w:shd w:val="clear" w:color="auto" w:fill="auto"/>
            <w:vAlign w:val="bottom"/>
          </w:tcPr>
          <w:p w14:paraId="71D474B9" w14:textId="77777777" w:rsidR="006A3667" w:rsidRDefault="006A3667">
            <w:pPr>
              <w:rPr>
                <w:rFonts w:ascii="宋体"/>
              </w:rPr>
            </w:pPr>
          </w:p>
        </w:tc>
        <w:tc>
          <w:tcPr>
            <w:tcW w:w="2507" w:type="pct"/>
            <w:shd w:val="clear" w:color="auto" w:fill="auto"/>
            <w:vAlign w:val="bottom"/>
          </w:tcPr>
          <w:p w14:paraId="71D474BA" w14:textId="77777777" w:rsidR="006A3667" w:rsidRDefault="006A3667">
            <w:pPr>
              <w:rPr>
                <w:rFonts w:ascii="宋体"/>
              </w:rPr>
            </w:pPr>
          </w:p>
        </w:tc>
        <w:tc>
          <w:tcPr>
            <w:tcW w:w="5" w:type="pct"/>
            <w:shd w:val="clear" w:color="auto" w:fill="auto"/>
            <w:vAlign w:val="bottom"/>
          </w:tcPr>
          <w:p w14:paraId="71D474BB" w14:textId="77777777" w:rsidR="006A3667" w:rsidRDefault="006A3667">
            <w:pPr>
              <w:rPr>
                <w:rFonts w:ascii="宋体"/>
              </w:rPr>
            </w:pPr>
          </w:p>
        </w:tc>
        <w:tc>
          <w:tcPr>
            <w:tcW w:w="0" w:type="auto"/>
            <w:shd w:val="clear" w:color="auto" w:fill="auto"/>
            <w:vAlign w:val="bottom"/>
          </w:tcPr>
          <w:p w14:paraId="71D474BC" w14:textId="77777777" w:rsidR="006A3667" w:rsidRDefault="006A3667">
            <w:pPr>
              <w:rPr>
                <w:rFonts w:ascii="宋体"/>
                <w:vanish/>
              </w:rPr>
            </w:pPr>
          </w:p>
        </w:tc>
      </w:tr>
      <w:tr w:rsidR="006A3667" w14:paraId="71D474C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4B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4BF" w14:textId="77777777" w:rsidR="006A3667" w:rsidRDefault="006A3667">
            <w:pPr>
              <w:rPr>
                <w:rFonts w:ascii="宋体"/>
              </w:rPr>
            </w:pPr>
          </w:p>
        </w:tc>
        <w:tc>
          <w:tcPr>
            <w:tcW w:w="0" w:type="auto"/>
            <w:shd w:val="clear" w:color="auto" w:fill="auto"/>
            <w:vAlign w:val="bottom"/>
          </w:tcPr>
          <w:p w14:paraId="71D474C0" w14:textId="77777777" w:rsidR="006A3667" w:rsidRDefault="006A3667">
            <w:pPr>
              <w:rPr>
                <w:rFonts w:ascii="宋体"/>
                <w:vanish/>
              </w:rPr>
            </w:pPr>
          </w:p>
        </w:tc>
      </w:tr>
    </w:tbl>
    <w:p w14:paraId="71D474C2" w14:textId="77777777" w:rsidR="006A3667" w:rsidRDefault="00045F32">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The notional value of the stable value contracts represents our maximum exposure. However, exposure to various stable value contracts is generally contractually limited to substantially lower amounts than the notional values.</w:t>
      </w:r>
    </w:p>
    <w:p w14:paraId="71D474C3" w14:textId="77777777" w:rsidR="006A3667" w:rsidRDefault="00045F32">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Represents grants of defe</w:t>
      </w:r>
      <w:r>
        <w:rPr>
          <w:rFonts w:ascii="Arial" w:eastAsia="宋体" w:hAnsi="Arial" w:cs="Arial"/>
          <w:color w:val="000000"/>
          <w:sz w:val="13"/>
          <w:szCs w:val="13"/>
        </w:rPr>
        <w:t>rred value awards to employees; refer to page 158 in Note 10 to the consolidated financial statements included under Item 8, Financial Statements and Supplementary Data, in our 2021 Form 10-K.</w:t>
      </w:r>
    </w:p>
    <w:p w14:paraId="71D474C4" w14:textId="77777777" w:rsidR="006A3667" w:rsidRDefault="00045F32">
      <w:pPr>
        <w:spacing w:before="60"/>
        <w:ind w:firstLine="450"/>
        <w:jc w:val="both"/>
      </w:pPr>
      <w:r>
        <w:rPr>
          <w:rFonts w:ascii="Arial" w:eastAsia="宋体" w:hAnsi="Arial" w:cs="Arial"/>
          <w:color w:val="000000"/>
          <w:sz w:val="20"/>
          <w:szCs w:val="20"/>
        </w:rPr>
        <w:t>Notional amounts are provided here as an indication of the volu</w:t>
      </w:r>
      <w:r>
        <w:rPr>
          <w:rFonts w:ascii="Arial" w:eastAsia="宋体" w:hAnsi="Arial" w:cs="Arial"/>
          <w:color w:val="000000"/>
          <w:sz w:val="20"/>
          <w:szCs w:val="20"/>
        </w:rPr>
        <w:t>me of our derivative activity and serve as a reference to calculate the fair values of the derivative.</w:t>
      </w:r>
    </w:p>
    <w:p w14:paraId="71D474C5" w14:textId="77777777" w:rsidR="006A3667" w:rsidRDefault="00045F32">
      <w:pPr>
        <w:spacing w:before="60"/>
        <w:ind w:firstLine="450"/>
        <w:jc w:val="both"/>
      </w:pPr>
      <w:r>
        <w:rPr>
          <w:rFonts w:ascii="Arial" w:eastAsia="宋体" w:hAnsi="Arial" w:cs="Arial"/>
          <w:color w:val="000000"/>
          <w:sz w:val="20"/>
          <w:szCs w:val="20"/>
        </w:rPr>
        <w:t>The following table presents the fair value of derivative financial instruments, excluding the impact of master netting agreements, recorded in our conso</w:t>
      </w:r>
      <w:r>
        <w:rPr>
          <w:rFonts w:ascii="Arial" w:eastAsia="宋体" w:hAnsi="Arial" w:cs="Arial"/>
          <w:color w:val="000000"/>
          <w:sz w:val="20"/>
          <w:szCs w:val="20"/>
        </w:rPr>
        <w:t>lidated statement of condition as of the dates indicated. The impact of master netting agreements is provided in Note 8.</w:t>
      </w:r>
    </w:p>
    <w:tbl>
      <w:tblPr>
        <w:tblW w:w="5000" w:type="pct"/>
        <w:tblCellMar>
          <w:top w:w="15" w:type="dxa"/>
          <w:left w:w="15" w:type="dxa"/>
          <w:bottom w:w="15" w:type="dxa"/>
          <w:right w:w="15" w:type="dxa"/>
        </w:tblCellMar>
        <w:tblLook w:val="04A0" w:firstRow="1" w:lastRow="0" w:firstColumn="1" w:lastColumn="0" w:noHBand="0" w:noVBand="1"/>
      </w:tblPr>
      <w:tblGrid>
        <w:gridCol w:w="42"/>
        <w:gridCol w:w="3002"/>
        <w:gridCol w:w="36"/>
        <w:gridCol w:w="99"/>
        <w:gridCol w:w="1123"/>
        <w:gridCol w:w="36"/>
        <w:gridCol w:w="36"/>
        <w:gridCol w:w="36"/>
        <w:gridCol w:w="36"/>
        <w:gridCol w:w="99"/>
        <w:gridCol w:w="1089"/>
        <w:gridCol w:w="36"/>
        <w:gridCol w:w="36"/>
        <w:gridCol w:w="36"/>
        <w:gridCol w:w="36"/>
        <w:gridCol w:w="99"/>
        <w:gridCol w:w="1089"/>
        <w:gridCol w:w="36"/>
        <w:gridCol w:w="36"/>
        <w:gridCol w:w="36"/>
        <w:gridCol w:w="36"/>
        <w:gridCol w:w="99"/>
        <w:gridCol w:w="1091"/>
        <w:gridCol w:w="36"/>
      </w:tblGrid>
      <w:tr w:rsidR="006A3667" w14:paraId="71D474DE" w14:textId="77777777">
        <w:tc>
          <w:tcPr>
            <w:tcW w:w="50" w:type="pct"/>
            <w:shd w:val="clear" w:color="auto" w:fill="auto"/>
            <w:vAlign w:val="bottom"/>
          </w:tcPr>
          <w:p w14:paraId="71D474C6" w14:textId="77777777" w:rsidR="006A3667" w:rsidRDefault="006A3667">
            <w:pPr>
              <w:rPr>
                <w:rFonts w:ascii="宋体"/>
              </w:rPr>
            </w:pPr>
          </w:p>
        </w:tc>
        <w:tc>
          <w:tcPr>
            <w:tcW w:w="1823" w:type="pct"/>
            <w:shd w:val="clear" w:color="auto" w:fill="auto"/>
            <w:vAlign w:val="bottom"/>
          </w:tcPr>
          <w:p w14:paraId="71D474C7" w14:textId="77777777" w:rsidR="006A3667" w:rsidRDefault="006A3667">
            <w:pPr>
              <w:rPr>
                <w:rFonts w:ascii="宋体"/>
              </w:rPr>
            </w:pPr>
          </w:p>
        </w:tc>
        <w:tc>
          <w:tcPr>
            <w:tcW w:w="5" w:type="pct"/>
            <w:shd w:val="clear" w:color="auto" w:fill="auto"/>
            <w:vAlign w:val="bottom"/>
          </w:tcPr>
          <w:p w14:paraId="71D474C8" w14:textId="77777777" w:rsidR="006A3667" w:rsidRDefault="006A3667">
            <w:pPr>
              <w:rPr>
                <w:rFonts w:ascii="宋体"/>
              </w:rPr>
            </w:pPr>
          </w:p>
        </w:tc>
        <w:tc>
          <w:tcPr>
            <w:tcW w:w="50" w:type="pct"/>
            <w:shd w:val="clear" w:color="auto" w:fill="auto"/>
            <w:vAlign w:val="bottom"/>
          </w:tcPr>
          <w:p w14:paraId="71D474C9" w14:textId="77777777" w:rsidR="006A3667" w:rsidRDefault="006A3667">
            <w:pPr>
              <w:rPr>
                <w:rFonts w:ascii="宋体"/>
              </w:rPr>
            </w:pPr>
          </w:p>
        </w:tc>
        <w:tc>
          <w:tcPr>
            <w:tcW w:w="697" w:type="pct"/>
            <w:shd w:val="clear" w:color="auto" w:fill="auto"/>
            <w:vAlign w:val="bottom"/>
          </w:tcPr>
          <w:p w14:paraId="71D474CA" w14:textId="77777777" w:rsidR="006A3667" w:rsidRDefault="006A3667">
            <w:pPr>
              <w:rPr>
                <w:rFonts w:ascii="宋体"/>
              </w:rPr>
            </w:pPr>
          </w:p>
        </w:tc>
        <w:tc>
          <w:tcPr>
            <w:tcW w:w="5" w:type="pct"/>
            <w:shd w:val="clear" w:color="auto" w:fill="auto"/>
            <w:vAlign w:val="bottom"/>
          </w:tcPr>
          <w:p w14:paraId="71D474CB" w14:textId="77777777" w:rsidR="006A3667" w:rsidRDefault="006A3667">
            <w:pPr>
              <w:rPr>
                <w:rFonts w:ascii="宋体"/>
              </w:rPr>
            </w:pPr>
          </w:p>
        </w:tc>
        <w:tc>
          <w:tcPr>
            <w:tcW w:w="5" w:type="pct"/>
            <w:shd w:val="clear" w:color="auto" w:fill="auto"/>
            <w:vAlign w:val="bottom"/>
          </w:tcPr>
          <w:p w14:paraId="71D474CC" w14:textId="77777777" w:rsidR="006A3667" w:rsidRDefault="006A3667">
            <w:pPr>
              <w:rPr>
                <w:rFonts w:ascii="宋体"/>
              </w:rPr>
            </w:pPr>
          </w:p>
        </w:tc>
        <w:tc>
          <w:tcPr>
            <w:tcW w:w="26" w:type="pct"/>
            <w:shd w:val="clear" w:color="auto" w:fill="auto"/>
            <w:vAlign w:val="bottom"/>
          </w:tcPr>
          <w:p w14:paraId="71D474CD" w14:textId="77777777" w:rsidR="006A3667" w:rsidRDefault="006A3667">
            <w:pPr>
              <w:rPr>
                <w:rFonts w:ascii="宋体"/>
              </w:rPr>
            </w:pPr>
          </w:p>
        </w:tc>
        <w:tc>
          <w:tcPr>
            <w:tcW w:w="5" w:type="pct"/>
            <w:shd w:val="clear" w:color="auto" w:fill="auto"/>
            <w:vAlign w:val="bottom"/>
          </w:tcPr>
          <w:p w14:paraId="71D474CE" w14:textId="77777777" w:rsidR="006A3667" w:rsidRDefault="006A3667">
            <w:pPr>
              <w:rPr>
                <w:rFonts w:ascii="宋体"/>
              </w:rPr>
            </w:pPr>
          </w:p>
        </w:tc>
        <w:tc>
          <w:tcPr>
            <w:tcW w:w="50" w:type="pct"/>
            <w:shd w:val="clear" w:color="auto" w:fill="auto"/>
            <w:vAlign w:val="bottom"/>
          </w:tcPr>
          <w:p w14:paraId="71D474CF" w14:textId="77777777" w:rsidR="006A3667" w:rsidRDefault="006A3667">
            <w:pPr>
              <w:rPr>
                <w:rFonts w:ascii="宋体"/>
              </w:rPr>
            </w:pPr>
          </w:p>
        </w:tc>
        <w:tc>
          <w:tcPr>
            <w:tcW w:w="697" w:type="pct"/>
            <w:shd w:val="clear" w:color="auto" w:fill="auto"/>
            <w:vAlign w:val="bottom"/>
          </w:tcPr>
          <w:p w14:paraId="71D474D0" w14:textId="77777777" w:rsidR="006A3667" w:rsidRDefault="006A3667">
            <w:pPr>
              <w:rPr>
                <w:rFonts w:ascii="宋体"/>
              </w:rPr>
            </w:pPr>
          </w:p>
        </w:tc>
        <w:tc>
          <w:tcPr>
            <w:tcW w:w="5" w:type="pct"/>
            <w:shd w:val="clear" w:color="auto" w:fill="auto"/>
            <w:vAlign w:val="bottom"/>
          </w:tcPr>
          <w:p w14:paraId="71D474D1" w14:textId="77777777" w:rsidR="006A3667" w:rsidRDefault="006A3667">
            <w:pPr>
              <w:rPr>
                <w:rFonts w:ascii="宋体"/>
              </w:rPr>
            </w:pPr>
          </w:p>
        </w:tc>
        <w:tc>
          <w:tcPr>
            <w:tcW w:w="5" w:type="pct"/>
            <w:shd w:val="clear" w:color="auto" w:fill="auto"/>
            <w:vAlign w:val="bottom"/>
          </w:tcPr>
          <w:p w14:paraId="71D474D2" w14:textId="77777777" w:rsidR="006A3667" w:rsidRDefault="006A3667">
            <w:pPr>
              <w:rPr>
                <w:rFonts w:ascii="宋体"/>
              </w:rPr>
            </w:pPr>
          </w:p>
        </w:tc>
        <w:tc>
          <w:tcPr>
            <w:tcW w:w="26" w:type="pct"/>
            <w:shd w:val="clear" w:color="auto" w:fill="auto"/>
            <w:vAlign w:val="bottom"/>
          </w:tcPr>
          <w:p w14:paraId="71D474D3" w14:textId="77777777" w:rsidR="006A3667" w:rsidRDefault="006A3667">
            <w:pPr>
              <w:rPr>
                <w:rFonts w:ascii="宋体"/>
              </w:rPr>
            </w:pPr>
          </w:p>
        </w:tc>
        <w:tc>
          <w:tcPr>
            <w:tcW w:w="5" w:type="pct"/>
            <w:shd w:val="clear" w:color="auto" w:fill="auto"/>
            <w:vAlign w:val="bottom"/>
          </w:tcPr>
          <w:p w14:paraId="71D474D4" w14:textId="77777777" w:rsidR="006A3667" w:rsidRDefault="006A3667">
            <w:pPr>
              <w:rPr>
                <w:rFonts w:ascii="宋体"/>
              </w:rPr>
            </w:pPr>
          </w:p>
        </w:tc>
        <w:tc>
          <w:tcPr>
            <w:tcW w:w="50" w:type="pct"/>
            <w:shd w:val="clear" w:color="auto" w:fill="auto"/>
            <w:vAlign w:val="bottom"/>
          </w:tcPr>
          <w:p w14:paraId="71D474D5" w14:textId="77777777" w:rsidR="006A3667" w:rsidRDefault="006A3667">
            <w:pPr>
              <w:rPr>
                <w:rFonts w:ascii="宋体"/>
              </w:rPr>
            </w:pPr>
          </w:p>
        </w:tc>
        <w:tc>
          <w:tcPr>
            <w:tcW w:w="697" w:type="pct"/>
            <w:shd w:val="clear" w:color="auto" w:fill="auto"/>
            <w:vAlign w:val="bottom"/>
          </w:tcPr>
          <w:p w14:paraId="71D474D6" w14:textId="77777777" w:rsidR="006A3667" w:rsidRDefault="006A3667">
            <w:pPr>
              <w:rPr>
                <w:rFonts w:ascii="宋体"/>
              </w:rPr>
            </w:pPr>
          </w:p>
        </w:tc>
        <w:tc>
          <w:tcPr>
            <w:tcW w:w="5" w:type="pct"/>
            <w:shd w:val="clear" w:color="auto" w:fill="auto"/>
            <w:vAlign w:val="bottom"/>
          </w:tcPr>
          <w:p w14:paraId="71D474D7" w14:textId="77777777" w:rsidR="006A3667" w:rsidRDefault="006A3667">
            <w:pPr>
              <w:rPr>
                <w:rFonts w:ascii="宋体"/>
              </w:rPr>
            </w:pPr>
          </w:p>
        </w:tc>
        <w:tc>
          <w:tcPr>
            <w:tcW w:w="5" w:type="pct"/>
            <w:shd w:val="clear" w:color="auto" w:fill="auto"/>
            <w:vAlign w:val="bottom"/>
          </w:tcPr>
          <w:p w14:paraId="71D474D8" w14:textId="77777777" w:rsidR="006A3667" w:rsidRDefault="006A3667">
            <w:pPr>
              <w:rPr>
                <w:rFonts w:ascii="宋体"/>
              </w:rPr>
            </w:pPr>
          </w:p>
        </w:tc>
        <w:tc>
          <w:tcPr>
            <w:tcW w:w="26" w:type="pct"/>
            <w:shd w:val="clear" w:color="auto" w:fill="auto"/>
            <w:vAlign w:val="bottom"/>
          </w:tcPr>
          <w:p w14:paraId="71D474D9" w14:textId="77777777" w:rsidR="006A3667" w:rsidRDefault="006A3667">
            <w:pPr>
              <w:rPr>
                <w:rFonts w:ascii="宋体"/>
              </w:rPr>
            </w:pPr>
          </w:p>
        </w:tc>
        <w:tc>
          <w:tcPr>
            <w:tcW w:w="5" w:type="pct"/>
            <w:shd w:val="clear" w:color="auto" w:fill="auto"/>
            <w:vAlign w:val="bottom"/>
          </w:tcPr>
          <w:p w14:paraId="71D474DA" w14:textId="77777777" w:rsidR="006A3667" w:rsidRDefault="006A3667">
            <w:pPr>
              <w:rPr>
                <w:rFonts w:ascii="宋体"/>
              </w:rPr>
            </w:pPr>
          </w:p>
        </w:tc>
        <w:tc>
          <w:tcPr>
            <w:tcW w:w="50" w:type="pct"/>
            <w:shd w:val="clear" w:color="auto" w:fill="auto"/>
            <w:vAlign w:val="bottom"/>
          </w:tcPr>
          <w:p w14:paraId="71D474DB" w14:textId="77777777" w:rsidR="006A3667" w:rsidRDefault="006A3667">
            <w:pPr>
              <w:rPr>
                <w:rFonts w:ascii="宋体"/>
              </w:rPr>
            </w:pPr>
          </w:p>
        </w:tc>
        <w:tc>
          <w:tcPr>
            <w:tcW w:w="698" w:type="pct"/>
            <w:shd w:val="clear" w:color="auto" w:fill="auto"/>
            <w:vAlign w:val="bottom"/>
          </w:tcPr>
          <w:p w14:paraId="71D474DC" w14:textId="77777777" w:rsidR="006A3667" w:rsidRDefault="006A3667">
            <w:pPr>
              <w:rPr>
                <w:rFonts w:ascii="宋体"/>
              </w:rPr>
            </w:pPr>
          </w:p>
        </w:tc>
        <w:tc>
          <w:tcPr>
            <w:tcW w:w="5" w:type="pct"/>
            <w:shd w:val="clear" w:color="auto" w:fill="auto"/>
            <w:vAlign w:val="bottom"/>
          </w:tcPr>
          <w:p w14:paraId="71D474DD" w14:textId="77777777" w:rsidR="006A3667" w:rsidRDefault="006A3667">
            <w:pPr>
              <w:rPr>
                <w:rFonts w:ascii="宋体"/>
              </w:rPr>
            </w:pPr>
          </w:p>
        </w:tc>
      </w:tr>
      <w:tr w:rsidR="006A3667" w14:paraId="71D474E3" w14:textId="77777777">
        <w:tc>
          <w:tcPr>
            <w:tcW w:w="0" w:type="auto"/>
            <w:gridSpan w:val="3"/>
            <w:shd w:val="clear" w:color="auto" w:fill="auto"/>
            <w:tcMar>
              <w:top w:w="0" w:type="dxa"/>
              <w:left w:w="20" w:type="dxa"/>
              <w:bottom w:w="0" w:type="dxa"/>
              <w:right w:w="20" w:type="dxa"/>
            </w:tcMar>
            <w:vAlign w:val="bottom"/>
          </w:tcPr>
          <w:p w14:paraId="71D474DF"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4E0" w14:textId="77777777" w:rsidR="006A3667" w:rsidRDefault="00045F32">
            <w:pPr>
              <w:jc w:val="center"/>
              <w:textAlignment w:val="bottom"/>
            </w:pPr>
            <w:r>
              <w:rPr>
                <w:rFonts w:ascii="Arial" w:eastAsia="宋体" w:hAnsi="Arial" w:cs="Arial"/>
                <w:b/>
                <w:bCs/>
                <w:color w:val="000000"/>
                <w:sz w:val="14"/>
                <w:szCs w:val="14"/>
              </w:rPr>
              <w:t>Derivative Assets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71D474E1"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4E2" w14:textId="77777777" w:rsidR="006A3667" w:rsidRDefault="00045F32">
            <w:pPr>
              <w:jc w:val="center"/>
              <w:textAlignment w:val="bottom"/>
            </w:pPr>
            <w:r>
              <w:rPr>
                <w:rFonts w:ascii="Arial" w:eastAsia="宋体" w:hAnsi="Arial" w:cs="Arial"/>
                <w:b/>
                <w:bCs/>
                <w:color w:val="000000"/>
                <w:sz w:val="14"/>
                <w:szCs w:val="14"/>
              </w:rPr>
              <w:t>Derivative Liabilities</w:t>
            </w:r>
            <w:r>
              <w:rPr>
                <w:rFonts w:ascii="Arial" w:eastAsia="宋体" w:hAnsi="Arial" w:cs="Arial"/>
                <w:b/>
                <w:bCs/>
                <w:color w:val="000000"/>
                <w:sz w:val="9"/>
                <w:szCs w:val="9"/>
              </w:rPr>
              <w:t>(2)</w:t>
            </w:r>
          </w:p>
        </w:tc>
      </w:tr>
      <w:tr w:rsidR="006A3667" w14:paraId="71D474EC" w14:textId="77777777">
        <w:tc>
          <w:tcPr>
            <w:tcW w:w="0" w:type="auto"/>
            <w:gridSpan w:val="3"/>
            <w:shd w:val="clear" w:color="auto" w:fill="auto"/>
            <w:tcMar>
              <w:top w:w="40" w:type="dxa"/>
              <w:left w:w="20" w:type="dxa"/>
              <w:bottom w:w="40" w:type="dxa"/>
              <w:right w:w="20" w:type="dxa"/>
            </w:tcMar>
            <w:vAlign w:val="bottom"/>
          </w:tcPr>
          <w:p w14:paraId="71D474E4"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4E5"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4E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4E7" w14:textId="77777777" w:rsidR="006A3667" w:rsidRDefault="00045F32">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71D474E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4E9"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4E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4EB"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74F5" w14:textId="77777777">
        <w:tc>
          <w:tcPr>
            <w:tcW w:w="0" w:type="auto"/>
            <w:gridSpan w:val="3"/>
            <w:shd w:val="clear" w:color="auto" w:fill="auto"/>
            <w:tcMar>
              <w:top w:w="40" w:type="dxa"/>
              <w:left w:w="20" w:type="dxa"/>
              <w:bottom w:w="40" w:type="dxa"/>
              <w:right w:w="20" w:type="dxa"/>
            </w:tcMar>
            <w:vAlign w:val="bottom"/>
          </w:tcPr>
          <w:p w14:paraId="71D474ED" w14:textId="77777777" w:rsidR="006A3667" w:rsidRDefault="00045F32">
            <w:pPr>
              <w:textAlignment w:val="bottom"/>
            </w:pPr>
            <w:r>
              <w:rPr>
                <w:rFonts w:ascii="Arial" w:eastAsia="宋体" w:hAnsi="Arial" w:cs="Arial"/>
                <w:b/>
                <w:bCs/>
                <w:color w:val="000000"/>
                <w:sz w:val="14"/>
                <w:szCs w:val="14"/>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4E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4E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4F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4F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4F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4F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4F4" w14:textId="77777777" w:rsidR="006A3667" w:rsidRDefault="006A3667">
            <w:pPr>
              <w:rPr>
                <w:rFonts w:ascii="宋体"/>
              </w:rPr>
            </w:pPr>
          </w:p>
        </w:tc>
      </w:tr>
      <w:tr w:rsidR="006A3667" w14:paraId="71D47506" w14:textId="77777777">
        <w:tc>
          <w:tcPr>
            <w:tcW w:w="0" w:type="auto"/>
            <w:gridSpan w:val="3"/>
            <w:shd w:val="clear" w:color="auto" w:fill="CCEEFF"/>
            <w:tcMar>
              <w:top w:w="40" w:type="dxa"/>
              <w:left w:w="20" w:type="dxa"/>
              <w:bottom w:w="40" w:type="dxa"/>
              <w:right w:w="20" w:type="dxa"/>
            </w:tcMar>
            <w:vAlign w:val="bottom"/>
          </w:tcPr>
          <w:p w14:paraId="71D474F6" w14:textId="77777777" w:rsidR="006A3667" w:rsidRDefault="00045F32">
            <w:pPr>
              <w:textAlignment w:val="bottom"/>
            </w:pPr>
            <w:r>
              <w:rPr>
                <w:rFonts w:ascii="Arial" w:eastAsia="宋体" w:hAnsi="Arial" w:cs="Arial"/>
                <w:color w:val="000000"/>
                <w:sz w:val="14"/>
                <w:szCs w:val="14"/>
              </w:rPr>
              <w:t xml:space="preserve">Foreign exchange </w:t>
            </w:r>
            <w:r>
              <w:rPr>
                <w:rFonts w:ascii="Arial" w:eastAsia="宋体" w:hAnsi="Arial" w:cs="Arial"/>
                <w:color w:val="000000"/>
                <w:sz w:val="14"/>
                <w:szCs w:val="14"/>
              </w:rPr>
              <w:t>contracts</w:t>
            </w:r>
          </w:p>
        </w:tc>
        <w:tc>
          <w:tcPr>
            <w:tcW w:w="0" w:type="auto"/>
            <w:shd w:val="clear" w:color="auto" w:fill="CCEEFF"/>
            <w:tcMar>
              <w:top w:w="40" w:type="dxa"/>
              <w:left w:w="20" w:type="dxa"/>
              <w:bottom w:w="40" w:type="dxa"/>
              <w:right w:w="0" w:type="dxa"/>
            </w:tcMar>
            <w:vAlign w:val="bottom"/>
          </w:tcPr>
          <w:p w14:paraId="71D474F7"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4F8" w14:textId="77777777" w:rsidR="006A3667" w:rsidRDefault="00045F32">
            <w:pPr>
              <w:jc w:val="right"/>
              <w:textAlignment w:val="bottom"/>
            </w:pPr>
            <w:r>
              <w:rPr>
                <w:rFonts w:ascii="Arial" w:eastAsia="宋体" w:hAnsi="Arial" w:cs="Arial"/>
                <w:b/>
                <w:bCs/>
                <w:color w:val="000000"/>
                <w:sz w:val="14"/>
                <w:szCs w:val="14"/>
              </w:rPr>
              <w:t>29,695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4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4F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4F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4FC" w14:textId="77777777" w:rsidR="006A3667" w:rsidRDefault="00045F32">
            <w:pPr>
              <w:jc w:val="right"/>
              <w:textAlignment w:val="bottom"/>
            </w:pPr>
            <w:r>
              <w:rPr>
                <w:rFonts w:ascii="Arial" w:eastAsia="宋体" w:hAnsi="Arial" w:cs="Arial"/>
                <w:color w:val="000000"/>
                <w:sz w:val="14"/>
                <w:szCs w:val="14"/>
              </w:rPr>
              <w:t>15,216 </w:t>
            </w:r>
          </w:p>
        </w:tc>
        <w:tc>
          <w:tcPr>
            <w:tcW w:w="0" w:type="auto"/>
            <w:shd w:val="clear" w:color="auto" w:fill="CCEEFF"/>
            <w:tcMar>
              <w:top w:w="40" w:type="dxa"/>
              <w:left w:w="0" w:type="dxa"/>
              <w:bottom w:w="40" w:type="dxa"/>
              <w:right w:w="20" w:type="dxa"/>
            </w:tcMar>
            <w:vAlign w:val="bottom"/>
          </w:tcPr>
          <w:p w14:paraId="71D474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4F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4FF"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500" w14:textId="77777777" w:rsidR="006A3667" w:rsidRDefault="00045F32">
            <w:pPr>
              <w:jc w:val="right"/>
              <w:textAlignment w:val="bottom"/>
            </w:pPr>
            <w:r>
              <w:rPr>
                <w:rFonts w:ascii="Arial" w:eastAsia="宋体" w:hAnsi="Arial" w:cs="Arial"/>
                <w:b/>
                <w:bCs/>
                <w:color w:val="000000"/>
                <w:sz w:val="14"/>
                <w:szCs w:val="14"/>
              </w:rPr>
              <w:t>30,397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5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0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50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504" w14:textId="77777777" w:rsidR="006A3667" w:rsidRDefault="00045F32">
            <w:pPr>
              <w:jc w:val="right"/>
              <w:textAlignment w:val="bottom"/>
            </w:pPr>
            <w:r>
              <w:rPr>
                <w:rFonts w:ascii="Arial" w:eastAsia="宋体" w:hAnsi="Arial" w:cs="Arial"/>
                <w:color w:val="000000"/>
                <w:sz w:val="14"/>
                <w:szCs w:val="14"/>
              </w:rPr>
              <w:t>15,790 </w:t>
            </w:r>
          </w:p>
        </w:tc>
        <w:tc>
          <w:tcPr>
            <w:tcW w:w="0" w:type="auto"/>
            <w:shd w:val="clear" w:color="auto" w:fill="CCEEFF"/>
            <w:tcMar>
              <w:top w:w="40" w:type="dxa"/>
              <w:left w:w="0" w:type="dxa"/>
              <w:bottom w:w="40" w:type="dxa"/>
              <w:right w:w="20" w:type="dxa"/>
            </w:tcMar>
            <w:vAlign w:val="bottom"/>
          </w:tcPr>
          <w:p w14:paraId="71D47505" w14:textId="77777777" w:rsidR="006A3667" w:rsidRDefault="006A3667">
            <w:pPr>
              <w:jc w:val="right"/>
              <w:rPr>
                <w:rFonts w:ascii="宋体"/>
              </w:rPr>
            </w:pPr>
          </w:p>
        </w:tc>
      </w:tr>
      <w:tr w:rsidR="006A3667" w14:paraId="71D4750F" w14:textId="77777777">
        <w:trPr>
          <w:hidden/>
        </w:trPr>
        <w:tc>
          <w:tcPr>
            <w:tcW w:w="0" w:type="auto"/>
            <w:gridSpan w:val="3"/>
            <w:shd w:val="clear" w:color="auto" w:fill="auto"/>
            <w:vAlign w:val="bottom"/>
          </w:tcPr>
          <w:p w14:paraId="71D47507" w14:textId="77777777" w:rsidR="006A3667" w:rsidRDefault="006A3667">
            <w:pPr>
              <w:rPr>
                <w:rFonts w:ascii="宋体"/>
                <w:vanish/>
              </w:rPr>
            </w:pPr>
          </w:p>
        </w:tc>
        <w:tc>
          <w:tcPr>
            <w:tcW w:w="0" w:type="auto"/>
            <w:gridSpan w:val="3"/>
            <w:shd w:val="clear" w:color="auto" w:fill="auto"/>
            <w:vAlign w:val="bottom"/>
          </w:tcPr>
          <w:p w14:paraId="71D47508" w14:textId="77777777" w:rsidR="006A3667" w:rsidRDefault="006A3667">
            <w:pPr>
              <w:rPr>
                <w:rFonts w:ascii="宋体"/>
                <w:vanish/>
              </w:rPr>
            </w:pPr>
          </w:p>
        </w:tc>
        <w:tc>
          <w:tcPr>
            <w:tcW w:w="0" w:type="auto"/>
            <w:gridSpan w:val="3"/>
            <w:shd w:val="clear" w:color="auto" w:fill="auto"/>
            <w:vAlign w:val="bottom"/>
          </w:tcPr>
          <w:p w14:paraId="71D47509" w14:textId="77777777" w:rsidR="006A3667" w:rsidRDefault="006A3667">
            <w:pPr>
              <w:rPr>
                <w:rFonts w:ascii="宋体"/>
                <w:vanish/>
              </w:rPr>
            </w:pPr>
          </w:p>
        </w:tc>
        <w:tc>
          <w:tcPr>
            <w:tcW w:w="0" w:type="auto"/>
            <w:gridSpan w:val="3"/>
            <w:shd w:val="clear" w:color="auto" w:fill="auto"/>
            <w:vAlign w:val="bottom"/>
          </w:tcPr>
          <w:p w14:paraId="71D4750A" w14:textId="77777777" w:rsidR="006A3667" w:rsidRDefault="006A3667">
            <w:pPr>
              <w:rPr>
                <w:rFonts w:ascii="宋体"/>
                <w:vanish/>
              </w:rPr>
            </w:pPr>
          </w:p>
        </w:tc>
        <w:tc>
          <w:tcPr>
            <w:tcW w:w="0" w:type="auto"/>
            <w:gridSpan w:val="3"/>
            <w:shd w:val="clear" w:color="auto" w:fill="auto"/>
            <w:vAlign w:val="bottom"/>
          </w:tcPr>
          <w:p w14:paraId="71D4750B" w14:textId="77777777" w:rsidR="006A3667" w:rsidRDefault="006A3667">
            <w:pPr>
              <w:rPr>
                <w:rFonts w:ascii="宋体"/>
                <w:vanish/>
              </w:rPr>
            </w:pPr>
          </w:p>
        </w:tc>
        <w:tc>
          <w:tcPr>
            <w:tcW w:w="0" w:type="auto"/>
            <w:gridSpan w:val="3"/>
            <w:shd w:val="clear" w:color="auto" w:fill="auto"/>
            <w:vAlign w:val="bottom"/>
          </w:tcPr>
          <w:p w14:paraId="71D4750C" w14:textId="77777777" w:rsidR="006A3667" w:rsidRDefault="006A3667">
            <w:pPr>
              <w:rPr>
                <w:rFonts w:ascii="宋体"/>
                <w:vanish/>
              </w:rPr>
            </w:pPr>
          </w:p>
        </w:tc>
        <w:tc>
          <w:tcPr>
            <w:tcW w:w="0" w:type="auto"/>
            <w:gridSpan w:val="3"/>
            <w:shd w:val="clear" w:color="auto" w:fill="auto"/>
            <w:vAlign w:val="bottom"/>
          </w:tcPr>
          <w:p w14:paraId="71D4750D" w14:textId="77777777" w:rsidR="006A3667" w:rsidRDefault="006A3667">
            <w:pPr>
              <w:rPr>
                <w:rFonts w:ascii="宋体"/>
                <w:vanish/>
              </w:rPr>
            </w:pPr>
          </w:p>
        </w:tc>
        <w:tc>
          <w:tcPr>
            <w:tcW w:w="0" w:type="auto"/>
            <w:gridSpan w:val="3"/>
            <w:shd w:val="clear" w:color="auto" w:fill="auto"/>
            <w:vAlign w:val="bottom"/>
          </w:tcPr>
          <w:p w14:paraId="71D4750E" w14:textId="77777777" w:rsidR="006A3667" w:rsidRDefault="006A3667">
            <w:pPr>
              <w:rPr>
                <w:rFonts w:ascii="宋体"/>
                <w:vanish/>
              </w:rPr>
            </w:pPr>
          </w:p>
        </w:tc>
      </w:tr>
      <w:tr w:rsidR="006A3667" w14:paraId="71D47518" w14:textId="77777777">
        <w:trPr>
          <w:hidden/>
        </w:trPr>
        <w:tc>
          <w:tcPr>
            <w:tcW w:w="0" w:type="auto"/>
            <w:gridSpan w:val="3"/>
            <w:shd w:val="clear" w:color="auto" w:fill="auto"/>
            <w:vAlign w:val="bottom"/>
          </w:tcPr>
          <w:p w14:paraId="71D47510" w14:textId="77777777" w:rsidR="006A3667" w:rsidRDefault="006A3667">
            <w:pPr>
              <w:rPr>
                <w:rFonts w:ascii="宋体"/>
                <w:vanish/>
              </w:rPr>
            </w:pPr>
          </w:p>
        </w:tc>
        <w:tc>
          <w:tcPr>
            <w:tcW w:w="0" w:type="auto"/>
            <w:gridSpan w:val="3"/>
            <w:shd w:val="clear" w:color="auto" w:fill="auto"/>
            <w:vAlign w:val="bottom"/>
          </w:tcPr>
          <w:p w14:paraId="71D47511" w14:textId="77777777" w:rsidR="006A3667" w:rsidRDefault="006A3667">
            <w:pPr>
              <w:rPr>
                <w:rFonts w:ascii="宋体"/>
                <w:vanish/>
              </w:rPr>
            </w:pPr>
          </w:p>
        </w:tc>
        <w:tc>
          <w:tcPr>
            <w:tcW w:w="0" w:type="auto"/>
            <w:gridSpan w:val="3"/>
            <w:shd w:val="clear" w:color="auto" w:fill="auto"/>
            <w:vAlign w:val="bottom"/>
          </w:tcPr>
          <w:p w14:paraId="71D47512" w14:textId="77777777" w:rsidR="006A3667" w:rsidRDefault="006A3667">
            <w:pPr>
              <w:rPr>
                <w:rFonts w:ascii="宋体"/>
                <w:vanish/>
              </w:rPr>
            </w:pPr>
          </w:p>
        </w:tc>
        <w:tc>
          <w:tcPr>
            <w:tcW w:w="0" w:type="auto"/>
            <w:gridSpan w:val="3"/>
            <w:shd w:val="clear" w:color="auto" w:fill="auto"/>
            <w:vAlign w:val="bottom"/>
          </w:tcPr>
          <w:p w14:paraId="71D47513" w14:textId="77777777" w:rsidR="006A3667" w:rsidRDefault="006A3667">
            <w:pPr>
              <w:rPr>
                <w:rFonts w:ascii="宋体"/>
                <w:vanish/>
              </w:rPr>
            </w:pPr>
          </w:p>
        </w:tc>
        <w:tc>
          <w:tcPr>
            <w:tcW w:w="0" w:type="auto"/>
            <w:gridSpan w:val="3"/>
            <w:shd w:val="clear" w:color="auto" w:fill="auto"/>
            <w:vAlign w:val="bottom"/>
          </w:tcPr>
          <w:p w14:paraId="71D47514" w14:textId="77777777" w:rsidR="006A3667" w:rsidRDefault="006A3667">
            <w:pPr>
              <w:rPr>
                <w:rFonts w:ascii="宋体"/>
                <w:vanish/>
              </w:rPr>
            </w:pPr>
          </w:p>
        </w:tc>
        <w:tc>
          <w:tcPr>
            <w:tcW w:w="0" w:type="auto"/>
            <w:gridSpan w:val="3"/>
            <w:shd w:val="clear" w:color="auto" w:fill="auto"/>
            <w:vAlign w:val="bottom"/>
          </w:tcPr>
          <w:p w14:paraId="71D47515" w14:textId="77777777" w:rsidR="006A3667" w:rsidRDefault="006A3667">
            <w:pPr>
              <w:rPr>
                <w:rFonts w:ascii="宋体"/>
                <w:vanish/>
              </w:rPr>
            </w:pPr>
          </w:p>
        </w:tc>
        <w:tc>
          <w:tcPr>
            <w:tcW w:w="0" w:type="auto"/>
            <w:gridSpan w:val="3"/>
            <w:shd w:val="clear" w:color="auto" w:fill="auto"/>
            <w:vAlign w:val="bottom"/>
          </w:tcPr>
          <w:p w14:paraId="71D47516" w14:textId="77777777" w:rsidR="006A3667" w:rsidRDefault="006A3667">
            <w:pPr>
              <w:rPr>
                <w:rFonts w:ascii="宋体"/>
                <w:vanish/>
              </w:rPr>
            </w:pPr>
          </w:p>
        </w:tc>
        <w:tc>
          <w:tcPr>
            <w:tcW w:w="0" w:type="auto"/>
            <w:gridSpan w:val="3"/>
            <w:shd w:val="clear" w:color="auto" w:fill="auto"/>
            <w:vAlign w:val="bottom"/>
          </w:tcPr>
          <w:p w14:paraId="71D47517" w14:textId="77777777" w:rsidR="006A3667" w:rsidRDefault="006A3667">
            <w:pPr>
              <w:rPr>
                <w:rFonts w:ascii="宋体"/>
                <w:vanish/>
              </w:rPr>
            </w:pPr>
          </w:p>
        </w:tc>
      </w:tr>
      <w:tr w:rsidR="006A3667" w14:paraId="71D47525" w14:textId="77777777">
        <w:tc>
          <w:tcPr>
            <w:tcW w:w="0" w:type="auto"/>
            <w:gridSpan w:val="3"/>
            <w:shd w:val="clear" w:color="auto" w:fill="FFFFFF"/>
            <w:tcMar>
              <w:top w:w="40" w:type="dxa"/>
              <w:left w:w="20" w:type="dxa"/>
              <w:bottom w:w="40" w:type="dxa"/>
              <w:right w:w="20" w:type="dxa"/>
            </w:tcMar>
            <w:vAlign w:val="bottom"/>
          </w:tcPr>
          <w:p w14:paraId="71D47519" w14:textId="77777777" w:rsidR="006A3667" w:rsidRDefault="00045F32">
            <w:pPr>
              <w:textAlignment w:val="bottom"/>
            </w:pPr>
            <w:r>
              <w:rPr>
                <w:rFonts w:ascii="Arial" w:eastAsia="宋体" w:hAnsi="Arial" w:cs="Arial"/>
                <w:color w:val="000000"/>
                <w:sz w:val="14"/>
                <w:szCs w:val="14"/>
              </w:rPr>
              <w:t>Other derivative contracts</w:t>
            </w:r>
          </w:p>
        </w:tc>
        <w:tc>
          <w:tcPr>
            <w:tcW w:w="0" w:type="auto"/>
            <w:gridSpan w:val="2"/>
            <w:shd w:val="clear" w:color="auto" w:fill="FFFFFF"/>
            <w:tcMar>
              <w:top w:w="40" w:type="dxa"/>
              <w:left w:w="20" w:type="dxa"/>
              <w:bottom w:w="40" w:type="dxa"/>
              <w:right w:w="0" w:type="dxa"/>
            </w:tcMar>
            <w:vAlign w:val="bottom"/>
          </w:tcPr>
          <w:p w14:paraId="71D4751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51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1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1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51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1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20" w14:textId="77777777" w:rsidR="006A3667" w:rsidRDefault="00045F32">
            <w:pPr>
              <w:jc w:val="right"/>
              <w:textAlignment w:val="bottom"/>
            </w:pPr>
            <w:r>
              <w:rPr>
                <w:rFonts w:ascii="Arial" w:eastAsia="宋体" w:hAnsi="Arial" w:cs="Arial"/>
                <w:b/>
                <w:bCs/>
                <w:color w:val="000000"/>
                <w:sz w:val="14"/>
                <w:szCs w:val="14"/>
              </w:rPr>
              <w:t>245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5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2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23" w14:textId="77777777" w:rsidR="006A3667" w:rsidRDefault="00045F32">
            <w:pPr>
              <w:jc w:val="right"/>
              <w:textAlignment w:val="bottom"/>
            </w:pPr>
            <w:r>
              <w:rPr>
                <w:rFonts w:ascii="Arial" w:eastAsia="宋体" w:hAnsi="Arial" w:cs="Arial"/>
                <w:color w:val="000000"/>
                <w:sz w:val="14"/>
                <w:szCs w:val="14"/>
              </w:rPr>
              <w:t>301 </w:t>
            </w:r>
          </w:p>
        </w:tc>
        <w:tc>
          <w:tcPr>
            <w:tcW w:w="0" w:type="auto"/>
            <w:shd w:val="clear" w:color="auto" w:fill="FFFFFF"/>
            <w:tcMar>
              <w:top w:w="40" w:type="dxa"/>
              <w:left w:w="0" w:type="dxa"/>
              <w:bottom w:w="40" w:type="dxa"/>
              <w:right w:w="20" w:type="dxa"/>
            </w:tcMar>
            <w:vAlign w:val="bottom"/>
          </w:tcPr>
          <w:p w14:paraId="71D47524" w14:textId="77777777" w:rsidR="006A3667" w:rsidRDefault="006A3667">
            <w:pPr>
              <w:jc w:val="right"/>
              <w:rPr>
                <w:rFonts w:ascii="宋体"/>
              </w:rPr>
            </w:pPr>
          </w:p>
        </w:tc>
      </w:tr>
      <w:tr w:rsidR="006A3667" w14:paraId="71D47536" w14:textId="77777777">
        <w:tc>
          <w:tcPr>
            <w:tcW w:w="0" w:type="auto"/>
            <w:gridSpan w:val="3"/>
            <w:shd w:val="clear" w:color="auto" w:fill="CCEEFF"/>
            <w:tcMar>
              <w:top w:w="40" w:type="dxa"/>
              <w:left w:w="20" w:type="dxa"/>
              <w:bottom w:w="40" w:type="dxa"/>
              <w:right w:w="20" w:type="dxa"/>
            </w:tcMar>
            <w:vAlign w:val="bottom"/>
          </w:tcPr>
          <w:p w14:paraId="71D47526"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527"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528" w14:textId="77777777" w:rsidR="006A3667" w:rsidRDefault="00045F32">
            <w:pPr>
              <w:jc w:val="right"/>
              <w:textAlignment w:val="bottom"/>
            </w:pPr>
            <w:r>
              <w:rPr>
                <w:rFonts w:ascii="Arial" w:eastAsia="宋体" w:hAnsi="Arial" w:cs="Arial"/>
                <w:b/>
                <w:bCs/>
                <w:color w:val="000000"/>
                <w:sz w:val="14"/>
                <w:szCs w:val="14"/>
              </w:rPr>
              <w:t>29,695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5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2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52B"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52C" w14:textId="77777777" w:rsidR="006A3667" w:rsidRDefault="00045F32">
            <w:pPr>
              <w:jc w:val="right"/>
              <w:textAlignment w:val="bottom"/>
            </w:pPr>
            <w:r>
              <w:rPr>
                <w:rFonts w:ascii="Arial" w:eastAsia="宋体" w:hAnsi="Arial" w:cs="Arial"/>
                <w:color w:val="000000"/>
                <w:sz w:val="14"/>
                <w:szCs w:val="14"/>
              </w:rPr>
              <w:t>15,216 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5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2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52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530" w14:textId="77777777" w:rsidR="006A3667" w:rsidRDefault="00045F32">
            <w:pPr>
              <w:jc w:val="right"/>
              <w:textAlignment w:val="bottom"/>
            </w:pPr>
            <w:r>
              <w:rPr>
                <w:rFonts w:ascii="Arial" w:eastAsia="宋体" w:hAnsi="Arial" w:cs="Arial"/>
                <w:b/>
                <w:bCs/>
                <w:color w:val="000000"/>
                <w:sz w:val="14"/>
                <w:szCs w:val="14"/>
              </w:rPr>
              <w:t>30,642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5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3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53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534" w14:textId="77777777" w:rsidR="006A3667" w:rsidRDefault="00045F32">
            <w:pPr>
              <w:jc w:val="right"/>
              <w:textAlignment w:val="bottom"/>
            </w:pPr>
            <w:r>
              <w:rPr>
                <w:rFonts w:ascii="Arial" w:eastAsia="宋体" w:hAnsi="Arial" w:cs="Arial"/>
                <w:color w:val="000000"/>
                <w:sz w:val="14"/>
                <w:szCs w:val="14"/>
              </w:rPr>
              <w:t>16,091 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535" w14:textId="77777777" w:rsidR="006A3667" w:rsidRDefault="006A3667">
            <w:pPr>
              <w:jc w:val="right"/>
              <w:rPr>
                <w:rFonts w:ascii="宋体"/>
              </w:rPr>
            </w:pPr>
          </w:p>
        </w:tc>
      </w:tr>
      <w:tr w:rsidR="006A3667" w14:paraId="71D4753F" w14:textId="77777777">
        <w:trPr>
          <w:trHeight w:val="120"/>
        </w:trPr>
        <w:tc>
          <w:tcPr>
            <w:tcW w:w="0" w:type="auto"/>
            <w:gridSpan w:val="3"/>
            <w:shd w:val="clear" w:color="auto" w:fill="auto"/>
            <w:tcMar>
              <w:top w:w="0" w:type="dxa"/>
              <w:left w:w="20" w:type="dxa"/>
              <w:bottom w:w="0" w:type="dxa"/>
              <w:right w:w="20" w:type="dxa"/>
            </w:tcMar>
            <w:vAlign w:val="bottom"/>
          </w:tcPr>
          <w:p w14:paraId="71D4753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53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39"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53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3B"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53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3D"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53E" w14:textId="77777777" w:rsidR="006A3667" w:rsidRDefault="006A3667">
            <w:pPr>
              <w:rPr>
                <w:rFonts w:ascii="宋体"/>
              </w:rPr>
            </w:pPr>
          </w:p>
        </w:tc>
      </w:tr>
      <w:tr w:rsidR="006A3667" w14:paraId="71D47548" w14:textId="77777777">
        <w:tc>
          <w:tcPr>
            <w:tcW w:w="0" w:type="auto"/>
            <w:gridSpan w:val="3"/>
            <w:shd w:val="clear" w:color="auto" w:fill="auto"/>
            <w:tcMar>
              <w:top w:w="40" w:type="dxa"/>
              <w:left w:w="20" w:type="dxa"/>
              <w:bottom w:w="40" w:type="dxa"/>
              <w:right w:w="20" w:type="dxa"/>
            </w:tcMar>
            <w:vAlign w:val="bottom"/>
          </w:tcPr>
          <w:p w14:paraId="71D47540" w14:textId="77777777" w:rsidR="006A3667" w:rsidRDefault="00045F32">
            <w:pPr>
              <w:textAlignment w:val="bottom"/>
            </w:pPr>
            <w:r>
              <w:rPr>
                <w:rFonts w:ascii="Arial" w:eastAsia="宋体" w:hAnsi="Arial" w:cs="Arial"/>
                <w:b/>
                <w:bCs/>
                <w:color w:val="000000"/>
                <w:sz w:val="14"/>
                <w:szCs w:val="14"/>
              </w:rPr>
              <w:t>Derivatives designated as hedging instruments:</w:t>
            </w:r>
          </w:p>
        </w:tc>
        <w:tc>
          <w:tcPr>
            <w:tcW w:w="0" w:type="auto"/>
            <w:gridSpan w:val="3"/>
            <w:shd w:val="clear" w:color="auto" w:fill="auto"/>
            <w:tcMar>
              <w:top w:w="0" w:type="dxa"/>
              <w:left w:w="20" w:type="dxa"/>
              <w:bottom w:w="0" w:type="dxa"/>
              <w:right w:w="20" w:type="dxa"/>
            </w:tcMar>
            <w:vAlign w:val="bottom"/>
          </w:tcPr>
          <w:p w14:paraId="71D4754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4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4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4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4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4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47" w14:textId="77777777" w:rsidR="006A3667" w:rsidRDefault="006A3667">
            <w:pPr>
              <w:rPr>
                <w:rFonts w:ascii="宋体"/>
              </w:rPr>
            </w:pPr>
          </w:p>
        </w:tc>
      </w:tr>
      <w:tr w:rsidR="006A3667" w14:paraId="71D47559" w14:textId="77777777">
        <w:tc>
          <w:tcPr>
            <w:tcW w:w="0" w:type="auto"/>
            <w:gridSpan w:val="3"/>
            <w:shd w:val="clear" w:color="auto" w:fill="CCEEFF"/>
            <w:tcMar>
              <w:top w:w="40" w:type="dxa"/>
              <w:left w:w="20" w:type="dxa"/>
              <w:bottom w:w="40" w:type="dxa"/>
              <w:right w:w="20" w:type="dxa"/>
            </w:tcMar>
            <w:vAlign w:val="bottom"/>
          </w:tcPr>
          <w:p w14:paraId="71D47549" w14:textId="77777777" w:rsidR="006A3667" w:rsidRDefault="00045F32">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71D4754A"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54B" w14:textId="77777777" w:rsidR="006A3667" w:rsidRDefault="00045F32">
            <w:pPr>
              <w:jc w:val="right"/>
              <w:textAlignment w:val="bottom"/>
            </w:pPr>
            <w:r>
              <w:rPr>
                <w:rFonts w:ascii="Arial" w:eastAsia="宋体" w:hAnsi="Arial" w:cs="Arial"/>
                <w:b/>
                <w:bCs/>
                <w:color w:val="000000"/>
                <w:sz w:val="14"/>
                <w:szCs w:val="14"/>
              </w:rPr>
              <w:t>439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5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4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54E"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54F" w14:textId="77777777" w:rsidR="006A3667" w:rsidRDefault="00045F32">
            <w:pPr>
              <w:jc w:val="right"/>
              <w:textAlignment w:val="bottom"/>
            </w:pPr>
            <w:r>
              <w:rPr>
                <w:rFonts w:ascii="Arial" w:eastAsia="宋体" w:hAnsi="Arial" w:cs="Arial"/>
                <w:color w:val="000000"/>
                <w:sz w:val="14"/>
                <w:szCs w:val="14"/>
              </w:rPr>
              <w:t>59 </w:t>
            </w:r>
          </w:p>
        </w:tc>
        <w:tc>
          <w:tcPr>
            <w:tcW w:w="0" w:type="auto"/>
            <w:shd w:val="clear" w:color="auto" w:fill="CCEEFF"/>
            <w:tcMar>
              <w:top w:w="40" w:type="dxa"/>
              <w:left w:w="0" w:type="dxa"/>
              <w:bottom w:w="40" w:type="dxa"/>
              <w:right w:w="20" w:type="dxa"/>
            </w:tcMar>
            <w:vAlign w:val="bottom"/>
          </w:tcPr>
          <w:p w14:paraId="71D475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5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552"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553" w14:textId="77777777" w:rsidR="006A3667" w:rsidRDefault="00045F32">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5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5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556"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557" w14:textId="77777777" w:rsidR="006A3667" w:rsidRDefault="00045F32">
            <w:pPr>
              <w:jc w:val="right"/>
              <w:textAlignment w:val="bottom"/>
            </w:pPr>
            <w:r>
              <w:rPr>
                <w:rFonts w:ascii="Arial" w:eastAsia="宋体" w:hAnsi="Arial" w:cs="Arial"/>
                <w:color w:val="000000"/>
                <w:sz w:val="14"/>
                <w:szCs w:val="14"/>
              </w:rPr>
              <w:t>35 </w:t>
            </w:r>
          </w:p>
        </w:tc>
        <w:tc>
          <w:tcPr>
            <w:tcW w:w="0" w:type="auto"/>
            <w:shd w:val="clear" w:color="auto" w:fill="CCEEFF"/>
            <w:tcMar>
              <w:top w:w="40" w:type="dxa"/>
              <w:left w:w="0" w:type="dxa"/>
              <w:bottom w:w="40" w:type="dxa"/>
              <w:right w:w="20" w:type="dxa"/>
            </w:tcMar>
            <w:vAlign w:val="bottom"/>
          </w:tcPr>
          <w:p w14:paraId="71D47558" w14:textId="77777777" w:rsidR="006A3667" w:rsidRDefault="006A3667">
            <w:pPr>
              <w:jc w:val="right"/>
              <w:rPr>
                <w:rFonts w:ascii="宋体"/>
              </w:rPr>
            </w:pPr>
          </w:p>
        </w:tc>
      </w:tr>
      <w:tr w:rsidR="006A3667" w14:paraId="71D47566" w14:textId="77777777">
        <w:tc>
          <w:tcPr>
            <w:tcW w:w="0" w:type="auto"/>
            <w:gridSpan w:val="3"/>
            <w:shd w:val="clear" w:color="auto" w:fill="FFFFFF"/>
            <w:tcMar>
              <w:top w:w="40" w:type="dxa"/>
              <w:left w:w="20" w:type="dxa"/>
              <w:bottom w:w="40" w:type="dxa"/>
              <w:right w:w="20" w:type="dxa"/>
            </w:tcMar>
            <w:vAlign w:val="bottom"/>
          </w:tcPr>
          <w:p w14:paraId="71D4755A" w14:textId="77777777" w:rsidR="006A3667" w:rsidRDefault="00045F32">
            <w:pPr>
              <w:textAlignment w:val="bottom"/>
            </w:pPr>
            <w:r>
              <w:rPr>
                <w:rFonts w:ascii="Arial" w:eastAsia="宋体" w:hAnsi="Arial" w:cs="Arial"/>
                <w:color w:val="000000"/>
                <w:sz w:val="14"/>
                <w:szCs w:val="14"/>
              </w:rPr>
              <w:t>Interest rate contracts</w:t>
            </w:r>
          </w:p>
        </w:tc>
        <w:tc>
          <w:tcPr>
            <w:tcW w:w="0" w:type="auto"/>
            <w:gridSpan w:val="2"/>
            <w:shd w:val="clear" w:color="auto" w:fill="FFFFFF"/>
            <w:tcMar>
              <w:top w:w="40" w:type="dxa"/>
              <w:left w:w="20" w:type="dxa"/>
              <w:bottom w:w="40" w:type="dxa"/>
              <w:right w:w="0" w:type="dxa"/>
            </w:tcMar>
            <w:vAlign w:val="bottom"/>
          </w:tcPr>
          <w:p w14:paraId="71D4755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5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5E"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71D475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61" w14:textId="77777777" w:rsidR="006A3667" w:rsidRDefault="00045F32">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5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6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6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565" w14:textId="77777777" w:rsidR="006A3667" w:rsidRDefault="006A3667">
            <w:pPr>
              <w:jc w:val="right"/>
              <w:rPr>
                <w:rFonts w:ascii="宋体"/>
              </w:rPr>
            </w:pPr>
          </w:p>
        </w:tc>
      </w:tr>
      <w:tr w:rsidR="006A3667" w14:paraId="71D47577" w14:textId="77777777">
        <w:tc>
          <w:tcPr>
            <w:tcW w:w="0" w:type="auto"/>
            <w:gridSpan w:val="3"/>
            <w:shd w:val="clear" w:color="auto" w:fill="CCEEFF"/>
            <w:tcMar>
              <w:top w:w="40" w:type="dxa"/>
              <w:left w:w="20" w:type="dxa"/>
              <w:bottom w:w="40" w:type="dxa"/>
              <w:right w:w="20" w:type="dxa"/>
            </w:tcMar>
            <w:vAlign w:val="bottom"/>
          </w:tcPr>
          <w:p w14:paraId="71D47567"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56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569" w14:textId="77777777" w:rsidR="006A3667" w:rsidRDefault="00045F32">
            <w:pPr>
              <w:jc w:val="right"/>
              <w:textAlignment w:val="bottom"/>
            </w:pPr>
            <w:r>
              <w:rPr>
                <w:rFonts w:ascii="Arial" w:eastAsia="宋体" w:hAnsi="Arial" w:cs="Arial"/>
                <w:b/>
                <w:bCs/>
                <w:color w:val="000000"/>
                <w:sz w:val="14"/>
                <w:szCs w:val="14"/>
              </w:rPr>
              <w:t>439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5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6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56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56D" w14:textId="77777777" w:rsidR="006A3667" w:rsidRDefault="00045F32">
            <w:pPr>
              <w:jc w:val="right"/>
              <w:textAlignment w:val="bottom"/>
            </w:pPr>
            <w:r>
              <w:rPr>
                <w:rFonts w:ascii="Arial" w:eastAsia="宋体" w:hAnsi="Arial" w:cs="Arial"/>
                <w:color w:val="000000"/>
                <w:sz w:val="14"/>
                <w:szCs w:val="14"/>
              </w:rPr>
              <w:t>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5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6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57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571" w14:textId="77777777" w:rsidR="006A3667" w:rsidRDefault="00045F32">
            <w:pPr>
              <w:jc w:val="right"/>
              <w:textAlignment w:val="bottom"/>
            </w:pPr>
            <w:r>
              <w:rPr>
                <w:rFonts w:ascii="Arial" w:eastAsia="宋体" w:hAnsi="Arial" w:cs="Arial"/>
                <w:b/>
                <w:bCs/>
                <w:color w:val="000000"/>
                <w:sz w:val="14"/>
                <w:szCs w:val="14"/>
              </w:rPr>
              <w:t>23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5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7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57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575" w14:textId="77777777" w:rsidR="006A3667" w:rsidRDefault="00045F32">
            <w:pPr>
              <w:jc w:val="right"/>
              <w:textAlignment w:val="bottom"/>
            </w:pPr>
            <w:r>
              <w:rPr>
                <w:rFonts w:ascii="Arial" w:eastAsia="宋体" w:hAnsi="Arial" w:cs="Arial"/>
                <w:color w:val="000000"/>
                <w:sz w:val="14"/>
                <w:szCs w:val="14"/>
              </w:rPr>
              <w:t>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576" w14:textId="77777777" w:rsidR="006A3667" w:rsidRDefault="006A3667">
            <w:pPr>
              <w:jc w:val="right"/>
              <w:rPr>
                <w:rFonts w:ascii="宋体"/>
              </w:rPr>
            </w:pPr>
          </w:p>
        </w:tc>
      </w:tr>
    </w:tbl>
    <w:p w14:paraId="71D47578"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6A3667" w14:paraId="71D47582" w14:textId="77777777">
        <w:tc>
          <w:tcPr>
            <w:tcW w:w="50" w:type="pct"/>
            <w:shd w:val="clear" w:color="auto" w:fill="auto"/>
            <w:vAlign w:val="bottom"/>
          </w:tcPr>
          <w:p w14:paraId="71D47579" w14:textId="77777777" w:rsidR="006A3667" w:rsidRDefault="006A3667">
            <w:pPr>
              <w:rPr>
                <w:rFonts w:ascii="宋体"/>
              </w:rPr>
            </w:pPr>
          </w:p>
        </w:tc>
        <w:tc>
          <w:tcPr>
            <w:tcW w:w="1348" w:type="pct"/>
            <w:shd w:val="clear" w:color="auto" w:fill="auto"/>
            <w:vAlign w:val="bottom"/>
          </w:tcPr>
          <w:p w14:paraId="71D4757A" w14:textId="77777777" w:rsidR="006A3667" w:rsidRDefault="006A3667">
            <w:pPr>
              <w:rPr>
                <w:rFonts w:ascii="宋体"/>
              </w:rPr>
            </w:pPr>
          </w:p>
        </w:tc>
        <w:tc>
          <w:tcPr>
            <w:tcW w:w="5" w:type="pct"/>
            <w:shd w:val="clear" w:color="auto" w:fill="auto"/>
            <w:vAlign w:val="bottom"/>
          </w:tcPr>
          <w:p w14:paraId="71D4757B" w14:textId="77777777" w:rsidR="006A3667" w:rsidRDefault="006A3667">
            <w:pPr>
              <w:rPr>
                <w:rFonts w:ascii="宋体"/>
              </w:rPr>
            </w:pPr>
          </w:p>
        </w:tc>
        <w:tc>
          <w:tcPr>
            <w:tcW w:w="50" w:type="pct"/>
            <w:shd w:val="clear" w:color="auto" w:fill="auto"/>
            <w:vAlign w:val="bottom"/>
          </w:tcPr>
          <w:p w14:paraId="71D4757C" w14:textId="77777777" w:rsidR="006A3667" w:rsidRDefault="006A3667">
            <w:pPr>
              <w:rPr>
                <w:rFonts w:ascii="宋体"/>
              </w:rPr>
            </w:pPr>
          </w:p>
        </w:tc>
        <w:tc>
          <w:tcPr>
            <w:tcW w:w="2379" w:type="pct"/>
            <w:shd w:val="clear" w:color="auto" w:fill="auto"/>
            <w:vAlign w:val="bottom"/>
          </w:tcPr>
          <w:p w14:paraId="71D4757D" w14:textId="77777777" w:rsidR="006A3667" w:rsidRDefault="006A3667">
            <w:pPr>
              <w:rPr>
                <w:rFonts w:ascii="宋体"/>
              </w:rPr>
            </w:pPr>
          </w:p>
        </w:tc>
        <w:tc>
          <w:tcPr>
            <w:tcW w:w="5" w:type="pct"/>
            <w:shd w:val="clear" w:color="auto" w:fill="auto"/>
            <w:vAlign w:val="bottom"/>
          </w:tcPr>
          <w:p w14:paraId="71D4757E" w14:textId="77777777" w:rsidR="006A3667" w:rsidRDefault="006A3667">
            <w:pPr>
              <w:rPr>
                <w:rFonts w:ascii="宋体"/>
              </w:rPr>
            </w:pPr>
          </w:p>
        </w:tc>
        <w:tc>
          <w:tcPr>
            <w:tcW w:w="50" w:type="pct"/>
            <w:shd w:val="clear" w:color="auto" w:fill="auto"/>
            <w:vAlign w:val="bottom"/>
          </w:tcPr>
          <w:p w14:paraId="71D4757F" w14:textId="77777777" w:rsidR="006A3667" w:rsidRDefault="006A3667">
            <w:pPr>
              <w:rPr>
                <w:rFonts w:ascii="宋体"/>
              </w:rPr>
            </w:pPr>
          </w:p>
        </w:tc>
        <w:tc>
          <w:tcPr>
            <w:tcW w:w="1107" w:type="pct"/>
            <w:shd w:val="clear" w:color="auto" w:fill="auto"/>
            <w:vAlign w:val="bottom"/>
          </w:tcPr>
          <w:p w14:paraId="71D47580" w14:textId="77777777" w:rsidR="006A3667" w:rsidRDefault="006A3667">
            <w:pPr>
              <w:rPr>
                <w:rFonts w:ascii="宋体"/>
              </w:rPr>
            </w:pPr>
          </w:p>
        </w:tc>
        <w:tc>
          <w:tcPr>
            <w:tcW w:w="5" w:type="pct"/>
            <w:shd w:val="clear" w:color="auto" w:fill="auto"/>
            <w:vAlign w:val="bottom"/>
          </w:tcPr>
          <w:p w14:paraId="71D47581" w14:textId="77777777" w:rsidR="006A3667" w:rsidRDefault="006A3667">
            <w:pPr>
              <w:rPr>
                <w:rFonts w:ascii="宋体"/>
              </w:rPr>
            </w:pPr>
          </w:p>
        </w:tc>
      </w:tr>
      <w:tr w:rsidR="006A3667" w14:paraId="71D4758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58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8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85" w14:textId="77777777" w:rsidR="006A3667" w:rsidRDefault="006A3667">
            <w:pPr>
              <w:rPr>
                <w:rFonts w:ascii="宋体"/>
              </w:rPr>
            </w:pPr>
          </w:p>
        </w:tc>
      </w:tr>
    </w:tbl>
    <w:p w14:paraId="71D47587" w14:textId="77777777" w:rsidR="006A3667" w:rsidRDefault="00045F32">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Derivative assets are included within other assets in our consolidated statement of condition. </w:t>
      </w:r>
    </w:p>
    <w:p w14:paraId="71D47588" w14:textId="77777777" w:rsidR="006A3667" w:rsidRDefault="00045F32">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Derivative liabilities are included within other liabilities in our consolidated statement of condition.</w:t>
      </w:r>
    </w:p>
    <w:p w14:paraId="71D47589" w14:textId="77777777" w:rsidR="006A3667" w:rsidRDefault="00045F32">
      <w:pPr>
        <w:spacing w:before="60"/>
        <w:ind w:firstLine="450"/>
        <w:jc w:val="both"/>
      </w:pPr>
      <w:r>
        <w:rPr>
          <w:rFonts w:ascii="Arial" w:eastAsia="宋体" w:hAnsi="Arial" w:cs="Arial"/>
          <w:color w:val="000000"/>
          <w:sz w:val="20"/>
          <w:szCs w:val="20"/>
        </w:rPr>
        <w:t xml:space="preserve">The following table presents the impact of our </w:t>
      </w:r>
      <w:r>
        <w:rPr>
          <w:rFonts w:ascii="Arial" w:eastAsia="宋体" w:hAnsi="Arial" w:cs="Arial"/>
          <w:color w:val="000000"/>
          <w:sz w:val="20"/>
          <w:szCs w:val="20"/>
        </w:rPr>
        <w:t>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1638"/>
        <w:gridCol w:w="36"/>
        <w:gridCol w:w="64"/>
        <w:gridCol w:w="2202"/>
        <w:gridCol w:w="36"/>
        <w:gridCol w:w="36"/>
        <w:gridCol w:w="36"/>
        <w:gridCol w:w="36"/>
        <w:gridCol w:w="98"/>
        <w:gridCol w:w="832"/>
        <w:gridCol w:w="36"/>
        <w:gridCol w:w="36"/>
        <w:gridCol w:w="36"/>
        <w:gridCol w:w="36"/>
        <w:gridCol w:w="98"/>
        <w:gridCol w:w="788"/>
        <w:gridCol w:w="36"/>
        <w:gridCol w:w="36"/>
        <w:gridCol w:w="36"/>
        <w:gridCol w:w="36"/>
        <w:gridCol w:w="98"/>
        <w:gridCol w:w="789"/>
        <w:gridCol w:w="36"/>
        <w:gridCol w:w="36"/>
        <w:gridCol w:w="36"/>
        <w:gridCol w:w="36"/>
        <w:gridCol w:w="98"/>
        <w:gridCol w:w="833"/>
        <w:gridCol w:w="36"/>
        <w:gridCol w:w="36"/>
        <w:gridCol w:w="36"/>
        <w:gridCol w:w="36"/>
      </w:tblGrid>
      <w:tr w:rsidR="006A3667" w14:paraId="71D475AB" w14:textId="77777777">
        <w:tc>
          <w:tcPr>
            <w:tcW w:w="50" w:type="pct"/>
            <w:shd w:val="clear" w:color="auto" w:fill="auto"/>
            <w:vAlign w:val="bottom"/>
          </w:tcPr>
          <w:p w14:paraId="71D4758A" w14:textId="77777777" w:rsidR="006A3667" w:rsidRDefault="006A3667">
            <w:pPr>
              <w:rPr>
                <w:rFonts w:ascii="宋体"/>
              </w:rPr>
            </w:pPr>
          </w:p>
        </w:tc>
        <w:tc>
          <w:tcPr>
            <w:tcW w:w="1019" w:type="pct"/>
            <w:shd w:val="clear" w:color="auto" w:fill="auto"/>
            <w:vAlign w:val="bottom"/>
          </w:tcPr>
          <w:p w14:paraId="71D4758B" w14:textId="77777777" w:rsidR="006A3667" w:rsidRDefault="006A3667">
            <w:pPr>
              <w:rPr>
                <w:rFonts w:ascii="宋体"/>
              </w:rPr>
            </w:pPr>
          </w:p>
        </w:tc>
        <w:tc>
          <w:tcPr>
            <w:tcW w:w="5" w:type="pct"/>
            <w:shd w:val="clear" w:color="auto" w:fill="auto"/>
            <w:vAlign w:val="bottom"/>
          </w:tcPr>
          <w:p w14:paraId="71D4758C" w14:textId="77777777" w:rsidR="006A3667" w:rsidRDefault="006A3667">
            <w:pPr>
              <w:rPr>
                <w:rFonts w:ascii="宋体"/>
              </w:rPr>
            </w:pPr>
          </w:p>
        </w:tc>
        <w:tc>
          <w:tcPr>
            <w:tcW w:w="50" w:type="pct"/>
            <w:shd w:val="clear" w:color="auto" w:fill="auto"/>
            <w:vAlign w:val="bottom"/>
          </w:tcPr>
          <w:p w14:paraId="71D4758D" w14:textId="77777777" w:rsidR="006A3667" w:rsidRDefault="006A3667">
            <w:pPr>
              <w:rPr>
                <w:rFonts w:ascii="宋体"/>
              </w:rPr>
            </w:pPr>
          </w:p>
        </w:tc>
        <w:tc>
          <w:tcPr>
            <w:tcW w:w="1370" w:type="pct"/>
            <w:shd w:val="clear" w:color="auto" w:fill="auto"/>
            <w:vAlign w:val="bottom"/>
          </w:tcPr>
          <w:p w14:paraId="71D4758E" w14:textId="77777777" w:rsidR="006A3667" w:rsidRDefault="006A3667">
            <w:pPr>
              <w:rPr>
                <w:rFonts w:ascii="宋体"/>
              </w:rPr>
            </w:pPr>
          </w:p>
        </w:tc>
        <w:tc>
          <w:tcPr>
            <w:tcW w:w="5" w:type="pct"/>
            <w:shd w:val="clear" w:color="auto" w:fill="auto"/>
            <w:vAlign w:val="bottom"/>
          </w:tcPr>
          <w:p w14:paraId="71D4758F" w14:textId="77777777" w:rsidR="006A3667" w:rsidRDefault="006A3667">
            <w:pPr>
              <w:rPr>
                <w:rFonts w:ascii="宋体"/>
              </w:rPr>
            </w:pPr>
          </w:p>
        </w:tc>
        <w:tc>
          <w:tcPr>
            <w:tcW w:w="5" w:type="pct"/>
            <w:shd w:val="clear" w:color="auto" w:fill="auto"/>
            <w:vAlign w:val="bottom"/>
          </w:tcPr>
          <w:p w14:paraId="71D47590" w14:textId="77777777" w:rsidR="006A3667" w:rsidRDefault="006A3667">
            <w:pPr>
              <w:rPr>
                <w:rFonts w:ascii="宋体"/>
              </w:rPr>
            </w:pPr>
          </w:p>
        </w:tc>
        <w:tc>
          <w:tcPr>
            <w:tcW w:w="19" w:type="pct"/>
            <w:shd w:val="clear" w:color="auto" w:fill="auto"/>
            <w:vAlign w:val="bottom"/>
          </w:tcPr>
          <w:p w14:paraId="71D47591" w14:textId="77777777" w:rsidR="006A3667" w:rsidRDefault="006A3667">
            <w:pPr>
              <w:rPr>
                <w:rFonts w:ascii="宋体"/>
              </w:rPr>
            </w:pPr>
          </w:p>
        </w:tc>
        <w:tc>
          <w:tcPr>
            <w:tcW w:w="5" w:type="pct"/>
            <w:shd w:val="clear" w:color="auto" w:fill="auto"/>
            <w:vAlign w:val="bottom"/>
          </w:tcPr>
          <w:p w14:paraId="71D47592" w14:textId="77777777" w:rsidR="006A3667" w:rsidRDefault="006A3667">
            <w:pPr>
              <w:rPr>
                <w:rFonts w:ascii="宋体"/>
              </w:rPr>
            </w:pPr>
          </w:p>
        </w:tc>
        <w:tc>
          <w:tcPr>
            <w:tcW w:w="50" w:type="pct"/>
            <w:shd w:val="clear" w:color="auto" w:fill="auto"/>
            <w:vAlign w:val="bottom"/>
          </w:tcPr>
          <w:p w14:paraId="71D47593" w14:textId="77777777" w:rsidR="006A3667" w:rsidRDefault="006A3667">
            <w:pPr>
              <w:rPr>
                <w:rFonts w:ascii="宋体"/>
              </w:rPr>
            </w:pPr>
          </w:p>
        </w:tc>
        <w:tc>
          <w:tcPr>
            <w:tcW w:w="529" w:type="pct"/>
            <w:shd w:val="clear" w:color="auto" w:fill="auto"/>
            <w:vAlign w:val="bottom"/>
          </w:tcPr>
          <w:p w14:paraId="71D47594" w14:textId="77777777" w:rsidR="006A3667" w:rsidRDefault="006A3667">
            <w:pPr>
              <w:rPr>
                <w:rFonts w:ascii="宋体"/>
              </w:rPr>
            </w:pPr>
          </w:p>
        </w:tc>
        <w:tc>
          <w:tcPr>
            <w:tcW w:w="5" w:type="pct"/>
            <w:shd w:val="clear" w:color="auto" w:fill="auto"/>
            <w:vAlign w:val="bottom"/>
          </w:tcPr>
          <w:p w14:paraId="71D47595" w14:textId="77777777" w:rsidR="006A3667" w:rsidRDefault="006A3667">
            <w:pPr>
              <w:rPr>
                <w:rFonts w:ascii="宋体"/>
              </w:rPr>
            </w:pPr>
          </w:p>
        </w:tc>
        <w:tc>
          <w:tcPr>
            <w:tcW w:w="5" w:type="pct"/>
            <w:shd w:val="clear" w:color="auto" w:fill="auto"/>
            <w:vAlign w:val="bottom"/>
          </w:tcPr>
          <w:p w14:paraId="71D47596" w14:textId="77777777" w:rsidR="006A3667" w:rsidRDefault="006A3667">
            <w:pPr>
              <w:rPr>
                <w:rFonts w:ascii="宋体"/>
              </w:rPr>
            </w:pPr>
          </w:p>
        </w:tc>
        <w:tc>
          <w:tcPr>
            <w:tcW w:w="26" w:type="pct"/>
            <w:shd w:val="clear" w:color="auto" w:fill="auto"/>
            <w:vAlign w:val="bottom"/>
          </w:tcPr>
          <w:p w14:paraId="71D47597" w14:textId="77777777" w:rsidR="006A3667" w:rsidRDefault="006A3667">
            <w:pPr>
              <w:rPr>
                <w:rFonts w:ascii="宋体"/>
              </w:rPr>
            </w:pPr>
          </w:p>
        </w:tc>
        <w:tc>
          <w:tcPr>
            <w:tcW w:w="5" w:type="pct"/>
            <w:shd w:val="clear" w:color="auto" w:fill="auto"/>
            <w:vAlign w:val="bottom"/>
          </w:tcPr>
          <w:p w14:paraId="71D47598" w14:textId="77777777" w:rsidR="006A3667" w:rsidRDefault="006A3667">
            <w:pPr>
              <w:rPr>
                <w:rFonts w:ascii="宋体"/>
              </w:rPr>
            </w:pPr>
          </w:p>
        </w:tc>
        <w:tc>
          <w:tcPr>
            <w:tcW w:w="50" w:type="pct"/>
            <w:shd w:val="clear" w:color="auto" w:fill="auto"/>
            <w:vAlign w:val="bottom"/>
          </w:tcPr>
          <w:p w14:paraId="71D47599" w14:textId="77777777" w:rsidR="006A3667" w:rsidRDefault="006A3667">
            <w:pPr>
              <w:rPr>
                <w:rFonts w:ascii="宋体"/>
              </w:rPr>
            </w:pPr>
          </w:p>
        </w:tc>
        <w:tc>
          <w:tcPr>
            <w:tcW w:w="529" w:type="pct"/>
            <w:shd w:val="clear" w:color="auto" w:fill="auto"/>
            <w:vAlign w:val="bottom"/>
          </w:tcPr>
          <w:p w14:paraId="71D4759A" w14:textId="77777777" w:rsidR="006A3667" w:rsidRDefault="006A3667">
            <w:pPr>
              <w:rPr>
                <w:rFonts w:ascii="宋体"/>
              </w:rPr>
            </w:pPr>
          </w:p>
        </w:tc>
        <w:tc>
          <w:tcPr>
            <w:tcW w:w="5" w:type="pct"/>
            <w:shd w:val="clear" w:color="auto" w:fill="auto"/>
            <w:vAlign w:val="bottom"/>
          </w:tcPr>
          <w:p w14:paraId="71D4759B" w14:textId="77777777" w:rsidR="006A3667" w:rsidRDefault="006A3667">
            <w:pPr>
              <w:rPr>
                <w:rFonts w:ascii="宋体"/>
              </w:rPr>
            </w:pPr>
          </w:p>
        </w:tc>
        <w:tc>
          <w:tcPr>
            <w:tcW w:w="5" w:type="pct"/>
            <w:shd w:val="clear" w:color="auto" w:fill="auto"/>
            <w:vAlign w:val="bottom"/>
          </w:tcPr>
          <w:p w14:paraId="71D4759C" w14:textId="77777777" w:rsidR="006A3667" w:rsidRDefault="006A3667">
            <w:pPr>
              <w:rPr>
                <w:rFonts w:ascii="宋体"/>
              </w:rPr>
            </w:pPr>
          </w:p>
        </w:tc>
        <w:tc>
          <w:tcPr>
            <w:tcW w:w="26" w:type="pct"/>
            <w:shd w:val="clear" w:color="auto" w:fill="auto"/>
            <w:vAlign w:val="bottom"/>
          </w:tcPr>
          <w:p w14:paraId="71D4759D" w14:textId="77777777" w:rsidR="006A3667" w:rsidRDefault="006A3667">
            <w:pPr>
              <w:rPr>
                <w:rFonts w:ascii="宋体"/>
              </w:rPr>
            </w:pPr>
          </w:p>
        </w:tc>
        <w:tc>
          <w:tcPr>
            <w:tcW w:w="5" w:type="pct"/>
            <w:shd w:val="clear" w:color="auto" w:fill="auto"/>
            <w:vAlign w:val="bottom"/>
          </w:tcPr>
          <w:p w14:paraId="71D4759E" w14:textId="77777777" w:rsidR="006A3667" w:rsidRDefault="006A3667">
            <w:pPr>
              <w:rPr>
                <w:rFonts w:ascii="宋体"/>
              </w:rPr>
            </w:pPr>
          </w:p>
        </w:tc>
        <w:tc>
          <w:tcPr>
            <w:tcW w:w="50" w:type="pct"/>
            <w:shd w:val="clear" w:color="auto" w:fill="auto"/>
            <w:vAlign w:val="bottom"/>
          </w:tcPr>
          <w:p w14:paraId="71D4759F" w14:textId="77777777" w:rsidR="006A3667" w:rsidRDefault="006A3667">
            <w:pPr>
              <w:rPr>
                <w:rFonts w:ascii="宋体"/>
              </w:rPr>
            </w:pPr>
          </w:p>
        </w:tc>
        <w:tc>
          <w:tcPr>
            <w:tcW w:w="529" w:type="pct"/>
            <w:shd w:val="clear" w:color="auto" w:fill="auto"/>
            <w:vAlign w:val="bottom"/>
          </w:tcPr>
          <w:p w14:paraId="71D475A0" w14:textId="77777777" w:rsidR="006A3667" w:rsidRDefault="006A3667">
            <w:pPr>
              <w:rPr>
                <w:rFonts w:ascii="宋体"/>
              </w:rPr>
            </w:pPr>
          </w:p>
        </w:tc>
        <w:tc>
          <w:tcPr>
            <w:tcW w:w="5" w:type="pct"/>
            <w:shd w:val="clear" w:color="auto" w:fill="auto"/>
            <w:vAlign w:val="bottom"/>
          </w:tcPr>
          <w:p w14:paraId="71D475A1" w14:textId="77777777" w:rsidR="006A3667" w:rsidRDefault="006A3667">
            <w:pPr>
              <w:rPr>
                <w:rFonts w:ascii="宋体"/>
              </w:rPr>
            </w:pPr>
          </w:p>
        </w:tc>
        <w:tc>
          <w:tcPr>
            <w:tcW w:w="5" w:type="pct"/>
            <w:shd w:val="clear" w:color="auto" w:fill="auto"/>
            <w:vAlign w:val="bottom"/>
          </w:tcPr>
          <w:p w14:paraId="71D475A2" w14:textId="77777777" w:rsidR="006A3667" w:rsidRDefault="006A3667">
            <w:pPr>
              <w:rPr>
                <w:rFonts w:ascii="宋体"/>
              </w:rPr>
            </w:pPr>
          </w:p>
        </w:tc>
        <w:tc>
          <w:tcPr>
            <w:tcW w:w="19" w:type="pct"/>
            <w:shd w:val="clear" w:color="auto" w:fill="auto"/>
            <w:vAlign w:val="bottom"/>
          </w:tcPr>
          <w:p w14:paraId="71D475A3" w14:textId="77777777" w:rsidR="006A3667" w:rsidRDefault="006A3667">
            <w:pPr>
              <w:rPr>
                <w:rFonts w:ascii="宋体"/>
              </w:rPr>
            </w:pPr>
          </w:p>
        </w:tc>
        <w:tc>
          <w:tcPr>
            <w:tcW w:w="5" w:type="pct"/>
            <w:shd w:val="clear" w:color="auto" w:fill="auto"/>
            <w:vAlign w:val="bottom"/>
          </w:tcPr>
          <w:p w14:paraId="71D475A4" w14:textId="77777777" w:rsidR="006A3667" w:rsidRDefault="006A3667">
            <w:pPr>
              <w:rPr>
                <w:rFonts w:ascii="宋体"/>
              </w:rPr>
            </w:pPr>
          </w:p>
        </w:tc>
        <w:tc>
          <w:tcPr>
            <w:tcW w:w="50" w:type="pct"/>
            <w:shd w:val="clear" w:color="auto" w:fill="auto"/>
            <w:vAlign w:val="bottom"/>
          </w:tcPr>
          <w:p w14:paraId="71D475A5" w14:textId="77777777" w:rsidR="006A3667" w:rsidRDefault="006A3667">
            <w:pPr>
              <w:rPr>
                <w:rFonts w:ascii="宋体"/>
              </w:rPr>
            </w:pPr>
          </w:p>
        </w:tc>
        <w:tc>
          <w:tcPr>
            <w:tcW w:w="529" w:type="pct"/>
            <w:shd w:val="clear" w:color="auto" w:fill="auto"/>
            <w:vAlign w:val="bottom"/>
          </w:tcPr>
          <w:p w14:paraId="71D475A6" w14:textId="77777777" w:rsidR="006A3667" w:rsidRDefault="006A3667">
            <w:pPr>
              <w:rPr>
                <w:rFonts w:ascii="宋体"/>
              </w:rPr>
            </w:pPr>
          </w:p>
        </w:tc>
        <w:tc>
          <w:tcPr>
            <w:tcW w:w="5" w:type="pct"/>
            <w:shd w:val="clear" w:color="auto" w:fill="auto"/>
            <w:vAlign w:val="bottom"/>
          </w:tcPr>
          <w:p w14:paraId="71D475A7" w14:textId="77777777" w:rsidR="006A3667" w:rsidRDefault="006A3667">
            <w:pPr>
              <w:rPr>
                <w:rFonts w:ascii="宋体"/>
              </w:rPr>
            </w:pPr>
          </w:p>
        </w:tc>
        <w:tc>
          <w:tcPr>
            <w:tcW w:w="5" w:type="pct"/>
            <w:shd w:val="clear" w:color="auto" w:fill="auto"/>
            <w:vAlign w:val="bottom"/>
          </w:tcPr>
          <w:p w14:paraId="71D475A8" w14:textId="77777777" w:rsidR="006A3667" w:rsidRDefault="006A3667">
            <w:pPr>
              <w:rPr>
                <w:rFonts w:ascii="宋体"/>
              </w:rPr>
            </w:pPr>
          </w:p>
        </w:tc>
        <w:tc>
          <w:tcPr>
            <w:tcW w:w="19" w:type="pct"/>
            <w:shd w:val="clear" w:color="auto" w:fill="auto"/>
            <w:vAlign w:val="bottom"/>
          </w:tcPr>
          <w:p w14:paraId="71D475A9" w14:textId="77777777" w:rsidR="006A3667" w:rsidRDefault="006A3667">
            <w:pPr>
              <w:rPr>
                <w:rFonts w:ascii="宋体"/>
              </w:rPr>
            </w:pPr>
          </w:p>
        </w:tc>
        <w:tc>
          <w:tcPr>
            <w:tcW w:w="5" w:type="pct"/>
            <w:shd w:val="clear" w:color="auto" w:fill="auto"/>
            <w:vAlign w:val="bottom"/>
          </w:tcPr>
          <w:p w14:paraId="71D475AA" w14:textId="77777777" w:rsidR="006A3667" w:rsidRDefault="006A3667">
            <w:pPr>
              <w:rPr>
                <w:rFonts w:ascii="宋体"/>
              </w:rPr>
            </w:pPr>
          </w:p>
        </w:tc>
      </w:tr>
      <w:tr w:rsidR="006A3667" w14:paraId="71D475B3" w14:textId="77777777">
        <w:tc>
          <w:tcPr>
            <w:tcW w:w="0" w:type="auto"/>
            <w:gridSpan w:val="3"/>
            <w:shd w:val="clear" w:color="auto" w:fill="auto"/>
            <w:tcMar>
              <w:top w:w="0" w:type="dxa"/>
              <w:left w:w="20" w:type="dxa"/>
              <w:bottom w:w="0" w:type="dxa"/>
              <w:right w:w="20" w:type="dxa"/>
            </w:tcMar>
            <w:vAlign w:val="bottom"/>
          </w:tcPr>
          <w:p w14:paraId="71D475A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A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AE"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5AF"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1D475B0"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5B1"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gridSpan w:val="3"/>
            <w:shd w:val="clear" w:color="auto" w:fill="auto"/>
            <w:tcMar>
              <w:top w:w="0" w:type="dxa"/>
              <w:left w:w="20" w:type="dxa"/>
              <w:bottom w:w="0" w:type="dxa"/>
              <w:right w:w="20" w:type="dxa"/>
            </w:tcMar>
            <w:vAlign w:val="bottom"/>
          </w:tcPr>
          <w:p w14:paraId="71D475B2" w14:textId="77777777" w:rsidR="006A3667" w:rsidRDefault="006A3667">
            <w:pPr>
              <w:rPr>
                <w:rFonts w:ascii="宋体"/>
              </w:rPr>
            </w:pPr>
          </w:p>
        </w:tc>
      </w:tr>
      <w:tr w:rsidR="006A3667" w14:paraId="71D475BF" w14:textId="77777777">
        <w:tc>
          <w:tcPr>
            <w:tcW w:w="0" w:type="auto"/>
            <w:gridSpan w:val="3"/>
            <w:shd w:val="clear" w:color="auto" w:fill="auto"/>
            <w:tcMar>
              <w:top w:w="0" w:type="dxa"/>
              <w:left w:w="20" w:type="dxa"/>
              <w:bottom w:w="0" w:type="dxa"/>
              <w:right w:w="20" w:type="dxa"/>
            </w:tcMar>
            <w:vAlign w:val="bottom"/>
          </w:tcPr>
          <w:p w14:paraId="71D475B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B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B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5B7"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B8"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5B9"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75BA"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5BB"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BC"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5BD"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75BE" w14:textId="77777777" w:rsidR="006A3667" w:rsidRDefault="006A3667">
            <w:pPr>
              <w:rPr>
                <w:rFonts w:ascii="宋体"/>
              </w:rPr>
            </w:pPr>
          </w:p>
        </w:tc>
      </w:tr>
      <w:tr w:rsidR="006A3667" w14:paraId="71D475C5" w14:textId="77777777">
        <w:tc>
          <w:tcPr>
            <w:tcW w:w="0" w:type="auto"/>
            <w:gridSpan w:val="3"/>
            <w:shd w:val="clear" w:color="auto" w:fill="auto"/>
            <w:tcMar>
              <w:top w:w="40" w:type="dxa"/>
              <w:left w:w="20" w:type="dxa"/>
              <w:bottom w:w="40" w:type="dxa"/>
              <w:right w:w="20" w:type="dxa"/>
            </w:tcMar>
            <w:vAlign w:val="bottom"/>
          </w:tcPr>
          <w:p w14:paraId="71D475C0"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75C1" w14:textId="77777777" w:rsidR="006A3667" w:rsidRDefault="00045F32">
            <w:pPr>
              <w:jc w:val="center"/>
              <w:textAlignment w:val="bottom"/>
            </w:pPr>
            <w:r>
              <w:rPr>
                <w:rFonts w:ascii="Arial" w:eastAsia="宋体" w:hAnsi="Arial" w:cs="Arial"/>
                <w:b/>
                <w:bCs/>
                <w:color w:val="000000"/>
                <w:sz w:val="14"/>
                <w:szCs w:val="14"/>
              </w:rPr>
              <w:t>Location of Gain (Loss) on</w:t>
            </w:r>
            <w:r>
              <w:rPr>
                <w:rFonts w:ascii="Arial" w:eastAsia="宋体" w:hAnsi="Arial" w:cs="Arial"/>
                <w:b/>
                <w:bCs/>
                <w:color w:val="000000"/>
                <w:sz w:val="14"/>
                <w:szCs w:val="14"/>
              </w:rPr>
              <w:br/>
              <w:t>Derivative in Consolidated</w:t>
            </w:r>
            <w:r>
              <w:rPr>
                <w:rFonts w:ascii="Arial" w:eastAsia="宋体" w:hAnsi="Arial" w:cs="Arial"/>
                <w:b/>
                <w:bCs/>
                <w:color w:val="000000"/>
                <w:sz w:val="14"/>
                <w:szCs w:val="14"/>
              </w:rPr>
              <w:br/>
              <w:t>Statement of Income</w:t>
            </w:r>
          </w:p>
        </w:tc>
        <w:tc>
          <w:tcPr>
            <w:tcW w:w="0" w:type="auto"/>
            <w:gridSpan w:val="3"/>
            <w:shd w:val="clear" w:color="auto" w:fill="auto"/>
            <w:tcMar>
              <w:top w:w="0" w:type="dxa"/>
              <w:left w:w="20" w:type="dxa"/>
              <w:bottom w:w="0" w:type="dxa"/>
              <w:right w:w="20" w:type="dxa"/>
            </w:tcMar>
            <w:vAlign w:val="bottom"/>
          </w:tcPr>
          <w:p w14:paraId="71D475C2" w14:textId="77777777" w:rsidR="006A3667" w:rsidRDefault="006A3667">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71D475C3" w14:textId="77777777" w:rsidR="006A3667" w:rsidRDefault="00045F32">
            <w:pPr>
              <w:jc w:val="center"/>
              <w:textAlignment w:val="bottom"/>
            </w:pPr>
            <w:r>
              <w:rPr>
                <w:rFonts w:ascii="Arial" w:eastAsia="宋体" w:hAnsi="Arial" w:cs="Arial"/>
                <w:b/>
                <w:bCs/>
                <w:color w:val="000000"/>
                <w:sz w:val="14"/>
                <w:szCs w:val="14"/>
              </w:rPr>
              <w:t>Amount of Gain (Loss) on Derivative Recognized in Consolidated Statement of Income</w:t>
            </w:r>
          </w:p>
        </w:tc>
        <w:tc>
          <w:tcPr>
            <w:tcW w:w="0" w:type="auto"/>
            <w:gridSpan w:val="3"/>
            <w:shd w:val="clear" w:color="auto" w:fill="auto"/>
            <w:tcMar>
              <w:top w:w="0" w:type="dxa"/>
              <w:left w:w="20" w:type="dxa"/>
              <w:bottom w:w="0" w:type="dxa"/>
              <w:right w:w="20" w:type="dxa"/>
            </w:tcMar>
            <w:vAlign w:val="bottom"/>
          </w:tcPr>
          <w:p w14:paraId="71D475C4" w14:textId="77777777" w:rsidR="006A3667" w:rsidRDefault="006A3667">
            <w:pPr>
              <w:rPr>
                <w:rFonts w:ascii="宋体"/>
              </w:rPr>
            </w:pPr>
          </w:p>
        </w:tc>
      </w:tr>
      <w:tr w:rsidR="006A3667" w14:paraId="71D475D1" w14:textId="77777777">
        <w:tc>
          <w:tcPr>
            <w:tcW w:w="0" w:type="auto"/>
            <w:gridSpan w:val="3"/>
            <w:shd w:val="clear" w:color="auto" w:fill="auto"/>
            <w:tcMar>
              <w:top w:w="40" w:type="dxa"/>
              <w:left w:w="20" w:type="dxa"/>
              <w:bottom w:w="40" w:type="dxa"/>
              <w:right w:w="20" w:type="dxa"/>
            </w:tcMar>
            <w:vAlign w:val="bottom"/>
          </w:tcPr>
          <w:p w14:paraId="71D475C6" w14:textId="77777777" w:rsidR="006A3667" w:rsidRDefault="00045F32">
            <w:pPr>
              <w:textAlignment w:val="bottom"/>
            </w:pPr>
            <w:r>
              <w:rPr>
                <w:rFonts w:ascii="Arial" w:eastAsia="宋体" w:hAnsi="Arial" w:cs="Arial"/>
                <w:b/>
                <w:bCs/>
                <w:color w:val="000000"/>
                <w:sz w:val="14"/>
                <w:szCs w:val="14"/>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C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C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C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C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C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C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C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C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5C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5D0" w14:textId="77777777" w:rsidR="006A3667" w:rsidRDefault="006A3667">
            <w:pPr>
              <w:rPr>
                <w:rFonts w:ascii="宋体"/>
              </w:rPr>
            </w:pPr>
          </w:p>
        </w:tc>
      </w:tr>
      <w:tr w:rsidR="006A3667" w14:paraId="71D475E5" w14:textId="77777777">
        <w:tc>
          <w:tcPr>
            <w:tcW w:w="0" w:type="auto"/>
            <w:gridSpan w:val="3"/>
            <w:shd w:val="clear" w:color="auto" w:fill="CCEEFF"/>
            <w:tcMar>
              <w:top w:w="40" w:type="dxa"/>
              <w:left w:w="20" w:type="dxa"/>
              <w:bottom w:w="40" w:type="dxa"/>
              <w:right w:w="20" w:type="dxa"/>
            </w:tcMar>
            <w:vAlign w:val="bottom"/>
          </w:tcPr>
          <w:p w14:paraId="71D475D2" w14:textId="77777777" w:rsidR="006A3667" w:rsidRDefault="00045F32">
            <w:pPr>
              <w:textAlignment w:val="bottom"/>
            </w:pPr>
            <w:r>
              <w:rPr>
                <w:rFonts w:ascii="Arial" w:eastAsia="宋体" w:hAnsi="Arial" w:cs="Arial"/>
                <w:color w:val="000000"/>
                <w:sz w:val="14"/>
                <w:szCs w:val="14"/>
              </w:rPr>
              <w:t xml:space="preserve">Foreign exchange </w:t>
            </w:r>
            <w:r>
              <w:rPr>
                <w:rFonts w:ascii="Arial" w:eastAsia="宋体" w:hAnsi="Arial" w:cs="Arial"/>
                <w:color w:val="000000"/>
                <w:sz w:val="14"/>
                <w:szCs w:val="14"/>
              </w:rPr>
              <w:t>contracts</w:t>
            </w:r>
          </w:p>
        </w:tc>
        <w:tc>
          <w:tcPr>
            <w:tcW w:w="0" w:type="auto"/>
            <w:gridSpan w:val="3"/>
            <w:shd w:val="clear" w:color="auto" w:fill="CCEEFF"/>
            <w:tcMar>
              <w:top w:w="40" w:type="dxa"/>
              <w:left w:w="20" w:type="dxa"/>
              <w:bottom w:w="40" w:type="dxa"/>
              <w:right w:w="20" w:type="dxa"/>
            </w:tcMar>
            <w:vAlign w:val="bottom"/>
          </w:tcPr>
          <w:p w14:paraId="71D475D3" w14:textId="77777777" w:rsidR="006A3667" w:rsidRDefault="00045F32">
            <w:pPr>
              <w:textAlignment w:val="bottom"/>
            </w:pPr>
            <w:r>
              <w:rPr>
                <w:rFonts w:ascii="Arial" w:eastAsia="宋体" w:hAnsi="Arial" w:cs="Arial"/>
                <w:color w:val="000000"/>
                <w:sz w:val="14"/>
                <w:szCs w:val="14"/>
              </w:rPr>
              <w:t>Foreign exchange trading services revenue</w:t>
            </w:r>
          </w:p>
        </w:tc>
        <w:tc>
          <w:tcPr>
            <w:tcW w:w="0" w:type="auto"/>
            <w:gridSpan w:val="3"/>
            <w:shd w:val="clear" w:color="auto" w:fill="CCEEFF"/>
            <w:tcMar>
              <w:top w:w="0" w:type="dxa"/>
              <w:left w:w="20" w:type="dxa"/>
              <w:bottom w:w="0" w:type="dxa"/>
              <w:right w:w="20" w:type="dxa"/>
            </w:tcMar>
            <w:vAlign w:val="bottom"/>
          </w:tcPr>
          <w:p w14:paraId="71D475D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5D5"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5D6" w14:textId="77777777" w:rsidR="006A3667" w:rsidRDefault="00045F32">
            <w:pPr>
              <w:jc w:val="right"/>
              <w:textAlignment w:val="bottom"/>
            </w:pPr>
            <w:r>
              <w:rPr>
                <w:rFonts w:ascii="Arial" w:eastAsia="宋体" w:hAnsi="Arial" w:cs="Arial"/>
                <w:b/>
                <w:bCs/>
                <w:color w:val="000000"/>
                <w:sz w:val="14"/>
                <w:szCs w:val="14"/>
              </w:rPr>
              <w:t>207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5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D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5D9"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5DA" w14:textId="77777777" w:rsidR="006A3667" w:rsidRDefault="00045F32">
            <w:pPr>
              <w:jc w:val="right"/>
              <w:textAlignment w:val="bottom"/>
            </w:pPr>
            <w:r>
              <w:rPr>
                <w:rFonts w:ascii="Arial" w:eastAsia="宋体" w:hAnsi="Arial" w:cs="Arial"/>
                <w:color w:val="000000"/>
                <w:sz w:val="14"/>
                <w:szCs w:val="14"/>
              </w:rPr>
              <w:t>186 </w:t>
            </w:r>
          </w:p>
        </w:tc>
        <w:tc>
          <w:tcPr>
            <w:tcW w:w="0" w:type="auto"/>
            <w:shd w:val="clear" w:color="auto" w:fill="CCEEFF"/>
            <w:tcMar>
              <w:top w:w="40" w:type="dxa"/>
              <w:left w:w="0" w:type="dxa"/>
              <w:bottom w:w="40" w:type="dxa"/>
              <w:right w:w="20" w:type="dxa"/>
            </w:tcMar>
            <w:vAlign w:val="bottom"/>
          </w:tcPr>
          <w:p w14:paraId="71D475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D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5DD"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75DE" w14:textId="77777777" w:rsidR="006A3667" w:rsidRDefault="00045F32">
            <w:pPr>
              <w:jc w:val="right"/>
              <w:textAlignment w:val="bottom"/>
            </w:pPr>
            <w:r>
              <w:rPr>
                <w:rFonts w:ascii="Arial" w:eastAsia="宋体" w:hAnsi="Arial" w:cs="Arial"/>
                <w:b/>
                <w:bCs/>
                <w:color w:val="000000"/>
                <w:sz w:val="14"/>
                <w:szCs w:val="14"/>
              </w:rPr>
              <w:t>676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5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E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5E1"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75E2" w14:textId="77777777" w:rsidR="006A3667" w:rsidRDefault="00045F32">
            <w:pPr>
              <w:jc w:val="right"/>
              <w:textAlignment w:val="bottom"/>
            </w:pPr>
            <w:r>
              <w:rPr>
                <w:rFonts w:ascii="Arial" w:eastAsia="宋体" w:hAnsi="Arial" w:cs="Arial"/>
                <w:color w:val="000000"/>
                <w:sz w:val="14"/>
                <w:szCs w:val="14"/>
              </w:rPr>
              <w:t>617 </w:t>
            </w:r>
          </w:p>
        </w:tc>
        <w:tc>
          <w:tcPr>
            <w:tcW w:w="0" w:type="auto"/>
            <w:shd w:val="clear" w:color="auto" w:fill="CCEEFF"/>
            <w:tcMar>
              <w:top w:w="40" w:type="dxa"/>
              <w:left w:w="0" w:type="dxa"/>
              <w:bottom w:w="40" w:type="dxa"/>
              <w:right w:w="20" w:type="dxa"/>
            </w:tcMar>
            <w:vAlign w:val="bottom"/>
          </w:tcPr>
          <w:p w14:paraId="71D475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5E4" w14:textId="77777777" w:rsidR="006A3667" w:rsidRDefault="006A3667">
            <w:pPr>
              <w:rPr>
                <w:rFonts w:ascii="宋体"/>
              </w:rPr>
            </w:pPr>
          </w:p>
        </w:tc>
      </w:tr>
      <w:tr w:rsidR="006A3667" w14:paraId="71D475F1" w14:textId="77777777">
        <w:trPr>
          <w:hidden/>
        </w:trPr>
        <w:tc>
          <w:tcPr>
            <w:tcW w:w="0" w:type="auto"/>
            <w:gridSpan w:val="3"/>
            <w:shd w:val="clear" w:color="auto" w:fill="auto"/>
            <w:vAlign w:val="bottom"/>
          </w:tcPr>
          <w:p w14:paraId="71D475E6" w14:textId="77777777" w:rsidR="006A3667" w:rsidRDefault="006A3667">
            <w:pPr>
              <w:rPr>
                <w:rFonts w:ascii="宋体"/>
                <w:vanish/>
              </w:rPr>
            </w:pPr>
          </w:p>
        </w:tc>
        <w:tc>
          <w:tcPr>
            <w:tcW w:w="0" w:type="auto"/>
            <w:gridSpan w:val="3"/>
            <w:shd w:val="clear" w:color="auto" w:fill="auto"/>
            <w:vAlign w:val="bottom"/>
          </w:tcPr>
          <w:p w14:paraId="71D475E7" w14:textId="77777777" w:rsidR="006A3667" w:rsidRDefault="006A3667">
            <w:pPr>
              <w:rPr>
                <w:rFonts w:ascii="宋体"/>
                <w:vanish/>
              </w:rPr>
            </w:pPr>
          </w:p>
        </w:tc>
        <w:tc>
          <w:tcPr>
            <w:tcW w:w="0" w:type="auto"/>
            <w:gridSpan w:val="3"/>
            <w:shd w:val="clear" w:color="auto" w:fill="auto"/>
            <w:vAlign w:val="bottom"/>
          </w:tcPr>
          <w:p w14:paraId="71D475E8" w14:textId="77777777" w:rsidR="006A3667" w:rsidRDefault="006A3667">
            <w:pPr>
              <w:rPr>
                <w:rFonts w:ascii="宋体"/>
                <w:vanish/>
              </w:rPr>
            </w:pPr>
          </w:p>
        </w:tc>
        <w:tc>
          <w:tcPr>
            <w:tcW w:w="0" w:type="auto"/>
            <w:gridSpan w:val="3"/>
            <w:shd w:val="clear" w:color="auto" w:fill="auto"/>
            <w:vAlign w:val="bottom"/>
          </w:tcPr>
          <w:p w14:paraId="71D475E9" w14:textId="77777777" w:rsidR="006A3667" w:rsidRDefault="006A3667">
            <w:pPr>
              <w:rPr>
                <w:rFonts w:ascii="宋体"/>
                <w:vanish/>
              </w:rPr>
            </w:pPr>
          </w:p>
        </w:tc>
        <w:tc>
          <w:tcPr>
            <w:tcW w:w="0" w:type="auto"/>
            <w:gridSpan w:val="3"/>
            <w:shd w:val="clear" w:color="auto" w:fill="auto"/>
            <w:vAlign w:val="bottom"/>
          </w:tcPr>
          <w:p w14:paraId="71D475EA" w14:textId="77777777" w:rsidR="006A3667" w:rsidRDefault="006A3667">
            <w:pPr>
              <w:rPr>
                <w:rFonts w:ascii="宋体"/>
                <w:vanish/>
              </w:rPr>
            </w:pPr>
          </w:p>
        </w:tc>
        <w:tc>
          <w:tcPr>
            <w:tcW w:w="0" w:type="auto"/>
            <w:gridSpan w:val="3"/>
            <w:shd w:val="clear" w:color="auto" w:fill="auto"/>
            <w:vAlign w:val="bottom"/>
          </w:tcPr>
          <w:p w14:paraId="71D475EB" w14:textId="77777777" w:rsidR="006A3667" w:rsidRDefault="006A3667">
            <w:pPr>
              <w:rPr>
                <w:rFonts w:ascii="宋体"/>
                <w:vanish/>
              </w:rPr>
            </w:pPr>
          </w:p>
        </w:tc>
        <w:tc>
          <w:tcPr>
            <w:tcW w:w="0" w:type="auto"/>
            <w:gridSpan w:val="3"/>
            <w:shd w:val="clear" w:color="auto" w:fill="auto"/>
            <w:vAlign w:val="bottom"/>
          </w:tcPr>
          <w:p w14:paraId="71D475EC" w14:textId="77777777" w:rsidR="006A3667" w:rsidRDefault="006A3667">
            <w:pPr>
              <w:rPr>
                <w:rFonts w:ascii="宋体"/>
                <w:vanish/>
              </w:rPr>
            </w:pPr>
          </w:p>
        </w:tc>
        <w:tc>
          <w:tcPr>
            <w:tcW w:w="0" w:type="auto"/>
            <w:gridSpan w:val="3"/>
            <w:shd w:val="clear" w:color="auto" w:fill="auto"/>
            <w:vAlign w:val="bottom"/>
          </w:tcPr>
          <w:p w14:paraId="71D475ED" w14:textId="77777777" w:rsidR="006A3667" w:rsidRDefault="006A3667">
            <w:pPr>
              <w:rPr>
                <w:rFonts w:ascii="宋体"/>
                <w:vanish/>
              </w:rPr>
            </w:pPr>
          </w:p>
        </w:tc>
        <w:tc>
          <w:tcPr>
            <w:tcW w:w="0" w:type="auto"/>
            <w:gridSpan w:val="3"/>
            <w:shd w:val="clear" w:color="auto" w:fill="auto"/>
            <w:vAlign w:val="bottom"/>
          </w:tcPr>
          <w:p w14:paraId="71D475EE" w14:textId="77777777" w:rsidR="006A3667" w:rsidRDefault="006A3667">
            <w:pPr>
              <w:rPr>
                <w:rFonts w:ascii="宋体"/>
                <w:vanish/>
              </w:rPr>
            </w:pPr>
          </w:p>
        </w:tc>
        <w:tc>
          <w:tcPr>
            <w:tcW w:w="0" w:type="auto"/>
            <w:gridSpan w:val="3"/>
            <w:shd w:val="clear" w:color="auto" w:fill="auto"/>
            <w:vAlign w:val="bottom"/>
          </w:tcPr>
          <w:p w14:paraId="71D475EF" w14:textId="77777777" w:rsidR="006A3667" w:rsidRDefault="006A3667">
            <w:pPr>
              <w:rPr>
                <w:rFonts w:ascii="宋体"/>
                <w:vanish/>
              </w:rPr>
            </w:pPr>
          </w:p>
        </w:tc>
        <w:tc>
          <w:tcPr>
            <w:tcW w:w="0" w:type="auto"/>
            <w:gridSpan w:val="3"/>
            <w:shd w:val="clear" w:color="auto" w:fill="auto"/>
            <w:vAlign w:val="bottom"/>
          </w:tcPr>
          <w:p w14:paraId="71D475F0" w14:textId="77777777" w:rsidR="006A3667" w:rsidRDefault="006A3667">
            <w:pPr>
              <w:rPr>
                <w:rFonts w:ascii="宋体"/>
                <w:vanish/>
              </w:rPr>
            </w:pPr>
          </w:p>
        </w:tc>
      </w:tr>
      <w:tr w:rsidR="006A3667" w14:paraId="71D47601" w14:textId="77777777">
        <w:tc>
          <w:tcPr>
            <w:tcW w:w="0" w:type="auto"/>
            <w:gridSpan w:val="3"/>
            <w:shd w:val="clear" w:color="auto" w:fill="FFFFFF"/>
            <w:tcMar>
              <w:top w:w="40" w:type="dxa"/>
              <w:left w:w="20" w:type="dxa"/>
              <w:bottom w:w="40" w:type="dxa"/>
              <w:right w:w="20" w:type="dxa"/>
            </w:tcMar>
            <w:vAlign w:val="bottom"/>
          </w:tcPr>
          <w:p w14:paraId="71D475F2" w14:textId="77777777" w:rsidR="006A3667" w:rsidRDefault="00045F32">
            <w:pPr>
              <w:textAlignment w:val="bottom"/>
            </w:pPr>
            <w:r>
              <w:rPr>
                <w:rFonts w:ascii="Arial" w:eastAsia="宋体" w:hAnsi="Arial" w:cs="Arial"/>
                <w:color w:val="000000"/>
                <w:sz w:val="14"/>
                <w:szCs w:val="14"/>
              </w:rPr>
              <w:t xml:space="preserve">Foreign exchange </w:t>
            </w:r>
            <w:r>
              <w:rPr>
                <w:rFonts w:ascii="Arial" w:eastAsia="宋体" w:hAnsi="Arial" w:cs="Arial"/>
                <w:color w:val="000000"/>
                <w:sz w:val="14"/>
                <w:szCs w:val="14"/>
              </w:rPr>
              <w:t>contracts</w:t>
            </w:r>
          </w:p>
        </w:tc>
        <w:tc>
          <w:tcPr>
            <w:tcW w:w="0" w:type="auto"/>
            <w:gridSpan w:val="3"/>
            <w:shd w:val="clear" w:color="auto" w:fill="FFFFFF"/>
            <w:tcMar>
              <w:top w:w="40" w:type="dxa"/>
              <w:left w:w="20" w:type="dxa"/>
              <w:bottom w:w="40" w:type="dxa"/>
              <w:right w:w="20" w:type="dxa"/>
            </w:tcMar>
            <w:vAlign w:val="bottom"/>
          </w:tcPr>
          <w:p w14:paraId="71D475F3" w14:textId="77777777" w:rsidR="006A3667" w:rsidRDefault="00045F32">
            <w:pPr>
              <w:textAlignment w:val="bottom"/>
            </w:pPr>
            <w:r>
              <w:rPr>
                <w:rFonts w:ascii="Arial" w:eastAsia="宋体" w:hAnsi="Arial" w:cs="Arial"/>
                <w:color w:val="000000"/>
                <w:sz w:val="14"/>
                <w:szCs w:val="14"/>
              </w:rPr>
              <w:t>Interest expense</w:t>
            </w:r>
          </w:p>
        </w:tc>
        <w:tc>
          <w:tcPr>
            <w:tcW w:w="0" w:type="auto"/>
            <w:gridSpan w:val="3"/>
            <w:shd w:val="clear" w:color="auto" w:fill="FFFFFF"/>
            <w:tcMar>
              <w:top w:w="0" w:type="dxa"/>
              <w:left w:w="20" w:type="dxa"/>
              <w:bottom w:w="0" w:type="dxa"/>
              <w:right w:w="20" w:type="dxa"/>
            </w:tcMar>
            <w:vAlign w:val="bottom"/>
          </w:tcPr>
          <w:p w14:paraId="71D475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F5" w14:textId="77777777" w:rsidR="006A3667" w:rsidRDefault="00045F32">
            <w:pPr>
              <w:jc w:val="right"/>
              <w:textAlignment w:val="bottom"/>
            </w:pPr>
            <w:r>
              <w:rPr>
                <w:rFonts w:ascii="Arial" w:eastAsia="宋体" w:hAnsi="Arial" w:cs="Arial"/>
                <w:b/>
                <w:bCs/>
                <w:color w:val="000000"/>
                <w:sz w:val="14"/>
                <w:szCs w:val="14"/>
              </w:rPr>
              <w:t>(16)</w:t>
            </w:r>
          </w:p>
        </w:tc>
        <w:tc>
          <w:tcPr>
            <w:tcW w:w="0" w:type="auto"/>
            <w:shd w:val="clear" w:color="auto" w:fill="FFFFFF"/>
            <w:tcMar>
              <w:top w:w="40" w:type="dxa"/>
              <w:left w:w="0" w:type="dxa"/>
              <w:bottom w:w="40" w:type="dxa"/>
              <w:right w:w="20" w:type="dxa"/>
            </w:tcMar>
            <w:vAlign w:val="bottom"/>
          </w:tcPr>
          <w:p w14:paraId="71D475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F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F8" w14:textId="77777777" w:rsidR="006A3667" w:rsidRDefault="00045F32">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71D475F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F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F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75F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5F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5FE" w14:textId="77777777" w:rsidR="006A3667" w:rsidRDefault="00045F32">
            <w:pPr>
              <w:jc w:val="right"/>
              <w:textAlignment w:val="bottom"/>
            </w:pPr>
            <w:r>
              <w:rPr>
                <w:rFonts w:ascii="Arial" w:eastAsia="宋体" w:hAnsi="Arial" w:cs="Arial"/>
                <w:color w:val="000000"/>
                <w:sz w:val="14"/>
                <w:szCs w:val="14"/>
              </w:rPr>
              <w:t>53 </w:t>
            </w:r>
          </w:p>
        </w:tc>
        <w:tc>
          <w:tcPr>
            <w:tcW w:w="0" w:type="auto"/>
            <w:shd w:val="clear" w:color="auto" w:fill="FFFFFF"/>
            <w:tcMar>
              <w:top w:w="40" w:type="dxa"/>
              <w:left w:w="0" w:type="dxa"/>
              <w:bottom w:w="40" w:type="dxa"/>
              <w:right w:w="20" w:type="dxa"/>
            </w:tcMar>
            <w:vAlign w:val="bottom"/>
          </w:tcPr>
          <w:p w14:paraId="71D475F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600" w14:textId="77777777" w:rsidR="006A3667" w:rsidRDefault="006A3667">
            <w:pPr>
              <w:rPr>
                <w:rFonts w:ascii="宋体"/>
              </w:rPr>
            </w:pPr>
          </w:p>
        </w:tc>
      </w:tr>
      <w:tr w:rsidR="006A3667" w14:paraId="71D47611" w14:textId="77777777">
        <w:tc>
          <w:tcPr>
            <w:tcW w:w="0" w:type="auto"/>
            <w:gridSpan w:val="3"/>
            <w:shd w:val="clear" w:color="auto" w:fill="CCEEFF"/>
            <w:tcMar>
              <w:top w:w="40" w:type="dxa"/>
              <w:left w:w="20" w:type="dxa"/>
              <w:bottom w:w="40" w:type="dxa"/>
              <w:right w:w="20" w:type="dxa"/>
            </w:tcMar>
            <w:vAlign w:val="bottom"/>
          </w:tcPr>
          <w:p w14:paraId="71D47602" w14:textId="77777777" w:rsidR="006A3667" w:rsidRDefault="00045F32">
            <w:pPr>
              <w:textAlignment w:val="bottom"/>
            </w:pPr>
            <w:r>
              <w:rPr>
                <w:rFonts w:ascii="Arial" w:eastAsia="宋体" w:hAnsi="Arial" w:cs="Arial"/>
                <w:color w:val="000000"/>
                <w:sz w:val="14"/>
                <w:szCs w:val="14"/>
              </w:rPr>
              <w:t>Interest rate contracts</w:t>
            </w:r>
          </w:p>
        </w:tc>
        <w:tc>
          <w:tcPr>
            <w:tcW w:w="0" w:type="auto"/>
            <w:gridSpan w:val="3"/>
            <w:shd w:val="clear" w:color="auto" w:fill="CCEEFF"/>
            <w:tcMar>
              <w:top w:w="40" w:type="dxa"/>
              <w:left w:w="20" w:type="dxa"/>
              <w:bottom w:w="40" w:type="dxa"/>
              <w:right w:w="20" w:type="dxa"/>
            </w:tcMar>
            <w:vAlign w:val="bottom"/>
          </w:tcPr>
          <w:p w14:paraId="71D47603" w14:textId="77777777" w:rsidR="006A3667" w:rsidRDefault="00045F32">
            <w:pPr>
              <w:textAlignment w:val="bottom"/>
            </w:pPr>
            <w:r>
              <w:rPr>
                <w:rFonts w:ascii="Arial" w:eastAsia="宋体" w:hAnsi="Arial" w:cs="Arial"/>
                <w:color w:val="000000"/>
                <w:sz w:val="14"/>
                <w:szCs w:val="14"/>
              </w:rPr>
              <w:t>Foreign exchange trading services revenue</w:t>
            </w:r>
          </w:p>
        </w:tc>
        <w:tc>
          <w:tcPr>
            <w:tcW w:w="0" w:type="auto"/>
            <w:gridSpan w:val="3"/>
            <w:shd w:val="clear" w:color="auto" w:fill="CCEEFF"/>
            <w:tcMar>
              <w:top w:w="0" w:type="dxa"/>
              <w:left w:w="20" w:type="dxa"/>
              <w:bottom w:w="0" w:type="dxa"/>
              <w:right w:w="20" w:type="dxa"/>
            </w:tcMar>
            <w:vAlign w:val="bottom"/>
          </w:tcPr>
          <w:p w14:paraId="71D4760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60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6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60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6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0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60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760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0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60E"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4760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10" w14:textId="77777777" w:rsidR="006A3667" w:rsidRDefault="006A3667">
            <w:pPr>
              <w:rPr>
                <w:rFonts w:ascii="宋体"/>
              </w:rPr>
            </w:pPr>
          </w:p>
        </w:tc>
      </w:tr>
      <w:tr w:rsidR="006A3667" w14:paraId="71D4761D" w14:textId="77777777">
        <w:trPr>
          <w:hidden/>
        </w:trPr>
        <w:tc>
          <w:tcPr>
            <w:tcW w:w="0" w:type="auto"/>
            <w:gridSpan w:val="3"/>
            <w:shd w:val="clear" w:color="auto" w:fill="auto"/>
            <w:vAlign w:val="bottom"/>
          </w:tcPr>
          <w:p w14:paraId="71D47612" w14:textId="77777777" w:rsidR="006A3667" w:rsidRDefault="006A3667">
            <w:pPr>
              <w:rPr>
                <w:rFonts w:ascii="宋体"/>
                <w:vanish/>
              </w:rPr>
            </w:pPr>
          </w:p>
        </w:tc>
        <w:tc>
          <w:tcPr>
            <w:tcW w:w="0" w:type="auto"/>
            <w:gridSpan w:val="3"/>
            <w:shd w:val="clear" w:color="auto" w:fill="auto"/>
            <w:vAlign w:val="bottom"/>
          </w:tcPr>
          <w:p w14:paraId="71D47613" w14:textId="77777777" w:rsidR="006A3667" w:rsidRDefault="006A3667">
            <w:pPr>
              <w:rPr>
                <w:rFonts w:ascii="宋体"/>
                <w:vanish/>
              </w:rPr>
            </w:pPr>
          </w:p>
        </w:tc>
        <w:tc>
          <w:tcPr>
            <w:tcW w:w="0" w:type="auto"/>
            <w:gridSpan w:val="3"/>
            <w:shd w:val="clear" w:color="auto" w:fill="auto"/>
            <w:vAlign w:val="bottom"/>
          </w:tcPr>
          <w:p w14:paraId="71D47614" w14:textId="77777777" w:rsidR="006A3667" w:rsidRDefault="006A3667">
            <w:pPr>
              <w:rPr>
                <w:rFonts w:ascii="宋体"/>
                <w:vanish/>
              </w:rPr>
            </w:pPr>
          </w:p>
        </w:tc>
        <w:tc>
          <w:tcPr>
            <w:tcW w:w="0" w:type="auto"/>
            <w:gridSpan w:val="3"/>
            <w:shd w:val="clear" w:color="auto" w:fill="auto"/>
            <w:vAlign w:val="bottom"/>
          </w:tcPr>
          <w:p w14:paraId="71D47615" w14:textId="77777777" w:rsidR="006A3667" w:rsidRDefault="006A3667">
            <w:pPr>
              <w:rPr>
                <w:rFonts w:ascii="宋体"/>
                <w:vanish/>
              </w:rPr>
            </w:pPr>
          </w:p>
        </w:tc>
        <w:tc>
          <w:tcPr>
            <w:tcW w:w="0" w:type="auto"/>
            <w:gridSpan w:val="3"/>
            <w:shd w:val="clear" w:color="auto" w:fill="auto"/>
            <w:vAlign w:val="bottom"/>
          </w:tcPr>
          <w:p w14:paraId="71D47616" w14:textId="77777777" w:rsidR="006A3667" w:rsidRDefault="006A3667">
            <w:pPr>
              <w:rPr>
                <w:rFonts w:ascii="宋体"/>
                <w:vanish/>
              </w:rPr>
            </w:pPr>
          </w:p>
        </w:tc>
        <w:tc>
          <w:tcPr>
            <w:tcW w:w="0" w:type="auto"/>
            <w:gridSpan w:val="3"/>
            <w:shd w:val="clear" w:color="auto" w:fill="auto"/>
            <w:vAlign w:val="bottom"/>
          </w:tcPr>
          <w:p w14:paraId="71D47617" w14:textId="77777777" w:rsidR="006A3667" w:rsidRDefault="006A3667">
            <w:pPr>
              <w:rPr>
                <w:rFonts w:ascii="宋体"/>
                <w:vanish/>
              </w:rPr>
            </w:pPr>
          </w:p>
        </w:tc>
        <w:tc>
          <w:tcPr>
            <w:tcW w:w="0" w:type="auto"/>
            <w:gridSpan w:val="3"/>
            <w:shd w:val="clear" w:color="auto" w:fill="auto"/>
            <w:vAlign w:val="bottom"/>
          </w:tcPr>
          <w:p w14:paraId="71D47618" w14:textId="77777777" w:rsidR="006A3667" w:rsidRDefault="006A3667">
            <w:pPr>
              <w:rPr>
                <w:rFonts w:ascii="宋体"/>
                <w:vanish/>
              </w:rPr>
            </w:pPr>
          </w:p>
        </w:tc>
        <w:tc>
          <w:tcPr>
            <w:tcW w:w="0" w:type="auto"/>
            <w:gridSpan w:val="3"/>
            <w:shd w:val="clear" w:color="auto" w:fill="auto"/>
            <w:vAlign w:val="bottom"/>
          </w:tcPr>
          <w:p w14:paraId="71D47619" w14:textId="77777777" w:rsidR="006A3667" w:rsidRDefault="006A3667">
            <w:pPr>
              <w:rPr>
                <w:rFonts w:ascii="宋体"/>
                <w:vanish/>
              </w:rPr>
            </w:pPr>
          </w:p>
        </w:tc>
        <w:tc>
          <w:tcPr>
            <w:tcW w:w="0" w:type="auto"/>
            <w:gridSpan w:val="3"/>
            <w:shd w:val="clear" w:color="auto" w:fill="auto"/>
            <w:vAlign w:val="bottom"/>
          </w:tcPr>
          <w:p w14:paraId="71D4761A" w14:textId="77777777" w:rsidR="006A3667" w:rsidRDefault="006A3667">
            <w:pPr>
              <w:rPr>
                <w:rFonts w:ascii="宋体"/>
                <w:vanish/>
              </w:rPr>
            </w:pPr>
          </w:p>
        </w:tc>
        <w:tc>
          <w:tcPr>
            <w:tcW w:w="0" w:type="auto"/>
            <w:gridSpan w:val="3"/>
            <w:shd w:val="clear" w:color="auto" w:fill="auto"/>
            <w:vAlign w:val="bottom"/>
          </w:tcPr>
          <w:p w14:paraId="71D4761B" w14:textId="77777777" w:rsidR="006A3667" w:rsidRDefault="006A3667">
            <w:pPr>
              <w:rPr>
                <w:rFonts w:ascii="宋体"/>
                <w:vanish/>
              </w:rPr>
            </w:pPr>
          </w:p>
        </w:tc>
        <w:tc>
          <w:tcPr>
            <w:tcW w:w="0" w:type="auto"/>
            <w:gridSpan w:val="3"/>
            <w:shd w:val="clear" w:color="auto" w:fill="auto"/>
            <w:vAlign w:val="bottom"/>
          </w:tcPr>
          <w:p w14:paraId="71D4761C" w14:textId="77777777" w:rsidR="006A3667" w:rsidRDefault="006A3667">
            <w:pPr>
              <w:rPr>
                <w:rFonts w:ascii="宋体"/>
                <w:vanish/>
              </w:rPr>
            </w:pPr>
          </w:p>
        </w:tc>
      </w:tr>
      <w:tr w:rsidR="006A3667" w14:paraId="71D47629" w14:textId="77777777">
        <w:trPr>
          <w:hidden/>
        </w:trPr>
        <w:tc>
          <w:tcPr>
            <w:tcW w:w="0" w:type="auto"/>
            <w:gridSpan w:val="3"/>
            <w:shd w:val="clear" w:color="auto" w:fill="auto"/>
            <w:vAlign w:val="bottom"/>
          </w:tcPr>
          <w:p w14:paraId="71D4761E" w14:textId="77777777" w:rsidR="006A3667" w:rsidRDefault="006A3667">
            <w:pPr>
              <w:rPr>
                <w:rFonts w:ascii="宋体"/>
                <w:vanish/>
              </w:rPr>
            </w:pPr>
          </w:p>
        </w:tc>
        <w:tc>
          <w:tcPr>
            <w:tcW w:w="0" w:type="auto"/>
            <w:gridSpan w:val="3"/>
            <w:shd w:val="clear" w:color="auto" w:fill="auto"/>
            <w:vAlign w:val="bottom"/>
          </w:tcPr>
          <w:p w14:paraId="71D4761F" w14:textId="77777777" w:rsidR="006A3667" w:rsidRDefault="006A3667">
            <w:pPr>
              <w:rPr>
                <w:rFonts w:ascii="宋体"/>
                <w:vanish/>
              </w:rPr>
            </w:pPr>
          </w:p>
        </w:tc>
        <w:tc>
          <w:tcPr>
            <w:tcW w:w="0" w:type="auto"/>
            <w:gridSpan w:val="3"/>
            <w:shd w:val="clear" w:color="auto" w:fill="auto"/>
            <w:vAlign w:val="bottom"/>
          </w:tcPr>
          <w:p w14:paraId="71D47620" w14:textId="77777777" w:rsidR="006A3667" w:rsidRDefault="006A3667">
            <w:pPr>
              <w:rPr>
                <w:rFonts w:ascii="宋体"/>
                <w:vanish/>
              </w:rPr>
            </w:pPr>
          </w:p>
        </w:tc>
        <w:tc>
          <w:tcPr>
            <w:tcW w:w="0" w:type="auto"/>
            <w:gridSpan w:val="3"/>
            <w:shd w:val="clear" w:color="auto" w:fill="auto"/>
            <w:vAlign w:val="bottom"/>
          </w:tcPr>
          <w:p w14:paraId="71D47621" w14:textId="77777777" w:rsidR="006A3667" w:rsidRDefault="006A3667">
            <w:pPr>
              <w:rPr>
                <w:rFonts w:ascii="宋体"/>
                <w:vanish/>
              </w:rPr>
            </w:pPr>
          </w:p>
        </w:tc>
        <w:tc>
          <w:tcPr>
            <w:tcW w:w="0" w:type="auto"/>
            <w:gridSpan w:val="3"/>
            <w:shd w:val="clear" w:color="auto" w:fill="auto"/>
            <w:vAlign w:val="bottom"/>
          </w:tcPr>
          <w:p w14:paraId="71D47622" w14:textId="77777777" w:rsidR="006A3667" w:rsidRDefault="006A3667">
            <w:pPr>
              <w:rPr>
                <w:rFonts w:ascii="宋体"/>
                <w:vanish/>
              </w:rPr>
            </w:pPr>
          </w:p>
        </w:tc>
        <w:tc>
          <w:tcPr>
            <w:tcW w:w="0" w:type="auto"/>
            <w:gridSpan w:val="3"/>
            <w:shd w:val="clear" w:color="auto" w:fill="auto"/>
            <w:vAlign w:val="bottom"/>
          </w:tcPr>
          <w:p w14:paraId="71D47623" w14:textId="77777777" w:rsidR="006A3667" w:rsidRDefault="006A3667">
            <w:pPr>
              <w:rPr>
                <w:rFonts w:ascii="宋体"/>
                <w:vanish/>
              </w:rPr>
            </w:pPr>
          </w:p>
        </w:tc>
        <w:tc>
          <w:tcPr>
            <w:tcW w:w="0" w:type="auto"/>
            <w:gridSpan w:val="3"/>
            <w:shd w:val="clear" w:color="auto" w:fill="auto"/>
            <w:vAlign w:val="bottom"/>
          </w:tcPr>
          <w:p w14:paraId="71D47624" w14:textId="77777777" w:rsidR="006A3667" w:rsidRDefault="006A3667">
            <w:pPr>
              <w:rPr>
                <w:rFonts w:ascii="宋体"/>
                <w:vanish/>
              </w:rPr>
            </w:pPr>
          </w:p>
        </w:tc>
        <w:tc>
          <w:tcPr>
            <w:tcW w:w="0" w:type="auto"/>
            <w:gridSpan w:val="3"/>
            <w:shd w:val="clear" w:color="auto" w:fill="auto"/>
            <w:vAlign w:val="bottom"/>
          </w:tcPr>
          <w:p w14:paraId="71D47625" w14:textId="77777777" w:rsidR="006A3667" w:rsidRDefault="006A3667">
            <w:pPr>
              <w:rPr>
                <w:rFonts w:ascii="宋体"/>
                <w:vanish/>
              </w:rPr>
            </w:pPr>
          </w:p>
        </w:tc>
        <w:tc>
          <w:tcPr>
            <w:tcW w:w="0" w:type="auto"/>
            <w:gridSpan w:val="3"/>
            <w:shd w:val="clear" w:color="auto" w:fill="auto"/>
            <w:vAlign w:val="bottom"/>
          </w:tcPr>
          <w:p w14:paraId="71D47626" w14:textId="77777777" w:rsidR="006A3667" w:rsidRDefault="006A3667">
            <w:pPr>
              <w:rPr>
                <w:rFonts w:ascii="宋体"/>
                <w:vanish/>
              </w:rPr>
            </w:pPr>
          </w:p>
        </w:tc>
        <w:tc>
          <w:tcPr>
            <w:tcW w:w="0" w:type="auto"/>
            <w:gridSpan w:val="3"/>
            <w:shd w:val="clear" w:color="auto" w:fill="auto"/>
            <w:vAlign w:val="bottom"/>
          </w:tcPr>
          <w:p w14:paraId="71D47627" w14:textId="77777777" w:rsidR="006A3667" w:rsidRDefault="006A3667">
            <w:pPr>
              <w:rPr>
                <w:rFonts w:ascii="宋体"/>
                <w:vanish/>
              </w:rPr>
            </w:pPr>
          </w:p>
        </w:tc>
        <w:tc>
          <w:tcPr>
            <w:tcW w:w="0" w:type="auto"/>
            <w:gridSpan w:val="3"/>
            <w:shd w:val="clear" w:color="auto" w:fill="auto"/>
            <w:vAlign w:val="bottom"/>
          </w:tcPr>
          <w:p w14:paraId="71D47628" w14:textId="77777777" w:rsidR="006A3667" w:rsidRDefault="006A3667">
            <w:pPr>
              <w:rPr>
                <w:rFonts w:ascii="宋体"/>
                <w:vanish/>
              </w:rPr>
            </w:pPr>
          </w:p>
        </w:tc>
      </w:tr>
      <w:tr w:rsidR="006A3667" w14:paraId="71D47635" w14:textId="77777777">
        <w:trPr>
          <w:hidden/>
        </w:trPr>
        <w:tc>
          <w:tcPr>
            <w:tcW w:w="0" w:type="auto"/>
            <w:gridSpan w:val="3"/>
            <w:shd w:val="clear" w:color="auto" w:fill="auto"/>
            <w:vAlign w:val="bottom"/>
          </w:tcPr>
          <w:p w14:paraId="71D4762A" w14:textId="77777777" w:rsidR="006A3667" w:rsidRDefault="006A3667">
            <w:pPr>
              <w:rPr>
                <w:rFonts w:ascii="宋体"/>
                <w:vanish/>
              </w:rPr>
            </w:pPr>
          </w:p>
        </w:tc>
        <w:tc>
          <w:tcPr>
            <w:tcW w:w="0" w:type="auto"/>
            <w:gridSpan w:val="3"/>
            <w:shd w:val="clear" w:color="auto" w:fill="auto"/>
            <w:vAlign w:val="bottom"/>
          </w:tcPr>
          <w:p w14:paraId="71D4762B" w14:textId="77777777" w:rsidR="006A3667" w:rsidRDefault="006A3667">
            <w:pPr>
              <w:rPr>
                <w:rFonts w:ascii="宋体"/>
                <w:vanish/>
              </w:rPr>
            </w:pPr>
          </w:p>
        </w:tc>
        <w:tc>
          <w:tcPr>
            <w:tcW w:w="0" w:type="auto"/>
            <w:gridSpan w:val="3"/>
            <w:shd w:val="clear" w:color="auto" w:fill="auto"/>
            <w:vAlign w:val="bottom"/>
          </w:tcPr>
          <w:p w14:paraId="71D4762C" w14:textId="77777777" w:rsidR="006A3667" w:rsidRDefault="006A3667">
            <w:pPr>
              <w:rPr>
                <w:rFonts w:ascii="宋体"/>
                <w:vanish/>
              </w:rPr>
            </w:pPr>
          </w:p>
        </w:tc>
        <w:tc>
          <w:tcPr>
            <w:tcW w:w="0" w:type="auto"/>
            <w:gridSpan w:val="3"/>
            <w:shd w:val="clear" w:color="auto" w:fill="auto"/>
            <w:vAlign w:val="bottom"/>
          </w:tcPr>
          <w:p w14:paraId="71D4762D" w14:textId="77777777" w:rsidR="006A3667" w:rsidRDefault="006A3667">
            <w:pPr>
              <w:rPr>
                <w:rFonts w:ascii="宋体"/>
                <w:vanish/>
              </w:rPr>
            </w:pPr>
          </w:p>
        </w:tc>
        <w:tc>
          <w:tcPr>
            <w:tcW w:w="0" w:type="auto"/>
            <w:gridSpan w:val="3"/>
            <w:shd w:val="clear" w:color="auto" w:fill="auto"/>
            <w:vAlign w:val="bottom"/>
          </w:tcPr>
          <w:p w14:paraId="71D4762E" w14:textId="77777777" w:rsidR="006A3667" w:rsidRDefault="006A3667">
            <w:pPr>
              <w:rPr>
                <w:rFonts w:ascii="宋体"/>
                <w:vanish/>
              </w:rPr>
            </w:pPr>
          </w:p>
        </w:tc>
        <w:tc>
          <w:tcPr>
            <w:tcW w:w="0" w:type="auto"/>
            <w:gridSpan w:val="3"/>
            <w:shd w:val="clear" w:color="auto" w:fill="auto"/>
            <w:vAlign w:val="bottom"/>
          </w:tcPr>
          <w:p w14:paraId="71D4762F" w14:textId="77777777" w:rsidR="006A3667" w:rsidRDefault="006A3667">
            <w:pPr>
              <w:rPr>
                <w:rFonts w:ascii="宋体"/>
                <w:vanish/>
              </w:rPr>
            </w:pPr>
          </w:p>
        </w:tc>
        <w:tc>
          <w:tcPr>
            <w:tcW w:w="0" w:type="auto"/>
            <w:gridSpan w:val="3"/>
            <w:shd w:val="clear" w:color="auto" w:fill="auto"/>
            <w:vAlign w:val="bottom"/>
          </w:tcPr>
          <w:p w14:paraId="71D47630" w14:textId="77777777" w:rsidR="006A3667" w:rsidRDefault="006A3667">
            <w:pPr>
              <w:rPr>
                <w:rFonts w:ascii="宋体"/>
                <w:vanish/>
              </w:rPr>
            </w:pPr>
          </w:p>
        </w:tc>
        <w:tc>
          <w:tcPr>
            <w:tcW w:w="0" w:type="auto"/>
            <w:gridSpan w:val="3"/>
            <w:shd w:val="clear" w:color="auto" w:fill="auto"/>
            <w:vAlign w:val="bottom"/>
          </w:tcPr>
          <w:p w14:paraId="71D47631" w14:textId="77777777" w:rsidR="006A3667" w:rsidRDefault="006A3667">
            <w:pPr>
              <w:rPr>
                <w:rFonts w:ascii="宋体"/>
                <w:vanish/>
              </w:rPr>
            </w:pPr>
          </w:p>
        </w:tc>
        <w:tc>
          <w:tcPr>
            <w:tcW w:w="0" w:type="auto"/>
            <w:gridSpan w:val="3"/>
            <w:shd w:val="clear" w:color="auto" w:fill="auto"/>
            <w:vAlign w:val="bottom"/>
          </w:tcPr>
          <w:p w14:paraId="71D47632" w14:textId="77777777" w:rsidR="006A3667" w:rsidRDefault="006A3667">
            <w:pPr>
              <w:rPr>
                <w:rFonts w:ascii="宋体"/>
                <w:vanish/>
              </w:rPr>
            </w:pPr>
          </w:p>
        </w:tc>
        <w:tc>
          <w:tcPr>
            <w:tcW w:w="0" w:type="auto"/>
            <w:gridSpan w:val="3"/>
            <w:shd w:val="clear" w:color="auto" w:fill="auto"/>
            <w:vAlign w:val="bottom"/>
          </w:tcPr>
          <w:p w14:paraId="71D47633" w14:textId="77777777" w:rsidR="006A3667" w:rsidRDefault="006A3667">
            <w:pPr>
              <w:rPr>
                <w:rFonts w:ascii="宋体"/>
                <w:vanish/>
              </w:rPr>
            </w:pPr>
          </w:p>
        </w:tc>
        <w:tc>
          <w:tcPr>
            <w:tcW w:w="0" w:type="auto"/>
            <w:gridSpan w:val="3"/>
            <w:shd w:val="clear" w:color="auto" w:fill="auto"/>
            <w:vAlign w:val="bottom"/>
          </w:tcPr>
          <w:p w14:paraId="71D47634" w14:textId="77777777" w:rsidR="006A3667" w:rsidRDefault="006A3667">
            <w:pPr>
              <w:rPr>
                <w:rFonts w:ascii="宋体"/>
                <w:vanish/>
              </w:rPr>
            </w:pPr>
          </w:p>
        </w:tc>
      </w:tr>
      <w:tr w:rsidR="006A3667" w14:paraId="71D47641" w14:textId="77777777">
        <w:trPr>
          <w:hidden/>
        </w:trPr>
        <w:tc>
          <w:tcPr>
            <w:tcW w:w="0" w:type="auto"/>
            <w:gridSpan w:val="3"/>
            <w:shd w:val="clear" w:color="auto" w:fill="auto"/>
            <w:vAlign w:val="bottom"/>
          </w:tcPr>
          <w:p w14:paraId="71D47636" w14:textId="77777777" w:rsidR="006A3667" w:rsidRDefault="006A3667">
            <w:pPr>
              <w:rPr>
                <w:rFonts w:ascii="宋体"/>
                <w:vanish/>
              </w:rPr>
            </w:pPr>
          </w:p>
        </w:tc>
        <w:tc>
          <w:tcPr>
            <w:tcW w:w="0" w:type="auto"/>
            <w:gridSpan w:val="3"/>
            <w:shd w:val="clear" w:color="auto" w:fill="auto"/>
            <w:vAlign w:val="bottom"/>
          </w:tcPr>
          <w:p w14:paraId="71D47637" w14:textId="77777777" w:rsidR="006A3667" w:rsidRDefault="006A3667">
            <w:pPr>
              <w:rPr>
                <w:rFonts w:ascii="宋体"/>
                <w:vanish/>
              </w:rPr>
            </w:pPr>
          </w:p>
        </w:tc>
        <w:tc>
          <w:tcPr>
            <w:tcW w:w="0" w:type="auto"/>
            <w:gridSpan w:val="3"/>
            <w:shd w:val="clear" w:color="auto" w:fill="auto"/>
            <w:vAlign w:val="bottom"/>
          </w:tcPr>
          <w:p w14:paraId="71D47638" w14:textId="77777777" w:rsidR="006A3667" w:rsidRDefault="006A3667">
            <w:pPr>
              <w:rPr>
                <w:rFonts w:ascii="宋体"/>
                <w:vanish/>
              </w:rPr>
            </w:pPr>
          </w:p>
        </w:tc>
        <w:tc>
          <w:tcPr>
            <w:tcW w:w="0" w:type="auto"/>
            <w:gridSpan w:val="3"/>
            <w:shd w:val="clear" w:color="auto" w:fill="auto"/>
            <w:vAlign w:val="bottom"/>
          </w:tcPr>
          <w:p w14:paraId="71D47639" w14:textId="77777777" w:rsidR="006A3667" w:rsidRDefault="006A3667">
            <w:pPr>
              <w:rPr>
                <w:rFonts w:ascii="宋体"/>
                <w:vanish/>
              </w:rPr>
            </w:pPr>
          </w:p>
        </w:tc>
        <w:tc>
          <w:tcPr>
            <w:tcW w:w="0" w:type="auto"/>
            <w:gridSpan w:val="3"/>
            <w:shd w:val="clear" w:color="auto" w:fill="auto"/>
            <w:vAlign w:val="bottom"/>
          </w:tcPr>
          <w:p w14:paraId="71D4763A" w14:textId="77777777" w:rsidR="006A3667" w:rsidRDefault="006A3667">
            <w:pPr>
              <w:rPr>
                <w:rFonts w:ascii="宋体"/>
                <w:vanish/>
              </w:rPr>
            </w:pPr>
          </w:p>
        </w:tc>
        <w:tc>
          <w:tcPr>
            <w:tcW w:w="0" w:type="auto"/>
            <w:gridSpan w:val="3"/>
            <w:shd w:val="clear" w:color="auto" w:fill="auto"/>
            <w:vAlign w:val="bottom"/>
          </w:tcPr>
          <w:p w14:paraId="71D4763B" w14:textId="77777777" w:rsidR="006A3667" w:rsidRDefault="006A3667">
            <w:pPr>
              <w:rPr>
                <w:rFonts w:ascii="宋体"/>
                <w:vanish/>
              </w:rPr>
            </w:pPr>
          </w:p>
        </w:tc>
        <w:tc>
          <w:tcPr>
            <w:tcW w:w="0" w:type="auto"/>
            <w:gridSpan w:val="3"/>
            <w:shd w:val="clear" w:color="auto" w:fill="auto"/>
            <w:vAlign w:val="bottom"/>
          </w:tcPr>
          <w:p w14:paraId="71D4763C" w14:textId="77777777" w:rsidR="006A3667" w:rsidRDefault="006A3667">
            <w:pPr>
              <w:rPr>
                <w:rFonts w:ascii="宋体"/>
                <w:vanish/>
              </w:rPr>
            </w:pPr>
          </w:p>
        </w:tc>
        <w:tc>
          <w:tcPr>
            <w:tcW w:w="0" w:type="auto"/>
            <w:gridSpan w:val="3"/>
            <w:shd w:val="clear" w:color="auto" w:fill="auto"/>
            <w:vAlign w:val="bottom"/>
          </w:tcPr>
          <w:p w14:paraId="71D4763D" w14:textId="77777777" w:rsidR="006A3667" w:rsidRDefault="006A3667">
            <w:pPr>
              <w:rPr>
                <w:rFonts w:ascii="宋体"/>
                <w:vanish/>
              </w:rPr>
            </w:pPr>
          </w:p>
        </w:tc>
        <w:tc>
          <w:tcPr>
            <w:tcW w:w="0" w:type="auto"/>
            <w:gridSpan w:val="3"/>
            <w:shd w:val="clear" w:color="auto" w:fill="auto"/>
            <w:vAlign w:val="bottom"/>
          </w:tcPr>
          <w:p w14:paraId="71D4763E" w14:textId="77777777" w:rsidR="006A3667" w:rsidRDefault="006A3667">
            <w:pPr>
              <w:rPr>
                <w:rFonts w:ascii="宋体"/>
                <w:vanish/>
              </w:rPr>
            </w:pPr>
          </w:p>
        </w:tc>
        <w:tc>
          <w:tcPr>
            <w:tcW w:w="0" w:type="auto"/>
            <w:gridSpan w:val="3"/>
            <w:shd w:val="clear" w:color="auto" w:fill="auto"/>
            <w:vAlign w:val="bottom"/>
          </w:tcPr>
          <w:p w14:paraId="71D4763F" w14:textId="77777777" w:rsidR="006A3667" w:rsidRDefault="006A3667">
            <w:pPr>
              <w:rPr>
                <w:rFonts w:ascii="宋体"/>
                <w:vanish/>
              </w:rPr>
            </w:pPr>
          </w:p>
        </w:tc>
        <w:tc>
          <w:tcPr>
            <w:tcW w:w="0" w:type="auto"/>
            <w:gridSpan w:val="3"/>
            <w:shd w:val="clear" w:color="auto" w:fill="auto"/>
            <w:vAlign w:val="bottom"/>
          </w:tcPr>
          <w:p w14:paraId="71D47640" w14:textId="77777777" w:rsidR="006A3667" w:rsidRDefault="006A3667">
            <w:pPr>
              <w:rPr>
                <w:rFonts w:ascii="宋体"/>
                <w:vanish/>
              </w:rPr>
            </w:pPr>
          </w:p>
        </w:tc>
      </w:tr>
      <w:tr w:rsidR="006A3667" w14:paraId="71D4764D" w14:textId="77777777">
        <w:trPr>
          <w:hidden/>
        </w:trPr>
        <w:tc>
          <w:tcPr>
            <w:tcW w:w="0" w:type="auto"/>
            <w:gridSpan w:val="3"/>
            <w:shd w:val="clear" w:color="auto" w:fill="auto"/>
            <w:vAlign w:val="bottom"/>
          </w:tcPr>
          <w:p w14:paraId="71D47642" w14:textId="77777777" w:rsidR="006A3667" w:rsidRDefault="006A3667">
            <w:pPr>
              <w:rPr>
                <w:rFonts w:ascii="宋体"/>
                <w:vanish/>
              </w:rPr>
            </w:pPr>
          </w:p>
        </w:tc>
        <w:tc>
          <w:tcPr>
            <w:tcW w:w="0" w:type="auto"/>
            <w:gridSpan w:val="3"/>
            <w:shd w:val="clear" w:color="auto" w:fill="auto"/>
            <w:vAlign w:val="bottom"/>
          </w:tcPr>
          <w:p w14:paraId="71D47643" w14:textId="77777777" w:rsidR="006A3667" w:rsidRDefault="006A3667">
            <w:pPr>
              <w:rPr>
                <w:rFonts w:ascii="宋体"/>
                <w:vanish/>
              </w:rPr>
            </w:pPr>
          </w:p>
        </w:tc>
        <w:tc>
          <w:tcPr>
            <w:tcW w:w="0" w:type="auto"/>
            <w:gridSpan w:val="3"/>
            <w:shd w:val="clear" w:color="auto" w:fill="auto"/>
            <w:vAlign w:val="bottom"/>
          </w:tcPr>
          <w:p w14:paraId="71D47644" w14:textId="77777777" w:rsidR="006A3667" w:rsidRDefault="006A3667">
            <w:pPr>
              <w:rPr>
                <w:rFonts w:ascii="宋体"/>
                <w:vanish/>
              </w:rPr>
            </w:pPr>
          </w:p>
        </w:tc>
        <w:tc>
          <w:tcPr>
            <w:tcW w:w="0" w:type="auto"/>
            <w:gridSpan w:val="3"/>
            <w:shd w:val="clear" w:color="auto" w:fill="auto"/>
            <w:vAlign w:val="bottom"/>
          </w:tcPr>
          <w:p w14:paraId="71D47645" w14:textId="77777777" w:rsidR="006A3667" w:rsidRDefault="006A3667">
            <w:pPr>
              <w:rPr>
                <w:rFonts w:ascii="宋体"/>
                <w:vanish/>
              </w:rPr>
            </w:pPr>
          </w:p>
        </w:tc>
        <w:tc>
          <w:tcPr>
            <w:tcW w:w="0" w:type="auto"/>
            <w:gridSpan w:val="3"/>
            <w:shd w:val="clear" w:color="auto" w:fill="auto"/>
            <w:vAlign w:val="bottom"/>
          </w:tcPr>
          <w:p w14:paraId="71D47646" w14:textId="77777777" w:rsidR="006A3667" w:rsidRDefault="006A3667">
            <w:pPr>
              <w:rPr>
                <w:rFonts w:ascii="宋体"/>
                <w:vanish/>
              </w:rPr>
            </w:pPr>
          </w:p>
        </w:tc>
        <w:tc>
          <w:tcPr>
            <w:tcW w:w="0" w:type="auto"/>
            <w:gridSpan w:val="3"/>
            <w:shd w:val="clear" w:color="auto" w:fill="auto"/>
            <w:vAlign w:val="bottom"/>
          </w:tcPr>
          <w:p w14:paraId="71D47647" w14:textId="77777777" w:rsidR="006A3667" w:rsidRDefault="006A3667">
            <w:pPr>
              <w:rPr>
                <w:rFonts w:ascii="宋体"/>
                <w:vanish/>
              </w:rPr>
            </w:pPr>
          </w:p>
        </w:tc>
        <w:tc>
          <w:tcPr>
            <w:tcW w:w="0" w:type="auto"/>
            <w:gridSpan w:val="3"/>
            <w:shd w:val="clear" w:color="auto" w:fill="auto"/>
            <w:vAlign w:val="bottom"/>
          </w:tcPr>
          <w:p w14:paraId="71D47648" w14:textId="77777777" w:rsidR="006A3667" w:rsidRDefault="006A3667">
            <w:pPr>
              <w:rPr>
                <w:rFonts w:ascii="宋体"/>
                <w:vanish/>
              </w:rPr>
            </w:pPr>
          </w:p>
        </w:tc>
        <w:tc>
          <w:tcPr>
            <w:tcW w:w="0" w:type="auto"/>
            <w:gridSpan w:val="3"/>
            <w:shd w:val="clear" w:color="auto" w:fill="auto"/>
            <w:vAlign w:val="bottom"/>
          </w:tcPr>
          <w:p w14:paraId="71D47649" w14:textId="77777777" w:rsidR="006A3667" w:rsidRDefault="006A3667">
            <w:pPr>
              <w:rPr>
                <w:rFonts w:ascii="宋体"/>
                <w:vanish/>
              </w:rPr>
            </w:pPr>
          </w:p>
        </w:tc>
        <w:tc>
          <w:tcPr>
            <w:tcW w:w="0" w:type="auto"/>
            <w:gridSpan w:val="3"/>
            <w:shd w:val="clear" w:color="auto" w:fill="auto"/>
            <w:vAlign w:val="bottom"/>
          </w:tcPr>
          <w:p w14:paraId="71D4764A" w14:textId="77777777" w:rsidR="006A3667" w:rsidRDefault="006A3667">
            <w:pPr>
              <w:rPr>
                <w:rFonts w:ascii="宋体"/>
                <w:vanish/>
              </w:rPr>
            </w:pPr>
          </w:p>
        </w:tc>
        <w:tc>
          <w:tcPr>
            <w:tcW w:w="0" w:type="auto"/>
            <w:gridSpan w:val="3"/>
            <w:shd w:val="clear" w:color="auto" w:fill="auto"/>
            <w:vAlign w:val="bottom"/>
          </w:tcPr>
          <w:p w14:paraId="71D4764B" w14:textId="77777777" w:rsidR="006A3667" w:rsidRDefault="006A3667">
            <w:pPr>
              <w:rPr>
                <w:rFonts w:ascii="宋体"/>
                <w:vanish/>
              </w:rPr>
            </w:pPr>
          </w:p>
        </w:tc>
        <w:tc>
          <w:tcPr>
            <w:tcW w:w="0" w:type="auto"/>
            <w:gridSpan w:val="3"/>
            <w:shd w:val="clear" w:color="auto" w:fill="auto"/>
            <w:vAlign w:val="bottom"/>
          </w:tcPr>
          <w:p w14:paraId="71D4764C" w14:textId="77777777" w:rsidR="006A3667" w:rsidRDefault="006A3667">
            <w:pPr>
              <w:rPr>
                <w:rFonts w:ascii="宋体"/>
                <w:vanish/>
              </w:rPr>
            </w:pPr>
          </w:p>
        </w:tc>
      </w:tr>
      <w:tr w:rsidR="006A3667" w14:paraId="71D4765D" w14:textId="77777777">
        <w:tc>
          <w:tcPr>
            <w:tcW w:w="0" w:type="auto"/>
            <w:gridSpan w:val="3"/>
            <w:shd w:val="clear" w:color="auto" w:fill="FFFFFF"/>
            <w:tcMar>
              <w:top w:w="40" w:type="dxa"/>
              <w:left w:w="20" w:type="dxa"/>
              <w:bottom w:w="40" w:type="dxa"/>
              <w:right w:w="20" w:type="dxa"/>
            </w:tcMar>
            <w:vAlign w:val="bottom"/>
          </w:tcPr>
          <w:p w14:paraId="71D4764E" w14:textId="77777777" w:rsidR="006A3667" w:rsidRDefault="00045F32">
            <w:pPr>
              <w:textAlignment w:val="bottom"/>
            </w:pPr>
            <w:r>
              <w:rPr>
                <w:rFonts w:ascii="Arial" w:eastAsia="宋体" w:hAnsi="Arial" w:cs="Arial"/>
                <w:color w:val="000000"/>
                <w:sz w:val="14"/>
                <w:szCs w:val="14"/>
              </w:rPr>
              <w:t>Other derivative contracts</w:t>
            </w:r>
          </w:p>
        </w:tc>
        <w:tc>
          <w:tcPr>
            <w:tcW w:w="0" w:type="auto"/>
            <w:gridSpan w:val="3"/>
            <w:shd w:val="clear" w:color="auto" w:fill="FFFFFF"/>
            <w:tcMar>
              <w:top w:w="40" w:type="dxa"/>
              <w:left w:w="20" w:type="dxa"/>
              <w:bottom w:w="40" w:type="dxa"/>
              <w:right w:w="20" w:type="dxa"/>
            </w:tcMar>
            <w:vAlign w:val="bottom"/>
          </w:tcPr>
          <w:p w14:paraId="71D4764F" w14:textId="77777777" w:rsidR="006A3667" w:rsidRDefault="00045F32">
            <w:pPr>
              <w:textAlignment w:val="bottom"/>
            </w:pPr>
            <w:r>
              <w:rPr>
                <w:rFonts w:ascii="Arial" w:eastAsia="宋体" w:hAnsi="Arial" w:cs="Arial"/>
                <w:color w:val="000000"/>
                <w:sz w:val="14"/>
                <w:szCs w:val="14"/>
              </w:rPr>
              <w:t>Compensation and employee benefits</w:t>
            </w:r>
          </w:p>
        </w:tc>
        <w:tc>
          <w:tcPr>
            <w:tcW w:w="0" w:type="auto"/>
            <w:gridSpan w:val="3"/>
            <w:shd w:val="clear" w:color="auto" w:fill="FFFFFF"/>
            <w:tcMar>
              <w:top w:w="0" w:type="dxa"/>
              <w:left w:w="20" w:type="dxa"/>
              <w:bottom w:w="0" w:type="dxa"/>
              <w:right w:w="20" w:type="dxa"/>
            </w:tcMar>
            <w:vAlign w:val="bottom"/>
          </w:tcPr>
          <w:p w14:paraId="71D4765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651" w14:textId="77777777" w:rsidR="006A3667" w:rsidRDefault="00045F32">
            <w:pPr>
              <w:jc w:val="right"/>
              <w:textAlignment w:val="bottom"/>
            </w:pPr>
            <w:r>
              <w:rPr>
                <w:rFonts w:ascii="Arial" w:eastAsia="宋体" w:hAnsi="Arial" w:cs="Arial"/>
                <w:b/>
                <w:bCs/>
                <w:color w:val="000000"/>
                <w:sz w:val="14"/>
                <w:szCs w:val="14"/>
              </w:rPr>
              <w:t>(11)</w:t>
            </w:r>
          </w:p>
        </w:tc>
        <w:tc>
          <w:tcPr>
            <w:tcW w:w="0" w:type="auto"/>
            <w:shd w:val="clear" w:color="auto" w:fill="FFFFFF"/>
            <w:tcMar>
              <w:top w:w="40" w:type="dxa"/>
              <w:left w:w="0" w:type="dxa"/>
              <w:bottom w:w="40" w:type="dxa"/>
              <w:right w:w="20" w:type="dxa"/>
            </w:tcMar>
            <w:vAlign w:val="bottom"/>
          </w:tcPr>
          <w:p w14:paraId="71D4765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65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654" w14:textId="77777777" w:rsidR="006A3667" w:rsidRDefault="00045F32">
            <w:pPr>
              <w:jc w:val="right"/>
              <w:textAlignment w:val="bottom"/>
            </w:pPr>
            <w:r>
              <w:rPr>
                <w:rFonts w:ascii="Arial" w:eastAsia="宋体" w:hAnsi="Arial" w:cs="Arial"/>
                <w:color w:val="000000"/>
                <w:sz w:val="14"/>
                <w:szCs w:val="14"/>
              </w:rPr>
              <w:t>(35)</w:t>
            </w:r>
          </w:p>
        </w:tc>
        <w:tc>
          <w:tcPr>
            <w:tcW w:w="0" w:type="auto"/>
            <w:shd w:val="clear" w:color="auto" w:fill="FFFFFF"/>
            <w:tcMar>
              <w:top w:w="40" w:type="dxa"/>
              <w:left w:w="0" w:type="dxa"/>
              <w:bottom w:w="40" w:type="dxa"/>
              <w:right w:w="20" w:type="dxa"/>
            </w:tcMar>
            <w:vAlign w:val="bottom"/>
          </w:tcPr>
          <w:p w14:paraId="71D4765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65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657" w14:textId="77777777" w:rsidR="006A3667" w:rsidRDefault="00045F32">
            <w:pPr>
              <w:jc w:val="right"/>
              <w:textAlignment w:val="bottom"/>
            </w:pPr>
            <w:r>
              <w:rPr>
                <w:rFonts w:ascii="Arial" w:eastAsia="宋体" w:hAnsi="Arial" w:cs="Arial"/>
                <w:b/>
                <w:bCs/>
                <w:color w:val="000000"/>
                <w:sz w:val="14"/>
                <w:szCs w:val="14"/>
              </w:rPr>
              <w:t>(75)</w:t>
            </w:r>
          </w:p>
        </w:tc>
        <w:tc>
          <w:tcPr>
            <w:tcW w:w="0" w:type="auto"/>
            <w:shd w:val="clear" w:color="auto" w:fill="FFFFFF"/>
            <w:tcMar>
              <w:top w:w="40" w:type="dxa"/>
              <w:left w:w="0" w:type="dxa"/>
              <w:bottom w:w="40" w:type="dxa"/>
              <w:right w:w="20" w:type="dxa"/>
            </w:tcMar>
            <w:vAlign w:val="bottom"/>
          </w:tcPr>
          <w:p w14:paraId="71D4765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65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65A" w14:textId="77777777" w:rsidR="006A3667" w:rsidRDefault="00045F32">
            <w:pPr>
              <w:jc w:val="right"/>
              <w:textAlignment w:val="bottom"/>
            </w:pPr>
            <w:r>
              <w:rPr>
                <w:rFonts w:ascii="Arial" w:eastAsia="宋体" w:hAnsi="Arial" w:cs="Arial"/>
                <w:color w:val="000000"/>
                <w:sz w:val="14"/>
                <w:szCs w:val="14"/>
              </w:rPr>
              <w:t>(158)</w:t>
            </w:r>
          </w:p>
        </w:tc>
        <w:tc>
          <w:tcPr>
            <w:tcW w:w="0" w:type="auto"/>
            <w:shd w:val="clear" w:color="auto" w:fill="FFFFFF"/>
            <w:tcMar>
              <w:top w:w="40" w:type="dxa"/>
              <w:left w:w="0" w:type="dxa"/>
              <w:bottom w:w="40" w:type="dxa"/>
              <w:right w:w="20" w:type="dxa"/>
            </w:tcMar>
            <w:vAlign w:val="bottom"/>
          </w:tcPr>
          <w:p w14:paraId="71D476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65C" w14:textId="77777777" w:rsidR="006A3667" w:rsidRDefault="006A3667">
            <w:pPr>
              <w:rPr>
                <w:rFonts w:ascii="宋体"/>
              </w:rPr>
            </w:pPr>
          </w:p>
        </w:tc>
      </w:tr>
      <w:tr w:rsidR="006A3667" w14:paraId="71D47671" w14:textId="77777777">
        <w:tc>
          <w:tcPr>
            <w:tcW w:w="0" w:type="auto"/>
            <w:gridSpan w:val="3"/>
            <w:shd w:val="clear" w:color="auto" w:fill="CCEEFF"/>
            <w:tcMar>
              <w:top w:w="40" w:type="dxa"/>
              <w:left w:w="20" w:type="dxa"/>
              <w:bottom w:w="40" w:type="dxa"/>
              <w:right w:w="20" w:type="dxa"/>
            </w:tcMar>
            <w:vAlign w:val="bottom"/>
          </w:tcPr>
          <w:p w14:paraId="71D4765E" w14:textId="77777777" w:rsidR="006A3667" w:rsidRDefault="00045F32">
            <w:pPr>
              <w:textAlignment w:val="bottom"/>
            </w:pPr>
            <w:r>
              <w:rPr>
                <w:rFonts w:ascii="Arial" w:eastAsia="宋体" w:hAnsi="Arial" w:cs="Arial"/>
                <w:color w:val="000000"/>
                <w:sz w:val="14"/>
                <w:szCs w:val="14"/>
              </w:rPr>
              <w:t>Total</w:t>
            </w:r>
          </w:p>
        </w:tc>
        <w:tc>
          <w:tcPr>
            <w:tcW w:w="0" w:type="auto"/>
            <w:gridSpan w:val="3"/>
            <w:shd w:val="clear" w:color="auto" w:fill="CCEEFF"/>
            <w:tcMar>
              <w:top w:w="0" w:type="dxa"/>
              <w:left w:w="20" w:type="dxa"/>
              <w:bottom w:w="0" w:type="dxa"/>
              <w:right w:w="20" w:type="dxa"/>
            </w:tcMar>
            <w:vAlign w:val="bottom"/>
          </w:tcPr>
          <w:p w14:paraId="71D4765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66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66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662" w14:textId="77777777" w:rsidR="006A3667" w:rsidRDefault="00045F32">
            <w:pPr>
              <w:jc w:val="right"/>
              <w:textAlignment w:val="bottom"/>
            </w:pPr>
            <w:r>
              <w:rPr>
                <w:rFonts w:ascii="Arial" w:eastAsia="宋体" w:hAnsi="Arial" w:cs="Arial"/>
                <w:b/>
                <w:bCs/>
                <w:color w:val="000000"/>
                <w:sz w:val="14"/>
                <w:szCs w:val="14"/>
              </w:rPr>
              <w:t>180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6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6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66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666" w14:textId="77777777" w:rsidR="006A3667" w:rsidRDefault="00045F32">
            <w:pPr>
              <w:jc w:val="right"/>
              <w:textAlignment w:val="bottom"/>
            </w:pPr>
            <w:r>
              <w:rPr>
                <w:rFonts w:ascii="Arial" w:eastAsia="宋体" w:hAnsi="Arial" w:cs="Arial"/>
                <w:color w:val="000000"/>
                <w:sz w:val="14"/>
                <w:szCs w:val="14"/>
              </w:rPr>
              <w:t>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6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6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66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66A" w14:textId="77777777" w:rsidR="006A3667" w:rsidRDefault="00045F32">
            <w:pPr>
              <w:jc w:val="right"/>
              <w:textAlignment w:val="bottom"/>
            </w:pPr>
            <w:r>
              <w:rPr>
                <w:rFonts w:ascii="Arial" w:eastAsia="宋体" w:hAnsi="Arial" w:cs="Arial"/>
                <w:b/>
                <w:bCs/>
                <w:color w:val="000000"/>
                <w:sz w:val="14"/>
                <w:szCs w:val="14"/>
              </w:rPr>
              <w:t>601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6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6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66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66E" w14:textId="77777777" w:rsidR="006A3667" w:rsidRDefault="00045F32">
            <w:pPr>
              <w:jc w:val="right"/>
              <w:textAlignment w:val="bottom"/>
            </w:pPr>
            <w:r>
              <w:rPr>
                <w:rFonts w:ascii="Arial" w:eastAsia="宋体" w:hAnsi="Arial" w:cs="Arial"/>
                <w:color w:val="000000"/>
                <w:sz w:val="14"/>
                <w:szCs w:val="14"/>
              </w:rPr>
              <w:t>513 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6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70" w14:textId="77777777" w:rsidR="006A3667" w:rsidRDefault="006A3667">
            <w:pPr>
              <w:rPr>
                <w:rFonts w:ascii="宋体"/>
              </w:rPr>
            </w:pPr>
          </w:p>
        </w:tc>
      </w:tr>
      <w:tr w:rsidR="006A3667" w14:paraId="71D4767D" w14:textId="77777777">
        <w:trPr>
          <w:trHeight w:val="100"/>
        </w:trPr>
        <w:tc>
          <w:tcPr>
            <w:tcW w:w="0" w:type="auto"/>
            <w:gridSpan w:val="3"/>
            <w:shd w:val="clear" w:color="auto" w:fill="FFFFFF"/>
            <w:tcMar>
              <w:top w:w="0" w:type="dxa"/>
              <w:left w:w="20" w:type="dxa"/>
              <w:bottom w:w="0" w:type="dxa"/>
              <w:right w:w="20" w:type="dxa"/>
            </w:tcMar>
            <w:vAlign w:val="bottom"/>
          </w:tcPr>
          <w:p w14:paraId="71D4767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67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674"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67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676"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67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678"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67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67A"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767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67C" w14:textId="77777777" w:rsidR="006A3667" w:rsidRDefault="006A3667">
            <w:pPr>
              <w:rPr>
                <w:rFonts w:ascii="宋体"/>
              </w:rPr>
            </w:pPr>
          </w:p>
        </w:tc>
      </w:tr>
      <w:tr w:rsidR="006A3667" w14:paraId="71D47689" w14:textId="77777777">
        <w:trPr>
          <w:hidden/>
        </w:trPr>
        <w:tc>
          <w:tcPr>
            <w:tcW w:w="0" w:type="auto"/>
            <w:gridSpan w:val="3"/>
            <w:shd w:val="clear" w:color="auto" w:fill="auto"/>
            <w:vAlign w:val="bottom"/>
          </w:tcPr>
          <w:p w14:paraId="71D4767E" w14:textId="77777777" w:rsidR="006A3667" w:rsidRDefault="006A3667">
            <w:pPr>
              <w:rPr>
                <w:rFonts w:ascii="宋体"/>
                <w:vanish/>
              </w:rPr>
            </w:pPr>
          </w:p>
        </w:tc>
        <w:tc>
          <w:tcPr>
            <w:tcW w:w="0" w:type="auto"/>
            <w:gridSpan w:val="3"/>
            <w:shd w:val="clear" w:color="auto" w:fill="auto"/>
            <w:vAlign w:val="bottom"/>
          </w:tcPr>
          <w:p w14:paraId="71D4767F" w14:textId="77777777" w:rsidR="006A3667" w:rsidRDefault="006A3667">
            <w:pPr>
              <w:rPr>
                <w:rFonts w:ascii="宋体"/>
                <w:vanish/>
              </w:rPr>
            </w:pPr>
          </w:p>
        </w:tc>
        <w:tc>
          <w:tcPr>
            <w:tcW w:w="0" w:type="auto"/>
            <w:gridSpan w:val="3"/>
            <w:shd w:val="clear" w:color="auto" w:fill="auto"/>
            <w:vAlign w:val="bottom"/>
          </w:tcPr>
          <w:p w14:paraId="71D47680" w14:textId="77777777" w:rsidR="006A3667" w:rsidRDefault="006A3667">
            <w:pPr>
              <w:rPr>
                <w:rFonts w:ascii="宋体"/>
                <w:vanish/>
              </w:rPr>
            </w:pPr>
          </w:p>
        </w:tc>
        <w:tc>
          <w:tcPr>
            <w:tcW w:w="0" w:type="auto"/>
            <w:gridSpan w:val="3"/>
            <w:shd w:val="clear" w:color="auto" w:fill="auto"/>
            <w:vAlign w:val="bottom"/>
          </w:tcPr>
          <w:p w14:paraId="71D47681" w14:textId="77777777" w:rsidR="006A3667" w:rsidRDefault="006A3667">
            <w:pPr>
              <w:rPr>
                <w:rFonts w:ascii="宋体"/>
                <w:vanish/>
              </w:rPr>
            </w:pPr>
          </w:p>
        </w:tc>
        <w:tc>
          <w:tcPr>
            <w:tcW w:w="0" w:type="auto"/>
            <w:gridSpan w:val="3"/>
            <w:shd w:val="clear" w:color="auto" w:fill="auto"/>
            <w:vAlign w:val="bottom"/>
          </w:tcPr>
          <w:p w14:paraId="71D47682" w14:textId="77777777" w:rsidR="006A3667" w:rsidRDefault="006A3667">
            <w:pPr>
              <w:rPr>
                <w:rFonts w:ascii="宋体"/>
                <w:vanish/>
              </w:rPr>
            </w:pPr>
          </w:p>
        </w:tc>
        <w:tc>
          <w:tcPr>
            <w:tcW w:w="0" w:type="auto"/>
            <w:gridSpan w:val="3"/>
            <w:shd w:val="clear" w:color="auto" w:fill="auto"/>
            <w:vAlign w:val="bottom"/>
          </w:tcPr>
          <w:p w14:paraId="71D47683" w14:textId="77777777" w:rsidR="006A3667" w:rsidRDefault="006A3667">
            <w:pPr>
              <w:rPr>
                <w:rFonts w:ascii="宋体"/>
                <w:vanish/>
              </w:rPr>
            </w:pPr>
          </w:p>
        </w:tc>
        <w:tc>
          <w:tcPr>
            <w:tcW w:w="0" w:type="auto"/>
            <w:gridSpan w:val="3"/>
            <w:shd w:val="clear" w:color="auto" w:fill="auto"/>
            <w:vAlign w:val="bottom"/>
          </w:tcPr>
          <w:p w14:paraId="71D47684" w14:textId="77777777" w:rsidR="006A3667" w:rsidRDefault="006A3667">
            <w:pPr>
              <w:rPr>
                <w:rFonts w:ascii="宋体"/>
                <w:vanish/>
              </w:rPr>
            </w:pPr>
          </w:p>
        </w:tc>
        <w:tc>
          <w:tcPr>
            <w:tcW w:w="0" w:type="auto"/>
            <w:gridSpan w:val="3"/>
            <w:shd w:val="clear" w:color="auto" w:fill="auto"/>
            <w:vAlign w:val="bottom"/>
          </w:tcPr>
          <w:p w14:paraId="71D47685" w14:textId="77777777" w:rsidR="006A3667" w:rsidRDefault="006A3667">
            <w:pPr>
              <w:rPr>
                <w:rFonts w:ascii="宋体"/>
                <w:vanish/>
              </w:rPr>
            </w:pPr>
          </w:p>
        </w:tc>
        <w:tc>
          <w:tcPr>
            <w:tcW w:w="0" w:type="auto"/>
            <w:gridSpan w:val="3"/>
            <w:shd w:val="clear" w:color="auto" w:fill="auto"/>
            <w:vAlign w:val="bottom"/>
          </w:tcPr>
          <w:p w14:paraId="71D47686" w14:textId="77777777" w:rsidR="006A3667" w:rsidRDefault="006A3667">
            <w:pPr>
              <w:rPr>
                <w:rFonts w:ascii="宋体"/>
                <w:vanish/>
              </w:rPr>
            </w:pPr>
          </w:p>
        </w:tc>
        <w:tc>
          <w:tcPr>
            <w:tcW w:w="0" w:type="auto"/>
            <w:gridSpan w:val="3"/>
            <w:shd w:val="clear" w:color="auto" w:fill="auto"/>
            <w:vAlign w:val="bottom"/>
          </w:tcPr>
          <w:p w14:paraId="71D47687" w14:textId="77777777" w:rsidR="006A3667" w:rsidRDefault="006A3667">
            <w:pPr>
              <w:rPr>
                <w:rFonts w:ascii="宋体"/>
                <w:vanish/>
              </w:rPr>
            </w:pPr>
          </w:p>
        </w:tc>
        <w:tc>
          <w:tcPr>
            <w:tcW w:w="0" w:type="auto"/>
            <w:gridSpan w:val="3"/>
            <w:shd w:val="clear" w:color="auto" w:fill="auto"/>
            <w:vAlign w:val="bottom"/>
          </w:tcPr>
          <w:p w14:paraId="71D47688" w14:textId="77777777" w:rsidR="006A3667" w:rsidRDefault="006A3667">
            <w:pPr>
              <w:rPr>
                <w:rFonts w:ascii="宋体"/>
                <w:vanish/>
              </w:rPr>
            </w:pPr>
          </w:p>
        </w:tc>
      </w:tr>
      <w:tr w:rsidR="006A3667" w14:paraId="71D476A3" w14:textId="77777777">
        <w:trPr>
          <w:hidden/>
        </w:trPr>
        <w:tc>
          <w:tcPr>
            <w:tcW w:w="0" w:type="auto"/>
            <w:gridSpan w:val="3"/>
            <w:shd w:val="clear" w:color="auto" w:fill="auto"/>
            <w:vAlign w:val="bottom"/>
          </w:tcPr>
          <w:p w14:paraId="71D4768A" w14:textId="77777777" w:rsidR="006A3667" w:rsidRDefault="006A3667">
            <w:pPr>
              <w:rPr>
                <w:rFonts w:ascii="宋体"/>
                <w:vanish/>
              </w:rPr>
            </w:pPr>
          </w:p>
        </w:tc>
        <w:tc>
          <w:tcPr>
            <w:tcW w:w="0" w:type="auto"/>
            <w:gridSpan w:val="3"/>
            <w:shd w:val="clear" w:color="auto" w:fill="auto"/>
            <w:vAlign w:val="bottom"/>
          </w:tcPr>
          <w:p w14:paraId="71D4768B" w14:textId="77777777" w:rsidR="006A3667" w:rsidRDefault="006A3667">
            <w:pPr>
              <w:rPr>
                <w:rFonts w:ascii="宋体"/>
                <w:vanish/>
              </w:rPr>
            </w:pPr>
          </w:p>
        </w:tc>
        <w:tc>
          <w:tcPr>
            <w:tcW w:w="0" w:type="auto"/>
            <w:gridSpan w:val="3"/>
            <w:shd w:val="clear" w:color="auto" w:fill="auto"/>
            <w:vAlign w:val="bottom"/>
          </w:tcPr>
          <w:p w14:paraId="71D4768C" w14:textId="77777777" w:rsidR="006A3667" w:rsidRDefault="006A3667">
            <w:pPr>
              <w:rPr>
                <w:rFonts w:ascii="宋体"/>
                <w:vanish/>
              </w:rPr>
            </w:pPr>
          </w:p>
        </w:tc>
        <w:tc>
          <w:tcPr>
            <w:tcW w:w="0" w:type="auto"/>
            <w:gridSpan w:val="3"/>
            <w:shd w:val="clear" w:color="auto" w:fill="auto"/>
            <w:vAlign w:val="bottom"/>
          </w:tcPr>
          <w:p w14:paraId="71D4768D" w14:textId="77777777" w:rsidR="006A3667" w:rsidRDefault="006A3667">
            <w:pPr>
              <w:rPr>
                <w:rFonts w:ascii="宋体"/>
                <w:vanish/>
              </w:rPr>
            </w:pPr>
          </w:p>
        </w:tc>
        <w:tc>
          <w:tcPr>
            <w:tcW w:w="0" w:type="auto"/>
            <w:shd w:val="clear" w:color="auto" w:fill="auto"/>
            <w:vAlign w:val="bottom"/>
          </w:tcPr>
          <w:p w14:paraId="71D4768E" w14:textId="77777777" w:rsidR="006A3667" w:rsidRDefault="006A3667">
            <w:pPr>
              <w:rPr>
                <w:rFonts w:ascii="宋体"/>
              </w:rPr>
            </w:pPr>
          </w:p>
        </w:tc>
        <w:tc>
          <w:tcPr>
            <w:tcW w:w="0" w:type="auto"/>
            <w:shd w:val="clear" w:color="auto" w:fill="auto"/>
            <w:vAlign w:val="bottom"/>
          </w:tcPr>
          <w:p w14:paraId="71D4768F" w14:textId="77777777" w:rsidR="006A3667" w:rsidRDefault="006A3667">
            <w:pPr>
              <w:rPr>
                <w:rFonts w:ascii="宋体"/>
              </w:rPr>
            </w:pPr>
          </w:p>
        </w:tc>
        <w:tc>
          <w:tcPr>
            <w:tcW w:w="0" w:type="auto"/>
            <w:shd w:val="clear" w:color="auto" w:fill="auto"/>
            <w:vAlign w:val="bottom"/>
          </w:tcPr>
          <w:p w14:paraId="71D47690" w14:textId="77777777" w:rsidR="006A3667" w:rsidRDefault="006A3667">
            <w:pPr>
              <w:rPr>
                <w:rFonts w:ascii="宋体"/>
              </w:rPr>
            </w:pPr>
          </w:p>
        </w:tc>
        <w:tc>
          <w:tcPr>
            <w:tcW w:w="0" w:type="auto"/>
            <w:shd w:val="clear" w:color="auto" w:fill="auto"/>
            <w:vAlign w:val="bottom"/>
          </w:tcPr>
          <w:p w14:paraId="71D47691" w14:textId="77777777" w:rsidR="006A3667" w:rsidRDefault="006A3667">
            <w:pPr>
              <w:rPr>
                <w:rFonts w:ascii="宋体"/>
              </w:rPr>
            </w:pPr>
          </w:p>
        </w:tc>
        <w:tc>
          <w:tcPr>
            <w:tcW w:w="0" w:type="auto"/>
            <w:shd w:val="clear" w:color="auto" w:fill="auto"/>
            <w:vAlign w:val="bottom"/>
          </w:tcPr>
          <w:p w14:paraId="71D47692" w14:textId="77777777" w:rsidR="006A3667" w:rsidRDefault="006A3667">
            <w:pPr>
              <w:rPr>
                <w:rFonts w:ascii="宋体"/>
              </w:rPr>
            </w:pPr>
          </w:p>
        </w:tc>
        <w:tc>
          <w:tcPr>
            <w:tcW w:w="0" w:type="auto"/>
            <w:shd w:val="clear" w:color="auto" w:fill="auto"/>
            <w:vAlign w:val="bottom"/>
          </w:tcPr>
          <w:p w14:paraId="71D47693" w14:textId="77777777" w:rsidR="006A3667" w:rsidRDefault="006A3667">
            <w:pPr>
              <w:rPr>
                <w:rFonts w:ascii="宋体"/>
              </w:rPr>
            </w:pPr>
          </w:p>
        </w:tc>
        <w:tc>
          <w:tcPr>
            <w:tcW w:w="0" w:type="auto"/>
            <w:shd w:val="clear" w:color="auto" w:fill="auto"/>
            <w:vAlign w:val="bottom"/>
          </w:tcPr>
          <w:p w14:paraId="71D47694" w14:textId="77777777" w:rsidR="006A3667" w:rsidRDefault="006A3667">
            <w:pPr>
              <w:rPr>
                <w:rFonts w:ascii="宋体"/>
              </w:rPr>
            </w:pPr>
          </w:p>
        </w:tc>
        <w:tc>
          <w:tcPr>
            <w:tcW w:w="0" w:type="auto"/>
            <w:shd w:val="clear" w:color="auto" w:fill="auto"/>
            <w:vAlign w:val="bottom"/>
          </w:tcPr>
          <w:p w14:paraId="71D47695" w14:textId="77777777" w:rsidR="006A3667" w:rsidRDefault="006A3667">
            <w:pPr>
              <w:rPr>
                <w:rFonts w:ascii="宋体"/>
              </w:rPr>
            </w:pPr>
          </w:p>
        </w:tc>
        <w:tc>
          <w:tcPr>
            <w:tcW w:w="0" w:type="auto"/>
            <w:shd w:val="clear" w:color="auto" w:fill="auto"/>
            <w:vAlign w:val="bottom"/>
          </w:tcPr>
          <w:p w14:paraId="71D47696" w14:textId="77777777" w:rsidR="006A3667" w:rsidRDefault="006A3667">
            <w:pPr>
              <w:rPr>
                <w:rFonts w:ascii="宋体"/>
              </w:rPr>
            </w:pPr>
          </w:p>
        </w:tc>
        <w:tc>
          <w:tcPr>
            <w:tcW w:w="0" w:type="auto"/>
            <w:shd w:val="clear" w:color="auto" w:fill="auto"/>
            <w:vAlign w:val="bottom"/>
          </w:tcPr>
          <w:p w14:paraId="71D47697" w14:textId="77777777" w:rsidR="006A3667" w:rsidRDefault="006A3667">
            <w:pPr>
              <w:rPr>
                <w:rFonts w:ascii="宋体"/>
              </w:rPr>
            </w:pPr>
          </w:p>
        </w:tc>
        <w:tc>
          <w:tcPr>
            <w:tcW w:w="0" w:type="auto"/>
            <w:shd w:val="clear" w:color="auto" w:fill="auto"/>
            <w:vAlign w:val="bottom"/>
          </w:tcPr>
          <w:p w14:paraId="71D47698" w14:textId="77777777" w:rsidR="006A3667" w:rsidRDefault="006A3667">
            <w:pPr>
              <w:rPr>
                <w:rFonts w:ascii="宋体"/>
              </w:rPr>
            </w:pPr>
          </w:p>
        </w:tc>
        <w:tc>
          <w:tcPr>
            <w:tcW w:w="0" w:type="auto"/>
            <w:shd w:val="clear" w:color="auto" w:fill="auto"/>
            <w:vAlign w:val="bottom"/>
          </w:tcPr>
          <w:p w14:paraId="71D47699" w14:textId="77777777" w:rsidR="006A3667" w:rsidRDefault="006A3667">
            <w:pPr>
              <w:rPr>
                <w:rFonts w:ascii="宋体"/>
              </w:rPr>
            </w:pPr>
          </w:p>
        </w:tc>
        <w:tc>
          <w:tcPr>
            <w:tcW w:w="0" w:type="auto"/>
            <w:shd w:val="clear" w:color="auto" w:fill="auto"/>
            <w:vAlign w:val="bottom"/>
          </w:tcPr>
          <w:p w14:paraId="71D4769A" w14:textId="77777777" w:rsidR="006A3667" w:rsidRDefault="006A3667">
            <w:pPr>
              <w:rPr>
                <w:rFonts w:ascii="宋体"/>
              </w:rPr>
            </w:pPr>
          </w:p>
        </w:tc>
        <w:tc>
          <w:tcPr>
            <w:tcW w:w="0" w:type="auto"/>
            <w:shd w:val="clear" w:color="auto" w:fill="auto"/>
            <w:vAlign w:val="bottom"/>
          </w:tcPr>
          <w:p w14:paraId="71D4769B" w14:textId="77777777" w:rsidR="006A3667" w:rsidRDefault="006A3667">
            <w:pPr>
              <w:rPr>
                <w:rFonts w:ascii="宋体"/>
              </w:rPr>
            </w:pPr>
          </w:p>
        </w:tc>
        <w:tc>
          <w:tcPr>
            <w:tcW w:w="0" w:type="auto"/>
            <w:shd w:val="clear" w:color="auto" w:fill="auto"/>
            <w:vAlign w:val="bottom"/>
          </w:tcPr>
          <w:p w14:paraId="71D4769C" w14:textId="77777777" w:rsidR="006A3667" w:rsidRDefault="006A3667">
            <w:pPr>
              <w:rPr>
                <w:rFonts w:ascii="宋体"/>
              </w:rPr>
            </w:pPr>
          </w:p>
        </w:tc>
        <w:tc>
          <w:tcPr>
            <w:tcW w:w="0" w:type="auto"/>
            <w:shd w:val="clear" w:color="auto" w:fill="auto"/>
            <w:vAlign w:val="bottom"/>
          </w:tcPr>
          <w:p w14:paraId="71D4769D" w14:textId="77777777" w:rsidR="006A3667" w:rsidRDefault="006A3667">
            <w:pPr>
              <w:rPr>
                <w:rFonts w:ascii="宋体"/>
              </w:rPr>
            </w:pPr>
          </w:p>
        </w:tc>
        <w:tc>
          <w:tcPr>
            <w:tcW w:w="0" w:type="auto"/>
            <w:shd w:val="clear" w:color="auto" w:fill="auto"/>
            <w:vAlign w:val="bottom"/>
          </w:tcPr>
          <w:p w14:paraId="71D4769E" w14:textId="77777777" w:rsidR="006A3667" w:rsidRDefault="006A3667">
            <w:pPr>
              <w:rPr>
                <w:rFonts w:ascii="宋体"/>
              </w:rPr>
            </w:pPr>
          </w:p>
        </w:tc>
        <w:tc>
          <w:tcPr>
            <w:tcW w:w="0" w:type="auto"/>
            <w:shd w:val="clear" w:color="auto" w:fill="auto"/>
            <w:vAlign w:val="bottom"/>
          </w:tcPr>
          <w:p w14:paraId="71D4769F" w14:textId="77777777" w:rsidR="006A3667" w:rsidRDefault="006A3667">
            <w:pPr>
              <w:rPr>
                <w:rFonts w:ascii="宋体"/>
              </w:rPr>
            </w:pPr>
          </w:p>
        </w:tc>
        <w:tc>
          <w:tcPr>
            <w:tcW w:w="0" w:type="auto"/>
            <w:shd w:val="clear" w:color="auto" w:fill="auto"/>
            <w:vAlign w:val="bottom"/>
          </w:tcPr>
          <w:p w14:paraId="71D476A0" w14:textId="77777777" w:rsidR="006A3667" w:rsidRDefault="006A3667">
            <w:pPr>
              <w:rPr>
                <w:rFonts w:ascii="宋体"/>
              </w:rPr>
            </w:pPr>
          </w:p>
        </w:tc>
        <w:tc>
          <w:tcPr>
            <w:tcW w:w="0" w:type="auto"/>
            <w:shd w:val="clear" w:color="auto" w:fill="auto"/>
            <w:vAlign w:val="bottom"/>
          </w:tcPr>
          <w:p w14:paraId="71D476A1" w14:textId="77777777" w:rsidR="006A3667" w:rsidRDefault="006A3667">
            <w:pPr>
              <w:rPr>
                <w:rFonts w:ascii="宋体"/>
              </w:rPr>
            </w:pPr>
          </w:p>
        </w:tc>
        <w:tc>
          <w:tcPr>
            <w:tcW w:w="0" w:type="auto"/>
            <w:shd w:val="clear" w:color="auto" w:fill="auto"/>
            <w:vAlign w:val="bottom"/>
          </w:tcPr>
          <w:p w14:paraId="71D476A2" w14:textId="77777777" w:rsidR="006A3667" w:rsidRDefault="006A3667">
            <w:pPr>
              <w:rPr>
                <w:rFonts w:ascii="宋体"/>
              </w:rPr>
            </w:pPr>
          </w:p>
        </w:tc>
      </w:tr>
    </w:tbl>
    <w:p w14:paraId="71D476A4" w14:textId="77777777" w:rsidR="006A3667" w:rsidRDefault="00045F32">
      <w:pPr>
        <w:ind w:firstLine="450"/>
        <w:jc w:val="right"/>
      </w:pPr>
      <w:r>
        <w:rPr>
          <w:rFonts w:ascii="Arial" w:eastAsia="宋体" w:hAnsi="Arial" w:cs="Arial"/>
          <w:color w:val="000000"/>
          <w:sz w:val="18"/>
          <w:szCs w:val="18"/>
        </w:rPr>
        <w:t>State Street Corporation | 78</w:t>
      </w:r>
    </w:p>
    <w:p w14:paraId="71D476A5" w14:textId="77777777" w:rsidR="006A3667" w:rsidRDefault="006A3667">
      <w:pPr>
        <w:ind w:firstLine="450"/>
        <w:jc w:val="center"/>
      </w:pPr>
    </w:p>
    <w:p w14:paraId="71D476A6" w14:textId="77777777" w:rsidR="006A3667" w:rsidRDefault="00045F32">
      <w:r>
        <w:pict w14:anchorId="71D4AC62">
          <v:rect id="_x0000_i1102" style="width:415.3pt;height:1.5pt" o:hralign="center" o:hrstd="t" o:hr="t" fillcolor="#a0a0a0" stroked="f"/>
        </w:pict>
      </w:r>
    </w:p>
    <w:p w14:paraId="71D476A7" w14:textId="77777777" w:rsidR="006A3667" w:rsidRDefault="00045F32">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71D476A8"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76A9" w14:textId="77777777" w:rsidR="006A3667" w:rsidRDefault="00045F32">
      <w:pPr>
        <w:ind w:firstLine="450"/>
        <w:jc w:val="center"/>
      </w:pPr>
      <w:r>
        <w:rPr>
          <w:rFonts w:ascii="Arial" w:eastAsia="宋体" w:hAnsi="Arial" w:cs="Arial"/>
          <w:b/>
          <w:bCs/>
          <w:color w:val="000000"/>
          <w:sz w:val="20"/>
          <w:szCs w:val="20"/>
        </w:rPr>
        <w:t>(UNAUDITED)</w:t>
      </w:r>
    </w:p>
    <w:p w14:paraId="71D476AA" w14:textId="77777777" w:rsidR="006A3667" w:rsidRDefault="00045F32">
      <w:pPr>
        <w:spacing w:before="60"/>
        <w:ind w:firstLine="450"/>
        <w:jc w:val="both"/>
      </w:pPr>
      <w:r>
        <w:rPr>
          <w:rFonts w:ascii="Arial" w:eastAsia="宋体" w:hAnsi="Arial" w:cs="Arial"/>
          <w:color w:val="000000"/>
          <w:sz w:val="20"/>
          <w:szCs w:val="20"/>
        </w:rPr>
        <w:t>The following table shows the carrying amount and associated cumulative basis adjustments related to the application of hedge accounting that is included in the carrying am</w:t>
      </w:r>
      <w:r>
        <w:rPr>
          <w:rFonts w:ascii="Arial" w:eastAsia="宋体" w:hAnsi="Arial" w:cs="Arial"/>
          <w:color w:val="000000"/>
          <w:sz w:val="20"/>
          <w:szCs w:val="20"/>
        </w:rPr>
        <w:t>ount of hedged assets and liabilities in fair value hedging relationships: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72"/>
        <w:gridCol w:w="37"/>
        <w:gridCol w:w="110"/>
        <w:gridCol w:w="1564"/>
        <w:gridCol w:w="36"/>
        <w:gridCol w:w="36"/>
        <w:gridCol w:w="36"/>
        <w:gridCol w:w="36"/>
        <w:gridCol w:w="110"/>
        <w:gridCol w:w="1525"/>
        <w:gridCol w:w="37"/>
        <w:gridCol w:w="36"/>
        <w:gridCol w:w="36"/>
        <w:gridCol w:w="36"/>
        <w:gridCol w:w="110"/>
        <w:gridCol w:w="1527"/>
        <w:gridCol w:w="37"/>
        <w:gridCol w:w="36"/>
        <w:gridCol w:w="36"/>
        <w:gridCol w:w="36"/>
        <w:gridCol w:w="36"/>
        <w:gridCol w:w="36"/>
        <w:gridCol w:w="36"/>
      </w:tblGrid>
      <w:tr w:rsidR="006A3667" w14:paraId="71D476BF" w14:textId="77777777">
        <w:trPr>
          <w:jc w:val="center"/>
        </w:trPr>
        <w:tc>
          <w:tcPr>
            <w:tcW w:w="50" w:type="pct"/>
            <w:shd w:val="clear" w:color="auto" w:fill="auto"/>
            <w:vAlign w:val="bottom"/>
          </w:tcPr>
          <w:p w14:paraId="71D476AB" w14:textId="77777777" w:rsidR="006A3667" w:rsidRDefault="006A3667">
            <w:pPr>
              <w:rPr>
                <w:rFonts w:ascii="宋体"/>
              </w:rPr>
            </w:pPr>
          </w:p>
        </w:tc>
        <w:tc>
          <w:tcPr>
            <w:tcW w:w="1735" w:type="pct"/>
            <w:shd w:val="clear" w:color="auto" w:fill="auto"/>
            <w:vAlign w:val="bottom"/>
          </w:tcPr>
          <w:p w14:paraId="71D476AC" w14:textId="77777777" w:rsidR="006A3667" w:rsidRDefault="006A3667">
            <w:pPr>
              <w:rPr>
                <w:rFonts w:ascii="宋体"/>
              </w:rPr>
            </w:pPr>
          </w:p>
        </w:tc>
        <w:tc>
          <w:tcPr>
            <w:tcW w:w="5" w:type="pct"/>
            <w:shd w:val="clear" w:color="auto" w:fill="auto"/>
            <w:vAlign w:val="bottom"/>
          </w:tcPr>
          <w:p w14:paraId="71D476AD" w14:textId="77777777" w:rsidR="006A3667" w:rsidRDefault="006A3667">
            <w:pPr>
              <w:rPr>
                <w:rFonts w:ascii="宋体"/>
              </w:rPr>
            </w:pPr>
          </w:p>
        </w:tc>
        <w:tc>
          <w:tcPr>
            <w:tcW w:w="50" w:type="pct"/>
            <w:shd w:val="clear" w:color="auto" w:fill="auto"/>
            <w:vAlign w:val="bottom"/>
          </w:tcPr>
          <w:p w14:paraId="71D476AE" w14:textId="77777777" w:rsidR="006A3667" w:rsidRDefault="006A3667">
            <w:pPr>
              <w:rPr>
                <w:rFonts w:ascii="宋体"/>
              </w:rPr>
            </w:pPr>
          </w:p>
        </w:tc>
        <w:tc>
          <w:tcPr>
            <w:tcW w:w="990" w:type="pct"/>
            <w:shd w:val="clear" w:color="auto" w:fill="auto"/>
            <w:vAlign w:val="bottom"/>
          </w:tcPr>
          <w:p w14:paraId="71D476AF" w14:textId="77777777" w:rsidR="006A3667" w:rsidRDefault="006A3667">
            <w:pPr>
              <w:rPr>
                <w:rFonts w:ascii="宋体"/>
              </w:rPr>
            </w:pPr>
          </w:p>
        </w:tc>
        <w:tc>
          <w:tcPr>
            <w:tcW w:w="5" w:type="pct"/>
            <w:shd w:val="clear" w:color="auto" w:fill="auto"/>
            <w:vAlign w:val="bottom"/>
          </w:tcPr>
          <w:p w14:paraId="71D476B0" w14:textId="77777777" w:rsidR="006A3667" w:rsidRDefault="006A3667">
            <w:pPr>
              <w:rPr>
                <w:rFonts w:ascii="宋体"/>
              </w:rPr>
            </w:pPr>
          </w:p>
        </w:tc>
        <w:tc>
          <w:tcPr>
            <w:tcW w:w="5" w:type="pct"/>
            <w:shd w:val="clear" w:color="auto" w:fill="auto"/>
            <w:vAlign w:val="bottom"/>
          </w:tcPr>
          <w:p w14:paraId="71D476B1" w14:textId="77777777" w:rsidR="006A3667" w:rsidRDefault="006A3667">
            <w:pPr>
              <w:rPr>
                <w:rFonts w:ascii="宋体"/>
              </w:rPr>
            </w:pPr>
          </w:p>
        </w:tc>
        <w:tc>
          <w:tcPr>
            <w:tcW w:w="26" w:type="pct"/>
            <w:shd w:val="clear" w:color="auto" w:fill="auto"/>
            <w:vAlign w:val="bottom"/>
          </w:tcPr>
          <w:p w14:paraId="71D476B2" w14:textId="77777777" w:rsidR="006A3667" w:rsidRDefault="006A3667">
            <w:pPr>
              <w:rPr>
                <w:rFonts w:ascii="宋体"/>
              </w:rPr>
            </w:pPr>
          </w:p>
        </w:tc>
        <w:tc>
          <w:tcPr>
            <w:tcW w:w="5" w:type="pct"/>
            <w:shd w:val="clear" w:color="auto" w:fill="auto"/>
            <w:vAlign w:val="bottom"/>
          </w:tcPr>
          <w:p w14:paraId="71D476B3" w14:textId="77777777" w:rsidR="006A3667" w:rsidRDefault="006A3667">
            <w:pPr>
              <w:rPr>
                <w:rFonts w:ascii="宋体"/>
              </w:rPr>
            </w:pPr>
          </w:p>
        </w:tc>
        <w:tc>
          <w:tcPr>
            <w:tcW w:w="50" w:type="pct"/>
            <w:shd w:val="clear" w:color="auto" w:fill="auto"/>
            <w:vAlign w:val="bottom"/>
          </w:tcPr>
          <w:p w14:paraId="71D476B4" w14:textId="77777777" w:rsidR="006A3667" w:rsidRDefault="006A3667">
            <w:pPr>
              <w:rPr>
                <w:rFonts w:ascii="宋体"/>
              </w:rPr>
            </w:pPr>
          </w:p>
        </w:tc>
        <w:tc>
          <w:tcPr>
            <w:tcW w:w="990" w:type="pct"/>
            <w:shd w:val="clear" w:color="auto" w:fill="auto"/>
            <w:vAlign w:val="bottom"/>
          </w:tcPr>
          <w:p w14:paraId="71D476B5" w14:textId="77777777" w:rsidR="006A3667" w:rsidRDefault="006A3667">
            <w:pPr>
              <w:rPr>
                <w:rFonts w:ascii="宋体"/>
              </w:rPr>
            </w:pPr>
          </w:p>
        </w:tc>
        <w:tc>
          <w:tcPr>
            <w:tcW w:w="5" w:type="pct"/>
            <w:shd w:val="clear" w:color="auto" w:fill="auto"/>
            <w:vAlign w:val="bottom"/>
          </w:tcPr>
          <w:p w14:paraId="71D476B6" w14:textId="77777777" w:rsidR="006A3667" w:rsidRDefault="006A3667">
            <w:pPr>
              <w:rPr>
                <w:rFonts w:ascii="宋体"/>
              </w:rPr>
            </w:pPr>
          </w:p>
        </w:tc>
        <w:tc>
          <w:tcPr>
            <w:tcW w:w="5" w:type="pct"/>
            <w:shd w:val="clear" w:color="auto" w:fill="auto"/>
            <w:vAlign w:val="bottom"/>
          </w:tcPr>
          <w:p w14:paraId="71D476B7" w14:textId="77777777" w:rsidR="006A3667" w:rsidRDefault="006A3667">
            <w:pPr>
              <w:rPr>
                <w:rFonts w:ascii="宋体"/>
              </w:rPr>
            </w:pPr>
          </w:p>
        </w:tc>
        <w:tc>
          <w:tcPr>
            <w:tcW w:w="26" w:type="pct"/>
            <w:shd w:val="clear" w:color="auto" w:fill="auto"/>
            <w:vAlign w:val="bottom"/>
          </w:tcPr>
          <w:p w14:paraId="71D476B8" w14:textId="77777777" w:rsidR="006A3667" w:rsidRDefault="006A3667">
            <w:pPr>
              <w:rPr>
                <w:rFonts w:ascii="宋体"/>
              </w:rPr>
            </w:pPr>
          </w:p>
        </w:tc>
        <w:tc>
          <w:tcPr>
            <w:tcW w:w="5" w:type="pct"/>
            <w:shd w:val="clear" w:color="auto" w:fill="auto"/>
            <w:vAlign w:val="bottom"/>
          </w:tcPr>
          <w:p w14:paraId="71D476B9" w14:textId="77777777" w:rsidR="006A3667" w:rsidRDefault="006A3667">
            <w:pPr>
              <w:rPr>
                <w:rFonts w:ascii="宋体"/>
              </w:rPr>
            </w:pPr>
          </w:p>
        </w:tc>
        <w:tc>
          <w:tcPr>
            <w:tcW w:w="50" w:type="pct"/>
            <w:shd w:val="clear" w:color="auto" w:fill="auto"/>
            <w:vAlign w:val="bottom"/>
          </w:tcPr>
          <w:p w14:paraId="71D476BA" w14:textId="77777777" w:rsidR="006A3667" w:rsidRDefault="006A3667">
            <w:pPr>
              <w:rPr>
                <w:rFonts w:ascii="宋体"/>
              </w:rPr>
            </w:pPr>
          </w:p>
        </w:tc>
        <w:tc>
          <w:tcPr>
            <w:tcW w:w="990" w:type="pct"/>
            <w:shd w:val="clear" w:color="auto" w:fill="auto"/>
            <w:vAlign w:val="bottom"/>
          </w:tcPr>
          <w:p w14:paraId="71D476BB" w14:textId="77777777" w:rsidR="006A3667" w:rsidRDefault="006A3667">
            <w:pPr>
              <w:rPr>
                <w:rFonts w:ascii="宋体"/>
              </w:rPr>
            </w:pPr>
          </w:p>
        </w:tc>
        <w:tc>
          <w:tcPr>
            <w:tcW w:w="5" w:type="pct"/>
            <w:shd w:val="clear" w:color="auto" w:fill="auto"/>
            <w:vAlign w:val="bottom"/>
          </w:tcPr>
          <w:p w14:paraId="71D476BC" w14:textId="77777777" w:rsidR="006A3667" w:rsidRDefault="006A3667">
            <w:pPr>
              <w:rPr>
                <w:rFonts w:ascii="宋体"/>
              </w:rPr>
            </w:pPr>
          </w:p>
        </w:tc>
        <w:tc>
          <w:tcPr>
            <w:tcW w:w="0" w:type="auto"/>
            <w:gridSpan w:val="3"/>
            <w:shd w:val="clear" w:color="auto" w:fill="auto"/>
            <w:vAlign w:val="bottom"/>
          </w:tcPr>
          <w:p w14:paraId="71D476BD" w14:textId="77777777" w:rsidR="006A3667" w:rsidRDefault="006A3667">
            <w:pPr>
              <w:rPr>
                <w:rFonts w:ascii="宋体"/>
                <w:vanish/>
              </w:rPr>
            </w:pPr>
          </w:p>
        </w:tc>
        <w:tc>
          <w:tcPr>
            <w:tcW w:w="0" w:type="auto"/>
            <w:gridSpan w:val="3"/>
            <w:shd w:val="clear" w:color="auto" w:fill="auto"/>
            <w:vAlign w:val="bottom"/>
          </w:tcPr>
          <w:p w14:paraId="71D476BE" w14:textId="77777777" w:rsidR="006A3667" w:rsidRDefault="006A3667">
            <w:pPr>
              <w:rPr>
                <w:rFonts w:ascii="宋体"/>
                <w:vanish/>
              </w:rPr>
            </w:pPr>
          </w:p>
        </w:tc>
      </w:tr>
      <w:tr w:rsidR="006A3667" w14:paraId="71D476C4" w14:textId="77777777">
        <w:trPr>
          <w:jc w:val="center"/>
        </w:trPr>
        <w:tc>
          <w:tcPr>
            <w:tcW w:w="0" w:type="auto"/>
            <w:gridSpan w:val="3"/>
            <w:shd w:val="clear" w:color="auto" w:fill="auto"/>
            <w:tcMar>
              <w:top w:w="0" w:type="dxa"/>
              <w:left w:w="20" w:type="dxa"/>
              <w:bottom w:w="0" w:type="dxa"/>
              <w:right w:w="20" w:type="dxa"/>
            </w:tcMar>
            <w:vAlign w:val="bottom"/>
          </w:tcPr>
          <w:p w14:paraId="71D476C0" w14:textId="77777777" w:rsidR="006A3667" w:rsidRDefault="006A3667">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1D476C1" w14:textId="77777777" w:rsidR="006A3667" w:rsidRDefault="00045F32">
            <w:pPr>
              <w:jc w:val="center"/>
              <w:textAlignment w:val="bottom"/>
            </w:pPr>
            <w:r>
              <w:rPr>
                <w:rFonts w:ascii="Arial" w:eastAsia="宋体" w:hAnsi="Arial" w:cs="Arial"/>
                <w:b/>
                <w:bCs/>
                <w:color w:val="000000"/>
                <w:sz w:val="16"/>
                <w:szCs w:val="16"/>
              </w:rPr>
              <w:t>September 30, 2022</w:t>
            </w:r>
          </w:p>
        </w:tc>
        <w:tc>
          <w:tcPr>
            <w:tcW w:w="0" w:type="auto"/>
            <w:gridSpan w:val="3"/>
            <w:shd w:val="clear" w:color="auto" w:fill="auto"/>
            <w:vAlign w:val="bottom"/>
          </w:tcPr>
          <w:p w14:paraId="71D476C2" w14:textId="77777777" w:rsidR="006A3667" w:rsidRDefault="006A3667">
            <w:pPr>
              <w:rPr>
                <w:rFonts w:ascii="宋体"/>
                <w:vanish/>
              </w:rPr>
            </w:pPr>
          </w:p>
        </w:tc>
        <w:tc>
          <w:tcPr>
            <w:tcW w:w="0" w:type="auto"/>
            <w:gridSpan w:val="3"/>
            <w:shd w:val="clear" w:color="auto" w:fill="auto"/>
            <w:vAlign w:val="bottom"/>
          </w:tcPr>
          <w:p w14:paraId="71D476C3" w14:textId="77777777" w:rsidR="006A3667" w:rsidRDefault="006A3667">
            <w:pPr>
              <w:rPr>
                <w:rFonts w:ascii="宋体"/>
                <w:vanish/>
              </w:rPr>
            </w:pPr>
          </w:p>
        </w:tc>
      </w:tr>
      <w:tr w:rsidR="006A3667" w14:paraId="71D476CB" w14:textId="77777777">
        <w:trPr>
          <w:jc w:val="center"/>
        </w:trPr>
        <w:tc>
          <w:tcPr>
            <w:tcW w:w="0" w:type="auto"/>
            <w:gridSpan w:val="3"/>
            <w:shd w:val="clear" w:color="auto" w:fill="auto"/>
            <w:tcMar>
              <w:top w:w="0" w:type="dxa"/>
              <w:left w:w="20" w:type="dxa"/>
              <w:bottom w:w="0" w:type="dxa"/>
              <w:right w:w="20" w:type="dxa"/>
            </w:tcMar>
            <w:vAlign w:val="bottom"/>
          </w:tcPr>
          <w:p w14:paraId="71D476C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6C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6C7"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6C8" w14:textId="77777777" w:rsidR="006A3667" w:rsidRDefault="00045F32">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71D476C9" w14:textId="77777777" w:rsidR="006A3667" w:rsidRDefault="006A3667">
            <w:pPr>
              <w:rPr>
                <w:rFonts w:ascii="宋体"/>
                <w:vanish/>
              </w:rPr>
            </w:pPr>
          </w:p>
        </w:tc>
        <w:tc>
          <w:tcPr>
            <w:tcW w:w="0" w:type="auto"/>
            <w:gridSpan w:val="3"/>
            <w:shd w:val="clear" w:color="auto" w:fill="auto"/>
            <w:vAlign w:val="bottom"/>
          </w:tcPr>
          <w:p w14:paraId="71D476CA" w14:textId="77777777" w:rsidR="006A3667" w:rsidRDefault="006A3667">
            <w:pPr>
              <w:rPr>
                <w:rFonts w:ascii="宋体"/>
                <w:vanish/>
              </w:rPr>
            </w:pPr>
          </w:p>
        </w:tc>
      </w:tr>
      <w:tr w:rsidR="006A3667" w14:paraId="71D476D4" w14:textId="77777777">
        <w:trPr>
          <w:jc w:val="center"/>
        </w:trPr>
        <w:tc>
          <w:tcPr>
            <w:tcW w:w="0" w:type="auto"/>
            <w:gridSpan w:val="3"/>
            <w:shd w:val="clear" w:color="auto" w:fill="auto"/>
            <w:tcMar>
              <w:top w:w="40" w:type="dxa"/>
              <w:left w:w="20" w:type="dxa"/>
              <w:bottom w:w="40" w:type="dxa"/>
              <w:right w:w="20" w:type="dxa"/>
            </w:tcMar>
            <w:vAlign w:val="bottom"/>
          </w:tcPr>
          <w:p w14:paraId="71D476CC" w14:textId="77777777" w:rsidR="006A3667" w:rsidRDefault="00045F32">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71D476CD" w14:textId="77777777" w:rsidR="006A3667" w:rsidRDefault="00045F32">
            <w:pPr>
              <w:jc w:val="center"/>
              <w:textAlignment w:val="bottom"/>
            </w:pPr>
            <w:r>
              <w:rPr>
                <w:rFonts w:ascii="Arial" w:eastAsia="宋体" w:hAnsi="Arial" w:cs="Arial"/>
                <w:b/>
                <w:bCs/>
                <w:color w:val="000000"/>
                <w:sz w:val="16"/>
                <w:szCs w:val="16"/>
              </w:rPr>
              <w:t xml:space="preserve">Carrying Amount of Hedged </w:t>
            </w:r>
            <w:r>
              <w:rPr>
                <w:rFonts w:ascii="Arial" w:eastAsia="宋体" w:hAnsi="Arial" w:cs="Arial"/>
                <w:b/>
                <w:bCs/>
                <w:color w:val="000000"/>
                <w:sz w:val="16"/>
                <w:szCs w:val="16"/>
              </w:rPr>
              <w:t>Assets/Liabilities</w:t>
            </w:r>
          </w:p>
        </w:tc>
        <w:tc>
          <w:tcPr>
            <w:tcW w:w="0" w:type="auto"/>
            <w:gridSpan w:val="3"/>
            <w:shd w:val="clear" w:color="auto" w:fill="auto"/>
            <w:tcMar>
              <w:top w:w="0" w:type="dxa"/>
              <w:left w:w="20" w:type="dxa"/>
              <w:bottom w:w="0" w:type="dxa"/>
              <w:right w:w="20" w:type="dxa"/>
            </w:tcMar>
            <w:vAlign w:val="bottom"/>
          </w:tcPr>
          <w:p w14:paraId="71D476C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6CF" w14:textId="77777777" w:rsidR="006A3667" w:rsidRDefault="00045F32">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6D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6D1" w14:textId="77777777" w:rsidR="006A3667" w:rsidRDefault="00045F32">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71D476D2" w14:textId="77777777" w:rsidR="006A3667" w:rsidRDefault="006A3667">
            <w:pPr>
              <w:rPr>
                <w:rFonts w:ascii="宋体"/>
                <w:vanish/>
              </w:rPr>
            </w:pPr>
          </w:p>
        </w:tc>
        <w:tc>
          <w:tcPr>
            <w:tcW w:w="0" w:type="auto"/>
            <w:gridSpan w:val="3"/>
            <w:shd w:val="clear" w:color="auto" w:fill="auto"/>
            <w:vAlign w:val="bottom"/>
          </w:tcPr>
          <w:p w14:paraId="71D476D3" w14:textId="77777777" w:rsidR="006A3667" w:rsidRDefault="006A3667">
            <w:pPr>
              <w:rPr>
                <w:rFonts w:ascii="宋体"/>
                <w:vanish/>
              </w:rPr>
            </w:pPr>
          </w:p>
        </w:tc>
      </w:tr>
      <w:tr w:rsidR="006A3667" w14:paraId="71D476E3" w14:textId="77777777">
        <w:trPr>
          <w:jc w:val="center"/>
        </w:trPr>
        <w:tc>
          <w:tcPr>
            <w:tcW w:w="0" w:type="auto"/>
            <w:gridSpan w:val="3"/>
            <w:shd w:val="clear" w:color="auto" w:fill="CCEEFF"/>
            <w:tcMar>
              <w:top w:w="40" w:type="dxa"/>
              <w:left w:w="20" w:type="dxa"/>
              <w:bottom w:w="40" w:type="dxa"/>
              <w:right w:w="20" w:type="dxa"/>
            </w:tcMar>
            <w:vAlign w:val="bottom"/>
          </w:tcPr>
          <w:p w14:paraId="71D476D5" w14:textId="77777777" w:rsidR="006A3667" w:rsidRDefault="00045F32">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6D6"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6D7" w14:textId="77777777" w:rsidR="006A3667" w:rsidRDefault="00045F32">
            <w:pPr>
              <w:jc w:val="right"/>
              <w:textAlignment w:val="bottom"/>
            </w:pPr>
            <w:r>
              <w:rPr>
                <w:rFonts w:ascii="Arial" w:eastAsia="宋体" w:hAnsi="Arial" w:cs="Arial"/>
                <w:b/>
                <w:bCs/>
                <w:color w:val="000000"/>
                <w:sz w:val="16"/>
                <w:szCs w:val="16"/>
              </w:rPr>
              <w:t>11,018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6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D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6DA"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6DB" w14:textId="77777777" w:rsidR="006A3667" w:rsidRDefault="00045F32">
            <w:pPr>
              <w:jc w:val="right"/>
              <w:textAlignment w:val="bottom"/>
            </w:pPr>
            <w:r>
              <w:rPr>
                <w:rFonts w:ascii="Arial" w:eastAsia="宋体" w:hAnsi="Arial" w:cs="Arial"/>
                <w:b/>
                <w:bCs/>
                <w:color w:val="000000"/>
                <w:sz w:val="16"/>
                <w:szCs w:val="16"/>
              </w:rPr>
              <w:t>(664)</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6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6D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6DE"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6DF" w14:textId="77777777" w:rsidR="006A3667" w:rsidRDefault="00045F32">
            <w:pPr>
              <w:jc w:val="right"/>
              <w:textAlignment w:val="bottom"/>
            </w:pPr>
            <w:r>
              <w:rPr>
                <w:rFonts w:ascii="Arial" w:eastAsia="宋体" w:hAnsi="Arial" w:cs="Arial"/>
                <w:b/>
                <w:bCs/>
                <w:color w:val="000000"/>
                <w:sz w:val="16"/>
                <w:szCs w:val="16"/>
              </w:rPr>
              <w:t>399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6E0" w14:textId="77777777" w:rsidR="006A3667" w:rsidRDefault="006A3667">
            <w:pPr>
              <w:jc w:val="right"/>
              <w:rPr>
                <w:rFonts w:ascii="宋体"/>
              </w:rPr>
            </w:pPr>
          </w:p>
        </w:tc>
        <w:tc>
          <w:tcPr>
            <w:tcW w:w="0" w:type="auto"/>
            <w:gridSpan w:val="3"/>
            <w:shd w:val="clear" w:color="auto" w:fill="auto"/>
            <w:vAlign w:val="bottom"/>
          </w:tcPr>
          <w:p w14:paraId="71D476E1" w14:textId="77777777" w:rsidR="006A3667" w:rsidRDefault="006A3667">
            <w:pPr>
              <w:rPr>
                <w:rFonts w:ascii="宋体"/>
                <w:vanish/>
              </w:rPr>
            </w:pPr>
          </w:p>
        </w:tc>
        <w:tc>
          <w:tcPr>
            <w:tcW w:w="0" w:type="auto"/>
            <w:gridSpan w:val="3"/>
            <w:shd w:val="clear" w:color="auto" w:fill="auto"/>
            <w:vAlign w:val="bottom"/>
          </w:tcPr>
          <w:p w14:paraId="71D476E2" w14:textId="77777777" w:rsidR="006A3667" w:rsidRDefault="006A3667">
            <w:pPr>
              <w:rPr>
                <w:rFonts w:ascii="宋体"/>
                <w:vanish/>
              </w:rPr>
            </w:pPr>
          </w:p>
        </w:tc>
      </w:tr>
      <w:tr w:rsidR="006A3667" w14:paraId="71D476EF" w14:textId="77777777">
        <w:trPr>
          <w:jc w:val="center"/>
        </w:trPr>
        <w:tc>
          <w:tcPr>
            <w:tcW w:w="0" w:type="auto"/>
            <w:gridSpan w:val="3"/>
            <w:shd w:val="clear" w:color="auto" w:fill="FFFFFF"/>
            <w:tcMar>
              <w:top w:w="40" w:type="dxa"/>
              <w:left w:w="20" w:type="dxa"/>
              <w:bottom w:w="40" w:type="dxa"/>
              <w:right w:w="20" w:type="dxa"/>
            </w:tcMar>
            <w:vAlign w:val="bottom"/>
          </w:tcPr>
          <w:p w14:paraId="71D476E4" w14:textId="77777777" w:rsidR="006A3667" w:rsidRDefault="00045F32">
            <w:pPr>
              <w:textAlignment w:val="bottom"/>
            </w:pPr>
            <w:r>
              <w:rPr>
                <w:rFonts w:ascii="Arial" w:eastAsia="宋体" w:hAnsi="Arial" w:cs="Arial"/>
                <w:color w:val="000000"/>
                <w:sz w:val="16"/>
                <w:szCs w:val="16"/>
              </w:rPr>
              <w:t>Available-for-sale securities</w:t>
            </w:r>
            <w:r>
              <w:rPr>
                <w:rFonts w:ascii="Arial" w:eastAsia="宋体" w:hAnsi="Arial" w:cs="Arial"/>
                <w:color w:val="000000"/>
                <w:sz w:val="10"/>
                <w:szCs w:val="10"/>
              </w:rPr>
              <w:t>(2)(3)</w:t>
            </w:r>
          </w:p>
        </w:tc>
        <w:tc>
          <w:tcPr>
            <w:tcW w:w="0" w:type="auto"/>
            <w:gridSpan w:val="2"/>
            <w:shd w:val="clear" w:color="auto" w:fill="FFFFFF"/>
            <w:tcMar>
              <w:top w:w="40" w:type="dxa"/>
              <w:left w:w="20" w:type="dxa"/>
              <w:bottom w:w="40" w:type="dxa"/>
              <w:right w:w="0" w:type="dxa"/>
            </w:tcMar>
            <w:vAlign w:val="bottom"/>
          </w:tcPr>
          <w:p w14:paraId="71D476E5" w14:textId="77777777" w:rsidR="006A3667" w:rsidRDefault="00045F32">
            <w:pPr>
              <w:jc w:val="right"/>
              <w:textAlignment w:val="bottom"/>
            </w:pPr>
            <w:r>
              <w:rPr>
                <w:rFonts w:ascii="Arial" w:eastAsia="宋体" w:hAnsi="Arial" w:cs="Arial"/>
                <w:b/>
                <w:bCs/>
                <w:color w:val="000000"/>
                <w:sz w:val="16"/>
                <w:szCs w:val="16"/>
              </w:rPr>
              <w:t>9,884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1D476E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6E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6E8" w14:textId="77777777" w:rsidR="006A3667" w:rsidRDefault="00045F32">
            <w:pPr>
              <w:jc w:val="right"/>
              <w:textAlignment w:val="bottom"/>
            </w:pPr>
            <w:r>
              <w:rPr>
                <w:rFonts w:ascii="Arial" w:eastAsia="宋体" w:hAnsi="Arial" w:cs="Arial"/>
                <w:b/>
                <w:bCs/>
                <w:color w:val="000000"/>
                <w:sz w:val="16"/>
                <w:szCs w:val="16"/>
              </w:rPr>
              <w:t>(709)</w:t>
            </w:r>
          </w:p>
        </w:tc>
        <w:tc>
          <w:tcPr>
            <w:tcW w:w="0" w:type="auto"/>
            <w:shd w:val="clear" w:color="auto" w:fill="FFFFFF"/>
            <w:tcMar>
              <w:top w:w="40" w:type="dxa"/>
              <w:left w:w="0" w:type="dxa"/>
              <w:bottom w:w="40" w:type="dxa"/>
              <w:right w:w="20" w:type="dxa"/>
            </w:tcMar>
            <w:vAlign w:val="bottom"/>
          </w:tcPr>
          <w:p w14:paraId="71D476E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6E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6EB" w14:textId="77777777" w:rsidR="006A3667" w:rsidRDefault="00045F32">
            <w:pPr>
              <w:jc w:val="right"/>
              <w:textAlignment w:val="bottom"/>
            </w:pPr>
            <w:r>
              <w:rPr>
                <w:rFonts w:ascii="Arial" w:eastAsia="宋体" w:hAnsi="Arial" w:cs="Arial"/>
                <w:b/>
                <w:bCs/>
                <w:color w:val="000000"/>
                <w:sz w:val="16"/>
                <w:szCs w:val="16"/>
              </w:rPr>
              <w:t>11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1D476EC" w14:textId="77777777" w:rsidR="006A3667" w:rsidRDefault="006A3667">
            <w:pPr>
              <w:jc w:val="right"/>
              <w:rPr>
                <w:rFonts w:ascii="宋体"/>
              </w:rPr>
            </w:pPr>
          </w:p>
        </w:tc>
        <w:tc>
          <w:tcPr>
            <w:tcW w:w="0" w:type="auto"/>
            <w:gridSpan w:val="3"/>
            <w:shd w:val="clear" w:color="auto" w:fill="auto"/>
            <w:vAlign w:val="bottom"/>
          </w:tcPr>
          <w:p w14:paraId="71D476ED" w14:textId="77777777" w:rsidR="006A3667" w:rsidRDefault="006A3667">
            <w:pPr>
              <w:rPr>
                <w:rFonts w:ascii="宋体"/>
                <w:vanish/>
              </w:rPr>
            </w:pPr>
          </w:p>
        </w:tc>
        <w:tc>
          <w:tcPr>
            <w:tcW w:w="0" w:type="auto"/>
            <w:gridSpan w:val="3"/>
            <w:shd w:val="clear" w:color="auto" w:fill="auto"/>
            <w:vAlign w:val="bottom"/>
          </w:tcPr>
          <w:p w14:paraId="71D476EE" w14:textId="77777777" w:rsidR="006A3667" w:rsidRDefault="006A3667">
            <w:pPr>
              <w:rPr>
                <w:rFonts w:ascii="宋体"/>
                <w:vanish/>
              </w:rPr>
            </w:pPr>
          </w:p>
        </w:tc>
      </w:tr>
      <w:tr w:rsidR="006A3667" w14:paraId="71D476F8" w14:textId="77777777">
        <w:trPr>
          <w:trHeight w:val="220"/>
          <w:jc w:val="center"/>
        </w:trPr>
        <w:tc>
          <w:tcPr>
            <w:tcW w:w="0" w:type="auto"/>
            <w:gridSpan w:val="3"/>
            <w:shd w:val="clear" w:color="auto" w:fill="auto"/>
            <w:tcMar>
              <w:top w:w="0" w:type="dxa"/>
              <w:left w:w="20" w:type="dxa"/>
              <w:bottom w:w="0" w:type="dxa"/>
              <w:right w:w="20" w:type="dxa"/>
            </w:tcMar>
            <w:vAlign w:val="bottom"/>
          </w:tcPr>
          <w:p w14:paraId="71D476F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6F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6F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6F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6F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6F5" w14:textId="77777777" w:rsidR="006A3667" w:rsidRDefault="006A3667">
            <w:pPr>
              <w:rPr>
                <w:rFonts w:ascii="宋体"/>
              </w:rPr>
            </w:pPr>
          </w:p>
        </w:tc>
        <w:tc>
          <w:tcPr>
            <w:tcW w:w="0" w:type="auto"/>
            <w:gridSpan w:val="3"/>
            <w:shd w:val="clear" w:color="auto" w:fill="auto"/>
            <w:vAlign w:val="bottom"/>
          </w:tcPr>
          <w:p w14:paraId="71D476F6" w14:textId="77777777" w:rsidR="006A3667" w:rsidRDefault="006A3667">
            <w:pPr>
              <w:rPr>
                <w:rFonts w:ascii="宋体"/>
                <w:vanish/>
              </w:rPr>
            </w:pPr>
          </w:p>
        </w:tc>
        <w:tc>
          <w:tcPr>
            <w:tcW w:w="0" w:type="auto"/>
            <w:gridSpan w:val="3"/>
            <w:shd w:val="clear" w:color="auto" w:fill="auto"/>
            <w:vAlign w:val="bottom"/>
          </w:tcPr>
          <w:p w14:paraId="71D476F7" w14:textId="77777777" w:rsidR="006A3667" w:rsidRDefault="006A3667">
            <w:pPr>
              <w:rPr>
                <w:rFonts w:ascii="宋体"/>
                <w:vanish/>
              </w:rPr>
            </w:pPr>
          </w:p>
        </w:tc>
      </w:tr>
      <w:tr w:rsidR="006A3667" w14:paraId="71D476FD" w14:textId="77777777">
        <w:trPr>
          <w:jc w:val="center"/>
        </w:trPr>
        <w:tc>
          <w:tcPr>
            <w:tcW w:w="0" w:type="auto"/>
            <w:gridSpan w:val="3"/>
            <w:shd w:val="clear" w:color="auto" w:fill="auto"/>
            <w:tcMar>
              <w:top w:w="0" w:type="dxa"/>
              <w:left w:w="20" w:type="dxa"/>
              <w:bottom w:w="0" w:type="dxa"/>
              <w:right w:w="20" w:type="dxa"/>
            </w:tcMar>
            <w:vAlign w:val="bottom"/>
          </w:tcPr>
          <w:p w14:paraId="71D476F9" w14:textId="77777777" w:rsidR="006A3667" w:rsidRDefault="006A3667">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71D476FA" w14:textId="77777777" w:rsidR="006A3667" w:rsidRDefault="00045F32">
            <w:pPr>
              <w:jc w:val="center"/>
              <w:textAlignment w:val="bottom"/>
            </w:pPr>
            <w:r>
              <w:rPr>
                <w:rFonts w:ascii="Arial" w:eastAsia="宋体" w:hAnsi="Arial" w:cs="Arial"/>
                <w:b/>
                <w:bCs/>
                <w:color w:val="000000"/>
                <w:sz w:val="16"/>
                <w:szCs w:val="16"/>
              </w:rPr>
              <w:t>December 31, 2021</w:t>
            </w:r>
          </w:p>
        </w:tc>
        <w:tc>
          <w:tcPr>
            <w:tcW w:w="0" w:type="auto"/>
            <w:gridSpan w:val="3"/>
            <w:shd w:val="clear" w:color="auto" w:fill="auto"/>
            <w:vAlign w:val="bottom"/>
          </w:tcPr>
          <w:p w14:paraId="71D476FB" w14:textId="77777777" w:rsidR="006A3667" w:rsidRDefault="006A3667">
            <w:pPr>
              <w:rPr>
                <w:rFonts w:ascii="宋体"/>
                <w:vanish/>
              </w:rPr>
            </w:pPr>
          </w:p>
        </w:tc>
        <w:tc>
          <w:tcPr>
            <w:tcW w:w="0" w:type="auto"/>
            <w:gridSpan w:val="3"/>
            <w:shd w:val="clear" w:color="auto" w:fill="auto"/>
            <w:vAlign w:val="bottom"/>
          </w:tcPr>
          <w:p w14:paraId="71D476FC" w14:textId="77777777" w:rsidR="006A3667" w:rsidRDefault="006A3667">
            <w:pPr>
              <w:rPr>
                <w:rFonts w:ascii="宋体"/>
                <w:vanish/>
              </w:rPr>
            </w:pPr>
          </w:p>
        </w:tc>
      </w:tr>
      <w:tr w:rsidR="006A3667" w14:paraId="71D47704" w14:textId="77777777">
        <w:trPr>
          <w:jc w:val="center"/>
        </w:trPr>
        <w:tc>
          <w:tcPr>
            <w:tcW w:w="0" w:type="auto"/>
            <w:gridSpan w:val="3"/>
            <w:shd w:val="clear" w:color="auto" w:fill="auto"/>
            <w:tcMar>
              <w:top w:w="0" w:type="dxa"/>
              <w:left w:w="20" w:type="dxa"/>
              <w:bottom w:w="0" w:type="dxa"/>
              <w:right w:w="20" w:type="dxa"/>
            </w:tcMar>
            <w:vAlign w:val="bottom"/>
          </w:tcPr>
          <w:p w14:paraId="71D476F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6F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700"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701" w14:textId="77777777" w:rsidR="006A3667" w:rsidRDefault="00045F32">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71D47702" w14:textId="77777777" w:rsidR="006A3667" w:rsidRDefault="006A3667">
            <w:pPr>
              <w:rPr>
                <w:rFonts w:ascii="宋体"/>
                <w:vanish/>
              </w:rPr>
            </w:pPr>
          </w:p>
        </w:tc>
        <w:tc>
          <w:tcPr>
            <w:tcW w:w="0" w:type="auto"/>
            <w:gridSpan w:val="3"/>
            <w:shd w:val="clear" w:color="auto" w:fill="auto"/>
            <w:vAlign w:val="bottom"/>
          </w:tcPr>
          <w:p w14:paraId="71D47703" w14:textId="77777777" w:rsidR="006A3667" w:rsidRDefault="006A3667">
            <w:pPr>
              <w:rPr>
                <w:rFonts w:ascii="宋体"/>
                <w:vanish/>
              </w:rPr>
            </w:pPr>
          </w:p>
        </w:tc>
      </w:tr>
      <w:tr w:rsidR="006A3667" w14:paraId="71D4770D" w14:textId="77777777">
        <w:trPr>
          <w:jc w:val="center"/>
        </w:trPr>
        <w:tc>
          <w:tcPr>
            <w:tcW w:w="0" w:type="auto"/>
            <w:gridSpan w:val="3"/>
            <w:shd w:val="clear" w:color="auto" w:fill="auto"/>
            <w:tcMar>
              <w:top w:w="40" w:type="dxa"/>
              <w:left w:w="20" w:type="dxa"/>
              <w:bottom w:w="40" w:type="dxa"/>
              <w:right w:w="20" w:type="dxa"/>
            </w:tcMar>
            <w:vAlign w:val="bottom"/>
          </w:tcPr>
          <w:p w14:paraId="71D47705" w14:textId="77777777" w:rsidR="006A3667" w:rsidRDefault="00045F32">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71D47706" w14:textId="77777777" w:rsidR="006A3667" w:rsidRDefault="00045F32">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71D4770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708" w14:textId="77777777" w:rsidR="006A3667" w:rsidRDefault="00045F32">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70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70A" w14:textId="77777777" w:rsidR="006A3667" w:rsidRDefault="00045F32">
            <w:pP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71D4770B" w14:textId="77777777" w:rsidR="006A3667" w:rsidRDefault="006A3667">
            <w:pPr>
              <w:rPr>
                <w:rFonts w:ascii="宋体"/>
                <w:vanish/>
              </w:rPr>
            </w:pPr>
          </w:p>
        </w:tc>
        <w:tc>
          <w:tcPr>
            <w:tcW w:w="0" w:type="auto"/>
            <w:gridSpan w:val="3"/>
            <w:shd w:val="clear" w:color="auto" w:fill="auto"/>
            <w:vAlign w:val="bottom"/>
          </w:tcPr>
          <w:p w14:paraId="71D4770C" w14:textId="77777777" w:rsidR="006A3667" w:rsidRDefault="006A3667">
            <w:pPr>
              <w:rPr>
                <w:rFonts w:ascii="宋体"/>
                <w:vanish/>
              </w:rPr>
            </w:pPr>
          </w:p>
        </w:tc>
      </w:tr>
      <w:tr w:rsidR="006A3667" w14:paraId="71D4771C" w14:textId="77777777">
        <w:trPr>
          <w:jc w:val="center"/>
        </w:trPr>
        <w:tc>
          <w:tcPr>
            <w:tcW w:w="0" w:type="auto"/>
            <w:gridSpan w:val="3"/>
            <w:shd w:val="clear" w:color="auto" w:fill="CCEEFF"/>
            <w:tcMar>
              <w:top w:w="40" w:type="dxa"/>
              <w:left w:w="20" w:type="dxa"/>
              <w:bottom w:w="40" w:type="dxa"/>
              <w:right w:w="20" w:type="dxa"/>
            </w:tcMar>
            <w:vAlign w:val="bottom"/>
          </w:tcPr>
          <w:p w14:paraId="71D4770E" w14:textId="77777777" w:rsidR="006A3667" w:rsidRDefault="00045F32">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70F"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710" w14:textId="77777777" w:rsidR="006A3667" w:rsidRDefault="00045F32">
            <w:pPr>
              <w:jc w:val="right"/>
              <w:textAlignment w:val="bottom"/>
            </w:pPr>
            <w:r>
              <w:rPr>
                <w:rFonts w:ascii="Arial" w:eastAsia="宋体" w:hAnsi="Arial" w:cs="Arial"/>
                <w:color w:val="000000"/>
                <w:sz w:val="16"/>
                <w:szCs w:val="16"/>
              </w:rPr>
              <w:t>9,026 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7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71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713"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714" w14:textId="77777777" w:rsidR="006A3667" w:rsidRDefault="00045F32">
            <w:pPr>
              <w:jc w:val="right"/>
              <w:textAlignment w:val="bottom"/>
            </w:pPr>
            <w:r>
              <w:rPr>
                <w:rFonts w:ascii="Arial" w:eastAsia="宋体" w:hAnsi="Arial" w:cs="Arial"/>
                <w:color w:val="000000"/>
                <w:sz w:val="16"/>
                <w:szCs w:val="16"/>
              </w:rPr>
              <w:t>(64)</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7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71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717"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718" w14:textId="77777777" w:rsidR="006A3667" w:rsidRDefault="00045F32">
            <w:pPr>
              <w:jc w:val="right"/>
              <w:textAlignment w:val="bottom"/>
            </w:pPr>
            <w:r>
              <w:rPr>
                <w:rFonts w:ascii="Arial" w:eastAsia="宋体" w:hAnsi="Arial" w:cs="Arial"/>
                <w:color w:val="000000"/>
                <w:sz w:val="16"/>
                <w:szCs w:val="16"/>
              </w:rPr>
              <w:t>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719" w14:textId="77777777" w:rsidR="006A3667" w:rsidRDefault="006A3667">
            <w:pPr>
              <w:jc w:val="right"/>
              <w:rPr>
                <w:rFonts w:ascii="宋体"/>
              </w:rPr>
            </w:pPr>
          </w:p>
        </w:tc>
        <w:tc>
          <w:tcPr>
            <w:tcW w:w="0" w:type="auto"/>
            <w:gridSpan w:val="3"/>
            <w:shd w:val="clear" w:color="auto" w:fill="auto"/>
            <w:vAlign w:val="bottom"/>
          </w:tcPr>
          <w:p w14:paraId="71D4771A" w14:textId="77777777" w:rsidR="006A3667" w:rsidRDefault="006A3667">
            <w:pPr>
              <w:rPr>
                <w:rFonts w:ascii="宋体"/>
                <w:vanish/>
              </w:rPr>
            </w:pPr>
          </w:p>
        </w:tc>
        <w:tc>
          <w:tcPr>
            <w:tcW w:w="0" w:type="auto"/>
            <w:gridSpan w:val="3"/>
            <w:shd w:val="clear" w:color="auto" w:fill="auto"/>
            <w:vAlign w:val="bottom"/>
          </w:tcPr>
          <w:p w14:paraId="71D4771B" w14:textId="77777777" w:rsidR="006A3667" w:rsidRDefault="006A3667">
            <w:pPr>
              <w:rPr>
                <w:rFonts w:ascii="宋体"/>
                <w:vanish/>
              </w:rPr>
            </w:pPr>
          </w:p>
        </w:tc>
      </w:tr>
      <w:tr w:rsidR="006A3667" w14:paraId="71D47728" w14:textId="77777777">
        <w:trPr>
          <w:jc w:val="center"/>
        </w:trPr>
        <w:tc>
          <w:tcPr>
            <w:tcW w:w="0" w:type="auto"/>
            <w:gridSpan w:val="3"/>
            <w:shd w:val="clear" w:color="auto" w:fill="FFFFFF"/>
            <w:tcMar>
              <w:top w:w="40" w:type="dxa"/>
              <w:left w:w="20" w:type="dxa"/>
              <w:bottom w:w="40" w:type="dxa"/>
              <w:right w:w="20" w:type="dxa"/>
            </w:tcMar>
            <w:vAlign w:val="bottom"/>
          </w:tcPr>
          <w:p w14:paraId="71D4771D" w14:textId="77777777" w:rsidR="006A3667" w:rsidRDefault="00045F32">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71D4771E" w14:textId="77777777" w:rsidR="006A3667" w:rsidRDefault="00045F32">
            <w:pPr>
              <w:jc w:val="right"/>
              <w:textAlignment w:val="bottom"/>
            </w:pPr>
            <w:r>
              <w:rPr>
                <w:rFonts w:ascii="Arial" w:eastAsia="宋体" w:hAnsi="Arial" w:cs="Arial"/>
                <w:color w:val="000000"/>
                <w:sz w:val="16"/>
                <w:szCs w:val="16"/>
              </w:rPr>
              <w:t>3,551 </w:t>
            </w:r>
          </w:p>
        </w:tc>
        <w:tc>
          <w:tcPr>
            <w:tcW w:w="0" w:type="auto"/>
            <w:shd w:val="clear" w:color="auto" w:fill="FFFFFF"/>
            <w:tcMar>
              <w:top w:w="40" w:type="dxa"/>
              <w:left w:w="0" w:type="dxa"/>
              <w:bottom w:w="40" w:type="dxa"/>
              <w:right w:w="20" w:type="dxa"/>
            </w:tcMar>
            <w:vAlign w:val="bottom"/>
          </w:tcPr>
          <w:p w14:paraId="71D4771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72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721" w14:textId="77777777" w:rsidR="006A3667" w:rsidRDefault="00045F32">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1D4772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72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724" w14:textId="77777777" w:rsidR="006A3667" w:rsidRDefault="00045F32">
            <w:pPr>
              <w:jc w:val="right"/>
              <w:textAlignment w:val="bottom"/>
            </w:pPr>
            <w:r>
              <w:rPr>
                <w:rFonts w:ascii="Arial" w:eastAsia="宋体" w:hAnsi="Arial" w:cs="Arial"/>
                <w:color w:val="000000"/>
                <w:sz w:val="16"/>
                <w:szCs w:val="16"/>
              </w:rPr>
              <w:t>24 </w:t>
            </w:r>
          </w:p>
        </w:tc>
        <w:tc>
          <w:tcPr>
            <w:tcW w:w="0" w:type="auto"/>
            <w:shd w:val="clear" w:color="auto" w:fill="FFFFFF"/>
            <w:tcMar>
              <w:top w:w="40" w:type="dxa"/>
              <w:left w:w="0" w:type="dxa"/>
              <w:bottom w:w="40" w:type="dxa"/>
              <w:right w:w="20" w:type="dxa"/>
            </w:tcMar>
            <w:vAlign w:val="bottom"/>
          </w:tcPr>
          <w:p w14:paraId="71D47725" w14:textId="77777777" w:rsidR="006A3667" w:rsidRDefault="006A3667">
            <w:pPr>
              <w:jc w:val="right"/>
              <w:rPr>
                <w:rFonts w:ascii="宋体"/>
              </w:rPr>
            </w:pPr>
          </w:p>
        </w:tc>
        <w:tc>
          <w:tcPr>
            <w:tcW w:w="0" w:type="auto"/>
            <w:gridSpan w:val="3"/>
            <w:shd w:val="clear" w:color="auto" w:fill="auto"/>
            <w:vAlign w:val="bottom"/>
          </w:tcPr>
          <w:p w14:paraId="71D47726" w14:textId="77777777" w:rsidR="006A3667" w:rsidRDefault="006A3667">
            <w:pPr>
              <w:rPr>
                <w:rFonts w:ascii="宋体"/>
                <w:vanish/>
              </w:rPr>
            </w:pPr>
          </w:p>
        </w:tc>
        <w:tc>
          <w:tcPr>
            <w:tcW w:w="0" w:type="auto"/>
            <w:gridSpan w:val="3"/>
            <w:shd w:val="clear" w:color="auto" w:fill="auto"/>
            <w:vAlign w:val="bottom"/>
          </w:tcPr>
          <w:p w14:paraId="71D47727" w14:textId="77777777" w:rsidR="006A3667" w:rsidRDefault="006A3667">
            <w:pPr>
              <w:rPr>
                <w:rFonts w:ascii="宋体"/>
                <w:vanish/>
              </w:rPr>
            </w:pPr>
          </w:p>
        </w:tc>
      </w:tr>
      <w:tr w:rsidR="006A3667" w14:paraId="71D47731" w14:textId="77777777">
        <w:trPr>
          <w:trHeight w:val="60"/>
          <w:jc w:val="center"/>
        </w:trPr>
        <w:tc>
          <w:tcPr>
            <w:tcW w:w="0" w:type="auto"/>
            <w:gridSpan w:val="3"/>
            <w:shd w:val="clear" w:color="auto" w:fill="auto"/>
            <w:tcMar>
              <w:top w:w="0" w:type="dxa"/>
              <w:left w:w="20" w:type="dxa"/>
              <w:bottom w:w="0" w:type="dxa"/>
              <w:right w:w="20" w:type="dxa"/>
            </w:tcMar>
            <w:vAlign w:val="bottom"/>
          </w:tcPr>
          <w:p w14:paraId="71D4772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2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2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2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2E" w14:textId="77777777" w:rsidR="006A3667" w:rsidRDefault="006A3667">
            <w:pPr>
              <w:rPr>
                <w:rFonts w:ascii="宋体"/>
              </w:rPr>
            </w:pPr>
          </w:p>
        </w:tc>
        <w:tc>
          <w:tcPr>
            <w:tcW w:w="0" w:type="auto"/>
            <w:gridSpan w:val="3"/>
            <w:shd w:val="clear" w:color="auto" w:fill="auto"/>
            <w:vAlign w:val="bottom"/>
          </w:tcPr>
          <w:p w14:paraId="71D4772F" w14:textId="77777777" w:rsidR="006A3667" w:rsidRDefault="006A3667">
            <w:pPr>
              <w:rPr>
                <w:rFonts w:ascii="宋体"/>
                <w:vanish/>
              </w:rPr>
            </w:pPr>
          </w:p>
        </w:tc>
        <w:tc>
          <w:tcPr>
            <w:tcW w:w="0" w:type="auto"/>
            <w:gridSpan w:val="3"/>
            <w:shd w:val="clear" w:color="auto" w:fill="auto"/>
            <w:vAlign w:val="bottom"/>
          </w:tcPr>
          <w:p w14:paraId="71D47730" w14:textId="77777777" w:rsidR="006A3667" w:rsidRDefault="006A3667">
            <w:pPr>
              <w:rPr>
                <w:rFonts w:ascii="宋体"/>
                <w:vanish/>
              </w:rPr>
            </w:pPr>
          </w:p>
        </w:tc>
      </w:tr>
      <w:tr w:rsidR="006A3667" w14:paraId="71D4773A" w14:textId="77777777">
        <w:trPr>
          <w:jc w:val="center"/>
          <w:hidden/>
        </w:trPr>
        <w:tc>
          <w:tcPr>
            <w:tcW w:w="0" w:type="auto"/>
            <w:gridSpan w:val="3"/>
            <w:shd w:val="clear" w:color="auto" w:fill="auto"/>
            <w:vAlign w:val="bottom"/>
          </w:tcPr>
          <w:p w14:paraId="71D47732" w14:textId="77777777" w:rsidR="006A3667" w:rsidRDefault="006A3667">
            <w:pPr>
              <w:rPr>
                <w:rFonts w:ascii="宋体"/>
                <w:vanish/>
              </w:rPr>
            </w:pPr>
          </w:p>
        </w:tc>
        <w:tc>
          <w:tcPr>
            <w:tcW w:w="0" w:type="auto"/>
            <w:gridSpan w:val="3"/>
            <w:shd w:val="clear" w:color="auto" w:fill="auto"/>
            <w:vAlign w:val="bottom"/>
          </w:tcPr>
          <w:p w14:paraId="71D47733" w14:textId="77777777" w:rsidR="006A3667" w:rsidRDefault="006A3667">
            <w:pPr>
              <w:rPr>
                <w:rFonts w:ascii="宋体"/>
                <w:vanish/>
              </w:rPr>
            </w:pPr>
          </w:p>
        </w:tc>
        <w:tc>
          <w:tcPr>
            <w:tcW w:w="0" w:type="auto"/>
            <w:gridSpan w:val="3"/>
            <w:shd w:val="clear" w:color="auto" w:fill="auto"/>
            <w:vAlign w:val="bottom"/>
          </w:tcPr>
          <w:p w14:paraId="71D47734" w14:textId="77777777" w:rsidR="006A3667" w:rsidRDefault="006A3667">
            <w:pPr>
              <w:rPr>
                <w:rFonts w:ascii="宋体"/>
                <w:vanish/>
              </w:rPr>
            </w:pPr>
          </w:p>
        </w:tc>
        <w:tc>
          <w:tcPr>
            <w:tcW w:w="0" w:type="auto"/>
            <w:gridSpan w:val="3"/>
            <w:shd w:val="clear" w:color="auto" w:fill="auto"/>
            <w:vAlign w:val="bottom"/>
          </w:tcPr>
          <w:p w14:paraId="71D47735" w14:textId="77777777" w:rsidR="006A3667" w:rsidRDefault="006A3667">
            <w:pPr>
              <w:rPr>
                <w:rFonts w:ascii="宋体"/>
                <w:vanish/>
              </w:rPr>
            </w:pPr>
          </w:p>
        </w:tc>
        <w:tc>
          <w:tcPr>
            <w:tcW w:w="0" w:type="auto"/>
            <w:gridSpan w:val="3"/>
            <w:shd w:val="clear" w:color="auto" w:fill="auto"/>
            <w:vAlign w:val="bottom"/>
          </w:tcPr>
          <w:p w14:paraId="71D47736" w14:textId="77777777" w:rsidR="006A3667" w:rsidRDefault="006A3667">
            <w:pPr>
              <w:rPr>
                <w:rFonts w:ascii="宋体"/>
                <w:vanish/>
              </w:rPr>
            </w:pPr>
          </w:p>
        </w:tc>
        <w:tc>
          <w:tcPr>
            <w:tcW w:w="0" w:type="auto"/>
            <w:gridSpan w:val="3"/>
            <w:shd w:val="clear" w:color="auto" w:fill="auto"/>
            <w:vAlign w:val="bottom"/>
          </w:tcPr>
          <w:p w14:paraId="71D47737" w14:textId="77777777" w:rsidR="006A3667" w:rsidRDefault="006A3667">
            <w:pPr>
              <w:rPr>
                <w:rFonts w:ascii="宋体"/>
                <w:vanish/>
              </w:rPr>
            </w:pPr>
          </w:p>
        </w:tc>
        <w:tc>
          <w:tcPr>
            <w:tcW w:w="0" w:type="auto"/>
            <w:gridSpan w:val="3"/>
            <w:shd w:val="clear" w:color="auto" w:fill="auto"/>
            <w:vAlign w:val="bottom"/>
          </w:tcPr>
          <w:p w14:paraId="71D47738" w14:textId="77777777" w:rsidR="006A3667" w:rsidRDefault="006A3667">
            <w:pPr>
              <w:rPr>
                <w:rFonts w:ascii="宋体"/>
                <w:vanish/>
              </w:rPr>
            </w:pPr>
          </w:p>
        </w:tc>
        <w:tc>
          <w:tcPr>
            <w:tcW w:w="0" w:type="auto"/>
            <w:gridSpan w:val="3"/>
            <w:shd w:val="clear" w:color="auto" w:fill="auto"/>
            <w:vAlign w:val="bottom"/>
          </w:tcPr>
          <w:p w14:paraId="71D47739" w14:textId="77777777" w:rsidR="006A3667" w:rsidRDefault="006A3667">
            <w:pPr>
              <w:rPr>
                <w:rFonts w:ascii="宋体"/>
                <w:vanish/>
              </w:rPr>
            </w:pPr>
          </w:p>
        </w:tc>
      </w:tr>
      <w:tr w:rsidR="006A3667" w14:paraId="71D4774F" w14:textId="77777777">
        <w:trPr>
          <w:jc w:val="center"/>
          <w:hidden/>
        </w:trPr>
        <w:tc>
          <w:tcPr>
            <w:tcW w:w="0" w:type="auto"/>
            <w:gridSpan w:val="3"/>
            <w:shd w:val="clear" w:color="auto" w:fill="auto"/>
            <w:vAlign w:val="bottom"/>
          </w:tcPr>
          <w:p w14:paraId="71D4773B" w14:textId="77777777" w:rsidR="006A3667" w:rsidRDefault="006A3667">
            <w:pPr>
              <w:rPr>
                <w:rFonts w:ascii="宋体"/>
                <w:vanish/>
              </w:rPr>
            </w:pPr>
          </w:p>
        </w:tc>
        <w:tc>
          <w:tcPr>
            <w:tcW w:w="0" w:type="auto"/>
            <w:gridSpan w:val="3"/>
            <w:shd w:val="clear" w:color="auto" w:fill="auto"/>
            <w:vAlign w:val="bottom"/>
          </w:tcPr>
          <w:p w14:paraId="71D4773C" w14:textId="77777777" w:rsidR="006A3667" w:rsidRDefault="006A3667">
            <w:pPr>
              <w:rPr>
                <w:rFonts w:ascii="宋体"/>
                <w:vanish/>
              </w:rPr>
            </w:pPr>
          </w:p>
        </w:tc>
        <w:tc>
          <w:tcPr>
            <w:tcW w:w="0" w:type="auto"/>
            <w:shd w:val="clear" w:color="auto" w:fill="auto"/>
            <w:vAlign w:val="bottom"/>
          </w:tcPr>
          <w:p w14:paraId="71D4773D" w14:textId="77777777" w:rsidR="006A3667" w:rsidRDefault="006A3667">
            <w:pPr>
              <w:rPr>
                <w:rFonts w:ascii="宋体"/>
              </w:rPr>
            </w:pPr>
          </w:p>
        </w:tc>
        <w:tc>
          <w:tcPr>
            <w:tcW w:w="0" w:type="auto"/>
            <w:shd w:val="clear" w:color="auto" w:fill="auto"/>
            <w:vAlign w:val="bottom"/>
          </w:tcPr>
          <w:p w14:paraId="71D4773E" w14:textId="77777777" w:rsidR="006A3667" w:rsidRDefault="006A3667">
            <w:pPr>
              <w:rPr>
                <w:rFonts w:ascii="宋体"/>
              </w:rPr>
            </w:pPr>
          </w:p>
        </w:tc>
        <w:tc>
          <w:tcPr>
            <w:tcW w:w="0" w:type="auto"/>
            <w:shd w:val="clear" w:color="auto" w:fill="auto"/>
            <w:vAlign w:val="bottom"/>
          </w:tcPr>
          <w:p w14:paraId="71D4773F" w14:textId="77777777" w:rsidR="006A3667" w:rsidRDefault="006A3667">
            <w:pPr>
              <w:rPr>
                <w:rFonts w:ascii="宋体"/>
              </w:rPr>
            </w:pPr>
          </w:p>
        </w:tc>
        <w:tc>
          <w:tcPr>
            <w:tcW w:w="0" w:type="auto"/>
            <w:shd w:val="clear" w:color="auto" w:fill="auto"/>
            <w:vAlign w:val="bottom"/>
          </w:tcPr>
          <w:p w14:paraId="71D47740" w14:textId="77777777" w:rsidR="006A3667" w:rsidRDefault="006A3667">
            <w:pPr>
              <w:rPr>
                <w:rFonts w:ascii="宋体"/>
              </w:rPr>
            </w:pPr>
          </w:p>
        </w:tc>
        <w:tc>
          <w:tcPr>
            <w:tcW w:w="0" w:type="auto"/>
            <w:shd w:val="clear" w:color="auto" w:fill="auto"/>
            <w:vAlign w:val="bottom"/>
          </w:tcPr>
          <w:p w14:paraId="71D47741" w14:textId="77777777" w:rsidR="006A3667" w:rsidRDefault="006A3667">
            <w:pPr>
              <w:rPr>
                <w:rFonts w:ascii="宋体"/>
              </w:rPr>
            </w:pPr>
          </w:p>
        </w:tc>
        <w:tc>
          <w:tcPr>
            <w:tcW w:w="0" w:type="auto"/>
            <w:shd w:val="clear" w:color="auto" w:fill="auto"/>
            <w:vAlign w:val="bottom"/>
          </w:tcPr>
          <w:p w14:paraId="71D47742" w14:textId="77777777" w:rsidR="006A3667" w:rsidRDefault="006A3667">
            <w:pPr>
              <w:rPr>
                <w:rFonts w:ascii="宋体"/>
              </w:rPr>
            </w:pPr>
          </w:p>
        </w:tc>
        <w:tc>
          <w:tcPr>
            <w:tcW w:w="0" w:type="auto"/>
            <w:shd w:val="clear" w:color="auto" w:fill="auto"/>
            <w:vAlign w:val="bottom"/>
          </w:tcPr>
          <w:p w14:paraId="71D47743" w14:textId="77777777" w:rsidR="006A3667" w:rsidRDefault="006A3667">
            <w:pPr>
              <w:rPr>
                <w:rFonts w:ascii="宋体"/>
              </w:rPr>
            </w:pPr>
          </w:p>
        </w:tc>
        <w:tc>
          <w:tcPr>
            <w:tcW w:w="0" w:type="auto"/>
            <w:shd w:val="clear" w:color="auto" w:fill="auto"/>
            <w:vAlign w:val="bottom"/>
          </w:tcPr>
          <w:p w14:paraId="71D47744" w14:textId="77777777" w:rsidR="006A3667" w:rsidRDefault="006A3667">
            <w:pPr>
              <w:rPr>
                <w:rFonts w:ascii="宋体"/>
              </w:rPr>
            </w:pPr>
          </w:p>
        </w:tc>
        <w:tc>
          <w:tcPr>
            <w:tcW w:w="0" w:type="auto"/>
            <w:shd w:val="clear" w:color="auto" w:fill="auto"/>
            <w:vAlign w:val="bottom"/>
          </w:tcPr>
          <w:p w14:paraId="71D47745" w14:textId="77777777" w:rsidR="006A3667" w:rsidRDefault="006A3667">
            <w:pPr>
              <w:rPr>
                <w:rFonts w:ascii="宋体"/>
              </w:rPr>
            </w:pPr>
          </w:p>
        </w:tc>
        <w:tc>
          <w:tcPr>
            <w:tcW w:w="0" w:type="auto"/>
            <w:shd w:val="clear" w:color="auto" w:fill="auto"/>
            <w:vAlign w:val="bottom"/>
          </w:tcPr>
          <w:p w14:paraId="71D47746" w14:textId="77777777" w:rsidR="006A3667" w:rsidRDefault="006A3667">
            <w:pPr>
              <w:rPr>
                <w:rFonts w:ascii="宋体"/>
              </w:rPr>
            </w:pPr>
          </w:p>
        </w:tc>
        <w:tc>
          <w:tcPr>
            <w:tcW w:w="0" w:type="auto"/>
            <w:shd w:val="clear" w:color="auto" w:fill="auto"/>
            <w:vAlign w:val="bottom"/>
          </w:tcPr>
          <w:p w14:paraId="71D47747" w14:textId="77777777" w:rsidR="006A3667" w:rsidRDefault="006A3667">
            <w:pPr>
              <w:rPr>
                <w:rFonts w:ascii="宋体"/>
              </w:rPr>
            </w:pPr>
          </w:p>
        </w:tc>
        <w:tc>
          <w:tcPr>
            <w:tcW w:w="0" w:type="auto"/>
            <w:shd w:val="clear" w:color="auto" w:fill="auto"/>
            <w:vAlign w:val="bottom"/>
          </w:tcPr>
          <w:p w14:paraId="71D47748" w14:textId="77777777" w:rsidR="006A3667" w:rsidRDefault="006A3667">
            <w:pPr>
              <w:rPr>
                <w:rFonts w:ascii="宋体"/>
              </w:rPr>
            </w:pPr>
          </w:p>
        </w:tc>
        <w:tc>
          <w:tcPr>
            <w:tcW w:w="0" w:type="auto"/>
            <w:shd w:val="clear" w:color="auto" w:fill="auto"/>
            <w:vAlign w:val="bottom"/>
          </w:tcPr>
          <w:p w14:paraId="71D47749" w14:textId="77777777" w:rsidR="006A3667" w:rsidRDefault="006A3667">
            <w:pPr>
              <w:rPr>
                <w:rFonts w:ascii="宋体"/>
              </w:rPr>
            </w:pPr>
          </w:p>
        </w:tc>
        <w:tc>
          <w:tcPr>
            <w:tcW w:w="0" w:type="auto"/>
            <w:shd w:val="clear" w:color="auto" w:fill="auto"/>
            <w:vAlign w:val="bottom"/>
          </w:tcPr>
          <w:p w14:paraId="71D4774A" w14:textId="77777777" w:rsidR="006A3667" w:rsidRDefault="006A3667">
            <w:pPr>
              <w:rPr>
                <w:rFonts w:ascii="宋体"/>
              </w:rPr>
            </w:pPr>
          </w:p>
        </w:tc>
        <w:tc>
          <w:tcPr>
            <w:tcW w:w="0" w:type="auto"/>
            <w:shd w:val="clear" w:color="auto" w:fill="auto"/>
            <w:vAlign w:val="bottom"/>
          </w:tcPr>
          <w:p w14:paraId="71D4774B" w14:textId="77777777" w:rsidR="006A3667" w:rsidRDefault="006A3667">
            <w:pPr>
              <w:rPr>
                <w:rFonts w:ascii="宋体"/>
              </w:rPr>
            </w:pPr>
          </w:p>
        </w:tc>
        <w:tc>
          <w:tcPr>
            <w:tcW w:w="0" w:type="auto"/>
            <w:shd w:val="clear" w:color="auto" w:fill="auto"/>
            <w:vAlign w:val="bottom"/>
          </w:tcPr>
          <w:p w14:paraId="71D4774C" w14:textId="77777777" w:rsidR="006A3667" w:rsidRDefault="006A3667">
            <w:pPr>
              <w:rPr>
                <w:rFonts w:ascii="宋体"/>
              </w:rPr>
            </w:pPr>
          </w:p>
        </w:tc>
        <w:tc>
          <w:tcPr>
            <w:tcW w:w="0" w:type="auto"/>
            <w:shd w:val="clear" w:color="auto" w:fill="auto"/>
            <w:vAlign w:val="bottom"/>
          </w:tcPr>
          <w:p w14:paraId="71D4774D" w14:textId="77777777" w:rsidR="006A3667" w:rsidRDefault="006A3667">
            <w:pPr>
              <w:rPr>
                <w:rFonts w:ascii="宋体"/>
              </w:rPr>
            </w:pPr>
          </w:p>
        </w:tc>
        <w:tc>
          <w:tcPr>
            <w:tcW w:w="0" w:type="auto"/>
            <w:shd w:val="clear" w:color="auto" w:fill="auto"/>
            <w:vAlign w:val="bottom"/>
          </w:tcPr>
          <w:p w14:paraId="71D4774E" w14:textId="77777777" w:rsidR="006A3667" w:rsidRDefault="006A3667">
            <w:pPr>
              <w:rPr>
                <w:rFonts w:ascii="宋体"/>
              </w:rPr>
            </w:pPr>
          </w:p>
        </w:tc>
      </w:tr>
      <w:tr w:rsidR="006A3667" w14:paraId="71D47760" w14:textId="77777777">
        <w:trPr>
          <w:jc w:val="center"/>
          <w:hidden/>
        </w:trPr>
        <w:tc>
          <w:tcPr>
            <w:tcW w:w="0" w:type="auto"/>
            <w:gridSpan w:val="3"/>
            <w:shd w:val="clear" w:color="auto" w:fill="auto"/>
            <w:vAlign w:val="bottom"/>
          </w:tcPr>
          <w:p w14:paraId="71D47750" w14:textId="77777777" w:rsidR="006A3667" w:rsidRDefault="006A3667">
            <w:pPr>
              <w:rPr>
                <w:rFonts w:ascii="宋体"/>
                <w:vanish/>
              </w:rPr>
            </w:pPr>
          </w:p>
        </w:tc>
        <w:tc>
          <w:tcPr>
            <w:tcW w:w="0" w:type="auto"/>
            <w:gridSpan w:val="3"/>
            <w:shd w:val="clear" w:color="auto" w:fill="auto"/>
            <w:vAlign w:val="bottom"/>
          </w:tcPr>
          <w:p w14:paraId="71D47751" w14:textId="77777777" w:rsidR="006A3667" w:rsidRDefault="006A3667">
            <w:pPr>
              <w:rPr>
                <w:rFonts w:ascii="宋体"/>
                <w:vanish/>
              </w:rPr>
            </w:pPr>
          </w:p>
        </w:tc>
        <w:tc>
          <w:tcPr>
            <w:tcW w:w="0" w:type="auto"/>
            <w:gridSpan w:val="3"/>
            <w:shd w:val="clear" w:color="auto" w:fill="auto"/>
            <w:vAlign w:val="bottom"/>
          </w:tcPr>
          <w:p w14:paraId="71D47752" w14:textId="77777777" w:rsidR="006A3667" w:rsidRDefault="006A3667">
            <w:pPr>
              <w:rPr>
                <w:rFonts w:ascii="宋体"/>
                <w:vanish/>
              </w:rPr>
            </w:pPr>
          </w:p>
        </w:tc>
        <w:tc>
          <w:tcPr>
            <w:tcW w:w="0" w:type="auto"/>
            <w:gridSpan w:val="3"/>
            <w:shd w:val="clear" w:color="auto" w:fill="auto"/>
            <w:vAlign w:val="bottom"/>
          </w:tcPr>
          <w:p w14:paraId="71D47753" w14:textId="77777777" w:rsidR="006A3667" w:rsidRDefault="006A3667">
            <w:pPr>
              <w:rPr>
                <w:rFonts w:ascii="宋体"/>
                <w:vanish/>
              </w:rPr>
            </w:pPr>
          </w:p>
        </w:tc>
        <w:tc>
          <w:tcPr>
            <w:tcW w:w="0" w:type="auto"/>
            <w:shd w:val="clear" w:color="auto" w:fill="auto"/>
            <w:vAlign w:val="bottom"/>
          </w:tcPr>
          <w:p w14:paraId="71D47754" w14:textId="77777777" w:rsidR="006A3667" w:rsidRDefault="006A3667">
            <w:pPr>
              <w:rPr>
                <w:rFonts w:ascii="宋体"/>
              </w:rPr>
            </w:pPr>
          </w:p>
        </w:tc>
        <w:tc>
          <w:tcPr>
            <w:tcW w:w="0" w:type="auto"/>
            <w:shd w:val="clear" w:color="auto" w:fill="auto"/>
            <w:vAlign w:val="bottom"/>
          </w:tcPr>
          <w:p w14:paraId="71D47755" w14:textId="77777777" w:rsidR="006A3667" w:rsidRDefault="006A3667">
            <w:pPr>
              <w:rPr>
                <w:rFonts w:ascii="宋体"/>
              </w:rPr>
            </w:pPr>
          </w:p>
        </w:tc>
        <w:tc>
          <w:tcPr>
            <w:tcW w:w="0" w:type="auto"/>
            <w:shd w:val="clear" w:color="auto" w:fill="auto"/>
            <w:vAlign w:val="bottom"/>
          </w:tcPr>
          <w:p w14:paraId="71D47756" w14:textId="77777777" w:rsidR="006A3667" w:rsidRDefault="006A3667">
            <w:pPr>
              <w:rPr>
                <w:rFonts w:ascii="宋体"/>
              </w:rPr>
            </w:pPr>
          </w:p>
        </w:tc>
        <w:tc>
          <w:tcPr>
            <w:tcW w:w="0" w:type="auto"/>
            <w:shd w:val="clear" w:color="auto" w:fill="auto"/>
            <w:vAlign w:val="bottom"/>
          </w:tcPr>
          <w:p w14:paraId="71D47757" w14:textId="77777777" w:rsidR="006A3667" w:rsidRDefault="006A3667">
            <w:pPr>
              <w:rPr>
                <w:rFonts w:ascii="宋体"/>
              </w:rPr>
            </w:pPr>
          </w:p>
        </w:tc>
        <w:tc>
          <w:tcPr>
            <w:tcW w:w="0" w:type="auto"/>
            <w:shd w:val="clear" w:color="auto" w:fill="auto"/>
            <w:vAlign w:val="bottom"/>
          </w:tcPr>
          <w:p w14:paraId="71D47758" w14:textId="77777777" w:rsidR="006A3667" w:rsidRDefault="006A3667">
            <w:pPr>
              <w:rPr>
                <w:rFonts w:ascii="宋体"/>
              </w:rPr>
            </w:pPr>
          </w:p>
        </w:tc>
        <w:tc>
          <w:tcPr>
            <w:tcW w:w="0" w:type="auto"/>
            <w:shd w:val="clear" w:color="auto" w:fill="auto"/>
            <w:vAlign w:val="bottom"/>
          </w:tcPr>
          <w:p w14:paraId="71D47759" w14:textId="77777777" w:rsidR="006A3667" w:rsidRDefault="006A3667">
            <w:pPr>
              <w:rPr>
                <w:rFonts w:ascii="宋体"/>
              </w:rPr>
            </w:pPr>
          </w:p>
        </w:tc>
        <w:tc>
          <w:tcPr>
            <w:tcW w:w="0" w:type="auto"/>
            <w:shd w:val="clear" w:color="auto" w:fill="auto"/>
            <w:vAlign w:val="bottom"/>
          </w:tcPr>
          <w:p w14:paraId="71D4775A" w14:textId="77777777" w:rsidR="006A3667" w:rsidRDefault="006A3667">
            <w:pPr>
              <w:rPr>
                <w:rFonts w:ascii="宋体"/>
              </w:rPr>
            </w:pPr>
          </w:p>
        </w:tc>
        <w:tc>
          <w:tcPr>
            <w:tcW w:w="0" w:type="auto"/>
            <w:shd w:val="clear" w:color="auto" w:fill="auto"/>
            <w:vAlign w:val="bottom"/>
          </w:tcPr>
          <w:p w14:paraId="71D4775B" w14:textId="77777777" w:rsidR="006A3667" w:rsidRDefault="006A3667">
            <w:pPr>
              <w:rPr>
                <w:rFonts w:ascii="宋体"/>
              </w:rPr>
            </w:pPr>
          </w:p>
        </w:tc>
        <w:tc>
          <w:tcPr>
            <w:tcW w:w="0" w:type="auto"/>
            <w:shd w:val="clear" w:color="auto" w:fill="auto"/>
            <w:vAlign w:val="bottom"/>
          </w:tcPr>
          <w:p w14:paraId="71D4775C" w14:textId="77777777" w:rsidR="006A3667" w:rsidRDefault="006A3667">
            <w:pPr>
              <w:rPr>
                <w:rFonts w:ascii="宋体"/>
              </w:rPr>
            </w:pPr>
          </w:p>
        </w:tc>
        <w:tc>
          <w:tcPr>
            <w:tcW w:w="0" w:type="auto"/>
            <w:shd w:val="clear" w:color="auto" w:fill="auto"/>
            <w:vAlign w:val="bottom"/>
          </w:tcPr>
          <w:p w14:paraId="71D4775D" w14:textId="77777777" w:rsidR="006A3667" w:rsidRDefault="006A3667">
            <w:pPr>
              <w:rPr>
                <w:rFonts w:ascii="宋体"/>
              </w:rPr>
            </w:pPr>
          </w:p>
        </w:tc>
        <w:tc>
          <w:tcPr>
            <w:tcW w:w="0" w:type="auto"/>
            <w:shd w:val="clear" w:color="auto" w:fill="auto"/>
            <w:vAlign w:val="bottom"/>
          </w:tcPr>
          <w:p w14:paraId="71D4775E" w14:textId="77777777" w:rsidR="006A3667" w:rsidRDefault="006A3667">
            <w:pPr>
              <w:rPr>
                <w:rFonts w:ascii="宋体"/>
              </w:rPr>
            </w:pPr>
          </w:p>
        </w:tc>
        <w:tc>
          <w:tcPr>
            <w:tcW w:w="0" w:type="auto"/>
            <w:shd w:val="clear" w:color="auto" w:fill="auto"/>
            <w:vAlign w:val="bottom"/>
          </w:tcPr>
          <w:p w14:paraId="71D4775F" w14:textId="77777777" w:rsidR="006A3667" w:rsidRDefault="006A3667">
            <w:pPr>
              <w:rPr>
                <w:rFonts w:ascii="宋体"/>
              </w:rPr>
            </w:pPr>
          </w:p>
        </w:tc>
      </w:tr>
      <w:tr w:rsidR="006A3667" w14:paraId="71D47769" w14:textId="77777777">
        <w:trPr>
          <w:jc w:val="center"/>
          <w:hidden/>
        </w:trPr>
        <w:tc>
          <w:tcPr>
            <w:tcW w:w="0" w:type="auto"/>
            <w:gridSpan w:val="3"/>
            <w:shd w:val="clear" w:color="auto" w:fill="auto"/>
            <w:vAlign w:val="bottom"/>
          </w:tcPr>
          <w:p w14:paraId="71D47761" w14:textId="77777777" w:rsidR="006A3667" w:rsidRDefault="006A3667">
            <w:pPr>
              <w:rPr>
                <w:rFonts w:ascii="宋体"/>
                <w:vanish/>
              </w:rPr>
            </w:pPr>
          </w:p>
        </w:tc>
        <w:tc>
          <w:tcPr>
            <w:tcW w:w="0" w:type="auto"/>
            <w:gridSpan w:val="3"/>
            <w:shd w:val="clear" w:color="auto" w:fill="auto"/>
            <w:vAlign w:val="bottom"/>
          </w:tcPr>
          <w:p w14:paraId="71D47762" w14:textId="77777777" w:rsidR="006A3667" w:rsidRDefault="006A3667">
            <w:pPr>
              <w:rPr>
                <w:rFonts w:ascii="宋体"/>
                <w:vanish/>
              </w:rPr>
            </w:pPr>
          </w:p>
        </w:tc>
        <w:tc>
          <w:tcPr>
            <w:tcW w:w="0" w:type="auto"/>
            <w:gridSpan w:val="3"/>
            <w:shd w:val="clear" w:color="auto" w:fill="auto"/>
            <w:vAlign w:val="bottom"/>
          </w:tcPr>
          <w:p w14:paraId="71D47763" w14:textId="77777777" w:rsidR="006A3667" w:rsidRDefault="006A3667">
            <w:pPr>
              <w:rPr>
                <w:rFonts w:ascii="宋体"/>
                <w:vanish/>
              </w:rPr>
            </w:pPr>
          </w:p>
        </w:tc>
        <w:tc>
          <w:tcPr>
            <w:tcW w:w="0" w:type="auto"/>
            <w:gridSpan w:val="3"/>
            <w:shd w:val="clear" w:color="auto" w:fill="auto"/>
            <w:vAlign w:val="bottom"/>
          </w:tcPr>
          <w:p w14:paraId="71D47764" w14:textId="77777777" w:rsidR="006A3667" w:rsidRDefault="006A3667">
            <w:pPr>
              <w:rPr>
                <w:rFonts w:ascii="宋体"/>
                <w:vanish/>
              </w:rPr>
            </w:pPr>
          </w:p>
        </w:tc>
        <w:tc>
          <w:tcPr>
            <w:tcW w:w="0" w:type="auto"/>
            <w:gridSpan w:val="3"/>
            <w:shd w:val="clear" w:color="auto" w:fill="auto"/>
            <w:vAlign w:val="bottom"/>
          </w:tcPr>
          <w:p w14:paraId="71D47765" w14:textId="77777777" w:rsidR="006A3667" w:rsidRDefault="006A3667">
            <w:pPr>
              <w:rPr>
                <w:rFonts w:ascii="宋体"/>
                <w:vanish/>
              </w:rPr>
            </w:pPr>
          </w:p>
        </w:tc>
        <w:tc>
          <w:tcPr>
            <w:tcW w:w="0" w:type="auto"/>
            <w:gridSpan w:val="3"/>
            <w:shd w:val="clear" w:color="auto" w:fill="auto"/>
            <w:vAlign w:val="bottom"/>
          </w:tcPr>
          <w:p w14:paraId="71D47766" w14:textId="77777777" w:rsidR="006A3667" w:rsidRDefault="006A3667">
            <w:pPr>
              <w:rPr>
                <w:rFonts w:ascii="宋体"/>
                <w:vanish/>
              </w:rPr>
            </w:pPr>
          </w:p>
        </w:tc>
        <w:tc>
          <w:tcPr>
            <w:tcW w:w="0" w:type="auto"/>
            <w:gridSpan w:val="3"/>
            <w:shd w:val="clear" w:color="auto" w:fill="auto"/>
            <w:vAlign w:val="bottom"/>
          </w:tcPr>
          <w:p w14:paraId="71D47767" w14:textId="77777777" w:rsidR="006A3667" w:rsidRDefault="006A3667">
            <w:pPr>
              <w:rPr>
                <w:rFonts w:ascii="宋体"/>
                <w:vanish/>
              </w:rPr>
            </w:pPr>
          </w:p>
        </w:tc>
        <w:tc>
          <w:tcPr>
            <w:tcW w:w="0" w:type="auto"/>
            <w:gridSpan w:val="3"/>
            <w:shd w:val="clear" w:color="auto" w:fill="auto"/>
            <w:vAlign w:val="bottom"/>
          </w:tcPr>
          <w:p w14:paraId="71D47768" w14:textId="77777777" w:rsidR="006A3667" w:rsidRDefault="006A3667">
            <w:pPr>
              <w:rPr>
                <w:rFonts w:ascii="宋体"/>
                <w:vanish/>
              </w:rPr>
            </w:pPr>
          </w:p>
        </w:tc>
      </w:tr>
      <w:tr w:rsidR="006A3667" w14:paraId="71D47772" w14:textId="77777777">
        <w:trPr>
          <w:jc w:val="center"/>
          <w:hidden/>
        </w:trPr>
        <w:tc>
          <w:tcPr>
            <w:tcW w:w="0" w:type="auto"/>
            <w:gridSpan w:val="3"/>
            <w:shd w:val="clear" w:color="auto" w:fill="auto"/>
            <w:vAlign w:val="bottom"/>
          </w:tcPr>
          <w:p w14:paraId="71D4776A" w14:textId="77777777" w:rsidR="006A3667" w:rsidRDefault="006A3667">
            <w:pPr>
              <w:rPr>
                <w:rFonts w:ascii="宋体"/>
                <w:vanish/>
              </w:rPr>
            </w:pPr>
          </w:p>
        </w:tc>
        <w:tc>
          <w:tcPr>
            <w:tcW w:w="0" w:type="auto"/>
            <w:gridSpan w:val="3"/>
            <w:shd w:val="clear" w:color="auto" w:fill="auto"/>
            <w:vAlign w:val="bottom"/>
          </w:tcPr>
          <w:p w14:paraId="71D4776B" w14:textId="77777777" w:rsidR="006A3667" w:rsidRDefault="006A3667">
            <w:pPr>
              <w:rPr>
                <w:rFonts w:ascii="宋体"/>
                <w:vanish/>
              </w:rPr>
            </w:pPr>
          </w:p>
        </w:tc>
        <w:tc>
          <w:tcPr>
            <w:tcW w:w="0" w:type="auto"/>
            <w:gridSpan w:val="3"/>
            <w:shd w:val="clear" w:color="auto" w:fill="auto"/>
            <w:vAlign w:val="bottom"/>
          </w:tcPr>
          <w:p w14:paraId="71D4776C" w14:textId="77777777" w:rsidR="006A3667" w:rsidRDefault="006A3667">
            <w:pPr>
              <w:rPr>
                <w:rFonts w:ascii="宋体"/>
                <w:vanish/>
              </w:rPr>
            </w:pPr>
          </w:p>
        </w:tc>
        <w:tc>
          <w:tcPr>
            <w:tcW w:w="0" w:type="auto"/>
            <w:gridSpan w:val="3"/>
            <w:shd w:val="clear" w:color="auto" w:fill="auto"/>
            <w:vAlign w:val="bottom"/>
          </w:tcPr>
          <w:p w14:paraId="71D4776D" w14:textId="77777777" w:rsidR="006A3667" w:rsidRDefault="006A3667">
            <w:pPr>
              <w:rPr>
                <w:rFonts w:ascii="宋体"/>
                <w:vanish/>
              </w:rPr>
            </w:pPr>
          </w:p>
        </w:tc>
        <w:tc>
          <w:tcPr>
            <w:tcW w:w="0" w:type="auto"/>
            <w:gridSpan w:val="3"/>
            <w:shd w:val="clear" w:color="auto" w:fill="auto"/>
            <w:vAlign w:val="bottom"/>
          </w:tcPr>
          <w:p w14:paraId="71D4776E" w14:textId="77777777" w:rsidR="006A3667" w:rsidRDefault="006A3667">
            <w:pPr>
              <w:rPr>
                <w:rFonts w:ascii="宋体"/>
                <w:vanish/>
              </w:rPr>
            </w:pPr>
          </w:p>
        </w:tc>
        <w:tc>
          <w:tcPr>
            <w:tcW w:w="0" w:type="auto"/>
            <w:gridSpan w:val="3"/>
            <w:shd w:val="clear" w:color="auto" w:fill="auto"/>
            <w:vAlign w:val="bottom"/>
          </w:tcPr>
          <w:p w14:paraId="71D4776F" w14:textId="77777777" w:rsidR="006A3667" w:rsidRDefault="006A3667">
            <w:pPr>
              <w:rPr>
                <w:rFonts w:ascii="宋体"/>
                <w:vanish/>
              </w:rPr>
            </w:pPr>
          </w:p>
        </w:tc>
        <w:tc>
          <w:tcPr>
            <w:tcW w:w="0" w:type="auto"/>
            <w:gridSpan w:val="3"/>
            <w:shd w:val="clear" w:color="auto" w:fill="auto"/>
            <w:vAlign w:val="bottom"/>
          </w:tcPr>
          <w:p w14:paraId="71D47770" w14:textId="77777777" w:rsidR="006A3667" w:rsidRDefault="006A3667">
            <w:pPr>
              <w:rPr>
                <w:rFonts w:ascii="宋体"/>
                <w:vanish/>
              </w:rPr>
            </w:pPr>
          </w:p>
        </w:tc>
        <w:tc>
          <w:tcPr>
            <w:tcW w:w="0" w:type="auto"/>
            <w:gridSpan w:val="3"/>
            <w:shd w:val="clear" w:color="auto" w:fill="auto"/>
            <w:vAlign w:val="bottom"/>
          </w:tcPr>
          <w:p w14:paraId="71D47771" w14:textId="77777777" w:rsidR="006A3667" w:rsidRDefault="006A3667">
            <w:pPr>
              <w:rPr>
                <w:rFonts w:ascii="宋体"/>
                <w:vanish/>
              </w:rPr>
            </w:pPr>
          </w:p>
        </w:tc>
      </w:tr>
      <w:tr w:rsidR="006A3667" w14:paraId="71D4777B" w14:textId="77777777">
        <w:trPr>
          <w:jc w:val="center"/>
          <w:hidden/>
        </w:trPr>
        <w:tc>
          <w:tcPr>
            <w:tcW w:w="0" w:type="auto"/>
            <w:gridSpan w:val="3"/>
            <w:shd w:val="clear" w:color="auto" w:fill="auto"/>
            <w:vAlign w:val="bottom"/>
          </w:tcPr>
          <w:p w14:paraId="71D47773" w14:textId="77777777" w:rsidR="006A3667" w:rsidRDefault="006A3667">
            <w:pPr>
              <w:rPr>
                <w:rFonts w:ascii="宋体"/>
                <w:vanish/>
              </w:rPr>
            </w:pPr>
          </w:p>
        </w:tc>
        <w:tc>
          <w:tcPr>
            <w:tcW w:w="0" w:type="auto"/>
            <w:gridSpan w:val="3"/>
            <w:shd w:val="clear" w:color="auto" w:fill="auto"/>
            <w:vAlign w:val="bottom"/>
          </w:tcPr>
          <w:p w14:paraId="71D47774" w14:textId="77777777" w:rsidR="006A3667" w:rsidRDefault="006A3667">
            <w:pPr>
              <w:rPr>
                <w:rFonts w:ascii="宋体"/>
                <w:vanish/>
              </w:rPr>
            </w:pPr>
          </w:p>
        </w:tc>
        <w:tc>
          <w:tcPr>
            <w:tcW w:w="0" w:type="auto"/>
            <w:gridSpan w:val="3"/>
            <w:shd w:val="clear" w:color="auto" w:fill="auto"/>
            <w:vAlign w:val="bottom"/>
          </w:tcPr>
          <w:p w14:paraId="71D47775" w14:textId="77777777" w:rsidR="006A3667" w:rsidRDefault="006A3667">
            <w:pPr>
              <w:rPr>
                <w:rFonts w:ascii="宋体"/>
                <w:vanish/>
              </w:rPr>
            </w:pPr>
          </w:p>
        </w:tc>
        <w:tc>
          <w:tcPr>
            <w:tcW w:w="0" w:type="auto"/>
            <w:gridSpan w:val="3"/>
            <w:shd w:val="clear" w:color="auto" w:fill="auto"/>
            <w:vAlign w:val="bottom"/>
          </w:tcPr>
          <w:p w14:paraId="71D47776" w14:textId="77777777" w:rsidR="006A3667" w:rsidRDefault="006A3667">
            <w:pPr>
              <w:rPr>
                <w:rFonts w:ascii="宋体"/>
                <w:vanish/>
              </w:rPr>
            </w:pPr>
          </w:p>
        </w:tc>
        <w:tc>
          <w:tcPr>
            <w:tcW w:w="0" w:type="auto"/>
            <w:gridSpan w:val="3"/>
            <w:shd w:val="clear" w:color="auto" w:fill="auto"/>
            <w:vAlign w:val="bottom"/>
          </w:tcPr>
          <w:p w14:paraId="71D47777" w14:textId="77777777" w:rsidR="006A3667" w:rsidRDefault="006A3667">
            <w:pPr>
              <w:rPr>
                <w:rFonts w:ascii="宋体"/>
                <w:vanish/>
              </w:rPr>
            </w:pPr>
          </w:p>
        </w:tc>
        <w:tc>
          <w:tcPr>
            <w:tcW w:w="0" w:type="auto"/>
            <w:gridSpan w:val="3"/>
            <w:shd w:val="clear" w:color="auto" w:fill="auto"/>
            <w:vAlign w:val="bottom"/>
          </w:tcPr>
          <w:p w14:paraId="71D47778" w14:textId="77777777" w:rsidR="006A3667" w:rsidRDefault="006A3667">
            <w:pPr>
              <w:rPr>
                <w:rFonts w:ascii="宋体"/>
                <w:vanish/>
              </w:rPr>
            </w:pPr>
          </w:p>
        </w:tc>
        <w:tc>
          <w:tcPr>
            <w:tcW w:w="0" w:type="auto"/>
            <w:gridSpan w:val="3"/>
            <w:shd w:val="clear" w:color="auto" w:fill="auto"/>
            <w:vAlign w:val="bottom"/>
          </w:tcPr>
          <w:p w14:paraId="71D47779" w14:textId="77777777" w:rsidR="006A3667" w:rsidRDefault="006A3667">
            <w:pPr>
              <w:rPr>
                <w:rFonts w:ascii="宋体"/>
                <w:vanish/>
              </w:rPr>
            </w:pPr>
          </w:p>
        </w:tc>
        <w:tc>
          <w:tcPr>
            <w:tcW w:w="0" w:type="auto"/>
            <w:gridSpan w:val="3"/>
            <w:shd w:val="clear" w:color="auto" w:fill="auto"/>
            <w:vAlign w:val="bottom"/>
          </w:tcPr>
          <w:p w14:paraId="71D4777A" w14:textId="77777777" w:rsidR="006A3667" w:rsidRDefault="006A3667">
            <w:pPr>
              <w:rPr>
                <w:rFonts w:ascii="宋体"/>
                <w:vanish/>
              </w:rPr>
            </w:pPr>
          </w:p>
        </w:tc>
      </w:tr>
      <w:tr w:rsidR="006A3667" w14:paraId="71D47784" w14:textId="77777777">
        <w:trPr>
          <w:jc w:val="center"/>
          <w:hidden/>
        </w:trPr>
        <w:tc>
          <w:tcPr>
            <w:tcW w:w="0" w:type="auto"/>
            <w:gridSpan w:val="3"/>
            <w:shd w:val="clear" w:color="auto" w:fill="auto"/>
            <w:vAlign w:val="bottom"/>
          </w:tcPr>
          <w:p w14:paraId="71D4777C" w14:textId="77777777" w:rsidR="006A3667" w:rsidRDefault="006A3667">
            <w:pPr>
              <w:rPr>
                <w:rFonts w:ascii="宋体"/>
                <w:vanish/>
              </w:rPr>
            </w:pPr>
          </w:p>
        </w:tc>
        <w:tc>
          <w:tcPr>
            <w:tcW w:w="0" w:type="auto"/>
            <w:gridSpan w:val="3"/>
            <w:shd w:val="clear" w:color="auto" w:fill="auto"/>
            <w:vAlign w:val="bottom"/>
          </w:tcPr>
          <w:p w14:paraId="71D4777D" w14:textId="77777777" w:rsidR="006A3667" w:rsidRDefault="006A3667">
            <w:pPr>
              <w:rPr>
                <w:rFonts w:ascii="宋体"/>
                <w:vanish/>
              </w:rPr>
            </w:pPr>
          </w:p>
        </w:tc>
        <w:tc>
          <w:tcPr>
            <w:tcW w:w="0" w:type="auto"/>
            <w:gridSpan w:val="3"/>
            <w:shd w:val="clear" w:color="auto" w:fill="auto"/>
            <w:vAlign w:val="bottom"/>
          </w:tcPr>
          <w:p w14:paraId="71D4777E" w14:textId="77777777" w:rsidR="006A3667" w:rsidRDefault="006A3667">
            <w:pPr>
              <w:rPr>
                <w:rFonts w:ascii="宋体"/>
                <w:vanish/>
              </w:rPr>
            </w:pPr>
          </w:p>
        </w:tc>
        <w:tc>
          <w:tcPr>
            <w:tcW w:w="0" w:type="auto"/>
            <w:gridSpan w:val="3"/>
            <w:shd w:val="clear" w:color="auto" w:fill="auto"/>
            <w:vAlign w:val="bottom"/>
          </w:tcPr>
          <w:p w14:paraId="71D4777F" w14:textId="77777777" w:rsidR="006A3667" w:rsidRDefault="006A3667">
            <w:pPr>
              <w:rPr>
                <w:rFonts w:ascii="宋体"/>
                <w:vanish/>
              </w:rPr>
            </w:pPr>
          </w:p>
        </w:tc>
        <w:tc>
          <w:tcPr>
            <w:tcW w:w="0" w:type="auto"/>
            <w:gridSpan w:val="3"/>
            <w:shd w:val="clear" w:color="auto" w:fill="auto"/>
            <w:vAlign w:val="bottom"/>
          </w:tcPr>
          <w:p w14:paraId="71D47780" w14:textId="77777777" w:rsidR="006A3667" w:rsidRDefault="006A3667">
            <w:pPr>
              <w:rPr>
                <w:rFonts w:ascii="宋体"/>
                <w:vanish/>
              </w:rPr>
            </w:pPr>
          </w:p>
        </w:tc>
        <w:tc>
          <w:tcPr>
            <w:tcW w:w="0" w:type="auto"/>
            <w:gridSpan w:val="3"/>
            <w:shd w:val="clear" w:color="auto" w:fill="auto"/>
            <w:vAlign w:val="bottom"/>
          </w:tcPr>
          <w:p w14:paraId="71D47781" w14:textId="77777777" w:rsidR="006A3667" w:rsidRDefault="006A3667">
            <w:pPr>
              <w:rPr>
                <w:rFonts w:ascii="宋体"/>
                <w:vanish/>
              </w:rPr>
            </w:pPr>
          </w:p>
        </w:tc>
        <w:tc>
          <w:tcPr>
            <w:tcW w:w="0" w:type="auto"/>
            <w:gridSpan w:val="3"/>
            <w:shd w:val="clear" w:color="auto" w:fill="auto"/>
            <w:vAlign w:val="bottom"/>
          </w:tcPr>
          <w:p w14:paraId="71D47782" w14:textId="77777777" w:rsidR="006A3667" w:rsidRDefault="006A3667">
            <w:pPr>
              <w:rPr>
                <w:rFonts w:ascii="宋体"/>
                <w:vanish/>
              </w:rPr>
            </w:pPr>
          </w:p>
        </w:tc>
        <w:tc>
          <w:tcPr>
            <w:tcW w:w="0" w:type="auto"/>
            <w:gridSpan w:val="3"/>
            <w:shd w:val="clear" w:color="auto" w:fill="auto"/>
            <w:vAlign w:val="bottom"/>
          </w:tcPr>
          <w:p w14:paraId="71D47783" w14:textId="77777777" w:rsidR="006A3667" w:rsidRDefault="006A3667">
            <w:pPr>
              <w:rPr>
                <w:rFonts w:ascii="宋体"/>
                <w:vanish/>
              </w:rPr>
            </w:pPr>
          </w:p>
        </w:tc>
      </w:tr>
      <w:tr w:rsidR="006A3667" w14:paraId="71D4778D" w14:textId="77777777">
        <w:trPr>
          <w:jc w:val="center"/>
          <w:hidden/>
        </w:trPr>
        <w:tc>
          <w:tcPr>
            <w:tcW w:w="0" w:type="auto"/>
            <w:gridSpan w:val="3"/>
            <w:shd w:val="clear" w:color="auto" w:fill="auto"/>
            <w:vAlign w:val="bottom"/>
          </w:tcPr>
          <w:p w14:paraId="71D47785" w14:textId="77777777" w:rsidR="006A3667" w:rsidRDefault="006A3667">
            <w:pPr>
              <w:rPr>
                <w:rFonts w:ascii="宋体"/>
                <w:vanish/>
              </w:rPr>
            </w:pPr>
          </w:p>
        </w:tc>
        <w:tc>
          <w:tcPr>
            <w:tcW w:w="0" w:type="auto"/>
            <w:gridSpan w:val="3"/>
            <w:shd w:val="clear" w:color="auto" w:fill="auto"/>
            <w:vAlign w:val="bottom"/>
          </w:tcPr>
          <w:p w14:paraId="71D47786" w14:textId="77777777" w:rsidR="006A3667" w:rsidRDefault="006A3667">
            <w:pPr>
              <w:rPr>
                <w:rFonts w:ascii="宋体"/>
                <w:vanish/>
              </w:rPr>
            </w:pPr>
          </w:p>
        </w:tc>
        <w:tc>
          <w:tcPr>
            <w:tcW w:w="0" w:type="auto"/>
            <w:gridSpan w:val="3"/>
            <w:shd w:val="clear" w:color="auto" w:fill="auto"/>
            <w:vAlign w:val="bottom"/>
          </w:tcPr>
          <w:p w14:paraId="71D47787" w14:textId="77777777" w:rsidR="006A3667" w:rsidRDefault="006A3667">
            <w:pPr>
              <w:rPr>
                <w:rFonts w:ascii="宋体"/>
                <w:vanish/>
              </w:rPr>
            </w:pPr>
          </w:p>
        </w:tc>
        <w:tc>
          <w:tcPr>
            <w:tcW w:w="0" w:type="auto"/>
            <w:gridSpan w:val="3"/>
            <w:shd w:val="clear" w:color="auto" w:fill="auto"/>
            <w:vAlign w:val="bottom"/>
          </w:tcPr>
          <w:p w14:paraId="71D47788" w14:textId="77777777" w:rsidR="006A3667" w:rsidRDefault="006A3667">
            <w:pPr>
              <w:rPr>
                <w:rFonts w:ascii="宋体"/>
                <w:vanish/>
              </w:rPr>
            </w:pPr>
          </w:p>
        </w:tc>
        <w:tc>
          <w:tcPr>
            <w:tcW w:w="0" w:type="auto"/>
            <w:gridSpan w:val="3"/>
            <w:shd w:val="clear" w:color="auto" w:fill="auto"/>
            <w:vAlign w:val="bottom"/>
          </w:tcPr>
          <w:p w14:paraId="71D47789" w14:textId="77777777" w:rsidR="006A3667" w:rsidRDefault="006A3667">
            <w:pPr>
              <w:rPr>
                <w:rFonts w:ascii="宋体"/>
                <w:vanish/>
              </w:rPr>
            </w:pPr>
          </w:p>
        </w:tc>
        <w:tc>
          <w:tcPr>
            <w:tcW w:w="0" w:type="auto"/>
            <w:gridSpan w:val="3"/>
            <w:shd w:val="clear" w:color="auto" w:fill="auto"/>
            <w:vAlign w:val="bottom"/>
          </w:tcPr>
          <w:p w14:paraId="71D4778A" w14:textId="77777777" w:rsidR="006A3667" w:rsidRDefault="006A3667">
            <w:pPr>
              <w:rPr>
                <w:rFonts w:ascii="宋体"/>
                <w:vanish/>
              </w:rPr>
            </w:pPr>
          </w:p>
        </w:tc>
        <w:tc>
          <w:tcPr>
            <w:tcW w:w="0" w:type="auto"/>
            <w:gridSpan w:val="3"/>
            <w:shd w:val="clear" w:color="auto" w:fill="auto"/>
            <w:vAlign w:val="bottom"/>
          </w:tcPr>
          <w:p w14:paraId="71D4778B" w14:textId="77777777" w:rsidR="006A3667" w:rsidRDefault="006A3667">
            <w:pPr>
              <w:rPr>
                <w:rFonts w:ascii="宋体"/>
                <w:vanish/>
              </w:rPr>
            </w:pPr>
          </w:p>
        </w:tc>
        <w:tc>
          <w:tcPr>
            <w:tcW w:w="0" w:type="auto"/>
            <w:gridSpan w:val="3"/>
            <w:shd w:val="clear" w:color="auto" w:fill="auto"/>
            <w:vAlign w:val="bottom"/>
          </w:tcPr>
          <w:p w14:paraId="71D4778C" w14:textId="77777777" w:rsidR="006A3667" w:rsidRDefault="006A3667">
            <w:pPr>
              <w:rPr>
                <w:rFonts w:ascii="宋体"/>
                <w:vanish/>
              </w:rPr>
            </w:pPr>
          </w:p>
        </w:tc>
      </w:tr>
      <w:tr w:rsidR="006A3667" w14:paraId="71D477A2" w14:textId="77777777">
        <w:trPr>
          <w:jc w:val="center"/>
          <w:hidden/>
        </w:trPr>
        <w:tc>
          <w:tcPr>
            <w:tcW w:w="0" w:type="auto"/>
            <w:gridSpan w:val="3"/>
            <w:shd w:val="clear" w:color="auto" w:fill="auto"/>
            <w:vAlign w:val="bottom"/>
          </w:tcPr>
          <w:p w14:paraId="71D4778E" w14:textId="77777777" w:rsidR="006A3667" w:rsidRDefault="006A3667">
            <w:pPr>
              <w:rPr>
                <w:rFonts w:ascii="宋体"/>
                <w:vanish/>
              </w:rPr>
            </w:pPr>
          </w:p>
        </w:tc>
        <w:tc>
          <w:tcPr>
            <w:tcW w:w="0" w:type="auto"/>
            <w:gridSpan w:val="3"/>
            <w:shd w:val="clear" w:color="auto" w:fill="auto"/>
            <w:vAlign w:val="bottom"/>
          </w:tcPr>
          <w:p w14:paraId="71D4778F" w14:textId="77777777" w:rsidR="006A3667" w:rsidRDefault="006A3667">
            <w:pPr>
              <w:rPr>
                <w:rFonts w:ascii="宋体"/>
                <w:vanish/>
              </w:rPr>
            </w:pPr>
          </w:p>
        </w:tc>
        <w:tc>
          <w:tcPr>
            <w:tcW w:w="0" w:type="auto"/>
            <w:shd w:val="clear" w:color="auto" w:fill="auto"/>
            <w:vAlign w:val="bottom"/>
          </w:tcPr>
          <w:p w14:paraId="71D47790" w14:textId="77777777" w:rsidR="006A3667" w:rsidRDefault="006A3667">
            <w:pPr>
              <w:rPr>
                <w:rFonts w:ascii="宋体"/>
              </w:rPr>
            </w:pPr>
          </w:p>
        </w:tc>
        <w:tc>
          <w:tcPr>
            <w:tcW w:w="0" w:type="auto"/>
            <w:shd w:val="clear" w:color="auto" w:fill="auto"/>
            <w:vAlign w:val="bottom"/>
          </w:tcPr>
          <w:p w14:paraId="71D47791" w14:textId="77777777" w:rsidR="006A3667" w:rsidRDefault="006A3667">
            <w:pPr>
              <w:rPr>
                <w:rFonts w:ascii="宋体"/>
              </w:rPr>
            </w:pPr>
          </w:p>
        </w:tc>
        <w:tc>
          <w:tcPr>
            <w:tcW w:w="0" w:type="auto"/>
            <w:shd w:val="clear" w:color="auto" w:fill="auto"/>
            <w:vAlign w:val="bottom"/>
          </w:tcPr>
          <w:p w14:paraId="71D47792" w14:textId="77777777" w:rsidR="006A3667" w:rsidRDefault="006A3667">
            <w:pPr>
              <w:rPr>
                <w:rFonts w:ascii="宋体"/>
              </w:rPr>
            </w:pPr>
          </w:p>
        </w:tc>
        <w:tc>
          <w:tcPr>
            <w:tcW w:w="0" w:type="auto"/>
            <w:shd w:val="clear" w:color="auto" w:fill="auto"/>
            <w:vAlign w:val="bottom"/>
          </w:tcPr>
          <w:p w14:paraId="71D47793" w14:textId="77777777" w:rsidR="006A3667" w:rsidRDefault="006A3667">
            <w:pPr>
              <w:rPr>
                <w:rFonts w:ascii="宋体"/>
              </w:rPr>
            </w:pPr>
          </w:p>
        </w:tc>
        <w:tc>
          <w:tcPr>
            <w:tcW w:w="0" w:type="auto"/>
            <w:shd w:val="clear" w:color="auto" w:fill="auto"/>
            <w:vAlign w:val="bottom"/>
          </w:tcPr>
          <w:p w14:paraId="71D47794" w14:textId="77777777" w:rsidR="006A3667" w:rsidRDefault="006A3667">
            <w:pPr>
              <w:rPr>
                <w:rFonts w:ascii="宋体"/>
              </w:rPr>
            </w:pPr>
          </w:p>
        </w:tc>
        <w:tc>
          <w:tcPr>
            <w:tcW w:w="0" w:type="auto"/>
            <w:shd w:val="clear" w:color="auto" w:fill="auto"/>
            <w:vAlign w:val="bottom"/>
          </w:tcPr>
          <w:p w14:paraId="71D47795" w14:textId="77777777" w:rsidR="006A3667" w:rsidRDefault="006A3667">
            <w:pPr>
              <w:rPr>
                <w:rFonts w:ascii="宋体"/>
              </w:rPr>
            </w:pPr>
          </w:p>
        </w:tc>
        <w:tc>
          <w:tcPr>
            <w:tcW w:w="0" w:type="auto"/>
            <w:shd w:val="clear" w:color="auto" w:fill="auto"/>
            <w:vAlign w:val="bottom"/>
          </w:tcPr>
          <w:p w14:paraId="71D47796" w14:textId="77777777" w:rsidR="006A3667" w:rsidRDefault="006A3667">
            <w:pPr>
              <w:rPr>
                <w:rFonts w:ascii="宋体"/>
              </w:rPr>
            </w:pPr>
          </w:p>
        </w:tc>
        <w:tc>
          <w:tcPr>
            <w:tcW w:w="0" w:type="auto"/>
            <w:shd w:val="clear" w:color="auto" w:fill="auto"/>
            <w:vAlign w:val="bottom"/>
          </w:tcPr>
          <w:p w14:paraId="71D47797" w14:textId="77777777" w:rsidR="006A3667" w:rsidRDefault="006A3667">
            <w:pPr>
              <w:rPr>
                <w:rFonts w:ascii="宋体"/>
              </w:rPr>
            </w:pPr>
          </w:p>
        </w:tc>
        <w:tc>
          <w:tcPr>
            <w:tcW w:w="0" w:type="auto"/>
            <w:shd w:val="clear" w:color="auto" w:fill="auto"/>
            <w:vAlign w:val="bottom"/>
          </w:tcPr>
          <w:p w14:paraId="71D47798" w14:textId="77777777" w:rsidR="006A3667" w:rsidRDefault="006A3667">
            <w:pPr>
              <w:rPr>
                <w:rFonts w:ascii="宋体"/>
              </w:rPr>
            </w:pPr>
          </w:p>
        </w:tc>
        <w:tc>
          <w:tcPr>
            <w:tcW w:w="0" w:type="auto"/>
            <w:shd w:val="clear" w:color="auto" w:fill="auto"/>
            <w:vAlign w:val="bottom"/>
          </w:tcPr>
          <w:p w14:paraId="71D47799" w14:textId="77777777" w:rsidR="006A3667" w:rsidRDefault="006A3667">
            <w:pPr>
              <w:rPr>
                <w:rFonts w:ascii="宋体"/>
              </w:rPr>
            </w:pPr>
          </w:p>
        </w:tc>
        <w:tc>
          <w:tcPr>
            <w:tcW w:w="0" w:type="auto"/>
            <w:shd w:val="clear" w:color="auto" w:fill="auto"/>
            <w:vAlign w:val="bottom"/>
          </w:tcPr>
          <w:p w14:paraId="71D4779A" w14:textId="77777777" w:rsidR="006A3667" w:rsidRDefault="006A3667">
            <w:pPr>
              <w:rPr>
                <w:rFonts w:ascii="宋体"/>
              </w:rPr>
            </w:pPr>
          </w:p>
        </w:tc>
        <w:tc>
          <w:tcPr>
            <w:tcW w:w="0" w:type="auto"/>
            <w:shd w:val="clear" w:color="auto" w:fill="auto"/>
            <w:vAlign w:val="bottom"/>
          </w:tcPr>
          <w:p w14:paraId="71D4779B" w14:textId="77777777" w:rsidR="006A3667" w:rsidRDefault="006A3667">
            <w:pPr>
              <w:rPr>
                <w:rFonts w:ascii="宋体"/>
              </w:rPr>
            </w:pPr>
          </w:p>
        </w:tc>
        <w:tc>
          <w:tcPr>
            <w:tcW w:w="0" w:type="auto"/>
            <w:shd w:val="clear" w:color="auto" w:fill="auto"/>
            <w:vAlign w:val="bottom"/>
          </w:tcPr>
          <w:p w14:paraId="71D4779C" w14:textId="77777777" w:rsidR="006A3667" w:rsidRDefault="006A3667">
            <w:pPr>
              <w:rPr>
                <w:rFonts w:ascii="宋体"/>
              </w:rPr>
            </w:pPr>
          </w:p>
        </w:tc>
        <w:tc>
          <w:tcPr>
            <w:tcW w:w="0" w:type="auto"/>
            <w:shd w:val="clear" w:color="auto" w:fill="auto"/>
            <w:vAlign w:val="bottom"/>
          </w:tcPr>
          <w:p w14:paraId="71D4779D" w14:textId="77777777" w:rsidR="006A3667" w:rsidRDefault="006A3667">
            <w:pPr>
              <w:rPr>
                <w:rFonts w:ascii="宋体"/>
              </w:rPr>
            </w:pPr>
          </w:p>
        </w:tc>
        <w:tc>
          <w:tcPr>
            <w:tcW w:w="0" w:type="auto"/>
            <w:shd w:val="clear" w:color="auto" w:fill="auto"/>
            <w:vAlign w:val="bottom"/>
          </w:tcPr>
          <w:p w14:paraId="71D4779E" w14:textId="77777777" w:rsidR="006A3667" w:rsidRDefault="006A3667">
            <w:pPr>
              <w:rPr>
                <w:rFonts w:ascii="宋体"/>
              </w:rPr>
            </w:pPr>
          </w:p>
        </w:tc>
        <w:tc>
          <w:tcPr>
            <w:tcW w:w="0" w:type="auto"/>
            <w:shd w:val="clear" w:color="auto" w:fill="auto"/>
            <w:vAlign w:val="bottom"/>
          </w:tcPr>
          <w:p w14:paraId="71D4779F" w14:textId="77777777" w:rsidR="006A3667" w:rsidRDefault="006A3667">
            <w:pPr>
              <w:rPr>
                <w:rFonts w:ascii="宋体"/>
              </w:rPr>
            </w:pPr>
          </w:p>
        </w:tc>
        <w:tc>
          <w:tcPr>
            <w:tcW w:w="0" w:type="auto"/>
            <w:shd w:val="clear" w:color="auto" w:fill="auto"/>
            <w:vAlign w:val="bottom"/>
          </w:tcPr>
          <w:p w14:paraId="71D477A0" w14:textId="77777777" w:rsidR="006A3667" w:rsidRDefault="006A3667">
            <w:pPr>
              <w:rPr>
                <w:rFonts w:ascii="宋体"/>
              </w:rPr>
            </w:pPr>
          </w:p>
        </w:tc>
        <w:tc>
          <w:tcPr>
            <w:tcW w:w="0" w:type="auto"/>
            <w:shd w:val="clear" w:color="auto" w:fill="auto"/>
            <w:vAlign w:val="bottom"/>
          </w:tcPr>
          <w:p w14:paraId="71D477A1" w14:textId="77777777" w:rsidR="006A3667" w:rsidRDefault="006A3667">
            <w:pPr>
              <w:rPr>
                <w:rFonts w:ascii="宋体"/>
              </w:rPr>
            </w:pPr>
          </w:p>
        </w:tc>
      </w:tr>
      <w:tr w:rsidR="006A3667" w14:paraId="71D477B3" w14:textId="77777777">
        <w:trPr>
          <w:jc w:val="center"/>
          <w:hidden/>
        </w:trPr>
        <w:tc>
          <w:tcPr>
            <w:tcW w:w="0" w:type="auto"/>
            <w:gridSpan w:val="3"/>
            <w:shd w:val="clear" w:color="auto" w:fill="auto"/>
            <w:vAlign w:val="bottom"/>
          </w:tcPr>
          <w:p w14:paraId="71D477A3" w14:textId="77777777" w:rsidR="006A3667" w:rsidRDefault="006A3667">
            <w:pPr>
              <w:rPr>
                <w:rFonts w:ascii="宋体"/>
                <w:vanish/>
              </w:rPr>
            </w:pPr>
          </w:p>
        </w:tc>
        <w:tc>
          <w:tcPr>
            <w:tcW w:w="0" w:type="auto"/>
            <w:gridSpan w:val="3"/>
            <w:shd w:val="clear" w:color="auto" w:fill="auto"/>
            <w:vAlign w:val="bottom"/>
          </w:tcPr>
          <w:p w14:paraId="71D477A4" w14:textId="77777777" w:rsidR="006A3667" w:rsidRDefault="006A3667">
            <w:pPr>
              <w:rPr>
                <w:rFonts w:ascii="宋体"/>
                <w:vanish/>
              </w:rPr>
            </w:pPr>
          </w:p>
        </w:tc>
        <w:tc>
          <w:tcPr>
            <w:tcW w:w="0" w:type="auto"/>
            <w:gridSpan w:val="3"/>
            <w:shd w:val="clear" w:color="auto" w:fill="auto"/>
            <w:vAlign w:val="bottom"/>
          </w:tcPr>
          <w:p w14:paraId="71D477A5" w14:textId="77777777" w:rsidR="006A3667" w:rsidRDefault="006A3667">
            <w:pPr>
              <w:rPr>
                <w:rFonts w:ascii="宋体"/>
                <w:vanish/>
              </w:rPr>
            </w:pPr>
          </w:p>
        </w:tc>
        <w:tc>
          <w:tcPr>
            <w:tcW w:w="0" w:type="auto"/>
            <w:gridSpan w:val="3"/>
            <w:shd w:val="clear" w:color="auto" w:fill="auto"/>
            <w:vAlign w:val="bottom"/>
          </w:tcPr>
          <w:p w14:paraId="71D477A6" w14:textId="77777777" w:rsidR="006A3667" w:rsidRDefault="006A3667">
            <w:pPr>
              <w:rPr>
                <w:rFonts w:ascii="宋体"/>
                <w:vanish/>
              </w:rPr>
            </w:pPr>
          </w:p>
        </w:tc>
        <w:tc>
          <w:tcPr>
            <w:tcW w:w="0" w:type="auto"/>
            <w:shd w:val="clear" w:color="auto" w:fill="auto"/>
            <w:vAlign w:val="bottom"/>
          </w:tcPr>
          <w:p w14:paraId="71D477A7" w14:textId="77777777" w:rsidR="006A3667" w:rsidRDefault="006A3667">
            <w:pPr>
              <w:rPr>
                <w:rFonts w:ascii="宋体"/>
              </w:rPr>
            </w:pPr>
          </w:p>
        </w:tc>
        <w:tc>
          <w:tcPr>
            <w:tcW w:w="0" w:type="auto"/>
            <w:shd w:val="clear" w:color="auto" w:fill="auto"/>
            <w:vAlign w:val="bottom"/>
          </w:tcPr>
          <w:p w14:paraId="71D477A8" w14:textId="77777777" w:rsidR="006A3667" w:rsidRDefault="006A3667">
            <w:pPr>
              <w:rPr>
                <w:rFonts w:ascii="宋体"/>
              </w:rPr>
            </w:pPr>
          </w:p>
        </w:tc>
        <w:tc>
          <w:tcPr>
            <w:tcW w:w="0" w:type="auto"/>
            <w:shd w:val="clear" w:color="auto" w:fill="auto"/>
            <w:vAlign w:val="bottom"/>
          </w:tcPr>
          <w:p w14:paraId="71D477A9" w14:textId="77777777" w:rsidR="006A3667" w:rsidRDefault="006A3667">
            <w:pPr>
              <w:rPr>
                <w:rFonts w:ascii="宋体"/>
              </w:rPr>
            </w:pPr>
          </w:p>
        </w:tc>
        <w:tc>
          <w:tcPr>
            <w:tcW w:w="0" w:type="auto"/>
            <w:shd w:val="clear" w:color="auto" w:fill="auto"/>
            <w:vAlign w:val="bottom"/>
          </w:tcPr>
          <w:p w14:paraId="71D477AA" w14:textId="77777777" w:rsidR="006A3667" w:rsidRDefault="006A3667">
            <w:pPr>
              <w:rPr>
                <w:rFonts w:ascii="宋体"/>
              </w:rPr>
            </w:pPr>
          </w:p>
        </w:tc>
        <w:tc>
          <w:tcPr>
            <w:tcW w:w="0" w:type="auto"/>
            <w:shd w:val="clear" w:color="auto" w:fill="auto"/>
            <w:vAlign w:val="bottom"/>
          </w:tcPr>
          <w:p w14:paraId="71D477AB" w14:textId="77777777" w:rsidR="006A3667" w:rsidRDefault="006A3667">
            <w:pPr>
              <w:rPr>
                <w:rFonts w:ascii="宋体"/>
              </w:rPr>
            </w:pPr>
          </w:p>
        </w:tc>
        <w:tc>
          <w:tcPr>
            <w:tcW w:w="0" w:type="auto"/>
            <w:shd w:val="clear" w:color="auto" w:fill="auto"/>
            <w:vAlign w:val="bottom"/>
          </w:tcPr>
          <w:p w14:paraId="71D477AC" w14:textId="77777777" w:rsidR="006A3667" w:rsidRDefault="006A3667">
            <w:pPr>
              <w:rPr>
                <w:rFonts w:ascii="宋体"/>
              </w:rPr>
            </w:pPr>
          </w:p>
        </w:tc>
        <w:tc>
          <w:tcPr>
            <w:tcW w:w="0" w:type="auto"/>
            <w:shd w:val="clear" w:color="auto" w:fill="auto"/>
            <w:vAlign w:val="bottom"/>
          </w:tcPr>
          <w:p w14:paraId="71D477AD" w14:textId="77777777" w:rsidR="006A3667" w:rsidRDefault="006A3667">
            <w:pPr>
              <w:rPr>
                <w:rFonts w:ascii="宋体"/>
              </w:rPr>
            </w:pPr>
          </w:p>
        </w:tc>
        <w:tc>
          <w:tcPr>
            <w:tcW w:w="0" w:type="auto"/>
            <w:shd w:val="clear" w:color="auto" w:fill="auto"/>
            <w:vAlign w:val="bottom"/>
          </w:tcPr>
          <w:p w14:paraId="71D477AE" w14:textId="77777777" w:rsidR="006A3667" w:rsidRDefault="006A3667">
            <w:pPr>
              <w:rPr>
                <w:rFonts w:ascii="宋体"/>
              </w:rPr>
            </w:pPr>
          </w:p>
        </w:tc>
        <w:tc>
          <w:tcPr>
            <w:tcW w:w="0" w:type="auto"/>
            <w:shd w:val="clear" w:color="auto" w:fill="auto"/>
            <w:vAlign w:val="bottom"/>
          </w:tcPr>
          <w:p w14:paraId="71D477AF" w14:textId="77777777" w:rsidR="006A3667" w:rsidRDefault="006A3667">
            <w:pPr>
              <w:rPr>
                <w:rFonts w:ascii="宋体"/>
              </w:rPr>
            </w:pPr>
          </w:p>
        </w:tc>
        <w:tc>
          <w:tcPr>
            <w:tcW w:w="0" w:type="auto"/>
            <w:shd w:val="clear" w:color="auto" w:fill="auto"/>
            <w:vAlign w:val="bottom"/>
          </w:tcPr>
          <w:p w14:paraId="71D477B0" w14:textId="77777777" w:rsidR="006A3667" w:rsidRDefault="006A3667">
            <w:pPr>
              <w:rPr>
                <w:rFonts w:ascii="宋体"/>
              </w:rPr>
            </w:pPr>
          </w:p>
        </w:tc>
        <w:tc>
          <w:tcPr>
            <w:tcW w:w="0" w:type="auto"/>
            <w:shd w:val="clear" w:color="auto" w:fill="auto"/>
            <w:vAlign w:val="bottom"/>
          </w:tcPr>
          <w:p w14:paraId="71D477B1" w14:textId="77777777" w:rsidR="006A3667" w:rsidRDefault="006A3667">
            <w:pPr>
              <w:rPr>
                <w:rFonts w:ascii="宋体"/>
              </w:rPr>
            </w:pPr>
          </w:p>
        </w:tc>
        <w:tc>
          <w:tcPr>
            <w:tcW w:w="0" w:type="auto"/>
            <w:shd w:val="clear" w:color="auto" w:fill="auto"/>
            <w:vAlign w:val="bottom"/>
          </w:tcPr>
          <w:p w14:paraId="71D477B2" w14:textId="77777777" w:rsidR="006A3667" w:rsidRDefault="006A3667">
            <w:pPr>
              <w:rPr>
                <w:rFonts w:ascii="宋体"/>
              </w:rPr>
            </w:pPr>
          </w:p>
        </w:tc>
      </w:tr>
      <w:tr w:rsidR="006A3667" w14:paraId="71D477BC" w14:textId="77777777">
        <w:trPr>
          <w:jc w:val="center"/>
          <w:hidden/>
        </w:trPr>
        <w:tc>
          <w:tcPr>
            <w:tcW w:w="0" w:type="auto"/>
            <w:gridSpan w:val="3"/>
            <w:shd w:val="clear" w:color="auto" w:fill="auto"/>
            <w:vAlign w:val="bottom"/>
          </w:tcPr>
          <w:p w14:paraId="71D477B4" w14:textId="77777777" w:rsidR="006A3667" w:rsidRDefault="006A3667">
            <w:pPr>
              <w:rPr>
                <w:rFonts w:ascii="宋体"/>
                <w:vanish/>
              </w:rPr>
            </w:pPr>
          </w:p>
        </w:tc>
        <w:tc>
          <w:tcPr>
            <w:tcW w:w="0" w:type="auto"/>
            <w:gridSpan w:val="3"/>
            <w:shd w:val="clear" w:color="auto" w:fill="auto"/>
            <w:vAlign w:val="bottom"/>
          </w:tcPr>
          <w:p w14:paraId="71D477B5" w14:textId="77777777" w:rsidR="006A3667" w:rsidRDefault="006A3667">
            <w:pPr>
              <w:rPr>
                <w:rFonts w:ascii="宋体"/>
                <w:vanish/>
              </w:rPr>
            </w:pPr>
          </w:p>
        </w:tc>
        <w:tc>
          <w:tcPr>
            <w:tcW w:w="0" w:type="auto"/>
            <w:gridSpan w:val="3"/>
            <w:shd w:val="clear" w:color="auto" w:fill="auto"/>
            <w:vAlign w:val="bottom"/>
          </w:tcPr>
          <w:p w14:paraId="71D477B6" w14:textId="77777777" w:rsidR="006A3667" w:rsidRDefault="006A3667">
            <w:pPr>
              <w:rPr>
                <w:rFonts w:ascii="宋体"/>
                <w:vanish/>
              </w:rPr>
            </w:pPr>
          </w:p>
        </w:tc>
        <w:tc>
          <w:tcPr>
            <w:tcW w:w="0" w:type="auto"/>
            <w:gridSpan w:val="3"/>
            <w:shd w:val="clear" w:color="auto" w:fill="auto"/>
            <w:vAlign w:val="bottom"/>
          </w:tcPr>
          <w:p w14:paraId="71D477B7" w14:textId="77777777" w:rsidR="006A3667" w:rsidRDefault="006A3667">
            <w:pPr>
              <w:rPr>
                <w:rFonts w:ascii="宋体"/>
                <w:vanish/>
              </w:rPr>
            </w:pPr>
          </w:p>
        </w:tc>
        <w:tc>
          <w:tcPr>
            <w:tcW w:w="0" w:type="auto"/>
            <w:gridSpan w:val="3"/>
            <w:shd w:val="clear" w:color="auto" w:fill="auto"/>
            <w:vAlign w:val="bottom"/>
          </w:tcPr>
          <w:p w14:paraId="71D477B8" w14:textId="77777777" w:rsidR="006A3667" w:rsidRDefault="006A3667">
            <w:pPr>
              <w:rPr>
                <w:rFonts w:ascii="宋体"/>
                <w:vanish/>
              </w:rPr>
            </w:pPr>
          </w:p>
        </w:tc>
        <w:tc>
          <w:tcPr>
            <w:tcW w:w="0" w:type="auto"/>
            <w:gridSpan w:val="3"/>
            <w:shd w:val="clear" w:color="auto" w:fill="auto"/>
            <w:vAlign w:val="bottom"/>
          </w:tcPr>
          <w:p w14:paraId="71D477B9" w14:textId="77777777" w:rsidR="006A3667" w:rsidRDefault="006A3667">
            <w:pPr>
              <w:rPr>
                <w:rFonts w:ascii="宋体"/>
                <w:vanish/>
              </w:rPr>
            </w:pPr>
          </w:p>
        </w:tc>
        <w:tc>
          <w:tcPr>
            <w:tcW w:w="0" w:type="auto"/>
            <w:gridSpan w:val="3"/>
            <w:shd w:val="clear" w:color="auto" w:fill="auto"/>
            <w:vAlign w:val="bottom"/>
          </w:tcPr>
          <w:p w14:paraId="71D477BA" w14:textId="77777777" w:rsidR="006A3667" w:rsidRDefault="006A3667">
            <w:pPr>
              <w:rPr>
                <w:rFonts w:ascii="宋体"/>
                <w:vanish/>
              </w:rPr>
            </w:pPr>
          </w:p>
        </w:tc>
        <w:tc>
          <w:tcPr>
            <w:tcW w:w="0" w:type="auto"/>
            <w:gridSpan w:val="3"/>
            <w:shd w:val="clear" w:color="auto" w:fill="auto"/>
            <w:vAlign w:val="bottom"/>
          </w:tcPr>
          <w:p w14:paraId="71D477BB" w14:textId="77777777" w:rsidR="006A3667" w:rsidRDefault="006A3667">
            <w:pPr>
              <w:rPr>
                <w:rFonts w:ascii="宋体"/>
                <w:vanish/>
              </w:rPr>
            </w:pPr>
          </w:p>
        </w:tc>
      </w:tr>
      <w:tr w:rsidR="006A3667" w14:paraId="71D477C5" w14:textId="77777777">
        <w:trPr>
          <w:jc w:val="center"/>
          <w:hidden/>
        </w:trPr>
        <w:tc>
          <w:tcPr>
            <w:tcW w:w="0" w:type="auto"/>
            <w:gridSpan w:val="3"/>
            <w:shd w:val="clear" w:color="auto" w:fill="auto"/>
            <w:vAlign w:val="bottom"/>
          </w:tcPr>
          <w:p w14:paraId="71D477BD" w14:textId="77777777" w:rsidR="006A3667" w:rsidRDefault="006A3667">
            <w:pPr>
              <w:rPr>
                <w:rFonts w:ascii="宋体"/>
                <w:vanish/>
              </w:rPr>
            </w:pPr>
          </w:p>
        </w:tc>
        <w:tc>
          <w:tcPr>
            <w:tcW w:w="0" w:type="auto"/>
            <w:gridSpan w:val="3"/>
            <w:shd w:val="clear" w:color="auto" w:fill="auto"/>
            <w:vAlign w:val="bottom"/>
          </w:tcPr>
          <w:p w14:paraId="71D477BE" w14:textId="77777777" w:rsidR="006A3667" w:rsidRDefault="006A3667">
            <w:pPr>
              <w:rPr>
                <w:rFonts w:ascii="宋体"/>
                <w:vanish/>
              </w:rPr>
            </w:pPr>
          </w:p>
        </w:tc>
        <w:tc>
          <w:tcPr>
            <w:tcW w:w="0" w:type="auto"/>
            <w:gridSpan w:val="3"/>
            <w:shd w:val="clear" w:color="auto" w:fill="auto"/>
            <w:vAlign w:val="bottom"/>
          </w:tcPr>
          <w:p w14:paraId="71D477BF" w14:textId="77777777" w:rsidR="006A3667" w:rsidRDefault="006A3667">
            <w:pPr>
              <w:rPr>
                <w:rFonts w:ascii="宋体"/>
                <w:vanish/>
              </w:rPr>
            </w:pPr>
          </w:p>
        </w:tc>
        <w:tc>
          <w:tcPr>
            <w:tcW w:w="0" w:type="auto"/>
            <w:gridSpan w:val="3"/>
            <w:shd w:val="clear" w:color="auto" w:fill="auto"/>
            <w:vAlign w:val="bottom"/>
          </w:tcPr>
          <w:p w14:paraId="71D477C0" w14:textId="77777777" w:rsidR="006A3667" w:rsidRDefault="006A3667">
            <w:pPr>
              <w:rPr>
                <w:rFonts w:ascii="宋体"/>
                <w:vanish/>
              </w:rPr>
            </w:pPr>
          </w:p>
        </w:tc>
        <w:tc>
          <w:tcPr>
            <w:tcW w:w="0" w:type="auto"/>
            <w:gridSpan w:val="3"/>
            <w:shd w:val="clear" w:color="auto" w:fill="auto"/>
            <w:vAlign w:val="bottom"/>
          </w:tcPr>
          <w:p w14:paraId="71D477C1" w14:textId="77777777" w:rsidR="006A3667" w:rsidRDefault="006A3667">
            <w:pPr>
              <w:rPr>
                <w:rFonts w:ascii="宋体"/>
                <w:vanish/>
              </w:rPr>
            </w:pPr>
          </w:p>
        </w:tc>
        <w:tc>
          <w:tcPr>
            <w:tcW w:w="0" w:type="auto"/>
            <w:gridSpan w:val="3"/>
            <w:shd w:val="clear" w:color="auto" w:fill="auto"/>
            <w:vAlign w:val="bottom"/>
          </w:tcPr>
          <w:p w14:paraId="71D477C2" w14:textId="77777777" w:rsidR="006A3667" w:rsidRDefault="006A3667">
            <w:pPr>
              <w:rPr>
                <w:rFonts w:ascii="宋体"/>
                <w:vanish/>
              </w:rPr>
            </w:pPr>
          </w:p>
        </w:tc>
        <w:tc>
          <w:tcPr>
            <w:tcW w:w="0" w:type="auto"/>
            <w:gridSpan w:val="3"/>
            <w:shd w:val="clear" w:color="auto" w:fill="auto"/>
            <w:vAlign w:val="bottom"/>
          </w:tcPr>
          <w:p w14:paraId="71D477C3" w14:textId="77777777" w:rsidR="006A3667" w:rsidRDefault="006A3667">
            <w:pPr>
              <w:rPr>
                <w:rFonts w:ascii="宋体"/>
                <w:vanish/>
              </w:rPr>
            </w:pPr>
          </w:p>
        </w:tc>
        <w:tc>
          <w:tcPr>
            <w:tcW w:w="0" w:type="auto"/>
            <w:gridSpan w:val="3"/>
            <w:shd w:val="clear" w:color="auto" w:fill="auto"/>
            <w:vAlign w:val="bottom"/>
          </w:tcPr>
          <w:p w14:paraId="71D477C4" w14:textId="77777777" w:rsidR="006A3667" w:rsidRDefault="006A3667">
            <w:pPr>
              <w:rPr>
                <w:rFonts w:ascii="宋体"/>
                <w:vanish/>
              </w:rPr>
            </w:pPr>
          </w:p>
        </w:tc>
      </w:tr>
      <w:tr w:rsidR="006A3667" w14:paraId="71D477CE" w14:textId="77777777">
        <w:trPr>
          <w:jc w:val="center"/>
          <w:hidden/>
        </w:trPr>
        <w:tc>
          <w:tcPr>
            <w:tcW w:w="0" w:type="auto"/>
            <w:gridSpan w:val="3"/>
            <w:shd w:val="clear" w:color="auto" w:fill="auto"/>
            <w:vAlign w:val="bottom"/>
          </w:tcPr>
          <w:p w14:paraId="71D477C6" w14:textId="77777777" w:rsidR="006A3667" w:rsidRDefault="006A3667">
            <w:pPr>
              <w:rPr>
                <w:rFonts w:ascii="宋体"/>
                <w:vanish/>
              </w:rPr>
            </w:pPr>
          </w:p>
        </w:tc>
        <w:tc>
          <w:tcPr>
            <w:tcW w:w="0" w:type="auto"/>
            <w:gridSpan w:val="3"/>
            <w:shd w:val="clear" w:color="auto" w:fill="auto"/>
            <w:vAlign w:val="bottom"/>
          </w:tcPr>
          <w:p w14:paraId="71D477C7" w14:textId="77777777" w:rsidR="006A3667" w:rsidRDefault="006A3667">
            <w:pPr>
              <w:rPr>
                <w:rFonts w:ascii="宋体"/>
                <w:vanish/>
              </w:rPr>
            </w:pPr>
          </w:p>
        </w:tc>
        <w:tc>
          <w:tcPr>
            <w:tcW w:w="0" w:type="auto"/>
            <w:gridSpan w:val="3"/>
            <w:shd w:val="clear" w:color="auto" w:fill="auto"/>
            <w:vAlign w:val="bottom"/>
          </w:tcPr>
          <w:p w14:paraId="71D477C8" w14:textId="77777777" w:rsidR="006A3667" w:rsidRDefault="006A3667">
            <w:pPr>
              <w:rPr>
                <w:rFonts w:ascii="宋体"/>
                <w:vanish/>
              </w:rPr>
            </w:pPr>
          </w:p>
        </w:tc>
        <w:tc>
          <w:tcPr>
            <w:tcW w:w="0" w:type="auto"/>
            <w:gridSpan w:val="3"/>
            <w:shd w:val="clear" w:color="auto" w:fill="auto"/>
            <w:vAlign w:val="bottom"/>
          </w:tcPr>
          <w:p w14:paraId="71D477C9" w14:textId="77777777" w:rsidR="006A3667" w:rsidRDefault="006A3667">
            <w:pPr>
              <w:rPr>
                <w:rFonts w:ascii="宋体"/>
                <w:vanish/>
              </w:rPr>
            </w:pPr>
          </w:p>
        </w:tc>
        <w:tc>
          <w:tcPr>
            <w:tcW w:w="0" w:type="auto"/>
            <w:gridSpan w:val="3"/>
            <w:shd w:val="clear" w:color="auto" w:fill="auto"/>
            <w:vAlign w:val="bottom"/>
          </w:tcPr>
          <w:p w14:paraId="71D477CA" w14:textId="77777777" w:rsidR="006A3667" w:rsidRDefault="006A3667">
            <w:pPr>
              <w:rPr>
                <w:rFonts w:ascii="宋体"/>
                <w:vanish/>
              </w:rPr>
            </w:pPr>
          </w:p>
        </w:tc>
        <w:tc>
          <w:tcPr>
            <w:tcW w:w="0" w:type="auto"/>
            <w:gridSpan w:val="3"/>
            <w:shd w:val="clear" w:color="auto" w:fill="auto"/>
            <w:vAlign w:val="bottom"/>
          </w:tcPr>
          <w:p w14:paraId="71D477CB" w14:textId="77777777" w:rsidR="006A3667" w:rsidRDefault="006A3667">
            <w:pPr>
              <w:rPr>
                <w:rFonts w:ascii="宋体"/>
                <w:vanish/>
              </w:rPr>
            </w:pPr>
          </w:p>
        </w:tc>
        <w:tc>
          <w:tcPr>
            <w:tcW w:w="0" w:type="auto"/>
            <w:gridSpan w:val="3"/>
            <w:shd w:val="clear" w:color="auto" w:fill="auto"/>
            <w:vAlign w:val="bottom"/>
          </w:tcPr>
          <w:p w14:paraId="71D477CC" w14:textId="77777777" w:rsidR="006A3667" w:rsidRDefault="006A3667">
            <w:pPr>
              <w:rPr>
                <w:rFonts w:ascii="宋体"/>
                <w:vanish/>
              </w:rPr>
            </w:pPr>
          </w:p>
        </w:tc>
        <w:tc>
          <w:tcPr>
            <w:tcW w:w="0" w:type="auto"/>
            <w:gridSpan w:val="3"/>
            <w:shd w:val="clear" w:color="auto" w:fill="auto"/>
            <w:vAlign w:val="bottom"/>
          </w:tcPr>
          <w:p w14:paraId="71D477CD" w14:textId="77777777" w:rsidR="006A3667" w:rsidRDefault="006A3667">
            <w:pPr>
              <w:rPr>
                <w:rFonts w:ascii="宋体"/>
                <w:vanish/>
              </w:rPr>
            </w:pPr>
          </w:p>
        </w:tc>
      </w:tr>
      <w:tr w:rsidR="006A3667" w14:paraId="71D477D7" w14:textId="77777777">
        <w:trPr>
          <w:jc w:val="center"/>
          <w:hidden/>
        </w:trPr>
        <w:tc>
          <w:tcPr>
            <w:tcW w:w="0" w:type="auto"/>
            <w:gridSpan w:val="3"/>
            <w:shd w:val="clear" w:color="auto" w:fill="auto"/>
            <w:vAlign w:val="bottom"/>
          </w:tcPr>
          <w:p w14:paraId="71D477CF" w14:textId="77777777" w:rsidR="006A3667" w:rsidRDefault="006A3667">
            <w:pPr>
              <w:rPr>
                <w:rFonts w:ascii="宋体"/>
                <w:vanish/>
              </w:rPr>
            </w:pPr>
          </w:p>
        </w:tc>
        <w:tc>
          <w:tcPr>
            <w:tcW w:w="0" w:type="auto"/>
            <w:gridSpan w:val="3"/>
            <w:shd w:val="clear" w:color="auto" w:fill="auto"/>
            <w:vAlign w:val="bottom"/>
          </w:tcPr>
          <w:p w14:paraId="71D477D0" w14:textId="77777777" w:rsidR="006A3667" w:rsidRDefault="006A3667">
            <w:pPr>
              <w:rPr>
                <w:rFonts w:ascii="宋体"/>
                <w:vanish/>
              </w:rPr>
            </w:pPr>
          </w:p>
        </w:tc>
        <w:tc>
          <w:tcPr>
            <w:tcW w:w="0" w:type="auto"/>
            <w:gridSpan w:val="3"/>
            <w:shd w:val="clear" w:color="auto" w:fill="auto"/>
            <w:vAlign w:val="bottom"/>
          </w:tcPr>
          <w:p w14:paraId="71D477D1" w14:textId="77777777" w:rsidR="006A3667" w:rsidRDefault="006A3667">
            <w:pPr>
              <w:rPr>
                <w:rFonts w:ascii="宋体"/>
                <w:vanish/>
              </w:rPr>
            </w:pPr>
          </w:p>
        </w:tc>
        <w:tc>
          <w:tcPr>
            <w:tcW w:w="0" w:type="auto"/>
            <w:gridSpan w:val="3"/>
            <w:shd w:val="clear" w:color="auto" w:fill="auto"/>
            <w:vAlign w:val="bottom"/>
          </w:tcPr>
          <w:p w14:paraId="71D477D2" w14:textId="77777777" w:rsidR="006A3667" w:rsidRDefault="006A3667">
            <w:pPr>
              <w:rPr>
                <w:rFonts w:ascii="宋体"/>
                <w:vanish/>
              </w:rPr>
            </w:pPr>
          </w:p>
        </w:tc>
        <w:tc>
          <w:tcPr>
            <w:tcW w:w="0" w:type="auto"/>
            <w:gridSpan w:val="3"/>
            <w:shd w:val="clear" w:color="auto" w:fill="auto"/>
            <w:vAlign w:val="bottom"/>
          </w:tcPr>
          <w:p w14:paraId="71D477D3" w14:textId="77777777" w:rsidR="006A3667" w:rsidRDefault="006A3667">
            <w:pPr>
              <w:rPr>
                <w:rFonts w:ascii="宋体"/>
                <w:vanish/>
              </w:rPr>
            </w:pPr>
          </w:p>
        </w:tc>
        <w:tc>
          <w:tcPr>
            <w:tcW w:w="0" w:type="auto"/>
            <w:gridSpan w:val="3"/>
            <w:shd w:val="clear" w:color="auto" w:fill="auto"/>
            <w:vAlign w:val="bottom"/>
          </w:tcPr>
          <w:p w14:paraId="71D477D4" w14:textId="77777777" w:rsidR="006A3667" w:rsidRDefault="006A3667">
            <w:pPr>
              <w:rPr>
                <w:rFonts w:ascii="宋体"/>
                <w:vanish/>
              </w:rPr>
            </w:pPr>
          </w:p>
        </w:tc>
        <w:tc>
          <w:tcPr>
            <w:tcW w:w="0" w:type="auto"/>
            <w:gridSpan w:val="3"/>
            <w:shd w:val="clear" w:color="auto" w:fill="auto"/>
            <w:vAlign w:val="bottom"/>
          </w:tcPr>
          <w:p w14:paraId="71D477D5" w14:textId="77777777" w:rsidR="006A3667" w:rsidRDefault="006A3667">
            <w:pPr>
              <w:rPr>
                <w:rFonts w:ascii="宋体"/>
                <w:vanish/>
              </w:rPr>
            </w:pPr>
          </w:p>
        </w:tc>
        <w:tc>
          <w:tcPr>
            <w:tcW w:w="0" w:type="auto"/>
            <w:gridSpan w:val="3"/>
            <w:shd w:val="clear" w:color="auto" w:fill="auto"/>
            <w:vAlign w:val="bottom"/>
          </w:tcPr>
          <w:p w14:paraId="71D477D6" w14:textId="77777777" w:rsidR="006A3667" w:rsidRDefault="006A3667">
            <w:pPr>
              <w:rPr>
                <w:rFonts w:ascii="宋体"/>
                <w:vanish/>
              </w:rPr>
            </w:pPr>
          </w:p>
        </w:tc>
      </w:tr>
    </w:tbl>
    <w:p w14:paraId="71D477D8" w14:textId="77777777" w:rsidR="006A3667" w:rsidRDefault="006A3667">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6A3667" w14:paraId="71D477E8" w14:textId="77777777">
        <w:tc>
          <w:tcPr>
            <w:tcW w:w="20" w:type="dxa"/>
            <w:shd w:val="clear" w:color="auto" w:fill="auto"/>
            <w:vAlign w:val="bottom"/>
          </w:tcPr>
          <w:p w14:paraId="71D477D9" w14:textId="77777777" w:rsidR="006A3667" w:rsidRDefault="006A3667">
            <w:pPr>
              <w:rPr>
                <w:rFonts w:ascii="宋体"/>
              </w:rPr>
            </w:pPr>
          </w:p>
        </w:tc>
        <w:tc>
          <w:tcPr>
            <w:tcW w:w="2840" w:type="dxa"/>
            <w:shd w:val="clear" w:color="auto" w:fill="auto"/>
            <w:vAlign w:val="bottom"/>
          </w:tcPr>
          <w:p w14:paraId="71D477DA" w14:textId="77777777" w:rsidR="006A3667" w:rsidRDefault="006A3667">
            <w:pPr>
              <w:rPr>
                <w:rFonts w:ascii="宋体"/>
              </w:rPr>
            </w:pPr>
          </w:p>
        </w:tc>
        <w:tc>
          <w:tcPr>
            <w:tcW w:w="20" w:type="dxa"/>
            <w:shd w:val="clear" w:color="auto" w:fill="auto"/>
            <w:vAlign w:val="bottom"/>
          </w:tcPr>
          <w:p w14:paraId="71D477DB" w14:textId="77777777" w:rsidR="006A3667" w:rsidRDefault="006A3667">
            <w:pPr>
              <w:rPr>
                <w:rFonts w:ascii="宋体"/>
              </w:rPr>
            </w:pPr>
          </w:p>
        </w:tc>
        <w:tc>
          <w:tcPr>
            <w:tcW w:w="20" w:type="dxa"/>
            <w:shd w:val="clear" w:color="auto" w:fill="auto"/>
            <w:vAlign w:val="bottom"/>
          </w:tcPr>
          <w:p w14:paraId="71D477DC" w14:textId="77777777" w:rsidR="006A3667" w:rsidRDefault="006A3667">
            <w:pPr>
              <w:rPr>
                <w:rFonts w:ascii="宋体"/>
              </w:rPr>
            </w:pPr>
          </w:p>
        </w:tc>
        <w:tc>
          <w:tcPr>
            <w:tcW w:w="1460" w:type="dxa"/>
            <w:shd w:val="clear" w:color="auto" w:fill="auto"/>
            <w:vAlign w:val="bottom"/>
          </w:tcPr>
          <w:p w14:paraId="71D477DD" w14:textId="77777777" w:rsidR="006A3667" w:rsidRDefault="006A3667">
            <w:pPr>
              <w:rPr>
                <w:rFonts w:ascii="宋体"/>
              </w:rPr>
            </w:pPr>
          </w:p>
        </w:tc>
        <w:tc>
          <w:tcPr>
            <w:tcW w:w="20" w:type="dxa"/>
            <w:shd w:val="clear" w:color="auto" w:fill="auto"/>
            <w:vAlign w:val="bottom"/>
          </w:tcPr>
          <w:p w14:paraId="71D477DE" w14:textId="77777777" w:rsidR="006A3667" w:rsidRDefault="006A3667">
            <w:pPr>
              <w:rPr>
                <w:rFonts w:ascii="宋体"/>
              </w:rPr>
            </w:pPr>
          </w:p>
        </w:tc>
        <w:tc>
          <w:tcPr>
            <w:tcW w:w="20" w:type="dxa"/>
            <w:shd w:val="clear" w:color="auto" w:fill="auto"/>
            <w:vAlign w:val="bottom"/>
          </w:tcPr>
          <w:p w14:paraId="71D477DF" w14:textId="77777777" w:rsidR="006A3667" w:rsidRDefault="006A3667">
            <w:pPr>
              <w:rPr>
                <w:rFonts w:ascii="宋体"/>
              </w:rPr>
            </w:pPr>
          </w:p>
        </w:tc>
        <w:tc>
          <w:tcPr>
            <w:tcW w:w="1460" w:type="dxa"/>
            <w:shd w:val="clear" w:color="auto" w:fill="auto"/>
            <w:vAlign w:val="bottom"/>
          </w:tcPr>
          <w:p w14:paraId="71D477E0" w14:textId="77777777" w:rsidR="006A3667" w:rsidRDefault="006A3667">
            <w:pPr>
              <w:rPr>
                <w:rFonts w:ascii="宋体"/>
              </w:rPr>
            </w:pPr>
          </w:p>
        </w:tc>
        <w:tc>
          <w:tcPr>
            <w:tcW w:w="20" w:type="dxa"/>
            <w:shd w:val="clear" w:color="auto" w:fill="auto"/>
            <w:vAlign w:val="bottom"/>
          </w:tcPr>
          <w:p w14:paraId="71D477E1" w14:textId="77777777" w:rsidR="006A3667" w:rsidRDefault="006A3667">
            <w:pPr>
              <w:rPr>
                <w:rFonts w:ascii="宋体"/>
              </w:rPr>
            </w:pPr>
          </w:p>
        </w:tc>
        <w:tc>
          <w:tcPr>
            <w:tcW w:w="20" w:type="dxa"/>
            <w:shd w:val="clear" w:color="auto" w:fill="auto"/>
            <w:vAlign w:val="bottom"/>
          </w:tcPr>
          <w:p w14:paraId="71D477E2" w14:textId="77777777" w:rsidR="006A3667" w:rsidRDefault="006A3667">
            <w:pPr>
              <w:rPr>
                <w:rFonts w:ascii="宋体"/>
              </w:rPr>
            </w:pPr>
          </w:p>
        </w:tc>
        <w:tc>
          <w:tcPr>
            <w:tcW w:w="2555" w:type="dxa"/>
            <w:shd w:val="clear" w:color="auto" w:fill="auto"/>
            <w:vAlign w:val="bottom"/>
          </w:tcPr>
          <w:p w14:paraId="71D477E3" w14:textId="77777777" w:rsidR="006A3667" w:rsidRDefault="006A3667">
            <w:pPr>
              <w:rPr>
                <w:rFonts w:ascii="宋体"/>
              </w:rPr>
            </w:pPr>
          </w:p>
        </w:tc>
        <w:tc>
          <w:tcPr>
            <w:tcW w:w="20" w:type="dxa"/>
            <w:shd w:val="clear" w:color="auto" w:fill="auto"/>
            <w:vAlign w:val="bottom"/>
          </w:tcPr>
          <w:p w14:paraId="71D477E4" w14:textId="77777777" w:rsidR="006A3667" w:rsidRDefault="006A3667">
            <w:pPr>
              <w:rPr>
                <w:rFonts w:ascii="宋体"/>
              </w:rPr>
            </w:pPr>
          </w:p>
        </w:tc>
        <w:tc>
          <w:tcPr>
            <w:tcW w:w="20" w:type="dxa"/>
            <w:shd w:val="clear" w:color="auto" w:fill="auto"/>
            <w:vAlign w:val="bottom"/>
          </w:tcPr>
          <w:p w14:paraId="71D477E5" w14:textId="77777777" w:rsidR="006A3667" w:rsidRDefault="006A3667">
            <w:pPr>
              <w:rPr>
                <w:rFonts w:ascii="宋体"/>
              </w:rPr>
            </w:pPr>
          </w:p>
        </w:tc>
        <w:tc>
          <w:tcPr>
            <w:tcW w:w="1745" w:type="dxa"/>
            <w:shd w:val="clear" w:color="auto" w:fill="auto"/>
            <w:vAlign w:val="bottom"/>
          </w:tcPr>
          <w:p w14:paraId="71D477E6" w14:textId="77777777" w:rsidR="006A3667" w:rsidRDefault="006A3667">
            <w:pPr>
              <w:rPr>
                <w:rFonts w:ascii="宋体"/>
              </w:rPr>
            </w:pPr>
          </w:p>
        </w:tc>
        <w:tc>
          <w:tcPr>
            <w:tcW w:w="20" w:type="dxa"/>
            <w:shd w:val="clear" w:color="auto" w:fill="auto"/>
            <w:vAlign w:val="bottom"/>
          </w:tcPr>
          <w:p w14:paraId="71D477E7" w14:textId="77777777" w:rsidR="006A3667" w:rsidRDefault="006A3667">
            <w:pPr>
              <w:rPr>
                <w:rFonts w:ascii="宋体"/>
              </w:rPr>
            </w:pPr>
          </w:p>
        </w:tc>
      </w:tr>
      <w:tr w:rsidR="006A3667" w14:paraId="71D477E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7E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E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E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E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7ED" w14:textId="77777777" w:rsidR="006A3667" w:rsidRDefault="006A3667">
            <w:pPr>
              <w:rPr>
                <w:rFonts w:ascii="宋体"/>
              </w:rPr>
            </w:pPr>
          </w:p>
        </w:tc>
      </w:tr>
    </w:tbl>
    <w:p w14:paraId="71D477EF" w14:textId="77777777" w:rsidR="006A3667" w:rsidRDefault="00045F32">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hedged items no longer designated in qualifying fair value hedging relationships for which an associated basis adjustment exists at the balance sheet date.</w:t>
      </w:r>
    </w:p>
    <w:p w14:paraId="71D477F0" w14:textId="77777777" w:rsidR="006A3667" w:rsidRDefault="00045F32">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 xml:space="preserve">Included in these amounts is the </w:t>
      </w:r>
      <w:r>
        <w:rPr>
          <w:rFonts w:ascii="Arial" w:eastAsia="宋体" w:hAnsi="Arial" w:cs="Arial"/>
          <w:color w:val="000000"/>
          <w:sz w:val="14"/>
          <w:szCs w:val="14"/>
        </w:rPr>
        <w:t xml:space="preserve">amortized cost of the prepayable financial assets designated in last-of-layer hedging relationships (hedged item is the last layer of a closed portfolio of prepayable financial assets expected to remain outstanding at the end of the hedging relationship). </w:t>
      </w:r>
      <w:r>
        <w:rPr>
          <w:rFonts w:ascii="Arial" w:eastAsia="宋体" w:hAnsi="Arial" w:cs="Arial"/>
          <w:color w:val="000000"/>
          <w:sz w:val="14"/>
          <w:szCs w:val="14"/>
        </w:rPr>
        <w:t>At September 30, 2022 and December 31, 2021, the amortized cost of the closed portfolios used in these hedging relationships was $214 million and zero, respectively, of which $66 million and zero, respectively, was designated in the last-of-layer hedging r</w:t>
      </w:r>
      <w:r>
        <w:rPr>
          <w:rFonts w:ascii="Arial" w:eastAsia="宋体" w:hAnsi="Arial" w:cs="Arial"/>
          <w:color w:val="000000"/>
          <w:sz w:val="14"/>
          <w:szCs w:val="14"/>
        </w:rPr>
        <w:t>elationship. At September 30, 2022 and December 31, 2021, the cumulative adjustment associated with these hedging relationships was ($5) million and zero, respectively.</w:t>
      </w:r>
    </w:p>
    <w:p w14:paraId="71D477F1" w14:textId="77777777" w:rsidR="006A3667" w:rsidRDefault="00045F32">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Carrying amount represents amortized cost.</w:t>
      </w:r>
    </w:p>
    <w:p w14:paraId="71D477F2" w14:textId="77777777" w:rsidR="006A3667" w:rsidRDefault="00045F32">
      <w:pPr>
        <w:spacing w:before="60"/>
        <w:ind w:firstLine="450"/>
        <w:jc w:val="both"/>
      </w:pPr>
      <w:r>
        <w:rPr>
          <w:rFonts w:ascii="Arial" w:eastAsia="宋体" w:hAnsi="Arial" w:cs="Arial"/>
          <w:color w:val="000000"/>
          <w:sz w:val="20"/>
          <w:szCs w:val="20"/>
        </w:rPr>
        <w:t>As of September 30, 2022 and December 31</w:t>
      </w:r>
      <w:r>
        <w:rPr>
          <w:rFonts w:ascii="Arial" w:eastAsia="宋体" w:hAnsi="Arial" w:cs="Arial"/>
          <w:color w:val="000000"/>
          <w:sz w:val="20"/>
          <w:szCs w:val="20"/>
        </w:rPr>
        <w:t>, 2021, the total notional amount of the interest rate swaps of fair value hedges was $17.82 billion and $6.95 billion, respectively.</w:t>
      </w:r>
    </w:p>
    <w:p w14:paraId="71D477F3" w14:textId="77777777" w:rsidR="006A3667" w:rsidRDefault="00045F32">
      <w:pPr>
        <w:spacing w:before="60"/>
        <w:ind w:firstLine="450"/>
        <w:jc w:val="both"/>
      </w:pPr>
      <w:r>
        <w:rPr>
          <w:rFonts w:ascii="Arial" w:eastAsia="宋体" w:hAnsi="Arial" w:cs="Arial"/>
          <w:color w:val="000000"/>
          <w:sz w:val="20"/>
          <w:szCs w:val="20"/>
        </w:rPr>
        <w:t>The following tables present the impact of our use of derivative financial instruments on our consolidated statement of in</w:t>
      </w:r>
      <w:r>
        <w:rPr>
          <w:rFonts w:ascii="Arial" w:eastAsia="宋体" w:hAnsi="Arial" w:cs="Arial"/>
          <w:color w:val="000000"/>
          <w:sz w:val="20"/>
          <w:szCs w:val="20"/>
        </w:rPr>
        <w:t>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2"/>
        <w:gridCol w:w="712"/>
        <w:gridCol w:w="36"/>
        <w:gridCol w:w="75"/>
        <w:gridCol w:w="866"/>
        <w:gridCol w:w="36"/>
        <w:gridCol w:w="36"/>
        <w:gridCol w:w="36"/>
        <w:gridCol w:w="36"/>
        <w:gridCol w:w="94"/>
        <w:gridCol w:w="575"/>
        <w:gridCol w:w="37"/>
        <w:gridCol w:w="37"/>
        <w:gridCol w:w="37"/>
        <w:gridCol w:w="37"/>
        <w:gridCol w:w="94"/>
        <w:gridCol w:w="575"/>
        <w:gridCol w:w="37"/>
        <w:gridCol w:w="46"/>
        <w:gridCol w:w="819"/>
        <w:gridCol w:w="36"/>
        <w:gridCol w:w="36"/>
        <w:gridCol w:w="36"/>
        <w:gridCol w:w="96"/>
        <w:gridCol w:w="939"/>
        <w:gridCol w:w="37"/>
        <w:gridCol w:w="36"/>
        <w:gridCol w:w="36"/>
        <w:gridCol w:w="36"/>
        <w:gridCol w:w="77"/>
        <w:gridCol w:w="886"/>
        <w:gridCol w:w="39"/>
        <w:gridCol w:w="38"/>
        <w:gridCol w:w="38"/>
        <w:gridCol w:w="37"/>
        <w:gridCol w:w="95"/>
        <w:gridCol w:w="534"/>
        <w:gridCol w:w="38"/>
        <w:gridCol w:w="37"/>
        <w:gridCol w:w="37"/>
        <w:gridCol w:w="37"/>
        <w:gridCol w:w="94"/>
        <w:gridCol w:w="535"/>
        <w:gridCol w:w="37"/>
        <w:gridCol w:w="36"/>
        <w:gridCol w:w="36"/>
        <w:gridCol w:w="36"/>
        <w:gridCol w:w="36"/>
        <w:gridCol w:w="36"/>
        <w:gridCol w:w="36"/>
      </w:tblGrid>
      <w:tr w:rsidR="006A3667" w14:paraId="71D47822" w14:textId="77777777">
        <w:tc>
          <w:tcPr>
            <w:tcW w:w="50" w:type="pct"/>
            <w:shd w:val="clear" w:color="auto" w:fill="auto"/>
            <w:vAlign w:val="bottom"/>
          </w:tcPr>
          <w:p w14:paraId="71D477F4" w14:textId="77777777" w:rsidR="006A3667" w:rsidRDefault="006A3667">
            <w:pPr>
              <w:rPr>
                <w:rFonts w:ascii="宋体"/>
              </w:rPr>
            </w:pPr>
          </w:p>
        </w:tc>
        <w:tc>
          <w:tcPr>
            <w:tcW w:w="697" w:type="pct"/>
            <w:shd w:val="clear" w:color="auto" w:fill="auto"/>
            <w:vAlign w:val="bottom"/>
          </w:tcPr>
          <w:p w14:paraId="71D477F5" w14:textId="77777777" w:rsidR="006A3667" w:rsidRDefault="006A3667">
            <w:pPr>
              <w:rPr>
                <w:rFonts w:ascii="宋体"/>
              </w:rPr>
            </w:pPr>
          </w:p>
        </w:tc>
        <w:tc>
          <w:tcPr>
            <w:tcW w:w="5" w:type="pct"/>
            <w:shd w:val="clear" w:color="auto" w:fill="auto"/>
            <w:vAlign w:val="bottom"/>
          </w:tcPr>
          <w:p w14:paraId="71D477F6" w14:textId="77777777" w:rsidR="006A3667" w:rsidRDefault="006A3667">
            <w:pPr>
              <w:rPr>
                <w:rFonts w:ascii="宋体"/>
              </w:rPr>
            </w:pPr>
          </w:p>
        </w:tc>
        <w:tc>
          <w:tcPr>
            <w:tcW w:w="50" w:type="pct"/>
            <w:shd w:val="clear" w:color="auto" w:fill="auto"/>
            <w:vAlign w:val="bottom"/>
          </w:tcPr>
          <w:p w14:paraId="71D477F7" w14:textId="77777777" w:rsidR="006A3667" w:rsidRDefault="006A3667">
            <w:pPr>
              <w:rPr>
                <w:rFonts w:ascii="宋体"/>
              </w:rPr>
            </w:pPr>
          </w:p>
        </w:tc>
        <w:tc>
          <w:tcPr>
            <w:tcW w:w="580" w:type="pct"/>
            <w:shd w:val="clear" w:color="auto" w:fill="auto"/>
            <w:vAlign w:val="bottom"/>
          </w:tcPr>
          <w:p w14:paraId="71D477F8" w14:textId="77777777" w:rsidR="006A3667" w:rsidRDefault="006A3667">
            <w:pPr>
              <w:rPr>
                <w:rFonts w:ascii="宋体"/>
              </w:rPr>
            </w:pPr>
          </w:p>
        </w:tc>
        <w:tc>
          <w:tcPr>
            <w:tcW w:w="5" w:type="pct"/>
            <w:shd w:val="clear" w:color="auto" w:fill="auto"/>
            <w:vAlign w:val="bottom"/>
          </w:tcPr>
          <w:p w14:paraId="71D477F9" w14:textId="77777777" w:rsidR="006A3667" w:rsidRDefault="006A3667">
            <w:pPr>
              <w:rPr>
                <w:rFonts w:ascii="宋体"/>
              </w:rPr>
            </w:pPr>
          </w:p>
        </w:tc>
        <w:tc>
          <w:tcPr>
            <w:tcW w:w="5" w:type="pct"/>
            <w:shd w:val="clear" w:color="auto" w:fill="auto"/>
            <w:vAlign w:val="bottom"/>
          </w:tcPr>
          <w:p w14:paraId="71D477FA" w14:textId="77777777" w:rsidR="006A3667" w:rsidRDefault="006A3667">
            <w:pPr>
              <w:rPr>
                <w:rFonts w:ascii="宋体"/>
              </w:rPr>
            </w:pPr>
          </w:p>
        </w:tc>
        <w:tc>
          <w:tcPr>
            <w:tcW w:w="19" w:type="pct"/>
            <w:shd w:val="clear" w:color="auto" w:fill="auto"/>
            <w:vAlign w:val="bottom"/>
          </w:tcPr>
          <w:p w14:paraId="71D477FB" w14:textId="77777777" w:rsidR="006A3667" w:rsidRDefault="006A3667">
            <w:pPr>
              <w:rPr>
                <w:rFonts w:ascii="宋体"/>
              </w:rPr>
            </w:pPr>
          </w:p>
        </w:tc>
        <w:tc>
          <w:tcPr>
            <w:tcW w:w="5" w:type="pct"/>
            <w:shd w:val="clear" w:color="auto" w:fill="auto"/>
            <w:vAlign w:val="bottom"/>
          </w:tcPr>
          <w:p w14:paraId="71D477FC" w14:textId="77777777" w:rsidR="006A3667" w:rsidRDefault="006A3667">
            <w:pPr>
              <w:rPr>
                <w:rFonts w:ascii="宋体"/>
              </w:rPr>
            </w:pPr>
          </w:p>
        </w:tc>
        <w:tc>
          <w:tcPr>
            <w:tcW w:w="50" w:type="pct"/>
            <w:shd w:val="clear" w:color="auto" w:fill="auto"/>
            <w:vAlign w:val="bottom"/>
          </w:tcPr>
          <w:p w14:paraId="71D477FD" w14:textId="77777777" w:rsidR="006A3667" w:rsidRDefault="006A3667">
            <w:pPr>
              <w:rPr>
                <w:rFonts w:ascii="宋体"/>
              </w:rPr>
            </w:pPr>
          </w:p>
        </w:tc>
        <w:tc>
          <w:tcPr>
            <w:tcW w:w="500" w:type="pct"/>
            <w:shd w:val="clear" w:color="auto" w:fill="auto"/>
            <w:vAlign w:val="bottom"/>
          </w:tcPr>
          <w:p w14:paraId="71D477FE" w14:textId="77777777" w:rsidR="006A3667" w:rsidRDefault="006A3667">
            <w:pPr>
              <w:rPr>
                <w:rFonts w:ascii="宋体"/>
              </w:rPr>
            </w:pPr>
          </w:p>
        </w:tc>
        <w:tc>
          <w:tcPr>
            <w:tcW w:w="5" w:type="pct"/>
            <w:shd w:val="clear" w:color="auto" w:fill="auto"/>
            <w:vAlign w:val="bottom"/>
          </w:tcPr>
          <w:p w14:paraId="71D477FF" w14:textId="77777777" w:rsidR="006A3667" w:rsidRDefault="006A3667">
            <w:pPr>
              <w:rPr>
                <w:rFonts w:ascii="宋体"/>
              </w:rPr>
            </w:pPr>
          </w:p>
        </w:tc>
        <w:tc>
          <w:tcPr>
            <w:tcW w:w="5" w:type="pct"/>
            <w:shd w:val="clear" w:color="auto" w:fill="auto"/>
            <w:vAlign w:val="bottom"/>
          </w:tcPr>
          <w:p w14:paraId="71D47800" w14:textId="77777777" w:rsidR="006A3667" w:rsidRDefault="006A3667">
            <w:pPr>
              <w:rPr>
                <w:rFonts w:ascii="宋体"/>
              </w:rPr>
            </w:pPr>
          </w:p>
        </w:tc>
        <w:tc>
          <w:tcPr>
            <w:tcW w:w="26" w:type="pct"/>
            <w:shd w:val="clear" w:color="auto" w:fill="auto"/>
            <w:vAlign w:val="bottom"/>
          </w:tcPr>
          <w:p w14:paraId="71D47801" w14:textId="77777777" w:rsidR="006A3667" w:rsidRDefault="006A3667">
            <w:pPr>
              <w:rPr>
                <w:rFonts w:ascii="宋体"/>
              </w:rPr>
            </w:pPr>
          </w:p>
        </w:tc>
        <w:tc>
          <w:tcPr>
            <w:tcW w:w="5" w:type="pct"/>
            <w:shd w:val="clear" w:color="auto" w:fill="auto"/>
            <w:vAlign w:val="bottom"/>
          </w:tcPr>
          <w:p w14:paraId="71D47802" w14:textId="77777777" w:rsidR="006A3667" w:rsidRDefault="006A3667">
            <w:pPr>
              <w:rPr>
                <w:rFonts w:ascii="宋体"/>
              </w:rPr>
            </w:pPr>
          </w:p>
        </w:tc>
        <w:tc>
          <w:tcPr>
            <w:tcW w:w="50" w:type="pct"/>
            <w:shd w:val="clear" w:color="auto" w:fill="auto"/>
            <w:vAlign w:val="bottom"/>
          </w:tcPr>
          <w:p w14:paraId="71D47803" w14:textId="77777777" w:rsidR="006A3667" w:rsidRDefault="006A3667">
            <w:pPr>
              <w:rPr>
                <w:rFonts w:ascii="宋体"/>
              </w:rPr>
            </w:pPr>
          </w:p>
        </w:tc>
        <w:tc>
          <w:tcPr>
            <w:tcW w:w="500" w:type="pct"/>
            <w:shd w:val="clear" w:color="auto" w:fill="auto"/>
            <w:vAlign w:val="bottom"/>
          </w:tcPr>
          <w:p w14:paraId="71D47804" w14:textId="77777777" w:rsidR="006A3667" w:rsidRDefault="006A3667">
            <w:pPr>
              <w:rPr>
                <w:rFonts w:ascii="宋体"/>
              </w:rPr>
            </w:pPr>
          </w:p>
        </w:tc>
        <w:tc>
          <w:tcPr>
            <w:tcW w:w="5" w:type="pct"/>
            <w:shd w:val="clear" w:color="auto" w:fill="auto"/>
            <w:vAlign w:val="bottom"/>
          </w:tcPr>
          <w:p w14:paraId="71D47805" w14:textId="77777777" w:rsidR="006A3667" w:rsidRDefault="006A3667">
            <w:pPr>
              <w:rPr>
                <w:rFonts w:ascii="宋体"/>
              </w:rPr>
            </w:pPr>
          </w:p>
        </w:tc>
        <w:tc>
          <w:tcPr>
            <w:tcW w:w="0" w:type="auto"/>
            <w:shd w:val="clear" w:color="auto" w:fill="auto"/>
            <w:vAlign w:val="bottom"/>
          </w:tcPr>
          <w:p w14:paraId="71D47806" w14:textId="77777777" w:rsidR="006A3667" w:rsidRDefault="006A3667">
            <w:pPr>
              <w:rPr>
                <w:rFonts w:ascii="宋体"/>
                <w:vanish/>
              </w:rPr>
            </w:pPr>
          </w:p>
        </w:tc>
        <w:tc>
          <w:tcPr>
            <w:tcW w:w="0" w:type="auto"/>
            <w:shd w:val="clear" w:color="auto" w:fill="auto"/>
            <w:vAlign w:val="bottom"/>
          </w:tcPr>
          <w:p w14:paraId="71D47807" w14:textId="77777777" w:rsidR="006A3667" w:rsidRDefault="006A3667">
            <w:pPr>
              <w:rPr>
                <w:rFonts w:ascii="宋体"/>
                <w:vanish/>
              </w:rPr>
            </w:pPr>
          </w:p>
        </w:tc>
        <w:tc>
          <w:tcPr>
            <w:tcW w:w="5" w:type="pct"/>
            <w:shd w:val="clear" w:color="auto" w:fill="auto"/>
            <w:vAlign w:val="bottom"/>
          </w:tcPr>
          <w:p w14:paraId="71D47808" w14:textId="77777777" w:rsidR="006A3667" w:rsidRDefault="006A3667">
            <w:pPr>
              <w:rPr>
                <w:rFonts w:ascii="宋体"/>
              </w:rPr>
            </w:pPr>
          </w:p>
        </w:tc>
        <w:tc>
          <w:tcPr>
            <w:tcW w:w="19" w:type="pct"/>
            <w:shd w:val="clear" w:color="auto" w:fill="auto"/>
            <w:vAlign w:val="bottom"/>
          </w:tcPr>
          <w:p w14:paraId="71D47809" w14:textId="77777777" w:rsidR="006A3667" w:rsidRDefault="006A3667">
            <w:pPr>
              <w:rPr>
                <w:rFonts w:ascii="宋体"/>
              </w:rPr>
            </w:pPr>
          </w:p>
        </w:tc>
        <w:tc>
          <w:tcPr>
            <w:tcW w:w="5" w:type="pct"/>
            <w:shd w:val="clear" w:color="auto" w:fill="auto"/>
            <w:vAlign w:val="bottom"/>
          </w:tcPr>
          <w:p w14:paraId="71D4780A" w14:textId="77777777" w:rsidR="006A3667" w:rsidRDefault="006A3667">
            <w:pPr>
              <w:rPr>
                <w:rFonts w:ascii="宋体"/>
              </w:rPr>
            </w:pPr>
          </w:p>
        </w:tc>
        <w:tc>
          <w:tcPr>
            <w:tcW w:w="50" w:type="pct"/>
            <w:shd w:val="clear" w:color="auto" w:fill="auto"/>
            <w:vAlign w:val="bottom"/>
          </w:tcPr>
          <w:p w14:paraId="71D4780B" w14:textId="77777777" w:rsidR="006A3667" w:rsidRDefault="006A3667">
            <w:pPr>
              <w:rPr>
                <w:rFonts w:ascii="宋体"/>
              </w:rPr>
            </w:pPr>
          </w:p>
        </w:tc>
        <w:tc>
          <w:tcPr>
            <w:tcW w:w="493" w:type="pct"/>
            <w:shd w:val="clear" w:color="auto" w:fill="auto"/>
            <w:vAlign w:val="bottom"/>
          </w:tcPr>
          <w:p w14:paraId="71D4780C" w14:textId="77777777" w:rsidR="006A3667" w:rsidRDefault="006A3667">
            <w:pPr>
              <w:rPr>
                <w:rFonts w:ascii="宋体"/>
              </w:rPr>
            </w:pPr>
          </w:p>
        </w:tc>
        <w:tc>
          <w:tcPr>
            <w:tcW w:w="5" w:type="pct"/>
            <w:shd w:val="clear" w:color="auto" w:fill="auto"/>
            <w:vAlign w:val="bottom"/>
          </w:tcPr>
          <w:p w14:paraId="71D4780D" w14:textId="77777777" w:rsidR="006A3667" w:rsidRDefault="006A3667">
            <w:pPr>
              <w:rPr>
                <w:rFonts w:ascii="宋体"/>
              </w:rPr>
            </w:pPr>
          </w:p>
        </w:tc>
        <w:tc>
          <w:tcPr>
            <w:tcW w:w="5" w:type="pct"/>
            <w:shd w:val="clear" w:color="auto" w:fill="auto"/>
            <w:vAlign w:val="bottom"/>
          </w:tcPr>
          <w:p w14:paraId="71D4780E" w14:textId="77777777" w:rsidR="006A3667" w:rsidRDefault="006A3667">
            <w:pPr>
              <w:rPr>
                <w:rFonts w:ascii="宋体"/>
              </w:rPr>
            </w:pPr>
          </w:p>
        </w:tc>
        <w:tc>
          <w:tcPr>
            <w:tcW w:w="19" w:type="pct"/>
            <w:shd w:val="clear" w:color="auto" w:fill="auto"/>
            <w:vAlign w:val="bottom"/>
          </w:tcPr>
          <w:p w14:paraId="71D4780F" w14:textId="77777777" w:rsidR="006A3667" w:rsidRDefault="006A3667">
            <w:pPr>
              <w:rPr>
                <w:rFonts w:ascii="宋体"/>
              </w:rPr>
            </w:pPr>
          </w:p>
        </w:tc>
        <w:tc>
          <w:tcPr>
            <w:tcW w:w="5" w:type="pct"/>
            <w:shd w:val="clear" w:color="auto" w:fill="auto"/>
            <w:vAlign w:val="bottom"/>
          </w:tcPr>
          <w:p w14:paraId="71D47810" w14:textId="77777777" w:rsidR="006A3667" w:rsidRDefault="006A3667">
            <w:pPr>
              <w:rPr>
                <w:rFonts w:ascii="宋体"/>
              </w:rPr>
            </w:pPr>
          </w:p>
        </w:tc>
        <w:tc>
          <w:tcPr>
            <w:tcW w:w="50" w:type="pct"/>
            <w:shd w:val="clear" w:color="auto" w:fill="auto"/>
            <w:vAlign w:val="bottom"/>
          </w:tcPr>
          <w:p w14:paraId="71D47811" w14:textId="77777777" w:rsidR="006A3667" w:rsidRDefault="006A3667">
            <w:pPr>
              <w:rPr>
                <w:rFonts w:ascii="宋体"/>
              </w:rPr>
            </w:pPr>
          </w:p>
        </w:tc>
        <w:tc>
          <w:tcPr>
            <w:tcW w:w="580" w:type="pct"/>
            <w:shd w:val="clear" w:color="auto" w:fill="auto"/>
            <w:vAlign w:val="bottom"/>
          </w:tcPr>
          <w:p w14:paraId="71D47812" w14:textId="77777777" w:rsidR="006A3667" w:rsidRDefault="006A3667">
            <w:pPr>
              <w:rPr>
                <w:rFonts w:ascii="宋体"/>
              </w:rPr>
            </w:pPr>
          </w:p>
        </w:tc>
        <w:tc>
          <w:tcPr>
            <w:tcW w:w="5" w:type="pct"/>
            <w:shd w:val="clear" w:color="auto" w:fill="auto"/>
            <w:vAlign w:val="bottom"/>
          </w:tcPr>
          <w:p w14:paraId="71D47813" w14:textId="77777777" w:rsidR="006A3667" w:rsidRDefault="006A3667">
            <w:pPr>
              <w:rPr>
                <w:rFonts w:ascii="宋体"/>
              </w:rPr>
            </w:pPr>
          </w:p>
        </w:tc>
        <w:tc>
          <w:tcPr>
            <w:tcW w:w="5" w:type="pct"/>
            <w:shd w:val="clear" w:color="auto" w:fill="auto"/>
            <w:vAlign w:val="bottom"/>
          </w:tcPr>
          <w:p w14:paraId="71D47814" w14:textId="77777777" w:rsidR="006A3667" w:rsidRDefault="006A3667">
            <w:pPr>
              <w:rPr>
                <w:rFonts w:ascii="宋体"/>
              </w:rPr>
            </w:pPr>
          </w:p>
        </w:tc>
        <w:tc>
          <w:tcPr>
            <w:tcW w:w="19" w:type="pct"/>
            <w:shd w:val="clear" w:color="auto" w:fill="auto"/>
            <w:vAlign w:val="bottom"/>
          </w:tcPr>
          <w:p w14:paraId="71D47815" w14:textId="77777777" w:rsidR="006A3667" w:rsidRDefault="006A3667">
            <w:pPr>
              <w:rPr>
                <w:rFonts w:ascii="宋体"/>
              </w:rPr>
            </w:pPr>
          </w:p>
        </w:tc>
        <w:tc>
          <w:tcPr>
            <w:tcW w:w="5" w:type="pct"/>
            <w:shd w:val="clear" w:color="auto" w:fill="auto"/>
            <w:vAlign w:val="bottom"/>
          </w:tcPr>
          <w:p w14:paraId="71D47816" w14:textId="77777777" w:rsidR="006A3667" w:rsidRDefault="006A3667">
            <w:pPr>
              <w:rPr>
                <w:rFonts w:ascii="宋体"/>
              </w:rPr>
            </w:pPr>
          </w:p>
        </w:tc>
        <w:tc>
          <w:tcPr>
            <w:tcW w:w="50" w:type="pct"/>
            <w:shd w:val="clear" w:color="auto" w:fill="auto"/>
            <w:vAlign w:val="bottom"/>
          </w:tcPr>
          <w:p w14:paraId="71D47817" w14:textId="77777777" w:rsidR="006A3667" w:rsidRDefault="006A3667">
            <w:pPr>
              <w:rPr>
                <w:rFonts w:ascii="宋体"/>
              </w:rPr>
            </w:pPr>
          </w:p>
        </w:tc>
        <w:tc>
          <w:tcPr>
            <w:tcW w:w="507" w:type="pct"/>
            <w:shd w:val="clear" w:color="auto" w:fill="auto"/>
            <w:vAlign w:val="bottom"/>
          </w:tcPr>
          <w:p w14:paraId="71D47818" w14:textId="77777777" w:rsidR="006A3667" w:rsidRDefault="006A3667">
            <w:pPr>
              <w:rPr>
                <w:rFonts w:ascii="宋体"/>
              </w:rPr>
            </w:pPr>
          </w:p>
        </w:tc>
        <w:tc>
          <w:tcPr>
            <w:tcW w:w="5" w:type="pct"/>
            <w:shd w:val="clear" w:color="auto" w:fill="auto"/>
            <w:vAlign w:val="bottom"/>
          </w:tcPr>
          <w:p w14:paraId="71D47819" w14:textId="77777777" w:rsidR="006A3667" w:rsidRDefault="006A3667">
            <w:pPr>
              <w:rPr>
                <w:rFonts w:ascii="宋体"/>
              </w:rPr>
            </w:pPr>
          </w:p>
        </w:tc>
        <w:tc>
          <w:tcPr>
            <w:tcW w:w="5" w:type="pct"/>
            <w:shd w:val="clear" w:color="auto" w:fill="auto"/>
            <w:vAlign w:val="bottom"/>
          </w:tcPr>
          <w:p w14:paraId="71D4781A" w14:textId="77777777" w:rsidR="006A3667" w:rsidRDefault="006A3667">
            <w:pPr>
              <w:rPr>
                <w:rFonts w:ascii="宋体"/>
              </w:rPr>
            </w:pPr>
          </w:p>
        </w:tc>
        <w:tc>
          <w:tcPr>
            <w:tcW w:w="26" w:type="pct"/>
            <w:shd w:val="clear" w:color="auto" w:fill="auto"/>
            <w:vAlign w:val="bottom"/>
          </w:tcPr>
          <w:p w14:paraId="71D4781B" w14:textId="77777777" w:rsidR="006A3667" w:rsidRDefault="006A3667">
            <w:pPr>
              <w:rPr>
                <w:rFonts w:ascii="宋体"/>
              </w:rPr>
            </w:pPr>
          </w:p>
        </w:tc>
        <w:tc>
          <w:tcPr>
            <w:tcW w:w="5" w:type="pct"/>
            <w:shd w:val="clear" w:color="auto" w:fill="auto"/>
            <w:vAlign w:val="bottom"/>
          </w:tcPr>
          <w:p w14:paraId="71D4781C" w14:textId="77777777" w:rsidR="006A3667" w:rsidRDefault="006A3667">
            <w:pPr>
              <w:rPr>
                <w:rFonts w:ascii="宋体"/>
              </w:rPr>
            </w:pPr>
          </w:p>
        </w:tc>
        <w:tc>
          <w:tcPr>
            <w:tcW w:w="50" w:type="pct"/>
            <w:shd w:val="clear" w:color="auto" w:fill="auto"/>
            <w:vAlign w:val="bottom"/>
          </w:tcPr>
          <w:p w14:paraId="71D4781D" w14:textId="77777777" w:rsidR="006A3667" w:rsidRDefault="006A3667">
            <w:pPr>
              <w:rPr>
                <w:rFonts w:ascii="宋体"/>
              </w:rPr>
            </w:pPr>
          </w:p>
        </w:tc>
        <w:tc>
          <w:tcPr>
            <w:tcW w:w="508" w:type="pct"/>
            <w:shd w:val="clear" w:color="auto" w:fill="auto"/>
            <w:vAlign w:val="bottom"/>
          </w:tcPr>
          <w:p w14:paraId="71D4781E" w14:textId="77777777" w:rsidR="006A3667" w:rsidRDefault="006A3667">
            <w:pPr>
              <w:rPr>
                <w:rFonts w:ascii="宋体"/>
              </w:rPr>
            </w:pPr>
          </w:p>
        </w:tc>
        <w:tc>
          <w:tcPr>
            <w:tcW w:w="5" w:type="pct"/>
            <w:shd w:val="clear" w:color="auto" w:fill="auto"/>
            <w:vAlign w:val="bottom"/>
          </w:tcPr>
          <w:p w14:paraId="71D4781F" w14:textId="77777777" w:rsidR="006A3667" w:rsidRDefault="006A3667">
            <w:pPr>
              <w:rPr>
                <w:rFonts w:ascii="宋体"/>
              </w:rPr>
            </w:pPr>
          </w:p>
        </w:tc>
        <w:tc>
          <w:tcPr>
            <w:tcW w:w="0" w:type="auto"/>
            <w:gridSpan w:val="3"/>
            <w:shd w:val="clear" w:color="auto" w:fill="auto"/>
            <w:vAlign w:val="bottom"/>
          </w:tcPr>
          <w:p w14:paraId="71D47820" w14:textId="77777777" w:rsidR="006A3667" w:rsidRDefault="006A3667">
            <w:pPr>
              <w:rPr>
                <w:rFonts w:ascii="宋体"/>
                <w:vanish/>
              </w:rPr>
            </w:pPr>
          </w:p>
        </w:tc>
        <w:tc>
          <w:tcPr>
            <w:tcW w:w="0" w:type="auto"/>
            <w:gridSpan w:val="3"/>
            <w:shd w:val="clear" w:color="auto" w:fill="auto"/>
            <w:vAlign w:val="bottom"/>
          </w:tcPr>
          <w:p w14:paraId="71D47821" w14:textId="77777777" w:rsidR="006A3667" w:rsidRDefault="006A3667">
            <w:pPr>
              <w:rPr>
                <w:rFonts w:ascii="宋体"/>
                <w:vanish/>
              </w:rPr>
            </w:pPr>
          </w:p>
        </w:tc>
      </w:tr>
      <w:tr w:rsidR="006A3667" w14:paraId="71D47839" w14:textId="77777777">
        <w:tc>
          <w:tcPr>
            <w:tcW w:w="0" w:type="auto"/>
            <w:gridSpan w:val="3"/>
            <w:shd w:val="clear" w:color="auto" w:fill="auto"/>
            <w:tcMar>
              <w:top w:w="0" w:type="dxa"/>
              <w:left w:w="20" w:type="dxa"/>
              <w:bottom w:w="0" w:type="dxa"/>
              <w:right w:w="20" w:type="dxa"/>
            </w:tcMar>
            <w:vAlign w:val="bottom"/>
          </w:tcPr>
          <w:p w14:paraId="71D4782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2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25"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826" w14:textId="77777777" w:rsidR="006A3667" w:rsidRDefault="00045F32">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tcMar>
              <w:top w:w="0" w:type="dxa"/>
              <w:left w:w="20" w:type="dxa"/>
              <w:bottom w:w="0" w:type="dxa"/>
              <w:right w:w="20" w:type="dxa"/>
            </w:tcMar>
            <w:vAlign w:val="bottom"/>
          </w:tcPr>
          <w:p w14:paraId="71D47827" w14:textId="77777777" w:rsidR="006A3667" w:rsidRDefault="006A3667">
            <w:pPr>
              <w:rPr>
                <w:rFonts w:ascii="宋体"/>
              </w:rPr>
            </w:pPr>
          </w:p>
        </w:tc>
        <w:tc>
          <w:tcPr>
            <w:tcW w:w="0" w:type="auto"/>
            <w:shd w:val="clear" w:color="auto" w:fill="auto"/>
            <w:tcMar>
              <w:top w:w="0" w:type="dxa"/>
              <w:left w:w="20" w:type="dxa"/>
              <w:bottom w:w="0" w:type="dxa"/>
              <w:right w:w="20" w:type="dxa"/>
            </w:tcMar>
            <w:vAlign w:val="bottom"/>
          </w:tcPr>
          <w:p w14:paraId="71D4782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2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2B"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82C" w14:textId="77777777" w:rsidR="006A3667" w:rsidRDefault="00045F32">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vAlign w:val="bottom"/>
          </w:tcPr>
          <w:p w14:paraId="71D4782D" w14:textId="77777777" w:rsidR="006A3667" w:rsidRDefault="006A3667">
            <w:pPr>
              <w:rPr>
                <w:rFonts w:ascii="宋体"/>
              </w:rPr>
            </w:pPr>
          </w:p>
        </w:tc>
        <w:tc>
          <w:tcPr>
            <w:tcW w:w="0" w:type="auto"/>
            <w:shd w:val="clear" w:color="auto" w:fill="auto"/>
            <w:vAlign w:val="bottom"/>
          </w:tcPr>
          <w:p w14:paraId="71D4782E" w14:textId="77777777" w:rsidR="006A3667" w:rsidRDefault="006A3667">
            <w:pPr>
              <w:rPr>
                <w:rFonts w:ascii="宋体"/>
              </w:rPr>
            </w:pPr>
          </w:p>
        </w:tc>
        <w:tc>
          <w:tcPr>
            <w:tcW w:w="0" w:type="auto"/>
            <w:shd w:val="clear" w:color="auto" w:fill="auto"/>
            <w:vAlign w:val="bottom"/>
          </w:tcPr>
          <w:p w14:paraId="71D4782F" w14:textId="77777777" w:rsidR="006A3667" w:rsidRDefault="006A3667">
            <w:pPr>
              <w:rPr>
                <w:rFonts w:ascii="宋体"/>
              </w:rPr>
            </w:pPr>
          </w:p>
        </w:tc>
        <w:tc>
          <w:tcPr>
            <w:tcW w:w="0" w:type="auto"/>
            <w:shd w:val="clear" w:color="auto" w:fill="auto"/>
            <w:vAlign w:val="bottom"/>
          </w:tcPr>
          <w:p w14:paraId="71D47830" w14:textId="77777777" w:rsidR="006A3667" w:rsidRDefault="006A3667">
            <w:pPr>
              <w:rPr>
                <w:rFonts w:ascii="宋体"/>
              </w:rPr>
            </w:pPr>
          </w:p>
        </w:tc>
        <w:tc>
          <w:tcPr>
            <w:tcW w:w="0" w:type="auto"/>
            <w:shd w:val="clear" w:color="auto" w:fill="auto"/>
            <w:vAlign w:val="bottom"/>
          </w:tcPr>
          <w:p w14:paraId="71D47831" w14:textId="77777777" w:rsidR="006A3667" w:rsidRDefault="006A3667">
            <w:pPr>
              <w:rPr>
                <w:rFonts w:ascii="宋体"/>
              </w:rPr>
            </w:pPr>
          </w:p>
        </w:tc>
        <w:tc>
          <w:tcPr>
            <w:tcW w:w="0" w:type="auto"/>
            <w:shd w:val="clear" w:color="auto" w:fill="auto"/>
            <w:vAlign w:val="bottom"/>
          </w:tcPr>
          <w:p w14:paraId="71D47832" w14:textId="77777777" w:rsidR="006A3667" w:rsidRDefault="006A3667">
            <w:pPr>
              <w:rPr>
                <w:rFonts w:ascii="宋体"/>
              </w:rPr>
            </w:pPr>
          </w:p>
        </w:tc>
        <w:tc>
          <w:tcPr>
            <w:tcW w:w="0" w:type="auto"/>
            <w:shd w:val="clear" w:color="auto" w:fill="auto"/>
            <w:vAlign w:val="bottom"/>
          </w:tcPr>
          <w:p w14:paraId="71D47833" w14:textId="77777777" w:rsidR="006A3667" w:rsidRDefault="006A3667">
            <w:pPr>
              <w:rPr>
                <w:rFonts w:ascii="宋体"/>
              </w:rPr>
            </w:pPr>
          </w:p>
        </w:tc>
        <w:tc>
          <w:tcPr>
            <w:tcW w:w="0" w:type="auto"/>
            <w:shd w:val="clear" w:color="auto" w:fill="auto"/>
            <w:vAlign w:val="bottom"/>
          </w:tcPr>
          <w:p w14:paraId="71D47834" w14:textId="77777777" w:rsidR="006A3667" w:rsidRDefault="006A3667">
            <w:pPr>
              <w:rPr>
                <w:rFonts w:ascii="宋体"/>
              </w:rPr>
            </w:pPr>
          </w:p>
        </w:tc>
        <w:tc>
          <w:tcPr>
            <w:tcW w:w="0" w:type="auto"/>
            <w:shd w:val="clear" w:color="auto" w:fill="auto"/>
            <w:vAlign w:val="bottom"/>
          </w:tcPr>
          <w:p w14:paraId="71D47835" w14:textId="77777777" w:rsidR="006A3667" w:rsidRDefault="006A3667">
            <w:pPr>
              <w:rPr>
                <w:rFonts w:ascii="宋体"/>
              </w:rPr>
            </w:pPr>
          </w:p>
        </w:tc>
        <w:tc>
          <w:tcPr>
            <w:tcW w:w="0" w:type="auto"/>
            <w:shd w:val="clear" w:color="auto" w:fill="auto"/>
            <w:vAlign w:val="bottom"/>
          </w:tcPr>
          <w:p w14:paraId="71D47836" w14:textId="77777777" w:rsidR="006A3667" w:rsidRDefault="006A3667">
            <w:pPr>
              <w:rPr>
                <w:rFonts w:ascii="宋体"/>
              </w:rPr>
            </w:pPr>
          </w:p>
        </w:tc>
        <w:tc>
          <w:tcPr>
            <w:tcW w:w="0" w:type="auto"/>
            <w:shd w:val="clear" w:color="auto" w:fill="auto"/>
            <w:vAlign w:val="bottom"/>
          </w:tcPr>
          <w:p w14:paraId="71D47837" w14:textId="77777777" w:rsidR="006A3667" w:rsidRDefault="006A3667">
            <w:pPr>
              <w:rPr>
                <w:rFonts w:ascii="宋体"/>
              </w:rPr>
            </w:pPr>
          </w:p>
        </w:tc>
        <w:tc>
          <w:tcPr>
            <w:tcW w:w="0" w:type="auto"/>
            <w:shd w:val="clear" w:color="auto" w:fill="auto"/>
            <w:vAlign w:val="bottom"/>
          </w:tcPr>
          <w:p w14:paraId="71D47838" w14:textId="77777777" w:rsidR="006A3667" w:rsidRDefault="006A3667">
            <w:pPr>
              <w:rPr>
                <w:rFonts w:ascii="宋体"/>
              </w:rPr>
            </w:pPr>
          </w:p>
        </w:tc>
      </w:tr>
      <w:tr w:rsidR="006A3667" w14:paraId="71D4784C" w14:textId="77777777">
        <w:tc>
          <w:tcPr>
            <w:tcW w:w="0" w:type="auto"/>
            <w:gridSpan w:val="3"/>
            <w:shd w:val="clear" w:color="auto" w:fill="auto"/>
            <w:tcMar>
              <w:top w:w="0" w:type="dxa"/>
              <w:left w:w="20" w:type="dxa"/>
              <w:bottom w:w="0" w:type="dxa"/>
              <w:right w:w="20" w:type="dxa"/>
            </w:tcMar>
            <w:vAlign w:val="bottom"/>
          </w:tcPr>
          <w:p w14:paraId="71D4783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3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83D"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3E"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83F" w14:textId="77777777" w:rsidR="006A3667" w:rsidRDefault="00045F32">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71D47840" w14:textId="77777777" w:rsidR="006A3667" w:rsidRDefault="006A3667">
            <w:pPr>
              <w:rPr>
                <w:rFonts w:ascii="宋体"/>
                <w:vanish/>
              </w:rPr>
            </w:pPr>
          </w:p>
        </w:tc>
        <w:tc>
          <w:tcPr>
            <w:tcW w:w="0" w:type="auto"/>
            <w:shd w:val="clear" w:color="auto" w:fill="auto"/>
            <w:vAlign w:val="bottom"/>
          </w:tcPr>
          <w:p w14:paraId="71D47841"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84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4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4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4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4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847"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48"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849"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71D4784A" w14:textId="77777777" w:rsidR="006A3667" w:rsidRDefault="006A3667">
            <w:pPr>
              <w:rPr>
                <w:rFonts w:ascii="宋体"/>
                <w:vanish/>
              </w:rPr>
            </w:pPr>
          </w:p>
        </w:tc>
        <w:tc>
          <w:tcPr>
            <w:tcW w:w="0" w:type="auto"/>
            <w:gridSpan w:val="3"/>
            <w:shd w:val="clear" w:color="auto" w:fill="auto"/>
            <w:vAlign w:val="bottom"/>
          </w:tcPr>
          <w:p w14:paraId="71D4784B" w14:textId="77777777" w:rsidR="006A3667" w:rsidRDefault="006A3667">
            <w:pPr>
              <w:rPr>
                <w:rFonts w:ascii="宋体"/>
                <w:vanish/>
              </w:rPr>
            </w:pPr>
          </w:p>
        </w:tc>
      </w:tr>
      <w:tr w:rsidR="006A3667" w14:paraId="71D47863" w14:textId="77777777">
        <w:tc>
          <w:tcPr>
            <w:tcW w:w="0" w:type="auto"/>
            <w:gridSpan w:val="3"/>
            <w:shd w:val="clear" w:color="auto" w:fill="auto"/>
            <w:tcMar>
              <w:top w:w="40" w:type="dxa"/>
              <w:left w:w="20" w:type="dxa"/>
              <w:bottom w:w="40" w:type="dxa"/>
              <w:right w:w="20" w:type="dxa"/>
            </w:tcMar>
            <w:vAlign w:val="bottom"/>
          </w:tcPr>
          <w:p w14:paraId="71D4784D"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1D4784E" w14:textId="77777777" w:rsidR="006A3667" w:rsidRDefault="00045F32">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71D4784F"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850" w14:textId="77777777" w:rsidR="006A3667" w:rsidRDefault="00045F32">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tcMar>
              <w:top w:w="0" w:type="dxa"/>
              <w:left w:w="20" w:type="dxa"/>
              <w:bottom w:w="0" w:type="dxa"/>
              <w:right w:w="20" w:type="dxa"/>
            </w:tcMar>
            <w:vAlign w:val="bottom"/>
          </w:tcPr>
          <w:p w14:paraId="71D47851" w14:textId="77777777" w:rsidR="006A3667" w:rsidRDefault="006A3667">
            <w:pPr>
              <w:rPr>
                <w:rFonts w:ascii="宋体"/>
              </w:rPr>
            </w:pPr>
          </w:p>
        </w:tc>
        <w:tc>
          <w:tcPr>
            <w:tcW w:w="0" w:type="auto"/>
            <w:shd w:val="clear" w:color="auto" w:fill="auto"/>
            <w:tcMar>
              <w:top w:w="40" w:type="dxa"/>
              <w:left w:w="20" w:type="dxa"/>
              <w:bottom w:w="40" w:type="dxa"/>
              <w:right w:w="20" w:type="dxa"/>
            </w:tcMar>
            <w:vAlign w:val="bottom"/>
          </w:tcPr>
          <w:p w14:paraId="71D47852" w14:textId="77777777" w:rsidR="006A3667" w:rsidRDefault="00045F32">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71D4785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854" w14:textId="77777777" w:rsidR="006A3667" w:rsidRDefault="00045F32">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71D47855"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856" w14:textId="77777777" w:rsidR="006A3667" w:rsidRDefault="00045F32">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71D47857" w14:textId="77777777" w:rsidR="006A3667" w:rsidRDefault="006A3667">
            <w:pPr>
              <w:rPr>
                <w:rFonts w:ascii="宋体"/>
              </w:rPr>
            </w:pPr>
          </w:p>
        </w:tc>
        <w:tc>
          <w:tcPr>
            <w:tcW w:w="0" w:type="auto"/>
            <w:shd w:val="clear" w:color="auto" w:fill="auto"/>
            <w:vAlign w:val="bottom"/>
          </w:tcPr>
          <w:p w14:paraId="71D47858" w14:textId="77777777" w:rsidR="006A3667" w:rsidRDefault="006A3667">
            <w:pPr>
              <w:rPr>
                <w:rFonts w:ascii="宋体"/>
              </w:rPr>
            </w:pPr>
          </w:p>
        </w:tc>
        <w:tc>
          <w:tcPr>
            <w:tcW w:w="0" w:type="auto"/>
            <w:shd w:val="clear" w:color="auto" w:fill="auto"/>
            <w:vAlign w:val="bottom"/>
          </w:tcPr>
          <w:p w14:paraId="71D47859" w14:textId="77777777" w:rsidR="006A3667" w:rsidRDefault="006A3667">
            <w:pPr>
              <w:rPr>
                <w:rFonts w:ascii="宋体"/>
              </w:rPr>
            </w:pPr>
          </w:p>
        </w:tc>
        <w:tc>
          <w:tcPr>
            <w:tcW w:w="0" w:type="auto"/>
            <w:shd w:val="clear" w:color="auto" w:fill="auto"/>
            <w:vAlign w:val="bottom"/>
          </w:tcPr>
          <w:p w14:paraId="71D4785A" w14:textId="77777777" w:rsidR="006A3667" w:rsidRDefault="006A3667">
            <w:pPr>
              <w:rPr>
                <w:rFonts w:ascii="宋体"/>
              </w:rPr>
            </w:pPr>
          </w:p>
        </w:tc>
        <w:tc>
          <w:tcPr>
            <w:tcW w:w="0" w:type="auto"/>
            <w:shd w:val="clear" w:color="auto" w:fill="auto"/>
            <w:vAlign w:val="bottom"/>
          </w:tcPr>
          <w:p w14:paraId="71D4785B" w14:textId="77777777" w:rsidR="006A3667" w:rsidRDefault="006A3667">
            <w:pPr>
              <w:rPr>
                <w:rFonts w:ascii="宋体"/>
              </w:rPr>
            </w:pPr>
          </w:p>
        </w:tc>
        <w:tc>
          <w:tcPr>
            <w:tcW w:w="0" w:type="auto"/>
            <w:shd w:val="clear" w:color="auto" w:fill="auto"/>
            <w:vAlign w:val="bottom"/>
          </w:tcPr>
          <w:p w14:paraId="71D4785C" w14:textId="77777777" w:rsidR="006A3667" w:rsidRDefault="006A3667">
            <w:pPr>
              <w:rPr>
                <w:rFonts w:ascii="宋体"/>
              </w:rPr>
            </w:pPr>
          </w:p>
        </w:tc>
        <w:tc>
          <w:tcPr>
            <w:tcW w:w="0" w:type="auto"/>
            <w:shd w:val="clear" w:color="auto" w:fill="auto"/>
            <w:vAlign w:val="bottom"/>
          </w:tcPr>
          <w:p w14:paraId="71D4785D" w14:textId="77777777" w:rsidR="006A3667" w:rsidRDefault="006A3667">
            <w:pPr>
              <w:rPr>
                <w:rFonts w:ascii="宋体"/>
              </w:rPr>
            </w:pPr>
          </w:p>
        </w:tc>
        <w:tc>
          <w:tcPr>
            <w:tcW w:w="0" w:type="auto"/>
            <w:shd w:val="clear" w:color="auto" w:fill="auto"/>
            <w:vAlign w:val="bottom"/>
          </w:tcPr>
          <w:p w14:paraId="71D4785E" w14:textId="77777777" w:rsidR="006A3667" w:rsidRDefault="006A3667">
            <w:pPr>
              <w:rPr>
                <w:rFonts w:ascii="宋体"/>
              </w:rPr>
            </w:pPr>
          </w:p>
        </w:tc>
        <w:tc>
          <w:tcPr>
            <w:tcW w:w="0" w:type="auto"/>
            <w:shd w:val="clear" w:color="auto" w:fill="auto"/>
            <w:vAlign w:val="bottom"/>
          </w:tcPr>
          <w:p w14:paraId="71D4785F" w14:textId="77777777" w:rsidR="006A3667" w:rsidRDefault="006A3667">
            <w:pPr>
              <w:rPr>
                <w:rFonts w:ascii="宋体"/>
              </w:rPr>
            </w:pPr>
          </w:p>
        </w:tc>
        <w:tc>
          <w:tcPr>
            <w:tcW w:w="0" w:type="auto"/>
            <w:shd w:val="clear" w:color="auto" w:fill="auto"/>
            <w:vAlign w:val="bottom"/>
          </w:tcPr>
          <w:p w14:paraId="71D47860" w14:textId="77777777" w:rsidR="006A3667" w:rsidRDefault="006A3667">
            <w:pPr>
              <w:rPr>
                <w:rFonts w:ascii="宋体"/>
              </w:rPr>
            </w:pPr>
          </w:p>
        </w:tc>
        <w:tc>
          <w:tcPr>
            <w:tcW w:w="0" w:type="auto"/>
            <w:shd w:val="clear" w:color="auto" w:fill="auto"/>
            <w:vAlign w:val="bottom"/>
          </w:tcPr>
          <w:p w14:paraId="71D47861" w14:textId="77777777" w:rsidR="006A3667" w:rsidRDefault="006A3667">
            <w:pPr>
              <w:rPr>
                <w:rFonts w:ascii="宋体"/>
              </w:rPr>
            </w:pPr>
          </w:p>
        </w:tc>
        <w:tc>
          <w:tcPr>
            <w:tcW w:w="0" w:type="auto"/>
            <w:shd w:val="clear" w:color="auto" w:fill="auto"/>
            <w:vAlign w:val="bottom"/>
          </w:tcPr>
          <w:p w14:paraId="71D47862" w14:textId="77777777" w:rsidR="006A3667" w:rsidRDefault="006A3667">
            <w:pPr>
              <w:rPr>
                <w:rFonts w:ascii="宋体"/>
              </w:rPr>
            </w:pPr>
          </w:p>
        </w:tc>
      </w:tr>
      <w:tr w:rsidR="006A3667" w14:paraId="71D47876" w14:textId="77777777">
        <w:tc>
          <w:tcPr>
            <w:tcW w:w="0" w:type="auto"/>
            <w:gridSpan w:val="3"/>
            <w:shd w:val="clear" w:color="auto" w:fill="auto"/>
            <w:tcMar>
              <w:top w:w="40" w:type="dxa"/>
              <w:left w:w="20" w:type="dxa"/>
              <w:bottom w:w="40" w:type="dxa"/>
              <w:right w:w="20" w:type="dxa"/>
            </w:tcMar>
            <w:vAlign w:val="bottom"/>
          </w:tcPr>
          <w:p w14:paraId="71D47864" w14:textId="77777777" w:rsidR="006A3667" w:rsidRDefault="00045F32">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6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6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6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6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69" w14:textId="77777777" w:rsidR="006A3667" w:rsidRDefault="006A3667">
            <w:pPr>
              <w:rPr>
                <w:rFonts w:ascii="宋体"/>
              </w:rPr>
            </w:pPr>
          </w:p>
        </w:tc>
        <w:tc>
          <w:tcPr>
            <w:tcW w:w="0" w:type="auto"/>
            <w:shd w:val="clear" w:color="auto" w:fill="auto"/>
            <w:vAlign w:val="bottom"/>
          </w:tcPr>
          <w:p w14:paraId="71D4786A" w14:textId="77777777" w:rsidR="006A3667" w:rsidRDefault="006A3667">
            <w:pPr>
              <w:rPr>
                <w:rFonts w:ascii="宋体"/>
                <w:vanish/>
              </w:rPr>
            </w:pPr>
          </w:p>
        </w:tc>
        <w:tc>
          <w:tcPr>
            <w:tcW w:w="0" w:type="auto"/>
            <w:shd w:val="clear" w:color="auto" w:fill="auto"/>
            <w:vAlign w:val="bottom"/>
          </w:tcPr>
          <w:p w14:paraId="71D4786B"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86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6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6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87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7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7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873" w14:textId="77777777" w:rsidR="006A3667" w:rsidRDefault="006A3667">
            <w:pPr>
              <w:rPr>
                <w:rFonts w:ascii="宋体"/>
              </w:rPr>
            </w:pPr>
          </w:p>
        </w:tc>
        <w:tc>
          <w:tcPr>
            <w:tcW w:w="0" w:type="auto"/>
            <w:gridSpan w:val="3"/>
            <w:shd w:val="clear" w:color="auto" w:fill="auto"/>
            <w:vAlign w:val="bottom"/>
          </w:tcPr>
          <w:p w14:paraId="71D47874" w14:textId="77777777" w:rsidR="006A3667" w:rsidRDefault="006A3667">
            <w:pPr>
              <w:rPr>
                <w:rFonts w:ascii="宋体"/>
                <w:vanish/>
              </w:rPr>
            </w:pPr>
          </w:p>
        </w:tc>
        <w:tc>
          <w:tcPr>
            <w:tcW w:w="0" w:type="auto"/>
            <w:gridSpan w:val="3"/>
            <w:shd w:val="clear" w:color="auto" w:fill="auto"/>
            <w:vAlign w:val="bottom"/>
          </w:tcPr>
          <w:p w14:paraId="71D47875" w14:textId="77777777" w:rsidR="006A3667" w:rsidRDefault="006A3667">
            <w:pPr>
              <w:rPr>
                <w:rFonts w:ascii="宋体"/>
                <w:vanish/>
              </w:rPr>
            </w:pPr>
          </w:p>
        </w:tc>
      </w:tr>
      <w:tr w:rsidR="006A3667" w14:paraId="71D47889" w14:textId="77777777">
        <w:trPr>
          <w:hidden/>
        </w:trPr>
        <w:tc>
          <w:tcPr>
            <w:tcW w:w="0" w:type="auto"/>
            <w:gridSpan w:val="3"/>
            <w:shd w:val="clear" w:color="auto" w:fill="auto"/>
            <w:vAlign w:val="bottom"/>
          </w:tcPr>
          <w:p w14:paraId="71D47877" w14:textId="77777777" w:rsidR="006A3667" w:rsidRDefault="006A3667">
            <w:pPr>
              <w:rPr>
                <w:rFonts w:ascii="宋体"/>
                <w:vanish/>
              </w:rPr>
            </w:pPr>
          </w:p>
        </w:tc>
        <w:tc>
          <w:tcPr>
            <w:tcW w:w="0" w:type="auto"/>
            <w:gridSpan w:val="3"/>
            <w:shd w:val="clear" w:color="auto" w:fill="auto"/>
            <w:vAlign w:val="bottom"/>
          </w:tcPr>
          <w:p w14:paraId="71D47878" w14:textId="77777777" w:rsidR="006A3667" w:rsidRDefault="006A3667">
            <w:pPr>
              <w:rPr>
                <w:rFonts w:ascii="宋体"/>
                <w:vanish/>
              </w:rPr>
            </w:pPr>
          </w:p>
        </w:tc>
        <w:tc>
          <w:tcPr>
            <w:tcW w:w="0" w:type="auto"/>
            <w:gridSpan w:val="3"/>
            <w:shd w:val="clear" w:color="auto" w:fill="auto"/>
            <w:vAlign w:val="bottom"/>
          </w:tcPr>
          <w:p w14:paraId="71D47879" w14:textId="77777777" w:rsidR="006A3667" w:rsidRDefault="006A3667">
            <w:pPr>
              <w:rPr>
                <w:rFonts w:ascii="宋体"/>
                <w:vanish/>
              </w:rPr>
            </w:pPr>
          </w:p>
        </w:tc>
        <w:tc>
          <w:tcPr>
            <w:tcW w:w="0" w:type="auto"/>
            <w:gridSpan w:val="3"/>
            <w:shd w:val="clear" w:color="auto" w:fill="auto"/>
            <w:vAlign w:val="bottom"/>
          </w:tcPr>
          <w:p w14:paraId="71D4787A" w14:textId="77777777" w:rsidR="006A3667" w:rsidRDefault="006A3667">
            <w:pPr>
              <w:rPr>
                <w:rFonts w:ascii="宋体"/>
                <w:vanish/>
              </w:rPr>
            </w:pPr>
          </w:p>
        </w:tc>
        <w:tc>
          <w:tcPr>
            <w:tcW w:w="0" w:type="auto"/>
            <w:gridSpan w:val="3"/>
            <w:shd w:val="clear" w:color="auto" w:fill="auto"/>
            <w:vAlign w:val="bottom"/>
          </w:tcPr>
          <w:p w14:paraId="71D4787B" w14:textId="77777777" w:rsidR="006A3667" w:rsidRDefault="006A3667">
            <w:pPr>
              <w:rPr>
                <w:rFonts w:ascii="宋体"/>
                <w:vanish/>
              </w:rPr>
            </w:pPr>
          </w:p>
        </w:tc>
        <w:tc>
          <w:tcPr>
            <w:tcW w:w="0" w:type="auto"/>
            <w:gridSpan w:val="3"/>
            <w:shd w:val="clear" w:color="auto" w:fill="auto"/>
            <w:vAlign w:val="bottom"/>
          </w:tcPr>
          <w:p w14:paraId="71D4787C" w14:textId="77777777" w:rsidR="006A3667" w:rsidRDefault="006A3667">
            <w:pPr>
              <w:rPr>
                <w:rFonts w:ascii="宋体"/>
                <w:vanish/>
              </w:rPr>
            </w:pPr>
          </w:p>
        </w:tc>
        <w:tc>
          <w:tcPr>
            <w:tcW w:w="0" w:type="auto"/>
            <w:shd w:val="clear" w:color="auto" w:fill="auto"/>
            <w:vAlign w:val="bottom"/>
          </w:tcPr>
          <w:p w14:paraId="71D4787D" w14:textId="77777777" w:rsidR="006A3667" w:rsidRDefault="006A3667">
            <w:pPr>
              <w:rPr>
                <w:rFonts w:ascii="宋体"/>
                <w:vanish/>
              </w:rPr>
            </w:pPr>
          </w:p>
        </w:tc>
        <w:tc>
          <w:tcPr>
            <w:tcW w:w="0" w:type="auto"/>
            <w:shd w:val="clear" w:color="auto" w:fill="auto"/>
            <w:vAlign w:val="bottom"/>
          </w:tcPr>
          <w:p w14:paraId="71D4787E" w14:textId="77777777" w:rsidR="006A3667" w:rsidRDefault="006A3667">
            <w:pPr>
              <w:rPr>
                <w:rFonts w:ascii="宋体"/>
                <w:vanish/>
              </w:rPr>
            </w:pPr>
          </w:p>
        </w:tc>
        <w:tc>
          <w:tcPr>
            <w:tcW w:w="0" w:type="auto"/>
            <w:gridSpan w:val="3"/>
            <w:shd w:val="clear" w:color="auto" w:fill="auto"/>
            <w:vAlign w:val="bottom"/>
          </w:tcPr>
          <w:p w14:paraId="71D4787F" w14:textId="77777777" w:rsidR="006A3667" w:rsidRDefault="006A3667">
            <w:pPr>
              <w:rPr>
                <w:rFonts w:ascii="宋体"/>
                <w:vanish/>
              </w:rPr>
            </w:pPr>
          </w:p>
        </w:tc>
        <w:tc>
          <w:tcPr>
            <w:tcW w:w="0" w:type="auto"/>
            <w:gridSpan w:val="3"/>
            <w:shd w:val="clear" w:color="auto" w:fill="auto"/>
            <w:vAlign w:val="bottom"/>
          </w:tcPr>
          <w:p w14:paraId="71D47880" w14:textId="77777777" w:rsidR="006A3667" w:rsidRDefault="006A3667">
            <w:pPr>
              <w:rPr>
                <w:rFonts w:ascii="宋体"/>
                <w:vanish/>
              </w:rPr>
            </w:pPr>
          </w:p>
        </w:tc>
        <w:tc>
          <w:tcPr>
            <w:tcW w:w="0" w:type="auto"/>
            <w:gridSpan w:val="3"/>
            <w:shd w:val="clear" w:color="auto" w:fill="auto"/>
            <w:vAlign w:val="bottom"/>
          </w:tcPr>
          <w:p w14:paraId="71D47881" w14:textId="77777777" w:rsidR="006A3667" w:rsidRDefault="006A3667">
            <w:pPr>
              <w:rPr>
                <w:rFonts w:ascii="宋体"/>
                <w:vanish/>
              </w:rPr>
            </w:pPr>
          </w:p>
        </w:tc>
        <w:tc>
          <w:tcPr>
            <w:tcW w:w="0" w:type="auto"/>
            <w:gridSpan w:val="3"/>
            <w:shd w:val="clear" w:color="auto" w:fill="auto"/>
            <w:vAlign w:val="bottom"/>
          </w:tcPr>
          <w:p w14:paraId="71D47882" w14:textId="77777777" w:rsidR="006A3667" w:rsidRDefault="006A3667">
            <w:pPr>
              <w:rPr>
                <w:rFonts w:ascii="宋体"/>
                <w:vanish/>
              </w:rPr>
            </w:pPr>
          </w:p>
        </w:tc>
        <w:tc>
          <w:tcPr>
            <w:tcW w:w="0" w:type="auto"/>
            <w:gridSpan w:val="3"/>
            <w:shd w:val="clear" w:color="auto" w:fill="auto"/>
            <w:vAlign w:val="bottom"/>
          </w:tcPr>
          <w:p w14:paraId="71D47883" w14:textId="77777777" w:rsidR="006A3667" w:rsidRDefault="006A3667">
            <w:pPr>
              <w:rPr>
                <w:rFonts w:ascii="宋体"/>
                <w:vanish/>
              </w:rPr>
            </w:pPr>
          </w:p>
        </w:tc>
        <w:tc>
          <w:tcPr>
            <w:tcW w:w="0" w:type="auto"/>
            <w:gridSpan w:val="3"/>
            <w:shd w:val="clear" w:color="auto" w:fill="auto"/>
            <w:vAlign w:val="bottom"/>
          </w:tcPr>
          <w:p w14:paraId="71D47884" w14:textId="77777777" w:rsidR="006A3667" w:rsidRDefault="006A3667">
            <w:pPr>
              <w:rPr>
                <w:rFonts w:ascii="宋体"/>
                <w:vanish/>
              </w:rPr>
            </w:pPr>
          </w:p>
        </w:tc>
        <w:tc>
          <w:tcPr>
            <w:tcW w:w="0" w:type="auto"/>
            <w:gridSpan w:val="3"/>
            <w:shd w:val="clear" w:color="auto" w:fill="auto"/>
            <w:vAlign w:val="bottom"/>
          </w:tcPr>
          <w:p w14:paraId="71D47885" w14:textId="77777777" w:rsidR="006A3667" w:rsidRDefault="006A3667">
            <w:pPr>
              <w:rPr>
                <w:rFonts w:ascii="宋体"/>
                <w:vanish/>
              </w:rPr>
            </w:pPr>
          </w:p>
        </w:tc>
        <w:tc>
          <w:tcPr>
            <w:tcW w:w="0" w:type="auto"/>
            <w:gridSpan w:val="3"/>
            <w:shd w:val="clear" w:color="auto" w:fill="auto"/>
            <w:vAlign w:val="bottom"/>
          </w:tcPr>
          <w:p w14:paraId="71D47886" w14:textId="77777777" w:rsidR="006A3667" w:rsidRDefault="006A3667">
            <w:pPr>
              <w:rPr>
                <w:rFonts w:ascii="宋体"/>
                <w:vanish/>
              </w:rPr>
            </w:pPr>
          </w:p>
        </w:tc>
        <w:tc>
          <w:tcPr>
            <w:tcW w:w="0" w:type="auto"/>
            <w:gridSpan w:val="3"/>
            <w:shd w:val="clear" w:color="auto" w:fill="auto"/>
            <w:vAlign w:val="bottom"/>
          </w:tcPr>
          <w:p w14:paraId="71D47887" w14:textId="77777777" w:rsidR="006A3667" w:rsidRDefault="006A3667">
            <w:pPr>
              <w:rPr>
                <w:rFonts w:ascii="宋体"/>
                <w:vanish/>
              </w:rPr>
            </w:pPr>
          </w:p>
        </w:tc>
        <w:tc>
          <w:tcPr>
            <w:tcW w:w="0" w:type="auto"/>
            <w:gridSpan w:val="3"/>
            <w:shd w:val="clear" w:color="auto" w:fill="auto"/>
            <w:vAlign w:val="bottom"/>
          </w:tcPr>
          <w:p w14:paraId="71D47888" w14:textId="77777777" w:rsidR="006A3667" w:rsidRDefault="006A3667">
            <w:pPr>
              <w:rPr>
                <w:rFonts w:ascii="宋体"/>
                <w:vanish/>
              </w:rPr>
            </w:pPr>
          </w:p>
        </w:tc>
      </w:tr>
      <w:tr w:rsidR="006A3667" w14:paraId="71D4789C" w14:textId="77777777">
        <w:trPr>
          <w:hidden/>
        </w:trPr>
        <w:tc>
          <w:tcPr>
            <w:tcW w:w="0" w:type="auto"/>
            <w:gridSpan w:val="3"/>
            <w:shd w:val="clear" w:color="auto" w:fill="auto"/>
            <w:vAlign w:val="bottom"/>
          </w:tcPr>
          <w:p w14:paraId="71D4788A" w14:textId="77777777" w:rsidR="006A3667" w:rsidRDefault="006A3667">
            <w:pPr>
              <w:rPr>
                <w:rFonts w:ascii="宋体"/>
                <w:vanish/>
              </w:rPr>
            </w:pPr>
          </w:p>
        </w:tc>
        <w:tc>
          <w:tcPr>
            <w:tcW w:w="0" w:type="auto"/>
            <w:gridSpan w:val="3"/>
            <w:shd w:val="clear" w:color="auto" w:fill="auto"/>
            <w:vAlign w:val="bottom"/>
          </w:tcPr>
          <w:p w14:paraId="71D4788B" w14:textId="77777777" w:rsidR="006A3667" w:rsidRDefault="006A3667">
            <w:pPr>
              <w:rPr>
                <w:rFonts w:ascii="宋体"/>
                <w:vanish/>
              </w:rPr>
            </w:pPr>
          </w:p>
        </w:tc>
        <w:tc>
          <w:tcPr>
            <w:tcW w:w="0" w:type="auto"/>
            <w:gridSpan w:val="3"/>
            <w:shd w:val="clear" w:color="auto" w:fill="auto"/>
            <w:vAlign w:val="bottom"/>
          </w:tcPr>
          <w:p w14:paraId="71D4788C" w14:textId="77777777" w:rsidR="006A3667" w:rsidRDefault="006A3667">
            <w:pPr>
              <w:rPr>
                <w:rFonts w:ascii="宋体"/>
                <w:vanish/>
              </w:rPr>
            </w:pPr>
          </w:p>
        </w:tc>
        <w:tc>
          <w:tcPr>
            <w:tcW w:w="0" w:type="auto"/>
            <w:gridSpan w:val="3"/>
            <w:shd w:val="clear" w:color="auto" w:fill="auto"/>
            <w:vAlign w:val="bottom"/>
          </w:tcPr>
          <w:p w14:paraId="71D4788D" w14:textId="77777777" w:rsidR="006A3667" w:rsidRDefault="006A3667">
            <w:pPr>
              <w:rPr>
                <w:rFonts w:ascii="宋体"/>
                <w:vanish/>
              </w:rPr>
            </w:pPr>
          </w:p>
        </w:tc>
        <w:tc>
          <w:tcPr>
            <w:tcW w:w="0" w:type="auto"/>
            <w:gridSpan w:val="3"/>
            <w:shd w:val="clear" w:color="auto" w:fill="auto"/>
            <w:vAlign w:val="bottom"/>
          </w:tcPr>
          <w:p w14:paraId="71D4788E" w14:textId="77777777" w:rsidR="006A3667" w:rsidRDefault="006A3667">
            <w:pPr>
              <w:rPr>
                <w:rFonts w:ascii="宋体"/>
                <w:vanish/>
              </w:rPr>
            </w:pPr>
          </w:p>
        </w:tc>
        <w:tc>
          <w:tcPr>
            <w:tcW w:w="0" w:type="auto"/>
            <w:gridSpan w:val="3"/>
            <w:shd w:val="clear" w:color="auto" w:fill="auto"/>
            <w:vAlign w:val="bottom"/>
          </w:tcPr>
          <w:p w14:paraId="71D4788F" w14:textId="77777777" w:rsidR="006A3667" w:rsidRDefault="006A3667">
            <w:pPr>
              <w:rPr>
                <w:rFonts w:ascii="宋体"/>
                <w:vanish/>
              </w:rPr>
            </w:pPr>
          </w:p>
        </w:tc>
        <w:tc>
          <w:tcPr>
            <w:tcW w:w="0" w:type="auto"/>
            <w:shd w:val="clear" w:color="auto" w:fill="auto"/>
            <w:vAlign w:val="bottom"/>
          </w:tcPr>
          <w:p w14:paraId="71D47890" w14:textId="77777777" w:rsidR="006A3667" w:rsidRDefault="006A3667">
            <w:pPr>
              <w:rPr>
                <w:rFonts w:ascii="宋体"/>
                <w:vanish/>
              </w:rPr>
            </w:pPr>
          </w:p>
        </w:tc>
        <w:tc>
          <w:tcPr>
            <w:tcW w:w="0" w:type="auto"/>
            <w:shd w:val="clear" w:color="auto" w:fill="auto"/>
            <w:vAlign w:val="bottom"/>
          </w:tcPr>
          <w:p w14:paraId="71D47891" w14:textId="77777777" w:rsidR="006A3667" w:rsidRDefault="006A3667">
            <w:pPr>
              <w:rPr>
                <w:rFonts w:ascii="宋体"/>
                <w:vanish/>
              </w:rPr>
            </w:pPr>
          </w:p>
        </w:tc>
        <w:tc>
          <w:tcPr>
            <w:tcW w:w="0" w:type="auto"/>
            <w:gridSpan w:val="3"/>
            <w:shd w:val="clear" w:color="auto" w:fill="auto"/>
            <w:vAlign w:val="bottom"/>
          </w:tcPr>
          <w:p w14:paraId="71D47892" w14:textId="77777777" w:rsidR="006A3667" w:rsidRDefault="006A3667">
            <w:pPr>
              <w:rPr>
                <w:rFonts w:ascii="宋体"/>
                <w:vanish/>
              </w:rPr>
            </w:pPr>
          </w:p>
        </w:tc>
        <w:tc>
          <w:tcPr>
            <w:tcW w:w="0" w:type="auto"/>
            <w:gridSpan w:val="3"/>
            <w:shd w:val="clear" w:color="auto" w:fill="auto"/>
            <w:vAlign w:val="bottom"/>
          </w:tcPr>
          <w:p w14:paraId="71D47893" w14:textId="77777777" w:rsidR="006A3667" w:rsidRDefault="006A3667">
            <w:pPr>
              <w:rPr>
                <w:rFonts w:ascii="宋体"/>
                <w:vanish/>
              </w:rPr>
            </w:pPr>
          </w:p>
        </w:tc>
        <w:tc>
          <w:tcPr>
            <w:tcW w:w="0" w:type="auto"/>
            <w:gridSpan w:val="3"/>
            <w:shd w:val="clear" w:color="auto" w:fill="auto"/>
            <w:vAlign w:val="bottom"/>
          </w:tcPr>
          <w:p w14:paraId="71D47894" w14:textId="77777777" w:rsidR="006A3667" w:rsidRDefault="006A3667">
            <w:pPr>
              <w:rPr>
                <w:rFonts w:ascii="宋体"/>
                <w:vanish/>
              </w:rPr>
            </w:pPr>
          </w:p>
        </w:tc>
        <w:tc>
          <w:tcPr>
            <w:tcW w:w="0" w:type="auto"/>
            <w:gridSpan w:val="3"/>
            <w:shd w:val="clear" w:color="auto" w:fill="auto"/>
            <w:vAlign w:val="bottom"/>
          </w:tcPr>
          <w:p w14:paraId="71D47895" w14:textId="77777777" w:rsidR="006A3667" w:rsidRDefault="006A3667">
            <w:pPr>
              <w:rPr>
                <w:rFonts w:ascii="宋体"/>
                <w:vanish/>
              </w:rPr>
            </w:pPr>
          </w:p>
        </w:tc>
        <w:tc>
          <w:tcPr>
            <w:tcW w:w="0" w:type="auto"/>
            <w:gridSpan w:val="3"/>
            <w:shd w:val="clear" w:color="auto" w:fill="auto"/>
            <w:vAlign w:val="bottom"/>
          </w:tcPr>
          <w:p w14:paraId="71D47896" w14:textId="77777777" w:rsidR="006A3667" w:rsidRDefault="006A3667">
            <w:pPr>
              <w:rPr>
                <w:rFonts w:ascii="宋体"/>
                <w:vanish/>
              </w:rPr>
            </w:pPr>
          </w:p>
        </w:tc>
        <w:tc>
          <w:tcPr>
            <w:tcW w:w="0" w:type="auto"/>
            <w:gridSpan w:val="3"/>
            <w:shd w:val="clear" w:color="auto" w:fill="auto"/>
            <w:vAlign w:val="bottom"/>
          </w:tcPr>
          <w:p w14:paraId="71D47897" w14:textId="77777777" w:rsidR="006A3667" w:rsidRDefault="006A3667">
            <w:pPr>
              <w:rPr>
                <w:rFonts w:ascii="宋体"/>
                <w:vanish/>
              </w:rPr>
            </w:pPr>
          </w:p>
        </w:tc>
        <w:tc>
          <w:tcPr>
            <w:tcW w:w="0" w:type="auto"/>
            <w:gridSpan w:val="3"/>
            <w:shd w:val="clear" w:color="auto" w:fill="auto"/>
            <w:vAlign w:val="bottom"/>
          </w:tcPr>
          <w:p w14:paraId="71D47898" w14:textId="77777777" w:rsidR="006A3667" w:rsidRDefault="006A3667">
            <w:pPr>
              <w:rPr>
                <w:rFonts w:ascii="宋体"/>
                <w:vanish/>
              </w:rPr>
            </w:pPr>
          </w:p>
        </w:tc>
        <w:tc>
          <w:tcPr>
            <w:tcW w:w="0" w:type="auto"/>
            <w:gridSpan w:val="3"/>
            <w:shd w:val="clear" w:color="auto" w:fill="auto"/>
            <w:vAlign w:val="bottom"/>
          </w:tcPr>
          <w:p w14:paraId="71D47899" w14:textId="77777777" w:rsidR="006A3667" w:rsidRDefault="006A3667">
            <w:pPr>
              <w:rPr>
                <w:rFonts w:ascii="宋体"/>
                <w:vanish/>
              </w:rPr>
            </w:pPr>
          </w:p>
        </w:tc>
        <w:tc>
          <w:tcPr>
            <w:tcW w:w="0" w:type="auto"/>
            <w:gridSpan w:val="3"/>
            <w:shd w:val="clear" w:color="auto" w:fill="auto"/>
            <w:vAlign w:val="bottom"/>
          </w:tcPr>
          <w:p w14:paraId="71D4789A" w14:textId="77777777" w:rsidR="006A3667" w:rsidRDefault="006A3667">
            <w:pPr>
              <w:rPr>
                <w:rFonts w:ascii="宋体"/>
                <w:vanish/>
              </w:rPr>
            </w:pPr>
          </w:p>
        </w:tc>
        <w:tc>
          <w:tcPr>
            <w:tcW w:w="0" w:type="auto"/>
            <w:gridSpan w:val="3"/>
            <w:shd w:val="clear" w:color="auto" w:fill="auto"/>
            <w:vAlign w:val="bottom"/>
          </w:tcPr>
          <w:p w14:paraId="71D4789B" w14:textId="77777777" w:rsidR="006A3667" w:rsidRDefault="006A3667">
            <w:pPr>
              <w:rPr>
                <w:rFonts w:ascii="宋体"/>
                <w:vanish/>
              </w:rPr>
            </w:pPr>
          </w:p>
        </w:tc>
      </w:tr>
      <w:tr w:rsidR="006A3667" w14:paraId="71D478B7" w14:textId="77777777">
        <w:tc>
          <w:tcPr>
            <w:tcW w:w="0" w:type="auto"/>
            <w:gridSpan w:val="3"/>
            <w:shd w:val="clear" w:color="auto" w:fill="CCEEFF"/>
            <w:tcMar>
              <w:top w:w="40" w:type="dxa"/>
              <w:left w:w="20" w:type="dxa"/>
              <w:bottom w:w="40" w:type="dxa"/>
              <w:right w:w="20" w:type="dxa"/>
            </w:tcMar>
            <w:vAlign w:val="bottom"/>
          </w:tcPr>
          <w:p w14:paraId="71D4789D" w14:textId="77777777" w:rsidR="006A3667" w:rsidRDefault="00045F32">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71D4789E" w14:textId="77777777" w:rsidR="006A3667" w:rsidRDefault="00045F32">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1D4789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8A0"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8A1" w14:textId="77777777" w:rsidR="006A3667" w:rsidRDefault="00045F32">
            <w:pPr>
              <w:jc w:val="right"/>
              <w:textAlignment w:val="bottom"/>
            </w:pPr>
            <w:r>
              <w:rPr>
                <w:rFonts w:ascii="Arial" w:eastAsia="宋体" w:hAnsi="Arial" w:cs="Arial"/>
                <w:b/>
                <w:bCs/>
                <w:color w:val="000000"/>
                <w:sz w:val="13"/>
                <w:szCs w:val="13"/>
              </w:rPr>
              <w:t>349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8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8A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8A4"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8A5" w14:textId="77777777" w:rsidR="006A3667" w:rsidRDefault="00045F32">
            <w:pPr>
              <w:jc w:val="right"/>
              <w:textAlignment w:val="bottom"/>
            </w:pPr>
            <w:r>
              <w:rPr>
                <w:rFonts w:ascii="Arial" w:eastAsia="宋体" w:hAnsi="Arial" w:cs="Arial"/>
                <w:color w:val="000000"/>
                <w:sz w:val="13"/>
                <w:szCs w:val="13"/>
              </w:rPr>
              <w:t>15 </w:t>
            </w:r>
          </w:p>
        </w:tc>
        <w:tc>
          <w:tcPr>
            <w:tcW w:w="0" w:type="auto"/>
            <w:shd w:val="clear" w:color="auto" w:fill="CCEEFF"/>
            <w:tcMar>
              <w:top w:w="40" w:type="dxa"/>
              <w:left w:w="0" w:type="dxa"/>
              <w:bottom w:w="40" w:type="dxa"/>
              <w:right w:w="20" w:type="dxa"/>
            </w:tcMar>
            <w:vAlign w:val="bottom"/>
          </w:tcPr>
          <w:p w14:paraId="71D478A6" w14:textId="77777777" w:rsidR="006A3667" w:rsidRDefault="006A3667">
            <w:pPr>
              <w:jc w:val="right"/>
              <w:rPr>
                <w:rFonts w:ascii="宋体"/>
              </w:rPr>
            </w:pPr>
          </w:p>
        </w:tc>
        <w:tc>
          <w:tcPr>
            <w:tcW w:w="0" w:type="auto"/>
            <w:shd w:val="clear" w:color="auto" w:fill="auto"/>
            <w:vAlign w:val="bottom"/>
          </w:tcPr>
          <w:p w14:paraId="71D478A7" w14:textId="77777777" w:rsidR="006A3667" w:rsidRDefault="006A3667">
            <w:pPr>
              <w:rPr>
                <w:rFonts w:ascii="宋体"/>
                <w:vanish/>
              </w:rPr>
            </w:pPr>
          </w:p>
        </w:tc>
        <w:tc>
          <w:tcPr>
            <w:tcW w:w="0" w:type="auto"/>
            <w:shd w:val="clear" w:color="auto" w:fill="auto"/>
            <w:vAlign w:val="bottom"/>
          </w:tcPr>
          <w:p w14:paraId="71D478A8"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8A9"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78AA" w14:textId="77777777" w:rsidR="006A3667" w:rsidRDefault="00045F32">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(1)</w:t>
            </w:r>
          </w:p>
        </w:tc>
        <w:tc>
          <w:tcPr>
            <w:tcW w:w="0" w:type="auto"/>
            <w:gridSpan w:val="3"/>
            <w:shd w:val="clear" w:color="auto" w:fill="CCEEFF"/>
            <w:tcMar>
              <w:top w:w="0" w:type="dxa"/>
              <w:left w:w="20" w:type="dxa"/>
              <w:bottom w:w="0" w:type="dxa"/>
              <w:right w:w="20" w:type="dxa"/>
            </w:tcMar>
            <w:vAlign w:val="bottom"/>
          </w:tcPr>
          <w:p w14:paraId="71D478AB"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78AC" w14:textId="77777777" w:rsidR="006A3667" w:rsidRDefault="00045F32">
            <w:pPr>
              <w:spacing w:after="40"/>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1D478A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8AE"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8AF" w14:textId="77777777" w:rsidR="006A3667" w:rsidRDefault="00045F32">
            <w:pPr>
              <w:jc w:val="right"/>
              <w:textAlignment w:val="bottom"/>
            </w:pPr>
            <w:r>
              <w:rPr>
                <w:rFonts w:ascii="Arial" w:eastAsia="宋体" w:hAnsi="Arial" w:cs="Arial"/>
                <w:b/>
                <w:bCs/>
                <w:color w:val="000000"/>
                <w:sz w:val="13"/>
                <w:szCs w:val="13"/>
              </w:rPr>
              <w:t>(349)</w:t>
            </w:r>
          </w:p>
        </w:tc>
        <w:tc>
          <w:tcPr>
            <w:tcW w:w="0" w:type="auto"/>
            <w:shd w:val="clear" w:color="auto" w:fill="CCEEFF"/>
            <w:tcMar>
              <w:top w:w="40" w:type="dxa"/>
              <w:left w:w="0" w:type="dxa"/>
              <w:bottom w:w="40" w:type="dxa"/>
              <w:right w:w="20" w:type="dxa"/>
            </w:tcMar>
            <w:vAlign w:val="bottom"/>
          </w:tcPr>
          <w:p w14:paraId="71D478B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8B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8B2"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8B3" w14:textId="77777777" w:rsidR="006A3667" w:rsidRDefault="00045F32">
            <w:pPr>
              <w:jc w:val="right"/>
              <w:textAlignment w:val="bottom"/>
            </w:pPr>
            <w:r>
              <w:rPr>
                <w:rFonts w:ascii="Arial" w:eastAsia="宋体" w:hAnsi="Arial" w:cs="Arial"/>
                <w:color w:val="000000"/>
                <w:sz w:val="13"/>
                <w:szCs w:val="13"/>
              </w:rPr>
              <w:t>(17)</w:t>
            </w:r>
          </w:p>
        </w:tc>
        <w:tc>
          <w:tcPr>
            <w:tcW w:w="0" w:type="auto"/>
            <w:shd w:val="clear" w:color="auto" w:fill="CCEEFF"/>
            <w:tcMar>
              <w:top w:w="40" w:type="dxa"/>
              <w:left w:w="0" w:type="dxa"/>
              <w:bottom w:w="40" w:type="dxa"/>
              <w:right w:w="20" w:type="dxa"/>
            </w:tcMar>
            <w:vAlign w:val="bottom"/>
          </w:tcPr>
          <w:p w14:paraId="71D478B4" w14:textId="77777777" w:rsidR="006A3667" w:rsidRDefault="006A3667">
            <w:pPr>
              <w:jc w:val="right"/>
              <w:rPr>
                <w:rFonts w:ascii="宋体"/>
              </w:rPr>
            </w:pPr>
          </w:p>
        </w:tc>
        <w:tc>
          <w:tcPr>
            <w:tcW w:w="0" w:type="auto"/>
            <w:gridSpan w:val="3"/>
            <w:shd w:val="clear" w:color="auto" w:fill="auto"/>
            <w:vAlign w:val="bottom"/>
          </w:tcPr>
          <w:p w14:paraId="71D478B5" w14:textId="77777777" w:rsidR="006A3667" w:rsidRDefault="006A3667">
            <w:pPr>
              <w:rPr>
                <w:rFonts w:ascii="宋体"/>
                <w:vanish/>
              </w:rPr>
            </w:pPr>
          </w:p>
        </w:tc>
        <w:tc>
          <w:tcPr>
            <w:tcW w:w="0" w:type="auto"/>
            <w:gridSpan w:val="3"/>
            <w:shd w:val="clear" w:color="auto" w:fill="auto"/>
            <w:vAlign w:val="bottom"/>
          </w:tcPr>
          <w:p w14:paraId="71D478B6" w14:textId="77777777" w:rsidR="006A3667" w:rsidRDefault="006A3667">
            <w:pPr>
              <w:rPr>
                <w:rFonts w:ascii="宋体"/>
                <w:vanish/>
              </w:rPr>
            </w:pPr>
          </w:p>
        </w:tc>
      </w:tr>
      <w:tr w:rsidR="006A3667" w14:paraId="71D478CE" w14:textId="77777777">
        <w:tc>
          <w:tcPr>
            <w:tcW w:w="0" w:type="auto"/>
            <w:gridSpan w:val="3"/>
            <w:shd w:val="clear" w:color="auto" w:fill="FFFFFF"/>
            <w:tcMar>
              <w:top w:w="40" w:type="dxa"/>
              <w:left w:w="20" w:type="dxa"/>
              <w:bottom w:w="40" w:type="dxa"/>
              <w:right w:w="20" w:type="dxa"/>
            </w:tcMar>
            <w:vAlign w:val="bottom"/>
          </w:tcPr>
          <w:p w14:paraId="71D478B8" w14:textId="77777777" w:rsidR="006A3667" w:rsidRDefault="00045F32">
            <w:pPr>
              <w:textAlignment w:val="bottom"/>
            </w:pPr>
            <w:r>
              <w:rPr>
                <w:rFonts w:ascii="Arial" w:eastAsia="宋体" w:hAnsi="Arial" w:cs="Arial"/>
                <w:color w:val="000000"/>
                <w:sz w:val="13"/>
                <w:szCs w:val="13"/>
              </w:rPr>
              <w:t>Interest rate contracts</w:t>
            </w:r>
          </w:p>
        </w:tc>
        <w:tc>
          <w:tcPr>
            <w:tcW w:w="0" w:type="auto"/>
            <w:gridSpan w:val="3"/>
            <w:shd w:val="clear" w:color="auto" w:fill="FFFFFF"/>
            <w:tcMar>
              <w:top w:w="40" w:type="dxa"/>
              <w:left w:w="20" w:type="dxa"/>
              <w:bottom w:w="40" w:type="dxa"/>
              <w:right w:w="20" w:type="dxa"/>
            </w:tcMar>
            <w:vAlign w:val="bottom"/>
          </w:tcPr>
          <w:p w14:paraId="71D478B9" w14:textId="77777777" w:rsidR="006A3667" w:rsidRDefault="00045F32">
            <w:pPr>
              <w:textAlignment w:val="bottom"/>
            </w:pPr>
            <w:r>
              <w:rPr>
                <w:rFonts w:ascii="Arial" w:eastAsia="宋体" w:hAnsi="Arial" w:cs="Arial"/>
                <w:color w:val="000000"/>
                <w:sz w:val="13"/>
                <w:szCs w:val="13"/>
              </w:rPr>
              <w:t xml:space="preserve">Net </w:t>
            </w:r>
            <w:r>
              <w:rPr>
                <w:rFonts w:ascii="Arial" w:eastAsia="宋体" w:hAnsi="Arial" w:cs="Arial"/>
                <w:color w:val="000000"/>
                <w:sz w:val="13"/>
                <w:szCs w:val="13"/>
              </w:rPr>
              <w:t>interest income</w:t>
            </w:r>
          </w:p>
        </w:tc>
        <w:tc>
          <w:tcPr>
            <w:tcW w:w="0" w:type="auto"/>
            <w:gridSpan w:val="3"/>
            <w:shd w:val="clear" w:color="auto" w:fill="FFFFFF"/>
            <w:tcMar>
              <w:top w:w="0" w:type="dxa"/>
              <w:left w:w="20" w:type="dxa"/>
              <w:bottom w:w="0" w:type="dxa"/>
              <w:right w:w="20" w:type="dxa"/>
            </w:tcMar>
            <w:vAlign w:val="bottom"/>
          </w:tcPr>
          <w:p w14:paraId="71D478B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8BB" w14:textId="77777777" w:rsidR="006A3667" w:rsidRDefault="00045F32">
            <w:pPr>
              <w:jc w:val="right"/>
              <w:textAlignment w:val="bottom"/>
            </w:pPr>
            <w:r>
              <w:rPr>
                <w:rFonts w:ascii="Arial" w:eastAsia="宋体" w:hAnsi="Arial" w:cs="Arial"/>
                <w:b/>
                <w:bCs/>
                <w:color w:val="000000"/>
                <w:sz w:val="13"/>
                <w:szCs w:val="13"/>
              </w:rPr>
              <w:t>(261)</w:t>
            </w:r>
          </w:p>
        </w:tc>
        <w:tc>
          <w:tcPr>
            <w:tcW w:w="0" w:type="auto"/>
            <w:shd w:val="clear" w:color="auto" w:fill="FFFFFF"/>
            <w:tcMar>
              <w:top w:w="40" w:type="dxa"/>
              <w:left w:w="0" w:type="dxa"/>
              <w:bottom w:w="40" w:type="dxa"/>
              <w:right w:w="20" w:type="dxa"/>
            </w:tcMar>
            <w:vAlign w:val="bottom"/>
          </w:tcPr>
          <w:p w14:paraId="71D478B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8B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8BE" w14:textId="77777777" w:rsidR="006A3667" w:rsidRDefault="00045F32">
            <w:pPr>
              <w:jc w:val="right"/>
              <w:textAlignment w:val="bottom"/>
            </w:pPr>
            <w:r>
              <w:rPr>
                <w:rFonts w:ascii="Arial" w:eastAsia="宋体" w:hAnsi="Arial" w:cs="Arial"/>
                <w:color w:val="000000"/>
                <w:sz w:val="13"/>
                <w:szCs w:val="13"/>
              </w:rPr>
              <w:t>(7)</w:t>
            </w:r>
          </w:p>
        </w:tc>
        <w:tc>
          <w:tcPr>
            <w:tcW w:w="0" w:type="auto"/>
            <w:shd w:val="clear" w:color="auto" w:fill="FFFFFF"/>
            <w:tcMar>
              <w:top w:w="40" w:type="dxa"/>
              <w:left w:w="0" w:type="dxa"/>
              <w:bottom w:w="40" w:type="dxa"/>
              <w:right w:w="20" w:type="dxa"/>
            </w:tcMar>
            <w:vAlign w:val="bottom"/>
          </w:tcPr>
          <w:p w14:paraId="71D478BF" w14:textId="77777777" w:rsidR="006A3667" w:rsidRDefault="006A3667">
            <w:pPr>
              <w:jc w:val="right"/>
              <w:rPr>
                <w:rFonts w:ascii="宋体"/>
              </w:rPr>
            </w:pPr>
          </w:p>
        </w:tc>
        <w:tc>
          <w:tcPr>
            <w:tcW w:w="0" w:type="auto"/>
            <w:shd w:val="clear" w:color="auto" w:fill="auto"/>
            <w:vAlign w:val="bottom"/>
          </w:tcPr>
          <w:p w14:paraId="71D478C0" w14:textId="77777777" w:rsidR="006A3667" w:rsidRDefault="006A3667">
            <w:pPr>
              <w:rPr>
                <w:rFonts w:ascii="宋体"/>
                <w:vanish/>
              </w:rPr>
            </w:pPr>
          </w:p>
        </w:tc>
        <w:tc>
          <w:tcPr>
            <w:tcW w:w="0" w:type="auto"/>
            <w:shd w:val="clear" w:color="auto" w:fill="auto"/>
            <w:vAlign w:val="bottom"/>
          </w:tcPr>
          <w:p w14:paraId="71D478C1"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78C2"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78C3" w14:textId="77777777" w:rsidR="006A3667" w:rsidRDefault="00045F32">
            <w:pPr>
              <w:textAlignment w:val="bottom"/>
            </w:pPr>
            <w:r>
              <w:rPr>
                <w:rFonts w:ascii="Arial" w:eastAsia="宋体" w:hAnsi="Arial" w:cs="Arial"/>
                <w:color w:val="000000"/>
                <w:sz w:val="13"/>
                <w:szCs w:val="13"/>
              </w:rPr>
              <w:t>Long-term debt</w:t>
            </w:r>
          </w:p>
        </w:tc>
        <w:tc>
          <w:tcPr>
            <w:tcW w:w="0" w:type="auto"/>
            <w:gridSpan w:val="3"/>
            <w:shd w:val="clear" w:color="auto" w:fill="FFFFFF"/>
            <w:tcMar>
              <w:top w:w="0" w:type="dxa"/>
              <w:left w:w="20" w:type="dxa"/>
              <w:bottom w:w="0" w:type="dxa"/>
              <w:right w:w="20" w:type="dxa"/>
            </w:tcMar>
            <w:vAlign w:val="bottom"/>
          </w:tcPr>
          <w:p w14:paraId="71D478C4"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78C5" w14:textId="77777777" w:rsidR="006A3667" w:rsidRDefault="00045F32">
            <w:pP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71D478C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8C7" w14:textId="77777777" w:rsidR="006A3667" w:rsidRDefault="00045F32">
            <w:pPr>
              <w:jc w:val="right"/>
              <w:textAlignment w:val="bottom"/>
            </w:pPr>
            <w:r>
              <w:rPr>
                <w:rFonts w:ascii="Arial" w:eastAsia="宋体" w:hAnsi="Arial" w:cs="Arial"/>
                <w:b/>
                <w:bCs/>
                <w:color w:val="000000"/>
                <w:sz w:val="13"/>
                <w:szCs w:val="13"/>
              </w:rPr>
              <w:t>261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78C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8C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8CA" w14:textId="77777777" w:rsidR="006A3667" w:rsidRDefault="00045F32">
            <w:pPr>
              <w:jc w:val="right"/>
              <w:textAlignment w:val="bottom"/>
            </w:pPr>
            <w:r>
              <w:rPr>
                <w:rFonts w:ascii="Arial" w:eastAsia="宋体" w:hAnsi="Arial" w:cs="Arial"/>
                <w:color w:val="000000"/>
                <w:sz w:val="13"/>
                <w:szCs w:val="13"/>
              </w:rPr>
              <w:t>8 </w:t>
            </w:r>
          </w:p>
        </w:tc>
        <w:tc>
          <w:tcPr>
            <w:tcW w:w="0" w:type="auto"/>
            <w:shd w:val="clear" w:color="auto" w:fill="FFFFFF"/>
            <w:tcMar>
              <w:top w:w="40" w:type="dxa"/>
              <w:left w:w="0" w:type="dxa"/>
              <w:bottom w:w="40" w:type="dxa"/>
              <w:right w:w="20" w:type="dxa"/>
            </w:tcMar>
            <w:vAlign w:val="bottom"/>
          </w:tcPr>
          <w:p w14:paraId="71D478CB" w14:textId="77777777" w:rsidR="006A3667" w:rsidRDefault="006A3667">
            <w:pPr>
              <w:jc w:val="right"/>
              <w:rPr>
                <w:rFonts w:ascii="宋体"/>
              </w:rPr>
            </w:pPr>
          </w:p>
        </w:tc>
        <w:tc>
          <w:tcPr>
            <w:tcW w:w="0" w:type="auto"/>
            <w:gridSpan w:val="3"/>
            <w:shd w:val="clear" w:color="auto" w:fill="auto"/>
            <w:vAlign w:val="bottom"/>
          </w:tcPr>
          <w:p w14:paraId="71D478CC" w14:textId="77777777" w:rsidR="006A3667" w:rsidRDefault="006A3667">
            <w:pPr>
              <w:rPr>
                <w:rFonts w:ascii="宋体"/>
                <w:vanish/>
              </w:rPr>
            </w:pPr>
          </w:p>
        </w:tc>
        <w:tc>
          <w:tcPr>
            <w:tcW w:w="0" w:type="auto"/>
            <w:gridSpan w:val="3"/>
            <w:shd w:val="clear" w:color="auto" w:fill="auto"/>
            <w:vAlign w:val="bottom"/>
          </w:tcPr>
          <w:p w14:paraId="71D478CD" w14:textId="77777777" w:rsidR="006A3667" w:rsidRDefault="006A3667">
            <w:pPr>
              <w:rPr>
                <w:rFonts w:ascii="宋体"/>
                <w:vanish/>
              </w:rPr>
            </w:pPr>
          </w:p>
        </w:tc>
      </w:tr>
      <w:tr w:rsidR="006A3667" w14:paraId="71D478E1" w14:textId="77777777">
        <w:trPr>
          <w:hidden/>
        </w:trPr>
        <w:tc>
          <w:tcPr>
            <w:tcW w:w="0" w:type="auto"/>
            <w:gridSpan w:val="3"/>
            <w:shd w:val="clear" w:color="auto" w:fill="auto"/>
            <w:vAlign w:val="bottom"/>
          </w:tcPr>
          <w:p w14:paraId="71D478CF" w14:textId="77777777" w:rsidR="006A3667" w:rsidRDefault="006A3667">
            <w:pPr>
              <w:rPr>
                <w:rFonts w:ascii="宋体"/>
                <w:vanish/>
              </w:rPr>
            </w:pPr>
          </w:p>
        </w:tc>
        <w:tc>
          <w:tcPr>
            <w:tcW w:w="0" w:type="auto"/>
            <w:gridSpan w:val="3"/>
            <w:shd w:val="clear" w:color="auto" w:fill="auto"/>
            <w:vAlign w:val="bottom"/>
          </w:tcPr>
          <w:p w14:paraId="71D478D0" w14:textId="77777777" w:rsidR="006A3667" w:rsidRDefault="006A3667">
            <w:pPr>
              <w:rPr>
                <w:rFonts w:ascii="宋体"/>
                <w:vanish/>
              </w:rPr>
            </w:pPr>
          </w:p>
        </w:tc>
        <w:tc>
          <w:tcPr>
            <w:tcW w:w="0" w:type="auto"/>
            <w:gridSpan w:val="3"/>
            <w:shd w:val="clear" w:color="auto" w:fill="auto"/>
            <w:vAlign w:val="bottom"/>
          </w:tcPr>
          <w:p w14:paraId="71D478D1" w14:textId="77777777" w:rsidR="006A3667" w:rsidRDefault="006A3667">
            <w:pPr>
              <w:rPr>
                <w:rFonts w:ascii="宋体"/>
                <w:vanish/>
              </w:rPr>
            </w:pPr>
          </w:p>
        </w:tc>
        <w:tc>
          <w:tcPr>
            <w:tcW w:w="0" w:type="auto"/>
            <w:gridSpan w:val="3"/>
            <w:shd w:val="clear" w:color="auto" w:fill="auto"/>
            <w:vAlign w:val="bottom"/>
          </w:tcPr>
          <w:p w14:paraId="71D478D2" w14:textId="77777777" w:rsidR="006A3667" w:rsidRDefault="006A3667">
            <w:pPr>
              <w:rPr>
                <w:rFonts w:ascii="宋体"/>
                <w:vanish/>
              </w:rPr>
            </w:pPr>
          </w:p>
        </w:tc>
        <w:tc>
          <w:tcPr>
            <w:tcW w:w="0" w:type="auto"/>
            <w:gridSpan w:val="3"/>
            <w:shd w:val="clear" w:color="auto" w:fill="auto"/>
            <w:vAlign w:val="bottom"/>
          </w:tcPr>
          <w:p w14:paraId="71D478D3" w14:textId="77777777" w:rsidR="006A3667" w:rsidRDefault="006A3667">
            <w:pPr>
              <w:rPr>
                <w:rFonts w:ascii="宋体"/>
                <w:vanish/>
              </w:rPr>
            </w:pPr>
          </w:p>
        </w:tc>
        <w:tc>
          <w:tcPr>
            <w:tcW w:w="0" w:type="auto"/>
            <w:gridSpan w:val="3"/>
            <w:shd w:val="clear" w:color="auto" w:fill="auto"/>
            <w:vAlign w:val="bottom"/>
          </w:tcPr>
          <w:p w14:paraId="71D478D4" w14:textId="77777777" w:rsidR="006A3667" w:rsidRDefault="006A3667">
            <w:pPr>
              <w:rPr>
                <w:rFonts w:ascii="宋体"/>
                <w:vanish/>
              </w:rPr>
            </w:pPr>
          </w:p>
        </w:tc>
        <w:tc>
          <w:tcPr>
            <w:tcW w:w="0" w:type="auto"/>
            <w:shd w:val="clear" w:color="auto" w:fill="auto"/>
            <w:vAlign w:val="bottom"/>
          </w:tcPr>
          <w:p w14:paraId="71D478D5" w14:textId="77777777" w:rsidR="006A3667" w:rsidRDefault="006A3667">
            <w:pPr>
              <w:rPr>
                <w:rFonts w:ascii="宋体"/>
                <w:vanish/>
              </w:rPr>
            </w:pPr>
          </w:p>
        </w:tc>
        <w:tc>
          <w:tcPr>
            <w:tcW w:w="0" w:type="auto"/>
            <w:shd w:val="clear" w:color="auto" w:fill="auto"/>
            <w:vAlign w:val="bottom"/>
          </w:tcPr>
          <w:p w14:paraId="71D478D6" w14:textId="77777777" w:rsidR="006A3667" w:rsidRDefault="006A3667">
            <w:pPr>
              <w:rPr>
                <w:rFonts w:ascii="宋体"/>
                <w:vanish/>
              </w:rPr>
            </w:pPr>
          </w:p>
        </w:tc>
        <w:tc>
          <w:tcPr>
            <w:tcW w:w="0" w:type="auto"/>
            <w:gridSpan w:val="3"/>
            <w:shd w:val="clear" w:color="auto" w:fill="auto"/>
            <w:vAlign w:val="bottom"/>
          </w:tcPr>
          <w:p w14:paraId="71D478D7" w14:textId="77777777" w:rsidR="006A3667" w:rsidRDefault="006A3667">
            <w:pPr>
              <w:rPr>
                <w:rFonts w:ascii="宋体"/>
                <w:vanish/>
              </w:rPr>
            </w:pPr>
          </w:p>
        </w:tc>
        <w:tc>
          <w:tcPr>
            <w:tcW w:w="0" w:type="auto"/>
            <w:gridSpan w:val="3"/>
            <w:shd w:val="clear" w:color="auto" w:fill="auto"/>
            <w:vAlign w:val="bottom"/>
          </w:tcPr>
          <w:p w14:paraId="71D478D8" w14:textId="77777777" w:rsidR="006A3667" w:rsidRDefault="006A3667">
            <w:pPr>
              <w:rPr>
                <w:rFonts w:ascii="宋体"/>
                <w:vanish/>
              </w:rPr>
            </w:pPr>
          </w:p>
        </w:tc>
        <w:tc>
          <w:tcPr>
            <w:tcW w:w="0" w:type="auto"/>
            <w:gridSpan w:val="3"/>
            <w:shd w:val="clear" w:color="auto" w:fill="auto"/>
            <w:vAlign w:val="bottom"/>
          </w:tcPr>
          <w:p w14:paraId="71D478D9" w14:textId="77777777" w:rsidR="006A3667" w:rsidRDefault="006A3667">
            <w:pPr>
              <w:rPr>
                <w:rFonts w:ascii="宋体"/>
                <w:vanish/>
              </w:rPr>
            </w:pPr>
          </w:p>
        </w:tc>
        <w:tc>
          <w:tcPr>
            <w:tcW w:w="0" w:type="auto"/>
            <w:gridSpan w:val="3"/>
            <w:shd w:val="clear" w:color="auto" w:fill="auto"/>
            <w:vAlign w:val="bottom"/>
          </w:tcPr>
          <w:p w14:paraId="71D478DA" w14:textId="77777777" w:rsidR="006A3667" w:rsidRDefault="006A3667">
            <w:pPr>
              <w:rPr>
                <w:rFonts w:ascii="宋体"/>
                <w:vanish/>
              </w:rPr>
            </w:pPr>
          </w:p>
        </w:tc>
        <w:tc>
          <w:tcPr>
            <w:tcW w:w="0" w:type="auto"/>
            <w:gridSpan w:val="3"/>
            <w:shd w:val="clear" w:color="auto" w:fill="auto"/>
            <w:vAlign w:val="bottom"/>
          </w:tcPr>
          <w:p w14:paraId="71D478DB" w14:textId="77777777" w:rsidR="006A3667" w:rsidRDefault="006A3667">
            <w:pPr>
              <w:rPr>
                <w:rFonts w:ascii="宋体"/>
                <w:vanish/>
              </w:rPr>
            </w:pPr>
          </w:p>
        </w:tc>
        <w:tc>
          <w:tcPr>
            <w:tcW w:w="0" w:type="auto"/>
            <w:gridSpan w:val="3"/>
            <w:shd w:val="clear" w:color="auto" w:fill="auto"/>
            <w:vAlign w:val="bottom"/>
          </w:tcPr>
          <w:p w14:paraId="71D478DC" w14:textId="77777777" w:rsidR="006A3667" w:rsidRDefault="006A3667">
            <w:pPr>
              <w:rPr>
                <w:rFonts w:ascii="宋体"/>
                <w:vanish/>
              </w:rPr>
            </w:pPr>
          </w:p>
        </w:tc>
        <w:tc>
          <w:tcPr>
            <w:tcW w:w="0" w:type="auto"/>
            <w:gridSpan w:val="3"/>
            <w:shd w:val="clear" w:color="auto" w:fill="auto"/>
            <w:vAlign w:val="bottom"/>
          </w:tcPr>
          <w:p w14:paraId="71D478DD" w14:textId="77777777" w:rsidR="006A3667" w:rsidRDefault="006A3667">
            <w:pPr>
              <w:rPr>
                <w:rFonts w:ascii="宋体"/>
                <w:vanish/>
              </w:rPr>
            </w:pPr>
          </w:p>
        </w:tc>
        <w:tc>
          <w:tcPr>
            <w:tcW w:w="0" w:type="auto"/>
            <w:gridSpan w:val="3"/>
            <w:shd w:val="clear" w:color="auto" w:fill="auto"/>
            <w:vAlign w:val="bottom"/>
          </w:tcPr>
          <w:p w14:paraId="71D478DE" w14:textId="77777777" w:rsidR="006A3667" w:rsidRDefault="006A3667">
            <w:pPr>
              <w:rPr>
                <w:rFonts w:ascii="宋体"/>
                <w:vanish/>
              </w:rPr>
            </w:pPr>
          </w:p>
        </w:tc>
        <w:tc>
          <w:tcPr>
            <w:tcW w:w="0" w:type="auto"/>
            <w:gridSpan w:val="3"/>
            <w:shd w:val="clear" w:color="auto" w:fill="auto"/>
            <w:vAlign w:val="bottom"/>
          </w:tcPr>
          <w:p w14:paraId="71D478DF" w14:textId="77777777" w:rsidR="006A3667" w:rsidRDefault="006A3667">
            <w:pPr>
              <w:rPr>
                <w:rFonts w:ascii="宋体"/>
                <w:vanish/>
              </w:rPr>
            </w:pPr>
          </w:p>
        </w:tc>
        <w:tc>
          <w:tcPr>
            <w:tcW w:w="0" w:type="auto"/>
            <w:gridSpan w:val="3"/>
            <w:shd w:val="clear" w:color="auto" w:fill="auto"/>
            <w:vAlign w:val="bottom"/>
          </w:tcPr>
          <w:p w14:paraId="71D478E0" w14:textId="77777777" w:rsidR="006A3667" w:rsidRDefault="006A3667">
            <w:pPr>
              <w:rPr>
                <w:rFonts w:ascii="宋体"/>
                <w:vanish/>
              </w:rPr>
            </w:pPr>
          </w:p>
        </w:tc>
      </w:tr>
      <w:tr w:rsidR="006A3667" w14:paraId="71D478F4" w14:textId="77777777">
        <w:trPr>
          <w:hidden/>
        </w:trPr>
        <w:tc>
          <w:tcPr>
            <w:tcW w:w="0" w:type="auto"/>
            <w:gridSpan w:val="3"/>
            <w:shd w:val="clear" w:color="auto" w:fill="auto"/>
            <w:vAlign w:val="bottom"/>
          </w:tcPr>
          <w:p w14:paraId="71D478E2" w14:textId="77777777" w:rsidR="006A3667" w:rsidRDefault="006A3667">
            <w:pPr>
              <w:rPr>
                <w:rFonts w:ascii="宋体"/>
                <w:vanish/>
              </w:rPr>
            </w:pPr>
          </w:p>
        </w:tc>
        <w:tc>
          <w:tcPr>
            <w:tcW w:w="0" w:type="auto"/>
            <w:gridSpan w:val="3"/>
            <w:shd w:val="clear" w:color="auto" w:fill="auto"/>
            <w:vAlign w:val="bottom"/>
          </w:tcPr>
          <w:p w14:paraId="71D478E3" w14:textId="77777777" w:rsidR="006A3667" w:rsidRDefault="006A3667">
            <w:pPr>
              <w:rPr>
                <w:rFonts w:ascii="宋体"/>
                <w:vanish/>
              </w:rPr>
            </w:pPr>
          </w:p>
        </w:tc>
        <w:tc>
          <w:tcPr>
            <w:tcW w:w="0" w:type="auto"/>
            <w:gridSpan w:val="3"/>
            <w:shd w:val="clear" w:color="auto" w:fill="auto"/>
            <w:vAlign w:val="bottom"/>
          </w:tcPr>
          <w:p w14:paraId="71D478E4" w14:textId="77777777" w:rsidR="006A3667" w:rsidRDefault="006A3667">
            <w:pPr>
              <w:rPr>
                <w:rFonts w:ascii="宋体"/>
                <w:vanish/>
              </w:rPr>
            </w:pPr>
          </w:p>
        </w:tc>
        <w:tc>
          <w:tcPr>
            <w:tcW w:w="0" w:type="auto"/>
            <w:gridSpan w:val="3"/>
            <w:shd w:val="clear" w:color="auto" w:fill="auto"/>
            <w:vAlign w:val="bottom"/>
          </w:tcPr>
          <w:p w14:paraId="71D478E5" w14:textId="77777777" w:rsidR="006A3667" w:rsidRDefault="006A3667">
            <w:pPr>
              <w:rPr>
                <w:rFonts w:ascii="宋体"/>
                <w:vanish/>
              </w:rPr>
            </w:pPr>
          </w:p>
        </w:tc>
        <w:tc>
          <w:tcPr>
            <w:tcW w:w="0" w:type="auto"/>
            <w:gridSpan w:val="3"/>
            <w:shd w:val="clear" w:color="auto" w:fill="auto"/>
            <w:vAlign w:val="bottom"/>
          </w:tcPr>
          <w:p w14:paraId="71D478E6" w14:textId="77777777" w:rsidR="006A3667" w:rsidRDefault="006A3667">
            <w:pPr>
              <w:rPr>
                <w:rFonts w:ascii="宋体"/>
                <w:vanish/>
              </w:rPr>
            </w:pPr>
          </w:p>
        </w:tc>
        <w:tc>
          <w:tcPr>
            <w:tcW w:w="0" w:type="auto"/>
            <w:gridSpan w:val="3"/>
            <w:shd w:val="clear" w:color="auto" w:fill="auto"/>
            <w:vAlign w:val="bottom"/>
          </w:tcPr>
          <w:p w14:paraId="71D478E7" w14:textId="77777777" w:rsidR="006A3667" w:rsidRDefault="006A3667">
            <w:pPr>
              <w:rPr>
                <w:rFonts w:ascii="宋体"/>
                <w:vanish/>
              </w:rPr>
            </w:pPr>
          </w:p>
        </w:tc>
        <w:tc>
          <w:tcPr>
            <w:tcW w:w="0" w:type="auto"/>
            <w:shd w:val="clear" w:color="auto" w:fill="auto"/>
            <w:vAlign w:val="bottom"/>
          </w:tcPr>
          <w:p w14:paraId="71D478E8" w14:textId="77777777" w:rsidR="006A3667" w:rsidRDefault="006A3667">
            <w:pPr>
              <w:rPr>
                <w:rFonts w:ascii="宋体"/>
                <w:vanish/>
              </w:rPr>
            </w:pPr>
          </w:p>
        </w:tc>
        <w:tc>
          <w:tcPr>
            <w:tcW w:w="0" w:type="auto"/>
            <w:shd w:val="clear" w:color="auto" w:fill="auto"/>
            <w:vAlign w:val="bottom"/>
          </w:tcPr>
          <w:p w14:paraId="71D478E9" w14:textId="77777777" w:rsidR="006A3667" w:rsidRDefault="006A3667">
            <w:pPr>
              <w:rPr>
                <w:rFonts w:ascii="宋体"/>
                <w:vanish/>
              </w:rPr>
            </w:pPr>
          </w:p>
        </w:tc>
        <w:tc>
          <w:tcPr>
            <w:tcW w:w="0" w:type="auto"/>
            <w:gridSpan w:val="3"/>
            <w:shd w:val="clear" w:color="auto" w:fill="auto"/>
            <w:vAlign w:val="bottom"/>
          </w:tcPr>
          <w:p w14:paraId="71D478EA" w14:textId="77777777" w:rsidR="006A3667" w:rsidRDefault="006A3667">
            <w:pPr>
              <w:rPr>
                <w:rFonts w:ascii="宋体"/>
                <w:vanish/>
              </w:rPr>
            </w:pPr>
          </w:p>
        </w:tc>
        <w:tc>
          <w:tcPr>
            <w:tcW w:w="0" w:type="auto"/>
            <w:gridSpan w:val="3"/>
            <w:shd w:val="clear" w:color="auto" w:fill="auto"/>
            <w:vAlign w:val="bottom"/>
          </w:tcPr>
          <w:p w14:paraId="71D478EB" w14:textId="77777777" w:rsidR="006A3667" w:rsidRDefault="006A3667">
            <w:pPr>
              <w:rPr>
                <w:rFonts w:ascii="宋体"/>
                <w:vanish/>
              </w:rPr>
            </w:pPr>
          </w:p>
        </w:tc>
        <w:tc>
          <w:tcPr>
            <w:tcW w:w="0" w:type="auto"/>
            <w:gridSpan w:val="3"/>
            <w:shd w:val="clear" w:color="auto" w:fill="auto"/>
            <w:vAlign w:val="bottom"/>
          </w:tcPr>
          <w:p w14:paraId="71D478EC" w14:textId="77777777" w:rsidR="006A3667" w:rsidRDefault="006A3667">
            <w:pPr>
              <w:rPr>
                <w:rFonts w:ascii="宋体"/>
                <w:vanish/>
              </w:rPr>
            </w:pPr>
          </w:p>
        </w:tc>
        <w:tc>
          <w:tcPr>
            <w:tcW w:w="0" w:type="auto"/>
            <w:gridSpan w:val="3"/>
            <w:shd w:val="clear" w:color="auto" w:fill="auto"/>
            <w:vAlign w:val="bottom"/>
          </w:tcPr>
          <w:p w14:paraId="71D478ED" w14:textId="77777777" w:rsidR="006A3667" w:rsidRDefault="006A3667">
            <w:pPr>
              <w:rPr>
                <w:rFonts w:ascii="宋体"/>
                <w:vanish/>
              </w:rPr>
            </w:pPr>
          </w:p>
        </w:tc>
        <w:tc>
          <w:tcPr>
            <w:tcW w:w="0" w:type="auto"/>
            <w:gridSpan w:val="3"/>
            <w:shd w:val="clear" w:color="auto" w:fill="auto"/>
            <w:vAlign w:val="bottom"/>
          </w:tcPr>
          <w:p w14:paraId="71D478EE" w14:textId="77777777" w:rsidR="006A3667" w:rsidRDefault="006A3667">
            <w:pPr>
              <w:rPr>
                <w:rFonts w:ascii="宋体"/>
                <w:vanish/>
              </w:rPr>
            </w:pPr>
          </w:p>
        </w:tc>
        <w:tc>
          <w:tcPr>
            <w:tcW w:w="0" w:type="auto"/>
            <w:gridSpan w:val="3"/>
            <w:shd w:val="clear" w:color="auto" w:fill="auto"/>
            <w:vAlign w:val="bottom"/>
          </w:tcPr>
          <w:p w14:paraId="71D478EF" w14:textId="77777777" w:rsidR="006A3667" w:rsidRDefault="006A3667">
            <w:pPr>
              <w:rPr>
                <w:rFonts w:ascii="宋体"/>
                <w:vanish/>
              </w:rPr>
            </w:pPr>
          </w:p>
        </w:tc>
        <w:tc>
          <w:tcPr>
            <w:tcW w:w="0" w:type="auto"/>
            <w:gridSpan w:val="3"/>
            <w:shd w:val="clear" w:color="auto" w:fill="auto"/>
            <w:vAlign w:val="bottom"/>
          </w:tcPr>
          <w:p w14:paraId="71D478F0" w14:textId="77777777" w:rsidR="006A3667" w:rsidRDefault="006A3667">
            <w:pPr>
              <w:rPr>
                <w:rFonts w:ascii="宋体"/>
                <w:vanish/>
              </w:rPr>
            </w:pPr>
          </w:p>
        </w:tc>
        <w:tc>
          <w:tcPr>
            <w:tcW w:w="0" w:type="auto"/>
            <w:gridSpan w:val="3"/>
            <w:shd w:val="clear" w:color="auto" w:fill="auto"/>
            <w:vAlign w:val="bottom"/>
          </w:tcPr>
          <w:p w14:paraId="71D478F1" w14:textId="77777777" w:rsidR="006A3667" w:rsidRDefault="006A3667">
            <w:pPr>
              <w:rPr>
                <w:rFonts w:ascii="宋体"/>
                <w:vanish/>
              </w:rPr>
            </w:pPr>
          </w:p>
        </w:tc>
        <w:tc>
          <w:tcPr>
            <w:tcW w:w="0" w:type="auto"/>
            <w:gridSpan w:val="3"/>
            <w:shd w:val="clear" w:color="auto" w:fill="auto"/>
            <w:vAlign w:val="bottom"/>
          </w:tcPr>
          <w:p w14:paraId="71D478F2" w14:textId="77777777" w:rsidR="006A3667" w:rsidRDefault="006A3667">
            <w:pPr>
              <w:rPr>
                <w:rFonts w:ascii="宋体"/>
                <w:vanish/>
              </w:rPr>
            </w:pPr>
          </w:p>
        </w:tc>
        <w:tc>
          <w:tcPr>
            <w:tcW w:w="0" w:type="auto"/>
            <w:gridSpan w:val="3"/>
            <w:shd w:val="clear" w:color="auto" w:fill="auto"/>
            <w:vAlign w:val="bottom"/>
          </w:tcPr>
          <w:p w14:paraId="71D478F3" w14:textId="77777777" w:rsidR="006A3667" w:rsidRDefault="006A3667">
            <w:pPr>
              <w:rPr>
                <w:rFonts w:ascii="宋体"/>
                <w:vanish/>
              </w:rPr>
            </w:pPr>
          </w:p>
        </w:tc>
      </w:tr>
      <w:tr w:rsidR="006A3667" w14:paraId="71D4790F" w14:textId="77777777">
        <w:tc>
          <w:tcPr>
            <w:tcW w:w="0" w:type="auto"/>
            <w:gridSpan w:val="3"/>
            <w:shd w:val="clear" w:color="auto" w:fill="CCEEFF"/>
            <w:tcMar>
              <w:top w:w="40" w:type="dxa"/>
              <w:left w:w="20" w:type="dxa"/>
              <w:bottom w:w="40" w:type="dxa"/>
              <w:right w:w="20" w:type="dxa"/>
            </w:tcMar>
            <w:vAlign w:val="bottom"/>
          </w:tcPr>
          <w:p w14:paraId="71D478F5" w14:textId="77777777" w:rsidR="006A3667" w:rsidRDefault="00045F32">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71D478F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8F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8F8"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8F9" w14:textId="77777777" w:rsidR="006A3667" w:rsidRDefault="00045F32">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8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8F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8FC"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8FD" w14:textId="77777777" w:rsidR="006A3667" w:rsidRDefault="00045F32">
            <w:pPr>
              <w:jc w:val="right"/>
              <w:textAlignment w:val="bottom"/>
            </w:pPr>
            <w:r>
              <w:rPr>
                <w:rFonts w:ascii="Arial" w:eastAsia="宋体" w:hAnsi="Arial" w:cs="Arial"/>
                <w:color w:val="000000"/>
                <w:sz w:val="13"/>
                <w:szCs w:val="13"/>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8FE" w14:textId="77777777" w:rsidR="006A3667" w:rsidRDefault="006A3667">
            <w:pPr>
              <w:jc w:val="right"/>
              <w:rPr>
                <w:rFonts w:ascii="宋体"/>
              </w:rPr>
            </w:pPr>
          </w:p>
        </w:tc>
        <w:tc>
          <w:tcPr>
            <w:tcW w:w="0" w:type="auto"/>
            <w:shd w:val="clear" w:color="auto" w:fill="auto"/>
            <w:vAlign w:val="bottom"/>
          </w:tcPr>
          <w:p w14:paraId="71D478FF" w14:textId="77777777" w:rsidR="006A3667" w:rsidRDefault="006A3667">
            <w:pPr>
              <w:rPr>
                <w:rFonts w:ascii="宋体"/>
                <w:vanish/>
              </w:rPr>
            </w:pPr>
          </w:p>
        </w:tc>
        <w:tc>
          <w:tcPr>
            <w:tcW w:w="0" w:type="auto"/>
            <w:shd w:val="clear" w:color="auto" w:fill="auto"/>
            <w:vAlign w:val="bottom"/>
          </w:tcPr>
          <w:p w14:paraId="71D47900"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90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0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0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0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0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906"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907" w14:textId="77777777" w:rsidR="006A3667" w:rsidRDefault="00045F32">
            <w:pPr>
              <w:jc w:val="right"/>
              <w:textAlignment w:val="bottom"/>
            </w:pPr>
            <w:r>
              <w:rPr>
                <w:rFonts w:ascii="Arial" w:eastAsia="宋体" w:hAnsi="Arial" w:cs="Arial"/>
                <w:b/>
                <w:bCs/>
                <w:color w:val="000000"/>
                <w:sz w:val="13"/>
                <w:szCs w:val="13"/>
              </w:rPr>
              <w:t>(88)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9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90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90A"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90B" w14:textId="77777777" w:rsidR="006A3667" w:rsidRDefault="00045F32">
            <w:pPr>
              <w:jc w:val="right"/>
              <w:textAlignment w:val="bottom"/>
            </w:pPr>
            <w:r>
              <w:rPr>
                <w:rFonts w:ascii="Arial" w:eastAsia="宋体" w:hAnsi="Arial" w:cs="Arial"/>
                <w:color w:val="000000"/>
                <w:sz w:val="13"/>
                <w:szCs w:val="13"/>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90C" w14:textId="77777777" w:rsidR="006A3667" w:rsidRDefault="006A3667">
            <w:pPr>
              <w:jc w:val="right"/>
              <w:rPr>
                <w:rFonts w:ascii="宋体"/>
              </w:rPr>
            </w:pPr>
          </w:p>
        </w:tc>
        <w:tc>
          <w:tcPr>
            <w:tcW w:w="0" w:type="auto"/>
            <w:gridSpan w:val="3"/>
            <w:shd w:val="clear" w:color="auto" w:fill="auto"/>
            <w:vAlign w:val="bottom"/>
          </w:tcPr>
          <w:p w14:paraId="71D4790D" w14:textId="77777777" w:rsidR="006A3667" w:rsidRDefault="006A3667">
            <w:pPr>
              <w:rPr>
                <w:rFonts w:ascii="宋体"/>
                <w:vanish/>
              </w:rPr>
            </w:pPr>
          </w:p>
        </w:tc>
        <w:tc>
          <w:tcPr>
            <w:tcW w:w="0" w:type="auto"/>
            <w:gridSpan w:val="3"/>
            <w:shd w:val="clear" w:color="auto" w:fill="auto"/>
            <w:vAlign w:val="bottom"/>
          </w:tcPr>
          <w:p w14:paraId="71D4790E" w14:textId="77777777" w:rsidR="006A3667" w:rsidRDefault="006A3667">
            <w:pPr>
              <w:rPr>
                <w:rFonts w:ascii="宋体"/>
                <w:vanish/>
              </w:rPr>
            </w:pPr>
          </w:p>
        </w:tc>
      </w:tr>
      <w:tr w:rsidR="006A3667" w14:paraId="71D47922" w14:textId="77777777">
        <w:trPr>
          <w:trHeight w:val="100"/>
        </w:trPr>
        <w:tc>
          <w:tcPr>
            <w:tcW w:w="0" w:type="auto"/>
            <w:gridSpan w:val="3"/>
            <w:shd w:val="clear" w:color="auto" w:fill="auto"/>
            <w:tcMar>
              <w:top w:w="0" w:type="dxa"/>
              <w:left w:w="20" w:type="dxa"/>
              <w:bottom w:w="0" w:type="dxa"/>
              <w:right w:w="20" w:type="dxa"/>
            </w:tcMar>
            <w:vAlign w:val="bottom"/>
          </w:tcPr>
          <w:p w14:paraId="71D4791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1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12"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91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14"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915" w14:textId="77777777" w:rsidR="006A3667" w:rsidRDefault="006A3667">
            <w:pPr>
              <w:rPr>
                <w:rFonts w:ascii="宋体"/>
              </w:rPr>
            </w:pPr>
          </w:p>
        </w:tc>
        <w:tc>
          <w:tcPr>
            <w:tcW w:w="0" w:type="auto"/>
            <w:shd w:val="clear" w:color="auto" w:fill="auto"/>
            <w:vAlign w:val="bottom"/>
          </w:tcPr>
          <w:p w14:paraId="71D47916" w14:textId="77777777" w:rsidR="006A3667" w:rsidRDefault="006A3667">
            <w:pPr>
              <w:rPr>
                <w:rFonts w:ascii="宋体"/>
                <w:vanish/>
              </w:rPr>
            </w:pPr>
          </w:p>
        </w:tc>
        <w:tc>
          <w:tcPr>
            <w:tcW w:w="0" w:type="auto"/>
            <w:shd w:val="clear" w:color="auto" w:fill="auto"/>
            <w:vAlign w:val="bottom"/>
          </w:tcPr>
          <w:p w14:paraId="71D47917"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91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1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1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1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1C"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91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1E"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91F" w14:textId="77777777" w:rsidR="006A3667" w:rsidRDefault="006A3667">
            <w:pPr>
              <w:rPr>
                <w:rFonts w:ascii="宋体"/>
              </w:rPr>
            </w:pPr>
          </w:p>
        </w:tc>
        <w:tc>
          <w:tcPr>
            <w:tcW w:w="0" w:type="auto"/>
            <w:gridSpan w:val="3"/>
            <w:shd w:val="clear" w:color="auto" w:fill="auto"/>
            <w:vAlign w:val="bottom"/>
          </w:tcPr>
          <w:p w14:paraId="71D47920" w14:textId="77777777" w:rsidR="006A3667" w:rsidRDefault="006A3667">
            <w:pPr>
              <w:rPr>
                <w:rFonts w:ascii="宋体"/>
                <w:vanish/>
              </w:rPr>
            </w:pPr>
          </w:p>
        </w:tc>
        <w:tc>
          <w:tcPr>
            <w:tcW w:w="0" w:type="auto"/>
            <w:gridSpan w:val="3"/>
            <w:shd w:val="clear" w:color="auto" w:fill="auto"/>
            <w:vAlign w:val="bottom"/>
          </w:tcPr>
          <w:p w14:paraId="71D47921" w14:textId="77777777" w:rsidR="006A3667" w:rsidRDefault="006A3667">
            <w:pPr>
              <w:rPr>
                <w:rFonts w:ascii="宋体"/>
                <w:vanish/>
              </w:rPr>
            </w:pPr>
          </w:p>
        </w:tc>
      </w:tr>
      <w:tr w:rsidR="006A3667" w14:paraId="71D47931" w14:textId="77777777">
        <w:tc>
          <w:tcPr>
            <w:tcW w:w="0" w:type="auto"/>
            <w:gridSpan w:val="3"/>
            <w:shd w:val="clear" w:color="auto" w:fill="auto"/>
            <w:tcMar>
              <w:top w:w="0" w:type="dxa"/>
              <w:left w:w="20" w:type="dxa"/>
              <w:bottom w:w="0" w:type="dxa"/>
              <w:right w:w="20" w:type="dxa"/>
            </w:tcMar>
            <w:vAlign w:val="bottom"/>
          </w:tcPr>
          <w:p w14:paraId="71D4792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2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25"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926" w14:textId="77777777" w:rsidR="006A3667" w:rsidRDefault="00045F32">
            <w:pPr>
              <w:jc w:val="center"/>
              <w:textAlignment w:val="bottom"/>
            </w:pPr>
            <w:r>
              <w:rPr>
                <w:rFonts w:ascii="Arial" w:eastAsia="宋体" w:hAnsi="Arial" w:cs="Arial"/>
                <w:b/>
                <w:bCs/>
                <w:color w:val="000000"/>
                <w:sz w:val="13"/>
                <w:szCs w:val="13"/>
              </w:rPr>
              <w:t xml:space="preserve">Nine Months Ended </w:t>
            </w:r>
            <w:r>
              <w:rPr>
                <w:rFonts w:ascii="Arial" w:eastAsia="宋体" w:hAnsi="Arial" w:cs="Arial"/>
                <w:b/>
                <w:bCs/>
                <w:color w:val="000000"/>
                <w:sz w:val="13"/>
                <w:szCs w:val="13"/>
              </w:rPr>
              <w:t>September 30,</w:t>
            </w:r>
          </w:p>
        </w:tc>
        <w:tc>
          <w:tcPr>
            <w:tcW w:w="0" w:type="auto"/>
            <w:shd w:val="clear" w:color="auto" w:fill="auto"/>
            <w:vAlign w:val="bottom"/>
          </w:tcPr>
          <w:p w14:paraId="71D47927" w14:textId="77777777" w:rsidR="006A3667" w:rsidRDefault="006A3667">
            <w:pPr>
              <w:rPr>
                <w:rFonts w:ascii="宋体"/>
                <w:vanish/>
              </w:rPr>
            </w:pPr>
          </w:p>
        </w:tc>
        <w:tc>
          <w:tcPr>
            <w:tcW w:w="0" w:type="auto"/>
            <w:shd w:val="clear" w:color="auto" w:fill="auto"/>
            <w:vAlign w:val="bottom"/>
          </w:tcPr>
          <w:p w14:paraId="71D47928"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92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2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2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2D"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92E" w14:textId="77777777" w:rsidR="006A3667" w:rsidRDefault="00045F32">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vAlign w:val="bottom"/>
          </w:tcPr>
          <w:p w14:paraId="71D4792F" w14:textId="77777777" w:rsidR="006A3667" w:rsidRDefault="006A3667">
            <w:pPr>
              <w:rPr>
                <w:rFonts w:ascii="宋体"/>
                <w:vanish/>
              </w:rPr>
            </w:pPr>
          </w:p>
        </w:tc>
        <w:tc>
          <w:tcPr>
            <w:tcW w:w="0" w:type="auto"/>
            <w:gridSpan w:val="3"/>
            <w:shd w:val="clear" w:color="auto" w:fill="auto"/>
            <w:vAlign w:val="bottom"/>
          </w:tcPr>
          <w:p w14:paraId="71D47930" w14:textId="77777777" w:rsidR="006A3667" w:rsidRDefault="006A3667">
            <w:pPr>
              <w:rPr>
                <w:rFonts w:ascii="宋体"/>
                <w:vanish/>
              </w:rPr>
            </w:pPr>
          </w:p>
        </w:tc>
      </w:tr>
      <w:tr w:rsidR="006A3667" w14:paraId="71D47944" w14:textId="77777777">
        <w:tc>
          <w:tcPr>
            <w:tcW w:w="0" w:type="auto"/>
            <w:gridSpan w:val="3"/>
            <w:shd w:val="clear" w:color="auto" w:fill="FFFFFF"/>
            <w:tcMar>
              <w:top w:w="0" w:type="dxa"/>
              <w:left w:w="20" w:type="dxa"/>
              <w:bottom w:w="0" w:type="dxa"/>
              <w:right w:w="20" w:type="dxa"/>
            </w:tcMar>
            <w:vAlign w:val="bottom"/>
          </w:tcPr>
          <w:p w14:paraId="71D4793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93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3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935"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36"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937" w14:textId="77777777" w:rsidR="006A3667" w:rsidRDefault="00045F32">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71D47938" w14:textId="77777777" w:rsidR="006A3667" w:rsidRDefault="006A3667">
            <w:pPr>
              <w:rPr>
                <w:rFonts w:ascii="宋体"/>
                <w:vanish/>
              </w:rPr>
            </w:pPr>
          </w:p>
        </w:tc>
        <w:tc>
          <w:tcPr>
            <w:tcW w:w="0" w:type="auto"/>
            <w:shd w:val="clear" w:color="auto" w:fill="auto"/>
            <w:vAlign w:val="bottom"/>
          </w:tcPr>
          <w:p w14:paraId="71D47939"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793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93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93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93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3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93F"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40"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941"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71D47942" w14:textId="77777777" w:rsidR="006A3667" w:rsidRDefault="006A3667">
            <w:pPr>
              <w:rPr>
                <w:rFonts w:ascii="宋体"/>
                <w:vanish/>
              </w:rPr>
            </w:pPr>
          </w:p>
        </w:tc>
        <w:tc>
          <w:tcPr>
            <w:tcW w:w="0" w:type="auto"/>
            <w:gridSpan w:val="3"/>
            <w:shd w:val="clear" w:color="auto" w:fill="auto"/>
            <w:vAlign w:val="bottom"/>
          </w:tcPr>
          <w:p w14:paraId="71D47943" w14:textId="77777777" w:rsidR="006A3667" w:rsidRDefault="006A3667">
            <w:pPr>
              <w:rPr>
                <w:rFonts w:ascii="宋体"/>
                <w:vanish/>
              </w:rPr>
            </w:pPr>
          </w:p>
        </w:tc>
      </w:tr>
      <w:tr w:rsidR="006A3667" w14:paraId="71D47953" w14:textId="77777777">
        <w:tc>
          <w:tcPr>
            <w:tcW w:w="0" w:type="auto"/>
            <w:gridSpan w:val="3"/>
            <w:shd w:val="clear" w:color="auto" w:fill="auto"/>
            <w:tcMar>
              <w:top w:w="40" w:type="dxa"/>
              <w:left w:w="20" w:type="dxa"/>
              <w:bottom w:w="40" w:type="dxa"/>
              <w:right w:w="20" w:type="dxa"/>
            </w:tcMar>
            <w:vAlign w:val="bottom"/>
          </w:tcPr>
          <w:p w14:paraId="71D47945"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1D47946" w14:textId="77777777" w:rsidR="006A3667" w:rsidRDefault="00045F32">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71D47947" w14:textId="77777777" w:rsidR="006A3667" w:rsidRDefault="006A3667">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71D47948" w14:textId="77777777" w:rsidR="006A3667" w:rsidRDefault="00045F32">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71D47949" w14:textId="77777777" w:rsidR="006A3667" w:rsidRDefault="006A3667">
            <w:pPr>
              <w:rPr>
                <w:rFonts w:ascii="宋体"/>
                <w:vanish/>
              </w:rPr>
            </w:pPr>
          </w:p>
        </w:tc>
        <w:tc>
          <w:tcPr>
            <w:tcW w:w="0" w:type="auto"/>
            <w:shd w:val="clear" w:color="auto" w:fill="auto"/>
            <w:vAlign w:val="bottom"/>
          </w:tcPr>
          <w:p w14:paraId="71D4794A"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94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94C" w14:textId="77777777" w:rsidR="006A3667" w:rsidRDefault="00045F32">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71D4794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94E" w14:textId="77777777" w:rsidR="006A3667" w:rsidRDefault="00045F32">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71D4794F" w14:textId="77777777" w:rsidR="006A3667" w:rsidRDefault="006A3667">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71D47950" w14:textId="77777777" w:rsidR="006A3667" w:rsidRDefault="00045F32">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gridSpan w:val="3"/>
            <w:shd w:val="clear" w:color="auto" w:fill="auto"/>
            <w:vAlign w:val="bottom"/>
          </w:tcPr>
          <w:p w14:paraId="71D47951" w14:textId="77777777" w:rsidR="006A3667" w:rsidRDefault="006A3667">
            <w:pPr>
              <w:rPr>
                <w:rFonts w:ascii="宋体"/>
                <w:vanish/>
              </w:rPr>
            </w:pPr>
          </w:p>
        </w:tc>
        <w:tc>
          <w:tcPr>
            <w:tcW w:w="0" w:type="auto"/>
            <w:gridSpan w:val="3"/>
            <w:shd w:val="clear" w:color="auto" w:fill="auto"/>
            <w:vAlign w:val="bottom"/>
          </w:tcPr>
          <w:p w14:paraId="71D47952" w14:textId="77777777" w:rsidR="006A3667" w:rsidRDefault="006A3667">
            <w:pPr>
              <w:rPr>
                <w:rFonts w:ascii="宋体"/>
                <w:vanish/>
              </w:rPr>
            </w:pPr>
          </w:p>
        </w:tc>
      </w:tr>
      <w:tr w:rsidR="006A3667" w14:paraId="71D47966" w14:textId="77777777">
        <w:tc>
          <w:tcPr>
            <w:tcW w:w="0" w:type="auto"/>
            <w:gridSpan w:val="3"/>
            <w:shd w:val="clear" w:color="auto" w:fill="FFFFFF"/>
            <w:tcMar>
              <w:top w:w="40" w:type="dxa"/>
              <w:left w:w="20" w:type="dxa"/>
              <w:bottom w:w="40" w:type="dxa"/>
              <w:right w:w="20" w:type="dxa"/>
            </w:tcMar>
            <w:vAlign w:val="bottom"/>
          </w:tcPr>
          <w:p w14:paraId="71D47954" w14:textId="77777777" w:rsidR="006A3667" w:rsidRDefault="00045F32">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795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95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5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5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59" w14:textId="77777777" w:rsidR="006A3667" w:rsidRDefault="006A3667">
            <w:pPr>
              <w:rPr>
                <w:rFonts w:ascii="宋体"/>
              </w:rPr>
            </w:pPr>
          </w:p>
        </w:tc>
        <w:tc>
          <w:tcPr>
            <w:tcW w:w="0" w:type="auto"/>
            <w:shd w:val="clear" w:color="auto" w:fill="auto"/>
            <w:vAlign w:val="bottom"/>
          </w:tcPr>
          <w:p w14:paraId="71D4795A" w14:textId="77777777" w:rsidR="006A3667" w:rsidRDefault="006A3667">
            <w:pPr>
              <w:rPr>
                <w:rFonts w:ascii="宋体"/>
                <w:vanish/>
              </w:rPr>
            </w:pPr>
          </w:p>
        </w:tc>
        <w:tc>
          <w:tcPr>
            <w:tcW w:w="0" w:type="auto"/>
            <w:shd w:val="clear" w:color="auto" w:fill="auto"/>
            <w:vAlign w:val="bottom"/>
          </w:tcPr>
          <w:p w14:paraId="71D4795B"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95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5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5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5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96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6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6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963" w14:textId="77777777" w:rsidR="006A3667" w:rsidRDefault="006A3667">
            <w:pPr>
              <w:rPr>
                <w:rFonts w:ascii="宋体"/>
              </w:rPr>
            </w:pPr>
          </w:p>
        </w:tc>
        <w:tc>
          <w:tcPr>
            <w:tcW w:w="0" w:type="auto"/>
            <w:gridSpan w:val="3"/>
            <w:shd w:val="clear" w:color="auto" w:fill="auto"/>
            <w:vAlign w:val="bottom"/>
          </w:tcPr>
          <w:p w14:paraId="71D47964" w14:textId="77777777" w:rsidR="006A3667" w:rsidRDefault="006A3667">
            <w:pPr>
              <w:rPr>
                <w:rFonts w:ascii="宋体"/>
                <w:vanish/>
              </w:rPr>
            </w:pPr>
          </w:p>
        </w:tc>
        <w:tc>
          <w:tcPr>
            <w:tcW w:w="0" w:type="auto"/>
            <w:gridSpan w:val="3"/>
            <w:shd w:val="clear" w:color="auto" w:fill="auto"/>
            <w:vAlign w:val="bottom"/>
          </w:tcPr>
          <w:p w14:paraId="71D47965" w14:textId="77777777" w:rsidR="006A3667" w:rsidRDefault="006A3667">
            <w:pPr>
              <w:rPr>
                <w:rFonts w:ascii="宋体"/>
                <w:vanish/>
              </w:rPr>
            </w:pPr>
          </w:p>
        </w:tc>
      </w:tr>
      <w:tr w:rsidR="006A3667" w14:paraId="71D47979" w14:textId="77777777">
        <w:trPr>
          <w:hidden/>
        </w:trPr>
        <w:tc>
          <w:tcPr>
            <w:tcW w:w="0" w:type="auto"/>
            <w:gridSpan w:val="3"/>
            <w:shd w:val="clear" w:color="auto" w:fill="auto"/>
            <w:vAlign w:val="bottom"/>
          </w:tcPr>
          <w:p w14:paraId="71D47967" w14:textId="77777777" w:rsidR="006A3667" w:rsidRDefault="006A3667">
            <w:pPr>
              <w:rPr>
                <w:rFonts w:ascii="宋体"/>
                <w:vanish/>
              </w:rPr>
            </w:pPr>
          </w:p>
        </w:tc>
        <w:tc>
          <w:tcPr>
            <w:tcW w:w="0" w:type="auto"/>
            <w:gridSpan w:val="3"/>
            <w:shd w:val="clear" w:color="auto" w:fill="auto"/>
            <w:vAlign w:val="bottom"/>
          </w:tcPr>
          <w:p w14:paraId="71D47968" w14:textId="77777777" w:rsidR="006A3667" w:rsidRDefault="006A3667">
            <w:pPr>
              <w:rPr>
                <w:rFonts w:ascii="宋体"/>
                <w:vanish/>
              </w:rPr>
            </w:pPr>
          </w:p>
        </w:tc>
        <w:tc>
          <w:tcPr>
            <w:tcW w:w="0" w:type="auto"/>
            <w:gridSpan w:val="3"/>
            <w:shd w:val="clear" w:color="auto" w:fill="auto"/>
            <w:vAlign w:val="bottom"/>
          </w:tcPr>
          <w:p w14:paraId="71D47969" w14:textId="77777777" w:rsidR="006A3667" w:rsidRDefault="006A3667">
            <w:pPr>
              <w:rPr>
                <w:rFonts w:ascii="宋体"/>
                <w:vanish/>
              </w:rPr>
            </w:pPr>
          </w:p>
        </w:tc>
        <w:tc>
          <w:tcPr>
            <w:tcW w:w="0" w:type="auto"/>
            <w:gridSpan w:val="3"/>
            <w:shd w:val="clear" w:color="auto" w:fill="auto"/>
            <w:vAlign w:val="bottom"/>
          </w:tcPr>
          <w:p w14:paraId="71D4796A" w14:textId="77777777" w:rsidR="006A3667" w:rsidRDefault="006A3667">
            <w:pPr>
              <w:rPr>
                <w:rFonts w:ascii="宋体"/>
                <w:vanish/>
              </w:rPr>
            </w:pPr>
          </w:p>
        </w:tc>
        <w:tc>
          <w:tcPr>
            <w:tcW w:w="0" w:type="auto"/>
            <w:gridSpan w:val="3"/>
            <w:shd w:val="clear" w:color="auto" w:fill="auto"/>
            <w:vAlign w:val="bottom"/>
          </w:tcPr>
          <w:p w14:paraId="71D4796B" w14:textId="77777777" w:rsidR="006A3667" w:rsidRDefault="006A3667">
            <w:pPr>
              <w:rPr>
                <w:rFonts w:ascii="宋体"/>
                <w:vanish/>
              </w:rPr>
            </w:pPr>
          </w:p>
        </w:tc>
        <w:tc>
          <w:tcPr>
            <w:tcW w:w="0" w:type="auto"/>
            <w:gridSpan w:val="3"/>
            <w:shd w:val="clear" w:color="auto" w:fill="auto"/>
            <w:vAlign w:val="bottom"/>
          </w:tcPr>
          <w:p w14:paraId="71D4796C" w14:textId="77777777" w:rsidR="006A3667" w:rsidRDefault="006A3667">
            <w:pPr>
              <w:rPr>
                <w:rFonts w:ascii="宋体"/>
                <w:vanish/>
              </w:rPr>
            </w:pPr>
          </w:p>
        </w:tc>
        <w:tc>
          <w:tcPr>
            <w:tcW w:w="0" w:type="auto"/>
            <w:shd w:val="clear" w:color="auto" w:fill="auto"/>
            <w:vAlign w:val="bottom"/>
          </w:tcPr>
          <w:p w14:paraId="71D4796D" w14:textId="77777777" w:rsidR="006A3667" w:rsidRDefault="006A3667">
            <w:pPr>
              <w:rPr>
                <w:rFonts w:ascii="宋体"/>
                <w:vanish/>
              </w:rPr>
            </w:pPr>
          </w:p>
        </w:tc>
        <w:tc>
          <w:tcPr>
            <w:tcW w:w="0" w:type="auto"/>
            <w:shd w:val="clear" w:color="auto" w:fill="auto"/>
            <w:vAlign w:val="bottom"/>
          </w:tcPr>
          <w:p w14:paraId="71D4796E" w14:textId="77777777" w:rsidR="006A3667" w:rsidRDefault="006A3667">
            <w:pPr>
              <w:rPr>
                <w:rFonts w:ascii="宋体"/>
                <w:vanish/>
              </w:rPr>
            </w:pPr>
          </w:p>
        </w:tc>
        <w:tc>
          <w:tcPr>
            <w:tcW w:w="0" w:type="auto"/>
            <w:gridSpan w:val="3"/>
            <w:shd w:val="clear" w:color="auto" w:fill="auto"/>
            <w:vAlign w:val="bottom"/>
          </w:tcPr>
          <w:p w14:paraId="71D4796F" w14:textId="77777777" w:rsidR="006A3667" w:rsidRDefault="006A3667">
            <w:pPr>
              <w:rPr>
                <w:rFonts w:ascii="宋体"/>
                <w:vanish/>
              </w:rPr>
            </w:pPr>
          </w:p>
        </w:tc>
        <w:tc>
          <w:tcPr>
            <w:tcW w:w="0" w:type="auto"/>
            <w:gridSpan w:val="3"/>
            <w:shd w:val="clear" w:color="auto" w:fill="auto"/>
            <w:vAlign w:val="bottom"/>
          </w:tcPr>
          <w:p w14:paraId="71D47970" w14:textId="77777777" w:rsidR="006A3667" w:rsidRDefault="006A3667">
            <w:pPr>
              <w:rPr>
                <w:rFonts w:ascii="宋体"/>
                <w:vanish/>
              </w:rPr>
            </w:pPr>
          </w:p>
        </w:tc>
        <w:tc>
          <w:tcPr>
            <w:tcW w:w="0" w:type="auto"/>
            <w:gridSpan w:val="3"/>
            <w:shd w:val="clear" w:color="auto" w:fill="auto"/>
            <w:vAlign w:val="bottom"/>
          </w:tcPr>
          <w:p w14:paraId="71D47971" w14:textId="77777777" w:rsidR="006A3667" w:rsidRDefault="006A3667">
            <w:pPr>
              <w:rPr>
                <w:rFonts w:ascii="宋体"/>
                <w:vanish/>
              </w:rPr>
            </w:pPr>
          </w:p>
        </w:tc>
        <w:tc>
          <w:tcPr>
            <w:tcW w:w="0" w:type="auto"/>
            <w:gridSpan w:val="3"/>
            <w:shd w:val="clear" w:color="auto" w:fill="auto"/>
            <w:vAlign w:val="bottom"/>
          </w:tcPr>
          <w:p w14:paraId="71D47972" w14:textId="77777777" w:rsidR="006A3667" w:rsidRDefault="006A3667">
            <w:pPr>
              <w:rPr>
                <w:rFonts w:ascii="宋体"/>
                <w:vanish/>
              </w:rPr>
            </w:pPr>
          </w:p>
        </w:tc>
        <w:tc>
          <w:tcPr>
            <w:tcW w:w="0" w:type="auto"/>
            <w:gridSpan w:val="3"/>
            <w:shd w:val="clear" w:color="auto" w:fill="auto"/>
            <w:vAlign w:val="bottom"/>
          </w:tcPr>
          <w:p w14:paraId="71D47973" w14:textId="77777777" w:rsidR="006A3667" w:rsidRDefault="006A3667">
            <w:pPr>
              <w:rPr>
                <w:rFonts w:ascii="宋体"/>
                <w:vanish/>
              </w:rPr>
            </w:pPr>
          </w:p>
        </w:tc>
        <w:tc>
          <w:tcPr>
            <w:tcW w:w="0" w:type="auto"/>
            <w:gridSpan w:val="3"/>
            <w:shd w:val="clear" w:color="auto" w:fill="auto"/>
            <w:vAlign w:val="bottom"/>
          </w:tcPr>
          <w:p w14:paraId="71D47974" w14:textId="77777777" w:rsidR="006A3667" w:rsidRDefault="006A3667">
            <w:pPr>
              <w:rPr>
                <w:rFonts w:ascii="宋体"/>
                <w:vanish/>
              </w:rPr>
            </w:pPr>
          </w:p>
        </w:tc>
        <w:tc>
          <w:tcPr>
            <w:tcW w:w="0" w:type="auto"/>
            <w:gridSpan w:val="3"/>
            <w:shd w:val="clear" w:color="auto" w:fill="auto"/>
            <w:vAlign w:val="bottom"/>
          </w:tcPr>
          <w:p w14:paraId="71D47975" w14:textId="77777777" w:rsidR="006A3667" w:rsidRDefault="006A3667">
            <w:pPr>
              <w:rPr>
                <w:rFonts w:ascii="宋体"/>
                <w:vanish/>
              </w:rPr>
            </w:pPr>
          </w:p>
        </w:tc>
        <w:tc>
          <w:tcPr>
            <w:tcW w:w="0" w:type="auto"/>
            <w:gridSpan w:val="3"/>
            <w:shd w:val="clear" w:color="auto" w:fill="auto"/>
            <w:vAlign w:val="bottom"/>
          </w:tcPr>
          <w:p w14:paraId="71D47976" w14:textId="77777777" w:rsidR="006A3667" w:rsidRDefault="006A3667">
            <w:pPr>
              <w:rPr>
                <w:rFonts w:ascii="宋体"/>
                <w:vanish/>
              </w:rPr>
            </w:pPr>
          </w:p>
        </w:tc>
        <w:tc>
          <w:tcPr>
            <w:tcW w:w="0" w:type="auto"/>
            <w:gridSpan w:val="3"/>
            <w:shd w:val="clear" w:color="auto" w:fill="auto"/>
            <w:vAlign w:val="bottom"/>
          </w:tcPr>
          <w:p w14:paraId="71D47977" w14:textId="77777777" w:rsidR="006A3667" w:rsidRDefault="006A3667">
            <w:pPr>
              <w:rPr>
                <w:rFonts w:ascii="宋体"/>
                <w:vanish/>
              </w:rPr>
            </w:pPr>
          </w:p>
        </w:tc>
        <w:tc>
          <w:tcPr>
            <w:tcW w:w="0" w:type="auto"/>
            <w:gridSpan w:val="3"/>
            <w:shd w:val="clear" w:color="auto" w:fill="auto"/>
            <w:vAlign w:val="bottom"/>
          </w:tcPr>
          <w:p w14:paraId="71D47978" w14:textId="77777777" w:rsidR="006A3667" w:rsidRDefault="006A3667">
            <w:pPr>
              <w:rPr>
                <w:rFonts w:ascii="宋体"/>
                <w:vanish/>
              </w:rPr>
            </w:pPr>
          </w:p>
        </w:tc>
      </w:tr>
      <w:tr w:rsidR="006A3667" w14:paraId="71D4798C" w14:textId="77777777">
        <w:trPr>
          <w:hidden/>
        </w:trPr>
        <w:tc>
          <w:tcPr>
            <w:tcW w:w="0" w:type="auto"/>
            <w:gridSpan w:val="3"/>
            <w:shd w:val="clear" w:color="auto" w:fill="auto"/>
            <w:vAlign w:val="bottom"/>
          </w:tcPr>
          <w:p w14:paraId="71D4797A" w14:textId="77777777" w:rsidR="006A3667" w:rsidRDefault="006A3667">
            <w:pPr>
              <w:rPr>
                <w:rFonts w:ascii="宋体"/>
                <w:vanish/>
              </w:rPr>
            </w:pPr>
          </w:p>
        </w:tc>
        <w:tc>
          <w:tcPr>
            <w:tcW w:w="0" w:type="auto"/>
            <w:gridSpan w:val="3"/>
            <w:shd w:val="clear" w:color="auto" w:fill="auto"/>
            <w:vAlign w:val="bottom"/>
          </w:tcPr>
          <w:p w14:paraId="71D4797B" w14:textId="77777777" w:rsidR="006A3667" w:rsidRDefault="006A3667">
            <w:pPr>
              <w:rPr>
                <w:rFonts w:ascii="宋体"/>
                <w:vanish/>
              </w:rPr>
            </w:pPr>
          </w:p>
        </w:tc>
        <w:tc>
          <w:tcPr>
            <w:tcW w:w="0" w:type="auto"/>
            <w:gridSpan w:val="3"/>
            <w:shd w:val="clear" w:color="auto" w:fill="auto"/>
            <w:vAlign w:val="bottom"/>
          </w:tcPr>
          <w:p w14:paraId="71D4797C" w14:textId="77777777" w:rsidR="006A3667" w:rsidRDefault="006A3667">
            <w:pPr>
              <w:rPr>
                <w:rFonts w:ascii="宋体"/>
                <w:vanish/>
              </w:rPr>
            </w:pPr>
          </w:p>
        </w:tc>
        <w:tc>
          <w:tcPr>
            <w:tcW w:w="0" w:type="auto"/>
            <w:gridSpan w:val="3"/>
            <w:shd w:val="clear" w:color="auto" w:fill="auto"/>
            <w:vAlign w:val="bottom"/>
          </w:tcPr>
          <w:p w14:paraId="71D4797D" w14:textId="77777777" w:rsidR="006A3667" w:rsidRDefault="006A3667">
            <w:pPr>
              <w:rPr>
                <w:rFonts w:ascii="宋体"/>
                <w:vanish/>
              </w:rPr>
            </w:pPr>
          </w:p>
        </w:tc>
        <w:tc>
          <w:tcPr>
            <w:tcW w:w="0" w:type="auto"/>
            <w:gridSpan w:val="3"/>
            <w:shd w:val="clear" w:color="auto" w:fill="auto"/>
            <w:vAlign w:val="bottom"/>
          </w:tcPr>
          <w:p w14:paraId="71D4797E" w14:textId="77777777" w:rsidR="006A3667" w:rsidRDefault="006A3667">
            <w:pPr>
              <w:rPr>
                <w:rFonts w:ascii="宋体"/>
                <w:vanish/>
              </w:rPr>
            </w:pPr>
          </w:p>
        </w:tc>
        <w:tc>
          <w:tcPr>
            <w:tcW w:w="0" w:type="auto"/>
            <w:gridSpan w:val="3"/>
            <w:shd w:val="clear" w:color="auto" w:fill="auto"/>
            <w:vAlign w:val="bottom"/>
          </w:tcPr>
          <w:p w14:paraId="71D4797F" w14:textId="77777777" w:rsidR="006A3667" w:rsidRDefault="006A3667">
            <w:pPr>
              <w:rPr>
                <w:rFonts w:ascii="宋体"/>
                <w:vanish/>
              </w:rPr>
            </w:pPr>
          </w:p>
        </w:tc>
        <w:tc>
          <w:tcPr>
            <w:tcW w:w="0" w:type="auto"/>
            <w:shd w:val="clear" w:color="auto" w:fill="auto"/>
            <w:vAlign w:val="bottom"/>
          </w:tcPr>
          <w:p w14:paraId="71D47980" w14:textId="77777777" w:rsidR="006A3667" w:rsidRDefault="006A3667">
            <w:pPr>
              <w:rPr>
                <w:rFonts w:ascii="宋体"/>
                <w:vanish/>
              </w:rPr>
            </w:pPr>
          </w:p>
        </w:tc>
        <w:tc>
          <w:tcPr>
            <w:tcW w:w="0" w:type="auto"/>
            <w:shd w:val="clear" w:color="auto" w:fill="auto"/>
            <w:vAlign w:val="bottom"/>
          </w:tcPr>
          <w:p w14:paraId="71D47981" w14:textId="77777777" w:rsidR="006A3667" w:rsidRDefault="006A3667">
            <w:pPr>
              <w:rPr>
                <w:rFonts w:ascii="宋体"/>
                <w:vanish/>
              </w:rPr>
            </w:pPr>
          </w:p>
        </w:tc>
        <w:tc>
          <w:tcPr>
            <w:tcW w:w="0" w:type="auto"/>
            <w:gridSpan w:val="3"/>
            <w:shd w:val="clear" w:color="auto" w:fill="auto"/>
            <w:vAlign w:val="bottom"/>
          </w:tcPr>
          <w:p w14:paraId="71D47982" w14:textId="77777777" w:rsidR="006A3667" w:rsidRDefault="006A3667">
            <w:pPr>
              <w:rPr>
                <w:rFonts w:ascii="宋体"/>
                <w:vanish/>
              </w:rPr>
            </w:pPr>
          </w:p>
        </w:tc>
        <w:tc>
          <w:tcPr>
            <w:tcW w:w="0" w:type="auto"/>
            <w:gridSpan w:val="3"/>
            <w:shd w:val="clear" w:color="auto" w:fill="auto"/>
            <w:vAlign w:val="bottom"/>
          </w:tcPr>
          <w:p w14:paraId="71D47983" w14:textId="77777777" w:rsidR="006A3667" w:rsidRDefault="006A3667">
            <w:pPr>
              <w:rPr>
                <w:rFonts w:ascii="宋体"/>
                <w:vanish/>
              </w:rPr>
            </w:pPr>
          </w:p>
        </w:tc>
        <w:tc>
          <w:tcPr>
            <w:tcW w:w="0" w:type="auto"/>
            <w:gridSpan w:val="3"/>
            <w:shd w:val="clear" w:color="auto" w:fill="auto"/>
            <w:vAlign w:val="bottom"/>
          </w:tcPr>
          <w:p w14:paraId="71D47984" w14:textId="77777777" w:rsidR="006A3667" w:rsidRDefault="006A3667">
            <w:pPr>
              <w:rPr>
                <w:rFonts w:ascii="宋体"/>
                <w:vanish/>
              </w:rPr>
            </w:pPr>
          </w:p>
        </w:tc>
        <w:tc>
          <w:tcPr>
            <w:tcW w:w="0" w:type="auto"/>
            <w:gridSpan w:val="3"/>
            <w:shd w:val="clear" w:color="auto" w:fill="auto"/>
            <w:vAlign w:val="bottom"/>
          </w:tcPr>
          <w:p w14:paraId="71D47985" w14:textId="77777777" w:rsidR="006A3667" w:rsidRDefault="006A3667">
            <w:pPr>
              <w:rPr>
                <w:rFonts w:ascii="宋体"/>
                <w:vanish/>
              </w:rPr>
            </w:pPr>
          </w:p>
        </w:tc>
        <w:tc>
          <w:tcPr>
            <w:tcW w:w="0" w:type="auto"/>
            <w:gridSpan w:val="3"/>
            <w:shd w:val="clear" w:color="auto" w:fill="auto"/>
            <w:vAlign w:val="bottom"/>
          </w:tcPr>
          <w:p w14:paraId="71D47986" w14:textId="77777777" w:rsidR="006A3667" w:rsidRDefault="006A3667">
            <w:pPr>
              <w:rPr>
                <w:rFonts w:ascii="宋体"/>
                <w:vanish/>
              </w:rPr>
            </w:pPr>
          </w:p>
        </w:tc>
        <w:tc>
          <w:tcPr>
            <w:tcW w:w="0" w:type="auto"/>
            <w:gridSpan w:val="3"/>
            <w:shd w:val="clear" w:color="auto" w:fill="auto"/>
            <w:vAlign w:val="bottom"/>
          </w:tcPr>
          <w:p w14:paraId="71D47987" w14:textId="77777777" w:rsidR="006A3667" w:rsidRDefault="006A3667">
            <w:pPr>
              <w:rPr>
                <w:rFonts w:ascii="宋体"/>
                <w:vanish/>
              </w:rPr>
            </w:pPr>
          </w:p>
        </w:tc>
        <w:tc>
          <w:tcPr>
            <w:tcW w:w="0" w:type="auto"/>
            <w:gridSpan w:val="3"/>
            <w:shd w:val="clear" w:color="auto" w:fill="auto"/>
            <w:vAlign w:val="bottom"/>
          </w:tcPr>
          <w:p w14:paraId="71D47988" w14:textId="77777777" w:rsidR="006A3667" w:rsidRDefault="006A3667">
            <w:pPr>
              <w:rPr>
                <w:rFonts w:ascii="宋体"/>
                <w:vanish/>
              </w:rPr>
            </w:pPr>
          </w:p>
        </w:tc>
        <w:tc>
          <w:tcPr>
            <w:tcW w:w="0" w:type="auto"/>
            <w:gridSpan w:val="3"/>
            <w:shd w:val="clear" w:color="auto" w:fill="auto"/>
            <w:vAlign w:val="bottom"/>
          </w:tcPr>
          <w:p w14:paraId="71D47989" w14:textId="77777777" w:rsidR="006A3667" w:rsidRDefault="006A3667">
            <w:pPr>
              <w:rPr>
                <w:rFonts w:ascii="宋体"/>
                <w:vanish/>
              </w:rPr>
            </w:pPr>
          </w:p>
        </w:tc>
        <w:tc>
          <w:tcPr>
            <w:tcW w:w="0" w:type="auto"/>
            <w:gridSpan w:val="3"/>
            <w:shd w:val="clear" w:color="auto" w:fill="auto"/>
            <w:vAlign w:val="bottom"/>
          </w:tcPr>
          <w:p w14:paraId="71D4798A" w14:textId="77777777" w:rsidR="006A3667" w:rsidRDefault="006A3667">
            <w:pPr>
              <w:rPr>
                <w:rFonts w:ascii="宋体"/>
                <w:vanish/>
              </w:rPr>
            </w:pPr>
          </w:p>
        </w:tc>
        <w:tc>
          <w:tcPr>
            <w:tcW w:w="0" w:type="auto"/>
            <w:gridSpan w:val="3"/>
            <w:shd w:val="clear" w:color="auto" w:fill="auto"/>
            <w:vAlign w:val="bottom"/>
          </w:tcPr>
          <w:p w14:paraId="71D4798B" w14:textId="77777777" w:rsidR="006A3667" w:rsidRDefault="006A3667">
            <w:pPr>
              <w:rPr>
                <w:rFonts w:ascii="宋体"/>
                <w:vanish/>
              </w:rPr>
            </w:pPr>
          </w:p>
        </w:tc>
      </w:tr>
      <w:tr w:rsidR="006A3667" w14:paraId="71D479A6" w14:textId="77777777">
        <w:tc>
          <w:tcPr>
            <w:tcW w:w="0" w:type="auto"/>
            <w:gridSpan w:val="3"/>
            <w:shd w:val="clear" w:color="auto" w:fill="CCEEFF"/>
            <w:tcMar>
              <w:top w:w="40" w:type="dxa"/>
              <w:left w:w="20" w:type="dxa"/>
              <w:bottom w:w="40" w:type="dxa"/>
              <w:right w:w="20" w:type="dxa"/>
            </w:tcMar>
            <w:vAlign w:val="bottom"/>
          </w:tcPr>
          <w:p w14:paraId="71D4798D" w14:textId="77777777" w:rsidR="006A3667" w:rsidRDefault="00045F32">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71D4798E" w14:textId="77777777" w:rsidR="006A3667" w:rsidRDefault="00045F32">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1D4798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990"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991" w14:textId="77777777" w:rsidR="006A3667" w:rsidRDefault="00045F32">
            <w:pPr>
              <w:jc w:val="right"/>
              <w:textAlignment w:val="bottom"/>
            </w:pPr>
            <w:r>
              <w:rPr>
                <w:rFonts w:ascii="Arial" w:eastAsia="宋体" w:hAnsi="Arial" w:cs="Arial"/>
                <w:b/>
                <w:bCs/>
                <w:color w:val="000000"/>
                <w:sz w:val="13"/>
                <w:szCs w:val="13"/>
              </w:rPr>
              <w:t>707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9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99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994" w14:textId="77777777" w:rsidR="006A3667" w:rsidRDefault="00045F32">
            <w:pPr>
              <w:jc w:val="right"/>
              <w:textAlignment w:val="bottom"/>
            </w:pPr>
            <w:r>
              <w:rPr>
                <w:rFonts w:ascii="Arial" w:eastAsia="宋体" w:hAnsi="Arial" w:cs="Arial"/>
                <w:color w:val="000000"/>
                <w:sz w:val="13"/>
                <w:szCs w:val="13"/>
              </w:rPr>
              <w:t>9 </w:t>
            </w:r>
          </w:p>
        </w:tc>
        <w:tc>
          <w:tcPr>
            <w:tcW w:w="0" w:type="auto"/>
            <w:shd w:val="clear" w:color="auto" w:fill="CCEEFF"/>
            <w:tcMar>
              <w:top w:w="40" w:type="dxa"/>
              <w:left w:w="0" w:type="dxa"/>
              <w:bottom w:w="40" w:type="dxa"/>
              <w:right w:w="20" w:type="dxa"/>
            </w:tcMar>
            <w:vAlign w:val="bottom"/>
          </w:tcPr>
          <w:p w14:paraId="71D47995" w14:textId="77777777" w:rsidR="006A3667" w:rsidRDefault="006A3667">
            <w:pPr>
              <w:jc w:val="right"/>
              <w:rPr>
                <w:rFonts w:ascii="宋体"/>
              </w:rPr>
            </w:pPr>
          </w:p>
        </w:tc>
        <w:tc>
          <w:tcPr>
            <w:tcW w:w="0" w:type="auto"/>
            <w:shd w:val="clear" w:color="auto" w:fill="auto"/>
            <w:vAlign w:val="bottom"/>
          </w:tcPr>
          <w:p w14:paraId="71D47996" w14:textId="77777777" w:rsidR="006A3667" w:rsidRDefault="006A3667">
            <w:pPr>
              <w:rPr>
                <w:rFonts w:ascii="宋体"/>
                <w:vanish/>
              </w:rPr>
            </w:pPr>
          </w:p>
        </w:tc>
        <w:tc>
          <w:tcPr>
            <w:tcW w:w="0" w:type="auto"/>
            <w:shd w:val="clear" w:color="auto" w:fill="auto"/>
            <w:vAlign w:val="bottom"/>
          </w:tcPr>
          <w:p w14:paraId="71D47997"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998"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7999" w14:textId="77777777" w:rsidR="006A3667" w:rsidRDefault="00045F32">
            <w:pP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(2)</w:t>
            </w:r>
          </w:p>
        </w:tc>
        <w:tc>
          <w:tcPr>
            <w:tcW w:w="0" w:type="auto"/>
            <w:gridSpan w:val="3"/>
            <w:shd w:val="clear" w:color="auto" w:fill="CCEEFF"/>
            <w:tcMar>
              <w:top w:w="0" w:type="dxa"/>
              <w:left w:w="20" w:type="dxa"/>
              <w:bottom w:w="0" w:type="dxa"/>
              <w:right w:w="20" w:type="dxa"/>
            </w:tcMar>
            <w:vAlign w:val="bottom"/>
          </w:tcPr>
          <w:p w14:paraId="71D4799A"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799B" w14:textId="77777777" w:rsidR="006A3667" w:rsidRDefault="00045F32">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1D4799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99D"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99E" w14:textId="77777777" w:rsidR="006A3667" w:rsidRDefault="00045F32">
            <w:pPr>
              <w:jc w:val="right"/>
              <w:textAlignment w:val="bottom"/>
            </w:pPr>
            <w:r>
              <w:rPr>
                <w:rFonts w:ascii="Arial" w:eastAsia="宋体" w:hAnsi="Arial" w:cs="Arial"/>
                <w:b/>
                <w:bCs/>
                <w:color w:val="000000"/>
                <w:sz w:val="13"/>
                <w:szCs w:val="13"/>
              </w:rPr>
              <w:t>(709)</w:t>
            </w:r>
          </w:p>
        </w:tc>
        <w:tc>
          <w:tcPr>
            <w:tcW w:w="0" w:type="auto"/>
            <w:shd w:val="clear" w:color="auto" w:fill="CCEEFF"/>
            <w:tcMar>
              <w:top w:w="40" w:type="dxa"/>
              <w:left w:w="0" w:type="dxa"/>
              <w:bottom w:w="40" w:type="dxa"/>
              <w:right w:w="20" w:type="dxa"/>
            </w:tcMar>
            <w:vAlign w:val="bottom"/>
          </w:tcPr>
          <w:p w14:paraId="71D479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9A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9A1"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9A2" w14:textId="77777777" w:rsidR="006A3667" w:rsidRDefault="00045F32">
            <w:pPr>
              <w:jc w:val="right"/>
              <w:textAlignment w:val="bottom"/>
            </w:pPr>
            <w:r>
              <w:rPr>
                <w:rFonts w:ascii="Arial" w:eastAsia="宋体" w:hAnsi="Arial" w:cs="Arial"/>
                <w:color w:val="000000"/>
                <w:sz w:val="13"/>
                <w:szCs w:val="13"/>
              </w:rPr>
              <w:t>(12)</w:t>
            </w:r>
          </w:p>
        </w:tc>
        <w:tc>
          <w:tcPr>
            <w:tcW w:w="0" w:type="auto"/>
            <w:shd w:val="clear" w:color="auto" w:fill="CCEEFF"/>
            <w:tcMar>
              <w:top w:w="40" w:type="dxa"/>
              <w:left w:w="0" w:type="dxa"/>
              <w:bottom w:w="40" w:type="dxa"/>
              <w:right w:w="20" w:type="dxa"/>
            </w:tcMar>
            <w:vAlign w:val="bottom"/>
          </w:tcPr>
          <w:p w14:paraId="71D479A3" w14:textId="77777777" w:rsidR="006A3667" w:rsidRDefault="006A3667">
            <w:pPr>
              <w:jc w:val="right"/>
              <w:rPr>
                <w:rFonts w:ascii="宋体"/>
              </w:rPr>
            </w:pPr>
          </w:p>
        </w:tc>
        <w:tc>
          <w:tcPr>
            <w:tcW w:w="0" w:type="auto"/>
            <w:gridSpan w:val="3"/>
            <w:shd w:val="clear" w:color="auto" w:fill="auto"/>
            <w:vAlign w:val="bottom"/>
          </w:tcPr>
          <w:p w14:paraId="71D479A4" w14:textId="77777777" w:rsidR="006A3667" w:rsidRDefault="006A3667">
            <w:pPr>
              <w:rPr>
                <w:rFonts w:ascii="宋体"/>
                <w:vanish/>
              </w:rPr>
            </w:pPr>
          </w:p>
        </w:tc>
        <w:tc>
          <w:tcPr>
            <w:tcW w:w="0" w:type="auto"/>
            <w:gridSpan w:val="3"/>
            <w:shd w:val="clear" w:color="auto" w:fill="auto"/>
            <w:vAlign w:val="bottom"/>
          </w:tcPr>
          <w:p w14:paraId="71D479A5" w14:textId="77777777" w:rsidR="006A3667" w:rsidRDefault="006A3667">
            <w:pPr>
              <w:rPr>
                <w:rFonts w:ascii="宋体"/>
                <w:vanish/>
              </w:rPr>
            </w:pPr>
          </w:p>
        </w:tc>
      </w:tr>
      <w:tr w:rsidR="006A3667" w14:paraId="71D479BD" w14:textId="77777777">
        <w:tc>
          <w:tcPr>
            <w:tcW w:w="0" w:type="auto"/>
            <w:gridSpan w:val="3"/>
            <w:shd w:val="clear" w:color="auto" w:fill="auto"/>
            <w:tcMar>
              <w:top w:w="40" w:type="dxa"/>
              <w:left w:w="20" w:type="dxa"/>
              <w:bottom w:w="40" w:type="dxa"/>
              <w:right w:w="20" w:type="dxa"/>
            </w:tcMar>
            <w:vAlign w:val="bottom"/>
          </w:tcPr>
          <w:p w14:paraId="71D479A7" w14:textId="77777777" w:rsidR="006A3667" w:rsidRDefault="00045F32">
            <w:pPr>
              <w:textAlignment w:val="bottom"/>
            </w:pPr>
            <w:r>
              <w:rPr>
                <w:rFonts w:ascii="Arial" w:eastAsia="宋体" w:hAnsi="Arial" w:cs="Arial"/>
                <w:color w:val="000000"/>
                <w:sz w:val="13"/>
                <w:szCs w:val="13"/>
              </w:rPr>
              <w:t>Interest rate contracts</w:t>
            </w:r>
          </w:p>
        </w:tc>
        <w:tc>
          <w:tcPr>
            <w:tcW w:w="0" w:type="auto"/>
            <w:gridSpan w:val="3"/>
            <w:shd w:val="clear" w:color="auto" w:fill="auto"/>
            <w:tcMar>
              <w:top w:w="40" w:type="dxa"/>
              <w:left w:w="20" w:type="dxa"/>
              <w:bottom w:w="40" w:type="dxa"/>
              <w:right w:w="20" w:type="dxa"/>
            </w:tcMar>
            <w:vAlign w:val="bottom"/>
          </w:tcPr>
          <w:p w14:paraId="71D479A8" w14:textId="77777777" w:rsidR="006A3667" w:rsidRDefault="00045F32">
            <w:pPr>
              <w:textAlignment w:val="bottom"/>
            </w:pPr>
            <w:r>
              <w:rPr>
                <w:rFonts w:ascii="Arial" w:eastAsia="宋体" w:hAnsi="Arial" w:cs="Arial"/>
                <w:color w:val="000000"/>
                <w:sz w:val="13"/>
                <w:szCs w:val="13"/>
              </w:rPr>
              <w:t>Net interest income</w:t>
            </w:r>
          </w:p>
        </w:tc>
        <w:tc>
          <w:tcPr>
            <w:tcW w:w="0" w:type="auto"/>
            <w:gridSpan w:val="3"/>
            <w:shd w:val="clear" w:color="auto" w:fill="auto"/>
            <w:tcMar>
              <w:top w:w="0" w:type="dxa"/>
              <w:left w:w="20" w:type="dxa"/>
              <w:bottom w:w="0" w:type="dxa"/>
              <w:right w:w="20" w:type="dxa"/>
            </w:tcMar>
            <w:vAlign w:val="bottom"/>
          </w:tcPr>
          <w:p w14:paraId="71D479A9" w14:textId="77777777" w:rsidR="006A3667" w:rsidRDefault="006A3667">
            <w:pPr>
              <w:rPr>
                <w:rFonts w:ascii="宋体"/>
              </w:rPr>
            </w:pPr>
          </w:p>
        </w:tc>
        <w:tc>
          <w:tcPr>
            <w:tcW w:w="0" w:type="auto"/>
            <w:gridSpan w:val="2"/>
            <w:shd w:val="clear" w:color="auto" w:fill="auto"/>
            <w:tcMar>
              <w:top w:w="40" w:type="dxa"/>
              <w:left w:w="20" w:type="dxa"/>
              <w:bottom w:w="40" w:type="dxa"/>
              <w:right w:w="0" w:type="dxa"/>
            </w:tcMar>
            <w:vAlign w:val="bottom"/>
          </w:tcPr>
          <w:p w14:paraId="71D479AA" w14:textId="77777777" w:rsidR="006A3667" w:rsidRDefault="00045F32">
            <w:pPr>
              <w:jc w:val="right"/>
              <w:textAlignment w:val="bottom"/>
            </w:pPr>
            <w:r>
              <w:rPr>
                <w:rFonts w:ascii="Arial" w:eastAsia="宋体" w:hAnsi="Arial" w:cs="Arial"/>
                <w:b/>
                <w:bCs/>
                <w:color w:val="000000"/>
                <w:sz w:val="13"/>
                <w:szCs w:val="13"/>
              </w:rPr>
              <w:t>(600)</w:t>
            </w:r>
          </w:p>
        </w:tc>
        <w:tc>
          <w:tcPr>
            <w:tcW w:w="0" w:type="auto"/>
            <w:shd w:val="clear" w:color="auto" w:fill="auto"/>
            <w:tcMar>
              <w:top w:w="40" w:type="dxa"/>
              <w:left w:w="0" w:type="dxa"/>
              <w:bottom w:w="40" w:type="dxa"/>
              <w:right w:w="20" w:type="dxa"/>
            </w:tcMar>
            <w:vAlign w:val="bottom"/>
          </w:tcPr>
          <w:p w14:paraId="71D479AB" w14:textId="77777777" w:rsidR="006A3667" w:rsidRDefault="006A3667">
            <w:pPr>
              <w:jc w:val="right"/>
              <w:rPr>
                <w:rFonts w:ascii="宋体"/>
              </w:rPr>
            </w:pPr>
          </w:p>
        </w:tc>
        <w:tc>
          <w:tcPr>
            <w:tcW w:w="0" w:type="auto"/>
            <w:gridSpan w:val="3"/>
            <w:shd w:val="clear" w:color="auto" w:fill="auto"/>
            <w:tcMar>
              <w:top w:w="0" w:type="dxa"/>
              <w:left w:w="20" w:type="dxa"/>
              <w:bottom w:w="0" w:type="dxa"/>
              <w:right w:w="20" w:type="dxa"/>
            </w:tcMar>
            <w:vAlign w:val="bottom"/>
          </w:tcPr>
          <w:p w14:paraId="71D479AC" w14:textId="77777777" w:rsidR="006A3667" w:rsidRDefault="006A3667">
            <w:pPr>
              <w:rPr>
                <w:rFonts w:ascii="宋体"/>
              </w:rPr>
            </w:pPr>
          </w:p>
        </w:tc>
        <w:tc>
          <w:tcPr>
            <w:tcW w:w="0" w:type="auto"/>
            <w:gridSpan w:val="2"/>
            <w:shd w:val="clear" w:color="auto" w:fill="auto"/>
            <w:tcMar>
              <w:top w:w="40" w:type="dxa"/>
              <w:left w:w="20" w:type="dxa"/>
              <w:bottom w:w="40" w:type="dxa"/>
              <w:right w:w="0" w:type="dxa"/>
            </w:tcMar>
            <w:vAlign w:val="bottom"/>
          </w:tcPr>
          <w:p w14:paraId="71D479AD" w14:textId="77777777" w:rsidR="006A3667" w:rsidRDefault="00045F32">
            <w:pPr>
              <w:jc w:val="right"/>
              <w:textAlignment w:val="bottom"/>
            </w:pPr>
            <w:r>
              <w:rPr>
                <w:rFonts w:ascii="Arial" w:eastAsia="宋体" w:hAnsi="Arial" w:cs="Arial"/>
                <w:color w:val="000000"/>
                <w:sz w:val="13"/>
                <w:szCs w:val="13"/>
              </w:rPr>
              <w:t>(26)</w:t>
            </w:r>
          </w:p>
        </w:tc>
        <w:tc>
          <w:tcPr>
            <w:tcW w:w="0" w:type="auto"/>
            <w:shd w:val="clear" w:color="auto" w:fill="auto"/>
            <w:tcMar>
              <w:top w:w="40" w:type="dxa"/>
              <w:left w:w="0" w:type="dxa"/>
              <w:bottom w:w="40" w:type="dxa"/>
              <w:right w:w="20" w:type="dxa"/>
            </w:tcMar>
            <w:vAlign w:val="bottom"/>
          </w:tcPr>
          <w:p w14:paraId="71D479AE" w14:textId="77777777" w:rsidR="006A3667" w:rsidRDefault="006A3667">
            <w:pPr>
              <w:jc w:val="right"/>
              <w:rPr>
                <w:rFonts w:ascii="宋体"/>
              </w:rPr>
            </w:pPr>
          </w:p>
        </w:tc>
        <w:tc>
          <w:tcPr>
            <w:tcW w:w="0" w:type="auto"/>
            <w:shd w:val="clear" w:color="auto" w:fill="auto"/>
            <w:vAlign w:val="bottom"/>
          </w:tcPr>
          <w:p w14:paraId="71D479AF" w14:textId="77777777" w:rsidR="006A3667" w:rsidRDefault="006A3667">
            <w:pPr>
              <w:rPr>
                <w:rFonts w:ascii="宋体"/>
                <w:vanish/>
              </w:rPr>
            </w:pPr>
          </w:p>
        </w:tc>
        <w:tc>
          <w:tcPr>
            <w:tcW w:w="0" w:type="auto"/>
            <w:shd w:val="clear" w:color="auto" w:fill="auto"/>
            <w:vAlign w:val="bottom"/>
          </w:tcPr>
          <w:p w14:paraId="71D479B0"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9B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9B2" w14:textId="77777777" w:rsidR="006A3667" w:rsidRDefault="00045F32">
            <w:pPr>
              <w:textAlignment w:val="bottom"/>
            </w:pPr>
            <w:r>
              <w:rPr>
                <w:rFonts w:ascii="Arial" w:eastAsia="宋体" w:hAnsi="Arial" w:cs="Arial"/>
                <w:color w:val="000000"/>
                <w:sz w:val="13"/>
                <w:szCs w:val="13"/>
              </w:rPr>
              <w:t>Long-term debt</w:t>
            </w:r>
          </w:p>
        </w:tc>
        <w:tc>
          <w:tcPr>
            <w:tcW w:w="0" w:type="auto"/>
            <w:gridSpan w:val="3"/>
            <w:shd w:val="clear" w:color="auto" w:fill="auto"/>
            <w:tcMar>
              <w:top w:w="0" w:type="dxa"/>
              <w:left w:w="20" w:type="dxa"/>
              <w:bottom w:w="0" w:type="dxa"/>
              <w:right w:w="20" w:type="dxa"/>
            </w:tcMar>
            <w:vAlign w:val="bottom"/>
          </w:tcPr>
          <w:p w14:paraId="71D479B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9B4" w14:textId="77777777" w:rsidR="006A3667" w:rsidRDefault="00045F32">
            <w:pPr>
              <w:textAlignment w:val="bottom"/>
            </w:pPr>
            <w:r>
              <w:rPr>
                <w:rFonts w:ascii="Arial" w:eastAsia="宋体" w:hAnsi="Arial" w:cs="Arial"/>
                <w:color w:val="000000"/>
                <w:sz w:val="13"/>
                <w:szCs w:val="13"/>
              </w:rPr>
              <w:t>Net interest income</w:t>
            </w:r>
          </w:p>
        </w:tc>
        <w:tc>
          <w:tcPr>
            <w:tcW w:w="0" w:type="auto"/>
            <w:gridSpan w:val="3"/>
            <w:shd w:val="clear" w:color="auto" w:fill="auto"/>
            <w:tcMar>
              <w:top w:w="0" w:type="dxa"/>
              <w:left w:w="20" w:type="dxa"/>
              <w:bottom w:w="0" w:type="dxa"/>
              <w:right w:w="20" w:type="dxa"/>
            </w:tcMar>
            <w:vAlign w:val="bottom"/>
          </w:tcPr>
          <w:p w14:paraId="71D479B5" w14:textId="77777777" w:rsidR="006A3667" w:rsidRDefault="006A3667">
            <w:pPr>
              <w:rPr>
                <w:rFonts w:ascii="宋体"/>
              </w:rPr>
            </w:pPr>
          </w:p>
        </w:tc>
        <w:tc>
          <w:tcPr>
            <w:tcW w:w="0" w:type="auto"/>
            <w:gridSpan w:val="2"/>
            <w:shd w:val="clear" w:color="auto" w:fill="auto"/>
            <w:tcMar>
              <w:top w:w="40" w:type="dxa"/>
              <w:left w:w="20" w:type="dxa"/>
              <w:bottom w:w="40" w:type="dxa"/>
              <w:right w:w="0" w:type="dxa"/>
            </w:tcMar>
            <w:vAlign w:val="bottom"/>
          </w:tcPr>
          <w:p w14:paraId="71D479B6" w14:textId="77777777" w:rsidR="006A3667" w:rsidRDefault="00045F32">
            <w:pPr>
              <w:jc w:val="right"/>
              <w:textAlignment w:val="bottom"/>
            </w:pPr>
            <w:r>
              <w:rPr>
                <w:rFonts w:ascii="Arial" w:eastAsia="宋体" w:hAnsi="Arial" w:cs="Arial"/>
                <w:b/>
                <w:bCs/>
                <w:color w:val="000000"/>
                <w:sz w:val="13"/>
                <w:szCs w:val="13"/>
              </w:rPr>
              <w:t>600</w:t>
            </w:r>
            <w:r>
              <w:rPr>
                <w:rFonts w:ascii="Arial" w:eastAsia="宋体" w:hAnsi="Arial" w:cs="Arial"/>
                <w:color w:val="000000"/>
                <w:sz w:val="13"/>
                <w:szCs w:val="13"/>
              </w:rPr>
              <w:t> </w:t>
            </w:r>
          </w:p>
        </w:tc>
        <w:tc>
          <w:tcPr>
            <w:tcW w:w="0" w:type="auto"/>
            <w:shd w:val="clear" w:color="auto" w:fill="auto"/>
            <w:tcMar>
              <w:top w:w="40" w:type="dxa"/>
              <w:left w:w="0" w:type="dxa"/>
              <w:bottom w:w="40" w:type="dxa"/>
              <w:right w:w="20" w:type="dxa"/>
            </w:tcMar>
            <w:vAlign w:val="bottom"/>
          </w:tcPr>
          <w:p w14:paraId="71D479B7" w14:textId="77777777" w:rsidR="006A3667" w:rsidRDefault="006A3667">
            <w:pPr>
              <w:jc w:val="right"/>
              <w:rPr>
                <w:rFonts w:ascii="宋体"/>
              </w:rPr>
            </w:pPr>
          </w:p>
        </w:tc>
        <w:tc>
          <w:tcPr>
            <w:tcW w:w="0" w:type="auto"/>
            <w:gridSpan w:val="3"/>
            <w:shd w:val="clear" w:color="auto" w:fill="auto"/>
            <w:tcMar>
              <w:top w:w="0" w:type="dxa"/>
              <w:left w:w="20" w:type="dxa"/>
              <w:bottom w:w="0" w:type="dxa"/>
              <w:right w:w="20" w:type="dxa"/>
            </w:tcMar>
            <w:vAlign w:val="bottom"/>
          </w:tcPr>
          <w:p w14:paraId="71D479B8" w14:textId="77777777" w:rsidR="006A3667" w:rsidRDefault="006A3667">
            <w:pPr>
              <w:rPr>
                <w:rFonts w:ascii="宋体"/>
              </w:rPr>
            </w:pPr>
          </w:p>
        </w:tc>
        <w:tc>
          <w:tcPr>
            <w:tcW w:w="0" w:type="auto"/>
            <w:gridSpan w:val="2"/>
            <w:shd w:val="clear" w:color="auto" w:fill="auto"/>
            <w:tcMar>
              <w:top w:w="40" w:type="dxa"/>
              <w:left w:w="20" w:type="dxa"/>
              <w:bottom w:w="40" w:type="dxa"/>
              <w:right w:w="0" w:type="dxa"/>
            </w:tcMar>
            <w:vAlign w:val="bottom"/>
          </w:tcPr>
          <w:p w14:paraId="71D479B9" w14:textId="77777777" w:rsidR="006A3667" w:rsidRDefault="00045F32">
            <w:pPr>
              <w:jc w:val="right"/>
              <w:textAlignment w:val="bottom"/>
            </w:pPr>
            <w:r>
              <w:rPr>
                <w:rFonts w:ascii="Arial" w:eastAsia="宋体" w:hAnsi="Arial" w:cs="Arial"/>
                <w:color w:val="000000"/>
                <w:sz w:val="13"/>
                <w:szCs w:val="13"/>
              </w:rPr>
              <w:t>26 </w:t>
            </w:r>
          </w:p>
        </w:tc>
        <w:tc>
          <w:tcPr>
            <w:tcW w:w="0" w:type="auto"/>
            <w:shd w:val="clear" w:color="auto" w:fill="auto"/>
            <w:tcMar>
              <w:top w:w="40" w:type="dxa"/>
              <w:left w:w="0" w:type="dxa"/>
              <w:bottom w:w="40" w:type="dxa"/>
              <w:right w:w="20" w:type="dxa"/>
            </w:tcMar>
            <w:vAlign w:val="bottom"/>
          </w:tcPr>
          <w:p w14:paraId="71D479BA" w14:textId="77777777" w:rsidR="006A3667" w:rsidRDefault="006A3667">
            <w:pPr>
              <w:jc w:val="right"/>
              <w:rPr>
                <w:rFonts w:ascii="宋体"/>
              </w:rPr>
            </w:pPr>
          </w:p>
        </w:tc>
        <w:tc>
          <w:tcPr>
            <w:tcW w:w="0" w:type="auto"/>
            <w:gridSpan w:val="3"/>
            <w:shd w:val="clear" w:color="auto" w:fill="auto"/>
            <w:vAlign w:val="bottom"/>
          </w:tcPr>
          <w:p w14:paraId="71D479BB" w14:textId="77777777" w:rsidR="006A3667" w:rsidRDefault="006A3667">
            <w:pPr>
              <w:rPr>
                <w:rFonts w:ascii="宋体"/>
                <w:vanish/>
              </w:rPr>
            </w:pPr>
          </w:p>
        </w:tc>
        <w:tc>
          <w:tcPr>
            <w:tcW w:w="0" w:type="auto"/>
            <w:gridSpan w:val="3"/>
            <w:shd w:val="clear" w:color="auto" w:fill="auto"/>
            <w:vAlign w:val="bottom"/>
          </w:tcPr>
          <w:p w14:paraId="71D479BC" w14:textId="77777777" w:rsidR="006A3667" w:rsidRDefault="006A3667">
            <w:pPr>
              <w:rPr>
                <w:rFonts w:ascii="宋体"/>
                <w:vanish/>
              </w:rPr>
            </w:pPr>
          </w:p>
        </w:tc>
      </w:tr>
      <w:tr w:rsidR="006A3667" w14:paraId="71D479D0" w14:textId="77777777">
        <w:trPr>
          <w:hidden/>
        </w:trPr>
        <w:tc>
          <w:tcPr>
            <w:tcW w:w="0" w:type="auto"/>
            <w:gridSpan w:val="3"/>
            <w:shd w:val="clear" w:color="auto" w:fill="auto"/>
            <w:vAlign w:val="bottom"/>
          </w:tcPr>
          <w:p w14:paraId="71D479BE" w14:textId="77777777" w:rsidR="006A3667" w:rsidRDefault="006A3667">
            <w:pPr>
              <w:rPr>
                <w:rFonts w:ascii="宋体"/>
                <w:vanish/>
              </w:rPr>
            </w:pPr>
          </w:p>
        </w:tc>
        <w:tc>
          <w:tcPr>
            <w:tcW w:w="0" w:type="auto"/>
            <w:gridSpan w:val="3"/>
            <w:shd w:val="clear" w:color="auto" w:fill="auto"/>
            <w:vAlign w:val="bottom"/>
          </w:tcPr>
          <w:p w14:paraId="71D479BF" w14:textId="77777777" w:rsidR="006A3667" w:rsidRDefault="006A3667">
            <w:pPr>
              <w:rPr>
                <w:rFonts w:ascii="宋体"/>
                <w:vanish/>
              </w:rPr>
            </w:pPr>
          </w:p>
        </w:tc>
        <w:tc>
          <w:tcPr>
            <w:tcW w:w="0" w:type="auto"/>
            <w:gridSpan w:val="3"/>
            <w:shd w:val="clear" w:color="auto" w:fill="auto"/>
            <w:vAlign w:val="bottom"/>
          </w:tcPr>
          <w:p w14:paraId="71D479C0" w14:textId="77777777" w:rsidR="006A3667" w:rsidRDefault="006A3667">
            <w:pPr>
              <w:rPr>
                <w:rFonts w:ascii="宋体"/>
                <w:vanish/>
              </w:rPr>
            </w:pPr>
          </w:p>
        </w:tc>
        <w:tc>
          <w:tcPr>
            <w:tcW w:w="0" w:type="auto"/>
            <w:gridSpan w:val="3"/>
            <w:shd w:val="clear" w:color="auto" w:fill="auto"/>
            <w:vAlign w:val="bottom"/>
          </w:tcPr>
          <w:p w14:paraId="71D479C1" w14:textId="77777777" w:rsidR="006A3667" w:rsidRDefault="006A3667">
            <w:pPr>
              <w:rPr>
                <w:rFonts w:ascii="宋体"/>
                <w:vanish/>
              </w:rPr>
            </w:pPr>
          </w:p>
        </w:tc>
        <w:tc>
          <w:tcPr>
            <w:tcW w:w="0" w:type="auto"/>
            <w:gridSpan w:val="3"/>
            <w:shd w:val="clear" w:color="auto" w:fill="auto"/>
            <w:vAlign w:val="bottom"/>
          </w:tcPr>
          <w:p w14:paraId="71D479C2" w14:textId="77777777" w:rsidR="006A3667" w:rsidRDefault="006A3667">
            <w:pPr>
              <w:rPr>
                <w:rFonts w:ascii="宋体"/>
                <w:vanish/>
              </w:rPr>
            </w:pPr>
          </w:p>
        </w:tc>
        <w:tc>
          <w:tcPr>
            <w:tcW w:w="0" w:type="auto"/>
            <w:gridSpan w:val="3"/>
            <w:shd w:val="clear" w:color="auto" w:fill="auto"/>
            <w:vAlign w:val="bottom"/>
          </w:tcPr>
          <w:p w14:paraId="71D479C3" w14:textId="77777777" w:rsidR="006A3667" w:rsidRDefault="006A3667">
            <w:pPr>
              <w:rPr>
                <w:rFonts w:ascii="宋体"/>
                <w:vanish/>
              </w:rPr>
            </w:pPr>
          </w:p>
        </w:tc>
        <w:tc>
          <w:tcPr>
            <w:tcW w:w="0" w:type="auto"/>
            <w:shd w:val="clear" w:color="auto" w:fill="auto"/>
            <w:vAlign w:val="bottom"/>
          </w:tcPr>
          <w:p w14:paraId="71D479C4" w14:textId="77777777" w:rsidR="006A3667" w:rsidRDefault="006A3667">
            <w:pPr>
              <w:rPr>
                <w:rFonts w:ascii="宋体"/>
                <w:vanish/>
              </w:rPr>
            </w:pPr>
          </w:p>
        </w:tc>
        <w:tc>
          <w:tcPr>
            <w:tcW w:w="0" w:type="auto"/>
            <w:shd w:val="clear" w:color="auto" w:fill="auto"/>
            <w:vAlign w:val="bottom"/>
          </w:tcPr>
          <w:p w14:paraId="71D479C5" w14:textId="77777777" w:rsidR="006A3667" w:rsidRDefault="006A3667">
            <w:pPr>
              <w:rPr>
                <w:rFonts w:ascii="宋体"/>
                <w:vanish/>
              </w:rPr>
            </w:pPr>
          </w:p>
        </w:tc>
        <w:tc>
          <w:tcPr>
            <w:tcW w:w="0" w:type="auto"/>
            <w:gridSpan w:val="3"/>
            <w:shd w:val="clear" w:color="auto" w:fill="auto"/>
            <w:vAlign w:val="bottom"/>
          </w:tcPr>
          <w:p w14:paraId="71D479C6" w14:textId="77777777" w:rsidR="006A3667" w:rsidRDefault="006A3667">
            <w:pPr>
              <w:rPr>
                <w:rFonts w:ascii="宋体"/>
                <w:vanish/>
              </w:rPr>
            </w:pPr>
          </w:p>
        </w:tc>
        <w:tc>
          <w:tcPr>
            <w:tcW w:w="0" w:type="auto"/>
            <w:gridSpan w:val="3"/>
            <w:shd w:val="clear" w:color="auto" w:fill="auto"/>
            <w:vAlign w:val="bottom"/>
          </w:tcPr>
          <w:p w14:paraId="71D479C7" w14:textId="77777777" w:rsidR="006A3667" w:rsidRDefault="006A3667">
            <w:pPr>
              <w:rPr>
                <w:rFonts w:ascii="宋体"/>
                <w:vanish/>
              </w:rPr>
            </w:pPr>
          </w:p>
        </w:tc>
        <w:tc>
          <w:tcPr>
            <w:tcW w:w="0" w:type="auto"/>
            <w:gridSpan w:val="3"/>
            <w:shd w:val="clear" w:color="auto" w:fill="auto"/>
            <w:vAlign w:val="bottom"/>
          </w:tcPr>
          <w:p w14:paraId="71D479C8" w14:textId="77777777" w:rsidR="006A3667" w:rsidRDefault="006A3667">
            <w:pPr>
              <w:rPr>
                <w:rFonts w:ascii="宋体"/>
                <w:vanish/>
              </w:rPr>
            </w:pPr>
          </w:p>
        </w:tc>
        <w:tc>
          <w:tcPr>
            <w:tcW w:w="0" w:type="auto"/>
            <w:gridSpan w:val="3"/>
            <w:shd w:val="clear" w:color="auto" w:fill="auto"/>
            <w:vAlign w:val="bottom"/>
          </w:tcPr>
          <w:p w14:paraId="71D479C9" w14:textId="77777777" w:rsidR="006A3667" w:rsidRDefault="006A3667">
            <w:pPr>
              <w:rPr>
                <w:rFonts w:ascii="宋体"/>
                <w:vanish/>
              </w:rPr>
            </w:pPr>
          </w:p>
        </w:tc>
        <w:tc>
          <w:tcPr>
            <w:tcW w:w="0" w:type="auto"/>
            <w:gridSpan w:val="3"/>
            <w:shd w:val="clear" w:color="auto" w:fill="auto"/>
            <w:vAlign w:val="bottom"/>
          </w:tcPr>
          <w:p w14:paraId="71D479CA" w14:textId="77777777" w:rsidR="006A3667" w:rsidRDefault="006A3667">
            <w:pPr>
              <w:rPr>
                <w:rFonts w:ascii="宋体"/>
                <w:vanish/>
              </w:rPr>
            </w:pPr>
          </w:p>
        </w:tc>
        <w:tc>
          <w:tcPr>
            <w:tcW w:w="0" w:type="auto"/>
            <w:gridSpan w:val="3"/>
            <w:shd w:val="clear" w:color="auto" w:fill="auto"/>
            <w:vAlign w:val="bottom"/>
          </w:tcPr>
          <w:p w14:paraId="71D479CB" w14:textId="77777777" w:rsidR="006A3667" w:rsidRDefault="006A3667">
            <w:pPr>
              <w:rPr>
                <w:rFonts w:ascii="宋体"/>
                <w:vanish/>
              </w:rPr>
            </w:pPr>
          </w:p>
        </w:tc>
        <w:tc>
          <w:tcPr>
            <w:tcW w:w="0" w:type="auto"/>
            <w:gridSpan w:val="3"/>
            <w:shd w:val="clear" w:color="auto" w:fill="auto"/>
            <w:vAlign w:val="bottom"/>
          </w:tcPr>
          <w:p w14:paraId="71D479CC" w14:textId="77777777" w:rsidR="006A3667" w:rsidRDefault="006A3667">
            <w:pPr>
              <w:rPr>
                <w:rFonts w:ascii="宋体"/>
                <w:vanish/>
              </w:rPr>
            </w:pPr>
          </w:p>
        </w:tc>
        <w:tc>
          <w:tcPr>
            <w:tcW w:w="0" w:type="auto"/>
            <w:gridSpan w:val="3"/>
            <w:shd w:val="clear" w:color="auto" w:fill="auto"/>
            <w:vAlign w:val="bottom"/>
          </w:tcPr>
          <w:p w14:paraId="71D479CD" w14:textId="77777777" w:rsidR="006A3667" w:rsidRDefault="006A3667">
            <w:pPr>
              <w:rPr>
                <w:rFonts w:ascii="宋体"/>
                <w:vanish/>
              </w:rPr>
            </w:pPr>
          </w:p>
        </w:tc>
        <w:tc>
          <w:tcPr>
            <w:tcW w:w="0" w:type="auto"/>
            <w:gridSpan w:val="3"/>
            <w:shd w:val="clear" w:color="auto" w:fill="auto"/>
            <w:vAlign w:val="bottom"/>
          </w:tcPr>
          <w:p w14:paraId="71D479CE" w14:textId="77777777" w:rsidR="006A3667" w:rsidRDefault="006A3667">
            <w:pPr>
              <w:rPr>
                <w:rFonts w:ascii="宋体"/>
                <w:vanish/>
              </w:rPr>
            </w:pPr>
          </w:p>
        </w:tc>
        <w:tc>
          <w:tcPr>
            <w:tcW w:w="0" w:type="auto"/>
            <w:gridSpan w:val="3"/>
            <w:shd w:val="clear" w:color="auto" w:fill="auto"/>
            <w:vAlign w:val="bottom"/>
          </w:tcPr>
          <w:p w14:paraId="71D479CF" w14:textId="77777777" w:rsidR="006A3667" w:rsidRDefault="006A3667">
            <w:pPr>
              <w:rPr>
                <w:rFonts w:ascii="宋体"/>
                <w:vanish/>
              </w:rPr>
            </w:pPr>
          </w:p>
        </w:tc>
      </w:tr>
      <w:tr w:rsidR="006A3667" w14:paraId="71D479E3" w14:textId="77777777">
        <w:trPr>
          <w:hidden/>
        </w:trPr>
        <w:tc>
          <w:tcPr>
            <w:tcW w:w="0" w:type="auto"/>
            <w:gridSpan w:val="3"/>
            <w:shd w:val="clear" w:color="auto" w:fill="auto"/>
            <w:vAlign w:val="bottom"/>
          </w:tcPr>
          <w:p w14:paraId="71D479D1" w14:textId="77777777" w:rsidR="006A3667" w:rsidRDefault="006A3667">
            <w:pPr>
              <w:rPr>
                <w:rFonts w:ascii="宋体"/>
                <w:vanish/>
              </w:rPr>
            </w:pPr>
          </w:p>
        </w:tc>
        <w:tc>
          <w:tcPr>
            <w:tcW w:w="0" w:type="auto"/>
            <w:gridSpan w:val="3"/>
            <w:shd w:val="clear" w:color="auto" w:fill="auto"/>
            <w:vAlign w:val="bottom"/>
          </w:tcPr>
          <w:p w14:paraId="71D479D2" w14:textId="77777777" w:rsidR="006A3667" w:rsidRDefault="006A3667">
            <w:pPr>
              <w:rPr>
                <w:rFonts w:ascii="宋体"/>
                <w:vanish/>
              </w:rPr>
            </w:pPr>
          </w:p>
        </w:tc>
        <w:tc>
          <w:tcPr>
            <w:tcW w:w="0" w:type="auto"/>
            <w:gridSpan w:val="3"/>
            <w:shd w:val="clear" w:color="auto" w:fill="auto"/>
            <w:vAlign w:val="bottom"/>
          </w:tcPr>
          <w:p w14:paraId="71D479D3" w14:textId="77777777" w:rsidR="006A3667" w:rsidRDefault="006A3667">
            <w:pPr>
              <w:rPr>
                <w:rFonts w:ascii="宋体"/>
                <w:vanish/>
              </w:rPr>
            </w:pPr>
          </w:p>
        </w:tc>
        <w:tc>
          <w:tcPr>
            <w:tcW w:w="0" w:type="auto"/>
            <w:gridSpan w:val="3"/>
            <w:shd w:val="clear" w:color="auto" w:fill="auto"/>
            <w:vAlign w:val="bottom"/>
          </w:tcPr>
          <w:p w14:paraId="71D479D4" w14:textId="77777777" w:rsidR="006A3667" w:rsidRDefault="006A3667">
            <w:pPr>
              <w:rPr>
                <w:rFonts w:ascii="宋体"/>
                <w:vanish/>
              </w:rPr>
            </w:pPr>
          </w:p>
        </w:tc>
        <w:tc>
          <w:tcPr>
            <w:tcW w:w="0" w:type="auto"/>
            <w:gridSpan w:val="3"/>
            <w:shd w:val="clear" w:color="auto" w:fill="auto"/>
            <w:vAlign w:val="bottom"/>
          </w:tcPr>
          <w:p w14:paraId="71D479D5" w14:textId="77777777" w:rsidR="006A3667" w:rsidRDefault="006A3667">
            <w:pPr>
              <w:rPr>
                <w:rFonts w:ascii="宋体"/>
                <w:vanish/>
              </w:rPr>
            </w:pPr>
          </w:p>
        </w:tc>
        <w:tc>
          <w:tcPr>
            <w:tcW w:w="0" w:type="auto"/>
            <w:gridSpan w:val="3"/>
            <w:shd w:val="clear" w:color="auto" w:fill="auto"/>
            <w:vAlign w:val="bottom"/>
          </w:tcPr>
          <w:p w14:paraId="71D479D6" w14:textId="77777777" w:rsidR="006A3667" w:rsidRDefault="006A3667">
            <w:pPr>
              <w:rPr>
                <w:rFonts w:ascii="宋体"/>
                <w:vanish/>
              </w:rPr>
            </w:pPr>
          </w:p>
        </w:tc>
        <w:tc>
          <w:tcPr>
            <w:tcW w:w="0" w:type="auto"/>
            <w:shd w:val="clear" w:color="auto" w:fill="auto"/>
            <w:vAlign w:val="bottom"/>
          </w:tcPr>
          <w:p w14:paraId="71D479D7" w14:textId="77777777" w:rsidR="006A3667" w:rsidRDefault="006A3667">
            <w:pPr>
              <w:rPr>
                <w:rFonts w:ascii="宋体"/>
                <w:vanish/>
              </w:rPr>
            </w:pPr>
          </w:p>
        </w:tc>
        <w:tc>
          <w:tcPr>
            <w:tcW w:w="0" w:type="auto"/>
            <w:shd w:val="clear" w:color="auto" w:fill="auto"/>
            <w:vAlign w:val="bottom"/>
          </w:tcPr>
          <w:p w14:paraId="71D479D8" w14:textId="77777777" w:rsidR="006A3667" w:rsidRDefault="006A3667">
            <w:pPr>
              <w:rPr>
                <w:rFonts w:ascii="宋体"/>
                <w:vanish/>
              </w:rPr>
            </w:pPr>
          </w:p>
        </w:tc>
        <w:tc>
          <w:tcPr>
            <w:tcW w:w="0" w:type="auto"/>
            <w:gridSpan w:val="3"/>
            <w:shd w:val="clear" w:color="auto" w:fill="auto"/>
            <w:vAlign w:val="bottom"/>
          </w:tcPr>
          <w:p w14:paraId="71D479D9" w14:textId="77777777" w:rsidR="006A3667" w:rsidRDefault="006A3667">
            <w:pPr>
              <w:rPr>
                <w:rFonts w:ascii="宋体"/>
                <w:vanish/>
              </w:rPr>
            </w:pPr>
          </w:p>
        </w:tc>
        <w:tc>
          <w:tcPr>
            <w:tcW w:w="0" w:type="auto"/>
            <w:gridSpan w:val="3"/>
            <w:shd w:val="clear" w:color="auto" w:fill="auto"/>
            <w:vAlign w:val="bottom"/>
          </w:tcPr>
          <w:p w14:paraId="71D479DA" w14:textId="77777777" w:rsidR="006A3667" w:rsidRDefault="006A3667">
            <w:pPr>
              <w:rPr>
                <w:rFonts w:ascii="宋体"/>
                <w:vanish/>
              </w:rPr>
            </w:pPr>
          </w:p>
        </w:tc>
        <w:tc>
          <w:tcPr>
            <w:tcW w:w="0" w:type="auto"/>
            <w:gridSpan w:val="3"/>
            <w:shd w:val="clear" w:color="auto" w:fill="auto"/>
            <w:vAlign w:val="bottom"/>
          </w:tcPr>
          <w:p w14:paraId="71D479DB" w14:textId="77777777" w:rsidR="006A3667" w:rsidRDefault="006A3667">
            <w:pPr>
              <w:rPr>
                <w:rFonts w:ascii="宋体"/>
                <w:vanish/>
              </w:rPr>
            </w:pPr>
          </w:p>
        </w:tc>
        <w:tc>
          <w:tcPr>
            <w:tcW w:w="0" w:type="auto"/>
            <w:gridSpan w:val="3"/>
            <w:shd w:val="clear" w:color="auto" w:fill="auto"/>
            <w:vAlign w:val="bottom"/>
          </w:tcPr>
          <w:p w14:paraId="71D479DC" w14:textId="77777777" w:rsidR="006A3667" w:rsidRDefault="006A3667">
            <w:pPr>
              <w:rPr>
                <w:rFonts w:ascii="宋体"/>
                <w:vanish/>
              </w:rPr>
            </w:pPr>
          </w:p>
        </w:tc>
        <w:tc>
          <w:tcPr>
            <w:tcW w:w="0" w:type="auto"/>
            <w:gridSpan w:val="3"/>
            <w:shd w:val="clear" w:color="auto" w:fill="auto"/>
            <w:vAlign w:val="bottom"/>
          </w:tcPr>
          <w:p w14:paraId="71D479DD" w14:textId="77777777" w:rsidR="006A3667" w:rsidRDefault="006A3667">
            <w:pPr>
              <w:rPr>
                <w:rFonts w:ascii="宋体"/>
                <w:vanish/>
              </w:rPr>
            </w:pPr>
          </w:p>
        </w:tc>
        <w:tc>
          <w:tcPr>
            <w:tcW w:w="0" w:type="auto"/>
            <w:gridSpan w:val="3"/>
            <w:shd w:val="clear" w:color="auto" w:fill="auto"/>
            <w:vAlign w:val="bottom"/>
          </w:tcPr>
          <w:p w14:paraId="71D479DE" w14:textId="77777777" w:rsidR="006A3667" w:rsidRDefault="006A3667">
            <w:pPr>
              <w:rPr>
                <w:rFonts w:ascii="宋体"/>
                <w:vanish/>
              </w:rPr>
            </w:pPr>
          </w:p>
        </w:tc>
        <w:tc>
          <w:tcPr>
            <w:tcW w:w="0" w:type="auto"/>
            <w:gridSpan w:val="3"/>
            <w:shd w:val="clear" w:color="auto" w:fill="auto"/>
            <w:vAlign w:val="bottom"/>
          </w:tcPr>
          <w:p w14:paraId="71D479DF" w14:textId="77777777" w:rsidR="006A3667" w:rsidRDefault="006A3667">
            <w:pPr>
              <w:rPr>
                <w:rFonts w:ascii="宋体"/>
                <w:vanish/>
              </w:rPr>
            </w:pPr>
          </w:p>
        </w:tc>
        <w:tc>
          <w:tcPr>
            <w:tcW w:w="0" w:type="auto"/>
            <w:gridSpan w:val="3"/>
            <w:shd w:val="clear" w:color="auto" w:fill="auto"/>
            <w:vAlign w:val="bottom"/>
          </w:tcPr>
          <w:p w14:paraId="71D479E0" w14:textId="77777777" w:rsidR="006A3667" w:rsidRDefault="006A3667">
            <w:pPr>
              <w:rPr>
                <w:rFonts w:ascii="宋体"/>
                <w:vanish/>
              </w:rPr>
            </w:pPr>
          </w:p>
        </w:tc>
        <w:tc>
          <w:tcPr>
            <w:tcW w:w="0" w:type="auto"/>
            <w:gridSpan w:val="3"/>
            <w:shd w:val="clear" w:color="auto" w:fill="auto"/>
            <w:vAlign w:val="bottom"/>
          </w:tcPr>
          <w:p w14:paraId="71D479E1" w14:textId="77777777" w:rsidR="006A3667" w:rsidRDefault="006A3667">
            <w:pPr>
              <w:rPr>
                <w:rFonts w:ascii="宋体"/>
                <w:vanish/>
              </w:rPr>
            </w:pPr>
          </w:p>
        </w:tc>
        <w:tc>
          <w:tcPr>
            <w:tcW w:w="0" w:type="auto"/>
            <w:gridSpan w:val="3"/>
            <w:shd w:val="clear" w:color="auto" w:fill="auto"/>
            <w:vAlign w:val="bottom"/>
          </w:tcPr>
          <w:p w14:paraId="71D479E2" w14:textId="77777777" w:rsidR="006A3667" w:rsidRDefault="006A3667">
            <w:pPr>
              <w:rPr>
                <w:rFonts w:ascii="宋体"/>
                <w:vanish/>
              </w:rPr>
            </w:pPr>
          </w:p>
        </w:tc>
      </w:tr>
      <w:tr w:rsidR="006A3667" w14:paraId="71D479FE" w14:textId="77777777">
        <w:tc>
          <w:tcPr>
            <w:tcW w:w="0" w:type="auto"/>
            <w:gridSpan w:val="3"/>
            <w:shd w:val="clear" w:color="auto" w:fill="CCEEFF"/>
            <w:tcMar>
              <w:top w:w="40" w:type="dxa"/>
              <w:left w:w="20" w:type="dxa"/>
              <w:bottom w:w="40" w:type="dxa"/>
              <w:right w:w="20" w:type="dxa"/>
            </w:tcMar>
            <w:vAlign w:val="bottom"/>
          </w:tcPr>
          <w:p w14:paraId="71D479E4" w14:textId="77777777" w:rsidR="006A3667" w:rsidRDefault="00045F32">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71D479E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E6"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9E7"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9E8" w14:textId="77777777" w:rsidR="006A3667" w:rsidRDefault="00045F32">
            <w:pPr>
              <w:jc w:val="right"/>
              <w:textAlignment w:val="bottom"/>
            </w:pPr>
            <w:r>
              <w:rPr>
                <w:rFonts w:ascii="Arial" w:eastAsia="宋体" w:hAnsi="Arial" w:cs="Arial"/>
                <w:b/>
                <w:bCs/>
                <w:color w:val="000000"/>
                <w:sz w:val="13"/>
                <w:szCs w:val="13"/>
              </w:rPr>
              <w:t>107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9E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9EA"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9E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9EC" w14:textId="77777777" w:rsidR="006A3667" w:rsidRDefault="00045F32">
            <w:pPr>
              <w:jc w:val="right"/>
              <w:textAlignment w:val="bottom"/>
            </w:pPr>
            <w:r>
              <w:rPr>
                <w:rFonts w:ascii="Arial" w:eastAsia="宋体" w:hAnsi="Arial" w:cs="Arial"/>
                <w:color w:val="000000"/>
                <w:sz w:val="13"/>
                <w:szCs w:val="13"/>
              </w:rPr>
              <w:t>(17)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9ED" w14:textId="77777777" w:rsidR="006A3667" w:rsidRDefault="006A3667">
            <w:pPr>
              <w:jc w:val="right"/>
              <w:rPr>
                <w:rFonts w:ascii="宋体"/>
              </w:rPr>
            </w:pPr>
          </w:p>
        </w:tc>
        <w:tc>
          <w:tcPr>
            <w:tcW w:w="0" w:type="auto"/>
            <w:shd w:val="clear" w:color="auto" w:fill="auto"/>
            <w:vAlign w:val="bottom"/>
          </w:tcPr>
          <w:p w14:paraId="71D479EE" w14:textId="77777777" w:rsidR="006A3667" w:rsidRDefault="006A3667">
            <w:pPr>
              <w:rPr>
                <w:rFonts w:ascii="宋体"/>
                <w:vanish/>
              </w:rPr>
            </w:pPr>
          </w:p>
        </w:tc>
        <w:tc>
          <w:tcPr>
            <w:tcW w:w="0" w:type="auto"/>
            <w:shd w:val="clear" w:color="auto" w:fill="auto"/>
            <w:vAlign w:val="bottom"/>
          </w:tcPr>
          <w:p w14:paraId="71D479EF"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9F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F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F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F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9F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9F5"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9F6" w14:textId="77777777" w:rsidR="006A3667" w:rsidRDefault="00045F32">
            <w:pPr>
              <w:jc w:val="right"/>
              <w:textAlignment w:val="bottom"/>
            </w:pPr>
            <w:r>
              <w:rPr>
                <w:rFonts w:ascii="Arial" w:eastAsia="宋体" w:hAnsi="Arial" w:cs="Arial"/>
                <w:b/>
                <w:bCs/>
                <w:color w:val="000000"/>
                <w:sz w:val="13"/>
                <w:szCs w:val="13"/>
              </w:rPr>
              <w:t>(109)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9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9F8"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9F9"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9FA" w14:textId="77777777" w:rsidR="006A3667" w:rsidRDefault="00045F32">
            <w:pPr>
              <w:jc w:val="right"/>
              <w:textAlignment w:val="bottom"/>
            </w:pPr>
            <w:r>
              <w:rPr>
                <w:rFonts w:ascii="Arial" w:eastAsia="宋体" w:hAnsi="Arial" w:cs="Arial"/>
                <w:color w:val="000000"/>
                <w:sz w:val="13"/>
                <w:szCs w:val="13"/>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9FB" w14:textId="77777777" w:rsidR="006A3667" w:rsidRDefault="006A3667">
            <w:pPr>
              <w:jc w:val="right"/>
              <w:rPr>
                <w:rFonts w:ascii="宋体"/>
              </w:rPr>
            </w:pPr>
          </w:p>
        </w:tc>
        <w:tc>
          <w:tcPr>
            <w:tcW w:w="0" w:type="auto"/>
            <w:gridSpan w:val="3"/>
            <w:shd w:val="clear" w:color="auto" w:fill="auto"/>
            <w:vAlign w:val="bottom"/>
          </w:tcPr>
          <w:p w14:paraId="71D479FC" w14:textId="77777777" w:rsidR="006A3667" w:rsidRDefault="006A3667">
            <w:pPr>
              <w:rPr>
                <w:rFonts w:ascii="宋体"/>
                <w:vanish/>
              </w:rPr>
            </w:pPr>
          </w:p>
        </w:tc>
        <w:tc>
          <w:tcPr>
            <w:tcW w:w="0" w:type="auto"/>
            <w:gridSpan w:val="3"/>
            <w:shd w:val="clear" w:color="auto" w:fill="auto"/>
            <w:vAlign w:val="bottom"/>
          </w:tcPr>
          <w:p w14:paraId="71D479FD" w14:textId="77777777" w:rsidR="006A3667" w:rsidRDefault="006A3667">
            <w:pPr>
              <w:rPr>
                <w:rFonts w:ascii="宋体"/>
                <w:vanish/>
              </w:rPr>
            </w:pPr>
          </w:p>
        </w:tc>
      </w:tr>
    </w:tbl>
    <w:p w14:paraId="71D479FF" w14:textId="77777777" w:rsidR="006A3667" w:rsidRDefault="006A3667">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6A3667" w14:paraId="71D47A0F" w14:textId="77777777">
        <w:tc>
          <w:tcPr>
            <w:tcW w:w="20" w:type="dxa"/>
            <w:shd w:val="clear" w:color="auto" w:fill="auto"/>
            <w:vAlign w:val="bottom"/>
          </w:tcPr>
          <w:p w14:paraId="71D47A00" w14:textId="77777777" w:rsidR="006A3667" w:rsidRDefault="006A3667">
            <w:pPr>
              <w:rPr>
                <w:rFonts w:ascii="宋体"/>
              </w:rPr>
            </w:pPr>
          </w:p>
        </w:tc>
        <w:tc>
          <w:tcPr>
            <w:tcW w:w="2840" w:type="dxa"/>
            <w:shd w:val="clear" w:color="auto" w:fill="auto"/>
            <w:vAlign w:val="bottom"/>
          </w:tcPr>
          <w:p w14:paraId="71D47A01" w14:textId="77777777" w:rsidR="006A3667" w:rsidRDefault="006A3667">
            <w:pPr>
              <w:rPr>
                <w:rFonts w:ascii="宋体"/>
              </w:rPr>
            </w:pPr>
          </w:p>
        </w:tc>
        <w:tc>
          <w:tcPr>
            <w:tcW w:w="20" w:type="dxa"/>
            <w:shd w:val="clear" w:color="auto" w:fill="auto"/>
            <w:vAlign w:val="bottom"/>
          </w:tcPr>
          <w:p w14:paraId="71D47A02" w14:textId="77777777" w:rsidR="006A3667" w:rsidRDefault="006A3667">
            <w:pPr>
              <w:rPr>
                <w:rFonts w:ascii="宋体"/>
              </w:rPr>
            </w:pPr>
          </w:p>
        </w:tc>
        <w:tc>
          <w:tcPr>
            <w:tcW w:w="20" w:type="dxa"/>
            <w:shd w:val="clear" w:color="auto" w:fill="auto"/>
            <w:vAlign w:val="bottom"/>
          </w:tcPr>
          <w:p w14:paraId="71D47A03" w14:textId="77777777" w:rsidR="006A3667" w:rsidRDefault="006A3667">
            <w:pPr>
              <w:rPr>
                <w:rFonts w:ascii="宋体"/>
              </w:rPr>
            </w:pPr>
          </w:p>
        </w:tc>
        <w:tc>
          <w:tcPr>
            <w:tcW w:w="1475" w:type="dxa"/>
            <w:shd w:val="clear" w:color="auto" w:fill="auto"/>
            <w:vAlign w:val="bottom"/>
          </w:tcPr>
          <w:p w14:paraId="71D47A04" w14:textId="77777777" w:rsidR="006A3667" w:rsidRDefault="006A3667">
            <w:pPr>
              <w:rPr>
                <w:rFonts w:ascii="宋体"/>
              </w:rPr>
            </w:pPr>
          </w:p>
        </w:tc>
        <w:tc>
          <w:tcPr>
            <w:tcW w:w="20" w:type="dxa"/>
            <w:shd w:val="clear" w:color="auto" w:fill="auto"/>
            <w:vAlign w:val="bottom"/>
          </w:tcPr>
          <w:p w14:paraId="71D47A05" w14:textId="77777777" w:rsidR="006A3667" w:rsidRDefault="006A3667">
            <w:pPr>
              <w:rPr>
                <w:rFonts w:ascii="宋体"/>
              </w:rPr>
            </w:pPr>
          </w:p>
        </w:tc>
        <w:tc>
          <w:tcPr>
            <w:tcW w:w="20" w:type="dxa"/>
            <w:shd w:val="clear" w:color="auto" w:fill="auto"/>
            <w:vAlign w:val="bottom"/>
          </w:tcPr>
          <w:p w14:paraId="71D47A06" w14:textId="77777777" w:rsidR="006A3667" w:rsidRDefault="006A3667">
            <w:pPr>
              <w:rPr>
                <w:rFonts w:ascii="宋体"/>
              </w:rPr>
            </w:pPr>
          </w:p>
        </w:tc>
        <w:tc>
          <w:tcPr>
            <w:tcW w:w="1460" w:type="dxa"/>
            <w:shd w:val="clear" w:color="auto" w:fill="auto"/>
            <w:vAlign w:val="bottom"/>
          </w:tcPr>
          <w:p w14:paraId="71D47A07" w14:textId="77777777" w:rsidR="006A3667" w:rsidRDefault="006A3667">
            <w:pPr>
              <w:rPr>
                <w:rFonts w:ascii="宋体"/>
              </w:rPr>
            </w:pPr>
          </w:p>
        </w:tc>
        <w:tc>
          <w:tcPr>
            <w:tcW w:w="20" w:type="dxa"/>
            <w:shd w:val="clear" w:color="auto" w:fill="auto"/>
            <w:vAlign w:val="bottom"/>
          </w:tcPr>
          <w:p w14:paraId="71D47A08" w14:textId="77777777" w:rsidR="006A3667" w:rsidRDefault="006A3667">
            <w:pPr>
              <w:rPr>
                <w:rFonts w:ascii="宋体"/>
              </w:rPr>
            </w:pPr>
          </w:p>
        </w:tc>
        <w:tc>
          <w:tcPr>
            <w:tcW w:w="20" w:type="dxa"/>
            <w:shd w:val="clear" w:color="auto" w:fill="auto"/>
            <w:vAlign w:val="bottom"/>
          </w:tcPr>
          <w:p w14:paraId="71D47A09" w14:textId="77777777" w:rsidR="006A3667" w:rsidRDefault="006A3667">
            <w:pPr>
              <w:rPr>
                <w:rFonts w:ascii="宋体"/>
              </w:rPr>
            </w:pPr>
          </w:p>
        </w:tc>
        <w:tc>
          <w:tcPr>
            <w:tcW w:w="2540" w:type="dxa"/>
            <w:shd w:val="clear" w:color="auto" w:fill="auto"/>
            <w:vAlign w:val="bottom"/>
          </w:tcPr>
          <w:p w14:paraId="71D47A0A" w14:textId="77777777" w:rsidR="006A3667" w:rsidRDefault="006A3667">
            <w:pPr>
              <w:rPr>
                <w:rFonts w:ascii="宋体"/>
              </w:rPr>
            </w:pPr>
          </w:p>
        </w:tc>
        <w:tc>
          <w:tcPr>
            <w:tcW w:w="20" w:type="dxa"/>
            <w:shd w:val="clear" w:color="auto" w:fill="auto"/>
            <w:vAlign w:val="bottom"/>
          </w:tcPr>
          <w:p w14:paraId="71D47A0B" w14:textId="77777777" w:rsidR="006A3667" w:rsidRDefault="006A3667">
            <w:pPr>
              <w:rPr>
                <w:rFonts w:ascii="宋体"/>
              </w:rPr>
            </w:pPr>
          </w:p>
        </w:tc>
        <w:tc>
          <w:tcPr>
            <w:tcW w:w="20" w:type="dxa"/>
            <w:shd w:val="clear" w:color="auto" w:fill="auto"/>
            <w:vAlign w:val="bottom"/>
          </w:tcPr>
          <w:p w14:paraId="71D47A0C" w14:textId="77777777" w:rsidR="006A3667" w:rsidRDefault="006A3667">
            <w:pPr>
              <w:rPr>
                <w:rFonts w:ascii="宋体"/>
              </w:rPr>
            </w:pPr>
          </w:p>
        </w:tc>
        <w:tc>
          <w:tcPr>
            <w:tcW w:w="1745" w:type="dxa"/>
            <w:shd w:val="clear" w:color="auto" w:fill="auto"/>
            <w:vAlign w:val="bottom"/>
          </w:tcPr>
          <w:p w14:paraId="71D47A0D" w14:textId="77777777" w:rsidR="006A3667" w:rsidRDefault="006A3667">
            <w:pPr>
              <w:rPr>
                <w:rFonts w:ascii="宋体"/>
              </w:rPr>
            </w:pPr>
          </w:p>
        </w:tc>
        <w:tc>
          <w:tcPr>
            <w:tcW w:w="20" w:type="dxa"/>
            <w:shd w:val="clear" w:color="auto" w:fill="auto"/>
            <w:vAlign w:val="bottom"/>
          </w:tcPr>
          <w:p w14:paraId="71D47A0E" w14:textId="77777777" w:rsidR="006A3667" w:rsidRDefault="006A3667">
            <w:pPr>
              <w:rPr>
                <w:rFonts w:ascii="宋体"/>
              </w:rPr>
            </w:pPr>
          </w:p>
        </w:tc>
      </w:tr>
      <w:tr w:rsidR="006A3667" w14:paraId="71D47A1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A1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1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1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1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14" w14:textId="77777777" w:rsidR="006A3667" w:rsidRDefault="006A3667">
            <w:pPr>
              <w:rPr>
                <w:rFonts w:ascii="宋体"/>
              </w:rPr>
            </w:pPr>
          </w:p>
        </w:tc>
      </w:tr>
    </w:tbl>
    <w:p w14:paraId="71D47A16" w14:textId="77777777" w:rsidR="006A3667" w:rsidRDefault="00045F32">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In the three months ended September 30, 2022, approximately $256 million of net unrealized gains on AFS investment securities designated in fair value hedges was recognized in OCI compared to $13 </w:t>
      </w:r>
      <w:r>
        <w:rPr>
          <w:rFonts w:ascii="Arial" w:eastAsia="宋体" w:hAnsi="Arial" w:cs="Arial"/>
          <w:color w:val="000000"/>
          <w:sz w:val="12"/>
          <w:szCs w:val="12"/>
        </w:rPr>
        <w:t>million of net unrealized gains in the same period in 2021.</w:t>
      </w:r>
    </w:p>
    <w:p w14:paraId="71D47A17" w14:textId="77777777" w:rsidR="006A3667" w:rsidRDefault="00045F32">
      <w:pPr>
        <w:jc w:val="both"/>
      </w:pPr>
      <w:r>
        <w:rPr>
          <w:rFonts w:ascii="Arial" w:eastAsia="宋体" w:hAnsi="Arial" w:cs="Arial"/>
          <w:color w:val="000000"/>
          <w:sz w:val="7"/>
          <w:szCs w:val="7"/>
        </w:rPr>
        <w:t xml:space="preserve">(2) </w:t>
      </w:r>
      <w:r>
        <w:rPr>
          <w:rFonts w:ascii="Arial" w:eastAsia="宋体" w:hAnsi="Arial" w:cs="Arial"/>
          <w:color w:val="000000"/>
          <w:sz w:val="12"/>
          <w:szCs w:val="12"/>
        </w:rPr>
        <w:t>In the nine months ended September 30, 2022, approximately $526 million of net unrealized gains on AFS investment securities designated in fair value hedges was recognized in OCI compared to $</w:t>
      </w:r>
      <w:r>
        <w:rPr>
          <w:rFonts w:ascii="Arial" w:eastAsia="宋体" w:hAnsi="Arial" w:cs="Arial"/>
          <w:color w:val="000000"/>
          <w:sz w:val="12"/>
          <w:szCs w:val="12"/>
        </w:rPr>
        <w:t>9 million of net unrealized gains in the same period in 2021.</w:t>
      </w:r>
    </w:p>
    <w:p w14:paraId="71D47A18" w14:textId="77777777" w:rsidR="006A3667" w:rsidRDefault="006A3667">
      <w:pPr>
        <w:spacing w:before="90"/>
        <w:jc w:val="both"/>
      </w:pPr>
    </w:p>
    <w:p w14:paraId="71D47A19" w14:textId="77777777" w:rsidR="006A3667" w:rsidRDefault="00045F32">
      <w:pPr>
        <w:ind w:firstLine="450"/>
        <w:jc w:val="right"/>
      </w:pPr>
      <w:r>
        <w:rPr>
          <w:rFonts w:ascii="Arial" w:eastAsia="宋体" w:hAnsi="Arial" w:cs="Arial"/>
          <w:color w:val="000000"/>
          <w:sz w:val="18"/>
          <w:szCs w:val="18"/>
        </w:rPr>
        <w:t>State Street Corporation | 79</w:t>
      </w:r>
    </w:p>
    <w:p w14:paraId="71D47A1A" w14:textId="77777777" w:rsidR="006A3667" w:rsidRDefault="006A3667">
      <w:pPr>
        <w:ind w:firstLine="450"/>
        <w:jc w:val="center"/>
      </w:pPr>
    </w:p>
    <w:p w14:paraId="71D47A1B" w14:textId="77777777" w:rsidR="006A3667" w:rsidRDefault="00045F32">
      <w:r>
        <w:pict w14:anchorId="71D4AC63">
          <v:rect id="_x0000_i1103" style="width:415.3pt;height:1.5pt" o:hralign="center" o:hrstd="t" o:hr="t" fillcolor="#a0a0a0" stroked="f"/>
        </w:pict>
      </w:r>
    </w:p>
    <w:p w14:paraId="71D47A1C" w14:textId="77777777" w:rsidR="006A3667" w:rsidRDefault="00045F32">
      <w:pPr>
        <w:ind w:firstLine="450"/>
        <w:jc w:val="center"/>
      </w:pPr>
      <w:r>
        <w:rPr>
          <w:rFonts w:ascii="Arial" w:eastAsia="宋体" w:hAnsi="Arial" w:cs="Arial"/>
          <w:b/>
          <w:bCs/>
          <w:color w:val="000000"/>
          <w:sz w:val="20"/>
          <w:szCs w:val="20"/>
        </w:rPr>
        <w:t>STATE STREET CORPORATION</w:t>
      </w:r>
    </w:p>
    <w:p w14:paraId="71D47A1D"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7A1E" w14:textId="77777777" w:rsidR="006A3667" w:rsidRDefault="00045F32">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1492"/>
        <w:gridCol w:w="36"/>
        <w:gridCol w:w="94"/>
        <w:gridCol w:w="1012"/>
        <w:gridCol w:w="37"/>
        <w:gridCol w:w="37"/>
        <w:gridCol w:w="37"/>
        <w:gridCol w:w="37"/>
        <w:gridCol w:w="94"/>
        <w:gridCol w:w="979"/>
        <w:gridCol w:w="37"/>
        <w:gridCol w:w="46"/>
        <w:gridCol w:w="46"/>
        <w:gridCol w:w="36"/>
        <w:gridCol w:w="36"/>
        <w:gridCol w:w="36"/>
        <w:gridCol w:w="51"/>
        <w:gridCol w:w="1453"/>
        <w:gridCol w:w="37"/>
        <w:gridCol w:w="36"/>
        <w:gridCol w:w="36"/>
        <w:gridCol w:w="36"/>
        <w:gridCol w:w="94"/>
        <w:gridCol w:w="982"/>
        <w:gridCol w:w="37"/>
        <w:gridCol w:w="37"/>
        <w:gridCol w:w="37"/>
        <w:gridCol w:w="37"/>
        <w:gridCol w:w="95"/>
        <w:gridCol w:w="981"/>
        <w:gridCol w:w="37"/>
        <w:gridCol w:w="36"/>
        <w:gridCol w:w="36"/>
        <w:gridCol w:w="36"/>
        <w:gridCol w:w="36"/>
        <w:gridCol w:w="36"/>
        <w:gridCol w:w="36"/>
      </w:tblGrid>
      <w:tr w:rsidR="006A3667" w14:paraId="71D47A41" w14:textId="77777777">
        <w:tc>
          <w:tcPr>
            <w:tcW w:w="50" w:type="pct"/>
            <w:shd w:val="clear" w:color="auto" w:fill="auto"/>
            <w:vAlign w:val="bottom"/>
          </w:tcPr>
          <w:p w14:paraId="71D47A1F" w14:textId="77777777" w:rsidR="006A3667" w:rsidRDefault="006A3667">
            <w:pPr>
              <w:rPr>
                <w:rFonts w:ascii="宋体"/>
              </w:rPr>
            </w:pPr>
          </w:p>
        </w:tc>
        <w:tc>
          <w:tcPr>
            <w:tcW w:w="953" w:type="pct"/>
            <w:shd w:val="clear" w:color="auto" w:fill="auto"/>
            <w:vAlign w:val="bottom"/>
          </w:tcPr>
          <w:p w14:paraId="71D47A20" w14:textId="77777777" w:rsidR="006A3667" w:rsidRDefault="006A3667">
            <w:pPr>
              <w:rPr>
                <w:rFonts w:ascii="宋体"/>
              </w:rPr>
            </w:pPr>
          </w:p>
        </w:tc>
        <w:tc>
          <w:tcPr>
            <w:tcW w:w="5" w:type="pct"/>
            <w:shd w:val="clear" w:color="auto" w:fill="auto"/>
            <w:vAlign w:val="bottom"/>
          </w:tcPr>
          <w:p w14:paraId="71D47A21" w14:textId="77777777" w:rsidR="006A3667" w:rsidRDefault="006A3667">
            <w:pPr>
              <w:rPr>
                <w:rFonts w:ascii="宋体"/>
              </w:rPr>
            </w:pPr>
          </w:p>
        </w:tc>
        <w:tc>
          <w:tcPr>
            <w:tcW w:w="50" w:type="pct"/>
            <w:shd w:val="clear" w:color="auto" w:fill="auto"/>
            <w:vAlign w:val="bottom"/>
          </w:tcPr>
          <w:p w14:paraId="71D47A22" w14:textId="77777777" w:rsidR="006A3667" w:rsidRDefault="006A3667">
            <w:pPr>
              <w:rPr>
                <w:rFonts w:ascii="宋体"/>
              </w:rPr>
            </w:pPr>
          </w:p>
        </w:tc>
        <w:tc>
          <w:tcPr>
            <w:tcW w:w="654" w:type="pct"/>
            <w:shd w:val="clear" w:color="auto" w:fill="auto"/>
            <w:vAlign w:val="bottom"/>
          </w:tcPr>
          <w:p w14:paraId="71D47A23" w14:textId="77777777" w:rsidR="006A3667" w:rsidRDefault="006A3667">
            <w:pPr>
              <w:rPr>
                <w:rFonts w:ascii="宋体"/>
              </w:rPr>
            </w:pPr>
          </w:p>
        </w:tc>
        <w:tc>
          <w:tcPr>
            <w:tcW w:w="5" w:type="pct"/>
            <w:shd w:val="clear" w:color="auto" w:fill="auto"/>
            <w:vAlign w:val="bottom"/>
          </w:tcPr>
          <w:p w14:paraId="71D47A24" w14:textId="77777777" w:rsidR="006A3667" w:rsidRDefault="006A3667">
            <w:pPr>
              <w:rPr>
                <w:rFonts w:ascii="宋体"/>
              </w:rPr>
            </w:pPr>
          </w:p>
        </w:tc>
        <w:tc>
          <w:tcPr>
            <w:tcW w:w="5" w:type="pct"/>
            <w:shd w:val="clear" w:color="auto" w:fill="auto"/>
            <w:vAlign w:val="bottom"/>
          </w:tcPr>
          <w:p w14:paraId="71D47A25" w14:textId="77777777" w:rsidR="006A3667" w:rsidRDefault="006A3667">
            <w:pPr>
              <w:rPr>
                <w:rFonts w:ascii="宋体"/>
              </w:rPr>
            </w:pPr>
          </w:p>
        </w:tc>
        <w:tc>
          <w:tcPr>
            <w:tcW w:w="26" w:type="pct"/>
            <w:shd w:val="clear" w:color="auto" w:fill="auto"/>
            <w:vAlign w:val="bottom"/>
          </w:tcPr>
          <w:p w14:paraId="71D47A26" w14:textId="77777777" w:rsidR="006A3667" w:rsidRDefault="006A3667">
            <w:pPr>
              <w:rPr>
                <w:rFonts w:ascii="宋体"/>
              </w:rPr>
            </w:pPr>
          </w:p>
        </w:tc>
        <w:tc>
          <w:tcPr>
            <w:tcW w:w="5" w:type="pct"/>
            <w:shd w:val="clear" w:color="auto" w:fill="auto"/>
            <w:vAlign w:val="bottom"/>
          </w:tcPr>
          <w:p w14:paraId="71D47A27" w14:textId="77777777" w:rsidR="006A3667" w:rsidRDefault="006A3667">
            <w:pPr>
              <w:rPr>
                <w:rFonts w:ascii="宋体"/>
              </w:rPr>
            </w:pPr>
          </w:p>
        </w:tc>
        <w:tc>
          <w:tcPr>
            <w:tcW w:w="50" w:type="pct"/>
            <w:shd w:val="clear" w:color="auto" w:fill="auto"/>
            <w:vAlign w:val="bottom"/>
          </w:tcPr>
          <w:p w14:paraId="71D47A28" w14:textId="77777777" w:rsidR="006A3667" w:rsidRDefault="006A3667">
            <w:pPr>
              <w:rPr>
                <w:rFonts w:ascii="宋体"/>
              </w:rPr>
            </w:pPr>
          </w:p>
        </w:tc>
        <w:tc>
          <w:tcPr>
            <w:tcW w:w="654" w:type="pct"/>
            <w:shd w:val="clear" w:color="auto" w:fill="auto"/>
            <w:vAlign w:val="bottom"/>
          </w:tcPr>
          <w:p w14:paraId="71D47A29" w14:textId="77777777" w:rsidR="006A3667" w:rsidRDefault="006A3667">
            <w:pPr>
              <w:rPr>
                <w:rFonts w:ascii="宋体"/>
              </w:rPr>
            </w:pPr>
          </w:p>
        </w:tc>
        <w:tc>
          <w:tcPr>
            <w:tcW w:w="5" w:type="pct"/>
            <w:shd w:val="clear" w:color="auto" w:fill="auto"/>
            <w:vAlign w:val="bottom"/>
          </w:tcPr>
          <w:p w14:paraId="71D47A2A" w14:textId="77777777" w:rsidR="006A3667" w:rsidRDefault="006A3667">
            <w:pPr>
              <w:rPr>
                <w:rFonts w:ascii="宋体"/>
              </w:rPr>
            </w:pPr>
          </w:p>
        </w:tc>
        <w:tc>
          <w:tcPr>
            <w:tcW w:w="0" w:type="auto"/>
            <w:shd w:val="clear" w:color="auto" w:fill="auto"/>
            <w:vAlign w:val="bottom"/>
          </w:tcPr>
          <w:p w14:paraId="71D47A2B" w14:textId="77777777" w:rsidR="006A3667" w:rsidRDefault="006A3667">
            <w:pPr>
              <w:rPr>
                <w:rFonts w:ascii="宋体"/>
                <w:vanish/>
              </w:rPr>
            </w:pPr>
          </w:p>
        </w:tc>
        <w:tc>
          <w:tcPr>
            <w:tcW w:w="0" w:type="auto"/>
            <w:shd w:val="clear" w:color="auto" w:fill="auto"/>
            <w:vAlign w:val="bottom"/>
          </w:tcPr>
          <w:p w14:paraId="71D47A2C" w14:textId="77777777" w:rsidR="006A3667" w:rsidRDefault="006A3667">
            <w:pPr>
              <w:rPr>
                <w:rFonts w:ascii="宋体"/>
                <w:vanish/>
              </w:rPr>
            </w:pPr>
          </w:p>
        </w:tc>
        <w:tc>
          <w:tcPr>
            <w:tcW w:w="5" w:type="pct"/>
            <w:shd w:val="clear" w:color="auto" w:fill="auto"/>
            <w:vAlign w:val="bottom"/>
          </w:tcPr>
          <w:p w14:paraId="71D47A2D" w14:textId="77777777" w:rsidR="006A3667" w:rsidRDefault="006A3667">
            <w:pPr>
              <w:rPr>
                <w:rFonts w:ascii="宋体"/>
              </w:rPr>
            </w:pPr>
          </w:p>
        </w:tc>
        <w:tc>
          <w:tcPr>
            <w:tcW w:w="26" w:type="pct"/>
            <w:shd w:val="clear" w:color="auto" w:fill="auto"/>
            <w:vAlign w:val="bottom"/>
          </w:tcPr>
          <w:p w14:paraId="71D47A2E" w14:textId="77777777" w:rsidR="006A3667" w:rsidRDefault="006A3667">
            <w:pPr>
              <w:rPr>
                <w:rFonts w:ascii="宋体"/>
              </w:rPr>
            </w:pPr>
          </w:p>
        </w:tc>
        <w:tc>
          <w:tcPr>
            <w:tcW w:w="5" w:type="pct"/>
            <w:shd w:val="clear" w:color="auto" w:fill="auto"/>
            <w:vAlign w:val="bottom"/>
          </w:tcPr>
          <w:p w14:paraId="71D47A2F" w14:textId="77777777" w:rsidR="006A3667" w:rsidRDefault="006A3667">
            <w:pPr>
              <w:rPr>
                <w:rFonts w:ascii="宋体"/>
              </w:rPr>
            </w:pPr>
          </w:p>
        </w:tc>
        <w:tc>
          <w:tcPr>
            <w:tcW w:w="50" w:type="pct"/>
            <w:shd w:val="clear" w:color="auto" w:fill="auto"/>
            <w:vAlign w:val="bottom"/>
          </w:tcPr>
          <w:p w14:paraId="71D47A30" w14:textId="77777777" w:rsidR="006A3667" w:rsidRDefault="006A3667">
            <w:pPr>
              <w:rPr>
                <w:rFonts w:ascii="宋体"/>
              </w:rPr>
            </w:pPr>
          </w:p>
        </w:tc>
        <w:tc>
          <w:tcPr>
            <w:tcW w:w="953" w:type="pct"/>
            <w:shd w:val="clear" w:color="auto" w:fill="auto"/>
            <w:vAlign w:val="bottom"/>
          </w:tcPr>
          <w:p w14:paraId="71D47A31" w14:textId="77777777" w:rsidR="006A3667" w:rsidRDefault="006A3667">
            <w:pPr>
              <w:rPr>
                <w:rFonts w:ascii="宋体"/>
              </w:rPr>
            </w:pPr>
          </w:p>
        </w:tc>
        <w:tc>
          <w:tcPr>
            <w:tcW w:w="5" w:type="pct"/>
            <w:shd w:val="clear" w:color="auto" w:fill="auto"/>
            <w:vAlign w:val="bottom"/>
          </w:tcPr>
          <w:p w14:paraId="71D47A32" w14:textId="77777777" w:rsidR="006A3667" w:rsidRDefault="006A3667">
            <w:pPr>
              <w:rPr>
                <w:rFonts w:ascii="宋体"/>
              </w:rPr>
            </w:pPr>
          </w:p>
        </w:tc>
        <w:tc>
          <w:tcPr>
            <w:tcW w:w="5" w:type="pct"/>
            <w:shd w:val="clear" w:color="auto" w:fill="auto"/>
            <w:vAlign w:val="bottom"/>
          </w:tcPr>
          <w:p w14:paraId="71D47A33" w14:textId="77777777" w:rsidR="006A3667" w:rsidRDefault="006A3667">
            <w:pPr>
              <w:rPr>
                <w:rFonts w:ascii="宋体"/>
              </w:rPr>
            </w:pPr>
          </w:p>
        </w:tc>
        <w:tc>
          <w:tcPr>
            <w:tcW w:w="26" w:type="pct"/>
            <w:shd w:val="clear" w:color="auto" w:fill="auto"/>
            <w:vAlign w:val="bottom"/>
          </w:tcPr>
          <w:p w14:paraId="71D47A34" w14:textId="77777777" w:rsidR="006A3667" w:rsidRDefault="006A3667">
            <w:pPr>
              <w:rPr>
                <w:rFonts w:ascii="宋体"/>
              </w:rPr>
            </w:pPr>
          </w:p>
        </w:tc>
        <w:tc>
          <w:tcPr>
            <w:tcW w:w="5" w:type="pct"/>
            <w:shd w:val="clear" w:color="auto" w:fill="auto"/>
            <w:vAlign w:val="bottom"/>
          </w:tcPr>
          <w:p w14:paraId="71D47A35" w14:textId="77777777" w:rsidR="006A3667" w:rsidRDefault="006A3667">
            <w:pPr>
              <w:rPr>
                <w:rFonts w:ascii="宋体"/>
              </w:rPr>
            </w:pPr>
          </w:p>
        </w:tc>
        <w:tc>
          <w:tcPr>
            <w:tcW w:w="50" w:type="pct"/>
            <w:shd w:val="clear" w:color="auto" w:fill="auto"/>
            <w:vAlign w:val="bottom"/>
          </w:tcPr>
          <w:p w14:paraId="71D47A36" w14:textId="77777777" w:rsidR="006A3667" w:rsidRDefault="006A3667">
            <w:pPr>
              <w:rPr>
                <w:rFonts w:ascii="宋体"/>
              </w:rPr>
            </w:pPr>
          </w:p>
        </w:tc>
        <w:tc>
          <w:tcPr>
            <w:tcW w:w="654" w:type="pct"/>
            <w:shd w:val="clear" w:color="auto" w:fill="auto"/>
            <w:vAlign w:val="bottom"/>
          </w:tcPr>
          <w:p w14:paraId="71D47A37" w14:textId="77777777" w:rsidR="006A3667" w:rsidRDefault="006A3667">
            <w:pPr>
              <w:rPr>
                <w:rFonts w:ascii="宋体"/>
              </w:rPr>
            </w:pPr>
          </w:p>
        </w:tc>
        <w:tc>
          <w:tcPr>
            <w:tcW w:w="5" w:type="pct"/>
            <w:shd w:val="clear" w:color="auto" w:fill="auto"/>
            <w:vAlign w:val="bottom"/>
          </w:tcPr>
          <w:p w14:paraId="71D47A38" w14:textId="77777777" w:rsidR="006A3667" w:rsidRDefault="006A3667">
            <w:pPr>
              <w:rPr>
                <w:rFonts w:ascii="宋体"/>
              </w:rPr>
            </w:pPr>
          </w:p>
        </w:tc>
        <w:tc>
          <w:tcPr>
            <w:tcW w:w="5" w:type="pct"/>
            <w:shd w:val="clear" w:color="auto" w:fill="auto"/>
            <w:vAlign w:val="bottom"/>
          </w:tcPr>
          <w:p w14:paraId="71D47A39" w14:textId="77777777" w:rsidR="006A3667" w:rsidRDefault="006A3667">
            <w:pPr>
              <w:rPr>
                <w:rFonts w:ascii="宋体"/>
              </w:rPr>
            </w:pPr>
          </w:p>
        </w:tc>
        <w:tc>
          <w:tcPr>
            <w:tcW w:w="26" w:type="pct"/>
            <w:shd w:val="clear" w:color="auto" w:fill="auto"/>
            <w:vAlign w:val="bottom"/>
          </w:tcPr>
          <w:p w14:paraId="71D47A3A" w14:textId="77777777" w:rsidR="006A3667" w:rsidRDefault="006A3667">
            <w:pPr>
              <w:rPr>
                <w:rFonts w:ascii="宋体"/>
              </w:rPr>
            </w:pPr>
          </w:p>
        </w:tc>
        <w:tc>
          <w:tcPr>
            <w:tcW w:w="5" w:type="pct"/>
            <w:shd w:val="clear" w:color="auto" w:fill="auto"/>
            <w:vAlign w:val="bottom"/>
          </w:tcPr>
          <w:p w14:paraId="71D47A3B" w14:textId="77777777" w:rsidR="006A3667" w:rsidRDefault="006A3667">
            <w:pPr>
              <w:rPr>
                <w:rFonts w:ascii="宋体"/>
              </w:rPr>
            </w:pPr>
          </w:p>
        </w:tc>
        <w:tc>
          <w:tcPr>
            <w:tcW w:w="50" w:type="pct"/>
            <w:shd w:val="clear" w:color="auto" w:fill="auto"/>
            <w:vAlign w:val="bottom"/>
          </w:tcPr>
          <w:p w14:paraId="71D47A3C" w14:textId="77777777" w:rsidR="006A3667" w:rsidRDefault="006A3667">
            <w:pPr>
              <w:rPr>
                <w:rFonts w:ascii="宋体"/>
              </w:rPr>
            </w:pPr>
          </w:p>
        </w:tc>
        <w:tc>
          <w:tcPr>
            <w:tcW w:w="654" w:type="pct"/>
            <w:shd w:val="clear" w:color="auto" w:fill="auto"/>
            <w:vAlign w:val="bottom"/>
          </w:tcPr>
          <w:p w14:paraId="71D47A3D" w14:textId="77777777" w:rsidR="006A3667" w:rsidRDefault="006A3667">
            <w:pPr>
              <w:rPr>
                <w:rFonts w:ascii="宋体"/>
              </w:rPr>
            </w:pPr>
          </w:p>
        </w:tc>
        <w:tc>
          <w:tcPr>
            <w:tcW w:w="5" w:type="pct"/>
            <w:shd w:val="clear" w:color="auto" w:fill="auto"/>
            <w:vAlign w:val="bottom"/>
          </w:tcPr>
          <w:p w14:paraId="71D47A3E" w14:textId="77777777" w:rsidR="006A3667" w:rsidRDefault="006A3667">
            <w:pPr>
              <w:rPr>
                <w:rFonts w:ascii="宋体"/>
              </w:rPr>
            </w:pPr>
          </w:p>
        </w:tc>
        <w:tc>
          <w:tcPr>
            <w:tcW w:w="0" w:type="auto"/>
            <w:gridSpan w:val="3"/>
            <w:shd w:val="clear" w:color="auto" w:fill="auto"/>
            <w:vAlign w:val="bottom"/>
          </w:tcPr>
          <w:p w14:paraId="71D47A3F" w14:textId="77777777" w:rsidR="006A3667" w:rsidRDefault="006A3667">
            <w:pPr>
              <w:rPr>
                <w:rFonts w:ascii="宋体"/>
                <w:vanish/>
              </w:rPr>
            </w:pPr>
          </w:p>
        </w:tc>
        <w:tc>
          <w:tcPr>
            <w:tcW w:w="0" w:type="auto"/>
            <w:gridSpan w:val="3"/>
            <w:shd w:val="clear" w:color="auto" w:fill="auto"/>
            <w:vAlign w:val="bottom"/>
          </w:tcPr>
          <w:p w14:paraId="71D47A40" w14:textId="77777777" w:rsidR="006A3667" w:rsidRDefault="006A3667">
            <w:pPr>
              <w:rPr>
                <w:rFonts w:ascii="宋体"/>
                <w:vanish/>
              </w:rPr>
            </w:pPr>
          </w:p>
        </w:tc>
      </w:tr>
      <w:tr w:rsidR="006A3667" w14:paraId="71D47A54" w14:textId="77777777">
        <w:tc>
          <w:tcPr>
            <w:tcW w:w="0" w:type="auto"/>
            <w:gridSpan w:val="3"/>
            <w:shd w:val="clear" w:color="auto" w:fill="auto"/>
            <w:tcMar>
              <w:top w:w="0" w:type="dxa"/>
              <w:left w:w="20" w:type="dxa"/>
              <w:bottom w:w="0" w:type="dxa"/>
              <w:right w:w="20" w:type="dxa"/>
            </w:tcMar>
            <w:vAlign w:val="bottom"/>
          </w:tcPr>
          <w:p w14:paraId="71D47A42"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A43" w14:textId="77777777" w:rsidR="006A3667" w:rsidRDefault="00045F32">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tcMar>
              <w:top w:w="0" w:type="dxa"/>
              <w:left w:w="20" w:type="dxa"/>
              <w:bottom w:w="0" w:type="dxa"/>
              <w:right w:w="20" w:type="dxa"/>
            </w:tcMar>
            <w:vAlign w:val="bottom"/>
          </w:tcPr>
          <w:p w14:paraId="71D47A44" w14:textId="77777777" w:rsidR="006A3667" w:rsidRDefault="006A3667">
            <w:pPr>
              <w:rPr>
                <w:rFonts w:ascii="宋体"/>
              </w:rPr>
            </w:pPr>
          </w:p>
        </w:tc>
        <w:tc>
          <w:tcPr>
            <w:tcW w:w="0" w:type="auto"/>
            <w:shd w:val="clear" w:color="auto" w:fill="auto"/>
            <w:tcMar>
              <w:top w:w="0" w:type="dxa"/>
              <w:left w:w="20" w:type="dxa"/>
              <w:bottom w:w="0" w:type="dxa"/>
              <w:right w:w="20" w:type="dxa"/>
            </w:tcMar>
            <w:vAlign w:val="bottom"/>
          </w:tcPr>
          <w:p w14:paraId="71D47A4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46"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A47" w14:textId="77777777" w:rsidR="006A3667" w:rsidRDefault="00045F32">
            <w:pPr>
              <w:jc w:val="center"/>
              <w:textAlignment w:val="bottom"/>
            </w:pPr>
            <w:r>
              <w:rPr>
                <w:rFonts w:ascii="Arial" w:eastAsia="宋体" w:hAnsi="Arial" w:cs="Arial"/>
                <w:b/>
                <w:bCs/>
                <w:color w:val="000000"/>
                <w:sz w:val="13"/>
                <w:szCs w:val="13"/>
              </w:rPr>
              <w:t>Three Months Ended September 30,</w:t>
            </w:r>
          </w:p>
        </w:tc>
        <w:tc>
          <w:tcPr>
            <w:tcW w:w="0" w:type="auto"/>
            <w:shd w:val="clear" w:color="auto" w:fill="auto"/>
            <w:vAlign w:val="bottom"/>
          </w:tcPr>
          <w:p w14:paraId="71D47A48" w14:textId="77777777" w:rsidR="006A3667" w:rsidRDefault="006A3667">
            <w:pPr>
              <w:rPr>
                <w:rFonts w:ascii="宋体"/>
              </w:rPr>
            </w:pPr>
          </w:p>
        </w:tc>
        <w:tc>
          <w:tcPr>
            <w:tcW w:w="0" w:type="auto"/>
            <w:shd w:val="clear" w:color="auto" w:fill="auto"/>
            <w:vAlign w:val="bottom"/>
          </w:tcPr>
          <w:p w14:paraId="71D47A49" w14:textId="77777777" w:rsidR="006A3667" w:rsidRDefault="006A3667">
            <w:pPr>
              <w:rPr>
                <w:rFonts w:ascii="宋体"/>
              </w:rPr>
            </w:pPr>
          </w:p>
        </w:tc>
        <w:tc>
          <w:tcPr>
            <w:tcW w:w="0" w:type="auto"/>
            <w:shd w:val="clear" w:color="auto" w:fill="auto"/>
            <w:vAlign w:val="bottom"/>
          </w:tcPr>
          <w:p w14:paraId="71D47A4A" w14:textId="77777777" w:rsidR="006A3667" w:rsidRDefault="006A3667">
            <w:pPr>
              <w:rPr>
                <w:rFonts w:ascii="宋体"/>
              </w:rPr>
            </w:pPr>
          </w:p>
        </w:tc>
        <w:tc>
          <w:tcPr>
            <w:tcW w:w="0" w:type="auto"/>
            <w:shd w:val="clear" w:color="auto" w:fill="auto"/>
            <w:vAlign w:val="bottom"/>
          </w:tcPr>
          <w:p w14:paraId="71D47A4B" w14:textId="77777777" w:rsidR="006A3667" w:rsidRDefault="006A3667">
            <w:pPr>
              <w:rPr>
                <w:rFonts w:ascii="宋体"/>
              </w:rPr>
            </w:pPr>
          </w:p>
        </w:tc>
        <w:tc>
          <w:tcPr>
            <w:tcW w:w="0" w:type="auto"/>
            <w:shd w:val="clear" w:color="auto" w:fill="auto"/>
            <w:vAlign w:val="bottom"/>
          </w:tcPr>
          <w:p w14:paraId="71D47A4C" w14:textId="77777777" w:rsidR="006A3667" w:rsidRDefault="006A3667">
            <w:pPr>
              <w:rPr>
                <w:rFonts w:ascii="宋体"/>
              </w:rPr>
            </w:pPr>
          </w:p>
        </w:tc>
        <w:tc>
          <w:tcPr>
            <w:tcW w:w="0" w:type="auto"/>
            <w:shd w:val="clear" w:color="auto" w:fill="auto"/>
            <w:vAlign w:val="bottom"/>
          </w:tcPr>
          <w:p w14:paraId="71D47A4D" w14:textId="77777777" w:rsidR="006A3667" w:rsidRDefault="006A3667">
            <w:pPr>
              <w:rPr>
                <w:rFonts w:ascii="宋体"/>
              </w:rPr>
            </w:pPr>
          </w:p>
        </w:tc>
        <w:tc>
          <w:tcPr>
            <w:tcW w:w="0" w:type="auto"/>
            <w:shd w:val="clear" w:color="auto" w:fill="auto"/>
            <w:vAlign w:val="bottom"/>
          </w:tcPr>
          <w:p w14:paraId="71D47A4E" w14:textId="77777777" w:rsidR="006A3667" w:rsidRDefault="006A3667">
            <w:pPr>
              <w:rPr>
                <w:rFonts w:ascii="宋体"/>
              </w:rPr>
            </w:pPr>
          </w:p>
        </w:tc>
        <w:tc>
          <w:tcPr>
            <w:tcW w:w="0" w:type="auto"/>
            <w:shd w:val="clear" w:color="auto" w:fill="auto"/>
            <w:vAlign w:val="bottom"/>
          </w:tcPr>
          <w:p w14:paraId="71D47A4F" w14:textId="77777777" w:rsidR="006A3667" w:rsidRDefault="006A3667">
            <w:pPr>
              <w:rPr>
                <w:rFonts w:ascii="宋体"/>
              </w:rPr>
            </w:pPr>
          </w:p>
        </w:tc>
        <w:tc>
          <w:tcPr>
            <w:tcW w:w="0" w:type="auto"/>
            <w:shd w:val="clear" w:color="auto" w:fill="auto"/>
            <w:vAlign w:val="bottom"/>
          </w:tcPr>
          <w:p w14:paraId="71D47A50" w14:textId="77777777" w:rsidR="006A3667" w:rsidRDefault="006A3667">
            <w:pPr>
              <w:rPr>
                <w:rFonts w:ascii="宋体"/>
              </w:rPr>
            </w:pPr>
          </w:p>
        </w:tc>
        <w:tc>
          <w:tcPr>
            <w:tcW w:w="0" w:type="auto"/>
            <w:shd w:val="clear" w:color="auto" w:fill="auto"/>
            <w:vAlign w:val="bottom"/>
          </w:tcPr>
          <w:p w14:paraId="71D47A51" w14:textId="77777777" w:rsidR="006A3667" w:rsidRDefault="006A3667">
            <w:pPr>
              <w:rPr>
                <w:rFonts w:ascii="宋体"/>
              </w:rPr>
            </w:pPr>
          </w:p>
        </w:tc>
        <w:tc>
          <w:tcPr>
            <w:tcW w:w="0" w:type="auto"/>
            <w:shd w:val="clear" w:color="auto" w:fill="auto"/>
            <w:vAlign w:val="bottom"/>
          </w:tcPr>
          <w:p w14:paraId="71D47A52" w14:textId="77777777" w:rsidR="006A3667" w:rsidRDefault="006A3667">
            <w:pPr>
              <w:rPr>
                <w:rFonts w:ascii="宋体"/>
              </w:rPr>
            </w:pPr>
          </w:p>
        </w:tc>
        <w:tc>
          <w:tcPr>
            <w:tcW w:w="0" w:type="auto"/>
            <w:shd w:val="clear" w:color="auto" w:fill="auto"/>
            <w:vAlign w:val="bottom"/>
          </w:tcPr>
          <w:p w14:paraId="71D47A53" w14:textId="77777777" w:rsidR="006A3667" w:rsidRDefault="006A3667">
            <w:pPr>
              <w:rPr>
                <w:rFonts w:ascii="宋体"/>
              </w:rPr>
            </w:pPr>
          </w:p>
        </w:tc>
      </w:tr>
      <w:tr w:rsidR="006A3667" w14:paraId="71D47A63" w14:textId="77777777">
        <w:trPr>
          <w:trHeight w:val="220"/>
        </w:trPr>
        <w:tc>
          <w:tcPr>
            <w:tcW w:w="0" w:type="auto"/>
            <w:gridSpan w:val="3"/>
            <w:shd w:val="clear" w:color="auto" w:fill="auto"/>
            <w:tcMar>
              <w:top w:w="0" w:type="dxa"/>
              <w:left w:w="20" w:type="dxa"/>
              <w:bottom w:w="0" w:type="dxa"/>
              <w:right w:w="20" w:type="dxa"/>
            </w:tcMar>
            <w:vAlign w:val="bottom"/>
          </w:tcPr>
          <w:p w14:paraId="71D47A5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A56"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57"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A58" w14:textId="77777777" w:rsidR="006A3667" w:rsidRDefault="00045F32">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71D47A59" w14:textId="77777777" w:rsidR="006A3667" w:rsidRDefault="006A3667">
            <w:pPr>
              <w:rPr>
                <w:rFonts w:ascii="宋体"/>
                <w:vanish/>
              </w:rPr>
            </w:pPr>
          </w:p>
        </w:tc>
        <w:tc>
          <w:tcPr>
            <w:tcW w:w="0" w:type="auto"/>
            <w:shd w:val="clear" w:color="auto" w:fill="auto"/>
            <w:vAlign w:val="bottom"/>
          </w:tcPr>
          <w:p w14:paraId="71D47A5A"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A5B" w14:textId="77777777" w:rsidR="006A3667" w:rsidRDefault="006A3667">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71D47A5C" w14:textId="77777777" w:rsidR="006A3667" w:rsidRDefault="00045F32">
            <w:pPr>
              <w:jc w:val="center"/>
              <w:textAlignment w:val="bottom"/>
            </w:pPr>
            <w:r>
              <w:rPr>
                <w:rFonts w:ascii="Arial" w:eastAsia="宋体" w:hAnsi="Arial" w:cs="Arial"/>
                <w:b/>
                <w:bCs/>
                <w:color w:val="000000"/>
                <w:sz w:val="13"/>
                <w:szCs w:val="13"/>
              </w:rPr>
              <w:t xml:space="preserve">Location of Gain or </w:t>
            </w:r>
            <w:r>
              <w:rPr>
                <w:rFonts w:ascii="Arial" w:eastAsia="宋体" w:hAnsi="Arial" w:cs="Arial"/>
                <w:b/>
                <w:bCs/>
                <w:color w:val="000000"/>
                <w:sz w:val="13"/>
                <w:szCs w:val="13"/>
              </w:rPr>
              <w:t>(Loss) 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71D47A5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A5E"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5F"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A60"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71D47A61" w14:textId="77777777" w:rsidR="006A3667" w:rsidRDefault="006A3667">
            <w:pPr>
              <w:rPr>
                <w:rFonts w:ascii="宋体"/>
                <w:vanish/>
              </w:rPr>
            </w:pPr>
          </w:p>
        </w:tc>
        <w:tc>
          <w:tcPr>
            <w:tcW w:w="0" w:type="auto"/>
            <w:gridSpan w:val="3"/>
            <w:shd w:val="clear" w:color="auto" w:fill="auto"/>
            <w:vAlign w:val="bottom"/>
          </w:tcPr>
          <w:p w14:paraId="71D47A62" w14:textId="77777777" w:rsidR="006A3667" w:rsidRDefault="006A3667">
            <w:pPr>
              <w:rPr>
                <w:rFonts w:ascii="宋体"/>
                <w:vanish/>
              </w:rPr>
            </w:pPr>
          </w:p>
        </w:tc>
      </w:tr>
      <w:tr w:rsidR="006A3667" w14:paraId="71D47A78" w14:textId="77777777">
        <w:trPr>
          <w:trHeight w:val="460"/>
        </w:trPr>
        <w:tc>
          <w:tcPr>
            <w:tcW w:w="0" w:type="auto"/>
            <w:gridSpan w:val="3"/>
            <w:shd w:val="clear" w:color="auto" w:fill="auto"/>
            <w:tcMar>
              <w:top w:w="40" w:type="dxa"/>
              <w:left w:w="20" w:type="dxa"/>
              <w:bottom w:w="40" w:type="dxa"/>
              <w:right w:w="20" w:type="dxa"/>
            </w:tcMar>
            <w:vAlign w:val="bottom"/>
          </w:tcPr>
          <w:p w14:paraId="71D47A64"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A65" w14:textId="77777777" w:rsidR="006A3667" w:rsidRDefault="00045F32">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tcMar>
              <w:top w:w="0" w:type="dxa"/>
              <w:left w:w="20" w:type="dxa"/>
              <w:bottom w:w="0" w:type="dxa"/>
              <w:right w:w="20" w:type="dxa"/>
            </w:tcMar>
            <w:vAlign w:val="bottom"/>
          </w:tcPr>
          <w:p w14:paraId="71D47A66" w14:textId="77777777" w:rsidR="006A3667" w:rsidRDefault="006A3667">
            <w:pPr>
              <w:rPr>
                <w:rFonts w:ascii="宋体"/>
              </w:rPr>
            </w:pPr>
          </w:p>
        </w:tc>
        <w:tc>
          <w:tcPr>
            <w:tcW w:w="0" w:type="auto"/>
            <w:shd w:val="clear" w:color="auto" w:fill="auto"/>
            <w:tcMar>
              <w:top w:w="0" w:type="dxa"/>
              <w:left w:w="20" w:type="dxa"/>
              <w:bottom w:w="0" w:type="dxa"/>
              <w:right w:w="20" w:type="dxa"/>
            </w:tcMar>
            <w:vAlign w:val="bottom"/>
          </w:tcPr>
          <w:p w14:paraId="71D47A67"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A68" w14:textId="77777777" w:rsidR="006A3667" w:rsidRDefault="00045F32">
            <w:pPr>
              <w:jc w:val="center"/>
              <w:textAlignment w:val="bottom"/>
            </w:pPr>
            <w:r>
              <w:rPr>
                <w:rFonts w:ascii="Arial" w:eastAsia="宋体" w:hAnsi="Arial" w:cs="Arial"/>
                <w:b/>
                <w:bCs/>
                <w:color w:val="000000"/>
                <w:sz w:val="13"/>
                <w:szCs w:val="13"/>
              </w:rPr>
              <w:t xml:space="preserve">Amount of Gain or (Loss) Reclassified from </w:t>
            </w:r>
            <w:r>
              <w:rPr>
                <w:rFonts w:ascii="Arial" w:eastAsia="宋体" w:hAnsi="Arial" w:cs="Arial"/>
                <w:b/>
                <w:bCs/>
                <w:color w:val="000000"/>
                <w:sz w:val="13"/>
                <w:szCs w:val="13"/>
              </w:rPr>
              <w:t>Accumulated Other Comprehensive Income into Income</w:t>
            </w:r>
          </w:p>
        </w:tc>
        <w:tc>
          <w:tcPr>
            <w:tcW w:w="0" w:type="auto"/>
            <w:shd w:val="clear" w:color="auto" w:fill="auto"/>
            <w:vAlign w:val="bottom"/>
          </w:tcPr>
          <w:p w14:paraId="71D47A69" w14:textId="77777777" w:rsidR="006A3667" w:rsidRDefault="006A3667">
            <w:pPr>
              <w:rPr>
                <w:rFonts w:ascii="宋体"/>
              </w:rPr>
            </w:pPr>
          </w:p>
        </w:tc>
        <w:tc>
          <w:tcPr>
            <w:tcW w:w="0" w:type="auto"/>
            <w:shd w:val="clear" w:color="auto" w:fill="auto"/>
            <w:vAlign w:val="bottom"/>
          </w:tcPr>
          <w:p w14:paraId="71D47A6A" w14:textId="77777777" w:rsidR="006A3667" w:rsidRDefault="006A3667">
            <w:pPr>
              <w:rPr>
                <w:rFonts w:ascii="宋体"/>
              </w:rPr>
            </w:pPr>
          </w:p>
        </w:tc>
        <w:tc>
          <w:tcPr>
            <w:tcW w:w="0" w:type="auto"/>
            <w:shd w:val="clear" w:color="auto" w:fill="auto"/>
            <w:vAlign w:val="bottom"/>
          </w:tcPr>
          <w:p w14:paraId="71D47A6B" w14:textId="77777777" w:rsidR="006A3667" w:rsidRDefault="006A3667">
            <w:pPr>
              <w:rPr>
                <w:rFonts w:ascii="宋体"/>
              </w:rPr>
            </w:pPr>
          </w:p>
        </w:tc>
        <w:tc>
          <w:tcPr>
            <w:tcW w:w="0" w:type="auto"/>
            <w:shd w:val="clear" w:color="auto" w:fill="auto"/>
            <w:vAlign w:val="bottom"/>
          </w:tcPr>
          <w:p w14:paraId="71D47A6C" w14:textId="77777777" w:rsidR="006A3667" w:rsidRDefault="006A3667">
            <w:pPr>
              <w:rPr>
                <w:rFonts w:ascii="宋体"/>
              </w:rPr>
            </w:pPr>
          </w:p>
        </w:tc>
        <w:tc>
          <w:tcPr>
            <w:tcW w:w="0" w:type="auto"/>
            <w:shd w:val="clear" w:color="auto" w:fill="auto"/>
            <w:vAlign w:val="bottom"/>
          </w:tcPr>
          <w:p w14:paraId="71D47A6D" w14:textId="77777777" w:rsidR="006A3667" w:rsidRDefault="006A3667">
            <w:pPr>
              <w:rPr>
                <w:rFonts w:ascii="宋体"/>
              </w:rPr>
            </w:pPr>
          </w:p>
        </w:tc>
        <w:tc>
          <w:tcPr>
            <w:tcW w:w="0" w:type="auto"/>
            <w:shd w:val="clear" w:color="auto" w:fill="auto"/>
            <w:vAlign w:val="bottom"/>
          </w:tcPr>
          <w:p w14:paraId="71D47A6E" w14:textId="77777777" w:rsidR="006A3667" w:rsidRDefault="006A3667">
            <w:pPr>
              <w:rPr>
                <w:rFonts w:ascii="宋体"/>
              </w:rPr>
            </w:pPr>
          </w:p>
        </w:tc>
        <w:tc>
          <w:tcPr>
            <w:tcW w:w="0" w:type="auto"/>
            <w:shd w:val="clear" w:color="auto" w:fill="auto"/>
            <w:vAlign w:val="bottom"/>
          </w:tcPr>
          <w:p w14:paraId="71D47A6F" w14:textId="77777777" w:rsidR="006A3667" w:rsidRDefault="006A3667">
            <w:pPr>
              <w:rPr>
                <w:rFonts w:ascii="宋体"/>
              </w:rPr>
            </w:pPr>
          </w:p>
        </w:tc>
        <w:tc>
          <w:tcPr>
            <w:tcW w:w="0" w:type="auto"/>
            <w:shd w:val="clear" w:color="auto" w:fill="auto"/>
            <w:vAlign w:val="bottom"/>
          </w:tcPr>
          <w:p w14:paraId="71D47A70" w14:textId="77777777" w:rsidR="006A3667" w:rsidRDefault="006A3667">
            <w:pPr>
              <w:rPr>
                <w:rFonts w:ascii="宋体"/>
              </w:rPr>
            </w:pPr>
          </w:p>
        </w:tc>
        <w:tc>
          <w:tcPr>
            <w:tcW w:w="0" w:type="auto"/>
            <w:shd w:val="clear" w:color="auto" w:fill="auto"/>
            <w:vAlign w:val="bottom"/>
          </w:tcPr>
          <w:p w14:paraId="71D47A71" w14:textId="77777777" w:rsidR="006A3667" w:rsidRDefault="006A3667">
            <w:pPr>
              <w:rPr>
                <w:rFonts w:ascii="宋体"/>
              </w:rPr>
            </w:pPr>
          </w:p>
        </w:tc>
        <w:tc>
          <w:tcPr>
            <w:tcW w:w="0" w:type="auto"/>
            <w:shd w:val="clear" w:color="auto" w:fill="auto"/>
            <w:vAlign w:val="bottom"/>
          </w:tcPr>
          <w:p w14:paraId="71D47A72" w14:textId="77777777" w:rsidR="006A3667" w:rsidRDefault="006A3667">
            <w:pPr>
              <w:rPr>
                <w:rFonts w:ascii="宋体"/>
              </w:rPr>
            </w:pPr>
          </w:p>
        </w:tc>
        <w:tc>
          <w:tcPr>
            <w:tcW w:w="0" w:type="auto"/>
            <w:shd w:val="clear" w:color="auto" w:fill="auto"/>
            <w:vAlign w:val="bottom"/>
          </w:tcPr>
          <w:p w14:paraId="71D47A73" w14:textId="77777777" w:rsidR="006A3667" w:rsidRDefault="006A3667">
            <w:pPr>
              <w:rPr>
                <w:rFonts w:ascii="宋体"/>
              </w:rPr>
            </w:pPr>
          </w:p>
        </w:tc>
        <w:tc>
          <w:tcPr>
            <w:tcW w:w="0" w:type="auto"/>
            <w:shd w:val="clear" w:color="auto" w:fill="auto"/>
            <w:vAlign w:val="bottom"/>
          </w:tcPr>
          <w:p w14:paraId="71D47A74" w14:textId="77777777" w:rsidR="006A3667" w:rsidRDefault="006A3667">
            <w:pPr>
              <w:rPr>
                <w:rFonts w:ascii="宋体"/>
              </w:rPr>
            </w:pPr>
          </w:p>
        </w:tc>
        <w:tc>
          <w:tcPr>
            <w:tcW w:w="0" w:type="auto"/>
            <w:shd w:val="clear" w:color="auto" w:fill="auto"/>
            <w:vAlign w:val="bottom"/>
          </w:tcPr>
          <w:p w14:paraId="71D47A75" w14:textId="77777777" w:rsidR="006A3667" w:rsidRDefault="006A3667">
            <w:pPr>
              <w:rPr>
                <w:rFonts w:ascii="宋体"/>
              </w:rPr>
            </w:pPr>
          </w:p>
        </w:tc>
        <w:tc>
          <w:tcPr>
            <w:tcW w:w="0" w:type="auto"/>
            <w:shd w:val="clear" w:color="auto" w:fill="auto"/>
            <w:vAlign w:val="bottom"/>
          </w:tcPr>
          <w:p w14:paraId="71D47A76" w14:textId="77777777" w:rsidR="006A3667" w:rsidRDefault="006A3667">
            <w:pPr>
              <w:rPr>
                <w:rFonts w:ascii="宋体"/>
              </w:rPr>
            </w:pPr>
          </w:p>
        </w:tc>
        <w:tc>
          <w:tcPr>
            <w:tcW w:w="0" w:type="auto"/>
            <w:shd w:val="clear" w:color="auto" w:fill="auto"/>
            <w:vAlign w:val="bottom"/>
          </w:tcPr>
          <w:p w14:paraId="71D47A77" w14:textId="77777777" w:rsidR="006A3667" w:rsidRDefault="006A3667">
            <w:pPr>
              <w:rPr>
                <w:rFonts w:ascii="宋体"/>
              </w:rPr>
            </w:pPr>
          </w:p>
        </w:tc>
      </w:tr>
      <w:tr w:rsidR="006A3667" w14:paraId="71D47A87" w14:textId="77777777">
        <w:tc>
          <w:tcPr>
            <w:tcW w:w="0" w:type="auto"/>
            <w:gridSpan w:val="3"/>
            <w:shd w:val="clear" w:color="auto" w:fill="auto"/>
            <w:tcMar>
              <w:top w:w="40" w:type="dxa"/>
              <w:left w:w="20" w:type="dxa"/>
              <w:bottom w:w="40" w:type="dxa"/>
              <w:right w:w="20" w:type="dxa"/>
            </w:tcMar>
            <w:vAlign w:val="bottom"/>
          </w:tcPr>
          <w:p w14:paraId="71D47A79" w14:textId="77777777" w:rsidR="006A3667" w:rsidRDefault="00045F32">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7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7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7C" w14:textId="77777777" w:rsidR="006A3667" w:rsidRDefault="006A3667">
            <w:pPr>
              <w:rPr>
                <w:rFonts w:ascii="宋体"/>
              </w:rPr>
            </w:pPr>
          </w:p>
        </w:tc>
        <w:tc>
          <w:tcPr>
            <w:tcW w:w="0" w:type="auto"/>
            <w:shd w:val="clear" w:color="auto" w:fill="auto"/>
            <w:vAlign w:val="bottom"/>
          </w:tcPr>
          <w:p w14:paraId="71D47A7D" w14:textId="77777777" w:rsidR="006A3667" w:rsidRDefault="006A3667">
            <w:pPr>
              <w:rPr>
                <w:rFonts w:ascii="宋体"/>
                <w:vanish/>
              </w:rPr>
            </w:pPr>
          </w:p>
        </w:tc>
        <w:tc>
          <w:tcPr>
            <w:tcW w:w="0" w:type="auto"/>
            <w:shd w:val="clear" w:color="auto" w:fill="auto"/>
            <w:vAlign w:val="bottom"/>
          </w:tcPr>
          <w:p w14:paraId="71D47A7E"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A7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8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8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8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8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84" w14:textId="77777777" w:rsidR="006A3667" w:rsidRDefault="006A3667">
            <w:pPr>
              <w:rPr>
                <w:rFonts w:ascii="宋体"/>
              </w:rPr>
            </w:pPr>
          </w:p>
        </w:tc>
        <w:tc>
          <w:tcPr>
            <w:tcW w:w="0" w:type="auto"/>
            <w:gridSpan w:val="3"/>
            <w:shd w:val="clear" w:color="auto" w:fill="auto"/>
            <w:vAlign w:val="bottom"/>
          </w:tcPr>
          <w:p w14:paraId="71D47A85" w14:textId="77777777" w:rsidR="006A3667" w:rsidRDefault="006A3667">
            <w:pPr>
              <w:rPr>
                <w:rFonts w:ascii="宋体"/>
                <w:vanish/>
              </w:rPr>
            </w:pPr>
          </w:p>
        </w:tc>
        <w:tc>
          <w:tcPr>
            <w:tcW w:w="0" w:type="auto"/>
            <w:gridSpan w:val="3"/>
            <w:shd w:val="clear" w:color="auto" w:fill="auto"/>
            <w:vAlign w:val="bottom"/>
          </w:tcPr>
          <w:p w14:paraId="71D47A86" w14:textId="77777777" w:rsidR="006A3667" w:rsidRDefault="006A3667">
            <w:pPr>
              <w:rPr>
                <w:rFonts w:ascii="宋体"/>
                <w:vanish/>
              </w:rPr>
            </w:pPr>
          </w:p>
        </w:tc>
      </w:tr>
      <w:tr w:rsidR="006A3667" w14:paraId="71D47A9E" w14:textId="77777777">
        <w:tc>
          <w:tcPr>
            <w:tcW w:w="0" w:type="auto"/>
            <w:gridSpan w:val="3"/>
            <w:shd w:val="clear" w:color="auto" w:fill="CCEEFF"/>
            <w:tcMar>
              <w:top w:w="40" w:type="dxa"/>
              <w:left w:w="20" w:type="dxa"/>
              <w:bottom w:w="40" w:type="dxa"/>
              <w:right w:w="20" w:type="dxa"/>
            </w:tcMar>
            <w:vAlign w:val="bottom"/>
          </w:tcPr>
          <w:p w14:paraId="71D47A88" w14:textId="77777777" w:rsidR="006A3667" w:rsidRDefault="00045F32">
            <w:pPr>
              <w:textAlignment w:val="bottom"/>
            </w:pPr>
            <w:r>
              <w:rPr>
                <w:rFonts w:ascii="Arial" w:eastAsia="宋体" w:hAnsi="Arial" w:cs="Arial"/>
                <w:color w:val="000000"/>
                <w:sz w:val="13"/>
                <w:szCs w:val="13"/>
              </w:rPr>
              <w:t>Interest rate contracts</w:t>
            </w:r>
            <w:r>
              <w:rPr>
                <w:rFonts w:ascii="Arial" w:eastAsia="宋体" w:hAnsi="Arial" w:cs="Arial"/>
                <w:color w:val="000000"/>
                <w:sz w:val="8"/>
                <w:szCs w:val="8"/>
              </w:rPr>
              <w:t>(1)</w:t>
            </w:r>
          </w:p>
        </w:tc>
        <w:tc>
          <w:tcPr>
            <w:tcW w:w="0" w:type="auto"/>
            <w:shd w:val="clear" w:color="auto" w:fill="CCEEFF"/>
            <w:tcMar>
              <w:top w:w="40" w:type="dxa"/>
              <w:left w:w="20" w:type="dxa"/>
              <w:bottom w:w="40" w:type="dxa"/>
              <w:right w:w="0" w:type="dxa"/>
            </w:tcMar>
            <w:vAlign w:val="bottom"/>
          </w:tcPr>
          <w:p w14:paraId="71D47A89"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A8A" w14:textId="77777777" w:rsidR="006A3667" w:rsidRDefault="00045F32">
            <w:pPr>
              <w:jc w:val="right"/>
              <w:textAlignment w:val="bottom"/>
            </w:pPr>
            <w:r>
              <w:rPr>
                <w:rFonts w:ascii="Arial" w:eastAsia="宋体" w:hAnsi="Arial" w:cs="Arial"/>
                <w:b/>
                <w:bCs/>
                <w:color w:val="000000"/>
                <w:sz w:val="13"/>
                <w:szCs w:val="13"/>
              </w:rPr>
              <w:t>(222)</w:t>
            </w:r>
          </w:p>
        </w:tc>
        <w:tc>
          <w:tcPr>
            <w:tcW w:w="0" w:type="auto"/>
            <w:shd w:val="clear" w:color="auto" w:fill="CCEEFF"/>
            <w:tcMar>
              <w:top w:w="40" w:type="dxa"/>
              <w:left w:w="0" w:type="dxa"/>
              <w:bottom w:w="40" w:type="dxa"/>
              <w:right w:w="20" w:type="dxa"/>
            </w:tcMar>
            <w:vAlign w:val="bottom"/>
          </w:tcPr>
          <w:p w14:paraId="71D47A8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A8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A8D"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A8E" w14:textId="77777777" w:rsidR="006A3667" w:rsidRDefault="00045F32">
            <w:pPr>
              <w:jc w:val="right"/>
              <w:textAlignment w:val="bottom"/>
            </w:pPr>
            <w:r>
              <w:rPr>
                <w:rFonts w:ascii="Arial" w:eastAsia="宋体" w:hAnsi="Arial" w:cs="Arial"/>
                <w:color w:val="000000"/>
                <w:sz w:val="13"/>
                <w:szCs w:val="13"/>
              </w:rPr>
              <w:t>(3)</w:t>
            </w:r>
          </w:p>
        </w:tc>
        <w:tc>
          <w:tcPr>
            <w:tcW w:w="0" w:type="auto"/>
            <w:shd w:val="clear" w:color="auto" w:fill="CCEEFF"/>
            <w:tcMar>
              <w:top w:w="40" w:type="dxa"/>
              <w:left w:w="0" w:type="dxa"/>
              <w:bottom w:w="40" w:type="dxa"/>
              <w:right w:w="20" w:type="dxa"/>
            </w:tcMar>
            <w:vAlign w:val="bottom"/>
          </w:tcPr>
          <w:p w14:paraId="71D47A8F" w14:textId="77777777" w:rsidR="006A3667" w:rsidRDefault="006A3667">
            <w:pPr>
              <w:jc w:val="right"/>
              <w:rPr>
                <w:rFonts w:ascii="宋体"/>
              </w:rPr>
            </w:pPr>
          </w:p>
        </w:tc>
        <w:tc>
          <w:tcPr>
            <w:tcW w:w="0" w:type="auto"/>
            <w:shd w:val="clear" w:color="auto" w:fill="auto"/>
            <w:vAlign w:val="bottom"/>
          </w:tcPr>
          <w:p w14:paraId="71D47A90" w14:textId="77777777" w:rsidR="006A3667" w:rsidRDefault="006A3667">
            <w:pPr>
              <w:rPr>
                <w:rFonts w:ascii="宋体"/>
                <w:vanish/>
              </w:rPr>
            </w:pPr>
          </w:p>
        </w:tc>
        <w:tc>
          <w:tcPr>
            <w:tcW w:w="0" w:type="auto"/>
            <w:shd w:val="clear" w:color="auto" w:fill="auto"/>
            <w:vAlign w:val="bottom"/>
          </w:tcPr>
          <w:p w14:paraId="71D47A91"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A92"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7A93" w14:textId="77777777" w:rsidR="006A3667" w:rsidRDefault="00045F32">
            <w:pPr>
              <w:jc w:val="cente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1D47A9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A95"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A96" w14:textId="77777777" w:rsidR="006A3667" w:rsidRDefault="00045F32">
            <w:pPr>
              <w:jc w:val="right"/>
              <w:textAlignment w:val="bottom"/>
            </w:pPr>
            <w:r>
              <w:rPr>
                <w:rFonts w:ascii="Arial" w:eastAsia="宋体" w:hAnsi="Arial" w:cs="Arial"/>
                <w:b/>
                <w:bCs/>
                <w:color w:val="000000"/>
                <w:sz w:val="13"/>
                <w:szCs w:val="13"/>
              </w:rPr>
              <w:t>(22)</w:t>
            </w:r>
          </w:p>
        </w:tc>
        <w:tc>
          <w:tcPr>
            <w:tcW w:w="0" w:type="auto"/>
            <w:shd w:val="clear" w:color="auto" w:fill="CCEEFF"/>
            <w:tcMar>
              <w:top w:w="40" w:type="dxa"/>
              <w:left w:w="0" w:type="dxa"/>
              <w:bottom w:w="40" w:type="dxa"/>
              <w:right w:w="20" w:type="dxa"/>
            </w:tcMar>
            <w:vAlign w:val="bottom"/>
          </w:tcPr>
          <w:p w14:paraId="71D47A9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A9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A99"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A9A" w14:textId="77777777" w:rsidR="006A3667" w:rsidRDefault="00045F32">
            <w:pPr>
              <w:jc w:val="right"/>
              <w:textAlignment w:val="bottom"/>
            </w:pPr>
            <w:r>
              <w:rPr>
                <w:rFonts w:ascii="Arial" w:eastAsia="宋体" w:hAnsi="Arial" w:cs="Arial"/>
                <w:color w:val="000000"/>
                <w:sz w:val="13"/>
                <w:szCs w:val="13"/>
              </w:rPr>
              <w:t>22 </w:t>
            </w:r>
          </w:p>
        </w:tc>
        <w:tc>
          <w:tcPr>
            <w:tcW w:w="0" w:type="auto"/>
            <w:shd w:val="clear" w:color="auto" w:fill="CCEEFF"/>
            <w:tcMar>
              <w:top w:w="40" w:type="dxa"/>
              <w:left w:w="0" w:type="dxa"/>
              <w:bottom w:w="40" w:type="dxa"/>
              <w:right w:w="20" w:type="dxa"/>
            </w:tcMar>
            <w:vAlign w:val="bottom"/>
          </w:tcPr>
          <w:p w14:paraId="71D47A9B" w14:textId="77777777" w:rsidR="006A3667" w:rsidRDefault="006A3667">
            <w:pPr>
              <w:jc w:val="right"/>
              <w:rPr>
                <w:rFonts w:ascii="宋体"/>
              </w:rPr>
            </w:pPr>
          </w:p>
        </w:tc>
        <w:tc>
          <w:tcPr>
            <w:tcW w:w="0" w:type="auto"/>
            <w:gridSpan w:val="3"/>
            <w:shd w:val="clear" w:color="auto" w:fill="auto"/>
            <w:vAlign w:val="bottom"/>
          </w:tcPr>
          <w:p w14:paraId="71D47A9C" w14:textId="77777777" w:rsidR="006A3667" w:rsidRDefault="006A3667">
            <w:pPr>
              <w:rPr>
                <w:rFonts w:ascii="宋体"/>
                <w:vanish/>
              </w:rPr>
            </w:pPr>
          </w:p>
        </w:tc>
        <w:tc>
          <w:tcPr>
            <w:tcW w:w="0" w:type="auto"/>
            <w:gridSpan w:val="3"/>
            <w:shd w:val="clear" w:color="auto" w:fill="auto"/>
            <w:vAlign w:val="bottom"/>
          </w:tcPr>
          <w:p w14:paraId="71D47A9D" w14:textId="77777777" w:rsidR="006A3667" w:rsidRDefault="006A3667">
            <w:pPr>
              <w:rPr>
                <w:rFonts w:ascii="宋体"/>
                <w:vanish/>
              </w:rPr>
            </w:pPr>
          </w:p>
        </w:tc>
      </w:tr>
      <w:tr w:rsidR="006A3667" w14:paraId="71D47AB1" w14:textId="77777777">
        <w:tc>
          <w:tcPr>
            <w:tcW w:w="0" w:type="auto"/>
            <w:gridSpan w:val="3"/>
            <w:shd w:val="clear" w:color="auto" w:fill="FFFFFF"/>
            <w:tcMar>
              <w:top w:w="40" w:type="dxa"/>
              <w:left w:w="20" w:type="dxa"/>
              <w:bottom w:w="40" w:type="dxa"/>
              <w:right w:w="20" w:type="dxa"/>
            </w:tcMar>
            <w:vAlign w:val="bottom"/>
          </w:tcPr>
          <w:p w14:paraId="71D47A9F" w14:textId="77777777" w:rsidR="006A3667" w:rsidRDefault="00045F32">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71D47AA0" w14:textId="77777777" w:rsidR="006A3667" w:rsidRDefault="00045F32">
            <w:pPr>
              <w:jc w:val="right"/>
              <w:textAlignment w:val="bottom"/>
            </w:pPr>
            <w:r>
              <w:rPr>
                <w:rFonts w:ascii="Arial" w:eastAsia="宋体" w:hAnsi="Arial" w:cs="Arial"/>
                <w:b/>
                <w:bCs/>
                <w:color w:val="000000"/>
                <w:sz w:val="13"/>
                <w:szCs w:val="13"/>
              </w:rPr>
              <w:t>39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7AA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AA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AA3" w14:textId="77777777" w:rsidR="006A3667" w:rsidRDefault="00045F32">
            <w:pPr>
              <w:jc w:val="right"/>
              <w:textAlignment w:val="bottom"/>
            </w:pPr>
            <w:r>
              <w:rPr>
                <w:rFonts w:ascii="Arial" w:eastAsia="宋体" w:hAnsi="Arial" w:cs="Arial"/>
                <w:color w:val="000000"/>
                <w:sz w:val="13"/>
                <w:szCs w:val="13"/>
              </w:rPr>
              <w:t>12 </w:t>
            </w:r>
          </w:p>
        </w:tc>
        <w:tc>
          <w:tcPr>
            <w:tcW w:w="0" w:type="auto"/>
            <w:shd w:val="clear" w:color="auto" w:fill="FFFFFF"/>
            <w:tcMar>
              <w:top w:w="40" w:type="dxa"/>
              <w:left w:w="0" w:type="dxa"/>
              <w:bottom w:w="40" w:type="dxa"/>
              <w:right w:w="20" w:type="dxa"/>
            </w:tcMar>
            <w:vAlign w:val="bottom"/>
          </w:tcPr>
          <w:p w14:paraId="71D47AA4" w14:textId="77777777" w:rsidR="006A3667" w:rsidRDefault="006A3667">
            <w:pPr>
              <w:jc w:val="right"/>
              <w:rPr>
                <w:rFonts w:ascii="宋体"/>
              </w:rPr>
            </w:pPr>
          </w:p>
        </w:tc>
        <w:tc>
          <w:tcPr>
            <w:tcW w:w="0" w:type="auto"/>
            <w:shd w:val="clear" w:color="auto" w:fill="auto"/>
            <w:vAlign w:val="bottom"/>
          </w:tcPr>
          <w:p w14:paraId="71D47AA5" w14:textId="77777777" w:rsidR="006A3667" w:rsidRDefault="006A3667">
            <w:pPr>
              <w:rPr>
                <w:rFonts w:ascii="宋体"/>
                <w:vanish/>
              </w:rPr>
            </w:pPr>
          </w:p>
        </w:tc>
        <w:tc>
          <w:tcPr>
            <w:tcW w:w="0" w:type="auto"/>
            <w:shd w:val="clear" w:color="auto" w:fill="auto"/>
            <w:vAlign w:val="bottom"/>
          </w:tcPr>
          <w:p w14:paraId="71D47AA6"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7AA7"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7AA8" w14:textId="77777777" w:rsidR="006A3667" w:rsidRDefault="00045F32">
            <w:pPr>
              <w:jc w:val="cente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71D47AA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AAA"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7AA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AA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AAD" w14:textId="77777777" w:rsidR="006A3667" w:rsidRDefault="00045F32">
            <w:pPr>
              <w:jc w:val="right"/>
              <w:textAlignment w:val="bottom"/>
            </w:pPr>
            <w:r>
              <w:rPr>
                <w:rFonts w:ascii="Arial" w:eastAsia="宋体" w:hAnsi="Arial" w:cs="Arial"/>
                <w:color w:val="000000"/>
                <w:sz w:val="13"/>
                <w:szCs w:val="13"/>
              </w:rPr>
              <w:t>2 </w:t>
            </w:r>
          </w:p>
        </w:tc>
        <w:tc>
          <w:tcPr>
            <w:tcW w:w="0" w:type="auto"/>
            <w:shd w:val="clear" w:color="auto" w:fill="FFFFFF"/>
            <w:tcMar>
              <w:top w:w="40" w:type="dxa"/>
              <w:left w:w="0" w:type="dxa"/>
              <w:bottom w:w="40" w:type="dxa"/>
              <w:right w:w="20" w:type="dxa"/>
            </w:tcMar>
            <w:vAlign w:val="bottom"/>
          </w:tcPr>
          <w:p w14:paraId="71D47AAE" w14:textId="77777777" w:rsidR="006A3667" w:rsidRDefault="006A3667">
            <w:pPr>
              <w:jc w:val="right"/>
              <w:rPr>
                <w:rFonts w:ascii="宋体"/>
              </w:rPr>
            </w:pPr>
          </w:p>
        </w:tc>
        <w:tc>
          <w:tcPr>
            <w:tcW w:w="0" w:type="auto"/>
            <w:gridSpan w:val="3"/>
            <w:shd w:val="clear" w:color="auto" w:fill="auto"/>
            <w:vAlign w:val="bottom"/>
          </w:tcPr>
          <w:p w14:paraId="71D47AAF" w14:textId="77777777" w:rsidR="006A3667" w:rsidRDefault="006A3667">
            <w:pPr>
              <w:rPr>
                <w:rFonts w:ascii="宋体"/>
                <w:vanish/>
              </w:rPr>
            </w:pPr>
          </w:p>
        </w:tc>
        <w:tc>
          <w:tcPr>
            <w:tcW w:w="0" w:type="auto"/>
            <w:gridSpan w:val="3"/>
            <w:shd w:val="clear" w:color="auto" w:fill="auto"/>
            <w:vAlign w:val="bottom"/>
          </w:tcPr>
          <w:p w14:paraId="71D47AB0" w14:textId="77777777" w:rsidR="006A3667" w:rsidRDefault="006A3667">
            <w:pPr>
              <w:rPr>
                <w:rFonts w:ascii="宋体"/>
                <w:vanish/>
              </w:rPr>
            </w:pPr>
          </w:p>
        </w:tc>
      </w:tr>
      <w:tr w:rsidR="006A3667" w14:paraId="71D47AC8" w14:textId="77777777">
        <w:tc>
          <w:tcPr>
            <w:tcW w:w="0" w:type="auto"/>
            <w:gridSpan w:val="3"/>
            <w:shd w:val="clear" w:color="auto" w:fill="CCEEFF"/>
            <w:tcMar>
              <w:top w:w="40" w:type="dxa"/>
              <w:left w:w="20" w:type="dxa"/>
              <w:bottom w:w="40" w:type="dxa"/>
              <w:right w:w="20" w:type="dxa"/>
            </w:tcMar>
            <w:vAlign w:val="bottom"/>
          </w:tcPr>
          <w:p w14:paraId="71D47AB2" w14:textId="77777777" w:rsidR="006A3667" w:rsidRDefault="00045F32">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AB3"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AB4" w14:textId="77777777" w:rsidR="006A3667" w:rsidRDefault="00045F32">
            <w:pPr>
              <w:jc w:val="right"/>
              <w:textAlignment w:val="bottom"/>
            </w:pPr>
            <w:r>
              <w:rPr>
                <w:rFonts w:ascii="Arial" w:eastAsia="宋体" w:hAnsi="Arial" w:cs="Arial"/>
                <w:b/>
                <w:bCs/>
                <w:color w:val="000000"/>
                <w:sz w:val="13"/>
                <w:szCs w:val="13"/>
              </w:rPr>
              <w:t>(183)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A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AB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AB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AB8" w14:textId="77777777" w:rsidR="006A3667" w:rsidRDefault="00045F32">
            <w:pPr>
              <w:jc w:val="right"/>
              <w:textAlignment w:val="bottom"/>
            </w:pPr>
            <w:r>
              <w:rPr>
                <w:rFonts w:ascii="Arial" w:eastAsia="宋体" w:hAnsi="Arial" w:cs="Arial"/>
                <w:color w:val="000000"/>
                <w:sz w:val="13"/>
                <w:szCs w:val="13"/>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AB9" w14:textId="77777777" w:rsidR="006A3667" w:rsidRDefault="006A3667">
            <w:pPr>
              <w:jc w:val="right"/>
              <w:rPr>
                <w:rFonts w:ascii="宋体"/>
              </w:rPr>
            </w:pPr>
          </w:p>
        </w:tc>
        <w:tc>
          <w:tcPr>
            <w:tcW w:w="0" w:type="auto"/>
            <w:shd w:val="clear" w:color="auto" w:fill="auto"/>
            <w:vAlign w:val="bottom"/>
          </w:tcPr>
          <w:p w14:paraId="71D47ABA" w14:textId="77777777" w:rsidR="006A3667" w:rsidRDefault="006A3667">
            <w:pPr>
              <w:rPr>
                <w:rFonts w:ascii="宋体"/>
                <w:vanish/>
              </w:rPr>
            </w:pPr>
          </w:p>
        </w:tc>
        <w:tc>
          <w:tcPr>
            <w:tcW w:w="0" w:type="auto"/>
            <w:shd w:val="clear" w:color="auto" w:fill="auto"/>
            <w:vAlign w:val="bottom"/>
          </w:tcPr>
          <w:p w14:paraId="71D47ABB"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AB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AB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AB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ABF"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AC0" w14:textId="77777777" w:rsidR="006A3667" w:rsidRDefault="00045F32">
            <w:pPr>
              <w:jc w:val="right"/>
              <w:textAlignment w:val="bottom"/>
            </w:pPr>
            <w:r>
              <w:rPr>
                <w:rFonts w:ascii="Arial" w:eastAsia="宋体" w:hAnsi="Arial" w:cs="Arial"/>
                <w:b/>
                <w:bCs/>
                <w:color w:val="000000"/>
                <w:sz w:val="13"/>
                <w:szCs w:val="13"/>
              </w:rPr>
              <w:t>(22)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AC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AC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AC3"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AC4" w14:textId="77777777" w:rsidR="006A3667" w:rsidRDefault="00045F32">
            <w:pPr>
              <w:jc w:val="right"/>
              <w:textAlignment w:val="bottom"/>
            </w:pPr>
            <w:r>
              <w:rPr>
                <w:rFonts w:ascii="Arial" w:eastAsia="宋体" w:hAnsi="Arial" w:cs="Arial"/>
                <w:color w:val="000000"/>
                <w:sz w:val="13"/>
                <w:szCs w:val="13"/>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AC5" w14:textId="77777777" w:rsidR="006A3667" w:rsidRDefault="006A3667">
            <w:pPr>
              <w:jc w:val="right"/>
              <w:rPr>
                <w:rFonts w:ascii="宋体"/>
              </w:rPr>
            </w:pPr>
          </w:p>
        </w:tc>
        <w:tc>
          <w:tcPr>
            <w:tcW w:w="0" w:type="auto"/>
            <w:gridSpan w:val="3"/>
            <w:shd w:val="clear" w:color="auto" w:fill="auto"/>
            <w:vAlign w:val="bottom"/>
          </w:tcPr>
          <w:p w14:paraId="71D47AC6" w14:textId="77777777" w:rsidR="006A3667" w:rsidRDefault="006A3667">
            <w:pPr>
              <w:rPr>
                <w:rFonts w:ascii="宋体"/>
                <w:vanish/>
              </w:rPr>
            </w:pPr>
          </w:p>
        </w:tc>
        <w:tc>
          <w:tcPr>
            <w:tcW w:w="0" w:type="auto"/>
            <w:gridSpan w:val="3"/>
            <w:shd w:val="clear" w:color="auto" w:fill="auto"/>
            <w:vAlign w:val="bottom"/>
          </w:tcPr>
          <w:p w14:paraId="71D47AC7" w14:textId="77777777" w:rsidR="006A3667" w:rsidRDefault="006A3667">
            <w:pPr>
              <w:rPr>
                <w:rFonts w:ascii="宋体"/>
                <w:vanish/>
              </w:rPr>
            </w:pPr>
          </w:p>
        </w:tc>
      </w:tr>
      <w:tr w:rsidR="006A3667" w14:paraId="71D47AD7" w14:textId="77777777">
        <w:trPr>
          <w:trHeight w:val="60"/>
        </w:trPr>
        <w:tc>
          <w:tcPr>
            <w:tcW w:w="0" w:type="auto"/>
            <w:gridSpan w:val="3"/>
            <w:shd w:val="clear" w:color="auto" w:fill="auto"/>
            <w:tcMar>
              <w:top w:w="0" w:type="dxa"/>
              <w:left w:w="20" w:type="dxa"/>
              <w:bottom w:w="0" w:type="dxa"/>
              <w:right w:w="20" w:type="dxa"/>
            </w:tcMar>
            <w:vAlign w:val="bottom"/>
          </w:tcPr>
          <w:p w14:paraId="71D47AC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C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C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CC" w14:textId="77777777" w:rsidR="006A3667" w:rsidRDefault="006A3667">
            <w:pPr>
              <w:rPr>
                <w:rFonts w:ascii="宋体"/>
              </w:rPr>
            </w:pPr>
          </w:p>
        </w:tc>
        <w:tc>
          <w:tcPr>
            <w:tcW w:w="0" w:type="auto"/>
            <w:shd w:val="clear" w:color="auto" w:fill="auto"/>
            <w:vAlign w:val="bottom"/>
          </w:tcPr>
          <w:p w14:paraId="71D47ACD" w14:textId="77777777" w:rsidR="006A3667" w:rsidRDefault="006A3667">
            <w:pPr>
              <w:rPr>
                <w:rFonts w:ascii="宋体"/>
                <w:vanish/>
              </w:rPr>
            </w:pPr>
          </w:p>
        </w:tc>
        <w:tc>
          <w:tcPr>
            <w:tcW w:w="0" w:type="auto"/>
            <w:shd w:val="clear" w:color="auto" w:fill="auto"/>
            <w:vAlign w:val="bottom"/>
          </w:tcPr>
          <w:p w14:paraId="71D47ACE"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AC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D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D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D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D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AD4" w14:textId="77777777" w:rsidR="006A3667" w:rsidRDefault="006A3667">
            <w:pPr>
              <w:rPr>
                <w:rFonts w:ascii="宋体"/>
              </w:rPr>
            </w:pPr>
          </w:p>
        </w:tc>
        <w:tc>
          <w:tcPr>
            <w:tcW w:w="0" w:type="auto"/>
            <w:gridSpan w:val="3"/>
            <w:shd w:val="clear" w:color="auto" w:fill="auto"/>
            <w:vAlign w:val="bottom"/>
          </w:tcPr>
          <w:p w14:paraId="71D47AD5" w14:textId="77777777" w:rsidR="006A3667" w:rsidRDefault="006A3667">
            <w:pPr>
              <w:rPr>
                <w:rFonts w:ascii="宋体"/>
                <w:vanish/>
              </w:rPr>
            </w:pPr>
          </w:p>
        </w:tc>
        <w:tc>
          <w:tcPr>
            <w:tcW w:w="0" w:type="auto"/>
            <w:gridSpan w:val="3"/>
            <w:shd w:val="clear" w:color="auto" w:fill="auto"/>
            <w:vAlign w:val="bottom"/>
          </w:tcPr>
          <w:p w14:paraId="71D47AD6" w14:textId="77777777" w:rsidR="006A3667" w:rsidRDefault="006A3667">
            <w:pPr>
              <w:rPr>
                <w:rFonts w:ascii="宋体"/>
                <w:vanish/>
              </w:rPr>
            </w:pPr>
          </w:p>
        </w:tc>
      </w:tr>
      <w:tr w:rsidR="006A3667" w14:paraId="71D47AE6" w14:textId="77777777">
        <w:tc>
          <w:tcPr>
            <w:tcW w:w="0" w:type="auto"/>
            <w:gridSpan w:val="3"/>
            <w:shd w:val="clear" w:color="auto" w:fill="auto"/>
            <w:tcMar>
              <w:top w:w="40" w:type="dxa"/>
              <w:left w:w="20" w:type="dxa"/>
              <w:bottom w:w="40" w:type="dxa"/>
              <w:right w:w="20" w:type="dxa"/>
            </w:tcMar>
            <w:vAlign w:val="bottom"/>
          </w:tcPr>
          <w:p w14:paraId="71D47AD8" w14:textId="77777777" w:rsidR="006A3667" w:rsidRDefault="00045F32">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71D47AD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D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DB" w14:textId="77777777" w:rsidR="006A3667" w:rsidRDefault="006A3667">
            <w:pPr>
              <w:rPr>
                <w:rFonts w:ascii="宋体"/>
              </w:rPr>
            </w:pPr>
          </w:p>
        </w:tc>
        <w:tc>
          <w:tcPr>
            <w:tcW w:w="0" w:type="auto"/>
            <w:shd w:val="clear" w:color="auto" w:fill="auto"/>
            <w:vAlign w:val="bottom"/>
          </w:tcPr>
          <w:p w14:paraId="71D47ADC" w14:textId="77777777" w:rsidR="006A3667" w:rsidRDefault="006A3667">
            <w:pPr>
              <w:rPr>
                <w:rFonts w:ascii="宋体"/>
                <w:vanish/>
              </w:rPr>
            </w:pPr>
          </w:p>
        </w:tc>
        <w:tc>
          <w:tcPr>
            <w:tcW w:w="0" w:type="auto"/>
            <w:shd w:val="clear" w:color="auto" w:fill="auto"/>
            <w:vAlign w:val="bottom"/>
          </w:tcPr>
          <w:p w14:paraId="71D47ADD"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AD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D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E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E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E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AE3" w14:textId="77777777" w:rsidR="006A3667" w:rsidRDefault="006A3667">
            <w:pPr>
              <w:rPr>
                <w:rFonts w:ascii="宋体"/>
              </w:rPr>
            </w:pPr>
          </w:p>
        </w:tc>
        <w:tc>
          <w:tcPr>
            <w:tcW w:w="0" w:type="auto"/>
            <w:gridSpan w:val="3"/>
            <w:shd w:val="clear" w:color="auto" w:fill="auto"/>
            <w:vAlign w:val="bottom"/>
          </w:tcPr>
          <w:p w14:paraId="71D47AE4" w14:textId="77777777" w:rsidR="006A3667" w:rsidRDefault="006A3667">
            <w:pPr>
              <w:rPr>
                <w:rFonts w:ascii="宋体"/>
                <w:vanish/>
              </w:rPr>
            </w:pPr>
          </w:p>
        </w:tc>
        <w:tc>
          <w:tcPr>
            <w:tcW w:w="0" w:type="auto"/>
            <w:gridSpan w:val="3"/>
            <w:shd w:val="clear" w:color="auto" w:fill="auto"/>
            <w:vAlign w:val="bottom"/>
          </w:tcPr>
          <w:p w14:paraId="71D47AE5" w14:textId="77777777" w:rsidR="006A3667" w:rsidRDefault="006A3667">
            <w:pPr>
              <w:rPr>
                <w:rFonts w:ascii="宋体"/>
                <w:vanish/>
              </w:rPr>
            </w:pPr>
          </w:p>
        </w:tc>
      </w:tr>
      <w:tr w:rsidR="006A3667" w14:paraId="71D47AFD" w14:textId="77777777">
        <w:tc>
          <w:tcPr>
            <w:tcW w:w="0" w:type="auto"/>
            <w:gridSpan w:val="3"/>
            <w:shd w:val="clear" w:color="auto" w:fill="CCEEFF"/>
            <w:tcMar>
              <w:top w:w="40" w:type="dxa"/>
              <w:left w:w="20" w:type="dxa"/>
              <w:bottom w:w="40" w:type="dxa"/>
              <w:right w:w="20" w:type="dxa"/>
            </w:tcMar>
            <w:vAlign w:val="bottom"/>
          </w:tcPr>
          <w:p w14:paraId="71D47AE7" w14:textId="77777777" w:rsidR="006A3667" w:rsidRDefault="00045F32">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71D47AE8"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AE9" w14:textId="77777777" w:rsidR="006A3667" w:rsidRDefault="00045F32">
            <w:pPr>
              <w:jc w:val="right"/>
              <w:textAlignment w:val="bottom"/>
            </w:pPr>
            <w:r>
              <w:rPr>
                <w:rFonts w:ascii="Arial" w:eastAsia="宋体" w:hAnsi="Arial" w:cs="Arial"/>
                <w:b/>
                <w:bCs/>
                <w:color w:val="000000"/>
                <w:sz w:val="13"/>
                <w:szCs w:val="13"/>
              </w:rPr>
              <w:t>395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A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AE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AEC"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AED" w14:textId="77777777" w:rsidR="006A3667" w:rsidRDefault="00045F32">
            <w:pPr>
              <w:jc w:val="right"/>
              <w:textAlignment w:val="bottom"/>
            </w:pPr>
            <w:r>
              <w:rPr>
                <w:rFonts w:ascii="Arial" w:eastAsia="宋体" w:hAnsi="Arial" w:cs="Arial"/>
                <w:color w:val="000000"/>
                <w:sz w:val="13"/>
                <w:szCs w:val="13"/>
              </w:rPr>
              <w:t>111 </w:t>
            </w:r>
          </w:p>
        </w:tc>
        <w:tc>
          <w:tcPr>
            <w:tcW w:w="0" w:type="auto"/>
            <w:shd w:val="clear" w:color="auto" w:fill="CCEEFF"/>
            <w:tcMar>
              <w:top w:w="40" w:type="dxa"/>
              <w:left w:w="0" w:type="dxa"/>
              <w:bottom w:w="40" w:type="dxa"/>
              <w:right w:w="20" w:type="dxa"/>
            </w:tcMar>
            <w:vAlign w:val="bottom"/>
          </w:tcPr>
          <w:p w14:paraId="71D47AEE" w14:textId="77777777" w:rsidR="006A3667" w:rsidRDefault="006A3667">
            <w:pPr>
              <w:jc w:val="right"/>
              <w:rPr>
                <w:rFonts w:ascii="宋体"/>
              </w:rPr>
            </w:pPr>
          </w:p>
        </w:tc>
        <w:tc>
          <w:tcPr>
            <w:tcW w:w="0" w:type="auto"/>
            <w:shd w:val="clear" w:color="auto" w:fill="auto"/>
            <w:vAlign w:val="bottom"/>
          </w:tcPr>
          <w:p w14:paraId="71D47AEF" w14:textId="77777777" w:rsidR="006A3667" w:rsidRDefault="006A3667">
            <w:pPr>
              <w:rPr>
                <w:rFonts w:ascii="宋体"/>
                <w:vanish/>
              </w:rPr>
            </w:pPr>
          </w:p>
        </w:tc>
        <w:tc>
          <w:tcPr>
            <w:tcW w:w="0" w:type="auto"/>
            <w:shd w:val="clear" w:color="auto" w:fill="auto"/>
            <w:vAlign w:val="bottom"/>
          </w:tcPr>
          <w:p w14:paraId="71D47AF0"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AF1"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7AF2" w14:textId="77777777" w:rsidR="006A3667" w:rsidRDefault="00045F32">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71D47AF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AF4"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AF5"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A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AF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AF8"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AF9"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AFA" w14:textId="77777777" w:rsidR="006A3667" w:rsidRDefault="006A3667">
            <w:pPr>
              <w:jc w:val="right"/>
              <w:rPr>
                <w:rFonts w:ascii="宋体"/>
              </w:rPr>
            </w:pPr>
          </w:p>
        </w:tc>
        <w:tc>
          <w:tcPr>
            <w:tcW w:w="0" w:type="auto"/>
            <w:gridSpan w:val="3"/>
            <w:shd w:val="clear" w:color="auto" w:fill="auto"/>
            <w:vAlign w:val="bottom"/>
          </w:tcPr>
          <w:p w14:paraId="71D47AFB" w14:textId="77777777" w:rsidR="006A3667" w:rsidRDefault="006A3667">
            <w:pPr>
              <w:rPr>
                <w:rFonts w:ascii="宋体"/>
                <w:vanish/>
              </w:rPr>
            </w:pPr>
          </w:p>
        </w:tc>
        <w:tc>
          <w:tcPr>
            <w:tcW w:w="0" w:type="auto"/>
            <w:gridSpan w:val="3"/>
            <w:shd w:val="clear" w:color="auto" w:fill="auto"/>
            <w:vAlign w:val="bottom"/>
          </w:tcPr>
          <w:p w14:paraId="71D47AFC" w14:textId="77777777" w:rsidR="006A3667" w:rsidRDefault="006A3667">
            <w:pPr>
              <w:rPr>
                <w:rFonts w:ascii="宋体"/>
                <w:vanish/>
              </w:rPr>
            </w:pPr>
          </w:p>
        </w:tc>
      </w:tr>
      <w:tr w:rsidR="006A3667" w14:paraId="71D47B10" w14:textId="77777777">
        <w:tc>
          <w:tcPr>
            <w:tcW w:w="0" w:type="auto"/>
            <w:gridSpan w:val="3"/>
            <w:shd w:val="clear" w:color="auto" w:fill="FFFFFF"/>
            <w:tcMar>
              <w:top w:w="40" w:type="dxa"/>
              <w:left w:w="20" w:type="dxa"/>
              <w:bottom w:w="40" w:type="dxa"/>
              <w:right w:w="20" w:type="dxa"/>
            </w:tcMar>
            <w:vAlign w:val="bottom"/>
          </w:tcPr>
          <w:p w14:paraId="71D47AFE" w14:textId="77777777" w:rsidR="006A3667" w:rsidRDefault="00045F32">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AFF" w14:textId="77777777" w:rsidR="006A3667" w:rsidRDefault="00045F32">
            <w:pPr>
              <w:jc w:val="right"/>
              <w:textAlignment w:val="bottom"/>
            </w:pPr>
            <w:r>
              <w:rPr>
                <w:rFonts w:ascii="Arial" w:eastAsia="宋体" w:hAnsi="Arial" w:cs="Arial"/>
                <w:b/>
                <w:bCs/>
                <w:color w:val="000000"/>
                <w:sz w:val="13"/>
                <w:szCs w:val="13"/>
              </w:rPr>
              <w:t>395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B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B0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B02" w14:textId="77777777" w:rsidR="006A3667" w:rsidRDefault="00045F32">
            <w:pPr>
              <w:jc w:val="right"/>
              <w:textAlignment w:val="bottom"/>
            </w:pPr>
            <w:r>
              <w:rPr>
                <w:rFonts w:ascii="Arial" w:eastAsia="宋体" w:hAnsi="Arial" w:cs="Arial"/>
                <w:color w:val="000000"/>
                <w:sz w:val="13"/>
                <w:szCs w:val="13"/>
              </w:rPr>
              <w:t>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B03" w14:textId="77777777" w:rsidR="006A3667" w:rsidRDefault="006A3667">
            <w:pPr>
              <w:jc w:val="right"/>
              <w:rPr>
                <w:rFonts w:ascii="宋体"/>
              </w:rPr>
            </w:pPr>
          </w:p>
        </w:tc>
        <w:tc>
          <w:tcPr>
            <w:tcW w:w="0" w:type="auto"/>
            <w:shd w:val="clear" w:color="auto" w:fill="auto"/>
            <w:vAlign w:val="bottom"/>
          </w:tcPr>
          <w:p w14:paraId="71D47B04" w14:textId="77777777" w:rsidR="006A3667" w:rsidRDefault="006A3667">
            <w:pPr>
              <w:rPr>
                <w:rFonts w:ascii="宋体"/>
                <w:vanish/>
              </w:rPr>
            </w:pPr>
          </w:p>
        </w:tc>
        <w:tc>
          <w:tcPr>
            <w:tcW w:w="0" w:type="auto"/>
            <w:shd w:val="clear" w:color="auto" w:fill="auto"/>
            <w:vAlign w:val="bottom"/>
          </w:tcPr>
          <w:p w14:paraId="71D47B05"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7B0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B0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B0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B09"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B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B0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B0C" w14:textId="77777777" w:rsidR="006A3667" w:rsidRDefault="00045F32">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B0D" w14:textId="77777777" w:rsidR="006A3667" w:rsidRDefault="006A3667">
            <w:pPr>
              <w:jc w:val="right"/>
              <w:rPr>
                <w:rFonts w:ascii="宋体"/>
              </w:rPr>
            </w:pPr>
          </w:p>
        </w:tc>
        <w:tc>
          <w:tcPr>
            <w:tcW w:w="0" w:type="auto"/>
            <w:gridSpan w:val="3"/>
            <w:shd w:val="clear" w:color="auto" w:fill="auto"/>
            <w:vAlign w:val="bottom"/>
          </w:tcPr>
          <w:p w14:paraId="71D47B0E" w14:textId="77777777" w:rsidR="006A3667" w:rsidRDefault="006A3667">
            <w:pPr>
              <w:rPr>
                <w:rFonts w:ascii="宋体"/>
                <w:vanish/>
              </w:rPr>
            </w:pPr>
          </w:p>
        </w:tc>
        <w:tc>
          <w:tcPr>
            <w:tcW w:w="0" w:type="auto"/>
            <w:gridSpan w:val="3"/>
            <w:shd w:val="clear" w:color="auto" w:fill="auto"/>
            <w:vAlign w:val="bottom"/>
          </w:tcPr>
          <w:p w14:paraId="71D47B0F" w14:textId="77777777" w:rsidR="006A3667" w:rsidRDefault="006A3667">
            <w:pPr>
              <w:rPr>
                <w:rFonts w:ascii="宋体"/>
                <w:vanish/>
              </w:rPr>
            </w:pPr>
          </w:p>
        </w:tc>
      </w:tr>
      <w:tr w:rsidR="006A3667" w14:paraId="71D47B27" w14:textId="77777777">
        <w:tc>
          <w:tcPr>
            <w:tcW w:w="0" w:type="auto"/>
            <w:gridSpan w:val="3"/>
            <w:shd w:val="clear" w:color="auto" w:fill="CCEEFF"/>
            <w:tcMar>
              <w:top w:w="40" w:type="dxa"/>
              <w:left w:w="20" w:type="dxa"/>
              <w:bottom w:w="40" w:type="dxa"/>
              <w:right w:w="20" w:type="dxa"/>
            </w:tcMar>
            <w:vAlign w:val="bottom"/>
          </w:tcPr>
          <w:p w14:paraId="71D47B11" w14:textId="77777777" w:rsidR="006A3667" w:rsidRDefault="00045F32">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B12"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B13" w14:textId="77777777" w:rsidR="006A3667" w:rsidRDefault="00045F32">
            <w:pPr>
              <w:jc w:val="right"/>
              <w:textAlignment w:val="bottom"/>
            </w:pPr>
            <w:r>
              <w:rPr>
                <w:rFonts w:ascii="Arial" w:eastAsia="宋体" w:hAnsi="Arial" w:cs="Arial"/>
                <w:b/>
                <w:bCs/>
                <w:color w:val="000000"/>
                <w:sz w:val="13"/>
                <w:szCs w:val="13"/>
              </w:rPr>
              <w:t>212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B1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B1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B16"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B17" w14:textId="77777777" w:rsidR="006A3667" w:rsidRDefault="00045F32">
            <w:pPr>
              <w:jc w:val="right"/>
              <w:textAlignment w:val="bottom"/>
            </w:pPr>
            <w:r>
              <w:rPr>
                <w:rFonts w:ascii="Arial" w:eastAsia="宋体" w:hAnsi="Arial" w:cs="Arial"/>
                <w:color w:val="000000"/>
                <w:sz w:val="13"/>
                <w:szCs w:val="13"/>
              </w:rPr>
              <w:t>120 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B18" w14:textId="77777777" w:rsidR="006A3667" w:rsidRDefault="006A3667">
            <w:pPr>
              <w:jc w:val="right"/>
              <w:rPr>
                <w:rFonts w:ascii="宋体"/>
              </w:rPr>
            </w:pPr>
          </w:p>
        </w:tc>
        <w:tc>
          <w:tcPr>
            <w:tcW w:w="0" w:type="auto"/>
            <w:shd w:val="clear" w:color="auto" w:fill="auto"/>
            <w:vAlign w:val="bottom"/>
          </w:tcPr>
          <w:p w14:paraId="71D47B19" w14:textId="77777777" w:rsidR="006A3667" w:rsidRDefault="006A3667">
            <w:pPr>
              <w:rPr>
                <w:rFonts w:ascii="宋体"/>
                <w:vanish/>
              </w:rPr>
            </w:pPr>
          </w:p>
        </w:tc>
        <w:tc>
          <w:tcPr>
            <w:tcW w:w="0" w:type="auto"/>
            <w:shd w:val="clear" w:color="auto" w:fill="auto"/>
            <w:vAlign w:val="bottom"/>
          </w:tcPr>
          <w:p w14:paraId="71D47B1A"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B1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B1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B1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B1E"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B1F" w14:textId="77777777" w:rsidR="006A3667" w:rsidRDefault="00045F32">
            <w:pPr>
              <w:jc w:val="right"/>
              <w:textAlignment w:val="bottom"/>
            </w:pPr>
            <w:r>
              <w:rPr>
                <w:rFonts w:ascii="Arial" w:eastAsia="宋体" w:hAnsi="Arial" w:cs="Arial"/>
                <w:b/>
                <w:bCs/>
                <w:color w:val="000000"/>
                <w:sz w:val="13"/>
                <w:szCs w:val="13"/>
              </w:rPr>
              <w:t>(22)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B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B2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B22"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B23" w14:textId="77777777" w:rsidR="006A3667" w:rsidRDefault="00045F32">
            <w:pPr>
              <w:jc w:val="right"/>
              <w:textAlignment w:val="bottom"/>
            </w:pPr>
            <w:r>
              <w:rPr>
                <w:rFonts w:ascii="Arial" w:eastAsia="宋体" w:hAnsi="Arial" w:cs="Arial"/>
                <w:color w:val="000000"/>
                <w:sz w:val="13"/>
                <w:szCs w:val="13"/>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B24" w14:textId="77777777" w:rsidR="006A3667" w:rsidRDefault="006A3667">
            <w:pPr>
              <w:jc w:val="right"/>
              <w:rPr>
                <w:rFonts w:ascii="宋体"/>
              </w:rPr>
            </w:pPr>
          </w:p>
        </w:tc>
        <w:tc>
          <w:tcPr>
            <w:tcW w:w="0" w:type="auto"/>
            <w:gridSpan w:val="3"/>
            <w:shd w:val="clear" w:color="auto" w:fill="auto"/>
            <w:vAlign w:val="bottom"/>
          </w:tcPr>
          <w:p w14:paraId="71D47B25" w14:textId="77777777" w:rsidR="006A3667" w:rsidRDefault="006A3667">
            <w:pPr>
              <w:rPr>
                <w:rFonts w:ascii="宋体"/>
                <w:vanish/>
              </w:rPr>
            </w:pPr>
          </w:p>
        </w:tc>
        <w:tc>
          <w:tcPr>
            <w:tcW w:w="0" w:type="auto"/>
            <w:gridSpan w:val="3"/>
            <w:shd w:val="clear" w:color="auto" w:fill="auto"/>
            <w:vAlign w:val="bottom"/>
          </w:tcPr>
          <w:p w14:paraId="71D47B26" w14:textId="77777777" w:rsidR="006A3667" w:rsidRDefault="006A3667">
            <w:pPr>
              <w:rPr>
                <w:rFonts w:ascii="宋体"/>
                <w:vanish/>
              </w:rPr>
            </w:pPr>
          </w:p>
        </w:tc>
      </w:tr>
      <w:tr w:rsidR="006A3667" w14:paraId="71D47B36" w14:textId="77777777">
        <w:trPr>
          <w:trHeight w:val="60"/>
        </w:trPr>
        <w:tc>
          <w:tcPr>
            <w:tcW w:w="0" w:type="auto"/>
            <w:gridSpan w:val="3"/>
            <w:shd w:val="clear" w:color="auto" w:fill="auto"/>
            <w:tcMar>
              <w:top w:w="0" w:type="dxa"/>
              <w:left w:w="20" w:type="dxa"/>
              <w:bottom w:w="0" w:type="dxa"/>
              <w:right w:w="20" w:type="dxa"/>
            </w:tcMar>
            <w:vAlign w:val="bottom"/>
          </w:tcPr>
          <w:p w14:paraId="71D47B2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B2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2A"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B2B" w14:textId="77777777" w:rsidR="006A3667" w:rsidRDefault="006A3667">
            <w:pPr>
              <w:rPr>
                <w:rFonts w:ascii="宋体"/>
              </w:rPr>
            </w:pPr>
          </w:p>
        </w:tc>
        <w:tc>
          <w:tcPr>
            <w:tcW w:w="0" w:type="auto"/>
            <w:shd w:val="clear" w:color="auto" w:fill="auto"/>
            <w:vAlign w:val="bottom"/>
          </w:tcPr>
          <w:p w14:paraId="71D47B2C" w14:textId="77777777" w:rsidR="006A3667" w:rsidRDefault="006A3667">
            <w:pPr>
              <w:rPr>
                <w:rFonts w:ascii="宋体"/>
                <w:vanish/>
              </w:rPr>
            </w:pPr>
          </w:p>
        </w:tc>
        <w:tc>
          <w:tcPr>
            <w:tcW w:w="0" w:type="auto"/>
            <w:shd w:val="clear" w:color="auto" w:fill="auto"/>
            <w:vAlign w:val="bottom"/>
          </w:tcPr>
          <w:p w14:paraId="71D47B2D"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B2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2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30"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B3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32"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7B33" w14:textId="77777777" w:rsidR="006A3667" w:rsidRDefault="006A3667">
            <w:pPr>
              <w:rPr>
                <w:rFonts w:ascii="宋体"/>
              </w:rPr>
            </w:pPr>
          </w:p>
        </w:tc>
        <w:tc>
          <w:tcPr>
            <w:tcW w:w="0" w:type="auto"/>
            <w:gridSpan w:val="3"/>
            <w:shd w:val="clear" w:color="auto" w:fill="auto"/>
            <w:vAlign w:val="bottom"/>
          </w:tcPr>
          <w:p w14:paraId="71D47B34" w14:textId="77777777" w:rsidR="006A3667" w:rsidRDefault="006A3667">
            <w:pPr>
              <w:rPr>
                <w:rFonts w:ascii="宋体"/>
                <w:vanish/>
              </w:rPr>
            </w:pPr>
          </w:p>
        </w:tc>
        <w:tc>
          <w:tcPr>
            <w:tcW w:w="0" w:type="auto"/>
            <w:gridSpan w:val="3"/>
            <w:shd w:val="clear" w:color="auto" w:fill="auto"/>
            <w:vAlign w:val="bottom"/>
          </w:tcPr>
          <w:p w14:paraId="71D47B35" w14:textId="77777777" w:rsidR="006A3667" w:rsidRDefault="006A3667">
            <w:pPr>
              <w:rPr>
                <w:rFonts w:ascii="宋体"/>
                <w:vanish/>
              </w:rPr>
            </w:pPr>
          </w:p>
        </w:tc>
      </w:tr>
      <w:tr w:rsidR="006A3667" w14:paraId="71D47B41" w14:textId="77777777">
        <w:tc>
          <w:tcPr>
            <w:tcW w:w="0" w:type="auto"/>
            <w:gridSpan w:val="3"/>
            <w:shd w:val="clear" w:color="auto" w:fill="auto"/>
            <w:tcMar>
              <w:top w:w="0" w:type="dxa"/>
              <w:left w:w="20" w:type="dxa"/>
              <w:bottom w:w="0" w:type="dxa"/>
              <w:right w:w="20" w:type="dxa"/>
            </w:tcMar>
            <w:vAlign w:val="bottom"/>
          </w:tcPr>
          <w:p w14:paraId="71D47B37"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B38" w14:textId="77777777" w:rsidR="006A3667" w:rsidRDefault="00045F32">
            <w:pPr>
              <w:jc w:val="center"/>
              <w:textAlignment w:val="bottom"/>
            </w:pPr>
            <w:r>
              <w:rPr>
                <w:rFonts w:ascii="Arial" w:eastAsia="宋体" w:hAnsi="Arial" w:cs="Arial"/>
                <w:b/>
                <w:bCs/>
                <w:color w:val="000000"/>
                <w:sz w:val="13"/>
                <w:szCs w:val="13"/>
              </w:rPr>
              <w:t>Nine Months Ended September 30,</w:t>
            </w:r>
          </w:p>
        </w:tc>
        <w:tc>
          <w:tcPr>
            <w:tcW w:w="0" w:type="auto"/>
            <w:shd w:val="clear" w:color="auto" w:fill="auto"/>
            <w:vAlign w:val="bottom"/>
          </w:tcPr>
          <w:p w14:paraId="71D47B39" w14:textId="77777777" w:rsidR="006A3667" w:rsidRDefault="006A3667">
            <w:pPr>
              <w:rPr>
                <w:rFonts w:ascii="宋体"/>
                <w:vanish/>
              </w:rPr>
            </w:pPr>
          </w:p>
        </w:tc>
        <w:tc>
          <w:tcPr>
            <w:tcW w:w="0" w:type="auto"/>
            <w:shd w:val="clear" w:color="auto" w:fill="auto"/>
            <w:vAlign w:val="bottom"/>
          </w:tcPr>
          <w:p w14:paraId="71D47B3A"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B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3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3D"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7B3E" w14:textId="77777777" w:rsidR="006A3667" w:rsidRDefault="00045F32">
            <w:pPr>
              <w:jc w:val="center"/>
              <w:textAlignment w:val="bottom"/>
            </w:pPr>
            <w:r>
              <w:rPr>
                <w:rFonts w:ascii="Arial" w:eastAsia="宋体" w:hAnsi="Arial" w:cs="Arial"/>
                <w:b/>
                <w:bCs/>
                <w:color w:val="000000"/>
                <w:sz w:val="13"/>
                <w:szCs w:val="13"/>
              </w:rPr>
              <w:t>Nine Months Ended September 30,</w:t>
            </w:r>
          </w:p>
        </w:tc>
        <w:tc>
          <w:tcPr>
            <w:tcW w:w="0" w:type="auto"/>
            <w:gridSpan w:val="3"/>
            <w:shd w:val="clear" w:color="auto" w:fill="auto"/>
            <w:vAlign w:val="bottom"/>
          </w:tcPr>
          <w:p w14:paraId="71D47B3F" w14:textId="77777777" w:rsidR="006A3667" w:rsidRDefault="006A3667">
            <w:pPr>
              <w:rPr>
                <w:rFonts w:ascii="宋体"/>
                <w:vanish/>
              </w:rPr>
            </w:pPr>
          </w:p>
        </w:tc>
        <w:tc>
          <w:tcPr>
            <w:tcW w:w="0" w:type="auto"/>
            <w:gridSpan w:val="3"/>
            <w:shd w:val="clear" w:color="auto" w:fill="auto"/>
            <w:vAlign w:val="bottom"/>
          </w:tcPr>
          <w:p w14:paraId="71D47B40" w14:textId="77777777" w:rsidR="006A3667" w:rsidRDefault="006A3667">
            <w:pPr>
              <w:rPr>
                <w:rFonts w:ascii="宋体"/>
                <w:vanish/>
              </w:rPr>
            </w:pPr>
          </w:p>
        </w:tc>
      </w:tr>
      <w:tr w:rsidR="006A3667" w14:paraId="71D47B50" w14:textId="77777777">
        <w:tc>
          <w:tcPr>
            <w:tcW w:w="0" w:type="auto"/>
            <w:gridSpan w:val="3"/>
            <w:shd w:val="clear" w:color="auto" w:fill="auto"/>
            <w:tcMar>
              <w:top w:w="0" w:type="dxa"/>
              <w:left w:w="20" w:type="dxa"/>
              <w:bottom w:w="0" w:type="dxa"/>
              <w:right w:w="20" w:type="dxa"/>
            </w:tcMar>
            <w:vAlign w:val="bottom"/>
          </w:tcPr>
          <w:p w14:paraId="71D47B4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B43"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44"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B45" w14:textId="77777777" w:rsidR="006A3667" w:rsidRDefault="00045F32">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71D47B46" w14:textId="77777777" w:rsidR="006A3667" w:rsidRDefault="006A3667">
            <w:pPr>
              <w:rPr>
                <w:rFonts w:ascii="宋体"/>
                <w:vanish/>
              </w:rPr>
            </w:pPr>
          </w:p>
        </w:tc>
        <w:tc>
          <w:tcPr>
            <w:tcW w:w="0" w:type="auto"/>
            <w:shd w:val="clear" w:color="auto" w:fill="auto"/>
            <w:vAlign w:val="bottom"/>
          </w:tcPr>
          <w:p w14:paraId="71D47B47"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B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4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4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B4B"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4C"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B4D"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71D47B4E" w14:textId="77777777" w:rsidR="006A3667" w:rsidRDefault="006A3667">
            <w:pPr>
              <w:rPr>
                <w:rFonts w:ascii="宋体"/>
                <w:vanish/>
              </w:rPr>
            </w:pPr>
          </w:p>
        </w:tc>
        <w:tc>
          <w:tcPr>
            <w:tcW w:w="0" w:type="auto"/>
            <w:gridSpan w:val="3"/>
            <w:shd w:val="clear" w:color="auto" w:fill="auto"/>
            <w:vAlign w:val="bottom"/>
          </w:tcPr>
          <w:p w14:paraId="71D47B4F" w14:textId="77777777" w:rsidR="006A3667" w:rsidRDefault="006A3667">
            <w:pPr>
              <w:rPr>
                <w:rFonts w:ascii="宋体"/>
                <w:vanish/>
              </w:rPr>
            </w:pPr>
          </w:p>
        </w:tc>
      </w:tr>
      <w:tr w:rsidR="006A3667" w14:paraId="71D47B5B" w14:textId="77777777">
        <w:tc>
          <w:tcPr>
            <w:tcW w:w="0" w:type="auto"/>
            <w:gridSpan w:val="3"/>
            <w:shd w:val="clear" w:color="auto" w:fill="auto"/>
            <w:tcMar>
              <w:top w:w="40" w:type="dxa"/>
              <w:left w:w="20" w:type="dxa"/>
              <w:bottom w:w="40" w:type="dxa"/>
              <w:right w:w="20" w:type="dxa"/>
            </w:tcMar>
            <w:vAlign w:val="bottom"/>
          </w:tcPr>
          <w:p w14:paraId="71D47B51" w14:textId="77777777" w:rsidR="006A3667" w:rsidRDefault="00045F32">
            <w:pPr>
              <w:textAlignment w:val="bottom"/>
            </w:pPr>
            <w:r>
              <w:rPr>
                <w:rFonts w:ascii="Arial" w:eastAsia="宋体" w:hAnsi="Arial" w:cs="Arial"/>
                <w:b/>
                <w:bCs/>
                <w:color w:val="000000"/>
                <w:sz w:val="13"/>
                <w:szCs w:val="13"/>
              </w:rPr>
              <w:t>(In millio</w:t>
            </w:r>
            <w:r>
              <w:rPr>
                <w:rFonts w:ascii="Arial" w:eastAsia="宋体" w:hAnsi="Arial" w:cs="Arial"/>
                <w:b/>
                <w:bCs/>
                <w:color w:val="000000"/>
                <w:sz w:val="13"/>
                <w:szCs w:val="13"/>
              </w:rPr>
              <w:t>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B52" w14:textId="77777777" w:rsidR="006A3667" w:rsidRDefault="00045F32">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vAlign w:val="bottom"/>
          </w:tcPr>
          <w:p w14:paraId="71D47B53" w14:textId="77777777" w:rsidR="006A3667" w:rsidRDefault="006A3667">
            <w:pPr>
              <w:rPr>
                <w:rFonts w:ascii="宋体"/>
                <w:vanish/>
              </w:rPr>
            </w:pPr>
          </w:p>
        </w:tc>
        <w:tc>
          <w:tcPr>
            <w:tcW w:w="0" w:type="auto"/>
            <w:shd w:val="clear" w:color="auto" w:fill="auto"/>
            <w:vAlign w:val="bottom"/>
          </w:tcPr>
          <w:p w14:paraId="71D47B54"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B5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7B56" w14:textId="77777777" w:rsidR="006A3667" w:rsidRDefault="00045F32">
            <w:pPr>
              <w:jc w:val="center"/>
              <w:textAlignment w:val="bottom"/>
            </w:pPr>
            <w:r>
              <w:rPr>
                <w:rFonts w:ascii="Arial" w:eastAsia="宋体" w:hAnsi="Arial" w:cs="Arial"/>
                <w:b/>
                <w:bCs/>
                <w:color w:val="000000"/>
                <w:sz w:val="13"/>
                <w:szCs w:val="13"/>
              </w:rPr>
              <w:t>Location of Gain or (Loss) 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71D47B57"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B58" w14:textId="77777777" w:rsidR="006A3667" w:rsidRDefault="00045F32">
            <w:pPr>
              <w:jc w:val="center"/>
              <w:textAlignment w:val="bottom"/>
            </w:pPr>
            <w:r>
              <w:rPr>
                <w:rFonts w:ascii="Arial" w:eastAsia="宋体" w:hAnsi="Arial" w:cs="Arial"/>
                <w:b/>
                <w:bCs/>
                <w:color w:val="000000"/>
                <w:sz w:val="13"/>
                <w:szCs w:val="13"/>
              </w:rPr>
              <w:t>Amount of Gain or (Loss) Reclassified from Accumulated Other Comprehensi</w:t>
            </w:r>
            <w:r>
              <w:rPr>
                <w:rFonts w:ascii="Arial" w:eastAsia="宋体" w:hAnsi="Arial" w:cs="Arial"/>
                <w:b/>
                <w:bCs/>
                <w:color w:val="000000"/>
                <w:sz w:val="13"/>
                <w:szCs w:val="13"/>
              </w:rPr>
              <w:t>ve Income into Income</w:t>
            </w:r>
          </w:p>
        </w:tc>
        <w:tc>
          <w:tcPr>
            <w:tcW w:w="0" w:type="auto"/>
            <w:gridSpan w:val="3"/>
            <w:shd w:val="clear" w:color="auto" w:fill="auto"/>
            <w:vAlign w:val="bottom"/>
          </w:tcPr>
          <w:p w14:paraId="71D47B59" w14:textId="77777777" w:rsidR="006A3667" w:rsidRDefault="006A3667">
            <w:pPr>
              <w:rPr>
                <w:rFonts w:ascii="宋体"/>
                <w:vanish/>
              </w:rPr>
            </w:pPr>
          </w:p>
        </w:tc>
        <w:tc>
          <w:tcPr>
            <w:tcW w:w="0" w:type="auto"/>
            <w:gridSpan w:val="3"/>
            <w:shd w:val="clear" w:color="auto" w:fill="auto"/>
            <w:vAlign w:val="bottom"/>
          </w:tcPr>
          <w:p w14:paraId="71D47B5A" w14:textId="77777777" w:rsidR="006A3667" w:rsidRDefault="006A3667">
            <w:pPr>
              <w:rPr>
                <w:rFonts w:ascii="宋体"/>
                <w:vanish/>
              </w:rPr>
            </w:pPr>
          </w:p>
        </w:tc>
      </w:tr>
      <w:tr w:rsidR="006A3667" w14:paraId="71D47B6A" w14:textId="77777777">
        <w:tc>
          <w:tcPr>
            <w:tcW w:w="0" w:type="auto"/>
            <w:gridSpan w:val="3"/>
            <w:shd w:val="clear" w:color="auto" w:fill="auto"/>
            <w:tcMar>
              <w:top w:w="40" w:type="dxa"/>
              <w:left w:w="20" w:type="dxa"/>
              <w:bottom w:w="40" w:type="dxa"/>
              <w:right w:w="20" w:type="dxa"/>
            </w:tcMar>
            <w:vAlign w:val="bottom"/>
          </w:tcPr>
          <w:p w14:paraId="71D47B5C" w14:textId="77777777" w:rsidR="006A3667" w:rsidRDefault="00045F32">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5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5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5F" w14:textId="77777777" w:rsidR="006A3667" w:rsidRDefault="006A3667">
            <w:pPr>
              <w:rPr>
                <w:rFonts w:ascii="宋体"/>
              </w:rPr>
            </w:pPr>
          </w:p>
        </w:tc>
        <w:tc>
          <w:tcPr>
            <w:tcW w:w="0" w:type="auto"/>
            <w:shd w:val="clear" w:color="auto" w:fill="auto"/>
            <w:vAlign w:val="bottom"/>
          </w:tcPr>
          <w:p w14:paraId="71D47B60" w14:textId="77777777" w:rsidR="006A3667" w:rsidRDefault="006A3667">
            <w:pPr>
              <w:rPr>
                <w:rFonts w:ascii="宋体"/>
                <w:vanish/>
              </w:rPr>
            </w:pPr>
          </w:p>
        </w:tc>
        <w:tc>
          <w:tcPr>
            <w:tcW w:w="0" w:type="auto"/>
            <w:shd w:val="clear" w:color="auto" w:fill="auto"/>
            <w:vAlign w:val="bottom"/>
          </w:tcPr>
          <w:p w14:paraId="71D47B61"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B6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6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6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6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6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67" w14:textId="77777777" w:rsidR="006A3667" w:rsidRDefault="006A3667">
            <w:pPr>
              <w:rPr>
                <w:rFonts w:ascii="宋体"/>
              </w:rPr>
            </w:pPr>
          </w:p>
        </w:tc>
        <w:tc>
          <w:tcPr>
            <w:tcW w:w="0" w:type="auto"/>
            <w:gridSpan w:val="3"/>
            <w:shd w:val="clear" w:color="auto" w:fill="auto"/>
            <w:vAlign w:val="bottom"/>
          </w:tcPr>
          <w:p w14:paraId="71D47B68" w14:textId="77777777" w:rsidR="006A3667" w:rsidRDefault="006A3667">
            <w:pPr>
              <w:rPr>
                <w:rFonts w:ascii="宋体"/>
                <w:vanish/>
              </w:rPr>
            </w:pPr>
          </w:p>
        </w:tc>
        <w:tc>
          <w:tcPr>
            <w:tcW w:w="0" w:type="auto"/>
            <w:gridSpan w:val="3"/>
            <w:shd w:val="clear" w:color="auto" w:fill="auto"/>
            <w:vAlign w:val="bottom"/>
          </w:tcPr>
          <w:p w14:paraId="71D47B69" w14:textId="77777777" w:rsidR="006A3667" w:rsidRDefault="006A3667">
            <w:pPr>
              <w:rPr>
                <w:rFonts w:ascii="宋体"/>
                <w:vanish/>
              </w:rPr>
            </w:pPr>
          </w:p>
        </w:tc>
      </w:tr>
      <w:tr w:rsidR="006A3667" w14:paraId="71D47B81" w14:textId="77777777">
        <w:tc>
          <w:tcPr>
            <w:tcW w:w="0" w:type="auto"/>
            <w:gridSpan w:val="3"/>
            <w:shd w:val="clear" w:color="auto" w:fill="CCEEFF"/>
            <w:tcMar>
              <w:top w:w="40" w:type="dxa"/>
              <w:left w:w="20" w:type="dxa"/>
              <w:bottom w:w="40" w:type="dxa"/>
              <w:right w:w="20" w:type="dxa"/>
            </w:tcMar>
            <w:vAlign w:val="bottom"/>
          </w:tcPr>
          <w:p w14:paraId="71D47B6B" w14:textId="77777777" w:rsidR="006A3667" w:rsidRDefault="00045F32">
            <w:pPr>
              <w:textAlignment w:val="bottom"/>
            </w:pPr>
            <w:r>
              <w:rPr>
                <w:rFonts w:ascii="Arial" w:eastAsia="宋体" w:hAnsi="Arial" w:cs="Arial"/>
                <w:color w:val="000000"/>
                <w:sz w:val="13"/>
                <w:szCs w:val="13"/>
              </w:rPr>
              <w:t>Interest rate contracts</w:t>
            </w:r>
          </w:p>
        </w:tc>
        <w:tc>
          <w:tcPr>
            <w:tcW w:w="0" w:type="auto"/>
            <w:shd w:val="clear" w:color="auto" w:fill="CCEEFF"/>
            <w:tcMar>
              <w:top w:w="40" w:type="dxa"/>
              <w:left w:w="20" w:type="dxa"/>
              <w:bottom w:w="40" w:type="dxa"/>
              <w:right w:w="0" w:type="dxa"/>
            </w:tcMar>
            <w:vAlign w:val="bottom"/>
          </w:tcPr>
          <w:p w14:paraId="71D47B6C"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B6D" w14:textId="77777777" w:rsidR="006A3667" w:rsidRDefault="00045F32">
            <w:pPr>
              <w:jc w:val="right"/>
              <w:textAlignment w:val="bottom"/>
            </w:pPr>
            <w:r>
              <w:rPr>
                <w:rFonts w:ascii="Arial" w:eastAsia="宋体" w:hAnsi="Arial" w:cs="Arial"/>
                <w:b/>
                <w:bCs/>
                <w:color w:val="000000"/>
                <w:sz w:val="13"/>
                <w:szCs w:val="13"/>
              </w:rPr>
              <w:t>(604)</w:t>
            </w:r>
          </w:p>
        </w:tc>
        <w:tc>
          <w:tcPr>
            <w:tcW w:w="0" w:type="auto"/>
            <w:shd w:val="clear" w:color="auto" w:fill="CCEEFF"/>
            <w:tcMar>
              <w:top w:w="40" w:type="dxa"/>
              <w:left w:w="0" w:type="dxa"/>
              <w:bottom w:w="40" w:type="dxa"/>
              <w:right w:w="20" w:type="dxa"/>
            </w:tcMar>
            <w:vAlign w:val="bottom"/>
          </w:tcPr>
          <w:p w14:paraId="71D47B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B6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B70"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B71" w14:textId="77777777" w:rsidR="006A3667" w:rsidRDefault="00045F32">
            <w:pPr>
              <w:jc w:val="right"/>
              <w:textAlignment w:val="bottom"/>
            </w:pPr>
            <w:r>
              <w:rPr>
                <w:rFonts w:ascii="Arial" w:eastAsia="宋体" w:hAnsi="Arial" w:cs="Arial"/>
                <w:b/>
                <w:bCs/>
                <w:color w:val="000000"/>
                <w:sz w:val="13"/>
                <w:szCs w:val="13"/>
              </w:rPr>
              <w:t>(9)</w:t>
            </w:r>
          </w:p>
        </w:tc>
        <w:tc>
          <w:tcPr>
            <w:tcW w:w="0" w:type="auto"/>
            <w:shd w:val="clear" w:color="auto" w:fill="CCEEFF"/>
            <w:tcMar>
              <w:top w:w="40" w:type="dxa"/>
              <w:left w:w="0" w:type="dxa"/>
              <w:bottom w:w="40" w:type="dxa"/>
              <w:right w:w="20" w:type="dxa"/>
            </w:tcMar>
            <w:vAlign w:val="bottom"/>
          </w:tcPr>
          <w:p w14:paraId="71D47B72" w14:textId="77777777" w:rsidR="006A3667" w:rsidRDefault="006A3667">
            <w:pPr>
              <w:jc w:val="right"/>
              <w:rPr>
                <w:rFonts w:ascii="宋体"/>
              </w:rPr>
            </w:pPr>
          </w:p>
        </w:tc>
        <w:tc>
          <w:tcPr>
            <w:tcW w:w="0" w:type="auto"/>
            <w:shd w:val="clear" w:color="auto" w:fill="auto"/>
            <w:vAlign w:val="bottom"/>
          </w:tcPr>
          <w:p w14:paraId="71D47B73" w14:textId="77777777" w:rsidR="006A3667" w:rsidRDefault="006A3667">
            <w:pPr>
              <w:rPr>
                <w:rFonts w:ascii="宋体"/>
                <w:vanish/>
              </w:rPr>
            </w:pPr>
          </w:p>
        </w:tc>
        <w:tc>
          <w:tcPr>
            <w:tcW w:w="0" w:type="auto"/>
            <w:shd w:val="clear" w:color="auto" w:fill="auto"/>
            <w:vAlign w:val="bottom"/>
          </w:tcPr>
          <w:p w14:paraId="71D47B74"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B75"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7B76" w14:textId="77777777" w:rsidR="006A3667" w:rsidRDefault="00045F32">
            <w:pPr>
              <w:jc w:val="cente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71D47B7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B78"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B79" w14:textId="77777777" w:rsidR="006A3667" w:rsidRDefault="00045F32">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B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B7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B7C"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B7D" w14:textId="77777777" w:rsidR="006A3667" w:rsidRDefault="00045F32">
            <w:pPr>
              <w:jc w:val="right"/>
              <w:textAlignment w:val="bottom"/>
            </w:pPr>
            <w:r>
              <w:rPr>
                <w:rFonts w:ascii="Arial" w:eastAsia="宋体" w:hAnsi="Arial" w:cs="Arial"/>
                <w:color w:val="000000"/>
                <w:sz w:val="13"/>
                <w:szCs w:val="13"/>
              </w:rPr>
              <w:t>62 </w:t>
            </w:r>
          </w:p>
        </w:tc>
        <w:tc>
          <w:tcPr>
            <w:tcW w:w="0" w:type="auto"/>
            <w:shd w:val="clear" w:color="auto" w:fill="CCEEFF"/>
            <w:tcMar>
              <w:top w:w="40" w:type="dxa"/>
              <w:left w:w="0" w:type="dxa"/>
              <w:bottom w:w="40" w:type="dxa"/>
              <w:right w:w="20" w:type="dxa"/>
            </w:tcMar>
            <w:vAlign w:val="bottom"/>
          </w:tcPr>
          <w:p w14:paraId="71D47B7E" w14:textId="77777777" w:rsidR="006A3667" w:rsidRDefault="006A3667">
            <w:pPr>
              <w:jc w:val="right"/>
              <w:rPr>
                <w:rFonts w:ascii="宋体"/>
              </w:rPr>
            </w:pPr>
          </w:p>
        </w:tc>
        <w:tc>
          <w:tcPr>
            <w:tcW w:w="0" w:type="auto"/>
            <w:gridSpan w:val="3"/>
            <w:shd w:val="clear" w:color="auto" w:fill="auto"/>
            <w:vAlign w:val="bottom"/>
          </w:tcPr>
          <w:p w14:paraId="71D47B7F" w14:textId="77777777" w:rsidR="006A3667" w:rsidRDefault="006A3667">
            <w:pPr>
              <w:rPr>
                <w:rFonts w:ascii="宋体"/>
                <w:vanish/>
              </w:rPr>
            </w:pPr>
          </w:p>
        </w:tc>
        <w:tc>
          <w:tcPr>
            <w:tcW w:w="0" w:type="auto"/>
            <w:gridSpan w:val="3"/>
            <w:shd w:val="clear" w:color="auto" w:fill="auto"/>
            <w:vAlign w:val="bottom"/>
          </w:tcPr>
          <w:p w14:paraId="71D47B80" w14:textId="77777777" w:rsidR="006A3667" w:rsidRDefault="006A3667">
            <w:pPr>
              <w:rPr>
                <w:rFonts w:ascii="宋体"/>
                <w:vanish/>
              </w:rPr>
            </w:pPr>
          </w:p>
        </w:tc>
      </w:tr>
      <w:tr w:rsidR="006A3667" w14:paraId="71D47B95" w14:textId="77777777">
        <w:tc>
          <w:tcPr>
            <w:tcW w:w="0" w:type="auto"/>
            <w:gridSpan w:val="3"/>
            <w:shd w:val="clear" w:color="auto" w:fill="FFFFFF"/>
            <w:tcMar>
              <w:top w:w="40" w:type="dxa"/>
              <w:left w:w="20" w:type="dxa"/>
              <w:bottom w:w="40" w:type="dxa"/>
              <w:right w:w="20" w:type="dxa"/>
            </w:tcMar>
            <w:vAlign w:val="bottom"/>
          </w:tcPr>
          <w:p w14:paraId="71D47B82" w14:textId="77777777" w:rsidR="006A3667" w:rsidRDefault="00045F32">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71D47B83" w14:textId="77777777" w:rsidR="006A3667" w:rsidRDefault="00045F32">
            <w:pPr>
              <w:jc w:val="right"/>
              <w:textAlignment w:val="bottom"/>
            </w:pPr>
            <w:r>
              <w:rPr>
                <w:rFonts w:ascii="Arial" w:eastAsia="宋体" w:hAnsi="Arial" w:cs="Arial"/>
                <w:b/>
                <w:bCs/>
                <w:color w:val="000000"/>
                <w:sz w:val="13"/>
                <w:szCs w:val="13"/>
              </w:rPr>
              <w:t>215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7B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B85"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7B86" w14:textId="77777777" w:rsidR="006A3667" w:rsidRDefault="00045F32">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71D47B87" w14:textId="77777777" w:rsidR="006A3667" w:rsidRDefault="00045F32">
            <w:pPr>
              <w:jc w:val="right"/>
              <w:textAlignment w:val="bottom"/>
            </w:pPr>
            <w:r>
              <w:rPr>
                <w:rFonts w:ascii="Arial" w:eastAsia="宋体" w:hAnsi="Arial" w:cs="Arial"/>
                <w:color w:val="000000"/>
                <w:sz w:val="13"/>
                <w:szCs w:val="13"/>
              </w:rPr>
              <w:t>55 </w:t>
            </w:r>
          </w:p>
        </w:tc>
        <w:tc>
          <w:tcPr>
            <w:tcW w:w="0" w:type="auto"/>
            <w:shd w:val="clear" w:color="auto" w:fill="FFFFFF"/>
            <w:tcMar>
              <w:top w:w="40" w:type="dxa"/>
              <w:left w:w="0" w:type="dxa"/>
              <w:bottom w:w="40" w:type="dxa"/>
              <w:right w:w="20" w:type="dxa"/>
            </w:tcMar>
            <w:vAlign w:val="bottom"/>
          </w:tcPr>
          <w:p w14:paraId="71D47B88" w14:textId="77777777" w:rsidR="006A3667" w:rsidRDefault="006A3667">
            <w:pPr>
              <w:jc w:val="right"/>
              <w:rPr>
                <w:rFonts w:ascii="宋体"/>
              </w:rPr>
            </w:pPr>
          </w:p>
        </w:tc>
        <w:tc>
          <w:tcPr>
            <w:tcW w:w="0" w:type="auto"/>
            <w:shd w:val="clear" w:color="auto" w:fill="auto"/>
            <w:vAlign w:val="bottom"/>
          </w:tcPr>
          <w:p w14:paraId="71D47B89" w14:textId="77777777" w:rsidR="006A3667" w:rsidRDefault="006A3667">
            <w:pPr>
              <w:rPr>
                <w:rFonts w:ascii="宋体"/>
                <w:vanish/>
              </w:rPr>
            </w:pPr>
          </w:p>
        </w:tc>
        <w:tc>
          <w:tcPr>
            <w:tcW w:w="0" w:type="auto"/>
            <w:shd w:val="clear" w:color="auto" w:fill="auto"/>
            <w:vAlign w:val="bottom"/>
          </w:tcPr>
          <w:p w14:paraId="71D47B8A"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7B8B"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bottom"/>
          </w:tcPr>
          <w:p w14:paraId="71D47B8C" w14:textId="77777777" w:rsidR="006A3667" w:rsidRDefault="00045F32">
            <w:pPr>
              <w:jc w:val="cente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71D47B8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B8E" w14:textId="77777777" w:rsidR="006A3667" w:rsidRDefault="00045F32">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7B8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B9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B91" w14:textId="77777777" w:rsidR="006A3667" w:rsidRDefault="00045F32">
            <w:pPr>
              <w:jc w:val="right"/>
              <w:textAlignment w:val="bottom"/>
            </w:pPr>
            <w:r>
              <w:rPr>
                <w:rFonts w:ascii="Arial" w:eastAsia="宋体" w:hAnsi="Arial" w:cs="Arial"/>
                <w:color w:val="000000"/>
                <w:sz w:val="13"/>
                <w:szCs w:val="13"/>
              </w:rPr>
              <w:t>8 </w:t>
            </w:r>
          </w:p>
        </w:tc>
        <w:tc>
          <w:tcPr>
            <w:tcW w:w="0" w:type="auto"/>
            <w:shd w:val="clear" w:color="auto" w:fill="FFFFFF"/>
            <w:tcMar>
              <w:top w:w="40" w:type="dxa"/>
              <w:left w:w="0" w:type="dxa"/>
              <w:bottom w:w="40" w:type="dxa"/>
              <w:right w:w="20" w:type="dxa"/>
            </w:tcMar>
            <w:vAlign w:val="bottom"/>
          </w:tcPr>
          <w:p w14:paraId="71D47B92" w14:textId="77777777" w:rsidR="006A3667" w:rsidRDefault="006A3667">
            <w:pPr>
              <w:jc w:val="right"/>
              <w:rPr>
                <w:rFonts w:ascii="宋体"/>
              </w:rPr>
            </w:pPr>
          </w:p>
        </w:tc>
        <w:tc>
          <w:tcPr>
            <w:tcW w:w="0" w:type="auto"/>
            <w:gridSpan w:val="3"/>
            <w:shd w:val="clear" w:color="auto" w:fill="auto"/>
            <w:vAlign w:val="bottom"/>
          </w:tcPr>
          <w:p w14:paraId="71D47B93" w14:textId="77777777" w:rsidR="006A3667" w:rsidRDefault="006A3667">
            <w:pPr>
              <w:rPr>
                <w:rFonts w:ascii="宋体"/>
                <w:vanish/>
              </w:rPr>
            </w:pPr>
          </w:p>
        </w:tc>
        <w:tc>
          <w:tcPr>
            <w:tcW w:w="0" w:type="auto"/>
            <w:gridSpan w:val="3"/>
            <w:shd w:val="clear" w:color="auto" w:fill="auto"/>
            <w:vAlign w:val="bottom"/>
          </w:tcPr>
          <w:p w14:paraId="71D47B94" w14:textId="77777777" w:rsidR="006A3667" w:rsidRDefault="006A3667">
            <w:pPr>
              <w:rPr>
                <w:rFonts w:ascii="宋体"/>
                <w:vanish/>
              </w:rPr>
            </w:pPr>
          </w:p>
        </w:tc>
      </w:tr>
      <w:tr w:rsidR="006A3667" w14:paraId="71D47BAC" w14:textId="77777777">
        <w:tc>
          <w:tcPr>
            <w:tcW w:w="0" w:type="auto"/>
            <w:gridSpan w:val="3"/>
            <w:shd w:val="clear" w:color="auto" w:fill="CCEEFF"/>
            <w:tcMar>
              <w:top w:w="40" w:type="dxa"/>
              <w:left w:w="20" w:type="dxa"/>
              <w:bottom w:w="40" w:type="dxa"/>
              <w:right w:w="20" w:type="dxa"/>
            </w:tcMar>
            <w:vAlign w:val="bottom"/>
          </w:tcPr>
          <w:p w14:paraId="71D47B96" w14:textId="77777777" w:rsidR="006A3667" w:rsidRDefault="00045F32">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7B97"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B98" w14:textId="77777777" w:rsidR="006A3667" w:rsidRDefault="00045F32">
            <w:pPr>
              <w:jc w:val="right"/>
              <w:textAlignment w:val="bottom"/>
            </w:pPr>
            <w:r>
              <w:rPr>
                <w:rFonts w:ascii="Arial" w:eastAsia="宋体" w:hAnsi="Arial" w:cs="Arial"/>
                <w:b/>
                <w:bCs/>
                <w:color w:val="000000"/>
                <w:sz w:val="13"/>
                <w:szCs w:val="13"/>
              </w:rPr>
              <w:t>(389)</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B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B9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B9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B9C" w14:textId="77777777" w:rsidR="006A3667" w:rsidRDefault="00045F32">
            <w:pPr>
              <w:jc w:val="right"/>
              <w:textAlignment w:val="bottom"/>
            </w:pPr>
            <w:r>
              <w:rPr>
                <w:rFonts w:ascii="Arial" w:eastAsia="宋体" w:hAnsi="Arial" w:cs="Arial"/>
                <w:color w:val="000000"/>
                <w:sz w:val="13"/>
                <w:szCs w:val="13"/>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B9D" w14:textId="77777777" w:rsidR="006A3667" w:rsidRDefault="006A3667">
            <w:pPr>
              <w:jc w:val="right"/>
              <w:rPr>
                <w:rFonts w:ascii="宋体"/>
              </w:rPr>
            </w:pPr>
          </w:p>
        </w:tc>
        <w:tc>
          <w:tcPr>
            <w:tcW w:w="0" w:type="auto"/>
            <w:shd w:val="clear" w:color="auto" w:fill="auto"/>
            <w:vAlign w:val="bottom"/>
          </w:tcPr>
          <w:p w14:paraId="71D47B9E" w14:textId="77777777" w:rsidR="006A3667" w:rsidRDefault="006A3667">
            <w:pPr>
              <w:rPr>
                <w:rFonts w:ascii="宋体"/>
                <w:vanish/>
              </w:rPr>
            </w:pPr>
          </w:p>
        </w:tc>
        <w:tc>
          <w:tcPr>
            <w:tcW w:w="0" w:type="auto"/>
            <w:shd w:val="clear" w:color="auto" w:fill="auto"/>
            <w:vAlign w:val="bottom"/>
          </w:tcPr>
          <w:p w14:paraId="71D47B9F"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BA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BA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BA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BA3"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BA4" w14:textId="77777777" w:rsidR="006A3667" w:rsidRDefault="00045F32">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B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BA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7BA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7BA8" w14:textId="77777777" w:rsidR="006A3667" w:rsidRDefault="00045F32">
            <w:pPr>
              <w:jc w:val="right"/>
              <w:textAlignment w:val="bottom"/>
            </w:pPr>
            <w:r>
              <w:rPr>
                <w:rFonts w:ascii="Arial" w:eastAsia="宋体" w:hAnsi="Arial" w:cs="Arial"/>
                <w:color w:val="000000"/>
                <w:sz w:val="13"/>
                <w:szCs w:val="13"/>
              </w:rPr>
              <w:t>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BA9" w14:textId="77777777" w:rsidR="006A3667" w:rsidRDefault="006A3667">
            <w:pPr>
              <w:jc w:val="right"/>
              <w:rPr>
                <w:rFonts w:ascii="宋体"/>
              </w:rPr>
            </w:pPr>
          </w:p>
        </w:tc>
        <w:tc>
          <w:tcPr>
            <w:tcW w:w="0" w:type="auto"/>
            <w:gridSpan w:val="3"/>
            <w:shd w:val="clear" w:color="auto" w:fill="auto"/>
            <w:vAlign w:val="bottom"/>
          </w:tcPr>
          <w:p w14:paraId="71D47BAA" w14:textId="77777777" w:rsidR="006A3667" w:rsidRDefault="006A3667">
            <w:pPr>
              <w:rPr>
                <w:rFonts w:ascii="宋体"/>
                <w:vanish/>
              </w:rPr>
            </w:pPr>
          </w:p>
        </w:tc>
        <w:tc>
          <w:tcPr>
            <w:tcW w:w="0" w:type="auto"/>
            <w:gridSpan w:val="3"/>
            <w:shd w:val="clear" w:color="auto" w:fill="auto"/>
            <w:vAlign w:val="bottom"/>
          </w:tcPr>
          <w:p w14:paraId="71D47BAB" w14:textId="77777777" w:rsidR="006A3667" w:rsidRDefault="006A3667">
            <w:pPr>
              <w:rPr>
                <w:rFonts w:ascii="宋体"/>
                <w:vanish/>
              </w:rPr>
            </w:pPr>
          </w:p>
        </w:tc>
      </w:tr>
      <w:tr w:rsidR="006A3667" w14:paraId="71D47BBB" w14:textId="77777777">
        <w:trPr>
          <w:trHeight w:val="100"/>
        </w:trPr>
        <w:tc>
          <w:tcPr>
            <w:tcW w:w="0" w:type="auto"/>
            <w:gridSpan w:val="3"/>
            <w:shd w:val="clear" w:color="auto" w:fill="auto"/>
            <w:tcMar>
              <w:top w:w="0" w:type="dxa"/>
              <w:left w:w="20" w:type="dxa"/>
              <w:bottom w:w="0" w:type="dxa"/>
              <w:right w:w="20" w:type="dxa"/>
            </w:tcMar>
            <w:vAlign w:val="bottom"/>
          </w:tcPr>
          <w:p w14:paraId="71D47BA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A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A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B0" w14:textId="77777777" w:rsidR="006A3667" w:rsidRDefault="006A3667">
            <w:pPr>
              <w:rPr>
                <w:rFonts w:ascii="宋体"/>
              </w:rPr>
            </w:pPr>
          </w:p>
        </w:tc>
        <w:tc>
          <w:tcPr>
            <w:tcW w:w="0" w:type="auto"/>
            <w:shd w:val="clear" w:color="auto" w:fill="auto"/>
            <w:vAlign w:val="bottom"/>
          </w:tcPr>
          <w:p w14:paraId="71D47BB1" w14:textId="77777777" w:rsidR="006A3667" w:rsidRDefault="006A3667">
            <w:pPr>
              <w:rPr>
                <w:rFonts w:ascii="宋体"/>
                <w:vanish/>
              </w:rPr>
            </w:pPr>
          </w:p>
        </w:tc>
        <w:tc>
          <w:tcPr>
            <w:tcW w:w="0" w:type="auto"/>
            <w:shd w:val="clear" w:color="auto" w:fill="auto"/>
            <w:vAlign w:val="bottom"/>
          </w:tcPr>
          <w:p w14:paraId="71D47BB2"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BB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B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B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B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B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B8" w14:textId="77777777" w:rsidR="006A3667" w:rsidRDefault="006A3667">
            <w:pPr>
              <w:rPr>
                <w:rFonts w:ascii="宋体"/>
              </w:rPr>
            </w:pPr>
          </w:p>
        </w:tc>
        <w:tc>
          <w:tcPr>
            <w:tcW w:w="0" w:type="auto"/>
            <w:gridSpan w:val="3"/>
            <w:shd w:val="clear" w:color="auto" w:fill="auto"/>
            <w:vAlign w:val="bottom"/>
          </w:tcPr>
          <w:p w14:paraId="71D47BB9" w14:textId="77777777" w:rsidR="006A3667" w:rsidRDefault="006A3667">
            <w:pPr>
              <w:rPr>
                <w:rFonts w:ascii="宋体"/>
                <w:vanish/>
              </w:rPr>
            </w:pPr>
          </w:p>
        </w:tc>
        <w:tc>
          <w:tcPr>
            <w:tcW w:w="0" w:type="auto"/>
            <w:gridSpan w:val="3"/>
            <w:shd w:val="clear" w:color="auto" w:fill="auto"/>
            <w:vAlign w:val="bottom"/>
          </w:tcPr>
          <w:p w14:paraId="71D47BBA" w14:textId="77777777" w:rsidR="006A3667" w:rsidRDefault="006A3667">
            <w:pPr>
              <w:rPr>
                <w:rFonts w:ascii="宋体"/>
                <w:vanish/>
              </w:rPr>
            </w:pPr>
          </w:p>
        </w:tc>
      </w:tr>
      <w:tr w:rsidR="006A3667" w14:paraId="71D47BCA" w14:textId="77777777">
        <w:tc>
          <w:tcPr>
            <w:tcW w:w="0" w:type="auto"/>
            <w:gridSpan w:val="3"/>
            <w:shd w:val="clear" w:color="auto" w:fill="auto"/>
            <w:tcMar>
              <w:top w:w="40" w:type="dxa"/>
              <w:left w:w="20" w:type="dxa"/>
              <w:bottom w:w="40" w:type="dxa"/>
              <w:right w:w="20" w:type="dxa"/>
            </w:tcMar>
            <w:vAlign w:val="bottom"/>
          </w:tcPr>
          <w:p w14:paraId="71D47BBC" w14:textId="77777777" w:rsidR="006A3667" w:rsidRDefault="00045F32">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71D47BB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B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BF" w14:textId="77777777" w:rsidR="006A3667" w:rsidRDefault="006A3667">
            <w:pPr>
              <w:rPr>
                <w:rFonts w:ascii="宋体"/>
              </w:rPr>
            </w:pPr>
          </w:p>
        </w:tc>
        <w:tc>
          <w:tcPr>
            <w:tcW w:w="0" w:type="auto"/>
            <w:shd w:val="clear" w:color="auto" w:fill="auto"/>
            <w:vAlign w:val="bottom"/>
          </w:tcPr>
          <w:p w14:paraId="71D47BC0" w14:textId="77777777" w:rsidR="006A3667" w:rsidRDefault="006A3667">
            <w:pPr>
              <w:rPr>
                <w:rFonts w:ascii="宋体"/>
                <w:vanish/>
              </w:rPr>
            </w:pPr>
          </w:p>
        </w:tc>
        <w:tc>
          <w:tcPr>
            <w:tcW w:w="0" w:type="auto"/>
            <w:shd w:val="clear" w:color="auto" w:fill="auto"/>
            <w:vAlign w:val="bottom"/>
          </w:tcPr>
          <w:p w14:paraId="71D47BC1"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BC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C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C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C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C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C7" w14:textId="77777777" w:rsidR="006A3667" w:rsidRDefault="006A3667">
            <w:pPr>
              <w:rPr>
                <w:rFonts w:ascii="宋体"/>
              </w:rPr>
            </w:pPr>
          </w:p>
        </w:tc>
        <w:tc>
          <w:tcPr>
            <w:tcW w:w="0" w:type="auto"/>
            <w:gridSpan w:val="3"/>
            <w:shd w:val="clear" w:color="auto" w:fill="auto"/>
            <w:vAlign w:val="bottom"/>
          </w:tcPr>
          <w:p w14:paraId="71D47BC8" w14:textId="77777777" w:rsidR="006A3667" w:rsidRDefault="006A3667">
            <w:pPr>
              <w:rPr>
                <w:rFonts w:ascii="宋体"/>
                <w:vanish/>
              </w:rPr>
            </w:pPr>
          </w:p>
        </w:tc>
        <w:tc>
          <w:tcPr>
            <w:tcW w:w="0" w:type="auto"/>
            <w:gridSpan w:val="3"/>
            <w:shd w:val="clear" w:color="auto" w:fill="auto"/>
            <w:vAlign w:val="bottom"/>
          </w:tcPr>
          <w:p w14:paraId="71D47BC9" w14:textId="77777777" w:rsidR="006A3667" w:rsidRDefault="006A3667">
            <w:pPr>
              <w:rPr>
                <w:rFonts w:ascii="宋体"/>
                <w:vanish/>
              </w:rPr>
            </w:pPr>
          </w:p>
        </w:tc>
      </w:tr>
      <w:tr w:rsidR="006A3667" w14:paraId="71D47BE1" w14:textId="77777777">
        <w:tc>
          <w:tcPr>
            <w:tcW w:w="0" w:type="auto"/>
            <w:gridSpan w:val="3"/>
            <w:shd w:val="clear" w:color="auto" w:fill="CCEEFF"/>
            <w:tcMar>
              <w:top w:w="40" w:type="dxa"/>
              <w:left w:w="20" w:type="dxa"/>
              <w:bottom w:w="40" w:type="dxa"/>
              <w:right w:w="20" w:type="dxa"/>
            </w:tcMar>
            <w:vAlign w:val="bottom"/>
          </w:tcPr>
          <w:p w14:paraId="71D47BCB" w14:textId="77777777" w:rsidR="006A3667" w:rsidRDefault="00045F32">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71D47BCC"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BCD" w14:textId="77777777" w:rsidR="006A3667" w:rsidRDefault="00045F32">
            <w:pPr>
              <w:jc w:val="right"/>
              <w:textAlignment w:val="bottom"/>
            </w:pPr>
            <w:r>
              <w:rPr>
                <w:rFonts w:ascii="Arial" w:eastAsia="宋体" w:hAnsi="Arial" w:cs="Arial"/>
                <w:b/>
                <w:bCs/>
                <w:color w:val="000000"/>
                <w:sz w:val="13"/>
                <w:szCs w:val="13"/>
              </w:rPr>
              <w:t>723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BC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BC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BD0"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BD1" w14:textId="77777777" w:rsidR="006A3667" w:rsidRDefault="00045F32">
            <w:pPr>
              <w:jc w:val="right"/>
              <w:textAlignment w:val="bottom"/>
            </w:pPr>
            <w:r>
              <w:rPr>
                <w:rFonts w:ascii="Arial" w:eastAsia="宋体" w:hAnsi="Arial" w:cs="Arial"/>
                <w:color w:val="000000"/>
                <w:sz w:val="13"/>
                <w:szCs w:val="13"/>
              </w:rPr>
              <w:t>222 </w:t>
            </w:r>
          </w:p>
        </w:tc>
        <w:tc>
          <w:tcPr>
            <w:tcW w:w="0" w:type="auto"/>
            <w:shd w:val="clear" w:color="auto" w:fill="CCEEFF"/>
            <w:tcMar>
              <w:top w:w="40" w:type="dxa"/>
              <w:left w:w="0" w:type="dxa"/>
              <w:bottom w:w="40" w:type="dxa"/>
              <w:right w:w="20" w:type="dxa"/>
            </w:tcMar>
            <w:vAlign w:val="bottom"/>
          </w:tcPr>
          <w:p w14:paraId="71D47BD2" w14:textId="77777777" w:rsidR="006A3667" w:rsidRDefault="006A3667">
            <w:pPr>
              <w:jc w:val="right"/>
              <w:rPr>
                <w:rFonts w:ascii="宋体"/>
              </w:rPr>
            </w:pPr>
          </w:p>
        </w:tc>
        <w:tc>
          <w:tcPr>
            <w:tcW w:w="0" w:type="auto"/>
            <w:shd w:val="clear" w:color="auto" w:fill="auto"/>
            <w:vAlign w:val="bottom"/>
          </w:tcPr>
          <w:p w14:paraId="71D47BD3" w14:textId="77777777" w:rsidR="006A3667" w:rsidRDefault="006A3667">
            <w:pPr>
              <w:rPr>
                <w:rFonts w:ascii="宋体"/>
                <w:vanish/>
              </w:rPr>
            </w:pPr>
          </w:p>
        </w:tc>
        <w:tc>
          <w:tcPr>
            <w:tcW w:w="0" w:type="auto"/>
            <w:shd w:val="clear" w:color="auto" w:fill="auto"/>
            <w:vAlign w:val="bottom"/>
          </w:tcPr>
          <w:p w14:paraId="71D47BD4"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BD5"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7BD6" w14:textId="77777777" w:rsidR="006A3667" w:rsidRDefault="00045F32">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71D47BD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BD8" w14:textId="77777777" w:rsidR="006A3667" w:rsidRDefault="00045F32">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71D47BD9"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BD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BD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BDC" w14:textId="77777777" w:rsidR="006A3667" w:rsidRDefault="00045F32">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71D47BDD"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7BDE" w14:textId="77777777" w:rsidR="006A3667" w:rsidRDefault="006A3667">
            <w:pPr>
              <w:jc w:val="right"/>
              <w:rPr>
                <w:rFonts w:ascii="宋体"/>
              </w:rPr>
            </w:pPr>
          </w:p>
        </w:tc>
        <w:tc>
          <w:tcPr>
            <w:tcW w:w="0" w:type="auto"/>
            <w:gridSpan w:val="3"/>
            <w:shd w:val="clear" w:color="auto" w:fill="auto"/>
            <w:vAlign w:val="bottom"/>
          </w:tcPr>
          <w:p w14:paraId="71D47BDF" w14:textId="77777777" w:rsidR="006A3667" w:rsidRDefault="006A3667">
            <w:pPr>
              <w:rPr>
                <w:rFonts w:ascii="宋体"/>
                <w:vanish/>
              </w:rPr>
            </w:pPr>
          </w:p>
        </w:tc>
        <w:tc>
          <w:tcPr>
            <w:tcW w:w="0" w:type="auto"/>
            <w:gridSpan w:val="3"/>
            <w:shd w:val="clear" w:color="auto" w:fill="auto"/>
            <w:vAlign w:val="bottom"/>
          </w:tcPr>
          <w:p w14:paraId="71D47BE0" w14:textId="77777777" w:rsidR="006A3667" w:rsidRDefault="006A3667">
            <w:pPr>
              <w:rPr>
                <w:rFonts w:ascii="宋体"/>
                <w:vanish/>
              </w:rPr>
            </w:pPr>
          </w:p>
        </w:tc>
      </w:tr>
      <w:tr w:rsidR="006A3667" w14:paraId="71D47BF4" w14:textId="77777777">
        <w:tc>
          <w:tcPr>
            <w:tcW w:w="0" w:type="auto"/>
            <w:gridSpan w:val="3"/>
            <w:shd w:val="clear" w:color="auto" w:fill="FFFFFF"/>
            <w:tcMar>
              <w:top w:w="40" w:type="dxa"/>
              <w:left w:w="20" w:type="dxa"/>
              <w:bottom w:w="40" w:type="dxa"/>
              <w:right w:w="20" w:type="dxa"/>
            </w:tcMar>
            <w:vAlign w:val="bottom"/>
          </w:tcPr>
          <w:p w14:paraId="71D47BE2" w14:textId="77777777" w:rsidR="006A3667" w:rsidRDefault="00045F32">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BE3" w14:textId="77777777" w:rsidR="006A3667" w:rsidRDefault="00045F32">
            <w:pPr>
              <w:jc w:val="right"/>
              <w:textAlignment w:val="bottom"/>
            </w:pPr>
            <w:r>
              <w:rPr>
                <w:rFonts w:ascii="Arial" w:eastAsia="宋体" w:hAnsi="Arial" w:cs="Arial"/>
                <w:b/>
                <w:bCs/>
                <w:color w:val="000000"/>
                <w:sz w:val="13"/>
                <w:szCs w:val="13"/>
              </w:rPr>
              <w:t>723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BE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BE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BE6" w14:textId="77777777" w:rsidR="006A3667" w:rsidRDefault="00045F32">
            <w:pPr>
              <w:jc w:val="right"/>
              <w:textAlignment w:val="bottom"/>
            </w:pPr>
            <w:r>
              <w:rPr>
                <w:rFonts w:ascii="Arial" w:eastAsia="宋体" w:hAnsi="Arial" w:cs="Arial"/>
                <w:color w:val="000000"/>
                <w:sz w:val="13"/>
                <w:szCs w:val="13"/>
              </w:rPr>
              <w:t>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BE7" w14:textId="77777777" w:rsidR="006A3667" w:rsidRDefault="006A3667">
            <w:pPr>
              <w:jc w:val="right"/>
              <w:rPr>
                <w:rFonts w:ascii="宋体"/>
              </w:rPr>
            </w:pPr>
          </w:p>
        </w:tc>
        <w:tc>
          <w:tcPr>
            <w:tcW w:w="0" w:type="auto"/>
            <w:shd w:val="clear" w:color="auto" w:fill="auto"/>
            <w:vAlign w:val="bottom"/>
          </w:tcPr>
          <w:p w14:paraId="71D47BE8" w14:textId="77777777" w:rsidR="006A3667" w:rsidRDefault="006A3667">
            <w:pPr>
              <w:rPr>
                <w:rFonts w:ascii="宋体"/>
                <w:vanish/>
              </w:rPr>
            </w:pPr>
          </w:p>
        </w:tc>
        <w:tc>
          <w:tcPr>
            <w:tcW w:w="0" w:type="auto"/>
            <w:shd w:val="clear" w:color="auto" w:fill="auto"/>
            <w:vAlign w:val="bottom"/>
          </w:tcPr>
          <w:p w14:paraId="71D47BE9"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7BE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BE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BE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BED"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B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BE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BF0" w14:textId="77777777" w:rsidR="006A3667" w:rsidRDefault="00045F32">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BF1" w14:textId="77777777" w:rsidR="006A3667" w:rsidRDefault="006A3667">
            <w:pPr>
              <w:jc w:val="right"/>
              <w:rPr>
                <w:rFonts w:ascii="宋体"/>
              </w:rPr>
            </w:pPr>
          </w:p>
        </w:tc>
        <w:tc>
          <w:tcPr>
            <w:tcW w:w="0" w:type="auto"/>
            <w:gridSpan w:val="3"/>
            <w:shd w:val="clear" w:color="auto" w:fill="auto"/>
            <w:vAlign w:val="bottom"/>
          </w:tcPr>
          <w:p w14:paraId="71D47BF2" w14:textId="77777777" w:rsidR="006A3667" w:rsidRDefault="006A3667">
            <w:pPr>
              <w:rPr>
                <w:rFonts w:ascii="宋体"/>
                <w:vanish/>
              </w:rPr>
            </w:pPr>
          </w:p>
        </w:tc>
        <w:tc>
          <w:tcPr>
            <w:tcW w:w="0" w:type="auto"/>
            <w:gridSpan w:val="3"/>
            <w:shd w:val="clear" w:color="auto" w:fill="auto"/>
            <w:vAlign w:val="bottom"/>
          </w:tcPr>
          <w:p w14:paraId="71D47BF3" w14:textId="77777777" w:rsidR="006A3667" w:rsidRDefault="006A3667">
            <w:pPr>
              <w:rPr>
                <w:rFonts w:ascii="宋体"/>
                <w:vanish/>
              </w:rPr>
            </w:pPr>
          </w:p>
        </w:tc>
      </w:tr>
      <w:tr w:rsidR="006A3667" w14:paraId="71D47C03" w14:textId="77777777">
        <w:trPr>
          <w:trHeight w:val="60"/>
        </w:trPr>
        <w:tc>
          <w:tcPr>
            <w:tcW w:w="0" w:type="auto"/>
            <w:gridSpan w:val="3"/>
            <w:shd w:val="clear" w:color="auto" w:fill="auto"/>
            <w:tcMar>
              <w:top w:w="0" w:type="dxa"/>
              <w:left w:w="20" w:type="dxa"/>
              <w:bottom w:w="0" w:type="dxa"/>
              <w:right w:w="20" w:type="dxa"/>
            </w:tcMar>
            <w:vAlign w:val="bottom"/>
          </w:tcPr>
          <w:p w14:paraId="71D47BF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F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F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F8" w14:textId="77777777" w:rsidR="006A3667" w:rsidRDefault="006A3667">
            <w:pPr>
              <w:rPr>
                <w:rFonts w:ascii="宋体"/>
              </w:rPr>
            </w:pPr>
          </w:p>
        </w:tc>
        <w:tc>
          <w:tcPr>
            <w:tcW w:w="0" w:type="auto"/>
            <w:shd w:val="clear" w:color="auto" w:fill="auto"/>
            <w:vAlign w:val="bottom"/>
          </w:tcPr>
          <w:p w14:paraId="71D47BF9" w14:textId="77777777" w:rsidR="006A3667" w:rsidRDefault="006A3667">
            <w:pPr>
              <w:rPr>
                <w:rFonts w:ascii="宋体"/>
                <w:vanish/>
              </w:rPr>
            </w:pPr>
          </w:p>
        </w:tc>
        <w:tc>
          <w:tcPr>
            <w:tcW w:w="0" w:type="auto"/>
            <w:shd w:val="clear" w:color="auto" w:fill="auto"/>
            <w:vAlign w:val="bottom"/>
          </w:tcPr>
          <w:p w14:paraId="71D47BFA"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7BF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F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F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BF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BF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C00" w14:textId="77777777" w:rsidR="006A3667" w:rsidRDefault="006A3667">
            <w:pPr>
              <w:rPr>
                <w:rFonts w:ascii="宋体"/>
              </w:rPr>
            </w:pPr>
          </w:p>
        </w:tc>
        <w:tc>
          <w:tcPr>
            <w:tcW w:w="0" w:type="auto"/>
            <w:gridSpan w:val="3"/>
            <w:shd w:val="clear" w:color="auto" w:fill="auto"/>
            <w:vAlign w:val="bottom"/>
          </w:tcPr>
          <w:p w14:paraId="71D47C01" w14:textId="77777777" w:rsidR="006A3667" w:rsidRDefault="006A3667">
            <w:pPr>
              <w:rPr>
                <w:rFonts w:ascii="宋体"/>
                <w:vanish/>
              </w:rPr>
            </w:pPr>
          </w:p>
        </w:tc>
        <w:tc>
          <w:tcPr>
            <w:tcW w:w="0" w:type="auto"/>
            <w:gridSpan w:val="3"/>
            <w:shd w:val="clear" w:color="auto" w:fill="auto"/>
            <w:vAlign w:val="bottom"/>
          </w:tcPr>
          <w:p w14:paraId="71D47C02" w14:textId="77777777" w:rsidR="006A3667" w:rsidRDefault="006A3667">
            <w:pPr>
              <w:rPr>
                <w:rFonts w:ascii="宋体"/>
                <w:vanish/>
              </w:rPr>
            </w:pPr>
          </w:p>
        </w:tc>
      </w:tr>
      <w:tr w:rsidR="006A3667" w14:paraId="71D47C1A" w14:textId="77777777">
        <w:tc>
          <w:tcPr>
            <w:tcW w:w="0" w:type="auto"/>
            <w:gridSpan w:val="3"/>
            <w:shd w:val="clear" w:color="auto" w:fill="CCEEFF"/>
            <w:tcMar>
              <w:top w:w="40" w:type="dxa"/>
              <w:left w:w="20" w:type="dxa"/>
              <w:bottom w:w="40" w:type="dxa"/>
              <w:right w:w="20" w:type="dxa"/>
            </w:tcMar>
            <w:vAlign w:val="bottom"/>
          </w:tcPr>
          <w:p w14:paraId="71D47C04" w14:textId="77777777" w:rsidR="006A3667" w:rsidRDefault="00045F32">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C05"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C06" w14:textId="77777777" w:rsidR="006A3667" w:rsidRDefault="00045F32">
            <w:pPr>
              <w:jc w:val="right"/>
              <w:textAlignment w:val="bottom"/>
            </w:pPr>
            <w:r>
              <w:rPr>
                <w:rFonts w:ascii="Arial" w:eastAsia="宋体" w:hAnsi="Arial" w:cs="Arial"/>
                <w:b/>
                <w:bCs/>
                <w:color w:val="000000"/>
                <w:sz w:val="13"/>
                <w:szCs w:val="13"/>
              </w:rPr>
              <w:t>334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C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C08" w14:textId="77777777" w:rsidR="006A3667" w:rsidRDefault="006A3667">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71D47C09" w14:textId="77777777" w:rsidR="006A3667" w:rsidRDefault="00045F32">
            <w:pPr>
              <w:textAlignment w:val="bottom"/>
            </w:pPr>
            <w:r>
              <w:rPr>
                <w:rFonts w:ascii="Arial" w:eastAsia="宋体" w:hAnsi="Arial" w:cs="Arial"/>
                <w:color w:val="000000"/>
                <w:sz w:val="13"/>
                <w:szCs w:val="13"/>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71D47C0A" w14:textId="77777777" w:rsidR="006A3667" w:rsidRDefault="00045F32">
            <w:pPr>
              <w:jc w:val="right"/>
              <w:textAlignment w:val="bottom"/>
            </w:pPr>
            <w:r>
              <w:rPr>
                <w:rFonts w:ascii="Arial" w:eastAsia="宋体" w:hAnsi="Arial" w:cs="Arial"/>
                <w:color w:val="000000"/>
                <w:sz w:val="13"/>
                <w:szCs w:val="13"/>
              </w:rPr>
              <w:t>268 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71D47C0B" w14:textId="77777777" w:rsidR="006A3667" w:rsidRDefault="006A3667">
            <w:pPr>
              <w:jc w:val="right"/>
              <w:rPr>
                <w:rFonts w:ascii="宋体"/>
              </w:rPr>
            </w:pPr>
          </w:p>
        </w:tc>
        <w:tc>
          <w:tcPr>
            <w:tcW w:w="0" w:type="auto"/>
            <w:shd w:val="clear" w:color="auto" w:fill="auto"/>
            <w:vAlign w:val="bottom"/>
          </w:tcPr>
          <w:p w14:paraId="71D47C0C" w14:textId="77777777" w:rsidR="006A3667" w:rsidRDefault="006A3667">
            <w:pPr>
              <w:rPr>
                <w:rFonts w:ascii="宋体"/>
                <w:vanish/>
              </w:rPr>
            </w:pPr>
          </w:p>
        </w:tc>
        <w:tc>
          <w:tcPr>
            <w:tcW w:w="0" w:type="auto"/>
            <w:shd w:val="clear" w:color="auto" w:fill="auto"/>
            <w:vAlign w:val="bottom"/>
          </w:tcPr>
          <w:p w14:paraId="71D47C0D" w14:textId="77777777" w:rsidR="006A3667" w:rsidRDefault="006A3667">
            <w:pPr>
              <w:rPr>
                <w:rFonts w:ascii="宋体"/>
                <w:vanish/>
              </w:rPr>
            </w:pPr>
          </w:p>
        </w:tc>
        <w:tc>
          <w:tcPr>
            <w:tcW w:w="0" w:type="auto"/>
            <w:gridSpan w:val="3"/>
            <w:shd w:val="clear" w:color="auto" w:fill="CCEEFF"/>
            <w:tcMar>
              <w:top w:w="0" w:type="dxa"/>
              <w:left w:w="20" w:type="dxa"/>
              <w:bottom w:w="0" w:type="dxa"/>
              <w:right w:w="20" w:type="dxa"/>
            </w:tcMar>
            <w:vAlign w:val="bottom"/>
          </w:tcPr>
          <w:p w14:paraId="71D47C0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C0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C10"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C11"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C12" w14:textId="77777777" w:rsidR="006A3667" w:rsidRDefault="00045F32">
            <w:pPr>
              <w:jc w:val="right"/>
              <w:textAlignment w:val="bottom"/>
            </w:pPr>
            <w:r>
              <w:rPr>
                <w:rFonts w:ascii="Arial" w:eastAsia="宋体" w:hAnsi="Arial" w:cs="Arial"/>
                <w:b/>
                <w:bCs/>
                <w:color w:val="000000"/>
                <w:sz w:val="13"/>
                <w:szCs w:val="13"/>
              </w:rPr>
              <w:t>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C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C1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C15"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C16" w14:textId="77777777" w:rsidR="006A3667" w:rsidRDefault="00045F32">
            <w:pPr>
              <w:jc w:val="right"/>
              <w:textAlignment w:val="bottom"/>
            </w:pPr>
            <w:r>
              <w:rPr>
                <w:rFonts w:ascii="Arial" w:eastAsia="宋体" w:hAnsi="Arial" w:cs="Arial"/>
                <w:color w:val="000000"/>
                <w:sz w:val="13"/>
                <w:szCs w:val="13"/>
              </w:rPr>
              <w:t>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C17" w14:textId="77777777" w:rsidR="006A3667" w:rsidRDefault="006A3667">
            <w:pPr>
              <w:jc w:val="right"/>
              <w:rPr>
                <w:rFonts w:ascii="宋体"/>
              </w:rPr>
            </w:pPr>
          </w:p>
        </w:tc>
        <w:tc>
          <w:tcPr>
            <w:tcW w:w="0" w:type="auto"/>
            <w:gridSpan w:val="3"/>
            <w:shd w:val="clear" w:color="auto" w:fill="auto"/>
            <w:vAlign w:val="bottom"/>
          </w:tcPr>
          <w:p w14:paraId="71D47C18" w14:textId="77777777" w:rsidR="006A3667" w:rsidRDefault="006A3667">
            <w:pPr>
              <w:rPr>
                <w:rFonts w:ascii="宋体"/>
                <w:vanish/>
              </w:rPr>
            </w:pPr>
          </w:p>
        </w:tc>
        <w:tc>
          <w:tcPr>
            <w:tcW w:w="0" w:type="auto"/>
            <w:gridSpan w:val="3"/>
            <w:shd w:val="clear" w:color="auto" w:fill="auto"/>
            <w:vAlign w:val="bottom"/>
          </w:tcPr>
          <w:p w14:paraId="71D47C19" w14:textId="77777777" w:rsidR="006A3667" w:rsidRDefault="006A3667">
            <w:pPr>
              <w:rPr>
                <w:rFonts w:ascii="宋体"/>
                <w:vanish/>
              </w:rPr>
            </w:pPr>
          </w:p>
        </w:tc>
      </w:tr>
    </w:tbl>
    <w:p w14:paraId="71D47C1B" w14:textId="77777777" w:rsidR="006A3667" w:rsidRDefault="006A3667">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6A3667" w14:paraId="71D47C2B" w14:textId="77777777">
        <w:tc>
          <w:tcPr>
            <w:tcW w:w="20" w:type="dxa"/>
            <w:shd w:val="clear" w:color="auto" w:fill="auto"/>
            <w:vAlign w:val="bottom"/>
          </w:tcPr>
          <w:p w14:paraId="71D47C1C" w14:textId="77777777" w:rsidR="006A3667" w:rsidRDefault="006A3667">
            <w:pPr>
              <w:rPr>
                <w:rFonts w:ascii="宋体"/>
              </w:rPr>
            </w:pPr>
          </w:p>
        </w:tc>
        <w:tc>
          <w:tcPr>
            <w:tcW w:w="2840" w:type="dxa"/>
            <w:shd w:val="clear" w:color="auto" w:fill="auto"/>
            <w:vAlign w:val="bottom"/>
          </w:tcPr>
          <w:p w14:paraId="71D47C1D" w14:textId="77777777" w:rsidR="006A3667" w:rsidRDefault="006A3667">
            <w:pPr>
              <w:rPr>
                <w:rFonts w:ascii="宋体"/>
              </w:rPr>
            </w:pPr>
          </w:p>
        </w:tc>
        <w:tc>
          <w:tcPr>
            <w:tcW w:w="20" w:type="dxa"/>
            <w:shd w:val="clear" w:color="auto" w:fill="auto"/>
            <w:vAlign w:val="bottom"/>
          </w:tcPr>
          <w:p w14:paraId="71D47C1E" w14:textId="77777777" w:rsidR="006A3667" w:rsidRDefault="006A3667">
            <w:pPr>
              <w:rPr>
                <w:rFonts w:ascii="宋体"/>
              </w:rPr>
            </w:pPr>
          </w:p>
        </w:tc>
        <w:tc>
          <w:tcPr>
            <w:tcW w:w="20" w:type="dxa"/>
            <w:shd w:val="clear" w:color="auto" w:fill="auto"/>
            <w:vAlign w:val="bottom"/>
          </w:tcPr>
          <w:p w14:paraId="71D47C1F" w14:textId="77777777" w:rsidR="006A3667" w:rsidRDefault="006A3667">
            <w:pPr>
              <w:rPr>
                <w:rFonts w:ascii="宋体"/>
              </w:rPr>
            </w:pPr>
          </w:p>
        </w:tc>
        <w:tc>
          <w:tcPr>
            <w:tcW w:w="1475" w:type="dxa"/>
            <w:shd w:val="clear" w:color="auto" w:fill="auto"/>
            <w:vAlign w:val="bottom"/>
          </w:tcPr>
          <w:p w14:paraId="71D47C20" w14:textId="77777777" w:rsidR="006A3667" w:rsidRDefault="006A3667">
            <w:pPr>
              <w:rPr>
                <w:rFonts w:ascii="宋体"/>
              </w:rPr>
            </w:pPr>
          </w:p>
        </w:tc>
        <w:tc>
          <w:tcPr>
            <w:tcW w:w="20" w:type="dxa"/>
            <w:shd w:val="clear" w:color="auto" w:fill="auto"/>
            <w:vAlign w:val="bottom"/>
          </w:tcPr>
          <w:p w14:paraId="71D47C21" w14:textId="77777777" w:rsidR="006A3667" w:rsidRDefault="006A3667">
            <w:pPr>
              <w:rPr>
                <w:rFonts w:ascii="宋体"/>
              </w:rPr>
            </w:pPr>
          </w:p>
        </w:tc>
        <w:tc>
          <w:tcPr>
            <w:tcW w:w="20" w:type="dxa"/>
            <w:shd w:val="clear" w:color="auto" w:fill="auto"/>
            <w:vAlign w:val="bottom"/>
          </w:tcPr>
          <w:p w14:paraId="71D47C22" w14:textId="77777777" w:rsidR="006A3667" w:rsidRDefault="006A3667">
            <w:pPr>
              <w:rPr>
                <w:rFonts w:ascii="宋体"/>
              </w:rPr>
            </w:pPr>
          </w:p>
        </w:tc>
        <w:tc>
          <w:tcPr>
            <w:tcW w:w="1460" w:type="dxa"/>
            <w:shd w:val="clear" w:color="auto" w:fill="auto"/>
            <w:vAlign w:val="bottom"/>
          </w:tcPr>
          <w:p w14:paraId="71D47C23" w14:textId="77777777" w:rsidR="006A3667" w:rsidRDefault="006A3667">
            <w:pPr>
              <w:rPr>
                <w:rFonts w:ascii="宋体"/>
              </w:rPr>
            </w:pPr>
          </w:p>
        </w:tc>
        <w:tc>
          <w:tcPr>
            <w:tcW w:w="20" w:type="dxa"/>
            <w:shd w:val="clear" w:color="auto" w:fill="auto"/>
            <w:vAlign w:val="bottom"/>
          </w:tcPr>
          <w:p w14:paraId="71D47C24" w14:textId="77777777" w:rsidR="006A3667" w:rsidRDefault="006A3667">
            <w:pPr>
              <w:rPr>
                <w:rFonts w:ascii="宋体"/>
              </w:rPr>
            </w:pPr>
          </w:p>
        </w:tc>
        <w:tc>
          <w:tcPr>
            <w:tcW w:w="20" w:type="dxa"/>
            <w:shd w:val="clear" w:color="auto" w:fill="auto"/>
            <w:vAlign w:val="bottom"/>
          </w:tcPr>
          <w:p w14:paraId="71D47C25" w14:textId="77777777" w:rsidR="006A3667" w:rsidRDefault="006A3667">
            <w:pPr>
              <w:rPr>
                <w:rFonts w:ascii="宋体"/>
              </w:rPr>
            </w:pPr>
          </w:p>
        </w:tc>
        <w:tc>
          <w:tcPr>
            <w:tcW w:w="2540" w:type="dxa"/>
            <w:shd w:val="clear" w:color="auto" w:fill="auto"/>
            <w:vAlign w:val="bottom"/>
          </w:tcPr>
          <w:p w14:paraId="71D47C26" w14:textId="77777777" w:rsidR="006A3667" w:rsidRDefault="006A3667">
            <w:pPr>
              <w:rPr>
                <w:rFonts w:ascii="宋体"/>
              </w:rPr>
            </w:pPr>
          </w:p>
        </w:tc>
        <w:tc>
          <w:tcPr>
            <w:tcW w:w="20" w:type="dxa"/>
            <w:shd w:val="clear" w:color="auto" w:fill="auto"/>
            <w:vAlign w:val="bottom"/>
          </w:tcPr>
          <w:p w14:paraId="71D47C27" w14:textId="77777777" w:rsidR="006A3667" w:rsidRDefault="006A3667">
            <w:pPr>
              <w:rPr>
                <w:rFonts w:ascii="宋体"/>
              </w:rPr>
            </w:pPr>
          </w:p>
        </w:tc>
        <w:tc>
          <w:tcPr>
            <w:tcW w:w="20" w:type="dxa"/>
            <w:shd w:val="clear" w:color="auto" w:fill="auto"/>
            <w:vAlign w:val="bottom"/>
          </w:tcPr>
          <w:p w14:paraId="71D47C28" w14:textId="77777777" w:rsidR="006A3667" w:rsidRDefault="006A3667">
            <w:pPr>
              <w:rPr>
                <w:rFonts w:ascii="宋体"/>
              </w:rPr>
            </w:pPr>
          </w:p>
        </w:tc>
        <w:tc>
          <w:tcPr>
            <w:tcW w:w="1745" w:type="dxa"/>
            <w:shd w:val="clear" w:color="auto" w:fill="auto"/>
            <w:vAlign w:val="bottom"/>
          </w:tcPr>
          <w:p w14:paraId="71D47C29" w14:textId="77777777" w:rsidR="006A3667" w:rsidRDefault="006A3667">
            <w:pPr>
              <w:rPr>
                <w:rFonts w:ascii="宋体"/>
              </w:rPr>
            </w:pPr>
          </w:p>
        </w:tc>
        <w:tc>
          <w:tcPr>
            <w:tcW w:w="20" w:type="dxa"/>
            <w:shd w:val="clear" w:color="auto" w:fill="auto"/>
            <w:vAlign w:val="bottom"/>
          </w:tcPr>
          <w:p w14:paraId="71D47C2A" w14:textId="77777777" w:rsidR="006A3667" w:rsidRDefault="006A3667">
            <w:pPr>
              <w:rPr>
                <w:rFonts w:ascii="宋体"/>
              </w:rPr>
            </w:pPr>
          </w:p>
        </w:tc>
      </w:tr>
      <w:tr w:rsidR="006A3667" w14:paraId="71D47C3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C2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C2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C2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C2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C30" w14:textId="77777777" w:rsidR="006A3667" w:rsidRDefault="006A3667">
            <w:pPr>
              <w:rPr>
                <w:rFonts w:ascii="宋体"/>
              </w:rPr>
            </w:pPr>
          </w:p>
        </w:tc>
      </w:tr>
    </w:tbl>
    <w:p w14:paraId="71D47C32" w14:textId="77777777" w:rsidR="006A3667" w:rsidRDefault="00045F32">
      <w:pPr>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As of September 30, 2022, the maximum </w:t>
      </w:r>
      <w:r>
        <w:rPr>
          <w:rFonts w:ascii="Arial" w:eastAsia="宋体" w:hAnsi="Arial" w:cs="Arial"/>
          <w:color w:val="000000"/>
          <w:sz w:val="13"/>
          <w:szCs w:val="13"/>
        </w:rPr>
        <w:t>maturity date of the underlying hedged items is approximately 4.0 years.</w:t>
      </w:r>
    </w:p>
    <w:p w14:paraId="71D47C33" w14:textId="77777777" w:rsidR="006A3667" w:rsidRDefault="00045F32">
      <w:pPr>
        <w:spacing w:before="60"/>
        <w:jc w:val="both"/>
      </w:pPr>
      <w:r>
        <w:rPr>
          <w:rFonts w:ascii="Arial" w:eastAsia="宋体" w:hAnsi="Arial" w:cs="Arial"/>
          <w:b/>
          <w:bCs/>
          <w:i/>
          <w:iCs/>
          <w:color w:val="000000"/>
          <w:sz w:val="20"/>
          <w:szCs w:val="20"/>
        </w:rPr>
        <w:t>Derivatives Netting and Credit Contingencies</w:t>
      </w:r>
    </w:p>
    <w:p w14:paraId="71D47C34" w14:textId="77777777" w:rsidR="006A3667" w:rsidRDefault="00045F32">
      <w:pPr>
        <w:spacing w:before="60"/>
        <w:jc w:val="both"/>
      </w:pPr>
      <w:r>
        <w:rPr>
          <w:rFonts w:ascii="Arial" w:eastAsia="宋体" w:hAnsi="Arial" w:cs="Arial"/>
          <w:i/>
          <w:iCs/>
          <w:color w:val="000000"/>
          <w:sz w:val="20"/>
          <w:szCs w:val="20"/>
        </w:rPr>
        <w:t>Netting</w:t>
      </w:r>
    </w:p>
    <w:p w14:paraId="71D47C35" w14:textId="77777777" w:rsidR="006A3667" w:rsidRDefault="00045F32">
      <w:pPr>
        <w:spacing w:before="60"/>
        <w:ind w:firstLine="450"/>
        <w:jc w:val="both"/>
      </w:pPr>
      <w:r>
        <w:rPr>
          <w:rFonts w:ascii="Arial" w:eastAsia="宋体" w:hAnsi="Arial" w:cs="Arial"/>
          <w:color w:val="000000"/>
          <w:sz w:val="20"/>
          <w:szCs w:val="20"/>
        </w:rPr>
        <w:t xml:space="preserve">Derivatives receivable and payable as well as cash collateral from the same counterparty are netted in the consolidated statement </w:t>
      </w:r>
      <w:r>
        <w:rPr>
          <w:rFonts w:ascii="Arial" w:eastAsia="宋体" w:hAnsi="Arial" w:cs="Arial"/>
          <w:color w:val="000000"/>
          <w:sz w:val="20"/>
          <w:szCs w:val="20"/>
        </w:rPr>
        <w:t>of condition for those counterparties with whom we have legally binding master netting agreements in place. In addition to cash collateral received and transferred presented on a net basis, we also receive and transfer collateral in the form of securities,</w:t>
      </w:r>
      <w:r>
        <w:rPr>
          <w:rFonts w:ascii="Arial" w:eastAsia="宋体" w:hAnsi="Arial" w:cs="Arial"/>
          <w:color w:val="000000"/>
          <w:sz w:val="20"/>
          <w:szCs w:val="20"/>
        </w:rPr>
        <w:t xml:space="preserve"> which mitigate credit risk but are not eligible for netting. Additional information on netting is provided in Note 8.</w:t>
      </w:r>
    </w:p>
    <w:p w14:paraId="71D47C36" w14:textId="77777777" w:rsidR="006A3667" w:rsidRDefault="00045F32">
      <w:pPr>
        <w:spacing w:before="60"/>
        <w:jc w:val="both"/>
      </w:pPr>
      <w:r>
        <w:rPr>
          <w:rFonts w:ascii="Arial" w:eastAsia="宋体" w:hAnsi="Arial" w:cs="Arial"/>
          <w:i/>
          <w:iCs/>
          <w:color w:val="000000"/>
          <w:sz w:val="20"/>
          <w:szCs w:val="20"/>
        </w:rPr>
        <w:t xml:space="preserve">Credit Contingencies </w:t>
      </w:r>
    </w:p>
    <w:p w14:paraId="71D47C37" w14:textId="77777777" w:rsidR="006A3667" w:rsidRDefault="00045F32">
      <w:pPr>
        <w:spacing w:before="60"/>
        <w:ind w:firstLine="450"/>
        <w:jc w:val="both"/>
      </w:pPr>
      <w:r>
        <w:rPr>
          <w:rFonts w:ascii="Arial" w:eastAsia="宋体" w:hAnsi="Arial" w:cs="Arial"/>
          <w:color w:val="000000"/>
          <w:sz w:val="20"/>
          <w:szCs w:val="20"/>
        </w:rPr>
        <w:t>Certain of our derivatives are subject to master netting agreements with our derivative counterparties containing c</w:t>
      </w:r>
      <w:r>
        <w:rPr>
          <w:rFonts w:ascii="Arial" w:eastAsia="宋体" w:hAnsi="Arial" w:cs="Arial"/>
          <w:color w:val="000000"/>
          <w:sz w:val="20"/>
          <w:szCs w:val="20"/>
        </w:rPr>
        <w:t>redit risk-related contingent features, which requires us to maintain an investment grade credit rating with the various credit rating agencies. If our rating falls below investment grade, we would be in violation of the provisions, and counterparties to t</w:t>
      </w:r>
      <w:r>
        <w:rPr>
          <w:rFonts w:ascii="Arial" w:eastAsia="宋体" w:hAnsi="Arial" w:cs="Arial"/>
          <w:color w:val="000000"/>
          <w:sz w:val="20"/>
          <w:szCs w:val="20"/>
        </w:rPr>
        <w:t>he derivatives could request immediate payment or demand full overnight collateralization on derivatives instruments in net liability positions. The aggregate fair value of all derivatives with credit contingent features and in a liability position as of S</w:t>
      </w:r>
      <w:r>
        <w:rPr>
          <w:rFonts w:ascii="Arial" w:eastAsia="宋体" w:hAnsi="Arial" w:cs="Arial"/>
          <w:color w:val="000000"/>
          <w:sz w:val="20"/>
          <w:szCs w:val="20"/>
        </w:rPr>
        <w:t>eptember 30, 2022 totaled approximately $7.20 billion, against which we provided $5.54 billion of collateral in the normal course of business. If our credit related contingent features underlying these agreements were triggered as of September 30, 2022, th</w:t>
      </w:r>
      <w:r>
        <w:rPr>
          <w:rFonts w:ascii="Arial" w:eastAsia="宋体" w:hAnsi="Arial" w:cs="Arial"/>
          <w:color w:val="000000"/>
          <w:sz w:val="20"/>
          <w:szCs w:val="20"/>
        </w:rPr>
        <w:t>e maximum additional collateral we would be required to post to our counterparties is approximately $1.66 billion.</w:t>
      </w:r>
    </w:p>
    <w:p w14:paraId="71D47C38" w14:textId="77777777" w:rsidR="006A3667" w:rsidRDefault="00045F32">
      <w:pPr>
        <w:ind w:firstLine="450"/>
        <w:jc w:val="right"/>
      </w:pPr>
      <w:r>
        <w:rPr>
          <w:rFonts w:ascii="Arial" w:eastAsia="宋体" w:hAnsi="Arial" w:cs="Arial"/>
          <w:color w:val="000000"/>
          <w:sz w:val="18"/>
          <w:szCs w:val="18"/>
        </w:rPr>
        <w:t>State Street Corporation | 80</w:t>
      </w:r>
    </w:p>
    <w:p w14:paraId="71D47C39" w14:textId="77777777" w:rsidR="006A3667" w:rsidRDefault="006A3667">
      <w:pPr>
        <w:ind w:firstLine="450"/>
        <w:jc w:val="center"/>
      </w:pPr>
    </w:p>
    <w:p w14:paraId="71D47C3A" w14:textId="77777777" w:rsidR="006A3667" w:rsidRDefault="00045F32">
      <w:r>
        <w:pict w14:anchorId="71D4AC64">
          <v:rect id="_x0000_i1104" style="width:415.3pt;height:1.5pt" o:hralign="center" o:hrstd="t" o:hr="t" fillcolor="#a0a0a0" stroked="f"/>
        </w:pict>
      </w:r>
    </w:p>
    <w:p w14:paraId="71D47C3B" w14:textId="77777777" w:rsidR="006A3667" w:rsidRDefault="00045F32">
      <w:pPr>
        <w:ind w:firstLine="450"/>
        <w:jc w:val="center"/>
      </w:pPr>
      <w:r>
        <w:rPr>
          <w:rFonts w:ascii="Arial" w:eastAsia="宋体" w:hAnsi="Arial" w:cs="Arial"/>
          <w:b/>
          <w:bCs/>
          <w:color w:val="000000"/>
          <w:sz w:val="20"/>
          <w:szCs w:val="20"/>
        </w:rPr>
        <w:t>STATE STREET CORPORATION</w:t>
      </w:r>
    </w:p>
    <w:p w14:paraId="71D47C3C"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7C3D" w14:textId="77777777" w:rsidR="006A3667" w:rsidRDefault="00045F32">
      <w:pPr>
        <w:ind w:firstLine="450"/>
        <w:jc w:val="center"/>
      </w:pPr>
      <w:r>
        <w:rPr>
          <w:rFonts w:ascii="Arial" w:eastAsia="宋体" w:hAnsi="Arial" w:cs="Arial"/>
          <w:b/>
          <w:bCs/>
          <w:color w:val="000000"/>
          <w:sz w:val="20"/>
          <w:szCs w:val="20"/>
        </w:rPr>
        <w:t>(UNAUDITED)</w:t>
      </w:r>
    </w:p>
    <w:p w14:paraId="71D47C3E" w14:textId="77777777" w:rsidR="006A3667" w:rsidRDefault="00045F32">
      <w:pPr>
        <w:spacing w:before="180"/>
        <w:jc w:val="both"/>
      </w:pPr>
      <w:r>
        <w:rPr>
          <w:rFonts w:ascii="Arial" w:eastAsia="宋体" w:hAnsi="Arial" w:cs="Arial"/>
          <w:b/>
          <w:bCs/>
          <w:color w:val="000000"/>
          <w:sz w:val="20"/>
          <w:szCs w:val="20"/>
        </w:rPr>
        <w:t xml:space="preserve">Note 8. </w:t>
      </w:r>
      <w:r>
        <w:rPr>
          <w:rFonts w:ascii="Arial" w:eastAsia="宋体" w:hAnsi="Arial" w:cs="Arial"/>
          <w:b/>
          <w:bCs/>
          <w:color w:val="000000"/>
          <w:sz w:val="20"/>
          <w:szCs w:val="20"/>
        </w:rPr>
        <w:t>Offsetting Arrangements</w:t>
      </w:r>
    </w:p>
    <w:p w14:paraId="71D47C3F" w14:textId="77777777" w:rsidR="006A3667" w:rsidRDefault="00045F32">
      <w:pPr>
        <w:spacing w:before="60"/>
        <w:ind w:firstLine="450"/>
        <w:jc w:val="both"/>
      </w:pPr>
      <w:r>
        <w:rPr>
          <w:rFonts w:ascii="Arial" w:eastAsia="宋体" w:hAnsi="Arial" w:cs="Arial"/>
          <w:color w:val="000000"/>
          <w:sz w:val="20"/>
          <w:szCs w:val="20"/>
        </w:rPr>
        <w:t>For additional information on our offsetting arrangements, refer to page 162 in Note 11 to the consolidated financial statements included under Item 8, Financial Statements and Supplementary Data, in our 2021 Form 10-K.</w:t>
      </w:r>
    </w:p>
    <w:p w14:paraId="71D47C40" w14:textId="77777777" w:rsidR="006A3667" w:rsidRDefault="00045F32">
      <w:pPr>
        <w:spacing w:before="60"/>
        <w:ind w:firstLine="450"/>
        <w:jc w:val="both"/>
      </w:pPr>
      <w:r>
        <w:rPr>
          <w:rFonts w:ascii="Arial" w:eastAsia="宋体" w:hAnsi="Arial" w:cs="Arial"/>
          <w:color w:val="000000"/>
          <w:sz w:val="20"/>
          <w:szCs w:val="20"/>
        </w:rPr>
        <w:t>As of Septem</w:t>
      </w:r>
      <w:r>
        <w:rPr>
          <w:rFonts w:ascii="Arial" w:eastAsia="宋体" w:hAnsi="Arial" w:cs="Arial"/>
          <w:color w:val="000000"/>
          <w:sz w:val="20"/>
          <w:szCs w:val="20"/>
        </w:rPr>
        <w:t>ber 30, 2022 and December 31, 2021, the value of securities received as collateral from third parties where we are permitted to transfer or re-pledge the securities totaled $4.08 billion and $1.60 billion, respectively, and the fair value of the portion th</w:t>
      </w:r>
      <w:r>
        <w:rPr>
          <w:rFonts w:ascii="Arial" w:eastAsia="宋体" w:hAnsi="Arial" w:cs="Arial"/>
          <w:color w:val="000000"/>
          <w:sz w:val="20"/>
          <w:szCs w:val="20"/>
        </w:rPr>
        <w:t>at had been transferred or re-pledged for both was nil</w:t>
      </w:r>
      <w:r>
        <w:rPr>
          <w:rFonts w:ascii="sans-serif" w:eastAsia="宋体" w:hAnsi="sans-serif" w:cs="sans-serif"/>
          <w:color w:val="000000"/>
          <w:sz w:val="22"/>
          <w:szCs w:val="22"/>
        </w:rPr>
        <w:t>.</w:t>
      </w:r>
    </w:p>
    <w:p w14:paraId="71D47C41" w14:textId="77777777" w:rsidR="006A3667" w:rsidRDefault="00045F32">
      <w:pPr>
        <w:spacing w:before="60"/>
        <w:ind w:firstLine="450"/>
        <w:jc w:val="both"/>
      </w:pPr>
      <w:r>
        <w:rPr>
          <w:rFonts w:ascii="Arial" w:eastAsia="宋体" w:hAnsi="Arial" w:cs="Arial"/>
          <w:color w:val="000000"/>
          <w:sz w:val="20"/>
          <w:szCs w:val="20"/>
        </w:rPr>
        <w:t>The following tables present information about the offsetting of assets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097"/>
        <w:gridCol w:w="38"/>
        <w:gridCol w:w="105"/>
        <w:gridCol w:w="820"/>
        <w:gridCol w:w="36"/>
        <w:gridCol w:w="36"/>
        <w:gridCol w:w="36"/>
        <w:gridCol w:w="36"/>
        <w:gridCol w:w="105"/>
        <w:gridCol w:w="1032"/>
        <w:gridCol w:w="36"/>
        <w:gridCol w:w="36"/>
        <w:gridCol w:w="36"/>
        <w:gridCol w:w="36"/>
        <w:gridCol w:w="105"/>
        <w:gridCol w:w="1007"/>
        <w:gridCol w:w="36"/>
        <w:gridCol w:w="36"/>
        <w:gridCol w:w="36"/>
        <w:gridCol w:w="36"/>
        <w:gridCol w:w="105"/>
        <w:gridCol w:w="940"/>
        <w:gridCol w:w="37"/>
        <w:gridCol w:w="36"/>
        <w:gridCol w:w="36"/>
        <w:gridCol w:w="36"/>
        <w:gridCol w:w="105"/>
        <w:gridCol w:w="755"/>
        <w:gridCol w:w="37"/>
        <w:gridCol w:w="36"/>
        <w:gridCol w:w="36"/>
        <w:gridCol w:w="36"/>
        <w:gridCol w:w="36"/>
        <w:gridCol w:w="36"/>
        <w:gridCol w:w="36"/>
        <w:gridCol w:w="36"/>
        <w:gridCol w:w="36"/>
        <w:gridCol w:w="36"/>
        <w:gridCol w:w="36"/>
        <w:gridCol w:w="36"/>
        <w:gridCol w:w="36"/>
        <w:gridCol w:w="36"/>
      </w:tblGrid>
      <w:tr w:rsidR="006A3667" w14:paraId="71D47C65" w14:textId="77777777">
        <w:tc>
          <w:tcPr>
            <w:tcW w:w="50" w:type="pct"/>
            <w:shd w:val="clear" w:color="auto" w:fill="auto"/>
            <w:vAlign w:val="bottom"/>
          </w:tcPr>
          <w:p w14:paraId="71D47C42" w14:textId="77777777" w:rsidR="006A3667" w:rsidRDefault="006A3667">
            <w:pPr>
              <w:rPr>
                <w:rFonts w:ascii="宋体"/>
              </w:rPr>
            </w:pPr>
          </w:p>
        </w:tc>
        <w:tc>
          <w:tcPr>
            <w:tcW w:w="1370" w:type="pct"/>
            <w:shd w:val="clear" w:color="auto" w:fill="auto"/>
            <w:vAlign w:val="bottom"/>
          </w:tcPr>
          <w:p w14:paraId="71D47C43" w14:textId="77777777" w:rsidR="006A3667" w:rsidRDefault="006A3667">
            <w:pPr>
              <w:rPr>
                <w:rFonts w:ascii="宋体"/>
              </w:rPr>
            </w:pPr>
          </w:p>
        </w:tc>
        <w:tc>
          <w:tcPr>
            <w:tcW w:w="5" w:type="pct"/>
            <w:shd w:val="clear" w:color="auto" w:fill="auto"/>
            <w:vAlign w:val="bottom"/>
          </w:tcPr>
          <w:p w14:paraId="71D47C44" w14:textId="77777777" w:rsidR="006A3667" w:rsidRDefault="006A3667">
            <w:pPr>
              <w:rPr>
                <w:rFonts w:ascii="宋体"/>
              </w:rPr>
            </w:pPr>
          </w:p>
        </w:tc>
        <w:tc>
          <w:tcPr>
            <w:tcW w:w="50" w:type="pct"/>
            <w:shd w:val="clear" w:color="auto" w:fill="auto"/>
            <w:vAlign w:val="bottom"/>
          </w:tcPr>
          <w:p w14:paraId="71D47C45" w14:textId="77777777" w:rsidR="006A3667" w:rsidRDefault="006A3667">
            <w:pPr>
              <w:rPr>
                <w:rFonts w:ascii="宋体"/>
              </w:rPr>
            </w:pPr>
          </w:p>
        </w:tc>
        <w:tc>
          <w:tcPr>
            <w:tcW w:w="551" w:type="pct"/>
            <w:shd w:val="clear" w:color="auto" w:fill="auto"/>
            <w:vAlign w:val="bottom"/>
          </w:tcPr>
          <w:p w14:paraId="71D47C46" w14:textId="77777777" w:rsidR="006A3667" w:rsidRDefault="006A3667">
            <w:pPr>
              <w:rPr>
                <w:rFonts w:ascii="宋体"/>
              </w:rPr>
            </w:pPr>
          </w:p>
        </w:tc>
        <w:tc>
          <w:tcPr>
            <w:tcW w:w="5" w:type="pct"/>
            <w:shd w:val="clear" w:color="auto" w:fill="auto"/>
            <w:vAlign w:val="bottom"/>
          </w:tcPr>
          <w:p w14:paraId="71D47C47" w14:textId="77777777" w:rsidR="006A3667" w:rsidRDefault="006A3667">
            <w:pPr>
              <w:rPr>
                <w:rFonts w:ascii="宋体"/>
              </w:rPr>
            </w:pPr>
          </w:p>
        </w:tc>
        <w:tc>
          <w:tcPr>
            <w:tcW w:w="5" w:type="pct"/>
            <w:shd w:val="clear" w:color="auto" w:fill="auto"/>
            <w:vAlign w:val="bottom"/>
          </w:tcPr>
          <w:p w14:paraId="71D47C48" w14:textId="77777777" w:rsidR="006A3667" w:rsidRDefault="006A3667">
            <w:pPr>
              <w:rPr>
                <w:rFonts w:ascii="宋体"/>
              </w:rPr>
            </w:pPr>
          </w:p>
        </w:tc>
        <w:tc>
          <w:tcPr>
            <w:tcW w:w="26" w:type="pct"/>
            <w:shd w:val="clear" w:color="auto" w:fill="auto"/>
            <w:vAlign w:val="bottom"/>
          </w:tcPr>
          <w:p w14:paraId="71D47C49" w14:textId="77777777" w:rsidR="006A3667" w:rsidRDefault="006A3667">
            <w:pPr>
              <w:rPr>
                <w:rFonts w:ascii="宋体"/>
              </w:rPr>
            </w:pPr>
          </w:p>
        </w:tc>
        <w:tc>
          <w:tcPr>
            <w:tcW w:w="5" w:type="pct"/>
            <w:shd w:val="clear" w:color="auto" w:fill="auto"/>
            <w:vAlign w:val="bottom"/>
          </w:tcPr>
          <w:p w14:paraId="71D47C4A" w14:textId="77777777" w:rsidR="006A3667" w:rsidRDefault="006A3667">
            <w:pPr>
              <w:rPr>
                <w:rFonts w:ascii="宋体"/>
              </w:rPr>
            </w:pPr>
          </w:p>
        </w:tc>
        <w:tc>
          <w:tcPr>
            <w:tcW w:w="50" w:type="pct"/>
            <w:shd w:val="clear" w:color="auto" w:fill="auto"/>
            <w:vAlign w:val="bottom"/>
          </w:tcPr>
          <w:p w14:paraId="71D47C4B" w14:textId="77777777" w:rsidR="006A3667" w:rsidRDefault="006A3667">
            <w:pPr>
              <w:rPr>
                <w:rFonts w:ascii="宋体"/>
              </w:rPr>
            </w:pPr>
          </w:p>
        </w:tc>
        <w:tc>
          <w:tcPr>
            <w:tcW w:w="712" w:type="pct"/>
            <w:shd w:val="clear" w:color="auto" w:fill="auto"/>
            <w:vAlign w:val="bottom"/>
          </w:tcPr>
          <w:p w14:paraId="71D47C4C" w14:textId="77777777" w:rsidR="006A3667" w:rsidRDefault="006A3667">
            <w:pPr>
              <w:rPr>
                <w:rFonts w:ascii="宋体"/>
              </w:rPr>
            </w:pPr>
          </w:p>
        </w:tc>
        <w:tc>
          <w:tcPr>
            <w:tcW w:w="5" w:type="pct"/>
            <w:shd w:val="clear" w:color="auto" w:fill="auto"/>
            <w:vAlign w:val="bottom"/>
          </w:tcPr>
          <w:p w14:paraId="71D47C4D" w14:textId="77777777" w:rsidR="006A3667" w:rsidRDefault="006A3667">
            <w:pPr>
              <w:rPr>
                <w:rFonts w:ascii="宋体"/>
              </w:rPr>
            </w:pPr>
          </w:p>
        </w:tc>
        <w:tc>
          <w:tcPr>
            <w:tcW w:w="5" w:type="pct"/>
            <w:shd w:val="clear" w:color="auto" w:fill="auto"/>
            <w:vAlign w:val="bottom"/>
          </w:tcPr>
          <w:p w14:paraId="71D47C4E" w14:textId="77777777" w:rsidR="006A3667" w:rsidRDefault="006A3667">
            <w:pPr>
              <w:rPr>
                <w:rFonts w:ascii="宋体"/>
              </w:rPr>
            </w:pPr>
          </w:p>
        </w:tc>
        <w:tc>
          <w:tcPr>
            <w:tcW w:w="26" w:type="pct"/>
            <w:shd w:val="clear" w:color="auto" w:fill="auto"/>
            <w:vAlign w:val="bottom"/>
          </w:tcPr>
          <w:p w14:paraId="71D47C4F" w14:textId="77777777" w:rsidR="006A3667" w:rsidRDefault="006A3667">
            <w:pPr>
              <w:rPr>
                <w:rFonts w:ascii="宋体"/>
              </w:rPr>
            </w:pPr>
          </w:p>
        </w:tc>
        <w:tc>
          <w:tcPr>
            <w:tcW w:w="5" w:type="pct"/>
            <w:shd w:val="clear" w:color="auto" w:fill="auto"/>
            <w:vAlign w:val="bottom"/>
          </w:tcPr>
          <w:p w14:paraId="71D47C50" w14:textId="77777777" w:rsidR="006A3667" w:rsidRDefault="006A3667">
            <w:pPr>
              <w:rPr>
                <w:rFonts w:ascii="宋体"/>
              </w:rPr>
            </w:pPr>
          </w:p>
        </w:tc>
        <w:tc>
          <w:tcPr>
            <w:tcW w:w="50" w:type="pct"/>
            <w:shd w:val="clear" w:color="auto" w:fill="auto"/>
            <w:vAlign w:val="bottom"/>
          </w:tcPr>
          <w:p w14:paraId="71D47C51" w14:textId="77777777" w:rsidR="006A3667" w:rsidRDefault="006A3667">
            <w:pPr>
              <w:rPr>
                <w:rFonts w:ascii="宋体"/>
              </w:rPr>
            </w:pPr>
          </w:p>
        </w:tc>
        <w:tc>
          <w:tcPr>
            <w:tcW w:w="697" w:type="pct"/>
            <w:shd w:val="clear" w:color="auto" w:fill="auto"/>
            <w:vAlign w:val="bottom"/>
          </w:tcPr>
          <w:p w14:paraId="71D47C52" w14:textId="77777777" w:rsidR="006A3667" w:rsidRDefault="006A3667">
            <w:pPr>
              <w:rPr>
                <w:rFonts w:ascii="宋体"/>
              </w:rPr>
            </w:pPr>
          </w:p>
        </w:tc>
        <w:tc>
          <w:tcPr>
            <w:tcW w:w="5" w:type="pct"/>
            <w:shd w:val="clear" w:color="auto" w:fill="auto"/>
            <w:vAlign w:val="bottom"/>
          </w:tcPr>
          <w:p w14:paraId="71D47C53" w14:textId="77777777" w:rsidR="006A3667" w:rsidRDefault="006A3667">
            <w:pPr>
              <w:rPr>
                <w:rFonts w:ascii="宋体"/>
              </w:rPr>
            </w:pPr>
          </w:p>
        </w:tc>
        <w:tc>
          <w:tcPr>
            <w:tcW w:w="5" w:type="pct"/>
            <w:shd w:val="clear" w:color="auto" w:fill="auto"/>
            <w:vAlign w:val="bottom"/>
          </w:tcPr>
          <w:p w14:paraId="71D47C54" w14:textId="77777777" w:rsidR="006A3667" w:rsidRDefault="006A3667">
            <w:pPr>
              <w:rPr>
                <w:rFonts w:ascii="宋体"/>
              </w:rPr>
            </w:pPr>
          </w:p>
        </w:tc>
        <w:tc>
          <w:tcPr>
            <w:tcW w:w="26" w:type="pct"/>
            <w:shd w:val="clear" w:color="auto" w:fill="auto"/>
            <w:vAlign w:val="bottom"/>
          </w:tcPr>
          <w:p w14:paraId="71D47C55" w14:textId="77777777" w:rsidR="006A3667" w:rsidRDefault="006A3667">
            <w:pPr>
              <w:rPr>
                <w:rFonts w:ascii="宋体"/>
              </w:rPr>
            </w:pPr>
          </w:p>
        </w:tc>
        <w:tc>
          <w:tcPr>
            <w:tcW w:w="5" w:type="pct"/>
            <w:shd w:val="clear" w:color="auto" w:fill="auto"/>
            <w:vAlign w:val="bottom"/>
          </w:tcPr>
          <w:p w14:paraId="71D47C56" w14:textId="77777777" w:rsidR="006A3667" w:rsidRDefault="006A3667">
            <w:pPr>
              <w:rPr>
                <w:rFonts w:ascii="宋体"/>
              </w:rPr>
            </w:pPr>
          </w:p>
        </w:tc>
        <w:tc>
          <w:tcPr>
            <w:tcW w:w="50" w:type="pct"/>
            <w:shd w:val="clear" w:color="auto" w:fill="auto"/>
            <w:vAlign w:val="bottom"/>
          </w:tcPr>
          <w:p w14:paraId="71D47C57" w14:textId="77777777" w:rsidR="006A3667" w:rsidRDefault="006A3667">
            <w:pPr>
              <w:rPr>
                <w:rFonts w:ascii="宋体"/>
              </w:rPr>
            </w:pPr>
          </w:p>
        </w:tc>
        <w:tc>
          <w:tcPr>
            <w:tcW w:w="654" w:type="pct"/>
            <w:shd w:val="clear" w:color="auto" w:fill="auto"/>
            <w:vAlign w:val="bottom"/>
          </w:tcPr>
          <w:p w14:paraId="71D47C58" w14:textId="77777777" w:rsidR="006A3667" w:rsidRDefault="006A3667">
            <w:pPr>
              <w:rPr>
                <w:rFonts w:ascii="宋体"/>
              </w:rPr>
            </w:pPr>
          </w:p>
        </w:tc>
        <w:tc>
          <w:tcPr>
            <w:tcW w:w="5" w:type="pct"/>
            <w:shd w:val="clear" w:color="auto" w:fill="auto"/>
            <w:vAlign w:val="bottom"/>
          </w:tcPr>
          <w:p w14:paraId="71D47C59" w14:textId="77777777" w:rsidR="006A3667" w:rsidRDefault="006A3667">
            <w:pPr>
              <w:rPr>
                <w:rFonts w:ascii="宋体"/>
              </w:rPr>
            </w:pPr>
          </w:p>
        </w:tc>
        <w:tc>
          <w:tcPr>
            <w:tcW w:w="5" w:type="pct"/>
            <w:shd w:val="clear" w:color="auto" w:fill="auto"/>
            <w:vAlign w:val="bottom"/>
          </w:tcPr>
          <w:p w14:paraId="71D47C5A" w14:textId="77777777" w:rsidR="006A3667" w:rsidRDefault="006A3667">
            <w:pPr>
              <w:rPr>
                <w:rFonts w:ascii="宋体"/>
              </w:rPr>
            </w:pPr>
          </w:p>
        </w:tc>
        <w:tc>
          <w:tcPr>
            <w:tcW w:w="26" w:type="pct"/>
            <w:shd w:val="clear" w:color="auto" w:fill="auto"/>
            <w:vAlign w:val="bottom"/>
          </w:tcPr>
          <w:p w14:paraId="71D47C5B" w14:textId="77777777" w:rsidR="006A3667" w:rsidRDefault="006A3667">
            <w:pPr>
              <w:rPr>
                <w:rFonts w:ascii="宋体"/>
              </w:rPr>
            </w:pPr>
          </w:p>
        </w:tc>
        <w:tc>
          <w:tcPr>
            <w:tcW w:w="5" w:type="pct"/>
            <w:shd w:val="clear" w:color="auto" w:fill="auto"/>
            <w:vAlign w:val="bottom"/>
          </w:tcPr>
          <w:p w14:paraId="71D47C5C" w14:textId="77777777" w:rsidR="006A3667" w:rsidRDefault="006A3667">
            <w:pPr>
              <w:rPr>
                <w:rFonts w:ascii="宋体"/>
              </w:rPr>
            </w:pPr>
          </w:p>
        </w:tc>
        <w:tc>
          <w:tcPr>
            <w:tcW w:w="50" w:type="pct"/>
            <w:shd w:val="clear" w:color="auto" w:fill="auto"/>
            <w:vAlign w:val="bottom"/>
          </w:tcPr>
          <w:p w14:paraId="71D47C5D" w14:textId="77777777" w:rsidR="006A3667" w:rsidRDefault="006A3667">
            <w:pPr>
              <w:rPr>
                <w:rFonts w:ascii="宋体"/>
              </w:rPr>
            </w:pPr>
          </w:p>
        </w:tc>
        <w:tc>
          <w:tcPr>
            <w:tcW w:w="537" w:type="pct"/>
            <w:shd w:val="clear" w:color="auto" w:fill="auto"/>
            <w:vAlign w:val="bottom"/>
          </w:tcPr>
          <w:p w14:paraId="71D47C5E" w14:textId="77777777" w:rsidR="006A3667" w:rsidRDefault="006A3667">
            <w:pPr>
              <w:rPr>
                <w:rFonts w:ascii="宋体"/>
              </w:rPr>
            </w:pPr>
          </w:p>
        </w:tc>
        <w:tc>
          <w:tcPr>
            <w:tcW w:w="5" w:type="pct"/>
            <w:shd w:val="clear" w:color="auto" w:fill="auto"/>
            <w:vAlign w:val="bottom"/>
          </w:tcPr>
          <w:p w14:paraId="71D47C5F" w14:textId="77777777" w:rsidR="006A3667" w:rsidRDefault="006A3667">
            <w:pPr>
              <w:rPr>
                <w:rFonts w:ascii="宋体"/>
              </w:rPr>
            </w:pPr>
          </w:p>
        </w:tc>
        <w:tc>
          <w:tcPr>
            <w:tcW w:w="0" w:type="auto"/>
            <w:shd w:val="clear" w:color="auto" w:fill="auto"/>
            <w:vAlign w:val="bottom"/>
          </w:tcPr>
          <w:p w14:paraId="71D47C60" w14:textId="77777777" w:rsidR="006A3667" w:rsidRDefault="006A3667">
            <w:pPr>
              <w:rPr>
                <w:rFonts w:ascii="宋体"/>
                <w:vanish/>
              </w:rPr>
            </w:pPr>
          </w:p>
        </w:tc>
        <w:tc>
          <w:tcPr>
            <w:tcW w:w="0" w:type="auto"/>
            <w:gridSpan w:val="3"/>
            <w:shd w:val="clear" w:color="auto" w:fill="auto"/>
            <w:vAlign w:val="bottom"/>
          </w:tcPr>
          <w:p w14:paraId="71D47C61" w14:textId="77777777" w:rsidR="006A3667" w:rsidRDefault="006A3667">
            <w:pPr>
              <w:rPr>
                <w:rFonts w:ascii="宋体"/>
                <w:vanish/>
              </w:rPr>
            </w:pPr>
          </w:p>
        </w:tc>
        <w:tc>
          <w:tcPr>
            <w:tcW w:w="0" w:type="auto"/>
            <w:gridSpan w:val="3"/>
            <w:shd w:val="clear" w:color="auto" w:fill="auto"/>
            <w:vAlign w:val="bottom"/>
          </w:tcPr>
          <w:p w14:paraId="71D47C62" w14:textId="77777777" w:rsidR="006A3667" w:rsidRDefault="006A3667">
            <w:pPr>
              <w:rPr>
                <w:rFonts w:ascii="宋体"/>
                <w:vanish/>
              </w:rPr>
            </w:pPr>
          </w:p>
        </w:tc>
        <w:tc>
          <w:tcPr>
            <w:tcW w:w="0" w:type="auto"/>
            <w:gridSpan w:val="3"/>
            <w:shd w:val="clear" w:color="auto" w:fill="auto"/>
            <w:vAlign w:val="bottom"/>
          </w:tcPr>
          <w:p w14:paraId="71D47C63" w14:textId="77777777" w:rsidR="006A3667" w:rsidRDefault="006A3667">
            <w:pPr>
              <w:rPr>
                <w:rFonts w:ascii="宋体"/>
                <w:vanish/>
              </w:rPr>
            </w:pPr>
          </w:p>
        </w:tc>
        <w:tc>
          <w:tcPr>
            <w:tcW w:w="0" w:type="auto"/>
            <w:gridSpan w:val="3"/>
            <w:shd w:val="clear" w:color="auto" w:fill="auto"/>
            <w:vAlign w:val="bottom"/>
          </w:tcPr>
          <w:p w14:paraId="71D47C64" w14:textId="77777777" w:rsidR="006A3667" w:rsidRDefault="006A3667">
            <w:pPr>
              <w:rPr>
                <w:rFonts w:ascii="宋体"/>
                <w:vanish/>
              </w:rPr>
            </w:pPr>
          </w:p>
        </w:tc>
      </w:tr>
      <w:tr w:rsidR="006A3667" w14:paraId="71D47C75" w14:textId="77777777">
        <w:tc>
          <w:tcPr>
            <w:tcW w:w="0" w:type="auto"/>
            <w:gridSpan w:val="3"/>
            <w:shd w:val="clear" w:color="auto" w:fill="auto"/>
            <w:tcMar>
              <w:top w:w="40" w:type="dxa"/>
              <w:left w:w="20" w:type="dxa"/>
              <w:bottom w:w="40" w:type="dxa"/>
              <w:right w:w="20" w:type="dxa"/>
            </w:tcMar>
            <w:vAlign w:val="bottom"/>
          </w:tcPr>
          <w:p w14:paraId="71D47C66" w14:textId="77777777" w:rsidR="006A3667" w:rsidRDefault="00045F32">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1D47C67" w14:textId="77777777" w:rsidR="006A3667" w:rsidRDefault="00045F32">
            <w:pPr>
              <w:jc w:val="center"/>
              <w:textAlignment w:val="bottom"/>
            </w:pPr>
            <w:r>
              <w:rPr>
                <w:rFonts w:ascii="Arial" w:eastAsia="宋体" w:hAnsi="Arial" w:cs="Arial"/>
                <w:b/>
                <w:bCs/>
                <w:color w:val="000000"/>
                <w:sz w:val="15"/>
                <w:szCs w:val="15"/>
              </w:rPr>
              <w:t>September 30, 2022</w:t>
            </w:r>
          </w:p>
        </w:tc>
        <w:tc>
          <w:tcPr>
            <w:tcW w:w="0" w:type="auto"/>
            <w:shd w:val="clear" w:color="auto" w:fill="auto"/>
            <w:vAlign w:val="bottom"/>
          </w:tcPr>
          <w:p w14:paraId="71D47C68" w14:textId="77777777" w:rsidR="006A3667" w:rsidRDefault="006A3667">
            <w:pPr>
              <w:rPr>
                <w:rFonts w:ascii="宋体"/>
                <w:vanish/>
              </w:rPr>
            </w:pPr>
          </w:p>
        </w:tc>
        <w:tc>
          <w:tcPr>
            <w:tcW w:w="0" w:type="auto"/>
            <w:shd w:val="clear" w:color="auto" w:fill="auto"/>
            <w:vAlign w:val="bottom"/>
          </w:tcPr>
          <w:p w14:paraId="71D47C69" w14:textId="77777777" w:rsidR="006A3667" w:rsidRDefault="006A3667">
            <w:pPr>
              <w:rPr>
                <w:rFonts w:ascii="宋体"/>
              </w:rPr>
            </w:pPr>
          </w:p>
        </w:tc>
        <w:tc>
          <w:tcPr>
            <w:tcW w:w="0" w:type="auto"/>
            <w:shd w:val="clear" w:color="auto" w:fill="auto"/>
            <w:vAlign w:val="bottom"/>
          </w:tcPr>
          <w:p w14:paraId="71D47C6A" w14:textId="77777777" w:rsidR="006A3667" w:rsidRDefault="006A3667">
            <w:pPr>
              <w:rPr>
                <w:rFonts w:ascii="宋体"/>
              </w:rPr>
            </w:pPr>
          </w:p>
        </w:tc>
        <w:tc>
          <w:tcPr>
            <w:tcW w:w="0" w:type="auto"/>
            <w:shd w:val="clear" w:color="auto" w:fill="auto"/>
            <w:vAlign w:val="bottom"/>
          </w:tcPr>
          <w:p w14:paraId="71D47C6B" w14:textId="77777777" w:rsidR="006A3667" w:rsidRDefault="006A3667">
            <w:pPr>
              <w:rPr>
                <w:rFonts w:ascii="宋体"/>
              </w:rPr>
            </w:pPr>
          </w:p>
        </w:tc>
        <w:tc>
          <w:tcPr>
            <w:tcW w:w="0" w:type="auto"/>
            <w:shd w:val="clear" w:color="auto" w:fill="auto"/>
            <w:vAlign w:val="bottom"/>
          </w:tcPr>
          <w:p w14:paraId="71D47C6C" w14:textId="77777777" w:rsidR="006A3667" w:rsidRDefault="006A3667">
            <w:pPr>
              <w:rPr>
                <w:rFonts w:ascii="宋体"/>
              </w:rPr>
            </w:pPr>
          </w:p>
        </w:tc>
        <w:tc>
          <w:tcPr>
            <w:tcW w:w="0" w:type="auto"/>
            <w:shd w:val="clear" w:color="auto" w:fill="auto"/>
            <w:vAlign w:val="bottom"/>
          </w:tcPr>
          <w:p w14:paraId="71D47C6D" w14:textId="77777777" w:rsidR="006A3667" w:rsidRDefault="006A3667">
            <w:pPr>
              <w:rPr>
                <w:rFonts w:ascii="宋体"/>
              </w:rPr>
            </w:pPr>
          </w:p>
        </w:tc>
        <w:tc>
          <w:tcPr>
            <w:tcW w:w="0" w:type="auto"/>
            <w:shd w:val="clear" w:color="auto" w:fill="auto"/>
            <w:vAlign w:val="bottom"/>
          </w:tcPr>
          <w:p w14:paraId="71D47C6E" w14:textId="77777777" w:rsidR="006A3667" w:rsidRDefault="006A3667">
            <w:pPr>
              <w:rPr>
                <w:rFonts w:ascii="宋体"/>
              </w:rPr>
            </w:pPr>
          </w:p>
        </w:tc>
        <w:tc>
          <w:tcPr>
            <w:tcW w:w="0" w:type="auto"/>
            <w:shd w:val="clear" w:color="auto" w:fill="auto"/>
            <w:vAlign w:val="bottom"/>
          </w:tcPr>
          <w:p w14:paraId="71D47C6F" w14:textId="77777777" w:rsidR="006A3667" w:rsidRDefault="006A3667">
            <w:pPr>
              <w:rPr>
                <w:rFonts w:ascii="宋体"/>
              </w:rPr>
            </w:pPr>
          </w:p>
        </w:tc>
        <w:tc>
          <w:tcPr>
            <w:tcW w:w="0" w:type="auto"/>
            <w:shd w:val="clear" w:color="auto" w:fill="auto"/>
            <w:vAlign w:val="bottom"/>
          </w:tcPr>
          <w:p w14:paraId="71D47C70" w14:textId="77777777" w:rsidR="006A3667" w:rsidRDefault="006A3667">
            <w:pPr>
              <w:rPr>
                <w:rFonts w:ascii="宋体"/>
              </w:rPr>
            </w:pPr>
          </w:p>
        </w:tc>
        <w:tc>
          <w:tcPr>
            <w:tcW w:w="0" w:type="auto"/>
            <w:shd w:val="clear" w:color="auto" w:fill="auto"/>
            <w:vAlign w:val="bottom"/>
          </w:tcPr>
          <w:p w14:paraId="71D47C71" w14:textId="77777777" w:rsidR="006A3667" w:rsidRDefault="006A3667">
            <w:pPr>
              <w:rPr>
                <w:rFonts w:ascii="宋体"/>
              </w:rPr>
            </w:pPr>
          </w:p>
        </w:tc>
        <w:tc>
          <w:tcPr>
            <w:tcW w:w="0" w:type="auto"/>
            <w:shd w:val="clear" w:color="auto" w:fill="auto"/>
            <w:vAlign w:val="bottom"/>
          </w:tcPr>
          <w:p w14:paraId="71D47C72" w14:textId="77777777" w:rsidR="006A3667" w:rsidRDefault="006A3667">
            <w:pPr>
              <w:rPr>
                <w:rFonts w:ascii="宋体"/>
              </w:rPr>
            </w:pPr>
          </w:p>
        </w:tc>
        <w:tc>
          <w:tcPr>
            <w:tcW w:w="0" w:type="auto"/>
            <w:shd w:val="clear" w:color="auto" w:fill="auto"/>
            <w:vAlign w:val="bottom"/>
          </w:tcPr>
          <w:p w14:paraId="71D47C73" w14:textId="77777777" w:rsidR="006A3667" w:rsidRDefault="006A3667">
            <w:pPr>
              <w:rPr>
                <w:rFonts w:ascii="宋体"/>
              </w:rPr>
            </w:pPr>
          </w:p>
        </w:tc>
        <w:tc>
          <w:tcPr>
            <w:tcW w:w="0" w:type="auto"/>
            <w:shd w:val="clear" w:color="auto" w:fill="auto"/>
            <w:vAlign w:val="bottom"/>
          </w:tcPr>
          <w:p w14:paraId="71D47C74" w14:textId="77777777" w:rsidR="006A3667" w:rsidRDefault="006A3667">
            <w:pPr>
              <w:rPr>
                <w:rFonts w:ascii="宋体"/>
              </w:rPr>
            </w:pPr>
          </w:p>
        </w:tc>
      </w:tr>
      <w:tr w:rsidR="006A3667" w14:paraId="71D47C84" w14:textId="77777777">
        <w:trPr>
          <w:trHeight w:val="400"/>
        </w:trPr>
        <w:tc>
          <w:tcPr>
            <w:tcW w:w="0" w:type="auto"/>
            <w:gridSpan w:val="3"/>
            <w:shd w:val="clear" w:color="auto" w:fill="auto"/>
            <w:tcMar>
              <w:top w:w="0" w:type="dxa"/>
              <w:left w:w="20" w:type="dxa"/>
              <w:bottom w:w="0" w:type="dxa"/>
              <w:right w:w="20" w:type="dxa"/>
            </w:tcMar>
            <w:vAlign w:val="bottom"/>
          </w:tcPr>
          <w:p w14:paraId="71D47C76" w14:textId="77777777" w:rsidR="006A3667" w:rsidRDefault="006A3667">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C77" w14:textId="77777777" w:rsidR="006A3667" w:rsidRDefault="00045F32">
            <w:pPr>
              <w:jc w:val="center"/>
              <w:textAlignment w:val="bottom"/>
            </w:pPr>
            <w:r>
              <w:rPr>
                <w:rFonts w:ascii="Arial" w:eastAsia="宋体" w:hAnsi="Arial" w:cs="Arial"/>
                <w:b/>
                <w:bCs/>
                <w:color w:val="000000"/>
                <w:sz w:val="15"/>
                <w:szCs w:val="15"/>
              </w:rPr>
              <w:t xml:space="preserve">Gross Amounts of Recognized </w:t>
            </w:r>
          </w:p>
          <w:p w14:paraId="71D47C78" w14:textId="77777777" w:rsidR="006A3667" w:rsidRDefault="00045F32">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C79" w14:textId="77777777" w:rsidR="006A3667" w:rsidRDefault="006A3667">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C7A" w14:textId="77777777" w:rsidR="006A3667" w:rsidRDefault="00045F32">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C7B"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7C7C" w14:textId="77777777" w:rsidR="006A3667" w:rsidRDefault="00045F32">
            <w:pPr>
              <w:jc w:val="center"/>
              <w:textAlignment w:val="bottom"/>
            </w:pPr>
            <w:r>
              <w:rPr>
                <w:rFonts w:ascii="Arial" w:eastAsia="宋体" w:hAnsi="Arial" w:cs="Arial"/>
                <w:b/>
                <w:bCs/>
                <w:color w:val="000000"/>
                <w:sz w:val="15"/>
                <w:szCs w:val="15"/>
              </w:rPr>
              <w:t>Net Amounts of Assets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C7D"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C7E" w14:textId="77777777" w:rsidR="006A3667" w:rsidRDefault="00045F32">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71D47C7F" w14:textId="77777777" w:rsidR="006A3667" w:rsidRDefault="006A3667">
            <w:pPr>
              <w:rPr>
                <w:rFonts w:ascii="宋体"/>
                <w:vanish/>
              </w:rPr>
            </w:pPr>
          </w:p>
        </w:tc>
        <w:tc>
          <w:tcPr>
            <w:tcW w:w="0" w:type="auto"/>
            <w:gridSpan w:val="3"/>
            <w:shd w:val="clear" w:color="auto" w:fill="auto"/>
            <w:vAlign w:val="bottom"/>
          </w:tcPr>
          <w:p w14:paraId="71D47C80" w14:textId="77777777" w:rsidR="006A3667" w:rsidRDefault="006A3667">
            <w:pPr>
              <w:rPr>
                <w:rFonts w:ascii="宋体"/>
                <w:vanish/>
              </w:rPr>
            </w:pPr>
          </w:p>
        </w:tc>
        <w:tc>
          <w:tcPr>
            <w:tcW w:w="0" w:type="auto"/>
            <w:gridSpan w:val="3"/>
            <w:shd w:val="clear" w:color="auto" w:fill="auto"/>
            <w:vAlign w:val="bottom"/>
          </w:tcPr>
          <w:p w14:paraId="71D47C81" w14:textId="77777777" w:rsidR="006A3667" w:rsidRDefault="006A3667">
            <w:pPr>
              <w:rPr>
                <w:rFonts w:ascii="宋体"/>
                <w:vanish/>
              </w:rPr>
            </w:pPr>
          </w:p>
        </w:tc>
        <w:tc>
          <w:tcPr>
            <w:tcW w:w="0" w:type="auto"/>
            <w:gridSpan w:val="3"/>
            <w:shd w:val="clear" w:color="auto" w:fill="auto"/>
            <w:vAlign w:val="bottom"/>
          </w:tcPr>
          <w:p w14:paraId="71D47C82" w14:textId="77777777" w:rsidR="006A3667" w:rsidRDefault="006A3667">
            <w:pPr>
              <w:rPr>
                <w:rFonts w:ascii="宋体"/>
                <w:vanish/>
              </w:rPr>
            </w:pPr>
          </w:p>
        </w:tc>
        <w:tc>
          <w:tcPr>
            <w:tcW w:w="0" w:type="auto"/>
            <w:gridSpan w:val="3"/>
            <w:shd w:val="clear" w:color="auto" w:fill="auto"/>
            <w:vAlign w:val="bottom"/>
          </w:tcPr>
          <w:p w14:paraId="71D47C83" w14:textId="77777777" w:rsidR="006A3667" w:rsidRDefault="006A3667">
            <w:pPr>
              <w:rPr>
                <w:rFonts w:ascii="宋体"/>
                <w:vanish/>
              </w:rPr>
            </w:pPr>
          </w:p>
        </w:tc>
      </w:tr>
      <w:tr w:rsidR="006A3667" w14:paraId="71D47C94" w14:textId="77777777">
        <w:trPr>
          <w:trHeight w:val="540"/>
        </w:trPr>
        <w:tc>
          <w:tcPr>
            <w:tcW w:w="0" w:type="auto"/>
            <w:gridSpan w:val="3"/>
            <w:shd w:val="clear" w:color="auto" w:fill="auto"/>
            <w:tcMar>
              <w:top w:w="40" w:type="dxa"/>
              <w:left w:w="20" w:type="dxa"/>
              <w:bottom w:w="40" w:type="dxa"/>
              <w:right w:w="20" w:type="dxa"/>
            </w:tcMar>
            <w:vAlign w:val="bottom"/>
          </w:tcPr>
          <w:p w14:paraId="71D47C85" w14:textId="77777777" w:rsidR="006A3667" w:rsidRDefault="00045F32">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C8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C87" w14:textId="77777777" w:rsidR="006A3667" w:rsidRDefault="006A3667">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C8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C89"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7C8A"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7C8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C8C" w14:textId="77777777" w:rsidR="006A3667" w:rsidRDefault="00045F32">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C8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C8E" w14:textId="77777777" w:rsidR="006A3667" w:rsidRDefault="00045F32">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71D47C8F" w14:textId="77777777" w:rsidR="006A3667" w:rsidRDefault="006A3667">
            <w:pPr>
              <w:rPr>
                <w:rFonts w:ascii="宋体"/>
                <w:vanish/>
              </w:rPr>
            </w:pPr>
          </w:p>
        </w:tc>
        <w:tc>
          <w:tcPr>
            <w:tcW w:w="0" w:type="auto"/>
            <w:gridSpan w:val="3"/>
            <w:shd w:val="clear" w:color="auto" w:fill="auto"/>
            <w:vAlign w:val="bottom"/>
          </w:tcPr>
          <w:p w14:paraId="71D47C90" w14:textId="77777777" w:rsidR="006A3667" w:rsidRDefault="006A3667">
            <w:pPr>
              <w:rPr>
                <w:rFonts w:ascii="宋体"/>
                <w:vanish/>
              </w:rPr>
            </w:pPr>
          </w:p>
        </w:tc>
        <w:tc>
          <w:tcPr>
            <w:tcW w:w="0" w:type="auto"/>
            <w:gridSpan w:val="3"/>
            <w:shd w:val="clear" w:color="auto" w:fill="auto"/>
            <w:vAlign w:val="bottom"/>
          </w:tcPr>
          <w:p w14:paraId="71D47C91" w14:textId="77777777" w:rsidR="006A3667" w:rsidRDefault="006A3667">
            <w:pPr>
              <w:rPr>
                <w:rFonts w:ascii="宋体"/>
                <w:vanish/>
              </w:rPr>
            </w:pPr>
          </w:p>
        </w:tc>
        <w:tc>
          <w:tcPr>
            <w:tcW w:w="0" w:type="auto"/>
            <w:gridSpan w:val="3"/>
            <w:shd w:val="clear" w:color="auto" w:fill="auto"/>
            <w:vAlign w:val="bottom"/>
          </w:tcPr>
          <w:p w14:paraId="71D47C92" w14:textId="77777777" w:rsidR="006A3667" w:rsidRDefault="006A3667">
            <w:pPr>
              <w:rPr>
                <w:rFonts w:ascii="宋体"/>
                <w:vanish/>
              </w:rPr>
            </w:pPr>
          </w:p>
        </w:tc>
        <w:tc>
          <w:tcPr>
            <w:tcW w:w="0" w:type="auto"/>
            <w:gridSpan w:val="3"/>
            <w:shd w:val="clear" w:color="auto" w:fill="auto"/>
            <w:vAlign w:val="bottom"/>
          </w:tcPr>
          <w:p w14:paraId="71D47C93" w14:textId="77777777" w:rsidR="006A3667" w:rsidRDefault="006A3667">
            <w:pPr>
              <w:rPr>
                <w:rFonts w:ascii="宋体"/>
                <w:vanish/>
              </w:rPr>
            </w:pPr>
          </w:p>
        </w:tc>
      </w:tr>
      <w:tr w:rsidR="006A3667" w14:paraId="71D47CA1" w14:textId="77777777">
        <w:tc>
          <w:tcPr>
            <w:tcW w:w="0" w:type="auto"/>
            <w:gridSpan w:val="12"/>
            <w:shd w:val="clear" w:color="auto" w:fill="auto"/>
            <w:tcMar>
              <w:top w:w="40" w:type="dxa"/>
              <w:left w:w="20" w:type="dxa"/>
              <w:bottom w:w="40" w:type="dxa"/>
              <w:right w:w="20" w:type="dxa"/>
            </w:tcMar>
            <w:vAlign w:val="bottom"/>
          </w:tcPr>
          <w:p w14:paraId="71D47C95" w14:textId="77777777" w:rsidR="006A3667" w:rsidRDefault="00045F32">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71D47C9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C9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C9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C9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C9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C9B" w14:textId="77777777" w:rsidR="006A3667" w:rsidRDefault="006A3667">
            <w:pPr>
              <w:rPr>
                <w:rFonts w:ascii="宋体"/>
              </w:rPr>
            </w:pPr>
          </w:p>
        </w:tc>
        <w:tc>
          <w:tcPr>
            <w:tcW w:w="0" w:type="auto"/>
            <w:shd w:val="clear" w:color="auto" w:fill="auto"/>
            <w:vAlign w:val="bottom"/>
          </w:tcPr>
          <w:p w14:paraId="71D47C9C" w14:textId="77777777" w:rsidR="006A3667" w:rsidRDefault="006A3667">
            <w:pPr>
              <w:rPr>
                <w:rFonts w:ascii="宋体"/>
                <w:vanish/>
              </w:rPr>
            </w:pPr>
          </w:p>
        </w:tc>
        <w:tc>
          <w:tcPr>
            <w:tcW w:w="0" w:type="auto"/>
            <w:gridSpan w:val="3"/>
            <w:shd w:val="clear" w:color="auto" w:fill="auto"/>
            <w:vAlign w:val="bottom"/>
          </w:tcPr>
          <w:p w14:paraId="71D47C9D" w14:textId="77777777" w:rsidR="006A3667" w:rsidRDefault="006A3667">
            <w:pPr>
              <w:rPr>
                <w:rFonts w:ascii="宋体"/>
                <w:vanish/>
              </w:rPr>
            </w:pPr>
          </w:p>
        </w:tc>
        <w:tc>
          <w:tcPr>
            <w:tcW w:w="0" w:type="auto"/>
            <w:gridSpan w:val="3"/>
            <w:shd w:val="clear" w:color="auto" w:fill="auto"/>
            <w:vAlign w:val="bottom"/>
          </w:tcPr>
          <w:p w14:paraId="71D47C9E" w14:textId="77777777" w:rsidR="006A3667" w:rsidRDefault="006A3667">
            <w:pPr>
              <w:rPr>
                <w:rFonts w:ascii="宋体"/>
                <w:vanish/>
              </w:rPr>
            </w:pPr>
          </w:p>
        </w:tc>
        <w:tc>
          <w:tcPr>
            <w:tcW w:w="0" w:type="auto"/>
            <w:gridSpan w:val="3"/>
            <w:shd w:val="clear" w:color="auto" w:fill="auto"/>
            <w:vAlign w:val="bottom"/>
          </w:tcPr>
          <w:p w14:paraId="71D47C9F" w14:textId="77777777" w:rsidR="006A3667" w:rsidRDefault="006A3667">
            <w:pPr>
              <w:rPr>
                <w:rFonts w:ascii="宋体"/>
                <w:vanish/>
              </w:rPr>
            </w:pPr>
          </w:p>
        </w:tc>
        <w:tc>
          <w:tcPr>
            <w:tcW w:w="0" w:type="auto"/>
            <w:gridSpan w:val="3"/>
            <w:shd w:val="clear" w:color="auto" w:fill="auto"/>
            <w:vAlign w:val="bottom"/>
          </w:tcPr>
          <w:p w14:paraId="71D47CA0" w14:textId="77777777" w:rsidR="006A3667" w:rsidRDefault="006A3667">
            <w:pPr>
              <w:rPr>
                <w:rFonts w:ascii="宋体"/>
                <w:vanish/>
              </w:rPr>
            </w:pPr>
          </w:p>
        </w:tc>
      </w:tr>
      <w:tr w:rsidR="006A3667" w14:paraId="71D47CBB" w14:textId="77777777">
        <w:tc>
          <w:tcPr>
            <w:tcW w:w="0" w:type="auto"/>
            <w:gridSpan w:val="3"/>
            <w:shd w:val="clear" w:color="auto" w:fill="CCEEFF"/>
            <w:tcMar>
              <w:top w:w="40" w:type="dxa"/>
              <w:left w:w="20" w:type="dxa"/>
              <w:bottom w:w="40" w:type="dxa"/>
              <w:right w:w="20" w:type="dxa"/>
            </w:tcMar>
            <w:vAlign w:val="bottom"/>
          </w:tcPr>
          <w:p w14:paraId="71D47CA2" w14:textId="77777777" w:rsidR="006A3667" w:rsidRDefault="00045F32">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1D47CA3"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CA4" w14:textId="77777777" w:rsidR="006A3667" w:rsidRDefault="00045F32">
            <w:pPr>
              <w:jc w:val="right"/>
              <w:textAlignment w:val="bottom"/>
            </w:pPr>
            <w:r>
              <w:rPr>
                <w:rFonts w:ascii="Arial" w:eastAsia="宋体" w:hAnsi="Arial" w:cs="Arial"/>
                <w:b/>
                <w:bCs/>
                <w:color w:val="000000"/>
                <w:sz w:val="15"/>
                <w:szCs w:val="15"/>
              </w:rPr>
              <w:t>30,134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C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CA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CA7"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CA8" w14:textId="77777777" w:rsidR="006A3667" w:rsidRDefault="00045F32">
            <w:pPr>
              <w:jc w:val="right"/>
              <w:textAlignment w:val="bottom"/>
            </w:pPr>
            <w:r>
              <w:rPr>
                <w:rFonts w:ascii="Arial" w:eastAsia="宋体" w:hAnsi="Arial" w:cs="Arial"/>
                <w:b/>
                <w:bCs/>
                <w:color w:val="000000"/>
                <w:sz w:val="15"/>
                <w:szCs w:val="15"/>
              </w:rPr>
              <w:t>(16,537)</w:t>
            </w:r>
          </w:p>
        </w:tc>
        <w:tc>
          <w:tcPr>
            <w:tcW w:w="0" w:type="auto"/>
            <w:shd w:val="clear" w:color="auto" w:fill="CCEEFF"/>
            <w:tcMar>
              <w:top w:w="40" w:type="dxa"/>
              <w:left w:w="0" w:type="dxa"/>
              <w:bottom w:w="40" w:type="dxa"/>
              <w:right w:w="20" w:type="dxa"/>
            </w:tcMar>
            <w:vAlign w:val="bottom"/>
          </w:tcPr>
          <w:p w14:paraId="71D47C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CA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CAB"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CAC" w14:textId="77777777" w:rsidR="006A3667" w:rsidRDefault="00045F32">
            <w:pPr>
              <w:jc w:val="right"/>
              <w:textAlignment w:val="bottom"/>
            </w:pPr>
            <w:r>
              <w:rPr>
                <w:rFonts w:ascii="Arial" w:eastAsia="宋体" w:hAnsi="Arial" w:cs="Arial"/>
                <w:b/>
                <w:bCs/>
                <w:color w:val="000000"/>
                <w:sz w:val="15"/>
                <w:szCs w:val="15"/>
              </w:rPr>
              <w:t>13,597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C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CA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CAF"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CB0"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C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CB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CB3"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CB4" w14:textId="77777777" w:rsidR="006A3667" w:rsidRDefault="00045F32">
            <w:pPr>
              <w:jc w:val="right"/>
              <w:textAlignment w:val="bottom"/>
            </w:pPr>
            <w:r>
              <w:rPr>
                <w:rFonts w:ascii="Arial" w:eastAsia="宋体" w:hAnsi="Arial" w:cs="Arial"/>
                <w:b/>
                <w:bCs/>
                <w:color w:val="000000"/>
                <w:sz w:val="15"/>
                <w:szCs w:val="15"/>
              </w:rPr>
              <w:t>13,597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CB5" w14:textId="77777777" w:rsidR="006A3667" w:rsidRDefault="006A3667">
            <w:pPr>
              <w:jc w:val="right"/>
              <w:rPr>
                <w:rFonts w:ascii="宋体"/>
              </w:rPr>
            </w:pPr>
          </w:p>
        </w:tc>
        <w:tc>
          <w:tcPr>
            <w:tcW w:w="0" w:type="auto"/>
            <w:shd w:val="clear" w:color="auto" w:fill="auto"/>
            <w:vAlign w:val="bottom"/>
          </w:tcPr>
          <w:p w14:paraId="71D47CB6" w14:textId="77777777" w:rsidR="006A3667" w:rsidRDefault="006A3667">
            <w:pPr>
              <w:rPr>
                <w:rFonts w:ascii="宋体"/>
                <w:vanish/>
              </w:rPr>
            </w:pPr>
          </w:p>
        </w:tc>
        <w:tc>
          <w:tcPr>
            <w:tcW w:w="0" w:type="auto"/>
            <w:gridSpan w:val="3"/>
            <w:shd w:val="clear" w:color="auto" w:fill="auto"/>
            <w:vAlign w:val="bottom"/>
          </w:tcPr>
          <w:p w14:paraId="71D47CB7" w14:textId="77777777" w:rsidR="006A3667" w:rsidRDefault="006A3667">
            <w:pPr>
              <w:rPr>
                <w:rFonts w:ascii="宋体"/>
                <w:vanish/>
              </w:rPr>
            </w:pPr>
          </w:p>
        </w:tc>
        <w:tc>
          <w:tcPr>
            <w:tcW w:w="0" w:type="auto"/>
            <w:gridSpan w:val="3"/>
            <w:shd w:val="clear" w:color="auto" w:fill="auto"/>
            <w:vAlign w:val="bottom"/>
          </w:tcPr>
          <w:p w14:paraId="71D47CB8" w14:textId="77777777" w:rsidR="006A3667" w:rsidRDefault="006A3667">
            <w:pPr>
              <w:rPr>
                <w:rFonts w:ascii="宋体"/>
                <w:vanish/>
              </w:rPr>
            </w:pPr>
          </w:p>
        </w:tc>
        <w:tc>
          <w:tcPr>
            <w:tcW w:w="0" w:type="auto"/>
            <w:gridSpan w:val="3"/>
            <w:shd w:val="clear" w:color="auto" w:fill="auto"/>
            <w:vAlign w:val="bottom"/>
          </w:tcPr>
          <w:p w14:paraId="71D47CB9" w14:textId="77777777" w:rsidR="006A3667" w:rsidRDefault="006A3667">
            <w:pPr>
              <w:rPr>
                <w:rFonts w:ascii="宋体"/>
                <w:vanish/>
              </w:rPr>
            </w:pPr>
          </w:p>
        </w:tc>
        <w:tc>
          <w:tcPr>
            <w:tcW w:w="0" w:type="auto"/>
            <w:gridSpan w:val="3"/>
            <w:shd w:val="clear" w:color="auto" w:fill="auto"/>
            <w:vAlign w:val="bottom"/>
          </w:tcPr>
          <w:p w14:paraId="71D47CBA" w14:textId="77777777" w:rsidR="006A3667" w:rsidRDefault="006A3667">
            <w:pPr>
              <w:rPr>
                <w:rFonts w:ascii="宋体"/>
                <w:vanish/>
              </w:rPr>
            </w:pPr>
          </w:p>
        </w:tc>
      </w:tr>
      <w:tr w:rsidR="006A3667" w14:paraId="71D47CD0" w14:textId="77777777">
        <w:tc>
          <w:tcPr>
            <w:tcW w:w="0" w:type="auto"/>
            <w:gridSpan w:val="3"/>
            <w:shd w:val="clear" w:color="auto" w:fill="FFFFFF"/>
            <w:tcMar>
              <w:top w:w="40" w:type="dxa"/>
              <w:left w:w="20" w:type="dxa"/>
              <w:bottom w:w="40" w:type="dxa"/>
              <w:right w:w="20" w:type="dxa"/>
            </w:tcMar>
            <w:vAlign w:val="bottom"/>
          </w:tcPr>
          <w:p w14:paraId="71D47CBC" w14:textId="77777777" w:rsidR="006A3667" w:rsidRDefault="00045F32">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71D47CBD"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C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C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CC0"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C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C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CC3"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C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C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CC6"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C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CC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CC9"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CCA" w14:textId="77777777" w:rsidR="006A3667" w:rsidRDefault="006A3667">
            <w:pPr>
              <w:jc w:val="right"/>
              <w:rPr>
                <w:rFonts w:ascii="宋体"/>
              </w:rPr>
            </w:pPr>
          </w:p>
        </w:tc>
        <w:tc>
          <w:tcPr>
            <w:tcW w:w="0" w:type="auto"/>
            <w:shd w:val="clear" w:color="auto" w:fill="auto"/>
            <w:vAlign w:val="bottom"/>
          </w:tcPr>
          <w:p w14:paraId="71D47CCB" w14:textId="77777777" w:rsidR="006A3667" w:rsidRDefault="006A3667">
            <w:pPr>
              <w:rPr>
                <w:rFonts w:ascii="宋体"/>
                <w:vanish/>
              </w:rPr>
            </w:pPr>
          </w:p>
        </w:tc>
        <w:tc>
          <w:tcPr>
            <w:tcW w:w="0" w:type="auto"/>
            <w:gridSpan w:val="3"/>
            <w:shd w:val="clear" w:color="auto" w:fill="auto"/>
            <w:vAlign w:val="bottom"/>
          </w:tcPr>
          <w:p w14:paraId="71D47CCC" w14:textId="77777777" w:rsidR="006A3667" w:rsidRDefault="006A3667">
            <w:pPr>
              <w:rPr>
                <w:rFonts w:ascii="宋体"/>
                <w:vanish/>
              </w:rPr>
            </w:pPr>
          </w:p>
        </w:tc>
        <w:tc>
          <w:tcPr>
            <w:tcW w:w="0" w:type="auto"/>
            <w:gridSpan w:val="3"/>
            <w:shd w:val="clear" w:color="auto" w:fill="auto"/>
            <w:vAlign w:val="bottom"/>
          </w:tcPr>
          <w:p w14:paraId="71D47CCD" w14:textId="77777777" w:rsidR="006A3667" w:rsidRDefault="006A3667">
            <w:pPr>
              <w:rPr>
                <w:rFonts w:ascii="宋体"/>
                <w:vanish/>
              </w:rPr>
            </w:pPr>
          </w:p>
        </w:tc>
        <w:tc>
          <w:tcPr>
            <w:tcW w:w="0" w:type="auto"/>
            <w:gridSpan w:val="3"/>
            <w:shd w:val="clear" w:color="auto" w:fill="auto"/>
            <w:vAlign w:val="bottom"/>
          </w:tcPr>
          <w:p w14:paraId="71D47CCE" w14:textId="77777777" w:rsidR="006A3667" w:rsidRDefault="006A3667">
            <w:pPr>
              <w:rPr>
                <w:rFonts w:ascii="宋体"/>
                <w:vanish/>
              </w:rPr>
            </w:pPr>
          </w:p>
        </w:tc>
        <w:tc>
          <w:tcPr>
            <w:tcW w:w="0" w:type="auto"/>
            <w:gridSpan w:val="3"/>
            <w:shd w:val="clear" w:color="auto" w:fill="auto"/>
            <w:vAlign w:val="bottom"/>
          </w:tcPr>
          <w:p w14:paraId="71D47CCF" w14:textId="77777777" w:rsidR="006A3667" w:rsidRDefault="006A3667">
            <w:pPr>
              <w:rPr>
                <w:rFonts w:ascii="宋体"/>
                <w:vanish/>
              </w:rPr>
            </w:pPr>
          </w:p>
        </w:tc>
      </w:tr>
      <w:tr w:rsidR="006A3667" w14:paraId="71D47CE0" w14:textId="77777777">
        <w:trPr>
          <w:hidden/>
        </w:trPr>
        <w:tc>
          <w:tcPr>
            <w:tcW w:w="0" w:type="auto"/>
            <w:gridSpan w:val="3"/>
            <w:shd w:val="clear" w:color="auto" w:fill="auto"/>
            <w:vAlign w:val="bottom"/>
          </w:tcPr>
          <w:p w14:paraId="71D47CD1" w14:textId="77777777" w:rsidR="006A3667" w:rsidRDefault="006A3667">
            <w:pPr>
              <w:rPr>
                <w:rFonts w:ascii="宋体"/>
                <w:vanish/>
              </w:rPr>
            </w:pPr>
          </w:p>
        </w:tc>
        <w:tc>
          <w:tcPr>
            <w:tcW w:w="0" w:type="auto"/>
            <w:gridSpan w:val="3"/>
            <w:shd w:val="clear" w:color="auto" w:fill="auto"/>
            <w:vAlign w:val="bottom"/>
          </w:tcPr>
          <w:p w14:paraId="71D47CD2" w14:textId="77777777" w:rsidR="006A3667" w:rsidRDefault="006A3667">
            <w:pPr>
              <w:rPr>
                <w:rFonts w:ascii="宋体"/>
                <w:vanish/>
              </w:rPr>
            </w:pPr>
          </w:p>
        </w:tc>
        <w:tc>
          <w:tcPr>
            <w:tcW w:w="0" w:type="auto"/>
            <w:gridSpan w:val="3"/>
            <w:shd w:val="clear" w:color="auto" w:fill="auto"/>
            <w:vAlign w:val="bottom"/>
          </w:tcPr>
          <w:p w14:paraId="71D47CD3" w14:textId="77777777" w:rsidR="006A3667" w:rsidRDefault="006A3667">
            <w:pPr>
              <w:rPr>
                <w:rFonts w:ascii="宋体"/>
                <w:vanish/>
              </w:rPr>
            </w:pPr>
          </w:p>
        </w:tc>
        <w:tc>
          <w:tcPr>
            <w:tcW w:w="0" w:type="auto"/>
            <w:gridSpan w:val="3"/>
            <w:shd w:val="clear" w:color="auto" w:fill="auto"/>
            <w:vAlign w:val="bottom"/>
          </w:tcPr>
          <w:p w14:paraId="71D47CD4" w14:textId="77777777" w:rsidR="006A3667" w:rsidRDefault="006A3667">
            <w:pPr>
              <w:rPr>
                <w:rFonts w:ascii="宋体"/>
                <w:vanish/>
              </w:rPr>
            </w:pPr>
          </w:p>
        </w:tc>
        <w:tc>
          <w:tcPr>
            <w:tcW w:w="0" w:type="auto"/>
            <w:gridSpan w:val="3"/>
            <w:shd w:val="clear" w:color="auto" w:fill="auto"/>
            <w:vAlign w:val="bottom"/>
          </w:tcPr>
          <w:p w14:paraId="71D47CD5" w14:textId="77777777" w:rsidR="006A3667" w:rsidRDefault="006A3667">
            <w:pPr>
              <w:rPr>
                <w:rFonts w:ascii="宋体"/>
                <w:vanish/>
              </w:rPr>
            </w:pPr>
          </w:p>
        </w:tc>
        <w:tc>
          <w:tcPr>
            <w:tcW w:w="0" w:type="auto"/>
            <w:gridSpan w:val="3"/>
            <w:shd w:val="clear" w:color="auto" w:fill="auto"/>
            <w:vAlign w:val="bottom"/>
          </w:tcPr>
          <w:p w14:paraId="71D47CD6" w14:textId="77777777" w:rsidR="006A3667" w:rsidRDefault="006A3667">
            <w:pPr>
              <w:rPr>
                <w:rFonts w:ascii="宋体"/>
                <w:vanish/>
              </w:rPr>
            </w:pPr>
          </w:p>
        </w:tc>
        <w:tc>
          <w:tcPr>
            <w:tcW w:w="0" w:type="auto"/>
            <w:gridSpan w:val="3"/>
            <w:shd w:val="clear" w:color="auto" w:fill="auto"/>
            <w:vAlign w:val="bottom"/>
          </w:tcPr>
          <w:p w14:paraId="71D47CD7" w14:textId="77777777" w:rsidR="006A3667" w:rsidRDefault="006A3667">
            <w:pPr>
              <w:rPr>
                <w:rFonts w:ascii="宋体"/>
                <w:vanish/>
              </w:rPr>
            </w:pPr>
          </w:p>
        </w:tc>
        <w:tc>
          <w:tcPr>
            <w:tcW w:w="0" w:type="auto"/>
            <w:gridSpan w:val="3"/>
            <w:shd w:val="clear" w:color="auto" w:fill="auto"/>
            <w:vAlign w:val="bottom"/>
          </w:tcPr>
          <w:p w14:paraId="71D47CD8" w14:textId="77777777" w:rsidR="006A3667" w:rsidRDefault="006A3667">
            <w:pPr>
              <w:rPr>
                <w:rFonts w:ascii="宋体"/>
                <w:vanish/>
              </w:rPr>
            </w:pPr>
          </w:p>
        </w:tc>
        <w:tc>
          <w:tcPr>
            <w:tcW w:w="0" w:type="auto"/>
            <w:gridSpan w:val="3"/>
            <w:shd w:val="clear" w:color="auto" w:fill="auto"/>
            <w:vAlign w:val="bottom"/>
          </w:tcPr>
          <w:p w14:paraId="71D47CD9" w14:textId="77777777" w:rsidR="006A3667" w:rsidRDefault="006A3667">
            <w:pPr>
              <w:rPr>
                <w:rFonts w:ascii="宋体"/>
                <w:vanish/>
              </w:rPr>
            </w:pPr>
          </w:p>
        </w:tc>
        <w:tc>
          <w:tcPr>
            <w:tcW w:w="0" w:type="auto"/>
            <w:gridSpan w:val="3"/>
            <w:shd w:val="clear" w:color="auto" w:fill="auto"/>
            <w:vAlign w:val="bottom"/>
          </w:tcPr>
          <w:p w14:paraId="71D47CDA" w14:textId="77777777" w:rsidR="006A3667" w:rsidRDefault="006A3667">
            <w:pPr>
              <w:rPr>
                <w:rFonts w:ascii="宋体"/>
                <w:vanish/>
              </w:rPr>
            </w:pPr>
          </w:p>
        </w:tc>
        <w:tc>
          <w:tcPr>
            <w:tcW w:w="0" w:type="auto"/>
            <w:shd w:val="clear" w:color="auto" w:fill="auto"/>
            <w:vAlign w:val="bottom"/>
          </w:tcPr>
          <w:p w14:paraId="71D47CDB" w14:textId="77777777" w:rsidR="006A3667" w:rsidRDefault="006A3667">
            <w:pPr>
              <w:rPr>
                <w:rFonts w:ascii="宋体"/>
                <w:vanish/>
              </w:rPr>
            </w:pPr>
          </w:p>
        </w:tc>
        <w:tc>
          <w:tcPr>
            <w:tcW w:w="0" w:type="auto"/>
            <w:gridSpan w:val="3"/>
            <w:shd w:val="clear" w:color="auto" w:fill="auto"/>
            <w:vAlign w:val="bottom"/>
          </w:tcPr>
          <w:p w14:paraId="71D47CDC" w14:textId="77777777" w:rsidR="006A3667" w:rsidRDefault="006A3667">
            <w:pPr>
              <w:rPr>
                <w:rFonts w:ascii="宋体"/>
                <w:vanish/>
              </w:rPr>
            </w:pPr>
          </w:p>
        </w:tc>
        <w:tc>
          <w:tcPr>
            <w:tcW w:w="0" w:type="auto"/>
            <w:gridSpan w:val="3"/>
            <w:shd w:val="clear" w:color="auto" w:fill="auto"/>
            <w:vAlign w:val="bottom"/>
          </w:tcPr>
          <w:p w14:paraId="71D47CDD" w14:textId="77777777" w:rsidR="006A3667" w:rsidRDefault="006A3667">
            <w:pPr>
              <w:rPr>
                <w:rFonts w:ascii="宋体"/>
                <w:vanish/>
              </w:rPr>
            </w:pPr>
          </w:p>
        </w:tc>
        <w:tc>
          <w:tcPr>
            <w:tcW w:w="0" w:type="auto"/>
            <w:gridSpan w:val="3"/>
            <w:shd w:val="clear" w:color="auto" w:fill="auto"/>
            <w:vAlign w:val="bottom"/>
          </w:tcPr>
          <w:p w14:paraId="71D47CDE" w14:textId="77777777" w:rsidR="006A3667" w:rsidRDefault="006A3667">
            <w:pPr>
              <w:rPr>
                <w:rFonts w:ascii="宋体"/>
                <w:vanish/>
              </w:rPr>
            </w:pPr>
          </w:p>
        </w:tc>
        <w:tc>
          <w:tcPr>
            <w:tcW w:w="0" w:type="auto"/>
            <w:gridSpan w:val="3"/>
            <w:shd w:val="clear" w:color="auto" w:fill="auto"/>
            <w:vAlign w:val="bottom"/>
          </w:tcPr>
          <w:p w14:paraId="71D47CDF" w14:textId="77777777" w:rsidR="006A3667" w:rsidRDefault="006A3667">
            <w:pPr>
              <w:rPr>
                <w:rFonts w:ascii="宋体"/>
                <w:vanish/>
              </w:rPr>
            </w:pPr>
          </w:p>
        </w:tc>
      </w:tr>
      <w:tr w:rsidR="006A3667" w14:paraId="71D47CF0" w14:textId="77777777">
        <w:trPr>
          <w:hidden/>
        </w:trPr>
        <w:tc>
          <w:tcPr>
            <w:tcW w:w="0" w:type="auto"/>
            <w:gridSpan w:val="3"/>
            <w:shd w:val="clear" w:color="auto" w:fill="auto"/>
            <w:vAlign w:val="bottom"/>
          </w:tcPr>
          <w:p w14:paraId="71D47CE1" w14:textId="77777777" w:rsidR="006A3667" w:rsidRDefault="006A3667">
            <w:pPr>
              <w:rPr>
                <w:rFonts w:ascii="宋体"/>
                <w:vanish/>
              </w:rPr>
            </w:pPr>
          </w:p>
        </w:tc>
        <w:tc>
          <w:tcPr>
            <w:tcW w:w="0" w:type="auto"/>
            <w:gridSpan w:val="3"/>
            <w:shd w:val="clear" w:color="auto" w:fill="auto"/>
            <w:vAlign w:val="bottom"/>
          </w:tcPr>
          <w:p w14:paraId="71D47CE2" w14:textId="77777777" w:rsidR="006A3667" w:rsidRDefault="006A3667">
            <w:pPr>
              <w:rPr>
                <w:rFonts w:ascii="宋体"/>
                <w:vanish/>
              </w:rPr>
            </w:pPr>
          </w:p>
        </w:tc>
        <w:tc>
          <w:tcPr>
            <w:tcW w:w="0" w:type="auto"/>
            <w:gridSpan w:val="3"/>
            <w:shd w:val="clear" w:color="auto" w:fill="auto"/>
            <w:vAlign w:val="bottom"/>
          </w:tcPr>
          <w:p w14:paraId="71D47CE3" w14:textId="77777777" w:rsidR="006A3667" w:rsidRDefault="006A3667">
            <w:pPr>
              <w:rPr>
                <w:rFonts w:ascii="宋体"/>
                <w:vanish/>
              </w:rPr>
            </w:pPr>
          </w:p>
        </w:tc>
        <w:tc>
          <w:tcPr>
            <w:tcW w:w="0" w:type="auto"/>
            <w:gridSpan w:val="3"/>
            <w:shd w:val="clear" w:color="auto" w:fill="auto"/>
            <w:vAlign w:val="bottom"/>
          </w:tcPr>
          <w:p w14:paraId="71D47CE4" w14:textId="77777777" w:rsidR="006A3667" w:rsidRDefault="006A3667">
            <w:pPr>
              <w:rPr>
                <w:rFonts w:ascii="宋体"/>
                <w:vanish/>
              </w:rPr>
            </w:pPr>
          </w:p>
        </w:tc>
        <w:tc>
          <w:tcPr>
            <w:tcW w:w="0" w:type="auto"/>
            <w:gridSpan w:val="3"/>
            <w:shd w:val="clear" w:color="auto" w:fill="auto"/>
            <w:vAlign w:val="bottom"/>
          </w:tcPr>
          <w:p w14:paraId="71D47CE5" w14:textId="77777777" w:rsidR="006A3667" w:rsidRDefault="006A3667">
            <w:pPr>
              <w:rPr>
                <w:rFonts w:ascii="宋体"/>
                <w:vanish/>
              </w:rPr>
            </w:pPr>
          </w:p>
        </w:tc>
        <w:tc>
          <w:tcPr>
            <w:tcW w:w="0" w:type="auto"/>
            <w:gridSpan w:val="3"/>
            <w:shd w:val="clear" w:color="auto" w:fill="auto"/>
            <w:vAlign w:val="bottom"/>
          </w:tcPr>
          <w:p w14:paraId="71D47CE6" w14:textId="77777777" w:rsidR="006A3667" w:rsidRDefault="006A3667">
            <w:pPr>
              <w:rPr>
                <w:rFonts w:ascii="宋体"/>
                <w:vanish/>
              </w:rPr>
            </w:pPr>
          </w:p>
        </w:tc>
        <w:tc>
          <w:tcPr>
            <w:tcW w:w="0" w:type="auto"/>
            <w:gridSpan w:val="3"/>
            <w:shd w:val="clear" w:color="auto" w:fill="auto"/>
            <w:vAlign w:val="bottom"/>
          </w:tcPr>
          <w:p w14:paraId="71D47CE7" w14:textId="77777777" w:rsidR="006A3667" w:rsidRDefault="006A3667">
            <w:pPr>
              <w:rPr>
                <w:rFonts w:ascii="宋体"/>
                <w:vanish/>
              </w:rPr>
            </w:pPr>
          </w:p>
        </w:tc>
        <w:tc>
          <w:tcPr>
            <w:tcW w:w="0" w:type="auto"/>
            <w:gridSpan w:val="3"/>
            <w:shd w:val="clear" w:color="auto" w:fill="auto"/>
            <w:vAlign w:val="bottom"/>
          </w:tcPr>
          <w:p w14:paraId="71D47CE8" w14:textId="77777777" w:rsidR="006A3667" w:rsidRDefault="006A3667">
            <w:pPr>
              <w:rPr>
                <w:rFonts w:ascii="宋体"/>
                <w:vanish/>
              </w:rPr>
            </w:pPr>
          </w:p>
        </w:tc>
        <w:tc>
          <w:tcPr>
            <w:tcW w:w="0" w:type="auto"/>
            <w:gridSpan w:val="3"/>
            <w:shd w:val="clear" w:color="auto" w:fill="auto"/>
            <w:vAlign w:val="bottom"/>
          </w:tcPr>
          <w:p w14:paraId="71D47CE9" w14:textId="77777777" w:rsidR="006A3667" w:rsidRDefault="006A3667">
            <w:pPr>
              <w:rPr>
                <w:rFonts w:ascii="宋体"/>
                <w:vanish/>
              </w:rPr>
            </w:pPr>
          </w:p>
        </w:tc>
        <w:tc>
          <w:tcPr>
            <w:tcW w:w="0" w:type="auto"/>
            <w:gridSpan w:val="3"/>
            <w:shd w:val="clear" w:color="auto" w:fill="auto"/>
            <w:vAlign w:val="bottom"/>
          </w:tcPr>
          <w:p w14:paraId="71D47CEA" w14:textId="77777777" w:rsidR="006A3667" w:rsidRDefault="006A3667">
            <w:pPr>
              <w:rPr>
                <w:rFonts w:ascii="宋体"/>
                <w:vanish/>
              </w:rPr>
            </w:pPr>
          </w:p>
        </w:tc>
        <w:tc>
          <w:tcPr>
            <w:tcW w:w="0" w:type="auto"/>
            <w:shd w:val="clear" w:color="auto" w:fill="auto"/>
            <w:vAlign w:val="bottom"/>
          </w:tcPr>
          <w:p w14:paraId="71D47CEB" w14:textId="77777777" w:rsidR="006A3667" w:rsidRDefault="006A3667">
            <w:pPr>
              <w:rPr>
                <w:rFonts w:ascii="宋体"/>
                <w:vanish/>
              </w:rPr>
            </w:pPr>
          </w:p>
        </w:tc>
        <w:tc>
          <w:tcPr>
            <w:tcW w:w="0" w:type="auto"/>
            <w:gridSpan w:val="3"/>
            <w:shd w:val="clear" w:color="auto" w:fill="auto"/>
            <w:vAlign w:val="bottom"/>
          </w:tcPr>
          <w:p w14:paraId="71D47CEC" w14:textId="77777777" w:rsidR="006A3667" w:rsidRDefault="006A3667">
            <w:pPr>
              <w:rPr>
                <w:rFonts w:ascii="宋体"/>
                <w:vanish/>
              </w:rPr>
            </w:pPr>
          </w:p>
        </w:tc>
        <w:tc>
          <w:tcPr>
            <w:tcW w:w="0" w:type="auto"/>
            <w:gridSpan w:val="3"/>
            <w:shd w:val="clear" w:color="auto" w:fill="auto"/>
            <w:vAlign w:val="bottom"/>
          </w:tcPr>
          <w:p w14:paraId="71D47CED" w14:textId="77777777" w:rsidR="006A3667" w:rsidRDefault="006A3667">
            <w:pPr>
              <w:rPr>
                <w:rFonts w:ascii="宋体"/>
                <w:vanish/>
              </w:rPr>
            </w:pPr>
          </w:p>
        </w:tc>
        <w:tc>
          <w:tcPr>
            <w:tcW w:w="0" w:type="auto"/>
            <w:gridSpan w:val="3"/>
            <w:shd w:val="clear" w:color="auto" w:fill="auto"/>
            <w:vAlign w:val="bottom"/>
          </w:tcPr>
          <w:p w14:paraId="71D47CEE" w14:textId="77777777" w:rsidR="006A3667" w:rsidRDefault="006A3667">
            <w:pPr>
              <w:rPr>
                <w:rFonts w:ascii="宋体"/>
                <w:vanish/>
              </w:rPr>
            </w:pPr>
          </w:p>
        </w:tc>
        <w:tc>
          <w:tcPr>
            <w:tcW w:w="0" w:type="auto"/>
            <w:gridSpan w:val="3"/>
            <w:shd w:val="clear" w:color="auto" w:fill="auto"/>
            <w:vAlign w:val="bottom"/>
          </w:tcPr>
          <w:p w14:paraId="71D47CEF" w14:textId="77777777" w:rsidR="006A3667" w:rsidRDefault="006A3667">
            <w:pPr>
              <w:rPr>
                <w:rFonts w:ascii="宋体"/>
                <w:vanish/>
              </w:rPr>
            </w:pPr>
          </w:p>
        </w:tc>
      </w:tr>
      <w:tr w:rsidR="006A3667" w14:paraId="71D47D00" w14:textId="77777777">
        <w:trPr>
          <w:hidden/>
        </w:trPr>
        <w:tc>
          <w:tcPr>
            <w:tcW w:w="0" w:type="auto"/>
            <w:gridSpan w:val="3"/>
            <w:shd w:val="clear" w:color="auto" w:fill="auto"/>
            <w:vAlign w:val="bottom"/>
          </w:tcPr>
          <w:p w14:paraId="71D47CF1" w14:textId="77777777" w:rsidR="006A3667" w:rsidRDefault="006A3667">
            <w:pPr>
              <w:rPr>
                <w:rFonts w:ascii="宋体"/>
                <w:vanish/>
              </w:rPr>
            </w:pPr>
          </w:p>
        </w:tc>
        <w:tc>
          <w:tcPr>
            <w:tcW w:w="0" w:type="auto"/>
            <w:gridSpan w:val="3"/>
            <w:shd w:val="clear" w:color="auto" w:fill="auto"/>
            <w:vAlign w:val="bottom"/>
          </w:tcPr>
          <w:p w14:paraId="71D47CF2" w14:textId="77777777" w:rsidR="006A3667" w:rsidRDefault="006A3667">
            <w:pPr>
              <w:rPr>
                <w:rFonts w:ascii="宋体"/>
                <w:vanish/>
              </w:rPr>
            </w:pPr>
          </w:p>
        </w:tc>
        <w:tc>
          <w:tcPr>
            <w:tcW w:w="0" w:type="auto"/>
            <w:gridSpan w:val="3"/>
            <w:shd w:val="clear" w:color="auto" w:fill="auto"/>
            <w:vAlign w:val="bottom"/>
          </w:tcPr>
          <w:p w14:paraId="71D47CF3" w14:textId="77777777" w:rsidR="006A3667" w:rsidRDefault="006A3667">
            <w:pPr>
              <w:rPr>
                <w:rFonts w:ascii="宋体"/>
                <w:vanish/>
              </w:rPr>
            </w:pPr>
          </w:p>
        </w:tc>
        <w:tc>
          <w:tcPr>
            <w:tcW w:w="0" w:type="auto"/>
            <w:gridSpan w:val="3"/>
            <w:shd w:val="clear" w:color="auto" w:fill="auto"/>
            <w:vAlign w:val="bottom"/>
          </w:tcPr>
          <w:p w14:paraId="71D47CF4" w14:textId="77777777" w:rsidR="006A3667" w:rsidRDefault="006A3667">
            <w:pPr>
              <w:rPr>
                <w:rFonts w:ascii="宋体"/>
                <w:vanish/>
              </w:rPr>
            </w:pPr>
          </w:p>
        </w:tc>
        <w:tc>
          <w:tcPr>
            <w:tcW w:w="0" w:type="auto"/>
            <w:gridSpan w:val="3"/>
            <w:shd w:val="clear" w:color="auto" w:fill="auto"/>
            <w:vAlign w:val="bottom"/>
          </w:tcPr>
          <w:p w14:paraId="71D47CF5" w14:textId="77777777" w:rsidR="006A3667" w:rsidRDefault="006A3667">
            <w:pPr>
              <w:rPr>
                <w:rFonts w:ascii="宋体"/>
                <w:vanish/>
              </w:rPr>
            </w:pPr>
          </w:p>
        </w:tc>
        <w:tc>
          <w:tcPr>
            <w:tcW w:w="0" w:type="auto"/>
            <w:gridSpan w:val="3"/>
            <w:shd w:val="clear" w:color="auto" w:fill="auto"/>
            <w:vAlign w:val="bottom"/>
          </w:tcPr>
          <w:p w14:paraId="71D47CF6" w14:textId="77777777" w:rsidR="006A3667" w:rsidRDefault="006A3667">
            <w:pPr>
              <w:rPr>
                <w:rFonts w:ascii="宋体"/>
                <w:vanish/>
              </w:rPr>
            </w:pPr>
          </w:p>
        </w:tc>
        <w:tc>
          <w:tcPr>
            <w:tcW w:w="0" w:type="auto"/>
            <w:gridSpan w:val="3"/>
            <w:shd w:val="clear" w:color="auto" w:fill="auto"/>
            <w:vAlign w:val="bottom"/>
          </w:tcPr>
          <w:p w14:paraId="71D47CF7" w14:textId="77777777" w:rsidR="006A3667" w:rsidRDefault="006A3667">
            <w:pPr>
              <w:rPr>
                <w:rFonts w:ascii="宋体"/>
                <w:vanish/>
              </w:rPr>
            </w:pPr>
          </w:p>
        </w:tc>
        <w:tc>
          <w:tcPr>
            <w:tcW w:w="0" w:type="auto"/>
            <w:gridSpan w:val="3"/>
            <w:shd w:val="clear" w:color="auto" w:fill="auto"/>
            <w:vAlign w:val="bottom"/>
          </w:tcPr>
          <w:p w14:paraId="71D47CF8" w14:textId="77777777" w:rsidR="006A3667" w:rsidRDefault="006A3667">
            <w:pPr>
              <w:rPr>
                <w:rFonts w:ascii="宋体"/>
                <w:vanish/>
              </w:rPr>
            </w:pPr>
          </w:p>
        </w:tc>
        <w:tc>
          <w:tcPr>
            <w:tcW w:w="0" w:type="auto"/>
            <w:gridSpan w:val="3"/>
            <w:shd w:val="clear" w:color="auto" w:fill="auto"/>
            <w:vAlign w:val="bottom"/>
          </w:tcPr>
          <w:p w14:paraId="71D47CF9" w14:textId="77777777" w:rsidR="006A3667" w:rsidRDefault="006A3667">
            <w:pPr>
              <w:rPr>
                <w:rFonts w:ascii="宋体"/>
                <w:vanish/>
              </w:rPr>
            </w:pPr>
          </w:p>
        </w:tc>
        <w:tc>
          <w:tcPr>
            <w:tcW w:w="0" w:type="auto"/>
            <w:gridSpan w:val="3"/>
            <w:shd w:val="clear" w:color="auto" w:fill="auto"/>
            <w:vAlign w:val="bottom"/>
          </w:tcPr>
          <w:p w14:paraId="71D47CFA" w14:textId="77777777" w:rsidR="006A3667" w:rsidRDefault="006A3667">
            <w:pPr>
              <w:rPr>
                <w:rFonts w:ascii="宋体"/>
                <w:vanish/>
              </w:rPr>
            </w:pPr>
          </w:p>
        </w:tc>
        <w:tc>
          <w:tcPr>
            <w:tcW w:w="0" w:type="auto"/>
            <w:shd w:val="clear" w:color="auto" w:fill="auto"/>
            <w:vAlign w:val="bottom"/>
          </w:tcPr>
          <w:p w14:paraId="71D47CFB" w14:textId="77777777" w:rsidR="006A3667" w:rsidRDefault="006A3667">
            <w:pPr>
              <w:rPr>
                <w:rFonts w:ascii="宋体"/>
                <w:vanish/>
              </w:rPr>
            </w:pPr>
          </w:p>
        </w:tc>
        <w:tc>
          <w:tcPr>
            <w:tcW w:w="0" w:type="auto"/>
            <w:gridSpan w:val="3"/>
            <w:shd w:val="clear" w:color="auto" w:fill="auto"/>
            <w:vAlign w:val="bottom"/>
          </w:tcPr>
          <w:p w14:paraId="71D47CFC" w14:textId="77777777" w:rsidR="006A3667" w:rsidRDefault="006A3667">
            <w:pPr>
              <w:rPr>
                <w:rFonts w:ascii="宋体"/>
                <w:vanish/>
              </w:rPr>
            </w:pPr>
          </w:p>
        </w:tc>
        <w:tc>
          <w:tcPr>
            <w:tcW w:w="0" w:type="auto"/>
            <w:gridSpan w:val="3"/>
            <w:shd w:val="clear" w:color="auto" w:fill="auto"/>
            <w:vAlign w:val="bottom"/>
          </w:tcPr>
          <w:p w14:paraId="71D47CFD" w14:textId="77777777" w:rsidR="006A3667" w:rsidRDefault="006A3667">
            <w:pPr>
              <w:rPr>
                <w:rFonts w:ascii="宋体"/>
                <w:vanish/>
              </w:rPr>
            </w:pPr>
          </w:p>
        </w:tc>
        <w:tc>
          <w:tcPr>
            <w:tcW w:w="0" w:type="auto"/>
            <w:gridSpan w:val="3"/>
            <w:shd w:val="clear" w:color="auto" w:fill="auto"/>
            <w:vAlign w:val="bottom"/>
          </w:tcPr>
          <w:p w14:paraId="71D47CFE" w14:textId="77777777" w:rsidR="006A3667" w:rsidRDefault="006A3667">
            <w:pPr>
              <w:rPr>
                <w:rFonts w:ascii="宋体"/>
                <w:vanish/>
              </w:rPr>
            </w:pPr>
          </w:p>
        </w:tc>
        <w:tc>
          <w:tcPr>
            <w:tcW w:w="0" w:type="auto"/>
            <w:gridSpan w:val="3"/>
            <w:shd w:val="clear" w:color="auto" w:fill="auto"/>
            <w:vAlign w:val="bottom"/>
          </w:tcPr>
          <w:p w14:paraId="71D47CFF" w14:textId="77777777" w:rsidR="006A3667" w:rsidRDefault="006A3667">
            <w:pPr>
              <w:rPr>
                <w:rFonts w:ascii="宋体"/>
                <w:vanish/>
              </w:rPr>
            </w:pPr>
          </w:p>
        </w:tc>
      </w:tr>
      <w:tr w:rsidR="006A3667" w14:paraId="71D47D14" w14:textId="77777777">
        <w:tc>
          <w:tcPr>
            <w:tcW w:w="0" w:type="auto"/>
            <w:gridSpan w:val="3"/>
            <w:shd w:val="clear" w:color="auto" w:fill="CCEEFF"/>
            <w:tcMar>
              <w:top w:w="40" w:type="dxa"/>
              <w:left w:w="20" w:type="dxa"/>
              <w:bottom w:w="40" w:type="dxa"/>
              <w:right w:w="20" w:type="dxa"/>
            </w:tcMar>
            <w:vAlign w:val="bottom"/>
          </w:tcPr>
          <w:p w14:paraId="71D47D01" w14:textId="77777777" w:rsidR="006A3667" w:rsidRDefault="00045F32">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71D47D02" w14:textId="77777777" w:rsidR="006A3667" w:rsidRDefault="00045F32">
            <w:pPr>
              <w:jc w:val="right"/>
              <w:textAlignment w:val="bottom"/>
            </w:pPr>
            <w:r>
              <w:rPr>
                <w:rFonts w:ascii="Arial" w:eastAsia="宋体" w:hAnsi="Arial" w:cs="Arial"/>
                <w:b/>
                <w:bCs/>
                <w:color w:val="000000"/>
                <w:sz w:val="15"/>
                <w:szCs w:val="15"/>
              </w:rPr>
              <w:t>NA</w:t>
            </w:r>
          </w:p>
        </w:tc>
        <w:tc>
          <w:tcPr>
            <w:tcW w:w="0" w:type="auto"/>
            <w:gridSpan w:val="3"/>
            <w:shd w:val="clear" w:color="auto" w:fill="CCEEFF"/>
            <w:tcMar>
              <w:top w:w="0" w:type="dxa"/>
              <w:left w:w="20" w:type="dxa"/>
              <w:bottom w:w="0" w:type="dxa"/>
              <w:right w:w="20" w:type="dxa"/>
            </w:tcMar>
            <w:vAlign w:val="bottom"/>
          </w:tcPr>
          <w:p w14:paraId="71D47D0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D04" w14:textId="77777777" w:rsidR="006A3667" w:rsidRDefault="00045F32">
            <w:pPr>
              <w:jc w:val="right"/>
              <w:textAlignment w:val="bottom"/>
            </w:pPr>
            <w:r>
              <w:rPr>
                <w:rFonts w:ascii="Arial" w:eastAsia="宋体" w:hAnsi="Arial" w:cs="Arial"/>
                <w:b/>
                <w:bCs/>
                <w:color w:val="000000"/>
                <w:sz w:val="15"/>
                <w:szCs w:val="15"/>
              </w:rPr>
              <w:t>(2,413)</w:t>
            </w:r>
          </w:p>
        </w:tc>
        <w:tc>
          <w:tcPr>
            <w:tcW w:w="0" w:type="auto"/>
            <w:shd w:val="clear" w:color="auto" w:fill="CCEEFF"/>
            <w:tcMar>
              <w:top w:w="40" w:type="dxa"/>
              <w:left w:w="0" w:type="dxa"/>
              <w:bottom w:w="40" w:type="dxa"/>
              <w:right w:w="20" w:type="dxa"/>
            </w:tcMar>
            <w:vAlign w:val="bottom"/>
          </w:tcPr>
          <w:p w14:paraId="71D47D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0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D07" w14:textId="77777777" w:rsidR="006A3667" w:rsidRDefault="00045F32">
            <w:pPr>
              <w:jc w:val="right"/>
              <w:textAlignment w:val="bottom"/>
            </w:pPr>
            <w:r>
              <w:rPr>
                <w:rFonts w:ascii="Arial" w:eastAsia="宋体" w:hAnsi="Arial" w:cs="Arial"/>
                <w:b/>
                <w:bCs/>
                <w:color w:val="000000"/>
                <w:sz w:val="15"/>
                <w:szCs w:val="15"/>
              </w:rPr>
              <w:t>(2,413)</w:t>
            </w:r>
          </w:p>
        </w:tc>
        <w:tc>
          <w:tcPr>
            <w:tcW w:w="0" w:type="auto"/>
            <w:shd w:val="clear" w:color="auto" w:fill="CCEEFF"/>
            <w:tcMar>
              <w:top w:w="40" w:type="dxa"/>
              <w:left w:w="0" w:type="dxa"/>
              <w:bottom w:w="40" w:type="dxa"/>
              <w:right w:w="20" w:type="dxa"/>
            </w:tcMar>
            <w:vAlign w:val="bottom"/>
          </w:tcPr>
          <w:p w14:paraId="71D47D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0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D0A" w14:textId="77777777" w:rsidR="006A3667" w:rsidRDefault="00045F32">
            <w:pPr>
              <w:jc w:val="right"/>
              <w:textAlignment w:val="bottom"/>
            </w:pPr>
            <w:r>
              <w:rPr>
                <w:rFonts w:ascii="Arial" w:eastAsia="宋体" w:hAnsi="Arial" w:cs="Arial"/>
                <w:b/>
                <w:bCs/>
                <w:color w:val="000000"/>
                <w:sz w:val="15"/>
                <w:szCs w:val="15"/>
              </w:rPr>
              <w:t>(1,533)</w:t>
            </w:r>
          </w:p>
        </w:tc>
        <w:tc>
          <w:tcPr>
            <w:tcW w:w="0" w:type="auto"/>
            <w:shd w:val="clear" w:color="auto" w:fill="CCEEFF"/>
            <w:tcMar>
              <w:top w:w="40" w:type="dxa"/>
              <w:left w:w="0" w:type="dxa"/>
              <w:bottom w:w="40" w:type="dxa"/>
              <w:right w:w="20" w:type="dxa"/>
            </w:tcMar>
            <w:vAlign w:val="bottom"/>
          </w:tcPr>
          <w:p w14:paraId="71D47D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0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D0D" w14:textId="77777777" w:rsidR="006A3667" w:rsidRDefault="00045F32">
            <w:pPr>
              <w:jc w:val="right"/>
              <w:textAlignment w:val="bottom"/>
            </w:pPr>
            <w:r>
              <w:rPr>
                <w:rFonts w:ascii="Arial" w:eastAsia="宋体" w:hAnsi="Arial" w:cs="Arial"/>
                <w:b/>
                <w:bCs/>
                <w:color w:val="000000"/>
                <w:sz w:val="15"/>
                <w:szCs w:val="15"/>
              </w:rPr>
              <w:t>(3,946)</w:t>
            </w:r>
          </w:p>
        </w:tc>
        <w:tc>
          <w:tcPr>
            <w:tcW w:w="0" w:type="auto"/>
            <w:shd w:val="clear" w:color="auto" w:fill="CCEEFF"/>
            <w:tcMar>
              <w:top w:w="40" w:type="dxa"/>
              <w:left w:w="0" w:type="dxa"/>
              <w:bottom w:w="40" w:type="dxa"/>
              <w:right w:w="20" w:type="dxa"/>
            </w:tcMar>
            <w:vAlign w:val="bottom"/>
          </w:tcPr>
          <w:p w14:paraId="71D47D0E" w14:textId="77777777" w:rsidR="006A3667" w:rsidRDefault="006A3667">
            <w:pPr>
              <w:jc w:val="right"/>
              <w:rPr>
                <w:rFonts w:ascii="宋体"/>
              </w:rPr>
            </w:pPr>
          </w:p>
        </w:tc>
        <w:tc>
          <w:tcPr>
            <w:tcW w:w="0" w:type="auto"/>
            <w:shd w:val="clear" w:color="auto" w:fill="auto"/>
            <w:vAlign w:val="bottom"/>
          </w:tcPr>
          <w:p w14:paraId="71D47D0F" w14:textId="77777777" w:rsidR="006A3667" w:rsidRDefault="006A3667">
            <w:pPr>
              <w:rPr>
                <w:rFonts w:ascii="宋体"/>
                <w:vanish/>
              </w:rPr>
            </w:pPr>
          </w:p>
        </w:tc>
        <w:tc>
          <w:tcPr>
            <w:tcW w:w="0" w:type="auto"/>
            <w:gridSpan w:val="3"/>
            <w:shd w:val="clear" w:color="auto" w:fill="auto"/>
            <w:vAlign w:val="bottom"/>
          </w:tcPr>
          <w:p w14:paraId="71D47D10" w14:textId="77777777" w:rsidR="006A3667" w:rsidRDefault="006A3667">
            <w:pPr>
              <w:rPr>
                <w:rFonts w:ascii="宋体"/>
                <w:vanish/>
              </w:rPr>
            </w:pPr>
          </w:p>
        </w:tc>
        <w:tc>
          <w:tcPr>
            <w:tcW w:w="0" w:type="auto"/>
            <w:gridSpan w:val="3"/>
            <w:shd w:val="clear" w:color="auto" w:fill="auto"/>
            <w:vAlign w:val="bottom"/>
          </w:tcPr>
          <w:p w14:paraId="71D47D11" w14:textId="77777777" w:rsidR="006A3667" w:rsidRDefault="006A3667">
            <w:pPr>
              <w:rPr>
                <w:rFonts w:ascii="宋体"/>
                <w:vanish/>
              </w:rPr>
            </w:pPr>
          </w:p>
        </w:tc>
        <w:tc>
          <w:tcPr>
            <w:tcW w:w="0" w:type="auto"/>
            <w:gridSpan w:val="3"/>
            <w:shd w:val="clear" w:color="auto" w:fill="auto"/>
            <w:vAlign w:val="bottom"/>
          </w:tcPr>
          <w:p w14:paraId="71D47D12" w14:textId="77777777" w:rsidR="006A3667" w:rsidRDefault="006A3667">
            <w:pPr>
              <w:rPr>
                <w:rFonts w:ascii="宋体"/>
                <w:vanish/>
              </w:rPr>
            </w:pPr>
          </w:p>
        </w:tc>
        <w:tc>
          <w:tcPr>
            <w:tcW w:w="0" w:type="auto"/>
            <w:gridSpan w:val="3"/>
            <w:shd w:val="clear" w:color="auto" w:fill="auto"/>
            <w:vAlign w:val="bottom"/>
          </w:tcPr>
          <w:p w14:paraId="71D47D13" w14:textId="77777777" w:rsidR="006A3667" w:rsidRDefault="006A3667">
            <w:pPr>
              <w:rPr>
                <w:rFonts w:ascii="宋体"/>
                <w:vanish/>
              </w:rPr>
            </w:pPr>
          </w:p>
        </w:tc>
      </w:tr>
      <w:tr w:rsidR="006A3667" w14:paraId="71D47D29" w14:textId="77777777">
        <w:tc>
          <w:tcPr>
            <w:tcW w:w="0" w:type="auto"/>
            <w:gridSpan w:val="3"/>
            <w:shd w:val="clear" w:color="auto" w:fill="FFFFFF"/>
            <w:tcMar>
              <w:top w:w="40" w:type="dxa"/>
              <w:left w:w="20" w:type="dxa"/>
              <w:bottom w:w="40" w:type="dxa"/>
              <w:right w:w="20" w:type="dxa"/>
            </w:tcMar>
            <w:vAlign w:val="bottom"/>
          </w:tcPr>
          <w:p w14:paraId="71D47D15" w14:textId="77777777" w:rsidR="006A3667" w:rsidRDefault="00045F32">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D16" w14:textId="77777777" w:rsidR="006A3667" w:rsidRDefault="00045F32">
            <w:pPr>
              <w:jc w:val="right"/>
              <w:textAlignment w:val="bottom"/>
            </w:pPr>
            <w:r>
              <w:rPr>
                <w:rFonts w:ascii="Arial" w:eastAsia="宋体" w:hAnsi="Arial" w:cs="Arial"/>
                <w:b/>
                <w:bCs/>
                <w:color w:val="000000"/>
                <w:sz w:val="15"/>
                <w:szCs w:val="15"/>
              </w:rPr>
              <w:t>30,134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D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1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D19" w14:textId="77777777" w:rsidR="006A3667" w:rsidRDefault="00045F32">
            <w:pPr>
              <w:jc w:val="right"/>
              <w:textAlignment w:val="bottom"/>
            </w:pPr>
            <w:r>
              <w:rPr>
                <w:rFonts w:ascii="Arial" w:eastAsia="宋体" w:hAnsi="Arial" w:cs="Arial"/>
                <w:b/>
                <w:bCs/>
                <w:color w:val="000000"/>
                <w:sz w:val="15"/>
                <w:szCs w:val="15"/>
              </w:rPr>
              <w:t>(18,950)</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D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1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D1C" w14:textId="77777777" w:rsidR="006A3667" w:rsidRDefault="00045F32">
            <w:pPr>
              <w:jc w:val="right"/>
              <w:textAlignment w:val="bottom"/>
            </w:pPr>
            <w:r>
              <w:rPr>
                <w:rFonts w:ascii="Arial" w:eastAsia="宋体" w:hAnsi="Arial" w:cs="Arial"/>
                <w:b/>
                <w:bCs/>
                <w:color w:val="000000"/>
                <w:sz w:val="15"/>
                <w:szCs w:val="15"/>
              </w:rPr>
              <w:t>11,184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D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1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D1F" w14:textId="77777777" w:rsidR="006A3667" w:rsidRDefault="00045F32">
            <w:pPr>
              <w:jc w:val="right"/>
              <w:textAlignment w:val="bottom"/>
            </w:pPr>
            <w:r>
              <w:rPr>
                <w:rFonts w:ascii="Arial" w:eastAsia="宋体" w:hAnsi="Arial" w:cs="Arial"/>
                <w:b/>
                <w:bCs/>
                <w:color w:val="000000"/>
                <w:sz w:val="15"/>
                <w:szCs w:val="15"/>
              </w:rPr>
              <w:t>(1,533)</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D2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2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D22" w14:textId="77777777" w:rsidR="006A3667" w:rsidRDefault="00045F32">
            <w:pPr>
              <w:jc w:val="right"/>
              <w:textAlignment w:val="bottom"/>
            </w:pPr>
            <w:r>
              <w:rPr>
                <w:rFonts w:ascii="Arial" w:eastAsia="宋体" w:hAnsi="Arial" w:cs="Arial"/>
                <w:b/>
                <w:bCs/>
                <w:color w:val="000000"/>
                <w:sz w:val="15"/>
                <w:szCs w:val="15"/>
              </w:rPr>
              <w:t>9,651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D23" w14:textId="77777777" w:rsidR="006A3667" w:rsidRDefault="006A3667">
            <w:pPr>
              <w:jc w:val="right"/>
              <w:rPr>
                <w:rFonts w:ascii="宋体"/>
              </w:rPr>
            </w:pPr>
          </w:p>
        </w:tc>
        <w:tc>
          <w:tcPr>
            <w:tcW w:w="0" w:type="auto"/>
            <w:shd w:val="clear" w:color="auto" w:fill="auto"/>
            <w:vAlign w:val="bottom"/>
          </w:tcPr>
          <w:p w14:paraId="71D47D24" w14:textId="77777777" w:rsidR="006A3667" w:rsidRDefault="006A3667">
            <w:pPr>
              <w:rPr>
                <w:rFonts w:ascii="宋体"/>
                <w:vanish/>
              </w:rPr>
            </w:pPr>
          </w:p>
        </w:tc>
        <w:tc>
          <w:tcPr>
            <w:tcW w:w="0" w:type="auto"/>
            <w:gridSpan w:val="3"/>
            <w:shd w:val="clear" w:color="auto" w:fill="auto"/>
            <w:vAlign w:val="bottom"/>
          </w:tcPr>
          <w:p w14:paraId="71D47D25" w14:textId="77777777" w:rsidR="006A3667" w:rsidRDefault="006A3667">
            <w:pPr>
              <w:rPr>
                <w:rFonts w:ascii="宋体"/>
                <w:vanish/>
              </w:rPr>
            </w:pPr>
          </w:p>
        </w:tc>
        <w:tc>
          <w:tcPr>
            <w:tcW w:w="0" w:type="auto"/>
            <w:gridSpan w:val="3"/>
            <w:shd w:val="clear" w:color="auto" w:fill="auto"/>
            <w:vAlign w:val="bottom"/>
          </w:tcPr>
          <w:p w14:paraId="71D47D26" w14:textId="77777777" w:rsidR="006A3667" w:rsidRDefault="006A3667">
            <w:pPr>
              <w:rPr>
                <w:rFonts w:ascii="宋体"/>
                <w:vanish/>
              </w:rPr>
            </w:pPr>
          </w:p>
        </w:tc>
        <w:tc>
          <w:tcPr>
            <w:tcW w:w="0" w:type="auto"/>
            <w:gridSpan w:val="3"/>
            <w:shd w:val="clear" w:color="auto" w:fill="auto"/>
            <w:vAlign w:val="bottom"/>
          </w:tcPr>
          <w:p w14:paraId="71D47D27" w14:textId="77777777" w:rsidR="006A3667" w:rsidRDefault="006A3667">
            <w:pPr>
              <w:rPr>
                <w:rFonts w:ascii="宋体"/>
                <w:vanish/>
              </w:rPr>
            </w:pPr>
          </w:p>
        </w:tc>
        <w:tc>
          <w:tcPr>
            <w:tcW w:w="0" w:type="auto"/>
            <w:gridSpan w:val="3"/>
            <w:shd w:val="clear" w:color="auto" w:fill="auto"/>
            <w:vAlign w:val="bottom"/>
          </w:tcPr>
          <w:p w14:paraId="71D47D28" w14:textId="77777777" w:rsidR="006A3667" w:rsidRDefault="006A3667">
            <w:pPr>
              <w:rPr>
                <w:rFonts w:ascii="宋体"/>
                <w:vanish/>
              </w:rPr>
            </w:pPr>
          </w:p>
        </w:tc>
      </w:tr>
      <w:tr w:rsidR="006A3667" w14:paraId="71D47D39" w14:textId="77777777">
        <w:tc>
          <w:tcPr>
            <w:tcW w:w="0" w:type="auto"/>
            <w:gridSpan w:val="3"/>
            <w:shd w:val="clear" w:color="auto" w:fill="CCEEFF"/>
            <w:tcMar>
              <w:top w:w="40" w:type="dxa"/>
              <w:left w:w="20" w:type="dxa"/>
              <w:bottom w:w="40" w:type="dxa"/>
              <w:right w:w="20" w:type="dxa"/>
            </w:tcMar>
            <w:vAlign w:val="bottom"/>
          </w:tcPr>
          <w:p w14:paraId="71D47D2A" w14:textId="77777777" w:rsidR="006A3667" w:rsidRDefault="00045F32">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71D47D2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D2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D2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D2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D2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D3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D3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D3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D33" w14:textId="77777777" w:rsidR="006A3667" w:rsidRDefault="006A3667">
            <w:pPr>
              <w:rPr>
                <w:rFonts w:ascii="宋体"/>
              </w:rPr>
            </w:pPr>
          </w:p>
        </w:tc>
        <w:tc>
          <w:tcPr>
            <w:tcW w:w="0" w:type="auto"/>
            <w:shd w:val="clear" w:color="auto" w:fill="auto"/>
            <w:vAlign w:val="bottom"/>
          </w:tcPr>
          <w:p w14:paraId="71D47D34" w14:textId="77777777" w:rsidR="006A3667" w:rsidRDefault="006A3667">
            <w:pPr>
              <w:rPr>
                <w:rFonts w:ascii="宋体"/>
                <w:vanish/>
              </w:rPr>
            </w:pPr>
          </w:p>
        </w:tc>
        <w:tc>
          <w:tcPr>
            <w:tcW w:w="0" w:type="auto"/>
            <w:gridSpan w:val="3"/>
            <w:shd w:val="clear" w:color="auto" w:fill="auto"/>
            <w:vAlign w:val="bottom"/>
          </w:tcPr>
          <w:p w14:paraId="71D47D35" w14:textId="77777777" w:rsidR="006A3667" w:rsidRDefault="006A3667">
            <w:pPr>
              <w:rPr>
                <w:rFonts w:ascii="宋体"/>
                <w:vanish/>
              </w:rPr>
            </w:pPr>
          </w:p>
        </w:tc>
        <w:tc>
          <w:tcPr>
            <w:tcW w:w="0" w:type="auto"/>
            <w:gridSpan w:val="3"/>
            <w:shd w:val="clear" w:color="auto" w:fill="auto"/>
            <w:vAlign w:val="bottom"/>
          </w:tcPr>
          <w:p w14:paraId="71D47D36" w14:textId="77777777" w:rsidR="006A3667" w:rsidRDefault="006A3667">
            <w:pPr>
              <w:rPr>
                <w:rFonts w:ascii="宋体"/>
                <w:vanish/>
              </w:rPr>
            </w:pPr>
          </w:p>
        </w:tc>
        <w:tc>
          <w:tcPr>
            <w:tcW w:w="0" w:type="auto"/>
            <w:gridSpan w:val="3"/>
            <w:shd w:val="clear" w:color="auto" w:fill="auto"/>
            <w:vAlign w:val="bottom"/>
          </w:tcPr>
          <w:p w14:paraId="71D47D37" w14:textId="77777777" w:rsidR="006A3667" w:rsidRDefault="006A3667">
            <w:pPr>
              <w:rPr>
                <w:rFonts w:ascii="宋体"/>
                <w:vanish/>
              </w:rPr>
            </w:pPr>
          </w:p>
        </w:tc>
        <w:tc>
          <w:tcPr>
            <w:tcW w:w="0" w:type="auto"/>
            <w:gridSpan w:val="3"/>
            <w:shd w:val="clear" w:color="auto" w:fill="auto"/>
            <w:vAlign w:val="bottom"/>
          </w:tcPr>
          <w:p w14:paraId="71D47D38" w14:textId="77777777" w:rsidR="006A3667" w:rsidRDefault="006A3667">
            <w:pPr>
              <w:rPr>
                <w:rFonts w:ascii="宋体"/>
                <w:vanish/>
              </w:rPr>
            </w:pPr>
          </w:p>
        </w:tc>
      </w:tr>
      <w:tr w:rsidR="006A3667" w14:paraId="71D47D49" w14:textId="77777777">
        <w:trPr>
          <w:hidden/>
        </w:trPr>
        <w:tc>
          <w:tcPr>
            <w:tcW w:w="0" w:type="auto"/>
            <w:gridSpan w:val="3"/>
            <w:shd w:val="clear" w:color="auto" w:fill="auto"/>
            <w:vAlign w:val="bottom"/>
          </w:tcPr>
          <w:p w14:paraId="71D47D3A" w14:textId="77777777" w:rsidR="006A3667" w:rsidRDefault="006A3667">
            <w:pPr>
              <w:rPr>
                <w:rFonts w:ascii="宋体"/>
                <w:vanish/>
              </w:rPr>
            </w:pPr>
          </w:p>
        </w:tc>
        <w:tc>
          <w:tcPr>
            <w:tcW w:w="0" w:type="auto"/>
            <w:gridSpan w:val="3"/>
            <w:shd w:val="clear" w:color="auto" w:fill="auto"/>
            <w:vAlign w:val="bottom"/>
          </w:tcPr>
          <w:p w14:paraId="71D47D3B" w14:textId="77777777" w:rsidR="006A3667" w:rsidRDefault="006A3667">
            <w:pPr>
              <w:rPr>
                <w:rFonts w:ascii="宋体"/>
                <w:vanish/>
              </w:rPr>
            </w:pPr>
          </w:p>
        </w:tc>
        <w:tc>
          <w:tcPr>
            <w:tcW w:w="0" w:type="auto"/>
            <w:gridSpan w:val="3"/>
            <w:shd w:val="clear" w:color="auto" w:fill="auto"/>
            <w:vAlign w:val="bottom"/>
          </w:tcPr>
          <w:p w14:paraId="71D47D3C" w14:textId="77777777" w:rsidR="006A3667" w:rsidRDefault="006A3667">
            <w:pPr>
              <w:rPr>
                <w:rFonts w:ascii="宋体"/>
                <w:vanish/>
              </w:rPr>
            </w:pPr>
          </w:p>
        </w:tc>
        <w:tc>
          <w:tcPr>
            <w:tcW w:w="0" w:type="auto"/>
            <w:gridSpan w:val="3"/>
            <w:shd w:val="clear" w:color="auto" w:fill="auto"/>
            <w:vAlign w:val="bottom"/>
          </w:tcPr>
          <w:p w14:paraId="71D47D3D" w14:textId="77777777" w:rsidR="006A3667" w:rsidRDefault="006A3667">
            <w:pPr>
              <w:rPr>
                <w:rFonts w:ascii="宋体"/>
                <w:vanish/>
              </w:rPr>
            </w:pPr>
          </w:p>
        </w:tc>
        <w:tc>
          <w:tcPr>
            <w:tcW w:w="0" w:type="auto"/>
            <w:gridSpan w:val="3"/>
            <w:shd w:val="clear" w:color="auto" w:fill="auto"/>
            <w:vAlign w:val="bottom"/>
          </w:tcPr>
          <w:p w14:paraId="71D47D3E" w14:textId="77777777" w:rsidR="006A3667" w:rsidRDefault="006A3667">
            <w:pPr>
              <w:rPr>
                <w:rFonts w:ascii="宋体"/>
                <w:vanish/>
              </w:rPr>
            </w:pPr>
          </w:p>
        </w:tc>
        <w:tc>
          <w:tcPr>
            <w:tcW w:w="0" w:type="auto"/>
            <w:gridSpan w:val="3"/>
            <w:shd w:val="clear" w:color="auto" w:fill="auto"/>
            <w:vAlign w:val="bottom"/>
          </w:tcPr>
          <w:p w14:paraId="71D47D3F" w14:textId="77777777" w:rsidR="006A3667" w:rsidRDefault="006A3667">
            <w:pPr>
              <w:rPr>
                <w:rFonts w:ascii="宋体"/>
                <w:vanish/>
              </w:rPr>
            </w:pPr>
          </w:p>
        </w:tc>
        <w:tc>
          <w:tcPr>
            <w:tcW w:w="0" w:type="auto"/>
            <w:gridSpan w:val="3"/>
            <w:shd w:val="clear" w:color="auto" w:fill="auto"/>
            <w:vAlign w:val="bottom"/>
          </w:tcPr>
          <w:p w14:paraId="71D47D40" w14:textId="77777777" w:rsidR="006A3667" w:rsidRDefault="006A3667">
            <w:pPr>
              <w:rPr>
                <w:rFonts w:ascii="宋体"/>
                <w:vanish/>
              </w:rPr>
            </w:pPr>
          </w:p>
        </w:tc>
        <w:tc>
          <w:tcPr>
            <w:tcW w:w="0" w:type="auto"/>
            <w:gridSpan w:val="3"/>
            <w:shd w:val="clear" w:color="auto" w:fill="auto"/>
            <w:vAlign w:val="bottom"/>
          </w:tcPr>
          <w:p w14:paraId="71D47D41" w14:textId="77777777" w:rsidR="006A3667" w:rsidRDefault="006A3667">
            <w:pPr>
              <w:rPr>
                <w:rFonts w:ascii="宋体"/>
                <w:vanish/>
              </w:rPr>
            </w:pPr>
          </w:p>
        </w:tc>
        <w:tc>
          <w:tcPr>
            <w:tcW w:w="0" w:type="auto"/>
            <w:gridSpan w:val="3"/>
            <w:shd w:val="clear" w:color="auto" w:fill="auto"/>
            <w:vAlign w:val="bottom"/>
          </w:tcPr>
          <w:p w14:paraId="71D47D42" w14:textId="77777777" w:rsidR="006A3667" w:rsidRDefault="006A3667">
            <w:pPr>
              <w:rPr>
                <w:rFonts w:ascii="宋体"/>
                <w:vanish/>
              </w:rPr>
            </w:pPr>
          </w:p>
        </w:tc>
        <w:tc>
          <w:tcPr>
            <w:tcW w:w="0" w:type="auto"/>
            <w:gridSpan w:val="3"/>
            <w:shd w:val="clear" w:color="auto" w:fill="auto"/>
            <w:vAlign w:val="bottom"/>
          </w:tcPr>
          <w:p w14:paraId="71D47D43" w14:textId="77777777" w:rsidR="006A3667" w:rsidRDefault="006A3667">
            <w:pPr>
              <w:rPr>
                <w:rFonts w:ascii="宋体"/>
                <w:vanish/>
              </w:rPr>
            </w:pPr>
          </w:p>
        </w:tc>
        <w:tc>
          <w:tcPr>
            <w:tcW w:w="0" w:type="auto"/>
            <w:shd w:val="clear" w:color="auto" w:fill="auto"/>
            <w:vAlign w:val="bottom"/>
          </w:tcPr>
          <w:p w14:paraId="71D47D44" w14:textId="77777777" w:rsidR="006A3667" w:rsidRDefault="006A3667">
            <w:pPr>
              <w:rPr>
                <w:rFonts w:ascii="宋体"/>
                <w:vanish/>
              </w:rPr>
            </w:pPr>
          </w:p>
        </w:tc>
        <w:tc>
          <w:tcPr>
            <w:tcW w:w="0" w:type="auto"/>
            <w:gridSpan w:val="3"/>
            <w:shd w:val="clear" w:color="auto" w:fill="auto"/>
            <w:vAlign w:val="bottom"/>
          </w:tcPr>
          <w:p w14:paraId="71D47D45" w14:textId="77777777" w:rsidR="006A3667" w:rsidRDefault="006A3667">
            <w:pPr>
              <w:rPr>
                <w:rFonts w:ascii="宋体"/>
                <w:vanish/>
              </w:rPr>
            </w:pPr>
          </w:p>
        </w:tc>
        <w:tc>
          <w:tcPr>
            <w:tcW w:w="0" w:type="auto"/>
            <w:gridSpan w:val="3"/>
            <w:shd w:val="clear" w:color="auto" w:fill="auto"/>
            <w:vAlign w:val="bottom"/>
          </w:tcPr>
          <w:p w14:paraId="71D47D46" w14:textId="77777777" w:rsidR="006A3667" w:rsidRDefault="006A3667">
            <w:pPr>
              <w:rPr>
                <w:rFonts w:ascii="宋体"/>
                <w:vanish/>
              </w:rPr>
            </w:pPr>
          </w:p>
        </w:tc>
        <w:tc>
          <w:tcPr>
            <w:tcW w:w="0" w:type="auto"/>
            <w:gridSpan w:val="3"/>
            <w:shd w:val="clear" w:color="auto" w:fill="auto"/>
            <w:vAlign w:val="bottom"/>
          </w:tcPr>
          <w:p w14:paraId="71D47D47" w14:textId="77777777" w:rsidR="006A3667" w:rsidRDefault="006A3667">
            <w:pPr>
              <w:rPr>
                <w:rFonts w:ascii="宋体"/>
                <w:vanish/>
              </w:rPr>
            </w:pPr>
          </w:p>
        </w:tc>
        <w:tc>
          <w:tcPr>
            <w:tcW w:w="0" w:type="auto"/>
            <w:gridSpan w:val="3"/>
            <w:shd w:val="clear" w:color="auto" w:fill="auto"/>
            <w:vAlign w:val="bottom"/>
          </w:tcPr>
          <w:p w14:paraId="71D47D48" w14:textId="77777777" w:rsidR="006A3667" w:rsidRDefault="006A3667">
            <w:pPr>
              <w:rPr>
                <w:rFonts w:ascii="宋体"/>
                <w:vanish/>
              </w:rPr>
            </w:pPr>
          </w:p>
        </w:tc>
      </w:tr>
      <w:tr w:rsidR="006A3667" w14:paraId="71D47D59" w14:textId="77777777">
        <w:trPr>
          <w:hidden/>
        </w:trPr>
        <w:tc>
          <w:tcPr>
            <w:tcW w:w="0" w:type="auto"/>
            <w:gridSpan w:val="3"/>
            <w:shd w:val="clear" w:color="auto" w:fill="auto"/>
            <w:vAlign w:val="bottom"/>
          </w:tcPr>
          <w:p w14:paraId="71D47D4A" w14:textId="77777777" w:rsidR="006A3667" w:rsidRDefault="006A3667">
            <w:pPr>
              <w:rPr>
                <w:rFonts w:ascii="宋体"/>
                <w:vanish/>
              </w:rPr>
            </w:pPr>
          </w:p>
        </w:tc>
        <w:tc>
          <w:tcPr>
            <w:tcW w:w="0" w:type="auto"/>
            <w:gridSpan w:val="3"/>
            <w:shd w:val="clear" w:color="auto" w:fill="auto"/>
            <w:vAlign w:val="bottom"/>
          </w:tcPr>
          <w:p w14:paraId="71D47D4B" w14:textId="77777777" w:rsidR="006A3667" w:rsidRDefault="006A3667">
            <w:pPr>
              <w:rPr>
                <w:rFonts w:ascii="宋体"/>
                <w:vanish/>
              </w:rPr>
            </w:pPr>
          </w:p>
        </w:tc>
        <w:tc>
          <w:tcPr>
            <w:tcW w:w="0" w:type="auto"/>
            <w:gridSpan w:val="3"/>
            <w:shd w:val="clear" w:color="auto" w:fill="auto"/>
            <w:vAlign w:val="bottom"/>
          </w:tcPr>
          <w:p w14:paraId="71D47D4C" w14:textId="77777777" w:rsidR="006A3667" w:rsidRDefault="006A3667">
            <w:pPr>
              <w:rPr>
                <w:rFonts w:ascii="宋体"/>
                <w:vanish/>
              </w:rPr>
            </w:pPr>
          </w:p>
        </w:tc>
        <w:tc>
          <w:tcPr>
            <w:tcW w:w="0" w:type="auto"/>
            <w:gridSpan w:val="3"/>
            <w:shd w:val="clear" w:color="auto" w:fill="auto"/>
            <w:vAlign w:val="bottom"/>
          </w:tcPr>
          <w:p w14:paraId="71D47D4D" w14:textId="77777777" w:rsidR="006A3667" w:rsidRDefault="006A3667">
            <w:pPr>
              <w:rPr>
                <w:rFonts w:ascii="宋体"/>
                <w:vanish/>
              </w:rPr>
            </w:pPr>
          </w:p>
        </w:tc>
        <w:tc>
          <w:tcPr>
            <w:tcW w:w="0" w:type="auto"/>
            <w:gridSpan w:val="3"/>
            <w:shd w:val="clear" w:color="auto" w:fill="auto"/>
            <w:vAlign w:val="bottom"/>
          </w:tcPr>
          <w:p w14:paraId="71D47D4E" w14:textId="77777777" w:rsidR="006A3667" w:rsidRDefault="006A3667">
            <w:pPr>
              <w:rPr>
                <w:rFonts w:ascii="宋体"/>
                <w:vanish/>
              </w:rPr>
            </w:pPr>
          </w:p>
        </w:tc>
        <w:tc>
          <w:tcPr>
            <w:tcW w:w="0" w:type="auto"/>
            <w:gridSpan w:val="3"/>
            <w:shd w:val="clear" w:color="auto" w:fill="auto"/>
            <w:vAlign w:val="bottom"/>
          </w:tcPr>
          <w:p w14:paraId="71D47D4F" w14:textId="77777777" w:rsidR="006A3667" w:rsidRDefault="006A3667">
            <w:pPr>
              <w:rPr>
                <w:rFonts w:ascii="宋体"/>
                <w:vanish/>
              </w:rPr>
            </w:pPr>
          </w:p>
        </w:tc>
        <w:tc>
          <w:tcPr>
            <w:tcW w:w="0" w:type="auto"/>
            <w:gridSpan w:val="3"/>
            <w:shd w:val="clear" w:color="auto" w:fill="auto"/>
            <w:vAlign w:val="bottom"/>
          </w:tcPr>
          <w:p w14:paraId="71D47D50" w14:textId="77777777" w:rsidR="006A3667" w:rsidRDefault="006A3667">
            <w:pPr>
              <w:rPr>
                <w:rFonts w:ascii="宋体"/>
                <w:vanish/>
              </w:rPr>
            </w:pPr>
          </w:p>
        </w:tc>
        <w:tc>
          <w:tcPr>
            <w:tcW w:w="0" w:type="auto"/>
            <w:gridSpan w:val="3"/>
            <w:shd w:val="clear" w:color="auto" w:fill="auto"/>
            <w:vAlign w:val="bottom"/>
          </w:tcPr>
          <w:p w14:paraId="71D47D51" w14:textId="77777777" w:rsidR="006A3667" w:rsidRDefault="006A3667">
            <w:pPr>
              <w:rPr>
                <w:rFonts w:ascii="宋体"/>
                <w:vanish/>
              </w:rPr>
            </w:pPr>
          </w:p>
        </w:tc>
        <w:tc>
          <w:tcPr>
            <w:tcW w:w="0" w:type="auto"/>
            <w:gridSpan w:val="3"/>
            <w:shd w:val="clear" w:color="auto" w:fill="auto"/>
            <w:vAlign w:val="bottom"/>
          </w:tcPr>
          <w:p w14:paraId="71D47D52" w14:textId="77777777" w:rsidR="006A3667" w:rsidRDefault="006A3667">
            <w:pPr>
              <w:rPr>
                <w:rFonts w:ascii="宋体"/>
                <w:vanish/>
              </w:rPr>
            </w:pPr>
          </w:p>
        </w:tc>
        <w:tc>
          <w:tcPr>
            <w:tcW w:w="0" w:type="auto"/>
            <w:gridSpan w:val="3"/>
            <w:shd w:val="clear" w:color="auto" w:fill="auto"/>
            <w:vAlign w:val="bottom"/>
          </w:tcPr>
          <w:p w14:paraId="71D47D53" w14:textId="77777777" w:rsidR="006A3667" w:rsidRDefault="006A3667">
            <w:pPr>
              <w:rPr>
                <w:rFonts w:ascii="宋体"/>
                <w:vanish/>
              </w:rPr>
            </w:pPr>
          </w:p>
        </w:tc>
        <w:tc>
          <w:tcPr>
            <w:tcW w:w="0" w:type="auto"/>
            <w:shd w:val="clear" w:color="auto" w:fill="auto"/>
            <w:vAlign w:val="bottom"/>
          </w:tcPr>
          <w:p w14:paraId="71D47D54" w14:textId="77777777" w:rsidR="006A3667" w:rsidRDefault="006A3667">
            <w:pPr>
              <w:rPr>
                <w:rFonts w:ascii="宋体"/>
                <w:vanish/>
              </w:rPr>
            </w:pPr>
          </w:p>
        </w:tc>
        <w:tc>
          <w:tcPr>
            <w:tcW w:w="0" w:type="auto"/>
            <w:gridSpan w:val="3"/>
            <w:shd w:val="clear" w:color="auto" w:fill="auto"/>
            <w:vAlign w:val="bottom"/>
          </w:tcPr>
          <w:p w14:paraId="71D47D55" w14:textId="77777777" w:rsidR="006A3667" w:rsidRDefault="006A3667">
            <w:pPr>
              <w:rPr>
                <w:rFonts w:ascii="宋体"/>
                <w:vanish/>
              </w:rPr>
            </w:pPr>
          </w:p>
        </w:tc>
        <w:tc>
          <w:tcPr>
            <w:tcW w:w="0" w:type="auto"/>
            <w:gridSpan w:val="3"/>
            <w:shd w:val="clear" w:color="auto" w:fill="auto"/>
            <w:vAlign w:val="bottom"/>
          </w:tcPr>
          <w:p w14:paraId="71D47D56" w14:textId="77777777" w:rsidR="006A3667" w:rsidRDefault="006A3667">
            <w:pPr>
              <w:rPr>
                <w:rFonts w:ascii="宋体"/>
                <w:vanish/>
              </w:rPr>
            </w:pPr>
          </w:p>
        </w:tc>
        <w:tc>
          <w:tcPr>
            <w:tcW w:w="0" w:type="auto"/>
            <w:gridSpan w:val="3"/>
            <w:shd w:val="clear" w:color="auto" w:fill="auto"/>
            <w:vAlign w:val="bottom"/>
          </w:tcPr>
          <w:p w14:paraId="71D47D57" w14:textId="77777777" w:rsidR="006A3667" w:rsidRDefault="006A3667">
            <w:pPr>
              <w:rPr>
                <w:rFonts w:ascii="宋体"/>
                <w:vanish/>
              </w:rPr>
            </w:pPr>
          </w:p>
        </w:tc>
        <w:tc>
          <w:tcPr>
            <w:tcW w:w="0" w:type="auto"/>
            <w:gridSpan w:val="3"/>
            <w:shd w:val="clear" w:color="auto" w:fill="auto"/>
            <w:vAlign w:val="bottom"/>
          </w:tcPr>
          <w:p w14:paraId="71D47D58" w14:textId="77777777" w:rsidR="006A3667" w:rsidRDefault="006A3667">
            <w:pPr>
              <w:rPr>
                <w:rFonts w:ascii="宋体"/>
                <w:vanish/>
              </w:rPr>
            </w:pPr>
          </w:p>
        </w:tc>
      </w:tr>
      <w:tr w:rsidR="006A3667" w14:paraId="71D47D6E" w14:textId="77777777">
        <w:tc>
          <w:tcPr>
            <w:tcW w:w="0" w:type="auto"/>
            <w:gridSpan w:val="3"/>
            <w:shd w:val="clear" w:color="auto" w:fill="FFFFFF"/>
            <w:tcMar>
              <w:top w:w="40" w:type="dxa"/>
              <w:left w:w="20" w:type="dxa"/>
              <w:bottom w:w="40" w:type="dxa"/>
              <w:right w:w="20" w:type="dxa"/>
            </w:tcMar>
            <w:vAlign w:val="bottom"/>
          </w:tcPr>
          <w:p w14:paraId="71D47D5A" w14:textId="77777777" w:rsidR="006A3667" w:rsidRDefault="00045F32">
            <w:pPr>
              <w:textAlignment w:val="bottom"/>
            </w:pPr>
            <w:r>
              <w:rPr>
                <w:rFonts w:ascii="Arial" w:eastAsia="宋体" w:hAnsi="Arial" w:cs="Arial"/>
                <w:color w:val="000000"/>
                <w:sz w:val="15"/>
                <w:szCs w:val="15"/>
              </w:rPr>
              <w:t xml:space="preserve">Resale agreements and </w:t>
            </w:r>
            <w:r>
              <w:rPr>
                <w:rFonts w:ascii="Arial" w:eastAsia="宋体" w:hAnsi="Arial" w:cs="Arial"/>
                <w:color w:val="000000"/>
                <w:sz w:val="15"/>
                <w:szCs w:val="15"/>
              </w:rPr>
              <w:t>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71D47D5B" w14:textId="77777777" w:rsidR="006A3667" w:rsidRDefault="00045F32">
            <w:pPr>
              <w:jc w:val="right"/>
              <w:textAlignment w:val="bottom"/>
            </w:pPr>
            <w:r>
              <w:rPr>
                <w:rFonts w:ascii="Arial" w:eastAsia="宋体" w:hAnsi="Arial" w:cs="Arial"/>
                <w:b/>
                <w:bCs/>
                <w:color w:val="000000"/>
                <w:sz w:val="15"/>
                <w:szCs w:val="15"/>
              </w:rPr>
              <w:t>104,880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D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5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D5E" w14:textId="77777777" w:rsidR="006A3667" w:rsidRDefault="00045F32">
            <w:pPr>
              <w:jc w:val="right"/>
              <w:textAlignment w:val="bottom"/>
            </w:pPr>
            <w:r>
              <w:rPr>
                <w:rFonts w:ascii="Arial" w:eastAsia="宋体" w:hAnsi="Arial" w:cs="Arial"/>
                <w:b/>
                <w:bCs/>
                <w:color w:val="000000"/>
                <w:sz w:val="15"/>
                <w:szCs w:val="15"/>
              </w:rPr>
              <w:t>(86,681)</w:t>
            </w:r>
          </w:p>
        </w:tc>
        <w:tc>
          <w:tcPr>
            <w:tcW w:w="0" w:type="auto"/>
            <w:shd w:val="clear" w:color="auto" w:fill="FFFFFF"/>
            <w:tcMar>
              <w:top w:w="40" w:type="dxa"/>
              <w:left w:w="0" w:type="dxa"/>
              <w:bottom w:w="40" w:type="dxa"/>
              <w:right w:w="20" w:type="dxa"/>
            </w:tcMar>
            <w:vAlign w:val="bottom"/>
          </w:tcPr>
          <w:p w14:paraId="71D47D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D61" w14:textId="77777777" w:rsidR="006A3667" w:rsidRDefault="00045F32">
            <w:pPr>
              <w:jc w:val="right"/>
              <w:textAlignment w:val="bottom"/>
            </w:pPr>
            <w:r>
              <w:rPr>
                <w:rFonts w:ascii="Arial" w:eastAsia="宋体" w:hAnsi="Arial" w:cs="Arial"/>
                <w:b/>
                <w:bCs/>
                <w:color w:val="000000"/>
                <w:sz w:val="15"/>
                <w:szCs w:val="15"/>
              </w:rPr>
              <w:t>18,199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D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6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D64" w14:textId="77777777" w:rsidR="006A3667" w:rsidRDefault="00045F32">
            <w:pPr>
              <w:jc w:val="right"/>
              <w:textAlignment w:val="bottom"/>
            </w:pPr>
            <w:r>
              <w:rPr>
                <w:rFonts w:ascii="Arial" w:eastAsia="宋体" w:hAnsi="Arial" w:cs="Arial"/>
                <w:b/>
                <w:bCs/>
                <w:color w:val="000000"/>
                <w:sz w:val="15"/>
                <w:szCs w:val="15"/>
              </w:rPr>
              <w:t>(17,491)</w:t>
            </w:r>
          </w:p>
        </w:tc>
        <w:tc>
          <w:tcPr>
            <w:tcW w:w="0" w:type="auto"/>
            <w:shd w:val="clear" w:color="auto" w:fill="FFFFFF"/>
            <w:tcMar>
              <w:top w:w="40" w:type="dxa"/>
              <w:left w:w="0" w:type="dxa"/>
              <w:bottom w:w="40" w:type="dxa"/>
              <w:right w:w="20" w:type="dxa"/>
            </w:tcMar>
            <w:vAlign w:val="bottom"/>
          </w:tcPr>
          <w:p w14:paraId="71D47D6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6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D67" w14:textId="77777777" w:rsidR="006A3667" w:rsidRDefault="00045F32">
            <w:pPr>
              <w:jc w:val="right"/>
              <w:textAlignment w:val="bottom"/>
            </w:pPr>
            <w:r>
              <w:rPr>
                <w:rFonts w:ascii="Arial" w:eastAsia="宋体" w:hAnsi="Arial" w:cs="Arial"/>
                <w:b/>
                <w:bCs/>
                <w:color w:val="000000"/>
                <w:sz w:val="15"/>
                <w:szCs w:val="15"/>
              </w:rPr>
              <w:t>708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D68" w14:textId="77777777" w:rsidR="006A3667" w:rsidRDefault="006A3667">
            <w:pPr>
              <w:jc w:val="right"/>
              <w:rPr>
                <w:rFonts w:ascii="宋体"/>
              </w:rPr>
            </w:pPr>
          </w:p>
        </w:tc>
        <w:tc>
          <w:tcPr>
            <w:tcW w:w="0" w:type="auto"/>
            <w:shd w:val="clear" w:color="auto" w:fill="auto"/>
            <w:vAlign w:val="bottom"/>
          </w:tcPr>
          <w:p w14:paraId="71D47D69" w14:textId="77777777" w:rsidR="006A3667" w:rsidRDefault="006A3667">
            <w:pPr>
              <w:rPr>
                <w:rFonts w:ascii="宋体"/>
                <w:vanish/>
              </w:rPr>
            </w:pPr>
          </w:p>
        </w:tc>
        <w:tc>
          <w:tcPr>
            <w:tcW w:w="0" w:type="auto"/>
            <w:gridSpan w:val="3"/>
            <w:shd w:val="clear" w:color="auto" w:fill="auto"/>
            <w:vAlign w:val="bottom"/>
          </w:tcPr>
          <w:p w14:paraId="71D47D6A" w14:textId="77777777" w:rsidR="006A3667" w:rsidRDefault="006A3667">
            <w:pPr>
              <w:rPr>
                <w:rFonts w:ascii="宋体"/>
                <w:vanish/>
              </w:rPr>
            </w:pPr>
          </w:p>
        </w:tc>
        <w:tc>
          <w:tcPr>
            <w:tcW w:w="0" w:type="auto"/>
            <w:gridSpan w:val="3"/>
            <w:shd w:val="clear" w:color="auto" w:fill="auto"/>
            <w:vAlign w:val="bottom"/>
          </w:tcPr>
          <w:p w14:paraId="71D47D6B" w14:textId="77777777" w:rsidR="006A3667" w:rsidRDefault="006A3667">
            <w:pPr>
              <w:rPr>
                <w:rFonts w:ascii="宋体"/>
                <w:vanish/>
              </w:rPr>
            </w:pPr>
          </w:p>
        </w:tc>
        <w:tc>
          <w:tcPr>
            <w:tcW w:w="0" w:type="auto"/>
            <w:gridSpan w:val="3"/>
            <w:shd w:val="clear" w:color="auto" w:fill="auto"/>
            <w:vAlign w:val="bottom"/>
          </w:tcPr>
          <w:p w14:paraId="71D47D6C" w14:textId="77777777" w:rsidR="006A3667" w:rsidRDefault="006A3667">
            <w:pPr>
              <w:rPr>
                <w:rFonts w:ascii="宋体"/>
                <w:vanish/>
              </w:rPr>
            </w:pPr>
          </w:p>
        </w:tc>
        <w:tc>
          <w:tcPr>
            <w:tcW w:w="0" w:type="auto"/>
            <w:gridSpan w:val="3"/>
            <w:shd w:val="clear" w:color="auto" w:fill="auto"/>
            <w:vAlign w:val="bottom"/>
          </w:tcPr>
          <w:p w14:paraId="71D47D6D" w14:textId="77777777" w:rsidR="006A3667" w:rsidRDefault="006A3667">
            <w:pPr>
              <w:rPr>
                <w:rFonts w:ascii="宋体"/>
                <w:vanish/>
              </w:rPr>
            </w:pPr>
          </w:p>
        </w:tc>
      </w:tr>
      <w:tr w:rsidR="006A3667" w14:paraId="71D47D88" w14:textId="77777777">
        <w:tc>
          <w:tcPr>
            <w:tcW w:w="0" w:type="auto"/>
            <w:gridSpan w:val="3"/>
            <w:shd w:val="clear" w:color="auto" w:fill="CCEEFF"/>
            <w:tcMar>
              <w:top w:w="40" w:type="dxa"/>
              <w:left w:w="20" w:type="dxa"/>
              <w:bottom w:w="40" w:type="dxa"/>
              <w:right w:w="20" w:type="dxa"/>
            </w:tcMar>
            <w:vAlign w:val="bottom"/>
          </w:tcPr>
          <w:p w14:paraId="71D47D6F" w14:textId="77777777" w:rsidR="006A3667" w:rsidRDefault="00045F32">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D70"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D71" w14:textId="77777777" w:rsidR="006A3667" w:rsidRDefault="00045F32">
            <w:pPr>
              <w:jc w:val="right"/>
              <w:textAlignment w:val="bottom"/>
            </w:pPr>
            <w:r>
              <w:rPr>
                <w:rFonts w:ascii="Arial" w:eastAsia="宋体" w:hAnsi="Arial" w:cs="Arial"/>
                <w:b/>
                <w:bCs/>
                <w:color w:val="000000"/>
                <w:sz w:val="15"/>
                <w:szCs w:val="15"/>
              </w:rPr>
              <w:t>135,014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D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7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D74"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D75" w14:textId="77777777" w:rsidR="006A3667" w:rsidRDefault="00045F32">
            <w:pPr>
              <w:jc w:val="right"/>
              <w:textAlignment w:val="bottom"/>
            </w:pPr>
            <w:r>
              <w:rPr>
                <w:rFonts w:ascii="Arial" w:eastAsia="宋体" w:hAnsi="Arial" w:cs="Arial"/>
                <w:b/>
                <w:bCs/>
                <w:color w:val="000000"/>
                <w:sz w:val="15"/>
                <w:szCs w:val="15"/>
              </w:rPr>
              <w:t>(105,631)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D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7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D78"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D79" w14:textId="77777777" w:rsidR="006A3667" w:rsidRDefault="00045F32">
            <w:pPr>
              <w:jc w:val="right"/>
              <w:textAlignment w:val="bottom"/>
            </w:pPr>
            <w:r>
              <w:rPr>
                <w:rFonts w:ascii="Arial" w:eastAsia="宋体" w:hAnsi="Arial" w:cs="Arial"/>
                <w:b/>
                <w:bCs/>
                <w:color w:val="000000"/>
                <w:sz w:val="15"/>
                <w:szCs w:val="15"/>
              </w:rPr>
              <w:t>29,383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D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7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D7C"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D7D" w14:textId="77777777" w:rsidR="006A3667" w:rsidRDefault="00045F32">
            <w:pPr>
              <w:jc w:val="right"/>
              <w:textAlignment w:val="bottom"/>
            </w:pPr>
            <w:r>
              <w:rPr>
                <w:rFonts w:ascii="Arial" w:eastAsia="宋体" w:hAnsi="Arial" w:cs="Arial"/>
                <w:b/>
                <w:bCs/>
                <w:color w:val="000000"/>
                <w:sz w:val="15"/>
                <w:szCs w:val="15"/>
              </w:rPr>
              <w:t>(19,024)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D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7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D80"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D81" w14:textId="77777777" w:rsidR="006A3667" w:rsidRDefault="00045F32">
            <w:pPr>
              <w:jc w:val="right"/>
              <w:textAlignment w:val="bottom"/>
            </w:pPr>
            <w:r>
              <w:rPr>
                <w:rFonts w:ascii="Arial" w:eastAsia="宋体" w:hAnsi="Arial" w:cs="Arial"/>
                <w:b/>
                <w:bCs/>
                <w:color w:val="000000"/>
                <w:sz w:val="15"/>
                <w:szCs w:val="15"/>
              </w:rPr>
              <w:t>10,359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D82" w14:textId="77777777" w:rsidR="006A3667" w:rsidRDefault="006A3667">
            <w:pPr>
              <w:jc w:val="right"/>
              <w:rPr>
                <w:rFonts w:ascii="宋体"/>
              </w:rPr>
            </w:pPr>
          </w:p>
        </w:tc>
        <w:tc>
          <w:tcPr>
            <w:tcW w:w="0" w:type="auto"/>
            <w:shd w:val="clear" w:color="auto" w:fill="auto"/>
            <w:vAlign w:val="bottom"/>
          </w:tcPr>
          <w:p w14:paraId="71D47D83" w14:textId="77777777" w:rsidR="006A3667" w:rsidRDefault="006A3667">
            <w:pPr>
              <w:rPr>
                <w:rFonts w:ascii="宋体"/>
                <w:vanish/>
              </w:rPr>
            </w:pPr>
          </w:p>
        </w:tc>
        <w:tc>
          <w:tcPr>
            <w:tcW w:w="0" w:type="auto"/>
            <w:gridSpan w:val="3"/>
            <w:shd w:val="clear" w:color="auto" w:fill="auto"/>
            <w:vAlign w:val="bottom"/>
          </w:tcPr>
          <w:p w14:paraId="71D47D84" w14:textId="77777777" w:rsidR="006A3667" w:rsidRDefault="006A3667">
            <w:pPr>
              <w:rPr>
                <w:rFonts w:ascii="宋体"/>
                <w:vanish/>
              </w:rPr>
            </w:pPr>
          </w:p>
        </w:tc>
        <w:tc>
          <w:tcPr>
            <w:tcW w:w="0" w:type="auto"/>
            <w:gridSpan w:val="3"/>
            <w:shd w:val="clear" w:color="auto" w:fill="auto"/>
            <w:vAlign w:val="bottom"/>
          </w:tcPr>
          <w:p w14:paraId="71D47D85" w14:textId="77777777" w:rsidR="006A3667" w:rsidRDefault="006A3667">
            <w:pPr>
              <w:rPr>
                <w:rFonts w:ascii="宋体"/>
                <w:vanish/>
              </w:rPr>
            </w:pPr>
          </w:p>
        </w:tc>
        <w:tc>
          <w:tcPr>
            <w:tcW w:w="0" w:type="auto"/>
            <w:gridSpan w:val="3"/>
            <w:shd w:val="clear" w:color="auto" w:fill="auto"/>
            <w:vAlign w:val="bottom"/>
          </w:tcPr>
          <w:p w14:paraId="71D47D86" w14:textId="77777777" w:rsidR="006A3667" w:rsidRDefault="006A3667">
            <w:pPr>
              <w:rPr>
                <w:rFonts w:ascii="宋体"/>
                <w:vanish/>
              </w:rPr>
            </w:pPr>
          </w:p>
        </w:tc>
        <w:tc>
          <w:tcPr>
            <w:tcW w:w="0" w:type="auto"/>
            <w:gridSpan w:val="3"/>
            <w:shd w:val="clear" w:color="auto" w:fill="auto"/>
            <w:vAlign w:val="bottom"/>
          </w:tcPr>
          <w:p w14:paraId="71D47D87" w14:textId="77777777" w:rsidR="006A3667" w:rsidRDefault="006A3667">
            <w:pPr>
              <w:rPr>
                <w:rFonts w:ascii="宋体"/>
                <w:vanish/>
              </w:rPr>
            </w:pPr>
          </w:p>
        </w:tc>
      </w:tr>
    </w:tbl>
    <w:p w14:paraId="71D47D89" w14:textId="77777777" w:rsidR="006A3667" w:rsidRDefault="006A3667">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0"/>
        <w:gridCol w:w="2200"/>
        <w:gridCol w:w="37"/>
        <w:gridCol w:w="105"/>
        <w:gridCol w:w="949"/>
        <w:gridCol w:w="36"/>
        <w:gridCol w:w="36"/>
        <w:gridCol w:w="36"/>
        <w:gridCol w:w="36"/>
        <w:gridCol w:w="105"/>
        <w:gridCol w:w="1032"/>
        <w:gridCol w:w="36"/>
        <w:gridCol w:w="36"/>
        <w:gridCol w:w="36"/>
        <w:gridCol w:w="36"/>
        <w:gridCol w:w="105"/>
        <w:gridCol w:w="1179"/>
        <w:gridCol w:w="36"/>
        <w:gridCol w:w="36"/>
        <w:gridCol w:w="36"/>
        <w:gridCol w:w="36"/>
        <w:gridCol w:w="105"/>
        <w:gridCol w:w="1009"/>
        <w:gridCol w:w="37"/>
        <w:gridCol w:w="36"/>
        <w:gridCol w:w="36"/>
        <w:gridCol w:w="36"/>
        <w:gridCol w:w="105"/>
        <w:gridCol w:w="739"/>
        <w:gridCol w:w="37"/>
      </w:tblGrid>
      <w:tr w:rsidR="006A3667" w14:paraId="71D47DA8" w14:textId="77777777">
        <w:tc>
          <w:tcPr>
            <w:tcW w:w="50" w:type="pct"/>
            <w:shd w:val="clear" w:color="auto" w:fill="auto"/>
            <w:vAlign w:val="bottom"/>
          </w:tcPr>
          <w:p w14:paraId="71D47D8A" w14:textId="77777777" w:rsidR="006A3667" w:rsidRDefault="006A3667">
            <w:pPr>
              <w:rPr>
                <w:rFonts w:ascii="宋体"/>
              </w:rPr>
            </w:pPr>
          </w:p>
        </w:tc>
        <w:tc>
          <w:tcPr>
            <w:tcW w:w="1350" w:type="pct"/>
            <w:shd w:val="clear" w:color="auto" w:fill="auto"/>
            <w:vAlign w:val="bottom"/>
          </w:tcPr>
          <w:p w14:paraId="71D47D8B" w14:textId="77777777" w:rsidR="006A3667" w:rsidRDefault="006A3667">
            <w:pPr>
              <w:rPr>
                <w:rFonts w:ascii="宋体"/>
              </w:rPr>
            </w:pPr>
          </w:p>
        </w:tc>
        <w:tc>
          <w:tcPr>
            <w:tcW w:w="5" w:type="pct"/>
            <w:shd w:val="clear" w:color="auto" w:fill="auto"/>
            <w:vAlign w:val="bottom"/>
          </w:tcPr>
          <w:p w14:paraId="71D47D8C" w14:textId="77777777" w:rsidR="006A3667" w:rsidRDefault="006A3667">
            <w:pPr>
              <w:rPr>
                <w:rFonts w:ascii="宋体"/>
              </w:rPr>
            </w:pPr>
          </w:p>
        </w:tc>
        <w:tc>
          <w:tcPr>
            <w:tcW w:w="50" w:type="pct"/>
            <w:shd w:val="clear" w:color="auto" w:fill="auto"/>
            <w:vAlign w:val="bottom"/>
          </w:tcPr>
          <w:p w14:paraId="71D47D8D" w14:textId="77777777" w:rsidR="006A3667" w:rsidRDefault="006A3667">
            <w:pPr>
              <w:rPr>
                <w:rFonts w:ascii="宋体"/>
              </w:rPr>
            </w:pPr>
          </w:p>
        </w:tc>
        <w:tc>
          <w:tcPr>
            <w:tcW w:w="596" w:type="pct"/>
            <w:shd w:val="clear" w:color="auto" w:fill="auto"/>
            <w:vAlign w:val="bottom"/>
          </w:tcPr>
          <w:p w14:paraId="71D47D8E" w14:textId="77777777" w:rsidR="006A3667" w:rsidRDefault="006A3667">
            <w:pPr>
              <w:rPr>
                <w:rFonts w:ascii="宋体"/>
              </w:rPr>
            </w:pPr>
          </w:p>
        </w:tc>
        <w:tc>
          <w:tcPr>
            <w:tcW w:w="5" w:type="pct"/>
            <w:shd w:val="clear" w:color="auto" w:fill="auto"/>
            <w:vAlign w:val="bottom"/>
          </w:tcPr>
          <w:p w14:paraId="71D47D8F" w14:textId="77777777" w:rsidR="006A3667" w:rsidRDefault="006A3667">
            <w:pPr>
              <w:rPr>
                <w:rFonts w:ascii="宋体"/>
              </w:rPr>
            </w:pPr>
          </w:p>
        </w:tc>
        <w:tc>
          <w:tcPr>
            <w:tcW w:w="5" w:type="pct"/>
            <w:shd w:val="clear" w:color="auto" w:fill="auto"/>
            <w:vAlign w:val="bottom"/>
          </w:tcPr>
          <w:p w14:paraId="71D47D90" w14:textId="77777777" w:rsidR="006A3667" w:rsidRDefault="006A3667">
            <w:pPr>
              <w:rPr>
                <w:rFonts w:ascii="宋体"/>
              </w:rPr>
            </w:pPr>
          </w:p>
        </w:tc>
        <w:tc>
          <w:tcPr>
            <w:tcW w:w="26" w:type="pct"/>
            <w:shd w:val="clear" w:color="auto" w:fill="auto"/>
            <w:vAlign w:val="bottom"/>
          </w:tcPr>
          <w:p w14:paraId="71D47D91" w14:textId="77777777" w:rsidR="006A3667" w:rsidRDefault="006A3667">
            <w:pPr>
              <w:rPr>
                <w:rFonts w:ascii="宋体"/>
              </w:rPr>
            </w:pPr>
          </w:p>
        </w:tc>
        <w:tc>
          <w:tcPr>
            <w:tcW w:w="5" w:type="pct"/>
            <w:shd w:val="clear" w:color="auto" w:fill="auto"/>
            <w:vAlign w:val="bottom"/>
          </w:tcPr>
          <w:p w14:paraId="71D47D92" w14:textId="77777777" w:rsidR="006A3667" w:rsidRDefault="006A3667">
            <w:pPr>
              <w:rPr>
                <w:rFonts w:ascii="宋体"/>
              </w:rPr>
            </w:pPr>
          </w:p>
        </w:tc>
        <w:tc>
          <w:tcPr>
            <w:tcW w:w="50" w:type="pct"/>
            <w:shd w:val="clear" w:color="auto" w:fill="auto"/>
            <w:vAlign w:val="bottom"/>
          </w:tcPr>
          <w:p w14:paraId="71D47D93" w14:textId="77777777" w:rsidR="006A3667" w:rsidRDefault="006A3667">
            <w:pPr>
              <w:rPr>
                <w:rFonts w:ascii="宋体"/>
              </w:rPr>
            </w:pPr>
          </w:p>
        </w:tc>
        <w:tc>
          <w:tcPr>
            <w:tcW w:w="669" w:type="pct"/>
            <w:shd w:val="clear" w:color="auto" w:fill="auto"/>
            <w:vAlign w:val="bottom"/>
          </w:tcPr>
          <w:p w14:paraId="71D47D94" w14:textId="77777777" w:rsidR="006A3667" w:rsidRDefault="006A3667">
            <w:pPr>
              <w:rPr>
                <w:rFonts w:ascii="宋体"/>
              </w:rPr>
            </w:pPr>
          </w:p>
        </w:tc>
        <w:tc>
          <w:tcPr>
            <w:tcW w:w="5" w:type="pct"/>
            <w:shd w:val="clear" w:color="auto" w:fill="auto"/>
            <w:vAlign w:val="bottom"/>
          </w:tcPr>
          <w:p w14:paraId="71D47D95" w14:textId="77777777" w:rsidR="006A3667" w:rsidRDefault="006A3667">
            <w:pPr>
              <w:rPr>
                <w:rFonts w:ascii="宋体"/>
              </w:rPr>
            </w:pPr>
          </w:p>
        </w:tc>
        <w:tc>
          <w:tcPr>
            <w:tcW w:w="5" w:type="pct"/>
            <w:shd w:val="clear" w:color="auto" w:fill="auto"/>
            <w:vAlign w:val="bottom"/>
          </w:tcPr>
          <w:p w14:paraId="71D47D96" w14:textId="77777777" w:rsidR="006A3667" w:rsidRDefault="006A3667">
            <w:pPr>
              <w:rPr>
                <w:rFonts w:ascii="宋体"/>
              </w:rPr>
            </w:pPr>
          </w:p>
        </w:tc>
        <w:tc>
          <w:tcPr>
            <w:tcW w:w="26" w:type="pct"/>
            <w:shd w:val="clear" w:color="auto" w:fill="auto"/>
            <w:vAlign w:val="bottom"/>
          </w:tcPr>
          <w:p w14:paraId="71D47D97" w14:textId="77777777" w:rsidR="006A3667" w:rsidRDefault="006A3667">
            <w:pPr>
              <w:rPr>
                <w:rFonts w:ascii="宋体"/>
              </w:rPr>
            </w:pPr>
          </w:p>
        </w:tc>
        <w:tc>
          <w:tcPr>
            <w:tcW w:w="5" w:type="pct"/>
            <w:shd w:val="clear" w:color="auto" w:fill="auto"/>
            <w:vAlign w:val="bottom"/>
          </w:tcPr>
          <w:p w14:paraId="71D47D98" w14:textId="77777777" w:rsidR="006A3667" w:rsidRDefault="006A3667">
            <w:pPr>
              <w:rPr>
                <w:rFonts w:ascii="宋体"/>
              </w:rPr>
            </w:pPr>
          </w:p>
        </w:tc>
        <w:tc>
          <w:tcPr>
            <w:tcW w:w="50" w:type="pct"/>
            <w:shd w:val="clear" w:color="auto" w:fill="auto"/>
            <w:vAlign w:val="bottom"/>
          </w:tcPr>
          <w:p w14:paraId="71D47D99" w14:textId="77777777" w:rsidR="006A3667" w:rsidRDefault="006A3667">
            <w:pPr>
              <w:rPr>
                <w:rFonts w:ascii="宋体"/>
              </w:rPr>
            </w:pPr>
          </w:p>
        </w:tc>
        <w:tc>
          <w:tcPr>
            <w:tcW w:w="757" w:type="pct"/>
            <w:shd w:val="clear" w:color="auto" w:fill="auto"/>
            <w:vAlign w:val="bottom"/>
          </w:tcPr>
          <w:p w14:paraId="71D47D9A" w14:textId="77777777" w:rsidR="006A3667" w:rsidRDefault="006A3667">
            <w:pPr>
              <w:rPr>
                <w:rFonts w:ascii="宋体"/>
              </w:rPr>
            </w:pPr>
          </w:p>
        </w:tc>
        <w:tc>
          <w:tcPr>
            <w:tcW w:w="5" w:type="pct"/>
            <w:shd w:val="clear" w:color="auto" w:fill="auto"/>
            <w:vAlign w:val="bottom"/>
          </w:tcPr>
          <w:p w14:paraId="71D47D9B" w14:textId="77777777" w:rsidR="006A3667" w:rsidRDefault="006A3667">
            <w:pPr>
              <w:rPr>
                <w:rFonts w:ascii="宋体"/>
              </w:rPr>
            </w:pPr>
          </w:p>
        </w:tc>
        <w:tc>
          <w:tcPr>
            <w:tcW w:w="5" w:type="pct"/>
            <w:shd w:val="clear" w:color="auto" w:fill="auto"/>
            <w:vAlign w:val="bottom"/>
          </w:tcPr>
          <w:p w14:paraId="71D47D9C" w14:textId="77777777" w:rsidR="006A3667" w:rsidRDefault="006A3667">
            <w:pPr>
              <w:rPr>
                <w:rFonts w:ascii="宋体"/>
              </w:rPr>
            </w:pPr>
          </w:p>
        </w:tc>
        <w:tc>
          <w:tcPr>
            <w:tcW w:w="26" w:type="pct"/>
            <w:shd w:val="clear" w:color="auto" w:fill="auto"/>
            <w:vAlign w:val="bottom"/>
          </w:tcPr>
          <w:p w14:paraId="71D47D9D" w14:textId="77777777" w:rsidR="006A3667" w:rsidRDefault="006A3667">
            <w:pPr>
              <w:rPr>
                <w:rFonts w:ascii="宋体"/>
              </w:rPr>
            </w:pPr>
          </w:p>
        </w:tc>
        <w:tc>
          <w:tcPr>
            <w:tcW w:w="5" w:type="pct"/>
            <w:shd w:val="clear" w:color="auto" w:fill="auto"/>
            <w:vAlign w:val="bottom"/>
          </w:tcPr>
          <w:p w14:paraId="71D47D9E" w14:textId="77777777" w:rsidR="006A3667" w:rsidRDefault="006A3667">
            <w:pPr>
              <w:rPr>
                <w:rFonts w:ascii="宋体"/>
              </w:rPr>
            </w:pPr>
          </w:p>
        </w:tc>
        <w:tc>
          <w:tcPr>
            <w:tcW w:w="50" w:type="pct"/>
            <w:shd w:val="clear" w:color="auto" w:fill="auto"/>
            <w:vAlign w:val="bottom"/>
          </w:tcPr>
          <w:p w14:paraId="71D47D9F" w14:textId="77777777" w:rsidR="006A3667" w:rsidRDefault="006A3667">
            <w:pPr>
              <w:rPr>
                <w:rFonts w:ascii="宋体"/>
              </w:rPr>
            </w:pPr>
          </w:p>
        </w:tc>
        <w:tc>
          <w:tcPr>
            <w:tcW w:w="655" w:type="pct"/>
            <w:shd w:val="clear" w:color="auto" w:fill="auto"/>
            <w:vAlign w:val="bottom"/>
          </w:tcPr>
          <w:p w14:paraId="71D47DA0" w14:textId="77777777" w:rsidR="006A3667" w:rsidRDefault="006A3667">
            <w:pPr>
              <w:rPr>
                <w:rFonts w:ascii="宋体"/>
              </w:rPr>
            </w:pPr>
          </w:p>
        </w:tc>
        <w:tc>
          <w:tcPr>
            <w:tcW w:w="5" w:type="pct"/>
            <w:shd w:val="clear" w:color="auto" w:fill="auto"/>
            <w:vAlign w:val="bottom"/>
          </w:tcPr>
          <w:p w14:paraId="71D47DA1" w14:textId="77777777" w:rsidR="006A3667" w:rsidRDefault="006A3667">
            <w:pPr>
              <w:rPr>
                <w:rFonts w:ascii="宋体"/>
              </w:rPr>
            </w:pPr>
          </w:p>
        </w:tc>
        <w:tc>
          <w:tcPr>
            <w:tcW w:w="5" w:type="pct"/>
            <w:shd w:val="clear" w:color="auto" w:fill="auto"/>
            <w:vAlign w:val="bottom"/>
          </w:tcPr>
          <w:p w14:paraId="71D47DA2" w14:textId="77777777" w:rsidR="006A3667" w:rsidRDefault="006A3667">
            <w:pPr>
              <w:rPr>
                <w:rFonts w:ascii="宋体"/>
              </w:rPr>
            </w:pPr>
          </w:p>
        </w:tc>
        <w:tc>
          <w:tcPr>
            <w:tcW w:w="26" w:type="pct"/>
            <w:shd w:val="clear" w:color="auto" w:fill="auto"/>
            <w:vAlign w:val="bottom"/>
          </w:tcPr>
          <w:p w14:paraId="71D47DA3" w14:textId="77777777" w:rsidR="006A3667" w:rsidRDefault="006A3667">
            <w:pPr>
              <w:rPr>
                <w:rFonts w:ascii="宋体"/>
              </w:rPr>
            </w:pPr>
          </w:p>
        </w:tc>
        <w:tc>
          <w:tcPr>
            <w:tcW w:w="5" w:type="pct"/>
            <w:shd w:val="clear" w:color="auto" w:fill="auto"/>
            <w:vAlign w:val="bottom"/>
          </w:tcPr>
          <w:p w14:paraId="71D47DA4" w14:textId="77777777" w:rsidR="006A3667" w:rsidRDefault="006A3667">
            <w:pPr>
              <w:rPr>
                <w:rFonts w:ascii="宋体"/>
              </w:rPr>
            </w:pPr>
          </w:p>
        </w:tc>
        <w:tc>
          <w:tcPr>
            <w:tcW w:w="50" w:type="pct"/>
            <w:shd w:val="clear" w:color="auto" w:fill="auto"/>
            <w:vAlign w:val="bottom"/>
          </w:tcPr>
          <w:p w14:paraId="71D47DA5" w14:textId="77777777" w:rsidR="006A3667" w:rsidRDefault="006A3667">
            <w:pPr>
              <w:rPr>
                <w:rFonts w:ascii="宋体"/>
              </w:rPr>
            </w:pPr>
          </w:p>
        </w:tc>
        <w:tc>
          <w:tcPr>
            <w:tcW w:w="494" w:type="pct"/>
            <w:shd w:val="clear" w:color="auto" w:fill="auto"/>
            <w:vAlign w:val="bottom"/>
          </w:tcPr>
          <w:p w14:paraId="71D47DA6" w14:textId="77777777" w:rsidR="006A3667" w:rsidRDefault="006A3667">
            <w:pPr>
              <w:rPr>
                <w:rFonts w:ascii="宋体"/>
              </w:rPr>
            </w:pPr>
          </w:p>
        </w:tc>
        <w:tc>
          <w:tcPr>
            <w:tcW w:w="5" w:type="pct"/>
            <w:shd w:val="clear" w:color="auto" w:fill="auto"/>
            <w:vAlign w:val="bottom"/>
          </w:tcPr>
          <w:p w14:paraId="71D47DA7" w14:textId="77777777" w:rsidR="006A3667" w:rsidRDefault="006A3667">
            <w:pPr>
              <w:rPr>
                <w:rFonts w:ascii="宋体"/>
              </w:rPr>
            </w:pPr>
          </w:p>
        </w:tc>
      </w:tr>
      <w:tr w:rsidR="006A3667" w14:paraId="71D47DAB" w14:textId="77777777">
        <w:tc>
          <w:tcPr>
            <w:tcW w:w="0" w:type="auto"/>
            <w:gridSpan w:val="3"/>
            <w:shd w:val="clear" w:color="auto" w:fill="auto"/>
            <w:tcMar>
              <w:top w:w="40" w:type="dxa"/>
              <w:left w:w="20" w:type="dxa"/>
              <w:bottom w:w="40" w:type="dxa"/>
              <w:right w:w="20" w:type="dxa"/>
            </w:tcMar>
            <w:vAlign w:val="bottom"/>
          </w:tcPr>
          <w:p w14:paraId="71D47DA9" w14:textId="77777777" w:rsidR="006A3667" w:rsidRDefault="00045F32">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1D47DAA" w14:textId="77777777" w:rsidR="006A3667" w:rsidRDefault="00045F32">
            <w:pPr>
              <w:jc w:val="center"/>
              <w:textAlignment w:val="bottom"/>
            </w:pPr>
            <w:r>
              <w:rPr>
                <w:rFonts w:ascii="Arial" w:eastAsia="宋体" w:hAnsi="Arial" w:cs="Arial"/>
                <w:b/>
                <w:bCs/>
                <w:color w:val="000000"/>
                <w:sz w:val="15"/>
                <w:szCs w:val="15"/>
              </w:rPr>
              <w:t>December 31, 2021</w:t>
            </w:r>
          </w:p>
        </w:tc>
      </w:tr>
      <w:tr w:rsidR="006A3667" w14:paraId="71D47DB5" w14:textId="77777777">
        <w:trPr>
          <w:trHeight w:val="400"/>
        </w:trPr>
        <w:tc>
          <w:tcPr>
            <w:tcW w:w="0" w:type="auto"/>
            <w:gridSpan w:val="3"/>
            <w:shd w:val="clear" w:color="auto" w:fill="auto"/>
            <w:tcMar>
              <w:top w:w="0" w:type="dxa"/>
              <w:left w:w="20" w:type="dxa"/>
              <w:bottom w:w="0" w:type="dxa"/>
              <w:right w:w="20" w:type="dxa"/>
            </w:tcMar>
            <w:vAlign w:val="bottom"/>
          </w:tcPr>
          <w:p w14:paraId="71D47DAC"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7DAD" w14:textId="77777777" w:rsidR="006A3667" w:rsidRDefault="00045F32">
            <w:pPr>
              <w:jc w:val="center"/>
              <w:textAlignment w:val="bottom"/>
            </w:pPr>
            <w:r>
              <w:rPr>
                <w:rFonts w:ascii="Arial" w:eastAsia="宋体" w:hAnsi="Arial" w:cs="Arial"/>
                <w:b/>
                <w:bCs/>
                <w:color w:val="000000"/>
                <w:sz w:val="15"/>
                <w:szCs w:val="15"/>
              </w:rPr>
              <w:t xml:space="preserve">Gross Amounts of Recognized </w:t>
            </w:r>
          </w:p>
          <w:p w14:paraId="71D47DAE" w14:textId="77777777" w:rsidR="006A3667" w:rsidRDefault="00045F32">
            <w:pP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AF"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7DB0" w14:textId="77777777" w:rsidR="006A3667" w:rsidRDefault="00045F32">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B1"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7DB2" w14:textId="77777777" w:rsidR="006A3667" w:rsidRDefault="00045F32">
            <w:pPr>
              <w:jc w:val="center"/>
              <w:textAlignment w:val="bottom"/>
            </w:pPr>
            <w:r>
              <w:rPr>
                <w:rFonts w:ascii="Arial" w:eastAsia="宋体" w:hAnsi="Arial" w:cs="Arial"/>
                <w:b/>
                <w:bCs/>
                <w:color w:val="000000"/>
                <w:sz w:val="15"/>
                <w:szCs w:val="15"/>
              </w:rPr>
              <w:t>Net Amounts of Assets Presented in Statement of</w:t>
            </w:r>
            <w:r>
              <w:rPr>
                <w:rFonts w:ascii="Arial" w:eastAsia="宋体" w:hAnsi="Arial" w:cs="Arial"/>
                <w:b/>
                <w:bCs/>
                <w:color w:val="000000"/>
                <w:sz w:val="15"/>
                <w:szCs w:val="15"/>
              </w:rPr>
              <w:t xml:space="preserve">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B3"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DB4" w14:textId="77777777" w:rsidR="006A3667" w:rsidRDefault="00045F32">
            <w:pPr>
              <w:jc w:val="center"/>
              <w:textAlignment w:val="bottom"/>
            </w:pPr>
            <w:r>
              <w:rPr>
                <w:rFonts w:ascii="Arial" w:eastAsia="宋体" w:hAnsi="Arial" w:cs="Arial"/>
                <w:b/>
                <w:bCs/>
                <w:color w:val="000000"/>
                <w:sz w:val="15"/>
                <w:szCs w:val="15"/>
              </w:rPr>
              <w:t>Gross Amounts Not Offset in Statement of Condition</w:t>
            </w:r>
          </w:p>
        </w:tc>
      </w:tr>
      <w:tr w:rsidR="006A3667" w14:paraId="71D47DC0" w14:textId="77777777">
        <w:trPr>
          <w:trHeight w:val="540"/>
        </w:trPr>
        <w:tc>
          <w:tcPr>
            <w:tcW w:w="0" w:type="auto"/>
            <w:gridSpan w:val="3"/>
            <w:shd w:val="clear" w:color="auto" w:fill="auto"/>
            <w:tcMar>
              <w:top w:w="40" w:type="dxa"/>
              <w:left w:w="20" w:type="dxa"/>
              <w:bottom w:w="40" w:type="dxa"/>
              <w:right w:w="20" w:type="dxa"/>
            </w:tcMar>
            <w:vAlign w:val="bottom"/>
          </w:tcPr>
          <w:p w14:paraId="71D47DB6" w14:textId="77777777" w:rsidR="006A3667" w:rsidRDefault="00045F32">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7DB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DB8"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7DB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DBA"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7DBB"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7DB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DBD" w14:textId="77777777" w:rsidR="006A3667" w:rsidRDefault="00045F32">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B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DBF" w14:textId="77777777" w:rsidR="006A3667" w:rsidRDefault="00045F32">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6A3667" w14:paraId="71D47DCB" w14:textId="77777777">
        <w:tc>
          <w:tcPr>
            <w:tcW w:w="0" w:type="auto"/>
            <w:gridSpan w:val="3"/>
            <w:shd w:val="clear" w:color="auto" w:fill="auto"/>
            <w:tcMar>
              <w:top w:w="40" w:type="dxa"/>
              <w:left w:w="20" w:type="dxa"/>
              <w:bottom w:w="40" w:type="dxa"/>
              <w:right w:w="20" w:type="dxa"/>
            </w:tcMar>
            <w:vAlign w:val="bottom"/>
          </w:tcPr>
          <w:p w14:paraId="71D47DC1" w14:textId="77777777" w:rsidR="006A3667" w:rsidRDefault="00045F32">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C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DC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C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DC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C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DC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C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DC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DCA" w14:textId="77777777" w:rsidR="006A3667" w:rsidRDefault="006A3667">
            <w:pPr>
              <w:rPr>
                <w:rFonts w:ascii="宋体"/>
              </w:rPr>
            </w:pPr>
          </w:p>
        </w:tc>
      </w:tr>
      <w:tr w:rsidR="006A3667" w14:paraId="71D47DE0" w14:textId="77777777">
        <w:tc>
          <w:tcPr>
            <w:tcW w:w="0" w:type="auto"/>
            <w:gridSpan w:val="3"/>
            <w:shd w:val="clear" w:color="auto" w:fill="CCEEFF"/>
            <w:tcMar>
              <w:top w:w="40" w:type="dxa"/>
              <w:left w:w="20" w:type="dxa"/>
              <w:bottom w:w="40" w:type="dxa"/>
              <w:right w:w="20" w:type="dxa"/>
            </w:tcMar>
            <w:vAlign w:val="bottom"/>
          </w:tcPr>
          <w:p w14:paraId="71D47DCC" w14:textId="77777777" w:rsidR="006A3667" w:rsidRDefault="00045F32">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1D47DCD"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DCE" w14:textId="77777777" w:rsidR="006A3667" w:rsidRDefault="00045F32">
            <w:pPr>
              <w:jc w:val="right"/>
              <w:textAlignment w:val="bottom"/>
            </w:pPr>
            <w:r>
              <w:rPr>
                <w:rFonts w:ascii="Arial" w:eastAsia="宋体" w:hAnsi="Arial" w:cs="Arial"/>
                <w:color w:val="000000"/>
                <w:sz w:val="15"/>
                <w:szCs w:val="15"/>
              </w:rPr>
              <w:t>15,185 </w:t>
            </w:r>
          </w:p>
        </w:tc>
        <w:tc>
          <w:tcPr>
            <w:tcW w:w="0" w:type="auto"/>
            <w:shd w:val="clear" w:color="auto" w:fill="CCEEFF"/>
            <w:tcMar>
              <w:top w:w="40" w:type="dxa"/>
              <w:left w:w="0" w:type="dxa"/>
              <w:bottom w:w="40" w:type="dxa"/>
              <w:right w:w="20" w:type="dxa"/>
            </w:tcMar>
            <w:vAlign w:val="bottom"/>
          </w:tcPr>
          <w:p w14:paraId="71D47DC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D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DD1"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DD2" w14:textId="77777777" w:rsidR="006A3667" w:rsidRDefault="00045F32">
            <w:pPr>
              <w:jc w:val="right"/>
              <w:textAlignment w:val="bottom"/>
            </w:pPr>
            <w:r>
              <w:rPr>
                <w:rFonts w:ascii="Arial" w:eastAsia="宋体" w:hAnsi="Arial" w:cs="Arial"/>
                <w:color w:val="000000"/>
                <w:sz w:val="15"/>
                <w:szCs w:val="15"/>
              </w:rPr>
              <w:t>(9,113)</w:t>
            </w:r>
          </w:p>
        </w:tc>
        <w:tc>
          <w:tcPr>
            <w:tcW w:w="0" w:type="auto"/>
            <w:shd w:val="clear" w:color="auto" w:fill="CCEEFF"/>
            <w:tcMar>
              <w:top w:w="40" w:type="dxa"/>
              <w:left w:w="0" w:type="dxa"/>
              <w:bottom w:w="40" w:type="dxa"/>
              <w:right w:w="20" w:type="dxa"/>
            </w:tcMar>
            <w:vAlign w:val="bottom"/>
          </w:tcPr>
          <w:p w14:paraId="71D47DD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D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DD5"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DD6" w14:textId="77777777" w:rsidR="006A3667" w:rsidRDefault="00045F32">
            <w:pPr>
              <w:jc w:val="right"/>
              <w:textAlignment w:val="bottom"/>
            </w:pPr>
            <w:r>
              <w:rPr>
                <w:rFonts w:ascii="Arial" w:eastAsia="宋体" w:hAnsi="Arial" w:cs="Arial"/>
                <w:color w:val="000000"/>
                <w:sz w:val="15"/>
                <w:szCs w:val="15"/>
              </w:rPr>
              <w:t>6,072 </w:t>
            </w:r>
          </w:p>
        </w:tc>
        <w:tc>
          <w:tcPr>
            <w:tcW w:w="0" w:type="auto"/>
            <w:shd w:val="clear" w:color="auto" w:fill="CCEEFF"/>
            <w:tcMar>
              <w:top w:w="40" w:type="dxa"/>
              <w:left w:w="0" w:type="dxa"/>
              <w:bottom w:w="40" w:type="dxa"/>
              <w:right w:w="20" w:type="dxa"/>
            </w:tcMar>
            <w:vAlign w:val="bottom"/>
          </w:tcPr>
          <w:p w14:paraId="71D47D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D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DD9"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DDA"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D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DD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DDD"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DDE" w14:textId="77777777" w:rsidR="006A3667" w:rsidRDefault="00045F32">
            <w:pPr>
              <w:jc w:val="right"/>
              <w:textAlignment w:val="bottom"/>
            </w:pPr>
            <w:r>
              <w:rPr>
                <w:rFonts w:ascii="Arial" w:eastAsia="宋体" w:hAnsi="Arial" w:cs="Arial"/>
                <w:color w:val="000000"/>
                <w:sz w:val="15"/>
                <w:szCs w:val="15"/>
              </w:rPr>
              <w:t>6,072 </w:t>
            </w:r>
          </w:p>
        </w:tc>
        <w:tc>
          <w:tcPr>
            <w:tcW w:w="0" w:type="auto"/>
            <w:shd w:val="clear" w:color="auto" w:fill="CCEEFF"/>
            <w:tcMar>
              <w:top w:w="40" w:type="dxa"/>
              <w:left w:w="0" w:type="dxa"/>
              <w:bottom w:w="40" w:type="dxa"/>
              <w:right w:w="20" w:type="dxa"/>
            </w:tcMar>
            <w:vAlign w:val="bottom"/>
          </w:tcPr>
          <w:p w14:paraId="71D47DDF" w14:textId="77777777" w:rsidR="006A3667" w:rsidRDefault="006A3667">
            <w:pPr>
              <w:jc w:val="right"/>
              <w:rPr>
                <w:rFonts w:ascii="宋体"/>
              </w:rPr>
            </w:pPr>
          </w:p>
        </w:tc>
      </w:tr>
      <w:tr w:rsidR="006A3667" w14:paraId="71D47DF0" w14:textId="77777777">
        <w:tc>
          <w:tcPr>
            <w:tcW w:w="0" w:type="auto"/>
            <w:gridSpan w:val="3"/>
            <w:shd w:val="clear" w:color="auto" w:fill="FFFFFF"/>
            <w:tcMar>
              <w:top w:w="40" w:type="dxa"/>
              <w:left w:w="20" w:type="dxa"/>
              <w:bottom w:w="40" w:type="dxa"/>
              <w:right w:w="20" w:type="dxa"/>
            </w:tcMar>
            <w:vAlign w:val="bottom"/>
          </w:tcPr>
          <w:p w14:paraId="71D47DE1" w14:textId="77777777" w:rsidR="006A3667" w:rsidRDefault="00045F32">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71D47DE2"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7DE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E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DE5"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DE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E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DE8"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7DE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E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DEB"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D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DE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DEE"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7DEF" w14:textId="77777777" w:rsidR="006A3667" w:rsidRDefault="006A3667">
            <w:pPr>
              <w:jc w:val="right"/>
              <w:rPr>
                <w:rFonts w:ascii="宋体"/>
              </w:rPr>
            </w:pPr>
          </w:p>
        </w:tc>
      </w:tr>
      <w:tr w:rsidR="006A3667" w14:paraId="71D47DFB" w14:textId="77777777">
        <w:trPr>
          <w:hidden/>
        </w:trPr>
        <w:tc>
          <w:tcPr>
            <w:tcW w:w="0" w:type="auto"/>
            <w:gridSpan w:val="3"/>
            <w:shd w:val="clear" w:color="auto" w:fill="auto"/>
            <w:vAlign w:val="bottom"/>
          </w:tcPr>
          <w:p w14:paraId="71D47DF1" w14:textId="77777777" w:rsidR="006A3667" w:rsidRDefault="006A3667">
            <w:pPr>
              <w:rPr>
                <w:rFonts w:ascii="宋体"/>
                <w:vanish/>
              </w:rPr>
            </w:pPr>
          </w:p>
        </w:tc>
        <w:tc>
          <w:tcPr>
            <w:tcW w:w="0" w:type="auto"/>
            <w:gridSpan w:val="3"/>
            <w:shd w:val="clear" w:color="auto" w:fill="auto"/>
            <w:vAlign w:val="bottom"/>
          </w:tcPr>
          <w:p w14:paraId="71D47DF2" w14:textId="77777777" w:rsidR="006A3667" w:rsidRDefault="006A3667">
            <w:pPr>
              <w:rPr>
                <w:rFonts w:ascii="宋体"/>
                <w:vanish/>
              </w:rPr>
            </w:pPr>
          </w:p>
        </w:tc>
        <w:tc>
          <w:tcPr>
            <w:tcW w:w="0" w:type="auto"/>
            <w:gridSpan w:val="3"/>
            <w:shd w:val="clear" w:color="auto" w:fill="auto"/>
            <w:vAlign w:val="bottom"/>
          </w:tcPr>
          <w:p w14:paraId="71D47DF3" w14:textId="77777777" w:rsidR="006A3667" w:rsidRDefault="006A3667">
            <w:pPr>
              <w:rPr>
                <w:rFonts w:ascii="宋体"/>
                <w:vanish/>
              </w:rPr>
            </w:pPr>
          </w:p>
        </w:tc>
        <w:tc>
          <w:tcPr>
            <w:tcW w:w="0" w:type="auto"/>
            <w:gridSpan w:val="3"/>
            <w:shd w:val="clear" w:color="auto" w:fill="auto"/>
            <w:vAlign w:val="bottom"/>
          </w:tcPr>
          <w:p w14:paraId="71D47DF4" w14:textId="77777777" w:rsidR="006A3667" w:rsidRDefault="006A3667">
            <w:pPr>
              <w:rPr>
                <w:rFonts w:ascii="宋体"/>
                <w:vanish/>
              </w:rPr>
            </w:pPr>
          </w:p>
        </w:tc>
        <w:tc>
          <w:tcPr>
            <w:tcW w:w="0" w:type="auto"/>
            <w:gridSpan w:val="3"/>
            <w:shd w:val="clear" w:color="auto" w:fill="auto"/>
            <w:vAlign w:val="bottom"/>
          </w:tcPr>
          <w:p w14:paraId="71D47DF5" w14:textId="77777777" w:rsidR="006A3667" w:rsidRDefault="006A3667">
            <w:pPr>
              <w:rPr>
                <w:rFonts w:ascii="宋体"/>
                <w:vanish/>
              </w:rPr>
            </w:pPr>
          </w:p>
        </w:tc>
        <w:tc>
          <w:tcPr>
            <w:tcW w:w="0" w:type="auto"/>
            <w:gridSpan w:val="3"/>
            <w:shd w:val="clear" w:color="auto" w:fill="auto"/>
            <w:vAlign w:val="bottom"/>
          </w:tcPr>
          <w:p w14:paraId="71D47DF6" w14:textId="77777777" w:rsidR="006A3667" w:rsidRDefault="006A3667">
            <w:pPr>
              <w:rPr>
                <w:rFonts w:ascii="宋体"/>
                <w:vanish/>
              </w:rPr>
            </w:pPr>
          </w:p>
        </w:tc>
        <w:tc>
          <w:tcPr>
            <w:tcW w:w="0" w:type="auto"/>
            <w:gridSpan w:val="3"/>
            <w:shd w:val="clear" w:color="auto" w:fill="auto"/>
            <w:vAlign w:val="bottom"/>
          </w:tcPr>
          <w:p w14:paraId="71D47DF7" w14:textId="77777777" w:rsidR="006A3667" w:rsidRDefault="006A3667">
            <w:pPr>
              <w:rPr>
                <w:rFonts w:ascii="宋体"/>
                <w:vanish/>
              </w:rPr>
            </w:pPr>
          </w:p>
        </w:tc>
        <w:tc>
          <w:tcPr>
            <w:tcW w:w="0" w:type="auto"/>
            <w:gridSpan w:val="3"/>
            <w:shd w:val="clear" w:color="auto" w:fill="auto"/>
            <w:vAlign w:val="bottom"/>
          </w:tcPr>
          <w:p w14:paraId="71D47DF8" w14:textId="77777777" w:rsidR="006A3667" w:rsidRDefault="006A3667">
            <w:pPr>
              <w:rPr>
                <w:rFonts w:ascii="宋体"/>
                <w:vanish/>
              </w:rPr>
            </w:pPr>
          </w:p>
        </w:tc>
        <w:tc>
          <w:tcPr>
            <w:tcW w:w="0" w:type="auto"/>
            <w:gridSpan w:val="3"/>
            <w:shd w:val="clear" w:color="auto" w:fill="auto"/>
            <w:vAlign w:val="bottom"/>
          </w:tcPr>
          <w:p w14:paraId="71D47DF9" w14:textId="77777777" w:rsidR="006A3667" w:rsidRDefault="006A3667">
            <w:pPr>
              <w:rPr>
                <w:rFonts w:ascii="宋体"/>
                <w:vanish/>
              </w:rPr>
            </w:pPr>
          </w:p>
        </w:tc>
        <w:tc>
          <w:tcPr>
            <w:tcW w:w="0" w:type="auto"/>
            <w:gridSpan w:val="3"/>
            <w:shd w:val="clear" w:color="auto" w:fill="auto"/>
            <w:vAlign w:val="bottom"/>
          </w:tcPr>
          <w:p w14:paraId="71D47DFA" w14:textId="77777777" w:rsidR="006A3667" w:rsidRDefault="006A3667">
            <w:pPr>
              <w:rPr>
                <w:rFonts w:ascii="宋体"/>
                <w:vanish/>
              </w:rPr>
            </w:pPr>
          </w:p>
        </w:tc>
      </w:tr>
      <w:tr w:rsidR="006A3667" w14:paraId="71D47E06" w14:textId="77777777">
        <w:trPr>
          <w:hidden/>
        </w:trPr>
        <w:tc>
          <w:tcPr>
            <w:tcW w:w="0" w:type="auto"/>
            <w:gridSpan w:val="3"/>
            <w:shd w:val="clear" w:color="auto" w:fill="auto"/>
            <w:vAlign w:val="bottom"/>
          </w:tcPr>
          <w:p w14:paraId="71D47DFC" w14:textId="77777777" w:rsidR="006A3667" w:rsidRDefault="006A3667">
            <w:pPr>
              <w:rPr>
                <w:rFonts w:ascii="宋体"/>
                <w:vanish/>
              </w:rPr>
            </w:pPr>
          </w:p>
        </w:tc>
        <w:tc>
          <w:tcPr>
            <w:tcW w:w="0" w:type="auto"/>
            <w:gridSpan w:val="3"/>
            <w:shd w:val="clear" w:color="auto" w:fill="auto"/>
            <w:vAlign w:val="bottom"/>
          </w:tcPr>
          <w:p w14:paraId="71D47DFD" w14:textId="77777777" w:rsidR="006A3667" w:rsidRDefault="006A3667">
            <w:pPr>
              <w:rPr>
                <w:rFonts w:ascii="宋体"/>
                <w:vanish/>
              </w:rPr>
            </w:pPr>
          </w:p>
        </w:tc>
        <w:tc>
          <w:tcPr>
            <w:tcW w:w="0" w:type="auto"/>
            <w:gridSpan w:val="3"/>
            <w:shd w:val="clear" w:color="auto" w:fill="auto"/>
            <w:vAlign w:val="bottom"/>
          </w:tcPr>
          <w:p w14:paraId="71D47DFE" w14:textId="77777777" w:rsidR="006A3667" w:rsidRDefault="006A3667">
            <w:pPr>
              <w:rPr>
                <w:rFonts w:ascii="宋体"/>
                <w:vanish/>
              </w:rPr>
            </w:pPr>
          </w:p>
        </w:tc>
        <w:tc>
          <w:tcPr>
            <w:tcW w:w="0" w:type="auto"/>
            <w:gridSpan w:val="3"/>
            <w:shd w:val="clear" w:color="auto" w:fill="auto"/>
            <w:vAlign w:val="bottom"/>
          </w:tcPr>
          <w:p w14:paraId="71D47DFF" w14:textId="77777777" w:rsidR="006A3667" w:rsidRDefault="006A3667">
            <w:pPr>
              <w:rPr>
                <w:rFonts w:ascii="宋体"/>
                <w:vanish/>
              </w:rPr>
            </w:pPr>
          </w:p>
        </w:tc>
        <w:tc>
          <w:tcPr>
            <w:tcW w:w="0" w:type="auto"/>
            <w:gridSpan w:val="3"/>
            <w:shd w:val="clear" w:color="auto" w:fill="auto"/>
            <w:vAlign w:val="bottom"/>
          </w:tcPr>
          <w:p w14:paraId="71D47E00" w14:textId="77777777" w:rsidR="006A3667" w:rsidRDefault="006A3667">
            <w:pPr>
              <w:rPr>
                <w:rFonts w:ascii="宋体"/>
                <w:vanish/>
              </w:rPr>
            </w:pPr>
          </w:p>
        </w:tc>
        <w:tc>
          <w:tcPr>
            <w:tcW w:w="0" w:type="auto"/>
            <w:gridSpan w:val="3"/>
            <w:shd w:val="clear" w:color="auto" w:fill="auto"/>
            <w:vAlign w:val="bottom"/>
          </w:tcPr>
          <w:p w14:paraId="71D47E01" w14:textId="77777777" w:rsidR="006A3667" w:rsidRDefault="006A3667">
            <w:pPr>
              <w:rPr>
                <w:rFonts w:ascii="宋体"/>
                <w:vanish/>
              </w:rPr>
            </w:pPr>
          </w:p>
        </w:tc>
        <w:tc>
          <w:tcPr>
            <w:tcW w:w="0" w:type="auto"/>
            <w:gridSpan w:val="3"/>
            <w:shd w:val="clear" w:color="auto" w:fill="auto"/>
            <w:vAlign w:val="bottom"/>
          </w:tcPr>
          <w:p w14:paraId="71D47E02" w14:textId="77777777" w:rsidR="006A3667" w:rsidRDefault="006A3667">
            <w:pPr>
              <w:rPr>
                <w:rFonts w:ascii="宋体"/>
                <w:vanish/>
              </w:rPr>
            </w:pPr>
          </w:p>
        </w:tc>
        <w:tc>
          <w:tcPr>
            <w:tcW w:w="0" w:type="auto"/>
            <w:gridSpan w:val="3"/>
            <w:shd w:val="clear" w:color="auto" w:fill="auto"/>
            <w:vAlign w:val="bottom"/>
          </w:tcPr>
          <w:p w14:paraId="71D47E03" w14:textId="77777777" w:rsidR="006A3667" w:rsidRDefault="006A3667">
            <w:pPr>
              <w:rPr>
                <w:rFonts w:ascii="宋体"/>
                <w:vanish/>
              </w:rPr>
            </w:pPr>
          </w:p>
        </w:tc>
        <w:tc>
          <w:tcPr>
            <w:tcW w:w="0" w:type="auto"/>
            <w:gridSpan w:val="3"/>
            <w:shd w:val="clear" w:color="auto" w:fill="auto"/>
            <w:vAlign w:val="bottom"/>
          </w:tcPr>
          <w:p w14:paraId="71D47E04" w14:textId="77777777" w:rsidR="006A3667" w:rsidRDefault="006A3667">
            <w:pPr>
              <w:rPr>
                <w:rFonts w:ascii="宋体"/>
                <w:vanish/>
              </w:rPr>
            </w:pPr>
          </w:p>
        </w:tc>
        <w:tc>
          <w:tcPr>
            <w:tcW w:w="0" w:type="auto"/>
            <w:gridSpan w:val="3"/>
            <w:shd w:val="clear" w:color="auto" w:fill="auto"/>
            <w:vAlign w:val="bottom"/>
          </w:tcPr>
          <w:p w14:paraId="71D47E05" w14:textId="77777777" w:rsidR="006A3667" w:rsidRDefault="006A3667">
            <w:pPr>
              <w:rPr>
                <w:rFonts w:ascii="宋体"/>
                <w:vanish/>
              </w:rPr>
            </w:pPr>
          </w:p>
        </w:tc>
      </w:tr>
      <w:tr w:rsidR="006A3667" w14:paraId="71D47E11" w14:textId="77777777">
        <w:trPr>
          <w:hidden/>
        </w:trPr>
        <w:tc>
          <w:tcPr>
            <w:tcW w:w="0" w:type="auto"/>
            <w:gridSpan w:val="3"/>
            <w:shd w:val="clear" w:color="auto" w:fill="auto"/>
            <w:vAlign w:val="bottom"/>
          </w:tcPr>
          <w:p w14:paraId="71D47E07" w14:textId="77777777" w:rsidR="006A3667" w:rsidRDefault="006A3667">
            <w:pPr>
              <w:rPr>
                <w:rFonts w:ascii="宋体"/>
                <w:vanish/>
              </w:rPr>
            </w:pPr>
          </w:p>
        </w:tc>
        <w:tc>
          <w:tcPr>
            <w:tcW w:w="0" w:type="auto"/>
            <w:gridSpan w:val="3"/>
            <w:shd w:val="clear" w:color="auto" w:fill="auto"/>
            <w:vAlign w:val="bottom"/>
          </w:tcPr>
          <w:p w14:paraId="71D47E08" w14:textId="77777777" w:rsidR="006A3667" w:rsidRDefault="006A3667">
            <w:pPr>
              <w:rPr>
                <w:rFonts w:ascii="宋体"/>
                <w:vanish/>
              </w:rPr>
            </w:pPr>
          </w:p>
        </w:tc>
        <w:tc>
          <w:tcPr>
            <w:tcW w:w="0" w:type="auto"/>
            <w:gridSpan w:val="3"/>
            <w:shd w:val="clear" w:color="auto" w:fill="auto"/>
            <w:vAlign w:val="bottom"/>
          </w:tcPr>
          <w:p w14:paraId="71D47E09" w14:textId="77777777" w:rsidR="006A3667" w:rsidRDefault="006A3667">
            <w:pPr>
              <w:rPr>
                <w:rFonts w:ascii="宋体"/>
                <w:vanish/>
              </w:rPr>
            </w:pPr>
          </w:p>
        </w:tc>
        <w:tc>
          <w:tcPr>
            <w:tcW w:w="0" w:type="auto"/>
            <w:gridSpan w:val="3"/>
            <w:shd w:val="clear" w:color="auto" w:fill="auto"/>
            <w:vAlign w:val="bottom"/>
          </w:tcPr>
          <w:p w14:paraId="71D47E0A" w14:textId="77777777" w:rsidR="006A3667" w:rsidRDefault="006A3667">
            <w:pPr>
              <w:rPr>
                <w:rFonts w:ascii="宋体"/>
                <w:vanish/>
              </w:rPr>
            </w:pPr>
          </w:p>
        </w:tc>
        <w:tc>
          <w:tcPr>
            <w:tcW w:w="0" w:type="auto"/>
            <w:gridSpan w:val="3"/>
            <w:shd w:val="clear" w:color="auto" w:fill="auto"/>
            <w:vAlign w:val="bottom"/>
          </w:tcPr>
          <w:p w14:paraId="71D47E0B" w14:textId="77777777" w:rsidR="006A3667" w:rsidRDefault="006A3667">
            <w:pPr>
              <w:rPr>
                <w:rFonts w:ascii="宋体"/>
                <w:vanish/>
              </w:rPr>
            </w:pPr>
          </w:p>
        </w:tc>
        <w:tc>
          <w:tcPr>
            <w:tcW w:w="0" w:type="auto"/>
            <w:gridSpan w:val="3"/>
            <w:shd w:val="clear" w:color="auto" w:fill="auto"/>
            <w:vAlign w:val="bottom"/>
          </w:tcPr>
          <w:p w14:paraId="71D47E0C" w14:textId="77777777" w:rsidR="006A3667" w:rsidRDefault="006A3667">
            <w:pPr>
              <w:rPr>
                <w:rFonts w:ascii="宋体"/>
                <w:vanish/>
              </w:rPr>
            </w:pPr>
          </w:p>
        </w:tc>
        <w:tc>
          <w:tcPr>
            <w:tcW w:w="0" w:type="auto"/>
            <w:gridSpan w:val="3"/>
            <w:shd w:val="clear" w:color="auto" w:fill="auto"/>
            <w:vAlign w:val="bottom"/>
          </w:tcPr>
          <w:p w14:paraId="71D47E0D" w14:textId="77777777" w:rsidR="006A3667" w:rsidRDefault="006A3667">
            <w:pPr>
              <w:rPr>
                <w:rFonts w:ascii="宋体"/>
                <w:vanish/>
              </w:rPr>
            </w:pPr>
          </w:p>
        </w:tc>
        <w:tc>
          <w:tcPr>
            <w:tcW w:w="0" w:type="auto"/>
            <w:gridSpan w:val="3"/>
            <w:shd w:val="clear" w:color="auto" w:fill="auto"/>
            <w:vAlign w:val="bottom"/>
          </w:tcPr>
          <w:p w14:paraId="71D47E0E" w14:textId="77777777" w:rsidR="006A3667" w:rsidRDefault="006A3667">
            <w:pPr>
              <w:rPr>
                <w:rFonts w:ascii="宋体"/>
                <w:vanish/>
              </w:rPr>
            </w:pPr>
          </w:p>
        </w:tc>
        <w:tc>
          <w:tcPr>
            <w:tcW w:w="0" w:type="auto"/>
            <w:gridSpan w:val="3"/>
            <w:shd w:val="clear" w:color="auto" w:fill="auto"/>
            <w:vAlign w:val="bottom"/>
          </w:tcPr>
          <w:p w14:paraId="71D47E0F" w14:textId="77777777" w:rsidR="006A3667" w:rsidRDefault="006A3667">
            <w:pPr>
              <w:rPr>
                <w:rFonts w:ascii="宋体"/>
                <w:vanish/>
              </w:rPr>
            </w:pPr>
          </w:p>
        </w:tc>
        <w:tc>
          <w:tcPr>
            <w:tcW w:w="0" w:type="auto"/>
            <w:gridSpan w:val="3"/>
            <w:shd w:val="clear" w:color="auto" w:fill="auto"/>
            <w:vAlign w:val="bottom"/>
          </w:tcPr>
          <w:p w14:paraId="71D47E10" w14:textId="77777777" w:rsidR="006A3667" w:rsidRDefault="006A3667">
            <w:pPr>
              <w:rPr>
                <w:rFonts w:ascii="宋体"/>
                <w:vanish/>
              </w:rPr>
            </w:pPr>
          </w:p>
        </w:tc>
      </w:tr>
      <w:tr w:rsidR="006A3667" w14:paraId="71D47E20" w14:textId="77777777">
        <w:tc>
          <w:tcPr>
            <w:tcW w:w="0" w:type="auto"/>
            <w:gridSpan w:val="3"/>
            <w:shd w:val="clear" w:color="auto" w:fill="CCEEFF"/>
            <w:tcMar>
              <w:top w:w="40" w:type="dxa"/>
              <w:left w:w="20" w:type="dxa"/>
              <w:bottom w:w="40" w:type="dxa"/>
              <w:right w:w="20" w:type="dxa"/>
            </w:tcMar>
            <w:vAlign w:val="bottom"/>
          </w:tcPr>
          <w:p w14:paraId="71D47E12" w14:textId="77777777" w:rsidR="006A3667" w:rsidRDefault="00045F32">
            <w:pP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71D47E13" w14:textId="77777777" w:rsidR="006A3667" w:rsidRDefault="00045F32">
            <w:pPr>
              <w:jc w:val="right"/>
              <w:textAlignment w:val="bottom"/>
            </w:pPr>
            <w:r>
              <w:rPr>
                <w:rFonts w:ascii="Arial" w:eastAsia="宋体" w:hAnsi="Arial" w:cs="Arial"/>
                <w:color w:val="000000"/>
                <w:sz w:val="15"/>
                <w:szCs w:val="15"/>
              </w:rPr>
              <w:t>NA</w:t>
            </w:r>
          </w:p>
        </w:tc>
        <w:tc>
          <w:tcPr>
            <w:tcW w:w="0" w:type="auto"/>
            <w:gridSpan w:val="3"/>
            <w:shd w:val="clear" w:color="auto" w:fill="CCEEFF"/>
            <w:tcMar>
              <w:top w:w="0" w:type="dxa"/>
              <w:left w:w="20" w:type="dxa"/>
              <w:bottom w:w="0" w:type="dxa"/>
              <w:right w:w="20" w:type="dxa"/>
            </w:tcMar>
            <w:vAlign w:val="bottom"/>
          </w:tcPr>
          <w:p w14:paraId="71D47E1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E15" w14:textId="77777777" w:rsidR="006A3667" w:rsidRDefault="00045F32">
            <w:pPr>
              <w:jc w:val="right"/>
              <w:textAlignment w:val="bottom"/>
            </w:pPr>
            <w:r>
              <w:rPr>
                <w:rFonts w:ascii="Arial" w:eastAsia="宋体" w:hAnsi="Arial" w:cs="Arial"/>
                <w:color w:val="000000"/>
                <w:sz w:val="15"/>
                <w:szCs w:val="15"/>
              </w:rPr>
              <w:t>(1,966)</w:t>
            </w:r>
          </w:p>
        </w:tc>
        <w:tc>
          <w:tcPr>
            <w:tcW w:w="0" w:type="auto"/>
            <w:shd w:val="clear" w:color="auto" w:fill="CCEEFF"/>
            <w:tcMar>
              <w:top w:w="40" w:type="dxa"/>
              <w:left w:w="0" w:type="dxa"/>
              <w:bottom w:w="40" w:type="dxa"/>
              <w:right w:w="20" w:type="dxa"/>
            </w:tcMar>
            <w:vAlign w:val="bottom"/>
          </w:tcPr>
          <w:p w14:paraId="71D47E1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1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E18" w14:textId="77777777" w:rsidR="006A3667" w:rsidRDefault="00045F32">
            <w:pPr>
              <w:jc w:val="right"/>
              <w:textAlignment w:val="bottom"/>
            </w:pPr>
            <w:r>
              <w:rPr>
                <w:rFonts w:ascii="Arial" w:eastAsia="宋体" w:hAnsi="Arial" w:cs="Arial"/>
                <w:color w:val="000000"/>
                <w:sz w:val="15"/>
                <w:szCs w:val="15"/>
              </w:rPr>
              <w:t>(1,966)</w:t>
            </w:r>
          </w:p>
        </w:tc>
        <w:tc>
          <w:tcPr>
            <w:tcW w:w="0" w:type="auto"/>
            <w:shd w:val="clear" w:color="auto" w:fill="CCEEFF"/>
            <w:tcMar>
              <w:top w:w="40" w:type="dxa"/>
              <w:left w:w="0" w:type="dxa"/>
              <w:bottom w:w="40" w:type="dxa"/>
              <w:right w:w="20" w:type="dxa"/>
            </w:tcMar>
            <w:vAlign w:val="bottom"/>
          </w:tcPr>
          <w:p w14:paraId="71D47E1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1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E1B" w14:textId="77777777" w:rsidR="006A3667" w:rsidRDefault="00045F32">
            <w:pPr>
              <w:jc w:val="right"/>
              <w:textAlignment w:val="bottom"/>
            </w:pPr>
            <w:r>
              <w:rPr>
                <w:rFonts w:ascii="Arial" w:eastAsia="宋体" w:hAnsi="Arial" w:cs="Arial"/>
                <w:color w:val="000000"/>
                <w:sz w:val="15"/>
                <w:szCs w:val="15"/>
              </w:rPr>
              <w:t>(723)</w:t>
            </w:r>
          </w:p>
        </w:tc>
        <w:tc>
          <w:tcPr>
            <w:tcW w:w="0" w:type="auto"/>
            <w:shd w:val="clear" w:color="auto" w:fill="CCEEFF"/>
            <w:tcMar>
              <w:top w:w="40" w:type="dxa"/>
              <w:left w:w="0" w:type="dxa"/>
              <w:bottom w:w="40" w:type="dxa"/>
              <w:right w:w="20" w:type="dxa"/>
            </w:tcMar>
            <w:vAlign w:val="bottom"/>
          </w:tcPr>
          <w:p w14:paraId="71D47E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1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E1E" w14:textId="77777777" w:rsidR="006A3667" w:rsidRDefault="00045F32">
            <w:pPr>
              <w:jc w:val="right"/>
              <w:textAlignment w:val="bottom"/>
            </w:pPr>
            <w:r>
              <w:rPr>
                <w:rFonts w:ascii="Arial" w:eastAsia="宋体" w:hAnsi="Arial" w:cs="Arial"/>
                <w:color w:val="000000"/>
                <w:sz w:val="15"/>
                <w:szCs w:val="15"/>
              </w:rPr>
              <w:t>(2,689)</w:t>
            </w:r>
          </w:p>
        </w:tc>
        <w:tc>
          <w:tcPr>
            <w:tcW w:w="0" w:type="auto"/>
            <w:shd w:val="clear" w:color="auto" w:fill="CCEEFF"/>
            <w:tcMar>
              <w:top w:w="40" w:type="dxa"/>
              <w:left w:w="0" w:type="dxa"/>
              <w:bottom w:w="40" w:type="dxa"/>
              <w:right w:w="20" w:type="dxa"/>
            </w:tcMar>
            <w:vAlign w:val="bottom"/>
          </w:tcPr>
          <w:p w14:paraId="71D47E1F" w14:textId="77777777" w:rsidR="006A3667" w:rsidRDefault="006A3667">
            <w:pPr>
              <w:jc w:val="right"/>
              <w:rPr>
                <w:rFonts w:ascii="宋体"/>
              </w:rPr>
            </w:pPr>
          </w:p>
        </w:tc>
      </w:tr>
      <w:tr w:rsidR="006A3667" w14:paraId="71D47E30" w14:textId="77777777">
        <w:tc>
          <w:tcPr>
            <w:tcW w:w="0" w:type="auto"/>
            <w:gridSpan w:val="3"/>
            <w:shd w:val="clear" w:color="auto" w:fill="FFFFFF"/>
            <w:tcMar>
              <w:top w:w="40" w:type="dxa"/>
              <w:left w:w="20" w:type="dxa"/>
              <w:bottom w:w="40" w:type="dxa"/>
              <w:right w:w="20" w:type="dxa"/>
            </w:tcMar>
            <w:vAlign w:val="bottom"/>
          </w:tcPr>
          <w:p w14:paraId="71D47E21" w14:textId="77777777" w:rsidR="006A3667" w:rsidRDefault="00045F32">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E22" w14:textId="77777777" w:rsidR="006A3667" w:rsidRDefault="00045F32">
            <w:pPr>
              <w:jc w:val="right"/>
              <w:textAlignment w:val="bottom"/>
            </w:pPr>
            <w:r>
              <w:rPr>
                <w:rFonts w:ascii="Arial" w:eastAsia="宋体" w:hAnsi="Arial" w:cs="Arial"/>
                <w:color w:val="000000"/>
                <w:sz w:val="15"/>
                <w:szCs w:val="15"/>
              </w:rPr>
              <w:t>15,187 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E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E2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E25" w14:textId="77777777" w:rsidR="006A3667" w:rsidRDefault="00045F32">
            <w:pPr>
              <w:jc w:val="right"/>
              <w:textAlignment w:val="bottom"/>
            </w:pPr>
            <w:r>
              <w:rPr>
                <w:rFonts w:ascii="Arial" w:eastAsia="宋体" w:hAnsi="Arial" w:cs="Arial"/>
                <w:color w:val="000000"/>
                <w:sz w:val="15"/>
                <w:szCs w:val="15"/>
              </w:rPr>
              <w:t>(11,079)</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E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E2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E28" w14:textId="77777777" w:rsidR="006A3667" w:rsidRDefault="00045F32">
            <w:pPr>
              <w:jc w:val="right"/>
              <w:textAlignment w:val="bottom"/>
            </w:pPr>
            <w:r>
              <w:rPr>
                <w:rFonts w:ascii="Arial" w:eastAsia="宋体" w:hAnsi="Arial" w:cs="Arial"/>
                <w:color w:val="000000"/>
                <w:sz w:val="15"/>
                <w:szCs w:val="15"/>
              </w:rPr>
              <w:t>4,108 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E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E2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E2B" w14:textId="77777777" w:rsidR="006A3667" w:rsidRDefault="00045F32">
            <w:pPr>
              <w:jc w:val="right"/>
              <w:textAlignment w:val="bottom"/>
            </w:pPr>
            <w:r>
              <w:rPr>
                <w:rFonts w:ascii="Arial" w:eastAsia="宋体" w:hAnsi="Arial" w:cs="Arial"/>
                <w:color w:val="000000"/>
                <w:sz w:val="15"/>
                <w:szCs w:val="15"/>
              </w:rPr>
              <w:t>(723)</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E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E2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7E2E" w14:textId="77777777" w:rsidR="006A3667" w:rsidRDefault="00045F32">
            <w:pPr>
              <w:jc w:val="right"/>
              <w:textAlignment w:val="bottom"/>
            </w:pPr>
            <w:r>
              <w:rPr>
                <w:rFonts w:ascii="Arial" w:eastAsia="宋体" w:hAnsi="Arial" w:cs="Arial"/>
                <w:color w:val="000000"/>
                <w:sz w:val="15"/>
                <w:szCs w:val="15"/>
              </w:rPr>
              <w:t>3,385 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7E2F" w14:textId="77777777" w:rsidR="006A3667" w:rsidRDefault="006A3667">
            <w:pPr>
              <w:jc w:val="right"/>
              <w:rPr>
                <w:rFonts w:ascii="宋体"/>
              </w:rPr>
            </w:pPr>
          </w:p>
        </w:tc>
      </w:tr>
      <w:tr w:rsidR="006A3667" w14:paraId="71D47E3B" w14:textId="77777777">
        <w:tc>
          <w:tcPr>
            <w:tcW w:w="0" w:type="auto"/>
            <w:gridSpan w:val="3"/>
            <w:shd w:val="clear" w:color="auto" w:fill="CCEEFF"/>
            <w:tcMar>
              <w:top w:w="40" w:type="dxa"/>
              <w:left w:w="20" w:type="dxa"/>
              <w:bottom w:w="40" w:type="dxa"/>
              <w:right w:w="20" w:type="dxa"/>
            </w:tcMar>
            <w:vAlign w:val="bottom"/>
          </w:tcPr>
          <w:p w14:paraId="71D47E31" w14:textId="77777777" w:rsidR="006A3667" w:rsidRDefault="00045F32">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71D47E3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E3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E3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E3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E3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E3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E3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E3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7E3A" w14:textId="77777777" w:rsidR="006A3667" w:rsidRDefault="006A3667">
            <w:pPr>
              <w:rPr>
                <w:rFonts w:ascii="宋体"/>
              </w:rPr>
            </w:pPr>
          </w:p>
        </w:tc>
      </w:tr>
      <w:tr w:rsidR="006A3667" w14:paraId="71D47E4B" w14:textId="77777777">
        <w:tc>
          <w:tcPr>
            <w:tcW w:w="0" w:type="auto"/>
            <w:gridSpan w:val="3"/>
            <w:shd w:val="clear" w:color="auto" w:fill="FFFFFF"/>
            <w:tcMar>
              <w:top w:w="40" w:type="dxa"/>
              <w:left w:w="20" w:type="dxa"/>
              <w:bottom w:w="40" w:type="dxa"/>
              <w:right w:w="20" w:type="dxa"/>
            </w:tcMar>
            <w:vAlign w:val="bottom"/>
          </w:tcPr>
          <w:p w14:paraId="71D47E3C" w14:textId="77777777" w:rsidR="006A3667" w:rsidRDefault="00045F32">
            <w:pPr>
              <w:textAlignment w:val="bottom"/>
            </w:pPr>
            <w:r>
              <w:rPr>
                <w:rFonts w:ascii="Arial" w:eastAsia="宋体" w:hAnsi="Arial" w:cs="Arial"/>
                <w:color w:val="000000"/>
                <w:sz w:val="15"/>
                <w:szCs w:val="15"/>
              </w:rPr>
              <w:t>Resale 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71D47E3D" w14:textId="77777777" w:rsidR="006A3667" w:rsidRDefault="00045F32">
            <w:pPr>
              <w:jc w:val="right"/>
              <w:textAlignment w:val="bottom"/>
            </w:pPr>
            <w:r>
              <w:rPr>
                <w:rFonts w:ascii="Arial" w:eastAsia="宋体" w:hAnsi="Arial" w:cs="Arial"/>
                <w:color w:val="000000"/>
                <w:sz w:val="15"/>
                <w:szCs w:val="15"/>
              </w:rPr>
              <w:t>102,375 </w:t>
            </w:r>
          </w:p>
        </w:tc>
        <w:tc>
          <w:tcPr>
            <w:tcW w:w="0" w:type="auto"/>
            <w:shd w:val="clear" w:color="auto" w:fill="FFFFFF"/>
            <w:tcMar>
              <w:top w:w="40" w:type="dxa"/>
              <w:left w:w="0" w:type="dxa"/>
              <w:bottom w:w="40" w:type="dxa"/>
              <w:right w:w="20" w:type="dxa"/>
            </w:tcMar>
            <w:vAlign w:val="bottom"/>
          </w:tcPr>
          <w:p w14:paraId="71D47E3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E3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E40" w14:textId="77777777" w:rsidR="006A3667" w:rsidRDefault="00045F32">
            <w:pPr>
              <w:jc w:val="right"/>
              <w:textAlignment w:val="bottom"/>
            </w:pPr>
            <w:r>
              <w:rPr>
                <w:rFonts w:ascii="Arial" w:eastAsia="宋体" w:hAnsi="Arial" w:cs="Arial"/>
                <w:color w:val="000000"/>
                <w:sz w:val="15"/>
                <w:szCs w:val="15"/>
              </w:rPr>
              <w:t>(77,063)</w:t>
            </w:r>
          </w:p>
        </w:tc>
        <w:tc>
          <w:tcPr>
            <w:tcW w:w="0" w:type="auto"/>
            <w:shd w:val="clear" w:color="auto" w:fill="FFFFFF"/>
            <w:tcMar>
              <w:top w:w="40" w:type="dxa"/>
              <w:left w:w="0" w:type="dxa"/>
              <w:bottom w:w="40" w:type="dxa"/>
              <w:right w:w="20" w:type="dxa"/>
            </w:tcMar>
            <w:vAlign w:val="bottom"/>
          </w:tcPr>
          <w:p w14:paraId="71D47E4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E4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E43" w14:textId="77777777" w:rsidR="006A3667" w:rsidRDefault="00045F32">
            <w:pPr>
              <w:jc w:val="right"/>
              <w:textAlignment w:val="bottom"/>
            </w:pPr>
            <w:r>
              <w:rPr>
                <w:rFonts w:ascii="Arial" w:eastAsia="宋体" w:hAnsi="Arial" w:cs="Arial"/>
                <w:color w:val="000000"/>
                <w:sz w:val="15"/>
                <w:szCs w:val="15"/>
              </w:rPr>
              <w:t>25,312 </w:t>
            </w:r>
          </w:p>
        </w:tc>
        <w:tc>
          <w:tcPr>
            <w:tcW w:w="0" w:type="auto"/>
            <w:shd w:val="clear" w:color="auto" w:fill="FFFFFF"/>
            <w:tcMar>
              <w:top w:w="40" w:type="dxa"/>
              <w:left w:w="0" w:type="dxa"/>
              <w:bottom w:w="40" w:type="dxa"/>
              <w:right w:w="20" w:type="dxa"/>
            </w:tcMar>
            <w:vAlign w:val="bottom"/>
          </w:tcPr>
          <w:p w14:paraId="71D47E4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E4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E46" w14:textId="77777777" w:rsidR="006A3667" w:rsidRDefault="00045F32">
            <w:pPr>
              <w:jc w:val="right"/>
              <w:textAlignment w:val="bottom"/>
            </w:pPr>
            <w:r>
              <w:rPr>
                <w:rFonts w:ascii="Arial" w:eastAsia="宋体" w:hAnsi="Arial" w:cs="Arial"/>
                <w:color w:val="000000"/>
                <w:sz w:val="15"/>
                <w:szCs w:val="15"/>
              </w:rPr>
              <w:t>(25,096)</w:t>
            </w:r>
          </w:p>
        </w:tc>
        <w:tc>
          <w:tcPr>
            <w:tcW w:w="0" w:type="auto"/>
            <w:shd w:val="clear" w:color="auto" w:fill="FFFFFF"/>
            <w:tcMar>
              <w:top w:w="40" w:type="dxa"/>
              <w:left w:w="0" w:type="dxa"/>
              <w:bottom w:w="40" w:type="dxa"/>
              <w:right w:w="20" w:type="dxa"/>
            </w:tcMar>
            <w:vAlign w:val="bottom"/>
          </w:tcPr>
          <w:p w14:paraId="71D47E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E4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E49" w14:textId="77777777" w:rsidR="006A3667" w:rsidRDefault="00045F32">
            <w:pPr>
              <w:jc w:val="right"/>
              <w:textAlignment w:val="bottom"/>
            </w:pPr>
            <w:r>
              <w:rPr>
                <w:rFonts w:ascii="Arial" w:eastAsia="宋体" w:hAnsi="Arial" w:cs="Arial"/>
                <w:color w:val="000000"/>
                <w:sz w:val="15"/>
                <w:szCs w:val="15"/>
              </w:rPr>
              <w:t>216 </w:t>
            </w:r>
          </w:p>
        </w:tc>
        <w:tc>
          <w:tcPr>
            <w:tcW w:w="0" w:type="auto"/>
            <w:shd w:val="clear" w:color="auto" w:fill="FFFFFF"/>
            <w:tcMar>
              <w:top w:w="40" w:type="dxa"/>
              <w:left w:w="0" w:type="dxa"/>
              <w:bottom w:w="40" w:type="dxa"/>
              <w:right w:w="20" w:type="dxa"/>
            </w:tcMar>
            <w:vAlign w:val="bottom"/>
          </w:tcPr>
          <w:p w14:paraId="71D47E4A" w14:textId="77777777" w:rsidR="006A3667" w:rsidRDefault="006A3667">
            <w:pPr>
              <w:jc w:val="right"/>
              <w:rPr>
                <w:rFonts w:ascii="宋体"/>
              </w:rPr>
            </w:pPr>
          </w:p>
        </w:tc>
      </w:tr>
      <w:tr w:rsidR="006A3667" w14:paraId="71D47E60" w14:textId="77777777">
        <w:tc>
          <w:tcPr>
            <w:tcW w:w="0" w:type="auto"/>
            <w:gridSpan w:val="3"/>
            <w:shd w:val="clear" w:color="auto" w:fill="CCEEFF"/>
            <w:tcMar>
              <w:top w:w="40" w:type="dxa"/>
              <w:left w:w="20" w:type="dxa"/>
              <w:bottom w:w="40" w:type="dxa"/>
              <w:right w:w="20" w:type="dxa"/>
            </w:tcMar>
            <w:vAlign w:val="bottom"/>
          </w:tcPr>
          <w:p w14:paraId="71D47E4C" w14:textId="77777777" w:rsidR="006A3667" w:rsidRDefault="00045F32">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E4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E4E" w14:textId="77777777" w:rsidR="006A3667" w:rsidRDefault="00045F32">
            <w:pPr>
              <w:jc w:val="right"/>
              <w:textAlignment w:val="bottom"/>
            </w:pPr>
            <w:r>
              <w:rPr>
                <w:rFonts w:ascii="Arial" w:eastAsia="宋体" w:hAnsi="Arial" w:cs="Arial"/>
                <w:color w:val="000000"/>
                <w:sz w:val="15"/>
                <w:szCs w:val="15"/>
              </w:rPr>
              <w:t>117,562 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E4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50"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E51"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E52" w14:textId="77777777" w:rsidR="006A3667" w:rsidRDefault="00045F32">
            <w:pPr>
              <w:jc w:val="right"/>
              <w:textAlignment w:val="bottom"/>
            </w:pPr>
            <w:r>
              <w:rPr>
                <w:rFonts w:ascii="Arial" w:eastAsia="宋体" w:hAnsi="Arial" w:cs="Arial"/>
                <w:color w:val="000000"/>
                <w:sz w:val="15"/>
                <w:szCs w:val="15"/>
              </w:rPr>
              <w:t>(88,142)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E5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5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E55"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E56" w14:textId="77777777" w:rsidR="006A3667" w:rsidRDefault="00045F32">
            <w:pPr>
              <w:jc w:val="right"/>
              <w:textAlignment w:val="bottom"/>
            </w:pPr>
            <w:r>
              <w:rPr>
                <w:rFonts w:ascii="Arial" w:eastAsia="宋体" w:hAnsi="Arial" w:cs="Arial"/>
                <w:color w:val="000000"/>
                <w:sz w:val="15"/>
                <w:szCs w:val="15"/>
              </w:rPr>
              <w:t>29,420 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E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58"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E59"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E5A" w14:textId="77777777" w:rsidR="006A3667" w:rsidRDefault="00045F32">
            <w:pPr>
              <w:jc w:val="right"/>
              <w:textAlignment w:val="bottom"/>
            </w:pPr>
            <w:r>
              <w:rPr>
                <w:rFonts w:ascii="Arial" w:eastAsia="宋体" w:hAnsi="Arial" w:cs="Arial"/>
                <w:color w:val="000000"/>
                <w:sz w:val="15"/>
                <w:szCs w:val="15"/>
              </w:rPr>
              <w:t>(25,819)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E5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5C"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7E5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7E5E" w14:textId="77777777" w:rsidR="006A3667" w:rsidRDefault="00045F32">
            <w:pPr>
              <w:jc w:val="right"/>
              <w:textAlignment w:val="bottom"/>
            </w:pPr>
            <w:r>
              <w:rPr>
                <w:rFonts w:ascii="Arial" w:eastAsia="宋体" w:hAnsi="Arial" w:cs="Arial"/>
                <w:color w:val="000000"/>
                <w:sz w:val="15"/>
                <w:szCs w:val="15"/>
              </w:rPr>
              <w:t>3,601 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7E5F" w14:textId="77777777" w:rsidR="006A3667" w:rsidRDefault="006A3667">
            <w:pPr>
              <w:jc w:val="right"/>
              <w:rPr>
                <w:rFonts w:ascii="宋体"/>
              </w:rPr>
            </w:pPr>
          </w:p>
        </w:tc>
      </w:tr>
    </w:tbl>
    <w:p w14:paraId="71D47E61"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6A3667" w14:paraId="71D47E71" w14:textId="77777777">
        <w:tc>
          <w:tcPr>
            <w:tcW w:w="50" w:type="pct"/>
            <w:shd w:val="clear" w:color="auto" w:fill="auto"/>
            <w:vAlign w:val="bottom"/>
          </w:tcPr>
          <w:p w14:paraId="71D47E62" w14:textId="77777777" w:rsidR="006A3667" w:rsidRDefault="006A3667">
            <w:pPr>
              <w:rPr>
                <w:rFonts w:ascii="宋体"/>
              </w:rPr>
            </w:pPr>
          </w:p>
        </w:tc>
        <w:tc>
          <w:tcPr>
            <w:tcW w:w="1348" w:type="pct"/>
            <w:shd w:val="clear" w:color="auto" w:fill="auto"/>
            <w:vAlign w:val="bottom"/>
          </w:tcPr>
          <w:p w14:paraId="71D47E63" w14:textId="77777777" w:rsidR="006A3667" w:rsidRDefault="006A3667">
            <w:pPr>
              <w:rPr>
                <w:rFonts w:ascii="宋体"/>
              </w:rPr>
            </w:pPr>
          </w:p>
        </w:tc>
        <w:tc>
          <w:tcPr>
            <w:tcW w:w="5" w:type="pct"/>
            <w:shd w:val="clear" w:color="auto" w:fill="auto"/>
            <w:vAlign w:val="bottom"/>
          </w:tcPr>
          <w:p w14:paraId="71D47E64" w14:textId="77777777" w:rsidR="006A3667" w:rsidRDefault="006A3667">
            <w:pPr>
              <w:rPr>
                <w:rFonts w:ascii="宋体"/>
              </w:rPr>
            </w:pPr>
          </w:p>
        </w:tc>
        <w:tc>
          <w:tcPr>
            <w:tcW w:w="50" w:type="pct"/>
            <w:shd w:val="clear" w:color="auto" w:fill="auto"/>
            <w:vAlign w:val="bottom"/>
          </w:tcPr>
          <w:p w14:paraId="71D47E65" w14:textId="77777777" w:rsidR="006A3667" w:rsidRDefault="006A3667">
            <w:pPr>
              <w:rPr>
                <w:rFonts w:ascii="宋体"/>
              </w:rPr>
            </w:pPr>
          </w:p>
        </w:tc>
        <w:tc>
          <w:tcPr>
            <w:tcW w:w="1048" w:type="pct"/>
            <w:shd w:val="clear" w:color="auto" w:fill="auto"/>
            <w:vAlign w:val="bottom"/>
          </w:tcPr>
          <w:p w14:paraId="71D47E66" w14:textId="77777777" w:rsidR="006A3667" w:rsidRDefault="006A3667">
            <w:pPr>
              <w:rPr>
                <w:rFonts w:ascii="宋体"/>
              </w:rPr>
            </w:pPr>
          </w:p>
        </w:tc>
        <w:tc>
          <w:tcPr>
            <w:tcW w:w="5" w:type="pct"/>
            <w:shd w:val="clear" w:color="auto" w:fill="auto"/>
            <w:vAlign w:val="bottom"/>
          </w:tcPr>
          <w:p w14:paraId="71D47E67" w14:textId="77777777" w:rsidR="006A3667" w:rsidRDefault="006A3667">
            <w:pPr>
              <w:rPr>
                <w:rFonts w:ascii="宋体"/>
              </w:rPr>
            </w:pPr>
          </w:p>
        </w:tc>
        <w:tc>
          <w:tcPr>
            <w:tcW w:w="50" w:type="pct"/>
            <w:shd w:val="clear" w:color="auto" w:fill="auto"/>
            <w:vAlign w:val="bottom"/>
          </w:tcPr>
          <w:p w14:paraId="71D47E68" w14:textId="77777777" w:rsidR="006A3667" w:rsidRDefault="006A3667">
            <w:pPr>
              <w:rPr>
                <w:rFonts w:ascii="宋体"/>
              </w:rPr>
            </w:pPr>
          </w:p>
        </w:tc>
        <w:tc>
          <w:tcPr>
            <w:tcW w:w="917" w:type="pct"/>
            <w:shd w:val="clear" w:color="auto" w:fill="auto"/>
            <w:vAlign w:val="bottom"/>
          </w:tcPr>
          <w:p w14:paraId="71D47E69" w14:textId="77777777" w:rsidR="006A3667" w:rsidRDefault="006A3667">
            <w:pPr>
              <w:rPr>
                <w:rFonts w:ascii="宋体"/>
              </w:rPr>
            </w:pPr>
          </w:p>
        </w:tc>
        <w:tc>
          <w:tcPr>
            <w:tcW w:w="5" w:type="pct"/>
            <w:shd w:val="clear" w:color="auto" w:fill="auto"/>
            <w:vAlign w:val="bottom"/>
          </w:tcPr>
          <w:p w14:paraId="71D47E6A" w14:textId="77777777" w:rsidR="006A3667" w:rsidRDefault="006A3667">
            <w:pPr>
              <w:rPr>
                <w:rFonts w:ascii="宋体"/>
              </w:rPr>
            </w:pPr>
          </w:p>
        </w:tc>
        <w:tc>
          <w:tcPr>
            <w:tcW w:w="50" w:type="pct"/>
            <w:shd w:val="clear" w:color="auto" w:fill="auto"/>
            <w:vAlign w:val="bottom"/>
          </w:tcPr>
          <w:p w14:paraId="71D47E6B" w14:textId="77777777" w:rsidR="006A3667" w:rsidRDefault="006A3667">
            <w:pPr>
              <w:rPr>
                <w:rFonts w:ascii="宋体"/>
              </w:rPr>
            </w:pPr>
          </w:p>
        </w:tc>
        <w:tc>
          <w:tcPr>
            <w:tcW w:w="917" w:type="pct"/>
            <w:shd w:val="clear" w:color="auto" w:fill="auto"/>
            <w:vAlign w:val="bottom"/>
          </w:tcPr>
          <w:p w14:paraId="71D47E6C" w14:textId="77777777" w:rsidR="006A3667" w:rsidRDefault="006A3667">
            <w:pPr>
              <w:rPr>
                <w:rFonts w:ascii="宋体"/>
              </w:rPr>
            </w:pPr>
          </w:p>
        </w:tc>
        <w:tc>
          <w:tcPr>
            <w:tcW w:w="5" w:type="pct"/>
            <w:shd w:val="clear" w:color="auto" w:fill="auto"/>
            <w:vAlign w:val="bottom"/>
          </w:tcPr>
          <w:p w14:paraId="71D47E6D" w14:textId="77777777" w:rsidR="006A3667" w:rsidRDefault="006A3667">
            <w:pPr>
              <w:rPr>
                <w:rFonts w:ascii="宋体"/>
              </w:rPr>
            </w:pPr>
          </w:p>
        </w:tc>
        <w:tc>
          <w:tcPr>
            <w:tcW w:w="50" w:type="pct"/>
            <w:shd w:val="clear" w:color="auto" w:fill="auto"/>
            <w:vAlign w:val="bottom"/>
          </w:tcPr>
          <w:p w14:paraId="71D47E6E" w14:textId="77777777" w:rsidR="006A3667" w:rsidRDefault="006A3667">
            <w:pPr>
              <w:rPr>
                <w:rFonts w:ascii="宋体"/>
              </w:rPr>
            </w:pPr>
          </w:p>
        </w:tc>
        <w:tc>
          <w:tcPr>
            <w:tcW w:w="493" w:type="pct"/>
            <w:shd w:val="clear" w:color="auto" w:fill="auto"/>
            <w:vAlign w:val="bottom"/>
          </w:tcPr>
          <w:p w14:paraId="71D47E6F" w14:textId="77777777" w:rsidR="006A3667" w:rsidRDefault="006A3667">
            <w:pPr>
              <w:rPr>
                <w:rFonts w:ascii="宋体"/>
              </w:rPr>
            </w:pPr>
          </w:p>
        </w:tc>
        <w:tc>
          <w:tcPr>
            <w:tcW w:w="5" w:type="pct"/>
            <w:shd w:val="clear" w:color="auto" w:fill="auto"/>
            <w:vAlign w:val="bottom"/>
          </w:tcPr>
          <w:p w14:paraId="71D47E70" w14:textId="77777777" w:rsidR="006A3667" w:rsidRDefault="006A3667">
            <w:pPr>
              <w:rPr>
                <w:rFonts w:ascii="宋体"/>
              </w:rPr>
            </w:pPr>
          </w:p>
        </w:tc>
      </w:tr>
      <w:tr w:rsidR="006A3667" w14:paraId="71D47E7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7E7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E7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E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E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E76" w14:textId="77777777" w:rsidR="006A3667" w:rsidRDefault="006A3667">
            <w:pPr>
              <w:rPr>
                <w:rFonts w:ascii="宋体"/>
              </w:rPr>
            </w:pPr>
          </w:p>
        </w:tc>
      </w:tr>
    </w:tbl>
    <w:p w14:paraId="71D47E78" w14:textId="77777777" w:rsidR="006A3667" w:rsidRDefault="00045F32">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71D47E79" w14:textId="77777777" w:rsidR="006A3667" w:rsidRDefault="00045F32">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71D47E7A" w14:textId="77777777" w:rsidR="006A3667" w:rsidRDefault="00045F32">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71D47E7B" w14:textId="77777777" w:rsidR="006A3667" w:rsidRDefault="00045F32">
      <w:pPr>
        <w:spacing w:before="6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securities in connection with our securities borrowing transactions.</w:t>
      </w:r>
    </w:p>
    <w:p w14:paraId="71D47E7C" w14:textId="77777777" w:rsidR="006A3667" w:rsidRDefault="00045F32">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w:t>
      </w:r>
      <w:r>
        <w:rPr>
          <w:rFonts w:ascii="Arial" w:eastAsia="宋体" w:hAnsi="Arial" w:cs="Arial"/>
          <w:color w:val="000000"/>
          <w:sz w:val="14"/>
          <w:szCs w:val="14"/>
        </w:rPr>
        <w:t>red by collateral not determined to be subject to enforceable netting arrangements.</w:t>
      </w:r>
    </w:p>
    <w:p w14:paraId="71D47E7D" w14:textId="77777777" w:rsidR="006A3667" w:rsidRDefault="00045F32">
      <w:pPr>
        <w:spacing w:before="60"/>
        <w:jc w:val="both"/>
      </w:pPr>
      <w:r>
        <w:rPr>
          <w:rFonts w:ascii="Arial" w:eastAsia="宋体" w:hAnsi="Arial" w:cs="Arial"/>
          <w:color w:val="000000"/>
          <w:sz w:val="9"/>
          <w:szCs w:val="9"/>
        </w:rPr>
        <w:t>(6)</w:t>
      </w:r>
      <w:r>
        <w:rPr>
          <w:rFonts w:ascii="Arial" w:eastAsia="宋体" w:hAnsi="Arial" w:cs="Arial"/>
          <w:color w:val="000000"/>
          <w:sz w:val="14"/>
          <w:szCs w:val="14"/>
        </w:rPr>
        <w:t xml:space="preserve"> Variation margin payments presented as settlements rather than collateral.</w:t>
      </w:r>
    </w:p>
    <w:p w14:paraId="71D47E7E" w14:textId="77777777" w:rsidR="006A3667" w:rsidRDefault="00045F32">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$18.20 billion as of September 30, 2022 were $1.31 billion of resale agre</w:t>
      </w:r>
      <w:r>
        <w:rPr>
          <w:rFonts w:ascii="Arial" w:eastAsia="宋体" w:hAnsi="Arial" w:cs="Arial"/>
          <w:color w:val="000000"/>
          <w:sz w:val="14"/>
          <w:szCs w:val="14"/>
        </w:rPr>
        <w:t>ements and $16.89 billion of collateral provided related to securities borrowing. Included in the $25.31 billion as of December 31, 2021 were $3.01 billion of resale agreements and $22.30 billion of collateral provided related to securities borrowing. Resa</w:t>
      </w:r>
      <w:r>
        <w:rPr>
          <w:rFonts w:ascii="Arial" w:eastAsia="宋体" w:hAnsi="Arial" w:cs="Arial"/>
          <w:color w:val="000000"/>
          <w:sz w:val="14"/>
          <w:szCs w:val="14"/>
        </w:rPr>
        <w:t xml:space="preserve">le agreements and collateral provided related to securities borrowing were recorded in securities purchased under resale agreements and other assets, respectively, in our consolidated statement of condition. Refer to Note 9 for additional information with </w:t>
      </w:r>
      <w:r>
        <w:rPr>
          <w:rFonts w:ascii="Arial" w:eastAsia="宋体" w:hAnsi="Arial" w:cs="Arial"/>
          <w:color w:val="000000"/>
          <w:sz w:val="14"/>
          <w:szCs w:val="14"/>
        </w:rPr>
        <w:t>respect to principal securities finance transactions.</w:t>
      </w:r>
    </w:p>
    <w:p w14:paraId="71D47E7F" w14:textId="77777777" w:rsidR="006A3667" w:rsidRDefault="00045F32">
      <w:pPr>
        <w:spacing w:before="60"/>
        <w:jc w:val="both"/>
      </w:pPr>
      <w:r>
        <w:rPr>
          <w:rFonts w:ascii="Arial" w:eastAsia="宋体" w:hAnsi="Arial" w:cs="Arial"/>
          <w:color w:val="000000"/>
          <w:sz w:val="9"/>
          <w:szCs w:val="9"/>
        </w:rPr>
        <w:t xml:space="preserve">(8) </w:t>
      </w:r>
      <w:r>
        <w:rPr>
          <w:rFonts w:ascii="Arial" w:eastAsia="宋体" w:hAnsi="Arial" w:cs="Arial"/>
          <w:color w:val="000000"/>
          <w:sz w:val="14"/>
          <w:szCs w:val="14"/>
        </w:rPr>
        <w:t>Offsetting of resale agreements primarily relates to our involvement in FICC, where we settle transactions on a net basis for payment and delivery through the Fedwire system.</w:t>
      </w:r>
    </w:p>
    <w:p w14:paraId="71D47E80" w14:textId="77777777" w:rsidR="006A3667" w:rsidRDefault="00045F32">
      <w:pPr>
        <w:spacing w:before="60"/>
        <w:jc w:val="both"/>
      </w:pPr>
      <w:r>
        <w:rPr>
          <w:rFonts w:ascii="Arial" w:eastAsia="宋体" w:hAnsi="Arial" w:cs="Arial"/>
          <w:color w:val="000000"/>
          <w:sz w:val="9"/>
          <w:szCs w:val="9"/>
        </w:rPr>
        <w:t>NA</w:t>
      </w:r>
      <w:r>
        <w:rPr>
          <w:rFonts w:ascii="Arial" w:eastAsia="宋体" w:hAnsi="Arial" w:cs="Arial"/>
          <w:color w:val="000000"/>
          <w:sz w:val="14"/>
          <w:szCs w:val="14"/>
        </w:rPr>
        <w:t xml:space="preserve"> Not applicable</w:t>
      </w:r>
    </w:p>
    <w:p w14:paraId="71D47E81" w14:textId="77777777" w:rsidR="006A3667" w:rsidRDefault="00045F32">
      <w:pPr>
        <w:ind w:firstLine="450"/>
        <w:jc w:val="right"/>
      </w:pPr>
      <w:r>
        <w:rPr>
          <w:rFonts w:ascii="Arial" w:eastAsia="宋体" w:hAnsi="Arial" w:cs="Arial"/>
          <w:color w:val="000000"/>
          <w:sz w:val="18"/>
          <w:szCs w:val="18"/>
        </w:rPr>
        <w:t>State</w:t>
      </w:r>
      <w:r>
        <w:rPr>
          <w:rFonts w:ascii="Arial" w:eastAsia="宋体" w:hAnsi="Arial" w:cs="Arial"/>
          <w:color w:val="000000"/>
          <w:sz w:val="18"/>
          <w:szCs w:val="18"/>
        </w:rPr>
        <w:t xml:space="preserve"> Street Corporation | 81</w:t>
      </w:r>
    </w:p>
    <w:p w14:paraId="71D47E82" w14:textId="77777777" w:rsidR="006A3667" w:rsidRDefault="006A3667">
      <w:pPr>
        <w:ind w:firstLine="450"/>
        <w:jc w:val="center"/>
      </w:pPr>
    </w:p>
    <w:p w14:paraId="71D47E83" w14:textId="77777777" w:rsidR="006A3667" w:rsidRDefault="00045F32">
      <w:r>
        <w:pict w14:anchorId="71D4AC65">
          <v:rect id="_x0000_i1105" style="width:415.3pt;height:1.5pt" o:hralign="center" o:hrstd="t" o:hr="t" fillcolor="#a0a0a0" stroked="f"/>
        </w:pict>
      </w:r>
    </w:p>
    <w:p w14:paraId="71D47E84" w14:textId="77777777" w:rsidR="006A3667" w:rsidRDefault="00045F32">
      <w:pPr>
        <w:ind w:firstLine="450"/>
        <w:jc w:val="center"/>
      </w:pPr>
      <w:r>
        <w:rPr>
          <w:rFonts w:ascii="Arial" w:eastAsia="宋体" w:hAnsi="Arial" w:cs="Arial"/>
          <w:b/>
          <w:bCs/>
          <w:color w:val="000000"/>
          <w:sz w:val="20"/>
          <w:szCs w:val="20"/>
        </w:rPr>
        <w:t>STATE STREET CORPORATION</w:t>
      </w:r>
    </w:p>
    <w:p w14:paraId="71D47E85"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7E86" w14:textId="77777777" w:rsidR="006A3667" w:rsidRDefault="00045F32">
      <w:pPr>
        <w:ind w:firstLine="450"/>
        <w:jc w:val="center"/>
      </w:pPr>
      <w:r>
        <w:rPr>
          <w:rFonts w:ascii="Arial" w:eastAsia="宋体" w:hAnsi="Arial" w:cs="Arial"/>
          <w:b/>
          <w:bCs/>
          <w:color w:val="000000"/>
          <w:sz w:val="20"/>
          <w:szCs w:val="20"/>
        </w:rPr>
        <w:t>(UNAUDITED)</w:t>
      </w:r>
    </w:p>
    <w:p w14:paraId="71D47E87" w14:textId="77777777" w:rsidR="006A3667" w:rsidRDefault="00045F32">
      <w:pPr>
        <w:spacing w:before="60"/>
        <w:ind w:firstLine="450"/>
      </w:pPr>
      <w:r>
        <w:rPr>
          <w:rFonts w:ascii="Arial" w:eastAsia="宋体" w:hAnsi="Arial" w:cs="Arial"/>
          <w:color w:val="000000"/>
          <w:sz w:val="20"/>
          <w:szCs w:val="20"/>
        </w:rPr>
        <w:t xml:space="preserve">The following tables present information about the offsetting of liabilities related to derivative contracts and secured </w:t>
      </w:r>
      <w:r>
        <w:rPr>
          <w:rFonts w:ascii="Arial" w:eastAsia="宋体" w:hAnsi="Arial" w:cs="Arial"/>
          <w:color w:val="000000"/>
          <w:sz w:val="20"/>
          <w:szCs w:val="20"/>
        </w:rPr>
        <w:t>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777"/>
        <w:gridCol w:w="37"/>
        <w:gridCol w:w="105"/>
        <w:gridCol w:w="958"/>
        <w:gridCol w:w="36"/>
        <w:gridCol w:w="36"/>
        <w:gridCol w:w="36"/>
        <w:gridCol w:w="36"/>
        <w:gridCol w:w="105"/>
        <w:gridCol w:w="1100"/>
        <w:gridCol w:w="36"/>
        <w:gridCol w:w="36"/>
        <w:gridCol w:w="36"/>
        <w:gridCol w:w="36"/>
        <w:gridCol w:w="105"/>
        <w:gridCol w:w="1192"/>
        <w:gridCol w:w="36"/>
        <w:gridCol w:w="36"/>
        <w:gridCol w:w="36"/>
        <w:gridCol w:w="36"/>
        <w:gridCol w:w="105"/>
        <w:gridCol w:w="962"/>
        <w:gridCol w:w="37"/>
        <w:gridCol w:w="36"/>
        <w:gridCol w:w="36"/>
        <w:gridCol w:w="36"/>
        <w:gridCol w:w="105"/>
        <w:gridCol w:w="664"/>
        <w:gridCol w:w="37"/>
        <w:gridCol w:w="36"/>
        <w:gridCol w:w="36"/>
        <w:gridCol w:w="36"/>
        <w:gridCol w:w="36"/>
        <w:gridCol w:w="36"/>
        <w:gridCol w:w="36"/>
        <w:gridCol w:w="36"/>
        <w:gridCol w:w="36"/>
        <w:gridCol w:w="36"/>
        <w:gridCol w:w="36"/>
        <w:gridCol w:w="36"/>
        <w:gridCol w:w="36"/>
        <w:gridCol w:w="36"/>
      </w:tblGrid>
      <w:tr w:rsidR="006A3667" w14:paraId="71D47EAB" w14:textId="77777777">
        <w:tc>
          <w:tcPr>
            <w:tcW w:w="50" w:type="pct"/>
            <w:shd w:val="clear" w:color="auto" w:fill="auto"/>
            <w:vAlign w:val="bottom"/>
          </w:tcPr>
          <w:p w14:paraId="71D47E88" w14:textId="77777777" w:rsidR="006A3667" w:rsidRDefault="006A3667">
            <w:pPr>
              <w:rPr>
                <w:rFonts w:ascii="宋体"/>
              </w:rPr>
            </w:pPr>
          </w:p>
        </w:tc>
        <w:tc>
          <w:tcPr>
            <w:tcW w:w="1165" w:type="pct"/>
            <w:shd w:val="clear" w:color="auto" w:fill="auto"/>
            <w:vAlign w:val="bottom"/>
          </w:tcPr>
          <w:p w14:paraId="71D47E89" w14:textId="77777777" w:rsidR="006A3667" w:rsidRDefault="006A3667">
            <w:pPr>
              <w:rPr>
                <w:rFonts w:ascii="宋体"/>
              </w:rPr>
            </w:pPr>
          </w:p>
        </w:tc>
        <w:tc>
          <w:tcPr>
            <w:tcW w:w="5" w:type="pct"/>
            <w:shd w:val="clear" w:color="auto" w:fill="auto"/>
            <w:vAlign w:val="bottom"/>
          </w:tcPr>
          <w:p w14:paraId="71D47E8A" w14:textId="77777777" w:rsidR="006A3667" w:rsidRDefault="006A3667">
            <w:pPr>
              <w:rPr>
                <w:rFonts w:ascii="宋体"/>
              </w:rPr>
            </w:pPr>
          </w:p>
        </w:tc>
        <w:tc>
          <w:tcPr>
            <w:tcW w:w="50" w:type="pct"/>
            <w:shd w:val="clear" w:color="auto" w:fill="auto"/>
            <w:vAlign w:val="bottom"/>
          </w:tcPr>
          <w:p w14:paraId="71D47E8B" w14:textId="77777777" w:rsidR="006A3667" w:rsidRDefault="006A3667">
            <w:pPr>
              <w:rPr>
                <w:rFonts w:ascii="宋体"/>
              </w:rPr>
            </w:pPr>
          </w:p>
        </w:tc>
        <w:tc>
          <w:tcPr>
            <w:tcW w:w="639" w:type="pct"/>
            <w:shd w:val="clear" w:color="auto" w:fill="auto"/>
            <w:vAlign w:val="bottom"/>
          </w:tcPr>
          <w:p w14:paraId="71D47E8C" w14:textId="77777777" w:rsidR="006A3667" w:rsidRDefault="006A3667">
            <w:pPr>
              <w:rPr>
                <w:rFonts w:ascii="宋体"/>
              </w:rPr>
            </w:pPr>
          </w:p>
        </w:tc>
        <w:tc>
          <w:tcPr>
            <w:tcW w:w="5" w:type="pct"/>
            <w:shd w:val="clear" w:color="auto" w:fill="auto"/>
            <w:vAlign w:val="bottom"/>
          </w:tcPr>
          <w:p w14:paraId="71D47E8D" w14:textId="77777777" w:rsidR="006A3667" w:rsidRDefault="006A3667">
            <w:pPr>
              <w:rPr>
                <w:rFonts w:ascii="宋体"/>
              </w:rPr>
            </w:pPr>
          </w:p>
        </w:tc>
        <w:tc>
          <w:tcPr>
            <w:tcW w:w="5" w:type="pct"/>
            <w:shd w:val="clear" w:color="auto" w:fill="auto"/>
            <w:vAlign w:val="bottom"/>
          </w:tcPr>
          <w:p w14:paraId="71D47E8E" w14:textId="77777777" w:rsidR="006A3667" w:rsidRDefault="006A3667">
            <w:pPr>
              <w:rPr>
                <w:rFonts w:ascii="宋体"/>
              </w:rPr>
            </w:pPr>
          </w:p>
        </w:tc>
        <w:tc>
          <w:tcPr>
            <w:tcW w:w="26" w:type="pct"/>
            <w:shd w:val="clear" w:color="auto" w:fill="auto"/>
            <w:vAlign w:val="bottom"/>
          </w:tcPr>
          <w:p w14:paraId="71D47E8F" w14:textId="77777777" w:rsidR="006A3667" w:rsidRDefault="006A3667">
            <w:pPr>
              <w:rPr>
                <w:rFonts w:ascii="宋体"/>
              </w:rPr>
            </w:pPr>
          </w:p>
        </w:tc>
        <w:tc>
          <w:tcPr>
            <w:tcW w:w="5" w:type="pct"/>
            <w:shd w:val="clear" w:color="auto" w:fill="auto"/>
            <w:vAlign w:val="bottom"/>
          </w:tcPr>
          <w:p w14:paraId="71D47E90" w14:textId="77777777" w:rsidR="006A3667" w:rsidRDefault="006A3667">
            <w:pPr>
              <w:rPr>
                <w:rFonts w:ascii="宋体"/>
              </w:rPr>
            </w:pPr>
          </w:p>
        </w:tc>
        <w:tc>
          <w:tcPr>
            <w:tcW w:w="50" w:type="pct"/>
            <w:shd w:val="clear" w:color="auto" w:fill="auto"/>
            <w:vAlign w:val="bottom"/>
          </w:tcPr>
          <w:p w14:paraId="71D47E91" w14:textId="77777777" w:rsidR="006A3667" w:rsidRDefault="006A3667">
            <w:pPr>
              <w:rPr>
                <w:rFonts w:ascii="宋体"/>
              </w:rPr>
            </w:pPr>
          </w:p>
        </w:tc>
        <w:tc>
          <w:tcPr>
            <w:tcW w:w="756" w:type="pct"/>
            <w:shd w:val="clear" w:color="auto" w:fill="auto"/>
            <w:vAlign w:val="bottom"/>
          </w:tcPr>
          <w:p w14:paraId="71D47E92" w14:textId="77777777" w:rsidR="006A3667" w:rsidRDefault="006A3667">
            <w:pPr>
              <w:rPr>
                <w:rFonts w:ascii="宋体"/>
              </w:rPr>
            </w:pPr>
          </w:p>
        </w:tc>
        <w:tc>
          <w:tcPr>
            <w:tcW w:w="5" w:type="pct"/>
            <w:shd w:val="clear" w:color="auto" w:fill="auto"/>
            <w:vAlign w:val="bottom"/>
          </w:tcPr>
          <w:p w14:paraId="71D47E93" w14:textId="77777777" w:rsidR="006A3667" w:rsidRDefault="006A3667">
            <w:pPr>
              <w:rPr>
                <w:rFonts w:ascii="宋体"/>
              </w:rPr>
            </w:pPr>
          </w:p>
        </w:tc>
        <w:tc>
          <w:tcPr>
            <w:tcW w:w="5" w:type="pct"/>
            <w:shd w:val="clear" w:color="auto" w:fill="auto"/>
            <w:vAlign w:val="bottom"/>
          </w:tcPr>
          <w:p w14:paraId="71D47E94" w14:textId="77777777" w:rsidR="006A3667" w:rsidRDefault="006A3667">
            <w:pPr>
              <w:rPr>
                <w:rFonts w:ascii="宋体"/>
              </w:rPr>
            </w:pPr>
          </w:p>
        </w:tc>
        <w:tc>
          <w:tcPr>
            <w:tcW w:w="26" w:type="pct"/>
            <w:shd w:val="clear" w:color="auto" w:fill="auto"/>
            <w:vAlign w:val="bottom"/>
          </w:tcPr>
          <w:p w14:paraId="71D47E95" w14:textId="77777777" w:rsidR="006A3667" w:rsidRDefault="006A3667">
            <w:pPr>
              <w:rPr>
                <w:rFonts w:ascii="宋体"/>
              </w:rPr>
            </w:pPr>
          </w:p>
        </w:tc>
        <w:tc>
          <w:tcPr>
            <w:tcW w:w="5" w:type="pct"/>
            <w:shd w:val="clear" w:color="auto" w:fill="auto"/>
            <w:vAlign w:val="bottom"/>
          </w:tcPr>
          <w:p w14:paraId="71D47E96" w14:textId="77777777" w:rsidR="006A3667" w:rsidRDefault="006A3667">
            <w:pPr>
              <w:rPr>
                <w:rFonts w:ascii="宋体"/>
              </w:rPr>
            </w:pPr>
          </w:p>
        </w:tc>
        <w:tc>
          <w:tcPr>
            <w:tcW w:w="50" w:type="pct"/>
            <w:shd w:val="clear" w:color="auto" w:fill="auto"/>
            <w:vAlign w:val="bottom"/>
          </w:tcPr>
          <w:p w14:paraId="71D47E97" w14:textId="77777777" w:rsidR="006A3667" w:rsidRDefault="006A3667">
            <w:pPr>
              <w:rPr>
                <w:rFonts w:ascii="宋体"/>
              </w:rPr>
            </w:pPr>
          </w:p>
        </w:tc>
        <w:tc>
          <w:tcPr>
            <w:tcW w:w="814" w:type="pct"/>
            <w:shd w:val="clear" w:color="auto" w:fill="auto"/>
            <w:vAlign w:val="bottom"/>
          </w:tcPr>
          <w:p w14:paraId="71D47E98" w14:textId="77777777" w:rsidR="006A3667" w:rsidRDefault="006A3667">
            <w:pPr>
              <w:rPr>
                <w:rFonts w:ascii="宋体"/>
              </w:rPr>
            </w:pPr>
          </w:p>
        </w:tc>
        <w:tc>
          <w:tcPr>
            <w:tcW w:w="5" w:type="pct"/>
            <w:shd w:val="clear" w:color="auto" w:fill="auto"/>
            <w:vAlign w:val="bottom"/>
          </w:tcPr>
          <w:p w14:paraId="71D47E99" w14:textId="77777777" w:rsidR="006A3667" w:rsidRDefault="006A3667">
            <w:pPr>
              <w:rPr>
                <w:rFonts w:ascii="宋体"/>
              </w:rPr>
            </w:pPr>
          </w:p>
        </w:tc>
        <w:tc>
          <w:tcPr>
            <w:tcW w:w="5" w:type="pct"/>
            <w:shd w:val="clear" w:color="auto" w:fill="auto"/>
            <w:vAlign w:val="bottom"/>
          </w:tcPr>
          <w:p w14:paraId="71D47E9A" w14:textId="77777777" w:rsidR="006A3667" w:rsidRDefault="006A3667">
            <w:pPr>
              <w:rPr>
                <w:rFonts w:ascii="宋体"/>
              </w:rPr>
            </w:pPr>
          </w:p>
        </w:tc>
        <w:tc>
          <w:tcPr>
            <w:tcW w:w="26" w:type="pct"/>
            <w:shd w:val="clear" w:color="auto" w:fill="auto"/>
            <w:vAlign w:val="bottom"/>
          </w:tcPr>
          <w:p w14:paraId="71D47E9B" w14:textId="77777777" w:rsidR="006A3667" w:rsidRDefault="006A3667">
            <w:pPr>
              <w:rPr>
                <w:rFonts w:ascii="宋体"/>
              </w:rPr>
            </w:pPr>
          </w:p>
        </w:tc>
        <w:tc>
          <w:tcPr>
            <w:tcW w:w="5" w:type="pct"/>
            <w:shd w:val="clear" w:color="auto" w:fill="auto"/>
            <w:vAlign w:val="bottom"/>
          </w:tcPr>
          <w:p w14:paraId="71D47E9C" w14:textId="77777777" w:rsidR="006A3667" w:rsidRDefault="006A3667">
            <w:pPr>
              <w:rPr>
                <w:rFonts w:ascii="宋体"/>
              </w:rPr>
            </w:pPr>
          </w:p>
        </w:tc>
        <w:tc>
          <w:tcPr>
            <w:tcW w:w="50" w:type="pct"/>
            <w:shd w:val="clear" w:color="auto" w:fill="auto"/>
            <w:vAlign w:val="bottom"/>
          </w:tcPr>
          <w:p w14:paraId="71D47E9D" w14:textId="77777777" w:rsidR="006A3667" w:rsidRDefault="006A3667">
            <w:pPr>
              <w:rPr>
                <w:rFonts w:ascii="宋体"/>
              </w:rPr>
            </w:pPr>
          </w:p>
        </w:tc>
        <w:tc>
          <w:tcPr>
            <w:tcW w:w="668" w:type="pct"/>
            <w:shd w:val="clear" w:color="auto" w:fill="auto"/>
            <w:vAlign w:val="bottom"/>
          </w:tcPr>
          <w:p w14:paraId="71D47E9E" w14:textId="77777777" w:rsidR="006A3667" w:rsidRDefault="006A3667">
            <w:pPr>
              <w:rPr>
                <w:rFonts w:ascii="宋体"/>
              </w:rPr>
            </w:pPr>
          </w:p>
        </w:tc>
        <w:tc>
          <w:tcPr>
            <w:tcW w:w="5" w:type="pct"/>
            <w:shd w:val="clear" w:color="auto" w:fill="auto"/>
            <w:vAlign w:val="bottom"/>
          </w:tcPr>
          <w:p w14:paraId="71D47E9F" w14:textId="77777777" w:rsidR="006A3667" w:rsidRDefault="006A3667">
            <w:pPr>
              <w:rPr>
                <w:rFonts w:ascii="宋体"/>
              </w:rPr>
            </w:pPr>
          </w:p>
        </w:tc>
        <w:tc>
          <w:tcPr>
            <w:tcW w:w="5" w:type="pct"/>
            <w:shd w:val="clear" w:color="auto" w:fill="auto"/>
            <w:vAlign w:val="bottom"/>
          </w:tcPr>
          <w:p w14:paraId="71D47EA0" w14:textId="77777777" w:rsidR="006A3667" w:rsidRDefault="006A3667">
            <w:pPr>
              <w:rPr>
                <w:rFonts w:ascii="宋体"/>
              </w:rPr>
            </w:pPr>
          </w:p>
        </w:tc>
        <w:tc>
          <w:tcPr>
            <w:tcW w:w="26" w:type="pct"/>
            <w:shd w:val="clear" w:color="auto" w:fill="auto"/>
            <w:vAlign w:val="bottom"/>
          </w:tcPr>
          <w:p w14:paraId="71D47EA1" w14:textId="77777777" w:rsidR="006A3667" w:rsidRDefault="006A3667">
            <w:pPr>
              <w:rPr>
                <w:rFonts w:ascii="宋体"/>
              </w:rPr>
            </w:pPr>
          </w:p>
        </w:tc>
        <w:tc>
          <w:tcPr>
            <w:tcW w:w="5" w:type="pct"/>
            <w:shd w:val="clear" w:color="auto" w:fill="auto"/>
            <w:vAlign w:val="bottom"/>
          </w:tcPr>
          <w:p w14:paraId="71D47EA2" w14:textId="77777777" w:rsidR="006A3667" w:rsidRDefault="006A3667">
            <w:pPr>
              <w:rPr>
                <w:rFonts w:ascii="宋体"/>
              </w:rPr>
            </w:pPr>
          </w:p>
        </w:tc>
        <w:tc>
          <w:tcPr>
            <w:tcW w:w="50" w:type="pct"/>
            <w:shd w:val="clear" w:color="auto" w:fill="auto"/>
            <w:vAlign w:val="bottom"/>
          </w:tcPr>
          <w:p w14:paraId="71D47EA3" w14:textId="77777777" w:rsidR="006A3667" w:rsidRDefault="006A3667">
            <w:pPr>
              <w:rPr>
                <w:rFonts w:ascii="宋体"/>
              </w:rPr>
            </w:pPr>
          </w:p>
        </w:tc>
        <w:tc>
          <w:tcPr>
            <w:tcW w:w="478" w:type="pct"/>
            <w:shd w:val="clear" w:color="auto" w:fill="auto"/>
            <w:vAlign w:val="bottom"/>
          </w:tcPr>
          <w:p w14:paraId="71D47EA4" w14:textId="77777777" w:rsidR="006A3667" w:rsidRDefault="006A3667">
            <w:pPr>
              <w:rPr>
                <w:rFonts w:ascii="宋体"/>
              </w:rPr>
            </w:pPr>
          </w:p>
        </w:tc>
        <w:tc>
          <w:tcPr>
            <w:tcW w:w="5" w:type="pct"/>
            <w:shd w:val="clear" w:color="auto" w:fill="auto"/>
            <w:vAlign w:val="bottom"/>
          </w:tcPr>
          <w:p w14:paraId="71D47EA5" w14:textId="77777777" w:rsidR="006A3667" w:rsidRDefault="006A3667">
            <w:pPr>
              <w:rPr>
                <w:rFonts w:ascii="宋体"/>
              </w:rPr>
            </w:pPr>
          </w:p>
        </w:tc>
        <w:tc>
          <w:tcPr>
            <w:tcW w:w="0" w:type="auto"/>
            <w:shd w:val="clear" w:color="auto" w:fill="auto"/>
            <w:vAlign w:val="bottom"/>
          </w:tcPr>
          <w:p w14:paraId="71D47EA6" w14:textId="77777777" w:rsidR="006A3667" w:rsidRDefault="006A3667">
            <w:pPr>
              <w:rPr>
                <w:rFonts w:ascii="宋体"/>
                <w:vanish/>
              </w:rPr>
            </w:pPr>
          </w:p>
        </w:tc>
        <w:tc>
          <w:tcPr>
            <w:tcW w:w="0" w:type="auto"/>
            <w:gridSpan w:val="3"/>
            <w:shd w:val="clear" w:color="auto" w:fill="auto"/>
            <w:vAlign w:val="bottom"/>
          </w:tcPr>
          <w:p w14:paraId="71D47EA7" w14:textId="77777777" w:rsidR="006A3667" w:rsidRDefault="006A3667">
            <w:pPr>
              <w:rPr>
                <w:rFonts w:ascii="宋体"/>
                <w:vanish/>
              </w:rPr>
            </w:pPr>
          </w:p>
        </w:tc>
        <w:tc>
          <w:tcPr>
            <w:tcW w:w="0" w:type="auto"/>
            <w:gridSpan w:val="3"/>
            <w:shd w:val="clear" w:color="auto" w:fill="auto"/>
            <w:vAlign w:val="bottom"/>
          </w:tcPr>
          <w:p w14:paraId="71D47EA8" w14:textId="77777777" w:rsidR="006A3667" w:rsidRDefault="006A3667">
            <w:pPr>
              <w:rPr>
                <w:rFonts w:ascii="宋体"/>
                <w:vanish/>
              </w:rPr>
            </w:pPr>
          </w:p>
        </w:tc>
        <w:tc>
          <w:tcPr>
            <w:tcW w:w="0" w:type="auto"/>
            <w:gridSpan w:val="3"/>
            <w:shd w:val="clear" w:color="auto" w:fill="auto"/>
            <w:vAlign w:val="bottom"/>
          </w:tcPr>
          <w:p w14:paraId="71D47EA9" w14:textId="77777777" w:rsidR="006A3667" w:rsidRDefault="006A3667">
            <w:pPr>
              <w:rPr>
                <w:rFonts w:ascii="宋体"/>
                <w:vanish/>
              </w:rPr>
            </w:pPr>
          </w:p>
        </w:tc>
        <w:tc>
          <w:tcPr>
            <w:tcW w:w="0" w:type="auto"/>
            <w:gridSpan w:val="3"/>
            <w:shd w:val="clear" w:color="auto" w:fill="auto"/>
            <w:vAlign w:val="bottom"/>
          </w:tcPr>
          <w:p w14:paraId="71D47EAA" w14:textId="77777777" w:rsidR="006A3667" w:rsidRDefault="006A3667">
            <w:pPr>
              <w:rPr>
                <w:rFonts w:ascii="宋体"/>
                <w:vanish/>
              </w:rPr>
            </w:pPr>
          </w:p>
        </w:tc>
      </w:tr>
      <w:tr w:rsidR="006A3667" w14:paraId="71D47EBB" w14:textId="77777777">
        <w:tc>
          <w:tcPr>
            <w:tcW w:w="0" w:type="auto"/>
            <w:gridSpan w:val="3"/>
            <w:shd w:val="clear" w:color="auto" w:fill="auto"/>
            <w:tcMar>
              <w:top w:w="40" w:type="dxa"/>
              <w:left w:w="20" w:type="dxa"/>
              <w:bottom w:w="40" w:type="dxa"/>
              <w:right w:w="20" w:type="dxa"/>
            </w:tcMar>
            <w:vAlign w:val="bottom"/>
          </w:tcPr>
          <w:p w14:paraId="71D47EAC" w14:textId="77777777" w:rsidR="006A3667" w:rsidRDefault="00045F32">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1D47EAD" w14:textId="77777777" w:rsidR="006A3667" w:rsidRDefault="00045F32">
            <w:pPr>
              <w:jc w:val="center"/>
              <w:textAlignment w:val="bottom"/>
            </w:pPr>
            <w:r>
              <w:rPr>
                <w:rFonts w:ascii="Arial" w:eastAsia="宋体" w:hAnsi="Arial" w:cs="Arial"/>
                <w:b/>
                <w:bCs/>
                <w:color w:val="000000"/>
                <w:sz w:val="15"/>
                <w:szCs w:val="15"/>
              </w:rPr>
              <w:t>September 30, 2022</w:t>
            </w:r>
          </w:p>
        </w:tc>
        <w:tc>
          <w:tcPr>
            <w:tcW w:w="0" w:type="auto"/>
            <w:shd w:val="clear" w:color="auto" w:fill="auto"/>
            <w:vAlign w:val="bottom"/>
          </w:tcPr>
          <w:p w14:paraId="71D47EAE" w14:textId="77777777" w:rsidR="006A3667" w:rsidRDefault="006A3667">
            <w:pPr>
              <w:rPr>
                <w:rFonts w:ascii="宋体"/>
                <w:vanish/>
              </w:rPr>
            </w:pPr>
          </w:p>
        </w:tc>
        <w:tc>
          <w:tcPr>
            <w:tcW w:w="0" w:type="auto"/>
            <w:shd w:val="clear" w:color="auto" w:fill="auto"/>
            <w:vAlign w:val="bottom"/>
          </w:tcPr>
          <w:p w14:paraId="71D47EAF" w14:textId="77777777" w:rsidR="006A3667" w:rsidRDefault="006A3667">
            <w:pPr>
              <w:rPr>
                <w:rFonts w:ascii="宋体"/>
              </w:rPr>
            </w:pPr>
          </w:p>
        </w:tc>
        <w:tc>
          <w:tcPr>
            <w:tcW w:w="0" w:type="auto"/>
            <w:shd w:val="clear" w:color="auto" w:fill="auto"/>
            <w:vAlign w:val="bottom"/>
          </w:tcPr>
          <w:p w14:paraId="71D47EB0" w14:textId="77777777" w:rsidR="006A3667" w:rsidRDefault="006A3667">
            <w:pPr>
              <w:rPr>
                <w:rFonts w:ascii="宋体"/>
              </w:rPr>
            </w:pPr>
          </w:p>
        </w:tc>
        <w:tc>
          <w:tcPr>
            <w:tcW w:w="0" w:type="auto"/>
            <w:shd w:val="clear" w:color="auto" w:fill="auto"/>
            <w:vAlign w:val="bottom"/>
          </w:tcPr>
          <w:p w14:paraId="71D47EB1" w14:textId="77777777" w:rsidR="006A3667" w:rsidRDefault="006A3667">
            <w:pPr>
              <w:rPr>
                <w:rFonts w:ascii="宋体"/>
              </w:rPr>
            </w:pPr>
          </w:p>
        </w:tc>
        <w:tc>
          <w:tcPr>
            <w:tcW w:w="0" w:type="auto"/>
            <w:shd w:val="clear" w:color="auto" w:fill="auto"/>
            <w:vAlign w:val="bottom"/>
          </w:tcPr>
          <w:p w14:paraId="71D47EB2" w14:textId="77777777" w:rsidR="006A3667" w:rsidRDefault="006A3667">
            <w:pPr>
              <w:rPr>
                <w:rFonts w:ascii="宋体"/>
              </w:rPr>
            </w:pPr>
          </w:p>
        </w:tc>
        <w:tc>
          <w:tcPr>
            <w:tcW w:w="0" w:type="auto"/>
            <w:shd w:val="clear" w:color="auto" w:fill="auto"/>
            <w:vAlign w:val="bottom"/>
          </w:tcPr>
          <w:p w14:paraId="71D47EB3" w14:textId="77777777" w:rsidR="006A3667" w:rsidRDefault="006A3667">
            <w:pPr>
              <w:rPr>
                <w:rFonts w:ascii="宋体"/>
              </w:rPr>
            </w:pPr>
          </w:p>
        </w:tc>
        <w:tc>
          <w:tcPr>
            <w:tcW w:w="0" w:type="auto"/>
            <w:shd w:val="clear" w:color="auto" w:fill="auto"/>
            <w:vAlign w:val="bottom"/>
          </w:tcPr>
          <w:p w14:paraId="71D47EB4" w14:textId="77777777" w:rsidR="006A3667" w:rsidRDefault="006A3667">
            <w:pPr>
              <w:rPr>
                <w:rFonts w:ascii="宋体"/>
              </w:rPr>
            </w:pPr>
          </w:p>
        </w:tc>
        <w:tc>
          <w:tcPr>
            <w:tcW w:w="0" w:type="auto"/>
            <w:shd w:val="clear" w:color="auto" w:fill="auto"/>
            <w:vAlign w:val="bottom"/>
          </w:tcPr>
          <w:p w14:paraId="71D47EB5" w14:textId="77777777" w:rsidR="006A3667" w:rsidRDefault="006A3667">
            <w:pPr>
              <w:rPr>
                <w:rFonts w:ascii="宋体"/>
              </w:rPr>
            </w:pPr>
          </w:p>
        </w:tc>
        <w:tc>
          <w:tcPr>
            <w:tcW w:w="0" w:type="auto"/>
            <w:shd w:val="clear" w:color="auto" w:fill="auto"/>
            <w:vAlign w:val="bottom"/>
          </w:tcPr>
          <w:p w14:paraId="71D47EB6" w14:textId="77777777" w:rsidR="006A3667" w:rsidRDefault="006A3667">
            <w:pPr>
              <w:rPr>
                <w:rFonts w:ascii="宋体"/>
              </w:rPr>
            </w:pPr>
          </w:p>
        </w:tc>
        <w:tc>
          <w:tcPr>
            <w:tcW w:w="0" w:type="auto"/>
            <w:shd w:val="clear" w:color="auto" w:fill="auto"/>
            <w:vAlign w:val="bottom"/>
          </w:tcPr>
          <w:p w14:paraId="71D47EB7" w14:textId="77777777" w:rsidR="006A3667" w:rsidRDefault="006A3667">
            <w:pPr>
              <w:rPr>
                <w:rFonts w:ascii="宋体"/>
              </w:rPr>
            </w:pPr>
          </w:p>
        </w:tc>
        <w:tc>
          <w:tcPr>
            <w:tcW w:w="0" w:type="auto"/>
            <w:shd w:val="clear" w:color="auto" w:fill="auto"/>
            <w:vAlign w:val="bottom"/>
          </w:tcPr>
          <w:p w14:paraId="71D47EB8" w14:textId="77777777" w:rsidR="006A3667" w:rsidRDefault="006A3667">
            <w:pPr>
              <w:rPr>
                <w:rFonts w:ascii="宋体"/>
              </w:rPr>
            </w:pPr>
          </w:p>
        </w:tc>
        <w:tc>
          <w:tcPr>
            <w:tcW w:w="0" w:type="auto"/>
            <w:shd w:val="clear" w:color="auto" w:fill="auto"/>
            <w:vAlign w:val="bottom"/>
          </w:tcPr>
          <w:p w14:paraId="71D47EB9" w14:textId="77777777" w:rsidR="006A3667" w:rsidRDefault="006A3667">
            <w:pPr>
              <w:rPr>
                <w:rFonts w:ascii="宋体"/>
              </w:rPr>
            </w:pPr>
          </w:p>
        </w:tc>
        <w:tc>
          <w:tcPr>
            <w:tcW w:w="0" w:type="auto"/>
            <w:shd w:val="clear" w:color="auto" w:fill="auto"/>
            <w:vAlign w:val="bottom"/>
          </w:tcPr>
          <w:p w14:paraId="71D47EBA" w14:textId="77777777" w:rsidR="006A3667" w:rsidRDefault="006A3667">
            <w:pPr>
              <w:rPr>
                <w:rFonts w:ascii="宋体"/>
              </w:rPr>
            </w:pPr>
          </w:p>
        </w:tc>
      </w:tr>
      <w:tr w:rsidR="006A3667" w14:paraId="71D47EC9" w14:textId="77777777">
        <w:trPr>
          <w:trHeight w:val="400"/>
        </w:trPr>
        <w:tc>
          <w:tcPr>
            <w:tcW w:w="0" w:type="auto"/>
            <w:gridSpan w:val="3"/>
            <w:shd w:val="clear" w:color="auto" w:fill="auto"/>
            <w:tcMar>
              <w:top w:w="0" w:type="dxa"/>
              <w:left w:w="20" w:type="dxa"/>
              <w:bottom w:w="0" w:type="dxa"/>
              <w:right w:w="20" w:type="dxa"/>
            </w:tcMar>
            <w:vAlign w:val="bottom"/>
          </w:tcPr>
          <w:p w14:paraId="71D47EBC" w14:textId="77777777" w:rsidR="006A3667" w:rsidRDefault="006A3667">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EBD" w14:textId="77777777" w:rsidR="006A3667" w:rsidRDefault="00045F32">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EBE" w14:textId="77777777" w:rsidR="006A3667" w:rsidRDefault="006A3667">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EBF" w14:textId="77777777" w:rsidR="006A3667" w:rsidRDefault="00045F32">
            <w:pP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EC0"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7EC1" w14:textId="77777777" w:rsidR="006A3667" w:rsidRDefault="00045F32">
            <w:pPr>
              <w:jc w:val="center"/>
              <w:textAlignment w:val="bottom"/>
            </w:pPr>
            <w:r>
              <w:rPr>
                <w:rFonts w:ascii="Arial" w:eastAsia="宋体" w:hAnsi="Arial" w:cs="Arial"/>
                <w:b/>
                <w:bCs/>
                <w:color w:val="000000"/>
                <w:sz w:val="15"/>
                <w:szCs w:val="15"/>
              </w:rPr>
              <w:t>Net Amounts of 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EC2"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EC3" w14:textId="77777777" w:rsidR="006A3667" w:rsidRDefault="00045F32">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71D47EC4" w14:textId="77777777" w:rsidR="006A3667" w:rsidRDefault="006A3667">
            <w:pPr>
              <w:rPr>
                <w:rFonts w:ascii="宋体"/>
                <w:vanish/>
              </w:rPr>
            </w:pPr>
          </w:p>
        </w:tc>
        <w:tc>
          <w:tcPr>
            <w:tcW w:w="0" w:type="auto"/>
            <w:gridSpan w:val="3"/>
            <w:shd w:val="clear" w:color="auto" w:fill="auto"/>
            <w:vAlign w:val="bottom"/>
          </w:tcPr>
          <w:p w14:paraId="71D47EC5" w14:textId="77777777" w:rsidR="006A3667" w:rsidRDefault="006A3667">
            <w:pPr>
              <w:rPr>
                <w:rFonts w:ascii="宋体"/>
                <w:vanish/>
              </w:rPr>
            </w:pPr>
          </w:p>
        </w:tc>
        <w:tc>
          <w:tcPr>
            <w:tcW w:w="0" w:type="auto"/>
            <w:gridSpan w:val="3"/>
            <w:shd w:val="clear" w:color="auto" w:fill="auto"/>
            <w:vAlign w:val="bottom"/>
          </w:tcPr>
          <w:p w14:paraId="71D47EC6" w14:textId="77777777" w:rsidR="006A3667" w:rsidRDefault="006A3667">
            <w:pPr>
              <w:rPr>
                <w:rFonts w:ascii="宋体"/>
                <w:vanish/>
              </w:rPr>
            </w:pPr>
          </w:p>
        </w:tc>
        <w:tc>
          <w:tcPr>
            <w:tcW w:w="0" w:type="auto"/>
            <w:gridSpan w:val="3"/>
            <w:shd w:val="clear" w:color="auto" w:fill="auto"/>
            <w:vAlign w:val="bottom"/>
          </w:tcPr>
          <w:p w14:paraId="71D47EC7" w14:textId="77777777" w:rsidR="006A3667" w:rsidRDefault="006A3667">
            <w:pPr>
              <w:rPr>
                <w:rFonts w:ascii="宋体"/>
                <w:vanish/>
              </w:rPr>
            </w:pPr>
          </w:p>
        </w:tc>
        <w:tc>
          <w:tcPr>
            <w:tcW w:w="0" w:type="auto"/>
            <w:gridSpan w:val="3"/>
            <w:shd w:val="clear" w:color="auto" w:fill="auto"/>
            <w:vAlign w:val="bottom"/>
          </w:tcPr>
          <w:p w14:paraId="71D47EC8" w14:textId="77777777" w:rsidR="006A3667" w:rsidRDefault="006A3667">
            <w:pPr>
              <w:rPr>
                <w:rFonts w:ascii="宋体"/>
                <w:vanish/>
              </w:rPr>
            </w:pPr>
          </w:p>
        </w:tc>
      </w:tr>
      <w:tr w:rsidR="006A3667" w14:paraId="71D47ED9" w14:textId="77777777">
        <w:trPr>
          <w:trHeight w:val="540"/>
        </w:trPr>
        <w:tc>
          <w:tcPr>
            <w:tcW w:w="0" w:type="auto"/>
            <w:gridSpan w:val="3"/>
            <w:shd w:val="clear" w:color="auto" w:fill="auto"/>
            <w:tcMar>
              <w:top w:w="40" w:type="dxa"/>
              <w:left w:w="20" w:type="dxa"/>
              <w:bottom w:w="40" w:type="dxa"/>
              <w:right w:w="20" w:type="dxa"/>
            </w:tcMar>
            <w:vAlign w:val="bottom"/>
          </w:tcPr>
          <w:p w14:paraId="71D47ECA" w14:textId="77777777" w:rsidR="006A3667" w:rsidRDefault="00045F32">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EC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ECC" w14:textId="77777777" w:rsidR="006A3667" w:rsidRDefault="006A3667">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7EC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ECE"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7ECF"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7ED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ED1" w14:textId="77777777" w:rsidR="006A3667" w:rsidRDefault="00045F32">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ED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ED3" w14:textId="77777777" w:rsidR="006A3667" w:rsidRDefault="00045F32">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71D47ED4" w14:textId="77777777" w:rsidR="006A3667" w:rsidRDefault="006A3667">
            <w:pPr>
              <w:rPr>
                <w:rFonts w:ascii="宋体"/>
                <w:vanish/>
              </w:rPr>
            </w:pPr>
          </w:p>
        </w:tc>
        <w:tc>
          <w:tcPr>
            <w:tcW w:w="0" w:type="auto"/>
            <w:gridSpan w:val="3"/>
            <w:shd w:val="clear" w:color="auto" w:fill="auto"/>
            <w:vAlign w:val="bottom"/>
          </w:tcPr>
          <w:p w14:paraId="71D47ED5" w14:textId="77777777" w:rsidR="006A3667" w:rsidRDefault="006A3667">
            <w:pPr>
              <w:rPr>
                <w:rFonts w:ascii="宋体"/>
                <w:vanish/>
              </w:rPr>
            </w:pPr>
          </w:p>
        </w:tc>
        <w:tc>
          <w:tcPr>
            <w:tcW w:w="0" w:type="auto"/>
            <w:gridSpan w:val="3"/>
            <w:shd w:val="clear" w:color="auto" w:fill="auto"/>
            <w:vAlign w:val="bottom"/>
          </w:tcPr>
          <w:p w14:paraId="71D47ED6" w14:textId="77777777" w:rsidR="006A3667" w:rsidRDefault="006A3667">
            <w:pPr>
              <w:rPr>
                <w:rFonts w:ascii="宋体"/>
                <w:vanish/>
              </w:rPr>
            </w:pPr>
          </w:p>
        </w:tc>
        <w:tc>
          <w:tcPr>
            <w:tcW w:w="0" w:type="auto"/>
            <w:gridSpan w:val="3"/>
            <w:shd w:val="clear" w:color="auto" w:fill="auto"/>
            <w:vAlign w:val="bottom"/>
          </w:tcPr>
          <w:p w14:paraId="71D47ED7" w14:textId="77777777" w:rsidR="006A3667" w:rsidRDefault="006A3667">
            <w:pPr>
              <w:rPr>
                <w:rFonts w:ascii="宋体"/>
                <w:vanish/>
              </w:rPr>
            </w:pPr>
          </w:p>
        </w:tc>
        <w:tc>
          <w:tcPr>
            <w:tcW w:w="0" w:type="auto"/>
            <w:gridSpan w:val="3"/>
            <w:shd w:val="clear" w:color="auto" w:fill="auto"/>
            <w:vAlign w:val="bottom"/>
          </w:tcPr>
          <w:p w14:paraId="71D47ED8" w14:textId="77777777" w:rsidR="006A3667" w:rsidRDefault="006A3667">
            <w:pPr>
              <w:rPr>
                <w:rFonts w:ascii="宋体"/>
                <w:vanish/>
              </w:rPr>
            </w:pPr>
          </w:p>
        </w:tc>
      </w:tr>
      <w:tr w:rsidR="006A3667" w14:paraId="71D47EE6" w14:textId="77777777">
        <w:tc>
          <w:tcPr>
            <w:tcW w:w="0" w:type="auto"/>
            <w:gridSpan w:val="12"/>
            <w:shd w:val="clear" w:color="auto" w:fill="auto"/>
            <w:tcMar>
              <w:top w:w="40" w:type="dxa"/>
              <w:left w:w="20" w:type="dxa"/>
              <w:bottom w:w="40" w:type="dxa"/>
              <w:right w:w="20" w:type="dxa"/>
            </w:tcMar>
            <w:vAlign w:val="bottom"/>
          </w:tcPr>
          <w:p w14:paraId="71D47EDA" w14:textId="77777777" w:rsidR="006A3667" w:rsidRDefault="00045F32">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71D47ED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ED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ED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ED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ED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EE0" w14:textId="77777777" w:rsidR="006A3667" w:rsidRDefault="006A3667">
            <w:pPr>
              <w:rPr>
                <w:rFonts w:ascii="宋体"/>
              </w:rPr>
            </w:pPr>
          </w:p>
        </w:tc>
        <w:tc>
          <w:tcPr>
            <w:tcW w:w="0" w:type="auto"/>
            <w:shd w:val="clear" w:color="auto" w:fill="auto"/>
            <w:vAlign w:val="bottom"/>
          </w:tcPr>
          <w:p w14:paraId="71D47EE1" w14:textId="77777777" w:rsidR="006A3667" w:rsidRDefault="006A3667">
            <w:pPr>
              <w:rPr>
                <w:rFonts w:ascii="宋体"/>
                <w:vanish/>
              </w:rPr>
            </w:pPr>
          </w:p>
        </w:tc>
        <w:tc>
          <w:tcPr>
            <w:tcW w:w="0" w:type="auto"/>
            <w:gridSpan w:val="3"/>
            <w:shd w:val="clear" w:color="auto" w:fill="auto"/>
            <w:vAlign w:val="bottom"/>
          </w:tcPr>
          <w:p w14:paraId="71D47EE2" w14:textId="77777777" w:rsidR="006A3667" w:rsidRDefault="006A3667">
            <w:pPr>
              <w:rPr>
                <w:rFonts w:ascii="宋体"/>
                <w:vanish/>
              </w:rPr>
            </w:pPr>
          </w:p>
        </w:tc>
        <w:tc>
          <w:tcPr>
            <w:tcW w:w="0" w:type="auto"/>
            <w:gridSpan w:val="3"/>
            <w:shd w:val="clear" w:color="auto" w:fill="auto"/>
            <w:vAlign w:val="bottom"/>
          </w:tcPr>
          <w:p w14:paraId="71D47EE3" w14:textId="77777777" w:rsidR="006A3667" w:rsidRDefault="006A3667">
            <w:pPr>
              <w:rPr>
                <w:rFonts w:ascii="宋体"/>
                <w:vanish/>
              </w:rPr>
            </w:pPr>
          </w:p>
        </w:tc>
        <w:tc>
          <w:tcPr>
            <w:tcW w:w="0" w:type="auto"/>
            <w:gridSpan w:val="3"/>
            <w:shd w:val="clear" w:color="auto" w:fill="auto"/>
            <w:vAlign w:val="bottom"/>
          </w:tcPr>
          <w:p w14:paraId="71D47EE4" w14:textId="77777777" w:rsidR="006A3667" w:rsidRDefault="006A3667">
            <w:pPr>
              <w:rPr>
                <w:rFonts w:ascii="宋体"/>
                <w:vanish/>
              </w:rPr>
            </w:pPr>
          </w:p>
        </w:tc>
        <w:tc>
          <w:tcPr>
            <w:tcW w:w="0" w:type="auto"/>
            <w:gridSpan w:val="3"/>
            <w:shd w:val="clear" w:color="auto" w:fill="auto"/>
            <w:vAlign w:val="bottom"/>
          </w:tcPr>
          <w:p w14:paraId="71D47EE5" w14:textId="77777777" w:rsidR="006A3667" w:rsidRDefault="006A3667">
            <w:pPr>
              <w:rPr>
                <w:rFonts w:ascii="宋体"/>
                <w:vanish/>
              </w:rPr>
            </w:pPr>
          </w:p>
        </w:tc>
      </w:tr>
      <w:tr w:rsidR="006A3667" w14:paraId="71D47F00" w14:textId="77777777">
        <w:tc>
          <w:tcPr>
            <w:tcW w:w="0" w:type="auto"/>
            <w:gridSpan w:val="3"/>
            <w:shd w:val="clear" w:color="auto" w:fill="CCEEFF"/>
            <w:tcMar>
              <w:top w:w="40" w:type="dxa"/>
              <w:left w:w="20" w:type="dxa"/>
              <w:bottom w:w="40" w:type="dxa"/>
              <w:right w:w="20" w:type="dxa"/>
            </w:tcMar>
            <w:vAlign w:val="bottom"/>
          </w:tcPr>
          <w:p w14:paraId="71D47EE7" w14:textId="77777777" w:rsidR="006A3667" w:rsidRDefault="00045F32">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1D47EE8"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EE9" w14:textId="77777777" w:rsidR="006A3667" w:rsidRDefault="00045F32">
            <w:pPr>
              <w:jc w:val="right"/>
              <w:textAlignment w:val="bottom"/>
            </w:pPr>
            <w:r>
              <w:rPr>
                <w:rFonts w:ascii="Arial" w:eastAsia="宋体" w:hAnsi="Arial" w:cs="Arial"/>
                <w:b/>
                <w:bCs/>
                <w:color w:val="000000"/>
                <w:sz w:val="15"/>
                <w:szCs w:val="15"/>
              </w:rPr>
              <w:t>30,416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E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E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EEC"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EED" w14:textId="77777777" w:rsidR="006A3667" w:rsidRDefault="00045F32">
            <w:pPr>
              <w:jc w:val="right"/>
              <w:textAlignment w:val="bottom"/>
            </w:pPr>
            <w:r>
              <w:rPr>
                <w:rFonts w:ascii="Arial" w:eastAsia="宋体" w:hAnsi="Arial" w:cs="Arial"/>
                <w:b/>
                <w:bCs/>
                <w:color w:val="000000"/>
                <w:sz w:val="15"/>
                <w:szCs w:val="15"/>
              </w:rPr>
              <w:t>(16,537)</w:t>
            </w:r>
          </w:p>
        </w:tc>
        <w:tc>
          <w:tcPr>
            <w:tcW w:w="0" w:type="auto"/>
            <w:shd w:val="clear" w:color="auto" w:fill="CCEEFF"/>
            <w:tcMar>
              <w:top w:w="40" w:type="dxa"/>
              <w:left w:w="0" w:type="dxa"/>
              <w:bottom w:w="40" w:type="dxa"/>
              <w:right w:w="20" w:type="dxa"/>
            </w:tcMar>
            <w:vAlign w:val="bottom"/>
          </w:tcPr>
          <w:p w14:paraId="71D47E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E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EF0"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EF1" w14:textId="77777777" w:rsidR="006A3667" w:rsidRDefault="00045F32">
            <w:pPr>
              <w:jc w:val="right"/>
              <w:textAlignment w:val="bottom"/>
            </w:pPr>
            <w:r>
              <w:rPr>
                <w:rFonts w:ascii="Arial" w:eastAsia="宋体" w:hAnsi="Arial" w:cs="Arial"/>
                <w:b/>
                <w:bCs/>
                <w:color w:val="000000"/>
                <w:sz w:val="15"/>
                <w:szCs w:val="15"/>
              </w:rPr>
              <w:t>13,879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E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F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EF4"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EF5"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E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EF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EF8"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7EF9" w14:textId="77777777" w:rsidR="006A3667" w:rsidRDefault="00045F32">
            <w:pPr>
              <w:jc w:val="right"/>
              <w:textAlignment w:val="bottom"/>
            </w:pPr>
            <w:r>
              <w:rPr>
                <w:rFonts w:ascii="Arial" w:eastAsia="宋体" w:hAnsi="Arial" w:cs="Arial"/>
                <w:b/>
                <w:bCs/>
                <w:color w:val="000000"/>
                <w:sz w:val="15"/>
                <w:szCs w:val="15"/>
              </w:rPr>
              <w:t>13,879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EFA" w14:textId="77777777" w:rsidR="006A3667" w:rsidRDefault="006A3667">
            <w:pPr>
              <w:jc w:val="right"/>
              <w:rPr>
                <w:rFonts w:ascii="宋体"/>
              </w:rPr>
            </w:pPr>
          </w:p>
        </w:tc>
        <w:tc>
          <w:tcPr>
            <w:tcW w:w="0" w:type="auto"/>
            <w:shd w:val="clear" w:color="auto" w:fill="auto"/>
            <w:vAlign w:val="bottom"/>
          </w:tcPr>
          <w:p w14:paraId="71D47EFB" w14:textId="77777777" w:rsidR="006A3667" w:rsidRDefault="006A3667">
            <w:pPr>
              <w:rPr>
                <w:rFonts w:ascii="宋体"/>
                <w:vanish/>
              </w:rPr>
            </w:pPr>
          </w:p>
        </w:tc>
        <w:tc>
          <w:tcPr>
            <w:tcW w:w="0" w:type="auto"/>
            <w:gridSpan w:val="3"/>
            <w:shd w:val="clear" w:color="auto" w:fill="auto"/>
            <w:vAlign w:val="bottom"/>
          </w:tcPr>
          <w:p w14:paraId="71D47EFC" w14:textId="77777777" w:rsidR="006A3667" w:rsidRDefault="006A3667">
            <w:pPr>
              <w:rPr>
                <w:rFonts w:ascii="宋体"/>
                <w:vanish/>
              </w:rPr>
            </w:pPr>
          </w:p>
        </w:tc>
        <w:tc>
          <w:tcPr>
            <w:tcW w:w="0" w:type="auto"/>
            <w:gridSpan w:val="3"/>
            <w:shd w:val="clear" w:color="auto" w:fill="auto"/>
            <w:vAlign w:val="bottom"/>
          </w:tcPr>
          <w:p w14:paraId="71D47EFD" w14:textId="77777777" w:rsidR="006A3667" w:rsidRDefault="006A3667">
            <w:pPr>
              <w:rPr>
                <w:rFonts w:ascii="宋体"/>
                <w:vanish/>
              </w:rPr>
            </w:pPr>
          </w:p>
        </w:tc>
        <w:tc>
          <w:tcPr>
            <w:tcW w:w="0" w:type="auto"/>
            <w:gridSpan w:val="3"/>
            <w:shd w:val="clear" w:color="auto" w:fill="auto"/>
            <w:vAlign w:val="bottom"/>
          </w:tcPr>
          <w:p w14:paraId="71D47EFE" w14:textId="77777777" w:rsidR="006A3667" w:rsidRDefault="006A3667">
            <w:pPr>
              <w:rPr>
                <w:rFonts w:ascii="宋体"/>
                <w:vanish/>
              </w:rPr>
            </w:pPr>
          </w:p>
        </w:tc>
        <w:tc>
          <w:tcPr>
            <w:tcW w:w="0" w:type="auto"/>
            <w:gridSpan w:val="3"/>
            <w:shd w:val="clear" w:color="auto" w:fill="auto"/>
            <w:vAlign w:val="bottom"/>
          </w:tcPr>
          <w:p w14:paraId="71D47EFF" w14:textId="77777777" w:rsidR="006A3667" w:rsidRDefault="006A3667">
            <w:pPr>
              <w:rPr>
                <w:rFonts w:ascii="宋体"/>
                <w:vanish/>
              </w:rPr>
            </w:pPr>
          </w:p>
        </w:tc>
      </w:tr>
      <w:tr w:rsidR="006A3667" w14:paraId="71D47F15" w14:textId="77777777">
        <w:tc>
          <w:tcPr>
            <w:tcW w:w="0" w:type="auto"/>
            <w:gridSpan w:val="3"/>
            <w:shd w:val="clear" w:color="auto" w:fill="FFFFFF"/>
            <w:tcMar>
              <w:top w:w="40" w:type="dxa"/>
              <w:left w:w="20" w:type="dxa"/>
              <w:bottom w:w="40" w:type="dxa"/>
              <w:right w:w="20" w:type="dxa"/>
            </w:tcMar>
            <w:vAlign w:val="bottom"/>
          </w:tcPr>
          <w:p w14:paraId="71D47F01" w14:textId="77777777" w:rsidR="006A3667" w:rsidRDefault="00045F32">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71D47F02" w14:textId="77777777" w:rsidR="006A3667" w:rsidRDefault="00045F32">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F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0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F05"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F0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0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F08" w14:textId="77777777" w:rsidR="006A3667" w:rsidRDefault="00045F32">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F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F0B"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F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F0E" w14:textId="77777777" w:rsidR="006A3667" w:rsidRDefault="00045F32">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7F0F" w14:textId="77777777" w:rsidR="006A3667" w:rsidRDefault="006A3667">
            <w:pPr>
              <w:jc w:val="right"/>
              <w:rPr>
                <w:rFonts w:ascii="宋体"/>
              </w:rPr>
            </w:pPr>
          </w:p>
        </w:tc>
        <w:tc>
          <w:tcPr>
            <w:tcW w:w="0" w:type="auto"/>
            <w:shd w:val="clear" w:color="auto" w:fill="auto"/>
            <w:vAlign w:val="bottom"/>
          </w:tcPr>
          <w:p w14:paraId="71D47F10" w14:textId="77777777" w:rsidR="006A3667" w:rsidRDefault="006A3667">
            <w:pPr>
              <w:rPr>
                <w:rFonts w:ascii="宋体"/>
                <w:vanish/>
              </w:rPr>
            </w:pPr>
          </w:p>
        </w:tc>
        <w:tc>
          <w:tcPr>
            <w:tcW w:w="0" w:type="auto"/>
            <w:gridSpan w:val="3"/>
            <w:shd w:val="clear" w:color="auto" w:fill="auto"/>
            <w:vAlign w:val="bottom"/>
          </w:tcPr>
          <w:p w14:paraId="71D47F11" w14:textId="77777777" w:rsidR="006A3667" w:rsidRDefault="006A3667">
            <w:pPr>
              <w:rPr>
                <w:rFonts w:ascii="宋体"/>
                <w:vanish/>
              </w:rPr>
            </w:pPr>
          </w:p>
        </w:tc>
        <w:tc>
          <w:tcPr>
            <w:tcW w:w="0" w:type="auto"/>
            <w:gridSpan w:val="3"/>
            <w:shd w:val="clear" w:color="auto" w:fill="auto"/>
            <w:vAlign w:val="bottom"/>
          </w:tcPr>
          <w:p w14:paraId="71D47F12" w14:textId="77777777" w:rsidR="006A3667" w:rsidRDefault="006A3667">
            <w:pPr>
              <w:rPr>
                <w:rFonts w:ascii="宋体"/>
                <w:vanish/>
              </w:rPr>
            </w:pPr>
          </w:p>
        </w:tc>
        <w:tc>
          <w:tcPr>
            <w:tcW w:w="0" w:type="auto"/>
            <w:gridSpan w:val="3"/>
            <w:shd w:val="clear" w:color="auto" w:fill="auto"/>
            <w:vAlign w:val="bottom"/>
          </w:tcPr>
          <w:p w14:paraId="71D47F13" w14:textId="77777777" w:rsidR="006A3667" w:rsidRDefault="006A3667">
            <w:pPr>
              <w:rPr>
                <w:rFonts w:ascii="宋体"/>
                <w:vanish/>
              </w:rPr>
            </w:pPr>
          </w:p>
        </w:tc>
        <w:tc>
          <w:tcPr>
            <w:tcW w:w="0" w:type="auto"/>
            <w:gridSpan w:val="3"/>
            <w:shd w:val="clear" w:color="auto" w:fill="auto"/>
            <w:vAlign w:val="bottom"/>
          </w:tcPr>
          <w:p w14:paraId="71D47F14" w14:textId="77777777" w:rsidR="006A3667" w:rsidRDefault="006A3667">
            <w:pPr>
              <w:rPr>
                <w:rFonts w:ascii="宋体"/>
                <w:vanish/>
              </w:rPr>
            </w:pPr>
          </w:p>
        </w:tc>
      </w:tr>
      <w:tr w:rsidR="006A3667" w14:paraId="71D47F2A" w14:textId="77777777">
        <w:tc>
          <w:tcPr>
            <w:tcW w:w="0" w:type="auto"/>
            <w:gridSpan w:val="3"/>
            <w:shd w:val="clear" w:color="auto" w:fill="CCEEFF"/>
            <w:tcMar>
              <w:top w:w="40" w:type="dxa"/>
              <w:left w:w="20" w:type="dxa"/>
              <w:bottom w:w="40" w:type="dxa"/>
              <w:right w:w="20" w:type="dxa"/>
            </w:tcMar>
            <w:vAlign w:val="bottom"/>
          </w:tcPr>
          <w:p w14:paraId="71D47F16" w14:textId="77777777" w:rsidR="006A3667" w:rsidRDefault="00045F32">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71D47F17" w14:textId="77777777" w:rsidR="006A3667" w:rsidRDefault="00045F32">
            <w:pPr>
              <w:jc w:val="right"/>
              <w:textAlignment w:val="bottom"/>
            </w:pPr>
            <w:r>
              <w:rPr>
                <w:rFonts w:ascii="Arial" w:eastAsia="宋体" w:hAnsi="Arial" w:cs="Arial"/>
                <w:b/>
                <w:bCs/>
                <w:color w:val="000000"/>
                <w:sz w:val="15"/>
                <w:szCs w:val="15"/>
              </w:rPr>
              <w:t>245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F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1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F1A" w14:textId="77777777" w:rsidR="006A3667" w:rsidRDefault="00045F32">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F1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1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F1D" w14:textId="77777777" w:rsidR="006A3667" w:rsidRDefault="00045F32">
            <w:pPr>
              <w:jc w:val="right"/>
              <w:textAlignment w:val="bottom"/>
            </w:pPr>
            <w:r>
              <w:rPr>
                <w:rFonts w:ascii="Arial" w:eastAsia="宋体" w:hAnsi="Arial" w:cs="Arial"/>
                <w:b/>
                <w:bCs/>
                <w:color w:val="000000"/>
                <w:sz w:val="15"/>
                <w:szCs w:val="15"/>
              </w:rPr>
              <w:t>245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F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1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F20"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F2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2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F23" w14:textId="77777777" w:rsidR="006A3667" w:rsidRDefault="00045F32">
            <w:pPr>
              <w:jc w:val="right"/>
              <w:textAlignment w:val="bottom"/>
            </w:pPr>
            <w:r>
              <w:rPr>
                <w:rFonts w:ascii="Arial" w:eastAsia="宋体" w:hAnsi="Arial" w:cs="Arial"/>
                <w:b/>
                <w:bCs/>
                <w:color w:val="000000"/>
                <w:sz w:val="15"/>
                <w:szCs w:val="15"/>
              </w:rPr>
              <w:t>245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F24" w14:textId="77777777" w:rsidR="006A3667" w:rsidRDefault="006A3667">
            <w:pPr>
              <w:jc w:val="right"/>
              <w:rPr>
                <w:rFonts w:ascii="宋体"/>
              </w:rPr>
            </w:pPr>
          </w:p>
        </w:tc>
        <w:tc>
          <w:tcPr>
            <w:tcW w:w="0" w:type="auto"/>
            <w:shd w:val="clear" w:color="auto" w:fill="auto"/>
            <w:vAlign w:val="bottom"/>
          </w:tcPr>
          <w:p w14:paraId="71D47F25" w14:textId="77777777" w:rsidR="006A3667" w:rsidRDefault="006A3667">
            <w:pPr>
              <w:rPr>
                <w:rFonts w:ascii="宋体"/>
                <w:vanish/>
              </w:rPr>
            </w:pPr>
          </w:p>
        </w:tc>
        <w:tc>
          <w:tcPr>
            <w:tcW w:w="0" w:type="auto"/>
            <w:gridSpan w:val="3"/>
            <w:shd w:val="clear" w:color="auto" w:fill="auto"/>
            <w:vAlign w:val="bottom"/>
          </w:tcPr>
          <w:p w14:paraId="71D47F26" w14:textId="77777777" w:rsidR="006A3667" w:rsidRDefault="006A3667">
            <w:pPr>
              <w:rPr>
                <w:rFonts w:ascii="宋体"/>
                <w:vanish/>
              </w:rPr>
            </w:pPr>
          </w:p>
        </w:tc>
        <w:tc>
          <w:tcPr>
            <w:tcW w:w="0" w:type="auto"/>
            <w:gridSpan w:val="3"/>
            <w:shd w:val="clear" w:color="auto" w:fill="auto"/>
            <w:vAlign w:val="bottom"/>
          </w:tcPr>
          <w:p w14:paraId="71D47F27" w14:textId="77777777" w:rsidR="006A3667" w:rsidRDefault="006A3667">
            <w:pPr>
              <w:rPr>
                <w:rFonts w:ascii="宋体"/>
                <w:vanish/>
              </w:rPr>
            </w:pPr>
          </w:p>
        </w:tc>
        <w:tc>
          <w:tcPr>
            <w:tcW w:w="0" w:type="auto"/>
            <w:gridSpan w:val="3"/>
            <w:shd w:val="clear" w:color="auto" w:fill="auto"/>
            <w:vAlign w:val="bottom"/>
          </w:tcPr>
          <w:p w14:paraId="71D47F28" w14:textId="77777777" w:rsidR="006A3667" w:rsidRDefault="006A3667">
            <w:pPr>
              <w:rPr>
                <w:rFonts w:ascii="宋体"/>
                <w:vanish/>
              </w:rPr>
            </w:pPr>
          </w:p>
        </w:tc>
        <w:tc>
          <w:tcPr>
            <w:tcW w:w="0" w:type="auto"/>
            <w:gridSpan w:val="3"/>
            <w:shd w:val="clear" w:color="auto" w:fill="auto"/>
            <w:vAlign w:val="bottom"/>
          </w:tcPr>
          <w:p w14:paraId="71D47F29" w14:textId="77777777" w:rsidR="006A3667" w:rsidRDefault="006A3667">
            <w:pPr>
              <w:rPr>
                <w:rFonts w:ascii="宋体"/>
                <w:vanish/>
              </w:rPr>
            </w:pPr>
          </w:p>
        </w:tc>
      </w:tr>
      <w:tr w:rsidR="006A3667" w14:paraId="71D47F3E" w14:textId="77777777">
        <w:tc>
          <w:tcPr>
            <w:tcW w:w="0" w:type="auto"/>
            <w:gridSpan w:val="3"/>
            <w:shd w:val="clear" w:color="auto" w:fill="FFFFFF"/>
            <w:tcMar>
              <w:top w:w="40" w:type="dxa"/>
              <w:left w:w="20" w:type="dxa"/>
              <w:bottom w:w="40" w:type="dxa"/>
              <w:right w:w="20" w:type="dxa"/>
            </w:tcMar>
            <w:vAlign w:val="bottom"/>
          </w:tcPr>
          <w:p w14:paraId="71D47F2B" w14:textId="77777777" w:rsidR="006A3667" w:rsidRDefault="00045F32">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71D47F2C" w14:textId="77777777" w:rsidR="006A3667" w:rsidRDefault="00045F32">
            <w:pPr>
              <w:jc w:val="right"/>
              <w:textAlignment w:val="bottom"/>
            </w:pPr>
            <w:r>
              <w:rPr>
                <w:rFonts w:ascii="Arial" w:eastAsia="宋体" w:hAnsi="Arial" w:cs="Arial"/>
                <w:b/>
                <w:bCs/>
                <w:color w:val="000000"/>
                <w:sz w:val="15"/>
                <w:szCs w:val="15"/>
              </w:rPr>
              <w:t>NA</w:t>
            </w:r>
          </w:p>
        </w:tc>
        <w:tc>
          <w:tcPr>
            <w:tcW w:w="0" w:type="auto"/>
            <w:gridSpan w:val="3"/>
            <w:shd w:val="clear" w:color="auto" w:fill="FFFFFF"/>
            <w:tcMar>
              <w:top w:w="0" w:type="dxa"/>
              <w:left w:w="20" w:type="dxa"/>
              <w:bottom w:w="0" w:type="dxa"/>
              <w:right w:w="20" w:type="dxa"/>
            </w:tcMar>
            <w:vAlign w:val="bottom"/>
          </w:tcPr>
          <w:p w14:paraId="71D47F2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F2E" w14:textId="77777777" w:rsidR="006A3667" w:rsidRDefault="00045F32">
            <w:pPr>
              <w:jc w:val="right"/>
              <w:textAlignment w:val="bottom"/>
            </w:pPr>
            <w:r>
              <w:rPr>
                <w:rFonts w:ascii="Arial" w:eastAsia="宋体" w:hAnsi="Arial" w:cs="Arial"/>
                <w:b/>
                <w:bCs/>
                <w:color w:val="000000"/>
                <w:sz w:val="15"/>
                <w:szCs w:val="15"/>
              </w:rPr>
              <w:t>(5,809)</w:t>
            </w:r>
          </w:p>
        </w:tc>
        <w:tc>
          <w:tcPr>
            <w:tcW w:w="0" w:type="auto"/>
            <w:shd w:val="clear" w:color="auto" w:fill="FFFFFF"/>
            <w:tcMar>
              <w:top w:w="40" w:type="dxa"/>
              <w:left w:w="0" w:type="dxa"/>
              <w:bottom w:w="40" w:type="dxa"/>
              <w:right w:w="20" w:type="dxa"/>
            </w:tcMar>
            <w:vAlign w:val="bottom"/>
          </w:tcPr>
          <w:p w14:paraId="71D47F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3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F31" w14:textId="77777777" w:rsidR="006A3667" w:rsidRDefault="00045F32">
            <w:pPr>
              <w:jc w:val="right"/>
              <w:textAlignment w:val="bottom"/>
            </w:pPr>
            <w:r>
              <w:rPr>
                <w:rFonts w:ascii="Arial" w:eastAsia="宋体" w:hAnsi="Arial" w:cs="Arial"/>
                <w:b/>
                <w:bCs/>
                <w:color w:val="000000"/>
                <w:sz w:val="15"/>
                <w:szCs w:val="15"/>
              </w:rPr>
              <w:t>(5,809)</w:t>
            </w:r>
          </w:p>
        </w:tc>
        <w:tc>
          <w:tcPr>
            <w:tcW w:w="0" w:type="auto"/>
            <w:shd w:val="clear" w:color="auto" w:fill="FFFFFF"/>
            <w:tcMar>
              <w:top w:w="40" w:type="dxa"/>
              <w:left w:w="0" w:type="dxa"/>
              <w:bottom w:w="40" w:type="dxa"/>
              <w:right w:w="20" w:type="dxa"/>
            </w:tcMar>
            <w:vAlign w:val="bottom"/>
          </w:tcPr>
          <w:p w14:paraId="71D47F3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3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F34" w14:textId="77777777" w:rsidR="006A3667" w:rsidRDefault="00045F32">
            <w:pPr>
              <w:jc w:val="right"/>
              <w:textAlignment w:val="bottom"/>
            </w:pPr>
            <w:r>
              <w:rPr>
                <w:rFonts w:ascii="Arial" w:eastAsia="宋体" w:hAnsi="Arial" w:cs="Arial"/>
                <w:b/>
                <w:bCs/>
                <w:color w:val="000000"/>
                <w:sz w:val="15"/>
                <w:szCs w:val="15"/>
              </w:rPr>
              <w:t>(1,485)</w:t>
            </w:r>
          </w:p>
        </w:tc>
        <w:tc>
          <w:tcPr>
            <w:tcW w:w="0" w:type="auto"/>
            <w:shd w:val="clear" w:color="auto" w:fill="FFFFFF"/>
            <w:tcMar>
              <w:top w:w="40" w:type="dxa"/>
              <w:left w:w="0" w:type="dxa"/>
              <w:bottom w:w="40" w:type="dxa"/>
              <w:right w:w="20" w:type="dxa"/>
            </w:tcMar>
            <w:vAlign w:val="bottom"/>
          </w:tcPr>
          <w:p w14:paraId="71D47F3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3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7F37" w14:textId="77777777" w:rsidR="006A3667" w:rsidRDefault="00045F32">
            <w:pPr>
              <w:jc w:val="right"/>
              <w:textAlignment w:val="bottom"/>
            </w:pPr>
            <w:r>
              <w:rPr>
                <w:rFonts w:ascii="Arial" w:eastAsia="宋体" w:hAnsi="Arial" w:cs="Arial"/>
                <w:b/>
                <w:bCs/>
                <w:color w:val="000000"/>
                <w:sz w:val="15"/>
                <w:szCs w:val="15"/>
              </w:rPr>
              <w:t>(7,294)</w:t>
            </w:r>
          </w:p>
        </w:tc>
        <w:tc>
          <w:tcPr>
            <w:tcW w:w="0" w:type="auto"/>
            <w:shd w:val="clear" w:color="auto" w:fill="FFFFFF"/>
            <w:tcMar>
              <w:top w:w="40" w:type="dxa"/>
              <w:left w:w="0" w:type="dxa"/>
              <w:bottom w:w="40" w:type="dxa"/>
              <w:right w:w="20" w:type="dxa"/>
            </w:tcMar>
            <w:vAlign w:val="bottom"/>
          </w:tcPr>
          <w:p w14:paraId="71D47F38" w14:textId="77777777" w:rsidR="006A3667" w:rsidRDefault="006A3667">
            <w:pPr>
              <w:jc w:val="right"/>
              <w:rPr>
                <w:rFonts w:ascii="宋体"/>
              </w:rPr>
            </w:pPr>
          </w:p>
        </w:tc>
        <w:tc>
          <w:tcPr>
            <w:tcW w:w="0" w:type="auto"/>
            <w:shd w:val="clear" w:color="auto" w:fill="auto"/>
            <w:vAlign w:val="bottom"/>
          </w:tcPr>
          <w:p w14:paraId="71D47F39" w14:textId="77777777" w:rsidR="006A3667" w:rsidRDefault="006A3667">
            <w:pPr>
              <w:rPr>
                <w:rFonts w:ascii="宋体"/>
                <w:vanish/>
              </w:rPr>
            </w:pPr>
          </w:p>
        </w:tc>
        <w:tc>
          <w:tcPr>
            <w:tcW w:w="0" w:type="auto"/>
            <w:gridSpan w:val="3"/>
            <w:shd w:val="clear" w:color="auto" w:fill="auto"/>
            <w:vAlign w:val="bottom"/>
          </w:tcPr>
          <w:p w14:paraId="71D47F3A" w14:textId="77777777" w:rsidR="006A3667" w:rsidRDefault="006A3667">
            <w:pPr>
              <w:rPr>
                <w:rFonts w:ascii="宋体"/>
                <w:vanish/>
              </w:rPr>
            </w:pPr>
          </w:p>
        </w:tc>
        <w:tc>
          <w:tcPr>
            <w:tcW w:w="0" w:type="auto"/>
            <w:gridSpan w:val="3"/>
            <w:shd w:val="clear" w:color="auto" w:fill="auto"/>
            <w:vAlign w:val="bottom"/>
          </w:tcPr>
          <w:p w14:paraId="71D47F3B" w14:textId="77777777" w:rsidR="006A3667" w:rsidRDefault="006A3667">
            <w:pPr>
              <w:rPr>
                <w:rFonts w:ascii="宋体"/>
                <w:vanish/>
              </w:rPr>
            </w:pPr>
          </w:p>
        </w:tc>
        <w:tc>
          <w:tcPr>
            <w:tcW w:w="0" w:type="auto"/>
            <w:gridSpan w:val="3"/>
            <w:shd w:val="clear" w:color="auto" w:fill="auto"/>
            <w:vAlign w:val="bottom"/>
          </w:tcPr>
          <w:p w14:paraId="71D47F3C" w14:textId="77777777" w:rsidR="006A3667" w:rsidRDefault="006A3667">
            <w:pPr>
              <w:rPr>
                <w:rFonts w:ascii="宋体"/>
                <w:vanish/>
              </w:rPr>
            </w:pPr>
          </w:p>
        </w:tc>
        <w:tc>
          <w:tcPr>
            <w:tcW w:w="0" w:type="auto"/>
            <w:gridSpan w:val="3"/>
            <w:shd w:val="clear" w:color="auto" w:fill="auto"/>
            <w:vAlign w:val="bottom"/>
          </w:tcPr>
          <w:p w14:paraId="71D47F3D" w14:textId="77777777" w:rsidR="006A3667" w:rsidRDefault="006A3667">
            <w:pPr>
              <w:rPr>
                <w:rFonts w:ascii="宋体"/>
                <w:vanish/>
              </w:rPr>
            </w:pPr>
          </w:p>
        </w:tc>
      </w:tr>
      <w:tr w:rsidR="006A3667" w14:paraId="71D47F53" w14:textId="77777777">
        <w:tc>
          <w:tcPr>
            <w:tcW w:w="0" w:type="auto"/>
            <w:gridSpan w:val="3"/>
            <w:shd w:val="clear" w:color="auto" w:fill="CCEEFF"/>
            <w:tcMar>
              <w:top w:w="40" w:type="dxa"/>
              <w:left w:w="20" w:type="dxa"/>
              <w:bottom w:w="40" w:type="dxa"/>
              <w:right w:w="20" w:type="dxa"/>
            </w:tcMar>
            <w:vAlign w:val="bottom"/>
          </w:tcPr>
          <w:p w14:paraId="71D47F3F" w14:textId="77777777" w:rsidR="006A3667" w:rsidRDefault="00045F32">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7F40" w14:textId="77777777" w:rsidR="006A3667" w:rsidRDefault="00045F32">
            <w:pPr>
              <w:jc w:val="right"/>
              <w:textAlignment w:val="bottom"/>
            </w:pPr>
            <w:r>
              <w:rPr>
                <w:rFonts w:ascii="Arial" w:eastAsia="宋体" w:hAnsi="Arial" w:cs="Arial"/>
                <w:b/>
                <w:bCs/>
                <w:color w:val="000000"/>
                <w:sz w:val="15"/>
                <w:szCs w:val="15"/>
              </w:rPr>
              <w:t>30,665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F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4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7F43" w14:textId="77777777" w:rsidR="006A3667" w:rsidRDefault="00045F32">
            <w:pPr>
              <w:jc w:val="right"/>
              <w:textAlignment w:val="bottom"/>
            </w:pPr>
            <w:r>
              <w:rPr>
                <w:rFonts w:ascii="Arial" w:eastAsia="宋体" w:hAnsi="Arial" w:cs="Arial"/>
                <w:b/>
                <w:bCs/>
                <w:color w:val="000000"/>
                <w:sz w:val="15"/>
                <w:szCs w:val="15"/>
              </w:rPr>
              <w:t>(22,346)</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F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4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7F46" w14:textId="77777777" w:rsidR="006A3667" w:rsidRDefault="00045F32">
            <w:pPr>
              <w:jc w:val="right"/>
              <w:textAlignment w:val="bottom"/>
            </w:pPr>
            <w:r>
              <w:rPr>
                <w:rFonts w:ascii="Arial" w:eastAsia="宋体" w:hAnsi="Arial" w:cs="Arial"/>
                <w:b/>
                <w:bCs/>
                <w:color w:val="000000"/>
                <w:sz w:val="15"/>
                <w:szCs w:val="15"/>
              </w:rPr>
              <w:t>8,319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F4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4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7F49" w14:textId="77777777" w:rsidR="006A3667" w:rsidRDefault="00045F32">
            <w:pPr>
              <w:jc w:val="right"/>
              <w:textAlignment w:val="bottom"/>
            </w:pPr>
            <w:r>
              <w:rPr>
                <w:rFonts w:ascii="Arial" w:eastAsia="宋体" w:hAnsi="Arial" w:cs="Arial"/>
                <w:b/>
                <w:bCs/>
                <w:color w:val="000000"/>
                <w:sz w:val="15"/>
                <w:szCs w:val="15"/>
              </w:rPr>
              <w:t>(1,485)</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F4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4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7F4C" w14:textId="77777777" w:rsidR="006A3667" w:rsidRDefault="00045F32">
            <w:pPr>
              <w:jc w:val="right"/>
              <w:textAlignment w:val="bottom"/>
            </w:pPr>
            <w:r>
              <w:rPr>
                <w:rFonts w:ascii="Arial" w:eastAsia="宋体" w:hAnsi="Arial" w:cs="Arial"/>
                <w:b/>
                <w:bCs/>
                <w:color w:val="000000"/>
                <w:sz w:val="15"/>
                <w:szCs w:val="15"/>
              </w:rPr>
              <w:t>6,834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7F4D" w14:textId="77777777" w:rsidR="006A3667" w:rsidRDefault="006A3667">
            <w:pPr>
              <w:jc w:val="right"/>
              <w:rPr>
                <w:rFonts w:ascii="宋体"/>
              </w:rPr>
            </w:pPr>
          </w:p>
        </w:tc>
        <w:tc>
          <w:tcPr>
            <w:tcW w:w="0" w:type="auto"/>
            <w:shd w:val="clear" w:color="auto" w:fill="auto"/>
            <w:vAlign w:val="bottom"/>
          </w:tcPr>
          <w:p w14:paraId="71D47F4E" w14:textId="77777777" w:rsidR="006A3667" w:rsidRDefault="006A3667">
            <w:pPr>
              <w:rPr>
                <w:rFonts w:ascii="宋体"/>
                <w:vanish/>
              </w:rPr>
            </w:pPr>
          </w:p>
        </w:tc>
        <w:tc>
          <w:tcPr>
            <w:tcW w:w="0" w:type="auto"/>
            <w:gridSpan w:val="3"/>
            <w:shd w:val="clear" w:color="auto" w:fill="auto"/>
            <w:vAlign w:val="bottom"/>
          </w:tcPr>
          <w:p w14:paraId="71D47F4F" w14:textId="77777777" w:rsidR="006A3667" w:rsidRDefault="006A3667">
            <w:pPr>
              <w:rPr>
                <w:rFonts w:ascii="宋体"/>
                <w:vanish/>
              </w:rPr>
            </w:pPr>
          </w:p>
        </w:tc>
        <w:tc>
          <w:tcPr>
            <w:tcW w:w="0" w:type="auto"/>
            <w:gridSpan w:val="3"/>
            <w:shd w:val="clear" w:color="auto" w:fill="auto"/>
            <w:vAlign w:val="bottom"/>
          </w:tcPr>
          <w:p w14:paraId="71D47F50" w14:textId="77777777" w:rsidR="006A3667" w:rsidRDefault="006A3667">
            <w:pPr>
              <w:rPr>
                <w:rFonts w:ascii="宋体"/>
                <w:vanish/>
              </w:rPr>
            </w:pPr>
          </w:p>
        </w:tc>
        <w:tc>
          <w:tcPr>
            <w:tcW w:w="0" w:type="auto"/>
            <w:gridSpan w:val="3"/>
            <w:shd w:val="clear" w:color="auto" w:fill="auto"/>
            <w:vAlign w:val="bottom"/>
          </w:tcPr>
          <w:p w14:paraId="71D47F51" w14:textId="77777777" w:rsidR="006A3667" w:rsidRDefault="006A3667">
            <w:pPr>
              <w:rPr>
                <w:rFonts w:ascii="宋体"/>
                <w:vanish/>
              </w:rPr>
            </w:pPr>
          </w:p>
        </w:tc>
        <w:tc>
          <w:tcPr>
            <w:tcW w:w="0" w:type="auto"/>
            <w:gridSpan w:val="3"/>
            <w:shd w:val="clear" w:color="auto" w:fill="auto"/>
            <w:vAlign w:val="bottom"/>
          </w:tcPr>
          <w:p w14:paraId="71D47F52" w14:textId="77777777" w:rsidR="006A3667" w:rsidRDefault="006A3667">
            <w:pPr>
              <w:rPr>
                <w:rFonts w:ascii="宋体"/>
                <w:vanish/>
              </w:rPr>
            </w:pPr>
          </w:p>
        </w:tc>
      </w:tr>
      <w:tr w:rsidR="006A3667" w14:paraId="71D47F63" w14:textId="77777777">
        <w:tc>
          <w:tcPr>
            <w:tcW w:w="0" w:type="auto"/>
            <w:gridSpan w:val="3"/>
            <w:shd w:val="clear" w:color="auto" w:fill="FFFFFF"/>
            <w:tcMar>
              <w:top w:w="40" w:type="dxa"/>
              <w:left w:w="20" w:type="dxa"/>
              <w:bottom w:w="40" w:type="dxa"/>
              <w:right w:w="20" w:type="dxa"/>
            </w:tcMar>
            <w:vAlign w:val="bottom"/>
          </w:tcPr>
          <w:p w14:paraId="71D47F54" w14:textId="77777777" w:rsidR="006A3667" w:rsidRDefault="00045F32">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71D47F5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F5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F5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F5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F5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F5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F5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F5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7F5D" w14:textId="77777777" w:rsidR="006A3667" w:rsidRDefault="006A3667">
            <w:pPr>
              <w:rPr>
                <w:rFonts w:ascii="宋体"/>
              </w:rPr>
            </w:pPr>
          </w:p>
        </w:tc>
        <w:tc>
          <w:tcPr>
            <w:tcW w:w="0" w:type="auto"/>
            <w:shd w:val="clear" w:color="auto" w:fill="auto"/>
            <w:vAlign w:val="bottom"/>
          </w:tcPr>
          <w:p w14:paraId="71D47F5E" w14:textId="77777777" w:rsidR="006A3667" w:rsidRDefault="006A3667">
            <w:pPr>
              <w:rPr>
                <w:rFonts w:ascii="宋体"/>
                <w:vanish/>
              </w:rPr>
            </w:pPr>
          </w:p>
        </w:tc>
        <w:tc>
          <w:tcPr>
            <w:tcW w:w="0" w:type="auto"/>
            <w:gridSpan w:val="3"/>
            <w:shd w:val="clear" w:color="auto" w:fill="auto"/>
            <w:vAlign w:val="bottom"/>
          </w:tcPr>
          <w:p w14:paraId="71D47F5F" w14:textId="77777777" w:rsidR="006A3667" w:rsidRDefault="006A3667">
            <w:pPr>
              <w:rPr>
                <w:rFonts w:ascii="宋体"/>
                <w:vanish/>
              </w:rPr>
            </w:pPr>
          </w:p>
        </w:tc>
        <w:tc>
          <w:tcPr>
            <w:tcW w:w="0" w:type="auto"/>
            <w:gridSpan w:val="3"/>
            <w:shd w:val="clear" w:color="auto" w:fill="auto"/>
            <w:vAlign w:val="bottom"/>
          </w:tcPr>
          <w:p w14:paraId="71D47F60" w14:textId="77777777" w:rsidR="006A3667" w:rsidRDefault="006A3667">
            <w:pPr>
              <w:rPr>
                <w:rFonts w:ascii="宋体"/>
                <w:vanish/>
              </w:rPr>
            </w:pPr>
          </w:p>
        </w:tc>
        <w:tc>
          <w:tcPr>
            <w:tcW w:w="0" w:type="auto"/>
            <w:gridSpan w:val="3"/>
            <w:shd w:val="clear" w:color="auto" w:fill="auto"/>
            <w:vAlign w:val="bottom"/>
          </w:tcPr>
          <w:p w14:paraId="71D47F61" w14:textId="77777777" w:rsidR="006A3667" w:rsidRDefault="006A3667">
            <w:pPr>
              <w:rPr>
                <w:rFonts w:ascii="宋体"/>
                <w:vanish/>
              </w:rPr>
            </w:pPr>
          </w:p>
        </w:tc>
        <w:tc>
          <w:tcPr>
            <w:tcW w:w="0" w:type="auto"/>
            <w:gridSpan w:val="3"/>
            <w:shd w:val="clear" w:color="auto" w:fill="auto"/>
            <w:vAlign w:val="bottom"/>
          </w:tcPr>
          <w:p w14:paraId="71D47F62" w14:textId="77777777" w:rsidR="006A3667" w:rsidRDefault="006A3667">
            <w:pPr>
              <w:rPr>
                <w:rFonts w:ascii="宋体"/>
                <w:vanish/>
              </w:rPr>
            </w:pPr>
          </w:p>
        </w:tc>
      </w:tr>
      <w:tr w:rsidR="006A3667" w14:paraId="71D47F73" w14:textId="77777777">
        <w:trPr>
          <w:hidden/>
        </w:trPr>
        <w:tc>
          <w:tcPr>
            <w:tcW w:w="0" w:type="auto"/>
            <w:gridSpan w:val="3"/>
            <w:shd w:val="clear" w:color="auto" w:fill="auto"/>
            <w:vAlign w:val="bottom"/>
          </w:tcPr>
          <w:p w14:paraId="71D47F64" w14:textId="77777777" w:rsidR="006A3667" w:rsidRDefault="006A3667">
            <w:pPr>
              <w:rPr>
                <w:rFonts w:ascii="宋体"/>
                <w:vanish/>
              </w:rPr>
            </w:pPr>
          </w:p>
        </w:tc>
        <w:tc>
          <w:tcPr>
            <w:tcW w:w="0" w:type="auto"/>
            <w:gridSpan w:val="3"/>
            <w:shd w:val="clear" w:color="auto" w:fill="auto"/>
            <w:vAlign w:val="bottom"/>
          </w:tcPr>
          <w:p w14:paraId="71D47F65" w14:textId="77777777" w:rsidR="006A3667" w:rsidRDefault="006A3667">
            <w:pPr>
              <w:rPr>
                <w:rFonts w:ascii="宋体"/>
                <w:vanish/>
              </w:rPr>
            </w:pPr>
          </w:p>
        </w:tc>
        <w:tc>
          <w:tcPr>
            <w:tcW w:w="0" w:type="auto"/>
            <w:gridSpan w:val="3"/>
            <w:shd w:val="clear" w:color="auto" w:fill="auto"/>
            <w:vAlign w:val="bottom"/>
          </w:tcPr>
          <w:p w14:paraId="71D47F66" w14:textId="77777777" w:rsidR="006A3667" w:rsidRDefault="006A3667">
            <w:pPr>
              <w:rPr>
                <w:rFonts w:ascii="宋体"/>
                <w:vanish/>
              </w:rPr>
            </w:pPr>
          </w:p>
        </w:tc>
        <w:tc>
          <w:tcPr>
            <w:tcW w:w="0" w:type="auto"/>
            <w:gridSpan w:val="3"/>
            <w:shd w:val="clear" w:color="auto" w:fill="auto"/>
            <w:vAlign w:val="bottom"/>
          </w:tcPr>
          <w:p w14:paraId="71D47F67" w14:textId="77777777" w:rsidR="006A3667" w:rsidRDefault="006A3667">
            <w:pPr>
              <w:rPr>
                <w:rFonts w:ascii="宋体"/>
                <w:vanish/>
              </w:rPr>
            </w:pPr>
          </w:p>
        </w:tc>
        <w:tc>
          <w:tcPr>
            <w:tcW w:w="0" w:type="auto"/>
            <w:gridSpan w:val="3"/>
            <w:shd w:val="clear" w:color="auto" w:fill="auto"/>
            <w:vAlign w:val="bottom"/>
          </w:tcPr>
          <w:p w14:paraId="71D47F68" w14:textId="77777777" w:rsidR="006A3667" w:rsidRDefault="006A3667">
            <w:pPr>
              <w:rPr>
                <w:rFonts w:ascii="宋体"/>
                <w:vanish/>
              </w:rPr>
            </w:pPr>
          </w:p>
        </w:tc>
        <w:tc>
          <w:tcPr>
            <w:tcW w:w="0" w:type="auto"/>
            <w:gridSpan w:val="3"/>
            <w:shd w:val="clear" w:color="auto" w:fill="auto"/>
            <w:vAlign w:val="bottom"/>
          </w:tcPr>
          <w:p w14:paraId="71D47F69" w14:textId="77777777" w:rsidR="006A3667" w:rsidRDefault="006A3667">
            <w:pPr>
              <w:rPr>
                <w:rFonts w:ascii="宋体"/>
                <w:vanish/>
              </w:rPr>
            </w:pPr>
          </w:p>
        </w:tc>
        <w:tc>
          <w:tcPr>
            <w:tcW w:w="0" w:type="auto"/>
            <w:gridSpan w:val="3"/>
            <w:shd w:val="clear" w:color="auto" w:fill="auto"/>
            <w:vAlign w:val="bottom"/>
          </w:tcPr>
          <w:p w14:paraId="71D47F6A" w14:textId="77777777" w:rsidR="006A3667" w:rsidRDefault="006A3667">
            <w:pPr>
              <w:rPr>
                <w:rFonts w:ascii="宋体"/>
                <w:vanish/>
              </w:rPr>
            </w:pPr>
          </w:p>
        </w:tc>
        <w:tc>
          <w:tcPr>
            <w:tcW w:w="0" w:type="auto"/>
            <w:gridSpan w:val="3"/>
            <w:shd w:val="clear" w:color="auto" w:fill="auto"/>
            <w:vAlign w:val="bottom"/>
          </w:tcPr>
          <w:p w14:paraId="71D47F6B" w14:textId="77777777" w:rsidR="006A3667" w:rsidRDefault="006A3667">
            <w:pPr>
              <w:rPr>
                <w:rFonts w:ascii="宋体"/>
                <w:vanish/>
              </w:rPr>
            </w:pPr>
          </w:p>
        </w:tc>
        <w:tc>
          <w:tcPr>
            <w:tcW w:w="0" w:type="auto"/>
            <w:gridSpan w:val="3"/>
            <w:shd w:val="clear" w:color="auto" w:fill="auto"/>
            <w:vAlign w:val="bottom"/>
          </w:tcPr>
          <w:p w14:paraId="71D47F6C" w14:textId="77777777" w:rsidR="006A3667" w:rsidRDefault="006A3667">
            <w:pPr>
              <w:rPr>
                <w:rFonts w:ascii="宋体"/>
                <w:vanish/>
              </w:rPr>
            </w:pPr>
          </w:p>
        </w:tc>
        <w:tc>
          <w:tcPr>
            <w:tcW w:w="0" w:type="auto"/>
            <w:gridSpan w:val="3"/>
            <w:shd w:val="clear" w:color="auto" w:fill="auto"/>
            <w:vAlign w:val="bottom"/>
          </w:tcPr>
          <w:p w14:paraId="71D47F6D" w14:textId="77777777" w:rsidR="006A3667" w:rsidRDefault="006A3667">
            <w:pPr>
              <w:rPr>
                <w:rFonts w:ascii="宋体"/>
                <w:vanish/>
              </w:rPr>
            </w:pPr>
          </w:p>
        </w:tc>
        <w:tc>
          <w:tcPr>
            <w:tcW w:w="0" w:type="auto"/>
            <w:shd w:val="clear" w:color="auto" w:fill="auto"/>
            <w:vAlign w:val="bottom"/>
          </w:tcPr>
          <w:p w14:paraId="71D47F6E" w14:textId="77777777" w:rsidR="006A3667" w:rsidRDefault="006A3667">
            <w:pPr>
              <w:rPr>
                <w:rFonts w:ascii="宋体"/>
                <w:vanish/>
              </w:rPr>
            </w:pPr>
          </w:p>
        </w:tc>
        <w:tc>
          <w:tcPr>
            <w:tcW w:w="0" w:type="auto"/>
            <w:gridSpan w:val="3"/>
            <w:shd w:val="clear" w:color="auto" w:fill="auto"/>
            <w:vAlign w:val="bottom"/>
          </w:tcPr>
          <w:p w14:paraId="71D47F6F" w14:textId="77777777" w:rsidR="006A3667" w:rsidRDefault="006A3667">
            <w:pPr>
              <w:rPr>
                <w:rFonts w:ascii="宋体"/>
                <w:vanish/>
              </w:rPr>
            </w:pPr>
          </w:p>
        </w:tc>
        <w:tc>
          <w:tcPr>
            <w:tcW w:w="0" w:type="auto"/>
            <w:gridSpan w:val="3"/>
            <w:shd w:val="clear" w:color="auto" w:fill="auto"/>
            <w:vAlign w:val="bottom"/>
          </w:tcPr>
          <w:p w14:paraId="71D47F70" w14:textId="77777777" w:rsidR="006A3667" w:rsidRDefault="006A3667">
            <w:pPr>
              <w:rPr>
                <w:rFonts w:ascii="宋体"/>
                <w:vanish/>
              </w:rPr>
            </w:pPr>
          </w:p>
        </w:tc>
        <w:tc>
          <w:tcPr>
            <w:tcW w:w="0" w:type="auto"/>
            <w:gridSpan w:val="3"/>
            <w:shd w:val="clear" w:color="auto" w:fill="auto"/>
            <w:vAlign w:val="bottom"/>
          </w:tcPr>
          <w:p w14:paraId="71D47F71" w14:textId="77777777" w:rsidR="006A3667" w:rsidRDefault="006A3667">
            <w:pPr>
              <w:rPr>
                <w:rFonts w:ascii="宋体"/>
                <w:vanish/>
              </w:rPr>
            </w:pPr>
          </w:p>
        </w:tc>
        <w:tc>
          <w:tcPr>
            <w:tcW w:w="0" w:type="auto"/>
            <w:gridSpan w:val="3"/>
            <w:shd w:val="clear" w:color="auto" w:fill="auto"/>
            <w:vAlign w:val="bottom"/>
          </w:tcPr>
          <w:p w14:paraId="71D47F72" w14:textId="77777777" w:rsidR="006A3667" w:rsidRDefault="006A3667">
            <w:pPr>
              <w:rPr>
                <w:rFonts w:ascii="宋体"/>
                <w:vanish/>
              </w:rPr>
            </w:pPr>
          </w:p>
        </w:tc>
      </w:tr>
      <w:tr w:rsidR="006A3667" w14:paraId="71D47F83" w14:textId="77777777">
        <w:trPr>
          <w:hidden/>
        </w:trPr>
        <w:tc>
          <w:tcPr>
            <w:tcW w:w="0" w:type="auto"/>
            <w:gridSpan w:val="3"/>
            <w:shd w:val="clear" w:color="auto" w:fill="auto"/>
            <w:vAlign w:val="bottom"/>
          </w:tcPr>
          <w:p w14:paraId="71D47F74" w14:textId="77777777" w:rsidR="006A3667" w:rsidRDefault="006A3667">
            <w:pPr>
              <w:rPr>
                <w:rFonts w:ascii="宋体"/>
                <w:vanish/>
              </w:rPr>
            </w:pPr>
          </w:p>
        </w:tc>
        <w:tc>
          <w:tcPr>
            <w:tcW w:w="0" w:type="auto"/>
            <w:gridSpan w:val="3"/>
            <w:shd w:val="clear" w:color="auto" w:fill="auto"/>
            <w:vAlign w:val="bottom"/>
          </w:tcPr>
          <w:p w14:paraId="71D47F75" w14:textId="77777777" w:rsidR="006A3667" w:rsidRDefault="006A3667">
            <w:pPr>
              <w:rPr>
                <w:rFonts w:ascii="宋体"/>
                <w:vanish/>
              </w:rPr>
            </w:pPr>
          </w:p>
        </w:tc>
        <w:tc>
          <w:tcPr>
            <w:tcW w:w="0" w:type="auto"/>
            <w:gridSpan w:val="3"/>
            <w:shd w:val="clear" w:color="auto" w:fill="auto"/>
            <w:vAlign w:val="bottom"/>
          </w:tcPr>
          <w:p w14:paraId="71D47F76" w14:textId="77777777" w:rsidR="006A3667" w:rsidRDefault="006A3667">
            <w:pPr>
              <w:rPr>
                <w:rFonts w:ascii="宋体"/>
                <w:vanish/>
              </w:rPr>
            </w:pPr>
          </w:p>
        </w:tc>
        <w:tc>
          <w:tcPr>
            <w:tcW w:w="0" w:type="auto"/>
            <w:gridSpan w:val="3"/>
            <w:shd w:val="clear" w:color="auto" w:fill="auto"/>
            <w:vAlign w:val="bottom"/>
          </w:tcPr>
          <w:p w14:paraId="71D47F77" w14:textId="77777777" w:rsidR="006A3667" w:rsidRDefault="006A3667">
            <w:pPr>
              <w:rPr>
                <w:rFonts w:ascii="宋体"/>
                <w:vanish/>
              </w:rPr>
            </w:pPr>
          </w:p>
        </w:tc>
        <w:tc>
          <w:tcPr>
            <w:tcW w:w="0" w:type="auto"/>
            <w:gridSpan w:val="3"/>
            <w:shd w:val="clear" w:color="auto" w:fill="auto"/>
            <w:vAlign w:val="bottom"/>
          </w:tcPr>
          <w:p w14:paraId="71D47F78" w14:textId="77777777" w:rsidR="006A3667" w:rsidRDefault="006A3667">
            <w:pPr>
              <w:rPr>
                <w:rFonts w:ascii="宋体"/>
                <w:vanish/>
              </w:rPr>
            </w:pPr>
          </w:p>
        </w:tc>
        <w:tc>
          <w:tcPr>
            <w:tcW w:w="0" w:type="auto"/>
            <w:gridSpan w:val="3"/>
            <w:shd w:val="clear" w:color="auto" w:fill="auto"/>
            <w:vAlign w:val="bottom"/>
          </w:tcPr>
          <w:p w14:paraId="71D47F79" w14:textId="77777777" w:rsidR="006A3667" w:rsidRDefault="006A3667">
            <w:pPr>
              <w:rPr>
                <w:rFonts w:ascii="宋体"/>
                <w:vanish/>
              </w:rPr>
            </w:pPr>
          </w:p>
        </w:tc>
        <w:tc>
          <w:tcPr>
            <w:tcW w:w="0" w:type="auto"/>
            <w:gridSpan w:val="3"/>
            <w:shd w:val="clear" w:color="auto" w:fill="auto"/>
            <w:vAlign w:val="bottom"/>
          </w:tcPr>
          <w:p w14:paraId="71D47F7A" w14:textId="77777777" w:rsidR="006A3667" w:rsidRDefault="006A3667">
            <w:pPr>
              <w:rPr>
                <w:rFonts w:ascii="宋体"/>
                <w:vanish/>
              </w:rPr>
            </w:pPr>
          </w:p>
        </w:tc>
        <w:tc>
          <w:tcPr>
            <w:tcW w:w="0" w:type="auto"/>
            <w:gridSpan w:val="3"/>
            <w:shd w:val="clear" w:color="auto" w:fill="auto"/>
            <w:vAlign w:val="bottom"/>
          </w:tcPr>
          <w:p w14:paraId="71D47F7B" w14:textId="77777777" w:rsidR="006A3667" w:rsidRDefault="006A3667">
            <w:pPr>
              <w:rPr>
                <w:rFonts w:ascii="宋体"/>
                <w:vanish/>
              </w:rPr>
            </w:pPr>
          </w:p>
        </w:tc>
        <w:tc>
          <w:tcPr>
            <w:tcW w:w="0" w:type="auto"/>
            <w:gridSpan w:val="3"/>
            <w:shd w:val="clear" w:color="auto" w:fill="auto"/>
            <w:vAlign w:val="bottom"/>
          </w:tcPr>
          <w:p w14:paraId="71D47F7C" w14:textId="77777777" w:rsidR="006A3667" w:rsidRDefault="006A3667">
            <w:pPr>
              <w:rPr>
                <w:rFonts w:ascii="宋体"/>
                <w:vanish/>
              </w:rPr>
            </w:pPr>
          </w:p>
        </w:tc>
        <w:tc>
          <w:tcPr>
            <w:tcW w:w="0" w:type="auto"/>
            <w:gridSpan w:val="3"/>
            <w:shd w:val="clear" w:color="auto" w:fill="auto"/>
            <w:vAlign w:val="bottom"/>
          </w:tcPr>
          <w:p w14:paraId="71D47F7D" w14:textId="77777777" w:rsidR="006A3667" w:rsidRDefault="006A3667">
            <w:pPr>
              <w:rPr>
                <w:rFonts w:ascii="宋体"/>
                <w:vanish/>
              </w:rPr>
            </w:pPr>
          </w:p>
        </w:tc>
        <w:tc>
          <w:tcPr>
            <w:tcW w:w="0" w:type="auto"/>
            <w:shd w:val="clear" w:color="auto" w:fill="auto"/>
            <w:vAlign w:val="bottom"/>
          </w:tcPr>
          <w:p w14:paraId="71D47F7E" w14:textId="77777777" w:rsidR="006A3667" w:rsidRDefault="006A3667">
            <w:pPr>
              <w:rPr>
                <w:rFonts w:ascii="宋体"/>
                <w:vanish/>
              </w:rPr>
            </w:pPr>
          </w:p>
        </w:tc>
        <w:tc>
          <w:tcPr>
            <w:tcW w:w="0" w:type="auto"/>
            <w:gridSpan w:val="3"/>
            <w:shd w:val="clear" w:color="auto" w:fill="auto"/>
            <w:vAlign w:val="bottom"/>
          </w:tcPr>
          <w:p w14:paraId="71D47F7F" w14:textId="77777777" w:rsidR="006A3667" w:rsidRDefault="006A3667">
            <w:pPr>
              <w:rPr>
                <w:rFonts w:ascii="宋体"/>
                <w:vanish/>
              </w:rPr>
            </w:pPr>
          </w:p>
        </w:tc>
        <w:tc>
          <w:tcPr>
            <w:tcW w:w="0" w:type="auto"/>
            <w:gridSpan w:val="3"/>
            <w:shd w:val="clear" w:color="auto" w:fill="auto"/>
            <w:vAlign w:val="bottom"/>
          </w:tcPr>
          <w:p w14:paraId="71D47F80" w14:textId="77777777" w:rsidR="006A3667" w:rsidRDefault="006A3667">
            <w:pPr>
              <w:rPr>
                <w:rFonts w:ascii="宋体"/>
                <w:vanish/>
              </w:rPr>
            </w:pPr>
          </w:p>
        </w:tc>
        <w:tc>
          <w:tcPr>
            <w:tcW w:w="0" w:type="auto"/>
            <w:gridSpan w:val="3"/>
            <w:shd w:val="clear" w:color="auto" w:fill="auto"/>
            <w:vAlign w:val="bottom"/>
          </w:tcPr>
          <w:p w14:paraId="71D47F81" w14:textId="77777777" w:rsidR="006A3667" w:rsidRDefault="006A3667">
            <w:pPr>
              <w:rPr>
                <w:rFonts w:ascii="宋体"/>
                <w:vanish/>
              </w:rPr>
            </w:pPr>
          </w:p>
        </w:tc>
        <w:tc>
          <w:tcPr>
            <w:tcW w:w="0" w:type="auto"/>
            <w:gridSpan w:val="3"/>
            <w:shd w:val="clear" w:color="auto" w:fill="auto"/>
            <w:vAlign w:val="bottom"/>
          </w:tcPr>
          <w:p w14:paraId="71D47F82" w14:textId="77777777" w:rsidR="006A3667" w:rsidRDefault="006A3667">
            <w:pPr>
              <w:rPr>
                <w:rFonts w:ascii="宋体"/>
                <w:vanish/>
              </w:rPr>
            </w:pPr>
          </w:p>
        </w:tc>
      </w:tr>
      <w:tr w:rsidR="006A3667" w14:paraId="71D47F98" w14:textId="77777777">
        <w:tc>
          <w:tcPr>
            <w:tcW w:w="0" w:type="auto"/>
            <w:gridSpan w:val="3"/>
            <w:shd w:val="clear" w:color="auto" w:fill="CCEEFF"/>
            <w:tcMar>
              <w:top w:w="40" w:type="dxa"/>
              <w:left w:w="20" w:type="dxa"/>
              <w:bottom w:w="40" w:type="dxa"/>
              <w:right w:w="20" w:type="dxa"/>
            </w:tcMar>
            <w:vAlign w:val="bottom"/>
          </w:tcPr>
          <w:p w14:paraId="71D47F84" w14:textId="77777777" w:rsidR="006A3667" w:rsidRDefault="00045F32">
            <w:pPr>
              <w:textAlignment w:val="bottom"/>
            </w:pPr>
            <w:r>
              <w:rPr>
                <w:rFonts w:ascii="Arial" w:eastAsia="宋体" w:hAnsi="Arial" w:cs="Arial"/>
                <w:color w:val="000000"/>
                <w:sz w:val="15"/>
                <w:szCs w:val="15"/>
              </w:rPr>
              <w:t xml:space="preserve">Repurchase agreements and </w:t>
            </w:r>
            <w:r>
              <w:rPr>
                <w:rFonts w:ascii="Arial" w:eastAsia="宋体" w:hAnsi="Arial" w:cs="Arial"/>
                <w:color w:val="000000"/>
                <w:sz w:val="15"/>
                <w:szCs w:val="15"/>
              </w:rPr>
              <w:t>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71D47F85" w14:textId="77777777" w:rsidR="006A3667" w:rsidRDefault="00045F32">
            <w:pPr>
              <w:jc w:val="right"/>
              <w:textAlignment w:val="bottom"/>
            </w:pPr>
            <w:r>
              <w:rPr>
                <w:rFonts w:ascii="Arial" w:eastAsia="宋体" w:hAnsi="Arial" w:cs="Arial"/>
                <w:b/>
                <w:bCs/>
                <w:color w:val="000000"/>
                <w:sz w:val="15"/>
                <w:szCs w:val="15"/>
              </w:rPr>
              <w:t>94,705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F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F88" w14:textId="77777777" w:rsidR="006A3667" w:rsidRDefault="00045F32">
            <w:pPr>
              <w:jc w:val="right"/>
              <w:textAlignment w:val="bottom"/>
            </w:pPr>
            <w:r>
              <w:rPr>
                <w:rFonts w:ascii="Arial" w:eastAsia="宋体" w:hAnsi="Arial" w:cs="Arial"/>
                <w:b/>
                <w:bCs/>
                <w:color w:val="000000"/>
                <w:sz w:val="15"/>
                <w:szCs w:val="15"/>
              </w:rPr>
              <w:t>(86,681)</w:t>
            </w:r>
          </w:p>
        </w:tc>
        <w:tc>
          <w:tcPr>
            <w:tcW w:w="0" w:type="auto"/>
            <w:shd w:val="clear" w:color="auto" w:fill="CCEEFF"/>
            <w:tcMar>
              <w:top w:w="40" w:type="dxa"/>
              <w:left w:w="0" w:type="dxa"/>
              <w:bottom w:w="40" w:type="dxa"/>
              <w:right w:w="20" w:type="dxa"/>
            </w:tcMar>
            <w:vAlign w:val="bottom"/>
          </w:tcPr>
          <w:p w14:paraId="71D47F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F8B" w14:textId="77777777" w:rsidR="006A3667" w:rsidRDefault="00045F32">
            <w:pPr>
              <w:jc w:val="right"/>
              <w:textAlignment w:val="bottom"/>
            </w:pPr>
            <w:r>
              <w:rPr>
                <w:rFonts w:ascii="Arial" w:eastAsia="宋体" w:hAnsi="Arial" w:cs="Arial"/>
                <w:b/>
                <w:bCs/>
                <w:color w:val="000000"/>
                <w:sz w:val="15"/>
                <w:szCs w:val="15"/>
              </w:rPr>
              <w:t>8,024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F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F8E" w14:textId="77777777" w:rsidR="006A3667" w:rsidRDefault="00045F32">
            <w:pPr>
              <w:jc w:val="right"/>
              <w:textAlignment w:val="bottom"/>
            </w:pPr>
            <w:r>
              <w:rPr>
                <w:rFonts w:ascii="Arial" w:eastAsia="宋体" w:hAnsi="Arial" w:cs="Arial"/>
                <w:b/>
                <w:bCs/>
                <w:color w:val="000000"/>
                <w:sz w:val="15"/>
                <w:szCs w:val="15"/>
              </w:rPr>
              <w:t>(7,343)</w:t>
            </w:r>
          </w:p>
        </w:tc>
        <w:tc>
          <w:tcPr>
            <w:tcW w:w="0" w:type="auto"/>
            <w:shd w:val="clear" w:color="auto" w:fill="CCEEFF"/>
            <w:tcMar>
              <w:top w:w="40" w:type="dxa"/>
              <w:left w:w="0" w:type="dxa"/>
              <w:bottom w:w="40" w:type="dxa"/>
              <w:right w:w="20" w:type="dxa"/>
            </w:tcMar>
            <w:vAlign w:val="bottom"/>
          </w:tcPr>
          <w:p w14:paraId="71D47F8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9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7F91" w14:textId="77777777" w:rsidR="006A3667" w:rsidRDefault="00045F32">
            <w:pPr>
              <w:jc w:val="right"/>
              <w:textAlignment w:val="bottom"/>
            </w:pPr>
            <w:r>
              <w:rPr>
                <w:rFonts w:ascii="Arial" w:eastAsia="宋体" w:hAnsi="Arial" w:cs="Arial"/>
                <w:b/>
                <w:bCs/>
                <w:color w:val="000000"/>
                <w:sz w:val="15"/>
                <w:szCs w:val="15"/>
              </w:rPr>
              <w:t>681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7F92" w14:textId="77777777" w:rsidR="006A3667" w:rsidRDefault="006A3667">
            <w:pPr>
              <w:jc w:val="right"/>
              <w:rPr>
                <w:rFonts w:ascii="宋体"/>
              </w:rPr>
            </w:pPr>
          </w:p>
        </w:tc>
        <w:tc>
          <w:tcPr>
            <w:tcW w:w="0" w:type="auto"/>
            <w:shd w:val="clear" w:color="auto" w:fill="auto"/>
            <w:vAlign w:val="bottom"/>
          </w:tcPr>
          <w:p w14:paraId="71D47F93" w14:textId="77777777" w:rsidR="006A3667" w:rsidRDefault="006A3667">
            <w:pPr>
              <w:rPr>
                <w:rFonts w:ascii="宋体"/>
                <w:vanish/>
              </w:rPr>
            </w:pPr>
          </w:p>
        </w:tc>
        <w:tc>
          <w:tcPr>
            <w:tcW w:w="0" w:type="auto"/>
            <w:gridSpan w:val="3"/>
            <w:shd w:val="clear" w:color="auto" w:fill="auto"/>
            <w:vAlign w:val="bottom"/>
          </w:tcPr>
          <w:p w14:paraId="71D47F94" w14:textId="77777777" w:rsidR="006A3667" w:rsidRDefault="006A3667">
            <w:pPr>
              <w:rPr>
                <w:rFonts w:ascii="宋体"/>
                <w:vanish/>
              </w:rPr>
            </w:pPr>
          </w:p>
        </w:tc>
        <w:tc>
          <w:tcPr>
            <w:tcW w:w="0" w:type="auto"/>
            <w:gridSpan w:val="3"/>
            <w:shd w:val="clear" w:color="auto" w:fill="auto"/>
            <w:vAlign w:val="bottom"/>
          </w:tcPr>
          <w:p w14:paraId="71D47F95" w14:textId="77777777" w:rsidR="006A3667" w:rsidRDefault="006A3667">
            <w:pPr>
              <w:rPr>
                <w:rFonts w:ascii="宋体"/>
                <w:vanish/>
              </w:rPr>
            </w:pPr>
          </w:p>
        </w:tc>
        <w:tc>
          <w:tcPr>
            <w:tcW w:w="0" w:type="auto"/>
            <w:gridSpan w:val="3"/>
            <w:shd w:val="clear" w:color="auto" w:fill="auto"/>
            <w:vAlign w:val="bottom"/>
          </w:tcPr>
          <w:p w14:paraId="71D47F96" w14:textId="77777777" w:rsidR="006A3667" w:rsidRDefault="006A3667">
            <w:pPr>
              <w:rPr>
                <w:rFonts w:ascii="宋体"/>
                <w:vanish/>
              </w:rPr>
            </w:pPr>
          </w:p>
        </w:tc>
        <w:tc>
          <w:tcPr>
            <w:tcW w:w="0" w:type="auto"/>
            <w:gridSpan w:val="3"/>
            <w:shd w:val="clear" w:color="auto" w:fill="auto"/>
            <w:vAlign w:val="bottom"/>
          </w:tcPr>
          <w:p w14:paraId="71D47F97" w14:textId="77777777" w:rsidR="006A3667" w:rsidRDefault="006A3667">
            <w:pPr>
              <w:rPr>
                <w:rFonts w:ascii="宋体"/>
                <w:vanish/>
              </w:rPr>
            </w:pPr>
          </w:p>
        </w:tc>
      </w:tr>
      <w:tr w:rsidR="006A3667" w14:paraId="71D47FB2" w14:textId="77777777">
        <w:tc>
          <w:tcPr>
            <w:tcW w:w="0" w:type="auto"/>
            <w:gridSpan w:val="3"/>
            <w:shd w:val="clear" w:color="auto" w:fill="FFFFFF"/>
            <w:tcMar>
              <w:top w:w="40" w:type="dxa"/>
              <w:left w:w="20" w:type="dxa"/>
              <w:bottom w:w="40" w:type="dxa"/>
              <w:right w:w="20" w:type="dxa"/>
            </w:tcMar>
            <w:vAlign w:val="bottom"/>
          </w:tcPr>
          <w:p w14:paraId="71D47F99" w14:textId="77777777" w:rsidR="006A3667" w:rsidRDefault="00045F32">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F9A"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F9B" w14:textId="77777777" w:rsidR="006A3667" w:rsidRDefault="00045F32">
            <w:pPr>
              <w:jc w:val="right"/>
              <w:textAlignment w:val="bottom"/>
            </w:pPr>
            <w:r>
              <w:rPr>
                <w:rFonts w:ascii="Arial" w:eastAsia="宋体" w:hAnsi="Arial" w:cs="Arial"/>
                <w:b/>
                <w:bCs/>
                <w:color w:val="000000"/>
                <w:sz w:val="15"/>
                <w:szCs w:val="15"/>
              </w:rPr>
              <w:t>125,370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F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9D"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F9E"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F9F" w14:textId="77777777" w:rsidR="006A3667" w:rsidRDefault="00045F32">
            <w:pPr>
              <w:jc w:val="right"/>
              <w:textAlignment w:val="bottom"/>
            </w:pPr>
            <w:r>
              <w:rPr>
                <w:rFonts w:ascii="Arial" w:eastAsia="宋体" w:hAnsi="Arial" w:cs="Arial"/>
                <w:b/>
                <w:bCs/>
                <w:color w:val="000000"/>
                <w:sz w:val="15"/>
                <w:szCs w:val="15"/>
              </w:rPr>
              <w:t>(109,027)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FA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A1"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FA2"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FA3" w14:textId="77777777" w:rsidR="006A3667" w:rsidRDefault="00045F32">
            <w:pPr>
              <w:jc w:val="right"/>
              <w:textAlignment w:val="bottom"/>
            </w:pPr>
            <w:r>
              <w:rPr>
                <w:rFonts w:ascii="Arial" w:eastAsia="宋体" w:hAnsi="Arial" w:cs="Arial"/>
                <w:b/>
                <w:bCs/>
                <w:color w:val="000000"/>
                <w:sz w:val="15"/>
                <w:szCs w:val="15"/>
              </w:rPr>
              <w:t>16,343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FA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A5"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FA6"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FA7" w14:textId="77777777" w:rsidR="006A3667" w:rsidRDefault="00045F32">
            <w:pPr>
              <w:jc w:val="right"/>
              <w:textAlignment w:val="bottom"/>
            </w:pPr>
            <w:r>
              <w:rPr>
                <w:rFonts w:ascii="Arial" w:eastAsia="宋体" w:hAnsi="Arial" w:cs="Arial"/>
                <w:b/>
                <w:bCs/>
                <w:color w:val="000000"/>
                <w:sz w:val="15"/>
                <w:szCs w:val="15"/>
              </w:rPr>
              <w:t>(8,828)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FA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7FA9"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7FAA"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7FAB" w14:textId="77777777" w:rsidR="006A3667" w:rsidRDefault="00045F32">
            <w:pPr>
              <w:jc w:val="right"/>
              <w:textAlignment w:val="bottom"/>
            </w:pPr>
            <w:r>
              <w:rPr>
                <w:rFonts w:ascii="Arial" w:eastAsia="宋体" w:hAnsi="Arial" w:cs="Arial"/>
                <w:b/>
                <w:bCs/>
                <w:color w:val="000000"/>
                <w:sz w:val="15"/>
                <w:szCs w:val="15"/>
              </w:rPr>
              <w:t>7,515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7FAC" w14:textId="77777777" w:rsidR="006A3667" w:rsidRDefault="006A3667">
            <w:pPr>
              <w:jc w:val="right"/>
              <w:rPr>
                <w:rFonts w:ascii="宋体"/>
              </w:rPr>
            </w:pPr>
          </w:p>
        </w:tc>
        <w:tc>
          <w:tcPr>
            <w:tcW w:w="0" w:type="auto"/>
            <w:shd w:val="clear" w:color="auto" w:fill="auto"/>
            <w:vAlign w:val="bottom"/>
          </w:tcPr>
          <w:p w14:paraId="71D47FAD" w14:textId="77777777" w:rsidR="006A3667" w:rsidRDefault="006A3667">
            <w:pPr>
              <w:rPr>
                <w:rFonts w:ascii="宋体"/>
                <w:vanish/>
              </w:rPr>
            </w:pPr>
          </w:p>
        </w:tc>
        <w:tc>
          <w:tcPr>
            <w:tcW w:w="0" w:type="auto"/>
            <w:gridSpan w:val="3"/>
            <w:shd w:val="clear" w:color="auto" w:fill="auto"/>
            <w:vAlign w:val="bottom"/>
          </w:tcPr>
          <w:p w14:paraId="71D47FAE" w14:textId="77777777" w:rsidR="006A3667" w:rsidRDefault="006A3667">
            <w:pPr>
              <w:rPr>
                <w:rFonts w:ascii="宋体"/>
                <w:vanish/>
              </w:rPr>
            </w:pPr>
          </w:p>
        </w:tc>
        <w:tc>
          <w:tcPr>
            <w:tcW w:w="0" w:type="auto"/>
            <w:gridSpan w:val="3"/>
            <w:shd w:val="clear" w:color="auto" w:fill="auto"/>
            <w:vAlign w:val="bottom"/>
          </w:tcPr>
          <w:p w14:paraId="71D47FAF" w14:textId="77777777" w:rsidR="006A3667" w:rsidRDefault="006A3667">
            <w:pPr>
              <w:rPr>
                <w:rFonts w:ascii="宋体"/>
                <w:vanish/>
              </w:rPr>
            </w:pPr>
          </w:p>
        </w:tc>
        <w:tc>
          <w:tcPr>
            <w:tcW w:w="0" w:type="auto"/>
            <w:gridSpan w:val="3"/>
            <w:shd w:val="clear" w:color="auto" w:fill="auto"/>
            <w:vAlign w:val="bottom"/>
          </w:tcPr>
          <w:p w14:paraId="71D47FB0" w14:textId="77777777" w:rsidR="006A3667" w:rsidRDefault="006A3667">
            <w:pPr>
              <w:rPr>
                <w:rFonts w:ascii="宋体"/>
                <w:vanish/>
              </w:rPr>
            </w:pPr>
          </w:p>
        </w:tc>
        <w:tc>
          <w:tcPr>
            <w:tcW w:w="0" w:type="auto"/>
            <w:gridSpan w:val="3"/>
            <w:shd w:val="clear" w:color="auto" w:fill="auto"/>
            <w:vAlign w:val="bottom"/>
          </w:tcPr>
          <w:p w14:paraId="71D47FB1" w14:textId="77777777" w:rsidR="006A3667" w:rsidRDefault="006A3667">
            <w:pPr>
              <w:rPr>
                <w:rFonts w:ascii="宋体"/>
                <w:vanish/>
              </w:rPr>
            </w:pPr>
          </w:p>
        </w:tc>
      </w:tr>
    </w:tbl>
    <w:p w14:paraId="71D47FB3"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896"/>
        <w:gridCol w:w="37"/>
        <w:gridCol w:w="105"/>
        <w:gridCol w:w="1022"/>
        <w:gridCol w:w="36"/>
        <w:gridCol w:w="36"/>
        <w:gridCol w:w="36"/>
        <w:gridCol w:w="36"/>
        <w:gridCol w:w="105"/>
        <w:gridCol w:w="1179"/>
        <w:gridCol w:w="36"/>
        <w:gridCol w:w="36"/>
        <w:gridCol w:w="36"/>
        <w:gridCol w:w="36"/>
        <w:gridCol w:w="105"/>
        <w:gridCol w:w="1276"/>
        <w:gridCol w:w="36"/>
        <w:gridCol w:w="36"/>
        <w:gridCol w:w="36"/>
        <w:gridCol w:w="36"/>
        <w:gridCol w:w="105"/>
        <w:gridCol w:w="1032"/>
        <w:gridCol w:w="37"/>
        <w:gridCol w:w="36"/>
        <w:gridCol w:w="36"/>
        <w:gridCol w:w="36"/>
        <w:gridCol w:w="105"/>
        <w:gridCol w:w="716"/>
        <w:gridCol w:w="37"/>
      </w:tblGrid>
      <w:tr w:rsidR="006A3667" w14:paraId="71D47FD2" w14:textId="77777777">
        <w:tc>
          <w:tcPr>
            <w:tcW w:w="50" w:type="pct"/>
            <w:shd w:val="clear" w:color="auto" w:fill="auto"/>
            <w:vAlign w:val="bottom"/>
          </w:tcPr>
          <w:p w14:paraId="71D47FB4" w14:textId="77777777" w:rsidR="006A3667" w:rsidRDefault="006A3667">
            <w:pPr>
              <w:rPr>
                <w:rFonts w:ascii="宋体"/>
              </w:rPr>
            </w:pPr>
          </w:p>
        </w:tc>
        <w:tc>
          <w:tcPr>
            <w:tcW w:w="1165" w:type="pct"/>
            <w:shd w:val="clear" w:color="auto" w:fill="auto"/>
            <w:vAlign w:val="bottom"/>
          </w:tcPr>
          <w:p w14:paraId="71D47FB5" w14:textId="77777777" w:rsidR="006A3667" w:rsidRDefault="006A3667">
            <w:pPr>
              <w:rPr>
                <w:rFonts w:ascii="宋体"/>
              </w:rPr>
            </w:pPr>
          </w:p>
        </w:tc>
        <w:tc>
          <w:tcPr>
            <w:tcW w:w="5" w:type="pct"/>
            <w:shd w:val="clear" w:color="auto" w:fill="auto"/>
            <w:vAlign w:val="bottom"/>
          </w:tcPr>
          <w:p w14:paraId="71D47FB6" w14:textId="77777777" w:rsidR="006A3667" w:rsidRDefault="006A3667">
            <w:pPr>
              <w:rPr>
                <w:rFonts w:ascii="宋体"/>
              </w:rPr>
            </w:pPr>
          </w:p>
        </w:tc>
        <w:tc>
          <w:tcPr>
            <w:tcW w:w="50" w:type="pct"/>
            <w:shd w:val="clear" w:color="auto" w:fill="auto"/>
            <w:vAlign w:val="bottom"/>
          </w:tcPr>
          <w:p w14:paraId="71D47FB7" w14:textId="77777777" w:rsidR="006A3667" w:rsidRDefault="006A3667">
            <w:pPr>
              <w:rPr>
                <w:rFonts w:ascii="宋体"/>
              </w:rPr>
            </w:pPr>
          </w:p>
        </w:tc>
        <w:tc>
          <w:tcPr>
            <w:tcW w:w="639" w:type="pct"/>
            <w:shd w:val="clear" w:color="auto" w:fill="auto"/>
            <w:vAlign w:val="bottom"/>
          </w:tcPr>
          <w:p w14:paraId="71D47FB8" w14:textId="77777777" w:rsidR="006A3667" w:rsidRDefault="006A3667">
            <w:pPr>
              <w:rPr>
                <w:rFonts w:ascii="宋体"/>
              </w:rPr>
            </w:pPr>
          </w:p>
        </w:tc>
        <w:tc>
          <w:tcPr>
            <w:tcW w:w="5" w:type="pct"/>
            <w:shd w:val="clear" w:color="auto" w:fill="auto"/>
            <w:vAlign w:val="bottom"/>
          </w:tcPr>
          <w:p w14:paraId="71D47FB9" w14:textId="77777777" w:rsidR="006A3667" w:rsidRDefault="006A3667">
            <w:pPr>
              <w:rPr>
                <w:rFonts w:ascii="宋体"/>
              </w:rPr>
            </w:pPr>
          </w:p>
        </w:tc>
        <w:tc>
          <w:tcPr>
            <w:tcW w:w="5" w:type="pct"/>
            <w:shd w:val="clear" w:color="auto" w:fill="auto"/>
            <w:vAlign w:val="bottom"/>
          </w:tcPr>
          <w:p w14:paraId="71D47FBA" w14:textId="77777777" w:rsidR="006A3667" w:rsidRDefault="006A3667">
            <w:pPr>
              <w:rPr>
                <w:rFonts w:ascii="宋体"/>
              </w:rPr>
            </w:pPr>
          </w:p>
        </w:tc>
        <w:tc>
          <w:tcPr>
            <w:tcW w:w="26" w:type="pct"/>
            <w:shd w:val="clear" w:color="auto" w:fill="auto"/>
            <w:vAlign w:val="bottom"/>
          </w:tcPr>
          <w:p w14:paraId="71D47FBB" w14:textId="77777777" w:rsidR="006A3667" w:rsidRDefault="006A3667">
            <w:pPr>
              <w:rPr>
                <w:rFonts w:ascii="宋体"/>
              </w:rPr>
            </w:pPr>
          </w:p>
        </w:tc>
        <w:tc>
          <w:tcPr>
            <w:tcW w:w="5" w:type="pct"/>
            <w:shd w:val="clear" w:color="auto" w:fill="auto"/>
            <w:vAlign w:val="bottom"/>
          </w:tcPr>
          <w:p w14:paraId="71D47FBC" w14:textId="77777777" w:rsidR="006A3667" w:rsidRDefault="006A3667">
            <w:pPr>
              <w:rPr>
                <w:rFonts w:ascii="宋体"/>
              </w:rPr>
            </w:pPr>
          </w:p>
        </w:tc>
        <w:tc>
          <w:tcPr>
            <w:tcW w:w="50" w:type="pct"/>
            <w:shd w:val="clear" w:color="auto" w:fill="auto"/>
            <w:vAlign w:val="bottom"/>
          </w:tcPr>
          <w:p w14:paraId="71D47FBD" w14:textId="77777777" w:rsidR="006A3667" w:rsidRDefault="006A3667">
            <w:pPr>
              <w:rPr>
                <w:rFonts w:ascii="宋体"/>
              </w:rPr>
            </w:pPr>
          </w:p>
        </w:tc>
        <w:tc>
          <w:tcPr>
            <w:tcW w:w="756" w:type="pct"/>
            <w:shd w:val="clear" w:color="auto" w:fill="auto"/>
            <w:vAlign w:val="bottom"/>
          </w:tcPr>
          <w:p w14:paraId="71D47FBE" w14:textId="77777777" w:rsidR="006A3667" w:rsidRDefault="006A3667">
            <w:pPr>
              <w:rPr>
                <w:rFonts w:ascii="宋体"/>
              </w:rPr>
            </w:pPr>
          </w:p>
        </w:tc>
        <w:tc>
          <w:tcPr>
            <w:tcW w:w="5" w:type="pct"/>
            <w:shd w:val="clear" w:color="auto" w:fill="auto"/>
            <w:vAlign w:val="bottom"/>
          </w:tcPr>
          <w:p w14:paraId="71D47FBF" w14:textId="77777777" w:rsidR="006A3667" w:rsidRDefault="006A3667">
            <w:pPr>
              <w:rPr>
                <w:rFonts w:ascii="宋体"/>
              </w:rPr>
            </w:pPr>
          </w:p>
        </w:tc>
        <w:tc>
          <w:tcPr>
            <w:tcW w:w="5" w:type="pct"/>
            <w:shd w:val="clear" w:color="auto" w:fill="auto"/>
            <w:vAlign w:val="bottom"/>
          </w:tcPr>
          <w:p w14:paraId="71D47FC0" w14:textId="77777777" w:rsidR="006A3667" w:rsidRDefault="006A3667">
            <w:pPr>
              <w:rPr>
                <w:rFonts w:ascii="宋体"/>
              </w:rPr>
            </w:pPr>
          </w:p>
        </w:tc>
        <w:tc>
          <w:tcPr>
            <w:tcW w:w="26" w:type="pct"/>
            <w:shd w:val="clear" w:color="auto" w:fill="auto"/>
            <w:vAlign w:val="bottom"/>
          </w:tcPr>
          <w:p w14:paraId="71D47FC1" w14:textId="77777777" w:rsidR="006A3667" w:rsidRDefault="006A3667">
            <w:pPr>
              <w:rPr>
                <w:rFonts w:ascii="宋体"/>
              </w:rPr>
            </w:pPr>
          </w:p>
        </w:tc>
        <w:tc>
          <w:tcPr>
            <w:tcW w:w="5" w:type="pct"/>
            <w:shd w:val="clear" w:color="auto" w:fill="auto"/>
            <w:vAlign w:val="bottom"/>
          </w:tcPr>
          <w:p w14:paraId="71D47FC2" w14:textId="77777777" w:rsidR="006A3667" w:rsidRDefault="006A3667">
            <w:pPr>
              <w:rPr>
                <w:rFonts w:ascii="宋体"/>
              </w:rPr>
            </w:pPr>
          </w:p>
        </w:tc>
        <w:tc>
          <w:tcPr>
            <w:tcW w:w="50" w:type="pct"/>
            <w:shd w:val="clear" w:color="auto" w:fill="auto"/>
            <w:vAlign w:val="bottom"/>
          </w:tcPr>
          <w:p w14:paraId="71D47FC3" w14:textId="77777777" w:rsidR="006A3667" w:rsidRDefault="006A3667">
            <w:pPr>
              <w:rPr>
                <w:rFonts w:ascii="宋体"/>
              </w:rPr>
            </w:pPr>
          </w:p>
        </w:tc>
        <w:tc>
          <w:tcPr>
            <w:tcW w:w="814" w:type="pct"/>
            <w:shd w:val="clear" w:color="auto" w:fill="auto"/>
            <w:vAlign w:val="bottom"/>
          </w:tcPr>
          <w:p w14:paraId="71D47FC4" w14:textId="77777777" w:rsidR="006A3667" w:rsidRDefault="006A3667">
            <w:pPr>
              <w:rPr>
                <w:rFonts w:ascii="宋体"/>
              </w:rPr>
            </w:pPr>
          </w:p>
        </w:tc>
        <w:tc>
          <w:tcPr>
            <w:tcW w:w="5" w:type="pct"/>
            <w:shd w:val="clear" w:color="auto" w:fill="auto"/>
            <w:vAlign w:val="bottom"/>
          </w:tcPr>
          <w:p w14:paraId="71D47FC5" w14:textId="77777777" w:rsidR="006A3667" w:rsidRDefault="006A3667">
            <w:pPr>
              <w:rPr>
                <w:rFonts w:ascii="宋体"/>
              </w:rPr>
            </w:pPr>
          </w:p>
        </w:tc>
        <w:tc>
          <w:tcPr>
            <w:tcW w:w="5" w:type="pct"/>
            <w:shd w:val="clear" w:color="auto" w:fill="auto"/>
            <w:vAlign w:val="bottom"/>
          </w:tcPr>
          <w:p w14:paraId="71D47FC6" w14:textId="77777777" w:rsidR="006A3667" w:rsidRDefault="006A3667">
            <w:pPr>
              <w:rPr>
                <w:rFonts w:ascii="宋体"/>
              </w:rPr>
            </w:pPr>
          </w:p>
        </w:tc>
        <w:tc>
          <w:tcPr>
            <w:tcW w:w="26" w:type="pct"/>
            <w:shd w:val="clear" w:color="auto" w:fill="auto"/>
            <w:vAlign w:val="bottom"/>
          </w:tcPr>
          <w:p w14:paraId="71D47FC7" w14:textId="77777777" w:rsidR="006A3667" w:rsidRDefault="006A3667">
            <w:pPr>
              <w:rPr>
                <w:rFonts w:ascii="宋体"/>
              </w:rPr>
            </w:pPr>
          </w:p>
        </w:tc>
        <w:tc>
          <w:tcPr>
            <w:tcW w:w="5" w:type="pct"/>
            <w:shd w:val="clear" w:color="auto" w:fill="auto"/>
            <w:vAlign w:val="bottom"/>
          </w:tcPr>
          <w:p w14:paraId="71D47FC8" w14:textId="77777777" w:rsidR="006A3667" w:rsidRDefault="006A3667">
            <w:pPr>
              <w:rPr>
                <w:rFonts w:ascii="宋体"/>
              </w:rPr>
            </w:pPr>
          </w:p>
        </w:tc>
        <w:tc>
          <w:tcPr>
            <w:tcW w:w="50" w:type="pct"/>
            <w:shd w:val="clear" w:color="auto" w:fill="auto"/>
            <w:vAlign w:val="bottom"/>
          </w:tcPr>
          <w:p w14:paraId="71D47FC9" w14:textId="77777777" w:rsidR="006A3667" w:rsidRDefault="006A3667">
            <w:pPr>
              <w:rPr>
                <w:rFonts w:ascii="宋体"/>
              </w:rPr>
            </w:pPr>
          </w:p>
        </w:tc>
        <w:tc>
          <w:tcPr>
            <w:tcW w:w="668" w:type="pct"/>
            <w:shd w:val="clear" w:color="auto" w:fill="auto"/>
            <w:vAlign w:val="bottom"/>
          </w:tcPr>
          <w:p w14:paraId="71D47FCA" w14:textId="77777777" w:rsidR="006A3667" w:rsidRDefault="006A3667">
            <w:pPr>
              <w:rPr>
                <w:rFonts w:ascii="宋体"/>
              </w:rPr>
            </w:pPr>
          </w:p>
        </w:tc>
        <w:tc>
          <w:tcPr>
            <w:tcW w:w="5" w:type="pct"/>
            <w:shd w:val="clear" w:color="auto" w:fill="auto"/>
            <w:vAlign w:val="bottom"/>
          </w:tcPr>
          <w:p w14:paraId="71D47FCB" w14:textId="77777777" w:rsidR="006A3667" w:rsidRDefault="006A3667">
            <w:pPr>
              <w:rPr>
                <w:rFonts w:ascii="宋体"/>
              </w:rPr>
            </w:pPr>
          </w:p>
        </w:tc>
        <w:tc>
          <w:tcPr>
            <w:tcW w:w="5" w:type="pct"/>
            <w:shd w:val="clear" w:color="auto" w:fill="auto"/>
            <w:vAlign w:val="bottom"/>
          </w:tcPr>
          <w:p w14:paraId="71D47FCC" w14:textId="77777777" w:rsidR="006A3667" w:rsidRDefault="006A3667">
            <w:pPr>
              <w:rPr>
                <w:rFonts w:ascii="宋体"/>
              </w:rPr>
            </w:pPr>
          </w:p>
        </w:tc>
        <w:tc>
          <w:tcPr>
            <w:tcW w:w="26" w:type="pct"/>
            <w:shd w:val="clear" w:color="auto" w:fill="auto"/>
            <w:vAlign w:val="bottom"/>
          </w:tcPr>
          <w:p w14:paraId="71D47FCD" w14:textId="77777777" w:rsidR="006A3667" w:rsidRDefault="006A3667">
            <w:pPr>
              <w:rPr>
                <w:rFonts w:ascii="宋体"/>
              </w:rPr>
            </w:pPr>
          </w:p>
        </w:tc>
        <w:tc>
          <w:tcPr>
            <w:tcW w:w="5" w:type="pct"/>
            <w:shd w:val="clear" w:color="auto" w:fill="auto"/>
            <w:vAlign w:val="bottom"/>
          </w:tcPr>
          <w:p w14:paraId="71D47FCE" w14:textId="77777777" w:rsidR="006A3667" w:rsidRDefault="006A3667">
            <w:pPr>
              <w:rPr>
                <w:rFonts w:ascii="宋体"/>
              </w:rPr>
            </w:pPr>
          </w:p>
        </w:tc>
        <w:tc>
          <w:tcPr>
            <w:tcW w:w="50" w:type="pct"/>
            <w:shd w:val="clear" w:color="auto" w:fill="auto"/>
            <w:vAlign w:val="bottom"/>
          </w:tcPr>
          <w:p w14:paraId="71D47FCF" w14:textId="77777777" w:rsidR="006A3667" w:rsidRDefault="006A3667">
            <w:pPr>
              <w:rPr>
                <w:rFonts w:ascii="宋体"/>
              </w:rPr>
            </w:pPr>
          </w:p>
        </w:tc>
        <w:tc>
          <w:tcPr>
            <w:tcW w:w="478" w:type="pct"/>
            <w:shd w:val="clear" w:color="auto" w:fill="auto"/>
            <w:vAlign w:val="bottom"/>
          </w:tcPr>
          <w:p w14:paraId="71D47FD0" w14:textId="77777777" w:rsidR="006A3667" w:rsidRDefault="006A3667">
            <w:pPr>
              <w:rPr>
                <w:rFonts w:ascii="宋体"/>
              </w:rPr>
            </w:pPr>
          </w:p>
        </w:tc>
        <w:tc>
          <w:tcPr>
            <w:tcW w:w="5" w:type="pct"/>
            <w:shd w:val="clear" w:color="auto" w:fill="auto"/>
            <w:vAlign w:val="bottom"/>
          </w:tcPr>
          <w:p w14:paraId="71D47FD1" w14:textId="77777777" w:rsidR="006A3667" w:rsidRDefault="006A3667">
            <w:pPr>
              <w:rPr>
                <w:rFonts w:ascii="宋体"/>
              </w:rPr>
            </w:pPr>
          </w:p>
        </w:tc>
      </w:tr>
      <w:tr w:rsidR="006A3667" w14:paraId="71D47FD5" w14:textId="77777777">
        <w:tc>
          <w:tcPr>
            <w:tcW w:w="0" w:type="auto"/>
            <w:gridSpan w:val="3"/>
            <w:shd w:val="clear" w:color="auto" w:fill="auto"/>
            <w:tcMar>
              <w:top w:w="40" w:type="dxa"/>
              <w:left w:w="20" w:type="dxa"/>
              <w:bottom w:w="40" w:type="dxa"/>
              <w:right w:w="20" w:type="dxa"/>
            </w:tcMar>
            <w:vAlign w:val="bottom"/>
          </w:tcPr>
          <w:p w14:paraId="71D47FD3" w14:textId="77777777" w:rsidR="006A3667" w:rsidRDefault="00045F32">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1D47FD4" w14:textId="77777777" w:rsidR="006A3667" w:rsidRDefault="00045F32">
            <w:pPr>
              <w:jc w:val="center"/>
              <w:textAlignment w:val="bottom"/>
            </w:pPr>
            <w:r>
              <w:rPr>
                <w:rFonts w:ascii="Arial" w:eastAsia="宋体" w:hAnsi="Arial" w:cs="Arial"/>
                <w:b/>
                <w:bCs/>
                <w:color w:val="000000"/>
                <w:sz w:val="15"/>
                <w:szCs w:val="15"/>
              </w:rPr>
              <w:t>December 31, 2021</w:t>
            </w:r>
          </w:p>
        </w:tc>
      </w:tr>
      <w:tr w:rsidR="006A3667" w14:paraId="71D47FDE" w14:textId="77777777">
        <w:trPr>
          <w:trHeight w:val="360"/>
        </w:trPr>
        <w:tc>
          <w:tcPr>
            <w:tcW w:w="0" w:type="auto"/>
            <w:gridSpan w:val="3"/>
            <w:shd w:val="clear" w:color="auto" w:fill="auto"/>
            <w:tcMar>
              <w:top w:w="0" w:type="dxa"/>
              <w:left w:w="20" w:type="dxa"/>
              <w:bottom w:w="0" w:type="dxa"/>
              <w:right w:w="20" w:type="dxa"/>
            </w:tcMar>
            <w:vAlign w:val="bottom"/>
          </w:tcPr>
          <w:p w14:paraId="71D47FD6"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7FD7" w14:textId="77777777" w:rsidR="006A3667" w:rsidRDefault="00045F32">
            <w:pP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D8"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7FD9" w14:textId="77777777" w:rsidR="006A3667" w:rsidRDefault="00045F32">
            <w:pP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DA" w14:textId="77777777" w:rsidR="006A3667" w:rsidRDefault="006A3667">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1D47FDB" w14:textId="77777777" w:rsidR="006A3667" w:rsidRDefault="00045F32">
            <w:pPr>
              <w:jc w:val="center"/>
              <w:textAlignment w:val="bottom"/>
            </w:pPr>
            <w:r>
              <w:rPr>
                <w:rFonts w:ascii="Arial" w:eastAsia="宋体" w:hAnsi="Arial" w:cs="Arial"/>
                <w:b/>
                <w:bCs/>
                <w:color w:val="000000"/>
                <w:sz w:val="15"/>
                <w:szCs w:val="15"/>
              </w:rPr>
              <w:t>Net Amounts of Liabilities Presente</w:t>
            </w:r>
            <w:r>
              <w:rPr>
                <w:rFonts w:ascii="Arial" w:eastAsia="宋体" w:hAnsi="Arial" w:cs="Arial"/>
                <w:b/>
                <w:bCs/>
                <w:color w:val="000000"/>
                <w:sz w:val="15"/>
                <w:szCs w:val="15"/>
              </w:rPr>
              <w:t>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DC"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7FDD" w14:textId="77777777" w:rsidR="006A3667" w:rsidRDefault="00045F32">
            <w:pPr>
              <w:jc w:val="center"/>
              <w:textAlignment w:val="bottom"/>
            </w:pPr>
            <w:r>
              <w:rPr>
                <w:rFonts w:ascii="Arial" w:eastAsia="宋体" w:hAnsi="Arial" w:cs="Arial"/>
                <w:b/>
                <w:bCs/>
                <w:color w:val="000000"/>
                <w:sz w:val="15"/>
                <w:szCs w:val="15"/>
              </w:rPr>
              <w:t>Gross Amounts Not Offset in Statement of Condition</w:t>
            </w:r>
          </w:p>
        </w:tc>
      </w:tr>
      <w:tr w:rsidR="006A3667" w14:paraId="71D47FE9" w14:textId="77777777">
        <w:trPr>
          <w:trHeight w:val="520"/>
        </w:trPr>
        <w:tc>
          <w:tcPr>
            <w:tcW w:w="0" w:type="auto"/>
            <w:gridSpan w:val="3"/>
            <w:shd w:val="clear" w:color="auto" w:fill="auto"/>
            <w:tcMar>
              <w:top w:w="40" w:type="dxa"/>
              <w:left w:w="20" w:type="dxa"/>
              <w:bottom w:w="40" w:type="dxa"/>
              <w:right w:w="20" w:type="dxa"/>
            </w:tcMar>
            <w:vAlign w:val="bottom"/>
          </w:tcPr>
          <w:p w14:paraId="71D47FDF" w14:textId="77777777" w:rsidR="006A3667" w:rsidRDefault="00045F32">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7FE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FE1"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7FE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FE3" w14:textId="77777777" w:rsidR="006A3667" w:rsidRDefault="006A3667">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1D47FE4" w14:textId="77777777" w:rsidR="006A3667" w:rsidRDefault="006A3667">
            <w:pPr>
              <w:jc w:val="center"/>
              <w:rPr>
                <w:rFonts w:ascii="宋体"/>
              </w:rPr>
            </w:pPr>
          </w:p>
        </w:tc>
        <w:tc>
          <w:tcPr>
            <w:tcW w:w="0" w:type="auto"/>
            <w:gridSpan w:val="3"/>
            <w:shd w:val="clear" w:color="auto" w:fill="auto"/>
            <w:tcMar>
              <w:top w:w="0" w:type="dxa"/>
              <w:left w:w="20" w:type="dxa"/>
              <w:bottom w:w="0" w:type="dxa"/>
              <w:right w:w="20" w:type="dxa"/>
            </w:tcMar>
            <w:vAlign w:val="bottom"/>
          </w:tcPr>
          <w:p w14:paraId="71D47FE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FE6" w14:textId="77777777" w:rsidR="006A3667" w:rsidRDefault="00045F32">
            <w:pP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E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7FE8" w14:textId="77777777" w:rsidR="006A3667" w:rsidRDefault="00045F32">
            <w:pP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6A3667" w14:paraId="71D47FF4" w14:textId="77777777">
        <w:tc>
          <w:tcPr>
            <w:tcW w:w="0" w:type="auto"/>
            <w:gridSpan w:val="3"/>
            <w:shd w:val="clear" w:color="auto" w:fill="auto"/>
            <w:tcMar>
              <w:top w:w="40" w:type="dxa"/>
              <w:left w:w="20" w:type="dxa"/>
              <w:bottom w:w="40" w:type="dxa"/>
              <w:right w:w="20" w:type="dxa"/>
            </w:tcMar>
            <w:vAlign w:val="bottom"/>
          </w:tcPr>
          <w:p w14:paraId="71D47FEA" w14:textId="77777777" w:rsidR="006A3667" w:rsidRDefault="00045F32">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E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FE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E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FE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E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FF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F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7FF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7FF3" w14:textId="77777777" w:rsidR="006A3667" w:rsidRDefault="006A3667">
            <w:pPr>
              <w:rPr>
                <w:rFonts w:ascii="宋体"/>
              </w:rPr>
            </w:pPr>
          </w:p>
        </w:tc>
      </w:tr>
      <w:tr w:rsidR="006A3667" w14:paraId="71D48009" w14:textId="77777777">
        <w:tc>
          <w:tcPr>
            <w:tcW w:w="0" w:type="auto"/>
            <w:gridSpan w:val="3"/>
            <w:shd w:val="clear" w:color="auto" w:fill="CCEEFF"/>
            <w:tcMar>
              <w:top w:w="40" w:type="dxa"/>
              <w:left w:w="20" w:type="dxa"/>
              <w:bottom w:w="40" w:type="dxa"/>
              <w:right w:w="20" w:type="dxa"/>
            </w:tcMar>
            <w:vAlign w:val="bottom"/>
          </w:tcPr>
          <w:p w14:paraId="71D47FF5" w14:textId="77777777" w:rsidR="006A3667" w:rsidRDefault="00045F32">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71D47FF6"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FF7" w14:textId="77777777" w:rsidR="006A3667" w:rsidRDefault="00045F32">
            <w:pPr>
              <w:jc w:val="right"/>
              <w:textAlignment w:val="bottom"/>
            </w:pPr>
            <w:r>
              <w:rPr>
                <w:rFonts w:ascii="Arial" w:eastAsia="宋体" w:hAnsi="Arial" w:cs="Arial"/>
                <w:color w:val="000000"/>
                <w:sz w:val="15"/>
                <w:szCs w:val="15"/>
              </w:rPr>
              <w:t>15,825 </w:t>
            </w:r>
          </w:p>
        </w:tc>
        <w:tc>
          <w:tcPr>
            <w:tcW w:w="0" w:type="auto"/>
            <w:shd w:val="clear" w:color="auto" w:fill="CCEEFF"/>
            <w:tcMar>
              <w:top w:w="40" w:type="dxa"/>
              <w:left w:w="0" w:type="dxa"/>
              <w:bottom w:w="40" w:type="dxa"/>
              <w:right w:w="20" w:type="dxa"/>
            </w:tcMar>
            <w:vAlign w:val="bottom"/>
          </w:tcPr>
          <w:p w14:paraId="71D47F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F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FFA"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FFB" w14:textId="77777777" w:rsidR="006A3667" w:rsidRDefault="00045F32">
            <w:pPr>
              <w:jc w:val="right"/>
              <w:textAlignment w:val="bottom"/>
            </w:pPr>
            <w:r>
              <w:rPr>
                <w:rFonts w:ascii="Arial" w:eastAsia="宋体" w:hAnsi="Arial" w:cs="Arial"/>
                <w:color w:val="000000"/>
                <w:sz w:val="15"/>
                <w:szCs w:val="15"/>
              </w:rPr>
              <w:t>(9,113)</w:t>
            </w:r>
          </w:p>
        </w:tc>
        <w:tc>
          <w:tcPr>
            <w:tcW w:w="0" w:type="auto"/>
            <w:shd w:val="clear" w:color="auto" w:fill="CCEEFF"/>
            <w:tcMar>
              <w:top w:w="40" w:type="dxa"/>
              <w:left w:w="0" w:type="dxa"/>
              <w:bottom w:w="40" w:type="dxa"/>
              <w:right w:w="20" w:type="dxa"/>
            </w:tcMar>
            <w:vAlign w:val="bottom"/>
          </w:tcPr>
          <w:p w14:paraId="71D47F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7FF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7FFE"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7FFF" w14:textId="77777777" w:rsidR="006A3667" w:rsidRDefault="00045F32">
            <w:pPr>
              <w:jc w:val="right"/>
              <w:textAlignment w:val="bottom"/>
            </w:pPr>
            <w:r>
              <w:rPr>
                <w:rFonts w:ascii="Arial" w:eastAsia="宋体" w:hAnsi="Arial" w:cs="Arial"/>
                <w:color w:val="000000"/>
                <w:sz w:val="15"/>
                <w:szCs w:val="15"/>
              </w:rPr>
              <w:t>6,712 </w:t>
            </w:r>
          </w:p>
        </w:tc>
        <w:tc>
          <w:tcPr>
            <w:tcW w:w="0" w:type="auto"/>
            <w:shd w:val="clear" w:color="auto" w:fill="CCEEFF"/>
            <w:tcMar>
              <w:top w:w="40" w:type="dxa"/>
              <w:left w:w="0" w:type="dxa"/>
              <w:bottom w:w="40" w:type="dxa"/>
              <w:right w:w="20" w:type="dxa"/>
            </w:tcMar>
            <w:vAlign w:val="bottom"/>
          </w:tcPr>
          <w:p w14:paraId="71D4800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0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002"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8003"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0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05"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006"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8007" w14:textId="77777777" w:rsidR="006A3667" w:rsidRDefault="00045F32">
            <w:pPr>
              <w:jc w:val="right"/>
              <w:textAlignment w:val="bottom"/>
            </w:pPr>
            <w:r>
              <w:rPr>
                <w:rFonts w:ascii="Arial" w:eastAsia="宋体" w:hAnsi="Arial" w:cs="Arial"/>
                <w:color w:val="000000"/>
                <w:sz w:val="15"/>
                <w:szCs w:val="15"/>
              </w:rPr>
              <w:t>6,712 </w:t>
            </w:r>
          </w:p>
        </w:tc>
        <w:tc>
          <w:tcPr>
            <w:tcW w:w="0" w:type="auto"/>
            <w:shd w:val="clear" w:color="auto" w:fill="CCEEFF"/>
            <w:tcMar>
              <w:top w:w="40" w:type="dxa"/>
              <w:left w:w="0" w:type="dxa"/>
              <w:bottom w:w="40" w:type="dxa"/>
              <w:right w:w="20" w:type="dxa"/>
            </w:tcMar>
            <w:vAlign w:val="bottom"/>
          </w:tcPr>
          <w:p w14:paraId="71D48008" w14:textId="77777777" w:rsidR="006A3667" w:rsidRDefault="006A3667">
            <w:pPr>
              <w:jc w:val="right"/>
              <w:rPr>
                <w:rFonts w:ascii="宋体"/>
              </w:rPr>
            </w:pPr>
          </w:p>
        </w:tc>
      </w:tr>
      <w:tr w:rsidR="006A3667" w14:paraId="71D48019" w14:textId="77777777">
        <w:tc>
          <w:tcPr>
            <w:tcW w:w="0" w:type="auto"/>
            <w:gridSpan w:val="3"/>
            <w:shd w:val="clear" w:color="auto" w:fill="FFFFFF"/>
            <w:tcMar>
              <w:top w:w="40" w:type="dxa"/>
              <w:left w:w="20" w:type="dxa"/>
              <w:bottom w:w="40" w:type="dxa"/>
              <w:right w:w="20" w:type="dxa"/>
            </w:tcMar>
            <w:vAlign w:val="bottom"/>
          </w:tcPr>
          <w:p w14:paraId="71D4800A" w14:textId="77777777" w:rsidR="006A3667" w:rsidRDefault="00045F32">
            <w:pP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71D4800B"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0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00E"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0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011"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0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014"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0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017"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018" w14:textId="77777777" w:rsidR="006A3667" w:rsidRDefault="006A3667">
            <w:pPr>
              <w:jc w:val="right"/>
              <w:rPr>
                <w:rFonts w:ascii="宋体"/>
              </w:rPr>
            </w:pPr>
          </w:p>
        </w:tc>
      </w:tr>
      <w:tr w:rsidR="006A3667" w14:paraId="71D48029" w14:textId="77777777">
        <w:tc>
          <w:tcPr>
            <w:tcW w:w="0" w:type="auto"/>
            <w:gridSpan w:val="3"/>
            <w:shd w:val="clear" w:color="auto" w:fill="CCEEFF"/>
            <w:tcMar>
              <w:top w:w="40" w:type="dxa"/>
              <w:left w:w="20" w:type="dxa"/>
              <w:bottom w:w="40" w:type="dxa"/>
              <w:right w:w="20" w:type="dxa"/>
            </w:tcMar>
            <w:vAlign w:val="bottom"/>
          </w:tcPr>
          <w:p w14:paraId="71D4801A" w14:textId="77777777" w:rsidR="006A3667" w:rsidRDefault="00045F32">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71D4801B" w14:textId="77777777" w:rsidR="006A3667" w:rsidRDefault="00045F32">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71D480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1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01E"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01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2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021" w14:textId="77777777" w:rsidR="006A3667" w:rsidRDefault="00045F32">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71D480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2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024" w14:textId="77777777" w:rsidR="006A3667" w:rsidRDefault="00045F32">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0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027" w14:textId="77777777" w:rsidR="006A3667" w:rsidRDefault="00045F32">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71D48028" w14:textId="77777777" w:rsidR="006A3667" w:rsidRDefault="006A3667">
            <w:pPr>
              <w:jc w:val="right"/>
              <w:rPr>
                <w:rFonts w:ascii="宋体"/>
              </w:rPr>
            </w:pPr>
          </w:p>
        </w:tc>
      </w:tr>
      <w:tr w:rsidR="006A3667" w14:paraId="71D48038" w14:textId="77777777">
        <w:tc>
          <w:tcPr>
            <w:tcW w:w="0" w:type="auto"/>
            <w:gridSpan w:val="3"/>
            <w:shd w:val="clear" w:color="auto" w:fill="FFFFFF"/>
            <w:tcMar>
              <w:top w:w="40" w:type="dxa"/>
              <w:left w:w="20" w:type="dxa"/>
              <w:bottom w:w="40" w:type="dxa"/>
              <w:right w:w="20" w:type="dxa"/>
            </w:tcMar>
            <w:vAlign w:val="bottom"/>
          </w:tcPr>
          <w:p w14:paraId="71D4802A" w14:textId="77777777" w:rsidR="006A3667" w:rsidRDefault="00045F32">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71D4802B" w14:textId="77777777" w:rsidR="006A3667" w:rsidRDefault="00045F32">
            <w:pPr>
              <w:jc w:val="right"/>
              <w:textAlignment w:val="bottom"/>
            </w:pPr>
            <w:r>
              <w:rPr>
                <w:rFonts w:ascii="Arial" w:eastAsia="宋体" w:hAnsi="Arial" w:cs="Arial"/>
                <w:color w:val="000000"/>
                <w:sz w:val="15"/>
                <w:szCs w:val="15"/>
              </w:rPr>
              <w:t>NA</w:t>
            </w:r>
          </w:p>
        </w:tc>
        <w:tc>
          <w:tcPr>
            <w:tcW w:w="0" w:type="auto"/>
            <w:gridSpan w:val="3"/>
            <w:shd w:val="clear" w:color="auto" w:fill="FFFFFF"/>
            <w:tcMar>
              <w:top w:w="0" w:type="dxa"/>
              <w:left w:w="20" w:type="dxa"/>
              <w:bottom w:w="0" w:type="dxa"/>
              <w:right w:w="20" w:type="dxa"/>
            </w:tcMar>
            <w:vAlign w:val="bottom"/>
          </w:tcPr>
          <w:p w14:paraId="71D4802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02D" w14:textId="77777777" w:rsidR="006A3667" w:rsidRDefault="00045F32">
            <w:pPr>
              <w:jc w:val="right"/>
              <w:textAlignment w:val="bottom"/>
            </w:pPr>
            <w:r>
              <w:rPr>
                <w:rFonts w:ascii="Arial" w:eastAsia="宋体" w:hAnsi="Arial" w:cs="Arial"/>
                <w:color w:val="000000"/>
                <w:sz w:val="15"/>
                <w:szCs w:val="15"/>
              </w:rPr>
              <w:t>(1,282)</w:t>
            </w:r>
          </w:p>
        </w:tc>
        <w:tc>
          <w:tcPr>
            <w:tcW w:w="0" w:type="auto"/>
            <w:shd w:val="clear" w:color="auto" w:fill="FFFFFF"/>
            <w:tcMar>
              <w:top w:w="40" w:type="dxa"/>
              <w:left w:w="0" w:type="dxa"/>
              <w:bottom w:w="40" w:type="dxa"/>
              <w:right w:w="20" w:type="dxa"/>
            </w:tcMar>
            <w:vAlign w:val="bottom"/>
          </w:tcPr>
          <w:p w14:paraId="71D4802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2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030" w14:textId="77777777" w:rsidR="006A3667" w:rsidRDefault="00045F32">
            <w:pPr>
              <w:jc w:val="right"/>
              <w:textAlignment w:val="bottom"/>
            </w:pPr>
            <w:r>
              <w:rPr>
                <w:rFonts w:ascii="Arial" w:eastAsia="宋体" w:hAnsi="Arial" w:cs="Arial"/>
                <w:color w:val="000000"/>
                <w:sz w:val="15"/>
                <w:szCs w:val="15"/>
              </w:rPr>
              <w:t>(1,282)</w:t>
            </w:r>
          </w:p>
        </w:tc>
        <w:tc>
          <w:tcPr>
            <w:tcW w:w="0" w:type="auto"/>
            <w:shd w:val="clear" w:color="auto" w:fill="FFFFFF"/>
            <w:tcMar>
              <w:top w:w="40" w:type="dxa"/>
              <w:left w:w="0" w:type="dxa"/>
              <w:bottom w:w="40" w:type="dxa"/>
              <w:right w:w="20" w:type="dxa"/>
            </w:tcMar>
            <w:vAlign w:val="bottom"/>
          </w:tcPr>
          <w:p w14:paraId="71D4803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3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033" w14:textId="77777777" w:rsidR="006A3667" w:rsidRDefault="00045F32">
            <w:pPr>
              <w:jc w:val="right"/>
              <w:textAlignment w:val="bottom"/>
            </w:pPr>
            <w:r>
              <w:rPr>
                <w:rFonts w:ascii="Arial" w:eastAsia="宋体" w:hAnsi="Arial" w:cs="Arial"/>
                <w:color w:val="000000"/>
                <w:sz w:val="15"/>
                <w:szCs w:val="15"/>
              </w:rPr>
              <w:t>(989)</w:t>
            </w:r>
          </w:p>
        </w:tc>
        <w:tc>
          <w:tcPr>
            <w:tcW w:w="0" w:type="auto"/>
            <w:shd w:val="clear" w:color="auto" w:fill="FFFFFF"/>
            <w:tcMar>
              <w:top w:w="40" w:type="dxa"/>
              <w:left w:w="0" w:type="dxa"/>
              <w:bottom w:w="40" w:type="dxa"/>
              <w:right w:w="20" w:type="dxa"/>
            </w:tcMar>
            <w:vAlign w:val="bottom"/>
          </w:tcPr>
          <w:p w14:paraId="71D4803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3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036" w14:textId="77777777" w:rsidR="006A3667" w:rsidRDefault="00045F32">
            <w:pPr>
              <w:jc w:val="right"/>
              <w:textAlignment w:val="bottom"/>
            </w:pPr>
            <w:r>
              <w:rPr>
                <w:rFonts w:ascii="Arial" w:eastAsia="宋体" w:hAnsi="Arial" w:cs="Arial"/>
                <w:color w:val="000000"/>
                <w:sz w:val="15"/>
                <w:szCs w:val="15"/>
              </w:rPr>
              <w:t>(2,271)</w:t>
            </w:r>
          </w:p>
        </w:tc>
        <w:tc>
          <w:tcPr>
            <w:tcW w:w="0" w:type="auto"/>
            <w:shd w:val="clear" w:color="auto" w:fill="FFFFFF"/>
            <w:tcMar>
              <w:top w:w="40" w:type="dxa"/>
              <w:left w:w="0" w:type="dxa"/>
              <w:bottom w:w="40" w:type="dxa"/>
              <w:right w:w="20" w:type="dxa"/>
            </w:tcMar>
            <w:vAlign w:val="bottom"/>
          </w:tcPr>
          <w:p w14:paraId="71D48037" w14:textId="77777777" w:rsidR="006A3667" w:rsidRDefault="006A3667">
            <w:pPr>
              <w:jc w:val="right"/>
              <w:rPr>
                <w:rFonts w:ascii="宋体"/>
              </w:rPr>
            </w:pPr>
          </w:p>
        </w:tc>
      </w:tr>
      <w:tr w:rsidR="006A3667" w14:paraId="71D48048" w14:textId="77777777">
        <w:tc>
          <w:tcPr>
            <w:tcW w:w="0" w:type="auto"/>
            <w:gridSpan w:val="3"/>
            <w:shd w:val="clear" w:color="auto" w:fill="CCEEFF"/>
            <w:tcMar>
              <w:top w:w="40" w:type="dxa"/>
              <w:left w:w="20" w:type="dxa"/>
              <w:bottom w:w="40" w:type="dxa"/>
              <w:right w:w="20" w:type="dxa"/>
            </w:tcMar>
            <w:vAlign w:val="bottom"/>
          </w:tcPr>
          <w:p w14:paraId="71D48039" w14:textId="77777777" w:rsidR="006A3667" w:rsidRDefault="00045F32">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03A" w14:textId="77777777" w:rsidR="006A3667" w:rsidRDefault="00045F32">
            <w:pPr>
              <w:jc w:val="right"/>
              <w:textAlignment w:val="bottom"/>
            </w:pPr>
            <w:r>
              <w:rPr>
                <w:rFonts w:ascii="Arial" w:eastAsia="宋体" w:hAnsi="Arial" w:cs="Arial"/>
                <w:color w:val="000000"/>
                <w:sz w:val="15"/>
                <w:szCs w:val="15"/>
              </w:rPr>
              <w:t>16,126 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0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3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03D" w14:textId="77777777" w:rsidR="006A3667" w:rsidRDefault="00045F32">
            <w:pPr>
              <w:jc w:val="right"/>
              <w:textAlignment w:val="bottom"/>
            </w:pPr>
            <w:r>
              <w:rPr>
                <w:rFonts w:ascii="Arial" w:eastAsia="宋体" w:hAnsi="Arial" w:cs="Arial"/>
                <w:color w:val="000000"/>
                <w:sz w:val="15"/>
                <w:szCs w:val="15"/>
              </w:rPr>
              <w:t>(10,395)</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0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3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040" w14:textId="77777777" w:rsidR="006A3667" w:rsidRDefault="00045F32">
            <w:pPr>
              <w:jc w:val="right"/>
              <w:textAlignment w:val="bottom"/>
            </w:pPr>
            <w:r>
              <w:rPr>
                <w:rFonts w:ascii="Arial" w:eastAsia="宋体" w:hAnsi="Arial" w:cs="Arial"/>
                <w:color w:val="000000"/>
                <w:sz w:val="15"/>
                <w:szCs w:val="15"/>
              </w:rPr>
              <w:t>5,731 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0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4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043" w14:textId="77777777" w:rsidR="006A3667" w:rsidRDefault="00045F32">
            <w:pPr>
              <w:jc w:val="right"/>
              <w:textAlignment w:val="bottom"/>
            </w:pPr>
            <w:r>
              <w:rPr>
                <w:rFonts w:ascii="Arial" w:eastAsia="宋体" w:hAnsi="Arial" w:cs="Arial"/>
                <w:color w:val="000000"/>
                <w:sz w:val="15"/>
                <w:szCs w:val="15"/>
              </w:rPr>
              <w:t>(989)</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0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4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046" w14:textId="77777777" w:rsidR="006A3667" w:rsidRDefault="00045F32">
            <w:pPr>
              <w:jc w:val="right"/>
              <w:textAlignment w:val="bottom"/>
            </w:pPr>
            <w:r>
              <w:rPr>
                <w:rFonts w:ascii="Arial" w:eastAsia="宋体" w:hAnsi="Arial" w:cs="Arial"/>
                <w:color w:val="000000"/>
                <w:sz w:val="15"/>
                <w:szCs w:val="15"/>
              </w:rPr>
              <w:t>4,742 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047" w14:textId="77777777" w:rsidR="006A3667" w:rsidRDefault="006A3667">
            <w:pPr>
              <w:jc w:val="right"/>
              <w:rPr>
                <w:rFonts w:ascii="宋体"/>
              </w:rPr>
            </w:pPr>
          </w:p>
        </w:tc>
      </w:tr>
      <w:tr w:rsidR="006A3667" w14:paraId="71D48053" w14:textId="77777777">
        <w:tc>
          <w:tcPr>
            <w:tcW w:w="0" w:type="auto"/>
            <w:gridSpan w:val="3"/>
            <w:shd w:val="clear" w:color="auto" w:fill="FFFFFF"/>
            <w:tcMar>
              <w:top w:w="40" w:type="dxa"/>
              <w:left w:w="20" w:type="dxa"/>
              <w:bottom w:w="40" w:type="dxa"/>
              <w:right w:w="20" w:type="dxa"/>
            </w:tcMar>
            <w:vAlign w:val="bottom"/>
          </w:tcPr>
          <w:p w14:paraId="71D48049" w14:textId="77777777" w:rsidR="006A3667" w:rsidRDefault="00045F32">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71D4804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0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04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04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04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04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05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05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052" w14:textId="77777777" w:rsidR="006A3667" w:rsidRDefault="006A3667">
            <w:pPr>
              <w:rPr>
                <w:rFonts w:ascii="宋体"/>
              </w:rPr>
            </w:pPr>
          </w:p>
        </w:tc>
      </w:tr>
      <w:tr w:rsidR="006A3667" w14:paraId="71D48063" w14:textId="77777777">
        <w:tc>
          <w:tcPr>
            <w:tcW w:w="0" w:type="auto"/>
            <w:gridSpan w:val="3"/>
            <w:shd w:val="clear" w:color="auto" w:fill="CCEEFF"/>
            <w:tcMar>
              <w:top w:w="40" w:type="dxa"/>
              <w:left w:w="20" w:type="dxa"/>
              <w:bottom w:w="40" w:type="dxa"/>
              <w:right w:w="20" w:type="dxa"/>
            </w:tcMar>
            <w:vAlign w:val="bottom"/>
          </w:tcPr>
          <w:p w14:paraId="71D48054" w14:textId="77777777" w:rsidR="006A3667" w:rsidRDefault="00045F32">
            <w:pPr>
              <w:textAlignment w:val="bottom"/>
            </w:pPr>
            <w:r>
              <w:rPr>
                <w:rFonts w:ascii="Arial" w:eastAsia="宋体" w:hAnsi="Arial" w:cs="Arial"/>
                <w:color w:val="000000"/>
                <w:sz w:val="15"/>
                <w:szCs w:val="15"/>
              </w:rPr>
              <w:t>Repurchase 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71D48055" w14:textId="77777777" w:rsidR="006A3667" w:rsidRDefault="00045F32">
            <w:pPr>
              <w:jc w:val="right"/>
              <w:textAlignment w:val="bottom"/>
            </w:pPr>
            <w:r>
              <w:rPr>
                <w:rFonts w:ascii="Arial" w:eastAsia="宋体" w:hAnsi="Arial" w:cs="Arial"/>
                <w:color w:val="000000"/>
                <w:sz w:val="15"/>
                <w:szCs w:val="15"/>
              </w:rPr>
              <w:t>82,674 </w:t>
            </w:r>
          </w:p>
        </w:tc>
        <w:tc>
          <w:tcPr>
            <w:tcW w:w="0" w:type="auto"/>
            <w:shd w:val="clear" w:color="auto" w:fill="CCEEFF"/>
            <w:tcMar>
              <w:top w:w="40" w:type="dxa"/>
              <w:left w:w="0" w:type="dxa"/>
              <w:bottom w:w="40" w:type="dxa"/>
              <w:right w:w="20" w:type="dxa"/>
            </w:tcMar>
            <w:vAlign w:val="bottom"/>
          </w:tcPr>
          <w:p w14:paraId="71D480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5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058" w14:textId="77777777" w:rsidR="006A3667" w:rsidRDefault="00045F32">
            <w:pPr>
              <w:jc w:val="right"/>
              <w:textAlignment w:val="bottom"/>
            </w:pPr>
            <w:r>
              <w:rPr>
                <w:rFonts w:ascii="Arial" w:eastAsia="宋体" w:hAnsi="Arial" w:cs="Arial"/>
                <w:color w:val="000000"/>
                <w:sz w:val="15"/>
                <w:szCs w:val="15"/>
              </w:rPr>
              <w:t>(77,063)</w:t>
            </w:r>
          </w:p>
        </w:tc>
        <w:tc>
          <w:tcPr>
            <w:tcW w:w="0" w:type="auto"/>
            <w:shd w:val="clear" w:color="auto" w:fill="CCEEFF"/>
            <w:tcMar>
              <w:top w:w="40" w:type="dxa"/>
              <w:left w:w="0" w:type="dxa"/>
              <w:bottom w:w="40" w:type="dxa"/>
              <w:right w:w="20" w:type="dxa"/>
            </w:tcMar>
            <w:vAlign w:val="bottom"/>
          </w:tcPr>
          <w:p w14:paraId="71D4805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5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05B" w14:textId="77777777" w:rsidR="006A3667" w:rsidRDefault="00045F32">
            <w:pPr>
              <w:jc w:val="right"/>
              <w:textAlignment w:val="bottom"/>
            </w:pPr>
            <w:r>
              <w:rPr>
                <w:rFonts w:ascii="Arial" w:eastAsia="宋体" w:hAnsi="Arial" w:cs="Arial"/>
                <w:color w:val="000000"/>
                <w:sz w:val="15"/>
                <w:szCs w:val="15"/>
              </w:rPr>
              <w:t>5,611 </w:t>
            </w:r>
          </w:p>
        </w:tc>
        <w:tc>
          <w:tcPr>
            <w:tcW w:w="0" w:type="auto"/>
            <w:shd w:val="clear" w:color="auto" w:fill="CCEEFF"/>
            <w:tcMar>
              <w:top w:w="40" w:type="dxa"/>
              <w:left w:w="0" w:type="dxa"/>
              <w:bottom w:w="40" w:type="dxa"/>
              <w:right w:w="20" w:type="dxa"/>
            </w:tcMar>
            <w:vAlign w:val="bottom"/>
          </w:tcPr>
          <w:p w14:paraId="71D480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5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05E" w14:textId="77777777" w:rsidR="006A3667" w:rsidRDefault="00045F32">
            <w:pPr>
              <w:jc w:val="right"/>
              <w:textAlignment w:val="bottom"/>
            </w:pPr>
            <w:r>
              <w:rPr>
                <w:rFonts w:ascii="Arial" w:eastAsia="宋体" w:hAnsi="Arial" w:cs="Arial"/>
                <w:color w:val="000000"/>
                <w:sz w:val="15"/>
                <w:szCs w:val="15"/>
              </w:rPr>
              <w:t>(4,066)</w:t>
            </w:r>
          </w:p>
        </w:tc>
        <w:tc>
          <w:tcPr>
            <w:tcW w:w="0" w:type="auto"/>
            <w:shd w:val="clear" w:color="auto" w:fill="CCEEFF"/>
            <w:tcMar>
              <w:top w:w="40" w:type="dxa"/>
              <w:left w:w="0" w:type="dxa"/>
              <w:bottom w:w="40" w:type="dxa"/>
              <w:right w:w="20" w:type="dxa"/>
            </w:tcMar>
            <w:vAlign w:val="bottom"/>
          </w:tcPr>
          <w:p w14:paraId="71D480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06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061" w14:textId="77777777" w:rsidR="006A3667" w:rsidRDefault="00045F32">
            <w:pPr>
              <w:jc w:val="right"/>
              <w:textAlignment w:val="bottom"/>
            </w:pPr>
            <w:r>
              <w:rPr>
                <w:rFonts w:ascii="Arial" w:eastAsia="宋体" w:hAnsi="Arial" w:cs="Arial"/>
                <w:color w:val="000000"/>
                <w:sz w:val="15"/>
                <w:szCs w:val="15"/>
              </w:rPr>
              <w:t>1,545 </w:t>
            </w:r>
          </w:p>
        </w:tc>
        <w:tc>
          <w:tcPr>
            <w:tcW w:w="0" w:type="auto"/>
            <w:shd w:val="clear" w:color="auto" w:fill="CCEEFF"/>
            <w:tcMar>
              <w:top w:w="40" w:type="dxa"/>
              <w:left w:w="0" w:type="dxa"/>
              <w:bottom w:w="40" w:type="dxa"/>
              <w:right w:w="20" w:type="dxa"/>
            </w:tcMar>
            <w:vAlign w:val="bottom"/>
          </w:tcPr>
          <w:p w14:paraId="71D48062" w14:textId="77777777" w:rsidR="006A3667" w:rsidRDefault="006A3667">
            <w:pPr>
              <w:jc w:val="right"/>
              <w:rPr>
                <w:rFonts w:ascii="宋体"/>
              </w:rPr>
            </w:pPr>
          </w:p>
        </w:tc>
      </w:tr>
      <w:tr w:rsidR="006A3667" w14:paraId="71D48078" w14:textId="77777777">
        <w:tc>
          <w:tcPr>
            <w:tcW w:w="0" w:type="auto"/>
            <w:gridSpan w:val="3"/>
            <w:shd w:val="clear" w:color="auto" w:fill="FFFFFF"/>
            <w:tcMar>
              <w:top w:w="40" w:type="dxa"/>
              <w:left w:w="20" w:type="dxa"/>
              <w:bottom w:w="40" w:type="dxa"/>
              <w:right w:w="20" w:type="dxa"/>
            </w:tcMar>
            <w:vAlign w:val="bottom"/>
          </w:tcPr>
          <w:p w14:paraId="71D48064" w14:textId="77777777" w:rsidR="006A3667" w:rsidRDefault="00045F32">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8065"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8066" w14:textId="77777777" w:rsidR="006A3667" w:rsidRDefault="00045F32">
            <w:pPr>
              <w:jc w:val="right"/>
              <w:textAlignment w:val="bottom"/>
            </w:pPr>
            <w:r>
              <w:rPr>
                <w:rFonts w:ascii="Arial" w:eastAsia="宋体" w:hAnsi="Arial" w:cs="Arial"/>
                <w:color w:val="000000"/>
                <w:sz w:val="15"/>
                <w:szCs w:val="15"/>
              </w:rPr>
              <w:t>98,800 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80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6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8069"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806A" w14:textId="77777777" w:rsidR="006A3667" w:rsidRDefault="00045F32">
            <w:pPr>
              <w:jc w:val="right"/>
              <w:textAlignment w:val="bottom"/>
            </w:pPr>
            <w:r>
              <w:rPr>
                <w:rFonts w:ascii="Arial" w:eastAsia="宋体" w:hAnsi="Arial" w:cs="Arial"/>
                <w:color w:val="000000"/>
                <w:sz w:val="15"/>
                <w:szCs w:val="15"/>
              </w:rPr>
              <w:t>(87,458)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806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6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806D"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806E" w14:textId="77777777" w:rsidR="006A3667" w:rsidRDefault="00045F32">
            <w:pPr>
              <w:jc w:val="right"/>
              <w:textAlignment w:val="bottom"/>
            </w:pPr>
            <w:r>
              <w:rPr>
                <w:rFonts w:ascii="Arial" w:eastAsia="宋体" w:hAnsi="Arial" w:cs="Arial"/>
                <w:color w:val="000000"/>
                <w:sz w:val="15"/>
                <w:szCs w:val="15"/>
              </w:rPr>
              <w:t>11,342 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806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7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8071"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8072" w14:textId="77777777" w:rsidR="006A3667" w:rsidRDefault="00045F32">
            <w:pPr>
              <w:jc w:val="right"/>
              <w:textAlignment w:val="bottom"/>
            </w:pPr>
            <w:r>
              <w:rPr>
                <w:rFonts w:ascii="Arial" w:eastAsia="宋体" w:hAnsi="Arial" w:cs="Arial"/>
                <w:color w:val="000000"/>
                <w:sz w:val="15"/>
                <w:szCs w:val="15"/>
              </w:rPr>
              <w:t>(5,055)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807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074"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8075"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8076" w14:textId="77777777" w:rsidR="006A3667" w:rsidRDefault="00045F32">
            <w:pPr>
              <w:jc w:val="right"/>
              <w:textAlignment w:val="bottom"/>
            </w:pPr>
            <w:r>
              <w:rPr>
                <w:rFonts w:ascii="Arial" w:eastAsia="宋体" w:hAnsi="Arial" w:cs="Arial"/>
                <w:color w:val="000000"/>
                <w:sz w:val="15"/>
                <w:szCs w:val="15"/>
              </w:rPr>
              <w:t>6,287 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8077" w14:textId="77777777" w:rsidR="006A3667" w:rsidRDefault="006A3667">
            <w:pPr>
              <w:jc w:val="right"/>
              <w:rPr>
                <w:rFonts w:ascii="宋体"/>
              </w:rPr>
            </w:pPr>
          </w:p>
        </w:tc>
      </w:tr>
    </w:tbl>
    <w:p w14:paraId="71D48079"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6A3667" w14:paraId="71D48089" w14:textId="77777777">
        <w:tc>
          <w:tcPr>
            <w:tcW w:w="50" w:type="pct"/>
            <w:shd w:val="clear" w:color="auto" w:fill="auto"/>
            <w:vAlign w:val="bottom"/>
          </w:tcPr>
          <w:p w14:paraId="71D4807A" w14:textId="77777777" w:rsidR="006A3667" w:rsidRDefault="006A3667">
            <w:pPr>
              <w:rPr>
                <w:rFonts w:ascii="宋体"/>
              </w:rPr>
            </w:pPr>
          </w:p>
        </w:tc>
        <w:tc>
          <w:tcPr>
            <w:tcW w:w="1348" w:type="pct"/>
            <w:shd w:val="clear" w:color="auto" w:fill="auto"/>
            <w:vAlign w:val="bottom"/>
          </w:tcPr>
          <w:p w14:paraId="71D4807B" w14:textId="77777777" w:rsidR="006A3667" w:rsidRDefault="006A3667">
            <w:pPr>
              <w:rPr>
                <w:rFonts w:ascii="宋体"/>
              </w:rPr>
            </w:pPr>
          </w:p>
        </w:tc>
        <w:tc>
          <w:tcPr>
            <w:tcW w:w="5" w:type="pct"/>
            <w:shd w:val="clear" w:color="auto" w:fill="auto"/>
            <w:vAlign w:val="bottom"/>
          </w:tcPr>
          <w:p w14:paraId="71D4807C" w14:textId="77777777" w:rsidR="006A3667" w:rsidRDefault="006A3667">
            <w:pPr>
              <w:rPr>
                <w:rFonts w:ascii="宋体"/>
              </w:rPr>
            </w:pPr>
          </w:p>
        </w:tc>
        <w:tc>
          <w:tcPr>
            <w:tcW w:w="50" w:type="pct"/>
            <w:shd w:val="clear" w:color="auto" w:fill="auto"/>
            <w:vAlign w:val="bottom"/>
          </w:tcPr>
          <w:p w14:paraId="71D4807D" w14:textId="77777777" w:rsidR="006A3667" w:rsidRDefault="006A3667">
            <w:pPr>
              <w:rPr>
                <w:rFonts w:ascii="宋体"/>
              </w:rPr>
            </w:pPr>
          </w:p>
        </w:tc>
        <w:tc>
          <w:tcPr>
            <w:tcW w:w="1048" w:type="pct"/>
            <w:shd w:val="clear" w:color="auto" w:fill="auto"/>
            <w:vAlign w:val="bottom"/>
          </w:tcPr>
          <w:p w14:paraId="71D4807E" w14:textId="77777777" w:rsidR="006A3667" w:rsidRDefault="006A3667">
            <w:pPr>
              <w:rPr>
                <w:rFonts w:ascii="宋体"/>
              </w:rPr>
            </w:pPr>
          </w:p>
        </w:tc>
        <w:tc>
          <w:tcPr>
            <w:tcW w:w="5" w:type="pct"/>
            <w:shd w:val="clear" w:color="auto" w:fill="auto"/>
            <w:vAlign w:val="bottom"/>
          </w:tcPr>
          <w:p w14:paraId="71D4807F" w14:textId="77777777" w:rsidR="006A3667" w:rsidRDefault="006A3667">
            <w:pPr>
              <w:rPr>
                <w:rFonts w:ascii="宋体"/>
              </w:rPr>
            </w:pPr>
          </w:p>
        </w:tc>
        <w:tc>
          <w:tcPr>
            <w:tcW w:w="50" w:type="pct"/>
            <w:shd w:val="clear" w:color="auto" w:fill="auto"/>
            <w:vAlign w:val="bottom"/>
          </w:tcPr>
          <w:p w14:paraId="71D48080" w14:textId="77777777" w:rsidR="006A3667" w:rsidRDefault="006A3667">
            <w:pPr>
              <w:rPr>
                <w:rFonts w:ascii="宋体"/>
              </w:rPr>
            </w:pPr>
          </w:p>
        </w:tc>
        <w:tc>
          <w:tcPr>
            <w:tcW w:w="917" w:type="pct"/>
            <w:shd w:val="clear" w:color="auto" w:fill="auto"/>
            <w:vAlign w:val="bottom"/>
          </w:tcPr>
          <w:p w14:paraId="71D48081" w14:textId="77777777" w:rsidR="006A3667" w:rsidRDefault="006A3667">
            <w:pPr>
              <w:rPr>
                <w:rFonts w:ascii="宋体"/>
              </w:rPr>
            </w:pPr>
          </w:p>
        </w:tc>
        <w:tc>
          <w:tcPr>
            <w:tcW w:w="5" w:type="pct"/>
            <w:shd w:val="clear" w:color="auto" w:fill="auto"/>
            <w:vAlign w:val="bottom"/>
          </w:tcPr>
          <w:p w14:paraId="71D48082" w14:textId="77777777" w:rsidR="006A3667" w:rsidRDefault="006A3667">
            <w:pPr>
              <w:rPr>
                <w:rFonts w:ascii="宋体"/>
              </w:rPr>
            </w:pPr>
          </w:p>
        </w:tc>
        <w:tc>
          <w:tcPr>
            <w:tcW w:w="50" w:type="pct"/>
            <w:shd w:val="clear" w:color="auto" w:fill="auto"/>
            <w:vAlign w:val="bottom"/>
          </w:tcPr>
          <w:p w14:paraId="71D48083" w14:textId="77777777" w:rsidR="006A3667" w:rsidRDefault="006A3667">
            <w:pPr>
              <w:rPr>
                <w:rFonts w:ascii="宋体"/>
              </w:rPr>
            </w:pPr>
          </w:p>
        </w:tc>
        <w:tc>
          <w:tcPr>
            <w:tcW w:w="917" w:type="pct"/>
            <w:shd w:val="clear" w:color="auto" w:fill="auto"/>
            <w:vAlign w:val="bottom"/>
          </w:tcPr>
          <w:p w14:paraId="71D48084" w14:textId="77777777" w:rsidR="006A3667" w:rsidRDefault="006A3667">
            <w:pPr>
              <w:rPr>
                <w:rFonts w:ascii="宋体"/>
              </w:rPr>
            </w:pPr>
          </w:p>
        </w:tc>
        <w:tc>
          <w:tcPr>
            <w:tcW w:w="5" w:type="pct"/>
            <w:shd w:val="clear" w:color="auto" w:fill="auto"/>
            <w:vAlign w:val="bottom"/>
          </w:tcPr>
          <w:p w14:paraId="71D48085" w14:textId="77777777" w:rsidR="006A3667" w:rsidRDefault="006A3667">
            <w:pPr>
              <w:rPr>
                <w:rFonts w:ascii="宋体"/>
              </w:rPr>
            </w:pPr>
          </w:p>
        </w:tc>
        <w:tc>
          <w:tcPr>
            <w:tcW w:w="50" w:type="pct"/>
            <w:shd w:val="clear" w:color="auto" w:fill="auto"/>
            <w:vAlign w:val="bottom"/>
          </w:tcPr>
          <w:p w14:paraId="71D48086" w14:textId="77777777" w:rsidR="006A3667" w:rsidRDefault="006A3667">
            <w:pPr>
              <w:rPr>
                <w:rFonts w:ascii="宋体"/>
              </w:rPr>
            </w:pPr>
          </w:p>
        </w:tc>
        <w:tc>
          <w:tcPr>
            <w:tcW w:w="493" w:type="pct"/>
            <w:shd w:val="clear" w:color="auto" w:fill="auto"/>
            <w:vAlign w:val="bottom"/>
          </w:tcPr>
          <w:p w14:paraId="71D48087" w14:textId="77777777" w:rsidR="006A3667" w:rsidRDefault="006A3667">
            <w:pPr>
              <w:rPr>
                <w:rFonts w:ascii="宋体"/>
              </w:rPr>
            </w:pPr>
          </w:p>
        </w:tc>
        <w:tc>
          <w:tcPr>
            <w:tcW w:w="5" w:type="pct"/>
            <w:shd w:val="clear" w:color="auto" w:fill="auto"/>
            <w:vAlign w:val="bottom"/>
          </w:tcPr>
          <w:p w14:paraId="71D48088" w14:textId="77777777" w:rsidR="006A3667" w:rsidRDefault="006A3667">
            <w:pPr>
              <w:rPr>
                <w:rFonts w:ascii="宋体"/>
              </w:rPr>
            </w:pPr>
          </w:p>
        </w:tc>
      </w:tr>
      <w:tr w:rsidR="006A3667" w14:paraId="71D4808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808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08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08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08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08E" w14:textId="77777777" w:rsidR="006A3667" w:rsidRDefault="006A3667">
            <w:pPr>
              <w:rPr>
                <w:rFonts w:ascii="宋体"/>
              </w:rPr>
            </w:pPr>
          </w:p>
        </w:tc>
      </w:tr>
    </w:tbl>
    <w:p w14:paraId="71D48090" w14:textId="77777777" w:rsidR="006A3667" w:rsidRDefault="00045F32">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71D48091" w14:textId="77777777" w:rsidR="006A3667" w:rsidRDefault="00045F32">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71D48092" w14:textId="77777777" w:rsidR="006A3667" w:rsidRDefault="00045F32">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71D48093" w14:textId="77777777" w:rsidR="006A3667" w:rsidRDefault="00045F32">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Includes securities provided in connection with our securities lending transactions.</w:t>
      </w:r>
    </w:p>
    <w:p w14:paraId="71D48094" w14:textId="77777777" w:rsidR="006A3667" w:rsidRDefault="00045F32">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secured by collateral not determined to be subject to enforceable netting arrangements.</w:t>
      </w:r>
    </w:p>
    <w:p w14:paraId="71D48095" w14:textId="77777777" w:rsidR="006A3667" w:rsidRDefault="00045F32">
      <w:pPr>
        <w:spacing w:before="60"/>
        <w:jc w:val="both"/>
      </w:pPr>
      <w:r>
        <w:rPr>
          <w:rFonts w:ascii="Arial" w:eastAsia="宋体" w:hAnsi="Arial" w:cs="Arial"/>
          <w:color w:val="000000"/>
          <w:sz w:val="9"/>
          <w:szCs w:val="9"/>
        </w:rPr>
        <w:t xml:space="preserve">(6) </w:t>
      </w:r>
      <w:r>
        <w:rPr>
          <w:rFonts w:ascii="Arial" w:eastAsia="宋体" w:hAnsi="Arial" w:cs="Arial"/>
          <w:color w:val="000000"/>
          <w:sz w:val="14"/>
          <w:szCs w:val="14"/>
        </w:rPr>
        <w:t>Variation margin payments presented as settlements rather than collateral.</w:t>
      </w:r>
    </w:p>
    <w:p w14:paraId="71D48096" w14:textId="77777777" w:rsidR="006A3667" w:rsidRDefault="00045F32">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$8.02 billion as of September 30, 2022 were $4.25 bi</w:t>
      </w:r>
      <w:r>
        <w:rPr>
          <w:rFonts w:ascii="Arial" w:eastAsia="宋体" w:hAnsi="Arial" w:cs="Arial"/>
          <w:color w:val="000000"/>
          <w:sz w:val="14"/>
          <w:szCs w:val="14"/>
        </w:rPr>
        <w:t>llion of repurchase agreements and $3.77 billion of collateral received related to securities lending transactions. Included in the $5.61 billion as of December 31, 2021 were $1.57 billion of repurchase agreements and $4.04 billion of collateral received r</w:t>
      </w:r>
      <w:r>
        <w:rPr>
          <w:rFonts w:ascii="Arial" w:eastAsia="宋体" w:hAnsi="Arial" w:cs="Arial"/>
          <w:color w:val="000000"/>
          <w:sz w:val="14"/>
          <w:szCs w:val="14"/>
        </w:rPr>
        <w:t>elated to securities lending transactions. Repurchase agreements and collateral received related to securities lending were recorded in securities sold under repurchase agreements and accrued expenses and other liabilities, respectively, in our consolidate</w:t>
      </w:r>
      <w:r>
        <w:rPr>
          <w:rFonts w:ascii="Arial" w:eastAsia="宋体" w:hAnsi="Arial" w:cs="Arial"/>
          <w:color w:val="000000"/>
          <w:sz w:val="14"/>
          <w:szCs w:val="14"/>
        </w:rPr>
        <w:t>d statement of condition. Refer to Note 9 for additional information with respect to principal securities finance transactions.</w:t>
      </w:r>
    </w:p>
    <w:p w14:paraId="71D48097" w14:textId="77777777" w:rsidR="006A3667" w:rsidRDefault="00045F32">
      <w:pPr>
        <w:spacing w:before="60"/>
        <w:jc w:val="both"/>
      </w:pPr>
      <w:r>
        <w:rPr>
          <w:rFonts w:ascii="Arial" w:eastAsia="宋体" w:hAnsi="Arial" w:cs="Arial"/>
          <w:color w:val="000000"/>
          <w:sz w:val="9"/>
          <w:szCs w:val="9"/>
        </w:rPr>
        <w:t>(8)</w:t>
      </w:r>
      <w:r>
        <w:rPr>
          <w:rFonts w:ascii="Arial" w:eastAsia="宋体" w:hAnsi="Arial" w:cs="Arial"/>
          <w:color w:val="000000"/>
          <w:sz w:val="14"/>
          <w:szCs w:val="14"/>
        </w:rPr>
        <w:t xml:space="preserve"> Offsetting of repurchase agreements primarily relates to our involvement in FICC, where we settle transactions on a net basi</w:t>
      </w:r>
      <w:r>
        <w:rPr>
          <w:rFonts w:ascii="Arial" w:eastAsia="宋体" w:hAnsi="Arial" w:cs="Arial"/>
          <w:color w:val="000000"/>
          <w:sz w:val="14"/>
          <w:szCs w:val="14"/>
        </w:rPr>
        <w:t>s for payment and delivery through the Fedwire system.</w:t>
      </w:r>
    </w:p>
    <w:p w14:paraId="71D48098" w14:textId="77777777" w:rsidR="006A3667" w:rsidRDefault="00045F32">
      <w:pPr>
        <w:spacing w:before="60"/>
        <w:jc w:val="both"/>
      </w:pPr>
      <w:r>
        <w:rPr>
          <w:rFonts w:ascii="Arial" w:eastAsia="宋体" w:hAnsi="Arial" w:cs="Arial"/>
          <w:color w:val="000000"/>
          <w:sz w:val="9"/>
          <w:szCs w:val="9"/>
        </w:rPr>
        <w:t xml:space="preserve">NA </w:t>
      </w:r>
      <w:r>
        <w:rPr>
          <w:rFonts w:ascii="Arial" w:eastAsia="宋体" w:hAnsi="Arial" w:cs="Arial"/>
          <w:color w:val="000000"/>
          <w:sz w:val="14"/>
          <w:szCs w:val="14"/>
        </w:rPr>
        <w:t>Not applicable</w:t>
      </w:r>
    </w:p>
    <w:p w14:paraId="71D48099" w14:textId="77777777" w:rsidR="006A3667" w:rsidRDefault="00045F32">
      <w:pPr>
        <w:spacing w:before="60"/>
        <w:ind w:firstLine="450"/>
        <w:jc w:val="both"/>
      </w:pPr>
      <w:r>
        <w:rPr>
          <w:rFonts w:ascii="Arial" w:eastAsia="宋体" w:hAnsi="Arial" w:cs="Arial"/>
          <w:color w:val="000000"/>
          <w:sz w:val="20"/>
          <w:szCs w:val="20"/>
        </w:rPr>
        <w:t>The securities transferred under resale and repurchase agreements typically are U.S. Treasury, agency and agency MBS. In our principal securities borrowing and lending arrangements, t</w:t>
      </w:r>
      <w:r>
        <w:rPr>
          <w:rFonts w:ascii="Arial" w:eastAsia="宋体" w:hAnsi="Arial" w:cs="Arial"/>
          <w:color w:val="000000"/>
          <w:sz w:val="20"/>
          <w:szCs w:val="20"/>
        </w:rPr>
        <w:t>he securities transferred are predominantly equity securities and some corporate debt securities. The fair value of the securities transferred may increase in value to an amount greater than the amount received under our repurchase and securities lending a</w:t>
      </w:r>
      <w:r>
        <w:rPr>
          <w:rFonts w:ascii="Arial" w:eastAsia="宋体" w:hAnsi="Arial" w:cs="Arial"/>
          <w:color w:val="000000"/>
          <w:sz w:val="20"/>
          <w:szCs w:val="20"/>
        </w:rPr>
        <w:t>rrangements, which exposes us to counterparty risk. We require the review of the price of the underlying securities in relation to the carrying value of the repurchase agreements and securities lending arrangements on a daily basis and when appropriate, ad</w:t>
      </w:r>
      <w:r>
        <w:rPr>
          <w:rFonts w:ascii="Arial" w:eastAsia="宋体" w:hAnsi="Arial" w:cs="Arial"/>
          <w:color w:val="000000"/>
          <w:sz w:val="20"/>
          <w:szCs w:val="20"/>
        </w:rPr>
        <w:t xml:space="preserve">just the cash or security to be obtained or returned to counterparties that is reflective of the required collateral levels. </w:t>
      </w:r>
    </w:p>
    <w:p w14:paraId="71D4809A" w14:textId="77777777" w:rsidR="006A3667" w:rsidRDefault="00045F32">
      <w:pPr>
        <w:ind w:firstLine="450"/>
        <w:jc w:val="right"/>
      </w:pPr>
      <w:r>
        <w:rPr>
          <w:rFonts w:ascii="Arial" w:eastAsia="宋体" w:hAnsi="Arial" w:cs="Arial"/>
          <w:color w:val="000000"/>
          <w:sz w:val="18"/>
          <w:szCs w:val="18"/>
        </w:rPr>
        <w:t>State Street Corporation | 82</w:t>
      </w:r>
    </w:p>
    <w:p w14:paraId="71D4809B" w14:textId="77777777" w:rsidR="006A3667" w:rsidRDefault="006A3667">
      <w:pPr>
        <w:ind w:firstLine="450"/>
        <w:jc w:val="center"/>
      </w:pPr>
    </w:p>
    <w:p w14:paraId="71D4809C" w14:textId="77777777" w:rsidR="006A3667" w:rsidRDefault="00045F32">
      <w:r>
        <w:pict w14:anchorId="71D4AC66">
          <v:rect id="_x0000_i1106" style="width:415.3pt;height:1.5pt" o:hralign="center" o:hrstd="t" o:hr="t" fillcolor="#a0a0a0" stroked="f"/>
        </w:pict>
      </w:r>
    </w:p>
    <w:p w14:paraId="71D4809D" w14:textId="77777777" w:rsidR="006A3667" w:rsidRDefault="00045F32">
      <w:pPr>
        <w:ind w:firstLine="450"/>
        <w:jc w:val="center"/>
      </w:pPr>
      <w:r>
        <w:rPr>
          <w:rFonts w:ascii="Arial" w:eastAsia="宋体" w:hAnsi="Arial" w:cs="Arial"/>
          <w:b/>
          <w:bCs/>
          <w:color w:val="000000"/>
          <w:sz w:val="20"/>
          <w:szCs w:val="20"/>
        </w:rPr>
        <w:t>STATE STREET CORPORATION</w:t>
      </w:r>
    </w:p>
    <w:p w14:paraId="71D4809E"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809F" w14:textId="77777777" w:rsidR="006A3667" w:rsidRDefault="00045F32">
      <w:pPr>
        <w:ind w:firstLine="450"/>
        <w:jc w:val="center"/>
      </w:pPr>
      <w:r>
        <w:rPr>
          <w:rFonts w:ascii="Arial" w:eastAsia="宋体" w:hAnsi="Arial" w:cs="Arial"/>
          <w:b/>
          <w:bCs/>
          <w:color w:val="000000"/>
          <w:sz w:val="20"/>
          <w:szCs w:val="20"/>
        </w:rPr>
        <w:t>(UNAUDITED)</w:t>
      </w:r>
    </w:p>
    <w:p w14:paraId="71D480A0" w14:textId="77777777" w:rsidR="006A3667" w:rsidRDefault="00045F32">
      <w:pPr>
        <w:spacing w:before="60"/>
        <w:ind w:firstLine="450"/>
        <w:jc w:val="both"/>
      </w:pPr>
      <w:r>
        <w:rPr>
          <w:rFonts w:ascii="Arial" w:eastAsia="宋体" w:hAnsi="Arial" w:cs="Arial"/>
          <w:color w:val="000000"/>
          <w:sz w:val="20"/>
          <w:szCs w:val="20"/>
        </w:rPr>
        <w:t>The following table summarizes our repurchase agreements and securities lending transactions by category of collateral pledged and remaining maturity of these agreements, as of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1366"/>
        <w:gridCol w:w="37"/>
        <w:gridCol w:w="99"/>
        <w:gridCol w:w="721"/>
        <w:gridCol w:w="36"/>
        <w:gridCol w:w="36"/>
        <w:gridCol w:w="36"/>
        <w:gridCol w:w="36"/>
        <w:gridCol w:w="99"/>
        <w:gridCol w:w="312"/>
        <w:gridCol w:w="36"/>
        <w:gridCol w:w="36"/>
        <w:gridCol w:w="36"/>
        <w:gridCol w:w="36"/>
        <w:gridCol w:w="99"/>
        <w:gridCol w:w="332"/>
        <w:gridCol w:w="36"/>
        <w:gridCol w:w="36"/>
        <w:gridCol w:w="36"/>
        <w:gridCol w:w="36"/>
        <w:gridCol w:w="99"/>
        <w:gridCol w:w="453"/>
        <w:gridCol w:w="36"/>
        <w:gridCol w:w="36"/>
        <w:gridCol w:w="36"/>
        <w:gridCol w:w="36"/>
        <w:gridCol w:w="98"/>
        <w:gridCol w:w="468"/>
        <w:gridCol w:w="36"/>
        <w:gridCol w:w="36"/>
        <w:gridCol w:w="36"/>
        <w:gridCol w:w="36"/>
        <w:gridCol w:w="99"/>
        <w:gridCol w:w="721"/>
        <w:gridCol w:w="36"/>
        <w:gridCol w:w="36"/>
        <w:gridCol w:w="36"/>
        <w:gridCol w:w="36"/>
        <w:gridCol w:w="99"/>
        <w:gridCol w:w="312"/>
        <w:gridCol w:w="36"/>
        <w:gridCol w:w="36"/>
        <w:gridCol w:w="36"/>
        <w:gridCol w:w="36"/>
        <w:gridCol w:w="99"/>
        <w:gridCol w:w="332"/>
        <w:gridCol w:w="36"/>
        <w:gridCol w:w="36"/>
        <w:gridCol w:w="36"/>
        <w:gridCol w:w="36"/>
        <w:gridCol w:w="99"/>
        <w:gridCol w:w="453"/>
        <w:gridCol w:w="36"/>
        <w:gridCol w:w="36"/>
        <w:gridCol w:w="36"/>
        <w:gridCol w:w="36"/>
        <w:gridCol w:w="98"/>
        <w:gridCol w:w="468"/>
        <w:gridCol w:w="36"/>
      </w:tblGrid>
      <w:tr w:rsidR="006A3667" w14:paraId="71D480DD" w14:textId="77777777">
        <w:tc>
          <w:tcPr>
            <w:tcW w:w="50" w:type="pct"/>
            <w:shd w:val="clear" w:color="auto" w:fill="auto"/>
            <w:vAlign w:val="bottom"/>
          </w:tcPr>
          <w:p w14:paraId="71D480A1" w14:textId="77777777" w:rsidR="006A3667" w:rsidRDefault="006A3667">
            <w:pPr>
              <w:rPr>
                <w:rFonts w:ascii="宋体"/>
              </w:rPr>
            </w:pPr>
          </w:p>
        </w:tc>
        <w:tc>
          <w:tcPr>
            <w:tcW w:w="1070" w:type="pct"/>
            <w:shd w:val="clear" w:color="auto" w:fill="auto"/>
            <w:vAlign w:val="bottom"/>
          </w:tcPr>
          <w:p w14:paraId="71D480A2" w14:textId="77777777" w:rsidR="006A3667" w:rsidRDefault="006A3667">
            <w:pPr>
              <w:rPr>
                <w:rFonts w:ascii="宋体"/>
              </w:rPr>
            </w:pPr>
          </w:p>
        </w:tc>
        <w:tc>
          <w:tcPr>
            <w:tcW w:w="5" w:type="pct"/>
            <w:shd w:val="clear" w:color="auto" w:fill="auto"/>
            <w:vAlign w:val="bottom"/>
          </w:tcPr>
          <w:p w14:paraId="71D480A3" w14:textId="77777777" w:rsidR="006A3667" w:rsidRDefault="006A3667">
            <w:pPr>
              <w:rPr>
                <w:rFonts w:ascii="宋体"/>
              </w:rPr>
            </w:pPr>
          </w:p>
        </w:tc>
        <w:tc>
          <w:tcPr>
            <w:tcW w:w="50" w:type="pct"/>
            <w:shd w:val="clear" w:color="auto" w:fill="auto"/>
            <w:vAlign w:val="bottom"/>
          </w:tcPr>
          <w:p w14:paraId="71D480A4" w14:textId="77777777" w:rsidR="006A3667" w:rsidRDefault="006A3667">
            <w:pPr>
              <w:rPr>
                <w:rFonts w:ascii="宋体"/>
              </w:rPr>
            </w:pPr>
          </w:p>
        </w:tc>
        <w:tc>
          <w:tcPr>
            <w:tcW w:w="405" w:type="pct"/>
            <w:shd w:val="clear" w:color="auto" w:fill="auto"/>
            <w:vAlign w:val="bottom"/>
          </w:tcPr>
          <w:p w14:paraId="71D480A5" w14:textId="77777777" w:rsidR="006A3667" w:rsidRDefault="006A3667">
            <w:pPr>
              <w:rPr>
                <w:rFonts w:ascii="宋体"/>
              </w:rPr>
            </w:pPr>
          </w:p>
        </w:tc>
        <w:tc>
          <w:tcPr>
            <w:tcW w:w="5" w:type="pct"/>
            <w:shd w:val="clear" w:color="auto" w:fill="auto"/>
            <w:vAlign w:val="bottom"/>
          </w:tcPr>
          <w:p w14:paraId="71D480A6" w14:textId="77777777" w:rsidR="006A3667" w:rsidRDefault="006A3667">
            <w:pPr>
              <w:rPr>
                <w:rFonts w:ascii="宋体"/>
              </w:rPr>
            </w:pPr>
          </w:p>
        </w:tc>
        <w:tc>
          <w:tcPr>
            <w:tcW w:w="5" w:type="pct"/>
            <w:shd w:val="clear" w:color="auto" w:fill="auto"/>
            <w:vAlign w:val="bottom"/>
          </w:tcPr>
          <w:p w14:paraId="71D480A7" w14:textId="77777777" w:rsidR="006A3667" w:rsidRDefault="006A3667">
            <w:pPr>
              <w:rPr>
                <w:rFonts w:ascii="宋体"/>
              </w:rPr>
            </w:pPr>
          </w:p>
        </w:tc>
        <w:tc>
          <w:tcPr>
            <w:tcW w:w="19" w:type="pct"/>
            <w:shd w:val="clear" w:color="auto" w:fill="auto"/>
            <w:vAlign w:val="bottom"/>
          </w:tcPr>
          <w:p w14:paraId="71D480A8" w14:textId="77777777" w:rsidR="006A3667" w:rsidRDefault="006A3667">
            <w:pPr>
              <w:rPr>
                <w:rFonts w:ascii="宋体"/>
              </w:rPr>
            </w:pPr>
          </w:p>
        </w:tc>
        <w:tc>
          <w:tcPr>
            <w:tcW w:w="5" w:type="pct"/>
            <w:shd w:val="clear" w:color="auto" w:fill="auto"/>
            <w:vAlign w:val="bottom"/>
          </w:tcPr>
          <w:p w14:paraId="71D480A9" w14:textId="77777777" w:rsidR="006A3667" w:rsidRDefault="006A3667">
            <w:pPr>
              <w:rPr>
                <w:rFonts w:ascii="宋体"/>
              </w:rPr>
            </w:pPr>
          </w:p>
        </w:tc>
        <w:tc>
          <w:tcPr>
            <w:tcW w:w="50" w:type="pct"/>
            <w:shd w:val="clear" w:color="auto" w:fill="auto"/>
            <w:vAlign w:val="bottom"/>
          </w:tcPr>
          <w:p w14:paraId="71D480AA" w14:textId="77777777" w:rsidR="006A3667" w:rsidRDefault="006A3667">
            <w:pPr>
              <w:rPr>
                <w:rFonts w:ascii="宋体"/>
              </w:rPr>
            </w:pPr>
          </w:p>
        </w:tc>
        <w:tc>
          <w:tcPr>
            <w:tcW w:w="273" w:type="pct"/>
            <w:shd w:val="clear" w:color="auto" w:fill="auto"/>
            <w:vAlign w:val="bottom"/>
          </w:tcPr>
          <w:p w14:paraId="71D480AB" w14:textId="77777777" w:rsidR="006A3667" w:rsidRDefault="006A3667">
            <w:pPr>
              <w:rPr>
                <w:rFonts w:ascii="宋体"/>
              </w:rPr>
            </w:pPr>
          </w:p>
        </w:tc>
        <w:tc>
          <w:tcPr>
            <w:tcW w:w="5" w:type="pct"/>
            <w:shd w:val="clear" w:color="auto" w:fill="auto"/>
            <w:vAlign w:val="bottom"/>
          </w:tcPr>
          <w:p w14:paraId="71D480AC" w14:textId="77777777" w:rsidR="006A3667" w:rsidRDefault="006A3667">
            <w:pPr>
              <w:rPr>
                <w:rFonts w:ascii="宋体"/>
              </w:rPr>
            </w:pPr>
          </w:p>
        </w:tc>
        <w:tc>
          <w:tcPr>
            <w:tcW w:w="5" w:type="pct"/>
            <w:shd w:val="clear" w:color="auto" w:fill="auto"/>
            <w:vAlign w:val="bottom"/>
          </w:tcPr>
          <w:p w14:paraId="71D480AD" w14:textId="77777777" w:rsidR="006A3667" w:rsidRDefault="006A3667">
            <w:pPr>
              <w:rPr>
                <w:rFonts w:ascii="宋体"/>
              </w:rPr>
            </w:pPr>
          </w:p>
        </w:tc>
        <w:tc>
          <w:tcPr>
            <w:tcW w:w="19" w:type="pct"/>
            <w:shd w:val="clear" w:color="auto" w:fill="auto"/>
            <w:vAlign w:val="bottom"/>
          </w:tcPr>
          <w:p w14:paraId="71D480AE" w14:textId="77777777" w:rsidR="006A3667" w:rsidRDefault="006A3667">
            <w:pPr>
              <w:rPr>
                <w:rFonts w:ascii="宋体"/>
              </w:rPr>
            </w:pPr>
          </w:p>
        </w:tc>
        <w:tc>
          <w:tcPr>
            <w:tcW w:w="5" w:type="pct"/>
            <w:shd w:val="clear" w:color="auto" w:fill="auto"/>
            <w:vAlign w:val="bottom"/>
          </w:tcPr>
          <w:p w14:paraId="71D480AF" w14:textId="77777777" w:rsidR="006A3667" w:rsidRDefault="006A3667">
            <w:pPr>
              <w:rPr>
                <w:rFonts w:ascii="宋体"/>
              </w:rPr>
            </w:pPr>
          </w:p>
        </w:tc>
        <w:tc>
          <w:tcPr>
            <w:tcW w:w="50" w:type="pct"/>
            <w:shd w:val="clear" w:color="auto" w:fill="auto"/>
            <w:vAlign w:val="bottom"/>
          </w:tcPr>
          <w:p w14:paraId="71D480B0" w14:textId="77777777" w:rsidR="006A3667" w:rsidRDefault="006A3667">
            <w:pPr>
              <w:rPr>
                <w:rFonts w:ascii="宋体"/>
              </w:rPr>
            </w:pPr>
          </w:p>
        </w:tc>
        <w:tc>
          <w:tcPr>
            <w:tcW w:w="273" w:type="pct"/>
            <w:shd w:val="clear" w:color="auto" w:fill="auto"/>
            <w:vAlign w:val="bottom"/>
          </w:tcPr>
          <w:p w14:paraId="71D480B1" w14:textId="77777777" w:rsidR="006A3667" w:rsidRDefault="006A3667">
            <w:pPr>
              <w:rPr>
                <w:rFonts w:ascii="宋体"/>
              </w:rPr>
            </w:pPr>
          </w:p>
        </w:tc>
        <w:tc>
          <w:tcPr>
            <w:tcW w:w="5" w:type="pct"/>
            <w:shd w:val="clear" w:color="auto" w:fill="auto"/>
            <w:vAlign w:val="bottom"/>
          </w:tcPr>
          <w:p w14:paraId="71D480B2" w14:textId="77777777" w:rsidR="006A3667" w:rsidRDefault="006A3667">
            <w:pPr>
              <w:rPr>
                <w:rFonts w:ascii="宋体"/>
              </w:rPr>
            </w:pPr>
          </w:p>
        </w:tc>
        <w:tc>
          <w:tcPr>
            <w:tcW w:w="5" w:type="pct"/>
            <w:shd w:val="clear" w:color="auto" w:fill="auto"/>
            <w:vAlign w:val="bottom"/>
          </w:tcPr>
          <w:p w14:paraId="71D480B3" w14:textId="77777777" w:rsidR="006A3667" w:rsidRDefault="006A3667">
            <w:pPr>
              <w:rPr>
                <w:rFonts w:ascii="宋体"/>
              </w:rPr>
            </w:pPr>
          </w:p>
        </w:tc>
        <w:tc>
          <w:tcPr>
            <w:tcW w:w="19" w:type="pct"/>
            <w:shd w:val="clear" w:color="auto" w:fill="auto"/>
            <w:vAlign w:val="bottom"/>
          </w:tcPr>
          <w:p w14:paraId="71D480B4" w14:textId="77777777" w:rsidR="006A3667" w:rsidRDefault="006A3667">
            <w:pPr>
              <w:rPr>
                <w:rFonts w:ascii="宋体"/>
              </w:rPr>
            </w:pPr>
          </w:p>
        </w:tc>
        <w:tc>
          <w:tcPr>
            <w:tcW w:w="5" w:type="pct"/>
            <w:shd w:val="clear" w:color="auto" w:fill="auto"/>
            <w:vAlign w:val="bottom"/>
          </w:tcPr>
          <w:p w14:paraId="71D480B5" w14:textId="77777777" w:rsidR="006A3667" w:rsidRDefault="006A3667">
            <w:pPr>
              <w:rPr>
                <w:rFonts w:ascii="宋体"/>
              </w:rPr>
            </w:pPr>
          </w:p>
        </w:tc>
        <w:tc>
          <w:tcPr>
            <w:tcW w:w="50" w:type="pct"/>
            <w:shd w:val="clear" w:color="auto" w:fill="auto"/>
            <w:vAlign w:val="bottom"/>
          </w:tcPr>
          <w:p w14:paraId="71D480B6" w14:textId="77777777" w:rsidR="006A3667" w:rsidRDefault="006A3667">
            <w:pPr>
              <w:rPr>
                <w:rFonts w:ascii="宋体"/>
              </w:rPr>
            </w:pPr>
          </w:p>
        </w:tc>
        <w:tc>
          <w:tcPr>
            <w:tcW w:w="288" w:type="pct"/>
            <w:shd w:val="clear" w:color="auto" w:fill="auto"/>
            <w:vAlign w:val="bottom"/>
          </w:tcPr>
          <w:p w14:paraId="71D480B7" w14:textId="77777777" w:rsidR="006A3667" w:rsidRDefault="006A3667">
            <w:pPr>
              <w:rPr>
                <w:rFonts w:ascii="宋体"/>
              </w:rPr>
            </w:pPr>
          </w:p>
        </w:tc>
        <w:tc>
          <w:tcPr>
            <w:tcW w:w="5" w:type="pct"/>
            <w:shd w:val="clear" w:color="auto" w:fill="auto"/>
            <w:vAlign w:val="bottom"/>
          </w:tcPr>
          <w:p w14:paraId="71D480B8" w14:textId="77777777" w:rsidR="006A3667" w:rsidRDefault="006A3667">
            <w:pPr>
              <w:rPr>
                <w:rFonts w:ascii="宋体"/>
              </w:rPr>
            </w:pPr>
          </w:p>
        </w:tc>
        <w:tc>
          <w:tcPr>
            <w:tcW w:w="5" w:type="pct"/>
            <w:shd w:val="clear" w:color="auto" w:fill="auto"/>
            <w:vAlign w:val="bottom"/>
          </w:tcPr>
          <w:p w14:paraId="71D480B9" w14:textId="77777777" w:rsidR="006A3667" w:rsidRDefault="006A3667">
            <w:pPr>
              <w:rPr>
                <w:rFonts w:ascii="宋体"/>
              </w:rPr>
            </w:pPr>
          </w:p>
        </w:tc>
        <w:tc>
          <w:tcPr>
            <w:tcW w:w="19" w:type="pct"/>
            <w:shd w:val="clear" w:color="auto" w:fill="auto"/>
            <w:vAlign w:val="bottom"/>
          </w:tcPr>
          <w:p w14:paraId="71D480BA" w14:textId="77777777" w:rsidR="006A3667" w:rsidRDefault="006A3667">
            <w:pPr>
              <w:rPr>
                <w:rFonts w:ascii="宋体"/>
              </w:rPr>
            </w:pPr>
          </w:p>
        </w:tc>
        <w:tc>
          <w:tcPr>
            <w:tcW w:w="5" w:type="pct"/>
            <w:shd w:val="clear" w:color="auto" w:fill="auto"/>
            <w:vAlign w:val="bottom"/>
          </w:tcPr>
          <w:p w14:paraId="71D480BB" w14:textId="77777777" w:rsidR="006A3667" w:rsidRDefault="006A3667">
            <w:pPr>
              <w:rPr>
                <w:rFonts w:ascii="宋体"/>
              </w:rPr>
            </w:pPr>
          </w:p>
        </w:tc>
        <w:tc>
          <w:tcPr>
            <w:tcW w:w="50" w:type="pct"/>
            <w:shd w:val="clear" w:color="auto" w:fill="auto"/>
            <w:vAlign w:val="bottom"/>
          </w:tcPr>
          <w:p w14:paraId="71D480BC" w14:textId="77777777" w:rsidR="006A3667" w:rsidRDefault="006A3667">
            <w:pPr>
              <w:rPr>
                <w:rFonts w:ascii="宋体"/>
              </w:rPr>
            </w:pPr>
          </w:p>
        </w:tc>
        <w:tc>
          <w:tcPr>
            <w:tcW w:w="288" w:type="pct"/>
            <w:shd w:val="clear" w:color="auto" w:fill="auto"/>
            <w:vAlign w:val="bottom"/>
          </w:tcPr>
          <w:p w14:paraId="71D480BD" w14:textId="77777777" w:rsidR="006A3667" w:rsidRDefault="006A3667">
            <w:pPr>
              <w:rPr>
                <w:rFonts w:ascii="宋体"/>
              </w:rPr>
            </w:pPr>
          </w:p>
        </w:tc>
        <w:tc>
          <w:tcPr>
            <w:tcW w:w="5" w:type="pct"/>
            <w:shd w:val="clear" w:color="auto" w:fill="auto"/>
            <w:vAlign w:val="bottom"/>
          </w:tcPr>
          <w:p w14:paraId="71D480BE" w14:textId="77777777" w:rsidR="006A3667" w:rsidRDefault="006A3667">
            <w:pPr>
              <w:rPr>
                <w:rFonts w:ascii="宋体"/>
              </w:rPr>
            </w:pPr>
          </w:p>
        </w:tc>
        <w:tc>
          <w:tcPr>
            <w:tcW w:w="5" w:type="pct"/>
            <w:shd w:val="clear" w:color="auto" w:fill="auto"/>
            <w:vAlign w:val="bottom"/>
          </w:tcPr>
          <w:p w14:paraId="71D480BF" w14:textId="77777777" w:rsidR="006A3667" w:rsidRDefault="006A3667">
            <w:pPr>
              <w:rPr>
                <w:rFonts w:ascii="宋体"/>
              </w:rPr>
            </w:pPr>
          </w:p>
        </w:tc>
        <w:tc>
          <w:tcPr>
            <w:tcW w:w="19" w:type="pct"/>
            <w:shd w:val="clear" w:color="auto" w:fill="auto"/>
            <w:vAlign w:val="bottom"/>
          </w:tcPr>
          <w:p w14:paraId="71D480C0" w14:textId="77777777" w:rsidR="006A3667" w:rsidRDefault="006A3667">
            <w:pPr>
              <w:rPr>
                <w:rFonts w:ascii="宋体"/>
              </w:rPr>
            </w:pPr>
          </w:p>
        </w:tc>
        <w:tc>
          <w:tcPr>
            <w:tcW w:w="5" w:type="pct"/>
            <w:shd w:val="clear" w:color="auto" w:fill="auto"/>
            <w:vAlign w:val="bottom"/>
          </w:tcPr>
          <w:p w14:paraId="71D480C1" w14:textId="77777777" w:rsidR="006A3667" w:rsidRDefault="006A3667">
            <w:pPr>
              <w:rPr>
                <w:rFonts w:ascii="宋体"/>
              </w:rPr>
            </w:pPr>
          </w:p>
        </w:tc>
        <w:tc>
          <w:tcPr>
            <w:tcW w:w="50" w:type="pct"/>
            <w:shd w:val="clear" w:color="auto" w:fill="auto"/>
            <w:vAlign w:val="bottom"/>
          </w:tcPr>
          <w:p w14:paraId="71D480C2" w14:textId="77777777" w:rsidR="006A3667" w:rsidRDefault="006A3667">
            <w:pPr>
              <w:rPr>
                <w:rFonts w:ascii="宋体"/>
              </w:rPr>
            </w:pPr>
          </w:p>
        </w:tc>
        <w:tc>
          <w:tcPr>
            <w:tcW w:w="405" w:type="pct"/>
            <w:shd w:val="clear" w:color="auto" w:fill="auto"/>
            <w:vAlign w:val="bottom"/>
          </w:tcPr>
          <w:p w14:paraId="71D480C3" w14:textId="77777777" w:rsidR="006A3667" w:rsidRDefault="006A3667">
            <w:pPr>
              <w:rPr>
                <w:rFonts w:ascii="宋体"/>
              </w:rPr>
            </w:pPr>
          </w:p>
        </w:tc>
        <w:tc>
          <w:tcPr>
            <w:tcW w:w="5" w:type="pct"/>
            <w:shd w:val="clear" w:color="auto" w:fill="auto"/>
            <w:vAlign w:val="bottom"/>
          </w:tcPr>
          <w:p w14:paraId="71D480C4" w14:textId="77777777" w:rsidR="006A3667" w:rsidRDefault="006A3667">
            <w:pPr>
              <w:rPr>
                <w:rFonts w:ascii="宋体"/>
              </w:rPr>
            </w:pPr>
          </w:p>
        </w:tc>
        <w:tc>
          <w:tcPr>
            <w:tcW w:w="5" w:type="pct"/>
            <w:shd w:val="clear" w:color="auto" w:fill="auto"/>
            <w:vAlign w:val="bottom"/>
          </w:tcPr>
          <w:p w14:paraId="71D480C5" w14:textId="77777777" w:rsidR="006A3667" w:rsidRDefault="006A3667">
            <w:pPr>
              <w:rPr>
                <w:rFonts w:ascii="宋体"/>
              </w:rPr>
            </w:pPr>
          </w:p>
        </w:tc>
        <w:tc>
          <w:tcPr>
            <w:tcW w:w="19" w:type="pct"/>
            <w:shd w:val="clear" w:color="auto" w:fill="auto"/>
            <w:vAlign w:val="bottom"/>
          </w:tcPr>
          <w:p w14:paraId="71D480C6" w14:textId="77777777" w:rsidR="006A3667" w:rsidRDefault="006A3667">
            <w:pPr>
              <w:rPr>
                <w:rFonts w:ascii="宋体"/>
              </w:rPr>
            </w:pPr>
          </w:p>
        </w:tc>
        <w:tc>
          <w:tcPr>
            <w:tcW w:w="5" w:type="pct"/>
            <w:shd w:val="clear" w:color="auto" w:fill="auto"/>
            <w:vAlign w:val="bottom"/>
          </w:tcPr>
          <w:p w14:paraId="71D480C7" w14:textId="77777777" w:rsidR="006A3667" w:rsidRDefault="006A3667">
            <w:pPr>
              <w:rPr>
                <w:rFonts w:ascii="宋体"/>
              </w:rPr>
            </w:pPr>
          </w:p>
        </w:tc>
        <w:tc>
          <w:tcPr>
            <w:tcW w:w="50" w:type="pct"/>
            <w:shd w:val="clear" w:color="auto" w:fill="auto"/>
            <w:vAlign w:val="bottom"/>
          </w:tcPr>
          <w:p w14:paraId="71D480C8" w14:textId="77777777" w:rsidR="006A3667" w:rsidRDefault="006A3667">
            <w:pPr>
              <w:rPr>
                <w:rFonts w:ascii="宋体"/>
              </w:rPr>
            </w:pPr>
          </w:p>
        </w:tc>
        <w:tc>
          <w:tcPr>
            <w:tcW w:w="273" w:type="pct"/>
            <w:shd w:val="clear" w:color="auto" w:fill="auto"/>
            <w:vAlign w:val="bottom"/>
          </w:tcPr>
          <w:p w14:paraId="71D480C9" w14:textId="77777777" w:rsidR="006A3667" w:rsidRDefault="006A3667">
            <w:pPr>
              <w:rPr>
                <w:rFonts w:ascii="宋体"/>
              </w:rPr>
            </w:pPr>
          </w:p>
        </w:tc>
        <w:tc>
          <w:tcPr>
            <w:tcW w:w="5" w:type="pct"/>
            <w:shd w:val="clear" w:color="auto" w:fill="auto"/>
            <w:vAlign w:val="bottom"/>
          </w:tcPr>
          <w:p w14:paraId="71D480CA" w14:textId="77777777" w:rsidR="006A3667" w:rsidRDefault="006A3667">
            <w:pPr>
              <w:rPr>
                <w:rFonts w:ascii="宋体"/>
              </w:rPr>
            </w:pPr>
          </w:p>
        </w:tc>
        <w:tc>
          <w:tcPr>
            <w:tcW w:w="5" w:type="pct"/>
            <w:shd w:val="clear" w:color="auto" w:fill="auto"/>
            <w:vAlign w:val="bottom"/>
          </w:tcPr>
          <w:p w14:paraId="71D480CB" w14:textId="77777777" w:rsidR="006A3667" w:rsidRDefault="006A3667">
            <w:pPr>
              <w:rPr>
                <w:rFonts w:ascii="宋体"/>
              </w:rPr>
            </w:pPr>
          </w:p>
        </w:tc>
        <w:tc>
          <w:tcPr>
            <w:tcW w:w="19" w:type="pct"/>
            <w:shd w:val="clear" w:color="auto" w:fill="auto"/>
            <w:vAlign w:val="bottom"/>
          </w:tcPr>
          <w:p w14:paraId="71D480CC" w14:textId="77777777" w:rsidR="006A3667" w:rsidRDefault="006A3667">
            <w:pPr>
              <w:rPr>
                <w:rFonts w:ascii="宋体"/>
              </w:rPr>
            </w:pPr>
          </w:p>
        </w:tc>
        <w:tc>
          <w:tcPr>
            <w:tcW w:w="5" w:type="pct"/>
            <w:shd w:val="clear" w:color="auto" w:fill="auto"/>
            <w:vAlign w:val="bottom"/>
          </w:tcPr>
          <w:p w14:paraId="71D480CD" w14:textId="77777777" w:rsidR="006A3667" w:rsidRDefault="006A3667">
            <w:pPr>
              <w:rPr>
                <w:rFonts w:ascii="宋体"/>
              </w:rPr>
            </w:pPr>
          </w:p>
        </w:tc>
        <w:tc>
          <w:tcPr>
            <w:tcW w:w="50" w:type="pct"/>
            <w:shd w:val="clear" w:color="auto" w:fill="auto"/>
            <w:vAlign w:val="bottom"/>
          </w:tcPr>
          <w:p w14:paraId="71D480CE" w14:textId="77777777" w:rsidR="006A3667" w:rsidRDefault="006A3667">
            <w:pPr>
              <w:rPr>
                <w:rFonts w:ascii="宋体"/>
              </w:rPr>
            </w:pPr>
          </w:p>
        </w:tc>
        <w:tc>
          <w:tcPr>
            <w:tcW w:w="273" w:type="pct"/>
            <w:shd w:val="clear" w:color="auto" w:fill="auto"/>
            <w:vAlign w:val="bottom"/>
          </w:tcPr>
          <w:p w14:paraId="71D480CF" w14:textId="77777777" w:rsidR="006A3667" w:rsidRDefault="006A3667">
            <w:pPr>
              <w:rPr>
                <w:rFonts w:ascii="宋体"/>
              </w:rPr>
            </w:pPr>
          </w:p>
        </w:tc>
        <w:tc>
          <w:tcPr>
            <w:tcW w:w="5" w:type="pct"/>
            <w:shd w:val="clear" w:color="auto" w:fill="auto"/>
            <w:vAlign w:val="bottom"/>
          </w:tcPr>
          <w:p w14:paraId="71D480D0" w14:textId="77777777" w:rsidR="006A3667" w:rsidRDefault="006A3667">
            <w:pPr>
              <w:rPr>
                <w:rFonts w:ascii="宋体"/>
              </w:rPr>
            </w:pPr>
          </w:p>
        </w:tc>
        <w:tc>
          <w:tcPr>
            <w:tcW w:w="5" w:type="pct"/>
            <w:shd w:val="clear" w:color="auto" w:fill="auto"/>
            <w:vAlign w:val="bottom"/>
          </w:tcPr>
          <w:p w14:paraId="71D480D1" w14:textId="77777777" w:rsidR="006A3667" w:rsidRDefault="006A3667">
            <w:pPr>
              <w:rPr>
                <w:rFonts w:ascii="宋体"/>
              </w:rPr>
            </w:pPr>
          </w:p>
        </w:tc>
        <w:tc>
          <w:tcPr>
            <w:tcW w:w="19" w:type="pct"/>
            <w:shd w:val="clear" w:color="auto" w:fill="auto"/>
            <w:vAlign w:val="bottom"/>
          </w:tcPr>
          <w:p w14:paraId="71D480D2" w14:textId="77777777" w:rsidR="006A3667" w:rsidRDefault="006A3667">
            <w:pPr>
              <w:rPr>
                <w:rFonts w:ascii="宋体"/>
              </w:rPr>
            </w:pPr>
          </w:p>
        </w:tc>
        <w:tc>
          <w:tcPr>
            <w:tcW w:w="5" w:type="pct"/>
            <w:shd w:val="clear" w:color="auto" w:fill="auto"/>
            <w:vAlign w:val="bottom"/>
          </w:tcPr>
          <w:p w14:paraId="71D480D3" w14:textId="77777777" w:rsidR="006A3667" w:rsidRDefault="006A3667">
            <w:pPr>
              <w:rPr>
                <w:rFonts w:ascii="宋体"/>
              </w:rPr>
            </w:pPr>
          </w:p>
        </w:tc>
        <w:tc>
          <w:tcPr>
            <w:tcW w:w="50" w:type="pct"/>
            <w:shd w:val="clear" w:color="auto" w:fill="auto"/>
            <w:vAlign w:val="bottom"/>
          </w:tcPr>
          <w:p w14:paraId="71D480D4" w14:textId="77777777" w:rsidR="006A3667" w:rsidRDefault="006A3667">
            <w:pPr>
              <w:rPr>
                <w:rFonts w:ascii="宋体"/>
              </w:rPr>
            </w:pPr>
          </w:p>
        </w:tc>
        <w:tc>
          <w:tcPr>
            <w:tcW w:w="288" w:type="pct"/>
            <w:shd w:val="clear" w:color="auto" w:fill="auto"/>
            <w:vAlign w:val="bottom"/>
          </w:tcPr>
          <w:p w14:paraId="71D480D5" w14:textId="77777777" w:rsidR="006A3667" w:rsidRDefault="006A3667">
            <w:pPr>
              <w:rPr>
                <w:rFonts w:ascii="宋体"/>
              </w:rPr>
            </w:pPr>
          </w:p>
        </w:tc>
        <w:tc>
          <w:tcPr>
            <w:tcW w:w="5" w:type="pct"/>
            <w:shd w:val="clear" w:color="auto" w:fill="auto"/>
            <w:vAlign w:val="bottom"/>
          </w:tcPr>
          <w:p w14:paraId="71D480D6" w14:textId="77777777" w:rsidR="006A3667" w:rsidRDefault="006A3667">
            <w:pPr>
              <w:rPr>
                <w:rFonts w:ascii="宋体"/>
              </w:rPr>
            </w:pPr>
          </w:p>
        </w:tc>
        <w:tc>
          <w:tcPr>
            <w:tcW w:w="5" w:type="pct"/>
            <w:shd w:val="clear" w:color="auto" w:fill="auto"/>
            <w:vAlign w:val="bottom"/>
          </w:tcPr>
          <w:p w14:paraId="71D480D7" w14:textId="77777777" w:rsidR="006A3667" w:rsidRDefault="006A3667">
            <w:pPr>
              <w:rPr>
                <w:rFonts w:ascii="宋体"/>
              </w:rPr>
            </w:pPr>
          </w:p>
        </w:tc>
        <w:tc>
          <w:tcPr>
            <w:tcW w:w="19" w:type="pct"/>
            <w:shd w:val="clear" w:color="auto" w:fill="auto"/>
            <w:vAlign w:val="bottom"/>
          </w:tcPr>
          <w:p w14:paraId="71D480D8" w14:textId="77777777" w:rsidR="006A3667" w:rsidRDefault="006A3667">
            <w:pPr>
              <w:rPr>
                <w:rFonts w:ascii="宋体"/>
              </w:rPr>
            </w:pPr>
          </w:p>
        </w:tc>
        <w:tc>
          <w:tcPr>
            <w:tcW w:w="5" w:type="pct"/>
            <w:shd w:val="clear" w:color="auto" w:fill="auto"/>
            <w:vAlign w:val="bottom"/>
          </w:tcPr>
          <w:p w14:paraId="71D480D9" w14:textId="77777777" w:rsidR="006A3667" w:rsidRDefault="006A3667">
            <w:pPr>
              <w:rPr>
                <w:rFonts w:ascii="宋体"/>
              </w:rPr>
            </w:pPr>
          </w:p>
        </w:tc>
        <w:tc>
          <w:tcPr>
            <w:tcW w:w="50" w:type="pct"/>
            <w:shd w:val="clear" w:color="auto" w:fill="auto"/>
            <w:vAlign w:val="bottom"/>
          </w:tcPr>
          <w:p w14:paraId="71D480DA" w14:textId="77777777" w:rsidR="006A3667" w:rsidRDefault="006A3667">
            <w:pPr>
              <w:rPr>
                <w:rFonts w:ascii="宋体"/>
              </w:rPr>
            </w:pPr>
          </w:p>
        </w:tc>
        <w:tc>
          <w:tcPr>
            <w:tcW w:w="289" w:type="pct"/>
            <w:shd w:val="clear" w:color="auto" w:fill="auto"/>
            <w:vAlign w:val="bottom"/>
          </w:tcPr>
          <w:p w14:paraId="71D480DB" w14:textId="77777777" w:rsidR="006A3667" w:rsidRDefault="006A3667">
            <w:pPr>
              <w:rPr>
                <w:rFonts w:ascii="宋体"/>
              </w:rPr>
            </w:pPr>
          </w:p>
        </w:tc>
        <w:tc>
          <w:tcPr>
            <w:tcW w:w="5" w:type="pct"/>
            <w:shd w:val="clear" w:color="auto" w:fill="auto"/>
            <w:vAlign w:val="bottom"/>
          </w:tcPr>
          <w:p w14:paraId="71D480DC" w14:textId="77777777" w:rsidR="006A3667" w:rsidRDefault="006A3667">
            <w:pPr>
              <w:rPr>
                <w:rFonts w:ascii="宋体"/>
              </w:rPr>
            </w:pPr>
          </w:p>
        </w:tc>
      </w:tr>
      <w:tr w:rsidR="006A3667" w14:paraId="71D48106" w14:textId="77777777">
        <w:trPr>
          <w:hidden/>
        </w:trPr>
        <w:tc>
          <w:tcPr>
            <w:tcW w:w="0" w:type="auto"/>
            <w:gridSpan w:val="3"/>
            <w:shd w:val="clear" w:color="auto" w:fill="auto"/>
            <w:vAlign w:val="bottom"/>
          </w:tcPr>
          <w:p w14:paraId="71D480DE" w14:textId="77777777" w:rsidR="006A3667" w:rsidRDefault="006A3667">
            <w:pPr>
              <w:rPr>
                <w:rFonts w:ascii="宋体"/>
                <w:vanish/>
              </w:rPr>
            </w:pPr>
          </w:p>
        </w:tc>
        <w:tc>
          <w:tcPr>
            <w:tcW w:w="0" w:type="auto"/>
            <w:gridSpan w:val="3"/>
            <w:shd w:val="clear" w:color="auto" w:fill="auto"/>
            <w:vAlign w:val="bottom"/>
          </w:tcPr>
          <w:p w14:paraId="71D480DF" w14:textId="77777777" w:rsidR="006A3667" w:rsidRDefault="006A3667">
            <w:pPr>
              <w:rPr>
                <w:rFonts w:ascii="宋体"/>
                <w:vanish/>
              </w:rPr>
            </w:pPr>
          </w:p>
        </w:tc>
        <w:tc>
          <w:tcPr>
            <w:tcW w:w="0" w:type="auto"/>
            <w:gridSpan w:val="3"/>
            <w:shd w:val="clear" w:color="auto" w:fill="auto"/>
            <w:vAlign w:val="bottom"/>
          </w:tcPr>
          <w:p w14:paraId="71D480E0" w14:textId="77777777" w:rsidR="006A3667" w:rsidRDefault="006A3667">
            <w:pPr>
              <w:rPr>
                <w:rFonts w:ascii="宋体"/>
                <w:vanish/>
              </w:rPr>
            </w:pPr>
          </w:p>
        </w:tc>
        <w:tc>
          <w:tcPr>
            <w:tcW w:w="0" w:type="auto"/>
            <w:gridSpan w:val="3"/>
            <w:shd w:val="clear" w:color="auto" w:fill="auto"/>
            <w:vAlign w:val="bottom"/>
          </w:tcPr>
          <w:p w14:paraId="71D480E1" w14:textId="77777777" w:rsidR="006A3667" w:rsidRDefault="006A3667">
            <w:pPr>
              <w:rPr>
                <w:rFonts w:ascii="宋体"/>
                <w:vanish/>
              </w:rPr>
            </w:pPr>
          </w:p>
        </w:tc>
        <w:tc>
          <w:tcPr>
            <w:tcW w:w="0" w:type="auto"/>
            <w:gridSpan w:val="3"/>
            <w:shd w:val="clear" w:color="auto" w:fill="auto"/>
            <w:vAlign w:val="bottom"/>
          </w:tcPr>
          <w:p w14:paraId="71D480E2" w14:textId="77777777" w:rsidR="006A3667" w:rsidRDefault="006A3667">
            <w:pPr>
              <w:rPr>
                <w:rFonts w:ascii="宋体"/>
                <w:vanish/>
              </w:rPr>
            </w:pPr>
          </w:p>
        </w:tc>
        <w:tc>
          <w:tcPr>
            <w:tcW w:w="0" w:type="auto"/>
            <w:gridSpan w:val="3"/>
            <w:shd w:val="clear" w:color="auto" w:fill="auto"/>
            <w:vAlign w:val="bottom"/>
          </w:tcPr>
          <w:p w14:paraId="71D480E3" w14:textId="77777777" w:rsidR="006A3667" w:rsidRDefault="006A3667">
            <w:pPr>
              <w:rPr>
                <w:rFonts w:ascii="宋体"/>
                <w:vanish/>
              </w:rPr>
            </w:pPr>
          </w:p>
        </w:tc>
        <w:tc>
          <w:tcPr>
            <w:tcW w:w="0" w:type="auto"/>
            <w:gridSpan w:val="3"/>
            <w:shd w:val="clear" w:color="auto" w:fill="auto"/>
            <w:vAlign w:val="bottom"/>
          </w:tcPr>
          <w:p w14:paraId="71D480E4" w14:textId="77777777" w:rsidR="006A3667" w:rsidRDefault="006A3667">
            <w:pPr>
              <w:rPr>
                <w:rFonts w:ascii="宋体"/>
                <w:vanish/>
              </w:rPr>
            </w:pPr>
          </w:p>
        </w:tc>
        <w:tc>
          <w:tcPr>
            <w:tcW w:w="0" w:type="auto"/>
            <w:gridSpan w:val="3"/>
            <w:shd w:val="clear" w:color="auto" w:fill="auto"/>
            <w:vAlign w:val="bottom"/>
          </w:tcPr>
          <w:p w14:paraId="71D480E5" w14:textId="77777777" w:rsidR="006A3667" w:rsidRDefault="006A3667">
            <w:pPr>
              <w:rPr>
                <w:rFonts w:ascii="宋体"/>
                <w:vanish/>
              </w:rPr>
            </w:pPr>
          </w:p>
        </w:tc>
        <w:tc>
          <w:tcPr>
            <w:tcW w:w="0" w:type="auto"/>
            <w:gridSpan w:val="3"/>
            <w:shd w:val="clear" w:color="auto" w:fill="auto"/>
            <w:vAlign w:val="bottom"/>
          </w:tcPr>
          <w:p w14:paraId="71D480E6" w14:textId="77777777" w:rsidR="006A3667" w:rsidRDefault="006A3667">
            <w:pPr>
              <w:rPr>
                <w:rFonts w:ascii="宋体"/>
                <w:vanish/>
              </w:rPr>
            </w:pPr>
          </w:p>
        </w:tc>
        <w:tc>
          <w:tcPr>
            <w:tcW w:w="0" w:type="auto"/>
            <w:gridSpan w:val="3"/>
            <w:shd w:val="clear" w:color="auto" w:fill="auto"/>
            <w:vAlign w:val="bottom"/>
          </w:tcPr>
          <w:p w14:paraId="71D480E7" w14:textId="77777777" w:rsidR="006A3667" w:rsidRDefault="006A3667">
            <w:pPr>
              <w:rPr>
                <w:rFonts w:ascii="宋体"/>
                <w:vanish/>
              </w:rPr>
            </w:pPr>
          </w:p>
        </w:tc>
        <w:tc>
          <w:tcPr>
            <w:tcW w:w="0" w:type="auto"/>
            <w:shd w:val="clear" w:color="auto" w:fill="auto"/>
            <w:vAlign w:val="bottom"/>
          </w:tcPr>
          <w:p w14:paraId="71D480E8" w14:textId="77777777" w:rsidR="006A3667" w:rsidRDefault="006A3667">
            <w:pPr>
              <w:rPr>
                <w:rFonts w:ascii="宋体"/>
              </w:rPr>
            </w:pPr>
          </w:p>
        </w:tc>
        <w:tc>
          <w:tcPr>
            <w:tcW w:w="0" w:type="auto"/>
            <w:shd w:val="clear" w:color="auto" w:fill="auto"/>
            <w:vAlign w:val="bottom"/>
          </w:tcPr>
          <w:p w14:paraId="71D480E9" w14:textId="77777777" w:rsidR="006A3667" w:rsidRDefault="006A3667">
            <w:pPr>
              <w:rPr>
                <w:rFonts w:ascii="宋体"/>
              </w:rPr>
            </w:pPr>
          </w:p>
        </w:tc>
        <w:tc>
          <w:tcPr>
            <w:tcW w:w="0" w:type="auto"/>
            <w:shd w:val="clear" w:color="auto" w:fill="auto"/>
            <w:vAlign w:val="bottom"/>
          </w:tcPr>
          <w:p w14:paraId="71D480EA" w14:textId="77777777" w:rsidR="006A3667" w:rsidRDefault="006A3667">
            <w:pPr>
              <w:rPr>
                <w:rFonts w:ascii="宋体"/>
              </w:rPr>
            </w:pPr>
          </w:p>
        </w:tc>
        <w:tc>
          <w:tcPr>
            <w:tcW w:w="0" w:type="auto"/>
            <w:shd w:val="clear" w:color="auto" w:fill="auto"/>
            <w:vAlign w:val="bottom"/>
          </w:tcPr>
          <w:p w14:paraId="71D480EB" w14:textId="77777777" w:rsidR="006A3667" w:rsidRDefault="006A3667">
            <w:pPr>
              <w:rPr>
                <w:rFonts w:ascii="宋体"/>
              </w:rPr>
            </w:pPr>
          </w:p>
        </w:tc>
        <w:tc>
          <w:tcPr>
            <w:tcW w:w="0" w:type="auto"/>
            <w:shd w:val="clear" w:color="auto" w:fill="auto"/>
            <w:vAlign w:val="bottom"/>
          </w:tcPr>
          <w:p w14:paraId="71D480EC" w14:textId="77777777" w:rsidR="006A3667" w:rsidRDefault="006A3667">
            <w:pPr>
              <w:rPr>
                <w:rFonts w:ascii="宋体"/>
              </w:rPr>
            </w:pPr>
          </w:p>
        </w:tc>
        <w:tc>
          <w:tcPr>
            <w:tcW w:w="0" w:type="auto"/>
            <w:shd w:val="clear" w:color="auto" w:fill="auto"/>
            <w:vAlign w:val="bottom"/>
          </w:tcPr>
          <w:p w14:paraId="71D480ED" w14:textId="77777777" w:rsidR="006A3667" w:rsidRDefault="006A3667">
            <w:pPr>
              <w:rPr>
                <w:rFonts w:ascii="宋体"/>
              </w:rPr>
            </w:pPr>
          </w:p>
        </w:tc>
        <w:tc>
          <w:tcPr>
            <w:tcW w:w="0" w:type="auto"/>
            <w:shd w:val="clear" w:color="auto" w:fill="auto"/>
            <w:vAlign w:val="bottom"/>
          </w:tcPr>
          <w:p w14:paraId="71D480EE" w14:textId="77777777" w:rsidR="006A3667" w:rsidRDefault="006A3667">
            <w:pPr>
              <w:rPr>
                <w:rFonts w:ascii="宋体"/>
              </w:rPr>
            </w:pPr>
          </w:p>
        </w:tc>
        <w:tc>
          <w:tcPr>
            <w:tcW w:w="0" w:type="auto"/>
            <w:shd w:val="clear" w:color="auto" w:fill="auto"/>
            <w:vAlign w:val="bottom"/>
          </w:tcPr>
          <w:p w14:paraId="71D480EF" w14:textId="77777777" w:rsidR="006A3667" w:rsidRDefault="006A3667">
            <w:pPr>
              <w:rPr>
                <w:rFonts w:ascii="宋体"/>
              </w:rPr>
            </w:pPr>
          </w:p>
        </w:tc>
        <w:tc>
          <w:tcPr>
            <w:tcW w:w="0" w:type="auto"/>
            <w:shd w:val="clear" w:color="auto" w:fill="auto"/>
            <w:vAlign w:val="bottom"/>
          </w:tcPr>
          <w:p w14:paraId="71D480F0" w14:textId="77777777" w:rsidR="006A3667" w:rsidRDefault="006A3667">
            <w:pPr>
              <w:rPr>
                <w:rFonts w:ascii="宋体"/>
              </w:rPr>
            </w:pPr>
          </w:p>
        </w:tc>
        <w:tc>
          <w:tcPr>
            <w:tcW w:w="0" w:type="auto"/>
            <w:shd w:val="clear" w:color="auto" w:fill="auto"/>
            <w:vAlign w:val="bottom"/>
          </w:tcPr>
          <w:p w14:paraId="71D480F1" w14:textId="77777777" w:rsidR="006A3667" w:rsidRDefault="006A3667">
            <w:pPr>
              <w:rPr>
                <w:rFonts w:ascii="宋体"/>
              </w:rPr>
            </w:pPr>
          </w:p>
        </w:tc>
        <w:tc>
          <w:tcPr>
            <w:tcW w:w="0" w:type="auto"/>
            <w:shd w:val="clear" w:color="auto" w:fill="auto"/>
            <w:vAlign w:val="bottom"/>
          </w:tcPr>
          <w:p w14:paraId="71D480F2" w14:textId="77777777" w:rsidR="006A3667" w:rsidRDefault="006A3667">
            <w:pPr>
              <w:rPr>
                <w:rFonts w:ascii="宋体"/>
              </w:rPr>
            </w:pPr>
          </w:p>
        </w:tc>
        <w:tc>
          <w:tcPr>
            <w:tcW w:w="0" w:type="auto"/>
            <w:shd w:val="clear" w:color="auto" w:fill="auto"/>
            <w:vAlign w:val="bottom"/>
          </w:tcPr>
          <w:p w14:paraId="71D480F3" w14:textId="77777777" w:rsidR="006A3667" w:rsidRDefault="006A3667">
            <w:pPr>
              <w:rPr>
                <w:rFonts w:ascii="宋体"/>
              </w:rPr>
            </w:pPr>
          </w:p>
        </w:tc>
        <w:tc>
          <w:tcPr>
            <w:tcW w:w="0" w:type="auto"/>
            <w:shd w:val="clear" w:color="auto" w:fill="auto"/>
            <w:vAlign w:val="bottom"/>
          </w:tcPr>
          <w:p w14:paraId="71D480F4" w14:textId="77777777" w:rsidR="006A3667" w:rsidRDefault="006A3667">
            <w:pPr>
              <w:rPr>
                <w:rFonts w:ascii="宋体"/>
              </w:rPr>
            </w:pPr>
          </w:p>
        </w:tc>
        <w:tc>
          <w:tcPr>
            <w:tcW w:w="0" w:type="auto"/>
            <w:shd w:val="clear" w:color="auto" w:fill="auto"/>
            <w:vAlign w:val="bottom"/>
          </w:tcPr>
          <w:p w14:paraId="71D480F5" w14:textId="77777777" w:rsidR="006A3667" w:rsidRDefault="006A3667">
            <w:pPr>
              <w:rPr>
                <w:rFonts w:ascii="宋体"/>
              </w:rPr>
            </w:pPr>
          </w:p>
        </w:tc>
        <w:tc>
          <w:tcPr>
            <w:tcW w:w="0" w:type="auto"/>
            <w:shd w:val="clear" w:color="auto" w:fill="auto"/>
            <w:vAlign w:val="bottom"/>
          </w:tcPr>
          <w:p w14:paraId="71D480F6" w14:textId="77777777" w:rsidR="006A3667" w:rsidRDefault="006A3667">
            <w:pPr>
              <w:rPr>
                <w:rFonts w:ascii="宋体"/>
              </w:rPr>
            </w:pPr>
          </w:p>
        </w:tc>
        <w:tc>
          <w:tcPr>
            <w:tcW w:w="0" w:type="auto"/>
            <w:shd w:val="clear" w:color="auto" w:fill="auto"/>
            <w:vAlign w:val="bottom"/>
          </w:tcPr>
          <w:p w14:paraId="71D480F7" w14:textId="77777777" w:rsidR="006A3667" w:rsidRDefault="006A3667">
            <w:pPr>
              <w:rPr>
                <w:rFonts w:ascii="宋体"/>
              </w:rPr>
            </w:pPr>
          </w:p>
        </w:tc>
        <w:tc>
          <w:tcPr>
            <w:tcW w:w="0" w:type="auto"/>
            <w:shd w:val="clear" w:color="auto" w:fill="auto"/>
            <w:vAlign w:val="bottom"/>
          </w:tcPr>
          <w:p w14:paraId="71D480F8" w14:textId="77777777" w:rsidR="006A3667" w:rsidRDefault="006A3667">
            <w:pPr>
              <w:rPr>
                <w:rFonts w:ascii="宋体"/>
              </w:rPr>
            </w:pPr>
          </w:p>
        </w:tc>
        <w:tc>
          <w:tcPr>
            <w:tcW w:w="0" w:type="auto"/>
            <w:shd w:val="clear" w:color="auto" w:fill="auto"/>
            <w:vAlign w:val="bottom"/>
          </w:tcPr>
          <w:p w14:paraId="71D480F9" w14:textId="77777777" w:rsidR="006A3667" w:rsidRDefault="006A3667">
            <w:pPr>
              <w:rPr>
                <w:rFonts w:ascii="宋体"/>
              </w:rPr>
            </w:pPr>
          </w:p>
        </w:tc>
        <w:tc>
          <w:tcPr>
            <w:tcW w:w="0" w:type="auto"/>
            <w:shd w:val="clear" w:color="auto" w:fill="auto"/>
            <w:vAlign w:val="bottom"/>
          </w:tcPr>
          <w:p w14:paraId="71D480FA" w14:textId="77777777" w:rsidR="006A3667" w:rsidRDefault="006A3667">
            <w:pPr>
              <w:rPr>
                <w:rFonts w:ascii="宋体"/>
              </w:rPr>
            </w:pPr>
          </w:p>
        </w:tc>
        <w:tc>
          <w:tcPr>
            <w:tcW w:w="0" w:type="auto"/>
            <w:shd w:val="clear" w:color="auto" w:fill="auto"/>
            <w:vAlign w:val="bottom"/>
          </w:tcPr>
          <w:p w14:paraId="71D480FB" w14:textId="77777777" w:rsidR="006A3667" w:rsidRDefault="006A3667">
            <w:pPr>
              <w:rPr>
                <w:rFonts w:ascii="宋体"/>
              </w:rPr>
            </w:pPr>
          </w:p>
        </w:tc>
        <w:tc>
          <w:tcPr>
            <w:tcW w:w="0" w:type="auto"/>
            <w:shd w:val="clear" w:color="auto" w:fill="auto"/>
            <w:vAlign w:val="bottom"/>
          </w:tcPr>
          <w:p w14:paraId="71D480FC" w14:textId="77777777" w:rsidR="006A3667" w:rsidRDefault="006A3667">
            <w:pPr>
              <w:rPr>
                <w:rFonts w:ascii="宋体"/>
              </w:rPr>
            </w:pPr>
          </w:p>
        </w:tc>
        <w:tc>
          <w:tcPr>
            <w:tcW w:w="0" w:type="auto"/>
            <w:shd w:val="clear" w:color="auto" w:fill="auto"/>
            <w:vAlign w:val="bottom"/>
          </w:tcPr>
          <w:p w14:paraId="71D480FD" w14:textId="77777777" w:rsidR="006A3667" w:rsidRDefault="006A3667">
            <w:pPr>
              <w:rPr>
                <w:rFonts w:ascii="宋体"/>
              </w:rPr>
            </w:pPr>
          </w:p>
        </w:tc>
        <w:tc>
          <w:tcPr>
            <w:tcW w:w="0" w:type="auto"/>
            <w:shd w:val="clear" w:color="auto" w:fill="auto"/>
            <w:vAlign w:val="bottom"/>
          </w:tcPr>
          <w:p w14:paraId="71D480FE" w14:textId="77777777" w:rsidR="006A3667" w:rsidRDefault="006A3667">
            <w:pPr>
              <w:rPr>
                <w:rFonts w:ascii="宋体"/>
              </w:rPr>
            </w:pPr>
          </w:p>
        </w:tc>
        <w:tc>
          <w:tcPr>
            <w:tcW w:w="0" w:type="auto"/>
            <w:shd w:val="clear" w:color="auto" w:fill="auto"/>
            <w:vAlign w:val="bottom"/>
          </w:tcPr>
          <w:p w14:paraId="71D480FF" w14:textId="77777777" w:rsidR="006A3667" w:rsidRDefault="006A3667">
            <w:pPr>
              <w:rPr>
                <w:rFonts w:ascii="宋体"/>
              </w:rPr>
            </w:pPr>
          </w:p>
        </w:tc>
        <w:tc>
          <w:tcPr>
            <w:tcW w:w="0" w:type="auto"/>
            <w:shd w:val="clear" w:color="auto" w:fill="auto"/>
            <w:vAlign w:val="bottom"/>
          </w:tcPr>
          <w:p w14:paraId="71D48100" w14:textId="77777777" w:rsidR="006A3667" w:rsidRDefault="006A3667">
            <w:pPr>
              <w:rPr>
                <w:rFonts w:ascii="宋体"/>
              </w:rPr>
            </w:pPr>
          </w:p>
        </w:tc>
        <w:tc>
          <w:tcPr>
            <w:tcW w:w="0" w:type="auto"/>
            <w:shd w:val="clear" w:color="auto" w:fill="auto"/>
            <w:vAlign w:val="bottom"/>
          </w:tcPr>
          <w:p w14:paraId="71D48101" w14:textId="77777777" w:rsidR="006A3667" w:rsidRDefault="006A3667">
            <w:pPr>
              <w:rPr>
                <w:rFonts w:ascii="宋体"/>
              </w:rPr>
            </w:pPr>
          </w:p>
        </w:tc>
        <w:tc>
          <w:tcPr>
            <w:tcW w:w="0" w:type="auto"/>
            <w:shd w:val="clear" w:color="auto" w:fill="auto"/>
            <w:vAlign w:val="bottom"/>
          </w:tcPr>
          <w:p w14:paraId="71D48102" w14:textId="77777777" w:rsidR="006A3667" w:rsidRDefault="006A3667">
            <w:pPr>
              <w:rPr>
                <w:rFonts w:ascii="宋体"/>
              </w:rPr>
            </w:pPr>
          </w:p>
        </w:tc>
        <w:tc>
          <w:tcPr>
            <w:tcW w:w="0" w:type="auto"/>
            <w:shd w:val="clear" w:color="auto" w:fill="auto"/>
            <w:vAlign w:val="bottom"/>
          </w:tcPr>
          <w:p w14:paraId="71D48103" w14:textId="77777777" w:rsidR="006A3667" w:rsidRDefault="006A3667">
            <w:pPr>
              <w:rPr>
                <w:rFonts w:ascii="宋体"/>
              </w:rPr>
            </w:pPr>
          </w:p>
        </w:tc>
        <w:tc>
          <w:tcPr>
            <w:tcW w:w="0" w:type="auto"/>
            <w:shd w:val="clear" w:color="auto" w:fill="auto"/>
            <w:vAlign w:val="bottom"/>
          </w:tcPr>
          <w:p w14:paraId="71D48104" w14:textId="77777777" w:rsidR="006A3667" w:rsidRDefault="006A3667">
            <w:pPr>
              <w:rPr>
                <w:rFonts w:ascii="宋体"/>
              </w:rPr>
            </w:pPr>
          </w:p>
        </w:tc>
        <w:tc>
          <w:tcPr>
            <w:tcW w:w="0" w:type="auto"/>
            <w:shd w:val="clear" w:color="auto" w:fill="auto"/>
            <w:vAlign w:val="bottom"/>
          </w:tcPr>
          <w:p w14:paraId="71D48105" w14:textId="77777777" w:rsidR="006A3667" w:rsidRDefault="006A3667">
            <w:pPr>
              <w:rPr>
                <w:rFonts w:ascii="宋体"/>
              </w:rPr>
            </w:pPr>
          </w:p>
        </w:tc>
      </w:tr>
      <w:tr w:rsidR="006A3667" w14:paraId="71D4813F" w14:textId="77777777">
        <w:trPr>
          <w:hidden/>
        </w:trPr>
        <w:tc>
          <w:tcPr>
            <w:tcW w:w="0" w:type="auto"/>
            <w:gridSpan w:val="3"/>
            <w:shd w:val="clear" w:color="auto" w:fill="auto"/>
            <w:vAlign w:val="bottom"/>
          </w:tcPr>
          <w:p w14:paraId="71D48107" w14:textId="77777777" w:rsidR="006A3667" w:rsidRDefault="006A3667">
            <w:pPr>
              <w:rPr>
                <w:rFonts w:ascii="宋体"/>
                <w:vanish/>
              </w:rPr>
            </w:pPr>
          </w:p>
        </w:tc>
        <w:tc>
          <w:tcPr>
            <w:tcW w:w="0" w:type="auto"/>
            <w:gridSpan w:val="3"/>
            <w:shd w:val="clear" w:color="auto" w:fill="auto"/>
            <w:vAlign w:val="bottom"/>
          </w:tcPr>
          <w:p w14:paraId="71D48108" w14:textId="77777777" w:rsidR="006A3667" w:rsidRDefault="006A3667">
            <w:pPr>
              <w:rPr>
                <w:rFonts w:ascii="宋体"/>
                <w:vanish/>
              </w:rPr>
            </w:pPr>
          </w:p>
        </w:tc>
        <w:tc>
          <w:tcPr>
            <w:tcW w:w="0" w:type="auto"/>
            <w:shd w:val="clear" w:color="auto" w:fill="auto"/>
            <w:vAlign w:val="bottom"/>
          </w:tcPr>
          <w:p w14:paraId="71D48109" w14:textId="77777777" w:rsidR="006A3667" w:rsidRDefault="006A3667">
            <w:pPr>
              <w:rPr>
                <w:rFonts w:ascii="宋体"/>
              </w:rPr>
            </w:pPr>
          </w:p>
        </w:tc>
        <w:tc>
          <w:tcPr>
            <w:tcW w:w="0" w:type="auto"/>
            <w:shd w:val="clear" w:color="auto" w:fill="auto"/>
            <w:vAlign w:val="bottom"/>
          </w:tcPr>
          <w:p w14:paraId="71D4810A" w14:textId="77777777" w:rsidR="006A3667" w:rsidRDefault="006A3667">
            <w:pPr>
              <w:rPr>
                <w:rFonts w:ascii="宋体"/>
              </w:rPr>
            </w:pPr>
          </w:p>
        </w:tc>
        <w:tc>
          <w:tcPr>
            <w:tcW w:w="0" w:type="auto"/>
            <w:shd w:val="clear" w:color="auto" w:fill="auto"/>
            <w:vAlign w:val="bottom"/>
          </w:tcPr>
          <w:p w14:paraId="71D4810B" w14:textId="77777777" w:rsidR="006A3667" w:rsidRDefault="006A3667">
            <w:pPr>
              <w:rPr>
                <w:rFonts w:ascii="宋体"/>
              </w:rPr>
            </w:pPr>
          </w:p>
        </w:tc>
        <w:tc>
          <w:tcPr>
            <w:tcW w:w="0" w:type="auto"/>
            <w:shd w:val="clear" w:color="auto" w:fill="auto"/>
            <w:vAlign w:val="bottom"/>
          </w:tcPr>
          <w:p w14:paraId="71D4810C" w14:textId="77777777" w:rsidR="006A3667" w:rsidRDefault="006A3667">
            <w:pPr>
              <w:rPr>
                <w:rFonts w:ascii="宋体"/>
              </w:rPr>
            </w:pPr>
          </w:p>
        </w:tc>
        <w:tc>
          <w:tcPr>
            <w:tcW w:w="0" w:type="auto"/>
            <w:shd w:val="clear" w:color="auto" w:fill="auto"/>
            <w:vAlign w:val="bottom"/>
          </w:tcPr>
          <w:p w14:paraId="71D4810D" w14:textId="77777777" w:rsidR="006A3667" w:rsidRDefault="006A3667">
            <w:pPr>
              <w:rPr>
                <w:rFonts w:ascii="宋体"/>
              </w:rPr>
            </w:pPr>
          </w:p>
        </w:tc>
        <w:tc>
          <w:tcPr>
            <w:tcW w:w="0" w:type="auto"/>
            <w:shd w:val="clear" w:color="auto" w:fill="auto"/>
            <w:vAlign w:val="bottom"/>
          </w:tcPr>
          <w:p w14:paraId="71D4810E" w14:textId="77777777" w:rsidR="006A3667" w:rsidRDefault="006A3667">
            <w:pPr>
              <w:rPr>
                <w:rFonts w:ascii="宋体"/>
              </w:rPr>
            </w:pPr>
          </w:p>
        </w:tc>
        <w:tc>
          <w:tcPr>
            <w:tcW w:w="0" w:type="auto"/>
            <w:shd w:val="clear" w:color="auto" w:fill="auto"/>
            <w:vAlign w:val="bottom"/>
          </w:tcPr>
          <w:p w14:paraId="71D4810F" w14:textId="77777777" w:rsidR="006A3667" w:rsidRDefault="006A3667">
            <w:pPr>
              <w:rPr>
                <w:rFonts w:ascii="宋体"/>
              </w:rPr>
            </w:pPr>
          </w:p>
        </w:tc>
        <w:tc>
          <w:tcPr>
            <w:tcW w:w="0" w:type="auto"/>
            <w:shd w:val="clear" w:color="auto" w:fill="auto"/>
            <w:vAlign w:val="bottom"/>
          </w:tcPr>
          <w:p w14:paraId="71D48110" w14:textId="77777777" w:rsidR="006A3667" w:rsidRDefault="006A3667">
            <w:pPr>
              <w:rPr>
                <w:rFonts w:ascii="宋体"/>
              </w:rPr>
            </w:pPr>
          </w:p>
        </w:tc>
        <w:tc>
          <w:tcPr>
            <w:tcW w:w="0" w:type="auto"/>
            <w:shd w:val="clear" w:color="auto" w:fill="auto"/>
            <w:vAlign w:val="bottom"/>
          </w:tcPr>
          <w:p w14:paraId="71D48111" w14:textId="77777777" w:rsidR="006A3667" w:rsidRDefault="006A3667">
            <w:pPr>
              <w:rPr>
                <w:rFonts w:ascii="宋体"/>
              </w:rPr>
            </w:pPr>
          </w:p>
        </w:tc>
        <w:tc>
          <w:tcPr>
            <w:tcW w:w="0" w:type="auto"/>
            <w:shd w:val="clear" w:color="auto" w:fill="auto"/>
            <w:vAlign w:val="bottom"/>
          </w:tcPr>
          <w:p w14:paraId="71D48112" w14:textId="77777777" w:rsidR="006A3667" w:rsidRDefault="006A3667">
            <w:pPr>
              <w:rPr>
                <w:rFonts w:ascii="宋体"/>
              </w:rPr>
            </w:pPr>
          </w:p>
        </w:tc>
        <w:tc>
          <w:tcPr>
            <w:tcW w:w="0" w:type="auto"/>
            <w:shd w:val="clear" w:color="auto" w:fill="auto"/>
            <w:vAlign w:val="bottom"/>
          </w:tcPr>
          <w:p w14:paraId="71D48113" w14:textId="77777777" w:rsidR="006A3667" w:rsidRDefault="006A3667">
            <w:pPr>
              <w:rPr>
                <w:rFonts w:ascii="宋体"/>
              </w:rPr>
            </w:pPr>
          </w:p>
        </w:tc>
        <w:tc>
          <w:tcPr>
            <w:tcW w:w="0" w:type="auto"/>
            <w:shd w:val="clear" w:color="auto" w:fill="auto"/>
            <w:vAlign w:val="bottom"/>
          </w:tcPr>
          <w:p w14:paraId="71D48114" w14:textId="77777777" w:rsidR="006A3667" w:rsidRDefault="006A3667">
            <w:pPr>
              <w:rPr>
                <w:rFonts w:ascii="宋体"/>
              </w:rPr>
            </w:pPr>
          </w:p>
        </w:tc>
        <w:tc>
          <w:tcPr>
            <w:tcW w:w="0" w:type="auto"/>
            <w:shd w:val="clear" w:color="auto" w:fill="auto"/>
            <w:vAlign w:val="bottom"/>
          </w:tcPr>
          <w:p w14:paraId="71D48115" w14:textId="77777777" w:rsidR="006A3667" w:rsidRDefault="006A3667">
            <w:pPr>
              <w:rPr>
                <w:rFonts w:ascii="宋体"/>
              </w:rPr>
            </w:pPr>
          </w:p>
        </w:tc>
        <w:tc>
          <w:tcPr>
            <w:tcW w:w="0" w:type="auto"/>
            <w:shd w:val="clear" w:color="auto" w:fill="auto"/>
            <w:vAlign w:val="bottom"/>
          </w:tcPr>
          <w:p w14:paraId="71D48116" w14:textId="77777777" w:rsidR="006A3667" w:rsidRDefault="006A3667">
            <w:pPr>
              <w:rPr>
                <w:rFonts w:ascii="宋体"/>
              </w:rPr>
            </w:pPr>
          </w:p>
        </w:tc>
        <w:tc>
          <w:tcPr>
            <w:tcW w:w="0" w:type="auto"/>
            <w:shd w:val="clear" w:color="auto" w:fill="auto"/>
            <w:vAlign w:val="bottom"/>
          </w:tcPr>
          <w:p w14:paraId="71D48117" w14:textId="77777777" w:rsidR="006A3667" w:rsidRDefault="006A3667">
            <w:pPr>
              <w:rPr>
                <w:rFonts w:ascii="宋体"/>
              </w:rPr>
            </w:pPr>
          </w:p>
        </w:tc>
        <w:tc>
          <w:tcPr>
            <w:tcW w:w="0" w:type="auto"/>
            <w:shd w:val="clear" w:color="auto" w:fill="auto"/>
            <w:vAlign w:val="bottom"/>
          </w:tcPr>
          <w:p w14:paraId="71D48118" w14:textId="77777777" w:rsidR="006A3667" w:rsidRDefault="006A3667">
            <w:pPr>
              <w:rPr>
                <w:rFonts w:ascii="宋体"/>
              </w:rPr>
            </w:pPr>
          </w:p>
        </w:tc>
        <w:tc>
          <w:tcPr>
            <w:tcW w:w="0" w:type="auto"/>
            <w:shd w:val="clear" w:color="auto" w:fill="auto"/>
            <w:vAlign w:val="bottom"/>
          </w:tcPr>
          <w:p w14:paraId="71D48119" w14:textId="77777777" w:rsidR="006A3667" w:rsidRDefault="006A3667">
            <w:pPr>
              <w:rPr>
                <w:rFonts w:ascii="宋体"/>
              </w:rPr>
            </w:pPr>
          </w:p>
        </w:tc>
        <w:tc>
          <w:tcPr>
            <w:tcW w:w="0" w:type="auto"/>
            <w:shd w:val="clear" w:color="auto" w:fill="auto"/>
            <w:vAlign w:val="bottom"/>
          </w:tcPr>
          <w:p w14:paraId="71D4811A" w14:textId="77777777" w:rsidR="006A3667" w:rsidRDefault="006A3667">
            <w:pPr>
              <w:rPr>
                <w:rFonts w:ascii="宋体"/>
              </w:rPr>
            </w:pPr>
          </w:p>
        </w:tc>
        <w:tc>
          <w:tcPr>
            <w:tcW w:w="0" w:type="auto"/>
            <w:shd w:val="clear" w:color="auto" w:fill="auto"/>
            <w:vAlign w:val="bottom"/>
          </w:tcPr>
          <w:p w14:paraId="71D4811B" w14:textId="77777777" w:rsidR="006A3667" w:rsidRDefault="006A3667">
            <w:pPr>
              <w:rPr>
                <w:rFonts w:ascii="宋体"/>
              </w:rPr>
            </w:pPr>
          </w:p>
        </w:tc>
        <w:tc>
          <w:tcPr>
            <w:tcW w:w="0" w:type="auto"/>
            <w:shd w:val="clear" w:color="auto" w:fill="auto"/>
            <w:vAlign w:val="bottom"/>
          </w:tcPr>
          <w:p w14:paraId="71D4811C" w14:textId="77777777" w:rsidR="006A3667" w:rsidRDefault="006A3667">
            <w:pPr>
              <w:rPr>
                <w:rFonts w:ascii="宋体"/>
              </w:rPr>
            </w:pPr>
          </w:p>
        </w:tc>
        <w:tc>
          <w:tcPr>
            <w:tcW w:w="0" w:type="auto"/>
            <w:shd w:val="clear" w:color="auto" w:fill="auto"/>
            <w:vAlign w:val="bottom"/>
          </w:tcPr>
          <w:p w14:paraId="71D4811D" w14:textId="77777777" w:rsidR="006A3667" w:rsidRDefault="006A3667">
            <w:pPr>
              <w:rPr>
                <w:rFonts w:ascii="宋体"/>
              </w:rPr>
            </w:pPr>
          </w:p>
        </w:tc>
        <w:tc>
          <w:tcPr>
            <w:tcW w:w="0" w:type="auto"/>
            <w:shd w:val="clear" w:color="auto" w:fill="auto"/>
            <w:vAlign w:val="bottom"/>
          </w:tcPr>
          <w:p w14:paraId="71D4811E" w14:textId="77777777" w:rsidR="006A3667" w:rsidRDefault="006A3667">
            <w:pPr>
              <w:rPr>
                <w:rFonts w:ascii="宋体"/>
              </w:rPr>
            </w:pPr>
          </w:p>
        </w:tc>
        <w:tc>
          <w:tcPr>
            <w:tcW w:w="0" w:type="auto"/>
            <w:shd w:val="clear" w:color="auto" w:fill="auto"/>
            <w:vAlign w:val="bottom"/>
          </w:tcPr>
          <w:p w14:paraId="71D4811F" w14:textId="77777777" w:rsidR="006A3667" w:rsidRDefault="006A3667">
            <w:pPr>
              <w:rPr>
                <w:rFonts w:ascii="宋体"/>
              </w:rPr>
            </w:pPr>
          </w:p>
        </w:tc>
        <w:tc>
          <w:tcPr>
            <w:tcW w:w="0" w:type="auto"/>
            <w:shd w:val="clear" w:color="auto" w:fill="auto"/>
            <w:vAlign w:val="bottom"/>
          </w:tcPr>
          <w:p w14:paraId="71D48120" w14:textId="77777777" w:rsidR="006A3667" w:rsidRDefault="006A3667">
            <w:pPr>
              <w:rPr>
                <w:rFonts w:ascii="宋体"/>
              </w:rPr>
            </w:pPr>
          </w:p>
        </w:tc>
        <w:tc>
          <w:tcPr>
            <w:tcW w:w="0" w:type="auto"/>
            <w:shd w:val="clear" w:color="auto" w:fill="auto"/>
            <w:vAlign w:val="bottom"/>
          </w:tcPr>
          <w:p w14:paraId="71D48121" w14:textId="77777777" w:rsidR="006A3667" w:rsidRDefault="006A3667">
            <w:pPr>
              <w:rPr>
                <w:rFonts w:ascii="宋体"/>
              </w:rPr>
            </w:pPr>
          </w:p>
        </w:tc>
        <w:tc>
          <w:tcPr>
            <w:tcW w:w="0" w:type="auto"/>
            <w:shd w:val="clear" w:color="auto" w:fill="auto"/>
            <w:vAlign w:val="bottom"/>
          </w:tcPr>
          <w:p w14:paraId="71D48122" w14:textId="77777777" w:rsidR="006A3667" w:rsidRDefault="006A3667">
            <w:pPr>
              <w:rPr>
                <w:rFonts w:ascii="宋体"/>
              </w:rPr>
            </w:pPr>
          </w:p>
        </w:tc>
        <w:tc>
          <w:tcPr>
            <w:tcW w:w="0" w:type="auto"/>
            <w:shd w:val="clear" w:color="auto" w:fill="auto"/>
            <w:vAlign w:val="bottom"/>
          </w:tcPr>
          <w:p w14:paraId="71D48123" w14:textId="77777777" w:rsidR="006A3667" w:rsidRDefault="006A3667">
            <w:pPr>
              <w:rPr>
                <w:rFonts w:ascii="宋体"/>
              </w:rPr>
            </w:pPr>
          </w:p>
        </w:tc>
        <w:tc>
          <w:tcPr>
            <w:tcW w:w="0" w:type="auto"/>
            <w:shd w:val="clear" w:color="auto" w:fill="auto"/>
            <w:vAlign w:val="bottom"/>
          </w:tcPr>
          <w:p w14:paraId="71D48124" w14:textId="77777777" w:rsidR="006A3667" w:rsidRDefault="006A3667">
            <w:pPr>
              <w:rPr>
                <w:rFonts w:ascii="宋体"/>
              </w:rPr>
            </w:pPr>
          </w:p>
        </w:tc>
        <w:tc>
          <w:tcPr>
            <w:tcW w:w="0" w:type="auto"/>
            <w:shd w:val="clear" w:color="auto" w:fill="auto"/>
            <w:vAlign w:val="bottom"/>
          </w:tcPr>
          <w:p w14:paraId="71D48125" w14:textId="77777777" w:rsidR="006A3667" w:rsidRDefault="006A3667">
            <w:pPr>
              <w:rPr>
                <w:rFonts w:ascii="宋体"/>
              </w:rPr>
            </w:pPr>
          </w:p>
        </w:tc>
        <w:tc>
          <w:tcPr>
            <w:tcW w:w="0" w:type="auto"/>
            <w:shd w:val="clear" w:color="auto" w:fill="auto"/>
            <w:vAlign w:val="bottom"/>
          </w:tcPr>
          <w:p w14:paraId="71D48126" w14:textId="77777777" w:rsidR="006A3667" w:rsidRDefault="006A3667">
            <w:pPr>
              <w:rPr>
                <w:rFonts w:ascii="宋体"/>
              </w:rPr>
            </w:pPr>
          </w:p>
        </w:tc>
        <w:tc>
          <w:tcPr>
            <w:tcW w:w="0" w:type="auto"/>
            <w:shd w:val="clear" w:color="auto" w:fill="auto"/>
            <w:vAlign w:val="bottom"/>
          </w:tcPr>
          <w:p w14:paraId="71D48127" w14:textId="77777777" w:rsidR="006A3667" w:rsidRDefault="006A3667">
            <w:pPr>
              <w:rPr>
                <w:rFonts w:ascii="宋体"/>
              </w:rPr>
            </w:pPr>
          </w:p>
        </w:tc>
        <w:tc>
          <w:tcPr>
            <w:tcW w:w="0" w:type="auto"/>
            <w:shd w:val="clear" w:color="auto" w:fill="auto"/>
            <w:vAlign w:val="bottom"/>
          </w:tcPr>
          <w:p w14:paraId="71D48128" w14:textId="77777777" w:rsidR="006A3667" w:rsidRDefault="006A3667">
            <w:pPr>
              <w:rPr>
                <w:rFonts w:ascii="宋体"/>
              </w:rPr>
            </w:pPr>
          </w:p>
        </w:tc>
        <w:tc>
          <w:tcPr>
            <w:tcW w:w="0" w:type="auto"/>
            <w:shd w:val="clear" w:color="auto" w:fill="auto"/>
            <w:vAlign w:val="bottom"/>
          </w:tcPr>
          <w:p w14:paraId="71D48129" w14:textId="77777777" w:rsidR="006A3667" w:rsidRDefault="006A3667">
            <w:pPr>
              <w:rPr>
                <w:rFonts w:ascii="宋体"/>
              </w:rPr>
            </w:pPr>
          </w:p>
        </w:tc>
        <w:tc>
          <w:tcPr>
            <w:tcW w:w="0" w:type="auto"/>
            <w:shd w:val="clear" w:color="auto" w:fill="auto"/>
            <w:vAlign w:val="bottom"/>
          </w:tcPr>
          <w:p w14:paraId="71D4812A" w14:textId="77777777" w:rsidR="006A3667" w:rsidRDefault="006A3667">
            <w:pPr>
              <w:rPr>
                <w:rFonts w:ascii="宋体"/>
              </w:rPr>
            </w:pPr>
          </w:p>
        </w:tc>
        <w:tc>
          <w:tcPr>
            <w:tcW w:w="0" w:type="auto"/>
            <w:shd w:val="clear" w:color="auto" w:fill="auto"/>
            <w:vAlign w:val="bottom"/>
          </w:tcPr>
          <w:p w14:paraId="71D4812B" w14:textId="77777777" w:rsidR="006A3667" w:rsidRDefault="006A3667">
            <w:pPr>
              <w:rPr>
                <w:rFonts w:ascii="宋体"/>
              </w:rPr>
            </w:pPr>
          </w:p>
        </w:tc>
        <w:tc>
          <w:tcPr>
            <w:tcW w:w="0" w:type="auto"/>
            <w:shd w:val="clear" w:color="auto" w:fill="auto"/>
            <w:vAlign w:val="bottom"/>
          </w:tcPr>
          <w:p w14:paraId="71D4812C" w14:textId="77777777" w:rsidR="006A3667" w:rsidRDefault="006A3667">
            <w:pPr>
              <w:rPr>
                <w:rFonts w:ascii="宋体"/>
              </w:rPr>
            </w:pPr>
          </w:p>
        </w:tc>
        <w:tc>
          <w:tcPr>
            <w:tcW w:w="0" w:type="auto"/>
            <w:shd w:val="clear" w:color="auto" w:fill="auto"/>
            <w:vAlign w:val="bottom"/>
          </w:tcPr>
          <w:p w14:paraId="71D4812D" w14:textId="77777777" w:rsidR="006A3667" w:rsidRDefault="006A3667">
            <w:pPr>
              <w:rPr>
                <w:rFonts w:ascii="宋体"/>
              </w:rPr>
            </w:pPr>
          </w:p>
        </w:tc>
        <w:tc>
          <w:tcPr>
            <w:tcW w:w="0" w:type="auto"/>
            <w:shd w:val="clear" w:color="auto" w:fill="auto"/>
            <w:vAlign w:val="bottom"/>
          </w:tcPr>
          <w:p w14:paraId="71D4812E" w14:textId="77777777" w:rsidR="006A3667" w:rsidRDefault="006A3667">
            <w:pPr>
              <w:rPr>
                <w:rFonts w:ascii="宋体"/>
              </w:rPr>
            </w:pPr>
          </w:p>
        </w:tc>
        <w:tc>
          <w:tcPr>
            <w:tcW w:w="0" w:type="auto"/>
            <w:shd w:val="clear" w:color="auto" w:fill="auto"/>
            <w:vAlign w:val="bottom"/>
          </w:tcPr>
          <w:p w14:paraId="71D4812F" w14:textId="77777777" w:rsidR="006A3667" w:rsidRDefault="006A3667">
            <w:pPr>
              <w:rPr>
                <w:rFonts w:ascii="宋体"/>
              </w:rPr>
            </w:pPr>
          </w:p>
        </w:tc>
        <w:tc>
          <w:tcPr>
            <w:tcW w:w="0" w:type="auto"/>
            <w:shd w:val="clear" w:color="auto" w:fill="auto"/>
            <w:vAlign w:val="bottom"/>
          </w:tcPr>
          <w:p w14:paraId="71D48130" w14:textId="77777777" w:rsidR="006A3667" w:rsidRDefault="006A3667">
            <w:pPr>
              <w:rPr>
                <w:rFonts w:ascii="宋体"/>
              </w:rPr>
            </w:pPr>
          </w:p>
        </w:tc>
        <w:tc>
          <w:tcPr>
            <w:tcW w:w="0" w:type="auto"/>
            <w:shd w:val="clear" w:color="auto" w:fill="auto"/>
            <w:vAlign w:val="bottom"/>
          </w:tcPr>
          <w:p w14:paraId="71D48131" w14:textId="77777777" w:rsidR="006A3667" w:rsidRDefault="006A3667">
            <w:pPr>
              <w:rPr>
                <w:rFonts w:ascii="宋体"/>
              </w:rPr>
            </w:pPr>
          </w:p>
        </w:tc>
        <w:tc>
          <w:tcPr>
            <w:tcW w:w="0" w:type="auto"/>
            <w:shd w:val="clear" w:color="auto" w:fill="auto"/>
            <w:vAlign w:val="bottom"/>
          </w:tcPr>
          <w:p w14:paraId="71D48132" w14:textId="77777777" w:rsidR="006A3667" w:rsidRDefault="006A3667">
            <w:pPr>
              <w:rPr>
                <w:rFonts w:ascii="宋体"/>
              </w:rPr>
            </w:pPr>
          </w:p>
        </w:tc>
        <w:tc>
          <w:tcPr>
            <w:tcW w:w="0" w:type="auto"/>
            <w:shd w:val="clear" w:color="auto" w:fill="auto"/>
            <w:vAlign w:val="bottom"/>
          </w:tcPr>
          <w:p w14:paraId="71D48133" w14:textId="77777777" w:rsidR="006A3667" w:rsidRDefault="006A3667">
            <w:pPr>
              <w:rPr>
                <w:rFonts w:ascii="宋体"/>
              </w:rPr>
            </w:pPr>
          </w:p>
        </w:tc>
        <w:tc>
          <w:tcPr>
            <w:tcW w:w="0" w:type="auto"/>
            <w:shd w:val="clear" w:color="auto" w:fill="auto"/>
            <w:vAlign w:val="bottom"/>
          </w:tcPr>
          <w:p w14:paraId="71D48134" w14:textId="77777777" w:rsidR="006A3667" w:rsidRDefault="006A3667">
            <w:pPr>
              <w:rPr>
                <w:rFonts w:ascii="宋体"/>
              </w:rPr>
            </w:pPr>
          </w:p>
        </w:tc>
        <w:tc>
          <w:tcPr>
            <w:tcW w:w="0" w:type="auto"/>
            <w:shd w:val="clear" w:color="auto" w:fill="auto"/>
            <w:vAlign w:val="bottom"/>
          </w:tcPr>
          <w:p w14:paraId="71D48135" w14:textId="77777777" w:rsidR="006A3667" w:rsidRDefault="006A3667">
            <w:pPr>
              <w:rPr>
                <w:rFonts w:ascii="宋体"/>
              </w:rPr>
            </w:pPr>
          </w:p>
        </w:tc>
        <w:tc>
          <w:tcPr>
            <w:tcW w:w="0" w:type="auto"/>
            <w:shd w:val="clear" w:color="auto" w:fill="auto"/>
            <w:vAlign w:val="bottom"/>
          </w:tcPr>
          <w:p w14:paraId="71D48136" w14:textId="77777777" w:rsidR="006A3667" w:rsidRDefault="006A3667">
            <w:pPr>
              <w:rPr>
                <w:rFonts w:ascii="宋体"/>
              </w:rPr>
            </w:pPr>
          </w:p>
        </w:tc>
        <w:tc>
          <w:tcPr>
            <w:tcW w:w="0" w:type="auto"/>
            <w:shd w:val="clear" w:color="auto" w:fill="auto"/>
            <w:vAlign w:val="bottom"/>
          </w:tcPr>
          <w:p w14:paraId="71D48137" w14:textId="77777777" w:rsidR="006A3667" w:rsidRDefault="006A3667">
            <w:pPr>
              <w:rPr>
                <w:rFonts w:ascii="宋体"/>
              </w:rPr>
            </w:pPr>
          </w:p>
        </w:tc>
        <w:tc>
          <w:tcPr>
            <w:tcW w:w="0" w:type="auto"/>
            <w:shd w:val="clear" w:color="auto" w:fill="auto"/>
            <w:vAlign w:val="bottom"/>
          </w:tcPr>
          <w:p w14:paraId="71D48138" w14:textId="77777777" w:rsidR="006A3667" w:rsidRDefault="006A3667">
            <w:pPr>
              <w:rPr>
                <w:rFonts w:ascii="宋体"/>
              </w:rPr>
            </w:pPr>
          </w:p>
        </w:tc>
        <w:tc>
          <w:tcPr>
            <w:tcW w:w="0" w:type="auto"/>
            <w:shd w:val="clear" w:color="auto" w:fill="auto"/>
            <w:vAlign w:val="bottom"/>
          </w:tcPr>
          <w:p w14:paraId="71D48139" w14:textId="77777777" w:rsidR="006A3667" w:rsidRDefault="006A3667">
            <w:pPr>
              <w:rPr>
                <w:rFonts w:ascii="宋体"/>
              </w:rPr>
            </w:pPr>
          </w:p>
        </w:tc>
        <w:tc>
          <w:tcPr>
            <w:tcW w:w="0" w:type="auto"/>
            <w:shd w:val="clear" w:color="auto" w:fill="auto"/>
            <w:vAlign w:val="bottom"/>
          </w:tcPr>
          <w:p w14:paraId="71D4813A" w14:textId="77777777" w:rsidR="006A3667" w:rsidRDefault="006A3667">
            <w:pPr>
              <w:rPr>
                <w:rFonts w:ascii="宋体"/>
              </w:rPr>
            </w:pPr>
          </w:p>
        </w:tc>
        <w:tc>
          <w:tcPr>
            <w:tcW w:w="0" w:type="auto"/>
            <w:shd w:val="clear" w:color="auto" w:fill="auto"/>
            <w:vAlign w:val="bottom"/>
          </w:tcPr>
          <w:p w14:paraId="71D4813B" w14:textId="77777777" w:rsidR="006A3667" w:rsidRDefault="006A3667">
            <w:pPr>
              <w:rPr>
                <w:rFonts w:ascii="宋体"/>
              </w:rPr>
            </w:pPr>
          </w:p>
        </w:tc>
        <w:tc>
          <w:tcPr>
            <w:tcW w:w="0" w:type="auto"/>
            <w:shd w:val="clear" w:color="auto" w:fill="auto"/>
            <w:vAlign w:val="bottom"/>
          </w:tcPr>
          <w:p w14:paraId="71D4813C" w14:textId="77777777" w:rsidR="006A3667" w:rsidRDefault="006A3667">
            <w:pPr>
              <w:rPr>
                <w:rFonts w:ascii="宋体"/>
              </w:rPr>
            </w:pPr>
          </w:p>
        </w:tc>
        <w:tc>
          <w:tcPr>
            <w:tcW w:w="0" w:type="auto"/>
            <w:shd w:val="clear" w:color="auto" w:fill="auto"/>
            <w:vAlign w:val="bottom"/>
          </w:tcPr>
          <w:p w14:paraId="71D4813D" w14:textId="77777777" w:rsidR="006A3667" w:rsidRDefault="006A3667">
            <w:pPr>
              <w:rPr>
                <w:rFonts w:ascii="宋体"/>
              </w:rPr>
            </w:pPr>
          </w:p>
        </w:tc>
        <w:tc>
          <w:tcPr>
            <w:tcW w:w="0" w:type="auto"/>
            <w:shd w:val="clear" w:color="auto" w:fill="auto"/>
            <w:vAlign w:val="bottom"/>
          </w:tcPr>
          <w:p w14:paraId="71D4813E" w14:textId="77777777" w:rsidR="006A3667" w:rsidRDefault="006A3667">
            <w:pPr>
              <w:rPr>
                <w:rFonts w:ascii="宋体"/>
              </w:rPr>
            </w:pPr>
          </w:p>
        </w:tc>
      </w:tr>
      <w:tr w:rsidR="006A3667" w14:paraId="71D48144" w14:textId="77777777">
        <w:tc>
          <w:tcPr>
            <w:tcW w:w="0" w:type="auto"/>
            <w:gridSpan w:val="3"/>
            <w:shd w:val="clear" w:color="auto" w:fill="auto"/>
            <w:tcMar>
              <w:top w:w="0" w:type="dxa"/>
              <w:left w:w="20" w:type="dxa"/>
              <w:bottom w:w="0" w:type="dxa"/>
              <w:right w:w="20" w:type="dxa"/>
            </w:tcMar>
            <w:vAlign w:val="bottom"/>
          </w:tcPr>
          <w:p w14:paraId="71D48140" w14:textId="77777777" w:rsidR="006A3667" w:rsidRDefault="006A3667">
            <w:pPr>
              <w:rPr>
                <w:rFonts w:ascii="宋体"/>
              </w:rPr>
            </w:pPr>
          </w:p>
        </w:tc>
        <w:tc>
          <w:tcPr>
            <w:tcW w:w="0" w:type="auto"/>
            <w:gridSpan w:val="27"/>
            <w:shd w:val="clear" w:color="auto" w:fill="auto"/>
            <w:tcMar>
              <w:top w:w="40" w:type="dxa"/>
              <w:left w:w="20" w:type="dxa"/>
              <w:bottom w:w="40" w:type="dxa"/>
              <w:right w:w="20" w:type="dxa"/>
            </w:tcMar>
            <w:vAlign w:val="bottom"/>
          </w:tcPr>
          <w:p w14:paraId="71D48141" w14:textId="77777777" w:rsidR="006A3667" w:rsidRDefault="00045F32">
            <w:pPr>
              <w:jc w:val="center"/>
              <w:textAlignment w:val="bottom"/>
            </w:pPr>
            <w:r>
              <w:rPr>
                <w:rFonts w:ascii="Arial" w:eastAsia="宋体" w:hAnsi="Arial" w:cs="Arial"/>
                <w:b/>
                <w:bCs/>
                <w:color w:val="000000"/>
                <w:sz w:val="14"/>
                <w:szCs w:val="14"/>
              </w:rPr>
              <w:t>As of September 30, 2022</w:t>
            </w:r>
          </w:p>
        </w:tc>
        <w:tc>
          <w:tcPr>
            <w:tcW w:w="0" w:type="auto"/>
            <w:gridSpan w:val="3"/>
            <w:shd w:val="clear" w:color="auto" w:fill="auto"/>
            <w:tcMar>
              <w:top w:w="0" w:type="dxa"/>
              <w:left w:w="20" w:type="dxa"/>
              <w:bottom w:w="0" w:type="dxa"/>
              <w:right w:w="20" w:type="dxa"/>
            </w:tcMar>
            <w:vAlign w:val="bottom"/>
          </w:tcPr>
          <w:p w14:paraId="71D48142" w14:textId="77777777" w:rsidR="006A3667" w:rsidRDefault="006A3667">
            <w:pPr>
              <w:rPr>
                <w:rFonts w:ascii="宋体"/>
              </w:rPr>
            </w:pPr>
          </w:p>
        </w:tc>
        <w:tc>
          <w:tcPr>
            <w:tcW w:w="0" w:type="auto"/>
            <w:gridSpan w:val="27"/>
            <w:shd w:val="clear" w:color="auto" w:fill="auto"/>
            <w:tcMar>
              <w:top w:w="40" w:type="dxa"/>
              <w:left w:w="20" w:type="dxa"/>
              <w:bottom w:w="40" w:type="dxa"/>
              <w:right w:w="20" w:type="dxa"/>
            </w:tcMar>
            <w:vAlign w:val="bottom"/>
          </w:tcPr>
          <w:p w14:paraId="71D48143" w14:textId="77777777" w:rsidR="006A3667" w:rsidRDefault="00045F32">
            <w:pPr>
              <w:jc w:val="center"/>
              <w:textAlignment w:val="bottom"/>
            </w:pPr>
            <w:r>
              <w:rPr>
                <w:rFonts w:ascii="Arial" w:eastAsia="宋体" w:hAnsi="Arial" w:cs="Arial"/>
                <w:b/>
                <w:bCs/>
                <w:color w:val="000000"/>
                <w:sz w:val="14"/>
                <w:szCs w:val="14"/>
              </w:rPr>
              <w:t>As of December 31, 2021</w:t>
            </w:r>
          </w:p>
        </w:tc>
      </w:tr>
      <w:tr w:rsidR="006A3667" w14:paraId="71D48159" w14:textId="77777777">
        <w:tc>
          <w:tcPr>
            <w:tcW w:w="0" w:type="auto"/>
            <w:gridSpan w:val="3"/>
            <w:shd w:val="clear" w:color="auto" w:fill="auto"/>
            <w:tcMar>
              <w:top w:w="40" w:type="dxa"/>
              <w:left w:w="20" w:type="dxa"/>
              <w:bottom w:w="40" w:type="dxa"/>
              <w:right w:w="20" w:type="dxa"/>
            </w:tcMar>
            <w:vAlign w:val="bottom"/>
          </w:tcPr>
          <w:p w14:paraId="71D48145"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46" w14:textId="77777777" w:rsidR="006A3667" w:rsidRDefault="00045F32">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4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48" w14:textId="77777777" w:rsidR="006A3667" w:rsidRDefault="00045F32">
            <w:pPr>
              <w:jc w:val="center"/>
              <w:textAlignment w:val="bottom"/>
            </w:pPr>
            <w:r>
              <w:rPr>
                <w:rFonts w:ascii="Arial" w:eastAsia="宋体" w:hAnsi="Arial" w:cs="Arial"/>
                <w:b/>
                <w:bCs/>
                <w:color w:val="000000"/>
                <w:sz w:val="14"/>
                <w:szCs w:val="14"/>
              </w:rPr>
              <w:t xml:space="preserve">Up to 30 </w:t>
            </w:r>
            <w:r>
              <w:rPr>
                <w:rFonts w:ascii="Arial" w:eastAsia="宋体" w:hAnsi="Arial" w:cs="Arial"/>
                <w:b/>
                <w:bCs/>
                <w:color w:val="000000"/>
                <w:sz w:val="14"/>
                <w:szCs w:val="14"/>
              </w:rPr>
              <w:t>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4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4A" w14:textId="77777777" w:rsidR="006A3667" w:rsidRDefault="00045F32">
            <w:pPr>
              <w:jc w:val="center"/>
              <w:textAlignment w:val="bottom"/>
            </w:pPr>
            <w:r>
              <w:rPr>
                <w:rFonts w:ascii="Arial" w:eastAsia="宋体" w:hAnsi="Arial" w:cs="Arial"/>
                <w:b/>
                <w:bCs/>
                <w:color w:val="000000"/>
                <w:sz w:val="14"/>
                <w:szCs w:val="14"/>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4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4C" w14:textId="77777777" w:rsidR="006A3667" w:rsidRDefault="00045F32">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4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4E"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814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50" w14:textId="77777777" w:rsidR="006A3667" w:rsidRDefault="00045F32">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5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52" w14:textId="77777777" w:rsidR="006A3667" w:rsidRDefault="00045F32">
            <w:pPr>
              <w:jc w:val="center"/>
              <w:textAlignment w:val="bottom"/>
            </w:pPr>
            <w:r>
              <w:rPr>
                <w:rFonts w:ascii="Arial" w:eastAsia="宋体" w:hAnsi="Arial" w:cs="Arial"/>
                <w:b/>
                <w:bCs/>
                <w:color w:val="000000"/>
                <w:sz w:val="14"/>
                <w:szCs w:val="14"/>
              </w:rPr>
              <w:t>Up to 30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5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54" w14:textId="77777777" w:rsidR="006A3667" w:rsidRDefault="00045F32">
            <w:pPr>
              <w:jc w:val="center"/>
              <w:textAlignment w:val="bottom"/>
            </w:pPr>
            <w:r>
              <w:rPr>
                <w:rFonts w:ascii="Arial" w:eastAsia="宋体" w:hAnsi="Arial" w:cs="Arial"/>
                <w:b/>
                <w:bCs/>
                <w:color w:val="000000"/>
                <w:sz w:val="14"/>
                <w:szCs w:val="14"/>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5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56" w14:textId="77777777" w:rsidR="006A3667" w:rsidRDefault="00045F32">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5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158"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816E" w14:textId="77777777">
        <w:tc>
          <w:tcPr>
            <w:tcW w:w="0" w:type="auto"/>
            <w:gridSpan w:val="3"/>
            <w:shd w:val="clear" w:color="auto" w:fill="auto"/>
            <w:tcMar>
              <w:top w:w="40" w:type="dxa"/>
              <w:left w:w="20" w:type="dxa"/>
              <w:bottom w:w="40" w:type="dxa"/>
              <w:right w:w="20" w:type="dxa"/>
            </w:tcMar>
            <w:vAlign w:val="bottom"/>
          </w:tcPr>
          <w:p w14:paraId="71D4815A" w14:textId="77777777" w:rsidR="006A3667" w:rsidRDefault="00045F32">
            <w:pPr>
              <w:textAlignment w:val="bottom"/>
            </w:pPr>
            <w:r>
              <w:rPr>
                <w:rFonts w:ascii="Arial" w:eastAsia="宋体" w:hAnsi="Arial" w:cs="Arial"/>
                <w:b/>
                <w:bCs/>
                <w:color w:val="000000"/>
                <w:sz w:val="14"/>
                <w:szCs w:val="14"/>
              </w:rPr>
              <w:t>Re</w:t>
            </w:r>
            <w:r>
              <w:rPr>
                <w:rFonts w:ascii="Arial" w:eastAsia="宋体" w:hAnsi="Arial" w:cs="Arial"/>
                <w:b/>
                <w:bCs/>
                <w:color w:val="000000"/>
                <w:sz w:val="14"/>
                <w:szCs w:val="14"/>
              </w:rPr>
              <w:t>purchase agreements: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5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5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5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5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5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6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6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6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6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6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6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6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6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6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6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6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6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16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16D" w14:textId="77777777" w:rsidR="006A3667" w:rsidRDefault="006A3667">
            <w:pPr>
              <w:rPr>
                <w:rFonts w:ascii="宋体"/>
              </w:rPr>
            </w:pPr>
          </w:p>
        </w:tc>
      </w:tr>
      <w:tr w:rsidR="00045F32" w14:paraId="71D48197" w14:textId="77777777">
        <w:tc>
          <w:tcPr>
            <w:tcW w:w="0" w:type="auto"/>
            <w:gridSpan w:val="3"/>
            <w:shd w:val="clear" w:color="auto" w:fill="CCEEFF"/>
            <w:tcMar>
              <w:top w:w="40" w:type="dxa"/>
              <w:left w:w="20" w:type="dxa"/>
              <w:bottom w:w="40" w:type="dxa"/>
              <w:right w:w="20" w:type="dxa"/>
            </w:tcMar>
            <w:vAlign w:val="bottom"/>
          </w:tcPr>
          <w:p w14:paraId="71D4816F" w14:textId="77777777" w:rsidR="006A3667" w:rsidRDefault="00045F32">
            <w:pPr>
              <w:textAlignment w:val="bottom"/>
            </w:pPr>
            <w:r>
              <w:rPr>
                <w:rFonts w:ascii="Arial" w:eastAsia="宋体" w:hAnsi="Arial" w:cs="Arial"/>
                <w:color w:val="000000"/>
                <w:sz w:val="14"/>
                <w:szCs w:val="14"/>
              </w:rPr>
              <w:t>U.S. Treasury and agency securities</w:t>
            </w:r>
          </w:p>
        </w:tc>
        <w:tc>
          <w:tcPr>
            <w:tcW w:w="0" w:type="auto"/>
            <w:shd w:val="clear" w:color="auto" w:fill="CCEEFF"/>
            <w:tcMar>
              <w:top w:w="40" w:type="dxa"/>
              <w:left w:w="20" w:type="dxa"/>
              <w:bottom w:w="40" w:type="dxa"/>
              <w:right w:w="0" w:type="dxa"/>
            </w:tcMar>
            <w:vAlign w:val="bottom"/>
          </w:tcPr>
          <w:p w14:paraId="71D48170"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171" w14:textId="77777777" w:rsidR="006A3667" w:rsidRDefault="00045F32">
            <w:pPr>
              <w:jc w:val="right"/>
              <w:textAlignment w:val="bottom"/>
            </w:pPr>
            <w:r>
              <w:rPr>
                <w:rFonts w:ascii="Arial" w:eastAsia="宋体" w:hAnsi="Arial" w:cs="Arial"/>
                <w:b/>
                <w:bCs/>
                <w:color w:val="000000"/>
                <w:sz w:val="14"/>
                <w:szCs w:val="14"/>
              </w:rPr>
              <w:t>87,533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7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74"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17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7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78"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179" w14:textId="77777777" w:rsidR="006A3667" w:rsidRDefault="00045F32">
            <w:pPr>
              <w:jc w:val="right"/>
              <w:textAlignment w:val="bottom"/>
            </w:pPr>
            <w:r>
              <w:rPr>
                <w:rFonts w:ascii="Arial" w:eastAsia="宋体" w:hAnsi="Arial" w:cs="Arial"/>
                <w:b/>
                <w:bCs/>
                <w:color w:val="000000"/>
                <w:sz w:val="14"/>
                <w:szCs w:val="14"/>
              </w:rPr>
              <w:t>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7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7C"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17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7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80"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181" w14:textId="77777777" w:rsidR="006A3667" w:rsidRDefault="00045F32">
            <w:pPr>
              <w:jc w:val="right"/>
              <w:textAlignment w:val="bottom"/>
            </w:pPr>
            <w:r>
              <w:rPr>
                <w:rFonts w:ascii="Arial" w:eastAsia="宋体" w:hAnsi="Arial" w:cs="Arial"/>
                <w:b/>
                <w:bCs/>
                <w:color w:val="000000"/>
                <w:sz w:val="14"/>
                <w:szCs w:val="14"/>
              </w:rPr>
              <w:t>87,577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8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8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8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185" w14:textId="77777777" w:rsidR="006A3667" w:rsidRDefault="00045F32">
            <w:pPr>
              <w:jc w:val="right"/>
              <w:textAlignment w:val="bottom"/>
            </w:pPr>
            <w:r>
              <w:rPr>
                <w:rFonts w:ascii="Arial" w:eastAsia="宋体" w:hAnsi="Arial" w:cs="Arial"/>
                <w:color w:val="000000"/>
                <w:sz w:val="14"/>
                <w:szCs w:val="14"/>
              </w:rPr>
              <w:t>75,266 </w:t>
            </w:r>
          </w:p>
        </w:tc>
        <w:tc>
          <w:tcPr>
            <w:tcW w:w="0" w:type="auto"/>
            <w:shd w:val="clear" w:color="auto" w:fill="CCEEFF"/>
            <w:tcMar>
              <w:top w:w="40" w:type="dxa"/>
              <w:left w:w="0" w:type="dxa"/>
              <w:bottom w:w="40" w:type="dxa"/>
              <w:right w:w="20" w:type="dxa"/>
            </w:tcMar>
            <w:vAlign w:val="bottom"/>
          </w:tcPr>
          <w:p w14:paraId="71D481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87"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88"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18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8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8B"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8C"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18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8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8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9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19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9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93"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194"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195" w14:textId="77777777" w:rsidR="006A3667" w:rsidRDefault="00045F32">
            <w:pPr>
              <w:jc w:val="right"/>
              <w:textAlignment w:val="bottom"/>
            </w:pPr>
            <w:r>
              <w:rPr>
                <w:rFonts w:ascii="Arial" w:eastAsia="宋体" w:hAnsi="Arial" w:cs="Arial"/>
                <w:color w:val="000000"/>
                <w:sz w:val="14"/>
                <w:szCs w:val="14"/>
              </w:rPr>
              <w:t>75,266 </w:t>
            </w:r>
          </w:p>
        </w:tc>
        <w:tc>
          <w:tcPr>
            <w:tcW w:w="0" w:type="auto"/>
            <w:shd w:val="clear" w:color="auto" w:fill="CCEEFF"/>
            <w:tcMar>
              <w:top w:w="40" w:type="dxa"/>
              <w:left w:w="0" w:type="dxa"/>
              <w:bottom w:w="40" w:type="dxa"/>
              <w:right w:w="20" w:type="dxa"/>
            </w:tcMar>
            <w:vAlign w:val="bottom"/>
          </w:tcPr>
          <w:p w14:paraId="71D48196" w14:textId="77777777" w:rsidR="006A3667" w:rsidRDefault="006A3667">
            <w:pPr>
              <w:jc w:val="right"/>
              <w:rPr>
                <w:rFonts w:ascii="宋体"/>
              </w:rPr>
            </w:pPr>
          </w:p>
        </w:tc>
      </w:tr>
      <w:tr w:rsidR="006A3667" w14:paraId="71D481B6" w14:textId="77777777">
        <w:tc>
          <w:tcPr>
            <w:tcW w:w="0" w:type="auto"/>
            <w:gridSpan w:val="3"/>
            <w:shd w:val="clear" w:color="auto" w:fill="FFFFFF"/>
            <w:tcMar>
              <w:top w:w="40" w:type="dxa"/>
              <w:left w:w="20" w:type="dxa"/>
              <w:bottom w:w="40" w:type="dxa"/>
              <w:right w:w="20" w:type="dxa"/>
            </w:tcMar>
            <w:vAlign w:val="bottom"/>
          </w:tcPr>
          <w:p w14:paraId="71D48198" w14:textId="77777777" w:rsidR="006A3667" w:rsidRDefault="00045F32">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99" w14:textId="77777777" w:rsidR="006A3667" w:rsidRDefault="00045F32">
            <w:pPr>
              <w:jc w:val="right"/>
              <w:textAlignment w:val="bottom"/>
            </w:pPr>
            <w:r>
              <w:rPr>
                <w:rFonts w:ascii="Arial" w:eastAsia="宋体" w:hAnsi="Arial" w:cs="Arial"/>
                <w:b/>
                <w:bCs/>
                <w:color w:val="000000"/>
                <w:sz w:val="14"/>
                <w:szCs w:val="14"/>
              </w:rPr>
              <w:t>87,533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9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9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9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9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9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9F" w14:textId="77777777" w:rsidR="006A3667" w:rsidRDefault="00045F32">
            <w:pPr>
              <w:jc w:val="right"/>
              <w:textAlignment w:val="bottom"/>
            </w:pPr>
            <w:r>
              <w:rPr>
                <w:rFonts w:ascii="Arial" w:eastAsia="宋体" w:hAnsi="Arial" w:cs="Arial"/>
                <w:b/>
                <w:bCs/>
                <w:color w:val="000000"/>
                <w:sz w:val="14"/>
                <w:szCs w:val="14"/>
              </w:rPr>
              <w:t>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A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A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A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A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A5" w14:textId="77777777" w:rsidR="006A3667" w:rsidRDefault="00045F32">
            <w:pPr>
              <w:jc w:val="right"/>
              <w:textAlignment w:val="bottom"/>
            </w:pPr>
            <w:r>
              <w:rPr>
                <w:rFonts w:ascii="Arial" w:eastAsia="宋体" w:hAnsi="Arial" w:cs="Arial"/>
                <w:b/>
                <w:bCs/>
                <w:color w:val="000000"/>
                <w:sz w:val="14"/>
                <w:szCs w:val="14"/>
              </w:rPr>
              <w:t>87,577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A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A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A8" w14:textId="77777777" w:rsidR="006A3667" w:rsidRDefault="00045F32">
            <w:pPr>
              <w:jc w:val="right"/>
              <w:textAlignment w:val="bottom"/>
            </w:pPr>
            <w:r>
              <w:rPr>
                <w:rFonts w:ascii="Arial" w:eastAsia="宋体" w:hAnsi="Arial" w:cs="Arial"/>
                <w:color w:val="000000"/>
                <w:sz w:val="14"/>
                <w:szCs w:val="14"/>
              </w:rPr>
              <w:t>75,266 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A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A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AB"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A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AE"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B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B1"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B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B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1B4" w14:textId="77777777" w:rsidR="006A3667" w:rsidRDefault="00045F32">
            <w:pPr>
              <w:jc w:val="right"/>
              <w:textAlignment w:val="bottom"/>
            </w:pPr>
            <w:r>
              <w:rPr>
                <w:rFonts w:ascii="Arial" w:eastAsia="宋体" w:hAnsi="Arial" w:cs="Arial"/>
                <w:color w:val="000000"/>
                <w:sz w:val="14"/>
                <w:szCs w:val="14"/>
              </w:rPr>
              <w:t>75,266 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1B5" w14:textId="77777777" w:rsidR="006A3667" w:rsidRDefault="006A3667">
            <w:pPr>
              <w:jc w:val="right"/>
              <w:rPr>
                <w:rFonts w:ascii="宋体"/>
              </w:rPr>
            </w:pPr>
          </w:p>
        </w:tc>
      </w:tr>
      <w:tr w:rsidR="006A3667" w14:paraId="71D481CB" w14:textId="77777777">
        <w:tc>
          <w:tcPr>
            <w:tcW w:w="0" w:type="auto"/>
            <w:gridSpan w:val="3"/>
            <w:shd w:val="clear" w:color="auto" w:fill="CCEEFF"/>
            <w:tcMar>
              <w:top w:w="40" w:type="dxa"/>
              <w:left w:w="20" w:type="dxa"/>
              <w:bottom w:w="40" w:type="dxa"/>
              <w:right w:w="20" w:type="dxa"/>
            </w:tcMar>
            <w:vAlign w:val="bottom"/>
          </w:tcPr>
          <w:p w14:paraId="71D481B7" w14:textId="77777777" w:rsidR="006A3667" w:rsidRDefault="00045F32">
            <w:pPr>
              <w:textAlignment w:val="bottom"/>
            </w:pPr>
            <w:r>
              <w:rPr>
                <w:rFonts w:ascii="Arial" w:eastAsia="宋体" w:hAnsi="Arial" w:cs="Arial"/>
                <w:b/>
                <w:bCs/>
                <w:color w:val="000000"/>
                <w:sz w:val="14"/>
                <w:szCs w:val="14"/>
              </w:rPr>
              <w:t>Securities lending transactions: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B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B9"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B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BB"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B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BD"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B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BF"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C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C1"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C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C3"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C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C5"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C6"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C7"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C8"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1C9"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81CA" w14:textId="77777777" w:rsidR="006A3667" w:rsidRDefault="006A3667">
            <w:pPr>
              <w:rPr>
                <w:rFonts w:ascii="宋体"/>
              </w:rPr>
            </w:pPr>
          </w:p>
        </w:tc>
      </w:tr>
      <w:tr w:rsidR="006A3667" w14:paraId="71D481EA" w14:textId="77777777">
        <w:tc>
          <w:tcPr>
            <w:tcW w:w="0" w:type="auto"/>
            <w:gridSpan w:val="3"/>
            <w:shd w:val="clear" w:color="auto" w:fill="FFFFFF"/>
            <w:tcMar>
              <w:top w:w="40" w:type="dxa"/>
              <w:left w:w="20" w:type="dxa"/>
              <w:bottom w:w="40" w:type="dxa"/>
              <w:right w:w="20" w:type="dxa"/>
            </w:tcMar>
            <w:vAlign w:val="bottom"/>
          </w:tcPr>
          <w:p w14:paraId="71D481CC" w14:textId="77777777" w:rsidR="006A3667" w:rsidRDefault="00045F32">
            <w:pPr>
              <w:textAlignment w:val="bottom"/>
            </w:pPr>
            <w:r>
              <w:rPr>
                <w:rFonts w:ascii="Arial" w:eastAsia="宋体" w:hAnsi="Arial" w:cs="Arial"/>
                <w:color w:val="000000"/>
                <w:sz w:val="14"/>
                <w:szCs w:val="14"/>
              </w:rPr>
              <w:t>US Treasury and agency securities</w:t>
            </w:r>
          </w:p>
        </w:tc>
        <w:tc>
          <w:tcPr>
            <w:tcW w:w="0" w:type="auto"/>
            <w:gridSpan w:val="2"/>
            <w:shd w:val="clear" w:color="auto" w:fill="FFFFFF"/>
            <w:tcMar>
              <w:top w:w="40" w:type="dxa"/>
              <w:left w:w="20" w:type="dxa"/>
              <w:bottom w:w="40" w:type="dxa"/>
              <w:right w:w="0" w:type="dxa"/>
            </w:tcMar>
            <w:vAlign w:val="bottom"/>
          </w:tcPr>
          <w:p w14:paraId="71D481CD" w14:textId="77777777" w:rsidR="006A3667" w:rsidRDefault="00045F32">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D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D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D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D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D9" w14:textId="77777777" w:rsidR="006A3667" w:rsidRDefault="00045F32">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D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D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D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E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E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E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E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E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E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E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1E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1E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1E9" w14:textId="77777777" w:rsidR="006A3667" w:rsidRDefault="006A3667">
            <w:pPr>
              <w:jc w:val="right"/>
              <w:rPr>
                <w:rFonts w:ascii="宋体"/>
              </w:rPr>
            </w:pPr>
          </w:p>
        </w:tc>
      </w:tr>
      <w:tr w:rsidR="006A3667" w14:paraId="71D48209" w14:textId="77777777">
        <w:tc>
          <w:tcPr>
            <w:tcW w:w="0" w:type="auto"/>
            <w:gridSpan w:val="3"/>
            <w:shd w:val="clear" w:color="auto" w:fill="CCEEFF"/>
            <w:tcMar>
              <w:top w:w="40" w:type="dxa"/>
              <w:left w:w="20" w:type="dxa"/>
              <w:bottom w:w="40" w:type="dxa"/>
              <w:right w:w="20" w:type="dxa"/>
            </w:tcMar>
            <w:vAlign w:val="bottom"/>
          </w:tcPr>
          <w:p w14:paraId="71D481EB" w14:textId="77777777" w:rsidR="006A3667" w:rsidRDefault="00045F32">
            <w:pPr>
              <w:textAlignment w:val="bottom"/>
            </w:pPr>
            <w:r>
              <w:rPr>
                <w:rFonts w:ascii="Arial" w:eastAsia="宋体" w:hAnsi="Arial" w:cs="Arial"/>
                <w:color w:val="000000"/>
                <w:sz w:val="14"/>
                <w:szCs w:val="14"/>
              </w:rPr>
              <w:t>Corporate debt securities</w:t>
            </w:r>
          </w:p>
        </w:tc>
        <w:tc>
          <w:tcPr>
            <w:tcW w:w="0" w:type="auto"/>
            <w:gridSpan w:val="2"/>
            <w:shd w:val="clear" w:color="auto" w:fill="CCEEFF"/>
            <w:tcMar>
              <w:top w:w="40" w:type="dxa"/>
              <w:left w:w="20" w:type="dxa"/>
              <w:bottom w:w="40" w:type="dxa"/>
              <w:right w:w="0" w:type="dxa"/>
            </w:tcMar>
            <w:vAlign w:val="bottom"/>
          </w:tcPr>
          <w:p w14:paraId="71D481EC" w14:textId="77777777" w:rsidR="006A3667" w:rsidRDefault="00045F32">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E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E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1EF"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F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F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1F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F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F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1F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F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1F8" w14:textId="77777777" w:rsidR="006A3667" w:rsidRDefault="00045F32">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F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1FB" w14:textId="77777777" w:rsidR="006A3667" w:rsidRDefault="00045F32">
            <w:pPr>
              <w:jc w:val="right"/>
              <w:textAlignment w:val="bottom"/>
            </w:pPr>
            <w:r>
              <w:rPr>
                <w:rFonts w:ascii="Arial" w:eastAsia="宋体" w:hAnsi="Arial" w:cs="Arial"/>
                <w:color w:val="000000"/>
                <w:sz w:val="14"/>
                <w:szCs w:val="14"/>
              </w:rPr>
              <w:t>92 </w:t>
            </w:r>
          </w:p>
        </w:tc>
        <w:tc>
          <w:tcPr>
            <w:tcW w:w="0" w:type="auto"/>
            <w:shd w:val="clear" w:color="auto" w:fill="CCEEFF"/>
            <w:tcMar>
              <w:top w:w="40" w:type="dxa"/>
              <w:left w:w="0" w:type="dxa"/>
              <w:bottom w:w="40" w:type="dxa"/>
              <w:right w:w="20" w:type="dxa"/>
            </w:tcMar>
            <w:vAlign w:val="bottom"/>
          </w:tcPr>
          <w:p w14:paraId="71D481F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1F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1F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1F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0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0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0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0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0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07" w14:textId="77777777" w:rsidR="006A3667" w:rsidRDefault="00045F32">
            <w:pPr>
              <w:jc w:val="right"/>
              <w:textAlignment w:val="bottom"/>
            </w:pPr>
            <w:r>
              <w:rPr>
                <w:rFonts w:ascii="Arial" w:eastAsia="宋体" w:hAnsi="Arial" w:cs="Arial"/>
                <w:color w:val="000000"/>
                <w:sz w:val="14"/>
                <w:szCs w:val="14"/>
              </w:rPr>
              <w:t>92 </w:t>
            </w:r>
          </w:p>
        </w:tc>
        <w:tc>
          <w:tcPr>
            <w:tcW w:w="0" w:type="auto"/>
            <w:shd w:val="clear" w:color="auto" w:fill="CCEEFF"/>
            <w:tcMar>
              <w:top w:w="40" w:type="dxa"/>
              <w:left w:w="0" w:type="dxa"/>
              <w:bottom w:w="40" w:type="dxa"/>
              <w:right w:w="20" w:type="dxa"/>
            </w:tcMar>
            <w:vAlign w:val="bottom"/>
          </w:tcPr>
          <w:p w14:paraId="71D48208" w14:textId="77777777" w:rsidR="006A3667" w:rsidRDefault="006A3667">
            <w:pPr>
              <w:jc w:val="right"/>
              <w:rPr>
                <w:rFonts w:ascii="宋体"/>
              </w:rPr>
            </w:pPr>
          </w:p>
        </w:tc>
      </w:tr>
      <w:tr w:rsidR="006A3667" w14:paraId="71D48228" w14:textId="77777777">
        <w:tc>
          <w:tcPr>
            <w:tcW w:w="0" w:type="auto"/>
            <w:gridSpan w:val="3"/>
            <w:shd w:val="clear" w:color="auto" w:fill="FFFFFF"/>
            <w:tcMar>
              <w:top w:w="40" w:type="dxa"/>
              <w:left w:w="20" w:type="dxa"/>
              <w:bottom w:w="40" w:type="dxa"/>
              <w:right w:w="20" w:type="dxa"/>
            </w:tcMar>
            <w:vAlign w:val="bottom"/>
          </w:tcPr>
          <w:p w14:paraId="71D4820A" w14:textId="77777777" w:rsidR="006A3667" w:rsidRDefault="00045F32">
            <w:pPr>
              <w:textAlignment w:val="bottom"/>
            </w:pPr>
            <w:r>
              <w:rPr>
                <w:rFonts w:ascii="Arial" w:eastAsia="宋体" w:hAnsi="Arial" w:cs="Arial"/>
                <w:color w:val="000000"/>
                <w:sz w:val="14"/>
                <w:szCs w:val="14"/>
              </w:rPr>
              <w:t>Equity securities</w:t>
            </w:r>
          </w:p>
        </w:tc>
        <w:tc>
          <w:tcPr>
            <w:tcW w:w="0" w:type="auto"/>
            <w:gridSpan w:val="2"/>
            <w:shd w:val="clear" w:color="auto" w:fill="FFFFFF"/>
            <w:tcMar>
              <w:top w:w="40" w:type="dxa"/>
              <w:left w:w="20" w:type="dxa"/>
              <w:bottom w:w="40" w:type="dxa"/>
              <w:right w:w="0" w:type="dxa"/>
            </w:tcMar>
            <w:vAlign w:val="bottom"/>
          </w:tcPr>
          <w:p w14:paraId="71D4820B" w14:textId="77777777" w:rsidR="006A3667" w:rsidRDefault="00045F32">
            <w:pPr>
              <w:jc w:val="right"/>
              <w:textAlignment w:val="bottom"/>
            </w:pPr>
            <w:r>
              <w:rPr>
                <w:rFonts w:ascii="Arial" w:eastAsia="宋体" w:hAnsi="Arial" w:cs="Arial"/>
                <w:b/>
                <w:bCs/>
                <w:color w:val="000000"/>
                <w:sz w:val="14"/>
                <w:szCs w:val="14"/>
              </w:rPr>
              <w:t>5,342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2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0E" w14:textId="77777777" w:rsidR="006A3667" w:rsidRDefault="00045F32">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2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1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2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14" w14:textId="77777777" w:rsidR="006A3667" w:rsidRDefault="00045F32">
            <w:pPr>
              <w:jc w:val="right"/>
              <w:textAlignment w:val="bottom"/>
            </w:pPr>
            <w:r>
              <w:rPr>
                <w:rFonts w:ascii="Arial" w:eastAsia="宋体" w:hAnsi="Arial" w:cs="Arial"/>
                <w:b/>
                <w:bCs/>
                <w:color w:val="000000"/>
                <w:sz w:val="14"/>
                <w:szCs w:val="14"/>
              </w:rPr>
              <w:t>1,714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2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17" w14:textId="77777777" w:rsidR="006A3667" w:rsidRDefault="00045F32">
            <w:pPr>
              <w:jc w:val="right"/>
              <w:textAlignment w:val="bottom"/>
            </w:pPr>
            <w:r>
              <w:rPr>
                <w:rFonts w:ascii="Arial" w:eastAsia="宋体" w:hAnsi="Arial" w:cs="Arial"/>
                <w:b/>
                <w:bCs/>
                <w:color w:val="000000"/>
                <w:sz w:val="14"/>
                <w:szCs w:val="14"/>
              </w:rPr>
              <w:t>7,065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21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1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1A" w14:textId="77777777" w:rsidR="006A3667" w:rsidRDefault="00045F32">
            <w:pPr>
              <w:jc w:val="right"/>
              <w:textAlignment w:val="bottom"/>
            </w:pPr>
            <w:r>
              <w:rPr>
                <w:rFonts w:ascii="Arial" w:eastAsia="宋体" w:hAnsi="Arial" w:cs="Arial"/>
                <w:color w:val="000000"/>
                <w:sz w:val="14"/>
                <w:szCs w:val="14"/>
              </w:rPr>
              <w:t>5,964 </w:t>
            </w:r>
          </w:p>
        </w:tc>
        <w:tc>
          <w:tcPr>
            <w:tcW w:w="0" w:type="auto"/>
            <w:shd w:val="clear" w:color="auto" w:fill="FFFFFF"/>
            <w:tcMar>
              <w:top w:w="40" w:type="dxa"/>
              <w:left w:w="0" w:type="dxa"/>
              <w:bottom w:w="40" w:type="dxa"/>
              <w:right w:w="20" w:type="dxa"/>
            </w:tcMar>
            <w:vAlign w:val="bottom"/>
          </w:tcPr>
          <w:p w14:paraId="71D4821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1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1D" w14:textId="77777777" w:rsidR="006A3667" w:rsidRDefault="00045F32">
            <w:pPr>
              <w:jc w:val="right"/>
              <w:textAlignment w:val="bottom"/>
            </w:pPr>
            <w:r>
              <w:rPr>
                <w:rFonts w:ascii="Arial" w:eastAsia="宋体" w:hAnsi="Arial" w:cs="Arial"/>
                <w:color w:val="000000"/>
                <w:sz w:val="14"/>
                <w:szCs w:val="14"/>
              </w:rPr>
              <w:t>24 </w:t>
            </w:r>
          </w:p>
        </w:tc>
        <w:tc>
          <w:tcPr>
            <w:tcW w:w="0" w:type="auto"/>
            <w:shd w:val="clear" w:color="auto" w:fill="FFFFFF"/>
            <w:tcMar>
              <w:top w:w="40" w:type="dxa"/>
              <w:left w:w="0" w:type="dxa"/>
              <w:bottom w:w="40" w:type="dxa"/>
              <w:right w:w="20" w:type="dxa"/>
            </w:tcMar>
            <w:vAlign w:val="bottom"/>
          </w:tcPr>
          <w:p w14:paraId="71D4821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1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20" w14:textId="77777777" w:rsidR="006A3667" w:rsidRDefault="00045F32">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71D482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2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23" w14:textId="77777777" w:rsidR="006A3667" w:rsidRDefault="00045F32">
            <w:pPr>
              <w:jc w:val="right"/>
              <w:textAlignment w:val="bottom"/>
            </w:pPr>
            <w:r>
              <w:rPr>
                <w:rFonts w:ascii="Arial" w:eastAsia="宋体" w:hAnsi="Arial" w:cs="Arial"/>
                <w:color w:val="000000"/>
                <w:sz w:val="14"/>
                <w:szCs w:val="14"/>
              </w:rPr>
              <w:t>1,316 </w:t>
            </w:r>
          </w:p>
        </w:tc>
        <w:tc>
          <w:tcPr>
            <w:tcW w:w="0" w:type="auto"/>
            <w:shd w:val="clear" w:color="auto" w:fill="FFFFFF"/>
            <w:tcMar>
              <w:top w:w="40" w:type="dxa"/>
              <w:left w:w="0" w:type="dxa"/>
              <w:bottom w:w="40" w:type="dxa"/>
              <w:right w:w="20" w:type="dxa"/>
            </w:tcMar>
            <w:vAlign w:val="bottom"/>
          </w:tcPr>
          <w:p w14:paraId="71D4822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2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26" w14:textId="77777777" w:rsidR="006A3667" w:rsidRDefault="00045F32">
            <w:pPr>
              <w:jc w:val="right"/>
              <w:textAlignment w:val="bottom"/>
            </w:pPr>
            <w:r>
              <w:rPr>
                <w:rFonts w:ascii="Arial" w:eastAsia="宋体" w:hAnsi="Arial" w:cs="Arial"/>
                <w:color w:val="000000"/>
                <w:sz w:val="14"/>
                <w:szCs w:val="14"/>
              </w:rPr>
              <w:t>7,315 </w:t>
            </w:r>
          </w:p>
        </w:tc>
        <w:tc>
          <w:tcPr>
            <w:tcW w:w="0" w:type="auto"/>
            <w:shd w:val="clear" w:color="auto" w:fill="FFFFFF"/>
            <w:tcMar>
              <w:top w:w="40" w:type="dxa"/>
              <w:left w:w="0" w:type="dxa"/>
              <w:bottom w:w="40" w:type="dxa"/>
              <w:right w:w="20" w:type="dxa"/>
            </w:tcMar>
            <w:vAlign w:val="bottom"/>
          </w:tcPr>
          <w:p w14:paraId="71D48227" w14:textId="77777777" w:rsidR="006A3667" w:rsidRDefault="006A3667">
            <w:pPr>
              <w:jc w:val="right"/>
              <w:rPr>
                <w:rFonts w:ascii="宋体"/>
              </w:rPr>
            </w:pPr>
          </w:p>
        </w:tc>
      </w:tr>
      <w:tr w:rsidR="006A3667" w14:paraId="71D48247" w14:textId="77777777">
        <w:tc>
          <w:tcPr>
            <w:tcW w:w="0" w:type="auto"/>
            <w:gridSpan w:val="3"/>
            <w:shd w:val="clear" w:color="auto" w:fill="CCEEFF"/>
            <w:tcMar>
              <w:top w:w="40" w:type="dxa"/>
              <w:left w:w="20" w:type="dxa"/>
              <w:bottom w:w="40" w:type="dxa"/>
              <w:right w:w="20" w:type="dxa"/>
            </w:tcMar>
            <w:vAlign w:val="bottom"/>
          </w:tcPr>
          <w:p w14:paraId="71D48229" w14:textId="77777777" w:rsidR="006A3667" w:rsidRDefault="00045F32">
            <w:pP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1D4822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2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2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2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3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3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3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3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3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3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3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39"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482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3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3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3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4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4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4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4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245"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48246" w14:textId="77777777" w:rsidR="006A3667" w:rsidRDefault="006A3667">
            <w:pPr>
              <w:jc w:val="right"/>
              <w:rPr>
                <w:rFonts w:ascii="宋体"/>
              </w:rPr>
            </w:pPr>
          </w:p>
        </w:tc>
      </w:tr>
      <w:tr w:rsidR="006A3667" w14:paraId="71D48266" w14:textId="77777777">
        <w:tc>
          <w:tcPr>
            <w:tcW w:w="0" w:type="auto"/>
            <w:gridSpan w:val="3"/>
            <w:shd w:val="clear" w:color="auto" w:fill="FFFFFF"/>
            <w:tcMar>
              <w:top w:w="40" w:type="dxa"/>
              <w:left w:w="20" w:type="dxa"/>
              <w:bottom w:w="40" w:type="dxa"/>
              <w:right w:w="20" w:type="dxa"/>
            </w:tcMar>
            <w:vAlign w:val="bottom"/>
          </w:tcPr>
          <w:p w14:paraId="71D48248" w14:textId="77777777" w:rsidR="006A3667" w:rsidRDefault="00045F32">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49" w14:textId="77777777" w:rsidR="006A3667" w:rsidRDefault="00045F32">
            <w:pPr>
              <w:jc w:val="right"/>
              <w:textAlignment w:val="bottom"/>
            </w:pPr>
            <w:r>
              <w:rPr>
                <w:rFonts w:ascii="Arial" w:eastAsia="宋体" w:hAnsi="Arial" w:cs="Arial"/>
                <w:b/>
                <w:bCs/>
                <w:color w:val="000000"/>
                <w:sz w:val="14"/>
                <w:szCs w:val="14"/>
              </w:rPr>
              <w:t>5,405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4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4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4C" w14:textId="77777777" w:rsidR="006A3667" w:rsidRDefault="00045F32">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4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4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4F"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5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51"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52" w14:textId="77777777" w:rsidR="006A3667" w:rsidRDefault="00045F32">
            <w:pPr>
              <w:jc w:val="right"/>
              <w:textAlignment w:val="bottom"/>
            </w:pPr>
            <w:r>
              <w:rPr>
                <w:rFonts w:ascii="Arial" w:eastAsia="宋体" w:hAnsi="Arial" w:cs="Arial"/>
                <w:b/>
                <w:bCs/>
                <w:color w:val="000000"/>
                <w:sz w:val="14"/>
                <w:szCs w:val="14"/>
              </w:rPr>
              <w:t>1,714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5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55" w14:textId="77777777" w:rsidR="006A3667" w:rsidRDefault="00045F32">
            <w:pPr>
              <w:jc w:val="right"/>
              <w:textAlignment w:val="bottom"/>
            </w:pPr>
            <w:r>
              <w:rPr>
                <w:rFonts w:ascii="Arial" w:eastAsia="宋体" w:hAnsi="Arial" w:cs="Arial"/>
                <w:b/>
                <w:bCs/>
                <w:color w:val="000000"/>
                <w:sz w:val="14"/>
                <w:szCs w:val="14"/>
              </w:rPr>
              <w:t>7,128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5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5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58" w14:textId="77777777" w:rsidR="006A3667" w:rsidRDefault="00045F32">
            <w:pPr>
              <w:jc w:val="right"/>
              <w:textAlignment w:val="bottom"/>
            </w:pPr>
            <w:r>
              <w:rPr>
                <w:rFonts w:ascii="Arial" w:eastAsia="宋体" w:hAnsi="Arial" w:cs="Arial"/>
                <w:color w:val="000000"/>
                <w:sz w:val="14"/>
                <w:szCs w:val="14"/>
              </w:rPr>
              <w:t>6,057 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5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5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5B" w14:textId="77777777" w:rsidR="006A3667" w:rsidRDefault="00045F32">
            <w:pPr>
              <w:jc w:val="right"/>
              <w:textAlignment w:val="bottom"/>
            </w:pPr>
            <w:r>
              <w:rPr>
                <w:rFonts w:ascii="Arial" w:eastAsia="宋体" w:hAnsi="Arial" w:cs="Arial"/>
                <w:color w:val="000000"/>
                <w:sz w:val="14"/>
                <w:szCs w:val="14"/>
              </w:rPr>
              <w:t>24 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5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5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5E" w14:textId="77777777" w:rsidR="006A3667" w:rsidRDefault="00045F32">
            <w:pPr>
              <w:jc w:val="right"/>
              <w:textAlignment w:val="bottom"/>
            </w:pPr>
            <w:r>
              <w:rPr>
                <w:rFonts w:ascii="Arial" w:eastAsia="宋体" w:hAnsi="Arial" w:cs="Arial"/>
                <w:color w:val="000000"/>
                <w:sz w:val="14"/>
                <w:szCs w:val="14"/>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6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61" w14:textId="77777777" w:rsidR="006A3667" w:rsidRDefault="00045F32">
            <w:pPr>
              <w:jc w:val="right"/>
              <w:textAlignment w:val="bottom"/>
            </w:pPr>
            <w:r>
              <w:rPr>
                <w:rFonts w:ascii="Arial" w:eastAsia="宋体" w:hAnsi="Arial" w:cs="Arial"/>
                <w:color w:val="000000"/>
                <w:sz w:val="14"/>
                <w:szCs w:val="14"/>
              </w:rPr>
              <w:t>1,316 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6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264" w14:textId="77777777" w:rsidR="006A3667" w:rsidRDefault="00045F32">
            <w:pPr>
              <w:jc w:val="right"/>
              <w:textAlignment w:val="bottom"/>
            </w:pPr>
            <w:r>
              <w:rPr>
                <w:rFonts w:ascii="Arial" w:eastAsia="宋体" w:hAnsi="Arial" w:cs="Arial"/>
                <w:color w:val="000000"/>
                <w:sz w:val="14"/>
                <w:szCs w:val="14"/>
              </w:rPr>
              <w:t>7,408 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265" w14:textId="77777777" w:rsidR="006A3667" w:rsidRDefault="006A3667">
            <w:pPr>
              <w:jc w:val="right"/>
              <w:rPr>
                <w:rFonts w:ascii="宋体"/>
              </w:rPr>
            </w:pPr>
          </w:p>
        </w:tc>
      </w:tr>
      <w:tr w:rsidR="00045F32" w14:paraId="71D4828F" w14:textId="77777777">
        <w:tc>
          <w:tcPr>
            <w:tcW w:w="0" w:type="auto"/>
            <w:gridSpan w:val="3"/>
            <w:shd w:val="clear" w:color="auto" w:fill="CCEEFF"/>
            <w:tcMar>
              <w:top w:w="40" w:type="dxa"/>
              <w:left w:w="20" w:type="dxa"/>
              <w:bottom w:w="40" w:type="dxa"/>
              <w:right w:w="20" w:type="dxa"/>
            </w:tcMar>
            <w:vAlign w:val="bottom"/>
          </w:tcPr>
          <w:p w14:paraId="71D48267" w14:textId="77777777" w:rsidR="006A3667" w:rsidRDefault="00045F32">
            <w:pPr>
              <w:textAlignment w:val="bottom"/>
            </w:pPr>
            <w:r>
              <w:rPr>
                <w:rFonts w:ascii="Arial" w:eastAsia="宋体" w:hAnsi="Arial" w:cs="Arial"/>
                <w:b/>
                <w:bCs/>
                <w:color w:val="000000"/>
                <w:sz w:val="14"/>
                <w:szCs w:val="14"/>
              </w:rPr>
              <w:t>Gross amount of recognized liabilities for repurchase agree</w:t>
            </w:r>
            <w:r>
              <w:rPr>
                <w:rFonts w:ascii="Arial" w:eastAsia="宋体" w:hAnsi="Arial" w:cs="Arial"/>
                <w:b/>
                <w:bCs/>
                <w:color w:val="000000"/>
                <w:sz w:val="14"/>
                <w:szCs w:val="14"/>
              </w:rPr>
              <w:t>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6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69" w14:textId="77777777" w:rsidR="006A3667" w:rsidRDefault="00045F32">
            <w:pPr>
              <w:jc w:val="right"/>
              <w:textAlignment w:val="bottom"/>
            </w:pPr>
            <w:r>
              <w:rPr>
                <w:rFonts w:ascii="Arial" w:eastAsia="宋体" w:hAnsi="Arial" w:cs="Arial"/>
                <w:b/>
                <w:bCs/>
                <w:color w:val="000000"/>
                <w:sz w:val="14"/>
                <w:szCs w:val="14"/>
              </w:rPr>
              <w:t>92,938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6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6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6D" w14:textId="77777777" w:rsidR="006A3667" w:rsidRDefault="00045F32">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6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7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71" w14:textId="77777777" w:rsidR="006A3667" w:rsidRDefault="00045F32">
            <w:pPr>
              <w:jc w:val="right"/>
              <w:textAlignment w:val="bottom"/>
            </w:pPr>
            <w:r>
              <w:rPr>
                <w:rFonts w:ascii="Arial" w:eastAsia="宋体" w:hAnsi="Arial" w:cs="Arial"/>
                <w:b/>
                <w:bCs/>
                <w:color w:val="000000"/>
                <w:sz w:val="14"/>
                <w:szCs w:val="14"/>
              </w:rPr>
              <w:t>44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7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7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7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75" w14:textId="77777777" w:rsidR="006A3667" w:rsidRDefault="00045F32">
            <w:pPr>
              <w:jc w:val="right"/>
              <w:textAlignment w:val="bottom"/>
            </w:pPr>
            <w:r>
              <w:rPr>
                <w:rFonts w:ascii="Arial" w:eastAsia="宋体" w:hAnsi="Arial" w:cs="Arial"/>
                <w:b/>
                <w:bCs/>
                <w:color w:val="000000"/>
                <w:sz w:val="14"/>
                <w:szCs w:val="14"/>
              </w:rPr>
              <w:t>1,714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7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7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79" w14:textId="77777777" w:rsidR="006A3667" w:rsidRDefault="00045F32">
            <w:pPr>
              <w:jc w:val="right"/>
              <w:textAlignment w:val="bottom"/>
            </w:pPr>
            <w:r>
              <w:rPr>
                <w:rFonts w:ascii="Arial" w:eastAsia="宋体" w:hAnsi="Arial" w:cs="Arial"/>
                <w:b/>
                <w:bCs/>
                <w:color w:val="000000"/>
                <w:sz w:val="14"/>
                <w:szCs w:val="14"/>
              </w:rPr>
              <w:t>94,705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7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7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7D" w14:textId="77777777" w:rsidR="006A3667" w:rsidRDefault="00045F32">
            <w:pPr>
              <w:jc w:val="right"/>
              <w:textAlignment w:val="bottom"/>
            </w:pPr>
            <w:r>
              <w:rPr>
                <w:rFonts w:ascii="Arial" w:eastAsia="宋体" w:hAnsi="Arial" w:cs="Arial"/>
                <w:color w:val="000000"/>
                <w:sz w:val="14"/>
                <w:szCs w:val="14"/>
              </w:rPr>
              <w:t>81,323 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7F"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8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81" w14:textId="77777777" w:rsidR="006A3667" w:rsidRDefault="00045F32">
            <w:pPr>
              <w:jc w:val="right"/>
              <w:textAlignment w:val="bottom"/>
            </w:pPr>
            <w:r>
              <w:rPr>
                <w:rFonts w:ascii="Arial" w:eastAsia="宋体" w:hAnsi="Arial" w:cs="Arial"/>
                <w:color w:val="000000"/>
                <w:sz w:val="14"/>
                <w:szCs w:val="14"/>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8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83"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8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85" w14:textId="77777777" w:rsidR="006A3667" w:rsidRDefault="00045F32">
            <w:pPr>
              <w:jc w:val="right"/>
              <w:textAlignment w:val="bottom"/>
            </w:pPr>
            <w:r>
              <w:rPr>
                <w:rFonts w:ascii="Arial" w:eastAsia="宋体" w:hAnsi="Arial" w:cs="Arial"/>
                <w:color w:val="000000"/>
                <w:sz w:val="14"/>
                <w:szCs w:val="14"/>
              </w:rPr>
              <w:t>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87"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8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89" w14:textId="77777777" w:rsidR="006A3667" w:rsidRDefault="00045F32">
            <w:pPr>
              <w:jc w:val="right"/>
              <w:textAlignment w:val="bottom"/>
            </w:pPr>
            <w:r>
              <w:rPr>
                <w:rFonts w:ascii="Arial" w:eastAsia="宋体" w:hAnsi="Arial" w:cs="Arial"/>
                <w:color w:val="000000"/>
                <w:sz w:val="14"/>
                <w:szCs w:val="14"/>
              </w:rPr>
              <w:t>1,316 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8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8B"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28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28D" w14:textId="77777777" w:rsidR="006A3667" w:rsidRDefault="00045F32">
            <w:pPr>
              <w:jc w:val="right"/>
              <w:textAlignment w:val="bottom"/>
            </w:pPr>
            <w:r>
              <w:rPr>
                <w:rFonts w:ascii="Arial" w:eastAsia="宋体" w:hAnsi="Arial" w:cs="Arial"/>
                <w:color w:val="000000"/>
                <w:sz w:val="14"/>
                <w:szCs w:val="14"/>
              </w:rPr>
              <w:t>82,674 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28E" w14:textId="77777777" w:rsidR="006A3667" w:rsidRDefault="006A3667">
            <w:pPr>
              <w:jc w:val="right"/>
              <w:rPr>
                <w:rFonts w:ascii="宋体"/>
              </w:rPr>
            </w:pPr>
          </w:p>
        </w:tc>
      </w:tr>
    </w:tbl>
    <w:p w14:paraId="71D48290"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6A3667" w14:paraId="71D482A0" w14:textId="77777777">
        <w:tc>
          <w:tcPr>
            <w:tcW w:w="50" w:type="pct"/>
            <w:shd w:val="clear" w:color="auto" w:fill="auto"/>
            <w:vAlign w:val="bottom"/>
          </w:tcPr>
          <w:p w14:paraId="71D48291" w14:textId="77777777" w:rsidR="006A3667" w:rsidRDefault="006A3667">
            <w:pPr>
              <w:rPr>
                <w:rFonts w:ascii="宋体"/>
              </w:rPr>
            </w:pPr>
          </w:p>
        </w:tc>
        <w:tc>
          <w:tcPr>
            <w:tcW w:w="1348" w:type="pct"/>
            <w:shd w:val="clear" w:color="auto" w:fill="auto"/>
            <w:vAlign w:val="bottom"/>
          </w:tcPr>
          <w:p w14:paraId="71D48292" w14:textId="77777777" w:rsidR="006A3667" w:rsidRDefault="006A3667">
            <w:pPr>
              <w:rPr>
                <w:rFonts w:ascii="宋体"/>
              </w:rPr>
            </w:pPr>
          </w:p>
        </w:tc>
        <w:tc>
          <w:tcPr>
            <w:tcW w:w="5" w:type="pct"/>
            <w:shd w:val="clear" w:color="auto" w:fill="auto"/>
            <w:vAlign w:val="bottom"/>
          </w:tcPr>
          <w:p w14:paraId="71D48293" w14:textId="77777777" w:rsidR="006A3667" w:rsidRDefault="006A3667">
            <w:pPr>
              <w:rPr>
                <w:rFonts w:ascii="宋体"/>
              </w:rPr>
            </w:pPr>
          </w:p>
        </w:tc>
        <w:tc>
          <w:tcPr>
            <w:tcW w:w="50" w:type="pct"/>
            <w:shd w:val="clear" w:color="auto" w:fill="auto"/>
            <w:vAlign w:val="bottom"/>
          </w:tcPr>
          <w:p w14:paraId="71D48294" w14:textId="77777777" w:rsidR="006A3667" w:rsidRDefault="006A3667">
            <w:pPr>
              <w:rPr>
                <w:rFonts w:ascii="宋体"/>
              </w:rPr>
            </w:pPr>
          </w:p>
        </w:tc>
        <w:tc>
          <w:tcPr>
            <w:tcW w:w="1048" w:type="pct"/>
            <w:shd w:val="clear" w:color="auto" w:fill="auto"/>
            <w:vAlign w:val="bottom"/>
          </w:tcPr>
          <w:p w14:paraId="71D48295" w14:textId="77777777" w:rsidR="006A3667" w:rsidRDefault="006A3667">
            <w:pPr>
              <w:rPr>
                <w:rFonts w:ascii="宋体"/>
              </w:rPr>
            </w:pPr>
          </w:p>
        </w:tc>
        <w:tc>
          <w:tcPr>
            <w:tcW w:w="5" w:type="pct"/>
            <w:shd w:val="clear" w:color="auto" w:fill="auto"/>
            <w:vAlign w:val="bottom"/>
          </w:tcPr>
          <w:p w14:paraId="71D48296" w14:textId="77777777" w:rsidR="006A3667" w:rsidRDefault="006A3667">
            <w:pPr>
              <w:rPr>
                <w:rFonts w:ascii="宋体"/>
              </w:rPr>
            </w:pPr>
          </w:p>
        </w:tc>
        <w:tc>
          <w:tcPr>
            <w:tcW w:w="50" w:type="pct"/>
            <w:shd w:val="clear" w:color="auto" w:fill="auto"/>
            <w:vAlign w:val="bottom"/>
          </w:tcPr>
          <w:p w14:paraId="71D48297" w14:textId="77777777" w:rsidR="006A3667" w:rsidRDefault="006A3667">
            <w:pPr>
              <w:rPr>
                <w:rFonts w:ascii="宋体"/>
              </w:rPr>
            </w:pPr>
          </w:p>
        </w:tc>
        <w:tc>
          <w:tcPr>
            <w:tcW w:w="917" w:type="pct"/>
            <w:shd w:val="clear" w:color="auto" w:fill="auto"/>
            <w:vAlign w:val="bottom"/>
          </w:tcPr>
          <w:p w14:paraId="71D48298" w14:textId="77777777" w:rsidR="006A3667" w:rsidRDefault="006A3667">
            <w:pPr>
              <w:rPr>
                <w:rFonts w:ascii="宋体"/>
              </w:rPr>
            </w:pPr>
          </w:p>
        </w:tc>
        <w:tc>
          <w:tcPr>
            <w:tcW w:w="5" w:type="pct"/>
            <w:shd w:val="clear" w:color="auto" w:fill="auto"/>
            <w:vAlign w:val="bottom"/>
          </w:tcPr>
          <w:p w14:paraId="71D48299" w14:textId="77777777" w:rsidR="006A3667" w:rsidRDefault="006A3667">
            <w:pPr>
              <w:rPr>
                <w:rFonts w:ascii="宋体"/>
              </w:rPr>
            </w:pPr>
          </w:p>
        </w:tc>
        <w:tc>
          <w:tcPr>
            <w:tcW w:w="50" w:type="pct"/>
            <w:shd w:val="clear" w:color="auto" w:fill="auto"/>
            <w:vAlign w:val="bottom"/>
          </w:tcPr>
          <w:p w14:paraId="71D4829A" w14:textId="77777777" w:rsidR="006A3667" w:rsidRDefault="006A3667">
            <w:pPr>
              <w:rPr>
                <w:rFonts w:ascii="宋体"/>
              </w:rPr>
            </w:pPr>
          </w:p>
        </w:tc>
        <w:tc>
          <w:tcPr>
            <w:tcW w:w="917" w:type="pct"/>
            <w:shd w:val="clear" w:color="auto" w:fill="auto"/>
            <w:vAlign w:val="bottom"/>
          </w:tcPr>
          <w:p w14:paraId="71D4829B" w14:textId="77777777" w:rsidR="006A3667" w:rsidRDefault="006A3667">
            <w:pPr>
              <w:rPr>
                <w:rFonts w:ascii="宋体"/>
              </w:rPr>
            </w:pPr>
          </w:p>
        </w:tc>
        <w:tc>
          <w:tcPr>
            <w:tcW w:w="5" w:type="pct"/>
            <w:shd w:val="clear" w:color="auto" w:fill="auto"/>
            <w:vAlign w:val="bottom"/>
          </w:tcPr>
          <w:p w14:paraId="71D4829C" w14:textId="77777777" w:rsidR="006A3667" w:rsidRDefault="006A3667">
            <w:pPr>
              <w:rPr>
                <w:rFonts w:ascii="宋体"/>
              </w:rPr>
            </w:pPr>
          </w:p>
        </w:tc>
        <w:tc>
          <w:tcPr>
            <w:tcW w:w="50" w:type="pct"/>
            <w:shd w:val="clear" w:color="auto" w:fill="auto"/>
            <w:vAlign w:val="bottom"/>
          </w:tcPr>
          <w:p w14:paraId="71D4829D" w14:textId="77777777" w:rsidR="006A3667" w:rsidRDefault="006A3667">
            <w:pPr>
              <w:rPr>
                <w:rFonts w:ascii="宋体"/>
              </w:rPr>
            </w:pPr>
          </w:p>
        </w:tc>
        <w:tc>
          <w:tcPr>
            <w:tcW w:w="493" w:type="pct"/>
            <w:shd w:val="clear" w:color="auto" w:fill="auto"/>
            <w:vAlign w:val="bottom"/>
          </w:tcPr>
          <w:p w14:paraId="71D4829E" w14:textId="77777777" w:rsidR="006A3667" w:rsidRDefault="006A3667">
            <w:pPr>
              <w:rPr>
                <w:rFonts w:ascii="宋体"/>
              </w:rPr>
            </w:pPr>
          </w:p>
        </w:tc>
        <w:tc>
          <w:tcPr>
            <w:tcW w:w="5" w:type="pct"/>
            <w:shd w:val="clear" w:color="auto" w:fill="auto"/>
            <w:vAlign w:val="bottom"/>
          </w:tcPr>
          <w:p w14:paraId="71D4829F" w14:textId="77777777" w:rsidR="006A3667" w:rsidRDefault="006A3667">
            <w:pPr>
              <w:rPr>
                <w:rFonts w:ascii="宋体"/>
              </w:rPr>
            </w:pPr>
          </w:p>
        </w:tc>
      </w:tr>
      <w:tr w:rsidR="006A3667" w14:paraId="71D482A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82A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2A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2A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2A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2A5" w14:textId="77777777" w:rsidR="006A3667" w:rsidRDefault="006A3667">
            <w:pPr>
              <w:rPr>
                <w:rFonts w:ascii="宋体"/>
              </w:rPr>
            </w:pPr>
          </w:p>
        </w:tc>
      </w:tr>
    </w:tbl>
    <w:p w14:paraId="71D482A7" w14:textId="77777777" w:rsidR="006A3667" w:rsidRDefault="00045F32">
      <w:pPr>
        <w:jc w:val="both"/>
      </w:pPr>
      <w:r>
        <w:rPr>
          <w:rFonts w:ascii="Arial" w:eastAsia="宋体" w:hAnsi="Arial" w:cs="Arial"/>
          <w:color w:val="000000"/>
          <w:sz w:val="8"/>
          <w:szCs w:val="8"/>
        </w:rPr>
        <w:t>(1)</w:t>
      </w:r>
      <w:r>
        <w:rPr>
          <w:rFonts w:ascii="Arial" w:eastAsia="宋体" w:hAnsi="Arial" w:cs="Arial"/>
          <w:color w:val="000000"/>
          <w:sz w:val="13"/>
          <w:szCs w:val="13"/>
        </w:rPr>
        <w:t xml:space="preserve"> Represents a security interest in underlying client assets related to our enhanced custody business, which clients have allowed us to transfer and re-pledge.</w:t>
      </w:r>
    </w:p>
    <w:p w14:paraId="71D482A8" w14:textId="77777777" w:rsidR="006A3667" w:rsidRDefault="00045F32">
      <w:pPr>
        <w:spacing w:before="180"/>
        <w:jc w:val="both"/>
      </w:pPr>
      <w:r>
        <w:rPr>
          <w:rFonts w:ascii="Arial" w:eastAsia="宋体" w:hAnsi="Arial" w:cs="Arial"/>
          <w:b/>
          <w:bCs/>
          <w:color w:val="000000"/>
          <w:sz w:val="20"/>
          <w:szCs w:val="20"/>
        </w:rPr>
        <w:t>Note 9.    Commitments and Guarantees</w:t>
      </w:r>
    </w:p>
    <w:p w14:paraId="71D482A9" w14:textId="77777777" w:rsidR="006A3667" w:rsidRDefault="00045F32">
      <w:pPr>
        <w:spacing w:before="60"/>
        <w:ind w:firstLine="450"/>
        <w:jc w:val="both"/>
      </w:pPr>
      <w:r>
        <w:rPr>
          <w:rFonts w:ascii="Arial" w:eastAsia="宋体" w:hAnsi="Arial" w:cs="Arial"/>
          <w:color w:val="000000"/>
          <w:sz w:val="20"/>
          <w:szCs w:val="20"/>
        </w:rPr>
        <w:t>For additional information on the nature of the obligations</w:t>
      </w:r>
      <w:r>
        <w:rPr>
          <w:rFonts w:ascii="Arial" w:eastAsia="宋体" w:hAnsi="Arial" w:cs="Arial"/>
          <w:color w:val="000000"/>
          <w:sz w:val="20"/>
          <w:szCs w:val="20"/>
        </w:rPr>
        <w:t xml:space="preserve"> and related business activities for our commitments and guarantees, refer to page 165 in Note 12 to the consolidated financial statements included under Item 8, Financial Statements and Supplementary Data, in our 2021 Form 10-K.</w:t>
      </w:r>
    </w:p>
    <w:p w14:paraId="71D482AA" w14:textId="77777777" w:rsidR="006A3667" w:rsidRDefault="00045F32">
      <w:pPr>
        <w:spacing w:before="60"/>
        <w:ind w:firstLine="450"/>
        <w:jc w:val="both"/>
      </w:pPr>
      <w:r>
        <w:rPr>
          <w:rFonts w:ascii="Arial" w:eastAsia="宋体" w:hAnsi="Arial" w:cs="Arial"/>
          <w:color w:val="000000"/>
          <w:sz w:val="20"/>
          <w:szCs w:val="20"/>
        </w:rPr>
        <w:t>The following table presen</w:t>
      </w:r>
      <w:r>
        <w:rPr>
          <w:rFonts w:ascii="Arial" w:eastAsia="宋体" w:hAnsi="Arial" w:cs="Arial"/>
          <w:color w:val="000000"/>
          <w:sz w:val="20"/>
          <w:szCs w:val="20"/>
        </w:rPr>
        <w:t>ts the aggregate gross contractual amounts of our off-balance sheet commitments and guarantees,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40"/>
        <w:gridCol w:w="3828"/>
        <w:gridCol w:w="36"/>
        <w:gridCol w:w="99"/>
        <w:gridCol w:w="2021"/>
        <w:gridCol w:w="36"/>
        <w:gridCol w:w="36"/>
        <w:gridCol w:w="36"/>
        <w:gridCol w:w="36"/>
        <w:gridCol w:w="99"/>
        <w:gridCol w:w="2021"/>
        <w:gridCol w:w="36"/>
      </w:tblGrid>
      <w:tr w:rsidR="006A3667" w14:paraId="71D482B7" w14:textId="77777777">
        <w:tc>
          <w:tcPr>
            <w:tcW w:w="50" w:type="pct"/>
            <w:shd w:val="clear" w:color="auto" w:fill="auto"/>
            <w:vAlign w:val="bottom"/>
          </w:tcPr>
          <w:p w14:paraId="71D482AB" w14:textId="77777777" w:rsidR="006A3667" w:rsidRDefault="006A3667">
            <w:pPr>
              <w:rPr>
                <w:rFonts w:ascii="宋体"/>
              </w:rPr>
            </w:pPr>
          </w:p>
        </w:tc>
        <w:tc>
          <w:tcPr>
            <w:tcW w:w="2324" w:type="pct"/>
            <w:shd w:val="clear" w:color="auto" w:fill="auto"/>
            <w:vAlign w:val="bottom"/>
          </w:tcPr>
          <w:p w14:paraId="71D482AC" w14:textId="77777777" w:rsidR="006A3667" w:rsidRDefault="006A3667">
            <w:pPr>
              <w:rPr>
                <w:rFonts w:ascii="宋体"/>
              </w:rPr>
            </w:pPr>
          </w:p>
        </w:tc>
        <w:tc>
          <w:tcPr>
            <w:tcW w:w="5" w:type="pct"/>
            <w:shd w:val="clear" w:color="auto" w:fill="auto"/>
            <w:vAlign w:val="bottom"/>
          </w:tcPr>
          <w:p w14:paraId="71D482AD" w14:textId="77777777" w:rsidR="006A3667" w:rsidRDefault="006A3667">
            <w:pPr>
              <w:rPr>
                <w:rFonts w:ascii="宋体"/>
              </w:rPr>
            </w:pPr>
          </w:p>
        </w:tc>
        <w:tc>
          <w:tcPr>
            <w:tcW w:w="50" w:type="pct"/>
            <w:shd w:val="clear" w:color="auto" w:fill="auto"/>
            <w:vAlign w:val="bottom"/>
          </w:tcPr>
          <w:p w14:paraId="71D482AE" w14:textId="77777777" w:rsidR="006A3667" w:rsidRDefault="006A3667">
            <w:pPr>
              <w:rPr>
                <w:rFonts w:ascii="宋体"/>
              </w:rPr>
            </w:pPr>
          </w:p>
        </w:tc>
        <w:tc>
          <w:tcPr>
            <w:tcW w:w="1240" w:type="pct"/>
            <w:shd w:val="clear" w:color="auto" w:fill="auto"/>
            <w:vAlign w:val="bottom"/>
          </w:tcPr>
          <w:p w14:paraId="71D482AF" w14:textId="77777777" w:rsidR="006A3667" w:rsidRDefault="006A3667">
            <w:pPr>
              <w:rPr>
                <w:rFonts w:ascii="宋体"/>
              </w:rPr>
            </w:pPr>
          </w:p>
        </w:tc>
        <w:tc>
          <w:tcPr>
            <w:tcW w:w="5" w:type="pct"/>
            <w:shd w:val="clear" w:color="auto" w:fill="auto"/>
            <w:vAlign w:val="bottom"/>
          </w:tcPr>
          <w:p w14:paraId="71D482B0" w14:textId="77777777" w:rsidR="006A3667" w:rsidRDefault="006A3667">
            <w:pPr>
              <w:rPr>
                <w:rFonts w:ascii="宋体"/>
              </w:rPr>
            </w:pPr>
          </w:p>
        </w:tc>
        <w:tc>
          <w:tcPr>
            <w:tcW w:w="5" w:type="pct"/>
            <w:shd w:val="clear" w:color="auto" w:fill="auto"/>
            <w:vAlign w:val="bottom"/>
          </w:tcPr>
          <w:p w14:paraId="71D482B1" w14:textId="77777777" w:rsidR="006A3667" w:rsidRDefault="006A3667">
            <w:pPr>
              <w:rPr>
                <w:rFonts w:ascii="宋体"/>
              </w:rPr>
            </w:pPr>
          </w:p>
        </w:tc>
        <w:tc>
          <w:tcPr>
            <w:tcW w:w="19" w:type="pct"/>
            <w:shd w:val="clear" w:color="auto" w:fill="auto"/>
            <w:vAlign w:val="bottom"/>
          </w:tcPr>
          <w:p w14:paraId="71D482B2" w14:textId="77777777" w:rsidR="006A3667" w:rsidRDefault="006A3667">
            <w:pPr>
              <w:rPr>
                <w:rFonts w:ascii="宋体"/>
              </w:rPr>
            </w:pPr>
          </w:p>
        </w:tc>
        <w:tc>
          <w:tcPr>
            <w:tcW w:w="5" w:type="pct"/>
            <w:shd w:val="clear" w:color="auto" w:fill="auto"/>
            <w:vAlign w:val="bottom"/>
          </w:tcPr>
          <w:p w14:paraId="71D482B3" w14:textId="77777777" w:rsidR="006A3667" w:rsidRDefault="006A3667">
            <w:pPr>
              <w:rPr>
                <w:rFonts w:ascii="宋体"/>
              </w:rPr>
            </w:pPr>
          </w:p>
        </w:tc>
        <w:tc>
          <w:tcPr>
            <w:tcW w:w="50" w:type="pct"/>
            <w:shd w:val="clear" w:color="auto" w:fill="auto"/>
            <w:vAlign w:val="bottom"/>
          </w:tcPr>
          <w:p w14:paraId="71D482B4" w14:textId="77777777" w:rsidR="006A3667" w:rsidRDefault="006A3667">
            <w:pPr>
              <w:rPr>
                <w:rFonts w:ascii="宋体"/>
              </w:rPr>
            </w:pPr>
          </w:p>
        </w:tc>
        <w:tc>
          <w:tcPr>
            <w:tcW w:w="1240" w:type="pct"/>
            <w:shd w:val="clear" w:color="auto" w:fill="auto"/>
            <w:vAlign w:val="bottom"/>
          </w:tcPr>
          <w:p w14:paraId="71D482B5" w14:textId="77777777" w:rsidR="006A3667" w:rsidRDefault="006A3667">
            <w:pPr>
              <w:rPr>
                <w:rFonts w:ascii="宋体"/>
              </w:rPr>
            </w:pPr>
          </w:p>
        </w:tc>
        <w:tc>
          <w:tcPr>
            <w:tcW w:w="5" w:type="pct"/>
            <w:shd w:val="clear" w:color="auto" w:fill="auto"/>
            <w:vAlign w:val="bottom"/>
          </w:tcPr>
          <w:p w14:paraId="71D482B6" w14:textId="77777777" w:rsidR="006A3667" w:rsidRDefault="006A3667">
            <w:pPr>
              <w:rPr>
                <w:rFonts w:ascii="宋体"/>
              </w:rPr>
            </w:pPr>
          </w:p>
        </w:tc>
      </w:tr>
      <w:tr w:rsidR="006A3667" w14:paraId="71D482BC" w14:textId="77777777">
        <w:tc>
          <w:tcPr>
            <w:tcW w:w="0" w:type="auto"/>
            <w:gridSpan w:val="3"/>
            <w:shd w:val="clear" w:color="auto" w:fill="auto"/>
            <w:tcMar>
              <w:top w:w="40" w:type="dxa"/>
              <w:left w:w="20" w:type="dxa"/>
              <w:bottom w:w="40" w:type="dxa"/>
              <w:right w:w="20" w:type="dxa"/>
            </w:tcMar>
            <w:vAlign w:val="bottom"/>
          </w:tcPr>
          <w:p w14:paraId="71D482B8"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82B9"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82BA"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2BB"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82C1" w14:textId="77777777">
        <w:tc>
          <w:tcPr>
            <w:tcW w:w="0" w:type="auto"/>
            <w:gridSpan w:val="3"/>
            <w:shd w:val="clear" w:color="auto" w:fill="auto"/>
            <w:tcMar>
              <w:top w:w="40" w:type="dxa"/>
              <w:left w:w="20" w:type="dxa"/>
              <w:bottom w:w="40" w:type="dxa"/>
              <w:right w:w="20" w:type="dxa"/>
            </w:tcMar>
            <w:vAlign w:val="bottom"/>
          </w:tcPr>
          <w:p w14:paraId="71D482BD" w14:textId="77777777" w:rsidR="006A3667" w:rsidRDefault="00045F32">
            <w:pPr>
              <w:textAlignment w:val="bottom"/>
            </w:pPr>
            <w:r>
              <w:rPr>
                <w:rFonts w:ascii="Arial" w:eastAsia="宋体" w:hAnsi="Arial" w:cs="Arial"/>
                <w:b/>
                <w:bCs/>
                <w:color w:val="000000"/>
                <w:sz w:val="14"/>
                <w:szCs w:val="14"/>
              </w:rPr>
              <w:t>Commitments: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2B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2BF"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2C0" w14:textId="77777777" w:rsidR="006A3667" w:rsidRDefault="006A3667">
            <w:pPr>
              <w:rPr>
                <w:rFonts w:ascii="宋体"/>
              </w:rPr>
            </w:pPr>
          </w:p>
        </w:tc>
      </w:tr>
      <w:tr w:rsidR="006A3667" w14:paraId="71D482CA" w14:textId="77777777">
        <w:tc>
          <w:tcPr>
            <w:tcW w:w="0" w:type="auto"/>
            <w:gridSpan w:val="3"/>
            <w:shd w:val="clear" w:color="auto" w:fill="CCEEFF"/>
            <w:tcMar>
              <w:top w:w="40" w:type="dxa"/>
              <w:left w:w="20" w:type="dxa"/>
              <w:bottom w:w="40" w:type="dxa"/>
              <w:right w:w="20" w:type="dxa"/>
            </w:tcMar>
            <w:vAlign w:val="bottom"/>
          </w:tcPr>
          <w:p w14:paraId="71D482C2" w14:textId="77777777" w:rsidR="006A3667" w:rsidRDefault="00045F32">
            <w:pPr>
              <w:textAlignment w:val="bottom"/>
            </w:pPr>
            <w:r>
              <w:rPr>
                <w:rFonts w:ascii="Arial" w:eastAsia="宋体" w:hAnsi="Arial" w:cs="Arial"/>
                <w:color w:val="000000"/>
                <w:sz w:val="14"/>
                <w:szCs w:val="14"/>
              </w:rPr>
              <w:t>Unfunded credit facilities</w:t>
            </w:r>
          </w:p>
        </w:tc>
        <w:tc>
          <w:tcPr>
            <w:tcW w:w="0" w:type="auto"/>
            <w:shd w:val="clear" w:color="auto" w:fill="CCEEFF"/>
            <w:tcMar>
              <w:top w:w="40" w:type="dxa"/>
              <w:left w:w="20" w:type="dxa"/>
              <w:bottom w:w="40" w:type="dxa"/>
              <w:right w:w="0" w:type="dxa"/>
            </w:tcMar>
            <w:vAlign w:val="bottom"/>
          </w:tcPr>
          <w:p w14:paraId="71D482C3"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2C4" w14:textId="77777777" w:rsidR="006A3667" w:rsidRDefault="00045F32">
            <w:pPr>
              <w:jc w:val="right"/>
              <w:textAlignment w:val="bottom"/>
            </w:pPr>
            <w:r>
              <w:rPr>
                <w:rFonts w:ascii="Arial" w:eastAsia="宋体" w:hAnsi="Arial" w:cs="Arial"/>
                <w:b/>
                <w:bCs/>
                <w:color w:val="000000"/>
                <w:sz w:val="14"/>
                <w:szCs w:val="14"/>
              </w:rPr>
              <w:t>31,534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C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2C7"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2C8" w14:textId="77777777" w:rsidR="006A3667" w:rsidRDefault="00045F32">
            <w:pPr>
              <w:jc w:val="right"/>
              <w:textAlignment w:val="bottom"/>
            </w:pPr>
            <w:r>
              <w:rPr>
                <w:rFonts w:ascii="Arial" w:eastAsia="宋体" w:hAnsi="Arial" w:cs="Arial"/>
                <w:color w:val="000000"/>
                <w:sz w:val="14"/>
                <w:szCs w:val="14"/>
              </w:rPr>
              <w:t>33,026 </w:t>
            </w:r>
          </w:p>
        </w:tc>
        <w:tc>
          <w:tcPr>
            <w:tcW w:w="0" w:type="auto"/>
            <w:shd w:val="clear" w:color="auto" w:fill="CCEEFF"/>
            <w:tcMar>
              <w:top w:w="40" w:type="dxa"/>
              <w:left w:w="0" w:type="dxa"/>
              <w:bottom w:w="40" w:type="dxa"/>
              <w:right w:w="20" w:type="dxa"/>
            </w:tcMar>
            <w:vAlign w:val="bottom"/>
          </w:tcPr>
          <w:p w14:paraId="71D482C9" w14:textId="77777777" w:rsidR="006A3667" w:rsidRDefault="006A3667">
            <w:pPr>
              <w:jc w:val="right"/>
              <w:rPr>
                <w:rFonts w:ascii="宋体"/>
              </w:rPr>
            </w:pPr>
          </w:p>
        </w:tc>
      </w:tr>
      <w:tr w:rsidR="006A3667" w14:paraId="71D482CF" w14:textId="77777777">
        <w:tc>
          <w:tcPr>
            <w:tcW w:w="0" w:type="auto"/>
            <w:gridSpan w:val="3"/>
            <w:shd w:val="clear" w:color="auto" w:fill="FFFFFF"/>
            <w:tcMar>
              <w:top w:w="40" w:type="dxa"/>
              <w:left w:w="20" w:type="dxa"/>
              <w:bottom w:w="40" w:type="dxa"/>
              <w:right w:w="20" w:type="dxa"/>
            </w:tcMar>
            <w:vAlign w:val="bottom"/>
          </w:tcPr>
          <w:p w14:paraId="71D482CB" w14:textId="77777777" w:rsidR="006A3667" w:rsidRDefault="00045F32">
            <w:pPr>
              <w:textAlignment w:val="bottom"/>
            </w:pPr>
            <w:r>
              <w:rPr>
                <w:rFonts w:ascii="Arial" w:eastAsia="宋体" w:hAnsi="Arial" w:cs="Arial"/>
                <w:b/>
                <w:bCs/>
                <w:color w:val="000000"/>
                <w:sz w:val="14"/>
                <w:szCs w:val="14"/>
              </w:rPr>
              <w:t>Guarantees</w:t>
            </w:r>
            <w:r>
              <w:rPr>
                <w:rFonts w:ascii="Arial" w:eastAsia="宋体" w:hAnsi="Arial" w:cs="Arial"/>
                <w:color w:val="000000"/>
                <w:sz w:val="9"/>
                <w:szCs w:val="9"/>
              </w:rPr>
              <w:t>(1)</w:t>
            </w: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82C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2C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2CE" w14:textId="77777777" w:rsidR="006A3667" w:rsidRDefault="006A3667">
            <w:pPr>
              <w:rPr>
                <w:rFonts w:ascii="宋体"/>
              </w:rPr>
            </w:pPr>
          </w:p>
        </w:tc>
      </w:tr>
      <w:tr w:rsidR="006A3667" w14:paraId="71D482D8" w14:textId="77777777">
        <w:tc>
          <w:tcPr>
            <w:tcW w:w="0" w:type="auto"/>
            <w:gridSpan w:val="3"/>
            <w:shd w:val="clear" w:color="auto" w:fill="CCEEFF"/>
            <w:tcMar>
              <w:top w:w="40" w:type="dxa"/>
              <w:left w:w="20" w:type="dxa"/>
              <w:bottom w:w="40" w:type="dxa"/>
              <w:right w:w="20" w:type="dxa"/>
            </w:tcMar>
            <w:vAlign w:val="bottom"/>
          </w:tcPr>
          <w:p w14:paraId="71D482D0" w14:textId="77777777" w:rsidR="006A3667" w:rsidRDefault="00045F32">
            <w:pPr>
              <w:textAlignment w:val="bottom"/>
            </w:pPr>
            <w:r>
              <w:rPr>
                <w:rFonts w:ascii="Arial" w:eastAsia="宋体" w:hAnsi="Arial" w:cs="Arial"/>
                <w:color w:val="000000"/>
                <w:sz w:val="14"/>
                <w:szCs w:val="14"/>
              </w:rPr>
              <w:t>Indemnified securities financing</w:t>
            </w:r>
          </w:p>
        </w:tc>
        <w:tc>
          <w:tcPr>
            <w:tcW w:w="0" w:type="auto"/>
            <w:shd w:val="clear" w:color="auto" w:fill="CCEEFF"/>
            <w:tcMar>
              <w:top w:w="40" w:type="dxa"/>
              <w:left w:w="20" w:type="dxa"/>
              <w:bottom w:w="40" w:type="dxa"/>
              <w:right w:w="0" w:type="dxa"/>
            </w:tcMar>
            <w:vAlign w:val="bottom"/>
          </w:tcPr>
          <w:p w14:paraId="71D482D1"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2D2" w14:textId="77777777" w:rsidR="006A3667" w:rsidRDefault="00045F32">
            <w:pPr>
              <w:jc w:val="right"/>
              <w:textAlignment w:val="bottom"/>
            </w:pPr>
            <w:r>
              <w:rPr>
                <w:rFonts w:ascii="Arial" w:eastAsia="宋体" w:hAnsi="Arial" w:cs="Arial"/>
                <w:b/>
                <w:bCs/>
                <w:color w:val="000000"/>
                <w:sz w:val="14"/>
                <w:szCs w:val="14"/>
              </w:rPr>
              <w:t>339,548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2D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2D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2D5"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2D6" w14:textId="77777777" w:rsidR="006A3667" w:rsidRDefault="00045F32">
            <w:pPr>
              <w:jc w:val="right"/>
              <w:textAlignment w:val="bottom"/>
            </w:pPr>
            <w:r>
              <w:rPr>
                <w:rFonts w:ascii="Arial" w:eastAsia="宋体" w:hAnsi="Arial" w:cs="Arial"/>
                <w:color w:val="000000"/>
                <w:sz w:val="14"/>
                <w:szCs w:val="14"/>
              </w:rPr>
              <w:t>385,740 </w:t>
            </w:r>
          </w:p>
        </w:tc>
        <w:tc>
          <w:tcPr>
            <w:tcW w:w="0" w:type="auto"/>
            <w:shd w:val="clear" w:color="auto" w:fill="CCEEFF"/>
            <w:tcMar>
              <w:top w:w="40" w:type="dxa"/>
              <w:left w:w="0" w:type="dxa"/>
              <w:bottom w:w="40" w:type="dxa"/>
              <w:right w:w="20" w:type="dxa"/>
            </w:tcMar>
            <w:vAlign w:val="bottom"/>
          </w:tcPr>
          <w:p w14:paraId="71D482D7" w14:textId="77777777" w:rsidR="006A3667" w:rsidRDefault="006A3667">
            <w:pPr>
              <w:jc w:val="right"/>
              <w:rPr>
                <w:rFonts w:ascii="宋体"/>
              </w:rPr>
            </w:pPr>
          </w:p>
        </w:tc>
      </w:tr>
      <w:tr w:rsidR="006A3667" w14:paraId="71D482DF" w14:textId="77777777">
        <w:tc>
          <w:tcPr>
            <w:tcW w:w="0" w:type="auto"/>
            <w:gridSpan w:val="3"/>
            <w:shd w:val="clear" w:color="auto" w:fill="FFFFFF"/>
            <w:tcMar>
              <w:top w:w="40" w:type="dxa"/>
              <w:left w:w="20" w:type="dxa"/>
              <w:bottom w:w="40" w:type="dxa"/>
              <w:right w:w="20" w:type="dxa"/>
            </w:tcMar>
            <w:vAlign w:val="bottom"/>
          </w:tcPr>
          <w:p w14:paraId="71D482D9" w14:textId="77777777" w:rsidR="006A3667" w:rsidRDefault="00045F32">
            <w:pPr>
              <w:textAlignment w:val="bottom"/>
            </w:pPr>
            <w:r>
              <w:rPr>
                <w:rFonts w:ascii="Arial" w:eastAsia="宋体" w:hAnsi="Arial" w:cs="Arial"/>
                <w:color w:val="000000"/>
                <w:sz w:val="14"/>
                <w:szCs w:val="14"/>
              </w:rPr>
              <w:t>Standby letters of credit</w:t>
            </w:r>
          </w:p>
        </w:tc>
        <w:tc>
          <w:tcPr>
            <w:tcW w:w="0" w:type="auto"/>
            <w:gridSpan w:val="2"/>
            <w:shd w:val="clear" w:color="auto" w:fill="auto"/>
            <w:tcMar>
              <w:top w:w="40" w:type="dxa"/>
              <w:left w:w="20" w:type="dxa"/>
              <w:bottom w:w="40" w:type="dxa"/>
              <w:right w:w="0" w:type="dxa"/>
            </w:tcMar>
            <w:vAlign w:val="bottom"/>
          </w:tcPr>
          <w:p w14:paraId="71D482DA" w14:textId="77777777" w:rsidR="006A3667" w:rsidRDefault="00045F32">
            <w:pPr>
              <w:jc w:val="right"/>
              <w:textAlignment w:val="bottom"/>
            </w:pPr>
            <w:r>
              <w:rPr>
                <w:rFonts w:ascii="Arial" w:eastAsia="宋体" w:hAnsi="Arial" w:cs="Arial"/>
                <w:b/>
                <w:bCs/>
                <w:color w:val="000000"/>
                <w:sz w:val="14"/>
                <w:szCs w:val="14"/>
              </w:rPr>
              <w:t>2,162</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71D482D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2D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2DD" w14:textId="77777777" w:rsidR="006A3667" w:rsidRDefault="00045F32">
            <w:pPr>
              <w:jc w:val="right"/>
              <w:textAlignment w:val="bottom"/>
            </w:pPr>
            <w:r>
              <w:rPr>
                <w:rFonts w:ascii="Arial" w:eastAsia="宋体" w:hAnsi="Arial" w:cs="Arial"/>
                <w:color w:val="000000"/>
                <w:sz w:val="14"/>
                <w:szCs w:val="14"/>
              </w:rPr>
              <w:t>3,237 </w:t>
            </w:r>
          </w:p>
        </w:tc>
        <w:tc>
          <w:tcPr>
            <w:tcW w:w="0" w:type="auto"/>
            <w:shd w:val="clear" w:color="auto" w:fill="FFFFFF"/>
            <w:tcMar>
              <w:top w:w="40" w:type="dxa"/>
              <w:left w:w="0" w:type="dxa"/>
              <w:bottom w:w="40" w:type="dxa"/>
              <w:right w:w="20" w:type="dxa"/>
            </w:tcMar>
            <w:vAlign w:val="bottom"/>
          </w:tcPr>
          <w:p w14:paraId="71D482DE" w14:textId="77777777" w:rsidR="006A3667" w:rsidRDefault="006A3667">
            <w:pPr>
              <w:jc w:val="right"/>
              <w:rPr>
                <w:rFonts w:ascii="宋体"/>
              </w:rPr>
            </w:pPr>
          </w:p>
        </w:tc>
      </w:tr>
    </w:tbl>
    <w:p w14:paraId="71D482E0" w14:textId="77777777" w:rsidR="006A3667" w:rsidRDefault="006A3667">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1719"/>
        <w:gridCol w:w="36"/>
        <w:gridCol w:w="36"/>
        <w:gridCol w:w="2025"/>
        <w:gridCol w:w="36"/>
      </w:tblGrid>
      <w:tr w:rsidR="006A3667" w14:paraId="71D482E7" w14:textId="77777777">
        <w:tc>
          <w:tcPr>
            <w:tcW w:w="50" w:type="pct"/>
            <w:shd w:val="clear" w:color="auto" w:fill="auto"/>
            <w:vAlign w:val="bottom"/>
          </w:tcPr>
          <w:p w14:paraId="71D482E1" w14:textId="77777777" w:rsidR="006A3667" w:rsidRDefault="006A3667">
            <w:pPr>
              <w:rPr>
                <w:rFonts w:ascii="宋体"/>
              </w:rPr>
            </w:pPr>
          </w:p>
        </w:tc>
        <w:tc>
          <w:tcPr>
            <w:tcW w:w="2249" w:type="pct"/>
            <w:shd w:val="clear" w:color="auto" w:fill="auto"/>
            <w:vAlign w:val="bottom"/>
          </w:tcPr>
          <w:p w14:paraId="71D482E2" w14:textId="77777777" w:rsidR="006A3667" w:rsidRDefault="006A3667">
            <w:pPr>
              <w:rPr>
                <w:rFonts w:ascii="宋体"/>
              </w:rPr>
            </w:pPr>
          </w:p>
        </w:tc>
        <w:tc>
          <w:tcPr>
            <w:tcW w:w="5" w:type="pct"/>
            <w:shd w:val="clear" w:color="auto" w:fill="auto"/>
            <w:vAlign w:val="bottom"/>
          </w:tcPr>
          <w:p w14:paraId="71D482E3" w14:textId="77777777" w:rsidR="006A3667" w:rsidRDefault="006A3667">
            <w:pPr>
              <w:rPr>
                <w:rFonts w:ascii="宋体"/>
              </w:rPr>
            </w:pPr>
          </w:p>
        </w:tc>
        <w:tc>
          <w:tcPr>
            <w:tcW w:w="50" w:type="pct"/>
            <w:shd w:val="clear" w:color="auto" w:fill="auto"/>
            <w:vAlign w:val="bottom"/>
          </w:tcPr>
          <w:p w14:paraId="71D482E4" w14:textId="77777777" w:rsidR="006A3667" w:rsidRDefault="006A3667">
            <w:pPr>
              <w:rPr>
                <w:rFonts w:ascii="宋体"/>
              </w:rPr>
            </w:pPr>
          </w:p>
        </w:tc>
        <w:tc>
          <w:tcPr>
            <w:tcW w:w="2640" w:type="pct"/>
            <w:shd w:val="clear" w:color="auto" w:fill="auto"/>
            <w:vAlign w:val="bottom"/>
          </w:tcPr>
          <w:p w14:paraId="71D482E5" w14:textId="77777777" w:rsidR="006A3667" w:rsidRDefault="006A3667">
            <w:pPr>
              <w:rPr>
                <w:rFonts w:ascii="宋体"/>
              </w:rPr>
            </w:pPr>
          </w:p>
        </w:tc>
        <w:tc>
          <w:tcPr>
            <w:tcW w:w="5" w:type="pct"/>
            <w:shd w:val="clear" w:color="auto" w:fill="auto"/>
            <w:vAlign w:val="bottom"/>
          </w:tcPr>
          <w:p w14:paraId="71D482E6" w14:textId="77777777" w:rsidR="006A3667" w:rsidRDefault="006A3667">
            <w:pPr>
              <w:rPr>
                <w:rFonts w:ascii="宋体"/>
              </w:rPr>
            </w:pPr>
          </w:p>
        </w:tc>
      </w:tr>
      <w:tr w:rsidR="006A3667" w14:paraId="71D482E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82E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2E9" w14:textId="77777777" w:rsidR="006A3667" w:rsidRDefault="006A3667">
            <w:pPr>
              <w:rPr>
                <w:rFonts w:ascii="宋体"/>
              </w:rPr>
            </w:pPr>
          </w:p>
        </w:tc>
      </w:tr>
    </w:tbl>
    <w:p w14:paraId="71D482EB" w14:textId="77777777" w:rsidR="006A3667" w:rsidRDefault="00045F32">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The potential losses associated with these guarantees equal the gross contractual amounts and do not </w:t>
      </w:r>
      <w:r>
        <w:rPr>
          <w:rFonts w:ascii="Arial" w:eastAsia="宋体" w:hAnsi="Arial" w:cs="Arial"/>
          <w:color w:val="000000"/>
          <w:sz w:val="13"/>
          <w:szCs w:val="13"/>
        </w:rPr>
        <w:t>consider the value of any collateral or reflect any participations to independent third parties.</w:t>
      </w:r>
    </w:p>
    <w:p w14:paraId="71D482EC" w14:textId="77777777" w:rsidR="006A3667" w:rsidRDefault="00045F32">
      <w:pPr>
        <w:spacing w:before="60"/>
        <w:ind w:firstLine="450"/>
        <w:jc w:val="both"/>
      </w:pPr>
      <w:r>
        <w:rPr>
          <w:rFonts w:ascii="Arial" w:eastAsia="宋体" w:hAnsi="Arial" w:cs="Arial"/>
          <w:color w:val="000000"/>
          <w:sz w:val="20"/>
          <w:szCs w:val="20"/>
        </w:rPr>
        <w:t>Approximately 76%</w:t>
      </w:r>
      <w:r>
        <w:rPr>
          <w:rFonts w:ascii="Arial" w:eastAsia="宋体" w:hAnsi="Arial" w:cs="Arial"/>
          <w:color w:val="000000"/>
          <w:sz w:val="20"/>
          <w:szCs w:val="20"/>
          <w:shd w:val="clear" w:color="auto" w:fill="FFFFFF"/>
        </w:rPr>
        <w:t xml:space="preserve"> </w:t>
      </w:r>
      <w:r>
        <w:rPr>
          <w:rFonts w:ascii="Arial" w:eastAsia="宋体" w:hAnsi="Arial" w:cs="Arial"/>
          <w:color w:val="000000"/>
          <w:sz w:val="20"/>
          <w:szCs w:val="20"/>
        </w:rPr>
        <w:t>of our unfunded commitments to extend credit expire within one year as of September 30, 2022, compared to approximately 76% as of December 31</w:t>
      </w:r>
      <w:r>
        <w:rPr>
          <w:rFonts w:ascii="Arial" w:eastAsia="宋体" w:hAnsi="Arial" w:cs="Arial"/>
          <w:color w:val="000000"/>
          <w:sz w:val="20"/>
          <w:szCs w:val="20"/>
        </w:rPr>
        <w:t>, 2021.</w:t>
      </w:r>
    </w:p>
    <w:p w14:paraId="71D482ED" w14:textId="77777777" w:rsidR="006A3667" w:rsidRDefault="00045F32">
      <w:pPr>
        <w:spacing w:before="60"/>
        <w:jc w:val="both"/>
      </w:pPr>
      <w:r>
        <w:rPr>
          <w:rFonts w:ascii="Arial" w:eastAsia="宋体" w:hAnsi="Arial" w:cs="Arial"/>
          <w:i/>
          <w:iCs/>
          <w:color w:val="000000"/>
          <w:sz w:val="20"/>
          <w:szCs w:val="20"/>
        </w:rPr>
        <w:t>Indemnified Securities Financing</w:t>
      </w:r>
    </w:p>
    <w:p w14:paraId="71D482EE" w14:textId="77777777" w:rsidR="006A3667" w:rsidRDefault="00045F32">
      <w:pPr>
        <w:spacing w:before="60"/>
        <w:ind w:firstLine="450"/>
        <w:jc w:val="both"/>
      </w:pPr>
      <w:r>
        <w:rPr>
          <w:rFonts w:ascii="Arial" w:eastAsia="宋体" w:hAnsi="Arial" w:cs="Arial"/>
          <w:color w:val="000000"/>
          <w:sz w:val="20"/>
          <w:szCs w:val="20"/>
        </w:rPr>
        <w:t xml:space="preserve">For additional information on our indemnified securities financing, refer to page 165 in Note 12 to the consolidated financial statements included under Item 8, Financial Statements and Supplementary Data, in our </w:t>
      </w:r>
      <w:r>
        <w:rPr>
          <w:rFonts w:ascii="Arial" w:eastAsia="宋体" w:hAnsi="Arial" w:cs="Arial"/>
          <w:color w:val="000000"/>
          <w:sz w:val="20"/>
          <w:szCs w:val="20"/>
        </w:rPr>
        <w:t>2021 Form 10-K.</w:t>
      </w:r>
    </w:p>
    <w:p w14:paraId="71D482EF" w14:textId="77777777" w:rsidR="006A3667" w:rsidRDefault="00045F32">
      <w:pPr>
        <w:spacing w:before="60"/>
        <w:ind w:firstLine="450"/>
        <w:jc w:val="both"/>
      </w:pPr>
      <w:r>
        <w:rPr>
          <w:rFonts w:ascii="Arial" w:eastAsia="宋体" w:hAnsi="Arial" w:cs="Arial"/>
          <w:color w:val="000000"/>
          <w:sz w:val="20"/>
          <w:szCs w:val="20"/>
        </w:rPr>
        <w:t>The following table summarizes the aggregate fair values of indemnified securities financing and related collateral, as well as collateral invested in indemnified repurchase agreements,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9"/>
        <w:gridCol w:w="3828"/>
        <w:gridCol w:w="37"/>
        <w:gridCol w:w="99"/>
        <w:gridCol w:w="2021"/>
        <w:gridCol w:w="36"/>
        <w:gridCol w:w="36"/>
        <w:gridCol w:w="36"/>
        <w:gridCol w:w="36"/>
        <w:gridCol w:w="99"/>
        <w:gridCol w:w="2021"/>
        <w:gridCol w:w="36"/>
      </w:tblGrid>
      <w:tr w:rsidR="006A3667" w14:paraId="71D482FC" w14:textId="77777777">
        <w:tc>
          <w:tcPr>
            <w:tcW w:w="50" w:type="pct"/>
            <w:shd w:val="clear" w:color="auto" w:fill="auto"/>
            <w:vAlign w:val="bottom"/>
          </w:tcPr>
          <w:p w14:paraId="71D482F0" w14:textId="77777777" w:rsidR="006A3667" w:rsidRDefault="006A3667">
            <w:pPr>
              <w:rPr>
                <w:rFonts w:ascii="宋体"/>
              </w:rPr>
            </w:pPr>
          </w:p>
        </w:tc>
        <w:tc>
          <w:tcPr>
            <w:tcW w:w="2324" w:type="pct"/>
            <w:shd w:val="clear" w:color="auto" w:fill="auto"/>
            <w:vAlign w:val="bottom"/>
          </w:tcPr>
          <w:p w14:paraId="71D482F1" w14:textId="77777777" w:rsidR="006A3667" w:rsidRDefault="006A3667">
            <w:pPr>
              <w:rPr>
                <w:rFonts w:ascii="宋体"/>
              </w:rPr>
            </w:pPr>
          </w:p>
        </w:tc>
        <w:tc>
          <w:tcPr>
            <w:tcW w:w="5" w:type="pct"/>
            <w:shd w:val="clear" w:color="auto" w:fill="auto"/>
            <w:vAlign w:val="bottom"/>
          </w:tcPr>
          <w:p w14:paraId="71D482F2" w14:textId="77777777" w:rsidR="006A3667" w:rsidRDefault="006A3667">
            <w:pPr>
              <w:rPr>
                <w:rFonts w:ascii="宋体"/>
              </w:rPr>
            </w:pPr>
          </w:p>
        </w:tc>
        <w:tc>
          <w:tcPr>
            <w:tcW w:w="50" w:type="pct"/>
            <w:shd w:val="clear" w:color="auto" w:fill="auto"/>
            <w:vAlign w:val="bottom"/>
          </w:tcPr>
          <w:p w14:paraId="71D482F3" w14:textId="77777777" w:rsidR="006A3667" w:rsidRDefault="006A3667">
            <w:pPr>
              <w:rPr>
                <w:rFonts w:ascii="宋体"/>
              </w:rPr>
            </w:pPr>
          </w:p>
        </w:tc>
        <w:tc>
          <w:tcPr>
            <w:tcW w:w="1240" w:type="pct"/>
            <w:shd w:val="clear" w:color="auto" w:fill="auto"/>
            <w:vAlign w:val="bottom"/>
          </w:tcPr>
          <w:p w14:paraId="71D482F4" w14:textId="77777777" w:rsidR="006A3667" w:rsidRDefault="006A3667">
            <w:pPr>
              <w:rPr>
                <w:rFonts w:ascii="宋体"/>
              </w:rPr>
            </w:pPr>
          </w:p>
        </w:tc>
        <w:tc>
          <w:tcPr>
            <w:tcW w:w="5" w:type="pct"/>
            <w:shd w:val="clear" w:color="auto" w:fill="auto"/>
            <w:vAlign w:val="bottom"/>
          </w:tcPr>
          <w:p w14:paraId="71D482F5" w14:textId="77777777" w:rsidR="006A3667" w:rsidRDefault="006A3667">
            <w:pPr>
              <w:rPr>
                <w:rFonts w:ascii="宋体"/>
              </w:rPr>
            </w:pPr>
          </w:p>
        </w:tc>
        <w:tc>
          <w:tcPr>
            <w:tcW w:w="5" w:type="pct"/>
            <w:shd w:val="clear" w:color="auto" w:fill="auto"/>
            <w:vAlign w:val="bottom"/>
          </w:tcPr>
          <w:p w14:paraId="71D482F6" w14:textId="77777777" w:rsidR="006A3667" w:rsidRDefault="006A3667">
            <w:pPr>
              <w:rPr>
                <w:rFonts w:ascii="宋体"/>
              </w:rPr>
            </w:pPr>
          </w:p>
        </w:tc>
        <w:tc>
          <w:tcPr>
            <w:tcW w:w="19" w:type="pct"/>
            <w:shd w:val="clear" w:color="auto" w:fill="auto"/>
            <w:vAlign w:val="bottom"/>
          </w:tcPr>
          <w:p w14:paraId="71D482F7" w14:textId="77777777" w:rsidR="006A3667" w:rsidRDefault="006A3667">
            <w:pPr>
              <w:rPr>
                <w:rFonts w:ascii="宋体"/>
              </w:rPr>
            </w:pPr>
          </w:p>
        </w:tc>
        <w:tc>
          <w:tcPr>
            <w:tcW w:w="5" w:type="pct"/>
            <w:shd w:val="clear" w:color="auto" w:fill="auto"/>
            <w:vAlign w:val="bottom"/>
          </w:tcPr>
          <w:p w14:paraId="71D482F8" w14:textId="77777777" w:rsidR="006A3667" w:rsidRDefault="006A3667">
            <w:pPr>
              <w:rPr>
                <w:rFonts w:ascii="宋体"/>
              </w:rPr>
            </w:pPr>
          </w:p>
        </w:tc>
        <w:tc>
          <w:tcPr>
            <w:tcW w:w="50" w:type="pct"/>
            <w:shd w:val="clear" w:color="auto" w:fill="auto"/>
            <w:vAlign w:val="bottom"/>
          </w:tcPr>
          <w:p w14:paraId="71D482F9" w14:textId="77777777" w:rsidR="006A3667" w:rsidRDefault="006A3667">
            <w:pPr>
              <w:rPr>
                <w:rFonts w:ascii="宋体"/>
              </w:rPr>
            </w:pPr>
          </w:p>
        </w:tc>
        <w:tc>
          <w:tcPr>
            <w:tcW w:w="1240" w:type="pct"/>
            <w:shd w:val="clear" w:color="auto" w:fill="auto"/>
            <w:vAlign w:val="bottom"/>
          </w:tcPr>
          <w:p w14:paraId="71D482FA" w14:textId="77777777" w:rsidR="006A3667" w:rsidRDefault="006A3667">
            <w:pPr>
              <w:rPr>
                <w:rFonts w:ascii="宋体"/>
              </w:rPr>
            </w:pPr>
          </w:p>
        </w:tc>
        <w:tc>
          <w:tcPr>
            <w:tcW w:w="5" w:type="pct"/>
            <w:shd w:val="clear" w:color="auto" w:fill="auto"/>
            <w:vAlign w:val="bottom"/>
          </w:tcPr>
          <w:p w14:paraId="71D482FB" w14:textId="77777777" w:rsidR="006A3667" w:rsidRDefault="006A3667">
            <w:pPr>
              <w:rPr>
                <w:rFonts w:ascii="宋体"/>
              </w:rPr>
            </w:pPr>
          </w:p>
        </w:tc>
      </w:tr>
      <w:tr w:rsidR="006A3667" w14:paraId="71D48301" w14:textId="77777777">
        <w:tc>
          <w:tcPr>
            <w:tcW w:w="0" w:type="auto"/>
            <w:gridSpan w:val="3"/>
            <w:shd w:val="clear" w:color="auto" w:fill="auto"/>
            <w:tcMar>
              <w:top w:w="40" w:type="dxa"/>
              <w:left w:w="20" w:type="dxa"/>
              <w:bottom w:w="40" w:type="dxa"/>
              <w:right w:w="20" w:type="dxa"/>
            </w:tcMar>
            <w:vAlign w:val="bottom"/>
          </w:tcPr>
          <w:p w14:paraId="71D482FD" w14:textId="77777777" w:rsidR="006A3667" w:rsidRDefault="00045F32">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shd w:val="clear" w:color="auto" w:fill="auto"/>
            <w:tcMar>
              <w:top w:w="40" w:type="dxa"/>
              <w:left w:w="20" w:type="dxa"/>
              <w:bottom w:w="40" w:type="dxa"/>
              <w:right w:w="20" w:type="dxa"/>
            </w:tcMar>
            <w:vAlign w:val="bottom"/>
          </w:tcPr>
          <w:p w14:paraId="71D482FE" w14:textId="77777777" w:rsidR="006A3667" w:rsidRDefault="00045F32">
            <w:pPr>
              <w:jc w:val="center"/>
              <w:textAlignment w:val="bottom"/>
            </w:pPr>
            <w:r>
              <w:rPr>
                <w:rFonts w:ascii="Arial" w:eastAsia="宋体" w:hAnsi="Arial" w:cs="Arial"/>
                <w:b/>
                <w:bCs/>
                <w:color w:val="000000"/>
                <w:sz w:val="14"/>
                <w:szCs w:val="14"/>
              </w:rPr>
              <w:t>September 30, 2022</w:t>
            </w:r>
          </w:p>
        </w:tc>
        <w:tc>
          <w:tcPr>
            <w:tcW w:w="0" w:type="auto"/>
            <w:gridSpan w:val="3"/>
            <w:shd w:val="clear" w:color="auto" w:fill="auto"/>
            <w:tcMar>
              <w:top w:w="0" w:type="dxa"/>
              <w:left w:w="20" w:type="dxa"/>
              <w:bottom w:w="0" w:type="dxa"/>
              <w:right w:w="20" w:type="dxa"/>
            </w:tcMar>
            <w:vAlign w:val="bottom"/>
          </w:tcPr>
          <w:p w14:paraId="71D482F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00" w14:textId="77777777" w:rsidR="006A3667" w:rsidRDefault="00045F32">
            <w:pPr>
              <w:jc w:val="center"/>
              <w:textAlignment w:val="bottom"/>
            </w:pPr>
            <w:r>
              <w:rPr>
                <w:rFonts w:ascii="Arial" w:eastAsia="宋体" w:hAnsi="Arial" w:cs="Arial"/>
                <w:b/>
                <w:bCs/>
                <w:color w:val="000000"/>
                <w:sz w:val="14"/>
                <w:szCs w:val="14"/>
              </w:rPr>
              <w:t>December 31, 2021</w:t>
            </w:r>
          </w:p>
        </w:tc>
      </w:tr>
      <w:tr w:rsidR="006A3667" w14:paraId="71D4830A" w14:textId="77777777">
        <w:tc>
          <w:tcPr>
            <w:tcW w:w="0" w:type="auto"/>
            <w:gridSpan w:val="3"/>
            <w:shd w:val="clear" w:color="auto" w:fill="CCEEFF"/>
            <w:tcMar>
              <w:top w:w="40" w:type="dxa"/>
              <w:left w:w="20" w:type="dxa"/>
              <w:bottom w:w="40" w:type="dxa"/>
              <w:right w:w="20" w:type="dxa"/>
            </w:tcMar>
            <w:vAlign w:val="bottom"/>
          </w:tcPr>
          <w:p w14:paraId="71D48302" w14:textId="77777777" w:rsidR="006A3667" w:rsidRDefault="00045F32">
            <w:pPr>
              <w:textAlignment w:val="bottom"/>
            </w:pPr>
            <w:r>
              <w:rPr>
                <w:rFonts w:ascii="Arial" w:eastAsia="宋体" w:hAnsi="Arial" w:cs="Arial"/>
                <w:color w:val="000000"/>
                <w:sz w:val="14"/>
                <w:szCs w:val="14"/>
              </w:rPr>
              <w:t>Fair value of 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8303"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304" w14:textId="77777777" w:rsidR="006A3667" w:rsidRDefault="00045F32">
            <w:pPr>
              <w:jc w:val="right"/>
              <w:textAlignment w:val="bottom"/>
            </w:pPr>
            <w:r>
              <w:rPr>
                <w:rFonts w:ascii="Arial" w:eastAsia="宋体" w:hAnsi="Arial" w:cs="Arial"/>
                <w:b/>
                <w:bCs/>
                <w:color w:val="000000"/>
                <w:sz w:val="14"/>
                <w:szCs w:val="14"/>
              </w:rPr>
              <w:t>339,548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3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30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307"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308" w14:textId="77777777" w:rsidR="006A3667" w:rsidRDefault="00045F32">
            <w:pPr>
              <w:jc w:val="right"/>
              <w:textAlignment w:val="bottom"/>
            </w:pPr>
            <w:r>
              <w:rPr>
                <w:rFonts w:ascii="Arial" w:eastAsia="宋体" w:hAnsi="Arial" w:cs="Arial"/>
                <w:color w:val="000000"/>
                <w:sz w:val="14"/>
                <w:szCs w:val="14"/>
              </w:rPr>
              <w:t>385,740 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309" w14:textId="77777777" w:rsidR="006A3667" w:rsidRDefault="006A3667">
            <w:pPr>
              <w:jc w:val="right"/>
              <w:rPr>
                <w:rFonts w:ascii="宋体"/>
              </w:rPr>
            </w:pPr>
          </w:p>
        </w:tc>
      </w:tr>
      <w:tr w:rsidR="006A3667" w14:paraId="71D48311" w14:textId="77777777">
        <w:tc>
          <w:tcPr>
            <w:tcW w:w="0" w:type="auto"/>
            <w:gridSpan w:val="3"/>
            <w:shd w:val="clear" w:color="auto" w:fill="FFFFFF"/>
            <w:tcMar>
              <w:top w:w="40" w:type="dxa"/>
              <w:left w:w="20" w:type="dxa"/>
              <w:bottom w:w="40" w:type="dxa"/>
              <w:right w:w="20" w:type="dxa"/>
            </w:tcMar>
            <w:vAlign w:val="bottom"/>
          </w:tcPr>
          <w:p w14:paraId="71D4830B" w14:textId="77777777" w:rsidR="006A3667" w:rsidRDefault="00045F32">
            <w:pPr>
              <w:textAlignment w:val="bottom"/>
            </w:pPr>
            <w:r>
              <w:rPr>
                <w:rFonts w:ascii="Arial" w:eastAsia="宋体" w:hAnsi="Arial" w:cs="Arial"/>
                <w:color w:val="000000"/>
                <w:sz w:val="14"/>
                <w:szCs w:val="14"/>
              </w:rPr>
              <w:t>Fair value of cash and securities held by us, as agent, as collateral for indemnified securities financing</w:t>
            </w:r>
          </w:p>
        </w:tc>
        <w:tc>
          <w:tcPr>
            <w:tcW w:w="0" w:type="auto"/>
            <w:gridSpan w:val="2"/>
            <w:shd w:val="clear" w:color="auto" w:fill="auto"/>
            <w:tcMar>
              <w:top w:w="40" w:type="dxa"/>
              <w:left w:w="20" w:type="dxa"/>
              <w:bottom w:w="40" w:type="dxa"/>
              <w:right w:w="0" w:type="dxa"/>
            </w:tcMar>
            <w:vAlign w:val="bottom"/>
          </w:tcPr>
          <w:p w14:paraId="71D4830C" w14:textId="77777777" w:rsidR="006A3667" w:rsidRDefault="00045F32">
            <w:pPr>
              <w:jc w:val="right"/>
              <w:textAlignment w:val="bottom"/>
            </w:pPr>
            <w:r>
              <w:rPr>
                <w:rFonts w:ascii="Arial" w:eastAsia="宋体" w:hAnsi="Arial" w:cs="Arial"/>
                <w:b/>
                <w:bCs/>
                <w:color w:val="000000"/>
                <w:sz w:val="14"/>
                <w:szCs w:val="14"/>
              </w:rPr>
              <w:t>355,848</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71D483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3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30F" w14:textId="77777777" w:rsidR="006A3667" w:rsidRDefault="00045F32">
            <w:pPr>
              <w:jc w:val="right"/>
              <w:textAlignment w:val="bottom"/>
            </w:pPr>
            <w:r>
              <w:rPr>
                <w:rFonts w:ascii="Arial" w:eastAsia="宋体" w:hAnsi="Arial" w:cs="Arial"/>
                <w:color w:val="000000"/>
                <w:sz w:val="14"/>
                <w:szCs w:val="14"/>
              </w:rPr>
              <w:t>404,121 </w:t>
            </w:r>
          </w:p>
        </w:tc>
        <w:tc>
          <w:tcPr>
            <w:tcW w:w="0" w:type="auto"/>
            <w:shd w:val="clear" w:color="auto" w:fill="FFFFFF"/>
            <w:tcMar>
              <w:top w:w="40" w:type="dxa"/>
              <w:left w:w="0" w:type="dxa"/>
              <w:bottom w:w="40" w:type="dxa"/>
              <w:right w:w="20" w:type="dxa"/>
            </w:tcMar>
            <w:vAlign w:val="bottom"/>
          </w:tcPr>
          <w:p w14:paraId="71D48310" w14:textId="77777777" w:rsidR="006A3667" w:rsidRDefault="006A3667">
            <w:pPr>
              <w:jc w:val="right"/>
              <w:rPr>
                <w:rFonts w:ascii="宋体"/>
              </w:rPr>
            </w:pPr>
          </w:p>
        </w:tc>
      </w:tr>
      <w:tr w:rsidR="006A3667" w14:paraId="71D48318" w14:textId="77777777">
        <w:tc>
          <w:tcPr>
            <w:tcW w:w="0" w:type="auto"/>
            <w:gridSpan w:val="3"/>
            <w:shd w:val="clear" w:color="auto" w:fill="CCEEFF"/>
            <w:tcMar>
              <w:top w:w="40" w:type="dxa"/>
              <w:left w:w="20" w:type="dxa"/>
              <w:bottom w:w="40" w:type="dxa"/>
              <w:right w:w="20" w:type="dxa"/>
            </w:tcMar>
            <w:vAlign w:val="bottom"/>
          </w:tcPr>
          <w:p w14:paraId="71D48312" w14:textId="77777777" w:rsidR="006A3667" w:rsidRDefault="00045F32">
            <w:pPr>
              <w:textAlignment w:val="bottom"/>
            </w:pPr>
            <w:r>
              <w:rPr>
                <w:rFonts w:ascii="Arial" w:eastAsia="宋体" w:hAnsi="Arial" w:cs="Arial"/>
                <w:color w:val="000000"/>
                <w:sz w:val="14"/>
                <w:szCs w:val="14"/>
              </w:rPr>
              <w:t>Fair value of collateral for indemnified securities financing invested in indemnified repurchase agreements</w:t>
            </w:r>
          </w:p>
        </w:tc>
        <w:tc>
          <w:tcPr>
            <w:tcW w:w="0" w:type="auto"/>
            <w:gridSpan w:val="2"/>
            <w:shd w:val="clear" w:color="auto" w:fill="CCEEFF"/>
            <w:tcMar>
              <w:top w:w="40" w:type="dxa"/>
              <w:left w:w="20" w:type="dxa"/>
              <w:bottom w:w="40" w:type="dxa"/>
              <w:right w:w="0" w:type="dxa"/>
            </w:tcMar>
            <w:vAlign w:val="bottom"/>
          </w:tcPr>
          <w:p w14:paraId="71D48313" w14:textId="77777777" w:rsidR="006A3667" w:rsidRDefault="00045F32">
            <w:pPr>
              <w:jc w:val="right"/>
              <w:textAlignment w:val="bottom"/>
            </w:pPr>
            <w:r>
              <w:rPr>
                <w:rFonts w:ascii="Arial" w:eastAsia="宋体" w:hAnsi="Arial" w:cs="Arial"/>
                <w:b/>
                <w:bCs/>
                <w:color w:val="000000"/>
                <w:sz w:val="14"/>
                <w:szCs w:val="14"/>
              </w:rPr>
              <w:t>59,787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31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31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316" w14:textId="77777777" w:rsidR="006A3667" w:rsidRDefault="00045F32">
            <w:pPr>
              <w:jc w:val="right"/>
              <w:textAlignment w:val="bottom"/>
            </w:pPr>
            <w:r>
              <w:rPr>
                <w:rFonts w:ascii="Arial" w:eastAsia="宋体" w:hAnsi="Arial" w:cs="Arial"/>
                <w:color w:val="000000"/>
                <w:sz w:val="14"/>
                <w:szCs w:val="14"/>
              </w:rPr>
              <w:t>61,560 </w:t>
            </w:r>
          </w:p>
        </w:tc>
        <w:tc>
          <w:tcPr>
            <w:tcW w:w="0" w:type="auto"/>
            <w:shd w:val="clear" w:color="auto" w:fill="CCEEFF"/>
            <w:tcMar>
              <w:top w:w="40" w:type="dxa"/>
              <w:left w:w="0" w:type="dxa"/>
              <w:bottom w:w="40" w:type="dxa"/>
              <w:right w:w="20" w:type="dxa"/>
            </w:tcMar>
            <w:vAlign w:val="bottom"/>
          </w:tcPr>
          <w:p w14:paraId="71D48317" w14:textId="77777777" w:rsidR="006A3667" w:rsidRDefault="006A3667">
            <w:pPr>
              <w:jc w:val="right"/>
              <w:rPr>
                <w:rFonts w:ascii="宋体"/>
              </w:rPr>
            </w:pPr>
          </w:p>
        </w:tc>
      </w:tr>
      <w:tr w:rsidR="006A3667" w14:paraId="71D4831F" w14:textId="77777777">
        <w:tc>
          <w:tcPr>
            <w:tcW w:w="0" w:type="auto"/>
            <w:gridSpan w:val="3"/>
            <w:shd w:val="clear" w:color="auto" w:fill="FFFFFF"/>
            <w:tcMar>
              <w:top w:w="40" w:type="dxa"/>
              <w:left w:w="20" w:type="dxa"/>
              <w:bottom w:w="40" w:type="dxa"/>
              <w:right w:w="20" w:type="dxa"/>
            </w:tcMar>
            <w:vAlign w:val="bottom"/>
          </w:tcPr>
          <w:p w14:paraId="71D48319" w14:textId="77777777" w:rsidR="006A3667" w:rsidRDefault="00045F32">
            <w:pPr>
              <w:textAlignment w:val="bottom"/>
            </w:pPr>
            <w:r>
              <w:rPr>
                <w:rFonts w:ascii="Arial" w:eastAsia="宋体" w:hAnsi="Arial" w:cs="Arial"/>
                <w:color w:val="000000"/>
                <w:sz w:val="14"/>
                <w:szCs w:val="14"/>
              </w:rPr>
              <w:t xml:space="preserve">Fair value of cash and securities held by us or our agents as collateral for investments in indemnified repurchase </w:t>
            </w:r>
            <w:r>
              <w:rPr>
                <w:rFonts w:ascii="Arial" w:eastAsia="宋体" w:hAnsi="Arial" w:cs="Arial"/>
                <w:color w:val="000000"/>
                <w:sz w:val="14"/>
                <w:szCs w:val="14"/>
              </w:rPr>
              <w:t>agreements</w:t>
            </w:r>
          </w:p>
        </w:tc>
        <w:tc>
          <w:tcPr>
            <w:tcW w:w="0" w:type="auto"/>
            <w:gridSpan w:val="2"/>
            <w:shd w:val="clear" w:color="auto" w:fill="auto"/>
            <w:tcMar>
              <w:top w:w="40" w:type="dxa"/>
              <w:left w:w="20" w:type="dxa"/>
              <w:bottom w:w="40" w:type="dxa"/>
              <w:right w:w="0" w:type="dxa"/>
            </w:tcMar>
            <w:vAlign w:val="bottom"/>
          </w:tcPr>
          <w:p w14:paraId="71D4831A" w14:textId="77777777" w:rsidR="006A3667" w:rsidRDefault="00045F32">
            <w:pPr>
              <w:jc w:val="right"/>
              <w:textAlignment w:val="bottom"/>
            </w:pPr>
            <w:r>
              <w:rPr>
                <w:rFonts w:ascii="Arial" w:eastAsia="宋体" w:hAnsi="Arial" w:cs="Arial"/>
                <w:b/>
                <w:bCs/>
                <w:color w:val="000000"/>
                <w:sz w:val="14"/>
                <w:szCs w:val="14"/>
              </w:rPr>
              <w:t>64,515</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71D4831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31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31D" w14:textId="77777777" w:rsidR="006A3667" w:rsidRDefault="00045F32">
            <w:pPr>
              <w:jc w:val="right"/>
              <w:textAlignment w:val="bottom"/>
            </w:pPr>
            <w:r>
              <w:rPr>
                <w:rFonts w:ascii="Arial" w:eastAsia="宋体" w:hAnsi="Arial" w:cs="Arial"/>
                <w:color w:val="000000"/>
                <w:sz w:val="14"/>
                <w:szCs w:val="14"/>
              </w:rPr>
              <w:t>67,014 </w:t>
            </w:r>
          </w:p>
        </w:tc>
        <w:tc>
          <w:tcPr>
            <w:tcW w:w="0" w:type="auto"/>
            <w:shd w:val="clear" w:color="auto" w:fill="FFFFFF"/>
            <w:tcMar>
              <w:top w:w="40" w:type="dxa"/>
              <w:left w:w="0" w:type="dxa"/>
              <w:bottom w:w="40" w:type="dxa"/>
              <w:right w:w="20" w:type="dxa"/>
            </w:tcMar>
            <w:vAlign w:val="bottom"/>
          </w:tcPr>
          <w:p w14:paraId="71D4831E" w14:textId="77777777" w:rsidR="006A3667" w:rsidRDefault="006A3667">
            <w:pPr>
              <w:jc w:val="right"/>
              <w:rPr>
                <w:rFonts w:ascii="宋体"/>
              </w:rPr>
            </w:pPr>
          </w:p>
        </w:tc>
      </w:tr>
    </w:tbl>
    <w:p w14:paraId="71D48320" w14:textId="77777777" w:rsidR="006A3667" w:rsidRDefault="00045F32">
      <w:pPr>
        <w:spacing w:before="60"/>
        <w:ind w:firstLine="450"/>
        <w:jc w:val="both"/>
      </w:pPr>
      <w:r>
        <w:rPr>
          <w:rFonts w:ascii="Arial" w:eastAsia="宋体" w:hAnsi="Arial" w:cs="Arial"/>
          <w:color w:val="000000"/>
          <w:sz w:val="20"/>
          <w:szCs w:val="20"/>
        </w:rPr>
        <w:t xml:space="preserve">In certain cases, we participate in securities finance transactions as a principal. As a principal, we borrow securities from the lending client and then lend such securities to the subsequent borrower, either our </w:t>
      </w:r>
      <w:r>
        <w:rPr>
          <w:rFonts w:ascii="Arial" w:eastAsia="宋体" w:hAnsi="Arial" w:cs="Arial"/>
          <w:color w:val="000000"/>
          <w:sz w:val="20"/>
          <w:szCs w:val="20"/>
        </w:rPr>
        <w:t>client or a broker/dealer. Our right to receive and obligation to return collateral in connection with our securities lending transactions are recorded in other assets and other liabilities, respectively, in our consolidated statement of condition. As of S</w:t>
      </w:r>
      <w:r>
        <w:rPr>
          <w:rFonts w:ascii="Arial" w:eastAsia="宋体" w:hAnsi="Arial" w:cs="Arial"/>
          <w:color w:val="000000"/>
          <w:sz w:val="20"/>
          <w:szCs w:val="20"/>
        </w:rPr>
        <w:t>eptember 30, 2022 and December 31, 2021, we had approximately $16.89 billion and $22.30 billion, respectively, of collateral provided and approximately $3.77 billion and $4.04 billion, respectively, of collateral received from clients in connection with ou</w:t>
      </w:r>
      <w:r>
        <w:rPr>
          <w:rFonts w:ascii="Arial" w:eastAsia="宋体" w:hAnsi="Arial" w:cs="Arial"/>
          <w:color w:val="000000"/>
          <w:sz w:val="20"/>
          <w:szCs w:val="20"/>
        </w:rPr>
        <w:t>r participation in principal securities finance transactions.</w:t>
      </w:r>
    </w:p>
    <w:p w14:paraId="71D48321" w14:textId="77777777" w:rsidR="006A3667" w:rsidRDefault="00045F32">
      <w:pPr>
        <w:ind w:firstLine="450"/>
        <w:jc w:val="right"/>
      </w:pPr>
      <w:r>
        <w:rPr>
          <w:rFonts w:ascii="Arial" w:eastAsia="宋体" w:hAnsi="Arial" w:cs="Arial"/>
          <w:color w:val="000000"/>
          <w:sz w:val="18"/>
          <w:szCs w:val="18"/>
        </w:rPr>
        <w:t>State Street Corporation | 83</w:t>
      </w:r>
    </w:p>
    <w:p w14:paraId="71D48322" w14:textId="77777777" w:rsidR="006A3667" w:rsidRDefault="006A3667">
      <w:pPr>
        <w:ind w:firstLine="450"/>
        <w:jc w:val="center"/>
      </w:pPr>
    </w:p>
    <w:p w14:paraId="71D48323" w14:textId="77777777" w:rsidR="006A3667" w:rsidRDefault="00045F32">
      <w:r>
        <w:pict w14:anchorId="71D4AC67">
          <v:rect id="_x0000_i1107" style="width:415.3pt;height:1.5pt" o:hralign="center" o:hrstd="t" o:hr="t" fillcolor="#a0a0a0" stroked="f"/>
        </w:pict>
      </w:r>
    </w:p>
    <w:p w14:paraId="71D48324" w14:textId="77777777" w:rsidR="006A3667" w:rsidRDefault="00045F32">
      <w:pPr>
        <w:ind w:firstLine="450"/>
        <w:jc w:val="center"/>
      </w:pPr>
      <w:r>
        <w:rPr>
          <w:rFonts w:ascii="Arial" w:eastAsia="宋体" w:hAnsi="Arial" w:cs="Arial"/>
          <w:b/>
          <w:bCs/>
          <w:color w:val="000000"/>
          <w:sz w:val="20"/>
          <w:szCs w:val="20"/>
        </w:rPr>
        <w:t>STATE STREET CORPORATION</w:t>
      </w:r>
    </w:p>
    <w:p w14:paraId="71D48325"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8326" w14:textId="77777777" w:rsidR="006A3667" w:rsidRDefault="00045F32">
      <w:pPr>
        <w:ind w:firstLine="450"/>
        <w:jc w:val="center"/>
      </w:pPr>
      <w:r>
        <w:rPr>
          <w:rFonts w:ascii="Arial" w:eastAsia="宋体" w:hAnsi="Arial" w:cs="Arial"/>
          <w:b/>
          <w:bCs/>
          <w:color w:val="000000"/>
          <w:sz w:val="20"/>
          <w:szCs w:val="20"/>
        </w:rPr>
        <w:t>(UNAUDITED)</w:t>
      </w:r>
    </w:p>
    <w:p w14:paraId="71D48327" w14:textId="77777777" w:rsidR="006A3667" w:rsidRDefault="00045F32">
      <w:pPr>
        <w:spacing w:before="60"/>
        <w:jc w:val="both"/>
        <w:textAlignment w:val="top"/>
      </w:pPr>
      <w:r>
        <w:rPr>
          <w:rFonts w:ascii="Arial" w:eastAsia="宋体" w:hAnsi="Arial" w:cs="Arial"/>
          <w:i/>
          <w:iCs/>
          <w:color w:val="000000"/>
          <w:sz w:val="20"/>
          <w:szCs w:val="20"/>
        </w:rPr>
        <w:t>FICC Guarantee</w:t>
      </w:r>
    </w:p>
    <w:p w14:paraId="71D48328" w14:textId="77777777" w:rsidR="006A3667" w:rsidRDefault="00045F32">
      <w:pPr>
        <w:spacing w:before="60"/>
        <w:ind w:firstLine="450"/>
        <w:jc w:val="both"/>
        <w:textAlignment w:val="top"/>
      </w:pPr>
      <w:r>
        <w:rPr>
          <w:rFonts w:ascii="Arial" w:eastAsia="宋体" w:hAnsi="Arial" w:cs="Arial"/>
          <w:color w:val="000000"/>
          <w:sz w:val="20"/>
          <w:szCs w:val="20"/>
        </w:rPr>
        <w:t xml:space="preserve">As a sponsoring member in the FICC member </w:t>
      </w:r>
      <w:r>
        <w:rPr>
          <w:rFonts w:ascii="Arial" w:eastAsia="宋体" w:hAnsi="Arial" w:cs="Arial"/>
          <w:color w:val="000000"/>
          <w:sz w:val="20"/>
          <w:szCs w:val="20"/>
        </w:rPr>
        <w:t>program, we provide a guarantee to FICC in the event a customer fails to perform its obligations under a transaction. In order to minimize the risk associated with this guarantee, sponsored members acting as buyers generally grant a security interest in th</w:t>
      </w:r>
      <w:r>
        <w:rPr>
          <w:rFonts w:ascii="Arial" w:eastAsia="宋体" w:hAnsi="Arial" w:cs="Arial"/>
          <w:color w:val="000000"/>
          <w:sz w:val="20"/>
          <w:szCs w:val="20"/>
        </w:rPr>
        <w:t>e subject securities received under and held on their behalf by State Street. For additional information on our repurchase and reverse repurchase agreements, please refer to Note 8 to the consolidated financial statements in this Form 10-Q.</w:t>
      </w:r>
    </w:p>
    <w:p w14:paraId="71D48329" w14:textId="77777777" w:rsidR="006A3667" w:rsidRDefault="00045F32">
      <w:pPr>
        <w:spacing w:before="180"/>
        <w:textAlignment w:val="top"/>
      </w:pPr>
      <w:r>
        <w:rPr>
          <w:rFonts w:ascii="Arial" w:eastAsia="宋体" w:hAnsi="Arial" w:cs="Arial"/>
          <w:b/>
          <w:bCs/>
          <w:color w:val="000000"/>
          <w:sz w:val="20"/>
          <w:szCs w:val="20"/>
        </w:rPr>
        <w:t>Note 10.    Con</w:t>
      </w:r>
      <w:r>
        <w:rPr>
          <w:rFonts w:ascii="Arial" w:eastAsia="宋体" w:hAnsi="Arial" w:cs="Arial"/>
          <w:b/>
          <w:bCs/>
          <w:color w:val="000000"/>
          <w:sz w:val="20"/>
          <w:szCs w:val="20"/>
        </w:rPr>
        <w:t>tingencies</w:t>
      </w:r>
    </w:p>
    <w:p w14:paraId="71D4832A" w14:textId="77777777" w:rsidR="006A3667" w:rsidRDefault="00045F32">
      <w:pPr>
        <w:spacing w:before="60"/>
        <w:textAlignment w:val="top"/>
      </w:pPr>
      <w:r>
        <w:rPr>
          <w:rFonts w:ascii="Arial" w:eastAsia="宋体" w:hAnsi="Arial" w:cs="Arial"/>
          <w:b/>
          <w:bCs/>
          <w:i/>
          <w:iCs/>
          <w:color w:val="000000"/>
          <w:sz w:val="20"/>
          <w:szCs w:val="20"/>
        </w:rPr>
        <w:t>Legal and Regulatory Matters</w:t>
      </w:r>
    </w:p>
    <w:p w14:paraId="71D4832B" w14:textId="77777777" w:rsidR="006A3667" w:rsidRDefault="00045F32">
      <w:pPr>
        <w:spacing w:before="60"/>
        <w:ind w:firstLine="450"/>
        <w:jc w:val="both"/>
        <w:textAlignment w:val="top"/>
      </w:pPr>
      <w:r>
        <w:rPr>
          <w:rFonts w:ascii="Arial" w:eastAsia="宋体" w:hAnsi="Arial" w:cs="Arial"/>
          <w:color w:val="000000"/>
          <w:sz w:val="20"/>
          <w:szCs w:val="20"/>
        </w:rPr>
        <w:t>In the ordinary course of business, we and our subsidiaries are involved in disputes, litigation, and governmental or regulatory inquiries and investigations, both pending and threatened. These matters, if resolved a</w:t>
      </w:r>
      <w:r>
        <w:rPr>
          <w:rFonts w:ascii="Arial" w:eastAsia="宋体" w:hAnsi="Arial" w:cs="Arial"/>
          <w:color w:val="000000"/>
          <w:sz w:val="20"/>
          <w:szCs w:val="20"/>
        </w:rPr>
        <w:t xml:space="preserve">dversely against us or settled, may result in monetary awards or payments, fines and penalties or require changes in our business practices. The resolution or settlement of these matters is inherently difficult to predict. Based on our assessment of these </w:t>
      </w:r>
      <w:r>
        <w:rPr>
          <w:rFonts w:ascii="Arial" w:eastAsia="宋体" w:hAnsi="Arial" w:cs="Arial"/>
          <w:color w:val="000000"/>
          <w:sz w:val="20"/>
          <w:szCs w:val="20"/>
        </w:rPr>
        <w:t>pending matters, we do not believe that the amount of any judgment, settlement or other action arising from any pending matter is likely to have a material adverse effect on our consolidated financial condition. However, an adverse outcome or development i</w:t>
      </w:r>
      <w:r>
        <w:rPr>
          <w:rFonts w:ascii="Arial" w:eastAsia="宋体" w:hAnsi="Arial" w:cs="Arial"/>
          <w:color w:val="000000"/>
          <w:sz w:val="20"/>
          <w:szCs w:val="20"/>
        </w:rPr>
        <w:t>n certain of the matters described below could have a material adverse effect on our consolidated results of operations for the period in which such matter is resolved, or an accrual is determined to be required, on our consolidated financial condition, or</w:t>
      </w:r>
      <w:r>
        <w:rPr>
          <w:rFonts w:ascii="Arial" w:eastAsia="宋体" w:hAnsi="Arial" w:cs="Arial"/>
          <w:color w:val="000000"/>
          <w:sz w:val="20"/>
          <w:szCs w:val="20"/>
        </w:rPr>
        <w:t xml:space="preserve"> on our reputation. </w:t>
      </w:r>
    </w:p>
    <w:p w14:paraId="71D4832C" w14:textId="77777777" w:rsidR="006A3667" w:rsidRDefault="00045F32">
      <w:pPr>
        <w:spacing w:before="60"/>
        <w:ind w:firstLine="450"/>
        <w:jc w:val="both"/>
        <w:textAlignment w:val="top"/>
      </w:pPr>
      <w:r>
        <w:rPr>
          <w:rFonts w:ascii="Arial" w:eastAsia="宋体" w:hAnsi="Arial" w:cs="Arial"/>
          <w:color w:val="000000"/>
          <w:sz w:val="20"/>
          <w:szCs w:val="20"/>
        </w:rPr>
        <w:t>We evaluate our needs for accruals of loss contingencies related to legal and regulatory proceedings on a case-by-case basis. When we have a liability that we deem probable, and we deem the amount of such liability can be reasonably es</w:t>
      </w:r>
      <w:r>
        <w:rPr>
          <w:rFonts w:ascii="Arial" w:eastAsia="宋体" w:hAnsi="Arial" w:cs="Arial"/>
          <w:color w:val="000000"/>
          <w:sz w:val="20"/>
          <w:szCs w:val="20"/>
        </w:rPr>
        <w:t>timated as of the date of our consolidated financial statements, we accrue our estimate of the amount of loss. We also consider a loss probable and establish an accrual when we make, or intend to make, an offer of settlement. Once established, an accrual i</w:t>
      </w:r>
      <w:r>
        <w:rPr>
          <w:rFonts w:ascii="Arial" w:eastAsia="宋体" w:hAnsi="Arial" w:cs="Arial"/>
          <w:color w:val="000000"/>
          <w:sz w:val="20"/>
          <w:szCs w:val="20"/>
        </w:rPr>
        <w:t xml:space="preserve">s subject to subsequent adjustment as a result of additional information. The resolution of legal and regulatory proceedings and the amount of reasonably estimable loss (or range thereof) are inherently difficult to predict, especially in the early stages </w:t>
      </w:r>
      <w:r>
        <w:rPr>
          <w:rFonts w:ascii="Arial" w:eastAsia="宋体" w:hAnsi="Arial" w:cs="Arial"/>
          <w:color w:val="000000"/>
          <w:sz w:val="20"/>
          <w:szCs w:val="20"/>
        </w:rPr>
        <w:t xml:space="preserve">of proceedings. Even if a loss is probable, an amount (or range) of loss might not be reasonably estimated until the later stages of the proceeding due to many factors such as the presence of complex or novel legal theories, the discretion of governmental </w:t>
      </w:r>
      <w:r>
        <w:rPr>
          <w:rFonts w:ascii="Arial" w:eastAsia="宋体" w:hAnsi="Arial" w:cs="Arial"/>
          <w:color w:val="000000"/>
          <w:sz w:val="20"/>
          <w:szCs w:val="20"/>
        </w:rPr>
        <w:t xml:space="preserve">authorities in seeking sanctions or negotiating resolutions in civil and criminal matters, the pace and timing of discovery </w:t>
      </w:r>
    </w:p>
    <w:p w14:paraId="71D4832D" w14:textId="77777777" w:rsidR="006A3667" w:rsidRDefault="00045F32">
      <w:pPr>
        <w:spacing w:before="60"/>
        <w:jc w:val="both"/>
        <w:textAlignment w:val="top"/>
      </w:pPr>
      <w:r>
        <w:rPr>
          <w:rFonts w:ascii="Arial" w:eastAsia="宋体" w:hAnsi="Arial" w:cs="Arial"/>
          <w:color w:val="000000"/>
          <w:sz w:val="20"/>
          <w:szCs w:val="20"/>
        </w:rPr>
        <w:t>and other assessments of facts and the procedural posture of the matter (collectively, "factors influencing reasonable estimates").</w:t>
      </w:r>
      <w:r>
        <w:rPr>
          <w:rFonts w:ascii="Arial" w:eastAsia="宋体" w:hAnsi="Arial" w:cs="Arial"/>
          <w:color w:val="000000"/>
          <w:sz w:val="20"/>
          <w:szCs w:val="20"/>
        </w:rPr>
        <w:t xml:space="preserve"> </w:t>
      </w:r>
    </w:p>
    <w:p w14:paraId="71D4832E" w14:textId="77777777" w:rsidR="006A3667" w:rsidRDefault="00045F32">
      <w:pPr>
        <w:spacing w:before="60"/>
        <w:ind w:firstLine="450"/>
        <w:jc w:val="both"/>
        <w:textAlignment w:val="top"/>
      </w:pPr>
      <w:r>
        <w:rPr>
          <w:rFonts w:ascii="Arial" w:eastAsia="宋体" w:hAnsi="Arial" w:cs="Arial"/>
          <w:color w:val="000000"/>
          <w:sz w:val="20"/>
          <w:szCs w:val="20"/>
        </w:rPr>
        <w:t xml:space="preserve">As of September 30, 2022, our aggregate accruals for loss contingencies for legal, regulatory and related matters totaled approximately </w:t>
      </w:r>
      <w:r>
        <w:rPr>
          <w:rFonts w:ascii="Arial" w:eastAsia="宋体" w:hAnsi="Arial" w:cs="Arial"/>
          <w:color w:val="000000"/>
          <w:sz w:val="20"/>
          <w:szCs w:val="20"/>
          <w:shd w:val="clear" w:color="auto" w:fill="FFFFFF"/>
        </w:rPr>
        <w:t>$15 million</w:t>
      </w:r>
      <w:r>
        <w:rPr>
          <w:rFonts w:ascii="Arial" w:eastAsia="宋体" w:hAnsi="Arial" w:cs="Arial"/>
          <w:color w:val="000000"/>
          <w:sz w:val="20"/>
          <w:szCs w:val="20"/>
        </w:rPr>
        <w:t>, including potential fines by government agencies and civil litigation with respect to the matters specifi</w:t>
      </w:r>
      <w:r>
        <w:rPr>
          <w:rFonts w:ascii="Arial" w:eastAsia="宋体" w:hAnsi="Arial" w:cs="Arial"/>
          <w:color w:val="000000"/>
          <w:sz w:val="20"/>
          <w:szCs w:val="20"/>
        </w:rPr>
        <w:t xml:space="preserve">cally discussed below. To the extent that we have established accruals in our consolidated statement of condition for probable loss contingencies, such accruals may not be sufficient to cover our ultimate financial exposure associated with any settlements </w:t>
      </w:r>
      <w:r>
        <w:rPr>
          <w:rFonts w:ascii="Arial" w:eastAsia="宋体" w:hAnsi="Arial" w:cs="Arial"/>
          <w:color w:val="000000"/>
          <w:sz w:val="20"/>
          <w:szCs w:val="20"/>
        </w:rPr>
        <w:t xml:space="preserve">or judgments. Any such ultimate financial exposure, or proceedings to which we may become subject in the future, could have a material adverse effect on our businesses, on our future consolidated financial statements or on our reputation. </w:t>
      </w:r>
    </w:p>
    <w:p w14:paraId="71D4832F" w14:textId="77777777" w:rsidR="006A3667" w:rsidRDefault="00045F32">
      <w:pPr>
        <w:spacing w:before="60"/>
        <w:ind w:firstLine="450"/>
        <w:jc w:val="both"/>
        <w:textAlignment w:val="top"/>
      </w:pPr>
      <w:r>
        <w:rPr>
          <w:rFonts w:ascii="Arial" w:eastAsia="宋体" w:hAnsi="Arial" w:cs="Arial"/>
          <w:color w:val="000000"/>
          <w:sz w:val="20"/>
          <w:szCs w:val="20"/>
        </w:rPr>
        <w:t>As of September </w:t>
      </w:r>
      <w:r>
        <w:rPr>
          <w:rFonts w:ascii="Arial" w:eastAsia="宋体" w:hAnsi="Arial" w:cs="Arial"/>
          <w:color w:val="000000"/>
          <w:sz w:val="20"/>
          <w:szCs w:val="20"/>
        </w:rPr>
        <w:t>30, 2022, for those matters for which we have accrued probable loss contingencies (including the Invoicing Matter described below) and for other matters for which loss is reasonably possible (but not probable) in future periods, and for which we are able t</w:t>
      </w:r>
      <w:r>
        <w:rPr>
          <w:rFonts w:ascii="Arial" w:eastAsia="宋体" w:hAnsi="Arial" w:cs="Arial"/>
          <w:color w:val="000000"/>
          <w:sz w:val="20"/>
          <w:szCs w:val="20"/>
        </w:rPr>
        <w:t xml:space="preserve">o estimate a range of reasonably possible loss, our estimate of the aggregate reasonably possible loss (in excess of any accrued amounts) ranges up to approximately </w:t>
      </w:r>
      <w:r>
        <w:rPr>
          <w:rFonts w:ascii="Arial" w:eastAsia="宋体" w:hAnsi="Arial" w:cs="Arial"/>
          <w:color w:val="000000"/>
          <w:sz w:val="20"/>
          <w:szCs w:val="20"/>
          <w:shd w:val="clear" w:color="auto" w:fill="FFFFFF"/>
        </w:rPr>
        <w:t>$50 million</w:t>
      </w:r>
      <w:r>
        <w:rPr>
          <w:rFonts w:ascii="Arial" w:eastAsia="宋体" w:hAnsi="Arial" w:cs="Arial"/>
          <w:color w:val="000000"/>
          <w:sz w:val="20"/>
          <w:szCs w:val="20"/>
        </w:rPr>
        <w:t>. Our estimate with respect to the aggregate reasonably possible loss is based u</w:t>
      </w:r>
      <w:r>
        <w:rPr>
          <w:rFonts w:ascii="Arial" w:eastAsia="宋体" w:hAnsi="Arial" w:cs="Arial"/>
          <w:color w:val="000000"/>
          <w:sz w:val="20"/>
          <w:szCs w:val="20"/>
        </w:rPr>
        <w:t>pon currently available information and is subject to significant judgment and a variety of assumptions and known and unknown uncertainties, which may change quickly and significantly from time to time, particularly if and as we engage with applicable gove</w:t>
      </w:r>
      <w:r>
        <w:rPr>
          <w:rFonts w:ascii="Arial" w:eastAsia="宋体" w:hAnsi="Arial" w:cs="Arial"/>
          <w:color w:val="000000"/>
          <w:sz w:val="20"/>
          <w:szCs w:val="20"/>
        </w:rPr>
        <w:t>rnmental agencies or plaintiffs in connection with a proceeding. Also, the matters underlying the reasonably possible loss will change from time to time. As a result, actual results may vary significantly from the current estimate.</w:t>
      </w:r>
    </w:p>
    <w:p w14:paraId="71D48330" w14:textId="77777777" w:rsidR="006A3667" w:rsidRDefault="00045F32">
      <w:pPr>
        <w:spacing w:before="60"/>
        <w:ind w:firstLine="450"/>
        <w:jc w:val="both"/>
        <w:textAlignment w:val="top"/>
      </w:pPr>
      <w:r>
        <w:rPr>
          <w:rFonts w:ascii="Arial" w:eastAsia="宋体" w:hAnsi="Arial" w:cs="Arial"/>
          <w:color w:val="000000"/>
          <w:sz w:val="20"/>
          <w:szCs w:val="20"/>
        </w:rPr>
        <w:t>In certain pending matte</w:t>
      </w:r>
      <w:r>
        <w:rPr>
          <w:rFonts w:ascii="Arial" w:eastAsia="宋体" w:hAnsi="Arial" w:cs="Arial"/>
          <w:color w:val="000000"/>
          <w:sz w:val="20"/>
          <w:szCs w:val="20"/>
        </w:rPr>
        <w:t xml:space="preserve">rs, it is not currently feasible to reasonably estimate the amount or a range of reasonably possible loss, and such losses, which may be significant, are not included in the estimate of reasonably possible loss discussed above. This is due to, among other </w:t>
      </w:r>
      <w:r>
        <w:rPr>
          <w:rFonts w:ascii="Arial" w:eastAsia="宋体" w:hAnsi="Arial" w:cs="Arial"/>
          <w:color w:val="000000"/>
          <w:sz w:val="20"/>
          <w:szCs w:val="20"/>
        </w:rPr>
        <w:t>factors, the factors influencing reasonable estimates described above. An adverse outcome in one or more of the matters for which we have not estimated the amount or a range of reasonably possible loss, individually or in the aggregate, could have a materi</w:t>
      </w:r>
      <w:r>
        <w:rPr>
          <w:rFonts w:ascii="Arial" w:eastAsia="宋体" w:hAnsi="Arial" w:cs="Arial"/>
          <w:color w:val="000000"/>
          <w:sz w:val="20"/>
          <w:szCs w:val="20"/>
        </w:rPr>
        <w:t>al adverse effect on our businesses, on our future consolidated financial statements or on our reputation. Given that our actual losses from any legal or regulatory proceeding for which we have provided an estimate of the reasonably possible loss could sig</w:t>
      </w:r>
      <w:r>
        <w:rPr>
          <w:rFonts w:ascii="Arial" w:eastAsia="宋体" w:hAnsi="Arial" w:cs="Arial"/>
          <w:color w:val="000000"/>
          <w:sz w:val="20"/>
          <w:szCs w:val="20"/>
        </w:rPr>
        <w:t xml:space="preserve">nificantly exceed such estimate, and given that we cannot estimate reasonably possible loss for all legal and regulatory proceedings as to which we may be </w:t>
      </w:r>
    </w:p>
    <w:p w14:paraId="71D48331" w14:textId="77777777" w:rsidR="006A3667" w:rsidRDefault="00045F32">
      <w:pPr>
        <w:ind w:firstLine="450"/>
        <w:jc w:val="right"/>
      </w:pPr>
      <w:r>
        <w:rPr>
          <w:rFonts w:ascii="Arial" w:eastAsia="宋体" w:hAnsi="Arial" w:cs="Arial"/>
          <w:color w:val="000000"/>
          <w:sz w:val="18"/>
          <w:szCs w:val="18"/>
        </w:rPr>
        <w:t>State Street Corporation | 84</w:t>
      </w:r>
    </w:p>
    <w:p w14:paraId="71D48332" w14:textId="77777777" w:rsidR="006A3667" w:rsidRDefault="006A3667">
      <w:pPr>
        <w:ind w:firstLine="450"/>
        <w:jc w:val="center"/>
      </w:pPr>
    </w:p>
    <w:p w14:paraId="71D48333" w14:textId="77777777" w:rsidR="006A3667" w:rsidRDefault="00045F32">
      <w:r>
        <w:pict w14:anchorId="71D4AC68">
          <v:rect id="_x0000_i1108" style="width:415.3pt;height:1.5pt" o:hralign="center" o:hrstd="t" o:hr="t" fillcolor="#a0a0a0" stroked="f"/>
        </w:pict>
      </w:r>
    </w:p>
    <w:p w14:paraId="71D48334" w14:textId="77777777" w:rsidR="006A3667" w:rsidRDefault="00045F32">
      <w:pPr>
        <w:ind w:firstLine="450"/>
        <w:jc w:val="center"/>
      </w:pPr>
      <w:r>
        <w:rPr>
          <w:rFonts w:ascii="Arial" w:eastAsia="宋体" w:hAnsi="Arial" w:cs="Arial"/>
          <w:b/>
          <w:bCs/>
          <w:color w:val="000000"/>
          <w:sz w:val="20"/>
          <w:szCs w:val="20"/>
        </w:rPr>
        <w:t>STATE STREET CORPORATION</w:t>
      </w:r>
    </w:p>
    <w:p w14:paraId="71D48335" w14:textId="77777777" w:rsidR="006A3667" w:rsidRDefault="00045F32">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71D48336" w14:textId="77777777" w:rsidR="006A3667" w:rsidRDefault="00045F32">
      <w:pPr>
        <w:ind w:firstLine="450"/>
        <w:jc w:val="center"/>
      </w:pPr>
      <w:r>
        <w:rPr>
          <w:rFonts w:ascii="Arial" w:eastAsia="宋体" w:hAnsi="Arial" w:cs="Arial"/>
          <w:b/>
          <w:bCs/>
          <w:color w:val="000000"/>
          <w:sz w:val="20"/>
          <w:szCs w:val="20"/>
        </w:rPr>
        <w:t>(UNAUDITED)</w:t>
      </w:r>
    </w:p>
    <w:p w14:paraId="71D48337" w14:textId="77777777" w:rsidR="006A3667" w:rsidRDefault="00045F32">
      <w:pPr>
        <w:spacing w:before="60"/>
        <w:jc w:val="both"/>
        <w:textAlignment w:val="top"/>
      </w:pPr>
      <w:r>
        <w:rPr>
          <w:rFonts w:ascii="Arial" w:eastAsia="宋体" w:hAnsi="Arial" w:cs="Arial"/>
          <w:color w:val="000000"/>
          <w:sz w:val="20"/>
          <w:szCs w:val="20"/>
        </w:rPr>
        <w:t xml:space="preserve">subject now or in the future, no conclusion as to our ultimate exposure from current pending or potential legal or regulatory proceedings should be drawn from the current estimate of reasonably possible loss. </w:t>
      </w:r>
    </w:p>
    <w:p w14:paraId="71D48338" w14:textId="77777777" w:rsidR="006A3667" w:rsidRDefault="00045F32">
      <w:pPr>
        <w:spacing w:before="60"/>
        <w:ind w:firstLine="450"/>
        <w:jc w:val="both"/>
        <w:textAlignment w:val="top"/>
      </w:pPr>
      <w:r>
        <w:rPr>
          <w:rFonts w:ascii="Arial" w:eastAsia="宋体" w:hAnsi="Arial" w:cs="Arial"/>
          <w:color w:val="000000"/>
          <w:sz w:val="20"/>
          <w:szCs w:val="20"/>
        </w:rPr>
        <w:t xml:space="preserve">The following discussion provides information with respect to significant legal, governmental and regulatory matters. </w:t>
      </w:r>
    </w:p>
    <w:p w14:paraId="71D48339" w14:textId="77777777" w:rsidR="006A3667" w:rsidRDefault="00045F32">
      <w:pPr>
        <w:spacing w:before="60"/>
        <w:jc w:val="both"/>
        <w:textAlignment w:val="top"/>
      </w:pPr>
      <w:r>
        <w:rPr>
          <w:rFonts w:ascii="Arial" w:eastAsia="宋体" w:hAnsi="Arial" w:cs="Arial"/>
          <w:i/>
          <w:iCs/>
          <w:color w:val="000000"/>
          <w:sz w:val="20"/>
          <w:szCs w:val="20"/>
        </w:rPr>
        <w:t>Invoicing Matter</w:t>
      </w:r>
    </w:p>
    <w:p w14:paraId="71D4833A" w14:textId="77777777" w:rsidR="006A3667" w:rsidRDefault="00045F32">
      <w:pPr>
        <w:spacing w:before="60"/>
        <w:ind w:firstLine="450"/>
        <w:jc w:val="both"/>
        <w:textAlignment w:val="top"/>
      </w:pPr>
      <w:r>
        <w:rPr>
          <w:rFonts w:ascii="Arial" w:eastAsia="宋体" w:hAnsi="Arial" w:cs="Arial"/>
          <w:color w:val="000000"/>
          <w:sz w:val="20"/>
          <w:szCs w:val="20"/>
        </w:rPr>
        <w:t>In 2015, we determined that we had incorrectly invoiced clients for certain expenses. We have reimbursed most of our aff</w:t>
      </w:r>
      <w:r>
        <w:rPr>
          <w:rFonts w:ascii="Arial" w:eastAsia="宋体" w:hAnsi="Arial" w:cs="Arial"/>
          <w:color w:val="000000"/>
          <w:sz w:val="20"/>
          <w:szCs w:val="20"/>
        </w:rPr>
        <w:t>ected customers for those expenses, and we have implemented enhancements to our billing processes. In connection with our enhancements to our billing processes, we continue to review historical billing practices and may from time to time identify additiona</w:t>
      </w:r>
      <w:r>
        <w:rPr>
          <w:rFonts w:ascii="Arial" w:eastAsia="宋体" w:hAnsi="Arial" w:cs="Arial"/>
          <w:color w:val="000000"/>
          <w:sz w:val="20"/>
          <w:szCs w:val="20"/>
        </w:rPr>
        <w:t>l remediation. In 2017, we identified an additional area of incorrect expense billing associated with mailing services in our retirement services business. We currently expect the cumulative total of our payments to customers for these invoicing errors, in</w:t>
      </w:r>
      <w:r>
        <w:rPr>
          <w:rFonts w:ascii="Arial" w:eastAsia="宋体" w:hAnsi="Arial" w:cs="Arial"/>
          <w:color w:val="000000"/>
          <w:sz w:val="20"/>
          <w:szCs w:val="20"/>
        </w:rPr>
        <w:t>cluding the error in the retirement services business, to be at least $350 million, all of which has been paid or is accrued. However, we may identify additional remediation costs.</w:t>
      </w:r>
    </w:p>
    <w:p w14:paraId="71D4833B" w14:textId="77777777" w:rsidR="006A3667" w:rsidRDefault="00045F32">
      <w:pPr>
        <w:spacing w:before="60"/>
        <w:ind w:firstLine="450"/>
        <w:jc w:val="both"/>
        <w:textAlignment w:val="top"/>
      </w:pPr>
      <w:r>
        <w:rPr>
          <w:rFonts w:ascii="Arial" w:eastAsia="宋体" w:hAnsi="Arial" w:cs="Arial"/>
          <w:color w:val="000000"/>
          <w:sz w:val="20"/>
          <w:szCs w:val="20"/>
        </w:rPr>
        <w:t>In March 2017, a purported class action was commenced against us alleging t</w:t>
      </w:r>
      <w:r>
        <w:rPr>
          <w:rFonts w:ascii="Arial" w:eastAsia="宋体" w:hAnsi="Arial" w:cs="Arial"/>
          <w:color w:val="000000"/>
          <w:sz w:val="20"/>
          <w:szCs w:val="20"/>
        </w:rPr>
        <w:t>hat our invoicing practices violated duties owed to retirement plan customers under the Employee Retirement Income Security Act. We have agreed, subject to court approval, to resolve this matter and pay a cost that is within our established accruals for lo</w:t>
      </w:r>
      <w:r>
        <w:rPr>
          <w:rFonts w:ascii="Arial" w:eastAsia="宋体" w:hAnsi="Arial" w:cs="Arial"/>
          <w:color w:val="000000"/>
          <w:sz w:val="20"/>
          <w:szCs w:val="20"/>
        </w:rPr>
        <w:t xml:space="preserve">ss contingencies. In addition, we have received a purported class action demand letter alleging that our invoicing practices were unfair and deceptive under Massachusetts law. A class of customers, or particular customers, may assert that we have not paid </w:t>
      </w:r>
      <w:r>
        <w:rPr>
          <w:rFonts w:ascii="Arial" w:eastAsia="宋体" w:hAnsi="Arial" w:cs="Arial"/>
          <w:color w:val="000000"/>
          <w:sz w:val="20"/>
          <w:szCs w:val="20"/>
        </w:rPr>
        <w:t xml:space="preserve">to them all amounts incorrectly invoiced, and may seek double or treble damages under Massachusetts law. </w:t>
      </w:r>
    </w:p>
    <w:p w14:paraId="71D4833C" w14:textId="77777777" w:rsidR="006A3667" w:rsidRDefault="00045F32">
      <w:pPr>
        <w:spacing w:before="60"/>
        <w:ind w:firstLine="450"/>
        <w:jc w:val="both"/>
        <w:textAlignment w:val="top"/>
      </w:pPr>
      <w:r>
        <w:rPr>
          <w:rFonts w:ascii="Arial" w:eastAsia="宋体" w:hAnsi="Arial" w:cs="Arial"/>
          <w:color w:val="000000"/>
          <w:sz w:val="20"/>
          <w:szCs w:val="20"/>
        </w:rPr>
        <w:t>We resolved potential criminal claims that arose from these matters by entering into a deferred prosecution agreement with the office of the United St</w:t>
      </w:r>
      <w:r>
        <w:rPr>
          <w:rFonts w:ascii="Arial" w:eastAsia="宋体" w:hAnsi="Arial" w:cs="Arial"/>
          <w:color w:val="000000"/>
          <w:sz w:val="20"/>
          <w:szCs w:val="20"/>
        </w:rPr>
        <w:t xml:space="preserve">ates Attorney for the District of Massachusetts and paying a $115 million penalty in May 2021. In June 2019, we reached an agreement with the SEC to settle its claims that we violated the recordkeeping provisions of Section 34(b) of the Investment Company </w:t>
      </w:r>
      <w:r>
        <w:rPr>
          <w:rFonts w:ascii="Arial" w:eastAsia="宋体" w:hAnsi="Arial" w:cs="Arial"/>
          <w:color w:val="000000"/>
          <w:sz w:val="20"/>
          <w:szCs w:val="20"/>
        </w:rPr>
        <w:t xml:space="preserve">Act of 1940 and caused violations of Section 31(a) of the Investment Company Act and Rules 31a-1(a) and 31a-1(b) thereunder in connection with our overcharges of customers which </w:t>
      </w:r>
    </w:p>
    <w:p w14:paraId="71D4833D" w14:textId="77777777" w:rsidR="006A3667" w:rsidRDefault="00045F32">
      <w:pPr>
        <w:spacing w:before="60"/>
        <w:jc w:val="both"/>
        <w:textAlignment w:val="top"/>
      </w:pPr>
      <w:r>
        <w:rPr>
          <w:rFonts w:ascii="Arial" w:eastAsia="宋体" w:hAnsi="Arial" w:cs="Arial"/>
          <w:color w:val="000000"/>
          <w:sz w:val="20"/>
          <w:szCs w:val="20"/>
        </w:rPr>
        <w:t xml:space="preserve">are registered investment companies. In reaching this settlement, we neither </w:t>
      </w:r>
      <w:r>
        <w:rPr>
          <w:rFonts w:ascii="Arial" w:eastAsia="宋体" w:hAnsi="Arial" w:cs="Arial"/>
          <w:color w:val="000000"/>
          <w:sz w:val="20"/>
          <w:szCs w:val="20"/>
        </w:rPr>
        <w:t xml:space="preserve">admitted nor denied the claims contained in the SEC’s order, and agreed to pay a civil monetary penalty of </w:t>
      </w:r>
      <w:r>
        <w:rPr>
          <w:rFonts w:ascii="Arial" w:eastAsia="宋体" w:hAnsi="Arial" w:cs="Arial"/>
          <w:color w:val="000000"/>
          <w:sz w:val="20"/>
          <w:szCs w:val="20"/>
          <w:shd w:val="clear" w:color="auto" w:fill="FFFFFF"/>
        </w:rPr>
        <w:t>$40 million</w:t>
      </w:r>
      <w:r>
        <w:rPr>
          <w:rFonts w:ascii="Arial" w:eastAsia="宋体" w:hAnsi="Arial" w:cs="Arial"/>
          <w:color w:val="000000"/>
          <w:sz w:val="20"/>
          <w:szCs w:val="20"/>
        </w:rPr>
        <w:t>. Also in June 2019, we reached an agreement with the Massachusetts Attorney General’s office to resolve its claims related to this matter</w:t>
      </w:r>
      <w:r>
        <w:rPr>
          <w:rFonts w:ascii="Arial" w:eastAsia="宋体" w:hAnsi="Arial" w:cs="Arial"/>
          <w:color w:val="000000"/>
          <w:sz w:val="20"/>
          <w:szCs w:val="20"/>
        </w:rPr>
        <w:t xml:space="preserve">. In reaching this settlement, we neither admitted nor denied the claims in the order, and agreed to pay a civil monetary penalty of </w:t>
      </w:r>
      <w:r>
        <w:rPr>
          <w:rFonts w:ascii="Arial" w:eastAsia="宋体" w:hAnsi="Arial" w:cs="Arial"/>
          <w:color w:val="000000"/>
          <w:sz w:val="20"/>
          <w:szCs w:val="20"/>
          <w:shd w:val="clear" w:color="auto" w:fill="FFFFFF"/>
        </w:rPr>
        <w:t>$5.5 million</w:t>
      </w:r>
      <w:r>
        <w:rPr>
          <w:rFonts w:ascii="Arial" w:eastAsia="宋体" w:hAnsi="Arial" w:cs="Arial"/>
          <w:color w:val="000000"/>
          <w:sz w:val="20"/>
          <w:szCs w:val="20"/>
        </w:rPr>
        <w:t xml:space="preserve">. The SEC and Massachusetts Attorney General’s office settlements both recognize that the payment of </w:t>
      </w:r>
      <w:r>
        <w:rPr>
          <w:rFonts w:ascii="Arial" w:eastAsia="宋体" w:hAnsi="Arial" w:cs="Arial"/>
          <w:color w:val="000000"/>
          <w:sz w:val="20"/>
          <w:szCs w:val="20"/>
          <w:shd w:val="clear" w:color="auto" w:fill="FFFFFF"/>
        </w:rPr>
        <w:t>$48.8 mill</w:t>
      </w:r>
      <w:r>
        <w:rPr>
          <w:rFonts w:ascii="Arial" w:eastAsia="宋体" w:hAnsi="Arial" w:cs="Arial"/>
          <w:color w:val="000000"/>
          <w:sz w:val="20"/>
          <w:szCs w:val="20"/>
          <w:shd w:val="clear" w:color="auto" w:fill="FFFFFF"/>
        </w:rPr>
        <w:t>ion</w:t>
      </w:r>
      <w:r>
        <w:rPr>
          <w:rFonts w:ascii="Arial" w:eastAsia="宋体" w:hAnsi="Arial" w:cs="Arial"/>
          <w:color w:val="000000"/>
          <w:sz w:val="20"/>
          <w:szCs w:val="20"/>
        </w:rPr>
        <w:t xml:space="preserve"> in disgorgement and interest is satisfied by our direct reimbursements of our customers. We paid fines to resolve claims of the Securities Divisions of the Secretaries of the State of Massachusetts and New Hampshire. The costs associated with the settl</w:t>
      </w:r>
      <w:r>
        <w:rPr>
          <w:rFonts w:ascii="Arial" w:eastAsia="宋体" w:hAnsi="Arial" w:cs="Arial"/>
          <w:color w:val="000000"/>
          <w:sz w:val="20"/>
          <w:szCs w:val="20"/>
        </w:rPr>
        <w:t>ements discussed above were within our related previously established accruals for loss contingencies.</w:t>
      </w:r>
    </w:p>
    <w:p w14:paraId="71D4833E" w14:textId="77777777" w:rsidR="006A3667" w:rsidRDefault="00045F32">
      <w:pPr>
        <w:spacing w:before="60"/>
        <w:ind w:firstLine="450"/>
        <w:jc w:val="both"/>
        <w:textAlignment w:val="top"/>
      </w:pPr>
      <w:r>
        <w:rPr>
          <w:rFonts w:ascii="Arial" w:eastAsia="宋体" w:hAnsi="Arial" w:cs="Arial"/>
          <w:color w:val="000000"/>
          <w:sz w:val="20"/>
          <w:szCs w:val="20"/>
        </w:rPr>
        <w:t>We have not resolved certain claims that may be made by the U.S. Department of Labor. We do not know whether any such claims will be brought, and there c</w:t>
      </w:r>
      <w:r>
        <w:rPr>
          <w:rFonts w:ascii="Arial" w:eastAsia="宋体" w:hAnsi="Arial" w:cs="Arial"/>
          <w:color w:val="000000"/>
          <w:sz w:val="20"/>
          <w:szCs w:val="20"/>
        </w:rPr>
        <w:t xml:space="preserve">an be no assurance that any settlement of any such claims will be reached on financial terms acceptable to us or at all. The aggregate amount of penalties that may potentially be imposed upon us in connection with the resolution of any such matters is not </w:t>
      </w:r>
      <w:r>
        <w:rPr>
          <w:rFonts w:ascii="Arial" w:eastAsia="宋体" w:hAnsi="Arial" w:cs="Arial"/>
          <w:color w:val="000000"/>
          <w:sz w:val="20"/>
          <w:szCs w:val="20"/>
        </w:rPr>
        <w:t xml:space="preserve">currently known. </w:t>
      </w:r>
    </w:p>
    <w:p w14:paraId="71D4833F" w14:textId="77777777" w:rsidR="006A3667" w:rsidRDefault="00045F32">
      <w:pPr>
        <w:spacing w:before="60"/>
        <w:jc w:val="both"/>
        <w:textAlignment w:val="top"/>
      </w:pPr>
      <w:r>
        <w:rPr>
          <w:rFonts w:ascii="Arial" w:eastAsia="宋体" w:hAnsi="Arial" w:cs="Arial"/>
          <w:i/>
          <w:iCs/>
          <w:color w:val="000000"/>
          <w:sz w:val="20"/>
          <w:szCs w:val="20"/>
        </w:rPr>
        <w:t>Gomes, et al. v. State Street Corp.</w:t>
      </w:r>
    </w:p>
    <w:p w14:paraId="71D48340" w14:textId="77777777" w:rsidR="006A3667" w:rsidRDefault="00045F32">
      <w:pPr>
        <w:spacing w:before="60"/>
        <w:ind w:firstLine="450"/>
        <w:jc w:val="both"/>
        <w:textAlignment w:val="top"/>
      </w:pPr>
      <w:r>
        <w:rPr>
          <w:rFonts w:ascii="Arial" w:eastAsia="宋体" w:hAnsi="Arial" w:cs="Arial"/>
          <w:color w:val="000000"/>
          <w:sz w:val="20"/>
          <w:szCs w:val="20"/>
        </w:rPr>
        <w:t>Eight participants in our Salary Savings Program filed a purported class action complaint in May 2021 on behalf of participants and beneficiaries who participated in the Program and invested in our prop</w:t>
      </w:r>
      <w:r>
        <w:rPr>
          <w:rFonts w:ascii="Arial" w:eastAsia="宋体" w:hAnsi="Arial" w:cs="Arial"/>
          <w:color w:val="000000"/>
          <w:sz w:val="20"/>
          <w:szCs w:val="20"/>
        </w:rPr>
        <w:t>rietary investment fund options between May 2015 and the present. The complaint names the Plan Sponsor as well as the committees overseeing the Plan and their respective members as defendants, and alleges breach of fiduciary duty and violations of other du</w:t>
      </w:r>
      <w:r>
        <w:rPr>
          <w:rFonts w:ascii="Arial" w:eastAsia="宋体" w:hAnsi="Arial" w:cs="Arial"/>
          <w:color w:val="000000"/>
          <w:sz w:val="20"/>
          <w:szCs w:val="20"/>
        </w:rPr>
        <w:t>ties owed to retirement plan participants under the Employee Retirement Income and Security Act. We and the other named defendants deny the alleged claims and are proceeding with a defense of the matter.</w:t>
      </w:r>
    </w:p>
    <w:p w14:paraId="71D48341" w14:textId="77777777" w:rsidR="006A3667" w:rsidRDefault="00045F32">
      <w:pPr>
        <w:spacing w:before="60"/>
        <w:jc w:val="both"/>
        <w:textAlignment w:val="top"/>
      </w:pPr>
      <w:r>
        <w:rPr>
          <w:rFonts w:ascii="Arial" w:eastAsia="宋体" w:hAnsi="Arial" w:cs="Arial"/>
          <w:i/>
          <w:iCs/>
          <w:color w:val="000000"/>
          <w:sz w:val="20"/>
          <w:szCs w:val="20"/>
        </w:rPr>
        <w:t>Edmar Financial Company, LLC et al v. Currenex, Inc.</w:t>
      </w:r>
      <w:r>
        <w:rPr>
          <w:rFonts w:ascii="Arial" w:eastAsia="宋体" w:hAnsi="Arial" w:cs="Arial"/>
          <w:i/>
          <w:iCs/>
          <w:color w:val="000000"/>
          <w:sz w:val="20"/>
          <w:szCs w:val="20"/>
        </w:rPr>
        <w:t xml:space="preserve"> et al</w:t>
      </w:r>
    </w:p>
    <w:p w14:paraId="71D48342" w14:textId="77777777" w:rsidR="006A3667" w:rsidRDefault="00045F32">
      <w:pPr>
        <w:spacing w:before="60"/>
        <w:ind w:firstLine="450"/>
        <w:jc w:val="both"/>
        <w:textAlignment w:val="top"/>
      </w:pPr>
      <w:r>
        <w:rPr>
          <w:rFonts w:ascii="Arial" w:eastAsia="宋体" w:hAnsi="Arial" w:cs="Arial"/>
          <w:color w:val="000000"/>
          <w:sz w:val="20"/>
          <w:szCs w:val="20"/>
        </w:rPr>
        <w:t>In August 2021, two former Currenex clients filed a putative civil class action lawsuit in the Southern District of New York alleging antitrust violations, fraud and a civil Racketeer Influenced and Corrupt Organization Act violation against Currene</w:t>
      </w:r>
      <w:r>
        <w:rPr>
          <w:rFonts w:ascii="Arial" w:eastAsia="宋体" w:hAnsi="Arial" w:cs="Arial"/>
          <w:color w:val="000000"/>
          <w:sz w:val="20"/>
          <w:szCs w:val="20"/>
        </w:rPr>
        <w:t>x, State Street and others.</w:t>
      </w:r>
    </w:p>
    <w:p w14:paraId="71D48343" w14:textId="77777777" w:rsidR="006A3667" w:rsidRDefault="00045F32">
      <w:pPr>
        <w:ind w:firstLine="450"/>
        <w:jc w:val="right"/>
      </w:pPr>
      <w:r>
        <w:rPr>
          <w:rFonts w:ascii="Arial" w:eastAsia="宋体" w:hAnsi="Arial" w:cs="Arial"/>
          <w:color w:val="000000"/>
          <w:sz w:val="18"/>
          <w:szCs w:val="18"/>
        </w:rPr>
        <w:t>State Street Corporation | 85</w:t>
      </w:r>
    </w:p>
    <w:p w14:paraId="71D48344" w14:textId="77777777" w:rsidR="006A3667" w:rsidRDefault="006A3667">
      <w:pPr>
        <w:ind w:firstLine="450"/>
        <w:jc w:val="center"/>
      </w:pPr>
    </w:p>
    <w:p w14:paraId="71D48345" w14:textId="77777777" w:rsidR="006A3667" w:rsidRDefault="00045F32">
      <w:r>
        <w:pict w14:anchorId="71D4AC69">
          <v:rect id="_x0000_i1109" style="width:415.3pt;height:1.5pt" o:hralign="center" o:hrstd="t" o:hr="t" fillcolor="#a0a0a0" stroked="f"/>
        </w:pict>
      </w:r>
    </w:p>
    <w:p w14:paraId="71D48346" w14:textId="77777777" w:rsidR="006A3667" w:rsidRDefault="00045F32">
      <w:pPr>
        <w:ind w:firstLine="450"/>
        <w:jc w:val="center"/>
      </w:pPr>
      <w:r>
        <w:rPr>
          <w:rFonts w:ascii="Arial" w:eastAsia="宋体" w:hAnsi="Arial" w:cs="Arial"/>
          <w:b/>
          <w:bCs/>
          <w:color w:val="000000"/>
          <w:sz w:val="20"/>
          <w:szCs w:val="20"/>
        </w:rPr>
        <w:t>STATE STREET CORPORATION</w:t>
      </w:r>
    </w:p>
    <w:p w14:paraId="71D48347"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8348" w14:textId="77777777" w:rsidR="006A3667" w:rsidRDefault="00045F32">
      <w:pPr>
        <w:ind w:firstLine="450"/>
        <w:jc w:val="center"/>
      </w:pPr>
      <w:r>
        <w:rPr>
          <w:rFonts w:ascii="Arial" w:eastAsia="宋体" w:hAnsi="Arial" w:cs="Arial"/>
          <w:b/>
          <w:bCs/>
          <w:color w:val="000000"/>
          <w:sz w:val="20"/>
          <w:szCs w:val="20"/>
        </w:rPr>
        <w:t>(UNAUDITED)</w:t>
      </w:r>
    </w:p>
    <w:p w14:paraId="71D48349" w14:textId="77777777" w:rsidR="006A3667" w:rsidRDefault="00045F32">
      <w:pPr>
        <w:spacing w:before="60"/>
      </w:pPr>
      <w:r>
        <w:rPr>
          <w:rFonts w:ascii="Arial" w:eastAsia="宋体" w:hAnsi="Arial" w:cs="Arial"/>
          <w:b/>
          <w:bCs/>
          <w:i/>
          <w:iCs/>
          <w:color w:val="000000"/>
          <w:sz w:val="20"/>
          <w:szCs w:val="20"/>
        </w:rPr>
        <w:t>Income Taxes</w:t>
      </w:r>
    </w:p>
    <w:p w14:paraId="71D4834A" w14:textId="77777777" w:rsidR="006A3667" w:rsidRDefault="00045F32">
      <w:pPr>
        <w:spacing w:before="60"/>
        <w:ind w:firstLine="450"/>
        <w:jc w:val="both"/>
      </w:pPr>
      <w:r>
        <w:rPr>
          <w:rFonts w:ascii="Arial" w:eastAsia="宋体" w:hAnsi="Arial" w:cs="Arial"/>
          <w:color w:val="000000"/>
          <w:sz w:val="20"/>
          <w:szCs w:val="20"/>
        </w:rPr>
        <w:t xml:space="preserve">In determining our provision for income taxes, we make certain judgments and interpretations with respect to tax laws in jurisdictions in which we have business operations. Because of the complex nature of these laws, in the normal course of our business, </w:t>
      </w:r>
      <w:r>
        <w:rPr>
          <w:rFonts w:ascii="Arial" w:eastAsia="宋体" w:hAnsi="Arial" w:cs="Arial"/>
          <w:color w:val="000000"/>
          <w:sz w:val="20"/>
          <w:szCs w:val="20"/>
        </w:rPr>
        <w:t>we are subject to challenges from U.S. and non-U.S. income tax authorities regarding the amount of income taxes due. These challenges may result in adjustments to the timing or amount of taxable income or deductions or the allocation of taxable income amon</w:t>
      </w:r>
      <w:r>
        <w:rPr>
          <w:rFonts w:ascii="Arial" w:eastAsia="宋体" w:hAnsi="Arial" w:cs="Arial"/>
          <w:color w:val="000000"/>
          <w:sz w:val="20"/>
          <w:szCs w:val="20"/>
        </w:rPr>
        <w:t>g tax jurisdictions. We recognize a tax benefit when it is more likely than not that our position will result in a tax deduction or credit. Unrecognized tax benefits totaled approximately $236 million and $252 million as of September 30, 2022 and December </w:t>
      </w:r>
      <w:r>
        <w:rPr>
          <w:rFonts w:ascii="Arial" w:eastAsia="宋体" w:hAnsi="Arial" w:cs="Arial"/>
          <w:color w:val="000000"/>
          <w:sz w:val="20"/>
          <w:szCs w:val="20"/>
        </w:rPr>
        <w:t xml:space="preserve">31, 2021, respectively. </w:t>
      </w:r>
    </w:p>
    <w:p w14:paraId="71D4834B" w14:textId="77777777" w:rsidR="006A3667" w:rsidRDefault="00045F32">
      <w:pPr>
        <w:spacing w:before="60"/>
        <w:ind w:firstLine="450"/>
        <w:jc w:val="both"/>
      </w:pPr>
      <w:r>
        <w:rPr>
          <w:rFonts w:ascii="Arial" w:eastAsia="宋体" w:hAnsi="Arial" w:cs="Arial"/>
          <w:color w:val="000000"/>
          <w:sz w:val="20"/>
          <w:szCs w:val="20"/>
        </w:rPr>
        <w:t>We are presently under audit by a number of tax authorities. The earliest tax year open to examination in jurisdictions where we have material operations is 2013. Management believes that we have sufficiently accrued liabilities as</w:t>
      </w:r>
      <w:r>
        <w:rPr>
          <w:rFonts w:ascii="Arial" w:eastAsia="宋体" w:hAnsi="Arial" w:cs="Arial"/>
          <w:color w:val="000000"/>
          <w:sz w:val="20"/>
          <w:szCs w:val="20"/>
        </w:rPr>
        <w:t xml:space="preserve"> of September 30, 2022 for potential tax exposures.</w:t>
      </w:r>
    </w:p>
    <w:p w14:paraId="71D4834C" w14:textId="77777777" w:rsidR="006A3667" w:rsidRDefault="00045F32">
      <w:pPr>
        <w:spacing w:before="90"/>
      </w:pPr>
      <w:r>
        <w:rPr>
          <w:rFonts w:ascii="Arial" w:eastAsia="宋体" w:hAnsi="Arial" w:cs="Arial"/>
          <w:b/>
          <w:bCs/>
          <w:color w:val="000000"/>
          <w:sz w:val="20"/>
          <w:szCs w:val="20"/>
        </w:rPr>
        <w:t>Note 11.    Variable Interest Entities</w:t>
      </w:r>
    </w:p>
    <w:p w14:paraId="71D4834D" w14:textId="77777777" w:rsidR="006A3667" w:rsidRDefault="00045F32">
      <w:pPr>
        <w:spacing w:before="60"/>
        <w:ind w:firstLine="450"/>
        <w:jc w:val="both"/>
      </w:pPr>
      <w:r>
        <w:rPr>
          <w:rFonts w:ascii="Arial" w:eastAsia="宋体" w:hAnsi="Arial" w:cs="Arial"/>
          <w:color w:val="000000"/>
          <w:sz w:val="20"/>
          <w:szCs w:val="20"/>
        </w:rPr>
        <w:t>For additional information on our accounting policy and our use of variable interest entities (VIEs), refer to pages 168 to 169 in Note 14 to the consolidated financ</w:t>
      </w:r>
      <w:r>
        <w:rPr>
          <w:rFonts w:ascii="Arial" w:eastAsia="宋体" w:hAnsi="Arial" w:cs="Arial"/>
          <w:color w:val="000000"/>
          <w:sz w:val="20"/>
          <w:szCs w:val="20"/>
        </w:rPr>
        <w:t>ial statements included under Item 8, Financial Statements and Supplementary Data, "Variable Interest Entities", in our 2021 Form 10-K.</w:t>
      </w:r>
    </w:p>
    <w:p w14:paraId="71D4834E" w14:textId="77777777" w:rsidR="006A3667" w:rsidRDefault="00045F32">
      <w:pPr>
        <w:spacing w:before="60"/>
        <w:jc w:val="both"/>
      </w:pPr>
      <w:r>
        <w:rPr>
          <w:rFonts w:ascii="Arial" w:eastAsia="宋体" w:hAnsi="Arial" w:cs="Arial"/>
          <w:b/>
          <w:bCs/>
          <w:i/>
          <w:iCs/>
          <w:color w:val="000000"/>
          <w:sz w:val="20"/>
          <w:szCs w:val="20"/>
        </w:rPr>
        <w:t>Interests in Investment Funds</w:t>
      </w:r>
    </w:p>
    <w:p w14:paraId="71D4834F" w14:textId="77777777" w:rsidR="006A3667" w:rsidRDefault="00045F32">
      <w:pPr>
        <w:spacing w:before="60"/>
        <w:ind w:firstLine="450"/>
        <w:jc w:val="both"/>
      </w:pPr>
      <w:r>
        <w:rPr>
          <w:rFonts w:ascii="Arial" w:eastAsia="宋体" w:hAnsi="Arial" w:cs="Arial"/>
          <w:color w:val="000000"/>
          <w:sz w:val="20"/>
          <w:szCs w:val="20"/>
        </w:rPr>
        <w:t>As of both September 30, 2022 and December 31, 2021, we had no consolidated funds. As of both September 30, 2022 and December 31, 2021, we managed certain funds, considered VIEs, in which we held a variable interest but for which we were not deemed to be t</w:t>
      </w:r>
      <w:r>
        <w:rPr>
          <w:rFonts w:ascii="Arial" w:eastAsia="宋体" w:hAnsi="Arial" w:cs="Arial"/>
          <w:color w:val="000000"/>
          <w:sz w:val="20"/>
          <w:szCs w:val="20"/>
        </w:rPr>
        <w:t xml:space="preserve">he primary beneficiary. Our potential maximum loss exposure related to these unconsolidated funds totaled </w:t>
      </w:r>
      <w:r>
        <w:rPr>
          <w:rFonts w:ascii="Arial" w:eastAsia="宋体" w:hAnsi="Arial" w:cs="Arial"/>
          <w:color w:val="000000"/>
          <w:sz w:val="20"/>
          <w:szCs w:val="20"/>
          <w:shd w:val="clear" w:color="auto" w:fill="FFFFFF"/>
        </w:rPr>
        <w:t>$15 million</w:t>
      </w:r>
      <w:r>
        <w:rPr>
          <w:rFonts w:ascii="Arial" w:eastAsia="宋体" w:hAnsi="Arial" w:cs="Arial"/>
          <w:color w:val="000000"/>
          <w:sz w:val="20"/>
          <w:szCs w:val="20"/>
        </w:rPr>
        <w:t xml:space="preserve"> and $17 million as of September 30, 2022 and December 31, 2021, respectively, and represented the carrying value of our investments, which</w:t>
      </w:r>
      <w:r>
        <w:rPr>
          <w:rFonts w:ascii="Arial" w:eastAsia="宋体" w:hAnsi="Arial" w:cs="Arial"/>
          <w:color w:val="000000"/>
          <w:sz w:val="20"/>
          <w:szCs w:val="20"/>
        </w:rPr>
        <w:t xml:space="preserve"> are recorded in other assets in our consolidated statement of condition. The amount of loss we may recognize during any period is limited to the carrying amount of our investments in the unconsolidated funds.</w:t>
      </w:r>
    </w:p>
    <w:p w14:paraId="71D48350" w14:textId="77777777" w:rsidR="006A3667" w:rsidRDefault="00045F32">
      <w:pPr>
        <w:spacing w:before="60"/>
        <w:ind w:firstLine="450"/>
        <w:jc w:val="both"/>
      </w:pPr>
      <w:r>
        <w:rPr>
          <w:rFonts w:ascii="Arial" w:eastAsia="宋体" w:hAnsi="Arial" w:cs="Arial"/>
          <w:color w:val="000000"/>
          <w:sz w:val="20"/>
          <w:szCs w:val="20"/>
        </w:rPr>
        <w:t>We also held investments in low-income housing</w:t>
      </w:r>
      <w:r>
        <w:rPr>
          <w:rFonts w:ascii="Arial" w:eastAsia="宋体" w:hAnsi="Arial" w:cs="Arial"/>
          <w:color w:val="000000"/>
          <w:sz w:val="20"/>
          <w:szCs w:val="20"/>
        </w:rPr>
        <w:t>, production and investment tax credit entities, considered VIEs for which we were not deemed to be the primary beneficiary. As of September 30, 2022 and December 31, 2021, our potential maximum loss exposure related to these unconsolidated entities totale</w:t>
      </w:r>
      <w:r>
        <w:rPr>
          <w:rFonts w:ascii="Arial" w:eastAsia="宋体" w:hAnsi="Arial" w:cs="Arial"/>
          <w:color w:val="000000"/>
          <w:sz w:val="20"/>
          <w:szCs w:val="20"/>
        </w:rPr>
        <w:t>d $1.66 billion</w:t>
      </w:r>
      <w:r>
        <w:rPr>
          <w:rFonts w:ascii="Arial" w:eastAsia="宋体" w:hAnsi="Arial" w:cs="Arial"/>
          <w:color w:val="000000"/>
          <w:sz w:val="20"/>
          <w:szCs w:val="20"/>
          <w:shd w:val="clear" w:color="auto" w:fill="FFFFFF"/>
        </w:rPr>
        <w:t xml:space="preserve"> </w:t>
      </w:r>
      <w:r>
        <w:rPr>
          <w:rFonts w:ascii="Arial" w:eastAsia="宋体" w:hAnsi="Arial" w:cs="Arial"/>
          <w:color w:val="000000"/>
          <w:sz w:val="20"/>
          <w:szCs w:val="20"/>
        </w:rPr>
        <w:t>and $1.69 billion, respectively, most of which represented the carrying value of our investments, which are recorded in other assets in our consolidated statement of condition.</w:t>
      </w:r>
    </w:p>
    <w:p w14:paraId="71D48351" w14:textId="77777777" w:rsidR="006A3667" w:rsidRDefault="00045F32">
      <w:pPr>
        <w:spacing w:before="180"/>
      </w:pPr>
      <w:r>
        <w:rPr>
          <w:rFonts w:ascii="Arial" w:eastAsia="宋体" w:hAnsi="Arial" w:cs="Arial"/>
          <w:b/>
          <w:bCs/>
          <w:color w:val="000000"/>
          <w:sz w:val="20"/>
          <w:szCs w:val="20"/>
        </w:rPr>
        <w:t>Note 12.    Shareholders' Equity</w:t>
      </w:r>
    </w:p>
    <w:p w14:paraId="71D48352" w14:textId="77777777" w:rsidR="006A3667" w:rsidRDefault="00045F32">
      <w:pPr>
        <w:spacing w:before="60"/>
      </w:pPr>
      <w:r>
        <w:rPr>
          <w:rFonts w:ascii="Arial" w:eastAsia="宋体" w:hAnsi="Arial" w:cs="Arial"/>
          <w:b/>
          <w:bCs/>
          <w:i/>
          <w:iCs/>
          <w:color w:val="000000"/>
          <w:sz w:val="20"/>
          <w:szCs w:val="20"/>
        </w:rPr>
        <w:t xml:space="preserve">Preferred Stock </w:t>
      </w:r>
    </w:p>
    <w:p w14:paraId="71D48353" w14:textId="77777777" w:rsidR="006A3667" w:rsidRDefault="00045F32">
      <w:pPr>
        <w:spacing w:before="60"/>
        <w:jc w:val="both"/>
      </w:pPr>
      <w:r>
        <w:rPr>
          <w:rFonts w:ascii="Arial" w:eastAsia="宋体" w:hAnsi="Arial" w:cs="Arial"/>
          <w:b/>
          <w:bCs/>
          <w:i/>
          <w:iCs/>
          <w:color w:val="000000"/>
          <w:sz w:val="20"/>
          <w:szCs w:val="20"/>
        </w:rPr>
        <w:t>    </w:t>
      </w:r>
      <w:r>
        <w:rPr>
          <w:rFonts w:ascii="Arial" w:eastAsia="宋体" w:hAnsi="Arial" w:cs="Arial"/>
          <w:color w:val="000000"/>
          <w:sz w:val="20"/>
          <w:szCs w:val="20"/>
        </w:rPr>
        <w:t>The follo</w:t>
      </w:r>
      <w:r>
        <w:rPr>
          <w:rFonts w:ascii="Arial" w:eastAsia="宋体" w:hAnsi="Arial" w:cs="Arial"/>
          <w:color w:val="000000"/>
          <w:sz w:val="20"/>
          <w:szCs w:val="20"/>
        </w:rPr>
        <w:t>wing table summarizes selected terms of each of the series of the preferred stock issued and outstanding as of September 30, 2022:</w:t>
      </w:r>
    </w:p>
    <w:tbl>
      <w:tblPr>
        <w:tblW w:w="5000" w:type="pct"/>
        <w:tblCellMar>
          <w:top w:w="15" w:type="dxa"/>
          <w:left w:w="15" w:type="dxa"/>
          <w:bottom w:w="15" w:type="dxa"/>
          <w:right w:w="15" w:type="dxa"/>
        </w:tblCellMar>
        <w:tblLook w:val="04A0" w:firstRow="1" w:lastRow="0" w:firstColumn="1" w:lastColumn="0" w:noHBand="0" w:noVBand="1"/>
      </w:tblPr>
      <w:tblGrid>
        <w:gridCol w:w="85"/>
        <w:gridCol w:w="441"/>
        <w:gridCol w:w="36"/>
        <w:gridCol w:w="40"/>
        <w:gridCol w:w="33"/>
        <w:gridCol w:w="36"/>
        <w:gridCol w:w="60"/>
        <w:gridCol w:w="517"/>
        <w:gridCol w:w="37"/>
        <w:gridCol w:w="40"/>
        <w:gridCol w:w="33"/>
        <w:gridCol w:w="36"/>
        <w:gridCol w:w="84"/>
        <w:gridCol w:w="524"/>
        <w:gridCol w:w="36"/>
        <w:gridCol w:w="40"/>
        <w:gridCol w:w="33"/>
        <w:gridCol w:w="36"/>
        <w:gridCol w:w="89"/>
        <w:gridCol w:w="575"/>
        <w:gridCol w:w="36"/>
        <w:gridCol w:w="40"/>
        <w:gridCol w:w="31"/>
        <w:gridCol w:w="35"/>
        <w:gridCol w:w="82"/>
        <w:gridCol w:w="521"/>
        <w:gridCol w:w="35"/>
        <w:gridCol w:w="40"/>
        <w:gridCol w:w="31"/>
        <w:gridCol w:w="35"/>
        <w:gridCol w:w="85"/>
        <w:gridCol w:w="542"/>
        <w:gridCol w:w="35"/>
        <w:gridCol w:w="40"/>
        <w:gridCol w:w="31"/>
        <w:gridCol w:w="35"/>
        <w:gridCol w:w="85"/>
        <w:gridCol w:w="542"/>
        <w:gridCol w:w="35"/>
        <w:gridCol w:w="40"/>
        <w:gridCol w:w="31"/>
        <w:gridCol w:w="35"/>
        <w:gridCol w:w="51"/>
        <w:gridCol w:w="580"/>
        <w:gridCol w:w="36"/>
        <w:gridCol w:w="40"/>
        <w:gridCol w:w="31"/>
        <w:gridCol w:w="35"/>
        <w:gridCol w:w="100"/>
        <w:gridCol w:w="630"/>
        <w:gridCol w:w="36"/>
        <w:gridCol w:w="40"/>
        <w:gridCol w:w="31"/>
        <w:gridCol w:w="35"/>
        <w:gridCol w:w="84"/>
        <w:gridCol w:w="528"/>
        <w:gridCol w:w="35"/>
        <w:gridCol w:w="40"/>
        <w:gridCol w:w="31"/>
        <w:gridCol w:w="35"/>
        <w:gridCol w:w="79"/>
        <w:gridCol w:w="591"/>
        <w:gridCol w:w="35"/>
      </w:tblGrid>
      <w:tr w:rsidR="006A3667" w14:paraId="71D48393" w14:textId="77777777">
        <w:tc>
          <w:tcPr>
            <w:tcW w:w="50" w:type="pct"/>
            <w:shd w:val="clear" w:color="auto" w:fill="auto"/>
            <w:vAlign w:val="bottom"/>
          </w:tcPr>
          <w:p w14:paraId="71D48354" w14:textId="77777777" w:rsidR="006A3667" w:rsidRDefault="006A3667">
            <w:pPr>
              <w:rPr>
                <w:rFonts w:ascii="宋体"/>
              </w:rPr>
            </w:pPr>
          </w:p>
        </w:tc>
        <w:tc>
          <w:tcPr>
            <w:tcW w:w="273" w:type="pct"/>
            <w:shd w:val="clear" w:color="auto" w:fill="auto"/>
            <w:vAlign w:val="bottom"/>
          </w:tcPr>
          <w:p w14:paraId="71D48355" w14:textId="77777777" w:rsidR="006A3667" w:rsidRDefault="006A3667">
            <w:pPr>
              <w:rPr>
                <w:rFonts w:ascii="宋体"/>
              </w:rPr>
            </w:pPr>
          </w:p>
        </w:tc>
        <w:tc>
          <w:tcPr>
            <w:tcW w:w="5" w:type="pct"/>
            <w:shd w:val="clear" w:color="auto" w:fill="auto"/>
            <w:vAlign w:val="bottom"/>
          </w:tcPr>
          <w:p w14:paraId="71D48356" w14:textId="77777777" w:rsidR="006A3667" w:rsidRDefault="006A3667">
            <w:pPr>
              <w:rPr>
                <w:rFonts w:ascii="宋体"/>
              </w:rPr>
            </w:pPr>
          </w:p>
        </w:tc>
        <w:tc>
          <w:tcPr>
            <w:tcW w:w="5" w:type="pct"/>
            <w:shd w:val="clear" w:color="auto" w:fill="auto"/>
            <w:vAlign w:val="bottom"/>
          </w:tcPr>
          <w:p w14:paraId="71D48357" w14:textId="77777777" w:rsidR="006A3667" w:rsidRDefault="006A3667">
            <w:pPr>
              <w:rPr>
                <w:rFonts w:ascii="宋体"/>
              </w:rPr>
            </w:pPr>
          </w:p>
        </w:tc>
        <w:tc>
          <w:tcPr>
            <w:tcW w:w="19" w:type="pct"/>
            <w:shd w:val="clear" w:color="auto" w:fill="auto"/>
            <w:vAlign w:val="bottom"/>
          </w:tcPr>
          <w:p w14:paraId="71D48358" w14:textId="77777777" w:rsidR="006A3667" w:rsidRDefault="006A3667">
            <w:pPr>
              <w:rPr>
                <w:rFonts w:ascii="宋体"/>
              </w:rPr>
            </w:pPr>
          </w:p>
        </w:tc>
        <w:tc>
          <w:tcPr>
            <w:tcW w:w="5" w:type="pct"/>
            <w:shd w:val="clear" w:color="auto" w:fill="auto"/>
            <w:vAlign w:val="bottom"/>
          </w:tcPr>
          <w:p w14:paraId="71D48359" w14:textId="77777777" w:rsidR="006A3667" w:rsidRDefault="006A3667">
            <w:pPr>
              <w:rPr>
                <w:rFonts w:ascii="宋体"/>
              </w:rPr>
            </w:pPr>
          </w:p>
        </w:tc>
        <w:tc>
          <w:tcPr>
            <w:tcW w:w="50" w:type="pct"/>
            <w:shd w:val="clear" w:color="auto" w:fill="auto"/>
            <w:vAlign w:val="bottom"/>
          </w:tcPr>
          <w:p w14:paraId="71D4835A" w14:textId="77777777" w:rsidR="006A3667" w:rsidRDefault="006A3667">
            <w:pPr>
              <w:rPr>
                <w:rFonts w:ascii="宋体"/>
              </w:rPr>
            </w:pPr>
          </w:p>
        </w:tc>
        <w:tc>
          <w:tcPr>
            <w:tcW w:w="463" w:type="pct"/>
            <w:shd w:val="clear" w:color="auto" w:fill="auto"/>
            <w:vAlign w:val="bottom"/>
          </w:tcPr>
          <w:p w14:paraId="71D4835B" w14:textId="77777777" w:rsidR="006A3667" w:rsidRDefault="006A3667">
            <w:pPr>
              <w:rPr>
                <w:rFonts w:ascii="宋体"/>
              </w:rPr>
            </w:pPr>
          </w:p>
        </w:tc>
        <w:tc>
          <w:tcPr>
            <w:tcW w:w="5" w:type="pct"/>
            <w:shd w:val="clear" w:color="auto" w:fill="auto"/>
            <w:vAlign w:val="bottom"/>
          </w:tcPr>
          <w:p w14:paraId="71D4835C" w14:textId="77777777" w:rsidR="006A3667" w:rsidRDefault="006A3667">
            <w:pPr>
              <w:rPr>
                <w:rFonts w:ascii="宋体"/>
              </w:rPr>
            </w:pPr>
          </w:p>
        </w:tc>
        <w:tc>
          <w:tcPr>
            <w:tcW w:w="5" w:type="pct"/>
            <w:shd w:val="clear" w:color="auto" w:fill="auto"/>
            <w:vAlign w:val="bottom"/>
          </w:tcPr>
          <w:p w14:paraId="71D4835D" w14:textId="77777777" w:rsidR="006A3667" w:rsidRDefault="006A3667">
            <w:pPr>
              <w:rPr>
                <w:rFonts w:ascii="宋体"/>
              </w:rPr>
            </w:pPr>
          </w:p>
        </w:tc>
        <w:tc>
          <w:tcPr>
            <w:tcW w:w="19" w:type="pct"/>
            <w:shd w:val="clear" w:color="auto" w:fill="auto"/>
            <w:vAlign w:val="bottom"/>
          </w:tcPr>
          <w:p w14:paraId="71D4835E" w14:textId="77777777" w:rsidR="006A3667" w:rsidRDefault="006A3667">
            <w:pPr>
              <w:rPr>
                <w:rFonts w:ascii="宋体"/>
              </w:rPr>
            </w:pPr>
          </w:p>
        </w:tc>
        <w:tc>
          <w:tcPr>
            <w:tcW w:w="5" w:type="pct"/>
            <w:shd w:val="clear" w:color="auto" w:fill="auto"/>
            <w:vAlign w:val="bottom"/>
          </w:tcPr>
          <w:p w14:paraId="71D4835F" w14:textId="77777777" w:rsidR="006A3667" w:rsidRDefault="006A3667">
            <w:pPr>
              <w:rPr>
                <w:rFonts w:ascii="宋体"/>
              </w:rPr>
            </w:pPr>
          </w:p>
        </w:tc>
        <w:tc>
          <w:tcPr>
            <w:tcW w:w="50" w:type="pct"/>
            <w:shd w:val="clear" w:color="auto" w:fill="auto"/>
            <w:vAlign w:val="bottom"/>
          </w:tcPr>
          <w:p w14:paraId="71D48360" w14:textId="77777777" w:rsidR="006A3667" w:rsidRDefault="006A3667">
            <w:pPr>
              <w:rPr>
                <w:rFonts w:ascii="宋体"/>
              </w:rPr>
            </w:pPr>
          </w:p>
        </w:tc>
        <w:tc>
          <w:tcPr>
            <w:tcW w:w="332" w:type="pct"/>
            <w:shd w:val="clear" w:color="auto" w:fill="auto"/>
            <w:vAlign w:val="bottom"/>
          </w:tcPr>
          <w:p w14:paraId="71D48361" w14:textId="77777777" w:rsidR="006A3667" w:rsidRDefault="006A3667">
            <w:pPr>
              <w:rPr>
                <w:rFonts w:ascii="宋体"/>
              </w:rPr>
            </w:pPr>
          </w:p>
        </w:tc>
        <w:tc>
          <w:tcPr>
            <w:tcW w:w="5" w:type="pct"/>
            <w:shd w:val="clear" w:color="auto" w:fill="auto"/>
            <w:vAlign w:val="bottom"/>
          </w:tcPr>
          <w:p w14:paraId="71D48362" w14:textId="77777777" w:rsidR="006A3667" w:rsidRDefault="006A3667">
            <w:pPr>
              <w:rPr>
                <w:rFonts w:ascii="宋体"/>
              </w:rPr>
            </w:pPr>
          </w:p>
        </w:tc>
        <w:tc>
          <w:tcPr>
            <w:tcW w:w="5" w:type="pct"/>
            <w:shd w:val="clear" w:color="auto" w:fill="auto"/>
            <w:vAlign w:val="bottom"/>
          </w:tcPr>
          <w:p w14:paraId="71D48363" w14:textId="77777777" w:rsidR="006A3667" w:rsidRDefault="006A3667">
            <w:pPr>
              <w:rPr>
                <w:rFonts w:ascii="宋体"/>
              </w:rPr>
            </w:pPr>
          </w:p>
        </w:tc>
        <w:tc>
          <w:tcPr>
            <w:tcW w:w="19" w:type="pct"/>
            <w:shd w:val="clear" w:color="auto" w:fill="auto"/>
            <w:vAlign w:val="bottom"/>
          </w:tcPr>
          <w:p w14:paraId="71D48364" w14:textId="77777777" w:rsidR="006A3667" w:rsidRDefault="006A3667">
            <w:pPr>
              <w:rPr>
                <w:rFonts w:ascii="宋体"/>
              </w:rPr>
            </w:pPr>
          </w:p>
        </w:tc>
        <w:tc>
          <w:tcPr>
            <w:tcW w:w="5" w:type="pct"/>
            <w:shd w:val="clear" w:color="auto" w:fill="auto"/>
            <w:vAlign w:val="bottom"/>
          </w:tcPr>
          <w:p w14:paraId="71D48365" w14:textId="77777777" w:rsidR="006A3667" w:rsidRDefault="006A3667">
            <w:pPr>
              <w:rPr>
                <w:rFonts w:ascii="宋体"/>
              </w:rPr>
            </w:pPr>
          </w:p>
        </w:tc>
        <w:tc>
          <w:tcPr>
            <w:tcW w:w="50" w:type="pct"/>
            <w:shd w:val="clear" w:color="auto" w:fill="auto"/>
            <w:vAlign w:val="bottom"/>
          </w:tcPr>
          <w:p w14:paraId="71D48366" w14:textId="77777777" w:rsidR="006A3667" w:rsidRDefault="006A3667">
            <w:pPr>
              <w:rPr>
                <w:rFonts w:ascii="宋体"/>
              </w:rPr>
            </w:pPr>
          </w:p>
        </w:tc>
        <w:tc>
          <w:tcPr>
            <w:tcW w:w="339" w:type="pct"/>
            <w:shd w:val="clear" w:color="auto" w:fill="auto"/>
            <w:vAlign w:val="bottom"/>
          </w:tcPr>
          <w:p w14:paraId="71D48367" w14:textId="77777777" w:rsidR="006A3667" w:rsidRDefault="006A3667">
            <w:pPr>
              <w:rPr>
                <w:rFonts w:ascii="宋体"/>
              </w:rPr>
            </w:pPr>
          </w:p>
        </w:tc>
        <w:tc>
          <w:tcPr>
            <w:tcW w:w="5" w:type="pct"/>
            <w:shd w:val="clear" w:color="auto" w:fill="auto"/>
            <w:vAlign w:val="bottom"/>
          </w:tcPr>
          <w:p w14:paraId="71D48368" w14:textId="77777777" w:rsidR="006A3667" w:rsidRDefault="006A3667">
            <w:pPr>
              <w:rPr>
                <w:rFonts w:ascii="宋体"/>
              </w:rPr>
            </w:pPr>
          </w:p>
        </w:tc>
        <w:tc>
          <w:tcPr>
            <w:tcW w:w="5" w:type="pct"/>
            <w:shd w:val="clear" w:color="auto" w:fill="auto"/>
            <w:vAlign w:val="bottom"/>
          </w:tcPr>
          <w:p w14:paraId="71D48369" w14:textId="77777777" w:rsidR="006A3667" w:rsidRDefault="006A3667">
            <w:pPr>
              <w:rPr>
                <w:rFonts w:ascii="宋体"/>
              </w:rPr>
            </w:pPr>
          </w:p>
        </w:tc>
        <w:tc>
          <w:tcPr>
            <w:tcW w:w="19" w:type="pct"/>
            <w:shd w:val="clear" w:color="auto" w:fill="auto"/>
            <w:vAlign w:val="bottom"/>
          </w:tcPr>
          <w:p w14:paraId="71D4836A" w14:textId="77777777" w:rsidR="006A3667" w:rsidRDefault="006A3667">
            <w:pPr>
              <w:rPr>
                <w:rFonts w:ascii="宋体"/>
              </w:rPr>
            </w:pPr>
          </w:p>
        </w:tc>
        <w:tc>
          <w:tcPr>
            <w:tcW w:w="5" w:type="pct"/>
            <w:shd w:val="clear" w:color="auto" w:fill="auto"/>
            <w:vAlign w:val="bottom"/>
          </w:tcPr>
          <w:p w14:paraId="71D4836B" w14:textId="77777777" w:rsidR="006A3667" w:rsidRDefault="006A3667">
            <w:pPr>
              <w:rPr>
                <w:rFonts w:ascii="宋体"/>
              </w:rPr>
            </w:pPr>
          </w:p>
        </w:tc>
        <w:tc>
          <w:tcPr>
            <w:tcW w:w="50" w:type="pct"/>
            <w:shd w:val="clear" w:color="auto" w:fill="auto"/>
            <w:vAlign w:val="bottom"/>
          </w:tcPr>
          <w:p w14:paraId="71D4836C" w14:textId="77777777" w:rsidR="006A3667" w:rsidRDefault="006A3667">
            <w:pPr>
              <w:rPr>
                <w:rFonts w:ascii="宋体"/>
              </w:rPr>
            </w:pPr>
          </w:p>
        </w:tc>
        <w:tc>
          <w:tcPr>
            <w:tcW w:w="332" w:type="pct"/>
            <w:shd w:val="clear" w:color="auto" w:fill="auto"/>
            <w:vAlign w:val="bottom"/>
          </w:tcPr>
          <w:p w14:paraId="71D4836D" w14:textId="77777777" w:rsidR="006A3667" w:rsidRDefault="006A3667">
            <w:pPr>
              <w:rPr>
                <w:rFonts w:ascii="宋体"/>
              </w:rPr>
            </w:pPr>
          </w:p>
        </w:tc>
        <w:tc>
          <w:tcPr>
            <w:tcW w:w="5" w:type="pct"/>
            <w:shd w:val="clear" w:color="auto" w:fill="auto"/>
            <w:vAlign w:val="bottom"/>
          </w:tcPr>
          <w:p w14:paraId="71D4836E" w14:textId="77777777" w:rsidR="006A3667" w:rsidRDefault="006A3667">
            <w:pPr>
              <w:rPr>
                <w:rFonts w:ascii="宋体"/>
              </w:rPr>
            </w:pPr>
          </w:p>
        </w:tc>
        <w:tc>
          <w:tcPr>
            <w:tcW w:w="5" w:type="pct"/>
            <w:shd w:val="clear" w:color="auto" w:fill="auto"/>
            <w:vAlign w:val="bottom"/>
          </w:tcPr>
          <w:p w14:paraId="71D4836F" w14:textId="77777777" w:rsidR="006A3667" w:rsidRDefault="006A3667">
            <w:pPr>
              <w:rPr>
                <w:rFonts w:ascii="宋体"/>
              </w:rPr>
            </w:pPr>
          </w:p>
        </w:tc>
        <w:tc>
          <w:tcPr>
            <w:tcW w:w="19" w:type="pct"/>
            <w:shd w:val="clear" w:color="auto" w:fill="auto"/>
            <w:vAlign w:val="bottom"/>
          </w:tcPr>
          <w:p w14:paraId="71D48370" w14:textId="77777777" w:rsidR="006A3667" w:rsidRDefault="006A3667">
            <w:pPr>
              <w:rPr>
                <w:rFonts w:ascii="宋体"/>
              </w:rPr>
            </w:pPr>
          </w:p>
        </w:tc>
        <w:tc>
          <w:tcPr>
            <w:tcW w:w="5" w:type="pct"/>
            <w:shd w:val="clear" w:color="auto" w:fill="auto"/>
            <w:vAlign w:val="bottom"/>
          </w:tcPr>
          <w:p w14:paraId="71D48371" w14:textId="77777777" w:rsidR="006A3667" w:rsidRDefault="006A3667">
            <w:pPr>
              <w:rPr>
                <w:rFonts w:ascii="宋体"/>
              </w:rPr>
            </w:pPr>
          </w:p>
        </w:tc>
        <w:tc>
          <w:tcPr>
            <w:tcW w:w="50" w:type="pct"/>
            <w:shd w:val="clear" w:color="auto" w:fill="auto"/>
            <w:vAlign w:val="bottom"/>
          </w:tcPr>
          <w:p w14:paraId="71D48372" w14:textId="77777777" w:rsidR="006A3667" w:rsidRDefault="006A3667">
            <w:pPr>
              <w:rPr>
                <w:rFonts w:ascii="宋体"/>
              </w:rPr>
            </w:pPr>
          </w:p>
        </w:tc>
        <w:tc>
          <w:tcPr>
            <w:tcW w:w="332" w:type="pct"/>
            <w:shd w:val="clear" w:color="auto" w:fill="auto"/>
            <w:vAlign w:val="bottom"/>
          </w:tcPr>
          <w:p w14:paraId="71D48373" w14:textId="77777777" w:rsidR="006A3667" w:rsidRDefault="006A3667">
            <w:pPr>
              <w:rPr>
                <w:rFonts w:ascii="宋体"/>
              </w:rPr>
            </w:pPr>
          </w:p>
        </w:tc>
        <w:tc>
          <w:tcPr>
            <w:tcW w:w="5" w:type="pct"/>
            <w:shd w:val="clear" w:color="auto" w:fill="auto"/>
            <w:vAlign w:val="bottom"/>
          </w:tcPr>
          <w:p w14:paraId="71D48374" w14:textId="77777777" w:rsidR="006A3667" w:rsidRDefault="006A3667">
            <w:pPr>
              <w:rPr>
                <w:rFonts w:ascii="宋体"/>
              </w:rPr>
            </w:pPr>
          </w:p>
        </w:tc>
        <w:tc>
          <w:tcPr>
            <w:tcW w:w="5" w:type="pct"/>
            <w:shd w:val="clear" w:color="auto" w:fill="auto"/>
            <w:vAlign w:val="bottom"/>
          </w:tcPr>
          <w:p w14:paraId="71D48375" w14:textId="77777777" w:rsidR="006A3667" w:rsidRDefault="006A3667">
            <w:pPr>
              <w:rPr>
                <w:rFonts w:ascii="宋体"/>
              </w:rPr>
            </w:pPr>
          </w:p>
        </w:tc>
        <w:tc>
          <w:tcPr>
            <w:tcW w:w="19" w:type="pct"/>
            <w:shd w:val="clear" w:color="auto" w:fill="auto"/>
            <w:vAlign w:val="bottom"/>
          </w:tcPr>
          <w:p w14:paraId="71D48376" w14:textId="77777777" w:rsidR="006A3667" w:rsidRDefault="006A3667">
            <w:pPr>
              <w:rPr>
                <w:rFonts w:ascii="宋体"/>
              </w:rPr>
            </w:pPr>
          </w:p>
        </w:tc>
        <w:tc>
          <w:tcPr>
            <w:tcW w:w="5" w:type="pct"/>
            <w:shd w:val="clear" w:color="auto" w:fill="auto"/>
            <w:vAlign w:val="bottom"/>
          </w:tcPr>
          <w:p w14:paraId="71D48377" w14:textId="77777777" w:rsidR="006A3667" w:rsidRDefault="006A3667">
            <w:pPr>
              <w:rPr>
                <w:rFonts w:ascii="宋体"/>
              </w:rPr>
            </w:pPr>
          </w:p>
        </w:tc>
        <w:tc>
          <w:tcPr>
            <w:tcW w:w="50" w:type="pct"/>
            <w:shd w:val="clear" w:color="auto" w:fill="auto"/>
            <w:vAlign w:val="bottom"/>
          </w:tcPr>
          <w:p w14:paraId="71D48378" w14:textId="77777777" w:rsidR="006A3667" w:rsidRDefault="006A3667">
            <w:pPr>
              <w:rPr>
                <w:rFonts w:ascii="宋体"/>
              </w:rPr>
            </w:pPr>
          </w:p>
        </w:tc>
        <w:tc>
          <w:tcPr>
            <w:tcW w:w="332" w:type="pct"/>
            <w:shd w:val="clear" w:color="auto" w:fill="auto"/>
            <w:vAlign w:val="bottom"/>
          </w:tcPr>
          <w:p w14:paraId="71D48379" w14:textId="77777777" w:rsidR="006A3667" w:rsidRDefault="006A3667">
            <w:pPr>
              <w:rPr>
                <w:rFonts w:ascii="宋体"/>
              </w:rPr>
            </w:pPr>
          </w:p>
        </w:tc>
        <w:tc>
          <w:tcPr>
            <w:tcW w:w="5" w:type="pct"/>
            <w:shd w:val="clear" w:color="auto" w:fill="auto"/>
            <w:vAlign w:val="bottom"/>
          </w:tcPr>
          <w:p w14:paraId="71D4837A" w14:textId="77777777" w:rsidR="006A3667" w:rsidRDefault="006A3667">
            <w:pPr>
              <w:rPr>
                <w:rFonts w:ascii="宋体"/>
              </w:rPr>
            </w:pPr>
          </w:p>
        </w:tc>
        <w:tc>
          <w:tcPr>
            <w:tcW w:w="5" w:type="pct"/>
            <w:shd w:val="clear" w:color="auto" w:fill="auto"/>
            <w:vAlign w:val="bottom"/>
          </w:tcPr>
          <w:p w14:paraId="71D4837B" w14:textId="77777777" w:rsidR="006A3667" w:rsidRDefault="006A3667">
            <w:pPr>
              <w:rPr>
                <w:rFonts w:ascii="宋体"/>
              </w:rPr>
            </w:pPr>
          </w:p>
        </w:tc>
        <w:tc>
          <w:tcPr>
            <w:tcW w:w="19" w:type="pct"/>
            <w:shd w:val="clear" w:color="auto" w:fill="auto"/>
            <w:vAlign w:val="bottom"/>
          </w:tcPr>
          <w:p w14:paraId="71D4837C" w14:textId="77777777" w:rsidR="006A3667" w:rsidRDefault="006A3667">
            <w:pPr>
              <w:rPr>
                <w:rFonts w:ascii="宋体"/>
              </w:rPr>
            </w:pPr>
          </w:p>
        </w:tc>
        <w:tc>
          <w:tcPr>
            <w:tcW w:w="5" w:type="pct"/>
            <w:shd w:val="clear" w:color="auto" w:fill="auto"/>
            <w:vAlign w:val="bottom"/>
          </w:tcPr>
          <w:p w14:paraId="71D4837D" w14:textId="77777777" w:rsidR="006A3667" w:rsidRDefault="006A3667">
            <w:pPr>
              <w:rPr>
                <w:rFonts w:ascii="宋体"/>
              </w:rPr>
            </w:pPr>
          </w:p>
        </w:tc>
        <w:tc>
          <w:tcPr>
            <w:tcW w:w="50" w:type="pct"/>
            <w:shd w:val="clear" w:color="auto" w:fill="auto"/>
            <w:vAlign w:val="bottom"/>
          </w:tcPr>
          <w:p w14:paraId="71D4837E" w14:textId="77777777" w:rsidR="006A3667" w:rsidRDefault="006A3667">
            <w:pPr>
              <w:rPr>
                <w:rFonts w:ascii="宋体"/>
              </w:rPr>
            </w:pPr>
          </w:p>
        </w:tc>
        <w:tc>
          <w:tcPr>
            <w:tcW w:w="617" w:type="pct"/>
            <w:shd w:val="clear" w:color="auto" w:fill="auto"/>
            <w:vAlign w:val="bottom"/>
          </w:tcPr>
          <w:p w14:paraId="71D4837F" w14:textId="77777777" w:rsidR="006A3667" w:rsidRDefault="006A3667">
            <w:pPr>
              <w:rPr>
                <w:rFonts w:ascii="宋体"/>
              </w:rPr>
            </w:pPr>
          </w:p>
        </w:tc>
        <w:tc>
          <w:tcPr>
            <w:tcW w:w="5" w:type="pct"/>
            <w:shd w:val="clear" w:color="auto" w:fill="auto"/>
            <w:vAlign w:val="bottom"/>
          </w:tcPr>
          <w:p w14:paraId="71D48380" w14:textId="77777777" w:rsidR="006A3667" w:rsidRDefault="006A3667">
            <w:pPr>
              <w:rPr>
                <w:rFonts w:ascii="宋体"/>
              </w:rPr>
            </w:pPr>
          </w:p>
        </w:tc>
        <w:tc>
          <w:tcPr>
            <w:tcW w:w="5" w:type="pct"/>
            <w:shd w:val="clear" w:color="auto" w:fill="auto"/>
            <w:vAlign w:val="bottom"/>
          </w:tcPr>
          <w:p w14:paraId="71D48381" w14:textId="77777777" w:rsidR="006A3667" w:rsidRDefault="006A3667">
            <w:pPr>
              <w:rPr>
                <w:rFonts w:ascii="宋体"/>
              </w:rPr>
            </w:pPr>
          </w:p>
        </w:tc>
        <w:tc>
          <w:tcPr>
            <w:tcW w:w="19" w:type="pct"/>
            <w:shd w:val="clear" w:color="auto" w:fill="auto"/>
            <w:vAlign w:val="bottom"/>
          </w:tcPr>
          <w:p w14:paraId="71D48382" w14:textId="77777777" w:rsidR="006A3667" w:rsidRDefault="006A3667">
            <w:pPr>
              <w:rPr>
                <w:rFonts w:ascii="宋体"/>
              </w:rPr>
            </w:pPr>
          </w:p>
        </w:tc>
        <w:tc>
          <w:tcPr>
            <w:tcW w:w="5" w:type="pct"/>
            <w:shd w:val="clear" w:color="auto" w:fill="auto"/>
            <w:vAlign w:val="bottom"/>
          </w:tcPr>
          <w:p w14:paraId="71D48383" w14:textId="77777777" w:rsidR="006A3667" w:rsidRDefault="006A3667">
            <w:pPr>
              <w:rPr>
                <w:rFonts w:ascii="宋体"/>
              </w:rPr>
            </w:pPr>
          </w:p>
        </w:tc>
        <w:tc>
          <w:tcPr>
            <w:tcW w:w="50" w:type="pct"/>
            <w:shd w:val="clear" w:color="auto" w:fill="auto"/>
            <w:vAlign w:val="bottom"/>
          </w:tcPr>
          <w:p w14:paraId="71D48384" w14:textId="77777777" w:rsidR="006A3667" w:rsidRDefault="006A3667">
            <w:pPr>
              <w:rPr>
                <w:rFonts w:ascii="宋体"/>
              </w:rPr>
            </w:pPr>
          </w:p>
        </w:tc>
        <w:tc>
          <w:tcPr>
            <w:tcW w:w="325" w:type="pct"/>
            <w:shd w:val="clear" w:color="auto" w:fill="auto"/>
            <w:vAlign w:val="bottom"/>
          </w:tcPr>
          <w:p w14:paraId="71D48385" w14:textId="77777777" w:rsidR="006A3667" w:rsidRDefault="006A3667">
            <w:pPr>
              <w:rPr>
                <w:rFonts w:ascii="宋体"/>
              </w:rPr>
            </w:pPr>
          </w:p>
        </w:tc>
        <w:tc>
          <w:tcPr>
            <w:tcW w:w="5" w:type="pct"/>
            <w:shd w:val="clear" w:color="auto" w:fill="auto"/>
            <w:vAlign w:val="bottom"/>
          </w:tcPr>
          <w:p w14:paraId="71D48386" w14:textId="77777777" w:rsidR="006A3667" w:rsidRDefault="006A3667">
            <w:pPr>
              <w:rPr>
                <w:rFonts w:ascii="宋体"/>
              </w:rPr>
            </w:pPr>
          </w:p>
        </w:tc>
        <w:tc>
          <w:tcPr>
            <w:tcW w:w="5" w:type="pct"/>
            <w:shd w:val="clear" w:color="auto" w:fill="auto"/>
            <w:vAlign w:val="bottom"/>
          </w:tcPr>
          <w:p w14:paraId="71D48387" w14:textId="77777777" w:rsidR="006A3667" w:rsidRDefault="006A3667">
            <w:pPr>
              <w:rPr>
                <w:rFonts w:ascii="宋体"/>
              </w:rPr>
            </w:pPr>
          </w:p>
        </w:tc>
        <w:tc>
          <w:tcPr>
            <w:tcW w:w="19" w:type="pct"/>
            <w:shd w:val="clear" w:color="auto" w:fill="auto"/>
            <w:vAlign w:val="bottom"/>
          </w:tcPr>
          <w:p w14:paraId="71D48388" w14:textId="77777777" w:rsidR="006A3667" w:rsidRDefault="006A3667">
            <w:pPr>
              <w:rPr>
                <w:rFonts w:ascii="宋体"/>
              </w:rPr>
            </w:pPr>
          </w:p>
        </w:tc>
        <w:tc>
          <w:tcPr>
            <w:tcW w:w="5" w:type="pct"/>
            <w:shd w:val="clear" w:color="auto" w:fill="auto"/>
            <w:vAlign w:val="bottom"/>
          </w:tcPr>
          <w:p w14:paraId="71D48389" w14:textId="77777777" w:rsidR="006A3667" w:rsidRDefault="006A3667">
            <w:pPr>
              <w:rPr>
                <w:rFonts w:ascii="宋体"/>
              </w:rPr>
            </w:pPr>
          </w:p>
        </w:tc>
        <w:tc>
          <w:tcPr>
            <w:tcW w:w="50" w:type="pct"/>
            <w:shd w:val="clear" w:color="auto" w:fill="auto"/>
            <w:vAlign w:val="bottom"/>
          </w:tcPr>
          <w:p w14:paraId="71D4838A" w14:textId="77777777" w:rsidR="006A3667" w:rsidRDefault="006A3667">
            <w:pPr>
              <w:rPr>
                <w:rFonts w:ascii="宋体"/>
              </w:rPr>
            </w:pPr>
          </w:p>
        </w:tc>
        <w:tc>
          <w:tcPr>
            <w:tcW w:w="361" w:type="pct"/>
            <w:shd w:val="clear" w:color="auto" w:fill="auto"/>
            <w:vAlign w:val="bottom"/>
          </w:tcPr>
          <w:p w14:paraId="71D4838B" w14:textId="77777777" w:rsidR="006A3667" w:rsidRDefault="006A3667">
            <w:pPr>
              <w:rPr>
                <w:rFonts w:ascii="宋体"/>
              </w:rPr>
            </w:pPr>
          </w:p>
        </w:tc>
        <w:tc>
          <w:tcPr>
            <w:tcW w:w="5" w:type="pct"/>
            <w:shd w:val="clear" w:color="auto" w:fill="auto"/>
            <w:vAlign w:val="bottom"/>
          </w:tcPr>
          <w:p w14:paraId="71D4838C" w14:textId="77777777" w:rsidR="006A3667" w:rsidRDefault="006A3667">
            <w:pPr>
              <w:rPr>
                <w:rFonts w:ascii="宋体"/>
              </w:rPr>
            </w:pPr>
          </w:p>
        </w:tc>
        <w:tc>
          <w:tcPr>
            <w:tcW w:w="5" w:type="pct"/>
            <w:shd w:val="clear" w:color="auto" w:fill="auto"/>
            <w:vAlign w:val="bottom"/>
          </w:tcPr>
          <w:p w14:paraId="71D4838D" w14:textId="77777777" w:rsidR="006A3667" w:rsidRDefault="006A3667">
            <w:pPr>
              <w:rPr>
                <w:rFonts w:ascii="宋体"/>
              </w:rPr>
            </w:pPr>
          </w:p>
        </w:tc>
        <w:tc>
          <w:tcPr>
            <w:tcW w:w="19" w:type="pct"/>
            <w:shd w:val="clear" w:color="auto" w:fill="auto"/>
            <w:vAlign w:val="bottom"/>
          </w:tcPr>
          <w:p w14:paraId="71D4838E" w14:textId="77777777" w:rsidR="006A3667" w:rsidRDefault="006A3667">
            <w:pPr>
              <w:rPr>
                <w:rFonts w:ascii="宋体"/>
              </w:rPr>
            </w:pPr>
          </w:p>
        </w:tc>
        <w:tc>
          <w:tcPr>
            <w:tcW w:w="5" w:type="pct"/>
            <w:shd w:val="clear" w:color="auto" w:fill="auto"/>
            <w:vAlign w:val="bottom"/>
          </w:tcPr>
          <w:p w14:paraId="71D4838F" w14:textId="77777777" w:rsidR="006A3667" w:rsidRDefault="006A3667">
            <w:pPr>
              <w:rPr>
                <w:rFonts w:ascii="宋体"/>
              </w:rPr>
            </w:pPr>
          </w:p>
        </w:tc>
        <w:tc>
          <w:tcPr>
            <w:tcW w:w="50" w:type="pct"/>
            <w:shd w:val="clear" w:color="auto" w:fill="auto"/>
            <w:vAlign w:val="bottom"/>
          </w:tcPr>
          <w:p w14:paraId="71D48390" w14:textId="77777777" w:rsidR="006A3667" w:rsidRDefault="006A3667">
            <w:pPr>
              <w:rPr>
                <w:rFonts w:ascii="宋体"/>
              </w:rPr>
            </w:pPr>
          </w:p>
        </w:tc>
        <w:tc>
          <w:tcPr>
            <w:tcW w:w="391" w:type="pct"/>
            <w:shd w:val="clear" w:color="auto" w:fill="auto"/>
            <w:vAlign w:val="bottom"/>
          </w:tcPr>
          <w:p w14:paraId="71D48391" w14:textId="77777777" w:rsidR="006A3667" w:rsidRDefault="006A3667">
            <w:pPr>
              <w:rPr>
                <w:rFonts w:ascii="宋体"/>
              </w:rPr>
            </w:pPr>
          </w:p>
        </w:tc>
        <w:tc>
          <w:tcPr>
            <w:tcW w:w="5" w:type="pct"/>
            <w:shd w:val="clear" w:color="auto" w:fill="auto"/>
            <w:vAlign w:val="bottom"/>
          </w:tcPr>
          <w:p w14:paraId="71D48392" w14:textId="77777777" w:rsidR="006A3667" w:rsidRDefault="006A3667">
            <w:pPr>
              <w:rPr>
                <w:rFonts w:ascii="宋体"/>
              </w:rPr>
            </w:pPr>
          </w:p>
        </w:tc>
      </w:tr>
      <w:tr w:rsidR="006A3667" w14:paraId="71D483A9" w14:textId="77777777">
        <w:tc>
          <w:tcPr>
            <w:tcW w:w="0" w:type="auto"/>
            <w:gridSpan w:val="3"/>
            <w:shd w:val="clear" w:color="auto" w:fill="auto"/>
            <w:tcMar>
              <w:top w:w="40" w:type="dxa"/>
              <w:left w:w="20" w:type="dxa"/>
              <w:bottom w:w="40" w:type="dxa"/>
              <w:right w:w="20" w:type="dxa"/>
            </w:tcMar>
            <w:vAlign w:val="bottom"/>
          </w:tcPr>
          <w:p w14:paraId="71D48394" w14:textId="77777777" w:rsidR="006A3667" w:rsidRDefault="00045F32">
            <w:pP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71D4839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96" w14:textId="77777777" w:rsidR="006A3667" w:rsidRDefault="00045F32">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71D4839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98" w14:textId="77777777" w:rsidR="006A3667" w:rsidRDefault="00045F32">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71D4839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9A" w14:textId="77777777" w:rsidR="006A3667" w:rsidRDefault="00045F32">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0" w:type="dxa"/>
              <w:left w:w="20" w:type="dxa"/>
              <w:bottom w:w="0" w:type="dxa"/>
              <w:right w:w="20" w:type="dxa"/>
            </w:tcMar>
            <w:vAlign w:val="bottom"/>
          </w:tcPr>
          <w:p w14:paraId="71D4839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9C" w14:textId="77777777" w:rsidR="006A3667" w:rsidRDefault="00045F32">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71D4839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9E" w14:textId="77777777" w:rsidR="006A3667" w:rsidRDefault="00045F32">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71D4839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A0" w14:textId="77777777" w:rsidR="006A3667" w:rsidRDefault="00045F32">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71D483A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A2" w14:textId="77777777" w:rsidR="006A3667" w:rsidRDefault="00045F32">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71D483A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A4" w14:textId="77777777" w:rsidR="006A3667" w:rsidRDefault="00045F32">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71D483A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A6" w14:textId="77777777" w:rsidR="006A3667" w:rsidRDefault="00045F32">
            <w:pPr>
              <w:jc w:val="center"/>
              <w:textAlignment w:val="bottom"/>
            </w:pPr>
            <w:r>
              <w:rPr>
                <w:rFonts w:ascii="Arial" w:eastAsia="宋体" w:hAnsi="Arial" w:cs="Arial"/>
                <w:b/>
                <w:bCs/>
                <w:color w:val="000000"/>
                <w:sz w:val="12"/>
                <w:szCs w:val="12"/>
              </w:rPr>
              <w:t>Carrying Value as of September 30, 2022</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71D483A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3A8" w14:textId="77777777" w:rsidR="006A3667" w:rsidRDefault="00045F32">
            <w:pP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6A3667" w14:paraId="71D483BF" w14:textId="77777777">
        <w:trPr>
          <w:hidden/>
        </w:trPr>
        <w:tc>
          <w:tcPr>
            <w:tcW w:w="0" w:type="auto"/>
            <w:gridSpan w:val="3"/>
            <w:shd w:val="clear" w:color="auto" w:fill="auto"/>
            <w:vAlign w:val="bottom"/>
          </w:tcPr>
          <w:p w14:paraId="71D483AA" w14:textId="77777777" w:rsidR="006A3667" w:rsidRDefault="006A3667">
            <w:pPr>
              <w:rPr>
                <w:rFonts w:ascii="宋体"/>
                <w:vanish/>
              </w:rPr>
            </w:pPr>
          </w:p>
        </w:tc>
        <w:tc>
          <w:tcPr>
            <w:tcW w:w="0" w:type="auto"/>
            <w:gridSpan w:val="3"/>
            <w:shd w:val="clear" w:color="auto" w:fill="auto"/>
            <w:vAlign w:val="bottom"/>
          </w:tcPr>
          <w:p w14:paraId="71D483AB" w14:textId="77777777" w:rsidR="006A3667" w:rsidRDefault="006A3667">
            <w:pPr>
              <w:rPr>
                <w:rFonts w:ascii="宋体"/>
                <w:vanish/>
              </w:rPr>
            </w:pPr>
          </w:p>
        </w:tc>
        <w:tc>
          <w:tcPr>
            <w:tcW w:w="0" w:type="auto"/>
            <w:gridSpan w:val="3"/>
            <w:shd w:val="clear" w:color="auto" w:fill="auto"/>
            <w:vAlign w:val="bottom"/>
          </w:tcPr>
          <w:p w14:paraId="71D483AC" w14:textId="77777777" w:rsidR="006A3667" w:rsidRDefault="006A3667">
            <w:pPr>
              <w:rPr>
                <w:rFonts w:ascii="宋体"/>
                <w:vanish/>
              </w:rPr>
            </w:pPr>
          </w:p>
        </w:tc>
        <w:tc>
          <w:tcPr>
            <w:tcW w:w="0" w:type="auto"/>
            <w:gridSpan w:val="3"/>
            <w:shd w:val="clear" w:color="auto" w:fill="auto"/>
            <w:vAlign w:val="bottom"/>
          </w:tcPr>
          <w:p w14:paraId="71D483AD" w14:textId="77777777" w:rsidR="006A3667" w:rsidRDefault="006A3667">
            <w:pPr>
              <w:rPr>
                <w:rFonts w:ascii="宋体"/>
                <w:vanish/>
              </w:rPr>
            </w:pPr>
          </w:p>
        </w:tc>
        <w:tc>
          <w:tcPr>
            <w:tcW w:w="0" w:type="auto"/>
            <w:gridSpan w:val="3"/>
            <w:shd w:val="clear" w:color="auto" w:fill="auto"/>
            <w:vAlign w:val="bottom"/>
          </w:tcPr>
          <w:p w14:paraId="71D483AE" w14:textId="77777777" w:rsidR="006A3667" w:rsidRDefault="006A3667">
            <w:pPr>
              <w:rPr>
                <w:rFonts w:ascii="宋体"/>
                <w:vanish/>
              </w:rPr>
            </w:pPr>
          </w:p>
        </w:tc>
        <w:tc>
          <w:tcPr>
            <w:tcW w:w="0" w:type="auto"/>
            <w:gridSpan w:val="3"/>
            <w:shd w:val="clear" w:color="auto" w:fill="auto"/>
            <w:vAlign w:val="bottom"/>
          </w:tcPr>
          <w:p w14:paraId="71D483AF" w14:textId="77777777" w:rsidR="006A3667" w:rsidRDefault="006A3667">
            <w:pPr>
              <w:rPr>
                <w:rFonts w:ascii="宋体"/>
                <w:vanish/>
              </w:rPr>
            </w:pPr>
          </w:p>
        </w:tc>
        <w:tc>
          <w:tcPr>
            <w:tcW w:w="0" w:type="auto"/>
            <w:gridSpan w:val="3"/>
            <w:shd w:val="clear" w:color="auto" w:fill="auto"/>
            <w:vAlign w:val="bottom"/>
          </w:tcPr>
          <w:p w14:paraId="71D483B0" w14:textId="77777777" w:rsidR="006A3667" w:rsidRDefault="006A3667">
            <w:pPr>
              <w:rPr>
                <w:rFonts w:ascii="宋体"/>
                <w:vanish/>
              </w:rPr>
            </w:pPr>
          </w:p>
        </w:tc>
        <w:tc>
          <w:tcPr>
            <w:tcW w:w="0" w:type="auto"/>
            <w:gridSpan w:val="3"/>
            <w:shd w:val="clear" w:color="auto" w:fill="auto"/>
            <w:vAlign w:val="bottom"/>
          </w:tcPr>
          <w:p w14:paraId="71D483B1" w14:textId="77777777" w:rsidR="006A3667" w:rsidRDefault="006A3667">
            <w:pPr>
              <w:rPr>
                <w:rFonts w:ascii="宋体"/>
                <w:vanish/>
              </w:rPr>
            </w:pPr>
          </w:p>
        </w:tc>
        <w:tc>
          <w:tcPr>
            <w:tcW w:w="0" w:type="auto"/>
            <w:gridSpan w:val="3"/>
            <w:shd w:val="clear" w:color="auto" w:fill="auto"/>
            <w:vAlign w:val="bottom"/>
          </w:tcPr>
          <w:p w14:paraId="71D483B2" w14:textId="77777777" w:rsidR="006A3667" w:rsidRDefault="006A3667">
            <w:pPr>
              <w:rPr>
                <w:rFonts w:ascii="宋体"/>
                <w:vanish/>
              </w:rPr>
            </w:pPr>
          </w:p>
        </w:tc>
        <w:tc>
          <w:tcPr>
            <w:tcW w:w="0" w:type="auto"/>
            <w:gridSpan w:val="3"/>
            <w:shd w:val="clear" w:color="auto" w:fill="auto"/>
            <w:vAlign w:val="bottom"/>
          </w:tcPr>
          <w:p w14:paraId="71D483B3" w14:textId="77777777" w:rsidR="006A3667" w:rsidRDefault="006A3667">
            <w:pPr>
              <w:rPr>
                <w:rFonts w:ascii="宋体"/>
                <w:vanish/>
              </w:rPr>
            </w:pPr>
          </w:p>
        </w:tc>
        <w:tc>
          <w:tcPr>
            <w:tcW w:w="0" w:type="auto"/>
            <w:gridSpan w:val="3"/>
            <w:shd w:val="clear" w:color="auto" w:fill="auto"/>
            <w:vAlign w:val="bottom"/>
          </w:tcPr>
          <w:p w14:paraId="71D483B4" w14:textId="77777777" w:rsidR="006A3667" w:rsidRDefault="006A3667">
            <w:pPr>
              <w:rPr>
                <w:rFonts w:ascii="宋体"/>
                <w:vanish/>
              </w:rPr>
            </w:pPr>
          </w:p>
        </w:tc>
        <w:tc>
          <w:tcPr>
            <w:tcW w:w="0" w:type="auto"/>
            <w:gridSpan w:val="3"/>
            <w:shd w:val="clear" w:color="auto" w:fill="auto"/>
            <w:vAlign w:val="bottom"/>
          </w:tcPr>
          <w:p w14:paraId="71D483B5" w14:textId="77777777" w:rsidR="006A3667" w:rsidRDefault="006A3667">
            <w:pPr>
              <w:rPr>
                <w:rFonts w:ascii="宋体"/>
                <w:vanish/>
              </w:rPr>
            </w:pPr>
          </w:p>
        </w:tc>
        <w:tc>
          <w:tcPr>
            <w:tcW w:w="0" w:type="auto"/>
            <w:gridSpan w:val="3"/>
            <w:shd w:val="clear" w:color="auto" w:fill="auto"/>
            <w:vAlign w:val="bottom"/>
          </w:tcPr>
          <w:p w14:paraId="71D483B6" w14:textId="77777777" w:rsidR="006A3667" w:rsidRDefault="006A3667">
            <w:pPr>
              <w:rPr>
                <w:rFonts w:ascii="宋体"/>
                <w:vanish/>
              </w:rPr>
            </w:pPr>
          </w:p>
        </w:tc>
        <w:tc>
          <w:tcPr>
            <w:tcW w:w="0" w:type="auto"/>
            <w:gridSpan w:val="3"/>
            <w:shd w:val="clear" w:color="auto" w:fill="auto"/>
            <w:vAlign w:val="bottom"/>
          </w:tcPr>
          <w:p w14:paraId="71D483B7" w14:textId="77777777" w:rsidR="006A3667" w:rsidRDefault="006A3667">
            <w:pPr>
              <w:rPr>
                <w:rFonts w:ascii="宋体"/>
                <w:vanish/>
              </w:rPr>
            </w:pPr>
          </w:p>
        </w:tc>
        <w:tc>
          <w:tcPr>
            <w:tcW w:w="0" w:type="auto"/>
            <w:gridSpan w:val="3"/>
            <w:shd w:val="clear" w:color="auto" w:fill="auto"/>
            <w:vAlign w:val="bottom"/>
          </w:tcPr>
          <w:p w14:paraId="71D483B8" w14:textId="77777777" w:rsidR="006A3667" w:rsidRDefault="006A3667">
            <w:pPr>
              <w:rPr>
                <w:rFonts w:ascii="宋体"/>
                <w:vanish/>
              </w:rPr>
            </w:pPr>
          </w:p>
        </w:tc>
        <w:tc>
          <w:tcPr>
            <w:tcW w:w="0" w:type="auto"/>
            <w:gridSpan w:val="3"/>
            <w:shd w:val="clear" w:color="auto" w:fill="auto"/>
            <w:vAlign w:val="bottom"/>
          </w:tcPr>
          <w:p w14:paraId="71D483B9" w14:textId="77777777" w:rsidR="006A3667" w:rsidRDefault="006A3667">
            <w:pPr>
              <w:rPr>
                <w:rFonts w:ascii="宋体"/>
                <w:vanish/>
              </w:rPr>
            </w:pPr>
          </w:p>
        </w:tc>
        <w:tc>
          <w:tcPr>
            <w:tcW w:w="0" w:type="auto"/>
            <w:gridSpan w:val="3"/>
            <w:shd w:val="clear" w:color="auto" w:fill="auto"/>
            <w:vAlign w:val="bottom"/>
          </w:tcPr>
          <w:p w14:paraId="71D483BA" w14:textId="77777777" w:rsidR="006A3667" w:rsidRDefault="006A3667">
            <w:pPr>
              <w:rPr>
                <w:rFonts w:ascii="宋体"/>
                <w:vanish/>
              </w:rPr>
            </w:pPr>
          </w:p>
        </w:tc>
        <w:tc>
          <w:tcPr>
            <w:tcW w:w="0" w:type="auto"/>
            <w:gridSpan w:val="3"/>
            <w:shd w:val="clear" w:color="auto" w:fill="auto"/>
            <w:vAlign w:val="bottom"/>
          </w:tcPr>
          <w:p w14:paraId="71D483BB" w14:textId="77777777" w:rsidR="006A3667" w:rsidRDefault="006A3667">
            <w:pPr>
              <w:rPr>
                <w:rFonts w:ascii="宋体"/>
                <w:vanish/>
              </w:rPr>
            </w:pPr>
          </w:p>
        </w:tc>
        <w:tc>
          <w:tcPr>
            <w:tcW w:w="0" w:type="auto"/>
            <w:gridSpan w:val="3"/>
            <w:shd w:val="clear" w:color="auto" w:fill="auto"/>
            <w:vAlign w:val="bottom"/>
          </w:tcPr>
          <w:p w14:paraId="71D483BC" w14:textId="77777777" w:rsidR="006A3667" w:rsidRDefault="006A3667">
            <w:pPr>
              <w:rPr>
                <w:rFonts w:ascii="宋体"/>
                <w:vanish/>
              </w:rPr>
            </w:pPr>
          </w:p>
        </w:tc>
        <w:tc>
          <w:tcPr>
            <w:tcW w:w="0" w:type="auto"/>
            <w:gridSpan w:val="3"/>
            <w:shd w:val="clear" w:color="auto" w:fill="auto"/>
            <w:vAlign w:val="bottom"/>
          </w:tcPr>
          <w:p w14:paraId="71D483BD" w14:textId="77777777" w:rsidR="006A3667" w:rsidRDefault="006A3667">
            <w:pPr>
              <w:rPr>
                <w:rFonts w:ascii="宋体"/>
                <w:vanish/>
              </w:rPr>
            </w:pPr>
          </w:p>
        </w:tc>
        <w:tc>
          <w:tcPr>
            <w:tcW w:w="0" w:type="auto"/>
            <w:gridSpan w:val="3"/>
            <w:shd w:val="clear" w:color="auto" w:fill="auto"/>
            <w:vAlign w:val="bottom"/>
          </w:tcPr>
          <w:p w14:paraId="71D483BE" w14:textId="77777777" w:rsidR="006A3667" w:rsidRDefault="006A3667">
            <w:pPr>
              <w:rPr>
                <w:rFonts w:ascii="宋体"/>
                <w:vanish/>
              </w:rPr>
            </w:pPr>
          </w:p>
        </w:tc>
      </w:tr>
      <w:tr w:rsidR="00045F32" w14:paraId="71D483DE"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83C0" w14:textId="77777777" w:rsidR="006A3667" w:rsidRDefault="00045F32">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71D483C1"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83C2" w14:textId="77777777" w:rsidR="006A3667" w:rsidRDefault="00045F32">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71D483C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1D483C4" w14:textId="77777777" w:rsidR="006A3667" w:rsidRDefault="00045F32">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83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3C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1D483C7"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1D483C8" w14:textId="77777777" w:rsidR="006A3667" w:rsidRDefault="00045F32">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83C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3CA"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83CB" w14:textId="77777777" w:rsidR="006A3667" w:rsidRDefault="00045F32">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71D483C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1D483CD"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1D483CE" w14:textId="77777777" w:rsidR="006A3667" w:rsidRDefault="00045F32">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83C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3D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1D483D1"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1D483D2" w14:textId="77777777" w:rsidR="006A3667" w:rsidRDefault="00045F32">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83D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3D4"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83D5" w14:textId="77777777" w:rsidR="006A3667" w:rsidRDefault="00045F32">
            <w:pPr>
              <w:jc w:val="both"/>
              <w:textAlignment w:val="center"/>
            </w:pPr>
            <w:r>
              <w:rPr>
                <w:rFonts w:ascii="Arial" w:eastAsia="宋体" w:hAnsi="Arial" w:cs="Arial"/>
                <w:color w:val="000000"/>
                <w:sz w:val="12"/>
                <w:szCs w:val="12"/>
              </w:rPr>
              <w:t xml:space="preserve">5.9% to but </w:t>
            </w:r>
            <w:r>
              <w:rPr>
                <w:rFonts w:ascii="Arial" w:eastAsia="宋体" w:hAnsi="Arial" w:cs="Arial"/>
                <w:color w:val="000000"/>
                <w:sz w:val="12"/>
                <w:szCs w:val="12"/>
              </w:rPr>
              <w:t>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71D483D6"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83D7" w14:textId="77777777" w:rsidR="006A3667" w:rsidRDefault="00045F32">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71D483D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1D483D9" w14:textId="77777777" w:rsidR="006A3667" w:rsidRDefault="00045F32">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1D483DA" w14:textId="77777777" w:rsidR="006A3667" w:rsidRDefault="00045F32">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71D483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3DC" w14:textId="77777777" w:rsidR="006A3667" w:rsidRDefault="006A3667">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71D483DD" w14:textId="77777777" w:rsidR="006A3667" w:rsidRDefault="00045F32">
            <w:pPr>
              <w:textAlignment w:val="center"/>
            </w:pPr>
            <w:r>
              <w:rPr>
                <w:rFonts w:ascii="Arial" w:eastAsia="宋体" w:hAnsi="Arial" w:cs="Arial"/>
                <w:color w:val="000000"/>
                <w:sz w:val="12"/>
                <w:szCs w:val="12"/>
              </w:rPr>
              <w:t>March 15, 2024</w:t>
            </w:r>
          </w:p>
        </w:tc>
      </w:tr>
      <w:tr w:rsidR="006A3667" w14:paraId="71D483F9" w14:textId="77777777">
        <w:tc>
          <w:tcPr>
            <w:tcW w:w="0" w:type="auto"/>
            <w:gridSpan w:val="3"/>
            <w:shd w:val="clear" w:color="auto" w:fill="FFFFFF"/>
            <w:tcMar>
              <w:top w:w="40" w:type="dxa"/>
              <w:left w:w="20" w:type="dxa"/>
              <w:bottom w:w="40" w:type="dxa"/>
              <w:right w:w="20" w:type="dxa"/>
            </w:tcMar>
            <w:vAlign w:val="center"/>
          </w:tcPr>
          <w:p w14:paraId="71D483DF" w14:textId="77777777" w:rsidR="006A3667" w:rsidRDefault="00045F32">
            <w:pP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71D483E0"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3E1" w14:textId="77777777" w:rsidR="006A3667" w:rsidRDefault="00045F32">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71D483E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3E3" w14:textId="77777777" w:rsidR="006A3667" w:rsidRDefault="00045F32">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71D483E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3E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3E6" w14:textId="77777777" w:rsidR="006A3667" w:rsidRDefault="00045F32">
            <w:pPr>
              <w:jc w:val="right"/>
              <w:textAlignment w:val="center"/>
            </w:pPr>
            <w:r>
              <w:rPr>
                <w:rFonts w:ascii="Arial" w:eastAsia="宋体" w:hAnsi="Arial" w:cs="Arial"/>
                <w:color w:val="000000"/>
                <w:sz w:val="12"/>
                <w:szCs w:val="12"/>
              </w:rPr>
              <w:t>250 </w:t>
            </w:r>
          </w:p>
        </w:tc>
        <w:tc>
          <w:tcPr>
            <w:tcW w:w="0" w:type="auto"/>
            <w:shd w:val="clear" w:color="auto" w:fill="FFFFFF"/>
            <w:tcMar>
              <w:top w:w="40" w:type="dxa"/>
              <w:left w:w="0" w:type="dxa"/>
              <w:bottom w:w="40" w:type="dxa"/>
              <w:right w:w="20" w:type="dxa"/>
            </w:tcMar>
            <w:vAlign w:val="center"/>
          </w:tcPr>
          <w:p w14:paraId="71D483E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3E8"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3E9" w14:textId="77777777" w:rsidR="006A3667" w:rsidRDefault="00045F32">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71D483E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3EB" w14:textId="77777777" w:rsidR="006A3667" w:rsidRDefault="00045F32">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71D483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3E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3EE" w14:textId="77777777" w:rsidR="006A3667" w:rsidRDefault="00045F32">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71D483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3F0"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3F1" w14:textId="77777777" w:rsidR="006A3667" w:rsidRDefault="00045F32">
            <w:pPr>
              <w:jc w:val="both"/>
              <w:textAlignment w:val="center"/>
            </w:pPr>
            <w:r>
              <w:rPr>
                <w:rFonts w:ascii="Arial" w:eastAsia="宋体" w:hAnsi="Arial" w:cs="Arial"/>
                <w:color w:val="000000"/>
                <w:sz w:val="12"/>
                <w:szCs w:val="12"/>
              </w:rPr>
              <w:t>5.25% to but excluding September 15, 2020, then a floating rate equal to the three-month LIBOR plus 3.597%, or 6.890% effective September 15, 2022</w:t>
            </w:r>
          </w:p>
        </w:tc>
        <w:tc>
          <w:tcPr>
            <w:tcW w:w="0" w:type="auto"/>
            <w:gridSpan w:val="3"/>
            <w:shd w:val="clear" w:color="auto" w:fill="FFFFFF"/>
            <w:tcMar>
              <w:top w:w="0" w:type="dxa"/>
              <w:left w:w="20" w:type="dxa"/>
              <w:bottom w:w="0" w:type="dxa"/>
              <w:right w:w="20" w:type="dxa"/>
            </w:tcMar>
            <w:vAlign w:val="bottom"/>
          </w:tcPr>
          <w:p w14:paraId="71D483F2"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3F3" w14:textId="77777777" w:rsidR="006A3667" w:rsidRDefault="00045F32">
            <w:pPr>
              <w:textAlignment w:val="center"/>
            </w:pPr>
            <w:r>
              <w:rPr>
                <w:rFonts w:ascii="Arial" w:eastAsia="宋体" w:hAnsi="Arial" w:cs="Arial"/>
                <w:color w:val="000000"/>
                <w:sz w:val="12"/>
                <w:szCs w:val="12"/>
              </w:rPr>
              <w:t>Quarterly</w:t>
            </w:r>
          </w:p>
        </w:tc>
        <w:tc>
          <w:tcPr>
            <w:tcW w:w="0" w:type="auto"/>
            <w:gridSpan w:val="3"/>
            <w:shd w:val="clear" w:color="auto" w:fill="FFFFFF"/>
            <w:tcMar>
              <w:top w:w="0" w:type="dxa"/>
              <w:left w:w="20" w:type="dxa"/>
              <w:bottom w:w="0" w:type="dxa"/>
              <w:right w:w="20" w:type="dxa"/>
            </w:tcMar>
            <w:vAlign w:val="bottom"/>
          </w:tcPr>
          <w:p w14:paraId="71D483F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3F5" w14:textId="77777777" w:rsidR="006A3667" w:rsidRDefault="00045F32">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71D483F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3F7"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3F8" w14:textId="77777777" w:rsidR="006A3667" w:rsidRDefault="00045F32">
            <w:pPr>
              <w:textAlignment w:val="center"/>
            </w:pPr>
            <w:r>
              <w:rPr>
                <w:rFonts w:ascii="Arial" w:eastAsia="宋体" w:hAnsi="Arial" w:cs="Arial"/>
                <w:color w:val="000000"/>
                <w:sz w:val="12"/>
                <w:szCs w:val="12"/>
              </w:rPr>
              <w:t>September 15, 2020</w:t>
            </w:r>
          </w:p>
        </w:tc>
      </w:tr>
      <w:tr w:rsidR="006A3667" w14:paraId="71D48414" w14:textId="77777777">
        <w:tc>
          <w:tcPr>
            <w:tcW w:w="0" w:type="auto"/>
            <w:gridSpan w:val="3"/>
            <w:shd w:val="clear" w:color="auto" w:fill="CCEEFF"/>
            <w:tcMar>
              <w:top w:w="40" w:type="dxa"/>
              <w:left w:w="20" w:type="dxa"/>
              <w:bottom w:w="40" w:type="dxa"/>
              <w:right w:w="20" w:type="dxa"/>
            </w:tcMar>
            <w:vAlign w:val="center"/>
          </w:tcPr>
          <w:p w14:paraId="71D483FA" w14:textId="77777777" w:rsidR="006A3667" w:rsidRDefault="00045F32">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71D483FB"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83FC" w14:textId="77777777" w:rsidR="006A3667" w:rsidRDefault="00045F32">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71D483F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83FE" w14:textId="77777777" w:rsidR="006A3667" w:rsidRDefault="00045F32">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71D483F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0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8401" w14:textId="77777777" w:rsidR="006A3667" w:rsidRDefault="00045F32">
            <w:pPr>
              <w:jc w:val="right"/>
              <w:textAlignment w:val="center"/>
            </w:pPr>
            <w:r>
              <w:rPr>
                <w:rFonts w:ascii="Arial" w:eastAsia="宋体" w:hAnsi="Arial" w:cs="Arial"/>
                <w:color w:val="000000"/>
                <w:sz w:val="12"/>
                <w:szCs w:val="12"/>
              </w:rPr>
              <w:t>500 </w:t>
            </w:r>
          </w:p>
        </w:tc>
        <w:tc>
          <w:tcPr>
            <w:tcW w:w="0" w:type="auto"/>
            <w:shd w:val="clear" w:color="auto" w:fill="CCEEFF"/>
            <w:tcMar>
              <w:top w:w="40" w:type="dxa"/>
              <w:left w:w="0" w:type="dxa"/>
              <w:bottom w:w="40" w:type="dxa"/>
              <w:right w:w="20" w:type="dxa"/>
            </w:tcMar>
            <w:vAlign w:val="center"/>
          </w:tcPr>
          <w:p w14:paraId="71D484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03"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8404" w14:textId="77777777" w:rsidR="006A3667" w:rsidRDefault="00045F32">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71D4840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8406" w14:textId="77777777" w:rsidR="006A3667" w:rsidRDefault="00045F32">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71D484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8409" w14:textId="77777777" w:rsidR="006A3667" w:rsidRDefault="00045F32">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71D484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0B"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840C" w14:textId="77777777" w:rsidR="006A3667" w:rsidRDefault="00045F32">
            <w:pPr>
              <w:jc w:val="both"/>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71D4840D"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840E" w14:textId="77777777" w:rsidR="006A3667" w:rsidRDefault="00045F32">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71D4840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center"/>
          </w:tcPr>
          <w:p w14:paraId="71D48410" w14:textId="77777777" w:rsidR="006A3667" w:rsidRDefault="00045F32">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71D484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12"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center"/>
          </w:tcPr>
          <w:p w14:paraId="71D48413" w14:textId="77777777" w:rsidR="006A3667" w:rsidRDefault="00045F32">
            <w:pPr>
              <w:textAlignment w:val="center"/>
            </w:pPr>
            <w:r>
              <w:rPr>
                <w:rFonts w:ascii="Arial" w:eastAsia="宋体" w:hAnsi="Arial" w:cs="Arial"/>
                <w:color w:val="000000"/>
                <w:sz w:val="12"/>
                <w:szCs w:val="12"/>
              </w:rPr>
              <w:t>March 15, 2026</w:t>
            </w:r>
          </w:p>
        </w:tc>
      </w:tr>
      <w:tr w:rsidR="006A3667" w14:paraId="71D4842F" w14:textId="77777777">
        <w:tc>
          <w:tcPr>
            <w:tcW w:w="0" w:type="auto"/>
            <w:gridSpan w:val="3"/>
            <w:shd w:val="clear" w:color="auto" w:fill="FFFFFF"/>
            <w:tcMar>
              <w:top w:w="40" w:type="dxa"/>
              <w:left w:w="20" w:type="dxa"/>
              <w:bottom w:w="40" w:type="dxa"/>
              <w:right w:w="20" w:type="dxa"/>
            </w:tcMar>
            <w:vAlign w:val="center"/>
          </w:tcPr>
          <w:p w14:paraId="71D48415" w14:textId="77777777" w:rsidR="006A3667" w:rsidRDefault="00045F32">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71D48416"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417" w14:textId="77777777" w:rsidR="006A3667" w:rsidRDefault="00045F32">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71D4841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419" w14:textId="77777777" w:rsidR="006A3667" w:rsidRDefault="00045F32">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71D484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1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41C" w14:textId="77777777" w:rsidR="006A3667" w:rsidRDefault="00045F32">
            <w:pPr>
              <w:jc w:val="right"/>
              <w:textAlignment w:val="center"/>
            </w:pPr>
            <w:r>
              <w:rPr>
                <w:rFonts w:ascii="Arial" w:eastAsia="宋体" w:hAnsi="Arial" w:cs="Arial"/>
                <w:color w:val="000000"/>
                <w:sz w:val="12"/>
                <w:szCs w:val="12"/>
              </w:rPr>
              <w:t>500 </w:t>
            </w:r>
          </w:p>
        </w:tc>
        <w:tc>
          <w:tcPr>
            <w:tcW w:w="0" w:type="auto"/>
            <w:shd w:val="clear" w:color="auto" w:fill="FFFFFF"/>
            <w:tcMar>
              <w:top w:w="40" w:type="dxa"/>
              <w:left w:w="0" w:type="dxa"/>
              <w:bottom w:w="40" w:type="dxa"/>
              <w:right w:w="20" w:type="dxa"/>
            </w:tcMar>
            <w:vAlign w:val="center"/>
          </w:tcPr>
          <w:p w14:paraId="71D484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1E"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41F" w14:textId="77777777" w:rsidR="006A3667" w:rsidRDefault="00045F32">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71D4842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421" w14:textId="77777777" w:rsidR="006A3667" w:rsidRDefault="00045F32">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71D4842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2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424" w14:textId="77777777" w:rsidR="006A3667" w:rsidRDefault="00045F32">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71D4842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26"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427" w14:textId="77777777" w:rsidR="006A3667" w:rsidRDefault="00045F32">
            <w:pPr>
              <w:jc w:val="both"/>
              <w:textAlignment w:val="center"/>
            </w:pPr>
            <w:r>
              <w:rPr>
                <w:rFonts w:ascii="Arial" w:eastAsia="宋体" w:hAnsi="Arial" w:cs="Arial"/>
                <w:color w:val="000000"/>
                <w:sz w:val="12"/>
                <w:szCs w:val="12"/>
              </w:rPr>
              <w:t xml:space="preserve">5.625% to but excluding December 15, 2023, then a floating rate equal to </w:t>
            </w:r>
            <w:r>
              <w:rPr>
                <w:rFonts w:ascii="Arial" w:eastAsia="宋体" w:hAnsi="Arial" w:cs="Arial"/>
                <w:color w:val="000000"/>
                <w:sz w:val="12"/>
                <w:szCs w:val="12"/>
              </w:rPr>
              <w:t>the three-month LIBOR plus 2.539%</w:t>
            </w:r>
          </w:p>
        </w:tc>
        <w:tc>
          <w:tcPr>
            <w:tcW w:w="0" w:type="auto"/>
            <w:gridSpan w:val="3"/>
            <w:shd w:val="clear" w:color="auto" w:fill="FFFFFF"/>
            <w:tcMar>
              <w:top w:w="0" w:type="dxa"/>
              <w:left w:w="20" w:type="dxa"/>
              <w:bottom w:w="0" w:type="dxa"/>
              <w:right w:w="20" w:type="dxa"/>
            </w:tcMar>
            <w:vAlign w:val="bottom"/>
          </w:tcPr>
          <w:p w14:paraId="71D48428"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429" w14:textId="77777777" w:rsidR="006A3667" w:rsidRDefault="00045F32">
            <w:pPr>
              <w:textAlignment w:val="center"/>
            </w:pPr>
            <w:r>
              <w:rPr>
                <w:rFonts w:ascii="Arial" w:eastAsia="宋体" w:hAnsi="Arial" w:cs="Arial"/>
                <w:color w:val="000000"/>
                <w:sz w:val="12"/>
                <w:szCs w:val="12"/>
              </w:rPr>
              <w:t>Semi-annually</w:t>
            </w:r>
          </w:p>
        </w:tc>
        <w:tc>
          <w:tcPr>
            <w:tcW w:w="0" w:type="auto"/>
            <w:gridSpan w:val="3"/>
            <w:shd w:val="clear" w:color="auto" w:fill="FFFFFF"/>
            <w:tcMar>
              <w:top w:w="0" w:type="dxa"/>
              <w:left w:w="20" w:type="dxa"/>
              <w:bottom w:w="0" w:type="dxa"/>
              <w:right w:w="20" w:type="dxa"/>
            </w:tcMar>
            <w:vAlign w:val="bottom"/>
          </w:tcPr>
          <w:p w14:paraId="71D4842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center"/>
          </w:tcPr>
          <w:p w14:paraId="71D4842B" w14:textId="77777777" w:rsidR="006A3667" w:rsidRDefault="00045F32">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71D484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2D" w14:textId="77777777" w:rsidR="006A3667" w:rsidRDefault="006A3667">
            <w:pPr>
              <w:rPr>
                <w:rFonts w:ascii="宋体"/>
              </w:rPr>
            </w:pPr>
          </w:p>
        </w:tc>
        <w:tc>
          <w:tcPr>
            <w:tcW w:w="0" w:type="auto"/>
            <w:gridSpan w:val="3"/>
            <w:shd w:val="clear" w:color="auto" w:fill="FFFFFF"/>
            <w:tcMar>
              <w:top w:w="40" w:type="dxa"/>
              <w:left w:w="20" w:type="dxa"/>
              <w:bottom w:w="40" w:type="dxa"/>
              <w:right w:w="20" w:type="dxa"/>
            </w:tcMar>
            <w:vAlign w:val="center"/>
          </w:tcPr>
          <w:p w14:paraId="71D4842E" w14:textId="77777777" w:rsidR="006A3667" w:rsidRDefault="00045F32">
            <w:pPr>
              <w:textAlignment w:val="center"/>
            </w:pPr>
            <w:r>
              <w:rPr>
                <w:rFonts w:ascii="Arial" w:eastAsia="宋体" w:hAnsi="Arial" w:cs="Arial"/>
                <w:color w:val="000000"/>
                <w:sz w:val="12"/>
                <w:szCs w:val="12"/>
              </w:rPr>
              <w:t>December 15, 2023</w:t>
            </w:r>
          </w:p>
        </w:tc>
      </w:tr>
    </w:tbl>
    <w:p w14:paraId="71D48430" w14:textId="77777777" w:rsidR="006A3667" w:rsidRDefault="006A3667">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6A3667" w14:paraId="71D4843D" w14:textId="77777777">
        <w:trPr>
          <w:jc w:val="center"/>
        </w:trPr>
        <w:tc>
          <w:tcPr>
            <w:tcW w:w="50" w:type="pct"/>
            <w:shd w:val="clear" w:color="auto" w:fill="auto"/>
            <w:vAlign w:val="bottom"/>
          </w:tcPr>
          <w:p w14:paraId="71D48431" w14:textId="77777777" w:rsidR="006A3667" w:rsidRDefault="006A3667">
            <w:pPr>
              <w:rPr>
                <w:rFonts w:ascii="宋体"/>
              </w:rPr>
            </w:pPr>
          </w:p>
        </w:tc>
        <w:tc>
          <w:tcPr>
            <w:tcW w:w="1349" w:type="pct"/>
            <w:shd w:val="clear" w:color="auto" w:fill="auto"/>
            <w:vAlign w:val="bottom"/>
          </w:tcPr>
          <w:p w14:paraId="71D48432" w14:textId="77777777" w:rsidR="006A3667" w:rsidRDefault="006A3667">
            <w:pPr>
              <w:rPr>
                <w:rFonts w:ascii="宋体"/>
              </w:rPr>
            </w:pPr>
          </w:p>
        </w:tc>
        <w:tc>
          <w:tcPr>
            <w:tcW w:w="5" w:type="pct"/>
            <w:shd w:val="clear" w:color="auto" w:fill="auto"/>
            <w:vAlign w:val="bottom"/>
          </w:tcPr>
          <w:p w14:paraId="71D48433" w14:textId="77777777" w:rsidR="006A3667" w:rsidRDefault="006A3667">
            <w:pPr>
              <w:rPr>
                <w:rFonts w:ascii="宋体"/>
              </w:rPr>
            </w:pPr>
          </w:p>
        </w:tc>
        <w:tc>
          <w:tcPr>
            <w:tcW w:w="50" w:type="pct"/>
            <w:shd w:val="clear" w:color="auto" w:fill="auto"/>
            <w:vAlign w:val="bottom"/>
          </w:tcPr>
          <w:p w14:paraId="71D48434" w14:textId="77777777" w:rsidR="006A3667" w:rsidRDefault="006A3667">
            <w:pPr>
              <w:rPr>
                <w:rFonts w:ascii="宋体"/>
              </w:rPr>
            </w:pPr>
          </w:p>
        </w:tc>
        <w:tc>
          <w:tcPr>
            <w:tcW w:w="915" w:type="pct"/>
            <w:shd w:val="clear" w:color="auto" w:fill="auto"/>
            <w:vAlign w:val="bottom"/>
          </w:tcPr>
          <w:p w14:paraId="71D48435" w14:textId="77777777" w:rsidR="006A3667" w:rsidRDefault="006A3667">
            <w:pPr>
              <w:rPr>
                <w:rFonts w:ascii="宋体"/>
              </w:rPr>
            </w:pPr>
          </w:p>
        </w:tc>
        <w:tc>
          <w:tcPr>
            <w:tcW w:w="5" w:type="pct"/>
            <w:shd w:val="clear" w:color="auto" w:fill="auto"/>
            <w:vAlign w:val="bottom"/>
          </w:tcPr>
          <w:p w14:paraId="71D48436" w14:textId="77777777" w:rsidR="006A3667" w:rsidRDefault="006A3667">
            <w:pPr>
              <w:rPr>
                <w:rFonts w:ascii="宋体"/>
              </w:rPr>
            </w:pPr>
          </w:p>
        </w:tc>
        <w:tc>
          <w:tcPr>
            <w:tcW w:w="50" w:type="pct"/>
            <w:shd w:val="clear" w:color="auto" w:fill="auto"/>
            <w:vAlign w:val="bottom"/>
          </w:tcPr>
          <w:p w14:paraId="71D48437" w14:textId="77777777" w:rsidR="006A3667" w:rsidRDefault="006A3667">
            <w:pPr>
              <w:rPr>
                <w:rFonts w:ascii="宋体"/>
              </w:rPr>
            </w:pPr>
          </w:p>
        </w:tc>
        <w:tc>
          <w:tcPr>
            <w:tcW w:w="915" w:type="pct"/>
            <w:shd w:val="clear" w:color="auto" w:fill="auto"/>
            <w:vAlign w:val="bottom"/>
          </w:tcPr>
          <w:p w14:paraId="71D48438" w14:textId="77777777" w:rsidR="006A3667" w:rsidRDefault="006A3667">
            <w:pPr>
              <w:rPr>
                <w:rFonts w:ascii="宋体"/>
              </w:rPr>
            </w:pPr>
          </w:p>
        </w:tc>
        <w:tc>
          <w:tcPr>
            <w:tcW w:w="5" w:type="pct"/>
            <w:shd w:val="clear" w:color="auto" w:fill="auto"/>
            <w:vAlign w:val="bottom"/>
          </w:tcPr>
          <w:p w14:paraId="71D48439" w14:textId="77777777" w:rsidR="006A3667" w:rsidRDefault="006A3667">
            <w:pPr>
              <w:rPr>
                <w:rFonts w:ascii="宋体"/>
              </w:rPr>
            </w:pPr>
          </w:p>
        </w:tc>
        <w:tc>
          <w:tcPr>
            <w:tcW w:w="50" w:type="pct"/>
            <w:shd w:val="clear" w:color="auto" w:fill="auto"/>
            <w:vAlign w:val="bottom"/>
          </w:tcPr>
          <w:p w14:paraId="71D4843A" w14:textId="77777777" w:rsidR="006A3667" w:rsidRDefault="006A3667">
            <w:pPr>
              <w:rPr>
                <w:rFonts w:ascii="宋体"/>
              </w:rPr>
            </w:pPr>
          </w:p>
        </w:tc>
        <w:tc>
          <w:tcPr>
            <w:tcW w:w="1599" w:type="pct"/>
            <w:shd w:val="clear" w:color="auto" w:fill="auto"/>
            <w:vAlign w:val="bottom"/>
          </w:tcPr>
          <w:p w14:paraId="71D4843B" w14:textId="77777777" w:rsidR="006A3667" w:rsidRDefault="006A3667">
            <w:pPr>
              <w:rPr>
                <w:rFonts w:ascii="宋体"/>
              </w:rPr>
            </w:pPr>
          </w:p>
        </w:tc>
        <w:tc>
          <w:tcPr>
            <w:tcW w:w="5" w:type="pct"/>
            <w:shd w:val="clear" w:color="auto" w:fill="auto"/>
            <w:vAlign w:val="bottom"/>
          </w:tcPr>
          <w:p w14:paraId="71D4843C" w14:textId="77777777" w:rsidR="006A3667" w:rsidRDefault="006A3667">
            <w:pPr>
              <w:rPr>
                <w:rFonts w:ascii="宋体"/>
              </w:rPr>
            </w:pPr>
          </w:p>
        </w:tc>
      </w:tr>
      <w:tr w:rsidR="006A3667" w14:paraId="71D48442"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843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43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44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441" w14:textId="77777777" w:rsidR="006A3667" w:rsidRDefault="006A3667">
            <w:pPr>
              <w:rPr>
                <w:rFonts w:ascii="宋体"/>
              </w:rPr>
            </w:pPr>
          </w:p>
        </w:tc>
      </w:tr>
    </w:tbl>
    <w:p w14:paraId="71D48443" w14:textId="77777777" w:rsidR="006A3667" w:rsidRDefault="00045F32">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whole, but not in part, prior to the redemption date upon the </w:t>
      </w:r>
      <w:r>
        <w:rPr>
          <w:rFonts w:ascii="Arial" w:eastAsia="宋体" w:hAnsi="Arial" w:cs="Arial"/>
          <w:color w:val="000000"/>
          <w:sz w:val="12"/>
          <w:szCs w:val="12"/>
        </w:rPr>
        <w:t>occurrence of a regulatory capital treatment event, as defined in the certificate of designation, at a redemption price equal to the liquidation price per share and liquidation price per depositary share plus any declared and unpaid dividends, without accu</w:t>
      </w:r>
      <w:r>
        <w:rPr>
          <w:rFonts w:ascii="Arial" w:eastAsia="宋体" w:hAnsi="Arial" w:cs="Arial"/>
          <w:color w:val="000000"/>
          <w:sz w:val="12"/>
          <w:szCs w:val="12"/>
        </w:rPr>
        <w:t>mulation of any undeclared dividends.</w:t>
      </w:r>
    </w:p>
    <w:p w14:paraId="71D48444" w14:textId="77777777" w:rsidR="006A3667" w:rsidRDefault="00045F32">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 in whole or in part, at the liquidation price per share and liquidatio</w:t>
      </w:r>
      <w:r>
        <w:rPr>
          <w:rFonts w:ascii="Arial" w:eastAsia="宋体" w:hAnsi="Arial" w:cs="Arial"/>
          <w:color w:val="000000"/>
          <w:sz w:val="12"/>
          <w:szCs w:val="12"/>
        </w:rPr>
        <w:t>n price per depositary share plus any declared and unpaid dividends, without accumulation of any undeclared dividends.</w:t>
      </w:r>
    </w:p>
    <w:p w14:paraId="71D48445" w14:textId="77777777" w:rsidR="006A3667" w:rsidRDefault="00045F32">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 </w:t>
      </w:r>
    </w:p>
    <w:p w14:paraId="71D48446" w14:textId="77777777" w:rsidR="006A3667" w:rsidRDefault="00045F32">
      <w:pPr>
        <w:ind w:firstLine="450"/>
        <w:jc w:val="right"/>
      </w:pPr>
      <w:r>
        <w:rPr>
          <w:rFonts w:ascii="Arial" w:eastAsia="宋体" w:hAnsi="Arial" w:cs="Arial"/>
          <w:color w:val="000000"/>
          <w:sz w:val="18"/>
          <w:szCs w:val="18"/>
        </w:rPr>
        <w:t xml:space="preserve">State Street Corporation </w:t>
      </w:r>
      <w:r>
        <w:rPr>
          <w:rFonts w:ascii="Arial" w:eastAsia="宋体" w:hAnsi="Arial" w:cs="Arial"/>
          <w:color w:val="000000"/>
          <w:sz w:val="18"/>
          <w:szCs w:val="18"/>
        </w:rPr>
        <w:t>| 86</w:t>
      </w:r>
    </w:p>
    <w:p w14:paraId="71D48447" w14:textId="77777777" w:rsidR="006A3667" w:rsidRDefault="006A3667">
      <w:pPr>
        <w:ind w:firstLine="450"/>
        <w:jc w:val="center"/>
      </w:pPr>
    </w:p>
    <w:p w14:paraId="71D48448" w14:textId="77777777" w:rsidR="006A3667" w:rsidRDefault="00045F32">
      <w:r>
        <w:pict w14:anchorId="71D4AC6A">
          <v:rect id="_x0000_i1110" style="width:415.3pt;height:1.5pt" o:hralign="center" o:hrstd="t" o:hr="t" fillcolor="#a0a0a0" stroked="f"/>
        </w:pict>
      </w:r>
    </w:p>
    <w:p w14:paraId="71D48449" w14:textId="77777777" w:rsidR="006A3667" w:rsidRDefault="00045F32">
      <w:pPr>
        <w:ind w:firstLine="450"/>
        <w:jc w:val="center"/>
      </w:pPr>
      <w:r>
        <w:rPr>
          <w:rFonts w:ascii="Arial" w:eastAsia="宋体" w:hAnsi="Arial" w:cs="Arial"/>
          <w:b/>
          <w:bCs/>
          <w:color w:val="000000"/>
          <w:sz w:val="20"/>
          <w:szCs w:val="20"/>
        </w:rPr>
        <w:t>STATE STREET CORPORATION</w:t>
      </w:r>
    </w:p>
    <w:p w14:paraId="71D4844A"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844B" w14:textId="77777777" w:rsidR="006A3667" w:rsidRDefault="00045F32">
      <w:pPr>
        <w:ind w:firstLine="450"/>
        <w:jc w:val="center"/>
      </w:pPr>
      <w:r>
        <w:rPr>
          <w:rFonts w:ascii="Arial" w:eastAsia="宋体" w:hAnsi="Arial" w:cs="Arial"/>
          <w:b/>
          <w:bCs/>
          <w:color w:val="000000"/>
          <w:sz w:val="20"/>
          <w:szCs w:val="20"/>
        </w:rPr>
        <w:t>(UNAUDITED)</w:t>
      </w:r>
    </w:p>
    <w:p w14:paraId="71D4844C" w14:textId="77777777" w:rsidR="006A3667" w:rsidRDefault="00045F32">
      <w:pPr>
        <w:spacing w:before="60"/>
        <w:ind w:firstLine="450"/>
        <w:jc w:val="both"/>
      </w:pPr>
      <w:r>
        <w:rPr>
          <w:rFonts w:ascii="Arial" w:eastAsia="宋体" w:hAnsi="Arial" w:cs="Arial"/>
          <w:color w:val="000000"/>
          <w:sz w:val="20"/>
          <w:szCs w:val="20"/>
        </w:rPr>
        <w:t>The following tables present the dividends declared for each of the series of preferred stock issued and outstanding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665"/>
        <w:gridCol w:w="36"/>
        <w:gridCol w:w="105"/>
        <w:gridCol w:w="886"/>
        <w:gridCol w:w="36"/>
        <w:gridCol w:w="36"/>
        <w:gridCol w:w="36"/>
        <w:gridCol w:w="36"/>
        <w:gridCol w:w="105"/>
        <w:gridCol w:w="859"/>
        <w:gridCol w:w="36"/>
        <w:gridCol w:w="36"/>
        <w:gridCol w:w="36"/>
        <w:gridCol w:w="36"/>
        <w:gridCol w:w="105"/>
        <w:gridCol w:w="860"/>
        <w:gridCol w:w="36"/>
        <w:gridCol w:w="36"/>
        <w:gridCol w:w="36"/>
        <w:gridCol w:w="36"/>
        <w:gridCol w:w="105"/>
        <w:gridCol w:w="848"/>
        <w:gridCol w:w="36"/>
        <w:gridCol w:w="36"/>
        <w:gridCol w:w="36"/>
        <w:gridCol w:w="36"/>
        <w:gridCol w:w="105"/>
        <w:gridCol w:w="861"/>
        <w:gridCol w:w="36"/>
        <w:gridCol w:w="36"/>
        <w:gridCol w:w="36"/>
        <w:gridCol w:w="36"/>
        <w:gridCol w:w="105"/>
        <w:gridCol w:w="861"/>
        <w:gridCol w:w="36"/>
      </w:tblGrid>
      <w:tr w:rsidR="006A3667" w14:paraId="71D48471" w14:textId="77777777">
        <w:tc>
          <w:tcPr>
            <w:tcW w:w="50" w:type="pct"/>
            <w:shd w:val="clear" w:color="auto" w:fill="auto"/>
            <w:vAlign w:val="bottom"/>
          </w:tcPr>
          <w:p w14:paraId="71D4844D" w14:textId="77777777" w:rsidR="006A3667" w:rsidRDefault="006A3667">
            <w:pPr>
              <w:rPr>
                <w:rFonts w:ascii="宋体"/>
              </w:rPr>
            </w:pPr>
          </w:p>
        </w:tc>
        <w:tc>
          <w:tcPr>
            <w:tcW w:w="1031" w:type="pct"/>
            <w:shd w:val="clear" w:color="auto" w:fill="auto"/>
            <w:vAlign w:val="bottom"/>
          </w:tcPr>
          <w:p w14:paraId="71D4844E" w14:textId="77777777" w:rsidR="006A3667" w:rsidRDefault="006A3667">
            <w:pPr>
              <w:rPr>
                <w:rFonts w:ascii="宋体"/>
              </w:rPr>
            </w:pPr>
          </w:p>
        </w:tc>
        <w:tc>
          <w:tcPr>
            <w:tcW w:w="5" w:type="pct"/>
            <w:shd w:val="clear" w:color="auto" w:fill="auto"/>
            <w:vAlign w:val="bottom"/>
          </w:tcPr>
          <w:p w14:paraId="71D4844F" w14:textId="77777777" w:rsidR="006A3667" w:rsidRDefault="006A3667">
            <w:pPr>
              <w:rPr>
                <w:rFonts w:ascii="宋体"/>
              </w:rPr>
            </w:pPr>
          </w:p>
        </w:tc>
        <w:tc>
          <w:tcPr>
            <w:tcW w:w="50" w:type="pct"/>
            <w:shd w:val="clear" w:color="auto" w:fill="auto"/>
            <w:vAlign w:val="bottom"/>
          </w:tcPr>
          <w:p w14:paraId="71D48450" w14:textId="77777777" w:rsidR="006A3667" w:rsidRDefault="006A3667">
            <w:pPr>
              <w:rPr>
                <w:rFonts w:ascii="宋体"/>
              </w:rPr>
            </w:pPr>
          </w:p>
        </w:tc>
        <w:tc>
          <w:tcPr>
            <w:tcW w:w="561" w:type="pct"/>
            <w:shd w:val="clear" w:color="auto" w:fill="auto"/>
            <w:vAlign w:val="bottom"/>
          </w:tcPr>
          <w:p w14:paraId="71D48451" w14:textId="77777777" w:rsidR="006A3667" w:rsidRDefault="006A3667">
            <w:pPr>
              <w:rPr>
                <w:rFonts w:ascii="宋体"/>
              </w:rPr>
            </w:pPr>
          </w:p>
        </w:tc>
        <w:tc>
          <w:tcPr>
            <w:tcW w:w="5" w:type="pct"/>
            <w:shd w:val="clear" w:color="auto" w:fill="auto"/>
            <w:vAlign w:val="bottom"/>
          </w:tcPr>
          <w:p w14:paraId="71D48452" w14:textId="77777777" w:rsidR="006A3667" w:rsidRDefault="006A3667">
            <w:pPr>
              <w:rPr>
                <w:rFonts w:ascii="宋体"/>
              </w:rPr>
            </w:pPr>
          </w:p>
        </w:tc>
        <w:tc>
          <w:tcPr>
            <w:tcW w:w="5" w:type="pct"/>
            <w:shd w:val="clear" w:color="auto" w:fill="auto"/>
            <w:vAlign w:val="bottom"/>
          </w:tcPr>
          <w:p w14:paraId="71D48453" w14:textId="77777777" w:rsidR="006A3667" w:rsidRDefault="006A3667">
            <w:pPr>
              <w:rPr>
                <w:rFonts w:ascii="宋体"/>
              </w:rPr>
            </w:pPr>
          </w:p>
        </w:tc>
        <w:tc>
          <w:tcPr>
            <w:tcW w:w="26" w:type="pct"/>
            <w:shd w:val="clear" w:color="auto" w:fill="auto"/>
            <w:vAlign w:val="bottom"/>
          </w:tcPr>
          <w:p w14:paraId="71D48454" w14:textId="77777777" w:rsidR="006A3667" w:rsidRDefault="006A3667">
            <w:pPr>
              <w:rPr>
                <w:rFonts w:ascii="宋体"/>
              </w:rPr>
            </w:pPr>
          </w:p>
        </w:tc>
        <w:tc>
          <w:tcPr>
            <w:tcW w:w="5" w:type="pct"/>
            <w:shd w:val="clear" w:color="auto" w:fill="auto"/>
            <w:vAlign w:val="bottom"/>
          </w:tcPr>
          <w:p w14:paraId="71D48455" w14:textId="77777777" w:rsidR="006A3667" w:rsidRDefault="006A3667">
            <w:pPr>
              <w:rPr>
                <w:rFonts w:ascii="宋体"/>
              </w:rPr>
            </w:pPr>
          </w:p>
        </w:tc>
        <w:tc>
          <w:tcPr>
            <w:tcW w:w="50" w:type="pct"/>
            <w:shd w:val="clear" w:color="auto" w:fill="auto"/>
            <w:vAlign w:val="bottom"/>
          </w:tcPr>
          <w:p w14:paraId="71D48456" w14:textId="77777777" w:rsidR="006A3667" w:rsidRDefault="006A3667">
            <w:pPr>
              <w:rPr>
                <w:rFonts w:ascii="宋体"/>
              </w:rPr>
            </w:pPr>
          </w:p>
        </w:tc>
        <w:tc>
          <w:tcPr>
            <w:tcW w:w="569" w:type="pct"/>
            <w:shd w:val="clear" w:color="auto" w:fill="auto"/>
            <w:vAlign w:val="bottom"/>
          </w:tcPr>
          <w:p w14:paraId="71D48457" w14:textId="77777777" w:rsidR="006A3667" w:rsidRDefault="006A3667">
            <w:pPr>
              <w:rPr>
                <w:rFonts w:ascii="宋体"/>
              </w:rPr>
            </w:pPr>
          </w:p>
        </w:tc>
        <w:tc>
          <w:tcPr>
            <w:tcW w:w="5" w:type="pct"/>
            <w:shd w:val="clear" w:color="auto" w:fill="auto"/>
            <w:vAlign w:val="bottom"/>
          </w:tcPr>
          <w:p w14:paraId="71D48458" w14:textId="77777777" w:rsidR="006A3667" w:rsidRDefault="006A3667">
            <w:pPr>
              <w:rPr>
                <w:rFonts w:ascii="宋体"/>
              </w:rPr>
            </w:pPr>
          </w:p>
        </w:tc>
        <w:tc>
          <w:tcPr>
            <w:tcW w:w="5" w:type="pct"/>
            <w:shd w:val="clear" w:color="auto" w:fill="auto"/>
            <w:vAlign w:val="bottom"/>
          </w:tcPr>
          <w:p w14:paraId="71D48459" w14:textId="77777777" w:rsidR="006A3667" w:rsidRDefault="006A3667">
            <w:pPr>
              <w:rPr>
                <w:rFonts w:ascii="宋体"/>
              </w:rPr>
            </w:pPr>
          </w:p>
        </w:tc>
        <w:tc>
          <w:tcPr>
            <w:tcW w:w="26" w:type="pct"/>
            <w:shd w:val="clear" w:color="auto" w:fill="auto"/>
            <w:vAlign w:val="bottom"/>
          </w:tcPr>
          <w:p w14:paraId="71D4845A" w14:textId="77777777" w:rsidR="006A3667" w:rsidRDefault="006A3667">
            <w:pPr>
              <w:rPr>
                <w:rFonts w:ascii="宋体"/>
              </w:rPr>
            </w:pPr>
          </w:p>
        </w:tc>
        <w:tc>
          <w:tcPr>
            <w:tcW w:w="5" w:type="pct"/>
            <w:shd w:val="clear" w:color="auto" w:fill="auto"/>
            <w:vAlign w:val="bottom"/>
          </w:tcPr>
          <w:p w14:paraId="71D4845B" w14:textId="77777777" w:rsidR="006A3667" w:rsidRDefault="006A3667">
            <w:pPr>
              <w:rPr>
                <w:rFonts w:ascii="宋体"/>
              </w:rPr>
            </w:pPr>
          </w:p>
        </w:tc>
        <w:tc>
          <w:tcPr>
            <w:tcW w:w="50" w:type="pct"/>
            <w:shd w:val="clear" w:color="auto" w:fill="auto"/>
            <w:vAlign w:val="bottom"/>
          </w:tcPr>
          <w:p w14:paraId="71D4845C" w14:textId="77777777" w:rsidR="006A3667" w:rsidRDefault="006A3667">
            <w:pPr>
              <w:rPr>
                <w:rFonts w:ascii="宋体"/>
              </w:rPr>
            </w:pPr>
          </w:p>
        </w:tc>
        <w:tc>
          <w:tcPr>
            <w:tcW w:w="569" w:type="pct"/>
            <w:shd w:val="clear" w:color="auto" w:fill="auto"/>
            <w:vAlign w:val="bottom"/>
          </w:tcPr>
          <w:p w14:paraId="71D4845D" w14:textId="77777777" w:rsidR="006A3667" w:rsidRDefault="006A3667">
            <w:pPr>
              <w:rPr>
                <w:rFonts w:ascii="宋体"/>
              </w:rPr>
            </w:pPr>
          </w:p>
        </w:tc>
        <w:tc>
          <w:tcPr>
            <w:tcW w:w="5" w:type="pct"/>
            <w:shd w:val="clear" w:color="auto" w:fill="auto"/>
            <w:vAlign w:val="bottom"/>
          </w:tcPr>
          <w:p w14:paraId="71D4845E" w14:textId="77777777" w:rsidR="006A3667" w:rsidRDefault="006A3667">
            <w:pPr>
              <w:rPr>
                <w:rFonts w:ascii="宋体"/>
              </w:rPr>
            </w:pPr>
          </w:p>
        </w:tc>
        <w:tc>
          <w:tcPr>
            <w:tcW w:w="5" w:type="pct"/>
            <w:shd w:val="clear" w:color="auto" w:fill="auto"/>
            <w:vAlign w:val="bottom"/>
          </w:tcPr>
          <w:p w14:paraId="71D4845F" w14:textId="77777777" w:rsidR="006A3667" w:rsidRDefault="006A3667">
            <w:pPr>
              <w:rPr>
                <w:rFonts w:ascii="宋体"/>
              </w:rPr>
            </w:pPr>
          </w:p>
        </w:tc>
        <w:tc>
          <w:tcPr>
            <w:tcW w:w="26" w:type="pct"/>
            <w:shd w:val="clear" w:color="auto" w:fill="auto"/>
            <w:vAlign w:val="bottom"/>
          </w:tcPr>
          <w:p w14:paraId="71D48460" w14:textId="77777777" w:rsidR="006A3667" w:rsidRDefault="006A3667">
            <w:pPr>
              <w:rPr>
                <w:rFonts w:ascii="宋体"/>
              </w:rPr>
            </w:pPr>
          </w:p>
        </w:tc>
        <w:tc>
          <w:tcPr>
            <w:tcW w:w="5" w:type="pct"/>
            <w:shd w:val="clear" w:color="auto" w:fill="auto"/>
            <w:vAlign w:val="bottom"/>
          </w:tcPr>
          <w:p w14:paraId="71D48461" w14:textId="77777777" w:rsidR="006A3667" w:rsidRDefault="006A3667">
            <w:pPr>
              <w:rPr>
                <w:rFonts w:ascii="宋体"/>
              </w:rPr>
            </w:pPr>
          </w:p>
        </w:tc>
        <w:tc>
          <w:tcPr>
            <w:tcW w:w="50" w:type="pct"/>
            <w:shd w:val="clear" w:color="auto" w:fill="auto"/>
            <w:vAlign w:val="bottom"/>
          </w:tcPr>
          <w:p w14:paraId="71D48462" w14:textId="77777777" w:rsidR="006A3667" w:rsidRDefault="006A3667">
            <w:pPr>
              <w:rPr>
                <w:rFonts w:ascii="宋体"/>
              </w:rPr>
            </w:pPr>
          </w:p>
        </w:tc>
        <w:tc>
          <w:tcPr>
            <w:tcW w:w="561" w:type="pct"/>
            <w:shd w:val="clear" w:color="auto" w:fill="auto"/>
            <w:vAlign w:val="bottom"/>
          </w:tcPr>
          <w:p w14:paraId="71D48463" w14:textId="77777777" w:rsidR="006A3667" w:rsidRDefault="006A3667">
            <w:pPr>
              <w:rPr>
                <w:rFonts w:ascii="宋体"/>
              </w:rPr>
            </w:pPr>
          </w:p>
        </w:tc>
        <w:tc>
          <w:tcPr>
            <w:tcW w:w="5" w:type="pct"/>
            <w:shd w:val="clear" w:color="auto" w:fill="auto"/>
            <w:vAlign w:val="bottom"/>
          </w:tcPr>
          <w:p w14:paraId="71D48464" w14:textId="77777777" w:rsidR="006A3667" w:rsidRDefault="006A3667">
            <w:pPr>
              <w:rPr>
                <w:rFonts w:ascii="宋体"/>
              </w:rPr>
            </w:pPr>
          </w:p>
        </w:tc>
        <w:tc>
          <w:tcPr>
            <w:tcW w:w="5" w:type="pct"/>
            <w:shd w:val="clear" w:color="auto" w:fill="auto"/>
            <w:vAlign w:val="bottom"/>
          </w:tcPr>
          <w:p w14:paraId="71D48465" w14:textId="77777777" w:rsidR="006A3667" w:rsidRDefault="006A3667">
            <w:pPr>
              <w:rPr>
                <w:rFonts w:ascii="宋体"/>
              </w:rPr>
            </w:pPr>
          </w:p>
        </w:tc>
        <w:tc>
          <w:tcPr>
            <w:tcW w:w="26" w:type="pct"/>
            <w:shd w:val="clear" w:color="auto" w:fill="auto"/>
            <w:vAlign w:val="bottom"/>
          </w:tcPr>
          <w:p w14:paraId="71D48466" w14:textId="77777777" w:rsidR="006A3667" w:rsidRDefault="006A3667">
            <w:pPr>
              <w:rPr>
                <w:rFonts w:ascii="宋体"/>
              </w:rPr>
            </w:pPr>
          </w:p>
        </w:tc>
        <w:tc>
          <w:tcPr>
            <w:tcW w:w="5" w:type="pct"/>
            <w:shd w:val="clear" w:color="auto" w:fill="auto"/>
            <w:vAlign w:val="bottom"/>
          </w:tcPr>
          <w:p w14:paraId="71D48467" w14:textId="77777777" w:rsidR="006A3667" w:rsidRDefault="006A3667">
            <w:pPr>
              <w:rPr>
                <w:rFonts w:ascii="宋体"/>
              </w:rPr>
            </w:pPr>
          </w:p>
        </w:tc>
        <w:tc>
          <w:tcPr>
            <w:tcW w:w="50" w:type="pct"/>
            <w:shd w:val="clear" w:color="auto" w:fill="auto"/>
            <w:vAlign w:val="bottom"/>
          </w:tcPr>
          <w:p w14:paraId="71D48468" w14:textId="77777777" w:rsidR="006A3667" w:rsidRDefault="006A3667">
            <w:pPr>
              <w:rPr>
                <w:rFonts w:ascii="宋体"/>
              </w:rPr>
            </w:pPr>
          </w:p>
        </w:tc>
        <w:tc>
          <w:tcPr>
            <w:tcW w:w="569" w:type="pct"/>
            <w:shd w:val="clear" w:color="auto" w:fill="auto"/>
            <w:vAlign w:val="bottom"/>
          </w:tcPr>
          <w:p w14:paraId="71D48469" w14:textId="77777777" w:rsidR="006A3667" w:rsidRDefault="006A3667">
            <w:pPr>
              <w:rPr>
                <w:rFonts w:ascii="宋体"/>
              </w:rPr>
            </w:pPr>
          </w:p>
        </w:tc>
        <w:tc>
          <w:tcPr>
            <w:tcW w:w="5" w:type="pct"/>
            <w:shd w:val="clear" w:color="auto" w:fill="auto"/>
            <w:vAlign w:val="bottom"/>
          </w:tcPr>
          <w:p w14:paraId="71D4846A" w14:textId="77777777" w:rsidR="006A3667" w:rsidRDefault="006A3667">
            <w:pPr>
              <w:rPr>
                <w:rFonts w:ascii="宋体"/>
              </w:rPr>
            </w:pPr>
          </w:p>
        </w:tc>
        <w:tc>
          <w:tcPr>
            <w:tcW w:w="5" w:type="pct"/>
            <w:shd w:val="clear" w:color="auto" w:fill="auto"/>
            <w:vAlign w:val="bottom"/>
          </w:tcPr>
          <w:p w14:paraId="71D4846B" w14:textId="77777777" w:rsidR="006A3667" w:rsidRDefault="006A3667">
            <w:pPr>
              <w:rPr>
                <w:rFonts w:ascii="宋体"/>
              </w:rPr>
            </w:pPr>
          </w:p>
        </w:tc>
        <w:tc>
          <w:tcPr>
            <w:tcW w:w="26" w:type="pct"/>
            <w:shd w:val="clear" w:color="auto" w:fill="auto"/>
            <w:vAlign w:val="bottom"/>
          </w:tcPr>
          <w:p w14:paraId="71D4846C" w14:textId="77777777" w:rsidR="006A3667" w:rsidRDefault="006A3667">
            <w:pPr>
              <w:rPr>
                <w:rFonts w:ascii="宋体"/>
              </w:rPr>
            </w:pPr>
          </w:p>
        </w:tc>
        <w:tc>
          <w:tcPr>
            <w:tcW w:w="5" w:type="pct"/>
            <w:shd w:val="clear" w:color="auto" w:fill="auto"/>
            <w:vAlign w:val="bottom"/>
          </w:tcPr>
          <w:p w14:paraId="71D4846D" w14:textId="77777777" w:rsidR="006A3667" w:rsidRDefault="006A3667">
            <w:pPr>
              <w:rPr>
                <w:rFonts w:ascii="宋体"/>
              </w:rPr>
            </w:pPr>
          </w:p>
        </w:tc>
        <w:tc>
          <w:tcPr>
            <w:tcW w:w="50" w:type="pct"/>
            <w:shd w:val="clear" w:color="auto" w:fill="auto"/>
            <w:vAlign w:val="bottom"/>
          </w:tcPr>
          <w:p w14:paraId="71D4846E" w14:textId="77777777" w:rsidR="006A3667" w:rsidRDefault="006A3667">
            <w:pPr>
              <w:rPr>
                <w:rFonts w:ascii="宋体"/>
              </w:rPr>
            </w:pPr>
          </w:p>
        </w:tc>
        <w:tc>
          <w:tcPr>
            <w:tcW w:w="569" w:type="pct"/>
            <w:shd w:val="clear" w:color="auto" w:fill="auto"/>
            <w:vAlign w:val="bottom"/>
          </w:tcPr>
          <w:p w14:paraId="71D4846F" w14:textId="77777777" w:rsidR="006A3667" w:rsidRDefault="006A3667">
            <w:pPr>
              <w:rPr>
                <w:rFonts w:ascii="宋体"/>
              </w:rPr>
            </w:pPr>
          </w:p>
        </w:tc>
        <w:tc>
          <w:tcPr>
            <w:tcW w:w="5" w:type="pct"/>
            <w:shd w:val="clear" w:color="auto" w:fill="auto"/>
            <w:vAlign w:val="bottom"/>
          </w:tcPr>
          <w:p w14:paraId="71D48470" w14:textId="77777777" w:rsidR="006A3667" w:rsidRDefault="006A3667">
            <w:pPr>
              <w:rPr>
                <w:rFonts w:ascii="宋体"/>
              </w:rPr>
            </w:pPr>
          </w:p>
        </w:tc>
      </w:tr>
      <w:tr w:rsidR="006A3667" w14:paraId="71D48494" w14:textId="77777777">
        <w:trPr>
          <w:hidden/>
        </w:trPr>
        <w:tc>
          <w:tcPr>
            <w:tcW w:w="0" w:type="auto"/>
            <w:gridSpan w:val="3"/>
            <w:shd w:val="clear" w:color="auto" w:fill="auto"/>
            <w:vAlign w:val="bottom"/>
          </w:tcPr>
          <w:p w14:paraId="71D48472" w14:textId="77777777" w:rsidR="006A3667" w:rsidRDefault="006A3667">
            <w:pPr>
              <w:rPr>
                <w:rFonts w:ascii="宋体"/>
                <w:vanish/>
              </w:rPr>
            </w:pPr>
          </w:p>
        </w:tc>
        <w:tc>
          <w:tcPr>
            <w:tcW w:w="0" w:type="auto"/>
            <w:shd w:val="clear" w:color="auto" w:fill="auto"/>
            <w:vAlign w:val="bottom"/>
          </w:tcPr>
          <w:p w14:paraId="71D48473" w14:textId="77777777" w:rsidR="006A3667" w:rsidRDefault="006A3667">
            <w:pPr>
              <w:rPr>
                <w:rFonts w:ascii="宋体"/>
              </w:rPr>
            </w:pPr>
          </w:p>
        </w:tc>
        <w:tc>
          <w:tcPr>
            <w:tcW w:w="0" w:type="auto"/>
            <w:shd w:val="clear" w:color="auto" w:fill="auto"/>
            <w:vAlign w:val="bottom"/>
          </w:tcPr>
          <w:p w14:paraId="71D48474" w14:textId="77777777" w:rsidR="006A3667" w:rsidRDefault="006A3667">
            <w:pPr>
              <w:rPr>
                <w:rFonts w:ascii="宋体"/>
              </w:rPr>
            </w:pPr>
          </w:p>
        </w:tc>
        <w:tc>
          <w:tcPr>
            <w:tcW w:w="0" w:type="auto"/>
            <w:shd w:val="clear" w:color="auto" w:fill="auto"/>
            <w:vAlign w:val="bottom"/>
          </w:tcPr>
          <w:p w14:paraId="71D48475" w14:textId="77777777" w:rsidR="006A3667" w:rsidRDefault="006A3667">
            <w:pPr>
              <w:rPr>
                <w:rFonts w:ascii="宋体"/>
              </w:rPr>
            </w:pPr>
          </w:p>
        </w:tc>
        <w:tc>
          <w:tcPr>
            <w:tcW w:w="0" w:type="auto"/>
            <w:shd w:val="clear" w:color="auto" w:fill="auto"/>
            <w:vAlign w:val="bottom"/>
          </w:tcPr>
          <w:p w14:paraId="71D48476" w14:textId="77777777" w:rsidR="006A3667" w:rsidRDefault="006A3667">
            <w:pPr>
              <w:rPr>
                <w:rFonts w:ascii="宋体"/>
              </w:rPr>
            </w:pPr>
          </w:p>
        </w:tc>
        <w:tc>
          <w:tcPr>
            <w:tcW w:w="0" w:type="auto"/>
            <w:shd w:val="clear" w:color="auto" w:fill="auto"/>
            <w:vAlign w:val="bottom"/>
          </w:tcPr>
          <w:p w14:paraId="71D48477" w14:textId="77777777" w:rsidR="006A3667" w:rsidRDefault="006A3667">
            <w:pPr>
              <w:rPr>
                <w:rFonts w:ascii="宋体"/>
              </w:rPr>
            </w:pPr>
          </w:p>
        </w:tc>
        <w:tc>
          <w:tcPr>
            <w:tcW w:w="0" w:type="auto"/>
            <w:shd w:val="clear" w:color="auto" w:fill="auto"/>
            <w:vAlign w:val="bottom"/>
          </w:tcPr>
          <w:p w14:paraId="71D48478" w14:textId="77777777" w:rsidR="006A3667" w:rsidRDefault="006A3667">
            <w:pPr>
              <w:rPr>
                <w:rFonts w:ascii="宋体"/>
              </w:rPr>
            </w:pPr>
          </w:p>
        </w:tc>
        <w:tc>
          <w:tcPr>
            <w:tcW w:w="0" w:type="auto"/>
            <w:shd w:val="clear" w:color="auto" w:fill="auto"/>
            <w:vAlign w:val="bottom"/>
          </w:tcPr>
          <w:p w14:paraId="71D48479" w14:textId="77777777" w:rsidR="006A3667" w:rsidRDefault="006A3667">
            <w:pPr>
              <w:rPr>
                <w:rFonts w:ascii="宋体"/>
              </w:rPr>
            </w:pPr>
          </w:p>
        </w:tc>
        <w:tc>
          <w:tcPr>
            <w:tcW w:w="0" w:type="auto"/>
            <w:shd w:val="clear" w:color="auto" w:fill="auto"/>
            <w:vAlign w:val="bottom"/>
          </w:tcPr>
          <w:p w14:paraId="71D4847A" w14:textId="77777777" w:rsidR="006A3667" w:rsidRDefault="006A3667">
            <w:pPr>
              <w:rPr>
                <w:rFonts w:ascii="宋体"/>
              </w:rPr>
            </w:pPr>
          </w:p>
        </w:tc>
        <w:tc>
          <w:tcPr>
            <w:tcW w:w="0" w:type="auto"/>
            <w:shd w:val="clear" w:color="auto" w:fill="auto"/>
            <w:vAlign w:val="bottom"/>
          </w:tcPr>
          <w:p w14:paraId="71D4847B" w14:textId="77777777" w:rsidR="006A3667" w:rsidRDefault="006A3667">
            <w:pPr>
              <w:rPr>
                <w:rFonts w:ascii="宋体"/>
              </w:rPr>
            </w:pPr>
          </w:p>
        </w:tc>
        <w:tc>
          <w:tcPr>
            <w:tcW w:w="0" w:type="auto"/>
            <w:shd w:val="clear" w:color="auto" w:fill="auto"/>
            <w:vAlign w:val="bottom"/>
          </w:tcPr>
          <w:p w14:paraId="71D4847C" w14:textId="77777777" w:rsidR="006A3667" w:rsidRDefault="006A3667">
            <w:pPr>
              <w:rPr>
                <w:rFonts w:ascii="宋体"/>
              </w:rPr>
            </w:pPr>
          </w:p>
        </w:tc>
        <w:tc>
          <w:tcPr>
            <w:tcW w:w="0" w:type="auto"/>
            <w:shd w:val="clear" w:color="auto" w:fill="auto"/>
            <w:vAlign w:val="bottom"/>
          </w:tcPr>
          <w:p w14:paraId="71D4847D" w14:textId="77777777" w:rsidR="006A3667" w:rsidRDefault="006A3667">
            <w:pPr>
              <w:rPr>
                <w:rFonts w:ascii="宋体"/>
              </w:rPr>
            </w:pPr>
          </w:p>
        </w:tc>
        <w:tc>
          <w:tcPr>
            <w:tcW w:w="0" w:type="auto"/>
            <w:shd w:val="clear" w:color="auto" w:fill="auto"/>
            <w:vAlign w:val="bottom"/>
          </w:tcPr>
          <w:p w14:paraId="71D4847E" w14:textId="77777777" w:rsidR="006A3667" w:rsidRDefault="006A3667">
            <w:pPr>
              <w:rPr>
                <w:rFonts w:ascii="宋体"/>
              </w:rPr>
            </w:pPr>
          </w:p>
        </w:tc>
        <w:tc>
          <w:tcPr>
            <w:tcW w:w="0" w:type="auto"/>
            <w:shd w:val="clear" w:color="auto" w:fill="auto"/>
            <w:vAlign w:val="bottom"/>
          </w:tcPr>
          <w:p w14:paraId="71D4847F" w14:textId="77777777" w:rsidR="006A3667" w:rsidRDefault="006A3667">
            <w:pPr>
              <w:rPr>
                <w:rFonts w:ascii="宋体"/>
              </w:rPr>
            </w:pPr>
          </w:p>
        </w:tc>
        <w:tc>
          <w:tcPr>
            <w:tcW w:w="0" w:type="auto"/>
            <w:shd w:val="clear" w:color="auto" w:fill="auto"/>
            <w:vAlign w:val="bottom"/>
          </w:tcPr>
          <w:p w14:paraId="71D48480" w14:textId="77777777" w:rsidR="006A3667" w:rsidRDefault="006A3667">
            <w:pPr>
              <w:rPr>
                <w:rFonts w:ascii="宋体"/>
              </w:rPr>
            </w:pPr>
          </w:p>
        </w:tc>
        <w:tc>
          <w:tcPr>
            <w:tcW w:w="0" w:type="auto"/>
            <w:shd w:val="clear" w:color="auto" w:fill="auto"/>
            <w:vAlign w:val="bottom"/>
          </w:tcPr>
          <w:p w14:paraId="71D48481" w14:textId="77777777" w:rsidR="006A3667" w:rsidRDefault="006A3667">
            <w:pPr>
              <w:rPr>
                <w:rFonts w:ascii="宋体"/>
              </w:rPr>
            </w:pPr>
          </w:p>
        </w:tc>
        <w:tc>
          <w:tcPr>
            <w:tcW w:w="0" w:type="auto"/>
            <w:shd w:val="clear" w:color="auto" w:fill="auto"/>
            <w:vAlign w:val="bottom"/>
          </w:tcPr>
          <w:p w14:paraId="71D48482" w14:textId="77777777" w:rsidR="006A3667" w:rsidRDefault="006A3667">
            <w:pPr>
              <w:rPr>
                <w:rFonts w:ascii="宋体"/>
              </w:rPr>
            </w:pPr>
          </w:p>
        </w:tc>
        <w:tc>
          <w:tcPr>
            <w:tcW w:w="0" w:type="auto"/>
            <w:shd w:val="clear" w:color="auto" w:fill="auto"/>
            <w:vAlign w:val="bottom"/>
          </w:tcPr>
          <w:p w14:paraId="71D48483" w14:textId="77777777" w:rsidR="006A3667" w:rsidRDefault="006A3667">
            <w:pPr>
              <w:rPr>
                <w:rFonts w:ascii="宋体"/>
              </w:rPr>
            </w:pPr>
          </w:p>
        </w:tc>
        <w:tc>
          <w:tcPr>
            <w:tcW w:w="0" w:type="auto"/>
            <w:shd w:val="clear" w:color="auto" w:fill="auto"/>
            <w:vAlign w:val="bottom"/>
          </w:tcPr>
          <w:p w14:paraId="71D48484" w14:textId="77777777" w:rsidR="006A3667" w:rsidRDefault="006A3667">
            <w:pPr>
              <w:rPr>
                <w:rFonts w:ascii="宋体"/>
              </w:rPr>
            </w:pPr>
          </w:p>
        </w:tc>
        <w:tc>
          <w:tcPr>
            <w:tcW w:w="0" w:type="auto"/>
            <w:shd w:val="clear" w:color="auto" w:fill="auto"/>
            <w:vAlign w:val="bottom"/>
          </w:tcPr>
          <w:p w14:paraId="71D48485" w14:textId="77777777" w:rsidR="006A3667" w:rsidRDefault="006A3667">
            <w:pPr>
              <w:rPr>
                <w:rFonts w:ascii="宋体"/>
              </w:rPr>
            </w:pPr>
          </w:p>
        </w:tc>
        <w:tc>
          <w:tcPr>
            <w:tcW w:w="0" w:type="auto"/>
            <w:shd w:val="clear" w:color="auto" w:fill="auto"/>
            <w:vAlign w:val="bottom"/>
          </w:tcPr>
          <w:p w14:paraId="71D48486" w14:textId="77777777" w:rsidR="006A3667" w:rsidRDefault="006A3667">
            <w:pPr>
              <w:rPr>
                <w:rFonts w:ascii="宋体"/>
              </w:rPr>
            </w:pPr>
          </w:p>
        </w:tc>
        <w:tc>
          <w:tcPr>
            <w:tcW w:w="0" w:type="auto"/>
            <w:shd w:val="clear" w:color="auto" w:fill="auto"/>
            <w:vAlign w:val="bottom"/>
          </w:tcPr>
          <w:p w14:paraId="71D48487" w14:textId="77777777" w:rsidR="006A3667" w:rsidRDefault="006A3667">
            <w:pPr>
              <w:rPr>
                <w:rFonts w:ascii="宋体"/>
              </w:rPr>
            </w:pPr>
          </w:p>
        </w:tc>
        <w:tc>
          <w:tcPr>
            <w:tcW w:w="0" w:type="auto"/>
            <w:shd w:val="clear" w:color="auto" w:fill="auto"/>
            <w:vAlign w:val="bottom"/>
          </w:tcPr>
          <w:p w14:paraId="71D48488" w14:textId="77777777" w:rsidR="006A3667" w:rsidRDefault="006A3667">
            <w:pPr>
              <w:rPr>
                <w:rFonts w:ascii="宋体"/>
              </w:rPr>
            </w:pPr>
          </w:p>
        </w:tc>
        <w:tc>
          <w:tcPr>
            <w:tcW w:w="0" w:type="auto"/>
            <w:shd w:val="clear" w:color="auto" w:fill="auto"/>
            <w:vAlign w:val="bottom"/>
          </w:tcPr>
          <w:p w14:paraId="71D48489" w14:textId="77777777" w:rsidR="006A3667" w:rsidRDefault="006A3667">
            <w:pPr>
              <w:rPr>
                <w:rFonts w:ascii="宋体"/>
              </w:rPr>
            </w:pPr>
          </w:p>
        </w:tc>
        <w:tc>
          <w:tcPr>
            <w:tcW w:w="0" w:type="auto"/>
            <w:shd w:val="clear" w:color="auto" w:fill="auto"/>
            <w:vAlign w:val="bottom"/>
          </w:tcPr>
          <w:p w14:paraId="71D4848A" w14:textId="77777777" w:rsidR="006A3667" w:rsidRDefault="006A3667">
            <w:pPr>
              <w:rPr>
                <w:rFonts w:ascii="宋体"/>
              </w:rPr>
            </w:pPr>
          </w:p>
        </w:tc>
        <w:tc>
          <w:tcPr>
            <w:tcW w:w="0" w:type="auto"/>
            <w:shd w:val="clear" w:color="auto" w:fill="auto"/>
            <w:vAlign w:val="bottom"/>
          </w:tcPr>
          <w:p w14:paraId="71D4848B" w14:textId="77777777" w:rsidR="006A3667" w:rsidRDefault="006A3667">
            <w:pPr>
              <w:rPr>
                <w:rFonts w:ascii="宋体"/>
              </w:rPr>
            </w:pPr>
          </w:p>
        </w:tc>
        <w:tc>
          <w:tcPr>
            <w:tcW w:w="0" w:type="auto"/>
            <w:shd w:val="clear" w:color="auto" w:fill="auto"/>
            <w:vAlign w:val="bottom"/>
          </w:tcPr>
          <w:p w14:paraId="71D4848C" w14:textId="77777777" w:rsidR="006A3667" w:rsidRDefault="006A3667">
            <w:pPr>
              <w:rPr>
                <w:rFonts w:ascii="宋体"/>
              </w:rPr>
            </w:pPr>
          </w:p>
        </w:tc>
        <w:tc>
          <w:tcPr>
            <w:tcW w:w="0" w:type="auto"/>
            <w:shd w:val="clear" w:color="auto" w:fill="auto"/>
            <w:vAlign w:val="bottom"/>
          </w:tcPr>
          <w:p w14:paraId="71D4848D" w14:textId="77777777" w:rsidR="006A3667" w:rsidRDefault="006A3667">
            <w:pPr>
              <w:rPr>
                <w:rFonts w:ascii="宋体"/>
              </w:rPr>
            </w:pPr>
          </w:p>
        </w:tc>
        <w:tc>
          <w:tcPr>
            <w:tcW w:w="0" w:type="auto"/>
            <w:shd w:val="clear" w:color="auto" w:fill="auto"/>
            <w:vAlign w:val="bottom"/>
          </w:tcPr>
          <w:p w14:paraId="71D4848E" w14:textId="77777777" w:rsidR="006A3667" w:rsidRDefault="006A3667">
            <w:pPr>
              <w:rPr>
                <w:rFonts w:ascii="宋体"/>
              </w:rPr>
            </w:pPr>
          </w:p>
        </w:tc>
        <w:tc>
          <w:tcPr>
            <w:tcW w:w="0" w:type="auto"/>
            <w:shd w:val="clear" w:color="auto" w:fill="auto"/>
            <w:vAlign w:val="bottom"/>
          </w:tcPr>
          <w:p w14:paraId="71D4848F" w14:textId="77777777" w:rsidR="006A3667" w:rsidRDefault="006A3667">
            <w:pPr>
              <w:rPr>
                <w:rFonts w:ascii="宋体"/>
              </w:rPr>
            </w:pPr>
          </w:p>
        </w:tc>
        <w:tc>
          <w:tcPr>
            <w:tcW w:w="0" w:type="auto"/>
            <w:shd w:val="clear" w:color="auto" w:fill="auto"/>
            <w:vAlign w:val="bottom"/>
          </w:tcPr>
          <w:p w14:paraId="71D48490" w14:textId="77777777" w:rsidR="006A3667" w:rsidRDefault="006A3667">
            <w:pPr>
              <w:rPr>
                <w:rFonts w:ascii="宋体"/>
              </w:rPr>
            </w:pPr>
          </w:p>
        </w:tc>
        <w:tc>
          <w:tcPr>
            <w:tcW w:w="0" w:type="auto"/>
            <w:shd w:val="clear" w:color="auto" w:fill="auto"/>
            <w:vAlign w:val="bottom"/>
          </w:tcPr>
          <w:p w14:paraId="71D48491" w14:textId="77777777" w:rsidR="006A3667" w:rsidRDefault="006A3667">
            <w:pPr>
              <w:rPr>
                <w:rFonts w:ascii="宋体"/>
              </w:rPr>
            </w:pPr>
          </w:p>
        </w:tc>
        <w:tc>
          <w:tcPr>
            <w:tcW w:w="0" w:type="auto"/>
            <w:shd w:val="clear" w:color="auto" w:fill="auto"/>
            <w:vAlign w:val="bottom"/>
          </w:tcPr>
          <w:p w14:paraId="71D48492" w14:textId="77777777" w:rsidR="006A3667" w:rsidRDefault="006A3667">
            <w:pPr>
              <w:rPr>
                <w:rFonts w:ascii="宋体"/>
              </w:rPr>
            </w:pPr>
          </w:p>
        </w:tc>
        <w:tc>
          <w:tcPr>
            <w:tcW w:w="0" w:type="auto"/>
            <w:shd w:val="clear" w:color="auto" w:fill="auto"/>
            <w:vAlign w:val="bottom"/>
          </w:tcPr>
          <w:p w14:paraId="71D48493" w14:textId="77777777" w:rsidR="006A3667" w:rsidRDefault="006A3667">
            <w:pPr>
              <w:rPr>
                <w:rFonts w:ascii="宋体"/>
              </w:rPr>
            </w:pPr>
          </w:p>
        </w:tc>
      </w:tr>
      <w:tr w:rsidR="006A3667" w14:paraId="71D48497" w14:textId="77777777">
        <w:tc>
          <w:tcPr>
            <w:tcW w:w="0" w:type="auto"/>
            <w:gridSpan w:val="3"/>
            <w:shd w:val="clear" w:color="auto" w:fill="auto"/>
            <w:tcMar>
              <w:top w:w="0" w:type="dxa"/>
              <w:left w:w="20" w:type="dxa"/>
              <w:bottom w:w="0" w:type="dxa"/>
              <w:right w:w="20" w:type="dxa"/>
            </w:tcMar>
            <w:vAlign w:val="bottom"/>
          </w:tcPr>
          <w:p w14:paraId="71D48495"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48496" w14:textId="77777777" w:rsidR="006A3667" w:rsidRDefault="00045F32">
            <w:pPr>
              <w:jc w:val="center"/>
              <w:textAlignment w:val="bottom"/>
            </w:pPr>
            <w:r>
              <w:rPr>
                <w:rFonts w:ascii="Arial" w:eastAsia="宋体" w:hAnsi="Arial" w:cs="Arial"/>
                <w:b/>
                <w:bCs/>
                <w:color w:val="000000"/>
                <w:sz w:val="15"/>
                <w:szCs w:val="15"/>
              </w:rPr>
              <w:t>Three Months Ended September 30,</w:t>
            </w:r>
          </w:p>
        </w:tc>
      </w:tr>
      <w:tr w:rsidR="006A3667" w14:paraId="71D4849C" w14:textId="77777777">
        <w:tc>
          <w:tcPr>
            <w:tcW w:w="0" w:type="auto"/>
            <w:gridSpan w:val="3"/>
            <w:shd w:val="clear" w:color="auto" w:fill="auto"/>
            <w:tcMar>
              <w:top w:w="0" w:type="dxa"/>
              <w:left w:w="20" w:type="dxa"/>
              <w:bottom w:w="0" w:type="dxa"/>
              <w:right w:w="20" w:type="dxa"/>
            </w:tcMar>
            <w:vAlign w:val="bottom"/>
          </w:tcPr>
          <w:p w14:paraId="71D48498"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8499"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9A"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849B" w14:textId="77777777" w:rsidR="006A3667" w:rsidRDefault="00045F32">
            <w:pPr>
              <w:jc w:val="center"/>
              <w:textAlignment w:val="bottom"/>
            </w:pPr>
            <w:r>
              <w:rPr>
                <w:rFonts w:ascii="Arial" w:eastAsia="宋体" w:hAnsi="Arial" w:cs="Arial"/>
                <w:b/>
                <w:bCs/>
                <w:color w:val="000000"/>
                <w:sz w:val="15"/>
                <w:szCs w:val="15"/>
              </w:rPr>
              <w:t>2021</w:t>
            </w:r>
          </w:p>
        </w:tc>
      </w:tr>
      <w:tr w:rsidR="006A3667" w14:paraId="71D484A9" w14:textId="77777777">
        <w:tc>
          <w:tcPr>
            <w:tcW w:w="0" w:type="auto"/>
            <w:gridSpan w:val="3"/>
            <w:shd w:val="clear" w:color="auto" w:fill="auto"/>
            <w:tcMar>
              <w:top w:w="40" w:type="dxa"/>
              <w:left w:w="20" w:type="dxa"/>
              <w:bottom w:w="40" w:type="dxa"/>
              <w:right w:w="20" w:type="dxa"/>
            </w:tcMar>
            <w:vAlign w:val="bottom"/>
          </w:tcPr>
          <w:p w14:paraId="71D4849D" w14:textId="77777777" w:rsidR="006A3667" w:rsidRDefault="00045F32">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49E" w14:textId="77777777" w:rsidR="006A3667" w:rsidRDefault="00045F32">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9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4A0" w14:textId="77777777" w:rsidR="006A3667" w:rsidRDefault="00045F32">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A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4A2" w14:textId="77777777" w:rsidR="006A3667" w:rsidRDefault="00045F32">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71D484A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4A4" w14:textId="77777777" w:rsidR="006A3667" w:rsidRDefault="00045F32">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A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4A6" w14:textId="77777777" w:rsidR="006A3667" w:rsidRDefault="00045F32">
            <w:pPr>
              <w:jc w:val="center"/>
              <w:textAlignment w:val="bottom"/>
            </w:pPr>
            <w:r>
              <w:rPr>
                <w:rFonts w:ascii="Arial" w:eastAsia="宋体" w:hAnsi="Arial" w:cs="Arial"/>
                <w:b/>
                <w:bCs/>
                <w:color w:val="000000"/>
                <w:sz w:val="15"/>
                <w:szCs w:val="15"/>
              </w:rPr>
              <w:t xml:space="preserve">Dividends Declared per </w:t>
            </w:r>
            <w:r>
              <w:rPr>
                <w:rFonts w:ascii="Arial" w:eastAsia="宋体" w:hAnsi="Arial" w:cs="Arial"/>
                <w:b/>
                <w:bCs/>
                <w:color w:val="000000"/>
                <w:sz w:val="15"/>
                <w:szCs w:val="15"/>
              </w:rPr>
              <w:t>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A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4A8" w14:textId="77777777" w:rsidR="006A3667" w:rsidRDefault="00045F32">
            <w:pPr>
              <w:jc w:val="center"/>
              <w:textAlignment w:val="bottom"/>
            </w:pPr>
            <w:r>
              <w:rPr>
                <w:rFonts w:ascii="Arial" w:eastAsia="宋体" w:hAnsi="Arial" w:cs="Arial"/>
                <w:b/>
                <w:bCs/>
                <w:color w:val="000000"/>
                <w:sz w:val="15"/>
                <w:szCs w:val="15"/>
              </w:rPr>
              <w:t>Total</w:t>
            </w:r>
          </w:p>
        </w:tc>
      </w:tr>
      <w:tr w:rsidR="006A3667" w14:paraId="71D484B6" w14:textId="77777777">
        <w:tc>
          <w:tcPr>
            <w:tcW w:w="0" w:type="auto"/>
            <w:gridSpan w:val="3"/>
            <w:shd w:val="clear" w:color="auto" w:fill="auto"/>
            <w:tcMar>
              <w:top w:w="40" w:type="dxa"/>
              <w:left w:w="20" w:type="dxa"/>
              <w:bottom w:w="40" w:type="dxa"/>
              <w:right w:w="20" w:type="dxa"/>
            </w:tcMar>
            <w:vAlign w:val="bottom"/>
          </w:tcPr>
          <w:p w14:paraId="71D484AA" w14:textId="77777777" w:rsidR="006A3667" w:rsidRDefault="00045F32">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A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4A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A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4A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A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4B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B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4B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B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4B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4B5" w14:textId="77777777" w:rsidR="006A3667" w:rsidRDefault="006A3667">
            <w:pPr>
              <w:rPr>
                <w:rFonts w:ascii="宋体"/>
              </w:rPr>
            </w:pPr>
          </w:p>
        </w:tc>
      </w:tr>
      <w:tr w:rsidR="006A3667" w14:paraId="71D484C3" w14:textId="77777777">
        <w:trPr>
          <w:hidden/>
        </w:trPr>
        <w:tc>
          <w:tcPr>
            <w:tcW w:w="0" w:type="auto"/>
            <w:gridSpan w:val="3"/>
            <w:shd w:val="clear" w:color="auto" w:fill="auto"/>
            <w:vAlign w:val="bottom"/>
          </w:tcPr>
          <w:p w14:paraId="71D484B7" w14:textId="77777777" w:rsidR="006A3667" w:rsidRDefault="006A3667">
            <w:pPr>
              <w:rPr>
                <w:rFonts w:ascii="宋体"/>
                <w:vanish/>
              </w:rPr>
            </w:pPr>
          </w:p>
        </w:tc>
        <w:tc>
          <w:tcPr>
            <w:tcW w:w="0" w:type="auto"/>
            <w:gridSpan w:val="3"/>
            <w:shd w:val="clear" w:color="auto" w:fill="auto"/>
            <w:vAlign w:val="bottom"/>
          </w:tcPr>
          <w:p w14:paraId="71D484B8" w14:textId="77777777" w:rsidR="006A3667" w:rsidRDefault="006A3667">
            <w:pPr>
              <w:rPr>
                <w:rFonts w:ascii="宋体"/>
                <w:vanish/>
              </w:rPr>
            </w:pPr>
          </w:p>
        </w:tc>
        <w:tc>
          <w:tcPr>
            <w:tcW w:w="0" w:type="auto"/>
            <w:gridSpan w:val="3"/>
            <w:shd w:val="clear" w:color="auto" w:fill="auto"/>
            <w:vAlign w:val="bottom"/>
          </w:tcPr>
          <w:p w14:paraId="71D484B9" w14:textId="77777777" w:rsidR="006A3667" w:rsidRDefault="006A3667">
            <w:pPr>
              <w:rPr>
                <w:rFonts w:ascii="宋体"/>
                <w:vanish/>
              </w:rPr>
            </w:pPr>
          </w:p>
        </w:tc>
        <w:tc>
          <w:tcPr>
            <w:tcW w:w="0" w:type="auto"/>
            <w:gridSpan w:val="3"/>
            <w:shd w:val="clear" w:color="auto" w:fill="auto"/>
            <w:vAlign w:val="bottom"/>
          </w:tcPr>
          <w:p w14:paraId="71D484BA" w14:textId="77777777" w:rsidR="006A3667" w:rsidRDefault="006A3667">
            <w:pPr>
              <w:rPr>
                <w:rFonts w:ascii="宋体"/>
                <w:vanish/>
              </w:rPr>
            </w:pPr>
          </w:p>
        </w:tc>
        <w:tc>
          <w:tcPr>
            <w:tcW w:w="0" w:type="auto"/>
            <w:gridSpan w:val="3"/>
            <w:shd w:val="clear" w:color="auto" w:fill="auto"/>
            <w:vAlign w:val="bottom"/>
          </w:tcPr>
          <w:p w14:paraId="71D484BB" w14:textId="77777777" w:rsidR="006A3667" w:rsidRDefault="006A3667">
            <w:pPr>
              <w:rPr>
                <w:rFonts w:ascii="宋体"/>
                <w:vanish/>
              </w:rPr>
            </w:pPr>
          </w:p>
        </w:tc>
        <w:tc>
          <w:tcPr>
            <w:tcW w:w="0" w:type="auto"/>
            <w:gridSpan w:val="3"/>
            <w:shd w:val="clear" w:color="auto" w:fill="auto"/>
            <w:vAlign w:val="bottom"/>
          </w:tcPr>
          <w:p w14:paraId="71D484BC" w14:textId="77777777" w:rsidR="006A3667" w:rsidRDefault="006A3667">
            <w:pPr>
              <w:rPr>
                <w:rFonts w:ascii="宋体"/>
                <w:vanish/>
              </w:rPr>
            </w:pPr>
          </w:p>
        </w:tc>
        <w:tc>
          <w:tcPr>
            <w:tcW w:w="0" w:type="auto"/>
            <w:gridSpan w:val="3"/>
            <w:shd w:val="clear" w:color="auto" w:fill="auto"/>
            <w:vAlign w:val="bottom"/>
          </w:tcPr>
          <w:p w14:paraId="71D484BD" w14:textId="77777777" w:rsidR="006A3667" w:rsidRDefault="006A3667">
            <w:pPr>
              <w:rPr>
                <w:rFonts w:ascii="宋体"/>
                <w:vanish/>
              </w:rPr>
            </w:pPr>
          </w:p>
        </w:tc>
        <w:tc>
          <w:tcPr>
            <w:tcW w:w="0" w:type="auto"/>
            <w:gridSpan w:val="3"/>
            <w:shd w:val="clear" w:color="auto" w:fill="auto"/>
            <w:vAlign w:val="bottom"/>
          </w:tcPr>
          <w:p w14:paraId="71D484BE" w14:textId="77777777" w:rsidR="006A3667" w:rsidRDefault="006A3667">
            <w:pPr>
              <w:rPr>
                <w:rFonts w:ascii="宋体"/>
                <w:vanish/>
              </w:rPr>
            </w:pPr>
          </w:p>
        </w:tc>
        <w:tc>
          <w:tcPr>
            <w:tcW w:w="0" w:type="auto"/>
            <w:gridSpan w:val="3"/>
            <w:shd w:val="clear" w:color="auto" w:fill="auto"/>
            <w:vAlign w:val="bottom"/>
          </w:tcPr>
          <w:p w14:paraId="71D484BF" w14:textId="77777777" w:rsidR="006A3667" w:rsidRDefault="006A3667">
            <w:pPr>
              <w:rPr>
                <w:rFonts w:ascii="宋体"/>
                <w:vanish/>
              </w:rPr>
            </w:pPr>
          </w:p>
        </w:tc>
        <w:tc>
          <w:tcPr>
            <w:tcW w:w="0" w:type="auto"/>
            <w:gridSpan w:val="3"/>
            <w:shd w:val="clear" w:color="auto" w:fill="auto"/>
            <w:vAlign w:val="bottom"/>
          </w:tcPr>
          <w:p w14:paraId="71D484C0" w14:textId="77777777" w:rsidR="006A3667" w:rsidRDefault="006A3667">
            <w:pPr>
              <w:rPr>
                <w:rFonts w:ascii="宋体"/>
                <w:vanish/>
              </w:rPr>
            </w:pPr>
          </w:p>
        </w:tc>
        <w:tc>
          <w:tcPr>
            <w:tcW w:w="0" w:type="auto"/>
            <w:gridSpan w:val="3"/>
            <w:shd w:val="clear" w:color="auto" w:fill="auto"/>
            <w:vAlign w:val="bottom"/>
          </w:tcPr>
          <w:p w14:paraId="71D484C1" w14:textId="77777777" w:rsidR="006A3667" w:rsidRDefault="006A3667">
            <w:pPr>
              <w:rPr>
                <w:rFonts w:ascii="宋体"/>
                <w:vanish/>
              </w:rPr>
            </w:pPr>
          </w:p>
        </w:tc>
        <w:tc>
          <w:tcPr>
            <w:tcW w:w="0" w:type="auto"/>
            <w:gridSpan w:val="3"/>
            <w:shd w:val="clear" w:color="auto" w:fill="auto"/>
            <w:vAlign w:val="bottom"/>
          </w:tcPr>
          <w:p w14:paraId="71D484C2" w14:textId="77777777" w:rsidR="006A3667" w:rsidRDefault="006A3667">
            <w:pPr>
              <w:rPr>
                <w:rFonts w:ascii="宋体"/>
                <w:vanish/>
              </w:rPr>
            </w:pPr>
          </w:p>
        </w:tc>
      </w:tr>
      <w:tr w:rsidR="006A3667" w14:paraId="71D484DC" w14:textId="77777777">
        <w:tc>
          <w:tcPr>
            <w:tcW w:w="0" w:type="auto"/>
            <w:gridSpan w:val="3"/>
            <w:shd w:val="clear" w:color="auto" w:fill="CCEEFF"/>
            <w:tcMar>
              <w:top w:w="40" w:type="dxa"/>
              <w:left w:w="20" w:type="dxa"/>
              <w:bottom w:w="40" w:type="dxa"/>
              <w:right w:w="20" w:type="dxa"/>
            </w:tcMar>
            <w:vAlign w:val="bottom"/>
          </w:tcPr>
          <w:p w14:paraId="71D484C4" w14:textId="77777777" w:rsidR="006A3667" w:rsidRDefault="00045F32">
            <w:pPr>
              <w:textAlignment w:val="bottom"/>
            </w:pPr>
            <w:r>
              <w:rPr>
                <w:rFonts w:ascii="Arial" w:eastAsia="宋体" w:hAnsi="Arial" w:cs="Arial"/>
                <w:color w:val="000000"/>
                <w:sz w:val="15"/>
                <w:szCs w:val="15"/>
              </w:rPr>
              <w:t>Series D</w:t>
            </w:r>
          </w:p>
        </w:tc>
        <w:tc>
          <w:tcPr>
            <w:tcW w:w="0" w:type="auto"/>
            <w:shd w:val="clear" w:color="auto" w:fill="CCEEFF"/>
            <w:tcMar>
              <w:top w:w="40" w:type="dxa"/>
              <w:left w:w="20" w:type="dxa"/>
              <w:bottom w:w="40" w:type="dxa"/>
              <w:right w:w="0" w:type="dxa"/>
            </w:tcMar>
            <w:vAlign w:val="bottom"/>
          </w:tcPr>
          <w:p w14:paraId="71D484C5"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84C6" w14:textId="77777777" w:rsidR="006A3667" w:rsidRDefault="00045F32">
            <w:pPr>
              <w:jc w:val="right"/>
              <w:textAlignment w:val="bottom"/>
            </w:pPr>
            <w:r>
              <w:rPr>
                <w:rFonts w:ascii="Arial" w:eastAsia="宋体" w:hAnsi="Arial" w:cs="Arial"/>
                <w:b/>
                <w:bCs/>
                <w:color w:val="000000"/>
                <w:sz w:val="15"/>
                <w:szCs w:val="15"/>
              </w:rPr>
              <w:t>1,475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4C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C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4C9"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84CA" w14:textId="77777777" w:rsidR="006A3667" w:rsidRDefault="00045F32">
            <w:pPr>
              <w:jc w:val="right"/>
              <w:textAlignment w:val="bottom"/>
            </w:pPr>
            <w:r>
              <w:rPr>
                <w:rFonts w:ascii="Arial" w:eastAsia="宋体" w:hAnsi="Arial" w:cs="Arial"/>
                <w:b/>
                <w:bCs/>
                <w:color w:val="000000"/>
                <w:sz w:val="15"/>
                <w:szCs w:val="15"/>
              </w:rPr>
              <w:t>0.37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4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C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4CD"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84CE" w14:textId="77777777" w:rsidR="006A3667" w:rsidRDefault="00045F32">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4C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D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4D1"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84D2" w14:textId="77777777" w:rsidR="006A3667" w:rsidRDefault="00045F32">
            <w:pPr>
              <w:jc w:val="right"/>
              <w:textAlignment w:val="bottom"/>
            </w:pPr>
            <w:r>
              <w:rPr>
                <w:rFonts w:ascii="Arial" w:eastAsia="宋体" w:hAnsi="Arial" w:cs="Arial"/>
                <w:color w:val="000000"/>
                <w:sz w:val="15"/>
                <w:szCs w:val="15"/>
              </w:rPr>
              <w:t>1,475 </w:t>
            </w:r>
          </w:p>
        </w:tc>
        <w:tc>
          <w:tcPr>
            <w:tcW w:w="0" w:type="auto"/>
            <w:shd w:val="clear" w:color="auto" w:fill="CCEEFF"/>
            <w:tcMar>
              <w:top w:w="40" w:type="dxa"/>
              <w:left w:w="0" w:type="dxa"/>
              <w:bottom w:w="40" w:type="dxa"/>
              <w:right w:w="20" w:type="dxa"/>
            </w:tcMar>
            <w:vAlign w:val="bottom"/>
          </w:tcPr>
          <w:p w14:paraId="71D484D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D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4D5"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84D6" w14:textId="77777777" w:rsidR="006A3667" w:rsidRDefault="00045F32">
            <w:pPr>
              <w:jc w:val="right"/>
              <w:textAlignment w:val="bottom"/>
            </w:pPr>
            <w:r>
              <w:rPr>
                <w:rFonts w:ascii="Arial" w:eastAsia="宋体" w:hAnsi="Arial" w:cs="Arial"/>
                <w:color w:val="000000"/>
                <w:sz w:val="15"/>
                <w:szCs w:val="15"/>
              </w:rPr>
              <w:t>0.37 </w:t>
            </w:r>
          </w:p>
        </w:tc>
        <w:tc>
          <w:tcPr>
            <w:tcW w:w="0" w:type="auto"/>
            <w:shd w:val="clear" w:color="auto" w:fill="CCEEFF"/>
            <w:tcMar>
              <w:top w:w="40" w:type="dxa"/>
              <w:left w:w="0" w:type="dxa"/>
              <w:bottom w:w="40" w:type="dxa"/>
              <w:right w:w="20" w:type="dxa"/>
            </w:tcMar>
            <w:vAlign w:val="bottom"/>
          </w:tcPr>
          <w:p w14:paraId="71D484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4D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4D9"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84DA" w14:textId="77777777" w:rsidR="006A3667" w:rsidRDefault="00045F32">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71D484DB" w14:textId="77777777" w:rsidR="006A3667" w:rsidRDefault="006A3667">
            <w:pPr>
              <w:jc w:val="right"/>
              <w:rPr>
                <w:rFonts w:ascii="宋体"/>
              </w:rPr>
            </w:pPr>
          </w:p>
        </w:tc>
      </w:tr>
      <w:tr w:rsidR="006A3667" w14:paraId="71D484E9" w14:textId="77777777">
        <w:trPr>
          <w:hidden/>
        </w:trPr>
        <w:tc>
          <w:tcPr>
            <w:tcW w:w="0" w:type="auto"/>
            <w:gridSpan w:val="3"/>
            <w:shd w:val="clear" w:color="auto" w:fill="auto"/>
            <w:vAlign w:val="bottom"/>
          </w:tcPr>
          <w:p w14:paraId="71D484DD" w14:textId="77777777" w:rsidR="006A3667" w:rsidRDefault="006A3667">
            <w:pPr>
              <w:rPr>
                <w:rFonts w:ascii="宋体"/>
                <w:vanish/>
              </w:rPr>
            </w:pPr>
          </w:p>
        </w:tc>
        <w:tc>
          <w:tcPr>
            <w:tcW w:w="0" w:type="auto"/>
            <w:gridSpan w:val="3"/>
            <w:shd w:val="clear" w:color="auto" w:fill="auto"/>
            <w:vAlign w:val="bottom"/>
          </w:tcPr>
          <w:p w14:paraId="71D484DE" w14:textId="77777777" w:rsidR="006A3667" w:rsidRDefault="006A3667">
            <w:pPr>
              <w:rPr>
                <w:rFonts w:ascii="宋体"/>
                <w:vanish/>
              </w:rPr>
            </w:pPr>
          </w:p>
        </w:tc>
        <w:tc>
          <w:tcPr>
            <w:tcW w:w="0" w:type="auto"/>
            <w:gridSpan w:val="3"/>
            <w:shd w:val="clear" w:color="auto" w:fill="auto"/>
            <w:vAlign w:val="bottom"/>
          </w:tcPr>
          <w:p w14:paraId="71D484DF" w14:textId="77777777" w:rsidR="006A3667" w:rsidRDefault="006A3667">
            <w:pPr>
              <w:rPr>
                <w:rFonts w:ascii="宋体"/>
                <w:vanish/>
              </w:rPr>
            </w:pPr>
          </w:p>
        </w:tc>
        <w:tc>
          <w:tcPr>
            <w:tcW w:w="0" w:type="auto"/>
            <w:gridSpan w:val="3"/>
            <w:shd w:val="clear" w:color="auto" w:fill="auto"/>
            <w:vAlign w:val="bottom"/>
          </w:tcPr>
          <w:p w14:paraId="71D484E0" w14:textId="77777777" w:rsidR="006A3667" w:rsidRDefault="006A3667">
            <w:pPr>
              <w:rPr>
                <w:rFonts w:ascii="宋体"/>
                <w:vanish/>
              </w:rPr>
            </w:pPr>
          </w:p>
        </w:tc>
        <w:tc>
          <w:tcPr>
            <w:tcW w:w="0" w:type="auto"/>
            <w:gridSpan w:val="3"/>
            <w:shd w:val="clear" w:color="auto" w:fill="auto"/>
            <w:vAlign w:val="bottom"/>
          </w:tcPr>
          <w:p w14:paraId="71D484E1" w14:textId="77777777" w:rsidR="006A3667" w:rsidRDefault="006A3667">
            <w:pPr>
              <w:rPr>
                <w:rFonts w:ascii="宋体"/>
                <w:vanish/>
              </w:rPr>
            </w:pPr>
          </w:p>
        </w:tc>
        <w:tc>
          <w:tcPr>
            <w:tcW w:w="0" w:type="auto"/>
            <w:gridSpan w:val="3"/>
            <w:shd w:val="clear" w:color="auto" w:fill="auto"/>
            <w:vAlign w:val="bottom"/>
          </w:tcPr>
          <w:p w14:paraId="71D484E2" w14:textId="77777777" w:rsidR="006A3667" w:rsidRDefault="006A3667">
            <w:pPr>
              <w:rPr>
                <w:rFonts w:ascii="宋体"/>
                <w:vanish/>
              </w:rPr>
            </w:pPr>
          </w:p>
        </w:tc>
        <w:tc>
          <w:tcPr>
            <w:tcW w:w="0" w:type="auto"/>
            <w:gridSpan w:val="3"/>
            <w:shd w:val="clear" w:color="auto" w:fill="auto"/>
            <w:vAlign w:val="bottom"/>
          </w:tcPr>
          <w:p w14:paraId="71D484E3" w14:textId="77777777" w:rsidR="006A3667" w:rsidRDefault="006A3667">
            <w:pPr>
              <w:rPr>
                <w:rFonts w:ascii="宋体"/>
                <w:vanish/>
              </w:rPr>
            </w:pPr>
          </w:p>
        </w:tc>
        <w:tc>
          <w:tcPr>
            <w:tcW w:w="0" w:type="auto"/>
            <w:gridSpan w:val="3"/>
            <w:shd w:val="clear" w:color="auto" w:fill="auto"/>
            <w:vAlign w:val="bottom"/>
          </w:tcPr>
          <w:p w14:paraId="71D484E4" w14:textId="77777777" w:rsidR="006A3667" w:rsidRDefault="006A3667">
            <w:pPr>
              <w:rPr>
                <w:rFonts w:ascii="宋体"/>
                <w:vanish/>
              </w:rPr>
            </w:pPr>
          </w:p>
        </w:tc>
        <w:tc>
          <w:tcPr>
            <w:tcW w:w="0" w:type="auto"/>
            <w:gridSpan w:val="3"/>
            <w:shd w:val="clear" w:color="auto" w:fill="auto"/>
            <w:vAlign w:val="bottom"/>
          </w:tcPr>
          <w:p w14:paraId="71D484E5" w14:textId="77777777" w:rsidR="006A3667" w:rsidRDefault="006A3667">
            <w:pPr>
              <w:rPr>
                <w:rFonts w:ascii="宋体"/>
                <w:vanish/>
              </w:rPr>
            </w:pPr>
          </w:p>
        </w:tc>
        <w:tc>
          <w:tcPr>
            <w:tcW w:w="0" w:type="auto"/>
            <w:gridSpan w:val="3"/>
            <w:shd w:val="clear" w:color="auto" w:fill="auto"/>
            <w:vAlign w:val="bottom"/>
          </w:tcPr>
          <w:p w14:paraId="71D484E6" w14:textId="77777777" w:rsidR="006A3667" w:rsidRDefault="006A3667">
            <w:pPr>
              <w:rPr>
                <w:rFonts w:ascii="宋体"/>
                <w:vanish/>
              </w:rPr>
            </w:pPr>
          </w:p>
        </w:tc>
        <w:tc>
          <w:tcPr>
            <w:tcW w:w="0" w:type="auto"/>
            <w:gridSpan w:val="3"/>
            <w:shd w:val="clear" w:color="auto" w:fill="auto"/>
            <w:vAlign w:val="bottom"/>
          </w:tcPr>
          <w:p w14:paraId="71D484E7" w14:textId="77777777" w:rsidR="006A3667" w:rsidRDefault="006A3667">
            <w:pPr>
              <w:rPr>
                <w:rFonts w:ascii="宋体"/>
                <w:vanish/>
              </w:rPr>
            </w:pPr>
          </w:p>
        </w:tc>
        <w:tc>
          <w:tcPr>
            <w:tcW w:w="0" w:type="auto"/>
            <w:gridSpan w:val="3"/>
            <w:shd w:val="clear" w:color="auto" w:fill="auto"/>
            <w:vAlign w:val="bottom"/>
          </w:tcPr>
          <w:p w14:paraId="71D484E8" w14:textId="77777777" w:rsidR="006A3667" w:rsidRDefault="006A3667">
            <w:pPr>
              <w:rPr>
                <w:rFonts w:ascii="宋体"/>
                <w:vanish/>
              </w:rPr>
            </w:pPr>
          </w:p>
        </w:tc>
      </w:tr>
      <w:tr w:rsidR="006A3667" w14:paraId="71D484FC" w14:textId="77777777">
        <w:tc>
          <w:tcPr>
            <w:tcW w:w="0" w:type="auto"/>
            <w:gridSpan w:val="3"/>
            <w:shd w:val="clear" w:color="auto" w:fill="FFFFFF"/>
            <w:tcMar>
              <w:top w:w="40" w:type="dxa"/>
              <w:left w:w="20" w:type="dxa"/>
              <w:bottom w:w="40" w:type="dxa"/>
              <w:right w:w="20" w:type="dxa"/>
            </w:tcMar>
            <w:vAlign w:val="bottom"/>
          </w:tcPr>
          <w:p w14:paraId="71D484EA" w14:textId="77777777" w:rsidR="006A3667" w:rsidRDefault="00045F32">
            <w:pPr>
              <w:textAlignment w:val="bottom"/>
            </w:pPr>
            <w:r>
              <w:rPr>
                <w:rFonts w:ascii="Arial" w:eastAsia="宋体" w:hAnsi="Arial" w:cs="Arial"/>
                <w:color w:val="000000"/>
                <w:sz w:val="15"/>
                <w:szCs w:val="15"/>
              </w:rPr>
              <w:t>Series F</w:t>
            </w:r>
          </w:p>
        </w:tc>
        <w:tc>
          <w:tcPr>
            <w:tcW w:w="0" w:type="auto"/>
            <w:gridSpan w:val="2"/>
            <w:shd w:val="clear" w:color="auto" w:fill="FFFFFF"/>
            <w:tcMar>
              <w:top w:w="40" w:type="dxa"/>
              <w:left w:w="20" w:type="dxa"/>
              <w:bottom w:w="40" w:type="dxa"/>
              <w:right w:w="0" w:type="dxa"/>
            </w:tcMar>
            <w:vAlign w:val="bottom"/>
          </w:tcPr>
          <w:p w14:paraId="71D484EB" w14:textId="77777777" w:rsidR="006A3667" w:rsidRDefault="00045F32">
            <w:pPr>
              <w:jc w:val="right"/>
              <w:textAlignment w:val="bottom"/>
            </w:pPr>
            <w:r>
              <w:rPr>
                <w:rFonts w:ascii="Arial" w:eastAsia="宋体" w:hAnsi="Arial" w:cs="Arial"/>
                <w:b/>
                <w:bCs/>
                <w:color w:val="000000"/>
                <w:sz w:val="15"/>
                <w:szCs w:val="15"/>
              </w:rPr>
              <w:t>1,387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4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E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4EE" w14:textId="77777777" w:rsidR="006A3667" w:rsidRDefault="00045F32">
            <w:pPr>
              <w:jc w:val="right"/>
              <w:textAlignment w:val="bottom"/>
            </w:pPr>
            <w:r>
              <w:rPr>
                <w:rFonts w:ascii="Arial" w:eastAsia="宋体" w:hAnsi="Arial" w:cs="Arial"/>
                <w:b/>
                <w:bCs/>
                <w:color w:val="000000"/>
                <w:sz w:val="15"/>
                <w:szCs w:val="15"/>
              </w:rPr>
              <w:t>13.87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4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F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4F1" w14:textId="77777777" w:rsidR="006A3667" w:rsidRDefault="00045F32">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4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F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4F4" w14:textId="77777777" w:rsidR="006A3667" w:rsidRDefault="00045F32">
            <w:pPr>
              <w:jc w:val="right"/>
              <w:textAlignment w:val="bottom"/>
            </w:pPr>
            <w:r>
              <w:rPr>
                <w:rFonts w:ascii="Arial" w:eastAsia="宋体" w:hAnsi="Arial" w:cs="Arial"/>
                <w:color w:val="000000"/>
                <w:sz w:val="15"/>
                <w:szCs w:val="15"/>
              </w:rPr>
              <w:t>950 </w:t>
            </w:r>
          </w:p>
        </w:tc>
        <w:tc>
          <w:tcPr>
            <w:tcW w:w="0" w:type="auto"/>
            <w:shd w:val="clear" w:color="auto" w:fill="FFFFFF"/>
            <w:tcMar>
              <w:top w:w="40" w:type="dxa"/>
              <w:left w:w="0" w:type="dxa"/>
              <w:bottom w:w="40" w:type="dxa"/>
              <w:right w:w="20" w:type="dxa"/>
            </w:tcMar>
            <w:vAlign w:val="bottom"/>
          </w:tcPr>
          <w:p w14:paraId="71D484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F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4F7" w14:textId="77777777" w:rsidR="006A3667" w:rsidRDefault="00045F32">
            <w:pPr>
              <w:jc w:val="right"/>
              <w:textAlignment w:val="bottom"/>
            </w:pPr>
            <w:r>
              <w:rPr>
                <w:rFonts w:ascii="Arial" w:eastAsia="宋体" w:hAnsi="Arial" w:cs="Arial"/>
                <w:color w:val="000000"/>
                <w:sz w:val="15"/>
                <w:szCs w:val="15"/>
              </w:rPr>
              <w:t>9.50 </w:t>
            </w:r>
          </w:p>
        </w:tc>
        <w:tc>
          <w:tcPr>
            <w:tcW w:w="0" w:type="auto"/>
            <w:shd w:val="clear" w:color="auto" w:fill="FFFFFF"/>
            <w:tcMar>
              <w:top w:w="40" w:type="dxa"/>
              <w:left w:w="0" w:type="dxa"/>
              <w:bottom w:w="40" w:type="dxa"/>
              <w:right w:w="20" w:type="dxa"/>
            </w:tcMar>
            <w:vAlign w:val="bottom"/>
          </w:tcPr>
          <w:p w14:paraId="71D484F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4F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4FA" w14:textId="77777777" w:rsidR="006A3667" w:rsidRDefault="00045F32">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71D484FB" w14:textId="77777777" w:rsidR="006A3667" w:rsidRDefault="006A3667">
            <w:pPr>
              <w:jc w:val="right"/>
              <w:rPr>
                <w:rFonts w:ascii="宋体"/>
              </w:rPr>
            </w:pPr>
          </w:p>
        </w:tc>
      </w:tr>
      <w:tr w:rsidR="006A3667" w14:paraId="71D4850F" w14:textId="77777777">
        <w:tc>
          <w:tcPr>
            <w:tcW w:w="0" w:type="auto"/>
            <w:gridSpan w:val="3"/>
            <w:shd w:val="clear" w:color="auto" w:fill="CCEEFF"/>
            <w:tcMar>
              <w:top w:w="40" w:type="dxa"/>
              <w:left w:w="20" w:type="dxa"/>
              <w:bottom w:w="40" w:type="dxa"/>
              <w:right w:w="20" w:type="dxa"/>
            </w:tcMar>
            <w:vAlign w:val="bottom"/>
          </w:tcPr>
          <w:p w14:paraId="71D484FD" w14:textId="77777777" w:rsidR="006A3667" w:rsidRDefault="00045F32">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71D484FE" w14:textId="77777777" w:rsidR="006A3667" w:rsidRDefault="00045F32">
            <w:pPr>
              <w:jc w:val="right"/>
              <w:textAlignment w:val="bottom"/>
            </w:pPr>
            <w:r>
              <w:rPr>
                <w:rFonts w:ascii="Arial" w:eastAsia="宋体" w:hAnsi="Arial" w:cs="Arial"/>
                <w:b/>
                <w:bCs/>
                <w:color w:val="000000"/>
                <w:sz w:val="15"/>
                <w:szCs w:val="15"/>
              </w:rPr>
              <w:t>1,338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4F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0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01" w14:textId="77777777" w:rsidR="006A3667" w:rsidRDefault="00045F32">
            <w:pPr>
              <w:jc w:val="right"/>
              <w:textAlignment w:val="bottom"/>
            </w:pPr>
            <w:r>
              <w:rPr>
                <w:rFonts w:ascii="Arial" w:eastAsia="宋体" w:hAnsi="Arial" w:cs="Arial"/>
                <w:b/>
                <w:bCs/>
                <w:color w:val="000000"/>
                <w:sz w:val="15"/>
                <w:szCs w:val="15"/>
              </w:rPr>
              <w:t>0.33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50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0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04" w14:textId="77777777" w:rsidR="006A3667" w:rsidRDefault="00045F32">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5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0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07" w14:textId="77777777" w:rsidR="006A3667" w:rsidRDefault="00045F32">
            <w:pPr>
              <w:jc w:val="right"/>
              <w:textAlignment w:val="bottom"/>
            </w:pPr>
            <w:r>
              <w:rPr>
                <w:rFonts w:ascii="Arial" w:eastAsia="宋体" w:hAnsi="Arial" w:cs="Arial"/>
                <w:color w:val="000000"/>
                <w:sz w:val="15"/>
                <w:szCs w:val="15"/>
              </w:rPr>
              <w:t>1,338 </w:t>
            </w:r>
          </w:p>
        </w:tc>
        <w:tc>
          <w:tcPr>
            <w:tcW w:w="0" w:type="auto"/>
            <w:shd w:val="clear" w:color="auto" w:fill="CCEEFF"/>
            <w:tcMar>
              <w:top w:w="40" w:type="dxa"/>
              <w:left w:w="0" w:type="dxa"/>
              <w:bottom w:w="40" w:type="dxa"/>
              <w:right w:w="20" w:type="dxa"/>
            </w:tcMar>
            <w:vAlign w:val="bottom"/>
          </w:tcPr>
          <w:p w14:paraId="71D485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0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0A" w14:textId="77777777" w:rsidR="006A3667" w:rsidRDefault="00045F32">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71D485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0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0D" w14:textId="77777777" w:rsidR="006A3667" w:rsidRDefault="00045F32">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71D4850E" w14:textId="77777777" w:rsidR="006A3667" w:rsidRDefault="006A3667">
            <w:pPr>
              <w:jc w:val="right"/>
              <w:rPr>
                <w:rFonts w:ascii="宋体"/>
              </w:rPr>
            </w:pPr>
          </w:p>
        </w:tc>
      </w:tr>
      <w:tr w:rsidR="006A3667" w14:paraId="71D4851C" w14:textId="77777777">
        <w:trPr>
          <w:hidden/>
        </w:trPr>
        <w:tc>
          <w:tcPr>
            <w:tcW w:w="0" w:type="auto"/>
            <w:gridSpan w:val="3"/>
            <w:shd w:val="clear" w:color="auto" w:fill="auto"/>
            <w:vAlign w:val="bottom"/>
          </w:tcPr>
          <w:p w14:paraId="71D48510" w14:textId="77777777" w:rsidR="006A3667" w:rsidRDefault="006A3667">
            <w:pPr>
              <w:rPr>
                <w:rFonts w:ascii="宋体"/>
                <w:vanish/>
              </w:rPr>
            </w:pPr>
          </w:p>
        </w:tc>
        <w:tc>
          <w:tcPr>
            <w:tcW w:w="0" w:type="auto"/>
            <w:gridSpan w:val="3"/>
            <w:shd w:val="clear" w:color="auto" w:fill="auto"/>
            <w:vAlign w:val="bottom"/>
          </w:tcPr>
          <w:p w14:paraId="71D48511" w14:textId="77777777" w:rsidR="006A3667" w:rsidRDefault="006A3667">
            <w:pPr>
              <w:rPr>
                <w:rFonts w:ascii="宋体"/>
                <w:vanish/>
              </w:rPr>
            </w:pPr>
          </w:p>
        </w:tc>
        <w:tc>
          <w:tcPr>
            <w:tcW w:w="0" w:type="auto"/>
            <w:gridSpan w:val="3"/>
            <w:shd w:val="clear" w:color="auto" w:fill="auto"/>
            <w:vAlign w:val="bottom"/>
          </w:tcPr>
          <w:p w14:paraId="71D48512" w14:textId="77777777" w:rsidR="006A3667" w:rsidRDefault="006A3667">
            <w:pPr>
              <w:rPr>
                <w:rFonts w:ascii="宋体"/>
                <w:vanish/>
              </w:rPr>
            </w:pPr>
          </w:p>
        </w:tc>
        <w:tc>
          <w:tcPr>
            <w:tcW w:w="0" w:type="auto"/>
            <w:gridSpan w:val="3"/>
            <w:shd w:val="clear" w:color="auto" w:fill="auto"/>
            <w:vAlign w:val="bottom"/>
          </w:tcPr>
          <w:p w14:paraId="71D48513" w14:textId="77777777" w:rsidR="006A3667" w:rsidRDefault="006A3667">
            <w:pPr>
              <w:rPr>
                <w:rFonts w:ascii="宋体"/>
                <w:vanish/>
              </w:rPr>
            </w:pPr>
          </w:p>
        </w:tc>
        <w:tc>
          <w:tcPr>
            <w:tcW w:w="0" w:type="auto"/>
            <w:gridSpan w:val="3"/>
            <w:shd w:val="clear" w:color="auto" w:fill="auto"/>
            <w:vAlign w:val="bottom"/>
          </w:tcPr>
          <w:p w14:paraId="71D48514" w14:textId="77777777" w:rsidR="006A3667" w:rsidRDefault="006A3667">
            <w:pPr>
              <w:rPr>
                <w:rFonts w:ascii="宋体"/>
                <w:vanish/>
              </w:rPr>
            </w:pPr>
          </w:p>
        </w:tc>
        <w:tc>
          <w:tcPr>
            <w:tcW w:w="0" w:type="auto"/>
            <w:gridSpan w:val="3"/>
            <w:shd w:val="clear" w:color="auto" w:fill="auto"/>
            <w:vAlign w:val="bottom"/>
          </w:tcPr>
          <w:p w14:paraId="71D48515" w14:textId="77777777" w:rsidR="006A3667" w:rsidRDefault="006A3667">
            <w:pPr>
              <w:rPr>
                <w:rFonts w:ascii="宋体"/>
                <w:vanish/>
              </w:rPr>
            </w:pPr>
          </w:p>
        </w:tc>
        <w:tc>
          <w:tcPr>
            <w:tcW w:w="0" w:type="auto"/>
            <w:gridSpan w:val="3"/>
            <w:shd w:val="clear" w:color="auto" w:fill="auto"/>
            <w:vAlign w:val="bottom"/>
          </w:tcPr>
          <w:p w14:paraId="71D48516" w14:textId="77777777" w:rsidR="006A3667" w:rsidRDefault="006A3667">
            <w:pPr>
              <w:rPr>
                <w:rFonts w:ascii="宋体"/>
                <w:vanish/>
              </w:rPr>
            </w:pPr>
          </w:p>
        </w:tc>
        <w:tc>
          <w:tcPr>
            <w:tcW w:w="0" w:type="auto"/>
            <w:gridSpan w:val="3"/>
            <w:shd w:val="clear" w:color="auto" w:fill="auto"/>
            <w:vAlign w:val="bottom"/>
          </w:tcPr>
          <w:p w14:paraId="71D48517" w14:textId="77777777" w:rsidR="006A3667" w:rsidRDefault="006A3667">
            <w:pPr>
              <w:rPr>
                <w:rFonts w:ascii="宋体"/>
                <w:vanish/>
              </w:rPr>
            </w:pPr>
          </w:p>
        </w:tc>
        <w:tc>
          <w:tcPr>
            <w:tcW w:w="0" w:type="auto"/>
            <w:gridSpan w:val="3"/>
            <w:shd w:val="clear" w:color="auto" w:fill="auto"/>
            <w:vAlign w:val="bottom"/>
          </w:tcPr>
          <w:p w14:paraId="71D48518" w14:textId="77777777" w:rsidR="006A3667" w:rsidRDefault="006A3667">
            <w:pPr>
              <w:rPr>
                <w:rFonts w:ascii="宋体"/>
                <w:vanish/>
              </w:rPr>
            </w:pPr>
          </w:p>
        </w:tc>
        <w:tc>
          <w:tcPr>
            <w:tcW w:w="0" w:type="auto"/>
            <w:gridSpan w:val="3"/>
            <w:shd w:val="clear" w:color="auto" w:fill="auto"/>
            <w:vAlign w:val="bottom"/>
          </w:tcPr>
          <w:p w14:paraId="71D48519" w14:textId="77777777" w:rsidR="006A3667" w:rsidRDefault="006A3667">
            <w:pPr>
              <w:rPr>
                <w:rFonts w:ascii="宋体"/>
                <w:vanish/>
              </w:rPr>
            </w:pPr>
          </w:p>
        </w:tc>
        <w:tc>
          <w:tcPr>
            <w:tcW w:w="0" w:type="auto"/>
            <w:gridSpan w:val="3"/>
            <w:shd w:val="clear" w:color="auto" w:fill="auto"/>
            <w:vAlign w:val="bottom"/>
          </w:tcPr>
          <w:p w14:paraId="71D4851A" w14:textId="77777777" w:rsidR="006A3667" w:rsidRDefault="006A3667">
            <w:pPr>
              <w:rPr>
                <w:rFonts w:ascii="宋体"/>
                <w:vanish/>
              </w:rPr>
            </w:pPr>
          </w:p>
        </w:tc>
        <w:tc>
          <w:tcPr>
            <w:tcW w:w="0" w:type="auto"/>
            <w:gridSpan w:val="3"/>
            <w:shd w:val="clear" w:color="auto" w:fill="auto"/>
            <w:vAlign w:val="bottom"/>
          </w:tcPr>
          <w:p w14:paraId="71D4851B" w14:textId="77777777" w:rsidR="006A3667" w:rsidRDefault="006A3667">
            <w:pPr>
              <w:rPr>
                <w:rFonts w:ascii="宋体"/>
                <w:vanish/>
              </w:rPr>
            </w:pPr>
          </w:p>
        </w:tc>
      </w:tr>
      <w:tr w:rsidR="006A3667" w14:paraId="71D4852D" w14:textId="77777777">
        <w:tc>
          <w:tcPr>
            <w:tcW w:w="0" w:type="auto"/>
            <w:gridSpan w:val="3"/>
            <w:shd w:val="clear" w:color="auto" w:fill="FFFFFF"/>
            <w:tcMar>
              <w:top w:w="40" w:type="dxa"/>
              <w:left w:w="20" w:type="dxa"/>
              <w:bottom w:w="40" w:type="dxa"/>
              <w:right w:w="20" w:type="dxa"/>
            </w:tcMar>
            <w:vAlign w:val="bottom"/>
          </w:tcPr>
          <w:p w14:paraId="71D4851D" w14:textId="77777777" w:rsidR="006A3667" w:rsidRDefault="00045F32">
            <w:pPr>
              <w:textAlignment w:val="bottom"/>
            </w:pPr>
            <w:r>
              <w:rPr>
                <w:rFonts w:ascii="Arial" w:eastAsia="宋体" w:hAnsi="Arial" w:cs="Arial"/>
                <w:color w:val="000000"/>
                <w:sz w:val="15"/>
                <w:szCs w:val="15"/>
              </w:rPr>
              <w:t>Total</w:t>
            </w:r>
          </w:p>
        </w:tc>
        <w:tc>
          <w:tcPr>
            <w:tcW w:w="0" w:type="auto"/>
            <w:gridSpan w:val="3"/>
            <w:shd w:val="clear" w:color="auto" w:fill="FFFFFF"/>
            <w:tcMar>
              <w:top w:w="0" w:type="dxa"/>
              <w:left w:w="20" w:type="dxa"/>
              <w:bottom w:w="0" w:type="dxa"/>
              <w:right w:w="20" w:type="dxa"/>
            </w:tcMar>
            <w:vAlign w:val="bottom"/>
          </w:tcPr>
          <w:p w14:paraId="71D4851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1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2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21"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522"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523" w14:textId="77777777" w:rsidR="006A3667" w:rsidRDefault="00045F32">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52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2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2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2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2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29"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52A"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52B" w14:textId="77777777" w:rsidR="006A3667" w:rsidRDefault="00045F32">
            <w:pPr>
              <w:jc w:val="right"/>
              <w:textAlignment w:val="bottom"/>
            </w:pPr>
            <w:r>
              <w:rPr>
                <w:rFonts w:ascii="Arial" w:eastAsia="宋体" w:hAnsi="Arial" w:cs="Arial"/>
                <w:color w:val="000000"/>
                <w:sz w:val="15"/>
                <w:szCs w:val="15"/>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52C" w14:textId="77777777" w:rsidR="006A3667" w:rsidRDefault="006A3667">
            <w:pPr>
              <w:jc w:val="right"/>
              <w:rPr>
                <w:rFonts w:ascii="宋体"/>
              </w:rPr>
            </w:pPr>
          </w:p>
        </w:tc>
      </w:tr>
      <w:tr w:rsidR="006A3667" w14:paraId="71D4853A" w14:textId="77777777">
        <w:trPr>
          <w:trHeight w:val="60"/>
        </w:trPr>
        <w:tc>
          <w:tcPr>
            <w:tcW w:w="0" w:type="auto"/>
            <w:gridSpan w:val="3"/>
            <w:shd w:val="clear" w:color="auto" w:fill="auto"/>
            <w:tcMar>
              <w:top w:w="0" w:type="dxa"/>
              <w:left w:w="20" w:type="dxa"/>
              <w:bottom w:w="0" w:type="dxa"/>
              <w:right w:w="20" w:type="dxa"/>
            </w:tcMar>
            <w:vAlign w:val="bottom"/>
          </w:tcPr>
          <w:p w14:paraId="71D4852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2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3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3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32"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853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3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3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3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3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3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8539" w14:textId="77777777" w:rsidR="006A3667" w:rsidRDefault="006A3667">
            <w:pPr>
              <w:rPr>
                <w:rFonts w:ascii="宋体"/>
              </w:rPr>
            </w:pPr>
          </w:p>
        </w:tc>
      </w:tr>
      <w:tr w:rsidR="006A3667" w14:paraId="71D4853D" w14:textId="77777777">
        <w:tc>
          <w:tcPr>
            <w:tcW w:w="0" w:type="auto"/>
            <w:gridSpan w:val="3"/>
            <w:shd w:val="clear" w:color="auto" w:fill="auto"/>
            <w:tcMar>
              <w:top w:w="0" w:type="dxa"/>
              <w:left w:w="20" w:type="dxa"/>
              <w:bottom w:w="0" w:type="dxa"/>
              <w:right w:w="20" w:type="dxa"/>
            </w:tcMar>
            <w:vAlign w:val="bottom"/>
          </w:tcPr>
          <w:p w14:paraId="71D4853B"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4853C" w14:textId="77777777" w:rsidR="006A3667" w:rsidRDefault="00045F32">
            <w:pPr>
              <w:jc w:val="center"/>
              <w:textAlignment w:val="bottom"/>
            </w:pPr>
            <w:r>
              <w:rPr>
                <w:rFonts w:ascii="Arial" w:eastAsia="宋体" w:hAnsi="Arial" w:cs="Arial"/>
                <w:b/>
                <w:bCs/>
                <w:color w:val="000000"/>
                <w:sz w:val="15"/>
                <w:szCs w:val="15"/>
              </w:rPr>
              <w:t>Nine Months Ended September 30,</w:t>
            </w:r>
          </w:p>
        </w:tc>
      </w:tr>
      <w:tr w:rsidR="006A3667" w14:paraId="71D48542" w14:textId="77777777">
        <w:tc>
          <w:tcPr>
            <w:tcW w:w="0" w:type="auto"/>
            <w:gridSpan w:val="3"/>
            <w:shd w:val="clear" w:color="auto" w:fill="auto"/>
            <w:tcMar>
              <w:top w:w="0" w:type="dxa"/>
              <w:left w:w="20" w:type="dxa"/>
              <w:bottom w:w="0" w:type="dxa"/>
              <w:right w:w="20" w:type="dxa"/>
            </w:tcMar>
            <w:vAlign w:val="bottom"/>
          </w:tcPr>
          <w:p w14:paraId="71D4853E"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853F" w14:textId="77777777" w:rsidR="006A3667" w:rsidRDefault="00045F32">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40"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8541" w14:textId="77777777" w:rsidR="006A3667" w:rsidRDefault="00045F32">
            <w:pPr>
              <w:jc w:val="center"/>
              <w:textAlignment w:val="bottom"/>
            </w:pPr>
            <w:r>
              <w:rPr>
                <w:rFonts w:ascii="Arial" w:eastAsia="宋体" w:hAnsi="Arial" w:cs="Arial"/>
                <w:b/>
                <w:bCs/>
                <w:color w:val="000000"/>
                <w:sz w:val="15"/>
                <w:szCs w:val="15"/>
              </w:rPr>
              <w:t>2021</w:t>
            </w:r>
          </w:p>
        </w:tc>
      </w:tr>
      <w:tr w:rsidR="006A3667" w14:paraId="71D4854F" w14:textId="77777777">
        <w:tc>
          <w:tcPr>
            <w:tcW w:w="0" w:type="auto"/>
            <w:gridSpan w:val="3"/>
            <w:shd w:val="clear" w:color="auto" w:fill="auto"/>
            <w:tcMar>
              <w:top w:w="40" w:type="dxa"/>
              <w:left w:w="20" w:type="dxa"/>
              <w:bottom w:w="40" w:type="dxa"/>
              <w:right w:w="20" w:type="dxa"/>
            </w:tcMar>
            <w:vAlign w:val="bottom"/>
          </w:tcPr>
          <w:p w14:paraId="71D48543" w14:textId="77777777" w:rsidR="006A3667" w:rsidRDefault="00045F32">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544" w14:textId="77777777" w:rsidR="006A3667" w:rsidRDefault="00045F32">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4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546" w14:textId="77777777" w:rsidR="006A3667" w:rsidRDefault="00045F32">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4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548" w14:textId="77777777" w:rsidR="006A3667" w:rsidRDefault="00045F32">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71D48549"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54A" w14:textId="77777777" w:rsidR="006A3667" w:rsidRDefault="00045F32">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4B"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54C" w14:textId="77777777" w:rsidR="006A3667" w:rsidRDefault="00045F32">
            <w:pPr>
              <w:jc w:val="center"/>
              <w:textAlignment w:val="bottom"/>
            </w:pPr>
            <w:r>
              <w:rPr>
                <w:rFonts w:ascii="Arial" w:eastAsia="宋体" w:hAnsi="Arial" w:cs="Arial"/>
                <w:b/>
                <w:bCs/>
                <w:color w:val="000000"/>
                <w:sz w:val="15"/>
                <w:szCs w:val="15"/>
              </w:rPr>
              <w:t xml:space="preserve">Dividends </w:t>
            </w:r>
            <w:r>
              <w:rPr>
                <w:rFonts w:ascii="Arial" w:eastAsia="宋体" w:hAnsi="Arial" w:cs="Arial"/>
                <w:b/>
                <w:bCs/>
                <w:color w:val="000000"/>
                <w:sz w:val="15"/>
                <w:szCs w:val="15"/>
              </w:rPr>
              <w:t>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4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54E" w14:textId="77777777" w:rsidR="006A3667" w:rsidRDefault="00045F32">
            <w:pPr>
              <w:jc w:val="center"/>
              <w:textAlignment w:val="bottom"/>
            </w:pPr>
            <w:r>
              <w:rPr>
                <w:rFonts w:ascii="Arial" w:eastAsia="宋体" w:hAnsi="Arial" w:cs="Arial"/>
                <w:b/>
                <w:bCs/>
                <w:color w:val="000000"/>
                <w:sz w:val="15"/>
                <w:szCs w:val="15"/>
              </w:rPr>
              <w:t>Total</w:t>
            </w:r>
          </w:p>
        </w:tc>
      </w:tr>
      <w:tr w:rsidR="006A3667" w14:paraId="71D4855C" w14:textId="77777777">
        <w:tc>
          <w:tcPr>
            <w:tcW w:w="0" w:type="auto"/>
            <w:gridSpan w:val="3"/>
            <w:shd w:val="clear" w:color="auto" w:fill="auto"/>
            <w:tcMar>
              <w:top w:w="40" w:type="dxa"/>
              <w:left w:w="20" w:type="dxa"/>
              <w:bottom w:w="40" w:type="dxa"/>
              <w:right w:w="20" w:type="dxa"/>
            </w:tcMar>
            <w:vAlign w:val="bottom"/>
          </w:tcPr>
          <w:p w14:paraId="71D48550" w14:textId="77777777" w:rsidR="006A3667" w:rsidRDefault="00045F32">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5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5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5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554"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5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5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5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5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5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5A"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55B" w14:textId="77777777" w:rsidR="006A3667" w:rsidRDefault="006A3667">
            <w:pPr>
              <w:rPr>
                <w:rFonts w:ascii="宋体"/>
              </w:rPr>
            </w:pPr>
          </w:p>
        </w:tc>
      </w:tr>
      <w:tr w:rsidR="006A3667" w14:paraId="71D48569" w14:textId="77777777">
        <w:trPr>
          <w:hidden/>
        </w:trPr>
        <w:tc>
          <w:tcPr>
            <w:tcW w:w="0" w:type="auto"/>
            <w:gridSpan w:val="3"/>
            <w:shd w:val="clear" w:color="auto" w:fill="auto"/>
            <w:vAlign w:val="bottom"/>
          </w:tcPr>
          <w:p w14:paraId="71D4855D" w14:textId="77777777" w:rsidR="006A3667" w:rsidRDefault="006A3667">
            <w:pPr>
              <w:rPr>
                <w:rFonts w:ascii="宋体"/>
                <w:vanish/>
              </w:rPr>
            </w:pPr>
          </w:p>
        </w:tc>
        <w:tc>
          <w:tcPr>
            <w:tcW w:w="0" w:type="auto"/>
            <w:gridSpan w:val="3"/>
            <w:shd w:val="clear" w:color="auto" w:fill="auto"/>
            <w:vAlign w:val="bottom"/>
          </w:tcPr>
          <w:p w14:paraId="71D4855E" w14:textId="77777777" w:rsidR="006A3667" w:rsidRDefault="006A3667">
            <w:pPr>
              <w:rPr>
                <w:rFonts w:ascii="宋体"/>
                <w:vanish/>
              </w:rPr>
            </w:pPr>
          </w:p>
        </w:tc>
        <w:tc>
          <w:tcPr>
            <w:tcW w:w="0" w:type="auto"/>
            <w:gridSpan w:val="3"/>
            <w:shd w:val="clear" w:color="auto" w:fill="auto"/>
            <w:vAlign w:val="bottom"/>
          </w:tcPr>
          <w:p w14:paraId="71D4855F" w14:textId="77777777" w:rsidR="006A3667" w:rsidRDefault="006A3667">
            <w:pPr>
              <w:rPr>
                <w:rFonts w:ascii="宋体"/>
                <w:vanish/>
              </w:rPr>
            </w:pPr>
          </w:p>
        </w:tc>
        <w:tc>
          <w:tcPr>
            <w:tcW w:w="0" w:type="auto"/>
            <w:gridSpan w:val="3"/>
            <w:shd w:val="clear" w:color="auto" w:fill="auto"/>
            <w:vAlign w:val="bottom"/>
          </w:tcPr>
          <w:p w14:paraId="71D48560" w14:textId="77777777" w:rsidR="006A3667" w:rsidRDefault="006A3667">
            <w:pPr>
              <w:rPr>
                <w:rFonts w:ascii="宋体"/>
                <w:vanish/>
              </w:rPr>
            </w:pPr>
          </w:p>
        </w:tc>
        <w:tc>
          <w:tcPr>
            <w:tcW w:w="0" w:type="auto"/>
            <w:gridSpan w:val="3"/>
            <w:shd w:val="clear" w:color="auto" w:fill="auto"/>
            <w:vAlign w:val="bottom"/>
          </w:tcPr>
          <w:p w14:paraId="71D48561" w14:textId="77777777" w:rsidR="006A3667" w:rsidRDefault="006A3667">
            <w:pPr>
              <w:rPr>
                <w:rFonts w:ascii="宋体"/>
                <w:vanish/>
              </w:rPr>
            </w:pPr>
          </w:p>
        </w:tc>
        <w:tc>
          <w:tcPr>
            <w:tcW w:w="0" w:type="auto"/>
            <w:gridSpan w:val="3"/>
            <w:shd w:val="clear" w:color="auto" w:fill="auto"/>
            <w:vAlign w:val="bottom"/>
          </w:tcPr>
          <w:p w14:paraId="71D48562" w14:textId="77777777" w:rsidR="006A3667" w:rsidRDefault="006A3667">
            <w:pPr>
              <w:rPr>
                <w:rFonts w:ascii="宋体"/>
                <w:vanish/>
              </w:rPr>
            </w:pPr>
          </w:p>
        </w:tc>
        <w:tc>
          <w:tcPr>
            <w:tcW w:w="0" w:type="auto"/>
            <w:gridSpan w:val="3"/>
            <w:shd w:val="clear" w:color="auto" w:fill="auto"/>
            <w:vAlign w:val="bottom"/>
          </w:tcPr>
          <w:p w14:paraId="71D48563" w14:textId="77777777" w:rsidR="006A3667" w:rsidRDefault="006A3667">
            <w:pPr>
              <w:rPr>
                <w:rFonts w:ascii="宋体"/>
                <w:vanish/>
              </w:rPr>
            </w:pPr>
          </w:p>
        </w:tc>
        <w:tc>
          <w:tcPr>
            <w:tcW w:w="0" w:type="auto"/>
            <w:gridSpan w:val="3"/>
            <w:shd w:val="clear" w:color="auto" w:fill="auto"/>
            <w:vAlign w:val="bottom"/>
          </w:tcPr>
          <w:p w14:paraId="71D48564" w14:textId="77777777" w:rsidR="006A3667" w:rsidRDefault="006A3667">
            <w:pPr>
              <w:rPr>
                <w:rFonts w:ascii="宋体"/>
                <w:vanish/>
              </w:rPr>
            </w:pPr>
          </w:p>
        </w:tc>
        <w:tc>
          <w:tcPr>
            <w:tcW w:w="0" w:type="auto"/>
            <w:gridSpan w:val="3"/>
            <w:shd w:val="clear" w:color="auto" w:fill="auto"/>
            <w:vAlign w:val="bottom"/>
          </w:tcPr>
          <w:p w14:paraId="71D48565" w14:textId="77777777" w:rsidR="006A3667" w:rsidRDefault="006A3667">
            <w:pPr>
              <w:rPr>
                <w:rFonts w:ascii="宋体"/>
                <w:vanish/>
              </w:rPr>
            </w:pPr>
          </w:p>
        </w:tc>
        <w:tc>
          <w:tcPr>
            <w:tcW w:w="0" w:type="auto"/>
            <w:gridSpan w:val="3"/>
            <w:shd w:val="clear" w:color="auto" w:fill="auto"/>
            <w:vAlign w:val="bottom"/>
          </w:tcPr>
          <w:p w14:paraId="71D48566" w14:textId="77777777" w:rsidR="006A3667" w:rsidRDefault="006A3667">
            <w:pPr>
              <w:rPr>
                <w:rFonts w:ascii="宋体"/>
                <w:vanish/>
              </w:rPr>
            </w:pPr>
          </w:p>
        </w:tc>
        <w:tc>
          <w:tcPr>
            <w:tcW w:w="0" w:type="auto"/>
            <w:gridSpan w:val="3"/>
            <w:shd w:val="clear" w:color="auto" w:fill="auto"/>
            <w:vAlign w:val="bottom"/>
          </w:tcPr>
          <w:p w14:paraId="71D48567" w14:textId="77777777" w:rsidR="006A3667" w:rsidRDefault="006A3667">
            <w:pPr>
              <w:rPr>
                <w:rFonts w:ascii="宋体"/>
                <w:vanish/>
              </w:rPr>
            </w:pPr>
          </w:p>
        </w:tc>
        <w:tc>
          <w:tcPr>
            <w:tcW w:w="0" w:type="auto"/>
            <w:gridSpan w:val="3"/>
            <w:shd w:val="clear" w:color="auto" w:fill="auto"/>
            <w:vAlign w:val="bottom"/>
          </w:tcPr>
          <w:p w14:paraId="71D48568" w14:textId="77777777" w:rsidR="006A3667" w:rsidRDefault="006A3667">
            <w:pPr>
              <w:rPr>
                <w:rFonts w:ascii="宋体"/>
                <w:vanish/>
              </w:rPr>
            </w:pPr>
          </w:p>
        </w:tc>
      </w:tr>
      <w:tr w:rsidR="006A3667" w14:paraId="71D48582" w14:textId="77777777">
        <w:tc>
          <w:tcPr>
            <w:tcW w:w="0" w:type="auto"/>
            <w:gridSpan w:val="3"/>
            <w:shd w:val="clear" w:color="auto" w:fill="CCEEFF"/>
            <w:tcMar>
              <w:top w:w="40" w:type="dxa"/>
              <w:left w:w="20" w:type="dxa"/>
              <w:bottom w:w="40" w:type="dxa"/>
              <w:right w:w="20" w:type="dxa"/>
            </w:tcMar>
            <w:vAlign w:val="bottom"/>
          </w:tcPr>
          <w:p w14:paraId="71D4856A" w14:textId="77777777" w:rsidR="006A3667" w:rsidRDefault="00045F32">
            <w:pPr>
              <w:textAlignment w:val="bottom"/>
            </w:pPr>
            <w:r>
              <w:rPr>
                <w:rFonts w:ascii="Arial" w:eastAsia="宋体" w:hAnsi="Arial" w:cs="Arial"/>
                <w:color w:val="000000"/>
                <w:sz w:val="15"/>
                <w:szCs w:val="15"/>
              </w:rPr>
              <w:t>Series D</w:t>
            </w:r>
          </w:p>
        </w:tc>
        <w:tc>
          <w:tcPr>
            <w:tcW w:w="0" w:type="auto"/>
            <w:shd w:val="clear" w:color="auto" w:fill="CCEEFF"/>
            <w:tcMar>
              <w:top w:w="40" w:type="dxa"/>
              <w:left w:w="20" w:type="dxa"/>
              <w:bottom w:w="40" w:type="dxa"/>
              <w:right w:w="0" w:type="dxa"/>
            </w:tcMar>
            <w:vAlign w:val="bottom"/>
          </w:tcPr>
          <w:p w14:paraId="71D4856B"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856C" w14:textId="77777777" w:rsidR="006A3667" w:rsidRDefault="00045F32">
            <w:pPr>
              <w:jc w:val="right"/>
              <w:textAlignment w:val="bottom"/>
            </w:pPr>
            <w:r>
              <w:rPr>
                <w:rFonts w:ascii="Arial" w:eastAsia="宋体" w:hAnsi="Arial" w:cs="Arial"/>
                <w:b/>
                <w:bCs/>
                <w:color w:val="000000"/>
                <w:sz w:val="15"/>
                <w:szCs w:val="15"/>
              </w:rPr>
              <w:t>4,425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56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6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56F"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8570" w14:textId="77777777" w:rsidR="006A3667" w:rsidRDefault="00045F32">
            <w:pPr>
              <w:jc w:val="right"/>
              <w:textAlignment w:val="bottom"/>
            </w:pPr>
            <w:r>
              <w:rPr>
                <w:rFonts w:ascii="Arial" w:eastAsia="宋体" w:hAnsi="Arial" w:cs="Arial"/>
                <w:b/>
                <w:bCs/>
                <w:color w:val="000000"/>
                <w:sz w:val="15"/>
                <w:szCs w:val="15"/>
              </w:rPr>
              <w:t>1.11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5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7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573" w14:textId="77777777" w:rsidR="006A3667" w:rsidRDefault="00045F32">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71D48574" w14:textId="77777777" w:rsidR="006A3667" w:rsidRDefault="00045F32">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57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7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577"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8578" w14:textId="77777777" w:rsidR="006A3667" w:rsidRDefault="00045F32">
            <w:pPr>
              <w:jc w:val="right"/>
              <w:textAlignment w:val="bottom"/>
            </w:pPr>
            <w:r>
              <w:rPr>
                <w:rFonts w:ascii="Arial" w:eastAsia="宋体" w:hAnsi="Arial" w:cs="Arial"/>
                <w:color w:val="000000"/>
                <w:sz w:val="15"/>
                <w:szCs w:val="15"/>
              </w:rPr>
              <w:t>4,425 </w:t>
            </w:r>
          </w:p>
        </w:tc>
        <w:tc>
          <w:tcPr>
            <w:tcW w:w="0" w:type="auto"/>
            <w:shd w:val="clear" w:color="auto" w:fill="CCEEFF"/>
            <w:tcMar>
              <w:top w:w="40" w:type="dxa"/>
              <w:left w:w="0" w:type="dxa"/>
              <w:bottom w:w="40" w:type="dxa"/>
              <w:right w:w="20" w:type="dxa"/>
            </w:tcMar>
            <w:vAlign w:val="bottom"/>
          </w:tcPr>
          <w:p w14:paraId="71D485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7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57B"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857C" w14:textId="77777777" w:rsidR="006A3667" w:rsidRDefault="00045F32">
            <w:pPr>
              <w:jc w:val="right"/>
              <w:textAlignment w:val="bottom"/>
            </w:pPr>
            <w:r>
              <w:rPr>
                <w:rFonts w:ascii="Arial" w:eastAsia="宋体" w:hAnsi="Arial" w:cs="Arial"/>
                <w:color w:val="000000"/>
                <w:sz w:val="15"/>
                <w:szCs w:val="15"/>
              </w:rPr>
              <w:t>1.11 </w:t>
            </w:r>
          </w:p>
        </w:tc>
        <w:tc>
          <w:tcPr>
            <w:tcW w:w="0" w:type="auto"/>
            <w:shd w:val="clear" w:color="auto" w:fill="CCEEFF"/>
            <w:tcMar>
              <w:top w:w="40" w:type="dxa"/>
              <w:left w:w="0" w:type="dxa"/>
              <w:bottom w:w="40" w:type="dxa"/>
              <w:right w:w="20" w:type="dxa"/>
            </w:tcMar>
            <w:vAlign w:val="bottom"/>
          </w:tcPr>
          <w:p w14:paraId="71D485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7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57F" w14:textId="77777777" w:rsidR="006A3667" w:rsidRDefault="00045F32">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71D48580" w14:textId="77777777" w:rsidR="006A3667" w:rsidRDefault="00045F32">
            <w:pPr>
              <w:jc w:val="right"/>
              <w:textAlignment w:val="bottom"/>
            </w:pPr>
            <w:r>
              <w:rPr>
                <w:rFonts w:ascii="Arial" w:eastAsia="宋体" w:hAnsi="Arial" w:cs="Arial"/>
                <w:color w:val="000000"/>
                <w:sz w:val="15"/>
                <w:szCs w:val="15"/>
              </w:rPr>
              <w:t>33 </w:t>
            </w:r>
          </w:p>
        </w:tc>
        <w:tc>
          <w:tcPr>
            <w:tcW w:w="0" w:type="auto"/>
            <w:shd w:val="clear" w:color="auto" w:fill="CCEEFF"/>
            <w:tcMar>
              <w:top w:w="40" w:type="dxa"/>
              <w:left w:w="0" w:type="dxa"/>
              <w:bottom w:w="40" w:type="dxa"/>
              <w:right w:w="20" w:type="dxa"/>
            </w:tcMar>
            <w:vAlign w:val="bottom"/>
          </w:tcPr>
          <w:p w14:paraId="71D48581" w14:textId="77777777" w:rsidR="006A3667" w:rsidRDefault="006A3667">
            <w:pPr>
              <w:jc w:val="right"/>
              <w:rPr>
                <w:rFonts w:ascii="宋体"/>
              </w:rPr>
            </w:pPr>
          </w:p>
        </w:tc>
      </w:tr>
      <w:tr w:rsidR="006A3667" w14:paraId="71D4858F" w14:textId="77777777">
        <w:trPr>
          <w:hidden/>
        </w:trPr>
        <w:tc>
          <w:tcPr>
            <w:tcW w:w="0" w:type="auto"/>
            <w:gridSpan w:val="3"/>
            <w:shd w:val="clear" w:color="auto" w:fill="auto"/>
            <w:vAlign w:val="bottom"/>
          </w:tcPr>
          <w:p w14:paraId="71D48583" w14:textId="77777777" w:rsidR="006A3667" w:rsidRDefault="006A3667">
            <w:pPr>
              <w:rPr>
                <w:rFonts w:ascii="宋体"/>
                <w:vanish/>
              </w:rPr>
            </w:pPr>
          </w:p>
        </w:tc>
        <w:tc>
          <w:tcPr>
            <w:tcW w:w="0" w:type="auto"/>
            <w:gridSpan w:val="3"/>
            <w:shd w:val="clear" w:color="auto" w:fill="auto"/>
            <w:vAlign w:val="bottom"/>
          </w:tcPr>
          <w:p w14:paraId="71D48584" w14:textId="77777777" w:rsidR="006A3667" w:rsidRDefault="006A3667">
            <w:pPr>
              <w:rPr>
                <w:rFonts w:ascii="宋体"/>
                <w:vanish/>
              </w:rPr>
            </w:pPr>
          </w:p>
        </w:tc>
        <w:tc>
          <w:tcPr>
            <w:tcW w:w="0" w:type="auto"/>
            <w:gridSpan w:val="3"/>
            <w:shd w:val="clear" w:color="auto" w:fill="auto"/>
            <w:vAlign w:val="bottom"/>
          </w:tcPr>
          <w:p w14:paraId="71D48585" w14:textId="77777777" w:rsidR="006A3667" w:rsidRDefault="006A3667">
            <w:pPr>
              <w:rPr>
                <w:rFonts w:ascii="宋体"/>
                <w:vanish/>
              </w:rPr>
            </w:pPr>
          </w:p>
        </w:tc>
        <w:tc>
          <w:tcPr>
            <w:tcW w:w="0" w:type="auto"/>
            <w:gridSpan w:val="3"/>
            <w:shd w:val="clear" w:color="auto" w:fill="auto"/>
            <w:vAlign w:val="bottom"/>
          </w:tcPr>
          <w:p w14:paraId="71D48586" w14:textId="77777777" w:rsidR="006A3667" w:rsidRDefault="006A3667">
            <w:pPr>
              <w:rPr>
                <w:rFonts w:ascii="宋体"/>
                <w:vanish/>
              </w:rPr>
            </w:pPr>
          </w:p>
        </w:tc>
        <w:tc>
          <w:tcPr>
            <w:tcW w:w="0" w:type="auto"/>
            <w:gridSpan w:val="3"/>
            <w:shd w:val="clear" w:color="auto" w:fill="auto"/>
            <w:vAlign w:val="bottom"/>
          </w:tcPr>
          <w:p w14:paraId="71D48587" w14:textId="77777777" w:rsidR="006A3667" w:rsidRDefault="006A3667">
            <w:pPr>
              <w:rPr>
                <w:rFonts w:ascii="宋体"/>
                <w:vanish/>
              </w:rPr>
            </w:pPr>
          </w:p>
        </w:tc>
        <w:tc>
          <w:tcPr>
            <w:tcW w:w="0" w:type="auto"/>
            <w:gridSpan w:val="3"/>
            <w:shd w:val="clear" w:color="auto" w:fill="auto"/>
            <w:vAlign w:val="bottom"/>
          </w:tcPr>
          <w:p w14:paraId="71D48588" w14:textId="77777777" w:rsidR="006A3667" w:rsidRDefault="006A3667">
            <w:pPr>
              <w:rPr>
                <w:rFonts w:ascii="宋体"/>
                <w:vanish/>
              </w:rPr>
            </w:pPr>
          </w:p>
        </w:tc>
        <w:tc>
          <w:tcPr>
            <w:tcW w:w="0" w:type="auto"/>
            <w:gridSpan w:val="3"/>
            <w:shd w:val="clear" w:color="auto" w:fill="auto"/>
            <w:vAlign w:val="bottom"/>
          </w:tcPr>
          <w:p w14:paraId="71D48589" w14:textId="77777777" w:rsidR="006A3667" w:rsidRDefault="006A3667">
            <w:pPr>
              <w:rPr>
                <w:rFonts w:ascii="宋体"/>
                <w:vanish/>
              </w:rPr>
            </w:pPr>
          </w:p>
        </w:tc>
        <w:tc>
          <w:tcPr>
            <w:tcW w:w="0" w:type="auto"/>
            <w:gridSpan w:val="3"/>
            <w:shd w:val="clear" w:color="auto" w:fill="auto"/>
            <w:vAlign w:val="bottom"/>
          </w:tcPr>
          <w:p w14:paraId="71D4858A" w14:textId="77777777" w:rsidR="006A3667" w:rsidRDefault="006A3667">
            <w:pPr>
              <w:rPr>
                <w:rFonts w:ascii="宋体"/>
                <w:vanish/>
              </w:rPr>
            </w:pPr>
          </w:p>
        </w:tc>
        <w:tc>
          <w:tcPr>
            <w:tcW w:w="0" w:type="auto"/>
            <w:gridSpan w:val="3"/>
            <w:shd w:val="clear" w:color="auto" w:fill="auto"/>
            <w:vAlign w:val="bottom"/>
          </w:tcPr>
          <w:p w14:paraId="71D4858B" w14:textId="77777777" w:rsidR="006A3667" w:rsidRDefault="006A3667">
            <w:pPr>
              <w:rPr>
                <w:rFonts w:ascii="宋体"/>
                <w:vanish/>
              </w:rPr>
            </w:pPr>
          </w:p>
        </w:tc>
        <w:tc>
          <w:tcPr>
            <w:tcW w:w="0" w:type="auto"/>
            <w:gridSpan w:val="3"/>
            <w:shd w:val="clear" w:color="auto" w:fill="auto"/>
            <w:vAlign w:val="bottom"/>
          </w:tcPr>
          <w:p w14:paraId="71D4858C" w14:textId="77777777" w:rsidR="006A3667" w:rsidRDefault="006A3667">
            <w:pPr>
              <w:rPr>
                <w:rFonts w:ascii="宋体"/>
                <w:vanish/>
              </w:rPr>
            </w:pPr>
          </w:p>
        </w:tc>
        <w:tc>
          <w:tcPr>
            <w:tcW w:w="0" w:type="auto"/>
            <w:gridSpan w:val="3"/>
            <w:shd w:val="clear" w:color="auto" w:fill="auto"/>
            <w:vAlign w:val="bottom"/>
          </w:tcPr>
          <w:p w14:paraId="71D4858D" w14:textId="77777777" w:rsidR="006A3667" w:rsidRDefault="006A3667">
            <w:pPr>
              <w:rPr>
                <w:rFonts w:ascii="宋体"/>
                <w:vanish/>
              </w:rPr>
            </w:pPr>
          </w:p>
        </w:tc>
        <w:tc>
          <w:tcPr>
            <w:tcW w:w="0" w:type="auto"/>
            <w:gridSpan w:val="3"/>
            <w:shd w:val="clear" w:color="auto" w:fill="auto"/>
            <w:vAlign w:val="bottom"/>
          </w:tcPr>
          <w:p w14:paraId="71D4858E" w14:textId="77777777" w:rsidR="006A3667" w:rsidRDefault="006A3667">
            <w:pPr>
              <w:rPr>
                <w:rFonts w:ascii="宋体"/>
                <w:vanish/>
              </w:rPr>
            </w:pPr>
          </w:p>
        </w:tc>
      </w:tr>
      <w:tr w:rsidR="006A3667" w14:paraId="71D485A2" w14:textId="77777777">
        <w:tc>
          <w:tcPr>
            <w:tcW w:w="0" w:type="auto"/>
            <w:gridSpan w:val="3"/>
            <w:shd w:val="clear" w:color="auto" w:fill="FFFFFF"/>
            <w:tcMar>
              <w:top w:w="40" w:type="dxa"/>
              <w:left w:w="20" w:type="dxa"/>
              <w:bottom w:w="40" w:type="dxa"/>
              <w:right w:w="20" w:type="dxa"/>
            </w:tcMar>
            <w:vAlign w:val="bottom"/>
          </w:tcPr>
          <w:p w14:paraId="71D48590" w14:textId="77777777" w:rsidR="006A3667" w:rsidRDefault="00045F32">
            <w:pPr>
              <w:textAlignment w:val="bottom"/>
            </w:pPr>
            <w:r>
              <w:rPr>
                <w:rFonts w:ascii="Arial" w:eastAsia="宋体" w:hAnsi="Arial" w:cs="Arial"/>
                <w:color w:val="000000"/>
                <w:sz w:val="15"/>
                <w:szCs w:val="15"/>
              </w:rPr>
              <w:t>Series F</w:t>
            </w:r>
          </w:p>
        </w:tc>
        <w:tc>
          <w:tcPr>
            <w:tcW w:w="0" w:type="auto"/>
            <w:gridSpan w:val="2"/>
            <w:shd w:val="clear" w:color="auto" w:fill="FFFFFF"/>
            <w:tcMar>
              <w:top w:w="40" w:type="dxa"/>
              <w:left w:w="20" w:type="dxa"/>
              <w:bottom w:w="40" w:type="dxa"/>
              <w:right w:w="0" w:type="dxa"/>
            </w:tcMar>
            <w:vAlign w:val="bottom"/>
          </w:tcPr>
          <w:p w14:paraId="71D48591" w14:textId="77777777" w:rsidR="006A3667" w:rsidRDefault="00045F32">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59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9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94" w14:textId="77777777" w:rsidR="006A3667" w:rsidRDefault="00045F32">
            <w:pPr>
              <w:jc w:val="right"/>
              <w:textAlignment w:val="bottom"/>
            </w:pPr>
            <w:r>
              <w:rPr>
                <w:rFonts w:ascii="Arial" w:eastAsia="宋体" w:hAnsi="Arial" w:cs="Arial"/>
                <w:b/>
                <w:bCs/>
                <w:color w:val="000000"/>
                <w:sz w:val="15"/>
                <w:szCs w:val="15"/>
              </w:rPr>
              <w:t>34.67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59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9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97" w14:textId="77777777" w:rsidR="006A3667" w:rsidRDefault="00045F32">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5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9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9A" w14:textId="77777777" w:rsidR="006A3667" w:rsidRDefault="00045F32">
            <w:pPr>
              <w:jc w:val="right"/>
              <w:textAlignment w:val="bottom"/>
            </w:pPr>
            <w:r>
              <w:rPr>
                <w:rFonts w:ascii="Arial" w:eastAsia="宋体" w:hAnsi="Arial" w:cs="Arial"/>
                <w:color w:val="000000"/>
                <w:sz w:val="15"/>
                <w:szCs w:val="15"/>
              </w:rPr>
              <w:t>2,869 </w:t>
            </w:r>
          </w:p>
        </w:tc>
        <w:tc>
          <w:tcPr>
            <w:tcW w:w="0" w:type="auto"/>
            <w:shd w:val="clear" w:color="auto" w:fill="FFFFFF"/>
            <w:tcMar>
              <w:top w:w="40" w:type="dxa"/>
              <w:left w:w="0" w:type="dxa"/>
              <w:bottom w:w="40" w:type="dxa"/>
              <w:right w:w="20" w:type="dxa"/>
            </w:tcMar>
            <w:vAlign w:val="bottom"/>
          </w:tcPr>
          <w:p w14:paraId="71D4859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9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9D" w14:textId="77777777" w:rsidR="006A3667" w:rsidRDefault="00045F32">
            <w:pPr>
              <w:jc w:val="right"/>
              <w:textAlignment w:val="bottom"/>
            </w:pPr>
            <w:r>
              <w:rPr>
                <w:rFonts w:ascii="Arial" w:eastAsia="宋体" w:hAnsi="Arial" w:cs="Arial"/>
                <w:color w:val="000000"/>
                <w:sz w:val="15"/>
                <w:szCs w:val="15"/>
              </w:rPr>
              <w:t>28.69 </w:t>
            </w:r>
          </w:p>
        </w:tc>
        <w:tc>
          <w:tcPr>
            <w:tcW w:w="0" w:type="auto"/>
            <w:shd w:val="clear" w:color="auto" w:fill="FFFFFF"/>
            <w:tcMar>
              <w:top w:w="40" w:type="dxa"/>
              <w:left w:w="0" w:type="dxa"/>
              <w:bottom w:w="40" w:type="dxa"/>
              <w:right w:w="20" w:type="dxa"/>
            </w:tcMar>
            <w:vAlign w:val="bottom"/>
          </w:tcPr>
          <w:p w14:paraId="71D4859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9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A0" w14:textId="77777777" w:rsidR="006A3667" w:rsidRDefault="00045F32">
            <w:pPr>
              <w:jc w:val="right"/>
              <w:textAlignment w:val="bottom"/>
            </w:pPr>
            <w:r>
              <w:rPr>
                <w:rFonts w:ascii="Arial" w:eastAsia="宋体" w:hAnsi="Arial" w:cs="Arial"/>
                <w:color w:val="000000"/>
                <w:sz w:val="15"/>
                <w:szCs w:val="15"/>
              </w:rPr>
              <w:t>11 </w:t>
            </w:r>
          </w:p>
        </w:tc>
        <w:tc>
          <w:tcPr>
            <w:tcW w:w="0" w:type="auto"/>
            <w:shd w:val="clear" w:color="auto" w:fill="FFFFFF"/>
            <w:tcMar>
              <w:top w:w="40" w:type="dxa"/>
              <w:left w:w="0" w:type="dxa"/>
              <w:bottom w:w="40" w:type="dxa"/>
              <w:right w:w="20" w:type="dxa"/>
            </w:tcMar>
            <w:vAlign w:val="bottom"/>
          </w:tcPr>
          <w:p w14:paraId="71D485A1" w14:textId="77777777" w:rsidR="006A3667" w:rsidRDefault="006A3667">
            <w:pPr>
              <w:jc w:val="right"/>
              <w:rPr>
                <w:rFonts w:ascii="宋体"/>
              </w:rPr>
            </w:pPr>
          </w:p>
        </w:tc>
      </w:tr>
      <w:tr w:rsidR="006A3667" w14:paraId="71D485B5" w14:textId="77777777">
        <w:tc>
          <w:tcPr>
            <w:tcW w:w="0" w:type="auto"/>
            <w:gridSpan w:val="3"/>
            <w:shd w:val="clear" w:color="auto" w:fill="CCEEFF"/>
            <w:tcMar>
              <w:top w:w="40" w:type="dxa"/>
              <w:left w:w="20" w:type="dxa"/>
              <w:bottom w:w="40" w:type="dxa"/>
              <w:right w:w="20" w:type="dxa"/>
            </w:tcMar>
            <w:vAlign w:val="bottom"/>
          </w:tcPr>
          <w:p w14:paraId="71D485A3" w14:textId="77777777" w:rsidR="006A3667" w:rsidRDefault="00045F32">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71D485A4" w14:textId="77777777" w:rsidR="006A3667" w:rsidRDefault="00045F32">
            <w:pPr>
              <w:jc w:val="right"/>
              <w:textAlignment w:val="bottom"/>
            </w:pPr>
            <w:r>
              <w:rPr>
                <w:rFonts w:ascii="Arial" w:eastAsia="宋体" w:hAnsi="Arial" w:cs="Arial"/>
                <w:b/>
                <w:bCs/>
                <w:color w:val="000000"/>
                <w:sz w:val="15"/>
                <w:szCs w:val="15"/>
              </w:rPr>
              <w:t>4,014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5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A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A7" w14:textId="77777777" w:rsidR="006A3667" w:rsidRDefault="00045F32">
            <w:pPr>
              <w:jc w:val="right"/>
              <w:textAlignment w:val="bottom"/>
            </w:pPr>
            <w:r>
              <w:rPr>
                <w:rFonts w:ascii="Arial" w:eastAsia="宋体" w:hAnsi="Arial" w:cs="Arial"/>
                <w:b/>
                <w:bCs/>
                <w:color w:val="000000"/>
                <w:sz w:val="15"/>
                <w:szCs w:val="15"/>
              </w:rPr>
              <w:t>0.99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5A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A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AA" w14:textId="77777777" w:rsidR="006A3667" w:rsidRDefault="00045F32">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71D485A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A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AD" w14:textId="77777777" w:rsidR="006A3667" w:rsidRDefault="00045F32">
            <w:pPr>
              <w:jc w:val="right"/>
              <w:textAlignment w:val="bottom"/>
            </w:pPr>
            <w:r>
              <w:rPr>
                <w:rFonts w:ascii="Arial" w:eastAsia="宋体" w:hAnsi="Arial" w:cs="Arial"/>
                <w:color w:val="000000"/>
                <w:sz w:val="15"/>
                <w:szCs w:val="15"/>
              </w:rPr>
              <w:t>4,014 </w:t>
            </w:r>
          </w:p>
        </w:tc>
        <w:tc>
          <w:tcPr>
            <w:tcW w:w="0" w:type="auto"/>
            <w:shd w:val="clear" w:color="auto" w:fill="CCEEFF"/>
            <w:tcMar>
              <w:top w:w="40" w:type="dxa"/>
              <w:left w:w="0" w:type="dxa"/>
              <w:bottom w:w="40" w:type="dxa"/>
              <w:right w:w="20" w:type="dxa"/>
            </w:tcMar>
            <w:vAlign w:val="bottom"/>
          </w:tcPr>
          <w:p w14:paraId="71D485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A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B0" w14:textId="77777777" w:rsidR="006A3667" w:rsidRDefault="00045F32">
            <w:pPr>
              <w:jc w:val="right"/>
              <w:textAlignment w:val="bottom"/>
            </w:pPr>
            <w:r>
              <w:rPr>
                <w:rFonts w:ascii="Arial" w:eastAsia="宋体" w:hAnsi="Arial" w:cs="Arial"/>
                <w:color w:val="000000"/>
                <w:sz w:val="15"/>
                <w:szCs w:val="15"/>
              </w:rPr>
              <w:t>0.99 </w:t>
            </w:r>
          </w:p>
        </w:tc>
        <w:tc>
          <w:tcPr>
            <w:tcW w:w="0" w:type="auto"/>
            <w:shd w:val="clear" w:color="auto" w:fill="CCEEFF"/>
            <w:tcMar>
              <w:top w:w="40" w:type="dxa"/>
              <w:left w:w="0" w:type="dxa"/>
              <w:bottom w:w="40" w:type="dxa"/>
              <w:right w:w="20" w:type="dxa"/>
            </w:tcMar>
            <w:vAlign w:val="bottom"/>
          </w:tcPr>
          <w:p w14:paraId="71D485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B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5B3" w14:textId="77777777" w:rsidR="006A3667" w:rsidRDefault="00045F32">
            <w:pPr>
              <w:jc w:val="right"/>
              <w:textAlignment w:val="bottom"/>
            </w:pPr>
            <w:r>
              <w:rPr>
                <w:rFonts w:ascii="Arial" w:eastAsia="宋体" w:hAnsi="Arial" w:cs="Arial"/>
                <w:color w:val="000000"/>
                <w:sz w:val="15"/>
                <w:szCs w:val="15"/>
              </w:rPr>
              <w:t>21 </w:t>
            </w:r>
          </w:p>
        </w:tc>
        <w:tc>
          <w:tcPr>
            <w:tcW w:w="0" w:type="auto"/>
            <w:shd w:val="clear" w:color="auto" w:fill="CCEEFF"/>
            <w:tcMar>
              <w:top w:w="40" w:type="dxa"/>
              <w:left w:w="0" w:type="dxa"/>
              <w:bottom w:w="40" w:type="dxa"/>
              <w:right w:w="20" w:type="dxa"/>
            </w:tcMar>
            <w:vAlign w:val="bottom"/>
          </w:tcPr>
          <w:p w14:paraId="71D485B4" w14:textId="77777777" w:rsidR="006A3667" w:rsidRDefault="006A3667">
            <w:pPr>
              <w:jc w:val="right"/>
              <w:rPr>
                <w:rFonts w:ascii="宋体"/>
              </w:rPr>
            </w:pPr>
          </w:p>
        </w:tc>
      </w:tr>
      <w:tr w:rsidR="006A3667" w14:paraId="71D485C8" w14:textId="77777777">
        <w:tc>
          <w:tcPr>
            <w:tcW w:w="0" w:type="auto"/>
            <w:gridSpan w:val="3"/>
            <w:shd w:val="clear" w:color="auto" w:fill="FFFFFF"/>
            <w:tcMar>
              <w:top w:w="40" w:type="dxa"/>
              <w:left w:w="20" w:type="dxa"/>
              <w:bottom w:w="40" w:type="dxa"/>
              <w:right w:w="20" w:type="dxa"/>
            </w:tcMar>
            <w:vAlign w:val="bottom"/>
          </w:tcPr>
          <w:p w14:paraId="71D485B6" w14:textId="77777777" w:rsidR="006A3667" w:rsidRDefault="00045F32">
            <w:pPr>
              <w:textAlignment w:val="bottom"/>
            </w:pPr>
            <w:r>
              <w:rPr>
                <w:rFonts w:ascii="Arial" w:eastAsia="宋体" w:hAnsi="Arial" w:cs="Arial"/>
                <w:color w:val="000000"/>
                <w:sz w:val="15"/>
                <w:szCs w:val="15"/>
              </w:rPr>
              <w:t>Series H</w:t>
            </w:r>
          </w:p>
        </w:tc>
        <w:tc>
          <w:tcPr>
            <w:tcW w:w="0" w:type="auto"/>
            <w:gridSpan w:val="2"/>
            <w:shd w:val="clear" w:color="auto" w:fill="FFFFFF"/>
            <w:tcMar>
              <w:top w:w="40" w:type="dxa"/>
              <w:left w:w="20" w:type="dxa"/>
              <w:bottom w:w="40" w:type="dxa"/>
              <w:right w:w="0" w:type="dxa"/>
            </w:tcMar>
            <w:vAlign w:val="bottom"/>
          </w:tcPr>
          <w:p w14:paraId="71D485B7" w14:textId="77777777" w:rsidR="006A3667" w:rsidRDefault="00045F32">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5B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B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BA" w14:textId="77777777" w:rsidR="006A3667" w:rsidRDefault="00045F32">
            <w:pPr>
              <w:jc w:val="right"/>
              <w:textAlignment w:val="bottom"/>
            </w:pPr>
            <w:r>
              <w:rPr>
                <w:rFonts w:ascii="Arial" w:eastAsia="宋体" w:hAnsi="Arial" w:cs="Arial"/>
                <w:b/>
                <w:bCs/>
                <w:color w:val="000000"/>
                <w:sz w:val="15"/>
                <w:szCs w:val="15"/>
              </w:rPr>
              <w:t>28.13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5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B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BD" w14:textId="77777777" w:rsidR="006A3667" w:rsidRDefault="00045F32">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71D485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C0" w14:textId="77777777" w:rsidR="006A3667" w:rsidRDefault="00045F32">
            <w:pPr>
              <w:jc w:val="right"/>
              <w:textAlignment w:val="bottom"/>
            </w:pPr>
            <w:r>
              <w:rPr>
                <w:rFonts w:ascii="Arial" w:eastAsia="宋体" w:hAnsi="Arial" w:cs="Arial"/>
                <w:color w:val="000000"/>
                <w:sz w:val="15"/>
                <w:szCs w:val="15"/>
              </w:rPr>
              <w:t>2,813 </w:t>
            </w:r>
          </w:p>
        </w:tc>
        <w:tc>
          <w:tcPr>
            <w:tcW w:w="0" w:type="auto"/>
            <w:shd w:val="clear" w:color="auto" w:fill="FFFFFF"/>
            <w:tcMar>
              <w:top w:w="40" w:type="dxa"/>
              <w:left w:w="0" w:type="dxa"/>
              <w:bottom w:w="40" w:type="dxa"/>
              <w:right w:w="20" w:type="dxa"/>
            </w:tcMar>
            <w:vAlign w:val="bottom"/>
          </w:tcPr>
          <w:p w14:paraId="71D485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C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C3" w14:textId="77777777" w:rsidR="006A3667" w:rsidRDefault="00045F32">
            <w:pPr>
              <w:jc w:val="right"/>
              <w:textAlignment w:val="bottom"/>
            </w:pPr>
            <w:r>
              <w:rPr>
                <w:rFonts w:ascii="Arial" w:eastAsia="宋体" w:hAnsi="Arial" w:cs="Arial"/>
                <w:color w:val="000000"/>
                <w:sz w:val="15"/>
                <w:szCs w:val="15"/>
              </w:rPr>
              <w:t>28.13 </w:t>
            </w:r>
          </w:p>
        </w:tc>
        <w:tc>
          <w:tcPr>
            <w:tcW w:w="0" w:type="auto"/>
            <w:shd w:val="clear" w:color="auto" w:fill="FFFFFF"/>
            <w:tcMar>
              <w:top w:w="40" w:type="dxa"/>
              <w:left w:w="0" w:type="dxa"/>
              <w:bottom w:w="40" w:type="dxa"/>
              <w:right w:w="20" w:type="dxa"/>
            </w:tcMar>
            <w:vAlign w:val="bottom"/>
          </w:tcPr>
          <w:p w14:paraId="71D485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5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5C6" w14:textId="77777777" w:rsidR="006A3667" w:rsidRDefault="00045F32">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71D485C7" w14:textId="77777777" w:rsidR="006A3667" w:rsidRDefault="006A3667">
            <w:pPr>
              <w:jc w:val="right"/>
              <w:rPr>
                <w:rFonts w:ascii="宋体"/>
              </w:rPr>
            </w:pPr>
          </w:p>
        </w:tc>
      </w:tr>
      <w:tr w:rsidR="006A3667" w14:paraId="71D485D9" w14:textId="77777777">
        <w:tc>
          <w:tcPr>
            <w:tcW w:w="0" w:type="auto"/>
            <w:gridSpan w:val="3"/>
            <w:shd w:val="clear" w:color="auto" w:fill="CCEEFF"/>
            <w:tcMar>
              <w:top w:w="40" w:type="dxa"/>
              <w:left w:w="20" w:type="dxa"/>
              <w:bottom w:w="40" w:type="dxa"/>
              <w:right w:w="20" w:type="dxa"/>
            </w:tcMar>
            <w:vAlign w:val="bottom"/>
          </w:tcPr>
          <w:p w14:paraId="71D485C9" w14:textId="77777777" w:rsidR="006A3667" w:rsidRDefault="00045F32">
            <w:pPr>
              <w:textAlignment w:val="bottom"/>
            </w:pPr>
            <w:r>
              <w:rPr>
                <w:rFonts w:ascii="Arial" w:eastAsia="宋体" w:hAnsi="Arial" w:cs="Arial"/>
                <w:color w:val="000000"/>
                <w:sz w:val="15"/>
                <w:szCs w:val="15"/>
              </w:rPr>
              <w:t>Total</w:t>
            </w:r>
          </w:p>
        </w:tc>
        <w:tc>
          <w:tcPr>
            <w:tcW w:w="0" w:type="auto"/>
            <w:gridSpan w:val="3"/>
            <w:shd w:val="clear" w:color="auto" w:fill="CCEEFF"/>
            <w:tcMar>
              <w:top w:w="0" w:type="dxa"/>
              <w:left w:w="20" w:type="dxa"/>
              <w:bottom w:w="0" w:type="dxa"/>
              <w:right w:w="20" w:type="dxa"/>
            </w:tcMar>
            <w:vAlign w:val="bottom"/>
          </w:tcPr>
          <w:p w14:paraId="71D485CA"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5C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5C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5C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5CE" w14:textId="77777777" w:rsidR="006A3667" w:rsidRDefault="00045F32">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5CF" w14:textId="77777777" w:rsidR="006A3667" w:rsidRDefault="00045F32">
            <w:pPr>
              <w:jc w:val="right"/>
              <w:textAlignment w:val="bottom"/>
            </w:pPr>
            <w:r>
              <w:rPr>
                <w:rFonts w:ascii="Arial" w:eastAsia="宋体" w:hAnsi="Arial" w:cs="Arial"/>
                <w:b/>
                <w:bCs/>
                <w:color w:val="000000"/>
                <w:sz w:val="15"/>
                <w:szCs w:val="15"/>
              </w:rPr>
              <w:t>76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5D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5D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5D2"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5D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5D4"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5D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5D6" w14:textId="77777777" w:rsidR="006A3667" w:rsidRDefault="00045F32">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5D7" w14:textId="77777777" w:rsidR="006A3667" w:rsidRDefault="00045F32">
            <w:pPr>
              <w:jc w:val="right"/>
              <w:textAlignment w:val="bottom"/>
            </w:pPr>
            <w:r>
              <w:rPr>
                <w:rFonts w:ascii="Arial" w:eastAsia="宋体" w:hAnsi="Arial" w:cs="Arial"/>
                <w:color w:val="000000"/>
                <w:sz w:val="15"/>
                <w:szCs w:val="15"/>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5D8" w14:textId="77777777" w:rsidR="006A3667" w:rsidRDefault="006A3667">
            <w:pPr>
              <w:jc w:val="right"/>
              <w:rPr>
                <w:rFonts w:ascii="宋体"/>
              </w:rPr>
            </w:pPr>
          </w:p>
        </w:tc>
      </w:tr>
      <w:tr w:rsidR="006A3667" w14:paraId="71D485E6" w14:textId="77777777">
        <w:trPr>
          <w:trHeight w:val="100"/>
        </w:trPr>
        <w:tc>
          <w:tcPr>
            <w:tcW w:w="0" w:type="auto"/>
            <w:gridSpan w:val="3"/>
            <w:shd w:val="clear" w:color="auto" w:fill="auto"/>
            <w:tcMar>
              <w:top w:w="0" w:type="dxa"/>
              <w:left w:w="20" w:type="dxa"/>
              <w:bottom w:w="0" w:type="dxa"/>
              <w:right w:w="20" w:type="dxa"/>
            </w:tcMar>
            <w:vAlign w:val="bottom"/>
          </w:tcPr>
          <w:p w14:paraId="71D485D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D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D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D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DE"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85D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E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E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E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E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5E4"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85E5" w14:textId="77777777" w:rsidR="006A3667" w:rsidRDefault="006A3667">
            <w:pPr>
              <w:rPr>
                <w:rFonts w:ascii="宋体"/>
              </w:rPr>
            </w:pPr>
          </w:p>
        </w:tc>
      </w:tr>
    </w:tbl>
    <w:p w14:paraId="71D485E7" w14:textId="77777777" w:rsidR="006A3667" w:rsidRDefault="00045F32">
      <w:pPr>
        <w:spacing w:before="60"/>
        <w:ind w:firstLine="450"/>
        <w:jc w:val="both"/>
      </w:pPr>
      <w:r>
        <w:rPr>
          <w:rFonts w:ascii="Arial" w:eastAsia="宋体" w:hAnsi="Arial" w:cs="Arial"/>
          <w:color w:val="000000"/>
          <w:sz w:val="20"/>
          <w:szCs w:val="20"/>
        </w:rPr>
        <w:t xml:space="preserve">In October 2022, we declared dividends on our series D, F, G and H preferred stock of approximately $1,475, $1,742, $1,338 and $2,813, respectively, per share, or approximately $0.37, $17.42, $0.33 and $28.13, </w:t>
      </w:r>
      <w:r>
        <w:rPr>
          <w:rFonts w:ascii="Arial" w:eastAsia="宋体" w:hAnsi="Arial" w:cs="Arial"/>
          <w:color w:val="000000"/>
          <w:sz w:val="20"/>
          <w:szCs w:val="20"/>
        </w:rPr>
        <w:t>respectively, per depositary share. These dividends total approximately $11 million, $4 million, $7 million and $14 million on our series D, F, G and H preferred stock, respectively, which will be paid in December 2022.</w:t>
      </w:r>
    </w:p>
    <w:p w14:paraId="71D485E8" w14:textId="77777777" w:rsidR="006A3667" w:rsidRDefault="00045F32">
      <w:pPr>
        <w:spacing w:before="60"/>
        <w:jc w:val="both"/>
      </w:pPr>
      <w:r>
        <w:rPr>
          <w:rFonts w:ascii="Arial" w:eastAsia="宋体" w:hAnsi="Arial" w:cs="Arial"/>
          <w:b/>
          <w:bCs/>
          <w:i/>
          <w:iCs/>
          <w:color w:val="000000"/>
          <w:sz w:val="20"/>
          <w:szCs w:val="20"/>
        </w:rPr>
        <w:t>Common Stock</w:t>
      </w:r>
    </w:p>
    <w:p w14:paraId="71D485E9" w14:textId="77777777" w:rsidR="006A3667" w:rsidRDefault="00045F32">
      <w:pPr>
        <w:spacing w:before="60"/>
        <w:ind w:firstLine="450"/>
        <w:jc w:val="both"/>
      </w:pPr>
      <w:r>
        <w:rPr>
          <w:rFonts w:ascii="Arial" w:eastAsia="宋体" w:hAnsi="Arial" w:cs="Arial"/>
          <w:color w:val="000000"/>
          <w:sz w:val="20"/>
          <w:szCs w:val="20"/>
        </w:rPr>
        <w:t>In September 2021, we c</w:t>
      </w:r>
      <w:r>
        <w:rPr>
          <w:rFonts w:ascii="Arial" w:eastAsia="宋体" w:hAnsi="Arial" w:cs="Arial"/>
          <w:color w:val="000000"/>
          <w:sz w:val="20"/>
          <w:szCs w:val="20"/>
        </w:rPr>
        <w:t>ompleted a public offering of approximately 21.7 million shares of our common stock. The offering price was $87.60 per share and net proceeds totaled approximately $1.9 billion. We expect to use these net proceeds to finance our proposed acquisition of the</w:t>
      </w:r>
      <w:r>
        <w:rPr>
          <w:rFonts w:ascii="Arial" w:eastAsia="宋体" w:hAnsi="Arial" w:cs="Arial"/>
          <w:color w:val="000000"/>
          <w:sz w:val="20"/>
          <w:szCs w:val="20"/>
        </w:rPr>
        <w:t xml:space="preserve"> BBH Investor Services business.</w:t>
      </w:r>
    </w:p>
    <w:p w14:paraId="71D485EA" w14:textId="77777777" w:rsidR="006A3667" w:rsidRDefault="00045F32">
      <w:pPr>
        <w:spacing w:before="60"/>
        <w:ind w:firstLine="450"/>
        <w:jc w:val="both"/>
      </w:pPr>
      <w:r>
        <w:rPr>
          <w:rFonts w:ascii="Arial" w:eastAsia="宋体" w:hAnsi="Arial" w:cs="Arial"/>
          <w:color w:val="000000"/>
          <w:sz w:val="20"/>
          <w:szCs w:val="20"/>
        </w:rPr>
        <w:t>In December 2020, the Federal Reserve issued results of 2020 resubmission stress tests and authorized us to continue to pay common stock dividends at current levels and to resume repurchasing common shares in the first quar</w:t>
      </w:r>
      <w:r>
        <w:rPr>
          <w:rFonts w:ascii="Arial" w:eastAsia="宋体" w:hAnsi="Arial" w:cs="Arial"/>
          <w:color w:val="000000"/>
          <w:sz w:val="20"/>
          <w:szCs w:val="20"/>
        </w:rPr>
        <w:t>ter of 2021. In January 2021, our Board authorized a share repurchase program for the repurchase of up to $475 million of our common stock through March 31, 2021. In April 2021, our Board authorized a share repurchase program for the repurchase of up to $4</w:t>
      </w:r>
      <w:r>
        <w:rPr>
          <w:rFonts w:ascii="Arial" w:eastAsia="宋体" w:hAnsi="Arial" w:cs="Arial"/>
          <w:color w:val="000000"/>
          <w:sz w:val="20"/>
          <w:szCs w:val="20"/>
        </w:rPr>
        <w:t>25 million of our common stock through June 30, 2021, consistent with the limit set by the Federal Reserve. In July 2021, our Board authorized a share repurchase program for the repurchase of up to $3.0 billion of our common stock through the end of 2022.</w:t>
      </w:r>
    </w:p>
    <w:p w14:paraId="71D485EB" w14:textId="77777777" w:rsidR="006A3667" w:rsidRDefault="00045F32">
      <w:pPr>
        <w:spacing w:before="60"/>
        <w:ind w:firstLine="360"/>
        <w:jc w:val="both"/>
      </w:pPr>
      <w:r>
        <w:rPr>
          <w:rFonts w:ascii="Arial" w:eastAsia="宋体" w:hAnsi="Arial" w:cs="Arial"/>
          <w:color w:val="000000"/>
          <w:sz w:val="20"/>
          <w:szCs w:val="20"/>
        </w:rPr>
        <w:t>In connection with our proposed acquisition of the BBH Investor Services business, we did not repurchase any common stock during the last half of 2021, as well as during the first nine months of 2022. We intend to repurchase approximately $1.0 billion of o</w:t>
      </w:r>
      <w:r>
        <w:rPr>
          <w:rFonts w:ascii="Arial" w:eastAsia="宋体" w:hAnsi="Arial" w:cs="Arial"/>
          <w:color w:val="000000"/>
          <w:sz w:val="20"/>
          <w:szCs w:val="20"/>
        </w:rPr>
        <w:t xml:space="preserve">ur common stock in the fourth quarter of 2022 under the existing share repurchase program, expiring December 21, 2022. </w:t>
      </w:r>
    </w:p>
    <w:p w14:paraId="71D485EC" w14:textId="77777777" w:rsidR="006A3667" w:rsidRDefault="006A3667">
      <w:pPr>
        <w:spacing w:before="60"/>
        <w:ind w:firstLine="360"/>
        <w:jc w:val="both"/>
      </w:pPr>
    </w:p>
    <w:p w14:paraId="71D485ED" w14:textId="77777777" w:rsidR="006A3667" w:rsidRDefault="00045F32">
      <w:pPr>
        <w:ind w:firstLine="450"/>
        <w:jc w:val="right"/>
      </w:pPr>
      <w:r>
        <w:rPr>
          <w:rFonts w:ascii="Arial" w:eastAsia="宋体" w:hAnsi="Arial" w:cs="Arial"/>
          <w:color w:val="000000"/>
          <w:sz w:val="18"/>
          <w:szCs w:val="18"/>
        </w:rPr>
        <w:t>State Street Corporation | 87</w:t>
      </w:r>
    </w:p>
    <w:p w14:paraId="71D485EE" w14:textId="77777777" w:rsidR="006A3667" w:rsidRDefault="006A3667">
      <w:pPr>
        <w:ind w:firstLine="450"/>
        <w:jc w:val="center"/>
      </w:pPr>
    </w:p>
    <w:p w14:paraId="71D485EF" w14:textId="77777777" w:rsidR="006A3667" w:rsidRDefault="00045F32">
      <w:r>
        <w:pict w14:anchorId="71D4AC6B">
          <v:rect id="_x0000_i1111" style="width:415.3pt;height:1.5pt" o:hralign="center" o:hrstd="t" o:hr="t" fillcolor="#a0a0a0" stroked="f"/>
        </w:pict>
      </w:r>
    </w:p>
    <w:p w14:paraId="71D485F0" w14:textId="77777777" w:rsidR="006A3667" w:rsidRDefault="00045F32">
      <w:pPr>
        <w:ind w:firstLine="450"/>
        <w:jc w:val="center"/>
      </w:pPr>
      <w:r>
        <w:rPr>
          <w:rFonts w:ascii="Arial" w:eastAsia="宋体" w:hAnsi="Arial" w:cs="Arial"/>
          <w:b/>
          <w:bCs/>
          <w:color w:val="000000"/>
          <w:sz w:val="20"/>
          <w:szCs w:val="20"/>
        </w:rPr>
        <w:t>STATE STREET CORPORATION</w:t>
      </w:r>
    </w:p>
    <w:p w14:paraId="71D485F1"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85F2" w14:textId="77777777" w:rsidR="006A3667" w:rsidRDefault="00045F32">
      <w:pPr>
        <w:ind w:firstLine="450"/>
        <w:jc w:val="center"/>
      </w:pPr>
      <w:r>
        <w:rPr>
          <w:rFonts w:ascii="Arial" w:eastAsia="宋体" w:hAnsi="Arial" w:cs="Arial"/>
          <w:b/>
          <w:bCs/>
          <w:color w:val="000000"/>
          <w:sz w:val="20"/>
          <w:szCs w:val="20"/>
        </w:rPr>
        <w:t>(UNAUDITED)</w:t>
      </w:r>
    </w:p>
    <w:p w14:paraId="71D485F3" w14:textId="77777777" w:rsidR="006A3667" w:rsidRDefault="00045F32">
      <w:pPr>
        <w:spacing w:before="60"/>
        <w:ind w:firstLine="360"/>
        <w:jc w:val="both"/>
      </w:pPr>
      <w:r>
        <w:rPr>
          <w:rFonts w:ascii="Arial" w:eastAsia="宋体" w:hAnsi="Arial" w:cs="Arial"/>
          <w:color w:val="000000"/>
          <w:sz w:val="20"/>
          <w:szCs w:val="20"/>
        </w:rPr>
        <w:t xml:space="preserve">The </w:t>
      </w:r>
      <w:r>
        <w:rPr>
          <w:rFonts w:ascii="Arial" w:eastAsia="宋体" w:hAnsi="Arial" w:cs="Arial"/>
          <w:color w:val="000000"/>
          <w:sz w:val="20"/>
          <w:szCs w:val="20"/>
        </w:rPr>
        <w:t>table below presents the activity under our common share repurchase program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36"/>
        <w:gridCol w:w="791"/>
        <w:gridCol w:w="36"/>
        <w:gridCol w:w="36"/>
        <w:gridCol w:w="36"/>
        <w:gridCol w:w="109"/>
        <w:gridCol w:w="109"/>
        <w:gridCol w:w="109"/>
        <w:gridCol w:w="109"/>
        <w:gridCol w:w="109"/>
        <w:gridCol w:w="109"/>
        <w:gridCol w:w="45"/>
        <w:gridCol w:w="951"/>
        <w:gridCol w:w="36"/>
        <w:gridCol w:w="36"/>
        <w:gridCol w:w="36"/>
        <w:gridCol w:w="36"/>
        <w:gridCol w:w="99"/>
        <w:gridCol w:w="974"/>
        <w:gridCol w:w="37"/>
        <w:gridCol w:w="36"/>
        <w:gridCol w:w="36"/>
        <w:gridCol w:w="36"/>
        <w:gridCol w:w="99"/>
        <w:gridCol w:w="945"/>
        <w:gridCol w:w="37"/>
        <w:gridCol w:w="36"/>
        <w:gridCol w:w="36"/>
        <w:gridCol w:w="36"/>
        <w:gridCol w:w="49"/>
        <w:gridCol w:w="847"/>
        <w:gridCol w:w="36"/>
        <w:gridCol w:w="36"/>
        <w:gridCol w:w="36"/>
        <w:gridCol w:w="36"/>
        <w:gridCol w:w="99"/>
        <w:gridCol w:w="974"/>
        <w:gridCol w:w="36"/>
        <w:gridCol w:w="36"/>
        <w:gridCol w:w="36"/>
        <w:gridCol w:w="36"/>
        <w:gridCol w:w="99"/>
        <w:gridCol w:w="796"/>
        <w:gridCol w:w="36"/>
      </w:tblGrid>
      <w:tr w:rsidR="006A3667" w14:paraId="71D4861E" w14:textId="77777777">
        <w:tc>
          <w:tcPr>
            <w:tcW w:w="50" w:type="pct"/>
            <w:shd w:val="clear" w:color="auto" w:fill="auto"/>
            <w:vAlign w:val="bottom"/>
          </w:tcPr>
          <w:p w14:paraId="71D485F4" w14:textId="77777777" w:rsidR="006A3667" w:rsidRDefault="006A3667">
            <w:pPr>
              <w:rPr>
                <w:rFonts w:ascii="宋体"/>
              </w:rPr>
            </w:pPr>
          </w:p>
        </w:tc>
        <w:tc>
          <w:tcPr>
            <w:tcW w:w="567" w:type="pct"/>
            <w:shd w:val="clear" w:color="auto" w:fill="auto"/>
            <w:vAlign w:val="bottom"/>
          </w:tcPr>
          <w:p w14:paraId="71D485F5" w14:textId="77777777" w:rsidR="006A3667" w:rsidRDefault="006A3667">
            <w:pPr>
              <w:rPr>
                <w:rFonts w:ascii="宋体"/>
              </w:rPr>
            </w:pPr>
          </w:p>
        </w:tc>
        <w:tc>
          <w:tcPr>
            <w:tcW w:w="5" w:type="pct"/>
            <w:shd w:val="clear" w:color="auto" w:fill="auto"/>
            <w:vAlign w:val="bottom"/>
          </w:tcPr>
          <w:p w14:paraId="71D485F6" w14:textId="77777777" w:rsidR="006A3667" w:rsidRDefault="006A3667">
            <w:pPr>
              <w:rPr>
                <w:rFonts w:ascii="宋体"/>
              </w:rPr>
            </w:pPr>
          </w:p>
        </w:tc>
        <w:tc>
          <w:tcPr>
            <w:tcW w:w="0" w:type="auto"/>
            <w:shd w:val="clear" w:color="auto" w:fill="auto"/>
            <w:vAlign w:val="bottom"/>
          </w:tcPr>
          <w:p w14:paraId="71D485F7" w14:textId="77777777" w:rsidR="006A3667" w:rsidRDefault="006A3667">
            <w:pPr>
              <w:rPr>
                <w:rFonts w:ascii="宋体"/>
                <w:vanish/>
              </w:rPr>
            </w:pPr>
          </w:p>
        </w:tc>
        <w:tc>
          <w:tcPr>
            <w:tcW w:w="0" w:type="auto"/>
            <w:shd w:val="clear" w:color="auto" w:fill="auto"/>
            <w:vAlign w:val="bottom"/>
          </w:tcPr>
          <w:p w14:paraId="71D485F8" w14:textId="77777777" w:rsidR="006A3667" w:rsidRDefault="006A3667">
            <w:pPr>
              <w:rPr>
                <w:rFonts w:ascii="宋体"/>
                <w:vanish/>
              </w:rPr>
            </w:pPr>
          </w:p>
        </w:tc>
        <w:tc>
          <w:tcPr>
            <w:tcW w:w="0" w:type="auto"/>
            <w:shd w:val="clear" w:color="auto" w:fill="auto"/>
            <w:vAlign w:val="bottom"/>
          </w:tcPr>
          <w:p w14:paraId="71D485F9" w14:textId="77777777" w:rsidR="006A3667" w:rsidRDefault="006A3667">
            <w:pPr>
              <w:rPr>
                <w:rFonts w:ascii="宋体"/>
                <w:vanish/>
              </w:rPr>
            </w:pPr>
          </w:p>
        </w:tc>
        <w:tc>
          <w:tcPr>
            <w:tcW w:w="0" w:type="auto"/>
            <w:shd w:val="clear" w:color="auto" w:fill="auto"/>
            <w:vAlign w:val="bottom"/>
          </w:tcPr>
          <w:p w14:paraId="71D485FA" w14:textId="77777777" w:rsidR="006A3667" w:rsidRDefault="006A3667">
            <w:pPr>
              <w:rPr>
                <w:rFonts w:ascii="宋体"/>
                <w:vanish/>
              </w:rPr>
            </w:pPr>
          </w:p>
        </w:tc>
        <w:tc>
          <w:tcPr>
            <w:tcW w:w="0" w:type="auto"/>
            <w:shd w:val="clear" w:color="auto" w:fill="auto"/>
            <w:vAlign w:val="bottom"/>
          </w:tcPr>
          <w:p w14:paraId="71D485FB" w14:textId="77777777" w:rsidR="006A3667" w:rsidRDefault="006A3667">
            <w:pPr>
              <w:rPr>
                <w:rFonts w:ascii="宋体"/>
                <w:vanish/>
              </w:rPr>
            </w:pPr>
          </w:p>
        </w:tc>
        <w:tc>
          <w:tcPr>
            <w:tcW w:w="0" w:type="auto"/>
            <w:gridSpan w:val="3"/>
            <w:shd w:val="clear" w:color="auto" w:fill="auto"/>
            <w:vAlign w:val="bottom"/>
          </w:tcPr>
          <w:p w14:paraId="71D485FC" w14:textId="77777777" w:rsidR="006A3667" w:rsidRDefault="006A3667">
            <w:pPr>
              <w:rPr>
                <w:rFonts w:ascii="宋体"/>
                <w:vanish/>
              </w:rPr>
            </w:pPr>
          </w:p>
        </w:tc>
        <w:tc>
          <w:tcPr>
            <w:tcW w:w="50" w:type="pct"/>
            <w:shd w:val="clear" w:color="auto" w:fill="auto"/>
            <w:vAlign w:val="bottom"/>
          </w:tcPr>
          <w:p w14:paraId="71D485FD" w14:textId="77777777" w:rsidR="006A3667" w:rsidRDefault="006A3667">
            <w:pPr>
              <w:rPr>
                <w:rFonts w:ascii="宋体"/>
              </w:rPr>
            </w:pPr>
          </w:p>
        </w:tc>
        <w:tc>
          <w:tcPr>
            <w:tcW w:w="677" w:type="pct"/>
            <w:shd w:val="clear" w:color="auto" w:fill="auto"/>
            <w:vAlign w:val="bottom"/>
          </w:tcPr>
          <w:p w14:paraId="71D485FE" w14:textId="77777777" w:rsidR="006A3667" w:rsidRDefault="006A3667">
            <w:pPr>
              <w:rPr>
                <w:rFonts w:ascii="宋体"/>
              </w:rPr>
            </w:pPr>
          </w:p>
        </w:tc>
        <w:tc>
          <w:tcPr>
            <w:tcW w:w="5" w:type="pct"/>
            <w:shd w:val="clear" w:color="auto" w:fill="auto"/>
            <w:vAlign w:val="bottom"/>
          </w:tcPr>
          <w:p w14:paraId="71D485FF" w14:textId="77777777" w:rsidR="006A3667" w:rsidRDefault="006A3667">
            <w:pPr>
              <w:rPr>
                <w:rFonts w:ascii="宋体"/>
              </w:rPr>
            </w:pPr>
          </w:p>
        </w:tc>
        <w:tc>
          <w:tcPr>
            <w:tcW w:w="5" w:type="pct"/>
            <w:shd w:val="clear" w:color="auto" w:fill="auto"/>
            <w:vAlign w:val="bottom"/>
          </w:tcPr>
          <w:p w14:paraId="71D48600" w14:textId="77777777" w:rsidR="006A3667" w:rsidRDefault="006A3667">
            <w:pPr>
              <w:rPr>
                <w:rFonts w:ascii="宋体"/>
              </w:rPr>
            </w:pPr>
          </w:p>
        </w:tc>
        <w:tc>
          <w:tcPr>
            <w:tcW w:w="19" w:type="pct"/>
            <w:shd w:val="clear" w:color="auto" w:fill="auto"/>
            <w:vAlign w:val="bottom"/>
          </w:tcPr>
          <w:p w14:paraId="71D48601" w14:textId="77777777" w:rsidR="006A3667" w:rsidRDefault="006A3667">
            <w:pPr>
              <w:rPr>
                <w:rFonts w:ascii="宋体"/>
              </w:rPr>
            </w:pPr>
          </w:p>
        </w:tc>
        <w:tc>
          <w:tcPr>
            <w:tcW w:w="5" w:type="pct"/>
            <w:shd w:val="clear" w:color="auto" w:fill="auto"/>
            <w:vAlign w:val="bottom"/>
          </w:tcPr>
          <w:p w14:paraId="71D48602" w14:textId="77777777" w:rsidR="006A3667" w:rsidRDefault="006A3667">
            <w:pPr>
              <w:rPr>
                <w:rFonts w:ascii="宋体"/>
              </w:rPr>
            </w:pPr>
          </w:p>
        </w:tc>
        <w:tc>
          <w:tcPr>
            <w:tcW w:w="50" w:type="pct"/>
            <w:shd w:val="clear" w:color="auto" w:fill="auto"/>
            <w:vAlign w:val="bottom"/>
          </w:tcPr>
          <w:p w14:paraId="71D48603" w14:textId="77777777" w:rsidR="006A3667" w:rsidRDefault="006A3667">
            <w:pPr>
              <w:rPr>
                <w:rFonts w:ascii="宋体"/>
              </w:rPr>
            </w:pPr>
          </w:p>
        </w:tc>
        <w:tc>
          <w:tcPr>
            <w:tcW w:w="677" w:type="pct"/>
            <w:shd w:val="clear" w:color="auto" w:fill="auto"/>
            <w:vAlign w:val="bottom"/>
          </w:tcPr>
          <w:p w14:paraId="71D48604" w14:textId="77777777" w:rsidR="006A3667" w:rsidRDefault="006A3667">
            <w:pPr>
              <w:rPr>
                <w:rFonts w:ascii="宋体"/>
              </w:rPr>
            </w:pPr>
          </w:p>
        </w:tc>
        <w:tc>
          <w:tcPr>
            <w:tcW w:w="5" w:type="pct"/>
            <w:shd w:val="clear" w:color="auto" w:fill="auto"/>
            <w:vAlign w:val="bottom"/>
          </w:tcPr>
          <w:p w14:paraId="71D48605" w14:textId="77777777" w:rsidR="006A3667" w:rsidRDefault="006A3667">
            <w:pPr>
              <w:rPr>
                <w:rFonts w:ascii="宋体"/>
              </w:rPr>
            </w:pPr>
          </w:p>
        </w:tc>
        <w:tc>
          <w:tcPr>
            <w:tcW w:w="5" w:type="pct"/>
            <w:shd w:val="clear" w:color="auto" w:fill="auto"/>
            <w:vAlign w:val="bottom"/>
          </w:tcPr>
          <w:p w14:paraId="71D48606" w14:textId="77777777" w:rsidR="006A3667" w:rsidRDefault="006A3667">
            <w:pPr>
              <w:rPr>
                <w:rFonts w:ascii="宋体"/>
              </w:rPr>
            </w:pPr>
          </w:p>
        </w:tc>
        <w:tc>
          <w:tcPr>
            <w:tcW w:w="41" w:type="pct"/>
            <w:shd w:val="clear" w:color="auto" w:fill="auto"/>
            <w:vAlign w:val="bottom"/>
          </w:tcPr>
          <w:p w14:paraId="71D48607" w14:textId="77777777" w:rsidR="006A3667" w:rsidRDefault="006A3667">
            <w:pPr>
              <w:rPr>
                <w:rFonts w:ascii="宋体"/>
              </w:rPr>
            </w:pPr>
          </w:p>
        </w:tc>
        <w:tc>
          <w:tcPr>
            <w:tcW w:w="5" w:type="pct"/>
            <w:shd w:val="clear" w:color="auto" w:fill="auto"/>
            <w:vAlign w:val="bottom"/>
          </w:tcPr>
          <w:p w14:paraId="71D48608" w14:textId="77777777" w:rsidR="006A3667" w:rsidRDefault="006A3667">
            <w:pPr>
              <w:rPr>
                <w:rFonts w:ascii="宋体"/>
              </w:rPr>
            </w:pPr>
          </w:p>
        </w:tc>
        <w:tc>
          <w:tcPr>
            <w:tcW w:w="50" w:type="pct"/>
            <w:shd w:val="clear" w:color="auto" w:fill="auto"/>
            <w:vAlign w:val="bottom"/>
          </w:tcPr>
          <w:p w14:paraId="71D48609" w14:textId="77777777" w:rsidR="006A3667" w:rsidRDefault="006A3667">
            <w:pPr>
              <w:rPr>
                <w:rFonts w:ascii="宋体"/>
              </w:rPr>
            </w:pPr>
          </w:p>
        </w:tc>
        <w:tc>
          <w:tcPr>
            <w:tcW w:w="677" w:type="pct"/>
            <w:shd w:val="clear" w:color="auto" w:fill="auto"/>
            <w:vAlign w:val="bottom"/>
          </w:tcPr>
          <w:p w14:paraId="71D4860A" w14:textId="77777777" w:rsidR="006A3667" w:rsidRDefault="006A3667">
            <w:pPr>
              <w:rPr>
                <w:rFonts w:ascii="宋体"/>
              </w:rPr>
            </w:pPr>
          </w:p>
        </w:tc>
        <w:tc>
          <w:tcPr>
            <w:tcW w:w="5" w:type="pct"/>
            <w:shd w:val="clear" w:color="auto" w:fill="auto"/>
            <w:vAlign w:val="bottom"/>
          </w:tcPr>
          <w:p w14:paraId="71D4860B" w14:textId="77777777" w:rsidR="006A3667" w:rsidRDefault="006A3667">
            <w:pPr>
              <w:rPr>
                <w:rFonts w:ascii="宋体"/>
              </w:rPr>
            </w:pPr>
          </w:p>
        </w:tc>
        <w:tc>
          <w:tcPr>
            <w:tcW w:w="5" w:type="pct"/>
            <w:shd w:val="clear" w:color="auto" w:fill="auto"/>
            <w:vAlign w:val="bottom"/>
          </w:tcPr>
          <w:p w14:paraId="71D4860C" w14:textId="77777777" w:rsidR="006A3667" w:rsidRDefault="006A3667">
            <w:pPr>
              <w:rPr>
                <w:rFonts w:ascii="宋体"/>
              </w:rPr>
            </w:pPr>
          </w:p>
        </w:tc>
        <w:tc>
          <w:tcPr>
            <w:tcW w:w="19" w:type="pct"/>
            <w:shd w:val="clear" w:color="auto" w:fill="auto"/>
            <w:vAlign w:val="bottom"/>
          </w:tcPr>
          <w:p w14:paraId="71D4860D" w14:textId="77777777" w:rsidR="006A3667" w:rsidRDefault="006A3667">
            <w:pPr>
              <w:rPr>
                <w:rFonts w:ascii="宋体"/>
              </w:rPr>
            </w:pPr>
          </w:p>
        </w:tc>
        <w:tc>
          <w:tcPr>
            <w:tcW w:w="5" w:type="pct"/>
            <w:shd w:val="clear" w:color="auto" w:fill="auto"/>
            <w:vAlign w:val="bottom"/>
          </w:tcPr>
          <w:p w14:paraId="71D4860E" w14:textId="77777777" w:rsidR="006A3667" w:rsidRDefault="006A3667">
            <w:pPr>
              <w:rPr>
                <w:rFonts w:ascii="宋体"/>
              </w:rPr>
            </w:pPr>
          </w:p>
        </w:tc>
        <w:tc>
          <w:tcPr>
            <w:tcW w:w="50" w:type="pct"/>
            <w:shd w:val="clear" w:color="auto" w:fill="auto"/>
            <w:vAlign w:val="bottom"/>
          </w:tcPr>
          <w:p w14:paraId="71D4860F" w14:textId="77777777" w:rsidR="006A3667" w:rsidRDefault="006A3667">
            <w:pPr>
              <w:rPr>
                <w:rFonts w:ascii="宋体"/>
              </w:rPr>
            </w:pPr>
          </w:p>
        </w:tc>
        <w:tc>
          <w:tcPr>
            <w:tcW w:w="611" w:type="pct"/>
            <w:shd w:val="clear" w:color="auto" w:fill="auto"/>
            <w:vAlign w:val="bottom"/>
          </w:tcPr>
          <w:p w14:paraId="71D48610" w14:textId="77777777" w:rsidR="006A3667" w:rsidRDefault="006A3667">
            <w:pPr>
              <w:rPr>
                <w:rFonts w:ascii="宋体"/>
              </w:rPr>
            </w:pPr>
          </w:p>
        </w:tc>
        <w:tc>
          <w:tcPr>
            <w:tcW w:w="5" w:type="pct"/>
            <w:shd w:val="clear" w:color="auto" w:fill="auto"/>
            <w:vAlign w:val="bottom"/>
          </w:tcPr>
          <w:p w14:paraId="71D48611" w14:textId="77777777" w:rsidR="006A3667" w:rsidRDefault="006A3667">
            <w:pPr>
              <w:rPr>
                <w:rFonts w:ascii="宋体"/>
              </w:rPr>
            </w:pPr>
          </w:p>
        </w:tc>
        <w:tc>
          <w:tcPr>
            <w:tcW w:w="5" w:type="pct"/>
            <w:shd w:val="clear" w:color="auto" w:fill="auto"/>
            <w:vAlign w:val="bottom"/>
          </w:tcPr>
          <w:p w14:paraId="71D48612" w14:textId="77777777" w:rsidR="006A3667" w:rsidRDefault="006A3667">
            <w:pPr>
              <w:rPr>
                <w:rFonts w:ascii="宋体"/>
              </w:rPr>
            </w:pPr>
          </w:p>
        </w:tc>
        <w:tc>
          <w:tcPr>
            <w:tcW w:w="19" w:type="pct"/>
            <w:shd w:val="clear" w:color="auto" w:fill="auto"/>
            <w:vAlign w:val="bottom"/>
          </w:tcPr>
          <w:p w14:paraId="71D48613" w14:textId="77777777" w:rsidR="006A3667" w:rsidRDefault="006A3667">
            <w:pPr>
              <w:rPr>
                <w:rFonts w:ascii="宋体"/>
              </w:rPr>
            </w:pPr>
          </w:p>
        </w:tc>
        <w:tc>
          <w:tcPr>
            <w:tcW w:w="5" w:type="pct"/>
            <w:shd w:val="clear" w:color="auto" w:fill="auto"/>
            <w:vAlign w:val="bottom"/>
          </w:tcPr>
          <w:p w14:paraId="71D48614" w14:textId="77777777" w:rsidR="006A3667" w:rsidRDefault="006A3667">
            <w:pPr>
              <w:rPr>
                <w:rFonts w:ascii="宋体"/>
              </w:rPr>
            </w:pPr>
          </w:p>
        </w:tc>
        <w:tc>
          <w:tcPr>
            <w:tcW w:w="50" w:type="pct"/>
            <w:shd w:val="clear" w:color="auto" w:fill="auto"/>
            <w:vAlign w:val="bottom"/>
          </w:tcPr>
          <w:p w14:paraId="71D48615" w14:textId="77777777" w:rsidR="006A3667" w:rsidRDefault="006A3667">
            <w:pPr>
              <w:rPr>
                <w:rFonts w:ascii="宋体"/>
              </w:rPr>
            </w:pPr>
          </w:p>
        </w:tc>
        <w:tc>
          <w:tcPr>
            <w:tcW w:w="677" w:type="pct"/>
            <w:shd w:val="clear" w:color="auto" w:fill="auto"/>
            <w:vAlign w:val="bottom"/>
          </w:tcPr>
          <w:p w14:paraId="71D48616" w14:textId="77777777" w:rsidR="006A3667" w:rsidRDefault="006A3667">
            <w:pPr>
              <w:rPr>
                <w:rFonts w:ascii="宋体"/>
              </w:rPr>
            </w:pPr>
          </w:p>
        </w:tc>
        <w:tc>
          <w:tcPr>
            <w:tcW w:w="5" w:type="pct"/>
            <w:shd w:val="clear" w:color="auto" w:fill="auto"/>
            <w:vAlign w:val="bottom"/>
          </w:tcPr>
          <w:p w14:paraId="71D48617" w14:textId="77777777" w:rsidR="006A3667" w:rsidRDefault="006A3667">
            <w:pPr>
              <w:rPr>
                <w:rFonts w:ascii="宋体"/>
              </w:rPr>
            </w:pPr>
          </w:p>
        </w:tc>
        <w:tc>
          <w:tcPr>
            <w:tcW w:w="5" w:type="pct"/>
            <w:shd w:val="clear" w:color="auto" w:fill="auto"/>
            <w:vAlign w:val="bottom"/>
          </w:tcPr>
          <w:p w14:paraId="71D48618" w14:textId="77777777" w:rsidR="006A3667" w:rsidRDefault="006A3667">
            <w:pPr>
              <w:rPr>
                <w:rFonts w:ascii="宋体"/>
              </w:rPr>
            </w:pPr>
          </w:p>
        </w:tc>
        <w:tc>
          <w:tcPr>
            <w:tcW w:w="19" w:type="pct"/>
            <w:shd w:val="clear" w:color="auto" w:fill="auto"/>
            <w:vAlign w:val="bottom"/>
          </w:tcPr>
          <w:p w14:paraId="71D48619" w14:textId="77777777" w:rsidR="006A3667" w:rsidRDefault="006A3667">
            <w:pPr>
              <w:rPr>
                <w:rFonts w:ascii="宋体"/>
              </w:rPr>
            </w:pPr>
          </w:p>
        </w:tc>
        <w:tc>
          <w:tcPr>
            <w:tcW w:w="5" w:type="pct"/>
            <w:shd w:val="clear" w:color="auto" w:fill="auto"/>
            <w:vAlign w:val="bottom"/>
          </w:tcPr>
          <w:p w14:paraId="71D4861A" w14:textId="77777777" w:rsidR="006A3667" w:rsidRDefault="006A3667">
            <w:pPr>
              <w:rPr>
                <w:rFonts w:ascii="宋体"/>
              </w:rPr>
            </w:pPr>
          </w:p>
        </w:tc>
        <w:tc>
          <w:tcPr>
            <w:tcW w:w="50" w:type="pct"/>
            <w:shd w:val="clear" w:color="auto" w:fill="auto"/>
            <w:vAlign w:val="bottom"/>
          </w:tcPr>
          <w:p w14:paraId="71D4861B" w14:textId="77777777" w:rsidR="006A3667" w:rsidRDefault="006A3667">
            <w:pPr>
              <w:rPr>
                <w:rFonts w:ascii="宋体"/>
              </w:rPr>
            </w:pPr>
          </w:p>
        </w:tc>
        <w:tc>
          <w:tcPr>
            <w:tcW w:w="560" w:type="pct"/>
            <w:shd w:val="clear" w:color="auto" w:fill="auto"/>
            <w:vAlign w:val="bottom"/>
          </w:tcPr>
          <w:p w14:paraId="71D4861C" w14:textId="77777777" w:rsidR="006A3667" w:rsidRDefault="006A3667">
            <w:pPr>
              <w:rPr>
                <w:rFonts w:ascii="宋体"/>
              </w:rPr>
            </w:pPr>
          </w:p>
        </w:tc>
        <w:tc>
          <w:tcPr>
            <w:tcW w:w="5" w:type="pct"/>
            <w:shd w:val="clear" w:color="auto" w:fill="auto"/>
            <w:vAlign w:val="bottom"/>
          </w:tcPr>
          <w:p w14:paraId="71D4861D" w14:textId="77777777" w:rsidR="006A3667" w:rsidRDefault="006A3667">
            <w:pPr>
              <w:rPr>
                <w:rFonts w:ascii="宋体"/>
              </w:rPr>
            </w:pPr>
          </w:p>
        </w:tc>
      </w:tr>
      <w:tr w:rsidR="006A3667" w14:paraId="71D48649" w14:textId="77777777">
        <w:trPr>
          <w:hidden/>
        </w:trPr>
        <w:tc>
          <w:tcPr>
            <w:tcW w:w="0" w:type="auto"/>
            <w:gridSpan w:val="3"/>
            <w:shd w:val="clear" w:color="auto" w:fill="auto"/>
            <w:vAlign w:val="bottom"/>
          </w:tcPr>
          <w:p w14:paraId="71D4861F" w14:textId="77777777" w:rsidR="006A3667" w:rsidRDefault="006A3667">
            <w:pPr>
              <w:rPr>
                <w:rFonts w:ascii="宋体"/>
                <w:vanish/>
              </w:rPr>
            </w:pPr>
          </w:p>
        </w:tc>
        <w:tc>
          <w:tcPr>
            <w:tcW w:w="0" w:type="auto"/>
            <w:shd w:val="clear" w:color="auto" w:fill="auto"/>
            <w:vAlign w:val="bottom"/>
          </w:tcPr>
          <w:p w14:paraId="71D48620" w14:textId="77777777" w:rsidR="006A3667" w:rsidRDefault="006A3667">
            <w:pPr>
              <w:rPr>
                <w:rFonts w:ascii="宋体"/>
                <w:vanish/>
              </w:rPr>
            </w:pPr>
          </w:p>
        </w:tc>
        <w:tc>
          <w:tcPr>
            <w:tcW w:w="0" w:type="auto"/>
            <w:shd w:val="clear" w:color="auto" w:fill="auto"/>
            <w:vAlign w:val="bottom"/>
          </w:tcPr>
          <w:p w14:paraId="71D48621" w14:textId="77777777" w:rsidR="006A3667" w:rsidRDefault="006A3667">
            <w:pPr>
              <w:rPr>
                <w:rFonts w:ascii="宋体"/>
                <w:vanish/>
              </w:rPr>
            </w:pPr>
          </w:p>
        </w:tc>
        <w:tc>
          <w:tcPr>
            <w:tcW w:w="0" w:type="auto"/>
            <w:shd w:val="clear" w:color="auto" w:fill="auto"/>
            <w:vAlign w:val="bottom"/>
          </w:tcPr>
          <w:p w14:paraId="71D48622" w14:textId="77777777" w:rsidR="006A3667" w:rsidRDefault="006A3667">
            <w:pPr>
              <w:rPr>
                <w:rFonts w:ascii="宋体"/>
                <w:vanish/>
              </w:rPr>
            </w:pPr>
          </w:p>
        </w:tc>
        <w:tc>
          <w:tcPr>
            <w:tcW w:w="0" w:type="auto"/>
            <w:shd w:val="clear" w:color="auto" w:fill="auto"/>
            <w:vAlign w:val="bottom"/>
          </w:tcPr>
          <w:p w14:paraId="71D48623" w14:textId="77777777" w:rsidR="006A3667" w:rsidRDefault="006A3667">
            <w:pPr>
              <w:rPr>
                <w:rFonts w:ascii="宋体"/>
                <w:vanish/>
              </w:rPr>
            </w:pPr>
          </w:p>
        </w:tc>
        <w:tc>
          <w:tcPr>
            <w:tcW w:w="0" w:type="auto"/>
            <w:shd w:val="clear" w:color="auto" w:fill="auto"/>
            <w:vAlign w:val="bottom"/>
          </w:tcPr>
          <w:p w14:paraId="71D48624" w14:textId="77777777" w:rsidR="006A3667" w:rsidRDefault="006A3667">
            <w:pPr>
              <w:rPr>
                <w:rFonts w:ascii="宋体"/>
                <w:vanish/>
              </w:rPr>
            </w:pPr>
          </w:p>
        </w:tc>
        <w:tc>
          <w:tcPr>
            <w:tcW w:w="0" w:type="auto"/>
            <w:shd w:val="clear" w:color="auto" w:fill="auto"/>
            <w:vAlign w:val="bottom"/>
          </w:tcPr>
          <w:p w14:paraId="71D48625" w14:textId="77777777" w:rsidR="006A3667" w:rsidRDefault="006A3667">
            <w:pPr>
              <w:rPr>
                <w:rFonts w:ascii="宋体"/>
              </w:rPr>
            </w:pPr>
          </w:p>
        </w:tc>
        <w:tc>
          <w:tcPr>
            <w:tcW w:w="0" w:type="auto"/>
            <w:shd w:val="clear" w:color="auto" w:fill="auto"/>
            <w:vAlign w:val="bottom"/>
          </w:tcPr>
          <w:p w14:paraId="71D48626" w14:textId="77777777" w:rsidR="006A3667" w:rsidRDefault="006A3667">
            <w:pPr>
              <w:rPr>
                <w:rFonts w:ascii="宋体"/>
              </w:rPr>
            </w:pPr>
          </w:p>
        </w:tc>
        <w:tc>
          <w:tcPr>
            <w:tcW w:w="0" w:type="auto"/>
            <w:shd w:val="clear" w:color="auto" w:fill="auto"/>
            <w:vAlign w:val="bottom"/>
          </w:tcPr>
          <w:p w14:paraId="71D48627" w14:textId="77777777" w:rsidR="006A3667" w:rsidRDefault="006A3667">
            <w:pPr>
              <w:rPr>
                <w:rFonts w:ascii="宋体"/>
              </w:rPr>
            </w:pPr>
          </w:p>
        </w:tc>
        <w:tc>
          <w:tcPr>
            <w:tcW w:w="0" w:type="auto"/>
            <w:shd w:val="clear" w:color="auto" w:fill="auto"/>
            <w:vAlign w:val="bottom"/>
          </w:tcPr>
          <w:p w14:paraId="71D48628" w14:textId="77777777" w:rsidR="006A3667" w:rsidRDefault="006A3667">
            <w:pPr>
              <w:rPr>
                <w:rFonts w:ascii="宋体"/>
              </w:rPr>
            </w:pPr>
          </w:p>
        </w:tc>
        <w:tc>
          <w:tcPr>
            <w:tcW w:w="0" w:type="auto"/>
            <w:shd w:val="clear" w:color="auto" w:fill="auto"/>
            <w:vAlign w:val="bottom"/>
          </w:tcPr>
          <w:p w14:paraId="71D48629" w14:textId="77777777" w:rsidR="006A3667" w:rsidRDefault="006A3667">
            <w:pPr>
              <w:rPr>
                <w:rFonts w:ascii="宋体"/>
              </w:rPr>
            </w:pPr>
          </w:p>
        </w:tc>
        <w:tc>
          <w:tcPr>
            <w:tcW w:w="0" w:type="auto"/>
            <w:shd w:val="clear" w:color="auto" w:fill="auto"/>
            <w:vAlign w:val="bottom"/>
          </w:tcPr>
          <w:p w14:paraId="71D4862A" w14:textId="77777777" w:rsidR="006A3667" w:rsidRDefault="006A3667">
            <w:pPr>
              <w:rPr>
                <w:rFonts w:ascii="宋体"/>
              </w:rPr>
            </w:pPr>
          </w:p>
        </w:tc>
        <w:tc>
          <w:tcPr>
            <w:tcW w:w="0" w:type="auto"/>
            <w:shd w:val="clear" w:color="auto" w:fill="auto"/>
            <w:vAlign w:val="bottom"/>
          </w:tcPr>
          <w:p w14:paraId="71D4862B" w14:textId="77777777" w:rsidR="006A3667" w:rsidRDefault="006A3667">
            <w:pPr>
              <w:rPr>
                <w:rFonts w:ascii="宋体"/>
              </w:rPr>
            </w:pPr>
          </w:p>
        </w:tc>
        <w:tc>
          <w:tcPr>
            <w:tcW w:w="0" w:type="auto"/>
            <w:shd w:val="clear" w:color="auto" w:fill="auto"/>
            <w:vAlign w:val="bottom"/>
          </w:tcPr>
          <w:p w14:paraId="71D4862C" w14:textId="77777777" w:rsidR="006A3667" w:rsidRDefault="006A3667">
            <w:pPr>
              <w:rPr>
                <w:rFonts w:ascii="宋体"/>
              </w:rPr>
            </w:pPr>
          </w:p>
        </w:tc>
        <w:tc>
          <w:tcPr>
            <w:tcW w:w="0" w:type="auto"/>
            <w:shd w:val="clear" w:color="auto" w:fill="auto"/>
            <w:vAlign w:val="bottom"/>
          </w:tcPr>
          <w:p w14:paraId="71D4862D" w14:textId="77777777" w:rsidR="006A3667" w:rsidRDefault="006A3667">
            <w:pPr>
              <w:rPr>
                <w:rFonts w:ascii="宋体"/>
              </w:rPr>
            </w:pPr>
          </w:p>
        </w:tc>
        <w:tc>
          <w:tcPr>
            <w:tcW w:w="0" w:type="auto"/>
            <w:shd w:val="clear" w:color="auto" w:fill="auto"/>
            <w:vAlign w:val="bottom"/>
          </w:tcPr>
          <w:p w14:paraId="71D4862E" w14:textId="77777777" w:rsidR="006A3667" w:rsidRDefault="006A3667">
            <w:pPr>
              <w:rPr>
                <w:rFonts w:ascii="宋体"/>
              </w:rPr>
            </w:pPr>
          </w:p>
        </w:tc>
        <w:tc>
          <w:tcPr>
            <w:tcW w:w="0" w:type="auto"/>
            <w:shd w:val="clear" w:color="auto" w:fill="auto"/>
            <w:vAlign w:val="bottom"/>
          </w:tcPr>
          <w:p w14:paraId="71D4862F" w14:textId="77777777" w:rsidR="006A3667" w:rsidRDefault="006A3667">
            <w:pPr>
              <w:rPr>
                <w:rFonts w:ascii="宋体"/>
              </w:rPr>
            </w:pPr>
          </w:p>
        </w:tc>
        <w:tc>
          <w:tcPr>
            <w:tcW w:w="0" w:type="auto"/>
            <w:shd w:val="clear" w:color="auto" w:fill="auto"/>
            <w:vAlign w:val="bottom"/>
          </w:tcPr>
          <w:p w14:paraId="71D48630" w14:textId="77777777" w:rsidR="006A3667" w:rsidRDefault="006A3667">
            <w:pPr>
              <w:rPr>
                <w:rFonts w:ascii="宋体"/>
              </w:rPr>
            </w:pPr>
          </w:p>
        </w:tc>
        <w:tc>
          <w:tcPr>
            <w:tcW w:w="0" w:type="auto"/>
            <w:shd w:val="clear" w:color="auto" w:fill="auto"/>
            <w:vAlign w:val="bottom"/>
          </w:tcPr>
          <w:p w14:paraId="71D48631" w14:textId="77777777" w:rsidR="006A3667" w:rsidRDefault="006A3667">
            <w:pPr>
              <w:rPr>
                <w:rFonts w:ascii="宋体"/>
              </w:rPr>
            </w:pPr>
          </w:p>
        </w:tc>
        <w:tc>
          <w:tcPr>
            <w:tcW w:w="0" w:type="auto"/>
            <w:shd w:val="clear" w:color="auto" w:fill="auto"/>
            <w:vAlign w:val="bottom"/>
          </w:tcPr>
          <w:p w14:paraId="71D48632" w14:textId="77777777" w:rsidR="006A3667" w:rsidRDefault="006A3667">
            <w:pPr>
              <w:rPr>
                <w:rFonts w:ascii="宋体"/>
              </w:rPr>
            </w:pPr>
          </w:p>
        </w:tc>
        <w:tc>
          <w:tcPr>
            <w:tcW w:w="0" w:type="auto"/>
            <w:shd w:val="clear" w:color="auto" w:fill="auto"/>
            <w:vAlign w:val="bottom"/>
          </w:tcPr>
          <w:p w14:paraId="71D48633" w14:textId="77777777" w:rsidR="006A3667" w:rsidRDefault="006A3667">
            <w:pPr>
              <w:rPr>
                <w:rFonts w:ascii="宋体"/>
              </w:rPr>
            </w:pPr>
          </w:p>
        </w:tc>
        <w:tc>
          <w:tcPr>
            <w:tcW w:w="0" w:type="auto"/>
            <w:shd w:val="clear" w:color="auto" w:fill="auto"/>
            <w:vAlign w:val="bottom"/>
          </w:tcPr>
          <w:p w14:paraId="71D48634" w14:textId="77777777" w:rsidR="006A3667" w:rsidRDefault="006A3667">
            <w:pPr>
              <w:rPr>
                <w:rFonts w:ascii="宋体"/>
              </w:rPr>
            </w:pPr>
          </w:p>
        </w:tc>
        <w:tc>
          <w:tcPr>
            <w:tcW w:w="0" w:type="auto"/>
            <w:shd w:val="clear" w:color="auto" w:fill="auto"/>
            <w:vAlign w:val="bottom"/>
          </w:tcPr>
          <w:p w14:paraId="71D48635" w14:textId="77777777" w:rsidR="006A3667" w:rsidRDefault="006A3667">
            <w:pPr>
              <w:rPr>
                <w:rFonts w:ascii="宋体"/>
              </w:rPr>
            </w:pPr>
          </w:p>
        </w:tc>
        <w:tc>
          <w:tcPr>
            <w:tcW w:w="0" w:type="auto"/>
            <w:shd w:val="clear" w:color="auto" w:fill="auto"/>
            <w:vAlign w:val="bottom"/>
          </w:tcPr>
          <w:p w14:paraId="71D48636" w14:textId="77777777" w:rsidR="006A3667" w:rsidRDefault="006A3667">
            <w:pPr>
              <w:rPr>
                <w:rFonts w:ascii="宋体"/>
              </w:rPr>
            </w:pPr>
          </w:p>
        </w:tc>
        <w:tc>
          <w:tcPr>
            <w:tcW w:w="0" w:type="auto"/>
            <w:shd w:val="clear" w:color="auto" w:fill="auto"/>
            <w:vAlign w:val="bottom"/>
          </w:tcPr>
          <w:p w14:paraId="71D48637" w14:textId="77777777" w:rsidR="006A3667" w:rsidRDefault="006A3667">
            <w:pPr>
              <w:rPr>
                <w:rFonts w:ascii="宋体"/>
              </w:rPr>
            </w:pPr>
          </w:p>
        </w:tc>
        <w:tc>
          <w:tcPr>
            <w:tcW w:w="0" w:type="auto"/>
            <w:shd w:val="clear" w:color="auto" w:fill="auto"/>
            <w:vAlign w:val="bottom"/>
          </w:tcPr>
          <w:p w14:paraId="71D48638" w14:textId="77777777" w:rsidR="006A3667" w:rsidRDefault="006A3667">
            <w:pPr>
              <w:rPr>
                <w:rFonts w:ascii="宋体"/>
              </w:rPr>
            </w:pPr>
          </w:p>
        </w:tc>
        <w:tc>
          <w:tcPr>
            <w:tcW w:w="0" w:type="auto"/>
            <w:shd w:val="clear" w:color="auto" w:fill="auto"/>
            <w:vAlign w:val="bottom"/>
          </w:tcPr>
          <w:p w14:paraId="71D48639" w14:textId="77777777" w:rsidR="006A3667" w:rsidRDefault="006A3667">
            <w:pPr>
              <w:rPr>
                <w:rFonts w:ascii="宋体"/>
              </w:rPr>
            </w:pPr>
          </w:p>
        </w:tc>
        <w:tc>
          <w:tcPr>
            <w:tcW w:w="0" w:type="auto"/>
            <w:shd w:val="clear" w:color="auto" w:fill="auto"/>
            <w:vAlign w:val="bottom"/>
          </w:tcPr>
          <w:p w14:paraId="71D4863A" w14:textId="77777777" w:rsidR="006A3667" w:rsidRDefault="006A3667">
            <w:pPr>
              <w:rPr>
                <w:rFonts w:ascii="宋体"/>
              </w:rPr>
            </w:pPr>
          </w:p>
        </w:tc>
        <w:tc>
          <w:tcPr>
            <w:tcW w:w="0" w:type="auto"/>
            <w:shd w:val="clear" w:color="auto" w:fill="auto"/>
            <w:vAlign w:val="bottom"/>
          </w:tcPr>
          <w:p w14:paraId="71D4863B" w14:textId="77777777" w:rsidR="006A3667" w:rsidRDefault="006A3667">
            <w:pPr>
              <w:rPr>
                <w:rFonts w:ascii="宋体"/>
              </w:rPr>
            </w:pPr>
          </w:p>
        </w:tc>
        <w:tc>
          <w:tcPr>
            <w:tcW w:w="0" w:type="auto"/>
            <w:shd w:val="clear" w:color="auto" w:fill="auto"/>
            <w:vAlign w:val="bottom"/>
          </w:tcPr>
          <w:p w14:paraId="71D4863C" w14:textId="77777777" w:rsidR="006A3667" w:rsidRDefault="006A3667">
            <w:pPr>
              <w:rPr>
                <w:rFonts w:ascii="宋体"/>
              </w:rPr>
            </w:pPr>
          </w:p>
        </w:tc>
        <w:tc>
          <w:tcPr>
            <w:tcW w:w="0" w:type="auto"/>
            <w:shd w:val="clear" w:color="auto" w:fill="auto"/>
            <w:vAlign w:val="bottom"/>
          </w:tcPr>
          <w:p w14:paraId="71D4863D" w14:textId="77777777" w:rsidR="006A3667" w:rsidRDefault="006A3667">
            <w:pPr>
              <w:rPr>
                <w:rFonts w:ascii="宋体"/>
              </w:rPr>
            </w:pPr>
          </w:p>
        </w:tc>
        <w:tc>
          <w:tcPr>
            <w:tcW w:w="0" w:type="auto"/>
            <w:shd w:val="clear" w:color="auto" w:fill="auto"/>
            <w:vAlign w:val="bottom"/>
          </w:tcPr>
          <w:p w14:paraId="71D4863E" w14:textId="77777777" w:rsidR="006A3667" w:rsidRDefault="006A3667">
            <w:pPr>
              <w:rPr>
                <w:rFonts w:ascii="宋体"/>
              </w:rPr>
            </w:pPr>
          </w:p>
        </w:tc>
        <w:tc>
          <w:tcPr>
            <w:tcW w:w="0" w:type="auto"/>
            <w:shd w:val="clear" w:color="auto" w:fill="auto"/>
            <w:vAlign w:val="bottom"/>
          </w:tcPr>
          <w:p w14:paraId="71D4863F" w14:textId="77777777" w:rsidR="006A3667" w:rsidRDefault="006A3667">
            <w:pPr>
              <w:rPr>
                <w:rFonts w:ascii="宋体"/>
              </w:rPr>
            </w:pPr>
          </w:p>
        </w:tc>
        <w:tc>
          <w:tcPr>
            <w:tcW w:w="0" w:type="auto"/>
            <w:shd w:val="clear" w:color="auto" w:fill="auto"/>
            <w:vAlign w:val="bottom"/>
          </w:tcPr>
          <w:p w14:paraId="71D48640" w14:textId="77777777" w:rsidR="006A3667" w:rsidRDefault="006A3667">
            <w:pPr>
              <w:rPr>
                <w:rFonts w:ascii="宋体"/>
              </w:rPr>
            </w:pPr>
          </w:p>
        </w:tc>
        <w:tc>
          <w:tcPr>
            <w:tcW w:w="0" w:type="auto"/>
            <w:shd w:val="clear" w:color="auto" w:fill="auto"/>
            <w:vAlign w:val="bottom"/>
          </w:tcPr>
          <w:p w14:paraId="71D48641" w14:textId="77777777" w:rsidR="006A3667" w:rsidRDefault="006A3667">
            <w:pPr>
              <w:rPr>
                <w:rFonts w:ascii="宋体"/>
              </w:rPr>
            </w:pPr>
          </w:p>
        </w:tc>
        <w:tc>
          <w:tcPr>
            <w:tcW w:w="0" w:type="auto"/>
            <w:shd w:val="clear" w:color="auto" w:fill="auto"/>
            <w:vAlign w:val="bottom"/>
          </w:tcPr>
          <w:p w14:paraId="71D48642" w14:textId="77777777" w:rsidR="006A3667" w:rsidRDefault="006A3667">
            <w:pPr>
              <w:rPr>
                <w:rFonts w:ascii="宋体"/>
              </w:rPr>
            </w:pPr>
          </w:p>
        </w:tc>
        <w:tc>
          <w:tcPr>
            <w:tcW w:w="0" w:type="auto"/>
            <w:shd w:val="clear" w:color="auto" w:fill="auto"/>
            <w:vAlign w:val="bottom"/>
          </w:tcPr>
          <w:p w14:paraId="71D48643" w14:textId="77777777" w:rsidR="006A3667" w:rsidRDefault="006A3667">
            <w:pPr>
              <w:rPr>
                <w:rFonts w:ascii="宋体"/>
              </w:rPr>
            </w:pPr>
          </w:p>
        </w:tc>
        <w:tc>
          <w:tcPr>
            <w:tcW w:w="0" w:type="auto"/>
            <w:shd w:val="clear" w:color="auto" w:fill="auto"/>
            <w:vAlign w:val="bottom"/>
          </w:tcPr>
          <w:p w14:paraId="71D48644" w14:textId="77777777" w:rsidR="006A3667" w:rsidRDefault="006A3667">
            <w:pPr>
              <w:rPr>
                <w:rFonts w:ascii="宋体"/>
              </w:rPr>
            </w:pPr>
          </w:p>
        </w:tc>
        <w:tc>
          <w:tcPr>
            <w:tcW w:w="0" w:type="auto"/>
            <w:shd w:val="clear" w:color="auto" w:fill="auto"/>
            <w:vAlign w:val="bottom"/>
          </w:tcPr>
          <w:p w14:paraId="71D48645" w14:textId="77777777" w:rsidR="006A3667" w:rsidRDefault="006A3667">
            <w:pPr>
              <w:rPr>
                <w:rFonts w:ascii="宋体"/>
              </w:rPr>
            </w:pPr>
          </w:p>
        </w:tc>
        <w:tc>
          <w:tcPr>
            <w:tcW w:w="0" w:type="auto"/>
            <w:shd w:val="clear" w:color="auto" w:fill="auto"/>
            <w:vAlign w:val="bottom"/>
          </w:tcPr>
          <w:p w14:paraId="71D48646" w14:textId="77777777" w:rsidR="006A3667" w:rsidRDefault="006A3667">
            <w:pPr>
              <w:rPr>
                <w:rFonts w:ascii="宋体"/>
              </w:rPr>
            </w:pPr>
          </w:p>
        </w:tc>
        <w:tc>
          <w:tcPr>
            <w:tcW w:w="0" w:type="auto"/>
            <w:shd w:val="clear" w:color="auto" w:fill="auto"/>
            <w:vAlign w:val="bottom"/>
          </w:tcPr>
          <w:p w14:paraId="71D48647" w14:textId="77777777" w:rsidR="006A3667" w:rsidRDefault="006A3667">
            <w:pPr>
              <w:rPr>
                <w:rFonts w:ascii="宋体"/>
              </w:rPr>
            </w:pPr>
          </w:p>
        </w:tc>
        <w:tc>
          <w:tcPr>
            <w:tcW w:w="0" w:type="auto"/>
            <w:shd w:val="clear" w:color="auto" w:fill="auto"/>
            <w:vAlign w:val="bottom"/>
          </w:tcPr>
          <w:p w14:paraId="71D48648" w14:textId="77777777" w:rsidR="006A3667" w:rsidRDefault="006A3667">
            <w:pPr>
              <w:rPr>
                <w:rFonts w:ascii="宋体"/>
              </w:rPr>
            </w:pPr>
          </w:p>
        </w:tc>
      </w:tr>
      <w:tr w:rsidR="006A3667" w14:paraId="71D4865C" w14:textId="77777777">
        <w:trPr>
          <w:hidden/>
        </w:trPr>
        <w:tc>
          <w:tcPr>
            <w:tcW w:w="0" w:type="auto"/>
            <w:gridSpan w:val="3"/>
            <w:shd w:val="clear" w:color="auto" w:fill="auto"/>
            <w:vAlign w:val="bottom"/>
          </w:tcPr>
          <w:p w14:paraId="71D4864A" w14:textId="77777777" w:rsidR="006A3667" w:rsidRDefault="006A3667">
            <w:pPr>
              <w:rPr>
                <w:rFonts w:ascii="宋体"/>
                <w:vanish/>
              </w:rPr>
            </w:pPr>
          </w:p>
        </w:tc>
        <w:tc>
          <w:tcPr>
            <w:tcW w:w="0" w:type="auto"/>
            <w:shd w:val="clear" w:color="auto" w:fill="auto"/>
            <w:vAlign w:val="bottom"/>
          </w:tcPr>
          <w:p w14:paraId="71D4864B" w14:textId="77777777" w:rsidR="006A3667" w:rsidRDefault="006A3667">
            <w:pPr>
              <w:rPr>
                <w:rFonts w:ascii="宋体"/>
                <w:vanish/>
              </w:rPr>
            </w:pPr>
          </w:p>
        </w:tc>
        <w:tc>
          <w:tcPr>
            <w:tcW w:w="0" w:type="auto"/>
            <w:shd w:val="clear" w:color="auto" w:fill="auto"/>
            <w:vAlign w:val="bottom"/>
          </w:tcPr>
          <w:p w14:paraId="71D4864C" w14:textId="77777777" w:rsidR="006A3667" w:rsidRDefault="006A3667">
            <w:pPr>
              <w:rPr>
                <w:rFonts w:ascii="宋体"/>
                <w:vanish/>
              </w:rPr>
            </w:pPr>
          </w:p>
        </w:tc>
        <w:tc>
          <w:tcPr>
            <w:tcW w:w="0" w:type="auto"/>
            <w:shd w:val="clear" w:color="auto" w:fill="auto"/>
            <w:vAlign w:val="bottom"/>
          </w:tcPr>
          <w:p w14:paraId="71D4864D" w14:textId="77777777" w:rsidR="006A3667" w:rsidRDefault="006A3667">
            <w:pPr>
              <w:rPr>
                <w:rFonts w:ascii="宋体"/>
                <w:vanish/>
              </w:rPr>
            </w:pPr>
          </w:p>
        </w:tc>
        <w:tc>
          <w:tcPr>
            <w:tcW w:w="0" w:type="auto"/>
            <w:shd w:val="clear" w:color="auto" w:fill="auto"/>
            <w:vAlign w:val="bottom"/>
          </w:tcPr>
          <w:p w14:paraId="71D4864E" w14:textId="77777777" w:rsidR="006A3667" w:rsidRDefault="006A3667">
            <w:pPr>
              <w:rPr>
                <w:rFonts w:ascii="宋体"/>
                <w:vanish/>
              </w:rPr>
            </w:pPr>
          </w:p>
        </w:tc>
        <w:tc>
          <w:tcPr>
            <w:tcW w:w="0" w:type="auto"/>
            <w:shd w:val="clear" w:color="auto" w:fill="auto"/>
            <w:vAlign w:val="bottom"/>
          </w:tcPr>
          <w:p w14:paraId="71D4864F" w14:textId="77777777" w:rsidR="006A3667" w:rsidRDefault="006A3667">
            <w:pPr>
              <w:rPr>
                <w:rFonts w:ascii="宋体"/>
                <w:vanish/>
              </w:rPr>
            </w:pPr>
          </w:p>
        </w:tc>
        <w:tc>
          <w:tcPr>
            <w:tcW w:w="0" w:type="auto"/>
            <w:gridSpan w:val="3"/>
            <w:shd w:val="clear" w:color="auto" w:fill="auto"/>
            <w:vAlign w:val="bottom"/>
          </w:tcPr>
          <w:p w14:paraId="71D48650" w14:textId="77777777" w:rsidR="006A3667" w:rsidRDefault="006A3667">
            <w:pPr>
              <w:rPr>
                <w:rFonts w:ascii="宋体"/>
                <w:vanish/>
              </w:rPr>
            </w:pPr>
          </w:p>
        </w:tc>
        <w:tc>
          <w:tcPr>
            <w:tcW w:w="0" w:type="auto"/>
            <w:gridSpan w:val="3"/>
            <w:shd w:val="clear" w:color="auto" w:fill="auto"/>
            <w:vAlign w:val="bottom"/>
          </w:tcPr>
          <w:p w14:paraId="71D48651" w14:textId="77777777" w:rsidR="006A3667" w:rsidRDefault="006A3667">
            <w:pPr>
              <w:rPr>
                <w:rFonts w:ascii="宋体"/>
                <w:vanish/>
              </w:rPr>
            </w:pPr>
          </w:p>
        </w:tc>
        <w:tc>
          <w:tcPr>
            <w:tcW w:w="0" w:type="auto"/>
            <w:gridSpan w:val="3"/>
            <w:shd w:val="clear" w:color="auto" w:fill="auto"/>
            <w:vAlign w:val="bottom"/>
          </w:tcPr>
          <w:p w14:paraId="71D48652" w14:textId="77777777" w:rsidR="006A3667" w:rsidRDefault="006A3667">
            <w:pPr>
              <w:rPr>
                <w:rFonts w:ascii="宋体"/>
                <w:vanish/>
              </w:rPr>
            </w:pPr>
          </w:p>
        </w:tc>
        <w:tc>
          <w:tcPr>
            <w:tcW w:w="0" w:type="auto"/>
            <w:gridSpan w:val="3"/>
            <w:shd w:val="clear" w:color="auto" w:fill="auto"/>
            <w:vAlign w:val="bottom"/>
          </w:tcPr>
          <w:p w14:paraId="71D48653" w14:textId="77777777" w:rsidR="006A3667" w:rsidRDefault="006A3667">
            <w:pPr>
              <w:rPr>
                <w:rFonts w:ascii="宋体"/>
                <w:vanish/>
              </w:rPr>
            </w:pPr>
          </w:p>
        </w:tc>
        <w:tc>
          <w:tcPr>
            <w:tcW w:w="0" w:type="auto"/>
            <w:gridSpan w:val="3"/>
            <w:shd w:val="clear" w:color="auto" w:fill="auto"/>
            <w:vAlign w:val="bottom"/>
          </w:tcPr>
          <w:p w14:paraId="71D48654" w14:textId="77777777" w:rsidR="006A3667" w:rsidRDefault="006A3667">
            <w:pPr>
              <w:rPr>
                <w:rFonts w:ascii="宋体"/>
                <w:vanish/>
              </w:rPr>
            </w:pPr>
          </w:p>
        </w:tc>
        <w:tc>
          <w:tcPr>
            <w:tcW w:w="0" w:type="auto"/>
            <w:gridSpan w:val="3"/>
            <w:shd w:val="clear" w:color="auto" w:fill="auto"/>
            <w:vAlign w:val="bottom"/>
          </w:tcPr>
          <w:p w14:paraId="71D48655" w14:textId="77777777" w:rsidR="006A3667" w:rsidRDefault="006A3667">
            <w:pPr>
              <w:rPr>
                <w:rFonts w:ascii="宋体"/>
                <w:vanish/>
              </w:rPr>
            </w:pPr>
          </w:p>
        </w:tc>
        <w:tc>
          <w:tcPr>
            <w:tcW w:w="0" w:type="auto"/>
            <w:gridSpan w:val="3"/>
            <w:shd w:val="clear" w:color="auto" w:fill="auto"/>
            <w:vAlign w:val="bottom"/>
          </w:tcPr>
          <w:p w14:paraId="71D48656" w14:textId="77777777" w:rsidR="006A3667" w:rsidRDefault="006A3667">
            <w:pPr>
              <w:rPr>
                <w:rFonts w:ascii="宋体"/>
                <w:vanish/>
              </w:rPr>
            </w:pPr>
          </w:p>
        </w:tc>
        <w:tc>
          <w:tcPr>
            <w:tcW w:w="0" w:type="auto"/>
            <w:gridSpan w:val="3"/>
            <w:shd w:val="clear" w:color="auto" w:fill="auto"/>
            <w:vAlign w:val="bottom"/>
          </w:tcPr>
          <w:p w14:paraId="71D48657" w14:textId="77777777" w:rsidR="006A3667" w:rsidRDefault="006A3667">
            <w:pPr>
              <w:rPr>
                <w:rFonts w:ascii="宋体"/>
                <w:vanish/>
              </w:rPr>
            </w:pPr>
          </w:p>
        </w:tc>
        <w:tc>
          <w:tcPr>
            <w:tcW w:w="0" w:type="auto"/>
            <w:gridSpan w:val="3"/>
            <w:shd w:val="clear" w:color="auto" w:fill="auto"/>
            <w:vAlign w:val="bottom"/>
          </w:tcPr>
          <w:p w14:paraId="71D48658" w14:textId="77777777" w:rsidR="006A3667" w:rsidRDefault="006A3667">
            <w:pPr>
              <w:rPr>
                <w:rFonts w:ascii="宋体"/>
                <w:vanish/>
              </w:rPr>
            </w:pPr>
          </w:p>
        </w:tc>
        <w:tc>
          <w:tcPr>
            <w:tcW w:w="0" w:type="auto"/>
            <w:gridSpan w:val="3"/>
            <w:shd w:val="clear" w:color="auto" w:fill="auto"/>
            <w:vAlign w:val="bottom"/>
          </w:tcPr>
          <w:p w14:paraId="71D48659" w14:textId="77777777" w:rsidR="006A3667" w:rsidRDefault="006A3667">
            <w:pPr>
              <w:rPr>
                <w:rFonts w:ascii="宋体"/>
                <w:vanish/>
              </w:rPr>
            </w:pPr>
          </w:p>
        </w:tc>
        <w:tc>
          <w:tcPr>
            <w:tcW w:w="0" w:type="auto"/>
            <w:gridSpan w:val="3"/>
            <w:shd w:val="clear" w:color="auto" w:fill="auto"/>
            <w:vAlign w:val="bottom"/>
          </w:tcPr>
          <w:p w14:paraId="71D4865A" w14:textId="77777777" w:rsidR="006A3667" w:rsidRDefault="006A3667">
            <w:pPr>
              <w:rPr>
                <w:rFonts w:ascii="宋体"/>
                <w:vanish/>
              </w:rPr>
            </w:pPr>
          </w:p>
        </w:tc>
        <w:tc>
          <w:tcPr>
            <w:tcW w:w="0" w:type="auto"/>
            <w:gridSpan w:val="3"/>
            <w:shd w:val="clear" w:color="auto" w:fill="auto"/>
            <w:vAlign w:val="bottom"/>
          </w:tcPr>
          <w:p w14:paraId="71D4865B" w14:textId="77777777" w:rsidR="006A3667" w:rsidRDefault="006A3667">
            <w:pPr>
              <w:rPr>
                <w:rFonts w:ascii="宋体"/>
                <w:vanish/>
              </w:rPr>
            </w:pPr>
          </w:p>
        </w:tc>
      </w:tr>
      <w:tr w:rsidR="006A3667" w14:paraId="71D4866F" w14:textId="77777777">
        <w:trPr>
          <w:hidden/>
        </w:trPr>
        <w:tc>
          <w:tcPr>
            <w:tcW w:w="0" w:type="auto"/>
            <w:gridSpan w:val="3"/>
            <w:shd w:val="clear" w:color="auto" w:fill="auto"/>
            <w:vAlign w:val="bottom"/>
          </w:tcPr>
          <w:p w14:paraId="71D4865D" w14:textId="77777777" w:rsidR="006A3667" w:rsidRDefault="006A3667">
            <w:pPr>
              <w:rPr>
                <w:rFonts w:ascii="宋体"/>
                <w:vanish/>
              </w:rPr>
            </w:pPr>
          </w:p>
        </w:tc>
        <w:tc>
          <w:tcPr>
            <w:tcW w:w="0" w:type="auto"/>
            <w:shd w:val="clear" w:color="auto" w:fill="auto"/>
            <w:vAlign w:val="bottom"/>
          </w:tcPr>
          <w:p w14:paraId="71D4865E" w14:textId="77777777" w:rsidR="006A3667" w:rsidRDefault="006A3667">
            <w:pPr>
              <w:rPr>
                <w:rFonts w:ascii="宋体"/>
                <w:vanish/>
              </w:rPr>
            </w:pPr>
          </w:p>
        </w:tc>
        <w:tc>
          <w:tcPr>
            <w:tcW w:w="0" w:type="auto"/>
            <w:shd w:val="clear" w:color="auto" w:fill="auto"/>
            <w:vAlign w:val="bottom"/>
          </w:tcPr>
          <w:p w14:paraId="71D4865F" w14:textId="77777777" w:rsidR="006A3667" w:rsidRDefault="006A3667">
            <w:pPr>
              <w:rPr>
                <w:rFonts w:ascii="宋体"/>
                <w:vanish/>
              </w:rPr>
            </w:pPr>
          </w:p>
        </w:tc>
        <w:tc>
          <w:tcPr>
            <w:tcW w:w="0" w:type="auto"/>
            <w:shd w:val="clear" w:color="auto" w:fill="auto"/>
            <w:vAlign w:val="bottom"/>
          </w:tcPr>
          <w:p w14:paraId="71D48660" w14:textId="77777777" w:rsidR="006A3667" w:rsidRDefault="006A3667">
            <w:pPr>
              <w:rPr>
                <w:rFonts w:ascii="宋体"/>
                <w:vanish/>
              </w:rPr>
            </w:pPr>
          </w:p>
        </w:tc>
        <w:tc>
          <w:tcPr>
            <w:tcW w:w="0" w:type="auto"/>
            <w:shd w:val="clear" w:color="auto" w:fill="auto"/>
            <w:vAlign w:val="bottom"/>
          </w:tcPr>
          <w:p w14:paraId="71D48661" w14:textId="77777777" w:rsidR="006A3667" w:rsidRDefault="006A3667">
            <w:pPr>
              <w:rPr>
                <w:rFonts w:ascii="宋体"/>
                <w:vanish/>
              </w:rPr>
            </w:pPr>
          </w:p>
        </w:tc>
        <w:tc>
          <w:tcPr>
            <w:tcW w:w="0" w:type="auto"/>
            <w:shd w:val="clear" w:color="auto" w:fill="auto"/>
            <w:vAlign w:val="bottom"/>
          </w:tcPr>
          <w:p w14:paraId="71D48662" w14:textId="77777777" w:rsidR="006A3667" w:rsidRDefault="006A3667">
            <w:pPr>
              <w:rPr>
                <w:rFonts w:ascii="宋体"/>
                <w:vanish/>
              </w:rPr>
            </w:pPr>
          </w:p>
        </w:tc>
        <w:tc>
          <w:tcPr>
            <w:tcW w:w="0" w:type="auto"/>
            <w:gridSpan w:val="3"/>
            <w:shd w:val="clear" w:color="auto" w:fill="auto"/>
            <w:vAlign w:val="bottom"/>
          </w:tcPr>
          <w:p w14:paraId="71D48663" w14:textId="77777777" w:rsidR="006A3667" w:rsidRDefault="006A3667">
            <w:pPr>
              <w:rPr>
                <w:rFonts w:ascii="宋体"/>
                <w:vanish/>
              </w:rPr>
            </w:pPr>
          </w:p>
        </w:tc>
        <w:tc>
          <w:tcPr>
            <w:tcW w:w="0" w:type="auto"/>
            <w:gridSpan w:val="3"/>
            <w:shd w:val="clear" w:color="auto" w:fill="auto"/>
            <w:vAlign w:val="bottom"/>
          </w:tcPr>
          <w:p w14:paraId="71D48664" w14:textId="77777777" w:rsidR="006A3667" w:rsidRDefault="006A3667">
            <w:pPr>
              <w:rPr>
                <w:rFonts w:ascii="宋体"/>
                <w:vanish/>
              </w:rPr>
            </w:pPr>
          </w:p>
        </w:tc>
        <w:tc>
          <w:tcPr>
            <w:tcW w:w="0" w:type="auto"/>
            <w:gridSpan w:val="3"/>
            <w:shd w:val="clear" w:color="auto" w:fill="auto"/>
            <w:vAlign w:val="bottom"/>
          </w:tcPr>
          <w:p w14:paraId="71D48665" w14:textId="77777777" w:rsidR="006A3667" w:rsidRDefault="006A3667">
            <w:pPr>
              <w:rPr>
                <w:rFonts w:ascii="宋体"/>
                <w:vanish/>
              </w:rPr>
            </w:pPr>
          </w:p>
        </w:tc>
        <w:tc>
          <w:tcPr>
            <w:tcW w:w="0" w:type="auto"/>
            <w:gridSpan w:val="3"/>
            <w:shd w:val="clear" w:color="auto" w:fill="auto"/>
            <w:vAlign w:val="bottom"/>
          </w:tcPr>
          <w:p w14:paraId="71D48666" w14:textId="77777777" w:rsidR="006A3667" w:rsidRDefault="006A3667">
            <w:pPr>
              <w:rPr>
                <w:rFonts w:ascii="宋体"/>
                <w:vanish/>
              </w:rPr>
            </w:pPr>
          </w:p>
        </w:tc>
        <w:tc>
          <w:tcPr>
            <w:tcW w:w="0" w:type="auto"/>
            <w:gridSpan w:val="3"/>
            <w:shd w:val="clear" w:color="auto" w:fill="auto"/>
            <w:vAlign w:val="bottom"/>
          </w:tcPr>
          <w:p w14:paraId="71D48667" w14:textId="77777777" w:rsidR="006A3667" w:rsidRDefault="006A3667">
            <w:pPr>
              <w:rPr>
                <w:rFonts w:ascii="宋体"/>
                <w:vanish/>
              </w:rPr>
            </w:pPr>
          </w:p>
        </w:tc>
        <w:tc>
          <w:tcPr>
            <w:tcW w:w="0" w:type="auto"/>
            <w:gridSpan w:val="3"/>
            <w:shd w:val="clear" w:color="auto" w:fill="auto"/>
            <w:vAlign w:val="bottom"/>
          </w:tcPr>
          <w:p w14:paraId="71D48668" w14:textId="77777777" w:rsidR="006A3667" w:rsidRDefault="006A3667">
            <w:pPr>
              <w:rPr>
                <w:rFonts w:ascii="宋体"/>
                <w:vanish/>
              </w:rPr>
            </w:pPr>
          </w:p>
        </w:tc>
        <w:tc>
          <w:tcPr>
            <w:tcW w:w="0" w:type="auto"/>
            <w:gridSpan w:val="3"/>
            <w:shd w:val="clear" w:color="auto" w:fill="auto"/>
            <w:vAlign w:val="bottom"/>
          </w:tcPr>
          <w:p w14:paraId="71D48669" w14:textId="77777777" w:rsidR="006A3667" w:rsidRDefault="006A3667">
            <w:pPr>
              <w:rPr>
                <w:rFonts w:ascii="宋体"/>
                <w:vanish/>
              </w:rPr>
            </w:pPr>
          </w:p>
        </w:tc>
        <w:tc>
          <w:tcPr>
            <w:tcW w:w="0" w:type="auto"/>
            <w:gridSpan w:val="3"/>
            <w:shd w:val="clear" w:color="auto" w:fill="auto"/>
            <w:vAlign w:val="bottom"/>
          </w:tcPr>
          <w:p w14:paraId="71D4866A" w14:textId="77777777" w:rsidR="006A3667" w:rsidRDefault="006A3667">
            <w:pPr>
              <w:rPr>
                <w:rFonts w:ascii="宋体"/>
                <w:vanish/>
              </w:rPr>
            </w:pPr>
          </w:p>
        </w:tc>
        <w:tc>
          <w:tcPr>
            <w:tcW w:w="0" w:type="auto"/>
            <w:gridSpan w:val="3"/>
            <w:shd w:val="clear" w:color="auto" w:fill="auto"/>
            <w:vAlign w:val="bottom"/>
          </w:tcPr>
          <w:p w14:paraId="71D4866B" w14:textId="77777777" w:rsidR="006A3667" w:rsidRDefault="006A3667">
            <w:pPr>
              <w:rPr>
                <w:rFonts w:ascii="宋体"/>
                <w:vanish/>
              </w:rPr>
            </w:pPr>
          </w:p>
        </w:tc>
        <w:tc>
          <w:tcPr>
            <w:tcW w:w="0" w:type="auto"/>
            <w:gridSpan w:val="3"/>
            <w:shd w:val="clear" w:color="auto" w:fill="auto"/>
            <w:vAlign w:val="bottom"/>
          </w:tcPr>
          <w:p w14:paraId="71D4866C" w14:textId="77777777" w:rsidR="006A3667" w:rsidRDefault="006A3667">
            <w:pPr>
              <w:rPr>
                <w:rFonts w:ascii="宋体"/>
                <w:vanish/>
              </w:rPr>
            </w:pPr>
          </w:p>
        </w:tc>
        <w:tc>
          <w:tcPr>
            <w:tcW w:w="0" w:type="auto"/>
            <w:gridSpan w:val="3"/>
            <w:shd w:val="clear" w:color="auto" w:fill="auto"/>
            <w:vAlign w:val="bottom"/>
          </w:tcPr>
          <w:p w14:paraId="71D4866D" w14:textId="77777777" w:rsidR="006A3667" w:rsidRDefault="006A3667">
            <w:pPr>
              <w:rPr>
                <w:rFonts w:ascii="宋体"/>
                <w:vanish/>
              </w:rPr>
            </w:pPr>
          </w:p>
        </w:tc>
        <w:tc>
          <w:tcPr>
            <w:tcW w:w="0" w:type="auto"/>
            <w:gridSpan w:val="3"/>
            <w:shd w:val="clear" w:color="auto" w:fill="auto"/>
            <w:vAlign w:val="bottom"/>
          </w:tcPr>
          <w:p w14:paraId="71D4866E" w14:textId="77777777" w:rsidR="006A3667" w:rsidRDefault="006A3667">
            <w:pPr>
              <w:rPr>
                <w:rFonts w:ascii="宋体"/>
                <w:vanish/>
              </w:rPr>
            </w:pPr>
          </w:p>
        </w:tc>
      </w:tr>
      <w:tr w:rsidR="006A3667" w14:paraId="71D48682" w14:textId="77777777">
        <w:trPr>
          <w:hidden/>
        </w:trPr>
        <w:tc>
          <w:tcPr>
            <w:tcW w:w="0" w:type="auto"/>
            <w:gridSpan w:val="3"/>
            <w:shd w:val="clear" w:color="auto" w:fill="auto"/>
            <w:vAlign w:val="bottom"/>
          </w:tcPr>
          <w:p w14:paraId="71D48670" w14:textId="77777777" w:rsidR="006A3667" w:rsidRDefault="006A3667">
            <w:pPr>
              <w:rPr>
                <w:rFonts w:ascii="宋体"/>
                <w:vanish/>
              </w:rPr>
            </w:pPr>
          </w:p>
        </w:tc>
        <w:tc>
          <w:tcPr>
            <w:tcW w:w="0" w:type="auto"/>
            <w:shd w:val="clear" w:color="auto" w:fill="auto"/>
            <w:vAlign w:val="bottom"/>
          </w:tcPr>
          <w:p w14:paraId="71D48671" w14:textId="77777777" w:rsidR="006A3667" w:rsidRDefault="006A3667">
            <w:pPr>
              <w:rPr>
                <w:rFonts w:ascii="宋体"/>
                <w:vanish/>
              </w:rPr>
            </w:pPr>
          </w:p>
        </w:tc>
        <w:tc>
          <w:tcPr>
            <w:tcW w:w="0" w:type="auto"/>
            <w:shd w:val="clear" w:color="auto" w:fill="auto"/>
            <w:vAlign w:val="bottom"/>
          </w:tcPr>
          <w:p w14:paraId="71D48672" w14:textId="77777777" w:rsidR="006A3667" w:rsidRDefault="006A3667">
            <w:pPr>
              <w:rPr>
                <w:rFonts w:ascii="宋体"/>
                <w:vanish/>
              </w:rPr>
            </w:pPr>
          </w:p>
        </w:tc>
        <w:tc>
          <w:tcPr>
            <w:tcW w:w="0" w:type="auto"/>
            <w:shd w:val="clear" w:color="auto" w:fill="auto"/>
            <w:vAlign w:val="bottom"/>
          </w:tcPr>
          <w:p w14:paraId="71D48673" w14:textId="77777777" w:rsidR="006A3667" w:rsidRDefault="006A3667">
            <w:pPr>
              <w:rPr>
                <w:rFonts w:ascii="宋体"/>
                <w:vanish/>
              </w:rPr>
            </w:pPr>
          </w:p>
        </w:tc>
        <w:tc>
          <w:tcPr>
            <w:tcW w:w="0" w:type="auto"/>
            <w:shd w:val="clear" w:color="auto" w:fill="auto"/>
            <w:vAlign w:val="bottom"/>
          </w:tcPr>
          <w:p w14:paraId="71D48674" w14:textId="77777777" w:rsidR="006A3667" w:rsidRDefault="006A3667">
            <w:pPr>
              <w:rPr>
                <w:rFonts w:ascii="宋体"/>
                <w:vanish/>
              </w:rPr>
            </w:pPr>
          </w:p>
        </w:tc>
        <w:tc>
          <w:tcPr>
            <w:tcW w:w="0" w:type="auto"/>
            <w:shd w:val="clear" w:color="auto" w:fill="auto"/>
            <w:vAlign w:val="bottom"/>
          </w:tcPr>
          <w:p w14:paraId="71D48675" w14:textId="77777777" w:rsidR="006A3667" w:rsidRDefault="006A3667">
            <w:pPr>
              <w:rPr>
                <w:rFonts w:ascii="宋体"/>
                <w:vanish/>
              </w:rPr>
            </w:pPr>
          </w:p>
        </w:tc>
        <w:tc>
          <w:tcPr>
            <w:tcW w:w="0" w:type="auto"/>
            <w:gridSpan w:val="3"/>
            <w:shd w:val="clear" w:color="auto" w:fill="auto"/>
            <w:vAlign w:val="bottom"/>
          </w:tcPr>
          <w:p w14:paraId="71D48676" w14:textId="77777777" w:rsidR="006A3667" w:rsidRDefault="006A3667">
            <w:pPr>
              <w:rPr>
                <w:rFonts w:ascii="宋体"/>
                <w:vanish/>
              </w:rPr>
            </w:pPr>
          </w:p>
        </w:tc>
        <w:tc>
          <w:tcPr>
            <w:tcW w:w="0" w:type="auto"/>
            <w:gridSpan w:val="3"/>
            <w:shd w:val="clear" w:color="auto" w:fill="auto"/>
            <w:vAlign w:val="bottom"/>
          </w:tcPr>
          <w:p w14:paraId="71D48677" w14:textId="77777777" w:rsidR="006A3667" w:rsidRDefault="006A3667">
            <w:pPr>
              <w:rPr>
                <w:rFonts w:ascii="宋体"/>
                <w:vanish/>
              </w:rPr>
            </w:pPr>
          </w:p>
        </w:tc>
        <w:tc>
          <w:tcPr>
            <w:tcW w:w="0" w:type="auto"/>
            <w:gridSpan w:val="3"/>
            <w:shd w:val="clear" w:color="auto" w:fill="auto"/>
            <w:vAlign w:val="bottom"/>
          </w:tcPr>
          <w:p w14:paraId="71D48678" w14:textId="77777777" w:rsidR="006A3667" w:rsidRDefault="006A3667">
            <w:pPr>
              <w:rPr>
                <w:rFonts w:ascii="宋体"/>
                <w:vanish/>
              </w:rPr>
            </w:pPr>
          </w:p>
        </w:tc>
        <w:tc>
          <w:tcPr>
            <w:tcW w:w="0" w:type="auto"/>
            <w:gridSpan w:val="3"/>
            <w:shd w:val="clear" w:color="auto" w:fill="auto"/>
            <w:vAlign w:val="bottom"/>
          </w:tcPr>
          <w:p w14:paraId="71D48679" w14:textId="77777777" w:rsidR="006A3667" w:rsidRDefault="006A3667">
            <w:pPr>
              <w:rPr>
                <w:rFonts w:ascii="宋体"/>
                <w:vanish/>
              </w:rPr>
            </w:pPr>
          </w:p>
        </w:tc>
        <w:tc>
          <w:tcPr>
            <w:tcW w:w="0" w:type="auto"/>
            <w:gridSpan w:val="3"/>
            <w:shd w:val="clear" w:color="auto" w:fill="auto"/>
            <w:vAlign w:val="bottom"/>
          </w:tcPr>
          <w:p w14:paraId="71D4867A" w14:textId="77777777" w:rsidR="006A3667" w:rsidRDefault="006A3667">
            <w:pPr>
              <w:rPr>
                <w:rFonts w:ascii="宋体"/>
                <w:vanish/>
              </w:rPr>
            </w:pPr>
          </w:p>
        </w:tc>
        <w:tc>
          <w:tcPr>
            <w:tcW w:w="0" w:type="auto"/>
            <w:gridSpan w:val="3"/>
            <w:shd w:val="clear" w:color="auto" w:fill="auto"/>
            <w:vAlign w:val="bottom"/>
          </w:tcPr>
          <w:p w14:paraId="71D4867B" w14:textId="77777777" w:rsidR="006A3667" w:rsidRDefault="006A3667">
            <w:pPr>
              <w:rPr>
                <w:rFonts w:ascii="宋体"/>
                <w:vanish/>
              </w:rPr>
            </w:pPr>
          </w:p>
        </w:tc>
        <w:tc>
          <w:tcPr>
            <w:tcW w:w="0" w:type="auto"/>
            <w:gridSpan w:val="3"/>
            <w:shd w:val="clear" w:color="auto" w:fill="auto"/>
            <w:vAlign w:val="bottom"/>
          </w:tcPr>
          <w:p w14:paraId="71D4867C" w14:textId="77777777" w:rsidR="006A3667" w:rsidRDefault="006A3667">
            <w:pPr>
              <w:rPr>
                <w:rFonts w:ascii="宋体"/>
                <w:vanish/>
              </w:rPr>
            </w:pPr>
          </w:p>
        </w:tc>
        <w:tc>
          <w:tcPr>
            <w:tcW w:w="0" w:type="auto"/>
            <w:gridSpan w:val="3"/>
            <w:shd w:val="clear" w:color="auto" w:fill="auto"/>
            <w:vAlign w:val="bottom"/>
          </w:tcPr>
          <w:p w14:paraId="71D4867D" w14:textId="77777777" w:rsidR="006A3667" w:rsidRDefault="006A3667">
            <w:pPr>
              <w:rPr>
                <w:rFonts w:ascii="宋体"/>
                <w:vanish/>
              </w:rPr>
            </w:pPr>
          </w:p>
        </w:tc>
        <w:tc>
          <w:tcPr>
            <w:tcW w:w="0" w:type="auto"/>
            <w:gridSpan w:val="3"/>
            <w:shd w:val="clear" w:color="auto" w:fill="auto"/>
            <w:vAlign w:val="bottom"/>
          </w:tcPr>
          <w:p w14:paraId="71D4867E" w14:textId="77777777" w:rsidR="006A3667" w:rsidRDefault="006A3667">
            <w:pPr>
              <w:rPr>
                <w:rFonts w:ascii="宋体"/>
                <w:vanish/>
              </w:rPr>
            </w:pPr>
          </w:p>
        </w:tc>
        <w:tc>
          <w:tcPr>
            <w:tcW w:w="0" w:type="auto"/>
            <w:gridSpan w:val="3"/>
            <w:shd w:val="clear" w:color="auto" w:fill="auto"/>
            <w:vAlign w:val="bottom"/>
          </w:tcPr>
          <w:p w14:paraId="71D4867F" w14:textId="77777777" w:rsidR="006A3667" w:rsidRDefault="006A3667">
            <w:pPr>
              <w:rPr>
                <w:rFonts w:ascii="宋体"/>
                <w:vanish/>
              </w:rPr>
            </w:pPr>
          </w:p>
        </w:tc>
        <w:tc>
          <w:tcPr>
            <w:tcW w:w="0" w:type="auto"/>
            <w:gridSpan w:val="3"/>
            <w:shd w:val="clear" w:color="auto" w:fill="auto"/>
            <w:vAlign w:val="bottom"/>
          </w:tcPr>
          <w:p w14:paraId="71D48680" w14:textId="77777777" w:rsidR="006A3667" w:rsidRDefault="006A3667">
            <w:pPr>
              <w:rPr>
                <w:rFonts w:ascii="宋体"/>
                <w:vanish/>
              </w:rPr>
            </w:pPr>
          </w:p>
        </w:tc>
        <w:tc>
          <w:tcPr>
            <w:tcW w:w="0" w:type="auto"/>
            <w:gridSpan w:val="3"/>
            <w:shd w:val="clear" w:color="auto" w:fill="auto"/>
            <w:vAlign w:val="bottom"/>
          </w:tcPr>
          <w:p w14:paraId="71D48681" w14:textId="77777777" w:rsidR="006A3667" w:rsidRDefault="006A3667">
            <w:pPr>
              <w:rPr>
                <w:rFonts w:ascii="宋体"/>
                <w:vanish/>
              </w:rPr>
            </w:pPr>
          </w:p>
        </w:tc>
      </w:tr>
      <w:tr w:rsidR="006A3667" w14:paraId="71D48695" w14:textId="77777777">
        <w:trPr>
          <w:hidden/>
        </w:trPr>
        <w:tc>
          <w:tcPr>
            <w:tcW w:w="0" w:type="auto"/>
            <w:gridSpan w:val="3"/>
            <w:shd w:val="clear" w:color="auto" w:fill="auto"/>
            <w:vAlign w:val="bottom"/>
          </w:tcPr>
          <w:p w14:paraId="71D48683" w14:textId="77777777" w:rsidR="006A3667" w:rsidRDefault="006A3667">
            <w:pPr>
              <w:rPr>
                <w:rFonts w:ascii="宋体"/>
                <w:vanish/>
              </w:rPr>
            </w:pPr>
          </w:p>
        </w:tc>
        <w:tc>
          <w:tcPr>
            <w:tcW w:w="0" w:type="auto"/>
            <w:shd w:val="clear" w:color="auto" w:fill="auto"/>
            <w:vAlign w:val="bottom"/>
          </w:tcPr>
          <w:p w14:paraId="71D48684" w14:textId="77777777" w:rsidR="006A3667" w:rsidRDefault="006A3667">
            <w:pPr>
              <w:rPr>
                <w:rFonts w:ascii="宋体"/>
                <w:vanish/>
              </w:rPr>
            </w:pPr>
          </w:p>
        </w:tc>
        <w:tc>
          <w:tcPr>
            <w:tcW w:w="0" w:type="auto"/>
            <w:shd w:val="clear" w:color="auto" w:fill="auto"/>
            <w:vAlign w:val="bottom"/>
          </w:tcPr>
          <w:p w14:paraId="71D48685" w14:textId="77777777" w:rsidR="006A3667" w:rsidRDefault="006A3667">
            <w:pPr>
              <w:rPr>
                <w:rFonts w:ascii="宋体"/>
                <w:vanish/>
              </w:rPr>
            </w:pPr>
          </w:p>
        </w:tc>
        <w:tc>
          <w:tcPr>
            <w:tcW w:w="0" w:type="auto"/>
            <w:shd w:val="clear" w:color="auto" w:fill="auto"/>
            <w:vAlign w:val="bottom"/>
          </w:tcPr>
          <w:p w14:paraId="71D48686" w14:textId="77777777" w:rsidR="006A3667" w:rsidRDefault="006A3667">
            <w:pPr>
              <w:rPr>
                <w:rFonts w:ascii="宋体"/>
                <w:vanish/>
              </w:rPr>
            </w:pPr>
          </w:p>
        </w:tc>
        <w:tc>
          <w:tcPr>
            <w:tcW w:w="0" w:type="auto"/>
            <w:shd w:val="clear" w:color="auto" w:fill="auto"/>
            <w:vAlign w:val="bottom"/>
          </w:tcPr>
          <w:p w14:paraId="71D48687" w14:textId="77777777" w:rsidR="006A3667" w:rsidRDefault="006A3667">
            <w:pPr>
              <w:rPr>
                <w:rFonts w:ascii="宋体"/>
                <w:vanish/>
              </w:rPr>
            </w:pPr>
          </w:p>
        </w:tc>
        <w:tc>
          <w:tcPr>
            <w:tcW w:w="0" w:type="auto"/>
            <w:shd w:val="clear" w:color="auto" w:fill="auto"/>
            <w:vAlign w:val="bottom"/>
          </w:tcPr>
          <w:p w14:paraId="71D48688" w14:textId="77777777" w:rsidR="006A3667" w:rsidRDefault="006A3667">
            <w:pPr>
              <w:rPr>
                <w:rFonts w:ascii="宋体"/>
                <w:vanish/>
              </w:rPr>
            </w:pPr>
          </w:p>
        </w:tc>
        <w:tc>
          <w:tcPr>
            <w:tcW w:w="0" w:type="auto"/>
            <w:gridSpan w:val="3"/>
            <w:shd w:val="clear" w:color="auto" w:fill="auto"/>
            <w:vAlign w:val="bottom"/>
          </w:tcPr>
          <w:p w14:paraId="71D48689" w14:textId="77777777" w:rsidR="006A3667" w:rsidRDefault="006A3667">
            <w:pPr>
              <w:rPr>
                <w:rFonts w:ascii="宋体"/>
                <w:vanish/>
              </w:rPr>
            </w:pPr>
          </w:p>
        </w:tc>
        <w:tc>
          <w:tcPr>
            <w:tcW w:w="0" w:type="auto"/>
            <w:gridSpan w:val="3"/>
            <w:shd w:val="clear" w:color="auto" w:fill="auto"/>
            <w:vAlign w:val="bottom"/>
          </w:tcPr>
          <w:p w14:paraId="71D4868A" w14:textId="77777777" w:rsidR="006A3667" w:rsidRDefault="006A3667">
            <w:pPr>
              <w:rPr>
                <w:rFonts w:ascii="宋体"/>
                <w:vanish/>
              </w:rPr>
            </w:pPr>
          </w:p>
        </w:tc>
        <w:tc>
          <w:tcPr>
            <w:tcW w:w="0" w:type="auto"/>
            <w:gridSpan w:val="3"/>
            <w:shd w:val="clear" w:color="auto" w:fill="auto"/>
            <w:vAlign w:val="bottom"/>
          </w:tcPr>
          <w:p w14:paraId="71D4868B" w14:textId="77777777" w:rsidR="006A3667" w:rsidRDefault="006A3667">
            <w:pPr>
              <w:rPr>
                <w:rFonts w:ascii="宋体"/>
                <w:vanish/>
              </w:rPr>
            </w:pPr>
          </w:p>
        </w:tc>
        <w:tc>
          <w:tcPr>
            <w:tcW w:w="0" w:type="auto"/>
            <w:gridSpan w:val="3"/>
            <w:shd w:val="clear" w:color="auto" w:fill="auto"/>
            <w:vAlign w:val="bottom"/>
          </w:tcPr>
          <w:p w14:paraId="71D4868C" w14:textId="77777777" w:rsidR="006A3667" w:rsidRDefault="006A3667">
            <w:pPr>
              <w:rPr>
                <w:rFonts w:ascii="宋体"/>
                <w:vanish/>
              </w:rPr>
            </w:pPr>
          </w:p>
        </w:tc>
        <w:tc>
          <w:tcPr>
            <w:tcW w:w="0" w:type="auto"/>
            <w:gridSpan w:val="3"/>
            <w:shd w:val="clear" w:color="auto" w:fill="auto"/>
            <w:vAlign w:val="bottom"/>
          </w:tcPr>
          <w:p w14:paraId="71D4868D" w14:textId="77777777" w:rsidR="006A3667" w:rsidRDefault="006A3667">
            <w:pPr>
              <w:rPr>
                <w:rFonts w:ascii="宋体"/>
                <w:vanish/>
              </w:rPr>
            </w:pPr>
          </w:p>
        </w:tc>
        <w:tc>
          <w:tcPr>
            <w:tcW w:w="0" w:type="auto"/>
            <w:gridSpan w:val="3"/>
            <w:shd w:val="clear" w:color="auto" w:fill="auto"/>
            <w:vAlign w:val="bottom"/>
          </w:tcPr>
          <w:p w14:paraId="71D4868E" w14:textId="77777777" w:rsidR="006A3667" w:rsidRDefault="006A3667">
            <w:pPr>
              <w:rPr>
                <w:rFonts w:ascii="宋体"/>
                <w:vanish/>
              </w:rPr>
            </w:pPr>
          </w:p>
        </w:tc>
        <w:tc>
          <w:tcPr>
            <w:tcW w:w="0" w:type="auto"/>
            <w:gridSpan w:val="3"/>
            <w:shd w:val="clear" w:color="auto" w:fill="auto"/>
            <w:vAlign w:val="bottom"/>
          </w:tcPr>
          <w:p w14:paraId="71D4868F" w14:textId="77777777" w:rsidR="006A3667" w:rsidRDefault="006A3667">
            <w:pPr>
              <w:rPr>
                <w:rFonts w:ascii="宋体"/>
                <w:vanish/>
              </w:rPr>
            </w:pPr>
          </w:p>
        </w:tc>
        <w:tc>
          <w:tcPr>
            <w:tcW w:w="0" w:type="auto"/>
            <w:gridSpan w:val="3"/>
            <w:shd w:val="clear" w:color="auto" w:fill="auto"/>
            <w:vAlign w:val="bottom"/>
          </w:tcPr>
          <w:p w14:paraId="71D48690" w14:textId="77777777" w:rsidR="006A3667" w:rsidRDefault="006A3667">
            <w:pPr>
              <w:rPr>
                <w:rFonts w:ascii="宋体"/>
                <w:vanish/>
              </w:rPr>
            </w:pPr>
          </w:p>
        </w:tc>
        <w:tc>
          <w:tcPr>
            <w:tcW w:w="0" w:type="auto"/>
            <w:gridSpan w:val="3"/>
            <w:shd w:val="clear" w:color="auto" w:fill="auto"/>
            <w:vAlign w:val="bottom"/>
          </w:tcPr>
          <w:p w14:paraId="71D48691" w14:textId="77777777" w:rsidR="006A3667" w:rsidRDefault="006A3667">
            <w:pPr>
              <w:rPr>
                <w:rFonts w:ascii="宋体"/>
                <w:vanish/>
              </w:rPr>
            </w:pPr>
          </w:p>
        </w:tc>
        <w:tc>
          <w:tcPr>
            <w:tcW w:w="0" w:type="auto"/>
            <w:gridSpan w:val="3"/>
            <w:shd w:val="clear" w:color="auto" w:fill="auto"/>
            <w:vAlign w:val="bottom"/>
          </w:tcPr>
          <w:p w14:paraId="71D48692" w14:textId="77777777" w:rsidR="006A3667" w:rsidRDefault="006A3667">
            <w:pPr>
              <w:rPr>
                <w:rFonts w:ascii="宋体"/>
                <w:vanish/>
              </w:rPr>
            </w:pPr>
          </w:p>
        </w:tc>
        <w:tc>
          <w:tcPr>
            <w:tcW w:w="0" w:type="auto"/>
            <w:gridSpan w:val="3"/>
            <w:shd w:val="clear" w:color="auto" w:fill="auto"/>
            <w:vAlign w:val="bottom"/>
          </w:tcPr>
          <w:p w14:paraId="71D48693" w14:textId="77777777" w:rsidR="006A3667" w:rsidRDefault="006A3667">
            <w:pPr>
              <w:rPr>
                <w:rFonts w:ascii="宋体"/>
                <w:vanish/>
              </w:rPr>
            </w:pPr>
          </w:p>
        </w:tc>
        <w:tc>
          <w:tcPr>
            <w:tcW w:w="0" w:type="auto"/>
            <w:gridSpan w:val="3"/>
            <w:shd w:val="clear" w:color="auto" w:fill="auto"/>
            <w:vAlign w:val="bottom"/>
          </w:tcPr>
          <w:p w14:paraId="71D48694" w14:textId="77777777" w:rsidR="006A3667" w:rsidRDefault="006A3667">
            <w:pPr>
              <w:rPr>
                <w:rFonts w:ascii="宋体"/>
                <w:vanish/>
              </w:rPr>
            </w:pPr>
          </w:p>
        </w:tc>
      </w:tr>
      <w:tr w:rsidR="006A3667" w14:paraId="71D486A8" w14:textId="77777777">
        <w:trPr>
          <w:hidden/>
        </w:trPr>
        <w:tc>
          <w:tcPr>
            <w:tcW w:w="0" w:type="auto"/>
            <w:gridSpan w:val="3"/>
            <w:shd w:val="clear" w:color="auto" w:fill="auto"/>
            <w:vAlign w:val="bottom"/>
          </w:tcPr>
          <w:p w14:paraId="71D48696" w14:textId="77777777" w:rsidR="006A3667" w:rsidRDefault="006A3667">
            <w:pPr>
              <w:rPr>
                <w:rFonts w:ascii="宋体"/>
                <w:vanish/>
              </w:rPr>
            </w:pPr>
          </w:p>
        </w:tc>
        <w:tc>
          <w:tcPr>
            <w:tcW w:w="0" w:type="auto"/>
            <w:shd w:val="clear" w:color="auto" w:fill="auto"/>
            <w:vAlign w:val="bottom"/>
          </w:tcPr>
          <w:p w14:paraId="71D48697" w14:textId="77777777" w:rsidR="006A3667" w:rsidRDefault="006A3667">
            <w:pPr>
              <w:rPr>
                <w:rFonts w:ascii="宋体"/>
                <w:vanish/>
              </w:rPr>
            </w:pPr>
          </w:p>
        </w:tc>
        <w:tc>
          <w:tcPr>
            <w:tcW w:w="0" w:type="auto"/>
            <w:shd w:val="clear" w:color="auto" w:fill="auto"/>
            <w:vAlign w:val="bottom"/>
          </w:tcPr>
          <w:p w14:paraId="71D48698" w14:textId="77777777" w:rsidR="006A3667" w:rsidRDefault="006A3667">
            <w:pPr>
              <w:rPr>
                <w:rFonts w:ascii="宋体"/>
                <w:vanish/>
              </w:rPr>
            </w:pPr>
          </w:p>
        </w:tc>
        <w:tc>
          <w:tcPr>
            <w:tcW w:w="0" w:type="auto"/>
            <w:shd w:val="clear" w:color="auto" w:fill="auto"/>
            <w:vAlign w:val="bottom"/>
          </w:tcPr>
          <w:p w14:paraId="71D48699" w14:textId="77777777" w:rsidR="006A3667" w:rsidRDefault="006A3667">
            <w:pPr>
              <w:rPr>
                <w:rFonts w:ascii="宋体"/>
                <w:vanish/>
              </w:rPr>
            </w:pPr>
          </w:p>
        </w:tc>
        <w:tc>
          <w:tcPr>
            <w:tcW w:w="0" w:type="auto"/>
            <w:shd w:val="clear" w:color="auto" w:fill="auto"/>
            <w:vAlign w:val="bottom"/>
          </w:tcPr>
          <w:p w14:paraId="71D4869A" w14:textId="77777777" w:rsidR="006A3667" w:rsidRDefault="006A3667">
            <w:pPr>
              <w:rPr>
                <w:rFonts w:ascii="宋体"/>
                <w:vanish/>
              </w:rPr>
            </w:pPr>
          </w:p>
        </w:tc>
        <w:tc>
          <w:tcPr>
            <w:tcW w:w="0" w:type="auto"/>
            <w:shd w:val="clear" w:color="auto" w:fill="auto"/>
            <w:vAlign w:val="bottom"/>
          </w:tcPr>
          <w:p w14:paraId="71D4869B" w14:textId="77777777" w:rsidR="006A3667" w:rsidRDefault="006A3667">
            <w:pPr>
              <w:rPr>
                <w:rFonts w:ascii="宋体"/>
                <w:vanish/>
              </w:rPr>
            </w:pPr>
          </w:p>
        </w:tc>
        <w:tc>
          <w:tcPr>
            <w:tcW w:w="0" w:type="auto"/>
            <w:gridSpan w:val="3"/>
            <w:shd w:val="clear" w:color="auto" w:fill="auto"/>
            <w:vAlign w:val="bottom"/>
          </w:tcPr>
          <w:p w14:paraId="71D4869C" w14:textId="77777777" w:rsidR="006A3667" w:rsidRDefault="006A3667">
            <w:pPr>
              <w:rPr>
                <w:rFonts w:ascii="宋体"/>
                <w:vanish/>
              </w:rPr>
            </w:pPr>
          </w:p>
        </w:tc>
        <w:tc>
          <w:tcPr>
            <w:tcW w:w="0" w:type="auto"/>
            <w:gridSpan w:val="3"/>
            <w:shd w:val="clear" w:color="auto" w:fill="auto"/>
            <w:vAlign w:val="bottom"/>
          </w:tcPr>
          <w:p w14:paraId="71D4869D" w14:textId="77777777" w:rsidR="006A3667" w:rsidRDefault="006A3667">
            <w:pPr>
              <w:rPr>
                <w:rFonts w:ascii="宋体"/>
                <w:vanish/>
              </w:rPr>
            </w:pPr>
          </w:p>
        </w:tc>
        <w:tc>
          <w:tcPr>
            <w:tcW w:w="0" w:type="auto"/>
            <w:gridSpan w:val="3"/>
            <w:shd w:val="clear" w:color="auto" w:fill="auto"/>
            <w:vAlign w:val="bottom"/>
          </w:tcPr>
          <w:p w14:paraId="71D4869E" w14:textId="77777777" w:rsidR="006A3667" w:rsidRDefault="006A3667">
            <w:pPr>
              <w:rPr>
                <w:rFonts w:ascii="宋体"/>
                <w:vanish/>
              </w:rPr>
            </w:pPr>
          </w:p>
        </w:tc>
        <w:tc>
          <w:tcPr>
            <w:tcW w:w="0" w:type="auto"/>
            <w:gridSpan w:val="3"/>
            <w:shd w:val="clear" w:color="auto" w:fill="auto"/>
            <w:vAlign w:val="bottom"/>
          </w:tcPr>
          <w:p w14:paraId="71D4869F" w14:textId="77777777" w:rsidR="006A3667" w:rsidRDefault="006A3667">
            <w:pPr>
              <w:rPr>
                <w:rFonts w:ascii="宋体"/>
                <w:vanish/>
              </w:rPr>
            </w:pPr>
          </w:p>
        </w:tc>
        <w:tc>
          <w:tcPr>
            <w:tcW w:w="0" w:type="auto"/>
            <w:gridSpan w:val="3"/>
            <w:shd w:val="clear" w:color="auto" w:fill="auto"/>
            <w:vAlign w:val="bottom"/>
          </w:tcPr>
          <w:p w14:paraId="71D486A0" w14:textId="77777777" w:rsidR="006A3667" w:rsidRDefault="006A3667">
            <w:pPr>
              <w:rPr>
                <w:rFonts w:ascii="宋体"/>
                <w:vanish/>
              </w:rPr>
            </w:pPr>
          </w:p>
        </w:tc>
        <w:tc>
          <w:tcPr>
            <w:tcW w:w="0" w:type="auto"/>
            <w:gridSpan w:val="3"/>
            <w:shd w:val="clear" w:color="auto" w:fill="auto"/>
            <w:vAlign w:val="bottom"/>
          </w:tcPr>
          <w:p w14:paraId="71D486A1" w14:textId="77777777" w:rsidR="006A3667" w:rsidRDefault="006A3667">
            <w:pPr>
              <w:rPr>
                <w:rFonts w:ascii="宋体"/>
                <w:vanish/>
              </w:rPr>
            </w:pPr>
          </w:p>
        </w:tc>
        <w:tc>
          <w:tcPr>
            <w:tcW w:w="0" w:type="auto"/>
            <w:gridSpan w:val="3"/>
            <w:shd w:val="clear" w:color="auto" w:fill="auto"/>
            <w:vAlign w:val="bottom"/>
          </w:tcPr>
          <w:p w14:paraId="71D486A2" w14:textId="77777777" w:rsidR="006A3667" w:rsidRDefault="006A3667">
            <w:pPr>
              <w:rPr>
                <w:rFonts w:ascii="宋体"/>
                <w:vanish/>
              </w:rPr>
            </w:pPr>
          </w:p>
        </w:tc>
        <w:tc>
          <w:tcPr>
            <w:tcW w:w="0" w:type="auto"/>
            <w:gridSpan w:val="3"/>
            <w:shd w:val="clear" w:color="auto" w:fill="auto"/>
            <w:vAlign w:val="bottom"/>
          </w:tcPr>
          <w:p w14:paraId="71D486A3" w14:textId="77777777" w:rsidR="006A3667" w:rsidRDefault="006A3667">
            <w:pPr>
              <w:rPr>
                <w:rFonts w:ascii="宋体"/>
                <w:vanish/>
              </w:rPr>
            </w:pPr>
          </w:p>
        </w:tc>
        <w:tc>
          <w:tcPr>
            <w:tcW w:w="0" w:type="auto"/>
            <w:gridSpan w:val="3"/>
            <w:shd w:val="clear" w:color="auto" w:fill="auto"/>
            <w:vAlign w:val="bottom"/>
          </w:tcPr>
          <w:p w14:paraId="71D486A4" w14:textId="77777777" w:rsidR="006A3667" w:rsidRDefault="006A3667">
            <w:pPr>
              <w:rPr>
                <w:rFonts w:ascii="宋体"/>
                <w:vanish/>
              </w:rPr>
            </w:pPr>
          </w:p>
        </w:tc>
        <w:tc>
          <w:tcPr>
            <w:tcW w:w="0" w:type="auto"/>
            <w:gridSpan w:val="3"/>
            <w:shd w:val="clear" w:color="auto" w:fill="auto"/>
            <w:vAlign w:val="bottom"/>
          </w:tcPr>
          <w:p w14:paraId="71D486A5" w14:textId="77777777" w:rsidR="006A3667" w:rsidRDefault="006A3667">
            <w:pPr>
              <w:rPr>
                <w:rFonts w:ascii="宋体"/>
                <w:vanish/>
              </w:rPr>
            </w:pPr>
          </w:p>
        </w:tc>
        <w:tc>
          <w:tcPr>
            <w:tcW w:w="0" w:type="auto"/>
            <w:gridSpan w:val="3"/>
            <w:shd w:val="clear" w:color="auto" w:fill="auto"/>
            <w:vAlign w:val="bottom"/>
          </w:tcPr>
          <w:p w14:paraId="71D486A6" w14:textId="77777777" w:rsidR="006A3667" w:rsidRDefault="006A3667">
            <w:pPr>
              <w:rPr>
                <w:rFonts w:ascii="宋体"/>
                <w:vanish/>
              </w:rPr>
            </w:pPr>
          </w:p>
        </w:tc>
        <w:tc>
          <w:tcPr>
            <w:tcW w:w="0" w:type="auto"/>
            <w:gridSpan w:val="3"/>
            <w:shd w:val="clear" w:color="auto" w:fill="auto"/>
            <w:vAlign w:val="bottom"/>
          </w:tcPr>
          <w:p w14:paraId="71D486A7" w14:textId="77777777" w:rsidR="006A3667" w:rsidRDefault="006A3667">
            <w:pPr>
              <w:rPr>
                <w:rFonts w:ascii="宋体"/>
                <w:vanish/>
              </w:rPr>
            </w:pPr>
          </w:p>
        </w:tc>
      </w:tr>
      <w:tr w:rsidR="006A3667" w14:paraId="71D486BB" w14:textId="77777777">
        <w:tc>
          <w:tcPr>
            <w:tcW w:w="0" w:type="auto"/>
            <w:gridSpan w:val="3"/>
            <w:shd w:val="clear" w:color="auto" w:fill="auto"/>
            <w:tcMar>
              <w:top w:w="0" w:type="dxa"/>
              <w:left w:w="20" w:type="dxa"/>
              <w:bottom w:w="0" w:type="dxa"/>
              <w:right w:w="20" w:type="dxa"/>
            </w:tcMar>
            <w:vAlign w:val="bottom"/>
          </w:tcPr>
          <w:p w14:paraId="71D486A9" w14:textId="77777777" w:rsidR="006A3667" w:rsidRDefault="006A3667">
            <w:pPr>
              <w:rPr>
                <w:rFonts w:ascii="宋体"/>
              </w:rPr>
            </w:pPr>
          </w:p>
        </w:tc>
        <w:tc>
          <w:tcPr>
            <w:tcW w:w="0" w:type="auto"/>
            <w:shd w:val="clear" w:color="auto" w:fill="auto"/>
            <w:vAlign w:val="bottom"/>
          </w:tcPr>
          <w:p w14:paraId="71D486AA" w14:textId="77777777" w:rsidR="006A3667" w:rsidRDefault="006A3667">
            <w:pPr>
              <w:rPr>
                <w:rFonts w:ascii="宋体"/>
                <w:vanish/>
              </w:rPr>
            </w:pPr>
          </w:p>
        </w:tc>
        <w:tc>
          <w:tcPr>
            <w:tcW w:w="0" w:type="auto"/>
            <w:shd w:val="clear" w:color="auto" w:fill="auto"/>
            <w:vAlign w:val="bottom"/>
          </w:tcPr>
          <w:p w14:paraId="71D486AB" w14:textId="77777777" w:rsidR="006A3667" w:rsidRDefault="006A3667">
            <w:pPr>
              <w:rPr>
                <w:rFonts w:ascii="宋体"/>
                <w:vanish/>
              </w:rPr>
            </w:pPr>
          </w:p>
        </w:tc>
        <w:tc>
          <w:tcPr>
            <w:tcW w:w="0" w:type="auto"/>
            <w:gridSpan w:val="9"/>
            <w:shd w:val="clear" w:color="auto" w:fill="auto"/>
            <w:tcMar>
              <w:top w:w="40" w:type="dxa"/>
              <w:left w:w="20" w:type="dxa"/>
              <w:bottom w:w="40" w:type="dxa"/>
              <w:right w:w="20" w:type="dxa"/>
            </w:tcMar>
            <w:vAlign w:val="bottom"/>
          </w:tcPr>
          <w:p w14:paraId="71D486AC" w14:textId="77777777" w:rsidR="006A3667" w:rsidRDefault="00045F32">
            <w:pPr>
              <w:jc w:val="center"/>
              <w:textAlignment w:val="bottom"/>
            </w:pPr>
            <w:r>
              <w:rPr>
                <w:rFonts w:ascii="Arial" w:eastAsia="宋体" w:hAnsi="Arial" w:cs="Arial"/>
                <w:b/>
                <w:bCs/>
                <w:color w:val="000000"/>
                <w:sz w:val="14"/>
                <w:szCs w:val="14"/>
              </w:rPr>
              <w:t>Three Months Ended September 30, 2021</w:t>
            </w:r>
          </w:p>
        </w:tc>
        <w:tc>
          <w:tcPr>
            <w:tcW w:w="0" w:type="auto"/>
            <w:gridSpan w:val="3"/>
            <w:shd w:val="clear" w:color="auto" w:fill="auto"/>
            <w:tcMar>
              <w:top w:w="0" w:type="dxa"/>
              <w:left w:w="20" w:type="dxa"/>
              <w:bottom w:w="0" w:type="dxa"/>
              <w:right w:w="20" w:type="dxa"/>
            </w:tcMar>
            <w:vAlign w:val="bottom"/>
          </w:tcPr>
          <w:p w14:paraId="71D486AD" w14:textId="77777777" w:rsidR="006A3667" w:rsidRDefault="006A3667">
            <w:pPr>
              <w:rPr>
                <w:rFonts w:ascii="宋体"/>
              </w:rPr>
            </w:pPr>
          </w:p>
        </w:tc>
        <w:tc>
          <w:tcPr>
            <w:tcW w:w="0" w:type="auto"/>
            <w:gridSpan w:val="15"/>
            <w:shd w:val="clear" w:color="auto" w:fill="auto"/>
            <w:tcMar>
              <w:top w:w="40" w:type="dxa"/>
              <w:left w:w="20" w:type="dxa"/>
              <w:bottom w:w="40" w:type="dxa"/>
              <w:right w:w="20" w:type="dxa"/>
            </w:tcMar>
            <w:vAlign w:val="bottom"/>
          </w:tcPr>
          <w:p w14:paraId="71D486AE" w14:textId="77777777" w:rsidR="006A3667" w:rsidRDefault="00045F32">
            <w:pPr>
              <w:jc w:val="center"/>
              <w:textAlignment w:val="bottom"/>
            </w:pPr>
            <w:r>
              <w:rPr>
                <w:rFonts w:ascii="Arial" w:eastAsia="宋体" w:hAnsi="Arial" w:cs="Arial"/>
                <w:b/>
                <w:bCs/>
                <w:color w:val="000000"/>
                <w:sz w:val="14"/>
                <w:szCs w:val="14"/>
              </w:rPr>
              <w:t>Nine Months Ended September 30, 2021</w:t>
            </w:r>
          </w:p>
        </w:tc>
        <w:tc>
          <w:tcPr>
            <w:tcW w:w="0" w:type="auto"/>
            <w:shd w:val="clear" w:color="auto" w:fill="auto"/>
            <w:vAlign w:val="bottom"/>
          </w:tcPr>
          <w:p w14:paraId="71D486AF" w14:textId="77777777" w:rsidR="006A3667" w:rsidRDefault="006A3667">
            <w:pPr>
              <w:rPr>
                <w:rFonts w:ascii="宋体"/>
              </w:rPr>
            </w:pPr>
          </w:p>
        </w:tc>
        <w:tc>
          <w:tcPr>
            <w:tcW w:w="0" w:type="auto"/>
            <w:shd w:val="clear" w:color="auto" w:fill="auto"/>
            <w:vAlign w:val="bottom"/>
          </w:tcPr>
          <w:p w14:paraId="71D486B0" w14:textId="77777777" w:rsidR="006A3667" w:rsidRDefault="006A3667">
            <w:pPr>
              <w:rPr>
                <w:rFonts w:ascii="宋体"/>
              </w:rPr>
            </w:pPr>
          </w:p>
        </w:tc>
        <w:tc>
          <w:tcPr>
            <w:tcW w:w="0" w:type="auto"/>
            <w:shd w:val="clear" w:color="auto" w:fill="auto"/>
            <w:vAlign w:val="bottom"/>
          </w:tcPr>
          <w:p w14:paraId="71D486B1" w14:textId="77777777" w:rsidR="006A3667" w:rsidRDefault="006A3667">
            <w:pPr>
              <w:rPr>
                <w:rFonts w:ascii="宋体"/>
              </w:rPr>
            </w:pPr>
          </w:p>
        </w:tc>
        <w:tc>
          <w:tcPr>
            <w:tcW w:w="0" w:type="auto"/>
            <w:shd w:val="clear" w:color="auto" w:fill="auto"/>
            <w:vAlign w:val="bottom"/>
          </w:tcPr>
          <w:p w14:paraId="71D486B2" w14:textId="77777777" w:rsidR="006A3667" w:rsidRDefault="006A3667">
            <w:pPr>
              <w:rPr>
                <w:rFonts w:ascii="宋体"/>
              </w:rPr>
            </w:pPr>
          </w:p>
        </w:tc>
        <w:tc>
          <w:tcPr>
            <w:tcW w:w="0" w:type="auto"/>
            <w:shd w:val="clear" w:color="auto" w:fill="auto"/>
            <w:vAlign w:val="bottom"/>
          </w:tcPr>
          <w:p w14:paraId="71D486B3" w14:textId="77777777" w:rsidR="006A3667" w:rsidRDefault="006A3667">
            <w:pPr>
              <w:rPr>
                <w:rFonts w:ascii="宋体"/>
              </w:rPr>
            </w:pPr>
          </w:p>
        </w:tc>
        <w:tc>
          <w:tcPr>
            <w:tcW w:w="0" w:type="auto"/>
            <w:shd w:val="clear" w:color="auto" w:fill="auto"/>
            <w:vAlign w:val="bottom"/>
          </w:tcPr>
          <w:p w14:paraId="71D486B4" w14:textId="77777777" w:rsidR="006A3667" w:rsidRDefault="006A3667">
            <w:pPr>
              <w:rPr>
                <w:rFonts w:ascii="宋体"/>
              </w:rPr>
            </w:pPr>
          </w:p>
        </w:tc>
        <w:tc>
          <w:tcPr>
            <w:tcW w:w="0" w:type="auto"/>
            <w:shd w:val="clear" w:color="auto" w:fill="auto"/>
            <w:vAlign w:val="bottom"/>
          </w:tcPr>
          <w:p w14:paraId="71D486B5" w14:textId="77777777" w:rsidR="006A3667" w:rsidRDefault="006A3667">
            <w:pPr>
              <w:rPr>
                <w:rFonts w:ascii="宋体"/>
              </w:rPr>
            </w:pPr>
          </w:p>
        </w:tc>
        <w:tc>
          <w:tcPr>
            <w:tcW w:w="0" w:type="auto"/>
            <w:shd w:val="clear" w:color="auto" w:fill="auto"/>
            <w:vAlign w:val="bottom"/>
          </w:tcPr>
          <w:p w14:paraId="71D486B6" w14:textId="77777777" w:rsidR="006A3667" w:rsidRDefault="006A3667">
            <w:pPr>
              <w:rPr>
                <w:rFonts w:ascii="宋体"/>
              </w:rPr>
            </w:pPr>
          </w:p>
        </w:tc>
        <w:tc>
          <w:tcPr>
            <w:tcW w:w="0" w:type="auto"/>
            <w:shd w:val="clear" w:color="auto" w:fill="auto"/>
            <w:vAlign w:val="bottom"/>
          </w:tcPr>
          <w:p w14:paraId="71D486B7" w14:textId="77777777" w:rsidR="006A3667" w:rsidRDefault="006A3667">
            <w:pPr>
              <w:rPr>
                <w:rFonts w:ascii="宋体"/>
              </w:rPr>
            </w:pPr>
          </w:p>
        </w:tc>
        <w:tc>
          <w:tcPr>
            <w:tcW w:w="0" w:type="auto"/>
            <w:shd w:val="clear" w:color="auto" w:fill="auto"/>
            <w:vAlign w:val="bottom"/>
          </w:tcPr>
          <w:p w14:paraId="71D486B8" w14:textId="77777777" w:rsidR="006A3667" w:rsidRDefault="006A3667">
            <w:pPr>
              <w:rPr>
                <w:rFonts w:ascii="宋体"/>
              </w:rPr>
            </w:pPr>
          </w:p>
        </w:tc>
        <w:tc>
          <w:tcPr>
            <w:tcW w:w="0" w:type="auto"/>
            <w:shd w:val="clear" w:color="auto" w:fill="auto"/>
            <w:vAlign w:val="bottom"/>
          </w:tcPr>
          <w:p w14:paraId="71D486B9" w14:textId="77777777" w:rsidR="006A3667" w:rsidRDefault="006A3667">
            <w:pPr>
              <w:rPr>
                <w:rFonts w:ascii="宋体"/>
              </w:rPr>
            </w:pPr>
          </w:p>
        </w:tc>
        <w:tc>
          <w:tcPr>
            <w:tcW w:w="0" w:type="auto"/>
            <w:shd w:val="clear" w:color="auto" w:fill="auto"/>
            <w:vAlign w:val="bottom"/>
          </w:tcPr>
          <w:p w14:paraId="71D486BA" w14:textId="77777777" w:rsidR="006A3667" w:rsidRDefault="006A3667">
            <w:pPr>
              <w:rPr>
                <w:rFonts w:ascii="宋体"/>
              </w:rPr>
            </w:pPr>
          </w:p>
        </w:tc>
      </w:tr>
      <w:tr w:rsidR="006A3667" w14:paraId="71D486CE" w14:textId="77777777">
        <w:tc>
          <w:tcPr>
            <w:tcW w:w="0" w:type="auto"/>
            <w:gridSpan w:val="3"/>
            <w:shd w:val="clear" w:color="auto" w:fill="FFFFFF"/>
            <w:tcMar>
              <w:top w:w="0" w:type="dxa"/>
              <w:left w:w="20" w:type="dxa"/>
              <w:bottom w:w="0" w:type="dxa"/>
              <w:right w:w="20" w:type="dxa"/>
            </w:tcMar>
            <w:vAlign w:val="bottom"/>
          </w:tcPr>
          <w:p w14:paraId="71D486BC" w14:textId="77777777" w:rsidR="006A3667" w:rsidRDefault="006A3667">
            <w:pPr>
              <w:rPr>
                <w:rFonts w:ascii="宋体"/>
              </w:rPr>
            </w:pPr>
          </w:p>
        </w:tc>
        <w:tc>
          <w:tcPr>
            <w:tcW w:w="0" w:type="auto"/>
            <w:shd w:val="clear" w:color="auto" w:fill="auto"/>
            <w:vAlign w:val="bottom"/>
          </w:tcPr>
          <w:p w14:paraId="71D486BD" w14:textId="77777777" w:rsidR="006A3667" w:rsidRDefault="006A3667">
            <w:pPr>
              <w:rPr>
                <w:rFonts w:ascii="宋体"/>
                <w:vanish/>
              </w:rPr>
            </w:pPr>
          </w:p>
        </w:tc>
        <w:tc>
          <w:tcPr>
            <w:tcW w:w="0" w:type="auto"/>
            <w:shd w:val="clear" w:color="auto" w:fill="auto"/>
            <w:vAlign w:val="bottom"/>
          </w:tcPr>
          <w:p w14:paraId="71D486BE" w14:textId="77777777" w:rsidR="006A3667" w:rsidRDefault="006A3667">
            <w:pPr>
              <w:rPr>
                <w:rFonts w:ascii="宋体"/>
                <w:vanish/>
              </w:rPr>
            </w:pPr>
          </w:p>
        </w:tc>
        <w:tc>
          <w:tcPr>
            <w:tcW w:w="0" w:type="auto"/>
            <w:shd w:val="clear" w:color="auto" w:fill="auto"/>
            <w:vAlign w:val="bottom"/>
          </w:tcPr>
          <w:p w14:paraId="71D486BF" w14:textId="77777777" w:rsidR="006A3667" w:rsidRDefault="006A3667">
            <w:pPr>
              <w:rPr>
                <w:rFonts w:ascii="宋体"/>
                <w:vanish/>
              </w:rPr>
            </w:pPr>
          </w:p>
        </w:tc>
        <w:tc>
          <w:tcPr>
            <w:tcW w:w="0" w:type="auto"/>
            <w:shd w:val="clear" w:color="auto" w:fill="auto"/>
            <w:vAlign w:val="bottom"/>
          </w:tcPr>
          <w:p w14:paraId="71D486C0" w14:textId="77777777" w:rsidR="006A3667" w:rsidRDefault="006A3667">
            <w:pPr>
              <w:rPr>
                <w:rFonts w:ascii="宋体"/>
                <w:vanish/>
              </w:rPr>
            </w:pPr>
          </w:p>
        </w:tc>
        <w:tc>
          <w:tcPr>
            <w:tcW w:w="0" w:type="auto"/>
            <w:shd w:val="clear" w:color="auto" w:fill="auto"/>
            <w:vAlign w:val="bottom"/>
          </w:tcPr>
          <w:p w14:paraId="71D486C1" w14:textId="77777777" w:rsidR="006A3667" w:rsidRDefault="006A3667">
            <w:pPr>
              <w:rPr>
                <w:rFonts w:ascii="宋体"/>
                <w:vanish/>
              </w:rPr>
            </w:pPr>
          </w:p>
        </w:tc>
        <w:tc>
          <w:tcPr>
            <w:tcW w:w="0" w:type="auto"/>
            <w:gridSpan w:val="3"/>
            <w:shd w:val="clear" w:color="auto" w:fill="auto"/>
            <w:vAlign w:val="bottom"/>
          </w:tcPr>
          <w:p w14:paraId="71D486C2" w14:textId="77777777" w:rsidR="006A3667" w:rsidRDefault="006A3667">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86C3" w14:textId="77777777" w:rsidR="006A3667" w:rsidRDefault="00045F32">
            <w:pP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86C4"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86C5" w14:textId="77777777" w:rsidR="006A3667" w:rsidRDefault="00045F32">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86C6"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86C7" w14:textId="77777777" w:rsidR="006A3667" w:rsidRDefault="00045F32">
            <w:pP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FFFFFF"/>
            <w:tcMar>
              <w:top w:w="0" w:type="dxa"/>
              <w:left w:w="20" w:type="dxa"/>
              <w:bottom w:w="0" w:type="dxa"/>
              <w:right w:w="20" w:type="dxa"/>
            </w:tcMar>
            <w:vAlign w:val="bottom"/>
          </w:tcPr>
          <w:p w14:paraId="71D486C8"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86C9" w14:textId="77777777" w:rsidR="006A3667" w:rsidRDefault="00045F32">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86CA"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86CB" w14:textId="77777777" w:rsidR="006A3667" w:rsidRDefault="00045F32">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86CC"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86CD" w14:textId="77777777" w:rsidR="006A3667" w:rsidRDefault="00045F32">
            <w:pPr>
              <w:jc w:val="center"/>
              <w:textAlignment w:val="bottom"/>
            </w:pPr>
            <w:r>
              <w:rPr>
                <w:rFonts w:ascii="Arial" w:eastAsia="宋体" w:hAnsi="Arial" w:cs="Arial"/>
                <w:b/>
                <w:bCs/>
                <w:color w:val="000000"/>
                <w:sz w:val="14"/>
                <w:szCs w:val="14"/>
              </w:rPr>
              <w:t>Total Acquired (In millions)</w:t>
            </w:r>
          </w:p>
        </w:tc>
      </w:tr>
      <w:tr w:rsidR="006A3667" w14:paraId="71D486EB" w14:textId="77777777">
        <w:tc>
          <w:tcPr>
            <w:tcW w:w="0" w:type="auto"/>
            <w:gridSpan w:val="3"/>
            <w:shd w:val="clear" w:color="auto" w:fill="CCEEFF"/>
            <w:tcMar>
              <w:top w:w="0" w:type="dxa"/>
              <w:left w:w="20" w:type="dxa"/>
              <w:bottom w:w="0" w:type="dxa"/>
              <w:right w:w="20" w:type="dxa"/>
            </w:tcMar>
            <w:vAlign w:val="bottom"/>
          </w:tcPr>
          <w:p w14:paraId="71D486CF" w14:textId="77777777" w:rsidR="006A3667" w:rsidRDefault="006A3667">
            <w:pPr>
              <w:rPr>
                <w:rFonts w:ascii="宋体"/>
              </w:rPr>
            </w:pPr>
          </w:p>
        </w:tc>
        <w:tc>
          <w:tcPr>
            <w:tcW w:w="0" w:type="auto"/>
            <w:shd w:val="clear" w:color="auto" w:fill="auto"/>
            <w:vAlign w:val="bottom"/>
          </w:tcPr>
          <w:p w14:paraId="71D486D0" w14:textId="77777777" w:rsidR="006A3667" w:rsidRDefault="006A3667">
            <w:pPr>
              <w:rPr>
                <w:rFonts w:ascii="宋体"/>
                <w:vanish/>
              </w:rPr>
            </w:pPr>
          </w:p>
        </w:tc>
        <w:tc>
          <w:tcPr>
            <w:tcW w:w="0" w:type="auto"/>
            <w:shd w:val="clear" w:color="auto" w:fill="auto"/>
            <w:vAlign w:val="bottom"/>
          </w:tcPr>
          <w:p w14:paraId="71D486D1" w14:textId="77777777" w:rsidR="006A3667" w:rsidRDefault="006A3667">
            <w:pPr>
              <w:rPr>
                <w:rFonts w:ascii="宋体"/>
                <w:vanish/>
              </w:rPr>
            </w:pPr>
          </w:p>
        </w:tc>
        <w:tc>
          <w:tcPr>
            <w:tcW w:w="0" w:type="auto"/>
            <w:shd w:val="clear" w:color="auto" w:fill="auto"/>
            <w:vAlign w:val="bottom"/>
          </w:tcPr>
          <w:p w14:paraId="71D486D2" w14:textId="77777777" w:rsidR="006A3667" w:rsidRDefault="006A3667">
            <w:pPr>
              <w:rPr>
                <w:rFonts w:ascii="宋体"/>
                <w:vanish/>
              </w:rPr>
            </w:pPr>
          </w:p>
        </w:tc>
        <w:tc>
          <w:tcPr>
            <w:tcW w:w="0" w:type="auto"/>
            <w:shd w:val="clear" w:color="auto" w:fill="auto"/>
            <w:vAlign w:val="bottom"/>
          </w:tcPr>
          <w:p w14:paraId="71D486D3" w14:textId="77777777" w:rsidR="006A3667" w:rsidRDefault="006A3667">
            <w:pPr>
              <w:rPr>
                <w:rFonts w:ascii="宋体"/>
                <w:vanish/>
              </w:rPr>
            </w:pPr>
          </w:p>
        </w:tc>
        <w:tc>
          <w:tcPr>
            <w:tcW w:w="0" w:type="auto"/>
            <w:shd w:val="clear" w:color="auto" w:fill="auto"/>
            <w:vAlign w:val="bottom"/>
          </w:tcPr>
          <w:p w14:paraId="71D486D4" w14:textId="77777777" w:rsidR="006A3667" w:rsidRDefault="006A3667">
            <w:pPr>
              <w:rPr>
                <w:rFonts w:ascii="宋体"/>
                <w:vanish/>
              </w:rPr>
            </w:pPr>
          </w:p>
        </w:tc>
        <w:tc>
          <w:tcPr>
            <w:tcW w:w="0" w:type="auto"/>
            <w:gridSpan w:val="3"/>
            <w:shd w:val="clear" w:color="auto" w:fill="auto"/>
            <w:vAlign w:val="bottom"/>
          </w:tcPr>
          <w:p w14:paraId="71D486D5"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6D6"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6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6D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6D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6DA"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6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6D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6D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6DE"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6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6E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6E1" w14:textId="77777777" w:rsidR="006A3667" w:rsidRDefault="00045F32">
            <w:pPr>
              <w:jc w:val="right"/>
              <w:textAlignment w:val="bottom"/>
            </w:pPr>
            <w:r>
              <w:rPr>
                <w:rFonts w:ascii="Arial" w:eastAsia="宋体" w:hAnsi="Arial" w:cs="Arial"/>
                <w:color w:val="000000"/>
                <w:sz w:val="14"/>
                <w:szCs w:val="14"/>
              </w:rPr>
              <w:t>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6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6E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6E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6E5" w14:textId="77777777" w:rsidR="006A3667" w:rsidRDefault="00045F32">
            <w:pPr>
              <w:jc w:val="right"/>
              <w:textAlignment w:val="bottom"/>
            </w:pPr>
            <w:r>
              <w:rPr>
                <w:rFonts w:ascii="Arial" w:eastAsia="宋体" w:hAnsi="Arial" w:cs="Arial"/>
                <w:color w:val="000000"/>
                <w:sz w:val="14"/>
                <w:szCs w:val="14"/>
              </w:rPr>
              <w:t>80.00 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6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6E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6E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6E9" w14:textId="77777777" w:rsidR="006A3667" w:rsidRDefault="00045F32">
            <w:pPr>
              <w:jc w:val="right"/>
              <w:textAlignment w:val="bottom"/>
            </w:pPr>
            <w:r>
              <w:rPr>
                <w:rFonts w:ascii="Arial" w:eastAsia="宋体" w:hAnsi="Arial" w:cs="Arial"/>
                <w:color w:val="000000"/>
                <w:sz w:val="14"/>
                <w:szCs w:val="14"/>
              </w:rPr>
              <w:t>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6EA" w14:textId="77777777" w:rsidR="006A3667" w:rsidRDefault="006A3667">
            <w:pPr>
              <w:jc w:val="right"/>
              <w:rPr>
                <w:rFonts w:ascii="宋体"/>
              </w:rPr>
            </w:pPr>
          </w:p>
        </w:tc>
      </w:tr>
      <w:tr w:rsidR="006A3667" w14:paraId="71D486FE" w14:textId="77777777">
        <w:trPr>
          <w:hidden/>
        </w:trPr>
        <w:tc>
          <w:tcPr>
            <w:tcW w:w="0" w:type="auto"/>
            <w:gridSpan w:val="3"/>
            <w:shd w:val="clear" w:color="auto" w:fill="auto"/>
            <w:vAlign w:val="bottom"/>
          </w:tcPr>
          <w:p w14:paraId="71D486EC" w14:textId="77777777" w:rsidR="006A3667" w:rsidRDefault="006A3667">
            <w:pPr>
              <w:rPr>
                <w:rFonts w:ascii="宋体"/>
                <w:vanish/>
              </w:rPr>
            </w:pPr>
          </w:p>
        </w:tc>
        <w:tc>
          <w:tcPr>
            <w:tcW w:w="0" w:type="auto"/>
            <w:shd w:val="clear" w:color="auto" w:fill="auto"/>
            <w:vAlign w:val="bottom"/>
          </w:tcPr>
          <w:p w14:paraId="71D486ED" w14:textId="77777777" w:rsidR="006A3667" w:rsidRDefault="006A3667">
            <w:pPr>
              <w:rPr>
                <w:rFonts w:ascii="宋体"/>
                <w:vanish/>
              </w:rPr>
            </w:pPr>
          </w:p>
        </w:tc>
        <w:tc>
          <w:tcPr>
            <w:tcW w:w="0" w:type="auto"/>
            <w:shd w:val="clear" w:color="auto" w:fill="auto"/>
            <w:vAlign w:val="bottom"/>
          </w:tcPr>
          <w:p w14:paraId="71D486EE" w14:textId="77777777" w:rsidR="006A3667" w:rsidRDefault="006A3667">
            <w:pPr>
              <w:rPr>
                <w:rFonts w:ascii="宋体"/>
                <w:vanish/>
              </w:rPr>
            </w:pPr>
          </w:p>
        </w:tc>
        <w:tc>
          <w:tcPr>
            <w:tcW w:w="0" w:type="auto"/>
            <w:shd w:val="clear" w:color="auto" w:fill="auto"/>
            <w:vAlign w:val="bottom"/>
          </w:tcPr>
          <w:p w14:paraId="71D486EF" w14:textId="77777777" w:rsidR="006A3667" w:rsidRDefault="006A3667">
            <w:pPr>
              <w:rPr>
                <w:rFonts w:ascii="宋体"/>
                <w:vanish/>
              </w:rPr>
            </w:pPr>
          </w:p>
        </w:tc>
        <w:tc>
          <w:tcPr>
            <w:tcW w:w="0" w:type="auto"/>
            <w:shd w:val="clear" w:color="auto" w:fill="auto"/>
            <w:vAlign w:val="bottom"/>
          </w:tcPr>
          <w:p w14:paraId="71D486F0" w14:textId="77777777" w:rsidR="006A3667" w:rsidRDefault="006A3667">
            <w:pPr>
              <w:rPr>
                <w:rFonts w:ascii="宋体"/>
                <w:vanish/>
              </w:rPr>
            </w:pPr>
          </w:p>
        </w:tc>
        <w:tc>
          <w:tcPr>
            <w:tcW w:w="0" w:type="auto"/>
            <w:shd w:val="clear" w:color="auto" w:fill="auto"/>
            <w:vAlign w:val="bottom"/>
          </w:tcPr>
          <w:p w14:paraId="71D486F1" w14:textId="77777777" w:rsidR="006A3667" w:rsidRDefault="006A3667">
            <w:pPr>
              <w:rPr>
                <w:rFonts w:ascii="宋体"/>
                <w:vanish/>
              </w:rPr>
            </w:pPr>
          </w:p>
        </w:tc>
        <w:tc>
          <w:tcPr>
            <w:tcW w:w="0" w:type="auto"/>
            <w:gridSpan w:val="3"/>
            <w:shd w:val="clear" w:color="auto" w:fill="auto"/>
            <w:vAlign w:val="bottom"/>
          </w:tcPr>
          <w:p w14:paraId="71D486F2" w14:textId="77777777" w:rsidR="006A3667" w:rsidRDefault="006A3667">
            <w:pPr>
              <w:rPr>
                <w:rFonts w:ascii="宋体"/>
                <w:vanish/>
              </w:rPr>
            </w:pPr>
          </w:p>
        </w:tc>
        <w:tc>
          <w:tcPr>
            <w:tcW w:w="0" w:type="auto"/>
            <w:gridSpan w:val="3"/>
            <w:shd w:val="clear" w:color="auto" w:fill="auto"/>
            <w:vAlign w:val="bottom"/>
          </w:tcPr>
          <w:p w14:paraId="71D486F3" w14:textId="77777777" w:rsidR="006A3667" w:rsidRDefault="006A3667">
            <w:pPr>
              <w:rPr>
                <w:rFonts w:ascii="宋体"/>
                <w:vanish/>
              </w:rPr>
            </w:pPr>
          </w:p>
        </w:tc>
        <w:tc>
          <w:tcPr>
            <w:tcW w:w="0" w:type="auto"/>
            <w:gridSpan w:val="3"/>
            <w:shd w:val="clear" w:color="auto" w:fill="auto"/>
            <w:vAlign w:val="bottom"/>
          </w:tcPr>
          <w:p w14:paraId="71D486F4" w14:textId="77777777" w:rsidR="006A3667" w:rsidRDefault="006A3667">
            <w:pPr>
              <w:rPr>
                <w:rFonts w:ascii="宋体"/>
                <w:vanish/>
              </w:rPr>
            </w:pPr>
          </w:p>
        </w:tc>
        <w:tc>
          <w:tcPr>
            <w:tcW w:w="0" w:type="auto"/>
            <w:gridSpan w:val="3"/>
            <w:shd w:val="clear" w:color="auto" w:fill="auto"/>
            <w:vAlign w:val="bottom"/>
          </w:tcPr>
          <w:p w14:paraId="71D486F5" w14:textId="77777777" w:rsidR="006A3667" w:rsidRDefault="006A3667">
            <w:pPr>
              <w:rPr>
                <w:rFonts w:ascii="宋体"/>
                <w:vanish/>
              </w:rPr>
            </w:pPr>
          </w:p>
        </w:tc>
        <w:tc>
          <w:tcPr>
            <w:tcW w:w="0" w:type="auto"/>
            <w:gridSpan w:val="3"/>
            <w:shd w:val="clear" w:color="auto" w:fill="auto"/>
            <w:vAlign w:val="bottom"/>
          </w:tcPr>
          <w:p w14:paraId="71D486F6" w14:textId="77777777" w:rsidR="006A3667" w:rsidRDefault="006A3667">
            <w:pPr>
              <w:rPr>
                <w:rFonts w:ascii="宋体"/>
                <w:vanish/>
              </w:rPr>
            </w:pPr>
          </w:p>
        </w:tc>
        <w:tc>
          <w:tcPr>
            <w:tcW w:w="0" w:type="auto"/>
            <w:gridSpan w:val="3"/>
            <w:shd w:val="clear" w:color="auto" w:fill="auto"/>
            <w:vAlign w:val="bottom"/>
          </w:tcPr>
          <w:p w14:paraId="71D486F7" w14:textId="77777777" w:rsidR="006A3667" w:rsidRDefault="006A3667">
            <w:pPr>
              <w:rPr>
                <w:rFonts w:ascii="宋体"/>
                <w:vanish/>
              </w:rPr>
            </w:pPr>
          </w:p>
        </w:tc>
        <w:tc>
          <w:tcPr>
            <w:tcW w:w="0" w:type="auto"/>
            <w:gridSpan w:val="3"/>
            <w:shd w:val="clear" w:color="auto" w:fill="auto"/>
            <w:vAlign w:val="bottom"/>
          </w:tcPr>
          <w:p w14:paraId="71D486F8" w14:textId="77777777" w:rsidR="006A3667" w:rsidRDefault="006A3667">
            <w:pPr>
              <w:rPr>
                <w:rFonts w:ascii="宋体"/>
                <w:vanish/>
              </w:rPr>
            </w:pPr>
          </w:p>
        </w:tc>
        <w:tc>
          <w:tcPr>
            <w:tcW w:w="0" w:type="auto"/>
            <w:gridSpan w:val="3"/>
            <w:shd w:val="clear" w:color="auto" w:fill="auto"/>
            <w:vAlign w:val="bottom"/>
          </w:tcPr>
          <w:p w14:paraId="71D486F9" w14:textId="77777777" w:rsidR="006A3667" w:rsidRDefault="006A3667">
            <w:pPr>
              <w:rPr>
                <w:rFonts w:ascii="宋体"/>
                <w:vanish/>
              </w:rPr>
            </w:pPr>
          </w:p>
        </w:tc>
        <w:tc>
          <w:tcPr>
            <w:tcW w:w="0" w:type="auto"/>
            <w:gridSpan w:val="3"/>
            <w:shd w:val="clear" w:color="auto" w:fill="auto"/>
            <w:vAlign w:val="bottom"/>
          </w:tcPr>
          <w:p w14:paraId="71D486FA" w14:textId="77777777" w:rsidR="006A3667" w:rsidRDefault="006A3667">
            <w:pPr>
              <w:rPr>
                <w:rFonts w:ascii="宋体"/>
                <w:vanish/>
              </w:rPr>
            </w:pPr>
          </w:p>
        </w:tc>
        <w:tc>
          <w:tcPr>
            <w:tcW w:w="0" w:type="auto"/>
            <w:gridSpan w:val="3"/>
            <w:shd w:val="clear" w:color="auto" w:fill="auto"/>
            <w:vAlign w:val="bottom"/>
          </w:tcPr>
          <w:p w14:paraId="71D486FB" w14:textId="77777777" w:rsidR="006A3667" w:rsidRDefault="006A3667">
            <w:pPr>
              <w:rPr>
                <w:rFonts w:ascii="宋体"/>
                <w:vanish/>
              </w:rPr>
            </w:pPr>
          </w:p>
        </w:tc>
        <w:tc>
          <w:tcPr>
            <w:tcW w:w="0" w:type="auto"/>
            <w:gridSpan w:val="3"/>
            <w:shd w:val="clear" w:color="auto" w:fill="auto"/>
            <w:vAlign w:val="bottom"/>
          </w:tcPr>
          <w:p w14:paraId="71D486FC" w14:textId="77777777" w:rsidR="006A3667" w:rsidRDefault="006A3667">
            <w:pPr>
              <w:rPr>
                <w:rFonts w:ascii="宋体"/>
                <w:vanish/>
              </w:rPr>
            </w:pPr>
          </w:p>
        </w:tc>
        <w:tc>
          <w:tcPr>
            <w:tcW w:w="0" w:type="auto"/>
            <w:gridSpan w:val="3"/>
            <w:shd w:val="clear" w:color="auto" w:fill="auto"/>
            <w:vAlign w:val="bottom"/>
          </w:tcPr>
          <w:p w14:paraId="71D486FD" w14:textId="77777777" w:rsidR="006A3667" w:rsidRDefault="006A3667">
            <w:pPr>
              <w:rPr>
                <w:rFonts w:ascii="宋体"/>
                <w:vanish/>
              </w:rPr>
            </w:pPr>
          </w:p>
        </w:tc>
      </w:tr>
      <w:tr w:rsidR="006A3667" w14:paraId="71D48711" w14:textId="77777777">
        <w:trPr>
          <w:hidden/>
        </w:trPr>
        <w:tc>
          <w:tcPr>
            <w:tcW w:w="0" w:type="auto"/>
            <w:gridSpan w:val="3"/>
            <w:shd w:val="clear" w:color="auto" w:fill="auto"/>
            <w:vAlign w:val="bottom"/>
          </w:tcPr>
          <w:p w14:paraId="71D486FF" w14:textId="77777777" w:rsidR="006A3667" w:rsidRDefault="006A3667">
            <w:pPr>
              <w:rPr>
                <w:rFonts w:ascii="宋体"/>
                <w:vanish/>
              </w:rPr>
            </w:pPr>
          </w:p>
        </w:tc>
        <w:tc>
          <w:tcPr>
            <w:tcW w:w="0" w:type="auto"/>
            <w:shd w:val="clear" w:color="auto" w:fill="auto"/>
            <w:vAlign w:val="bottom"/>
          </w:tcPr>
          <w:p w14:paraId="71D48700" w14:textId="77777777" w:rsidR="006A3667" w:rsidRDefault="006A3667">
            <w:pPr>
              <w:rPr>
                <w:rFonts w:ascii="宋体"/>
                <w:vanish/>
              </w:rPr>
            </w:pPr>
          </w:p>
        </w:tc>
        <w:tc>
          <w:tcPr>
            <w:tcW w:w="0" w:type="auto"/>
            <w:shd w:val="clear" w:color="auto" w:fill="auto"/>
            <w:vAlign w:val="bottom"/>
          </w:tcPr>
          <w:p w14:paraId="71D48701" w14:textId="77777777" w:rsidR="006A3667" w:rsidRDefault="006A3667">
            <w:pPr>
              <w:rPr>
                <w:rFonts w:ascii="宋体"/>
                <w:vanish/>
              </w:rPr>
            </w:pPr>
          </w:p>
        </w:tc>
        <w:tc>
          <w:tcPr>
            <w:tcW w:w="0" w:type="auto"/>
            <w:shd w:val="clear" w:color="auto" w:fill="auto"/>
            <w:vAlign w:val="bottom"/>
          </w:tcPr>
          <w:p w14:paraId="71D48702" w14:textId="77777777" w:rsidR="006A3667" w:rsidRDefault="006A3667">
            <w:pPr>
              <w:rPr>
                <w:rFonts w:ascii="宋体"/>
                <w:vanish/>
              </w:rPr>
            </w:pPr>
          </w:p>
        </w:tc>
        <w:tc>
          <w:tcPr>
            <w:tcW w:w="0" w:type="auto"/>
            <w:shd w:val="clear" w:color="auto" w:fill="auto"/>
            <w:vAlign w:val="bottom"/>
          </w:tcPr>
          <w:p w14:paraId="71D48703" w14:textId="77777777" w:rsidR="006A3667" w:rsidRDefault="006A3667">
            <w:pPr>
              <w:rPr>
                <w:rFonts w:ascii="宋体"/>
                <w:vanish/>
              </w:rPr>
            </w:pPr>
          </w:p>
        </w:tc>
        <w:tc>
          <w:tcPr>
            <w:tcW w:w="0" w:type="auto"/>
            <w:shd w:val="clear" w:color="auto" w:fill="auto"/>
            <w:vAlign w:val="bottom"/>
          </w:tcPr>
          <w:p w14:paraId="71D48704" w14:textId="77777777" w:rsidR="006A3667" w:rsidRDefault="006A3667">
            <w:pPr>
              <w:rPr>
                <w:rFonts w:ascii="宋体"/>
                <w:vanish/>
              </w:rPr>
            </w:pPr>
          </w:p>
        </w:tc>
        <w:tc>
          <w:tcPr>
            <w:tcW w:w="0" w:type="auto"/>
            <w:gridSpan w:val="3"/>
            <w:shd w:val="clear" w:color="auto" w:fill="auto"/>
            <w:vAlign w:val="bottom"/>
          </w:tcPr>
          <w:p w14:paraId="71D48705" w14:textId="77777777" w:rsidR="006A3667" w:rsidRDefault="006A3667">
            <w:pPr>
              <w:rPr>
                <w:rFonts w:ascii="宋体"/>
                <w:vanish/>
              </w:rPr>
            </w:pPr>
          </w:p>
        </w:tc>
        <w:tc>
          <w:tcPr>
            <w:tcW w:w="0" w:type="auto"/>
            <w:gridSpan w:val="3"/>
            <w:shd w:val="clear" w:color="auto" w:fill="auto"/>
            <w:vAlign w:val="bottom"/>
          </w:tcPr>
          <w:p w14:paraId="71D48706" w14:textId="77777777" w:rsidR="006A3667" w:rsidRDefault="006A3667">
            <w:pPr>
              <w:rPr>
                <w:rFonts w:ascii="宋体"/>
                <w:vanish/>
              </w:rPr>
            </w:pPr>
          </w:p>
        </w:tc>
        <w:tc>
          <w:tcPr>
            <w:tcW w:w="0" w:type="auto"/>
            <w:gridSpan w:val="3"/>
            <w:shd w:val="clear" w:color="auto" w:fill="auto"/>
            <w:vAlign w:val="bottom"/>
          </w:tcPr>
          <w:p w14:paraId="71D48707" w14:textId="77777777" w:rsidR="006A3667" w:rsidRDefault="006A3667">
            <w:pPr>
              <w:rPr>
                <w:rFonts w:ascii="宋体"/>
                <w:vanish/>
              </w:rPr>
            </w:pPr>
          </w:p>
        </w:tc>
        <w:tc>
          <w:tcPr>
            <w:tcW w:w="0" w:type="auto"/>
            <w:gridSpan w:val="3"/>
            <w:shd w:val="clear" w:color="auto" w:fill="auto"/>
            <w:vAlign w:val="bottom"/>
          </w:tcPr>
          <w:p w14:paraId="71D48708" w14:textId="77777777" w:rsidR="006A3667" w:rsidRDefault="006A3667">
            <w:pPr>
              <w:rPr>
                <w:rFonts w:ascii="宋体"/>
                <w:vanish/>
              </w:rPr>
            </w:pPr>
          </w:p>
        </w:tc>
        <w:tc>
          <w:tcPr>
            <w:tcW w:w="0" w:type="auto"/>
            <w:gridSpan w:val="3"/>
            <w:shd w:val="clear" w:color="auto" w:fill="auto"/>
            <w:vAlign w:val="bottom"/>
          </w:tcPr>
          <w:p w14:paraId="71D48709" w14:textId="77777777" w:rsidR="006A3667" w:rsidRDefault="006A3667">
            <w:pPr>
              <w:rPr>
                <w:rFonts w:ascii="宋体"/>
                <w:vanish/>
              </w:rPr>
            </w:pPr>
          </w:p>
        </w:tc>
        <w:tc>
          <w:tcPr>
            <w:tcW w:w="0" w:type="auto"/>
            <w:gridSpan w:val="3"/>
            <w:shd w:val="clear" w:color="auto" w:fill="auto"/>
            <w:vAlign w:val="bottom"/>
          </w:tcPr>
          <w:p w14:paraId="71D4870A" w14:textId="77777777" w:rsidR="006A3667" w:rsidRDefault="006A3667">
            <w:pPr>
              <w:rPr>
                <w:rFonts w:ascii="宋体"/>
                <w:vanish/>
              </w:rPr>
            </w:pPr>
          </w:p>
        </w:tc>
        <w:tc>
          <w:tcPr>
            <w:tcW w:w="0" w:type="auto"/>
            <w:gridSpan w:val="3"/>
            <w:shd w:val="clear" w:color="auto" w:fill="auto"/>
            <w:vAlign w:val="bottom"/>
          </w:tcPr>
          <w:p w14:paraId="71D4870B" w14:textId="77777777" w:rsidR="006A3667" w:rsidRDefault="006A3667">
            <w:pPr>
              <w:rPr>
                <w:rFonts w:ascii="宋体"/>
                <w:vanish/>
              </w:rPr>
            </w:pPr>
          </w:p>
        </w:tc>
        <w:tc>
          <w:tcPr>
            <w:tcW w:w="0" w:type="auto"/>
            <w:gridSpan w:val="3"/>
            <w:shd w:val="clear" w:color="auto" w:fill="auto"/>
            <w:vAlign w:val="bottom"/>
          </w:tcPr>
          <w:p w14:paraId="71D4870C" w14:textId="77777777" w:rsidR="006A3667" w:rsidRDefault="006A3667">
            <w:pPr>
              <w:rPr>
                <w:rFonts w:ascii="宋体"/>
                <w:vanish/>
              </w:rPr>
            </w:pPr>
          </w:p>
        </w:tc>
        <w:tc>
          <w:tcPr>
            <w:tcW w:w="0" w:type="auto"/>
            <w:gridSpan w:val="3"/>
            <w:shd w:val="clear" w:color="auto" w:fill="auto"/>
            <w:vAlign w:val="bottom"/>
          </w:tcPr>
          <w:p w14:paraId="71D4870D" w14:textId="77777777" w:rsidR="006A3667" w:rsidRDefault="006A3667">
            <w:pPr>
              <w:rPr>
                <w:rFonts w:ascii="宋体"/>
                <w:vanish/>
              </w:rPr>
            </w:pPr>
          </w:p>
        </w:tc>
        <w:tc>
          <w:tcPr>
            <w:tcW w:w="0" w:type="auto"/>
            <w:gridSpan w:val="3"/>
            <w:shd w:val="clear" w:color="auto" w:fill="auto"/>
            <w:vAlign w:val="bottom"/>
          </w:tcPr>
          <w:p w14:paraId="71D4870E" w14:textId="77777777" w:rsidR="006A3667" w:rsidRDefault="006A3667">
            <w:pPr>
              <w:rPr>
                <w:rFonts w:ascii="宋体"/>
                <w:vanish/>
              </w:rPr>
            </w:pPr>
          </w:p>
        </w:tc>
        <w:tc>
          <w:tcPr>
            <w:tcW w:w="0" w:type="auto"/>
            <w:gridSpan w:val="3"/>
            <w:shd w:val="clear" w:color="auto" w:fill="auto"/>
            <w:vAlign w:val="bottom"/>
          </w:tcPr>
          <w:p w14:paraId="71D4870F" w14:textId="77777777" w:rsidR="006A3667" w:rsidRDefault="006A3667">
            <w:pPr>
              <w:rPr>
                <w:rFonts w:ascii="宋体"/>
                <w:vanish/>
              </w:rPr>
            </w:pPr>
          </w:p>
        </w:tc>
        <w:tc>
          <w:tcPr>
            <w:tcW w:w="0" w:type="auto"/>
            <w:gridSpan w:val="3"/>
            <w:shd w:val="clear" w:color="auto" w:fill="auto"/>
            <w:vAlign w:val="bottom"/>
          </w:tcPr>
          <w:p w14:paraId="71D48710" w14:textId="77777777" w:rsidR="006A3667" w:rsidRDefault="006A3667">
            <w:pPr>
              <w:rPr>
                <w:rFonts w:ascii="宋体"/>
                <w:vanish/>
              </w:rPr>
            </w:pPr>
          </w:p>
        </w:tc>
      </w:tr>
    </w:tbl>
    <w:p w14:paraId="71D48712"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5"/>
        <w:gridCol w:w="898"/>
        <w:gridCol w:w="36"/>
        <w:gridCol w:w="36"/>
        <w:gridCol w:w="36"/>
        <w:gridCol w:w="36"/>
        <w:gridCol w:w="36"/>
        <w:gridCol w:w="36"/>
        <w:gridCol w:w="36"/>
        <w:gridCol w:w="36"/>
        <w:gridCol w:w="36"/>
        <w:gridCol w:w="36"/>
        <w:gridCol w:w="1073"/>
        <w:gridCol w:w="36"/>
        <w:gridCol w:w="36"/>
        <w:gridCol w:w="36"/>
        <w:gridCol w:w="36"/>
        <w:gridCol w:w="36"/>
        <w:gridCol w:w="1074"/>
        <w:gridCol w:w="36"/>
        <w:gridCol w:w="36"/>
        <w:gridCol w:w="36"/>
        <w:gridCol w:w="36"/>
        <w:gridCol w:w="36"/>
        <w:gridCol w:w="1076"/>
        <w:gridCol w:w="36"/>
        <w:gridCol w:w="36"/>
        <w:gridCol w:w="36"/>
        <w:gridCol w:w="36"/>
        <w:gridCol w:w="36"/>
        <w:gridCol w:w="971"/>
        <w:gridCol w:w="36"/>
        <w:gridCol w:w="36"/>
        <w:gridCol w:w="36"/>
        <w:gridCol w:w="36"/>
        <w:gridCol w:w="36"/>
        <w:gridCol w:w="994"/>
        <w:gridCol w:w="36"/>
        <w:gridCol w:w="36"/>
        <w:gridCol w:w="36"/>
        <w:gridCol w:w="36"/>
        <w:gridCol w:w="36"/>
        <w:gridCol w:w="899"/>
        <w:gridCol w:w="36"/>
      </w:tblGrid>
      <w:tr w:rsidR="006A3667" w14:paraId="71D4873F" w14:textId="77777777">
        <w:tc>
          <w:tcPr>
            <w:tcW w:w="50" w:type="pct"/>
            <w:shd w:val="clear" w:color="auto" w:fill="auto"/>
            <w:vAlign w:val="bottom"/>
          </w:tcPr>
          <w:p w14:paraId="71D48713" w14:textId="77777777" w:rsidR="006A3667" w:rsidRDefault="006A3667">
            <w:pPr>
              <w:rPr>
                <w:rFonts w:ascii="宋体"/>
              </w:rPr>
            </w:pPr>
          </w:p>
        </w:tc>
        <w:tc>
          <w:tcPr>
            <w:tcW w:w="566" w:type="pct"/>
            <w:shd w:val="clear" w:color="auto" w:fill="auto"/>
            <w:vAlign w:val="bottom"/>
          </w:tcPr>
          <w:p w14:paraId="71D48714" w14:textId="77777777" w:rsidR="006A3667" w:rsidRDefault="006A3667">
            <w:pPr>
              <w:rPr>
                <w:rFonts w:ascii="宋体"/>
              </w:rPr>
            </w:pPr>
          </w:p>
        </w:tc>
        <w:tc>
          <w:tcPr>
            <w:tcW w:w="5" w:type="pct"/>
            <w:shd w:val="clear" w:color="auto" w:fill="auto"/>
            <w:vAlign w:val="bottom"/>
          </w:tcPr>
          <w:p w14:paraId="71D48715" w14:textId="77777777" w:rsidR="006A3667" w:rsidRDefault="006A3667">
            <w:pPr>
              <w:rPr>
                <w:rFonts w:ascii="宋体"/>
              </w:rPr>
            </w:pPr>
          </w:p>
        </w:tc>
        <w:tc>
          <w:tcPr>
            <w:tcW w:w="0" w:type="auto"/>
            <w:shd w:val="clear" w:color="auto" w:fill="auto"/>
            <w:vAlign w:val="bottom"/>
          </w:tcPr>
          <w:p w14:paraId="71D48716" w14:textId="77777777" w:rsidR="006A3667" w:rsidRDefault="006A3667">
            <w:pPr>
              <w:rPr>
                <w:rFonts w:ascii="宋体"/>
                <w:vanish/>
              </w:rPr>
            </w:pPr>
          </w:p>
        </w:tc>
        <w:tc>
          <w:tcPr>
            <w:tcW w:w="0" w:type="auto"/>
            <w:shd w:val="clear" w:color="auto" w:fill="auto"/>
            <w:vAlign w:val="bottom"/>
          </w:tcPr>
          <w:p w14:paraId="71D48717" w14:textId="77777777" w:rsidR="006A3667" w:rsidRDefault="006A3667">
            <w:pPr>
              <w:rPr>
                <w:rFonts w:ascii="宋体"/>
                <w:vanish/>
              </w:rPr>
            </w:pPr>
          </w:p>
        </w:tc>
        <w:tc>
          <w:tcPr>
            <w:tcW w:w="0" w:type="auto"/>
            <w:shd w:val="clear" w:color="auto" w:fill="auto"/>
            <w:vAlign w:val="bottom"/>
          </w:tcPr>
          <w:p w14:paraId="71D48718" w14:textId="77777777" w:rsidR="006A3667" w:rsidRDefault="006A3667">
            <w:pPr>
              <w:rPr>
                <w:rFonts w:ascii="宋体"/>
                <w:vanish/>
              </w:rPr>
            </w:pPr>
          </w:p>
        </w:tc>
        <w:tc>
          <w:tcPr>
            <w:tcW w:w="0" w:type="auto"/>
            <w:shd w:val="clear" w:color="auto" w:fill="auto"/>
            <w:vAlign w:val="bottom"/>
          </w:tcPr>
          <w:p w14:paraId="71D48719" w14:textId="77777777" w:rsidR="006A3667" w:rsidRDefault="006A3667">
            <w:pPr>
              <w:rPr>
                <w:rFonts w:ascii="宋体"/>
                <w:vanish/>
              </w:rPr>
            </w:pPr>
          </w:p>
        </w:tc>
        <w:tc>
          <w:tcPr>
            <w:tcW w:w="0" w:type="auto"/>
            <w:shd w:val="clear" w:color="auto" w:fill="auto"/>
            <w:vAlign w:val="bottom"/>
          </w:tcPr>
          <w:p w14:paraId="71D4871A" w14:textId="77777777" w:rsidR="006A3667" w:rsidRDefault="006A3667">
            <w:pPr>
              <w:rPr>
                <w:rFonts w:ascii="宋体"/>
                <w:vanish/>
              </w:rPr>
            </w:pPr>
          </w:p>
        </w:tc>
        <w:tc>
          <w:tcPr>
            <w:tcW w:w="5" w:type="pct"/>
            <w:shd w:val="clear" w:color="auto" w:fill="auto"/>
            <w:vAlign w:val="bottom"/>
          </w:tcPr>
          <w:p w14:paraId="71D4871B" w14:textId="77777777" w:rsidR="006A3667" w:rsidRDefault="006A3667">
            <w:pPr>
              <w:rPr>
                <w:rFonts w:ascii="宋体"/>
              </w:rPr>
            </w:pPr>
          </w:p>
        </w:tc>
        <w:tc>
          <w:tcPr>
            <w:tcW w:w="26" w:type="pct"/>
            <w:shd w:val="clear" w:color="auto" w:fill="auto"/>
            <w:vAlign w:val="bottom"/>
          </w:tcPr>
          <w:p w14:paraId="71D4871C" w14:textId="77777777" w:rsidR="006A3667" w:rsidRDefault="006A3667">
            <w:pPr>
              <w:rPr>
                <w:rFonts w:ascii="宋体"/>
              </w:rPr>
            </w:pPr>
          </w:p>
        </w:tc>
        <w:tc>
          <w:tcPr>
            <w:tcW w:w="5" w:type="pct"/>
            <w:shd w:val="clear" w:color="auto" w:fill="auto"/>
            <w:vAlign w:val="bottom"/>
          </w:tcPr>
          <w:p w14:paraId="71D4871D" w14:textId="77777777" w:rsidR="006A3667" w:rsidRDefault="006A3667">
            <w:pPr>
              <w:rPr>
                <w:rFonts w:ascii="宋体"/>
              </w:rPr>
            </w:pPr>
          </w:p>
        </w:tc>
        <w:tc>
          <w:tcPr>
            <w:tcW w:w="50" w:type="pct"/>
            <w:shd w:val="clear" w:color="auto" w:fill="auto"/>
            <w:vAlign w:val="bottom"/>
          </w:tcPr>
          <w:p w14:paraId="71D4871E" w14:textId="77777777" w:rsidR="006A3667" w:rsidRDefault="006A3667">
            <w:pPr>
              <w:rPr>
                <w:rFonts w:ascii="宋体"/>
              </w:rPr>
            </w:pPr>
          </w:p>
        </w:tc>
        <w:tc>
          <w:tcPr>
            <w:tcW w:w="675" w:type="pct"/>
            <w:shd w:val="clear" w:color="auto" w:fill="auto"/>
            <w:vAlign w:val="bottom"/>
          </w:tcPr>
          <w:p w14:paraId="71D4871F" w14:textId="77777777" w:rsidR="006A3667" w:rsidRDefault="006A3667">
            <w:pPr>
              <w:rPr>
                <w:rFonts w:ascii="宋体"/>
              </w:rPr>
            </w:pPr>
          </w:p>
        </w:tc>
        <w:tc>
          <w:tcPr>
            <w:tcW w:w="5" w:type="pct"/>
            <w:shd w:val="clear" w:color="auto" w:fill="auto"/>
            <w:vAlign w:val="bottom"/>
          </w:tcPr>
          <w:p w14:paraId="71D48720" w14:textId="77777777" w:rsidR="006A3667" w:rsidRDefault="006A3667">
            <w:pPr>
              <w:rPr>
                <w:rFonts w:ascii="宋体"/>
              </w:rPr>
            </w:pPr>
          </w:p>
        </w:tc>
        <w:tc>
          <w:tcPr>
            <w:tcW w:w="5" w:type="pct"/>
            <w:shd w:val="clear" w:color="auto" w:fill="auto"/>
            <w:vAlign w:val="bottom"/>
          </w:tcPr>
          <w:p w14:paraId="71D48721" w14:textId="77777777" w:rsidR="006A3667" w:rsidRDefault="006A3667">
            <w:pPr>
              <w:rPr>
                <w:rFonts w:ascii="宋体"/>
              </w:rPr>
            </w:pPr>
          </w:p>
        </w:tc>
        <w:tc>
          <w:tcPr>
            <w:tcW w:w="26" w:type="pct"/>
            <w:shd w:val="clear" w:color="auto" w:fill="auto"/>
            <w:vAlign w:val="bottom"/>
          </w:tcPr>
          <w:p w14:paraId="71D48722" w14:textId="77777777" w:rsidR="006A3667" w:rsidRDefault="006A3667">
            <w:pPr>
              <w:rPr>
                <w:rFonts w:ascii="宋体"/>
              </w:rPr>
            </w:pPr>
          </w:p>
        </w:tc>
        <w:tc>
          <w:tcPr>
            <w:tcW w:w="5" w:type="pct"/>
            <w:shd w:val="clear" w:color="auto" w:fill="auto"/>
            <w:vAlign w:val="bottom"/>
          </w:tcPr>
          <w:p w14:paraId="71D48723" w14:textId="77777777" w:rsidR="006A3667" w:rsidRDefault="006A3667">
            <w:pPr>
              <w:rPr>
                <w:rFonts w:ascii="宋体"/>
              </w:rPr>
            </w:pPr>
          </w:p>
        </w:tc>
        <w:tc>
          <w:tcPr>
            <w:tcW w:w="50" w:type="pct"/>
            <w:shd w:val="clear" w:color="auto" w:fill="auto"/>
            <w:vAlign w:val="bottom"/>
          </w:tcPr>
          <w:p w14:paraId="71D48724" w14:textId="77777777" w:rsidR="006A3667" w:rsidRDefault="006A3667">
            <w:pPr>
              <w:rPr>
                <w:rFonts w:ascii="宋体"/>
              </w:rPr>
            </w:pPr>
          </w:p>
        </w:tc>
        <w:tc>
          <w:tcPr>
            <w:tcW w:w="675" w:type="pct"/>
            <w:shd w:val="clear" w:color="auto" w:fill="auto"/>
            <w:vAlign w:val="bottom"/>
          </w:tcPr>
          <w:p w14:paraId="71D48725" w14:textId="77777777" w:rsidR="006A3667" w:rsidRDefault="006A3667">
            <w:pPr>
              <w:rPr>
                <w:rFonts w:ascii="宋体"/>
              </w:rPr>
            </w:pPr>
          </w:p>
        </w:tc>
        <w:tc>
          <w:tcPr>
            <w:tcW w:w="5" w:type="pct"/>
            <w:shd w:val="clear" w:color="auto" w:fill="auto"/>
            <w:vAlign w:val="bottom"/>
          </w:tcPr>
          <w:p w14:paraId="71D48726" w14:textId="77777777" w:rsidR="006A3667" w:rsidRDefault="006A3667">
            <w:pPr>
              <w:rPr>
                <w:rFonts w:ascii="宋体"/>
              </w:rPr>
            </w:pPr>
          </w:p>
        </w:tc>
        <w:tc>
          <w:tcPr>
            <w:tcW w:w="5" w:type="pct"/>
            <w:shd w:val="clear" w:color="auto" w:fill="auto"/>
            <w:vAlign w:val="bottom"/>
          </w:tcPr>
          <w:p w14:paraId="71D48727" w14:textId="77777777" w:rsidR="006A3667" w:rsidRDefault="006A3667">
            <w:pPr>
              <w:rPr>
                <w:rFonts w:ascii="宋体"/>
              </w:rPr>
            </w:pPr>
          </w:p>
        </w:tc>
        <w:tc>
          <w:tcPr>
            <w:tcW w:w="26" w:type="pct"/>
            <w:shd w:val="clear" w:color="auto" w:fill="auto"/>
            <w:vAlign w:val="bottom"/>
          </w:tcPr>
          <w:p w14:paraId="71D48728" w14:textId="77777777" w:rsidR="006A3667" w:rsidRDefault="006A3667">
            <w:pPr>
              <w:rPr>
                <w:rFonts w:ascii="宋体"/>
              </w:rPr>
            </w:pPr>
          </w:p>
        </w:tc>
        <w:tc>
          <w:tcPr>
            <w:tcW w:w="5" w:type="pct"/>
            <w:shd w:val="clear" w:color="auto" w:fill="auto"/>
            <w:vAlign w:val="bottom"/>
          </w:tcPr>
          <w:p w14:paraId="71D48729" w14:textId="77777777" w:rsidR="006A3667" w:rsidRDefault="006A3667">
            <w:pPr>
              <w:rPr>
                <w:rFonts w:ascii="宋体"/>
              </w:rPr>
            </w:pPr>
          </w:p>
        </w:tc>
        <w:tc>
          <w:tcPr>
            <w:tcW w:w="50" w:type="pct"/>
            <w:shd w:val="clear" w:color="auto" w:fill="auto"/>
            <w:vAlign w:val="bottom"/>
          </w:tcPr>
          <w:p w14:paraId="71D4872A" w14:textId="77777777" w:rsidR="006A3667" w:rsidRDefault="006A3667">
            <w:pPr>
              <w:rPr>
                <w:rFonts w:ascii="宋体"/>
              </w:rPr>
            </w:pPr>
          </w:p>
        </w:tc>
        <w:tc>
          <w:tcPr>
            <w:tcW w:w="675" w:type="pct"/>
            <w:shd w:val="clear" w:color="auto" w:fill="auto"/>
            <w:vAlign w:val="bottom"/>
          </w:tcPr>
          <w:p w14:paraId="71D4872B" w14:textId="77777777" w:rsidR="006A3667" w:rsidRDefault="006A3667">
            <w:pPr>
              <w:rPr>
                <w:rFonts w:ascii="宋体"/>
              </w:rPr>
            </w:pPr>
          </w:p>
        </w:tc>
        <w:tc>
          <w:tcPr>
            <w:tcW w:w="5" w:type="pct"/>
            <w:shd w:val="clear" w:color="auto" w:fill="auto"/>
            <w:vAlign w:val="bottom"/>
          </w:tcPr>
          <w:p w14:paraId="71D4872C" w14:textId="77777777" w:rsidR="006A3667" w:rsidRDefault="006A3667">
            <w:pPr>
              <w:rPr>
                <w:rFonts w:ascii="宋体"/>
              </w:rPr>
            </w:pPr>
          </w:p>
        </w:tc>
        <w:tc>
          <w:tcPr>
            <w:tcW w:w="5" w:type="pct"/>
            <w:shd w:val="clear" w:color="auto" w:fill="auto"/>
            <w:vAlign w:val="bottom"/>
          </w:tcPr>
          <w:p w14:paraId="71D4872D" w14:textId="77777777" w:rsidR="006A3667" w:rsidRDefault="006A3667">
            <w:pPr>
              <w:rPr>
                <w:rFonts w:ascii="宋体"/>
              </w:rPr>
            </w:pPr>
          </w:p>
        </w:tc>
        <w:tc>
          <w:tcPr>
            <w:tcW w:w="26" w:type="pct"/>
            <w:shd w:val="clear" w:color="auto" w:fill="auto"/>
            <w:vAlign w:val="bottom"/>
          </w:tcPr>
          <w:p w14:paraId="71D4872E" w14:textId="77777777" w:rsidR="006A3667" w:rsidRDefault="006A3667">
            <w:pPr>
              <w:rPr>
                <w:rFonts w:ascii="宋体"/>
              </w:rPr>
            </w:pPr>
          </w:p>
        </w:tc>
        <w:tc>
          <w:tcPr>
            <w:tcW w:w="5" w:type="pct"/>
            <w:shd w:val="clear" w:color="auto" w:fill="auto"/>
            <w:vAlign w:val="bottom"/>
          </w:tcPr>
          <w:p w14:paraId="71D4872F" w14:textId="77777777" w:rsidR="006A3667" w:rsidRDefault="006A3667">
            <w:pPr>
              <w:rPr>
                <w:rFonts w:ascii="宋体"/>
              </w:rPr>
            </w:pPr>
          </w:p>
        </w:tc>
        <w:tc>
          <w:tcPr>
            <w:tcW w:w="50" w:type="pct"/>
            <w:shd w:val="clear" w:color="auto" w:fill="auto"/>
            <w:vAlign w:val="bottom"/>
          </w:tcPr>
          <w:p w14:paraId="71D48730" w14:textId="77777777" w:rsidR="006A3667" w:rsidRDefault="006A3667">
            <w:pPr>
              <w:rPr>
                <w:rFonts w:ascii="宋体"/>
              </w:rPr>
            </w:pPr>
          </w:p>
        </w:tc>
        <w:tc>
          <w:tcPr>
            <w:tcW w:w="610" w:type="pct"/>
            <w:shd w:val="clear" w:color="auto" w:fill="auto"/>
            <w:vAlign w:val="bottom"/>
          </w:tcPr>
          <w:p w14:paraId="71D48731" w14:textId="77777777" w:rsidR="006A3667" w:rsidRDefault="006A3667">
            <w:pPr>
              <w:rPr>
                <w:rFonts w:ascii="宋体"/>
              </w:rPr>
            </w:pPr>
          </w:p>
        </w:tc>
        <w:tc>
          <w:tcPr>
            <w:tcW w:w="5" w:type="pct"/>
            <w:shd w:val="clear" w:color="auto" w:fill="auto"/>
            <w:vAlign w:val="bottom"/>
          </w:tcPr>
          <w:p w14:paraId="71D48732" w14:textId="77777777" w:rsidR="006A3667" w:rsidRDefault="006A3667">
            <w:pPr>
              <w:rPr>
                <w:rFonts w:ascii="宋体"/>
              </w:rPr>
            </w:pPr>
          </w:p>
        </w:tc>
        <w:tc>
          <w:tcPr>
            <w:tcW w:w="5" w:type="pct"/>
            <w:shd w:val="clear" w:color="auto" w:fill="auto"/>
            <w:vAlign w:val="bottom"/>
          </w:tcPr>
          <w:p w14:paraId="71D48733" w14:textId="77777777" w:rsidR="006A3667" w:rsidRDefault="006A3667">
            <w:pPr>
              <w:rPr>
                <w:rFonts w:ascii="宋体"/>
              </w:rPr>
            </w:pPr>
          </w:p>
        </w:tc>
        <w:tc>
          <w:tcPr>
            <w:tcW w:w="26" w:type="pct"/>
            <w:shd w:val="clear" w:color="auto" w:fill="auto"/>
            <w:vAlign w:val="bottom"/>
          </w:tcPr>
          <w:p w14:paraId="71D48734" w14:textId="77777777" w:rsidR="006A3667" w:rsidRDefault="006A3667">
            <w:pPr>
              <w:rPr>
                <w:rFonts w:ascii="宋体"/>
              </w:rPr>
            </w:pPr>
          </w:p>
        </w:tc>
        <w:tc>
          <w:tcPr>
            <w:tcW w:w="5" w:type="pct"/>
            <w:shd w:val="clear" w:color="auto" w:fill="auto"/>
            <w:vAlign w:val="bottom"/>
          </w:tcPr>
          <w:p w14:paraId="71D48735" w14:textId="77777777" w:rsidR="006A3667" w:rsidRDefault="006A3667">
            <w:pPr>
              <w:rPr>
                <w:rFonts w:ascii="宋体"/>
              </w:rPr>
            </w:pPr>
          </w:p>
        </w:tc>
        <w:tc>
          <w:tcPr>
            <w:tcW w:w="50" w:type="pct"/>
            <w:shd w:val="clear" w:color="auto" w:fill="auto"/>
            <w:vAlign w:val="bottom"/>
          </w:tcPr>
          <w:p w14:paraId="71D48736" w14:textId="77777777" w:rsidR="006A3667" w:rsidRDefault="006A3667">
            <w:pPr>
              <w:rPr>
                <w:rFonts w:ascii="宋体"/>
              </w:rPr>
            </w:pPr>
          </w:p>
        </w:tc>
        <w:tc>
          <w:tcPr>
            <w:tcW w:w="624" w:type="pct"/>
            <w:shd w:val="clear" w:color="auto" w:fill="auto"/>
            <w:vAlign w:val="bottom"/>
          </w:tcPr>
          <w:p w14:paraId="71D48737" w14:textId="77777777" w:rsidR="006A3667" w:rsidRDefault="006A3667">
            <w:pPr>
              <w:rPr>
                <w:rFonts w:ascii="宋体"/>
              </w:rPr>
            </w:pPr>
          </w:p>
        </w:tc>
        <w:tc>
          <w:tcPr>
            <w:tcW w:w="5" w:type="pct"/>
            <w:shd w:val="clear" w:color="auto" w:fill="auto"/>
            <w:vAlign w:val="bottom"/>
          </w:tcPr>
          <w:p w14:paraId="71D48738" w14:textId="77777777" w:rsidR="006A3667" w:rsidRDefault="006A3667">
            <w:pPr>
              <w:rPr>
                <w:rFonts w:ascii="宋体"/>
              </w:rPr>
            </w:pPr>
          </w:p>
        </w:tc>
        <w:tc>
          <w:tcPr>
            <w:tcW w:w="5" w:type="pct"/>
            <w:shd w:val="clear" w:color="auto" w:fill="auto"/>
            <w:vAlign w:val="bottom"/>
          </w:tcPr>
          <w:p w14:paraId="71D48739" w14:textId="77777777" w:rsidR="006A3667" w:rsidRDefault="006A3667">
            <w:pPr>
              <w:rPr>
                <w:rFonts w:ascii="宋体"/>
              </w:rPr>
            </w:pPr>
          </w:p>
        </w:tc>
        <w:tc>
          <w:tcPr>
            <w:tcW w:w="26" w:type="pct"/>
            <w:shd w:val="clear" w:color="auto" w:fill="auto"/>
            <w:vAlign w:val="bottom"/>
          </w:tcPr>
          <w:p w14:paraId="71D4873A" w14:textId="77777777" w:rsidR="006A3667" w:rsidRDefault="006A3667">
            <w:pPr>
              <w:rPr>
                <w:rFonts w:ascii="宋体"/>
              </w:rPr>
            </w:pPr>
          </w:p>
        </w:tc>
        <w:tc>
          <w:tcPr>
            <w:tcW w:w="5" w:type="pct"/>
            <w:shd w:val="clear" w:color="auto" w:fill="auto"/>
            <w:vAlign w:val="bottom"/>
          </w:tcPr>
          <w:p w14:paraId="71D4873B" w14:textId="77777777" w:rsidR="006A3667" w:rsidRDefault="006A3667">
            <w:pPr>
              <w:rPr>
                <w:rFonts w:ascii="宋体"/>
              </w:rPr>
            </w:pPr>
          </w:p>
        </w:tc>
        <w:tc>
          <w:tcPr>
            <w:tcW w:w="50" w:type="pct"/>
            <w:shd w:val="clear" w:color="auto" w:fill="auto"/>
            <w:vAlign w:val="bottom"/>
          </w:tcPr>
          <w:p w14:paraId="71D4873C" w14:textId="77777777" w:rsidR="006A3667" w:rsidRDefault="006A3667">
            <w:pPr>
              <w:rPr>
                <w:rFonts w:ascii="宋体"/>
              </w:rPr>
            </w:pPr>
          </w:p>
        </w:tc>
        <w:tc>
          <w:tcPr>
            <w:tcW w:w="566" w:type="pct"/>
            <w:shd w:val="clear" w:color="auto" w:fill="auto"/>
            <w:vAlign w:val="bottom"/>
          </w:tcPr>
          <w:p w14:paraId="71D4873D" w14:textId="77777777" w:rsidR="006A3667" w:rsidRDefault="006A3667">
            <w:pPr>
              <w:rPr>
                <w:rFonts w:ascii="宋体"/>
              </w:rPr>
            </w:pPr>
          </w:p>
        </w:tc>
        <w:tc>
          <w:tcPr>
            <w:tcW w:w="5" w:type="pct"/>
            <w:shd w:val="clear" w:color="auto" w:fill="auto"/>
            <w:vAlign w:val="bottom"/>
          </w:tcPr>
          <w:p w14:paraId="71D4873E" w14:textId="77777777" w:rsidR="006A3667" w:rsidRDefault="006A3667">
            <w:pPr>
              <w:rPr>
                <w:rFonts w:ascii="宋体"/>
              </w:rPr>
            </w:pPr>
          </w:p>
        </w:tc>
      </w:tr>
      <w:tr w:rsidR="006A3667" w14:paraId="71D48752" w14:textId="77777777">
        <w:trPr>
          <w:trHeight w:val="60"/>
        </w:trPr>
        <w:tc>
          <w:tcPr>
            <w:tcW w:w="0" w:type="auto"/>
            <w:gridSpan w:val="3"/>
            <w:shd w:val="clear" w:color="auto" w:fill="auto"/>
            <w:tcMar>
              <w:top w:w="0" w:type="dxa"/>
              <w:left w:w="20" w:type="dxa"/>
              <w:bottom w:w="0" w:type="dxa"/>
              <w:right w:w="20" w:type="dxa"/>
            </w:tcMar>
            <w:vAlign w:val="bottom"/>
          </w:tcPr>
          <w:p w14:paraId="71D48740" w14:textId="77777777" w:rsidR="006A3667" w:rsidRDefault="006A3667">
            <w:pPr>
              <w:rPr>
                <w:rFonts w:ascii="宋体"/>
              </w:rPr>
            </w:pPr>
          </w:p>
        </w:tc>
        <w:tc>
          <w:tcPr>
            <w:tcW w:w="0" w:type="auto"/>
            <w:shd w:val="clear" w:color="auto" w:fill="auto"/>
            <w:vAlign w:val="bottom"/>
          </w:tcPr>
          <w:p w14:paraId="71D48741" w14:textId="77777777" w:rsidR="006A3667" w:rsidRDefault="006A3667">
            <w:pPr>
              <w:rPr>
                <w:rFonts w:ascii="宋体"/>
                <w:vanish/>
              </w:rPr>
            </w:pPr>
          </w:p>
        </w:tc>
        <w:tc>
          <w:tcPr>
            <w:tcW w:w="0" w:type="auto"/>
            <w:shd w:val="clear" w:color="auto" w:fill="auto"/>
            <w:vAlign w:val="bottom"/>
          </w:tcPr>
          <w:p w14:paraId="71D48742" w14:textId="77777777" w:rsidR="006A3667" w:rsidRDefault="006A3667">
            <w:pPr>
              <w:rPr>
                <w:rFonts w:ascii="宋体"/>
                <w:vanish/>
              </w:rPr>
            </w:pPr>
          </w:p>
        </w:tc>
        <w:tc>
          <w:tcPr>
            <w:tcW w:w="0" w:type="auto"/>
            <w:shd w:val="clear" w:color="auto" w:fill="auto"/>
            <w:vAlign w:val="bottom"/>
          </w:tcPr>
          <w:p w14:paraId="71D48743" w14:textId="77777777" w:rsidR="006A3667" w:rsidRDefault="006A3667">
            <w:pPr>
              <w:rPr>
                <w:rFonts w:ascii="宋体"/>
                <w:vanish/>
              </w:rPr>
            </w:pPr>
          </w:p>
        </w:tc>
        <w:tc>
          <w:tcPr>
            <w:tcW w:w="0" w:type="auto"/>
            <w:shd w:val="clear" w:color="auto" w:fill="auto"/>
            <w:vAlign w:val="bottom"/>
          </w:tcPr>
          <w:p w14:paraId="71D48744" w14:textId="77777777" w:rsidR="006A3667" w:rsidRDefault="006A3667">
            <w:pPr>
              <w:rPr>
                <w:rFonts w:ascii="宋体"/>
                <w:vanish/>
              </w:rPr>
            </w:pPr>
          </w:p>
        </w:tc>
        <w:tc>
          <w:tcPr>
            <w:tcW w:w="0" w:type="auto"/>
            <w:shd w:val="clear" w:color="auto" w:fill="auto"/>
            <w:vAlign w:val="bottom"/>
          </w:tcPr>
          <w:p w14:paraId="71D48745"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874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4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5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751" w14:textId="77777777" w:rsidR="006A3667" w:rsidRDefault="006A3667">
            <w:pPr>
              <w:rPr>
                <w:rFonts w:ascii="宋体"/>
              </w:rPr>
            </w:pPr>
          </w:p>
        </w:tc>
      </w:tr>
      <w:tr w:rsidR="006A3667" w14:paraId="71D4877D" w14:textId="77777777">
        <w:trPr>
          <w:hidden/>
        </w:trPr>
        <w:tc>
          <w:tcPr>
            <w:tcW w:w="0" w:type="auto"/>
            <w:gridSpan w:val="3"/>
            <w:shd w:val="clear" w:color="auto" w:fill="auto"/>
            <w:vAlign w:val="bottom"/>
          </w:tcPr>
          <w:p w14:paraId="71D48753" w14:textId="77777777" w:rsidR="006A3667" w:rsidRDefault="006A3667">
            <w:pPr>
              <w:rPr>
                <w:rFonts w:ascii="宋体"/>
                <w:vanish/>
              </w:rPr>
            </w:pPr>
          </w:p>
        </w:tc>
        <w:tc>
          <w:tcPr>
            <w:tcW w:w="0" w:type="auto"/>
            <w:shd w:val="clear" w:color="auto" w:fill="auto"/>
            <w:vAlign w:val="bottom"/>
          </w:tcPr>
          <w:p w14:paraId="71D48754" w14:textId="77777777" w:rsidR="006A3667" w:rsidRDefault="006A3667">
            <w:pPr>
              <w:rPr>
                <w:rFonts w:ascii="宋体"/>
                <w:vanish/>
              </w:rPr>
            </w:pPr>
          </w:p>
        </w:tc>
        <w:tc>
          <w:tcPr>
            <w:tcW w:w="0" w:type="auto"/>
            <w:shd w:val="clear" w:color="auto" w:fill="auto"/>
            <w:vAlign w:val="bottom"/>
          </w:tcPr>
          <w:p w14:paraId="71D48755" w14:textId="77777777" w:rsidR="006A3667" w:rsidRDefault="006A3667">
            <w:pPr>
              <w:rPr>
                <w:rFonts w:ascii="宋体"/>
                <w:vanish/>
              </w:rPr>
            </w:pPr>
          </w:p>
        </w:tc>
        <w:tc>
          <w:tcPr>
            <w:tcW w:w="0" w:type="auto"/>
            <w:shd w:val="clear" w:color="auto" w:fill="auto"/>
            <w:vAlign w:val="bottom"/>
          </w:tcPr>
          <w:p w14:paraId="71D48756" w14:textId="77777777" w:rsidR="006A3667" w:rsidRDefault="006A3667">
            <w:pPr>
              <w:rPr>
                <w:rFonts w:ascii="宋体"/>
                <w:vanish/>
              </w:rPr>
            </w:pPr>
          </w:p>
        </w:tc>
        <w:tc>
          <w:tcPr>
            <w:tcW w:w="0" w:type="auto"/>
            <w:shd w:val="clear" w:color="auto" w:fill="auto"/>
            <w:vAlign w:val="bottom"/>
          </w:tcPr>
          <w:p w14:paraId="71D48757" w14:textId="77777777" w:rsidR="006A3667" w:rsidRDefault="006A3667">
            <w:pPr>
              <w:rPr>
                <w:rFonts w:ascii="宋体"/>
                <w:vanish/>
              </w:rPr>
            </w:pPr>
          </w:p>
        </w:tc>
        <w:tc>
          <w:tcPr>
            <w:tcW w:w="0" w:type="auto"/>
            <w:shd w:val="clear" w:color="auto" w:fill="auto"/>
            <w:vAlign w:val="bottom"/>
          </w:tcPr>
          <w:p w14:paraId="71D48758" w14:textId="77777777" w:rsidR="006A3667" w:rsidRDefault="006A3667">
            <w:pPr>
              <w:rPr>
                <w:rFonts w:ascii="宋体"/>
                <w:vanish/>
              </w:rPr>
            </w:pPr>
          </w:p>
        </w:tc>
        <w:tc>
          <w:tcPr>
            <w:tcW w:w="0" w:type="auto"/>
            <w:shd w:val="clear" w:color="auto" w:fill="auto"/>
            <w:vAlign w:val="bottom"/>
          </w:tcPr>
          <w:p w14:paraId="71D48759" w14:textId="77777777" w:rsidR="006A3667" w:rsidRDefault="006A3667">
            <w:pPr>
              <w:rPr>
                <w:rFonts w:ascii="宋体"/>
              </w:rPr>
            </w:pPr>
          </w:p>
        </w:tc>
        <w:tc>
          <w:tcPr>
            <w:tcW w:w="0" w:type="auto"/>
            <w:shd w:val="clear" w:color="auto" w:fill="auto"/>
            <w:vAlign w:val="bottom"/>
          </w:tcPr>
          <w:p w14:paraId="71D4875A" w14:textId="77777777" w:rsidR="006A3667" w:rsidRDefault="006A3667">
            <w:pPr>
              <w:rPr>
                <w:rFonts w:ascii="宋体"/>
              </w:rPr>
            </w:pPr>
          </w:p>
        </w:tc>
        <w:tc>
          <w:tcPr>
            <w:tcW w:w="0" w:type="auto"/>
            <w:shd w:val="clear" w:color="auto" w:fill="auto"/>
            <w:vAlign w:val="bottom"/>
          </w:tcPr>
          <w:p w14:paraId="71D4875B" w14:textId="77777777" w:rsidR="006A3667" w:rsidRDefault="006A3667">
            <w:pPr>
              <w:rPr>
                <w:rFonts w:ascii="宋体"/>
              </w:rPr>
            </w:pPr>
          </w:p>
        </w:tc>
        <w:tc>
          <w:tcPr>
            <w:tcW w:w="0" w:type="auto"/>
            <w:shd w:val="clear" w:color="auto" w:fill="auto"/>
            <w:vAlign w:val="bottom"/>
          </w:tcPr>
          <w:p w14:paraId="71D4875C" w14:textId="77777777" w:rsidR="006A3667" w:rsidRDefault="006A3667">
            <w:pPr>
              <w:rPr>
                <w:rFonts w:ascii="宋体"/>
              </w:rPr>
            </w:pPr>
          </w:p>
        </w:tc>
        <w:tc>
          <w:tcPr>
            <w:tcW w:w="0" w:type="auto"/>
            <w:shd w:val="clear" w:color="auto" w:fill="auto"/>
            <w:vAlign w:val="bottom"/>
          </w:tcPr>
          <w:p w14:paraId="71D4875D" w14:textId="77777777" w:rsidR="006A3667" w:rsidRDefault="006A3667">
            <w:pPr>
              <w:rPr>
                <w:rFonts w:ascii="宋体"/>
              </w:rPr>
            </w:pPr>
          </w:p>
        </w:tc>
        <w:tc>
          <w:tcPr>
            <w:tcW w:w="0" w:type="auto"/>
            <w:shd w:val="clear" w:color="auto" w:fill="auto"/>
            <w:vAlign w:val="bottom"/>
          </w:tcPr>
          <w:p w14:paraId="71D4875E" w14:textId="77777777" w:rsidR="006A3667" w:rsidRDefault="006A3667">
            <w:pPr>
              <w:rPr>
                <w:rFonts w:ascii="宋体"/>
              </w:rPr>
            </w:pPr>
          </w:p>
        </w:tc>
        <w:tc>
          <w:tcPr>
            <w:tcW w:w="0" w:type="auto"/>
            <w:shd w:val="clear" w:color="auto" w:fill="auto"/>
            <w:vAlign w:val="bottom"/>
          </w:tcPr>
          <w:p w14:paraId="71D4875F" w14:textId="77777777" w:rsidR="006A3667" w:rsidRDefault="006A3667">
            <w:pPr>
              <w:rPr>
                <w:rFonts w:ascii="宋体"/>
              </w:rPr>
            </w:pPr>
          </w:p>
        </w:tc>
        <w:tc>
          <w:tcPr>
            <w:tcW w:w="0" w:type="auto"/>
            <w:shd w:val="clear" w:color="auto" w:fill="auto"/>
            <w:vAlign w:val="bottom"/>
          </w:tcPr>
          <w:p w14:paraId="71D48760" w14:textId="77777777" w:rsidR="006A3667" w:rsidRDefault="006A3667">
            <w:pPr>
              <w:rPr>
                <w:rFonts w:ascii="宋体"/>
              </w:rPr>
            </w:pPr>
          </w:p>
        </w:tc>
        <w:tc>
          <w:tcPr>
            <w:tcW w:w="0" w:type="auto"/>
            <w:shd w:val="clear" w:color="auto" w:fill="auto"/>
            <w:vAlign w:val="bottom"/>
          </w:tcPr>
          <w:p w14:paraId="71D48761" w14:textId="77777777" w:rsidR="006A3667" w:rsidRDefault="006A3667">
            <w:pPr>
              <w:rPr>
                <w:rFonts w:ascii="宋体"/>
              </w:rPr>
            </w:pPr>
          </w:p>
        </w:tc>
        <w:tc>
          <w:tcPr>
            <w:tcW w:w="0" w:type="auto"/>
            <w:shd w:val="clear" w:color="auto" w:fill="auto"/>
            <w:vAlign w:val="bottom"/>
          </w:tcPr>
          <w:p w14:paraId="71D48762" w14:textId="77777777" w:rsidR="006A3667" w:rsidRDefault="006A3667">
            <w:pPr>
              <w:rPr>
                <w:rFonts w:ascii="宋体"/>
              </w:rPr>
            </w:pPr>
          </w:p>
        </w:tc>
        <w:tc>
          <w:tcPr>
            <w:tcW w:w="0" w:type="auto"/>
            <w:shd w:val="clear" w:color="auto" w:fill="auto"/>
            <w:vAlign w:val="bottom"/>
          </w:tcPr>
          <w:p w14:paraId="71D48763" w14:textId="77777777" w:rsidR="006A3667" w:rsidRDefault="006A3667">
            <w:pPr>
              <w:rPr>
                <w:rFonts w:ascii="宋体"/>
              </w:rPr>
            </w:pPr>
          </w:p>
        </w:tc>
        <w:tc>
          <w:tcPr>
            <w:tcW w:w="0" w:type="auto"/>
            <w:shd w:val="clear" w:color="auto" w:fill="auto"/>
            <w:vAlign w:val="bottom"/>
          </w:tcPr>
          <w:p w14:paraId="71D48764" w14:textId="77777777" w:rsidR="006A3667" w:rsidRDefault="006A3667">
            <w:pPr>
              <w:rPr>
                <w:rFonts w:ascii="宋体"/>
              </w:rPr>
            </w:pPr>
          </w:p>
        </w:tc>
        <w:tc>
          <w:tcPr>
            <w:tcW w:w="0" w:type="auto"/>
            <w:shd w:val="clear" w:color="auto" w:fill="auto"/>
            <w:vAlign w:val="bottom"/>
          </w:tcPr>
          <w:p w14:paraId="71D48765" w14:textId="77777777" w:rsidR="006A3667" w:rsidRDefault="006A3667">
            <w:pPr>
              <w:rPr>
                <w:rFonts w:ascii="宋体"/>
              </w:rPr>
            </w:pPr>
          </w:p>
        </w:tc>
        <w:tc>
          <w:tcPr>
            <w:tcW w:w="0" w:type="auto"/>
            <w:shd w:val="clear" w:color="auto" w:fill="auto"/>
            <w:vAlign w:val="bottom"/>
          </w:tcPr>
          <w:p w14:paraId="71D48766" w14:textId="77777777" w:rsidR="006A3667" w:rsidRDefault="006A3667">
            <w:pPr>
              <w:rPr>
                <w:rFonts w:ascii="宋体"/>
              </w:rPr>
            </w:pPr>
          </w:p>
        </w:tc>
        <w:tc>
          <w:tcPr>
            <w:tcW w:w="0" w:type="auto"/>
            <w:shd w:val="clear" w:color="auto" w:fill="auto"/>
            <w:vAlign w:val="bottom"/>
          </w:tcPr>
          <w:p w14:paraId="71D48767" w14:textId="77777777" w:rsidR="006A3667" w:rsidRDefault="006A3667">
            <w:pPr>
              <w:rPr>
                <w:rFonts w:ascii="宋体"/>
              </w:rPr>
            </w:pPr>
          </w:p>
        </w:tc>
        <w:tc>
          <w:tcPr>
            <w:tcW w:w="0" w:type="auto"/>
            <w:shd w:val="clear" w:color="auto" w:fill="auto"/>
            <w:vAlign w:val="bottom"/>
          </w:tcPr>
          <w:p w14:paraId="71D48768" w14:textId="77777777" w:rsidR="006A3667" w:rsidRDefault="006A3667">
            <w:pPr>
              <w:rPr>
                <w:rFonts w:ascii="宋体"/>
              </w:rPr>
            </w:pPr>
          </w:p>
        </w:tc>
        <w:tc>
          <w:tcPr>
            <w:tcW w:w="0" w:type="auto"/>
            <w:shd w:val="clear" w:color="auto" w:fill="auto"/>
            <w:vAlign w:val="bottom"/>
          </w:tcPr>
          <w:p w14:paraId="71D48769" w14:textId="77777777" w:rsidR="006A3667" w:rsidRDefault="006A3667">
            <w:pPr>
              <w:rPr>
                <w:rFonts w:ascii="宋体"/>
              </w:rPr>
            </w:pPr>
          </w:p>
        </w:tc>
        <w:tc>
          <w:tcPr>
            <w:tcW w:w="0" w:type="auto"/>
            <w:shd w:val="clear" w:color="auto" w:fill="auto"/>
            <w:vAlign w:val="bottom"/>
          </w:tcPr>
          <w:p w14:paraId="71D4876A" w14:textId="77777777" w:rsidR="006A3667" w:rsidRDefault="006A3667">
            <w:pPr>
              <w:rPr>
                <w:rFonts w:ascii="宋体"/>
              </w:rPr>
            </w:pPr>
          </w:p>
        </w:tc>
        <w:tc>
          <w:tcPr>
            <w:tcW w:w="0" w:type="auto"/>
            <w:shd w:val="clear" w:color="auto" w:fill="auto"/>
            <w:vAlign w:val="bottom"/>
          </w:tcPr>
          <w:p w14:paraId="71D4876B" w14:textId="77777777" w:rsidR="006A3667" w:rsidRDefault="006A3667">
            <w:pPr>
              <w:rPr>
                <w:rFonts w:ascii="宋体"/>
              </w:rPr>
            </w:pPr>
          </w:p>
        </w:tc>
        <w:tc>
          <w:tcPr>
            <w:tcW w:w="0" w:type="auto"/>
            <w:shd w:val="clear" w:color="auto" w:fill="auto"/>
            <w:vAlign w:val="bottom"/>
          </w:tcPr>
          <w:p w14:paraId="71D4876C" w14:textId="77777777" w:rsidR="006A3667" w:rsidRDefault="006A3667">
            <w:pPr>
              <w:rPr>
                <w:rFonts w:ascii="宋体"/>
              </w:rPr>
            </w:pPr>
          </w:p>
        </w:tc>
        <w:tc>
          <w:tcPr>
            <w:tcW w:w="0" w:type="auto"/>
            <w:shd w:val="clear" w:color="auto" w:fill="auto"/>
            <w:vAlign w:val="bottom"/>
          </w:tcPr>
          <w:p w14:paraId="71D4876D" w14:textId="77777777" w:rsidR="006A3667" w:rsidRDefault="006A3667">
            <w:pPr>
              <w:rPr>
                <w:rFonts w:ascii="宋体"/>
              </w:rPr>
            </w:pPr>
          </w:p>
        </w:tc>
        <w:tc>
          <w:tcPr>
            <w:tcW w:w="0" w:type="auto"/>
            <w:shd w:val="clear" w:color="auto" w:fill="auto"/>
            <w:vAlign w:val="bottom"/>
          </w:tcPr>
          <w:p w14:paraId="71D4876E" w14:textId="77777777" w:rsidR="006A3667" w:rsidRDefault="006A3667">
            <w:pPr>
              <w:rPr>
                <w:rFonts w:ascii="宋体"/>
              </w:rPr>
            </w:pPr>
          </w:p>
        </w:tc>
        <w:tc>
          <w:tcPr>
            <w:tcW w:w="0" w:type="auto"/>
            <w:shd w:val="clear" w:color="auto" w:fill="auto"/>
            <w:vAlign w:val="bottom"/>
          </w:tcPr>
          <w:p w14:paraId="71D4876F" w14:textId="77777777" w:rsidR="006A3667" w:rsidRDefault="006A3667">
            <w:pPr>
              <w:rPr>
                <w:rFonts w:ascii="宋体"/>
              </w:rPr>
            </w:pPr>
          </w:p>
        </w:tc>
        <w:tc>
          <w:tcPr>
            <w:tcW w:w="0" w:type="auto"/>
            <w:shd w:val="clear" w:color="auto" w:fill="auto"/>
            <w:vAlign w:val="bottom"/>
          </w:tcPr>
          <w:p w14:paraId="71D48770" w14:textId="77777777" w:rsidR="006A3667" w:rsidRDefault="006A3667">
            <w:pPr>
              <w:rPr>
                <w:rFonts w:ascii="宋体"/>
              </w:rPr>
            </w:pPr>
          </w:p>
        </w:tc>
        <w:tc>
          <w:tcPr>
            <w:tcW w:w="0" w:type="auto"/>
            <w:shd w:val="clear" w:color="auto" w:fill="auto"/>
            <w:vAlign w:val="bottom"/>
          </w:tcPr>
          <w:p w14:paraId="71D48771" w14:textId="77777777" w:rsidR="006A3667" w:rsidRDefault="006A3667">
            <w:pPr>
              <w:rPr>
                <w:rFonts w:ascii="宋体"/>
              </w:rPr>
            </w:pPr>
          </w:p>
        </w:tc>
        <w:tc>
          <w:tcPr>
            <w:tcW w:w="0" w:type="auto"/>
            <w:shd w:val="clear" w:color="auto" w:fill="auto"/>
            <w:vAlign w:val="bottom"/>
          </w:tcPr>
          <w:p w14:paraId="71D48772" w14:textId="77777777" w:rsidR="006A3667" w:rsidRDefault="006A3667">
            <w:pPr>
              <w:rPr>
                <w:rFonts w:ascii="宋体"/>
              </w:rPr>
            </w:pPr>
          </w:p>
        </w:tc>
        <w:tc>
          <w:tcPr>
            <w:tcW w:w="0" w:type="auto"/>
            <w:shd w:val="clear" w:color="auto" w:fill="auto"/>
            <w:vAlign w:val="bottom"/>
          </w:tcPr>
          <w:p w14:paraId="71D48773" w14:textId="77777777" w:rsidR="006A3667" w:rsidRDefault="006A3667">
            <w:pPr>
              <w:rPr>
                <w:rFonts w:ascii="宋体"/>
              </w:rPr>
            </w:pPr>
          </w:p>
        </w:tc>
        <w:tc>
          <w:tcPr>
            <w:tcW w:w="0" w:type="auto"/>
            <w:shd w:val="clear" w:color="auto" w:fill="auto"/>
            <w:vAlign w:val="bottom"/>
          </w:tcPr>
          <w:p w14:paraId="71D48774" w14:textId="77777777" w:rsidR="006A3667" w:rsidRDefault="006A3667">
            <w:pPr>
              <w:rPr>
                <w:rFonts w:ascii="宋体"/>
              </w:rPr>
            </w:pPr>
          </w:p>
        </w:tc>
        <w:tc>
          <w:tcPr>
            <w:tcW w:w="0" w:type="auto"/>
            <w:shd w:val="clear" w:color="auto" w:fill="auto"/>
            <w:vAlign w:val="bottom"/>
          </w:tcPr>
          <w:p w14:paraId="71D48775" w14:textId="77777777" w:rsidR="006A3667" w:rsidRDefault="006A3667">
            <w:pPr>
              <w:rPr>
                <w:rFonts w:ascii="宋体"/>
              </w:rPr>
            </w:pPr>
          </w:p>
        </w:tc>
        <w:tc>
          <w:tcPr>
            <w:tcW w:w="0" w:type="auto"/>
            <w:shd w:val="clear" w:color="auto" w:fill="auto"/>
            <w:vAlign w:val="bottom"/>
          </w:tcPr>
          <w:p w14:paraId="71D48776" w14:textId="77777777" w:rsidR="006A3667" w:rsidRDefault="006A3667">
            <w:pPr>
              <w:rPr>
                <w:rFonts w:ascii="宋体"/>
              </w:rPr>
            </w:pPr>
          </w:p>
        </w:tc>
        <w:tc>
          <w:tcPr>
            <w:tcW w:w="0" w:type="auto"/>
            <w:shd w:val="clear" w:color="auto" w:fill="auto"/>
            <w:vAlign w:val="bottom"/>
          </w:tcPr>
          <w:p w14:paraId="71D48777" w14:textId="77777777" w:rsidR="006A3667" w:rsidRDefault="006A3667">
            <w:pPr>
              <w:rPr>
                <w:rFonts w:ascii="宋体"/>
              </w:rPr>
            </w:pPr>
          </w:p>
        </w:tc>
        <w:tc>
          <w:tcPr>
            <w:tcW w:w="0" w:type="auto"/>
            <w:shd w:val="clear" w:color="auto" w:fill="auto"/>
            <w:vAlign w:val="bottom"/>
          </w:tcPr>
          <w:p w14:paraId="71D48778" w14:textId="77777777" w:rsidR="006A3667" w:rsidRDefault="006A3667">
            <w:pPr>
              <w:rPr>
                <w:rFonts w:ascii="宋体"/>
              </w:rPr>
            </w:pPr>
          </w:p>
        </w:tc>
        <w:tc>
          <w:tcPr>
            <w:tcW w:w="0" w:type="auto"/>
            <w:shd w:val="clear" w:color="auto" w:fill="auto"/>
            <w:vAlign w:val="bottom"/>
          </w:tcPr>
          <w:p w14:paraId="71D48779" w14:textId="77777777" w:rsidR="006A3667" w:rsidRDefault="006A3667">
            <w:pPr>
              <w:rPr>
                <w:rFonts w:ascii="宋体"/>
              </w:rPr>
            </w:pPr>
          </w:p>
        </w:tc>
        <w:tc>
          <w:tcPr>
            <w:tcW w:w="0" w:type="auto"/>
            <w:shd w:val="clear" w:color="auto" w:fill="auto"/>
            <w:vAlign w:val="bottom"/>
          </w:tcPr>
          <w:p w14:paraId="71D4877A" w14:textId="77777777" w:rsidR="006A3667" w:rsidRDefault="006A3667">
            <w:pPr>
              <w:rPr>
                <w:rFonts w:ascii="宋体"/>
              </w:rPr>
            </w:pPr>
          </w:p>
        </w:tc>
        <w:tc>
          <w:tcPr>
            <w:tcW w:w="0" w:type="auto"/>
            <w:shd w:val="clear" w:color="auto" w:fill="auto"/>
            <w:vAlign w:val="bottom"/>
          </w:tcPr>
          <w:p w14:paraId="71D4877B" w14:textId="77777777" w:rsidR="006A3667" w:rsidRDefault="006A3667">
            <w:pPr>
              <w:rPr>
                <w:rFonts w:ascii="宋体"/>
              </w:rPr>
            </w:pPr>
          </w:p>
        </w:tc>
        <w:tc>
          <w:tcPr>
            <w:tcW w:w="0" w:type="auto"/>
            <w:shd w:val="clear" w:color="auto" w:fill="auto"/>
            <w:vAlign w:val="bottom"/>
          </w:tcPr>
          <w:p w14:paraId="71D4877C" w14:textId="77777777" w:rsidR="006A3667" w:rsidRDefault="006A3667">
            <w:pPr>
              <w:rPr>
                <w:rFonts w:ascii="宋体"/>
              </w:rPr>
            </w:pPr>
          </w:p>
        </w:tc>
      </w:tr>
      <w:tr w:rsidR="006A3667" w14:paraId="71D48790" w14:textId="77777777">
        <w:trPr>
          <w:hidden/>
        </w:trPr>
        <w:tc>
          <w:tcPr>
            <w:tcW w:w="0" w:type="auto"/>
            <w:gridSpan w:val="3"/>
            <w:shd w:val="clear" w:color="auto" w:fill="auto"/>
            <w:vAlign w:val="bottom"/>
          </w:tcPr>
          <w:p w14:paraId="71D4877E" w14:textId="77777777" w:rsidR="006A3667" w:rsidRDefault="006A3667">
            <w:pPr>
              <w:rPr>
                <w:rFonts w:ascii="宋体"/>
                <w:vanish/>
              </w:rPr>
            </w:pPr>
          </w:p>
        </w:tc>
        <w:tc>
          <w:tcPr>
            <w:tcW w:w="0" w:type="auto"/>
            <w:shd w:val="clear" w:color="auto" w:fill="auto"/>
            <w:vAlign w:val="bottom"/>
          </w:tcPr>
          <w:p w14:paraId="71D4877F" w14:textId="77777777" w:rsidR="006A3667" w:rsidRDefault="006A3667">
            <w:pPr>
              <w:rPr>
                <w:rFonts w:ascii="宋体"/>
                <w:vanish/>
              </w:rPr>
            </w:pPr>
          </w:p>
        </w:tc>
        <w:tc>
          <w:tcPr>
            <w:tcW w:w="0" w:type="auto"/>
            <w:shd w:val="clear" w:color="auto" w:fill="auto"/>
            <w:vAlign w:val="bottom"/>
          </w:tcPr>
          <w:p w14:paraId="71D48780" w14:textId="77777777" w:rsidR="006A3667" w:rsidRDefault="006A3667">
            <w:pPr>
              <w:rPr>
                <w:rFonts w:ascii="宋体"/>
                <w:vanish/>
              </w:rPr>
            </w:pPr>
          </w:p>
        </w:tc>
        <w:tc>
          <w:tcPr>
            <w:tcW w:w="0" w:type="auto"/>
            <w:shd w:val="clear" w:color="auto" w:fill="auto"/>
            <w:vAlign w:val="bottom"/>
          </w:tcPr>
          <w:p w14:paraId="71D48781" w14:textId="77777777" w:rsidR="006A3667" w:rsidRDefault="006A3667">
            <w:pPr>
              <w:rPr>
                <w:rFonts w:ascii="宋体"/>
                <w:vanish/>
              </w:rPr>
            </w:pPr>
          </w:p>
        </w:tc>
        <w:tc>
          <w:tcPr>
            <w:tcW w:w="0" w:type="auto"/>
            <w:shd w:val="clear" w:color="auto" w:fill="auto"/>
            <w:vAlign w:val="bottom"/>
          </w:tcPr>
          <w:p w14:paraId="71D48782" w14:textId="77777777" w:rsidR="006A3667" w:rsidRDefault="006A3667">
            <w:pPr>
              <w:rPr>
                <w:rFonts w:ascii="宋体"/>
                <w:vanish/>
              </w:rPr>
            </w:pPr>
          </w:p>
        </w:tc>
        <w:tc>
          <w:tcPr>
            <w:tcW w:w="0" w:type="auto"/>
            <w:shd w:val="clear" w:color="auto" w:fill="auto"/>
            <w:vAlign w:val="bottom"/>
          </w:tcPr>
          <w:p w14:paraId="71D48783" w14:textId="77777777" w:rsidR="006A3667" w:rsidRDefault="006A3667">
            <w:pPr>
              <w:rPr>
                <w:rFonts w:ascii="宋体"/>
                <w:vanish/>
              </w:rPr>
            </w:pPr>
          </w:p>
        </w:tc>
        <w:tc>
          <w:tcPr>
            <w:tcW w:w="0" w:type="auto"/>
            <w:gridSpan w:val="3"/>
            <w:shd w:val="clear" w:color="auto" w:fill="auto"/>
            <w:vAlign w:val="bottom"/>
          </w:tcPr>
          <w:p w14:paraId="71D48784" w14:textId="77777777" w:rsidR="006A3667" w:rsidRDefault="006A3667">
            <w:pPr>
              <w:rPr>
                <w:rFonts w:ascii="宋体"/>
                <w:vanish/>
              </w:rPr>
            </w:pPr>
          </w:p>
        </w:tc>
        <w:tc>
          <w:tcPr>
            <w:tcW w:w="0" w:type="auto"/>
            <w:gridSpan w:val="3"/>
            <w:shd w:val="clear" w:color="auto" w:fill="auto"/>
            <w:vAlign w:val="bottom"/>
          </w:tcPr>
          <w:p w14:paraId="71D48785" w14:textId="77777777" w:rsidR="006A3667" w:rsidRDefault="006A3667">
            <w:pPr>
              <w:rPr>
                <w:rFonts w:ascii="宋体"/>
                <w:vanish/>
              </w:rPr>
            </w:pPr>
          </w:p>
        </w:tc>
        <w:tc>
          <w:tcPr>
            <w:tcW w:w="0" w:type="auto"/>
            <w:gridSpan w:val="3"/>
            <w:shd w:val="clear" w:color="auto" w:fill="auto"/>
            <w:vAlign w:val="bottom"/>
          </w:tcPr>
          <w:p w14:paraId="71D48786" w14:textId="77777777" w:rsidR="006A3667" w:rsidRDefault="006A3667">
            <w:pPr>
              <w:rPr>
                <w:rFonts w:ascii="宋体"/>
                <w:vanish/>
              </w:rPr>
            </w:pPr>
          </w:p>
        </w:tc>
        <w:tc>
          <w:tcPr>
            <w:tcW w:w="0" w:type="auto"/>
            <w:gridSpan w:val="3"/>
            <w:shd w:val="clear" w:color="auto" w:fill="auto"/>
            <w:vAlign w:val="bottom"/>
          </w:tcPr>
          <w:p w14:paraId="71D48787" w14:textId="77777777" w:rsidR="006A3667" w:rsidRDefault="006A3667">
            <w:pPr>
              <w:rPr>
                <w:rFonts w:ascii="宋体"/>
                <w:vanish/>
              </w:rPr>
            </w:pPr>
          </w:p>
        </w:tc>
        <w:tc>
          <w:tcPr>
            <w:tcW w:w="0" w:type="auto"/>
            <w:gridSpan w:val="3"/>
            <w:shd w:val="clear" w:color="auto" w:fill="auto"/>
            <w:vAlign w:val="bottom"/>
          </w:tcPr>
          <w:p w14:paraId="71D48788" w14:textId="77777777" w:rsidR="006A3667" w:rsidRDefault="006A3667">
            <w:pPr>
              <w:rPr>
                <w:rFonts w:ascii="宋体"/>
                <w:vanish/>
              </w:rPr>
            </w:pPr>
          </w:p>
        </w:tc>
        <w:tc>
          <w:tcPr>
            <w:tcW w:w="0" w:type="auto"/>
            <w:gridSpan w:val="3"/>
            <w:shd w:val="clear" w:color="auto" w:fill="auto"/>
            <w:vAlign w:val="bottom"/>
          </w:tcPr>
          <w:p w14:paraId="71D48789" w14:textId="77777777" w:rsidR="006A3667" w:rsidRDefault="006A3667">
            <w:pPr>
              <w:rPr>
                <w:rFonts w:ascii="宋体"/>
                <w:vanish/>
              </w:rPr>
            </w:pPr>
          </w:p>
        </w:tc>
        <w:tc>
          <w:tcPr>
            <w:tcW w:w="0" w:type="auto"/>
            <w:gridSpan w:val="3"/>
            <w:shd w:val="clear" w:color="auto" w:fill="auto"/>
            <w:vAlign w:val="bottom"/>
          </w:tcPr>
          <w:p w14:paraId="71D4878A" w14:textId="77777777" w:rsidR="006A3667" w:rsidRDefault="006A3667">
            <w:pPr>
              <w:rPr>
                <w:rFonts w:ascii="宋体"/>
                <w:vanish/>
              </w:rPr>
            </w:pPr>
          </w:p>
        </w:tc>
        <w:tc>
          <w:tcPr>
            <w:tcW w:w="0" w:type="auto"/>
            <w:gridSpan w:val="3"/>
            <w:shd w:val="clear" w:color="auto" w:fill="auto"/>
            <w:vAlign w:val="bottom"/>
          </w:tcPr>
          <w:p w14:paraId="71D4878B" w14:textId="77777777" w:rsidR="006A3667" w:rsidRDefault="006A3667">
            <w:pPr>
              <w:rPr>
                <w:rFonts w:ascii="宋体"/>
                <w:vanish/>
              </w:rPr>
            </w:pPr>
          </w:p>
        </w:tc>
        <w:tc>
          <w:tcPr>
            <w:tcW w:w="0" w:type="auto"/>
            <w:gridSpan w:val="3"/>
            <w:shd w:val="clear" w:color="auto" w:fill="auto"/>
            <w:vAlign w:val="bottom"/>
          </w:tcPr>
          <w:p w14:paraId="71D4878C" w14:textId="77777777" w:rsidR="006A3667" w:rsidRDefault="006A3667">
            <w:pPr>
              <w:rPr>
                <w:rFonts w:ascii="宋体"/>
                <w:vanish/>
              </w:rPr>
            </w:pPr>
          </w:p>
        </w:tc>
        <w:tc>
          <w:tcPr>
            <w:tcW w:w="0" w:type="auto"/>
            <w:gridSpan w:val="3"/>
            <w:shd w:val="clear" w:color="auto" w:fill="auto"/>
            <w:vAlign w:val="bottom"/>
          </w:tcPr>
          <w:p w14:paraId="71D4878D" w14:textId="77777777" w:rsidR="006A3667" w:rsidRDefault="006A3667">
            <w:pPr>
              <w:rPr>
                <w:rFonts w:ascii="宋体"/>
                <w:vanish/>
              </w:rPr>
            </w:pPr>
          </w:p>
        </w:tc>
        <w:tc>
          <w:tcPr>
            <w:tcW w:w="0" w:type="auto"/>
            <w:gridSpan w:val="3"/>
            <w:shd w:val="clear" w:color="auto" w:fill="auto"/>
            <w:vAlign w:val="bottom"/>
          </w:tcPr>
          <w:p w14:paraId="71D4878E" w14:textId="77777777" w:rsidR="006A3667" w:rsidRDefault="006A3667">
            <w:pPr>
              <w:rPr>
                <w:rFonts w:ascii="宋体"/>
                <w:vanish/>
              </w:rPr>
            </w:pPr>
          </w:p>
        </w:tc>
        <w:tc>
          <w:tcPr>
            <w:tcW w:w="0" w:type="auto"/>
            <w:gridSpan w:val="3"/>
            <w:shd w:val="clear" w:color="auto" w:fill="auto"/>
            <w:vAlign w:val="bottom"/>
          </w:tcPr>
          <w:p w14:paraId="71D4878F" w14:textId="77777777" w:rsidR="006A3667" w:rsidRDefault="006A3667">
            <w:pPr>
              <w:rPr>
                <w:rFonts w:ascii="宋体"/>
                <w:vanish/>
              </w:rPr>
            </w:pPr>
          </w:p>
        </w:tc>
      </w:tr>
      <w:tr w:rsidR="006A3667" w14:paraId="71D487A3" w14:textId="77777777">
        <w:trPr>
          <w:hidden/>
        </w:trPr>
        <w:tc>
          <w:tcPr>
            <w:tcW w:w="0" w:type="auto"/>
            <w:gridSpan w:val="3"/>
            <w:shd w:val="clear" w:color="auto" w:fill="auto"/>
            <w:vAlign w:val="bottom"/>
          </w:tcPr>
          <w:p w14:paraId="71D48791" w14:textId="77777777" w:rsidR="006A3667" w:rsidRDefault="006A3667">
            <w:pPr>
              <w:rPr>
                <w:rFonts w:ascii="宋体"/>
                <w:vanish/>
              </w:rPr>
            </w:pPr>
          </w:p>
        </w:tc>
        <w:tc>
          <w:tcPr>
            <w:tcW w:w="0" w:type="auto"/>
            <w:shd w:val="clear" w:color="auto" w:fill="auto"/>
            <w:vAlign w:val="bottom"/>
          </w:tcPr>
          <w:p w14:paraId="71D48792" w14:textId="77777777" w:rsidR="006A3667" w:rsidRDefault="006A3667">
            <w:pPr>
              <w:rPr>
                <w:rFonts w:ascii="宋体"/>
                <w:vanish/>
              </w:rPr>
            </w:pPr>
          </w:p>
        </w:tc>
        <w:tc>
          <w:tcPr>
            <w:tcW w:w="0" w:type="auto"/>
            <w:shd w:val="clear" w:color="auto" w:fill="auto"/>
            <w:vAlign w:val="bottom"/>
          </w:tcPr>
          <w:p w14:paraId="71D48793" w14:textId="77777777" w:rsidR="006A3667" w:rsidRDefault="006A3667">
            <w:pPr>
              <w:rPr>
                <w:rFonts w:ascii="宋体"/>
                <w:vanish/>
              </w:rPr>
            </w:pPr>
          </w:p>
        </w:tc>
        <w:tc>
          <w:tcPr>
            <w:tcW w:w="0" w:type="auto"/>
            <w:shd w:val="clear" w:color="auto" w:fill="auto"/>
            <w:vAlign w:val="bottom"/>
          </w:tcPr>
          <w:p w14:paraId="71D48794" w14:textId="77777777" w:rsidR="006A3667" w:rsidRDefault="006A3667">
            <w:pPr>
              <w:rPr>
                <w:rFonts w:ascii="宋体"/>
                <w:vanish/>
              </w:rPr>
            </w:pPr>
          </w:p>
        </w:tc>
        <w:tc>
          <w:tcPr>
            <w:tcW w:w="0" w:type="auto"/>
            <w:shd w:val="clear" w:color="auto" w:fill="auto"/>
            <w:vAlign w:val="bottom"/>
          </w:tcPr>
          <w:p w14:paraId="71D48795" w14:textId="77777777" w:rsidR="006A3667" w:rsidRDefault="006A3667">
            <w:pPr>
              <w:rPr>
                <w:rFonts w:ascii="宋体"/>
                <w:vanish/>
              </w:rPr>
            </w:pPr>
          </w:p>
        </w:tc>
        <w:tc>
          <w:tcPr>
            <w:tcW w:w="0" w:type="auto"/>
            <w:shd w:val="clear" w:color="auto" w:fill="auto"/>
            <w:vAlign w:val="bottom"/>
          </w:tcPr>
          <w:p w14:paraId="71D48796" w14:textId="77777777" w:rsidR="006A3667" w:rsidRDefault="006A3667">
            <w:pPr>
              <w:rPr>
                <w:rFonts w:ascii="宋体"/>
                <w:vanish/>
              </w:rPr>
            </w:pPr>
          </w:p>
        </w:tc>
        <w:tc>
          <w:tcPr>
            <w:tcW w:w="0" w:type="auto"/>
            <w:gridSpan w:val="3"/>
            <w:shd w:val="clear" w:color="auto" w:fill="auto"/>
            <w:vAlign w:val="bottom"/>
          </w:tcPr>
          <w:p w14:paraId="71D48797" w14:textId="77777777" w:rsidR="006A3667" w:rsidRDefault="006A3667">
            <w:pPr>
              <w:rPr>
                <w:rFonts w:ascii="宋体"/>
                <w:vanish/>
              </w:rPr>
            </w:pPr>
          </w:p>
        </w:tc>
        <w:tc>
          <w:tcPr>
            <w:tcW w:w="0" w:type="auto"/>
            <w:gridSpan w:val="3"/>
            <w:shd w:val="clear" w:color="auto" w:fill="auto"/>
            <w:vAlign w:val="bottom"/>
          </w:tcPr>
          <w:p w14:paraId="71D48798" w14:textId="77777777" w:rsidR="006A3667" w:rsidRDefault="006A3667">
            <w:pPr>
              <w:rPr>
                <w:rFonts w:ascii="宋体"/>
                <w:vanish/>
              </w:rPr>
            </w:pPr>
          </w:p>
        </w:tc>
        <w:tc>
          <w:tcPr>
            <w:tcW w:w="0" w:type="auto"/>
            <w:gridSpan w:val="3"/>
            <w:shd w:val="clear" w:color="auto" w:fill="auto"/>
            <w:vAlign w:val="bottom"/>
          </w:tcPr>
          <w:p w14:paraId="71D48799" w14:textId="77777777" w:rsidR="006A3667" w:rsidRDefault="006A3667">
            <w:pPr>
              <w:rPr>
                <w:rFonts w:ascii="宋体"/>
                <w:vanish/>
              </w:rPr>
            </w:pPr>
          </w:p>
        </w:tc>
        <w:tc>
          <w:tcPr>
            <w:tcW w:w="0" w:type="auto"/>
            <w:gridSpan w:val="3"/>
            <w:shd w:val="clear" w:color="auto" w:fill="auto"/>
            <w:vAlign w:val="bottom"/>
          </w:tcPr>
          <w:p w14:paraId="71D4879A" w14:textId="77777777" w:rsidR="006A3667" w:rsidRDefault="006A3667">
            <w:pPr>
              <w:rPr>
                <w:rFonts w:ascii="宋体"/>
                <w:vanish/>
              </w:rPr>
            </w:pPr>
          </w:p>
        </w:tc>
        <w:tc>
          <w:tcPr>
            <w:tcW w:w="0" w:type="auto"/>
            <w:gridSpan w:val="3"/>
            <w:shd w:val="clear" w:color="auto" w:fill="auto"/>
            <w:vAlign w:val="bottom"/>
          </w:tcPr>
          <w:p w14:paraId="71D4879B" w14:textId="77777777" w:rsidR="006A3667" w:rsidRDefault="006A3667">
            <w:pPr>
              <w:rPr>
                <w:rFonts w:ascii="宋体"/>
                <w:vanish/>
              </w:rPr>
            </w:pPr>
          </w:p>
        </w:tc>
        <w:tc>
          <w:tcPr>
            <w:tcW w:w="0" w:type="auto"/>
            <w:gridSpan w:val="3"/>
            <w:shd w:val="clear" w:color="auto" w:fill="auto"/>
            <w:vAlign w:val="bottom"/>
          </w:tcPr>
          <w:p w14:paraId="71D4879C" w14:textId="77777777" w:rsidR="006A3667" w:rsidRDefault="006A3667">
            <w:pPr>
              <w:rPr>
                <w:rFonts w:ascii="宋体"/>
                <w:vanish/>
              </w:rPr>
            </w:pPr>
          </w:p>
        </w:tc>
        <w:tc>
          <w:tcPr>
            <w:tcW w:w="0" w:type="auto"/>
            <w:gridSpan w:val="3"/>
            <w:shd w:val="clear" w:color="auto" w:fill="auto"/>
            <w:vAlign w:val="bottom"/>
          </w:tcPr>
          <w:p w14:paraId="71D4879D" w14:textId="77777777" w:rsidR="006A3667" w:rsidRDefault="006A3667">
            <w:pPr>
              <w:rPr>
                <w:rFonts w:ascii="宋体"/>
                <w:vanish/>
              </w:rPr>
            </w:pPr>
          </w:p>
        </w:tc>
        <w:tc>
          <w:tcPr>
            <w:tcW w:w="0" w:type="auto"/>
            <w:gridSpan w:val="3"/>
            <w:shd w:val="clear" w:color="auto" w:fill="auto"/>
            <w:vAlign w:val="bottom"/>
          </w:tcPr>
          <w:p w14:paraId="71D4879E" w14:textId="77777777" w:rsidR="006A3667" w:rsidRDefault="006A3667">
            <w:pPr>
              <w:rPr>
                <w:rFonts w:ascii="宋体"/>
                <w:vanish/>
              </w:rPr>
            </w:pPr>
          </w:p>
        </w:tc>
        <w:tc>
          <w:tcPr>
            <w:tcW w:w="0" w:type="auto"/>
            <w:gridSpan w:val="3"/>
            <w:shd w:val="clear" w:color="auto" w:fill="auto"/>
            <w:vAlign w:val="bottom"/>
          </w:tcPr>
          <w:p w14:paraId="71D4879F" w14:textId="77777777" w:rsidR="006A3667" w:rsidRDefault="006A3667">
            <w:pPr>
              <w:rPr>
                <w:rFonts w:ascii="宋体"/>
                <w:vanish/>
              </w:rPr>
            </w:pPr>
          </w:p>
        </w:tc>
        <w:tc>
          <w:tcPr>
            <w:tcW w:w="0" w:type="auto"/>
            <w:gridSpan w:val="3"/>
            <w:shd w:val="clear" w:color="auto" w:fill="auto"/>
            <w:vAlign w:val="bottom"/>
          </w:tcPr>
          <w:p w14:paraId="71D487A0" w14:textId="77777777" w:rsidR="006A3667" w:rsidRDefault="006A3667">
            <w:pPr>
              <w:rPr>
                <w:rFonts w:ascii="宋体"/>
                <w:vanish/>
              </w:rPr>
            </w:pPr>
          </w:p>
        </w:tc>
        <w:tc>
          <w:tcPr>
            <w:tcW w:w="0" w:type="auto"/>
            <w:gridSpan w:val="3"/>
            <w:shd w:val="clear" w:color="auto" w:fill="auto"/>
            <w:vAlign w:val="bottom"/>
          </w:tcPr>
          <w:p w14:paraId="71D487A1" w14:textId="77777777" w:rsidR="006A3667" w:rsidRDefault="006A3667">
            <w:pPr>
              <w:rPr>
                <w:rFonts w:ascii="宋体"/>
                <w:vanish/>
              </w:rPr>
            </w:pPr>
          </w:p>
        </w:tc>
        <w:tc>
          <w:tcPr>
            <w:tcW w:w="0" w:type="auto"/>
            <w:gridSpan w:val="3"/>
            <w:shd w:val="clear" w:color="auto" w:fill="auto"/>
            <w:vAlign w:val="bottom"/>
          </w:tcPr>
          <w:p w14:paraId="71D487A2" w14:textId="77777777" w:rsidR="006A3667" w:rsidRDefault="006A3667">
            <w:pPr>
              <w:rPr>
                <w:rFonts w:ascii="宋体"/>
                <w:vanish/>
              </w:rPr>
            </w:pPr>
          </w:p>
        </w:tc>
      </w:tr>
      <w:tr w:rsidR="006A3667" w14:paraId="71D487B6" w14:textId="77777777">
        <w:trPr>
          <w:hidden/>
        </w:trPr>
        <w:tc>
          <w:tcPr>
            <w:tcW w:w="0" w:type="auto"/>
            <w:gridSpan w:val="3"/>
            <w:shd w:val="clear" w:color="auto" w:fill="auto"/>
            <w:vAlign w:val="bottom"/>
          </w:tcPr>
          <w:p w14:paraId="71D487A4" w14:textId="77777777" w:rsidR="006A3667" w:rsidRDefault="006A3667">
            <w:pPr>
              <w:rPr>
                <w:rFonts w:ascii="宋体"/>
                <w:vanish/>
              </w:rPr>
            </w:pPr>
          </w:p>
        </w:tc>
        <w:tc>
          <w:tcPr>
            <w:tcW w:w="0" w:type="auto"/>
            <w:shd w:val="clear" w:color="auto" w:fill="auto"/>
            <w:vAlign w:val="bottom"/>
          </w:tcPr>
          <w:p w14:paraId="71D487A5" w14:textId="77777777" w:rsidR="006A3667" w:rsidRDefault="006A3667">
            <w:pPr>
              <w:rPr>
                <w:rFonts w:ascii="宋体"/>
                <w:vanish/>
              </w:rPr>
            </w:pPr>
          </w:p>
        </w:tc>
        <w:tc>
          <w:tcPr>
            <w:tcW w:w="0" w:type="auto"/>
            <w:shd w:val="clear" w:color="auto" w:fill="auto"/>
            <w:vAlign w:val="bottom"/>
          </w:tcPr>
          <w:p w14:paraId="71D487A6" w14:textId="77777777" w:rsidR="006A3667" w:rsidRDefault="006A3667">
            <w:pPr>
              <w:rPr>
                <w:rFonts w:ascii="宋体"/>
                <w:vanish/>
              </w:rPr>
            </w:pPr>
          </w:p>
        </w:tc>
        <w:tc>
          <w:tcPr>
            <w:tcW w:w="0" w:type="auto"/>
            <w:shd w:val="clear" w:color="auto" w:fill="auto"/>
            <w:vAlign w:val="bottom"/>
          </w:tcPr>
          <w:p w14:paraId="71D487A7" w14:textId="77777777" w:rsidR="006A3667" w:rsidRDefault="006A3667">
            <w:pPr>
              <w:rPr>
                <w:rFonts w:ascii="宋体"/>
                <w:vanish/>
              </w:rPr>
            </w:pPr>
          </w:p>
        </w:tc>
        <w:tc>
          <w:tcPr>
            <w:tcW w:w="0" w:type="auto"/>
            <w:shd w:val="clear" w:color="auto" w:fill="auto"/>
            <w:vAlign w:val="bottom"/>
          </w:tcPr>
          <w:p w14:paraId="71D487A8" w14:textId="77777777" w:rsidR="006A3667" w:rsidRDefault="006A3667">
            <w:pPr>
              <w:rPr>
                <w:rFonts w:ascii="宋体"/>
                <w:vanish/>
              </w:rPr>
            </w:pPr>
          </w:p>
        </w:tc>
        <w:tc>
          <w:tcPr>
            <w:tcW w:w="0" w:type="auto"/>
            <w:shd w:val="clear" w:color="auto" w:fill="auto"/>
            <w:vAlign w:val="bottom"/>
          </w:tcPr>
          <w:p w14:paraId="71D487A9" w14:textId="77777777" w:rsidR="006A3667" w:rsidRDefault="006A3667">
            <w:pPr>
              <w:rPr>
                <w:rFonts w:ascii="宋体"/>
                <w:vanish/>
              </w:rPr>
            </w:pPr>
          </w:p>
        </w:tc>
        <w:tc>
          <w:tcPr>
            <w:tcW w:w="0" w:type="auto"/>
            <w:gridSpan w:val="3"/>
            <w:shd w:val="clear" w:color="auto" w:fill="auto"/>
            <w:vAlign w:val="bottom"/>
          </w:tcPr>
          <w:p w14:paraId="71D487AA" w14:textId="77777777" w:rsidR="006A3667" w:rsidRDefault="006A3667">
            <w:pPr>
              <w:rPr>
                <w:rFonts w:ascii="宋体"/>
                <w:vanish/>
              </w:rPr>
            </w:pPr>
          </w:p>
        </w:tc>
        <w:tc>
          <w:tcPr>
            <w:tcW w:w="0" w:type="auto"/>
            <w:gridSpan w:val="3"/>
            <w:shd w:val="clear" w:color="auto" w:fill="auto"/>
            <w:vAlign w:val="bottom"/>
          </w:tcPr>
          <w:p w14:paraId="71D487AB" w14:textId="77777777" w:rsidR="006A3667" w:rsidRDefault="006A3667">
            <w:pPr>
              <w:rPr>
                <w:rFonts w:ascii="宋体"/>
                <w:vanish/>
              </w:rPr>
            </w:pPr>
          </w:p>
        </w:tc>
        <w:tc>
          <w:tcPr>
            <w:tcW w:w="0" w:type="auto"/>
            <w:gridSpan w:val="3"/>
            <w:shd w:val="clear" w:color="auto" w:fill="auto"/>
            <w:vAlign w:val="bottom"/>
          </w:tcPr>
          <w:p w14:paraId="71D487AC" w14:textId="77777777" w:rsidR="006A3667" w:rsidRDefault="006A3667">
            <w:pPr>
              <w:rPr>
                <w:rFonts w:ascii="宋体"/>
                <w:vanish/>
              </w:rPr>
            </w:pPr>
          </w:p>
        </w:tc>
        <w:tc>
          <w:tcPr>
            <w:tcW w:w="0" w:type="auto"/>
            <w:gridSpan w:val="3"/>
            <w:shd w:val="clear" w:color="auto" w:fill="auto"/>
            <w:vAlign w:val="bottom"/>
          </w:tcPr>
          <w:p w14:paraId="71D487AD" w14:textId="77777777" w:rsidR="006A3667" w:rsidRDefault="006A3667">
            <w:pPr>
              <w:rPr>
                <w:rFonts w:ascii="宋体"/>
                <w:vanish/>
              </w:rPr>
            </w:pPr>
          </w:p>
        </w:tc>
        <w:tc>
          <w:tcPr>
            <w:tcW w:w="0" w:type="auto"/>
            <w:gridSpan w:val="3"/>
            <w:shd w:val="clear" w:color="auto" w:fill="auto"/>
            <w:vAlign w:val="bottom"/>
          </w:tcPr>
          <w:p w14:paraId="71D487AE" w14:textId="77777777" w:rsidR="006A3667" w:rsidRDefault="006A3667">
            <w:pPr>
              <w:rPr>
                <w:rFonts w:ascii="宋体"/>
                <w:vanish/>
              </w:rPr>
            </w:pPr>
          </w:p>
        </w:tc>
        <w:tc>
          <w:tcPr>
            <w:tcW w:w="0" w:type="auto"/>
            <w:gridSpan w:val="3"/>
            <w:shd w:val="clear" w:color="auto" w:fill="auto"/>
            <w:vAlign w:val="bottom"/>
          </w:tcPr>
          <w:p w14:paraId="71D487AF" w14:textId="77777777" w:rsidR="006A3667" w:rsidRDefault="006A3667">
            <w:pPr>
              <w:rPr>
                <w:rFonts w:ascii="宋体"/>
                <w:vanish/>
              </w:rPr>
            </w:pPr>
          </w:p>
        </w:tc>
        <w:tc>
          <w:tcPr>
            <w:tcW w:w="0" w:type="auto"/>
            <w:gridSpan w:val="3"/>
            <w:shd w:val="clear" w:color="auto" w:fill="auto"/>
            <w:vAlign w:val="bottom"/>
          </w:tcPr>
          <w:p w14:paraId="71D487B0" w14:textId="77777777" w:rsidR="006A3667" w:rsidRDefault="006A3667">
            <w:pPr>
              <w:rPr>
                <w:rFonts w:ascii="宋体"/>
                <w:vanish/>
              </w:rPr>
            </w:pPr>
          </w:p>
        </w:tc>
        <w:tc>
          <w:tcPr>
            <w:tcW w:w="0" w:type="auto"/>
            <w:gridSpan w:val="3"/>
            <w:shd w:val="clear" w:color="auto" w:fill="auto"/>
            <w:vAlign w:val="bottom"/>
          </w:tcPr>
          <w:p w14:paraId="71D487B1" w14:textId="77777777" w:rsidR="006A3667" w:rsidRDefault="006A3667">
            <w:pPr>
              <w:rPr>
                <w:rFonts w:ascii="宋体"/>
                <w:vanish/>
              </w:rPr>
            </w:pPr>
          </w:p>
        </w:tc>
        <w:tc>
          <w:tcPr>
            <w:tcW w:w="0" w:type="auto"/>
            <w:gridSpan w:val="3"/>
            <w:shd w:val="clear" w:color="auto" w:fill="auto"/>
            <w:vAlign w:val="bottom"/>
          </w:tcPr>
          <w:p w14:paraId="71D487B2" w14:textId="77777777" w:rsidR="006A3667" w:rsidRDefault="006A3667">
            <w:pPr>
              <w:rPr>
                <w:rFonts w:ascii="宋体"/>
                <w:vanish/>
              </w:rPr>
            </w:pPr>
          </w:p>
        </w:tc>
        <w:tc>
          <w:tcPr>
            <w:tcW w:w="0" w:type="auto"/>
            <w:gridSpan w:val="3"/>
            <w:shd w:val="clear" w:color="auto" w:fill="auto"/>
            <w:vAlign w:val="bottom"/>
          </w:tcPr>
          <w:p w14:paraId="71D487B3" w14:textId="77777777" w:rsidR="006A3667" w:rsidRDefault="006A3667">
            <w:pPr>
              <w:rPr>
                <w:rFonts w:ascii="宋体"/>
                <w:vanish/>
              </w:rPr>
            </w:pPr>
          </w:p>
        </w:tc>
        <w:tc>
          <w:tcPr>
            <w:tcW w:w="0" w:type="auto"/>
            <w:gridSpan w:val="3"/>
            <w:shd w:val="clear" w:color="auto" w:fill="auto"/>
            <w:vAlign w:val="bottom"/>
          </w:tcPr>
          <w:p w14:paraId="71D487B4" w14:textId="77777777" w:rsidR="006A3667" w:rsidRDefault="006A3667">
            <w:pPr>
              <w:rPr>
                <w:rFonts w:ascii="宋体"/>
                <w:vanish/>
              </w:rPr>
            </w:pPr>
          </w:p>
        </w:tc>
        <w:tc>
          <w:tcPr>
            <w:tcW w:w="0" w:type="auto"/>
            <w:gridSpan w:val="3"/>
            <w:shd w:val="clear" w:color="auto" w:fill="auto"/>
            <w:vAlign w:val="bottom"/>
          </w:tcPr>
          <w:p w14:paraId="71D487B5" w14:textId="77777777" w:rsidR="006A3667" w:rsidRDefault="006A3667">
            <w:pPr>
              <w:rPr>
                <w:rFonts w:ascii="宋体"/>
                <w:vanish/>
              </w:rPr>
            </w:pPr>
          </w:p>
        </w:tc>
      </w:tr>
      <w:tr w:rsidR="006A3667" w14:paraId="71D487C9" w14:textId="77777777">
        <w:trPr>
          <w:hidden/>
        </w:trPr>
        <w:tc>
          <w:tcPr>
            <w:tcW w:w="0" w:type="auto"/>
            <w:gridSpan w:val="3"/>
            <w:shd w:val="clear" w:color="auto" w:fill="auto"/>
            <w:vAlign w:val="bottom"/>
          </w:tcPr>
          <w:p w14:paraId="71D487B7" w14:textId="77777777" w:rsidR="006A3667" w:rsidRDefault="006A3667">
            <w:pPr>
              <w:rPr>
                <w:rFonts w:ascii="宋体"/>
                <w:vanish/>
              </w:rPr>
            </w:pPr>
          </w:p>
        </w:tc>
        <w:tc>
          <w:tcPr>
            <w:tcW w:w="0" w:type="auto"/>
            <w:shd w:val="clear" w:color="auto" w:fill="auto"/>
            <w:vAlign w:val="bottom"/>
          </w:tcPr>
          <w:p w14:paraId="71D487B8" w14:textId="77777777" w:rsidR="006A3667" w:rsidRDefault="006A3667">
            <w:pPr>
              <w:rPr>
                <w:rFonts w:ascii="宋体"/>
                <w:vanish/>
              </w:rPr>
            </w:pPr>
          </w:p>
        </w:tc>
        <w:tc>
          <w:tcPr>
            <w:tcW w:w="0" w:type="auto"/>
            <w:shd w:val="clear" w:color="auto" w:fill="auto"/>
            <w:vAlign w:val="bottom"/>
          </w:tcPr>
          <w:p w14:paraId="71D487B9" w14:textId="77777777" w:rsidR="006A3667" w:rsidRDefault="006A3667">
            <w:pPr>
              <w:rPr>
                <w:rFonts w:ascii="宋体"/>
                <w:vanish/>
              </w:rPr>
            </w:pPr>
          </w:p>
        </w:tc>
        <w:tc>
          <w:tcPr>
            <w:tcW w:w="0" w:type="auto"/>
            <w:shd w:val="clear" w:color="auto" w:fill="auto"/>
            <w:vAlign w:val="bottom"/>
          </w:tcPr>
          <w:p w14:paraId="71D487BA" w14:textId="77777777" w:rsidR="006A3667" w:rsidRDefault="006A3667">
            <w:pPr>
              <w:rPr>
                <w:rFonts w:ascii="宋体"/>
                <w:vanish/>
              </w:rPr>
            </w:pPr>
          </w:p>
        </w:tc>
        <w:tc>
          <w:tcPr>
            <w:tcW w:w="0" w:type="auto"/>
            <w:shd w:val="clear" w:color="auto" w:fill="auto"/>
            <w:vAlign w:val="bottom"/>
          </w:tcPr>
          <w:p w14:paraId="71D487BB" w14:textId="77777777" w:rsidR="006A3667" w:rsidRDefault="006A3667">
            <w:pPr>
              <w:rPr>
                <w:rFonts w:ascii="宋体"/>
                <w:vanish/>
              </w:rPr>
            </w:pPr>
          </w:p>
        </w:tc>
        <w:tc>
          <w:tcPr>
            <w:tcW w:w="0" w:type="auto"/>
            <w:shd w:val="clear" w:color="auto" w:fill="auto"/>
            <w:vAlign w:val="bottom"/>
          </w:tcPr>
          <w:p w14:paraId="71D487BC" w14:textId="77777777" w:rsidR="006A3667" w:rsidRDefault="006A3667">
            <w:pPr>
              <w:rPr>
                <w:rFonts w:ascii="宋体"/>
                <w:vanish/>
              </w:rPr>
            </w:pPr>
          </w:p>
        </w:tc>
        <w:tc>
          <w:tcPr>
            <w:tcW w:w="0" w:type="auto"/>
            <w:gridSpan w:val="3"/>
            <w:shd w:val="clear" w:color="auto" w:fill="auto"/>
            <w:vAlign w:val="bottom"/>
          </w:tcPr>
          <w:p w14:paraId="71D487BD" w14:textId="77777777" w:rsidR="006A3667" w:rsidRDefault="006A3667">
            <w:pPr>
              <w:rPr>
                <w:rFonts w:ascii="宋体"/>
                <w:vanish/>
              </w:rPr>
            </w:pPr>
          </w:p>
        </w:tc>
        <w:tc>
          <w:tcPr>
            <w:tcW w:w="0" w:type="auto"/>
            <w:gridSpan w:val="3"/>
            <w:shd w:val="clear" w:color="auto" w:fill="auto"/>
            <w:vAlign w:val="bottom"/>
          </w:tcPr>
          <w:p w14:paraId="71D487BE" w14:textId="77777777" w:rsidR="006A3667" w:rsidRDefault="006A3667">
            <w:pPr>
              <w:rPr>
                <w:rFonts w:ascii="宋体"/>
                <w:vanish/>
              </w:rPr>
            </w:pPr>
          </w:p>
        </w:tc>
        <w:tc>
          <w:tcPr>
            <w:tcW w:w="0" w:type="auto"/>
            <w:gridSpan w:val="3"/>
            <w:shd w:val="clear" w:color="auto" w:fill="auto"/>
            <w:vAlign w:val="bottom"/>
          </w:tcPr>
          <w:p w14:paraId="71D487BF" w14:textId="77777777" w:rsidR="006A3667" w:rsidRDefault="006A3667">
            <w:pPr>
              <w:rPr>
                <w:rFonts w:ascii="宋体"/>
                <w:vanish/>
              </w:rPr>
            </w:pPr>
          </w:p>
        </w:tc>
        <w:tc>
          <w:tcPr>
            <w:tcW w:w="0" w:type="auto"/>
            <w:gridSpan w:val="3"/>
            <w:shd w:val="clear" w:color="auto" w:fill="auto"/>
            <w:vAlign w:val="bottom"/>
          </w:tcPr>
          <w:p w14:paraId="71D487C0" w14:textId="77777777" w:rsidR="006A3667" w:rsidRDefault="006A3667">
            <w:pPr>
              <w:rPr>
                <w:rFonts w:ascii="宋体"/>
                <w:vanish/>
              </w:rPr>
            </w:pPr>
          </w:p>
        </w:tc>
        <w:tc>
          <w:tcPr>
            <w:tcW w:w="0" w:type="auto"/>
            <w:gridSpan w:val="3"/>
            <w:shd w:val="clear" w:color="auto" w:fill="auto"/>
            <w:vAlign w:val="bottom"/>
          </w:tcPr>
          <w:p w14:paraId="71D487C1" w14:textId="77777777" w:rsidR="006A3667" w:rsidRDefault="006A3667">
            <w:pPr>
              <w:rPr>
                <w:rFonts w:ascii="宋体"/>
                <w:vanish/>
              </w:rPr>
            </w:pPr>
          </w:p>
        </w:tc>
        <w:tc>
          <w:tcPr>
            <w:tcW w:w="0" w:type="auto"/>
            <w:gridSpan w:val="3"/>
            <w:shd w:val="clear" w:color="auto" w:fill="auto"/>
            <w:vAlign w:val="bottom"/>
          </w:tcPr>
          <w:p w14:paraId="71D487C2" w14:textId="77777777" w:rsidR="006A3667" w:rsidRDefault="006A3667">
            <w:pPr>
              <w:rPr>
                <w:rFonts w:ascii="宋体"/>
                <w:vanish/>
              </w:rPr>
            </w:pPr>
          </w:p>
        </w:tc>
        <w:tc>
          <w:tcPr>
            <w:tcW w:w="0" w:type="auto"/>
            <w:gridSpan w:val="3"/>
            <w:shd w:val="clear" w:color="auto" w:fill="auto"/>
            <w:vAlign w:val="bottom"/>
          </w:tcPr>
          <w:p w14:paraId="71D487C3" w14:textId="77777777" w:rsidR="006A3667" w:rsidRDefault="006A3667">
            <w:pPr>
              <w:rPr>
                <w:rFonts w:ascii="宋体"/>
                <w:vanish/>
              </w:rPr>
            </w:pPr>
          </w:p>
        </w:tc>
        <w:tc>
          <w:tcPr>
            <w:tcW w:w="0" w:type="auto"/>
            <w:gridSpan w:val="3"/>
            <w:shd w:val="clear" w:color="auto" w:fill="auto"/>
            <w:vAlign w:val="bottom"/>
          </w:tcPr>
          <w:p w14:paraId="71D487C4" w14:textId="77777777" w:rsidR="006A3667" w:rsidRDefault="006A3667">
            <w:pPr>
              <w:rPr>
                <w:rFonts w:ascii="宋体"/>
                <w:vanish/>
              </w:rPr>
            </w:pPr>
          </w:p>
        </w:tc>
        <w:tc>
          <w:tcPr>
            <w:tcW w:w="0" w:type="auto"/>
            <w:gridSpan w:val="3"/>
            <w:shd w:val="clear" w:color="auto" w:fill="auto"/>
            <w:vAlign w:val="bottom"/>
          </w:tcPr>
          <w:p w14:paraId="71D487C5" w14:textId="77777777" w:rsidR="006A3667" w:rsidRDefault="006A3667">
            <w:pPr>
              <w:rPr>
                <w:rFonts w:ascii="宋体"/>
                <w:vanish/>
              </w:rPr>
            </w:pPr>
          </w:p>
        </w:tc>
        <w:tc>
          <w:tcPr>
            <w:tcW w:w="0" w:type="auto"/>
            <w:gridSpan w:val="3"/>
            <w:shd w:val="clear" w:color="auto" w:fill="auto"/>
            <w:vAlign w:val="bottom"/>
          </w:tcPr>
          <w:p w14:paraId="71D487C6" w14:textId="77777777" w:rsidR="006A3667" w:rsidRDefault="006A3667">
            <w:pPr>
              <w:rPr>
                <w:rFonts w:ascii="宋体"/>
                <w:vanish/>
              </w:rPr>
            </w:pPr>
          </w:p>
        </w:tc>
        <w:tc>
          <w:tcPr>
            <w:tcW w:w="0" w:type="auto"/>
            <w:gridSpan w:val="3"/>
            <w:shd w:val="clear" w:color="auto" w:fill="auto"/>
            <w:vAlign w:val="bottom"/>
          </w:tcPr>
          <w:p w14:paraId="71D487C7" w14:textId="77777777" w:rsidR="006A3667" w:rsidRDefault="006A3667">
            <w:pPr>
              <w:rPr>
                <w:rFonts w:ascii="宋体"/>
                <w:vanish/>
              </w:rPr>
            </w:pPr>
          </w:p>
        </w:tc>
        <w:tc>
          <w:tcPr>
            <w:tcW w:w="0" w:type="auto"/>
            <w:gridSpan w:val="3"/>
            <w:shd w:val="clear" w:color="auto" w:fill="auto"/>
            <w:vAlign w:val="bottom"/>
          </w:tcPr>
          <w:p w14:paraId="71D487C8" w14:textId="77777777" w:rsidR="006A3667" w:rsidRDefault="006A3667">
            <w:pPr>
              <w:rPr>
                <w:rFonts w:ascii="宋体"/>
                <w:vanish/>
              </w:rPr>
            </w:pPr>
          </w:p>
        </w:tc>
      </w:tr>
    </w:tbl>
    <w:p w14:paraId="71D487CA" w14:textId="77777777" w:rsidR="006A3667" w:rsidRDefault="00045F32">
      <w:pPr>
        <w:ind w:firstLine="450"/>
      </w:pPr>
      <w:r>
        <w:rPr>
          <w:rFonts w:ascii="Arial" w:eastAsia="宋体" w:hAnsi="Arial" w:cs="Arial"/>
          <w:color w:val="000000"/>
          <w:sz w:val="20"/>
          <w:szCs w:val="20"/>
        </w:rPr>
        <w:t>The tables below present the dividends declared on common stock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1052"/>
        <w:gridCol w:w="36"/>
        <w:gridCol w:w="99"/>
        <w:gridCol w:w="1430"/>
        <w:gridCol w:w="36"/>
        <w:gridCol w:w="36"/>
        <w:gridCol w:w="36"/>
        <w:gridCol w:w="36"/>
        <w:gridCol w:w="99"/>
        <w:gridCol w:w="1390"/>
        <w:gridCol w:w="36"/>
        <w:gridCol w:w="36"/>
        <w:gridCol w:w="36"/>
        <w:gridCol w:w="36"/>
        <w:gridCol w:w="99"/>
        <w:gridCol w:w="1390"/>
        <w:gridCol w:w="36"/>
        <w:gridCol w:w="36"/>
        <w:gridCol w:w="36"/>
        <w:gridCol w:w="36"/>
        <w:gridCol w:w="99"/>
        <w:gridCol w:w="139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6A3667" w14:paraId="71D487EB" w14:textId="77777777">
        <w:tc>
          <w:tcPr>
            <w:tcW w:w="50" w:type="pct"/>
            <w:shd w:val="clear" w:color="auto" w:fill="auto"/>
            <w:vAlign w:val="bottom"/>
          </w:tcPr>
          <w:p w14:paraId="71D487CB" w14:textId="77777777" w:rsidR="006A3667" w:rsidRDefault="006A3667">
            <w:pPr>
              <w:rPr>
                <w:rFonts w:ascii="宋体"/>
              </w:rPr>
            </w:pPr>
          </w:p>
        </w:tc>
        <w:tc>
          <w:tcPr>
            <w:tcW w:w="729" w:type="pct"/>
            <w:shd w:val="clear" w:color="auto" w:fill="auto"/>
            <w:vAlign w:val="bottom"/>
          </w:tcPr>
          <w:p w14:paraId="71D487CC" w14:textId="77777777" w:rsidR="006A3667" w:rsidRDefault="006A3667">
            <w:pPr>
              <w:rPr>
                <w:rFonts w:ascii="宋体"/>
              </w:rPr>
            </w:pPr>
          </w:p>
        </w:tc>
        <w:tc>
          <w:tcPr>
            <w:tcW w:w="5" w:type="pct"/>
            <w:shd w:val="clear" w:color="auto" w:fill="auto"/>
            <w:vAlign w:val="bottom"/>
          </w:tcPr>
          <w:p w14:paraId="71D487CD" w14:textId="77777777" w:rsidR="006A3667" w:rsidRDefault="006A3667">
            <w:pPr>
              <w:rPr>
                <w:rFonts w:ascii="宋体"/>
              </w:rPr>
            </w:pPr>
          </w:p>
        </w:tc>
        <w:tc>
          <w:tcPr>
            <w:tcW w:w="50" w:type="pct"/>
            <w:shd w:val="clear" w:color="auto" w:fill="auto"/>
            <w:vAlign w:val="bottom"/>
          </w:tcPr>
          <w:p w14:paraId="71D487CE" w14:textId="77777777" w:rsidR="006A3667" w:rsidRDefault="006A3667">
            <w:pPr>
              <w:rPr>
                <w:rFonts w:ascii="宋体"/>
              </w:rPr>
            </w:pPr>
          </w:p>
        </w:tc>
        <w:tc>
          <w:tcPr>
            <w:tcW w:w="971" w:type="pct"/>
            <w:shd w:val="clear" w:color="auto" w:fill="auto"/>
            <w:vAlign w:val="bottom"/>
          </w:tcPr>
          <w:p w14:paraId="71D487CF" w14:textId="77777777" w:rsidR="006A3667" w:rsidRDefault="006A3667">
            <w:pPr>
              <w:rPr>
                <w:rFonts w:ascii="宋体"/>
              </w:rPr>
            </w:pPr>
          </w:p>
        </w:tc>
        <w:tc>
          <w:tcPr>
            <w:tcW w:w="5" w:type="pct"/>
            <w:shd w:val="clear" w:color="auto" w:fill="auto"/>
            <w:vAlign w:val="bottom"/>
          </w:tcPr>
          <w:p w14:paraId="71D487D0" w14:textId="77777777" w:rsidR="006A3667" w:rsidRDefault="006A3667">
            <w:pPr>
              <w:rPr>
                <w:rFonts w:ascii="宋体"/>
              </w:rPr>
            </w:pPr>
          </w:p>
        </w:tc>
        <w:tc>
          <w:tcPr>
            <w:tcW w:w="5" w:type="pct"/>
            <w:shd w:val="clear" w:color="auto" w:fill="auto"/>
            <w:vAlign w:val="bottom"/>
          </w:tcPr>
          <w:p w14:paraId="71D487D1" w14:textId="77777777" w:rsidR="006A3667" w:rsidRDefault="006A3667">
            <w:pPr>
              <w:rPr>
                <w:rFonts w:ascii="宋体"/>
              </w:rPr>
            </w:pPr>
          </w:p>
        </w:tc>
        <w:tc>
          <w:tcPr>
            <w:tcW w:w="26" w:type="pct"/>
            <w:shd w:val="clear" w:color="auto" w:fill="auto"/>
            <w:vAlign w:val="bottom"/>
          </w:tcPr>
          <w:p w14:paraId="71D487D2" w14:textId="77777777" w:rsidR="006A3667" w:rsidRDefault="006A3667">
            <w:pPr>
              <w:rPr>
                <w:rFonts w:ascii="宋体"/>
              </w:rPr>
            </w:pPr>
          </w:p>
        </w:tc>
        <w:tc>
          <w:tcPr>
            <w:tcW w:w="5" w:type="pct"/>
            <w:shd w:val="clear" w:color="auto" w:fill="auto"/>
            <w:vAlign w:val="bottom"/>
          </w:tcPr>
          <w:p w14:paraId="71D487D3" w14:textId="77777777" w:rsidR="006A3667" w:rsidRDefault="006A3667">
            <w:pPr>
              <w:rPr>
                <w:rFonts w:ascii="宋体"/>
              </w:rPr>
            </w:pPr>
          </w:p>
        </w:tc>
        <w:tc>
          <w:tcPr>
            <w:tcW w:w="50" w:type="pct"/>
            <w:shd w:val="clear" w:color="auto" w:fill="auto"/>
            <w:vAlign w:val="bottom"/>
          </w:tcPr>
          <w:p w14:paraId="71D487D4" w14:textId="77777777" w:rsidR="006A3667" w:rsidRDefault="006A3667">
            <w:pPr>
              <w:rPr>
                <w:rFonts w:ascii="宋体"/>
              </w:rPr>
            </w:pPr>
          </w:p>
        </w:tc>
        <w:tc>
          <w:tcPr>
            <w:tcW w:w="971" w:type="pct"/>
            <w:shd w:val="clear" w:color="auto" w:fill="auto"/>
            <w:vAlign w:val="bottom"/>
          </w:tcPr>
          <w:p w14:paraId="71D487D5" w14:textId="77777777" w:rsidR="006A3667" w:rsidRDefault="006A3667">
            <w:pPr>
              <w:rPr>
                <w:rFonts w:ascii="宋体"/>
              </w:rPr>
            </w:pPr>
          </w:p>
        </w:tc>
        <w:tc>
          <w:tcPr>
            <w:tcW w:w="5" w:type="pct"/>
            <w:shd w:val="clear" w:color="auto" w:fill="auto"/>
            <w:vAlign w:val="bottom"/>
          </w:tcPr>
          <w:p w14:paraId="71D487D6" w14:textId="77777777" w:rsidR="006A3667" w:rsidRDefault="006A3667">
            <w:pPr>
              <w:rPr>
                <w:rFonts w:ascii="宋体"/>
              </w:rPr>
            </w:pPr>
          </w:p>
        </w:tc>
        <w:tc>
          <w:tcPr>
            <w:tcW w:w="5" w:type="pct"/>
            <w:shd w:val="clear" w:color="auto" w:fill="auto"/>
            <w:vAlign w:val="bottom"/>
          </w:tcPr>
          <w:p w14:paraId="71D487D7" w14:textId="77777777" w:rsidR="006A3667" w:rsidRDefault="006A3667">
            <w:pPr>
              <w:rPr>
                <w:rFonts w:ascii="宋体"/>
              </w:rPr>
            </w:pPr>
          </w:p>
        </w:tc>
        <w:tc>
          <w:tcPr>
            <w:tcW w:w="26" w:type="pct"/>
            <w:shd w:val="clear" w:color="auto" w:fill="auto"/>
            <w:vAlign w:val="bottom"/>
          </w:tcPr>
          <w:p w14:paraId="71D487D8" w14:textId="77777777" w:rsidR="006A3667" w:rsidRDefault="006A3667">
            <w:pPr>
              <w:rPr>
                <w:rFonts w:ascii="宋体"/>
              </w:rPr>
            </w:pPr>
          </w:p>
        </w:tc>
        <w:tc>
          <w:tcPr>
            <w:tcW w:w="5" w:type="pct"/>
            <w:shd w:val="clear" w:color="auto" w:fill="auto"/>
            <w:vAlign w:val="bottom"/>
          </w:tcPr>
          <w:p w14:paraId="71D487D9" w14:textId="77777777" w:rsidR="006A3667" w:rsidRDefault="006A3667">
            <w:pPr>
              <w:rPr>
                <w:rFonts w:ascii="宋体"/>
              </w:rPr>
            </w:pPr>
          </w:p>
        </w:tc>
        <w:tc>
          <w:tcPr>
            <w:tcW w:w="50" w:type="pct"/>
            <w:shd w:val="clear" w:color="auto" w:fill="auto"/>
            <w:vAlign w:val="bottom"/>
          </w:tcPr>
          <w:p w14:paraId="71D487DA" w14:textId="77777777" w:rsidR="006A3667" w:rsidRDefault="006A3667">
            <w:pPr>
              <w:rPr>
                <w:rFonts w:ascii="宋体"/>
              </w:rPr>
            </w:pPr>
          </w:p>
        </w:tc>
        <w:tc>
          <w:tcPr>
            <w:tcW w:w="971" w:type="pct"/>
            <w:shd w:val="clear" w:color="auto" w:fill="auto"/>
            <w:vAlign w:val="bottom"/>
          </w:tcPr>
          <w:p w14:paraId="71D487DB" w14:textId="77777777" w:rsidR="006A3667" w:rsidRDefault="006A3667">
            <w:pPr>
              <w:rPr>
                <w:rFonts w:ascii="宋体"/>
              </w:rPr>
            </w:pPr>
          </w:p>
        </w:tc>
        <w:tc>
          <w:tcPr>
            <w:tcW w:w="5" w:type="pct"/>
            <w:shd w:val="clear" w:color="auto" w:fill="auto"/>
            <w:vAlign w:val="bottom"/>
          </w:tcPr>
          <w:p w14:paraId="71D487DC" w14:textId="77777777" w:rsidR="006A3667" w:rsidRDefault="006A3667">
            <w:pPr>
              <w:rPr>
                <w:rFonts w:ascii="宋体"/>
              </w:rPr>
            </w:pPr>
          </w:p>
        </w:tc>
        <w:tc>
          <w:tcPr>
            <w:tcW w:w="5" w:type="pct"/>
            <w:shd w:val="clear" w:color="auto" w:fill="auto"/>
            <w:vAlign w:val="bottom"/>
          </w:tcPr>
          <w:p w14:paraId="71D487DD" w14:textId="77777777" w:rsidR="006A3667" w:rsidRDefault="006A3667">
            <w:pPr>
              <w:rPr>
                <w:rFonts w:ascii="宋体"/>
              </w:rPr>
            </w:pPr>
          </w:p>
        </w:tc>
        <w:tc>
          <w:tcPr>
            <w:tcW w:w="26" w:type="pct"/>
            <w:shd w:val="clear" w:color="auto" w:fill="auto"/>
            <w:vAlign w:val="bottom"/>
          </w:tcPr>
          <w:p w14:paraId="71D487DE" w14:textId="77777777" w:rsidR="006A3667" w:rsidRDefault="006A3667">
            <w:pPr>
              <w:rPr>
                <w:rFonts w:ascii="宋体"/>
              </w:rPr>
            </w:pPr>
          </w:p>
        </w:tc>
        <w:tc>
          <w:tcPr>
            <w:tcW w:w="5" w:type="pct"/>
            <w:shd w:val="clear" w:color="auto" w:fill="auto"/>
            <w:vAlign w:val="bottom"/>
          </w:tcPr>
          <w:p w14:paraId="71D487DF" w14:textId="77777777" w:rsidR="006A3667" w:rsidRDefault="006A3667">
            <w:pPr>
              <w:rPr>
                <w:rFonts w:ascii="宋体"/>
              </w:rPr>
            </w:pPr>
          </w:p>
        </w:tc>
        <w:tc>
          <w:tcPr>
            <w:tcW w:w="50" w:type="pct"/>
            <w:shd w:val="clear" w:color="auto" w:fill="auto"/>
            <w:vAlign w:val="bottom"/>
          </w:tcPr>
          <w:p w14:paraId="71D487E0" w14:textId="77777777" w:rsidR="006A3667" w:rsidRDefault="006A3667">
            <w:pPr>
              <w:rPr>
                <w:rFonts w:ascii="宋体"/>
              </w:rPr>
            </w:pPr>
          </w:p>
        </w:tc>
        <w:tc>
          <w:tcPr>
            <w:tcW w:w="971" w:type="pct"/>
            <w:shd w:val="clear" w:color="auto" w:fill="auto"/>
            <w:vAlign w:val="bottom"/>
          </w:tcPr>
          <w:p w14:paraId="71D487E1" w14:textId="77777777" w:rsidR="006A3667" w:rsidRDefault="006A3667">
            <w:pPr>
              <w:rPr>
                <w:rFonts w:ascii="宋体"/>
              </w:rPr>
            </w:pPr>
          </w:p>
        </w:tc>
        <w:tc>
          <w:tcPr>
            <w:tcW w:w="5" w:type="pct"/>
            <w:shd w:val="clear" w:color="auto" w:fill="auto"/>
            <w:vAlign w:val="bottom"/>
          </w:tcPr>
          <w:p w14:paraId="71D487E2" w14:textId="77777777" w:rsidR="006A3667" w:rsidRDefault="006A3667">
            <w:pPr>
              <w:rPr>
                <w:rFonts w:ascii="宋体"/>
              </w:rPr>
            </w:pPr>
          </w:p>
        </w:tc>
        <w:tc>
          <w:tcPr>
            <w:tcW w:w="0" w:type="auto"/>
            <w:shd w:val="clear" w:color="auto" w:fill="auto"/>
            <w:vAlign w:val="bottom"/>
          </w:tcPr>
          <w:p w14:paraId="71D487E3" w14:textId="77777777" w:rsidR="006A3667" w:rsidRDefault="006A3667">
            <w:pPr>
              <w:rPr>
                <w:rFonts w:ascii="宋体"/>
                <w:vanish/>
              </w:rPr>
            </w:pPr>
          </w:p>
        </w:tc>
        <w:tc>
          <w:tcPr>
            <w:tcW w:w="0" w:type="auto"/>
            <w:shd w:val="clear" w:color="auto" w:fill="auto"/>
            <w:vAlign w:val="bottom"/>
          </w:tcPr>
          <w:p w14:paraId="71D487E4" w14:textId="77777777" w:rsidR="006A3667" w:rsidRDefault="006A3667">
            <w:pPr>
              <w:rPr>
                <w:rFonts w:ascii="宋体"/>
                <w:vanish/>
              </w:rPr>
            </w:pPr>
          </w:p>
        </w:tc>
        <w:tc>
          <w:tcPr>
            <w:tcW w:w="0" w:type="auto"/>
            <w:gridSpan w:val="3"/>
            <w:shd w:val="clear" w:color="auto" w:fill="auto"/>
            <w:vAlign w:val="bottom"/>
          </w:tcPr>
          <w:p w14:paraId="71D487E5" w14:textId="77777777" w:rsidR="006A3667" w:rsidRDefault="006A3667">
            <w:pPr>
              <w:rPr>
                <w:rFonts w:ascii="宋体"/>
                <w:vanish/>
              </w:rPr>
            </w:pPr>
          </w:p>
        </w:tc>
        <w:tc>
          <w:tcPr>
            <w:tcW w:w="0" w:type="auto"/>
            <w:gridSpan w:val="3"/>
            <w:shd w:val="clear" w:color="auto" w:fill="auto"/>
            <w:vAlign w:val="bottom"/>
          </w:tcPr>
          <w:p w14:paraId="71D487E6" w14:textId="77777777" w:rsidR="006A3667" w:rsidRDefault="006A3667">
            <w:pPr>
              <w:rPr>
                <w:rFonts w:ascii="宋体"/>
                <w:vanish/>
              </w:rPr>
            </w:pPr>
          </w:p>
        </w:tc>
        <w:tc>
          <w:tcPr>
            <w:tcW w:w="0" w:type="auto"/>
            <w:gridSpan w:val="3"/>
            <w:shd w:val="clear" w:color="auto" w:fill="auto"/>
            <w:vAlign w:val="bottom"/>
          </w:tcPr>
          <w:p w14:paraId="71D487E7" w14:textId="77777777" w:rsidR="006A3667" w:rsidRDefault="006A3667">
            <w:pPr>
              <w:rPr>
                <w:rFonts w:ascii="宋体"/>
                <w:vanish/>
              </w:rPr>
            </w:pPr>
          </w:p>
        </w:tc>
        <w:tc>
          <w:tcPr>
            <w:tcW w:w="0" w:type="auto"/>
            <w:gridSpan w:val="3"/>
            <w:shd w:val="clear" w:color="auto" w:fill="auto"/>
            <w:vAlign w:val="bottom"/>
          </w:tcPr>
          <w:p w14:paraId="71D487E8" w14:textId="77777777" w:rsidR="006A3667" w:rsidRDefault="006A3667">
            <w:pPr>
              <w:rPr>
                <w:rFonts w:ascii="宋体"/>
                <w:vanish/>
              </w:rPr>
            </w:pPr>
          </w:p>
        </w:tc>
        <w:tc>
          <w:tcPr>
            <w:tcW w:w="0" w:type="auto"/>
            <w:gridSpan w:val="3"/>
            <w:shd w:val="clear" w:color="auto" w:fill="auto"/>
            <w:vAlign w:val="bottom"/>
          </w:tcPr>
          <w:p w14:paraId="71D487E9" w14:textId="77777777" w:rsidR="006A3667" w:rsidRDefault="006A3667">
            <w:pPr>
              <w:rPr>
                <w:rFonts w:ascii="宋体"/>
                <w:vanish/>
              </w:rPr>
            </w:pPr>
          </w:p>
        </w:tc>
        <w:tc>
          <w:tcPr>
            <w:tcW w:w="0" w:type="auto"/>
            <w:gridSpan w:val="3"/>
            <w:shd w:val="clear" w:color="auto" w:fill="auto"/>
            <w:vAlign w:val="bottom"/>
          </w:tcPr>
          <w:p w14:paraId="71D487EA" w14:textId="77777777" w:rsidR="006A3667" w:rsidRDefault="006A3667">
            <w:pPr>
              <w:rPr>
                <w:rFonts w:ascii="宋体"/>
                <w:vanish/>
              </w:rPr>
            </w:pPr>
          </w:p>
        </w:tc>
      </w:tr>
      <w:tr w:rsidR="006A3667" w14:paraId="71D48802" w14:textId="77777777">
        <w:tc>
          <w:tcPr>
            <w:tcW w:w="0" w:type="auto"/>
            <w:gridSpan w:val="3"/>
            <w:shd w:val="clear" w:color="auto" w:fill="auto"/>
            <w:tcMar>
              <w:top w:w="0" w:type="dxa"/>
              <w:left w:w="20" w:type="dxa"/>
              <w:bottom w:w="0" w:type="dxa"/>
              <w:right w:w="20" w:type="dxa"/>
            </w:tcMar>
            <w:vAlign w:val="bottom"/>
          </w:tcPr>
          <w:p w14:paraId="71D487EC" w14:textId="77777777" w:rsidR="006A3667" w:rsidRDefault="006A366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1D487ED"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shd w:val="clear" w:color="auto" w:fill="auto"/>
            <w:vAlign w:val="bottom"/>
          </w:tcPr>
          <w:p w14:paraId="71D487EE" w14:textId="77777777" w:rsidR="006A3667" w:rsidRDefault="006A3667">
            <w:pPr>
              <w:rPr>
                <w:rFonts w:ascii="宋体"/>
                <w:vanish/>
              </w:rPr>
            </w:pPr>
          </w:p>
        </w:tc>
        <w:tc>
          <w:tcPr>
            <w:tcW w:w="0" w:type="auto"/>
            <w:shd w:val="clear" w:color="auto" w:fill="auto"/>
            <w:vAlign w:val="bottom"/>
          </w:tcPr>
          <w:p w14:paraId="71D487EF" w14:textId="77777777" w:rsidR="006A3667" w:rsidRDefault="006A3667">
            <w:pPr>
              <w:rPr>
                <w:rFonts w:ascii="宋体"/>
                <w:vanish/>
              </w:rPr>
            </w:pPr>
          </w:p>
        </w:tc>
        <w:tc>
          <w:tcPr>
            <w:tcW w:w="0" w:type="auto"/>
            <w:shd w:val="clear" w:color="auto" w:fill="auto"/>
            <w:vAlign w:val="bottom"/>
          </w:tcPr>
          <w:p w14:paraId="71D487F0" w14:textId="77777777" w:rsidR="006A3667" w:rsidRDefault="006A3667">
            <w:pPr>
              <w:rPr>
                <w:rFonts w:ascii="宋体"/>
              </w:rPr>
            </w:pPr>
          </w:p>
        </w:tc>
        <w:tc>
          <w:tcPr>
            <w:tcW w:w="0" w:type="auto"/>
            <w:shd w:val="clear" w:color="auto" w:fill="auto"/>
            <w:vAlign w:val="bottom"/>
          </w:tcPr>
          <w:p w14:paraId="71D487F1" w14:textId="77777777" w:rsidR="006A3667" w:rsidRDefault="006A3667">
            <w:pPr>
              <w:rPr>
                <w:rFonts w:ascii="宋体"/>
              </w:rPr>
            </w:pPr>
          </w:p>
        </w:tc>
        <w:tc>
          <w:tcPr>
            <w:tcW w:w="0" w:type="auto"/>
            <w:shd w:val="clear" w:color="auto" w:fill="auto"/>
            <w:vAlign w:val="bottom"/>
          </w:tcPr>
          <w:p w14:paraId="71D487F2" w14:textId="77777777" w:rsidR="006A3667" w:rsidRDefault="006A3667">
            <w:pPr>
              <w:rPr>
                <w:rFonts w:ascii="宋体"/>
              </w:rPr>
            </w:pPr>
          </w:p>
        </w:tc>
        <w:tc>
          <w:tcPr>
            <w:tcW w:w="0" w:type="auto"/>
            <w:shd w:val="clear" w:color="auto" w:fill="auto"/>
            <w:vAlign w:val="bottom"/>
          </w:tcPr>
          <w:p w14:paraId="71D487F3" w14:textId="77777777" w:rsidR="006A3667" w:rsidRDefault="006A3667">
            <w:pPr>
              <w:rPr>
                <w:rFonts w:ascii="宋体"/>
              </w:rPr>
            </w:pPr>
          </w:p>
        </w:tc>
        <w:tc>
          <w:tcPr>
            <w:tcW w:w="0" w:type="auto"/>
            <w:shd w:val="clear" w:color="auto" w:fill="auto"/>
            <w:vAlign w:val="bottom"/>
          </w:tcPr>
          <w:p w14:paraId="71D487F4" w14:textId="77777777" w:rsidR="006A3667" w:rsidRDefault="006A3667">
            <w:pPr>
              <w:rPr>
                <w:rFonts w:ascii="宋体"/>
              </w:rPr>
            </w:pPr>
          </w:p>
        </w:tc>
        <w:tc>
          <w:tcPr>
            <w:tcW w:w="0" w:type="auto"/>
            <w:shd w:val="clear" w:color="auto" w:fill="auto"/>
            <w:vAlign w:val="bottom"/>
          </w:tcPr>
          <w:p w14:paraId="71D487F5" w14:textId="77777777" w:rsidR="006A3667" w:rsidRDefault="006A3667">
            <w:pPr>
              <w:rPr>
                <w:rFonts w:ascii="宋体"/>
              </w:rPr>
            </w:pPr>
          </w:p>
        </w:tc>
        <w:tc>
          <w:tcPr>
            <w:tcW w:w="0" w:type="auto"/>
            <w:shd w:val="clear" w:color="auto" w:fill="auto"/>
            <w:vAlign w:val="bottom"/>
          </w:tcPr>
          <w:p w14:paraId="71D487F6" w14:textId="77777777" w:rsidR="006A3667" w:rsidRDefault="006A3667">
            <w:pPr>
              <w:rPr>
                <w:rFonts w:ascii="宋体"/>
              </w:rPr>
            </w:pPr>
          </w:p>
        </w:tc>
        <w:tc>
          <w:tcPr>
            <w:tcW w:w="0" w:type="auto"/>
            <w:shd w:val="clear" w:color="auto" w:fill="auto"/>
            <w:vAlign w:val="bottom"/>
          </w:tcPr>
          <w:p w14:paraId="71D487F7" w14:textId="77777777" w:rsidR="006A3667" w:rsidRDefault="006A3667">
            <w:pPr>
              <w:rPr>
                <w:rFonts w:ascii="宋体"/>
              </w:rPr>
            </w:pPr>
          </w:p>
        </w:tc>
        <w:tc>
          <w:tcPr>
            <w:tcW w:w="0" w:type="auto"/>
            <w:shd w:val="clear" w:color="auto" w:fill="auto"/>
            <w:vAlign w:val="bottom"/>
          </w:tcPr>
          <w:p w14:paraId="71D487F8" w14:textId="77777777" w:rsidR="006A3667" w:rsidRDefault="006A3667">
            <w:pPr>
              <w:rPr>
                <w:rFonts w:ascii="宋体"/>
              </w:rPr>
            </w:pPr>
          </w:p>
        </w:tc>
        <w:tc>
          <w:tcPr>
            <w:tcW w:w="0" w:type="auto"/>
            <w:shd w:val="clear" w:color="auto" w:fill="auto"/>
            <w:vAlign w:val="bottom"/>
          </w:tcPr>
          <w:p w14:paraId="71D487F9" w14:textId="77777777" w:rsidR="006A3667" w:rsidRDefault="006A3667">
            <w:pPr>
              <w:rPr>
                <w:rFonts w:ascii="宋体"/>
              </w:rPr>
            </w:pPr>
          </w:p>
        </w:tc>
        <w:tc>
          <w:tcPr>
            <w:tcW w:w="0" w:type="auto"/>
            <w:shd w:val="clear" w:color="auto" w:fill="auto"/>
            <w:vAlign w:val="bottom"/>
          </w:tcPr>
          <w:p w14:paraId="71D487FA" w14:textId="77777777" w:rsidR="006A3667" w:rsidRDefault="006A3667">
            <w:pPr>
              <w:rPr>
                <w:rFonts w:ascii="宋体"/>
              </w:rPr>
            </w:pPr>
          </w:p>
        </w:tc>
        <w:tc>
          <w:tcPr>
            <w:tcW w:w="0" w:type="auto"/>
            <w:shd w:val="clear" w:color="auto" w:fill="auto"/>
            <w:vAlign w:val="bottom"/>
          </w:tcPr>
          <w:p w14:paraId="71D487FB" w14:textId="77777777" w:rsidR="006A3667" w:rsidRDefault="006A3667">
            <w:pPr>
              <w:rPr>
                <w:rFonts w:ascii="宋体"/>
              </w:rPr>
            </w:pPr>
          </w:p>
        </w:tc>
        <w:tc>
          <w:tcPr>
            <w:tcW w:w="0" w:type="auto"/>
            <w:shd w:val="clear" w:color="auto" w:fill="auto"/>
            <w:vAlign w:val="bottom"/>
          </w:tcPr>
          <w:p w14:paraId="71D487FC" w14:textId="77777777" w:rsidR="006A3667" w:rsidRDefault="006A3667">
            <w:pPr>
              <w:rPr>
                <w:rFonts w:ascii="宋体"/>
              </w:rPr>
            </w:pPr>
          </w:p>
        </w:tc>
        <w:tc>
          <w:tcPr>
            <w:tcW w:w="0" w:type="auto"/>
            <w:shd w:val="clear" w:color="auto" w:fill="auto"/>
            <w:vAlign w:val="bottom"/>
          </w:tcPr>
          <w:p w14:paraId="71D487FD" w14:textId="77777777" w:rsidR="006A3667" w:rsidRDefault="006A3667">
            <w:pPr>
              <w:rPr>
                <w:rFonts w:ascii="宋体"/>
              </w:rPr>
            </w:pPr>
          </w:p>
        </w:tc>
        <w:tc>
          <w:tcPr>
            <w:tcW w:w="0" w:type="auto"/>
            <w:shd w:val="clear" w:color="auto" w:fill="auto"/>
            <w:vAlign w:val="bottom"/>
          </w:tcPr>
          <w:p w14:paraId="71D487FE" w14:textId="77777777" w:rsidR="006A3667" w:rsidRDefault="006A3667">
            <w:pPr>
              <w:rPr>
                <w:rFonts w:ascii="宋体"/>
              </w:rPr>
            </w:pPr>
          </w:p>
        </w:tc>
        <w:tc>
          <w:tcPr>
            <w:tcW w:w="0" w:type="auto"/>
            <w:shd w:val="clear" w:color="auto" w:fill="auto"/>
            <w:vAlign w:val="bottom"/>
          </w:tcPr>
          <w:p w14:paraId="71D487FF" w14:textId="77777777" w:rsidR="006A3667" w:rsidRDefault="006A3667">
            <w:pPr>
              <w:rPr>
                <w:rFonts w:ascii="宋体"/>
              </w:rPr>
            </w:pPr>
          </w:p>
        </w:tc>
        <w:tc>
          <w:tcPr>
            <w:tcW w:w="0" w:type="auto"/>
            <w:shd w:val="clear" w:color="auto" w:fill="auto"/>
            <w:vAlign w:val="bottom"/>
          </w:tcPr>
          <w:p w14:paraId="71D48800" w14:textId="77777777" w:rsidR="006A3667" w:rsidRDefault="006A3667">
            <w:pPr>
              <w:rPr>
                <w:rFonts w:ascii="宋体"/>
              </w:rPr>
            </w:pPr>
          </w:p>
        </w:tc>
        <w:tc>
          <w:tcPr>
            <w:tcW w:w="0" w:type="auto"/>
            <w:shd w:val="clear" w:color="auto" w:fill="auto"/>
            <w:vAlign w:val="bottom"/>
          </w:tcPr>
          <w:p w14:paraId="71D48801" w14:textId="77777777" w:rsidR="006A3667" w:rsidRDefault="006A3667">
            <w:pPr>
              <w:rPr>
                <w:rFonts w:ascii="宋体"/>
              </w:rPr>
            </w:pPr>
          </w:p>
        </w:tc>
      </w:tr>
      <w:tr w:rsidR="006A3667" w14:paraId="71D48817" w14:textId="77777777">
        <w:tc>
          <w:tcPr>
            <w:tcW w:w="0" w:type="auto"/>
            <w:gridSpan w:val="3"/>
            <w:shd w:val="clear" w:color="auto" w:fill="auto"/>
            <w:tcMar>
              <w:top w:w="0" w:type="dxa"/>
              <w:left w:w="20" w:type="dxa"/>
              <w:bottom w:w="0" w:type="dxa"/>
              <w:right w:w="20" w:type="dxa"/>
            </w:tcMar>
            <w:vAlign w:val="bottom"/>
          </w:tcPr>
          <w:p w14:paraId="71D48803"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8804"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805"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8806" w14:textId="77777777" w:rsidR="006A3667" w:rsidRDefault="00045F32">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71D48807" w14:textId="77777777" w:rsidR="006A3667" w:rsidRDefault="006A3667">
            <w:pPr>
              <w:rPr>
                <w:rFonts w:ascii="宋体"/>
                <w:vanish/>
              </w:rPr>
            </w:pPr>
          </w:p>
        </w:tc>
        <w:tc>
          <w:tcPr>
            <w:tcW w:w="0" w:type="auto"/>
            <w:shd w:val="clear" w:color="auto" w:fill="auto"/>
            <w:vAlign w:val="bottom"/>
          </w:tcPr>
          <w:p w14:paraId="71D48808" w14:textId="77777777" w:rsidR="006A3667" w:rsidRDefault="006A3667">
            <w:pPr>
              <w:rPr>
                <w:rFonts w:ascii="宋体"/>
                <w:vanish/>
              </w:rPr>
            </w:pPr>
          </w:p>
        </w:tc>
        <w:tc>
          <w:tcPr>
            <w:tcW w:w="0" w:type="auto"/>
            <w:gridSpan w:val="3"/>
            <w:shd w:val="clear" w:color="auto" w:fill="auto"/>
            <w:vAlign w:val="bottom"/>
          </w:tcPr>
          <w:p w14:paraId="71D48809" w14:textId="77777777" w:rsidR="006A3667" w:rsidRDefault="006A3667">
            <w:pPr>
              <w:rPr>
                <w:rFonts w:ascii="宋体"/>
                <w:vanish/>
              </w:rPr>
            </w:pPr>
          </w:p>
        </w:tc>
        <w:tc>
          <w:tcPr>
            <w:tcW w:w="0" w:type="auto"/>
            <w:gridSpan w:val="3"/>
            <w:shd w:val="clear" w:color="auto" w:fill="auto"/>
            <w:vAlign w:val="bottom"/>
          </w:tcPr>
          <w:p w14:paraId="71D4880A" w14:textId="77777777" w:rsidR="006A3667" w:rsidRDefault="006A3667">
            <w:pPr>
              <w:rPr>
                <w:rFonts w:ascii="宋体"/>
                <w:vanish/>
              </w:rPr>
            </w:pPr>
          </w:p>
        </w:tc>
        <w:tc>
          <w:tcPr>
            <w:tcW w:w="0" w:type="auto"/>
            <w:shd w:val="clear" w:color="auto" w:fill="auto"/>
            <w:vAlign w:val="bottom"/>
          </w:tcPr>
          <w:p w14:paraId="71D4880B" w14:textId="77777777" w:rsidR="006A3667" w:rsidRDefault="006A3667">
            <w:pPr>
              <w:rPr>
                <w:rFonts w:ascii="宋体"/>
              </w:rPr>
            </w:pPr>
          </w:p>
        </w:tc>
        <w:tc>
          <w:tcPr>
            <w:tcW w:w="0" w:type="auto"/>
            <w:shd w:val="clear" w:color="auto" w:fill="auto"/>
            <w:vAlign w:val="bottom"/>
          </w:tcPr>
          <w:p w14:paraId="71D4880C" w14:textId="77777777" w:rsidR="006A3667" w:rsidRDefault="006A3667">
            <w:pPr>
              <w:rPr>
                <w:rFonts w:ascii="宋体"/>
              </w:rPr>
            </w:pPr>
          </w:p>
        </w:tc>
        <w:tc>
          <w:tcPr>
            <w:tcW w:w="0" w:type="auto"/>
            <w:shd w:val="clear" w:color="auto" w:fill="auto"/>
            <w:vAlign w:val="bottom"/>
          </w:tcPr>
          <w:p w14:paraId="71D4880D" w14:textId="77777777" w:rsidR="006A3667" w:rsidRDefault="006A3667">
            <w:pPr>
              <w:rPr>
                <w:rFonts w:ascii="宋体"/>
              </w:rPr>
            </w:pPr>
          </w:p>
        </w:tc>
        <w:tc>
          <w:tcPr>
            <w:tcW w:w="0" w:type="auto"/>
            <w:shd w:val="clear" w:color="auto" w:fill="auto"/>
            <w:vAlign w:val="bottom"/>
          </w:tcPr>
          <w:p w14:paraId="71D4880E" w14:textId="77777777" w:rsidR="006A3667" w:rsidRDefault="006A3667">
            <w:pPr>
              <w:rPr>
                <w:rFonts w:ascii="宋体"/>
              </w:rPr>
            </w:pPr>
          </w:p>
        </w:tc>
        <w:tc>
          <w:tcPr>
            <w:tcW w:w="0" w:type="auto"/>
            <w:shd w:val="clear" w:color="auto" w:fill="auto"/>
            <w:vAlign w:val="bottom"/>
          </w:tcPr>
          <w:p w14:paraId="71D4880F" w14:textId="77777777" w:rsidR="006A3667" w:rsidRDefault="006A3667">
            <w:pPr>
              <w:rPr>
                <w:rFonts w:ascii="宋体"/>
              </w:rPr>
            </w:pPr>
          </w:p>
        </w:tc>
        <w:tc>
          <w:tcPr>
            <w:tcW w:w="0" w:type="auto"/>
            <w:shd w:val="clear" w:color="auto" w:fill="auto"/>
            <w:vAlign w:val="bottom"/>
          </w:tcPr>
          <w:p w14:paraId="71D48810" w14:textId="77777777" w:rsidR="006A3667" w:rsidRDefault="006A3667">
            <w:pPr>
              <w:rPr>
                <w:rFonts w:ascii="宋体"/>
              </w:rPr>
            </w:pPr>
          </w:p>
        </w:tc>
        <w:tc>
          <w:tcPr>
            <w:tcW w:w="0" w:type="auto"/>
            <w:shd w:val="clear" w:color="auto" w:fill="auto"/>
            <w:vAlign w:val="bottom"/>
          </w:tcPr>
          <w:p w14:paraId="71D48811" w14:textId="77777777" w:rsidR="006A3667" w:rsidRDefault="006A3667">
            <w:pPr>
              <w:rPr>
                <w:rFonts w:ascii="宋体"/>
              </w:rPr>
            </w:pPr>
          </w:p>
        </w:tc>
        <w:tc>
          <w:tcPr>
            <w:tcW w:w="0" w:type="auto"/>
            <w:shd w:val="clear" w:color="auto" w:fill="auto"/>
            <w:vAlign w:val="bottom"/>
          </w:tcPr>
          <w:p w14:paraId="71D48812" w14:textId="77777777" w:rsidR="006A3667" w:rsidRDefault="006A3667">
            <w:pPr>
              <w:rPr>
                <w:rFonts w:ascii="宋体"/>
              </w:rPr>
            </w:pPr>
          </w:p>
        </w:tc>
        <w:tc>
          <w:tcPr>
            <w:tcW w:w="0" w:type="auto"/>
            <w:shd w:val="clear" w:color="auto" w:fill="auto"/>
            <w:vAlign w:val="bottom"/>
          </w:tcPr>
          <w:p w14:paraId="71D48813" w14:textId="77777777" w:rsidR="006A3667" w:rsidRDefault="006A3667">
            <w:pPr>
              <w:rPr>
                <w:rFonts w:ascii="宋体"/>
              </w:rPr>
            </w:pPr>
          </w:p>
        </w:tc>
        <w:tc>
          <w:tcPr>
            <w:tcW w:w="0" w:type="auto"/>
            <w:shd w:val="clear" w:color="auto" w:fill="auto"/>
            <w:vAlign w:val="bottom"/>
          </w:tcPr>
          <w:p w14:paraId="71D48814" w14:textId="77777777" w:rsidR="006A3667" w:rsidRDefault="006A3667">
            <w:pPr>
              <w:rPr>
                <w:rFonts w:ascii="宋体"/>
              </w:rPr>
            </w:pPr>
          </w:p>
        </w:tc>
        <w:tc>
          <w:tcPr>
            <w:tcW w:w="0" w:type="auto"/>
            <w:shd w:val="clear" w:color="auto" w:fill="auto"/>
            <w:vAlign w:val="bottom"/>
          </w:tcPr>
          <w:p w14:paraId="71D48815" w14:textId="77777777" w:rsidR="006A3667" w:rsidRDefault="006A3667">
            <w:pPr>
              <w:rPr>
                <w:rFonts w:ascii="宋体"/>
              </w:rPr>
            </w:pPr>
          </w:p>
        </w:tc>
        <w:tc>
          <w:tcPr>
            <w:tcW w:w="0" w:type="auto"/>
            <w:shd w:val="clear" w:color="auto" w:fill="auto"/>
            <w:vAlign w:val="bottom"/>
          </w:tcPr>
          <w:p w14:paraId="71D48816" w14:textId="77777777" w:rsidR="006A3667" w:rsidRDefault="006A3667">
            <w:pPr>
              <w:rPr>
                <w:rFonts w:ascii="宋体"/>
              </w:rPr>
            </w:pPr>
          </w:p>
        </w:tc>
      </w:tr>
      <w:tr w:rsidR="006A3667" w14:paraId="71D48828" w14:textId="77777777">
        <w:tc>
          <w:tcPr>
            <w:tcW w:w="0" w:type="auto"/>
            <w:gridSpan w:val="3"/>
            <w:shd w:val="clear" w:color="auto" w:fill="FFFFFF"/>
            <w:tcMar>
              <w:top w:w="0" w:type="dxa"/>
              <w:left w:w="20" w:type="dxa"/>
              <w:bottom w:w="0" w:type="dxa"/>
              <w:right w:w="20" w:type="dxa"/>
            </w:tcMar>
            <w:vAlign w:val="bottom"/>
          </w:tcPr>
          <w:p w14:paraId="71D4881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19" w14:textId="77777777" w:rsidR="006A3667" w:rsidRDefault="00045F32">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81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1B" w14:textId="77777777" w:rsidR="006A3667" w:rsidRDefault="00045F32">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71D4881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1D" w14:textId="77777777" w:rsidR="006A3667" w:rsidRDefault="00045F32">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81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1F" w14:textId="77777777" w:rsidR="006A3667" w:rsidRDefault="00045F32">
            <w:pPr>
              <w:jc w:val="center"/>
              <w:textAlignment w:val="bottom"/>
            </w:pPr>
            <w:r>
              <w:rPr>
                <w:rFonts w:ascii="Arial" w:eastAsia="宋体" w:hAnsi="Arial" w:cs="Arial"/>
                <w:b/>
                <w:bCs/>
                <w:color w:val="000000"/>
                <w:sz w:val="14"/>
                <w:szCs w:val="14"/>
              </w:rPr>
              <w:t xml:space="preserve">Total (In </w:t>
            </w:r>
            <w:r>
              <w:rPr>
                <w:rFonts w:ascii="Arial" w:eastAsia="宋体" w:hAnsi="Arial" w:cs="Arial"/>
                <w:b/>
                <w:bCs/>
                <w:color w:val="000000"/>
                <w:sz w:val="14"/>
                <w:szCs w:val="14"/>
              </w:rPr>
              <w:t>millions)</w:t>
            </w:r>
          </w:p>
        </w:tc>
        <w:tc>
          <w:tcPr>
            <w:tcW w:w="0" w:type="auto"/>
            <w:shd w:val="clear" w:color="auto" w:fill="auto"/>
            <w:vAlign w:val="bottom"/>
          </w:tcPr>
          <w:p w14:paraId="71D48820" w14:textId="77777777" w:rsidR="006A3667" w:rsidRDefault="006A3667">
            <w:pPr>
              <w:rPr>
                <w:rFonts w:ascii="宋体"/>
                <w:vanish/>
              </w:rPr>
            </w:pPr>
          </w:p>
        </w:tc>
        <w:tc>
          <w:tcPr>
            <w:tcW w:w="0" w:type="auto"/>
            <w:shd w:val="clear" w:color="auto" w:fill="auto"/>
            <w:vAlign w:val="bottom"/>
          </w:tcPr>
          <w:p w14:paraId="71D48821" w14:textId="77777777" w:rsidR="006A3667" w:rsidRDefault="006A3667">
            <w:pPr>
              <w:rPr>
                <w:rFonts w:ascii="宋体"/>
                <w:vanish/>
              </w:rPr>
            </w:pPr>
          </w:p>
        </w:tc>
        <w:tc>
          <w:tcPr>
            <w:tcW w:w="0" w:type="auto"/>
            <w:gridSpan w:val="3"/>
            <w:shd w:val="clear" w:color="auto" w:fill="auto"/>
            <w:vAlign w:val="bottom"/>
          </w:tcPr>
          <w:p w14:paraId="71D48822" w14:textId="77777777" w:rsidR="006A3667" w:rsidRDefault="006A3667">
            <w:pPr>
              <w:rPr>
                <w:rFonts w:ascii="宋体"/>
                <w:vanish/>
              </w:rPr>
            </w:pPr>
          </w:p>
        </w:tc>
        <w:tc>
          <w:tcPr>
            <w:tcW w:w="0" w:type="auto"/>
            <w:gridSpan w:val="3"/>
            <w:shd w:val="clear" w:color="auto" w:fill="auto"/>
            <w:vAlign w:val="bottom"/>
          </w:tcPr>
          <w:p w14:paraId="71D48823" w14:textId="77777777" w:rsidR="006A3667" w:rsidRDefault="006A3667">
            <w:pPr>
              <w:rPr>
                <w:rFonts w:ascii="宋体"/>
                <w:vanish/>
              </w:rPr>
            </w:pPr>
          </w:p>
        </w:tc>
        <w:tc>
          <w:tcPr>
            <w:tcW w:w="0" w:type="auto"/>
            <w:gridSpan w:val="3"/>
            <w:shd w:val="clear" w:color="auto" w:fill="auto"/>
            <w:vAlign w:val="bottom"/>
          </w:tcPr>
          <w:p w14:paraId="71D48824" w14:textId="77777777" w:rsidR="006A3667" w:rsidRDefault="006A3667">
            <w:pPr>
              <w:rPr>
                <w:rFonts w:ascii="宋体"/>
                <w:vanish/>
              </w:rPr>
            </w:pPr>
          </w:p>
        </w:tc>
        <w:tc>
          <w:tcPr>
            <w:tcW w:w="0" w:type="auto"/>
            <w:gridSpan w:val="3"/>
            <w:shd w:val="clear" w:color="auto" w:fill="auto"/>
            <w:vAlign w:val="bottom"/>
          </w:tcPr>
          <w:p w14:paraId="71D48825" w14:textId="77777777" w:rsidR="006A3667" w:rsidRDefault="006A3667">
            <w:pPr>
              <w:rPr>
                <w:rFonts w:ascii="宋体"/>
                <w:vanish/>
              </w:rPr>
            </w:pPr>
          </w:p>
        </w:tc>
        <w:tc>
          <w:tcPr>
            <w:tcW w:w="0" w:type="auto"/>
            <w:gridSpan w:val="3"/>
            <w:shd w:val="clear" w:color="auto" w:fill="auto"/>
            <w:vAlign w:val="bottom"/>
          </w:tcPr>
          <w:p w14:paraId="71D48826" w14:textId="77777777" w:rsidR="006A3667" w:rsidRDefault="006A3667">
            <w:pPr>
              <w:rPr>
                <w:rFonts w:ascii="宋体"/>
                <w:vanish/>
              </w:rPr>
            </w:pPr>
          </w:p>
        </w:tc>
        <w:tc>
          <w:tcPr>
            <w:tcW w:w="0" w:type="auto"/>
            <w:gridSpan w:val="3"/>
            <w:shd w:val="clear" w:color="auto" w:fill="auto"/>
            <w:vAlign w:val="bottom"/>
          </w:tcPr>
          <w:p w14:paraId="71D48827" w14:textId="77777777" w:rsidR="006A3667" w:rsidRDefault="006A3667">
            <w:pPr>
              <w:rPr>
                <w:rFonts w:ascii="宋体"/>
                <w:vanish/>
              </w:rPr>
            </w:pPr>
          </w:p>
        </w:tc>
      </w:tr>
      <w:tr w:rsidR="006A3667" w14:paraId="71D48841" w14:textId="77777777">
        <w:tc>
          <w:tcPr>
            <w:tcW w:w="0" w:type="auto"/>
            <w:gridSpan w:val="3"/>
            <w:shd w:val="clear" w:color="auto" w:fill="CCEEFF"/>
            <w:tcMar>
              <w:top w:w="40" w:type="dxa"/>
              <w:left w:w="20" w:type="dxa"/>
              <w:bottom w:w="40" w:type="dxa"/>
              <w:right w:w="20" w:type="dxa"/>
            </w:tcMar>
            <w:vAlign w:val="bottom"/>
          </w:tcPr>
          <w:p w14:paraId="71D48829" w14:textId="77777777" w:rsidR="006A3667" w:rsidRDefault="00045F32">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882A"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2B" w14:textId="77777777" w:rsidR="006A3667" w:rsidRDefault="00045F32">
            <w:pPr>
              <w:jc w:val="right"/>
              <w:textAlignment w:val="bottom"/>
            </w:pPr>
            <w:r>
              <w:rPr>
                <w:rFonts w:ascii="Arial" w:eastAsia="宋体" w:hAnsi="Arial" w:cs="Arial"/>
                <w:b/>
                <w:bCs/>
                <w:color w:val="000000"/>
                <w:sz w:val="14"/>
                <w:szCs w:val="14"/>
              </w:rPr>
              <w:t>0.63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82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82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2F" w14:textId="77777777" w:rsidR="006A3667" w:rsidRDefault="00045F32">
            <w:pPr>
              <w:jc w:val="right"/>
              <w:textAlignment w:val="bottom"/>
            </w:pPr>
            <w:r>
              <w:rPr>
                <w:rFonts w:ascii="Arial" w:eastAsia="宋体" w:hAnsi="Arial" w:cs="Arial"/>
                <w:b/>
                <w:bCs/>
                <w:color w:val="000000"/>
                <w:sz w:val="14"/>
                <w:szCs w:val="14"/>
              </w:rPr>
              <w:t>232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3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83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83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33" w14:textId="77777777" w:rsidR="006A3667" w:rsidRDefault="00045F32">
            <w:pPr>
              <w:jc w:val="right"/>
              <w:textAlignment w:val="bottom"/>
            </w:pPr>
            <w:r>
              <w:rPr>
                <w:rFonts w:ascii="Arial" w:eastAsia="宋体" w:hAnsi="Arial" w:cs="Arial"/>
                <w:color w:val="000000"/>
                <w:sz w:val="14"/>
                <w:szCs w:val="14"/>
              </w:rPr>
              <w:t>0.57 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83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83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37" w14:textId="77777777" w:rsidR="006A3667" w:rsidRDefault="00045F32">
            <w:pPr>
              <w:jc w:val="right"/>
              <w:textAlignment w:val="bottom"/>
            </w:pPr>
            <w:r>
              <w:rPr>
                <w:rFonts w:ascii="Arial" w:eastAsia="宋体" w:hAnsi="Arial" w:cs="Arial"/>
                <w:color w:val="000000"/>
                <w:sz w:val="14"/>
                <w:szCs w:val="14"/>
              </w:rPr>
              <w:t>209 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38" w14:textId="77777777" w:rsidR="006A3667" w:rsidRDefault="006A3667">
            <w:pPr>
              <w:jc w:val="right"/>
              <w:rPr>
                <w:rFonts w:ascii="宋体"/>
              </w:rPr>
            </w:pPr>
          </w:p>
        </w:tc>
        <w:tc>
          <w:tcPr>
            <w:tcW w:w="0" w:type="auto"/>
            <w:shd w:val="clear" w:color="auto" w:fill="auto"/>
            <w:vAlign w:val="bottom"/>
          </w:tcPr>
          <w:p w14:paraId="71D48839" w14:textId="77777777" w:rsidR="006A3667" w:rsidRDefault="006A3667">
            <w:pPr>
              <w:rPr>
                <w:rFonts w:ascii="宋体"/>
                <w:vanish/>
              </w:rPr>
            </w:pPr>
          </w:p>
        </w:tc>
        <w:tc>
          <w:tcPr>
            <w:tcW w:w="0" w:type="auto"/>
            <w:shd w:val="clear" w:color="auto" w:fill="auto"/>
            <w:vAlign w:val="bottom"/>
          </w:tcPr>
          <w:p w14:paraId="71D4883A" w14:textId="77777777" w:rsidR="006A3667" w:rsidRDefault="006A3667">
            <w:pPr>
              <w:rPr>
                <w:rFonts w:ascii="宋体"/>
                <w:vanish/>
              </w:rPr>
            </w:pPr>
          </w:p>
        </w:tc>
        <w:tc>
          <w:tcPr>
            <w:tcW w:w="0" w:type="auto"/>
            <w:gridSpan w:val="3"/>
            <w:shd w:val="clear" w:color="auto" w:fill="auto"/>
            <w:vAlign w:val="bottom"/>
          </w:tcPr>
          <w:p w14:paraId="71D4883B" w14:textId="77777777" w:rsidR="006A3667" w:rsidRDefault="006A3667">
            <w:pPr>
              <w:rPr>
                <w:rFonts w:ascii="宋体"/>
                <w:vanish/>
              </w:rPr>
            </w:pPr>
          </w:p>
        </w:tc>
        <w:tc>
          <w:tcPr>
            <w:tcW w:w="0" w:type="auto"/>
            <w:gridSpan w:val="3"/>
            <w:shd w:val="clear" w:color="auto" w:fill="auto"/>
            <w:vAlign w:val="bottom"/>
          </w:tcPr>
          <w:p w14:paraId="71D4883C" w14:textId="77777777" w:rsidR="006A3667" w:rsidRDefault="006A3667">
            <w:pPr>
              <w:rPr>
                <w:rFonts w:ascii="宋体"/>
                <w:vanish/>
              </w:rPr>
            </w:pPr>
          </w:p>
        </w:tc>
        <w:tc>
          <w:tcPr>
            <w:tcW w:w="0" w:type="auto"/>
            <w:gridSpan w:val="3"/>
            <w:shd w:val="clear" w:color="auto" w:fill="auto"/>
            <w:vAlign w:val="bottom"/>
          </w:tcPr>
          <w:p w14:paraId="71D4883D" w14:textId="77777777" w:rsidR="006A3667" w:rsidRDefault="006A3667">
            <w:pPr>
              <w:rPr>
                <w:rFonts w:ascii="宋体"/>
                <w:vanish/>
              </w:rPr>
            </w:pPr>
          </w:p>
        </w:tc>
        <w:tc>
          <w:tcPr>
            <w:tcW w:w="0" w:type="auto"/>
            <w:gridSpan w:val="3"/>
            <w:shd w:val="clear" w:color="auto" w:fill="auto"/>
            <w:vAlign w:val="bottom"/>
          </w:tcPr>
          <w:p w14:paraId="71D4883E" w14:textId="77777777" w:rsidR="006A3667" w:rsidRDefault="006A3667">
            <w:pPr>
              <w:rPr>
                <w:rFonts w:ascii="宋体"/>
                <w:vanish/>
              </w:rPr>
            </w:pPr>
          </w:p>
        </w:tc>
        <w:tc>
          <w:tcPr>
            <w:tcW w:w="0" w:type="auto"/>
            <w:gridSpan w:val="3"/>
            <w:shd w:val="clear" w:color="auto" w:fill="auto"/>
            <w:vAlign w:val="bottom"/>
          </w:tcPr>
          <w:p w14:paraId="71D4883F" w14:textId="77777777" w:rsidR="006A3667" w:rsidRDefault="006A3667">
            <w:pPr>
              <w:rPr>
                <w:rFonts w:ascii="宋体"/>
                <w:vanish/>
              </w:rPr>
            </w:pPr>
          </w:p>
        </w:tc>
        <w:tc>
          <w:tcPr>
            <w:tcW w:w="0" w:type="auto"/>
            <w:gridSpan w:val="3"/>
            <w:shd w:val="clear" w:color="auto" w:fill="auto"/>
            <w:vAlign w:val="bottom"/>
          </w:tcPr>
          <w:p w14:paraId="71D48840" w14:textId="77777777" w:rsidR="006A3667" w:rsidRDefault="006A3667">
            <w:pPr>
              <w:rPr>
                <w:rFonts w:ascii="宋体"/>
                <w:vanish/>
              </w:rPr>
            </w:pPr>
          </w:p>
        </w:tc>
      </w:tr>
      <w:tr w:rsidR="006A3667" w14:paraId="71D48852" w14:textId="77777777">
        <w:trPr>
          <w:trHeight w:val="100"/>
        </w:trPr>
        <w:tc>
          <w:tcPr>
            <w:tcW w:w="0" w:type="auto"/>
            <w:gridSpan w:val="3"/>
            <w:shd w:val="clear" w:color="auto" w:fill="auto"/>
            <w:tcMar>
              <w:top w:w="0" w:type="dxa"/>
              <w:left w:w="20" w:type="dxa"/>
              <w:bottom w:w="0" w:type="dxa"/>
              <w:right w:w="20" w:type="dxa"/>
            </w:tcMar>
            <w:vAlign w:val="bottom"/>
          </w:tcPr>
          <w:p w14:paraId="71D4884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4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4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4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4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4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4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49" w14:textId="77777777" w:rsidR="006A3667" w:rsidRDefault="006A3667">
            <w:pPr>
              <w:rPr>
                <w:rFonts w:ascii="宋体"/>
              </w:rPr>
            </w:pPr>
          </w:p>
        </w:tc>
        <w:tc>
          <w:tcPr>
            <w:tcW w:w="0" w:type="auto"/>
            <w:shd w:val="clear" w:color="auto" w:fill="auto"/>
            <w:vAlign w:val="bottom"/>
          </w:tcPr>
          <w:p w14:paraId="71D4884A" w14:textId="77777777" w:rsidR="006A3667" w:rsidRDefault="006A3667">
            <w:pPr>
              <w:rPr>
                <w:rFonts w:ascii="宋体"/>
                <w:vanish/>
              </w:rPr>
            </w:pPr>
          </w:p>
        </w:tc>
        <w:tc>
          <w:tcPr>
            <w:tcW w:w="0" w:type="auto"/>
            <w:shd w:val="clear" w:color="auto" w:fill="auto"/>
            <w:vAlign w:val="bottom"/>
          </w:tcPr>
          <w:p w14:paraId="71D4884B" w14:textId="77777777" w:rsidR="006A3667" w:rsidRDefault="006A3667">
            <w:pPr>
              <w:rPr>
                <w:rFonts w:ascii="宋体"/>
                <w:vanish/>
              </w:rPr>
            </w:pPr>
          </w:p>
        </w:tc>
        <w:tc>
          <w:tcPr>
            <w:tcW w:w="0" w:type="auto"/>
            <w:gridSpan w:val="3"/>
            <w:shd w:val="clear" w:color="auto" w:fill="auto"/>
            <w:vAlign w:val="bottom"/>
          </w:tcPr>
          <w:p w14:paraId="71D4884C" w14:textId="77777777" w:rsidR="006A3667" w:rsidRDefault="006A3667">
            <w:pPr>
              <w:rPr>
                <w:rFonts w:ascii="宋体"/>
                <w:vanish/>
              </w:rPr>
            </w:pPr>
          </w:p>
        </w:tc>
        <w:tc>
          <w:tcPr>
            <w:tcW w:w="0" w:type="auto"/>
            <w:gridSpan w:val="3"/>
            <w:shd w:val="clear" w:color="auto" w:fill="auto"/>
            <w:vAlign w:val="bottom"/>
          </w:tcPr>
          <w:p w14:paraId="71D4884D" w14:textId="77777777" w:rsidR="006A3667" w:rsidRDefault="006A3667">
            <w:pPr>
              <w:rPr>
                <w:rFonts w:ascii="宋体"/>
                <w:vanish/>
              </w:rPr>
            </w:pPr>
          </w:p>
        </w:tc>
        <w:tc>
          <w:tcPr>
            <w:tcW w:w="0" w:type="auto"/>
            <w:gridSpan w:val="3"/>
            <w:shd w:val="clear" w:color="auto" w:fill="auto"/>
            <w:vAlign w:val="bottom"/>
          </w:tcPr>
          <w:p w14:paraId="71D4884E" w14:textId="77777777" w:rsidR="006A3667" w:rsidRDefault="006A3667">
            <w:pPr>
              <w:rPr>
                <w:rFonts w:ascii="宋体"/>
                <w:vanish/>
              </w:rPr>
            </w:pPr>
          </w:p>
        </w:tc>
        <w:tc>
          <w:tcPr>
            <w:tcW w:w="0" w:type="auto"/>
            <w:gridSpan w:val="3"/>
            <w:shd w:val="clear" w:color="auto" w:fill="auto"/>
            <w:vAlign w:val="bottom"/>
          </w:tcPr>
          <w:p w14:paraId="71D4884F" w14:textId="77777777" w:rsidR="006A3667" w:rsidRDefault="006A3667">
            <w:pPr>
              <w:rPr>
                <w:rFonts w:ascii="宋体"/>
                <w:vanish/>
              </w:rPr>
            </w:pPr>
          </w:p>
        </w:tc>
        <w:tc>
          <w:tcPr>
            <w:tcW w:w="0" w:type="auto"/>
            <w:gridSpan w:val="3"/>
            <w:shd w:val="clear" w:color="auto" w:fill="auto"/>
            <w:vAlign w:val="bottom"/>
          </w:tcPr>
          <w:p w14:paraId="71D48850" w14:textId="77777777" w:rsidR="006A3667" w:rsidRDefault="006A3667">
            <w:pPr>
              <w:rPr>
                <w:rFonts w:ascii="宋体"/>
                <w:vanish/>
              </w:rPr>
            </w:pPr>
          </w:p>
        </w:tc>
        <w:tc>
          <w:tcPr>
            <w:tcW w:w="0" w:type="auto"/>
            <w:gridSpan w:val="3"/>
            <w:shd w:val="clear" w:color="auto" w:fill="auto"/>
            <w:vAlign w:val="bottom"/>
          </w:tcPr>
          <w:p w14:paraId="71D48851" w14:textId="77777777" w:rsidR="006A3667" w:rsidRDefault="006A3667">
            <w:pPr>
              <w:rPr>
                <w:rFonts w:ascii="宋体"/>
                <w:vanish/>
              </w:rPr>
            </w:pPr>
          </w:p>
        </w:tc>
      </w:tr>
      <w:tr w:rsidR="006A3667" w14:paraId="71D48869" w14:textId="77777777">
        <w:tc>
          <w:tcPr>
            <w:tcW w:w="0" w:type="auto"/>
            <w:gridSpan w:val="3"/>
            <w:shd w:val="clear" w:color="auto" w:fill="auto"/>
            <w:tcMar>
              <w:top w:w="0" w:type="dxa"/>
              <w:left w:w="20" w:type="dxa"/>
              <w:bottom w:w="0" w:type="dxa"/>
              <w:right w:w="20" w:type="dxa"/>
            </w:tcMar>
            <w:vAlign w:val="bottom"/>
          </w:tcPr>
          <w:p w14:paraId="71D48853" w14:textId="77777777" w:rsidR="006A3667" w:rsidRDefault="006A3667">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71D48854"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48855" w14:textId="77777777" w:rsidR="006A3667" w:rsidRDefault="006A3667">
            <w:pPr>
              <w:rPr>
                <w:rFonts w:ascii="宋体"/>
                <w:vanish/>
              </w:rPr>
            </w:pPr>
          </w:p>
        </w:tc>
        <w:tc>
          <w:tcPr>
            <w:tcW w:w="0" w:type="auto"/>
            <w:shd w:val="clear" w:color="auto" w:fill="auto"/>
            <w:vAlign w:val="bottom"/>
          </w:tcPr>
          <w:p w14:paraId="71D48856" w14:textId="77777777" w:rsidR="006A3667" w:rsidRDefault="006A3667">
            <w:pPr>
              <w:rPr>
                <w:rFonts w:ascii="宋体"/>
                <w:vanish/>
              </w:rPr>
            </w:pPr>
          </w:p>
        </w:tc>
        <w:tc>
          <w:tcPr>
            <w:tcW w:w="0" w:type="auto"/>
            <w:shd w:val="clear" w:color="auto" w:fill="auto"/>
            <w:vAlign w:val="bottom"/>
          </w:tcPr>
          <w:p w14:paraId="71D48857" w14:textId="77777777" w:rsidR="006A3667" w:rsidRDefault="006A3667">
            <w:pPr>
              <w:rPr>
                <w:rFonts w:ascii="宋体"/>
              </w:rPr>
            </w:pPr>
          </w:p>
        </w:tc>
        <w:tc>
          <w:tcPr>
            <w:tcW w:w="0" w:type="auto"/>
            <w:shd w:val="clear" w:color="auto" w:fill="auto"/>
            <w:vAlign w:val="bottom"/>
          </w:tcPr>
          <w:p w14:paraId="71D48858" w14:textId="77777777" w:rsidR="006A3667" w:rsidRDefault="006A3667">
            <w:pPr>
              <w:rPr>
                <w:rFonts w:ascii="宋体"/>
              </w:rPr>
            </w:pPr>
          </w:p>
        </w:tc>
        <w:tc>
          <w:tcPr>
            <w:tcW w:w="0" w:type="auto"/>
            <w:shd w:val="clear" w:color="auto" w:fill="auto"/>
            <w:vAlign w:val="bottom"/>
          </w:tcPr>
          <w:p w14:paraId="71D48859" w14:textId="77777777" w:rsidR="006A3667" w:rsidRDefault="006A3667">
            <w:pPr>
              <w:rPr>
                <w:rFonts w:ascii="宋体"/>
              </w:rPr>
            </w:pPr>
          </w:p>
        </w:tc>
        <w:tc>
          <w:tcPr>
            <w:tcW w:w="0" w:type="auto"/>
            <w:shd w:val="clear" w:color="auto" w:fill="auto"/>
            <w:vAlign w:val="bottom"/>
          </w:tcPr>
          <w:p w14:paraId="71D4885A" w14:textId="77777777" w:rsidR="006A3667" w:rsidRDefault="006A3667">
            <w:pPr>
              <w:rPr>
                <w:rFonts w:ascii="宋体"/>
              </w:rPr>
            </w:pPr>
          </w:p>
        </w:tc>
        <w:tc>
          <w:tcPr>
            <w:tcW w:w="0" w:type="auto"/>
            <w:shd w:val="clear" w:color="auto" w:fill="auto"/>
            <w:vAlign w:val="bottom"/>
          </w:tcPr>
          <w:p w14:paraId="71D4885B" w14:textId="77777777" w:rsidR="006A3667" w:rsidRDefault="006A3667">
            <w:pPr>
              <w:rPr>
                <w:rFonts w:ascii="宋体"/>
              </w:rPr>
            </w:pPr>
          </w:p>
        </w:tc>
        <w:tc>
          <w:tcPr>
            <w:tcW w:w="0" w:type="auto"/>
            <w:shd w:val="clear" w:color="auto" w:fill="auto"/>
            <w:vAlign w:val="bottom"/>
          </w:tcPr>
          <w:p w14:paraId="71D4885C" w14:textId="77777777" w:rsidR="006A3667" w:rsidRDefault="006A3667">
            <w:pPr>
              <w:rPr>
                <w:rFonts w:ascii="宋体"/>
              </w:rPr>
            </w:pPr>
          </w:p>
        </w:tc>
        <w:tc>
          <w:tcPr>
            <w:tcW w:w="0" w:type="auto"/>
            <w:shd w:val="clear" w:color="auto" w:fill="auto"/>
            <w:vAlign w:val="bottom"/>
          </w:tcPr>
          <w:p w14:paraId="71D4885D" w14:textId="77777777" w:rsidR="006A3667" w:rsidRDefault="006A3667">
            <w:pPr>
              <w:rPr>
                <w:rFonts w:ascii="宋体"/>
              </w:rPr>
            </w:pPr>
          </w:p>
        </w:tc>
        <w:tc>
          <w:tcPr>
            <w:tcW w:w="0" w:type="auto"/>
            <w:shd w:val="clear" w:color="auto" w:fill="auto"/>
            <w:vAlign w:val="bottom"/>
          </w:tcPr>
          <w:p w14:paraId="71D4885E" w14:textId="77777777" w:rsidR="006A3667" w:rsidRDefault="006A3667">
            <w:pPr>
              <w:rPr>
                <w:rFonts w:ascii="宋体"/>
              </w:rPr>
            </w:pPr>
          </w:p>
        </w:tc>
        <w:tc>
          <w:tcPr>
            <w:tcW w:w="0" w:type="auto"/>
            <w:shd w:val="clear" w:color="auto" w:fill="auto"/>
            <w:vAlign w:val="bottom"/>
          </w:tcPr>
          <w:p w14:paraId="71D4885F" w14:textId="77777777" w:rsidR="006A3667" w:rsidRDefault="006A3667">
            <w:pPr>
              <w:rPr>
                <w:rFonts w:ascii="宋体"/>
              </w:rPr>
            </w:pPr>
          </w:p>
        </w:tc>
        <w:tc>
          <w:tcPr>
            <w:tcW w:w="0" w:type="auto"/>
            <w:shd w:val="clear" w:color="auto" w:fill="auto"/>
            <w:vAlign w:val="bottom"/>
          </w:tcPr>
          <w:p w14:paraId="71D48860" w14:textId="77777777" w:rsidR="006A3667" w:rsidRDefault="006A3667">
            <w:pPr>
              <w:rPr>
                <w:rFonts w:ascii="宋体"/>
              </w:rPr>
            </w:pPr>
          </w:p>
        </w:tc>
        <w:tc>
          <w:tcPr>
            <w:tcW w:w="0" w:type="auto"/>
            <w:shd w:val="clear" w:color="auto" w:fill="auto"/>
            <w:vAlign w:val="bottom"/>
          </w:tcPr>
          <w:p w14:paraId="71D48861" w14:textId="77777777" w:rsidR="006A3667" w:rsidRDefault="006A3667">
            <w:pPr>
              <w:rPr>
                <w:rFonts w:ascii="宋体"/>
              </w:rPr>
            </w:pPr>
          </w:p>
        </w:tc>
        <w:tc>
          <w:tcPr>
            <w:tcW w:w="0" w:type="auto"/>
            <w:shd w:val="clear" w:color="auto" w:fill="auto"/>
            <w:vAlign w:val="bottom"/>
          </w:tcPr>
          <w:p w14:paraId="71D48862" w14:textId="77777777" w:rsidR="006A3667" w:rsidRDefault="006A3667">
            <w:pPr>
              <w:rPr>
                <w:rFonts w:ascii="宋体"/>
              </w:rPr>
            </w:pPr>
          </w:p>
        </w:tc>
        <w:tc>
          <w:tcPr>
            <w:tcW w:w="0" w:type="auto"/>
            <w:shd w:val="clear" w:color="auto" w:fill="auto"/>
            <w:vAlign w:val="bottom"/>
          </w:tcPr>
          <w:p w14:paraId="71D48863" w14:textId="77777777" w:rsidR="006A3667" w:rsidRDefault="006A3667">
            <w:pPr>
              <w:rPr>
                <w:rFonts w:ascii="宋体"/>
              </w:rPr>
            </w:pPr>
          </w:p>
        </w:tc>
        <w:tc>
          <w:tcPr>
            <w:tcW w:w="0" w:type="auto"/>
            <w:shd w:val="clear" w:color="auto" w:fill="auto"/>
            <w:vAlign w:val="bottom"/>
          </w:tcPr>
          <w:p w14:paraId="71D48864" w14:textId="77777777" w:rsidR="006A3667" w:rsidRDefault="006A3667">
            <w:pPr>
              <w:rPr>
                <w:rFonts w:ascii="宋体"/>
              </w:rPr>
            </w:pPr>
          </w:p>
        </w:tc>
        <w:tc>
          <w:tcPr>
            <w:tcW w:w="0" w:type="auto"/>
            <w:shd w:val="clear" w:color="auto" w:fill="auto"/>
            <w:vAlign w:val="bottom"/>
          </w:tcPr>
          <w:p w14:paraId="71D48865" w14:textId="77777777" w:rsidR="006A3667" w:rsidRDefault="006A3667">
            <w:pPr>
              <w:rPr>
                <w:rFonts w:ascii="宋体"/>
              </w:rPr>
            </w:pPr>
          </w:p>
        </w:tc>
        <w:tc>
          <w:tcPr>
            <w:tcW w:w="0" w:type="auto"/>
            <w:shd w:val="clear" w:color="auto" w:fill="auto"/>
            <w:vAlign w:val="bottom"/>
          </w:tcPr>
          <w:p w14:paraId="71D48866" w14:textId="77777777" w:rsidR="006A3667" w:rsidRDefault="006A3667">
            <w:pPr>
              <w:rPr>
                <w:rFonts w:ascii="宋体"/>
              </w:rPr>
            </w:pPr>
          </w:p>
        </w:tc>
        <w:tc>
          <w:tcPr>
            <w:tcW w:w="0" w:type="auto"/>
            <w:shd w:val="clear" w:color="auto" w:fill="auto"/>
            <w:vAlign w:val="bottom"/>
          </w:tcPr>
          <w:p w14:paraId="71D48867" w14:textId="77777777" w:rsidR="006A3667" w:rsidRDefault="006A3667">
            <w:pPr>
              <w:rPr>
                <w:rFonts w:ascii="宋体"/>
              </w:rPr>
            </w:pPr>
          </w:p>
        </w:tc>
        <w:tc>
          <w:tcPr>
            <w:tcW w:w="0" w:type="auto"/>
            <w:shd w:val="clear" w:color="auto" w:fill="auto"/>
            <w:vAlign w:val="bottom"/>
          </w:tcPr>
          <w:p w14:paraId="71D48868" w14:textId="77777777" w:rsidR="006A3667" w:rsidRDefault="006A3667">
            <w:pPr>
              <w:rPr>
                <w:rFonts w:ascii="宋体"/>
              </w:rPr>
            </w:pPr>
          </w:p>
        </w:tc>
      </w:tr>
      <w:tr w:rsidR="006A3667" w14:paraId="71D4887E" w14:textId="77777777">
        <w:tc>
          <w:tcPr>
            <w:tcW w:w="0" w:type="auto"/>
            <w:gridSpan w:val="3"/>
            <w:shd w:val="clear" w:color="auto" w:fill="auto"/>
            <w:tcMar>
              <w:top w:w="0" w:type="dxa"/>
              <w:left w:w="20" w:type="dxa"/>
              <w:bottom w:w="0" w:type="dxa"/>
              <w:right w:w="20" w:type="dxa"/>
            </w:tcMar>
            <w:vAlign w:val="bottom"/>
          </w:tcPr>
          <w:p w14:paraId="71D4886A"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886B"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86C"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886D" w14:textId="77777777" w:rsidR="006A3667" w:rsidRDefault="00045F32">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71D4886E" w14:textId="77777777" w:rsidR="006A3667" w:rsidRDefault="006A3667">
            <w:pPr>
              <w:rPr>
                <w:rFonts w:ascii="宋体"/>
                <w:vanish/>
              </w:rPr>
            </w:pPr>
          </w:p>
        </w:tc>
        <w:tc>
          <w:tcPr>
            <w:tcW w:w="0" w:type="auto"/>
            <w:shd w:val="clear" w:color="auto" w:fill="auto"/>
            <w:vAlign w:val="bottom"/>
          </w:tcPr>
          <w:p w14:paraId="71D4886F" w14:textId="77777777" w:rsidR="006A3667" w:rsidRDefault="006A3667">
            <w:pPr>
              <w:rPr>
                <w:rFonts w:ascii="宋体"/>
                <w:vanish/>
              </w:rPr>
            </w:pPr>
          </w:p>
        </w:tc>
        <w:tc>
          <w:tcPr>
            <w:tcW w:w="0" w:type="auto"/>
            <w:gridSpan w:val="3"/>
            <w:shd w:val="clear" w:color="auto" w:fill="auto"/>
            <w:vAlign w:val="bottom"/>
          </w:tcPr>
          <w:p w14:paraId="71D48870" w14:textId="77777777" w:rsidR="006A3667" w:rsidRDefault="006A3667">
            <w:pPr>
              <w:rPr>
                <w:rFonts w:ascii="宋体"/>
                <w:vanish/>
              </w:rPr>
            </w:pPr>
          </w:p>
        </w:tc>
        <w:tc>
          <w:tcPr>
            <w:tcW w:w="0" w:type="auto"/>
            <w:gridSpan w:val="3"/>
            <w:shd w:val="clear" w:color="auto" w:fill="auto"/>
            <w:vAlign w:val="bottom"/>
          </w:tcPr>
          <w:p w14:paraId="71D48871" w14:textId="77777777" w:rsidR="006A3667" w:rsidRDefault="006A3667">
            <w:pPr>
              <w:rPr>
                <w:rFonts w:ascii="宋体"/>
                <w:vanish/>
              </w:rPr>
            </w:pPr>
          </w:p>
        </w:tc>
        <w:tc>
          <w:tcPr>
            <w:tcW w:w="0" w:type="auto"/>
            <w:shd w:val="clear" w:color="auto" w:fill="auto"/>
            <w:vAlign w:val="bottom"/>
          </w:tcPr>
          <w:p w14:paraId="71D48872" w14:textId="77777777" w:rsidR="006A3667" w:rsidRDefault="006A3667">
            <w:pPr>
              <w:rPr>
                <w:rFonts w:ascii="宋体"/>
              </w:rPr>
            </w:pPr>
          </w:p>
        </w:tc>
        <w:tc>
          <w:tcPr>
            <w:tcW w:w="0" w:type="auto"/>
            <w:shd w:val="clear" w:color="auto" w:fill="auto"/>
            <w:vAlign w:val="bottom"/>
          </w:tcPr>
          <w:p w14:paraId="71D48873" w14:textId="77777777" w:rsidR="006A3667" w:rsidRDefault="006A3667">
            <w:pPr>
              <w:rPr>
                <w:rFonts w:ascii="宋体"/>
              </w:rPr>
            </w:pPr>
          </w:p>
        </w:tc>
        <w:tc>
          <w:tcPr>
            <w:tcW w:w="0" w:type="auto"/>
            <w:shd w:val="clear" w:color="auto" w:fill="auto"/>
            <w:vAlign w:val="bottom"/>
          </w:tcPr>
          <w:p w14:paraId="71D48874" w14:textId="77777777" w:rsidR="006A3667" w:rsidRDefault="006A3667">
            <w:pPr>
              <w:rPr>
                <w:rFonts w:ascii="宋体"/>
              </w:rPr>
            </w:pPr>
          </w:p>
        </w:tc>
        <w:tc>
          <w:tcPr>
            <w:tcW w:w="0" w:type="auto"/>
            <w:shd w:val="clear" w:color="auto" w:fill="auto"/>
            <w:vAlign w:val="bottom"/>
          </w:tcPr>
          <w:p w14:paraId="71D48875" w14:textId="77777777" w:rsidR="006A3667" w:rsidRDefault="006A3667">
            <w:pPr>
              <w:rPr>
                <w:rFonts w:ascii="宋体"/>
              </w:rPr>
            </w:pPr>
          </w:p>
        </w:tc>
        <w:tc>
          <w:tcPr>
            <w:tcW w:w="0" w:type="auto"/>
            <w:shd w:val="clear" w:color="auto" w:fill="auto"/>
            <w:vAlign w:val="bottom"/>
          </w:tcPr>
          <w:p w14:paraId="71D48876" w14:textId="77777777" w:rsidR="006A3667" w:rsidRDefault="006A3667">
            <w:pPr>
              <w:rPr>
                <w:rFonts w:ascii="宋体"/>
              </w:rPr>
            </w:pPr>
          </w:p>
        </w:tc>
        <w:tc>
          <w:tcPr>
            <w:tcW w:w="0" w:type="auto"/>
            <w:shd w:val="clear" w:color="auto" w:fill="auto"/>
            <w:vAlign w:val="bottom"/>
          </w:tcPr>
          <w:p w14:paraId="71D48877" w14:textId="77777777" w:rsidR="006A3667" w:rsidRDefault="006A3667">
            <w:pPr>
              <w:rPr>
                <w:rFonts w:ascii="宋体"/>
              </w:rPr>
            </w:pPr>
          </w:p>
        </w:tc>
        <w:tc>
          <w:tcPr>
            <w:tcW w:w="0" w:type="auto"/>
            <w:shd w:val="clear" w:color="auto" w:fill="auto"/>
            <w:vAlign w:val="bottom"/>
          </w:tcPr>
          <w:p w14:paraId="71D48878" w14:textId="77777777" w:rsidR="006A3667" w:rsidRDefault="006A3667">
            <w:pPr>
              <w:rPr>
                <w:rFonts w:ascii="宋体"/>
              </w:rPr>
            </w:pPr>
          </w:p>
        </w:tc>
        <w:tc>
          <w:tcPr>
            <w:tcW w:w="0" w:type="auto"/>
            <w:shd w:val="clear" w:color="auto" w:fill="auto"/>
            <w:vAlign w:val="bottom"/>
          </w:tcPr>
          <w:p w14:paraId="71D48879" w14:textId="77777777" w:rsidR="006A3667" w:rsidRDefault="006A3667">
            <w:pPr>
              <w:rPr>
                <w:rFonts w:ascii="宋体"/>
              </w:rPr>
            </w:pPr>
          </w:p>
        </w:tc>
        <w:tc>
          <w:tcPr>
            <w:tcW w:w="0" w:type="auto"/>
            <w:shd w:val="clear" w:color="auto" w:fill="auto"/>
            <w:vAlign w:val="bottom"/>
          </w:tcPr>
          <w:p w14:paraId="71D4887A" w14:textId="77777777" w:rsidR="006A3667" w:rsidRDefault="006A3667">
            <w:pPr>
              <w:rPr>
                <w:rFonts w:ascii="宋体"/>
              </w:rPr>
            </w:pPr>
          </w:p>
        </w:tc>
        <w:tc>
          <w:tcPr>
            <w:tcW w:w="0" w:type="auto"/>
            <w:shd w:val="clear" w:color="auto" w:fill="auto"/>
            <w:vAlign w:val="bottom"/>
          </w:tcPr>
          <w:p w14:paraId="71D4887B" w14:textId="77777777" w:rsidR="006A3667" w:rsidRDefault="006A3667">
            <w:pPr>
              <w:rPr>
                <w:rFonts w:ascii="宋体"/>
              </w:rPr>
            </w:pPr>
          </w:p>
        </w:tc>
        <w:tc>
          <w:tcPr>
            <w:tcW w:w="0" w:type="auto"/>
            <w:shd w:val="clear" w:color="auto" w:fill="auto"/>
            <w:vAlign w:val="bottom"/>
          </w:tcPr>
          <w:p w14:paraId="71D4887C" w14:textId="77777777" w:rsidR="006A3667" w:rsidRDefault="006A3667">
            <w:pPr>
              <w:rPr>
                <w:rFonts w:ascii="宋体"/>
              </w:rPr>
            </w:pPr>
          </w:p>
        </w:tc>
        <w:tc>
          <w:tcPr>
            <w:tcW w:w="0" w:type="auto"/>
            <w:shd w:val="clear" w:color="auto" w:fill="auto"/>
            <w:vAlign w:val="bottom"/>
          </w:tcPr>
          <w:p w14:paraId="71D4887D" w14:textId="77777777" w:rsidR="006A3667" w:rsidRDefault="006A3667">
            <w:pPr>
              <w:rPr>
                <w:rFonts w:ascii="宋体"/>
              </w:rPr>
            </w:pPr>
          </w:p>
        </w:tc>
      </w:tr>
      <w:tr w:rsidR="006A3667" w14:paraId="71D4888F" w14:textId="77777777">
        <w:tc>
          <w:tcPr>
            <w:tcW w:w="0" w:type="auto"/>
            <w:gridSpan w:val="3"/>
            <w:shd w:val="clear" w:color="auto" w:fill="auto"/>
            <w:tcMar>
              <w:top w:w="0" w:type="dxa"/>
              <w:left w:w="20" w:type="dxa"/>
              <w:bottom w:w="0" w:type="dxa"/>
              <w:right w:w="20" w:type="dxa"/>
            </w:tcMar>
            <w:vAlign w:val="bottom"/>
          </w:tcPr>
          <w:p w14:paraId="71D4887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80" w14:textId="77777777" w:rsidR="006A3667" w:rsidRDefault="00045F32">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88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82" w14:textId="77777777" w:rsidR="006A3667" w:rsidRDefault="00045F32">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71D4888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84" w14:textId="77777777" w:rsidR="006A3667" w:rsidRDefault="00045F32">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88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86" w14:textId="77777777" w:rsidR="006A3667" w:rsidRDefault="00045F32">
            <w:pPr>
              <w:jc w:val="center"/>
              <w:textAlignment w:val="bottom"/>
            </w:pPr>
            <w:r>
              <w:rPr>
                <w:rFonts w:ascii="Arial" w:eastAsia="宋体" w:hAnsi="Arial" w:cs="Arial"/>
                <w:b/>
                <w:bCs/>
                <w:color w:val="000000"/>
                <w:sz w:val="14"/>
                <w:szCs w:val="14"/>
              </w:rPr>
              <w:t>Total (In millions)</w:t>
            </w:r>
          </w:p>
        </w:tc>
        <w:tc>
          <w:tcPr>
            <w:tcW w:w="0" w:type="auto"/>
            <w:shd w:val="clear" w:color="auto" w:fill="auto"/>
            <w:vAlign w:val="bottom"/>
          </w:tcPr>
          <w:p w14:paraId="71D48887" w14:textId="77777777" w:rsidR="006A3667" w:rsidRDefault="006A3667">
            <w:pPr>
              <w:rPr>
                <w:rFonts w:ascii="宋体"/>
                <w:vanish/>
              </w:rPr>
            </w:pPr>
          </w:p>
        </w:tc>
        <w:tc>
          <w:tcPr>
            <w:tcW w:w="0" w:type="auto"/>
            <w:shd w:val="clear" w:color="auto" w:fill="auto"/>
            <w:vAlign w:val="bottom"/>
          </w:tcPr>
          <w:p w14:paraId="71D48888" w14:textId="77777777" w:rsidR="006A3667" w:rsidRDefault="006A3667">
            <w:pPr>
              <w:rPr>
                <w:rFonts w:ascii="宋体"/>
                <w:vanish/>
              </w:rPr>
            </w:pPr>
          </w:p>
        </w:tc>
        <w:tc>
          <w:tcPr>
            <w:tcW w:w="0" w:type="auto"/>
            <w:gridSpan w:val="3"/>
            <w:shd w:val="clear" w:color="auto" w:fill="auto"/>
            <w:vAlign w:val="bottom"/>
          </w:tcPr>
          <w:p w14:paraId="71D48889" w14:textId="77777777" w:rsidR="006A3667" w:rsidRDefault="006A3667">
            <w:pPr>
              <w:rPr>
                <w:rFonts w:ascii="宋体"/>
                <w:vanish/>
              </w:rPr>
            </w:pPr>
          </w:p>
        </w:tc>
        <w:tc>
          <w:tcPr>
            <w:tcW w:w="0" w:type="auto"/>
            <w:gridSpan w:val="3"/>
            <w:shd w:val="clear" w:color="auto" w:fill="auto"/>
            <w:vAlign w:val="bottom"/>
          </w:tcPr>
          <w:p w14:paraId="71D4888A" w14:textId="77777777" w:rsidR="006A3667" w:rsidRDefault="006A3667">
            <w:pPr>
              <w:rPr>
                <w:rFonts w:ascii="宋体"/>
                <w:vanish/>
              </w:rPr>
            </w:pPr>
          </w:p>
        </w:tc>
        <w:tc>
          <w:tcPr>
            <w:tcW w:w="0" w:type="auto"/>
            <w:gridSpan w:val="3"/>
            <w:shd w:val="clear" w:color="auto" w:fill="auto"/>
            <w:vAlign w:val="bottom"/>
          </w:tcPr>
          <w:p w14:paraId="71D4888B" w14:textId="77777777" w:rsidR="006A3667" w:rsidRDefault="006A3667">
            <w:pPr>
              <w:rPr>
                <w:rFonts w:ascii="宋体"/>
                <w:vanish/>
              </w:rPr>
            </w:pPr>
          </w:p>
        </w:tc>
        <w:tc>
          <w:tcPr>
            <w:tcW w:w="0" w:type="auto"/>
            <w:gridSpan w:val="3"/>
            <w:shd w:val="clear" w:color="auto" w:fill="auto"/>
            <w:vAlign w:val="bottom"/>
          </w:tcPr>
          <w:p w14:paraId="71D4888C" w14:textId="77777777" w:rsidR="006A3667" w:rsidRDefault="006A3667">
            <w:pPr>
              <w:rPr>
                <w:rFonts w:ascii="宋体"/>
                <w:vanish/>
              </w:rPr>
            </w:pPr>
          </w:p>
        </w:tc>
        <w:tc>
          <w:tcPr>
            <w:tcW w:w="0" w:type="auto"/>
            <w:gridSpan w:val="3"/>
            <w:shd w:val="clear" w:color="auto" w:fill="auto"/>
            <w:vAlign w:val="bottom"/>
          </w:tcPr>
          <w:p w14:paraId="71D4888D" w14:textId="77777777" w:rsidR="006A3667" w:rsidRDefault="006A3667">
            <w:pPr>
              <w:rPr>
                <w:rFonts w:ascii="宋体"/>
                <w:vanish/>
              </w:rPr>
            </w:pPr>
          </w:p>
        </w:tc>
        <w:tc>
          <w:tcPr>
            <w:tcW w:w="0" w:type="auto"/>
            <w:gridSpan w:val="3"/>
            <w:shd w:val="clear" w:color="auto" w:fill="auto"/>
            <w:vAlign w:val="bottom"/>
          </w:tcPr>
          <w:p w14:paraId="71D4888E" w14:textId="77777777" w:rsidR="006A3667" w:rsidRDefault="006A3667">
            <w:pPr>
              <w:rPr>
                <w:rFonts w:ascii="宋体"/>
                <w:vanish/>
              </w:rPr>
            </w:pPr>
          </w:p>
        </w:tc>
      </w:tr>
      <w:tr w:rsidR="006A3667" w14:paraId="71D488A8" w14:textId="77777777">
        <w:tc>
          <w:tcPr>
            <w:tcW w:w="0" w:type="auto"/>
            <w:gridSpan w:val="3"/>
            <w:shd w:val="clear" w:color="auto" w:fill="CCEEFF"/>
            <w:tcMar>
              <w:top w:w="40" w:type="dxa"/>
              <w:left w:w="20" w:type="dxa"/>
              <w:bottom w:w="40" w:type="dxa"/>
              <w:right w:w="20" w:type="dxa"/>
            </w:tcMar>
            <w:vAlign w:val="bottom"/>
          </w:tcPr>
          <w:p w14:paraId="71D48890" w14:textId="77777777" w:rsidR="006A3667" w:rsidRDefault="00045F32">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889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92" w14:textId="77777777" w:rsidR="006A3667" w:rsidRDefault="00045F32">
            <w:pPr>
              <w:jc w:val="right"/>
              <w:textAlignment w:val="bottom"/>
            </w:pPr>
            <w:r>
              <w:rPr>
                <w:rFonts w:ascii="Arial" w:eastAsia="宋体" w:hAnsi="Arial" w:cs="Arial"/>
                <w:b/>
                <w:bCs/>
                <w:color w:val="000000"/>
                <w:sz w:val="14"/>
                <w:szCs w:val="14"/>
              </w:rPr>
              <w:t>1.77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9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89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89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96" w14:textId="77777777" w:rsidR="006A3667" w:rsidRDefault="00045F32">
            <w:pPr>
              <w:jc w:val="right"/>
              <w:textAlignment w:val="bottom"/>
            </w:pPr>
            <w:r>
              <w:rPr>
                <w:rFonts w:ascii="Arial" w:eastAsia="宋体" w:hAnsi="Arial" w:cs="Arial"/>
                <w:b/>
                <w:bCs/>
                <w:color w:val="000000"/>
                <w:sz w:val="14"/>
                <w:szCs w:val="14"/>
              </w:rPr>
              <w:t>651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9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89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89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9A" w14:textId="77777777" w:rsidR="006A3667" w:rsidRDefault="00045F32">
            <w:pPr>
              <w:jc w:val="right"/>
              <w:textAlignment w:val="bottom"/>
            </w:pPr>
            <w:r>
              <w:rPr>
                <w:rFonts w:ascii="Arial" w:eastAsia="宋体" w:hAnsi="Arial" w:cs="Arial"/>
                <w:color w:val="000000"/>
                <w:sz w:val="14"/>
                <w:szCs w:val="14"/>
              </w:rPr>
              <w:t>1.61 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9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89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89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9E" w14:textId="77777777" w:rsidR="006A3667" w:rsidRDefault="00045F32">
            <w:pPr>
              <w:jc w:val="right"/>
              <w:textAlignment w:val="bottom"/>
            </w:pPr>
            <w:r>
              <w:rPr>
                <w:rFonts w:ascii="Arial" w:eastAsia="宋体" w:hAnsi="Arial" w:cs="Arial"/>
                <w:color w:val="000000"/>
                <w:sz w:val="14"/>
                <w:szCs w:val="14"/>
              </w:rPr>
              <w:t>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9F" w14:textId="77777777" w:rsidR="006A3667" w:rsidRDefault="006A3667">
            <w:pPr>
              <w:jc w:val="right"/>
              <w:rPr>
                <w:rFonts w:ascii="宋体"/>
              </w:rPr>
            </w:pPr>
          </w:p>
        </w:tc>
        <w:tc>
          <w:tcPr>
            <w:tcW w:w="0" w:type="auto"/>
            <w:shd w:val="clear" w:color="auto" w:fill="auto"/>
            <w:vAlign w:val="bottom"/>
          </w:tcPr>
          <w:p w14:paraId="71D488A0" w14:textId="77777777" w:rsidR="006A3667" w:rsidRDefault="006A3667">
            <w:pPr>
              <w:rPr>
                <w:rFonts w:ascii="宋体"/>
                <w:vanish/>
              </w:rPr>
            </w:pPr>
          </w:p>
        </w:tc>
        <w:tc>
          <w:tcPr>
            <w:tcW w:w="0" w:type="auto"/>
            <w:shd w:val="clear" w:color="auto" w:fill="auto"/>
            <w:vAlign w:val="bottom"/>
          </w:tcPr>
          <w:p w14:paraId="71D488A1" w14:textId="77777777" w:rsidR="006A3667" w:rsidRDefault="006A3667">
            <w:pPr>
              <w:rPr>
                <w:rFonts w:ascii="宋体"/>
                <w:vanish/>
              </w:rPr>
            </w:pPr>
          </w:p>
        </w:tc>
        <w:tc>
          <w:tcPr>
            <w:tcW w:w="0" w:type="auto"/>
            <w:gridSpan w:val="3"/>
            <w:shd w:val="clear" w:color="auto" w:fill="auto"/>
            <w:vAlign w:val="bottom"/>
          </w:tcPr>
          <w:p w14:paraId="71D488A2" w14:textId="77777777" w:rsidR="006A3667" w:rsidRDefault="006A3667">
            <w:pPr>
              <w:rPr>
                <w:rFonts w:ascii="宋体"/>
                <w:vanish/>
              </w:rPr>
            </w:pPr>
          </w:p>
        </w:tc>
        <w:tc>
          <w:tcPr>
            <w:tcW w:w="0" w:type="auto"/>
            <w:gridSpan w:val="3"/>
            <w:shd w:val="clear" w:color="auto" w:fill="auto"/>
            <w:vAlign w:val="bottom"/>
          </w:tcPr>
          <w:p w14:paraId="71D488A3" w14:textId="77777777" w:rsidR="006A3667" w:rsidRDefault="006A3667">
            <w:pPr>
              <w:rPr>
                <w:rFonts w:ascii="宋体"/>
                <w:vanish/>
              </w:rPr>
            </w:pPr>
          </w:p>
        </w:tc>
        <w:tc>
          <w:tcPr>
            <w:tcW w:w="0" w:type="auto"/>
            <w:gridSpan w:val="3"/>
            <w:shd w:val="clear" w:color="auto" w:fill="auto"/>
            <w:vAlign w:val="bottom"/>
          </w:tcPr>
          <w:p w14:paraId="71D488A4" w14:textId="77777777" w:rsidR="006A3667" w:rsidRDefault="006A3667">
            <w:pPr>
              <w:rPr>
                <w:rFonts w:ascii="宋体"/>
                <w:vanish/>
              </w:rPr>
            </w:pPr>
          </w:p>
        </w:tc>
        <w:tc>
          <w:tcPr>
            <w:tcW w:w="0" w:type="auto"/>
            <w:gridSpan w:val="3"/>
            <w:shd w:val="clear" w:color="auto" w:fill="auto"/>
            <w:vAlign w:val="bottom"/>
          </w:tcPr>
          <w:p w14:paraId="71D488A5" w14:textId="77777777" w:rsidR="006A3667" w:rsidRDefault="006A3667">
            <w:pPr>
              <w:rPr>
                <w:rFonts w:ascii="宋体"/>
                <w:vanish/>
              </w:rPr>
            </w:pPr>
          </w:p>
        </w:tc>
        <w:tc>
          <w:tcPr>
            <w:tcW w:w="0" w:type="auto"/>
            <w:gridSpan w:val="3"/>
            <w:shd w:val="clear" w:color="auto" w:fill="auto"/>
            <w:vAlign w:val="bottom"/>
          </w:tcPr>
          <w:p w14:paraId="71D488A6" w14:textId="77777777" w:rsidR="006A3667" w:rsidRDefault="006A3667">
            <w:pPr>
              <w:rPr>
                <w:rFonts w:ascii="宋体"/>
                <w:vanish/>
              </w:rPr>
            </w:pPr>
          </w:p>
        </w:tc>
        <w:tc>
          <w:tcPr>
            <w:tcW w:w="0" w:type="auto"/>
            <w:gridSpan w:val="3"/>
            <w:shd w:val="clear" w:color="auto" w:fill="auto"/>
            <w:vAlign w:val="bottom"/>
          </w:tcPr>
          <w:p w14:paraId="71D488A7" w14:textId="77777777" w:rsidR="006A3667" w:rsidRDefault="006A3667">
            <w:pPr>
              <w:rPr>
                <w:rFonts w:ascii="宋体"/>
                <w:vanish/>
              </w:rPr>
            </w:pPr>
          </w:p>
        </w:tc>
      </w:tr>
      <w:tr w:rsidR="006A3667" w14:paraId="71D488B9" w14:textId="77777777">
        <w:trPr>
          <w:trHeight w:val="100"/>
        </w:trPr>
        <w:tc>
          <w:tcPr>
            <w:tcW w:w="0" w:type="auto"/>
            <w:gridSpan w:val="3"/>
            <w:shd w:val="clear" w:color="auto" w:fill="auto"/>
            <w:tcMar>
              <w:top w:w="0" w:type="dxa"/>
              <w:left w:w="20" w:type="dxa"/>
              <w:bottom w:w="0" w:type="dxa"/>
              <w:right w:w="20" w:type="dxa"/>
            </w:tcMar>
            <w:vAlign w:val="bottom"/>
          </w:tcPr>
          <w:p w14:paraId="71D488A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A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A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A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A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A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A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8B0" w14:textId="77777777" w:rsidR="006A3667" w:rsidRDefault="006A3667">
            <w:pPr>
              <w:rPr>
                <w:rFonts w:ascii="宋体"/>
              </w:rPr>
            </w:pPr>
          </w:p>
        </w:tc>
        <w:tc>
          <w:tcPr>
            <w:tcW w:w="0" w:type="auto"/>
            <w:shd w:val="clear" w:color="auto" w:fill="auto"/>
            <w:vAlign w:val="bottom"/>
          </w:tcPr>
          <w:p w14:paraId="71D488B1" w14:textId="77777777" w:rsidR="006A3667" w:rsidRDefault="006A3667">
            <w:pPr>
              <w:rPr>
                <w:rFonts w:ascii="宋体"/>
                <w:vanish/>
              </w:rPr>
            </w:pPr>
          </w:p>
        </w:tc>
        <w:tc>
          <w:tcPr>
            <w:tcW w:w="0" w:type="auto"/>
            <w:shd w:val="clear" w:color="auto" w:fill="auto"/>
            <w:vAlign w:val="bottom"/>
          </w:tcPr>
          <w:p w14:paraId="71D488B2" w14:textId="77777777" w:rsidR="006A3667" w:rsidRDefault="006A3667">
            <w:pPr>
              <w:rPr>
                <w:rFonts w:ascii="宋体"/>
                <w:vanish/>
              </w:rPr>
            </w:pPr>
          </w:p>
        </w:tc>
        <w:tc>
          <w:tcPr>
            <w:tcW w:w="0" w:type="auto"/>
            <w:gridSpan w:val="3"/>
            <w:shd w:val="clear" w:color="auto" w:fill="auto"/>
            <w:vAlign w:val="bottom"/>
          </w:tcPr>
          <w:p w14:paraId="71D488B3" w14:textId="77777777" w:rsidR="006A3667" w:rsidRDefault="006A3667">
            <w:pPr>
              <w:rPr>
                <w:rFonts w:ascii="宋体"/>
                <w:vanish/>
              </w:rPr>
            </w:pPr>
          </w:p>
        </w:tc>
        <w:tc>
          <w:tcPr>
            <w:tcW w:w="0" w:type="auto"/>
            <w:gridSpan w:val="3"/>
            <w:shd w:val="clear" w:color="auto" w:fill="auto"/>
            <w:vAlign w:val="bottom"/>
          </w:tcPr>
          <w:p w14:paraId="71D488B4" w14:textId="77777777" w:rsidR="006A3667" w:rsidRDefault="006A3667">
            <w:pPr>
              <w:rPr>
                <w:rFonts w:ascii="宋体"/>
                <w:vanish/>
              </w:rPr>
            </w:pPr>
          </w:p>
        </w:tc>
        <w:tc>
          <w:tcPr>
            <w:tcW w:w="0" w:type="auto"/>
            <w:gridSpan w:val="3"/>
            <w:shd w:val="clear" w:color="auto" w:fill="auto"/>
            <w:vAlign w:val="bottom"/>
          </w:tcPr>
          <w:p w14:paraId="71D488B5" w14:textId="77777777" w:rsidR="006A3667" w:rsidRDefault="006A3667">
            <w:pPr>
              <w:rPr>
                <w:rFonts w:ascii="宋体"/>
                <w:vanish/>
              </w:rPr>
            </w:pPr>
          </w:p>
        </w:tc>
        <w:tc>
          <w:tcPr>
            <w:tcW w:w="0" w:type="auto"/>
            <w:gridSpan w:val="3"/>
            <w:shd w:val="clear" w:color="auto" w:fill="auto"/>
            <w:vAlign w:val="bottom"/>
          </w:tcPr>
          <w:p w14:paraId="71D488B6" w14:textId="77777777" w:rsidR="006A3667" w:rsidRDefault="006A3667">
            <w:pPr>
              <w:rPr>
                <w:rFonts w:ascii="宋体"/>
                <w:vanish/>
              </w:rPr>
            </w:pPr>
          </w:p>
        </w:tc>
        <w:tc>
          <w:tcPr>
            <w:tcW w:w="0" w:type="auto"/>
            <w:gridSpan w:val="3"/>
            <w:shd w:val="clear" w:color="auto" w:fill="auto"/>
            <w:vAlign w:val="bottom"/>
          </w:tcPr>
          <w:p w14:paraId="71D488B7" w14:textId="77777777" w:rsidR="006A3667" w:rsidRDefault="006A3667">
            <w:pPr>
              <w:rPr>
                <w:rFonts w:ascii="宋体"/>
                <w:vanish/>
              </w:rPr>
            </w:pPr>
          </w:p>
        </w:tc>
        <w:tc>
          <w:tcPr>
            <w:tcW w:w="0" w:type="auto"/>
            <w:gridSpan w:val="3"/>
            <w:shd w:val="clear" w:color="auto" w:fill="auto"/>
            <w:vAlign w:val="bottom"/>
          </w:tcPr>
          <w:p w14:paraId="71D488B8" w14:textId="77777777" w:rsidR="006A3667" w:rsidRDefault="006A3667">
            <w:pPr>
              <w:rPr>
                <w:rFonts w:ascii="宋体"/>
                <w:vanish/>
              </w:rPr>
            </w:pPr>
          </w:p>
        </w:tc>
      </w:tr>
    </w:tbl>
    <w:p w14:paraId="71D488BA" w14:textId="77777777" w:rsidR="006A3667" w:rsidRDefault="00045F32">
      <w:pPr>
        <w:spacing w:before="60"/>
      </w:pPr>
      <w:r>
        <w:rPr>
          <w:rFonts w:ascii="Arial" w:eastAsia="宋体" w:hAnsi="Arial" w:cs="Arial"/>
          <w:b/>
          <w:bCs/>
          <w:i/>
          <w:iCs/>
          <w:color w:val="000000"/>
          <w:sz w:val="20"/>
          <w:szCs w:val="20"/>
        </w:rPr>
        <w:t>Accumulated Other Comprehensive Income (Loss)</w:t>
      </w:r>
    </w:p>
    <w:p w14:paraId="71D488BB" w14:textId="77777777" w:rsidR="006A3667" w:rsidRDefault="00045F32">
      <w:pPr>
        <w:spacing w:before="60"/>
        <w:ind w:firstLine="450"/>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the after-tax components of AOCI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47"/>
        <w:gridCol w:w="5482"/>
        <w:gridCol w:w="39"/>
        <w:gridCol w:w="98"/>
        <w:gridCol w:w="1132"/>
        <w:gridCol w:w="36"/>
        <w:gridCol w:w="36"/>
        <w:gridCol w:w="36"/>
        <w:gridCol w:w="36"/>
        <w:gridCol w:w="98"/>
        <w:gridCol w:w="1104"/>
        <w:gridCol w:w="36"/>
        <w:gridCol w:w="36"/>
        <w:gridCol w:w="36"/>
        <w:gridCol w:w="36"/>
        <w:gridCol w:w="36"/>
      </w:tblGrid>
      <w:tr w:rsidR="006A3667" w14:paraId="71D488CC" w14:textId="77777777">
        <w:tc>
          <w:tcPr>
            <w:tcW w:w="50" w:type="pct"/>
            <w:shd w:val="clear" w:color="auto" w:fill="auto"/>
            <w:vAlign w:val="bottom"/>
          </w:tcPr>
          <w:p w14:paraId="71D488BC" w14:textId="77777777" w:rsidR="006A3667" w:rsidRDefault="006A3667">
            <w:pPr>
              <w:rPr>
                <w:rFonts w:ascii="宋体"/>
              </w:rPr>
            </w:pPr>
          </w:p>
        </w:tc>
        <w:tc>
          <w:tcPr>
            <w:tcW w:w="3371" w:type="pct"/>
            <w:shd w:val="clear" w:color="auto" w:fill="auto"/>
            <w:vAlign w:val="bottom"/>
          </w:tcPr>
          <w:p w14:paraId="71D488BD" w14:textId="77777777" w:rsidR="006A3667" w:rsidRDefault="006A3667">
            <w:pPr>
              <w:rPr>
                <w:rFonts w:ascii="宋体"/>
              </w:rPr>
            </w:pPr>
          </w:p>
        </w:tc>
        <w:tc>
          <w:tcPr>
            <w:tcW w:w="5" w:type="pct"/>
            <w:shd w:val="clear" w:color="auto" w:fill="auto"/>
            <w:vAlign w:val="bottom"/>
          </w:tcPr>
          <w:p w14:paraId="71D488BE" w14:textId="77777777" w:rsidR="006A3667" w:rsidRDefault="006A3667">
            <w:pPr>
              <w:rPr>
                <w:rFonts w:ascii="宋体"/>
              </w:rPr>
            </w:pPr>
          </w:p>
        </w:tc>
        <w:tc>
          <w:tcPr>
            <w:tcW w:w="50" w:type="pct"/>
            <w:shd w:val="clear" w:color="auto" w:fill="auto"/>
            <w:vAlign w:val="bottom"/>
          </w:tcPr>
          <w:p w14:paraId="71D488BF" w14:textId="77777777" w:rsidR="006A3667" w:rsidRDefault="006A3667">
            <w:pPr>
              <w:rPr>
                <w:rFonts w:ascii="宋体"/>
              </w:rPr>
            </w:pPr>
          </w:p>
        </w:tc>
        <w:tc>
          <w:tcPr>
            <w:tcW w:w="713" w:type="pct"/>
            <w:shd w:val="clear" w:color="auto" w:fill="auto"/>
            <w:vAlign w:val="bottom"/>
          </w:tcPr>
          <w:p w14:paraId="71D488C0" w14:textId="77777777" w:rsidR="006A3667" w:rsidRDefault="006A3667">
            <w:pPr>
              <w:rPr>
                <w:rFonts w:ascii="宋体"/>
              </w:rPr>
            </w:pPr>
          </w:p>
        </w:tc>
        <w:tc>
          <w:tcPr>
            <w:tcW w:w="5" w:type="pct"/>
            <w:shd w:val="clear" w:color="auto" w:fill="auto"/>
            <w:vAlign w:val="bottom"/>
          </w:tcPr>
          <w:p w14:paraId="71D488C1" w14:textId="77777777" w:rsidR="006A3667" w:rsidRDefault="006A3667">
            <w:pPr>
              <w:rPr>
                <w:rFonts w:ascii="宋体"/>
              </w:rPr>
            </w:pPr>
          </w:p>
        </w:tc>
        <w:tc>
          <w:tcPr>
            <w:tcW w:w="5" w:type="pct"/>
            <w:shd w:val="clear" w:color="auto" w:fill="auto"/>
            <w:vAlign w:val="bottom"/>
          </w:tcPr>
          <w:p w14:paraId="71D488C2" w14:textId="77777777" w:rsidR="006A3667" w:rsidRDefault="006A3667">
            <w:pPr>
              <w:rPr>
                <w:rFonts w:ascii="宋体"/>
              </w:rPr>
            </w:pPr>
          </w:p>
        </w:tc>
        <w:tc>
          <w:tcPr>
            <w:tcW w:w="26" w:type="pct"/>
            <w:shd w:val="clear" w:color="auto" w:fill="auto"/>
            <w:vAlign w:val="bottom"/>
          </w:tcPr>
          <w:p w14:paraId="71D488C3" w14:textId="77777777" w:rsidR="006A3667" w:rsidRDefault="006A3667">
            <w:pPr>
              <w:rPr>
                <w:rFonts w:ascii="宋体"/>
              </w:rPr>
            </w:pPr>
          </w:p>
        </w:tc>
        <w:tc>
          <w:tcPr>
            <w:tcW w:w="5" w:type="pct"/>
            <w:shd w:val="clear" w:color="auto" w:fill="auto"/>
            <w:vAlign w:val="bottom"/>
          </w:tcPr>
          <w:p w14:paraId="71D488C4" w14:textId="77777777" w:rsidR="006A3667" w:rsidRDefault="006A3667">
            <w:pPr>
              <w:rPr>
                <w:rFonts w:ascii="宋体"/>
              </w:rPr>
            </w:pPr>
          </w:p>
        </w:tc>
        <w:tc>
          <w:tcPr>
            <w:tcW w:w="50" w:type="pct"/>
            <w:shd w:val="clear" w:color="auto" w:fill="auto"/>
            <w:vAlign w:val="bottom"/>
          </w:tcPr>
          <w:p w14:paraId="71D488C5" w14:textId="77777777" w:rsidR="006A3667" w:rsidRDefault="006A3667">
            <w:pPr>
              <w:rPr>
                <w:rFonts w:ascii="宋体"/>
              </w:rPr>
            </w:pPr>
          </w:p>
        </w:tc>
        <w:tc>
          <w:tcPr>
            <w:tcW w:w="713" w:type="pct"/>
            <w:shd w:val="clear" w:color="auto" w:fill="auto"/>
            <w:vAlign w:val="bottom"/>
          </w:tcPr>
          <w:p w14:paraId="71D488C6" w14:textId="77777777" w:rsidR="006A3667" w:rsidRDefault="006A3667">
            <w:pPr>
              <w:rPr>
                <w:rFonts w:ascii="宋体"/>
              </w:rPr>
            </w:pPr>
          </w:p>
        </w:tc>
        <w:tc>
          <w:tcPr>
            <w:tcW w:w="5" w:type="pct"/>
            <w:shd w:val="clear" w:color="auto" w:fill="auto"/>
            <w:vAlign w:val="bottom"/>
          </w:tcPr>
          <w:p w14:paraId="71D488C7" w14:textId="77777777" w:rsidR="006A3667" w:rsidRDefault="006A3667">
            <w:pPr>
              <w:rPr>
                <w:rFonts w:ascii="宋体"/>
              </w:rPr>
            </w:pPr>
          </w:p>
        </w:tc>
        <w:tc>
          <w:tcPr>
            <w:tcW w:w="0" w:type="auto"/>
            <w:shd w:val="clear" w:color="auto" w:fill="auto"/>
            <w:vAlign w:val="bottom"/>
          </w:tcPr>
          <w:p w14:paraId="71D488C8" w14:textId="77777777" w:rsidR="006A3667" w:rsidRDefault="006A3667">
            <w:pPr>
              <w:rPr>
                <w:rFonts w:ascii="宋体"/>
                <w:vanish/>
              </w:rPr>
            </w:pPr>
          </w:p>
        </w:tc>
        <w:tc>
          <w:tcPr>
            <w:tcW w:w="0" w:type="auto"/>
            <w:shd w:val="clear" w:color="auto" w:fill="auto"/>
            <w:vAlign w:val="bottom"/>
          </w:tcPr>
          <w:p w14:paraId="71D488C9" w14:textId="77777777" w:rsidR="006A3667" w:rsidRDefault="006A3667">
            <w:pPr>
              <w:rPr>
                <w:rFonts w:ascii="宋体"/>
                <w:vanish/>
              </w:rPr>
            </w:pPr>
          </w:p>
        </w:tc>
        <w:tc>
          <w:tcPr>
            <w:tcW w:w="0" w:type="auto"/>
            <w:shd w:val="clear" w:color="auto" w:fill="auto"/>
            <w:vAlign w:val="bottom"/>
          </w:tcPr>
          <w:p w14:paraId="71D488CA" w14:textId="77777777" w:rsidR="006A3667" w:rsidRDefault="006A3667">
            <w:pPr>
              <w:rPr>
                <w:rFonts w:ascii="宋体"/>
                <w:vanish/>
              </w:rPr>
            </w:pPr>
          </w:p>
        </w:tc>
        <w:tc>
          <w:tcPr>
            <w:tcW w:w="0" w:type="auto"/>
            <w:shd w:val="clear" w:color="auto" w:fill="auto"/>
            <w:vAlign w:val="bottom"/>
          </w:tcPr>
          <w:p w14:paraId="71D488CB" w14:textId="77777777" w:rsidR="006A3667" w:rsidRDefault="006A3667">
            <w:pPr>
              <w:rPr>
                <w:rFonts w:ascii="宋体"/>
                <w:vanish/>
              </w:rPr>
            </w:pPr>
          </w:p>
        </w:tc>
      </w:tr>
      <w:tr w:rsidR="006A3667" w14:paraId="71D488D3" w14:textId="77777777">
        <w:tc>
          <w:tcPr>
            <w:tcW w:w="0" w:type="auto"/>
            <w:gridSpan w:val="3"/>
            <w:shd w:val="clear" w:color="auto" w:fill="auto"/>
            <w:tcMar>
              <w:top w:w="0" w:type="dxa"/>
              <w:left w:w="20" w:type="dxa"/>
              <w:bottom w:w="0" w:type="dxa"/>
              <w:right w:w="20" w:type="dxa"/>
            </w:tcMar>
            <w:vAlign w:val="bottom"/>
          </w:tcPr>
          <w:p w14:paraId="71D488CD"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88CE"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488CF" w14:textId="77777777" w:rsidR="006A3667" w:rsidRDefault="006A3667">
            <w:pPr>
              <w:rPr>
                <w:rFonts w:ascii="宋体"/>
                <w:vanish/>
              </w:rPr>
            </w:pPr>
          </w:p>
        </w:tc>
        <w:tc>
          <w:tcPr>
            <w:tcW w:w="0" w:type="auto"/>
            <w:shd w:val="clear" w:color="auto" w:fill="auto"/>
            <w:vAlign w:val="bottom"/>
          </w:tcPr>
          <w:p w14:paraId="71D488D0" w14:textId="77777777" w:rsidR="006A3667" w:rsidRDefault="006A3667">
            <w:pPr>
              <w:rPr>
                <w:rFonts w:ascii="宋体"/>
                <w:vanish/>
              </w:rPr>
            </w:pPr>
          </w:p>
        </w:tc>
        <w:tc>
          <w:tcPr>
            <w:tcW w:w="0" w:type="auto"/>
            <w:shd w:val="clear" w:color="auto" w:fill="auto"/>
            <w:vAlign w:val="bottom"/>
          </w:tcPr>
          <w:p w14:paraId="71D488D1" w14:textId="77777777" w:rsidR="006A3667" w:rsidRDefault="006A3667">
            <w:pPr>
              <w:rPr>
                <w:rFonts w:ascii="宋体"/>
                <w:vanish/>
              </w:rPr>
            </w:pPr>
          </w:p>
        </w:tc>
        <w:tc>
          <w:tcPr>
            <w:tcW w:w="0" w:type="auto"/>
            <w:shd w:val="clear" w:color="auto" w:fill="auto"/>
            <w:vAlign w:val="bottom"/>
          </w:tcPr>
          <w:p w14:paraId="71D488D2" w14:textId="77777777" w:rsidR="006A3667" w:rsidRDefault="006A3667">
            <w:pPr>
              <w:rPr>
                <w:rFonts w:ascii="宋体"/>
                <w:vanish/>
              </w:rPr>
            </w:pPr>
          </w:p>
        </w:tc>
      </w:tr>
      <w:tr w:rsidR="006A3667" w14:paraId="71D488DC" w14:textId="77777777">
        <w:tc>
          <w:tcPr>
            <w:tcW w:w="0" w:type="auto"/>
            <w:gridSpan w:val="3"/>
            <w:shd w:val="clear" w:color="auto" w:fill="auto"/>
            <w:tcMar>
              <w:top w:w="40" w:type="dxa"/>
              <w:left w:w="20" w:type="dxa"/>
              <w:bottom w:w="40" w:type="dxa"/>
              <w:right w:w="20" w:type="dxa"/>
            </w:tcMar>
            <w:vAlign w:val="bottom"/>
          </w:tcPr>
          <w:p w14:paraId="71D488D4"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D5"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8D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8D7" w14:textId="77777777" w:rsidR="006A3667" w:rsidRDefault="00045F32">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71D488D8" w14:textId="77777777" w:rsidR="006A3667" w:rsidRDefault="006A3667">
            <w:pPr>
              <w:rPr>
                <w:rFonts w:ascii="宋体"/>
                <w:vanish/>
              </w:rPr>
            </w:pPr>
          </w:p>
        </w:tc>
        <w:tc>
          <w:tcPr>
            <w:tcW w:w="0" w:type="auto"/>
            <w:shd w:val="clear" w:color="auto" w:fill="auto"/>
            <w:vAlign w:val="bottom"/>
          </w:tcPr>
          <w:p w14:paraId="71D488D9" w14:textId="77777777" w:rsidR="006A3667" w:rsidRDefault="006A3667">
            <w:pPr>
              <w:rPr>
                <w:rFonts w:ascii="宋体"/>
                <w:vanish/>
              </w:rPr>
            </w:pPr>
          </w:p>
        </w:tc>
        <w:tc>
          <w:tcPr>
            <w:tcW w:w="0" w:type="auto"/>
            <w:shd w:val="clear" w:color="auto" w:fill="auto"/>
            <w:vAlign w:val="bottom"/>
          </w:tcPr>
          <w:p w14:paraId="71D488DA" w14:textId="77777777" w:rsidR="006A3667" w:rsidRDefault="006A3667">
            <w:pPr>
              <w:rPr>
                <w:rFonts w:ascii="宋体"/>
                <w:vanish/>
              </w:rPr>
            </w:pPr>
          </w:p>
        </w:tc>
        <w:tc>
          <w:tcPr>
            <w:tcW w:w="0" w:type="auto"/>
            <w:shd w:val="clear" w:color="auto" w:fill="auto"/>
            <w:vAlign w:val="bottom"/>
          </w:tcPr>
          <w:p w14:paraId="71D488DB" w14:textId="77777777" w:rsidR="006A3667" w:rsidRDefault="006A3667">
            <w:pPr>
              <w:rPr>
                <w:rFonts w:ascii="宋体"/>
                <w:vanish/>
              </w:rPr>
            </w:pPr>
          </w:p>
        </w:tc>
      </w:tr>
      <w:tr w:rsidR="006A3667" w14:paraId="71D488E9" w14:textId="77777777">
        <w:tc>
          <w:tcPr>
            <w:tcW w:w="0" w:type="auto"/>
            <w:gridSpan w:val="3"/>
            <w:shd w:val="clear" w:color="auto" w:fill="CCEEFF"/>
            <w:tcMar>
              <w:top w:w="40" w:type="dxa"/>
              <w:left w:w="20" w:type="dxa"/>
              <w:bottom w:w="40" w:type="dxa"/>
              <w:right w:w="20" w:type="dxa"/>
            </w:tcMar>
            <w:vAlign w:val="bottom"/>
          </w:tcPr>
          <w:p w14:paraId="71D488DD" w14:textId="77777777" w:rsidR="006A3667" w:rsidRDefault="00045F32">
            <w:pPr>
              <w:textAlignment w:val="bottom"/>
            </w:pPr>
            <w:r>
              <w:rPr>
                <w:rFonts w:ascii="Arial" w:eastAsia="宋体" w:hAnsi="Arial" w:cs="Arial"/>
                <w:color w:val="000000"/>
                <w:sz w:val="14"/>
                <w:szCs w:val="14"/>
              </w:rPr>
              <w:t>Net unrealized gains (losses) on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88D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DF" w14:textId="77777777" w:rsidR="006A3667" w:rsidRDefault="00045F32">
            <w:pPr>
              <w:jc w:val="right"/>
              <w:textAlignment w:val="bottom"/>
            </w:pPr>
            <w:r>
              <w:rPr>
                <w:rFonts w:ascii="Arial" w:eastAsia="宋体" w:hAnsi="Arial" w:cs="Arial"/>
                <w:b/>
                <w:bCs/>
                <w:color w:val="000000"/>
                <w:sz w:val="14"/>
                <w:szCs w:val="14"/>
              </w:rPr>
              <w:t>(352)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8E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8E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8E3" w14:textId="77777777" w:rsidR="006A3667" w:rsidRDefault="00045F32">
            <w:pPr>
              <w:jc w:val="right"/>
              <w:textAlignment w:val="bottom"/>
            </w:pPr>
            <w:r>
              <w:rPr>
                <w:rFonts w:ascii="Arial" w:eastAsia="宋体" w:hAnsi="Arial" w:cs="Arial"/>
                <w:color w:val="000000"/>
                <w:sz w:val="14"/>
                <w:szCs w:val="14"/>
              </w:rPr>
              <w:t>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8E4" w14:textId="77777777" w:rsidR="006A3667" w:rsidRDefault="006A3667">
            <w:pPr>
              <w:jc w:val="right"/>
              <w:rPr>
                <w:rFonts w:ascii="宋体"/>
              </w:rPr>
            </w:pPr>
          </w:p>
        </w:tc>
        <w:tc>
          <w:tcPr>
            <w:tcW w:w="0" w:type="auto"/>
            <w:shd w:val="clear" w:color="auto" w:fill="auto"/>
            <w:vAlign w:val="bottom"/>
          </w:tcPr>
          <w:p w14:paraId="71D488E5" w14:textId="77777777" w:rsidR="006A3667" w:rsidRDefault="006A3667">
            <w:pPr>
              <w:rPr>
                <w:rFonts w:ascii="宋体"/>
                <w:vanish/>
              </w:rPr>
            </w:pPr>
          </w:p>
        </w:tc>
        <w:tc>
          <w:tcPr>
            <w:tcW w:w="0" w:type="auto"/>
            <w:shd w:val="clear" w:color="auto" w:fill="auto"/>
            <w:vAlign w:val="bottom"/>
          </w:tcPr>
          <w:p w14:paraId="71D488E6" w14:textId="77777777" w:rsidR="006A3667" w:rsidRDefault="006A3667">
            <w:pPr>
              <w:rPr>
                <w:rFonts w:ascii="宋体"/>
                <w:vanish/>
              </w:rPr>
            </w:pPr>
          </w:p>
        </w:tc>
        <w:tc>
          <w:tcPr>
            <w:tcW w:w="0" w:type="auto"/>
            <w:shd w:val="clear" w:color="auto" w:fill="auto"/>
            <w:vAlign w:val="bottom"/>
          </w:tcPr>
          <w:p w14:paraId="71D488E7" w14:textId="77777777" w:rsidR="006A3667" w:rsidRDefault="006A3667">
            <w:pPr>
              <w:rPr>
                <w:rFonts w:ascii="宋体"/>
                <w:vanish/>
              </w:rPr>
            </w:pPr>
          </w:p>
        </w:tc>
        <w:tc>
          <w:tcPr>
            <w:tcW w:w="0" w:type="auto"/>
            <w:shd w:val="clear" w:color="auto" w:fill="auto"/>
            <w:vAlign w:val="bottom"/>
          </w:tcPr>
          <w:p w14:paraId="71D488E8" w14:textId="77777777" w:rsidR="006A3667" w:rsidRDefault="006A3667">
            <w:pPr>
              <w:rPr>
                <w:rFonts w:ascii="宋体"/>
                <w:vanish/>
              </w:rPr>
            </w:pPr>
          </w:p>
        </w:tc>
      </w:tr>
      <w:tr w:rsidR="006A3667" w14:paraId="71D488F4" w14:textId="77777777">
        <w:tc>
          <w:tcPr>
            <w:tcW w:w="0" w:type="auto"/>
            <w:gridSpan w:val="3"/>
            <w:shd w:val="clear" w:color="auto" w:fill="FFFFFF"/>
            <w:tcMar>
              <w:top w:w="40" w:type="dxa"/>
              <w:left w:w="155" w:type="dxa"/>
              <w:bottom w:w="40" w:type="dxa"/>
              <w:right w:w="20" w:type="dxa"/>
            </w:tcMar>
            <w:vAlign w:val="bottom"/>
          </w:tcPr>
          <w:p w14:paraId="71D488EA" w14:textId="77777777" w:rsidR="006A3667" w:rsidRDefault="00045F32">
            <w:pPr>
              <w:textAlignment w:val="bottom"/>
            </w:pPr>
            <w:r>
              <w:rPr>
                <w:rFonts w:ascii="Arial" w:eastAsia="宋体" w:hAnsi="Arial" w:cs="Arial"/>
                <w:color w:val="000000"/>
                <w:sz w:val="14"/>
                <w:szCs w:val="14"/>
              </w:rPr>
              <w:t xml:space="preserve">Net unrealized gains </w:t>
            </w:r>
            <w:r>
              <w:rPr>
                <w:rFonts w:ascii="Arial" w:eastAsia="宋体" w:hAnsi="Arial" w:cs="Arial"/>
                <w:color w:val="000000"/>
                <w:sz w:val="14"/>
                <w:szCs w:val="14"/>
              </w:rPr>
              <w:t>(losses) on available-for-sale securities portfolio</w:t>
            </w:r>
          </w:p>
        </w:tc>
        <w:tc>
          <w:tcPr>
            <w:tcW w:w="0" w:type="auto"/>
            <w:gridSpan w:val="2"/>
            <w:shd w:val="clear" w:color="auto" w:fill="FFFFFF"/>
            <w:tcMar>
              <w:top w:w="40" w:type="dxa"/>
              <w:left w:w="20" w:type="dxa"/>
              <w:bottom w:w="40" w:type="dxa"/>
              <w:right w:w="0" w:type="dxa"/>
            </w:tcMar>
            <w:vAlign w:val="bottom"/>
          </w:tcPr>
          <w:p w14:paraId="71D488EB" w14:textId="77777777" w:rsidR="006A3667" w:rsidRDefault="00045F32">
            <w:pPr>
              <w:jc w:val="right"/>
              <w:textAlignment w:val="bottom"/>
            </w:pPr>
            <w:r>
              <w:rPr>
                <w:rFonts w:ascii="Arial" w:eastAsia="宋体" w:hAnsi="Arial" w:cs="Arial"/>
                <w:b/>
                <w:bCs/>
                <w:color w:val="000000"/>
                <w:sz w:val="14"/>
                <w:szCs w:val="14"/>
              </w:rPr>
              <w:t>(1,711)</w:t>
            </w:r>
          </w:p>
        </w:tc>
        <w:tc>
          <w:tcPr>
            <w:tcW w:w="0" w:type="auto"/>
            <w:shd w:val="clear" w:color="auto" w:fill="FFFFFF"/>
            <w:tcMar>
              <w:top w:w="40" w:type="dxa"/>
              <w:left w:w="0" w:type="dxa"/>
              <w:bottom w:w="40" w:type="dxa"/>
              <w:right w:w="20" w:type="dxa"/>
            </w:tcMar>
            <w:vAlign w:val="bottom"/>
          </w:tcPr>
          <w:p w14:paraId="71D488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8E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8EE" w14:textId="77777777" w:rsidR="006A3667" w:rsidRDefault="00045F32">
            <w:pPr>
              <w:jc w:val="right"/>
              <w:textAlignment w:val="bottom"/>
            </w:pPr>
            <w:r>
              <w:rPr>
                <w:rFonts w:ascii="Arial" w:eastAsia="宋体" w:hAnsi="Arial" w:cs="Arial"/>
                <w:color w:val="000000"/>
                <w:sz w:val="14"/>
                <w:szCs w:val="14"/>
              </w:rPr>
              <w:t>227 </w:t>
            </w:r>
          </w:p>
        </w:tc>
        <w:tc>
          <w:tcPr>
            <w:tcW w:w="0" w:type="auto"/>
            <w:shd w:val="clear" w:color="auto" w:fill="FFFFFF"/>
            <w:tcMar>
              <w:top w:w="40" w:type="dxa"/>
              <w:left w:w="0" w:type="dxa"/>
              <w:bottom w:w="40" w:type="dxa"/>
              <w:right w:w="20" w:type="dxa"/>
            </w:tcMar>
            <w:vAlign w:val="bottom"/>
          </w:tcPr>
          <w:p w14:paraId="71D488EF" w14:textId="77777777" w:rsidR="006A3667" w:rsidRDefault="006A3667">
            <w:pPr>
              <w:jc w:val="right"/>
              <w:rPr>
                <w:rFonts w:ascii="宋体"/>
              </w:rPr>
            </w:pPr>
          </w:p>
        </w:tc>
        <w:tc>
          <w:tcPr>
            <w:tcW w:w="0" w:type="auto"/>
            <w:shd w:val="clear" w:color="auto" w:fill="auto"/>
            <w:vAlign w:val="bottom"/>
          </w:tcPr>
          <w:p w14:paraId="71D488F0" w14:textId="77777777" w:rsidR="006A3667" w:rsidRDefault="006A3667">
            <w:pPr>
              <w:rPr>
                <w:rFonts w:ascii="宋体"/>
                <w:vanish/>
              </w:rPr>
            </w:pPr>
          </w:p>
        </w:tc>
        <w:tc>
          <w:tcPr>
            <w:tcW w:w="0" w:type="auto"/>
            <w:shd w:val="clear" w:color="auto" w:fill="auto"/>
            <w:vAlign w:val="bottom"/>
          </w:tcPr>
          <w:p w14:paraId="71D488F1" w14:textId="77777777" w:rsidR="006A3667" w:rsidRDefault="006A3667">
            <w:pPr>
              <w:rPr>
                <w:rFonts w:ascii="宋体"/>
                <w:vanish/>
              </w:rPr>
            </w:pPr>
          </w:p>
        </w:tc>
        <w:tc>
          <w:tcPr>
            <w:tcW w:w="0" w:type="auto"/>
            <w:shd w:val="clear" w:color="auto" w:fill="auto"/>
            <w:vAlign w:val="bottom"/>
          </w:tcPr>
          <w:p w14:paraId="71D488F2" w14:textId="77777777" w:rsidR="006A3667" w:rsidRDefault="006A3667">
            <w:pPr>
              <w:rPr>
                <w:rFonts w:ascii="宋体"/>
                <w:vanish/>
              </w:rPr>
            </w:pPr>
          </w:p>
        </w:tc>
        <w:tc>
          <w:tcPr>
            <w:tcW w:w="0" w:type="auto"/>
            <w:shd w:val="clear" w:color="auto" w:fill="auto"/>
            <w:vAlign w:val="bottom"/>
          </w:tcPr>
          <w:p w14:paraId="71D488F3" w14:textId="77777777" w:rsidR="006A3667" w:rsidRDefault="006A3667">
            <w:pPr>
              <w:rPr>
                <w:rFonts w:ascii="宋体"/>
                <w:vanish/>
              </w:rPr>
            </w:pPr>
          </w:p>
        </w:tc>
      </w:tr>
      <w:tr w:rsidR="006A3667" w14:paraId="71D488FF" w14:textId="77777777">
        <w:tc>
          <w:tcPr>
            <w:tcW w:w="0" w:type="auto"/>
            <w:gridSpan w:val="3"/>
            <w:shd w:val="clear" w:color="auto" w:fill="CCEEFF"/>
            <w:tcMar>
              <w:top w:w="40" w:type="dxa"/>
              <w:left w:w="155" w:type="dxa"/>
              <w:bottom w:w="40" w:type="dxa"/>
              <w:right w:w="20" w:type="dxa"/>
            </w:tcMar>
            <w:vAlign w:val="bottom"/>
          </w:tcPr>
          <w:p w14:paraId="71D488F5" w14:textId="77777777" w:rsidR="006A3667" w:rsidRDefault="00045F32">
            <w:pPr>
              <w:textAlignment w:val="bottom"/>
            </w:pPr>
            <w:r>
              <w:rPr>
                <w:rFonts w:ascii="Arial" w:eastAsia="宋体" w:hAnsi="Arial" w:cs="Arial"/>
                <w:color w:val="000000"/>
                <w:sz w:val="14"/>
                <w:szCs w:val="14"/>
              </w:rPr>
              <w:t>Net unrealized gains (losses)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71D488F6" w14:textId="77777777" w:rsidR="006A3667" w:rsidRDefault="00045F32">
            <w:pPr>
              <w:jc w:val="right"/>
              <w:textAlignment w:val="bottom"/>
            </w:pPr>
            <w:r>
              <w:rPr>
                <w:rFonts w:ascii="Arial" w:eastAsia="宋体" w:hAnsi="Arial" w:cs="Arial"/>
                <w:b/>
                <w:bCs/>
                <w:color w:val="000000"/>
                <w:sz w:val="14"/>
                <w:szCs w:val="14"/>
              </w:rPr>
              <w:t>(803)</w:t>
            </w:r>
          </w:p>
        </w:tc>
        <w:tc>
          <w:tcPr>
            <w:tcW w:w="0" w:type="auto"/>
            <w:shd w:val="clear" w:color="auto" w:fill="CCEEFF"/>
            <w:tcMar>
              <w:top w:w="40" w:type="dxa"/>
              <w:left w:w="0" w:type="dxa"/>
              <w:bottom w:w="40" w:type="dxa"/>
              <w:right w:w="20" w:type="dxa"/>
            </w:tcMar>
            <w:vAlign w:val="bottom"/>
          </w:tcPr>
          <w:p w14:paraId="71D488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8F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8F9" w14:textId="77777777" w:rsidR="006A3667" w:rsidRDefault="00045F32">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71D488FA" w14:textId="77777777" w:rsidR="006A3667" w:rsidRDefault="006A3667">
            <w:pPr>
              <w:jc w:val="right"/>
              <w:rPr>
                <w:rFonts w:ascii="宋体"/>
              </w:rPr>
            </w:pPr>
          </w:p>
        </w:tc>
        <w:tc>
          <w:tcPr>
            <w:tcW w:w="0" w:type="auto"/>
            <w:shd w:val="clear" w:color="auto" w:fill="auto"/>
            <w:vAlign w:val="bottom"/>
          </w:tcPr>
          <w:p w14:paraId="71D488FB" w14:textId="77777777" w:rsidR="006A3667" w:rsidRDefault="006A3667">
            <w:pPr>
              <w:rPr>
                <w:rFonts w:ascii="宋体"/>
                <w:vanish/>
              </w:rPr>
            </w:pPr>
          </w:p>
        </w:tc>
        <w:tc>
          <w:tcPr>
            <w:tcW w:w="0" w:type="auto"/>
            <w:shd w:val="clear" w:color="auto" w:fill="auto"/>
            <w:vAlign w:val="bottom"/>
          </w:tcPr>
          <w:p w14:paraId="71D488FC" w14:textId="77777777" w:rsidR="006A3667" w:rsidRDefault="006A3667">
            <w:pPr>
              <w:rPr>
                <w:rFonts w:ascii="宋体"/>
                <w:vanish/>
              </w:rPr>
            </w:pPr>
          </w:p>
        </w:tc>
        <w:tc>
          <w:tcPr>
            <w:tcW w:w="0" w:type="auto"/>
            <w:shd w:val="clear" w:color="auto" w:fill="auto"/>
            <w:vAlign w:val="bottom"/>
          </w:tcPr>
          <w:p w14:paraId="71D488FD" w14:textId="77777777" w:rsidR="006A3667" w:rsidRDefault="006A3667">
            <w:pPr>
              <w:rPr>
                <w:rFonts w:ascii="宋体"/>
                <w:vanish/>
              </w:rPr>
            </w:pPr>
          </w:p>
        </w:tc>
        <w:tc>
          <w:tcPr>
            <w:tcW w:w="0" w:type="auto"/>
            <w:shd w:val="clear" w:color="auto" w:fill="auto"/>
            <w:vAlign w:val="bottom"/>
          </w:tcPr>
          <w:p w14:paraId="71D488FE" w14:textId="77777777" w:rsidR="006A3667" w:rsidRDefault="006A3667">
            <w:pPr>
              <w:rPr>
                <w:rFonts w:ascii="宋体"/>
                <w:vanish/>
              </w:rPr>
            </w:pPr>
          </w:p>
        </w:tc>
      </w:tr>
      <w:tr w:rsidR="006A3667" w14:paraId="71D4890A" w14:textId="77777777">
        <w:tc>
          <w:tcPr>
            <w:tcW w:w="0" w:type="auto"/>
            <w:gridSpan w:val="3"/>
            <w:shd w:val="clear" w:color="auto" w:fill="FFFFFF"/>
            <w:tcMar>
              <w:top w:w="40" w:type="dxa"/>
              <w:left w:w="20" w:type="dxa"/>
              <w:bottom w:w="40" w:type="dxa"/>
              <w:right w:w="20" w:type="dxa"/>
            </w:tcMar>
            <w:vAlign w:val="bottom"/>
          </w:tcPr>
          <w:p w14:paraId="71D48900" w14:textId="77777777" w:rsidR="006A3667" w:rsidRDefault="00045F32">
            <w:pPr>
              <w:textAlignment w:val="bottom"/>
            </w:pPr>
            <w:r>
              <w:rPr>
                <w:rFonts w:ascii="Arial" w:eastAsia="宋体" w:hAnsi="Arial" w:cs="Arial"/>
                <w:color w:val="000000"/>
                <w:sz w:val="14"/>
                <w:szCs w:val="14"/>
              </w:rPr>
              <w:t>Net unrealized gains (losses) on available-for-sale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901" w14:textId="77777777" w:rsidR="006A3667" w:rsidRDefault="00045F32">
            <w:pPr>
              <w:jc w:val="right"/>
              <w:textAlignment w:val="bottom"/>
            </w:pPr>
            <w:r>
              <w:rPr>
                <w:rFonts w:ascii="Arial" w:eastAsia="宋体" w:hAnsi="Arial" w:cs="Arial"/>
                <w:b/>
                <w:bCs/>
                <w:color w:val="000000"/>
                <w:sz w:val="14"/>
                <w:szCs w:val="14"/>
              </w:rPr>
              <w:t>(2,514)</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90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90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904" w14:textId="77777777" w:rsidR="006A3667" w:rsidRDefault="00045F32">
            <w:pPr>
              <w:jc w:val="right"/>
              <w:textAlignment w:val="bottom"/>
            </w:pPr>
            <w:r>
              <w:rPr>
                <w:rFonts w:ascii="Arial" w:eastAsia="宋体" w:hAnsi="Arial" w:cs="Arial"/>
                <w:color w:val="000000"/>
                <w:sz w:val="14"/>
                <w:szCs w:val="14"/>
              </w:rPr>
              <w:t>266 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905" w14:textId="77777777" w:rsidR="006A3667" w:rsidRDefault="006A3667">
            <w:pPr>
              <w:jc w:val="right"/>
              <w:rPr>
                <w:rFonts w:ascii="宋体"/>
              </w:rPr>
            </w:pPr>
          </w:p>
        </w:tc>
        <w:tc>
          <w:tcPr>
            <w:tcW w:w="0" w:type="auto"/>
            <w:shd w:val="clear" w:color="auto" w:fill="auto"/>
            <w:vAlign w:val="bottom"/>
          </w:tcPr>
          <w:p w14:paraId="71D48906" w14:textId="77777777" w:rsidR="006A3667" w:rsidRDefault="006A3667">
            <w:pPr>
              <w:rPr>
                <w:rFonts w:ascii="宋体"/>
                <w:vanish/>
              </w:rPr>
            </w:pPr>
          </w:p>
        </w:tc>
        <w:tc>
          <w:tcPr>
            <w:tcW w:w="0" w:type="auto"/>
            <w:shd w:val="clear" w:color="auto" w:fill="auto"/>
            <w:vAlign w:val="bottom"/>
          </w:tcPr>
          <w:p w14:paraId="71D48907" w14:textId="77777777" w:rsidR="006A3667" w:rsidRDefault="006A3667">
            <w:pPr>
              <w:rPr>
                <w:rFonts w:ascii="宋体"/>
                <w:vanish/>
              </w:rPr>
            </w:pPr>
          </w:p>
        </w:tc>
        <w:tc>
          <w:tcPr>
            <w:tcW w:w="0" w:type="auto"/>
            <w:shd w:val="clear" w:color="auto" w:fill="auto"/>
            <w:vAlign w:val="bottom"/>
          </w:tcPr>
          <w:p w14:paraId="71D48908" w14:textId="77777777" w:rsidR="006A3667" w:rsidRDefault="006A3667">
            <w:pPr>
              <w:rPr>
                <w:rFonts w:ascii="宋体"/>
                <w:vanish/>
              </w:rPr>
            </w:pPr>
          </w:p>
        </w:tc>
        <w:tc>
          <w:tcPr>
            <w:tcW w:w="0" w:type="auto"/>
            <w:shd w:val="clear" w:color="auto" w:fill="auto"/>
            <w:vAlign w:val="bottom"/>
          </w:tcPr>
          <w:p w14:paraId="71D48909" w14:textId="77777777" w:rsidR="006A3667" w:rsidRDefault="006A3667">
            <w:pPr>
              <w:rPr>
                <w:rFonts w:ascii="宋体"/>
                <w:vanish/>
              </w:rPr>
            </w:pPr>
          </w:p>
        </w:tc>
      </w:tr>
      <w:tr w:rsidR="006A3667" w14:paraId="71D48915" w14:textId="77777777">
        <w:tc>
          <w:tcPr>
            <w:tcW w:w="0" w:type="auto"/>
            <w:gridSpan w:val="3"/>
            <w:shd w:val="clear" w:color="auto" w:fill="CCEEFF"/>
            <w:tcMar>
              <w:top w:w="40" w:type="dxa"/>
              <w:left w:w="20" w:type="dxa"/>
              <w:bottom w:w="40" w:type="dxa"/>
              <w:right w:w="20" w:type="dxa"/>
            </w:tcMar>
            <w:vAlign w:val="bottom"/>
          </w:tcPr>
          <w:p w14:paraId="71D4890B" w14:textId="77777777" w:rsidR="006A3667" w:rsidRDefault="00045F32">
            <w:pPr>
              <w:textAlignment w:val="bottom"/>
            </w:pPr>
            <w:r>
              <w:rPr>
                <w:rFonts w:ascii="Arial" w:eastAsia="宋体" w:hAnsi="Arial" w:cs="Arial"/>
                <w:color w:val="000000"/>
                <w:sz w:val="14"/>
                <w:szCs w:val="14"/>
              </w:rPr>
              <w:t>Net unrealized gains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71D4890C" w14:textId="77777777" w:rsidR="006A3667" w:rsidRDefault="00045F32">
            <w:pPr>
              <w:jc w:val="right"/>
              <w:textAlignment w:val="bottom"/>
            </w:pPr>
            <w:r>
              <w:rPr>
                <w:rFonts w:ascii="Arial" w:eastAsia="宋体" w:hAnsi="Arial" w:cs="Arial"/>
                <w:b/>
                <w:bCs/>
                <w:color w:val="000000"/>
                <w:sz w:val="14"/>
                <w:szCs w:val="14"/>
              </w:rPr>
              <w:t>509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9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90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90F" w14:textId="77777777" w:rsidR="006A3667" w:rsidRDefault="00045F32">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71D48910" w14:textId="77777777" w:rsidR="006A3667" w:rsidRDefault="006A3667">
            <w:pPr>
              <w:jc w:val="right"/>
              <w:rPr>
                <w:rFonts w:ascii="宋体"/>
              </w:rPr>
            </w:pPr>
          </w:p>
        </w:tc>
        <w:tc>
          <w:tcPr>
            <w:tcW w:w="0" w:type="auto"/>
            <w:shd w:val="clear" w:color="auto" w:fill="auto"/>
            <w:vAlign w:val="bottom"/>
          </w:tcPr>
          <w:p w14:paraId="71D48911" w14:textId="77777777" w:rsidR="006A3667" w:rsidRDefault="006A3667">
            <w:pPr>
              <w:rPr>
                <w:rFonts w:ascii="宋体"/>
                <w:vanish/>
              </w:rPr>
            </w:pPr>
          </w:p>
        </w:tc>
        <w:tc>
          <w:tcPr>
            <w:tcW w:w="0" w:type="auto"/>
            <w:shd w:val="clear" w:color="auto" w:fill="auto"/>
            <w:vAlign w:val="bottom"/>
          </w:tcPr>
          <w:p w14:paraId="71D48912" w14:textId="77777777" w:rsidR="006A3667" w:rsidRDefault="006A3667">
            <w:pPr>
              <w:rPr>
                <w:rFonts w:ascii="宋体"/>
                <w:vanish/>
              </w:rPr>
            </w:pPr>
          </w:p>
        </w:tc>
        <w:tc>
          <w:tcPr>
            <w:tcW w:w="0" w:type="auto"/>
            <w:shd w:val="clear" w:color="auto" w:fill="auto"/>
            <w:vAlign w:val="bottom"/>
          </w:tcPr>
          <w:p w14:paraId="71D48913" w14:textId="77777777" w:rsidR="006A3667" w:rsidRDefault="006A3667">
            <w:pPr>
              <w:rPr>
                <w:rFonts w:ascii="宋体"/>
                <w:vanish/>
              </w:rPr>
            </w:pPr>
          </w:p>
        </w:tc>
        <w:tc>
          <w:tcPr>
            <w:tcW w:w="0" w:type="auto"/>
            <w:shd w:val="clear" w:color="auto" w:fill="auto"/>
            <w:vAlign w:val="bottom"/>
          </w:tcPr>
          <w:p w14:paraId="71D48914" w14:textId="77777777" w:rsidR="006A3667" w:rsidRDefault="006A3667">
            <w:pPr>
              <w:rPr>
                <w:rFonts w:ascii="宋体"/>
                <w:vanish/>
              </w:rPr>
            </w:pPr>
          </w:p>
        </w:tc>
      </w:tr>
      <w:tr w:rsidR="006A3667" w14:paraId="71D4891E" w14:textId="77777777">
        <w:trPr>
          <w:hidden/>
        </w:trPr>
        <w:tc>
          <w:tcPr>
            <w:tcW w:w="0" w:type="auto"/>
            <w:gridSpan w:val="3"/>
            <w:shd w:val="clear" w:color="auto" w:fill="auto"/>
            <w:vAlign w:val="bottom"/>
          </w:tcPr>
          <w:p w14:paraId="71D48916" w14:textId="77777777" w:rsidR="006A3667" w:rsidRDefault="006A3667">
            <w:pPr>
              <w:rPr>
                <w:rFonts w:ascii="宋体"/>
                <w:vanish/>
              </w:rPr>
            </w:pPr>
          </w:p>
        </w:tc>
        <w:tc>
          <w:tcPr>
            <w:tcW w:w="0" w:type="auto"/>
            <w:gridSpan w:val="3"/>
            <w:shd w:val="clear" w:color="auto" w:fill="auto"/>
            <w:vAlign w:val="bottom"/>
          </w:tcPr>
          <w:p w14:paraId="71D48917" w14:textId="77777777" w:rsidR="006A3667" w:rsidRDefault="006A3667">
            <w:pPr>
              <w:rPr>
                <w:rFonts w:ascii="宋体"/>
                <w:vanish/>
              </w:rPr>
            </w:pPr>
          </w:p>
        </w:tc>
        <w:tc>
          <w:tcPr>
            <w:tcW w:w="0" w:type="auto"/>
            <w:gridSpan w:val="3"/>
            <w:shd w:val="clear" w:color="auto" w:fill="auto"/>
            <w:vAlign w:val="bottom"/>
          </w:tcPr>
          <w:p w14:paraId="71D48918" w14:textId="77777777" w:rsidR="006A3667" w:rsidRDefault="006A3667">
            <w:pPr>
              <w:rPr>
                <w:rFonts w:ascii="宋体"/>
                <w:vanish/>
              </w:rPr>
            </w:pPr>
          </w:p>
        </w:tc>
        <w:tc>
          <w:tcPr>
            <w:tcW w:w="0" w:type="auto"/>
            <w:gridSpan w:val="3"/>
            <w:shd w:val="clear" w:color="auto" w:fill="auto"/>
            <w:vAlign w:val="bottom"/>
          </w:tcPr>
          <w:p w14:paraId="71D48919" w14:textId="77777777" w:rsidR="006A3667" w:rsidRDefault="006A3667">
            <w:pPr>
              <w:rPr>
                <w:rFonts w:ascii="宋体"/>
                <w:vanish/>
              </w:rPr>
            </w:pPr>
          </w:p>
        </w:tc>
        <w:tc>
          <w:tcPr>
            <w:tcW w:w="0" w:type="auto"/>
            <w:shd w:val="clear" w:color="auto" w:fill="auto"/>
            <w:vAlign w:val="bottom"/>
          </w:tcPr>
          <w:p w14:paraId="71D4891A" w14:textId="77777777" w:rsidR="006A3667" w:rsidRDefault="006A3667">
            <w:pPr>
              <w:rPr>
                <w:rFonts w:ascii="宋体"/>
                <w:vanish/>
              </w:rPr>
            </w:pPr>
          </w:p>
        </w:tc>
        <w:tc>
          <w:tcPr>
            <w:tcW w:w="0" w:type="auto"/>
            <w:shd w:val="clear" w:color="auto" w:fill="auto"/>
            <w:vAlign w:val="bottom"/>
          </w:tcPr>
          <w:p w14:paraId="71D4891B" w14:textId="77777777" w:rsidR="006A3667" w:rsidRDefault="006A3667">
            <w:pPr>
              <w:rPr>
                <w:rFonts w:ascii="宋体"/>
                <w:vanish/>
              </w:rPr>
            </w:pPr>
          </w:p>
        </w:tc>
        <w:tc>
          <w:tcPr>
            <w:tcW w:w="0" w:type="auto"/>
            <w:shd w:val="clear" w:color="auto" w:fill="auto"/>
            <w:vAlign w:val="bottom"/>
          </w:tcPr>
          <w:p w14:paraId="71D4891C" w14:textId="77777777" w:rsidR="006A3667" w:rsidRDefault="006A3667">
            <w:pPr>
              <w:rPr>
                <w:rFonts w:ascii="宋体"/>
                <w:vanish/>
              </w:rPr>
            </w:pPr>
          </w:p>
        </w:tc>
        <w:tc>
          <w:tcPr>
            <w:tcW w:w="0" w:type="auto"/>
            <w:shd w:val="clear" w:color="auto" w:fill="auto"/>
            <w:vAlign w:val="bottom"/>
          </w:tcPr>
          <w:p w14:paraId="71D4891D" w14:textId="77777777" w:rsidR="006A3667" w:rsidRDefault="006A3667">
            <w:pPr>
              <w:rPr>
                <w:rFonts w:ascii="宋体"/>
                <w:vanish/>
              </w:rPr>
            </w:pPr>
          </w:p>
        </w:tc>
      </w:tr>
      <w:tr w:rsidR="006A3667" w14:paraId="71D48929" w14:textId="77777777">
        <w:tc>
          <w:tcPr>
            <w:tcW w:w="0" w:type="auto"/>
            <w:gridSpan w:val="3"/>
            <w:shd w:val="clear" w:color="auto" w:fill="FFFFFF"/>
            <w:tcMar>
              <w:top w:w="40" w:type="dxa"/>
              <w:left w:w="20" w:type="dxa"/>
              <w:bottom w:w="40" w:type="dxa"/>
              <w:right w:w="20" w:type="dxa"/>
            </w:tcMar>
            <w:vAlign w:val="bottom"/>
          </w:tcPr>
          <w:p w14:paraId="71D4891F" w14:textId="77777777" w:rsidR="006A3667" w:rsidRDefault="00045F32">
            <w:pPr>
              <w:textAlignment w:val="bottom"/>
            </w:pPr>
            <w:r>
              <w:rPr>
                <w:rFonts w:ascii="Arial" w:eastAsia="宋体" w:hAnsi="Arial" w:cs="Arial"/>
                <w:color w:val="000000"/>
                <w:sz w:val="14"/>
                <w:szCs w:val="14"/>
              </w:rPr>
              <w:t>Net unrealized gains (losses) on hedges of net investments in non-U.S. subsidiaries</w:t>
            </w:r>
          </w:p>
        </w:tc>
        <w:tc>
          <w:tcPr>
            <w:tcW w:w="0" w:type="auto"/>
            <w:gridSpan w:val="2"/>
            <w:shd w:val="clear" w:color="auto" w:fill="FFFFFF"/>
            <w:tcMar>
              <w:top w:w="40" w:type="dxa"/>
              <w:left w:w="20" w:type="dxa"/>
              <w:bottom w:w="40" w:type="dxa"/>
              <w:right w:w="0" w:type="dxa"/>
            </w:tcMar>
            <w:vAlign w:val="bottom"/>
          </w:tcPr>
          <w:p w14:paraId="71D48920" w14:textId="77777777" w:rsidR="006A3667" w:rsidRDefault="00045F32">
            <w:pPr>
              <w:jc w:val="right"/>
              <w:textAlignment w:val="bottom"/>
            </w:pPr>
            <w:r>
              <w:rPr>
                <w:rFonts w:ascii="Arial" w:eastAsia="宋体" w:hAnsi="Arial" w:cs="Arial"/>
                <w:b/>
                <w:bCs/>
                <w:color w:val="000000"/>
                <w:sz w:val="14"/>
                <w:szCs w:val="14"/>
              </w:rPr>
              <w:t>791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892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92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923" w14:textId="77777777" w:rsidR="006A3667" w:rsidRDefault="00045F32">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71D48924" w14:textId="77777777" w:rsidR="006A3667" w:rsidRDefault="006A3667">
            <w:pPr>
              <w:jc w:val="right"/>
              <w:rPr>
                <w:rFonts w:ascii="宋体"/>
              </w:rPr>
            </w:pPr>
          </w:p>
        </w:tc>
        <w:tc>
          <w:tcPr>
            <w:tcW w:w="0" w:type="auto"/>
            <w:shd w:val="clear" w:color="auto" w:fill="auto"/>
            <w:vAlign w:val="bottom"/>
          </w:tcPr>
          <w:p w14:paraId="71D48925" w14:textId="77777777" w:rsidR="006A3667" w:rsidRDefault="006A3667">
            <w:pPr>
              <w:rPr>
                <w:rFonts w:ascii="宋体"/>
                <w:vanish/>
              </w:rPr>
            </w:pPr>
          </w:p>
        </w:tc>
        <w:tc>
          <w:tcPr>
            <w:tcW w:w="0" w:type="auto"/>
            <w:shd w:val="clear" w:color="auto" w:fill="auto"/>
            <w:vAlign w:val="bottom"/>
          </w:tcPr>
          <w:p w14:paraId="71D48926" w14:textId="77777777" w:rsidR="006A3667" w:rsidRDefault="006A3667">
            <w:pPr>
              <w:rPr>
                <w:rFonts w:ascii="宋体"/>
                <w:vanish/>
              </w:rPr>
            </w:pPr>
          </w:p>
        </w:tc>
        <w:tc>
          <w:tcPr>
            <w:tcW w:w="0" w:type="auto"/>
            <w:shd w:val="clear" w:color="auto" w:fill="auto"/>
            <w:vAlign w:val="bottom"/>
          </w:tcPr>
          <w:p w14:paraId="71D48927" w14:textId="77777777" w:rsidR="006A3667" w:rsidRDefault="006A3667">
            <w:pPr>
              <w:rPr>
                <w:rFonts w:ascii="宋体"/>
                <w:vanish/>
              </w:rPr>
            </w:pPr>
          </w:p>
        </w:tc>
        <w:tc>
          <w:tcPr>
            <w:tcW w:w="0" w:type="auto"/>
            <w:shd w:val="clear" w:color="auto" w:fill="auto"/>
            <w:vAlign w:val="bottom"/>
          </w:tcPr>
          <w:p w14:paraId="71D48928" w14:textId="77777777" w:rsidR="006A3667" w:rsidRDefault="006A3667">
            <w:pPr>
              <w:rPr>
                <w:rFonts w:ascii="宋体"/>
                <w:vanish/>
              </w:rPr>
            </w:pPr>
          </w:p>
        </w:tc>
      </w:tr>
      <w:tr w:rsidR="006A3667" w14:paraId="71D48934" w14:textId="77777777">
        <w:tc>
          <w:tcPr>
            <w:tcW w:w="0" w:type="auto"/>
            <w:gridSpan w:val="3"/>
            <w:shd w:val="clear" w:color="auto" w:fill="CCEEFF"/>
            <w:tcMar>
              <w:top w:w="40" w:type="dxa"/>
              <w:left w:w="20" w:type="dxa"/>
              <w:bottom w:w="40" w:type="dxa"/>
              <w:right w:w="20" w:type="dxa"/>
            </w:tcMar>
            <w:vAlign w:val="bottom"/>
          </w:tcPr>
          <w:p w14:paraId="71D4892A" w14:textId="77777777" w:rsidR="006A3667" w:rsidRDefault="00045F32">
            <w:pPr>
              <w:textAlignment w:val="bottom"/>
            </w:pPr>
            <w:r>
              <w:rPr>
                <w:rFonts w:ascii="Arial" w:eastAsia="宋体" w:hAnsi="Arial" w:cs="Arial"/>
                <w:color w:val="000000"/>
                <w:sz w:val="14"/>
                <w:szCs w:val="14"/>
              </w:rPr>
              <w:t>Other-than-temporary impairment on held-to-maturity securities related to factors other than credit</w:t>
            </w:r>
          </w:p>
        </w:tc>
        <w:tc>
          <w:tcPr>
            <w:tcW w:w="0" w:type="auto"/>
            <w:gridSpan w:val="2"/>
            <w:shd w:val="clear" w:color="auto" w:fill="CCEEFF"/>
            <w:tcMar>
              <w:top w:w="40" w:type="dxa"/>
              <w:left w:w="20" w:type="dxa"/>
              <w:bottom w:w="40" w:type="dxa"/>
              <w:right w:w="0" w:type="dxa"/>
            </w:tcMar>
            <w:vAlign w:val="bottom"/>
          </w:tcPr>
          <w:p w14:paraId="71D4892B"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1D489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9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92E"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71D4892F" w14:textId="77777777" w:rsidR="006A3667" w:rsidRDefault="006A3667">
            <w:pPr>
              <w:jc w:val="right"/>
              <w:rPr>
                <w:rFonts w:ascii="宋体"/>
              </w:rPr>
            </w:pPr>
          </w:p>
        </w:tc>
        <w:tc>
          <w:tcPr>
            <w:tcW w:w="0" w:type="auto"/>
            <w:shd w:val="clear" w:color="auto" w:fill="auto"/>
            <w:vAlign w:val="bottom"/>
          </w:tcPr>
          <w:p w14:paraId="71D48930" w14:textId="77777777" w:rsidR="006A3667" w:rsidRDefault="006A3667">
            <w:pPr>
              <w:rPr>
                <w:rFonts w:ascii="宋体"/>
                <w:vanish/>
              </w:rPr>
            </w:pPr>
          </w:p>
        </w:tc>
        <w:tc>
          <w:tcPr>
            <w:tcW w:w="0" w:type="auto"/>
            <w:shd w:val="clear" w:color="auto" w:fill="auto"/>
            <w:vAlign w:val="bottom"/>
          </w:tcPr>
          <w:p w14:paraId="71D48931" w14:textId="77777777" w:rsidR="006A3667" w:rsidRDefault="006A3667">
            <w:pPr>
              <w:rPr>
                <w:rFonts w:ascii="宋体"/>
                <w:vanish/>
              </w:rPr>
            </w:pPr>
          </w:p>
        </w:tc>
        <w:tc>
          <w:tcPr>
            <w:tcW w:w="0" w:type="auto"/>
            <w:shd w:val="clear" w:color="auto" w:fill="auto"/>
            <w:vAlign w:val="bottom"/>
          </w:tcPr>
          <w:p w14:paraId="71D48932" w14:textId="77777777" w:rsidR="006A3667" w:rsidRDefault="006A3667">
            <w:pPr>
              <w:rPr>
                <w:rFonts w:ascii="宋体"/>
                <w:vanish/>
              </w:rPr>
            </w:pPr>
          </w:p>
        </w:tc>
        <w:tc>
          <w:tcPr>
            <w:tcW w:w="0" w:type="auto"/>
            <w:shd w:val="clear" w:color="auto" w:fill="auto"/>
            <w:vAlign w:val="bottom"/>
          </w:tcPr>
          <w:p w14:paraId="71D48933" w14:textId="77777777" w:rsidR="006A3667" w:rsidRDefault="006A3667">
            <w:pPr>
              <w:rPr>
                <w:rFonts w:ascii="宋体"/>
                <w:vanish/>
              </w:rPr>
            </w:pPr>
          </w:p>
        </w:tc>
      </w:tr>
      <w:tr w:rsidR="006A3667" w14:paraId="71D4893F" w14:textId="77777777">
        <w:tc>
          <w:tcPr>
            <w:tcW w:w="0" w:type="auto"/>
            <w:gridSpan w:val="3"/>
            <w:shd w:val="clear" w:color="auto" w:fill="FFFFFF"/>
            <w:tcMar>
              <w:top w:w="40" w:type="dxa"/>
              <w:left w:w="20" w:type="dxa"/>
              <w:bottom w:w="40" w:type="dxa"/>
              <w:right w:w="20" w:type="dxa"/>
            </w:tcMar>
            <w:vAlign w:val="bottom"/>
          </w:tcPr>
          <w:p w14:paraId="71D48935" w14:textId="77777777" w:rsidR="006A3667" w:rsidRDefault="00045F32">
            <w:pPr>
              <w:textAlignment w:val="bottom"/>
            </w:pPr>
            <w:r>
              <w:rPr>
                <w:rFonts w:ascii="Arial" w:eastAsia="宋体" w:hAnsi="Arial" w:cs="Arial"/>
                <w:color w:val="000000"/>
                <w:sz w:val="14"/>
                <w:szCs w:val="14"/>
              </w:rPr>
              <w:t>Net unrealized (losses) on retirement plans</w:t>
            </w:r>
          </w:p>
        </w:tc>
        <w:tc>
          <w:tcPr>
            <w:tcW w:w="0" w:type="auto"/>
            <w:gridSpan w:val="2"/>
            <w:shd w:val="clear" w:color="auto" w:fill="FFFFFF"/>
            <w:tcMar>
              <w:top w:w="40" w:type="dxa"/>
              <w:left w:w="20" w:type="dxa"/>
              <w:bottom w:w="40" w:type="dxa"/>
              <w:right w:w="0" w:type="dxa"/>
            </w:tcMar>
            <w:vAlign w:val="bottom"/>
          </w:tcPr>
          <w:p w14:paraId="71D48936" w14:textId="77777777" w:rsidR="006A3667" w:rsidRDefault="00045F32">
            <w:pPr>
              <w:jc w:val="right"/>
              <w:textAlignment w:val="bottom"/>
            </w:pPr>
            <w:r>
              <w:rPr>
                <w:rFonts w:ascii="Arial" w:eastAsia="宋体" w:hAnsi="Arial" w:cs="Arial"/>
                <w:b/>
                <w:bCs/>
                <w:color w:val="000000"/>
                <w:sz w:val="14"/>
                <w:szCs w:val="14"/>
              </w:rPr>
              <w:t>(112)</w:t>
            </w:r>
          </w:p>
        </w:tc>
        <w:tc>
          <w:tcPr>
            <w:tcW w:w="0" w:type="auto"/>
            <w:shd w:val="clear" w:color="auto" w:fill="FFFFFF"/>
            <w:tcMar>
              <w:top w:w="40" w:type="dxa"/>
              <w:left w:w="0" w:type="dxa"/>
              <w:bottom w:w="40" w:type="dxa"/>
              <w:right w:w="20" w:type="dxa"/>
            </w:tcMar>
            <w:vAlign w:val="bottom"/>
          </w:tcPr>
          <w:p w14:paraId="71D4893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93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939" w14:textId="77777777" w:rsidR="006A3667" w:rsidRDefault="00045F32">
            <w:pPr>
              <w:jc w:val="right"/>
              <w:textAlignment w:val="bottom"/>
            </w:pPr>
            <w:r>
              <w:rPr>
                <w:rFonts w:ascii="Arial" w:eastAsia="宋体" w:hAnsi="Arial" w:cs="Arial"/>
                <w:color w:val="000000"/>
                <w:sz w:val="14"/>
                <w:szCs w:val="14"/>
              </w:rPr>
              <w:t>(166)</w:t>
            </w:r>
          </w:p>
        </w:tc>
        <w:tc>
          <w:tcPr>
            <w:tcW w:w="0" w:type="auto"/>
            <w:shd w:val="clear" w:color="auto" w:fill="FFFFFF"/>
            <w:tcMar>
              <w:top w:w="40" w:type="dxa"/>
              <w:left w:w="0" w:type="dxa"/>
              <w:bottom w:w="40" w:type="dxa"/>
              <w:right w:w="20" w:type="dxa"/>
            </w:tcMar>
            <w:vAlign w:val="bottom"/>
          </w:tcPr>
          <w:p w14:paraId="71D4893A" w14:textId="77777777" w:rsidR="006A3667" w:rsidRDefault="006A3667">
            <w:pPr>
              <w:jc w:val="right"/>
              <w:rPr>
                <w:rFonts w:ascii="宋体"/>
              </w:rPr>
            </w:pPr>
          </w:p>
        </w:tc>
        <w:tc>
          <w:tcPr>
            <w:tcW w:w="0" w:type="auto"/>
            <w:shd w:val="clear" w:color="auto" w:fill="auto"/>
            <w:vAlign w:val="bottom"/>
          </w:tcPr>
          <w:p w14:paraId="71D4893B" w14:textId="77777777" w:rsidR="006A3667" w:rsidRDefault="006A3667">
            <w:pPr>
              <w:rPr>
                <w:rFonts w:ascii="宋体"/>
                <w:vanish/>
              </w:rPr>
            </w:pPr>
          </w:p>
        </w:tc>
        <w:tc>
          <w:tcPr>
            <w:tcW w:w="0" w:type="auto"/>
            <w:shd w:val="clear" w:color="auto" w:fill="auto"/>
            <w:vAlign w:val="bottom"/>
          </w:tcPr>
          <w:p w14:paraId="71D4893C" w14:textId="77777777" w:rsidR="006A3667" w:rsidRDefault="006A3667">
            <w:pPr>
              <w:rPr>
                <w:rFonts w:ascii="宋体"/>
                <w:vanish/>
              </w:rPr>
            </w:pPr>
          </w:p>
        </w:tc>
        <w:tc>
          <w:tcPr>
            <w:tcW w:w="0" w:type="auto"/>
            <w:shd w:val="clear" w:color="auto" w:fill="auto"/>
            <w:vAlign w:val="bottom"/>
          </w:tcPr>
          <w:p w14:paraId="71D4893D" w14:textId="77777777" w:rsidR="006A3667" w:rsidRDefault="006A3667">
            <w:pPr>
              <w:rPr>
                <w:rFonts w:ascii="宋体"/>
                <w:vanish/>
              </w:rPr>
            </w:pPr>
          </w:p>
        </w:tc>
        <w:tc>
          <w:tcPr>
            <w:tcW w:w="0" w:type="auto"/>
            <w:shd w:val="clear" w:color="auto" w:fill="auto"/>
            <w:vAlign w:val="bottom"/>
          </w:tcPr>
          <w:p w14:paraId="71D4893E" w14:textId="77777777" w:rsidR="006A3667" w:rsidRDefault="006A3667">
            <w:pPr>
              <w:rPr>
                <w:rFonts w:ascii="宋体"/>
                <w:vanish/>
              </w:rPr>
            </w:pPr>
          </w:p>
        </w:tc>
      </w:tr>
      <w:tr w:rsidR="006A3667" w14:paraId="71D4894A" w14:textId="77777777">
        <w:tc>
          <w:tcPr>
            <w:tcW w:w="0" w:type="auto"/>
            <w:gridSpan w:val="3"/>
            <w:shd w:val="clear" w:color="auto" w:fill="CCEEFF"/>
            <w:tcMar>
              <w:top w:w="40" w:type="dxa"/>
              <w:left w:w="20" w:type="dxa"/>
              <w:bottom w:w="40" w:type="dxa"/>
              <w:right w:w="20" w:type="dxa"/>
            </w:tcMar>
            <w:vAlign w:val="bottom"/>
          </w:tcPr>
          <w:p w14:paraId="71D48940" w14:textId="77777777" w:rsidR="006A3667" w:rsidRDefault="00045F32">
            <w:pPr>
              <w:textAlignment w:val="bottom"/>
            </w:pPr>
            <w:r>
              <w:rPr>
                <w:rFonts w:ascii="Arial" w:eastAsia="宋体" w:hAnsi="Arial" w:cs="Arial"/>
                <w:color w:val="000000"/>
                <w:sz w:val="14"/>
                <w:szCs w:val="14"/>
              </w:rPr>
              <w:t>Foreign currency translation</w:t>
            </w:r>
          </w:p>
        </w:tc>
        <w:tc>
          <w:tcPr>
            <w:tcW w:w="0" w:type="auto"/>
            <w:gridSpan w:val="2"/>
            <w:shd w:val="clear" w:color="auto" w:fill="CCEEFF"/>
            <w:tcMar>
              <w:top w:w="40" w:type="dxa"/>
              <w:left w:w="20" w:type="dxa"/>
              <w:bottom w:w="40" w:type="dxa"/>
              <w:right w:w="0" w:type="dxa"/>
            </w:tcMar>
            <w:vAlign w:val="bottom"/>
          </w:tcPr>
          <w:p w14:paraId="71D48941" w14:textId="77777777" w:rsidR="006A3667" w:rsidRDefault="00045F32">
            <w:pPr>
              <w:jc w:val="right"/>
              <w:textAlignment w:val="bottom"/>
            </w:pPr>
            <w:r>
              <w:rPr>
                <w:rFonts w:ascii="Arial" w:eastAsia="宋体" w:hAnsi="Arial" w:cs="Arial"/>
                <w:b/>
                <w:bCs/>
                <w:color w:val="000000"/>
                <w:sz w:val="14"/>
                <w:szCs w:val="14"/>
              </w:rPr>
              <w:t>(2,588)</w:t>
            </w:r>
          </w:p>
        </w:tc>
        <w:tc>
          <w:tcPr>
            <w:tcW w:w="0" w:type="auto"/>
            <w:shd w:val="clear" w:color="auto" w:fill="CCEEFF"/>
            <w:tcMar>
              <w:top w:w="40" w:type="dxa"/>
              <w:left w:w="0" w:type="dxa"/>
              <w:bottom w:w="40" w:type="dxa"/>
              <w:right w:w="20" w:type="dxa"/>
            </w:tcMar>
            <w:vAlign w:val="bottom"/>
          </w:tcPr>
          <w:p w14:paraId="71D4894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94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944" w14:textId="77777777" w:rsidR="006A3667" w:rsidRDefault="00045F32">
            <w:pPr>
              <w:jc w:val="right"/>
              <w:textAlignment w:val="bottom"/>
            </w:pPr>
            <w:r>
              <w:rPr>
                <w:rFonts w:ascii="Arial" w:eastAsia="宋体" w:hAnsi="Arial" w:cs="Arial"/>
                <w:color w:val="000000"/>
                <w:sz w:val="14"/>
                <w:szCs w:val="14"/>
              </w:rPr>
              <w:t>(863)</w:t>
            </w:r>
          </w:p>
        </w:tc>
        <w:tc>
          <w:tcPr>
            <w:tcW w:w="0" w:type="auto"/>
            <w:shd w:val="clear" w:color="auto" w:fill="CCEEFF"/>
            <w:tcMar>
              <w:top w:w="40" w:type="dxa"/>
              <w:left w:w="0" w:type="dxa"/>
              <w:bottom w:w="40" w:type="dxa"/>
              <w:right w:w="20" w:type="dxa"/>
            </w:tcMar>
            <w:vAlign w:val="bottom"/>
          </w:tcPr>
          <w:p w14:paraId="71D48945" w14:textId="77777777" w:rsidR="006A3667" w:rsidRDefault="006A3667">
            <w:pPr>
              <w:jc w:val="right"/>
              <w:rPr>
                <w:rFonts w:ascii="宋体"/>
              </w:rPr>
            </w:pPr>
          </w:p>
        </w:tc>
        <w:tc>
          <w:tcPr>
            <w:tcW w:w="0" w:type="auto"/>
            <w:shd w:val="clear" w:color="auto" w:fill="auto"/>
            <w:vAlign w:val="bottom"/>
          </w:tcPr>
          <w:p w14:paraId="71D48946" w14:textId="77777777" w:rsidR="006A3667" w:rsidRDefault="006A3667">
            <w:pPr>
              <w:rPr>
                <w:rFonts w:ascii="宋体"/>
                <w:vanish/>
              </w:rPr>
            </w:pPr>
          </w:p>
        </w:tc>
        <w:tc>
          <w:tcPr>
            <w:tcW w:w="0" w:type="auto"/>
            <w:shd w:val="clear" w:color="auto" w:fill="auto"/>
            <w:vAlign w:val="bottom"/>
          </w:tcPr>
          <w:p w14:paraId="71D48947" w14:textId="77777777" w:rsidR="006A3667" w:rsidRDefault="006A3667">
            <w:pPr>
              <w:rPr>
                <w:rFonts w:ascii="宋体"/>
                <w:vanish/>
              </w:rPr>
            </w:pPr>
          </w:p>
        </w:tc>
        <w:tc>
          <w:tcPr>
            <w:tcW w:w="0" w:type="auto"/>
            <w:shd w:val="clear" w:color="auto" w:fill="auto"/>
            <w:vAlign w:val="bottom"/>
          </w:tcPr>
          <w:p w14:paraId="71D48948" w14:textId="77777777" w:rsidR="006A3667" w:rsidRDefault="006A3667">
            <w:pPr>
              <w:rPr>
                <w:rFonts w:ascii="宋体"/>
                <w:vanish/>
              </w:rPr>
            </w:pPr>
          </w:p>
        </w:tc>
        <w:tc>
          <w:tcPr>
            <w:tcW w:w="0" w:type="auto"/>
            <w:shd w:val="clear" w:color="auto" w:fill="auto"/>
            <w:vAlign w:val="bottom"/>
          </w:tcPr>
          <w:p w14:paraId="71D48949" w14:textId="77777777" w:rsidR="006A3667" w:rsidRDefault="006A3667">
            <w:pPr>
              <w:rPr>
                <w:rFonts w:ascii="宋体"/>
                <w:vanish/>
              </w:rPr>
            </w:pPr>
          </w:p>
        </w:tc>
      </w:tr>
      <w:tr w:rsidR="006A3667" w14:paraId="71D48957" w14:textId="77777777">
        <w:tc>
          <w:tcPr>
            <w:tcW w:w="0" w:type="auto"/>
            <w:gridSpan w:val="3"/>
            <w:shd w:val="clear" w:color="auto" w:fill="FFFFFF"/>
            <w:tcMar>
              <w:top w:w="40" w:type="dxa"/>
              <w:left w:w="20" w:type="dxa"/>
              <w:bottom w:w="40" w:type="dxa"/>
              <w:right w:w="20" w:type="dxa"/>
            </w:tcMar>
            <w:vAlign w:val="bottom"/>
          </w:tcPr>
          <w:p w14:paraId="71D4894B" w14:textId="77777777" w:rsidR="006A3667" w:rsidRDefault="00045F32">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894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94D" w14:textId="77777777" w:rsidR="006A3667" w:rsidRDefault="00045F32">
            <w:pPr>
              <w:jc w:val="right"/>
              <w:textAlignment w:val="bottom"/>
            </w:pPr>
            <w:r>
              <w:rPr>
                <w:rFonts w:ascii="Arial" w:eastAsia="宋体" w:hAnsi="Arial" w:cs="Arial"/>
                <w:b/>
                <w:bCs/>
                <w:color w:val="000000"/>
                <w:sz w:val="14"/>
                <w:szCs w:val="14"/>
              </w:rPr>
              <w:t>(4,268)</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9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94F"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95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951" w14:textId="77777777" w:rsidR="006A3667" w:rsidRDefault="00045F32">
            <w:pPr>
              <w:jc w:val="right"/>
              <w:textAlignment w:val="bottom"/>
            </w:pPr>
            <w:r>
              <w:rPr>
                <w:rFonts w:ascii="Arial" w:eastAsia="宋体" w:hAnsi="Arial" w:cs="Arial"/>
                <w:color w:val="000000"/>
                <w:sz w:val="14"/>
                <w:szCs w:val="14"/>
              </w:rPr>
              <w:t>(682)</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952" w14:textId="77777777" w:rsidR="006A3667" w:rsidRDefault="006A3667">
            <w:pPr>
              <w:jc w:val="right"/>
              <w:rPr>
                <w:rFonts w:ascii="宋体"/>
              </w:rPr>
            </w:pPr>
          </w:p>
        </w:tc>
        <w:tc>
          <w:tcPr>
            <w:tcW w:w="0" w:type="auto"/>
            <w:shd w:val="clear" w:color="auto" w:fill="auto"/>
            <w:vAlign w:val="bottom"/>
          </w:tcPr>
          <w:p w14:paraId="71D48953" w14:textId="77777777" w:rsidR="006A3667" w:rsidRDefault="006A3667">
            <w:pPr>
              <w:rPr>
                <w:rFonts w:ascii="宋体"/>
                <w:vanish/>
              </w:rPr>
            </w:pPr>
          </w:p>
        </w:tc>
        <w:tc>
          <w:tcPr>
            <w:tcW w:w="0" w:type="auto"/>
            <w:shd w:val="clear" w:color="auto" w:fill="auto"/>
            <w:vAlign w:val="bottom"/>
          </w:tcPr>
          <w:p w14:paraId="71D48954" w14:textId="77777777" w:rsidR="006A3667" w:rsidRDefault="006A3667">
            <w:pPr>
              <w:rPr>
                <w:rFonts w:ascii="宋体"/>
                <w:vanish/>
              </w:rPr>
            </w:pPr>
          </w:p>
        </w:tc>
        <w:tc>
          <w:tcPr>
            <w:tcW w:w="0" w:type="auto"/>
            <w:shd w:val="clear" w:color="auto" w:fill="auto"/>
            <w:vAlign w:val="bottom"/>
          </w:tcPr>
          <w:p w14:paraId="71D48955" w14:textId="77777777" w:rsidR="006A3667" w:rsidRDefault="006A3667">
            <w:pPr>
              <w:rPr>
                <w:rFonts w:ascii="宋体"/>
                <w:vanish/>
              </w:rPr>
            </w:pPr>
          </w:p>
        </w:tc>
        <w:tc>
          <w:tcPr>
            <w:tcW w:w="0" w:type="auto"/>
            <w:shd w:val="clear" w:color="auto" w:fill="auto"/>
            <w:vAlign w:val="bottom"/>
          </w:tcPr>
          <w:p w14:paraId="71D48956" w14:textId="77777777" w:rsidR="006A3667" w:rsidRDefault="006A3667">
            <w:pPr>
              <w:rPr>
                <w:rFonts w:ascii="宋体"/>
                <w:vanish/>
              </w:rPr>
            </w:pPr>
          </w:p>
        </w:tc>
      </w:tr>
      <w:tr w:rsidR="006A3667" w14:paraId="71D48960" w14:textId="77777777">
        <w:trPr>
          <w:trHeight w:val="60"/>
        </w:trPr>
        <w:tc>
          <w:tcPr>
            <w:tcW w:w="0" w:type="auto"/>
            <w:gridSpan w:val="3"/>
            <w:shd w:val="clear" w:color="auto" w:fill="auto"/>
            <w:tcMar>
              <w:top w:w="0" w:type="dxa"/>
              <w:left w:w="20" w:type="dxa"/>
              <w:bottom w:w="0" w:type="dxa"/>
              <w:right w:w="20" w:type="dxa"/>
            </w:tcMar>
            <w:vAlign w:val="bottom"/>
          </w:tcPr>
          <w:p w14:paraId="71D4895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895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95A"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895B" w14:textId="77777777" w:rsidR="006A3667" w:rsidRDefault="006A3667">
            <w:pPr>
              <w:rPr>
                <w:rFonts w:ascii="宋体"/>
              </w:rPr>
            </w:pPr>
          </w:p>
        </w:tc>
        <w:tc>
          <w:tcPr>
            <w:tcW w:w="0" w:type="auto"/>
            <w:shd w:val="clear" w:color="auto" w:fill="auto"/>
            <w:vAlign w:val="bottom"/>
          </w:tcPr>
          <w:p w14:paraId="71D4895C" w14:textId="77777777" w:rsidR="006A3667" w:rsidRDefault="006A3667">
            <w:pPr>
              <w:rPr>
                <w:rFonts w:ascii="宋体"/>
                <w:vanish/>
              </w:rPr>
            </w:pPr>
          </w:p>
        </w:tc>
        <w:tc>
          <w:tcPr>
            <w:tcW w:w="0" w:type="auto"/>
            <w:shd w:val="clear" w:color="auto" w:fill="auto"/>
            <w:vAlign w:val="bottom"/>
          </w:tcPr>
          <w:p w14:paraId="71D4895D" w14:textId="77777777" w:rsidR="006A3667" w:rsidRDefault="006A3667">
            <w:pPr>
              <w:rPr>
                <w:rFonts w:ascii="宋体"/>
                <w:vanish/>
              </w:rPr>
            </w:pPr>
          </w:p>
        </w:tc>
        <w:tc>
          <w:tcPr>
            <w:tcW w:w="0" w:type="auto"/>
            <w:shd w:val="clear" w:color="auto" w:fill="auto"/>
            <w:vAlign w:val="bottom"/>
          </w:tcPr>
          <w:p w14:paraId="71D4895E" w14:textId="77777777" w:rsidR="006A3667" w:rsidRDefault="006A3667">
            <w:pPr>
              <w:rPr>
                <w:rFonts w:ascii="宋体"/>
                <w:vanish/>
              </w:rPr>
            </w:pPr>
          </w:p>
        </w:tc>
        <w:tc>
          <w:tcPr>
            <w:tcW w:w="0" w:type="auto"/>
            <w:shd w:val="clear" w:color="auto" w:fill="auto"/>
            <w:vAlign w:val="bottom"/>
          </w:tcPr>
          <w:p w14:paraId="71D4895F" w14:textId="77777777" w:rsidR="006A3667" w:rsidRDefault="006A3667">
            <w:pPr>
              <w:rPr>
                <w:rFonts w:ascii="宋体"/>
                <w:vanish/>
              </w:rPr>
            </w:pPr>
          </w:p>
        </w:tc>
      </w:tr>
    </w:tbl>
    <w:p w14:paraId="71D48961" w14:textId="77777777" w:rsidR="006A3667" w:rsidRDefault="006A3667">
      <w:pPr>
        <w:spacing w:before="60"/>
        <w:ind w:firstLine="450"/>
      </w:pPr>
    </w:p>
    <w:p w14:paraId="71D48962" w14:textId="77777777" w:rsidR="006A3667" w:rsidRDefault="00045F32">
      <w:pPr>
        <w:ind w:firstLine="450"/>
        <w:jc w:val="right"/>
      </w:pPr>
      <w:r>
        <w:rPr>
          <w:rFonts w:ascii="Arial" w:eastAsia="宋体" w:hAnsi="Arial" w:cs="Arial"/>
          <w:color w:val="000000"/>
          <w:sz w:val="18"/>
          <w:szCs w:val="18"/>
        </w:rPr>
        <w:t>State Street Corporation | 88</w:t>
      </w:r>
    </w:p>
    <w:p w14:paraId="71D48963" w14:textId="77777777" w:rsidR="006A3667" w:rsidRDefault="006A3667">
      <w:pPr>
        <w:ind w:firstLine="450"/>
        <w:jc w:val="center"/>
      </w:pPr>
    </w:p>
    <w:p w14:paraId="71D48964" w14:textId="77777777" w:rsidR="006A3667" w:rsidRDefault="00045F32">
      <w:r>
        <w:pict w14:anchorId="71D4AC6C">
          <v:rect id="_x0000_i1112" style="width:415.3pt;height:1.5pt" o:hralign="center" o:hrstd="t" o:hr="t" fillcolor="#a0a0a0" stroked="f"/>
        </w:pict>
      </w:r>
    </w:p>
    <w:p w14:paraId="71D48965" w14:textId="77777777" w:rsidR="006A3667" w:rsidRDefault="00045F32">
      <w:pPr>
        <w:ind w:firstLine="450"/>
        <w:jc w:val="center"/>
      </w:pPr>
      <w:r>
        <w:rPr>
          <w:rFonts w:ascii="Arial" w:eastAsia="宋体" w:hAnsi="Arial" w:cs="Arial"/>
          <w:b/>
          <w:bCs/>
          <w:color w:val="000000"/>
          <w:sz w:val="20"/>
          <w:szCs w:val="20"/>
        </w:rPr>
        <w:t>STATE STREET CORPORATION</w:t>
      </w:r>
    </w:p>
    <w:p w14:paraId="71D48966"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8967" w14:textId="77777777" w:rsidR="006A3667" w:rsidRDefault="00045F32">
      <w:pPr>
        <w:ind w:firstLine="450"/>
        <w:jc w:val="center"/>
      </w:pPr>
      <w:r>
        <w:rPr>
          <w:rFonts w:ascii="Arial" w:eastAsia="宋体" w:hAnsi="Arial" w:cs="Arial"/>
          <w:b/>
          <w:bCs/>
          <w:color w:val="000000"/>
          <w:sz w:val="20"/>
          <w:szCs w:val="20"/>
        </w:rPr>
        <w:t>(UNAUDITED)</w:t>
      </w:r>
    </w:p>
    <w:p w14:paraId="71D48968" w14:textId="77777777" w:rsidR="006A3667" w:rsidRDefault="00045F32">
      <w:pPr>
        <w:spacing w:before="60"/>
        <w:ind w:firstLine="450"/>
      </w:pPr>
      <w:r>
        <w:rPr>
          <w:rFonts w:ascii="Arial" w:eastAsia="宋体" w:hAnsi="Arial" w:cs="Arial"/>
          <w:color w:val="000000"/>
          <w:sz w:val="20"/>
          <w:szCs w:val="20"/>
        </w:rPr>
        <w:t xml:space="preserve">The following tables present changes in AOCI by component, net of related taxes, for the periods </w:t>
      </w:r>
      <w:r>
        <w:rPr>
          <w:rFonts w:ascii="Arial" w:eastAsia="宋体" w:hAnsi="Arial" w:cs="Arial"/>
          <w:color w:val="000000"/>
          <w:sz w:val="20"/>
          <w:szCs w:val="20"/>
        </w:rPr>
        <w:t>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271"/>
        <w:gridCol w:w="38"/>
        <w:gridCol w:w="94"/>
        <w:gridCol w:w="628"/>
        <w:gridCol w:w="36"/>
        <w:gridCol w:w="36"/>
        <w:gridCol w:w="36"/>
        <w:gridCol w:w="36"/>
        <w:gridCol w:w="113"/>
        <w:gridCol w:w="1015"/>
        <w:gridCol w:w="36"/>
        <w:gridCol w:w="36"/>
        <w:gridCol w:w="36"/>
        <w:gridCol w:w="36"/>
        <w:gridCol w:w="94"/>
        <w:gridCol w:w="746"/>
        <w:gridCol w:w="36"/>
        <w:gridCol w:w="36"/>
        <w:gridCol w:w="36"/>
        <w:gridCol w:w="36"/>
        <w:gridCol w:w="133"/>
        <w:gridCol w:w="1310"/>
        <w:gridCol w:w="36"/>
        <w:gridCol w:w="36"/>
        <w:gridCol w:w="36"/>
        <w:gridCol w:w="36"/>
        <w:gridCol w:w="94"/>
        <w:gridCol w:w="623"/>
        <w:gridCol w:w="36"/>
        <w:gridCol w:w="36"/>
        <w:gridCol w:w="36"/>
        <w:gridCol w:w="36"/>
        <w:gridCol w:w="94"/>
        <w:gridCol w:w="639"/>
        <w:gridCol w:w="36"/>
        <w:gridCol w:w="36"/>
        <w:gridCol w:w="36"/>
        <w:gridCol w:w="36"/>
        <w:gridCol w:w="93"/>
        <w:gridCol w:w="412"/>
        <w:gridCol w:w="36"/>
      </w:tblGrid>
      <w:tr w:rsidR="006A3667" w14:paraId="71D48993" w14:textId="77777777">
        <w:tc>
          <w:tcPr>
            <w:tcW w:w="50" w:type="pct"/>
            <w:shd w:val="clear" w:color="auto" w:fill="auto"/>
            <w:vAlign w:val="bottom"/>
          </w:tcPr>
          <w:p w14:paraId="71D48969" w14:textId="77777777" w:rsidR="006A3667" w:rsidRDefault="006A3667">
            <w:pPr>
              <w:rPr>
                <w:rFonts w:ascii="宋体"/>
              </w:rPr>
            </w:pPr>
          </w:p>
        </w:tc>
        <w:tc>
          <w:tcPr>
            <w:tcW w:w="1319" w:type="pct"/>
            <w:shd w:val="clear" w:color="auto" w:fill="auto"/>
            <w:vAlign w:val="bottom"/>
          </w:tcPr>
          <w:p w14:paraId="71D4896A" w14:textId="77777777" w:rsidR="006A3667" w:rsidRDefault="006A3667">
            <w:pPr>
              <w:rPr>
                <w:rFonts w:ascii="宋体"/>
              </w:rPr>
            </w:pPr>
          </w:p>
        </w:tc>
        <w:tc>
          <w:tcPr>
            <w:tcW w:w="5" w:type="pct"/>
            <w:shd w:val="clear" w:color="auto" w:fill="auto"/>
            <w:vAlign w:val="bottom"/>
          </w:tcPr>
          <w:p w14:paraId="71D4896B" w14:textId="77777777" w:rsidR="006A3667" w:rsidRDefault="006A3667">
            <w:pPr>
              <w:rPr>
                <w:rFonts w:ascii="宋体"/>
              </w:rPr>
            </w:pPr>
          </w:p>
        </w:tc>
        <w:tc>
          <w:tcPr>
            <w:tcW w:w="50" w:type="pct"/>
            <w:shd w:val="clear" w:color="auto" w:fill="auto"/>
            <w:vAlign w:val="bottom"/>
          </w:tcPr>
          <w:p w14:paraId="71D4896C" w14:textId="77777777" w:rsidR="006A3667" w:rsidRDefault="006A3667">
            <w:pPr>
              <w:rPr>
                <w:rFonts w:ascii="宋体"/>
              </w:rPr>
            </w:pPr>
          </w:p>
        </w:tc>
        <w:tc>
          <w:tcPr>
            <w:tcW w:w="493" w:type="pct"/>
            <w:shd w:val="clear" w:color="auto" w:fill="auto"/>
            <w:vAlign w:val="bottom"/>
          </w:tcPr>
          <w:p w14:paraId="71D4896D" w14:textId="77777777" w:rsidR="006A3667" w:rsidRDefault="006A3667">
            <w:pPr>
              <w:rPr>
                <w:rFonts w:ascii="宋体"/>
              </w:rPr>
            </w:pPr>
          </w:p>
        </w:tc>
        <w:tc>
          <w:tcPr>
            <w:tcW w:w="5" w:type="pct"/>
            <w:shd w:val="clear" w:color="auto" w:fill="auto"/>
            <w:vAlign w:val="bottom"/>
          </w:tcPr>
          <w:p w14:paraId="71D4896E" w14:textId="77777777" w:rsidR="006A3667" w:rsidRDefault="006A3667">
            <w:pPr>
              <w:rPr>
                <w:rFonts w:ascii="宋体"/>
              </w:rPr>
            </w:pPr>
          </w:p>
        </w:tc>
        <w:tc>
          <w:tcPr>
            <w:tcW w:w="5" w:type="pct"/>
            <w:shd w:val="clear" w:color="auto" w:fill="auto"/>
            <w:vAlign w:val="bottom"/>
          </w:tcPr>
          <w:p w14:paraId="71D4896F" w14:textId="77777777" w:rsidR="006A3667" w:rsidRDefault="006A3667">
            <w:pPr>
              <w:rPr>
                <w:rFonts w:ascii="宋体"/>
              </w:rPr>
            </w:pPr>
          </w:p>
        </w:tc>
        <w:tc>
          <w:tcPr>
            <w:tcW w:w="19" w:type="pct"/>
            <w:shd w:val="clear" w:color="auto" w:fill="auto"/>
            <w:vAlign w:val="bottom"/>
          </w:tcPr>
          <w:p w14:paraId="71D48970" w14:textId="77777777" w:rsidR="006A3667" w:rsidRDefault="006A3667">
            <w:pPr>
              <w:rPr>
                <w:rFonts w:ascii="宋体"/>
              </w:rPr>
            </w:pPr>
          </w:p>
        </w:tc>
        <w:tc>
          <w:tcPr>
            <w:tcW w:w="5" w:type="pct"/>
            <w:shd w:val="clear" w:color="auto" w:fill="auto"/>
            <w:vAlign w:val="bottom"/>
          </w:tcPr>
          <w:p w14:paraId="71D48971" w14:textId="77777777" w:rsidR="006A3667" w:rsidRDefault="006A3667">
            <w:pPr>
              <w:rPr>
                <w:rFonts w:ascii="宋体"/>
              </w:rPr>
            </w:pPr>
          </w:p>
        </w:tc>
        <w:tc>
          <w:tcPr>
            <w:tcW w:w="50" w:type="pct"/>
            <w:shd w:val="clear" w:color="auto" w:fill="auto"/>
            <w:vAlign w:val="bottom"/>
          </w:tcPr>
          <w:p w14:paraId="71D48972" w14:textId="77777777" w:rsidR="006A3667" w:rsidRDefault="006A3667">
            <w:pPr>
              <w:rPr>
                <w:rFonts w:ascii="宋体"/>
              </w:rPr>
            </w:pPr>
          </w:p>
        </w:tc>
        <w:tc>
          <w:tcPr>
            <w:tcW w:w="449" w:type="pct"/>
            <w:shd w:val="clear" w:color="auto" w:fill="auto"/>
            <w:vAlign w:val="bottom"/>
          </w:tcPr>
          <w:p w14:paraId="71D48973" w14:textId="77777777" w:rsidR="006A3667" w:rsidRDefault="006A3667">
            <w:pPr>
              <w:rPr>
                <w:rFonts w:ascii="宋体"/>
              </w:rPr>
            </w:pPr>
          </w:p>
        </w:tc>
        <w:tc>
          <w:tcPr>
            <w:tcW w:w="5" w:type="pct"/>
            <w:shd w:val="clear" w:color="auto" w:fill="auto"/>
            <w:vAlign w:val="bottom"/>
          </w:tcPr>
          <w:p w14:paraId="71D48974" w14:textId="77777777" w:rsidR="006A3667" w:rsidRDefault="006A3667">
            <w:pPr>
              <w:rPr>
                <w:rFonts w:ascii="宋体"/>
              </w:rPr>
            </w:pPr>
          </w:p>
        </w:tc>
        <w:tc>
          <w:tcPr>
            <w:tcW w:w="5" w:type="pct"/>
            <w:shd w:val="clear" w:color="auto" w:fill="auto"/>
            <w:vAlign w:val="bottom"/>
          </w:tcPr>
          <w:p w14:paraId="71D48975" w14:textId="77777777" w:rsidR="006A3667" w:rsidRDefault="006A3667">
            <w:pPr>
              <w:rPr>
                <w:rFonts w:ascii="宋体"/>
              </w:rPr>
            </w:pPr>
          </w:p>
        </w:tc>
        <w:tc>
          <w:tcPr>
            <w:tcW w:w="19" w:type="pct"/>
            <w:shd w:val="clear" w:color="auto" w:fill="auto"/>
            <w:vAlign w:val="bottom"/>
          </w:tcPr>
          <w:p w14:paraId="71D48976" w14:textId="77777777" w:rsidR="006A3667" w:rsidRDefault="006A3667">
            <w:pPr>
              <w:rPr>
                <w:rFonts w:ascii="宋体"/>
              </w:rPr>
            </w:pPr>
          </w:p>
        </w:tc>
        <w:tc>
          <w:tcPr>
            <w:tcW w:w="5" w:type="pct"/>
            <w:shd w:val="clear" w:color="auto" w:fill="auto"/>
            <w:vAlign w:val="bottom"/>
          </w:tcPr>
          <w:p w14:paraId="71D48977" w14:textId="77777777" w:rsidR="006A3667" w:rsidRDefault="006A3667">
            <w:pPr>
              <w:rPr>
                <w:rFonts w:ascii="宋体"/>
              </w:rPr>
            </w:pPr>
          </w:p>
        </w:tc>
        <w:tc>
          <w:tcPr>
            <w:tcW w:w="50" w:type="pct"/>
            <w:shd w:val="clear" w:color="auto" w:fill="auto"/>
            <w:vAlign w:val="bottom"/>
          </w:tcPr>
          <w:p w14:paraId="71D48978" w14:textId="77777777" w:rsidR="006A3667" w:rsidRDefault="006A3667">
            <w:pPr>
              <w:rPr>
                <w:rFonts w:ascii="宋体"/>
              </w:rPr>
            </w:pPr>
          </w:p>
        </w:tc>
        <w:tc>
          <w:tcPr>
            <w:tcW w:w="610" w:type="pct"/>
            <w:shd w:val="clear" w:color="auto" w:fill="auto"/>
            <w:vAlign w:val="bottom"/>
          </w:tcPr>
          <w:p w14:paraId="71D48979" w14:textId="77777777" w:rsidR="006A3667" w:rsidRDefault="006A3667">
            <w:pPr>
              <w:rPr>
                <w:rFonts w:ascii="宋体"/>
              </w:rPr>
            </w:pPr>
          </w:p>
        </w:tc>
        <w:tc>
          <w:tcPr>
            <w:tcW w:w="5" w:type="pct"/>
            <w:shd w:val="clear" w:color="auto" w:fill="auto"/>
            <w:vAlign w:val="bottom"/>
          </w:tcPr>
          <w:p w14:paraId="71D4897A" w14:textId="77777777" w:rsidR="006A3667" w:rsidRDefault="006A3667">
            <w:pPr>
              <w:rPr>
                <w:rFonts w:ascii="宋体"/>
              </w:rPr>
            </w:pPr>
          </w:p>
        </w:tc>
        <w:tc>
          <w:tcPr>
            <w:tcW w:w="5" w:type="pct"/>
            <w:shd w:val="clear" w:color="auto" w:fill="auto"/>
            <w:vAlign w:val="bottom"/>
          </w:tcPr>
          <w:p w14:paraId="71D4897B" w14:textId="77777777" w:rsidR="006A3667" w:rsidRDefault="006A3667">
            <w:pPr>
              <w:rPr>
                <w:rFonts w:ascii="宋体"/>
              </w:rPr>
            </w:pPr>
          </w:p>
        </w:tc>
        <w:tc>
          <w:tcPr>
            <w:tcW w:w="19" w:type="pct"/>
            <w:shd w:val="clear" w:color="auto" w:fill="auto"/>
            <w:vAlign w:val="bottom"/>
          </w:tcPr>
          <w:p w14:paraId="71D4897C" w14:textId="77777777" w:rsidR="006A3667" w:rsidRDefault="006A3667">
            <w:pPr>
              <w:rPr>
                <w:rFonts w:ascii="宋体"/>
              </w:rPr>
            </w:pPr>
          </w:p>
        </w:tc>
        <w:tc>
          <w:tcPr>
            <w:tcW w:w="5" w:type="pct"/>
            <w:shd w:val="clear" w:color="auto" w:fill="auto"/>
            <w:vAlign w:val="bottom"/>
          </w:tcPr>
          <w:p w14:paraId="71D4897D" w14:textId="77777777" w:rsidR="006A3667" w:rsidRDefault="006A3667">
            <w:pPr>
              <w:rPr>
                <w:rFonts w:ascii="宋体"/>
              </w:rPr>
            </w:pPr>
          </w:p>
        </w:tc>
        <w:tc>
          <w:tcPr>
            <w:tcW w:w="50" w:type="pct"/>
            <w:shd w:val="clear" w:color="auto" w:fill="auto"/>
            <w:vAlign w:val="bottom"/>
          </w:tcPr>
          <w:p w14:paraId="71D4897E" w14:textId="77777777" w:rsidR="006A3667" w:rsidRDefault="006A3667">
            <w:pPr>
              <w:rPr>
                <w:rFonts w:ascii="宋体"/>
              </w:rPr>
            </w:pPr>
          </w:p>
        </w:tc>
        <w:tc>
          <w:tcPr>
            <w:tcW w:w="493" w:type="pct"/>
            <w:shd w:val="clear" w:color="auto" w:fill="auto"/>
            <w:vAlign w:val="bottom"/>
          </w:tcPr>
          <w:p w14:paraId="71D4897F" w14:textId="77777777" w:rsidR="006A3667" w:rsidRDefault="006A3667">
            <w:pPr>
              <w:rPr>
                <w:rFonts w:ascii="宋体"/>
              </w:rPr>
            </w:pPr>
          </w:p>
        </w:tc>
        <w:tc>
          <w:tcPr>
            <w:tcW w:w="5" w:type="pct"/>
            <w:shd w:val="clear" w:color="auto" w:fill="auto"/>
            <w:vAlign w:val="bottom"/>
          </w:tcPr>
          <w:p w14:paraId="71D48980" w14:textId="77777777" w:rsidR="006A3667" w:rsidRDefault="006A3667">
            <w:pPr>
              <w:rPr>
                <w:rFonts w:ascii="宋体"/>
              </w:rPr>
            </w:pPr>
          </w:p>
        </w:tc>
        <w:tc>
          <w:tcPr>
            <w:tcW w:w="5" w:type="pct"/>
            <w:shd w:val="clear" w:color="auto" w:fill="auto"/>
            <w:vAlign w:val="bottom"/>
          </w:tcPr>
          <w:p w14:paraId="71D48981" w14:textId="77777777" w:rsidR="006A3667" w:rsidRDefault="006A3667">
            <w:pPr>
              <w:rPr>
                <w:rFonts w:ascii="宋体"/>
              </w:rPr>
            </w:pPr>
          </w:p>
        </w:tc>
        <w:tc>
          <w:tcPr>
            <w:tcW w:w="19" w:type="pct"/>
            <w:shd w:val="clear" w:color="auto" w:fill="auto"/>
            <w:vAlign w:val="bottom"/>
          </w:tcPr>
          <w:p w14:paraId="71D48982" w14:textId="77777777" w:rsidR="006A3667" w:rsidRDefault="006A3667">
            <w:pPr>
              <w:rPr>
                <w:rFonts w:ascii="宋体"/>
              </w:rPr>
            </w:pPr>
          </w:p>
        </w:tc>
        <w:tc>
          <w:tcPr>
            <w:tcW w:w="5" w:type="pct"/>
            <w:shd w:val="clear" w:color="auto" w:fill="auto"/>
            <w:vAlign w:val="bottom"/>
          </w:tcPr>
          <w:p w14:paraId="71D48983" w14:textId="77777777" w:rsidR="006A3667" w:rsidRDefault="006A3667">
            <w:pPr>
              <w:rPr>
                <w:rFonts w:ascii="宋体"/>
              </w:rPr>
            </w:pPr>
          </w:p>
        </w:tc>
        <w:tc>
          <w:tcPr>
            <w:tcW w:w="50" w:type="pct"/>
            <w:shd w:val="clear" w:color="auto" w:fill="auto"/>
            <w:vAlign w:val="bottom"/>
          </w:tcPr>
          <w:p w14:paraId="71D48984" w14:textId="77777777" w:rsidR="006A3667" w:rsidRDefault="006A3667">
            <w:pPr>
              <w:rPr>
                <w:rFonts w:ascii="宋体"/>
              </w:rPr>
            </w:pPr>
          </w:p>
        </w:tc>
        <w:tc>
          <w:tcPr>
            <w:tcW w:w="354" w:type="pct"/>
            <w:shd w:val="clear" w:color="auto" w:fill="auto"/>
            <w:vAlign w:val="bottom"/>
          </w:tcPr>
          <w:p w14:paraId="71D48985" w14:textId="77777777" w:rsidR="006A3667" w:rsidRDefault="006A3667">
            <w:pPr>
              <w:rPr>
                <w:rFonts w:ascii="宋体"/>
              </w:rPr>
            </w:pPr>
          </w:p>
        </w:tc>
        <w:tc>
          <w:tcPr>
            <w:tcW w:w="5" w:type="pct"/>
            <w:shd w:val="clear" w:color="auto" w:fill="auto"/>
            <w:vAlign w:val="bottom"/>
          </w:tcPr>
          <w:p w14:paraId="71D48986" w14:textId="77777777" w:rsidR="006A3667" w:rsidRDefault="006A3667">
            <w:pPr>
              <w:rPr>
                <w:rFonts w:ascii="宋体"/>
              </w:rPr>
            </w:pPr>
          </w:p>
        </w:tc>
        <w:tc>
          <w:tcPr>
            <w:tcW w:w="5" w:type="pct"/>
            <w:shd w:val="clear" w:color="auto" w:fill="auto"/>
            <w:vAlign w:val="bottom"/>
          </w:tcPr>
          <w:p w14:paraId="71D48987" w14:textId="77777777" w:rsidR="006A3667" w:rsidRDefault="006A3667">
            <w:pPr>
              <w:rPr>
                <w:rFonts w:ascii="宋体"/>
              </w:rPr>
            </w:pPr>
          </w:p>
        </w:tc>
        <w:tc>
          <w:tcPr>
            <w:tcW w:w="19" w:type="pct"/>
            <w:shd w:val="clear" w:color="auto" w:fill="auto"/>
            <w:vAlign w:val="bottom"/>
          </w:tcPr>
          <w:p w14:paraId="71D48988" w14:textId="77777777" w:rsidR="006A3667" w:rsidRDefault="006A3667">
            <w:pPr>
              <w:rPr>
                <w:rFonts w:ascii="宋体"/>
              </w:rPr>
            </w:pPr>
          </w:p>
        </w:tc>
        <w:tc>
          <w:tcPr>
            <w:tcW w:w="5" w:type="pct"/>
            <w:shd w:val="clear" w:color="auto" w:fill="auto"/>
            <w:vAlign w:val="bottom"/>
          </w:tcPr>
          <w:p w14:paraId="71D48989" w14:textId="77777777" w:rsidR="006A3667" w:rsidRDefault="006A3667">
            <w:pPr>
              <w:rPr>
                <w:rFonts w:ascii="宋体"/>
              </w:rPr>
            </w:pPr>
          </w:p>
        </w:tc>
        <w:tc>
          <w:tcPr>
            <w:tcW w:w="50" w:type="pct"/>
            <w:shd w:val="clear" w:color="auto" w:fill="auto"/>
            <w:vAlign w:val="bottom"/>
          </w:tcPr>
          <w:p w14:paraId="71D4898A" w14:textId="77777777" w:rsidR="006A3667" w:rsidRDefault="006A3667">
            <w:pPr>
              <w:rPr>
                <w:rFonts w:ascii="宋体"/>
              </w:rPr>
            </w:pPr>
          </w:p>
        </w:tc>
        <w:tc>
          <w:tcPr>
            <w:tcW w:w="347" w:type="pct"/>
            <w:shd w:val="clear" w:color="auto" w:fill="auto"/>
            <w:vAlign w:val="bottom"/>
          </w:tcPr>
          <w:p w14:paraId="71D4898B" w14:textId="77777777" w:rsidR="006A3667" w:rsidRDefault="006A3667">
            <w:pPr>
              <w:rPr>
                <w:rFonts w:ascii="宋体"/>
              </w:rPr>
            </w:pPr>
          </w:p>
        </w:tc>
        <w:tc>
          <w:tcPr>
            <w:tcW w:w="5" w:type="pct"/>
            <w:shd w:val="clear" w:color="auto" w:fill="auto"/>
            <w:vAlign w:val="bottom"/>
          </w:tcPr>
          <w:p w14:paraId="71D4898C" w14:textId="77777777" w:rsidR="006A3667" w:rsidRDefault="006A3667">
            <w:pPr>
              <w:rPr>
                <w:rFonts w:ascii="宋体"/>
              </w:rPr>
            </w:pPr>
          </w:p>
        </w:tc>
        <w:tc>
          <w:tcPr>
            <w:tcW w:w="5" w:type="pct"/>
            <w:shd w:val="clear" w:color="auto" w:fill="auto"/>
            <w:vAlign w:val="bottom"/>
          </w:tcPr>
          <w:p w14:paraId="71D4898D" w14:textId="77777777" w:rsidR="006A3667" w:rsidRDefault="006A3667">
            <w:pPr>
              <w:rPr>
                <w:rFonts w:ascii="宋体"/>
              </w:rPr>
            </w:pPr>
          </w:p>
        </w:tc>
        <w:tc>
          <w:tcPr>
            <w:tcW w:w="19" w:type="pct"/>
            <w:shd w:val="clear" w:color="auto" w:fill="auto"/>
            <w:vAlign w:val="bottom"/>
          </w:tcPr>
          <w:p w14:paraId="71D4898E" w14:textId="77777777" w:rsidR="006A3667" w:rsidRDefault="006A3667">
            <w:pPr>
              <w:rPr>
                <w:rFonts w:ascii="宋体"/>
              </w:rPr>
            </w:pPr>
          </w:p>
        </w:tc>
        <w:tc>
          <w:tcPr>
            <w:tcW w:w="5" w:type="pct"/>
            <w:shd w:val="clear" w:color="auto" w:fill="auto"/>
            <w:vAlign w:val="bottom"/>
          </w:tcPr>
          <w:p w14:paraId="71D4898F" w14:textId="77777777" w:rsidR="006A3667" w:rsidRDefault="006A3667">
            <w:pPr>
              <w:rPr>
                <w:rFonts w:ascii="宋体"/>
              </w:rPr>
            </w:pPr>
          </w:p>
        </w:tc>
        <w:tc>
          <w:tcPr>
            <w:tcW w:w="50" w:type="pct"/>
            <w:shd w:val="clear" w:color="auto" w:fill="auto"/>
            <w:vAlign w:val="bottom"/>
          </w:tcPr>
          <w:p w14:paraId="71D48990" w14:textId="77777777" w:rsidR="006A3667" w:rsidRDefault="006A3667">
            <w:pPr>
              <w:rPr>
                <w:rFonts w:ascii="宋体"/>
              </w:rPr>
            </w:pPr>
          </w:p>
        </w:tc>
        <w:tc>
          <w:tcPr>
            <w:tcW w:w="318" w:type="pct"/>
            <w:shd w:val="clear" w:color="auto" w:fill="auto"/>
            <w:vAlign w:val="bottom"/>
          </w:tcPr>
          <w:p w14:paraId="71D48991" w14:textId="77777777" w:rsidR="006A3667" w:rsidRDefault="006A3667">
            <w:pPr>
              <w:rPr>
                <w:rFonts w:ascii="宋体"/>
              </w:rPr>
            </w:pPr>
          </w:p>
        </w:tc>
        <w:tc>
          <w:tcPr>
            <w:tcW w:w="5" w:type="pct"/>
            <w:shd w:val="clear" w:color="auto" w:fill="auto"/>
            <w:vAlign w:val="bottom"/>
          </w:tcPr>
          <w:p w14:paraId="71D48992" w14:textId="77777777" w:rsidR="006A3667" w:rsidRDefault="006A3667">
            <w:pPr>
              <w:rPr>
                <w:rFonts w:ascii="宋体"/>
              </w:rPr>
            </w:pPr>
          </w:p>
        </w:tc>
      </w:tr>
      <w:tr w:rsidR="006A3667" w14:paraId="71D489A2" w14:textId="77777777">
        <w:tc>
          <w:tcPr>
            <w:tcW w:w="0" w:type="auto"/>
            <w:gridSpan w:val="3"/>
            <w:shd w:val="clear" w:color="auto" w:fill="auto"/>
            <w:tcMar>
              <w:top w:w="40" w:type="dxa"/>
              <w:left w:w="20" w:type="dxa"/>
              <w:bottom w:w="40" w:type="dxa"/>
              <w:right w:w="20" w:type="dxa"/>
            </w:tcMar>
            <w:vAlign w:val="bottom"/>
          </w:tcPr>
          <w:p w14:paraId="71D48994"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1D48995" w14:textId="77777777" w:rsidR="006A3667" w:rsidRDefault="00045F32">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vAlign w:val="bottom"/>
          </w:tcPr>
          <w:p w14:paraId="71D4899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997" w14:textId="77777777" w:rsidR="006A3667" w:rsidRDefault="00045F32">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71D48998"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999" w14:textId="77777777" w:rsidR="006A3667" w:rsidRDefault="00045F32">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71D4899A"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99B" w14:textId="77777777" w:rsidR="006A3667" w:rsidRDefault="00045F32">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71D4899C"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99D" w14:textId="77777777" w:rsidR="006A3667" w:rsidRDefault="00045F32">
            <w:pPr>
              <w:jc w:val="center"/>
              <w:textAlignment w:val="bottom"/>
            </w:pPr>
            <w:r>
              <w:rPr>
                <w:rFonts w:ascii="Arial" w:eastAsia="宋体" w:hAnsi="Arial" w:cs="Arial"/>
                <w:b/>
                <w:bCs/>
                <w:color w:val="000000"/>
                <w:sz w:val="13"/>
                <w:szCs w:val="13"/>
              </w:rPr>
              <w:t xml:space="preserve">Net Unrealized Losses on </w:t>
            </w:r>
            <w:r>
              <w:rPr>
                <w:rFonts w:ascii="Arial" w:eastAsia="宋体" w:hAnsi="Arial" w:cs="Arial"/>
                <w:b/>
                <w:bCs/>
                <w:color w:val="000000"/>
                <w:sz w:val="13"/>
                <w:szCs w:val="13"/>
              </w:rPr>
              <w:t>Retirement Plans</w:t>
            </w:r>
          </w:p>
        </w:tc>
        <w:tc>
          <w:tcPr>
            <w:tcW w:w="0" w:type="auto"/>
            <w:gridSpan w:val="3"/>
            <w:shd w:val="clear" w:color="auto" w:fill="auto"/>
            <w:tcMar>
              <w:top w:w="0" w:type="dxa"/>
              <w:left w:w="20" w:type="dxa"/>
              <w:bottom w:w="0" w:type="dxa"/>
              <w:right w:w="20" w:type="dxa"/>
            </w:tcMar>
            <w:vAlign w:val="bottom"/>
          </w:tcPr>
          <w:p w14:paraId="71D4899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99F" w14:textId="77777777" w:rsidR="006A3667" w:rsidRDefault="00045F32">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71D489A0"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9A1" w14:textId="77777777" w:rsidR="006A3667" w:rsidRDefault="00045F32">
            <w:pPr>
              <w:jc w:val="center"/>
              <w:textAlignment w:val="bottom"/>
            </w:pPr>
            <w:r>
              <w:rPr>
                <w:rFonts w:ascii="Arial" w:eastAsia="宋体" w:hAnsi="Arial" w:cs="Arial"/>
                <w:b/>
                <w:bCs/>
                <w:color w:val="000000"/>
                <w:sz w:val="13"/>
                <w:szCs w:val="13"/>
              </w:rPr>
              <w:t>Total</w:t>
            </w:r>
          </w:p>
        </w:tc>
      </w:tr>
      <w:tr w:rsidR="006A3667" w14:paraId="71D489B1" w14:textId="77777777">
        <w:trPr>
          <w:hidden/>
        </w:trPr>
        <w:tc>
          <w:tcPr>
            <w:tcW w:w="0" w:type="auto"/>
            <w:gridSpan w:val="3"/>
            <w:shd w:val="clear" w:color="auto" w:fill="auto"/>
            <w:vAlign w:val="bottom"/>
          </w:tcPr>
          <w:p w14:paraId="71D489A3" w14:textId="77777777" w:rsidR="006A3667" w:rsidRDefault="006A3667">
            <w:pPr>
              <w:rPr>
                <w:rFonts w:ascii="宋体"/>
                <w:vanish/>
              </w:rPr>
            </w:pPr>
          </w:p>
        </w:tc>
        <w:tc>
          <w:tcPr>
            <w:tcW w:w="0" w:type="auto"/>
            <w:gridSpan w:val="3"/>
            <w:shd w:val="clear" w:color="auto" w:fill="auto"/>
            <w:vAlign w:val="bottom"/>
          </w:tcPr>
          <w:p w14:paraId="71D489A4" w14:textId="77777777" w:rsidR="006A3667" w:rsidRDefault="006A3667">
            <w:pPr>
              <w:rPr>
                <w:rFonts w:ascii="宋体"/>
                <w:vanish/>
              </w:rPr>
            </w:pPr>
          </w:p>
        </w:tc>
        <w:tc>
          <w:tcPr>
            <w:tcW w:w="0" w:type="auto"/>
            <w:gridSpan w:val="3"/>
            <w:shd w:val="clear" w:color="auto" w:fill="auto"/>
            <w:vAlign w:val="bottom"/>
          </w:tcPr>
          <w:p w14:paraId="71D489A5" w14:textId="77777777" w:rsidR="006A3667" w:rsidRDefault="006A3667">
            <w:pPr>
              <w:rPr>
                <w:rFonts w:ascii="宋体"/>
                <w:vanish/>
              </w:rPr>
            </w:pPr>
          </w:p>
        </w:tc>
        <w:tc>
          <w:tcPr>
            <w:tcW w:w="0" w:type="auto"/>
            <w:gridSpan w:val="3"/>
            <w:shd w:val="clear" w:color="auto" w:fill="auto"/>
            <w:vAlign w:val="bottom"/>
          </w:tcPr>
          <w:p w14:paraId="71D489A6" w14:textId="77777777" w:rsidR="006A3667" w:rsidRDefault="006A3667">
            <w:pPr>
              <w:rPr>
                <w:rFonts w:ascii="宋体"/>
                <w:vanish/>
              </w:rPr>
            </w:pPr>
          </w:p>
        </w:tc>
        <w:tc>
          <w:tcPr>
            <w:tcW w:w="0" w:type="auto"/>
            <w:gridSpan w:val="3"/>
            <w:shd w:val="clear" w:color="auto" w:fill="auto"/>
            <w:vAlign w:val="bottom"/>
          </w:tcPr>
          <w:p w14:paraId="71D489A7" w14:textId="77777777" w:rsidR="006A3667" w:rsidRDefault="006A3667">
            <w:pPr>
              <w:rPr>
                <w:rFonts w:ascii="宋体"/>
                <w:vanish/>
              </w:rPr>
            </w:pPr>
          </w:p>
        </w:tc>
        <w:tc>
          <w:tcPr>
            <w:tcW w:w="0" w:type="auto"/>
            <w:gridSpan w:val="3"/>
            <w:shd w:val="clear" w:color="auto" w:fill="auto"/>
            <w:vAlign w:val="bottom"/>
          </w:tcPr>
          <w:p w14:paraId="71D489A8" w14:textId="77777777" w:rsidR="006A3667" w:rsidRDefault="006A3667">
            <w:pPr>
              <w:rPr>
                <w:rFonts w:ascii="宋体"/>
                <w:vanish/>
              </w:rPr>
            </w:pPr>
          </w:p>
        </w:tc>
        <w:tc>
          <w:tcPr>
            <w:tcW w:w="0" w:type="auto"/>
            <w:gridSpan w:val="3"/>
            <w:shd w:val="clear" w:color="auto" w:fill="auto"/>
            <w:vAlign w:val="bottom"/>
          </w:tcPr>
          <w:p w14:paraId="71D489A9" w14:textId="77777777" w:rsidR="006A3667" w:rsidRDefault="006A3667">
            <w:pPr>
              <w:rPr>
                <w:rFonts w:ascii="宋体"/>
                <w:vanish/>
              </w:rPr>
            </w:pPr>
          </w:p>
        </w:tc>
        <w:tc>
          <w:tcPr>
            <w:tcW w:w="0" w:type="auto"/>
            <w:gridSpan w:val="3"/>
            <w:shd w:val="clear" w:color="auto" w:fill="auto"/>
            <w:vAlign w:val="bottom"/>
          </w:tcPr>
          <w:p w14:paraId="71D489AA" w14:textId="77777777" w:rsidR="006A3667" w:rsidRDefault="006A3667">
            <w:pPr>
              <w:rPr>
                <w:rFonts w:ascii="宋体"/>
                <w:vanish/>
              </w:rPr>
            </w:pPr>
          </w:p>
        </w:tc>
        <w:tc>
          <w:tcPr>
            <w:tcW w:w="0" w:type="auto"/>
            <w:gridSpan w:val="3"/>
            <w:shd w:val="clear" w:color="auto" w:fill="auto"/>
            <w:vAlign w:val="bottom"/>
          </w:tcPr>
          <w:p w14:paraId="71D489AB" w14:textId="77777777" w:rsidR="006A3667" w:rsidRDefault="006A3667">
            <w:pPr>
              <w:rPr>
                <w:rFonts w:ascii="宋体"/>
                <w:vanish/>
              </w:rPr>
            </w:pPr>
          </w:p>
        </w:tc>
        <w:tc>
          <w:tcPr>
            <w:tcW w:w="0" w:type="auto"/>
            <w:gridSpan w:val="3"/>
            <w:shd w:val="clear" w:color="auto" w:fill="auto"/>
            <w:vAlign w:val="bottom"/>
          </w:tcPr>
          <w:p w14:paraId="71D489AC" w14:textId="77777777" w:rsidR="006A3667" w:rsidRDefault="006A3667">
            <w:pPr>
              <w:rPr>
                <w:rFonts w:ascii="宋体"/>
                <w:vanish/>
              </w:rPr>
            </w:pPr>
          </w:p>
        </w:tc>
        <w:tc>
          <w:tcPr>
            <w:tcW w:w="0" w:type="auto"/>
            <w:gridSpan w:val="3"/>
            <w:shd w:val="clear" w:color="auto" w:fill="auto"/>
            <w:vAlign w:val="bottom"/>
          </w:tcPr>
          <w:p w14:paraId="71D489AD" w14:textId="77777777" w:rsidR="006A3667" w:rsidRDefault="006A3667">
            <w:pPr>
              <w:rPr>
                <w:rFonts w:ascii="宋体"/>
                <w:vanish/>
              </w:rPr>
            </w:pPr>
          </w:p>
        </w:tc>
        <w:tc>
          <w:tcPr>
            <w:tcW w:w="0" w:type="auto"/>
            <w:gridSpan w:val="3"/>
            <w:shd w:val="clear" w:color="auto" w:fill="auto"/>
            <w:vAlign w:val="bottom"/>
          </w:tcPr>
          <w:p w14:paraId="71D489AE" w14:textId="77777777" w:rsidR="006A3667" w:rsidRDefault="006A3667">
            <w:pPr>
              <w:rPr>
                <w:rFonts w:ascii="宋体"/>
                <w:vanish/>
              </w:rPr>
            </w:pPr>
          </w:p>
        </w:tc>
        <w:tc>
          <w:tcPr>
            <w:tcW w:w="0" w:type="auto"/>
            <w:gridSpan w:val="3"/>
            <w:shd w:val="clear" w:color="auto" w:fill="auto"/>
            <w:vAlign w:val="bottom"/>
          </w:tcPr>
          <w:p w14:paraId="71D489AF" w14:textId="77777777" w:rsidR="006A3667" w:rsidRDefault="006A3667">
            <w:pPr>
              <w:rPr>
                <w:rFonts w:ascii="宋体"/>
                <w:vanish/>
              </w:rPr>
            </w:pPr>
          </w:p>
        </w:tc>
        <w:tc>
          <w:tcPr>
            <w:tcW w:w="0" w:type="auto"/>
            <w:gridSpan w:val="3"/>
            <w:shd w:val="clear" w:color="auto" w:fill="auto"/>
            <w:vAlign w:val="bottom"/>
          </w:tcPr>
          <w:p w14:paraId="71D489B0" w14:textId="77777777" w:rsidR="006A3667" w:rsidRDefault="006A3667">
            <w:pPr>
              <w:rPr>
                <w:rFonts w:ascii="宋体"/>
                <w:vanish/>
              </w:rPr>
            </w:pPr>
          </w:p>
        </w:tc>
      </w:tr>
      <w:tr w:rsidR="006A3667" w14:paraId="71D489C0" w14:textId="77777777">
        <w:trPr>
          <w:hidden/>
        </w:trPr>
        <w:tc>
          <w:tcPr>
            <w:tcW w:w="0" w:type="auto"/>
            <w:gridSpan w:val="3"/>
            <w:shd w:val="clear" w:color="auto" w:fill="auto"/>
            <w:vAlign w:val="bottom"/>
          </w:tcPr>
          <w:p w14:paraId="71D489B2" w14:textId="77777777" w:rsidR="006A3667" w:rsidRDefault="006A3667">
            <w:pPr>
              <w:rPr>
                <w:rFonts w:ascii="宋体"/>
                <w:vanish/>
              </w:rPr>
            </w:pPr>
          </w:p>
        </w:tc>
        <w:tc>
          <w:tcPr>
            <w:tcW w:w="0" w:type="auto"/>
            <w:gridSpan w:val="3"/>
            <w:shd w:val="clear" w:color="auto" w:fill="auto"/>
            <w:vAlign w:val="bottom"/>
          </w:tcPr>
          <w:p w14:paraId="71D489B3" w14:textId="77777777" w:rsidR="006A3667" w:rsidRDefault="006A3667">
            <w:pPr>
              <w:rPr>
                <w:rFonts w:ascii="宋体"/>
                <w:vanish/>
              </w:rPr>
            </w:pPr>
          </w:p>
        </w:tc>
        <w:tc>
          <w:tcPr>
            <w:tcW w:w="0" w:type="auto"/>
            <w:gridSpan w:val="3"/>
            <w:shd w:val="clear" w:color="auto" w:fill="auto"/>
            <w:vAlign w:val="bottom"/>
          </w:tcPr>
          <w:p w14:paraId="71D489B4" w14:textId="77777777" w:rsidR="006A3667" w:rsidRDefault="006A3667">
            <w:pPr>
              <w:rPr>
                <w:rFonts w:ascii="宋体"/>
                <w:vanish/>
              </w:rPr>
            </w:pPr>
          </w:p>
        </w:tc>
        <w:tc>
          <w:tcPr>
            <w:tcW w:w="0" w:type="auto"/>
            <w:gridSpan w:val="3"/>
            <w:shd w:val="clear" w:color="auto" w:fill="auto"/>
            <w:vAlign w:val="bottom"/>
          </w:tcPr>
          <w:p w14:paraId="71D489B5" w14:textId="77777777" w:rsidR="006A3667" w:rsidRDefault="006A3667">
            <w:pPr>
              <w:rPr>
                <w:rFonts w:ascii="宋体"/>
                <w:vanish/>
              </w:rPr>
            </w:pPr>
          </w:p>
        </w:tc>
        <w:tc>
          <w:tcPr>
            <w:tcW w:w="0" w:type="auto"/>
            <w:gridSpan w:val="3"/>
            <w:shd w:val="clear" w:color="auto" w:fill="auto"/>
            <w:vAlign w:val="bottom"/>
          </w:tcPr>
          <w:p w14:paraId="71D489B6" w14:textId="77777777" w:rsidR="006A3667" w:rsidRDefault="006A3667">
            <w:pPr>
              <w:rPr>
                <w:rFonts w:ascii="宋体"/>
                <w:vanish/>
              </w:rPr>
            </w:pPr>
          </w:p>
        </w:tc>
        <w:tc>
          <w:tcPr>
            <w:tcW w:w="0" w:type="auto"/>
            <w:gridSpan w:val="3"/>
            <w:shd w:val="clear" w:color="auto" w:fill="auto"/>
            <w:vAlign w:val="bottom"/>
          </w:tcPr>
          <w:p w14:paraId="71D489B7" w14:textId="77777777" w:rsidR="006A3667" w:rsidRDefault="006A3667">
            <w:pPr>
              <w:rPr>
                <w:rFonts w:ascii="宋体"/>
                <w:vanish/>
              </w:rPr>
            </w:pPr>
          </w:p>
        </w:tc>
        <w:tc>
          <w:tcPr>
            <w:tcW w:w="0" w:type="auto"/>
            <w:gridSpan w:val="3"/>
            <w:shd w:val="clear" w:color="auto" w:fill="auto"/>
            <w:vAlign w:val="bottom"/>
          </w:tcPr>
          <w:p w14:paraId="71D489B8" w14:textId="77777777" w:rsidR="006A3667" w:rsidRDefault="006A3667">
            <w:pPr>
              <w:rPr>
                <w:rFonts w:ascii="宋体"/>
                <w:vanish/>
              </w:rPr>
            </w:pPr>
          </w:p>
        </w:tc>
        <w:tc>
          <w:tcPr>
            <w:tcW w:w="0" w:type="auto"/>
            <w:gridSpan w:val="3"/>
            <w:shd w:val="clear" w:color="auto" w:fill="auto"/>
            <w:vAlign w:val="bottom"/>
          </w:tcPr>
          <w:p w14:paraId="71D489B9" w14:textId="77777777" w:rsidR="006A3667" w:rsidRDefault="006A3667">
            <w:pPr>
              <w:rPr>
                <w:rFonts w:ascii="宋体"/>
                <w:vanish/>
              </w:rPr>
            </w:pPr>
          </w:p>
        </w:tc>
        <w:tc>
          <w:tcPr>
            <w:tcW w:w="0" w:type="auto"/>
            <w:gridSpan w:val="3"/>
            <w:shd w:val="clear" w:color="auto" w:fill="auto"/>
            <w:vAlign w:val="bottom"/>
          </w:tcPr>
          <w:p w14:paraId="71D489BA" w14:textId="77777777" w:rsidR="006A3667" w:rsidRDefault="006A3667">
            <w:pPr>
              <w:rPr>
                <w:rFonts w:ascii="宋体"/>
                <w:vanish/>
              </w:rPr>
            </w:pPr>
          </w:p>
        </w:tc>
        <w:tc>
          <w:tcPr>
            <w:tcW w:w="0" w:type="auto"/>
            <w:gridSpan w:val="3"/>
            <w:shd w:val="clear" w:color="auto" w:fill="auto"/>
            <w:vAlign w:val="bottom"/>
          </w:tcPr>
          <w:p w14:paraId="71D489BB" w14:textId="77777777" w:rsidR="006A3667" w:rsidRDefault="006A3667">
            <w:pPr>
              <w:rPr>
                <w:rFonts w:ascii="宋体"/>
                <w:vanish/>
              </w:rPr>
            </w:pPr>
          </w:p>
        </w:tc>
        <w:tc>
          <w:tcPr>
            <w:tcW w:w="0" w:type="auto"/>
            <w:gridSpan w:val="3"/>
            <w:shd w:val="clear" w:color="auto" w:fill="auto"/>
            <w:vAlign w:val="bottom"/>
          </w:tcPr>
          <w:p w14:paraId="71D489BC" w14:textId="77777777" w:rsidR="006A3667" w:rsidRDefault="006A3667">
            <w:pPr>
              <w:rPr>
                <w:rFonts w:ascii="宋体"/>
                <w:vanish/>
              </w:rPr>
            </w:pPr>
          </w:p>
        </w:tc>
        <w:tc>
          <w:tcPr>
            <w:tcW w:w="0" w:type="auto"/>
            <w:gridSpan w:val="3"/>
            <w:shd w:val="clear" w:color="auto" w:fill="auto"/>
            <w:vAlign w:val="bottom"/>
          </w:tcPr>
          <w:p w14:paraId="71D489BD" w14:textId="77777777" w:rsidR="006A3667" w:rsidRDefault="006A3667">
            <w:pPr>
              <w:rPr>
                <w:rFonts w:ascii="宋体"/>
                <w:vanish/>
              </w:rPr>
            </w:pPr>
          </w:p>
        </w:tc>
        <w:tc>
          <w:tcPr>
            <w:tcW w:w="0" w:type="auto"/>
            <w:gridSpan w:val="3"/>
            <w:shd w:val="clear" w:color="auto" w:fill="auto"/>
            <w:vAlign w:val="bottom"/>
          </w:tcPr>
          <w:p w14:paraId="71D489BE" w14:textId="77777777" w:rsidR="006A3667" w:rsidRDefault="006A3667">
            <w:pPr>
              <w:rPr>
                <w:rFonts w:ascii="宋体"/>
                <w:vanish/>
              </w:rPr>
            </w:pPr>
          </w:p>
        </w:tc>
        <w:tc>
          <w:tcPr>
            <w:tcW w:w="0" w:type="auto"/>
            <w:gridSpan w:val="3"/>
            <w:shd w:val="clear" w:color="auto" w:fill="auto"/>
            <w:vAlign w:val="bottom"/>
          </w:tcPr>
          <w:p w14:paraId="71D489BF" w14:textId="77777777" w:rsidR="006A3667" w:rsidRDefault="006A3667">
            <w:pPr>
              <w:rPr>
                <w:rFonts w:ascii="宋体"/>
                <w:vanish/>
              </w:rPr>
            </w:pPr>
          </w:p>
        </w:tc>
      </w:tr>
      <w:tr w:rsidR="006A3667" w14:paraId="71D489CF" w14:textId="77777777">
        <w:trPr>
          <w:hidden/>
        </w:trPr>
        <w:tc>
          <w:tcPr>
            <w:tcW w:w="0" w:type="auto"/>
            <w:gridSpan w:val="3"/>
            <w:shd w:val="clear" w:color="auto" w:fill="auto"/>
            <w:vAlign w:val="bottom"/>
          </w:tcPr>
          <w:p w14:paraId="71D489C1" w14:textId="77777777" w:rsidR="006A3667" w:rsidRDefault="006A3667">
            <w:pPr>
              <w:rPr>
                <w:rFonts w:ascii="宋体"/>
                <w:vanish/>
              </w:rPr>
            </w:pPr>
          </w:p>
        </w:tc>
        <w:tc>
          <w:tcPr>
            <w:tcW w:w="0" w:type="auto"/>
            <w:gridSpan w:val="3"/>
            <w:shd w:val="clear" w:color="auto" w:fill="auto"/>
            <w:vAlign w:val="bottom"/>
          </w:tcPr>
          <w:p w14:paraId="71D489C2" w14:textId="77777777" w:rsidR="006A3667" w:rsidRDefault="006A3667">
            <w:pPr>
              <w:rPr>
                <w:rFonts w:ascii="宋体"/>
                <w:vanish/>
              </w:rPr>
            </w:pPr>
          </w:p>
        </w:tc>
        <w:tc>
          <w:tcPr>
            <w:tcW w:w="0" w:type="auto"/>
            <w:gridSpan w:val="3"/>
            <w:shd w:val="clear" w:color="auto" w:fill="auto"/>
            <w:vAlign w:val="bottom"/>
          </w:tcPr>
          <w:p w14:paraId="71D489C3" w14:textId="77777777" w:rsidR="006A3667" w:rsidRDefault="006A3667">
            <w:pPr>
              <w:rPr>
                <w:rFonts w:ascii="宋体"/>
                <w:vanish/>
              </w:rPr>
            </w:pPr>
          </w:p>
        </w:tc>
        <w:tc>
          <w:tcPr>
            <w:tcW w:w="0" w:type="auto"/>
            <w:gridSpan w:val="3"/>
            <w:shd w:val="clear" w:color="auto" w:fill="auto"/>
            <w:vAlign w:val="bottom"/>
          </w:tcPr>
          <w:p w14:paraId="71D489C4" w14:textId="77777777" w:rsidR="006A3667" w:rsidRDefault="006A3667">
            <w:pPr>
              <w:rPr>
                <w:rFonts w:ascii="宋体"/>
                <w:vanish/>
              </w:rPr>
            </w:pPr>
          </w:p>
        </w:tc>
        <w:tc>
          <w:tcPr>
            <w:tcW w:w="0" w:type="auto"/>
            <w:gridSpan w:val="3"/>
            <w:shd w:val="clear" w:color="auto" w:fill="auto"/>
            <w:vAlign w:val="bottom"/>
          </w:tcPr>
          <w:p w14:paraId="71D489C5" w14:textId="77777777" w:rsidR="006A3667" w:rsidRDefault="006A3667">
            <w:pPr>
              <w:rPr>
                <w:rFonts w:ascii="宋体"/>
                <w:vanish/>
              </w:rPr>
            </w:pPr>
          </w:p>
        </w:tc>
        <w:tc>
          <w:tcPr>
            <w:tcW w:w="0" w:type="auto"/>
            <w:gridSpan w:val="3"/>
            <w:shd w:val="clear" w:color="auto" w:fill="auto"/>
            <w:vAlign w:val="bottom"/>
          </w:tcPr>
          <w:p w14:paraId="71D489C6" w14:textId="77777777" w:rsidR="006A3667" w:rsidRDefault="006A3667">
            <w:pPr>
              <w:rPr>
                <w:rFonts w:ascii="宋体"/>
                <w:vanish/>
              </w:rPr>
            </w:pPr>
          </w:p>
        </w:tc>
        <w:tc>
          <w:tcPr>
            <w:tcW w:w="0" w:type="auto"/>
            <w:gridSpan w:val="3"/>
            <w:shd w:val="clear" w:color="auto" w:fill="auto"/>
            <w:vAlign w:val="bottom"/>
          </w:tcPr>
          <w:p w14:paraId="71D489C7" w14:textId="77777777" w:rsidR="006A3667" w:rsidRDefault="006A3667">
            <w:pPr>
              <w:rPr>
                <w:rFonts w:ascii="宋体"/>
                <w:vanish/>
              </w:rPr>
            </w:pPr>
          </w:p>
        </w:tc>
        <w:tc>
          <w:tcPr>
            <w:tcW w:w="0" w:type="auto"/>
            <w:gridSpan w:val="3"/>
            <w:shd w:val="clear" w:color="auto" w:fill="auto"/>
            <w:vAlign w:val="bottom"/>
          </w:tcPr>
          <w:p w14:paraId="71D489C8" w14:textId="77777777" w:rsidR="006A3667" w:rsidRDefault="006A3667">
            <w:pPr>
              <w:rPr>
                <w:rFonts w:ascii="宋体"/>
                <w:vanish/>
              </w:rPr>
            </w:pPr>
          </w:p>
        </w:tc>
        <w:tc>
          <w:tcPr>
            <w:tcW w:w="0" w:type="auto"/>
            <w:gridSpan w:val="3"/>
            <w:shd w:val="clear" w:color="auto" w:fill="auto"/>
            <w:vAlign w:val="bottom"/>
          </w:tcPr>
          <w:p w14:paraId="71D489C9" w14:textId="77777777" w:rsidR="006A3667" w:rsidRDefault="006A3667">
            <w:pPr>
              <w:rPr>
                <w:rFonts w:ascii="宋体"/>
                <w:vanish/>
              </w:rPr>
            </w:pPr>
          </w:p>
        </w:tc>
        <w:tc>
          <w:tcPr>
            <w:tcW w:w="0" w:type="auto"/>
            <w:gridSpan w:val="3"/>
            <w:shd w:val="clear" w:color="auto" w:fill="auto"/>
            <w:vAlign w:val="bottom"/>
          </w:tcPr>
          <w:p w14:paraId="71D489CA" w14:textId="77777777" w:rsidR="006A3667" w:rsidRDefault="006A3667">
            <w:pPr>
              <w:rPr>
                <w:rFonts w:ascii="宋体"/>
                <w:vanish/>
              </w:rPr>
            </w:pPr>
          </w:p>
        </w:tc>
        <w:tc>
          <w:tcPr>
            <w:tcW w:w="0" w:type="auto"/>
            <w:gridSpan w:val="3"/>
            <w:shd w:val="clear" w:color="auto" w:fill="auto"/>
            <w:vAlign w:val="bottom"/>
          </w:tcPr>
          <w:p w14:paraId="71D489CB" w14:textId="77777777" w:rsidR="006A3667" w:rsidRDefault="006A3667">
            <w:pPr>
              <w:rPr>
                <w:rFonts w:ascii="宋体"/>
                <w:vanish/>
              </w:rPr>
            </w:pPr>
          </w:p>
        </w:tc>
        <w:tc>
          <w:tcPr>
            <w:tcW w:w="0" w:type="auto"/>
            <w:gridSpan w:val="3"/>
            <w:shd w:val="clear" w:color="auto" w:fill="auto"/>
            <w:vAlign w:val="bottom"/>
          </w:tcPr>
          <w:p w14:paraId="71D489CC" w14:textId="77777777" w:rsidR="006A3667" w:rsidRDefault="006A3667">
            <w:pPr>
              <w:rPr>
                <w:rFonts w:ascii="宋体"/>
                <w:vanish/>
              </w:rPr>
            </w:pPr>
          </w:p>
        </w:tc>
        <w:tc>
          <w:tcPr>
            <w:tcW w:w="0" w:type="auto"/>
            <w:gridSpan w:val="3"/>
            <w:shd w:val="clear" w:color="auto" w:fill="auto"/>
            <w:vAlign w:val="bottom"/>
          </w:tcPr>
          <w:p w14:paraId="71D489CD" w14:textId="77777777" w:rsidR="006A3667" w:rsidRDefault="006A3667">
            <w:pPr>
              <w:rPr>
                <w:rFonts w:ascii="宋体"/>
                <w:vanish/>
              </w:rPr>
            </w:pPr>
          </w:p>
        </w:tc>
        <w:tc>
          <w:tcPr>
            <w:tcW w:w="0" w:type="auto"/>
            <w:gridSpan w:val="3"/>
            <w:shd w:val="clear" w:color="auto" w:fill="auto"/>
            <w:vAlign w:val="bottom"/>
          </w:tcPr>
          <w:p w14:paraId="71D489CE" w14:textId="77777777" w:rsidR="006A3667" w:rsidRDefault="006A3667">
            <w:pPr>
              <w:rPr>
                <w:rFonts w:ascii="宋体"/>
                <w:vanish/>
              </w:rPr>
            </w:pPr>
          </w:p>
        </w:tc>
      </w:tr>
      <w:tr w:rsidR="006A3667" w14:paraId="71D489DE" w14:textId="77777777">
        <w:trPr>
          <w:hidden/>
        </w:trPr>
        <w:tc>
          <w:tcPr>
            <w:tcW w:w="0" w:type="auto"/>
            <w:gridSpan w:val="3"/>
            <w:shd w:val="clear" w:color="auto" w:fill="auto"/>
            <w:vAlign w:val="bottom"/>
          </w:tcPr>
          <w:p w14:paraId="71D489D0" w14:textId="77777777" w:rsidR="006A3667" w:rsidRDefault="006A3667">
            <w:pPr>
              <w:rPr>
                <w:rFonts w:ascii="宋体"/>
                <w:vanish/>
              </w:rPr>
            </w:pPr>
          </w:p>
        </w:tc>
        <w:tc>
          <w:tcPr>
            <w:tcW w:w="0" w:type="auto"/>
            <w:gridSpan w:val="3"/>
            <w:shd w:val="clear" w:color="auto" w:fill="auto"/>
            <w:vAlign w:val="bottom"/>
          </w:tcPr>
          <w:p w14:paraId="71D489D1" w14:textId="77777777" w:rsidR="006A3667" w:rsidRDefault="006A3667">
            <w:pPr>
              <w:rPr>
                <w:rFonts w:ascii="宋体"/>
                <w:vanish/>
              </w:rPr>
            </w:pPr>
          </w:p>
        </w:tc>
        <w:tc>
          <w:tcPr>
            <w:tcW w:w="0" w:type="auto"/>
            <w:gridSpan w:val="3"/>
            <w:shd w:val="clear" w:color="auto" w:fill="auto"/>
            <w:vAlign w:val="bottom"/>
          </w:tcPr>
          <w:p w14:paraId="71D489D2" w14:textId="77777777" w:rsidR="006A3667" w:rsidRDefault="006A3667">
            <w:pPr>
              <w:rPr>
                <w:rFonts w:ascii="宋体"/>
                <w:vanish/>
              </w:rPr>
            </w:pPr>
          </w:p>
        </w:tc>
        <w:tc>
          <w:tcPr>
            <w:tcW w:w="0" w:type="auto"/>
            <w:gridSpan w:val="3"/>
            <w:shd w:val="clear" w:color="auto" w:fill="auto"/>
            <w:vAlign w:val="bottom"/>
          </w:tcPr>
          <w:p w14:paraId="71D489D3" w14:textId="77777777" w:rsidR="006A3667" w:rsidRDefault="006A3667">
            <w:pPr>
              <w:rPr>
                <w:rFonts w:ascii="宋体"/>
                <w:vanish/>
              </w:rPr>
            </w:pPr>
          </w:p>
        </w:tc>
        <w:tc>
          <w:tcPr>
            <w:tcW w:w="0" w:type="auto"/>
            <w:gridSpan w:val="3"/>
            <w:shd w:val="clear" w:color="auto" w:fill="auto"/>
            <w:vAlign w:val="bottom"/>
          </w:tcPr>
          <w:p w14:paraId="71D489D4" w14:textId="77777777" w:rsidR="006A3667" w:rsidRDefault="006A3667">
            <w:pPr>
              <w:rPr>
                <w:rFonts w:ascii="宋体"/>
                <w:vanish/>
              </w:rPr>
            </w:pPr>
          </w:p>
        </w:tc>
        <w:tc>
          <w:tcPr>
            <w:tcW w:w="0" w:type="auto"/>
            <w:gridSpan w:val="3"/>
            <w:shd w:val="clear" w:color="auto" w:fill="auto"/>
            <w:vAlign w:val="bottom"/>
          </w:tcPr>
          <w:p w14:paraId="71D489D5" w14:textId="77777777" w:rsidR="006A3667" w:rsidRDefault="006A3667">
            <w:pPr>
              <w:rPr>
                <w:rFonts w:ascii="宋体"/>
                <w:vanish/>
              </w:rPr>
            </w:pPr>
          </w:p>
        </w:tc>
        <w:tc>
          <w:tcPr>
            <w:tcW w:w="0" w:type="auto"/>
            <w:gridSpan w:val="3"/>
            <w:shd w:val="clear" w:color="auto" w:fill="auto"/>
            <w:vAlign w:val="bottom"/>
          </w:tcPr>
          <w:p w14:paraId="71D489D6" w14:textId="77777777" w:rsidR="006A3667" w:rsidRDefault="006A3667">
            <w:pPr>
              <w:rPr>
                <w:rFonts w:ascii="宋体"/>
                <w:vanish/>
              </w:rPr>
            </w:pPr>
          </w:p>
        </w:tc>
        <w:tc>
          <w:tcPr>
            <w:tcW w:w="0" w:type="auto"/>
            <w:gridSpan w:val="3"/>
            <w:shd w:val="clear" w:color="auto" w:fill="auto"/>
            <w:vAlign w:val="bottom"/>
          </w:tcPr>
          <w:p w14:paraId="71D489D7" w14:textId="77777777" w:rsidR="006A3667" w:rsidRDefault="006A3667">
            <w:pPr>
              <w:rPr>
                <w:rFonts w:ascii="宋体"/>
                <w:vanish/>
              </w:rPr>
            </w:pPr>
          </w:p>
        </w:tc>
        <w:tc>
          <w:tcPr>
            <w:tcW w:w="0" w:type="auto"/>
            <w:gridSpan w:val="3"/>
            <w:shd w:val="clear" w:color="auto" w:fill="auto"/>
            <w:vAlign w:val="bottom"/>
          </w:tcPr>
          <w:p w14:paraId="71D489D8" w14:textId="77777777" w:rsidR="006A3667" w:rsidRDefault="006A3667">
            <w:pPr>
              <w:rPr>
                <w:rFonts w:ascii="宋体"/>
                <w:vanish/>
              </w:rPr>
            </w:pPr>
          </w:p>
        </w:tc>
        <w:tc>
          <w:tcPr>
            <w:tcW w:w="0" w:type="auto"/>
            <w:gridSpan w:val="3"/>
            <w:shd w:val="clear" w:color="auto" w:fill="auto"/>
            <w:vAlign w:val="bottom"/>
          </w:tcPr>
          <w:p w14:paraId="71D489D9" w14:textId="77777777" w:rsidR="006A3667" w:rsidRDefault="006A3667">
            <w:pPr>
              <w:rPr>
                <w:rFonts w:ascii="宋体"/>
                <w:vanish/>
              </w:rPr>
            </w:pPr>
          </w:p>
        </w:tc>
        <w:tc>
          <w:tcPr>
            <w:tcW w:w="0" w:type="auto"/>
            <w:gridSpan w:val="3"/>
            <w:shd w:val="clear" w:color="auto" w:fill="auto"/>
            <w:vAlign w:val="bottom"/>
          </w:tcPr>
          <w:p w14:paraId="71D489DA" w14:textId="77777777" w:rsidR="006A3667" w:rsidRDefault="006A3667">
            <w:pPr>
              <w:rPr>
                <w:rFonts w:ascii="宋体"/>
                <w:vanish/>
              </w:rPr>
            </w:pPr>
          </w:p>
        </w:tc>
        <w:tc>
          <w:tcPr>
            <w:tcW w:w="0" w:type="auto"/>
            <w:gridSpan w:val="3"/>
            <w:shd w:val="clear" w:color="auto" w:fill="auto"/>
            <w:vAlign w:val="bottom"/>
          </w:tcPr>
          <w:p w14:paraId="71D489DB" w14:textId="77777777" w:rsidR="006A3667" w:rsidRDefault="006A3667">
            <w:pPr>
              <w:rPr>
                <w:rFonts w:ascii="宋体"/>
                <w:vanish/>
              </w:rPr>
            </w:pPr>
          </w:p>
        </w:tc>
        <w:tc>
          <w:tcPr>
            <w:tcW w:w="0" w:type="auto"/>
            <w:gridSpan w:val="3"/>
            <w:shd w:val="clear" w:color="auto" w:fill="auto"/>
            <w:vAlign w:val="bottom"/>
          </w:tcPr>
          <w:p w14:paraId="71D489DC" w14:textId="77777777" w:rsidR="006A3667" w:rsidRDefault="006A3667">
            <w:pPr>
              <w:rPr>
                <w:rFonts w:ascii="宋体"/>
                <w:vanish/>
              </w:rPr>
            </w:pPr>
          </w:p>
        </w:tc>
        <w:tc>
          <w:tcPr>
            <w:tcW w:w="0" w:type="auto"/>
            <w:gridSpan w:val="3"/>
            <w:shd w:val="clear" w:color="auto" w:fill="auto"/>
            <w:vAlign w:val="bottom"/>
          </w:tcPr>
          <w:p w14:paraId="71D489DD" w14:textId="77777777" w:rsidR="006A3667" w:rsidRDefault="006A3667">
            <w:pPr>
              <w:rPr>
                <w:rFonts w:ascii="宋体"/>
                <w:vanish/>
              </w:rPr>
            </w:pPr>
          </w:p>
        </w:tc>
      </w:tr>
      <w:tr w:rsidR="006A3667" w14:paraId="71D489ED" w14:textId="77777777">
        <w:trPr>
          <w:hidden/>
        </w:trPr>
        <w:tc>
          <w:tcPr>
            <w:tcW w:w="0" w:type="auto"/>
            <w:gridSpan w:val="3"/>
            <w:shd w:val="clear" w:color="auto" w:fill="auto"/>
            <w:vAlign w:val="bottom"/>
          </w:tcPr>
          <w:p w14:paraId="71D489DF" w14:textId="77777777" w:rsidR="006A3667" w:rsidRDefault="006A3667">
            <w:pPr>
              <w:rPr>
                <w:rFonts w:ascii="宋体"/>
                <w:vanish/>
              </w:rPr>
            </w:pPr>
          </w:p>
        </w:tc>
        <w:tc>
          <w:tcPr>
            <w:tcW w:w="0" w:type="auto"/>
            <w:gridSpan w:val="3"/>
            <w:shd w:val="clear" w:color="auto" w:fill="auto"/>
            <w:vAlign w:val="bottom"/>
          </w:tcPr>
          <w:p w14:paraId="71D489E0" w14:textId="77777777" w:rsidR="006A3667" w:rsidRDefault="006A3667">
            <w:pPr>
              <w:rPr>
                <w:rFonts w:ascii="宋体"/>
                <w:vanish/>
              </w:rPr>
            </w:pPr>
          </w:p>
        </w:tc>
        <w:tc>
          <w:tcPr>
            <w:tcW w:w="0" w:type="auto"/>
            <w:gridSpan w:val="3"/>
            <w:shd w:val="clear" w:color="auto" w:fill="auto"/>
            <w:vAlign w:val="bottom"/>
          </w:tcPr>
          <w:p w14:paraId="71D489E1" w14:textId="77777777" w:rsidR="006A3667" w:rsidRDefault="006A3667">
            <w:pPr>
              <w:rPr>
                <w:rFonts w:ascii="宋体"/>
                <w:vanish/>
              </w:rPr>
            </w:pPr>
          </w:p>
        </w:tc>
        <w:tc>
          <w:tcPr>
            <w:tcW w:w="0" w:type="auto"/>
            <w:gridSpan w:val="3"/>
            <w:shd w:val="clear" w:color="auto" w:fill="auto"/>
            <w:vAlign w:val="bottom"/>
          </w:tcPr>
          <w:p w14:paraId="71D489E2" w14:textId="77777777" w:rsidR="006A3667" w:rsidRDefault="006A3667">
            <w:pPr>
              <w:rPr>
                <w:rFonts w:ascii="宋体"/>
                <w:vanish/>
              </w:rPr>
            </w:pPr>
          </w:p>
        </w:tc>
        <w:tc>
          <w:tcPr>
            <w:tcW w:w="0" w:type="auto"/>
            <w:gridSpan w:val="3"/>
            <w:shd w:val="clear" w:color="auto" w:fill="auto"/>
            <w:vAlign w:val="bottom"/>
          </w:tcPr>
          <w:p w14:paraId="71D489E3" w14:textId="77777777" w:rsidR="006A3667" w:rsidRDefault="006A3667">
            <w:pPr>
              <w:rPr>
                <w:rFonts w:ascii="宋体"/>
                <w:vanish/>
              </w:rPr>
            </w:pPr>
          </w:p>
        </w:tc>
        <w:tc>
          <w:tcPr>
            <w:tcW w:w="0" w:type="auto"/>
            <w:gridSpan w:val="3"/>
            <w:shd w:val="clear" w:color="auto" w:fill="auto"/>
            <w:vAlign w:val="bottom"/>
          </w:tcPr>
          <w:p w14:paraId="71D489E4" w14:textId="77777777" w:rsidR="006A3667" w:rsidRDefault="006A3667">
            <w:pPr>
              <w:rPr>
                <w:rFonts w:ascii="宋体"/>
                <w:vanish/>
              </w:rPr>
            </w:pPr>
          </w:p>
        </w:tc>
        <w:tc>
          <w:tcPr>
            <w:tcW w:w="0" w:type="auto"/>
            <w:gridSpan w:val="3"/>
            <w:shd w:val="clear" w:color="auto" w:fill="auto"/>
            <w:vAlign w:val="bottom"/>
          </w:tcPr>
          <w:p w14:paraId="71D489E5" w14:textId="77777777" w:rsidR="006A3667" w:rsidRDefault="006A3667">
            <w:pPr>
              <w:rPr>
                <w:rFonts w:ascii="宋体"/>
                <w:vanish/>
              </w:rPr>
            </w:pPr>
          </w:p>
        </w:tc>
        <w:tc>
          <w:tcPr>
            <w:tcW w:w="0" w:type="auto"/>
            <w:gridSpan w:val="3"/>
            <w:shd w:val="clear" w:color="auto" w:fill="auto"/>
            <w:vAlign w:val="bottom"/>
          </w:tcPr>
          <w:p w14:paraId="71D489E6" w14:textId="77777777" w:rsidR="006A3667" w:rsidRDefault="006A3667">
            <w:pPr>
              <w:rPr>
                <w:rFonts w:ascii="宋体"/>
                <w:vanish/>
              </w:rPr>
            </w:pPr>
          </w:p>
        </w:tc>
        <w:tc>
          <w:tcPr>
            <w:tcW w:w="0" w:type="auto"/>
            <w:gridSpan w:val="3"/>
            <w:shd w:val="clear" w:color="auto" w:fill="auto"/>
            <w:vAlign w:val="bottom"/>
          </w:tcPr>
          <w:p w14:paraId="71D489E7" w14:textId="77777777" w:rsidR="006A3667" w:rsidRDefault="006A3667">
            <w:pPr>
              <w:rPr>
                <w:rFonts w:ascii="宋体"/>
                <w:vanish/>
              </w:rPr>
            </w:pPr>
          </w:p>
        </w:tc>
        <w:tc>
          <w:tcPr>
            <w:tcW w:w="0" w:type="auto"/>
            <w:gridSpan w:val="3"/>
            <w:shd w:val="clear" w:color="auto" w:fill="auto"/>
            <w:vAlign w:val="bottom"/>
          </w:tcPr>
          <w:p w14:paraId="71D489E8" w14:textId="77777777" w:rsidR="006A3667" w:rsidRDefault="006A3667">
            <w:pPr>
              <w:rPr>
                <w:rFonts w:ascii="宋体"/>
                <w:vanish/>
              </w:rPr>
            </w:pPr>
          </w:p>
        </w:tc>
        <w:tc>
          <w:tcPr>
            <w:tcW w:w="0" w:type="auto"/>
            <w:gridSpan w:val="3"/>
            <w:shd w:val="clear" w:color="auto" w:fill="auto"/>
            <w:vAlign w:val="bottom"/>
          </w:tcPr>
          <w:p w14:paraId="71D489E9" w14:textId="77777777" w:rsidR="006A3667" w:rsidRDefault="006A3667">
            <w:pPr>
              <w:rPr>
                <w:rFonts w:ascii="宋体"/>
                <w:vanish/>
              </w:rPr>
            </w:pPr>
          </w:p>
        </w:tc>
        <w:tc>
          <w:tcPr>
            <w:tcW w:w="0" w:type="auto"/>
            <w:gridSpan w:val="3"/>
            <w:shd w:val="clear" w:color="auto" w:fill="auto"/>
            <w:vAlign w:val="bottom"/>
          </w:tcPr>
          <w:p w14:paraId="71D489EA" w14:textId="77777777" w:rsidR="006A3667" w:rsidRDefault="006A3667">
            <w:pPr>
              <w:rPr>
                <w:rFonts w:ascii="宋体"/>
                <w:vanish/>
              </w:rPr>
            </w:pPr>
          </w:p>
        </w:tc>
        <w:tc>
          <w:tcPr>
            <w:tcW w:w="0" w:type="auto"/>
            <w:gridSpan w:val="3"/>
            <w:shd w:val="clear" w:color="auto" w:fill="auto"/>
            <w:vAlign w:val="bottom"/>
          </w:tcPr>
          <w:p w14:paraId="71D489EB" w14:textId="77777777" w:rsidR="006A3667" w:rsidRDefault="006A3667">
            <w:pPr>
              <w:rPr>
                <w:rFonts w:ascii="宋体"/>
                <w:vanish/>
              </w:rPr>
            </w:pPr>
          </w:p>
        </w:tc>
        <w:tc>
          <w:tcPr>
            <w:tcW w:w="0" w:type="auto"/>
            <w:gridSpan w:val="3"/>
            <w:shd w:val="clear" w:color="auto" w:fill="auto"/>
            <w:vAlign w:val="bottom"/>
          </w:tcPr>
          <w:p w14:paraId="71D489EC" w14:textId="77777777" w:rsidR="006A3667" w:rsidRDefault="006A3667">
            <w:pPr>
              <w:rPr>
                <w:rFonts w:ascii="宋体"/>
                <w:vanish/>
              </w:rPr>
            </w:pPr>
          </w:p>
        </w:tc>
      </w:tr>
      <w:tr w:rsidR="006A3667" w14:paraId="71D48A0A" w14:textId="77777777">
        <w:tc>
          <w:tcPr>
            <w:tcW w:w="0" w:type="auto"/>
            <w:gridSpan w:val="3"/>
            <w:shd w:val="clear" w:color="auto" w:fill="CCEEFF"/>
            <w:tcMar>
              <w:top w:w="40" w:type="dxa"/>
              <w:left w:w="20" w:type="dxa"/>
              <w:bottom w:w="40" w:type="dxa"/>
              <w:right w:w="20" w:type="dxa"/>
            </w:tcMar>
            <w:vAlign w:val="bottom"/>
          </w:tcPr>
          <w:p w14:paraId="71D489EE" w14:textId="77777777" w:rsidR="006A3667" w:rsidRDefault="00045F32">
            <w:pPr>
              <w:textAlignment w:val="bottom"/>
            </w:pPr>
            <w:r>
              <w:rPr>
                <w:rFonts w:ascii="Arial" w:eastAsia="宋体" w:hAnsi="Arial" w:cs="Arial"/>
                <w:b/>
                <w:bCs/>
                <w:color w:val="000000"/>
                <w:sz w:val="13"/>
                <w:szCs w:val="13"/>
              </w:rPr>
              <w:t>Balance as of December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89E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9F0" w14:textId="77777777" w:rsidR="006A3667" w:rsidRDefault="00045F32">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9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9F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9F3"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9F4" w14:textId="77777777" w:rsidR="006A3667" w:rsidRDefault="00045F32">
            <w:pPr>
              <w:jc w:val="right"/>
              <w:textAlignment w:val="bottom"/>
            </w:pPr>
            <w:r>
              <w:rPr>
                <w:rFonts w:ascii="Arial" w:eastAsia="宋体" w:hAnsi="Arial" w:cs="Arial"/>
                <w:color w:val="000000"/>
                <w:sz w:val="13"/>
                <w:szCs w:val="13"/>
              </w:rPr>
              <w:t>(48)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9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9F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9F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9F8" w14:textId="77777777" w:rsidR="006A3667" w:rsidRDefault="00045F32">
            <w:pPr>
              <w:jc w:val="right"/>
              <w:textAlignment w:val="bottom"/>
            </w:pPr>
            <w:r>
              <w:rPr>
                <w:rFonts w:ascii="Arial" w:eastAsia="宋体" w:hAnsi="Arial" w:cs="Arial"/>
                <w:color w:val="000000"/>
                <w:sz w:val="13"/>
                <w:szCs w:val="13"/>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9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9F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9F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9FC" w14:textId="77777777" w:rsidR="006A3667" w:rsidRDefault="00045F32">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9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9F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9F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00" w14:textId="77777777" w:rsidR="006A3667" w:rsidRDefault="00045F32">
            <w:pPr>
              <w:jc w:val="right"/>
              <w:textAlignment w:val="bottom"/>
            </w:pPr>
            <w:r>
              <w:rPr>
                <w:rFonts w:ascii="Arial" w:eastAsia="宋体" w:hAnsi="Arial" w:cs="Arial"/>
                <w:color w:val="000000"/>
                <w:sz w:val="13"/>
                <w:szCs w:val="13"/>
              </w:rPr>
              <w:t>(130)</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0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A03"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04" w14:textId="77777777" w:rsidR="006A3667" w:rsidRDefault="00045F32">
            <w:pPr>
              <w:jc w:val="right"/>
              <w:textAlignment w:val="bottom"/>
            </w:pPr>
            <w:r>
              <w:rPr>
                <w:rFonts w:ascii="Arial" w:eastAsia="宋体" w:hAnsi="Arial" w:cs="Arial"/>
                <w:color w:val="000000"/>
                <w:sz w:val="13"/>
                <w:szCs w:val="13"/>
              </w:rPr>
              <w:t>(1,019)</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0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A0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08" w14:textId="77777777" w:rsidR="006A3667" w:rsidRDefault="00045F32">
            <w:pPr>
              <w:jc w:val="right"/>
              <w:textAlignment w:val="bottom"/>
            </w:pPr>
            <w:r>
              <w:rPr>
                <w:rFonts w:ascii="Arial" w:eastAsia="宋体" w:hAnsi="Arial" w:cs="Arial"/>
                <w:color w:val="000000"/>
                <w:sz w:val="13"/>
                <w:szCs w:val="13"/>
              </w:rPr>
              <w:t>(1,133)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09" w14:textId="77777777" w:rsidR="006A3667" w:rsidRDefault="006A3667">
            <w:pPr>
              <w:jc w:val="right"/>
              <w:rPr>
                <w:rFonts w:ascii="宋体"/>
              </w:rPr>
            </w:pPr>
          </w:p>
        </w:tc>
      </w:tr>
      <w:tr w:rsidR="006A3667" w14:paraId="71D48A20" w14:textId="77777777">
        <w:tc>
          <w:tcPr>
            <w:tcW w:w="0" w:type="auto"/>
            <w:gridSpan w:val="3"/>
            <w:shd w:val="clear" w:color="auto" w:fill="FFFFFF"/>
            <w:tcMar>
              <w:top w:w="40" w:type="dxa"/>
              <w:left w:w="20" w:type="dxa"/>
              <w:bottom w:w="40" w:type="dxa"/>
              <w:right w:w="20" w:type="dxa"/>
            </w:tcMar>
            <w:vAlign w:val="bottom"/>
          </w:tcPr>
          <w:p w14:paraId="71D48A0B" w14:textId="77777777" w:rsidR="006A3667" w:rsidRDefault="00045F32">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71D48A0C" w14:textId="77777777" w:rsidR="006A3667" w:rsidRDefault="00045F32">
            <w:pPr>
              <w:jc w:val="right"/>
              <w:textAlignment w:val="bottom"/>
            </w:pPr>
            <w:r>
              <w:rPr>
                <w:rFonts w:ascii="Arial" w:eastAsia="宋体" w:hAnsi="Arial" w:cs="Arial"/>
                <w:b/>
                <w:bCs/>
                <w:color w:val="000000"/>
                <w:sz w:val="13"/>
                <w:szCs w:val="13"/>
              </w:rPr>
              <w:t>(344)</w:t>
            </w:r>
          </w:p>
        </w:tc>
        <w:tc>
          <w:tcPr>
            <w:tcW w:w="0" w:type="auto"/>
            <w:shd w:val="clear" w:color="auto" w:fill="FFFFFF"/>
            <w:tcMar>
              <w:top w:w="40" w:type="dxa"/>
              <w:left w:w="0" w:type="dxa"/>
              <w:bottom w:w="40" w:type="dxa"/>
              <w:right w:w="20" w:type="dxa"/>
            </w:tcMar>
            <w:vAlign w:val="bottom"/>
          </w:tcPr>
          <w:p w14:paraId="71D48A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0F" w14:textId="77777777" w:rsidR="006A3667" w:rsidRDefault="00045F32">
            <w:pPr>
              <w:jc w:val="right"/>
              <w:textAlignment w:val="bottom"/>
            </w:pPr>
            <w:r>
              <w:rPr>
                <w:rFonts w:ascii="Arial" w:eastAsia="宋体" w:hAnsi="Arial" w:cs="Arial"/>
                <w:b/>
                <w:bCs/>
                <w:color w:val="000000"/>
                <w:sz w:val="13"/>
                <w:szCs w:val="13"/>
              </w:rPr>
              <w:t>(1,957)</w:t>
            </w:r>
          </w:p>
        </w:tc>
        <w:tc>
          <w:tcPr>
            <w:tcW w:w="0" w:type="auto"/>
            <w:shd w:val="clear" w:color="auto" w:fill="FFFFFF"/>
            <w:tcMar>
              <w:top w:w="40" w:type="dxa"/>
              <w:left w:w="0" w:type="dxa"/>
              <w:bottom w:w="40" w:type="dxa"/>
              <w:right w:w="20" w:type="dxa"/>
            </w:tcMar>
            <w:vAlign w:val="bottom"/>
          </w:tcPr>
          <w:p w14:paraId="71D48A1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1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12" w14:textId="77777777" w:rsidR="006A3667" w:rsidRDefault="00045F32">
            <w:pPr>
              <w:jc w:val="right"/>
              <w:textAlignment w:val="bottom"/>
            </w:pPr>
            <w:r>
              <w:rPr>
                <w:rFonts w:ascii="Arial" w:eastAsia="宋体" w:hAnsi="Arial" w:cs="Arial"/>
                <w:b/>
                <w:bCs/>
                <w:color w:val="000000"/>
                <w:sz w:val="13"/>
                <w:szCs w:val="13"/>
              </w:rPr>
              <w:t>723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8A1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1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15"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8A1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1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18" w14:textId="77777777" w:rsidR="006A3667" w:rsidRDefault="00045F32">
            <w:pPr>
              <w:jc w:val="right"/>
              <w:textAlignment w:val="bottom"/>
            </w:pPr>
            <w:r>
              <w:rPr>
                <w:rFonts w:ascii="Arial" w:eastAsia="宋体" w:hAnsi="Arial" w:cs="Arial"/>
                <w:b/>
                <w:bCs/>
                <w:color w:val="000000"/>
                <w:sz w:val="13"/>
                <w:szCs w:val="13"/>
              </w:rPr>
              <w:t>(1)</w:t>
            </w:r>
          </w:p>
        </w:tc>
        <w:tc>
          <w:tcPr>
            <w:tcW w:w="0" w:type="auto"/>
            <w:shd w:val="clear" w:color="auto" w:fill="FFFFFF"/>
            <w:tcMar>
              <w:top w:w="40" w:type="dxa"/>
              <w:left w:w="0" w:type="dxa"/>
              <w:bottom w:w="40" w:type="dxa"/>
              <w:right w:w="20" w:type="dxa"/>
            </w:tcMar>
            <w:vAlign w:val="bottom"/>
          </w:tcPr>
          <w:p w14:paraId="71D48A1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1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1B" w14:textId="77777777" w:rsidR="006A3667" w:rsidRDefault="00045F32">
            <w:pPr>
              <w:jc w:val="right"/>
              <w:textAlignment w:val="bottom"/>
            </w:pPr>
            <w:r>
              <w:rPr>
                <w:rFonts w:ascii="Arial" w:eastAsia="宋体" w:hAnsi="Arial" w:cs="Arial"/>
                <w:b/>
                <w:bCs/>
                <w:color w:val="000000"/>
                <w:sz w:val="13"/>
                <w:szCs w:val="13"/>
              </w:rPr>
              <w:t>(1,569)</w:t>
            </w:r>
          </w:p>
        </w:tc>
        <w:tc>
          <w:tcPr>
            <w:tcW w:w="0" w:type="auto"/>
            <w:shd w:val="clear" w:color="auto" w:fill="FFFFFF"/>
            <w:tcMar>
              <w:top w:w="40" w:type="dxa"/>
              <w:left w:w="0" w:type="dxa"/>
              <w:bottom w:w="40" w:type="dxa"/>
              <w:right w:w="20" w:type="dxa"/>
            </w:tcMar>
            <w:vAlign w:val="bottom"/>
          </w:tcPr>
          <w:p w14:paraId="71D48A1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1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1E" w14:textId="77777777" w:rsidR="006A3667" w:rsidRDefault="00045F32">
            <w:pPr>
              <w:jc w:val="right"/>
              <w:textAlignment w:val="bottom"/>
            </w:pPr>
            <w:r>
              <w:rPr>
                <w:rFonts w:ascii="Arial" w:eastAsia="宋体" w:hAnsi="Arial" w:cs="Arial"/>
                <w:b/>
                <w:bCs/>
                <w:color w:val="000000"/>
                <w:sz w:val="13"/>
                <w:szCs w:val="13"/>
              </w:rPr>
              <w:t>(3,148)</w:t>
            </w:r>
          </w:p>
        </w:tc>
        <w:tc>
          <w:tcPr>
            <w:tcW w:w="0" w:type="auto"/>
            <w:shd w:val="clear" w:color="auto" w:fill="FFFFFF"/>
            <w:tcMar>
              <w:top w:w="40" w:type="dxa"/>
              <w:left w:w="0" w:type="dxa"/>
              <w:bottom w:w="40" w:type="dxa"/>
              <w:right w:w="20" w:type="dxa"/>
            </w:tcMar>
            <w:vAlign w:val="bottom"/>
          </w:tcPr>
          <w:p w14:paraId="71D48A1F" w14:textId="77777777" w:rsidR="006A3667" w:rsidRDefault="006A3667">
            <w:pPr>
              <w:jc w:val="right"/>
              <w:rPr>
                <w:rFonts w:ascii="宋体"/>
              </w:rPr>
            </w:pPr>
          </w:p>
        </w:tc>
      </w:tr>
      <w:tr w:rsidR="006A3667" w14:paraId="71D48A2F" w14:textId="77777777">
        <w:trPr>
          <w:hidden/>
        </w:trPr>
        <w:tc>
          <w:tcPr>
            <w:tcW w:w="0" w:type="auto"/>
            <w:gridSpan w:val="3"/>
            <w:shd w:val="clear" w:color="auto" w:fill="auto"/>
            <w:vAlign w:val="bottom"/>
          </w:tcPr>
          <w:p w14:paraId="71D48A21" w14:textId="77777777" w:rsidR="006A3667" w:rsidRDefault="006A3667">
            <w:pPr>
              <w:rPr>
                <w:rFonts w:ascii="宋体"/>
                <w:vanish/>
              </w:rPr>
            </w:pPr>
          </w:p>
        </w:tc>
        <w:tc>
          <w:tcPr>
            <w:tcW w:w="0" w:type="auto"/>
            <w:gridSpan w:val="3"/>
            <w:shd w:val="clear" w:color="auto" w:fill="auto"/>
            <w:vAlign w:val="bottom"/>
          </w:tcPr>
          <w:p w14:paraId="71D48A22" w14:textId="77777777" w:rsidR="006A3667" w:rsidRDefault="006A3667">
            <w:pPr>
              <w:rPr>
                <w:rFonts w:ascii="宋体"/>
                <w:vanish/>
              </w:rPr>
            </w:pPr>
          </w:p>
        </w:tc>
        <w:tc>
          <w:tcPr>
            <w:tcW w:w="0" w:type="auto"/>
            <w:gridSpan w:val="3"/>
            <w:shd w:val="clear" w:color="auto" w:fill="auto"/>
            <w:vAlign w:val="bottom"/>
          </w:tcPr>
          <w:p w14:paraId="71D48A23" w14:textId="77777777" w:rsidR="006A3667" w:rsidRDefault="006A3667">
            <w:pPr>
              <w:rPr>
                <w:rFonts w:ascii="宋体"/>
                <w:vanish/>
              </w:rPr>
            </w:pPr>
          </w:p>
        </w:tc>
        <w:tc>
          <w:tcPr>
            <w:tcW w:w="0" w:type="auto"/>
            <w:gridSpan w:val="3"/>
            <w:shd w:val="clear" w:color="auto" w:fill="auto"/>
            <w:vAlign w:val="bottom"/>
          </w:tcPr>
          <w:p w14:paraId="71D48A24" w14:textId="77777777" w:rsidR="006A3667" w:rsidRDefault="006A3667">
            <w:pPr>
              <w:rPr>
                <w:rFonts w:ascii="宋体"/>
                <w:vanish/>
              </w:rPr>
            </w:pPr>
          </w:p>
        </w:tc>
        <w:tc>
          <w:tcPr>
            <w:tcW w:w="0" w:type="auto"/>
            <w:gridSpan w:val="3"/>
            <w:shd w:val="clear" w:color="auto" w:fill="auto"/>
            <w:vAlign w:val="bottom"/>
          </w:tcPr>
          <w:p w14:paraId="71D48A25" w14:textId="77777777" w:rsidR="006A3667" w:rsidRDefault="006A3667">
            <w:pPr>
              <w:rPr>
                <w:rFonts w:ascii="宋体"/>
                <w:vanish/>
              </w:rPr>
            </w:pPr>
          </w:p>
        </w:tc>
        <w:tc>
          <w:tcPr>
            <w:tcW w:w="0" w:type="auto"/>
            <w:gridSpan w:val="3"/>
            <w:shd w:val="clear" w:color="auto" w:fill="auto"/>
            <w:vAlign w:val="bottom"/>
          </w:tcPr>
          <w:p w14:paraId="71D48A26" w14:textId="77777777" w:rsidR="006A3667" w:rsidRDefault="006A3667">
            <w:pPr>
              <w:rPr>
                <w:rFonts w:ascii="宋体"/>
                <w:vanish/>
              </w:rPr>
            </w:pPr>
          </w:p>
        </w:tc>
        <w:tc>
          <w:tcPr>
            <w:tcW w:w="0" w:type="auto"/>
            <w:gridSpan w:val="3"/>
            <w:shd w:val="clear" w:color="auto" w:fill="auto"/>
            <w:vAlign w:val="bottom"/>
          </w:tcPr>
          <w:p w14:paraId="71D48A27" w14:textId="77777777" w:rsidR="006A3667" w:rsidRDefault="006A3667">
            <w:pPr>
              <w:rPr>
                <w:rFonts w:ascii="宋体"/>
                <w:vanish/>
              </w:rPr>
            </w:pPr>
          </w:p>
        </w:tc>
        <w:tc>
          <w:tcPr>
            <w:tcW w:w="0" w:type="auto"/>
            <w:gridSpan w:val="3"/>
            <w:shd w:val="clear" w:color="auto" w:fill="auto"/>
            <w:vAlign w:val="bottom"/>
          </w:tcPr>
          <w:p w14:paraId="71D48A28" w14:textId="77777777" w:rsidR="006A3667" w:rsidRDefault="006A3667">
            <w:pPr>
              <w:rPr>
                <w:rFonts w:ascii="宋体"/>
                <w:vanish/>
              </w:rPr>
            </w:pPr>
          </w:p>
        </w:tc>
        <w:tc>
          <w:tcPr>
            <w:tcW w:w="0" w:type="auto"/>
            <w:gridSpan w:val="3"/>
            <w:shd w:val="clear" w:color="auto" w:fill="auto"/>
            <w:vAlign w:val="bottom"/>
          </w:tcPr>
          <w:p w14:paraId="71D48A29" w14:textId="77777777" w:rsidR="006A3667" w:rsidRDefault="006A3667">
            <w:pPr>
              <w:rPr>
                <w:rFonts w:ascii="宋体"/>
                <w:vanish/>
              </w:rPr>
            </w:pPr>
          </w:p>
        </w:tc>
        <w:tc>
          <w:tcPr>
            <w:tcW w:w="0" w:type="auto"/>
            <w:gridSpan w:val="3"/>
            <w:shd w:val="clear" w:color="auto" w:fill="auto"/>
            <w:vAlign w:val="bottom"/>
          </w:tcPr>
          <w:p w14:paraId="71D48A2A" w14:textId="77777777" w:rsidR="006A3667" w:rsidRDefault="006A3667">
            <w:pPr>
              <w:rPr>
                <w:rFonts w:ascii="宋体"/>
                <w:vanish/>
              </w:rPr>
            </w:pPr>
          </w:p>
        </w:tc>
        <w:tc>
          <w:tcPr>
            <w:tcW w:w="0" w:type="auto"/>
            <w:gridSpan w:val="3"/>
            <w:shd w:val="clear" w:color="auto" w:fill="auto"/>
            <w:vAlign w:val="bottom"/>
          </w:tcPr>
          <w:p w14:paraId="71D48A2B" w14:textId="77777777" w:rsidR="006A3667" w:rsidRDefault="006A3667">
            <w:pPr>
              <w:rPr>
                <w:rFonts w:ascii="宋体"/>
                <w:vanish/>
              </w:rPr>
            </w:pPr>
          </w:p>
        </w:tc>
        <w:tc>
          <w:tcPr>
            <w:tcW w:w="0" w:type="auto"/>
            <w:gridSpan w:val="3"/>
            <w:shd w:val="clear" w:color="auto" w:fill="auto"/>
            <w:vAlign w:val="bottom"/>
          </w:tcPr>
          <w:p w14:paraId="71D48A2C" w14:textId="77777777" w:rsidR="006A3667" w:rsidRDefault="006A3667">
            <w:pPr>
              <w:rPr>
                <w:rFonts w:ascii="宋体"/>
                <w:vanish/>
              </w:rPr>
            </w:pPr>
          </w:p>
        </w:tc>
        <w:tc>
          <w:tcPr>
            <w:tcW w:w="0" w:type="auto"/>
            <w:gridSpan w:val="3"/>
            <w:shd w:val="clear" w:color="auto" w:fill="auto"/>
            <w:vAlign w:val="bottom"/>
          </w:tcPr>
          <w:p w14:paraId="71D48A2D" w14:textId="77777777" w:rsidR="006A3667" w:rsidRDefault="006A3667">
            <w:pPr>
              <w:rPr>
                <w:rFonts w:ascii="宋体"/>
                <w:vanish/>
              </w:rPr>
            </w:pPr>
          </w:p>
        </w:tc>
        <w:tc>
          <w:tcPr>
            <w:tcW w:w="0" w:type="auto"/>
            <w:gridSpan w:val="3"/>
            <w:shd w:val="clear" w:color="auto" w:fill="auto"/>
            <w:vAlign w:val="bottom"/>
          </w:tcPr>
          <w:p w14:paraId="71D48A2E" w14:textId="77777777" w:rsidR="006A3667" w:rsidRDefault="006A3667">
            <w:pPr>
              <w:rPr>
                <w:rFonts w:ascii="宋体"/>
                <w:vanish/>
              </w:rPr>
            </w:pPr>
          </w:p>
        </w:tc>
      </w:tr>
      <w:tr w:rsidR="006A3667" w14:paraId="71D48A45" w14:textId="77777777">
        <w:tc>
          <w:tcPr>
            <w:tcW w:w="0" w:type="auto"/>
            <w:gridSpan w:val="3"/>
            <w:shd w:val="clear" w:color="auto" w:fill="CCEEFF"/>
            <w:tcMar>
              <w:top w:w="40" w:type="dxa"/>
              <w:left w:w="20" w:type="dxa"/>
              <w:bottom w:w="40" w:type="dxa"/>
              <w:right w:w="20" w:type="dxa"/>
            </w:tcMar>
            <w:vAlign w:val="bottom"/>
          </w:tcPr>
          <w:p w14:paraId="71D48A30" w14:textId="77777777" w:rsidR="006A3667" w:rsidRDefault="00045F32">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71D48A31" w14:textId="77777777" w:rsidR="006A3667" w:rsidRDefault="00045F32">
            <w:pPr>
              <w:jc w:val="right"/>
              <w:textAlignment w:val="bottom"/>
            </w:pPr>
            <w:r>
              <w:rPr>
                <w:rFonts w:ascii="Arial" w:eastAsia="宋体" w:hAnsi="Arial" w:cs="Arial"/>
                <w:b/>
                <w:bCs/>
                <w:color w:val="000000"/>
                <w:sz w:val="13"/>
                <w:szCs w:val="13"/>
              </w:rPr>
              <w:t>(6)</w:t>
            </w:r>
          </w:p>
        </w:tc>
        <w:tc>
          <w:tcPr>
            <w:tcW w:w="0" w:type="auto"/>
            <w:shd w:val="clear" w:color="auto" w:fill="CCEEFF"/>
            <w:tcMar>
              <w:top w:w="40" w:type="dxa"/>
              <w:left w:w="0" w:type="dxa"/>
              <w:bottom w:w="40" w:type="dxa"/>
              <w:right w:w="20" w:type="dxa"/>
            </w:tcMar>
            <w:vAlign w:val="bottom"/>
          </w:tcPr>
          <w:p w14:paraId="71D48A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3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A34"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A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3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A37"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A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3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A3A"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A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A3D" w14:textId="77777777" w:rsidR="006A3667" w:rsidRDefault="00045F32">
            <w:pPr>
              <w:jc w:val="right"/>
              <w:textAlignment w:val="bottom"/>
            </w:pPr>
            <w:r>
              <w:rPr>
                <w:rFonts w:ascii="Arial" w:eastAsia="宋体" w:hAnsi="Arial" w:cs="Arial"/>
                <w:b/>
                <w:bCs/>
                <w:color w:val="000000"/>
                <w:sz w:val="13"/>
                <w:szCs w:val="13"/>
              </w:rPr>
              <w:t>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A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3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A40"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A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4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A43" w14:textId="77777777" w:rsidR="006A3667" w:rsidRDefault="00045F32">
            <w:pPr>
              <w:jc w:val="right"/>
              <w:textAlignment w:val="bottom"/>
            </w:pPr>
            <w:r>
              <w:rPr>
                <w:rFonts w:ascii="Arial" w:eastAsia="宋体" w:hAnsi="Arial" w:cs="Arial"/>
                <w:b/>
                <w:bCs/>
                <w:color w:val="000000"/>
                <w:sz w:val="13"/>
                <w:szCs w:val="13"/>
              </w:rPr>
              <w:t>13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A44" w14:textId="77777777" w:rsidR="006A3667" w:rsidRDefault="006A3667">
            <w:pPr>
              <w:jc w:val="right"/>
              <w:rPr>
                <w:rFonts w:ascii="宋体"/>
              </w:rPr>
            </w:pPr>
          </w:p>
        </w:tc>
      </w:tr>
      <w:tr w:rsidR="006A3667" w14:paraId="71D48A5B" w14:textId="77777777">
        <w:tc>
          <w:tcPr>
            <w:tcW w:w="0" w:type="auto"/>
            <w:gridSpan w:val="3"/>
            <w:shd w:val="clear" w:color="auto" w:fill="FFFFFF"/>
            <w:tcMar>
              <w:top w:w="40" w:type="dxa"/>
              <w:left w:w="20" w:type="dxa"/>
              <w:bottom w:w="40" w:type="dxa"/>
              <w:right w:w="20" w:type="dxa"/>
            </w:tcMar>
            <w:vAlign w:val="bottom"/>
          </w:tcPr>
          <w:p w14:paraId="71D48A46" w14:textId="77777777" w:rsidR="006A3667" w:rsidRDefault="00045F32">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A47" w14:textId="77777777" w:rsidR="006A3667" w:rsidRDefault="00045F32">
            <w:pPr>
              <w:jc w:val="right"/>
              <w:textAlignment w:val="bottom"/>
            </w:pPr>
            <w:r>
              <w:rPr>
                <w:rFonts w:ascii="Arial" w:eastAsia="宋体" w:hAnsi="Arial" w:cs="Arial"/>
                <w:b/>
                <w:bCs/>
                <w:color w:val="000000"/>
                <w:sz w:val="13"/>
                <w:szCs w:val="13"/>
              </w:rPr>
              <w:t>(350)</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A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49"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A4A" w14:textId="77777777" w:rsidR="006A3667" w:rsidRDefault="00045F32">
            <w:pPr>
              <w:jc w:val="right"/>
              <w:textAlignment w:val="bottom"/>
            </w:pPr>
            <w:r>
              <w:rPr>
                <w:rFonts w:ascii="Arial" w:eastAsia="宋体" w:hAnsi="Arial" w:cs="Arial"/>
                <w:b/>
                <w:bCs/>
                <w:color w:val="000000"/>
                <w:sz w:val="13"/>
                <w:szCs w:val="13"/>
              </w:rPr>
              <w:t>(1,957)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A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4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A4D" w14:textId="77777777" w:rsidR="006A3667" w:rsidRDefault="00045F32">
            <w:pPr>
              <w:jc w:val="right"/>
              <w:textAlignment w:val="bottom"/>
            </w:pPr>
            <w:r>
              <w:rPr>
                <w:rFonts w:ascii="Arial" w:eastAsia="宋体" w:hAnsi="Arial" w:cs="Arial"/>
                <w:b/>
                <w:bCs/>
                <w:color w:val="000000"/>
                <w:sz w:val="13"/>
                <w:szCs w:val="13"/>
              </w:rPr>
              <w:t>723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A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4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A50" w14:textId="77777777" w:rsidR="006A3667" w:rsidRDefault="00045F32">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A5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5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A53" w14:textId="77777777" w:rsidR="006A3667" w:rsidRDefault="00045F32">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A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5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A56" w14:textId="77777777" w:rsidR="006A3667" w:rsidRDefault="00045F32">
            <w:pPr>
              <w:jc w:val="right"/>
              <w:textAlignment w:val="bottom"/>
            </w:pPr>
            <w:r>
              <w:rPr>
                <w:rFonts w:ascii="Arial" w:eastAsia="宋体" w:hAnsi="Arial" w:cs="Arial"/>
                <w:b/>
                <w:bCs/>
                <w:color w:val="000000"/>
                <w:sz w:val="13"/>
                <w:szCs w:val="13"/>
              </w:rPr>
              <w:t>(1,569)</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A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5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A59" w14:textId="77777777" w:rsidR="006A3667" w:rsidRDefault="00045F32">
            <w:pPr>
              <w:jc w:val="right"/>
              <w:textAlignment w:val="bottom"/>
            </w:pPr>
            <w:r>
              <w:rPr>
                <w:rFonts w:ascii="Arial" w:eastAsia="宋体" w:hAnsi="Arial" w:cs="Arial"/>
                <w:b/>
                <w:bCs/>
                <w:color w:val="000000"/>
                <w:sz w:val="13"/>
                <w:szCs w:val="13"/>
              </w:rPr>
              <w:t>(3,135)</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A5A" w14:textId="77777777" w:rsidR="006A3667" w:rsidRDefault="006A3667">
            <w:pPr>
              <w:jc w:val="right"/>
              <w:rPr>
                <w:rFonts w:ascii="宋体"/>
              </w:rPr>
            </w:pPr>
          </w:p>
        </w:tc>
      </w:tr>
      <w:tr w:rsidR="006A3667" w14:paraId="71D48A78" w14:textId="77777777">
        <w:tc>
          <w:tcPr>
            <w:tcW w:w="0" w:type="auto"/>
            <w:gridSpan w:val="3"/>
            <w:shd w:val="clear" w:color="auto" w:fill="CCEEFF"/>
            <w:tcMar>
              <w:top w:w="40" w:type="dxa"/>
              <w:left w:w="20" w:type="dxa"/>
              <w:bottom w:w="40" w:type="dxa"/>
              <w:right w:w="20" w:type="dxa"/>
            </w:tcMar>
            <w:vAlign w:val="bottom"/>
          </w:tcPr>
          <w:p w14:paraId="71D48A5C" w14:textId="77777777" w:rsidR="006A3667" w:rsidRDefault="00045F32">
            <w:pPr>
              <w:textAlignment w:val="bottom"/>
            </w:pPr>
            <w:r>
              <w:rPr>
                <w:rFonts w:ascii="Arial" w:eastAsia="宋体" w:hAnsi="Arial" w:cs="Arial"/>
                <w:b/>
                <w:bCs/>
                <w:color w:val="000000"/>
                <w:sz w:val="13"/>
                <w:szCs w:val="13"/>
              </w:rPr>
              <w:t>Balance as of September 30,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A5D"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A5E" w14:textId="77777777" w:rsidR="006A3667" w:rsidRDefault="00045F32">
            <w:pPr>
              <w:jc w:val="right"/>
              <w:textAlignment w:val="bottom"/>
            </w:pPr>
            <w:r>
              <w:rPr>
                <w:rFonts w:ascii="Arial" w:eastAsia="宋体" w:hAnsi="Arial" w:cs="Arial"/>
                <w:b/>
                <w:bCs/>
                <w:color w:val="000000"/>
                <w:sz w:val="13"/>
                <w:szCs w:val="13"/>
              </w:rPr>
              <w:t>(352)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A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60"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A61"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A62" w14:textId="77777777" w:rsidR="006A3667" w:rsidRDefault="00045F32">
            <w:pPr>
              <w:jc w:val="right"/>
              <w:textAlignment w:val="bottom"/>
            </w:pPr>
            <w:r>
              <w:rPr>
                <w:rFonts w:ascii="Arial" w:eastAsia="宋体" w:hAnsi="Arial" w:cs="Arial"/>
                <w:b/>
                <w:bCs/>
                <w:color w:val="000000"/>
                <w:sz w:val="13"/>
                <w:szCs w:val="13"/>
              </w:rPr>
              <w:t>(2,005)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A6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6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A65"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A66" w14:textId="77777777" w:rsidR="006A3667" w:rsidRDefault="00045F32">
            <w:pPr>
              <w:jc w:val="right"/>
              <w:textAlignment w:val="bottom"/>
            </w:pPr>
            <w:r>
              <w:rPr>
                <w:rFonts w:ascii="Arial" w:eastAsia="宋体" w:hAnsi="Arial" w:cs="Arial"/>
                <w:b/>
                <w:bCs/>
                <w:color w:val="000000"/>
                <w:sz w:val="13"/>
                <w:szCs w:val="13"/>
              </w:rPr>
              <w:t>791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A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68"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A69"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A6A" w14:textId="77777777" w:rsidR="006A3667" w:rsidRDefault="00045F32">
            <w:pPr>
              <w:jc w:val="right"/>
              <w:textAlignment w:val="bottom"/>
            </w:pPr>
            <w:r>
              <w:rPr>
                <w:rFonts w:ascii="Arial" w:eastAsia="宋体" w:hAnsi="Arial" w:cs="Arial"/>
                <w:b/>
                <w:bCs/>
                <w:color w:val="000000"/>
                <w:sz w:val="13"/>
                <w:szCs w:val="13"/>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A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6C"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A6D"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A6E" w14:textId="77777777" w:rsidR="006A3667" w:rsidRDefault="00045F32">
            <w:pPr>
              <w:jc w:val="right"/>
              <w:textAlignment w:val="bottom"/>
            </w:pPr>
            <w:r>
              <w:rPr>
                <w:rFonts w:ascii="Arial" w:eastAsia="宋体" w:hAnsi="Arial" w:cs="Arial"/>
                <w:b/>
                <w:bCs/>
                <w:color w:val="000000"/>
                <w:sz w:val="13"/>
                <w:szCs w:val="13"/>
              </w:rPr>
              <w:t>(112)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A6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70"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A71"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A72" w14:textId="77777777" w:rsidR="006A3667" w:rsidRDefault="00045F32">
            <w:pPr>
              <w:jc w:val="right"/>
              <w:textAlignment w:val="bottom"/>
            </w:pPr>
            <w:r>
              <w:rPr>
                <w:rFonts w:ascii="Arial" w:eastAsia="宋体" w:hAnsi="Arial" w:cs="Arial"/>
                <w:b/>
                <w:bCs/>
                <w:color w:val="000000"/>
                <w:sz w:val="13"/>
                <w:szCs w:val="13"/>
              </w:rPr>
              <w:t>(2,588)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A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7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8A75" w14:textId="77777777" w:rsidR="006A3667" w:rsidRDefault="00045F32">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8A76" w14:textId="77777777" w:rsidR="006A3667" w:rsidRDefault="00045F32">
            <w:pPr>
              <w:jc w:val="right"/>
              <w:textAlignment w:val="bottom"/>
            </w:pPr>
            <w:r>
              <w:rPr>
                <w:rFonts w:ascii="Arial" w:eastAsia="宋体" w:hAnsi="Arial" w:cs="Arial"/>
                <w:b/>
                <w:bCs/>
                <w:color w:val="000000"/>
                <w:sz w:val="13"/>
                <w:szCs w:val="13"/>
              </w:rPr>
              <w:t>(4,268)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8A77" w14:textId="77777777" w:rsidR="006A3667" w:rsidRDefault="006A3667">
            <w:pPr>
              <w:jc w:val="right"/>
              <w:rPr>
                <w:rFonts w:ascii="宋体"/>
              </w:rPr>
            </w:pPr>
          </w:p>
        </w:tc>
      </w:tr>
    </w:tbl>
    <w:p w14:paraId="71D48A79" w14:textId="77777777" w:rsidR="006A3667" w:rsidRDefault="006A3667">
      <w:pPr>
        <w:ind w:firstLine="450"/>
      </w:pPr>
    </w:p>
    <w:tbl>
      <w:tblPr>
        <w:tblW w:w="5000" w:type="pct"/>
        <w:tblCellMar>
          <w:top w:w="15" w:type="dxa"/>
          <w:left w:w="15" w:type="dxa"/>
          <w:bottom w:w="15" w:type="dxa"/>
          <w:right w:w="15" w:type="dxa"/>
        </w:tblCellMar>
        <w:tblLook w:val="04A0" w:firstRow="1" w:lastRow="0" w:firstColumn="1" w:lastColumn="0" w:noHBand="0" w:noVBand="1"/>
      </w:tblPr>
      <w:tblGrid>
        <w:gridCol w:w="39"/>
        <w:gridCol w:w="1379"/>
        <w:gridCol w:w="38"/>
        <w:gridCol w:w="94"/>
        <w:gridCol w:w="628"/>
        <w:gridCol w:w="36"/>
        <w:gridCol w:w="36"/>
        <w:gridCol w:w="36"/>
        <w:gridCol w:w="36"/>
        <w:gridCol w:w="113"/>
        <w:gridCol w:w="1015"/>
        <w:gridCol w:w="36"/>
        <w:gridCol w:w="36"/>
        <w:gridCol w:w="36"/>
        <w:gridCol w:w="36"/>
        <w:gridCol w:w="94"/>
        <w:gridCol w:w="746"/>
        <w:gridCol w:w="36"/>
        <w:gridCol w:w="36"/>
        <w:gridCol w:w="36"/>
        <w:gridCol w:w="36"/>
        <w:gridCol w:w="133"/>
        <w:gridCol w:w="1310"/>
        <w:gridCol w:w="36"/>
        <w:gridCol w:w="36"/>
        <w:gridCol w:w="36"/>
        <w:gridCol w:w="36"/>
        <w:gridCol w:w="94"/>
        <w:gridCol w:w="623"/>
        <w:gridCol w:w="36"/>
        <w:gridCol w:w="36"/>
        <w:gridCol w:w="36"/>
        <w:gridCol w:w="36"/>
        <w:gridCol w:w="94"/>
        <w:gridCol w:w="639"/>
        <w:gridCol w:w="36"/>
        <w:gridCol w:w="36"/>
        <w:gridCol w:w="36"/>
        <w:gridCol w:w="36"/>
        <w:gridCol w:w="93"/>
        <w:gridCol w:w="304"/>
        <w:gridCol w:w="36"/>
      </w:tblGrid>
      <w:tr w:rsidR="006A3667" w14:paraId="71D48AA4" w14:textId="77777777">
        <w:tc>
          <w:tcPr>
            <w:tcW w:w="50" w:type="pct"/>
            <w:shd w:val="clear" w:color="auto" w:fill="auto"/>
            <w:vAlign w:val="bottom"/>
          </w:tcPr>
          <w:p w14:paraId="71D48A7A" w14:textId="77777777" w:rsidR="006A3667" w:rsidRDefault="006A3667">
            <w:pPr>
              <w:rPr>
                <w:rFonts w:ascii="宋体"/>
              </w:rPr>
            </w:pPr>
          </w:p>
        </w:tc>
        <w:tc>
          <w:tcPr>
            <w:tcW w:w="1319" w:type="pct"/>
            <w:shd w:val="clear" w:color="auto" w:fill="auto"/>
            <w:vAlign w:val="bottom"/>
          </w:tcPr>
          <w:p w14:paraId="71D48A7B" w14:textId="77777777" w:rsidR="006A3667" w:rsidRDefault="006A3667">
            <w:pPr>
              <w:rPr>
                <w:rFonts w:ascii="宋体"/>
              </w:rPr>
            </w:pPr>
          </w:p>
        </w:tc>
        <w:tc>
          <w:tcPr>
            <w:tcW w:w="5" w:type="pct"/>
            <w:shd w:val="clear" w:color="auto" w:fill="auto"/>
            <w:vAlign w:val="bottom"/>
          </w:tcPr>
          <w:p w14:paraId="71D48A7C" w14:textId="77777777" w:rsidR="006A3667" w:rsidRDefault="006A3667">
            <w:pPr>
              <w:rPr>
                <w:rFonts w:ascii="宋体"/>
              </w:rPr>
            </w:pPr>
          </w:p>
        </w:tc>
        <w:tc>
          <w:tcPr>
            <w:tcW w:w="50" w:type="pct"/>
            <w:shd w:val="clear" w:color="auto" w:fill="auto"/>
            <w:vAlign w:val="bottom"/>
          </w:tcPr>
          <w:p w14:paraId="71D48A7D" w14:textId="77777777" w:rsidR="006A3667" w:rsidRDefault="006A3667">
            <w:pPr>
              <w:rPr>
                <w:rFonts w:ascii="宋体"/>
              </w:rPr>
            </w:pPr>
          </w:p>
        </w:tc>
        <w:tc>
          <w:tcPr>
            <w:tcW w:w="493" w:type="pct"/>
            <w:shd w:val="clear" w:color="auto" w:fill="auto"/>
            <w:vAlign w:val="bottom"/>
          </w:tcPr>
          <w:p w14:paraId="71D48A7E" w14:textId="77777777" w:rsidR="006A3667" w:rsidRDefault="006A3667">
            <w:pPr>
              <w:rPr>
                <w:rFonts w:ascii="宋体"/>
              </w:rPr>
            </w:pPr>
          </w:p>
        </w:tc>
        <w:tc>
          <w:tcPr>
            <w:tcW w:w="5" w:type="pct"/>
            <w:shd w:val="clear" w:color="auto" w:fill="auto"/>
            <w:vAlign w:val="bottom"/>
          </w:tcPr>
          <w:p w14:paraId="71D48A7F" w14:textId="77777777" w:rsidR="006A3667" w:rsidRDefault="006A3667">
            <w:pPr>
              <w:rPr>
                <w:rFonts w:ascii="宋体"/>
              </w:rPr>
            </w:pPr>
          </w:p>
        </w:tc>
        <w:tc>
          <w:tcPr>
            <w:tcW w:w="5" w:type="pct"/>
            <w:shd w:val="clear" w:color="auto" w:fill="auto"/>
            <w:vAlign w:val="bottom"/>
          </w:tcPr>
          <w:p w14:paraId="71D48A80" w14:textId="77777777" w:rsidR="006A3667" w:rsidRDefault="006A3667">
            <w:pPr>
              <w:rPr>
                <w:rFonts w:ascii="宋体"/>
              </w:rPr>
            </w:pPr>
          </w:p>
        </w:tc>
        <w:tc>
          <w:tcPr>
            <w:tcW w:w="19" w:type="pct"/>
            <w:shd w:val="clear" w:color="auto" w:fill="auto"/>
            <w:vAlign w:val="bottom"/>
          </w:tcPr>
          <w:p w14:paraId="71D48A81" w14:textId="77777777" w:rsidR="006A3667" w:rsidRDefault="006A3667">
            <w:pPr>
              <w:rPr>
                <w:rFonts w:ascii="宋体"/>
              </w:rPr>
            </w:pPr>
          </w:p>
        </w:tc>
        <w:tc>
          <w:tcPr>
            <w:tcW w:w="5" w:type="pct"/>
            <w:shd w:val="clear" w:color="auto" w:fill="auto"/>
            <w:vAlign w:val="bottom"/>
          </w:tcPr>
          <w:p w14:paraId="71D48A82" w14:textId="77777777" w:rsidR="006A3667" w:rsidRDefault="006A3667">
            <w:pPr>
              <w:rPr>
                <w:rFonts w:ascii="宋体"/>
              </w:rPr>
            </w:pPr>
          </w:p>
        </w:tc>
        <w:tc>
          <w:tcPr>
            <w:tcW w:w="50" w:type="pct"/>
            <w:shd w:val="clear" w:color="auto" w:fill="auto"/>
            <w:vAlign w:val="bottom"/>
          </w:tcPr>
          <w:p w14:paraId="71D48A83" w14:textId="77777777" w:rsidR="006A3667" w:rsidRDefault="006A3667">
            <w:pPr>
              <w:rPr>
                <w:rFonts w:ascii="宋体"/>
              </w:rPr>
            </w:pPr>
          </w:p>
        </w:tc>
        <w:tc>
          <w:tcPr>
            <w:tcW w:w="449" w:type="pct"/>
            <w:shd w:val="clear" w:color="auto" w:fill="auto"/>
            <w:vAlign w:val="bottom"/>
          </w:tcPr>
          <w:p w14:paraId="71D48A84" w14:textId="77777777" w:rsidR="006A3667" w:rsidRDefault="006A3667">
            <w:pPr>
              <w:rPr>
                <w:rFonts w:ascii="宋体"/>
              </w:rPr>
            </w:pPr>
          </w:p>
        </w:tc>
        <w:tc>
          <w:tcPr>
            <w:tcW w:w="5" w:type="pct"/>
            <w:shd w:val="clear" w:color="auto" w:fill="auto"/>
            <w:vAlign w:val="bottom"/>
          </w:tcPr>
          <w:p w14:paraId="71D48A85" w14:textId="77777777" w:rsidR="006A3667" w:rsidRDefault="006A3667">
            <w:pPr>
              <w:rPr>
                <w:rFonts w:ascii="宋体"/>
              </w:rPr>
            </w:pPr>
          </w:p>
        </w:tc>
        <w:tc>
          <w:tcPr>
            <w:tcW w:w="5" w:type="pct"/>
            <w:shd w:val="clear" w:color="auto" w:fill="auto"/>
            <w:vAlign w:val="bottom"/>
          </w:tcPr>
          <w:p w14:paraId="71D48A86" w14:textId="77777777" w:rsidR="006A3667" w:rsidRDefault="006A3667">
            <w:pPr>
              <w:rPr>
                <w:rFonts w:ascii="宋体"/>
              </w:rPr>
            </w:pPr>
          </w:p>
        </w:tc>
        <w:tc>
          <w:tcPr>
            <w:tcW w:w="19" w:type="pct"/>
            <w:shd w:val="clear" w:color="auto" w:fill="auto"/>
            <w:vAlign w:val="bottom"/>
          </w:tcPr>
          <w:p w14:paraId="71D48A87" w14:textId="77777777" w:rsidR="006A3667" w:rsidRDefault="006A3667">
            <w:pPr>
              <w:rPr>
                <w:rFonts w:ascii="宋体"/>
              </w:rPr>
            </w:pPr>
          </w:p>
        </w:tc>
        <w:tc>
          <w:tcPr>
            <w:tcW w:w="5" w:type="pct"/>
            <w:shd w:val="clear" w:color="auto" w:fill="auto"/>
            <w:vAlign w:val="bottom"/>
          </w:tcPr>
          <w:p w14:paraId="71D48A88" w14:textId="77777777" w:rsidR="006A3667" w:rsidRDefault="006A3667">
            <w:pPr>
              <w:rPr>
                <w:rFonts w:ascii="宋体"/>
              </w:rPr>
            </w:pPr>
          </w:p>
        </w:tc>
        <w:tc>
          <w:tcPr>
            <w:tcW w:w="50" w:type="pct"/>
            <w:shd w:val="clear" w:color="auto" w:fill="auto"/>
            <w:vAlign w:val="bottom"/>
          </w:tcPr>
          <w:p w14:paraId="71D48A89" w14:textId="77777777" w:rsidR="006A3667" w:rsidRDefault="006A3667">
            <w:pPr>
              <w:rPr>
                <w:rFonts w:ascii="宋体"/>
              </w:rPr>
            </w:pPr>
          </w:p>
        </w:tc>
        <w:tc>
          <w:tcPr>
            <w:tcW w:w="610" w:type="pct"/>
            <w:shd w:val="clear" w:color="auto" w:fill="auto"/>
            <w:vAlign w:val="bottom"/>
          </w:tcPr>
          <w:p w14:paraId="71D48A8A" w14:textId="77777777" w:rsidR="006A3667" w:rsidRDefault="006A3667">
            <w:pPr>
              <w:rPr>
                <w:rFonts w:ascii="宋体"/>
              </w:rPr>
            </w:pPr>
          </w:p>
        </w:tc>
        <w:tc>
          <w:tcPr>
            <w:tcW w:w="5" w:type="pct"/>
            <w:shd w:val="clear" w:color="auto" w:fill="auto"/>
            <w:vAlign w:val="bottom"/>
          </w:tcPr>
          <w:p w14:paraId="71D48A8B" w14:textId="77777777" w:rsidR="006A3667" w:rsidRDefault="006A3667">
            <w:pPr>
              <w:rPr>
                <w:rFonts w:ascii="宋体"/>
              </w:rPr>
            </w:pPr>
          </w:p>
        </w:tc>
        <w:tc>
          <w:tcPr>
            <w:tcW w:w="5" w:type="pct"/>
            <w:shd w:val="clear" w:color="auto" w:fill="auto"/>
            <w:vAlign w:val="bottom"/>
          </w:tcPr>
          <w:p w14:paraId="71D48A8C" w14:textId="77777777" w:rsidR="006A3667" w:rsidRDefault="006A3667">
            <w:pPr>
              <w:rPr>
                <w:rFonts w:ascii="宋体"/>
              </w:rPr>
            </w:pPr>
          </w:p>
        </w:tc>
        <w:tc>
          <w:tcPr>
            <w:tcW w:w="19" w:type="pct"/>
            <w:shd w:val="clear" w:color="auto" w:fill="auto"/>
            <w:vAlign w:val="bottom"/>
          </w:tcPr>
          <w:p w14:paraId="71D48A8D" w14:textId="77777777" w:rsidR="006A3667" w:rsidRDefault="006A3667">
            <w:pPr>
              <w:rPr>
                <w:rFonts w:ascii="宋体"/>
              </w:rPr>
            </w:pPr>
          </w:p>
        </w:tc>
        <w:tc>
          <w:tcPr>
            <w:tcW w:w="5" w:type="pct"/>
            <w:shd w:val="clear" w:color="auto" w:fill="auto"/>
            <w:vAlign w:val="bottom"/>
          </w:tcPr>
          <w:p w14:paraId="71D48A8E" w14:textId="77777777" w:rsidR="006A3667" w:rsidRDefault="006A3667">
            <w:pPr>
              <w:rPr>
                <w:rFonts w:ascii="宋体"/>
              </w:rPr>
            </w:pPr>
          </w:p>
        </w:tc>
        <w:tc>
          <w:tcPr>
            <w:tcW w:w="50" w:type="pct"/>
            <w:shd w:val="clear" w:color="auto" w:fill="auto"/>
            <w:vAlign w:val="bottom"/>
          </w:tcPr>
          <w:p w14:paraId="71D48A8F" w14:textId="77777777" w:rsidR="006A3667" w:rsidRDefault="006A3667">
            <w:pPr>
              <w:rPr>
                <w:rFonts w:ascii="宋体"/>
              </w:rPr>
            </w:pPr>
          </w:p>
        </w:tc>
        <w:tc>
          <w:tcPr>
            <w:tcW w:w="493" w:type="pct"/>
            <w:shd w:val="clear" w:color="auto" w:fill="auto"/>
            <w:vAlign w:val="bottom"/>
          </w:tcPr>
          <w:p w14:paraId="71D48A90" w14:textId="77777777" w:rsidR="006A3667" w:rsidRDefault="006A3667">
            <w:pPr>
              <w:rPr>
                <w:rFonts w:ascii="宋体"/>
              </w:rPr>
            </w:pPr>
          </w:p>
        </w:tc>
        <w:tc>
          <w:tcPr>
            <w:tcW w:w="5" w:type="pct"/>
            <w:shd w:val="clear" w:color="auto" w:fill="auto"/>
            <w:vAlign w:val="bottom"/>
          </w:tcPr>
          <w:p w14:paraId="71D48A91" w14:textId="77777777" w:rsidR="006A3667" w:rsidRDefault="006A3667">
            <w:pPr>
              <w:rPr>
                <w:rFonts w:ascii="宋体"/>
              </w:rPr>
            </w:pPr>
          </w:p>
        </w:tc>
        <w:tc>
          <w:tcPr>
            <w:tcW w:w="5" w:type="pct"/>
            <w:shd w:val="clear" w:color="auto" w:fill="auto"/>
            <w:vAlign w:val="bottom"/>
          </w:tcPr>
          <w:p w14:paraId="71D48A92" w14:textId="77777777" w:rsidR="006A3667" w:rsidRDefault="006A3667">
            <w:pPr>
              <w:rPr>
                <w:rFonts w:ascii="宋体"/>
              </w:rPr>
            </w:pPr>
          </w:p>
        </w:tc>
        <w:tc>
          <w:tcPr>
            <w:tcW w:w="19" w:type="pct"/>
            <w:shd w:val="clear" w:color="auto" w:fill="auto"/>
            <w:vAlign w:val="bottom"/>
          </w:tcPr>
          <w:p w14:paraId="71D48A93" w14:textId="77777777" w:rsidR="006A3667" w:rsidRDefault="006A3667">
            <w:pPr>
              <w:rPr>
                <w:rFonts w:ascii="宋体"/>
              </w:rPr>
            </w:pPr>
          </w:p>
        </w:tc>
        <w:tc>
          <w:tcPr>
            <w:tcW w:w="5" w:type="pct"/>
            <w:shd w:val="clear" w:color="auto" w:fill="auto"/>
            <w:vAlign w:val="bottom"/>
          </w:tcPr>
          <w:p w14:paraId="71D48A94" w14:textId="77777777" w:rsidR="006A3667" w:rsidRDefault="006A3667">
            <w:pPr>
              <w:rPr>
                <w:rFonts w:ascii="宋体"/>
              </w:rPr>
            </w:pPr>
          </w:p>
        </w:tc>
        <w:tc>
          <w:tcPr>
            <w:tcW w:w="50" w:type="pct"/>
            <w:shd w:val="clear" w:color="auto" w:fill="auto"/>
            <w:vAlign w:val="bottom"/>
          </w:tcPr>
          <w:p w14:paraId="71D48A95" w14:textId="77777777" w:rsidR="006A3667" w:rsidRDefault="006A3667">
            <w:pPr>
              <w:rPr>
                <w:rFonts w:ascii="宋体"/>
              </w:rPr>
            </w:pPr>
          </w:p>
        </w:tc>
        <w:tc>
          <w:tcPr>
            <w:tcW w:w="354" w:type="pct"/>
            <w:shd w:val="clear" w:color="auto" w:fill="auto"/>
            <w:vAlign w:val="bottom"/>
          </w:tcPr>
          <w:p w14:paraId="71D48A96" w14:textId="77777777" w:rsidR="006A3667" w:rsidRDefault="006A3667">
            <w:pPr>
              <w:rPr>
                <w:rFonts w:ascii="宋体"/>
              </w:rPr>
            </w:pPr>
          </w:p>
        </w:tc>
        <w:tc>
          <w:tcPr>
            <w:tcW w:w="5" w:type="pct"/>
            <w:shd w:val="clear" w:color="auto" w:fill="auto"/>
            <w:vAlign w:val="bottom"/>
          </w:tcPr>
          <w:p w14:paraId="71D48A97" w14:textId="77777777" w:rsidR="006A3667" w:rsidRDefault="006A3667">
            <w:pPr>
              <w:rPr>
                <w:rFonts w:ascii="宋体"/>
              </w:rPr>
            </w:pPr>
          </w:p>
        </w:tc>
        <w:tc>
          <w:tcPr>
            <w:tcW w:w="5" w:type="pct"/>
            <w:shd w:val="clear" w:color="auto" w:fill="auto"/>
            <w:vAlign w:val="bottom"/>
          </w:tcPr>
          <w:p w14:paraId="71D48A98" w14:textId="77777777" w:rsidR="006A3667" w:rsidRDefault="006A3667">
            <w:pPr>
              <w:rPr>
                <w:rFonts w:ascii="宋体"/>
              </w:rPr>
            </w:pPr>
          </w:p>
        </w:tc>
        <w:tc>
          <w:tcPr>
            <w:tcW w:w="19" w:type="pct"/>
            <w:shd w:val="clear" w:color="auto" w:fill="auto"/>
            <w:vAlign w:val="bottom"/>
          </w:tcPr>
          <w:p w14:paraId="71D48A99" w14:textId="77777777" w:rsidR="006A3667" w:rsidRDefault="006A3667">
            <w:pPr>
              <w:rPr>
                <w:rFonts w:ascii="宋体"/>
              </w:rPr>
            </w:pPr>
          </w:p>
        </w:tc>
        <w:tc>
          <w:tcPr>
            <w:tcW w:w="5" w:type="pct"/>
            <w:shd w:val="clear" w:color="auto" w:fill="auto"/>
            <w:vAlign w:val="bottom"/>
          </w:tcPr>
          <w:p w14:paraId="71D48A9A" w14:textId="77777777" w:rsidR="006A3667" w:rsidRDefault="006A3667">
            <w:pPr>
              <w:rPr>
                <w:rFonts w:ascii="宋体"/>
              </w:rPr>
            </w:pPr>
          </w:p>
        </w:tc>
        <w:tc>
          <w:tcPr>
            <w:tcW w:w="50" w:type="pct"/>
            <w:shd w:val="clear" w:color="auto" w:fill="auto"/>
            <w:vAlign w:val="bottom"/>
          </w:tcPr>
          <w:p w14:paraId="71D48A9B" w14:textId="77777777" w:rsidR="006A3667" w:rsidRDefault="006A3667">
            <w:pPr>
              <w:rPr>
                <w:rFonts w:ascii="宋体"/>
              </w:rPr>
            </w:pPr>
          </w:p>
        </w:tc>
        <w:tc>
          <w:tcPr>
            <w:tcW w:w="347" w:type="pct"/>
            <w:shd w:val="clear" w:color="auto" w:fill="auto"/>
            <w:vAlign w:val="bottom"/>
          </w:tcPr>
          <w:p w14:paraId="71D48A9C" w14:textId="77777777" w:rsidR="006A3667" w:rsidRDefault="006A3667">
            <w:pPr>
              <w:rPr>
                <w:rFonts w:ascii="宋体"/>
              </w:rPr>
            </w:pPr>
          </w:p>
        </w:tc>
        <w:tc>
          <w:tcPr>
            <w:tcW w:w="5" w:type="pct"/>
            <w:shd w:val="clear" w:color="auto" w:fill="auto"/>
            <w:vAlign w:val="bottom"/>
          </w:tcPr>
          <w:p w14:paraId="71D48A9D" w14:textId="77777777" w:rsidR="006A3667" w:rsidRDefault="006A3667">
            <w:pPr>
              <w:rPr>
                <w:rFonts w:ascii="宋体"/>
              </w:rPr>
            </w:pPr>
          </w:p>
        </w:tc>
        <w:tc>
          <w:tcPr>
            <w:tcW w:w="5" w:type="pct"/>
            <w:shd w:val="clear" w:color="auto" w:fill="auto"/>
            <w:vAlign w:val="bottom"/>
          </w:tcPr>
          <w:p w14:paraId="71D48A9E" w14:textId="77777777" w:rsidR="006A3667" w:rsidRDefault="006A3667">
            <w:pPr>
              <w:rPr>
                <w:rFonts w:ascii="宋体"/>
              </w:rPr>
            </w:pPr>
          </w:p>
        </w:tc>
        <w:tc>
          <w:tcPr>
            <w:tcW w:w="19" w:type="pct"/>
            <w:shd w:val="clear" w:color="auto" w:fill="auto"/>
            <w:vAlign w:val="bottom"/>
          </w:tcPr>
          <w:p w14:paraId="71D48A9F" w14:textId="77777777" w:rsidR="006A3667" w:rsidRDefault="006A3667">
            <w:pPr>
              <w:rPr>
                <w:rFonts w:ascii="宋体"/>
              </w:rPr>
            </w:pPr>
          </w:p>
        </w:tc>
        <w:tc>
          <w:tcPr>
            <w:tcW w:w="5" w:type="pct"/>
            <w:shd w:val="clear" w:color="auto" w:fill="auto"/>
            <w:vAlign w:val="bottom"/>
          </w:tcPr>
          <w:p w14:paraId="71D48AA0" w14:textId="77777777" w:rsidR="006A3667" w:rsidRDefault="006A3667">
            <w:pPr>
              <w:rPr>
                <w:rFonts w:ascii="宋体"/>
              </w:rPr>
            </w:pPr>
          </w:p>
        </w:tc>
        <w:tc>
          <w:tcPr>
            <w:tcW w:w="50" w:type="pct"/>
            <w:shd w:val="clear" w:color="auto" w:fill="auto"/>
            <w:vAlign w:val="bottom"/>
          </w:tcPr>
          <w:p w14:paraId="71D48AA1" w14:textId="77777777" w:rsidR="006A3667" w:rsidRDefault="006A3667">
            <w:pPr>
              <w:rPr>
                <w:rFonts w:ascii="宋体"/>
              </w:rPr>
            </w:pPr>
          </w:p>
        </w:tc>
        <w:tc>
          <w:tcPr>
            <w:tcW w:w="318" w:type="pct"/>
            <w:shd w:val="clear" w:color="auto" w:fill="auto"/>
            <w:vAlign w:val="bottom"/>
          </w:tcPr>
          <w:p w14:paraId="71D48AA2" w14:textId="77777777" w:rsidR="006A3667" w:rsidRDefault="006A3667">
            <w:pPr>
              <w:rPr>
                <w:rFonts w:ascii="宋体"/>
              </w:rPr>
            </w:pPr>
          </w:p>
        </w:tc>
        <w:tc>
          <w:tcPr>
            <w:tcW w:w="5" w:type="pct"/>
            <w:shd w:val="clear" w:color="auto" w:fill="auto"/>
            <w:vAlign w:val="bottom"/>
          </w:tcPr>
          <w:p w14:paraId="71D48AA3" w14:textId="77777777" w:rsidR="006A3667" w:rsidRDefault="006A3667">
            <w:pPr>
              <w:rPr>
                <w:rFonts w:ascii="宋体"/>
              </w:rPr>
            </w:pPr>
          </w:p>
        </w:tc>
      </w:tr>
      <w:tr w:rsidR="006A3667" w14:paraId="71D48AB3" w14:textId="77777777">
        <w:tc>
          <w:tcPr>
            <w:tcW w:w="0" w:type="auto"/>
            <w:gridSpan w:val="3"/>
            <w:shd w:val="clear" w:color="auto" w:fill="auto"/>
            <w:tcMar>
              <w:top w:w="40" w:type="dxa"/>
              <w:left w:w="20" w:type="dxa"/>
              <w:bottom w:w="40" w:type="dxa"/>
              <w:right w:w="20" w:type="dxa"/>
            </w:tcMar>
            <w:vAlign w:val="bottom"/>
          </w:tcPr>
          <w:p w14:paraId="71D48AA5" w14:textId="77777777" w:rsidR="006A3667" w:rsidRDefault="00045F32">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71D48AA6" w14:textId="77777777" w:rsidR="006A3667" w:rsidRDefault="00045F32">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vAlign w:val="bottom"/>
          </w:tcPr>
          <w:p w14:paraId="71D48AA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AA8" w14:textId="77777777" w:rsidR="006A3667" w:rsidRDefault="00045F32">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71D48AA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AAA" w14:textId="77777777" w:rsidR="006A3667" w:rsidRDefault="00045F32">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71D48AA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AAC" w14:textId="77777777" w:rsidR="006A3667" w:rsidRDefault="00045F32">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71D48AA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AAE" w14:textId="77777777" w:rsidR="006A3667" w:rsidRDefault="00045F32">
            <w:pPr>
              <w:jc w:val="center"/>
              <w:textAlignment w:val="bottom"/>
            </w:pPr>
            <w:r>
              <w:rPr>
                <w:rFonts w:ascii="Arial" w:eastAsia="宋体" w:hAnsi="Arial" w:cs="Arial"/>
                <w:b/>
                <w:bCs/>
                <w:color w:val="000000"/>
                <w:sz w:val="13"/>
                <w:szCs w:val="13"/>
              </w:rPr>
              <w:t xml:space="preserve">Net Unrealized Losses on </w:t>
            </w:r>
            <w:r>
              <w:rPr>
                <w:rFonts w:ascii="Arial" w:eastAsia="宋体" w:hAnsi="Arial" w:cs="Arial"/>
                <w:b/>
                <w:bCs/>
                <w:color w:val="000000"/>
                <w:sz w:val="13"/>
                <w:szCs w:val="13"/>
              </w:rPr>
              <w:t>Retirement Plans</w:t>
            </w:r>
          </w:p>
        </w:tc>
        <w:tc>
          <w:tcPr>
            <w:tcW w:w="0" w:type="auto"/>
            <w:gridSpan w:val="3"/>
            <w:shd w:val="clear" w:color="auto" w:fill="auto"/>
            <w:tcMar>
              <w:top w:w="0" w:type="dxa"/>
              <w:left w:w="20" w:type="dxa"/>
              <w:bottom w:w="0" w:type="dxa"/>
              <w:right w:w="20" w:type="dxa"/>
            </w:tcMar>
            <w:vAlign w:val="bottom"/>
          </w:tcPr>
          <w:p w14:paraId="71D48AA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AB0" w14:textId="77777777" w:rsidR="006A3667" w:rsidRDefault="00045F32">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71D48AB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AB2" w14:textId="77777777" w:rsidR="006A3667" w:rsidRDefault="00045F32">
            <w:pPr>
              <w:jc w:val="center"/>
              <w:textAlignment w:val="bottom"/>
            </w:pPr>
            <w:r>
              <w:rPr>
                <w:rFonts w:ascii="Arial" w:eastAsia="宋体" w:hAnsi="Arial" w:cs="Arial"/>
                <w:b/>
                <w:bCs/>
                <w:color w:val="000000"/>
                <w:sz w:val="13"/>
                <w:szCs w:val="13"/>
              </w:rPr>
              <w:t>Total</w:t>
            </w:r>
          </w:p>
        </w:tc>
      </w:tr>
      <w:tr w:rsidR="006A3667" w14:paraId="71D48AD0" w14:textId="77777777">
        <w:tc>
          <w:tcPr>
            <w:tcW w:w="0" w:type="auto"/>
            <w:gridSpan w:val="3"/>
            <w:shd w:val="clear" w:color="auto" w:fill="CCEEFF"/>
            <w:tcMar>
              <w:top w:w="40" w:type="dxa"/>
              <w:left w:w="20" w:type="dxa"/>
              <w:bottom w:w="40" w:type="dxa"/>
              <w:right w:w="20" w:type="dxa"/>
            </w:tcMar>
            <w:vAlign w:val="bottom"/>
          </w:tcPr>
          <w:p w14:paraId="71D48AB4" w14:textId="77777777" w:rsidR="006A3667" w:rsidRDefault="00045F32">
            <w:pPr>
              <w:textAlignment w:val="bottom"/>
            </w:pPr>
            <w:r>
              <w:rPr>
                <w:rFonts w:ascii="Arial" w:eastAsia="宋体" w:hAnsi="Arial" w:cs="Arial"/>
                <w:b/>
                <w:bCs/>
                <w:color w:val="000000"/>
                <w:sz w:val="13"/>
                <w:szCs w:val="13"/>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8AB5"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B6" w14:textId="77777777" w:rsidR="006A3667" w:rsidRDefault="00045F32">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B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AB9"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BA" w14:textId="77777777" w:rsidR="006A3667" w:rsidRDefault="00045F32">
            <w:pPr>
              <w:jc w:val="right"/>
              <w:textAlignment w:val="bottom"/>
            </w:pPr>
            <w:r>
              <w:rPr>
                <w:rFonts w:ascii="Arial" w:eastAsia="宋体" w:hAnsi="Arial" w:cs="Arial"/>
                <w:color w:val="000000"/>
                <w:sz w:val="13"/>
                <w:szCs w:val="13"/>
              </w:rPr>
              <w:t>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B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ABD"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BE" w14:textId="77777777" w:rsidR="006A3667" w:rsidRDefault="00045F32">
            <w:pPr>
              <w:jc w:val="right"/>
              <w:textAlignment w:val="bottom"/>
            </w:pPr>
            <w:r>
              <w:rPr>
                <w:rFonts w:ascii="Arial" w:eastAsia="宋体" w:hAnsi="Arial" w:cs="Arial"/>
                <w:color w:val="000000"/>
                <w:sz w:val="13"/>
                <w:szCs w:val="13"/>
              </w:rPr>
              <w:t>(204)</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B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C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AC1"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C2" w14:textId="77777777" w:rsidR="006A3667" w:rsidRDefault="00045F32">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C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C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AC5"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C6" w14:textId="77777777" w:rsidR="006A3667" w:rsidRDefault="00045F32">
            <w:pPr>
              <w:jc w:val="right"/>
              <w:textAlignment w:val="bottom"/>
            </w:pPr>
            <w:r>
              <w:rPr>
                <w:rFonts w:ascii="Arial" w:eastAsia="宋体" w:hAnsi="Arial" w:cs="Arial"/>
                <w:color w:val="000000"/>
                <w:sz w:val="13"/>
                <w:szCs w:val="13"/>
              </w:rPr>
              <w:t>(178)</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C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C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AC9"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CA" w14:textId="77777777" w:rsidR="006A3667" w:rsidRDefault="00045F32">
            <w:pPr>
              <w:jc w:val="right"/>
              <w:textAlignment w:val="bottom"/>
            </w:pPr>
            <w:r>
              <w:rPr>
                <w:rFonts w:ascii="Arial" w:eastAsia="宋体" w:hAnsi="Arial" w:cs="Arial"/>
                <w:color w:val="000000"/>
                <w:sz w:val="13"/>
                <w:szCs w:val="13"/>
              </w:rPr>
              <w:t>(334)</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C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CC"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ACD"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ACE" w14:textId="77777777" w:rsidR="006A3667" w:rsidRDefault="00045F32">
            <w:pPr>
              <w:jc w:val="right"/>
              <w:textAlignment w:val="bottom"/>
            </w:pPr>
            <w:r>
              <w:rPr>
                <w:rFonts w:ascii="Arial" w:eastAsia="宋体" w:hAnsi="Arial" w:cs="Arial"/>
                <w:color w:val="000000"/>
                <w:sz w:val="13"/>
                <w:szCs w:val="13"/>
              </w:rPr>
              <w:t>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ACF" w14:textId="77777777" w:rsidR="006A3667" w:rsidRDefault="006A3667">
            <w:pPr>
              <w:jc w:val="right"/>
              <w:rPr>
                <w:rFonts w:ascii="宋体"/>
              </w:rPr>
            </w:pPr>
          </w:p>
        </w:tc>
      </w:tr>
      <w:tr w:rsidR="006A3667" w14:paraId="71D48AE6" w14:textId="77777777">
        <w:tc>
          <w:tcPr>
            <w:tcW w:w="0" w:type="auto"/>
            <w:gridSpan w:val="3"/>
            <w:shd w:val="clear" w:color="auto" w:fill="FFFFFF"/>
            <w:tcMar>
              <w:top w:w="40" w:type="dxa"/>
              <w:left w:w="20" w:type="dxa"/>
              <w:bottom w:w="40" w:type="dxa"/>
              <w:right w:w="20" w:type="dxa"/>
            </w:tcMar>
            <w:vAlign w:val="bottom"/>
          </w:tcPr>
          <w:p w14:paraId="71D48AD1" w14:textId="77777777" w:rsidR="006A3667" w:rsidRDefault="00045F32">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71D48AD2" w14:textId="77777777" w:rsidR="006A3667" w:rsidRDefault="00045F32">
            <w:pPr>
              <w:jc w:val="right"/>
              <w:textAlignment w:val="bottom"/>
            </w:pPr>
            <w:r>
              <w:rPr>
                <w:rFonts w:ascii="Arial" w:eastAsia="宋体" w:hAnsi="Arial" w:cs="Arial"/>
                <w:color w:val="000000"/>
                <w:sz w:val="13"/>
                <w:szCs w:val="13"/>
              </w:rPr>
              <w:t>35 </w:t>
            </w:r>
          </w:p>
        </w:tc>
        <w:tc>
          <w:tcPr>
            <w:tcW w:w="0" w:type="auto"/>
            <w:shd w:val="clear" w:color="auto" w:fill="FFFFFF"/>
            <w:tcMar>
              <w:top w:w="40" w:type="dxa"/>
              <w:left w:w="0" w:type="dxa"/>
              <w:bottom w:w="40" w:type="dxa"/>
              <w:right w:w="20" w:type="dxa"/>
            </w:tcMar>
            <w:vAlign w:val="bottom"/>
          </w:tcPr>
          <w:p w14:paraId="71D48A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D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D5" w14:textId="77777777" w:rsidR="006A3667" w:rsidRDefault="00045F32">
            <w:pPr>
              <w:jc w:val="right"/>
              <w:textAlignment w:val="bottom"/>
            </w:pPr>
            <w:r>
              <w:rPr>
                <w:rFonts w:ascii="Arial" w:eastAsia="宋体" w:hAnsi="Arial" w:cs="Arial"/>
                <w:color w:val="000000"/>
                <w:sz w:val="13"/>
                <w:szCs w:val="13"/>
              </w:rPr>
              <w:t>(558)</w:t>
            </w:r>
          </w:p>
        </w:tc>
        <w:tc>
          <w:tcPr>
            <w:tcW w:w="0" w:type="auto"/>
            <w:shd w:val="clear" w:color="auto" w:fill="FFFFFF"/>
            <w:tcMar>
              <w:top w:w="40" w:type="dxa"/>
              <w:left w:w="0" w:type="dxa"/>
              <w:bottom w:w="40" w:type="dxa"/>
              <w:right w:w="20" w:type="dxa"/>
            </w:tcMar>
            <w:vAlign w:val="bottom"/>
          </w:tcPr>
          <w:p w14:paraId="71D48AD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D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D8" w14:textId="77777777" w:rsidR="006A3667" w:rsidRDefault="00045F32">
            <w:pPr>
              <w:jc w:val="right"/>
              <w:textAlignment w:val="bottom"/>
            </w:pPr>
            <w:r>
              <w:rPr>
                <w:rFonts w:ascii="Arial" w:eastAsia="宋体" w:hAnsi="Arial" w:cs="Arial"/>
                <w:color w:val="000000"/>
                <w:sz w:val="13"/>
                <w:szCs w:val="13"/>
              </w:rPr>
              <w:t>222 </w:t>
            </w:r>
          </w:p>
        </w:tc>
        <w:tc>
          <w:tcPr>
            <w:tcW w:w="0" w:type="auto"/>
            <w:shd w:val="clear" w:color="auto" w:fill="FFFFFF"/>
            <w:tcMar>
              <w:top w:w="40" w:type="dxa"/>
              <w:left w:w="0" w:type="dxa"/>
              <w:bottom w:w="40" w:type="dxa"/>
              <w:right w:w="20" w:type="dxa"/>
            </w:tcMar>
            <w:vAlign w:val="bottom"/>
          </w:tcPr>
          <w:p w14:paraId="71D48AD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D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DB"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8AD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D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DE"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71D48AD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E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E1" w14:textId="77777777" w:rsidR="006A3667" w:rsidRDefault="00045F32">
            <w:pPr>
              <w:jc w:val="right"/>
              <w:textAlignment w:val="bottom"/>
            </w:pPr>
            <w:r>
              <w:rPr>
                <w:rFonts w:ascii="Arial" w:eastAsia="宋体" w:hAnsi="Arial" w:cs="Arial"/>
                <w:color w:val="000000"/>
                <w:sz w:val="13"/>
                <w:szCs w:val="13"/>
              </w:rPr>
              <w:t>(529)</w:t>
            </w:r>
          </w:p>
        </w:tc>
        <w:tc>
          <w:tcPr>
            <w:tcW w:w="0" w:type="auto"/>
            <w:shd w:val="clear" w:color="auto" w:fill="FFFFFF"/>
            <w:tcMar>
              <w:top w:w="40" w:type="dxa"/>
              <w:left w:w="0" w:type="dxa"/>
              <w:bottom w:w="40" w:type="dxa"/>
              <w:right w:w="20" w:type="dxa"/>
            </w:tcMar>
            <w:vAlign w:val="bottom"/>
          </w:tcPr>
          <w:p w14:paraId="71D48AE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AE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AE4" w14:textId="77777777" w:rsidR="006A3667" w:rsidRDefault="00045F32">
            <w:pPr>
              <w:jc w:val="right"/>
              <w:textAlignment w:val="bottom"/>
            </w:pPr>
            <w:r>
              <w:rPr>
                <w:rFonts w:ascii="Arial" w:eastAsia="宋体" w:hAnsi="Arial" w:cs="Arial"/>
                <w:color w:val="000000"/>
                <w:sz w:val="13"/>
                <w:szCs w:val="13"/>
              </w:rPr>
              <w:t>(830)</w:t>
            </w:r>
          </w:p>
        </w:tc>
        <w:tc>
          <w:tcPr>
            <w:tcW w:w="0" w:type="auto"/>
            <w:shd w:val="clear" w:color="auto" w:fill="FFFFFF"/>
            <w:tcMar>
              <w:top w:w="40" w:type="dxa"/>
              <w:left w:w="0" w:type="dxa"/>
              <w:bottom w:w="40" w:type="dxa"/>
              <w:right w:w="20" w:type="dxa"/>
            </w:tcMar>
            <w:vAlign w:val="bottom"/>
          </w:tcPr>
          <w:p w14:paraId="71D48AE5" w14:textId="77777777" w:rsidR="006A3667" w:rsidRDefault="006A3667">
            <w:pPr>
              <w:jc w:val="right"/>
              <w:rPr>
                <w:rFonts w:ascii="宋体"/>
              </w:rPr>
            </w:pPr>
          </w:p>
        </w:tc>
      </w:tr>
      <w:tr w:rsidR="006A3667" w14:paraId="71D48AF5" w14:textId="77777777">
        <w:trPr>
          <w:hidden/>
        </w:trPr>
        <w:tc>
          <w:tcPr>
            <w:tcW w:w="0" w:type="auto"/>
            <w:gridSpan w:val="3"/>
            <w:shd w:val="clear" w:color="auto" w:fill="auto"/>
            <w:vAlign w:val="bottom"/>
          </w:tcPr>
          <w:p w14:paraId="71D48AE7" w14:textId="77777777" w:rsidR="006A3667" w:rsidRDefault="006A3667">
            <w:pPr>
              <w:rPr>
                <w:rFonts w:ascii="宋体"/>
                <w:vanish/>
              </w:rPr>
            </w:pPr>
          </w:p>
        </w:tc>
        <w:tc>
          <w:tcPr>
            <w:tcW w:w="0" w:type="auto"/>
            <w:gridSpan w:val="3"/>
            <w:shd w:val="clear" w:color="auto" w:fill="auto"/>
            <w:vAlign w:val="bottom"/>
          </w:tcPr>
          <w:p w14:paraId="71D48AE8" w14:textId="77777777" w:rsidR="006A3667" w:rsidRDefault="006A3667">
            <w:pPr>
              <w:rPr>
                <w:rFonts w:ascii="宋体"/>
                <w:vanish/>
              </w:rPr>
            </w:pPr>
          </w:p>
        </w:tc>
        <w:tc>
          <w:tcPr>
            <w:tcW w:w="0" w:type="auto"/>
            <w:gridSpan w:val="3"/>
            <w:shd w:val="clear" w:color="auto" w:fill="auto"/>
            <w:vAlign w:val="bottom"/>
          </w:tcPr>
          <w:p w14:paraId="71D48AE9" w14:textId="77777777" w:rsidR="006A3667" w:rsidRDefault="006A3667">
            <w:pPr>
              <w:rPr>
                <w:rFonts w:ascii="宋体"/>
                <w:vanish/>
              </w:rPr>
            </w:pPr>
          </w:p>
        </w:tc>
        <w:tc>
          <w:tcPr>
            <w:tcW w:w="0" w:type="auto"/>
            <w:gridSpan w:val="3"/>
            <w:shd w:val="clear" w:color="auto" w:fill="auto"/>
            <w:vAlign w:val="bottom"/>
          </w:tcPr>
          <w:p w14:paraId="71D48AEA" w14:textId="77777777" w:rsidR="006A3667" w:rsidRDefault="006A3667">
            <w:pPr>
              <w:rPr>
                <w:rFonts w:ascii="宋体"/>
                <w:vanish/>
              </w:rPr>
            </w:pPr>
          </w:p>
        </w:tc>
        <w:tc>
          <w:tcPr>
            <w:tcW w:w="0" w:type="auto"/>
            <w:gridSpan w:val="3"/>
            <w:shd w:val="clear" w:color="auto" w:fill="auto"/>
            <w:vAlign w:val="bottom"/>
          </w:tcPr>
          <w:p w14:paraId="71D48AEB" w14:textId="77777777" w:rsidR="006A3667" w:rsidRDefault="006A3667">
            <w:pPr>
              <w:rPr>
                <w:rFonts w:ascii="宋体"/>
                <w:vanish/>
              </w:rPr>
            </w:pPr>
          </w:p>
        </w:tc>
        <w:tc>
          <w:tcPr>
            <w:tcW w:w="0" w:type="auto"/>
            <w:gridSpan w:val="3"/>
            <w:shd w:val="clear" w:color="auto" w:fill="auto"/>
            <w:vAlign w:val="bottom"/>
          </w:tcPr>
          <w:p w14:paraId="71D48AEC" w14:textId="77777777" w:rsidR="006A3667" w:rsidRDefault="006A3667">
            <w:pPr>
              <w:rPr>
                <w:rFonts w:ascii="宋体"/>
                <w:vanish/>
              </w:rPr>
            </w:pPr>
          </w:p>
        </w:tc>
        <w:tc>
          <w:tcPr>
            <w:tcW w:w="0" w:type="auto"/>
            <w:gridSpan w:val="3"/>
            <w:shd w:val="clear" w:color="auto" w:fill="auto"/>
            <w:vAlign w:val="bottom"/>
          </w:tcPr>
          <w:p w14:paraId="71D48AED" w14:textId="77777777" w:rsidR="006A3667" w:rsidRDefault="006A3667">
            <w:pPr>
              <w:rPr>
                <w:rFonts w:ascii="宋体"/>
                <w:vanish/>
              </w:rPr>
            </w:pPr>
          </w:p>
        </w:tc>
        <w:tc>
          <w:tcPr>
            <w:tcW w:w="0" w:type="auto"/>
            <w:gridSpan w:val="3"/>
            <w:shd w:val="clear" w:color="auto" w:fill="auto"/>
            <w:vAlign w:val="bottom"/>
          </w:tcPr>
          <w:p w14:paraId="71D48AEE" w14:textId="77777777" w:rsidR="006A3667" w:rsidRDefault="006A3667">
            <w:pPr>
              <w:rPr>
                <w:rFonts w:ascii="宋体"/>
                <w:vanish/>
              </w:rPr>
            </w:pPr>
          </w:p>
        </w:tc>
        <w:tc>
          <w:tcPr>
            <w:tcW w:w="0" w:type="auto"/>
            <w:gridSpan w:val="3"/>
            <w:shd w:val="clear" w:color="auto" w:fill="auto"/>
            <w:vAlign w:val="bottom"/>
          </w:tcPr>
          <w:p w14:paraId="71D48AEF" w14:textId="77777777" w:rsidR="006A3667" w:rsidRDefault="006A3667">
            <w:pPr>
              <w:rPr>
                <w:rFonts w:ascii="宋体"/>
                <w:vanish/>
              </w:rPr>
            </w:pPr>
          </w:p>
        </w:tc>
        <w:tc>
          <w:tcPr>
            <w:tcW w:w="0" w:type="auto"/>
            <w:gridSpan w:val="3"/>
            <w:shd w:val="clear" w:color="auto" w:fill="auto"/>
            <w:vAlign w:val="bottom"/>
          </w:tcPr>
          <w:p w14:paraId="71D48AF0" w14:textId="77777777" w:rsidR="006A3667" w:rsidRDefault="006A3667">
            <w:pPr>
              <w:rPr>
                <w:rFonts w:ascii="宋体"/>
                <w:vanish/>
              </w:rPr>
            </w:pPr>
          </w:p>
        </w:tc>
        <w:tc>
          <w:tcPr>
            <w:tcW w:w="0" w:type="auto"/>
            <w:gridSpan w:val="3"/>
            <w:shd w:val="clear" w:color="auto" w:fill="auto"/>
            <w:vAlign w:val="bottom"/>
          </w:tcPr>
          <w:p w14:paraId="71D48AF1" w14:textId="77777777" w:rsidR="006A3667" w:rsidRDefault="006A3667">
            <w:pPr>
              <w:rPr>
                <w:rFonts w:ascii="宋体"/>
                <w:vanish/>
              </w:rPr>
            </w:pPr>
          </w:p>
        </w:tc>
        <w:tc>
          <w:tcPr>
            <w:tcW w:w="0" w:type="auto"/>
            <w:gridSpan w:val="3"/>
            <w:shd w:val="clear" w:color="auto" w:fill="auto"/>
            <w:vAlign w:val="bottom"/>
          </w:tcPr>
          <w:p w14:paraId="71D48AF2" w14:textId="77777777" w:rsidR="006A3667" w:rsidRDefault="006A3667">
            <w:pPr>
              <w:rPr>
                <w:rFonts w:ascii="宋体"/>
                <w:vanish/>
              </w:rPr>
            </w:pPr>
          </w:p>
        </w:tc>
        <w:tc>
          <w:tcPr>
            <w:tcW w:w="0" w:type="auto"/>
            <w:gridSpan w:val="3"/>
            <w:shd w:val="clear" w:color="auto" w:fill="auto"/>
            <w:vAlign w:val="bottom"/>
          </w:tcPr>
          <w:p w14:paraId="71D48AF3" w14:textId="77777777" w:rsidR="006A3667" w:rsidRDefault="006A3667">
            <w:pPr>
              <w:rPr>
                <w:rFonts w:ascii="宋体"/>
                <w:vanish/>
              </w:rPr>
            </w:pPr>
          </w:p>
        </w:tc>
        <w:tc>
          <w:tcPr>
            <w:tcW w:w="0" w:type="auto"/>
            <w:gridSpan w:val="3"/>
            <w:shd w:val="clear" w:color="auto" w:fill="auto"/>
            <w:vAlign w:val="bottom"/>
          </w:tcPr>
          <w:p w14:paraId="71D48AF4" w14:textId="77777777" w:rsidR="006A3667" w:rsidRDefault="006A3667">
            <w:pPr>
              <w:rPr>
                <w:rFonts w:ascii="宋体"/>
                <w:vanish/>
              </w:rPr>
            </w:pPr>
          </w:p>
        </w:tc>
      </w:tr>
      <w:tr w:rsidR="006A3667" w14:paraId="71D48B0B" w14:textId="77777777">
        <w:tc>
          <w:tcPr>
            <w:tcW w:w="0" w:type="auto"/>
            <w:gridSpan w:val="3"/>
            <w:shd w:val="clear" w:color="auto" w:fill="CCEEFF"/>
            <w:tcMar>
              <w:top w:w="40" w:type="dxa"/>
              <w:left w:w="20" w:type="dxa"/>
              <w:bottom w:w="40" w:type="dxa"/>
              <w:right w:w="20" w:type="dxa"/>
            </w:tcMar>
            <w:vAlign w:val="bottom"/>
          </w:tcPr>
          <w:p w14:paraId="71D48AF6" w14:textId="77777777" w:rsidR="006A3667" w:rsidRDefault="00045F32">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71D48AF7" w14:textId="77777777" w:rsidR="006A3667" w:rsidRDefault="00045F32">
            <w:pPr>
              <w:jc w:val="right"/>
              <w:textAlignment w:val="bottom"/>
            </w:pPr>
            <w:r>
              <w:rPr>
                <w:rFonts w:ascii="Arial" w:eastAsia="宋体" w:hAnsi="Arial" w:cs="Arial"/>
                <w:color w:val="000000"/>
                <w:sz w:val="13"/>
                <w:szCs w:val="13"/>
              </w:rPr>
              <w:t>(51)</w:t>
            </w:r>
          </w:p>
        </w:tc>
        <w:tc>
          <w:tcPr>
            <w:tcW w:w="0" w:type="auto"/>
            <w:shd w:val="clear" w:color="auto" w:fill="CCEEFF"/>
            <w:tcMar>
              <w:top w:w="40" w:type="dxa"/>
              <w:left w:w="0" w:type="dxa"/>
              <w:bottom w:w="40" w:type="dxa"/>
              <w:right w:w="20" w:type="dxa"/>
            </w:tcMar>
            <w:vAlign w:val="bottom"/>
          </w:tcPr>
          <w:p w14:paraId="71D48AF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F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AFA"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A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F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AFD"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AF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AF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B00"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B0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0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B03" w14:textId="77777777" w:rsidR="006A3667" w:rsidRDefault="00045F32">
            <w:pPr>
              <w:jc w:val="right"/>
              <w:textAlignment w:val="bottom"/>
            </w:pPr>
            <w:r>
              <w:rPr>
                <w:rFonts w:ascii="Arial" w:eastAsia="宋体" w:hAnsi="Arial" w:cs="Arial"/>
                <w:color w:val="000000"/>
                <w:sz w:val="13"/>
                <w:szCs w:val="13"/>
              </w:rPr>
              <w:t>12 </w:t>
            </w:r>
          </w:p>
        </w:tc>
        <w:tc>
          <w:tcPr>
            <w:tcW w:w="0" w:type="auto"/>
            <w:shd w:val="clear" w:color="auto" w:fill="CCEEFF"/>
            <w:tcMar>
              <w:top w:w="40" w:type="dxa"/>
              <w:left w:w="0" w:type="dxa"/>
              <w:bottom w:w="40" w:type="dxa"/>
              <w:right w:w="20" w:type="dxa"/>
            </w:tcMar>
            <w:vAlign w:val="bottom"/>
          </w:tcPr>
          <w:p w14:paraId="71D48B0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0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B06" w14:textId="77777777" w:rsidR="006A3667" w:rsidRDefault="00045F32">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71D48B0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0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B09" w14:textId="77777777" w:rsidR="006A3667" w:rsidRDefault="00045F32">
            <w:pPr>
              <w:jc w:val="right"/>
              <w:textAlignment w:val="bottom"/>
            </w:pPr>
            <w:r>
              <w:rPr>
                <w:rFonts w:ascii="Arial" w:eastAsia="宋体" w:hAnsi="Arial" w:cs="Arial"/>
                <w:color w:val="000000"/>
                <w:sz w:val="13"/>
                <w:szCs w:val="13"/>
              </w:rPr>
              <w:t>(39)</w:t>
            </w:r>
          </w:p>
        </w:tc>
        <w:tc>
          <w:tcPr>
            <w:tcW w:w="0" w:type="auto"/>
            <w:shd w:val="clear" w:color="auto" w:fill="CCEEFF"/>
            <w:tcMar>
              <w:top w:w="40" w:type="dxa"/>
              <w:left w:w="0" w:type="dxa"/>
              <w:bottom w:w="40" w:type="dxa"/>
              <w:right w:w="20" w:type="dxa"/>
            </w:tcMar>
            <w:vAlign w:val="bottom"/>
          </w:tcPr>
          <w:p w14:paraId="71D48B0A" w14:textId="77777777" w:rsidR="006A3667" w:rsidRDefault="006A3667">
            <w:pPr>
              <w:jc w:val="right"/>
              <w:rPr>
                <w:rFonts w:ascii="宋体"/>
              </w:rPr>
            </w:pPr>
          </w:p>
        </w:tc>
      </w:tr>
      <w:tr w:rsidR="006A3667" w14:paraId="71D48B21" w14:textId="77777777">
        <w:tc>
          <w:tcPr>
            <w:tcW w:w="0" w:type="auto"/>
            <w:gridSpan w:val="3"/>
            <w:shd w:val="clear" w:color="auto" w:fill="FFFFFF"/>
            <w:tcMar>
              <w:top w:w="40" w:type="dxa"/>
              <w:left w:w="20" w:type="dxa"/>
              <w:bottom w:w="40" w:type="dxa"/>
              <w:right w:w="20" w:type="dxa"/>
            </w:tcMar>
            <w:vAlign w:val="bottom"/>
          </w:tcPr>
          <w:p w14:paraId="71D48B0C" w14:textId="77777777" w:rsidR="006A3667" w:rsidRDefault="00045F32">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B0D" w14:textId="77777777" w:rsidR="006A3667" w:rsidRDefault="00045F32">
            <w:pPr>
              <w:jc w:val="right"/>
              <w:textAlignment w:val="bottom"/>
            </w:pPr>
            <w:r>
              <w:rPr>
                <w:rFonts w:ascii="Arial" w:eastAsia="宋体" w:hAnsi="Arial" w:cs="Arial"/>
                <w:color w:val="000000"/>
                <w:sz w:val="13"/>
                <w:szCs w:val="13"/>
              </w:rPr>
              <w:t>(16)</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0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B0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B10" w14:textId="77777777" w:rsidR="006A3667" w:rsidRDefault="00045F32">
            <w:pPr>
              <w:jc w:val="right"/>
              <w:textAlignment w:val="bottom"/>
            </w:pPr>
            <w:r>
              <w:rPr>
                <w:rFonts w:ascii="Arial" w:eastAsia="宋体" w:hAnsi="Arial" w:cs="Arial"/>
                <w:color w:val="000000"/>
                <w:sz w:val="13"/>
                <w:szCs w:val="13"/>
              </w:rPr>
              <w:t>(558)</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1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B12"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B13" w14:textId="77777777" w:rsidR="006A3667" w:rsidRDefault="00045F32">
            <w:pPr>
              <w:jc w:val="right"/>
              <w:textAlignment w:val="bottom"/>
            </w:pPr>
            <w:r>
              <w:rPr>
                <w:rFonts w:ascii="Arial" w:eastAsia="宋体" w:hAnsi="Arial" w:cs="Arial"/>
                <w:color w:val="000000"/>
                <w:sz w:val="13"/>
                <w:szCs w:val="13"/>
              </w:rPr>
              <w:t>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B1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B16" w14:textId="77777777" w:rsidR="006A3667" w:rsidRDefault="00045F32">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1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B1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B19" w14:textId="77777777" w:rsidR="006A3667" w:rsidRDefault="00045F32">
            <w:pPr>
              <w:jc w:val="right"/>
              <w:textAlignment w:val="bottom"/>
            </w:pPr>
            <w:r>
              <w:rPr>
                <w:rFonts w:ascii="Arial" w:eastAsia="宋体" w:hAnsi="Arial" w:cs="Arial"/>
                <w:color w:val="000000"/>
                <w:sz w:val="13"/>
                <w:szCs w:val="13"/>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1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B1B"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B1C" w14:textId="77777777" w:rsidR="006A3667" w:rsidRDefault="00045F32">
            <w:pPr>
              <w:jc w:val="right"/>
              <w:textAlignment w:val="bottom"/>
            </w:pPr>
            <w:r>
              <w:rPr>
                <w:rFonts w:ascii="Arial" w:eastAsia="宋体" w:hAnsi="Arial" w:cs="Arial"/>
                <w:color w:val="000000"/>
                <w:sz w:val="13"/>
                <w:szCs w:val="13"/>
              </w:rPr>
              <w:t>(529)</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B1E"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B1F" w14:textId="77777777" w:rsidR="006A3667" w:rsidRDefault="00045F32">
            <w:pPr>
              <w:jc w:val="right"/>
              <w:textAlignment w:val="bottom"/>
            </w:pPr>
            <w:r>
              <w:rPr>
                <w:rFonts w:ascii="Arial" w:eastAsia="宋体" w:hAnsi="Arial" w:cs="Arial"/>
                <w:color w:val="000000"/>
                <w:sz w:val="13"/>
                <w:szCs w:val="13"/>
              </w:rPr>
              <w:t>(869)</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20" w14:textId="77777777" w:rsidR="006A3667" w:rsidRDefault="006A3667">
            <w:pPr>
              <w:jc w:val="right"/>
              <w:rPr>
                <w:rFonts w:ascii="宋体"/>
              </w:rPr>
            </w:pPr>
          </w:p>
        </w:tc>
      </w:tr>
      <w:tr w:rsidR="006A3667" w14:paraId="71D48B3E" w14:textId="77777777">
        <w:tc>
          <w:tcPr>
            <w:tcW w:w="0" w:type="auto"/>
            <w:gridSpan w:val="3"/>
            <w:shd w:val="clear" w:color="auto" w:fill="CCEEFF"/>
            <w:tcMar>
              <w:top w:w="40" w:type="dxa"/>
              <w:left w:w="20" w:type="dxa"/>
              <w:bottom w:w="40" w:type="dxa"/>
              <w:right w:w="20" w:type="dxa"/>
            </w:tcMar>
            <w:vAlign w:val="bottom"/>
          </w:tcPr>
          <w:p w14:paraId="71D48B22" w14:textId="77777777" w:rsidR="006A3667" w:rsidRDefault="00045F32">
            <w:pPr>
              <w:textAlignment w:val="bottom"/>
            </w:pPr>
            <w:r>
              <w:rPr>
                <w:rFonts w:ascii="Arial" w:eastAsia="宋体" w:hAnsi="Arial" w:cs="Arial"/>
                <w:b/>
                <w:bCs/>
                <w:color w:val="000000"/>
                <w:sz w:val="13"/>
                <w:szCs w:val="13"/>
              </w:rPr>
              <w:t>Balance as of September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8B23"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B24" w14:textId="77777777" w:rsidR="006A3667" w:rsidRDefault="00045F32">
            <w:pPr>
              <w:jc w:val="right"/>
              <w:textAlignment w:val="bottom"/>
            </w:pPr>
            <w:r>
              <w:rPr>
                <w:rFonts w:ascii="Arial" w:eastAsia="宋体" w:hAnsi="Arial" w:cs="Arial"/>
                <w:color w:val="000000"/>
                <w:sz w:val="13"/>
                <w:szCs w:val="13"/>
              </w:rPr>
              <w:t>41 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B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2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B2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B28" w14:textId="77777777" w:rsidR="006A3667" w:rsidRDefault="00045F32">
            <w:pPr>
              <w:jc w:val="right"/>
              <w:textAlignment w:val="bottom"/>
            </w:pPr>
            <w:r>
              <w:rPr>
                <w:rFonts w:ascii="Arial" w:eastAsia="宋体" w:hAnsi="Arial" w:cs="Arial"/>
                <w:color w:val="000000"/>
                <w:sz w:val="13"/>
                <w:szCs w:val="13"/>
              </w:rPr>
              <w:t>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B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2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B2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B2C" w14:textId="77777777" w:rsidR="006A3667" w:rsidRDefault="00045F32">
            <w:pPr>
              <w:jc w:val="right"/>
              <w:textAlignment w:val="bottom"/>
            </w:pPr>
            <w:r>
              <w:rPr>
                <w:rFonts w:ascii="Arial" w:eastAsia="宋体" w:hAnsi="Arial" w:cs="Arial"/>
                <w:color w:val="000000"/>
                <w:sz w:val="13"/>
                <w:szCs w:val="13"/>
              </w:rPr>
              <w:t>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B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2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B2F"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B30" w14:textId="77777777" w:rsidR="006A3667" w:rsidRDefault="00045F32">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B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3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B33"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B34" w14:textId="77777777" w:rsidR="006A3667" w:rsidRDefault="00045F32">
            <w:pPr>
              <w:jc w:val="right"/>
              <w:textAlignment w:val="bottom"/>
            </w:pPr>
            <w:r>
              <w:rPr>
                <w:rFonts w:ascii="Arial" w:eastAsia="宋体" w:hAnsi="Arial" w:cs="Arial"/>
                <w:color w:val="000000"/>
                <w:sz w:val="13"/>
                <w:szCs w:val="13"/>
              </w:rPr>
              <w:t>(166)</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B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3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B37"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B38" w14:textId="77777777" w:rsidR="006A3667" w:rsidRDefault="00045F32">
            <w:pPr>
              <w:jc w:val="right"/>
              <w:textAlignment w:val="bottom"/>
            </w:pPr>
            <w:r>
              <w:rPr>
                <w:rFonts w:ascii="Arial" w:eastAsia="宋体" w:hAnsi="Arial" w:cs="Arial"/>
                <w:color w:val="000000"/>
                <w:sz w:val="13"/>
                <w:szCs w:val="13"/>
              </w:rPr>
              <w:t>(863)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B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3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B3B" w14:textId="77777777" w:rsidR="006A3667" w:rsidRDefault="00045F32">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B3C" w14:textId="77777777" w:rsidR="006A3667" w:rsidRDefault="00045F32">
            <w:pPr>
              <w:jc w:val="right"/>
              <w:textAlignment w:val="bottom"/>
            </w:pPr>
            <w:r>
              <w:rPr>
                <w:rFonts w:ascii="Arial" w:eastAsia="宋体" w:hAnsi="Arial" w:cs="Arial"/>
                <w:color w:val="000000"/>
                <w:sz w:val="13"/>
                <w:szCs w:val="13"/>
              </w:rPr>
              <w:t>(682)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B3D" w14:textId="77777777" w:rsidR="006A3667" w:rsidRDefault="006A3667">
            <w:pPr>
              <w:jc w:val="right"/>
              <w:rPr>
                <w:rFonts w:ascii="宋体"/>
              </w:rPr>
            </w:pPr>
          </w:p>
        </w:tc>
      </w:tr>
      <w:tr w:rsidR="006A3667" w14:paraId="71D48B4D" w14:textId="77777777">
        <w:trPr>
          <w:trHeight w:val="120"/>
        </w:trPr>
        <w:tc>
          <w:tcPr>
            <w:tcW w:w="0" w:type="auto"/>
            <w:gridSpan w:val="3"/>
            <w:shd w:val="clear" w:color="auto" w:fill="FFFFFF"/>
            <w:tcMar>
              <w:top w:w="0" w:type="dxa"/>
              <w:left w:w="20" w:type="dxa"/>
              <w:bottom w:w="0" w:type="dxa"/>
              <w:right w:w="20" w:type="dxa"/>
            </w:tcMar>
            <w:vAlign w:val="bottom"/>
          </w:tcPr>
          <w:p w14:paraId="71D48B3F"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B4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41"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B4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43"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B4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45"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B4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47"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B4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49"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B4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4B"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B4C" w14:textId="77777777" w:rsidR="006A3667" w:rsidRDefault="006A3667">
            <w:pPr>
              <w:rPr>
                <w:rFonts w:ascii="宋体"/>
              </w:rPr>
            </w:pPr>
          </w:p>
        </w:tc>
      </w:tr>
    </w:tbl>
    <w:p w14:paraId="71D48B4E" w14:textId="77777777" w:rsidR="006A3667" w:rsidRDefault="00045F32">
      <w:pPr>
        <w:ind w:firstLine="450"/>
      </w:pPr>
      <w:r>
        <w:rPr>
          <w:rFonts w:ascii="Arial" w:eastAsia="宋体" w:hAnsi="Arial" w:cs="Arial"/>
          <w:color w:val="000000"/>
          <w:sz w:val="20"/>
          <w:szCs w:val="20"/>
        </w:rPr>
        <w:t>The following tables present after-tax reclassifications into earnings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51"/>
        <w:gridCol w:w="3912"/>
        <w:gridCol w:w="37"/>
        <w:gridCol w:w="99"/>
        <w:gridCol w:w="850"/>
        <w:gridCol w:w="37"/>
        <w:gridCol w:w="36"/>
        <w:gridCol w:w="36"/>
        <w:gridCol w:w="36"/>
        <w:gridCol w:w="98"/>
        <w:gridCol w:w="838"/>
        <w:gridCol w:w="36"/>
        <w:gridCol w:w="36"/>
        <w:gridCol w:w="36"/>
        <w:gridCol w:w="36"/>
        <w:gridCol w:w="38"/>
        <w:gridCol w:w="2075"/>
        <w:gridCol w:w="37"/>
      </w:tblGrid>
      <w:tr w:rsidR="006A3667" w14:paraId="71D48B61" w14:textId="77777777">
        <w:tc>
          <w:tcPr>
            <w:tcW w:w="50" w:type="pct"/>
            <w:shd w:val="clear" w:color="auto" w:fill="auto"/>
            <w:vAlign w:val="bottom"/>
          </w:tcPr>
          <w:p w14:paraId="71D48B4F" w14:textId="77777777" w:rsidR="006A3667" w:rsidRDefault="006A3667">
            <w:pPr>
              <w:rPr>
                <w:rFonts w:ascii="宋体"/>
              </w:rPr>
            </w:pPr>
          </w:p>
        </w:tc>
        <w:tc>
          <w:tcPr>
            <w:tcW w:w="2368" w:type="pct"/>
            <w:shd w:val="clear" w:color="auto" w:fill="auto"/>
            <w:vAlign w:val="bottom"/>
          </w:tcPr>
          <w:p w14:paraId="71D48B50" w14:textId="77777777" w:rsidR="006A3667" w:rsidRDefault="006A3667">
            <w:pPr>
              <w:rPr>
                <w:rFonts w:ascii="宋体"/>
              </w:rPr>
            </w:pPr>
          </w:p>
        </w:tc>
        <w:tc>
          <w:tcPr>
            <w:tcW w:w="5" w:type="pct"/>
            <w:shd w:val="clear" w:color="auto" w:fill="auto"/>
            <w:vAlign w:val="bottom"/>
          </w:tcPr>
          <w:p w14:paraId="71D48B51" w14:textId="77777777" w:rsidR="006A3667" w:rsidRDefault="006A3667">
            <w:pPr>
              <w:rPr>
                <w:rFonts w:ascii="宋体"/>
              </w:rPr>
            </w:pPr>
          </w:p>
        </w:tc>
        <w:tc>
          <w:tcPr>
            <w:tcW w:w="50" w:type="pct"/>
            <w:shd w:val="clear" w:color="auto" w:fill="auto"/>
            <w:vAlign w:val="bottom"/>
          </w:tcPr>
          <w:p w14:paraId="71D48B52" w14:textId="77777777" w:rsidR="006A3667" w:rsidRDefault="006A3667">
            <w:pPr>
              <w:rPr>
                <w:rFonts w:ascii="宋体"/>
              </w:rPr>
            </w:pPr>
          </w:p>
        </w:tc>
        <w:tc>
          <w:tcPr>
            <w:tcW w:w="530" w:type="pct"/>
            <w:shd w:val="clear" w:color="auto" w:fill="auto"/>
            <w:vAlign w:val="bottom"/>
          </w:tcPr>
          <w:p w14:paraId="71D48B53" w14:textId="77777777" w:rsidR="006A3667" w:rsidRDefault="006A3667">
            <w:pPr>
              <w:rPr>
                <w:rFonts w:ascii="宋体"/>
              </w:rPr>
            </w:pPr>
          </w:p>
        </w:tc>
        <w:tc>
          <w:tcPr>
            <w:tcW w:w="5" w:type="pct"/>
            <w:shd w:val="clear" w:color="auto" w:fill="auto"/>
            <w:vAlign w:val="bottom"/>
          </w:tcPr>
          <w:p w14:paraId="71D48B54" w14:textId="77777777" w:rsidR="006A3667" w:rsidRDefault="006A3667">
            <w:pPr>
              <w:rPr>
                <w:rFonts w:ascii="宋体"/>
              </w:rPr>
            </w:pPr>
          </w:p>
        </w:tc>
        <w:tc>
          <w:tcPr>
            <w:tcW w:w="5" w:type="pct"/>
            <w:shd w:val="clear" w:color="auto" w:fill="auto"/>
            <w:vAlign w:val="bottom"/>
          </w:tcPr>
          <w:p w14:paraId="71D48B55" w14:textId="77777777" w:rsidR="006A3667" w:rsidRDefault="006A3667">
            <w:pPr>
              <w:rPr>
                <w:rFonts w:ascii="宋体"/>
              </w:rPr>
            </w:pPr>
          </w:p>
        </w:tc>
        <w:tc>
          <w:tcPr>
            <w:tcW w:w="26" w:type="pct"/>
            <w:shd w:val="clear" w:color="auto" w:fill="auto"/>
            <w:vAlign w:val="bottom"/>
          </w:tcPr>
          <w:p w14:paraId="71D48B56" w14:textId="77777777" w:rsidR="006A3667" w:rsidRDefault="006A3667">
            <w:pPr>
              <w:rPr>
                <w:rFonts w:ascii="宋体"/>
              </w:rPr>
            </w:pPr>
          </w:p>
        </w:tc>
        <w:tc>
          <w:tcPr>
            <w:tcW w:w="5" w:type="pct"/>
            <w:shd w:val="clear" w:color="auto" w:fill="auto"/>
            <w:vAlign w:val="bottom"/>
          </w:tcPr>
          <w:p w14:paraId="71D48B57" w14:textId="77777777" w:rsidR="006A3667" w:rsidRDefault="006A3667">
            <w:pPr>
              <w:rPr>
                <w:rFonts w:ascii="宋体"/>
              </w:rPr>
            </w:pPr>
          </w:p>
        </w:tc>
        <w:tc>
          <w:tcPr>
            <w:tcW w:w="50" w:type="pct"/>
            <w:shd w:val="clear" w:color="auto" w:fill="auto"/>
            <w:vAlign w:val="bottom"/>
          </w:tcPr>
          <w:p w14:paraId="71D48B58" w14:textId="77777777" w:rsidR="006A3667" w:rsidRDefault="006A3667">
            <w:pPr>
              <w:rPr>
                <w:rFonts w:ascii="宋体"/>
              </w:rPr>
            </w:pPr>
          </w:p>
        </w:tc>
        <w:tc>
          <w:tcPr>
            <w:tcW w:w="537" w:type="pct"/>
            <w:shd w:val="clear" w:color="auto" w:fill="auto"/>
            <w:vAlign w:val="bottom"/>
          </w:tcPr>
          <w:p w14:paraId="71D48B59" w14:textId="77777777" w:rsidR="006A3667" w:rsidRDefault="006A3667">
            <w:pPr>
              <w:rPr>
                <w:rFonts w:ascii="宋体"/>
              </w:rPr>
            </w:pPr>
          </w:p>
        </w:tc>
        <w:tc>
          <w:tcPr>
            <w:tcW w:w="5" w:type="pct"/>
            <w:shd w:val="clear" w:color="auto" w:fill="auto"/>
            <w:vAlign w:val="bottom"/>
          </w:tcPr>
          <w:p w14:paraId="71D48B5A" w14:textId="77777777" w:rsidR="006A3667" w:rsidRDefault="006A3667">
            <w:pPr>
              <w:rPr>
                <w:rFonts w:ascii="宋体"/>
              </w:rPr>
            </w:pPr>
          </w:p>
        </w:tc>
        <w:tc>
          <w:tcPr>
            <w:tcW w:w="5" w:type="pct"/>
            <w:shd w:val="clear" w:color="auto" w:fill="auto"/>
            <w:vAlign w:val="bottom"/>
          </w:tcPr>
          <w:p w14:paraId="71D48B5B" w14:textId="77777777" w:rsidR="006A3667" w:rsidRDefault="006A3667">
            <w:pPr>
              <w:rPr>
                <w:rFonts w:ascii="宋体"/>
              </w:rPr>
            </w:pPr>
          </w:p>
        </w:tc>
        <w:tc>
          <w:tcPr>
            <w:tcW w:w="26" w:type="pct"/>
            <w:shd w:val="clear" w:color="auto" w:fill="auto"/>
            <w:vAlign w:val="bottom"/>
          </w:tcPr>
          <w:p w14:paraId="71D48B5C" w14:textId="77777777" w:rsidR="006A3667" w:rsidRDefault="006A3667">
            <w:pPr>
              <w:rPr>
                <w:rFonts w:ascii="宋体"/>
              </w:rPr>
            </w:pPr>
          </w:p>
        </w:tc>
        <w:tc>
          <w:tcPr>
            <w:tcW w:w="5" w:type="pct"/>
            <w:shd w:val="clear" w:color="auto" w:fill="auto"/>
            <w:vAlign w:val="bottom"/>
          </w:tcPr>
          <w:p w14:paraId="71D48B5D" w14:textId="77777777" w:rsidR="006A3667" w:rsidRDefault="006A3667">
            <w:pPr>
              <w:rPr>
                <w:rFonts w:ascii="宋体"/>
              </w:rPr>
            </w:pPr>
          </w:p>
        </w:tc>
        <w:tc>
          <w:tcPr>
            <w:tcW w:w="50" w:type="pct"/>
            <w:shd w:val="clear" w:color="auto" w:fill="auto"/>
            <w:vAlign w:val="bottom"/>
          </w:tcPr>
          <w:p w14:paraId="71D48B5E" w14:textId="77777777" w:rsidR="006A3667" w:rsidRDefault="006A3667">
            <w:pPr>
              <w:rPr>
                <w:rFonts w:ascii="宋体"/>
              </w:rPr>
            </w:pPr>
          </w:p>
        </w:tc>
        <w:tc>
          <w:tcPr>
            <w:tcW w:w="1270" w:type="pct"/>
            <w:shd w:val="clear" w:color="auto" w:fill="auto"/>
            <w:vAlign w:val="bottom"/>
          </w:tcPr>
          <w:p w14:paraId="71D48B5F" w14:textId="77777777" w:rsidR="006A3667" w:rsidRDefault="006A3667">
            <w:pPr>
              <w:rPr>
                <w:rFonts w:ascii="宋体"/>
              </w:rPr>
            </w:pPr>
          </w:p>
        </w:tc>
        <w:tc>
          <w:tcPr>
            <w:tcW w:w="5" w:type="pct"/>
            <w:shd w:val="clear" w:color="auto" w:fill="auto"/>
            <w:vAlign w:val="bottom"/>
          </w:tcPr>
          <w:p w14:paraId="71D48B60" w14:textId="77777777" w:rsidR="006A3667" w:rsidRDefault="006A3667">
            <w:pPr>
              <w:rPr>
                <w:rFonts w:ascii="宋体"/>
              </w:rPr>
            </w:pPr>
          </w:p>
        </w:tc>
      </w:tr>
      <w:tr w:rsidR="006A3667" w14:paraId="71D48B66" w14:textId="77777777">
        <w:tc>
          <w:tcPr>
            <w:tcW w:w="0" w:type="auto"/>
            <w:gridSpan w:val="3"/>
            <w:shd w:val="clear" w:color="auto" w:fill="auto"/>
            <w:tcMar>
              <w:top w:w="0" w:type="dxa"/>
              <w:left w:w="20" w:type="dxa"/>
              <w:bottom w:w="0" w:type="dxa"/>
              <w:right w:w="20" w:type="dxa"/>
            </w:tcMar>
            <w:vAlign w:val="bottom"/>
          </w:tcPr>
          <w:p w14:paraId="71D48B62"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8B63"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1D48B6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B65" w14:textId="77777777" w:rsidR="006A3667" w:rsidRDefault="006A3667">
            <w:pPr>
              <w:rPr>
                <w:rFonts w:ascii="宋体"/>
              </w:rPr>
            </w:pPr>
          </w:p>
        </w:tc>
      </w:tr>
      <w:tr w:rsidR="006A3667" w14:paraId="71D48B6D" w14:textId="77777777">
        <w:tc>
          <w:tcPr>
            <w:tcW w:w="0" w:type="auto"/>
            <w:gridSpan w:val="3"/>
            <w:shd w:val="clear" w:color="auto" w:fill="auto"/>
            <w:tcMar>
              <w:top w:w="0" w:type="dxa"/>
              <w:left w:w="20" w:type="dxa"/>
              <w:bottom w:w="0" w:type="dxa"/>
              <w:right w:w="20" w:type="dxa"/>
            </w:tcMar>
            <w:vAlign w:val="bottom"/>
          </w:tcPr>
          <w:p w14:paraId="71D48B67"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B68"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B69" w14:textId="77777777" w:rsidR="006A3667" w:rsidRDefault="006A3667">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1D48B6A"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8B6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B6C" w14:textId="77777777" w:rsidR="006A3667" w:rsidRDefault="006A3667">
            <w:pPr>
              <w:rPr>
                <w:rFonts w:ascii="宋体"/>
              </w:rPr>
            </w:pPr>
          </w:p>
        </w:tc>
      </w:tr>
      <w:tr w:rsidR="006A3667" w14:paraId="71D48B72" w14:textId="77777777">
        <w:tc>
          <w:tcPr>
            <w:tcW w:w="0" w:type="auto"/>
            <w:gridSpan w:val="3"/>
            <w:shd w:val="clear" w:color="auto" w:fill="auto"/>
            <w:tcMar>
              <w:top w:w="40" w:type="dxa"/>
              <w:left w:w="20" w:type="dxa"/>
              <w:bottom w:w="40" w:type="dxa"/>
              <w:right w:w="20" w:type="dxa"/>
            </w:tcMar>
            <w:vAlign w:val="bottom"/>
          </w:tcPr>
          <w:p w14:paraId="71D48B6E"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8B6F" w14:textId="77777777" w:rsidR="006A3667" w:rsidRDefault="00045F32">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71D48B70"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B71" w14:textId="77777777" w:rsidR="006A3667" w:rsidRDefault="00045F32">
            <w:pPr>
              <w:jc w:val="center"/>
              <w:textAlignment w:val="bottom"/>
            </w:pPr>
            <w:r>
              <w:rPr>
                <w:rFonts w:ascii="Arial" w:eastAsia="宋体" w:hAnsi="Arial" w:cs="Arial"/>
                <w:b/>
                <w:bCs/>
                <w:color w:val="000000"/>
                <w:sz w:val="14"/>
                <w:szCs w:val="14"/>
              </w:rPr>
              <w:t>Affected Line Item in Consolidated Statement of Income</w:t>
            </w:r>
          </w:p>
        </w:tc>
      </w:tr>
      <w:tr w:rsidR="006A3667" w14:paraId="71D48B79" w14:textId="77777777">
        <w:trPr>
          <w:hidden/>
        </w:trPr>
        <w:tc>
          <w:tcPr>
            <w:tcW w:w="0" w:type="auto"/>
            <w:gridSpan w:val="3"/>
            <w:shd w:val="clear" w:color="auto" w:fill="auto"/>
            <w:vAlign w:val="bottom"/>
          </w:tcPr>
          <w:p w14:paraId="71D48B73" w14:textId="77777777" w:rsidR="006A3667" w:rsidRDefault="006A3667">
            <w:pPr>
              <w:rPr>
                <w:rFonts w:ascii="宋体"/>
                <w:vanish/>
              </w:rPr>
            </w:pPr>
          </w:p>
        </w:tc>
        <w:tc>
          <w:tcPr>
            <w:tcW w:w="0" w:type="auto"/>
            <w:gridSpan w:val="3"/>
            <w:shd w:val="clear" w:color="auto" w:fill="auto"/>
            <w:vAlign w:val="bottom"/>
          </w:tcPr>
          <w:p w14:paraId="71D48B74" w14:textId="77777777" w:rsidR="006A3667" w:rsidRDefault="006A3667">
            <w:pPr>
              <w:rPr>
                <w:rFonts w:ascii="宋体"/>
                <w:vanish/>
              </w:rPr>
            </w:pPr>
          </w:p>
        </w:tc>
        <w:tc>
          <w:tcPr>
            <w:tcW w:w="0" w:type="auto"/>
            <w:gridSpan w:val="3"/>
            <w:shd w:val="clear" w:color="auto" w:fill="auto"/>
            <w:vAlign w:val="bottom"/>
          </w:tcPr>
          <w:p w14:paraId="71D48B75" w14:textId="77777777" w:rsidR="006A3667" w:rsidRDefault="006A3667">
            <w:pPr>
              <w:rPr>
                <w:rFonts w:ascii="宋体"/>
                <w:vanish/>
              </w:rPr>
            </w:pPr>
          </w:p>
        </w:tc>
        <w:tc>
          <w:tcPr>
            <w:tcW w:w="0" w:type="auto"/>
            <w:gridSpan w:val="3"/>
            <w:shd w:val="clear" w:color="auto" w:fill="auto"/>
            <w:vAlign w:val="bottom"/>
          </w:tcPr>
          <w:p w14:paraId="71D48B76" w14:textId="77777777" w:rsidR="006A3667" w:rsidRDefault="006A3667">
            <w:pPr>
              <w:rPr>
                <w:rFonts w:ascii="宋体"/>
                <w:vanish/>
              </w:rPr>
            </w:pPr>
          </w:p>
        </w:tc>
        <w:tc>
          <w:tcPr>
            <w:tcW w:w="0" w:type="auto"/>
            <w:gridSpan w:val="3"/>
            <w:shd w:val="clear" w:color="auto" w:fill="auto"/>
            <w:vAlign w:val="bottom"/>
          </w:tcPr>
          <w:p w14:paraId="71D48B77" w14:textId="77777777" w:rsidR="006A3667" w:rsidRDefault="006A3667">
            <w:pPr>
              <w:rPr>
                <w:rFonts w:ascii="宋体"/>
                <w:vanish/>
              </w:rPr>
            </w:pPr>
          </w:p>
        </w:tc>
        <w:tc>
          <w:tcPr>
            <w:tcW w:w="0" w:type="auto"/>
            <w:gridSpan w:val="3"/>
            <w:shd w:val="clear" w:color="auto" w:fill="auto"/>
            <w:vAlign w:val="bottom"/>
          </w:tcPr>
          <w:p w14:paraId="71D48B78" w14:textId="77777777" w:rsidR="006A3667" w:rsidRDefault="006A3667">
            <w:pPr>
              <w:rPr>
                <w:rFonts w:ascii="宋体"/>
                <w:vanish/>
              </w:rPr>
            </w:pPr>
          </w:p>
        </w:tc>
      </w:tr>
      <w:tr w:rsidR="006A3667" w14:paraId="71D48B80" w14:textId="77777777">
        <w:trPr>
          <w:hidden/>
        </w:trPr>
        <w:tc>
          <w:tcPr>
            <w:tcW w:w="0" w:type="auto"/>
            <w:gridSpan w:val="3"/>
            <w:shd w:val="clear" w:color="auto" w:fill="auto"/>
            <w:vAlign w:val="bottom"/>
          </w:tcPr>
          <w:p w14:paraId="71D48B7A" w14:textId="77777777" w:rsidR="006A3667" w:rsidRDefault="006A3667">
            <w:pPr>
              <w:rPr>
                <w:rFonts w:ascii="宋体"/>
                <w:vanish/>
              </w:rPr>
            </w:pPr>
          </w:p>
        </w:tc>
        <w:tc>
          <w:tcPr>
            <w:tcW w:w="0" w:type="auto"/>
            <w:gridSpan w:val="3"/>
            <w:shd w:val="clear" w:color="auto" w:fill="auto"/>
            <w:vAlign w:val="bottom"/>
          </w:tcPr>
          <w:p w14:paraId="71D48B7B" w14:textId="77777777" w:rsidR="006A3667" w:rsidRDefault="006A3667">
            <w:pPr>
              <w:rPr>
                <w:rFonts w:ascii="宋体"/>
                <w:vanish/>
              </w:rPr>
            </w:pPr>
          </w:p>
        </w:tc>
        <w:tc>
          <w:tcPr>
            <w:tcW w:w="0" w:type="auto"/>
            <w:gridSpan w:val="3"/>
            <w:shd w:val="clear" w:color="auto" w:fill="auto"/>
            <w:vAlign w:val="bottom"/>
          </w:tcPr>
          <w:p w14:paraId="71D48B7C" w14:textId="77777777" w:rsidR="006A3667" w:rsidRDefault="006A3667">
            <w:pPr>
              <w:rPr>
                <w:rFonts w:ascii="宋体"/>
                <w:vanish/>
              </w:rPr>
            </w:pPr>
          </w:p>
        </w:tc>
        <w:tc>
          <w:tcPr>
            <w:tcW w:w="0" w:type="auto"/>
            <w:gridSpan w:val="3"/>
            <w:shd w:val="clear" w:color="auto" w:fill="auto"/>
            <w:vAlign w:val="bottom"/>
          </w:tcPr>
          <w:p w14:paraId="71D48B7D" w14:textId="77777777" w:rsidR="006A3667" w:rsidRDefault="006A3667">
            <w:pPr>
              <w:rPr>
                <w:rFonts w:ascii="宋体"/>
                <w:vanish/>
              </w:rPr>
            </w:pPr>
          </w:p>
        </w:tc>
        <w:tc>
          <w:tcPr>
            <w:tcW w:w="0" w:type="auto"/>
            <w:gridSpan w:val="3"/>
            <w:shd w:val="clear" w:color="auto" w:fill="auto"/>
            <w:vAlign w:val="bottom"/>
          </w:tcPr>
          <w:p w14:paraId="71D48B7E" w14:textId="77777777" w:rsidR="006A3667" w:rsidRDefault="006A3667">
            <w:pPr>
              <w:rPr>
                <w:rFonts w:ascii="宋体"/>
                <w:vanish/>
              </w:rPr>
            </w:pPr>
          </w:p>
        </w:tc>
        <w:tc>
          <w:tcPr>
            <w:tcW w:w="0" w:type="auto"/>
            <w:gridSpan w:val="3"/>
            <w:shd w:val="clear" w:color="auto" w:fill="auto"/>
            <w:vAlign w:val="bottom"/>
          </w:tcPr>
          <w:p w14:paraId="71D48B7F" w14:textId="77777777" w:rsidR="006A3667" w:rsidRDefault="006A3667">
            <w:pPr>
              <w:rPr>
                <w:rFonts w:ascii="宋体"/>
                <w:vanish/>
              </w:rPr>
            </w:pPr>
          </w:p>
        </w:tc>
      </w:tr>
      <w:tr w:rsidR="006A3667" w14:paraId="71D48B87" w14:textId="77777777">
        <w:trPr>
          <w:hidden/>
        </w:trPr>
        <w:tc>
          <w:tcPr>
            <w:tcW w:w="0" w:type="auto"/>
            <w:gridSpan w:val="3"/>
            <w:shd w:val="clear" w:color="auto" w:fill="auto"/>
            <w:vAlign w:val="bottom"/>
          </w:tcPr>
          <w:p w14:paraId="71D48B81" w14:textId="77777777" w:rsidR="006A3667" w:rsidRDefault="006A3667">
            <w:pPr>
              <w:rPr>
                <w:rFonts w:ascii="宋体"/>
                <w:vanish/>
              </w:rPr>
            </w:pPr>
          </w:p>
        </w:tc>
        <w:tc>
          <w:tcPr>
            <w:tcW w:w="0" w:type="auto"/>
            <w:gridSpan w:val="3"/>
            <w:shd w:val="clear" w:color="auto" w:fill="auto"/>
            <w:vAlign w:val="bottom"/>
          </w:tcPr>
          <w:p w14:paraId="71D48B82" w14:textId="77777777" w:rsidR="006A3667" w:rsidRDefault="006A3667">
            <w:pPr>
              <w:rPr>
                <w:rFonts w:ascii="宋体"/>
                <w:vanish/>
              </w:rPr>
            </w:pPr>
          </w:p>
        </w:tc>
        <w:tc>
          <w:tcPr>
            <w:tcW w:w="0" w:type="auto"/>
            <w:gridSpan w:val="3"/>
            <w:shd w:val="clear" w:color="auto" w:fill="auto"/>
            <w:vAlign w:val="bottom"/>
          </w:tcPr>
          <w:p w14:paraId="71D48B83" w14:textId="77777777" w:rsidR="006A3667" w:rsidRDefault="006A3667">
            <w:pPr>
              <w:rPr>
                <w:rFonts w:ascii="宋体"/>
                <w:vanish/>
              </w:rPr>
            </w:pPr>
          </w:p>
        </w:tc>
        <w:tc>
          <w:tcPr>
            <w:tcW w:w="0" w:type="auto"/>
            <w:gridSpan w:val="3"/>
            <w:shd w:val="clear" w:color="auto" w:fill="auto"/>
            <w:vAlign w:val="bottom"/>
          </w:tcPr>
          <w:p w14:paraId="71D48B84" w14:textId="77777777" w:rsidR="006A3667" w:rsidRDefault="006A3667">
            <w:pPr>
              <w:rPr>
                <w:rFonts w:ascii="宋体"/>
                <w:vanish/>
              </w:rPr>
            </w:pPr>
          </w:p>
        </w:tc>
        <w:tc>
          <w:tcPr>
            <w:tcW w:w="0" w:type="auto"/>
            <w:gridSpan w:val="3"/>
            <w:shd w:val="clear" w:color="auto" w:fill="auto"/>
            <w:vAlign w:val="bottom"/>
          </w:tcPr>
          <w:p w14:paraId="71D48B85" w14:textId="77777777" w:rsidR="006A3667" w:rsidRDefault="006A3667">
            <w:pPr>
              <w:rPr>
                <w:rFonts w:ascii="宋体"/>
                <w:vanish/>
              </w:rPr>
            </w:pPr>
          </w:p>
        </w:tc>
        <w:tc>
          <w:tcPr>
            <w:tcW w:w="0" w:type="auto"/>
            <w:gridSpan w:val="3"/>
            <w:shd w:val="clear" w:color="auto" w:fill="auto"/>
            <w:vAlign w:val="bottom"/>
          </w:tcPr>
          <w:p w14:paraId="71D48B86" w14:textId="77777777" w:rsidR="006A3667" w:rsidRDefault="006A3667">
            <w:pPr>
              <w:rPr>
                <w:rFonts w:ascii="宋体"/>
                <w:vanish/>
              </w:rPr>
            </w:pPr>
          </w:p>
        </w:tc>
      </w:tr>
      <w:tr w:rsidR="006A3667" w14:paraId="71D48B8E" w14:textId="77777777">
        <w:trPr>
          <w:hidden/>
        </w:trPr>
        <w:tc>
          <w:tcPr>
            <w:tcW w:w="0" w:type="auto"/>
            <w:gridSpan w:val="3"/>
            <w:shd w:val="clear" w:color="auto" w:fill="auto"/>
            <w:vAlign w:val="bottom"/>
          </w:tcPr>
          <w:p w14:paraId="71D48B88" w14:textId="77777777" w:rsidR="006A3667" w:rsidRDefault="006A3667">
            <w:pPr>
              <w:rPr>
                <w:rFonts w:ascii="宋体"/>
                <w:vanish/>
              </w:rPr>
            </w:pPr>
          </w:p>
        </w:tc>
        <w:tc>
          <w:tcPr>
            <w:tcW w:w="0" w:type="auto"/>
            <w:gridSpan w:val="3"/>
            <w:shd w:val="clear" w:color="auto" w:fill="auto"/>
            <w:vAlign w:val="bottom"/>
          </w:tcPr>
          <w:p w14:paraId="71D48B89" w14:textId="77777777" w:rsidR="006A3667" w:rsidRDefault="006A3667">
            <w:pPr>
              <w:rPr>
                <w:rFonts w:ascii="宋体"/>
                <w:vanish/>
              </w:rPr>
            </w:pPr>
          </w:p>
        </w:tc>
        <w:tc>
          <w:tcPr>
            <w:tcW w:w="0" w:type="auto"/>
            <w:gridSpan w:val="3"/>
            <w:shd w:val="clear" w:color="auto" w:fill="auto"/>
            <w:vAlign w:val="bottom"/>
          </w:tcPr>
          <w:p w14:paraId="71D48B8A" w14:textId="77777777" w:rsidR="006A3667" w:rsidRDefault="006A3667">
            <w:pPr>
              <w:rPr>
                <w:rFonts w:ascii="宋体"/>
                <w:vanish/>
              </w:rPr>
            </w:pPr>
          </w:p>
        </w:tc>
        <w:tc>
          <w:tcPr>
            <w:tcW w:w="0" w:type="auto"/>
            <w:gridSpan w:val="3"/>
            <w:shd w:val="clear" w:color="auto" w:fill="auto"/>
            <w:vAlign w:val="bottom"/>
          </w:tcPr>
          <w:p w14:paraId="71D48B8B" w14:textId="77777777" w:rsidR="006A3667" w:rsidRDefault="006A3667">
            <w:pPr>
              <w:rPr>
                <w:rFonts w:ascii="宋体"/>
                <w:vanish/>
              </w:rPr>
            </w:pPr>
          </w:p>
        </w:tc>
        <w:tc>
          <w:tcPr>
            <w:tcW w:w="0" w:type="auto"/>
            <w:gridSpan w:val="3"/>
            <w:shd w:val="clear" w:color="auto" w:fill="auto"/>
            <w:vAlign w:val="bottom"/>
          </w:tcPr>
          <w:p w14:paraId="71D48B8C" w14:textId="77777777" w:rsidR="006A3667" w:rsidRDefault="006A3667">
            <w:pPr>
              <w:rPr>
                <w:rFonts w:ascii="宋体"/>
                <w:vanish/>
              </w:rPr>
            </w:pPr>
          </w:p>
        </w:tc>
        <w:tc>
          <w:tcPr>
            <w:tcW w:w="0" w:type="auto"/>
            <w:gridSpan w:val="3"/>
            <w:shd w:val="clear" w:color="auto" w:fill="auto"/>
            <w:vAlign w:val="bottom"/>
          </w:tcPr>
          <w:p w14:paraId="71D48B8D" w14:textId="77777777" w:rsidR="006A3667" w:rsidRDefault="006A3667">
            <w:pPr>
              <w:rPr>
                <w:rFonts w:ascii="宋体"/>
                <w:vanish/>
              </w:rPr>
            </w:pPr>
          </w:p>
        </w:tc>
      </w:tr>
      <w:tr w:rsidR="006A3667" w14:paraId="71D48B95" w14:textId="77777777">
        <w:trPr>
          <w:hidden/>
        </w:trPr>
        <w:tc>
          <w:tcPr>
            <w:tcW w:w="0" w:type="auto"/>
            <w:gridSpan w:val="3"/>
            <w:shd w:val="clear" w:color="auto" w:fill="auto"/>
            <w:vAlign w:val="bottom"/>
          </w:tcPr>
          <w:p w14:paraId="71D48B8F" w14:textId="77777777" w:rsidR="006A3667" w:rsidRDefault="006A3667">
            <w:pPr>
              <w:rPr>
                <w:rFonts w:ascii="宋体"/>
                <w:vanish/>
              </w:rPr>
            </w:pPr>
          </w:p>
        </w:tc>
        <w:tc>
          <w:tcPr>
            <w:tcW w:w="0" w:type="auto"/>
            <w:gridSpan w:val="3"/>
            <w:shd w:val="clear" w:color="auto" w:fill="auto"/>
            <w:vAlign w:val="bottom"/>
          </w:tcPr>
          <w:p w14:paraId="71D48B90" w14:textId="77777777" w:rsidR="006A3667" w:rsidRDefault="006A3667">
            <w:pPr>
              <w:rPr>
                <w:rFonts w:ascii="宋体"/>
                <w:vanish/>
              </w:rPr>
            </w:pPr>
          </w:p>
        </w:tc>
        <w:tc>
          <w:tcPr>
            <w:tcW w:w="0" w:type="auto"/>
            <w:gridSpan w:val="3"/>
            <w:shd w:val="clear" w:color="auto" w:fill="auto"/>
            <w:vAlign w:val="bottom"/>
          </w:tcPr>
          <w:p w14:paraId="71D48B91" w14:textId="77777777" w:rsidR="006A3667" w:rsidRDefault="006A3667">
            <w:pPr>
              <w:rPr>
                <w:rFonts w:ascii="宋体"/>
                <w:vanish/>
              </w:rPr>
            </w:pPr>
          </w:p>
        </w:tc>
        <w:tc>
          <w:tcPr>
            <w:tcW w:w="0" w:type="auto"/>
            <w:gridSpan w:val="3"/>
            <w:shd w:val="clear" w:color="auto" w:fill="auto"/>
            <w:vAlign w:val="bottom"/>
          </w:tcPr>
          <w:p w14:paraId="71D48B92" w14:textId="77777777" w:rsidR="006A3667" w:rsidRDefault="006A3667">
            <w:pPr>
              <w:rPr>
                <w:rFonts w:ascii="宋体"/>
                <w:vanish/>
              </w:rPr>
            </w:pPr>
          </w:p>
        </w:tc>
        <w:tc>
          <w:tcPr>
            <w:tcW w:w="0" w:type="auto"/>
            <w:gridSpan w:val="3"/>
            <w:shd w:val="clear" w:color="auto" w:fill="auto"/>
            <w:vAlign w:val="bottom"/>
          </w:tcPr>
          <w:p w14:paraId="71D48B93" w14:textId="77777777" w:rsidR="006A3667" w:rsidRDefault="006A3667">
            <w:pPr>
              <w:rPr>
                <w:rFonts w:ascii="宋体"/>
                <w:vanish/>
              </w:rPr>
            </w:pPr>
          </w:p>
        </w:tc>
        <w:tc>
          <w:tcPr>
            <w:tcW w:w="0" w:type="auto"/>
            <w:gridSpan w:val="3"/>
            <w:shd w:val="clear" w:color="auto" w:fill="auto"/>
            <w:vAlign w:val="bottom"/>
          </w:tcPr>
          <w:p w14:paraId="71D48B94" w14:textId="77777777" w:rsidR="006A3667" w:rsidRDefault="006A3667">
            <w:pPr>
              <w:rPr>
                <w:rFonts w:ascii="宋体"/>
                <w:vanish/>
              </w:rPr>
            </w:pPr>
          </w:p>
        </w:tc>
      </w:tr>
      <w:tr w:rsidR="006A3667" w14:paraId="71D48B9C" w14:textId="77777777">
        <w:trPr>
          <w:hidden/>
        </w:trPr>
        <w:tc>
          <w:tcPr>
            <w:tcW w:w="0" w:type="auto"/>
            <w:gridSpan w:val="3"/>
            <w:shd w:val="clear" w:color="auto" w:fill="auto"/>
            <w:vAlign w:val="bottom"/>
          </w:tcPr>
          <w:p w14:paraId="71D48B96" w14:textId="77777777" w:rsidR="006A3667" w:rsidRDefault="006A3667">
            <w:pPr>
              <w:rPr>
                <w:rFonts w:ascii="宋体"/>
                <w:vanish/>
              </w:rPr>
            </w:pPr>
          </w:p>
        </w:tc>
        <w:tc>
          <w:tcPr>
            <w:tcW w:w="0" w:type="auto"/>
            <w:gridSpan w:val="3"/>
            <w:shd w:val="clear" w:color="auto" w:fill="auto"/>
            <w:vAlign w:val="bottom"/>
          </w:tcPr>
          <w:p w14:paraId="71D48B97" w14:textId="77777777" w:rsidR="006A3667" w:rsidRDefault="006A3667">
            <w:pPr>
              <w:rPr>
                <w:rFonts w:ascii="宋体"/>
                <w:vanish/>
              </w:rPr>
            </w:pPr>
          </w:p>
        </w:tc>
        <w:tc>
          <w:tcPr>
            <w:tcW w:w="0" w:type="auto"/>
            <w:gridSpan w:val="3"/>
            <w:shd w:val="clear" w:color="auto" w:fill="auto"/>
            <w:vAlign w:val="bottom"/>
          </w:tcPr>
          <w:p w14:paraId="71D48B98" w14:textId="77777777" w:rsidR="006A3667" w:rsidRDefault="006A3667">
            <w:pPr>
              <w:rPr>
                <w:rFonts w:ascii="宋体"/>
                <w:vanish/>
              </w:rPr>
            </w:pPr>
          </w:p>
        </w:tc>
        <w:tc>
          <w:tcPr>
            <w:tcW w:w="0" w:type="auto"/>
            <w:gridSpan w:val="3"/>
            <w:shd w:val="clear" w:color="auto" w:fill="auto"/>
            <w:vAlign w:val="bottom"/>
          </w:tcPr>
          <w:p w14:paraId="71D48B99" w14:textId="77777777" w:rsidR="006A3667" w:rsidRDefault="006A3667">
            <w:pPr>
              <w:rPr>
                <w:rFonts w:ascii="宋体"/>
                <w:vanish/>
              </w:rPr>
            </w:pPr>
          </w:p>
        </w:tc>
        <w:tc>
          <w:tcPr>
            <w:tcW w:w="0" w:type="auto"/>
            <w:gridSpan w:val="3"/>
            <w:shd w:val="clear" w:color="auto" w:fill="auto"/>
            <w:vAlign w:val="bottom"/>
          </w:tcPr>
          <w:p w14:paraId="71D48B9A" w14:textId="77777777" w:rsidR="006A3667" w:rsidRDefault="006A3667">
            <w:pPr>
              <w:rPr>
                <w:rFonts w:ascii="宋体"/>
                <w:vanish/>
              </w:rPr>
            </w:pPr>
          </w:p>
        </w:tc>
        <w:tc>
          <w:tcPr>
            <w:tcW w:w="0" w:type="auto"/>
            <w:gridSpan w:val="3"/>
            <w:shd w:val="clear" w:color="auto" w:fill="auto"/>
            <w:vAlign w:val="bottom"/>
          </w:tcPr>
          <w:p w14:paraId="71D48B9B" w14:textId="77777777" w:rsidR="006A3667" w:rsidRDefault="006A3667">
            <w:pPr>
              <w:rPr>
                <w:rFonts w:ascii="宋体"/>
                <w:vanish/>
              </w:rPr>
            </w:pPr>
          </w:p>
        </w:tc>
      </w:tr>
      <w:tr w:rsidR="006A3667" w14:paraId="71D48BA3" w14:textId="77777777">
        <w:trPr>
          <w:hidden/>
        </w:trPr>
        <w:tc>
          <w:tcPr>
            <w:tcW w:w="0" w:type="auto"/>
            <w:gridSpan w:val="3"/>
            <w:shd w:val="clear" w:color="auto" w:fill="auto"/>
            <w:vAlign w:val="bottom"/>
          </w:tcPr>
          <w:p w14:paraId="71D48B9D" w14:textId="77777777" w:rsidR="006A3667" w:rsidRDefault="006A3667">
            <w:pPr>
              <w:rPr>
                <w:rFonts w:ascii="宋体"/>
                <w:vanish/>
              </w:rPr>
            </w:pPr>
          </w:p>
        </w:tc>
        <w:tc>
          <w:tcPr>
            <w:tcW w:w="0" w:type="auto"/>
            <w:gridSpan w:val="3"/>
            <w:shd w:val="clear" w:color="auto" w:fill="auto"/>
            <w:vAlign w:val="bottom"/>
          </w:tcPr>
          <w:p w14:paraId="71D48B9E" w14:textId="77777777" w:rsidR="006A3667" w:rsidRDefault="006A3667">
            <w:pPr>
              <w:rPr>
                <w:rFonts w:ascii="宋体"/>
                <w:vanish/>
              </w:rPr>
            </w:pPr>
          </w:p>
        </w:tc>
        <w:tc>
          <w:tcPr>
            <w:tcW w:w="0" w:type="auto"/>
            <w:gridSpan w:val="3"/>
            <w:shd w:val="clear" w:color="auto" w:fill="auto"/>
            <w:vAlign w:val="bottom"/>
          </w:tcPr>
          <w:p w14:paraId="71D48B9F" w14:textId="77777777" w:rsidR="006A3667" w:rsidRDefault="006A3667">
            <w:pPr>
              <w:rPr>
                <w:rFonts w:ascii="宋体"/>
                <w:vanish/>
              </w:rPr>
            </w:pPr>
          </w:p>
        </w:tc>
        <w:tc>
          <w:tcPr>
            <w:tcW w:w="0" w:type="auto"/>
            <w:gridSpan w:val="3"/>
            <w:shd w:val="clear" w:color="auto" w:fill="auto"/>
            <w:vAlign w:val="bottom"/>
          </w:tcPr>
          <w:p w14:paraId="71D48BA0" w14:textId="77777777" w:rsidR="006A3667" w:rsidRDefault="006A3667">
            <w:pPr>
              <w:rPr>
                <w:rFonts w:ascii="宋体"/>
                <w:vanish/>
              </w:rPr>
            </w:pPr>
          </w:p>
        </w:tc>
        <w:tc>
          <w:tcPr>
            <w:tcW w:w="0" w:type="auto"/>
            <w:gridSpan w:val="3"/>
            <w:shd w:val="clear" w:color="auto" w:fill="auto"/>
            <w:vAlign w:val="bottom"/>
          </w:tcPr>
          <w:p w14:paraId="71D48BA1" w14:textId="77777777" w:rsidR="006A3667" w:rsidRDefault="006A3667">
            <w:pPr>
              <w:rPr>
                <w:rFonts w:ascii="宋体"/>
                <w:vanish/>
              </w:rPr>
            </w:pPr>
          </w:p>
        </w:tc>
        <w:tc>
          <w:tcPr>
            <w:tcW w:w="0" w:type="auto"/>
            <w:gridSpan w:val="3"/>
            <w:shd w:val="clear" w:color="auto" w:fill="auto"/>
            <w:vAlign w:val="bottom"/>
          </w:tcPr>
          <w:p w14:paraId="71D48BA2" w14:textId="77777777" w:rsidR="006A3667" w:rsidRDefault="006A3667">
            <w:pPr>
              <w:rPr>
                <w:rFonts w:ascii="宋体"/>
                <w:vanish/>
              </w:rPr>
            </w:pPr>
          </w:p>
        </w:tc>
      </w:tr>
      <w:tr w:rsidR="006A3667" w14:paraId="71D48BAA" w14:textId="77777777">
        <w:tc>
          <w:tcPr>
            <w:tcW w:w="0" w:type="auto"/>
            <w:gridSpan w:val="3"/>
            <w:shd w:val="clear" w:color="auto" w:fill="auto"/>
            <w:tcMar>
              <w:top w:w="40" w:type="dxa"/>
              <w:left w:w="20" w:type="dxa"/>
              <w:bottom w:w="40" w:type="dxa"/>
              <w:right w:w="20" w:type="dxa"/>
            </w:tcMar>
            <w:vAlign w:val="bottom"/>
          </w:tcPr>
          <w:p w14:paraId="71D48BA4" w14:textId="77777777" w:rsidR="006A3667" w:rsidRDefault="00045F32">
            <w:pPr>
              <w:textAlignment w:val="bottom"/>
            </w:pPr>
            <w:r>
              <w:rPr>
                <w:rFonts w:ascii="Arial" w:eastAsia="宋体" w:hAnsi="Arial" w:cs="Arial"/>
                <w:b/>
                <w:bCs/>
                <w:color w:val="000000"/>
                <w:sz w:val="14"/>
                <w:szCs w:val="14"/>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BA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BA6"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BA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BA8"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BA9" w14:textId="77777777" w:rsidR="006A3667" w:rsidRDefault="006A3667">
            <w:pPr>
              <w:rPr>
                <w:rFonts w:ascii="宋体"/>
              </w:rPr>
            </w:pPr>
          </w:p>
        </w:tc>
      </w:tr>
      <w:tr w:rsidR="006A3667" w14:paraId="71D48BB5" w14:textId="77777777">
        <w:tc>
          <w:tcPr>
            <w:tcW w:w="0" w:type="auto"/>
            <w:gridSpan w:val="3"/>
            <w:shd w:val="clear" w:color="auto" w:fill="CCEEFF"/>
            <w:tcMar>
              <w:top w:w="40" w:type="dxa"/>
              <w:left w:w="20" w:type="dxa"/>
              <w:bottom w:w="40" w:type="dxa"/>
              <w:right w:w="20" w:type="dxa"/>
            </w:tcMar>
            <w:vAlign w:val="bottom"/>
          </w:tcPr>
          <w:p w14:paraId="71D48BAB" w14:textId="77777777" w:rsidR="006A3667" w:rsidRDefault="00045F32">
            <w:pPr>
              <w:textAlignment w:val="bottom"/>
            </w:pPr>
            <w:r>
              <w:rPr>
                <w:rFonts w:ascii="Arial" w:eastAsia="宋体" w:hAnsi="Arial" w:cs="Arial"/>
                <w:color w:val="000000"/>
                <w:sz w:val="14"/>
                <w:szCs w:val="14"/>
              </w:rPr>
              <w:t xml:space="preserve">(Gain) </w:t>
            </w:r>
            <w:r>
              <w:rPr>
                <w:rFonts w:ascii="Arial" w:eastAsia="宋体" w:hAnsi="Arial" w:cs="Arial"/>
                <w:color w:val="000000"/>
                <w:sz w:val="14"/>
                <w:szCs w:val="14"/>
              </w:rPr>
              <w:t>reclassified from accumulated other comprehensive income into income, net of related taxes of ($6) and $6, respectively</w:t>
            </w:r>
          </w:p>
        </w:tc>
        <w:tc>
          <w:tcPr>
            <w:tcW w:w="0" w:type="auto"/>
            <w:shd w:val="clear" w:color="auto" w:fill="CCEEFF"/>
            <w:tcMar>
              <w:top w:w="40" w:type="dxa"/>
              <w:left w:w="20" w:type="dxa"/>
              <w:bottom w:w="40" w:type="dxa"/>
              <w:right w:w="0" w:type="dxa"/>
            </w:tcMar>
            <w:vAlign w:val="bottom"/>
          </w:tcPr>
          <w:p w14:paraId="71D48BAC"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BAD" w14:textId="77777777" w:rsidR="006A3667" w:rsidRDefault="00045F32">
            <w:pPr>
              <w:jc w:val="right"/>
              <w:textAlignment w:val="bottom"/>
            </w:pPr>
            <w:r>
              <w:rPr>
                <w:rFonts w:ascii="Arial" w:eastAsia="宋体" w:hAnsi="Arial" w:cs="Arial"/>
                <w:b/>
                <w:bCs/>
                <w:color w:val="000000"/>
                <w:sz w:val="14"/>
                <w:szCs w:val="14"/>
              </w:rPr>
              <w:t>16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B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AF"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BB0"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BB1" w14:textId="77777777" w:rsidR="006A3667" w:rsidRDefault="00045F32">
            <w:pPr>
              <w:jc w:val="right"/>
              <w:textAlignment w:val="bottom"/>
            </w:pPr>
            <w:r>
              <w:rPr>
                <w:rFonts w:ascii="Arial" w:eastAsia="宋体" w:hAnsi="Arial" w:cs="Arial"/>
                <w:color w:val="000000"/>
                <w:sz w:val="14"/>
                <w:szCs w:val="14"/>
              </w:rPr>
              <w:t>(18)</w:t>
            </w:r>
          </w:p>
        </w:tc>
        <w:tc>
          <w:tcPr>
            <w:tcW w:w="0" w:type="auto"/>
            <w:shd w:val="clear" w:color="auto" w:fill="CCEEFF"/>
            <w:tcMar>
              <w:top w:w="40" w:type="dxa"/>
              <w:left w:w="0" w:type="dxa"/>
              <w:bottom w:w="40" w:type="dxa"/>
              <w:right w:w="20" w:type="dxa"/>
            </w:tcMar>
            <w:vAlign w:val="bottom"/>
          </w:tcPr>
          <w:p w14:paraId="71D48B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B3"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8BB4" w14:textId="77777777" w:rsidR="006A3667" w:rsidRDefault="00045F32">
            <w:pPr>
              <w:textAlignment w:val="bottom"/>
            </w:pPr>
            <w:r>
              <w:rPr>
                <w:rFonts w:ascii="Arial" w:eastAsia="宋体" w:hAnsi="Arial" w:cs="Arial"/>
                <w:color w:val="000000"/>
                <w:sz w:val="14"/>
                <w:szCs w:val="14"/>
              </w:rPr>
              <w:t>Net interest income reclassified from other comprehensive income</w:t>
            </w:r>
          </w:p>
        </w:tc>
      </w:tr>
      <w:tr w:rsidR="006A3667" w14:paraId="71D48BBC" w14:textId="77777777">
        <w:tc>
          <w:tcPr>
            <w:tcW w:w="0" w:type="auto"/>
            <w:gridSpan w:val="3"/>
            <w:shd w:val="clear" w:color="auto" w:fill="FFFFFF"/>
            <w:tcMar>
              <w:top w:w="40" w:type="dxa"/>
              <w:left w:w="20" w:type="dxa"/>
              <w:bottom w:w="40" w:type="dxa"/>
              <w:right w:w="20" w:type="dxa"/>
            </w:tcMar>
            <w:vAlign w:val="bottom"/>
          </w:tcPr>
          <w:p w14:paraId="71D48BB6" w14:textId="77777777" w:rsidR="006A3667" w:rsidRDefault="00045F32">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71D48BB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B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B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B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BB" w14:textId="77777777" w:rsidR="006A3667" w:rsidRDefault="006A3667">
            <w:pPr>
              <w:rPr>
                <w:rFonts w:ascii="宋体"/>
              </w:rPr>
            </w:pPr>
          </w:p>
        </w:tc>
      </w:tr>
      <w:tr w:rsidR="006A3667" w14:paraId="71D48BC5" w14:textId="77777777">
        <w:tc>
          <w:tcPr>
            <w:tcW w:w="0" w:type="auto"/>
            <w:gridSpan w:val="3"/>
            <w:shd w:val="clear" w:color="auto" w:fill="CCEEFF"/>
            <w:tcMar>
              <w:top w:w="40" w:type="dxa"/>
              <w:left w:w="20" w:type="dxa"/>
              <w:bottom w:w="40" w:type="dxa"/>
              <w:right w:w="20" w:type="dxa"/>
            </w:tcMar>
            <w:vAlign w:val="bottom"/>
          </w:tcPr>
          <w:p w14:paraId="71D48BBD" w14:textId="77777777" w:rsidR="006A3667" w:rsidRDefault="00045F32">
            <w:pPr>
              <w:textAlignment w:val="bottom"/>
            </w:pPr>
            <w:r>
              <w:rPr>
                <w:rFonts w:ascii="Arial" w:eastAsia="宋体" w:hAnsi="Arial" w:cs="Arial"/>
                <w:color w:val="000000"/>
                <w:sz w:val="14"/>
                <w:szCs w:val="14"/>
              </w:rPr>
              <w:t xml:space="preserve">Amortization of </w:t>
            </w:r>
            <w:r>
              <w:rPr>
                <w:rFonts w:ascii="Arial" w:eastAsia="宋体" w:hAnsi="Arial" w:cs="Arial"/>
                <w:color w:val="000000"/>
                <w:sz w:val="14"/>
                <w:szCs w:val="14"/>
              </w:rPr>
              <w:t>actuarial losses, net of related taxes of $1 and $1, respectively</w:t>
            </w:r>
          </w:p>
        </w:tc>
        <w:tc>
          <w:tcPr>
            <w:tcW w:w="0" w:type="auto"/>
            <w:gridSpan w:val="2"/>
            <w:shd w:val="clear" w:color="auto" w:fill="CCEEFF"/>
            <w:tcMar>
              <w:top w:w="40" w:type="dxa"/>
              <w:left w:w="20" w:type="dxa"/>
              <w:bottom w:w="40" w:type="dxa"/>
              <w:right w:w="0" w:type="dxa"/>
            </w:tcMar>
            <w:vAlign w:val="bottom"/>
          </w:tcPr>
          <w:p w14:paraId="71D48BBE"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BB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C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BC1"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8B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BC3"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8BC4" w14:textId="77777777" w:rsidR="006A3667" w:rsidRDefault="00045F32">
            <w:pPr>
              <w:textAlignment w:val="bottom"/>
            </w:pPr>
            <w:r>
              <w:rPr>
                <w:rFonts w:ascii="Arial" w:eastAsia="宋体" w:hAnsi="Arial" w:cs="Arial"/>
                <w:color w:val="000000"/>
                <w:sz w:val="14"/>
                <w:szCs w:val="14"/>
              </w:rPr>
              <w:t>Compensation and employee benefits expenses</w:t>
            </w:r>
          </w:p>
        </w:tc>
      </w:tr>
      <w:tr w:rsidR="006A3667" w14:paraId="71D48BCC" w14:textId="77777777">
        <w:trPr>
          <w:hidden/>
        </w:trPr>
        <w:tc>
          <w:tcPr>
            <w:tcW w:w="0" w:type="auto"/>
            <w:gridSpan w:val="3"/>
            <w:shd w:val="clear" w:color="auto" w:fill="auto"/>
            <w:vAlign w:val="bottom"/>
          </w:tcPr>
          <w:p w14:paraId="71D48BC6" w14:textId="77777777" w:rsidR="006A3667" w:rsidRDefault="006A3667">
            <w:pPr>
              <w:rPr>
                <w:rFonts w:ascii="宋体"/>
                <w:vanish/>
              </w:rPr>
            </w:pPr>
          </w:p>
        </w:tc>
        <w:tc>
          <w:tcPr>
            <w:tcW w:w="0" w:type="auto"/>
            <w:gridSpan w:val="3"/>
            <w:shd w:val="clear" w:color="auto" w:fill="auto"/>
            <w:vAlign w:val="bottom"/>
          </w:tcPr>
          <w:p w14:paraId="71D48BC7" w14:textId="77777777" w:rsidR="006A3667" w:rsidRDefault="006A3667">
            <w:pPr>
              <w:rPr>
                <w:rFonts w:ascii="宋体"/>
                <w:vanish/>
              </w:rPr>
            </w:pPr>
          </w:p>
        </w:tc>
        <w:tc>
          <w:tcPr>
            <w:tcW w:w="0" w:type="auto"/>
            <w:gridSpan w:val="3"/>
            <w:shd w:val="clear" w:color="auto" w:fill="auto"/>
            <w:vAlign w:val="bottom"/>
          </w:tcPr>
          <w:p w14:paraId="71D48BC8" w14:textId="77777777" w:rsidR="006A3667" w:rsidRDefault="006A3667">
            <w:pPr>
              <w:rPr>
                <w:rFonts w:ascii="宋体"/>
                <w:vanish/>
              </w:rPr>
            </w:pPr>
          </w:p>
        </w:tc>
        <w:tc>
          <w:tcPr>
            <w:tcW w:w="0" w:type="auto"/>
            <w:gridSpan w:val="3"/>
            <w:shd w:val="clear" w:color="auto" w:fill="auto"/>
            <w:vAlign w:val="bottom"/>
          </w:tcPr>
          <w:p w14:paraId="71D48BC9" w14:textId="77777777" w:rsidR="006A3667" w:rsidRDefault="006A3667">
            <w:pPr>
              <w:rPr>
                <w:rFonts w:ascii="宋体"/>
                <w:vanish/>
              </w:rPr>
            </w:pPr>
          </w:p>
        </w:tc>
        <w:tc>
          <w:tcPr>
            <w:tcW w:w="0" w:type="auto"/>
            <w:gridSpan w:val="3"/>
            <w:shd w:val="clear" w:color="auto" w:fill="auto"/>
            <w:vAlign w:val="bottom"/>
          </w:tcPr>
          <w:p w14:paraId="71D48BCA" w14:textId="77777777" w:rsidR="006A3667" w:rsidRDefault="006A3667">
            <w:pPr>
              <w:rPr>
                <w:rFonts w:ascii="宋体"/>
                <w:vanish/>
              </w:rPr>
            </w:pPr>
          </w:p>
        </w:tc>
        <w:tc>
          <w:tcPr>
            <w:tcW w:w="0" w:type="auto"/>
            <w:gridSpan w:val="3"/>
            <w:shd w:val="clear" w:color="auto" w:fill="auto"/>
            <w:vAlign w:val="bottom"/>
          </w:tcPr>
          <w:p w14:paraId="71D48BCB" w14:textId="77777777" w:rsidR="006A3667" w:rsidRDefault="006A3667">
            <w:pPr>
              <w:rPr>
                <w:rFonts w:ascii="宋体"/>
                <w:vanish/>
              </w:rPr>
            </w:pPr>
          </w:p>
        </w:tc>
      </w:tr>
      <w:tr w:rsidR="006A3667" w14:paraId="71D48BD3" w14:textId="77777777">
        <w:trPr>
          <w:hidden/>
        </w:trPr>
        <w:tc>
          <w:tcPr>
            <w:tcW w:w="0" w:type="auto"/>
            <w:gridSpan w:val="3"/>
            <w:shd w:val="clear" w:color="auto" w:fill="auto"/>
            <w:vAlign w:val="bottom"/>
          </w:tcPr>
          <w:p w14:paraId="71D48BCD" w14:textId="77777777" w:rsidR="006A3667" w:rsidRDefault="006A3667">
            <w:pPr>
              <w:rPr>
                <w:rFonts w:ascii="宋体"/>
                <w:vanish/>
              </w:rPr>
            </w:pPr>
          </w:p>
        </w:tc>
        <w:tc>
          <w:tcPr>
            <w:tcW w:w="0" w:type="auto"/>
            <w:gridSpan w:val="3"/>
            <w:shd w:val="clear" w:color="auto" w:fill="auto"/>
            <w:vAlign w:val="bottom"/>
          </w:tcPr>
          <w:p w14:paraId="71D48BCE" w14:textId="77777777" w:rsidR="006A3667" w:rsidRDefault="006A3667">
            <w:pPr>
              <w:rPr>
                <w:rFonts w:ascii="宋体"/>
                <w:vanish/>
              </w:rPr>
            </w:pPr>
          </w:p>
        </w:tc>
        <w:tc>
          <w:tcPr>
            <w:tcW w:w="0" w:type="auto"/>
            <w:gridSpan w:val="3"/>
            <w:shd w:val="clear" w:color="auto" w:fill="auto"/>
            <w:vAlign w:val="bottom"/>
          </w:tcPr>
          <w:p w14:paraId="71D48BCF" w14:textId="77777777" w:rsidR="006A3667" w:rsidRDefault="006A3667">
            <w:pPr>
              <w:rPr>
                <w:rFonts w:ascii="宋体"/>
                <w:vanish/>
              </w:rPr>
            </w:pPr>
          </w:p>
        </w:tc>
        <w:tc>
          <w:tcPr>
            <w:tcW w:w="0" w:type="auto"/>
            <w:gridSpan w:val="3"/>
            <w:shd w:val="clear" w:color="auto" w:fill="auto"/>
            <w:vAlign w:val="bottom"/>
          </w:tcPr>
          <w:p w14:paraId="71D48BD0" w14:textId="77777777" w:rsidR="006A3667" w:rsidRDefault="006A3667">
            <w:pPr>
              <w:rPr>
                <w:rFonts w:ascii="宋体"/>
                <w:vanish/>
              </w:rPr>
            </w:pPr>
          </w:p>
        </w:tc>
        <w:tc>
          <w:tcPr>
            <w:tcW w:w="0" w:type="auto"/>
            <w:gridSpan w:val="3"/>
            <w:shd w:val="clear" w:color="auto" w:fill="auto"/>
            <w:vAlign w:val="bottom"/>
          </w:tcPr>
          <w:p w14:paraId="71D48BD1" w14:textId="77777777" w:rsidR="006A3667" w:rsidRDefault="006A3667">
            <w:pPr>
              <w:rPr>
                <w:rFonts w:ascii="宋体"/>
                <w:vanish/>
              </w:rPr>
            </w:pPr>
          </w:p>
        </w:tc>
        <w:tc>
          <w:tcPr>
            <w:tcW w:w="0" w:type="auto"/>
            <w:gridSpan w:val="3"/>
            <w:shd w:val="clear" w:color="auto" w:fill="auto"/>
            <w:vAlign w:val="bottom"/>
          </w:tcPr>
          <w:p w14:paraId="71D48BD2" w14:textId="77777777" w:rsidR="006A3667" w:rsidRDefault="006A3667">
            <w:pPr>
              <w:rPr>
                <w:rFonts w:ascii="宋体"/>
                <w:vanish/>
              </w:rPr>
            </w:pPr>
          </w:p>
        </w:tc>
      </w:tr>
      <w:tr w:rsidR="006A3667" w14:paraId="71D48BDA" w14:textId="77777777">
        <w:trPr>
          <w:hidden/>
        </w:trPr>
        <w:tc>
          <w:tcPr>
            <w:tcW w:w="0" w:type="auto"/>
            <w:gridSpan w:val="3"/>
            <w:shd w:val="clear" w:color="auto" w:fill="auto"/>
            <w:vAlign w:val="bottom"/>
          </w:tcPr>
          <w:p w14:paraId="71D48BD4" w14:textId="77777777" w:rsidR="006A3667" w:rsidRDefault="006A3667">
            <w:pPr>
              <w:rPr>
                <w:rFonts w:ascii="宋体"/>
                <w:vanish/>
              </w:rPr>
            </w:pPr>
          </w:p>
        </w:tc>
        <w:tc>
          <w:tcPr>
            <w:tcW w:w="0" w:type="auto"/>
            <w:gridSpan w:val="3"/>
            <w:shd w:val="clear" w:color="auto" w:fill="auto"/>
            <w:vAlign w:val="bottom"/>
          </w:tcPr>
          <w:p w14:paraId="71D48BD5" w14:textId="77777777" w:rsidR="006A3667" w:rsidRDefault="006A3667">
            <w:pPr>
              <w:rPr>
                <w:rFonts w:ascii="宋体"/>
                <w:vanish/>
              </w:rPr>
            </w:pPr>
          </w:p>
        </w:tc>
        <w:tc>
          <w:tcPr>
            <w:tcW w:w="0" w:type="auto"/>
            <w:gridSpan w:val="3"/>
            <w:shd w:val="clear" w:color="auto" w:fill="auto"/>
            <w:vAlign w:val="bottom"/>
          </w:tcPr>
          <w:p w14:paraId="71D48BD6" w14:textId="77777777" w:rsidR="006A3667" w:rsidRDefault="006A3667">
            <w:pPr>
              <w:rPr>
                <w:rFonts w:ascii="宋体"/>
                <w:vanish/>
              </w:rPr>
            </w:pPr>
          </w:p>
        </w:tc>
        <w:tc>
          <w:tcPr>
            <w:tcW w:w="0" w:type="auto"/>
            <w:gridSpan w:val="3"/>
            <w:shd w:val="clear" w:color="auto" w:fill="auto"/>
            <w:vAlign w:val="bottom"/>
          </w:tcPr>
          <w:p w14:paraId="71D48BD7" w14:textId="77777777" w:rsidR="006A3667" w:rsidRDefault="006A3667">
            <w:pPr>
              <w:rPr>
                <w:rFonts w:ascii="宋体"/>
                <w:vanish/>
              </w:rPr>
            </w:pPr>
          </w:p>
        </w:tc>
        <w:tc>
          <w:tcPr>
            <w:tcW w:w="0" w:type="auto"/>
            <w:gridSpan w:val="3"/>
            <w:shd w:val="clear" w:color="auto" w:fill="auto"/>
            <w:vAlign w:val="bottom"/>
          </w:tcPr>
          <w:p w14:paraId="71D48BD8" w14:textId="77777777" w:rsidR="006A3667" w:rsidRDefault="006A3667">
            <w:pPr>
              <w:rPr>
                <w:rFonts w:ascii="宋体"/>
                <w:vanish/>
              </w:rPr>
            </w:pPr>
          </w:p>
        </w:tc>
        <w:tc>
          <w:tcPr>
            <w:tcW w:w="0" w:type="auto"/>
            <w:gridSpan w:val="3"/>
            <w:shd w:val="clear" w:color="auto" w:fill="auto"/>
            <w:vAlign w:val="bottom"/>
          </w:tcPr>
          <w:p w14:paraId="71D48BD9" w14:textId="77777777" w:rsidR="006A3667" w:rsidRDefault="006A3667">
            <w:pPr>
              <w:rPr>
                <w:rFonts w:ascii="宋体"/>
                <w:vanish/>
              </w:rPr>
            </w:pPr>
          </w:p>
        </w:tc>
      </w:tr>
      <w:tr w:rsidR="006A3667" w14:paraId="71D48BE5" w14:textId="77777777">
        <w:tc>
          <w:tcPr>
            <w:tcW w:w="0" w:type="auto"/>
            <w:gridSpan w:val="3"/>
            <w:shd w:val="clear" w:color="auto" w:fill="FFFFFF"/>
            <w:tcMar>
              <w:top w:w="40" w:type="dxa"/>
              <w:left w:w="20" w:type="dxa"/>
              <w:bottom w:w="40" w:type="dxa"/>
              <w:right w:w="20" w:type="dxa"/>
            </w:tcMar>
            <w:vAlign w:val="bottom"/>
          </w:tcPr>
          <w:p w14:paraId="71D48BDB" w14:textId="77777777" w:rsidR="006A3667" w:rsidRDefault="00045F32">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8BD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BDD" w14:textId="77777777" w:rsidR="006A3667" w:rsidRDefault="00045F32">
            <w:pPr>
              <w:jc w:val="right"/>
              <w:textAlignment w:val="bottom"/>
            </w:pPr>
            <w:r>
              <w:rPr>
                <w:rFonts w:ascii="Arial" w:eastAsia="宋体" w:hAnsi="Arial" w:cs="Arial"/>
                <w:b/>
                <w:bCs/>
                <w:color w:val="000000"/>
                <w:sz w:val="14"/>
                <w:szCs w:val="14"/>
              </w:rPr>
              <w:t>18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D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BDF"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BE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BE1" w14:textId="77777777" w:rsidR="006A3667" w:rsidRDefault="00045F32">
            <w:pPr>
              <w:jc w:val="right"/>
              <w:textAlignment w:val="bottom"/>
            </w:pPr>
            <w:r>
              <w:rPr>
                <w:rFonts w:ascii="Arial" w:eastAsia="宋体" w:hAnsi="Arial" w:cs="Arial"/>
                <w:color w:val="000000"/>
                <w:sz w:val="14"/>
                <w:szCs w:val="14"/>
              </w:rPr>
              <w:t>(16)</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BE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BE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BE4" w14:textId="77777777" w:rsidR="006A3667" w:rsidRDefault="006A3667">
            <w:pPr>
              <w:rPr>
                <w:rFonts w:ascii="宋体"/>
              </w:rPr>
            </w:pPr>
          </w:p>
        </w:tc>
      </w:tr>
      <w:tr w:rsidR="006A3667" w14:paraId="71D48BEC" w14:textId="77777777">
        <w:trPr>
          <w:trHeight w:val="60"/>
        </w:trPr>
        <w:tc>
          <w:tcPr>
            <w:tcW w:w="0" w:type="auto"/>
            <w:gridSpan w:val="3"/>
            <w:shd w:val="clear" w:color="auto" w:fill="auto"/>
            <w:tcMar>
              <w:top w:w="0" w:type="dxa"/>
              <w:left w:w="20" w:type="dxa"/>
              <w:bottom w:w="0" w:type="dxa"/>
              <w:right w:w="20" w:type="dxa"/>
            </w:tcMar>
            <w:vAlign w:val="bottom"/>
          </w:tcPr>
          <w:p w14:paraId="71D48BE6"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8BE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BE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8BE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BE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BEB" w14:textId="77777777" w:rsidR="006A3667" w:rsidRDefault="006A3667">
            <w:pPr>
              <w:rPr>
                <w:rFonts w:ascii="宋体"/>
              </w:rPr>
            </w:pPr>
          </w:p>
        </w:tc>
      </w:tr>
      <w:tr w:rsidR="006A3667" w14:paraId="71D48BF1" w14:textId="77777777">
        <w:tc>
          <w:tcPr>
            <w:tcW w:w="0" w:type="auto"/>
            <w:gridSpan w:val="3"/>
            <w:shd w:val="clear" w:color="auto" w:fill="auto"/>
            <w:tcMar>
              <w:top w:w="0" w:type="dxa"/>
              <w:left w:w="20" w:type="dxa"/>
              <w:bottom w:w="0" w:type="dxa"/>
              <w:right w:w="20" w:type="dxa"/>
            </w:tcMar>
            <w:vAlign w:val="bottom"/>
          </w:tcPr>
          <w:p w14:paraId="71D48BED"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8BEE" w14:textId="77777777" w:rsidR="006A3667" w:rsidRDefault="00045F32">
            <w:pPr>
              <w:jc w:val="center"/>
              <w:textAlignment w:val="bottom"/>
            </w:pPr>
            <w:r>
              <w:rPr>
                <w:rFonts w:ascii="Arial" w:eastAsia="宋体" w:hAnsi="Arial" w:cs="Arial"/>
                <w:b/>
                <w:bCs/>
                <w:color w:val="000000"/>
                <w:sz w:val="14"/>
                <w:szCs w:val="14"/>
              </w:rPr>
              <w:t xml:space="preserve">Nine </w:t>
            </w:r>
            <w:r>
              <w:rPr>
                <w:rFonts w:ascii="Arial" w:eastAsia="宋体" w:hAnsi="Arial" w:cs="Arial"/>
                <w:b/>
                <w:bCs/>
                <w:color w:val="000000"/>
                <w:sz w:val="14"/>
                <w:szCs w:val="14"/>
              </w:rPr>
              <w:t>Months Ended September 30,</w:t>
            </w:r>
          </w:p>
        </w:tc>
        <w:tc>
          <w:tcPr>
            <w:tcW w:w="0" w:type="auto"/>
            <w:gridSpan w:val="3"/>
            <w:shd w:val="clear" w:color="auto" w:fill="auto"/>
            <w:tcMar>
              <w:top w:w="0" w:type="dxa"/>
              <w:left w:w="20" w:type="dxa"/>
              <w:bottom w:w="0" w:type="dxa"/>
              <w:right w:w="20" w:type="dxa"/>
            </w:tcMar>
            <w:vAlign w:val="bottom"/>
          </w:tcPr>
          <w:p w14:paraId="71D48BE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BF0" w14:textId="77777777" w:rsidR="006A3667" w:rsidRDefault="006A3667">
            <w:pPr>
              <w:rPr>
                <w:rFonts w:ascii="宋体"/>
              </w:rPr>
            </w:pPr>
          </w:p>
        </w:tc>
      </w:tr>
      <w:tr w:rsidR="006A3667" w14:paraId="71D48BF8" w14:textId="77777777">
        <w:tc>
          <w:tcPr>
            <w:tcW w:w="0" w:type="auto"/>
            <w:gridSpan w:val="3"/>
            <w:shd w:val="clear" w:color="auto" w:fill="auto"/>
            <w:tcMar>
              <w:top w:w="0" w:type="dxa"/>
              <w:left w:w="20" w:type="dxa"/>
              <w:bottom w:w="0" w:type="dxa"/>
              <w:right w:w="20" w:type="dxa"/>
            </w:tcMar>
            <w:vAlign w:val="bottom"/>
          </w:tcPr>
          <w:p w14:paraId="71D48BF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BF3"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BF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BF5"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8BF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BF7" w14:textId="77777777" w:rsidR="006A3667" w:rsidRDefault="006A3667">
            <w:pPr>
              <w:rPr>
                <w:rFonts w:ascii="宋体"/>
              </w:rPr>
            </w:pPr>
          </w:p>
        </w:tc>
      </w:tr>
      <w:tr w:rsidR="006A3667" w14:paraId="71D48BFD" w14:textId="77777777">
        <w:tc>
          <w:tcPr>
            <w:tcW w:w="0" w:type="auto"/>
            <w:gridSpan w:val="3"/>
            <w:shd w:val="clear" w:color="auto" w:fill="auto"/>
            <w:tcMar>
              <w:top w:w="40" w:type="dxa"/>
              <w:left w:w="20" w:type="dxa"/>
              <w:bottom w:w="40" w:type="dxa"/>
              <w:right w:w="20" w:type="dxa"/>
            </w:tcMar>
            <w:vAlign w:val="bottom"/>
          </w:tcPr>
          <w:p w14:paraId="71D48BF9"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9"/>
            <w:shd w:val="clear" w:color="auto" w:fill="auto"/>
            <w:tcMar>
              <w:top w:w="40" w:type="dxa"/>
              <w:left w:w="20" w:type="dxa"/>
              <w:bottom w:w="40" w:type="dxa"/>
              <w:right w:w="20" w:type="dxa"/>
            </w:tcMar>
            <w:vAlign w:val="bottom"/>
          </w:tcPr>
          <w:p w14:paraId="71D48BFA" w14:textId="77777777" w:rsidR="006A3667" w:rsidRDefault="00045F32">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71D48BF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8BFC" w14:textId="77777777" w:rsidR="006A3667" w:rsidRDefault="00045F32">
            <w:pPr>
              <w:jc w:val="center"/>
              <w:textAlignment w:val="bottom"/>
            </w:pPr>
            <w:r>
              <w:rPr>
                <w:rFonts w:ascii="Arial" w:eastAsia="宋体" w:hAnsi="Arial" w:cs="Arial"/>
                <w:b/>
                <w:bCs/>
                <w:color w:val="000000"/>
                <w:sz w:val="14"/>
                <w:szCs w:val="14"/>
              </w:rPr>
              <w:t>Affected Line Item in Consolidated Statement of Income</w:t>
            </w:r>
          </w:p>
        </w:tc>
      </w:tr>
      <w:tr w:rsidR="006A3667" w14:paraId="71D48C04" w14:textId="77777777">
        <w:trPr>
          <w:hidden/>
        </w:trPr>
        <w:tc>
          <w:tcPr>
            <w:tcW w:w="0" w:type="auto"/>
            <w:gridSpan w:val="3"/>
            <w:shd w:val="clear" w:color="auto" w:fill="auto"/>
            <w:vAlign w:val="bottom"/>
          </w:tcPr>
          <w:p w14:paraId="71D48BFE" w14:textId="77777777" w:rsidR="006A3667" w:rsidRDefault="006A3667">
            <w:pPr>
              <w:rPr>
                <w:rFonts w:ascii="宋体"/>
                <w:vanish/>
              </w:rPr>
            </w:pPr>
          </w:p>
        </w:tc>
        <w:tc>
          <w:tcPr>
            <w:tcW w:w="0" w:type="auto"/>
            <w:gridSpan w:val="3"/>
            <w:shd w:val="clear" w:color="auto" w:fill="auto"/>
            <w:vAlign w:val="bottom"/>
          </w:tcPr>
          <w:p w14:paraId="71D48BFF" w14:textId="77777777" w:rsidR="006A3667" w:rsidRDefault="006A3667">
            <w:pPr>
              <w:rPr>
                <w:rFonts w:ascii="宋体"/>
                <w:vanish/>
              </w:rPr>
            </w:pPr>
          </w:p>
        </w:tc>
        <w:tc>
          <w:tcPr>
            <w:tcW w:w="0" w:type="auto"/>
            <w:gridSpan w:val="3"/>
            <w:shd w:val="clear" w:color="auto" w:fill="auto"/>
            <w:vAlign w:val="bottom"/>
          </w:tcPr>
          <w:p w14:paraId="71D48C00" w14:textId="77777777" w:rsidR="006A3667" w:rsidRDefault="006A3667">
            <w:pPr>
              <w:rPr>
                <w:rFonts w:ascii="宋体"/>
                <w:vanish/>
              </w:rPr>
            </w:pPr>
          </w:p>
        </w:tc>
        <w:tc>
          <w:tcPr>
            <w:tcW w:w="0" w:type="auto"/>
            <w:gridSpan w:val="3"/>
            <w:shd w:val="clear" w:color="auto" w:fill="auto"/>
            <w:vAlign w:val="bottom"/>
          </w:tcPr>
          <w:p w14:paraId="71D48C01" w14:textId="77777777" w:rsidR="006A3667" w:rsidRDefault="006A3667">
            <w:pPr>
              <w:rPr>
                <w:rFonts w:ascii="宋体"/>
                <w:vanish/>
              </w:rPr>
            </w:pPr>
          </w:p>
        </w:tc>
        <w:tc>
          <w:tcPr>
            <w:tcW w:w="0" w:type="auto"/>
            <w:gridSpan w:val="3"/>
            <w:shd w:val="clear" w:color="auto" w:fill="auto"/>
            <w:vAlign w:val="bottom"/>
          </w:tcPr>
          <w:p w14:paraId="71D48C02" w14:textId="77777777" w:rsidR="006A3667" w:rsidRDefault="006A3667">
            <w:pPr>
              <w:rPr>
                <w:rFonts w:ascii="宋体"/>
                <w:vanish/>
              </w:rPr>
            </w:pPr>
          </w:p>
        </w:tc>
        <w:tc>
          <w:tcPr>
            <w:tcW w:w="0" w:type="auto"/>
            <w:gridSpan w:val="3"/>
            <w:shd w:val="clear" w:color="auto" w:fill="auto"/>
            <w:vAlign w:val="bottom"/>
          </w:tcPr>
          <w:p w14:paraId="71D48C03" w14:textId="77777777" w:rsidR="006A3667" w:rsidRDefault="006A3667">
            <w:pPr>
              <w:rPr>
                <w:rFonts w:ascii="宋体"/>
                <w:vanish/>
              </w:rPr>
            </w:pPr>
          </w:p>
        </w:tc>
      </w:tr>
      <w:tr w:rsidR="006A3667" w14:paraId="71D48C0B" w14:textId="77777777">
        <w:trPr>
          <w:hidden/>
        </w:trPr>
        <w:tc>
          <w:tcPr>
            <w:tcW w:w="0" w:type="auto"/>
            <w:gridSpan w:val="3"/>
            <w:shd w:val="clear" w:color="auto" w:fill="auto"/>
            <w:vAlign w:val="bottom"/>
          </w:tcPr>
          <w:p w14:paraId="71D48C05" w14:textId="77777777" w:rsidR="006A3667" w:rsidRDefault="006A3667">
            <w:pPr>
              <w:rPr>
                <w:rFonts w:ascii="宋体"/>
                <w:vanish/>
              </w:rPr>
            </w:pPr>
          </w:p>
        </w:tc>
        <w:tc>
          <w:tcPr>
            <w:tcW w:w="0" w:type="auto"/>
            <w:gridSpan w:val="3"/>
            <w:shd w:val="clear" w:color="auto" w:fill="auto"/>
            <w:vAlign w:val="bottom"/>
          </w:tcPr>
          <w:p w14:paraId="71D48C06" w14:textId="77777777" w:rsidR="006A3667" w:rsidRDefault="006A3667">
            <w:pPr>
              <w:rPr>
                <w:rFonts w:ascii="宋体"/>
                <w:vanish/>
              </w:rPr>
            </w:pPr>
          </w:p>
        </w:tc>
        <w:tc>
          <w:tcPr>
            <w:tcW w:w="0" w:type="auto"/>
            <w:gridSpan w:val="3"/>
            <w:shd w:val="clear" w:color="auto" w:fill="auto"/>
            <w:vAlign w:val="bottom"/>
          </w:tcPr>
          <w:p w14:paraId="71D48C07" w14:textId="77777777" w:rsidR="006A3667" w:rsidRDefault="006A3667">
            <w:pPr>
              <w:rPr>
                <w:rFonts w:ascii="宋体"/>
                <w:vanish/>
              </w:rPr>
            </w:pPr>
          </w:p>
        </w:tc>
        <w:tc>
          <w:tcPr>
            <w:tcW w:w="0" w:type="auto"/>
            <w:gridSpan w:val="3"/>
            <w:shd w:val="clear" w:color="auto" w:fill="auto"/>
            <w:vAlign w:val="bottom"/>
          </w:tcPr>
          <w:p w14:paraId="71D48C08" w14:textId="77777777" w:rsidR="006A3667" w:rsidRDefault="006A3667">
            <w:pPr>
              <w:rPr>
                <w:rFonts w:ascii="宋体"/>
                <w:vanish/>
              </w:rPr>
            </w:pPr>
          </w:p>
        </w:tc>
        <w:tc>
          <w:tcPr>
            <w:tcW w:w="0" w:type="auto"/>
            <w:gridSpan w:val="3"/>
            <w:shd w:val="clear" w:color="auto" w:fill="auto"/>
            <w:vAlign w:val="bottom"/>
          </w:tcPr>
          <w:p w14:paraId="71D48C09" w14:textId="77777777" w:rsidR="006A3667" w:rsidRDefault="006A3667">
            <w:pPr>
              <w:rPr>
                <w:rFonts w:ascii="宋体"/>
                <w:vanish/>
              </w:rPr>
            </w:pPr>
          </w:p>
        </w:tc>
        <w:tc>
          <w:tcPr>
            <w:tcW w:w="0" w:type="auto"/>
            <w:gridSpan w:val="3"/>
            <w:shd w:val="clear" w:color="auto" w:fill="auto"/>
            <w:vAlign w:val="bottom"/>
          </w:tcPr>
          <w:p w14:paraId="71D48C0A" w14:textId="77777777" w:rsidR="006A3667" w:rsidRDefault="006A3667">
            <w:pPr>
              <w:rPr>
                <w:rFonts w:ascii="宋体"/>
                <w:vanish/>
              </w:rPr>
            </w:pPr>
          </w:p>
        </w:tc>
      </w:tr>
      <w:tr w:rsidR="006A3667" w14:paraId="71D48C12" w14:textId="77777777">
        <w:trPr>
          <w:hidden/>
        </w:trPr>
        <w:tc>
          <w:tcPr>
            <w:tcW w:w="0" w:type="auto"/>
            <w:gridSpan w:val="3"/>
            <w:shd w:val="clear" w:color="auto" w:fill="auto"/>
            <w:vAlign w:val="bottom"/>
          </w:tcPr>
          <w:p w14:paraId="71D48C0C" w14:textId="77777777" w:rsidR="006A3667" w:rsidRDefault="006A3667">
            <w:pPr>
              <w:rPr>
                <w:rFonts w:ascii="宋体"/>
                <w:vanish/>
              </w:rPr>
            </w:pPr>
          </w:p>
        </w:tc>
        <w:tc>
          <w:tcPr>
            <w:tcW w:w="0" w:type="auto"/>
            <w:gridSpan w:val="3"/>
            <w:shd w:val="clear" w:color="auto" w:fill="auto"/>
            <w:vAlign w:val="bottom"/>
          </w:tcPr>
          <w:p w14:paraId="71D48C0D" w14:textId="77777777" w:rsidR="006A3667" w:rsidRDefault="006A3667">
            <w:pPr>
              <w:rPr>
                <w:rFonts w:ascii="宋体"/>
                <w:vanish/>
              </w:rPr>
            </w:pPr>
          </w:p>
        </w:tc>
        <w:tc>
          <w:tcPr>
            <w:tcW w:w="0" w:type="auto"/>
            <w:gridSpan w:val="3"/>
            <w:shd w:val="clear" w:color="auto" w:fill="auto"/>
            <w:vAlign w:val="bottom"/>
          </w:tcPr>
          <w:p w14:paraId="71D48C0E" w14:textId="77777777" w:rsidR="006A3667" w:rsidRDefault="006A3667">
            <w:pPr>
              <w:rPr>
                <w:rFonts w:ascii="宋体"/>
                <w:vanish/>
              </w:rPr>
            </w:pPr>
          </w:p>
        </w:tc>
        <w:tc>
          <w:tcPr>
            <w:tcW w:w="0" w:type="auto"/>
            <w:gridSpan w:val="3"/>
            <w:shd w:val="clear" w:color="auto" w:fill="auto"/>
            <w:vAlign w:val="bottom"/>
          </w:tcPr>
          <w:p w14:paraId="71D48C0F" w14:textId="77777777" w:rsidR="006A3667" w:rsidRDefault="006A3667">
            <w:pPr>
              <w:rPr>
                <w:rFonts w:ascii="宋体"/>
                <w:vanish/>
              </w:rPr>
            </w:pPr>
          </w:p>
        </w:tc>
        <w:tc>
          <w:tcPr>
            <w:tcW w:w="0" w:type="auto"/>
            <w:gridSpan w:val="3"/>
            <w:shd w:val="clear" w:color="auto" w:fill="auto"/>
            <w:vAlign w:val="bottom"/>
          </w:tcPr>
          <w:p w14:paraId="71D48C10" w14:textId="77777777" w:rsidR="006A3667" w:rsidRDefault="006A3667">
            <w:pPr>
              <w:rPr>
                <w:rFonts w:ascii="宋体"/>
                <w:vanish/>
              </w:rPr>
            </w:pPr>
          </w:p>
        </w:tc>
        <w:tc>
          <w:tcPr>
            <w:tcW w:w="0" w:type="auto"/>
            <w:gridSpan w:val="3"/>
            <w:shd w:val="clear" w:color="auto" w:fill="auto"/>
            <w:vAlign w:val="bottom"/>
          </w:tcPr>
          <w:p w14:paraId="71D48C11" w14:textId="77777777" w:rsidR="006A3667" w:rsidRDefault="006A3667">
            <w:pPr>
              <w:rPr>
                <w:rFonts w:ascii="宋体"/>
                <w:vanish/>
              </w:rPr>
            </w:pPr>
          </w:p>
        </w:tc>
      </w:tr>
      <w:tr w:rsidR="006A3667" w14:paraId="71D48C19" w14:textId="77777777">
        <w:trPr>
          <w:hidden/>
        </w:trPr>
        <w:tc>
          <w:tcPr>
            <w:tcW w:w="0" w:type="auto"/>
            <w:gridSpan w:val="3"/>
            <w:shd w:val="clear" w:color="auto" w:fill="auto"/>
            <w:vAlign w:val="bottom"/>
          </w:tcPr>
          <w:p w14:paraId="71D48C13" w14:textId="77777777" w:rsidR="006A3667" w:rsidRDefault="006A3667">
            <w:pPr>
              <w:rPr>
                <w:rFonts w:ascii="宋体"/>
                <w:vanish/>
              </w:rPr>
            </w:pPr>
          </w:p>
        </w:tc>
        <w:tc>
          <w:tcPr>
            <w:tcW w:w="0" w:type="auto"/>
            <w:gridSpan w:val="3"/>
            <w:shd w:val="clear" w:color="auto" w:fill="auto"/>
            <w:vAlign w:val="bottom"/>
          </w:tcPr>
          <w:p w14:paraId="71D48C14" w14:textId="77777777" w:rsidR="006A3667" w:rsidRDefault="006A3667">
            <w:pPr>
              <w:rPr>
                <w:rFonts w:ascii="宋体"/>
                <w:vanish/>
              </w:rPr>
            </w:pPr>
          </w:p>
        </w:tc>
        <w:tc>
          <w:tcPr>
            <w:tcW w:w="0" w:type="auto"/>
            <w:gridSpan w:val="3"/>
            <w:shd w:val="clear" w:color="auto" w:fill="auto"/>
            <w:vAlign w:val="bottom"/>
          </w:tcPr>
          <w:p w14:paraId="71D48C15" w14:textId="77777777" w:rsidR="006A3667" w:rsidRDefault="006A3667">
            <w:pPr>
              <w:rPr>
                <w:rFonts w:ascii="宋体"/>
                <w:vanish/>
              </w:rPr>
            </w:pPr>
          </w:p>
        </w:tc>
        <w:tc>
          <w:tcPr>
            <w:tcW w:w="0" w:type="auto"/>
            <w:gridSpan w:val="3"/>
            <w:shd w:val="clear" w:color="auto" w:fill="auto"/>
            <w:vAlign w:val="bottom"/>
          </w:tcPr>
          <w:p w14:paraId="71D48C16" w14:textId="77777777" w:rsidR="006A3667" w:rsidRDefault="006A3667">
            <w:pPr>
              <w:rPr>
                <w:rFonts w:ascii="宋体"/>
                <w:vanish/>
              </w:rPr>
            </w:pPr>
          </w:p>
        </w:tc>
        <w:tc>
          <w:tcPr>
            <w:tcW w:w="0" w:type="auto"/>
            <w:gridSpan w:val="3"/>
            <w:shd w:val="clear" w:color="auto" w:fill="auto"/>
            <w:vAlign w:val="bottom"/>
          </w:tcPr>
          <w:p w14:paraId="71D48C17" w14:textId="77777777" w:rsidR="006A3667" w:rsidRDefault="006A3667">
            <w:pPr>
              <w:rPr>
                <w:rFonts w:ascii="宋体"/>
                <w:vanish/>
              </w:rPr>
            </w:pPr>
          </w:p>
        </w:tc>
        <w:tc>
          <w:tcPr>
            <w:tcW w:w="0" w:type="auto"/>
            <w:gridSpan w:val="3"/>
            <w:shd w:val="clear" w:color="auto" w:fill="auto"/>
            <w:vAlign w:val="bottom"/>
          </w:tcPr>
          <w:p w14:paraId="71D48C18" w14:textId="77777777" w:rsidR="006A3667" w:rsidRDefault="006A3667">
            <w:pPr>
              <w:rPr>
                <w:rFonts w:ascii="宋体"/>
                <w:vanish/>
              </w:rPr>
            </w:pPr>
          </w:p>
        </w:tc>
      </w:tr>
      <w:tr w:rsidR="006A3667" w14:paraId="71D48C20" w14:textId="77777777">
        <w:trPr>
          <w:hidden/>
        </w:trPr>
        <w:tc>
          <w:tcPr>
            <w:tcW w:w="0" w:type="auto"/>
            <w:gridSpan w:val="3"/>
            <w:shd w:val="clear" w:color="auto" w:fill="auto"/>
            <w:vAlign w:val="bottom"/>
          </w:tcPr>
          <w:p w14:paraId="71D48C1A" w14:textId="77777777" w:rsidR="006A3667" w:rsidRDefault="006A3667">
            <w:pPr>
              <w:rPr>
                <w:rFonts w:ascii="宋体"/>
                <w:vanish/>
              </w:rPr>
            </w:pPr>
          </w:p>
        </w:tc>
        <w:tc>
          <w:tcPr>
            <w:tcW w:w="0" w:type="auto"/>
            <w:gridSpan w:val="3"/>
            <w:shd w:val="clear" w:color="auto" w:fill="auto"/>
            <w:vAlign w:val="bottom"/>
          </w:tcPr>
          <w:p w14:paraId="71D48C1B" w14:textId="77777777" w:rsidR="006A3667" w:rsidRDefault="006A3667">
            <w:pPr>
              <w:rPr>
                <w:rFonts w:ascii="宋体"/>
                <w:vanish/>
              </w:rPr>
            </w:pPr>
          </w:p>
        </w:tc>
        <w:tc>
          <w:tcPr>
            <w:tcW w:w="0" w:type="auto"/>
            <w:gridSpan w:val="3"/>
            <w:shd w:val="clear" w:color="auto" w:fill="auto"/>
            <w:vAlign w:val="bottom"/>
          </w:tcPr>
          <w:p w14:paraId="71D48C1C" w14:textId="77777777" w:rsidR="006A3667" w:rsidRDefault="006A3667">
            <w:pPr>
              <w:rPr>
                <w:rFonts w:ascii="宋体"/>
                <w:vanish/>
              </w:rPr>
            </w:pPr>
          </w:p>
        </w:tc>
        <w:tc>
          <w:tcPr>
            <w:tcW w:w="0" w:type="auto"/>
            <w:gridSpan w:val="3"/>
            <w:shd w:val="clear" w:color="auto" w:fill="auto"/>
            <w:vAlign w:val="bottom"/>
          </w:tcPr>
          <w:p w14:paraId="71D48C1D" w14:textId="77777777" w:rsidR="006A3667" w:rsidRDefault="006A3667">
            <w:pPr>
              <w:rPr>
                <w:rFonts w:ascii="宋体"/>
                <w:vanish/>
              </w:rPr>
            </w:pPr>
          </w:p>
        </w:tc>
        <w:tc>
          <w:tcPr>
            <w:tcW w:w="0" w:type="auto"/>
            <w:gridSpan w:val="3"/>
            <w:shd w:val="clear" w:color="auto" w:fill="auto"/>
            <w:vAlign w:val="bottom"/>
          </w:tcPr>
          <w:p w14:paraId="71D48C1E" w14:textId="77777777" w:rsidR="006A3667" w:rsidRDefault="006A3667">
            <w:pPr>
              <w:rPr>
                <w:rFonts w:ascii="宋体"/>
                <w:vanish/>
              </w:rPr>
            </w:pPr>
          </w:p>
        </w:tc>
        <w:tc>
          <w:tcPr>
            <w:tcW w:w="0" w:type="auto"/>
            <w:gridSpan w:val="3"/>
            <w:shd w:val="clear" w:color="auto" w:fill="auto"/>
            <w:vAlign w:val="bottom"/>
          </w:tcPr>
          <w:p w14:paraId="71D48C1F" w14:textId="77777777" w:rsidR="006A3667" w:rsidRDefault="006A3667">
            <w:pPr>
              <w:rPr>
                <w:rFonts w:ascii="宋体"/>
                <w:vanish/>
              </w:rPr>
            </w:pPr>
          </w:p>
        </w:tc>
      </w:tr>
      <w:tr w:rsidR="006A3667" w14:paraId="71D48C27" w14:textId="77777777">
        <w:trPr>
          <w:hidden/>
        </w:trPr>
        <w:tc>
          <w:tcPr>
            <w:tcW w:w="0" w:type="auto"/>
            <w:gridSpan w:val="3"/>
            <w:shd w:val="clear" w:color="auto" w:fill="auto"/>
            <w:vAlign w:val="bottom"/>
          </w:tcPr>
          <w:p w14:paraId="71D48C21" w14:textId="77777777" w:rsidR="006A3667" w:rsidRDefault="006A3667">
            <w:pPr>
              <w:rPr>
                <w:rFonts w:ascii="宋体"/>
                <w:vanish/>
              </w:rPr>
            </w:pPr>
          </w:p>
        </w:tc>
        <w:tc>
          <w:tcPr>
            <w:tcW w:w="0" w:type="auto"/>
            <w:gridSpan w:val="3"/>
            <w:shd w:val="clear" w:color="auto" w:fill="auto"/>
            <w:vAlign w:val="bottom"/>
          </w:tcPr>
          <w:p w14:paraId="71D48C22" w14:textId="77777777" w:rsidR="006A3667" w:rsidRDefault="006A3667">
            <w:pPr>
              <w:rPr>
                <w:rFonts w:ascii="宋体"/>
                <w:vanish/>
              </w:rPr>
            </w:pPr>
          </w:p>
        </w:tc>
        <w:tc>
          <w:tcPr>
            <w:tcW w:w="0" w:type="auto"/>
            <w:gridSpan w:val="3"/>
            <w:shd w:val="clear" w:color="auto" w:fill="auto"/>
            <w:vAlign w:val="bottom"/>
          </w:tcPr>
          <w:p w14:paraId="71D48C23" w14:textId="77777777" w:rsidR="006A3667" w:rsidRDefault="006A3667">
            <w:pPr>
              <w:rPr>
                <w:rFonts w:ascii="宋体"/>
                <w:vanish/>
              </w:rPr>
            </w:pPr>
          </w:p>
        </w:tc>
        <w:tc>
          <w:tcPr>
            <w:tcW w:w="0" w:type="auto"/>
            <w:gridSpan w:val="3"/>
            <w:shd w:val="clear" w:color="auto" w:fill="auto"/>
            <w:vAlign w:val="bottom"/>
          </w:tcPr>
          <w:p w14:paraId="71D48C24" w14:textId="77777777" w:rsidR="006A3667" w:rsidRDefault="006A3667">
            <w:pPr>
              <w:rPr>
                <w:rFonts w:ascii="宋体"/>
                <w:vanish/>
              </w:rPr>
            </w:pPr>
          </w:p>
        </w:tc>
        <w:tc>
          <w:tcPr>
            <w:tcW w:w="0" w:type="auto"/>
            <w:gridSpan w:val="3"/>
            <w:shd w:val="clear" w:color="auto" w:fill="auto"/>
            <w:vAlign w:val="bottom"/>
          </w:tcPr>
          <w:p w14:paraId="71D48C25" w14:textId="77777777" w:rsidR="006A3667" w:rsidRDefault="006A3667">
            <w:pPr>
              <w:rPr>
                <w:rFonts w:ascii="宋体"/>
                <w:vanish/>
              </w:rPr>
            </w:pPr>
          </w:p>
        </w:tc>
        <w:tc>
          <w:tcPr>
            <w:tcW w:w="0" w:type="auto"/>
            <w:gridSpan w:val="3"/>
            <w:shd w:val="clear" w:color="auto" w:fill="auto"/>
            <w:vAlign w:val="bottom"/>
          </w:tcPr>
          <w:p w14:paraId="71D48C26" w14:textId="77777777" w:rsidR="006A3667" w:rsidRDefault="006A3667">
            <w:pPr>
              <w:rPr>
                <w:rFonts w:ascii="宋体"/>
                <w:vanish/>
              </w:rPr>
            </w:pPr>
          </w:p>
        </w:tc>
      </w:tr>
      <w:tr w:rsidR="006A3667" w14:paraId="71D48C2E" w14:textId="77777777">
        <w:trPr>
          <w:hidden/>
        </w:trPr>
        <w:tc>
          <w:tcPr>
            <w:tcW w:w="0" w:type="auto"/>
            <w:gridSpan w:val="3"/>
            <w:shd w:val="clear" w:color="auto" w:fill="auto"/>
            <w:vAlign w:val="bottom"/>
          </w:tcPr>
          <w:p w14:paraId="71D48C28" w14:textId="77777777" w:rsidR="006A3667" w:rsidRDefault="006A3667">
            <w:pPr>
              <w:rPr>
                <w:rFonts w:ascii="宋体"/>
                <w:vanish/>
              </w:rPr>
            </w:pPr>
          </w:p>
        </w:tc>
        <w:tc>
          <w:tcPr>
            <w:tcW w:w="0" w:type="auto"/>
            <w:gridSpan w:val="3"/>
            <w:shd w:val="clear" w:color="auto" w:fill="auto"/>
            <w:vAlign w:val="bottom"/>
          </w:tcPr>
          <w:p w14:paraId="71D48C29" w14:textId="77777777" w:rsidR="006A3667" w:rsidRDefault="006A3667">
            <w:pPr>
              <w:rPr>
                <w:rFonts w:ascii="宋体"/>
                <w:vanish/>
              </w:rPr>
            </w:pPr>
          </w:p>
        </w:tc>
        <w:tc>
          <w:tcPr>
            <w:tcW w:w="0" w:type="auto"/>
            <w:gridSpan w:val="3"/>
            <w:shd w:val="clear" w:color="auto" w:fill="auto"/>
            <w:vAlign w:val="bottom"/>
          </w:tcPr>
          <w:p w14:paraId="71D48C2A" w14:textId="77777777" w:rsidR="006A3667" w:rsidRDefault="006A3667">
            <w:pPr>
              <w:rPr>
                <w:rFonts w:ascii="宋体"/>
                <w:vanish/>
              </w:rPr>
            </w:pPr>
          </w:p>
        </w:tc>
        <w:tc>
          <w:tcPr>
            <w:tcW w:w="0" w:type="auto"/>
            <w:gridSpan w:val="3"/>
            <w:shd w:val="clear" w:color="auto" w:fill="auto"/>
            <w:vAlign w:val="bottom"/>
          </w:tcPr>
          <w:p w14:paraId="71D48C2B" w14:textId="77777777" w:rsidR="006A3667" w:rsidRDefault="006A3667">
            <w:pPr>
              <w:rPr>
                <w:rFonts w:ascii="宋体"/>
                <w:vanish/>
              </w:rPr>
            </w:pPr>
          </w:p>
        </w:tc>
        <w:tc>
          <w:tcPr>
            <w:tcW w:w="0" w:type="auto"/>
            <w:gridSpan w:val="3"/>
            <w:shd w:val="clear" w:color="auto" w:fill="auto"/>
            <w:vAlign w:val="bottom"/>
          </w:tcPr>
          <w:p w14:paraId="71D48C2C" w14:textId="77777777" w:rsidR="006A3667" w:rsidRDefault="006A3667">
            <w:pPr>
              <w:rPr>
                <w:rFonts w:ascii="宋体"/>
                <w:vanish/>
              </w:rPr>
            </w:pPr>
          </w:p>
        </w:tc>
        <w:tc>
          <w:tcPr>
            <w:tcW w:w="0" w:type="auto"/>
            <w:gridSpan w:val="3"/>
            <w:shd w:val="clear" w:color="auto" w:fill="auto"/>
            <w:vAlign w:val="bottom"/>
          </w:tcPr>
          <w:p w14:paraId="71D48C2D" w14:textId="77777777" w:rsidR="006A3667" w:rsidRDefault="006A3667">
            <w:pPr>
              <w:rPr>
                <w:rFonts w:ascii="宋体"/>
                <w:vanish/>
              </w:rPr>
            </w:pPr>
          </w:p>
        </w:tc>
      </w:tr>
      <w:tr w:rsidR="006A3667" w14:paraId="71D48C35" w14:textId="77777777">
        <w:trPr>
          <w:hidden/>
        </w:trPr>
        <w:tc>
          <w:tcPr>
            <w:tcW w:w="0" w:type="auto"/>
            <w:gridSpan w:val="3"/>
            <w:shd w:val="clear" w:color="auto" w:fill="auto"/>
            <w:vAlign w:val="bottom"/>
          </w:tcPr>
          <w:p w14:paraId="71D48C2F" w14:textId="77777777" w:rsidR="006A3667" w:rsidRDefault="006A3667">
            <w:pPr>
              <w:rPr>
                <w:rFonts w:ascii="宋体"/>
                <w:vanish/>
              </w:rPr>
            </w:pPr>
          </w:p>
        </w:tc>
        <w:tc>
          <w:tcPr>
            <w:tcW w:w="0" w:type="auto"/>
            <w:gridSpan w:val="3"/>
            <w:shd w:val="clear" w:color="auto" w:fill="auto"/>
            <w:vAlign w:val="bottom"/>
          </w:tcPr>
          <w:p w14:paraId="71D48C30" w14:textId="77777777" w:rsidR="006A3667" w:rsidRDefault="006A3667">
            <w:pPr>
              <w:rPr>
                <w:rFonts w:ascii="宋体"/>
                <w:vanish/>
              </w:rPr>
            </w:pPr>
          </w:p>
        </w:tc>
        <w:tc>
          <w:tcPr>
            <w:tcW w:w="0" w:type="auto"/>
            <w:gridSpan w:val="3"/>
            <w:shd w:val="clear" w:color="auto" w:fill="auto"/>
            <w:vAlign w:val="bottom"/>
          </w:tcPr>
          <w:p w14:paraId="71D48C31" w14:textId="77777777" w:rsidR="006A3667" w:rsidRDefault="006A3667">
            <w:pPr>
              <w:rPr>
                <w:rFonts w:ascii="宋体"/>
                <w:vanish/>
              </w:rPr>
            </w:pPr>
          </w:p>
        </w:tc>
        <w:tc>
          <w:tcPr>
            <w:tcW w:w="0" w:type="auto"/>
            <w:gridSpan w:val="3"/>
            <w:shd w:val="clear" w:color="auto" w:fill="auto"/>
            <w:vAlign w:val="bottom"/>
          </w:tcPr>
          <w:p w14:paraId="71D48C32" w14:textId="77777777" w:rsidR="006A3667" w:rsidRDefault="006A3667">
            <w:pPr>
              <w:rPr>
                <w:rFonts w:ascii="宋体"/>
                <w:vanish/>
              </w:rPr>
            </w:pPr>
          </w:p>
        </w:tc>
        <w:tc>
          <w:tcPr>
            <w:tcW w:w="0" w:type="auto"/>
            <w:gridSpan w:val="3"/>
            <w:shd w:val="clear" w:color="auto" w:fill="auto"/>
            <w:vAlign w:val="bottom"/>
          </w:tcPr>
          <w:p w14:paraId="71D48C33" w14:textId="77777777" w:rsidR="006A3667" w:rsidRDefault="006A3667">
            <w:pPr>
              <w:rPr>
                <w:rFonts w:ascii="宋体"/>
                <w:vanish/>
              </w:rPr>
            </w:pPr>
          </w:p>
        </w:tc>
        <w:tc>
          <w:tcPr>
            <w:tcW w:w="0" w:type="auto"/>
            <w:gridSpan w:val="3"/>
            <w:shd w:val="clear" w:color="auto" w:fill="auto"/>
            <w:vAlign w:val="bottom"/>
          </w:tcPr>
          <w:p w14:paraId="71D48C34" w14:textId="77777777" w:rsidR="006A3667" w:rsidRDefault="006A3667">
            <w:pPr>
              <w:rPr>
                <w:rFonts w:ascii="宋体"/>
                <w:vanish/>
              </w:rPr>
            </w:pPr>
          </w:p>
        </w:tc>
      </w:tr>
      <w:tr w:rsidR="006A3667" w14:paraId="71D48C3C" w14:textId="77777777">
        <w:tc>
          <w:tcPr>
            <w:tcW w:w="0" w:type="auto"/>
            <w:gridSpan w:val="3"/>
            <w:shd w:val="clear" w:color="auto" w:fill="FFFFFF"/>
            <w:tcMar>
              <w:top w:w="40" w:type="dxa"/>
              <w:left w:w="20" w:type="dxa"/>
              <w:bottom w:w="40" w:type="dxa"/>
              <w:right w:w="20" w:type="dxa"/>
            </w:tcMar>
            <w:vAlign w:val="bottom"/>
          </w:tcPr>
          <w:p w14:paraId="71D48C36" w14:textId="77777777" w:rsidR="006A3667" w:rsidRDefault="00045F32">
            <w:pPr>
              <w:textAlignment w:val="bottom"/>
            </w:pPr>
            <w:r>
              <w:rPr>
                <w:rFonts w:ascii="Arial" w:eastAsia="宋体" w:hAnsi="Arial" w:cs="Arial"/>
                <w:b/>
                <w:bCs/>
                <w:color w:val="000000"/>
                <w:sz w:val="14"/>
                <w:szCs w:val="14"/>
              </w:rPr>
              <w:t>Cash flow hedges: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8C37"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8C38"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8C3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C3A" w14:textId="77777777" w:rsidR="006A3667" w:rsidRDefault="006A3667">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8C3B" w14:textId="77777777" w:rsidR="006A3667" w:rsidRDefault="006A3667">
            <w:pPr>
              <w:rPr>
                <w:rFonts w:ascii="宋体"/>
              </w:rPr>
            </w:pPr>
          </w:p>
        </w:tc>
      </w:tr>
      <w:tr w:rsidR="006A3667" w14:paraId="71D48C47" w14:textId="77777777">
        <w:tc>
          <w:tcPr>
            <w:tcW w:w="0" w:type="auto"/>
            <w:gridSpan w:val="3"/>
            <w:shd w:val="clear" w:color="auto" w:fill="CCEEFF"/>
            <w:tcMar>
              <w:top w:w="40" w:type="dxa"/>
              <w:left w:w="20" w:type="dxa"/>
              <w:bottom w:w="40" w:type="dxa"/>
              <w:right w:w="20" w:type="dxa"/>
            </w:tcMar>
            <w:vAlign w:val="bottom"/>
          </w:tcPr>
          <w:p w14:paraId="71D48C3D" w14:textId="77777777" w:rsidR="006A3667" w:rsidRDefault="00045F32">
            <w:pPr>
              <w:textAlignment w:val="bottom"/>
            </w:pPr>
            <w:r>
              <w:rPr>
                <w:rFonts w:ascii="Arial" w:eastAsia="宋体" w:hAnsi="Arial" w:cs="Arial"/>
                <w:color w:val="000000"/>
                <w:sz w:val="14"/>
                <w:szCs w:val="14"/>
              </w:rPr>
              <w:t xml:space="preserve">(Gain) </w:t>
            </w:r>
            <w:r>
              <w:rPr>
                <w:rFonts w:ascii="Arial" w:eastAsia="宋体" w:hAnsi="Arial" w:cs="Arial"/>
                <w:color w:val="000000"/>
                <w:sz w:val="14"/>
                <w:szCs w:val="14"/>
              </w:rPr>
              <w:t>reclassified from accumulated other comprehensive income into income, net of related taxes of $3 and $19, respectively</w:t>
            </w:r>
          </w:p>
        </w:tc>
        <w:tc>
          <w:tcPr>
            <w:tcW w:w="0" w:type="auto"/>
            <w:shd w:val="clear" w:color="auto" w:fill="CCEEFF"/>
            <w:tcMar>
              <w:top w:w="40" w:type="dxa"/>
              <w:left w:w="20" w:type="dxa"/>
              <w:bottom w:w="40" w:type="dxa"/>
              <w:right w:w="0" w:type="dxa"/>
            </w:tcMar>
            <w:vAlign w:val="bottom"/>
          </w:tcPr>
          <w:p w14:paraId="71D48C3E"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8C3F" w14:textId="77777777" w:rsidR="006A3667" w:rsidRDefault="00045F32">
            <w:pPr>
              <w:jc w:val="right"/>
              <w:textAlignment w:val="bottom"/>
            </w:pPr>
            <w:r>
              <w:rPr>
                <w:rFonts w:ascii="Arial" w:eastAsia="宋体" w:hAnsi="Arial" w:cs="Arial"/>
                <w:b/>
                <w:bCs/>
                <w:color w:val="000000"/>
                <w:sz w:val="14"/>
                <w:szCs w:val="14"/>
              </w:rPr>
              <w:t>(6)</w:t>
            </w:r>
          </w:p>
        </w:tc>
        <w:tc>
          <w:tcPr>
            <w:tcW w:w="0" w:type="auto"/>
            <w:shd w:val="clear" w:color="auto" w:fill="CCEEFF"/>
            <w:tcMar>
              <w:top w:w="40" w:type="dxa"/>
              <w:left w:w="0" w:type="dxa"/>
              <w:bottom w:w="40" w:type="dxa"/>
              <w:right w:w="20" w:type="dxa"/>
            </w:tcMar>
            <w:vAlign w:val="bottom"/>
          </w:tcPr>
          <w:p w14:paraId="71D48C4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4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C42"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8C43" w14:textId="77777777" w:rsidR="006A3667" w:rsidRDefault="00045F32">
            <w:pPr>
              <w:jc w:val="right"/>
              <w:textAlignment w:val="bottom"/>
            </w:pPr>
            <w:r>
              <w:rPr>
                <w:rFonts w:ascii="Arial" w:eastAsia="宋体" w:hAnsi="Arial" w:cs="Arial"/>
                <w:color w:val="000000"/>
                <w:sz w:val="14"/>
                <w:szCs w:val="14"/>
              </w:rPr>
              <w:t>(51)</w:t>
            </w:r>
          </w:p>
        </w:tc>
        <w:tc>
          <w:tcPr>
            <w:tcW w:w="0" w:type="auto"/>
            <w:shd w:val="clear" w:color="auto" w:fill="CCEEFF"/>
            <w:tcMar>
              <w:top w:w="40" w:type="dxa"/>
              <w:left w:w="0" w:type="dxa"/>
              <w:bottom w:w="40" w:type="dxa"/>
              <w:right w:w="20" w:type="dxa"/>
            </w:tcMar>
            <w:vAlign w:val="bottom"/>
          </w:tcPr>
          <w:p w14:paraId="71D48C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45"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8C46" w14:textId="77777777" w:rsidR="006A3667" w:rsidRDefault="00045F32">
            <w:pPr>
              <w:textAlignment w:val="bottom"/>
            </w:pPr>
            <w:r>
              <w:rPr>
                <w:rFonts w:ascii="Arial" w:eastAsia="宋体" w:hAnsi="Arial" w:cs="Arial"/>
                <w:color w:val="000000"/>
                <w:sz w:val="14"/>
                <w:szCs w:val="14"/>
              </w:rPr>
              <w:t>Net interest income reclassified from other comprehensive income</w:t>
            </w:r>
          </w:p>
        </w:tc>
      </w:tr>
      <w:tr w:rsidR="006A3667" w14:paraId="71D48C4E" w14:textId="77777777">
        <w:tc>
          <w:tcPr>
            <w:tcW w:w="0" w:type="auto"/>
            <w:gridSpan w:val="3"/>
            <w:shd w:val="clear" w:color="auto" w:fill="FFFFFF"/>
            <w:tcMar>
              <w:top w:w="40" w:type="dxa"/>
              <w:left w:w="20" w:type="dxa"/>
              <w:bottom w:w="40" w:type="dxa"/>
              <w:right w:w="20" w:type="dxa"/>
            </w:tcMar>
            <w:vAlign w:val="bottom"/>
          </w:tcPr>
          <w:p w14:paraId="71D48C48" w14:textId="77777777" w:rsidR="006A3667" w:rsidRDefault="00045F32">
            <w:pP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71D48C4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C4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C4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C4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C4D" w14:textId="77777777" w:rsidR="006A3667" w:rsidRDefault="006A3667">
            <w:pPr>
              <w:rPr>
                <w:rFonts w:ascii="宋体"/>
              </w:rPr>
            </w:pPr>
          </w:p>
        </w:tc>
      </w:tr>
      <w:tr w:rsidR="006A3667" w14:paraId="71D48C57" w14:textId="77777777">
        <w:tc>
          <w:tcPr>
            <w:tcW w:w="0" w:type="auto"/>
            <w:gridSpan w:val="3"/>
            <w:shd w:val="clear" w:color="auto" w:fill="CCEEFF"/>
            <w:tcMar>
              <w:top w:w="40" w:type="dxa"/>
              <w:left w:w="20" w:type="dxa"/>
              <w:bottom w:w="40" w:type="dxa"/>
              <w:right w:w="20" w:type="dxa"/>
            </w:tcMar>
            <w:vAlign w:val="bottom"/>
          </w:tcPr>
          <w:p w14:paraId="71D48C4F" w14:textId="77777777" w:rsidR="006A3667" w:rsidRDefault="00045F32">
            <w:pPr>
              <w:textAlignment w:val="bottom"/>
            </w:pPr>
            <w:r>
              <w:rPr>
                <w:rFonts w:ascii="Arial" w:eastAsia="宋体" w:hAnsi="Arial" w:cs="Arial"/>
                <w:color w:val="000000"/>
                <w:sz w:val="14"/>
                <w:szCs w:val="14"/>
              </w:rPr>
              <w:t xml:space="preserve">Amortization of </w:t>
            </w:r>
            <w:r>
              <w:rPr>
                <w:rFonts w:ascii="Arial" w:eastAsia="宋体" w:hAnsi="Arial" w:cs="Arial"/>
                <w:color w:val="000000"/>
                <w:sz w:val="14"/>
                <w:szCs w:val="14"/>
              </w:rPr>
              <w:t>actuarial losses, net of related taxes of $8 and $5, respectively</w:t>
            </w:r>
          </w:p>
        </w:tc>
        <w:tc>
          <w:tcPr>
            <w:tcW w:w="0" w:type="auto"/>
            <w:gridSpan w:val="2"/>
            <w:shd w:val="clear" w:color="auto" w:fill="CCEEFF"/>
            <w:tcMar>
              <w:top w:w="40" w:type="dxa"/>
              <w:left w:w="20" w:type="dxa"/>
              <w:bottom w:w="40" w:type="dxa"/>
              <w:right w:w="0" w:type="dxa"/>
            </w:tcMar>
            <w:vAlign w:val="bottom"/>
          </w:tcPr>
          <w:p w14:paraId="71D48C50" w14:textId="77777777" w:rsidR="006A3667" w:rsidRDefault="00045F32">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8C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5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C53" w14:textId="77777777" w:rsidR="006A3667" w:rsidRDefault="00045F32">
            <w:pPr>
              <w:jc w:val="right"/>
              <w:textAlignment w:val="bottom"/>
            </w:pPr>
            <w:r>
              <w:rPr>
                <w:rFonts w:ascii="Arial" w:eastAsia="宋体" w:hAnsi="Arial" w:cs="Arial"/>
                <w:color w:val="000000"/>
                <w:sz w:val="14"/>
                <w:szCs w:val="14"/>
              </w:rPr>
              <w:t>12 </w:t>
            </w:r>
          </w:p>
        </w:tc>
        <w:tc>
          <w:tcPr>
            <w:tcW w:w="0" w:type="auto"/>
            <w:shd w:val="clear" w:color="auto" w:fill="CCEEFF"/>
            <w:tcMar>
              <w:top w:w="40" w:type="dxa"/>
              <w:left w:w="0" w:type="dxa"/>
              <w:bottom w:w="40" w:type="dxa"/>
              <w:right w:w="20" w:type="dxa"/>
            </w:tcMar>
            <w:vAlign w:val="bottom"/>
          </w:tcPr>
          <w:p w14:paraId="71D48C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55" w14:textId="77777777" w:rsidR="006A3667" w:rsidRDefault="006A3667">
            <w:pPr>
              <w:rPr>
                <w:rFonts w:ascii="宋体"/>
              </w:rPr>
            </w:pPr>
          </w:p>
        </w:tc>
        <w:tc>
          <w:tcPr>
            <w:tcW w:w="0" w:type="auto"/>
            <w:gridSpan w:val="3"/>
            <w:shd w:val="clear" w:color="auto" w:fill="CCEEFF"/>
            <w:tcMar>
              <w:top w:w="40" w:type="dxa"/>
              <w:left w:w="20" w:type="dxa"/>
              <w:bottom w:w="40" w:type="dxa"/>
              <w:right w:w="20" w:type="dxa"/>
            </w:tcMar>
            <w:vAlign w:val="bottom"/>
          </w:tcPr>
          <w:p w14:paraId="71D48C56" w14:textId="77777777" w:rsidR="006A3667" w:rsidRDefault="00045F32">
            <w:pPr>
              <w:textAlignment w:val="bottom"/>
            </w:pPr>
            <w:r>
              <w:rPr>
                <w:rFonts w:ascii="Arial" w:eastAsia="宋体" w:hAnsi="Arial" w:cs="Arial"/>
                <w:color w:val="000000"/>
                <w:sz w:val="14"/>
                <w:szCs w:val="14"/>
              </w:rPr>
              <w:t>Compensation and employee benefits expenses</w:t>
            </w:r>
          </w:p>
        </w:tc>
      </w:tr>
      <w:tr w:rsidR="006A3667" w14:paraId="71D48C5E" w14:textId="77777777">
        <w:trPr>
          <w:hidden/>
        </w:trPr>
        <w:tc>
          <w:tcPr>
            <w:tcW w:w="0" w:type="auto"/>
            <w:gridSpan w:val="3"/>
            <w:shd w:val="clear" w:color="auto" w:fill="auto"/>
            <w:vAlign w:val="bottom"/>
          </w:tcPr>
          <w:p w14:paraId="71D48C58" w14:textId="77777777" w:rsidR="006A3667" w:rsidRDefault="006A3667">
            <w:pPr>
              <w:rPr>
                <w:rFonts w:ascii="宋体"/>
                <w:vanish/>
              </w:rPr>
            </w:pPr>
          </w:p>
        </w:tc>
        <w:tc>
          <w:tcPr>
            <w:tcW w:w="0" w:type="auto"/>
            <w:gridSpan w:val="3"/>
            <w:shd w:val="clear" w:color="auto" w:fill="auto"/>
            <w:vAlign w:val="bottom"/>
          </w:tcPr>
          <w:p w14:paraId="71D48C59" w14:textId="77777777" w:rsidR="006A3667" w:rsidRDefault="006A3667">
            <w:pPr>
              <w:rPr>
                <w:rFonts w:ascii="宋体"/>
                <w:vanish/>
              </w:rPr>
            </w:pPr>
          </w:p>
        </w:tc>
        <w:tc>
          <w:tcPr>
            <w:tcW w:w="0" w:type="auto"/>
            <w:gridSpan w:val="3"/>
            <w:shd w:val="clear" w:color="auto" w:fill="auto"/>
            <w:vAlign w:val="bottom"/>
          </w:tcPr>
          <w:p w14:paraId="71D48C5A" w14:textId="77777777" w:rsidR="006A3667" w:rsidRDefault="006A3667">
            <w:pPr>
              <w:rPr>
                <w:rFonts w:ascii="宋体"/>
                <w:vanish/>
              </w:rPr>
            </w:pPr>
          </w:p>
        </w:tc>
        <w:tc>
          <w:tcPr>
            <w:tcW w:w="0" w:type="auto"/>
            <w:gridSpan w:val="3"/>
            <w:shd w:val="clear" w:color="auto" w:fill="auto"/>
            <w:vAlign w:val="bottom"/>
          </w:tcPr>
          <w:p w14:paraId="71D48C5B" w14:textId="77777777" w:rsidR="006A3667" w:rsidRDefault="006A3667">
            <w:pPr>
              <w:rPr>
                <w:rFonts w:ascii="宋体"/>
                <w:vanish/>
              </w:rPr>
            </w:pPr>
          </w:p>
        </w:tc>
        <w:tc>
          <w:tcPr>
            <w:tcW w:w="0" w:type="auto"/>
            <w:gridSpan w:val="3"/>
            <w:shd w:val="clear" w:color="auto" w:fill="auto"/>
            <w:vAlign w:val="bottom"/>
          </w:tcPr>
          <w:p w14:paraId="71D48C5C" w14:textId="77777777" w:rsidR="006A3667" w:rsidRDefault="006A3667">
            <w:pPr>
              <w:rPr>
                <w:rFonts w:ascii="宋体"/>
                <w:vanish/>
              </w:rPr>
            </w:pPr>
          </w:p>
        </w:tc>
        <w:tc>
          <w:tcPr>
            <w:tcW w:w="0" w:type="auto"/>
            <w:gridSpan w:val="3"/>
            <w:shd w:val="clear" w:color="auto" w:fill="auto"/>
            <w:vAlign w:val="bottom"/>
          </w:tcPr>
          <w:p w14:paraId="71D48C5D" w14:textId="77777777" w:rsidR="006A3667" w:rsidRDefault="006A3667">
            <w:pPr>
              <w:rPr>
                <w:rFonts w:ascii="宋体"/>
                <w:vanish/>
              </w:rPr>
            </w:pPr>
          </w:p>
        </w:tc>
      </w:tr>
      <w:tr w:rsidR="006A3667" w14:paraId="71D48C65" w14:textId="77777777">
        <w:trPr>
          <w:hidden/>
        </w:trPr>
        <w:tc>
          <w:tcPr>
            <w:tcW w:w="0" w:type="auto"/>
            <w:gridSpan w:val="3"/>
            <w:shd w:val="clear" w:color="auto" w:fill="auto"/>
            <w:vAlign w:val="bottom"/>
          </w:tcPr>
          <w:p w14:paraId="71D48C5F" w14:textId="77777777" w:rsidR="006A3667" w:rsidRDefault="006A3667">
            <w:pPr>
              <w:rPr>
                <w:rFonts w:ascii="宋体"/>
                <w:vanish/>
              </w:rPr>
            </w:pPr>
          </w:p>
        </w:tc>
        <w:tc>
          <w:tcPr>
            <w:tcW w:w="0" w:type="auto"/>
            <w:gridSpan w:val="3"/>
            <w:shd w:val="clear" w:color="auto" w:fill="auto"/>
            <w:vAlign w:val="bottom"/>
          </w:tcPr>
          <w:p w14:paraId="71D48C60" w14:textId="77777777" w:rsidR="006A3667" w:rsidRDefault="006A3667">
            <w:pPr>
              <w:rPr>
                <w:rFonts w:ascii="宋体"/>
                <w:vanish/>
              </w:rPr>
            </w:pPr>
          </w:p>
        </w:tc>
        <w:tc>
          <w:tcPr>
            <w:tcW w:w="0" w:type="auto"/>
            <w:gridSpan w:val="3"/>
            <w:shd w:val="clear" w:color="auto" w:fill="auto"/>
            <w:vAlign w:val="bottom"/>
          </w:tcPr>
          <w:p w14:paraId="71D48C61" w14:textId="77777777" w:rsidR="006A3667" w:rsidRDefault="006A3667">
            <w:pPr>
              <w:rPr>
                <w:rFonts w:ascii="宋体"/>
                <w:vanish/>
              </w:rPr>
            </w:pPr>
          </w:p>
        </w:tc>
        <w:tc>
          <w:tcPr>
            <w:tcW w:w="0" w:type="auto"/>
            <w:gridSpan w:val="3"/>
            <w:shd w:val="clear" w:color="auto" w:fill="auto"/>
            <w:vAlign w:val="bottom"/>
          </w:tcPr>
          <w:p w14:paraId="71D48C62" w14:textId="77777777" w:rsidR="006A3667" w:rsidRDefault="006A3667">
            <w:pPr>
              <w:rPr>
                <w:rFonts w:ascii="宋体"/>
                <w:vanish/>
              </w:rPr>
            </w:pPr>
          </w:p>
        </w:tc>
        <w:tc>
          <w:tcPr>
            <w:tcW w:w="0" w:type="auto"/>
            <w:gridSpan w:val="3"/>
            <w:shd w:val="clear" w:color="auto" w:fill="auto"/>
            <w:vAlign w:val="bottom"/>
          </w:tcPr>
          <w:p w14:paraId="71D48C63" w14:textId="77777777" w:rsidR="006A3667" w:rsidRDefault="006A3667">
            <w:pPr>
              <w:rPr>
                <w:rFonts w:ascii="宋体"/>
                <w:vanish/>
              </w:rPr>
            </w:pPr>
          </w:p>
        </w:tc>
        <w:tc>
          <w:tcPr>
            <w:tcW w:w="0" w:type="auto"/>
            <w:gridSpan w:val="3"/>
            <w:shd w:val="clear" w:color="auto" w:fill="auto"/>
            <w:vAlign w:val="bottom"/>
          </w:tcPr>
          <w:p w14:paraId="71D48C64" w14:textId="77777777" w:rsidR="006A3667" w:rsidRDefault="006A3667">
            <w:pPr>
              <w:rPr>
                <w:rFonts w:ascii="宋体"/>
                <w:vanish/>
              </w:rPr>
            </w:pPr>
          </w:p>
        </w:tc>
      </w:tr>
      <w:tr w:rsidR="006A3667" w14:paraId="71D48C6C" w14:textId="77777777">
        <w:trPr>
          <w:hidden/>
        </w:trPr>
        <w:tc>
          <w:tcPr>
            <w:tcW w:w="0" w:type="auto"/>
            <w:gridSpan w:val="3"/>
            <w:shd w:val="clear" w:color="auto" w:fill="auto"/>
            <w:vAlign w:val="bottom"/>
          </w:tcPr>
          <w:p w14:paraId="71D48C66" w14:textId="77777777" w:rsidR="006A3667" w:rsidRDefault="006A3667">
            <w:pPr>
              <w:rPr>
                <w:rFonts w:ascii="宋体"/>
                <w:vanish/>
              </w:rPr>
            </w:pPr>
          </w:p>
        </w:tc>
        <w:tc>
          <w:tcPr>
            <w:tcW w:w="0" w:type="auto"/>
            <w:gridSpan w:val="3"/>
            <w:shd w:val="clear" w:color="auto" w:fill="auto"/>
            <w:vAlign w:val="bottom"/>
          </w:tcPr>
          <w:p w14:paraId="71D48C67" w14:textId="77777777" w:rsidR="006A3667" w:rsidRDefault="006A3667">
            <w:pPr>
              <w:rPr>
                <w:rFonts w:ascii="宋体"/>
                <w:vanish/>
              </w:rPr>
            </w:pPr>
          </w:p>
        </w:tc>
        <w:tc>
          <w:tcPr>
            <w:tcW w:w="0" w:type="auto"/>
            <w:gridSpan w:val="3"/>
            <w:shd w:val="clear" w:color="auto" w:fill="auto"/>
            <w:vAlign w:val="bottom"/>
          </w:tcPr>
          <w:p w14:paraId="71D48C68" w14:textId="77777777" w:rsidR="006A3667" w:rsidRDefault="006A3667">
            <w:pPr>
              <w:rPr>
                <w:rFonts w:ascii="宋体"/>
                <w:vanish/>
              </w:rPr>
            </w:pPr>
          </w:p>
        </w:tc>
        <w:tc>
          <w:tcPr>
            <w:tcW w:w="0" w:type="auto"/>
            <w:gridSpan w:val="3"/>
            <w:shd w:val="clear" w:color="auto" w:fill="auto"/>
            <w:vAlign w:val="bottom"/>
          </w:tcPr>
          <w:p w14:paraId="71D48C69" w14:textId="77777777" w:rsidR="006A3667" w:rsidRDefault="006A3667">
            <w:pPr>
              <w:rPr>
                <w:rFonts w:ascii="宋体"/>
                <w:vanish/>
              </w:rPr>
            </w:pPr>
          </w:p>
        </w:tc>
        <w:tc>
          <w:tcPr>
            <w:tcW w:w="0" w:type="auto"/>
            <w:gridSpan w:val="3"/>
            <w:shd w:val="clear" w:color="auto" w:fill="auto"/>
            <w:vAlign w:val="bottom"/>
          </w:tcPr>
          <w:p w14:paraId="71D48C6A" w14:textId="77777777" w:rsidR="006A3667" w:rsidRDefault="006A3667">
            <w:pPr>
              <w:rPr>
                <w:rFonts w:ascii="宋体"/>
                <w:vanish/>
              </w:rPr>
            </w:pPr>
          </w:p>
        </w:tc>
        <w:tc>
          <w:tcPr>
            <w:tcW w:w="0" w:type="auto"/>
            <w:gridSpan w:val="3"/>
            <w:shd w:val="clear" w:color="auto" w:fill="auto"/>
            <w:vAlign w:val="bottom"/>
          </w:tcPr>
          <w:p w14:paraId="71D48C6B" w14:textId="77777777" w:rsidR="006A3667" w:rsidRDefault="006A3667">
            <w:pPr>
              <w:rPr>
                <w:rFonts w:ascii="宋体"/>
                <w:vanish/>
              </w:rPr>
            </w:pPr>
          </w:p>
        </w:tc>
      </w:tr>
      <w:tr w:rsidR="006A3667" w14:paraId="71D48C77" w14:textId="77777777">
        <w:tc>
          <w:tcPr>
            <w:tcW w:w="0" w:type="auto"/>
            <w:gridSpan w:val="3"/>
            <w:shd w:val="clear" w:color="auto" w:fill="FFFFFF"/>
            <w:tcMar>
              <w:top w:w="40" w:type="dxa"/>
              <w:left w:w="20" w:type="dxa"/>
              <w:bottom w:w="40" w:type="dxa"/>
              <w:right w:w="20" w:type="dxa"/>
            </w:tcMar>
            <w:vAlign w:val="bottom"/>
          </w:tcPr>
          <w:p w14:paraId="71D48C6D" w14:textId="77777777" w:rsidR="006A3667" w:rsidRDefault="00045F32">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8C6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8C6F" w14:textId="77777777" w:rsidR="006A3667" w:rsidRDefault="00045F32">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8C7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C71"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8C7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8C73" w14:textId="77777777" w:rsidR="006A3667" w:rsidRDefault="00045F32">
            <w:pPr>
              <w:jc w:val="right"/>
              <w:textAlignment w:val="bottom"/>
            </w:pPr>
            <w:r>
              <w:rPr>
                <w:rFonts w:ascii="Arial" w:eastAsia="宋体" w:hAnsi="Arial" w:cs="Arial"/>
                <w:color w:val="000000"/>
                <w:sz w:val="14"/>
                <w:szCs w:val="14"/>
              </w:rPr>
              <w:t>(39)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8C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C7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C76" w14:textId="77777777" w:rsidR="006A3667" w:rsidRDefault="006A3667">
            <w:pPr>
              <w:rPr>
                <w:rFonts w:ascii="宋体"/>
              </w:rPr>
            </w:pPr>
          </w:p>
        </w:tc>
      </w:tr>
    </w:tbl>
    <w:p w14:paraId="71D48C78" w14:textId="77777777" w:rsidR="006A3667" w:rsidRDefault="00045F32">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89</w:t>
      </w:r>
    </w:p>
    <w:p w14:paraId="71D48C79" w14:textId="77777777" w:rsidR="006A3667" w:rsidRDefault="006A3667">
      <w:pPr>
        <w:ind w:firstLine="450"/>
        <w:jc w:val="center"/>
      </w:pPr>
    </w:p>
    <w:p w14:paraId="71D48C7A" w14:textId="77777777" w:rsidR="006A3667" w:rsidRDefault="00045F32">
      <w:r>
        <w:pict w14:anchorId="71D4AC6D">
          <v:rect id="_x0000_i1113" style="width:415.3pt;height:1.5pt" o:hralign="center" o:hrstd="t" o:hr="t" fillcolor="#a0a0a0" stroked="f"/>
        </w:pict>
      </w:r>
    </w:p>
    <w:p w14:paraId="71D48C7B" w14:textId="77777777" w:rsidR="006A3667" w:rsidRDefault="00045F32">
      <w:pPr>
        <w:ind w:firstLine="450"/>
        <w:jc w:val="center"/>
      </w:pPr>
      <w:r>
        <w:rPr>
          <w:rFonts w:ascii="Arial" w:eastAsia="宋体" w:hAnsi="Arial" w:cs="Arial"/>
          <w:b/>
          <w:bCs/>
          <w:color w:val="000000"/>
          <w:sz w:val="20"/>
          <w:szCs w:val="20"/>
        </w:rPr>
        <w:t>STATE STREET CORPORATION</w:t>
      </w:r>
    </w:p>
    <w:p w14:paraId="71D48C7C"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8C7D" w14:textId="77777777" w:rsidR="006A3667" w:rsidRDefault="00045F32">
      <w:pPr>
        <w:ind w:firstLine="450"/>
        <w:jc w:val="center"/>
      </w:pPr>
      <w:r>
        <w:rPr>
          <w:rFonts w:ascii="Arial" w:eastAsia="宋体" w:hAnsi="Arial" w:cs="Arial"/>
          <w:b/>
          <w:bCs/>
          <w:color w:val="000000"/>
          <w:sz w:val="20"/>
          <w:szCs w:val="20"/>
        </w:rPr>
        <w:t>(UNAUDITED)</w:t>
      </w:r>
    </w:p>
    <w:p w14:paraId="71D48C7E" w14:textId="77777777" w:rsidR="006A3667" w:rsidRDefault="00045F32">
      <w:pPr>
        <w:spacing w:before="60"/>
        <w:jc w:val="both"/>
      </w:pPr>
      <w:r>
        <w:rPr>
          <w:rFonts w:ascii="Arial" w:eastAsia="宋体" w:hAnsi="Arial" w:cs="Arial"/>
          <w:b/>
          <w:bCs/>
          <w:color w:val="000000"/>
          <w:sz w:val="20"/>
          <w:szCs w:val="20"/>
        </w:rPr>
        <w:t>Note 13.    Regulatory Capital</w:t>
      </w:r>
    </w:p>
    <w:p w14:paraId="71D48C7F" w14:textId="77777777" w:rsidR="006A3667" w:rsidRDefault="00045F32">
      <w:pPr>
        <w:spacing w:before="60"/>
        <w:ind w:firstLine="450"/>
        <w:jc w:val="both"/>
      </w:pPr>
      <w:r>
        <w:rPr>
          <w:rFonts w:ascii="Arial" w:eastAsia="宋体" w:hAnsi="Arial" w:cs="Arial"/>
          <w:color w:val="000000"/>
          <w:sz w:val="20"/>
          <w:szCs w:val="20"/>
        </w:rPr>
        <w:t xml:space="preserve">For additional information on our regulatory capital, including the regulatory capital requirements </w:t>
      </w:r>
      <w:r>
        <w:rPr>
          <w:rFonts w:ascii="Arial" w:eastAsia="宋体" w:hAnsi="Arial" w:cs="Arial"/>
          <w:color w:val="000000"/>
          <w:sz w:val="20"/>
          <w:szCs w:val="20"/>
        </w:rPr>
        <w:t>administered by federal banking agencies, which we are subject to, refer to pages 171 to 172 in Note 16 to the consolidated financial statements included under Item 8, Financial Statements and Supplementary Data, in our 2021 Form 10-K.</w:t>
      </w:r>
    </w:p>
    <w:p w14:paraId="71D48C80" w14:textId="77777777" w:rsidR="006A3667" w:rsidRDefault="00045F32">
      <w:pPr>
        <w:spacing w:before="60"/>
        <w:ind w:firstLine="450"/>
        <w:jc w:val="both"/>
      </w:pPr>
      <w:r>
        <w:rPr>
          <w:rFonts w:ascii="Arial" w:eastAsia="宋体" w:hAnsi="Arial" w:cs="Arial"/>
          <w:color w:val="000000"/>
          <w:sz w:val="20"/>
          <w:szCs w:val="20"/>
        </w:rPr>
        <w:t xml:space="preserve">As of September 30, </w:t>
      </w:r>
      <w:r>
        <w:rPr>
          <w:rFonts w:ascii="Arial" w:eastAsia="宋体" w:hAnsi="Arial" w:cs="Arial"/>
          <w:color w:val="000000"/>
          <w:sz w:val="20"/>
          <w:szCs w:val="20"/>
        </w:rPr>
        <w:t xml:space="preserve">2022, we and State Street Bank exceeded all regulatory capital adequacy requirements to which we were subject to. As of September 30, 2022, State Street Bank was categorized as “well capitalized” under the applicable regulatory capital adequacy framework, </w:t>
      </w:r>
      <w:r>
        <w:rPr>
          <w:rFonts w:ascii="Arial" w:eastAsia="宋体" w:hAnsi="Arial" w:cs="Arial"/>
          <w:color w:val="000000"/>
          <w:sz w:val="20"/>
          <w:szCs w:val="20"/>
        </w:rPr>
        <w:t>and exceeded all “well capitalized” ratio guidelines to which it was subject. Management believes that no conditions or events have occurred since September 30, 2022 that have changed the capital categorization of State Street Bank.</w:t>
      </w:r>
    </w:p>
    <w:p w14:paraId="71D48C81" w14:textId="77777777" w:rsidR="006A3667" w:rsidRDefault="00045F32">
      <w:pPr>
        <w:spacing w:before="60"/>
        <w:ind w:firstLine="450"/>
        <w:jc w:val="both"/>
      </w:pPr>
      <w:r>
        <w:rPr>
          <w:rFonts w:ascii="Arial" w:eastAsia="宋体" w:hAnsi="Arial" w:cs="Arial"/>
          <w:color w:val="000000"/>
          <w:sz w:val="20"/>
          <w:szCs w:val="20"/>
        </w:rPr>
        <w:t>The following table pre</w:t>
      </w:r>
      <w:r>
        <w:rPr>
          <w:rFonts w:ascii="Arial" w:eastAsia="宋体" w:hAnsi="Arial" w:cs="Arial"/>
          <w:color w:val="000000"/>
          <w:sz w:val="20"/>
          <w:szCs w:val="20"/>
        </w:rPr>
        <w:t>sents the regulatory capital structure, total RWA, related regulatory capital ratios and the minimum required regulatory capital ratios for us and State Street Bank as of the dates indicated.</w:t>
      </w:r>
    </w:p>
    <w:tbl>
      <w:tblPr>
        <w:tblW w:w="4941" w:type="pct"/>
        <w:tblCellMar>
          <w:top w:w="15" w:type="dxa"/>
          <w:left w:w="15" w:type="dxa"/>
          <w:bottom w:w="15" w:type="dxa"/>
          <w:right w:w="15" w:type="dxa"/>
        </w:tblCellMar>
        <w:tblLook w:val="04A0" w:firstRow="1" w:lastRow="0" w:firstColumn="1" w:lastColumn="0" w:noHBand="0" w:noVBand="1"/>
      </w:tblPr>
      <w:tblGrid>
        <w:gridCol w:w="96"/>
        <w:gridCol w:w="388"/>
        <w:gridCol w:w="37"/>
        <w:gridCol w:w="84"/>
        <w:gridCol w:w="652"/>
        <w:gridCol w:w="113"/>
        <w:gridCol w:w="85"/>
        <w:gridCol w:w="653"/>
        <w:gridCol w:w="113"/>
        <w:gridCol w:w="80"/>
        <w:gridCol w:w="398"/>
        <w:gridCol w:w="112"/>
        <w:gridCol w:w="37"/>
        <w:gridCol w:w="35"/>
        <w:gridCol w:w="35"/>
        <w:gridCol w:w="102"/>
        <w:gridCol w:w="536"/>
        <w:gridCol w:w="112"/>
        <w:gridCol w:w="37"/>
        <w:gridCol w:w="35"/>
        <w:gridCol w:w="35"/>
        <w:gridCol w:w="80"/>
        <w:gridCol w:w="398"/>
        <w:gridCol w:w="112"/>
        <w:gridCol w:w="37"/>
        <w:gridCol w:w="35"/>
        <w:gridCol w:w="35"/>
        <w:gridCol w:w="99"/>
        <w:gridCol w:w="542"/>
        <w:gridCol w:w="112"/>
        <w:gridCol w:w="37"/>
        <w:gridCol w:w="35"/>
        <w:gridCol w:w="35"/>
        <w:gridCol w:w="80"/>
        <w:gridCol w:w="398"/>
        <w:gridCol w:w="112"/>
        <w:gridCol w:w="37"/>
        <w:gridCol w:w="35"/>
        <w:gridCol w:w="35"/>
        <w:gridCol w:w="102"/>
        <w:gridCol w:w="536"/>
        <w:gridCol w:w="112"/>
        <w:gridCol w:w="37"/>
        <w:gridCol w:w="35"/>
        <w:gridCol w:w="35"/>
        <w:gridCol w:w="80"/>
        <w:gridCol w:w="398"/>
        <w:gridCol w:w="112"/>
        <w:gridCol w:w="37"/>
        <w:gridCol w:w="35"/>
        <w:gridCol w:w="35"/>
        <w:gridCol w:w="99"/>
        <w:gridCol w:w="542"/>
        <w:gridCol w:w="112"/>
      </w:tblGrid>
      <w:tr w:rsidR="006A3667" w14:paraId="71D48CB8" w14:textId="77777777">
        <w:tc>
          <w:tcPr>
            <w:tcW w:w="50" w:type="pct"/>
            <w:shd w:val="clear" w:color="auto" w:fill="auto"/>
            <w:vAlign w:val="bottom"/>
          </w:tcPr>
          <w:p w14:paraId="71D48C82" w14:textId="77777777" w:rsidR="006A3667" w:rsidRDefault="006A3667">
            <w:pPr>
              <w:rPr>
                <w:rFonts w:ascii="宋体"/>
              </w:rPr>
            </w:pPr>
          </w:p>
        </w:tc>
        <w:tc>
          <w:tcPr>
            <w:tcW w:w="359" w:type="pct"/>
            <w:shd w:val="clear" w:color="auto" w:fill="auto"/>
            <w:vAlign w:val="bottom"/>
          </w:tcPr>
          <w:p w14:paraId="71D48C83" w14:textId="77777777" w:rsidR="006A3667" w:rsidRDefault="006A3667">
            <w:pPr>
              <w:rPr>
                <w:rFonts w:ascii="宋体"/>
              </w:rPr>
            </w:pPr>
          </w:p>
        </w:tc>
        <w:tc>
          <w:tcPr>
            <w:tcW w:w="5" w:type="pct"/>
            <w:shd w:val="clear" w:color="auto" w:fill="auto"/>
            <w:vAlign w:val="bottom"/>
          </w:tcPr>
          <w:p w14:paraId="71D48C84" w14:textId="77777777" w:rsidR="006A3667" w:rsidRDefault="006A3667">
            <w:pPr>
              <w:rPr>
                <w:rFonts w:ascii="宋体"/>
              </w:rPr>
            </w:pPr>
          </w:p>
        </w:tc>
        <w:tc>
          <w:tcPr>
            <w:tcW w:w="50" w:type="pct"/>
            <w:shd w:val="clear" w:color="auto" w:fill="auto"/>
            <w:vAlign w:val="bottom"/>
          </w:tcPr>
          <w:p w14:paraId="71D48C85" w14:textId="77777777" w:rsidR="006A3667" w:rsidRDefault="006A3667">
            <w:pPr>
              <w:rPr>
                <w:rFonts w:ascii="宋体"/>
              </w:rPr>
            </w:pPr>
          </w:p>
        </w:tc>
        <w:tc>
          <w:tcPr>
            <w:tcW w:w="418" w:type="pct"/>
            <w:shd w:val="clear" w:color="auto" w:fill="auto"/>
            <w:vAlign w:val="bottom"/>
          </w:tcPr>
          <w:p w14:paraId="71D48C86" w14:textId="77777777" w:rsidR="006A3667" w:rsidRDefault="006A3667">
            <w:pPr>
              <w:rPr>
                <w:rFonts w:ascii="宋体"/>
              </w:rPr>
            </w:pPr>
          </w:p>
        </w:tc>
        <w:tc>
          <w:tcPr>
            <w:tcW w:w="5" w:type="pct"/>
            <w:shd w:val="clear" w:color="auto" w:fill="auto"/>
            <w:vAlign w:val="bottom"/>
          </w:tcPr>
          <w:p w14:paraId="71D48C87" w14:textId="77777777" w:rsidR="006A3667" w:rsidRDefault="006A3667">
            <w:pPr>
              <w:rPr>
                <w:rFonts w:ascii="宋体"/>
              </w:rPr>
            </w:pPr>
          </w:p>
        </w:tc>
        <w:tc>
          <w:tcPr>
            <w:tcW w:w="50" w:type="pct"/>
            <w:shd w:val="clear" w:color="auto" w:fill="auto"/>
            <w:vAlign w:val="bottom"/>
          </w:tcPr>
          <w:p w14:paraId="71D48C88" w14:textId="77777777" w:rsidR="006A3667" w:rsidRDefault="006A3667">
            <w:pPr>
              <w:rPr>
                <w:rFonts w:ascii="宋体"/>
              </w:rPr>
            </w:pPr>
          </w:p>
        </w:tc>
        <w:tc>
          <w:tcPr>
            <w:tcW w:w="418" w:type="pct"/>
            <w:shd w:val="clear" w:color="auto" w:fill="auto"/>
            <w:vAlign w:val="bottom"/>
          </w:tcPr>
          <w:p w14:paraId="71D48C89" w14:textId="77777777" w:rsidR="006A3667" w:rsidRDefault="006A3667">
            <w:pPr>
              <w:rPr>
                <w:rFonts w:ascii="宋体"/>
              </w:rPr>
            </w:pPr>
          </w:p>
        </w:tc>
        <w:tc>
          <w:tcPr>
            <w:tcW w:w="5" w:type="pct"/>
            <w:shd w:val="clear" w:color="auto" w:fill="auto"/>
            <w:vAlign w:val="bottom"/>
          </w:tcPr>
          <w:p w14:paraId="71D48C8A" w14:textId="77777777" w:rsidR="006A3667" w:rsidRDefault="006A3667">
            <w:pPr>
              <w:rPr>
                <w:rFonts w:ascii="宋体"/>
              </w:rPr>
            </w:pPr>
          </w:p>
        </w:tc>
        <w:tc>
          <w:tcPr>
            <w:tcW w:w="50" w:type="pct"/>
            <w:shd w:val="clear" w:color="auto" w:fill="auto"/>
            <w:vAlign w:val="bottom"/>
          </w:tcPr>
          <w:p w14:paraId="71D48C8B" w14:textId="77777777" w:rsidR="006A3667" w:rsidRDefault="006A3667">
            <w:pPr>
              <w:rPr>
                <w:rFonts w:ascii="宋体"/>
              </w:rPr>
            </w:pPr>
          </w:p>
        </w:tc>
        <w:tc>
          <w:tcPr>
            <w:tcW w:w="351" w:type="pct"/>
            <w:shd w:val="clear" w:color="auto" w:fill="auto"/>
            <w:vAlign w:val="bottom"/>
          </w:tcPr>
          <w:p w14:paraId="71D48C8C" w14:textId="77777777" w:rsidR="006A3667" w:rsidRDefault="006A3667">
            <w:pPr>
              <w:rPr>
                <w:rFonts w:ascii="宋体"/>
              </w:rPr>
            </w:pPr>
          </w:p>
        </w:tc>
        <w:tc>
          <w:tcPr>
            <w:tcW w:w="5" w:type="pct"/>
            <w:shd w:val="clear" w:color="auto" w:fill="auto"/>
            <w:vAlign w:val="bottom"/>
          </w:tcPr>
          <w:p w14:paraId="71D48C8D" w14:textId="77777777" w:rsidR="006A3667" w:rsidRDefault="006A3667">
            <w:pPr>
              <w:rPr>
                <w:rFonts w:ascii="宋体"/>
              </w:rPr>
            </w:pPr>
          </w:p>
        </w:tc>
        <w:tc>
          <w:tcPr>
            <w:tcW w:w="5" w:type="pct"/>
            <w:shd w:val="clear" w:color="auto" w:fill="auto"/>
            <w:vAlign w:val="bottom"/>
          </w:tcPr>
          <w:p w14:paraId="71D48C8E" w14:textId="77777777" w:rsidR="006A3667" w:rsidRDefault="006A3667">
            <w:pPr>
              <w:rPr>
                <w:rFonts w:ascii="宋体"/>
              </w:rPr>
            </w:pPr>
          </w:p>
        </w:tc>
        <w:tc>
          <w:tcPr>
            <w:tcW w:w="19" w:type="pct"/>
            <w:shd w:val="clear" w:color="auto" w:fill="auto"/>
            <w:vAlign w:val="bottom"/>
          </w:tcPr>
          <w:p w14:paraId="71D48C8F" w14:textId="77777777" w:rsidR="006A3667" w:rsidRDefault="006A3667">
            <w:pPr>
              <w:rPr>
                <w:rFonts w:ascii="宋体"/>
              </w:rPr>
            </w:pPr>
          </w:p>
        </w:tc>
        <w:tc>
          <w:tcPr>
            <w:tcW w:w="5" w:type="pct"/>
            <w:shd w:val="clear" w:color="auto" w:fill="auto"/>
            <w:vAlign w:val="bottom"/>
          </w:tcPr>
          <w:p w14:paraId="71D48C90" w14:textId="77777777" w:rsidR="006A3667" w:rsidRDefault="006A3667">
            <w:pPr>
              <w:rPr>
                <w:rFonts w:ascii="宋体"/>
              </w:rPr>
            </w:pPr>
          </w:p>
        </w:tc>
        <w:tc>
          <w:tcPr>
            <w:tcW w:w="50" w:type="pct"/>
            <w:shd w:val="clear" w:color="auto" w:fill="auto"/>
            <w:vAlign w:val="bottom"/>
          </w:tcPr>
          <w:p w14:paraId="71D48C91" w14:textId="77777777" w:rsidR="006A3667" w:rsidRDefault="006A3667">
            <w:pPr>
              <w:rPr>
                <w:rFonts w:ascii="宋体"/>
              </w:rPr>
            </w:pPr>
          </w:p>
        </w:tc>
        <w:tc>
          <w:tcPr>
            <w:tcW w:w="351" w:type="pct"/>
            <w:shd w:val="clear" w:color="auto" w:fill="auto"/>
            <w:vAlign w:val="bottom"/>
          </w:tcPr>
          <w:p w14:paraId="71D48C92" w14:textId="77777777" w:rsidR="006A3667" w:rsidRDefault="006A3667">
            <w:pPr>
              <w:rPr>
                <w:rFonts w:ascii="宋体"/>
              </w:rPr>
            </w:pPr>
          </w:p>
        </w:tc>
        <w:tc>
          <w:tcPr>
            <w:tcW w:w="5" w:type="pct"/>
            <w:shd w:val="clear" w:color="auto" w:fill="auto"/>
            <w:vAlign w:val="bottom"/>
          </w:tcPr>
          <w:p w14:paraId="71D48C93" w14:textId="77777777" w:rsidR="006A3667" w:rsidRDefault="006A3667">
            <w:pPr>
              <w:rPr>
                <w:rFonts w:ascii="宋体"/>
              </w:rPr>
            </w:pPr>
          </w:p>
        </w:tc>
        <w:tc>
          <w:tcPr>
            <w:tcW w:w="5" w:type="pct"/>
            <w:shd w:val="clear" w:color="auto" w:fill="auto"/>
            <w:vAlign w:val="bottom"/>
          </w:tcPr>
          <w:p w14:paraId="71D48C94" w14:textId="77777777" w:rsidR="006A3667" w:rsidRDefault="006A3667">
            <w:pPr>
              <w:rPr>
                <w:rFonts w:ascii="宋体"/>
              </w:rPr>
            </w:pPr>
          </w:p>
        </w:tc>
        <w:tc>
          <w:tcPr>
            <w:tcW w:w="19" w:type="pct"/>
            <w:shd w:val="clear" w:color="auto" w:fill="auto"/>
            <w:vAlign w:val="bottom"/>
          </w:tcPr>
          <w:p w14:paraId="71D48C95" w14:textId="77777777" w:rsidR="006A3667" w:rsidRDefault="006A3667">
            <w:pPr>
              <w:rPr>
                <w:rFonts w:ascii="宋体"/>
              </w:rPr>
            </w:pPr>
          </w:p>
        </w:tc>
        <w:tc>
          <w:tcPr>
            <w:tcW w:w="5" w:type="pct"/>
            <w:shd w:val="clear" w:color="auto" w:fill="auto"/>
            <w:vAlign w:val="bottom"/>
          </w:tcPr>
          <w:p w14:paraId="71D48C96" w14:textId="77777777" w:rsidR="006A3667" w:rsidRDefault="006A3667">
            <w:pPr>
              <w:rPr>
                <w:rFonts w:ascii="宋体"/>
              </w:rPr>
            </w:pPr>
          </w:p>
        </w:tc>
        <w:tc>
          <w:tcPr>
            <w:tcW w:w="50" w:type="pct"/>
            <w:shd w:val="clear" w:color="auto" w:fill="auto"/>
            <w:vAlign w:val="bottom"/>
          </w:tcPr>
          <w:p w14:paraId="71D48C97" w14:textId="77777777" w:rsidR="006A3667" w:rsidRDefault="006A3667">
            <w:pPr>
              <w:rPr>
                <w:rFonts w:ascii="宋体"/>
              </w:rPr>
            </w:pPr>
          </w:p>
        </w:tc>
        <w:tc>
          <w:tcPr>
            <w:tcW w:w="440" w:type="pct"/>
            <w:shd w:val="clear" w:color="auto" w:fill="auto"/>
            <w:vAlign w:val="bottom"/>
          </w:tcPr>
          <w:p w14:paraId="71D48C98" w14:textId="77777777" w:rsidR="006A3667" w:rsidRDefault="006A3667">
            <w:pPr>
              <w:rPr>
                <w:rFonts w:ascii="宋体"/>
              </w:rPr>
            </w:pPr>
          </w:p>
        </w:tc>
        <w:tc>
          <w:tcPr>
            <w:tcW w:w="5" w:type="pct"/>
            <w:shd w:val="clear" w:color="auto" w:fill="auto"/>
            <w:vAlign w:val="bottom"/>
          </w:tcPr>
          <w:p w14:paraId="71D48C99" w14:textId="77777777" w:rsidR="006A3667" w:rsidRDefault="006A3667">
            <w:pPr>
              <w:rPr>
                <w:rFonts w:ascii="宋体"/>
              </w:rPr>
            </w:pPr>
          </w:p>
        </w:tc>
        <w:tc>
          <w:tcPr>
            <w:tcW w:w="5" w:type="pct"/>
            <w:shd w:val="clear" w:color="auto" w:fill="auto"/>
            <w:vAlign w:val="bottom"/>
          </w:tcPr>
          <w:p w14:paraId="71D48C9A" w14:textId="77777777" w:rsidR="006A3667" w:rsidRDefault="006A3667">
            <w:pPr>
              <w:rPr>
                <w:rFonts w:ascii="宋体"/>
              </w:rPr>
            </w:pPr>
          </w:p>
        </w:tc>
        <w:tc>
          <w:tcPr>
            <w:tcW w:w="19" w:type="pct"/>
            <w:shd w:val="clear" w:color="auto" w:fill="auto"/>
            <w:vAlign w:val="bottom"/>
          </w:tcPr>
          <w:p w14:paraId="71D48C9B" w14:textId="77777777" w:rsidR="006A3667" w:rsidRDefault="006A3667">
            <w:pPr>
              <w:rPr>
                <w:rFonts w:ascii="宋体"/>
              </w:rPr>
            </w:pPr>
          </w:p>
        </w:tc>
        <w:tc>
          <w:tcPr>
            <w:tcW w:w="5" w:type="pct"/>
            <w:shd w:val="clear" w:color="auto" w:fill="auto"/>
            <w:vAlign w:val="bottom"/>
          </w:tcPr>
          <w:p w14:paraId="71D48C9C" w14:textId="77777777" w:rsidR="006A3667" w:rsidRDefault="006A3667">
            <w:pPr>
              <w:rPr>
                <w:rFonts w:ascii="宋体"/>
              </w:rPr>
            </w:pPr>
          </w:p>
        </w:tc>
        <w:tc>
          <w:tcPr>
            <w:tcW w:w="50" w:type="pct"/>
            <w:shd w:val="clear" w:color="auto" w:fill="auto"/>
            <w:vAlign w:val="bottom"/>
          </w:tcPr>
          <w:p w14:paraId="71D48C9D" w14:textId="77777777" w:rsidR="006A3667" w:rsidRDefault="006A3667">
            <w:pPr>
              <w:rPr>
                <w:rFonts w:ascii="宋体"/>
              </w:rPr>
            </w:pPr>
          </w:p>
        </w:tc>
        <w:tc>
          <w:tcPr>
            <w:tcW w:w="381" w:type="pct"/>
            <w:shd w:val="clear" w:color="auto" w:fill="auto"/>
            <w:vAlign w:val="bottom"/>
          </w:tcPr>
          <w:p w14:paraId="71D48C9E" w14:textId="77777777" w:rsidR="006A3667" w:rsidRDefault="006A3667">
            <w:pPr>
              <w:rPr>
                <w:rFonts w:ascii="宋体"/>
              </w:rPr>
            </w:pPr>
          </w:p>
        </w:tc>
        <w:tc>
          <w:tcPr>
            <w:tcW w:w="5" w:type="pct"/>
            <w:shd w:val="clear" w:color="auto" w:fill="auto"/>
            <w:vAlign w:val="bottom"/>
          </w:tcPr>
          <w:p w14:paraId="71D48C9F" w14:textId="77777777" w:rsidR="006A3667" w:rsidRDefault="006A3667">
            <w:pPr>
              <w:rPr>
                <w:rFonts w:ascii="宋体"/>
              </w:rPr>
            </w:pPr>
          </w:p>
        </w:tc>
        <w:tc>
          <w:tcPr>
            <w:tcW w:w="5" w:type="pct"/>
            <w:shd w:val="clear" w:color="auto" w:fill="auto"/>
            <w:vAlign w:val="bottom"/>
          </w:tcPr>
          <w:p w14:paraId="71D48CA0" w14:textId="77777777" w:rsidR="006A3667" w:rsidRDefault="006A3667">
            <w:pPr>
              <w:rPr>
                <w:rFonts w:ascii="宋体"/>
              </w:rPr>
            </w:pPr>
          </w:p>
        </w:tc>
        <w:tc>
          <w:tcPr>
            <w:tcW w:w="19" w:type="pct"/>
            <w:shd w:val="clear" w:color="auto" w:fill="auto"/>
            <w:vAlign w:val="bottom"/>
          </w:tcPr>
          <w:p w14:paraId="71D48CA1" w14:textId="77777777" w:rsidR="006A3667" w:rsidRDefault="006A3667">
            <w:pPr>
              <w:rPr>
                <w:rFonts w:ascii="宋体"/>
              </w:rPr>
            </w:pPr>
          </w:p>
        </w:tc>
        <w:tc>
          <w:tcPr>
            <w:tcW w:w="5" w:type="pct"/>
            <w:shd w:val="clear" w:color="auto" w:fill="auto"/>
            <w:vAlign w:val="bottom"/>
          </w:tcPr>
          <w:p w14:paraId="71D48CA2" w14:textId="77777777" w:rsidR="006A3667" w:rsidRDefault="006A3667">
            <w:pPr>
              <w:rPr>
                <w:rFonts w:ascii="宋体"/>
              </w:rPr>
            </w:pPr>
          </w:p>
        </w:tc>
        <w:tc>
          <w:tcPr>
            <w:tcW w:w="50" w:type="pct"/>
            <w:shd w:val="clear" w:color="auto" w:fill="auto"/>
            <w:vAlign w:val="bottom"/>
          </w:tcPr>
          <w:p w14:paraId="71D48CA3" w14:textId="77777777" w:rsidR="006A3667" w:rsidRDefault="006A3667">
            <w:pPr>
              <w:rPr>
                <w:rFonts w:ascii="宋体"/>
              </w:rPr>
            </w:pPr>
          </w:p>
        </w:tc>
        <w:tc>
          <w:tcPr>
            <w:tcW w:w="351" w:type="pct"/>
            <w:shd w:val="clear" w:color="auto" w:fill="auto"/>
            <w:vAlign w:val="bottom"/>
          </w:tcPr>
          <w:p w14:paraId="71D48CA4" w14:textId="77777777" w:rsidR="006A3667" w:rsidRDefault="006A3667">
            <w:pPr>
              <w:rPr>
                <w:rFonts w:ascii="宋体"/>
              </w:rPr>
            </w:pPr>
          </w:p>
        </w:tc>
        <w:tc>
          <w:tcPr>
            <w:tcW w:w="5" w:type="pct"/>
            <w:shd w:val="clear" w:color="auto" w:fill="auto"/>
            <w:vAlign w:val="bottom"/>
          </w:tcPr>
          <w:p w14:paraId="71D48CA5" w14:textId="77777777" w:rsidR="006A3667" w:rsidRDefault="006A3667">
            <w:pPr>
              <w:rPr>
                <w:rFonts w:ascii="宋体"/>
              </w:rPr>
            </w:pPr>
          </w:p>
        </w:tc>
        <w:tc>
          <w:tcPr>
            <w:tcW w:w="5" w:type="pct"/>
            <w:shd w:val="clear" w:color="auto" w:fill="auto"/>
            <w:vAlign w:val="bottom"/>
          </w:tcPr>
          <w:p w14:paraId="71D48CA6" w14:textId="77777777" w:rsidR="006A3667" w:rsidRDefault="006A3667">
            <w:pPr>
              <w:rPr>
                <w:rFonts w:ascii="宋体"/>
              </w:rPr>
            </w:pPr>
          </w:p>
        </w:tc>
        <w:tc>
          <w:tcPr>
            <w:tcW w:w="19" w:type="pct"/>
            <w:shd w:val="clear" w:color="auto" w:fill="auto"/>
            <w:vAlign w:val="bottom"/>
          </w:tcPr>
          <w:p w14:paraId="71D48CA7" w14:textId="77777777" w:rsidR="006A3667" w:rsidRDefault="006A3667">
            <w:pPr>
              <w:rPr>
                <w:rFonts w:ascii="宋体"/>
              </w:rPr>
            </w:pPr>
          </w:p>
        </w:tc>
        <w:tc>
          <w:tcPr>
            <w:tcW w:w="5" w:type="pct"/>
            <w:shd w:val="clear" w:color="auto" w:fill="auto"/>
            <w:vAlign w:val="bottom"/>
          </w:tcPr>
          <w:p w14:paraId="71D48CA8" w14:textId="77777777" w:rsidR="006A3667" w:rsidRDefault="006A3667">
            <w:pPr>
              <w:rPr>
                <w:rFonts w:ascii="宋体"/>
              </w:rPr>
            </w:pPr>
          </w:p>
        </w:tc>
        <w:tc>
          <w:tcPr>
            <w:tcW w:w="50" w:type="pct"/>
            <w:shd w:val="clear" w:color="auto" w:fill="auto"/>
            <w:vAlign w:val="bottom"/>
          </w:tcPr>
          <w:p w14:paraId="71D48CA9" w14:textId="77777777" w:rsidR="006A3667" w:rsidRDefault="006A3667">
            <w:pPr>
              <w:rPr>
                <w:rFonts w:ascii="宋体"/>
              </w:rPr>
            </w:pPr>
          </w:p>
        </w:tc>
        <w:tc>
          <w:tcPr>
            <w:tcW w:w="351" w:type="pct"/>
            <w:shd w:val="clear" w:color="auto" w:fill="auto"/>
            <w:vAlign w:val="bottom"/>
          </w:tcPr>
          <w:p w14:paraId="71D48CAA" w14:textId="77777777" w:rsidR="006A3667" w:rsidRDefault="006A3667">
            <w:pPr>
              <w:rPr>
                <w:rFonts w:ascii="宋体"/>
              </w:rPr>
            </w:pPr>
          </w:p>
        </w:tc>
        <w:tc>
          <w:tcPr>
            <w:tcW w:w="5" w:type="pct"/>
            <w:shd w:val="clear" w:color="auto" w:fill="auto"/>
            <w:vAlign w:val="bottom"/>
          </w:tcPr>
          <w:p w14:paraId="71D48CAB" w14:textId="77777777" w:rsidR="006A3667" w:rsidRDefault="006A3667">
            <w:pPr>
              <w:rPr>
                <w:rFonts w:ascii="宋体"/>
              </w:rPr>
            </w:pPr>
          </w:p>
        </w:tc>
        <w:tc>
          <w:tcPr>
            <w:tcW w:w="5" w:type="pct"/>
            <w:shd w:val="clear" w:color="auto" w:fill="auto"/>
            <w:vAlign w:val="bottom"/>
          </w:tcPr>
          <w:p w14:paraId="71D48CAC" w14:textId="77777777" w:rsidR="006A3667" w:rsidRDefault="006A3667">
            <w:pPr>
              <w:rPr>
                <w:rFonts w:ascii="宋体"/>
              </w:rPr>
            </w:pPr>
          </w:p>
        </w:tc>
        <w:tc>
          <w:tcPr>
            <w:tcW w:w="19" w:type="pct"/>
            <w:shd w:val="clear" w:color="auto" w:fill="auto"/>
            <w:vAlign w:val="bottom"/>
          </w:tcPr>
          <w:p w14:paraId="71D48CAD" w14:textId="77777777" w:rsidR="006A3667" w:rsidRDefault="006A3667">
            <w:pPr>
              <w:rPr>
                <w:rFonts w:ascii="宋体"/>
              </w:rPr>
            </w:pPr>
          </w:p>
        </w:tc>
        <w:tc>
          <w:tcPr>
            <w:tcW w:w="5" w:type="pct"/>
            <w:shd w:val="clear" w:color="auto" w:fill="auto"/>
            <w:vAlign w:val="bottom"/>
          </w:tcPr>
          <w:p w14:paraId="71D48CAE" w14:textId="77777777" w:rsidR="006A3667" w:rsidRDefault="006A3667">
            <w:pPr>
              <w:rPr>
                <w:rFonts w:ascii="宋体"/>
              </w:rPr>
            </w:pPr>
          </w:p>
        </w:tc>
        <w:tc>
          <w:tcPr>
            <w:tcW w:w="50" w:type="pct"/>
            <w:shd w:val="clear" w:color="auto" w:fill="auto"/>
            <w:vAlign w:val="bottom"/>
          </w:tcPr>
          <w:p w14:paraId="71D48CAF" w14:textId="77777777" w:rsidR="006A3667" w:rsidRDefault="006A3667">
            <w:pPr>
              <w:rPr>
                <w:rFonts w:ascii="宋体"/>
              </w:rPr>
            </w:pPr>
          </w:p>
        </w:tc>
        <w:tc>
          <w:tcPr>
            <w:tcW w:w="381" w:type="pct"/>
            <w:shd w:val="clear" w:color="auto" w:fill="auto"/>
            <w:vAlign w:val="bottom"/>
          </w:tcPr>
          <w:p w14:paraId="71D48CB0" w14:textId="77777777" w:rsidR="006A3667" w:rsidRDefault="006A3667">
            <w:pPr>
              <w:rPr>
                <w:rFonts w:ascii="宋体"/>
              </w:rPr>
            </w:pPr>
          </w:p>
        </w:tc>
        <w:tc>
          <w:tcPr>
            <w:tcW w:w="5" w:type="pct"/>
            <w:shd w:val="clear" w:color="auto" w:fill="auto"/>
            <w:vAlign w:val="bottom"/>
          </w:tcPr>
          <w:p w14:paraId="71D48CB1" w14:textId="77777777" w:rsidR="006A3667" w:rsidRDefault="006A3667">
            <w:pPr>
              <w:rPr>
                <w:rFonts w:ascii="宋体"/>
              </w:rPr>
            </w:pPr>
          </w:p>
        </w:tc>
        <w:tc>
          <w:tcPr>
            <w:tcW w:w="5" w:type="pct"/>
            <w:shd w:val="clear" w:color="auto" w:fill="auto"/>
            <w:vAlign w:val="bottom"/>
          </w:tcPr>
          <w:p w14:paraId="71D48CB2" w14:textId="77777777" w:rsidR="006A3667" w:rsidRDefault="006A3667">
            <w:pPr>
              <w:rPr>
                <w:rFonts w:ascii="宋体"/>
              </w:rPr>
            </w:pPr>
          </w:p>
        </w:tc>
        <w:tc>
          <w:tcPr>
            <w:tcW w:w="19" w:type="pct"/>
            <w:shd w:val="clear" w:color="auto" w:fill="auto"/>
            <w:vAlign w:val="bottom"/>
          </w:tcPr>
          <w:p w14:paraId="71D48CB3" w14:textId="77777777" w:rsidR="006A3667" w:rsidRDefault="006A3667">
            <w:pPr>
              <w:rPr>
                <w:rFonts w:ascii="宋体"/>
              </w:rPr>
            </w:pPr>
          </w:p>
        </w:tc>
        <w:tc>
          <w:tcPr>
            <w:tcW w:w="5" w:type="pct"/>
            <w:shd w:val="clear" w:color="auto" w:fill="auto"/>
            <w:vAlign w:val="bottom"/>
          </w:tcPr>
          <w:p w14:paraId="71D48CB4" w14:textId="77777777" w:rsidR="006A3667" w:rsidRDefault="006A3667">
            <w:pPr>
              <w:rPr>
                <w:rFonts w:ascii="宋体"/>
              </w:rPr>
            </w:pPr>
          </w:p>
        </w:tc>
        <w:tc>
          <w:tcPr>
            <w:tcW w:w="50" w:type="pct"/>
            <w:shd w:val="clear" w:color="auto" w:fill="auto"/>
            <w:vAlign w:val="bottom"/>
          </w:tcPr>
          <w:p w14:paraId="71D48CB5" w14:textId="77777777" w:rsidR="006A3667" w:rsidRDefault="006A3667">
            <w:pPr>
              <w:rPr>
                <w:rFonts w:ascii="宋体"/>
              </w:rPr>
            </w:pPr>
          </w:p>
        </w:tc>
        <w:tc>
          <w:tcPr>
            <w:tcW w:w="381" w:type="pct"/>
            <w:shd w:val="clear" w:color="auto" w:fill="auto"/>
            <w:vAlign w:val="bottom"/>
          </w:tcPr>
          <w:p w14:paraId="71D48CB6" w14:textId="77777777" w:rsidR="006A3667" w:rsidRDefault="006A3667">
            <w:pPr>
              <w:rPr>
                <w:rFonts w:ascii="宋体"/>
              </w:rPr>
            </w:pPr>
          </w:p>
        </w:tc>
        <w:tc>
          <w:tcPr>
            <w:tcW w:w="5" w:type="pct"/>
            <w:shd w:val="clear" w:color="auto" w:fill="auto"/>
            <w:vAlign w:val="bottom"/>
          </w:tcPr>
          <w:p w14:paraId="71D48CB7" w14:textId="77777777" w:rsidR="006A3667" w:rsidRDefault="006A3667">
            <w:pPr>
              <w:rPr>
                <w:rFonts w:ascii="宋体"/>
              </w:rPr>
            </w:pPr>
          </w:p>
        </w:tc>
      </w:tr>
      <w:tr w:rsidR="006A3667" w14:paraId="71D48CBD" w14:textId="77777777">
        <w:tc>
          <w:tcPr>
            <w:tcW w:w="0" w:type="auto"/>
            <w:gridSpan w:val="9"/>
            <w:shd w:val="clear" w:color="auto" w:fill="auto"/>
            <w:tcMar>
              <w:top w:w="0" w:type="dxa"/>
              <w:left w:w="20" w:type="dxa"/>
              <w:bottom w:w="0" w:type="dxa"/>
              <w:right w:w="20" w:type="dxa"/>
            </w:tcMar>
            <w:vAlign w:val="bottom"/>
          </w:tcPr>
          <w:p w14:paraId="71D48CB9" w14:textId="77777777" w:rsidR="006A3667" w:rsidRDefault="006A3667">
            <w:pPr>
              <w:rPr>
                <w:rFonts w:ascii="宋体"/>
              </w:rPr>
            </w:pPr>
          </w:p>
        </w:tc>
        <w:tc>
          <w:tcPr>
            <w:tcW w:w="0" w:type="auto"/>
            <w:gridSpan w:val="21"/>
            <w:shd w:val="clear" w:color="auto" w:fill="FFFFFF"/>
            <w:tcMar>
              <w:top w:w="40" w:type="dxa"/>
              <w:left w:w="20" w:type="dxa"/>
              <w:bottom w:w="40" w:type="dxa"/>
              <w:right w:w="20" w:type="dxa"/>
            </w:tcMar>
            <w:vAlign w:val="bottom"/>
          </w:tcPr>
          <w:p w14:paraId="71D48CBA" w14:textId="77777777" w:rsidR="006A3667" w:rsidRDefault="00045F32">
            <w:pP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Mar>
              <w:top w:w="0" w:type="dxa"/>
              <w:left w:w="20" w:type="dxa"/>
              <w:bottom w:w="0" w:type="dxa"/>
              <w:right w:w="20" w:type="dxa"/>
            </w:tcMar>
            <w:vAlign w:val="bottom"/>
          </w:tcPr>
          <w:p w14:paraId="71D48CBB" w14:textId="77777777" w:rsidR="006A3667" w:rsidRDefault="006A3667">
            <w:pPr>
              <w:rPr>
                <w:rFonts w:ascii="宋体"/>
              </w:rPr>
            </w:pPr>
          </w:p>
        </w:tc>
        <w:tc>
          <w:tcPr>
            <w:tcW w:w="0" w:type="auto"/>
            <w:gridSpan w:val="21"/>
            <w:shd w:val="clear" w:color="auto" w:fill="FFFFFF"/>
            <w:tcMar>
              <w:top w:w="40" w:type="dxa"/>
              <w:left w:w="20" w:type="dxa"/>
              <w:bottom w:w="40" w:type="dxa"/>
              <w:right w:w="20" w:type="dxa"/>
            </w:tcMar>
            <w:vAlign w:val="bottom"/>
          </w:tcPr>
          <w:p w14:paraId="71D48CBC" w14:textId="77777777" w:rsidR="006A3667" w:rsidRDefault="00045F32">
            <w:pPr>
              <w:jc w:val="center"/>
              <w:textAlignment w:val="bottom"/>
            </w:pPr>
            <w:r>
              <w:rPr>
                <w:rFonts w:ascii="Arial" w:eastAsia="宋体" w:hAnsi="Arial" w:cs="Arial"/>
                <w:b/>
                <w:bCs/>
                <w:color w:val="000000"/>
                <w:sz w:val="12"/>
                <w:szCs w:val="12"/>
              </w:rPr>
              <w:t>State Street Bank</w:t>
            </w:r>
          </w:p>
        </w:tc>
      </w:tr>
      <w:tr w:rsidR="006A3667" w14:paraId="71D48CCE" w14:textId="77777777">
        <w:tc>
          <w:tcPr>
            <w:tcW w:w="0" w:type="auto"/>
            <w:gridSpan w:val="9"/>
            <w:shd w:val="clear" w:color="auto" w:fill="auto"/>
            <w:tcMar>
              <w:top w:w="40" w:type="dxa"/>
              <w:left w:w="20" w:type="dxa"/>
              <w:bottom w:w="40" w:type="dxa"/>
              <w:right w:w="20" w:type="dxa"/>
            </w:tcMar>
            <w:vAlign w:val="bottom"/>
          </w:tcPr>
          <w:p w14:paraId="71D48CBE" w14:textId="77777777" w:rsidR="006A3667" w:rsidRDefault="00045F32">
            <w:pPr>
              <w:textAlignment w:val="bottom"/>
            </w:pPr>
            <w:r>
              <w:rPr>
                <w:rFonts w:ascii="Arial" w:eastAsia="宋体" w:hAnsi="Arial" w:cs="Arial"/>
                <w:b/>
                <w:bCs/>
                <w:color w:val="000000"/>
                <w:sz w:val="11"/>
                <w:szCs w:val="11"/>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CBF" w14:textId="77777777" w:rsidR="006A3667" w:rsidRDefault="00045F32">
            <w:pPr>
              <w:jc w:val="center"/>
              <w:textAlignment w:val="bottom"/>
            </w:pPr>
            <w:r>
              <w:rPr>
                <w:rFonts w:ascii="Arial" w:eastAsia="宋体" w:hAnsi="Arial" w:cs="Arial"/>
                <w:b/>
                <w:bCs/>
                <w:color w:val="000000"/>
                <w:sz w:val="11"/>
                <w:szCs w:val="11"/>
              </w:rPr>
              <w:t>Basel III Advanced Approaches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C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CC1" w14:textId="77777777" w:rsidR="006A3667" w:rsidRDefault="00045F32">
            <w:pPr>
              <w:jc w:val="center"/>
              <w:textAlignment w:val="bottom"/>
            </w:pPr>
            <w:r>
              <w:rPr>
                <w:rFonts w:ascii="Arial" w:eastAsia="宋体" w:hAnsi="Arial" w:cs="Arial"/>
                <w:b/>
                <w:bCs/>
                <w:color w:val="000000"/>
                <w:sz w:val="11"/>
                <w:szCs w:val="11"/>
              </w:rPr>
              <w:t xml:space="preserve">Basel III Standardized </w:t>
            </w:r>
            <w:r>
              <w:rPr>
                <w:rFonts w:ascii="Arial" w:eastAsia="宋体" w:hAnsi="Arial" w:cs="Arial"/>
                <w:b/>
                <w:bCs/>
                <w:color w:val="000000"/>
                <w:sz w:val="11"/>
                <w:szCs w:val="11"/>
              </w:rPr>
              <w:t>Approach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C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CC3" w14:textId="77777777" w:rsidR="006A3667" w:rsidRDefault="00045F32">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C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CC5" w14:textId="77777777" w:rsidR="006A3667" w:rsidRDefault="00045F32">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shd w:val="clear" w:color="auto" w:fill="auto"/>
            <w:tcMar>
              <w:top w:w="0" w:type="dxa"/>
              <w:left w:w="20" w:type="dxa"/>
              <w:bottom w:w="0" w:type="dxa"/>
              <w:right w:w="20" w:type="dxa"/>
            </w:tcMar>
            <w:vAlign w:val="bottom"/>
          </w:tcPr>
          <w:p w14:paraId="71D48CC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CC7" w14:textId="77777777" w:rsidR="006A3667" w:rsidRDefault="00045F32">
            <w:pPr>
              <w:jc w:val="center"/>
              <w:textAlignment w:val="bottom"/>
            </w:pPr>
            <w:r>
              <w:rPr>
                <w:rFonts w:ascii="Arial" w:eastAsia="宋体" w:hAnsi="Arial" w:cs="Arial"/>
                <w:b/>
                <w:bCs/>
                <w:color w:val="000000"/>
                <w:sz w:val="11"/>
                <w:szCs w:val="11"/>
              </w:rPr>
              <w:t>Basel III Advanced Approaches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C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CC9" w14:textId="77777777" w:rsidR="006A3667" w:rsidRDefault="00045F32">
            <w:pPr>
              <w:jc w:val="center"/>
              <w:textAlignment w:val="bottom"/>
            </w:pPr>
            <w:r>
              <w:rPr>
                <w:rFonts w:ascii="Arial" w:eastAsia="宋体" w:hAnsi="Arial" w:cs="Arial"/>
                <w:b/>
                <w:bCs/>
                <w:color w:val="000000"/>
                <w:sz w:val="11"/>
                <w:szCs w:val="11"/>
              </w:rPr>
              <w:t>Basel III Standardized Approach September 30,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C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CCB" w14:textId="77777777" w:rsidR="006A3667" w:rsidRDefault="00045F32">
            <w:pPr>
              <w:jc w:val="center"/>
              <w:textAlignment w:val="bottom"/>
            </w:pPr>
            <w:r>
              <w:rPr>
                <w:rFonts w:ascii="Arial" w:eastAsia="宋体" w:hAnsi="Arial" w:cs="Arial"/>
                <w:b/>
                <w:bCs/>
                <w:color w:val="000000"/>
                <w:sz w:val="11"/>
                <w:szCs w:val="11"/>
              </w:rPr>
              <w:t xml:space="preserve">Basel III </w:t>
            </w:r>
            <w:r>
              <w:rPr>
                <w:rFonts w:ascii="Arial" w:eastAsia="宋体" w:hAnsi="Arial" w:cs="Arial"/>
                <w:b/>
                <w:bCs/>
                <w:color w:val="000000"/>
                <w:sz w:val="11"/>
                <w:szCs w:val="11"/>
              </w:rPr>
              <w:t>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C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8CCD" w14:textId="77777777" w:rsidR="006A3667" w:rsidRDefault="00045F32">
            <w:pPr>
              <w:jc w:val="center"/>
              <w:textAlignment w:val="bottom"/>
            </w:pPr>
            <w:r>
              <w:rPr>
                <w:rFonts w:ascii="Arial" w:eastAsia="宋体" w:hAnsi="Arial" w:cs="Arial"/>
                <w:b/>
                <w:bCs/>
                <w:color w:val="000000"/>
                <w:sz w:val="11"/>
                <w:szCs w:val="11"/>
              </w:rPr>
              <w:t>Basel III Standardized Approach December 31, 2021</w:t>
            </w:r>
          </w:p>
        </w:tc>
      </w:tr>
      <w:tr w:rsidR="006A3667" w14:paraId="71D48CDF" w14:textId="77777777">
        <w:tc>
          <w:tcPr>
            <w:tcW w:w="0" w:type="auto"/>
            <w:gridSpan w:val="9"/>
            <w:shd w:val="clear" w:color="auto" w:fill="auto"/>
            <w:tcMar>
              <w:top w:w="40" w:type="dxa"/>
              <w:left w:w="20" w:type="dxa"/>
              <w:bottom w:w="40" w:type="dxa"/>
              <w:right w:w="20" w:type="dxa"/>
            </w:tcMar>
            <w:vAlign w:val="bottom"/>
          </w:tcPr>
          <w:p w14:paraId="71D48CCF" w14:textId="77777777" w:rsidR="006A3667" w:rsidRDefault="00045F32">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D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CD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D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CD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D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CD5"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D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CD7"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D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CD9"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D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CDB"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D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CDD"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8CDE" w14:textId="77777777" w:rsidR="006A3667" w:rsidRDefault="006A3667">
            <w:pPr>
              <w:rPr>
                <w:rFonts w:ascii="宋体"/>
              </w:rPr>
            </w:pPr>
          </w:p>
        </w:tc>
      </w:tr>
      <w:tr w:rsidR="00045F32" w14:paraId="71D48D00" w14:textId="77777777">
        <w:tc>
          <w:tcPr>
            <w:tcW w:w="0" w:type="auto"/>
            <w:gridSpan w:val="9"/>
            <w:shd w:val="clear" w:color="auto" w:fill="CCEEFF"/>
            <w:tcMar>
              <w:top w:w="40" w:type="dxa"/>
              <w:left w:w="245" w:type="dxa"/>
              <w:bottom w:w="40" w:type="dxa"/>
              <w:right w:w="20" w:type="dxa"/>
            </w:tcMar>
            <w:vAlign w:val="bottom"/>
          </w:tcPr>
          <w:p w14:paraId="71D48CE0" w14:textId="77777777" w:rsidR="006A3667" w:rsidRDefault="00045F32">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71D48CE1"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8CE2" w14:textId="77777777" w:rsidR="006A3667" w:rsidRDefault="00045F32">
            <w:pPr>
              <w:jc w:val="right"/>
              <w:textAlignment w:val="bottom"/>
            </w:pPr>
            <w:r>
              <w:rPr>
                <w:rFonts w:ascii="Arial" w:eastAsia="宋体" w:hAnsi="Arial" w:cs="Arial"/>
                <w:b/>
                <w:bCs/>
                <w:color w:val="000000"/>
                <w:sz w:val="12"/>
                <w:szCs w:val="12"/>
              </w:rPr>
              <w:t>11,264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C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E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CE5"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8CE6" w14:textId="77777777" w:rsidR="006A3667" w:rsidRDefault="00045F32">
            <w:pPr>
              <w:jc w:val="right"/>
              <w:textAlignment w:val="bottom"/>
            </w:pPr>
            <w:r>
              <w:rPr>
                <w:rFonts w:ascii="Arial" w:eastAsia="宋体" w:hAnsi="Arial" w:cs="Arial"/>
                <w:b/>
                <w:bCs/>
                <w:color w:val="000000"/>
                <w:sz w:val="12"/>
                <w:szCs w:val="12"/>
              </w:rPr>
              <w:t>11,264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C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E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CE9"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8CEA" w14:textId="77777777" w:rsidR="006A3667" w:rsidRDefault="00045F32">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71D48CE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E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CED"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8CEE" w14:textId="77777777" w:rsidR="006A3667" w:rsidRDefault="00045F32">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71D48CE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F0"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CF1"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8CF2" w14:textId="77777777" w:rsidR="006A3667" w:rsidRDefault="00045F32">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CF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F4"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CF5"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8CF6" w14:textId="77777777" w:rsidR="006A3667" w:rsidRDefault="00045F32">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C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F8"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CF9"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8CFA" w14:textId="77777777" w:rsidR="006A3667" w:rsidRDefault="00045F32">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71D48CF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CFC"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CFD"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8CFE" w14:textId="77777777" w:rsidR="006A3667" w:rsidRDefault="00045F32">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71D48CFF" w14:textId="77777777" w:rsidR="006A3667" w:rsidRDefault="006A3667">
            <w:pPr>
              <w:jc w:val="right"/>
              <w:rPr>
                <w:rFonts w:ascii="宋体"/>
              </w:rPr>
            </w:pPr>
          </w:p>
        </w:tc>
      </w:tr>
      <w:tr w:rsidR="006A3667" w14:paraId="71D48D19" w14:textId="77777777">
        <w:tc>
          <w:tcPr>
            <w:tcW w:w="0" w:type="auto"/>
            <w:gridSpan w:val="9"/>
            <w:shd w:val="clear" w:color="auto" w:fill="FFFFFF"/>
            <w:tcMar>
              <w:top w:w="40" w:type="dxa"/>
              <w:left w:w="245" w:type="dxa"/>
              <w:bottom w:w="40" w:type="dxa"/>
              <w:right w:w="20" w:type="dxa"/>
            </w:tcMar>
            <w:vAlign w:val="bottom"/>
          </w:tcPr>
          <w:p w14:paraId="71D48D01" w14:textId="77777777" w:rsidR="006A3667" w:rsidRDefault="00045F32">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71D48D02" w14:textId="77777777" w:rsidR="006A3667" w:rsidRDefault="00045F32">
            <w:pPr>
              <w:jc w:val="right"/>
              <w:textAlignment w:val="bottom"/>
            </w:pPr>
            <w:r>
              <w:rPr>
                <w:rFonts w:ascii="Arial" w:eastAsia="宋体" w:hAnsi="Arial" w:cs="Arial"/>
                <w:b/>
                <w:bCs/>
                <w:color w:val="000000"/>
                <w:sz w:val="12"/>
                <w:szCs w:val="12"/>
              </w:rPr>
              <w:t>26,552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0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05" w14:textId="77777777" w:rsidR="006A3667" w:rsidRDefault="00045F32">
            <w:pPr>
              <w:jc w:val="right"/>
              <w:textAlignment w:val="bottom"/>
            </w:pPr>
            <w:r>
              <w:rPr>
                <w:rFonts w:ascii="Arial" w:eastAsia="宋体" w:hAnsi="Arial" w:cs="Arial"/>
                <w:b/>
                <w:bCs/>
                <w:color w:val="000000"/>
                <w:sz w:val="12"/>
                <w:szCs w:val="12"/>
              </w:rPr>
              <w:t>26,552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0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0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08" w14:textId="77777777" w:rsidR="006A3667" w:rsidRDefault="00045F32">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71D48D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0B" w14:textId="77777777" w:rsidR="006A3667" w:rsidRDefault="00045F32">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71D48D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0E" w14:textId="77777777" w:rsidR="006A3667" w:rsidRDefault="00045F32">
            <w:pPr>
              <w:jc w:val="right"/>
              <w:textAlignment w:val="bottom"/>
            </w:pPr>
            <w:r>
              <w:rPr>
                <w:rFonts w:ascii="Arial" w:eastAsia="宋体" w:hAnsi="Arial" w:cs="Arial"/>
                <w:b/>
                <w:bCs/>
                <w:color w:val="000000"/>
                <w:sz w:val="12"/>
                <w:szCs w:val="12"/>
              </w:rPr>
              <w:t>17,711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11" w14:textId="77777777" w:rsidR="006A3667" w:rsidRDefault="00045F32">
            <w:pPr>
              <w:jc w:val="right"/>
              <w:textAlignment w:val="bottom"/>
            </w:pPr>
            <w:r>
              <w:rPr>
                <w:rFonts w:ascii="Arial" w:eastAsia="宋体" w:hAnsi="Arial" w:cs="Arial"/>
                <w:b/>
                <w:bCs/>
                <w:color w:val="000000"/>
                <w:sz w:val="12"/>
                <w:szCs w:val="12"/>
              </w:rPr>
              <w:t>17,711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14" w14:textId="77777777" w:rsidR="006A3667" w:rsidRDefault="00045F32">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71D48D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17" w14:textId="77777777" w:rsidR="006A3667" w:rsidRDefault="00045F32">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71D48D18" w14:textId="77777777" w:rsidR="006A3667" w:rsidRDefault="006A3667">
            <w:pPr>
              <w:jc w:val="right"/>
              <w:rPr>
                <w:rFonts w:ascii="宋体"/>
              </w:rPr>
            </w:pPr>
          </w:p>
        </w:tc>
      </w:tr>
      <w:tr w:rsidR="006A3667" w14:paraId="71D48D32" w14:textId="77777777">
        <w:tc>
          <w:tcPr>
            <w:tcW w:w="0" w:type="auto"/>
            <w:gridSpan w:val="9"/>
            <w:shd w:val="clear" w:color="auto" w:fill="CCEEFF"/>
            <w:tcMar>
              <w:top w:w="40" w:type="dxa"/>
              <w:left w:w="245" w:type="dxa"/>
              <w:bottom w:w="40" w:type="dxa"/>
              <w:right w:w="20" w:type="dxa"/>
            </w:tcMar>
            <w:vAlign w:val="bottom"/>
          </w:tcPr>
          <w:p w14:paraId="71D48D1A" w14:textId="77777777" w:rsidR="006A3667" w:rsidRDefault="00045F32">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71D48D1B" w14:textId="77777777" w:rsidR="006A3667" w:rsidRDefault="00045F32">
            <w:pPr>
              <w:jc w:val="right"/>
              <w:textAlignment w:val="bottom"/>
            </w:pPr>
            <w:r>
              <w:rPr>
                <w:rFonts w:ascii="Arial" w:eastAsia="宋体" w:hAnsi="Arial" w:cs="Arial"/>
                <w:b/>
                <w:bCs/>
                <w:color w:val="000000"/>
                <w:sz w:val="12"/>
                <w:szCs w:val="12"/>
              </w:rPr>
              <w:t>(4,268)</w:t>
            </w:r>
          </w:p>
        </w:tc>
        <w:tc>
          <w:tcPr>
            <w:tcW w:w="0" w:type="auto"/>
            <w:shd w:val="clear" w:color="auto" w:fill="CCEEFF"/>
            <w:tcMar>
              <w:top w:w="40" w:type="dxa"/>
              <w:left w:w="0" w:type="dxa"/>
              <w:bottom w:w="40" w:type="dxa"/>
              <w:right w:w="20" w:type="dxa"/>
            </w:tcMar>
            <w:vAlign w:val="bottom"/>
          </w:tcPr>
          <w:p w14:paraId="71D48D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1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1E" w14:textId="77777777" w:rsidR="006A3667" w:rsidRDefault="00045F32">
            <w:pPr>
              <w:jc w:val="right"/>
              <w:textAlignment w:val="bottom"/>
            </w:pPr>
            <w:r>
              <w:rPr>
                <w:rFonts w:ascii="Arial" w:eastAsia="宋体" w:hAnsi="Arial" w:cs="Arial"/>
                <w:b/>
                <w:bCs/>
                <w:color w:val="000000"/>
                <w:sz w:val="12"/>
                <w:szCs w:val="12"/>
              </w:rPr>
              <w:t>(4,268)</w:t>
            </w:r>
          </w:p>
        </w:tc>
        <w:tc>
          <w:tcPr>
            <w:tcW w:w="0" w:type="auto"/>
            <w:shd w:val="clear" w:color="auto" w:fill="CCEEFF"/>
            <w:tcMar>
              <w:top w:w="40" w:type="dxa"/>
              <w:left w:w="0" w:type="dxa"/>
              <w:bottom w:w="40" w:type="dxa"/>
              <w:right w:w="20" w:type="dxa"/>
            </w:tcMar>
            <w:vAlign w:val="bottom"/>
          </w:tcPr>
          <w:p w14:paraId="71D48D1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2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21" w14:textId="77777777" w:rsidR="006A3667" w:rsidRDefault="00045F32">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71D48D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2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24" w14:textId="77777777" w:rsidR="006A3667" w:rsidRDefault="00045F32">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71D48D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27" w14:textId="77777777" w:rsidR="006A3667" w:rsidRDefault="00045F32">
            <w:pPr>
              <w:jc w:val="right"/>
              <w:textAlignment w:val="bottom"/>
            </w:pPr>
            <w:r>
              <w:rPr>
                <w:rFonts w:ascii="Arial" w:eastAsia="宋体" w:hAnsi="Arial" w:cs="Arial"/>
                <w:b/>
                <w:bCs/>
                <w:color w:val="000000"/>
                <w:sz w:val="12"/>
                <w:szCs w:val="12"/>
              </w:rPr>
              <w:t>(3,937)</w:t>
            </w:r>
          </w:p>
        </w:tc>
        <w:tc>
          <w:tcPr>
            <w:tcW w:w="0" w:type="auto"/>
            <w:shd w:val="clear" w:color="auto" w:fill="CCEEFF"/>
            <w:tcMar>
              <w:top w:w="40" w:type="dxa"/>
              <w:left w:w="0" w:type="dxa"/>
              <w:bottom w:w="40" w:type="dxa"/>
              <w:right w:w="20" w:type="dxa"/>
            </w:tcMar>
            <w:vAlign w:val="bottom"/>
          </w:tcPr>
          <w:p w14:paraId="71D48D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2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2A" w14:textId="77777777" w:rsidR="006A3667" w:rsidRDefault="00045F32">
            <w:pPr>
              <w:jc w:val="right"/>
              <w:textAlignment w:val="bottom"/>
            </w:pPr>
            <w:r>
              <w:rPr>
                <w:rFonts w:ascii="Arial" w:eastAsia="宋体" w:hAnsi="Arial" w:cs="Arial"/>
                <w:b/>
                <w:bCs/>
                <w:color w:val="000000"/>
                <w:sz w:val="12"/>
                <w:szCs w:val="12"/>
              </w:rPr>
              <w:t>(3,937)</w:t>
            </w:r>
          </w:p>
        </w:tc>
        <w:tc>
          <w:tcPr>
            <w:tcW w:w="0" w:type="auto"/>
            <w:shd w:val="clear" w:color="auto" w:fill="CCEEFF"/>
            <w:tcMar>
              <w:top w:w="40" w:type="dxa"/>
              <w:left w:w="0" w:type="dxa"/>
              <w:bottom w:w="40" w:type="dxa"/>
              <w:right w:w="20" w:type="dxa"/>
            </w:tcMar>
            <w:vAlign w:val="bottom"/>
          </w:tcPr>
          <w:p w14:paraId="71D48D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2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2D" w14:textId="77777777" w:rsidR="006A3667" w:rsidRDefault="00045F32">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71D48D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2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30" w14:textId="77777777" w:rsidR="006A3667" w:rsidRDefault="00045F32">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71D48D31" w14:textId="77777777" w:rsidR="006A3667" w:rsidRDefault="006A3667">
            <w:pPr>
              <w:jc w:val="right"/>
              <w:rPr>
                <w:rFonts w:ascii="宋体"/>
              </w:rPr>
            </w:pPr>
          </w:p>
        </w:tc>
      </w:tr>
      <w:tr w:rsidR="006A3667" w14:paraId="71D48D4B" w14:textId="77777777">
        <w:tc>
          <w:tcPr>
            <w:tcW w:w="0" w:type="auto"/>
            <w:gridSpan w:val="9"/>
            <w:shd w:val="clear" w:color="auto" w:fill="FFFFFF"/>
            <w:tcMar>
              <w:top w:w="40" w:type="dxa"/>
              <w:left w:w="245" w:type="dxa"/>
              <w:bottom w:w="40" w:type="dxa"/>
              <w:right w:w="20" w:type="dxa"/>
            </w:tcMar>
            <w:vAlign w:val="bottom"/>
          </w:tcPr>
          <w:p w14:paraId="71D48D33" w14:textId="77777777" w:rsidR="006A3667" w:rsidRDefault="00045F32">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71D48D34" w14:textId="77777777" w:rsidR="006A3667" w:rsidRDefault="00045F32">
            <w:pPr>
              <w:jc w:val="right"/>
              <w:textAlignment w:val="bottom"/>
            </w:pPr>
            <w:r>
              <w:rPr>
                <w:rFonts w:ascii="Arial" w:eastAsia="宋体" w:hAnsi="Arial" w:cs="Arial"/>
                <w:b/>
                <w:bCs/>
                <w:color w:val="000000"/>
                <w:sz w:val="12"/>
                <w:szCs w:val="12"/>
              </w:rPr>
              <w:t>(9,876)</w:t>
            </w:r>
          </w:p>
        </w:tc>
        <w:tc>
          <w:tcPr>
            <w:tcW w:w="0" w:type="auto"/>
            <w:shd w:val="clear" w:color="auto" w:fill="FFFFFF"/>
            <w:tcMar>
              <w:top w:w="40" w:type="dxa"/>
              <w:left w:w="0" w:type="dxa"/>
              <w:bottom w:w="40" w:type="dxa"/>
              <w:right w:w="20" w:type="dxa"/>
            </w:tcMar>
            <w:vAlign w:val="bottom"/>
          </w:tcPr>
          <w:p w14:paraId="71D48D3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3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37" w14:textId="77777777" w:rsidR="006A3667" w:rsidRDefault="00045F32">
            <w:pPr>
              <w:jc w:val="right"/>
              <w:textAlignment w:val="bottom"/>
            </w:pPr>
            <w:r>
              <w:rPr>
                <w:rFonts w:ascii="Arial" w:eastAsia="宋体" w:hAnsi="Arial" w:cs="Arial"/>
                <w:b/>
                <w:bCs/>
                <w:color w:val="000000"/>
                <w:sz w:val="12"/>
                <w:szCs w:val="12"/>
              </w:rPr>
              <w:t>(9,876)</w:t>
            </w:r>
          </w:p>
        </w:tc>
        <w:tc>
          <w:tcPr>
            <w:tcW w:w="0" w:type="auto"/>
            <w:shd w:val="clear" w:color="auto" w:fill="FFFFFF"/>
            <w:tcMar>
              <w:top w:w="40" w:type="dxa"/>
              <w:left w:w="0" w:type="dxa"/>
              <w:bottom w:w="40" w:type="dxa"/>
              <w:right w:w="20" w:type="dxa"/>
            </w:tcMar>
            <w:vAlign w:val="bottom"/>
          </w:tcPr>
          <w:p w14:paraId="71D48D3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3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3A" w14:textId="77777777" w:rsidR="006A3667" w:rsidRDefault="00045F32">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71D48D3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3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3D" w14:textId="77777777" w:rsidR="006A3667" w:rsidRDefault="00045F32">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71D48D3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3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40"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4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4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43"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4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4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46"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4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49"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4A" w14:textId="77777777" w:rsidR="006A3667" w:rsidRDefault="006A3667">
            <w:pPr>
              <w:jc w:val="right"/>
              <w:rPr>
                <w:rFonts w:ascii="宋体"/>
              </w:rPr>
            </w:pPr>
          </w:p>
        </w:tc>
      </w:tr>
      <w:tr w:rsidR="006A3667" w14:paraId="71D48D64" w14:textId="77777777">
        <w:tc>
          <w:tcPr>
            <w:tcW w:w="0" w:type="auto"/>
            <w:gridSpan w:val="9"/>
            <w:shd w:val="clear" w:color="auto" w:fill="CCEEFF"/>
            <w:tcMar>
              <w:top w:w="40" w:type="dxa"/>
              <w:left w:w="155" w:type="dxa"/>
              <w:bottom w:w="40" w:type="dxa"/>
              <w:right w:w="20" w:type="dxa"/>
            </w:tcMar>
            <w:vAlign w:val="bottom"/>
          </w:tcPr>
          <w:p w14:paraId="71D48D4C" w14:textId="77777777" w:rsidR="006A3667" w:rsidRDefault="00045F32">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4D" w14:textId="77777777" w:rsidR="006A3667" w:rsidRDefault="00045F32">
            <w:pPr>
              <w:jc w:val="right"/>
              <w:textAlignment w:val="bottom"/>
            </w:pPr>
            <w:r>
              <w:rPr>
                <w:rFonts w:ascii="Arial" w:eastAsia="宋体" w:hAnsi="Arial" w:cs="Arial"/>
                <w:b/>
                <w:bCs/>
                <w:color w:val="000000"/>
                <w:sz w:val="12"/>
                <w:szCs w:val="12"/>
              </w:rPr>
              <w:t>23,672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4F"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50" w14:textId="77777777" w:rsidR="006A3667" w:rsidRDefault="00045F32">
            <w:pPr>
              <w:jc w:val="right"/>
              <w:textAlignment w:val="bottom"/>
            </w:pPr>
            <w:r>
              <w:rPr>
                <w:rFonts w:ascii="Arial" w:eastAsia="宋体" w:hAnsi="Arial" w:cs="Arial"/>
                <w:b/>
                <w:bCs/>
                <w:color w:val="000000"/>
                <w:sz w:val="12"/>
                <w:szCs w:val="12"/>
              </w:rPr>
              <w:t>23,672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5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53" w14:textId="77777777" w:rsidR="006A3667" w:rsidRDefault="00045F32">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5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56" w14:textId="77777777" w:rsidR="006A3667" w:rsidRDefault="00045F32">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5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59" w14:textId="77777777" w:rsidR="006A3667" w:rsidRDefault="00045F32">
            <w:pPr>
              <w:jc w:val="right"/>
              <w:textAlignment w:val="bottom"/>
            </w:pPr>
            <w:r>
              <w:rPr>
                <w:rFonts w:ascii="Arial" w:eastAsia="宋体" w:hAnsi="Arial" w:cs="Arial"/>
                <w:b/>
                <w:bCs/>
                <w:color w:val="000000"/>
                <w:sz w:val="12"/>
                <w:szCs w:val="12"/>
              </w:rPr>
              <w:t>26,807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5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5C" w14:textId="77777777" w:rsidR="006A3667" w:rsidRDefault="00045F32">
            <w:pPr>
              <w:jc w:val="right"/>
              <w:textAlignment w:val="bottom"/>
            </w:pPr>
            <w:r>
              <w:rPr>
                <w:rFonts w:ascii="Arial" w:eastAsia="宋体" w:hAnsi="Arial" w:cs="Arial"/>
                <w:b/>
                <w:bCs/>
                <w:color w:val="000000"/>
                <w:sz w:val="12"/>
                <w:szCs w:val="12"/>
              </w:rPr>
              <w:t>26,807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5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5F" w14:textId="77777777" w:rsidR="006A3667" w:rsidRDefault="00045F32">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6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62" w14:textId="77777777" w:rsidR="006A3667" w:rsidRDefault="00045F32">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63" w14:textId="77777777" w:rsidR="006A3667" w:rsidRDefault="006A3667">
            <w:pPr>
              <w:jc w:val="right"/>
              <w:rPr>
                <w:rFonts w:ascii="宋体"/>
              </w:rPr>
            </w:pPr>
          </w:p>
        </w:tc>
      </w:tr>
      <w:tr w:rsidR="006A3667" w14:paraId="71D48D75" w14:textId="77777777">
        <w:tc>
          <w:tcPr>
            <w:tcW w:w="0" w:type="auto"/>
            <w:gridSpan w:val="9"/>
            <w:shd w:val="clear" w:color="auto" w:fill="FFFFFF"/>
            <w:tcMar>
              <w:top w:w="40" w:type="dxa"/>
              <w:left w:w="155" w:type="dxa"/>
              <w:bottom w:w="40" w:type="dxa"/>
              <w:right w:w="20" w:type="dxa"/>
            </w:tcMar>
            <w:vAlign w:val="bottom"/>
          </w:tcPr>
          <w:p w14:paraId="71D48D65" w14:textId="77777777" w:rsidR="006A3667" w:rsidRDefault="00045F32">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71D48D6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7"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6F"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7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71"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7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7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D74" w14:textId="77777777" w:rsidR="006A3667" w:rsidRDefault="006A3667">
            <w:pPr>
              <w:rPr>
                <w:rFonts w:ascii="宋体"/>
              </w:rPr>
            </w:pPr>
          </w:p>
        </w:tc>
      </w:tr>
      <w:tr w:rsidR="006A3667" w14:paraId="71D48D8E" w14:textId="77777777">
        <w:tc>
          <w:tcPr>
            <w:tcW w:w="0" w:type="auto"/>
            <w:gridSpan w:val="9"/>
            <w:shd w:val="clear" w:color="auto" w:fill="CCEEFF"/>
            <w:tcMar>
              <w:top w:w="40" w:type="dxa"/>
              <w:left w:w="245" w:type="dxa"/>
              <w:bottom w:w="40" w:type="dxa"/>
              <w:right w:w="20" w:type="dxa"/>
            </w:tcMar>
            <w:vAlign w:val="bottom"/>
          </w:tcPr>
          <w:p w14:paraId="71D48D76" w14:textId="77777777" w:rsidR="006A3667" w:rsidRDefault="00045F32">
            <w:pPr>
              <w:textAlignment w:val="bottom"/>
            </w:pPr>
            <w:r>
              <w:rPr>
                <w:rFonts w:ascii="Arial" w:eastAsia="宋体" w:hAnsi="Arial" w:cs="Arial"/>
                <w:color w:val="000000"/>
                <w:sz w:val="12"/>
                <w:szCs w:val="12"/>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71D48D77" w14:textId="77777777" w:rsidR="006A3667" w:rsidRDefault="00045F32">
            <w:pPr>
              <w:jc w:val="right"/>
              <w:textAlignment w:val="bottom"/>
            </w:pPr>
            <w:r>
              <w:rPr>
                <w:rFonts w:ascii="Arial" w:eastAsia="宋体" w:hAnsi="Arial" w:cs="Arial"/>
                <w:b/>
                <w:bCs/>
                <w:color w:val="000000"/>
                <w:sz w:val="12"/>
                <w:szCs w:val="12"/>
              </w:rPr>
              <w:t>(8,433)</w:t>
            </w:r>
          </w:p>
        </w:tc>
        <w:tc>
          <w:tcPr>
            <w:tcW w:w="0" w:type="auto"/>
            <w:shd w:val="clear" w:color="auto" w:fill="CCEEFF"/>
            <w:tcMar>
              <w:top w:w="40" w:type="dxa"/>
              <w:left w:w="0" w:type="dxa"/>
              <w:bottom w:w="40" w:type="dxa"/>
              <w:right w:w="20" w:type="dxa"/>
            </w:tcMar>
            <w:vAlign w:val="bottom"/>
          </w:tcPr>
          <w:p w14:paraId="71D48D7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7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7A" w14:textId="77777777" w:rsidR="006A3667" w:rsidRDefault="00045F32">
            <w:pPr>
              <w:jc w:val="right"/>
              <w:textAlignment w:val="bottom"/>
            </w:pPr>
            <w:r>
              <w:rPr>
                <w:rFonts w:ascii="Arial" w:eastAsia="宋体" w:hAnsi="Arial" w:cs="Arial"/>
                <w:b/>
                <w:bCs/>
                <w:color w:val="000000"/>
                <w:sz w:val="12"/>
                <w:szCs w:val="12"/>
              </w:rPr>
              <w:t>(8,433)</w:t>
            </w:r>
          </w:p>
        </w:tc>
        <w:tc>
          <w:tcPr>
            <w:tcW w:w="0" w:type="auto"/>
            <w:shd w:val="clear" w:color="auto" w:fill="CCEEFF"/>
            <w:tcMar>
              <w:top w:w="40" w:type="dxa"/>
              <w:left w:w="0" w:type="dxa"/>
              <w:bottom w:w="40" w:type="dxa"/>
              <w:right w:w="20" w:type="dxa"/>
            </w:tcMar>
            <w:vAlign w:val="bottom"/>
          </w:tcPr>
          <w:p w14:paraId="71D48D7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7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7D" w14:textId="77777777" w:rsidR="006A3667" w:rsidRDefault="00045F32">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71D48D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7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80" w14:textId="77777777" w:rsidR="006A3667" w:rsidRDefault="00045F32">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71D48D8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8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83" w14:textId="77777777" w:rsidR="006A3667" w:rsidRDefault="00045F32">
            <w:pPr>
              <w:jc w:val="right"/>
              <w:textAlignment w:val="bottom"/>
            </w:pPr>
            <w:r>
              <w:rPr>
                <w:rFonts w:ascii="Arial" w:eastAsia="宋体" w:hAnsi="Arial" w:cs="Arial"/>
                <w:b/>
                <w:bCs/>
                <w:color w:val="000000"/>
                <w:sz w:val="12"/>
                <w:szCs w:val="12"/>
              </w:rPr>
              <w:t>(8,180)</w:t>
            </w:r>
          </w:p>
        </w:tc>
        <w:tc>
          <w:tcPr>
            <w:tcW w:w="0" w:type="auto"/>
            <w:shd w:val="clear" w:color="auto" w:fill="CCEEFF"/>
            <w:tcMar>
              <w:top w:w="40" w:type="dxa"/>
              <w:left w:w="0" w:type="dxa"/>
              <w:bottom w:w="40" w:type="dxa"/>
              <w:right w:w="20" w:type="dxa"/>
            </w:tcMar>
            <w:vAlign w:val="bottom"/>
          </w:tcPr>
          <w:p w14:paraId="71D48D8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8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86" w14:textId="77777777" w:rsidR="006A3667" w:rsidRDefault="00045F32">
            <w:pPr>
              <w:jc w:val="right"/>
              <w:textAlignment w:val="bottom"/>
            </w:pPr>
            <w:r>
              <w:rPr>
                <w:rFonts w:ascii="Arial" w:eastAsia="宋体" w:hAnsi="Arial" w:cs="Arial"/>
                <w:b/>
                <w:bCs/>
                <w:color w:val="000000"/>
                <w:sz w:val="12"/>
                <w:szCs w:val="12"/>
              </w:rPr>
              <w:t>(8,180)</w:t>
            </w:r>
          </w:p>
        </w:tc>
        <w:tc>
          <w:tcPr>
            <w:tcW w:w="0" w:type="auto"/>
            <w:shd w:val="clear" w:color="auto" w:fill="CCEEFF"/>
            <w:tcMar>
              <w:top w:w="40" w:type="dxa"/>
              <w:left w:w="0" w:type="dxa"/>
              <w:bottom w:w="40" w:type="dxa"/>
              <w:right w:w="20" w:type="dxa"/>
            </w:tcMar>
            <w:vAlign w:val="bottom"/>
          </w:tcPr>
          <w:p w14:paraId="71D48D8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8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89" w14:textId="77777777" w:rsidR="006A3667" w:rsidRDefault="00045F32">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71D48D8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8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D8C" w14:textId="77777777" w:rsidR="006A3667" w:rsidRDefault="00045F32">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71D48D8D" w14:textId="77777777" w:rsidR="006A3667" w:rsidRDefault="006A3667">
            <w:pPr>
              <w:jc w:val="right"/>
              <w:rPr>
                <w:rFonts w:ascii="宋体"/>
              </w:rPr>
            </w:pPr>
          </w:p>
        </w:tc>
      </w:tr>
      <w:tr w:rsidR="006A3667" w14:paraId="71D48DA7" w14:textId="77777777">
        <w:tc>
          <w:tcPr>
            <w:tcW w:w="0" w:type="auto"/>
            <w:gridSpan w:val="9"/>
            <w:shd w:val="clear" w:color="auto" w:fill="FFFFFF"/>
            <w:tcMar>
              <w:top w:w="40" w:type="dxa"/>
              <w:left w:w="20" w:type="dxa"/>
              <w:bottom w:w="40" w:type="dxa"/>
              <w:right w:w="20" w:type="dxa"/>
            </w:tcMar>
            <w:vAlign w:val="bottom"/>
          </w:tcPr>
          <w:p w14:paraId="71D48D8F" w14:textId="77777777" w:rsidR="006A3667" w:rsidRDefault="00045F32">
            <w:pP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71D48D90" w14:textId="77777777" w:rsidR="006A3667" w:rsidRDefault="00045F32">
            <w:pPr>
              <w:jc w:val="right"/>
              <w:textAlignment w:val="bottom"/>
            </w:pPr>
            <w:r>
              <w:rPr>
                <w:rFonts w:ascii="Arial" w:eastAsia="宋体" w:hAnsi="Arial" w:cs="Arial"/>
                <w:b/>
                <w:bCs/>
                <w:color w:val="000000"/>
                <w:sz w:val="12"/>
                <w:szCs w:val="12"/>
              </w:rPr>
              <w:t>(113)</w:t>
            </w:r>
          </w:p>
        </w:tc>
        <w:tc>
          <w:tcPr>
            <w:tcW w:w="0" w:type="auto"/>
            <w:shd w:val="clear" w:color="auto" w:fill="FFFFFF"/>
            <w:tcMar>
              <w:top w:w="40" w:type="dxa"/>
              <w:left w:w="0" w:type="dxa"/>
              <w:bottom w:w="40" w:type="dxa"/>
              <w:right w:w="20" w:type="dxa"/>
            </w:tcMar>
            <w:vAlign w:val="bottom"/>
          </w:tcPr>
          <w:p w14:paraId="71D48D9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9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93" w14:textId="77777777" w:rsidR="006A3667" w:rsidRDefault="00045F32">
            <w:pPr>
              <w:jc w:val="right"/>
              <w:textAlignment w:val="bottom"/>
            </w:pPr>
            <w:r>
              <w:rPr>
                <w:rFonts w:ascii="Arial" w:eastAsia="宋体" w:hAnsi="Arial" w:cs="Arial"/>
                <w:b/>
                <w:bCs/>
                <w:color w:val="000000"/>
                <w:sz w:val="12"/>
                <w:szCs w:val="12"/>
              </w:rPr>
              <w:t>(113)</w:t>
            </w:r>
          </w:p>
        </w:tc>
        <w:tc>
          <w:tcPr>
            <w:tcW w:w="0" w:type="auto"/>
            <w:shd w:val="clear" w:color="auto" w:fill="FFFFFF"/>
            <w:tcMar>
              <w:top w:w="40" w:type="dxa"/>
              <w:left w:w="0" w:type="dxa"/>
              <w:bottom w:w="40" w:type="dxa"/>
              <w:right w:w="20" w:type="dxa"/>
            </w:tcMar>
            <w:vAlign w:val="bottom"/>
          </w:tcPr>
          <w:p w14:paraId="71D48D9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9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96" w14:textId="77777777" w:rsidR="006A3667" w:rsidRDefault="00045F32">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71D48D9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9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99" w14:textId="77777777" w:rsidR="006A3667" w:rsidRDefault="00045F32">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71D48D9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9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9C" w14:textId="77777777" w:rsidR="006A3667" w:rsidRDefault="00045F32">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9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9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9F" w14:textId="77777777" w:rsidR="006A3667" w:rsidRDefault="00045F32">
            <w:pPr>
              <w:jc w:val="right"/>
              <w:textAlignment w:val="bottom"/>
            </w:pPr>
            <w:r>
              <w:rPr>
                <w:rFonts w:ascii="Arial" w:eastAsia="宋体" w:hAnsi="Arial" w:cs="Arial"/>
                <w:b/>
                <w:bCs/>
                <w:color w:val="000000"/>
                <w:sz w:val="12"/>
                <w:szCs w:val="12"/>
              </w:rPr>
              <w:t>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DA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A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A2" w14:textId="77777777" w:rsidR="006A3667" w:rsidRDefault="00045F32">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71D48D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A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DA5" w14:textId="77777777" w:rsidR="006A3667" w:rsidRDefault="00045F32">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71D48DA6" w14:textId="77777777" w:rsidR="006A3667" w:rsidRDefault="006A3667">
            <w:pPr>
              <w:jc w:val="right"/>
              <w:rPr>
                <w:rFonts w:ascii="宋体"/>
              </w:rPr>
            </w:pPr>
          </w:p>
        </w:tc>
      </w:tr>
      <w:tr w:rsidR="006A3667" w14:paraId="71D48DC0" w14:textId="77777777">
        <w:tc>
          <w:tcPr>
            <w:tcW w:w="0" w:type="auto"/>
            <w:gridSpan w:val="9"/>
            <w:shd w:val="clear" w:color="auto" w:fill="CCEEFF"/>
            <w:tcMar>
              <w:top w:w="40" w:type="dxa"/>
              <w:left w:w="20" w:type="dxa"/>
              <w:bottom w:w="40" w:type="dxa"/>
              <w:right w:w="20" w:type="dxa"/>
            </w:tcMar>
            <w:vAlign w:val="bottom"/>
          </w:tcPr>
          <w:p w14:paraId="71D48DA8" w14:textId="77777777" w:rsidR="006A3667" w:rsidRDefault="00045F32">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A9" w14:textId="77777777" w:rsidR="006A3667" w:rsidRDefault="00045F32">
            <w:pPr>
              <w:jc w:val="right"/>
              <w:textAlignment w:val="bottom"/>
            </w:pPr>
            <w:r>
              <w:rPr>
                <w:rFonts w:ascii="Arial" w:eastAsia="宋体" w:hAnsi="Arial" w:cs="Arial"/>
                <w:b/>
                <w:bCs/>
                <w:color w:val="000000"/>
                <w:sz w:val="12"/>
                <w:szCs w:val="12"/>
              </w:rPr>
              <w:t>15,126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A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AC" w14:textId="77777777" w:rsidR="006A3667" w:rsidRDefault="00045F32">
            <w:pPr>
              <w:jc w:val="right"/>
              <w:textAlignment w:val="bottom"/>
            </w:pPr>
            <w:r>
              <w:rPr>
                <w:rFonts w:ascii="Arial" w:eastAsia="宋体" w:hAnsi="Arial" w:cs="Arial"/>
                <w:b/>
                <w:bCs/>
                <w:color w:val="000000"/>
                <w:sz w:val="12"/>
                <w:szCs w:val="12"/>
              </w:rPr>
              <w:t>15,126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A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A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AF" w14:textId="77777777" w:rsidR="006A3667" w:rsidRDefault="00045F32">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B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B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B2" w14:textId="77777777" w:rsidR="006A3667" w:rsidRDefault="00045F32">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B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B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B5" w14:textId="77777777" w:rsidR="006A3667" w:rsidRDefault="00045F32">
            <w:pPr>
              <w:jc w:val="right"/>
              <w:textAlignment w:val="bottom"/>
            </w:pPr>
            <w:r>
              <w:rPr>
                <w:rFonts w:ascii="Arial" w:eastAsia="宋体" w:hAnsi="Arial" w:cs="Arial"/>
                <w:b/>
                <w:bCs/>
                <w:color w:val="000000"/>
                <w:sz w:val="12"/>
                <w:szCs w:val="12"/>
              </w:rPr>
              <w:t>18,687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B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B8" w14:textId="77777777" w:rsidR="006A3667" w:rsidRDefault="00045F32">
            <w:pPr>
              <w:jc w:val="right"/>
              <w:textAlignment w:val="bottom"/>
            </w:pPr>
            <w:r>
              <w:rPr>
                <w:rFonts w:ascii="Arial" w:eastAsia="宋体" w:hAnsi="Arial" w:cs="Arial"/>
                <w:b/>
                <w:bCs/>
                <w:color w:val="000000"/>
                <w:sz w:val="12"/>
                <w:szCs w:val="12"/>
              </w:rPr>
              <w:t>18,687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B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BB" w14:textId="77777777" w:rsidR="006A3667" w:rsidRDefault="00045F32">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B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DB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DBE" w14:textId="77777777" w:rsidR="006A3667" w:rsidRDefault="00045F32">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DBF" w14:textId="77777777" w:rsidR="006A3667" w:rsidRDefault="006A3667">
            <w:pPr>
              <w:jc w:val="right"/>
              <w:rPr>
                <w:rFonts w:ascii="宋体"/>
              </w:rPr>
            </w:pPr>
          </w:p>
        </w:tc>
      </w:tr>
      <w:tr w:rsidR="006A3667" w14:paraId="71D48DD9" w14:textId="77777777">
        <w:tc>
          <w:tcPr>
            <w:tcW w:w="0" w:type="auto"/>
            <w:gridSpan w:val="9"/>
            <w:shd w:val="clear" w:color="auto" w:fill="FFFFFF"/>
            <w:tcMar>
              <w:top w:w="40" w:type="dxa"/>
              <w:left w:w="245" w:type="dxa"/>
              <w:bottom w:w="40" w:type="dxa"/>
              <w:right w:w="20" w:type="dxa"/>
            </w:tcMar>
            <w:vAlign w:val="bottom"/>
          </w:tcPr>
          <w:p w14:paraId="71D48DC1" w14:textId="77777777" w:rsidR="006A3667" w:rsidRDefault="00045F32">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DC2" w14:textId="77777777" w:rsidR="006A3667" w:rsidRDefault="00045F32">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DC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C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DC5" w14:textId="77777777" w:rsidR="006A3667" w:rsidRDefault="00045F32">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DC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C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DC8" w14:textId="77777777" w:rsidR="006A3667" w:rsidRDefault="00045F32">
            <w:pPr>
              <w:jc w:val="right"/>
              <w:textAlignment w:val="bottom"/>
            </w:pPr>
            <w:r>
              <w:rPr>
                <w:rFonts w:ascii="Arial" w:eastAsia="宋体" w:hAnsi="Arial" w:cs="Arial"/>
                <w:color w:val="000000"/>
                <w:sz w:val="12"/>
                <w:szCs w:val="12"/>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D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C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DCB" w14:textId="77777777" w:rsidR="006A3667" w:rsidRDefault="00045F32">
            <w:pPr>
              <w:jc w:val="right"/>
              <w:textAlignment w:val="bottom"/>
            </w:pPr>
            <w:r>
              <w:rPr>
                <w:rFonts w:ascii="Arial" w:eastAsia="宋体" w:hAnsi="Arial" w:cs="Arial"/>
                <w:color w:val="000000"/>
                <w:sz w:val="12"/>
                <w:szCs w:val="12"/>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DC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C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DCE"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D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D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DD1"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DD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D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DD4" w14:textId="77777777" w:rsidR="006A3667" w:rsidRDefault="00045F32">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D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DD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DD7" w14:textId="77777777" w:rsidR="006A3667" w:rsidRDefault="00045F32">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DD8" w14:textId="77777777" w:rsidR="006A3667" w:rsidRDefault="006A3667">
            <w:pPr>
              <w:jc w:val="right"/>
              <w:rPr>
                <w:rFonts w:ascii="宋体"/>
              </w:rPr>
            </w:pPr>
          </w:p>
        </w:tc>
      </w:tr>
      <w:tr w:rsidR="006A3667" w14:paraId="71D48DF0" w14:textId="77777777">
        <w:trPr>
          <w:hidden/>
        </w:trPr>
        <w:tc>
          <w:tcPr>
            <w:tcW w:w="0" w:type="auto"/>
            <w:gridSpan w:val="3"/>
            <w:shd w:val="clear" w:color="auto" w:fill="auto"/>
            <w:vAlign w:val="bottom"/>
          </w:tcPr>
          <w:p w14:paraId="71D48DDA" w14:textId="77777777" w:rsidR="006A3667" w:rsidRDefault="006A3667">
            <w:pPr>
              <w:rPr>
                <w:rFonts w:ascii="宋体"/>
                <w:vanish/>
              </w:rPr>
            </w:pPr>
          </w:p>
        </w:tc>
        <w:tc>
          <w:tcPr>
            <w:tcW w:w="0" w:type="auto"/>
            <w:gridSpan w:val="3"/>
            <w:shd w:val="clear" w:color="auto" w:fill="auto"/>
            <w:vAlign w:val="bottom"/>
          </w:tcPr>
          <w:p w14:paraId="71D48DDB" w14:textId="77777777" w:rsidR="006A3667" w:rsidRDefault="006A3667">
            <w:pPr>
              <w:rPr>
                <w:rFonts w:ascii="宋体"/>
                <w:vanish/>
              </w:rPr>
            </w:pPr>
          </w:p>
        </w:tc>
        <w:tc>
          <w:tcPr>
            <w:tcW w:w="0" w:type="auto"/>
            <w:gridSpan w:val="3"/>
            <w:shd w:val="clear" w:color="auto" w:fill="auto"/>
            <w:vAlign w:val="bottom"/>
          </w:tcPr>
          <w:p w14:paraId="71D48DDC" w14:textId="77777777" w:rsidR="006A3667" w:rsidRDefault="006A3667">
            <w:pPr>
              <w:rPr>
                <w:rFonts w:ascii="宋体"/>
                <w:vanish/>
              </w:rPr>
            </w:pPr>
          </w:p>
        </w:tc>
        <w:tc>
          <w:tcPr>
            <w:tcW w:w="0" w:type="auto"/>
            <w:gridSpan w:val="3"/>
            <w:shd w:val="clear" w:color="auto" w:fill="auto"/>
            <w:vAlign w:val="bottom"/>
          </w:tcPr>
          <w:p w14:paraId="71D48DDD" w14:textId="77777777" w:rsidR="006A3667" w:rsidRDefault="006A3667">
            <w:pPr>
              <w:rPr>
                <w:rFonts w:ascii="宋体"/>
                <w:vanish/>
              </w:rPr>
            </w:pPr>
          </w:p>
        </w:tc>
        <w:tc>
          <w:tcPr>
            <w:tcW w:w="0" w:type="auto"/>
            <w:gridSpan w:val="3"/>
            <w:shd w:val="clear" w:color="auto" w:fill="auto"/>
            <w:vAlign w:val="bottom"/>
          </w:tcPr>
          <w:p w14:paraId="71D48DDE" w14:textId="77777777" w:rsidR="006A3667" w:rsidRDefault="006A3667">
            <w:pPr>
              <w:rPr>
                <w:rFonts w:ascii="宋体"/>
                <w:vanish/>
              </w:rPr>
            </w:pPr>
          </w:p>
        </w:tc>
        <w:tc>
          <w:tcPr>
            <w:tcW w:w="0" w:type="auto"/>
            <w:gridSpan w:val="3"/>
            <w:shd w:val="clear" w:color="auto" w:fill="auto"/>
            <w:vAlign w:val="bottom"/>
          </w:tcPr>
          <w:p w14:paraId="71D48DDF" w14:textId="77777777" w:rsidR="006A3667" w:rsidRDefault="006A3667">
            <w:pPr>
              <w:rPr>
                <w:rFonts w:ascii="宋体"/>
                <w:vanish/>
              </w:rPr>
            </w:pPr>
          </w:p>
        </w:tc>
        <w:tc>
          <w:tcPr>
            <w:tcW w:w="0" w:type="auto"/>
            <w:gridSpan w:val="3"/>
            <w:shd w:val="clear" w:color="auto" w:fill="auto"/>
            <w:vAlign w:val="bottom"/>
          </w:tcPr>
          <w:p w14:paraId="71D48DE0" w14:textId="77777777" w:rsidR="006A3667" w:rsidRDefault="006A3667">
            <w:pPr>
              <w:rPr>
                <w:rFonts w:ascii="宋体"/>
                <w:vanish/>
              </w:rPr>
            </w:pPr>
          </w:p>
        </w:tc>
        <w:tc>
          <w:tcPr>
            <w:tcW w:w="0" w:type="auto"/>
            <w:gridSpan w:val="3"/>
            <w:shd w:val="clear" w:color="auto" w:fill="auto"/>
            <w:vAlign w:val="bottom"/>
          </w:tcPr>
          <w:p w14:paraId="71D48DE1" w14:textId="77777777" w:rsidR="006A3667" w:rsidRDefault="006A3667">
            <w:pPr>
              <w:rPr>
                <w:rFonts w:ascii="宋体"/>
                <w:vanish/>
              </w:rPr>
            </w:pPr>
          </w:p>
        </w:tc>
        <w:tc>
          <w:tcPr>
            <w:tcW w:w="0" w:type="auto"/>
            <w:gridSpan w:val="3"/>
            <w:shd w:val="clear" w:color="auto" w:fill="auto"/>
            <w:vAlign w:val="bottom"/>
          </w:tcPr>
          <w:p w14:paraId="71D48DE2" w14:textId="77777777" w:rsidR="006A3667" w:rsidRDefault="006A3667">
            <w:pPr>
              <w:rPr>
                <w:rFonts w:ascii="宋体"/>
                <w:vanish/>
              </w:rPr>
            </w:pPr>
          </w:p>
        </w:tc>
        <w:tc>
          <w:tcPr>
            <w:tcW w:w="0" w:type="auto"/>
            <w:gridSpan w:val="3"/>
            <w:shd w:val="clear" w:color="auto" w:fill="auto"/>
            <w:vAlign w:val="bottom"/>
          </w:tcPr>
          <w:p w14:paraId="71D48DE3" w14:textId="77777777" w:rsidR="006A3667" w:rsidRDefault="006A3667">
            <w:pPr>
              <w:rPr>
                <w:rFonts w:ascii="宋体"/>
                <w:vanish/>
              </w:rPr>
            </w:pPr>
          </w:p>
        </w:tc>
        <w:tc>
          <w:tcPr>
            <w:tcW w:w="0" w:type="auto"/>
            <w:gridSpan w:val="3"/>
            <w:shd w:val="clear" w:color="auto" w:fill="auto"/>
            <w:vAlign w:val="bottom"/>
          </w:tcPr>
          <w:p w14:paraId="71D48DE4" w14:textId="77777777" w:rsidR="006A3667" w:rsidRDefault="006A3667">
            <w:pPr>
              <w:rPr>
                <w:rFonts w:ascii="宋体"/>
                <w:vanish/>
              </w:rPr>
            </w:pPr>
          </w:p>
        </w:tc>
        <w:tc>
          <w:tcPr>
            <w:tcW w:w="0" w:type="auto"/>
            <w:gridSpan w:val="3"/>
            <w:shd w:val="clear" w:color="auto" w:fill="auto"/>
            <w:vAlign w:val="bottom"/>
          </w:tcPr>
          <w:p w14:paraId="71D48DE5" w14:textId="77777777" w:rsidR="006A3667" w:rsidRDefault="006A3667">
            <w:pPr>
              <w:rPr>
                <w:rFonts w:ascii="宋体"/>
                <w:vanish/>
              </w:rPr>
            </w:pPr>
          </w:p>
        </w:tc>
        <w:tc>
          <w:tcPr>
            <w:tcW w:w="0" w:type="auto"/>
            <w:gridSpan w:val="3"/>
            <w:shd w:val="clear" w:color="auto" w:fill="auto"/>
            <w:vAlign w:val="bottom"/>
          </w:tcPr>
          <w:p w14:paraId="71D48DE6" w14:textId="77777777" w:rsidR="006A3667" w:rsidRDefault="006A3667">
            <w:pPr>
              <w:rPr>
                <w:rFonts w:ascii="宋体"/>
                <w:vanish/>
              </w:rPr>
            </w:pPr>
          </w:p>
        </w:tc>
        <w:tc>
          <w:tcPr>
            <w:tcW w:w="0" w:type="auto"/>
            <w:gridSpan w:val="3"/>
            <w:shd w:val="clear" w:color="auto" w:fill="auto"/>
            <w:vAlign w:val="bottom"/>
          </w:tcPr>
          <w:p w14:paraId="71D48DE7" w14:textId="77777777" w:rsidR="006A3667" w:rsidRDefault="006A3667">
            <w:pPr>
              <w:rPr>
                <w:rFonts w:ascii="宋体"/>
                <w:vanish/>
              </w:rPr>
            </w:pPr>
          </w:p>
        </w:tc>
        <w:tc>
          <w:tcPr>
            <w:tcW w:w="0" w:type="auto"/>
            <w:gridSpan w:val="3"/>
            <w:shd w:val="clear" w:color="auto" w:fill="auto"/>
            <w:vAlign w:val="bottom"/>
          </w:tcPr>
          <w:p w14:paraId="71D48DE8" w14:textId="77777777" w:rsidR="006A3667" w:rsidRDefault="006A3667">
            <w:pPr>
              <w:rPr>
                <w:rFonts w:ascii="宋体"/>
                <w:vanish/>
              </w:rPr>
            </w:pPr>
          </w:p>
        </w:tc>
        <w:tc>
          <w:tcPr>
            <w:tcW w:w="0" w:type="auto"/>
            <w:gridSpan w:val="3"/>
            <w:shd w:val="clear" w:color="auto" w:fill="auto"/>
            <w:vAlign w:val="bottom"/>
          </w:tcPr>
          <w:p w14:paraId="71D48DE9" w14:textId="77777777" w:rsidR="006A3667" w:rsidRDefault="006A3667">
            <w:pPr>
              <w:rPr>
                <w:rFonts w:ascii="宋体"/>
                <w:vanish/>
              </w:rPr>
            </w:pPr>
          </w:p>
        </w:tc>
        <w:tc>
          <w:tcPr>
            <w:tcW w:w="0" w:type="auto"/>
            <w:shd w:val="clear" w:color="auto" w:fill="auto"/>
            <w:vAlign w:val="bottom"/>
          </w:tcPr>
          <w:p w14:paraId="71D48DEA" w14:textId="77777777" w:rsidR="006A3667" w:rsidRDefault="006A3667">
            <w:pPr>
              <w:rPr>
                <w:rFonts w:ascii="宋体"/>
              </w:rPr>
            </w:pPr>
          </w:p>
        </w:tc>
        <w:tc>
          <w:tcPr>
            <w:tcW w:w="0" w:type="auto"/>
            <w:shd w:val="clear" w:color="auto" w:fill="auto"/>
            <w:vAlign w:val="bottom"/>
          </w:tcPr>
          <w:p w14:paraId="71D48DEB" w14:textId="77777777" w:rsidR="006A3667" w:rsidRDefault="006A3667">
            <w:pPr>
              <w:rPr>
                <w:rFonts w:ascii="宋体"/>
              </w:rPr>
            </w:pPr>
          </w:p>
        </w:tc>
        <w:tc>
          <w:tcPr>
            <w:tcW w:w="0" w:type="auto"/>
            <w:shd w:val="clear" w:color="auto" w:fill="auto"/>
            <w:vAlign w:val="bottom"/>
          </w:tcPr>
          <w:p w14:paraId="71D48DEC" w14:textId="77777777" w:rsidR="006A3667" w:rsidRDefault="006A3667">
            <w:pPr>
              <w:rPr>
                <w:rFonts w:ascii="宋体"/>
              </w:rPr>
            </w:pPr>
          </w:p>
        </w:tc>
        <w:tc>
          <w:tcPr>
            <w:tcW w:w="0" w:type="auto"/>
            <w:shd w:val="clear" w:color="auto" w:fill="auto"/>
            <w:vAlign w:val="bottom"/>
          </w:tcPr>
          <w:p w14:paraId="71D48DED" w14:textId="77777777" w:rsidR="006A3667" w:rsidRDefault="006A3667">
            <w:pPr>
              <w:rPr>
                <w:rFonts w:ascii="宋体"/>
              </w:rPr>
            </w:pPr>
          </w:p>
        </w:tc>
        <w:tc>
          <w:tcPr>
            <w:tcW w:w="0" w:type="auto"/>
            <w:shd w:val="clear" w:color="auto" w:fill="auto"/>
            <w:vAlign w:val="bottom"/>
          </w:tcPr>
          <w:p w14:paraId="71D48DEE" w14:textId="77777777" w:rsidR="006A3667" w:rsidRDefault="006A3667">
            <w:pPr>
              <w:rPr>
                <w:rFonts w:ascii="宋体"/>
              </w:rPr>
            </w:pPr>
          </w:p>
        </w:tc>
        <w:tc>
          <w:tcPr>
            <w:tcW w:w="0" w:type="auto"/>
            <w:shd w:val="clear" w:color="auto" w:fill="auto"/>
            <w:vAlign w:val="bottom"/>
          </w:tcPr>
          <w:p w14:paraId="71D48DEF" w14:textId="77777777" w:rsidR="006A3667" w:rsidRDefault="006A3667">
            <w:pPr>
              <w:rPr>
                <w:rFonts w:ascii="宋体"/>
              </w:rPr>
            </w:pPr>
          </w:p>
        </w:tc>
      </w:tr>
      <w:tr w:rsidR="006A3667" w14:paraId="71D48E07" w14:textId="77777777">
        <w:trPr>
          <w:hidden/>
        </w:trPr>
        <w:tc>
          <w:tcPr>
            <w:tcW w:w="0" w:type="auto"/>
            <w:gridSpan w:val="3"/>
            <w:shd w:val="clear" w:color="auto" w:fill="auto"/>
            <w:vAlign w:val="bottom"/>
          </w:tcPr>
          <w:p w14:paraId="71D48DF1" w14:textId="77777777" w:rsidR="006A3667" w:rsidRDefault="006A3667">
            <w:pPr>
              <w:rPr>
                <w:rFonts w:ascii="宋体"/>
                <w:vanish/>
              </w:rPr>
            </w:pPr>
          </w:p>
        </w:tc>
        <w:tc>
          <w:tcPr>
            <w:tcW w:w="0" w:type="auto"/>
            <w:gridSpan w:val="3"/>
            <w:shd w:val="clear" w:color="auto" w:fill="auto"/>
            <w:vAlign w:val="bottom"/>
          </w:tcPr>
          <w:p w14:paraId="71D48DF2" w14:textId="77777777" w:rsidR="006A3667" w:rsidRDefault="006A3667">
            <w:pPr>
              <w:rPr>
                <w:rFonts w:ascii="宋体"/>
                <w:vanish/>
              </w:rPr>
            </w:pPr>
          </w:p>
        </w:tc>
        <w:tc>
          <w:tcPr>
            <w:tcW w:w="0" w:type="auto"/>
            <w:gridSpan w:val="3"/>
            <w:shd w:val="clear" w:color="auto" w:fill="auto"/>
            <w:vAlign w:val="bottom"/>
          </w:tcPr>
          <w:p w14:paraId="71D48DF3" w14:textId="77777777" w:rsidR="006A3667" w:rsidRDefault="006A3667">
            <w:pPr>
              <w:rPr>
                <w:rFonts w:ascii="宋体"/>
                <w:vanish/>
              </w:rPr>
            </w:pPr>
          </w:p>
        </w:tc>
        <w:tc>
          <w:tcPr>
            <w:tcW w:w="0" w:type="auto"/>
            <w:gridSpan w:val="3"/>
            <w:shd w:val="clear" w:color="auto" w:fill="auto"/>
            <w:vAlign w:val="bottom"/>
          </w:tcPr>
          <w:p w14:paraId="71D48DF4" w14:textId="77777777" w:rsidR="006A3667" w:rsidRDefault="006A3667">
            <w:pPr>
              <w:rPr>
                <w:rFonts w:ascii="宋体"/>
                <w:vanish/>
              </w:rPr>
            </w:pPr>
          </w:p>
        </w:tc>
        <w:tc>
          <w:tcPr>
            <w:tcW w:w="0" w:type="auto"/>
            <w:gridSpan w:val="3"/>
            <w:shd w:val="clear" w:color="auto" w:fill="auto"/>
            <w:vAlign w:val="bottom"/>
          </w:tcPr>
          <w:p w14:paraId="71D48DF5" w14:textId="77777777" w:rsidR="006A3667" w:rsidRDefault="006A3667">
            <w:pPr>
              <w:rPr>
                <w:rFonts w:ascii="宋体"/>
                <w:vanish/>
              </w:rPr>
            </w:pPr>
          </w:p>
        </w:tc>
        <w:tc>
          <w:tcPr>
            <w:tcW w:w="0" w:type="auto"/>
            <w:gridSpan w:val="3"/>
            <w:shd w:val="clear" w:color="auto" w:fill="auto"/>
            <w:vAlign w:val="bottom"/>
          </w:tcPr>
          <w:p w14:paraId="71D48DF6" w14:textId="77777777" w:rsidR="006A3667" w:rsidRDefault="006A3667">
            <w:pPr>
              <w:rPr>
                <w:rFonts w:ascii="宋体"/>
                <w:vanish/>
              </w:rPr>
            </w:pPr>
          </w:p>
        </w:tc>
        <w:tc>
          <w:tcPr>
            <w:tcW w:w="0" w:type="auto"/>
            <w:gridSpan w:val="3"/>
            <w:shd w:val="clear" w:color="auto" w:fill="auto"/>
            <w:vAlign w:val="bottom"/>
          </w:tcPr>
          <w:p w14:paraId="71D48DF7" w14:textId="77777777" w:rsidR="006A3667" w:rsidRDefault="006A3667">
            <w:pPr>
              <w:rPr>
                <w:rFonts w:ascii="宋体"/>
                <w:vanish/>
              </w:rPr>
            </w:pPr>
          </w:p>
        </w:tc>
        <w:tc>
          <w:tcPr>
            <w:tcW w:w="0" w:type="auto"/>
            <w:gridSpan w:val="3"/>
            <w:shd w:val="clear" w:color="auto" w:fill="auto"/>
            <w:vAlign w:val="bottom"/>
          </w:tcPr>
          <w:p w14:paraId="71D48DF8" w14:textId="77777777" w:rsidR="006A3667" w:rsidRDefault="006A3667">
            <w:pPr>
              <w:rPr>
                <w:rFonts w:ascii="宋体"/>
                <w:vanish/>
              </w:rPr>
            </w:pPr>
          </w:p>
        </w:tc>
        <w:tc>
          <w:tcPr>
            <w:tcW w:w="0" w:type="auto"/>
            <w:gridSpan w:val="3"/>
            <w:shd w:val="clear" w:color="auto" w:fill="auto"/>
            <w:vAlign w:val="bottom"/>
          </w:tcPr>
          <w:p w14:paraId="71D48DF9" w14:textId="77777777" w:rsidR="006A3667" w:rsidRDefault="006A3667">
            <w:pPr>
              <w:rPr>
                <w:rFonts w:ascii="宋体"/>
                <w:vanish/>
              </w:rPr>
            </w:pPr>
          </w:p>
        </w:tc>
        <w:tc>
          <w:tcPr>
            <w:tcW w:w="0" w:type="auto"/>
            <w:gridSpan w:val="3"/>
            <w:shd w:val="clear" w:color="auto" w:fill="auto"/>
            <w:vAlign w:val="bottom"/>
          </w:tcPr>
          <w:p w14:paraId="71D48DFA" w14:textId="77777777" w:rsidR="006A3667" w:rsidRDefault="006A3667">
            <w:pPr>
              <w:rPr>
                <w:rFonts w:ascii="宋体"/>
                <w:vanish/>
              </w:rPr>
            </w:pPr>
          </w:p>
        </w:tc>
        <w:tc>
          <w:tcPr>
            <w:tcW w:w="0" w:type="auto"/>
            <w:gridSpan w:val="3"/>
            <w:shd w:val="clear" w:color="auto" w:fill="auto"/>
            <w:vAlign w:val="bottom"/>
          </w:tcPr>
          <w:p w14:paraId="71D48DFB" w14:textId="77777777" w:rsidR="006A3667" w:rsidRDefault="006A3667">
            <w:pPr>
              <w:rPr>
                <w:rFonts w:ascii="宋体"/>
                <w:vanish/>
              </w:rPr>
            </w:pPr>
          </w:p>
        </w:tc>
        <w:tc>
          <w:tcPr>
            <w:tcW w:w="0" w:type="auto"/>
            <w:gridSpan w:val="3"/>
            <w:shd w:val="clear" w:color="auto" w:fill="auto"/>
            <w:vAlign w:val="bottom"/>
          </w:tcPr>
          <w:p w14:paraId="71D48DFC" w14:textId="77777777" w:rsidR="006A3667" w:rsidRDefault="006A3667">
            <w:pPr>
              <w:rPr>
                <w:rFonts w:ascii="宋体"/>
                <w:vanish/>
              </w:rPr>
            </w:pPr>
          </w:p>
        </w:tc>
        <w:tc>
          <w:tcPr>
            <w:tcW w:w="0" w:type="auto"/>
            <w:gridSpan w:val="3"/>
            <w:shd w:val="clear" w:color="auto" w:fill="auto"/>
            <w:vAlign w:val="bottom"/>
          </w:tcPr>
          <w:p w14:paraId="71D48DFD" w14:textId="77777777" w:rsidR="006A3667" w:rsidRDefault="006A3667">
            <w:pPr>
              <w:rPr>
                <w:rFonts w:ascii="宋体"/>
                <w:vanish/>
              </w:rPr>
            </w:pPr>
          </w:p>
        </w:tc>
        <w:tc>
          <w:tcPr>
            <w:tcW w:w="0" w:type="auto"/>
            <w:gridSpan w:val="3"/>
            <w:shd w:val="clear" w:color="auto" w:fill="auto"/>
            <w:vAlign w:val="bottom"/>
          </w:tcPr>
          <w:p w14:paraId="71D48DFE" w14:textId="77777777" w:rsidR="006A3667" w:rsidRDefault="006A3667">
            <w:pPr>
              <w:rPr>
                <w:rFonts w:ascii="宋体"/>
                <w:vanish/>
              </w:rPr>
            </w:pPr>
          </w:p>
        </w:tc>
        <w:tc>
          <w:tcPr>
            <w:tcW w:w="0" w:type="auto"/>
            <w:gridSpan w:val="3"/>
            <w:shd w:val="clear" w:color="auto" w:fill="auto"/>
            <w:vAlign w:val="bottom"/>
          </w:tcPr>
          <w:p w14:paraId="71D48DFF" w14:textId="77777777" w:rsidR="006A3667" w:rsidRDefault="006A3667">
            <w:pPr>
              <w:rPr>
                <w:rFonts w:ascii="宋体"/>
                <w:vanish/>
              </w:rPr>
            </w:pPr>
          </w:p>
        </w:tc>
        <w:tc>
          <w:tcPr>
            <w:tcW w:w="0" w:type="auto"/>
            <w:gridSpan w:val="3"/>
            <w:shd w:val="clear" w:color="auto" w:fill="auto"/>
            <w:vAlign w:val="bottom"/>
          </w:tcPr>
          <w:p w14:paraId="71D48E00" w14:textId="77777777" w:rsidR="006A3667" w:rsidRDefault="006A3667">
            <w:pPr>
              <w:rPr>
                <w:rFonts w:ascii="宋体"/>
                <w:vanish/>
              </w:rPr>
            </w:pPr>
          </w:p>
        </w:tc>
        <w:tc>
          <w:tcPr>
            <w:tcW w:w="0" w:type="auto"/>
            <w:shd w:val="clear" w:color="auto" w:fill="auto"/>
            <w:vAlign w:val="bottom"/>
          </w:tcPr>
          <w:p w14:paraId="71D48E01" w14:textId="77777777" w:rsidR="006A3667" w:rsidRDefault="006A3667">
            <w:pPr>
              <w:rPr>
                <w:rFonts w:ascii="宋体"/>
              </w:rPr>
            </w:pPr>
          </w:p>
        </w:tc>
        <w:tc>
          <w:tcPr>
            <w:tcW w:w="0" w:type="auto"/>
            <w:shd w:val="clear" w:color="auto" w:fill="auto"/>
            <w:vAlign w:val="bottom"/>
          </w:tcPr>
          <w:p w14:paraId="71D48E02" w14:textId="77777777" w:rsidR="006A3667" w:rsidRDefault="006A3667">
            <w:pPr>
              <w:rPr>
                <w:rFonts w:ascii="宋体"/>
              </w:rPr>
            </w:pPr>
          </w:p>
        </w:tc>
        <w:tc>
          <w:tcPr>
            <w:tcW w:w="0" w:type="auto"/>
            <w:shd w:val="clear" w:color="auto" w:fill="auto"/>
            <w:vAlign w:val="bottom"/>
          </w:tcPr>
          <w:p w14:paraId="71D48E03" w14:textId="77777777" w:rsidR="006A3667" w:rsidRDefault="006A3667">
            <w:pPr>
              <w:rPr>
                <w:rFonts w:ascii="宋体"/>
              </w:rPr>
            </w:pPr>
          </w:p>
        </w:tc>
        <w:tc>
          <w:tcPr>
            <w:tcW w:w="0" w:type="auto"/>
            <w:shd w:val="clear" w:color="auto" w:fill="auto"/>
            <w:vAlign w:val="bottom"/>
          </w:tcPr>
          <w:p w14:paraId="71D48E04" w14:textId="77777777" w:rsidR="006A3667" w:rsidRDefault="006A3667">
            <w:pPr>
              <w:rPr>
                <w:rFonts w:ascii="宋体"/>
              </w:rPr>
            </w:pPr>
          </w:p>
        </w:tc>
        <w:tc>
          <w:tcPr>
            <w:tcW w:w="0" w:type="auto"/>
            <w:shd w:val="clear" w:color="auto" w:fill="auto"/>
            <w:vAlign w:val="bottom"/>
          </w:tcPr>
          <w:p w14:paraId="71D48E05" w14:textId="77777777" w:rsidR="006A3667" w:rsidRDefault="006A3667">
            <w:pPr>
              <w:rPr>
                <w:rFonts w:ascii="宋体"/>
              </w:rPr>
            </w:pPr>
          </w:p>
        </w:tc>
        <w:tc>
          <w:tcPr>
            <w:tcW w:w="0" w:type="auto"/>
            <w:shd w:val="clear" w:color="auto" w:fill="auto"/>
            <w:vAlign w:val="bottom"/>
          </w:tcPr>
          <w:p w14:paraId="71D48E06" w14:textId="77777777" w:rsidR="006A3667" w:rsidRDefault="006A3667">
            <w:pPr>
              <w:rPr>
                <w:rFonts w:ascii="宋体"/>
              </w:rPr>
            </w:pPr>
          </w:p>
        </w:tc>
      </w:tr>
      <w:tr w:rsidR="006A3667" w14:paraId="71D48E20" w14:textId="77777777">
        <w:tc>
          <w:tcPr>
            <w:tcW w:w="0" w:type="auto"/>
            <w:gridSpan w:val="9"/>
            <w:shd w:val="clear" w:color="auto" w:fill="CCEEFF"/>
            <w:tcMar>
              <w:top w:w="40" w:type="dxa"/>
              <w:left w:w="20" w:type="dxa"/>
              <w:bottom w:w="40" w:type="dxa"/>
              <w:right w:w="20" w:type="dxa"/>
            </w:tcMar>
            <w:vAlign w:val="bottom"/>
          </w:tcPr>
          <w:p w14:paraId="71D48E08" w14:textId="77777777" w:rsidR="006A3667" w:rsidRDefault="00045F32">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E09" w14:textId="77777777" w:rsidR="006A3667" w:rsidRDefault="00045F32">
            <w:pPr>
              <w:jc w:val="right"/>
              <w:textAlignment w:val="bottom"/>
            </w:pPr>
            <w:r>
              <w:rPr>
                <w:rFonts w:ascii="Arial" w:eastAsia="宋体" w:hAnsi="Arial" w:cs="Arial"/>
                <w:b/>
                <w:bCs/>
                <w:color w:val="000000"/>
                <w:sz w:val="12"/>
                <w:szCs w:val="12"/>
              </w:rPr>
              <w:t>17,102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E0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0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E0C" w14:textId="77777777" w:rsidR="006A3667" w:rsidRDefault="00045F32">
            <w:pPr>
              <w:jc w:val="right"/>
              <w:textAlignment w:val="bottom"/>
            </w:pPr>
            <w:r>
              <w:rPr>
                <w:rFonts w:ascii="Arial" w:eastAsia="宋体" w:hAnsi="Arial" w:cs="Arial"/>
                <w:b/>
                <w:bCs/>
                <w:color w:val="000000"/>
                <w:sz w:val="12"/>
                <w:szCs w:val="12"/>
              </w:rPr>
              <w:t>17,102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E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0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E0F" w14:textId="77777777" w:rsidR="006A3667" w:rsidRDefault="00045F32">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E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1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E12" w14:textId="77777777" w:rsidR="006A3667" w:rsidRDefault="00045F32">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E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1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E15" w14:textId="77777777" w:rsidR="006A3667" w:rsidRDefault="00045F32">
            <w:pPr>
              <w:jc w:val="right"/>
              <w:textAlignment w:val="bottom"/>
            </w:pPr>
            <w:r>
              <w:rPr>
                <w:rFonts w:ascii="Arial" w:eastAsia="宋体" w:hAnsi="Arial" w:cs="Arial"/>
                <w:b/>
                <w:bCs/>
                <w:color w:val="000000"/>
                <w:sz w:val="12"/>
                <w:szCs w:val="12"/>
              </w:rPr>
              <w:t>18,687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E1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1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E18" w14:textId="77777777" w:rsidR="006A3667" w:rsidRDefault="00045F32">
            <w:pPr>
              <w:jc w:val="right"/>
              <w:textAlignment w:val="bottom"/>
            </w:pPr>
            <w:r>
              <w:rPr>
                <w:rFonts w:ascii="Arial" w:eastAsia="宋体" w:hAnsi="Arial" w:cs="Arial"/>
                <w:b/>
                <w:bCs/>
                <w:color w:val="000000"/>
                <w:sz w:val="12"/>
                <w:szCs w:val="12"/>
              </w:rPr>
              <w:t>18,687</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E1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1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E1B" w14:textId="77777777" w:rsidR="006A3667" w:rsidRDefault="00045F32">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E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1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E1E" w14:textId="77777777" w:rsidR="006A3667" w:rsidRDefault="00045F32">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E1F" w14:textId="77777777" w:rsidR="006A3667" w:rsidRDefault="006A3667">
            <w:pPr>
              <w:jc w:val="right"/>
              <w:rPr>
                <w:rFonts w:ascii="宋体"/>
              </w:rPr>
            </w:pPr>
          </w:p>
        </w:tc>
      </w:tr>
      <w:tr w:rsidR="006A3667" w14:paraId="71D48E39" w14:textId="77777777">
        <w:tc>
          <w:tcPr>
            <w:tcW w:w="0" w:type="auto"/>
            <w:gridSpan w:val="9"/>
            <w:shd w:val="clear" w:color="auto" w:fill="FFFFFF"/>
            <w:tcMar>
              <w:top w:w="40" w:type="dxa"/>
              <w:left w:w="245" w:type="dxa"/>
              <w:bottom w:w="40" w:type="dxa"/>
              <w:right w:w="20" w:type="dxa"/>
            </w:tcMar>
            <w:vAlign w:val="bottom"/>
          </w:tcPr>
          <w:p w14:paraId="71D48E21" w14:textId="77777777" w:rsidR="006A3667" w:rsidRDefault="00045F32">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E22" w14:textId="77777777" w:rsidR="006A3667" w:rsidRDefault="00045F32">
            <w:pPr>
              <w:jc w:val="right"/>
              <w:textAlignment w:val="bottom"/>
            </w:pPr>
            <w:r>
              <w:rPr>
                <w:rFonts w:ascii="Arial" w:eastAsia="宋体" w:hAnsi="Arial" w:cs="Arial"/>
                <w:b/>
                <w:bCs/>
                <w:color w:val="000000"/>
                <w:sz w:val="12"/>
                <w:szCs w:val="12"/>
              </w:rPr>
              <w:t>1,380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2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E25" w14:textId="77777777" w:rsidR="006A3667" w:rsidRDefault="00045F32">
            <w:pPr>
              <w:jc w:val="right"/>
              <w:textAlignment w:val="bottom"/>
            </w:pPr>
            <w:r>
              <w:rPr>
                <w:rFonts w:ascii="Arial" w:eastAsia="宋体" w:hAnsi="Arial" w:cs="Arial"/>
                <w:b/>
                <w:bCs/>
                <w:color w:val="000000"/>
                <w:sz w:val="12"/>
                <w:szCs w:val="12"/>
              </w:rPr>
              <w:t>1,380</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2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E28" w14:textId="77777777" w:rsidR="006A3667" w:rsidRDefault="00045F32">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2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E2B" w14:textId="77777777" w:rsidR="006A3667" w:rsidRDefault="00045F32">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2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2D"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E2E" w14:textId="77777777" w:rsidR="006A3667" w:rsidRDefault="00045F32">
            <w:pPr>
              <w:jc w:val="right"/>
              <w:textAlignment w:val="bottom"/>
            </w:pPr>
            <w:r>
              <w:rPr>
                <w:rFonts w:ascii="Arial" w:eastAsia="宋体" w:hAnsi="Arial" w:cs="Arial"/>
                <w:b/>
                <w:bCs/>
                <w:color w:val="000000"/>
                <w:sz w:val="12"/>
                <w:szCs w:val="12"/>
              </w:rPr>
              <w:t>544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2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3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E31" w14:textId="77777777" w:rsidR="006A3667" w:rsidRDefault="00045F32">
            <w:pPr>
              <w:jc w:val="right"/>
              <w:textAlignment w:val="bottom"/>
            </w:pPr>
            <w:r>
              <w:rPr>
                <w:rFonts w:ascii="Arial" w:eastAsia="宋体" w:hAnsi="Arial" w:cs="Arial"/>
                <w:b/>
                <w:bCs/>
                <w:color w:val="000000"/>
                <w:sz w:val="12"/>
                <w:szCs w:val="12"/>
              </w:rPr>
              <w:t>544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3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3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E34" w14:textId="77777777" w:rsidR="006A3667" w:rsidRDefault="00045F32">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3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3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8E37" w14:textId="77777777" w:rsidR="006A3667" w:rsidRDefault="00045F32">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38" w14:textId="77777777" w:rsidR="006A3667" w:rsidRDefault="006A3667">
            <w:pPr>
              <w:jc w:val="right"/>
              <w:rPr>
                <w:rFonts w:ascii="宋体"/>
              </w:rPr>
            </w:pPr>
          </w:p>
        </w:tc>
      </w:tr>
      <w:tr w:rsidR="006A3667" w14:paraId="71D48E50" w14:textId="77777777">
        <w:trPr>
          <w:hidden/>
        </w:trPr>
        <w:tc>
          <w:tcPr>
            <w:tcW w:w="0" w:type="auto"/>
            <w:gridSpan w:val="3"/>
            <w:shd w:val="clear" w:color="auto" w:fill="auto"/>
            <w:vAlign w:val="bottom"/>
          </w:tcPr>
          <w:p w14:paraId="71D48E3A" w14:textId="77777777" w:rsidR="006A3667" w:rsidRDefault="006A3667">
            <w:pPr>
              <w:rPr>
                <w:rFonts w:ascii="宋体"/>
                <w:vanish/>
              </w:rPr>
            </w:pPr>
          </w:p>
        </w:tc>
        <w:tc>
          <w:tcPr>
            <w:tcW w:w="0" w:type="auto"/>
            <w:gridSpan w:val="3"/>
            <w:shd w:val="clear" w:color="auto" w:fill="auto"/>
            <w:vAlign w:val="bottom"/>
          </w:tcPr>
          <w:p w14:paraId="71D48E3B" w14:textId="77777777" w:rsidR="006A3667" w:rsidRDefault="006A3667">
            <w:pPr>
              <w:rPr>
                <w:rFonts w:ascii="宋体"/>
                <w:vanish/>
              </w:rPr>
            </w:pPr>
          </w:p>
        </w:tc>
        <w:tc>
          <w:tcPr>
            <w:tcW w:w="0" w:type="auto"/>
            <w:gridSpan w:val="3"/>
            <w:shd w:val="clear" w:color="auto" w:fill="auto"/>
            <w:vAlign w:val="bottom"/>
          </w:tcPr>
          <w:p w14:paraId="71D48E3C" w14:textId="77777777" w:rsidR="006A3667" w:rsidRDefault="006A3667">
            <w:pPr>
              <w:rPr>
                <w:rFonts w:ascii="宋体"/>
                <w:vanish/>
              </w:rPr>
            </w:pPr>
          </w:p>
        </w:tc>
        <w:tc>
          <w:tcPr>
            <w:tcW w:w="0" w:type="auto"/>
            <w:gridSpan w:val="3"/>
            <w:shd w:val="clear" w:color="auto" w:fill="auto"/>
            <w:vAlign w:val="bottom"/>
          </w:tcPr>
          <w:p w14:paraId="71D48E3D" w14:textId="77777777" w:rsidR="006A3667" w:rsidRDefault="006A3667">
            <w:pPr>
              <w:rPr>
                <w:rFonts w:ascii="宋体"/>
                <w:vanish/>
              </w:rPr>
            </w:pPr>
          </w:p>
        </w:tc>
        <w:tc>
          <w:tcPr>
            <w:tcW w:w="0" w:type="auto"/>
            <w:gridSpan w:val="3"/>
            <w:shd w:val="clear" w:color="auto" w:fill="auto"/>
            <w:vAlign w:val="bottom"/>
          </w:tcPr>
          <w:p w14:paraId="71D48E3E" w14:textId="77777777" w:rsidR="006A3667" w:rsidRDefault="006A3667">
            <w:pPr>
              <w:rPr>
                <w:rFonts w:ascii="宋体"/>
                <w:vanish/>
              </w:rPr>
            </w:pPr>
          </w:p>
        </w:tc>
        <w:tc>
          <w:tcPr>
            <w:tcW w:w="0" w:type="auto"/>
            <w:gridSpan w:val="3"/>
            <w:shd w:val="clear" w:color="auto" w:fill="auto"/>
            <w:vAlign w:val="bottom"/>
          </w:tcPr>
          <w:p w14:paraId="71D48E3F" w14:textId="77777777" w:rsidR="006A3667" w:rsidRDefault="006A3667">
            <w:pPr>
              <w:rPr>
                <w:rFonts w:ascii="宋体"/>
                <w:vanish/>
              </w:rPr>
            </w:pPr>
          </w:p>
        </w:tc>
        <w:tc>
          <w:tcPr>
            <w:tcW w:w="0" w:type="auto"/>
            <w:gridSpan w:val="3"/>
            <w:shd w:val="clear" w:color="auto" w:fill="auto"/>
            <w:vAlign w:val="bottom"/>
          </w:tcPr>
          <w:p w14:paraId="71D48E40" w14:textId="77777777" w:rsidR="006A3667" w:rsidRDefault="006A3667">
            <w:pPr>
              <w:rPr>
                <w:rFonts w:ascii="宋体"/>
                <w:vanish/>
              </w:rPr>
            </w:pPr>
          </w:p>
        </w:tc>
        <w:tc>
          <w:tcPr>
            <w:tcW w:w="0" w:type="auto"/>
            <w:gridSpan w:val="3"/>
            <w:shd w:val="clear" w:color="auto" w:fill="auto"/>
            <w:vAlign w:val="bottom"/>
          </w:tcPr>
          <w:p w14:paraId="71D48E41" w14:textId="77777777" w:rsidR="006A3667" w:rsidRDefault="006A3667">
            <w:pPr>
              <w:rPr>
                <w:rFonts w:ascii="宋体"/>
                <w:vanish/>
              </w:rPr>
            </w:pPr>
          </w:p>
        </w:tc>
        <w:tc>
          <w:tcPr>
            <w:tcW w:w="0" w:type="auto"/>
            <w:gridSpan w:val="3"/>
            <w:shd w:val="clear" w:color="auto" w:fill="auto"/>
            <w:vAlign w:val="bottom"/>
          </w:tcPr>
          <w:p w14:paraId="71D48E42" w14:textId="77777777" w:rsidR="006A3667" w:rsidRDefault="006A3667">
            <w:pPr>
              <w:rPr>
                <w:rFonts w:ascii="宋体"/>
                <w:vanish/>
              </w:rPr>
            </w:pPr>
          </w:p>
        </w:tc>
        <w:tc>
          <w:tcPr>
            <w:tcW w:w="0" w:type="auto"/>
            <w:gridSpan w:val="3"/>
            <w:shd w:val="clear" w:color="auto" w:fill="auto"/>
            <w:vAlign w:val="bottom"/>
          </w:tcPr>
          <w:p w14:paraId="71D48E43" w14:textId="77777777" w:rsidR="006A3667" w:rsidRDefault="006A3667">
            <w:pPr>
              <w:rPr>
                <w:rFonts w:ascii="宋体"/>
                <w:vanish/>
              </w:rPr>
            </w:pPr>
          </w:p>
        </w:tc>
        <w:tc>
          <w:tcPr>
            <w:tcW w:w="0" w:type="auto"/>
            <w:gridSpan w:val="3"/>
            <w:shd w:val="clear" w:color="auto" w:fill="auto"/>
            <w:vAlign w:val="bottom"/>
          </w:tcPr>
          <w:p w14:paraId="71D48E44" w14:textId="77777777" w:rsidR="006A3667" w:rsidRDefault="006A3667">
            <w:pPr>
              <w:rPr>
                <w:rFonts w:ascii="宋体"/>
                <w:vanish/>
              </w:rPr>
            </w:pPr>
          </w:p>
        </w:tc>
        <w:tc>
          <w:tcPr>
            <w:tcW w:w="0" w:type="auto"/>
            <w:gridSpan w:val="3"/>
            <w:shd w:val="clear" w:color="auto" w:fill="auto"/>
            <w:vAlign w:val="bottom"/>
          </w:tcPr>
          <w:p w14:paraId="71D48E45" w14:textId="77777777" w:rsidR="006A3667" w:rsidRDefault="006A3667">
            <w:pPr>
              <w:rPr>
                <w:rFonts w:ascii="宋体"/>
                <w:vanish/>
              </w:rPr>
            </w:pPr>
          </w:p>
        </w:tc>
        <w:tc>
          <w:tcPr>
            <w:tcW w:w="0" w:type="auto"/>
            <w:gridSpan w:val="3"/>
            <w:shd w:val="clear" w:color="auto" w:fill="auto"/>
            <w:vAlign w:val="bottom"/>
          </w:tcPr>
          <w:p w14:paraId="71D48E46" w14:textId="77777777" w:rsidR="006A3667" w:rsidRDefault="006A3667">
            <w:pPr>
              <w:rPr>
                <w:rFonts w:ascii="宋体"/>
                <w:vanish/>
              </w:rPr>
            </w:pPr>
          </w:p>
        </w:tc>
        <w:tc>
          <w:tcPr>
            <w:tcW w:w="0" w:type="auto"/>
            <w:gridSpan w:val="3"/>
            <w:shd w:val="clear" w:color="auto" w:fill="auto"/>
            <w:vAlign w:val="bottom"/>
          </w:tcPr>
          <w:p w14:paraId="71D48E47" w14:textId="77777777" w:rsidR="006A3667" w:rsidRDefault="006A3667">
            <w:pPr>
              <w:rPr>
                <w:rFonts w:ascii="宋体"/>
                <w:vanish/>
              </w:rPr>
            </w:pPr>
          </w:p>
        </w:tc>
        <w:tc>
          <w:tcPr>
            <w:tcW w:w="0" w:type="auto"/>
            <w:gridSpan w:val="3"/>
            <w:shd w:val="clear" w:color="auto" w:fill="auto"/>
            <w:vAlign w:val="bottom"/>
          </w:tcPr>
          <w:p w14:paraId="71D48E48" w14:textId="77777777" w:rsidR="006A3667" w:rsidRDefault="006A3667">
            <w:pPr>
              <w:rPr>
                <w:rFonts w:ascii="宋体"/>
                <w:vanish/>
              </w:rPr>
            </w:pPr>
          </w:p>
        </w:tc>
        <w:tc>
          <w:tcPr>
            <w:tcW w:w="0" w:type="auto"/>
            <w:gridSpan w:val="3"/>
            <w:shd w:val="clear" w:color="auto" w:fill="auto"/>
            <w:vAlign w:val="bottom"/>
          </w:tcPr>
          <w:p w14:paraId="71D48E49" w14:textId="77777777" w:rsidR="006A3667" w:rsidRDefault="006A3667">
            <w:pPr>
              <w:rPr>
                <w:rFonts w:ascii="宋体"/>
                <w:vanish/>
              </w:rPr>
            </w:pPr>
          </w:p>
        </w:tc>
        <w:tc>
          <w:tcPr>
            <w:tcW w:w="0" w:type="auto"/>
            <w:shd w:val="clear" w:color="auto" w:fill="auto"/>
            <w:vAlign w:val="bottom"/>
          </w:tcPr>
          <w:p w14:paraId="71D48E4A" w14:textId="77777777" w:rsidR="006A3667" w:rsidRDefault="006A3667">
            <w:pPr>
              <w:rPr>
                <w:rFonts w:ascii="宋体"/>
              </w:rPr>
            </w:pPr>
          </w:p>
        </w:tc>
        <w:tc>
          <w:tcPr>
            <w:tcW w:w="0" w:type="auto"/>
            <w:shd w:val="clear" w:color="auto" w:fill="auto"/>
            <w:vAlign w:val="bottom"/>
          </w:tcPr>
          <w:p w14:paraId="71D48E4B" w14:textId="77777777" w:rsidR="006A3667" w:rsidRDefault="006A3667">
            <w:pPr>
              <w:rPr>
                <w:rFonts w:ascii="宋体"/>
              </w:rPr>
            </w:pPr>
          </w:p>
        </w:tc>
        <w:tc>
          <w:tcPr>
            <w:tcW w:w="0" w:type="auto"/>
            <w:shd w:val="clear" w:color="auto" w:fill="auto"/>
            <w:vAlign w:val="bottom"/>
          </w:tcPr>
          <w:p w14:paraId="71D48E4C" w14:textId="77777777" w:rsidR="006A3667" w:rsidRDefault="006A3667">
            <w:pPr>
              <w:rPr>
                <w:rFonts w:ascii="宋体"/>
              </w:rPr>
            </w:pPr>
          </w:p>
        </w:tc>
        <w:tc>
          <w:tcPr>
            <w:tcW w:w="0" w:type="auto"/>
            <w:shd w:val="clear" w:color="auto" w:fill="auto"/>
            <w:vAlign w:val="bottom"/>
          </w:tcPr>
          <w:p w14:paraId="71D48E4D" w14:textId="77777777" w:rsidR="006A3667" w:rsidRDefault="006A3667">
            <w:pPr>
              <w:rPr>
                <w:rFonts w:ascii="宋体"/>
              </w:rPr>
            </w:pPr>
          </w:p>
        </w:tc>
        <w:tc>
          <w:tcPr>
            <w:tcW w:w="0" w:type="auto"/>
            <w:shd w:val="clear" w:color="auto" w:fill="auto"/>
            <w:vAlign w:val="bottom"/>
          </w:tcPr>
          <w:p w14:paraId="71D48E4E" w14:textId="77777777" w:rsidR="006A3667" w:rsidRDefault="006A3667">
            <w:pPr>
              <w:rPr>
                <w:rFonts w:ascii="宋体"/>
              </w:rPr>
            </w:pPr>
          </w:p>
        </w:tc>
        <w:tc>
          <w:tcPr>
            <w:tcW w:w="0" w:type="auto"/>
            <w:shd w:val="clear" w:color="auto" w:fill="auto"/>
            <w:vAlign w:val="bottom"/>
          </w:tcPr>
          <w:p w14:paraId="71D48E4F" w14:textId="77777777" w:rsidR="006A3667" w:rsidRDefault="006A3667">
            <w:pPr>
              <w:rPr>
                <w:rFonts w:ascii="宋体"/>
              </w:rPr>
            </w:pPr>
          </w:p>
        </w:tc>
      </w:tr>
      <w:tr w:rsidR="006A3667" w14:paraId="71D48E69" w14:textId="77777777">
        <w:tc>
          <w:tcPr>
            <w:tcW w:w="0" w:type="auto"/>
            <w:gridSpan w:val="9"/>
            <w:shd w:val="clear" w:color="auto" w:fill="CCEEFF"/>
            <w:tcMar>
              <w:top w:w="40" w:type="dxa"/>
              <w:left w:w="245" w:type="dxa"/>
              <w:bottom w:w="40" w:type="dxa"/>
              <w:right w:w="20" w:type="dxa"/>
            </w:tcMar>
            <w:vAlign w:val="bottom"/>
          </w:tcPr>
          <w:p w14:paraId="71D48E51" w14:textId="77777777" w:rsidR="006A3667" w:rsidRDefault="00045F32">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71D48E52"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E5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5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55" w14:textId="77777777" w:rsidR="006A3667" w:rsidRDefault="00045F32">
            <w:pPr>
              <w:jc w:val="right"/>
              <w:textAlignment w:val="bottom"/>
            </w:pPr>
            <w:r>
              <w:rPr>
                <w:rFonts w:ascii="Arial" w:eastAsia="宋体" w:hAnsi="Arial" w:cs="Arial"/>
                <w:b/>
                <w:bCs/>
                <w:color w:val="000000"/>
                <w:sz w:val="12"/>
                <w:szCs w:val="12"/>
              </w:rPr>
              <w:t>112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E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5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58"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E5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5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5B" w14:textId="77777777" w:rsidR="006A3667" w:rsidRDefault="00045F32">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71D48E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5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5E" w14:textId="77777777" w:rsidR="006A3667" w:rsidRDefault="00045F32">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E5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6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61" w14:textId="77777777" w:rsidR="006A3667" w:rsidRDefault="00045F32">
            <w:pPr>
              <w:jc w:val="right"/>
              <w:textAlignment w:val="bottom"/>
            </w:pPr>
            <w:r>
              <w:rPr>
                <w:rFonts w:ascii="Arial" w:eastAsia="宋体" w:hAnsi="Arial" w:cs="Arial"/>
                <w:b/>
                <w:bCs/>
                <w:color w:val="000000"/>
                <w:sz w:val="12"/>
                <w:szCs w:val="12"/>
              </w:rPr>
              <w:t>112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E6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6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64" w14:textId="77777777" w:rsidR="006A3667" w:rsidRDefault="00045F32">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E6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6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67" w14:textId="77777777" w:rsidR="006A3667" w:rsidRDefault="00045F32">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71D48E68" w14:textId="77777777" w:rsidR="006A3667" w:rsidRDefault="006A3667">
            <w:pPr>
              <w:jc w:val="right"/>
              <w:rPr>
                <w:rFonts w:ascii="宋体"/>
              </w:rPr>
            </w:pPr>
          </w:p>
        </w:tc>
      </w:tr>
      <w:tr w:rsidR="006A3667" w14:paraId="71D48E80" w14:textId="77777777">
        <w:trPr>
          <w:hidden/>
        </w:trPr>
        <w:tc>
          <w:tcPr>
            <w:tcW w:w="0" w:type="auto"/>
            <w:gridSpan w:val="3"/>
            <w:shd w:val="clear" w:color="auto" w:fill="auto"/>
            <w:vAlign w:val="bottom"/>
          </w:tcPr>
          <w:p w14:paraId="71D48E6A" w14:textId="77777777" w:rsidR="006A3667" w:rsidRDefault="006A3667">
            <w:pPr>
              <w:rPr>
                <w:rFonts w:ascii="宋体"/>
                <w:vanish/>
              </w:rPr>
            </w:pPr>
          </w:p>
        </w:tc>
        <w:tc>
          <w:tcPr>
            <w:tcW w:w="0" w:type="auto"/>
            <w:gridSpan w:val="3"/>
            <w:shd w:val="clear" w:color="auto" w:fill="auto"/>
            <w:vAlign w:val="bottom"/>
          </w:tcPr>
          <w:p w14:paraId="71D48E6B" w14:textId="77777777" w:rsidR="006A3667" w:rsidRDefault="006A3667">
            <w:pPr>
              <w:rPr>
                <w:rFonts w:ascii="宋体"/>
                <w:vanish/>
              </w:rPr>
            </w:pPr>
          </w:p>
        </w:tc>
        <w:tc>
          <w:tcPr>
            <w:tcW w:w="0" w:type="auto"/>
            <w:gridSpan w:val="3"/>
            <w:shd w:val="clear" w:color="auto" w:fill="auto"/>
            <w:vAlign w:val="bottom"/>
          </w:tcPr>
          <w:p w14:paraId="71D48E6C" w14:textId="77777777" w:rsidR="006A3667" w:rsidRDefault="006A3667">
            <w:pPr>
              <w:rPr>
                <w:rFonts w:ascii="宋体"/>
                <w:vanish/>
              </w:rPr>
            </w:pPr>
          </w:p>
        </w:tc>
        <w:tc>
          <w:tcPr>
            <w:tcW w:w="0" w:type="auto"/>
            <w:gridSpan w:val="3"/>
            <w:shd w:val="clear" w:color="auto" w:fill="auto"/>
            <w:vAlign w:val="bottom"/>
          </w:tcPr>
          <w:p w14:paraId="71D48E6D" w14:textId="77777777" w:rsidR="006A3667" w:rsidRDefault="006A3667">
            <w:pPr>
              <w:rPr>
                <w:rFonts w:ascii="宋体"/>
                <w:vanish/>
              </w:rPr>
            </w:pPr>
          </w:p>
        </w:tc>
        <w:tc>
          <w:tcPr>
            <w:tcW w:w="0" w:type="auto"/>
            <w:gridSpan w:val="3"/>
            <w:shd w:val="clear" w:color="auto" w:fill="auto"/>
            <w:vAlign w:val="bottom"/>
          </w:tcPr>
          <w:p w14:paraId="71D48E6E" w14:textId="77777777" w:rsidR="006A3667" w:rsidRDefault="006A3667">
            <w:pPr>
              <w:rPr>
                <w:rFonts w:ascii="宋体"/>
                <w:vanish/>
              </w:rPr>
            </w:pPr>
          </w:p>
        </w:tc>
        <w:tc>
          <w:tcPr>
            <w:tcW w:w="0" w:type="auto"/>
            <w:gridSpan w:val="3"/>
            <w:shd w:val="clear" w:color="auto" w:fill="auto"/>
            <w:vAlign w:val="bottom"/>
          </w:tcPr>
          <w:p w14:paraId="71D48E6F" w14:textId="77777777" w:rsidR="006A3667" w:rsidRDefault="006A3667">
            <w:pPr>
              <w:rPr>
                <w:rFonts w:ascii="宋体"/>
                <w:vanish/>
              </w:rPr>
            </w:pPr>
          </w:p>
        </w:tc>
        <w:tc>
          <w:tcPr>
            <w:tcW w:w="0" w:type="auto"/>
            <w:gridSpan w:val="3"/>
            <w:shd w:val="clear" w:color="auto" w:fill="auto"/>
            <w:vAlign w:val="bottom"/>
          </w:tcPr>
          <w:p w14:paraId="71D48E70" w14:textId="77777777" w:rsidR="006A3667" w:rsidRDefault="006A3667">
            <w:pPr>
              <w:rPr>
                <w:rFonts w:ascii="宋体"/>
                <w:vanish/>
              </w:rPr>
            </w:pPr>
          </w:p>
        </w:tc>
        <w:tc>
          <w:tcPr>
            <w:tcW w:w="0" w:type="auto"/>
            <w:gridSpan w:val="3"/>
            <w:shd w:val="clear" w:color="auto" w:fill="auto"/>
            <w:vAlign w:val="bottom"/>
          </w:tcPr>
          <w:p w14:paraId="71D48E71" w14:textId="77777777" w:rsidR="006A3667" w:rsidRDefault="006A3667">
            <w:pPr>
              <w:rPr>
                <w:rFonts w:ascii="宋体"/>
                <w:vanish/>
              </w:rPr>
            </w:pPr>
          </w:p>
        </w:tc>
        <w:tc>
          <w:tcPr>
            <w:tcW w:w="0" w:type="auto"/>
            <w:gridSpan w:val="3"/>
            <w:shd w:val="clear" w:color="auto" w:fill="auto"/>
            <w:vAlign w:val="bottom"/>
          </w:tcPr>
          <w:p w14:paraId="71D48E72" w14:textId="77777777" w:rsidR="006A3667" w:rsidRDefault="006A3667">
            <w:pPr>
              <w:rPr>
                <w:rFonts w:ascii="宋体"/>
                <w:vanish/>
              </w:rPr>
            </w:pPr>
          </w:p>
        </w:tc>
        <w:tc>
          <w:tcPr>
            <w:tcW w:w="0" w:type="auto"/>
            <w:gridSpan w:val="3"/>
            <w:shd w:val="clear" w:color="auto" w:fill="auto"/>
            <w:vAlign w:val="bottom"/>
          </w:tcPr>
          <w:p w14:paraId="71D48E73" w14:textId="77777777" w:rsidR="006A3667" w:rsidRDefault="006A3667">
            <w:pPr>
              <w:rPr>
                <w:rFonts w:ascii="宋体"/>
                <w:vanish/>
              </w:rPr>
            </w:pPr>
          </w:p>
        </w:tc>
        <w:tc>
          <w:tcPr>
            <w:tcW w:w="0" w:type="auto"/>
            <w:gridSpan w:val="3"/>
            <w:shd w:val="clear" w:color="auto" w:fill="auto"/>
            <w:vAlign w:val="bottom"/>
          </w:tcPr>
          <w:p w14:paraId="71D48E74" w14:textId="77777777" w:rsidR="006A3667" w:rsidRDefault="006A3667">
            <w:pPr>
              <w:rPr>
                <w:rFonts w:ascii="宋体"/>
                <w:vanish/>
              </w:rPr>
            </w:pPr>
          </w:p>
        </w:tc>
        <w:tc>
          <w:tcPr>
            <w:tcW w:w="0" w:type="auto"/>
            <w:gridSpan w:val="3"/>
            <w:shd w:val="clear" w:color="auto" w:fill="auto"/>
            <w:vAlign w:val="bottom"/>
          </w:tcPr>
          <w:p w14:paraId="71D48E75" w14:textId="77777777" w:rsidR="006A3667" w:rsidRDefault="006A3667">
            <w:pPr>
              <w:rPr>
                <w:rFonts w:ascii="宋体"/>
                <w:vanish/>
              </w:rPr>
            </w:pPr>
          </w:p>
        </w:tc>
        <w:tc>
          <w:tcPr>
            <w:tcW w:w="0" w:type="auto"/>
            <w:gridSpan w:val="3"/>
            <w:shd w:val="clear" w:color="auto" w:fill="auto"/>
            <w:vAlign w:val="bottom"/>
          </w:tcPr>
          <w:p w14:paraId="71D48E76" w14:textId="77777777" w:rsidR="006A3667" w:rsidRDefault="006A3667">
            <w:pPr>
              <w:rPr>
                <w:rFonts w:ascii="宋体"/>
                <w:vanish/>
              </w:rPr>
            </w:pPr>
          </w:p>
        </w:tc>
        <w:tc>
          <w:tcPr>
            <w:tcW w:w="0" w:type="auto"/>
            <w:gridSpan w:val="3"/>
            <w:shd w:val="clear" w:color="auto" w:fill="auto"/>
            <w:vAlign w:val="bottom"/>
          </w:tcPr>
          <w:p w14:paraId="71D48E77" w14:textId="77777777" w:rsidR="006A3667" w:rsidRDefault="006A3667">
            <w:pPr>
              <w:rPr>
                <w:rFonts w:ascii="宋体"/>
                <w:vanish/>
              </w:rPr>
            </w:pPr>
          </w:p>
        </w:tc>
        <w:tc>
          <w:tcPr>
            <w:tcW w:w="0" w:type="auto"/>
            <w:gridSpan w:val="3"/>
            <w:shd w:val="clear" w:color="auto" w:fill="auto"/>
            <w:vAlign w:val="bottom"/>
          </w:tcPr>
          <w:p w14:paraId="71D48E78" w14:textId="77777777" w:rsidR="006A3667" w:rsidRDefault="006A3667">
            <w:pPr>
              <w:rPr>
                <w:rFonts w:ascii="宋体"/>
                <w:vanish/>
              </w:rPr>
            </w:pPr>
          </w:p>
        </w:tc>
        <w:tc>
          <w:tcPr>
            <w:tcW w:w="0" w:type="auto"/>
            <w:gridSpan w:val="3"/>
            <w:shd w:val="clear" w:color="auto" w:fill="auto"/>
            <w:vAlign w:val="bottom"/>
          </w:tcPr>
          <w:p w14:paraId="71D48E79" w14:textId="77777777" w:rsidR="006A3667" w:rsidRDefault="006A3667">
            <w:pPr>
              <w:rPr>
                <w:rFonts w:ascii="宋体"/>
                <w:vanish/>
              </w:rPr>
            </w:pPr>
          </w:p>
        </w:tc>
        <w:tc>
          <w:tcPr>
            <w:tcW w:w="0" w:type="auto"/>
            <w:shd w:val="clear" w:color="auto" w:fill="auto"/>
            <w:vAlign w:val="bottom"/>
          </w:tcPr>
          <w:p w14:paraId="71D48E7A" w14:textId="77777777" w:rsidR="006A3667" w:rsidRDefault="006A3667">
            <w:pPr>
              <w:rPr>
                <w:rFonts w:ascii="宋体"/>
              </w:rPr>
            </w:pPr>
          </w:p>
        </w:tc>
        <w:tc>
          <w:tcPr>
            <w:tcW w:w="0" w:type="auto"/>
            <w:shd w:val="clear" w:color="auto" w:fill="auto"/>
            <w:vAlign w:val="bottom"/>
          </w:tcPr>
          <w:p w14:paraId="71D48E7B" w14:textId="77777777" w:rsidR="006A3667" w:rsidRDefault="006A3667">
            <w:pPr>
              <w:rPr>
                <w:rFonts w:ascii="宋体"/>
              </w:rPr>
            </w:pPr>
          </w:p>
        </w:tc>
        <w:tc>
          <w:tcPr>
            <w:tcW w:w="0" w:type="auto"/>
            <w:shd w:val="clear" w:color="auto" w:fill="auto"/>
            <w:vAlign w:val="bottom"/>
          </w:tcPr>
          <w:p w14:paraId="71D48E7C" w14:textId="77777777" w:rsidR="006A3667" w:rsidRDefault="006A3667">
            <w:pPr>
              <w:rPr>
                <w:rFonts w:ascii="宋体"/>
              </w:rPr>
            </w:pPr>
          </w:p>
        </w:tc>
        <w:tc>
          <w:tcPr>
            <w:tcW w:w="0" w:type="auto"/>
            <w:shd w:val="clear" w:color="auto" w:fill="auto"/>
            <w:vAlign w:val="bottom"/>
          </w:tcPr>
          <w:p w14:paraId="71D48E7D" w14:textId="77777777" w:rsidR="006A3667" w:rsidRDefault="006A3667">
            <w:pPr>
              <w:rPr>
                <w:rFonts w:ascii="宋体"/>
              </w:rPr>
            </w:pPr>
          </w:p>
        </w:tc>
        <w:tc>
          <w:tcPr>
            <w:tcW w:w="0" w:type="auto"/>
            <w:shd w:val="clear" w:color="auto" w:fill="auto"/>
            <w:vAlign w:val="bottom"/>
          </w:tcPr>
          <w:p w14:paraId="71D48E7E" w14:textId="77777777" w:rsidR="006A3667" w:rsidRDefault="006A3667">
            <w:pPr>
              <w:rPr>
                <w:rFonts w:ascii="宋体"/>
              </w:rPr>
            </w:pPr>
          </w:p>
        </w:tc>
        <w:tc>
          <w:tcPr>
            <w:tcW w:w="0" w:type="auto"/>
            <w:shd w:val="clear" w:color="auto" w:fill="auto"/>
            <w:vAlign w:val="bottom"/>
          </w:tcPr>
          <w:p w14:paraId="71D48E7F" w14:textId="77777777" w:rsidR="006A3667" w:rsidRDefault="006A3667">
            <w:pPr>
              <w:rPr>
                <w:rFonts w:ascii="宋体"/>
              </w:rPr>
            </w:pPr>
          </w:p>
        </w:tc>
      </w:tr>
      <w:tr w:rsidR="00045F32" w14:paraId="71D48EA1" w14:textId="77777777">
        <w:tc>
          <w:tcPr>
            <w:tcW w:w="0" w:type="auto"/>
            <w:gridSpan w:val="9"/>
            <w:shd w:val="clear" w:color="auto" w:fill="FFFFFF"/>
            <w:tcMar>
              <w:top w:w="40" w:type="dxa"/>
              <w:left w:w="20" w:type="dxa"/>
              <w:bottom w:w="40" w:type="dxa"/>
              <w:right w:w="20" w:type="dxa"/>
            </w:tcMar>
            <w:vAlign w:val="bottom"/>
          </w:tcPr>
          <w:p w14:paraId="71D48E81" w14:textId="77777777" w:rsidR="006A3667" w:rsidRDefault="00045F32">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8E82"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E83" w14:textId="77777777" w:rsidR="006A3667" w:rsidRDefault="00045F32">
            <w:pPr>
              <w:jc w:val="right"/>
              <w:textAlignment w:val="bottom"/>
            </w:pPr>
            <w:r>
              <w:rPr>
                <w:rFonts w:ascii="Arial" w:eastAsia="宋体" w:hAnsi="Arial" w:cs="Arial"/>
                <w:b/>
                <w:bCs/>
                <w:color w:val="000000"/>
                <w:sz w:val="12"/>
                <w:szCs w:val="12"/>
              </w:rPr>
              <w:t>18,482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85"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E86"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E87" w14:textId="77777777" w:rsidR="006A3667" w:rsidRDefault="00045F32">
            <w:pPr>
              <w:jc w:val="right"/>
              <w:textAlignment w:val="bottom"/>
            </w:pPr>
            <w:r>
              <w:rPr>
                <w:rFonts w:ascii="Arial" w:eastAsia="宋体" w:hAnsi="Arial" w:cs="Arial"/>
                <w:b/>
                <w:bCs/>
                <w:color w:val="000000"/>
                <w:sz w:val="12"/>
                <w:szCs w:val="12"/>
              </w:rPr>
              <w:t>18,594</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8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89"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E8A"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E8B" w14:textId="77777777" w:rsidR="006A3667" w:rsidRDefault="00045F32">
            <w:pPr>
              <w:jc w:val="right"/>
              <w:textAlignment w:val="bottom"/>
            </w:pPr>
            <w:r>
              <w:rPr>
                <w:rFonts w:ascii="Arial" w:eastAsia="宋体" w:hAnsi="Arial" w:cs="Arial"/>
                <w:color w:val="000000"/>
                <w:sz w:val="12"/>
                <w:szCs w:val="12"/>
              </w:rPr>
              <w:t>19,511 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8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8D"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E8E"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E8F" w14:textId="77777777" w:rsidR="006A3667" w:rsidRDefault="00045F32">
            <w:pPr>
              <w:jc w:val="right"/>
              <w:textAlignment w:val="bottom"/>
            </w:pPr>
            <w:r>
              <w:rPr>
                <w:rFonts w:ascii="Arial" w:eastAsia="宋体" w:hAnsi="Arial" w:cs="Arial"/>
                <w:color w:val="000000"/>
                <w:sz w:val="12"/>
                <w:szCs w:val="12"/>
              </w:rPr>
              <w:t>19,619 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9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91"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E92"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E93" w14:textId="77777777" w:rsidR="006A3667" w:rsidRDefault="00045F32">
            <w:pPr>
              <w:jc w:val="right"/>
              <w:textAlignment w:val="bottom"/>
            </w:pPr>
            <w:r>
              <w:rPr>
                <w:rFonts w:ascii="Arial" w:eastAsia="宋体" w:hAnsi="Arial" w:cs="Arial"/>
                <w:b/>
                <w:bCs/>
                <w:color w:val="000000"/>
                <w:sz w:val="12"/>
                <w:szCs w:val="12"/>
              </w:rPr>
              <w:t>19,231</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9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95"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E96"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E97" w14:textId="77777777" w:rsidR="006A3667" w:rsidRDefault="00045F32">
            <w:pPr>
              <w:jc w:val="right"/>
              <w:textAlignment w:val="bottom"/>
            </w:pPr>
            <w:r>
              <w:rPr>
                <w:rFonts w:ascii="Arial" w:eastAsia="宋体" w:hAnsi="Arial" w:cs="Arial"/>
                <w:b/>
                <w:bCs/>
                <w:color w:val="000000"/>
                <w:sz w:val="12"/>
                <w:szCs w:val="12"/>
              </w:rPr>
              <w:t>19,343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99"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E9A"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E9B" w14:textId="77777777" w:rsidR="006A3667" w:rsidRDefault="00045F32">
            <w:pPr>
              <w:jc w:val="right"/>
              <w:textAlignment w:val="bottom"/>
            </w:pPr>
            <w:r>
              <w:rPr>
                <w:rFonts w:ascii="Arial" w:eastAsia="宋体" w:hAnsi="Arial" w:cs="Arial"/>
                <w:color w:val="000000"/>
                <w:sz w:val="12"/>
                <w:szCs w:val="12"/>
              </w:rPr>
              <w:t>19,597 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9D"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8E9E"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8E9F" w14:textId="77777777" w:rsidR="006A3667" w:rsidRDefault="00045F32">
            <w:pPr>
              <w:jc w:val="right"/>
              <w:textAlignment w:val="bottom"/>
            </w:pPr>
            <w:r>
              <w:rPr>
                <w:rFonts w:ascii="Arial" w:eastAsia="宋体" w:hAnsi="Arial" w:cs="Arial"/>
                <w:color w:val="000000"/>
                <w:sz w:val="12"/>
                <w:szCs w:val="12"/>
              </w:rPr>
              <w:t>19,705 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8EA0" w14:textId="77777777" w:rsidR="006A3667" w:rsidRDefault="006A3667">
            <w:pPr>
              <w:jc w:val="right"/>
              <w:rPr>
                <w:rFonts w:ascii="宋体"/>
              </w:rPr>
            </w:pPr>
          </w:p>
        </w:tc>
      </w:tr>
      <w:tr w:rsidR="006A3667" w14:paraId="71D48EB2" w14:textId="77777777">
        <w:tc>
          <w:tcPr>
            <w:tcW w:w="0" w:type="auto"/>
            <w:gridSpan w:val="9"/>
            <w:shd w:val="clear" w:color="auto" w:fill="CCEEFF"/>
            <w:tcMar>
              <w:top w:w="40" w:type="dxa"/>
              <w:left w:w="20" w:type="dxa"/>
              <w:bottom w:w="40" w:type="dxa"/>
              <w:right w:w="20" w:type="dxa"/>
            </w:tcMar>
            <w:vAlign w:val="bottom"/>
          </w:tcPr>
          <w:p w14:paraId="71D48EA2" w14:textId="77777777" w:rsidR="006A3667" w:rsidRDefault="00045F32">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8EA3"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EA4"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8EA5"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EA6"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8EA7"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EA8"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8EA9"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EAA"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8EAB"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EAC"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8EA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EAE"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8EA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8EB0" w14:textId="77777777" w:rsidR="006A3667" w:rsidRDefault="006A3667">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1D48EB1" w14:textId="77777777" w:rsidR="006A3667" w:rsidRDefault="006A3667">
            <w:pPr>
              <w:rPr>
                <w:rFonts w:ascii="宋体"/>
              </w:rPr>
            </w:pPr>
          </w:p>
        </w:tc>
      </w:tr>
      <w:tr w:rsidR="00045F32" w14:paraId="71D48ED3" w14:textId="77777777">
        <w:tc>
          <w:tcPr>
            <w:tcW w:w="0" w:type="auto"/>
            <w:gridSpan w:val="9"/>
            <w:shd w:val="clear" w:color="auto" w:fill="FFFFFF"/>
            <w:tcMar>
              <w:top w:w="40" w:type="dxa"/>
              <w:left w:w="20" w:type="dxa"/>
              <w:bottom w:w="40" w:type="dxa"/>
              <w:right w:w="20" w:type="dxa"/>
            </w:tcMar>
            <w:vAlign w:val="bottom"/>
          </w:tcPr>
          <w:p w14:paraId="71D48EB3" w14:textId="77777777" w:rsidR="006A3667" w:rsidRDefault="00045F32">
            <w:pP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71D48EB4"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48EB5" w14:textId="77777777" w:rsidR="006A3667" w:rsidRDefault="00045F32">
            <w:pPr>
              <w:jc w:val="right"/>
              <w:textAlignment w:val="bottom"/>
            </w:pPr>
            <w:r>
              <w:rPr>
                <w:rFonts w:ascii="Arial" w:eastAsia="宋体" w:hAnsi="Arial" w:cs="Arial"/>
                <w:b/>
                <w:bCs/>
                <w:color w:val="000000"/>
                <w:sz w:val="12"/>
                <w:szCs w:val="12"/>
              </w:rPr>
              <w:t>63,621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EB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B7"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8EB8"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48EB9" w14:textId="77777777" w:rsidR="006A3667" w:rsidRDefault="00045F32">
            <w:pPr>
              <w:jc w:val="right"/>
              <w:textAlignment w:val="bottom"/>
            </w:pPr>
            <w:r>
              <w:rPr>
                <w:rFonts w:ascii="Arial" w:eastAsia="宋体" w:hAnsi="Arial" w:cs="Arial"/>
                <w:b/>
                <w:bCs/>
                <w:color w:val="000000"/>
                <w:sz w:val="12"/>
                <w:szCs w:val="12"/>
              </w:rPr>
              <w:t>113,357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EB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BB"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8EBC"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48EBD" w14:textId="77777777" w:rsidR="006A3667" w:rsidRDefault="00045F32">
            <w:pPr>
              <w:jc w:val="right"/>
              <w:textAlignment w:val="bottom"/>
            </w:pPr>
            <w:r>
              <w:rPr>
                <w:rFonts w:ascii="Arial" w:eastAsia="宋体" w:hAnsi="Arial" w:cs="Arial"/>
                <w:color w:val="000000"/>
                <w:sz w:val="12"/>
                <w:szCs w:val="12"/>
              </w:rPr>
              <w:t>63,735 </w:t>
            </w:r>
          </w:p>
        </w:tc>
        <w:tc>
          <w:tcPr>
            <w:tcW w:w="0" w:type="auto"/>
            <w:shd w:val="clear" w:color="auto" w:fill="FFFFFF"/>
            <w:tcMar>
              <w:top w:w="40" w:type="dxa"/>
              <w:left w:w="0" w:type="dxa"/>
              <w:bottom w:w="40" w:type="dxa"/>
              <w:right w:w="20" w:type="dxa"/>
            </w:tcMar>
            <w:vAlign w:val="bottom"/>
          </w:tcPr>
          <w:p w14:paraId="71D48E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BF"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8EC0"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48EC1" w14:textId="77777777" w:rsidR="006A3667" w:rsidRDefault="00045F32">
            <w:pPr>
              <w:jc w:val="right"/>
              <w:textAlignment w:val="bottom"/>
            </w:pPr>
            <w:r>
              <w:rPr>
                <w:rFonts w:ascii="Arial" w:eastAsia="宋体" w:hAnsi="Arial" w:cs="Arial"/>
                <w:color w:val="000000"/>
                <w:sz w:val="12"/>
                <w:szCs w:val="12"/>
              </w:rPr>
              <w:t>109,554 </w:t>
            </w:r>
          </w:p>
        </w:tc>
        <w:tc>
          <w:tcPr>
            <w:tcW w:w="0" w:type="auto"/>
            <w:shd w:val="clear" w:color="auto" w:fill="FFFFFF"/>
            <w:tcMar>
              <w:top w:w="40" w:type="dxa"/>
              <w:left w:w="0" w:type="dxa"/>
              <w:bottom w:w="40" w:type="dxa"/>
              <w:right w:w="20" w:type="dxa"/>
            </w:tcMar>
            <w:vAlign w:val="bottom"/>
          </w:tcPr>
          <w:p w14:paraId="71D48EC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C3"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8EC4"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48EC5" w14:textId="77777777" w:rsidR="006A3667" w:rsidRDefault="00045F32">
            <w:pPr>
              <w:jc w:val="right"/>
              <w:textAlignment w:val="bottom"/>
            </w:pPr>
            <w:r>
              <w:rPr>
                <w:rFonts w:ascii="Arial" w:eastAsia="宋体" w:hAnsi="Arial" w:cs="Arial"/>
                <w:b/>
                <w:bCs/>
                <w:color w:val="000000"/>
                <w:sz w:val="12"/>
                <w:szCs w:val="12"/>
              </w:rPr>
              <w:t>57,285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EC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C7"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8EC8"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71D48EC9" w14:textId="77777777" w:rsidR="006A3667" w:rsidRDefault="00045F32">
            <w:pPr>
              <w:jc w:val="right"/>
              <w:textAlignment w:val="bottom"/>
            </w:pPr>
            <w:r>
              <w:rPr>
                <w:rFonts w:ascii="Arial" w:eastAsia="宋体" w:hAnsi="Arial" w:cs="Arial"/>
                <w:b/>
                <w:bCs/>
                <w:color w:val="000000"/>
                <w:sz w:val="12"/>
                <w:szCs w:val="12"/>
              </w:rPr>
              <w:t>111,617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E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CB"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8ECC"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48ECD" w14:textId="77777777" w:rsidR="006A3667" w:rsidRDefault="00045F32">
            <w:pPr>
              <w:jc w:val="right"/>
              <w:textAlignment w:val="bottom"/>
            </w:pPr>
            <w:r>
              <w:rPr>
                <w:rFonts w:ascii="Arial" w:eastAsia="宋体" w:hAnsi="Arial" w:cs="Arial"/>
                <w:color w:val="000000"/>
                <w:sz w:val="12"/>
                <w:szCs w:val="12"/>
              </w:rPr>
              <w:t>57,405 </w:t>
            </w:r>
          </w:p>
        </w:tc>
        <w:tc>
          <w:tcPr>
            <w:tcW w:w="0" w:type="auto"/>
            <w:shd w:val="clear" w:color="auto" w:fill="FFFFFF"/>
            <w:tcMar>
              <w:top w:w="40" w:type="dxa"/>
              <w:left w:w="0" w:type="dxa"/>
              <w:bottom w:w="40" w:type="dxa"/>
              <w:right w:w="20" w:type="dxa"/>
            </w:tcMar>
            <w:vAlign w:val="bottom"/>
          </w:tcPr>
          <w:p w14:paraId="71D48E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CF"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8ED0" w14:textId="77777777" w:rsidR="006A3667" w:rsidRDefault="00045F32">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71D48ED1" w14:textId="77777777" w:rsidR="006A3667" w:rsidRDefault="00045F32">
            <w:pPr>
              <w:jc w:val="right"/>
              <w:textAlignment w:val="bottom"/>
            </w:pPr>
            <w:r>
              <w:rPr>
                <w:rFonts w:ascii="Arial" w:eastAsia="宋体" w:hAnsi="Arial" w:cs="Arial"/>
                <w:color w:val="000000"/>
                <w:sz w:val="12"/>
                <w:szCs w:val="12"/>
              </w:rPr>
              <w:t>106,405 </w:t>
            </w:r>
          </w:p>
        </w:tc>
        <w:tc>
          <w:tcPr>
            <w:tcW w:w="0" w:type="auto"/>
            <w:shd w:val="clear" w:color="auto" w:fill="FFFFFF"/>
            <w:tcMar>
              <w:top w:w="40" w:type="dxa"/>
              <w:left w:w="0" w:type="dxa"/>
              <w:bottom w:w="40" w:type="dxa"/>
              <w:right w:w="20" w:type="dxa"/>
            </w:tcMar>
            <w:vAlign w:val="bottom"/>
          </w:tcPr>
          <w:p w14:paraId="71D48ED2" w14:textId="77777777" w:rsidR="006A3667" w:rsidRDefault="006A3667">
            <w:pPr>
              <w:jc w:val="right"/>
              <w:rPr>
                <w:rFonts w:ascii="宋体"/>
              </w:rPr>
            </w:pPr>
          </w:p>
        </w:tc>
      </w:tr>
      <w:tr w:rsidR="006A3667" w14:paraId="71D48EE8" w14:textId="77777777">
        <w:tc>
          <w:tcPr>
            <w:tcW w:w="0" w:type="auto"/>
            <w:gridSpan w:val="9"/>
            <w:shd w:val="clear" w:color="auto" w:fill="CCEEFF"/>
            <w:tcMar>
              <w:top w:w="40" w:type="dxa"/>
              <w:left w:w="20" w:type="dxa"/>
              <w:bottom w:w="40" w:type="dxa"/>
              <w:right w:w="20" w:type="dxa"/>
            </w:tcMar>
            <w:vAlign w:val="bottom"/>
          </w:tcPr>
          <w:p w14:paraId="71D48ED4" w14:textId="77777777" w:rsidR="006A3667" w:rsidRDefault="00045F32">
            <w:pP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71D48ED5" w14:textId="77777777" w:rsidR="006A3667" w:rsidRDefault="00045F32">
            <w:pPr>
              <w:jc w:val="right"/>
              <w:textAlignment w:val="bottom"/>
            </w:pPr>
            <w:r>
              <w:rPr>
                <w:rFonts w:ascii="Arial" w:eastAsia="宋体" w:hAnsi="Arial" w:cs="Arial"/>
                <w:b/>
                <w:bCs/>
                <w:color w:val="000000"/>
                <w:sz w:val="12"/>
                <w:szCs w:val="12"/>
              </w:rPr>
              <w:t>42,825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ED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D7"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48ED8" w14:textId="77777777" w:rsidR="006A3667" w:rsidRDefault="00045F32">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1D48ED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DA" w14:textId="77777777" w:rsidR="006A3667" w:rsidRDefault="00045F32">
            <w:pPr>
              <w:jc w:val="right"/>
              <w:textAlignment w:val="bottom"/>
            </w:pPr>
            <w:r>
              <w:rPr>
                <w:rFonts w:ascii="Arial" w:eastAsia="宋体" w:hAnsi="Arial" w:cs="Arial"/>
                <w:color w:val="000000"/>
                <w:sz w:val="12"/>
                <w:szCs w:val="12"/>
              </w:rPr>
              <w:t>45,550 </w:t>
            </w:r>
          </w:p>
        </w:tc>
        <w:tc>
          <w:tcPr>
            <w:tcW w:w="0" w:type="auto"/>
            <w:shd w:val="clear" w:color="auto" w:fill="CCEEFF"/>
            <w:tcMar>
              <w:top w:w="40" w:type="dxa"/>
              <w:left w:w="0" w:type="dxa"/>
              <w:bottom w:w="40" w:type="dxa"/>
              <w:right w:w="20" w:type="dxa"/>
            </w:tcMar>
            <w:vAlign w:val="bottom"/>
          </w:tcPr>
          <w:p w14:paraId="71D48ED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DC"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48EDD" w14:textId="77777777" w:rsidR="006A3667" w:rsidRDefault="00045F32">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1D48ED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DF" w14:textId="77777777" w:rsidR="006A3667" w:rsidRDefault="00045F32">
            <w:pPr>
              <w:jc w:val="right"/>
              <w:textAlignment w:val="bottom"/>
            </w:pPr>
            <w:r>
              <w:rPr>
                <w:rFonts w:ascii="Arial" w:eastAsia="宋体" w:hAnsi="Arial" w:cs="Arial"/>
                <w:b/>
                <w:bCs/>
                <w:color w:val="000000"/>
                <w:sz w:val="12"/>
                <w:szCs w:val="12"/>
              </w:rPr>
              <w:t>42,438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E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E1"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48EE2" w14:textId="77777777" w:rsidR="006A3667" w:rsidRDefault="00045F32">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71D48EE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EE4" w14:textId="77777777" w:rsidR="006A3667" w:rsidRDefault="00045F32">
            <w:pPr>
              <w:jc w:val="right"/>
              <w:textAlignment w:val="bottom"/>
            </w:pPr>
            <w:r>
              <w:rPr>
                <w:rFonts w:ascii="Arial" w:eastAsia="宋体" w:hAnsi="Arial" w:cs="Arial"/>
                <w:color w:val="000000"/>
                <w:sz w:val="12"/>
                <w:szCs w:val="12"/>
              </w:rPr>
              <w:t>42,813 </w:t>
            </w:r>
          </w:p>
        </w:tc>
        <w:tc>
          <w:tcPr>
            <w:tcW w:w="0" w:type="auto"/>
            <w:shd w:val="clear" w:color="auto" w:fill="CCEEFF"/>
            <w:tcMar>
              <w:top w:w="40" w:type="dxa"/>
              <w:left w:w="0" w:type="dxa"/>
              <w:bottom w:w="40" w:type="dxa"/>
              <w:right w:w="20" w:type="dxa"/>
            </w:tcMar>
            <w:vAlign w:val="bottom"/>
          </w:tcPr>
          <w:p w14:paraId="71D48E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EE6" w14:textId="77777777" w:rsidR="006A3667" w:rsidRDefault="006A3667">
            <w:pPr>
              <w:rPr>
                <w:rFonts w:ascii="宋体"/>
              </w:rPr>
            </w:pPr>
          </w:p>
        </w:tc>
        <w:tc>
          <w:tcPr>
            <w:tcW w:w="0" w:type="auto"/>
            <w:gridSpan w:val="3"/>
            <w:shd w:val="clear" w:color="auto" w:fill="CCEEFF"/>
            <w:tcMar>
              <w:top w:w="40" w:type="dxa"/>
              <w:left w:w="20" w:type="dxa"/>
              <w:bottom w:w="40" w:type="dxa"/>
              <w:right w:w="140" w:type="dxa"/>
            </w:tcMar>
            <w:vAlign w:val="bottom"/>
          </w:tcPr>
          <w:p w14:paraId="71D48EE7" w14:textId="77777777" w:rsidR="006A3667" w:rsidRDefault="00045F32">
            <w:pPr>
              <w:jc w:val="right"/>
              <w:textAlignment w:val="bottom"/>
            </w:pPr>
            <w:r>
              <w:rPr>
                <w:rFonts w:ascii="Arial" w:eastAsia="宋体" w:hAnsi="Arial" w:cs="Arial"/>
                <w:color w:val="000000"/>
                <w:sz w:val="12"/>
                <w:szCs w:val="12"/>
              </w:rPr>
              <w:t>NA</w:t>
            </w:r>
          </w:p>
        </w:tc>
      </w:tr>
      <w:tr w:rsidR="006A3667" w14:paraId="71D48F01" w14:textId="77777777">
        <w:tc>
          <w:tcPr>
            <w:tcW w:w="0" w:type="auto"/>
            <w:gridSpan w:val="9"/>
            <w:shd w:val="clear" w:color="auto" w:fill="FFFFFF"/>
            <w:tcMar>
              <w:top w:w="40" w:type="dxa"/>
              <w:left w:w="155" w:type="dxa"/>
              <w:bottom w:w="40" w:type="dxa"/>
              <w:right w:w="20" w:type="dxa"/>
            </w:tcMar>
            <w:vAlign w:val="bottom"/>
          </w:tcPr>
          <w:p w14:paraId="71D48EE9" w14:textId="77777777" w:rsidR="006A3667" w:rsidRDefault="00045F32">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71D48EEA" w14:textId="77777777" w:rsidR="006A3667" w:rsidRDefault="00045F32">
            <w:pPr>
              <w:jc w:val="right"/>
              <w:textAlignment w:val="bottom"/>
            </w:pPr>
            <w:r>
              <w:rPr>
                <w:rFonts w:ascii="Arial" w:eastAsia="宋体" w:hAnsi="Arial" w:cs="Arial"/>
                <w:b/>
                <w:bCs/>
                <w:color w:val="000000"/>
                <w:sz w:val="12"/>
                <w:szCs w:val="12"/>
              </w:rPr>
              <w:t>1,325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EE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E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EED" w14:textId="77777777" w:rsidR="006A3667" w:rsidRDefault="00045F32">
            <w:pPr>
              <w:jc w:val="right"/>
              <w:textAlignment w:val="bottom"/>
            </w:pPr>
            <w:r>
              <w:rPr>
                <w:rFonts w:ascii="Arial" w:eastAsia="宋体" w:hAnsi="Arial" w:cs="Arial"/>
                <w:b/>
                <w:bCs/>
                <w:color w:val="000000"/>
                <w:sz w:val="12"/>
                <w:szCs w:val="12"/>
              </w:rPr>
              <w:t>1,325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EE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E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EF0" w14:textId="77777777" w:rsidR="006A3667" w:rsidRDefault="00045F32">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71D48EF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F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EF3" w14:textId="77777777" w:rsidR="006A3667" w:rsidRDefault="00045F32">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71D48E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F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EF6" w14:textId="77777777" w:rsidR="006A3667" w:rsidRDefault="00045F32">
            <w:pPr>
              <w:jc w:val="right"/>
              <w:textAlignment w:val="bottom"/>
            </w:pPr>
            <w:r>
              <w:rPr>
                <w:rFonts w:ascii="Arial" w:eastAsia="宋体" w:hAnsi="Arial" w:cs="Arial"/>
                <w:b/>
                <w:bCs/>
                <w:color w:val="000000"/>
                <w:sz w:val="12"/>
                <w:szCs w:val="12"/>
              </w:rPr>
              <w:t>1,325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E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F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EF9" w14:textId="77777777" w:rsidR="006A3667" w:rsidRDefault="00045F32">
            <w:pPr>
              <w:jc w:val="right"/>
              <w:textAlignment w:val="bottom"/>
            </w:pPr>
            <w:r>
              <w:rPr>
                <w:rFonts w:ascii="Arial" w:eastAsia="宋体" w:hAnsi="Arial" w:cs="Arial"/>
                <w:b/>
                <w:bCs/>
                <w:color w:val="000000"/>
                <w:sz w:val="12"/>
                <w:szCs w:val="12"/>
              </w:rPr>
              <w:t>1,325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EF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F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EFC" w14:textId="77777777" w:rsidR="006A3667" w:rsidRDefault="00045F32">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71D48EF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EF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EFF" w14:textId="77777777" w:rsidR="006A3667" w:rsidRDefault="00045F32">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71D48F00" w14:textId="77777777" w:rsidR="006A3667" w:rsidRDefault="006A3667">
            <w:pPr>
              <w:jc w:val="right"/>
              <w:rPr>
                <w:rFonts w:ascii="宋体"/>
              </w:rPr>
            </w:pPr>
          </w:p>
        </w:tc>
      </w:tr>
      <w:tr w:rsidR="00045F32" w14:paraId="71D48F22" w14:textId="77777777">
        <w:tc>
          <w:tcPr>
            <w:tcW w:w="0" w:type="auto"/>
            <w:gridSpan w:val="9"/>
            <w:shd w:val="clear" w:color="auto" w:fill="CCEEFF"/>
            <w:tcMar>
              <w:top w:w="40" w:type="dxa"/>
              <w:left w:w="20" w:type="dxa"/>
              <w:bottom w:w="40" w:type="dxa"/>
              <w:right w:w="20" w:type="dxa"/>
            </w:tcMar>
            <w:vAlign w:val="bottom"/>
          </w:tcPr>
          <w:p w14:paraId="71D48F02" w14:textId="77777777" w:rsidR="006A3667" w:rsidRDefault="00045F32">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8F03"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F04" w14:textId="77777777" w:rsidR="006A3667" w:rsidRDefault="00045F32">
            <w:pPr>
              <w:jc w:val="right"/>
              <w:textAlignment w:val="bottom"/>
            </w:pPr>
            <w:r>
              <w:rPr>
                <w:rFonts w:ascii="Arial" w:eastAsia="宋体" w:hAnsi="Arial" w:cs="Arial"/>
                <w:b/>
                <w:bCs/>
                <w:color w:val="000000"/>
                <w:sz w:val="12"/>
                <w:szCs w:val="12"/>
              </w:rPr>
              <w:t>107,771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0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F07"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F08" w14:textId="77777777" w:rsidR="006A3667" w:rsidRDefault="00045F32">
            <w:pPr>
              <w:jc w:val="right"/>
              <w:textAlignment w:val="bottom"/>
            </w:pPr>
            <w:r>
              <w:rPr>
                <w:rFonts w:ascii="Arial" w:eastAsia="宋体" w:hAnsi="Arial" w:cs="Arial"/>
                <w:b/>
                <w:bCs/>
                <w:color w:val="000000"/>
                <w:sz w:val="12"/>
                <w:szCs w:val="12"/>
              </w:rPr>
              <w:t>114,682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0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F0B"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F0C" w14:textId="77777777" w:rsidR="006A3667" w:rsidRDefault="00045F32">
            <w:pPr>
              <w:jc w:val="right"/>
              <w:textAlignment w:val="bottom"/>
            </w:pPr>
            <w:r>
              <w:rPr>
                <w:rFonts w:ascii="Arial" w:eastAsia="宋体" w:hAnsi="Arial" w:cs="Arial"/>
                <w:color w:val="000000"/>
                <w:sz w:val="12"/>
                <w:szCs w:val="12"/>
              </w:rPr>
              <w:t>111,398 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0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F0F"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F10" w14:textId="77777777" w:rsidR="006A3667" w:rsidRDefault="00045F32">
            <w:pPr>
              <w:jc w:val="right"/>
              <w:textAlignment w:val="bottom"/>
            </w:pPr>
            <w:r>
              <w:rPr>
                <w:rFonts w:ascii="Arial" w:eastAsia="宋体" w:hAnsi="Arial" w:cs="Arial"/>
                <w:color w:val="000000"/>
                <w:sz w:val="12"/>
                <w:szCs w:val="12"/>
              </w:rPr>
              <w:t>111,667 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1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1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F13"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F14" w14:textId="77777777" w:rsidR="006A3667" w:rsidRDefault="00045F32">
            <w:pPr>
              <w:jc w:val="right"/>
              <w:textAlignment w:val="bottom"/>
            </w:pPr>
            <w:r>
              <w:rPr>
                <w:rFonts w:ascii="Arial" w:eastAsia="宋体" w:hAnsi="Arial" w:cs="Arial"/>
                <w:b/>
                <w:bCs/>
                <w:color w:val="000000"/>
                <w:sz w:val="12"/>
                <w:szCs w:val="12"/>
              </w:rPr>
              <w:t>101,048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16"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F17" w14:textId="77777777" w:rsidR="006A3667" w:rsidRDefault="00045F32">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F18" w14:textId="77777777" w:rsidR="006A3667" w:rsidRDefault="00045F32">
            <w:pPr>
              <w:jc w:val="right"/>
              <w:textAlignment w:val="bottom"/>
            </w:pPr>
            <w:r>
              <w:rPr>
                <w:rFonts w:ascii="Arial" w:eastAsia="宋体" w:hAnsi="Arial" w:cs="Arial"/>
                <w:b/>
                <w:bCs/>
                <w:color w:val="000000"/>
                <w:sz w:val="12"/>
                <w:szCs w:val="12"/>
              </w:rPr>
              <w:t>112,942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1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1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F1B"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F1C" w14:textId="77777777" w:rsidR="006A3667" w:rsidRDefault="00045F32">
            <w:pPr>
              <w:jc w:val="right"/>
              <w:textAlignment w:val="bottom"/>
            </w:pPr>
            <w:r>
              <w:rPr>
                <w:rFonts w:ascii="Arial" w:eastAsia="宋体" w:hAnsi="Arial" w:cs="Arial"/>
                <w:color w:val="000000"/>
                <w:sz w:val="12"/>
                <w:szCs w:val="12"/>
              </w:rPr>
              <w:t>102,331 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1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1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8F1F" w14:textId="77777777" w:rsidR="006A3667" w:rsidRDefault="00045F32">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8F20" w14:textId="77777777" w:rsidR="006A3667" w:rsidRDefault="00045F32">
            <w:pPr>
              <w:jc w:val="right"/>
              <w:textAlignment w:val="bottom"/>
            </w:pPr>
            <w:r>
              <w:rPr>
                <w:rFonts w:ascii="Arial" w:eastAsia="宋体" w:hAnsi="Arial" w:cs="Arial"/>
                <w:color w:val="000000"/>
                <w:sz w:val="12"/>
                <w:szCs w:val="12"/>
              </w:rPr>
              <w:t>108,518 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21" w14:textId="77777777" w:rsidR="006A3667" w:rsidRDefault="006A3667">
            <w:pPr>
              <w:jc w:val="right"/>
              <w:rPr>
                <w:rFonts w:ascii="宋体"/>
              </w:rPr>
            </w:pPr>
          </w:p>
        </w:tc>
      </w:tr>
      <w:tr w:rsidR="006A3667" w14:paraId="71D48F35" w14:textId="77777777">
        <w:trPr>
          <w:trHeight w:val="220"/>
        </w:trPr>
        <w:tc>
          <w:tcPr>
            <w:tcW w:w="0" w:type="auto"/>
            <w:gridSpan w:val="3"/>
            <w:shd w:val="clear" w:color="auto" w:fill="FFFFFF"/>
            <w:tcMar>
              <w:top w:w="0" w:type="dxa"/>
              <w:left w:w="20" w:type="dxa"/>
              <w:bottom w:w="0" w:type="dxa"/>
              <w:right w:w="20" w:type="dxa"/>
            </w:tcMar>
            <w:vAlign w:val="bottom"/>
          </w:tcPr>
          <w:p w14:paraId="71D48F23"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24"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25"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F2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27"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F2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29"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F2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2B"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F2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2D"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F2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2F"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F3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31"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F3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33"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8F34" w14:textId="77777777" w:rsidR="006A3667" w:rsidRDefault="006A3667">
            <w:pPr>
              <w:rPr>
                <w:rFonts w:ascii="宋体"/>
              </w:rPr>
            </w:pPr>
          </w:p>
        </w:tc>
      </w:tr>
      <w:tr w:rsidR="00045F32" w14:paraId="71D48F56" w14:textId="77777777">
        <w:tc>
          <w:tcPr>
            <w:tcW w:w="0" w:type="auto"/>
            <w:gridSpan w:val="9"/>
            <w:shd w:val="clear" w:color="auto" w:fill="CCEEFF"/>
            <w:tcMar>
              <w:top w:w="40" w:type="dxa"/>
              <w:left w:w="20" w:type="dxa"/>
              <w:bottom w:w="40" w:type="dxa"/>
              <w:right w:w="20" w:type="dxa"/>
            </w:tcMar>
            <w:vAlign w:val="bottom"/>
          </w:tcPr>
          <w:p w14:paraId="71D48F36" w14:textId="77777777" w:rsidR="006A3667" w:rsidRDefault="00045F32">
            <w:pPr>
              <w:textAlignment w:val="bottom"/>
            </w:pPr>
            <w:r>
              <w:rPr>
                <w:rFonts w:ascii="Arial" w:eastAsia="宋体" w:hAnsi="Arial" w:cs="Arial"/>
                <w:b/>
                <w:bCs/>
                <w:color w:val="000000"/>
                <w:sz w:val="12"/>
                <w:szCs w:val="12"/>
              </w:rPr>
              <w:t>Adjusted qu</w:t>
            </w:r>
            <w:r>
              <w:rPr>
                <w:rFonts w:ascii="Arial" w:eastAsia="宋体" w:hAnsi="Arial" w:cs="Arial"/>
                <w:b/>
                <w:bCs/>
                <w:color w:val="000000"/>
                <w:sz w:val="12"/>
                <w:szCs w:val="12"/>
              </w:rPr>
              <w:t>arterly average assets</w:t>
            </w:r>
          </w:p>
        </w:tc>
        <w:tc>
          <w:tcPr>
            <w:tcW w:w="0" w:type="auto"/>
            <w:shd w:val="clear" w:color="auto" w:fill="CCEEFF"/>
            <w:tcMar>
              <w:top w:w="40" w:type="dxa"/>
              <w:left w:w="20" w:type="dxa"/>
              <w:bottom w:w="40" w:type="dxa"/>
              <w:right w:w="0" w:type="dxa"/>
            </w:tcMar>
            <w:vAlign w:val="bottom"/>
          </w:tcPr>
          <w:p w14:paraId="71D48F37"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8F38" w14:textId="77777777" w:rsidR="006A3667" w:rsidRDefault="00045F32">
            <w:pPr>
              <w:jc w:val="right"/>
              <w:textAlignment w:val="bottom"/>
            </w:pPr>
            <w:r>
              <w:rPr>
                <w:rFonts w:ascii="Arial" w:eastAsia="宋体" w:hAnsi="Arial" w:cs="Arial"/>
                <w:b/>
                <w:bCs/>
                <w:color w:val="000000"/>
                <w:sz w:val="12"/>
                <w:szCs w:val="12"/>
              </w:rPr>
              <w:t>266,622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3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F3B"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8F3C" w14:textId="77777777" w:rsidR="006A3667" w:rsidRDefault="00045F32">
            <w:pPr>
              <w:jc w:val="right"/>
              <w:textAlignment w:val="bottom"/>
            </w:pPr>
            <w:r>
              <w:rPr>
                <w:rFonts w:ascii="Arial" w:eastAsia="宋体" w:hAnsi="Arial" w:cs="Arial"/>
                <w:b/>
                <w:bCs/>
                <w:color w:val="000000"/>
                <w:sz w:val="12"/>
                <w:szCs w:val="12"/>
              </w:rPr>
              <w:t>266,622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3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F3F"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8F40" w14:textId="77777777" w:rsidR="006A3667" w:rsidRDefault="00045F32">
            <w:pPr>
              <w:jc w:val="right"/>
              <w:textAlignment w:val="bottom"/>
            </w:pPr>
            <w:r>
              <w:rPr>
                <w:rFonts w:ascii="Arial" w:eastAsia="宋体" w:hAnsi="Arial" w:cs="Arial"/>
                <w:color w:val="000000"/>
                <w:sz w:val="12"/>
                <w:szCs w:val="12"/>
              </w:rPr>
              <w:t>293,567 </w:t>
            </w:r>
          </w:p>
        </w:tc>
        <w:tc>
          <w:tcPr>
            <w:tcW w:w="0" w:type="auto"/>
            <w:shd w:val="clear" w:color="auto" w:fill="CCEEFF"/>
            <w:tcMar>
              <w:top w:w="40" w:type="dxa"/>
              <w:left w:w="0" w:type="dxa"/>
              <w:bottom w:w="40" w:type="dxa"/>
              <w:right w:w="20" w:type="dxa"/>
            </w:tcMar>
            <w:vAlign w:val="bottom"/>
          </w:tcPr>
          <w:p w14:paraId="71D48F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4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F43"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8F44" w14:textId="77777777" w:rsidR="006A3667" w:rsidRDefault="00045F32">
            <w:pPr>
              <w:jc w:val="right"/>
              <w:textAlignment w:val="bottom"/>
            </w:pPr>
            <w:r>
              <w:rPr>
                <w:rFonts w:ascii="Arial" w:eastAsia="宋体" w:hAnsi="Arial" w:cs="Arial"/>
                <w:color w:val="000000"/>
                <w:sz w:val="12"/>
                <w:szCs w:val="12"/>
              </w:rPr>
              <w:t>293,567 </w:t>
            </w:r>
          </w:p>
        </w:tc>
        <w:tc>
          <w:tcPr>
            <w:tcW w:w="0" w:type="auto"/>
            <w:shd w:val="clear" w:color="auto" w:fill="CCEEFF"/>
            <w:tcMar>
              <w:top w:w="40" w:type="dxa"/>
              <w:left w:w="0" w:type="dxa"/>
              <w:bottom w:w="40" w:type="dxa"/>
              <w:right w:w="20" w:type="dxa"/>
            </w:tcMar>
            <w:vAlign w:val="bottom"/>
          </w:tcPr>
          <w:p w14:paraId="71D48F4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4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F47"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8F48" w14:textId="77777777" w:rsidR="006A3667" w:rsidRDefault="00045F32">
            <w:pPr>
              <w:jc w:val="right"/>
              <w:textAlignment w:val="bottom"/>
            </w:pPr>
            <w:r>
              <w:rPr>
                <w:rFonts w:ascii="Arial" w:eastAsia="宋体" w:hAnsi="Arial" w:cs="Arial"/>
                <w:b/>
                <w:bCs/>
                <w:color w:val="000000"/>
                <w:sz w:val="12"/>
                <w:szCs w:val="12"/>
              </w:rPr>
              <w:t>264,004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4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4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F4B" w14:textId="77777777" w:rsidR="006A3667" w:rsidRDefault="00045F32">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71D48F4C" w14:textId="77777777" w:rsidR="006A3667" w:rsidRDefault="00045F32">
            <w:pPr>
              <w:jc w:val="right"/>
              <w:textAlignment w:val="bottom"/>
            </w:pPr>
            <w:r>
              <w:rPr>
                <w:rFonts w:ascii="Arial" w:eastAsia="宋体" w:hAnsi="Arial" w:cs="Arial"/>
                <w:b/>
                <w:bCs/>
                <w:color w:val="000000"/>
                <w:sz w:val="12"/>
                <w:szCs w:val="12"/>
              </w:rPr>
              <w:t>264,004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4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4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F4F"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8F50" w14:textId="77777777" w:rsidR="006A3667" w:rsidRDefault="00045F32">
            <w:pPr>
              <w:jc w:val="right"/>
              <w:textAlignment w:val="bottom"/>
            </w:pPr>
            <w:r>
              <w:rPr>
                <w:rFonts w:ascii="Arial" w:eastAsia="宋体" w:hAnsi="Arial" w:cs="Arial"/>
                <w:color w:val="000000"/>
                <w:sz w:val="12"/>
                <w:szCs w:val="12"/>
              </w:rPr>
              <w:t>290,403 </w:t>
            </w:r>
          </w:p>
        </w:tc>
        <w:tc>
          <w:tcPr>
            <w:tcW w:w="0" w:type="auto"/>
            <w:shd w:val="clear" w:color="auto" w:fill="CCEEFF"/>
            <w:tcMar>
              <w:top w:w="40" w:type="dxa"/>
              <w:left w:w="0" w:type="dxa"/>
              <w:bottom w:w="40" w:type="dxa"/>
              <w:right w:w="20" w:type="dxa"/>
            </w:tcMar>
            <w:vAlign w:val="bottom"/>
          </w:tcPr>
          <w:p w14:paraId="71D48F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5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8F53" w14:textId="77777777" w:rsidR="006A3667" w:rsidRDefault="00045F32">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71D48F54" w14:textId="77777777" w:rsidR="006A3667" w:rsidRDefault="00045F32">
            <w:pPr>
              <w:jc w:val="right"/>
              <w:textAlignment w:val="bottom"/>
            </w:pPr>
            <w:r>
              <w:rPr>
                <w:rFonts w:ascii="Arial" w:eastAsia="宋体" w:hAnsi="Arial" w:cs="Arial"/>
                <w:color w:val="000000"/>
                <w:sz w:val="12"/>
                <w:szCs w:val="12"/>
              </w:rPr>
              <w:t>290,403 </w:t>
            </w:r>
          </w:p>
        </w:tc>
        <w:tc>
          <w:tcPr>
            <w:tcW w:w="0" w:type="auto"/>
            <w:shd w:val="clear" w:color="auto" w:fill="CCEEFF"/>
            <w:tcMar>
              <w:top w:w="40" w:type="dxa"/>
              <w:left w:w="0" w:type="dxa"/>
              <w:bottom w:w="40" w:type="dxa"/>
              <w:right w:w="20" w:type="dxa"/>
            </w:tcMar>
            <w:vAlign w:val="bottom"/>
          </w:tcPr>
          <w:p w14:paraId="71D48F55" w14:textId="77777777" w:rsidR="006A3667" w:rsidRDefault="006A3667">
            <w:pPr>
              <w:jc w:val="right"/>
              <w:rPr>
                <w:rFonts w:ascii="宋体"/>
              </w:rPr>
            </w:pPr>
          </w:p>
        </w:tc>
      </w:tr>
      <w:tr w:rsidR="006A3667" w14:paraId="71D48F69" w14:textId="77777777">
        <w:trPr>
          <w:trHeight w:val="100"/>
        </w:trPr>
        <w:tc>
          <w:tcPr>
            <w:tcW w:w="0" w:type="auto"/>
            <w:gridSpan w:val="3"/>
            <w:shd w:val="clear" w:color="auto" w:fill="auto"/>
            <w:tcMar>
              <w:top w:w="0" w:type="dxa"/>
              <w:left w:w="20" w:type="dxa"/>
              <w:bottom w:w="0" w:type="dxa"/>
              <w:right w:w="20" w:type="dxa"/>
            </w:tcMar>
            <w:vAlign w:val="bottom"/>
          </w:tcPr>
          <w:p w14:paraId="71D48F5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5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5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5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5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5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5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5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5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8" w14:textId="77777777" w:rsidR="006A3667" w:rsidRDefault="006A3667">
            <w:pPr>
              <w:rPr>
                <w:rFonts w:ascii="宋体"/>
              </w:rPr>
            </w:pPr>
          </w:p>
        </w:tc>
      </w:tr>
      <w:tr w:rsidR="006A3667" w14:paraId="71D48F7C" w14:textId="77777777">
        <w:tc>
          <w:tcPr>
            <w:tcW w:w="0" w:type="auto"/>
            <w:gridSpan w:val="3"/>
            <w:shd w:val="clear" w:color="auto" w:fill="auto"/>
            <w:tcMar>
              <w:top w:w="40" w:type="dxa"/>
              <w:left w:w="20" w:type="dxa"/>
              <w:bottom w:w="40" w:type="dxa"/>
              <w:right w:w="20" w:type="dxa"/>
            </w:tcMar>
            <w:vAlign w:val="bottom"/>
          </w:tcPr>
          <w:p w14:paraId="71D48F6A" w14:textId="77777777" w:rsidR="006A3667" w:rsidRDefault="00045F32">
            <w:pPr>
              <w:textAlignment w:val="bottom"/>
            </w:pPr>
            <w:r>
              <w:rPr>
                <w:rFonts w:ascii="Arial" w:eastAsia="宋体" w:hAnsi="Arial" w:cs="Arial"/>
                <w:b/>
                <w:bCs/>
                <w:color w:val="000000"/>
                <w:sz w:val="12"/>
                <w:szCs w:val="12"/>
              </w:rPr>
              <w:t>Capital Ratios:</w:t>
            </w:r>
          </w:p>
        </w:tc>
        <w:tc>
          <w:tcPr>
            <w:tcW w:w="0" w:type="auto"/>
            <w:gridSpan w:val="3"/>
            <w:shd w:val="clear" w:color="auto" w:fill="auto"/>
            <w:tcMar>
              <w:top w:w="40" w:type="dxa"/>
              <w:left w:w="20" w:type="dxa"/>
              <w:bottom w:w="40" w:type="dxa"/>
              <w:right w:w="20" w:type="dxa"/>
            </w:tcMar>
            <w:vAlign w:val="bottom"/>
          </w:tcPr>
          <w:p w14:paraId="71D48F6B" w14:textId="77777777" w:rsidR="006A3667" w:rsidRDefault="00045F32">
            <w:pPr>
              <w:jc w:val="center"/>
              <w:textAlignment w:val="bottom"/>
            </w:pPr>
            <w:r>
              <w:rPr>
                <w:rFonts w:ascii="Arial" w:eastAsia="宋体" w:hAnsi="Arial" w:cs="Arial"/>
                <w:color w:val="000000"/>
                <w:sz w:val="12"/>
                <w:szCs w:val="12"/>
              </w:rPr>
              <w:t>2022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71D48F6C" w14:textId="77777777" w:rsidR="006A3667" w:rsidRDefault="00045F32">
            <w:pPr>
              <w:jc w:val="center"/>
              <w:textAlignment w:val="bottom"/>
            </w:pPr>
            <w:r>
              <w:rPr>
                <w:rFonts w:ascii="Arial" w:eastAsia="宋体" w:hAnsi="Arial" w:cs="Arial"/>
                <w:color w:val="000000"/>
                <w:sz w:val="12"/>
                <w:szCs w:val="12"/>
              </w:rPr>
              <w:t>2021 Minimum Requirements</w:t>
            </w:r>
            <w:r>
              <w:rPr>
                <w:rFonts w:ascii="Arial" w:eastAsia="宋体" w:hAnsi="Arial" w:cs="Arial"/>
                <w:color w:val="000000"/>
                <w:sz w:val="7"/>
                <w:szCs w:val="7"/>
              </w:rPr>
              <w:t>(4)</w:t>
            </w:r>
          </w:p>
        </w:tc>
        <w:tc>
          <w:tcPr>
            <w:tcW w:w="0" w:type="auto"/>
            <w:gridSpan w:val="3"/>
            <w:shd w:val="clear" w:color="auto" w:fill="auto"/>
            <w:tcMar>
              <w:top w:w="0" w:type="dxa"/>
              <w:left w:w="20" w:type="dxa"/>
              <w:bottom w:w="0" w:type="dxa"/>
              <w:right w:w="20" w:type="dxa"/>
            </w:tcMar>
            <w:vAlign w:val="bottom"/>
          </w:tcPr>
          <w:p w14:paraId="71D48F6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6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5"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8F7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7B" w14:textId="77777777" w:rsidR="006A3667" w:rsidRDefault="006A3667">
            <w:pPr>
              <w:rPr>
                <w:rFonts w:ascii="宋体"/>
              </w:rPr>
            </w:pPr>
          </w:p>
        </w:tc>
      </w:tr>
      <w:tr w:rsidR="00045F32" w14:paraId="71D48F99" w14:textId="77777777">
        <w:tc>
          <w:tcPr>
            <w:tcW w:w="0" w:type="auto"/>
            <w:gridSpan w:val="3"/>
            <w:shd w:val="clear" w:color="auto" w:fill="CCEEFF"/>
            <w:tcMar>
              <w:top w:w="40" w:type="dxa"/>
              <w:left w:w="20" w:type="dxa"/>
              <w:bottom w:w="40" w:type="dxa"/>
              <w:right w:w="20" w:type="dxa"/>
            </w:tcMar>
            <w:vAlign w:val="bottom"/>
          </w:tcPr>
          <w:p w14:paraId="71D48F7D" w14:textId="77777777" w:rsidR="006A3667" w:rsidRDefault="00045F32">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F7E" w14:textId="77777777" w:rsidR="006A3667" w:rsidRDefault="00045F32">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7F"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8F80" w14:textId="77777777" w:rsidR="006A3667" w:rsidRDefault="00045F32">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8F81" w14:textId="77777777" w:rsidR="006A3667" w:rsidRDefault="00045F32">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71D48F82" w14:textId="77777777" w:rsidR="006A3667" w:rsidRDefault="00045F32">
            <w:pPr>
              <w:jc w:val="right"/>
              <w:textAlignment w:val="bottom"/>
            </w:pPr>
            <w:r>
              <w:rPr>
                <w:rFonts w:ascii="Arial" w:eastAsia="宋体" w:hAnsi="Arial" w:cs="Arial"/>
                <w:b/>
                <w:bCs/>
                <w:color w:val="000000"/>
                <w:sz w:val="12"/>
                <w:szCs w:val="12"/>
              </w:rPr>
              <w:t>14.0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83"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8F8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85" w14:textId="77777777" w:rsidR="006A3667" w:rsidRDefault="00045F32">
            <w:pPr>
              <w:jc w:val="right"/>
              <w:textAlignment w:val="bottom"/>
            </w:pPr>
            <w:r>
              <w:rPr>
                <w:rFonts w:ascii="Arial" w:eastAsia="宋体" w:hAnsi="Arial" w:cs="Arial"/>
                <w:b/>
                <w:bCs/>
                <w:color w:val="000000"/>
                <w:sz w:val="12"/>
                <w:szCs w:val="12"/>
              </w:rPr>
              <w:t>13.2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86"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8F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88" w14:textId="77777777" w:rsidR="006A3667" w:rsidRDefault="00045F32">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71D48F89"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8F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8B" w14:textId="77777777" w:rsidR="006A3667" w:rsidRDefault="00045F32">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71D48F8C"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8F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8E" w14:textId="77777777" w:rsidR="006A3667" w:rsidRDefault="00045F32">
            <w:pPr>
              <w:jc w:val="right"/>
              <w:textAlignment w:val="bottom"/>
            </w:pPr>
            <w:r>
              <w:rPr>
                <w:rFonts w:ascii="Arial" w:eastAsia="宋体" w:hAnsi="Arial" w:cs="Arial"/>
                <w:b/>
                <w:bCs/>
                <w:color w:val="000000"/>
                <w:sz w:val="12"/>
                <w:szCs w:val="12"/>
              </w:rPr>
              <w:t>18.5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8F"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8F9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91" w14:textId="77777777" w:rsidR="006A3667" w:rsidRDefault="00045F32">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92" w14:textId="77777777" w:rsidR="006A3667" w:rsidRDefault="00045F32">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8F9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94" w14:textId="77777777" w:rsidR="006A3667" w:rsidRDefault="00045F32">
            <w:pPr>
              <w:jc w:val="right"/>
              <w:textAlignment w:val="bottom"/>
            </w:pPr>
            <w:r>
              <w:rPr>
                <w:rFonts w:ascii="Arial" w:eastAsia="宋体" w:hAnsi="Arial" w:cs="Arial"/>
                <w:color w:val="000000"/>
                <w:sz w:val="12"/>
                <w:szCs w:val="12"/>
              </w:rPr>
              <w:t>18.4 </w:t>
            </w:r>
          </w:p>
        </w:tc>
        <w:tc>
          <w:tcPr>
            <w:tcW w:w="0" w:type="auto"/>
            <w:shd w:val="clear" w:color="auto" w:fill="CCEEFF"/>
            <w:tcMar>
              <w:top w:w="40" w:type="dxa"/>
              <w:left w:w="0" w:type="dxa"/>
              <w:bottom w:w="40" w:type="dxa"/>
              <w:right w:w="20" w:type="dxa"/>
            </w:tcMar>
            <w:vAlign w:val="bottom"/>
          </w:tcPr>
          <w:p w14:paraId="71D48F95" w14:textId="77777777" w:rsidR="006A3667" w:rsidRDefault="00045F32">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71D48F9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97" w14:textId="77777777" w:rsidR="006A3667" w:rsidRDefault="00045F32">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71D48F98" w14:textId="77777777" w:rsidR="006A3667" w:rsidRDefault="00045F32">
            <w:pPr>
              <w:jc w:val="right"/>
              <w:textAlignment w:val="bottom"/>
            </w:pPr>
            <w:r>
              <w:rPr>
                <w:rFonts w:ascii="Arial" w:eastAsia="宋体" w:hAnsi="Arial" w:cs="Arial"/>
                <w:color w:val="000000"/>
                <w:sz w:val="12"/>
                <w:szCs w:val="12"/>
              </w:rPr>
              <w:t>%</w:t>
            </w:r>
          </w:p>
        </w:tc>
      </w:tr>
      <w:tr w:rsidR="00045F32" w14:paraId="71D48FB6" w14:textId="77777777">
        <w:tc>
          <w:tcPr>
            <w:tcW w:w="0" w:type="auto"/>
            <w:gridSpan w:val="3"/>
            <w:shd w:val="clear" w:color="auto" w:fill="FFFFFF"/>
            <w:tcMar>
              <w:top w:w="40" w:type="dxa"/>
              <w:left w:w="20" w:type="dxa"/>
              <w:bottom w:w="40" w:type="dxa"/>
              <w:right w:w="20" w:type="dxa"/>
            </w:tcMar>
            <w:vAlign w:val="bottom"/>
          </w:tcPr>
          <w:p w14:paraId="71D48F9A" w14:textId="77777777" w:rsidR="006A3667" w:rsidRDefault="00045F32">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71D48F9B" w14:textId="77777777" w:rsidR="006A3667" w:rsidRDefault="00045F32">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9C" w14:textId="77777777" w:rsidR="006A3667" w:rsidRDefault="006A3667">
            <w:pPr>
              <w:jc w:val="right"/>
              <w:rPr>
                <w:rFonts w:ascii="宋体"/>
              </w:rPr>
            </w:pPr>
          </w:p>
        </w:tc>
        <w:tc>
          <w:tcPr>
            <w:tcW w:w="0" w:type="auto"/>
            <w:gridSpan w:val="2"/>
            <w:shd w:val="clear" w:color="auto" w:fill="FFFFFF"/>
            <w:tcMar>
              <w:top w:w="40" w:type="dxa"/>
              <w:left w:w="20" w:type="dxa"/>
              <w:bottom w:w="40" w:type="dxa"/>
              <w:right w:w="0" w:type="dxa"/>
            </w:tcMar>
            <w:vAlign w:val="bottom"/>
          </w:tcPr>
          <w:p w14:paraId="71D48F9D" w14:textId="77777777" w:rsidR="006A3667" w:rsidRDefault="00045F32">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71D48F9E" w14:textId="77777777" w:rsidR="006A3667" w:rsidRDefault="006A3667">
            <w:pPr>
              <w:jc w:val="right"/>
              <w:rPr>
                <w:rFonts w:ascii="宋体"/>
              </w:rPr>
            </w:pPr>
          </w:p>
        </w:tc>
        <w:tc>
          <w:tcPr>
            <w:tcW w:w="0" w:type="auto"/>
            <w:gridSpan w:val="2"/>
            <w:shd w:val="clear" w:color="auto" w:fill="FFFFFF"/>
            <w:tcMar>
              <w:top w:w="40" w:type="dxa"/>
              <w:left w:w="20" w:type="dxa"/>
              <w:bottom w:w="40" w:type="dxa"/>
              <w:right w:w="0" w:type="dxa"/>
            </w:tcMar>
            <w:vAlign w:val="bottom"/>
          </w:tcPr>
          <w:p w14:paraId="71D48F9F" w14:textId="77777777" w:rsidR="006A3667" w:rsidRDefault="00045F32">
            <w:pPr>
              <w:jc w:val="right"/>
              <w:textAlignment w:val="bottom"/>
            </w:pPr>
            <w:r>
              <w:rPr>
                <w:rFonts w:ascii="Arial" w:eastAsia="宋体" w:hAnsi="Arial" w:cs="Arial"/>
                <w:b/>
                <w:bCs/>
                <w:color w:val="000000"/>
                <w:sz w:val="12"/>
                <w:szCs w:val="12"/>
              </w:rPr>
              <w:t>15.9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A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A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A2" w14:textId="77777777" w:rsidR="006A3667" w:rsidRDefault="00045F32">
            <w:pPr>
              <w:jc w:val="right"/>
              <w:textAlignment w:val="bottom"/>
            </w:pPr>
            <w:r>
              <w:rPr>
                <w:rFonts w:ascii="Arial" w:eastAsia="宋体" w:hAnsi="Arial" w:cs="Arial"/>
                <w:b/>
                <w:bCs/>
                <w:color w:val="000000"/>
                <w:sz w:val="12"/>
                <w:szCs w:val="12"/>
              </w:rPr>
              <w:t>14.9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A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A5" w14:textId="77777777" w:rsidR="006A3667" w:rsidRDefault="00045F32">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71D48FA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A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A8" w14:textId="77777777" w:rsidR="006A3667" w:rsidRDefault="00045F32">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71D48FA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A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AB" w14:textId="77777777" w:rsidR="006A3667" w:rsidRDefault="00045F32">
            <w:pPr>
              <w:jc w:val="right"/>
              <w:textAlignment w:val="bottom"/>
            </w:pPr>
            <w:r>
              <w:rPr>
                <w:rFonts w:ascii="Arial" w:eastAsia="宋体" w:hAnsi="Arial" w:cs="Arial"/>
                <w:b/>
                <w:bCs/>
                <w:color w:val="000000"/>
                <w:sz w:val="12"/>
                <w:szCs w:val="12"/>
              </w:rPr>
              <w:t>18.5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A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A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AE" w14:textId="77777777" w:rsidR="006A3667" w:rsidRDefault="00045F32">
            <w:pPr>
              <w:jc w:val="right"/>
              <w:textAlignment w:val="bottom"/>
            </w:pPr>
            <w:r>
              <w:rPr>
                <w:rFonts w:ascii="Arial" w:eastAsia="宋体" w:hAnsi="Arial" w:cs="Arial"/>
                <w:b/>
                <w:bCs/>
                <w:color w:val="000000"/>
                <w:sz w:val="12"/>
                <w:szCs w:val="12"/>
              </w:rPr>
              <w:t>16.5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B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B1" w14:textId="77777777" w:rsidR="006A3667" w:rsidRDefault="00045F32">
            <w:pPr>
              <w:jc w:val="right"/>
              <w:textAlignment w:val="bottom"/>
            </w:pPr>
            <w:r>
              <w:rPr>
                <w:rFonts w:ascii="Arial" w:eastAsia="宋体" w:hAnsi="Arial" w:cs="Arial"/>
                <w:color w:val="000000"/>
                <w:sz w:val="12"/>
                <w:szCs w:val="12"/>
              </w:rPr>
              <w:t>18.4 </w:t>
            </w:r>
          </w:p>
        </w:tc>
        <w:tc>
          <w:tcPr>
            <w:tcW w:w="0" w:type="auto"/>
            <w:shd w:val="clear" w:color="auto" w:fill="FFFFFF"/>
            <w:tcMar>
              <w:top w:w="40" w:type="dxa"/>
              <w:left w:w="0" w:type="dxa"/>
              <w:bottom w:w="40" w:type="dxa"/>
              <w:right w:w="20" w:type="dxa"/>
            </w:tcMar>
            <w:vAlign w:val="bottom"/>
          </w:tcPr>
          <w:p w14:paraId="71D48FB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B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B4" w14:textId="77777777" w:rsidR="006A3667" w:rsidRDefault="00045F32">
            <w:pPr>
              <w:jc w:val="right"/>
              <w:textAlignment w:val="bottom"/>
            </w:pPr>
            <w:r>
              <w:rPr>
                <w:rFonts w:ascii="Arial" w:eastAsia="宋体" w:hAnsi="Arial" w:cs="Arial"/>
                <w:color w:val="000000"/>
                <w:sz w:val="12"/>
                <w:szCs w:val="12"/>
              </w:rPr>
              <w:t>17.4 </w:t>
            </w:r>
          </w:p>
        </w:tc>
        <w:tc>
          <w:tcPr>
            <w:tcW w:w="0" w:type="auto"/>
            <w:shd w:val="clear" w:color="auto" w:fill="FFFFFF"/>
            <w:tcMar>
              <w:top w:w="40" w:type="dxa"/>
              <w:left w:w="0" w:type="dxa"/>
              <w:bottom w:w="40" w:type="dxa"/>
              <w:right w:w="20" w:type="dxa"/>
            </w:tcMar>
            <w:vAlign w:val="bottom"/>
          </w:tcPr>
          <w:p w14:paraId="71D48FB5" w14:textId="77777777" w:rsidR="006A3667" w:rsidRDefault="006A3667">
            <w:pPr>
              <w:jc w:val="right"/>
              <w:rPr>
                <w:rFonts w:ascii="宋体"/>
              </w:rPr>
            </w:pPr>
          </w:p>
        </w:tc>
      </w:tr>
      <w:tr w:rsidR="00045F32" w14:paraId="71D48FD3" w14:textId="77777777">
        <w:tc>
          <w:tcPr>
            <w:tcW w:w="0" w:type="auto"/>
            <w:gridSpan w:val="3"/>
            <w:shd w:val="clear" w:color="auto" w:fill="CCEEFF"/>
            <w:tcMar>
              <w:top w:w="40" w:type="dxa"/>
              <w:left w:w="20" w:type="dxa"/>
              <w:bottom w:w="40" w:type="dxa"/>
              <w:right w:w="20" w:type="dxa"/>
            </w:tcMar>
            <w:vAlign w:val="bottom"/>
          </w:tcPr>
          <w:p w14:paraId="71D48FB7" w14:textId="77777777" w:rsidR="006A3667" w:rsidRDefault="00045F32">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71D48FB8" w14:textId="77777777" w:rsidR="006A3667" w:rsidRDefault="00045F32">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B9" w14:textId="77777777" w:rsidR="006A3667" w:rsidRDefault="006A3667">
            <w:pPr>
              <w:jc w:val="right"/>
              <w:rPr>
                <w:rFonts w:ascii="宋体"/>
              </w:rPr>
            </w:pPr>
          </w:p>
        </w:tc>
        <w:tc>
          <w:tcPr>
            <w:tcW w:w="0" w:type="auto"/>
            <w:gridSpan w:val="2"/>
            <w:shd w:val="clear" w:color="auto" w:fill="CCEEFF"/>
            <w:tcMar>
              <w:top w:w="40" w:type="dxa"/>
              <w:left w:w="20" w:type="dxa"/>
              <w:bottom w:w="40" w:type="dxa"/>
              <w:right w:w="0" w:type="dxa"/>
            </w:tcMar>
            <w:vAlign w:val="bottom"/>
          </w:tcPr>
          <w:p w14:paraId="71D48FBA" w14:textId="77777777" w:rsidR="006A3667" w:rsidRDefault="00045F32">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71D48FBB" w14:textId="77777777" w:rsidR="006A3667" w:rsidRDefault="006A3667">
            <w:pPr>
              <w:jc w:val="right"/>
              <w:rPr>
                <w:rFonts w:ascii="宋体"/>
              </w:rPr>
            </w:pPr>
          </w:p>
        </w:tc>
        <w:tc>
          <w:tcPr>
            <w:tcW w:w="0" w:type="auto"/>
            <w:gridSpan w:val="2"/>
            <w:shd w:val="clear" w:color="auto" w:fill="CCEEFF"/>
            <w:tcMar>
              <w:top w:w="40" w:type="dxa"/>
              <w:left w:w="20" w:type="dxa"/>
              <w:bottom w:w="40" w:type="dxa"/>
              <w:right w:w="0" w:type="dxa"/>
            </w:tcMar>
            <w:vAlign w:val="bottom"/>
          </w:tcPr>
          <w:p w14:paraId="71D48FBC" w14:textId="77777777" w:rsidR="006A3667" w:rsidRDefault="00045F32">
            <w:pPr>
              <w:jc w:val="right"/>
              <w:textAlignment w:val="bottom"/>
            </w:pPr>
            <w:r>
              <w:rPr>
                <w:rFonts w:ascii="Arial" w:eastAsia="宋体" w:hAnsi="Arial" w:cs="Arial"/>
                <w:b/>
                <w:bCs/>
                <w:color w:val="000000"/>
                <w:sz w:val="12"/>
                <w:szCs w:val="12"/>
              </w:rPr>
              <w:t>17.1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B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BF" w14:textId="77777777" w:rsidR="006A3667" w:rsidRDefault="00045F32">
            <w:pPr>
              <w:jc w:val="right"/>
              <w:textAlignment w:val="bottom"/>
            </w:pPr>
            <w:r>
              <w:rPr>
                <w:rFonts w:ascii="Arial" w:eastAsia="宋体" w:hAnsi="Arial" w:cs="Arial"/>
                <w:b/>
                <w:bCs/>
                <w:color w:val="000000"/>
                <w:sz w:val="12"/>
                <w:szCs w:val="12"/>
              </w:rPr>
              <w:t>16.2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C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C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C2" w14:textId="77777777" w:rsidR="006A3667" w:rsidRDefault="00045F32">
            <w:pPr>
              <w:jc w:val="right"/>
              <w:textAlignment w:val="bottom"/>
            </w:pPr>
            <w:r>
              <w:rPr>
                <w:rFonts w:ascii="Arial" w:eastAsia="宋体" w:hAnsi="Arial" w:cs="Arial"/>
                <w:color w:val="000000"/>
                <w:sz w:val="12"/>
                <w:szCs w:val="12"/>
              </w:rPr>
              <w:t>17.5 </w:t>
            </w:r>
          </w:p>
        </w:tc>
        <w:tc>
          <w:tcPr>
            <w:tcW w:w="0" w:type="auto"/>
            <w:shd w:val="clear" w:color="auto" w:fill="CCEEFF"/>
            <w:tcMar>
              <w:top w:w="40" w:type="dxa"/>
              <w:left w:w="0" w:type="dxa"/>
              <w:bottom w:w="40" w:type="dxa"/>
              <w:right w:w="20" w:type="dxa"/>
            </w:tcMar>
            <w:vAlign w:val="bottom"/>
          </w:tcPr>
          <w:p w14:paraId="71D48FC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C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C5" w14:textId="77777777" w:rsidR="006A3667" w:rsidRDefault="00045F32">
            <w:pPr>
              <w:jc w:val="right"/>
              <w:textAlignment w:val="bottom"/>
            </w:pPr>
            <w:r>
              <w:rPr>
                <w:rFonts w:ascii="Arial" w:eastAsia="宋体" w:hAnsi="Arial" w:cs="Arial"/>
                <w:color w:val="000000"/>
                <w:sz w:val="12"/>
                <w:szCs w:val="12"/>
              </w:rPr>
              <w:t>17.6 </w:t>
            </w:r>
          </w:p>
        </w:tc>
        <w:tc>
          <w:tcPr>
            <w:tcW w:w="0" w:type="auto"/>
            <w:shd w:val="clear" w:color="auto" w:fill="CCEEFF"/>
            <w:tcMar>
              <w:top w:w="40" w:type="dxa"/>
              <w:left w:w="0" w:type="dxa"/>
              <w:bottom w:w="40" w:type="dxa"/>
              <w:right w:w="20" w:type="dxa"/>
            </w:tcMar>
            <w:vAlign w:val="bottom"/>
          </w:tcPr>
          <w:p w14:paraId="71D48FC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C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C8" w14:textId="77777777" w:rsidR="006A3667" w:rsidRDefault="00045F32">
            <w:pPr>
              <w:jc w:val="right"/>
              <w:textAlignment w:val="bottom"/>
            </w:pPr>
            <w:r>
              <w:rPr>
                <w:rFonts w:ascii="Arial" w:eastAsia="宋体" w:hAnsi="Arial" w:cs="Arial"/>
                <w:b/>
                <w:bCs/>
                <w:color w:val="000000"/>
                <w:sz w:val="12"/>
                <w:szCs w:val="12"/>
              </w:rPr>
              <w:t>19.0</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C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C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CB" w14:textId="77777777" w:rsidR="006A3667" w:rsidRDefault="00045F32">
            <w:pPr>
              <w:jc w:val="right"/>
              <w:textAlignment w:val="bottom"/>
            </w:pPr>
            <w:r>
              <w:rPr>
                <w:rFonts w:ascii="Arial" w:eastAsia="宋体" w:hAnsi="Arial" w:cs="Arial"/>
                <w:b/>
                <w:bCs/>
                <w:color w:val="000000"/>
                <w:sz w:val="12"/>
                <w:szCs w:val="12"/>
              </w:rPr>
              <w:t>17.1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71D48FC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C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CE" w14:textId="77777777" w:rsidR="006A3667" w:rsidRDefault="00045F32">
            <w:pPr>
              <w:jc w:val="right"/>
              <w:textAlignment w:val="bottom"/>
            </w:pPr>
            <w:r>
              <w:rPr>
                <w:rFonts w:ascii="Arial" w:eastAsia="宋体" w:hAnsi="Arial" w:cs="Arial"/>
                <w:color w:val="000000"/>
                <w:sz w:val="12"/>
                <w:szCs w:val="12"/>
              </w:rPr>
              <w:t>19.2 </w:t>
            </w:r>
          </w:p>
        </w:tc>
        <w:tc>
          <w:tcPr>
            <w:tcW w:w="0" w:type="auto"/>
            <w:shd w:val="clear" w:color="auto" w:fill="CCEEFF"/>
            <w:tcMar>
              <w:top w:w="40" w:type="dxa"/>
              <w:left w:w="0" w:type="dxa"/>
              <w:bottom w:w="40" w:type="dxa"/>
              <w:right w:w="20" w:type="dxa"/>
            </w:tcMar>
            <w:vAlign w:val="bottom"/>
          </w:tcPr>
          <w:p w14:paraId="71D48FC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8FD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8FD1" w14:textId="77777777" w:rsidR="006A3667" w:rsidRDefault="00045F32">
            <w:pPr>
              <w:jc w:val="right"/>
              <w:textAlignment w:val="bottom"/>
            </w:pPr>
            <w:r>
              <w:rPr>
                <w:rFonts w:ascii="Arial" w:eastAsia="宋体" w:hAnsi="Arial" w:cs="Arial"/>
                <w:color w:val="000000"/>
                <w:sz w:val="12"/>
                <w:szCs w:val="12"/>
              </w:rPr>
              <w:t>18.2 </w:t>
            </w:r>
          </w:p>
        </w:tc>
        <w:tc>
          <w:tcPr>
            <w:tcW w:w="0" w:type="auto"/>
            <w:shd w:val="clear" w:color="auto" w:fill="CCEEFF"/>
            <w:tcMar>
              <w:top w:w="40" w:type="dxa"/>
              <w:left w:w="0" w:type="dxa"/>
              <w:bottom w:w="40" w:type="dxa"/>
              <w:right w:w="20" w:type="dxa"/>
            </w:tcMar>
            <w:vAlign w:val="bottom"/>
          </w:tcPr>
          <w:p w14:paraId="71D48FD2" w14:textId="77777777" w:rsidR="006A3667" w:rsidRDefault="006A3667">
            <w:pPr>
              <w:jc w:val="right"/>
              <w:rPr>
                <w:rFonts w:ascii="宋体"/>
              </w:rPr>
            </w:pPr>
          </w:p>
        </w:tc>
      </w:tr>
      <w:tr w:rsidR="00045F32" w14:paraId="71D48FF0" w14:textId="77777777">
        <w:tc>
          <w:tcPr>
            <w:tcW w:w="0" w:type="auto"/>
            <w:gridSpan w:val="3"/>
            <w:shd w:val="clear" w:color="auto" w:fill="FFFFFF"/>
            <w:tcMar>
              <w:top w:w="40" w:type="dxa"/>
              <w:left w:w="20" w:type="dxa"/>
              <w:bottom w:w="40" w:type="dxa"/>
              <w:right w:w="20" w:type="dxa"/>
            </w:tcMar>
            <w:vAlign w:val="bottom"/>
          </w:tcPr>
          <w:p w14:paraId="71D48FD4" w14:textId="77777777" w:rsidR="006A3667" w:rsidRDefault="00045F32">
            <w:pPr>
              <w:textAlignment w:val="bottom"/>
            </w:pPr>
            <w:r>
              <w:rPr>
                <w:rFonts w:ascii="Arial" w:eastAsia="宋体" w:hAnsi="Arial" w:cs="Arial"/>
                <w:color w:val="000000"/>
                <w:sz w:val="12"/>
                <w:szCs w:val="12"/>
              </w:rPr>
              <w:t>Tier 1 leverage</w:t>
            </w:r>
          </w:p>
        </w:tc>
        <w:tc>
          <w:tcPr>
            <w:tcW w:w="0" w:type="auto"/>
            <w:gridSpan w:val="2"/>
            <w:shd w:val="clear" w:color="auto" w:fill="FFFFFF"/>
            <w:tcMar>
              <w:top w:w="40" w:type="dxa"/>
              <w:left w:w="20" w:type="dxa"/>
              <w:bottom w:w="40" w:type="dxa"/>
              <w:right w:w="0" w:type="dxa"/>
            </w:tcMar>
            <w:vAlign w:val="bottom"/>
          </w:tcPr>
          <w:p w14:paraId="71D48FD5" w14:textId="77777777" w:rsidR="006A3667" w:rsidRDefault="00045F32">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D6" w14:textId="77777777" w:rsidR="006A3667" w:rsidRDefault="006A3667">
            <w:pPr>
              <w:jc w:val="right"/>
              <w:rPr>
                <w:rFonts w:ascii="宋体"/>
              </w:rPr>
            </w:pPr>
          </w:p>
        </w:tc>
        <w:tc>
          <w:tcPr>
            <w:tcW w:w="0" w:type="auto"/>
            <w:gridSpan w:val="2"/>
            <w:shd w:val="clear" w:color="auto" w:fill="FFFFFF"/>
            <w:tcMar>
              <w:top w:w="40" w:type="dxa"/>
              <w:left w:w="20" w:type="dxa"/>
              <w:bottom w:w="40" w:type="dxa"/>
              <w:right w:w="0" w:type="dxa"/>
            </w:tcMar>
            <w:vAlign w:val="bottom"/>
          </w:tcPr>
          <w:p w14:paraId="71D48FD7" w14:textId="77777777" w:rsidR="006A3667" w:rsidRDefault="00045F32">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71D48FD8" w14:textId="77777777" w:rsidR="006A3667" w:rsidRDefault="006A3667">
            <w:pPr>
              <w:jc w:val="right"/>
              <w:rPr>
                <w:rFonts w:ascii="宋体"/>
              </w:rPr>
            </w:pPr>
          </w:p>
        </w:tc>
        <w:tc>
          <w:tcPr>
            <w:tcW w:w="0" w:type="auto"/>
            <w:gridSpan w:val="2"/>
            <w:shd w:val="clear" w:color="auto" w:fill="FFFFFF"/>
            <w:tcMar>
              <w:top w:w="40" w:type="dxa"/>
              <w:left w:w="20" w:type="dxa"/>
              <w:bottom w:w="40" w:type="dxa"/>
              <w:right w:w="0" w:type="dxa"/>
            </w:tcMar>
            <w:vAlign w:val="bottom"/>
          </w:tcPr>
          <w:p w14:paraId="71D48FD9" w14:textId="77777777" w:rsidR="006A3667" w:rsidRDefault="00045F32">
            <w:pPr>
              <w:jc w:val="right"/>
              <w:textAlignment w:val="bottom"/>
            </w:pPr>
            <w:r>
              <w:rPr>
                <w:rFonts w:ascii="Arial" w:eastAsia="宋体" w:hAnsi="Arial" w:cs="Arial"/>
                <w:b/>
                <w:bCs/>
                <w:color w:val="000000"/>
                <w:sz w:val="12"/>
                <w:szCs w:val="12"/>
              </w:rPr>
              <w:t>6.4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DC" w14:textId="77777777" w:rsidR="006A3667" w:rsidRDefault="00045F32">
            <w:pPr>
              <w:jc w:val="right"/>
              <w:textAlignment w:val="bottom"/>
            </w:pPr>
            <w:r>
              <w:rPr>
                <w:rFonts w:ascii="Arial" w:eastAsia="宋体" w:hAnsi="Arial" w:cs="Arial"/>
                <w:b/>
                <w:bCs/>
                <w:color w:val="000000"/>
                <w:sz w:val="12"/>
                <w:szCs w:val="12"/>
              </w:rPr>
              <w:t>6.4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D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D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DF" w14:textId="77777777" w:rsidR="006A3667" w:rsidRDefault="00045F32">
            <w:pPr>
              <w:jc w:val="right"/>
              <w:textAlignment w:val="bottom"/>
            </w:pPr>
            <w:r>
              <w:rPr>
                <w:rFonts w:ascii="Arial" w:eastAsia="宋体" w:hAnsi="Arial" w:cs="Arial"/>
                <w:color w:val="000000"/>
                <w:sz w:val="12"/>
                <w:szCs w:val="12"/>
              </w:rPr>
              <w:t>6.1 </w:t>
            </w:r>
          </w:p>
        </w:tc>
        <w:tc>
          <w:tcPr>
            <w:tcW w:w="0" w:type="auto"/>
            <w:shd w:val="clear" w:color="auto" w:fill="FFFFFF"/>
            <w:tcMar>
              <w:top w:w="40" w:type="dxa"/>
              <w:left w:w="0" w:type="dxa"/>
              <w:bottom w:w="40" w:type="dxa"/>
              <w:right w:w="20" w:type="dxa"/>
            </w:tcMar>
            <w:vAlign w:val="bottom"/>
          </w:tcPr>
          <w:p w14:paraId="71D48FE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E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E2" w14:textId="77777777" w:rsidR="006A3667" w:rsidRDefault="00045F32">
            <w:pPr>
              <w:jc w:val="right"/>
              <w:textAlignment w:val="bottom"/>
            </w:pPr>
            <w:r>
              <w:rPr>
                <w:rFonts w:ascii="Arial" w:eastAsia="宋体" w:hAnsi="Arial" w:cs="Arial"/>
                <w:color w:val="000000"/>
                <w:sz w:val="12"/>
                <w:szCs w:val="12"/>
              </w:rPr>
              <w:t>6.1 </w:t>
            </w:r>
          </w:p>
        </w:tc>
        <w:tc>
          <w:tcPr>
            <w:tcW w:w="0" w:type="auto"/>
            <w:shd w:val="clear" w:color="auto" w:fill="FFFFFF"/>
            <w:tcMar>
              <w:top w:w="40" w:type="dxa"/>
              <w:left w:w="0" w:type="dxa"/>
              <w:bottom w:w="40" w:type="dxa"/>
              <w:right w:w="20" w:type="dxa"/>
            </w:tcMar>
            <w:vAlign w:val="bottom"/>
          </w:tcPr>
          <w:p w14:paraId="71D48FE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E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E5" w14:textId="77777777" w:rsidR="006A3667" w:rsidRDefault="00045F32">
            <w:pPr>
              <w:jc w:val="right"/>
              <w:textAlignment w:val="bottom"/>
            </w:pPr>
            <w:r>
              <w:rPr>
                <w:rFonts w:ascii="Arial" w:eastAsia="宋体" w:hAnsi="Arial" w:cs="Arial"/>
                <w:b/>
                <w:bCs/>
                <w:color w:val="000000"/>
                <w:sz w:val="12"/>
                <w:szCs w:val="12"/>
              </w:rPr>
              <w:t>7.1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E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E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E8" w14:textId="77777777" w:rsidR="006A3667" w:rsidRDefault="00045F32">
            <w:pPr>
              <w:jc w:val="right"/>
              <w:textAlignment w:val="bottom"/>
            </w:pPr>
            <w:r>
              <w:rPr>
                <w:rFonts w:ascii="Arial" w:eastAsia="宋体" w:hAnsi="Arial" w:cs="Arial"/>
                <w:b/>
                <w:bCs/>
                <w:color w:val="000000"/>
                <w:sz w:val="12"/>
                <w:szCs w:val="12"/>
              </w:rPr>
              <w:t>7.1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71D48FE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E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EB" w14:textId="77777777" w:rsidR="006A3667" w:rsidRDefault="00045F32">
            <w:pPr>
              <w:jc w:val="right"/>
              <w:textAlignment w:val="bottom"/>
            </w:pPr>
            <w:r>
              <w:rPr>
                <w:rFonts w:ascii="Arial" w:eastAsia="宋体" w:hAnsi="Arial" w:cs="Arial"/>
                <w:color w:val="000000"/>
                <w:sz w:val="12"/>
                <w:szCs w:val="12"/>
              </w:rPr>
              <w:t>6.5 </w:t>
            </w:r>
          </w:p>
        </w:tc>
        <w:tc>
          <w:tcPr>
            <w:tcW w:w="0" w:type="auto"/>
            <w:shd w:val="clear" w:color="auto" w:fill="FFFFFF"/>
            <w:tcMar>
              <w:top w:w="40" w:type="dxa"/>
              <w:left w:w="0" w:type="dxa"/>
              <w:bottom w:w="40" w:type="dxa"/>
              <w:right w:w="20" w:type="dxa"/>
            </w:tcMar>
            <w:vAlign w:val="bottom"/>
          </w:tcPr>
          <w:p w14:paraId="71D48F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8FE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8FEE" w14:textId="77777777" w:rsidR="006A3667" w:rsidRDefault="00045F32">
            <w:pPr>
              <w:jc w:val="right"/>
              <w:textAlignment w:val="bottom"/>
            </w:pPr>
            <w:r>
              <w:rPr>
                <w:rFonts w:ascii="Arial" w:eastAsia="宋体" w:hAnsi="Arial" w:cs="Arial"/>
                <w:color w:val="000000"/>
                <w:sz w:val="12"/>
                <w:szCs w:val="12"/>
              </w:rPr>
              <w:t>6.5 </w:t>
            </w:r>
          </w:p>
        </w:tc>
        <w:tc>
          <w:tcPr>
            <w:tcW w:w="0" w:type="auto"/>
            <w:shd w:val="clear" w:color="auto" w:fill="FFFFFF"/>
            <w:tcMar>
              <w:top w:w="40" w:type="dxa"/>
              <w:left w:w="0" w:type="dxa"/>
              <w:bottom w:w="40" w:type="dxa"/>
              <w:right w:w="20" w:type="dxa"/>
            </w:tcMar>
            <w:vAlign w:val="bottom"/>
          </w:tcPr>
          <w:p w14:paraId="71D48FEF" w14:textId="77777777" w:rsidR="006A3667" w:rsidRDefault="006A3667">
            <w:pPr>
              <w:jc w:val="right"/>
              <w:rPr>
                <w:rFonts w:ascii="宋体"/>
              </w:rPr>
            </w:pPr>
          </w:p>
        </w:tc>
      </w:tr>
    </w:tbl>
    <w:p w14:paraId="71D48FF1"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6A3667" w14:paraId="71D48FF8" w14:textId="77777777">
        <w:tc>
          <w:tcPr>
            <w:tcW w:w="50" w:type="pct"/>
            <w:shd w:val="clear" w:color="auto" w:fill="auto"/>
            <w:vAlign w:val="bottom"/>
          </w:tcPr>
          <w:p w14:paraId="71D48FF2" w14:textId="77777777" w:rsidR="006A3667" w:rsidRDefault="006A3667">
            <w:pPr>
              <w:rPr>
                <w:rFonts w:ascii="宋体"/>
              </w:rPr>
            </w:pPr>
          </w:p>
        </w:tc>
        <w:tc>
          <w:tcPr>
            <w:tcW w:w="1348" w:type="pct"/>
            <w:shd w:val="clear" w:color="auto" w:fill="auto"/>
            <w:vAlign w:val="bottom"/>
          </w:tcPr>
          <w:p w14:paraId="71D48FF3" w14:textId="77777777" w:rsidR="006A3667" w:rsidRDefault="006A3667">
            <w:pPr>
              <w:rPr>
                <w:rFonts w:ascii="宋体"/>
              </w:rPr>
            </w:pPr>
          </w:p>
        </w:tc>
        <w:tc>
          <w:tcPr>
            <w:tcW w:w="5" w:type="pct"/>
            <w:shd w:val="clear" w:color="auto" w:fill="auto"/>
            <w:vAlign w:val="bottom"/>
          </w:tcPr>
          <w:p w14:paraId="71D48FF4" w14:textId="77777777" w:rsidR="006A3667" w:rsidRDefault="006A3667">
            <w:pPr>
              <w:rPr>
                <w:rFonts w:ascii="宋体"/>
              </w:rPr>
            </w:pPr>
          </w:p>
        </w:tc>
        <w:tc>
          <w:tcPr>
            <w:tcW w:w="50" w:type="pct"/>
            <w:shd w:val="clear" w:color="auto" w:fill="auto"/>
            <w:vAlign w:val="bottom"/>
          </w:tcPr>
          <w:p w14:paraId="71D48FF5" w14:textId="77777777" w:rsidR="006A3667" w:rsidRDefault="006A3667">
            <w:pPr>
              <w:rPr>
                <w:rFonts w:ascii="宋体"/>
              </w:rPr>
            </w:pPr>
          </w:p>
        </w:tc>
        <w:tc>
          <w:tcPr>
            <w:tcW w:w="3541" w:type="pct"/>
            <w:shd w:val="clear" w:color="auto" w:fill="auto"/>
            <w:vAlign w:val="bottom"/>
          </w:tcPr>
          <w:p w14:paraId="71D48FF6" w14:textId="77777777" w:rsidR="006A3667" w:rsidRDefault="006A3667">
            <w:pPr>
              <w:rPr>
                <w:rFonts w:ascii="宋体"/>
              </w:rPr>
            </w:pPr>
          </w:p>
        </w:tc>
        <w:tc>
          <w:tcPr>
            <w:tcW w:w="5" w:type="pct"/>
            <w:shd w:val="clear" w:color="auto" w:fill="auto"/>
            <w:vAlign w:val="bottom"/>
          </w:tcPr>
          <w:p w14:paraId="71D48FF7" w14:textId="77777777" w:rsidR="006A3667" w:rsidRDefault="006A3667">
            <w:pPr>
              <w:rPr>
                <w:rFonts w:ascii="宋体"/>
              </w:rPr>
            </w:pPr>
          </w:p>
        </w:tc>
      </w:tr>
      <w:tr w:rsidR="006A3667" w14:paraId="71D48FF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8FF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8FFA" w14:textId="77777777" w:rsidR="006A3667" w:rsidRDefault="006A3667">
            <w:pPr>
              <w:rPr>
                <w:rFonts w:ascii="宋体"/>
              </w:rPr>
            </w:pPr>
          </w:p>
        </w:tc>
      </w:tr>
    </w:tbl>
    <w:p w14:paraId="71D48FFC" w14:textId="77777777" w:rsidR="006A3667" w:rsidRDefault="00045F32">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AOCI hedges that are not recognized at fair value on the balance sheet, the overfunded portion of our defined benefit pension plan obligation net of associated deferred tax liabilities, disallowed de</w:t>
      </w:r>
      <w:r>
        <w:rPr>
          <w:rFonts w:ascii="Arial" w:eastAsia="宋体" w:hAnsi="Arial" w:cs="Arial"/>
          <w:color w:val="000000"/>
          <w:sz w:val="12"/>
          <w:szCs w:val="12"/>
        </w:rPr>
        <w:t>ferred tax assets, and other required credit risk-based deductions.</w:t>
      </w:r>
    </w:p>
    <w:p w14:paraId="71D48FFD" w14:textId="77777777" w:rsidR="006A3667" w:rsidRDefault="00045F32">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 xml:space="preserve">Under the advanced approaches, credit risk RWA includes a CVA which reflects the risk of potential fair value adjustments for credit risk reflected in our valuation of OTC </w:t>
      </w:r>
      <w:r>
        <w:rPr>
          <w:rFonts w:ascii="Arial" w:eastAsia="宋体" w:hAnsi="Arial" w:cs="Arial"/>
          <w:color w:val="000000"/>
          <w:sz w:val="12"/>
          <w:szCs w:val="12"/>
        </w:rPr>
        <w:t>derivative contracts. We used a simple CVA approach in conformity with the Basel III advanced approaches.</w:t>
      </w:r>
    </w:p>
    <w:p w14:paraId="71D48FFE" w14:textId="77777777" w:rsidR="006A3667" w:rsidRDefault="00045F32">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 advanced approaches rules and regulatory guidance concerning operational risk models, RWA attributable to operational risk can v</w:t>
      </w:r>
      <w:r>
        <w:rPr>
          <w:rFonts w:ascii="Arial" w:eastAsia="宋体" w:hAnsi="Arial" w:cs="Arial"/>
          <w:color w:val="000000"/>
          <w:sz w:val="12"/>
          <w:szCs w:val="12"/>
        </w:rPr>
        <w:t>ary substantially from period-to-period, without direct correlation to the effects of a particular loss event on our results of operations and financial condition and impacting dates and periods that may differ from the dates and periods as of and during w</w:t>
      </w:r>
      <w:r>
        <w:rPr>
          <w:rFonts w:ascii="Arial" w:eastAsia="宋体" w:hAnsi="Arial" w:cs="Arial"/>
          <w:color w:val="000000"/>
          <w:sz w:val="12"/>
          <w:szCs w:val="12"/>
        </w:rPr>
        <w:t>hich the loss event is reflected in our financial statements, with the timing and categorization dependent on the processes for model updates and, if applicable, model revalidation and regulatory review and related supervisory processes. An individual loss</w:t>
      </w:r>
      <w:r>
        <w:rPr>
          <w:rFonts w:ascii="Arial" w:eastAsia="宋体" w:hAnsi="Arial" w:cs="Arial"/>
          <w:color w:val="000000"/>
          <w:sz w:val="12"/>
          <w:szCs w:val="12"/>
        </w:rPr>
        <w:t xml:space="preserve"> event can have a significant effect on the output of our operational RWA under the advanced approaches depending on the severity of the loss event and its categorization among the seven Basel-defined UOMs.</w:t>
      </w:r>
    </w:p>
    <w:p w14:paraId="71D48FFF" w14:textId="77777777" w:rsidR="006A3667" w:rsidRDefault="00045F32">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Minimum requirements include a CCB of 2.5% an</w:t>
      </w:r>
      <w:r>
        <w:rPr>
          <w:rFonts w:ascii="Arial" w:eastAsia="宋体" w:hAnsi="Arial" w:cs="Arial"/>
          <w:color w:val="000000"/>
          <w:sz w:val="12"/>
          <w:szCs w:val="12"/>
        </w:rPr>
        <w:t xml:space="preserve">d a SCB of 2.5% for the advanced approaches and the standardized approach, respectively, a G-SIB surcharge of 1.0% and a countercyclical buffer of 0%. </w:t>
      </w:r>
    </w:p>
    <w:p w14:paraId="71D49000" w14:textId="77777777" w:rsidR="006A3667" w:rsidRDefault="00045F32">
      <w:pPr>
        <w:spacing w:before="6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w:t>
      </w:r>
    </w:p>
    <w:p w14:paraId="71D49001" w14:textId="77777777" w:rsidR="006A3667" w:rsidRDefault="00045F32">
      <w:pPr>
        <w:ind w:firstLine="450"/>
        <w:jc w:val="right"/>
      </w:pPr>
      <w:r>
        <w:rPr>
          <w:rFonts w:ascii="Arial" w:eastAsia="宋体" w:hAnsi="Arial" w:cs="Arial"/>
          <w:color w:val="000000"/>
          <w:sz w:val="18"/>
          <w:szCs w:val="18"/>
        </w:rPr>
        <w:t>State Street Corporation | 90</w:t>
      </w:r>
    </w:p>
    <w:p w14:paraId="71D49002" w14:textId="77777777" w:rsidR="006A3667" w:rsidRDefault="006A3667">
      <w:pPr>
        <w:ind w:firstLine="450"/>
        <w:jc w:val="center"/>
      </w:pPr>
    </w:p>
    <w:p w14:paraId="71D49003" w14:textId="77777777" w:rsidR="006A3667" w:rsidRDefault="00045F32">
      <w:r>
        <w:pict w14:anchorId="71D4AC6E">
          <v:rect id="_x0000_i1114" style="width:415.3pt;height:1.5pt" o:hralign="center" o:hrstd="t" o:hr="t" fillcolor="#a0a0a0" stroked="f"/>
        </w:pict>
      </w:r>
    </w:p>
    <w:p w14:paraId="71D49004" w14:textId="77777777" w:rsidR="006A3667" w:rsidRDefault="00045F32">
      <w:pPr>
        <w:ind w:firstLine="450"/>
        <w:jc w:val="center"/>
      </w:pPr>
      <w:r>
        <w:rPr>
          <w:rFonts w:ascii="Arial" w:eastAsia="宋体" w:hAnsi="Arial" w:cs="Arial"/>
          <w:b/>
          <w:bCs/>
          <w:color w:val="000000"/>
          <w:sz w:val="20"/>
          <w:szCs w:val="20"/>
        </w:rPr>
        <w:t>STATE STREET CORPORATION</w:t>
      </w:r>
    </w:p>
    <w:p w14:paraId="71D49005" w14:textId="77777777" w:rsidR="006A3667" w:rsidRDefault="00045F32">
      <w:pPr>
        <w:ind w:firstLine="450"/>
        <w:jc w:val="center"/>
      </w:pPr>
      <w:r>
        <w:rPr>
          <w:rFonts w:ascii="Arial" w:eastAsia="宋体" w:hAnsi="Arial" w:cs="Arial"/>
          <w:b/>
          <w:bCs/>
          <w:color w:val="000000"/>
          <w:sz w:val="20"/>
          <w:szCs w:val="20"/>
        </w:rPr>
        <w:t>CONDENSED NOTES TO CONSOLIDA</w:t>
      </w:r>
      <w:r>
        <w:rPr>
          <w:rFonts w:ascii="Arial" w:eastAsia="宋体" w:hAnsi="Arial" w:cs="Arial"/>
          <w:b/>
          <w:bCs/>
          <w:color w:val="000000"/>
          <w:sz w:val="20"/>
          <w:szCs w:val="20"/>
        </w:rPr>
        <w:t>TED FINANCIAL STATEMENTS</w:t>
      </w:r>
    </w:p>
    <w:p w14:paraId="71D49006" w14:textId="77777777" w:rsidR="006A3667" w:rsidRDefault="00045F32">
      <w:pPr>
        <w:ind w:firstLine="450"/>
        <w:jc w:val="center"/>
      </w:pPr>
      <w:r>
        <w:rPr>
          <w:rFonts w:ascii="Arial" w:eastAsia="宋体" w:hAnsi="Arial" w:cs="Arial"/>
          <w:b/>
          <w:bCs/>
          <w:color w:val="000000"/>
          <w:sz w:val="20"/>
          <w:szCs w:val="20"/>
        </w:rPr>
        <w:t>(UNAUDITED)</w:t>
      </w:r>
    </w:p>
    <w:p w14:paraId="71D49007" w14:textId="77777777" w:rsidR="006A3667" w:rsidRDefault="00045F32">
      <w:pPr>
        <w:spacing w:before="180"/>
        <w:jc w:val="both"/>
      </w:pPr>
      <w:r>
        <w:rPr>
          <w:rFonts w:ascii="Arial" w:eastAsia="宋体" w:hAnsi="Arial" w:cs="Arial"/>
          <w:b/>
          <w:bCs/>
          <w:color w:val="000000"/>
          <w:sz w:val="20"/>
          <w:szCs w:val="20"/>
        </w:rPr>
        <w:t>Note 14.    Net Interest Income</w:t>
      </w:r>
    </w:p>
    <w:p w14:paraId="71D49008" w14:textId="77777777" w:rsidR="006A3667" w:rsidRDefault="00045F32">
      <w:pPr>
        <w:spacing w:before="60"/>
        <w:ind w:firstLine="450"/>
        <w:jc w:val="both"/>
      </w:pPr>
      <w:r>
        <w:rPr>
          <w:rFonts w:ascii="Arial" w:eastAsia="宋体" w:hAnsi="Arial" w:cs="Arial"/>
          <w:color w:val="000000"/>
          <w:sz w:val="20"/>
          <w:szCs w:val="20"/>
        </w:rPr>
        <w:t>The following table presents the components of interest income and interest expense, and related NII,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9"/>
        <w:gridCol w:w="3681"/>
        <w:gridCol w:w="38"/>
        <w:gridCol w:w="99"/>
        <w:gridCol w:w="866"/>
        <w:gridCol w:w="36"/>
        <w:gridCol w:w="36"/>
        <w:gridCol w:w="36"/>
        <w:gridCol w:w="36"/>
        <w:gridCol w:w="98"/>
        <w:gridCol w:w="866"/>
        <w:gridCol w:w="36"/>
        <w:gridCol w:w="36"/>
        <w:gridCol w:w="36"/>
        <w:gridCol w:w="36"/>
        <w:gridCol w:w="98"/>
        <w:gridCol w:w="866"/>
        <w:gridCol w:w="36"/>
        <w:gridCol w:w="36"/>
        <w:gridCol w:w="36"/>
        <w:gridCol w:w="36"/>
        <w:gridCol w:w="98"/>
        <w:gridCol w:w="866"/>
        <w:gridCol w:w="36"/>
        <w:gridCol w:w="36"/>
        <w:gridCol w:w="36"/>
        <w:gridCol w:w="36"/>
        <w:gridCol w:w="36"/>
        <w:gridCol w:w="36"/>
        <w:gridCol w:w="36"/>
      </w:tblGrid>
      <w:tr w:rsidR="006A3667" w14:paraId="71D49023" w14:textId="77777777">
        <w:tc>
          <w:tcPr>
            <w:tcW w:w="50" w:type="pct"/>
            <w:shd w:val="clear" w:color="auto" w:fill="auto"/>
            <w:vAlign w:val="bottom"/>
          </w:tcPr>
          <w:p w14:paraId="71D49009" w14:textId="77777777" w:rsidR="006A3667" w:rsidRDefault="006A3667">
            <w:pPr>
              <w:rPr>
                <w:rFonts w:ascii="宋体"/>
              </w:rPr>
            </w:pPr>
          </w:p>
        </w:tc>
        <w:tc>
          <w:tcPr>
            <w:tcW w:w="2331" w:type="pct"/>
            <w:shd w:val="clear" w:color="auto" w:fill="auto"/>
            <w:vAlign w:val="bottom"/>
          </w:tcPr>
          <w:p w14:paraId="71D4900A" w14:textId="77777777" w:rsidR="006A3667" w:rsidRDefault="006A3667">
            <w:pPr>
              <w:rPr>
                <w:rFonts w:ascii="宋体"/>
              </w:rPr>
            </w:pPr>
          </w:p>
        </w:tc>
        <w:tc>
          <w:tcPr>
            <w:tcW w:w="5" w:type="pct"/>
            <w:shd w:val="clear" w:color="auto" w:fill="auto"/>
            <w:vAlign w:val="bottom"/>
          </w:tcPr>
          <w:p w14:paraId="71D4900B" w14:textId="77777777" w:rsidR="006A3667" w:rsidRDefault="006A3667">
            <w:pPr>
              <w:rPr>
                <w:rFonts w:ascii="宋体"/>
              </w:rPr>
            </w:pPr>
          </w:p>
        </w:tc>
        <w:tc>
          <w:tcPr>
            <w:tcW w:w="50" w:type="pct"/>
            <w:shd w:val="clear" w:color="auto" w:fill="auto"/>
            <w:vAlign w:val="bottom"/>
          </w:tcPr>
          <w:p w14:paraId="71D4900C" w14:textId="77777777" w:rsidR="006A3667" w:rsidRDefault="006A3667">
            <w:pPr>
              <w:rPr>
                <w:rFonts w:ascii="宋体"/>
              </w:rPr>
            </w:pPr>
          </w:p>
        </w:tc>
        <w:tc>
          <w:tcPr>
            <w:tcW w:w="576" w:type="pct"/>
            <w:shd w:val="clear" w:color="auto" w:fill="auto"/>
            <w:vAlign w:val="bottom"/>
          </w:tcPr>
          <w:p w14:paraId="71D4900D" w14:textId="77777777" w:rsidR="006A3667" w:rsidRDefault="006A3667">
            <w:pPr>
              <w:rPr>
                <w:rFonts w:ascii="宋体"/>
              </w:rPr>
            </w:pPr>
          </w:p>
        </w:tc>
        <w:tc>
          <w:tcPr>
            <w:tcW w:w="5" w:type="pct"/>
            <w:shd w:val="clear" w:color="auto" w:fill="auto"/>
            <w:vAlign w:val="bottom"/>
          </w:tcPr>
          <w:p w14:paraId="71D4900E" w14:textId="77777777" w:rsidR="006A3667" w:rsidRDefault="006A3667">
            <w:pPr>
              <w:rPr>
                <w:rFonts w:ascii="宋体"/>
              </w:rPr>
            </w:pPr>
          </w:p>
        </w:tc>
        <w:tc>
          <w:tcPr>
            <w:tcW w:w="5" w:type="pct"/>
            <w:shd w:val="clear" w:color="auto" w:fill="auto"/>
            <w:vAlign w:val="bottom"/>
          </w:tcPr>
          <w:p w14:paraId="71D4900F" w14:textId="77777777" w:rsidR="006A3667" w:rsidRDefault="006A3667">
            <w:pPr>
              <w:rPr>
                <w:rFonts w:ascii="宋体"/>
              </w:rPr>
            </w:pPr>
          </w:p>
        </w:tc>
        <w:tc>
          <w:tcPr>
            <w:tcW w:w="19" w:type="pct"/>
            <w:shd w:val="clear" w:color="auto" w:fill="auto"/>
            <w:vAlign w:val="bottom"/>
          </w:tcPr>
          <w:p w14:paraId="71D49010" w14:textId="77777777" w:rsidR="006A3667" w:rsidRDefault="006A3667">
            <w:pPr>
              <w:rPr>
                <w:rFonts w:ascii="宋体"/>
              </w:rPr>
            </w:pPr>
          </w:p>
        </w:tc>
        <w:tc>
          <w:tcPr>
            <w:tcW w:w="5" w:type="pct"/>
            <w:shd w:val="clear" w:color="auto" w:fill="auto"/>
            <w:vAlign w:val="bottom"/>
          </w:tcPr>
          <w:p w14:paraId="71D49011" w14:textId="77777777" w:rsidR="006A3667" w:rsidRDefault="006A3667">
            <w:pPr>
              <w:rPr>
                <w:rFonts w:ascii="宋体"/>
              </w:rPr>
            </w:pPr>
          </w:p>
        </w:tc>
        <w:tc>
          <w:tcPr>
            <w:tcW w:w="50" w:type="pct"/>
            <w:shd w:val="clear" w:color="auto" w:fill="auto"/>
            <w:vAlign w:val="bottom"/>
          </w:tcPr>
          <w:p w14:paraId="71D49012" w14:textId="77777777" w:rsidR="006A3667" w:rsidRDefault="006A3667">
            <w:pPr>
              <w:rPr>
                <w:rFonts w:ascii="宋体"/>
              </w:rPr>
            </w:pPr>
          </w:p>
        </w:tc>
        <w:tc>
          <w:tcPr>
            <w:tcW w:w="576" w:type="pct"/>
            <w:shd w:val="clear" w:color="auto" w:fill="auto"/>
            <w:vAlign w:val="bottom"/>
          </w:tcPr>
          <w:p w14:paraId="71D49013" w14:textId="77777777" w:rsidR="006A3667" w:rsidRDefault="006A3667">
            <w:pPr>
              <w:rPr>
                <w:rFonts w:ascii="宋体"/>
              </w:rPr>
            </w:pPr>
          </w:p>
        </w:tc>
        <w:tc>
          <w:tcPr>
            <w:tcW w:w="5" w:type="pct"/>
            <w:shd w:val="clear" w:color="auto" w:fill="auto"/>
            <w:vAlign w:val="bottom"/>
          </w:tcPr>
          <w:p w14:paraId="71D49014" w14:textId="77777777" w:rsidR="006A3667" w:rsidRDefault="006A3667">
            <w:pPr>
              <w:rPr>
                <w:rFonts w:ascii="宋体"/>
              </w:rPr>
            </w:pPr>
          </w:p>
        </w:tc>
        <w:tc>
          <w:tcPr>
            <w:tcW w:w="5" w:type="pct"/>
            <w:shd w:val="clear" w:color="auto" w:fill="auto"/>
            <w:vAlign w:val="bottom"/>
          </w:tcPr>
          <w:p w14:paraId="71D49015" w14:textId="77777777" w:rsidR="006A3667" w:rsidRDefault="006A3667">
            <w:pPr>
              <w:rPr>
                <w:rFonts w:ascii="宋体"/>
              </w:rPr>
            </w:pPr>
          </w:p>
        </w:tc>
        <w:tc>
          <w:tcPr>
            <w:tcW w:w="19" w:type="pct"/>
            <w:shd w:val="clear" w:color="auto" w:fill="auto"/>
            <w:vAlign w:val="bottom"/>
          </w:tcPr>
          <w:p w14:paraId="71D49016" w14:textId="77777777" w:rsidR="006A3667" w:rsidRDefault="006A3667">
            <w:pPr>
              <w:rPr>
                <w:rFonts w:ascii="宋体"/>
              </w:rPr>
            </w:pPr>
          </w:p>
        </w:tc>
        <w:tc>
          <w:tcPr>
            <w:tcW w:w="5" w:type="pct"/>
            <w:shd w:val="clear" w:color="auto" w:fill="auto"/>
            <w:vAlign w:val="bottom"/>
          </w:tcPr>
          <w:p w14:paraId="71D49017" w14:textId="77777777" w:rsidR="006A3667" w:rsidRDefault="006A3667">
            <w:pPr>
              <w:rPr>
                <w:rFonts w:ascii="宋体"/>
              </w:rPr>
            </w:pPr>
          </w:p>
        </w:tc>
        <w:tc>
          <w:tcPr>
            <w:tcW w:w="50" w:type="pct"/>
            <w:shd w:val="clear" w:color="auto" w:fill="auto"/>
            <w:vAlign w:val="bottom"/>
          </w:tcPr>
          <w:p w14:paraId="71D49018" w14:textId="77777777" w:rsidR="006A3667" w:rsidRDefault="006A3667">
            <w:pPr>
              <w:rPr>
                <w:rFonts w:ascii="宋体"/>
              </w:rPr>
            </w:pPr>
          </w:p>
        </w:tc>
        <w:tc>
          <w:tcPr>
            <w:tcW w:w="576" w:type="pct"/>
            <w:shd w:val="clear" w:color="auto" w:fill="auto"/>
            <w:vAlign w:val="bottom"/>
          </w:tcPr>
          <w:p w14:paraId="71D49019" w14:textId="77777777" w:rsidR="006A3667" w:rsidRDefault="006A3667">
            <w:pPr>
              <w:rPr>
                <w:rFonts w:ascii="宋体"/>
              </w:rPr>
            </w:pPr>
          </w:p>
        </w:tc>
        <w:tc>
          <w:tcPr>
            <w:tcW w:w="5" w:type="pct"/>
            <w:shd w:val="clear" w:color="auto" w:fill="auto"/>
            <w:vAlign w:val="bottom"/>
          </w:tcPr>
          <w:p w14:paraId="71D4901A" w14:textId="77777777" w:rsidR="006A3667" w:rsidRDefault="006A3667">
            <w:pPr>
              <w:rPr>
                <w:rFonts w:ascii="宋体"/>
              </w:rPr>
            </w:pPr>
          </w:p>
        </w:tc>
        <w:tc>
          <w:tcPr>
            <w:tcW w:w="5" w:type="pct"/>
            <w:shd w:val="clear" w:color="auto" w:fill="auto"/>
            <w:vAlign w:val="bottom"/>
          </w:tcPr>
          <w:p w14:paraId="71D4901B" w14:textId="77777777" w:rsidR="006A3667" w:rsidRDefault="006A3667">
            <w:pPr>
              <w:rPr>
                <w:rFonts w:ascii="宋体"/>
              </w:rPr>
            </w:pPr>
          </w:p>
        </w:tc>
        <w:tc>
          <w:tcPr>
            <w:tcW w:w="19" w:type="pct"/>
            <w:shd w:val="clear" w:color="auto" w:fill="auto"/>
            <w:vAlign w:val="bottom"/>
          </w:tcPr>
          <w:p w14:paraId="71D4901C" w14:textId="77777777" w:rsidR="006A3667" w:rsidRDefault="006A3667">
            <w:pPr>
              <w:rPr>
                <w:rFonts w:ascii="宋体"/>
              </w:rPr>
            </w:pPr>
          </w:p>
        </w:tc>
        <w:tc>
          <w:tcPr>
            <w:tcW w:w="5" w:type="pct"/>
            <w:shd w:val="clear" w:color="auto" w:fill="auto"/>
            <w:vAlign w:val="bottom"/>
          </w:tcPr>
          <w:p w14:paraId="71D4901D" w14:textId="77777777" w:rsidR="006A3667" w:rsidRDefault="006A3667">
            <w:pPr>
              <w:rPr>
                <w:rFonts w:ascii="宋体"/>
              </w:rPr>
            </w:pPr>
          </w:p>
        </w:tc>
        <w:tc>
          <w:tcPr>
            <w:tcW w:w="50" w:type="pct"/>
            <w:shd w:val="clear" w:color="auto" w:fill="auto"/>
            <w:vAlign w:val="bottom"/>
          </w:tcPr>
          <w:p w14:paraId="71D4901E" w14:textId="77777777" w:rsidR="006A3667" w:rsidRDefault="006A3667">
            <w:pPr>
              <w:rPr>
                <w:rFonts w:ascii="宋体"/>
              </w:rPr>
            </w:pPr>
          </w:p>
        </w:tc>
        <w:tc>
          <w:tcPr>
            <w:tcW w:w="576" w:type="pct"/>
            <w:shd w:val="clear" w:color="auto" w:fill="auto"/>
            <w:vAlign w:val="bottom"/>
          </w:tcPr>
          <w:p w14:paraId="71D4901F" w14:textId="77777777" w:rsidR="006A3667" w:rsidRDefault="006A3667">
            <w:pPr>
              <w:rPr>
                <w:rFonts w:ascii="宋体"/>
              </w:rPr>
            </w:pPr>
          </w:p>
        </w:tc>
        <w:tc>
          <w:tcPr>
            <w:tcW w:w="5" w:type="pct"/>
            <w:shd w:val="clear" w:color="auto" w:fill="auto"/>
            <w:vAlign w:val="bottom"/>
          </w:tcPr>
          <w:p w14:paraId="71D49020" w14:textId="77777777" w:rsidR="006A3667" w:rsidRDefault="006A3667">
            <w:pPr>
              <w:rPr>
                <w:rFonts w:ascii="宋体"/>
              </w:rPr>
            </w:pPr>
          </w:p>
        </w:tc>
        <w:tc>
          <w:tcPr>
            <w:tcW w:w="0" w:type="auto"/>
            <w:gridSpan w:val="3"/>
            <w:shd w:val="clear" w:color="auto" w:fill="auto"/>
            <w:vAlign w:val="bottom"/>
          </w:tcPr>
          <w:p w14:paraId="71D49021" w14:textId="77777777" w:rsidR="006A3667" w:rsidRDefault="006A3667">
            <w:pPr>
              <w:rPr>
                <w:rFonts w:ascii="宋体"/>
                <w:vanish/>
              </w:rPr>
            </w:pPr>
          </w:p>
        </w:tc>
        <w:tc>
          <w:tcPr>
            <w:tcW w:w="0" w:type="auto"/>
            <w:gridSpan w:val="3"/>
            <w:shd w:val="clear" w:color="auto" w:fill="auto"/>
            <w:vAlign w:val="bottom"/>
          </w:tcPr>
          <w:p w14:paraId="71D49022" w14:textId="77777777" w:rsidR="006A3667" w:rsidRDefault="006A3667">
            <w:pPr>
              <w:rPr>
                <w:rFonts w:ascii="宋体"/>
                <w:vanish/>
              </w:rPr>
            </w:pPr>
          </w:p>
        </w:tc>
      </w:tr>
      <w:tr w:rsidR="006A3667" w14:paraId="71D4902E" w14:textId="77777777">
        <w:tc>
          <w:tcPr>
            <w:tcW w:w="0" w:type="auto"/>
            <w:gridSpan w:val="3"/>
            <w:shd w:val="clear" w:color="auto" w:fill="auto"/>
            <w:tcMar>
              <w:top w:w="0" w:type="dxa"/>
              <w:left w:w="20" w:type="dxa"/>
              <w:bottom w:w="0" w:type="dxa"/>
              <w:right w:w="20" w:type="dxa"/>
            </w:tcMar>
            <w:vAlign w:val="bottom"/>
          </w:tcPr>
          <w:p w14:paraId="71D49024"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9025"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1D49026"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9027"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49028" w14:textId="77777777" w:rsidR="006A3667" w:rsidRDefault="006A3667">
            <w:pPr>
              <w:rPr>
                <w:rFonts w:ascii="宋体"/>
              </w:rPr>
            </w:pPr>
          </w:p>
        </w:tc>
        <w:tc>
          <w:tcPr>
            <w:tcW w:w="0" w:type="auto"/>
            <w:shd w:val="clear" w:color="auto" w:fill="auto"/>
            <w:vAlign w:val="bottom"/>
          </w:tcPr>
          <w:p w14:paraId="71D49029" w14:textId="77777777" w:rsidR="006A3667" w:rsidRDefault="006A3667">
            <w:pPr>
              <w:rPr>
                <w:rFonts w:ascii="宋体"/>
              </w:rPr>
            </w:pPr>
          </w:p>
        </w:tc>
        <w:tc>
          <w:tcPr>
            <w:tcW w:w="0" w:type="auto"/>
            <w:shd w:val="clear" w:color="auto" w:fill="auto"/>
            <w:vAlign w:val="bottom"/>
          </w:tcPr>
          <w:p w14:paraId="71D4902A" w14:textId="77777777" w:rsidR="006A3667" w:rsidRDefault="006A3667">
            <w:pPr>
              <w:rPr>
                <w:rFonts w:ascii="宋体"/>
              </w:rPr>
            </w:pPr>
          </w:p>
        </w:tc>
        <w:tc>
          <w:tcPr>
            <w:tcW w:w="0" w:type="auto"/>
            <w:shd w:val="clear" w:color="auto" w:fill="auto"/>
            <w:vAlign w:val="bottom"/>
          </w:tcPr>
          <w:p w14:paraId="71D4902B" w14:textId="77777777" w:rsidR="006A3667" w:rsidRDefault="006A3667">
            <w:pPr>
              <w:rPr>
                <w:rFonts w:ascii="宋体"/>
              </w:rPr>
            </w:pPr>
          </w:p>
        </w:tc>
        <w:tc>
          <w:tcPr>
            <w:tcW w:w="0" w:type="auto"/>
            <w:shd w:val="clear" w:color="auto" w:fill="auto"/>
            <w:vAlign w:val="bottom"/>
          </w:tcPr>
          <w:p w14:paraId="71D4902C" w14:textId="77777777" w:rsidR="006A3667" w:rsidRDefault="006A3667">
            <w:pPr>
              <w:rPr>
                <w:rFonts w:ascii="宋体"/>
              </w:rPr>
            </w:pPr>
          </w:p>
        </w:tc>
        <w:tc>
          <w:tcPr>
            <w:tcW w:w="0" w:type="auto"/>
            <w:shd w:val="clear" w:color="auto" w:fill="auto"/>
            <w:vAlign w:val="bottom"/>
          </w:tcPr>
          <w:p w14:paraId="71D4902D" w14:textId="77777777" w:rsidR="006A3667" w:rsidRDefault="006A3667">
            <w:pPr>
              <w:rPr>
                <w:rFonts w:ascii="宋体"/>
              </w:rPr>
            </w:pPr>
          </w:p>
        </w:tc>
      </w:tr>
      <w:tr w:rsidR="006A3667" w14:paraId="71D49039" w14:textId="77777777">
        <w:tc>
          <w:tcPr>
            <w:tcW w:w="0" w:type="auto"/>
            <w:gridSpan w:val="3"/>
            <w:shd w:val="clear" w:color="auto" w:fill="auto"/>
            <w:tcMar>
              <w:top w:w="40" w:type="dxa"/>
              <w:left w:w="20" w:type="dxa"/>
              <w:bottom w:w="40" w:type="dxa"/>
              <w:right w:w="20" w:type="dxa"/>
            </w:tcMar>
            <w:vAlign w:val="bottom"/>
          </w:tcPr>
          <w:p w14:paraId="71D4902F"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030"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03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032"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903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034"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035"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036"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71D49037" w14:textId="77777777" w:rsidR="006A3667" w:rsidRDefault="006A3667">
            <w:pPr>
              <w:rPr>
                <w:rFonts w:ascii="宋体"/>
                <w:vanish/>
              </w:rPr>
            </w:pPr>
          </w:p>
        </w:tc>
        <w:tc>
          <w:tcPr>
            <w:tcW w:w="0" w:type="auto"/>
            <w:gridSpan w:val="3"/>
            <w:shd w:val="clear" w:color="auto" w:fill="auto"/>
            <w:vAlign w:val="bottom"/>
          </w:tcPr>
          <w:p w14:paraId="71D49038" w14:textId="77777777" w:rsidR="006A3667" w:rsidRDefault="006A3667">
            <w:pPr>
              <w:rPr>
                <w:rFonts w:ascii="宋体"/>
                <w:vanish/>
              </w:rPr>
            </w:pPr>
          </w:p>
        </w:tc>
      </w:tr>
      <w:tr w:rsidR="006A3667" w14:paraId="71D49044" w14:textId="77777777">
        <w:tc>
          <w:tcPr>
            <w:tcW w:w="0" w:type="auto"/>
            <w:gridSpan w:val="3"/>
            <w:shd w:val="clear" w:color="auto" w:fill="auto"/>
            <w:tcMar>
              <w:top w:w="40" w:type="dxa"/>
              <w:left w:w="20" w:type="dxa"/>
              <w:bottom w:w="40" w:type="dxa"/>
              <w:right w:w="20" w:type="dxa"/>
            </w:tcMar>
            <w:vAlign w:val="bottom"/>
          </w:tcPr>
          <w:p w14:paraId="71D4903A" w14:textId="77777777" w:rsidR="006A3667" w:rsidRDefault="00045F32">
            <w:pPr>
              <w:textAlignment w:val="bottom"/>
            </w:pPr>
            <w:r>
              <w:rPr>
                <w:rFonts w:ascii="Arial" w:eastAsia="宋体" w:hAnsi="Arial" w:cs="Arial"/>
                <w:b/>
                <w:bCs/>
                <w:color w:val="000000"/>
                <w:sz w:val="14"/>
                <w:szCs w:val="14"/>
              </w:rPr>
              <w:t>Interest income: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03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03C"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03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03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03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04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041" w14:textId="77777777" w:rsidR="006A3667" w:rsidRDefault="006A3667">
            <w:pPr>
              <w:rPr>
                <w:rFonts w:ascii="宋体"/>
              </w:rPr>
            </w:pPr>
          </w:p>
        </w:tc>
        <w:tc>
          <w:tcPr>
            <w:tcW w:w="0" w:type="auto"/>
            <w:gridSpan w:val="3"/>
            <w:shd w:val="clear" w:color="auto" w:fill="auto"/>
            <w:vAlign w:val="bottom"/>
          </w:tcPr>
          <w:p w14:paraId="71D49042" w14:textId="77777777" w:rsidR="006A3667" w:rsidRDefault="006A3667">
            <w:pPr>
              <w:rPr>
                <w:rFonts w:ascii="宋体"/>
                <w:vanish/>
              </w:rPr>
            </w:pPr>
          </w:p>
        </w:tc>
        <w:tc>
          <w:tcPr>
            <w:tcW w:w="0" w:type="auto"/>
            <w:gridSpan w:val="3"/>
            <w:shd w:val="clear" w:color="auto" w:fill="auto"/>
            <w:vAlign w:val="bottom"/>
          </w:tcPr>
          <w:p w14:paraId="71D49043" w14:textId="77777777" w:rsidR="006A3667" w:rsidRDefault="006A3667">
            <w:pPr>
              <w:rPr>
                <w:rFonts w:ascii="宋体"/>
                <w:vanish/>
              </w:rPr>
            </w:pPr>
          </w:p>
        </w:tc>
      </w:tr>
      <w:tr w:rsidR="006A3667" w14:paraId="71D49057" w14:textId="77777777">
        <w:tc>
          <w:tcPr>
            <w:tcW w:w="0" w:type="auto"/>
            <w:gridSpan w:val="3"/>
            <w:shd w:val="clear" w:color="auto" w:fill="CCEEFF"/>
            <w:tcMar>
              <w:top w:w="40" w:type="dxa"/>
              <w:left w:w="20" w:type="dxa"/>
              <w:bottom w:w="40" w:type="dxa"/>
              <w:right w:w="20" w:type="dxa"/>
            </w:tcMar>
            <w:vAlign w:val="bottom"/>
          </w:tcPr>
          <w:p w14:paraId="71D49045" w14:textId="77777777" w:rsidR="006A3667" w:rsidRDefault="00045F32">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71D49046"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9047" w14:textId="77777777" w:rsidR="006A3667" w:rsidRDefault="00045F32">
            <w:pPr>
              <w:jc w:val="right"/>
              <w:textAlignment w:val="bottom"/>
            </w:pPr>
            <w:r>
              <w:rPr>
                <w:rFonts w:ascii="Arial" w:eastAsia="宋体" w:hAnsi="Arial" w:cs="Arial"/>
                <w:b/>
                <w:bCs/>
                <w:color w:val="000000"/>
                <w:sz w:val="14"/>
                <w:szCs w:val="14"/>
              </w:rPr>
              <w:t>202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4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49"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04A"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904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4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04E"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71D4904F" w14:textId="77777777" w:rsidR="006A3667" w:rsidRDefault="00045F32">
            <w:pPr>
              <w:jc w:val="right"/>
              <w:textAlignment w:val="bottom"/>
            </w:pPr>
            <w:r>
              <w:rPr>
                <w:rFonts w:ascii="Arial" w:eastAsia="宋体" w:hAnsi="Arial" w:cs="Arial"/>
                <w:b/>
                <w:bCs/>
                <w:color w:val="000000"/>
                <w:sz w:val="14"/>
                <w:szCs w:val="14"/>
              </w:rPr>
              <w:t>281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5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5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052" w14:textId="77777777" w:rsidR="006A3667" w:rsidRDefault="00045F32">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71D49053" w14:textId="77777777" w:rsidR="006A3667" w:rsidRDefault="00045F32">
            <w:pPr>
              <w:jc w:val="right"/>
              <w:textAlignment w:val="bottom"/>
            </w:pPr>
            <w:r>
              <w:rPr>
                <w:rFonts w:ascii="Arial" w:eastAsia="宋体" w:hAnsi="Arial" w:cs="Arial"/>
                <w:color w:val="000000"/>
                <w:sz w:val="14"/>
                <w:szCs w:val="14"/>
              </w:rPr>
              <w:t>(13)</w:t>
            </w:r>
          </w:p>
        </w:tc>
        <w:tc>
          <w:tcPr>
            <w:tcW w:w="0" w:type="auto"/>
            <w:shd w:val="clear" w:color="auto" w:fill="CCEEFF"/>
            <w:tcMar>
              <w:top w:w="40" w:type="dxa"/>
              <w:left w:w="0" w:type="dxa"/>
              <w:bottom w:w="40" w:type="dxa"/>
              <w:right w:w="20" w:type="dxa"/>
            </w:tcMar>
            <w:vAlign w:val="bottom"/>
          </w:tcPr>
          <w:p w14:paraId="71D49054" w14:textId="77777777" w:rsidR="006A3667" w:rsidRDefault="006A3667">
            <w:pPr>
              <w:jc w:val="right"/>
              <w:rPr>
                <w:rFonts w:ascii="宋体"/>
              </w:rPr>
            </w:pPr>
          </w:p>
        </w:tc>
        <w:tc>
          <w:tcPr>
            <w:tcW w:w="0" w:type="auto"/>
            <w:gridSpan w:val="3"/>
            <w:shd w:val="clear" w:color="auto" w:fill="auto"/>
            <w:vAlign w:val="bottom"/>
          </w:tcPr>
          <w:p w14:paraId="71D49055" w14:textId="77777777" w:rsidR="006A3667" w:rsidRDefault="006A3667">
            <w:pPr>
              <w:rPr>
                <w:rFonts w:ascii="宋体"/>
                <w:vanish/>
              </w:rPr>
            </w:pPr>
          </w:p>
        </w:tc>
        <w:tc>
          <w:tcPr>
            <w:tcW w:w="0" w:type="auto"/>
            <w:gridSpan w:val="3"/>
            <w:shd w:val="clear" w:color="auto" w:fill="auto"/>
            <w:vAlign w:val="bottom"/>
          </w:tcPr>
          <w:p w14:paraId="71D49056" w14:textId="77777777" w:rsidR="006A3667" w:rsidRDefault="006A3667">
            <w:pPr>
              <w:rPr>
                <w:rFonts w:ascii="宋体"/>
                <w:vanish/>
              </w:rPr>
            </w:pPr>
          </w:p>
        </w:tc>
      </w:tr>
      <w:tr w:rsidR="006A3667" w14:paraId="71D49062" w14:textId="77777777">
        <w:tc>
          <w:tcPr>
            <w:tcW w:w="0" w:type="auto"/>
            <w:gridSpan w:val="3"/>
            <w:shd w:val="clear" w:color="auto" w:fill="FFFFFF"/>
            <w:tcMar>
              <w:top w:w="40" w:type="dxa"/>
              <w:left w:w="20" w:type="dxa"/>
              <w:bottom w:w="40" w:type="dxa"/>
              <w:right w:w="20" w:type="dxa"/>
            </w:tcMar>
            <w:vAlign w:val="bottom"/>
          </w:tcPr>
          <w:p w14:paraId="71D49058" w14:textId="77777777" w:rsidR="006A3667" w:rsidRDefault="00045F32">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71D4905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05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05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05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05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05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05F" w14:textId="77777777" w:rsidR="006A3667" w:rsidRDefault="006A3667">
            <w:pPr>
              <w:rPr>
                <w:rFonts w:ascii="宋体"/>
              </w:rPr>
            </w:pPr>
          </w:p>
        </w:tc>
        <w:tc>
          <w:tcPr>
            <w:tcW w:w="0" w:type="auto"/>
            <w:gridSpan w:val="3"/>
            <w:shd w:val="clear" w:color="auto" w:fill="auto"/>
            <w:vAlign w:val="bottom"/>
          </w:tcPr>
          <w:p w14:paraId="71D49060" w14:textId="77777777" w:rsidR="006A3667" w:rsidRDefault="006A3667">
            <w:pPr>
              <w:rPr>
                <w:rFonts w:ascii="宋体"/>
                <w:vanish/>
              </w:rPr>
            </w:pPr>
          </w:p>
        </w:tc>
        <w:tc>
          <w:tcPr>
            <w:tcW w:w="0" w:type="auto"/>
            <w:gridSpan w:val="3"/>
            <w:shd w:val="clear" w:color="auto" w:fill="auto"/>
            <w:vAlign w:val="bottom"/>
          </w:tcPr>
          <w:p w14:paraId="71D49061" w14:textId="77777777" w:rsidR="006A3667" w:rsidRDefault="006A3667">
            <w:pPr>
              <w:rPr>
                <w:rFonts w:ascii="宋体"/>
                <w:vanish/>
              </w:rPr>
            </w:pPr>
          </w:p>
        </w:tc>
      </w:tr>
      <w:tr w:rsidR="006A3667" w14:paraId="71D4906D" w14:textId="77777777">
        <w:trPr>
          <w:hidden/>
        </w:trPr>
        <w:tc>
          <w:tcPr>
            <w:tcW w:w="0" w:type="auto"/>
            <w:gridSpan w:val="3"/>
            <w:shd w:val="clear" w:color="auto" w:fill="auto"/>
            <w:vAlign w:val="bottom"/>
          </w:tcPr>
          <w:p w14:paraId="71D49063" w14:textId="77777777" w:rsidR="006A3667" w:rsidRDefault="006A3667">
            <w:pPr>
              <w:rPr>
                <w:rFonts w:ascii="宋体"/>
                <w:vanish/>
              </w:rPr>
            </w:pPr>
          </w:p>
        </w:tc>
        <w:tc>
          <w:tcPr>
            <w:tcW w:w="0" w:type="auto"/>
            <w:gridSpan w:val="3"/>
            <w:shd w:val="clear" w:color="auto" w:fill="auto"/>
            <w:vAlign w:val="bottom"/>
          </w:tcPr>
          <w:p w14:paraId="71D49064" w14:textId="77777777" w:rsidR="006A3667" w:rsidRDefault="006A3667">
            <w:pPr>
              <w:rPr>
                <w:rFonts w:ascii="宋体"/>
                <w:vanish/>
              </w:rPr>
            </w:pPr>
          </w:p>
        </w:tc>
        <w:tc>
          <w:tcPr>
            <w:tcW w:w="0" w:type="auto"/>
            <w:gridSpan w:val="3"/>
            <w:shd w:val="clear" w:color="auto" w:fill="auto"/>
            <w:vAlign w:val="bottom"/>
          </w:tcPr>
          <w:p w14:paraId="71D49065" w14:textId="77777777" w:rsidR="006A3667" w:rsidRDefault="006A3667">
            <w:pPr>
              <w:rPr>
                <w:rFonts w:ascii="宋体"/>
                <w:vanish/>
              </w:rPr>
            </w:pPr>
          </w:p>
        </w:tc>
        <w:tc>
          <w:tcPr>
            <w:tcW w:w="0" w:type="auto"/>
            <w:gridSpan w:val="3"/>
            <w:shd w:val="clear" w:color="auto" w:fill="auto"/>
            <w:vAlign w:val="bottom"/>
          </w:tcPr>
          <w:p w14:paraId="71D49066" w14:textId="77777777" w:rsidR="006A3667" w:rsidRDefault="006A3667">
            <w:pPr>
              <w:rPr>
                <w:rFonts w:ascii="宋体"/>
                <w:vanish/>
              </w:rPr>
            </w:pPr>
          </w:p>
        </w:tc>
        <w:tc>
          <w:tcPr>
            <w:tcW w:w="0" w:type="auto"/>
            <w:gridSpan w:val="3"/>
            <w:shd w:val="clear" w:color="auto" w:fill="auto"/>
            <w:vAlign w:val="bottom"/>
          </w:tcPr>
          <w:p w14:paraId="71D49067" w14:textId="77777777" w:rsidR="006A3667" w:rsidRDefault="006A3667">
            <w:pPr>
              <w:rPr>
                <w:rFonts w:ascii="宋体"/>
                <w:vanish/>
              </w:rPr>
            </w:pPr>
          </w:p>
        </w:tc>
        <w:tc>
          <w:tcPr>
            <w:tcW w:w="0" w:type="auto"/>
            <w:gridSpan w:val="3"/>
            <w:shd w:val="clear" w:color="auto" w:fill="auto"/>
            <w:vAlign w:val="bottom"/>
          </w:tcPr>
          <w:p w14:paraId="71D49068" w14:textId="77777777" w:rsidR="006A3667" w:rsidRDefault="006A3667">
            <w:pPr>
              <w:rPr>
                <w:rFonts w:ascii="宋体"/>
                <w:vanish/>
              </w:rPr>
            </w:pPr>
          </w:p>
        </w:tc>
        <w:tc>
          <w:tcPr>
            <w:tcW w:w="0" w:type="auto"/>
            <w:gridSpan w:val="3"/>
            <w:shd w:val="clear" w:color="auto" w:fill="auto"/>
            <w:vAlign w:val="bottom"/>
          </w:tcPr>
          <w:p w14:paraId="71D49069" w14:textId="77777777" w:rsidR="006A3667" w:rsidRDefault="006A3667">
            <w:pPr>
              <w:rPr>
                <w:rFonts w:ascii="宋体"/>
                <w:vanish/>
              </w:rPr>
            </w:pPr>
          </w:p>
        </w:tc>
        <w:tc>
          <w:tcPr>
            <w:tcW w:w="0" w:type="auto"/>
            <w:gridSpan w:val="3"/>
            <w:shd w:val="clear" w:color="auto" w:fill="auto"/>
            <w:vAlign w:val="bottom"/>
          </w:tcPr>
          <w:p w14:paraId="71D4906A" w14:textId="77777777" w:rsidR="006A3667" w:rsidRDefault="006A3667">
            <w:pPr>
              <w:rPr>
                <w:rFonts w:ascii="宋体"/>
                <w:vanish/>
              </w:rPr>
            </w:pPr>
          </w:p>
        </w:tc>
        <w:tc>
          <w:tcPr>
            <w:tcW w:w="0" w:type="auto"/>
            <w:gridSpan w:val="3"/>
            <w:shd w:val="clear" w:color="auto" w:fill="auto"/>
            <w:vAlign w:val="bottom"/>
          </w:tcPr>
          <w:p w14:paraId="71D4906B" w14:textId="77777777" w:rsidR="006A3667" w:rsidRDefault="006A3667">
            <w:pPr>
              <w:rPr>
                <w:rFonts w:ascii="宋体"/>
                <w:vanish/>
              </w:rPr>
            </w:pPr>
          </w:p>
        </w:tc>
        <w:tc>
          <w:tcPr>
            <w:tcW w:w="0" w:type="auto"/>
            <w:gridSpan w:val="3"/>
            <w:shd w:val="clear" w:color="auto" w:fill="auto"/>
            <w:vAlign w:val="bottom"/>
          </w:tcPr>
          <w:p w14:paraId="71D4906C" w14:textId="77777777" w:rsidR="006A3667" w:rsidRDefault="006A3667">
            <w:pPr>
              <w:rPr>
                <w:rFonts w:ascii="宋体"/>
                <w:vanish/>
              </w:rPr>
            </w:pPr>
          </w:p>
        </w:tc>
      </w:tr>
      <w:tr w:rsidR="006A3667" w14:paraId="71D49078" w14:textId="77777777">
        <w:trPr>
          <w:hidden/>
        </w:trPr>
        <w:tc>
          <w:tcPr>
            <w:tcW w:w="0" w:type="auto"/>
            <w:gridSpan w:val="3"/>
            <w:shd w:val="clear" w:color="auto" w:fill="auto"/>
            <w:vAlign w:val="bottom"/>
          </w:tcPr>
          <w:p w14:paraId="71D4906E" w14:textId="77777777" w:rsidR="006A3667" w:rsidRDefault="006A3667">
            <w:pPr>
              <w:rPr>
                <w:rFonts w:ascii="宋体"/>
                <w:vanish/>
              </w:rPr>
            </w:pPr>
          </w:p>
        </w:tc>
        <w:tc>
          <w:tcPr>
            <w:tcW w:w="0" w:type="auto"/>
            <w:gridSpan w:val="3"/>
            <w:shd w:val="clear" w:color="auto" w:fill="auto"/>
            <w:vAlign w:val="bottom"/>
          </w:tcPr>
          <w:p w14:paraId="71D4906F" w14:textId="77777777" w:rsidR="006A3667" w:rsidRDefault="006A3667">
            <w:pPr>
              <w:rPr>
                <w:rFonts w:ascii="宋体"/>
                <w:vanish/>
              </w:rPr>
            </w:pPr>
          </w:p>
        </w:tc>
        <w:tc>
          <w:tcPr>
            <w:tcW w:w="0" w:type="auto"/>
            <w:gridSpan w:val="3"/>
            <w:shd w:val="clear" w:color="auto" w:fill="auto"/>
            <w:vAlign w:val="bottom"/>
          </w:tcPr>
          <w:p w14:paraId="71D49070" w14:textId="77777777" w:rsidR="006A3667" w:rsidRDefault="006A3667">
            <w:pPr>
              <w:rPr>
                <w:rFonts w:ascii="宋体"/>
                <w:vanish/>
              </w:rPr>
            </w:pPr>
          </w:p>
        </w:tc>
        <w:tc>
          <w:tcPr>
            <w:tcW w:w="0" w:type="auto"/>
            <w:gridSpan w:val="3"/>
            <w:shd w:val="clear" w:color="auto" w:fill="auto"/>
            <w:vAlign w:val="bottom"/>
          </w:tcPr>
          <w:p w14:paraId="71D49071" w14:textId="77777777" w:rsidR="006A3667" w:rsidRDefault="006A3667">
            <w:pPr>
              <w:rPr>
                <w:rFonts w:ascii="宋体"/>
                <w:vanish/>
              </w:rPr>
            </w:pPr>
          </w:p>
        </w:tc>
        <w:tc>
          <w:tcPr>
            <w:tcW w:w="0" w:type="auto"/>
            <w:gridSpan w:val="3"/>
            <w:shd w:val="clear" w:color="auto" w:fill="auto"/>
            <w:vAlign w:val="bottom"/>
          </w:tcPr>
          <w:p w14:paraId="71D49072" w14:textId="77777777" w:rsidR="006A3667" w:rsidRDefault="006A3667">
            <w:pPr>
              <w:rPr>
                <w:rFonts w:ascii="宋体"/>
                <w:vanish/>
              </w:rPr>
            </w:pPr>
          </w:p>
        </w:tc>
        <w:tc>
          <w:tcPr>
            <w:tcW w:w="0" w:type="auto"/>
            <w:gridSpan w:val="3"/>
            <w:shd w:val="clear" w:color="auto" w:fill="auto"/>
            <w:vAlign w:val="bottom"/>
          </w:tcPr>
          <w:p w14:paraId="71D49073" w14:textId="77777777" w:rsidR="006A3667" w:rsidRDefault="006A3667">
            <w:pPr>
              <w:rPr>
                <w:rFonts w:ascii="宋体"/>
                <w:vanish/>
              </w:rPr>
            </w:pPr>
          </w:p>
        </w:tc>
        <w:tc>
          <w:tcPr>
            <w:tcW w:w="0" w:type="auto"/>
            <w:gridSpan w:val="3"/>
            <w:shd w:val="clear" w:color="auto" w:fill="auto"/>
            <w:vAlign w:val="bottom"/>
          </w:tcPr>
          <w:p w14:paraId="71D49074" w14:textId="77777777" w:rsidR="006A3667" w:rsidRDefault="006A3667">
            <w:pPr>
              <w:rPr>
                <w:rFonts w:ascii="宋体"/>
                <w:vanish/>
              </w:rPr>
            </w:pPr>
          </w:p>
        </w:tc>
        <w:tc>
          <w:tcPr>
            <w:tcW w:w="0" w:type="auto"/>
            <w:gridSpan w:val="3"/>
            <w:shd w:val="clear" w:color="auto" w:fill="auto"/>
            <w:vAlign w:val="bottom"/>
          </w:tcPr>
          <w:p w14:paraId="71D49075" w14:textId="77777777" w:rsidR="006A3667" w:rsidRDefault="006A3667">
            <w:pPr>
              <w:rPr>
                <w:rFonts w:ascii="宋体"/>
                <w:vanish/>
              </w:rPr>
            </w:pPr>
          </w:p>
        </w:tc>
        <w:tc>
          <w:tcPr>
            <w:tcW w:w="0" w:type="auto"/>
            <w:gridSpan w:val="3"/>
            <w:shd w:val="clear" w:color="auto" w:fill="auto"/>
            <w:vAlign w:val="bottom"/>
          </w:tcPr>
          <w:p w14:paraId="71D49076" w14:textId="77777777" w:rsidR="006A3667" w:rsidRDefault="006A3667">
            <w:pPr>
              <w:rPr>
                <w:rFonts w:ascii="宋体"/>
                <w:vanish/>
              </w:rPr>
            </w:pPr>
          </w:p>
        </w:tc>
        <w:tc>
          <w:tcPr>
            <w:tcW w:w="0" w:type="auto"/>
            <w:gridSpan w:val="3"/>
            <w:shd w:val="clear" w:color="auto" w:fill="auto"/>
            <w:vAlign w:val="bottom"/>
          </w:tcPr>
          <w:p w14:paraId="71D49077" w14:textId="77777777" w:rsidR="006A3667" w:rsidRDefault="006A3667">
            <w:pPr>
              <w:rPr>
                <w:rFonts w:ascii="宋体"/>
                <w:vanish/>
              </w:rPr>
            </w:pPr>
          </w:p>
        </w:tc>
      </w:tr>
      <w:tr w:rsidR="006A3667" w14:paraId="71D49083" w14:textId="77777777">
        <w:trPr>
          <w:hidden/>
        </w:trPr>
        <w:tc>
          <w:tcPr>
            <w:tcW w:w="0" w:type="auto"/>
            <w:gridSpan w:val="3"/>
            <w:shd w:val="clear" w:color="auto" w:fill="auto"/>
            <w:vAlign w:val="bottom"/>
          </w:tcPr>
          <w:p w14:paraId="71D49079" w14:textId="77777777" w:rsidR="006A3667" w:rsidRDefault="006A3667">
            <w:pPr>
              <w:rPr>
                <w:rFonts w:ascii="宋体"/>
                <w:vanish/>
              </w:rPr>
            </w:pPr>
          </w:p>
        </w:tc>
        <w:tc>
          <w:tcPr>
            <w:tcW w:w="0" w:type="auto"/>
            <w:gridSpan w:val="3"/>
            <w:shd w:val="clear" w:color="auto" w:fill="auto"/>
            <w:vAlign w:val="bottom"/>
          </w:tcPr>
          <w:p w14:paraId="71D4907A" w14:textId="77777777" w:rsidR="006A3667" w:rsidRDefault="006A3667">
            <w:pPr>
              <w:rPr>
                <w:rFonts w:ascii="宋体"/>
                <w:vanish/>
              </w:rPr>
            </w:pPr>
          </w:p>
        </w:tc>
        <w:tc>
          <w:tcPr>
            <w:tcW w:w="0" w:type="auto"/>
            <w:gridSpan w:val="3"/>
            <w:shd w:val="clear" w:color="auto" w:fill="auto"/>
            <w:vAlign w:val="bottom"/>
          </w:tcPr>
          <w:p w14:paraId="71D4907B" w14:textId="77777777" w:rsidR="006A3667" w:rsidRDefault="006A3667">
            <w:pPr>
              <w:rPr>
                <w:rFonts w:ascii="宋体"/>
                <w:vanish/>
              </w:rPr>
            </w:pPr>
          </w:p>
        </w:tc>
        <w:tc>
          <w:tcPr>
            <w:tcW w:w="0" w:type="auto"/>
            <w:gridSpan w:val="3"/>
            <w:shd w:val="clear" w:color="auto" w:fill="auto"/>
            <w:vAlign w:val="bottom"/>
          </w:tcPr>
          <w:p w14:paraId="71D4907C" w14:textId="77777777" w:rsidR="006A3667" w:rsidRDefault="006A3667">
            <w:pPr>
              <w:rPr>
                <w:rFonts w:ascii="宋体"/>
                <w:vanish/>
              </w:rPr>
            </w:pPr>
          </w:p>
        </w:tc>
        <w:tc>
          <w:tcPr>
            <w:tcW w:w="0" w:type="auto"/>
            <w:gridSpan w:val="3"/>
            <w:shd w:val="clear" w:color="auto" w:fill="auto"/>
            <w:vAlign w:val="bottom"/>
          </w:tcPr>
          <w:p w14:paraId="71D4907D" w14:textId="77777777" w:rsidR="006A3667" w:rsidRDefault="006A3667">
            <w:pPr>
              <w:rPr>
                <w:rFonts w:ascii="宋体"/>
                <w:vanish/>
              </w:rPr>
            </w:pPr>
          </w:p>
        </w:tc>
        <w:tc>
          <w:tcPr>
            <w:tcW w:w="0" w:type="auto"/>
            <w:gridSpan w:val="3"/>
            <w:shd w:val="clear" w:color="auto" w:fill="auto"/>
            <w:vAlign w:val="bottom"/>
          </w:tcPr>
          <w:p w14:paraId="71D4907E" w14:textId="77777777" w:rsidR="006A3667" w:rsidRDefault="006A3667">
            <w:pPr>
              <w:rPr>
                <w:rFonts w:ascii="宋体"/>
                <w:vanish/>
              </w:rPr>
            </w:pPr>
          </w:p>
        </w:tc>
        <w:tc>
          <w:tcPr>
            <w:tcW w:w="0" w:type="auto"/>
            <w:gridSpan w:val="3"/>
            <w:shd w:val="clear" w:color="auto" w:fill="auto"/>
            <w:vAlign w:val="bottom"/>
          </w:tcPr>
          <w:p w14:paraId="71D4907F" w14:textId="77777777" w:rsidR="006A3667" w:rsidRDefault="006A3667">
            <w:pPr>
              <w:rPr>
                <w:rFonts w:ascii="宋体"/>
                <w:vanish/>
              </w:rPr>
            </w:pPr>
          </w:p>
        </w:tc>
        <w:tc>
          <w:tcPr>
            <w:tcW w:w="0" w:type="auto"/>
            <w:gridSpan w:val="3"/>
            <w:shd w:val="clear" w:color="auto" w:fill="auto"/>
            <w:vAlign w:val="bottom"/>
          </w:tcPr>
          <w:p w14:paraId="71D49080" w14:textId="77777777" w:rsidR="006A3667" w:rsidRDefault="006A3667">
            <w:pPr>
              <w:rPr>
                <w:rFonts w:ascii="宋体"/>
                <w:vanish/>
              </w:rPr>
            </w:pPr>
          </w:p>
        </w:tc>
        <w:tc>
          <w:tcPr>
            <w:tcW w:w="0" w:type="auto"/>
            <w:gridSpan w:val="3"/>
            <w:shd w:val="clear" w:color="auto" w:fill="auto"/>
            <w:vAlign w:val="bottom"/>
          </w:tcPr>
          <w:p w14:paraId="71D49081" w14:textId="77777777" w:rsidR="006A3667" w:rsidRDefault="006A3667">
            <w:pPr>
              <w:rPr>
                <w:rFonts w:ascii="宋体"/>
                <w:vanish/>
              </w:rPr>
            </w:pPr>
          </w:p>
        </w:tc>
        <w:tc>
          <w:tcPr>
            <w:tcW w:w="0" w:type="auto"/>
            <w:gridSpan w:val="3"/>
            <w:shd w:val="clear" w:color="auto" w:fill="auto"/>
            <w:vAlign w:val="bottom"/>
          </w:tcPr>
          <w:p w14:paraId="71D49082" w14:textId="77777777" w:rsidR="006A3667" w:rsidRDefault="006A3667">
            <w:pPr>
              <w:rPr>
                <w:rFonts w:ascii="宋体"/>
                <w:vanish/>
              </w:rPr>
            </w:pPr>
          </w:p>
        </w:tc>
      </w:tr>
      <w:tr w:rsidR="006A3667" w14:paraId="71D49092" w14:textId="77777777">
        <w:tc>
          <w:tcPr>
            <w:tcW w:w="0" w:type="auto"/>
            <w:gridSpan w:val="3"/>
            <w:shd w:val="clear" w:color="auto" w:fill="CCEEFF"/>
            <w:tcMar>
              <w:top w:w="40" w:type="dxa"/>
              <w:left w:w="140" w:type="dxa"/>
              <w:bottom w:w="40" w:type="dxa"/>
              <w:right w:w="20" w:type="dxa"/>
            </w:tcMar>
            <w:vAlign w:val="bottom"/>
          </w:tcPr>
          <w:p w14:paraId="71D49084" w14:textId="77777777" w:rsidR="006A3667" w:rsidRDefault="00045F32">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71D49085" w14:textId="77777777" w:rsidR="006A3667" w:rsidRDefault="00045F32">
            <w:pPr>
              <w:jc w:val="right"/>
              <w:textAlignment w:val="bottom"/>
            </w:pPr>
            <w:r>
              <w:rPr>
                <w:rFonts w:ascii="Arial" w:eastAsia="宋体" w:hAnsi="Arial" w:cs="Arial"/>
                <w:b/>
                <w:bCs/>
                <w:color w:val="000000"/>
                <w:sz w:val="14"/>
                <w:szCs w:val="14"/>
              </w:rPr>
              <w:t>176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8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88" w14:textId="77777777" w:rsidR="006A3667" w:rsidRDefault="00045F32">
            <w:pPr>
              <w:jc w:val="right"/>
              <w:textAlignment w:val="bottom"/>
            </w:pPr>
            <w:r>
              <w:rPr>
                <w:rFonts w:ascii="Arial" w:eastAsia="宋体" w:hAnsi="Arial" w:cs="Arial"/>
                <w:color w:val="000000"/>
                <w:sz w:val="14"/>
                <w:szCs w:val="14"/>
              </w:rPr>
              <w:t>150 </w:t>
            </w:r>
          </w:p>
        </w:tc>
        <w:tc>
          <w:tcPr>
            <w:tcW w:w="0" w:type="auto"/>
            <w:shd w:val="clear" w:color="auto" w:fill="CCEEFF"/>
            <w:tcMar>
              <w:top w:w="40" w:type="dxa"/>
              <w:left w:w="0" w:type="dxa"/>
              <w:bottom w:w="40" w:type="dxa"/>
              <w:right w:w="20" w:type="dxa"/>
            </w:tcMar>
            <w:vAlign w:val="bottom"/>
          </w:tcPr>
          <w:p w14:paraId="71D4908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8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8B" w14:textId="77777777" w:rsidR="006A3667" w:rsidRDefault="00045F32">
            <w:pPr>
              <w:jc w:val="right"/>
              <w:textAlignment w:val="bottom"/>
            </w:pPr>
            <w:r>
              <w:rPr>
                <w:rFonts w:ascii="Arial" w:eastAsia="宋体" w:hAnsi="Arial" w:cs="Arial"/>
                <w:b/>
                <w:bCs/>
                <w:color w:val="000000"/>
                <w:sz w:val="14"/>
                <w:szCs w:val="14"/>
              </w:rPr>
              <w:t>452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8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8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8E" w14:textId="77777777" w:rsidR="006A3667" w:rsidRDefault="00045F32">
            <w:pPr>
              <w:jc w:val="right"/>
              <w:textAlignment w:val="bottom"/>
            </w:pPr>
            <w:r>
              <w:rPr>
                <w:rFonts w:ascii="Arial" w:eastAsia="宋体" w:hAnsi="Arial" w:cs="Arial"/>
                <w:color w:val="000000"/>
                <w:sz w:val="14"/>
                <w:szCs w:val="14"/>
              </w:rPr>
              <w:t>435 </w:t>
            </w:r>
          </w:p>
        </w:tc>
        <w:tc>
          <w:tcPr>
            <w:tcW w:w="0" w:type="auto"/>
            <w:shd w:val="clear" w:color="auto" w:fill="CCEEFF"/>
            <w:tcMar>
              <w:top w:w="40" w:type="dxa"/>
              <w:left w:w="0" w:type="dxa"/>
              <w:bottom w:w="40" w:type="dxa"/>
              <w:right w:w="20" w:type="dxa"/>
            </w:tcMar>
            <w:vAlign w:val="bottom"/>
          </w:tcPr>
          <w:p w14:paraId="71D4908F" w14:textId="77777777" w:rsidR="006A3667" w:rsidRDefault="006A3667">
            <w:pPr>
              <w:jc w:val="right"/>
              <w:rPr>
                <w:rFonts w:ascii="宋体"/>
              </w:rPr>
            </w:pPr>
          </w:p>
        </w:tc>
        <w:tc>
          <w:tcPr>
            <w:tcW w:w="0" w:type="auto"/>
            <w:gridSpan w:val="3"/>
            <w:shd w:val="clear" w:color="auto" w:fill="auto"/>
            <w:vAlign w:val="bottom"/>
          </w:tcPr>
          <w:p w14:paraId="71D49090" w14:textId="77777777" w:rsidR="006A3667" w:rsidRDefault="006A3667">
            <w:pPr>
              <w:rPr>
                <w:rFonts w:ascii="宋体"/>
                <w:vanish/>
              </w:rPr>
            </w:pPr>
          </w:p>
        </w:tc>
        <w:tc>
          <w:tcPr>
            <w:tcW w:w="0" w:type="auto"/>
            <w:gridSpan w:val="3"/>
            <w:shd w:val="clear" w:color="auto" w:fill="auto"/>
            <w:vAlign w:val="bottom"/>
          </w:tcPr>
          <w:p w14:paraId="71D49091" w14:textId="77777777" w:rsidR="006A3667" w:rsidRDefault="006A3667">
            <w:pPr>
              <w:rPr>
                <w:rFonts w:ascii="宋体"/>
                <w:vanish/>
              </w:rPr>
            </w:pPr>
          </w:p>
        </w:tc>
      </w:tr>
      <w:tr w:rsidR="006A3667" w14:paraId="71D490A1" w14:textId="77777777">
        <w:tc>
          <w:tcPr>
            <w:tcW w:w="0" w:type="auto"/>
            <w:gridSpan w:val="3"/>
            <w:shd w:val="clear" w:color="auto" w:fill="FFFFFF"/>
            <w:tcMar>
              <w:top w:w="40" w:type="dxa"/>
              <w:left w:w="140" w:type="dxa"/>
              <w:bottom w:w="40" w:type="dxa"/>
              <w:right w:w="20" w:type="dxa"/>
            </w:tcMar>
            <w:vAlign w:val="bottom"/>
          </w:tcPr>
          <w:p w14:paraId="71D49093" w14:textId="77777777" w:rsidR="006A3667" w:rsidRDefault="00045F32">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71D49094" w14:textId="77777777" w:rsidR="006A3667" w:rsidRDefault="00045F32">
            <w:pPr>
              <w:jc w:val="right"/>
              <w:textAlignment w:val="bottom"/>
            </w:pPr>
            <w:r>
              <w:rPr>
                <w:rFonts w:ascii="Arial" w:eastAsia="宋体" w:hAnsi="Arial" w:cs="Arial"/>
                <w:b/>
                <w:bCs/>
                <w:color w:val="000000"/>
                <w:sz w:val="14"/>
                <w:szCs w:val="14"/>
              </w:rPr>
              <w:t>271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09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9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097" w14:textId="77777777" w:rsidR="006A3667" w:rsidRDefault="00045F32">
            <w:pPr>
              <w:jc w:val="right"/>
              <w:textAlignment w:val="bottom"/>
            </w:pPr>
            <w:r>
              <w:rPr>
                <w:rFonts w:ascii="Arial" w:eastAsia="宋体" w:hAnsi="Arial" w:cs="Arial"/>
                <w:color w:val="000000"/>
                <w:sz w:val="14"/>
                <w:szCs w:val="14"/>
              </w:rPr>
              <w:t>158 </w:t>
            </w:r>
          </w:p>
        </w:tc>
        <w:tc>
          <w:tcPr>
            <w:tcW w:w="0" w:type="auto"/>
            <w:shd w:val="clear" w:color="auto" w:fill="FFFFFF"/>
            <w:tcMar>
              <w:top w:w="40" w:type="dxa"/>
              <w:left w:w="0" w:type="dxa"/>
              <w:bottom w:w="40" w:type="dxa"/>
              <w:right w:w="20" w:type="dxa"/>
            </w:tcMar>
            <w:vAlign w:val="bottom"/>
          </w:tcPr>
          <w:p w14:paraId="71D490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9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09A" w14:textId="77777777" w:rsidR="006A3667" w:rsidRDefault="00045F32">
            <w:pPr>
              <w:jc w:val="right"/>
              <w:textAlignment w:val="bottom"/>
            </w:pPr>
            <w:r>
              <w:rPr>
                <w:rFonts w:ascii="Arial" w:eastAsia="宋体" w:hAnsi="Arial" w:cs="Arial"/>
                <w:b/>
                <w:bCs/>
                <w:color w:val="000000"/>
                <w:sz w:val="14"/>
                <w:szCs w:val="14"/>
              </w:rPr>
              <w:t>672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09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9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09D" w14:textId="77777777" w:rsidR="006A3667" w:rsidRDefault="00045F32">
            <w:pPr>
              <w:jc w:val="right"/>
              <w:textAlignment w:val="bottom"/>
            </w:pPr>
            <w:r>
              <w:rPr>
                <w:rFonts w:ascii="Arial" w:eastAsia="宋体" w:hAnsi="Arial" w:cs="Arial"/>
                <w:color w:val="000000"/>
                <w:sz w:val="14"/>
                <w:szCs w:val="14"/>
              </w:rPr>
              <w:t>501 </w:t>
            </w:r>
          </w:p>
        </w:tc>
        <w:tc>
          <w:tcPr>
            <w:tcW w:w="0" w:type="auto"/>
            <w:shd w:val="clear" w:color="auto" w:fill="FFFFFF"/>
            <w:tcMar>
              <w:top w:w="40" w:type="dxa"/>
              <w:left w:w="0" w:type="dxa"/>
              <w:bottom w:w="40" w:type="dxa"/>
              <w:right w:w="20" w:type="dxa"/>
            </w:tcMar>
            <w:vAlign w:val="bottom"/>
          </w:tcPr>
          <w:p w14:paraId="71D4909E" w14:textId="77777777" w:rsidR="006A3667" w:rsidRDefault="006A3667">
            <w:pPr>
              <w:jc w:val="right"/>
              <w:rPr>
                <w:rFonts w:ascii="宋体"/>
              </w:rPr>
            </w:pPr>
          </w:p>
        </w:tc>
        <w:tc>
          <w:tcPr>
            <w:tcW w:w="0" w:type="auto"/>
            <w:gridSpan w:val="3"/>
            <w:shd w:val="clear" w:color="auto" w:fill="auto"/>
            <w:vAlign w:val="bottom"/>
          </w:tcPr>
          <w:p w14:paraId="71D4909F" w14:textId="77777777" w:rsidR="006A3667" w:rsidRDefault="006A3667">
            <w:pPr>
              <w:rPr>
                <w:rFonts w:ascii="宋体"/>
                <w:vanish/>
              </w:rPr>
            </w:pPr>
          </w:p>
        </w:tc>
        <w:tc>
          <w:tcPr>
            <w:tcW w:w="0" w:type="auto"/>
            <w:gridSpan w:val="3"/>
            <w:shd w:val="clear" w:color="auto" w:fill="auto"/>
            <w:vAlign w:val="bottom"/>
          </w:tcPr>
          <w:p w14:paraId="71D490A0" w14:textId="77777777" w:rsidR="006A3667" w:rsidRDefault="006A3667">
            <w:pPr>
              <w:rPr>
                <w:rFonts w:ascii="宋体"/>
                <w:vanish/>
              </w:rPr>
            </w:pPr>
          </w:p>
        </w:tc>
      </w:tr>
      <w:tr w:rsidR="006A3667" w14:paraId="71D490B0" w14:textId="77777777">
        <w:tc>
          <w:tcPr>
            <w:tcW w:w="0" w:type="auto"/>
            <w:gridSpan w:val="3"/>
            <w:shd w:val="clear" w:color="auto" w:fill="CCEEFF"/>
            <w:tcMar>
              <w:top w:w="40" w:type="dxa"/>
              <w:left w:w="155" w:type="dxa"/>
              <w:bottom w:w="40" w:type="dxa"/>
              <w:right w:w="20" w:type="dxa"/>
            </w:tcMar>
            <w:vAlign w:val="bottom"/>
          </w:tcPr>
          <w:p w14:paraId="71D490A2" w14:textId="77777777" w:rsidR="006A3667" w:rsidRDefault="00045F32">
            <w:pPr>
              <w:textAlignment w:val="bottom"/>
            </w:pPr>
            <w:r>
              <w:rPr>
                <w:rFonts w:ascii="Arial" w:eastAsia="宋体" w:hAnsi="Arial" w:cs="Arial"/>
                <w:color w:val="000000"/>
                <w:sz w:val="14"/>
                <w:szCs w:val="14"/>
              </w:rPr>
              <w:t>Investment securities purchased under money market liquidity facility</w:t>
            </w:r>
          </w:p>
        </w:tc>
        <w:tc>
          <w:tcPr>
            <w:tcW w:w="0" w:type="auto"/>
            <w:gridSpan w:val="2"/>
            <w:shd w:val="clear" w:color="auto" w:fill="CCEEFF"/>
            <w:tcMar>
              <w:top w:w="40" w:type="dxa"/>
              <w:left w:w="20" w:type="dxa"/>
              <w:bottom w:w="40" w:type="dxa"/>
              <w:right w:w="0" w:type="dxa"/>
            </w:tcMar>
            <w:vAlign w:val="bottom"/>
          </w:tcPr>
          <w:p w14:paraId="71D490A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A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A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A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A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A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A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AC" w14:textId="77777777" w:rsidR="006A3667" w:rsidRDefault="00045F32">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71D490AD" w14:textId="77777777" w:rsidR="006A3667" w:rsidRDefault="006A3667">
            <w:pPr>
              <w:jc w:val="right"/>
              <w:rPr>
                <w:rFonts w:ascii="宋体"/>
              </w:rPr>
            </w:pPr>
          </w:p>
        </w:tc>
        <w:tc>
          <w:tcPr>
            <w:tcW w:w="0" w:type="auto"/>
            <w:gridSpan w:val="3"/>
            <w:shd w:val="clear" w:color="auto" w:fill="auto"/>
            <w:vAlign w:val="bottom"/>
          </w:tcPr>
          <w:p w14:paraId="71D490AE" w14:textId="77777777" w:rsidR="006A3667" w:rsidRDefault="006A3667">
            <w:pPr>
              <w:rPr>
                <w:rFonts w:ascii="宋体"/>
                <w:vanish/>
              </w:rPr>
            </w:pPr>
          </w:p>
        </w:tc>
        <w:tc>
          <w:tcPr>
            <w:tcW w:w="0" w:type="auto"/>
            <w:gridSpan w:val="3"/>
            <w:shd w:val="clear" w:color="auto" w:fill="auto"/>
            <w:vAlign w:val="bottom"/>
          </w:tcPr>
          <w:p w14:paraId="71D490AF" w14:textId="77777777" w:rsidR="006A3667" w:rsidRDefault="006A3667">
            <w:pPr>
              <w:rPr>
                <w:rFonts w:ascii="宋体"/>
                <w:vanish/>
              </w:rPr>
            </w:pPr>
          </w:p>
        </w:tc>
      </w:tr>
      <w:tr w:rsidR="006A3667" w14:paraId="71D490BF" w14:textId="77777777">
        <w:tc>
          <w:tcPr>
            <w:tcW w:w="0" w:type="auto"/>
            <w:gridSpan w:val="3"/>
            <w:shd w:val="clear" w:color="auto" w:fill="FFFFFF"/>
            <w:tcMar>
              <w:top w:w="40" w:type="dxa"/>
              <w:left w:w="20" w:type="dxa"/>
              <w:bottom w:w="40" w:type="dxa"/>
              <w:right w:w="20" w:type="dxa"/>
            </w:tcMar>
            <w:vAlign w:val="bottom"/>
          </w:tcPr>
          <w:p w14:paraId="71D490B1" w14:textId="77777777" w:rsidR="006A3667" w:rsidRDefault="00045F32">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0B2" w14:textId="77777777" w:rsidR="006A3667" w:rsidRDefault="00045F32">
            <w:pPr>
              <w:jc w:val="right"/>
              <w:textAlignment w:val="bottom"/>
            </w:pPr>
            <w:r>
              <w:rPr>
                <w:rFonts w:ascii="Arial" w:eastAsia="宋体" w:hAnsi="Arial" w:cs="Arial"/>
                <w:b/>
                <w:bCs/>
                <w:color w:val="000000"/>
                <w:sz w:val="14"/>
                <w:szCs w:val="14"/>
              </w:rPr>
              <w:t>447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0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B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0B5" w14:textId="77777777" w:rsidR="006A3667" w:rsidRDefault="00045F32">
            <w:pPr>
              <w:jc w:val="right"/>
              <w:textAlignment w:val="bottom"/>
            </w:pPr>
            <w:r>
              <w:rPr>
                <w:rFonts w:ascii="Arial" w:eastAsia="宋体" w:hAnsi="Arial" w:cs="Arial"/>
                <w:color w:val="000000"/>
                <w:sz w:val="14"/>
                <w:szCs w:val="14"/>
              </w:rPr>
              <w:t>308 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0B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B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0B8" w14:textId="77777777" w:rsidR="006A3667" w:rsidRDefault="00045F32">
            <w:pPr>
              <w:jc w:val="right"/>
              <w:textAlignment w:val="bottom"/>
            </w:pPr>
            <w:r>
              <w:rPr>
                <w:rFonts w:ascii="Arial" w:eastAsia="宋体" w:hAnsi="Arial" w:cs="Arial"/>
                <w:b/>
                <w:bCs/>
                <w:color w:val="000000"/>
                <w:sz w:val="14"/>
                <w:szCs w:val="14"/>
              </w:rPr>
              <w:t>1,124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0B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B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0BB" w14:textId="77777777" w:rsidR="006A3667" w:rsidRDefault="00045F32">
            <w:pPr>
              <w:jc w:val="right"/>
              <w:textAlignment w:val="bottom"/>
            </w:pPr>
            <w:r>
              <w:rPr>
                <w:rFonts w:ascii="Arial" w:eastAsia="宋体" w:hAnsi="Arial" w:cs="Arial"/>
                <w:color w:val="000000"/>
                <w:sz w:val="14"/>
                <w:szCs w:val="14"/>
              </w:rPr>
              <w:t>940 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0BC" w14:textId="77777777" w:rsidR="006A3667" w:rsidRDefault="006A3667">
            <w:pPr>
              <w:jc w:val="right"/>
              <w:rPr>
                <w:rFonts w:ascii="宋体"/>
              </w:rPr>
            </w:pPr>
          </w:p>
        </w:tc>
        <w:tc>
          <w:tcPr>
            <w:tcW w:w="0" w:type="auto"/>
            <w:gridSpan w:val="3"/>
            <w:shd w:val="clear" w:color="auto" w:fill="auto"/>
            <w:vAlign w:val="bottom"/>
          </w:tcPr>
          <w:p w14:paraId="71D490BD" w14:textId="77777777" w:rsidR="006A3667" w:rsidRDefault="006A3667">
            <w:pPr>
              <w:rPr>
                <w:rFonts w:ascii="宋体"/>
                <w:vanish/>
              </w:rPr>
            </w:pPr>
          </w:p>
        </w:tc>
        <w:tc>
          <w:tcPr>
            <w:tcW w:w="0" w:type="auto"/>
            <w:gridSpan w:val="3"/>
            <w:shd w:val="clear" w:color="auto" w:fill="auto"/>
            <w:vAlign w:val="bottom"/>
          </w:tcPr>
          <w:p w14:paraId="71D490BE" w14:textId="77777777" w:rsidR="006A3667" w:rsidRDefault="006A3667">
            <w:pPr>
              <w:rPr>
                <w:rFonts w:ascii="宋体"/>
                <w:vanish/>
              </w:rPr>
            </w:pPr>
          </w:p>
        </w:tc>
      </w:tr>
      <w:tr w:rsidR="006A3667" w14:paraId="71D490CE" w14:textId="77777777">
        <w:tc>
          <w:tcPr>
            <w:tcW w:w="0" w:type="auto"/>
            <w:gridSpan w:val="3"/>
            <w:shd w:val="clear" w:color="auto" w:fill="CCEEFF"/>
            <w:tcMar>
              <w:top w:w="40" w:type="dxa"/>
              <w:left w:w="20" w:type="dxa"/>
              <w:bottom w:w="40" w:type="dxa"/>
              <w:right w:w="20" w:type="dxa"/>
            </w:tcMar>
            <w:vAlign w:val="bottom"/>
          </w:tcPr>
          <w:p w14:paraId="71D490C0" w14:textId="77777777" w:rsidR="006A3667" w:rsidRDefault="00045F32">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71D490C1" w14:textId="77777777" w:rsidR="006A3667" w:rsidRDefault="00045F32">
            <w:pPr>
              <w:jc w:val="right"/>
              <w:textAlignment w:val="bottom"/>
            </w:pPr>
            <w:r>
              <w:rPr>
                <w:rFonts w:ascii="Arial" w:eastAsia="宋体" w:hAnsi="Arial" w:cs="Arial"/>
                <w:b/>
                <w:bCs/>
                <w:color w:val="000000"/>
                <w:sz w:val="14"/>
                <w:szCs w:val="14"/>
              </w:rPr>
              <w:t>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C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C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C4" w14:textId="77777777" w:rsidR="006A3667" w:rsidRDefault="00045F32">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71D490C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C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C7" w14:textId="77777777" w:rsidR="006A3667" w:rsidRDefault="00045F32">
            <w:pPr>
              <w:jc w:val="right"/>
              <w:textAlignment w:val="bottom"/>
            </w:pPr>
            <w:r>
              <w:rPr>
                <w:rFonts w:ascii="Arial" w:eastAsia="宋体" w:hAnsi="Arial" w:cs="Arial"/>
                <w:b/>
                <w:bCs/>
                <w:color w:val="000000"/>
                <w:sz w:val="14"/>
                <w:szCs w:val="14"/>
              </w:rPr>
              <w:t>105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C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C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CA" w14:textId="77777777" w:rsidR="006A3667" w:rsidRDefault="00045F32">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71D490CB" w14:textId="77777777" w:rsidR="006A3667" w:rsidRDefault="006A3667">
            <w:pPr>
              <w:jc w:val="right"/>
              <w:rPr>
                <w:rFonts w:ascii="宋体"/>
              </w:rPr>
            </w:pPr>
          </w:p>
        </w:tc>
        <w:tc>
          <w:tcPr>
            <w:tcW w:w="0" w:type="auto"/>
            <w:gridSpan w:val="3"/>
            <w:shd w:val="clear" w:color="auto" w:fill="auto"/>
            <w:vAlign w:val="bottom"/>
          </w:tcPr>
          <w:p w14:paraId="71D490CC" w14:textId="77777777" w:rsidR="006A3667" w:rsidRDefault="006A3667">
            <w:pPr>
              <w:rPr>
                <w:rFonts w:ascii="宋体"/>
                <w:vanish/>
              </w:rPr>
            </w:pPr>
          </w:p>
        </w:tc>
        <w:tc>
          <w:tcPr>
            <w:tcW w:w="0" w:type="auto"/>
            <w:gridSpan w:val="3"/>
            <w:shd w:val="clear" w:color="auto" w:fill="auto"/>
            <w:vAlign w:val="bottom"/>
          </w:tcPr>
          <w:p w14:paraId="71D490CD" w14:textId="77777777" w:rsidR="006A3667" w:rsidRDefault="006A3667">
            <w:pPr>
              <w:rPr>
                <w:rFonts w:ascii="宋体"/>
                <w:vanish/>
              </w:rPr>
            </w:pPr>
          </w:p>
        </w:tc>
      </w:tr>
      <w:tr w:rsidR="006A3667" w14:paraId="71D490DD" w14:textId="77777777">
        <w:tc>
          <w:tcPr>
            <w:tcW w:w="0" w:type="auto"/>
            <w:gridSpan w:val="3"/>
            <w:shd w:val="clear" w:color="auto" w:fill="FFFFFF"/>
            <w:tcMar>
              <w:top w:w="40" w:type="dxa"/>
              <w:left w:w="20" w:type="dxa"/>
              <w:bottom w:w="40" w:type="dxa"/>
              <w:right w:w="20" w:type="dxa"/>
            </w:tcMar>
            <w:vAlign w:val="bottom"/>
          </w:tcPr>
          <w:p w14:paraId="71D490CF" w14:textId="77777777" w:rsidR="006A3667" w:rsidRDefault="00045F32">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71D490D0" w14:textId="77777777" w:rsidR="006A3667" w:rsidRDefault="00045F32">
            <w:pPr>
              <w:jc w:val="right"/>
              <w:textAlignment w:val="bottom"/>
            </w:pPr>
            <w:r>
              <w:rPr>
                <w:rFonts w:ascii="Arial" w:eastAsia="宋体" w:hAnsi="Arial" w:cs="Arial"/>
                <w:b/>
                <w:bCs/>
                <w:color w:val="000000"/>
                <w:sz w:val="14"/>
                <w:szCs w:val="14"/>
              </w:rPr>
              <w:t>256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0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D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0D3" w14:textId="77777777" w:rsidR="006A3667" w:rsidRDefault="00045F32">
            <w:pPr>
              <w:jc w:val="right"/>
              <w:textAlignment w:val="bottom"/>
            </w:pPr>
            <w:r>
              <w:rPr>
                <w:rFonts w:ascii="Arial" w:eastAsia="宋体" w:hAnsi="Arial" w:cs="Arial"/>
                <w:color w:val="000000"/>
                <w:sz w:val="14"/>
                <w:szCs w:val="14"/>
              </w:rPr>
              <w:t>168 </w:t>
            </w:r>
          </w:p>
        </w:tc>
        <w:tc>
          <w:tcPr>
            <w:tcW w:w="0" w:type="auto"/>
            <w:shd w:val="clear" w:color="auto" w:fill="FFFFFF"/>
            <w:tcMar>
              <w:top w:w="40" w:type="dxa"/>
              <w:left w:w="0" w:type="dxa"/>
              <w:bottom w:w="40" w:type="dxa"/>
              <w:right w:w="20" w:type="dxa"/>
            </w:tcMar>
            <w:vAlign w:val="bottom"/>
          </w:tcPr>
          <w:p w14:paraId="71D490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0D6" w14:textId="77777777" w:rsidR="006A3667" w:rsidRDefault="00045F32">
            <w:pPr>
              <w:jc w:val="right"/>
              <w:textAlignment w:val="bottom"/>
            </w:pPr>
            <w:r>
              <w:rPr>
                <w:rFonts w:ascii="Arial" w:eastAsia="宋体" w:hAnsi="Arial" w:cs="Arial"/>
                <w:b/>
                <w:bCs/>
                <w:color w:val="000000"/>
                <w:sz w:val="14"/>
                <w:szCs w:val="14"/>
              </w:rPr>
              <w:t>627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0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0D9" w14:textId="77777777" w:rsidR="006A3667" w:rsidRDefault="00045F32">
            <w:pPr>
              <w:jc w:val="right"/>
              <w:textAlignment w:val="bottom"/>
            </w:pPr>
            <w:r>
              <w:rPr>
                <w:rFonts w:ascii="Arial" w:eastAsia="宋体" w:hAnsi="Arial" w:cs="Arial"/>
                <w:color w:val="000000"/>
                <w:sz w:val="14"/>
                <w:szCs w:val="14"/>
              </w:rPr>
              <w:t>466 </w:t>
            </w:r>
          </w:p>
        </w:tc>
        <w:tc>
          <w:tcPr>
            <w:tcW w:w="0" w:type="auto"/>
            <w:shd w:val="clear" w:color="auto" w:fill="FFFFFF"/>
            <w:tcMar>
              <w:top w:w="40" w:type="dxa"/>
              <w:left w:w="0" w:type="dxa"/>
              <w:bottom w:w="40" w:type="dxa"/>
              <w:right w:w="20" w:type="dxa"/>
            </w:tcMar>
            <w:vAlign w:val="bottom"/>
          </w:tcPr>
          <w:p w14:paraId="71D490DA" w14:textId="77777777" w:rsidR="006A3667" w:rsidRDefault="006A3667">
            <w:pPr>
              <w:jc w:val="right"/>
              <w:rPr>
                <w:rFonts w:ascii="宋体"/>
              </w:rPr>
            </w:pPr>
          </w:p>
        </w:tc>
        <w:tc>
          <w:tcPr>
            <w:tcW w:w="0" w:type="auto"/>
            <w:gridSpan w:val="3"/>
            <w:shd w:val="clear" w:color="auto" w:fill="auto"/>
            <w:vAlign w:val="bottom"/>
          </w:tcPr>
          <w:p w14:paraId="71D490DB" w14:textId="77777777" w:rsidR="006A3667" w:rsidRDefault="006A3667">
            <w:pPr>
              <w:rPr>
                <w:rFonts w:ascii="宋体"/>
                <w:vanish/>
              </w:rPr>
            </w:pPr>
          </w:p>
        </w:tc>
        <w:tc>
          <w:tcPr>
            <w:tcW w:w="0" w:type="auto"/>
            <w:gridSpan w:val="3"/>
            <w:shd w:val="clear" w:color="auto" w:fill="auto"/>
            <w:vAlign w:val="bottom"/>
          </w:tcPr>
          <w:p w14:paraId="71D490DC" w14:textId="77777777" w:rsidR="006A3667" w:rsidRDefault="006A3667">
            <w:pPr>
              <w:rPr>
                <w:rFonts w:ascii="宋体"/>
                <w:vanish/>
              </w:rPr>
            </w:pPr>
          </w:p>
        </w:tc>
      </w:tr>
      <w:tr w:rsidR="006A3667" w14:paraId="71D490EC" w14:textId="77777777">
        <w:tc>
          <w:tcPr>
            <w:tcW w:w="0" w:type="auto"/>
            <w:gridSpan w:val="3"/>
            <w:shd w:val="clear" w:color="auto" w:fill="CCEEFF"/>
            <w:tcMar>
              <w:top w:w="40" w:type="dxa"/>
              <w:left w:w="20" w:type="dxa"/>
              <w:bottom w:w="40" w:type="dxa"/>
              <w:right w:w="20" w:type="dxa"/>
            </w:tcMar>
            <w:vAlign w:val="bottom"/>
          </w:tcPr>
          <w:p w14:paraId="71D490DE" w14:textId="77777777" w:rsidR="006A3667" w:rsidRDefault="00045F32">
            <w:pPr>
              <w:textAlignment w:val="bottom"/>
            </w:pPr>
            <w:r>
              <w:rPr>
                <w:rFonts w:ascii="Arial" w:eastAsia="宋体" w:hAnsi="Arial" w:cs="Arial"/>
                <w:color w:val="000000"/>
                <w:sz w:val="14"/>
                <w:szCs w:val="14"/>
              </w:rPr>
              <w:t>Other interest-earning assets</w:t>
            </w:r>
          </w:p>
        </w:tc>
        <w:tc>
          <w:tcPr>
            <w:tcW w:w="0" w:type="auto"/>
            <w:gridSpan w:val="2"/>
            <w:shd w:val="clear" w:color="auto" w:fill="CCEEFF"/>
            <w:tcMar>
              <w:top w:w="40" w:type="dxa"/>
              <w:left w:w="20" w:type="dxa"/>
              <w:bottom w:w="40" w:type="dxa"/>
              <w:right w:w="0" w:type="dxa"/>
            </w:tcMar>
            <w:vAlign w:val="bottom"/>
          </w:tcPr>
          <w:p w14:paraId="71D490DF" w14:textId="77777777" w:rsidR="006A3667" w:rsidRDefault="00045F32">
            <w:pPr>
              <w:jc w:val="right"/>
              <w:textAlignment w:val="bottom"/>
            </w:pPr>
            <w:r>
              <w:rPr>
                <w:rFonts w:ascii="Arial" w:eastAsia="宋体" w:hAnsi="Arial" w:cs="Arial"/>
                <w:b/>
                <w:bCs/>
                <w:color w:val="000000"/>
                <w:sz w:val="14"/>
                <w:szCs w:val="14"/>
              </w:rPr>
              <w:t>139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E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E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E2" w14:textId="77777777" w:rsidR="006A3667" w:rsidRDefault="00045F32">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71D490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E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E5" w14:textId="77777777" w:rsidR="006A3667" w:rsidRDefault="00045F32">
            <w:pPr>
              <w:jc w:val="right"/>
              <w:textAlignment w:val="bottom"/>
            </w:pPr>
            <w:r>
              <w:rPr>
                <w:rFonts w:ascii="Arial" w:eastAsia="宋体" w:hAnsi="Arial" w:cs="Arial"/>
                <w:b/>
                <w:bCs/>
                <w:color w:val="000000"/>
                <w:sz w:val="14"/>
                <w:szCs w:val="14"/>
              </w:rPr>
              <w:t>189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0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0E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0E8"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71D490E9" w14:textId="77777777" w:rsidR="006A3667" w:rsidRDefault="006A3667">
            <w:pPr>
              <w:jc w:val="right"/>
              <w:rPr>
                <w:rFonts w:ascii="宋体"/>
              </w:rPr>
            </w:pPr>
          </w:p>
        </w:tc>
        <w:tc>
          <w:tcPr>
            <w:tcW w:w="0" w:type="auto"/>
            <w:gridSpan w:val="3"/>
            <w:shd w:val="clear" w:color="auto" w:fill="auto"/>
            <w:vAlign w:val="bottom"/>
          </w:tcPr>
          <w:p w14:paraId="71D490EA" w14:textId="77777777" w:rsidR="006A3667" w:rsidRDefault="006A3667">
            <w:pPr>
              <w:rPr>
                <w:rFonts w:ascii="宋体"/>
                <w:vanish/>
              </w:rPr>
            </w:pPr>
          </w:p>
        </w:tc>
        <w:tc>
          <w:tcPr>
            <w:tcW w:w="0" w:type="auto"/>
            <w:gridSpan w:val="3"/>
            <w:shd w:val="clear" w:color="auto" w:fill="auto"/>
            <w:vAlign w:val="bottom"/>
          </w:tcPr>
          <w:p w14:paraId="71D490EB" w14:textId="77777777" w:rsidR="006A3667" w:rsidRDefault="006A3667">
            <w:pPr>
              <w:rPr>
                <w:rFonts w:ascii="宋体"/>
                <w:vanish/>
              </w:rPr>
            </w:pPr>
          </w:p>
        </w:tc>
      </w:tr>
      <w:tr w:rsidR="006A3667" w14:paraId="71D490FB" w14:textId="77777777">
        <w:tc>
          <w:tcPr>
            <w:tcW w:w="0" w:type="auto"/>
            <w:gridSpan w:val="3"/>
            <w:shd w:val="clear" w:color="auto" w:fill="FFFFFF"/>
            <w:tcMar>
              <w:top w:w="40" w:type="dxa"/>
              <w:left w:w="20" w:type="dxa"/>
              <w:bottom w:w="40" w:type="dxa"/>
              <w:right w:w="20" w:type="dxa"/>
            </w:tcMar>
            <w:vAlign w:val="bottom"/>
          </w:tcPr>
          <w:p w14:paraId="71D490ED" w14:textId="77777777" w:rsidR="006A3667" w:rsidRDefault="00045F32">
            <w:pPr>
              <w:textAlignment w:val="bottom"/>
            </w:pPr>
            <w:r>
              <w:rPr>
                <w:rFonts w:ascii="Arial" w:eastAsia="宋体" w:hAnsi="Arial" w:cs="Arial"/>
                <w:color w:val="000000"/>
                <w:sz w:val="14"/>
                <w:szCs w:val="14"/>
              </w:rPr>
              <w:t>Total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0EE" w14:textId="77777777" w:rsidR="006A3667" w:rsidRDefault="00045F32">
            <w:pPr>
              <w:jc w:val="right"/>
              <w:textAlignment w:val="bottom"/>
            </w:pPr>
            <w:r>
              <w:rPr>
                <w:rFonts w:ascii="Arial" w:eastAsia="宋体" w:hAnsi="Arial" w:cs="Arial"/>
                <w:b/>
                <w:bCs/>
                <w:color w:val="000000"/>
                <w:sz w:val="14"/>
                <w:szCs w:val="14"/>
              </w:rPr>
              <w:t>1,101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0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F0"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0F1" w14:textId="77777777" w:rsidR="006A3667" w:rsidRDefault="00045F32">
            <w:pPr>
              <w:jc w:val="right"/>
              <w:textAlignment w:val="bottom"/>
            </w:pPr>
            <w:r>
              <w:rPr>
                <w:rFonts w:ascii="Arial" w:eastAsia="宋体" w:hAnsi="Arial" w:cs="Arial"/>
                <w:color w:val="000000"/>
                <w:sz w:val="14"/>
                <w:szCs w:val="14"/>
              </w:rPr>
              <w:t>487 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0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F3"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0F4" w14:textId="77777777" w:rsidR="006A3667" w:rsidRDefault="00045F32">
            <w:pPr>
              <w:jc w:val="right"/>
              <w:textAlignment w:val="bottom"/>
            </w:pPr>
            <w:r>
              <w:rPr>
                <w:rFonts w:ascii="Arial" w:eastAsia="宋体" w:hAnsi="Arial" w:cs="Arial"/>
                <w:b/>
                <w:bCs/>
                <w:color w:val="000000"/>
                <w:sz w:val="14"/>
                <w:szCs w:val="14"/>
              </w:rPr>
              <w:t>2,326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0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0F6"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0F7" w14:textId="77777777" w:rsidR="006A3667" w:rsidRDefault="00045F32">
            <w:pPr>
              <w:jc w:val="right"/>
              <w:textAlignment w:val="bottom"/>
            </w:pPr>
            <w:r>
              <w:rPr>
                <w:rFonts w:ascii="Arial" w:eastAsia="宋体" w:hAnsi="Arial" w:cs="Arial"/>
                <w:color w:val="000000"/>
                <w:sz w:val="14"/>
                <w:szCs w:val="14"/>
              </w:rPr>
              <w:t>1,425 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0F8" w14:textId="77777777" w:rsidR="006A3667" w:rsidRDefault="006A3667">
            <w:pPr>
              <w:jc w:val="right"/>
              <w:rPr>
                <w:rFonts w:ascii="宋体"/>
              </w:rPr>
            </w:pPr>
          </w:p>
        </w:tc>
        <w:tc>
          <w:tcPr>
            <w:tcW w:w="0" w:type="auto"/>
            <w:gridSpan w:val="3"/>
            <w:shd w:val="clear" w:color="auto" w:fill="auto"/>
            <w:vAlign w:val="bottom"/>
          </w:tcPr>
          <w:p w14:paraId="71D490F9" w14:textId="77777777" w:rsidR="006A3667" w:rsidRDefault="006A3667">
            <w:pPr>
              <w:rPr>
                <w:rFonts w:ascii="宋体"/>
                <w:vanish/>
              </w:rPr>
            </w:pPr>
          </w:p>
        </w:tc>
        <w:tc>
          <w:tcPr>
            <w:tcW w:w="0" w:type="auto"/>
            <w:gridSpan w:val="3"/>
            <w:shd w:val="clear" w:color="auto" w:fill="auto"/>
            <w:vAlign w:val="bottom"/>
          </w:tcPr>
          <w:p w14:paraId="71D490FA" w14:textId="77777777" w:rsidR="006A3667" w:rsidRDefault="006A3667">
            <w:pPr>
              <w:rPr>
                <w:rFonts w:ascii="宋体"/>
                <w:vanish/>
              </w:rPr>
            </w:pPr>
          </w:p>
        </w:tc>
      </w:tr>
      <w:tr w:rsidR="006A3667" w14:paraId="71D49106" w14:textId="77777777">
        <w:tc>
          <w:tcPr>
            <w:tcW w:w="0" w:type="auto"/>
            <w:gridSpan w:val="3"/>
            <w:shd w:val="clear" w:color="auto" w:fill="CCEEFF"/>
            <w:tcMar>
              <w:top w:w="40" w:type="dxa"/>
              <w:left w:w="20" w:type="dxa"/>
              <w:bottom w:w="40" w:type="dxa"/>
              <w:right w:w="20" w:type="dxa"/>
            </w:tcMar>
            <w:vAlign w:val="bottom"/>
          </w:tcPr>
          <w:p w14:paraId="71D490FC" w14:textId="77777777" w:rsidR="006A3667" w:rsidRDefault="00045F32">
            <w:pPr>
              <w:textAlignment w:val="bottom"/>
            </w:pPr>
            <w:r>
              <w:rPr>
                <w:rFonts w:ascii="Arial" w:eastAsia="宋体" w:hAnsi="Arial" w:cs="Arial"/>
                <w:b/>
                <w:bCs/>
                <w:color w:val="000000"/>
                <w:sz w:val="14"/>
                <w:szCs w:val="14"/>
              </w:rPr>
              <w:t>Interest expense: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90F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0FE"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90F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100"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910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102" w14:textId="77777777" w:rsidR="006A3667" w:rsidRDefault="006A3667">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1D49103" w14:textId="77777777" w:rsidR="006A3667" w:rsidRDefault="006A3667">
            <w:pPr>
              <w:rPr>
                <w:rFonts w:ascii="宋体"/>
              </w:rPr>
            </w:pPr>
          </w:p>
        </w:tc>
        <w:tc>
          <w:tcPr>
            <w:tcW w:w="0" w:type="auto"/>
            <w:gridSpan w:val="3"/>
            <w:shd w:val="clear" w:color="auto" w:fill="auto"/>
            <w:vAlign w:val="bottom"/>
          </w:tcPr>
          <w:p w14:paraId="71D49104" w14:textId="77777777" w:rsidR="006A3667" w:rsidRDefault="006A3667">
            <w:pPr>
              <w:rPr>
                <w:rFonts w:ascii="宋体"/>
                <w:vanish/>
              </w:rPr>
            </w:pPr>
          </w:p>
        </w:tc>
        <w:tc>
          <w:tcPr>
            <w:tcW w:w="0" w:type="auto"/>
            <w:gridSpan w:val="3"/>
            <w:shd w:val="clear" w:color="auto" w:fill="auto"/>
            <w:vAlign w:val="bottom"/>
          </w:tcPr>
          <w:p w14:paraId="71D49105" w14:textId="77777777" w:rsidR="006A3667" w:rsidRDefault="006A3667">
            <w:pPr>
              <w:rPr>
                <w:rFonts w:ascii="宋体"/>
                <w:vanish/>
              </w:rPr>
            </w:pPr>
          </w:p>
        </w:tc>
      </w:tr>
      <w:tr w:rsidR="006A3667" w14:paraId="71D49115" w14:textId="77777777">
        <w:tc>
          <w:tcPr>
            <w:tcW w:w="0" w:type="auto"/>
            <w:gridSpan w:val="3"/>
            <w:shd w:val="clear" w:color="auto" w:fill="FFFFFF"/>
            <w:tcMar>
              <w:top w:w="40" w:type="dxa"/>
              <w:left w:w="20" w:type="dxa"/>
              <w:bottom w:w="40" w:type="dxa"/>
              <w:right w:w="20" w:type="dxa"/>
            </w:tcMar>
            <w:vAlign w:val="bottom"/>
          </w:tcPr>
          <w:p w14:paraId="71D49107" w14:textId="77777777" w:rsidR="006A3667" w:rsidRDefault="00045F32">
            <w:pPr>
              <w:textAlignment w:val="bottom"/>
            </w:pPr>
            <w:r>
              <w:rPr>
                <w:rFonts w:ascii="Arial" w:eastAsia="宋体" w:hAnsi="Arial" w:cs="Arial"/>
                <w:color w:val="000000"/>
                <w:sz w:val="14"/>
                <w:szCs w:val="14"/>
              </w:rPr>
              <w:t>Interest-bearing deposits</w:t>
            </w:r>
          </w:p>
        </w:tc>
        <w:tc>
          <w:tcPr>
            <w:tcW w:w="0" w:type="auto"/>
            <w:gridSpan w:val="2"/>
            <w:shd w:val="clear" w:color="auto" w:fill="FFFFFF"/>
            <w:tcMar>
              <w:top w:w="40" w:type="dxa"/>
              <w:left w:w="20" w:type="dxa"/>
              <w:bottom w:w="40" w:type="dxa"/>
              <w:right w:w="0" w:type="dxa"/>
            </w:tcMar>
            <w:vAlign w:val="bottom"/>
          </w:tcPr>
          <w:p w14:paraId="71D49108" w14:textId="77777777" w:rsidR="006A3667" w:rsidRDefault="00045F32">
            <w:pPr>
              <w:jc w:val="right"/>
              <w:textAlignment w:val="bottom"/>
            </w:pPr>
            <w:r>
              <w:rPr>
                <w:rFonts w:ascii="Arial" w:eastAsia="宋体" w:hAnsi="Arial" w:cs="Arial"/>
                <w:b/>
                <w:bCs/>
                <w:color w:val="000000"/>
                <w:sz w:val="14"/>
                <w:szCs w:val="14"/>
              </w:rPr>
              <w:t>300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0B" w14:textId="77777777" w:rsidR="006A3667" w:rsidRDefault="00045F32">
            <w:pPr>
              <w:jc w:val="right"/>
              <w:textAlignment w:val="bottom"/>
            </w:pPr>
            <w:r>
              <w:rPr>
                <w:rFonts w:ascii="Arial" w:eastAsia="宋体" w:hAnsi="Arial" w:cs="Arial"/>
                <w:color w:val="000000"/>
                <w:sz w:val="14"/>
                <w:szCs w:val="14"/>
              </w:rPr>
              <w:t>(62)</w:t>
            </w:r>
          </w:p>
        </w:tc>
        <w:tc>
          <w:tcPr>
            <w:tcW w:w="0" w:type="auto"/>
            <w:shd w:val="clear" w:color="auto" w:fill="FFFFFF"/>
            <w:tcMar>
              <w:top w:w="40" w:type="dxa"/>
              <w:left w:w="0" w:type="dxa"/>
              <w:bottom w:w="40" w:type="dxa"/>
              <w:right w:w="20" w:type="dxa"/>
            </w:tcMar>
            <w:vAlign w:val="bottom"/>
          </w:tcPr>
          <w:p w14:paraId="71D491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0E" w14:textId="77777777" w:rsidR="006A3667" w:rsidRDefault="00045F32">
            <w:pPr>
              <w:jc w:val="right"/>
              <w:textAlignment w:val="bottom"/>
            </w:pPr>
            <w:r>
              <w:rPr>
                <w:rFonts w:ascii="Arial" w:eastAsia="宋体" w:hAnsi="Arial" w:cs="Arial"/>
                <w:b/>
                <w:bCs/>
                <w:color w:val="000000"/>
                <w:sz w:val="14"/>
                <w:szCs w:val="14"/>
              </w:rPr>
              <w:t>260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11" w14:textId="77777777" w:rsidR="006A3667" w:rsidRDefault="00045F32">
            <w:pPr>
              <w:jc w:val="right"/>
              <w:textAlignment w:val="bottom"/>
            </w:pPr>
            <w:r>
              <w:rPr>
                <w:rFonts w:ascii="Arial" w:eastAsia="宋体" w:hAnsi="Arial" w:cs="Arial"/>
                <w:color w:val="000000"/>
                <w:sz w:val="14"/>
                <w:szCs w:val="14"/>
              </w:rPr>
              <w:t>(196)</w:t>
            </w:r>
          </w:p>
        </w:tc>
        <w:tc>
          <w:tcPr>
            <w:tcW w:w="0" w:type="auto"/>
            <w:shd w:val="clear" w:color="auto" w:fill="FFFFFF"/>
            <w:tcMar>
              <w:top w:w="40" w:type="dxa"/>
              <w:left w:w="0" w:type="dxa"/>
              <w:bottom w:w="40" w:type="dxa"/>
              <w:right w:w="20" w:type="dxa"/>
            </w:tcMar>
            <w:vAlign w:val="bottom"/>
          </w:tcPr>
          <w:p w14:paraId="71D49112" w14:textId="77777777" w:rsidR="006A3667" w:rsidRDefault="006A3667">
            <w:pPr>
              <w:jc w:val="right"/>
              <w:rPr>
                <w:rFonts w:ascii="宋体"/>
              </w:rPr>
            </w:pPr>
          </w:p>
        </w:tc>
        <w:tc>
          <w:tcPr>
            <w:tcW w:w="0" w:type="auto"/>
            <w:gridSpan w:val="3"/>
            <w:shd w:val="clear" w:color="auto" w:fill="auto"/>
            <w:vAlign w:val="bottom"/>
          </w:tcPr>
          <w:p w14:paraId="71D49113" w14:textId="77777777" w:rsidR="006A3667" w:rsidRDefault="006A3667">
            <w:pPr>
              <w:rPr>
                <w:rFonts w:ascii="宋体"/>
                <w:vanish/>
              </w:rPr>
            </w:pPr>
          </w:p>
        </w:tc>
        <w:tc>
          <w:tcPr>
            <w:tcW w:w="0" w:type="auto"/>
            <w:gridSpan w:val="3"/>
            <w:shd w:val="clear" w:color="auto" w:fill="auto"/>
            <w:vAlign w:val="bottom"/>
          </w:tcPr>
          <w:p w14:paraId="71D49114" w14:textId="77777777" w:rsidR="006A3667" w:rsidRDefault="006A3667">
            <w:pPr>
              <w:rPr>
                <w:rFonts w:ascii="宋体"/>
                <w:vanish/>
              </w:rPr>
            </w:pPr>
          </w:p>
        </w:tc>
      </w:tr>
      <w:tr w:rsidR="006A3667" w14:paraId="71D49124" w14:textId="77777777">
        <w:tc>
          <w:tcPr>
            <w:tcW w:w="0" w:type="auto"/>
            <w:gridSpan w:val="3"/>
            <w:shd w:val="clear" w:color="auto" w:fill="CCEEFF"/>
            <w:tcMar>
              <w:top w:w="40" w:type="dxa"/>
              <w:left w:w="20" w:type="dxa"/>
              <w:bottom w:w="40" w:type="dxa"/>
              <w:right w:w="20" w:type="dxa"/>
            </w:tcMar>
            <w:vAlign w:val="bottom"/>
          </w:tcPr>
          <w:p w14:paraId="71D49116" w14:textId="77777777" w:rsidR="006A3667" w:rsidRDefault="00045F32">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71D4911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1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1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1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1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1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1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20" w14:textId="77777777" w:rsidR="006A3667" w:rsidRDefault="00045F32">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71D49121" w14:textId="77777777" w:rsidR="006A3667" w:rsidRDefault="006A3667">
            <w:pPr>
              <w:jc w:val="right"/>
              <w:rPr>
                <w:rFonts w:ascii="宋体"/>
              </w:rPr>
            </w:pPr>
          </w:p>
        </w:tc>
        <w:tc>
          <w:tcPr>
            <w:tcW w:w="0" w:type="auto"/>
            <w:gridSpan w:val="3"/>
            <w:shd w:val="clear" w:color="auto" w:fill="auto"/>
            <w:vAlign w:val="bottom"/>
          </w:tcPr>
          <w:p w14:paraId="71D49122" w14:textId="77777777" w:rsidR="006A3667" w:rsidRDefault="006A3667">
            <w:pPr>
              <w:rPr>
                <w:rFonts w:ascii="宋体"/>
                <w:vanish/>
              </w:rPr>
            </w:pPr>
          </w:p>
        </w:tc>
        <w:tc>
          <w:tcPr>
            <w:tcW w:w="0" w:type="auto"/>
            <w:gridSpan w:val="3"/>
            <w:shd w:val="clear" w:color="auto" w:fill="auto"/>
            <w:vAlign w:val="bottom"/>
          </w:tcPr>
          <w:p w14:paraId="71D49123" w14:textId="77777777" w:rsidR="006A3667" w:rsidRDefault="006A3667">
            <w:pPr>
              <w:rPr>
                <w:rFonts w:ascii="宋体"/>
                <w:vanish/>
              </w:rPr>
            </w:pPr>
          </w:p>
        </w:tc>
      </w:tr>
      <w:tr w:rsidR="006A3667" w14:paraId="71D49133" w14:textId="77777777">
        <w:tc>
          <w:tcPr>
            <w:tcW w:w="0" w:type="auto"/>
            <w:gridSpan w:val="3"/>
            <w:shd w:val="clear" w:color="auto" w:fill="FFFFFF"/>
            <w:tcMar>
              <w:top w:w="40" w:type="dxa"/>
              <w:left w:w="20" w:type="dxa"/>
              <w:bottom w:w="40" w:type="dxa"/>
              <w:right w:w="20" w:type="dxa"/>
            </w:tcMar>
            <w:vAlign w:val="bottom"/>
          </w:tcPr>
          <w:p w14:paraId="71D49125" w14:textId="77777777" w:rsidR="006A3667" w:rsidRDefault="00045F32">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71D49126" w14:textId="77777777" w:rsidR="006A3667" w:rsidRDefault="00045F32">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2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2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2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2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2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2C"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2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2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2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30" w14:textId="77777777" w:rsidR="006A3667" w:rsidRDefault="006A3667">
            <w:pPr>
              <w:jc w:val="right"/>
              <w:rPr>
                <w:rFonts w:ascii="宋体"/>
              </w:rPr>
            </w:pPr>
          </w:p>
        </w:tc>
        <w:tc>
          <w:tcPr>
            <w:tcW w:w="0" w:type="auto"/>
            <w:gridSpan w:val="3"/>
            <w:shd w:val="clear" w:color="auto" w:fill="auto"/>
            <w:vAlign w:val="bottom"/>
          </w:tcPr>
          <w:p w14:paraId="71D49131" w14:textId="77777777" w:rsidR="006A3667" w:rsidRDefault="006A3667">
            <w:pPr>
              <w:rPr>
                <w:rFonts w:ascii="宋体"/>
                <w:vanish/>
              </w:rPr>
            </w:pPr>
          </w:p>
        </w:tc>
        <w:tc>
          <w:tcPr>
            <w:tcW w:w="0" w:type="auto"/>
            <w:gridSpan w:val="3"/>
            <w:shd w:val="clear" w:color="auto" w:fill="auto"/>
            <w:vAlign w:val="bottom"/>
          </w:tcPr>
          <w:p w14:paraId="71D49132" w14:textId="77777777" w:rsidR="006A3667" w:rsidRDefault="006A3667">
            <w:pPr>
              <w:rPr>
                <w:rFonts w:ascii="宋体"/>
                <w:vanish/>
              </w:rPr>
            </w:pPr>
          </w:p>
        </w:tc>
      </w:tr>
      <w:tr w:rsidR="006A3667" w14:paraId="71D49142" w14:textId="77777777">
        <w:tc>
          <w:tcPr>
            <w:tcW w:w="0" w:type="auto"/>
            <w:gridSpan w:val="3"/>
            <w:shd w:val="clear" w:color="auto" w:fill="CCEEFF"/>
            <w:tcMar>
              <w:top w:w="40" w:type="dxa"/>
              <w:left w:w="20" w:type="dxa"/>
              <w:bottom w:w="40" w:type="dxa"/>
              <w:right w:w="20" w:type="dxa"/>
            </w:tcMar>
            <w:vAlign w:val="bottom"/>
          </w:tcPr>
          <w:p w14:paraId="71D49134" w14:textId="77777777" w:rsidR="006A3667" w:rsidRDefault="00045F32">
            <w:pPr>
              <w:textAlignment w:val="bottom"/>
            </w:pPr>
            <w:r>
              <w:rPr>
                <w:rFonts w:ascii="Arial" w:eastAsia="宋体" w:hAnsi="Arial" w:cs="Arial"/>
                <w:color w:val="000000"/>
                <w:sz w:val="14"/>
                <w:szCs w:val="14"/>
              </w:rPr>
              <w:t>Other short-term borrowings</w:t>
            </w:r>
          </w:p>
        </w:tc>
        <w:tc>
          <w:tcPr>
            <w:tcW w:w="0" w:type="auto"/>
            <w:gridSpan w:val="2"/>
            <w:shd w:val="clear" w:color="auto" w:fill="CCEEFF"/>
            <w:tcMar>
              <w:top w:w="40" w:type="dxa"/>
              <w:left w:w="20" w:type="dxa"/>
              <w:bottom w:w="40" w:type="dxa"/>
              <w:right w:w="0" w:type="dxa"/>
            </w:tcMar>
            <w:vAlign w:val="bottom"/>
          </w:tcPr>
          <w:p w14:paraId="71D4913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3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3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3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3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3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3B" w14:textId="77777777" w:rsidR="006A3667" w:rsidRDefault="00045F32">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3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3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3E"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71D4913F" w14:textId="77777777" w:rsidR="006A3667" w:rsidRDefault="006A3667">
            <w:pPr>
              <w:jc w:val="right"/>
              <w:rPr>
                <w:rFonts w:ascii="宋体"/>
              </w:rPr>
            </w:pPr>
          </w:p>
        </w:tc>
        <w:tc>
          <w:tcPr>
            <w:tcW w:w="0" w:type="auto"/>
            <w:gridSpan w:val="3"/>
            <w:shd w:val="clear" w:color="auto" w:fill="auto"/>
            <w:vAlign w:val="bottom"/>
          </w:tcPr>
          <w:p w14:paraId="71D49140" w14:textId="77777777" w:rsidR="006A3667" w:rsidRDefault="006A3667">
            <w:pPr>
              <w:rPr>
                <w:rFonts w:ascii="宋体"/>
                <w:vanish/>
              </w:rPr>
            </w:pPr>
          </w:p>
        </w:tc>
        <w:tc>
          <w:tcPr>
            <w:tcW w:w="0" w:type="auto"/>
            <w:gridSpan w:val="3"/>
            <w:shd w:val="clear" w:color="auto" w:fill="auto"/>
            <w:vAlign w:val="bottom"/>
          </w:tcPr>
          <w:p w14:paraId="71D49141" w14:textId="77777777" w:rsidR="006A3667" w:rsidRDefault="006A3667">
            <w:pPr>
              <w:rPr>
                <w:rFonts w:ascii="宋体"/>
                <w:vanish/>
              </w:rPr>
            </w:pPr>
          </w:p>
        </w:tc>
      </w:tr>
      <w:tr w:rsidR="006A3667" w14:paraId="71D49151" w14:textId="77777777">
        <w:tc>
          <w:tcPr>
            <w:tcW w:w="0" w:type="auto"/>
            <w:gridSpan w:val="3"/>
            <w:shd w:val="clear" w:color="auto" w:fill="FFFFFF"/>
            <w:tcMar>
              <w:top w:w="40" w:type="dxa"/>
              <w:left w:w="20" w:type="dxa"/>
              <w:bottom w:w="40" w:type="dxa"/>
              <w:right w:w="20" w:type="dxa"/>
            </w:tcMar>
            <w:vAlign w:val="bottom"/>
          </w:tcPr>
          <w:p w14:paraId="71D49143" w14:textId="77777777" w:rsidR="006A3667" w:rsidRDefault="00045F32">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71D49144" w14:textId="77777777" w:rsidR="006A3667" w:rsidRDefault="00045F32">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4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47" w14:textId="77777777" w:rsidR="006A3667" w:rsidRDefault="00045F32">
            <w:pPr>
              <w:jc w:val="right"/>
              <w:textAlignment w:val="bottom"/>
            </w:pPr>
            <w:r>
              <w:rPr>
                <w:rFonts w:ascii="Arial" w:eastAsia="宋体" w:hAnsi="Arial" w:cs="Arial"/>
                <w:color w:val="000000"/>
                <w:sz w:val="14"/>
                <w:szCs w:val="14"/>
              </w:rPr>
              <w:t>51 </w:t>
            </w:r>
          </w:p>
        </w:tc>
        <w:tc>
          <w:tcPr>
            <w:tcW w:w="0" w:type="auto"/>
            <w:shd w:val="clear" w:color="auto" w:fill="FFFFFF"/>
            <w:tcMar>
              <w:top w:w="40" w:type="dxa"/>
              <w:left w:w="0" w:type="dxa"/>
              <w:bottom w:w="40" w:type="dxa"/>
              <w:right w:w="20" w:type="dxa"/>
            </w:tcMar>
            <w:vAlign w:val="bottom"/>
          </w:tcPr>
          <w:p w14:paraId="71D491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4A" w14:textId="77777777" w:rsidR="006A3667" w:rsidRDefault="00045F32">
            <w:pPr>
              <w:jc w:val="right"/>
              <w:textAlignment w:val="bottom"/>
            </w:pPr>
            <w:r>
              <w:rPr>
                <w:rFonts w:ascii="Arial" w:eastAsia="宋体" w:hAnsi="Arial" w:cs="Arial"/>
                <w:b/>
                <w:bCs/>
                <w:color w:val="000000"/>
                <w:sz w:val="14"/>
                <w:szCs w:val="14"/>
              </w:rPr>
              <w:t>234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4D" w14:textId="77777777" w:rsidR="006A3667" w:rsidRDefault="00045F32">
            <w:pPr>
              <w:jc w:val="right"/>
              <w:textAlignment w:val="bottom"/>
            </w:pPr>
            <w:r>
              <w:rPr>
                <w:rFonts w:ascii="Arial" w:eastAsia="宋体" w:hAnsi="Arial" w:cs="Arial"/>
                <w:color w:val="000000"/>
                <w:sz w:val="14"/>
                <w:szCs w:val="14"/>
              </w:rPr>
              <w:t>165 </w:t>
            </w:r>
          </w:p>
        </w:tc>
        <w:tc>
          <w:tcPr>
            <w:tcW w:w="0" w:type="auto"/>
            <w:shd w:val="clear" w:color="auto" w:fill="FFFFFF"/>
            <w:tcMar>
              <w:top w:w="40" w:type="dxa"/>
              <w:left w:w="0" w:type="dxa"/>
              <w:bottom w:w="40" w:type="dxa"/>
              <w:right w:w="20" w:type="dxa"/>
            </w:tcMar>
            <w:vAlign w:val="bottom"/>
          </w:tcPr>
          <w:p w14:paraId="71D4914E" w14:textId="77777777" w:rsidR="006A3667" w:rsidRDefault="006A3667">
            <w:pPr>
              <w:jc w:val="right"/>
              <w:rPr>
                <w:rFonts w:ascii="宋体"/>
              </w:rPr>
            </w:pPr>
          </w:p>
        </w:tc>
        <w:tc>
          <w:tcPr>
            <w:tcW w:w="0" w:type="auto"/>
            <w:gridSpan w:val="3"/>
            <w:shd w:val="clear" w:color="auto" w:fill="auto"/>
            <w:vAlign w:val="bottom"/>
          </w:tcPr>
          <w:p w14:paraId="71D4914F" w14:textId="77777777" w:rsidR="006A3667" w:rsidRDefault="006A3667">
            <w:pPr>
              <w:rPr>
                <w:rFonts w:ascii="宋体"/>
                <w:vanish/>
              </w:rPr>
            </w:pPr>
          </w:p>
        </w:tc>
        <w:tc>
          <w:tcPr>
            <w:tcW w:w="0" w:type="auto"/>
            <w:gridSpan w:val="3"/>
            <w:shd w:val="clear" w:color="auto" w:fill="auto"/>
            <w:vAlign w:val="bottom"/>
          </w:tcPr>
          <w:p w14:paraId="71D49150" w14:textId="77777777" w:rsidR="006A3667" w:rsidRDefault="006A3667">
            <w:pPr>
              <w:rPr>
                <w:rFonts w:ascii="宋体"/>
                <w:vanish/>
              </w:rPr>
            </w:pPr>
          </w:p>
        </w:tc>
      </w:tr>
      <w:tr w:rsidR="006A3667" w14:paraId="71D49160" w14:textId="77777777">
        <w:tc>
          <w:tcPr>
            <w:tcW w:w="0" w:type="auto"/>
            <w:gridSpan w:val="3"/>
            <w:shd w:val="clear" w:color="auto" w:fill="CCEEFF"/>
            <w:tcMar>
              <w:top w:w="40" w:type="dxa"/>
              <w:left w:w="20" w:type="dxa"/>
              <w:bottom w:w="40" w:type="dxa"/>
              <w:right w:w="20" w:type="dxa"/>
            </w:tcMar>
            <w:vAlign w:val="bottom"/>
          </w:tcPr>
          <w:p w14:paraId="71D49152" w14:textId="77777777" w:rsidR="006A3667" w:rsidRDefault="00045F32">
            <w:pPr>
              <w:textAlignment w:val="bottom"/>
            </w:pPr>
            <w:r>
              <w:rPr>
                <w:rFonts w:ascii="Arial" w:eastAsia="宋体" w:hAnsi="Arial" w:cs="Arial"/>
                <w:color w:val="000000"/>
                <w:sz w:val="14"/>
                <w:szCs w:val="14"/>
              </w:rPr>
              <w:t>Other interest-bearing liabilities</w:t>
            </w:r>
          </w:p>
        </w:tc>
        <w:tc>
          <w:tcPr>
            <w:tcW w:w="0" w:type="auto"/>
            <w:gridSpan w:val="2"/>
            <w:shd w:val="clear" w:color="auto" w:fill="CCEEFF"/>
            <w:tcMar>
              <w:top w:w="40" w:type="dxa"/>
              <w:left w:w="20" w:type="dxa"/>
              <w:bottom w:w="40" w:type="dxa"/>
              <w:right w:w="0" w:type="dxa"/>
            </w:tcMar>
            <w:vAlign w:val="bottom"/>
          </w:tcPr>
          <w:p w14:paraId="71D49153" w14:textId="77777777" w:rsidR="006A3667" w:rsidRDefault="00045F32">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5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56" w14:textId="77777777" w:rsidR="006A3667" w:rsidRDefault="00045F32">
            <w:pPr>
              <w:jc w:val="right"/>
              <w:textAlignment w:val="bottom"/>
            </w:pPr>
            <w:r>
              <w:rPr>
                <w:rFonts w:ascii="Arial" w:eastAsia="宋体" w:hAnsi="Arial" w:cs="Arial"/>
                <w:color w:val="000000"/>
                <w:sz w:val="14"/>
                <w:szCs w:val="14"/>
              </w:rPr>
              <w:t>11 </w:t>
            </w:r>
          </w:p>
        </w:tc>
        <w:tc>
          <w:tcPr>
            <w:tcW w:w="0" w:type="auto"/>
            <w:shd w:val="clear" w:color="auto" w:fill="CCEEFF"/>
            <w:tcMar>
              <w:top w:w="40" w:type="dxa"/>
              <w:left w:w="0" w:type="dxa"/>
              <w:bottom w:w="40" w:type="dxa"/>
              <w:right w:w="20" w:type="dxa"/>
            </w:tcMar>
            <w:vAlign w:val="bottom"/>
          </w:tcPr>
          <w:p w14:paraId="71D491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5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59" w14:textId="77777777" w:rsidR="006A3667" w:rsidRDefault="00045F32">
            <w:pPr>
              <w:jc w:val="right"/>
              <w:textAlignment w:val="bottom"/>
            </w:pPr>
            <w:r>
              <w:rPr>
                <w:rFonts w:ascii="Arial" w:eastAsia="宋体" w:hAnsi="Arial" w:cs="Arial"/>
                <w:b/>
                <w:bCs/>
                <w:color w:val="000000"/>
                <w:sz w:val="14"/>
                <w:szCs w:val="14"/>
              </w:rPr>
              <w:t>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5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5C" w14:textId="77777777" w:rsidR="006A3667" w:rsidRDefault="00045F32">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71D4915D" w14:textId="77777777" w:rsidR="006A3667" w:rsidRDefault="006A3667">
            <w:pPr>
              <w:jc w:val="right"/>
              <w:rPr>
                <w:rFonts w:ascii="宋体"/>
              </w:rPr>
            </w:pPr>
          </w:p>
        </w:tc>
        <w:tc>
          <w:tcPr>
            <w:tcW w:w="0" w:type="auto"/>
            <w:gridSpan w:val="3"/>
            <w:shd w:val="clear" w:color="auto" w:fill="auto"/>
            <w:vAlign w:val="bottom"/>
          </w:tcPr>
          <w:p w14:paraId="71D4915E" w14:textId="77777777" w:rsidR="006A3667" w:rsidRDefault="006A3667">
            <w:pPr>
              <w:rPr>
                <w:rFonts w:ascii="宋体"/>
                <w:vanish/>
              </w:rPr>
            </w:pPr>
          </w:p>
        </w:tc>
        <w:tc>
          <w:tcPr>
            <w:tcW w:w="0" w:type="auto"/>
            <w:gridSpan w:val="3"/>
            <w:shd w:val="clear" w:color="auto" w:fill="auto"/>
            <w:vAlign w:val="bottom"/>
          </w:tcPr>
          <w:p w14:paraId="71D4915F" w14:textId="77777777" w:rsidR="006A3667" w:rsidRDefault="006A3667">
            <w:pPr>
              <w:rPr>
                <w:rFonts w:ascii="宋体"/>
                <w:vanish/>
              </w:rPr>
            </w:pPr>
          </w:p>
        </w:tc>
      </w:tr>
      <w:tr w:rsidR="006A3667" w14:paraId="71D4916F" w14:textId="77777777">
        <w:tc>
          <w:tcPr>
            <w:tcW w:w="0" w:type="auto"/>
            <w:gridSpan w:val="3"/>
            <w:shd w:val="clear" w:color="auto" w:fill="FFFFFF"/>
            <w:tcMar>
              <w:top w:w="40" w:type="dxa"/>
              <w:left w:w="20" w:type="dxa"/>
              <w:bottom w:w="40" w:type="dxa"/>
              <w:right w:w="20" w:type="dxa"/>
            </w:tcMar>
            <w:vAlign w:val="bottom"/>
          </w:tcPr>
          <w:p w14:paraId="71D49161" w14:textId="77777777" w:rsidR="006A3667" w:rsidRDefault="00045F32">
            <w:pPr>
              <w:textAlignment w:val="bottom"/>
            </w:pPr>
            <w:r>
              <w:rPr>
                <w:rFonts w:ascii="Arial" w:eastAsia="宋体" w:hAnsi="Arial" w:cs="Arial"/>
                <w:color w:val="000000"/>
                <w:sz w:val="14"/>
                <w:szCs w:val="14"/>
              </w:rPr>
              <w:t>Total interest 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162" w14:textId="77777777" w:rsidR="006A3667" w:rsidRDefault="00045F32">
            <w:pPr>
              <w:jc w:val="right"/>
              <w:textAlignment w:val="bottom"/>
            </w:pPr>
            <w:r>
              <w:rPr>
                <w:rFonts w:ascii="Arial" w:eastAsia="宋体" w:hAnsi="Arial" w:cs="Arial"/>
                <w:b/>
                <w:bCs/>
                <w:color w:val="000000"/>
                <w:sz w:val="14"/>
                <w:szCs w:val="14"/>
              </w:rPr>
              <w:t>441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16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6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165"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16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6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168" w14:textId="77777777" w:rsidR="006A3667" w:rsidRDefault="00045F32">
            <w:pPr>
              <w:jc w:val="right"/>
              <w:textAlignment w:val="bottom"/>
            </w:pPr>
            <w:r>
              <w:rPr>
                <w:rFonts w:ascii="Arial" w:eastAsia="宋体" w:hAnsi="Arial" w:cs="Arial"/>
                <w:b/>
                <w:bCs/>
                <w:color w:val="000000"/>
                <w:sz w:val="14"/>
                <w:szCs w:val="14"/>
              </w:rPr>
              <w:t>573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16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6A"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16B" w14:textId="77777777" w:rsidR="006A3667" w:rsidRDefault="00045F32">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16C" w14:textId="77777777" w:rsidR="006A3667" w:rsidRDefault="006A3667">
            <w:pPr>
              <w:jc w:val="right"/>
              <w:rPr>
                <w:rFonts w:ascii="宋体"/>
              </w:rPr>
            </w:pPr>
          </w:p>
        </w:tc>
        <w:tc>
          <w:tcPr>
            <w:tcW w:w="0" w:type="auto"/>
            <w:gridSpan w:val="3"/>
            <w:shd w:val="clear" w:color="auto" w:fill="auto"/>
            <w:vAlign w:val="bottom"/>
          </w:tcPr>
          <w:p w14:paraId="71D4916D" w14:textId="77777777" w:rsidR="006A3667" w:rsidRDefault="006A3667">
            <w:pPr>
              <w:rPr>
                <w:rFonts w:ascii="宋体"/>
                <w:vanish/>
              </w:rPr>
            </w:pPr>
          </w:p>
        </w:tc>
        <w:tc>
          <w:tcPr>
            <w:tcW w:w="0" w:type="auto"/>
            <w:gridSpan w:val="3"/>
            <w:shd w:val="clear" w:color="auto" w:fill="auto"/>
            <w:vAlign w:val="bottom"/>
          </w:tcPr>
          <w:p w14:paraId="71D4916E" w14:textId="77777777" w:rsidR="006A3667" w:rsidRDefault="006A3667">
            <w:pPr>
              <w:rPr>
                <w:rFonts w:ascii="宋体"/>
                <w:vanish/>
              </w:rPr>
            </w:pPr>
          </w:p>
        </w:tc>
      </w:tr>
      <w:tr w:rsidR="006A3667" w14:paraId="71D49182" w14:textId="77777777">
        <w:tc>
          <w:tcPr>
            <w:tcW w:w="0" w:type="auto"/>
            <w:gridSpan w:val="3"/>
            <w:shd w:val="clear" w:color="auto" w:fill="CCEEFF"/>
            <w:tcMar>
              <w:top w:w="40" w:type="dxa"/>
              <w:left w:w="20" w:type="dxa"/>
              <w:bottom w:w="40" w:type="dxa"/>
              <w:right w:w="20" w:type="dxa"/>
            </w:tcMar>
            <w:vAlign w:val="bottom"/>
          </w:tcPr>
          <w:p w14:paraId="71D49170" w14:textId="77777777" w:rsidR="006A3667" w:rsidRDefault="00045F32">
            <w:pPr>
              <w:textAlignment w:val="bottom"/>
            </w:pPr>
            <w:r>
              <w:rPr>
                <w:rFonts w:ascii="Arial" w:eastAsia="宋体" w:hAnsi="Arial" w:cs="Arial"/>
                <w:b/>
                <w:bCs/>
                <w:color w:val="000000"/>
                <w:sz w:val="14"/>
                <w:szCs w:val="14"/>
              </w:rPr>
              <w:t>Net interest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917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9172" w14:textId="77777777" w:rsidR="006A3667" w:rsidRDefault="00045F32">
            <w:pPr>
              <w:jc w:val="right"/>
              <w:textAlignment w:val="bottom"/>
            </w:pPr>
            <w:r>
              <w:rPr>
                <w:rFonts w:ascii="Arial" w:eastAsia="宋体" w:hAnsi="Arial" w:cs="Arial"/>
                <w:b/>
                <w:bCs/>
                <w:color w:val="000000"/>
                <w:sz w:val="14"/>
                <w:szCs w:val="14"/>
              </w:rPr>
              <w:t>660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91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74"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917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9176" w14:textId="77777777" w:rsidR="006A3667" w:rsidRDefault="00045F32">
            <w:pPr>
              <w:jc w:val="right"/>
              <w:textAlignment w:val="bottom"/>
            </w:pPr>
            <w:r>
              <w:rPr>
                <w:rFonts w:ascii="Arial" w:eastAsia="宋体" w:hAnsi="Arial" w:cs="Arial"/>
                <w:color w:val="000000"/>
                <w:sz w:val="14"/>
                <w:szCs w:val="14"/>
              </w:rPr>
              <w:t>487 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91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78"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917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917A" w14:textId="77777777" w:rsidR="006A3667" w:rsidRDefault="00045F32">
            <w:pPr>
              <w:jc w:val="right"/>
              <w:textAlignment w:val="bottom"/>
            </w:pPr>
            <w:r>
              <w:rPr>
                <w:rFonts w:ascii="Arial" w:eastAsia="宋体" w:hAnsi="Arial" w:cs="Arial"/>
                <w:b/>
                <w:bCs/>
                <w:color w:val="000000"/>
                <w:sz w:val="14"/>
                <w:szCs w:val="14"/>
              </w:rPr>
              <w:t>1,753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917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7C" w14:textId="77777777" w:rsidR="006A3667" w:rsidRDefault="006A3667">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1D4917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1D4917E" w14:textId="77777777" w:rsidR="006A3667" w:rsidRDefault="00045F32">
            <w:pPr>
              <w:jc w:val="right"/>
              <w:textAlignment w:val="bottom"/>
            </w:pPr>
            <w:r>
              <w:rPr>
                <w:rFonts w:ascii="Arial" w:eastAsia="宋体" w:hAnsi="Arial" w:cs="Arial"/>
                <w:color w:val="000000"/>
                <w:sz w:val="14"/>
                <w:szCs w:val="14"/>
              </w:rPr>
              <w:t>1,421 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1D4917F" w14:textId="77777777" w:rsidR="006A3667" w:rsidRDefault="006A3667">
            <w:pPr>
              <w:jc w:val="right"/>
              <w:rPr>
                <w:rFonts w:ascii="宋体"/>
              </w:rPr>
            </w:pPr>
          </w:p>
        </w:tc>
        <w:tc>
          <w:tcPr>
            <w:tcW w:w="0" w:type="auto"/>
            <w:gridSpan w:val="3"/>
            <w:shd w:val="clear" w:color="auto" w:fill="auto"/>
            <w:vAlign w:val="bottom"/>
          </w:tcPr>
          <w:p w14:paraId="71D49180" w14:textId="77777777" w:rsidR="006A3667" w:rsidRDefault="006A3667">
            <w:pPr>
              <w:rPr>
                <w:rFonts w:ascii="宋体"/>
                <w:vanish/>
              </w:rPr>
            </w:pPr>
          </w:p>
        </w:tc>
        <w:tc>
          <w:tcPr>
            <w:tcW w:w="0" w:type="auto"/>
            <w:gridSpan w:val="3"/>
            <w:shd w:val="clear" w:color="auto" w:fill="auto"/>
            <w:vAlign w:val="bottom"/>
          </w:tcPr>
          <w:p w14:paraId="71D49181" w14:textId="77777777" w:rsidR="006A3667" w:rsidRDefault="006A3667">
            <w:pPr>
              <w:rPr>
                <w:rFonts w:ascii="宋体"/>
                <w:vanish/>
              </w:rPr>
            </w:pPr>
          </w:p>
        </w:tc>
      </w:tr>
    </w:tbl>
    <w:p w14:paraId="71D49183" w14:textId="77777777" w:rsidR="006A3667" w:rsidRDefault="00045F32">
      <w:pPr>
        <w:spacing w:before="180"/>
        <w:jc w:val="both"/>
      </w:pPr>
      <w:r>
        <w:rPr>
          <w:rFonts w:ascii="Arial" w:eastAsia="宋体" w:hAnsi="Arial" w:cs="Arial"/>
          <w:b/>
          <w:bCs/>
          <w:color w:val="000000"/>
          <w:sz w:val="20"/>
          <w:szCs w:val="20"/>
        </w:rPr>
        <w:t>Note 15.    Expenses</w:t>
      </w:r>
    </w:p>
    <w:p w14:paraId="71D49184" w14:textId="77777777" w:rsidR="006A3667" w:rsidRDefault="00045F32">
      <w:pPr>
        <w:spacing w:before="60"/>
        <w:ind w:firstLine="450"/>
        <w:jc w:val="both"/>
      </w:pPr>
      <w:r>
        <w:rPr>
          <w:rFonts w:ascii="Arial" w:eastAsia="宋体" w:hAnsi="Arial" w:cs="Arial"/>
          <w:color w:val="000000"/>
          <w:sz w:val="20"/>
          <w:szCs w:val="20"/>
        </w:rPr>
        <w:t>The following table presents the components of other expenses for the periods</w:t>
      </w:r>
      <w:r>
        <w:rPr>
          <w:rFonts w:ascii="Arial" w:eastAsia="宋体" w:hAnsi="Arial" w:cs="Arial"/>
          <w:color w:val="000000"/>
          <w:sz w:val="20"/>
          <w:szCs w:val="20"/>
        </w:rPr>
        <w:t xml:space="preserve">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2722"/>
        <w:gridCol w:w="37"/>
        <w:gridCol w:w="98"/>
        <w:gridCol w:w="1115"/>
        <w:gridCol w:w="36"/>
        <w:gridCol w:w="36"/>
        <w:gridCol w:w="36"/>
        <w:gridCol w:w="36"/>
        <w:gridCol w:w="98"/>
        <w:gridCol w:w="1116"/>
        <w:gridCol w:w="36"/>
        <w:gridCol w:w="36"/>
        <w:gridCol w:w="36"/>
        <w:gridCol w:w="36"/>
        <w:gridCol w:w="98"/>
        <w:gridCol w:w="1116"/>
        <w:gridCol w:w="36"/>
        <w:gridCol w:w="36"/>
        <w:gridCol w:w="36"/>
        <w:gridCol w:w="36"/>
        <w:gridCol w:w="98"/>
        <w:gridCol w:w="1116"/>
        <w:gridCol w:w="36"/>
        <w:gridCol w:w="36"/>
        <w:gridCol w:w="36"/>
        <w:gridCol w:w="36"/>
        <w:gridCol w:w="36"/>
        <w:gridCol w:w="36"/>
        <w:gridCol w:w="36"/>
      </w:tblGrid>
      <w:tr w:rsidR="006A3667" w14:paraId="71D4919F" w14:textId="77777777">
        <w:tc>
          <w:tcPr>
            <w:tcW w:w="50" w:type="pct"/>
            <w:shd w:val="clear" w:color="auto" w:fill="auto"/>
            <w:vAlign w:val="bottom"/>
          </w:tcPr>
          <w:p w14:paraId="71D49185" w14:textId="77777777" w:rsidR="006A3667" w:rsidRDefault="006A3667">
            <w:pPr>
              <w:rPr>
                <w:rFonts w:ascii="宋体"/>
              </w:rPr>
            </w:pPr>
          </w:p>
        </w:tc>
        <w:tc>
          <w:tcPr>
            <w:tcW w:w="1728" w:type="pct"/>
            <w:shd w:val="clear" w:color="auto" w:fill="auto"/>
            <w:vAlign w:val="bottom"/>
          </w:tcPr>
          <w:p w14:paraId="71D49186" w14:textId="77777777" w:rsidR="006A3667" w:rsidRDefault="006A3667">
            <w:pPr>
              <w:rPr>
                <w:rFonts w:ascii="宋体"/>
              </w:rPr>
            </w:pPr>
          </w:p>
        </w:tc>
        <w:tc>
          <w:tcPr>
            <w:tcW w:w="5" w:type="pct"/>
            <w:shd w:val="clear" w:color="auto" w:fill="auto"/>
            <w:vAlign w:val="bottom"/>
          </w:tcPr>
          <w:p w14:paraId="71D49187" w14:textId="77777777" w:rsidR="006A3667" w:rsidRDefault="006A3667">
            <w:pPr>
              <w:rPr>
                <w:rFonts w:ascii="宋体"/>
              </w:rPr>
            </w:pPr>
          </w:p>
        </w:tc>
        <w:tc>
          <w:tcPr>
            <w:tcW w:w="50" w:type="pct"/>
            <w:shd w:val="clear" w:color="auto" w:fill="auto"/>
            <w:vAlign w:val="bottom"/>
          </w:tcPr>
          <w:p w14:paraId="71D49188" w14:textId="77777777" w:rsidR="006A3667" w:rsidRDefault="006A3667">
            <w:pPr>
              <w:rPr>
                <w:rFonts w:ascii="宋体"/>
              </w:rPr>
            </w:pPr>
          </w:p>
        </w:tc>
        <w:tc>
          <w:tcPr>
            <w:tcW w:w="727" w:type="pct"/>
            <w:shd w:val="clear" w:color="auto" w:fill="auto"/>
            <w:vAlign w:val="bottom"/>
          </w:tcPr>
          <w:p w14:paraId="71D49189" w14:textId="77777777" w:rsidR="006A3667" w:rsidRDefault="006A3667">
            <w:pPr>
              <w:rPr>
                <w:rFonts w:ascii="宋体"/>
              </w:rPr>
            </w:pPr>
          </w:p>
        </w:tc>
        <w:tc>
          <w:tcPr>
            <w:tcW w:w="5" w:type="pct"/>
            <w:shd w:val="clear" w:color="auto" w:fill="auto"/>
            <w:vAlign w:val="bottom"/>
          </w:tcPr>
          <w:p w14:paraId="71D4918A" w14:textId="77777777" w:rsidR="006A3667" w:rsidRDefault="006A3667">
            <w:pPr>
              <w:rPr>
                <w:rFonts w:ascii="宋体"/>
              </w:rPr>
            </w:pPr>
          </w:p>
        </w:tc>
        <w:tc>
          <w:tcPr>
            <w:tcW w:w="5" w:type="pct"/>
            <w:shd w:val="clear" w:color="auto" w:fill="auto"/>
            <w:vAlign w:val="bottom"/>
          </w:tcPr>
          <w:p w14:paraId="71D4918B" w14:textId="77777777" w:rsidR="006A3667" w:rsidRDefault="006A3667">
            <w:pPr>
              <w:rPr>
                <w:rFonts w:ascii="宋体"/>
              </w:rPr>
            </w:pPr>
          </w:p>
        </w:tc>
        <w:tc>
          <w:tcPr>
            <w:tcW w:w="19" w:type="pct"/>
            <w:shd w:val="clear" w:color="auto" w:fill="auto"/>
            <w:vAlign w:val="bottom"/>
          </w:tcPr>
          <w:p w14:paraId="71D4918C" w14:textId="77777777" w:rsidR="006A3667" w:rsidRDefault="006A3667">
            <w:pPr>
              <w:rPr>
                <w:rFonts w:ascii="宋体"/>
              </w:rPr>
            </w:pPr>
          </w:p>
        </w:tc>
        <w:tc>
          <w:tcPr>
            <w:tcW w:w="5" w:type="pct"/>
            <w:shd w:val="clear" w:color="auto" w:fill="auto"/>
            <w:vAlign w:val="bottom"/>
          </w:tcPr>
          <w:p w14:paraId="71D4918D" w14:textId="77777777" w:rsidR="006A3667" w:rsidRDefault="006A3667">
            <w:pPr>
              <w:rPr>
                <w:rFonts w:ascii="宋体"/>
              </w:rPr>
            </w:pPr>
          </w:p>
        </w:tc>
        <w:tc>
          <w:tcPr>
            <w:tcW w:w="50" w:type="pct"/>
            <w:shd w:val="clear" w:color="auto" w:fill="auto"/>
            <w:vAlign w:val="bottom"/>
          </w:tcPr>
          <w:p w14:paraId="71D4918E" w14:textId="77777777" w:rsidR="006A3667" w:rsidRDefault="006A3667">
            <w:pPr>
              <w:rPr>
                <w:rFonts w:ascii="宋体"/>
              </w:rPr>
            </w:pPr>
          </w:p>
        </w:tc>
        <w:tc>
          <w:tcPr>
            <w:tcW w:w="727" w:type="pct"/>
            <w:shd w:val="clear" w:color="auto" w:fill="auto"/>
            <w:vAlign w:val="bottom"/>
          </w:tcPr>
          <w:p w14:paraId="71D4918F" w14:textId="77777777" w:rsidR="006A3667" w:rsidRDefault="006A3667">
            <w:pPr>
              <w:rPr>
                <w:rFonts w:ascii="宋体"/>
              </w:rPr>
            </w:pPr>
          </w:p>
        </w:tc>
        <w:tc>
          <w:tcPr>
            <w:tcW w:w="5" w:type="pct"/>
            <w:shd w:val="clear" w:color="auto" w:fill="auto"/>
            <w:vAlign w:val="bottom"/>
          </w:tcPr>
          <w:p w14:paraId="71D49190" w14:textId="77777777" w:rsidR="006A3667" w:rsidRDefault="006A3667">
            <w:pPr>
              <w:rPr>
                <w:rFonts w:ascii="宋体"/>
              </w:rPr>
            </w:pPr>
          </w:p>
        </w:tc>
        <w:tc>
          <w:tcPr>
            <w:tcW w:w="5" w:type="pct"/>
            <w:shd w:val="clear" w:color="auto" w:fill="auto"/>
            <w:vAlign w:val="bottom"/>
          </w:tcPr>
          <w:p w14:paraId="71D49191" w14:textId="77777777" w:rsidR="006A3667" w:rsidRDefault="006A3667">
            <w:pPr>
              <w:rPr>
                <w:rFonts w:ascii="宋体"/>
              </w:rPr>
            </w:pPr>
          </w:p>
        </w:tc>
        <w:tc>
          <w:tcPr>
            <w:tcW w:w="19" w:type="pct"/>
            <w:shd w:val="clear" w:color="auto" w:fill="auto"/>
            <w:vAlign w:val="bottom"/>
          </w:tcPr>
          <w:p w14:paraId="71D49192" w14:textId="77777777" w:rsidR="006A3667" w:rsidRDefault="006A3667">
            <w:pPr>
              <w:rPr>
                <w:rFonts w:ascii="宋体"/>
              </w:rPr>
            </w:pPr>
          </w:p>
        </w:tc>
        <w:tc>
          <w:tcPr>
            <w:tcW w:w="5" w:type="pct"/>
            <w:shd w:val="clear" w:color="auto" w:fill="auto"/>
            <w:vAlign w:val="bottom"/>
          </w:tcPr>
          <w:p w14:paraId="71D49193" w14:textId="77777777" w:rsidR="006A3667" w:rsidRDefault="006A3667">
            <w:pPr>
              <w:rPr>
                <w:rFonts w:ascii="宋体"/>
              </w:rPr>
            </w:pPr>
          </w:p>
        </w:tc>
        <w:tc>
          <w:tcPr>
            <w:tcW w:w="50" w:type="pct"/>
            <w:shd w:val="clear" w:color="auto" w:fill="auto"/>
            <w:vAlign w:val="bottom"/>
          </w:tcPr>
          <w:p w14:paraId="71D49194" w14:textId="77777777" w:rsidR="006A3667" w:rsidRDefault="006A3667">
            <w:pPr>
              <w:rPr>
                <w:rFonts w:ascii="宋体"/>
              </w:rPr>
            </w:pPr>
          </w:p>
        </w:tc>
        <w:tc>
          <w:tcPr>
            <w:tcW w:w="727" w:type="pct"/>
            <w:shd w:val="clear" w:color="auto" w:fill="auto"/>
            <w:vAlign w:val="bottom"/>
          </w:tcPr>
          <w:p w14:paraId="71D49195" w14:textId="77777777" w:rsidR="006A3667" w:rsidRDefault="006A3667">
            <w:pPr>
              <w:rPr>
                <w:rFonts w:ascii="宋体"/>
              </w:rPr>
            </w:pPr>
          </w:p>
        </w:tc>
        <w:tc>
          <w:tcPr>
            <w:tcW w:w="5" w:type="pct"/>
            <w:shd w:val="clear" w:color="auto" w:fill="auto"/>
            <w:vAlign w:val="bottom"/>
          </w:tcPr>
          <w:p w14:paraId="71D49196" w14:textId="77777777" w:rsidR="006A3667" w:rsidRDefault="006A3667">
            <w:pPr>
              <w:rPr>
                <w:rFonts w:ascii="宋体"/>
              </w:rPr>
            </w:pPr>
          </w:p>
        </w:tc>
        <w:tc>
          <w:tcPr>
            <w:tcW w:w="5" w:type="pct"/>
            <w:shd w:val="clear" w:color="auto" w:fill="auto"/>
            <w:vAlign w:val="bottom"/>
          </w:tcPr>
          <w:p w14:paraId="71D49197" w14:textId="77777777" w:rsidR="006A3667" w:rsidRDefault="006A3667">
            <w:pPr>
              <w:rPr>
                <w:rFonts w:ascii="宋体"/>
              </w:rPr>
            </w:pPr>
          </w:p>
        </w:tc>
        <w:tc>
          <w:tcPr>
            <w:tcW w:w="19" w:type="pct"/>
            <w:shd w:val="clear" w:color="auto" w:fill="auto"/>
            <w:vAlign w:val="bottom"/>
          </w:tcPr>
          <w:p w14:paraId="71D49198" w14:textId="77777777" w:rsidR="006A3667" w:rsidRDefault="006A3667">
            <w:pPr>
              <w:rPr>
                <w:rFonts w:ascii="宋体"/>
              </w:rPr>
            </w:pPr>
          </w:p>
        </w:tc>
        <w:tc>
          <w:tcPr>
            <w:tcW w:w="5" w:type="pct"/>
            <w:shd w:val="clear" w:color="auto" w:fill="auto"/>
            <w:vAlign w:val="bottom"/>
          </w:tcPr>
          <w:p w14:paraId="71D49199" w14:textId="77777777" w:rsidR="006A3667" w:rsidRDefault="006A3667">
            <w:pPr>
              <w:rPr>
                <w:rFonts w:ascii="宋体"/>
              </w:rPr>
            </w:pPr>
          </w:p>
        </w:tc>
        <w:tc>
          <w:tcPr>
            <w:tcW w:w="50" w:type="pct"/>
            <w:shd w:val="clear" w:color="auto" w:fill="auto"/>
            <w:vAlign w:val="bottom"/>
          </w:tcPr>
          <w:p w14:paraId="71D4919A" w14:textId="77777777" w:rsidR="006A3667" w:rsidRDefault="006A3667">
            <w:pPr>
              <w:rPr>
                <w:rFonts w:ascii="宋体"/>
              </w:rPr>
            </w:pPr>
          </w:p>
        </w:tc>
        <w:tc>
          <w:tcPr>
            <w:tcW w:w="727" w:type="pct"/>
            <w:shd w:val="clear" w:color="auto" w:fill="auto"/>
            <w:vAlign w:val="bottom"/>
          </w:tcPr>
          <w:p w14:paraId="71D4919B" w14:textId="77777777" w:rsidR="006A3667" w:rsidRDefault="006A3667">
            <w:pPr>
              <w:rPr>
                <w:rFonts w:ascii="宋体"/>
              </w:rPr>
            </w:pPr>
          </w:p>
        </w:tc>
        <w:tc>
          <w:tcPr>
            <w:tcW w:w="5" w:type="pct"/>
            <w:shd w:val="clear" w:color="auto" w:fill="auto"/>
            <w:vAlign w:val="bottom"/>
          </w:tcPr>
          <w:p w14:paraId="71D4919C" w14:textId="77777777" w:rsidR="006A3667" w:rsidRDefault="006A3667">
            <w:pPr>
              <w:rPr>
                <w:rFonts w:ascii="宋体"/>
              </w:rPr>
            </w:pPr>
          </w:p>
        </w:tc>
        <w:tc>
          <w:tcPr>
            <w:tcW w:w="0" w:type="auto"/>
            <w:gridSpan w:val="3"/>
            <w:shd w:val="clear" w:color="auto" w:fill="auto"/>
            <w:vAlign w:val="bottom"/>
          </w:tcPr>
          <w:p w14:paraId="71D4919D" w14:textId="77777777" w:rsidR="006A3667" w:rsidRDefault="006A3667">
            <w:pPr>
              <w:rPr>
                <w:rFonts w:ascii="宋体"/>
                <w:vanish/>
              </w:rPr>
            </w:pPr>
          </w:p>
        </w:tc>
        <w:tc>
          <w:tcPr>
            <w:tcW w:w="0" w:type="auto"/>
            <w:gridSpan w:val="3"/>
            <w:shd w:val="clear" w:color="auto" w:fill="auto"/>
            <w:vAlign w:val="bottom"/>
          </w:tcPr>
          <w:p w14:paraId="71D4919E" w14:textId="77777777" w:rsidR="006A3667" w:rsidRDefault="006A3667">
            <w:pPr>
              <w:rPr>
                <w:rFonts w:ascii="宋体"/>
                <w:vanish/>
              </w:rPr>
            </w:pPr>
          </w:p>
        </w:tc>
      </w:tr>
      <w:tr w:rsidR="006A3667" w14:paraId="71D491AA" w14:textId="77777777">
        <w:tc>
          <w:tcPr>
            <w:tcW w:w="0" w:type="auto"/>
            <w:gridSpan w:val="3"/>
            <w:shd w:val="clear" w:color="auto" w:fill="auto"/>
            <w:tcMar>
              <w:top w:w="0" w:type="dxa"/>
              <w:left w:w="20" w:type="dxa"/>
              <w:bottom w:w="0" w:type="dxa"/>
              <w:right w:w="20" w:type="dxa"/>
            </w:tcMar>
            <w:vAlign w:val="bottom"/>
          </w:tcPr>
          <w:p w14:paraId="71D491A0"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91A1"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1D491A2"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91A3"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491A4" w14:textId="77777777" w:rsidR="006A3667" w:rsidRDefault="006A3667">
            <w:pPr>
              <w:rPr>
                <w:rFonts w:ascii="宋体"/>
              </w:rPr>
            </w:pPr>
          </w:p>
        </w:tc>
        <w:tc>
          <w:tcPr>
            <w:tcW w:w="0" w:type="auto"/>
            <w:shd w:val="clear" w:color="auto" w:fill="auto"/>
            <w:vAlign w:val="bottom"/>
          </w:tcPr>
          <w:p w14:paraId="71D491A5" w14:textId="77777777" w:rsidR="006A3667" w:rsidRDefault="006A3667">
            <w:pPr>
              <w:rPr>
                <w:rFonts w:ascii="宋体"/>
              </w:rPr>
            </w:pPr>
          </w:p>
        </w:tc>
        <w:tc>
          <w:tcPr>
            <w:tcW w:w="0" w:type="auto"/>
            <w:shd w:val="clear" w:color="auto" w:fill="auto"/>
            <w:vAlign w:val="bottom"/>
          </w:tcPr>
          <w:p w14:paraId="71D491A6" w14:textId="77777777" w:rsidR="006A3667" w:rsidRDefault="006A3667">
            <w:pPr>
              <w:rPr>
                <w:rFonts w:ascii="宋体"/>
              </w:rPr>
            </w:pPr>
          </w:p>
        </w:tc>
        <w:tc>
          <w:tcPr>
            <w:tcW w:w="0" w:type="auto"/>
            <w:shd w:val="clear" w:color="auto" w:fill="auto"/>
            <w:vAlign w:val="bottom"/>
          </w:tcPr>
          <w:p w14:paraId="71D491A7" w14:textId="77777777" w:rsidR="006A3667" w:rsidRDefault="006A3667">
            <w:pPr>
              <w:rPr>
                <w:rFonts w:ascii="宋体"/>
              </w:rPr>
            </w:pPr>
          </w:p>
        </w:tc>
        <w:tc>
          <w:tcPr>
            <w:tcW w:w="0" w:type="auto"/>
            <w:shd w:val="clear" w:color="auto" w:fill="auto"/>
            <w:vAlign w:val="bottom"/>
          </w:tcPr>
          <w:p w14:paraId="71D491A8" w14:textId="77777777" w:rsidR="006A3667" w:rsidRDefault="006A3667">
            <w:pPr>
              <w:rPr>
                <w:rFonts w:ascii="宋体"/>
              </w:rPr>
            </w:pPr>
          </w:p>
        </w:tc>
        <w:tc>
          <w:tcPr>
            <w:tcW w:w="0" w:type="auto"/>
            <w:shd w:val="clear" w:color="auto" w:fill="auto"/>
            <w:vAlign w:val="bottom"/>
          </w:tcPr>
          <w:p w14:paraId="71D491A9" w14:textId="77777777" w:rsidR="006A3667" w:rsidRDefault="006A3667">
            <w:pPr>
              <w:rPr>
                <w:rFonts w:ascii="宋体"/>
              </w:rPr>
            </w:pPr>
          </w:p>
        </w:tc>
      </w:tr>
      <w:tr w:rsidR="006A3667" w14:paraId="71D491B5" w14:textId="77777777">
        <w:tc>
          <w:tcPr>
            <w:tcW w:w="0" w:type="auto"/>
            <w:gridSpan w:val="3"/>
            <w:shd w:val="clear" w:color="auto" w:fill="auto"/>
            <w:tcMar>
              <w:top w:w="40" w:type="dxa"/>
              <w:left w:w="20" w:type="dxa"/>
              <w:bottom w:w="40" w:type="dxa"/>
              <w:right w:w="20" w:type="dxa"/>
            </w:tcMar>
            <w:vAlign w:val="bottom"/>
          </w:tcPr>
          <w:p w14:paraId="71D491AB"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1AC"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1A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1AE"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91AF"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1B0"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1B1"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1B2"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71D491B3" w14:textId="77777777" w:rsidR="006A3667" w:rsidRDefault="006A3667">
            <w:pPr>
              <w:rPr>
                <w:rFonts w:ascii="宋体"/>
                <w:vanish/>
              </w:rPr>
            </w:pPr>
          </w:p>
        </w:tc>
        <w:tc>
          <w:tcPr>
            <w:tcW w:w="0" w:type="auto"/>
            <w:gridSpan w:val="3"/>
            <w:shd w:val="clear" w:color="auto" w:fill="auto"/>
            <w:vAlign w:val="bottom"/>
          </w:tcPr>
          <w:p w14:paraId="71D491B4" w14:textId="77777777" w:rsidR="006A3667" w:rsidRDefault="006A3667">
            <w:pPr>
              <w:rPr>
                <w:rFonts w:ascii="宋体"/>
                <w:vanish/>
              </w:rPr>
            </w:pPr>
          </w:p>
        </w:tc>
      </w:tr>
      <w:tr w:rsidR="006A3667" w14:paraId="71D491C8" w14:textId="77777777">
        <w:tc>
          <w:tcPr>
            <w:tcW w:w="0" w:type="auto"/>
            <w:gridSpan w:val="3"/>
            <w:shd w:val="clear" w:color="auto" w:fill="CCEEFF"/>
            <w:tcMar>
              <w:top w:w="40" w:type="dxa"/>
              <w:left w:w="20" w:type="dxa"/>
              <w:bottom w:w="40" w:type="dxa"/>
              <w:right w:w="20" w:type="dxa"/>
            </w:tcMar>
            <w:vAlign w:val="bottom"/>
          </w:tcPr>
          <w:p w14:paraId="71D491B6" w14:textId="77777777" w:rsidR="006A3667" w:rsidRDefault="00045F32">
            <w:pPr>
              <w:textAlignment w:val="bottom"/>
            </w:pPr>
            <w:r>
              <w:rPr>
                <w:rFonts w:ascii="Arial" w:eastAsia="宋体" w:hAnsi="Arial" w:cs="Arial"/>
                <w:color w:val="000000"/>
                <w:sz w:val="14"/>
                <w:szCs w:val="14"/>
              </w:rPr>
              <w:t>Professional services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1B7"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1B8" w14:textId="77777777" w:rsidR="006A3667" w:rsidRDefault="00045F32">
            <w:pPr>
              <w:jc w:val="right"/>
              <w:textAlignment w:val="bottom"/>
            </w:pPr>
            <w:r>
              <w:rPr>
                <w:rFonts w:ascii="Arial" w:eastAsia="宋体" w:hAnsi="Arial" w:cs="Arial"/>
                <w:b/>
                <w:bCs/>
                <w:color w:val="000000"/>
                <w:sz w:val="14"/>
                <w:szCs w:val="14"/>
              </w:rPr>
              <w:t>92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1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B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1BB"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1BC" w14:textId="77777777" w:rsidR="006A3667" w:rsidRDefault="00045F32">
            <w:pPr>
              <w:jc w:val="right"/>
              <w:textAlignment w:val="bottom"/>
            </w:pPr>
            <w:r>
              <w:rPr>
                <w:rFonts w:ascii="Arial" w:eastAsia="宋体" w:hAnsi="Arial" w:cs="Arial"/>
                <w:color w:val="000000"/>
                <w:sz w:val="14"/>
                <w:szCs w:val="14"/>
              </w:rPr>
              <w:t>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1B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B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1B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1C0" w14:textId="77777777" w:rsidR="006A3667" w:rsidRDefault="00045F32">
            <w:pPr>
              <w:jc w:val="right"/>
              <w:textAlignment w:val="bottom"/>
            </w:pPr>
            <w:r>
              <w:rPr>
                <w:rFonts w:ascii="Arial" w:eastAsia="宋体" w:hAnsi="Arial" w:cs="Arial"/>
                <w:b/>
                <w:bCs/>
                <w:color w:val="000000"/>
                <w:sz w:val="14"/>
                <w:szCs w:val="14"/>
              </w:rPr>
              <w:t>273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1C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C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1C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1C4" w14:textId="77777777" w:rsidR="006A3667" w:rsidRDefault="00045F32">
            <w:pPr>
              <w:jc w:val="right"/>
              <w:textAlignment w:val="bottom"/>
            </w:pPr>
            <w:r>
              <w:rPr>
                <w:rFonts w:ascii="Arial" w:eastAsia="宋体" w:hAnsi="Arial" w:cs="Arial"/>
                <w:color w:val="000000"/>
                <w:sz w:val="14"/>
                <w:szCs w:val="14"/>
              </w:rPr>
              <w:t>246 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1C5" w14:textId="77777777" w:rsidR="006A3667" w:rsidRDefault="006A3667">
            <w:pPr>
              <w:jc w:val="right"/>
              <w:rPr>
                <w:rFonts w:ascii="宋体"/>
              </w:rPr>
            </w:pPr>
          </w:p>
        </w:tc>
        <w:tc>
          <w:tcPr>
            <w:tcW w:w="0" w:type="auto"/>
            <w:gridSpan w:val="3"/>
            <w:shd w:val="clear" w:color="auto" w:fill="auto"/>
            <w:vAlign w:val="bottom"/>
          </w:tcPr>
          <w:p w14:paraId="71D491C6" w14:textId="77777777" w:rsidR="006A3667" w:rsidRDefault="006A3667">
            <w:pPr>
              <w:rPr>
                <w:rFonts w:ascii="宋体"/>
                <w:vanish/>
              </w:rPr>
            </w:pPr>
          </w:p>
        </w:tc>
        <w:tc>
          <w:tcPr>
            <w:tcW w:w="0" w:type="auto"/>
            <w:gridSpan w:val="3"/>
            <w:shd w:val="clear" w:color="auto" w:fill="auto"/>
            <w:vAlign w:val="bottom"/>
          </w:tcPr>
          <w:p w14:paraId="71D491C7" w14:textId="77777777" w:rsidR="006A3667" w:rsidRDefault="006A3667">
            <w:pPr>
              <w:rPr>
                <w:rFonts w:ascii="宋体"/>
                <w:vanish/>
              </w:rPr>
            </w:pPr>
          </w:p>
        </w:tc>
      </w:tr>
      <w:tr w:rsidR="006A3667" w14:paraId="71D491D7" w14:textId="77777777">
        <w:tc>
          <w:tcPr>
            <w:tcW w:w="0" w:type="auto"/>
            <w:gridSpan w:val="3"/>
            <w:shd w:val="clear" w:color="auto" w:fill="FFFFFF"/>
            <w:tcMar>
              <w:top w:w="40" w:type="dxa"/>
              <w:left w:w="20" w:type="dxa"/>
              <w:bottom w:w="40" w:type="dxa"/>
              <w:right w:w="20" w:type="dxa"/>
            </w:tcMar>
            <w:vAlign w:val="bottom"/>
          </w:tcPr>
          <w:p w14:paraId="71D491C9" w14:textId="77777777" w:rsidR="006A3667" w:rsidRDefault="00045F32">
            <w:pPr>
              <w:textAlignment w:val="bottom"/>
            </w:pPr>
            <w:r>
              <w:rPr>
                <w:rFonts w:ascii="Arial" w:eastAsia="宋体" w:hAnsi="Arial" w:cs="Arial"/>
                <w:color w:val="000000"/>
                <w:sz w:val="14"/>
                <w:szCs w:val="14"/>
              </w:rPr>
              <w:t>Sales advertising and public relations</w:t>
            </w:r>
          </w:p>
        </w:tc>
        <w:tc>
          <w:tcPr>
            <w:tcW w:w="0" w:type="auto"/>
            <w:gridSpan w:val="2"/>
            <w:shd w:val="clear" w:color="auto" w:fill="FFFFFF"/>
            <w:tcMar>
              <w:top w:w="40" w:type="dxa"/>
              <w:left w:w="20" w:type="dxa"/>
              <w:bottom w:w="40" w:type="dxa"/>
              <w:right w:w="0" w:type="dxa"/>
            </w:tcMar>
            <w:vAlign w:val="bottom"/>
          </w:tcPr>
          <w:p w14:paraId="71D491CA" w14:textId="77777777" w:rsidR="006A3667" w:rsidRDefault="00045F32">
            <w:pPr>
              <w:jc w:val="right"/>
              <w:textAlignment w:val="bottom"/>
            </w:pPr>
            <w:r>
              <w:rPr>
                <w:rFonts w:ascii="Arial" w:eastAsia="宋体" w:hAnsi="Arial" w:cs="Arial"/>
                <w:b/>
                <w:bCs/>
                <w:color w:val="000000"/>
                <w:sz w:val="14"/>
                <w:szCs w:val="14"/>
              </w:rPr>
              <w:t>28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CD"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71D491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D0" w14:textId="77777777" w:rsidR="006A3667" w:rsidRDefault="00045F32">
            <w:pPr>
              <w:jc w:val="right"/>
              <w:textAlignment w:val="bottom"/>
            </w:pPr>
            <w:r>
              <w:rPr>
                <w:rFonts w:ascii="Arial" w:eastAsia="宋体" w:hAnsi="Arial" w:cs="Arial"/>
                <w:b/>
                <w:bCs/>
                <w:color w:val="000000"/>
                <w:sz w:val="14"/>
                <w:szCs w:val="14"/>
              </w:rPr>
              <w:t>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D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D3" w14:textId="77777777" w:rsidR="006A3667" w:rsidRDefault="00045F32">
            <w:pPr>
              <w:jc w:val="right"/>
              <w:textAlignment w:val="bottom"/>
            </w:pPr>
            <w:r>
              <w:rPr>
                <w:rFonts w:ascii="Arial" w:eastAsia="宋体" w:hAnsi="Arial" w:cs="Arial"/>
                <w:color w:val="000000"/>
                <w:sz w:val="14"/>
                <w:szCs w:val="14"/>
              </w:rPr>
              <w:t>46 </w:t>
            </w:r>
          </w:p>
        </w:tc>
        <w:tc>
          <w:tcPr>
            <w:tcW w:w="0" w:type="auto"/>
            <w:shd w:val="clear" w:color="auto" w:fill="FFFFFF"/>
            <w:tcMar>
              <w:top w:w="40" w:type="dxa"/>
              <w:left w:w="0" w:type="dxa"/>
              <w:bottom w:w="40" w:type="dxa"/>
              <w:right w:w="20" w:type="dxa"/>
            </w:tcMar>
            <w:vAlign w:val="bottom"/>
          </w:tcPr>
          <w:p w14:paraId="71D491D4" w14:textId="77777777" w:rsidR="006A3667" w:rsidRDefault="006A3667">
            <w:pPr>
              <w:jc w:val="right"/>
              <w:rPr>
                <w:rFonts w:ascii="宋体"/>
              </w:rPr>
            </w:pPr>
          </w:p>
        </w:tc>
        <w:tc>
          <w:tcPr>
            <w:tcW w:w="0" w:type="auto"/>
            <w:gridSpan w:val="3"/>
            <w:shd w:val="clear" w:color="auto" w:fill="auto"/>
            <w:vAlign w:val="bottom"/>
          </w:tcPr>
          <w:p w14:paraId="71D491D5" w14:textId="77777777" w:rsidR="006A3667" w:rsidRDefault="006A3667">
            <w:pPr>
              <w:rPr>
                <w:rFonts w:ascii="宋体"/>
                <w:vanish/>
              </w:rPr>
            </w:pPr>
          </w:p>
        </w:tc>
        <w:tc>
          <w:tcPr>
            <w:tcW w:w="0" w:type="auto"/>
            <w:gridSpan w:val="3"/>
            <w:shd w:val="clear" w:color="auto" w:fill="auto"/>
            <w:vAlign w:val="bottom"/>
          </w:tcPr>
          <w:p w14:paraId="71D491D6" w14:textId="77777777" w:rsidR="006A3667" w:rsidRDefault="006A3667">
            <w:pPr>
              <w:rPr>
                <w:rFonts w:ascii="宋体"/>
                <w:vanish/>
              </w:rPr>
            </w:pPr>
          </w:p>
        </w:tc>
      </w:tr>
      <w:tr w:rsidR="006A3667" w14:paraId="71D491E2" w14:textId="77777777">
        <w:trPr>
          <w:hidden/>
        </w:trPr>
        <w:tc>
          <w:tcPr>
            <w:tcW w:w="0" w:type="auto"/>
            <w:gridSpan w:val="3"/>
            <w:shd w:val="clear" w:color="auto" w:fill="auto"/>
            <w:vAlign w:val="bottom"/>
          </w:tcPr>
          <w:p w14:paraId="71D491D8" w14:textId="77777777" w:rsidR="006A3667" w:rsidRDefault="006A3667">
            <w:pPr>
              <w:rPr>
                <w:rFonts w:ascii="宋体"/>
                <w:vanish/>
              </w:rPr>
            </w:pPr>
          </w:p>
        </w:tc>
        <w:tc>
          <w:tcPr>
            <w:tcW w:w="0" w:type="auto"/>
            <w:gridSpan w:val="3"/>
            <w:shd w:val="clear" w:color="auto" w:fill="auto"/>
            <w:vAlign w:val="bottom"/>
          </w:tcPr>
          <w:p w14:paraId="71D491D9" w14:textId="77777777" w:rsidR="006A3667" w:rsidRDefault="006A3667">
            <w:pPr>
              <w:rPr>
                <w:rFonts w:ascii="宋体"/>
                <w:vanish/>
              </w:rPr>
            </w:pPr>
          </w:p>
        </w:tc>
        <w:tc>
          <w:tcPr>
            <w:tcW w:w="0" w:type="auto"/>
            <w:gridSpan w:val="3"/>
            <w:shd w:val="clear" w:color="auto" w:fill="auto"/>
            <w:vAlign w:val="bottom"/>
          </w:tcPr>
          <w:p w14:paraId="71D491DA" w14:textId="77777777" w:rsidR="006A3667" w:rsidRDefault="006A3667">
            <w:pPr>
              <w:rPr>
                <w:rFonts w:ascii="宋体"/>
                <w:vanish/>
              </w:rPr>
            </w:pPr>
          </w:p>
        </w:tc>
        <w:tc>
          <w:tcPr>
            <w:tcW w:w="0" w:type="auto"/>
            <w:gridSpan w:val="3"/>
            <w:shd w:val="clear" w:color="auto" w:fill="auto"/>
            <w:vAlign w:val="bottom"/>
          </w:tcPr>
          <w:p w14:paraId="71D491DB" w14:textId="77777777" w:rsidR="006A3667" w:rsidRDefault="006A3667">
            <w:pPr>
              <w:rPr>
                <w:rFonts w:ascii="宋体"/>
                <w:vanish/>
              </w:rPr>
            </w:pPr>
          </w:p>
        </w:tc>
        <w:tc>
          <w:tcPr>
            <w:tcW w:w="0" w:type="auto"/>
            <w:gridSpan w:val="3"/>
            <w:shd w:val="clear" w:color="auto" w:fill="auto"/>
            <w:vAlign w:val="bottom"/>
          </w:tcPr>
          <w:p w14:paraId="71D491DC" w14:textId="77777777" w:rsidR="006A3667" w:rsidRDefault="006A3667">
            <w:pPr>
              <w:rPr>
                <w:rFonts w:ascii="宋体"/>
                <w:vanish/>
              </w:rPr>
            </w:pPr>
          </w:p>
        </w:tc>
        <w:tc>
          <w:tcPr>
            <w:tcW w:w="0" w:type="auto"/>
            <w:gridSpan w:val="3"/>
            <w:shd w:val="clear" w:color="auto" w:fill="auto"/>
            <w:vAlign w:val="bottom"/>
          </w:tcPr>
          <w:p w14:paraId="71D491DD" w14:textId="77777777" w:rsidR="006A3667" w:rsidRDefault="006A3667">
            <w:pPr>
              <w:rPr>
                <w:rFonts w:ascii="宋体"/>
                <w:vanish/>
              </w:rPr>
            </w:pPr>
          </w:p>
        </w:tc>
        <w:tc>
          <w:tcPr>
            <w:tcW w:w="0" w:type="auto"/>
            <w:gridSpan w:val="3"/>
            <w:shd w:val="clear" w:color="auto" w:fill="auto"/>
            <w:vAlign w:val="bottom"/>
          </w:tcPr>
          <w:p w14:paraId="71D491DE" w14:textId="77777777" w:rsidR="006A3667" w:rsidRDefault="006A3667">
            <w:pPr>
              <w:rPr>
                <w:rFonts w:ascii="宋体"/>
                <w:vanish/>
              </w:rPr>
            </w:pPr>
          </w:p>
        </w:tc>
        <w:tc>
          <w:tcPr>
            <w:tcW w:w="0" w:type="auto"/>
            <w:gridSpan w:val="3"/>
            <w:shd w:val="clear" w:color="auto" w:fill="auto"/>
            <w:vAlign w:val="bottom"/>
          </w:tcPr>
          <w:p w14:paraId="71D491DF" w14:textId="77777777" w:rsidR="006A3667" w:rsidRDefault="006A3667">
            <w:pPr>
              <w:rPr>
                <w:rFonts w:ascii="宋体"/>
                <w:vanish/>
              </w:rPr>
            </w:pPr>
          </w:p>
        </w:tc>
        <w:tc>
          <w:tcPr>
            <w:tcW w:w="0" w:type="auto"/>
            <w:gridSpan w:val="3"/>
            <w:shd w:val="clear" w:color="auto" w:fill="auto"/>
            <w:vAlign w:val="bottom"/>
          </w:tcPr>
          <w:p w14:paraId="71D491E0" w14:textId="77777777" w:rsidR="006A3667" w:rsidRDefault="006A3667">
            <w:pPr>
              <w:rPr>
                <w:rFonts w:ascii="宋体"/>
                <w:vanish/>
              </w:rPr>
            </w:pPr>
          </w:p>
        </w:tc>
        <w:tc>
          <w:tcPr>
            <w:tcW w:w="0" w:type="auto"/>
            <w:gridSpan w:val="3"/>
            <w:shd w:val="clear" w:color="auto" w:fill="auto"/>
            <w:vAlign w:val="bottom"/>
          </w:tcPr>
          <w:p w14:paraId="71D491E1" w14:textId="77777777" w:rsidR="006A3667" w:rsidRDefault="006A3667">
            <w:pPr>
              <w:rPr>
                <w:rFonts w:ascii="宋体"/>
                <w:vanish/>
              </w:rPr>
            </w:pPr>
          </w:p>
        </w:tc>
      </w:tr>
      <w:tr w:rsidR="006A3667" w14:paraId="71D491F1" w14:textId="77777777">
        <w:tc>
          <w:tcPr>
            <w:tcW w:w="0" w:type="auto"/>
            <w:gridSpan w:val="3"/>
            <w:shd w:val="clear" w:color="auto" w:fill="CCEEFF"/>
            <w:tcMar>
              <w:top w:w="40" w:type="dxa"/>
              <w:left w:w="20" w:type="dxa"/>
              <w:bottom w:w="40" w:type="dxa"/>
              <w:right w:w="20" w:type="dxa"/>
            </w:tcMar>
            <w:vAlign w:val="bottom"/>
          </w:tcPr>
          <w:p w14:paraId="71D491E3" w14:textId="77777777" w:rsidR="006A3667" w:rsidRDefault="00045F32">
            <w:pPr>
              <w:textAlignment w:val="bottom"/>
            </w:pPr>
            <w:r>
              <w:rPr>
                <w:rFonts w:ascii="Arial" w:eastAsia="宋体" w:hAnsi="Arial" w:cs="Arial"/>
                <w:color w:val="000000"/>
                <w:sz w:val="14"/>
                <w:szCs w:val="14"/>
              </w:rPr>
              <w:t>Securities processing</w:t>
            </w:r>
          </w:p>
        </w:tc>
        <w:tc>
          <w:tcPr>
            <w:tcW w:w="0" w:type="auto"/>
            <w:gridSpan w:val="2"/>
            <w:shd w:val="clear" w:color="auto" w:fill="CCEEFF"/>
            <w:tcMar>
              <w:top w:w="40" w:type="dxa"/>
              <w:left w:w="20" w:type="dxa"/>
              <w:bottom w:w="40" w:type="dxa"/>
              <w:right w:w="0" w:type="dxa"/>
            </w:tcMar>
            <w:vAlign w:val="bottom"/>
          </w:tcPr>
          <w:p w14:paraId="71D491E4" w14:textId="77777777" w:rsidR="006A3667" w:rsidRDefault="00045F32">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E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E7" w14:textId="77777777" w:rsidR="006A3667" w:rsidRDefault="00045F32">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71D491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E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EA" w14:textId="77777777" w:rsidR="006A3667" w:rsidRDefault="00045F32">
            <w:pPr>
              <w:jc w:val="right"/>
              <w:textAlignment w:val="bottom"/>
            </w:pPr>
            <w:r>
              <w:rPr>
                <w:rFonts w:ascii="Arial" w:eastAsia="宋体" w:hAnsi="Arial" w:cs="Arial"/>
                <w:b/>
                <w:bCs/>
                <w:color w:val="000000"/>
                <w:sz w:val="14"/>
                <w:szCs w:val="14"/>
              </w:rPr>
              <w:t>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1E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1E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1ED" w14:textId="77777777" w:rsidR="006A3667" w:rsidRDefault="00045F32">
            <w:pPr>
              <w:jc w:val="right"/>
              <w:textAlignment w:val="bottom"/>
            </w:pPr>
            <w:r>
              <w:rPr>
                <w:rFonts w:ascii="Arial" w:eastAsia="宋体" w:hAnsi="Arial" w:cs="Arial"/>
                <w:color w:val="000000"/>
                <w:sz w:val="14"/>
                <w:szCs w:val="14"/>
              </w:rPr>
              <w:t>22 </w:t>
            </w:r>
          </w:p>
        </w:tc>
        <w:tc>
          <w:tcPr>
            <w:tcW w:w="0" w:type="auto"/>
            <w:shd w:val="clear" w:color="auto" w:fill="CCEEFF"/>
            <w:tcMar>
              <w:top w:w="40" w:type="dxa"/>
              <w:left w:w="0" w:type="dxa"/>
              <w:bottom w:w="40" w:type="dxa"/>
              <w:right w:w="20" w:type="dxa"/>
            </w:tcMar>
            <w:vAlign w:val="bottom"/>
          </w:tcPr>
          <w:p w14:paraId="71D491EE" w14:textId="77777777" w:rsidR="006A3667" w:rsidRDefault="006A3667">
            <w:pPr>
              <w:jc w:val="right"/>
              <w:rPr>
                <w:rFonts w:ascii="宋体"/>
              </w:rPr>
            </w:pPr>
          </w:p>
        </w:tc>
        <w:tc>
          <w:tcPr>
            <w:tcW w:w="0" w:type="auto"/>
            <w:gridSpan w:val="3"/>
            <w:shd w:val="clear" w:color="auto" w:fill="auto"/>
            <w:vAlign w:val="bottom"/>
          </w:tcPr>
          <w:p w14:paraId="71D491EF" w14:textId="77777777" w:rsidR="006A3667" w:rsidRDefault="006A3667">
            <w:pPr>
              <w:rPr>
                <w:rFonts w:ascii="宋体"/>
                <w:vanish/>
              </w:rPr>
            </w:pPr>
          </w:p>
        </w:tc>
        <w:tc>
          <w:tcPr>
            <w:tcW w:w="0" w:type="auto"/>
            <w:gridSpan w:val="3"/>
            <w:shd w:val="clear" w:color="auto" w:fill="auto"/>
            <w:vAlign w:val="bottom"/>
          </w:tcPr>
          <w:p w14:paraId="71D491F0" w14:textId="77777777" w:rsidR="006A3667" w:rsidRDefault="006A3667">
            <w:pPr>
              <w:rPr>
                <w:rFonts w:ascii="宋体"/>
                <w:vanish/>
              </w:rPr>
            </w:pPr>
          </w:p>
        </w:tc>
      </w:tr>
      <w:tr w:rsidR="006A3667" w14:paraId="71D49200" w14:textId="77777777">
        <w:tc>
          <w:tcPr>
            <w:tcW w:w="0" w:type="auto"/>
            <w:gridSpan w:val="3"/>
            <w:shd w:val="clear" w:color="auto" w:fill="FFFFFF"/>
            <w:tcMar>
              <w:top w:w="40" w:type="dxa"/>
              <w:left w:w="20" w:type="dxa"/>
              <w:bottom w:w="40" w:type="dxa"/>
              <w:right w:w="20" w:type="dxa"/>
            </w:tcMar>
            <w:vAlign w:val="bottom"/>
          </w:tcPr>
          <w:p w14:paraId="71D491F2" w14:textId="77777777" w:rsidR="006A3667" w:rsidRDefault="00045F32">
            <w:pPr>
              <w:textAlignment w:val="bottom"/>
            </w:pPr>
            <w:r>
              <w:rPr>
                <w:rFonts w:ascii="Arial" w:eastAsia="宋体" w:hAnsi="Arial" w:cs="Arial"/>
                <w:color w:val="000000"/>
                <w:sz w:val="14"/>
                <w:szCs w:val="14"/>
              </w:rPr>
              <w:t>Regulatory fees and assessments</w:t>
            </w:r>
          </w:p>
        </w:tc>
        <w:tc>
          <w:tcPr>
            <w:tcW w:w="0" w:type="auto"/>
            <w:gridSpan w:val="2"/>
            <w:shd w:val="clear" w:color="auto" w:fill="FFFFFF"/>
            <w:tcMar>
              <w:top w:w="40" w:type="dxa"/>
              <w:left w:w="20" w:type="dxa"/>
              <w:bottom w:w="40" w:type="dxa"/>
              <w:right w:w="0" w:type="dxa"/>
            </w:tcMar>
            <w:vAlign w:val="bottom"/>
          </w:tcPr>
          <w:p w14:paraId="71D491F3" w14:textId="77777777" w:rsidR="006A3667" w:rsidRDefault="00045F32">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F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F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F6" w14:textId="77777777" w:rsidR="006A3667" w:rsidRDefault="00045F32">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71D491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F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F9" w14:textId="77777777" w:rsidR="006A3667" w:rsidRDefault="00045F32">
            <w:pPr>
              <w:jc w:val="right"/>
              <w:textAlignment w:val="bottom"/>
            </w:pPr>
            <w:r>
              <w:rPr>
                <w:rFonts w:ascii="Arial" w:eastAsia="宋体" w:hAnsi="Arial" w:cs="Arial"/>
                <w:b/>
                <w:bCs/>
                <w:color w:val="000000"/>
                <w:sz w:val="14"/>
                <w:szCs w:val="14"/>
              </w:rPr>
              <w:t>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1F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1F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1FC" w14:textId="77777777" w:rsidR="006A3667" w:rsidRDefault="00045F32">
            <w:pPr>
              <w:jc w:val="right"/>
              <w:textAlignment w:val="bottom"/>
            </w:pPr>
            <w:r>
              <w:rPr>
                <w:rFonts w:ascii="Arial" w:eastAsia="宋体" w:hAnsi="Arial" w:cs="Arial"/>
                <w:color w:val="000000"/>
                <w:sz w:val="14"/>
                <w:szCs w:val="14"/>
              </w:rPr>
              <w:t>53 </w:t>
            </w:r>
          </w:p>
        </w:tc>
        <w:tc>
          <w:tcPr>
            <w:tcW w:w="0" w:type="auto"/>
            <w:shd w:val="clear" w:color="auto" w:fill="FFFFFF"/>
            <w:tcMar>
              <w:top w:w="40" w:type="dxa"/>
              <w:left w:w="0" w:type="dxa"/>
              <w:bottom w:w="40" w:type="dxa"/>
              <w:right w:w="20" w:type="dxa"/>
            </w:tcMar>
            <w:vAlign w:val="bottom"/>
          </w:tcPr>
          <w:p w14:paraId="71D491FD" w14:textId="77777777" w:rsidR="006A3667" w:rsidRDefault="006A3667">
            <w:pPr>
              <w:jc w:val="right"/>
              <w:rPr>
                <w:rFonts w:ascii="宋体"/>
              </w:rPr>
            </w:pPr>
          </w:p>
        </w:tc>
        <w:tc>
          <w:tcPr>
            <w:tcW w:w="0" w:type="auto"/>
            <w:gridSpan w:val="3"/>
            <w:shd w:val="clear" w:color="auto" w:fill="auto"/>
            <w:vAlign w:val="bottom"/>
          </w:tcPr>
          <w:p w14:paraId="71D491FE" w14:textId="77777777" w:rsidR="006A3667" w:rsidRDefault="006A3667">
            <w:pPr>
              <w:rPr>
                <w:rFonts w:ascii="宋体"/>
                <w:vanish/>
              </w:rPr>
            </w:pPr>
          </w:p>
        </w:tc>
        <w:tc>
          <w:tcPr>
            <w:tcW w:w="0" w:type="auto"/>
            <w:gridSpan w:val="3"/>
            <w:shd w:val="clear" w:color="auto" w:fill="auto"/>
            <w:vAlign w:val="bottom"/>
          </w:tcPr>
          <w:p w14:paraId="71D491FF" w14:textId="77777777" w:rsidR="006A3667" w:rsidRDefault="006A3667">
            <w:pPr>
              <w:rPr>
                <w:rFonts w:ascii="宋体"/>
                <w:vanish/>
              </w:rPr>
            </w:pPr>
          </w:p>
        </w:tc>
      </w:tr>
      <w:tr w:rsidR="006A3667" w14:paraId="71D4920F" w14:textId="77777777">
        <w:tc>
          <w:tcPr>
            <w:tcW w:w="0" w:type="auto"/>
            <w:gridSpan w:val="3"/>
            <w:shd w:val="clear" w:color="auto" w:fill="CCEEFF"/>
            <w:tcMar>
              <w:top w:w="40" w:type="dxa"/>
              <w:left w:w="20" w:type="dxa"/>
              <w:bottom w:w="40" w:type="dxa"/>
              <w:right w:w="20" w:type="dxa"/>
            </w:tcMar>
            <w:vAlign w:val="bottom"/>
          </w:tcPr>
          <w:p w14:paraId="71D49201" w14:textId="77777777" w:rsidR="006A3667" w:rsidRDefault="00045F32">
            <w:pPr>
              <w:textAlignment w:val="bottom"/>
            </w:pPr>
            <w:r>
              <w:rPr>
                <w:rFonts w:ascii="Arial" w:eastAsia="宋体" w:hAnsi="Arial" w:cs="Arial"/>
                <w:color w:val="000000"/>
                <w:sz w:val="14"/>
                <w:szCs w:val="14"/>
              </w:rPr>
              <w:t>Bank operations</w:t>
            </w:r>
          </w:p>
        </w:tc>
        <w:tc>
          <w:tcPr>
            <w:tcW w:w="0" w:type="auto"/>
            <w:gridSpan w:val="2"/>
            <w:shd w:val="clear" w:color="auto" w:fill="CCEEFF"/>
            <w:tcMar>
              <w:top w:w="40" w:type="dxa"/>
              <w:left w:w="20" w:type="dxa"/>
              <w:bottom w:w="40" w:type="dxa"/>
              <w:right w:w="0" w:type="dxa"/>
            </w:tcMar>
            <w:vAlign w:val="bottom"/>
          </w:tcPr>
          <w:p w14:paraId="71D49202" w14:textId="77777777" w:rsidR="006A3667" w:rsidRDefault="00045F32">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20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0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205"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71D492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208" w14:textId="77777777" w:rsidR="006A3667" w:rsidRDefault="00045F32">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2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0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20B" w14:textId="77777777" w:rsidR="006A3667" w:rsidRDefault="00045F32">
            <w:pPr>
              <w:jc w:val="right"/>
              <w:textAlignment w:val="bottom"/>
            </w:pPr>
            <w:r>
              <w:rPr>
                <w:rFonts w:ascii="Arial" w:eastAsia="宋体" w:hAnsi="Arial" w:cs="Arial"/>
                <w:color w:val="000000"/>
                <w:sz w:val="14"/>
                <w:szCs w:val="14"/>
              </w:rPr>
              <w:t>7 </w:t>
            </w:r>
          </w:p>
        </w:tc>
        <w:tc>
          <w:tcPr>
            <w:tcW w:w="0" w:type="auto"/>
            <w:shd w:val="clear" w:color="auto" w:fill="CCEEFF"/>
            <w:tcMar>
              <w:top w:w="40" w:type="dxa"/>
              <w:left w:w="0" w:type="dxa"/>
              <w:bottom w:w="40" w:type="dxa"/>
              <w:right w:w="20" w:type="dxa"/>
            </w:tcMar>
            <w:vAlign w:val="bottom"/>
          </w:tcPr>
          <w:p w14:paraId="71D4920C" w14:textId="77777777" w:rsidR="006A3667" w:rsidRDefault="006A3667">
            <w:pPr>
              <w:jc w:val="right"/>
              <w:rPr>
                <w:rFonts w:ascii="宋体"/>
              </w:rPr>
            </w:pPr>
          </w:p>
        </w:tc>
        <w:tc>
          <w:tcPr>
            <w:tcW w:w="0" w:type="auto"/>
            <w:gridSpan w:val="3"/>
            <w:shd w:val="clear" w:color="auto" w:fill="auto"/>
            <w:vAlign w:val="bottom"/>
          </w:tcPr>
          <w:p w14:paraId="71D4920D" w14:textId="77777777" w:rsidR="006A3667" w:rsidRDefault="006A3667">
            <w:pPr>
              <w:rPr>
                <w:rFonts w:ascii="宋体"/>
                <w:vanish/>
              </w:rPr>
            </w:pPr>
          </w:p>
        </w:tc>
        <w:tc>
          <w:tcPr>
            <w:tcW w:w="0" w:type="auto"/>
            <w:gridSpan w:val="3"/>
            <w:shd w:val="clear" w:color="auto" w:fill="auto"/>
            <w:vAlign w:val="bottom"/>
          </w:tcPr>
          <w:p w14:paraId="71D4920E" w14:textId="77777777" w:rsidR="006A3667" w:rsidRDefault="006A3667">
            <w:pPr>
              <w:rPr>
                <w:rFonts w:ascii="宋体"/>
                <w:vanish/>
              </w:rPr>
            </w:pPr>
          </w:p>
        </w:tc>
      </w:tr>
      <w:tr w:rsidR="006A3667" w14:paraId="71D4921A" w14:textId="77777777">
        <w:trPr>
          <w:hidden/>
        </w:trPr>
        <w:tc>
          <w:tcPr>
            <w:tcW w:w="0" w:type="auto"/>
            <w:gridSpan w:val="3"/>
            <w:shd w:val="clear" w:color="auto" w:fill="auto"/>
            <w:vAlign w:val="bottom"/>
          </w:tcPr>
          <w:p w14:paraId="71D49210" w14:textId="77777777" w:rsidR="006A3667" w:rsidRDefault="006A3667">
            <w:pPr>
              <w:rPr>
                <w:rFonts w:ascii="宋体"/>
                <w:vanish/>
              </w:rPr>
            </w:pPr>
          </w:p>
        </w:tc>
        <w:tc>
          <w:tcPr>
            <w:tcW w:w="0" w:type="auto"/>
            <w:gridSpan w:val="3"/>
            <w:shd w:val="clear" w:color="auto" w:fill="auto"/>
            <w:vAlign w:val="bottom"/>
          </w:tcPr>
          <w:p w14:paraId="71D49211" w14:textId="77777777" w:rsidR="006A3667" w:rsidRDefault="006A3667">
            <w:pPr>
              <w:rPr>
                <w:rFonts w:ascii="宋体"/>
                <w:vanish/>
              </w:rPr>
            </w:pPr>
          </w:p>
        </w:tc>
        <w:tc>
          <w:tcPr>
            <w:tcW w:w="0" w:type="auto"/>
            <w:gridSpan w:val="3"/>
            <w:shd w:val="clear" w:color="auto" w:fill="auto"/>
            <w:vAlign w:val="bottom"/>
          </w:tcPr>
          <w:p w14:paraId="71D49212" w14:textId="77777777" w:rsidR="006A3667" w:rsidRDefault="006A3667">
            <w:pPr>
              <w:rPr>
                <w:rFonts w:ascii="宋体"/>
                <w:vanish/>
              </w:rPr>
            </w:pPr>
          </w:p>
        </w:tc>
        <w:tc>
          <w:tcPr>
            <w:tcW w:w="0" w:type="auto"/>
            <w:gridSpan w:val="3"/>
            <w:shd w:val="clear" w:color="auto" w:fill="auto"/>
            <w:vAlign w:val="bottom"/>
          </w:tcPr>
          <w:p w14:paraId="71D49213" w14:textId="77777777" w:rsidR="006A3667" w:rsidRDefault="006A3667">
            <w:pPr>
              <w:rPr>
                <w:rFonts w:ascii="宋体"/>
                <w:vanish/>
              </w:rPr>
            </w:pPr>
          </w:p>
        </w:tc>
        <w:tc>
          <w:tcPr>
            <w:tcW w:w="0" w:type="auto"/>
            <w:gridSpan w:val="3"/>
            <w:shd w:val="clear" w:color="auto" w:fill="auto"/>
            <w:vAlign w:val="bottom"/>
          </w:tcPr>
          <w:p w14:paraId="71D49214" w14:textId="77777777" w:rsidR="006A3667" w:rsidRDefault="006A3667">
            <w:pPr>
              <w:rPr>
                <w:rFonts w:ascii="宋体"/>
                <w:vanish/>
              </w:rPr>
            </w:pPr>
          </w:p>
        </w:tc>
        <w:tc>
          <w:tcPr>
            <w:tcW w:w="0" w:type="auto"/>
            <w:gridSpan w:val="3"/>
            <w:shd w:val="clear" w:color="auto" w:fill="auto"/>
            <w:vAlign w:val="bottom"/>
          </w:tcPr>
          <w:p w14:paraId="71D49215" w14:textId="77777777" w:rsidR="006A3667" w:rsidRDefault="006A3667">
            <w:pPr>
              <w:rPr>
                <w:rFonts w:ascii="宋体"/>
                <w:vanish/>
              </w:rPr>
            </w:pPr>
          </w:p>
        </w:tc>
        <w:tc>
          <w:tcPr>
            <w:tcW w:w="0" w:type="auto"/>
            <w:gridSpan w:val="3"/>
            <w:shd w:val="clear" w:color="auto" w:fill="auto"/>
            <w:vAlign w:val="bottom"/>
          </w:tcPr>
          <w:p w14:paraId="71D49216" w14:textId="77777777" w:rsidR="006A3667" w:rsidRDefault="006A3667">
            <w:pPr>
              <w:rPr>
                <w:rFonts w:ascii="宋体"/>
                <w:vanish/>
              </w:rPr>
            </w:pPr>
          </w:p>
        </w:tc>
        <w:tc>
          <w:tcPr>
            <w:tcW w:w="0" w:type="auto"/>
            <w:gridSpan w:val="3"/>
            <w:shd w:val="clear" w:color="auto" w:fill="auto"/>
            <w:vAlign w:val="bottom"/>
          </w:tcPr>
          <w:p w14:paraId="71D49217" w14:textId="77777777" w:rsidR="006A3667" w:rsidRDefault="006A3667">
            <w:pPr>
              <w:rPr>
                <w:rFonts w:ascii="宋体"/>
                <w:vanish/>
              </w:rPr>
            </w:pPr>
          </w:p>
        </w:tc>
        <w:tc>
          <w:tcPr>
            <w:tcW w:w="0" w:type="auto"/>
            <w:gridSpan w:val="3"/>
            <w:shd w:val="clear" w:color="auto" w:fill="auto"/>
            <w:vAlign w:val="bottom"/>
          </w:tcPr>
          <w:p w14:paraId="71D49218" w14:textId="77777777" w:rsidR="006A3667" w:rsidRDefault="006A3667">
            <w:pPr>
              <w:rPr>
                <w:rFonts w:ascii="宋体"/>
                <w:vanish/>
              </w:rPr>
            </w:pPr>
          </w:p>
        </w:tc>
        <w:tc>
          <w:tcPr>
            <w:tcW w:w="0" w:type="auto"/>
            <w:gridSpan w:val="3"/>
            <w:shd w:val="clear" w:color="auto" w:fill="auto"/>
            <w:vAlign w:val="bottom"/>
          </w:tcPr>
          <w:p w14:paraId="71D49219" w14:textId="77777777" w:rsidR="006A3667" w:rsidRDefault="006A3667">
            <w:pPr>
              <w:rPr>
                <w:rFonts w:ascii="宋体"/>
                <w:vanish/>
              </w:rPr>
            </w:pPr>
          </w:p>
        </w:tc>
      </w:tr>
      <w:tr w:rsidR="006A3667" w14:paraId="71D49229" w14:textId="77777777">
        <w:tc>
          <w:tcPr>
            <w:tcW w:w="0" w:type="auto"/>
            <w:gridSpan w:val="3"/>
            <w:shd w:val="clear" w:color="auto" w:fill="FFFFFF"/>
            <w:tcMar>
              <w:top w:w="40" w:type="dxa"/>
              <w:left w:w="20" w:type="dxa"/>
              <w:bottom w:w="40" w:type="dxa"/>
              <w:right w:w="20" w:type="dxa"/>
            </w:tcMar>
            <w:vAlign w:val="bottom"/>
          </w:tcPr>
          <w:p w14:paraId="71D4921B" w14:textId="77777777" w:rsidR="006A3667" w:rsidRDefault="00045F32">
            <w:pPr>
              <w:textAlignment w:val="bottom"/>
            </w:pPr>
            <w:r>
              <w:rPr>
                <w:rFonts w:ascii="Arial" w:eastAsia="宋体" w:hAnsi="Arial" w:cs="Arial"/>
                <w:color w:val="000000"/>
                <w:sz w:val="14"/>
                <w:szCs w:val="14"/>
              </w:rPr>
              <w:t>Donations</w:t>
            </w:r>
          </w:p>
        </w:tc>
        <w:tc>
          <w:tcPr>
            <w:tcW w:w="0" w:type="auto"/>
            <w:gridSpan w:val="2"/>
            <w:shd w:val="clear" w:color="auto" w:fill="FFFFFF"/>
            <w:tcMar>
              <w:top w:w="40" w:type="dxa"/>
              <w:left w:w="20" w:type="dxa"/>
              <w:bottom w:w="40" w:type="dxa"/>
              <w:right w:w="0" w:type="dxa"/>
            </w:tcMar>
            <w:vAlign w:val="bottom"/>
          </w:tcPr>
          <w:p w14:paraId="71D4921C" w14:textId="77777777" w:rsidR="006A3667" w:rsidRDefault="00045F32">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21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1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1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22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2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22" w14:textId="77777777" w:rsidR="006A3667" w:rsidRDefault="00045F32">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2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2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25" w14:textId="77777777" w:rsidR="006A3667" w:rsidRDefault="00045F32">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71D49226" w14:textId="77777777" w:rsidR="006A3667" w:rsidRDefault="006A3667">
            <w:pPr>
              <w:jc w:val="right"/>
              <w:rPr>
                <w:rFonts w:ascii="宋体"/>
              </w:rPr>
            </w:pPr>
          </w:p>
        </w:tc>
        <w:tc>
          <w:tcPr>
            <w:tcW w:w="0" w:type="auto"/>
            <w:gridSpan w:val="3"/>
            <w:shd w:val="clear" w:color="auto" w:fill="auto"/>
            <w:vAlign w:val="bottom"/>
          </w:tcPr>
          <w:p w14:paraId="71D49227" w14:textId="77777777" w:rsidR="006A3667" w:rsidRDefault="006A3667">
            <w:pPr>
              <w:rPr>
                <w:rFonts w:ascii="宋体"/>
                <w:vanish/>
              </w:rPr>
            </w:pPr>
          </w:p>
        </w:tc>
        <w:tc>
          <w:tcPr>
            <w:tcW w:w="0" w:type="auto"/>
            <w:gridSpan w:val="3"/>
            <w:shd w:val="clear" w:color="auto" w:fill="auto"/>
            <w:vAlign w:val="bottom"/>
          </w:tcPr>
          <w:p w14:paraId="71D49228" w14:textId="77777777" w:rsidR="006A3667" w:rsidRDefault="006A3667">
            <w:pPr>
              <w:rPr>
                <w:rFonts w:ascii="宋体"/>
                <w:vanish/>
              </w:rPr>
            </w:pPr>
          </w:p>
        </w:tc>
      </w:tr>
      <w:tr w:rsidR="006A3667" w14:paraId="71D49234" w14:textId="77777777">
        <w:trPr>
          <w:hidden/>
        </w:trPr>
        <w:tc>
          <w:tcPr>
            <w:tcW w:w="0" w:type="auto"/>
            <w:gridSpan w:val="3"/>
            <w:shd w:val="clear" w:color="auto" w:fill="auto"/>
            <w:vAlign w:val="bottom"/>
          </w:tcPr>
          <w:p w14:paraId="71D4922A" w14:textId="77777777" w:rsidR="006A3667" w:rsidRDefault="006A3667">
            <w:pPr>
              <w:rPr>
                <w:rFonts w:ascii="宋体"/>
                <w:vanish/>
              </w:rPr>
            </w:pPr>
          </w:p>
        </w:tc>
        <w:tc>
          <w:tcPr>
            <w:tcW w:w="0" w:type="auto"/>
            <w:gridSpan w:val="3"/>
            <w:shd w:val="clear" w:color="auto" w:fill="auto"/>
            <w:vAlign w:val="bottom"/>
          </w:tcPr>
          <w:p w14:paraId="71D4922B" w14:textId="77777777" w:rsidR="006A3667" w:rsidRDefault="006A3667">
            <w:pPr>
              <w:rPr>
                <w:rFonts w:ascii="宋体"/>
                <w:vanish/>
              </w:rPr>
            </w:pPr>
          </w:p>
        </w:tc>
        <w:tc>
          <w:tcPr>
            <w:tcW w:w="0" w:type="auto"/>
            <w:gridSpan w:val="3"/>
            <w:shd w:val="clear" w:color="auto" w:fill="auto"/>
            <w:vAlign w:val="bottom"/>
          </w:tcPr>
          <w:p w14:paraId="71D4922C" w14:textId="77777777" w:rsidR="006A3667" w:rsidRDefault="006A3667">
            <w:pPr>
              <w:rPr>
                <w:rFonts w:ascii="宋体"/>
                <w:vanish/>
              </w:rPr>
            </w:pPr>
          </w:p>
        </w:tc>
        <w:tc>
          <w:tcPr>
            <w:tcW w:w="0" w:type="auto"/>
            <w:gridSpan w:val="3"/>
            <w:shd w:val="clear" w:color="auto" w:fill="auto"/>
            <w:vAlign w:val="bottom"/>
          </w:tcPr>
          <w:p w14:paraId="71D4922D" w14:textId="77777777" w:rsidR="006A3667" w:rsidRDefault="006A3667">
            <w:pPr>
              <w:rPr>
                <w:rFonts w:ascii="宋体"/>
                <w:vanish/>
              </w:rPr>
            </w:pPr>
          </w:p>
        </w:tc>
        <w:tc>
          <w:tcPr>
            <w:tcW w:w="0" w:type="auto"/>
            <w:gridSpan w:val="3"/>
            <w:shd w:val="clear" w:color="auto" w:fill="auto"/>
            <w:vAlign w:val="bottom"/>
          </w:tcPr>
          <w:p w14:paraId="71D4922E" w14:textId="77777777" w:rsidR="006A3667" w:rsidRDefault="006A3667">
            <w:pPr>
              <w:rPr>
                <w:rFonts w:ascii="宋体"/>
                <w:vanish/>
              </w:rPr>
            </w:pPr>
          </w:p>
        </w:tc>
        <w:tc>
          <w:tcPr>
            <w:tcW w:w="0" w:type="auto"/>
            <w:gridSpan w:val="3"/>
            <w:shd w:val="clear" w:color="auto" w:fill="auto"/>
            <w:vAlign w:val="bottom"/>
          </w:tcPr>
          <w:p w14:paraId="71D4922F" w14:textId="77777777" w:rsidR="006A3667" w:rsidRDefault="006A3667">
            <w:pPr>
              <w:rPr>
                <w:rFonts w:ascii="宋体"/>
                <w:vanish/>
              </w:rPr>
            </w:pPr>
          </w:p>
        </w:tc>
        <w:tc>
          <w:tcPr>
            <w:tcW w:w="0" w:type="auto"/>
            <w:gridSpan w:val="3"/>
            <w:shd w:val="clear" w:color="auto" w:fill="auto"/>
            <w:vAlign w:val="bottom"/>
          </w:tcPr>
          <w:p w14:paraId="71D49230" w14:textId="77777777" w:rsidR="006A3667" w:rsidRDefault="006A3667">
            <w:pPr>
              <w:rPr>
                <w:rFonts w:ascii="宋体"/>
                <w:vanish/>
              </w:rPr>
            </w:pPr>
          </w:p>
        </w:tc>
        <w:tc>
          <w:tcPr>
            <w:tcW w:w="0" w:type="auto"/>
            <w:gridSpan w:val="3"/>
            <w:shd w:val="clear" w:color="auto" w:fill="auto"/>
            <w:vAlign w:val="bottom"/>
          </w:tcPr>
          <w:p w14:paraId="71D49231" w14:textId="77777777" w:rsidR="006A3667" w:rsidRDefault="006A3667">
            <w:pPr>
              <w:rPr>
                <w:rFonts w:ascii="宋体"/>
                <w:vanish/>
              </w:rPr>
            </w:pPr>
          </w:p>
        </w:tc>
        <w:tc>
          <w:tcPr>
            <w:tcW w:w="0" w:type="auto"/>
            <w:gridSpan w:val="3"/>
            <w:shd w:val="clear" w:color="auto" w:fill="auto"/>
            <w:vAlign w:val="bottom"/>
          </w:tcPr>
          <w:p w14:paraId="71D49232" w14:textId="77777777" w:rsidR="006A3667" w:rsidRDefault="006A3667">
            <w:pPr>
              <w:rPr>
                <w:rFonts w:ascii="宋体"/>
                <w:vanish/>
              </w:rPr>
            </w:pPr>
          </w:p>
        </w:tc>
        <w:tc>
          <w:tcPr>
            <w:tcW w:w="0" w:type="auto"/>
            <w:gridSpan w:val="3"/>
            <w:shd w:val="clear" w:color="auto" w:fill="auto"/>
            <w:vAlign w:val="bottom"/>
          </w:tcPr>
          <w:p w14:paraId="71D49233" w14:textId="77777777" w:rsidR="006A3667" w:rsidRDefault="006A3667">
            <w:pPr>
              <w:rPr>
                <w:rFonts w:ascii="宋体"/>
                <w:vanish/>
              </w:rPr>
            </w:pPr>
          </w:p>
        </w:tc>
      </w:tr>
      <w:tr w:rsidR="006A3667" w14:paraId="71D49243" w14:textId="77777777">
        <w:tc>
          <w:tcPr>
            <w:tcW w:w="0" w:type="auto"/>
            <w:gridSpan w:val="3"/>
            <w:shd w:val="clear" w:color="auto" w:fill="CCEEFF"/>
            <w:tcMar>
              <w:top w:w="40" w:type="dxa"/>
              <w:left w:w="20" w:type="dxa"/>
              <w:bottom w:w="40" w:type="dxa"/>
              <w:right w:w="20" w:type="dxa"/>
            </w:tcMar>
            <w:vAlign w:val="bottom"/>
          </w:tcPr>
          <w:p w14:paraId="71D49235" w14:textId="77777777" w:rsidR="006A3667" w:rsidRDefault="00045F32">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71D49236" w14:textId="77777777" w:rsidR="006A3667" w:rsidRDefault="00045F32">
            <w:pPr>
              <w:jc w:val="right"/>
              <w:textAlignment w:val="bottom"/>
            </w:pPr>
            <w:r>
              <w:rPr>
                <w:rFonts w:ascii="Arial" w:eastAsia="宋体" w:hAnsi="Arial" w:cs="Arial"/>
                <w:b/>
                <w:bCs/>
                <w:color w:val="000000"/>
                <w:sz w:val="14"/>
                <w:szCs w:val="14"/>
              </w:rPr>
              <w:t>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23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3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239" w14:textId="77777777" w:rsidR="006A3667" w:rsidRDefault="00045F32">
            <w:pPr>
              <w:jc w:val="right"/>
              <w:textAlignment w:val="bottom"/>
            </w:pPr>
            <w:r>
              <w:rPr>
                <w:rFonts w:ascii="Arial" w:eastAsia="宋体" w:hAnsi="Arial" w:cs="Arial"/>
                <w:color w:val="000000"/>
                <w:sz w:val="14"/>
                <w:szCs w:val="14"/>
              </w:rPr>
              <w:t>90 </w:t>
            </w:r>
          </w:p>
        </w:tc>
        <w:tc>
          <w:tcPr>
            <w:tcW w:w="0" w:type="auto"/>
            <w:shd w:val="clear" w:color="auto" w:fill="CCEEFF"/>
            <w:tcMar>
              <w:top w:w="40" w:type="dxa"/>
              <w:left w:w="0" w:type="dxa"/>
              <w:bottom w:w="40" w:type="dxa"/>
              <w:right w:w="20" w:type="dxa"/>
            </w:tcMar>
            <w:vAlign w:val="bottom"/>
          </w:tcPr>
          <w:p w14:paraId="71D492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3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23C" w14:textId="77777777" w:rsidR="006A3667" w:rsidRDefault="00045F32">
            <w:pPr>
              <w:jc w:val="right"/>
              <w:textAlignment w:val="bottom"/>
            </w:pPr>
            <w:r>
              <w:rPr>
                <w:rFonts w:ascii="Arial" w:eastAsia="宋体" w:hAnsi="Arial" w:cs="Arial"/>
                <w:b/>
                <w:bCs/>
                <w:color w:val="000000"/>
                <w:sz w:val="14"/>
                <w:szCs w:val="14"/>
              </w:rPr>
              <w:t>289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23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3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23F" w14:textId="77777777" w:rsidR="006A3667" w:rsidRDefault="00045F32">
            <w:pPr>
              <w:jc w:val="right"/>
              <w:textAlignment w:val="bottom"/>
            </w:pPr>
            <w:r>
              <w:rPr>
                <w:rFonts w:ascii="Arial" w:eastAsia="宋体" w:hAnsi="Arial" w:cs="Arial"/>
                <w:color w:val="000000"/>
                <w:sz w:val="14"/>
                <w:szCs w:val="14"/>
              </w:rPr>
              <w:t>267 </w:t>
            </w:r>
          </w:p>
        </w:tc>
        <w:tc>
          <w:tcPr>
            <w:tcW w:w="0" w:type="auto"/>
            <w:shd w:val="clear" w:color="auto" w:fill="CCEEFF"/>
            <w:tcMar>
              <w:top w:w="40" w:type="dxa"/>
              <w:left w:w="0" w:type="dxa"/>
              <w:bottom w:w="40" w:type="dxa"/>
              <w:right w:w="20" w:type="dxa"/>
            </w:tcMar>
            <w:vAlign w:val="bottom"/>
          </w:tcPr>
          <w:p w14:paraId="71D49240" w14:textId="77777777" w:rsidR="006A3667" w:rsidRDefault="006A3667">
            <w:pPr>
              <w:jc w:val="right"/>
              <w:rPr>
                <w:rFonts w:ascii="宋体"/>
              </w:rPr>
            </w:pPr>
          </w:p>
        </w:tc>
        <w:tc>
          <w:tcPr>
            <w:tcW w:w="0" w:type="auto"/>
            <w:gridSpan w:val="3"/>
            <w:shd w:val="clear" w:color="auto" w:fill="auto"/>
            <w:vAlign w:val="bottom"/>
          </w:tcPr>
          <w:p w14:paraId="71D49241" w14:textId="77777777" w:rsidR="006A3667" w:rsidRDefault="006A3667">
            <w:pPr>
              <w:rPr>
                <w:rFonts w:ascii="宋体"/>
                <w:vanish/>
              </w:rPr>
            </w:pPr>
          </w:p>
        </w:tc>
        <w:tc>
          <w:tcPr>
            <w:tcW w:w="0" w:type="auto"/>
            <w:gridSpan w:val="3"/>
            <w:shd w:val="clear" w:color="auto" w:fill="auto"/>
            <w:vAlign w:val="bottom"/>
          </w:tcPr>
          <w:p w14:paraId="71D49242" w14:textId="77777777" w:rsidR="006A3667" w:rsidRDefault="006A3667">
            <w:pPr>
              <w:rPr>
                <w:rFonts w:ascii="宋体"/>
                <w:vanish/>
              </w:rPr>
            </w:pPr>
          </w:p>
        </w:tc>
      </w:tr>
      <w:tr w:rsidR="006A3667" w14:paraId="71D49256" w14:textId="77777777">
        <w:tc>
          <w:tcPr>
            <w:tcW w:w="0" w:type="auto"/>
            <w:gridSpan w:val="3"/>
            <w:shd w:val="clear" w:color="auto" w:fill="FFFFFF"/>
            <w:tcMar>
              <w:top w:w="40" w:type="dxa"/>
              <w:left w:w="20" w:type="dxa"/>
              <w:bottom w:w="40" w:type="dxa"/>
              <w:right w:w="20" w:type="dxa"/>
            </w:tcMar>
            <w:vAlign w:val="bottom"/>
          </w:tcPr>
          <w:p w14:paraId="71D49244" w14:textId="77777777" w:rsidR="006A3667" w:rsidRDefault="00045F32">
            <w:pPr>
              <w:textAlignment w:val="bottom"/>
            </w:pPr>
            <w:r>
              <w:rPr>
                <w:rFonts w:ascii="Arial" w:eastAsia="宋体" w:hAnsi="Arial" w:cs="Arial"/>
                <w:color w:val="000000"/>
                <w:sz w:val="14"/>
                <w:szCs w:val="14"/>
              </w:rPr>
              <w:t>Total other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924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9246" w14:textId="77777777" w:rsidR="006A3667" w:rsidRDefault="00045F32">
            <w:pPr>
              <w:jc w:val="right"/>
              <w:textAlignment w:val="bottom"/>
            </w:pPr>
            <w:r>
              <w:rPr>
                <w:rFonts w:ascii="Arial" w:eastAsia="宋体" w:hAnsi="Arial" w:cs="Arial"/>
                <w:b/>
                <w:bCs/>
                <w:color w:val="000000"/>
                <w:sz w:val="14"/>
                <w:szCs w:val="14"/>
              </w:rPr>
              <w:t>274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92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4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924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924A" w14:textId="77777777" w:rsidR="006A3667" w:rsidRDefault="00045F32">
            <w:pPr>
              <w:jc w:val="right"/>
              <w:textAlignment w:val="bottom"/>
            </w:pPr>
            <w:r>
              <w:rPr>
                <w:rFonts w:ascii="Arial" w:eastAsia="宋体" w:hAnsi="Arial" w:cs="Arial"/>
                <w:color w:val="000000"/>
                <w:sz w:val="14"/>
                <w:szCs w:val="14"/>
              </w:rPr>
              <w:t>221 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92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4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924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924E" w14:textId="77777777" w:rsidR="006A3667" w:rsidRDefault="00045F32">
            <w:pPr>
              <w:jc w:val="right"/>
              <w:textAlignment w:val="bottom"/>
            </w:pPr>
            <w:r>
              <w:rPr>
                <w:rFonts w:ascii="Arial" w:eastAsia="宋体" w:hAnsi="Arial" w:cs="Arial"/>
                <w:b/>
                <w:bCs/>
                <w:color w:val="000000"/>
                <w:sz w:val="14"/>
                <w:szCs w:val="14"/>
              </w:rPr>
              <w:t>779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92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5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925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9252" w14:textId="77777777" w:rsidR="006A3667" w:rsidRDefault="00045F32">
            <w:pPr>
              <w:jc w:val="right"/>
              <w:textAlignment w:val="bottom"/>
            </w:pPr>
            <w:r>
              <w:rPr>
                <w:rFonts w:ascii="Arial" w:eastAsia="宋体" w:hAnsi="Arial" w:cs="Arial"/>
                <w:color w:val="000000"/>
                <w:sz w:val="14"/>
                <w:szCs w:val="14"/>
              </w:rPr>
              <w:t>642 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9253" w14:textId="77777777" w:rsidR="006A3667" w:rsidRDefault="006A3667">
            <w:pPr>
              <w:jc w:val="right"/>
              <w:rPr>
                <w:rFonts w:ascii="宋体"/>
              </w:rPr>
            </w:pPr>
          </w:p>
        </w:tc>
        <w:tc>
          <w:tcPr>
            <w:tcW w:w="0" w:type="auto"/>
            <w:gridSpan w:val="3"/>
            <w:shd w:val="clear" w:color="auto" w:fill="auto"/>
            <w:vAlign w:val="bottom"/>
          </w:tcPr>
          <w:p w14:paraId="71D49254" w14:textId="77777777" w:rsidR="006A3667" w:rsidRDefault="006A3667">
            <w:pPr>
              <w:rPr>
                <w:rFonts w:ascii="宋体"/>
                <w:vanish/>
              </w:rPr>
            </w:pPr>
          </w:p>
        </w:tc>
        <w:tc>
          <w:tcPr>
            <w:tcW w:w="0" w:type="auto"/>
            <w:gridSpan w:val="3"/>
            <w:shd w:val="clear" w:color="auto" w:fill="auto"/>
            <w:vAlign w:val="bottom"/>
          </w:tcPr>
          <w:p w14:paraId="71D49255" w14:textId="77777777" w:rsidR="006A3667" w:rsidRDefault="006A3667">
            <w:pPr>
              <w:rPr>
                <w:rFonts w:ascii="宋体"/>
                <w:vanish/>
              </w:rPr>
            </w:pPr>
          </w:p>
        </w:tc>
      </w:tr>
    </w:tbl>
    <w:p w14:paraId="71D49257" w14:textId="77777777" w:rsidR="006A3667" w:rsidRDefault="00045F32">
      <w:pPr>
        <w:spacing w:before="60"/>
        <w:jc w:val="both"/>
      </w:pPr>
      <w:r>
        <w:rPr>
          <w:rFonts w:ascii="Arial" w:eastAsia="宋体" w:hAnsi="Arial" w:cs="Arial"/>
          <w:b/>
          <w:bCs/>
          <w:i/>
          <w:iCs/>
          <w:color w:val="000000"/>
          <w:sz w:val="20"/>
          <w:szCs w:val="20"/>
        </w:rPr>
        <w:t>Acquisition Costs</w:t>
      </w:r>
    </w:p>
    <w:p w14:paraId="71D49258" w14:textId="77777777" w:rsidR="006A3667" w:rsidRDefault="00045F32">
      <w:pPr>
        <w:spacing w:before="60"/>
        <w:ind w:firstLine="450"/>
        <w:jc w:val="both"/>
      </w:pPr>
      <w:r>
        <w:rPr>
          <w:rFonts w:ascii="Arial" w:eastAsia="宋体" w:hAnsi="Arial" w:cs="Arial"/>
          <w:color w:val="000000"/>
          <w:sz w:val="20"/>
          <w:szCs w:val="20"/>
        </w:rPr>
        <w:t>We recorded approximately $13 million and $34 million of acquisition costs in</w:t>
      </w:r>
      <w:r>
        <w:rPr>
          <w:rFonts w:ascii="Arial" w:eastAsia="宋体" w:hAnsi="Arial" w:cs="Arial"/>
          <w:color w:val="000000"/>
          <w:sz w:val="20"/>
          <w:szCs w:val="20"/>
        </w:rPr>
        <w:t xml:space="preserve"> the three and nine months ended September 30, 2022, respectively, compared to $7 million in both the same periods in 2021 related to our proposed acquisition of the BBH Investor Services business. In addition, we recorded approximately $11 million and $33</w:t>
      </w:r>
      <w:r>
        <w:rPr>
          <w:rFonts w:ascii="Arial" w:eastAsia="宋体" w:hAnsi="Arial" w:cs="Arial"/>
          <w:color w:val="000000"/>
          <w:sz w:val="20"/>
          <w:szCs w:val="20"/>
        </w:rPr>
        <w:t> million of acquisition costs in the three and nine months ended September 30, 2021, respectively, related to our 2018 acquisition of CRD.</w:t>
      </w:r>
    </w:p>
    <w:p w14:paraId="71D49259" w14:textId="77777777" w:rsidR="006A3667" w:rsidRDefault="00045F32">
      <w:pPr>
        <w:ind w:firstLine="450"/>
        <w:jc w:val="right"/>
      </w:pPr>
      <w:r>
        <w:rPr>
          <w:rFonts w:ascii="Arial" w:eastAsia="宋体" w:hAnsi="Arial" w:cs="Arial"/>
          <w:color w:val="000000"/>
          <w:sz w:val="18"/>
          <w:szCs w:val="18"/>
        </w:rPr>
        <w:t>State Street Corporation | 91</w:t>
      </w:r>
    </w:p>
    <w:p w14:paraId="71D4925A" w14:textId="77777777" w:rsidR="006A3667" w:rsidRDefault="006A3667">
      <w:pPr>
        <w:ind w:firstLine="450"/>
        <w:jc w:val="center"/>
      </w:pPr>
    </w:p>
    <w:p w14:paraId="71D4925B" w14:textId="77777777" w:rsidR="006A3667" w:rsidRDefault="00045F32">
      <w:r>
        <w:pict w14:anchorId="71D4AC6F">
          <v:rect id="_x0000_i1115" style="width:415.3pt;height:1.5pt" o:hralign="center" o:hrstd="t" o:hr="t" fillcolor="#a0a0a0" stroked="f"/>
        </w:pict>
      </w:r>
    </w:p>
    <w:p w14:paraId="71D4925C" w14:textId="77777777" w:rsidR="006A3667" w:rsidRDefault="00045F32">
      <w:pPr>
        <w:ind w:firstLine="450"/>
        <w:jc w:val="center"/>
      </w:pPr>
      <w:r>
        <w:rPr>
          <w:rFonts w:ascii="Arial" w:eastAsia="宋体" w:hAnsi="Arial" w:cs="Arial"/>
          <w:b/>
          <w:bCs/>
          <w:color w:val="000000"/>
          <w:sz w:val="20"/>
          <w:szCs w:val="20"/>
        </w:rPr>
        <w:t>STATE STREET CORPORATION</w:t>
      </w:r>
    </w:p>
    <w:p w14:paraId="71D4925D" w14:textId="77777777" w:rsidR="006A3667" w:rsidRDefault="00045F32">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71D4925E" w14:textId="77777777" w:rsidR="006A3667" w:rsidRDefault="00045F32">
      <w:pPr>
        <w:ind w:firstLine="450"/>
        <w:jc w:val="center"/>
      </w:pPr>
      <w:r>
        <w:rPr>
          <w:rFonts w:ascii="Arial" w:eastAsia="宋体" w:hAnsi="Arial" w:cs="Arial"/>
          <w:b/>
          <w:bCs/>
          <w:color w:val="000000"/>
          <w:sz w:val="20"/>
          <w:szCs w:val="20"/>
        </w:rPr>
        <w:t>(UNAUDITED)</w:t>
      </w:r>
    </w:p>
    <w:p w14:paraId="71D4925F" w14:textId="77777777" w:rsidR="006A3667" w:rsidRDefault="00045F32">
      <w:pPr>
        <w:spacing w:before="60"/>
        <w:jc w:val="both"/>
      </w:pPr>
      <w:r>
        <w:rPr>
          <w:rFonts w:ascii="Arial" w:eastAsia="宋体" w:hAnsi="Arial" w:cs="Arial"/>
          <w:b/>
          <w:bCs/>
          <w:i/>
          <w:iCs/>
          <w:color w:val="000000"/>
          <w:sz w:val="20"/>
          <w:szCs w:val="20"/>
        </w:rPr>
        <w:t>Restructuring and Repositioning Charges</w:t>
      </w:r>
    </w:p>
    <w:p w14:paraId="71D49260" w14:textId="77777777" w:rsidR="006A3667" w:rsidRDefault="00045F32">
      <w:pPr>
        <w:spacing w:before="60"/>
        <w:ind w:firstLine="450"/>
        <w:jc w:val="both"/>
      </w:pPr>
      <w:r>
        <w:rPr>
          <w:rFonts w:ascii="Arial" w:eastAsia="宋体" w:hAnsi="Arial" w:cs="Arial"/>
          <w:color w:val="000000"/>
          <w:sz w:val="20"/>
          <w:szCs w:val="20"/>
        </w:rPr>
        <w:t>The following table presents aggregate activity for repositioning charges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802"/>
        <w:gridCol w:w="38"/>
        <w:gridCol w:w="99"/>
        <w:gridCol w:w="1279"/>
        <w:gridCol w:w="36"/>
        <w:gridCol w:w="36"/>
        <w:gridCol w:w="36"/>
        <w:gridCol w:w="36"/>
        <w:gridCol w:w="99"/>
        <w:gridCol w:w="1279"/>
        <w:gridCol w:w="36"/>
        <w:gridCol w:w="36"/>
        <w:gridCol w:w="36"/>
        <w:gridCol w:w="36"/>
        <w:gridCol w:w="98"/>
        <w:gridCol w:w="1279"/>
        <w:gridCol w:w="36"/>
      </w:tblGrid>
      <w:tr w:rsidR="006A3667" w14:paraId="71D49273" w14:textId="77777777">
        <w:tc>
          <w:tcPr>
            <w:tcW w:w="50" w:type="pct"/>
            <w:shd w:val="clear" w:color="auto" w:fill="auto"/>
            <w:vAlign w:val="bottom"/>
          </w:tcPr>
          <w:p w14:paraId="71D49261" w14:textId="77777777" w:rsidR="006A3667" w:rsidRDefault="006A3667">
            <w:pPr>
              <w:rPr>
                <w:rFonts w:ascii="宋体"/>
              </w:rPr>
            </w:pPr>
          </w:p>
        </w:tc>
        <w:tc>
          <w:tcPr>
            <w:tcW w:w="2320" w:type="pct"/>
            <w:shd w:val="clear" w:color="auto" w:fill="auto"/>
            <w:vAlign w:val="bottom"/>
          </w:tcPr>
          <w:p w14:paraId="71D49262" w14:textId="77777777" w:rsidR="006A3667" w:rsidRDefault="006A3667">
            <w:pPr>
              <w:rPr>
                <w:rFonts w:ascii="宋体"/>
              </w:rPr>
            </w:pPr>
          </w:p>
        </w:tc>
        <w:tc>
          <w:tcPr>
            <w:tcW w:w="5" w:type="pct"/>
            <w:shd w:val="clear" w:color="auto" w:fill="auto"/>
            <w:vAlign w:val="bottom"/>
          </w:tcPr>
          <w:p w14:paraId="71D49263" w14:textId="77777777" w:rsidR="006A3667" w:rsidRDefault="006A3667">
            <w:pPr>
              <w:rPr>
                <w:rFonts w:ascii="宋体"/>
              </w:rPr>
            </w:pPr>
          </w:p>
        </w:tc>
        <w:tc>
          <w:tcPr>
            <w:tcW w:w="50" w:type="pct"/>
            <w:shd w:val="clear" w:color="auto" w:fill="auto"/>
            <w:vAlign w:val="bottom"/>
          </w:tcPr>
          <w:p w14:paraId="71D49264" w14:textId="77777777" w:rsidR="006A3667" w:rsidRDefault="006A3667">
            <w:pPr>
              <w:rPr>
                <w:rFonts w:ascii="宋体"/>
              </w:rPr>
            </w:pPr>
          </w:p>
        </w:tc>
        <w:tc>
          <w:tcPr>
            <w:tcW w:w="800" w:type="pct"/>
            <w:shd w:val="clear" w:color="auto" w:fill="auto"/>
            <w:vAlign w:val="bottom"/>
          </w:tcPr>
          <w:p w14:paraId="71D49265" w14:textId="77777777" w:rsidR="006A3667" w:rsidRDefault="006A3667">
            <w:pPr>
              <w:rPr>
                <w:rFonts w:ascii="宋体"/>
              </w:rPr>
            </w:pPr>
          </w:p>
        </w:tc>
        <w:tc>
          <w:tcPr>
            <w:tcW w:w="5" w:type="pct"/>
            <w:shd w:val="clear" w:color="auto" w:fill="auto"/>
            <w:vAlign w:val="bottom"/>
          </w:tcPr>
          <w:p w14:paraId="71D49266" w14:textId="77777777" w:rsidR="006A3667" w:rsidRDefault="006A3667">
            <w:pPr>
              <w:rPr>
                <w:rFonts w:ascii="宋体"/>
              </w:rPr>
            </w:pPr>
          </w:p>
        </w:tc>
        <w:tc>
          <w:tcPr>
            <w:tcW w:w="5" w:type="pct"/>
            <w:shd w:val="clear" w:color="auto" w:fill="auto"/>
            <w:vAlign w:val="bottom"/>
          </w:tcPr>
          <w:p w14:paraId="71D49267" w14:textId="77777777" w:rsidR="006A3667" w:rsidRDefault="006A3667">
            <w:pPr>
              <w:rPr>
                <w:rFonts w:ascii="宋体"/>
              </w:rPr>
            </w:pPr>
          </w:p>
        </w:tc>
        <w:tc>
          <w:tcPr>
            <w:tcW w:w="19" w:type="pct"/>
            <w:shd w:val="clear" w:color="auto" w:fill="auto"/>
            <w:vAlign w:val="bottom"/>
          </w:tcPr>
          <w:p w14:paraId="71D49268" w14:textId="77777777" w:rsidR="006A3667" w:rsidRDefault="006A3667">
            <w:pPr>
              <w:rPr>
                <w:rFonts w:ascii="宋体"/>
              </w:rPr>
            </w:pPr>
          </w:p>
        </w:tc>
        <w:tc>
          <w:tcPr>
            <w:tcW w:w="5" w:type="pct"/>
            <w:shd w:val="clear" w:color="auto" w:fill="auto"/>
            <w:vAlign w:val="bottom"/>
          </w:tcPr>
          <w:p w14:paraId="71D49269" w14:textId="77777777" w:rsidR="006A3667" w:rsidRDefault="006A3667">
            <w:pPr>
              <w:rPr>
                <w:rFonts w:ascii="宋体"/>
              </w:rPr>
            </w:pPr>
          </w:p>
        </w:tc>
        <w:tc>
          <w:tcPr>
            <w:tcW w:w="50" w:type="pct"/>
            <w:shd w:val="clear" w:color="auto" w:fill="auto"/>
            <w:vAlign w:val="bottom"/>
          </w:tcPr>
          <w:p w14:paraId="71D4926A" w14:textId="77777777" w:rsidR="006A3667" w:rsidRDefault="006A3667">
            <w:pPr>
              <w:rPr>
                <w:rFonts w:ascii="宋体"/>
              </w:rPr>
            </w:pPr>
          </w:p>
        </w:tc>
        <w:tc>
          <w:tcPr>
            <w:tcW w:w="800" w:type="pct"/>
            <w:shd w:val="clear" w:color="auto" w:fill="auto"/>
            <w:vAlign w:val="bottom"/>
          </w:tcPr>
          <w:p w14:paraId="71D4926B" w14:textId="77777777" w:rsidR="006A3667" w:rsidRDefault="006A3667">
            <w:pPr>
              <w:rPr>
                <w:rFonts w:ascii="宋体"/>
              </w:rPr>
            </w:pPr>
          </w:p>
        </w:tc>
        <w:tc>
          <w:tcPr>
            <w:tcW w:w="5" w:type="pct"/>
            <w:shd w:val="clear" w:color="auto" w:fill="auto"/>
            <w:vAlign w:val="bottom"/>
          </w:tcPr>
          <w:p w14:paraId="71D4926C" w14:textId="77777777" w:rsidR="006A3667" w:rsidRDefault="006A3667">
            <w:pPr>
              <w:rPr>
                <w:rFonts w:ascii="宋体"/>
              </w:rPr>
            </w:pPr>
          </w:p>
        </w:tc>
        <w:tc>
          <w:tcPr>
            <w:tcW w:w="5" w:type="pct"/>
            <w:shd w:val="clear" w:color="auto" w:fill="auto"/>
            <w:vAlign w:val="bottom"/>
          </w:tcPr>
          <w:p w14:paraId="71D4926D" w14:textId="77777777" w:rsidR="006A3667" w:rsidRDefault="006A3667">
            <w:pPr>
              <w:rPr>
                <w:rFonts w:ascii="宋体"/>
              </w:rPr>
            </w:pPr>
          </w:p>
        </w:tc>
        <w:tc>
          <w:tcPr>
            <w:tcW w:w="19" w:type="pct"/>
            <w:shd w:val="clear" w:color="auto" w:fill="auto"/>
            <w:vAlign w:val="bottom"/>
          </w:tcPr>
          <w:p w14:paraId="71D4926E" w14:textId="77777777" w:rsidR="006A3667" w:rsidRDefault="006A3667">
            <w:pPr>
              <w:rPr>
                <w:rFonts w:ascii="宋体"/>
              </w:rPr>
            </w:pPr>
          </w:p>
        </w:tc>
        <w:tc>
          <w:tcPr>
            <w:tcW w:w="5" w:type="pct"/>
            <w:shd w:val="clear" w:color="auto" w:fill="auto"/>
            <w:vAlign w:val="bottom"/>
          </w:tcPr>
          <w:p w14:paraId="71D4926F" w14:textId="77777777" w:rsidR="006A3667" w:rsidRDefault="006A3667">
            <w:pPr>
              <w:rPr>
                <w:rFonts w:ascii="宋体"/>
              </w:rPr>
            </w:pPr>
          </w:p>
        </w:tc>
        <w:tc>
          <w:tcPr>
            <w:tcW w:w="50" w:type="pct"/>
            <w:shd w:val="clear" w:color="auto" w:fill="auto"/>
            <w:vAlign w:val="bottom"/>
          </w:tcPr>
          <w:p w14:paraId="71D49270" w14:textId="77777777" w:rsidR="006A3667" w:rsidRDefault="006A3667">
            <w:pPr>
              <w:rPr>
                <w:rFonts w:ascii="宋体"/>
              </w:rPr>
            </w:pPr>
          </w:p>
        </w:tc>
        <w:tc>
          <w:tcPr>
            <w:tcW w:w="800" w:type="pct"/>
            <w:shd w:val="clear" w:color="auto" w:fill="auto"/>
            <w:vAlign w:val="bottom"/>
          </w:tcPr>
          <w:p w14:paraId="71D49271" w14:textId="77777777" w:rsidR="006A3667" w:rsidRDefault="006A3667">
            <w:pPr>
              <w:rPr>
                <w:rFonts w:ascii="宋体"/>
              </w:rPr>
            </w:pPr>
          </w:p>
        </w:tc>
        <w:tc>
          <w:tcPr>
            <w:tcW w:w="5" w:type="pct"/>
            <w:shd w:val="clear" w:color="auto" w:fill="auto"/>
            <w:vAlign w:val="bottom"/>
          </w:tcPr>
          <w:p w14:paraId="71D49272" w14:textId="77777777" w:rsidR="006A3667" w:rsidRDefault="006A3667">
            <w:pPr>
              <w:rPr>
                <w:rFonts w:ascii="宋体"/>
              </w:rPr>
            </w:pPr>
          </w:p>
        </w:tc>
      </w:tr>
      <w:tr w:rsidR="006A3667" w14:paraId="71D4927A" w14:textId="77777777">
        <w:tc>
          <w:tcPr>
            <w:tcW w:w="0" w:type="auto"/>
            <w:gridSpan w:val="3"/>
            <w:shd w:val="clear" w:color="auto" w:fill="auto"/>
            <w:tcMar>
              <w:top w:w="40" w:type="dxa"/>
              <w:left w:w="20" w:type="dxa"/>
              <w:bottom w:w="40" w:type="dxa"/>
              <w:right w:w="20" w:type="dxa"/>
            </w:tcMar>
            <w:vAlign w:val="bottom"/>
          </w:tcPr>
          <w:p w14:paraId="71D49274" w14:textId="77777777" w:rsidR="006A3667" w:rsidRDefault="00045F32">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71D49275" w14:textId="77777777" w:rsidR="006A3667" w:rsidRDefault="00045F32">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71D4927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9277" w14:textId="77777777" w:rsidR="006A3667" w:rsidRDefault="00045F32">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top w:w="0" w:type="dxa"/>
              <w:left w:w="20" w:type="dxa"/>
              <w:bottom w:w="0" w:type="dxa"/>
              <w:right w:w="20" w:type="dxa"/>
            </w:tcMar>
            <w:vAlign w:val="bottom"/>
          </w:tcPr>
          <w:p w14:paraId="71D49278"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9279"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9287" w14:textId="77777777">
        <w:tc>
          <w:tcPr>
            <w:tcW w:w="0" w:type="auto"/>
            <w:gridSpan w:val="3"/>
            <w:shd w:val="clear" w:color="auto" w:fill="CCEEFF"/>
            <w:tcMar>
              <w:top w:w="40" w:type="dxa"/>
              <w:left w:w="20" w:type="dxa"/>
              <w:bottom w:w="40" w:type="dxa"/>
              <w:right w:w="20" w:type="dxa"/>
            </w:tcMar>
            <w:vAlign w:val="bottom"/>
          </w:tcPr>
          <w:p w14:paraId="71D4927B" w14:textId="77777777" w:rsidR="006A3667" w:rsidRDefault="00045F32">
            <w:pPr>
              <w:textAlignment w:val="bottom"/>
            </w:pPr>
            <w:r>
              <w:rPr>
                <w:rFonts w:ascii="Arial" w:eastAsia="宋体" w:hAnsi="Arial" w:cs="Arial"/>
                <w:b/>
                <w:bCs/>
                <w:color w:val="000000"/>
                <w:sz w:val="14"/>
                <w:szCs w:val="14"/>
              </w:rPr>
              <w:t>Accrual Balance at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27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27D" w14:textId="77777777" w:rsidR="006A3667" w:rsidRDefault="00045F32">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7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7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28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281"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8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8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28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285" w14:textId="77777777" w:rsidR="006A3667" w:rsidRDefault="00045F32">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86" w14:textId="77777777" w:rsidR="006A3667" w:rsidRDefault="006A3667">
            <w:pPr>
              <w:jc w:val="right"/>
              <w:rPr>
                <w:rFonts w:ascii="宋体"/>
              </w:rPr>
            </w:pPr>
          </w:p>
        </w:tc>
      </w:tr>
      <w:tr w:rsidR="006A3667" w14:paraId="71D49291" w14:textId="77777777">
        <w:tc>
          <w:tcPr>
            <w:tcW w:w="0" w:type="auto"/>
            <w:gridSpan w:val="3"/>
            <w:shd w:val="clear" w:color="auto" w:fill="FFFFFF"/>
            <w:tcMar>
              <w:top w:w="40" w:type="dxa"/>
              <w:left w:w="20" w:type="dxa"/>
              <w:bottom w:w="40" w:type="dxa"/>
              <w:right w:w="20" w:type="dxa"/>
            </w:tcMar>
            <w:vAlign w:val="bottom"/>
          </w:tcPr>
          <w:p w14:paraId="71D49288" w14:textId="77777777" w:rsidR="006A3667" w:rsidRDefault="00045F32">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71D49289"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4928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8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8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28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8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8F"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49290" w14:textId="77777777" w:rsidR="006A3667" w:rsidRDefault="006A3667">
            <w:pPr>
              <w:jc w:val="right"/>
              <w:rPr>
                <w:rFonts w:ascii="宋体"/>
              </w:rPr>
            </w:pPr>
          </w:p>
        </w:tc>
      </w:tr>
      <w:tr w:rsidR="006A3667" w14:paraId="71D4929B" w14:textId="77777777">
        <w:tc>
          <w:tcPr>
            <w:tcW w:w="0" w:type="auto"/>
            <w:gridSpan w:val="3"/>
            <w:shd w:val="clear" w:color="auto" w:fill="CCEEFF"/>
            <w:tcMar>
              <w:top w:w="40" w:type="dxa"/>
              <w:left w:w="20" w:type="dxa"/>
              <w:bottom w:w="40" w:type="dxa"/>
              <w:right w:w="20" w:type="dxa"/>
            </w:tcMar>
            <w:vAlign w:val="bottom"/>
          </w:tcPr>
          <w:p w14:paraId="71D49292" w14:textId="77777777" w:rsidR="006A3667" w:rsidRDefault="00045F32">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71D4929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29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9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296"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929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9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299" w14:textId="77777777" w:rsidR="006A3667" w:rsidRDefault="00045F32">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71D4929A" w14:textId="77777777" w:rsidR="006A3667" w:rsidRDefault="006A3667">
            <w:pPr>
              <w:jc w:val="right"/>
              <w:rPr>
                <w:rFonts w:ascii="宋体"/>
              </w:rPr>
            </w:pPr>
          </w:p>
        </w:tc>
      </w:tr>
      <w:tr w:rsidR="006A3667" w14:paraId="71D492A5" w14:textId="77777777">
        <w:tc>
          <w:tcPr>
            <w:tcW w:w="0" w:type="auto"/>
            <w:gridSpan w:val="3"/>
            <w:shd w:val="clear" w:color="auto" w:fill="FFFFFF"/>
            <w:tcMar>
              <w:top w:w="40" w:type="dxa"/>
              <w:left w:w="20" w:type="dxa"/>
              <w:bottom w:w="40" w:type="dxa"/>
              <w:right w:w="20" w:type="dxa"/>
            </w:tcMar>
            <w:vAlign w:val="bottom"/>
          </w:tcPr>
          <w:p w14:paraId="71D4929C"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71D4929D" w14:textId="77777777" w:rsidR="006A3667" w:rsidRDefault="00045F32">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71D4929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9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A0"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71D492A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A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A3"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71D492A4" w14:textId="77777777" w:rsidR="006A3667" w:rsidRDefault="006A3667">
            <w:pPr>
              <w:jc w:val="right"/>
              <w:rPr>
                <w:rFonts w:ascii="宋体"/>
              </w:rPr>
            </w:pPr>
          </w:p>
        </w:tc>
      </w:tr>
      <w:tr w:rsidR="006A3667" w14:paraId="71D492AF" w14:textId="77777777">
        <w:tc>
          <w:tcPr>
            <w:tcW w:w="0" w:type="auto"/>
            <w:gridSpan w:val="3"/>
            <w:shd w:val="clear" w:color="auto" w:fill="CCEEFF"/>
            <w:tcMar>
              <w:top w:w="40" w:type="dxa"/>
              <w:left w:w="20" w:type="dxa"/>
              <w:bottom w:w="40" w:type="dxa"/>
              <w:right w:w="20" w:type="dxa"/>
            </w:tcMar>
            <w:vAlign w:val="bottom"/>
          </w:tcPr>
          <w:p w14:paraId="71D492A6" w14:textId="77777777" w:rsidR="006A3667" w:rsidRDefault="00045F32">
            <w:pPr>
              <w:textAlignment w:val="bottom"/>
            </w:pPr>
            <w:r>
              <w:rPr>
                <w:rFonts w:ascii="Arial" w:eastAsia="宋体" w:hAnsi="Arial" w:cs="Arial"/>
                <w:b/>
                <w:bCs/>
                <w:color w:val="000000"/>
                <w:sz w:val="14"/>
                <w:szCs w:val="14"/>
              </w:rPr>
              <w:t>Accrual Balance at March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2A7" w14:textId="77777777" w:rsidR="006A3667" w:rsidRDefault="00045F32">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A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A9"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2AA"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A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AC"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2AD" w14:textId="77777777" w:rsidR="006A3667" w:rsidRDefault="00045F32">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AE" w14:textId="77777777" w:rsidR="006A3667" w:rsidRDefault="006A3667">
            <w:pPr>
              <w:jc w:val="right"/>
              <w:rPr>
                <w:rFonts w:ascii="宋体"/>
              </w:rPr>
            </w:pPr>
          </w:p>
        </w:tc>
      </w:tr>
      <w:tr w:rsidR="006A3667" w14:paraId="71D492B6" w14:textId="77777777">
        <w:trPr>
          <w:hidden/>
        </w:trPr>
        <w:tc>
          <w:tcPr>
            <w:tcW w:w="0" w:type="auto"/>
            <w:gridSpan w:val="3"/>
            <w:shd w:val="clear" w:color="auto" w:fill="auto"/>
            <w:vAlign w:val="bottom"/>
          </w:tcPr>
          <w:p w14:paraId="71D492B0" w14:textId="77777777" w:rsidR="006A3667" w:rsidRDefault="006A3667">
            <w:pPr>
              <w:rPr>
                <w:rFonts w:ascii="宋体"/>
                <w:vanish/>
              </w:rPr>
            </w:pPr>
          </w:p>
        </w:tc>
        <w:tc>
          <w:tcPr>
            <w:tcW w:w="0" w:type="auto"/>
            <w:gridSpan w:val="3"/>
            <w:shd w:val="clear" w:color="auto" w:fill="auto"/>
            <w:vAlign w:val="bottom"/>
          </w:tcPr>
          <w:p w14:paraId="71D492B1" w14:textId="77777777" w:rsidR="006A3667" w:rsidRDefault="006A3667">
            <w:pPr>
              <w:rPr>
                <w:rFonts w:ascii="宋体"/>
                <w:vanish/>
              </w:rPr>
            </w:pPr>
          </w:p>
        </w:tc>
        <w:tc>
          <w:tcPr>
            <w:tcW w:w="0" w:type="auto"/>
            <w:gridSpan w:val="3"/>
            <w:shd w:val="clear" w:color="auto" w:fill="auto"/>
            <w:vAlign w:val="bottom"/>
          </w:tcPr>
          <w:p w14:paraId="71D492B2" w14:textId="77777777" w:rsidR="006A3667" w:rsidRDefault="006A3667">
            <w:pPr>
              <w:rPr>
                <w:rFonts w:ascii="宋体"/>
                <w:vanish/>
              </w:rPr>
            </w:pPr>
          </w:p>
        </w:tc>
        <w:tc>
          <w:tcPr>
            <w:tcW w:w="0" w:type="auto"/>
            <w:gridSpan w:val="3"/>
            <w:shd w:val="clear" w:color="auto" w:fill="auto"/>
            <w:vAlign w:val="bottom"/>
          </w:tcPr>
          <w:p w14:paraId="71D492B3" w14:textId="77777777" w:rsidR="006A3667" w:rsidRDefault="006A3667">
            <w:pPr>
              <w:rPr>
                <w:rFonts w:ascii="宋体"/>
                <w:vanish/>
              </w:rPr>
            </w:pPr>
          </w:p>
        </w:tc>
        <w:tc>
          <w:tcPr>
            <w:tcW w:w="0" w:type="auto"/>
            <w:gridSpan w:val="3"/>
            <w:shd w:val="clear" w:color="auto" w:fill="auto"/>
            <w:vAlign w:val="bottom"/>
          </w:tcPr>
          <w:p w14:paraId="71D492B4" w14:textId="77777777" w:rsidR="006A3667" w:rsidRDefault="006A3667">
            <w:pPr>
              <w:rPr>
                <w:rFonts w:ascii="宋体"/>
                <w:vanish/>
              </w:rPr>
            </w:pPr>
          </w:p>
        </w:tc>
        <w:tc>
          <w:tcPr>
            <w:tcW w:w="0" w:type="auto"/>
            <w:gridSpan w:val="3"/>
            <w:shd w:val="clear" w:color="auto" w:fill="auto"/>
            <w:vAlign w:val="bottom"/>
          </w:tcPr>
          <w:p w14:paraId="71D492B5" w14:textId="77777777" w:rsidR="006A3667" w:rsidRDefault="006A3667">
            <w:pPr>
              <w:rPr>
                <w:rFonts w:ascii="宋体"/>
                <w:vanish/>
              </w:rPr>
            </w:pPr>
          </w:p>
        </w:tc>
      </w:tr>
      <w:tr w:rsidR="006A3667" w14:paraId="71D492BD" w14:textId="77777777">
        <w:trPr>
          <w:hidden/>
        </w:trPr>
        <w:tc>
          <w:tcPr>
            <w:tcW w:w="0" w:type="auto"/>
            <w:gridSpan w:val="3"/>
            <w:shd w:val="clear" w:color="auto" w:fill="auto"/>
            <w:vAlign w:val="bottom"/>
          </w:tcPr>
          <w:p w14:paraId="71D492B7" w14:textId="77777777" w:rsidR="006A3667" w:rsidRDefault="006A3667">
            <w:pPr>
              <w:rPr>
                <w:rFonts w:ascii="宋体"/>
                <w:vanish/>
              </w:rPr>
            </w:pPr>
          </w:p>
        </w:tc>
        <w:tc>
          <w:tcPr>
            <w:tcW w:w="0" w:type="auto"/>
            <w:gridSpan w:val="3"/>
            <w:shd w:val="clear" w:color="auto" w:fill="auto"/>
            <w:vAlign w:val="bottom"/>
          </w:tcPr>
          <w:p w14:paraId="71D492B8" w14:textId="77777777" w:rsidR="006A3667" w:rsidRDefault="006A3667">
            <w:pPr>
              <w:rPr>
                <w:rFonts w:ascii="宋体"/>
                <w:vanish/>
              </w:rPr>
            </w:pPr>
          </w:p>
        </w:tc>
        <w:tc>
          <w:tcPr>
            <w:tcW w:w="0" w:type="auto"/>
            <w:gridSpan w:val="3"/>
            <w:shd w:val="clear" w:color="auto" w:fill="auto"/>
            <w:vAlign w:val="bottom"/>
          </w:tcPr>
          <w:p w14:paraId="71D492B9" w14:textId="77777777" w:rsidR="006A3667" w:rsidRDefault="006A3667">
            <w:pPr>
              <w:rPr>
                <w:rFonts w:ascii="宋体"/>
                <w:vanish/>
              </w:rPr>
            </w:pPr>
          </w:p>
        </w:tc>
        <w:tc>
          <w:tcPr>
            <w:tcW w:w="0" w:type="auto"/>
            <w:gridSpan w:val="3"/>
            <w:shd w:val="clear" w:color="auto" w:fill="auto"/>
            <w:vAlign w:val="bottom"/>
          </w:tcPr>
          <w:p w14:paraId="71D492BA" w14:textId="77777777" w:rsidR="006A3667" w:rsidRDefault="006A3667">
            <w:pPr>
              <w:rPr>
                <w:rFonts w:ascii="宋体"/>
                <w:vanish/>
              </w:rPr>
            </w:pPr>
          </w:p>
        </w:tc>
        <w:tc>
          <w:tcPr>
            <w:tcW w:w="0" w:type="auto"/>
            <w:gridSpan w:val="3"/>
            <w:shd w:val="clear" w:color="auto" w:fill="auto"/>
            <w:vAlign w:val="bottom"/>
          </w:tcPr>
          <w:p w14:paraId="71D492BB" w14:textId="77777777" w:rsidR="006A3667" w:rsidRDefault="006A3667">
            <w:pPr>
              <w:rPr>
                <w:rFonts w:ascii="宋体"/>
                <w:vanish/>
              </w:rPr>
            </w:pPr>
          </w:p>
        </w:tc>
        <w:tc>
          <w:tcPr>
            <w:tcW w:w="0" w:type="auto"/>
            <w:gridSpan w:val="3"/>
            <w:shd w:val="clear" w:color="auto" w:fill="auto"/>
            <w:vAlign w:val="bottom"/>
          </w:tcPr>
          <w:p w14:paraId="71D492BC" w14:textId="77777777" w:rsidR="006A3667" w:rsidRDefault="006A3667">
            <w:pPr>
              <w:rPr>
                <w:rFonts w:ascii="宋体"/>
                <w:vanish/>
              </w:rPr>
            </w:pPr>
          </w:p>
        </w:tc>
      </w:tr>
      <w:tr w:rsidR="006A3667" w14:paraId="71D492C7" w14:textId="77777777">
        <w:tc>
          <w:tcPr>
            <w:tcW w:w="0" w:type="auto"/>
            <w:gridSpan w:val="3"/>
            <w:shd w:val="clear" w:color="auto" w:fill="FFFFFF"/>
            <w:tcMar>
              <w:top w:w="40" w:type="dxa"/>
              <w:left w:w="20" w:type="dxa"/>
              <w:bottom w:w="40" w:type="dxa"/>
              <w:right w:w="20" w:type="dxa"/>
            </w:tcMar>
            <w:vAlign w:val="bottom"/>
          </w:tcPr>
          <w:p w14:paraId="71D492BE" w14:textId="77777777" w:rsidR="006A3667" w:rsidRDefault="00045F32">
            <w:pPr>
              <w:textAlignment w:val="bottom"/>
            </w:pPr>
            <w:r>
              <w:rPr>
                <w:rFonts w:ascii="Arial" w:eastAsia="宋体" w:hAnsi="Arial" w:cs="Arial"/>
                <w:color w:val="000000"/>
                <w:sz w:val="14"/>
                <w:szCs w:val="14"/>
              </w:rPr>
              <w:t xml:space="preserve">Payments and </w:t>
            </w:r>
            <w:r>
              <w:rPr>
                <w:rFonts w:ascii="Arial" w:eastAsia="宋体" w:hAnsi="Arial" w:cs="Arial"/>
                <w:color w:val="000000"/>
                <w:sz w:val="14"/>
                <w:szCs w:val="14"/>
              </w:rPr>
              <w:t>Other Adjustments</w:t>
            </w:r>
          </w:p>
        </w:tc>
        <w:tc>
          <w:tcPr>
            <w:tcW w:w="0" w:type="auto"/>
            <w:gridSpan w:val="2"/>
            <w:shd w:val="clear" w:color="auto" w:fill="FFFFFF"/>
            <w:tcMar>
              <w:top w:w="40" w:type="dxa"/>
              <w:left w:w="20" w:type="dxa"/>
              <w:bottom w:w="40" w:type="dxa"/>
              <w:right w:w="0" w:type="dxa"/>
            </w:tcMar>
            <w:vAlign w:val="bottom"/>
          </w:tcPr>
          <w:p w14:paraId="71D492BF" w14:textId="77777777" w:rsidR="006A3667" w:rsidRDefault="00045F32">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71D492C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C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C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2C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C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C5" w14:textId="77777777" w:rsidR="006A3667" w:rsidRDefault="00045F32">
            <w:pPr>
              <w:jc w:val="right"/>
              <w:textAlignment w:val="bottom"/>
            </w:pPr>
            <w:r>
              <w:rPr>
                <w:rFonts w:ascii="Arial" w:eastAsia="宋体" w:hAnsi="Arial" w:cs="Arial"/>
                <w:color w:val="000000"/>
                <w:sz w:val="14"/>
                <w:szCs w:val="14"/>
              </w:rPr>
              <w:t>(34)</w:t>
            </w:r>
          </w:p>
        </w:tc>
        <w:tc>
          <w:tcPr>
            <w:tcW w:w="0" w:type="auto"/>
            <w:shd w:val="clear" w:color="auto" w:fill="FFFFFF"/>
            <w:tcMar>
              <w:top w:w="40" w:type="dxa"/>
              <w:left w:w="0" w:type="dxa"/>
              <w:bottom w:w="40" w:type="dxa"/>
              <w:right w:w="20" w:type="dxa"/>
            </w:tcMar>
            <w:vAlign w:val="bottom"/>
          </w:tcPr>
          <w:p w14:paraId="71D492C6" w14:textId="77777777" w:rsidR="006A3667" w:rsidRDefault="006A3667">
            <w:pPr>
              <w:jc w:val="right"/>
              <w:rPr>
                <w:rFonts w:ascii="宋体"/>
              </w:rPr>
            </w:pPr>
          </w:p>
        </w:tc>
      </w:tr>
      <w:tr w:rsidR="006A3667" w14:paraId="71D492D1" w14:textId="77777777">
        <w:tc>
          <w:tcPr>
            <w:tcW w:w="0" w:type="auto"/>
            <w:gridSpan w:val="3"/>
            <w:shd w:val="clear" w:color="auto" w:fill="CCEEFF"/>
            <w:tcMar>
              <w:top w:w="40" w:type="dxa"/>
              <w:left w:w="20" w:type="dxa"/>
              <w:bottom w:w="40" w:type="dxa"/>
              <w:right w:w="20" w:type="dxa"/>
            </w:tcMar>
            <w:vAlign w:val="bottom"/>
          </w:tcPr>
          <w:p w14:paraId="71D492C8" w14:textId="77777777" w:rsidR="006A3667" w:rsidRDefault="00045F32">
            <w:pPr>
              <w:textAlignment w:val="bottom"/>
            </w:pPr>
            <w:r>
              <w:rPr>
                <w:rFonts w:ascii="Arial" w:eastAsia="宋体" w:hAnsi="Arial" w:cs="Arial"/>
                <w:b/>
                <w:bCs/>
                <w:color w:val="000000"/>
                <w:sz w:val="14"/>
                <w:szCs w:val="14"/>
              </w:rPr>
              <w:t>Accrual Balance at June 30,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2C9" w14:textId="77777777" w:rsidR="006A3667" w:rsidRDefault="00045F32">
            <w:pPr>
              <w:jc w:val="right"/>
              <w:textAlignment w:val="bottom"/>
            </w:pPr>
            <w:r>
              <w:rPr>
                <w:rFonts w:ascii="Arial" w:eastAsia="宋体" w:hAnsi="Arial" w:cs="Arial"/>
                <w:color w:val="000000"/>
                <w:sz w:val="14"/>
                <w:szCs w:val="14"/>
              </w:rPr>
              <w:t>146 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C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C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2CC"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C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C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2CF" w14:textId="77777777" w:rsidR="006A3667" w:rsidRDefault="00045F32">
            <w:pPr>
              <w:jc w:val="right"/>
              <w:textAlignment w:val="bottom"/>
            </w:pPr>
            <w:r>
              <w:rPr>
                <w:rFonts w:ascii="Arial" w:eastAsia="宋体" w:hAnsi="Arial" w:cs="Arial"/>
                <w:color w:val="000000"/>
                <w:sz w:val="14"/>
                <w:szCs w:val="14"/>
              </w:rPr>
              <w:t>152 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D0" w14:textId="77777777" w:rsidR="006A3667" w:rsidRDefault="006A3667">
            <w:pPr>
              <w:jc w:val="right"/>
              <w:rPr>
                <w:rFonts w:ascii="宋体"/>
              </w:rPr>
            </w:pPr>
          </w:p>
        </w:tc>
      </w:tr>
      <w:tr w:rsidR="006A3667" w14:paraId="71D492DB" w14:textId="77777777">
        <w:tc>
          <w:tcPr>
            <w:tcW w:w="0" w:type="auto"/>
            <w:gridSpan w:val="3"/>
            <w:shd w:val="clear" w:color="auto" w:fill="FFFFFF"/>
            <w:tcMar>
              <w:top w:w="40" w:type="dxa"/>
              <w:left w:w="20" w:type="dxa"/>
              <w:bottom w:w="40" w:type="dxa"/>
              <w:right w:w="20" w:type="dxa"/>
            </w:tcMar>
            <w:vAlign w:val="bottom"/>
          </w:tcPr>
          <w:p w14:paraId="71D492D2"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71D492D3" w14:textId="77777777" w:rsidR="006A3667" w:rsidRDefault="00045F32">
            <w:pPr>
              <w:jc w:val="right"/>
              <w:textAlignment w:val="bottom"/>
            </w:pPr>
            <w:r>
              <w:rPr>
                <w:rFonts w:ascii="Arial" w:eastAsia="宋体" w:hAnsi="Arial" w:cs="Arial"/>
                <w:color w:val="000000"/>
                <w:sz w:val="14"/>
                <w:szCs w:val="14"/>
              </w:rPr>
              <w:t>(23)</w:t>
            </w:r>
          </w:p>
        </w:tc>
        <w:tc>
          <w:tcPr>
            <w:tcW w:w="0" w:type="auto"/>
            <w:shd w:val="clear" w:color="auto" w:fill="FFFFFF"/>
            <w:tcMar>
              <w:top w:w="40" w:type="dxa"/>
              <w:left w:w="0" w:type="dxa"/>
              <w:bottom w:w="40" w:type="dxa"/>
              <w:right w:w="20" w:type="dxa"/>
            </w:tcMar>
            <w:vAlign w:val="bottom"/>
          </w:tcPr>
          <w:p w14:paraId="71D492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D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2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2D9" w14:textId="77777777" w:rsidR="006A3667" w:rsidRDefault="00045F32">
            <w:pPr>
              <w:jc w:val="right"/>
              <w:textAlignment w:val="bottom"/>
            </w:pPr>
            <w:r>
              <w:rPr>
                <w:rFonts w:ascii="Arial" w:eastAsia="宋体" w:hAnsi="Arial" w:cs="Arial"/>
                <w:color w:val="000000"/>
                <w:sz w:val="14"/>
                <w:szCs w:val="14"/>
              </w:rPr>
              <w:t>(23)</w:t>
            </w:r>
          </w:p>
        </w:tc>
        <w:tc>
          <w:tcPr>
            <w:tcW w:w="0" w:type="auto"/>
            <w:shd w:val="clear" w:color="auto" w:fill="FFFFFF"/>
            <w:tcMar>
              <w:top w:w="40" w:type="dxa"/>
              <w:left w:w="0" w:type="dxa"/>
              <w:bottom w:w="40" w:type="dxa"/>
              <w:right w:w="20" w:type="dxa"/>
            </w:tcMar>
            <w:vAlign w:val="bottom"/>
          </w:tcPr>
          <w:p w14:paraId="71D492DA" w14:textId="77777777" w:rsidR="006A3667" w:rsidRDefault="006A3667">
            <w:pPr>
              <w:jc w:val="right"/>
              <w:rPr>
                <w:rFonts w:ascii="宋体"/>
              </w:rPr>
            </w:pPr>
          </w:p>
        </w:tc>
      </w:tr>
      <w:tr w:rsidR="006A3667" w14:paraId="71D492E8" w14:textId="77777777">
        <w:tc>
          <w:tcPr>
            <w:tcW w:w="0" w:type="auto"/>
            <w:gridSpan w:val="3"/>
            <w:shd w:val="clear" w:color="auto" w:fill="CCEEFF"/>
            <w:tcMar>
              <w:top w:w="40" w:type="dxa"/>
              <w:left w:w="20" w:type="dxa"/>
              <w:bottom w:w="40" w:type="dxa"/>
              <w:right w:w="20" w:type="dxa"/>
            </w:tcMar>
            <w:vAlign w:val="bottom"/>
          </w:tcPr>
          <w:p w14:paraId="71D492DC" w14:textId="77777777" w:rsidR="006A3667" w:rsidRDefault="00045F32">
            <w:pPr>
              <w:textAlignment w:val="bottom"/>
            </w:pPr>
            <w:r>
              <w:rPr>
                <w:rFonts w:ascii="Arial" w:eastAsia="宋体" w:hAnsi="Arial" w:cs="Arial"/>
                <w:b/>
                <w:bCs/>
                <w:color w:val="000000"/>
                <w:sz w:val="14"/>
                <w:szCs w:val="14"/>
              </w:rPr>
              <w:t>Accrual Balance at September 30,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2D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2DE" w14:textId="77777777" w:rsidR="006A3667" w:rsidRDefault="00045F32">
            <w:pPr>
              <w:jc w:val="right"/>
              <w:textAlignment w:val="bottom"/>
            </w:pPr>
            <w:r>
              <w:rPr>
                <w:rFonts w:ascii="Arial" w:eastAsia="宋体" w:hAnsi="Arial" w:cs="Arial"/>
                <w:color w:val="000000"/>
                <w:sz w:val="14"/>
                <w:szCs w:val="14"/>
              </w:rPr>
              <w:t>123 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E0"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2E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2E2"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E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2E4"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2E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2E6" w14:textId="77777777" w:rsidR="006A3667" w:rsidRDefault="00045F32">
            <w:pPr>
              <w:jc w:val="right"/>
              <w:textAlignment w:val="bottom"/>
            </w:pPr>
            <w:r>
              <w:rPr>
                <w:rFonts w:ascii="Arial" w:eastAsia="宋体" w:hAnsi="Arial" w:cs="Arial"/>
                <w:color w:val="000000"/>
                <w:sz w:val="14"/>
                <w:szCs w:val="14"/>
              </w:rPr>
              <w:t>129 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2E7" w14:textId="77777777" w:rsidR="006A3667" w:rsidRDefault="006A3667">
            <w:pPr>
              <w:jc w:val="right"/>
              <w:rPr>
                <w:rFonts w:ascii="宋体"/>
              </w:rPr>
            </w:pPr>
          </w:p>
        </w:tc>
      </w:tr>
      <w:tr w:rsidR="006A3667" w14:paraId="71D492F5" w14:textId="77777777">
        <w:tc>
          <w:tcPr>
            <w:tcW w:w="0" w:type="auto"/>
            <w:gridSpan w:val="3"/>
            <w:shd w:val="clear" w:color="auto" w:fill="FFFFFF"/>
            <w:tcMar>
              <w:top w:w="40" w:type="dxa"/>
              <w:left w:w="20" w:type="dxa"/>
              <w:bottom w:w="40" w:type="dxa"/>
              <w:right w:w="20" w:type="dxa"/>
            </w:tcMar>
            <w:vAlign w:val="bottom"/>
          </w:tcPr>
          <w:p w14:paraId="71D492E9" w14:textId="77777777" w:rsidR="006A3667" w:rsidRDefault="00045F32">
            <w:pPr>
              <w:textAlignment w:val="bottom"/>
            </w:pPr>
            <w:r>
              <w:rPr>
                <w:rFonts w:ascii="Arial" w:eastAsia="宋体" w:hAnsi="Arial" w:cs="Arial"/>
                <w:b/>
                <w:bCs/>
                <w:color w:val="000000"/>
                <w:sz w:val="14"/>
                <w:szCs w:val="14"/>
              </w:rPr>
              <w:t>Accrual Balance at December 31, 2021</w:t>
            </w:r>
          </w:p>
        </w:tc>
        <w:tc>
          <w:tcPr>
            <w:tcW w:w="0" w:type="auto"/>
            <w:tcBorders>
              <w:top w:val="double" w:sz="6" w:space="0" w:color="000000"/>
            </w:tcBorders>
            <w:shd w:val="clear" w:color="auto" w:fill="FFFFFF"/>
            <w:tcMar>
              <w:top w:w="40" w:type="dxa"/>
              <w:left w:w="20" w:type="dxa"/>
              <w:bottom w:w="40" w:type="dxa"/>
              <w:right w:w="0" w:type="dxa"/>
            </w:tcMar>
            <w:vAlign w:val="bottom"/>
          </w:tcPr>
          <w:p w14:paraId="71D492EA"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492EB" w14:textId="77777777" w:rsidR="006A3667" w:rsidRDefault="00045F32">
            <w:pPr>
              <w:jc w:val="right"/>
              <w:textAlignment w:val="bottom"/>
            </w:pPr>
            <w:r>
              <w:rPr>
                <w:rFonts w:ascii="Arial" w:eastAsia="宋体" w:hAnsi="Arial" w:cs="Arial"/>
                <w:color w:val="000000"/>
                <w:sz w:val="14"/>
                <w:szCs w:val="14"/>
              </w:rPr>
              <w:t>68 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92E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ED"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492EE"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492EF" w14:textId="77777777" w:rsidR="006A3667" w:rsidRDefault="00045F32">
            <w:pPr>
              <w:jc w:val="right"/>
              <w:textAlignment w:val="bottom"/>
            </w:pPr>
            <w:r>
              <w:rPr>
                <w:rFonts w:ascii="Arial" w:eastAsia="宋体" w:hAnsi="Arial" w:cs="Arial"/>
                <w:color w:val="000000"/>
                <w:sz w:val="14"/>
                <w:szCs w:val="14"/>
              </w:rPr>
              <w:t>6 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92F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2F1"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492F2" w14:textId="77777777" w:rsidR="006A3667" w:rsidRDefault="00045F32">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1D492F3" w14:textId="77777777" w:rsidR="006A3667" w:rsidRDefault="00045F32">
            <w:pPr>
              <w:jc w:val="right"/>
              <w:textAlignment w:val="bottom"/>
            </w:pPr>
            <w:r>
              <w:rPr>
                <w:rFonts w:ascii="Arial" w:eastAsia="宋体" w:hAnsi="Arial" w:cs="Arial"/>
                <w:color w:val="000000"/>
                <w:sz w:val="14"/>
                <w:szCs w:val="14"/>
              </w:rPr>
              <w:t>74 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92F4" w14:textId="77777777" w:rsidR="006A3667" w:rsidRDefault="006A3667">
            <w:pPr>
              <w:jc w:val="right"/>
              <w:rPr>
                <w:rFonts w:ascii="宋体"/>
              </w:rPr>
            </w:pPr>
          </w:p>
        </w:tc>
      </w:tr>
      <w:tr w:rsidR="006A3667" w14:paraId="71D492FC" w14:textId="77777777">
        <w:trPr>
          <w:hidden/>
        </w:trPr>
        <w:tc>
          <w:tcPr>
            <w:tcW w:w="0" w:type="auto"/>
            <w:gridSpan w:val="3"/>
            <w:shd w:val="clear" w:color="auto" w:fill="auto"/>
            <w:vAlign w:val="bottom"/>
          </w:tcPr>
          <w:p w14:paraId="71D492F6" w14:textId="77777777" w:rsidR="006A3667" w:rsidRDefault="006A3667">
            <w:pPr>
              <w:rPr>
                <w:rFonts w:ascii="宋体"/>
                <w:vanish/>
              </w:rPr>
            </w:pPr>
          </w:p>
        </w:tc>
        <w:tc>
          <w:tcPr>
            <w:tcW w:w="0" w:type="auto"/>
            <w:gridSpan w:val="3"/>
            <w:shd w:val="clear" w:color="auto" w:fill="auto"/>
            <w:vAlign w:val="bottom"/>
          </w:tcPr>
          <w:p w14:paraId="71D492F7" w14:textId="77777777" w:rsidR="006A3667" w:rsidRDefault="006A3667">
            <w:pPr>
              <w:rPr>
                <w:rFonts w:ascii="宋体"/>
                <w:vanish/>
              </w:rPr>
            </w:pPr>
          </w:p>
        </w:tc>
        <w:tc>
          <w:tcPr>
            <w:tcW w:w="0" w:type="auto"/>
            <w:gridSpan w:val="3"/>
            <w:shd w:val="clear" w:color="auto" w:fill="auto"/>
            <w:vAlign w:val="bottom"/>
          </w:tcPr>
          <w:p w14:paraId="71D492F8" w14:textId="77777777" w:rsidR="006A3667" w:rsidRDefault="006A3667">
            <w:pPr>
              <w:rPr>
                <w:rFonts w:ascii="宋体"/>
                <w:vanish/>
              </w:rPr>
            </w:pPr>
          </w:p>
        </w:tc>
        <w:tc>
          <w:tcPr>
            <w:tcW w:w="0" w:type="auto"/>
            <w:gridSpan w:val="3"/>
            <w:shd w:val="clear" w:color="auto" w:fill="auto"/>
            <w:vAlign w:val="bottom"/>
          </w:tcPr>
          <w:p w14:paraId="71D492F9" w14:textId="77777777" w:rsidR="006A3667" w:rsidRDefault="006A3667">
            <w:pPr>
              <w:rPr>
                <w:rFonts w:ascii="宋体"/>
                <w:vanish/>
              </w:rPr>
            </w:pPr>
          </w:p>
        </w:tc>
        <w:tc>
          <w:tcPr>
            <w:tcW w:w="0" w:type="auto"/>
            <w:gridSpan w:val="3"/>
            <w:shd w:val="clear" w:color="auto" w:fill="auto"/>
            <w:vAlign w:val="bottom"/>
          </w:tcPr>
          <w:p w14:paraId="71D492FA" w14:textId="77777777" w:rsidR="006A3667" w:rsidRDefault="006A3667">
            <w:pPr>
              <w:rPr>
                <w:rFonts w:ascii="宋体"/>
                <w:vanish/>
              </w:rPr>
            </w:pPr>
          </w:p>
        </w:tc>
        <w:tc>
          <w:tcPr>
            <w:tcW w:w="0" w:type="auto"/>
            <w:gridSpan w:val="3"/>
            <w:shd w:val="clear" w:color="auto" w:fill="auto"/>
            <w:vAlign w:val="bottom"/>
          </w:tcPr>
          <w:p w14:paraId="71D492FB" w14:textId="77777777" w:rsidR="006A3667" w:rsidRDefault="006A3667">
            <w:pPr>
              <w:rPr>
                <w:rFonts w:ascii="宋体"/>
                <w:vanish/>
              </w:rPr>
            </w:pPr>
          </w:p>
        </w:tc>
      </w:tr>
      <w:tr w:rsidR="006A3667" w14:paraId="71D49303" w14:textId="77777777">
        <w:trPr>
          <w:hidden/>
        </w:trPr>
        <w:tc>
          <w:tcPr>
            <w:tcW w:w="0" w:type="auto"/>
            <w:gridSpan w:val="3"/>
            <w:shd w:val="clear" w:color="auto" w:fill="auto"/>
            <w:vAlign w:val="bottom"/>
          </w:tcPr>
          <w:p w14:paraId="71D492FD" w14:textId="77777777" w:rsidR="006A3667" w:rsidRDefault="006A3667">
            <w:pPr>
              <w:rPr>
                <w:rFonts w:ascii="宋体"/>
                <w:vanish/>
              </w:rPr>
            </w:pPr>
          </w:p>
        </w:tc>
        <w:tc>
          <w:tcPr>
            <w:tcW w:w="0" w:type="auto"/>
            <w:gridSpan w:val="3"/>
            <w:shd w:val="clear" w:color="auto" w:fill="auto"/>
            <w:vAlign w:val="bottom"/>
          </w:tcPr>
          <w:p w14:paraId="71D492FE" w14:textId="77777777" w:rsidR="006A3667" w:rsidRDefault="006A3667">
            <w:pPr>
              <w:rPr>
                <w:rFonts w:ascii="宋体"/>
                <w:vanish/>
              </w:rPr>
            </w:pPr>
          </w:p>
        </w:tc>
        <w:tc>
          <w:tcPr>
            <w:tcW w:w="0" w:type="auto"/>
            <w:gridSpan w:val="3"/>
            <w:shd w:val="clear" w:color="auto" w:fill="auto"/>
            <w:vAlign w:val="bottom"/>
          </w:tcPr>
          <w:p w14:paraId="71D492FF" w14:textId="77777777" w:rsidR="006A3667" w:rsidRDefault="006A3667">
            <w:pPr>
              <w:rPr>
                <w:rFonts w:ascii="宋体"/>
                <w:vanish/>
              </w:rPr>
            </w:pPr>
          </w:p>
        </w:tc>
        <w:tc>
          <w:tcPr>
            <w:tcW w:w="0" w:type="auto"/>
            <w:gridSpan w:val="3"/>
            <w:shd w:val="clear" w:color="auto" w:fill="auto"/>
            <w:vAlign w:val="bottom"/>
          </w:tcPr>
          <w:p w14:paraId="71D49300" w14:textId="77777777" w:rsidR="006A3667" w:rsidRDefault="006A3667">
            <w:pPr>
              <w:rPr>
                <w:rFonts w:ascii="宋体"/>
                <w:vanish/>
              </w:rPr>
            </w:pPr>
          </w:p>
        </w:tc>
        <w:tc>
          <w:tcPr>
            <w:tcW w:w="0" w:type="auto"/>
            <w:gridSpan w:val="3"/>
            <w:shd w:val="clear" w:color="auto" w:fill="auto"/>
            <w:vAlign w:val="bottom"/>
          </w:tcPr>
          <w:p w14:paraId="71D49301" w14:textId="77777777" w:rsidR="006A3667" w:rsidRDefault="006A3667">
            <w:pPr>
              <w:rPr>
                <w:rFonts w:ascii="宋体"/>
                <w:vanish/>
              </w:rPr>
            </w:pPr>
          </w:p>
        </w:tc>
        <w:tc>
          <w:tcPr>
            <w:tcW w:w="0" w:type="auto"/>
            <w:gridSpan w:val="3"/>
            <w:shd w:val="clear" w:color="auto" w:fill="auto"/>
            <w:vAlign w:val="bottom"/>
          </w:tcPr>
          <w:p w14:paraId="71D49302" w14:textId="77777777" w:rsidR="006A3667" w:rsidRDefault="006A3667">
            <w:pPr>
              <w:rPr>
                <w:rFonts w:ascii="宋体"/>
                <w:vanish/>
              </w:rPr>
            </w:pPr>
          </w:p>
        </w:tc>
      </w:tr>
      <w:tr w:rsidR="006A3667" w14:paraId="71D4930D" w14:textId="77777777">
        <w:tc>
          <w:tcPr>
            <w:tcW w:w="0" w:type="auto"/>
            <w:gridSpan w:val="3"/>
            <w:shd w:val="clear" w:color="auto" w:fill="CCEEFF"/>
            <w:tcMar>
              <w:top w:w="40" w:type="dxa"/>
              <w:left w:w="20" w:type="dxa"/>
              <w:bottom w:w="40" w:type="dxa"/>
              <w:right w:w="20" w:type="dxa"/>
            </w:tcMar>
            <w:vAlign w:val="bottom"/>
          </w:tcPr>
          <w:p w14:paraId="71D49304"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1D49305" w14:textId="77777777" w:rsidR="006A3667" w:rsidRDefault="00045F32">
            <w:pPr>
              <w:jc w:val="right"/>
              <w:textAlignment w:val="bottom"/>
            </w:pPr>
            <w:r>
              <w:rPr>
                <w:rFonts w:ascii="Arial" w:eastAsia="宋体" w:hAnsi="Arial" w:cs="Arial"/>
                <w:color w:val="000000"/>
                <w:sz w:val="14"/>
                <w:szCs w:val="14"/>
              </w:rPr>
              <w:t>(17)</w:t>
            </w:r>
          </w:p>
        </w:tc>
        <w:tc>
          <w:tcPr>
            <w:tcW w:w="0" w:type="auto"/>
            <w:shd w:val="clear" w:color="auto" w:fill="CCEEFF"/>
            <w:tcMar>
              <w:top w:w="40" w:type="dxa"/>
              <w:left w:w="0" w:type="dxa"/>
              <w:bottom w:w="40" w:type="dxa"/>
              <w:right w:w="20" w:type="dxa"/>
            </w:tcMar>
            <w:vAlign w:val="bottom"/>
          </w:tcPr>
          <w:p w14:paraId="71D4930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0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08"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930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0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0B" w14:textId="77777777" w:rsidR="006A3667" w:rsidRDefault="00045F32">
            <w:pPr>
              <w:jc w:val="right"/>
              <w:textAlignment w:val="bottom"/>
            </w:pPr>
            <w:r>
              <w:rPr>
                <w:rFonts w:ascii="Arial" w:eastAsia="宋体" w:hAnsi="Arial" w:cs="Arial"/>
                <w:color w:val="000000"/>
                <w:sz w:val="14"/>
                <w:szCs w:val="14"/>
              </w:rPr>
              <w:t>(18)</w:t>
            </w:r>
          </w:p>
        </w:tc>
        <w:tc>
          <w:tcPr>
            <w:tcW w:w="0" w:type="auto"/>
            <w:shd w:val="clear" w:color="auto" w:fill="CCEEFF"/>
            <w:tcMar>
              <w:top w:w="40" w:type="dxa"/>
              <w:left w:w="0" w:type="dxa"/>
              <w:bottom w:w="40" w:type="dxa"/>
              <w:right w:w="20" w:type="dxa"/>
            </w:tcMar>
            <w:vAlign w:val="bottom"/>
          </w:tcPr>
          <w:p w14:paraId="71D4930C" w14:textId="77777777" w:rsidR="006A3667" w:rsidRDefault="006A3667">
            <w:pPr>
              <w:jc w:val="right"/>
              <w:rPr>
                <w:rFonts w:ascii="宋体"/>
              </w:rPr>
            </w:pPr>
          </w:p>
        </w:tc>
      </w:tr>
      <w:tr w:rsidR="006A3667" w14:paraId="71D49319" w14:textId="77777777">
        <w:tc>
          <w:tcPr>
            <w:tcW w:w="0" w:type="auto"/>
            <w:gridSpan w:val="3"/>
            <w:shd w:val="clear" w:color="auto" w:fill="FFFFFF"/>
            <w:tcMar>
              <w:top w:w="40" w:type="dxa"/>
              <w:left w:w="20" w:type="dxa"/>
              <w:bottom w:w="40" w:type="dxa"/>
              <w:right w:w="20" w:type="dxa"/>
            </w:tcMar>
            <w:vAlign w:val="bottom"/>
          </w:tcPr>
          <w:p w14:paraId="71D4930E" w14:textId="77777777" w:rsidR="006A3667" w:rsidRDefault="00045F32">
            <w:pPr>
              <w:textAlignment w:val="bottom"/>
            </w:pPr>
            <w:r>
              <w:rPr>
                <w:rFonts w:ascii="Arial" w:eastAsia="宋体" w:hAnsi="Arial" w:cs="Arial"/>
                <w:b/>
                <w:bCs/>
                <w:color w:val="000000"/>
                <w:sz w:val="14"/>
                <w:szCs w:val="14"/>
              </w:rPr>
              <w:t>Accrual Balance at March 31, 2022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30F" w14:textId="77777777" w:rsidR="006A3667" w:rsidRDefault="00045F32">
            <w:pPr>
              <w:jc w:val="right"/>
              <w:textAlignment w:val="bottom"/>
            </w:pPr>
            <w:r>
              <w:rPr>
                <w:rFonts w:ascii="Arial" w:eastAsia="宋体" w:hAnsi="Arial" w:cs="Arial"/>
                <w:color w:val="000000"/>
                <w:sz w:val="14"/>
                <w:szCs w:val="14"/>
              </w:rPr>
              <w:t>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31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11"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31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313" w14:textId="77777777" w:rsidR="006A3667" w:rsidRDefault="00045F32">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31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15"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31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317" w14:textId="77777777" w:rsidR="006A3667" w:rsidRDefault="00045F32">
            <w:pPr>
              <w:jc w:val="right"/>
              <w:textAlignment w:val="bottom"/>
            </w:pPr>
            <w:r>
              <w:rPr>
                <w:rFonts w:ascii="Arial" w:eastAsia="宋体" w:hAnsi="Arial" w:cs="Arial"/>
                <w:color w:val="000000"/>
                <w:sz w:val="14"/>
                <w:szCs w:val="14"/>
              </w:rPr>
              <w:t>56 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318" w14:textId="77777777" w:rsidR="006A3667" w:rsidRDefault="006A3667">
            <w:pPr>
              <w:jc w:val="right"/>
              <w:rPr>
                <w:rFonts w:ascii="宋体"/>
              </w:rPr>
            </w:pPr>
          </w:p>
        </w:tc>
      </w:tr>
      <w:tr w:rsidR="006A3667" w14:paraId="71D49320" w14:textId="77777777">
        <w:trPr>
          <w:hidden/>
        </w:trPr>
        <w:tc>
          <w:tcPr>
            <w:tcW w:w="0" w:type="auto"/>
            <w:gridSpan w:val="3"/>
            <w:shd w:val="clear" w:color="auto" w:fill="auto"/>
            <w:vAlign w:val="bottom"/>
          </w:tcPr>
          <w:p w14:paraId="71D4931A" w14:textId="77777777" w:rsidR="006A3667" w:rsidRDefault="006A3667">
            <w:pPr>
              <w:rPr>
                <w:rFonts w:ascii="宋体"/>
                <w:vanish/>
              </w:rPr>
            </w:pPr>
          </w:p>
        </w:tc>
        <w:tc>
          <w:tcPr>
            <w:tcW w:w="0" w:type="auto"/>
            <w:gridSpan w:val="3"/>
            <w:shd w:val="clear" w:color="auto" w:fill="auto"/>
            <w:vAlign w:val="bottom"/>
          </w:tcPr>
          <w:p w14:paraId="71D4931B" w14:textId="77777777" w:rsidR="006A3667" w:rsidRDefault="006A3667">
            <w:pPr>
              <w:rPr>
                <w:rFonts w:ascii="宋体"/>
                <w:vanish/>
              </w:rPr>
            </w:pPr>
          </w:p>
        </w:tc>
        <w:tc>
          <w:tcPr>
            <w:tcW w:w="0" w:type="auto"/>
            <w:gridSpan w:val="3"/>
            <w:shd w:val="clear" w:color="auto" w:fill="auto"/>
            <w:vAlign w:val="bottom"/>
          </w:tcPr>
          <w:p w14:paraId="71D4931C" w14:textId="77777777" w:rsidR="006A3667" w:rsidRDefault="006A3667">
            <w:pPr>
              <w:rPr>
                <w:rFonts w:ascii="宋体"/>
                <w:vanish/>
              </w:rPr>
            </w:pPr>
          </w:p>
        </w:tc>
        <w:tc>
          <w:tcPr>
            <w:tcW w:w="0" w:type="auto"/>
            <w:gridSpan w:val="3"/>
            <w:shd w:val="clear" w:color="auto" w:fill="auto"/>
            <w:vAlign w:val="bottom"/>
          </w:tcPr>
          <w:p w14:paraId="71D4931D" w14:textId="77777777" w:rsidR="006A3667" w:rsidRDefault="006A3667">
            <w:pPr>
              <w:rPr>
                <w:rFonts w:ascii="宋体"/>
                <w:vanish/>
              </w:rPr>
            </w:pPr>
          </w:p>
        </w:tc>
        <w:tc>
          <w:tcPr>
            <w:tcW w:w="0" w:type="auto"/>
            <w:gridSpan w:val="3"/>
            <w:shd w:val="clear" w:color="auto" w:fill="auto"/>
            <w:vAlign w:val="bottom"/>
          </w:tcPr>
          <w:p w14:paraId="71D4931E" w14:textId="77777777" w:rsidR="006A3667" w:rsidRDefault="006A3667">
            <w:pPr>
              <w:rPr>
                <w:rFonts w:ascii="宋体"/>
                <w:vanish/>
              </w:rPr>
            </w:pPr>
          </w:p>
        </w:tc>
        <w:tc>
          <w:tcPr>
            <w:tcW w:w="0" w:type="auto"/>
            <w:gridSpan w:val="3"/>
            <w:shd w:val="clear" w:color="auto" w:fill="auto"/>
            <w:vAlign w:val="bottom"/>
          </w:tcPr>
          <w:p w14:paraId="71D4931F" w14:textId="77777777" w:rsidR="006A3667" w:rsidRDefault="006A3667">
            <w:pPr>
              <w:rPr>
                <w:rFonts w:ascii="宋体"/>
                <w:vanish/>
              </w:rPr>
            </w:pPr>
          </w:p>
        </w:tc>
      </w:tr>
      <w:tr w:rsidR="006A3667" w14:paraId="71D49327" w14:textId="77777777">
        <w:trPr>
          <w:hidden/>
        </w:trPr>
        <w:tc>
          <w:tcPr>
            <w:tcW w:w="0" w:type="auto"/>
            <w:gridSpan w:val="3"/>
            <w:shd w:val="clear" w:color="auto" w:fill="auto"/>
            <w:vAlign w:val="bottom"/>
          </w:tcPr>
          <w:p w14:paraId="71D49321" w14:textId="77777777" w:rsidR="006A3667" w:rsidRDefault="006A3667">
            <w:pPr>
              <w:rPr>
                <w:rFonts w:ascii="宋体"/>
                <w:vanish/>
              </w:rPr>
            </w:pPr>
          </w:p>
        </w:tc>
        <w:tc>
          <w:tcPr>
            <w:tcW w:w="0" w:type="auto"/>
            <w:gridSpan w:val="3"/>
            <w:shd w:val="clear" w:color="auto" w:fill="auto"/>
            <w:vAlign w:val="bottom"/>
          </w:tcPr>
          <w:p w14:paraId="71D49322" w14:textId="77777777" w:rsidR="006A3667" w:rsidRDefault="006A3667">
            <w:pPr>
              <w:rPr>
                <w:rFonts w:ascii="宋体"/>
                <w:vanish/>
              </w:rPr>
            </w:pPr>
          </w:p>
        </w:tc>
        <w:tc>
          <w:tcPr>
            <w:tcW w:w="0" w:type="auto"/>
            <w:gridSpan w:val="3"/>
            <w:shd w:val="clear" w:color="auto" w:fill="auto"/>
            <w:vAlign w:val="bottom"/>
          </w:tcPr>
          <w:p w14:paraId="71D49323" w14:textId="77777777" w:rsidR="006A3667" w:rsidRDefault="006A3667">
            <w:pPr>
              <w:rPr>
                <w:rFonts w:ascii="宋体"/>
                <w:vanish/>
              </w:rPr>
            </w:pPr>
          </w:p>
        </w:tc>
        <w:tc>
          <w:tcPr>
            <w:tcW w:w="0" w:type="auto"/>
            <w:gridSpan w:val="3"/>
            <w:shd w:val="clear" w:color="auto" w:fill="auto"/>
            <w:vAlign w:val="bottom"/>
          </w:tcPr>
          <w:p w14:paraId="71D49324" w14:textId="77777777" w:rsidR="006A3667" w:rsidRDefault="006A3667">
            <w:pPr>
              <w:rPr>
                <w:rFonts w:ascii="宋体"/>
                <w:vanish/>
              </w:rPr>
            </w:pPr>
          </w:p>
        </w:tc>
        <w:tc>
          <w:tcPr>
            <w:tcW w:w="0" w:type="auto"/>
            <w:gridSpan w:val="3"/>
            <w:shd w:val="clear" w:color="auto" w:fill="auto"/>
            <w:vAlign w:val="bottom"/>
          </w:tcPr>
          <w:p w14:paraId="71D49325" w14:textId="77777777" w:rsidR="006A3667" w:rsidRDefault="006A3667">
            <w:pPr>
              <w:rPr>
                <w:rFonts w:ascii="宋体"/>
                <w:vanish/>
              </w:rPr>
            </w:pPr>
          </w:p>
        </w:tc>
        <w:tc>
          <w:tcPr>
            <w:tcW w:w="0" w:type="auto"/>
            <w:gridSpan w:val="3"/>
            <w:shd w:val="clear" w:color="auto" w:fill="auto"/>
            <w:vAlign w:val="bottom"/>
          </w:tcPr>
          <w:p w14:paraId="71D49326" w14:textId="77777777" w:rsidR="006A3667" w:rsidRDefault="006A3667">
            <w:pPr>
              <w:rPr>
                <w:rFonts w:ascii="宋体"/>
                <w:vanish/>
              </w:rPr>
            </w:pPr>
          </w:p>
        </w:tc>
      </w:tr>
      <w:tr w:rsidR="006A3667" w14:paraId="71D49331" w14:textId="77777777">
        <w:tc>
          <w:tcPr>
            <w:tcW w:w="0" w:type="auto"/>
            <w:gridSpan w:val="3"/>
            <w:shd w:val="clear" w:color="auto" w:fill="CCEEFF"/>
            <w:tcMar>
              <w:top w:w="40" w:type="dxa"/>
              <w:left w:w="20" w:type="dxa"/>
              <w:bottom w:w="40" w:type="dxa"/>
              <w:right w:w="20" w:type="dxa"/>
            </w:tcMar>
            <w:vAlign w:val="bottom"/>
          </w:tcPr>
          <w:p w14:paraId="71D49328"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1D49329"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71D493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2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2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32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2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2F"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CCEEFF"/>
            <w:tcMar>
              <w:top w:w="40" w:type="dxa"/>
              <w:left w:w="0" w:type="dxa"/>
              <w:bottom w:w="40" w:type="dxa"/>
              <w:right w:w="20" w:type="dxa"/>
            </w:tcMar>
            <w:vAlign w:val="bottom"/>
          </w:tcPr>
          <w:p w14:paraId="71D49330" w14:textId="77777777" w:rsidR="006A3667" w:rsidRDefault="006A3667">
            <w:pPr>
              <w:jc w:val="right"/>
              <w:rPr>
                <w:rFonts w:ascii="宋体"/>
              </w:rPr>
            </w:pPr>
          </w:p>
        </w:tc>
      </w:tr>
      <w:tr w:rsidR="006A3667" w14:paraId="71D4933B" w14:textId="77777777">
        <w:tc>
          <w:tcPr>
            <w:tcW w:w="0" w:type="auto"/>
            <w:gridSpan w:val="3"/>
            <w:shd w:val="clear" w:color="auto" w:fill="FFFFFF"/>
            <w:tcMar>
              <w:top w:w="40" w:type="dxa"/>
              <w:left w:w="20" w:type="dxa"/>
              <w:bottom w:w="40" w:type="dxa"/>
              <w:right w:w="20" w:type="dxa"/>
            </w:tcMar>
            <w:vAlign w:val="bottom"/>
          </w:tcPr>
          <w:p w14:paraId="71D49332" w14:textId="77777777" w:rsidR="006A3667" w:rsidRDefault="00045F32">
            <w:pPr>
              <w:textAlignment w:val="bottom"/>
            </w:pPr>
            <w:r>
              <w:rPr>
                <w:rFonts w:ascii="Arial" w:eastAsia="宋体" w:hAnsi="Arial" w:cs="Arial"/>
                <w:b/>
                <w:bCs/>
                <w:color w:val="000000"/>
                <w:sz w:val="14"/>
                <w:szCs w:val="14"/>
              </w:rPr>
              <w:t>Accrual Balance at June 30, 2022</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333" w14:textId="77777777" w:rsidR="006A3667" w:rsidRDefault="00045F32">
            <w:pPr>
              <w:jc w:val="right"/>
              <w:textAlignment w:val="bottom"/>
            </w:pPr>
            <w:r>
              <w:rPr>
                <w:rFonts w:ascii="Arial" w:eastAsia="宋体" w:hAnsi="Arial" w:cs="Arial"/>
                <w:color w:val="000000"/>
                <w:sz w:val="14"/>
                <w:szCs w:val="14"/>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33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35"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336" w14:textId="77777777" w:rsidR="006A3667" w:rsidRDefault="00045F32">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33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38"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339" w14:textId="77777777" w:rsidR="006A3667" w:rsidRDefault="00045F32">
            <w:pPr>
              <w:jc w:val="right"/>
              <w:textAlignment w:val="bottom"/>
            </w:pPr>
            <w:r>
              <w:rPr>
                <w:rFonts w:ascii="Arial" w:eastAsia="宋体" w:hAnsi="Arial" w:cs="Arial"/>
                <w:color w:val="000000"/>
                <w:sz w:val="14"/>
                <w:szCs w:val="14"/>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33A" w14:textId="77777777" w:rsidR="006A3667" w:rsidRDefault="006A3667">
            <w:pPr>
              <w:jc w:val="right"/>
              <w:rPr>
                <w:rFonts w:ascii="宋体"/>
              </w:rPr>
            </w:pPr>
          </w:p>
        </w:tc>
      </w:tr>
      <w:tr w:rsidR="006A3667" w14:paraId="71D49342" w14:textId="77777777">
        <w:trPr>
          <w:hidden/>
        </w:trPr>
        <w:tc>
          <w:tcPr>
            <w:tcW w:w="0" w:type="auto"/>
            <w:gridSpan w:val="3"/>
            <w:shd w:val="clear" w:color="auto" w:fill="auto"/>
            <w:vAlign w:val="bottom"/>
          </w:tcPr>
          <w:p w14:paraId="71D4933C" w14:textId="77777777" w:rsidR="006A3667" w:rsidRDefault="006A3667">
            <w:pPr>
              <w:rPr>
                <w:rFonts w:ascii="宋体"/>
                <w:vanish/>
              </w:rPr>
            </w:pPr>
          </w:p>
        </w:tc>
        <w:tc>
          <w:tcPr>
            <w:tcW w:w="0" w:type="auto"/>
            <w:gridSpan w:val="3"/>
            <w:shd w:val="clear" w:color="auto" w:fill="auto"/>
            <w:vAlign w:val="bottom"/>
          </w:tcPr>
          <w:p w14:paraId="71D4933D" w14:textId="77777777" w:rsidR="006A3667" w:rsidRDefault="006A3667">
            <w:pPr>
              <w:rPr>
                <w:rFonts w:ascii="宋体"/>
                <w:vanish/>
              </w:rPr>
            </w:pPr>
          </w:p>
        </w:tc>
        <w:tc>
          <w:tcPr>
            <w:tcW w:w="0" w:type="auto"/>
            <w:gridSpan w:val="3"/>
            <w:shd w:val="clear" w:color="auto" w:fill="auto"/>
            <w:vAlign w:val="bottom"/>
          </w:tcPr>
          <w:p w14:paraId="71D4933E" w14:textId="77777777" w:rsidR="006A3667" w:rsidRDefault="006A3667">
            <w:pPr>
              <w:rPr>
                <w:rFonts w:ascii="宋体"/>
                <w:vanish/>
              </w:rPr>
            </w:pPr>
          </w:p>
        </w:tc>
        <w:tc>
          <w:tcPr>
            <w:tcW w:w="0" w:type="auto"/>
            <w:gridSpan w:val="3"/>
            <w:shd w:val="clear" w:color="auto" w:fill="auto"/>
            <w:vAlign w:val="bottom"/>
          </w:tcPr>
          <w:p w14:paraId="71D4933F" w14:textId="77777777" w:rsidR="006A3667" w:rsidRDefault="006A3667">
            <w:pPr>
              <w:rPr>
                <w:rFonts w:ascii="宋体"/>
                <w:vanish/>
              </w:rPr>
            </w:pPr>
          </w:p>
        </w:tc>
        <w:tc>
          <w:tcPr>
            <w:tcW w:w="0" w:type="auto"/>
            <w:gridSpan w:val="3"/>
            <w:shd w:val="clear" w:color="auto" w:fill="auto"/>
            <w:vAlign w:val="bottom"/>
          </w:tcPr>
          <w:p w14:paraId="71D49340" w14:textId="77777777" w:rsidR="006A3667" w:rsidRDefault="006A3667">
            <w:pPr>
              <w:rPr>
                <w:rFonts w:ascii="宋体"/>
                <w:vanish/>
              </w:rPr>
            </w:pPr>
          </w:p>
        </w:tc>
        <w:tc>
          <w:tcPr>
            <w:tcW w:w="0" w:type="auto"/>
            <w:gridSpan w:val="3"/>
            <w:shd w:val="clear" w:color="auto" w:fill="auto"/>
            <w:vAlign w:val="bottom"/>
          </w:tcPr>
          <w:p w14:paraId="71D49341" w14:textId="77777777" w:rsidR="006A3667" w:rsidRDefault="006A3667">
            <w:pPr>
              <w:rPr>
                <w:rFonts w:ascii="宋体"/>
                <w:vanish/>
              </w:rPr>
            </w:pPr>
          </w:p>
        </w:tc>
      </w:tr>
      <w:tr w:rsidR="006A3667" w14:paraId="71D49349" w14:textId="77777777">
        <w:trPr>
          <w:hidden/>
        </w:trPr>
        <w:tc>
          <w:tcPr>
            <w:tcW w:w="0" w:type="auto"/>
            <w:gridSpan w:val="3"/>
            <w:shd w:val="clear" w:color="auto" w:fill="auto"/>
            <w:vAlign w:val="bottom"/>
          </w:tcPr>
          <w:p w14:paraId="71D49343" w14:textId="77777777" w:rsidR="006A3667" w:rsidRDefault="006A3667">
            <w:pPr>
              <w:rPr>
                <w:rFonts w:ascii="宋体"/>
                <w:vanish/>
              </w:rPr>
            </w:pPr>
          </w:p>
        </w:tc>
        <w:tc>
          <w:tcPr>
            <w:tcW w:w="0" w:type="auto"/>
            <w:gridSpan w:val="3"/>
            <w:shd w:val="clear" w:color="auto" w:fill="auto"/>
            <w:vAlign w:val="bottom"/>
          </w:tcPr>
          <w:p w14:paraId="71D49344" w14:textId="77777777" w:rsidR="006A3667" w:rsidRDefault="006A3667">
            <w:pPr>
              <w:rPr>
                <w:rFonts w:ascii="宋体"/>
                <w:vanish/>
              </w:rPr>
            </w:pPr>
          </w:p>
        </w:tc>
        <w:tc>
          <w:tcPr>
            <w:tcW w:w="0" w:type="auto"/>
            <w:gridSpan w:val="3"/>
            <w:shd w:val="clear" w:color="auto" w:fill="auto"/>
            <w:vAlign w:val="bottom"/>
          </w:tcPr>
          <w:p w14:paraId="71D49345" w14:textId="77777777" w:rsidR="006A3667" w:rsidRDefault="006A3667">
            <w:pPr>
              <w:rPr>
                <w:rFonts w:ascii="宋体"/>
                <w:vanish/>
              </w:rPr>
            </w:pPr>
          </w:p>
        </w:tc>
        <w:tc>
          <w:tcPr>
            <w:tcW w:w="0" w:type="auto"/>
            <w:gridSpan w:val="3"/>
            <w:shd w:val="clear" w:color="auto" w:fill="auto"/>
            <w:vAlign w:val="bottom"/>
          </w:tcPr>
          <w:p w14:paraId="71D49346" w14:textId="77777777" w:rsidR="006A3667" w:rsidRDefault="006A3667">
            <w:pPr>
              <w:rPr>
                <w:rFonts w:ascii="宋体"/>
                <w:vanish/>
              </w:rPr>
            </w:pPr>
          </w:p>
        </w:tc>
        <w:tc>
          <w:tcPr>
            <w:tcW w:w="0" w:type="auto"/>
            <w:gridSpan w:val="3"/>
            <w:shd w:val="clear" w:color="auto" w:fill="auto"/>
            <w:vAlign w:val="bottom"/>
          </w:tcPr>
          <w:p w14:paraId="71D49347" w14:textId="77777777" w:rsidR="006A3667" w:rsidRDefault="006A3667">
            <w:pPr>
              <w:rPr>
                <w:rFonts w:ascii="宋体"/>
                <w:vanish/>
              </w:rPr>
            </w:pPr>
          </w:p>
        </w:tc>
        <w:tc>
          <w:tcPr>
            <w:tcW w:w="0" w:type="auto"/>
            <w:gridSpan w:val="3"/>
            <w:shd w:val="clear" w:color="auto" w:fill="auto"/>
            <w:vAlign w:val="bottom"/>
          </w:tcPr>
          <w:p w14:paraId="71D49348" w14:textId="77777777" w:rsidR="006A3667" w:rsidRDefault="006A3667">
            <w:pPr>
              <w:rPr>
                <w:rFonts w:ascii="宋体"/>
                <w:vanish/>
              </w:rPr>
            </w:pPr>
          </w:p>
        </w:tc>
      </w:tr>
      <w:tr w:rsidR="006A3667" w14:paraId="71D49353" w14:textId="77777777">
        <w:tc>
          <w:tcPr>
            <w:tcW w:w="0" w:type="auto"/>
            <w:gridSpan w:val="3"/>
            <w:shd w:val="clear" w:color="auto" w:fill="CCEEFF"/>
            <w:tcMar>
              <w:top w:w="40" w:type="dxa"/>
              <w:left w:w="20" w:type="dxa"/>
              <w:bottom w:w="40" w:type="dxa"/>
              <w:right w:w="20" w:type="dxa"/>
            </w:tcMar>
            <w:vAlign w:val="bottom"/>
          </w:tcPr>
          <w:p w14:paraId="71D4934A" w14:textId="77777777" w:rsidR="006A3667" w:rsidRDefault="00045F32">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71D4934B" w14:textId="77777777" w:rsidR="006A3667" w:rsidRDefault="00045F32">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71D493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4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4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34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5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51" w14:textId="77777777" w:rsidR="006A3667" w:rsidRDefault="00045F32">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71D49352" w14:textId="77777777" w:rsidR="006A3667" w:rsidRDefault="006A3667">
            <w:pPr>
              <w:jc w:val="right"/>
              <w:rPr>
                <w:rFonts w:ascii="宋体"/>
              </w:rPr>
            </w:pPr>
          </w:p>
        </w:tc>
      </w:tr>
      <w:tr w:rsidR="006A3667" w14:paraId="71D49360" w14:textId="77777777">
        <w:tc>
          <w:tcPr>
            <w:tcW w:w="0" w:type="auto"/>
            <w:gridSpan w:val="3"/>
            <w:shd w:val="clear" w:color="auto" w:fill="FFFFFF"/>
            <w:tcMar>
              <w:top w:w="40" w:type="dxa"/>
              <w:left w:w="20" w:type="dxa"/>
              <w:bottom w:w="40" w:type="dxa"/>
              <w:right w:w="20" w:type="dxa"/>
            </w:tcMar>
            <w:vAlign w:val="bottom"/>
          </w:tcPr>
          <w:p w14:paraId="71D49354" w14:textId="77777777" w:rsidR="006A3667" w:rsidRDefault="00045F32">
            <w:pPr>
              <w:textAlignment w:val="bottom"/>
            </w:pPr>
            <w:r>
              <w:rPr>
                <w:rFonts w:ascii="Arial" w:eastAsia="宋体" w:hAnsi="Arial" w:cs="Arial"/>
                <w:b/>
                <w:bCs/>
                <w:color w:val="000000"/>
                <w:sz w:val="14"/>
                <w:szCs w:val="14"/>
              </w:rPr>
              <w:t>Accrual Balance at September 30,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935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9356" w14:textId="77777777" w:rsidR="006A3667" w:rsidRDefault="00045F32">
            <w:pPr>
              <w:jc w:val="right"/>
              <w:textAlignment w:val="bottom"/>
            </w:pPr>
            <w:r>
              <w:rPr>
                <w:rFonts w:ascii="Arial" w:eastAsia="宋体" w:hAnsi="Arial" w:cs="Arial"/>
                <w:b/>
                <w:bCs/>
                <w:color w:val="000000"/>
                <w:sz w:val="14"/>
                <w:szCs w:val="14"/>
              </w:rPr>
              <w:t>35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93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5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935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935A"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93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5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935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935E" w14:textId="77777777" w:rsidR="006A3667" w:rsidRDefault="00045F32">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935F" w14:textId="77777777" w:rsidR="006A3667" w:rsidRDefault="006A3667">
            <w:pPr>
              <w:jc w:val="right"/>
              <w:rPr>
                <w:rFonts w:ascii="宋体"/>
              </w:rPr>
            </w:pPr>
          </w:p>
        </w:tc>
      </w:tr>
    </w:tbl>
    <w:p w14:paraId="71D49361" w14:textId="77777777" w:rsidR="006A3667" w:rsidRDefault="00045F32">
      <w:pPr>
        <w:spacing w:before="180"/>
      </w:pPr>
      <w:r>
        <w:rPr>
          <w:rFonts w:ascii="Arial" w:eastAsia="宋体" w:hAnsi="Arial" w:cs="Arial"/>
          <w:b/>
          <w:bCs/>
          <w:color w:val="000000"/>
          <w:sz w:val="20"/>
          <w:szCs w:val="20"/>
        </w:rPr>
        <w:t xml:space="preserve">Note 16. Earnings Per Common Share </w:t>
      </w:r>
    </w:p>
    <w:p w14:paraId="71D49362" w14:textId="77777777" w:rsidR="006A3667" w:rsidRDefault="00045F32">
      <w:pPr>
        <w:spacing w:before="60"/>
        <w:ind w:firstLine="450"/>
        <w:jc w:val="both"/>
      </w:pPr>
      <w:r>
        <w:rPr>
          <w:rFonts w:ascii="Arial" w:eastAsia="宋体" w:hAnsi="Arial" w:cs="Arial"/>
          <w:color w:val="000000"/>
          <w:sz w:val="20"/>
          <w:szCs w:val="20"/>
        </w:rPr>
        <w:t>For additional information on our earnings per share calculation methodologies, refer to page 179 in Note 23 to the consolidated financial statements included under I</w:t>
      </w:r>
      <w:r>
        <w:rPr>
          <w:rFonts w:ascii="Arial" w:eastAsia="宋体" w:hAnsi="Arial" w:cs="Arial"/>
          <w:color w:val="000000"/>
          <w:sz w:val="20"/>
          <w:szCs w:val="20"/>
        </w:rPr>
        <w:t>tem 8, Financial Statements and Supplementary Data, in our 2021 Form 10-K.</w:t>
      </w:r>
    </w:p>
    <w:p w14:paraId="71D49363" w14:textId="77777777" w:rsidR="006A3667" w:rsidRDefault="00045F32">
      <w:pPr>
        <w:spacing w:before="60"/>
        <w:ind w:firstLine="450"/>
        <w:jc w:val="both"/>
      </w:pPr>
      <w:r>
        <w:rPr>
          <w:rFonts w:ascii="Arial" w:eastAsia="宋体" w:hAnsi="Arial" w:cs="Arial"/>
          <w:color w:val="000000"/>
          <w:sz w:val="20"/>
          <w:szCs w:val="20"/>
        </w:rPr>
        <w:t>The following table presents the computation of basic and diluted earnings per common share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3700"/>
        <w:gridCol w:w="38"/>
        <w:gridCol w:w="99"/>
        <w:gridCol w:w="875"/>
        <w:gridCol w:w="36"/>
        <w:gridCol w:w="36"/>
        <w:gridCol w:w="36"/>
        <w:gridCol w:w="36"/>
        <w:gridCol w:w="99"/>
        <w:gridCol w:w="876"/>
        <w:gridCol w:w="36"/>
        <w:gridCol w:w="36"/>
        <w:gridCol w:w="36"/>
        <w:gridCol w:w="36"/>
        <w:gridCol w:w="99"/>
        <w:gridCol w:w="876"/>
        <w:gridCol w:w="36"/>
        <w:gridCol w:w="36"/>
        <w:gridCol w:w="36"/>
        <w:gridCol w:w="36"/>
        <w:gridCol w:w="99"/>
        <w:gridCol w:w="827"/>
        <w:gridCol w:w="36"/>
        <w:gridCol w:w="36"/>
        <w:gridCol w:w="36"/>
        <w:gridCol w:w="36"/>
        <w:gridCol w:w="36"/>
        <w:gridCol w:w="36"/>
        <w:gridCol w:w="36"/>
      </w:tblGrid>
      <w:tr w:rsidR="006A3667" w14:paraId="71D4937E" w14:textId="77777777">
        <w:tc>
          <w:tcPr>
            <w:tcW w:w="50" w:type="pct"/>
            <w:shd w:val="clear" w:color="auto" w:fill="auto"/>
            <w:vAlign w:val="bottom"/>
          </w:tcPr>
          <w:p w14:paraId="71D49364" w14:textId="77777777" w:rsidR="006A3667" w:rsidRDefault="006A3667">
            <w:pPr>
              <w:rPr>
                <w:rFonts w:ascii="宋体"/>
              </w:rPr>
            </w:pPr>
          </w:p>
        </w:tc>
        <w:tc>
          <w:tcPr>
            <w:tcW w:w="2327" w:type="pct"/>
            <w:shd w:val="clear" w:color="auto" w:fill="auto"/>
            <w:vAlign w:val="bottom"/>
          </w:tcPr>
          <w:p w14:paraId="71D49365" w14:textId="77777777" w:rsidR="006A3667" w:rsidRDefault="006A3667">
            <w:pPr>
              <w:rPr>
                <w:rFonts w:ascii="宋体"/>
              </w:rPr>
            </w:pPr>
          </w:p>
        </w:tc>
        <w:tc>
          <w:tcPr>
            <w:tcW w:w="5" w:type="pct"/>
            <w:shd w:val="clear" w:color="auto" w:fill="auto"/>
            <w:vAlign w:val="bottom"/>
          </w:tcPr>
          <w:p w14:paraId="71D49366" w14:textId="77777777" w:rsidR="006A3667" w:rsidRDefault="006A3667">
            <w:pPr>
              <w:rPr>
                <w:rFonts w:ascii="宋体"/>
              </w:rPr>
            </w:pPr>
          </w:p>
        </w:tc>
        <w:tc>
          <w:tcPr>
            <w:tcW w:w="50" w:type="pct"/>
            <w:shd w:val="clear" w:color="auto" w:fill="auto"/>
            <w:vAlign w:val="bottom"/>
          </w:tcPr>
          <w:p w14:paraId="71D49367" w14:textId="77777777" w:rsidR="006A3667" w:rsidRDefault="006A3667">
            <w:pPr>
              <w:rPr>
                <w:rFonts w:ascii="宋体"/>
              </w:rPr>
            </w:pPr>
          </w:p>
        </w:tc>
        <w:tc>
          <w:tcPr>
            <w:tcW w:w="575" w:type="pct"/>
            <w:shd w:val="clear" w:color="auto" w:fill="auto"/>
            <w:vAlign w:val="bottom"/>
          </w:tcPr>
          <w:p w14:paraId="71D49368" w14:textId="77777777" w:rsidR="006A3667" w:rsidRDefault="006A3667">
            <w:pPr>
              <w:rPr>
                <w:rFonts w:ascii="宋体"/>
              </w:rPr>
            </w:pPr>
          </w:p>
        </w:tc>
        <w:tc>
          <w:tcPr>
            <w:tcW w:w="5" w:type="pct"/>
            <w:shd w:val="clear" w:color="auto" w:fill="auto"/>
            <w:vAlign w:val="bottom"/>
          </w:tcPr>
          <w:p w14:paraId="71D49369" w14:textId="77777777" w:rsidR="006A3667" w:rsidRDefault="006A3667">
            <w:pPr>
              <w:rPr>
                <w:rFonts w:ascii="宋体"/>
              </w:rPr>
            </w:pPr>
          </w:p>
        </w:tc>
        <w:tc>
          <w:tcPr>
            <w:tcW w:w="5" w:type="pct"/>
            <w:shd w:val="clear" w:color="auto" w:fill="auto"/>
            <w:vAlign w:val="bottom"/>
          </w:tcPr>
          <w:p w14:paraId="71D4936A" w14:textId="77777777" w:rsidR="006A3667" w:rsidRDefault="006A3667">
            <w:pPr>
              <w:rPr>
                <w:rFonts w:ascii="宋体"/>
              </w:rPr>
            </w:pPr>
          </w:p>
        </w:tc>
        <w:tc>
          <w:tcPr>
            <w:tcW w:w="19" w:type="pct"/>
            <w:shd w:val="clear" w:color="auto" w:fill="auto"/>
            <w:vAlign w:val="bottom"/>
          </w:tcPr>
          <w:p w14:paraId="71D4936B" w14:textId="77777777" w:rsidR="006A3667" w:rsidRDefault="006A3667">
            <w:pPr>
              <w:rPr>
                <w:rFonts w:ascii="宋体"/>
              </w:rPr>
            </w:pPr>
          </w:p>
        </w:tc>
        <w:tc>
          <w:tcPr>
            <w:tcW w:w="5" w:type="pct"/>
            <w:shd w:val="clear" w:color="auto" w:fill="auto"/>
            <w:vAlign w:val="bottom"/>
          </w:tcPr>
          <w:p w14:paraId="71D4936C" w14:textId="77777777" w:rsidR="006A3667" w:rsidRDefault="006A3667">
            <w:pPr>
              <w:rPr>
                <w:rFonts w:ascii="宋体"/>
              </w:rPr>
            </w:pPr>
          </w:p>
        </w:tc>
        <w:tc>
          <w:tcPr>
            <w:tcW w:w="50" w:type="pct"/>
            <w:shd w:val="clear" w:color="auto" w:fill="auto"/>
            <w:vAlign w:val="bottom"/>
          </w:tcPr>
          <w:p w14:paraId="71D4936D" w14:textId="77777777" w:rsidR="006A3667" w:rsidRDefault="006A3667">
            <w:pPr>
              <w:rPr>
                <w:rFonts w:ascii="宋体"/>
              </w:rPr>
            </w:pPr>
          </w:p>
        </w:tc>
        <w:tc>
          <w:tcPr>
            <w:tcW w:w="575" w:type="pct"/>
            <w:shd w:val="clear" w:color="auto" w:fill="auto"/>
            <w:vAlign w:val="bottom"/>
          </w:tcPr>
          <w:p w14:paraId="71D4936E" w14:textId="77777777" w:rsidR="006A3667" w:rsidRDefault="006A3667">
            <w:pPr>
              <w:rPr>
                <w:rFonts w:ascii="宋体"/>
              </w:rPr>
            </w:pPr>
          </w:p>
        </w:tc>
        <w:tc>
          <w:tcPr>
            <w:tcW w:w="5" w:type="pct"/>
            <w:shd w:val="clear" w:color="auto" w:fill="auto"/>
            <w:vAlign w:val="bottom"/>
          </w:tcPr>
          <w:p w14:paraId="71D4936F" w14:textId="77777777" w:rsidR="006A3667" w:rsidRDefault="006A3667">
            <w:pPr>
              <w:rPr>
                <w:rFonts w:ascii="宋体"/>
              </w:rPr>
            </w:pPr>
          </w:p>
        </w:tc>
        <w:tc>
          <w:tcPr>
            <w:tcW w:w="5" w:type="pct"/>
            <w:shd w:val="clear" w:color="auto" w:fill="auto"/>
            <w:vAlign w:val="bottom"/>
          </w:tcPr>
          <w:p w14:paraId="71D49370" w14:textId="77777777" w:rsidR="006A3667" w:rsidRDefault="006A3667">
            <w:pPr>
              <w:rPr>
                <w:rFonts w:ascii="宋体"/>
              </w:rPr>
            </w:pPr>
          </w:p>
        </w:tc>
        <w:tc>
          <w:tcPr>
            <w:tcW w:w="19" w:type="pct"/>
            <w:shd w:val="clear" w:color="auto" w:fill="auto"/>
            <w:vAlign w:val="bottom"/>
          </w:tcPr>
          <w:p w14:paraId="71D49371" w14:textId="77777777" w:rsidR="006A3667" w:rsidRDefault="006A3667">
            <w:pPr>
              <w:rPr>
                <w:rFonts w:ascii="宋体"/>
              </w:rPr>
            </w:pPr>
          </w:p>
        </w:tc>
        <w:tc>
          <w:tcPr>
            <w:tcW w:w="5" w:type="pct"/>
            <w:shd w:val="clear" w:color="auto" w:fill="auto"/>
            <w:vAlign w:val="bottom"/>
          </w:tcPr>
          <w:p w14:paraId="71D49372" w14:textId="77777777" w:rsidR="006A3667" w:rsidRDefault="006A3667">
            <w:pPr>
              <w:rPr>
                <w:rFonts w:ascii="宋体"/>
              </w:rPr>
            </w:pPr>
          </w:p>
        </w:tc>
        <w:tc>
          <w:tcPr>
            <w:tcW w:w="50" w:type="pct"/>
            <w:shd w:val="clear" w:color="auto" w:fill="auto"/>
            <w:vAlign w:val="bottom"/>
          </w:tcPr>
          <w:p w14:paraId="71D49373" w14:textId="77777777" w:rsidR="006A3667" w:rsidRDefault="006A3667">
            <w:pPr>
              <w:rPr>
                <w:rFonts w:ascii="宋体"/>
              </w:rPr>
            </w:pPr>
          </w:p>
        </w:tc>
        <w:tc>
          <w:tcPr>
            <w:tcW w:w="575" w:type="pct"/>
            <w:shd w:val="clear" w:color="auto" w:fill="auto"/>
            <w:vAlign w:val="bottom"/>
          </w:tcPr>
          <w:p w14:paraId="71D49374" w14:textId="77777777" w:rsidR="006A3667" w:rsidRDefault="006A3667">
            <w:pPr>
              <w:rPr>
                <w:rFonts w:ascii="宋体"/>
              </w:rPr>
            </w:pPr>
          </w:p>
        </w:tc>
        <w:tc>
          <w:tcPr>
            <w:tcW w:w="5" w:type="pct"/>
            <w:shd w:val="clear" w:color="auto" w:fill="auto"/>
            <w:vAlign w:val="bottom"/>
          </w:tcPr>
          <w:p w14:paraId="71D49375" w14:textId="77777777" w:rsidR="006A3667" w:rsidRDefault="006A3667">
            <w:pPr>
              <w:rPr>
                <w:rFonts w:ascii="宋体"/>
              </w:rPr>
            </w:pPr>
          </w:p>
        </w:tc>
        <w:tc>
          <w:tcPr>
            <w:tcW w:w="5" w:type="pct"/>
            <w:shd w:val="clear" w:color="auto" w:fill="auto"/>
            <w:vAlign w:val="bottom"/>
          </w:tcPr>
          <w:p w14:paraId="71D49376" w14:textId="77777777" w:rsidR="006A3667" w:rsidRDefault="006A3667">
            <w:pPr>
              <w:rPr>
                <w:rFonts w:ascii="宋体"/>
              </w:rPr>
            </w:pPr>
          </w:p>
        </w:tc>
        <w:tc>
          <w:tcPr>
            <w:tcW w:w="26" w:type="pct"/>
            <w:shd w:val="clear" w:color="auto" w:fill="auto"/>
            <w:vAlign w:val="bottom"/>
          </w:tcPr>
          <w:p w14:paraId="71D49377" w14:textId="77777777" w:rsidR="006A3667" w:rsidRDefault="006A3667">
            <w:pPr>
              <w:rPr>
                <w:rFonts w:ascii="宋体"/>
              </w:rPr>
            </w:pPr>
          </w:p>
        </w:tc>
        <w:tc>
          <w:tcPr>
            <w:tcW w:w="5" w:type="pct"/>
            <w:shd w:val="clear" w:color="auto" w:fill="auto"/>
            <w:vAlign w:val="bottom"/>
          </w:tcPr>
          <w:p w14:paraId="71D49378" w14:textId="77777777" w:rsidR="006A3667" w:rsidRDefault="006A3667">
            <w:pPr>
              <w:rPr>
                <w:rFonts w:ascii="宋体"/>
              </w:rPr>
            </w:pPr>
          </w:p>
        </w:tc>
        <w:tc>
          <w:tcPr>
            <w:tcW w:w="50" w:type="pct"/>
            <w:shd w:val="clear" w:color="auto" w:fill="auto"/>
            <w:vAlign w:val="bottom"/>
          </w:tcPr>
          <w:p w14:paraId="71D49379" w14:textId="77777777" w:rsidR="006A3667" w:rsidRDefault="006A3667">
            <w:pPr>
              <w:rPr>
                <w:rFonts w:ascii="宋体"/>
              </w:rPr>
            </w:pPr>
          </w:p>
        </w:tc>
        <w:tc>
          <w:tcPr>
            <w:tcW w:w="575" w:type="pct"/>
            <w:shd w:val="clear" w:color="auto" w:fill="auto"/>
            <w:vAlign w:val="bottom"/>
          </w:tcPr>
          <w:p w14:paraId="71D4937A" w14:textId="77777777" w:rsidR="006A3667" w:rsidRDefault="006A3667">
            <w:pPr>
              <w:rPr>
                <w:rFonts w:ascii="宋体"/>
              </w:rPr>
            </w:pPr>
          </w:p>
        </w:tc>
        <w:tc>
          <w:tcPr>
            <w:tcW w:w="5" w:type="pct"/>
            <w:shd w:val="clear" w:color="auto" w:fill="auto"/>
            <w:vAlign w:val="bottom"/>
          </w:tcPr>
          <w:p w14:paraId="71D4937B" w14:textId="77777777" w:rsidR="006A3667" w:rsidRDefault="006A3667">
            <w:pPr>
              <w:rPr>
                <w:rFonts w:ascii="宋体"/>
              </w:rPr>
            </w:pPr>
          </w:p>
        </w:tc>
        <w:tc>
          <w:tcPr>
            <w:tcW w:w="0" w:type="auto"/>
            <w:gridSpan w:val="3"/>
            <w:shd w:val="clear" w:color="auto" w:fill="auto"/>
            <w:vAlign w:val="bottom"/>
          </w:tcPr>
          <w:p w14:paraId="71D4937C" w14:textId="77777777" w:rsidR="006A3667" w:rsidRDefault="006A3667">
            <w:pPr>
              <w:rPr>
                <w:rFonts w:ascii="宋体"/>
                <w:vanish/>
              </w:rPr>
            </w:pPr>
          </w:p>
        </w:tc>
        <w:tc>
          <w:tcPr>
            <w:tcW w:w="0" w:type="auto"/>
            <w:gridSpan w:val="3"/>
            <w:shd w:val="clear" w:color="auto" w:fill="auto"/>
            <w:vAlign w:val="bottom"/>
          </w:tcPr>
          <w:p w14:paraId="71D4937D" w14:textId="77777777" w:rsidR="006A3667" w:rsidRDefault="006A3667">
            <w:pPr>
              <w:rPr>
                <w:rFonts w:ascii="宋体"/>
                <w:vanish/>
              </w:rPr>
            </w:pPr>
          </w:p>
        </w:tc>
      </w:tr>
      <w:tr w:rsidR="006A3667" w14:paraId="71D49389" w14:textId="77777777">
        <w:tc>
          <w:tcPr>
            <w:tcW w:w="0" w:type="auto"/>
            <w:gridSpan w:val="3"/>
            <w:shd w:val="clear" w:color="auto" w:fill="auto"/>
            <w:tcMar>
              <w:top w:w="0" w:type="dxa"/>
              <w:left w:w="20" w:type="dxa"/>
              <w:bottom w:w="0" w:type="dxa"/>
              <w:right w:w="20" w:type="dxa"/>
            </w:tcMar>
            <w:vAlign w:val="bottom"/>
          </w:tcPr>
          <w:p w14:paraId="71D4937F"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9380"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gridSpan w:val="3"/>
            <w:shd w:val="clear" w:color="auto" w:fill="auto"/>
            <w:tcMar>
              <w:top w:w="0" w:type="dxa"/>
              <w:left w:w="20" w:type="dxa"/>
              <w:bottom w:w="0" w:type="dxa"/>
              <w:right w:w="20" w:type="dxa"/>
            </w:tcMar>
            <w:vAlign w:val="bottom"/>
          </w:tcPr>
          <w:p w14:paraId="71D49381" w14:textId="77777777" w:rsidR="006A3667" w:rsidRDefault="006A3667">
            <w:pPr>
              <w:rPr>
                <w:rFonts w:ascii="宋体"/>
              </w:rPr>
            </w:pPr>
          </w:p>
        </w:tc>
        <w:tc>
          <w:tcPr>
            <w:tcW w:w="0" w:type="auto"/>
            <w:gridSpan w:val="9"/>
            <w:shd w:val="clear" w:color="auto" w:fill="auto"/>
            <w:tcMar>
              <w:top w:w="40" w:type="dxa"/>
              <w:left w:w="20" w:type="dxa"/>
              <w:bottom w:w="40" w:type="dxa"/>
              <w:right w:w="20" w:type="dxa"/>
            </w:tcMar>
            <w:vAlign w:val="bottom"/>
          </w:tcPr>
          <w:p w14:paraId="71D49382"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49383" w14:textId="77777777" w:rsidR="006A3667" w:rsidRDefault="006A3667">
            <w:pPr>
              <w:rPr>
                <w:rFonts w:ascii="宋体"/>
              </w:rPr>
            </w:pPr>
          </w:p>
        </w:tc>
        <w:tc>
          <w:tcPr>
            <w:tcW w:w="0" w:type="auto"/>
            <w:shd w:val="clear" w:color="auto" w:fill="auto"/>
            <w:vAlign w:val="bottom"/>
          </w:tcPr>
          <w:p w14:paraId="71D49384" w14:textId="77777777" w:rsidR="006A3667" w:rsidRDefault="006A3667">
            <w:pPr>
              <w:rPr>
                <w:rFonts w:ascii="宋体"/>
              </w:rPr>
            </w:pPr>
          </w:p>
        </w:tc>
        <w:tc>
          <w:tcPr>
            <w:tcW w:w="0" w:type="auto"/>
            <w:shd w:val="clear" w:color="auto" w:fill="auto"/>
            <w:vAlign w:val="bottom"/>
          </w:tcPr>
          <w:p w14:paraId="71D49385" w14:textId="77777777" w:rsidR="006A3667" w:rsidRDefault="006A3667">
            <w:pPr>
              <w:rPr>
                <w:rFonts w:ascii="宋体"/>
              </w:rPr>
            </w:pPr>
          </w:p>
        </w:tc>
        <w:tc>
          <w:tcPr>
            <w:tcW w:w="0" w:type="auto"/>
            <w:shd w:val="clear" w:color="auto" w:fill="auto"/>
            <w:vAlign w:val="bottom"/>
          </w:tcPr>
          <w:p w14:paraId="71D49386" w14:textId="77777777" w:rsidR="006A3667" w:rsidRDefault="006A3667">
            <w:pPr>
              <w:rPr>
                <w:rFonts w:ascii="宋体"/>
              </w:rPr>
            </w:pPr>
          </w:p>
        </w:tc>
        <w:tc>
          <w:tcPr>
            <w:tcW w:w="0" w:type="auto"/>
            <w:shd w:val="clear" w:color="auto" w:fill="auto"/>
            <w:vAlign w:val="bottom"/>
          </w:tcPr>
          <w:p w14:paraId="71D49387" w14:textId="77777777" w:rsidR="006A3667" w:rsidRDefault="006A3667">
            <w:pPr>
              <w:rPr>
                <w:rFonts w:ascii="宋体"/>
              </w:rPr>
            </w:pPr>
          </w:p>
        </w:tc>
        <w:tc>
          <w:tcPr>
            <w:tcW w:w="0" w:type="auto"/>
            <w:shd w:val="clear" w:color="auto" w:fill="auto"/>
            <w:vAlign w:val="bottom"/>
          </w:tcPr>
          <w:p w14:paraId="71D49388" w14:textId="77777777" w:rsidR="006A3667" w:rsidRDefault="006A3667">
            <w:pPr>
              <w:rPr>
                <w:rFonts w:ascii="宋体"/>
              </w:rPr>
            </w:pPr>
          </w:p>
        </w:tc>
      </w:tr>
      <w:tr w:rsidR="006A3667" w14:paraId="71D49394" w14:textId="77777777">
        <w:tc>
          <w:tcPr>
            <w:tcW w:w="0" w:type="auto"/>
            <w:gridSpan w:val="3"/>
            <w:shd w:val="clear" w:color="auto" w:fill="auto"/>
            <w:tcMar>
              <w:top w:w="40" w:type="dxa"/>
              <w:left w:w="20" w:type="dxa"/>
              <w:bottom w:w="40" w:type="dxa"/>
              <w:right w:w="20" w:type="dxa"/>
            </w:tcMar>
            <w:vAlign w:val="bottom"/>
          </w:tcPr>
          <w:p w14:paraId="71D4938A" w14:textId="77777777" w:rsidR="006A3667" w:rsidRDefault="00045F32">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38B"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38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38D"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71D4938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38F" w14:textId="77777777" w:rsidR="006A3667" w:rsidRDefault="00045F32">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39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391" w14:textId="77777777" w:rsidR="006A3667" w:rsidRDefault="00045F32">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71D49392" w14:textId="77777777" w:rsidR="006A3667" w:rsidRDefault="006A3667">
            <w:pPr>
              <w:rPr>
                <w:rFonts w:ascii="宋体"/>
                <w:vanish/>
              </w:rPr>
            </w:pPr>
          </w:p>
        </w:tc>
        <w:tc>
          <w:tcPr>
            <w:tcW w:w="0" w:type="auto"/>
            <w:gridSpan w:val="3"/>
            <w:shd w:val="clear" w:color="auto" w:fill="auto"/>
            <w:vAlign w:val="bottom"/>
          </w:tcPr>
          <w:p w14:paraId="71D49393" w14:textId="77777777" w:rsidR="006A3667" w:rsidRDefault="006A3667">
            <w:pPr>
              <w:rPr>
                <w:rFonts w:ascii="宋体"/>
                <w:vanish/>
              </w:rPr>
            </w:pPr>
          </w:p>
        </w:tc>
      </w:tr>
      <w:tr w:rsidR="006A3667" w14:paraId="71D493A7" w14:textId="77777777">
        <w:tc>
          <w:tcPr>
            <w:tcW w:w="0" w:type="auto"/>
            <w:gridSpan w:val="3"/>
            <w:shd w:val="clear" w:color="auto" w:fill="CCEEFF"/>
            <w:tcMar>
              <w:top w:w="40" w:type="dxa"/>
              <w:left w:w="20" w:type="dxa"/>
              <w:bottom w:w="40" w:type="dxa"/>
              <w:right w:w="20" w:type="dxa"/>
            </w:tcMar>
            <w:vAlign w:val="bottom"/>
          </w:tcPr>
          <w:p w14:paraId="71D49395" w14:textId="77777777" w:rsidR="006A3667" w:rsidRDefault="00045F32">
            <w:pPr>
              <w:textAlignment w:val="bottom"/>
            </w:pPr>
            <w:r>
              <w:rPr>
                <w:rFonts w:ascii="Arial" w:eastAsia="宋体" w:hAnsi="Arial" w:cs="Arial"/>
                <w:b/>
                <w:bCs/>
                <w:color w:val="000000"/>
                <w:sz w:val="14"/>
                <w:szCs w:val="14"/>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396"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397" w14:textId="77777777" w:rsidR="006A3667" w:rsidRDefault="00045F32">
            <w:pPr>
              <w:jc w:val="right"/>
              <w:textAlignment w:val="bottom"/>
            </w:pPr>
            <w:r>
              <w:rPr>
                <w:rFonts w:ascii="Arial" w:eastAsia="宋体" w:hAnsi="Arial" w:cs="Arial"/>
                <w:b/>
                <w:bCs/>
                <w:color w:val="000000"/>
                <w:sz w:val="14"/>
                <w:szCs w:val="14"/>
              </w:rPr>
              <w:t>690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39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9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39A"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39B" w14:textId="77777777" w:rsidR="006A3667" w:rsidRDefault="00045F32">
            <w:pPr>
              <w:jc w:val="right"/>
              <w:textAlignment w:val="bottom"/>
            </w:pPr>
            <w:r>
              <w:rPr>
                <w:rFonts w:ascii="Arial" w:eastAsia="宋体" w:hAnsi="Arial" w:cs="Arial"/>
                <w:color w:val="000000"/>
                <w:sz w:val="14"/>
                <w:szCs w:val="14"/>
              </w:rPr>
              <w:t>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3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9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39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39F" w14:textId="77777777" w:rsidR="006A3667" w:rsidRDefault="00045F32">
            <w:pPr>
              <w:jc w:val="right"/>
              <w:textAlignment w:val="bottom"/>
            </w:pPr>
            <w:r>
              <w:rPr>
                <w:rFonts w:ascii="Arial" w:eastAsia="宋体" w:hAnsi="Arial" w:cs="Arial"/>
                <w:b/>
                <w:bCs/>
                <w:color w:val="000000"/>
                <w:sz w:val="14"/>
                <w:szCs w:val="14"/>
              </w:rPr>
              <w:t>2,041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3A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A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3A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3A3" w14:textId="77777777" w:rsidR="006A3667" w:rsidRDefault="00045F32">
            <w:pPr>
              <w:jc w:val="right"/>
              <w:textAlignment w:val="bottom"/>
            </w:pPr>
            <w:r>
              <w:rPr>
                <w:rFonts w:ascii="Arial" w:eastAsia="宋体" w:hAnsi="Arial" w:cs="Arial"/>
                <w:color w:val="000000"/>
                <w:sz w:val="14"/>
                <w:szCs w:val="14"/>
              </w:rPr>
              <w:t>1,996 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3A4" w14:textId="77777777" w:rsidR="006A3667" w:rsidRDefault="006A3667">
            <w:pPr>
              <w:jc w:val="right"/>
              <w:rPr>
                <w:rFonts w:ascii="宋体"/>
              </w:rPr>
            </w:pPr>
          </w:p>
        </w:tc>
        <w:tc>
          <w:tcPr>
            <w:tcW w:w="0" w:type="auto"/>
            <w:gridSpan w:val="3"/>
            <w:shd w:val="clear" w:color="auto" w:fill="auto"/>
            <w:vAlign w:val="bottom"/>
          </w:tcPr>
          <w:p w14:paraId="71D493A5" w14:textId="77777777" w:rsidR="006A3667" w:rsidRDefault="006A3667">
            <w:pPr>
              <w:rPr>
                <w:rFonts w:ascii="宋体"/>
                <w:vanish/>
              </w:rPr>
            </w:pPr>
          </w:p>
        </w:tc>
        <w:tc>
          <w:tcPr>
            <w:tcW w:w="0" w:type="auto"/>
            <w:gridSpan w:val="3"/>
            <w:shd w:val="clear" w:color="auto" w:fill="auto"/>
            <w:vAlign w:val="bottom"/>
          </w:tcPr>
          <w:p w14:paraId="71D493A6" w14:textId="77777777" w:rsidR="006A3667" w:rsidRDefault="006A3667">
            <w:pPr>
              <w:rPr>
                <w:rFonts w:ascii="宋体"/>
                <w:vanish/>
              </w:rPr>
            </w:pPr>
          </w:p>
        </w:tc>
      </w:tr>
      <w:tr w:rsidR="006A3667" w14:paraId="71D493B2" w14:textId="77777777">
        <w:tc>
          <w:tcPr>
            <w:tcW w:w="0" w:type="auto"/>
            <w:gridSpan w:val="3"/>
            <w:shd w:val="clear" w:color="auto" w:fill="FFFFFF"/>
            <w:tcMar>
              <w:top w:w="40" w:type="dxa"/>
              <w:left w:w="20" w:type="dxa"/>
              <w:bottom w:w="40" w:type="dxa"/>
              <w:right w:w="20" w:type="dxa"/>
            </w:tcMar>
            <w:vAlign w:val="bottom"/>
          </w:tcPr>
          <w:p w14:paraId="71D493A8" w14:textId="77777777" w:rsidR="006A3667" w:rsidRDefault="00045F32">
            <w:pPr>
              <w:textAlignment w:val="bottom"/>
            </w:pPr>
            <w:r>
              <w:rPr>
                <w:rFonts w:ascii="Arial" w:eastAsia="宋体" w:hAnsi="Arial" w:cs="Arial"/>
                <w:color w:val="000000"/>
                <w:sz w:val="14"/>
                <w:szCs w:val="14"/>
              </w:rPr>
              <w:t>Less:</w:t>
            </w:r>
          </w:p>
        </w:tc>
        <w:tc>
          <w:tcPr>
            <w:tcW w:w="0" w:type="auto"/>
            <w:gridSpan w:val="3"/>
            <w:shd w:val="clear" w:color="auto" w:fill="FFFFFF"/>
            <w:tcMar>
              <w:top w:w="0" w:type="dxa"/>
              <w:left w:w="20" w:type="dxa"/>
              <w:bottom w:w="0" w:type="dxa"/>
              <w:right w:w="20" w:type="dxa"/>
            </w:tcMar>
            <w:vAlign w:val="bottom"/>
          </w:tcPr>
          <w:p w14:paraId="71D493A9"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3AA"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3AB"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3AC"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3AD"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3A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3AF" w14:textId="77777777" w:rsidR="006A3667" w:rsidRDefault="006A3667">
            <w:pPr>
              <w:rPr>
                <w:rFonts w:ascii="宋体"/>
              </w:rPr>
            </w:pPr>
          </w:p>
        </w:tc>
        <w:tc>
          <w:tcPr>
            <w:tcW w:w="0" w:type="auto"/>
            <w:gridSpan w:val="3"/>
            <w:shd w:val="clear" w:color="auto" w:fill="auto"/>
            <w:vAlign w:val="bottom"/>
          </w:tcPr>
          <w:p w14:paraId="71D493B0" w14:textId="77777777" w:rsidR="006A3667" w:rsidRDefault="006A3667">
            <w:pPr>
              <w:rPr>
                <w:rFonts w:ascii="宋体"/>
                <w:vanish/>
              </w:rPr>
            </w:pPr>
          </w:p>
        </w:tc>
        <w:tc>
          <w:tcPr>
            <w:tcW w:w="0" w:type="auto"/>
            <w:gridSpan w:val="3"/>
            <w:shd w:val="clear" w:color="auto" w:fill="auto"/>
            <w:vAlign w:val="bottom"/>
          </w:tcPr>
          <w:p w14:paraId="71D493B1" w14:textId="77777777" w:rsidR="006A3667" w:rsidRDefault="006A3667">
            <w:pPr>
              <w:rPr>
                <w:rFonts w:ascii="宋体"/>
                <w:vanish/>
              </w:rPr>
            </w:pPr>
          </w:p>
        </w:tc>
      </w:tr>
      <w:tr w:rsidR="006A3667" w14:paraId="71D493C1" w14:textId="77777777">
        <w:tc>
          <w:tcPr>
            <w:tcW w:w="0" w:type="auto"/>
            <w:gridSpan w:val="3"/>
            <w:shd w:val="clear" w:color="auto" w:fill="CCEEFF"/>
            <w:tcMar>
              <w:top w:w="40" w:type="dxa"/>
              <w:left w:w="125" w:type="dxa"/>
              <w:bottom w:w="40" w:type="dxa"/>
              <w:right w:w="20" w:type="dxa"/>
            </w:tcMar>
            <w:vAlign w:val="bottom"/>
          </w:tcPr>
          <w:p w14:paraId="71D493B3" w14:textId="77777777" w:rsidR="006A3667" w:rsidRDefault="00045F32">
            <w:pPr>
              <w:textAlignment w:val="bottom"/>
            </w:pPr>
            <w:r>
              <w:rPr>
                <w:rFonts w:ascii="Arial" w:eastAsia="宋体" w:hAnsi="Arial" w:cs="Arial"/>
                <w:color w:val="000000"/>
                <w:sz w:val="14"/>
                <w:szCs w:val="14"/>
              </w:rPr>
              <w:t xml:space="preserve">Preferred stock dividends </w:t>
            </w:r>
          </w:p>
        </w:tc>
        <w:tc>
          <w:tcPr>
            <w:tcW w:w="0" w:type="auto"/>
            <w:gridSpan w:val="2"/>
            <w:shd w:val="clear" w:color="auto" w:fill="CCEEFF"/>
            <w:tcMar>
              <w:top w:w="40" w:type="dxa"/>
              <w:left w:w="20" w:type="dxa"/>
              <w:bottom w:w="40" w:type="dxa"/>
              <w:right w:w="0" w:type="dxa"/>
            </w:tcMar>
            <w:vAlign w:val="bottom"/>
          </w:tcPr>
          <w:p w14:paraId="71D493B4" w14:textId="77777777" w:rsidR="006A3667" w:rsidRDefault="00045F32">
            <w:pPr>
              <w:jc w:val="right"/>
              <w:textAlignment w:val="bottom"/>
            </w:pPr>
            <w:r>
              <w:rPr>
                <w:rFonts w:ascii="Arial" w:eastAsia="宋体" w:hAnsi="Arial" w:cs="Arial"/>
                <w:b/>
                <w:bCs/>
                <w:color w:val="000000"/>
                <w:sz w:val="14"/>
                <w:szCs w:val="14"/>
              </w:rPr>
              <w:t>(21)</w:t>
            </w:r>
          </w:p>
        </w:tc>
        <w:tc>
          <w:tcPr>
            <w:tcW w:w="0" w:type="auto"/>
            <w:shd w:val="clear" w:color="auto" w:fill="CCEEFF"/>
            <w:tcMar>
              <w:top w:w="40" w:type="dxa"/>
              <w:left w:w="0" w:type="dxa"/>
              <w:bottom w:w="40" w:type="dxa"/>
              <w:right w:w="20" w:type="dxa"/>
            </w:tcMar>
            <w:vAlign w:val="bottom"/>
          </w:tcPr>
          <w:p w14:paraId="71D493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B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B7" w14:textId="77777777" w:rsidR="006A3667" w:rsidRDefault="00045F32">
            <w:pPr>
              <w:jc w:val="right"/>
              <w:textAlignment w:val="bottom"/>
            </w:pPr>
            <w:r>
              <w:rPr>
                <w:rFonts w:ascii="Arial" w:eastAsia="宋体" w:hAnsi="Arial" w:cs="Arial"/>
                <w:color w:val="000000"/>
                <w:sz w:val="14"/>
                <w:szCs w:val="14"/>
              </w:rPr>
              <w:t>(21)</w:t>
            </w:r>
          </w:p>
        </w:tc>
        <w:tc>
          <w:tcPr>
            <w:tcW w:w="0" w:type="auto"/>
            <w:shd w:val="clear" w:color="auto" w:fill="CCEEFF"/>
            <w:tcMar>
              <w:top w:w="40" w:type="dxa"/>
              <w:left w:w="0" w:type="dxa"/>
              <w:bottom w:w="40" w:type="dxa"/>
              <w:right w:w="20" w:type="dxa"/>
            </w:tcMar>
            <w:vAlign w:val="bottom"/>
          </w:tcPr>
          <w:p w14:paraId="71D493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B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BA" w14:textId="77777777" w:rsidR="006A3667" w:rsidRDefault="00045F32">
            <w:pPr>
              <w:jc w:val="right"/>
              <w:textAlignment w:val="bottom"/>
            </w:pPr>
            <w:r>
              <w:rPr>
                <w:rFonts w:ascii="Arial" w:eastAsia="宋体" w:hAnsi="Arial" w:cs="Arial"/>
                <w:b/>
                <w:bCs/>
                <w:color w:val="000000"/>
                <w:sz w:val="14"/>
                <w:szCs w:val="14"/>
              </w:rPr>
              <w:t>(76)</w:t>
            </w:r>
          </w:p>
        </w:tc>
        <w:tc>
          <w:tcPr>
            <w:tcW w:w="0" w:type="auto"/>
            <w:shd w:val="clear" w:color="auto" w:fill="CCEEFF"/>
            <w:tcMar>
              <w:top w:w="40" w:type="dxa"/>
              <w:left w:w="0" w:type="dxa"/>
              <w:bottom w:w="40" w:type="dxa"/>
              <w:right w:w="20" w:type="dxa"/>
            </w:tcMar>
            <w:vAlign w:val="bottom"/>
          </w:tcPr>
          <w:p w14:paraId="71D493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B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BD" w14:textId="77777777" w:rsidR="006A3667" w:rsidRDefault="00045F32">
            <w:pPr>
              <w:jc w:val="right"/>
              <w:textAlignment w:val="bottom"/>
            </w:pPr>
            <w:r>
              <w:rPr>
                <w:rFonts w:ascii="Arial" w:eastAsia="宋体" w:hAnsi="Arial" w:cs="Arial"/>
                <w:color w:val="000000"/>
                <w:sz w:val="14"/>
                <w:szCs w:val="14"/>
              </w:rPr>
              <w:t>(85)</w:t>
            </w:r>
          </w:p>
        </w:tc>
        <w:tc>
          <w:tcPr>
            <w:tcW w:w="0" w:type="auto"/>
            <w:shd w:val="clear" w:color="auto" w:fill="CCEEFF"/>
            <w:tcMar>
              <w:top w:w="40" w:type="dxa"/>
              <w:left w:w="0" w:type="dxa"/>
              <w:bottom w:w="40" w:type="dxa"/>
              <w:right w:w="20" w:type="dxa"/>
            </w:tcMar>
            <w:vAlign w:val="bottom"/>
          </w:tcPr>
          <w:p w14:paraId="71D493BE" w14:textId="77777777" w:rsidR="006A3667" w:rsidRDefault="006A3667">
            <w:pPr>
              <w:jc w:val="right"/>
              <w:rPr>
                <w:rFonts w:ascii="宋体"/>
              </w:rPr>
            </w:pPr>
          </w:p>
        </w:tc>
        <w:tc>
          <w:tcPr>
            <w:tcW w:w="0" w:type="auto"/>
            <w:gridSpan w:val="3"/>
            <w:shd w:val="clear" w:color="auto" w:fill="auto"/>
            <w:vAlign w:val="bottom"/>
          </w:tcPr>
          <w:p w14:paraId="71D493BF" w14:textId="77777777" w:rsidR="006A3667" w:rsidRDefault="006A3667">
            <w:pPr>
              <w:rPr>
                <w:rFonts w:ascii="宋体"/>
                <w:vanish/>
              </w:rPr>
            </w:pPr>
          </w:p>
        </w:tc>
        <w:tc>
          <w:tcPr>
            <w:tcW w:w="0" w:type="auto"/>
            <w:gridSpan w:val="3"/>
            <w:shd w:val="clear" w:color="auto" w:fill="auto"/>
            <w:vAlign w:val="bottom"/>
          </w:tcPr>
          <w:p w14:paraId="71D493C0" w14:textId="77777777" w:rsidR="006A3667" w:rsidRDefault="006A3667">
            <w:pPr>
              <w:rPr>
                <w:rFonts w:ascii="宋体"/>
                <w:vanish/>
              </w:rPr>
            </w:pPr>
          </w:p>
        </w:tc>
      </w:tr>
      <w:tr w:rsidR="006A3667" w14:paraId="71D493D0" w14:textId="77777777">
        <w:tc>
          <w:tcPr>
            <w:tcW w:w="0" w:type="auto"/>
            <w:gridSpan w:val="3"/>
            <w:shd w:val="clear" w:color="auto" w:fill="FFFFFF"/>
            <w:tcMar>
              <w:top w:w="40" w:type="dxa"/>
              <w:left w:w="20" w:type="dxa"/>
              <w:bottom w:w="40" w:type="dxa"/>
              <w:right w:w="20" w:type="dxa"/>
            </w:tcMar>
            <w:vAlign w:val="bottom"/>
          </w:tcPr>
          <w:p w14:paraId="71D493C2" w14:textId="77777777" w:rsidR="006A3667" w:rsidRDefault="00045F32">
            <w:pPr>
              <w:textAlignment w:val="bottom"/>
            </w:pPr>
            <w:r>
              <w:rPr>
                <w:rFonts w:ascii="Arial" w:eastAsia="宋体" w:hAnsi="Arial" w:cs="Arial"/>
                <w:color w:val="000000"/>
                <w:sz w:val="14"/>
                <w:szCs w:val="14"/>
              </w:rPr>
              <w:t>Dividends and undistributed earnings allocated to participating securities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71D493C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3C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C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3C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3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C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3C9" w14:textId="77777777" w:rsidR="006A3667" w:rsidRDefault="00045F32">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71D493C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3C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3CC"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71D493CD" w14:textId="77777777" w:rsidR="006A3667" w:rsidRDefault="006A3667">
            <w:pPr>
              <w:jc w:val="right"/>
              <w:rPr>
                <w:rFonts w:ascii="宋体"/>
              </w:rPr>
            </w:pPr>
          </w:p>
        </w:tc>
        <w:tc>
          <w:tcPr>
            <w:tcW w:w="0" w:type="auto"/>
            <w:gridSpan w:val="3"/>
            <w:shd w:val="clear" w:color="auto" w:fill="auto"/>
            <w:vAlign w:val="bottom"/>
          </w:tcPr>
          <w:p w14:paraId="71D493CE" w14:textId="77777777" w:rsidR="006A3667" w:rsidRDefault="006A3667">
            <w:pPr>
              <w:rPr>
                <w:rFonts w:ascii="宋体"/>
                <w:vanish/>
              </w:rPr>
            </w:pPr>
          </w:p>
        </w:tc>
        <w:tc>
          <w:tcPr>
            <w:tcW w:w="0" w:type="auto"/>
            <w:gridSpan w:val="3"/>
            <w:shd w:val="clear" w:color="auto" w:fill="auto"/>
            <w:vAlign w:val="bottom"/>
          </w:tcPr>
          <w:p w14:paraId="71D493CF" w14:textId="77777777" w:rsidR="006A3667" w:rsidRDefault="006A3667">
            <w:pPr>
              <w:rPr>
                <w:rFonts w:ascii="宋体"/>
                <w:vanish/>
              </w:rPr>
            </w:pPr>
          </w:p>
        </w:tc>
      </w:tr>
      <w:tr w:rsidR="006A3667" w14:paraId="71D493E3" w14:textId="77777777">
        <w:tc>
          <w:tcPr>
            <w:tcW w:w="0" w:type="auto"/>
            <w:gridSpan w:val="3"/>
            <w:shd w:val="clear" w:color="auto" w:fill="CCEEFF"/>
            <w:tcMar>
              <w:top w:w="40" w:type="dxa"/>
              <w:left w:w="20" w:type="dxa"/>
              <w:bottom w:w="40" w:type="dxa"/>
              <w:right w:w="20" w:type="dxa"/>
            </w:tcMar>
            <w:vAlign w:val="bottom"/>
          </w:tcPr>
          <w:p w14:paraId="71D493D1" w14:textId="77777777" w:rsidR="006A3667" w:rsidRDefault="00045F32">
            <w:pPr>
              <w:textAlignment w:val="bottom"/>
            </w:pPr>
            <w:r>
              <w:rPr>
                <w:rFonts w:ascii="Arial" w:eastAsia="宋体" w:hAnsi="Arial" w:cs="Arial"/>
                <w:color w:val="000000"/>
                <w:sz w:val="14"/>
                <w:szCs w:val="14"/>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3D2"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3D3" w14:textId="77777777" w:rsidR="006A3667" w:rsidRDefault="00045F32">
            <w:pPr>
              <w:jc w:val="right"/>
              <w:textAlignment w:val="bottom"/>
            </w:pPr>
            <w:r>
              <w:rPr>
                <w:rFonts w:ascii="Arial" w:eastAsia="宋体" w:hAnsi="Arial" w:cs="Arial"/>
                <w:b/>
                <w:bCs/>
                <w:color w:val="000000"/>
                <w:sz w:val="14"/>
                <w:szCs w:val="14"/>
              </w:rPr>
              <w:t>669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3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D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3D6"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3D7" w14:textId="77777777" w:rsidR="006A3667" w:rsidRDefault="00045F32">
            <w:pPr>
              <w:jc w:val="right"/>
              <w:textAlignment w:val="bottom"/>
            </w:pPr>
            <w:r>
              <w:rPr>
                <w:rFonts w:ascii="Arial" w:eastAsia="宋体" w:hAnsi="Arial" w:cs="Arial"/>
                <w:color w:val="000000"/>
                <w:sz w:val="14"/>
                <w:szCs w:val="14"/>
              </w:rPr>
              <w:t>693 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3D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D9"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3DA"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3DB" w14:textId="77777777" w:rsidR="006A3667" w:rsidRDefault="00045F32">
            <w:pPr>
              <w:jc w:val="right"/>
              <w:textAlignment w:val="bottom"/>
            </w:pPr>
            <w:r>
              <w:rPr>
                <w:rFonts w:ascii="Arial" w:eastAsia="宋体" w:hAnsi="Arial" w:cs="Arial"/>
                <w:b/>
                <w:bCs/>
                <w:color w:val="000000"/>
                <w:sz w:val="14"/>
                <w:szCs w:val="14"/>
              </w:rPr>
              <w:t>1,964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3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D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3D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3DF" w14:textId="77777777" w:rsidR="006A3667" w:rsidRDefault="00045F32">
            <w:pPr>
              <w:jc w:val="right"/>
              <w:textAlignment w:val="bottom"/>
            </w:pPr>
            <w:r>
              <w:rPr>
                <w:rFonts w:ascii="Arial" w:eastAsia="宋体" w:hAnsi="Arial" w:cs="Arial"/>
                <w:color w:val="000000"/>
                <w:sz w:val="14"/>
                <w:szCs w:val="14"/>
              </w:rPr>
              <w:t>1,910 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3E0" w14:textId="77777777" w:rsidR="006A3667" w:rsidRDefault="006A3667">
            <w:pPr>
              <w:jc w:val="right"/>
              <w:rPr>
                <w:rFonts w:ascii="宋体"/>
              </w:rPr>
            </w:pPr>
          </w:p>
        </w:tc>
        <w:tc>
          <w:tcPr>
            <w:tcW w:w="0" w:type="auto"/>
            <w:gridSpan w:val="3"/>
            <w:shd w:val="clear" w:color="auto" w:fill="auto"/>
            <w:vAlign w:val="bottom"/>
          </w:tcPr>
          <w:p w14:paraId="71D493E1" w14:textId="77777777" w:rsidR="006A3667" w:rsidRDefault="006A3667">
            <w:pPr>
              <w:rPr>
                <w:rFonts w:ascii="宋体"/>
                <w:vanish/>
              </w:rPr>
            </w:pPr>
          </w:p>
        </w:tc>
        <w:tc>
          <w:tcPr>
            <w:tcW w:w="0" w:type="auto"/>
            <w:gridSpan w:val="3"/>
            <w:shd w:val="clear" w:color="auto" w:fill="auto"/>
            <w:vAlign w:val="bottom"/>
          </w:tcPr>
          <w:p w14:paraId="71D493E2" w14:textId="77777777" w:rsidR="006A3667" w:rsidRDefault="006A3667">
            <w:pPr>
              <w:rPr>
                <w:rFonts w:ascii="宋体"/>
                <w:vanish/>
              </w:rPr>
            </w:pPr>
          </w:p>
        </w:tc>
      </w:tr>
      <w:tr w:rsidR="006A3667" w14:paraId="71D493EE" w14:textId="77777777">
        <w:tc>
          <w:tcPr>
            <w:tcW w:w="0" w:type="auto"/>
            <w:gridSpan w:val="3"/>
            <w:shd w:val="clear" w:color="auto" w:fill="auto"/>
            <w:tcMar>
              <w:top w:w="40" w:type="dxa"/>
              <w:left w:w="20" w:type="dxa"/>
              <w:bottom w:w="40" w:type="dxa"/>
              <w:right w:w="20" w:type="dxa"/>
            </w:tcMar>
            <w:vAlign w:val="bottom"/>
          </w:tcPr>
          <w:p w14:paraId="71D493E4" w14:textId="77777777" w:rsidR="006A3667" w:rsidRDefault="00045F32">
            <w:pPr>
              <w:textAlignment w:val="bottom"/>
            </w:pPr>
            <w:r>
              <w:rPr>
                <w:rFonts w:ascii="Arial" w:eastAsia="宋体" w:hAnsi="Arial" w:cs="Arial"/>
                <w:b/>
                <w:bCs/>
                <w:color w:val="000000"/>
                <w:sz w:val="14"/>
                <w:szCs w:val="14"/>
              </w:rPr>
              <w:t>Average common shares outstanding (In thousands):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3E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3E6"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3E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3E8"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3E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3EA"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3EB" w14:textId="77777777" w:rsidR="006A3667" w:rsidRDefault="006A3667">
            <w:pPr>
              <w:rPr>
                <w:rFonts w:ascii="宋体"/>
              </w:rPr>
            </w:pPr>
          </w:p>
        </w:tc>
        <w:tc>
          <w:tcPr>
            <w:tcW w:w="0" w:type="auto"/>
            <w:gridSpan w:val="3"/>
            <w:shd w:val="clear" w:color="auto" w:fill="auto"/>
            <w:vAlign w:val="bottom"/>
          </w:tcPr>
          <w:p w14:paraId="71D493EC" w14:textId="77777777" w:rsidR="006A3667" w:rsidRDefault="006A3667">
            <w:pPr>
              <w:rPr>
                <w:rFonts w:ascii="宋体"/>
                <w:vanish/>
              </w:rPr>
            </w:pPr>
          </w:p>
        </w:tc>
        <w:tc>
          <w:tcPr>
            <w:tcW w:w="0" w:type="auto"/>
            <w:gridSpan w:val="3"/>
            <w:shd w:val="clear" w:color="auto" w:fill="auto"/>
            <w:vAlign w:val="bottom"/>
          </w:tcPr>
          <w:p w14:paraId="71D493ED" w14:textId="77777777" w:rsidR="006A3667" w:rsidRDefault="006A3667">
            <w:pPr>
              <w:rPr>
                <w:rFonts w:ascii="宋体"/>
                <w:vanish/>
              </w:rPr>
            </w:pPr>
          </w:p>
        </w:tc>
      </w:tr>
      <w:tr w:rsidR="006A3667" w14:paraId="71D493FD" w14:textId="77777777">
        <w:tc>
          <w:tcPr>
            <w:tcW w:w="0" w:type="auto"/>
            <w:gridSpan w:val="3"/>
            <w:shd w:val="clear" w:color="auto" w:fill="CCEEFF"/>
            <w:tcMar>
              <w:top w:w="40" w:type="dxa"/>
              <w:left w:w="20" w:type="dxa"/>
              <w:bottom w:w="40" w:type="dxa"/>
              <w:right w:w="20" w:type="dxa"/>
            </w:tcMar>
            <w:vAlign w:val="bottom"/>
          </w:tcPr>
          <w:p w14:paraId="71D493EF" w14:textId="77777777" w:rsidR="006A3667" w:rsidRDefault="00045F32">
            <w:pPr>
              <w:textAlignment w:val="bottom"/>
            </w:pPr>
            <w:r>
              <w:rPr>
                <w:rFonts w:ascii="Arial" w:eastAsia="宋体" w:hAnsi="Arial" w:cs="Arial"/>
                <w:color w:val="000000"/>
                <w:sz w:val="14"/>
                <w:szCs w:val="14"/>
              </w:rPr>
              <w:t>Basic average common shares</w:t>
            </w:r>
          </w:p>
        </w:tc>
        <w:tc>
          <w:tcPr>
            <w:tcW w:w="0" w:type="auto"/>
            <w:gridSpan w:val="2"/>
            <w:shd w:val="clear" w:color="auto" w:fill="CCEEFF"/>
            <w:tcMar>
              <w:top w:w="40" w:type="dxa"/>
              <w:left w:w="20" w:type="dxa"/>
              <w:bottom w:w="40" w:type="dxa"/>
              <w:right w:w="0" w:type="dxa"/>
            </w:tcMar>
            <w:vAlign w:val="bottom"/>
          </w:tcPr>
          <w:p w14:paraId="71D493F0" w14:textId="77777777" w:rsidR="006A3667" w:rsidRDefault="00045F32">
            <w:pPr>
              <w:jc w:val="right"/>
              <w:textAlignment w:val="bottom"/>
            </w:pPr>
            <w:r>
              <w:rPr>
                <w:rFonts w:ascii="Arial" w:eastAsia="宋体" w:hAnsi="Arial" w:cs="Arial"/>
                <w:b/>
                <w:bCs/>
                <w:color w:val="000000"/>
                <w:sz w:val="14"/>
                <w:szCs w:val="14"/>
              </w:rPr>
              <w:t>367,789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3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F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F3" w14:textId="77777777" w:rsidR="006A3667" w:rsidRDefault="00045F32">
            <w:pPr>
              <w:jc w:val="right"/>
              <w:textAlignment w:val="bottom"/>
            </w:pPr>
            <w:r>
              <w:rPr>
                <w:rFonts w:ascii="Arial" w:eastAsia="宋体" w:hAnsi="Arial" w:cs="Arial"/>
                <w:color w:val="000000"/>
                <w:sz w:val="14"/>
                <w:szCs w:val="14"/>
              </w:rPr>
              <w:t>347,718 </w:t>
            </w:r>
          </w:p>
        </w:tc>
        <w:tc>
          <w:tcPr>
            <w:tcW w:w="0" w:type="auto"/>
            <w:shd w:val="clear" w:color="auto" w:fill="CCEEFF"/>
            <w:tcMar>
              <w:top w:w="40" w:type="dxa"/>
              <w:left w:w="0" w:type="dxa"/>
              <w:bottom w:w="40" w:type="dxa"/>
              <w:right w:w="20" w:type="dxa"/>
            </w:tcMar>
            <w:vAlign w:val="bottom"/>
          </w:tcPr>
          <w:p w14:paraId="71D493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F6" w14:textId="77777777" w:rsidR="006A3667" w:rsidRDefault="00045F32">
            <w:pPr>
              <w:jc w:val="right"/>
              <w:textAlignment w:val="bottom"/>
            </w:pPr>
            <w:r>
              <w:rPr>
                <w:rFonts w:ascii="Arial" w:eastAsia="宋体" w:hAnsi="Arial" w:cs="Arial"/>
                <w:b/>
                <w:bCs/>
                <w:color w:val="000000"/>
                <w:sz w:val="14"/>
                <w:szCs w:val="14"/>
              </w:rPr>
              <w:t>367,240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3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3F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3F9" w14:textId="77777777" w:rsidR="006A3667" w:rsidRDefault="00045F32">
            <w:pPr>
              <w:jc w:val="right"/>
              <w:textAlignment w:val="bottom"/>
            </w:pPr>
            <w:r>
              <w:rPr>
                <w:rFonts w:ascii="Arial" w:eastAsia="宋体" w:hAnsi="Arial" w:cs="Arial"/>
                <w:color w:val="000000"/>
                <w:sz w:val="14"/>
                <w:szCs w:val="14"/>
              </w:rPr>
              <w:t>348,106 </w:t>
            </w:r>
          </w:p>
        </w:tc>
        <w:tc>
          <w:tcPr>
            <w:tcW w:w="0" w:type="auto"/>
            <w:shd w:val="clear" w:color="auto" w:fill="CCEEFF"/>
            <w:tcMar>
              <w:top w:w="40" w:type="dxa"/>
              <w:left w:w="0" w:type="dxa"/>
              <w:bottom w:w="40" w:type="dxa"/>
              <w:right w:w="20" w:type="dxa"/>
            </w:tcMar>
            <w:vAlign w:val="bottom"/>
          </w:tcPr>
          <w:p w14:paraId="71D493FA" w14:textId="77777777" w:rsidR="006A3667" w:rsidRDefault="006A3667">
            <w:pPr>
              <w:jc w:val="right"/>
              <w:rPr>
                <w:rFonts w:ascii="宋体"/>
              </w:rPr>
            </w:pPr>
          </w:p>
        </w:tc>
        <w:tc>
          <w:tcPr>
            <w:tcW w:w="0" w:type="auto"/>
            <w:gridSpan w:val="3"/>
            <w:shd w:val="clear" w:color="auto" w:fill="auto"/>
            <w:vAlign w:val="bottom"/>
          </w:tcPr>
          <w:p w14:paraId="71D493FB" w14:textId="77777777" w:rsidR="006A3667" w:rsidRDefault="006A3667">
            <w:pPr>
              <w:rPr>
                <w:rFonts w:ascii="宋体"/>
                <w:vanish/>
              </w:rPr>
            </w:pPr>
          </w:p>
        </w:tc>
        <w:tc>
          <w:tcPr>
            <w:tcW w:w="0" w:type="auto"/>
            <w:gridSpan w:val="3"/>
            <w:shd w:val="clear" w:color="auto" w:fill="auto"/>
            <w:vAlign w:val="bottom"/>
          </w:tcPr>
          <w:p w14:paraId="71D493FC" w14:textId="77777777" w:rsidR="006A3667" w:rsidRDefault="006A3667">
            <w:pPr>
              <w:rPr>
                <w:rFonts w:ascii="宋体"/>
                <w:vanish/>
              </w:rPr>
            </w:pPr>
          </w:p>
        </w:tc>
      </w:tr>
      <w:tr w:rsidR="006A3667" w14:paraId="71D4940C" w14:textId="77777777">
        <w:tc>
          <w:tcPr>
            <w:tcW w:w="0" w:type="auto"/>
            <w:gridSpan w:val="3"/>
            <w:shd w:val="clear" w:color="auto" w:fill="auto"/>
            <w:tcMar>
              <w:top w:w="40" w:type="dxa"/>
              <w:left w:w="20" w:type="dxa"/>
              <w:bottom w:w="40" w:type="dxa"/>
              <w:right w:w="20" w:type="dxa"/>
            </w:tcMar>
            <w:vAlign w:val="bottom"/>
          </w:tcPr>
          <w:p w14:paraId="71D493FE" w14:textId="77777777" w:rsidR="006A3667" w:rsidRDefault="00045F32">
            <w:pPr>
              <w:textAlignment w:val="bottom"/>
            </w:pPr>
            <w:r>
              <w:rPr>
                <w:rFonts w:ascii="Arial" w:eastAsia="宋体" w:hAnsi="Arial" w:cs="Arial"/>
                <w:color w:val="000000"/>
                <w:sz w:val="14"/>
                <w:szCs w:val="14"/>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71D493FF" w14:textId="77777777" w:rsidR="006A3667" w:rsidRDefault="00045F32">
            <w:pPr>
              <w:jc w:val="right"/>
              <w:textAlignment w:val="bottom"/>
            </w:pPr>
            <w:r>
              <w:rPr>
                <w:rFonts w:ascii="Arial" w:eastAsia="宋体" w:hAnsi="Arial" w:cs="Arial"/>
                <w:b/>
                <w:bCs/>
                <w:color w:val="000000"/>
                <w:sz w:val="14"/>
                <w:szCs w:val="14"/>
              </w:rPr>
              <w:t>4,629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4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40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402" w14:textId="77777777" w:rsidR="006A3667" w:rsidRDefault="00045F32">
            <w:pPr>
              <w:jc w:val="right"/>
              <w:textAlignment w:val="bottom"/>
            </w:pPr>
            <w:r>
              <w:rPr>
                <w:rFonts w:ascii="Arial" w:eastAsia="宋体" w:hAnsi="Arial" w:cs="Arial"/>
                <w:color w:val="000000"/>
                <w:sz w:val="14"/>
                <w:szCs w:val="14"/>
              </w:rPr>
              <w:t>5,776 </w:t>
            </w:r>
          </w:p>
        </w:tc>
        <w:tc>
          <w:tcPr>
            <w:tcW w:w="0" w:type="auto"/>
            <w:shd w:val="clear" w:color="auto" w:fill="FFFFFF"/>
            <w:tcMar>
              <w:top w:w="40" w:type="dxa"/>
              <w:left w:w="0" w:type="dxa"/>
              <w:bottom w:w="40" w:type="dxa"/>
              <w:right w:w="20" w:type="dxa"/>
            </w:tcMar>
            <w:vAlign w:val="bottom"/>
          </w:tcPr>
          <w:p w14:paraId="71D494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40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405" w14:textId="77777777" w:rsidR="006A3667" w:rsidRDefault="00045F32">
            <w:pPr>
              <w:jc w:val="right"/>
              <w:textAlignment w:val="bottom"/>
            </w:pPr>
            <w:r>
              <w:rPr>
                <w:rFonts w:ascii="Arial" w:eastAsia="宋体" w:hAnsi="Arial" w:cs="Arial"/>
                <w:b/>
                <w:bCs/>
                <w:color w:val="000000"/>
                <w:sz w:val="14"/>
                <w:szCs w:val="14"/>
              </w:rPr>
              <w:t>4,954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40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40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408" w14:textId="77777777" w:rsidR="006A3667" w:rsidRDefault="00045F32">
            <w:pPr>
              <w:jc w:val="right"/>
              <w:textAlignment w:val="bottom"/>
            </w:pPr>
            <w:r>
              <w:rPr>
                <w:rFonts w:ascii="Arial" w:eastAsia="宋体" w:hAnsi="Arial" w:cs="Arial"/>
                <w:color w:val="000000"/>
                <w:sz w:val="14"/>
                <w:szCs w:val="14"/>
              </w:rPr>
              <w:t>5,270 </w:t>
            </w:r>
          </w:p>
        </w:tc>
        <w:tc>
          <w:tcPr>
            <w:tcW w:w="0" w:type="auto"/>
            <w:shd w:val="clear" w:color="auto" w:fill="FFFFFF"/>
            <w:tcMar>
              <w:top w:w="40" w:type="dxa"/>
              <w:left w:w="0" w:type="dxa"/>
              <w:bottom w:w="40" w:type="dxa"/>
              <w:right w:w="20" w:type="dxa"/>
            </w:tcMar>
            <w:vAlign w:val="bottom"/>
          </w:tcPr>
          <w:p w14:paraId="71D49409" w14:textId="77777777" w:rsidR="006A3667" w:rsidRDefault="006A3667">
            <w:pPr>
              <w:jc w:val="right"/>
              <w:rPr>
                <w:rFonts w:ascii="宋体"/>
              </w:rPr>
            </w:pPr>
          </w:p>
        </w:tc>
        <w:tc>
          <w:tcPr>
            <w:tcW w:w="0" w:type="auto"/>
            <w:gridSpan w:val="3"/>
            <w:shd w:val="clear" w:color="auto" w:fill="auto"/>
            <w:vAlign w:val="bottom"/>
          </w:tcPr>
          <w:p w14:paraId="71D4940A" w14:textId="77777777" w:rsidR="006A3667" w:rsidRDefault="006A3667">
            <w:pPr>
              <w:rPr>
                <w:rFonts w:ascii="宋体"/>
                <w:vanish/>
              </w:rPr>
            </w:pPr>
          </w:p>
        </w:tc>
        <w:tc>
          <w:tcPr>
            <w:tcW w:w="0" w:type="auto"/>
            <w:gridSpan w:val="3"/>
            <w:shd w:val="clear" w:color="auto" w:fill="auto"/>
            <w:vAlign w:val="bottom"/>
          </w:tcPr>
          <w:p w14:paraId="71D4940B" w14:textId="77777777" w:rsidR="006A3667" w:rsidRDefault="006A3667">
            <w:pPr>
              <w:rPr>
                <w:rFonts w:ascii="宋体"/>
                <w:vanish/>
              </w:rPr>
            </w:pPr>
          </w:p>
        </w:tc>
      </w:tr>
      <w:tr w:rsidR="006A3667" w14:paraId="71D4941B" w14:textId="77777777">
        <w:tc>
          <w:tcPr>
            <w:tcW w:w="0" w:type="auto"/>
            <w:gridSpan w:val="3"/>
            <w:shd w:val="clear" w:color="auto" w:fill="CCEEFF"/>
            <w:tcMar>
              <w:top w:w="40" w:type="dxa"/>
              <w:left w:w="20" w:type="dxa"/>
              <w:bottom w:w="40" w:type="dxa"/>
              <w:right w:w="20" w:type="dxa"/>
            </w:tcMar>
            <w:vAlign w:val="bottom"/>
          </w:tcPr>
          <w:p w14:paraId="71D4940D" w14:textId="77777777" w:rsidR="006A3667" w:rsidRDefault="00045F32">
            <w:pPr>
              <w:textAlignment w:val="bottom"/>
            </w:pPr>
            <w:r>
              <w:rPr>
                <w:rFonts w:ascii="Arial" w:eastAsia="宋体" w:hAnsi="Arial" w:cs="Arial"/>
                <w:color w:val="000000"/>
                <w:sz w:val="14"/>
                <w:szCs w:val="14"/>
              </w:rPr>
              <w:t>Diluted average 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40E" w14:textId="77777777" w:rsidR="006A3667" w:rsidRDefault="00045F32">
            <w:pPr>
              <w:jc w:val="right"/>
              <w:textAlignment w:val="bottom"/>
            </w:pPr>
            <w:r>
              <w:rPr>
                <w:rFonts w:ascii="Arial" w:eastAsia="宋体" w:hAnsi="Arial" w:cs="Arial"/>
                <w:b/>
                <w:bCs/>
                <w:color w:val="000000"/>
                <w:sz w:val="14"/>
                <w:szCs w:val="14"/>
              </w:rPr>
              <w:t>372,418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40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410"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411" w14:textId="77777777" w:rsidR="006A3667" w:rsidRDefault="00045F32">
            <w:pPr>
              <w:jc w:val="right"/>
              <w:textAlignment w:val="bottom"/>
            </w:pPr>
            <w:r>
              <w:rPr>
                <w:rFonts w:ascii="Arial" w:eastAsia="宋体" w:hAnsi="Arial" w:cs="Arial"/>
                <w:color w:val="000000"/>
                <w:sz w:val="14"/>
                <w:szCs w:val="14"/>
              </w:rPr>
              <w:t>353,494 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4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413"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414" w14:textId="77777777" w:rsidR="006A3667" w:rsidRDefault="00045F32">
            <w:pPr>
              <w:jc w:val="right"/>
              <w:textAlignment w:val="bottom"/>
            </w:pPr>
            <w:r>
              <w:rPr>
                <w:rFonts w:ascii="Arial" w:eastAsia="宋体" w:hAnsi="Arial" w:cs="Arial"/>
                <w:b/>
                <w:bCs/>
                <w:color w:val="000000"/>
                <w:sz w:val="14"/>
                <w:szCs w:val="14"/>
              </w:rPr>
              <w:t>372,194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4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416"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417" w14:textId="77777777" w:rsidR="006A3667" w:rsidRDefault="00045F32">
            <w:pPr>
              <w:jc w:val="right"/>
              <w:textAlignment w:val="bottom"/>
            </w:pPr>
            <w:r>
              <w:rPr>
                <w:rFonts w:ascii="Arial" w:eastAsia="宋体" w:hAnsi="Arial" w:cs="Arial"/>
                <w:color w:val="000000"/>
                <w:sz w:val="14"/>
                <w:szCs w:val="14"/>
              </w:rPr>
              <w:t>353,376 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418" w14:textId="77777777" w:rsidR="006A3667" w:rsidRDefault="006A3667">
            <w:pPr>
              <w:jc w:val="right"/>
              <w:rPr>
                <w:rFonts w:ascii="宋体"/>
              </w:rPr>
            </w:pPr>
          </w:p>
        </w:tc>
        <w:tc>
          <w:tcPr>
            <w:tcW w:w="0" w:type="auto"/>
            <w:gridSpan w:val="3"/>
            <w:shd w:val="clear" w:color="auto" w:fill="auto"/>
            <w:vAlign w:val="bottom"/>
          </w:tcPr>
          <w:p w14:paraId="71D49419" w14:textId="77777777" w:rsidR="006A3667" w:rsidRDefault="006A3667">
            <w:pPr>
              <w:rPr>
                <w:rFonts w:ascii="宋体"/>
                <w:vanish/>
              </w:rPr>
            </w:pPr>
          </w:p>
        </w:tc>
        <w:tc>
          <w:tcPr>
            <w:tcW w:w="0" w:type="auto"/>
            <w:gridSpan w:val="3"/>
            <w:shd w:val="clear" w:color="auto" w:fill="auto"/>
            <w:vAlign w:val="bottom"/>
          </w:tcPr>
          <w:p w14:paraId="71D4941A" w14:textId="77777777" w:rsidR="006A3667" w:rsidRDefault="006A3667">
            <w:pPr>
              <w:rPr>
                <w:rFonts w:ascii="宋体"/>
                <w:vanish/>
              </w:rPr>
            </w:pPr>
          </w:p>
        </w:tc>
      </w:tr>
      <w:tr w:rsidR="006A3667" w14:paraId="71D4942A" w14:textId="77777777">
        <w:tc>
          <w:tcPr>
            <w:tcW w:w="0" w:type="auto"/>
            <w:gridSpan w:val="3"/>
            <w:shd w:val="clear" w:color="auto" w:fill="auto"/>
            <w:tcMar>
              <w:top w:w="40" w:type="dxa"/>
              <w:left w:w="20" w:type="dxa"/>
              <w:bottom w:w="40" w:type="dxa"/>
              <w:right w:w="20" w:type="dxa"/>
            </w:tcMar>
            <w:vAlign w:val="bottom"/>
          </w:tcPr>
          <w:p w14:paraId="71D4941C" w14:textId="77777777" w:rsidR="006A3667" w:rsidRDefault="00045F32">
            <w:pPr>
              <w:textAlignment w:val="bottom"/>
            </w:pPr>
            <w:r>
              <w:rPr>
                <w:rFonts w:ascii="Arial" w:eastAsia="宋体" w:hAnsi="Arial" w:cs="Arial"/>
                <w:color w:val="000000"/>
                <w:sz w:val="14"/>
                <w:szCs w:val="14"/>
              </w:rPr>
              <w:t>Anti-dilutive securities</w:t>
            </w:r>
            <w:r>
              <w:rPr>
                <w:rFonts w:ascii="Arial" w:eastAsia="宋体" w:hAnsi="Arial" w:cs="Arial"/>
                <w:color w:val="000000"/>
                <w:sz w:val="9"/>
                <w:szCs w:val="9"/>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1D4941D" w14:textId="77777777" w:rsidR="006A3667" w:rsidRDefault="00045F32">
            <w:pPr>
              <w:jc w:val="right"/>
              <w:textAlignment w:val="bottom"/>
            </w:pPr>
            <w:r>
              <w:rPr>
                <w:rFonts w:ascii="Arial" w:eastAsia="宋体" w:hAnsi="Arial" w:cs="Arial"/>
                <w:b/>
                <w:bCs/>
                <w:color w:val="000000"/>
                <w:sz w:val="14"/>
                <w:szCs w:val="14"/>
              </w:rPr>
              <w:t>1,592</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71D4941E" w14:textId="77777777" w:rsidR="006A3667" w:rsidRDefault="006A3667">
            <w:pPr>
              <w:jc w:val="right"/>
              <w:rPr>
                <w:rFonts w:ascii="宋体"/>
              </w:rPr>
            </w:pPr>
          </w:p>
        </w:tc>
        <w:tc>
          <w:tcPr>
            <w:tcW w:w="0" w:type="auto"/>
            <w:gridSpan w:val="3"/>
            <w:shd w:val="clear" w:color="auto" w:fill="auto"/>
            <w:tcMar>
              <w:top w:w="0" w:type="dxa"/>
              <w:left w:w="20" w:type="dxa"/>
              <w:bottom w:w="0" w:type="dxa"/>
              <w:right w:w="20" w:type="dxa"/>
            </w:tcMar>
            <w:vAlign w:val="bottom"/>
          </w:tcPr>
          <w:p w14:paraId="71D4941F" w14:textId="77777777" w:rsidR="006A3667" w:rsidRDefault="006A3667">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1D49420" w14:textId="77777777" w:rsidR="006A3667" w:rsidRDefault="00045F32">
            <w:pPr>
              <w:jc w:val="right"/>
              <w:textAlignment w:val="bottom"/>
            </w:pPr>
            <w:r>
              <w:rPr>
                <w:rFonts w:ascii="Arial" w:eastAsia="宋体" w:hAnsi="Arial" w:cs="Arial"/>
                <w:color w:val="000000"/>
                <w:sz w:val="14"/>
                <w:szCs w:val="14"/>
              </w:rPr>
              <w:t>97 </w:t>
            </w:r>
          </w:p>
        </w:tc>
        <w:tc>
          <w:tcPr>
            <w:tcW w:w="0" w:type="auto"/>
            <w:tcBorders>
              <w:top w:val="double" w:sz="6" w:space="0" w:color="000000"/>
            </w:tcBorders>
            <w:shd w:val="clear" w:color="auto" w:fill="auto"/>
            <w:tcMar>
              <w:top w:w="40" w:type="dxa"/>
              <w:left w:w="0" w:type="dxa"/>
              <w:bottom w:w="40" w:type="dxa"/>
              <w:right w:w="20" w:type="dxa"/>
            </w:tcMar>
            <w:vAlign w:val="bottom"/>
          </w:tcPr>
          <w:p w14:paraId="71D49421" w14:textId="77777777" w:rsidR="006A3667" w:rsidRDefault="006A3667">
            <w:pPr>
              <w:jc w:val="right"/>
              <w:rPr>
                <w:rFonts w:ascii="宋体"/>
              </w:rPr>
            </w:pPr>
          </w:p>
        </w:tc>
        <w:tc>
          <w:tcPr>
            <w:tcW w:w="0" w:type="auto"/>
            <w:gridSpan w:val="3"/>
            <w:shd w:val="clear" w:color="auto" w:fill="auto"/>
            <w:tcMar>
              <w:top w:w="0" w:type="dxa"/>
              <w:left w:w="20" w:type="dxa"/>
              <w:bottom w:w="0" w:type="dxa"/>
              <w:right w:w="20" w:type="dxa"/>
            </w:tcMar>
            <w:vAlign w:val="bottom"/>
          </w:tcPr>
          <w:p w14:paraId="71D49422" w14:textId="77777777" w:rsidR="006A3667" w:rsidRDefault="006A3667">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1D49423" w14:textId="77777777" w:rsidR="006A3667" w:rsidRDefault="00045F32">
            <w:pPr>
              <w:jc w:val="right"/>
              <w:textAlignment w:val="bottom"/>
            </w:pPr>
            <w:r>
              <w:rPr>
                <w:rFonts w:ascii="Arial" w:eastAsia="宋体" w:hAnsi="Arial" w:cs="Arial"/>
                <w:b/>
                <w:bCs/>
                <w:color w:val="000000"/>
                <w:sz w:val="14"/>
                <w:szCs w:val="14"/>
              </w:rPr>
              <w:t>904</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71D49424" w14:textId="77777777" w:rsidR="006A3667" w:rsidRDefault="006A3667">
            <w:pPr>
              <w:jc w:val="right"/>
              <w:rPr>
                <w:rFonts w:ascii="宋体"/>
              </w:rPr>
            </w:pPr>
          </w:p>
        </w:tc>
        <w:tc>
          <w:tcPr>
            <w:tcW w:w="0" w:type="auto"/>
            <w:gridSpan w:val="3"/>
            <w:shd w:val="clear" w:color="auto" w:fill="auto"/>
            <w:tcMar>
              <w:top w:w="0" w:type="dxa"/>
              <w:left w:w="20" w:type="dxa"/>
              <w:bottom w:w="0" w:type="dxa"/>
              <w:right w:w="20" w:type="dxa"/>
            </w:tcMar>
            <w:vAlign w:val="bottom"/>
          </w:tcPr>
          <w:p w14:paraId="71D49425" w14:textId="77777777" w:rsidR="006A3667" w:rsidRDefault="006A3667">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71D49426" w14:textId="77777777" w:rsidR="006A3667" w:rsidRDefault="00045F32">
            <w:pPr>
              <w:jc w:val="right"/>
              <w:textAlignment w:val="bottom"/>
            </w:pPr>
            <w:r>
              <w:rPr>
                <w:rFonts w:ascii="Arial" w:eastAsia="宋体" w:hAnsi="Arial" w:cs="Arial"/>
                <w:color w:val="000000"/>
                <w:sz w:val="14"/>
                <w:szCs w:val="14"/>
              </w:rPr>
              <w:t>119 </w:t>
            </w:r>
          </w:p>
        </w:tc>
        <w:tc>
          <w:tcPr>
            <w:tcW w:w="0" w:type="auto"/>
            <w:tcBorders>
              <w:top w:val="double" w:sz="6" w:space="0" w:color="000000"/>
            </w:tcBorders>
            <w:shd w:val="clear" w:color="auto" w:fill="auto"/>
            <w:tcMar>
              <w:top w:w="40" w:type="dxa"/>
              <w:left w:w="0" w:type="dxa"/>
              <w:bottom w:w="40" w:type="dxa"/>
              <w:right w:w="20" w:type="dxa"/>
            </w:tcMar>
            <w:vAlign w:val="bottom"/>
          </w:tcPr>
          <w:p w14:paraId="71D49427" w14:textId="77777777" w:rsidR="006A3667" w:rsidRDefault="006A3667">
            <w:pPr>
              <w:jc w:val="right"/>
              <w:rPr>
                <w:rFonts w:ascii="宋体"/>
              </w:rPr>
            </w:pPr>
          </w:p>
        </w:tc>
        <w:tc>
          <w:tcPr>
            <w:tcW w:w="0" w:type="auto"/>
            <w:gridSpan w:val="3"/>
            <w:shd w:val="clear" w:color="auto" w:fill="auto"/>
            <w:vAlign w:val="bottom"/>
          </w:tcPr>
          <w:p w14:paraId="71D49428" w14:textId="77777777" w:rsidR="006A3667" w:rsidRDefault="006A3667">
            <w:pPr>
              <w:rPr>
                <w:rFonts w:ascii="宋体"/>
                <w:vanish/>
              </w:rPr>
            </w:pPr>
          </w:p>
        </w:tc>
        <w:tc>
          <w:tcPr>
            <w:tcW w:w="0" w:type="auto"/>
            <w:gridSpan w:val="3"/>
            <w:shd w:val="clear" w:color="auto" w:fill="auto"/>
            <w:vAlign w:val="bottom"/>
          </w:tcPr>
          <w:p w14:paraId="71D49429" w14:textId="77777777" w:rsidR="006A3667" w:rsidRDefault="006A3667">
            <w:pPr>
              <w:rPr>
                <w:rFonts w:ascii="宋体"/>
                <w:vanish/>
              </w:rPr>
            </w:pPr>
          </w:p>
        </w:tc>
      </w:tr>
      <w:tr w:rsidR="006A3667" w14:paraId="71D49435" w14:textId="77777777">
        <w:tc>
          <w:tcPr>
            <w:tcW w:w="0" w:type="auto"/>
            <w:gridSpan w:val="3"/>
            <w:shd w:val="clear" w:color="auto" w:fill="CCEEFF"/>
            <w:tcMar>
              <w:top w:w="40" w:type="dxa"/>
              <w:left w:w="20" w:type="dxa"/>
              <w:bottom w:w="40" w:type="dxa"/>
              <w:right w:w="20" w:type="dxa"/>
            </w:tcMar>
            <w:vAlign w:val="bottom"/>
          </w:tcPr>
          <w:p w14:paraId="71D4942B" w14:textId="77777777" w:rsidR="006A3667" w:rsidRDefault="00045F32">
            <w:pPr>
              <w:textAlignment w:val="bottom"/>
            </w:pPr>
            <w:r>
              <w:rPr>
                <w:rFonts w:ascii="Arial" w:eastAsia="宋体" w:hAnsi="Arial" w:cs="Arial"/>
                <w:b/>
                <w:bCs/>
                <w:color w:val="000000"/>
                <w:sz w:val="14"/>
                <w:szCs w:val="14"/>
              </w:rPr>
              <w:t>Earnings per common share:</w:t>
            </w:r>
          </w:p>
        </w:tc>
        <w:tc>
          <w:tcPr>
            <w:tcW w:w="0" w:type="auto"/>
            <w:gridSpan w:val="3"/>
            <w:shd w:val="clear" w:color="auto" w:fill="CCEEFF"/>
            <w:tcMar>
              <w:top w:w="0" w:type="dxa"/>
              <w:left w:w="20" w:type="dxa"/>
              <w:bottom w:w="0" w:type="dxa"/>
              <w:right w:w="20" w:type="dxa"/>
            </w:tcMar>
            <w:vAlign w:val="bottom"/>
          </w:tcPr>
          <w:p w14:paraId="71D4942C"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42D"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42E"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42F"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430"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431" w14:textId="77777777" w:rsidR="006A3667" w:rsidRDefault="006A3667">
            <w:pPr>
              <w:rPr>
                <w:rFonts w:ascii="宋体"/>
              </w:rPr>
            </w:pPr>
          </w:p>
        </w:tc>
        <w:tc>
          <w:tcPr>
            <w:tcW w:w="0" w:type="auto"/>
            <w:gridSpan w:val="3"/>
            <w:shd w:val="clear" w:color="auto" w:fill="CCEEFF"/>
            <w:tcMar>
              <w:top w:w="0" w:type="dxa"/>
              <w:left w:w="20" w:type="dxa"/>
              <w:bottom w:w="0" w:type="dxa"/>
              <w:right w:w="20" w:type="dxa"/>
            </w:tcMar>
            <w:vAlign w:val="bottom"/>
          </w:tcPr>
          <w:p w14:paraId="71D49432" w14:textId="77777777" w:rsidR="006A3667" w:rsidRDefault="006A3667">
            <w:pPr>
              <w:rPr>
                <w:rFonts w:ascii="宋体"/>
              </w:rPr>
            </w:pPr>
          </w:p>
        </w:tc>
        <w:tc>
          <w:tcPr>
            <w:tcW w:w="0" w:type="auto"/>
            <w:gridSpan w:val="3"/>
            <w:shd w:val="clear" w:color="auto" w:fill="auto"/>
            <w:vAlign w:val="bottom"/>
          </w:tcPr>
          <w:p w14:paraId="71D49433" w14:textId="77777777" w:rsidR="006A3667" w:rsidRDefault="006A3667">
            <w:pPr>
              <w:rPr>
                <w:rFonts w:ascii="宋体"/>
                <w:vanish/>
              </w:rPr>
            </w:pPr>
          </w:p>
        </w:tc>
        <w:tc>
          <w:tcPr>
            <w:tcW w:w="0" w:type="auto"/>
            <w:gridSpan w:val="3"/>
            <w:shd w:val="clear" w:color="auto" w:fill="auto"/>
            <w:vAlign w:val="bottom"/>
          </w:tcPr>
          <w:p w14:paraId="71D49434" w14:textId="77777777" w:rsidR="006A3667" w:rsidRDefault="006A3667">
            <w:pPr>
              <w:rPr>
                <w:rFonts w:ascii="宋体"/>
                <w:vanish/>
              </w:rPr>
            </w:pPr>
          </w:p>
        </w:tc>
      </w:tr>
      <w:tr w:rsidR="006A3667" w14:paraId="71D49448" w14:textId="77777777">
        <w:tc>
          <w:tcPr>
            <w:tcW w:w="0" w:type="auto"/>
            <w:gridSpan w:val="3"/>
            <w:shd w:val="clear" w:color="auto" w:fill="auto"/>
            <w:tcMar>
              <w:top w:w="40" w:type="dxa"/>
              <w:left w:w="20" w:type="dxa"/>
              <w:bottom w:w="40" w:type="dxa"/>
              <w:right w:w="20" w:type="dxa"/>
            </w:tcMar>
            <w:vAlign w:val="bottom"/>
          </w:tcPr>
          <w:p w14:paraId="71D49436" w14:textId="77777777" w:rsidR="006A3667" w:rsidRDefault="00045F32">
            <w:pPr>
              <w:textAlignment w:val="bottom"/>
            </w:pPr>
            <w:r>
              <w:rPr>
                <w:rFonts w:ascii="Arial" w:eastAsia="宋体" w:hAnsi="Arial" w:cs="Arial"/>
                <w:color w:val="000000"/>
                <w:sz w:val="14"/>
                <w:szCs w:val="14"/>
              </w:rPr>
              <w:t>Basic</w:t>
            </w:r>
          </w:p>
        </w:tc>
        <w:tc>
          <w:tcPr>
            <w:tcW w:w="0" w:type="auto"/>
            <w:shd w:val="clear" w:color="auto" w:fill="FFFFFF"/>
            <w:tcMar>
              <w:top w:w="40" w:type="dxa"/>
              <w:left w:w="20" w:type="dxa"/>
              <w:bottom w:w="40" w:type="dxa"/>
              <w:right w:w="0" w:type="dxa"/>
            </w:tcMar>
            <w:vAlign w:val="bottom"/>
          </w:tcPr>
          <w:p w14:paraId="71D49437"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71D49438" w14:textId="77777777" w:rsidR="006A3667" w:rsidRDefault="00045F32">
            <w:pPr>
              <w:jc w:val="right"/>
              <w:textAlignment w:val="bottom"/>
            </w:pPr>
            <w:r>
              <w:rPr>
                <w:rFonts w:ascii="Arial" w:eastAsia="宋体" w:hAnsi="Arial" w:cs="Arial"/>
                <w:b/>
                <w:bCs/>
                <w:color w:val="000000"/>
                <w:sz w:val="14"/>
                <w:szCs w:val="14"/>
              </w:rPr>
              <w:t>1.82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4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43A"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43B"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943C" w14:textId="77777777" w:rsidR="006A3667" w:rsidRDefault="00045F32">
            <w:pPr>
              <w:jc w:val="right"/>
              <w:textAlignment w:val="bottom"/>
            </w:pPr>
            <w:r>
              <w:rPr>
                <w:rFonts w:ascii="Arial" w:eastAsia="宋体" w:hAnsi="Arial" w:cs="Arial"/>
                <w:color w:val="000000"/>
                <w:sz w:val="14"/>
                <w:szCs w:val="14"/>
              </w:rPr>
              <w:t>1.99 </w:t>
            </w:r>
          </w:p>
        </w:tc>
        <w:tc>
          <w:tcPr>
            <w:tcW w:w="0" w:type="auto"/>
            <w:shd w:val="clear" w:color="auto" w:fill="FFFFFF"/>
            <w:tcMar>
              <w:top w:w="40" w:type="dxa"/>
              <w:left w:w="0" w:type="dxa"/>
              <w:bottom w:w="40" w:type="dxa"/>
              <w:right w:w="20" w:type="dxa"/>
            </w:tcMar>
            <w:vAlign w:val="bottom"/>
          </w:tcPr>
          <w:p w14:paraId="71D4943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43E"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43F" w14:textId="77777777" w:rsidR="006A3667" w:rsidRDefault="00045F32">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71D49440" w14:textId="77777777" w:rsidR="006A3667" w:rsidRDefault="00045F32">
            <w:pPr>
              <w:jc w:val="right"/>
              <w:textAlignment w:val="bottom"/>
            </w:pPr>
            <w:r>
              <w:rPr>
                <w:rFonts w:ascii="Arial" w:eastAsia="宋体" w:hAnsi="Arial" w:cs="Arial"/>
                <w:b/>
                <w:bCs/>
                <w:color w:val="000000"/>
                <w:sz w:val="14"/>
                <w:szCs w:val="14"/>
              </w:rPr>
              <w:t>5.35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44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442"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443" w14:textId="77777777" w:rsidR="006A3667" w:rsidRDefault="00045F32">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71D49444" w14:textId="77777777" w:rsidR="006A3667" w:rsidRDefault="00045F32">
            <w:pPr>
              <w:jc w:val="right"/>
              <w:textAlignment w:val="bottom"/>
            </w:pPr>
            <w:r>
              <w:rPr>
                <w:rFonts w:ascii="Arial" w:eastAsia="宋体" w:hAnsi="Arial" w:cs="Arial"/>
                <w:color w:val="000000"/>
                <w:sz w:val="14"/>
                <w:szCs w:val="14"/>
              </w:rPr>
              <w:t>5.49 </w:t>
            </w:r>
          </w:p>
        </w:tc>
        <w:tc>
          <w:tcPr>
            <w:tcW w:w="0" w:type="auto"/>
            <w:shd w:val="clear" w:color="auto" w:fill="FFFFFF"/>
            <w:tcMar>
              <w:top w:w="40" w:type="dxa"/>
              <w:left w:w="0" w:type="dxa"/>
              <w:bottom w:w="40" w:type="dxa"/>
              <w:right w:w="20" w:type="dxa"/>
            </w:tcMar>
            <w:vAlign w:val="bottom"/>
          </w:tcPr>
          <w:p w14:paraId="71D49445" w14:textId="77777777" w:rsidR="006A3667" w:rsidRDefault="006A3667">
            <w:pPr>
              <w:jc w:val="right"/>
              <w:rPr>
                <w:rFonts w:ascii="宋体"/>
              </w:rPr>
            </w:pPr>
          </w:p>
        </w:tc>
        <w:tc>
          <w:tcPr>
            <w:tcW w:w="0" w:type="auto"/>
            <w:gridSpan w:val="3"/>
            <w:shd w:val="clear" w:color="auto" w:fill="auto"/>
            <w:vAlign w:val="bottom"/>
          </w:tcPr>
          <w:p w14:paraId="71D49446" w14:textId="77777777" w:rsidR="006A3667" w:rsidRDefault="006A3667">
            <w:pPr>
              <w:rPr>
                <w:rFonts w:ascii="宋体"/>
                <w:vanish/>
              </w:rPr>
            </w:pPr>
          </w:p>
        </w:tc>
        <w:tc>
          <w:tcPr>
            <w:tcW w:w="0" w:type="auto"/>
            <w:gridSpan w:val="3"/>
            <w:shd w:val="clear" w:color="auto" w:fill="auto"/>
            <w:vAlign w:val="bottom"/>
          </w:tcPr>
          <w:p w14:paraId="71D49447" w14:textId="77777777" w:rsidR="006A3667" w:rsidRDefault="006A3667">
            <w:pPr>
              <w:rPr>
                <w:rFonts w:ascii="宋体"/>
                <w:vanish/>
              </w:rPr>
            </w:pPr>
          </w:p>
        </w:tc>
      </w:tr>
      <w:tr w:rsidR="006A3667" w14:paraId="71D49457" w14:textId="77777777">
        <w:tc>
          <w:tcPr>
            <w:tcW w:w="0" w:type="auto"/>
            <w:gridSpan w:val="3"/>
            <w:shd w:val="clear" w:color="auto" w:fill="CCEEFF"/>
            <w:tcMar>
              <w:top w:w="40" w:type="dxa"/>
              <w:left w:w="20" w:type="dxa"/>
              <w:bottom w:w="40" w:type="dxa"/>
              <w:right w:w="20" w:type="dxa"/>
            </w:tcMar>
            <w:vAlign w:val="bottom"/>
          </w:tcPr>
          <w:p w14:paraId="71D49449" w14:textId="77777777" w:rsidR="006A3667" w:rsidRDefault="00045F32">
            <w:pPr>
              <w:textAlignment w:val="bottom"/>
            </w:pPr>
            <w:r>
              <w:rPr>
                <w:rFonts w:ascii="Arial" w:eastAsia="宋体" w:hAnsi="Arial" w:cs="Arial"/>
                <w:color w:val="000000"/>
                <w:sz w:val="14"/>
                <w:szCs w:val="14"/>
              </w:rPr>
              <w:t>Diluted</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71D4944A" w14:textId="77777777" w:rsidR="006A3667" w:rsidRDefault="00045F32">
            <w:pPr>
              <w:jc w:val="right"/>
              <w:textAlignment w:val="bottom"/>
            </w:pPr>
            <w:r>
              <w:rPr>
                <w:rFonts w:ascii="Arial" w:eastAsia="宋体" w:hAnsi="Arial" w:cs="Arial"/>
                <w:b/>
                <w:bCs/>
                <w:color w:val="000000"/>
                <w:sz w:val="14"/>
                <w:szCs w:val="14"/>
              </w:rPr>
              <w:t>1.80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44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44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44D" w14:textId="77777777" w:rsidR="006A3667" w:rsidRDefault="00045F32">
            <w:pPr>
              <w:jc w:val="right"/>
              <w:textAlignment w:val="bottom"/>
            </w:pPr>
            <w:r>
              <w:rPr>
                <w:rFonts w:ascii="Arial" w:eastAsia="宋体" w:hAnsi="Arial" w:cs="Arial"/>
                <w:color w:val="000000"/>
                <w:sz w:val="14"/>
                <w:szCs w:val="14"/>
              </w:rPr>
              <w:t>1.96 </w:t>
            </w:r>
          </w:p>
        </w:tc>
        <w:tc>
          <w:tcPr>
            <w:tcW w:w="0" w:type="auto"/>
            <w:shd w:val="clear" w:color="auto" w:fill="CCEEFF"/>
            <w:tcMar>
              <w:top w:w="40" w:type="dxa"/>
              <w:left w:w="0" w:type="dxa"/>
              <w:bottom w:w="40" w:type="dxa"/>
              <w:right w:w="20" w:type="dxa"/>
            </w:tcMar>
            <w:vAlign w:val="bottom"/>
          </w:tcPr>
          <w:p w14:paraId="71D4944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44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450" w14:textId="77777777" w:rsidR="006A3667" w:rsidRDefault="00045F32">
            <w:pPr>
              <w:jc w:val="right"/>
              <w:textAlignment w:val="bottom"/>
            </w:pPr>
            <w:r>
              <w:rPr>
                <w:rFonts w:ascii="Arial" w:eastAsia="宋体" w:hAnsi="Arial" w:cs="Arial"/>
                <w:b/>
                <w:bCs/>
                <w:color w:val="000000"/>
                <w:sz w:val="14"/>
                <w:szCs w:val="14"/>
              </w:rPr>
              <w:t>5.28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4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45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453" w14:textId="77777777" w:rsidR="006A3667" w:rsidRDefault="00045F32">
            <w:pPr>
              <w:jc w:val="right"/>
              <w:textAlignment w:val="bottom"/>
            </w:pPr>
            <w:r>
              <w:rPr>
                <w:rFonts w:ascii="Arial" w:eastAsia="宋体" w:hAnsi="Arial" w:cs="Arial"/>
                <w:color w:val="000000"/>
                <w:sz w:val="14"/>
                <w:szCs w:val="14"/>
              </w:rPr>
              <w:t>5.40 </w:t>
            </w:r>
          </w:p>
        </w:tc>
        <w:tc>
          <w:tcPr>
            <w:tcW w:w="0" w:type="auto"/>
            <w:shd w:val="clear" w:color="auto" w:fill="CCEEFF"/>
            <w:tcMar>
              <w:top w:w="40" w:type="dxa"/>
              <w:left w:w="0" w:type="dxa"/>
              <w:bottom w:w="40" w:type="dxa"/>
              <w:right w:w="20" w:type="dxa"/>
            </w:tcMar>
            <w:vAlign w:val="bottom"/>
          </w:tcPr>
          <w:p w14:paraId="71D49454" w14:textId="77777777" w:rsidR="006A3667" w:rsidRDefault="006A3667">
            <w:pPr>
              <w:jc w:val="right"/>
              <w:rPr>
                <w:rFonts w:ascii="宋体"/>
              </w:rPr>
            </w:pPr>
          </w:p>
        </w:tc>
        <w:tc>
          <w:tcPr>
            <w:tcW w:w="0" w:type="auto"/>
            <w:gridSpan w:val="3"/>
            <w:shd w:val="clear" w:color="auto" w:fill="auto"/>
            <w:vAlign w:val="bottom"/>
          </w:tcPr>
          <w:p w14:paraId="71D49455" w14:textId="77777777" w:rsidR="006A3667" w:rsidRDefault="006A3667">
            <w:pPr>
              <w:rPr>
                <w:rFonts w:ascii="宋体"/>
                <w:vanish/>
              </w:rPr>
            </w:pPr>
          </w:p>
        </w:tc>
        <w:tc>
          <w:tcPr>
            <w:tcW w:w="0" w:type="auto"/>
            <w:gridSpan w:val="3"/>
            <w:shd w:val="clear" w:color="auto" w:fill="auto"/>
            <w:vAlign w:val="bottom"/>
          </w:tcPr>
          <w:p w14:paraId="71D49456" w14:textId="77777777" w:rsidR="006A3667" w:rsidRDefault="006A3667">
            <w:pPr>
              <w:rPr>
                <w:rFonts w:ascii="宋体"/>
                <w:vanish/>
              </w:rPr>
            </w:pPr>
          </w:p>
        </w:tc>
      </w:tr>
      <w:tr w:rsidR="006A3667" w14:paraId="71D49462" w14:textId="77777777">
        <w:trPr>
          <w:hidden/>
        </w:trPr>
        <w:tc>
          <w:tcPr>
            <w:tcW w:w="0" w:type="auto"/>
            <w:gridSpan w:val="3"/>
            <w:shd w:val="clear" w:color="auto" w:fill="auto"/>
            <w:vAlign w:val="bottom"/>
          </w:tcPr>
          <w:p w14:paraId="71D49458" w14:textId="77777777" w:rsidR="006A3667" w:rsidRDefault="006A3667">
            <w:pPr>
              <w:rPr>
                <w:rFonts w:ascii="宋体"/>
                <w:vanish/>
              </w:rPr>
            </w:pPr>
          </w:p>
        </w:tc>
        <w:tc>
          <w:tcPr>
            <w:tcW w:w="0" w:type="auto"/>
            <w:gridSpan w:val="3"/>
            <w:shd w:val="clear" w:color="auto" w:fill="auto"/>
            <w:vAlign w:val="bottom"/>
          </w:tcPr>
          <w:p w14:paraId="71D49459" w14:textId="77777777" w:rsidR="006A3667" w:rsidRDefault="006A3667">
            <w:pPr>
              <w:rPr>
                <w:rFonts w:ascii="宋体"/>
                <w:vanish/>
              </w:rPr>
            </w:pPr>
          </w:p>
        </w:tc>
        <w:tc>
          <w:tcPr>
            <w:tcW w:w="0" w:type="auto"/>
            <w:gridSpan w:val="3"/>
            <w:shd w:val="clear" w:color="auto" w:fill="auto"/>
            <w:vAlign w:val="bottom"/>
          </w:tcPr>
          <w:p w14:paraId="71D4945A" w14:textId="77777777" w:rsidR="006A3667" w:rsidRDefault="006A3667">
            <w:pPr>
              <w:rPr>
                <w:rFonts w:ascii="宋体"/>
                <w:vanish/>
              </w:rPr>
            </w:pPr>
          </w:p>
        </w:tc>
        <w:tc>
          <w:tcPr>
            <w:tcW w:w="0" w:type="auto"/>
            <w:gridSpan w:val="3"/>
            <w:shd w:val="clear" w:color="auto" w:fill="auto"/>
            <w:vAlign w:val="bottom"/>
          </w:tcPr>
          <w:p w14:paraId="71D4945B" w14:textId="77777777" w:rsidR="006A3667" w:rsidRDefault="006A3667">
            <w:pPr>
              <w:rPr>
                <w:rFonts w:ascii="宋体"/>
                <w:vanish/>
              </w:rPr>
            </w:pPr>
          </w:p>
        </w:tc>
        <w:tc>
          <w:tcPr>
            <w:tcW w:w="0" w:type="auto"/>
            <w:gridSpan w:val="3"/>
            <w:shd w:val="clear" w:color="auto" w:fill="auto"/>
            <w:vAlign w:val="bottom"/>
          </w:tcPr>
          <w:p w14:paraId="71D4945C" w14:textId="77777777" w:rsidR="006A3667" w:rsidRDefault="006A3667">
            <w:pPr>
              <w:rPr>
                <w:rFonts w:ascii="宋体"/>
                <w:vanish/>
              </w:rPr>
            </w:pPr>
          </w:p>
        </w:tc>
        <w:tc>
          <w:tcPr>
            <w:tcW w:w="0" w:type="auto"/>
            <w:gridSpan w:val="3"/>
            <w:shd w:val="clear" w:color="auto" w:fill="auto"/>
            <w:vAlign w:val="bottom"/>
          </w:tcPr>
          <w:p w14:paraId="71D4945D" w14:textId="77777777" w:rsidR="006A3667" w:rsidRDefault="006A3667">
            <w:pPr>
              <w:rPr>
                <w:rFonts w:ascii="宋体"/>
                <w:vanish/>
              </w:rPr>
            </w:pPr>
          </w:p>
        </w:tc>
        <w:tc>
          <w:tcPr>
            <w:tcW w:w="0" w:type="auto"/>
            <w:gridSpan w:val="3"/>
            <w:shd w:val="clear" w:color="auto" w:fill="auto"/>
            <w:vAlign w:val="bottom"/>
          </w:tcPr>
          <w:p w14:paraId="71D4945E" w14:textId="77777777" w:rsidR="006A3667" w:rsidRDefault="006A3667">
            <w:pPr>
              <w:rPr>
                <w:rFonts w:ascii="宋体"/>
                <w:vanish/>
              </w:rPr>
            </w:pPr>
          </w:p>
        </w:tc>
        <w:tc>
          <w:tcPr>
            <w:tcW w:w="0" w:type="auto"/>
            <w:gridSpan w:val="3"/>
            <w:shd w:val="clear" w:color="auto" w:fill="auto"/>
            <w:vAlign w:val="bottom"/>
          </w:tcPr>
          <w:p w14:paraId="71D4945F" w14:textId="77777777" w:rsidR="006A3667" w:rsidRDefault="006A3667">
            <w:pPr>
              <w:rPr>
                <w:rFonts w:ascii="宋体"/>
                <w:vanish/>
              </w:rPr>
            </w:pPr>
          </w:p>
        </w:tc>
        <w:tc>
          <w:tcPr>
            <w:tcW w:w="0" w:type="auto"/>
            <w:gridSpan w:val="3"/>
            <w:shd w:val="clear" w:color="auto" w:fill="auto"/>
            <w:vAlign w:val="bottom"/>
          </w:tcPr>
          <w:p w14:paraId="71D49460" w14:textId="77777777" w:rsidR="006A3667" w:rsidRDefault="006A3667">
            <w:pPr>
              <w:rPr>
                <w:rFonts w:ascii="宋体"/>
                <w:vanish/>
              </w:rPr>
            </w:pPr>
          </w:p>
        </w:tc>
        <w:tc>
          <w:tcPr>
            <w:tcW w:w="0" w:type="auto"/>
            <w:gridSpan w:val="3"/>
            <w:shd w:val="clear" w:color="auto" w:fill="auto"/>
            <w:vAlign w:val="bottom"/>
          </w:tcPr>
          <w:p w14:paraId="71D49461" w14:textId="77777777" w:rsidR="006A3667" w:rsidRDefault="006A3667">
            <w:pPr>
              <w:rPr>
                <w:rFonts w:ascii="宋体"/>
                <w:vanish/>
              </w:rPr>
            </w:pPr>
          </w:p>
        </w:tc>
      </w:tr>
      <w:tr w:rsidR="006A3667" w14:paraId="71D4946D" w14:textId="77777777">
        <w:trPr>
          <w:hidden/>
        </w:trPr>
        <w:tc>
          <w:tcPr>
            <w:tcW w:w="0" w:type="auto"/>
            <w:gridSpan w:val="3"/>
            <w:shd w:val="clear" w:color="auto" w:fill="auto"/>
            <w:vAlign w:val="bottom"/>
          </w:tcPr>
          <w:p w14:paraId="71D49463" w14:textId="77777777" w:rsidR="006A3667" w:rsidRDefault="006A3667">
            <w:pPr>
              <w:rPr>
                <w:rFonts w:ascii="宋体"/>
                <w:vanish/>
              </w:rPr>
            </w:pPr>
          </w:p>
        </w:tc>
        <w:tc>
          <w:tcPr>
            <w:tcW w:w="0" w:type="auto"/>
            <w:gridSpan w:val="3"/>
            <w:shd w:val="clear" w:color="auto" w:fill="auto"/>
            <w:vAlign w:val="bottom"/>
          </w:tcPr>
          <w:p w14:paraId="71D49464" w14:textId="77777777" w:rsidR="006A3667" w:rsidRDefault="006A3667">
            <w:pPr>
              <w:rPr>
                <w:rFonts w:ascii="宋体"/>
                <w:vanish/>
              </w:rPr>
            </w:pPr>
          </w:p>
        </w:tc>
        <w:tc>
          <w:tcPr>
            <w:tcW w:w="0" w:type="auto"/>
            <w:gridSpan w:val="3"/>
            <w:shd w:val="clear" w:color="auto" w:fill="auto"/>
            <w:vAlign w:val="bottom"/>
          </w:tcPr>
          <w:p w14:paraId="71D49465" w14:textId="77777777" w:rsidR="006A3667" w:rsidRDefault="006A3667">
            <w:pPr>
              <w:rPr>
                <w:rFonts w:ascii="宋体"/>
                <w:vanish/>
              </w:rPr>
            </w:pPr>
          </w:p>
        </w:tc>
        <w:tc>
          <w:tcPr>
            <w:tcW w:w="0" w:type="auto"/>
            <w:gridSpan w:val="3"/>
            <w:shd w:val="clear" w:color="auto" w:fill="auto"/>
            <w:vAlign w:val="bottom"/>
          </w:tcPr>
          <w:p w14:paraId="71D49466" w14:textId="77777777" w:rsidR="006A3667" w:rsidRDefault="006A3667">
            <w:pPr>
              <w:rPr>
                <w:rFonts w:ascii="宋体"/>
                <w:vanish/>
              </w:rPr>
            </w:pPr>
          </w:p>
        </w:tc>
        <w:tc>
          <w:tcPr>
            <w:tcW w:w="0" w:type="auto"/>
            <w:gridSpan w:val="3"/>
            <w:shd w:val="clear" w:color="auto" w:fill="auto"/>
            <w:vAlign w:val="bottom"/>
          </w:tcPr>
          <w:p w14:paraId="71D49467" w14:textId="77777777" w:rsidR="006A3667" w:rsidRDefault="006A3667">
            <w:pPr>
              <w:rPr>
                <w:rFonts w:ascii="宋体"/>
                <w:vanish/>
              </w:rPr>
            </w:pPr>
          </w:p>
        </w:tc>
        <w:tc>
          <w:tcPr>
            <w:tcW w:w="0" w:type="auto"/>
            <w:gridSpan w:val="3"/>
            <w:shd w:val="clear" w:color="auto" w:fill="auto"/>
            <w:vAlign w:val="bottom"/>
          </w:tcPr>
          <w:p w14:paraId="71D49468" w14:textId="77777777" w:rsidR="006A3667" w:rsidRDefault="006A3667">
            <w:pPr>
              <w:rPr>
                <w:rFonts w:ascii="宋体"/>
                <w:vanish/>
              </w:rPr>
            </w:pPr>
          </w:p>
        </w:tc>
        <w:tc>
          <w:tcPr>
            <w:tcW w:w="0" w:type="auto"/>
            <w:gridSpan w:val="3"/>
            <w:shd w:val="clear" w:color="auto" w:fill="auto"/>
            <w:vAlign w:val="bottom"/>
          </w:tcPr>
          <w:p w14:paraId="71D49469" w14:textId="77777777" w:rsidR="006A3667" w:rsidRDefault="006A3667">
            <w:pPr>
              <w:rPr>
                <w:rFonts w:ascii="宋体"/>
                <w:vanish/>
              </w:rPr>
            </w:pPr>
          </w:p>
        </w:tc>
        <w:tc>
          <w:tcPr>
            <w:tcW w:w="0" w:type="auto"/>
            <w:gridSpan w:val="3"/>
            <w:shd w:val="clear" w:color="auto" w:fill="auto"/>
            <w:vAlign w:val="bottom"/>
          </w:tcPr>
          <w:p w14:paraId="71D4946A" w14:textId="77777777" w:rsidR="006A3667" w:rsidRDefault="006A3667">
            <w:pPr>
              <w:rPr>
                <w:rFonts w:ascii="宋体"/>
                <w:vanish/>
              </w:rPr>
            </w:pPr>
          </w:p>
        </w:tc>
        <w:tc>
          <w:tcPr>
            <w:tcW w:w="0" w:type="auto"/>
            <w:gridSpan w:val="3"/>
            <w:shd w:val="clear" w:color="auto" w:fill="auto"/>
            <w:vAlign w:val="bottom"/>
          </w:tcPr>
          <w:p w14:paraId="71D4946B" w14:textId="77777777" w:rsidR="006A3667" w:rsidRDefault="006A3667">
            <w:pPr>
              <w:rPr>
                <w:rFonts w:ascii="宋体"/>
                <w:vanish/>
              </w:rPr>
            </w:pPr>
          </w:p>
        </w:tc>
        <w:tc>
          <w:tcPr>
            <w:tcW w:w="0" w:type="auto"/>
            <w:gridSpan w:val="3"/>
            <w:shd w:val="clear" w:color="auto" w:fill="auto"/>
            <w:vAlign w:val="bottom"/>
          </w:tcPr>
          <w:p w14:paraId="71D4946C" w14:textId="77777777" w:rsidR="006A3667" w:rsidRDefault="006A3667">
            <w:pPr>
              <w:rPr>
                <w:rFonts w:ascii="宋体"/>
                <w:vanish/>
              </w:rPr>
            </w:pPr>
          </w:p>
        </w:tc>
      </w:tr>
      <w:tr w:rsidR="006A3667" w14:paraId="71D49478" w14:textId="77777777">
        <w:trPr>
          <w:hidden/>
        </w:trPr>
        <w:tc>
          <w:tcPr>
            <w:tcW w:w="0" w:type="auto"/>
            <w:gridSpan w:val="3"/>
            <w:shd w:val="clear" w:color="auto" w:fill="auto"/>
            <w:vAlign w:val="bottom"/>
          </w:tcPr>
          <w:p w14:paraId="71D4946E" w14:textId="77777777" w:rsidR="006A3667" w:rsidRDefault="006A3667">
            <w:pPr>
              <w:rPr>
                <w:rFonts w:ascii="宋体"/>
                <w:vanish/>
              </w:rPr>
            </w:pPr>
          </w:p>
        </w:tc>
        <w:tc>
          <w:tcPr>
            <w:tcW w:w="0" w:type="auto"/>
            <w:gridSpan w:val="3"/>
            <w:shd w:val="clear" w:color="auto" w:fill="auto"/>
            <w:vAlign w:val="bottom"/>
          </w:tcPr>
          <w:p w14:paraId="71D4946F" w14:textId="77777777" w:rsidR="006A3667" w:rsidRDefault="006A3667">
            <w:pPr>
              <w:rPr>
                <w:rFonts w:ascii="宋体"/>
                <w:vanish/>
              </w:rPr>
            </w:pPr>
          </w:p>
        </w:tc>
        <w:tc>
          <w:tcPr>
            <w:tcW w:w="0" w:type="auto"/>
            <w:gridSpan w:val="3"/>
            <w:shd w:val="clear" w:color="auto" w:fill="auto"/>
            <w:vAlign w:val="bottom"/>
          </w:tcPr>
          <w:p w14:paraId="71D49470" w14:textId="77777777" w:rsidR="006A3667" w:rsidRDefault="006A3667">
            <w:pPr>
              <w:rPr>
                <w:rFonts w:ascii="宋体"/>
                <w:vanish/>
              </w:rPr>
            </w:pPr>
          </w:p>
        </w:tc>
        <w:tc>
          <w:tcPr>
            <w:tcW w:w="0" w:type="auto"/>
            <w:gridSpan w:val="3"/>
            <w:shd w:val="clear" w:color="auto" w:fill="auto"/>
            <w:vAlign w:val="bottom"/>
          </w:tcPr>
          <w:p w14:paraId="71D49471" w14:textId="77777777" w:rsidR="006A3667" w:rsidRDefault="006A3667">
            <w:pPr>
              <w:rPr>
                <w:rFonts w:ascii="宋体"/>
                <w:vanish/>
              </w:rPr>
            </w:pPr>
          </w:p>
        </w:tc>
        <w:tc>
          <w:tcPr>
            <w:tcW w:w="0" w:type="auto"/>
            <w:gridSpan w:val="3"/>
            <w:shd w:val="clear" w:color="auto" w:fill="auto"/>
            <w:vAlign w:val="bottom"/>
          </w:tcPr>
          <w:p w14:paraId="71D49472" w14:textId="77777777" w:rsidR="006A3667" w:rsidRDefault="006A3667">
            <w:pPr>
              <w:rPr>
                <w:rFonts w:ascii="宋体"/>
                <w:vanish/>
              </w:rPr>
            </w:pPr>
          </w:p>
        </w:tc>
        <w:tc>
          <w:tcPr>
            <w:tcW w:w="0" w:type="auto"/>
            <w:gridSpan w:val="3"/>
            <w:shd w:val="clear" w:color="auto" w:fill="auto"/>
            <w:vAlign w:val="bottom"/>
          </w:tcPr>
          <w:p w14:paraId="71D49473" w14:textId="77777777" w:rsidR="006A3667" w:rsidRDefault="006A3667">
            <w:pPr>
              <w:rPr>
                <w:rFonts w:ascii="宋体"/>
                <w:vanish/>
              </w:rPr>
            </w:pPr>
          </w:p>
        </w:tc>
        <w:tc>
          <w:tcPr>
            <w:tcW w:w="0" w:type="auto"/>
            <w:gridSpan w:val="3"/>
            <w:shd w:val="clear" w:color="auto" w:fill="auto"/>
            <w:vAlign w:val="bottom"/>
          </w:tcPr>
          <w:p w14:paraId="71D49474" w14:textId="77777777" w:rsidR="006A3667" w:rsidRDefault="006A3667">
            <w:pPr>
              <w:rPr>
                <w:rFonts w:ascii="宋体"/>
                <w:vanish/>
              </w:rPr>
            </w:pPr>
          </w:p>
        </w:tc>
        <w:tc>
          <w:tcPr>
            <w:tcW w:w="0" w:type="auto"/>
            <w:gridSpan w:val="3"/>
            <w:shd w:val="clear" w:color="auto" w:fill="auto"/>
            <w:vAlign w:val="bottom"/>
          </w:tcPr>
          <w:p w14:paraId="71D49475" w14:textId="77777777" w:rsidR="006A3667" w:rsidRDefault="006A3667">
            <w:pPr>
              <w:rPr>
                <w:rFonts w:ascii="宋体"/>
                <w:vanish/>
              </w:rPr>
            </w:pPr>
          </w:p>
        </w:tc>
        <w:tc>
          <w:tcPr>
            <w:tcW w:w="0" w:type="auto"/>
            <w:gridSpan w:val="3"/>
            <w:shd w:val="clear" w:color="auto" w:fill="auto"/>
            <w:vAlign w:val="bottom"/>
          </w:tcPr>
          <w:p w14:paraId="71D49476" w14:textId="77777777" w:rsidR="006A3667" w:rsidRDefault="006A3667">
            <w:pPr>
              <w:rPr>
                <w:rFonts w:ascii="宋体"/>
                <w:vanish/>
              </w:rPr>
            </w:pPr>
          </w:p>
        </w:tc>
        <w:tc>
          <w:tcPr>
            <w:tcW w:w="0" w:type="auto"/>
            <w:gridSpan w:val="3"/>
            <w:shd w:val="clear" w:color="auto" w:fill="auto"/>
            <w:vAlign w:val="bottom"/>
          </w:tcPr>
          <w:p w14:paraId="71D49477" w14:textId="77777777" w:rsidR="006A3667" w:rsidRDefault="006A3667">
            <w:pPr>
              <w:rPr>
                <w:rFonts w:ascii="宋体"/>
                <w:vanish/>
              </w:rPr>
            </w:pPr>
          </w:p>
        </w:tc>
      </w:tr>
      <w:tr w:rsidR="006A3667" w14:paraId="71D49483" w14:textId="77777777">
        <w:trPr>
          <w:hidden/>
        </w:trPr>
        <w:tc>
          <w:tcPr>
            <w:tcW w:w="0" w:type="auto"/>
            <w:gridSpan w:val="3"/>
            <w:shd w:val="clear" w:color="auto" w:fill="auto"/>
            <w:vAlign w:val="bottom"/>
          </w:tcPr>
          <w:p w14:paraId="71D49479" w14:textId="77777777" w:rsidR="006A3667" w:rsidRDefault="006A3667">
            <w:pPr>
              <w:rPr>
                <w:rFonts w:ascii="宋体"/>
                <w:vanish/>
              </w:rPr>
            </w:pPr>
          </w:p>
        </w:tc>
        <w:tc>
          <w:tcPr>
            <w:tcW w:w="0" w:type="auto"/>
            <w:gridSpan w:val="3"/>
            <w:shd w:val="clear" w:color="auto" w:fill="auto"/>
            <w:vAlign w:val="bottom"/>
          </w:tcPr>
          <w:p w14:paraId="71D4947A" w14:textId="77777777" w:rsidR="006A3667" w:rsidRDefault="006A3667">
            <w:pPr>
              <w:rPr>
                <w:rFonts w:ascii="宋体"/>
                <w:vanish/>
              </w:rPr>
            </w:pPr>
          </w:p>
        </w:tc>
        <w:tc>
          <w:tcPr>
            <w:tcW w:w="0" w:type="auto"/>
            <w:gridSpan w:val="3"/>
            <w:shd w:val="clear" w:color="auto" w:fill="auto"/>
            <w:vAlign w:val="bottom"/>
          </w:tcPr>
          <w:p w14:paraId="71D4947B" w14:textId="77777777" w:rsidR="006A3667" w:rsidRDefault="006A3667">
            <w:pPr>
              <w:rPr>
                <w:rFonts w:ascii="宋体"/>
                <w:vanish/>
              </w:rPr>
            </w:pPr>
          </w:p>
        </w:tc>
        <w:tc>
          <w:tcPr>
            <w:tcW w:w="0" w:type="auto"/>
            <w:gridSpan w:val="3"/>
            <w:shd w:val="clear" w:color="auto" w:fill="auto"/>
            <w:vAlign w:val="bottom"/>
          </w:tcPr>
          <w:p w14:paraId="71D4947C" w14:textId="77777777" w:rsidR="006A3667" w:rsidRDefault="006A3667">
            <w:pPr>
              <w:rPr>
                <w:rFonts w:ascii="宋体"/>
                <w:vanish/>
              </w:rPr>
            </w:pPr>
          </w:p>
        </w:tc>
        <w:tc>
          <w:tcPr>
            <w:tcW w:w="0" w:type="auto"/>
            <w:gridSpan w:val="3"/>
            <w:shd w:val="clear" w:color="auto" w:fill="auto"/>
            <w:vAlign w:val="bottom"/>
          </w:tcPr>
          <w:p w14:paraId="71D4947D" w14:textId="77777777" w:rsidR="006A3667" w:rsidRDefault="006A3667">
            <w:pPr>
              <w:rPr>
                <w:rFonts w:ascii="宋体"/>
                <w:vanish/>
              </w:rPr>
            </w:pPr>
          </w:p>
        </w:tc>
        <w:tc>
          <w:tcPr>
            <w:tcW w:w="0" w:type="auto"/>
            <w:gridSpan w:val="3"/>
            <w:shd w:val="clear" w:color="auto" w:fill="auto"/>
            <w:vAlign w:val="bottom"/>
          </w:tcPr>
          <w:p w14:paraId="71D4947E" w14:textId="77777777" w:rsidR="006A3667" w:rsidRDefault="006A3667">
            <w:pPr>
              <w:rPr>
                <w:rFonts w:ascii="宋体"/>
                <w:vanish/>
              </w:rPr>
            </w:pPr>
          </w:p>
        </w:tc>
        <w:tc>
          <w:tcPr>
            <w:tcW w:w="0" w:type="auto"/>
            <w:gridSpan w:val="3"/>
            <w:shd w:val="clear" w:color="auto" w:fill="auto"/>
            <w:vAlign w:val="bottom"/>
          </w:tcPr>
          <w:p w14:paraId="71D4947F" w14:textId="77777777" w:rsidR="006A3667" w:rsidRDefault="006A3667">
            <w:pPr>
              <w:rPr>
                <w:rFonts w:ascii="宋体"/>
                <w:vanish/>
              </w:rPr>
            </w:pPr>
          </w:p>
        </w:tc>
        <w:tc>
          <w:tcPr>
            <w:tcW w:w="0" w:type="auto"/>
            <w:gridSpan w:val="3"/>
            <w:shd w:val="clear" w:color="auto" w:fill="auto"/>
            <w:vAlign w:val="bottom"/>
          </w:tcPr>
          <w:p w14:paraId="71D49480" w14:textId="77777777" w:rsidR="006A3667" w:rsidRDefault="006A3667">
            <w:pPr>
              <w:rPr>
                <w:rFonts w:ascii="宋体"/>
                <w:vanish/>
              </w:rPr>
            </w:pPr>
          </w:p>
        </w:tc>
        <w:tc>
          <w:tcPr>
            <w:tcW w:w="0" w:type="auto"/>
            <w:gridSpan w:val="3"/>
            <w:shd w:val="clear" w:color="auto" w:fill="auto"/>
            <w:vAlign w:val="bottom"/>
          </w:tcPr>
          <w:p w14:paraId="71D49481" w14:textId="77777777" w:rsidR="006A3667" w:rsidRDefault="006A3667">
            <w:pPr>
              <w:rPr>
                <w:rFonts w:ascii="宋体"/>
                <w:vanish/>
              </w:rPr>
            </w:pPr>
          </w:p>
        </w:tc>
        <w:tc>
          <w:tcPr>
            <w:tcW w:w="0" w:type="auto"/>
            <w:gridSpan w:val="3"/>
            <w:shd w:val="clear" w:color="auto" w:fill="auto"/>
            <w:vAlign w:val="bottom"/>
          </w:tcPr>
          <w:p w14:paraId="71D49482" w14:textId="77777777" w:rsidR="006A3667" w:rsidRDefault="006A3667">
            <w:pPr>
              <w:rPr>
                <w:rFonts w:ascii="宋体"/>
                <w:vanish/>
              </w:rPr>
            </w:pPr>
          </w:p>
        </w:tc>
      </w:tr>
      <w:tr w:rsidR="006A3667" w14:paraId="71D4948E" w14:textId="77777777">
        <w:trPr>
          <w:hidden/>
        </w:trPr>
        <w:tc>
          <w:tcPr>
            <w:tcW w:w="0" w:type="auto"/>
            <w:gridSpan w:val="3"/>
            <w:shd w:val="clear" w:color="auto" w:fill="auto"/>
            <w:vAlign w:val="bottom"/>
          </w:tcPr>
          <w:p w14:paraId="71D49484" w14:textId="77777777" w:rsidR="006A3667" w:rsidRDefault="006A3667">
            <w:pPr>
              <w:rPr>
                <w:rFonts w:ascii="宋体"/>
                <w:vanish/>
              </w:rPr>
            </w:pPr>
          </w:p>
        </w:tc>
        <w:tc>
          <w:tcPr>
            <w:tcW w:w="0" w:type="auto"/>
            <w:gridSpan w:val="3"/>
            <w:shd w:val="clear" w:color="auto" w:fill="auto"/>
            <w:vAlign w:val="bottom"/>
          </w:tcPr>
          <w:p w14:paraId="71D49485" w14:textId="77777777" w:rsidR="006A3667" w:rsidRDefault="006A3667">
            <w:pPr>
              <w:rPr>
                <w:rFonts w:ascii="宋体"/>
                <w:vanish/>
              </w:rPr>
            </w:pPr>
          </w:p>
        </w:tc>
        <w:tc>
          <w:tcPr>
            <w:tcW w:w="0" w:type="auto"/>
            <w:gridSpan w:val="3"/>
            <w:shd w:val="clear" w:color="auto" w:fill="auto"/>
            <w:vAlign w:val="bottom"/>
          </w:tcPr>
          <w:p w14:paraId="71D49486" w14:textId="77777777" w:rsidR="006A3667" w:rsidRDefault="006A3667">
            <w:pPr>
              <w:rPr>
                <w:rFonts w:ascii="宋体"/>
                <w:vanish/>
              </w:rPr>
            </w:pPr>
          </w:p>
        </w:tc>
        <w:tc>
          <w:tcPr>
            <w:tcW w:w="0" w:type="auto"/>
            <w:gridSpan w:val="3"/>
            <w:shd w:val="clear" w:color="auto" w:fill="auto"/>
            <w:vAlign w:val="bottom"/>
          </w:tcPr>
          <w:p w14:paraId="71D49487" w14:textId="77777777" w:rsidR="006A3667" w:rsidRDefault="006A3667">
            <w:pPr>
              <w:rPr>
                <w:rFonts w:ascii="宋体"/>
                <w:vanish/>
              </w:rPr>
            </w:pPr>
          </w:p>
        </w:tc>
        <w:tc>
          <w:tcPr>
            <w:tcW w:w="0" w:type="auto"/>
            <w:gridSpan w:val="3"/>
            <w:shd w:val="clear" w:color="auto" w:fill="auto"/>
            <w:vAlign w:val="bottom"/>
          </w:tcPr>
          <w:p w14:paraId="71D49488" w14:textId="77777777" w:rsidR="006A3667" w:rsidRDefault="006A3667">
            <w:pPr>
              <w:rPr>
                <w:rFonts w:ascii="宋体"/>
                <w:vanish/>
              </w:rPr>
            </w:pPr>
          </w:p>
        </w:tc>
        <w:tc>
          <w:tcPr>
            <w:tcW w:w="0" w:type="auto"/>
            <w:gridSpan w:val="3"/>
            <w:shd w:val="clear" w:color="auto" w:fill="auto"/>
            <w:vAlign w:val="bottom"/>
          </w:tcPr>
          <w:p w14:paraId="71D49489" w14:textId="77777777" w:rsidR="006A3667" w:rsidRDefault="006A3667">
            <w:pPr>
              <w:rPr>
                <w:rFonts w:ascii="宋体"/>
                <w:vanish/>
              </w:rPr>
            </w:pPr>
          </w:p>
        </w:tc>
        <w:tc>
          <w:tcPr>
            <w:tcW w:w="0" w:type="auto"/>
            <w:gridSpan w:val="3"/>
            <w:shd w:val="clear" w:color="auto" w:fill="auto"/>
            <w:vAlign w:val="bottom"/>
          </w:tcPr>
          <w:p w14:paraId="71D4948A" w14:textId="77777777" w:rsidR="006A3667" w:rsidRDefault="006A3667">
            <w:pPr>
              <w:rPr>
                <w:rFonts w:ascii="宋体"/>
                <w:vanish/>
              </w:rPr>
            </w:pPr>
          </w:p>
        </w:tc>
        <w:tc>
          <w:tcPr>
            <w:tcW w:w="0" w:type="auto"/>
            <w:gridSpan w:val="3"/>
            <w:shd w:val="clear" w:color="auto" w:fill="auto"/>
            <w:vAlign w:val="bottom"/>
          </w:tcPr>
          <w:p w14:paraId="71D4948B" w14:textId="77777777" w:rsidR="006A3667" w:rsidRDefault="006A3667">
            <w:pPr>
              <w:rPr>
                <w:rFonts w:ascii="宋体"/>
                <w:vanish/>
              </w:rPr>
            </w:pPr>
          </w:p>
        </w:tc>
        <w:tc>
          <w:tcPr>
            <w:tcW w:w="0" w:type="auto"/>
            <w:gridSpan w:val="3"/>
            <w:shd w:val="clear" w:color="auto" w:fill="auto"/>
            <w:vAlign w:val="bottom"/>
          </w:tcPr>
          <w:p w14:paraId="71D4948C" w14:textId="77777777" w:rsidR="006A3667" w:rsidRDefault="006A3667">
            <w:pPr>
              <w:rPr>
                <w:rFonts w:ascii="宋体"/>
                <w:vanish/>
              </w:rPr>
            </w:pPr>
          </w:p>
        </w:tc>
        <w:tc>
          <w:tcPr>
            <w:tcW w:w="0" w:type="auto"/>
            <w:gridSpan w:val="3"/>
            <w:shd w:val="clear" w:color="auto" w:fill="auto"/>
            <w:vAlign w:val="bottom"/>
          </w:tcPr>
          <w:p w14:paraId="71D4948D" w14:textId="77777777" w:rsidR="006A3667" w:rsidRDefault="006A3667">
            <w:pPr>
              <w:rPr>
                <w:rFonts w:ascii="宋体"/>
                <w:vanish/>
              </w:rPr>
            </w:pPr>
          </w:p>
        </w:tc>
      </w:tr>
      <w:tr w:rsidR="006A3667" w14:paraId="71D49499" w14:textId="77777777">
        <w:trPr>
          <w:hidden/>
        </w:trPr>
        <w:tc>
          <w:tcPr>
            <w:tcW w:w="0" w:type="auto"/>
            <w:gridSpan w:val="3"/>
            <w:shd w:val="clear" w:color="auto" w:fill="auto"/>
            <w:vAlign w:val="bottom"/>
          </w:tcPr>
          <w:p w14:paraId="71D4948F" w14:textId="77777777" w:rsidR="006A3667" w:rsidRDefault="006A3667">
            <w:pPr>
              <w:rPr>
                <w:rFonts w:ascii="宋体"/>
                <w:vanish/>
              </w:rPr>
            </w:pPr>
          </w:p>
        </w:tc>
        <w:tc>
          <w:tcPr>
            <w:tcW w:w="0" w:type="auto"/>
            <w:gridSpan w:val="3"/>
            <w:shd w:val="clear" w:color="auto" w:fill="auto"/>
            <w:vAlign w:val="bottom"/>
          </w:tcPr>
          <w:p w14:paraId="71D49490" w14:textId="77777777" w:rsidR="006A3667" w:rsidRDefault="006A3667">
            <w:pPr>
              <w:rPr>
                <w:rFonts w:ascii="宋体"/>
                <w:vanish/>
              </w:rPr>
            </w:pPr>
          </w:p>
        </w:tc>
        <w:tc>
          <w:tcPr>
            <w:tcW w:w="0" w:type="auto"/>
            <w:gridSpan w:val="3"/>
            <w:shd w:val="clear" w:color="auto" w:fill="auto"/>
            <w:vAlign w:val="bottom"/>
          </w:tcPr>
          <w:p w14:paraId="71D49491" w14:textId="77777777" w:rsidR="006A3667" w:rsidRDefault="006A3667">
            <w:pPr>
              <w:rPr>
                <w:rFonts w:ascii="宋体"/>
                <w:vanish/>
              </w:rPr>
            </w:pPr>
          </w:p>
        </w:tc>
        <w:tc>
          <w:tcPr>
            <w:tcW w:w="0" w:type="auto"/>
            <w:gridSpan w:val="3"/>
            <w:shd w:val="clear" w:color="auto" w:fill="auto"/>
            <w:vAlign w:val="bottom"/>
          </w:tcPr>
          <w:p w14:paraId="71D49492" w14:textId="77777777" w:rsidR="006A3667" w:rsidRDefault="006A3667">
            <w:pPr>
              <w:rPr>
                <w:rFonts w:ascii="宋体"/>
                <w:vanish/>
              </w:rPr>
            </w:pPr>
          </w:p>
        </w:tc>
        <w:tc>
          <w:tcPr>
            <w:tcW w:w="0" w:type="auto"/>
            <w:gridSpan w:val="3"/>
            <w:shd w:val="clear" w:color="auto" w:fill="auto"/>
            <w:vAlign w:val="bottom"/>
          </w:tcPr>
          <w:p w14:paraId="71D49493" w14:textId="77777777" w:rsidR="006A3667" w:rsidRDefault="006A3667">
            <w:pPr>
              <w:rPr>
                <w:rFonts w:ascii="宋体"/>
                <w:vanish/>
              </w:rPr>
            </w:pPr>
          </w:p>
        </w:tc>
        <w:tc>
          <w:tcPr>
            <w:tcW w:w="0" w:type="auto"/>
            <w:gridSpan w:val="3"/>
            <w:shd w:val="clear" w:color="auto" w:fill="auto"/>
            <w:vAlign w:val="bottom"/>
          </w:tcPr>
          <w:p w14:paraId="71D49494" w14:textId="77777777" w:rsidR="006A3667" w:rsidRDefault="006A3667">
            <w:pPr>
              <w:rPr>
                <w:rFonts w:ascii="宋体"/>
                <w:vanish/>
              </w:rPr>
            </w:pPr>
          </w:p>
        </w:tc>
        <w:tc>
          <w:tcPr>
            <w:tcW w:w="0" w:type="auto"/>
            <w:gridSpan w:val="3"/>
            <w:shd w:val="clear" w:color="auto" w:fill="auto"/>
            <w:vAlign w:val="bottom"/>
          </w:tcPr>
          <w:p w14:paraId="71D49495" w14:textId="77777777" w:rsidR="006A3667" w:rsidRDefault="006A3667">
            <w:pPr>
              <w:rPr>
                <w:rFonts w:ascii="宋体"/>
                <w:vanish/>
              </w:rPr>
            </w:pPr>
          </w:p>
        </w:tc>
        <w:tc>
          <w:tcPr>
            <w:tcW w:w="0" w:type="auto"/>
            <w:gridSpan w:val="3"/>
            <w:shd w:val="clear" w:color="auto" w:fill="auto"/>
            <w:vAlign w:val="bottom"/>
          </w:tcPr>
          <w:p w14:paraId="71D49496" w14:textId="77777777" w:rsidR="006A3667" w:rsidRDefault="006A3667">
            <w:pPr>
              <w:rPr>
                <w:rFonts w:ascii="宋体"/>
                <w:vanish/>
              </w:rPr>
            </w:pPr>
          </w:p>
        </w:tc>
        <w:tc>
          <w:tcPr>
            <w:tcW w:w="0" w:type="auto"/>
            <w:gridSpan w:val="3"/>
            <w:shd w:val="clear" w:color="auto" w:fill="auto"/>
            <w:vAlign w:val="bottom"/>
          </w:tcPr>
          <w:p w14:paraId="71D49497" w14:textId="77777777" w:rsidR="006A3667" w:rsidRDefault="006A3667">
            <w:pPr>
              <w:rPr>
                <w:rFonts w:ascii="宋体"/>
                <w:vanish/>
              </w:rPr>
            </w:pPr>
          </w:p>
        </w:tc>
        <w:tc>
          <w:tcPr>
            <w:tcW w:w="0" w:type="auto"/>
            <w:gridSpan w:val="3"/>
            <w:shd w:val="clear" w:color="auto" w:fill="auto"/>
            <w:vAlign w:val="bottom"/>
          </w:tcPr>
          <w:p w14:paraId="71D49498" w14:textId="77777777" w:rsidR="006A3667" w:rsidRDefault="006A3667">
            <w:pPr>
              <w:rPr>
                <w:rFonts w:ascii="宋体"/>
                <w:vanish/>
              </w:rPr>
            </w:pPr>
          </w:p>
        </w:tc>
      </w:tr>
      <w:tr w:rsidR="006A3667" w14:paraId="71D494A4" w14:textId="77777777">
        <w:trPr>
          <w:hidden/>
        </w:trPr>
        <w:tc>
          <w:tcPr>
            <w:tcW w:w="0" w:type="auto"/>
            <w:gridSpan w:val="3"/>
            <w:shd w:val="clear" w:color="auto" w:fill="auto"/>
            <w:vAlign w:val="bottom"/>
          </w:tcPr>
          <w:p w14:paraId="71D4949A" w14:textId="77777777" w:rsidR="006A3667" w:rsidRDefault="006A3667">
            <w:pPr>
              <w:rPr>
                <w:rFonts w:ascii="宋体"/>
                <w:vanish/>
              </w:rPr>
            </w:pPr>
          </w:p>
        </w:tc>
        <w:tc>
          <w:tcPr>
            <w:tcW w:w="0" w:type="auto"/>
            <w:gridSpan w:val="3"/>
            <w:shd w:val="clear" w:color="auto" w:fill="auto"/>
            <w:vAlign w:val="bottom"/>
          </w:tcPr>
          <w:p w14:paraId="71D4949B" w14:textId="77777777" w:rsidR="006A3667" w:rsidRDefault="006A3667">
            <w:pPr>
              <w:rPr>
                <w:rFonts w:ascii="宋体"/>
                <w:vanish/>
              </w:rPr>
            </w:pPr>
          </w:p>
        </w:tc>
        <w:tc>
          <w:tcPr>
            <w:tcW w:w="0" w:type="auto"/>
            <w:gridSpan w:val="3"/>
            <w:shd w:val="clear" w:color="auto" w:fill="auto"/>
            <w:vAlign w:val="bottom"/>
          </w:tcPr>
          <w:p w14:paraId="71D4949C" w14:textId="77777777" w:rsidR="006A3667" w:rsidRDefault="006A3667">
            <w:pPr>
              <w:rPr>
                <w:rFonts w:ascii="宋体"/>
                <w:vanish/>
              </w:rPr>
            </w:pPr>
          </w:p>
        </w:tc>
        <w:tc>
          <w:tcPr>
            <w:tcW w:w="0" w:type="auto"/>
            <w:gridSpan w:val="3"/>
            <w:shd w:val="clear" w:color="auto" w:fill="auto"/>
            <w:vAlign w:val="bottom"/>
          </w:tcPr>
          <w:p w14:paraId="71D4949D" w14:textId="77777777" w:rsidR="006A3667" w:rsidRDefault="006A3667">
            <w:pPr>
              <w:rPr>
                <w:rFonts w:ascii="宋体"/>
                <w:vanish/>
              </w:rPr>
            </w:pPr>
          </w:p>
        </w:tc>
        <w:tc>
          <w:tcPr>
            <w:tcW w:w="0" w:type="auto"/>
            <w:gridSpan w:val="3"/>
            <w:shd w:val="clear" w:color="auto" w:fill="auto"/>
            <w:vAlign w:val="bottom"/>
          </w:tcPr>
          <w:p w14:paraId="71D4949E" w14:textId="77777777" w:rsidR="006A3667" w:rsidRDefault="006A3667">
            <w:pPr>
              <w:rPr>
                <w:rFonts w:ascii="宋体"/>
                <w:vanish/>
              </w:rPr>
            </w:pPr>
          </w:p>
        </w:tc>
        <w:tc>
          <w:tcPr>
            <w:tcW w:w="0" w:type="auto"/>
            <w:gridSpan w:val="3"/>
            <w:shd w:val="clear" w:color="auto" w:fill="auto"/>
            <w:vAlign w:val="bottom"/>
          </w:tcPr>
          <w:p w14:paraId="71D4949F" w14:textId="77777777" w:rsidR="006A3667" w:rsidRDefault="006A3667">
            <w:pPr>
              <w:rPr>
                <w:rFonts w:ascii="宋体"/>
                <w:vanish/>
              </w:rPr>
            </w:pPr>
          </w:p>
        </w:tc>
        <w:tc>
          <w:tcPr>
            <w:tcW w:w="0" w:type="auto"/>
            <w:gridSpan w:val="3"/>
            <w:shd w:val="clear" w:color="auto" w:fill="auto"/>
            <w:vAlign w:val="bottom"/>
          </w:tcPr>
          <w:p w14:paraId="71D494A0" w14:textId="77777777" w:rsidR="006A3667" w:rsidRDefault="006A3667">
            <w:pPr>
              <w:rPr>
                <w:rFonts w:ascii="宋体"/>
                <w:vanish/>
              </w:rPr>
            </w:pPr>
          </w:p>
        </w:tc>
        <w:tc>
          <w:tcPr>
            <w:tcW w:w="0" w:type="auto"/>
            <w:gridSpan w:val="3"/>
            <w:shd w:val="clear" w:color="auto" w:fill="auto"/>
            <w:vAlign w:val="bottom"/>
          </w:tcPr>
          <w:p w14:paraId="71D494A1" w14:textId="77777777" w:rsidR="006A3667" w:rsidRDefault="006A3667">
            <w:pPr>
              <w:rPr>
                <w:rFonts w:ascii="宋体"/>
                <w:vanish/>
              </w:rPr>
            </w:pPr>
          </w:p>
        </w:tc>
        <w:tc>
          <w:tcPr>
            <w:tcW w:w="0" w:type="auto"/>
            <w:gridSpan w:val="3"/>
            <w:shd w:val="clear" w:color="auto" w:fill="auto"/>
            <w:vAlign w:val="bottom"/>
          </w:tcPr>
          <w:p w14:paraId="71D494A2" w14:textId="77777777" w:rsidR="006A3667" w:rsidRDefault="006A3667">
            <w:pPr>
              <w:rPr>
                <w:rFonts w:ascii="宋体"/>
                <w:vanish/>
              </w:rPr>
            </w:pPr>
          </w:p>
        </w:tc>
        <w:tc>
          <w:tcPr>
            <w:tcW w:w="0" w:type="auto"/>
            <w:gridSpan w:val="3"/>
            <w:shd w:val="clear" w:color="auto" w:fill="auto"/>
            <w:vAlign w:val="bottom"/>
          </w:tcPr>
          <w:p w14:paraId="71D494A3" w14:textId="77777777" w:rsidR="006A3667" w:rsidRDefault="006A3667">
            <w:pPr>
              <w:rPr>
                <w:rFonts w:ascii="宋体"/>
                <w:vanish/>
              </w:rPr>
            </w:pPr>
          </w:p>
        </w:tc>
      </w:tr>
      <w:tr w:rsidR="006A3667" w14:paraId="71D494AF" w14:textId="77777777">
        <w:trPr>
          <w:hidden/>
        </w:trPr>
        <w:tc>
          <w:tcPr>
            <w:tcW w:w="0" w:type="auto"/>
            <w:gridSpan w:val="3"/>
            <w:shd w:val="clear" w:color="auto" w:fill="auto"/>
            <w:vAlign w:val="bottom"/>
          </w:tcPr>
          <w:p w14:paraId="71D494A5" w14:textId="77777777" w:rsidR="006A3667" w:rsidRDefault="006A3667">
            <w:pPr>
              <w:rPr>
                <w:rFonts w:ascii="宋体"/>
                <w:vanish/>
              </w:rPr>
            </w:pPr>
          </w:p>
        </w:tc>
        <w:tc>
          <w:tcPr>
            <w:tcW w:w="0" w:type="auto"/>
            <w:gridSpan w:val="3"/>
            <w:shd w:val="clear" w:color="auto" w:fill="auto"/>
            <w:vAlign w:val="bottom"/>
          </w:tcPr>
          <w:p w14:paraId="71D494A6" w14:textId="77777777" w:rsidR="006A3667" w:rsidRDefault="006A3667">
            <w:pPr>
              <w:rPr>
                <w:rFonts w:ascii="宋体"/>
                <w:vanish/>
              </w:rPr>
            </w:pPr>
          </w:p>
        </w:tc>
        <w:tc>
          <w:tcPr>
            <w:tcW w:w="0" w:type="auto"/>
            <w:gridSpan w:val="3"/>
            <w:shd w:val="clear" w:color="auto" w:fill="auto"/>
            <w:vAlign w:val="bottom"/>
          </w:tcPr>
          <w:p w14:paraId="71D494A7" w14:textId="77777777" w:rsidR="006A3667" w:rsidRDefault="006A3667">
            <w:pPr>
              <w:rPr>
                <w:rFonts w:ascii="宋体"/>
                <w:vanish/>
              </w:rPr>
            </w:pPr>
          </w:p>
        </w:tc>
        <w:tc>
          <w:tcPr>
            <w:tcW w:w="0" w:type="auto"/>
            <w:gridSpan w:val="3"/>
            <w:shd w:val="clear" w:color="auto" w:fill="auto"/>
            <w:vAlign w:val="bottom"/>
          </w:tcPr>
          <w:p w14:paraId="71D494A8" w14:textId="77777777" w:rsidR="006A3667" w:rsidRDefault="006A3667">
            <w:pPr>
              <w:rPr>
                <w:rFonts w:ascii="宋体"/>
                <w:vanish/>
              </w:rPr>
            </w:pPr>
          </w:p>
        </w:tc>
        <w:tc>
          <w:tcPr>
            <w:tcW w:w="0" w:type="auto"/>
            <w:gridSpan w:val="3"/>
            <w:shd w:val="clear" w:color="auto" w:fill="auto"/>
            <w:vAlign w:val="bottom"/>
          </w:tcPr>
          <w:p w14:paraId="71D494A9" w14:textId="77777777" w:rsidR="006A3667" w:rsidRDefault="006A3667">
            <w:pPr>
              <w:rPr>
                <w:rFonts w:ascii="宋体"/>
                <w:vanish/>
              </w:rPr>
            </w:pPr>
          </w:p>
        </w:tc>
        <w:tc>
          <w:tcPr>
            <w:tcW w:w="0" w:type="auto"/>
            <w:gridSpan w:val="3"/>
            <w:shd w:val="clear" w:color="auto" w:fill="auto"/>
            <w:vAlign w:val="bottom"/>
          </w:tcPr>
          <w:p w14:paraId="71D494AA" w14:textId="77777777" w:rsidR="006A3667" w:rsidRDefault="006A3667">
            <w:pPr>
              <w:rPr>
                <w:rFonts w:ascii="宋体"/>
                <w:vanish/>
              </w:rPr>
            </w:pPr>
          </w:p>
        </w:tc>
        <w:tc>
          <w:tcPr>
            <w:tcW w:w="0" w:type="auto"/>
            <w:gridSpan w:val="3"/>
            <w:shd w:val="clear" w:color="auto" w:fill="auto"/>
            <w:vAlign w:val="bottom"/>
          </w:tcPr>
          <w:p w14:paraId="71D494AB" w14:textId="77777777" w:rsidR="006A3667" w:rsidRDefault="006A3667">
            <w:pPr>
              <w:rPr>
                <w:rFonts w:ascii="宋体"/>
                <w:vanish/>
              </w:rPr>
            </w:pPr>
          </w:p>
        </w:tc>
        <w:tc>
          <w:tcPr>
            <w:tcW w:w="0" w:type="auto"/>
            <w:gridSpan w:val="3"/>
            <w:shd w:val="clear" w:color="auto" w:fill="auto"/>
            <w:vAlign w:val="bottom"/>
          </w:tcPr>
          <w:p w14:paraId="71D494AC" w14:textId="77777777" w:rsidR="006A3667" w:rsidRDefault="006A3667">
            <w:pPr>
              <w:rPr>
                <w:rFonts w:ascii="宋体"/>
                <w:vanish/>
              </w:rPr>
            </w:pPr>
          </w:p>
        </w:tc>
        <w:tc>
          <w:tcPr>
            <w:tcW w:w="0" w:type="auto"/>
            <w:gridSpan w:val="3"/>
            <w:shd w:val="clear" w:color="auto" w:fill="auto"/>
            <w:vAlign w:val="bottom"/>
          </w:tcPr>
          <w:p w14:paraId="71D494AD" w14:textId="77777777" w:rsidR="006A3667" w:rsidRDefault="006A3667">
            <w:pPr>
              <w:rPr>
                <w:rFonts w:ascii="宋体"/>
                <w:vanish/>
              </w:rPr>
            </w:pPr>
          </w:p>
        </w:tc>
        <w:tc>
          <w:tcPr>
            <w:tcW w:w="0" w:type="auto"/>
            <w:gridSpan w:val="3"/>
            <w:shd w:val="clear" w:color="auto" w:fill="auto"/>
            <w:vAlign w:val="bottom"/>
          </w:tcPr>
          <w:p w14:paraId="71D494AE" w14:textId="77777777" w:rsidR="006A3667" w:rsidRDefault="006A3667">
            <w:pPr>
              <w:rPr>
                <w:rFonts w:ascii="宋体"/>
                <w:vanish/>
              </w:rPr>
            </w:pPr>
          </w:p>
        </w:tc>
      </w:tr>
      <w:tr w:rsidR="006A3667" w14:paraId="71D494BA" w14:textId="77777777">
        <w:trPr>
          <w:hidden/>
        </w:trPr>
        <w:tc>
          <w:tcPr>
            <w:tcW w:w="0" w:type="auto"/>
            <w:gridSpan w:val="3"/>
            <w:shd w:val="clear" w:color="auto" w:fill="auto"/>
            <w:vAlign w:val="bottom"/>
          </w:tcPr>
          <w:p w14:paraId="71D494B0" w14:textId="77777777" w:rsidR="006A3667" w:rsidRDefault="006A3667">
            <w:pPr>
              <w:rPr>
                <w:rFonts w:ascii="宋体"/>
                <w:vanish/>
              </w:rPr>
            </w:pPr>
          </w:p>
        </w:tc>
        <w:tc>
          <w:tcPr>
            <w:tcW w:w="0" w:type="auto"/>
            <w:gridSpan w:val="3"/>
            <w:shd w:val="clear" w:color="auto" w:fill="auto"/>
            <w:vAlign w:val="bottom"/>
          </w:tcPr>
          <w:p w14:paraId="71D494B1" w14:textId="77777777" w:rsidR="006A3667" w:rsidRDefault="006A3667">
            <w:pPr>
              <w:rPr>
                <w:rFonts w:ascii="宋体"/>
                <w:vanish/>
              </w:rPr>
            </w:pPr>
          </w:p>
        </w:tc>
        <w:tc>
          <w:tcPr>
            <w:tcW w:w="0" w:type="auto"/>
            <w:gridSpan w:val="3"/>
            <w:shd w:val="clear" w:color="auto" w:fill="auto"/>
            <w:vAlign w:val="bottom"/>
          </w:tcPr>
          <w:p w14:paraId="71D494B2" w14:textId="77777777" w:rsidR="006A3667" w:rsidRDefault="006A3667">
            <w:pPr>
              <w:rPr>
                <w:rFonts w:ascii="宋体"/>
                <w:vanish/>
              </w:rPr>
            </w:pPr>
          </w:p>
        </w:tc>
        <w:tc>
          <w:tcPr>
            <w:tcW w:w="0" w:type="auto"/>
            <w:gridSpan w:val="3"/>
            <w:shd w:val="clear" w:color="auto" w:fill="auto"/>
            <w:vAlign w:val="bottom"/>
          </w:tcPr>
          <w:p w14:paraId="71D494B3" w14:textId="77777777" w:rsidR="006A3667" w:rsidRDefault="006A3667">
            <w:pPr>
              <w:rPr>
                <w:rFonts w:ascii="宋体"/>
                <w:vanish/>
              </w:rPr>
            </w:pPr>
          </w:p>
        </w:tc>
        <w:tc>
          <w:tcPr>
            <w:tcW w:w="0" w:type="auto"/>
            <w:gridSpan w:val="3"/>
            <w:shd w:val="clear" w:color="auto" w:fill="auto"/>
            <w:vAlign w:val="bottom"/>
          </w:tcPr>
          <w:p w14:paraId="71D494B4" w14:textId="77777777" w:rsidR="006A3667" w:rsidRDefault="006A3667">
            <w:pPr>
              <w:rPr>
                <w:rFonts w:ascii="宋体"/>
                <w:vanish/>
              </w:rPr>
            </w:pPr>
          </w:p>
        </w:tc>
        <w:tc>
          <w:tcPr>
            <w:tcW w:w="0" w:type="auto"/>
            <w:gridSpan w:val="3"/>
            <w:shd w:val="clear" w:color="auto" w:fill="auto"/>
            <w:vAlign w:val="bottom"/>
          </w:tcPr>
          <w:p w14:paraId="71D494B5" w14:textId="77777777" w:rsidR="006A3667" w:rsidRDefault="006A3667">
            <w:pPr>
              <w:rPr>
                <w:rFonts w:ascii="宋体"/>
                <w:vanish/>
              </w:rPr>
            </w:pPr>
          </w:p>
        </w:tc>
        <w:tc>
          <w:tcPr>
            <w:tcW w:w="0" w:type="auto"/>
            <w:gridSpan w:val="3"/>
            <w:shd w:val="clear" w:color="auto" w:fill="auto"/>
            <w:vAlign w:val="bottom"/>
          </w:tcPr>
          <w:p w14:paraId="71D494B6" w14:textId="77777777" w:rsidR="006A3667" w:rsidRDefault="006A3667">
            <w:pPr>
              <w:rPr>
                <w:rFonts w:ascii="宋体"/>
                <w:vanish/>
              </w:rPr>
            </w:pPr>
          </w:p>
        </w:tc>
        <w:tc>
          <w:tcPr>
            <w:tcW w:w="0" w:type="auto"/>
            <w:gridSpan w:val="3"/>
            <w:shd w:val="clear" w:color="auto" w:fill="auto"/>
            <w:vAlign w:val="bottom"/>
          </w:tcPr>
          <w:p w14:paraId="71D494B7" w14:textId="77777777" w:rsidR="006A3667" w:rsidRDefault="006A3667">
            <w:pPr>
              <w:rPr>
                <w:rFonts w:ascii="宋体"/>
                <w:vanish/>
              </w:rPr>
            </w:pPr>
          </w:p>
        </w:tc>
        <w:tc>
          <w:tcPr>
            <w:tcW w:w="0" w:type="auto"/>
            <w:gridSpan w:val="3"/>
            <w:shd w:val="clear" w:color="auto" w:fill="auto"/>
            <w:vAlign w:val="bottom"/>
          </w:tcPr>
          <w:p w14:paraId="71D494B8" w14:textId="77777777" w:rsidR="006A3667" w:rsidRDefault="006A3667">
            <w:pPr>
              <w:rPr>
                <w:rFonts w:ascii="宋体"/>
                <w:vanish/>
              </w:rPr>
            </w:pPr>
          </w:p>
        </w:tc>
        <w:tc>
          <w:tcPr>
            <w:tcW w:w="0" w:type="auto"/>
            <w:gridSpan w:val="3"/>
            <w:shd w:val="clear" w:color="auto" w:fill="auto"/>
            <w:vAlign w:val="bottom"/>
          </w:tcPr>
          <w:p w14:paraId="71D494B9" w14:textId="77777777" w:rsidR="006A3667" w:rsidRDefault="006A3667">
            <w:pPr>
              <w:rPr>
                <w:rFonts w:ascii="宋体"/>
                <w:vanish/>
              </w:rPr>
            </w:pPr>
          </w:p>
        </w:tc>
      </w:tr>
      <w:tr w:rsidR="006A3667" w14:paraId="71D494C5" w14:textId="77777777">
        <w:trPr>
          <w:hidden/>
        </w:trPr>
        <w:tc>
          <w:tcPr>
            <w:tcW w:w="0" w:type="auto"/>
            <w:gridSpan w:val="3"/>
            <w:shd w:val="clear" w:color="auto" w:fill="auto"/>
            <w:vAlign w:val="bottom"/>
          </w:tcPr>
          <w:p w14:paraId="71D494BB" w14:textId="77777777" w:rsidR="006A3667" w:rsidRDefault="006A3667">
            <w:pPr>
              <w:rPr>
                <w:rFonts w:ascii="宋体"/>
                <w:vanish/>
              </w:rPr>
            </w:pPr>
          </w:p>
        </w:tc>
        <w:tc>
          <w:tcPr>
            <w:tcW w:w="0" w:type="auto"/>
            <w:gridSpan w:val="3"/>
            <w:shd w:val="clear" w:color="auto" w:fill="auto"/>
            <w:vAlign w:val="bottom"/>
          </w:tcPr>
          <w:p w14:paraId="71D494BC" w14:textId="77777777" w:rsidR="006A3667" w:rsidRDefault="006A3667">
            <w:pPr>
              <w:rPr>
                <w:rFonts w:ascii="宋体"/>
                <w:vanish/>
              </w:rPr>
            </w:pPr>
          </w:p>
        </w:tc>
        <w:tc>
          <w:tcPr>
            <w:tcW w:w="0" w:type="auto"/>
            <w:gridSpan w:val="3"/>
            <w:shd w:val="clear" w:color="auto" w:fill="auto"/>
            <w:vAlign w:val="bottom"/>
          </w:tcPr>
          <w:p w14:paraId="71D494BD" w14:textId="77777777" w:rsidR="006A3667" w:rsidRDefault="006A3667">
            <w:pPr>
              <w:rPr>
                <w:rFonts w:ascii="宋体"/>
                <w:vanish/>
              </w:rPr>
            </w:pPr>
          </w:p>
        </w:tc>
        <w:tc>
          <w:tcPr>
            <w:tcW w:w="0" w:type="auto"/>
            <w:gridSpan w:val="3"/>
            <w:shd w:val="clear" w:color="auto" w:fill="auto"/>
            <w:vAlign w:val="bottom"/>
          </w:tcPr>
          <w:p w14:paraId="71D494BE" w14:textId="77777777" w:rsidR="006A3667" w:rsidRDefault="006A3667">
            <w:pPr>
              <w:rPr>
                <w:rFonts w:ascii="宋体"/>
                <w:vanish/>
              </w:rPr>
            </w:pPr>
          </w:p>
        </w:tc>
        <w:tc>
          <w:tcPr>
            <w:tcW w:w="0" w:type="auto"/>
            <w:gridSpan w:val="3"/>
            <w:shd w:val="clear" w:color="auto" w:fill="auto"/>
            <w:vAlign w:val="bottom"/>
          </w:tcPr>
          <w:p w14:paraId="71D494BF" w14:textId="77777777" w:rsidR="006A3667" w:rsidRDefault="006A3667">
            <w:pPr>
              <w:rPr>
                <w:rFonts w:ascii="宋体"/>
                <w:vanish/>
              </w:rPr>
            </w:pPr>
          </w:p>
        </w:tc>
        <w:tc>
          <w:tcPr>
            <w:tcW w:w="0" w:type="auto"/>
            <w:gridSpan w:val="3"/>
            <w:shd w:val="clear" w:color="auto" w:fill="auto"/>
            <w:vAlign w:val="bottom"/>
          </w:tcPr>
          <w:p w14:paraId="71D494C0" w14:textId="77777777" w:rsidR="006A3667" w:rsidRDefault="006A3667">
            <w:pPr>
              <w:rPr>
                <w:rFonts w:ascii="宋体"/>
                <w:vanish/>
              </w:rPr>
            </w:pPr>
          </w:p>
        </w:tc>
        <w:tc>
          <w:tcPr>
            <w:tcW w:w="0" w:type="auto"/>
            <w:gridSpan w:val="3"/>
            <w:shd w:val="clear" w:color="auto" w:fill="auto"/>
            <w:vAlign w:val="bottom"/>
          </w:tcPr>
          <w:p w14:paraId="71D494C1" w14:textId="77777777" w:rsidR="006A3667" w:rsidRDefault="006A3667">
            <w:pPr>
              <w:rPr>
                <w:rFonts w:ascii="宋体"/>
                <w:vanish/>
              </w:rPr>
            </w:pPr>
          </w:p>
        </w:tc>
        <w:tc>
          <w:tcPr>
            <w:tcW w:w="0" w:type="auto"/>
            <w:gridSpan w:val="3"/>
            <w:shd w:val="clear" w:color="auto" w:fill="auto"/>
            <w:vAlign w:val="bottom"/>
          </w:tcPr>
          <w:p w14:paraId="71D494C2" w14:textId="77777777" w:rsidR="006A3667" w:rsidRDefault="006A3667">
            <w:pPr>
              <w:rPr>
                <w:rFonts w:ascii="宋体"/>
                <w:vanish/>
              </w:rPr>
            </w:pPr>
          </w:p>
        </w:tc>
        <w:tc>
          <w:tcPr>
            <w:tcW w:w="0" w:type="auto"/>
            <w:gridSpan w:val="3"/>
            <w:shd w:val="clear" w:color="auto" w:fill="auto"/>
            <w:vAlign w:val="bottom"/>
          </w:tcPr>
          <w:p w14:paraId="71D494C3" w14:textId="77777777" w:rsidR="006A3667" w:rsidRDefault="006A3667">
            <w:pPr>
              <w:rPr>
                <w:rFonts w:ascii="宋体"/>
                <w:vanish/>
              </w:rPr>
            </w:pPr>
          </w:p>
        </w:tc>
        <w:tc>
          <w:tcPr>
            <w:tcW w:w="0" w:type="auto"/>
            <w:gridSpan w:val="3"/>
            <w:shd w:val="clear" w:color="auto" w:fill="auto"/>
            <w:vAlign w:val="bottom"/>
          </w:tcPr>
          <w:p w14:paraId="71D494C4" w14:textId="77777777" w:rsidR="006A3667" w:rsidRDefault="006A3667">
            <w:pPr>
              <w:rPr>
                <w:rFonts w:ascii="宋体"/>
                <w:vanish/>
              </w:rPr>
            </w:pPr>
          </w:p>
        </w:tc>
      </w:tr>
      <w:tr w:rsidR="006A3667" w14:paraId="71D494D0" w14:textId="77777777">
        <w:trPr>
          <w:hidden/>
        </w:trPr>
        <w:tc>
          <w:tcPr>
            <w:tcW w:w="0" w:type="auto"/>
            <w:gridSpan w:val="3"/>
            <w:shd w:val="clear" w:color="auto" w:fill="auto"/>
            <w:vAlign w:val="bottom"/>
          </w:tcPr>
          <w:p w14:paraId="71D494C6" w14:textId="77777777" w:rsidR="006A3667" w:rsidRDefault="006A3667">
            <w:pPr>
              <w:rPr>
                <w:rFonts w:ascii="宋体"/>
                <w:vanish/>
              </w:rPr>
            </w:pPr>
          </w:p>
        </w:tc>
        <w:tc>
          <w:tcPr>
            <w:tcW w:w="0" w:type="auto"/>
            <w:gridSpan w:val="3"/>
            <w:shd w:val="clear" w:color="auto" w:fill="auto"/>
            <w:vAlign w:val="bottom"/>
          </w:tcPr>
          <w:p w14:paraId="71D494C7" w14:textId="77777777" w:rsidR="006A3667" w:rsidRDefault="006A3667">
            <w:pPr>
              <w:rPr>
                <w:rFonts w:ascii="宋体"/>
                <w:vanish/>
              </w:rPr>
            </w:pPr>
          </w:p>
        </w:tc>
        <w:tc>
          <w:tcPr>
            <w:tcW w:w="0" w:type="auto"/>
            <w:gridSpan w:val="3"/>
            <w:shd w:val="clear" w:color="auto" w:fill="auto"/>
            <w:vAlign w:val="bottom"/>
          </w:tcPr>
          <w:p w14:paraId="71D494C8" w14:textId="77777777" w:rsidR="006A3667" w:rsidRDefault="006A3667">
            <w:pPr>
              <w:rPr>
                <w:rFonts w:ascii="宋体"/>
                <w:vanish/>
              </w:rPr>
            </w:pPr>
          </w:p>
        </w:tc>
        <w:tc>
          <w:tcPr>
            <w:tcW w:w="0" w:type="auto"/>
            <w:gridSpan w:val="3"/>
            <w:shd w:val="clear" w:color="auto" w:fill="auto"/>
            <w:vAlign w:val="bottom"/>
          </w:tcPr>
          <w:p w14:paraId="71D494C9" w14:textId="77777777" w:rsidR="006A3667" w:rsidRDefault="006A3667">
            <w:pPr>
              <w:rPr>
                <w:rFonts w:ascii="宋体"/>
                <w:vanish/>
              </w:rPr>
            </w:pPr>
          </w:p>
        </w:tc>
        <w:tc>
          <w:tcPr>
            <w:tcW w:w="0" w:type="auto"/>
            <w:gridSpan w:val="3"/>
            <w:shd w:val="clear" w:color="auto" w:fill="auto"/>
            <w:vAlign w:val="bottom"/>
          </w:tcPr>
          <w:p w14:paraId="71D494CA" w14:textId="77777777" w:rsidR="006A3667" w:rsidRDefault="006A3667">
            <w:pPr>
              <w:rPr>
                <w:rFonts w:ascii="宋体"/>
                <w:vanish/>
              </w:rPr>
            </w:pPr>
          </w:p>
        </w:tc>
        <w:tc>
          <w:tcPr>
            <w:tcW w:w="0" w:type="auto"/>
            <w:gridSpan w:val="3"/>
            <w:shd w:val="clear" w:color="auto" w:fill="auto"/>
            <w:vAlign w:val="bottom"/>
          </w:tcPr>
          <w:p w14:paraId="71D494CB" w14:textId="77777777" w:rsidR="006A3667" w:rsidRDefault="006A3667">
            <w:pPr>
              <w:rPr>
                <w:rFonts w:ascii="宋体"/>
                <w:vanish/>
              </w:rPr>
            </w:pPr>
          </w:p>
        </w:tc>
        <w:tc>
          <w:tcPr>
            <w:tcW w:w="0" w:type="auto"/>
            <w:gridSpan w:val="3"/>
            <w:shd w:val="clear" w:color="auto" w:fill="auto"/>
            <w:vAlign w:val="bottom"/>
          </w:tcPr>
          <w:p w14:paraId="71D494CC" w14:textId="77777777" w:rsidR="006A3667" w:rsidRDefault="006A3667">
            <w:pPr>
              <w:rPr>
                <w:rFonts w:ascii="宋体"/>
                <w:vanish/>
              </w:rPr>
            </w:pPr>
          </w:p>
        </w:tc>
        <w:tc>
          <w:tcPr>
            <w:tcW w:w="0" w:type="auto"/>
            <w:gridSpan w:val="3"/>
            <w:shd w:val="clear" w:color="auto" w:fill="auto"/>
            <w:vAlign w:val="bottom"/>
          </w:tcPr>
          <w:p w14:paraId="71D494CD" w14:textId="77777777" w:rsidR="006A3667" w:rsidRDefault="006A3667">
            <w:pPr>
              <w:rPr>
                <w:rFonts w:ascii="宋体"/>
                <w:vanish/>
              </w:rPr>
            </w:pPr>
          </w:p>
        </w:tc>
        <w:tc>
          <w:tcPr>
            <w:tcW w:w="0" w:type="auto"/>
            <w:gridSpan w:val="3"/>
            <w:shd w:val="clear" w:color="auto" w:fill="auto"/>
            <w:vAlign w:val="bottom"/>
          </w:tcPr>
          <w:p w14:paraId="71D494CE" w14:textId="77777777" w:rsidR="006A3667" w:rsidRDefault="006A3667">
            <w:pPr>
              <w:rPr>
                <w:rFonts w:ascii="宋体"/>
                <w:vanish/>
              </w:rPr>
            </w:pPr>
          </w:p>
        </w:tc>
        <w:tc>
          <w:tcPr>
            <w:tcW w:w="0" w:type="auto"/>
            <w:gridSpan w:val="3"/>
            <w:shd w:val="clear" w:color="auto" w:fill="auto"/>
            <w:vAlign w:val="bottom"/>
          </w:tcPr>
          <w:p w14:paraId="71D494CF" w14:textId="77777777" w:rsidR="006A3667" w:rsidRDefault="006A3667">
            <w:pPr>
              <w:rPr>
                <w:rFonts w:ascii="宋体"/>
                <w:vanish/>
              </w:rPr>
            </w:pPr>
          </w:p>
        </w:tc>
      </w:tr>
      <w:tr w:rsidR="006A3667" w14:paraId="71D494DB" w14:textId="77777777">
        <w:trPr>
          <w:hidden/>
        </w:trPr>
        <w:tc>
          <w:tcPr>
            <w:tcW w:w="0" w:type="auto"/>
            <w:gridSpan w:val="3"/>
            <w:shd w:val="clear" w:color="auto" w:fill="auto"/>
            <w:vAlign w:val="bottom"/>
          </w:tcPr>
          <w:p w14:paraId="71D494D1" w14:textId="77777777" w:rsidR="006A3667" w:rsidRDefault="006A3667">
            <w:pPr>
              <w:rPr>
                <w:rFonts w:ascii="宋体"/>
                <w:vanish/>
              </w:rPr>
            </w:pPr>
          </w:p>
        </w:tc>
        <w:tc>
          <w:tcPr>
            <w:tcW w:w="0" w:type="auto"/>
            <w:gridSpan w:val="3"/>
            <w:shd w:val="clear" w:color="auto" w:fill="auto"/>
            <w:vAlign w:val="bottom"/>
          </w:tcPr>
          <w:p w14:paraId="71D494D2" w14:textId="77777777" w:rsidR="006A3667" w:rsidRDefault="006A3667">
            <w:pPr>
              <w:rPr>
                <w:rFonts w:ascii="宋体"/>
                <w:vanish/>
              </w:rPr>
            </w:pPr>
          </w:p>
        </w:tc>
        <w:tc>
          <w:tcPr>
            <w:tcW w:w="0" w:type="auto"/>
            <w:gridSpan w:val="3"/>
            <w:shd w:val="clear" w:color="auto" w:fill="auto"/>
            <w:vAlign w:val="bottom"/>
          </w:tcPr>
          <w:p w14:paraId="71D494D3" w14:textId="77777777" w:rsidR="006A3667" w:rsidRDefault="006A3667">
            <w:pPr>
              <w:rPr>
                <w:rFonts w:ascii="宋体"/>
                <w:vanish/>
              </w:rPr>
            </w:pPr>
          </w:p>
        </w:tc>
        <w:tc>
          <w:tcPr>
            <w:tcW w:w="0" w:type="auto"/>
            <w:gridSpan w:val="3"/>
            <w:shd w:val="clear" w:color="auto" w:fill="auto"/>
            <w:vAlign w:val="bottom"/>
          </w:tcPr>
          <w:p w14:paraId="71D494D4" w14:textId="77777777" w:rsidR="006A3667" w:rsidRDefault="006A3667">
            <w:pPr>
              <w:rPr>
                <w:rFonts w:ascii="宋体"/>
                <w:vanish/>
              </w:rPr>
            </w:pPr>
          </w:p>
        </w:tc>
        <w:tc>
          <w:tcPr>
            <w:tcW w:w="0" w:type="auto"/>
            <w:gridSpan w:val="3"/>
            <w:shd w:val="clear" w:color="auto" w:fill="auto"/>
            <w:vAlign w:val="bottom"/>
          </w:tcPr>
          <w:p w14:paraId="71D494D5" w14:textId="77777777" w:rsidR="006A3667" w:rsidRDefault="006A3667">
            <w:pPr>
              <w:rPr>
                <w:rFonts w:ascii="宋体"/>
                <w:vanish/>
              </w:rPr>
            </w:pPr>
          </w:p>
        </w:tc>
        <w:tc>
          <w:tcPr>
            <w:tcW w:w="0" w:type="auto"/>
            <w:gridSpan w:val="3"/>
            <w:shd w:val="clear" w:color="auto" w:fill="auto"/>
            <w:vAlign w:val="bottom"/>
          </w:tcPr>
          <w:p w14:paraId="71D494D6" w14:textId="77777777" w:rsidR="006A3667" w:rsidRDefault="006A3667">
            <w:pPr>
              <w:rPr>
                <w:rFonts w:ascii="宋体"/>
                <w:vanish/>
              </w:rPr>
            </w:pPr>
          </w:p>
        </w:tc>
        <w:tc>
          <w:tcPr>
            <w:tcW w:w="0" w:type="auto"/>
            <w:gridSpan w:val="3"/>
            <w:shd w:val="clear" w:color="auto" w:fill="auto"/>
            <w:vAlign w:val="bottom"/>
          </w:tcPr>
          <w:p w14:paraId="71D494D7" w14:textId="77777777" w:rsidR="006A3667" w:rsidRDefault="006A3667">
            <w:pPr>
              <w:rPr>
                <w:rFonts w:ascii="宋体"/>
                <w:vanish/>
              </w:rPr>
            </w:pPr>
          </w:p>
        </w:tc>
        <w:tc>
          <w:tcPr>
            <w:tcW w:w="0" w:type="auto"/>
            <w:gridSpan w:val="3"/>
            <w:shd w:val="clear" w:color="auto" w:fill="auto"/>
            <w:vAlign w:val="bottom"/>
          </w:tcPr>
          <w:p w14:paraId="71D494D8" w14:textId="77777777" w:rsidR="006A3667" w:rsidRDefault="006A3667">
            <w:pPr>
              <w:rPr>
                <w:rFonts w:ascii="宋体"/>
                <w:vanish/>
              </w:rPr>
            </w:pPr>
          </w:p>
        </w:tc>
        <w:tc>
          <w:tcPr>
            <w:tcW w:w="0" w:type="auto"/>
            <w:gridSpan w:val="3"/>
            <w:shd w:val="clear" w:color="auto" w:fill="auto"/>
            <w:vAlign w:val="bottom"/>
          </w:tcPr>
          <w:p w14:paraId="71D494D9" w14:textId="77777777" w:rsidR="006A3667" w:rsidRDefault="006A3667">
            <w:pPr>
              <w:rPr>
                <w:rFonts w:ascii="宋体"/>
                <w:vanish/>
              </w:rPr>
            </w:pPr>
          </w:p>
        </w:tc>
        <w:tc>
          <w:tcPr>
            <w:tcW w:w="0" w:type="auto"/>
            <w:gridSpan w:val="3"/>
            <w:shd w:val="clear" w:color="auto" w:fill="auto"/>
            <w:vAlign w:val="bottom"/>
          </w:tcPr>
          <w:p w14:paraId="71D494DA" w14:textId="77777777" w:rsidR="006A3667" w:rsidRDefault="006A3667">
            <w:pPr>
              <w:rPr>
                <w:rFonts w:ascii="宋体"/>
                <w:vanish/>
              </w:rPr>
            </w:pPr>
          </w:p>
        </w:tc>
      </w:tr>
      <w:tr w:rsidR="006A3667" w14:paraId="71D494E6" w14:textId="77777777">
        <w:trPr>
          <w:hidden/>
        </w:trPr>
        <w:tc>
          <w:tcPr>
            <w:tcW w:w="0" w:type="auto"/>
            <w:gridSpan w:val="3"/>
            <w:shd w:val="clear" w:color="auto" w:fill="auto"/>
            <w:vAlign w:val="bottom"/>
          </w:tcPr>
          <w:p w14:paraId="71D494DC" w14:textId="77777777" w:rsidR="006A3667" w:rsidRDefault="006A3667">
            <w:pPr>
              <w:rPr>
                <w:rFonts w:ascii="宋体"/>
                <w:vanish/>
              </w:rPr>
            </w:pPr>
          </w:p>
        </w:tc>
        <w:tc>
          <w:tcPr>
            <w:tcW w:w="0" w:type="auto"/>
            <w:gridSpan w:val="3"/>
            <w:shd w:val="clear" w:color="auto" w:fill="auto"/>
            <w:vAlign w:val="bottom"/>
          </w:tcPr>
          <w:p w14:paraId="71D494DD" w14:textId="77777777" w:rsidR="006A3667" w:rsidRDefault="006A3667">
            <w:pPr>
              <w:rPr>
                <w:rFonts w:ascii="宋体"/>
                <w:vanish/>
              </w:rPr>
            </w:pPr>
          </w:p>
        </w:tc>
        <w:tc>
          <w:tcPr>
            <w:tcW w:w="0" w:type="auto"/>
            <w:gridSpan w:val="3"/>
            <w:shd w:val="clear" w:color="auto" w:fill="auto"/>
            <w:vAlign w:val="bottom"/>
          </w:tcPr>
          <w:p w14:paraId="71D494DE" w14:textId="77777777" w:rsidR="006A3667" w:rsidRDefault="006A3667">
            <w:pPr>
              <w:rPr>
                <w:rFonts w:ascii="宋体"/>
                <w:vanish/>
              </w:rPr>
            </w:pPr>
          </w:p>
        </w:tc>
        <w:tc>
          <w:tcPr>
            <w:tcW w:w="0" w:type="auto"/>
            <w:gridSpan w:val="3"/>
            <w:shd w:val="clear" w:color="auto" w:fill="auto"/>
            <w:vAlign w:val="bottom"/>
          </w:tcPr>
          <w:p w14:paraId="71D494DF" w14:textId="77777777" w:rsidR="006A3667" w:rsidRDefault="006A3667">
            <w:pPr>
              <w:rPr>
                <w:rFonts w:ascii="宋体"/>
                <w:vanish/>
              </w:rPr>
            </w:pPr>
          </w:p>
        </w:tc>
        <w:tc>
          <w:tcPr>
            <w:tcW w:w="0" w:type="auto"/>
            <w:gridSpan w:val="3"/>
            <w:shd w:val="clear" w:color="auto" w:fill="auto"/>
            <w:vAlign w:val="bottom"/>
          </w:tcPr>
          <w:p w14:paraId="71D494E0" w14:textId="77777777" w:rsidR="006A3667" w:rsidRDefault="006A3667">
            <w:pPr>
              <w:rPr>
                <w:rFonts w:ascii="宋体"/>
                <w:vanish/>
              </w:rPr>
            </w:pPr>
          </w:p>
        </w:tc>
        <w:tc>
          <w:tcPr>
            <w:tcW w:w="0" w:type="auto"/>
            <w:gridSpan w:val="3"/>
            <w:shd w:val="clear" w:color="auto" w:fill="auto"/>
            <w:vAlign w:val="bottom"/>
          </w:tcPr>
          <w:p w14:paraId="71D494E1" w14:textId="77777777" w:rsidR="006A3667" w:rsidRDefault="006A3667">
            <w:pPr>
              <w:rPr>
                <w:rFonts w:ascii="宋体"/>
                <w:vanish/>
              </w:rPr>
            </w:pPr>
          </w:p>
        </w:tc>
        <w:tc>
          <w:tcPr>
            <w:tcW w:w="0" w:type="auto"/>
            <w:gridSpan w:val="3"/>
            <w:shd w:val="clear" w:color="auto" w:fill="auto"/>
            <w:vAlign w:val="bottom"/>
          </w:tcPr>
          <w:p w14:paraId="71D494E2" w14:textId="77777777" w:rsidR="006A3667" w:rsidRDefault="006A3667">
            <w:pPr>
              <w:rPr>
                <w:rFonts w:ascii="宋体"/>
                <w:vanish/>
              </w:rPr>
            </w:pPr>
          </w:p>
        </w:tc>
        <w:tc>
          <w:tcPr>
            <w:tcW w:w="0" w:type="auto"/>
            <w:gridSpan w:val="3"/>
            <w:shd w:val="clear" w:color="auto" w:fill="auto"/>
            <w:vAlign w:val="bottom"/>
          </w:tcPr>
          <w:p w14:paraId="71D494E3" w14:textId="77777777" w:rsidR="006A3667" w:rsidRDefault="006A3667">
            <w:pPr>
              <w:rPr>
                <w:rFonts w:ascii="宋体"/>
                <w:vanish/>
              </w:rPr>
            </w:pPr>
          </w:p>
        </w:tc>
        <w:tc>
          <w:tcPr>
            <w:tcW w:w="0" w:type="auto"/>
            <w:gridSpan w:val="3"/>
            <w:shd w:val="clear" w:color="auto" w:fill="auto"/>
            <w:vAlign w:val="bottom"/>
          </w:tcPr>
          <w:p w14:paraId="71D494E4" w14:textId="77777777" w:rsidR="006A3667" w:rsidRDefault="006A3667">
            <w:pPr>
              <w:rPr>
                <w:rFonts w:ascii="宋体"/>
                <w:vanish/>
              </w:rPr>
            </w:pPr>
          </w:p>
        </w:tc>
        <w:tc>
          <w:tcPr>
            <w:tcW w:w="0" w:type="auto"/>
            <w:gridSpan w:val="3"/>
            <w:shd w:val="clear" w:color="auto" w:fill="auto"/>
            <w:vAlign w:val="bottom"/>
          </w:tcPr>
          <w:p w14:paraId="71D494E5" w14:textId="77777777" w:rsidR="006A3667" w:rsidRDefault="006A3667">
            <w:pPr>
              <w:rPr>
                <w:rFonts w:ascii="宋体"/>
                <w:vanish/>
              </w:rPr>
            </w:pPr>
          </w:p>
        </w:tc>
      </w:tr>
      <w:tr w:rsidR="006A3667" w14:paraId="71D494F1" w14:textId="77777777">
        <w:trPr>
          <w:hidden/>
        </w:trPr>
        <w:tc>
          <w:tcPr>
            <w:tcW w:w="0" w:type="auto"/>
            <w:gridSpan w:val="3"/>
            <w:shd w:val="clear" w:color="auto" w:fill="auto"/>
            <w:vAlign w:val="bottom"/>
          </w:tcPr>
          <w:p w14:paraId="71D494E7" w14:textId="77777777" w:rsidR="006A3667" w:rsidRDefault="006A3667">
            <w:pPr>
              <w:rPr>
                <w:rFonts w:ascii="宋体"/>
                <w:vanish/>
              </w:rPr>
            </w:pPr>
          </w:p>
        </w:tc>
        <w:tc>
          <w:tcPr>
            <w:tcW w:w="0" w:type="auto"/>
            <w:gridSpan w:val="3"/>
            <w:shd w:val="clear" w:color="auto" w:fill="auto"/>
            <w:vAlign w:val="bottom"/>
          </w:tcPr>
          <w:p w14:paraId="71D494E8" w14:textId="77777777" w:rsidR="006A3667" w:rsidRDefault="006A3667">
            <w:pPr>
              <w:rPr>
                <w:rFonts w:ascii="宋体"/>
                <w:vanish/>
              </w:rPr>
            </w:pPr>
          </w:p>
        </w:tc>
        <w:tc>
          <w:tcPr>
            <w:tcW w:w="0" w:type="auto"/>
            <w:gridSpan w:val="3"/>
            <w:shd w:val="clear" w:color="auto" w:fill="auto"/>
            <w:vAlign w:val="bottom"/>
          </w:tcPr>
          <w:p w14:paraId="71D494E9" w14:textId="77777777" w:rsidR="006A3667" w:rsidRDefault="006A3667">
            <w:pPr>
              <w:rPr>
                <w:rFonts w:ascii="宋体"/>
                <w:vanish/>
              </w:rPr>
            </w:pPr>
          </w:p>
        </w:tc>
        <w:tc>
          <w:tcPr>
            <w:tcW w:w="0" w:type="auto"/>
            <w:gridSpan w:val="3"/>
            <w:shd w:val="clear" w:color="auto" w:fill="auto"/>
            <w:vAlign w:val="bottom"/>
          </w:tcPr>
          <w:p w14:paraId="71D494EA" w14:textId="77777777" w:rsidR="006A3667" w:rsidRDefault="006A3667">
            <w:pPr>
              <w:rPr>
                <w:rFonts w:ascii="宋体"/>
                <w:vanish/>
              </w:rPr>
            </w:pPr>
          </w:p>
        </w:tc>
        <w:tc>
          <w:tcPr>
            <w:tcW w:w="0" w:type="auto"/>
            <w:gridSpan w:val="3"/>
            <w:shd w:val="clear" w:color="auto" w:fill="auto"/>
            <w:vAlign w:val="bottom"/>
          </w:tcPr>
          <w:p w14:paraId="71D494EB" w14:textId="77777777" w:rsidR="006A3667" w:rsidRDefault="006A3667">
            <w:pPr>
              <w:rPr>
                <w:rFonts w:ascii="宋体"/>
                <w:vanish/>
              </w:rPr>
            </w:pPr>
          </w:p>
        </w:tc>
        <w:tc>
          <w:tcPr>
            <w:tcW w:w="0" w:type="auto"/>
            <w:gridSpan w:val="3"/>
            <w:shd w:val="clear" w:color="auto" w:fill="auto"/>
            <w:vAlign w:val="bottom"/>
          </w:tcPr>
          <w:p w14:paraId="71D494EC" w14:textId="77777777" w:rsidR="006A3667" w:rsidRDefault="006A3667">
            <w:pPr>
              <w:rPr>
                <w:rFonts w:ascii="宋体"/>
                <w:vanish/>
              </w:rPr>
            </w:pPr>
          </w:p>
        </w:tc>
        <w:tc>
          <w:tcPr>
            <w:tcW w:w="0" w:type="auto"/>
            <w:gridSpan w:val="3"/>
            <w:shd w:val="clear" w:color="auto" w:fill="auto"/>
            <w:vAlign w:val="bottom"/>
          </w:tcPr>
          <w:p w14:paraId="71D494ED" w14:textId="77777777" w:rsidR="006A3667" w:rsidRDefault="006A3667">
            <w:pPr>
              <w:rPr>
                <w:rFonts w:ascii="宋体"/>
                <w:vanish/>
              </w:rPr>
            </w:pPr>
          </w:p>
        </w:tc>
        <w:tc>
          <w:tcPr>
            <w:tcW w:w="0" w:type="auto"/>
            <w:gridSpan w:val="3"/>
            <w:shd w:val="clear" w:color="auto" w:fill="auto"/>
            <w:vAlign w:val="bottom"/>
          </w:tcPr>
          <w:p w14:paraId="71D494EE" w14:textId="77777777" w:rsidR="006A3667" w:rsidRDefault="006A3667">
            <w:pPr>
              <w:rPr>
                <w:rFonts w:ascii="宋体"/>
                <w:vanish/>
              </w:rPr>
            </w:pPr>
          </w:p>
        </w:tc>
        <w:tc>
          <w:tcPr>
            <w:tcW w:w="0" w:type="auto"/>
            <w:gridSpan w:val="3"/>
            <w:shd w:val="clear" w:color="auto" w:fill="auto"/>
            <w:vAlign w:val="bottom"/>
          </w:tcPr>
          <w:p w14:paraId="71D494EF" w14:textId="77777777" w:rsidR="006A3667" w:rsidRDefault="006A3667">
            <w:pPr>
              <w:rPr>
                <w:rFonts w:ascii="宋体"/>
                <w:vanish/>
              </w:rPr>
            </w:pPr>
          </w:p>
        </w:tc>
        <w:tc>
          <w:tcPr>
            <w:tcW w:w="0" w:type="auto"/>
            <w:gridSpan w:val="3"/>
            <w:shd w:val="clear" w:color="auto" w:fill="auto"/>
            <w:vAlign w:val="bottom"/>
          </w:tcPr>
          <w:p w14:paraId="71D494F0" w14:textId="77777777" w:rsidR="006A3667" w:rsidRDefault="006A3667">
            <w:pPr>
              <w:rPr>
                <w:rFonts w:ascii="宋体"/>
                <w:vanish/>
              </w:rPr>
            </w:pPr>
          </w:p>
        </w:tc>
      </w:tr>
      <w:tr w:rsidR="006A3667" w14:paraId="71D494FC" w14:textId="77777777">
        <w:trPr>
          <w:hidden/>
        </w:trPr>
        <w:tc>
          <w:tcPr>
            <w:tcW w:w="0" w:type="auto"/>
            <w:gridSpan w:val="3"/>
            <w:shd w:val="clear" w:color="auto" w:fill="auto"/>
            <w:vAlign w:val="bottom"/>
          </w:tcPr>
          <w:p w14:paraId="71D494F2" w14:textId="77777777" w:rsidR="006A3667" w:rsidRDefault="006A3667">
            <w:pPr>
              <w:rPr>
                <w:rFonts w:ascii="宋体"/>
                <w:vanish/>
              </w:rPr>
            </w:pPr>
          </w:p>
        </w:tc>
        <w:tc>
          <w:tcPr>
            <w:tcW w:w="0" w:type="auto"/>
            <w:gridSpan w:val="3"/>
            <w:shd w:val="clear" w:color="auto" w:fill="auto"/>
            <w:vAlign w:val="bottom"/>
          </w:tcPr>
          <w:p w14:paraId="71D494F3" w14:textId="77777777" w:rsidR="006A3667" w:rsidRDefault="006A3667">
            <w:pPr>
              <w:rPr>
                <w:rFonts w:ascii="宋体"/>
                <w:vanish/>
              </w:rPr>
            </w:pPr>
          </w:p>
        </w:tc>
        <w:tc>
          <w:tcPr>
            <w:tcW w:w="0" w:type="auto"/>
            <w:gridSpan w:val="3"/>
            <w:shd w:val="clear" w:color="auto" w:fill="auto"/>
            <w:vAlign w:val="bottom"/>
          </w:tcPr>
          <w:p w14:paraId="71D494F4" w14:textId="77777777" w:rsidR="006A3667" w:rsidRDefault="006A3667">
            <w:pPr>
              <w:rPr>
                <w:rFonts w:ascii="宋体"/>
                <w:vanish/>
              </w:rPr>
            </w:pPr>
          </w:p>
        </w:tc>
        <w:tc>
          <w:tcPr>
            <w:tcW w:w="0" w:type="auto"/>
            <w:gridSpan w:val="3"/>
            <w:shd w:val="clear" w:color="auto" w:fill="auto"/>
            <w:vAlign w:val="bottom"/>
          </w:tcPr>
          <w:p w14:paraId="71D494F5" w14:textId="77777777" w:rsidR="006A3667" w:rsidRDefault="006A3667">
            <w:pPr>
              <w:rPr>
                <w:rFonts w:ascii="宋体"/>
                <w:vanish/>
              </w:rPr>
            </w:pPr>
          </w:p>
        </w:tc>
        <w:tc>
          <w:tcPr>
            <w:tcW w:w="0" w:type="auto"/>
            <w:gridSpan w:val="3"/>
            <w:shd w:val="clear" w:color="auto" w:fill="auto"/>
            <w:vAlign w:val="bottom"/>
          </w:tcPr>
          <w:p w14:paraId="71D494F6" w14:textId="77777777" w:rsidR="006A3667" w:rsidRDefault="006A3667">
            <w:pPr>
              <w:rPr>
                <w:rFonts w:ascii="宋体"/>
                <w:vanish/>
              </w:rPr>
            </w:pPr>
          </w:p>
        </w:tc>
        <w:tc>
          <w:tcPr>
            <w:tcW w:w="0" w:type="auto"/>
            <w:gridSpan w:val="3"/>
            <w:shd w:val="clear" w:color="auto" w:fill="auto"/>
            <w:vAlign w:val="bottom"/>
          </w:tcPr>
          <w:p w14:paraId="71D494F7" w14:textId="77777777" w:rsidR="006A3667" w:rsidRDefault="006A3667">
            <w:pPr>
              <w:rPr>
                <w:rFonts w:ascii="宋体"/>
                <w:vanish/>
              </w:rPr>
            </w:pPr>
          </w:p>
        </w:tc>
        <w:tc>
          <w:tcPr>
            <w:tcW w:w="0" w:type="auto"/>
            <w:gridSpan w:val="3"/>
            <w:shd w:val="clear" w:color="auto" w:fill="auto"/>
            <w:vAlign w:val="bottom"/>
          </w:tcPr>
          <w:p w14:paraId="71D494F8" w14:textId="77777777" w:rsidR="006A3667" w:rsidRDefault="006A3667">
            <w:pPr>
              <w:rPr>
                <w:rFonts w:ascii="宋体"/>
                <w:vanish/>
              </w:rPr>
            </w:pPr>
          </w:p>
        </w:tc>
        <w:tc>
          <w:tcPr>
            <w:tcW w:w="0" w:type="auto"/>
            <w:gridSpan w:val="3"/>
            <w:shd w:val="clear" w:color="auto" w:fill="auto"/>
            <w:vAlign w:val="bottom"/>
          </w:tcPr>
          <w:p w14:paraId="71D494F9" w14:textId="77777777" w:rsidR="006A3667" w:rsidRDefault="006A3667">
            <w:pPr>
              <w:rPr>
                <w:rFonts w:ascii="宋体"/>
                <w:vanish/>
              </w:rPr>
            </w:pPr>
          </w:p>
        </w:tc>
        <w:tc>
          <w:tcPr>
            <w:tcW w:w="0" w:type="auto"/>
            <w:gridSpan w:val="3"/>
            <w:shd w:val="clear" w:color="auto" w:fill="auto"/>
            <w:vAlign w:val="bottom"/>
          </w:tcPr>
          <w:p w14:paraId="71D494FA" w14:textId="77777777" w:rsidR="006A3667" w:rsidRDefault="006A3667">
            <w:pPr>
              <w:rPr>
                <w:rFonts w:ascii="宋体"/>
                <w:vanish/>
              </w:rPr>
            </w:pPr>
          </w:p>
        </w:tc>
        <w:tc>
          <w:tcPr>
            <w:tcW w:w="0" w:type="auto"/>
            <w:gridSpan w:val="3"/>
            <w:shd w:val="clear" w:color="auto" w:fill="auto"/>
            <w:vAlign w:val="bottom"/>
          </w:tcPr>
          <w:p w14:paraId="71D494FB" w14:textId="77777777" w:rsidR="006A3667" w:rsidRDefault="006A3667">
            <w:pPr>
              <w:rPr>
                <w:rFonts w:ascii="宋体"/>
                <w:vanish/>
              </w:rPr>
            </w:pPr>
          </w:p>
        </w:tc>
      </w:tr>
    </w:tbl>
    <w:p w14:paraId="71D494FD" w14:textId="77777777" w:rsidR="006A3667" w:rsidRDefault="006A3667">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817"/>
        <w:gridCol w:w="36"/>
        <w:gridCol w:w="36"/>
        <w:gridCol w:w="1915"/>
        <w:gridCol w:w="36"/>
      </w:tblGrid>
      <w:tr w:rsidR="006A3667" w14:paraId="71D49504" w14:textId="77777777">
        <w:tc>
          <w:tcPr>
            <w:tcW w:w="50" w:type="pct"/>
            <w:shd w:val="clear" w:color="auto" w:fill="auto"/>
            <w:vAlign w:val="bottom"/>
          </w:tcPr>
          <w:p w14:paraId="71D494FE" w14:textId="77777777" w:rsidR="006A3667" w:rsidRDefault="006A3667">
            <w:pPr>
              <w:rPr>
                <w:rFonts w:ascii="宋体"/>
              </w:rPr>
            </w:pPr>
          </w:p>
        </w:tc>
        <w:tc>
          <w:tcPr>
            <w:tcW w:w="2382" w:type="pct"/>
            <w:shd w:val="clear" w:color="auto" w:fill="auto"/>
            <w:vAlign w:val="bottom"/>
          </w:tcPr>
          <w:p w14:paraId="71D494FF" w14:textId="77777777" w:rsidR="006A3667" w:rsidRDefault="006A3667">
            <w:pPr>
              <w:rPr>
                <w:rFonts w:ascii="宋体"/>
              </w:rPr>
            </w:pPr>
          </w:p>
        </w:tc>
        <w:tc>
          <w:tcPr>
            <w:tcW w:w="5" w:type="pct"/>
            <w:shd w:val="clear" w:color="auto" w:fill="auto"/>
            <w:vAlign w:val="bottom"/>
          </w:tcPr>
          <w:p w14:paraId="71D49500" w14:textId="77777777" w:rsidR="006A3667" w:rsidRDefault="006A3667">
            <w:pPr>
              <w:rPr>
                <w:rFonts w:ascii="宋体"/>
              </w:rPr>
            </w:pPr>
          </w:p>
        </w:tc>
        <w:tc>
          <w:tcPr>
            <w:tcW w:w="50" w:type="pct"/>
            <w:shd w:val="clear" w:color="auto" w:fill="auto"/>
            <w:vAlign w:val="bottom"/>
          </w:tcPr>
          <w:p w14:paraId="71D49501" w14:textId="77777777" w:rsidR="006A3667" w:rsidRDefault="006A3667">
            <w:pPr>
              <w:rPr>
                <w:rFonts w:ascii="宋体"/>
              </w:rPr>
            </w:pPr>
          </w:p>
        </w:tc>
        <w:tc>
          <w:tcPr>
            <w:tcW w:w="2507" w:type="pct"/>
            <w:shd w:val="clear" w:color="auto" w:fill="auto"/>
            <w:vAlign w:val="bottom"/>
          </w:tcPr>
          <w:p w14:paraId="71D49502" w14:textId="77777777" w:rsidR="006A3667" w:rsidRDefault="006A3667">
            <w:pPr>
              <w:rPr>
                <w:rFonts w:ascii="宋体"/>
              </w:rPr>
            </w:pPr>
          </w:p>
        </w:tc>
        <w:tc>
          <w:tcPr>
            <w:tcW w:w="5" w:type="pct"/>
            <w:shd w:val="clear" w:color="auto" w:fill="auto"/>
            <w:vAlign w:val="bottom"/>
          </w:tcPr>
          <w:p w14:paraId="71D49503" w14:textId="77777777" w:rsidR="006A3667" w:rsidRDefault="006A3667">
            <w:pPr>
              <w:rPr>
                <w:rFonts w:ascii="宋体"/>
              </w:rPr>
            </w:pPr>
          </w:p>
        </w:tc>
      </w:tr>
      <w:tr w:rsidR="006A3667" w14:paraId="71D4950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950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506" w14:textId="77777777" w:rsidR="006A3667" w:rsidRDefault="006A3667">
            <w:pPr>
              <w:rPr>
                <w:rFonts w:ascii="宋体"/>
              </w:rPr>
            </w:pPr>
          </w:p>
        </w:tc>
      </w:tr>
      <w:tr w:rsidR="006A3667" w14:paraId="71D4950A" w14:textId="77777777">
        <w:trPr>
          <w:hidden/>
        </w:trPr>
        <w:tc>
          <w:tcPr>
            <w:tcW w:w="0" w:type="auto"/>
            <w:gridSpan w:val="3"/>
            <w:shd w:val="clear" w:color="auto" w:fill="auto"/>
            <w:vAlign w:val="bottom"/>
          </w:tcPr>
          <w:p w14:paraId="71D49508" w14:textId="77777777" w:rsidR="006A3667" w:rsidRDefault="006A3667">
            <w:pPr>
              <w:rPr>
                <w:rFonts w:ascii="宋体"/>
                <w:vanish/>
              </w:rPr>
            </w:pPr>
          </w:p>
        </w:tc>
        <w:tc>
          <w:tcPr>
            <w:tcW w:w="0" w:type="auto"/>
            <w:gridSpan w:val="3"/>
            <w:shd w:val="clear" w:color="auto" w:fill="auto"/>
            <w:vAlign w:val="bottom"/>
          </w:tcPr>
          <w:p w14:paraId="71D49509" w14:textId="77777777" w:rsidR="006A3667" w:rsidRDefault="006A3667">
            <w:pPr>
              <w:rPr>
                <w:rFonts w:ascii="宋体"/>
                <w:vanish/>
              </w:rPr>
            </w:pPr>
          </w:p>
        </w:tc>
      </w:tr>
    </w:tbl>
    <w:p w14:paraId="71D4950B" w14:textId="77777777" w:rsidR="006A3667" w:rsidRDefault="00045F32">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the portion of net </w:t>
      </w:r>
      <w:r>
        <w:rPr>
          <w:rFonts w:ascii="Arial" w:eastAsia="宋体" w:hAnsi="Arial" w:cs="Arial"/>
          <w:color w:val="000000"/>
          <w:sz w:val="13"/>
          <w:szCs w:val="13"/>
        </w:rPr>
        <w:t>income available to common equity allocated to participating securities, composed of unvested and fully vested SERP (Supplemental executive retirement plans) shares and fully vested deferred director stock awards, which are equity-based awards that contain</w:t>
      </w:r>
      <w:r>
        <w:rPr>
          <w:rFonts w:ascii="Arial" w:eastAsia="宋体" w:hAnsi="Arial" w:cs="Arial"/>
          <w:color w:val="000000"/>
          <w:sz w:val="13"/>
          <w:szCs w:val="13"/>
        </w:rPr>
        <w:t xml:space="preserve"> non-forfeitable rights to dividends, and are considered to participate with the common stock in undistributed earnings.</w:t>
      </w:r>
    </w:p>
    <w:p w14:paraId="71D4950C" w14:textId="77777777" w:rsidR="006A3667" w:rsidRDefault="00045F32">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Represents equity-based awards outstanding but not included in the computation of diluted average common shares, because their effe</w:t>
      </w:r>
      <w:r>
        <w:rPr>
          <w:rFonts w:ascii="Arial" w:eastAsia="宋体" w:hAnsi="Arial" w:cs="Arial"/>
          <w:color w:val="000000"/>
          <w:sz w:val="13"/>
          <w:szCs w:val="13"/>
        </w:rPr>
        <w:t>ct was anti-dilutive. Additional information about equity-based awards is provided on pages 173 and 175 in Note 18 to the consolidated financial statements included under Item 8, Financial Statements and Supplementary Data, in our 2021 Form 10-K.</w:t>
      </w:r>
    </w:p>
    <w:p w14:paraId="71D4950D" w14:textId="77777777" w:rsidR="006A3667" w:rsidRDefault="00045F32">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Calcu</w:t>
      </w:r>
      <w:r>
        <w:rPr>
          <w:rFonts w:ascii="Arial" w:eastAsia="宋体" w:hAnsi="Arial" w:cs="Arial"/>
          <w:color w:val="000000"/>
          <w:sz w:val="13"/>
          <w:szCs w:val="13"/>
        </w:rPr>
        <w:t>lations reflect allocation of earnings to participating securities using the two-class method, as this computation is more dilutive than the treasury stock method.</w:t>
      </w:r>
    </w:p>
    <w:p w14:paraId="71D4950E" w14:textId="77777777" w:rsidR="006A3667" w:rsidRDefault="00045F32">
      <w:pPr>
        <w:spacing w:before="90"/>
        <w:jc w:val="both"/>
      </w:pPr>
      <w:r>
        <w:rPr>
          <w:rFonts w:ascii="Arial" w:eastAsia="宋体" w:hAnsi="Arial" w:cs="Arial"/>
          <w:b/>
          <w:bCs/>
          <w:color w:val="000000"/>
          <w:sz w:val="20"/>
          <w:szCs w:val="20"/>
        </w:rPr>
        <w:t>Note 17. Line of Business Information</w:t>
      </w:r>
    </w:p>
    <w:p w14:paraId="71D4950F" w14:textId="77777777" w:rsidR="006A3667" w:rsidRDefault="00045F32">
      <w:pPr>
        <w:spacing w:before="60"/>
        <w:ind w:firstLine="450"/>
        <w:jc w:val="both"/>
      </w:pPr>
      <w:r>
        <w:rPr>
          <w:rFonts w:ascii="Arial" w:eastAsia="宋体" w:hAnsi="Arial" w:cs="Arial"/>
          <w:color w:val="000000"/>
          <w:sz w:val="20"/>
          <w:szCs w:val="20"/>
        </w:rPr>
        <w:t xml:space="preserve">Our operations are organized into two lines of </w:t>
      </w:r>
      <w:r>
        <w:rPr>
          <w:rFonts w:ascii="Arial" w:eastAsia="宋体" w:hAnsi="Arial" w:cs="Arial"/>
          <w:color w:val="000000"/>
          <w:sz w:val="20"/>
          <w:szCs w:val="20"/>
        </w:rPr>
        <w:t xml:space="preserve">business: Investment Servicing and Investment Management, which are defined based on products and services provided. The results of operations for these lines of business are not necessarily comparable with those of other companies, including companies in </w:t>
      </w:r>
      <w:r>
        <w:rPr>
          <w:rFonts w:ascii="Arial" w:eastAsia="宋体" w:hAnsi="Arial" w:cs="Arial"/>
          <w:color w:val="000000"/>
          <w:sz w:val="20"/>
          <w:szCs w:val="20"/>
        </w:rPr>
        <w:t>the financial services industry. For information about our two lines of business, as well as revenues, expenses and capital allocation methodologies associated with them, refer to pages 179 to 181 in Note 24 to the consolidated financial statements include</w:t>
      </w:r>
      <w:r>
        <w:rPr>
          <w:rFonts w:ascii="Arial" w:eastAsia="宋体" w:hAnsi="Arial" w:cs="Arial"/>
          <w:color w:val="000000"/>
          <w:sz w:val="20"/>
          <w:szCs w:val="20"/>
        </w:rPr>
        <w:t>d under Item 8, Financial Statements and Supplementary Data, in our 2021 Form 10-K.</w:t>
      </w:r>
    </w:p>
    <w:p w14:paraId="71D49510" w14:textId="77777777" w:rsidR="006A3667" w:rsidRDefault="00045F32">
      <w:pPr>
        <w:ind w:firstLine="450"/>
        <w:jc w:val="right"/>
      </w:pPr>
      <w:r>
        <w:rPr>
          <w:rFonts w:ascii="Arial" w:eastAsia="宋体" w:hAnsi="Arial" w:cs="Arial"/>
          <w:color w:val="000000"/>
          <w:sz w:val="18"/>
          <w:szCs w:val="18"/>
        </w:rPr>
        <w:t>State Street Corporation | 92</w:t>
      </w:r>
    </w:p>
    <w:p w14:paraId="71D49511" w14:textId="77777777" w:rsidR="006A3667" w:rsidRDefault="006A3667">
      <w:pPr>
        <w:ind w:firstLine="450"/>
        <w:jc w:val="center"/>
      </w:pPr>
    </w:p>
    <w:p w14:paraId="71D49512" w14:textId="77777777" w:rsidR="006A3667" w:rsidRDefault="00045F32">
      <w:r>
        <w:pict w14:anchorId="71D4AC70">
          <v:rect id="_x0000_i1116" style="width:415.3pt;height:1.5pt" o:hralign="center" o:hrstd="t" o:hr="t" fillcolor="#a0a0a0" stroked="f"/>
        </w:pict>
      </w:r>
    </w:p>
    <w:p w14:paraId="71D49513" w14:textId="77777777" w:rsidR="006A3667" w:rsidRDefault="00045F32">
      <w:pPr>
        <w:ind w:firstLine="450"/>
        <w:jc w:val="center"/>
      </w:pPr>
      <w:r>
        <w:rPr>
          <w:rFonts w:ascii="Arial" w:eastAsia="宋体" w:hAnsi="Arial" w:cs="Arial"/>
          <w:b/>
          <w:bCs/>
          <w:color w:val="000000"/>
          <w:sz w:val="20"/>
          <w:szCs w:val="20"/>
        </w:rPr>
        <w:t>STATE STREET CORPORATION</w:t>
      </w:r>
    </w:p>
    <w:p w14:paraId="71D49514"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9515" w14:textId="77777777" w:rsidR="006A3667" w:rsidRDefault="00045F32">
      <w:pPr>
        <w:ind w:firstLine="450"/>
        <w:jc w:val="center"/>
      </w:pPr>
      <w:r>
        <w:rPr>
          <w:rFonts w:ascii="Arial" w:eastAsia="宋体" w:hAnsi="Arial" w:cs="Arial"/>
          <w:b/>
          <w:bCs/>
          <w:color w:val="000000"/>
          <w:sz w:val="20"/>
          <w:szCs w:val="20"/>
        </w:rPr>
        <w:t>(UNAUDITED)</w:t>
      </w:r>
    </w:p>
    <w:p w14:paraId="71D49516" w14:textId="77777777" w:rsidR="006A3667" w:rsidRDefault="00045F32">
      <w:pPr>
        <w:spacing w:before="60"/>
        <w:ind w:firstLine="450"/>
        <w:jc w:val="both"/>
      </w:pPr>
      <w:r>
        <w:rPr>
          <w:rFonts w:ascii="Arial" w:eastAsia="宋体" w:hAnsi="Arial" w:cs="Arial"/>
          <w:color w:val="000000"/>
          <w:sz w:val="20"/>
          <w:szCs w:val="20"/>
        </w:rPr>
        <w:t>The following tables summarize our line of busine</w:t>
      </w:r>
      <w:r>
        <w:rPr>
          <w:rFonts w:ascii="Arial" w:eastAsia="宋体" w:hAnsi="Arial" w:cs="Arial"/>
          <w:color w:val="000000"/>
          <w:sz w:val="20"/>
          <w:szCs w:val="20"/>
        </w:rPr>
        <w:t xml:space="preserve">ss results for the periods indicated. The "Other" columns represent costs incurred that are not allocated to a specific line of business, certain employee costs, including certain severance and restructuring costs, acquisition costs and certain provisions </w:t>
      </w:r>
      <w:r>
        <w:rPr>
          <w:rFonts w:ascii="Arial" w:eastAsia="宋体" w:hAnsi="Arial" w:cs="Arial"/>
          <w:color w:val="000000"/>
          <w:sz w:val="20"/>
          <w:szCs w:val="20"/>
        </w:rPr>
        <w:t>for legal contingencies.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55"/>
        <w:gridCol w:w="37"/>
        <w:gridCol w:w="98"/>
        <w:gridCol w:w="506"/>
        <w:gridCol w:w="145"/>
        <w:gridCol w:w="36"/>
        <w:gridCol w:w="36"/>
        <w:gridCol w:w="36"/>
        <w:gridCol w:w="98"/>
        <w:gridCol w:w="450"/>
        <w:gridCol w:w="145"/>
        <w:gridCol w:w="36"/>
        <w:gridCol w:w="36"/>
        <w:gridCol w:w="36"/>
        <w:gridCol w:w="36"/>
        <w:gridCol w:w="36"/>
        <w:gridCol w:w="99"/>
        <w:gridCol w:w="390"/>
        <w:gridCol w:w="145"/>
        <w:gridCol w:w="36"/>
        <w:gridCol w:w="36"/>
        <w:gridCol w:w="36"/>
        <w:gridCol w:w="99"/>
        <w:gridCol w:w="450"/>
        <w:gridCol w:w="145"/>
        <w:gridCol w:w="36"/>
        <w:gridCol w:w="36"/>
        <w:gridCol w:w="36"/>
        <w:gridCol w:w="36"/>
        <w:gridCol w:w="36"/>
        <w:gridCol w:w="98"/>
        <w:gridCol w:w="392"/>
        <w:gridCol w:w="36"/>
        <w:gridCol w:w="36"/>
        <w:gridCol w:w="36"/>
        <w:gridCol w:w="36"/>
        <w:gridCol w:w="98"/>
        <w:gridCol w:w="453"/>
        <w:gridCol w:w="36"/>
        <w:gridCol w:w="36"/>
        <w:gridCol w:w="36"/>
        <w:gridCol w:w="36"/>
        <w:gridCol w:w="36"/>
        <w:gridCol w:w="36"/>
        <w:gridCol w:w="36"/>
        <w:gridCol w:w="36"/>
        <w:gridCol w:w="36"/>
        <w:gridCol w:w="36"/>
        <w:gridCol w:w="98"/>
        <w:gridCol w:w="390"/>
        <w:gridCol w:w="145"/>
        <w:gridCol w:w="36"/>
        <w:gridCol w:w="36"/>
        <w:gridCol w:w="410"/>
      </w:tblGrid>
      <w:tr w:rsidR="006A3667" w14:paraId="71D4954A" w14:textId="77777777">
        <w:tc>
          <w:tcPr>
            <w:tcW w:w="50" w:type="pct"/>
            <w:shd w:val="clear" w:color="auto" w:fill="auto"/>
            <w:vAlign w:val="bottom"/>
          </w:tcPr>
          <w:p w14:paraId="71D49517" w14:textId="77777777" w:rsidR="006A3667" w:rsidRDefault="006A3667">
            <w:pPr>
              <w:rPr>
                <w:rFonts w:ascii="宋体"/>
              </w:rPr>
            </w:pPr>
          </w:p>
        </w:tc>
        <w:tc>
          <w:tcPr>
            <w:tcW w:w="1414" w:type="pct"/>
            <w:shd w:val="clear" w:color="auto" w:fill="auto"/>
            <w:vAlign w:val="bottom"/>
          </w:tcPr>
          <w:p w14:paraId="71D49518" w14:textId="77777777" w:rsidR="006A3667" w:rsidRDefault="006A3667">
            <w:pPr>
              <w:rPr>
                <w:rFonts w:ascii="宋体"/>
              </w:rPr>
            </w:pPr>
          </w:p>
        </w:tc>
        <w:tc>
          <w:tcPr>
            <w:tcW w:w="5" w:type="pct"/>
            <w:shd w:val="clear" w:color="auto" w:fill="auto"/>
            <w:vAlign w:val="bottom"/>
          </w:tcPr>
          <w:p w14:paraId="71D49519" w14:textId="77777777" w:rsidR="006A3667" w:rsidRDefault="006A3667">
            <w:pPr>
              <w:rPr>
                <w:rFonts w:ascii="宋体"/>
              </w:rPr>
            </w:pPr>
          </w:p>
        </w:tc>
        <w:tc>
          <w:tcPr>
            <w:tcW w:w="50" w:type="pct"/>
            <w:shd w:val="clear" w:color="auto" w:fill="auto"/>
            <w:vAlign w:val="bottom"/>
          </w:tcPr>
          <w:p w14:paraId="71D4951A" w14:textId="77777777" w:rsidR="006A3667" w:rsidRDefault="006A3667">
            <w:pPr>
              <w:rPr>
                <w:rFonts w:ascii="宋体"/>
              </w:rPr>
            </w:pPr>
          </w:p>
        </w:tc>
        <w:tc>
          <w:tcPr>
            <w:tcW w:w="354" w:type="pct"/>
            <w:shd w:val="clear" w:color="auto" w:fill="auto"/>
            <w:vAlign w:val="bottom"/>
          </w:tcPr>
          <w:p w14:paraId="71D4951B" w14:textId="77777777" w:rsidR="006A3667" w:rsidRDefault="006A3667">
            <w:pPr>
              <w:rPr>
                <w:rFonts w:ascii="宋体"/>
              </w:rPr>
            </w:pPr>
          </w:p>
        </w:tc>
        <w:tc>
          <w:tcPr>
            <w:tcW w:w="5" w:type="pct"/>
            <w:shd w:val="clear" w:color="auto" w:fill="auto"/>
            <w:vAlign w:val="bottom"/>
          </w:tcPr>
          <w:p w14:paraId="71D4951C" w14:textId="77777777" w:rsidR="006A3667" w:rsidRDefault="006A3667">
            <w:pPr>
              <w:rPr>
                <w:rFonts w:ascii="宋体"/>
              </w:rPr>
            </w:pPr>
          </w:p>
        </w:tc>
        <w:tc>
          <w:tcPr>
            <w:tcW w:w="5" w:type="pct"/>
            <w:shd w:val="clear" w:color="auto" w:fill="auto"/>
            <w:vAlign w:val="bottom"/>
          </w:tcPr>
          <w:p w14:paraId="71D4951D" w14:textId="77777777" w:rsidR="006A3667" w:rsidRDefault="006A3667">
            <w:pPr>
              <w:rPr>
                <w:rFonts w:ascii="宋体"/>
              </w:rPr>
            </w:pPr>
          </w:p>
        </w:tc>
        <w:tc>
          <w:tcPr>
            <w:tcW w:w="26" w:type="pct"/>
            <w:shd w:val="clear" w:color="auto" w:fill="auto"/>
            <w:vAlign w:val="bottom"/>
          </w:tcPr>
          <w:p w14:paraId="71D4951E" w14:textId="77777777" w:rsidR="006A3667" w:rsidRDefault="006A3667">
            <w:pPr>
              <w:rPr>
                <w:rFonts w:ascii="宋体"/>
              </w:rPr>
            </w:pPr>
          </w:p>
        </w:tc>
        <w:tc>
          <w:tcPr>
            <w:tcW w:w="5" w:type="pct"/>
            <w:shd w:val="clear" w:color="auto" w:fill="auto"/>
            <w:vAlign w:val="bottom"/>
          </w:tcPr>
          <w:p w14:paraId="71D4951F" w14:textId="77777777" w:rsidR="006A3667" w:rsidRDefault="006A3667">
            <w:pPr>
              <w:rPr>
                <w:rFonts w:ascii="宋体"/>
              </w:rPr>
            </w:pPr>
          </w:p>
        </w:tc>
        <w:tc>
          <w:tcPr>
            <w:tcW w:w="50" w:type="pct"/>
            <w:shd w:val="clear" w:color="auto" w:fill="auto"/>
            <w:vAlign w:val="bottom"/>
          </w:tcPr>
          <w:p w14:paraId="71D49520" w14:textId="77777777" w:rsidR="006A3667" w:rsidRDefault="006A3667">
            <w:pPr>
              <w:rPr>
                <w:rFonts w:ascii="宋体"/>
              </w:rPr>
            </w:pPr>
          </w:p>
        </w:tc>
        <w:tc>
          <w:tcPr>
            <w:tcW w:w="354" w:type="pct"/>
            <w:shd w:val="clear" w:color="auto" w:fill="auto"/>
            <w:vAlign w:val="bottom"/>
          </w:tcPr>
          <w:p w14:paraId="71D49521" w14:textId="77777777" w:rsidR="006A3667" w:rsidRDefault="006A3667">
            <w:pPr>
              <w:rPr>
                <w:rFonts w:ascii="宋体"/>
              </w:rPr>
            </w:pPr>
          </w:p>
        </w:tc>
        <w:tc>
          <w:tcPr>
            <w:tcW w:w="5" w:type="pct"/>
            <w:shd w:val="clear" w:color="auto" w:fill="auto"/>
            <w:vAlign w:val="bottom"/>
          </w:tcPr>
          <w:p w14:paraId="71D49522" w14:textId="77777777" w:rsidR="006A3667" w:rsidRDefault="006A3667">
            <w:pPr>
              <w:rPr>
                <w:rFonts w:ascii="宋体"/>
              </w:rPr>
            </w:pPr>
          </w:p>
        </w:tc>
        <w:tc>
          <w:tcPr>
            <w:tcW w:w="5" w:type="pct"/>
            <w:shd w:val="clear" w:color="auto" w:fill="auto"/>
            <w:vAlign w:val="bottom"/>
          </w:tcPr>
          <w:p w14:paraId="71D49523" w14:textId="77777777" w:rsidR="006A3667" w:rsidRDefault="006A3667">
            <w:pPr>
              <w:rPr>
                <w:rFonts w:ascii="宋体"/>
              </w:rPr>
            </w:pPr>
          </w:p>
        </w:tc>
        <w:tc>
          <w:tcPr>
            <w:tcW w:w="26" w:type="pct"/>
            <w:shd w:val="clear" w:color="auto" w:fill="auto"/>
            <w:vAlign w:val="bottom"/>
          </w:tcPr>
          <w:p w14:paraId="71D49524" w14:textId="77777777" w:rsidR="006A3667" w:rsidRDefault="006A3667">
            <w:pPr>
              <w:rPr>
                <w:rFonts w:ascii="宋体"/>
              </w:rPr>
            </w:pPr>
          </w:p>
        </w:tc>
        <w:tc>
          <w:tcPr>
            <w:tcW w:w="5" w:type="pct"/>
            <w:shd w:val="clear" w:color="auto" w:fill="auto"/>
            <w:vAlign w:val="bottom"/>
          </w:tcPr>
          <w:p w14:paraId="71D49525" w14:textId="77777777" w:rsidR="006A3667" w:rsidRDefault="006A3667">
            <w:pPr>
              <w:rPr>
                <w:rFonts w:ascii="宋体"/>
              </w:rPr>
            </w:pPr>
          </w:p>
        </w:tc>
        <w:tc>
          <w:tcPr>
            <w:tcW w:w="0" w:type="auto"/>
            <w:shd w:val="clear" w:color="auto" w:fill="auto"/>
            <w:vAlign w:val="bottom"/>
          </w:tcPr>
          <w:p w14:paraId="71D49526" w14:textId="77777777" w:rsidR="006A3667" w:rsidRDefault="006A3667">
            <w:pPr>
              <w:rPr>
                <w:rFonts w:ascii="宋体"/>
                <w:vanish/>
              </w:rPr>
            </w:pPr>
          </w:p>
        </w:tc>
        <w:tc>
          <w:tcPr>
            <w:tcW w:w="0" w:type="auto"/>
            <w:shd w:val="clear" w:color="auto" w:fill="auto"/>
            <w:vAlign w:val="bottom"/>
          </w:tcPr>
          <w:p w14:paraId="71D49527" w14:textId="77777777" w:rsidR="006A3667" w:rsidRDefault="006A3667">
            <w:pPr>
              <w:rPr>
                <w:rFonts w:ascii="宋体"/>
                <w:vanish/>
              </w:rPr>
            </w:pPr>
          </w:p>
        </w:tc>
        <w:tc>
          <w:tcPr>
            <w:tcW w:w="50" w:type="pct"/>
            <w:shd w:val="clear" w:color="auto" w:fill="auto"/>
            <w:vAlign w:val="bottom"/>
          </w:tcPr>
          <w:p w14:paraId="71D49528" w14:textId="77777777" w:rsidR="006A3667" w:rsidRDefault="006A3667">
            <w:pPr>
              <w:rPr>
                <w:rFonts w:ascii="宋体"/>
              </w:rPr>
            </w:pPr>
          </w:p>
        </w:tc>
        <w:tc>
          <w:tcPr>
            <w:tcW w:w="354" w:type="pct"/>
            <w:shd w:val="clear" w:color="auto" w:fill="auto"/>
            <w:vAlign w:val="bottom"/>
          </w:tcPr>
          <w:p w14:paraId="71D49529" w14:textId="77777777" w:rsidR="006A3667" w:rsidRDefault="006A3667">
            <w:pPr>
              <w:rPr>
                <w:rFonts w:ascii="宋体"/>
              </w:rPr>
            </w:pPr>
          </w:p>
        </w:tc>
        <w:tc>
          <w:tcPr>
            <w:tcW w:w="5" w:type="pct"/>
            <w:shd w:val="clear" w:color="auto" w:fill="auto"/>
            <w:vAlign w:val="bottom"/>
          </w:tcPr>
          <w:p w14:paraId="71D4952A" w14:textId="77777777" w:rsidR="006A3667" w:rsidRDefault="006A3667">
            <w:pPr>
              <w:rPr>
                <w:rFonts w:ascii="宋体"/>
              </w:rPr>
            </w:pPr>
          </w:p>
        </w:tc>
        <w:tc>
          <w:tcPr>
            <w:tcW w:w="5" w:type="pct"/>
            <w:shd w:val="clear" w:color="auto" w:fill="auto"/>
            <w:vAlign w:val="bottom"/>
          </w:tcPr>
          <w:p w14:paraId="71D4952B" w14:textId="77777777" w:rsidR="006A3667" w:rsidRDefault="006A3667">
            <w:pPr>
              <w:rPr>
                <w:rFonts w:ascii="宋体"/>
              </w:rPr>
            </w:pPr>
          </w:p>
        </w:tc>
        <w:tc>
          <w:tcPr>
            <w:tcW w:w="26" w:type="pct"/>
            <w:shd w:val="clear" w:color="auto" w:fill="auto"/>
            <w:vAlign w:val="bottom"/>
          </w:tcPr>
          <w:p w14:paraId="71D4952C" w14:textId="77777777" w:rsidR="006A3667" w:rsidRDefault="006A3667">
            <w:pPr>
              <w:rPr>
                <w:rFonts w:ascii="宋体"/>
              </w:rPr>
            </w:pPr>
          </w:p>
        </w:tc>
        <w:tc>
          <w:tcPr>
            <w:tcW w:w="5" w:type="pct"/>
            <w:shd w:val="clear" w:color="auto" w:fill="auto"/>
            <w:vAlign w:val="bottom"/>
          </w:tcPr>
          <w:p w14:paraId="71D4952D" w14:textId="77777777" w:rsidR="006A3667" w:rsidRDefault="006A3667">
            <w:pPr>
              <w:rPr>
                <w:rFonts w:ascii="宋体"/>
              </w:rPr>
            </w:pPr>
          </w:p>
        </w:tc>
        <w:tc>
          <w:tcPr>
            <w:tcW w:w="50" w:type="pct"/>
            <w:shd w:val="clear" w:color="auto" w:fill="auto"/>
            <w:vAlign w:val="bottom"/>
          </w:tcPr>
          <w:p w14:paraId="71D4952E" w14:textId="77777777" w:rsidR="006A3667" w:rsidRDefault="006A3667">
            <w:pPr>
              <w:rPr>
                <w:rFonts w:ascii="宋体"/>
              </w:rPr>
            </w:pPr>
          </w:p>
        </w:tc>
        <w:tc>
          <w:tcPr>
            <w:tcW w:w="354" w:type="pct"/>
            <w:shd w:val="clear" w:color="auto" w:fill="auto"/>
            <w:vAlign w:val="bottom"/>
          </w:tcPr>
          <w:p w14:paraId="71D4952F" w14:textId="77777777" w:rsidR="006A3667" w:rsidRDefault="006A3667">
            <w:pPr>
              <w:rPr>
                <w:rFonts w:ascii="宋体"/>
              </w:rPr>
            </w:pPr>
          </w:p>
        </w:tc>
        <w:tc>
          <w:tcPr>
            <w:tcW w:w="5" w:type="pct"/>
            <w:shd w:val="clear" w:color="auto" w:fill="auto"/>
            <w:vAlign w:val="bottom"/>
          </w:tcPr>
          <w:p w14:paraId="71D49530" w14:textId="77777777" w:rsidR="006A3667" w:rsidRDefault="006A3667">
            <w:pPr>
              <w:rPr>
                <w:rFonts w:ascii="宋体"/>
              </w:rPr>
            </w:pPr>
          </w:p>
        </w:tc>
        <w:tc>
          <w:tcPr>
            <w:tcW w:w="5" w:type="pct"/>
            <w:shd w:val="clear" w:color="auto" w:fill="auto"/>
            <w:vAlign w:val="bottom"/>
          </w:tcPr>
          <w:p w14:paraId="71D49531" w14:textId="77777777" w:rsidR="006A3667" w:rsidRDefault="006A3667">
            <w:pPr>
              <w:rPr>
                <w:rFonts w:ascii="宋体"/>
              </w:rPr>
            </w:pPr>
          </w:p>
        </w:tc>
        <w:tc>
          <w:tcPr>
            <w:tcW w:w="26" w:type="pct"/>
            <w:shd w:val="clear" w:color="auto" w:fill="auto"/>
            <w:vAlign w:val="bottom"/>
          </w:tcPr>
          <w:p w14:paraId="71D49532" w14:textId="77777777" w:rsidR="006A3667" w:rsidRDefault="006A3667">
            <w:pPr>
              <w:rPr>
                <w:rFonts w:ascii="宋体"/>
              </w:rPr>
            </w:pPr>
          </w:p>
        </w:tc>
        <w:tc>
          <w:tcPr>
            <w:tcW w:w="5" w:type="pct"/>
            <w:shd w:val="clear" w:color="auto" w:fill="auto"/>
            <w:vAlign w:val="bottom"/>
          </w:tcPr>
          <w:p w14:paraId="71D49533" w14:textId="77777777" w:rsidR="006A3667" w:rsidRDefault="006A3667">
            <w:pPr>
              <w:rPr>
                <w:rFonts w:ascii="宋体"/>
              </w:rPr>
            </w:pPr>
          </w:p>
        </w:tc>
        <w:tc>
          <w:tcPr>
            <w:tcW w:w="0" w:type="auto"/>
            <w:shd w:val="clear" w:color="auto" w:fill="auto"/>
            <w:vAlign w:val="bottom"/>
          </w:tcPr>
          <w:p w14:paraId="71D49534" w14:textId="77777777" w:rsidR="006A3667" w:rsidRDefault="006A3667">
            <w:pPr>
              <w:rPr>
                <w:rFonts w:ascii="宋体"/>
                <w:vanish/>
              </w:rPr>
            </w:pPr>
          </w:p>
        </w:tc>
        <w:tc>
          <w:tcPr>
            <w:tcW w:w="0" w:type="auto"/>
            <w:shd w:val="clear" w:color="auto" w:fill="auto"/>
            <w:vAlign w:val="bottom"/>
          </w:tcPr>
          <w:p w14:paraId="71D49535" w14:textId="77777777" w:rsidR="006A3667" w:rsidRDefault="006A3667">
            <w:pPr>
              <w:rPr>
                <w:rFonts w:ascii="宋体"/>
                <w:vanish/>
              </w:rPr>
            </w:pPr>
          </w:p>
        </w:tc>
        <w:tc>
          <w:tcPr>
            <w:tcW w:w="50" w:type="pct"/>
            <w:shd w:val="clear" w:color="auto" w:fill="auto"/>
            <w:vAlign w:val="bottom"/>
          </w:tcPr>
          <w:p w14:paraId="71D49536" w14:textId="77777777" w:rsidR="006A3667" w:rsidRDefault="006A3667">
            <w:pPr>
              <w:rPr>
                <w:rFonts w:ascii="宋体"/>
              </w:rPr>
            </w:pPr>
          </w:p>
        </w:tc>
        <w:tc>
          <w:tcPr>
            <w:tcW w:w="354" w:type="pct"/>
            <w:shd w:val="clear" w:color="auto" w:fill="auto"/>
            <w:vAlign w:val="bottom"/>
          </w:tcPr>
          <w:p w14:paraId="71D49537" w14:textId="77777777" w:rsidR="006A3667" w:rsidRDefault="006A3667">
            <w:pPr>
              <w:rPr>
                <w:rFonts w:ascii="宋体"/>
              </w:rPr>
            </w:pPr>
          </w:p>
        </w:tc>
        <w:tc>
          <w:tcPr>
            <w:tcW w:w="5" w:type="pct"/>
            <w:shd w:val="clear" w:color="auto" w:fill="auto"/>
            <w:vAlign w:val="bottom"/>
          </w:tcPr>
          <w:p w14:paraId="71D49538" w14:textId="77777777" w:rsidR="006A3667" w:rsidRDefault="006A3667">
            <w:pPr>
              <w:rPr>
                <w:rFonts w:ascii="宋体"/>
              </w:rPr>
            </w:pPr>
          </w:p>
        </w:tc>
        <w:tc>
          <w:tcPr>
            <w:tcW w:w="5" w:type="pct"/>
            <w:shd w:val="clear" w:color="auto" w:fill="auto"/>
            <w:vAlign w:val="bottom"/>
          </w:tcPr>
          <w:p w14:paraId="71D49539" w14:textId="77777777" w:rsidR="006A3667" w:rsidRDefault="006A3667">
            <w:pPr>
              <w:rPr>
                <w:rFonts w:ascii="宋体"/>
              </w:rPr>
            </w:pPr>
          </w:p>
        </w:tc>
        <w:tc>
          <w:tcPr>
            <w:tcW w:w="26" w:type="pct"/>
            <w:shd w:val="clear" w:color="auto" w:fill="auto"/>
            <w:vAlign w:val="bottom"/>
          </w:tcPr>
          <w:p w14:paraId="71D4953A" w14:textId="77777777" w:rsidR="006A3667" w:rsidRDefault="006A3667">
            <w:pPr>
              <w:rPr>
                <w:rFonts w:ascii="宋体"/>
              </w:rPr>
            </w:pPr>
          </w:p>
        </w:tc>
        <w:tc>
          <w:tcPr>
            <w:tcW w:w="5" w:type="pct"/>
            <w:shd w:val="clear" w:color="auto" w:fill="auto"/>
            <w:vAlign w:val="bottom"/>
          </w:tcPr>
          <w:p w14:paraId="71D4953B" w14:textId="77777777" w:rsidR="006A3667" w:rsidRDefault="006A3667">
            <w:pPr>
              <w:rPr>
                <w:rFonts w:ascii="宋体"/>
              </w:rPr>
            </w:pPr>
          </w:p>
        </w:tc>
        <w:tc>
          <w:tcPr>
            <w:tcW w:w="50" w:type="pct"/>
            <w:shd w:val="clear" w:color="auto" w:fill="auto"/>
            <w:vAlign w:val="bottom"/>
          </w:tcPr>
          <w:p w14:paraId="71D4953C" w14:textId="77777777" w:rsidR="006A3667" w:rsidRDefault="006A3667">
            <w:pPr>
              <w:rPr>
                <w:rFonts w:ascii="宋体"/>
              </w:rPr>
            </w:pPr>
          </w:p>
        </w:tc>
        <w:tc>
          <w:tcPr>
            <w:tcW w:w="354" w:type="pct"/>
            <w:shd w:val="clear" w:color="auto" w:fill="auto"/>
            <w:vAlign w:val="bottom"/>
          </w:tcPr>
          <w:p w14:paraId="71D4953D" w14:textId="77777777" w:rsidR="006A3667" w:rsidRDefault="006A3667">
            <w:pPr>
              <w:rPr>
                <w:rFonts w:ascii="宋体"/>
              </w:rPr>
            </w:pPr>
          </w:p>
        </w:tc>
        <w:tc>
          <w:tcPr>
            <w:tcW w:w="5" w:type="pct"/>
            <w:shd w:val="clear" w:color="auto" w:fill="auto"/>
            <w:vAlign w:val="bottom"/>
          </w:tcPr>
          <w:p w14:paraId="71D4953E" w14:textId="77777777" w:rsidR="006A3667" w:rsidRDefault="006A3667">
            <w:pPr>
              <w:rPr>
                <w:rFonts w:ascii="宋体"/>
              </w:rPr>
            </w:pPr>
          </w:p>
        </w:tc>
        <w:tc>
          <w:tcPr>
            <w:tcW w:w="5" w:type="pct"/>
            <w:shd w:val="clear" w:color="auto" w:fill="auto"/>
            <w:vAlign w:val="bottom"/>
          </w:tcPr>
          <w:p w14:paraId="71D4953F" w14:textId="77777777" w:rsidR="006A3667" w:rsidRDefault="006A3667">
            <w:pPr>
              <w:rPr>
                <w:rFonts w:ascii="宋体"/>
              </w:rPr>
            </w:pPr>
          </w:p>
        </w:tc>
        <w:tc>
          <w:tcPr>
            <w:tcW w:w="26" w:type="pct"/>
            <w:shd w:val="clear" w:color="auto" w:fill="auto"/>
            <w:vAlign w:val="bottom"/>
          </w:tcPr>
          <w:p w14:paraId="71D49540" w14:textId="77777777" w:rsidR="006A3667" w:rsidRDefault="006A3667">
            <w:pPr>
              <w:rPr>
                <w:rFonts w:ascii="宋体"/>
              </w:rPr>
            </w:pPr>
          </w:p>
        </w:tc>
        <w:tc>
          <w:tcPr>
            <w:tcW w:w="5" w:type="pct"/>
            <w:shd w:val="clear" w:color="auto" w:fill="auto"/>
            <w:vAlign w:val="bottom"/>
          </w:tcPr>
          <w:p w14:paraId="71D49541" w14:textId="77777777" w:rsidR="006A3667" w:rsidRDefault="006A3667">
            <w:pPr>
              <w:rPr>
                <w:rFonts w:ascii="宋体"/>
              </w:rPr>
            </w:pPr>
          </w:p>
        </w:tc>
        <w:tc>
          <w:tcPr>
            <w:tcW w:w="0" w:type="auto"/>
            <w:gridSpan w:val="3"/>
            <w:shd w:val="clear" w:color="auto" w:fill="auto"/>
            <w:vAlign w:val="bottom"/>
          </w:tcPr>
          <w:p w14:paraId="71D49542" w14:textId="77777777" w:rsidR="006A3667" w:rsidRDefault="006A3667">
            <w:pPr>
              <w:rPr>
                <w:rFonts w:ascii="宋体"/>
                <w:vanish/>
              </w:rPr>
            </w:pPr>
          </w:p>
        </w:tc>
        <w:tc>
          <w:tcPr>
            <w:tcW w:w="0" w:type="auto"/>
            <w:gridSpan w:val="3"/>
            <w:shd w:val="clear" w:color="auto" w:fill="auto"/>
            <w:vAlign w:val="bottom"/>
          </w:tcPr>
          <w:p w14:paraId="71D49543" w14:textId="77777777" w:rsidR="006A3667" w:rsidRDefault="006A3667">
            <w:pPr>
              <w:rPr>
                <w:rFonts w:ascii="宋体"/>
                <w:vanish/>
              </w:rPr>
            </w:pPr>
          </w:p>
        </w:tc>
        <w:tc>
          <w:tcPr>
            <w:tcW w:w="50" w:type="pct"/>
            <w:shd w:val="clear" w:color="auto" w:fill="auto"/>
            <w:vAlign w:val="bottom"/>
          </w:tcPr>
          <w:p w14:paraId="71D49544" w14:textId="77777777" w:rsidR="006A3667" w:rsidRDefault="006A3667">
            <w:pPr>
              <w:rPr>
                <w:rFonts w:ascii="宋体"/>
              </w:rPr>
            </w:pPr>
          </w:p>
        </w:tc>
        <w:tc>
          <w:tcPr>
            <w:tcW w:w="354" w:type="pct"/>
            <w:shd w:val="clear" w:color="auto" w:fill="auto"/>
            <w:vAlign w:val="bottom"/>
          </w:tcPr>
          <w:p w14:paraId="71D49545" w14:textId="77777777" w:rsidR="006A3667" w:rsidRDefault="006A3667">
            <w:pPr>
              <w:rPr>
                <w:rFonts w:ascii="宋体"/>
              </w:rPr>
            </w:pPr>
          </w:p>
        </w:tc>
        <w:tc>
          <w:tcPr>
            <w:tcW w:w="5" w:type="pct"/>
            <w:shd w:val="clear" w:color="auto" w:fill="auto"/>
            <w:vAlign w:val="bottom"/>
          </w:tcPr>
          <w:p w14:paraId="71D49546" w14:textId="77777777" w:rsidR="006A3667" w:rsidRDefault="006A3667">
            <w:pPr>
              <w:rPr>
                <w:rFonts w:ascii="宋体"/>
              </w:rPr>
            </w:pPr>
          </w:p>
        </w:tc>
        <w:tc>
          <w:tcPr>
            <w:tcW w:w="5" w:type="pct"/>
            <w:shd w:val="clear" w:color="auto" w:fill="auto"/>
            <w:vAlign w:val="bottom"/>
          </w:tcPr>
          <w:p w14:paraId="71D49547" w14:textId="77777777" w:rsidR="006A3667" w:rsidRDefault="006A3667">
            <w:pPr>
              <w:rPr>
                <w:rFonts w:ascii="宋体"/>
              </w:rPr>
            </w:pPr>
          </w:p>
        </w:tc>
        <w:tc>
          <w:tcPr>
            <w:tcW w:w="26" w:type="pct"/>
            <w:shd w:val="clear" w:color="auto" w:fill="auto"/>
            <w:vAlign w:val="bottom"/>
          </w:tcPr>
          <w:p w14:paraId="71D49548" w14:textId="77777777" w:rsidR="006A3667" w:rsidRDefault="006A3667">
            <w:pPr>
              <w:rPr>
                <w:rFonts w:ascii="宋体"/>
              </w:rPr>
            </w:pPr>
          </w:p>
        </w:tc>
        <w:tc>
          <w:tcPr>
            <w:tcW w:w="5" w:type="pct"/>
            <w:shd w:val="clear" w:color="auto" w:fill="auto"/>
            <w:vAlign w:val="bottom"/>
          </w:tcPr>
          <w:p w14:paraId="71D49549" w14:textId="77777777" w:rsidR="006A3667" w:rsidRDefault="006A3667">
            <w:pPr>
              <w:rPr>
                <w:rFonts w:ascii="宋体"/>
              </w:rPr>
            </w:pPr>
          </w:p>
        </w:tc>
      </w:tr>
      <w:tr w:rsidR="006A3667" w14:paraId="71D4955C" w14:textId="77777777">
        <w:tc>
          <w:tcPr>
            <w:tcW w:w="0" w:type="auto"/>
            <w:gridSpan w:val="3"/>
            <w:shd w:val="clear" w:color="auto" w:fill="auto"/>
            <w:tcMar>
              <w:top w:w="0" w:type="dxa"/>
              <w:left w:w="20" w:type="dxa"/>
              <w:bottom w:w="0" w:type="dxa"/>
              <w:right w:w="20" w:type="dxa"/>
            </w:tcMar>
            <w:vAlign w:val="bottom"/>
          </w:tcPr>
          <w:p w14:paraId="71D4954B" w14:textId="77777777" w:rsidR="006A3667" w:rsidRDefault="006A3667">
            <w:pPr>
              <w:rPr>
                <w:rFonts w:ascii="宋体"/>
              </w:rPr>
            </w:pPr>
          </w:p>
        </w:tc>
        <w:tc>
          <w:tcPr>
            <w:tcW w:w="0" w:type="auto"/>
            <w:gridSpan w:val="37"/>
            <w:tcBorders>
              <w:bottom w:val="single" w:sz="8" w:space="0" w:color="000000"/>
            </w:tcBorders>
            <w:shd w:val="clear" w:color="auto" w:fill="auto"/>
            <w:tcMar>
              <w:top w:w="40" w:type="dxa"/>
              <w:left w:w="20" w:type="dxa"/>
              <w:bottom w:w="40" w:type="dxa"/>
              <w:right w:w="20" w:type="dxa"/>
            </w:tcMar>
            <w:vAlign w:val="bottom"/>
          </w:tcPr>
          <w:p w14:paraId="71D4954C" w14:textId="77777777" w:rsidR="006A3667" w:rsidRDefault="00045F32">
            <w:pPr>
              <w:jc w:val="center"/>
              <w:textAlignment w:val="bottom"/>
            </w:pPr>
            <w:r>
              <w:rPr>
                <w:rFonts w:ascii="Arial" w:eastAsia="宋体" w:hAnsi="Arial" w:cs="Arial"/>
                <w:b/>
                <w:bCs/>
                <w:color w:val="000000"/>
                <w:sz w:val="14"/>
                <w:szCs w:val="14"/>
              </w:rPr>
              <w:t>Three Months Ended September 30,</w:t>
            </w:r>
          </w:p>
        </w:tc>
        <w:tc>
          <w:tcPr>
            <w:tcW w:w="0" w:type="auto"/>
            <w:shd w:val="clear" w:color="auto" w:fill="auto"/>
            <w:vAlign w:val="bottom"/>
          </w:tcPr>
          <w:p w14:paraId="71D4954D" w14:textId="77777777" w:rsidR="006A3667" w:rsidRDefault="006A3667">
            <w:pPr>
              <w:rPr>
                <w:rFonts w:ascii="宋体"/>
              </w:rPr>
            </w:pPr>
          </w:p>
        </w:tc>
        <w:tc>
          <w:tcPr>
            <w:tcW w:w="0" w:type="auto"/>
            <w:shd w:val="clear" w:color="auto" w:fill="auto"/>
            <w:vAlign w:val="bottom"/>
          </w:tcPr>
          <w:p w14:paraId="71D4954E" w14:textId="77777777" w:rsidR="006A3667" w:rsidRDefault="006A3667">
            <w:pPr>
              <w:rPr>
                <w:rFonts w:ascii="宋体"/>
              </w:rPr>
            </w:pPr>
          </w:p>
        </w:tc>
        <w:tc>
          <w:tcPr>
            <w:tcW w:w="0" w:type="auto"/>
            <w:shd w:val="clear" w:color="auto" w:fill="auto"/>
            <w:vAlign w:val="bottom"/>
          </w:tcPr>
          <w:p w14:paraId="71D4954F" w14:textId="77777777" w:rsidR="006A3667" w:rsidRDefault="006A3667">
            <w:pPr>
              <w:rPr>
                <w:rFonts w:ascii="宋体"/>
              </w:rPr>
            </w:pPr>
          </w:p>
        </w:tc>
        <w:tc>
          <w:tcPr>
            <w:tcW w:w="0" w:type="auto"/>
            <w:shd w:val="clear" w:color="auto" w:fill="auto"/>
            <w:vAlign w:val="bottom"/>
          </w:tcPr>
          <w:p w14:paraId="71D49550" w14:textId="77777777" w:rsidR="006A3667" w:rsidRDefault="006A3667">
            <w:pPr>
              <w:rPr>
                <w:rFonts w:ascii="宋体"/>
              </w:rPr>
            </w:pPr>
          </w:p>
        </w:tc>
        <w:tc>
          <w:tcPr>
            <w:tcW w:w="0" w:type="auto"/>
            <w:shd w:val="clear" w:color="auto" w:fill="auto"/>
            <w:vAlign w:val="bottom"/>
          </w:tcPr>
          <w:p w14:paraId="71D49551" w14:textId="77777777" w:rsidR="006A3667" w:rsidRDefault="006A3667">
            <w:pPr>
              <w:rPr>
                <w:rFonts w:ascii="宋体"/>
              </w:rPr>
            </w:pPr>
          </w:p>
        </w:tc>
        <w:tc>
          <w:tcPr>
            <w:tcW w:w="0" w:type="auto"/>
            <w:shd w:val="clear" w:color="auto" w:fill="auto"/>
            <w:vAlign w:val="bottom"/>
          </w:tcPr>
          <w:p w14:paraId="71D49552" w14:textId="77777777" w:rsidR="006A3667" w:rsidRDefault="006A3667">
            <w:pPr>
              <w:rPr>
                <w:rFonts w:ascii="宋体"/>
              </w:rPr>
            </w:pPr>
          </w:p>
        </w:tc>
        <w:tc>
          <w:tcPr>
            <w:tcW w:w="0" w:type="auto"/>
            <w:shd w:val="clear" w:color="auto" w:fill="auto"/>
            <w:vAlign w:val="bottom"/>
          </w:tcPr>
          <w:p w14:paraId="71D49553" w14:textId="77777777" w:rsidR="006A3667" w:rsidRDefault="006A3667">
            <w:pPr>
              <w:rPr>
                <w:rFonts w:ascii="宋体"/>
              </w:rPr>
            </w:pPr>
          </w:p>
        </w:tc>
        <w:tc>
          <w:tcPr>
            <w:tcW w:w="0" w:type="auto"/>
            <w:shd w:val="clear" w:color="auto" w:fill="auto"/>
            <w:vAlign w:val="bottom"/>
          </w:tcPr>
          <w:p w14:paraId="71D49554" w14:textId="77777777" w:rsidR="006A3667" w:rsidRDefault="006A3667">
            <w:pPr>
              <w:rPr>
                <w:rFonts w:ascii="宋体"/>
              </w:rPr>
            </w:pPr>
          </w:p>
        </w:tc>
        <w:tc>
          <w:tcPr>
            <w:tcW w:w="0" w:type="auto"/>
            <w:shd w:val="clear" w:color="auto" w:fill="auto"/>
            <w:vAlign w:val="bottom"/>
          </w:tcPr>
          <w:p w14:paraId="71D49555" w14:textId="77777777" w:rsidR="006A3667" w:rsidRDefault="006A3667">
            <w:pPr>
              <w:rPr>
                <w:rFonts w:ascii="宋体"/>
              </w:rPr>
            </w:pPr>
          </w:p>
        </w:tc>
        <w:tc>
          <w:tcPr>
            <w:tcW w:w="0" w:type="auto"/>
            <w:shd w:val="clear" w:color="auto" w:fill="auto"/>
            <w:vAlign w:val="bottom"/>
          </w:tcPr>
          <w:p w14:paraId="71D49556" w14:textId="77777777" w:rsidR="006A3667" w:rsidRDefault="006A3667">
            <w:pPr>
              <w:rPr>
                <w:rFonts w:ascii="宋体"/>
              </w:rPr>
            </w:pPr>
          </w:p>
        </w:tc>
        <w:tc>
          <w:tcPr>
            <w:tcW w:w="0" w:type="auto"/>
            <w:shd w:val="clear" w:color="auto" w:fill="auto"/>
            <w:vAlign w:val="bottom"/>
          </w:tcPr>
          <w:p w14:paraId="71D49557" w14:textId="77777777" w:rsidR="006A3667" w:rsidRDefault="006A3667">
            <w:pPr>
              <w:rPr>
                <w:rFonts w:ascii="宋体"/>
              </w:rPr>
            </w:pPr>
          </w:p>
        </w:tc>
        <w:tc>
          <w:tcPr>
            <w:tcW w:w="0" w:type="auto"/>
            <w:shd w:val="clear" w:color="auto" w:fill="auto"/>
            <w:vAlign w:val="bottom"/>
          </w:tcPr>
          <w:p w14:paraId="71D49558" w14:textId="77777777" w:rsidR="006A3667" w:rsidRDefault="006A3667">
            <w:pPr>
              <w:rPr>
                <w:rFonts w:ascii="宋体"/>
              </w:rPr>
            </w:pPr>
          </w:p>
        </w:tc>
        <w:tc>
          <w:tcPr>
            <w:tcW w:w="0" w:type="auto"/>
            <w:shd w:val="clear" w:color="auto" w:fill="auto"/>
            <w:vAlign w:val="bottom"/>
          </w:tcPr>
          <w:p w14:paraId="71D49559" w14:textId="77777777" w:rsidR="006A3667" w:rsidRDefault="006A3667">
            <w:pPr>
              <w:rPr>
                <w:rFonts w:ascii="宋体"/>
              </w:rPr>
            </w:pPr>
          </w:p>
        </w:tc>
        <w:tc>
          <w:tcPr>
            <w:tcW w:w="0" w:type="auto"/>
            <w:shd w:val="clear" w:color="auto" w:fill="auto"/>
            <w:vAlign w:val="bottom"/>
          </w:tcPr>
          <w:p w14:paraId="71D4955A" w14:textId="77777777" w:rsidR="006A3667" w:rsidRDefault="006A3667">
            <w:pPr>
              <w:rPr>
                <w:rFonts w:ascii="宋体"/>
              </w:rPr>
            </w:pPr>
          </w:p>
        </w:tc>
        <w:tc>
          <w:tcPr>
            <w:tcW w:w="0" w:type="auto"/>
            <w:shd w:val="clear" w:color="auto" w:fill="auto"/>
            <w:vAlign w:val="bottom"/>
          </w:tcPr>
          <w:p w14:paraId="71D4955B" w14:textId="77777777" w:rsidR="006A3667" w:rsidRDefault="006A3667">
            <w:pPr>
              <w:rPr>
                <w:rFonts w:ascii="宋体"/>
              </w:rPr>
            </w:pPr>
          </w:p>
        </w:tc>
      </w:tr>
      <w:tr w:rsidR="006A3667" w14:paraId="71D4956B" w14:textId="77777777">
        <w:tc>
          <w:tcPr>
            <w:tcW w:w="0" w:type="auto"/>
            <w:gridSpan w:val="3"/>
            <w:shd w:val="clear" w:color="auto" w:fill="auto"/>
            <w:tcMar>
              <w:top w:w="0" w:type="dxa"/>
              <w:left w:w="20" w:type="dxa"/>
              <w:bottom w:w="0" w:type="dxa"/>
              <w:right w:w="20" w:type="dxa"/>
            </w:tcMar>
            <w:vAlign w:val="bottom"/>
          </w:tcPr>
          <w:p w14:paraId="71D4955D"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955E" w14:textId="77777777" w:rsidR="006A3667" w:rsidRDefault="00045F32">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55F" w14:textId="77777777" w:rsidR="006A3667" w:rsidRDefault="006A3667">
            <w:pPr>
              <w:rPr>
                <w:rFonts w:ascii="宋体"/>
              </w:rPr>
            </w:pPr>
          </w:p>
        </w:tc>
        <w:tc>
          <w:tcPr>
            <w:tcW w:w="0" w:type="auto"/>
            <w:shd w:val="clear" w:color="auto" w:fill="auto"/>
            <w:vAlign w:val="bottom"/>
          </w:tcPr>
          <w:p w14:paraId="71D49560" w14:textId="77777777" w:rsidR="006A3667" w:rsidRDefault="006A3667">
            <w:pPr>
              <w:rPr>
                <w:rFonts w:ascii="宋体"/>
                <w:vanish/>
              </w:rPr>
            </w:pPr>
          </w:p>
        </w:tc>
        <w:tc>
          <w:tcPr>
            <w:tcW w:w="0" w:type="auto"/>
            <w:shd w:val="clear" w:color="auto" w:fill="auto"/>
            <w:vAlign w:val="bottom"/>
          </w:tcPr>
          <w:p w14:paraId="71D49561" w14:textId="77777777" w:rsidR="006A3667" w:rsidRDefault="006A3667">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9562" w14:textId="77777777" w:rsidR="006A3667" w:rsidRDefault="00045F32">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563" w14:textId="77777777" w:rsidR="006A3667" w:rsidRDefault="006A3667">
            <w:pPr>
              <w:rPr>
                <w:rFonts w:ascii="宋体"/>
              </w:rPr>
            </w:pPr>
          </w:p>
        </w:tc>
        <w:tc>
          <w:tcPr>
            <w:tcW w:w="0" w:type="auto"/>
            <w:shd w:val="clear" w:color="auto" w:fill="auto"/>
            <w:vAlign w:val="bottom"/>
          </w:tcPr>
          <w:p w14:paraId="71D49564" w14:textId="77777777" w:rsidR="006A3667" w:rsidRDefault="006A3667">
            <w:pPr>
              <w:rPr>
                <w:rFonts w:ascii="宋体"/>
                <w:vanish/>
              </w:rPr>
            </w:pPr>
          </w:p>
        </w:tc>
        <w:tc>
          <w:tcPr>
            <w:tcW w:w="0" w:type="auto"/>
            <w:shd w:val="clear" w:color="auto" w:fill="auto"/>
            <w:vAlign w:val="bottom"/>
          </w:tcPr>
          <w:p w14:paraId="71D49565" w14:textId="77777777" w:rsidR="006A3667" w:rsidRDefault="006A3667">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9566" w14:textId="77777777" w:rsidR="006A3667" w:rsidRDefault="00045F32">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567" w14:textId="77777777" w:rsidR="006A3667" w:rsidRDefault="006A3667">
            <w:pPr>
              <w:rPr>
                <w:rFonts w:ascii="宋体"/>
              </w:rPr>
            </w:pPr>
          </w:p>
        </w:tc>
        <w:tc>
          <w:tcPr>
            <w:tcW w:w="0" w:type="auto"/>
            <w:gridSpan w:val="3"/>
            <w:shd w:val="clear" w:color="auto" w:fill="auto"/>
            <w:vAlign w:val="bottom"/>
          </w:tcPr>
          <w:p w14:paraId="71D49568" w14:textId="77777777" w:rsidR="006A3667" w:rsidRDefault="006A3667">
            <w:pPr>
              <w:rPr>
                <w:rFonts w:ascii="宋体"/>
                <w:vanish/>
              </w:rPr>
            </w:pPr>
          </w:p>
        </w:tc>
        <w:tc>
          <w:tcPr>
            <w:tcW w:w="0" w:type="auto"/>
            <w:gridSpan w:val="3"/>
            <w:shd w:val="clear" w:color="auto" w:fill="auto"/>
            <w:vAlign w:val="bottom"/>
          </w:tcPr>
          <w:p w14:paraId="71D49569" w14:textId="77777777" w:rsidR="006A3667" w:rsidRDefault="006A3667">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71D4956A"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9582" w14:textId="77777777">
        <w:tc>
          <w:tcPr>
            <w:tcW w:w="0" w:type="auto"/>
            <w:gridSpan w:val="3"/>
            <w:shd w:val="clear" w:color="auto" w:fill="auto"/>
            <w:tcMar>
              <w:top w:w="40" w:type="dxa"/>
              <w:left w:w="20" w:type="dxa"/>
              <w:bottom w:w="40" w:type="dxa"/>
              <w:right w:w="20" w:type="dxa"/>
            </w:tcMar>
            <w:vAlign w:val="bottom"/>
          </w:tcPr>
          <w:p w14:paraId="71D4956C" w14:textId="77777777" w:rsidR="006A3667" w:rsidRDefault="00045F32">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56D"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56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56F"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71D49570" w14:textId="77777777" w:rsidR="006A3667" w:rsidRDefault="006A3667">
            <w:pPr>
              <w:rPr>
                <w:rFonts w:ascii="宋体"/>
              </w:rPr>
            </w:pPr>
          </w:p>
        </w:tc>
        <w:tc>
          <w:tcPr>
            <w:tcW w:w="0" w:type="auto"/>
            <w:shd w:val="clear" w:color="auto" w:fill="auto"/>
            <w:vAlign w:val="bottom"/>
          </w:tcPr>
          <w:p w14:paraId="71D49571" w14:textId="77777777" w:rsidR="006A3667" w:rsidRDefault="006A3667">
            <w:pPr>
              <w:rPr>
                <w:rFonts w:ascii="宋体"/>
                <w:vanish/>
              </w:rPr>
            </w:pPr>
          </w:p>
        </w:tc>
        <w:tc>
          <w:tcPr>
            <w:tcW w:w="0" w:type="auto"/>
            <w:shd w:val="clear" w:color="auto" w:fill="auto"/>
            <w:vAlign w:val="bottom"/>
          </w:tcPr>
          <w:p w14:paraId="71D49572"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573"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57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575"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71D49576" w14:textId="77777777" w:rsidR="006A3667" w:rsidRDefault="006A3667">
            <w:pPr>
              <w:rPr>
                <w:rFonts w:ascii="宋体"/>
              </w:rPr>
            </w:pPr>
          </w:p>
        </w:tc>
        <w:tc>
          <w:tcPr>
            <w:tcW w:w="0" w:type="auto"/>
            <w:shd w:val="clear" w:color="auto" w:fill="auto"/>
            <w:vAlign w:val="bottom"/>
          </w:tcPr>
          <w:p w14:paraId="71D49577" w14:textId="77777777" w:rsidR="006A3667" w:rsidRDefault="006A3667">
            <w:pPr>
              <w:rPr>
                <w:rFonts w:ascii="宋体"/>
                <w:vanish/>
              </w:rPr>
            </w:pPr>
          </w:p>
        </w:tc>
        <w:tc>
          <w:tcPr>
            <w:tcW w:w="0" w:type="auto"/>
            <w:shd w:val="clear" w:color="auto" w:fill="auto"/>
            <w:vAlign w:val="bottom"/>
          </w:tcPr>
          <w:p w14:paraId="71D49578"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579"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57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57B"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71D4957C" w14:textId="77777777" w:rsidR="006A3667" w:rsidRDefault="006A3667">
            <w:pPr>
              <w:rPr>
                <w:rFonts w:ascii="宋体"/>
              </w:rPr>
            </w:pPr>
          </w:p>
        </w:tc>
        <w:tc>
          <w:tcPr>
            <w:tcW w:w="0" w:type="auto"/>
            <w:gridSpan w:val="3"/>
            <w:shd w:val="clear" w:color="auto" w:fill="auto"/>
            <w:vAlign w:val="bottom"/>
          </w:tcPr>
          <w:p w14:paraId="71D4957D" w14:textId="77777777" w:rsidR="006A3667" w:rsidRDefault="006A3667">
            <w:pPr>
              <w:rPr>
                <w:rFonts w:ascii="宋体"/>
                <w:vanish/>
              </w:rPr>
            </w:pPr>
          </w:p>
        </w:tc>
        <w:tc>
          <w:tcPr>
            <w:tcW w:w="0" w:type="auto"/>
            <w:gridSpan w:val="3"/>
            <w:shd w:val="clear" w:color="auto" w:fill="auto"/>
            <w:vAlign w:val="bottom"/>
          </w:tcPr>
          <w:p w14:paraId="71D4957E" w14:textId="77777777" w:rsidR="006A3667" w:rsidRDefault="006A3667">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57F"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71D49580" w14:textId="77777777" w:rsidR="006A3667" w:rsidRDefault="006A3667">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71D49581" w14:textId="77777777" w:rsidR="006A3667" w:rsidRDefault="00045F32">
            <w:pPr>
              <w:jc w:val="center"/>
              <w:textAlignment w:val="bottom"/>
            </w:pPr>
            <w:r>
              <w:rPr>
                <w:rFonts w:ascii="Arial" w:eastAsia="宋体" w:hAnsi="Arial" w:cs="Arial"/>
                <w:b/>
                <w:bCs/>
                <w:color w:val="000000"/>
                <w:sz w:val="13"/>
                <w:szCs w:val="13"/>
              </w:rPr>
              <w:t>2021</w:t>
            </w:r>
          </w:p>
        </w:tc>
      </w:tr>
      <w:tr w:rsidR="006A3667" w14:paraId="71D495A8" w14:textId="77777777">
        <w:tc>
          <w:tcPr>
            <w:tcW w:w="0" w:type="auto"/>
            <w:gridSpan w:val="3"/>
            <w:shd w:val="clear" w:color="auto" w:fill="CCEEFF"/>
            <w:tcMar>
              <w:top w:w="40" w:type="dxa"/>
              <w:left w:w="20" w:type="dxa"/>
              <w:bottom w:w="40" w:type="dxa"/>
              <w:right w:w="20" w:type="dxa"/>
            </w:tcMar>
            <w:vAlign w:val="bottom"/>
          </w:tcPr>
          <w:p w14:paraId="71D49583" w14:textId="77777777" w:rsidR="006A3667" w:rsidRDefault="00045F32">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58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585" w14:textId="77777777" w:rsidR="006A3667" w:rsidRDefault="00045F32">
            <w:pPr>
              <w:jc w:val="right"/>
              <w:textAlignment w:val="bottom"/>
            </w:pPr>
            <w:r>
              <w:rPr>
                <w:rFonts w:ascii="Arial" w:eastAsia="宋体" w:hAnsi="Arial" w:cs="Arial"/>
                <w:b/>
                <w:bCs/>
                <w:color w:val="000000"/>
                <w:sz w:val="14"/>
                <w:szCs w:val="14"/>
              </w:rPr>
              <w:t>1,219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58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8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58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589" w14:textId="77777777" w:rsidR="006A3667" w:rsidRDefault="00045F32">
            <w:pPr>
              <w:jc w:val="right"/>
              <w:textAlignment w:val="bottom"/>
            </w:pPr>
            <w:r>
              <w:rPr>
                <w:rFonts w:ascii="Arial" w:eastAsia="宋体" w:hAnsi="Arial" w:cs="Arial"/>
                <w:color w:val="000000"/>
                <w:sz w:val="14"/>
                <w:szCs w:val="14"/>
              </w:rPr>
              <w:t>1,391 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58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8B" w14:textId="77777777" w:rsidR="006A3667" w:rsidRDefault="006A3667">
            <w:pPr>
              <w:rPr>
                <w:rFonts w:ascii="宋体"/>
              </w:rPr>
            </w:pPr>
          </w:p>
        </w:tc>
        <w:tc>
          <w:tcPr>
            <w:tcW w:w="0" w:type="auto"/>
            <w:shd w:val="clear" w:color="auto" w:fill="auto"/>
            <w:vAlign w:val="bottom"/>
          </w:tcPr>
          <w:p w14:paraId="71D4958C" w14:textId="77777777" w:rsidR="006A3667" w:rsidRDefault="006A3667">
            <w:pPr>
              <w:rPr>
                <w:rFonts w:ascii="宋体"/>
                <w:vanish/>
              </w:rPr>
            </w:pPr>
          </w:p>
        </w:tc>
        <w:tc>
          <w:tcPr>
            <w:tcW w:w="0" w:type="auto"/>
            <w:shd w:val="clear" w:color="auto" w:fill="auto"/>
            <w:vAlign w:val="bottom"/>
          </w:tcPr>
          <w:p w14:paraId="71D4958D"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58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58F"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59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9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592"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593"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59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95" w14:textId="77777777" w:rsidR="006A3667" w:rsidRDefault="006A3667">
            <w:pPr>
              <w:rPr>
                <w:rFonts w:ascii="宋体"/>
              </w:rPr>
            </w:pPr>
          </w:p>
        </w:tc>
        <w:tc>
          <w:tcPr>
            <w:tcW w:w="0" w:type="auto"/>
            <w:shd w:val="clear" w:color="auto" w:fill="auto"/>
            <w:vAlign w:val="bottom"/>
          </w:tcPr>
          <w:p w14:paraId="71D49596" w14:textId="77777777" w:rsidR="006A3667" w:rsidRDefault="006A3667">
            <w:pPr>
              <w:rPr>
                <w:rFonts w:ascii="宋体"/>
                <w:vanish/>
              </w:rPr>
            </w:pPr>
          </w:p>
        </w:tc>
        <w:tc>
          <w:tcPr>
            <w:tcW w:w="0" w:type="auto"/>
            <w:shd w:val="clear" w:color="auto" w:fill="auto"/>
            <w:vAlign w:val="bottom"/>
          </w:tcPr>
          <w:p w14:paraId="71D49597"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59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59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59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9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59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59D"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5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9F" w14:textId="77777777" w:rsidR="006A3667" w:rsidRDefault="006A3667">
            <w:pPr>
              <w:rPr>
                <w:rFonts w:ascii="宋体"/>
              </w:rPr>
            </w:pPr>
          </w:p>
        </w:tc>
        <w:tc>
          <w:tcPr>
            <w:tcW w:w="0" w:type="auto"/>
            <w:gridSpan w:val="3"/>
            <w:shd w:val="clear" w:color="auto" w:fill="auto"/>
            <w:vAlign w:val="bottom"/>
          </w:tcPr>
          <w:p w14:paraId="71D495A0" w14:textId="77777777" w:rsidR="006A3667" w:rsidRDefault="006A3667">
            <w:pPr>
              <w:rPr>
                <w:rFonts w:ascii="宋体"/>
                <w:vanish/>
              </w:rPr>
            </w:pPr>
          </w:p>
        </w:tc>
        <w:tc>
          <w:tcPr>
            <w:tcW w:w="0" w:type="auto"/>
            <w:gridSpan w:val="3"/>
            <w:shd w:val="clear" w:color="auto" w:fill="auto"/>
            <w:vAlign w:val="bottom"/>
          </w:tcPr>
          <w:p w14:paraId="71D495A1"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5A2"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5A3" w14:textId="77777777" w:rsidR="006A3667" w:rsidRDefault="00045F32">
            <w:pPr>
              <w:jc w:val="right"/>
              <w:textAlignment w:val="bottom"/>
            </w:pPr>
            <w:r>
              <w:rPr>
                <w:rFonts w:ascii="Arial" w:eastAsia="宋体" w:hAnsi="Arial" w:cs="Arial"/>
                <w:b/>
                <w:bCs/>
                <w:color w:val="000000"/>
                <w:sz w:val="14"/>
                <w:szCs w:val="14"/>
              </w:rPr>
              <w:t>1,219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5A4"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5A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5A6" w14:textId="77777777" w:rsidR="006A3667" w:rsidRDefault="00045F32">
            <w:pPr>
              <w:textAlignment w:val="bottom"/>
            </w:pPr>
            <w:r>
              <w:rPr>
                <w:rFonts w:ascii="Arial" w:eastAsia="宋体" w:hAnsi="Arial" w:cs="Arial"/>
                <w:color w:val="000000"/>
                <w:sz w:val="14"/>
                <w:szCs w:val="14"/>
              </w:rPr>
              <w:t>$</w:t>
            </w:r>
          </w:p>
          <w:p w14:paraId="71D495A7" w14:textId="77777777" w:rsidR="006A3667" w:rsidRDefault="00045F32">
            <w:pPr>
              <w:jc w:val="right"/>
              <w:textAlignment w:val="bottom"/>
            </w:pPr>
            <w:r>
              <w:rPr>
                <w:rFonts w:ascii="Arial" w:eastAsia="宋体" w:hAnsi="Arial" w:cs="Arial"/>
                <w:color w:val="000000"/>
                <w:sz w:val="14"/>
                <w:szCs w:val="14"/>
              </w:rPr>
              <w:t>1,391 </w:t>
            </w:r>
          </w:p>
        </w:tc>
      </w:tr>
      <w:tr w:rsidR="006A3667" w14:paraId="71D495C6" w14:textId="77777777">
        <w:tc>
          <w:tcPr>
            <w:tcW w:w="0" w:type="auto"/>
            <w:gridSpan w:val="3"/>
            <w:shd w:val="clear" w:color="auto" w:fill="FFFFFF"/>
            <w:tcMar>
              <w:top w:w="40" w:type="dxa"/>
              <w:left w:w="20" w:type="dxa"/>
              <w:bottom w:w="40" w:type="dxa"/>
              <w:right w:w="20" w:type="dxa"/>
            </w:tcMar>
            <w:vAlign w:val="bottom"/>
          </w:tcPr>
          <w:p w14:paraId="71D495A9" w14:textId="77777777" w:rsidR="006A3667" w:rsidRDefault="00045F32">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71D495A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A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A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5A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A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AF" w14:textId="77777777" w:rsidR="006A3667" w:rsidRDefault="006A3667">
            <w:pPr>
              <w:rPr>
                <w:rFonts w:ascii="宋体"/>
              </w:rPr>
            </w:pPr>
          </w:p>
        </w:tc>
        <w:tc>
          <w:tcPr>
            <w:tcW w:w="0" w:type="auto"/>
            <w:shd w:val="clear" w:color="auto" w:fill="auto"/>
            <w:vAlign w:val="bottom"/>
          </w:tcPr>
          <w:p w14:paraId="71D495B0" w14:textId="77777777" w:rsidR="006A3667" w:rsidRDefault="006A3667">
            <w:pPr>
              <w:rPr>
                <w:rFonts w:ascii="宋体"/>
                <w:vanish/>
              </w:rPr>
            </w:pPr>
          </w:p>
        </w:tc>
        <w:tc>
          <w:tcPr>
            <w:tcW w:w="0" w:type="auto"/>
            <w:shd w:val="clear" w:color="auto" w:fill="auto"/>
            <w:vAlign w:val="bottom"/>
          </w:tcPr>
          <w:p w14:paraId="71D495B1"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5B2" w14:textId="77777777" w:rsidR="006A3667" w:rsidRDefault="00045F32">
            <w:pPr>
              <w:jc w:val="right"/>
              <w:textAlignment w:val="bottom"/>
            </w:pPr>
            <w:r>
              <w:rPr>
                <w:rFonts w:ascii="Arial" w:eastAsia="宋体" w:hAnsi="Arial" w:cs="Arial"/>
                <w:b/>
                <w:bCs/>
                <w:color w:val="000000"/>
                <w:sz w:val="14"/>
                <w:szCs w:val="14"/>
              </w:rPr>
              <w:t>472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B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B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5B5" w14:textId="77777777" w:rsidR="006A3667" w:rsidRDefault="00045F32">
            <w:pPr>
              <w:jc w:val="right"/>
              <w:textAlignment w:val="bottom"/>
            </w:pPr>
            <w:r>
              <w:rPr>
                <w:rFonts w:ascii="Arial" w:eastAsia="宋体" w:hAnsi="Arial" w:cs="Arial"/>
                <w:color w:val="000000"/>
                <w:sz w:val="14"/>
                <w:szCs w:val="14"/>
              </w:rPr>
              <w:t>526 </w:t>
            </w:r>
          </w:p>
        </w:tc>
        <w:tc>
          <w:tcPr>
            <w:tcW w:w="0" w:type="auto"/>
            <w:shd w:val="clear" w:color="auto" w:fill="FFFFFF"/>
            <w:tcMar>
              <w:top w:w="40" w:type="dxa"/>
              <w:left w:w="0" w:type="dxa"/>
              <w:bottom w:w="40" w:type="dxa"/>
              <w:right w:w="20" w:type="dxa"/>
            </w:tcMar>
            <w:vAlign w:val="bottom"/>
          </w:tcPr>
          <w:p w14:paraId="71D495B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B7" w14:textId="77777777" w:rsidR="006A3667" w:rsidRDefault="006A3667">
            <w:pPr>
              <w:rPr>
                <w:rFonts w:ascii="宋体"/>
              </w:rPr>
            </w:pPr>
          </w:p>
        </w:tc>
        <w:tc>
          <w:tcPr>
            <w:tcW w:w="0" w:type="auto"/>
            <w:shd w:val="clear" w:color="auto" w:fill="auto"/>
            <w:vAlign w:val="bottom"/>
          </w:tcPr>
          <w:p w14:paraId="71D495B8" w14:textId="77777777" w:rsidR="006A3667" w:rsidRDefault="006A3667">
            <w:pPr>
              <w:rPr>
                <w:rFonts w:ascii="宋体"/>
                <w:vanish/>
              </w:rPr>
            </w:pPr>
          </w:p>
        </w:tc>
        <w:tc>
          <w:tcPr>
            <w:tcW w:w="0" w:type="auto"/>
            <w:shd w:val="clear" w:color="auto" w:fill="auto"/>
            <w:vAlign w:val="bottom"/>
          </w:tcPr>
          <w:p w14:paraId="71D495B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5B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B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B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5B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BF" w14:textId="77777777" w:rsidR="006A3667" w:rsidRDefault="006A3667">
            <w:pPr>
              <w:rPr>
                <w:rFonts w:ascii="宋体"/>
              </w:rPr>
            </w:pPr>
          </w:p>
        </w:tc>
        <w:tc>
          <w:tcPr>
            <w:tcW w:w="0" w:type="auto"/>
            <w:gridSpan w:val="3"/>
            <w:shd w:val="clear" w:color="auto" w:fill="auto"/>
            <w:vAlign w:val="bottom"/>
          </w:tcPr>
          <w:p w14:paraId="71D495C0" w14:textId="77777777" w:rsidR="006A3667" w:rsidRDefault="006A3667">
            <w:pPr>
              <w:rPr>
                <w:rFonts w:ascii="宋体"/>
                <w:vanish/>
              </w:rPr>
            </w:pPr>
          </w:p>
        </w:tc>
        <w:tc>
          <w:tcPr>
            <w:tcW w:w="0" w:type="auto"/>
            <w:gridSpan w:val="3"/>
            <w:shd w:val="clear" w:color="auto" w:fill="auto"/>
            <w:vAlign w:val="bottom"/>
          </w:tcPr>
          <w:p w14:paraId="71D495C1"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5C2" w14:textId="77777777" w:rsidR="006A3667" w:rsidRDefault="00045F32">
            <w:pPr>
              <w:jc w:val="right"/>
              <w:textAlignment w:val="bottom"/>
            </w:pPr>
            <w:r>
              <w:rPr>
                <w:rFonts w:ascii="Arial" w:eastAsia="宋体" w:hAnsi="Arial" w:cs="Arial"/>
                <w:b/>
                <w:bCs/>
                <w:color w:val="000000"/>
                <w:sz w:val="14"/>
                <w:szCs w:val="14"/>
              </w:rPr>
              <w:t>472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C3"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5C4"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5C5" w14:textId="77777777" w:rsidR="006A3667" w:rsidRDefault="00045F32">
            <w:pPr>
              <w:jc w:val="right"/>
              <w:textAlignment w:val="bottom"/>
            </w:pPr>
            <w:r>
              <w:rPr>
                <w:rFonts w:ascii="Arial" w:eastAsia="宋体" w:hAnsi="Arial" w:cs="Arial"/>
                <w:color w:val="000000"/>
                <w:sz w:val="14"/>
                <w:szCs w:val="14"/>
              </w:rPr>
              <w:t>526 </w:t>
            </w:r>
          </w:p>
        </w:tc>
      </w:tr>
      <w:tr w:rsidR="006A3667" w14:paraId="71D495E4" w14:textId="77777777">
        <w:tc>
          <w:tcPr>
            <w:tcW w:w="0" w:type="auto"/>
            <w:gridSpan w:val="3"/>
            <w:shd w:val="clear" w:color="auto" w:fill="CCEEFF"/>
            <w:tcMar>
              <w:top w:w="40" w:type="dxa"/>
              <w:left w:w="20" w:type="dxa"/>
              <w:bottom w:w="40" w:type="dxa"/>
              <w:right w:w="20" w:type="dxa"/>
            </w:tcMar>
            <w:vAlign w:val="bottom"/>
          </w:tcPr>
          <w:p w14:paraId="71D495C7" w14:textId="77777777" w:rsidR="006A3667" w:rsidRDefault="00045F32">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71D495C8" w14:textId="77777777" w:rsidR="006A3667" w:rsidRDefault="00045F32">
            <w:pPr>
              <w:jc w:val="right"/>
              <w:textAlignment w:val="bottom"/>
            </w:pPr>
            <w:r>
              <w:rPr>
                <w:rFonts w:ascii="Arial" w:eastAsia="宋体" w:hAnsi="Arial" w:cs="Arial"/>
                <w:b/>
                <w:bCs/>
                <w:color w:val="000000"/>
                <w:sz w:val="14"/>
                <w:szCs w:val="14"/>
              </w:rPr>
              <w:t>293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5C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C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5CB" w14:textId="77777777" w:rsidR="006A3667" w:rsidRDefault="00045F32">
            <w:pPr>
              <w:jc w:val="right"/>
              <w:textAlignment w:val="bottom"/>
            </w:pPr>
            <w:r>
              <w:rPr>
                <w:rFonts w:ascii="Arial" w:eastAsia="宋体" w:hAnsi="Arial" w:cs="Arial"/>
                <w:color w:val="000000"/>
                <w:sz w:val="14"/>
                <w:szCs w:val="14"/>
              </w:rPr>
              <w:t>266 </w:t>
            </w:r>
          </w:p>
        </w:tc>
        <w:tc>
          <w:tcPr>
            <w:tcW w:w="0" w:type="auto"/>
            <w:shd w:val="clear" w:color="auto" w:fill="CCEEFF"/>
            <w:tcMar>
              <w:top w:w="40" w:type="dxa"/>
              <w:left w:w="0" w:type="dxa"/>
              <w:bottom w:w="40" w:type="dxa"/>
              <w:right w:w="20" w:type="dxa"/>
            </w:tcMar>
            <w:vAlign w:val="bottom"/>
          </w:tcPr>
          <w:p w14:paraId="71D495C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CD" w14:textId="77777777" w:rsidR="006A3667" w:rsidRDefault="006A3667">
            <w:pPr>
              <w:rPr>
                <w:rFonts w:ascii="宋体"/>
              </w:rPr>
            </w:pPr>
          </w:p>
        </w:tc>
        <w:tc>
          <w:tcPr>
            <w:tcW w:w="0" w:type="auto"/>
            <w:shd w:val="clear" w:color="auto" w:fill="auto"/>
            <w:vAlign w:val="bottom"/>
          </w:tcPr>
          <w:p w14:paraId="71D495CE" w14:textId="77777777" w:rsidR="006A3667" w:rsidRDefault="006A3667">
            <w:pPr>
              <w:rPr>
                <w:rFonts w:ascii="宋体"/>
                <w:vanish/>
              </w:rPr>
            </w:pPr>
          </w:p>
        </w:tc>
        <w:tc>
          <w:tcPr>
            <w:tcW w:w="0" w:type="auto"/>
            <w:shd w:val="clear" w:color="auto" w:fill="auto"/>
            <w:vAlign w:val="bottom"/>
          </w:tcPr>
          <w:p w14:paraId="71D495CF"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5D0" w14:textId="77777777" w:rsidR="006A3667" w:rsidRDefault="00045F32">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5D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D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5D3"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71D495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D5" w14:textId="77777777" w:rsidR="006A3667" w:rsidRDefault="006A3667">
            <w:pPr>
              <w:rPr>
                <w:rFonts w:ascii="宋体"/>
              </w:rPr>
            </w:pPr>
          </w:p>
        </w:tc>
        <w:tc>
          <w:tcPr>
            <w:tcW w:w="0" w:type="auto"/>
            <w:shd w:val="clear" w:color="auto" w:fill="auto"/>
            <w:vAlign w:val="bottom"/>
          </w:tcPr>
          <w:p w14:paraId="71D495D6" w14:textId="77777777" w:rsidR="006A3667" w:rsidRDefault="006A3667">
            <w:pPr>
              <w:rPr>
                <w:rFonts w:ascii="宋体"/>
                <w:vanish/>
              </w:rPr>
            </w:pPr>
          </w:p>
        </w:tc>
        <w:tc>
          <w:tcPr>
            <w:tcW w:w="0" w:type="auto"/>
            <w:shd w:val="clear" w:color="auto" w:fill="auto"/>
            <w:vAlign w:val="bottom"/>
          </w:tcPr>
          <w:p w14:paraId="71D495D7"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5D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5D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D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5D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5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5DD" w14:textId="77777777" w:rsidR="006A3667" w:rsidRDefault="006A3667">
            <w:pPr>
              <w:rPr>
                <w:rFonts w:ascii="宋体"/>
              </w:rPr>
            </w:pPr>
          </w:p>
        </w:tc>
        <w:tc>
          <w:tcPr>
            <w:tcW w:w="0" w:type="auto"/>
            <w:gridSpan w:val="3"/>
            <w:shd w:val="clear" w:color="auto" w:fill="auto"/>
            <w:vAlign w:val="bottom"/>
          </w:tcPr>
          <w:p w14:paraId="71D495DE" w14:textId="77777777" w:rsidR="006A3667" w:rsidRDefault="006A3667">
            <w:pPr>
              <w:rPr>
                <w:rFonts w:ascii="宋体"/>
                <w:vanish/>
              </w:rPr>
            </w:pPr>
          </w:p>
        </w:tc>
        <w:tc>
          <w:tcPr>
            <w:tcW w:w="0" w:type="auto"/>
            <w:gridSpan w:val="3"/>
            <w:shd w:val="clear" w:color="auto" w:fill="auto"/>
            <w:vAlign w:val="bottom"/>
          </w:tcPr>
          <w:p w14:paraId="71D495DF"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5E0" w14:textId="77777777" w:rsidR="006A3667" w:rsidRDefault="00045F32">
            <w:pPr>
              <w:jc w:val="right"/>
              <w:textAlignment w:val="bottom"/>
            </w:pPr>
            <w:r>
              <w:rPr>
                <w:rFonts w:ascii="Arial" w:eastAsia="宋体" w:hAnsi="Arial" w:cs="Arial"/>
                <w:b/>
                <w:bCs/>
                <w:color w:val="000000"/>
                <w:sz w:val="14"/>
                <w:szCs w:val="14"/>
              </w:rPr>
              <w:t>319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5E1"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5E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5E3" w14:textId="77777777" w:rsidR="006A3667" w:rsidRDefault="00045F32">
            <w:pPr>
              <w:jc w:val="right"/>
              <w:textAlignment w:val="bottom"/>
            </w:pPr>
            <w:r>
              <w:rPr>
                <w:rFonts w:ascii="Arial" w:eastAsia="宋体" w:hAnsi="Arial" w:cs="Arial"/>
                <w:color w:val="000000"/>
                <w:sz w:val="14"/>
                <w:szCs w:val="14"/>
              </w:rPr>
              <w:t>279 </w:t>
            </w:r>
          </w:p>
        </w:tc>
      </w:tr>
      <w:tr w:rsidR="006A3667" w14:paraId="71D49602" w14:textId="77777777">
        <w:tc>
          <w:tcPr>
            <w:tcW w:w="0" w:type="auto"/>
            <w:gridSpan w:val="3"/>
            <w:shd w:val="clear" w:color="auto" w:fill="FFFFFF"/>
            <w:tcMar>
              <w:top w:w="40" w:type="dxa"/>
              <w:left w:w="20" w:type="dxa"/>
              <w:bottom w:w="40" w:type="dxa"/>
              <w:right w:w="20" w:type="dxa"/>
            </w:tcMar>
            <w:vAlign w:val="bottom"/>
          </w:tcPr>
          <w:p w14:paraId="71D495E5" w14:textId="77777777" w:rsidR="006A3667" w:rsidRDefault="00045F32">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71D495E6" w14:textId="77777777" w:rsidR="006A3667" w:rsidRDefault="00045F32">
            <w:pPr>
              <w:jc w:val="right"/>
              <w:textAlignment w:val="bottom"/>
            </w:pPr>
            <w:r>
              <w:rPr>
                <w:rFonts w:ascii="Arial" w:eastAsia="宋体" w:hAnsi="Arial" w:cs="Arial"/>
                <w:b/>
                <w:bCs/>
                <w:color w:val="000000"/>
                <w:sz w:val="14"/>
                <w:szCs w:val="14"/>
              </w:rPr>
              <w:t>105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E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E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5E9" w14:textId="77777777" w:rsidR="006A3667" w:rsidRDefault="00045F32">
            <w:pPr>
              <w:jc w:val="right"/>
              <w:textAlignment w:val="bottom"/>
            </w:pPr>
            <w:r>
              <w:rPr>
                <w:rFonts w:ascii="Arial" w:eastAsia="宋体" w:hAnsi="Arial" w:cs="Arial"/>
                <w:color w:val="000000"/>
                <w:sz w:val="14"/>
                <w:szCs w:val="14"/>
              </w:rPr>
              <w:t>103 </w:t>
            </w:r>
          </w:p>
        </w:tc>
        <w:tc>
          <w:tcPr>
            <w:tcW w:w="0" w:type="auto"/>
            <w:shd w:val="clear" w:color="auto" w:fill="FFFFFF"/>
            <w:tcMar>
              <w:top w:w="40" w:type="dxa"/>
              <w:left w:w="0" w:type="dxa"/>
              <w:bottom w:w="40" w:type="dxa"/>
              <w:right w:w="20" w:type="dxa"/>
            </w:tcMar>
            <w:vAlign w:val="bottom"/>
          </w:tcPr>
          <w:p w14:paraId="71D495E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EB" w14:textId="77777777" w:rsidR="006A3667" w:rsidRDefault="006A3667">
            <w:pPr>
              <w:rPr>
                <w:rFonts w:ascii="宋体"/>
              </w:rPr>
            </w:pPr>
          </w:p>
        </w:tc>
        <w:tc>
          <w:tcPr>
            <w:tcW w:w="0" w:type="auto"/>
            <w:shd w:val="clear" w:color="auto" w:fill="auto"/>
            <w:vAlign w:val="bottom"/>
          </w:tcPr>
          <w:p w14:paraId="71D495EC" w14:textId="77777777" w:rsidR="006A3667" w:rsidRDefault="006A3667">
            <w:pPr>
              <w:rPr>
                <w:rFonts w:ascii="宋体"/>
                <w:vanish/>
              </w:rPr>
            </w:pPr>
          </w:p>
        </w:tc>
        <w:tc>
          <w:tcPr>
            <w:tcW w:w="0" w:type="auto"/>
            <w:shd w:val="clear" w:color="auto" w:fill="auto"/>
            <w:vAlign w:val="bottom"/>
          </w:tcPr>
          <w:p w14:paraId="71D495ED"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5EE"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E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F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5F1"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1D495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F3" w14:textId="77777777" w:rsidR="006A3667" w:rsidRDefault="006A3667">
            <w:pPr>
              <w:rPr>
                <w:rFonts w:ascii="宋体"/>
              </w:rPr>
            </w:pPr>
          </w:p>
        </w:tc>
        <w:tc>
          <w:tcPr>
            <w:tcW w:w="0" w:type="auto"/>
            <w:shd w:val="clear" w:color="auto" w:fill="auto"/>
            <w:vAlign w:val="bottom"/>
          </w:tcPr>
          <w:p w14:paraId="71D495F4" w14:textId="77777777" w:rsidR="006A3667" w:rsidRDefault="006A3667">
            <w:pPr>
              <w:rPr>
                <w:rFonts w:ascii="宋体"/>
                <w:vanish/>
              </w:rPr>
            </w:pPr>
          </w:p>
        </w:tc>
        <w:tc>
          <w:tcPr>
            <w:tcW w:w="0" w:type="auto"/>
            <w:shd w:val="clear" w:color="auto" w:fill="auto"/>
            <w:vAlign w:val="bottom"/>
          </w:tcPr>
          <w:p w14:paraId="71D495F5"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5F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F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F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5F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F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5FB" w14:textId="77777777" w:rsidR="006A3667" w:rsidRDefault="006A3667">
            <w:pPr>
              <w:rPr>
                <w:rFonts w:ascii="宋体"/>
              </w:rPr>
            </w:pPr>
          </w:p>
        </w:tc>
        <w:tc>
          <w:tcPr>
            <w:tcW w:w="0" w:type="auto"/>
            <w:gridSpan w:val="3"/>
            <w:shd w:val="clear" w:color="auto" w:fill="auto"/>
            <w:vAlign w:val="bottom"/>
          </w:tcPr>
          <w:p w14:paraId="71D495FC" w14:textId="77777777" w:rsidR="006A3667" w:rsidRDefault="006A3667">
            <w:pPr>
              <w:rPr>
                <w:rFonts w:ascii="宋体"/>
                <w:vanish/>
              </w:rPr>
            </w:pPr>
          </w:p>
        </w:tc>
        <w:tc>
          <w:tcPr>
            <w:tcW w:w="0" w:type="auto"/>
            <w:gridSpan w:val="3"/>
            <w:shd w:val="clear" w:color="auto" w:fill="auto"/>
            <w:vAlign w:val="bottom"/>
          </w:tcPr>
          <w:p w14:paraId="71D495FD"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5FE" w14:textId="77777777" w:rsidR="006A3667" w:rsidRDefault="00045F32">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5FF"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600"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601" w14:textId="77777777" w:rsidR="006A3667" w:rsidRDefault="00045F32">
            <w:pPr>
              <w:jc w:val="right"/>
              <w:textAlignment w:val="bottom"/>
            </w:pPr>
            <w:r>
              <w:rPr>
                <w:rFonts w:ascii="Arial" w:eastAsia="宋体" w:hAnsi="Arial" w:cs="Arial"/>
                <w:color w:val="000000"/>
                <w:sz w:val="14"/>
                <w:szCs w:val="14"/>
              </w:rPr>
              <w:t>106 </w:t>
            </w:r>
          </w:p>
        </w:tc>
      </w:tr>
      <w:tr w:rsidR="006A3667" w14:paraId="71D49620" w14:textId="77777777">
        <w:tc>
          <w:tcPr>
            <w:tcW w:w="0" w:type="auto"/>
            <w:gridSpan w:val="3"/>
            <w:shd w:val="clear" w:color="auto" w:fill="CCEEFF"/>
            <w:tcMar>
              <w:top w:w="40" w:type="dxa"/>
              <w:left w:w="20" w:type="dxa"/>
              <w:bottom w:w="40" w:type="dxa"/>
              <w:right w:w="20" w:type="dxa"/>
            </w:tcMar>
            <w:vAlign w:val="bottom"/>
          </w:tcPr>
          <w:p w14:paraId="71D49603" w14:textId="77777777" w:rsidR="006A3667" w:rsidRDefault="00045F32">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71D49604" w14:textId="77777777" w:rsidR="006A3667" w:rsidRDefault="00045F32">
            <w:pPr>
              <w:jc w:val="right"/>
              <w:textAlignment w:val="bottom"/>
            </w:pPr>
            <w:r>
              <w:rPr>
                <w:rFonts w:ascii="Arial" w:eastAsia="宋体" w:hAnsi="Arial" w:cs="Arial"/>
                <w:b/>
                <w:bCs/>
                <w:color w:val="000000"/>
                <w:sz w:val="14"/>
                <w:szCs w:val="14"/>
              </w:rPr>
              <w:t>184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0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0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07" w14:textId="77777777" w:rsidR="006A3667" w:rsidRDefault="00045F32">
            <w:pPr>
              <w:jc w:val="right"/>
              <w:textAlignment w:val="bottom"/>
            </w:pPr>
            <w:r>
              <w:rPr>
                <w:rFonts w:ascii="Arial" w:eastAsia="宋体" w:hAnsi="Arial" w:cs="Arial"/>
                <w:color w:val="000000"/>
                <w:sz w:val="14"/>
                <w:szCs w:val="14"/>
              </w:rPr>
              <w:t>180 </w:t>
            </w:r>
          </w:p>
        </w:tc>
        <w:tc>
          <w:tcPr>
            <w:tcW w:w="0" w:type="auto"/>
            <w:shd w:val="clear" w:color="auto" w:fill="CCEEFF"/>
            <w:tcMar>
              <w:top w:w="40" w:type="dxa"/>
              <w:left w:w="0" w:type="dxa"/>
              <w:bottom w:w="40" w:type="dxa"/>
              <w:right w:w="20" w:type="dxa"/>
            </w:tcMar>
            <w:vAlign w:val="bottom"/>
          </w:tcPr>
          <w:p w14:paraId="71D496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09" w14:textId="77777777" w:rsidR="006A3667" w:rsidRDefault="006A3667">
            <w:pPr>
              <w:rPr>
                <w:rFonts w:ascii="宋体"/>
              </w:rPr>
            </w:pPr>
          </w:p>
        </w:tc>
        <w:tc>
          <w:tcPr>
            <w:tcW w:w="0" w:type="auto"/>
            <w:shd w:val="clear" w:color="auto" w:fill="auto"/>
            <w:vAlign w:val="bottom"/>
          </w:tcPr>
          <w:p w14:paraId="71D4960A" w14:textId="77777777" w:rsidR="006A3667" w:rsidRDefault="006A3667">
            <w:pPr>
              <w:rPr>
                <w:rFonts w:ascii="宋体"/>
                <w:vanish/>
              </w:rPr>
            </w:pPr>
          </w:p>
        </w:tc>
        <w:tc>
          <w:tcPr>
            <w:tcW w:w="0" w:type="auto"/>
            <w:shd w:val="clear" w:color="auto" w:fill="auto"/>
            <w:vAlign w:val="bottom"/>
          </w:tcPr>
          <w:p w14:paraId="71D4960B"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0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0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0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0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11" w14:textId="77777777" w:rsidR="006A3667" w:rsidRDefault="006A3667">
            <w:pPr>
              <w:rPr>
                <w:rFonts w:ascii="宋体"/>
              </w:rPr>
            </w:pPr>
          </w:p>
        </w:tc>
        <w:tc>
          <w:tcPr>
            <w:tcW w:w="0" w:type="auto"/>
            <w:shd w:val="clear" w:color="auto" w:fill="auto"/>
            <w:vAlign w:val="bottom"/>
          </w:tcPr>
          <w:p w14:paraId="71D49612" w14:textId="77777777" w:rsidR="006A3667" w:rsidRDefault="006A3667">
            <w:pPr>
              <w:rPr>
                <w:rFonts w:ascii="宋体"/>
                <w:vanish/>
              </w:rPr>
            </w:pPr>
          </w:p>
        </w:tc>
        <w:tc>
          <w:tcPr>
            <w:tcW w:w="0" w:type="auto"/>
            <w:shd w:val="clear" w:color="auto" w:fill="auto"/>
            <w:vAlign w:val="bottom"/>
          </w:tcPr>
          <w:p w14:paraId="71D49613"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1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1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1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1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19" w14:textId="77777777" w:rsidR="006A3667" w:rsidRDefault="006A3667">
            <w:pPr>
              <w:rPr>
                <w:rFonts w:ascii="宋体"/>
              </w:rPr>
            </w:pPr>
          </w:p>
        </w:tc>
        <w:tc>
          <w:tcPr>
            <w:tcW w:w="0" w:type="auto"/>
            <w:gridSpan w:val="3"/>
            <w:shd w:val="clear" w:color="auto" w:fill="auto"/>
            <w:vAlign w:val="bottom"/>
          </w:tcPr>
          <w:p w14:paraId="71D4961A" w14:textId="77777777" w:rsidR="006A3667" w:rsidRDefault="006A3667">
            <w:pPr>
              <w:rPr>
                <w:rFonts w:ascii="宋体"/>
                <w:vanish/>
              </w:rPr>
            </w:pPr>
          </w:p>
        </w:tc>
        <w:tc>
          <w:tcPr>
            <w:tcW w:w="0" w:type="auto"/>
            <w:gridSpan w:val="3"/>
            <w:shd w:val="clear" w:color="auto" w:fill="auto"/>
            <w:vAlign w:val="bottom"/>
          </w:tcPr>
          <w:p w14:paraId="71D4961B"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1C" w14:textId="77777777" w:rsidR="006A3667" w:rsidRDefault="00045F32">
            <w:pPr>
              <w:jc w:val="right"/>
              <w:textAlignment w:val="bottom"/>
            </w:pPr>
            <w:r>
              <w:rPr>
                <w:rFonts w:ascii="Arial" w:eastAsia="宋体" w:hAnsi="Arial" w:cs="Arial"/>
                <w:b/>
                <w:bCs/>
                <w:color w:val="000000"/>
                <w:sz w:val="14"/>
                <w:szCs w:val="14"/>
              </w:rPr>
              <w:t>184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1D"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61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61F" w14:textId="77777777" w:rsidR="006A3667" w:rsidRDefault="00045F32">
            <w:pPr>
              <w:jc w:val="right"/>
              <w:textAlignment w:val="bottom"/>
            </w:pPr>
            <w:r>
              <w:rPr>
                <w:rFonts w:ascii="Arial" w:eastAsia="宋体" w:hAnsi="Arial" w:cs="Arial"/>
                <w:color w:val="000000"/>
                <w:sz w:val="14"/>
                <w:szCs w:val="14"/>
              </w:rPr>
              <w:t>180 </w:t>
            </w:r>
          </w:p>
        </w:tc>
      </w:tr>
      <w:tr w:rsidR="006A3667" w14:paraId="71D4963E" w14:textId="77777777">
        <w:tc>
          <w:tcPr>
            <w:tcW w:w="0" w:type="auto"/>
            <w:gridSpan w:val="3"/>
            <w:shd w:val="clear" w:color="auto" w:fill="FFFFFF"/>
            <w:tcMar>
              <w:top w:w="40" w:type="dxa"/>
              <w:left w:w="20" w:type="dxa"/>
              <w:bottom w:w="40" w:type="dxa"/>
              <w:right w:w="20" w:type="dxa"/>
            </w:tcMar>
            <w:vAlign w:val="bottom"/>
          </w:tcPr>
          <w:p w14:paraId="71D49621" w14:textId="77777777" w:rsidR="006A3667" w:rsidRDefault="00045F32">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71D49622" w14:textId="77777777" w:rsidR="006A3667" w:rsidRDefault="00045F32">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62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2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625" w14:textId="77777777" w:rsidR="006A3667" w:rsidRDefault="00045F32">
            <w:pPr>
              <w:jc w:val="right"/>
              <w:textAlignment w:val="bottom"/>
            </w:pPr>
            <w:r>
              <w:rPr>
                <w:rFonts w:ascii="Arial" w:eastAsia="宋体" w:hAnsi="Arial" w:cs="Arial"/>
                <w:color w:val="000000"/>
                <w:sz w:val="14"/>
                <w:szCs w:val="14"/>
              </w:rPr>
              <w:t>28 </w:t>
            </w:r>
          </w:p>
        </w:tc>
        <w:tc>
          <w:tcPr>
            <w:tcW w:w="0" w:type="auto"/>
            <w:shd w:val="clear" w:color="auto" w:fill="FFFFFF"/>
            <w:tcMar>
              <w:top w:w="40" w:type="dxa"/>
              <w:left w:w="0" w:type="dxa"/>
              <w:bottom w:w="40" w:type="dxa"/>
              <w:right w:w="20" w:type="dxa"/>
            </w:tcMar>
            <w:vAlign w:val="bottom"/>
          </w:tcPr>
          <w:p w14:paraId="71D496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27" w14:textId="77777777" w:rsidR="006A3667" w:rsidRDefault="006A3667">
            <w:pPr>
              <w:rPr>
                <w:rFonts w:ascii="宋体"/>
              </w:rPr>
            </w:pPr>
          </w:p>
        </w:tc>
        <w:tc>
          <w:tcPr>
            <w:tcW w:w="0" w:type="auto"/>
            <w:shd w:val="clear" w:color="auto" w:fill="auto"/>
            <w:vAlign w:val="bottom"/>
          </w:tcPr>
          <w:p w14:paraId="71D49628" w14:textId="77777777" w:rsidR="006A3667" w:rsidRDefault="006A3667">
            <w:pPr>
              <w:rPr>
                <w:rFonts w:ascii="宋体"/>
                <w:vanish/>
              </w:rPr>
            </w:pPr>
          </w:p>
        </w:tc>
        <w:tc>
          <w:tcPr>
            <w:tcW w:w="0" w:type="auto"/>
            <w:shd w:val="clear" w:color="auto" w:fill="auto"/>
            <w:vAlign w:val="bottom"/>
          </w:tcPr>
          <w:p w14:paraId="71D4962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62A" w14:textId="77777777" w:rsidR="006A3667" w:rsidRDefault="00045F32">
            <w:pPr>
              <w:jc w:val="right"/>
              <w:textAlignment w:val="bottom"/>
            </w:pPr>
            <w:r>
              <w:rPr>
                <w:rFonts w:ascii="Arial" w:eastAsia="宋体" w:hAnsi="Arial" w:cs="Arial"/>
                <w:b/>
                <w:bCs/>
                <w:color w:val="000000"/>
                <w:sz w:val="14"/>
                <w:szCs w:val="14"/>
              </w:rPr>
              <w:t>(17)</w:t>
            </w:r>
          </w:p>
        </w:tc>
        <w:tc>
          <w:tcPr>
            <w:tcW w:w="0" w:type="auto"/>
            <w:shd w:val="clear" w:color="auto" w:fill="FFFFFF"/>
            <w:tcMar>
              <w:top w:w="40" w:type="dxa"/>
              <w:left w:w="0" w:type="dxa"/>
              <w:bottom w:w="40" w:type="dxa"/>
              <w:right w:w="20" w:type="dxa"/>
            </w:tcMar>
            <w:vAlign w:val="bottom"/>
          </w:tcPr>
          <w:p w14:paraId="71D4962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2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62D" w14:textId="77777777" w:rsidR="006A3667" w:rsidRDefault="00045F32">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71D4962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2F" w14:textId="77777777" w:rsidR="006A3667" w:rsidRDefault="006A3667">
            <w:pPr>
              <w:rPr>
                <w:rFonts w:ascii="宋体"/>
              </w:rPr>
            </w:pPr>
          </w:p>
        </w:tc>
        <w:tc>
          <w:tcPr>
            <w:tcW w:w="0" w:type="auto"/>
            <w:shd w:val="clear" w:color="auto" w:fill="auto"/>
            <w:vAlign w:val="bottom"/>
          </w:tcPr>
          <w:p w14:paraId="71D49630" w14:textId="77777777" w:rsidR="006A3667" w:rsidRDefault="006A3667">
            <w:pPr>
              <w:rPr>
                <w:rFonts w:ascii="宋体"/>
                <w:vanish/>
              </w:rPr>
            </w:pPr>
          </w:p>
        </w:tc>
        <w:tc>
          <w:tcPr>
            <w:tcW w:w="0" w:type="auto"/>
            <w:shd w:val="clear" w:color="auto" w:fill="auto"/>
            <w:vAlign w:val="bottom"/>
          </w:tcPr>
          <w:p w14:paraId="71D49631"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63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63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3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63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6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37" w14:textId="77777777" w:rsidR="006A3667" w:rsidRDefault="006A3667">
            <w:pPr>
              <w:rPr>
                <w:rFonts w:ascii="宋体"/>
              </w:rPr>
            </w:pPr>
          </w:p>
        </w:tc>
        <w:tc>
          <w:tcPr>
            <w:tcW w:w="0" w:type="auto"/>
            <w:gridSpan w:val="3"/>
            <w:shd w:val="clear" w:color="auto" w:fill="auto"/>
            <w:vAlign w:val="bottom"/>
          </w:tcPr>
          <w:p w14:paraId="71D49638" w14:textId="77777777" w:rsidR="006A3667" w:rsidRDefault="006A3667">
            <w:pPr>
              <w:rPr>
                <w:rFonts w:ascii="宋体"/>
                <w:vanish/>
              </w:rPr>
            </w:pPr>
          </w:p>
        </w:tc>
        <w:tc>
          <w:tcPr>
            <w:tcW w:w="0" w:type="auto"/>
            <w:gridSpan w:val="3"/>
            <w:shd w:val="clear" w:color="auto" w:fill="auto"/>
            <w:vAlign w:val="bottom"/>
          </w:tcPr>
          <w:p w14:paraId="71D4963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63A" w14:textId="77777777" w:rsidR="006A3667" w:rsidRDefault="00045F32">
            <w:pPr>
              <w:jc w:val="right"/>
              <w:textAlignment w:val="bottom"/>
            </w:pPr>
            <w:r>
              <w:rPr>
                <w:rFonts w:ascii="Arial" w:eastAsia="宋体" w:hAnsi="Arial" w:cs="Arial"/>
                <w:b/>
                <w:bCs/>
                <w:color w:val="000000"/>
                <w:sz w:val="14"/>
                <w:szCs w:val="14"/>
              </w:rPr>
              <w:t>(5)</w:t>
            </w:r>
          </w:p>
        </w:tc>
        <w:tc>
          <w:tcPr>
            <w:tcW w:w="0" w:type="auto"/>
            <w:shd w:val="clear" w:color="auto" w:fill="FFFFFF"/>
            <w:tcMar>
              <w:top w:w="40" w:type="dxa"/>
              <w:left w:w="0" w:type="dxa"/>
              <w:bottom w:w="40" w:type="dxa"/>
              <w:right w:w="20" w:type="dxa"/>
            </w:tcMar>
            <w:vAlign w:val="bottom"/>
          </w:tcPr>
          <w:p w14:paraId="71D4963B"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63C"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63D" w14:textId="77777777" w:rsidR="006A3667" w:rsidRDefault="00045F32">
            <w:pPr>
              <w:jc w:val="right"/>
              <w:textAlignment w:val="bottom"/>
            </w:pPr>
            <w:r>
              <w:rPr>
                <w:rFonts w:ascii="Arial" w:eastAsia="宋体" w:hAnsi="Arial" w:cs="Arial"/>
                <w:color w:val="000000"/>
                <w:sz w:val="14"/>
                <w:szCs w:val="14"/>
              </w:rPr>
              <w:t>22 </w:t>
            </w:r>
          </w:p>
        </w:tc>
      </w:tr>
      <w:tr w:rsidR="006A3667" w14:paraId="71D4965C" w14:textId="77777777">
        <w:tc>
          <w:tcPr>
            <w:tcW w:w="0" w:type="auto"/>
            <w:gridSpan w:val="3"/>
            <w:shd w:val="clear" w:color="auto" w:fill="CCEEFF"/>
            <w:tcMar>
              <w:top w:w="40" w:type="dxa"/>
              <w:left w:w="20" w:type="dxa"/>
              <w:bottom w:w="40" w:type="dxa"/>
              <w:right w:w="20" w:type="dxa"/>
            </w:tcMar>
            <w:vAlign w:val="bottom"/>
          </w:tcPr>
          <w:p w14:paraId="71D4963F" w14:textId="77777777" w:rsidR="006A3667" w:rsidRDefault="00045F32">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640" w14:textId="77777777" w:rsidR="006A3667" w:rsidRDefault="00045F32">
            <w:pPr>
              <w:jc w:val="right"/>
              <w:textAlignment w:val="bottom"/>
            </w:pPr>
            <w:r>
              <w:rPr>
                <w:rFonts w:ascii="Arial" w:eastAsia="宋体" w:hAnsi="Arial" w:cs="Arial"/>
                <w:b/>
                <w:bCs/>
                <w:color w:val="000000"/>
                <w:sz w:val="14"/>
                <w:szCs w:val="14"/>
              </w:rPr>
              <w:t>1,813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64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4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643" w14:textId="77777777" w:rsidR="006A3667" w:rsidRDefault="00045F32">
            <w:pPr>
              <w:jc w:val="right"/>
              <w:textAlignment w:val="bottom"/>
            </w:pPr>
            <w:r>
              <w:rPr>
                <w:rFonts w:ascii="Arial" w:eastAsia="宋体" w:hAnsi="Arial" w:cs="Arial"/>
                <w:color w:val="000000"/>
                <w:sz w:val="14"/>
                <w:szCs w:val="14"/>
              </w:rPr>
              <w:t>1,968 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6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45" w14:textId="77777777" w:rsidR="006A3667" w:rsidRDefault="006A3667">
            <w:pPr>
              <w:rPr>
                <w:rFonts w:ascii="宋体"/>
              </w:rPr>
            </w:pPr>
          </w:p>
        </w:tc>
        <w:tc>
          <w:tcPr>
            <w:tcW w:w="0" w:type="auto"/>
            <w:shd w:val="clear" w:color="auto" w:fill="auto"/>
            <w:vAlign w:val="bottom"/>
          </w:tcPr>
          <w:p w14:paraId="71D49646" w14:textId="77777777" w:rsidR="006A3667" w:rsidRDefault="006A3667">
            <w:pPr>
              <w:rPr>
                <w:rFonts w:ascii="宋体"/>
                <w:vanish/>
              </w:rPr>
            </w:pPr>
          </w:p>
        </w:tc>
        <w:tc>
          <w:tcPr>
            <w:tcW w:w="0" w:type="auto"/>
            <w:shd w:val="clear" w:color="auto" w:fill="auto"/>
            <w:vAlign w:val="bottom"/>
          </w:tcPr>
          <w:p w14:paraId="71D49647"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648" w14:textId="77777777" w:rsidR="006A3667" w:rsidRDefault="00045F32">
            <w:pPr>
              <w:jc w:val="right"/>
              <w:textAlignment w:val="bottom"/>
            </w:pPr>
            <w:r>
              <w:rPr>
                <w:rFonts w:ascii="Arial" w:eastAsia="宋体" w:hAnsi="Arial" w:cs="Arial"/>
                <w:b/>
                <w:bCs/>
                <w:color w:val="000000"/>
                <w:sz w:val="14"/>
                <w:szCs w:val="14"/>
              </w:rPr>
              <w:t>486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64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4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64B" w14:textId="77777777" w:rsidR="006A3667" w:rsidRDefault="00045F32">
            <w:pPr>
              <w:jc w:val="right"/>
              <w:textAlignment w:val="bottom"/>
            </w:pPr>
            <w:r>
              <w:rPr>
                <w:rFonts w:ascii="Arial" w:eastAsia="宋体" w:hAnsi="Arial" w:cs="Arial"/>
                <w:color w:val="000000"/>
                <w:sz w:val="14"/>
                <w:szCs w:val="14"/>
              </w:rPr>
              <w:t>536 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6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4D" w14:textId="77777777" w:rsidR="006A3667" w:rsidRDefault="006A3667">
            <w:pPr>
              <w:rPr>
                <w:rFonts w:ascii="宋体"/>
              </w:rPr>
            </w:pPr>
          </w:p>
        </w:tc>
        <w:tc>
          <w:tcPr>
            <w:tcW w:w="0" w:type="auto"/>
            <w:shd w:val="clear" w:color="auto" w:fill="auto"/>
            <w:vAlign w:val="bottom"/>
          </w:tcPr>
          <w:p w14:paraId="71D4964E" w14:textId="77777777" w:rsidR="006A3667" w:rsidRDefault="006A3667">
            <w:pPr>
              <w:rPr>
                <w:rFonts w:ascii="宋体"/>
                <w:vanish/>
              </w:rPr>
            </w:pPr>
          </w:p>
        </w:tc>
        <w:tc>
          <w:tcPr>
            <w:tcW w:w="0" w:type="auto"/>
            <w:shd w:val="clear" w:color="auto" w:fill="auto"/>
            <w:vAlign w:val="bottom"/>
          </w:tcPr>
          <w:p w14:paraId="71D4964F"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65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65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5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653"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6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55" w14:textId="77777777" w:rsidR="006A3667" w:rsidRDefault="006A3667">
            <w:pPr>
              <w:rPr>
                <w:rFonts w:ascii="宋体"/>
              </w:rPr>
            </w:pPr>
          </w:p>
        </w:tc>
        <w:tc>
          <w:tcPr>
            <w:tcW w:w="0" w:type="auto"/>
            <w:gridSpan w:val="3"/>
            <w:shd w:val="clear" w:color="auto" w:fill="auto"/>
            <w:vAlign w:val="bottom"/>
          </w:tcPr>
          <w:p w14:paraId="71D49656" w14:textId="77777777" w:rsidR="006A3667" w:rsidRDefault="006A3667">
            <w:pPr>
              <w:rPr>
                <w:rFonts w:ascii="宋体"/>
                <w:vanish/>
              </w:rPr>
            </w:pPr>
          </w:p>
        </w:tc>
        <w:tc>
          <w:tcPr>
            <w:tcW w:w="0" w:type="auto"/>
            <w:gridSpan w:val="3"/>
            <w:shd w:val="clear" w:color="auto" w:fill="auto"/>
            <w:vAlign w:val="bottom"/>
          </w:tcPr>
          <w:p w14:paraId="71D49657"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658" w14:textId="77777777" w:rsidR="006A3667" w:rsidRDefault="00045F32">
            <w:pPr>
              <w:jc w:val="right"/>
              <w:textAlignment w:val="bottom"/>
            </w:pPr>
            <w:r>
              <w:rPr>
                <w:rFonts w:ascii="Arial" w:eastAsia="宋体" w:hAnsi="Arial" w:cs="Arial"/>
                <w:b/>
                <w:bCs/>
                <w:color w:val="000000"/>
                <w:sz w:val="14"/>
                <w:szCs w:val="14"/>
              </w:rPr>
              <w:t>2,299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659"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65A"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65B" w14:textId="77777777" w:rsidR="006A3667" w:rsidRDefault="00045F32">
            <w:pPr>
              <w:jc w:val="right"/>
              <w:textAlignment w:val="bottom"/>
            </w:pPr>
            <w:r>
              <w:rPr>
                <w:rFonts w:ascii="Arial" w:eastAsia="宋体" w:hAnsi="Arial" w:cs="Arial"/>
                <w:color w:val="000000"/>
                <w:sz w:val="14"/>
                <w:szCs w:val="14"/>
              </w:rPr>
              <w:t>2,504 </w:t>
            </w:r>
          </w:p>
        </w:tc>
      </w:tr>
      <w:tr w:rsidR="006A3667" w14:paraId="71D4967A" w14:textId="77777777">
        <w:tc>
          <w:tcPr>
            <w:tcW w:w="0" w:type="auto"/>
            <w:gridSpan w:val="3"/>
            <w:shd w:val="clear" w:color="auto" w:fill="FFFFFF"/>
            <w:tcMar>
              <w:top w:w="40" w:type="dxa"/>
              <w:left w:w="20" w:type="dxa"/>
              <w:bottom w:w="40" w:type="dxa"/>
              <w:right w:w="20" w:type="dxa"/>
            </w:tcMar>
            <w:vAlign w:val="bottom"/>
          </w:tcPr>
          <w:p w14:paraId="71D4965D" w14:textId="77777777" w:rsidR="006A3667" w:rsidRDefault="00045F32">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71D4965E" w14:textId="77777777" w:rsidR="006A3667" w:rsidRDefault="00045F32">
            <w:pPr>
              <w:jc w:val="right"/>
              <w:textAlignment w:val="bottom"/>
            </w:pPr>
            <w:r>
              <w:rPr>
                <w:rFonts w:ascii="Arial" w:eastAsia="宋体" w:hAnsi="Arial" w:cs="Arial"/>
                <w:b/>
                <w:bCs/>
                <w:color w:val="000000"/>
                <w:sz w:val="14"/>
                <w:szCs w:val="14"/>
              </w:rPr>
              <w:t>663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6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6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661" w14:textId="77777777" w:rsidR="006A3667" w:rsidRDefault="00045F32">
            <w:pPr>
              <w:jc w:val="right"/>
              <w:textAlignment w:val="bottom"/>
            </w:pPr>
            <w:r>
              <w:rPr>
                <w:rFonts w:ascii="Arial" w:eastAsia="宋体" w:hAnsi="Arial" w:cs="Arial"/>
                <w:color w:val="000000"/>
                <w:sz w:val="14"/>
                <w:szCs w:val="14"/>
              </w:rPr>
              <w:t>491 </w:t>
            </w:r>
          </w:p>
        </w:tc>
        <w:tc>
          <w:tcPr>
            <w:tcW w:w="0" w:type="auto"/>
            <w:shd w:val="clear" w:color="auto" w:fill="FFFFFF"/>
            <w:tcMar>
              <w:top w:w="40" w:type="dxa"/>
              <w:left w:w="0" w:type="dxa"/>
              <w:bottom w:w="40" w:type="dxa"/>
              <w:right w:w="20" w:type="dxa"/>
            </w:tcMar>
            <w:vAlign w:val="bottom"/>
          </w:tcPr>
          <w:p w14:paraId="71D4966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63" w14:textId="77777777" w:rsidR="006A3667" w:rsidRDefault="006A3667">
            <w:pPr>
              <w:rPr>
                <w:rFonts w:ascii="宋体"/>
              </w:rPr>
            </w:pPr>
          </w:p>
        </w:tc>
        <w:tc>
          <w:tcPr>
            <w:tcW w:w="0" w:type="auto"/>
            <w:shd w:val="clear" w:color="auto" w:fill="auto"/>
            <w:vAlign w:val="bottom"/>
          </w:tcPr>
          <w:p w14:paraId="71D49664" w14:textId="77777777" w:rsidR="006A3667" w:rsidRDefault="006A3667">
            <w:pPr>
              <w:rPr>
                <w:rFonts w:ascii="宋体"/>
                <w:vanish/>
              </w:rPr>
            </w:pPr>
          </w:p>
        </w:tc>
        <w:tc>
          <w:tcPr>
            <w:tcW w:w="0" w:type="auto"/>
            <w:shd w:val="clear" w:color="auto" w:fill="auto"/>
            <w:vAlign w:val="bottom"/>
          </w:tcPr>
          <w:p w14:paraId="71D49665"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666" w14:textId="77777777" w:rsidR="006A3667" w:rsidRDefault="00045F32">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71D4966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6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669" w14:textId="77777777" w:rsidR="006A3667" w:rsidRDefault="00045F32">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71D4966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6B" w14:textId="77777777" w:rsidR="006A3667" w:rsidRDefault="006A3667">
            <w:pPr>
              <w:rPr>
                <w:rFonts w:ascii="宋体"/>
              </w:rPr>
            </w:pPr>
          </w:p>
        </w:tc>
        <w:tc>
          <w:tcPr>
            <w:tcW w:w="0" w:type="auto"/>
            <w:shd w:val="clear" w:color="auto" w:fill="auto"/>
            <w:vAlign w:val="bottom"/>
          </w:tcPr>
          <w:p w14:paraId="71D4966C" w14:textId="77777777" w:rsidR="006A3667" w:rsidRDefault="006A3667">
            <w:pPr>
              <w:rPr>
                <w:rFonts w:ascii="宋体"/>
                <w:vanish/>
              </w:rPr>
            </w:pPr>
          </w:p>
        </w:tc>
        <w:tc>
          <w:tcPr>
            <w:tcW w:w="0" w:type="auto"/>
            <w:shd w:val="clear" w:color="auto" w:fill="auto"/>
            <w:vAlign w:val="bottom"/>
          </w:tcPr>
          <w:p w14:paraId="71D4966D"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66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66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7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67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67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73" w14:textId="77777777" w:rsidR="006A3667" w:rsidRDefault="006A3667">
            <w:pPr>
              <w:rPr>
                <w:rFonts w:ascii="宋体"/>
              </w:rPr>
            </w:pPr>
          </w:p>
        </w:tc>
        <w:tc>
          <w:tcPr>
            <w:tcW w:w="0" w:type="auto"/>
            <w:gridSpan w:val="3"/>
            <w:shd w:val="clear" w:color="auto" w:fill="auto"/>
            <w:vAlign w:val="bottom"/>
          </w:tcPr>
          <w:p w14:paraId="71D49674" w14:textId="77777777" w:rsidR="006A3667" w:rsidRDefault="006A3667">
            <w:pPr>
              <w:rPr>
                <w:rFonts w:ascii="宋体"/>
                <w:vanish/>
              </w:rPr>
            </w:pPr>
          </w:p>
        </w:tc>
        <w:tc>
          <w:tcPr>
            <w:tcW w:w="0" w:type="auto"/>
            <w:gridSpan w:val="3"/>
            <w:shd w:val="clear" w:color="auto" w:fill="auto"/>
            <w:vAlign w:val="bottom"/>
          </w:tcPr>
          <w:p w14:paraId="71D49675"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676" w14:textId="77777777" w:rsidR="006A3667" w:rsidRDefault="00045F32">
            <w:pPr>
              <w:jc w:val="right"/>
              <w:textAlignment w:val="bottom"/>
            </w:pPr>
            <w:r>
              <w:rPr>
                <w:rFonts w:ascii="Arial" w:eastAsia="宋体" w:hAnsi="Arial" w:cs="Arial"/>
                <w:b/>
                <w:bCs/>
                <w:color w:val="000000"/>
                <w:sz w:val="14"/>
                <w:szCs w:val="14"/>
              </w:rPr>
              <w:t>660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677"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678"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679" w14:textId="77777777" w:rsidR="006A3667" w:rsidRDefault="00045F32">
            <w:pPr>
              <w:jc w:val="right"/>
              <w:textAlignment w:val="bottom"/>
            </w:pPr>
            <w:r>
              <w:rPr>
                <w:rFonts w:ascii="Arial" w:eastAsia="宋体" w:hAnsi="Arial" w:cs="Arial"/>
                <w:color w:val="000000"/>
                <w:sz w:val="14"/>
                <w:szCs w:val="14"/>
              </w:rPr>
              <w:t>487 </w:t>
            </w:r>
          </w:p>
        </w:tc>
      </w:tr>
      <w:tr w:rsidR="006A3667" w14:paraId="71D49698" w14:textId="77777777">
        <w:tc>
          <w:tcPr>
            <w:tcW w:w="0" w:type="auto"/>
            <w:gridSpan w:val="3"/>
            <w:shd w:val="clear" w:color="auto" w:fill="CCEEFF"/>
            <w:tcMar>
              <w:top w:w="40" w:type="dxa"/>
              <w:left w:w="20" w:type="dxa"/>
              <w:bottom w:w="40" w:type="dxa"/>
              <w:right w:w="20" w:type="dxa"/>
            </w:tcMar>
            <w:vAlign w:val="bottom"/>
          </w:tcPr>
          <w:p w14:paraId="71D4967B" w14:textId="77777777" w:rsidR="006A3667" w:rsidRDefault="00045F32">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71D4967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7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7F"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968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81" w14:textId="77777777" w:rsidR="006A3667" w:rsidRDefault="006A3667">
            <w:pPr>
              <w:rPr>
                <w:rFonts w:ascii="宋体"/>
              </w:rPr>
            </w:pPr>
          </w:p>
        </w:tc>
        <w:tc>
          <w:tcPr>
            <w:tcW w:w="0" w:type="auto"/>
            <w:shd w:val="clear" w:color="auto" w:fill="auto"/>
            <w:vAlign w:val="bottom"/>
          </w:tcPr>
          <w:p w14:paraId="71D49682" w14:textId="77777777" w:rsidR="006A3667" w:rsidRDefault="006A3667">
            <w:pPr>
              <w:rPr>
                <w:rFonts w:ascii="宋体"/>
                <w:vanish/>
              </w:rPr>
            </w:pPr>
          </w:p>
        </w:tc>
        <w:tc>
          <w:tcPr>
            <w:tcW w:w="0" w:type="auto"/>
            <w:shd w:val="clear" w:color="auto" w:fill="auto"/>
            <w:vAlign w:val="bottom"/>
          </w:tcPr>
          <w:p w14:paraId="71D49683"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8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8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8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8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8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89" w14:textId="77777777" w:rsidR="006A3667" w:rsidRDefault="006A3667">
            <w:pPr>
              <w:rPr>
                <w:rFonts w:ascii="宋体"/>
              </w:rPr>
            </w:pPr>
          </w:p>
        </w:tc>
        <w:tc>
          <w:tcPr>
            <w:tcW w:w="0" w:type="auto"/>
            <w:shd w:val="clear" w:color="auto" w:fill="auto"/>
            <w:vAlign w:val="bottom"/>
          </w:tcPr>
          <w:p w14:paraId="71D4968A" w14:textId="77777777" w:rsidR="006A3667" w:rsidRDefault="006A3667">
            <w:pPr>
              <w:rPr>
                <w:rFonts w:ascii="宋体"/>
                <w:vanish/>
              </w:rPr>
            </w:pPr>
          </w:p>
        </w:tc>
        <w:tc>
          <w:tcPr>
            <w:tcW w:w="0" w:type="auto"/>
            <w:shd w:val="clear" w:color="auto" w:fill="auto"/>
            <w:vAlign w:val="bottom"/>
          </w:tcPr>
          <w:p w14:paraId="71D4968B"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8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8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8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8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9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91" w14:textId="77777777" w:rsidR="006A3667" w:rsidRDefault="006A3667">
            <w:pPr>
              <w:rPr>
                <w:rFonts w:ascii="宋体"/>
              </w:rPr>
            </w:pPr>
          </w:p>
        </w:tc>
        <w:tc>
          <w:tcPr>
            <w:tcW w:w="0" w:type="auto"/>
            <w:gridSpan w:val="3"/>
            <w:shd w:val="clear" w:color="auto" w:fill="auto"/>
            <w:vAlign w:val="bottom"/>
          </w:tcPr>
          <w:p w14:paraId="71D49692" w14:textId="77777777" w:rsidR="006A3667" w:rsidRDefault="006A3667">
            <w:pPr>
              <w:rPr>
                <w:rFonts w:ascii="宋体"/>
                <w:vanish/>
              </w:rPr>
            </w:pPr>
          </w:p>
        </w:tc>
        <w:tc>
          <w:tcPr>
            <w:tcW w:w="0" w:type="auto"/>
            <w:gridSpan w:val="3"/>
            <w:shd w:val="clear" w:color="auto" w:fill="auto"/>
            <w:vAlign w:val="bottom"/>
          </w:tcPr>
          <w:p w14:paraId="71D49693"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9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95"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696"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697" w14:textId="77777777" w:rsidR="006A3667" w:rsidRDefault="00045F32">
            <w:pPr>
              <w:jc w:val="right"/>
              <w:textAlignment w:val="bottom"/>
            </w:pPr>
            <w:r>
              <w:rPr>
                <w:rFonts w:ascii="Arial" w:eastAsia="宋体" w:hAnsi="Arial" w:cs="Arial"/>
                <w:color w:val="000000"/>
                <w:sz w:val="14"/>
                <w:szCs w:val="14"/>
              </w:rPr>
              <w:t>(1)</w:t>
            </w:r>
          </w:p>
        </w:tc>
      </w:tr>
      <w:tr w:rsidR="006A3667" w14:paraId="71D496B6" w14:textId="77777777">
        <w:tc>
          <w:tcPr>
            <w:tcW w:w="0" w:type="auto"/>
            <w:gridSpan w:val="3"/>
            <w:shd w:val="clear" w:color="auto" w:fill="FFFFFF"/>
            <w:tcMar>
              <w:top w:w="40" w:type="dxa"/>
              <w:left w:w="20" w:type="dxa"/>
              <w:bottom w:w="40" w:type="dxa"/>
              <w:right w:w="20" w:type="dxa"/>
            </w:tcMar>
            <w:vAlign w:val="bottom"/>
          </w:tcPr>
          <w:p w14:paraId="71D49699" w14:textId="77777777" w:rsidR="006A3667" w:rsidRDefault="00045F32">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69A" w14:textId="77777777" w:rsidR="006A3667" w:rsidRDefault="00045F32">
            <w:pPr>
              <w:jc w:val="right"/>
              <w:textAlignment w:val="bottom"/>
            </w:pPr>
            <w:r>
              <w:rPr>
                <w:rFonts w:ascii="Arial" w:eastAsia="宋体" w:hAnsi="Arial" w:cs="Arial"/>
                <w:b/>
                <w:bCs/>
                <w:color w:val="000000"/>
                <w:sz w:val="14"/>
                <w:szCs w:val="14"/>
              </w:rPr>
              <w:t>2,476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69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9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69D" w14:textId="77777777" w:rsidR="006A3667" w:rsidRDefault="00045F32">
            <w:pPr>
              <w:jc w:val="right"/>
              <w:textAlignment w:val="bottom"/>
            </w:pPr>
            <w:r>
              <w:rPr>
                <w:rFonts w:ascii="Arial" w:eastAsia="宋体" w:hAnsi="Arial" w:cs="Arial"/>
                <w:color w:val="000000"/>
                <w:sz w:val="14"/>
                <w:szCs w:val="14"/>
              </w:rPr>
              <w:t>2,458 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69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9F" w14:textId="77777777" w:rsidR="006A3667" w:rsidRDefault="006A3667">
            <w:pPr>
              <w:rPr>
                <w:rFonts w:ascii="宋体"/>
              </w:rPr>
            </w:pPr>
          </w:p>
        </w:tc>
        <w:tc>
          <w:tcPr>
            <w:tcW w:w="0" w:type="auto"/>
            <w:shd w:val="clear" w:color="auto" w:fill="auto"/>
            <w:vAlign w:val="bottom"/>
          </w:tcPr>
          <w:p w14:paraId="71D496A0" w14:textId="77777777" w:rsidR="006A3667" w:rsidRDefault="006A3667">
            <w:pPr>
              <w:rPr>
                <w:rFonts w:ascii="宋体"/>
                <w:vanish/>
              </w:rPr>
            </w:pPr>
          </w:p>
        </w:tc>
        <w:tc>
          <w:tcPr>
            <w:tcW w:w="0" w:type="auto"/>
            <w:shd w:val="clear" w:color="auto" w:fill="auto"/>
            <w:vAlign w:val="bottom"/>
          </w:tcPr>
          <w:p w14:paraId="71D496A1"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6A2" w14:textId="77777777" w:rsidR="006A3667" w:rsidRDefault="00045F32">
            <w:pPr>
              <w:jc w:val="right"/>
              <w:textAlignment w:val="bottom"/>
            </w:pPr>
            <w:r>
              <w:rPr>
                <w:rFonts w:ascii="Arial" w:eastAsia="宋体" w:hAnsi="Arial" w:cs="Arial"/>
                <w:b/>
                <w:bCs/>
                <w:color w:val="000000"/>
                <w:sz w:val="14"/>
                <w:szCs w:val="14"/>
              </w:rPr>
              <w:t>483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6A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A4"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6A5" w14:textId="77777777" w:rsidR="006A3667" w:rsidRDefault="00045F32">
            <w:pPr>
              <w:jc w:val="right"/>
              <w:textAlignment w:val="bottom"/>
            </w:pPr>
            <w:r>
              <w:rPr>
                <w:rFonts w:ascii="Arial" w:eastAsia="宋体" w:hAnsi="Arial" w:cs="Arial"/>
                <w:color w:val="000000"/>
                <w:sz w:val="14"/>
                <w:szCs w:val="14"/>
              </w:rPr>
              <w:t>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6A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A7" w14:textId="77777777" w:rsidR="006A3667" w:rsidRDefault="006A3667">
            <w:pPr>
              <w:rPr>
                <w:rFonts w:ascii="宋体"/>
              </w:rPr>
            </w:pPr>
          </w:p>
        </w:tc>
        <w:tc>
          <w:tcPr>
            <w:tcW w:w="0" w:type="auto"/>
            <w:shd w:val="clear" w:color="auto" w:fill="auto"/>
            <w:vAlign w:val="bottom"/>
          </w:tcPr>
          <w:p w14:paraId="71D496A8" w14:textId="77777777" w:rsidR="006A3667" w:rsidRDefault="006A3667">
            <w:pPr>
              <w:rPr>
                <w:rFonts w:ascii="宋体"/>
                <w:vanish/>
              </w:rPr>
            </w:pPr>
          </w:p>
        </w:tc>
        <w:tc>
          <w:tcPr>
            <w:tcW w:w="0" w:type="auto"/>
            <w:shd w:val="clear" w:color="auto" w:fill="auto"/>
            <w:vAlign w:val="bottom"/>
          </w:tcPr>
          <w:p w14:paraId="71D496A9"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6A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6A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AC"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6AD"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6A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6AF" w14:textId="77777777" w:rsidR="006A3667" w:rsidRDefault="006A3667">
            <w:pPr>
              <w:rPr>
                <w:rFonts w:ascii="宋体"/>
              </w:rPr>
            </w:pPr>
          </w:p>
        </w:tc>
        <w:tc>
          <w:tcPr>
            <w:tcW w:w="0" w:type="auto"/>
            <w:gridSpan w:val="3"/>
            <w:shd w:val="clear" w:color="auto" w:fill="auto"/>
            <w:vAlign w:val="bottom"/>
          </w:tcPr>
          <w:p w14:paraId="71D496B0" w14:textId="77777777" w:rsidR="006A3667" w:rsidRDefault="006A3667">
            <w:pPr>
              <w:rPr>
                <w:rFonts w:ascii="宋体"/>
                <w:vanish/>
              </w:rPr>
            </w:pPr>
          </w:p>
        </w:tc>
        <w:tc>
          <w:tcPr>
            <w:tcW w:w="0" w:type="auto"/>
            <w:gridSpan w:val="3"/>
            <w:shd w:val="clear" w:color="auto" w:fill="auto"/>
            <w:vAlign w:val="bottom"/>
          </w:tcPr>
          <w:p w14:paraId="71D496B1"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6B2" w14:textId="77777777" w:rsidR="006A3667" w:rsidRDefault="00045F32">
            <w:pPr>
              <w:jc w:val="right"/>
              <w:textAlignment w:val="bottom"/>
            </w:pPr>
            <w:r>
              <w:rPr>
                <w:rFonts w:ascii="Arial" w:eastAsia="宋体" w:hAnsi="Arial" w:cs="Arial"/>
                <w:b/>
                <w:bCs/>
                <w:color w:val="000000"/>
                <w:sz w:val="14"/>
                <w:szCs w:val="14"/>
              </w:rPr>
              <w:t>2,959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6B3"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6B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6B5" w14:textId="77777777" w:rsidR="006A3667" w:rsidRDefault="00045F32">
            <w:pPr>
              <w:jc w:val="right"/>
              <w:textAlignment w:val="bottom"/>
            </w:pPr>
            <w:r>
              <w:rPr>
                <w:rFonts w:ascii="Arial" w:eastAsia="宋体" w:hAnsi="Arial" w:cs="Arial"/>
                <w:color w:val="000000"/>
                <w:sz w:val="14"/>
                <w:szCs w:val="14"/>
              </w:rPr>
              <w:t>2,990 </w:t>
            </w:r>
          </w:p>
        </w:tc>
      </w:tr>
      <w:tr w:rsidR="006A3667" w14:paraId="71D496D4" w14:textId="77777777">
        <w:tc>
          <w:tcPr>
            <w:tcW w:w="0" w:type="auto"/>
            <w:gridSpan w:val="3"/>
            <w:shd w:val="clear" w:color="auto" w:fill="CCEEFF"/>
            <w:tcMar>
              <w:top w:w="40" w:type="dxa"/>
              <w:left w:w="20" w:type="dxa"/>
              <w:bottom w:w="40" w:type="dxa"/>
              <w:right w:w="20" w:type="dxa"/>
            </w:tcMar>
            <w:vAlign w:val="bottom"/>
          </w:tcPr>
          <w:p w14:paraId="71D496B7" w14:textId="77777777" w:rsidR="006A3667" w:rsidRDefault="00045F32">
            <w:pPr>
              <w:textAlignment w:val="bottom"/>
            </w:pPr>
            <w:r>
              <w:rPr>
                <w:rFonts w:ascii="Arial" w:eastAsia="宋体" w:hAnsi="Arial" w:cs="Arial"/>
                <w:color w:val="000000"/>
                <w:sz w:val="14"/>
                <w:szCs w:val="14"/>
              </w:rPr>
              <w:t>Provision for credit losses</w:t>
            </w:r>
          </w:p>
        </w:tc>
        <w:tc>
          <w:tcPr>
            <w:tcW w:w="0" w:type="auto"/>
            <w:gridSpan w:val="2"/>
            <w:shd w:val="clear" w:color="auto" w:fill="CCEEFF"/>
            <w:tcMar>
              <w:top w:w="40" w:type="dxa"/>
              <w:left w:w="20" w:type="dxa"/>
              <w:bottom w:w="40" w:type="dxa"/>
              <w:right w:w="0" w:type="dxa"/>
            </w:tcMar>
            <w:vAlign w:val="bottom"/>
          </w:tcPr>
          <w:p w14:paraId="71D496B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B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B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BB" w14:textId="77777777" w:rsidR="006A3667" w:rsidRDefault="00045F32">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71D496B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BD" w14:textId="77777777" w:rsidR="006A3667" w:rsidRDefault="006A3667">
            <w:pPr>
              <w:rPr>
                <w:rFonts w:ascii="宋体"/>
              </w:rPr>
            </w:pPr>
          </w:p>
        </w:tc>
        <w:tc>
          <w:tcPr>
            <w:tcW w:w="0" w:type="auto"/>
            <w:shd w:val="clear" w:color="auto" w:fill="auto"/>
            <w:vAlign w:val="bottom"/>
          </w:tcPr>
          <w:p w14:paraId="71D496BE" w14:textId="77777777" w:rsidR="006A3667" w:rsidRDefault="006A3667">
            <w:pPr>
              <w:rPr>
                <w:rFonts w:ascii="宋体"/>
                <w:vanish/>
              </w:rPr>
            </w:pPr>
          </w:p>
        </w:tc>
        <w:tc>
          <w:tcPr>
            <w:tcW w:w="0" w:type="auto"/>
            <w:shd w:val="clear" w:color="auto" w:fill="auto"/>
            <w:vAlign w:val="bottom"/>
          </w:tcPr>
          <w:p w14:paraId="71D496BF"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C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C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C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C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C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C5" w14:textId="77777777" w:rsidR="006A3667" w:rsidRDefault="006A3667">
            <w:pPr>
              <w:rPr>
                <w:rFonts w:ascii="宋体"/>
              </w:rPr>
            </w:pPr>
          </w:p>
        </w:tc>
        <w:tc>
          <w:tcPr>
            <w:tcW w:w="0" w:type="auto"/>
            <w:shd w:val="clear" w:color="auto" w:fill="auto"/>
            <w:vAlign w:val="bottom"/>
          </w:tcPr>
          <w:p w14:paraId="71D496C6" w14:textId="77777777" w:rsidR="006A3667" w:rsidRDefault="006A3667">
            <w:pPr>
              <w:rPr>
                <w:rFonts w:ascii="宋体"/>
                <w:vanish/>
              </w:rPr>
            </w:pPr>
          </w:p>
        </w:tc>
        <w:tc>
          <w:tcPr>
            <w:tcW w:w="0" w:type="auto"/>
            <w:shd w:val="clear" w:color="auto" w:fill="auto"/>
            <w:vAlign w:val="bottom"/>
          </w:tcPr>
          <w:p w14:paraId="71D496C7"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C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C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C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6C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C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6CD" w14:textId="77777777" w:rsidR="006A3667" w:rsidRDefault="006A3667">
            <w:pPr>
              <w:rPr>
                <w:rFonts w:ascii="宋体"/>
              </w:rPr>
            </w:pPr>
          </w:p>
        </w:tc>
        <w:tc>
          <w:tcPr>
            <w:tcW w:w="0" w:type="auto"/>
            <w:gridSpan w:val="3"/>
            <w:shd w:val="clear" w:color="auto" w:fill="auto"/>
            <w:vAlign w:val="bottom"/>
          </w:tcPr>
          <w:p w14:paraId="71D496CE" w14:textId="77777777" w:rsidR="006A3667" w:rsidRDefault="006A3667">
            <w:pPr>
              <w:rPr>
                <w:rFonts w:ascii="宋体"/>
                <w:vanish/>
              </w:rPr>
            </w:pPr>
          </w:p>
        </w:tc>
        <w:tc>
          <w:tcPr>
            <w:tcW w:w="0" w:type="auto"/>
            <w:gridSpan w:val="3"/>
            <w:shd w:val="clear" w:color="auto" w:fill="auto"/>
            <w:vAlign w:val="bottom"/>
          </w:tcPr>
          <w:p w14:paraId="71D496CF"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6D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6D1"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6D2"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6D3" w14:textId="77777777" w:rsidR="006A3667" w:rsidRDefault="00045F32">
            <w:pPr>
              <w:jc w:val="right"/>
              <w:textAlignment w:val="bottom"/>
            </w:pPr>
            <w:r>
              <w:rPr>
                <w:rFonts w:ascii="Arial" w:eastAsia="宋体" w:hAnsi="Arial" w:cs="Arial"/>
                <w:color w:val="000000"/>
                <w:sz w:val="14"/>
                <w:szCs w:val="14"/>
              </w:rPr>
              <w:t>(2)</w:t>
            </w:r>
          </w:p>
        </w:tc>
      </w:tr>
      <w:tr w:rsidR="006A3667" w14:paraId="71D496EB" w14:textId="77777777">
        <w:trPr>
          <w:hidden/>
        </w:trPr>
        <w:tc>
          <w:tcPr>
            <w:tcW w:w="0" w:type="auto"/>
            <w:gridSpan w:val="3"/>
            <w:shd w:val="clear" w:color="auto" w:fill="auto"/>
            <w:vAlign w:val="bottom"/>
          </w:tcPr>
          <w:p w14:paraId="71D496D5" w14:textId="77777777" w:rsidR="006A3667" w:rsidRDefault="006A3667">
            <w:pPr>
              <w:rPr>
                <w:rFonts w:ascii="宋体"/>
                <w:vanish/>
              </w:rPr>
            </w:pPr>
          </w:p>
        </w:tc>
        <w:tc>
          <w:tcPr>
            <w:tcW w:w="0" w:type="auto"/>
            <w:gridSpan w:val="3"/>
            <w:shd w:val="clear" w:color="auto" w:fill="auto"/>
            <w:vAlign w:val="bottom"/>
          </w:tcPr>
          <w:p w14:paraId="71D496D6" w14:textId="77777777" w:rsidR="006A3667" w:rsidRDefault="006A3667">
            <w:pPr>
              <w:rPr>
                <w:rFonts w:ascii="宋体"/>
                <w:vanish/>
              </w:rPr>
            </w:pPr>
          </w:p>
        </w:tc>
        <w:tc>
          <w:tcPr>
            <w:tcW w:w="0" w:type="auto"/>
            <w:gridSpan w:val="3"/>
            <w:shd w:val="clear" w:color="auto" w:fill="auto"/>
            <w:vAlign w:val="bottom"/>
          </w:tcPr>
          <w:p w14:paraId="71D496D7" w14:textId="77777777" w:rsidR="006A3667" w:rsidRDefault="006A3667">
            <w:pPr>
              <w:rPr>
                <w:rFonts w:ascii="宋体"/>
                <w:vanish/>
              </w:rPr>
            </w:pPr>
          </w:p>
        </w:tc>
        <w:tc>
          <w:tcPr>
            <w:tcW w:w="0" w:type="auto"/>
            <w:gridSpan w:val="3"/>
            <w:shd w:val="clear" w:color="auto" w:fill="auto"/>
            <w:vAlign w:val="bottom"/>
          </w:tcPr>
          <w:p w14:paraId="71D496D8" w14:textId="77777777" w:rsidR="006A3667" w:rsidRDefault="006A3667">
            <w:pPr>
              <w:rPr>
                <w:rFonts w:ascii="宋体"/>
                <w:vanish/>
              </w:rPr>
            </w:pPr>
          </w:p>
        </w:tc>
        <w:tc>
          <w:tcPr>
            <w:tcW w:w="0" w:type="auto"/>
            <w:gridSpan w:val="3"/>
            <w:shd w:val="clear" w:color="auto" w:fill="auto"/>
            <w:vAlign w:val="bottom"/>
          </w:tcPr>
          <w:p w14:paraId="71D496D9" w14:textId="77777777" w:rsidR="006A3667" w:rsidRDefault="006A3667">
            <w:pPr>
              <w:rPr>
                <w:rFonts w:ascii="宋体"/>
                <w:vanish/>
              </w:rPr>
            </w:pPr>
          </w:p>
        </w:tc>
        <w:tc>
          <w:tcPr>
            <w:tcW w:w="0" w:type="auto"/>
            <w:shd w:val="clear" w:color="auto" w:fill="auto"/>
            <w:vAlign w:val="bottom"/>
          </w:tcPr>
          <w:p w14:paraId="71D496DA" w14:textId="77777777" w:rsidR="006A3667" w:rsidRDefault="006A3667">
            <w:pPr>
              <w:rPr>
                <w:rFonts w:ascii="宋体"/>
                <w:vanish/>
              </w:rPr>
            </w:pPr>
          </w:p>
        </w:tc>
        <w:tc>
          <w:tcPr>
            <w:tcW w:w="0" w:type="auto"/>
            <w:shd w:val="clear" w:color="auto" w:fill="auto"/>
            <w:vAlign w:val="bottom"/>
          </w:tcPr>
          <w:p w14:paraId="71D496DB" w14:textId="77777777" w:rsidR="006A3667" w:rsidRDefault="006A3667">
            <w:pPr>
              <w:rPr>
                <w:rFonts w:ascii="宋体"/>
                <w:vanish/>
              </w:rPr>
            </w:pPr>
          </w:p>
        </w:tc>
        <w:tc>
          <w:tcPr>
            <w:tcW w:w="0" w:type="auto"/>
            <w:gridSpan w:val="3"/>
            <w:shd w:val="clear" w:color="auto" w:fill="auto"/>
            <w:vAlign w:val="bottom"/>
          </w:tcPr>
          <w:p w14:paraId="71D496DC" w14:textId="77777777" w:rsidR="006A3667" w:rsidRDefault="006A3667">
            <w:pPr>
              <w:rPr>
                <w:rFonts w:ascii="宋体"/>
                <w:vanish/>
              </w:rPr>
            </w:pPr>
          </w:p>
        </w:tc>
        <w:tc>
          <w:tcPr>
            <w:tcW w:w="0" w:type="auto"/>
            <w:gridSpan w:val="3"/>
            <w:shd w:val="clear" w:color="auto" w:fill="auto"/>
            <w:vAlign w:val="bottom"/>
          </w:tcPr>
          <w:p w14:paraId="71D496DD" w14:textId="77777777" w:rsidR="006A3667" w:rsidRDefault="006A3667">
            <w:pPr>
              <w:rPr>
                <w:rFonts w:ascii="宋体"/>
                <w:vanish/>
              </w:rPr>
            </w:pPr>
          </w:p>
        </w:tc>
        <w:tc>
          <w:tcPr>
            <w:tcW w:w="0" w:type="auto"/>
            <w:gridSpan w:val="3"/>
            <w:shd w:val="clear" w:color="auto" w:fill="auto"/>
            <w:vAlign w:val="bottom"/>
          </w:tcPr>
          <w:p w14:paraId="71D496DE" w14:textId="77777777" w:rsidR="006A3667" w:rsidRDefault="006A3667">
            <w:pPr>
              <w:rPr>
                <w:rFonts w:ascii="宋体"/>
                <w:vanish/>
              </w:rPr>
            </w:pPr>
          </w:p>
        </w:tc>
        <w:tc>
          <w:tcPr>
            <w:tcW w:w="0" w:type="auto"/>
            <w:gridSpan w:val="3"/>
            <w:shd w:val="clear" w:color="auto" w:fill="auto"/>
            <w:vAlign w:val="bottom"/>
          </w:tcPr>
          <w:p w14:paraId="71D496DF" w14:textId="77777777" w:rsidR="006A3667" w:rsidRDefault="006A3667">
            <w:pPr>
              <w:rPr>
                <w:rFonts w:ascii="宋体"/>
                <w:vanish/>
              </w:rPr>
            </w:pPr>
          </w:p>
        </w:tc>
        <w:tc>
          <w:tcPr>
            <w:tcW w:w="0" w:type="auto"/>
            <w:shd w:val="clear" w:color="auto" w:fill="auto"/>
            <w:vAlign w:val="bottom"/>
          </w:tcPr>
          <w:p w14:paraId="71D496E0" w14:textId="77777777" w:rsidR="006A3667" w:rsidRDefault="006A3667">
            <w:pPr>
              <w:rPr>
                <w:rFonts w:ascii="宋体"/>
                <w:vanish/>
              </w:rPr>
            </w:pPr>
          </w:p>
        </w:tc>
        <w:tc>
          <w:tcPr>
            <w:tcW w:w="0" w:type="auto"/>
            <w:shd w:val="clear" w:color="auto" w:fill="auto"/>
            <w:vAlign w:val="bottom"/>
          </w:tcPr>
          <w:p w14:paraId="71D496E1" w14:textId="77777777" w:rsidR="006A3667" w:rsidRDefault="006A3667">
            <w:pPr>
              <w:rPr>
                <w:rFonts w:ascii="宋体"/>
                <w:vanish/>
              </w:rPr>
            </w:pPr>
          </w:p>
        </w:tc>
        <w:tc>
          <w:tcPr>
            <w:tcW w:w="0" w:type="auto"/>
            <w:gridSpan w:val="3"/>
            <w:shd w:val="clear" w:color="auto" w:fill="auto"/>
            <w:vAlign w:val="bottom"/>
          </w:tcPr>
          <w:p w14:paraId="71D496E2" w14:textId="77777777" w:rsidR="006A3667" w:rsidRDefault="006A3667">
            <w:pPr>
              <w:rPr>
                <w:rFonts w:ascii="宋体"/>
                <w:vanish/>
              </w:rPr>
            </w:pPr>
          </w:p>
        </w:tc>
        <w:tc>
          <w:tcPr>
            <w:tcW w:w="0" w:type="auto"/>
            <w:gridSpan w:val="3"/>
            <w:shd w:val="clear" w:color="auto" w:fill="auto"/>
            <w:vAlign w:val="bottom"/>
          </w:tcPr>
          <w:p w14:paraId="71D496E3" w14:textId="77777777" w:rsidR="006A3667" w:rsidRDefault="006A3667">
            <w:pPr>
              <w:rPr>
                <w:rFonts w:ascii="宋体"/>
                <w:vanish/>
              </w:rPr>
            </w:pPr>
          </w:p>
        </w:tc>
        <w:tc>
          <w:tcPr>
            <w:tcW w:w="0" w:type="auto"/>
            <w:gridSpan w:val="3"/>
            <w:shd w:val="clear" w:color="auto" w:fill="auto"/>
            <w:vAlign w:val="bottom"/>
          </w:tcPr>
          <w:p w14:paraId="71D496E4" w14:textId="77777777" w:rsidR="006A3667" w:rsidRDefault="006A3667">
            <w:pPr>
              <w:rPr>
                <w:rFonts w:ascii="宋体"/>
                <w:vanish/>
              </w:rPr>
            </w:pPr>
          </w:p>
        </w:tc>
        <w:tc>
          <w:tcPr>
            <w:tcW w:w="0" w:type="auto"/>
            <w:gridSpan w:val="3"/>
            <w:shd w:val="clear" w:color="auto" w:fill="auto"/>
            <w:vAlign w:val="bottom"/>
          </w:tcPr>
          <w:p w14:paraId="71D496E5" w14:textId="77777777" w:rsidR="006A3667" w:rsidRDefault="006A3667">
            <w:pPr>
              <w:rPr>
                <w:rFonts w:ascii="宋体"/>
                <w:vanish/>
              </w:rPr>
            </w:pPr>
          </w:p>
        </w:tc>
        <w:tc>
          <w:tcPr>
            <w:tcW w:w="0" w:type="auto"/>
            <w:gridSpan w:val="3"/>
            <w:shd w:val="clear" w:color="auto" w:fill="auto"/>
            <w:vAlign w:val="bottom"/>
          </w:tcPr>
          <w:p w14:paraId="71D496E6" w14:textId="77777777" w:rsidR="006A3667" w:rsidRDefault="006A3667">
            <w:pPr>
              <w:rPr>
                <w:rFonts w:ascii="宋体"/>
                <w:vanish/>
              </w:rPr>
            </w:pPr>
          </w:p>
        </w:tc>
        <w:tc>
          <w:tcPr>
            <w:tcW w:w="0" w:type="auto"/>
            <w:gridSpan w:val="3"/>
            <w:shd w:val="clear" w:color="auto" w:fill="auto"/>
            <w:vAlign w:val="bottom"/>
          </w:tcPr>
          <w:p w14:paraId="71D496E7" w14:textId="77777777" w:rsidR="006A3667" w:rsidRDefault="006A3667">
            <w:pPr>
              <w:rPr>
                <w:rFonts w:ascii="宋体"/>
                <w:vanish/>
              </w:rPr>
            </w:pPr>
          </w:p>
        </w:tc>
        <w:tc>
          <w:tcPr>
            <w:tcW w:w="0" w:type="auto"/>
            <w:gridSpan w:val="3"/>
            <w:shd w:val="clear" w:color="auto" w:fill="auto"/>
            <w:vAlign w:val="bottom"/>
          </w:tcPr>
          <w:p w14:paraId="71D496E8" w14:textId="77777777" w:rsidR="006A3667" w:rsidRDefault="006A3667">
            <w:pPr>
              <w:rPr>
                <w:rFonts w:ascii="宋体"/>
                <w:vanish/>
              </w:rPr>
            </w:pPr>
          </w:p>
        </w:tc>
        <w:tc>
          <w:tcPr>
            <w:tcW w:w="0" w:type="auto"/>
            <w:gridSpan w:val="2"/>
            <w:shd w:val="clear" w:color="auto" w:fill="auto"/>
            <w:vAlign w:val="bottom"/>
          </w:tcPr>
          <w:p w14:paraId="71D496E9" w14:textId="77777777" w:rsidR="006A3667" w:rsidRDefault="006A3667">
            <w:pPr>
              <w:rPr>
                <w:rFonts w:ascii="宋体"/>
                <w:vanish/>
              </w:rPr>
            </w:pPr>
          </w:p>
        </w:tc>
        <w:tc>
          <w:tcPr>
            <w:tcW w:w="0" w:type="auto"/>
            <w:shd w:val="clear" w:color="auto" w:fill="auto"/>
            <w:vAlign w:val="bottom"/>
          </w:tcPr>
          <w:p w14:paraId="71D496EA" w14:textId="77777777" w:rsidR="006A3667" w:rsidRDefault="006A3667">
            <w:pPr>
              <w:rPr>
                <w:rFonts w:ascii="宋体"/>
                <w:vanish/>
              </w:rPr>
            </w:pPr>
          </w:p>
        </w:tc>
      </w:tr>
      <w:tr w:rsidR="006A3667" w14:paraId="71D49702" w14:textId="77777777">
        <w:trPr>
          <w:hidden/>
        </w:trPr>
        <w:tc>
          <w:tcPr>
            <w:tcW w:w="0" w:type="auto"/>
            <w:gridSpan w:val="3"/>
            <w:shd w:val="clear" w:color="auto" w:fill="auto"/>
            <w:vAlign w:val="bottom"/>
          </w:tcPr>
          <w:p w14:paraId="71D496EC" w14:textId="77777777" w:rsidR="006A3667" w:rsidRDefault="006A3667">
            <w:pPr>
              <w:rPr>
                <w:rFonts w:ascii="宋体"/>
                <w:vanish/>
              </w:rPr>
            </w:pPr>
          </w:p>
        </w:tc>
        <w:tc>
          <w:tcPr>
            <w:tcW w:w="0" w:type="auto"/>
            <w:gridSpan w:val="3"/>
            <w:shd w:val="clear" w:color="auto" w:fill="auto"/>
            <w:vAlign w:val="bottom"/>
          </w:tcPr>
          <w:p w14:paraId="71D496ED" w14:textId="77777777" w:rsidR="006A3667" w:rsidRDefault="006A3667">
            <w:pPr>
              <w:rPr>
                <w:rFonts w:ascii="宋体"/>
                <w:vanish/>
              </w:rPr>
            </w:pPr>
          </w:p>
        </w:tc>
        <w:tc>
          <w:tcPr>
            <w:tcW w:w="0" w:type="auto"/>
            <w:gridSpan w:val="3"/>
            <w:shd w:val="clear" w:color="auto" w:fill="auto"/>
            <w:vAlign w:val="bottom"/>
          </w:tcPr>
          <w:p w14:paraId="71D496EE" w14:textId="77777777" w:rsidR="006A3667" w:rsidRDefault="006A3667">
            <w:pPr>
              <w:rPr>
                <w:rFonts w:ascii="宋体"/>
                <w:vanish/>
              </w:rPr>
            </w:pPr>
          </w:p>
        </w:tc>
        <w:tc>
          <w:tcPr>
            <w:tcW w:w="0" w:type="auto"/>
            <w:gridSpan w:val="3"/>
            <w:shd w:val="clear" w:color="auto" w:fill="auto"/>
            <w:vAlign w:val="bottom"/>
          </w:tcPr>
          <w:p w14:paraId="71D496EF" w14:textId="77777777" w:rsidR="006A3667" w:rsidRDefault="006A3667">
            <w:pPr>
              <w:rPr>
                <w:rFonts w:ascii="宋体"/>
                <w:vanish/>
              </w:rPr>
            </w:pPr>
          </w:p>
        </w:tc>
        <w:tc>
          <w:tcPr>
            <w:tcW w:w="0" w:type="auto"/>
            <w:gridSpan w:val="3"/>
            <w:shd w:val="clear" w:color="auto" w:fill="auto"/>
            <w:vAlign w:val="bottom"/>
          </w:tcPr>
          <w:p w14:paraId="71D496F0" w14:textId="77777777" w:rsidR="006A3667" w:rsidRDefault="006A3667">
            <w:pPr>
              <w:rPr>
                <w:rFonts w:ascii="宋体"/>
                <w:vanish/>
              </w:rPr>
            </w:pPr>
          </w:p>
        </w:tc>
        <w:tc>
          <w:tcPr>
            <w:tcW w:w="0" w:type="auto"/>
            <w:shd w:val="clear" w:color="auto" w:fill="auto"/>
            <w:vAlign w:val="bottom"/>
          </w:tcPr>
          <w:p w14:paraId="71D496F1" w14:textId="77777777" w:rsidR="006A3667" w:rsidRDefault="006A3667">
            <w:pPr>
              <w:rPr>
                <w:rFonts w:ascii="宋体"/>
                <w:vanish/>
              </w:rPr>
            </w:pPr>
          </w:p>
        </w:tc>
        <w:tc>
          <w:tcPr>
            <w:tcW w:w="0" w:type="auto"/>
            <w:shd w:val="clear" w:color="auto" w:fill="auto"/>
            <w:vAlign w:val="bottom"/>
          </w:tcPr>
          <w:p w14:paraId="71D496F2" w14:textId="77777777" w:rsidR="006A3667" w:rsidRDefault="006A3667">
            <w:pPr>
              <w:rPr>
                <w:rFonts w:ascii="宋体"/>
                <w:vanish/>
              </w:rPr>
            </w:pPr>
          </w:p>
        </w:tc>
        <w:tc>
          <w:tcPr>
            <w:tcW w:w="0" w:type="auto"/>
            <w:gridSpan w:val="3"/>
            <w:shd w:val="clear" w:color="auto" w:fill="auto"/>
            <w:vAlign w:val="bottom"/>
          </w:tcPr>
          <w:p w14:paraId="71D496F3" w14:textId="77777777" w:rsidR="006A3667" w:rsidRDefault="006A3667">
            <w:pPr>
              <w:rPr>
                <w:rFonts w:ascii="宋体"/>
                <w:vanish/>
              </w:rPr>
            </w:pPr>
          </w:p>
        </w:tc>
        <w:tc>
          <w:tcPr>
            <w:tcW w:w="0" w:type="auto"/>
            <w:gridSpan w:val="3"/>
            <w:shd w:val="clear" w:color="auto" w:fill="auto"/>
            <w:vAlign w:val="bottom"/>
          </w:tcPr>
          <w:p w14:paraId="71D496F4" w14:textId="77777777" w:rsidR="006A3667" w:rsidRDefault="006A3667">
            <w:pPr>
              <w:rPr>
                <w:rFonts w:ascii="宋体"/>
                <w:vanish/>
              </w:rPr>
            </w:pPr>
          </w:p>
        </w:tc>
        <w:tc>
          <w:tcPr>
            <w:tcW w:w="0" w:type="auto"/>
            <w:gridSpan w:val="3"/>
            <w:shd w:val="clear" w:color="auto" w:fill="auto"/>
            <w:vAlign w:val="bottom"/>
          </w:tcPr>
          <w:p w14:paraId="71D496F5" w14:textId="77777777" w:rsidR="006A3667" w:rsidRDefault="006A3667">
            <w:pPr>
              <w:rPr>
                <w:rFonts w:ascii="宋体"/>
                <w:vanish/>
              </w:rPr>
            </w:pPr>
          </w:p>
        </w:tc>
        <w:tc>
          <w:tcPr>
            <w:tcW w:w="0" w:type="auto"/>
            <w:gridSpan w:val="3"/>
            <w:shd w:val="clear" w:color="auto" w:fill="auto"/>
            <w:vAlign w:val="bottom"/>
          </w:tcPr>
          <w:p w14:paraId="71D496F6" w14:textId="77777777" w:rsidR="006A3667" w:rsidRDefault="006A3667">
            <w:pPr>
              <w:rPr>
                <w:rFonts w:ascii="宋体"/>
                <w:vanish/>
              </w:rPr>
            </w:pPr>
          </w:p>
        </w:tc>
        <w:tc>
          <w:tcPr>
            <w:tcW w:w="0" w:type="auto"/>
            <w:shd w:val="clear" w:color="auto" w:fill="auto"/>
            <w:vAlign w:val="bottom"/>
          </w:tcPr>
          <w:p w14:paraId="71D496F7" w14:textId="77777777" w:rsidR="006A3667" w:rsidRDefault="006A3667">
            <w:pPr>
              <w:rPr>
                <w:rFonts w:ascii="宋体"/>
                <w:vanish/>
              </w:rPr>
            </w:pPr>
          </w:p>
        </w:tc>
        <w:tc>
          <w:tcPr>
            <w:tcW w:w="0" w:type="auto"/>
            <w:shd w:val="clear" w:color="auto" w:fill="auto"/>
            <w:vAlign w:val="bottom"/>
          </w:tcPr>
          <w:p w14:paraId="71D496F8" w14:textId="77777777" w:rsidR="006A3667" w:rsidRDefault="006A3667">
            <w:pPr>
              <w:rPr>
                <w:rFonts w:ascii="宋体"/>
                <w:vanish/>
              </w:rPr>
            </w:pPr>
          </w:p>
        </w:tc>
        <w:tc>
          <w:tcPr>
            <w:tcW w:w="0" w:type="auto"/>
            <w:gridSpan w:val="3"/>
            <w:shd w:val="clear" w:color="auto" w:fill="auto"/>
            <w:vAlign w:val="bottom"/>
          </w:tcPr>
          <w:p w14:paraId="71D496F9" w14:textId="77777777" w:rsidR="006A3667" w:rsidRDefault="006A3667">
            <w:pPr>
              <w:rPr>
                <w:rFonts w:ascii="宋体"/>
                <w:vanish/>
              </w:rPr>
            </w:pPr>
          </w:p>
        </w:tc>
        <w:tc>
          <w:tcPr>
            <w:tcW w:w="0" w:type="auto"/>
            <w:gridSpan w:val="3"/>
            <w:shd w:val="clear" w:color="auto" w:fill="auto"/>
            <w:vAlign w:val="bottom"/>
          </w:tcPr>
          <w:p w14:paraId="71D496FA" w14:textId="77777777" w:rsidR="006A3667" w:rsidRDefault="006A3667">
            <w:pPr>
              <w:rPr>
                <w:rFonts w:ascii="宋体"/>
                <w:vanish/>
              </w:rPr>
            </w:pPr>
          </w:p>
        </w:tc>
        <w:tc>
          <w:tcPr>
            <w:tcW w:w="0" w:type="auto"/>
            <w:gridSpan w:val="3"/>
            <w:shd w:val="clear" w:color="auto" w:fill="auto"/>
            <w:vAlign w:val="bottom"/>
          </w:tcPr>
          <w:p w14:paraId="71D496FB" w14:textId="77777777" w:rsidR="006A3667" w:rsidRDefault="006A3667">
            <w:pPr>
              <w:rPr>
                <w:rFonts w:ascii="宋体"/>
                <w:vanish/>
              </w:rPr>
            </w:pPr>
          </w:p>
        </w:tc>
        <w:tc>
          <w:tcPr>
            <w:tcW w:w="0" w:type="auto"/>
            <w:gridSpan w:val="3"/>
            <w:shd w:val="clear" w:color="auto" w:fill="auto"/>
            <w:vAlign w:val="bottom"/>
          </w:tcPr>
          <w:p w14:paraId="71D496FC" w14:textId="77777777" w:rsidR="006A3667" w:rsidRDefault="006A3667">
            <w:pPr>
              <w:rPr>
                <w:rFonts w:ascii="宋体"/>
                <w:vanish/>
              </w:rPr>
            </w:pPr>
          </w:p>
        </w:tc>
        <w:tc>
          <w:tcPr>
            <w:tcW w:w="0" w:type="auto"/>
            <w:gridSpan w:val="3"/>
            <w:shd w:val="clear" w:color="auto" w:fill="auto"/>
            <w:vAlign w:val="bottom"/>
          </w:tcPr>
          <w:p w14:paraId="71D496FD" w14:textId="77777777" w:rsidR="006A3667" w:rsidRDefault="006A3667">
            <w:pPr>
              <w:rPr>
                <w:rFonts w:ascii="宋体"/>
                <w:vanish/>
              </w:rPr>
            </w:pPr>
          </w:p>
        </w:tc>
        <w:tc>
          <w:tcPr>
            <w:tcW w:w="0" w:type="auto"/>
            <w:gridSpan w:val="3"/>
            <w:shd w:val="clear" w:color="auto" w:fill="auto"/>
            <w:vAlign w:val="bottom"/>
          </w:tcPr>
          <w:p w14:paraId="71D496FE" w14:textId="77777777" w:rsidR="006A3667" w:rsidRDefault="006A3667">
            <w:pPr>
              <w:rPr>
                <w:rFonts w:ascii="宋体"/>
                <w:vanish/>
              </w:rPr>
            </w:pPr>
          </w:p>
        </w:tc>
        <w:tc>
          <w:tcPr>
            <w:tcW w:w="0" w:type="auto"/>
            <w:gridSpan w:val="3"/>
            <w:shd w:val="clear" w:color="auto" w:fill="auto"/>
            <w:vAlign w:val="bottom"/>
          </w:tcPr>
          <w:p w14:paraId="71D496FF" w14:textId="77777777" w:rsidR="006A3667" w:rsidRDefault="006A3667">
            <w:pPr>
              <w:rPr>
                <w:rFonts w:ascii="宋体"/>
                <w:vanish/>
              </w:rPr>
            </w:pPr>
          </w:p>
        </w:tc>
        <w:tc>
          <w:tcPr>
            <w:tcW w:w="0" w:type="auto"/>
            <w:gridSpan w:val="2"/>
            <w:shd w:val="clear" w:color="auto" w:fill="auto"/>
            <w:vAlign w:val="bottom"/>
          </w:tcPr>
          <w:p w14:paraId="71D49700" w14:textId="77777777" w:rsidR="006A3667" w:rsidRDefault="006A3667">
            <w:pPr>
              <w:rPr>
                <w:rFonts w:ascii="宋体"/>
                <w:vanish/>
              </w:rPr>
            </w:pPr>
          </w:p>
        </w:tc>
        <w:tc>
          <w:tcPr>
            <w:tcW w:w="0" w:type="auto"/>
            <w:shd w:val="clear" w:color="auto" w:fill="auto"/>
            <w:vAlign w:val="bottom"/>
          </w:tcPr>
          <w:p w14:paraId="71D49701" w14:textId="77777777" w:rsidR="006A3667" w:rsidRDefault="006A3667">
            <w:pPr>
              <w:rPr>
                <w:rFonts w:ascii="宋体"/>
                <w:vanish/>
              </w:rPr>
            </w:pPr>
          </w:p>
        </w:tc>
      </w:tr>
      <w:tr w:rsidR="006A3667" w14:paraId="71D49719" w14:textId="77777777">
        <w:trPr>
          <w:hidden/>
        </w:trPr>
        <w:tc>
          <w:tcPr>
            <w:tcW w:w="0" w:type="auto"/>
            <w:gridSpan w:val="3"/>
            <w:shd w:val="clear" w:color="auto" w:fill="auto"/>
            <w:vAlign w:val="bottom"/>
          </w:tcPr>
          <w:p w14:paraId="71D49703" w14:textId="77777777" w:rsidR="006A3667" w:rsidRDefault="006A3667">
            <w:pPr>
              <w:rPr>
                <w:rFonts w:ascii="宋体"/>
                <w:vanish/>
              </w:rPr>
            </w:pPr>
          </w:p>
        </w:tc>
        <w:tc>
          <w:tcPr>
            <w:tcW w:w="0" w:type="auto"/>
            <w:gridSpan w:val="3"/>
            <w:shd w:val="clear" w:color="auto" w:fill="auto"/>
            <w:vAlign w:val="bottom"/>
          </w:tcPr>
          <w:p w14:paraId="71D49704" w14:textId="77777777" w:rsidR="006A3667" w:rsidRDefault="006A3667">
            <w:pPr>
              <w:rPr>
                <w:rFonts w:ascii="宋体"/>
                <w:vanish/>
              </w:rPr>
            </w:pPr>
          </w:p>
        </w:tc>
        <w:tc>
          <w:tcPr>
            <w:tcW w:w="0" w:type="auto"/>
            <w:gridSpan w:val="3"/>
            <w:shd w:val="clear" w:color="auto" w:fill="auto"/>
            <w:vAlign w:val="bottom"/>
          </w:tcPr>
          <w:p w14:paraId="71D49705" w14:textId="77777777" w:rsidR="006A3667" w:rsidRDefault="006A3667">
            <w:pPr>
              <w:rPr>
                <w:rFonts w:ascii="宋体"/>
                <w:vanish/>
              </w:rPr>
            </w:pPr>
          </w:p>
        </w:tc>
        <w:tc>
          <w:tcPr>
            <w:tcW w:w="0" w:type="auto"/>
            <w:gridSpan w:val="3"/>
            <w:shd w:val="clear" w:color="auto" w:fill="auto"/>
            <w:vAlign w:val="bottom"/>
          </w:tcPr>
          <w:p w14:paraId="71D49706" w14:textId="77777777" w:rsidR="006A3667" w:rsidRDefault="006A3667">
            <w:pPr>
              <w:rPr>
                <w:rFonts w:ascii="宋体"/>
                <w:vanish/>
              </w:rPr>
            </w:pPr>
          </w:p>
        </w:tc>
        <w:tc>
          <w:tcPr>
            <w:tcW w:w="0" w:type="auto"/>
            <w:gridSpan w:val="3"/>
            <w:shd w:val="clear" w:color="auto" w:fill="auto"/>
            <w:vAlign w:val="bottom"/>
          </w:tcPr>
          <w:p w14:paraId="71D49707" w14:textId="77777777" w:rsidR="006A3667" w:rsidRDefault="006A3667">
            <w:pPr>
              <w:rPr>
                <w:rFonts w:ascii="宋体"/>
                <w:vanish/>
              </w:rPr>
            </w:pPr>
          </w:p>
        </w:tc>
        <w:tc>
          <w:tcPr>
            <w:tcW w:w="0" w:type="auto"/>
            <w:shd w:val="clear" w:color="auto" w:fill="auto"/>
            <w:vAlign w:val="bottom"/>
          </w:tcPr>
          <w:p w14:paraId="71D49708" w14:textId="77777777" w:rsidR="006A3667" w:rsidRDefault="006A3667">
            <w:pPr>
              <w:rPr>
                <w:rFonts w:ascii="宋体"/>
                <w:vanish/>
              </w:rPr>
            </w:pPr>
          </w:p>
        </w:tc>
        <w:tc>
          <w:tcPr>
            <w:tcW w:w="0" w:type="auto"/>
            <w:shd w:val="clear" w:color="auto" w:fill="auto"/>
            <w:vAlign w:val="bottom"/>
          </w:tcPr>
          <w:p w14:paraId="71D49709" w14:textId="77777777" w:rsidR="006A3667" w:rsidRDefault="006A3667">
            <w:pPr>
              <w:rPr>
                <w:rFonts w:ascii="宋体"/>
                <w:vanish/>
              </w:rPr>
            </w:pPr>
          </w:p>
        </w:tc>
        <w:tc>
          <w:tcPr>
            <w:tcW w:w="0" w:type="auto"/>
            <w:gridSpan w:val="3"/>
            <w:shd w:val="clear" w:color="auto" w:fill="auto"/>
            <w:vAlign w:val="bottom"/>
          </w:tcPr>
          <w:p w14:paraId="71D4970A" w14:textId="77777777" w:rsidR="006A3667" w:rsidRDefault="006A3667">
            <w:pPr>
              <w:rPr>
                <w:rFonts w:ascii="宋体"/>
                <w:vanish/>
              </w:rPr>
            </w:pPr>
          </w:p>
        </w:tc>
        <w:tc>
          <w:tcPr>
            <w:tcW w:w="0" w:type="auto"/>
            <w:gridSpan w:val="3"/>
            <w:shd w:val="clear" w:color="auto" w:fill="auto"/>
            <w:vAlign w:val="bottom"/>
          </w:tcPr>
          <w:p w14:paraId="71D4970B" w14:textId="77777777" w:rsidR="006A3667" w:rsidRDefault="006A3667">
            <w:pPr>
              <w:rPr>
                <w:rFonts w:ascii="宋体"/>
                <w:vanish/>
              </w:rPr>
            </w:pPr>
          </w:p>
        </w:tc>
        <w:tc>
          <w:tcPr>
            <w:tcW w:w="0" w:type="auto"/>
            <w:gridSpan w:val="3"/>
            <w:shd w:val="clear" w:color="auto" w:fill="auto"/>
            <w:vAlign w:val="bottom"/>
          </w:tcPr>
          <w:p w14:paraId="71D4970C" w14:textId="77777777" w:rsidR="006A3667" w:rsidRDefault="006A3667">
            <w:pPr>
              <w:rPr>
                <w:rFonts w:ascii="宋体"/>
                <w:vanish/>
              </w:rPr>
            </w:pPr>
          </w:p>
        </w:tc>
        <w:tc>
          <w:tcPr>
            <w:tcW w:w="0" w:type="auto"/>
            <w:gridSpan w:val="3"/>
            <w:shd w:val="clear" w:color="auto" w:fill="auto"/>
            <w:vAlign w:val="bottom"/>
          </w:tcPr>
          <w:p w14:paraId="71D4970D" w14:textId="77777777" w:rsidR="006A3667" w:rsidRDefault="006A3667">
            <w:pPr>
              <w:rPr>
                <w:rFonts w:ascii="宋体"/>
                <w:vanish/>
              </w:rPr>
            </w:pPr>
          </w:p>
        </w:tc>
        <w:tc>
          <w:tcPr>
            <w:tcW w:w="0" w:type="auto"/>
            <w:shd w:val="clear" w:color="auto" w:fill="auto"/>
            <w:vAlign w:val="bottom"/>
          </w:tcPr>
          <w:p w14:paraId="71D4970E" w14:textId="77777777" w:rsidR="006A3667" w:rsidRDefault="006A3667">
            <w:pPr>
              <w:rPr>
                <w:rFonts w:ascii="宋体"/>
                <w:vanish/>
              </w:rPr>
            </w:pPr>
          </w:p>
        </w:tc>
        <w:tc>
          <w:tcPr>
            <w:tcW w:w="0" w:type="auto"/>
            <w:shd w:val="clear" w:color="auto" w:fill="auto"/>
            <w:vAlign w:val="bottom"/>
          </w:tcPr>
          <w:p w14:paraId="71D4970F" w14:textId="77777777" w:rsidR="006A3667" w:rsidRDefault="006A3667">
            <w:pPr>
              <w:rPr>
                <w:rFonts w:ascii="宋体"/>
                <w:vanish/>
              </w:rPr>
            </w:pPr>
          </w:p>
        </w:tc>
        <w:tc>
          <w:tcPr>
            <w:tcW w:w="0" w:type="auto"/>
            <w:gridSpan w:val="3"/>
            <w:shd w:val="clear" w:color="auto" w:fill="auto"/>
            <w:vAlign w:val="bottom"/>
          </w:tcPr>
          <w:p w14:paraId="71D49710" w14:textId="77777777" w:rsidR="006A3667" w:rsidRDefault="006A3667">
            <w:pPr>
              <w:rPr>
                <w:rFonts w:ascii="宋体"/>
                <w:vanish/>
              </w:rPr>
            </w:pPr>
          </w:p>
        </w:tc>
        <w:tc>
          <w:tcPr>
            <w:tcW w:w="0" w:type="auto"/>
            <w:gridSpan w:val="3"/>
            <w:shd w:val="clear" w:color="auto" w:fill="auto"/>
            <w:vAlign w:val="bottom"/>
          </w:tcPr>
          <w:p w14:paraId="71D49711" w14:textId="77777777" w:rsidR="006A3667" w:rsidRDefault="006A3667">
            <w:pPr>
              <w:rPr>
                <w:rFonts w:ascii="宋体"/>
                <w:vanish/>
              </w:rPr>
            </w:pPr>
          </w:p>
        </w:tc>
        <w:tc>
          <w:tcPr>
            <w:tcW w:w="0" w:type="auto"/>
            <w:gridSpan w:val="3"/>
            <w:shd w:val="clear" w:color="auto" w:fill="auto"/>
            <w:vAlign w:val="bottom"/>
          </w:tcPr>
          <w:p w14:paraId="71D49712" w14:textId="77777777" w:rsidR="006A3667" w:rsidRDefault="006A3667">
            <w:pPr>
              <w:rPr>
                <w:rFonts w:ascii="宋体"/>
                <w:vanish/>
              </w:rPr>
            </w:pPr>
          </w:p>
        </w:tc>
        <w:tc>
          <w:tcPr>
            <w:tcW w:w="0" w:type="auto"/>
            <w:gridSpan w:val="3"/>
            <w:shd w:val="clear" w:color="auto" w:fill="auto"/>
            <w:vAlign w:val="bottom"/>
          </w:tcPr>
          <w:p w14:paraId="71D49713" w14:textId="77777777" w:rsidR="006A3667" w:rsidRDefault="006A3667">
            <w:pPr>
              <w:rPr>
                <w:rFonts w:ascii="宋体"/>
                <w:vanish/>
              </w:rPr>
            </w:pPr>
          </w:p>
        </w:tc>
        <w:tc>
          <w:tcPr>
            <w:tcW w:w="0" w:type="auto"/>
            <w:gridSpan w:val="3"/>
            <w:shd w:val="clear" w:color="auto" w:fill="auto"/>
            <w:vAlign w:val="bottom"/>
          </w:tcPr>
          <w:p w14:paraId="71D49714" w14:textId="77777777" w:rsidR="006A3667" w:rsidRDefault="006A3667">
            <w:pPr>
              <w:rPr>
                <w:rFonts w:ascii="宋体"/>
                <w:vanish/>
              </w:rPr>
            </w:pPr>
          </w:p>
        </w:tc>
        <w:tc>
          <w:tcPr>
            <w:tcW w:w="0" w:type="auto"/>
            <w:gridSpan w:val="3"/>
            <w:shd w:val="clear" w:color="auto" w:fill="auto"/>
            <w:vAlign w:val="bottom"/>
          </w:tcPr>
          <w:p w14:paraId="71D49715" w14:textId="77777777" w:rsidR="006A3667" w:rsidRDefault="006A3667">
            <w:pPr>
              <w:rPr>
                <w:rFonts w:ascii="宋体"/>
                <w:vanish/>
              </w:rPr>
            </w:pPr>
          </w:p>
        </w:tc>
        <w:tc>
          <w:tcPr>
            <w:tcW w:w="0" w:type="auto"/>
            <w:gridSpan w:val="3"/>
            <w:shd w:val="clear" w:color="auto" w:fill="auto"/>
            <w:vAlign w:val="bottom"/>
          </w:tcPr>
          <w:p w14:paraId="71D49716" w14:textId="77777777" w:rsidR="006A3667" w:rsidRDefault="006A3667">
            <w:pPr>
              <w:rPr>
                <w:rFonts w:ascii="宋体"/>
                <w:vanish/>
              </w:rPr>
            </w:pPr>
          </w:p>
        </w:tc>
        <w:tc>
          <w:tcPr>
            <w:tcW w:w="0" w:type="auto"/>
            <w:gridSpan w:val="2"/>
            <w:shd w:val="clear" w:color="auto" w:fill="auto"/>
            <w:vAlign w:val="bottom"/>
          </w:tcPr>
          <w:p w14:paraId="71D49717" w14:textId="77777777" w:rsidR="006A3667" w:rsidRDefault="006A3667">
            <w:pPr>
              <w:rPr>
                <w:rFonts w:ascii="宋体"/>
                <w:vanish/>
              </w:rPr>
            </w:pPr>
          </w:p>
        </w:tc>
        <w:tc>
          <w:tcPr>
            <w:tcW w:w="0" w:type="auto"/>
            <w:shd w:val="clear" w:color="auto" w:fill="auto"/>
            <w:vAlign w:val="bottom"/>
          </w:tcPr>
          <w:p w14:paraId="71D49718" w14:textId="77777777" w:rsidR="006A3667" w:rsidRDefault="006A3667">
            <w:pPr>
              <w:rPr>
                <w:rFonts w:ascii="宋体"/>
                <w:vanish/>
              </w:rPr>
            </w:pPr>
          </w:p>
        </w:tc>
      </w:tr>
      <w:tr w:rsidR="006A3667" w14:paraId="71D49730" w14:textId="77777777">
        <w:trPr>
          <w:hidden/>
        </w:trPr>
        <w:tc>
          <w:tcPr>
            <w:tcW w:w="0" w:type="auto"/>
            <w:gridSpan w:val="3"/>
            <w:shd w:val="clear" w:color="auto" w:fill="auto"/>
            <w:vAlign w:val="bottom"/>
          </w:tcPr>
          <w:p w14:paraId="71D4971A" w14:textId="77777777" w:rsidR="006A3667" w:rsidRDefault="006A3667">
            <w:pPr>
              <w:rPr>
                <w:rFonts w:ascii="宋体"/>
                <w:vanish/>
              </w:rPr>
            </w:pPr>
          </w:p>
        </w:tc>
        <w:tc>
          <w:tcPr>
            <w:tcW w:w="0" w:type="auto"/>
            <w:gridSpan w:val="3"/>
            <w:shd w:val="clear" w:color="auto" w:fill="auto"/>
            <w:vAlign w:val="bottom"/>
          </w:tcPr>
          <w:p w14:paraId="71D4971B" w14:textId="77777777" w:rsidR="006A3667" w:rsidRDefault="006A3667">
            <w:pPr>
              <w:rPr>
                <w:rFonts w:ascii="宋体"/>
                <w:vanish/>
              </w:rPr>
            </w:pPr>
          </w:p>
        </w:tc>
        <w:tc>
          <w:tcPr>
            <w:tcW w:w="0" w:type="auto"/>
            <w:gridSpan w:val="3"/>
            <w:shd w:val="clear" w:color="auto" w:fill="auto"/>
            <w:vAlign w:val="bottom"/>
          </w:tcPr>
          <w:p w14:paraId="71D4971C" w14:textId="77777777" w:rsidR="006A3667" w:rsidRDefault="006A3667">
            <w:pPr>
              <w:rPr>
                <w:rFonts w:ascii="宋体"/>
                <w:vanish/>
              </w:rPr>
            </w:pPr>
          </w:p>
        </w:tc>
        <w:tc>
          <w:tcPr>
            <w:tcW w:w="0" w:type="auto"/>
            <w:gridSpan w:val="3"/>
            <w:shd w:val="clear" w:color="auto" w:fill="auto"/>
            <w:vAlign w:val="bottom"/>
          </w:tcPr>
          <w:p w14:paraId="71D4971D" w14:textId="77777777" w:rsidR="006A3667" w:rsidRDefault="006A3667">
            <w:pPr>
              <w:rPr>
                <w:rFonts w:ascii="宋体"/>
                <w:vanish/>
              </w:rPr>
            </w:pPr>
          </w:p>
        </w:tc>
        <w:tc>
          <w:tcPr>
            <w:tcW w:w="0" w:type="auto"/>
            <w:gridSpan w:val="3"/>
            <w:shd w:val="clear" w:color="auto" w:fill="auto"/>
            <w:vAlign w:val="bottom"/>
          </w:tcPr>
          <w:p w14:paraId="71D4971E" w14:textId="77777777" w:rsidR="006A3667" w:rsidRDefault="006A3667">
            <w:pPr>
              <w:rPr>
                <w:rFonts w:ascii="宋体"/>
                <w:vanish/>
              </w:rPr>
            </w:pPr>
          </w:p>
        </w:tc>
        <w:tc>
          <w:tcPr>
            <w:tcW w:w="0" w:type="auto"/>
            <w:shd w:val="clear" w:color="auto" w:fill="auto"/>
            <w:vAlign w:val="bottom"/>
          </w:tcPr>
          <w:p w14:paraId="71D4971F" w14:textId="77777777" w:rsidR="006A3667" w:rsidRDefault="006A3667">
            <w:pPr>
              <w:rPr>
                <w:rFonts w:ascii="宋体"/>
                <w:vanish/>
              </w:rPr>
            </w:pPr>
          </w:p>
        </w:tc>
        <w:tc>
          <w:tcPr>
            <w:tcW w:w="0" w:type="auto"/>
            <w:shd w:val="clear" w:color="auto" w:fill="auto"/>
            <w:vAlign w:val="bottom"/>
          </w:tcPr>
          <w:p w14:paraId="71D49720" w14:textId="77777777" w:rsidR="006A3667" w:rsidRDefault="006A3667">
            <w:pPr>
              <w:rPr>
                <w:rFonts w:ascii="宋体"/>
                <w:vanish/>
              </w:rPr>
            </w:pPr>
          </w:p>
        </w:tc>
        <w:tc>
          <w:tcPr>
            <w:tcW w:w="0" w:type="auto"/>
            <w:gridSpan w:val="3"/>
            <w:shd w:val="clear" w:color="auto" w:fill="auto"/>
            <w:vAlign w:val="bottom"/>
          </w:tcPr>
          <w:p w14:paraId="71D49721" w14:textId="77777777" w:rsidR="006A3667" w:rsidRDefault="006A3667">
            <w:pPr>
              <w:rPr>
                <w:rFonts w:ascii="宋体"/>
                <w:vanish/>
              </w:rPr>
            </w:pPr>
          </w:p>
        </w:tc>
        <w:tc>
          <w:tcPr>
            <w:tcW w:w="0" w:type="auto"/>
            <w:gridSpan w:val="3"/>
            <w:shd w:val="clear" w:color="auto" w:fill="auto"/>
            <w:vAlign w:val="bottom"/>
          </w:tcPr>
          <w:p w14:paraId="71D49722" w14:textId="77777777" w:rsidR="006A3667" w:rsidRDefault="006A3667">
            <w:pPr>
              <w:rPr>
                <w:rFonts w:ascii="宋体"/>
                <w:vanish/>
              </w:rPr>
            </w:pPr>
          </w:p>
        </w:tc>
        <w:tc>
          <w:tcPr>
            <w:tcW w:w="0" w:type="auto"/>
            <w:gridSpan w:val="3"/>
            <w:shd w:val="clear" w:color="auto" w:fill="auto"/>
            <w:vAlign w:val="bottom"/>
          </w:tcPr>
          <w:p w14:paraId="71D49723" w14:textId="77777777" w:rsidR="006A3667" w:rsidRDefault="006A3667">
            <w:pPr>
              <w:rPr>
                <w:rFonts w:ascii="宋体"/>
                <w:vanish/>
              </w:rPr>
            </w:pPr>
          </w:p>
        </w:tc>
        <w:tc>
          <w:tcPr>
            <w:tcW w:w="0" w:type="auto"/>
            <w:gridSpan w:val="3"/>
            <w:shd w:val="clear" w:color="auto" w:fill="auto"/>
            <w:vAlign w:val="bottom"/>
          </w:tcPr>
          <w:p w14:paraId="71D49724" w14:textId="77777777" w:rsidR="006A3667" w:rsidRDefault="006A3667">
            <w:pPr>
              <w:rPr>
                <w:rFonts w:ascii="宋体"/>
                <w:vanish/>
              </w:rPr>
            </w:pPr>
          </w:p>
        </w:tc>
        <w:tc>
          <w:tcPr>
            <w:tcW w:w="0" w:type="auto"/>
            <w:shd w:val="clear" w:color="auto" w:fill="auto"/>
            <w:vAlign w:val="bottom"/>
          </w:tcPr>
          <w:p w14:paraId="71D49725" w14:textId="77777777" w:rsidR="006A3667" w:rsidRDefault="006A3667">
            <w:pPr>
              <w:rPr>
                <w:rFonts w:ascii="宋体"/>
                <w:vanish/>
              </w:rPr>
            </w:pPr>
          </w:p>
        </w:tc>
        <w:tc>
          <w:tcPr>
            <w:tcW w:w="0" w:type="auto"/>
            <w:shd w:val="clear" w:color="auto" w:fill="auto"/>
            <w:vAlign w:val="bottom"/>
          </w:tcPr>
          <w:p w14:paraId="71D49726" w14:textId="77777777" w:rsidR="006A3667" w:rsidRDefault="006A3667">
            <w:pPr>
              <w:rPr>
                <w:rFonts w:ascii="宋体"/>
                <w:vanish/>
              </w:rPr>
            </w:pPr>
          </w:p>
        </w:tc>
        <w:tc>
          <w:tcPr>
            <w:tcW w:w="0" w:type="auto"/>
            <w:gridSpan w:val="3"/>
            <w:shd w:val="clear" w:color="auto" w:fill="auto"/>
            <w:vAlign w:val="bottom"/>
          </w:tcPr>
          <w:p w14:paraId="71D49727" w14:textId="77777777" w:rsidR="006A3667" w:rsidRDefault="006A3667">
            <w:pPr>
              <w:rPr>
                <w:rFonts w:ascii="宋体"/>
                <w:vanish/>
              </w:rPr>
            </w:pPr>
          </w:p>
        </w:tc>
        <w:tc>
          <w:tcPr>
            <w:tcW w:w="0" w:type="auto"/>
            <w:gridSpan w:val="3"/>
            <w:shd w:val="clear" w:color="auto" w:fill="auto"/>
            <w:vAlign w:val="bottom"/>
          </w:tcPr>
          <w:p w14:paraId="71D49728" w14:textId="77777777" w:rsidR="006A3667" w:rsidRDefault="006A3667">
            <w:pPr>
              <w:rPr>
                <w:rFonts w:ascii="宋体"/>
                <w:vanish/>
              </w:rPr>
            </w:pPr>
          </w:p>
        </w:tc>
        <w:tc>
          <w:tcPr>
            <w:tcW w:w="0" w:type="auto"/>
            <w:gridSpan w:val="3"/>
            <w:shd w:val="clear" w:color="auto" w:fill="auto"/>
            <w:vAlign w:val="bottom"/>
          </w:tcPr>
          <w:p w14:paraId="71D49729" w14:textId="77777777" w:rsidR="006A3667" w:rsidRDefault="006A3667">
            <w:pPr>
              <w:rPr>
                <w:rFonts w:ascii="宋体"/>
                <w:vanish/>
              </w:rPr>
            </w:pPr>
          </w:p>
        </w:tc>
        <w:tc>
          <w:tcPr>
            <w:tcW w:w="0" w:type="auto"/>
            <w:gridSpan w:val="3"/>
            <w:shd w:val="clear" w:color="auto" w:fill="auto"/>
            <w:vAlign w:val="bottom"/>
          </w:tcPr>
          <w:p w14:paraId="71D4972A" w14:textId="77777777" w:rsidR="006A3667" w:rsidRDefault="006A3667">
            <w:pPr>
              <w:rPr>
                <w:rFonts w:ascii="宋体"/>
                <w:vanish/>
              </w:rPr>
            </w:pPr>
          </w:p>
        </w:tc>
        <w:tc>
          <w:tcPr>
            <w:tcW w:w="0" w:type="auto"/>
            <w:gridSpan w:val="3"/>
            <w:shd w:val="clear" w:color="auto" w:fill="auto"/>
            <w:vAlign w:val="bottom"/>
          </w:tcPr>
          <w:p w14:paraId="71D4972B" w14:textId="77777777" w:rsidR="006A3667" w:rsidRDefault="006A3667">
            <w:pPr>
              <w:rPr>
                <w:rFonts w:ascii="宋体"/>
                <w:vanish/>
              </w:rPr>
            </w:pPr>
          </w:p>
        </w:tc>
        <w:tc>
          <w:tcPr>
            <w:tcW w:w="0" w:type="auto"/>
            <w:gridSpan w:val="3"/>
            <w:shd w:val="clear" w:color="auto" w:fill="auto"/>
            <w:vAlign w:val="bottom"/>
          </w:tcPr>
          <w:p w14:paraId="71D4972C" w14:textId="77777777" w:rsidR="006A3667" w:rsidRDefault="006A3667">
            <w:pPr>
              <w:rPr>
                <w:rFonts w:ascii="宋体"/>
                <w:vanish/>
              </w:rPr>
            </w:pPr>
          </w:p>
        </w:tc>
        <w:tc>
          <w:tcPr>
            <w:tcW w:w="0" w:type="auto"/>
            <w:gridSpan w:val="3"/>
            <w:shd w:val="clear" w:color="auto" w:fill="auto"/>
            <w:vAlign w:val="bottom"/>
          </w:tcPr>
          <w:p w14:paraId="71D4972D" w14:textId="77777777" w:rsidR="006A3667" w:rsidRDefault="006A3667">
            <w:pPr>
              <w:rPr>
                <w:rFonts w:ascii="宋体"/>
                <w:vanish/>
              </w:rPr>
            </w:pPr>
          </w:p>
        </w:tc>
        <w:tc>
          <w:tcPr>
            <w:tcW w:w="0" w:type="auto"/>
            <w:gridSpan w:val="2"/>
            <w:shd w:val="clear" w:color="auto" w:fill="auto"/>
            <w:vAlign w:val="bottom"/>
          </w:tcPr>
          <w:p w14:paraId="71D4972E" w14:textId="77777777" w:rsidR="006A3667" w:rsidRDefault="006A3667">
            <w:pPr>
              <w:rPr>
                <w:rFonts w:ascii="宋体"/>
                <w:vanish/>
              </w:rPr>
            </w:pPr>
          </w:p>
        </w:tc>
        <w:tc>
          <w:tcPr>
            <w:tcW w:w="0" w:type="auto"/>
            <w:shd w:val="clear" w:color="auto" w:fill="auto"/>
            <w:vAlign w:val="bottom"/>
          </w:tcPr>
          <w:p w14:paraId="71D4972F" w14:textId="77777777" w:rsidR="006A3667" w:rsidRDefault="006A3667">
            <w:pPr>
              <w:rPr>
                <w:rFonts w:ascii="宋体"/>
                <w:vanish/>
              </w:rPr>
            </w:pPr>
          </w:p>
        </w:tc>
      </w:tr>
      <w:tr w:rsidR="006A3667" w14:paraId="71D4974E" w14:textId="77777777">
        <w:tc>
          <w:tcPr>
            <w:tcW w:w="0" w:type="auto"/>
            <w:gridSpan w:val="3"/>
            <w:shd w:val="clear" w:color="auto" w:fill="FFFFFF"/>
            <w:tcMar>
              <w:top w:w="40" w:type="dxa"/>
              <w:left w:w="20" w:type="dxa"/>
              <w:bottom w:w="40" w:type="dxa"/>
              <w:right w:w="20" w:type="dxa"/>
            </w:tcMar>
            <w:vAlign w:val="bottom"/>
          </w:tcPr>
          <w:p w14:paraId="71D49731" w14:textId="77777777" w:rsidR="006A3667" w:rsidRDefault="00045F32">
            <w:pPr>
              <w:textAlignment w:val="bottom"/>
            </w:pPr>
            <w:r>
              <w:rPr>
                <w:rFonts w:ascii="Arial" w:eastAsia="宋体" w:hAnsi="Arial" w:cs="Arial"/>
                <w:b/>
                <w:bCs/>
                <w:color w:val="000000"/>
                <w:sz w:val="14"/>
                <w:szCs w:val="14"/>
              </w:rPr>
              <w:t>Total expenses</w:t>
            </w:r>
          </w:p>
        </w:tc>
        <w:tc>
          <w:tcPr>
            <w:tcW w:w="0" w:type="auto"/>
            <w:gridSpan w:val="2"/>
            <w:shd w:val="clear" w:color="auto" w:fill="FFFFFF"/>
            <w:tcMar>
              <w:top w:w="40" w:type="dxa"/>
              <w:left w:w="20" w:type="dxa"/>
              <w:bottom w:w="40" w:type="dxa"/>
              <w:right w:w="0" w:type="dxa"/>
            </w:tcMar>
            <w:vAlign w:val="bottom"/>
          </w:tcPr>
          <w:p w14:paraId="71D49732" w14:textId="77777777" w:rsidR="006A3667" w:rsidRDefault="00045F32">
            <w:pPr>
              <w:jc w:val="right"/>
              <w:textAlignment w:val="bottom"/>
            </w:pPr>
            <w:r>
              <w:rPr>
                <w:rFonts w:ascii="Arial" w:eastAsia="宋体" w:hAnsi="Arial" w:cs="Arial"/>
                <w:b/>
                <w:bCs/>
                <w:color w:val="000000"/>
                <w:sz w:val="14"/>
                <w:szCs w:val="14"/>
              </w:rPr>
              <w:t>1,760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73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73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735" w14:textId="77777777" w:rsidR="006A3667" w:rsidRDefault="00045F32">
            <w:pPr>
              <w:jc w:val="right"/>
              <w:textAlignment w:val="bottom"/>
            </w:pPr>
            <w:r>
              <w:rPr>
                <w:rFonts w:ascii="Arial" w:eastAsia="宋体" w:hAnsi="Arial" w:cs="Arial"/>
                <w:color w:val="000000"/>
                <w:sz w:val="14"/>
                <w:szCs w:val="14"/>
              </w:rPr>
              <w:t>1,755 </w:t>
            </w:r>
          </w:p>
        </w:tc>
        <w:tc>
          <w:tcPr>
            <w:tcW w:w="0" w:type="auto"/>
            <w:shd w:val="clear" w:color="auto" w:fill="FFFFFF"/>
            <w:tcMar>
              <w:top w:w="40" w:type="dxa"/>
              <w:left w:w="0" w:type="dxa"/>
              <w:bottom w:w="40" w:type="dxa"/>
              <w:right w:w="20" w:type="dxa"/>
            </w:tcMar>
            <w:vAlign w:val="bottom"/>
          </w:tcPr>
          <w:p w14:paraId="71D497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737" w14:textId="77777777" w:rsidR="006A3667" w:rsidRDefault="006A3667">
            <w:pPr>
              <w:rPr>
                <w:rFonts w:ascii="宋体"/>
              </w:rPr>
            </w:pPr>
          </w:p>
        </w:tc>
        <w:tc>
          <w:tcPr>
            <w:tcW w:w="0" w:type="auto"/>
            <w:shd w:val="clear" w:color="auto" w:fill="auto"/>
            <w:vAlign w:val="bottom"/>
          </w:tcPr>
          <w:p w14:paraId="71D49738" w14:textId="77777777" w:rsidR="006A3667" w:rsidRDefault="006A3667">
            <w:pPr>
              <w:rPr>
                <w:rFonts w:ascii="宋体"/>
                <w:vanish/>
              </w:rPr>
            </w:pPr>
          </w:p>
        </w:tc>
        <w:tc>
          <w:tcPr>
            <w:tcW w:w="0" w:type="auto"/>
            <w:shd w:val="clear" w:color="auto" w:fill="auto"/>
            <w:vAlign w:val="bottom"/>
          </w:tcPr>
          <w:p w14:paraId="71D4973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73A" w14:textId="77777777" w:rsidR="006A3667" w:rsidRDefault="00045F32">
            <w:pPr>
              <w:jc w:val="right"/>
              <w:textAlignment w:val="bottom"/>
            </w:pPr>
            <w:r>
              <w:rPr>
                <w:rFonts w:ascii="Arial" w:eastAsia="宋体" w:hAnsi="Arial" w:cs="Arial"/>
                <w:b/>
                <w:bCs/>
                <w:color w:val="000000"/>
                <w:sz w:val="14"/>
                <w:szCs w:val="14"/>
              </w:rPr>
              <w:t>335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73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73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73D" w14:textId="77777777" w:rsidR="006A3667" w:rsidRDefault="00045F32">
            <w:pPr>
              <w:jc w:val="right"/>
              <w:textAlignment w:val="bottom"/>
            </w:pPr>
            <w:r>
              <w:rPr>
                <w:rFonts w:ascii="Arial" w:eastAsia="宋体" w:hAnsi="Arial" w:cs="Arial"/>
                <w:color w:val="000000"/>
                <w:sz w:val="14"/>
                <w:szCs w:val="14"/>
              </w:rPr>
              <w:t>339 </w:t>
            </w:r>
          </w:p>
        </w:tc>
        <w:tc>
          <w:tcPr>
            <w:tcW w:w="0" w:type="auto"/>
            <w:shd w:val="clear" w:color="auto" w:fill="FFFFFF"/>
            <w:tcMar>
              <w:top w:w="40" w:type="dxa"/>
              <w:left w:w="0" w:type="dxa"/>
              <w:bottom w:w="40" w:type="dxa"/>
              <w:right w:w="20" w:type="dxa"/>
            </w:tcMar>
            <w:vAlign w:val="bottom"/>
          </w:tcPr>
          <w:p w14:paraId="71D4973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73F" w14:textId="77777777" w:rsidR="006A3667" w:rsidRDefault="006A3667">
            <w:pPr>
              <w:rPr>
                <w:rFonts w:ascii="宋体"/>
              </w:rPr>
            </w:pPr>
          </w:p>
        </w:tc>
        <w:tc>
          <w:tcPr>
            <w:tcW w:w="0" w:type="auto"/>
            <w:shd w:val="clear" w:color="auto" w:fill="auto"/>
            <w:vAlign w:val="bottom"/>
          </w:tcPr>
          <w:p w14:paraId="71D49740" w14:textId="77777777" w:rsidR="006A3667" w:rsidRDefault="006A3667">
            <w:pPr>
              <w:rPr>
                <w:rFonts w:ascii="宋体"/>
                <w:vanish/>
              </w:rPr>
            </w:pPr>
          </w:p>
        </w:tc>
        <w:tc>
          <w:tcPr>
            <w:tcW w:w="0" w:type="auto"/>
            <w:shd w:val="clear" w:color="auto" w:fill="auto"/>
            <w:vAlign w:val="bottom"/>
          </w:tcPr>
          <w:p w14:paraId="71D49741"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742" w14:textId="77777777" w:rsidR="006A3667" w:rsidRDefault="00045F32">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7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74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745" w14:textId="77777777" w:rsidR="006A3667" w:rsidRDefault="00045F32">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71D497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747" w14:textId="77777777" w:rsidR="006A3667" w:rsidRDefault="006A3667">
            <w:pPr>
              <w:rPr>
                <w:rFonts w:ascii="宋体"/>
              </w:rPr>
            </w:pPr>
          </w:p>
        </w:tc>
        <w:tc>
          <w:tcPr>
            <w:tcW w:w="0" w:type="auto"/>
            <w:gridSpan w:val="3"/>
            <w:shd w:val="clear" w:color="auto" w:fill="auto"/>
            <w:vAlign w:val="bottom"/>
          </w:tcPr>
          <w:p w14:paraId="71D49748" w14:textId="77777777" w:rsidR="006A3667" w:rsidRDefault="006A3667">
            <w:pPr>
              <w:rPr>
                <w:rFonts w:ascii="宋体"/>
                <w:vanish/>
              </w:rPr>
            </w:pPr>
          </w:p>
        </w:tc>
        <w:tc>
          <w:tcPr>
            <w:tcW w:w="0" w:type="auto"/>
            <w:gridSpan w:val="3"/>
            <w:shd w:val="clear" w:color="auto" w:fill="auto"/>
            <w:vAlign w:val="bottom"/>
          </w:tcPr>
          <w:p w14:paraId="71D4974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74A" w14:textId="77777777" w:rsidR="006A3667" w:rsidRDefault="00045F32">
            <w:pPr>
              <w:jc w:val="right"/>
              <w:textAlignment w:val="bottom"/>
            </w:pPr>
            <w:r>
              <w:rPr>
                <w:rFonts w:ascii="Arial" w:eastAsia="宋体" w:hAnsi="Arial" w:cs="Arial"/>
                <w:b/>
                <w:bCs/>
                <w:color w:val="000000"/>
                <w:sz w:val="14"/>
                <w:szCs w:val="14"/>
              </w:rPr>
              <w:t>2,110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74B"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74C"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74D" w14:textId="77777777" w:rsidR="006A3667" w:rsidRDefault="00045F32">
            <w:pPr>
              <w:jc w:val="right"/>
              <w:textAlignment w:val="bottom"/>
            </w:pPr>
            <w:r>
              <w:rPr>
                <w:rFonts w:ascii="Arial" w:eastAsia="宋体" w:hAnsi="Arial" w:cs="Arial"/>
                <w:color w:val="000000"/>
                <w:sz w:val="14"/>
                <w:szCs w:val="14"/>
              </w:rPr>
              <w:t>2,116 </w:t>
            </w:r>
          </w:p>
        </w:tc>
      </w:tr>
      <w:tr w:rsidR="006A3667" w14:paraId="71D49774" w14:textId="77777777">
        <w:tc>
          <w:tcPr>
            <w:tcW w:w="0" w:type="auto"/>
            <w:gridSpan w:val="3"/>
            <w:shd w:val="clear" w:color="auto" w:fill="CCEEFF"/>
            <w:tcMar>
              <w:top w:w="40" w:type="dxa"/>
              <w:left w:w="20" w:type="dxa"/>
              <w:bottom w:w="40" w:type="dxa"/>
              <w:right w:w="20" w:type="dxa"/>
            </w:tcMar>
            <w:vAlign w:val="bottom"/>
          </w:tcPr>
          <w:p w14:paraId="71D4974F" w14:textId="77777777" w:rsidR="006A3667" w:rsidRDefault="00045F32">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75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751" w14:textId="77777777" w:rsidR="006A3667" w:rsidRDefault="00045F32">
            <w:pPr>
              <w:jc w:val="right"/>
              <w:textAlignment w:val="bottom"/>
            </w:pPr>
            <w:r>
              <w:rPr>
                <w:rFonts w:ascii="Arial" w:eastAsia="宋体" w:hAnsi="Arial" w:cs="Arial"/>
                <w:b/>
                <w:bCs/>
                <w:color w:val="000000"/>
                <w:sz w:val="14"/>
                <w:szCs w:val="14"/>
              </w:rPr>
              <w:t>716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75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75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75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755" w14:textId="77777777" w:rsidR="006A3667" w:rsidRDefault="00045F32">
            <w:pPr>
              <w:jc w:val="right"/>
              <w:textAlignment w:val="bottom"/>
            </w:pPr>
            <w:r>
              <w:rPr>
                <w:rFonts w:ascii="Arial" w:eastAsia="宋体" w:hAnsi="Arial" w:cs="Arial"/>
                <w:color w:val="000000"/>
                <w:sz w:val="14"/>
                <w:szCs w:val="14"/>
              </w:rPr>
              <w:t>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7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757" w14:textId="77777777" w:rsidR="006A3667" w:rsidRDefault="006A3667">
            <w:pPr>
              <w:rPr>
                <w:rFonts w:ascii="宋体"/>
              </w:rPr>
            </w:pPr>
          </w:p>
        </w:tc>
        <w:tc>
          <w:tcPr>
            <w:tcW w:w="0" w:type="auto"/>
            <w:shd w:val="clear" w:color="auto" w:fill="auto"/>
            <w:vAlign w:val="bottom"/>
          </w:tcPr>
          <w:p w14:paraId="71D49758" w14:textId="77777777" w:rsidR="006A3667" w:rsidRDefault="006A3667">
            <w:pPr>
              <w:rPr>
                <w:rFonts w:ascii="宋体"/>
                <w:vanish/>
              </w:rPr>
            </w:pPr>
          </w:p>
        </w:tc>
        <w:tc>
          <w:tcPr>
            <w:tcW w:w="0" w:type="auto"/>
            <w:shd w:val="clear" w:color="auto" w:fill="auto"/>
            <w:vAlign w:val="bottom"/>
          </w:tcPr>
          <w:p w14:paraId="71D49759"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75A"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75B" w14:textId="77777777" w:rsidR="006A3667" w:rsidRDefault="00045F32">
            <w:pPr>
              <w:jc w:val="right"/>
              <w:textAlignment w:val="bottom"/>
            </w:pPr>
            <w:r>
              <w:rPr>
                <w:rFonts w:ascii="Arial" w:eastAsia="宋体" w:hAnsi="Arial" w:cs="Arial"/>
                <w:b/>
                <w:bCs/>
                <w:color w:val="000000"/>
                <w:sz w:val="14"/>
                <w:szCs w:val="14"/>
              </w:rPr>
              <w:t>148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75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75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75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75F" w14:textId="77777777" w:rsidR="006A3667" w:rsidRDefault="00045F32">
            <w:pPr>
              <w:jc w:val="right"/>
              <w:textAlignment w:val="bottom"/>
            </w:pPr>
            <w:r>
              <w:rPr>
                <w:rFonts w:ascii="Arial" w:eastAsia="宋体" w:hAnsi="Arial" w:cs="Arial"/>
                <w:color w:val="000000"/>
                <w:sz w:val="14"/>
                <w:szCs w:val="14"/>
              </w:rPr>
              <w:t>193 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7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761" w14:textId="77777777" w:rsidR="006A3667" w:rsidRDefault="006A3667">
            <w:pPr>
              <w:rPr>
                <w:rFonts w:ascii="宋体"/>
              </w:rPr>
            </w:pPr>
          </w:p>
        </w:tc>
        <w:tc>
          <w:tcPr>
            <w:tcW w:w="0" w:type="auto"/>
            <w:shd w:val="clear" w:color="auto" w:fill="auto"/>
            <w:vAlign w:val="bottom"/>
          </w:tcPr>
          <w:p w14:paraId="71D49762" w14:textId="77777777" w:rsidR="006A3667" w:rsidRDefault="006A3667">
            <w:pPr>
              <w:rPr>
                <w:rFonts w:ascii="宋体"/>
                <w:vanish/>
              </w:rPr>
            </w:pPr>
          </w:p>
        </w:tc>
        <w:tc>
          <w:tcPr>
            <w:tcW w:w="0" w:type="auto"/>
            <w:shd w:val="clear" w:color="auto" w:fill="auto"/>
            <w:vAlign w:val="bottom"/>
          </w:tcPr>
          <w:p w14:paraId="71D49763"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76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765" w14:textId="77777777" w:rsidR="006A3667" w:rsidRDefault="00045F32">
            <w:pPr>
              <w:jc w:val="right"/>
              <w:textAlignment w:val="bottom"/>
            </w:pPr>
            <w:r>
              <w:rPr>
                <w:rFonts w:ascii="Arial" w:eastAsia="宋体" w:hAnsi="Arial" w:cs="Arial"/>
                <w:b/>
                <w:bCs/>
                <w:color w:val="000000"/>
                <w:sz w:val="14"/>
                <w:szCs w:val="14"/>
              </w:rPr>
              <w:t>(15)</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76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76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76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769" w14:textId="77777777" w:rsidR="006A3667" w:rsidRDefault="00045F32">
            <w:pPr>
              <w:jc w:val="right"/>
              <w:textAlignment w:val="bottom"/>
            </w:pPr>
            <w:r>
              <w:rPr>
                <w:rFonts w:ascii="Arial" w:eastAsia="宋体" w:hAnsi="Arial" w:cs="Arial"/>
                <w:color w:val="000000"/>
                <w:sz w:val="14"/>
                <w:szCs w:val="14"/>
              </w:rPr>
              <w:t>(22)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7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76B" w14:textId="77777777" w:rsidR="006A3667" w:rsidRDefault="006A3667">
            <w:pPr>
              <w:rPr>
                <w:rFonts w:ascii="宋体"/>
              </w:rPr>
            </w:pPr>
          </w:p>
        </w:tc>
        <w:tc>
          <w:tcPr>
            <w:tcW w:w="0" w:type="auto"/>
            <w:gridSpan w:val="3"/>
            <w:shd w:val="clear" w:color="auto" w:fill="auto"/>
            <w:vAlign w:val="bottom"/>
          </w:tcPr>
          <w:p w14:paraId="71D4976C" w14:textId="77777777" w:rsidR="006A3667" w:rsidRDefault="006A3667">
            <w:pPr>
              <w:rPr>
                <w:rFonts w:ascii="宋体"/>
                <w:vanish/>
              </w:rPr>
            </w:pPr>
          </w:p>
        </w:tc>
        <w:tc>
          <w:tcPr>
            <w:tcW w:w="0" w:type="auto"/>
            <w:gridSpan w:val="3"/>
            <w:shd w:val="clear" w:color="auto" w:fill="auto"/>
            <w:vAlign w:val="bottom"/>
          </w:tcPr>
          <w:p w14:paraId="71D4976D"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76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76F" w14:textId="77777777" w:rsidR="006A3667" w:rsidRDefault="00045F32">
            <w:pPr>
              <w:jc w:val="right"/>
              <w:textAlignment w:val="bottom"/>
            </w:pPr>
            <w:r>
              <w:rPr>
                <w:rFonts w:ascii="Arial" w:eastAsia="宋体" w:hAnsi="Arial" w:cs="Arial"/>
                <w:b/>
                <w:bCs/>
                <w:color w:val="000000"/>
                <w:sz w:val="14"/>
                <w:szCs w:val="14"/>
              </w:rPr>
              <w:t>849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770"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77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772" w14:textId="77777777" w:rsidR="006A3667" w:rsidRDefault="00045F32">
            <w:pPr>
              <w:textAlignment w:val="bottom"/>
            </w:pPr>
            <w:r>
              <w:rPr>
                <w:rFonts w:ascii="Arial" w:eastAsia="宋体" w:hAnsi="Arial" w:cs="Arial"/>
                <w:color w:val="000000"/>
                <w:sz w:val="14"/>
                <w:szCs w:val="14"/>
              </w:rPr>
              <w:t>$</w:t>
            </w:r>
          </w:p>
          <w:p w14:paraId="71D49773" w14:textId="77777777" w:rsidR="006A3667" w:rsidRDefault="00045F32">
            <w:pPr>
              <w:jc w:val="right"/>
              <w:textAlignment w:val="bottom"/>
            </w:pPr>
            <w:r>
              <w:rPr>
                <w:rFonts w:ascii="Arial" w:eastAsia="宋体" w:hAnsi="Arial" w:cs="Arial"/>
                <w:color w:val="000000"/>
                <w:sz w:val="14"/>
                <w:szCs w:val="14"/>
              </w:rPr>
              <w:t>876 </w:t>
            </w:r>
          </w:p>
        </w:tc>
      </w:tr>
      <w:tr w:rsidR="006A3667" w14:paraId="71D49791" w14:textId="77777777">
        <w:tc>
          <w:tcPr>
            <w:tcW w:w="0" w:type="auto"/>
            <w:gridSpan w:val="3"/>
            <w:shd w:val="clear" w:color="auto" w:fill="FFFFFF"/>
            <w:tcMar>
              <w:top w:w="40" w:type="dxa"/>
              <w:left w:w="20" w:type="dxa"/>
              <w:bottom w:w="40" w:type="dxa"/>
              <w:right w:w="20" w:type="dxa"/>
            </w:tcMar>
            <w:vAlign w:val="bottom"/>
          </w:tcPr>
          <w:p w14:paraId="71D49775" w14:textId="77777777" w:rsidR="006A3667" w:rsidRDefault="00045F32">
            <w:pPr>
              <w:textAlignment w:val="bottom"/>
            </w:pPr>
            <w:r>
              <w:rPr>
                <w:rFonts w:ascii="Arial" w:eastAsia="宋体" w:hAnsi="Arial" w:cs="Arial"/>
                <w:color w:val="000000"/>
                <w:sz w:val="14"/>
                <w:szCs w:val="14"/>
              </w:rPr>
              <w:t>Pre-tax margin</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9776" w14:textId="77777777" w:rsidR="006A3667" w:rsidRDefault="00045F32">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9777"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9778"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9779" w14:textId="77777777" w:rsidR="006A3667" w:rsidRDefault="00045F32">
            <w:pPr>
              <w:jc w:val="right"/>
              <w:textAlignment w:val="bottom"/>
            </w:pPr>
            <w:r>
              <w:rPr>
                <w:rFonts w:ascii="Arial" w:eastAsia="宋体" w:hAnsi="Arial" w:cs="Arial"/>
                <w:color w:val="000000"/>
                <w:sz w:val="14"/>
                <w:szCs w:val="14"/>
              </w:rPr>
              <w:t>29 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977A" w14:textId="77777777" w:rsidR="006A3667" w:rsidRDefault="00045F32">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977B" w14:textId="77777777" w:rsidR="006A3667" w:rsidRDefault="006A3667">
            <w:pPr>
              <w:rPr>
                <w:rFonts w:ascii="宋体"/>
              </w:rPr>
            </w:pPr>
          </w:p>
        </w:tc>
        <w:tc>
          <w:tcPr>
            <w:tcW w:w="0" w:type="auto"/>
            <w:shd w:val="clear" w:color="auto" w:fill="auto"/>
            <w:vAlign w:val="bottom"/>
          </w:tcPr>
          <w:p w14:paraId="71D4977C" w14:textId="77777777" w:rsidR="006A3667" w:rsidRDefault="006A3667">
            <w:pPr>
              <w:rPr>
                <w:rFonts w:ascii="宋体"/>
                <w:vanish/>
              </w:rPr>
            </w:pPr>
          </w:p>
        </w:tc>
        <w:tc>
          <w:tcPr>
            <w:tcW w:w="0" w:type="auto"/>
            <w:shd w:val="clear" w:color="auto" w:fill="auto"/>
            <w:vAlign w:val="bottom"/>
          </w:tcPr>
          <w:p w14:paraId="71D4977D" w14:textId="77777777" w:rsidR="006A3667" w:rsidRDefault="006A3667">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977E" w14:textId="77777777" w:rsidR="006A3667" w:rsidRDefault="00045F32">
            <w:pPr>
              <w:jc w:val="right"/>
              <w:textAlignment w:val="bottom"/>
            </w:pPr>
            <w:r>
              <w:rPr>
                <w:rFonts w:ascii="Arial" w:eastAsia="宋体" w:hAnsi="Arial" w:cs="Arial"/>
                <w:b/>
                <w:bCs/>
                <w:color w:val="000000"/>
                <w:sz w:val="14"/>
                <w:szCs w:val="14"/>
              </w:rPr>
              <w:t>31</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977F"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9780" w14:textId="77777777" w:rsidR="006A3667" w:rsidRDefault="006A3667">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9781" w14:textId="77777777" w:rsidR="006A3667" w:rsidRDefault="00045F32">
            <w:pPr>
              <w:jc w:val="right"/>
              <w:textAlignment w:val="bottom"/>
            </w:pPr>
            <w:r>
              <w:rPr>
                <w:rFonts w:ascii="Arial" w:eastAsia="宋体" w:hAnsi="Arial" w:cs="Arial"/>
                <w:color w:val="000000"/>
                <w:sz w:val="14"/>
                <w:szCs w:val="14"/>
              </w:rPr>
              <w:t>36 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9782" w14:textId="77777777" w:rsidR="006A3667" w:rsidRDefault="00045F32">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9783" w14:textId="77777777" w:rsidR="006A3667" w:rsidRDefault="006A3667">
            <w:pPr>
              <w:rPr>
                <w:rFonts w:ascii="宋体"/>
              </w:rPr>
            </w:pPr>
          </w:p>
        </w:tc>
        <w:tc>
          <w:tcPr>
            <w:tcW w:w="0" w:type="auto"/>
            <w:shd w:val="clear" w:color="auto" w:fill="auto"/>
            <w:vAlign w:val="bottom"/>
          </w:tcPr>
          <w:p w14:paraId="71D49784" w14:textId="77777777" w:rsidR="006A3667" w:rsidRDefault="006A3667">
            <w:pPr>
              <w:rPr>
                <w:rFonts w:ascii="宋体"/>
                <w:vanish/>
              </w:rPr>
            </w:pPr>
          </w:p>
        </w:tc>
        <w:tc>
          <w:tcPr>
            <w:tcW w:w="0" w:type="auto"/>
            <w:shd w:val="clear" w:color="auto" w:fill="auto"/>
            <w:vAlign w:val="bottom"/>
          </w:tcPr>
          <w:p w14:paraId="71D49785" w14:textId="77777777" w:rsidR="006A3667" w:rsidRDefault="006A3667">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786"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787"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788"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789" w14:textId="77777777" w:rsidR="006A3667" w:rsidRDefault="006A3667">
            <w:pPr>
              <w:rPr>
                <w:rFonts w:ascii="宋体"/>
              </w:rPr>
            </w:pPr>
          </w:p>
        </w:tc>
        <w:tc>
          <w:tcPr>
            <w:tcW w:w="0" w:type="auto"/>
            <w:gridSpan w:val="3"/>
            <w:shd w:val="clear" w:color="auto" w:fill="auto"/>
            <w:vAlign w:val="bottom"/>
          </w:tcPr>
          <w:p w14:paraId="71D4978A" w14:textId="77777777" w:rsidR="006A3667" w:rsidRDefault="006A3667">
            <w:pPr>
              <w:rPr>
                <w:rFonts w:ascii="宋体"/>
                <w:vanish/>
              </w:rPr>
            </w:pPr>
          </w:p>
        </w:tc>
        <w:tc>
          <w:tcPr>
            <w:tcW w:w="0" w:type="auto"/>
            <w:gridSpan w:val="3"/>
            <w:shd w:val="clear" w:color="auto" w:fill="auto"/>
            <w:vAlign w:val="bottom"/>
          </w:tcPr>
          <w:p w14:paraId="71D4978B" w14:textId="77777777" w:rsidR="006A3667" w:rsidRDefault="006A3667">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1D4978C" w14:textId="77777777" w:rsidR="006A3667" w:rsidRDefault="00045F32">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1D4978D"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2"/>
            <w:shd w:val="clear" w:color="auto" w:fill="FFFFFF"/>
            <w:tcMar>
              <w:top w:w="0" w:type="dxa"/>
              <w:left w:w="20" w:type="dxa"/>
              <w:bottom w:w="0" w:type="dxa"/>
              <w:right w:w="20" w:type="dxa"/>
            </w:tcMar>
            <w:vAlign w:val="bottom"/>
          </w:tcPr>
          <w:p w14:paraId="71D4978E" w14:textId="77777777" w:rsidR="006A3667" w:rsidRDefault="006A3667">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1D4978F" w14:textId="77777777" w:rsidR="006A3667" w:rsidRDefault="00045F32">
            <w:pPr>
              <w:jc w:val="right"/>
              <w:textAlignment w:val="bottom"/>
            </w:pPr>
            <w:r>
              <w:rPr>
                <w:rFonts w:ascii="Arial" w:eastAsia="宋体" w:hAnsi="Arial" w:cs="Arial"/>
                <w:color w:val="000000"/>
                <w:sz w:val="14"/>
                <w:szCs w:val="14"/>
              </w:rPr>
              <w:t>29 </w:t>
            </w:r>
          </w:p>
          <w:p w14:paraId="71D49790" w14:textId="77777777" w:rsidR="006A3667" w:rsidRDefault="00045F32">
            <w:pPr>
              <w:jc w:val="right"/>
              <w:textAlignment w:val="bottom"/>
            </w:pPr>
            <w:r>
              <w:rPr>
                <w:rFonts w:ascii="Arial" w:eastAsia="宋体" w:hAnsi="Arial" w:cs="Arial"/>
                <w:color w:val="000000"/>
                <w:sz w:val="14"/>
                <w:szCs w:val="14"/>
              </w:rPr>
              <w:t>%</w:t>
            </w:r>
          </w:p>
        </w:tc>
      </w:tr>
      <w:tr w:rsidR="006A3667" w14:paraId="71D497A8" w14:textId="77777777">
        <w:trPr>
          <w:trHeight w:val="60"/>
        </w:trPr>
        <w:tc>
          <w:tcPr>
            <w:tcW w:w="0" w:type="auto"/>
            <w:gridSpan w:val="3"/>
            <w:shd w:val="clear" w:color="auto" w:fill="auto"/>
            <w:tcMar>
              <w:top w:w="0" w:type="dxa"/>
              <w:left w:w="20" w:type="dxa"/>
              <w:bottom w:w="0" w:type="dxa"/>
              <w:right w:w="20" w:type="dxa"/>
            </w:tcMar>
            <w:vAlign w:val="bottom"/>
          </w:tcPr>
          <w:p w14:paraId="71D49792"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79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94"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79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96" w14:textId="77777777" w:rsidR="006A3667" w:rsidRDefault="006A3667">
            <w:pPr>
              <w:rPr>
                <w:rFonts w:ascii="宋体"/>
              </w:rPr>
            </w:pPr>
          </w:p>
        </w:tc>
        <w:tc>
          <w:tcPr>
            <w:tcW w:w="0" w:type="auto"/>
            <w:shd w:val="clear" w:color="auto" w:fill="auto"/>
            <w:vAlign w:val="bottom"/>
          </w:tcPr>
          <w:p w14:paraId="71D49797" w14:textId="77777777" w:rsidR="006A3667" w:rsidRDefault="006A3667">
            <w:pPr>
              <w:rPr>
                <w:rFonts w:ascii="宋体"/>
                <w:vanish/>
              </w:rPr>
            </w:pPr>
          </w:p>
        </w:tc>
        <w:tc>
          <w:tcPr>
            <w:tcW w:w="0" w:type="auto"/>
            <w:shd w:val="clear" w:color="auto" w:fill="auto"/>
            <w:vAlign w:val="bottom"/>
          </w:tcPr>
          <w:p w14:paraId="71D49798" w14:textId="77777777" w:rsidR="006A3667" w:rsidRDefault="006A3667">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79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9A"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79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9C" w14:textId="77777777" w:rsidR="006A3667" w:rsidRDefault="006A3667">
            <w:pPr>
              <w:rPr>
                <w:rFonts w:ascii="宋体"/>
              </w:rPr>
            </w:pPr>
          </w:p>
        </w:tc>
        <w:tc>
          <w:tcPr>
            <w:tcW w:w="0" w:type="auto"/>
            <w:shd w:val="clear" w:color="auto" w:fill="auto"/>
            <w:vAlign w:val="bottom"/>
          </w:tcPr>
          <w:p w14:paraId="71D4979D" w14:textId="77777777" w:rsidR="006A3667" w:rsidRDefault="006A3667">
            <w:pPr>
              <w:rPr>
                <w:rFonts w:ascii="宋体"/>
                <w:vanish/>
              </w:rPr>
            </w:pPr>
          </w:p>
        </w:tc>
        <w:tc>
          <w:tcPr>
            <w:tcW w:w="0" w:type="auto"/>
            <w:shd w:val="clear" w:color="auto" w:fill="auto"/>
            <w:vAlign w:val="bottom"/>
          </w:tcPr>
          <w:p w14:paraId="71D4979E"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979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A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A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A2" w14:textId="77777777" w:rsidR="006A3667" w:rsidRDefault="006A3667">
            <w:pPr>
              <w:rPr>
                <w:rFonts w:ascii="宋体"/>
              </w:rPr>
            </w:pPr>
          </w:p>
        </w:tc>
        <w:tc>
          <w:tcPr>
            <w:tcW w:w="0" w:type="auto"/>
            <w:gridSpan w:val="3"/>
            <w:shd w:val="clear" w:color="auto" w:fill="auto"/>
            <w:vAlign w:val="bottom"/>
          </w:tcPr>
          <w:p w14:paraId="71D497A3" w14:textId="77777777" w:rsidR="006A3667" w:rsidRDefault="006A3667">
            <w:pPr>
              <w:rPr>
                <w:rFonts w:ascii="宋体"/>
                <w:vanish/>
              </w:rPr>
            </w:pPr>
          </w:p>
        </w:tc>
        <w:tc>
          <w:tcPr>
            <w:tcW w:w="0" w:type="auto"/>
            <w:gridSpan w:val="3"/>
            <w:shd w:val="clear" w:color="auto" w:fill="auto"/>
            <w:vAlign w:val="bottom"/>
          </w:tcPr>
          <w:p w14:paraId="71D497A4" w14:textId="77777777" w:rsidR="006A3667" w:rsidRDefault="006A3667">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7A5"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97A6" w14:textId="77777777" w:rsidR="006A3667" w:rsidRDefault="006A3667">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71D497A7" w14:textId="77777777" w:rsidR="006A3667" w:rsidRDefault="006A3667">
            <w:pPr>
              <w:rPr>
                <w:rFonts w:ascii="宋体"/>
              </w:rPr>
            </w:pPr>
          </w:p>
        </w:tc>
      </w:tr>
      <w:tr w:rsidR="006A3667" w14:paraId="71D497BF" w14:textId="77777777">
        <w:trPr>
          <w:hidden/>
        </w:trPr>
        <w:tc>
          <w:tcPr>
            <w:tcW w:w="0" w:type="auto"/>
            <w:gridSpan w:val="3"/>
            <w:shd w:val="clear" w:color="auto" w:fill="auto"/>
            <w:vAlign w:val="bottom"/>
          </w:tcPr>
          <w:p w14:paraId="71D497A9" w14:textId="77777777" w:rsidR="006A3667" w:rsidRDefault="006A3667">
            <w:pPr>
              <w:rPr>
                <w:rFonts w:ascii="宋体"/>
                <w:vanish/>
              </w:rPr>
            </w:pPr>
          </w:p>
        </w:tc>
        <w:tc>
          <w:tcPr>
            <w:tcW w:w="0" w:type="auto"/>
            <w:gridSpan w:val="3"/>
            <w:shd w:val="clear" w:color="auto" w:fill="auto"/>
            <w:vAlign w:val="bottom"/>
          </w:tcPr>
          <w:p w14:paraId="71D497AA" w14:textId="77777777" w:rsidR="006A3667" w:rsidRDefault="006A3667">
            <w:pPr>
              <w:rPr>
                <w:rFonts w:ascii="宋体"/>
                <w:vanish/>
              </w:rPr>
            </w:pPr>
          </w:p>
        </w:tc>
        <w:tc>
          <w:tcPr>
            <w:tcW w:w="0" w:type="auto"/>
            <w:gridSpan w:val="3"/>
            <w:shd w:val="clear" w:color="auto" w:fill="auto"/>
            <w:vAlign w:val="bottom"/>
          </w:tcPr>
          <w:p w14:paraId="71D497AB" w14:textId="77777777" w:rsidR="006A3667" w:rsidRDefault="006A3667">
            <w:pPr>
              <w:rPr>
                <w:rFonts w:ascii="宋体"/>
                <w:vanish/>
              </w:rPr>
            </w:pPr>
          </w:p>
        </w:tc>
        <w:tc>
          <w:tcPr>
            <w:tcW w:w="0" w:type="auto"/>
            <w:gridSpan w:val="3"/>
            <w:shd w:val="clear" w:color="auto" w:fill="auto"/>
            <w:vAlign w:val="bottom"/>
          </w:tcPr>
          <w:p w14:paraId="71D497AC" w14:textId="77777777" w:rsidR="006A3667" w:rsidRDefault="006A3667">
            <w:pPr>
              <w:rPr>
                <w:rFonts w:ascii="宋体"/>
                <w:vanish/>
              </w:rPr>
            </w:pPr>
          </w:p>
        </w:tc>
        <w:tc>
          <w:tcPr>
            <w:tcW w:w="0" w:type="auto"/>
            <w:gridSpan w:val="3"/>
            <w:shd w:val="clear" w:color="auto" w:fill="auto"/>
            <w:vAlign w:val="bottom"/>
          </w:tcPr>
          <w:p w14:paraId="71D497AD" w14:textId="77777777" w:rsidR="006A3667" w:rsidRDefault="006A3667">
            <w:pPr>
              <w:rPr>
                <w:rFonts w:ascii="宋体"/>
                <w:vanish/>
              </w:rPr>
            </w:pPr>
          </w:p>
        </w:tc>
        <w:tc>
          <w:tcPr>
            <w:tcW w:w="0" w:type="auto"/>
            <w:shd w:val="clear" w:color="auto" w:fill="auto"/>
            <w:vAlign w:val="bottom"/>
          </w:tcPr>
          <w:p w14:paraId="71D497AE" w14:textId="77777777" w:rsidR="006A3667" w:rsidRDefault="006A3667">
            <w:pPr>
              <w:rPr>
                <w:rFonts w:ascii="宋体"/>
                <w:vanish/>
              </w:rPr>
            </w:pPr>
          </w:p>
        </w:tc>
        <w:tc>
          <w:tcPr>
            <w:tcW w:w="0" w:type="auto"/>
            <w:shd w:val="clear" w:color="auto" w:fill="auto"/>
            <w:vAlign w:val="bottom"/>
          </w:tcPr>
          <w:p w14:paraId="71D497AF" w14:textId="77777777" w:rsidR="006A3667" w:rsidRDefault="006A3667">
            <w:pPr>
              <w:rPr>
                <w:rFonts w:ascii="宋体"/>
                <w:vanish/>
              </w:rPr>
            </w:pPr>
          </w:p>
        </w:tc>
        <w:tc>
          <w:tcPr>
            <w:tcW w:w="0" w:type="auto"/>
            <w:gridSpan w:val="3"/>
            <w:shd w:val="clear" w:color="auto" w:fill="auto"/>
            <w:vAlign w:val="bottom"/>
          </w:tcPr>
          <w:p w14:paraId="71D497B0" w14:textId="77777777" w:rsidR="006A3667" w:rsidRDefault="006A3667">
            <w:pPr>
              <w:rPr>
                <w:rFonts w:ascii="宋体"/>
                <w:vanish/>
              </w:rPr>
            </w:pPr>
          </w:p>
        </w:tc>
        <w:tc>
          <w:tcPr>
            <w:tcW w:w="0" w:type="auto"/>
            <w:gridSpan w:val="3"/>
            <w:shd w:val="clear" w:color="auto" w:fill="auto"/>
            <w:vAlign w:val="bottom"/>
          </w:tcPr>
          <w:p w14:paraId="71D497B1" w14:textId="77777777" w:rsidR="006A3667" w:rsidRDefault="006A3667">
            <w:pPr>
              <w:rPr>
                <w:rFonts w:ascii="宋体"/>
                <w:vanish/>
              </w:rPr>
            </w:pPr>
          </w:p>
        </w:tc>
        <w:tc>
          <w:tcPr>
            <w:tcW w:w="0" w:type="auto"/>
            <w:gridSpan w:val="3"/>
            <w:shd w:val="clear" w:color="auto" w:fill="auto"/>
            <w:vAlign w:val="bottom"/>
          </w:tcPr>
          <w:p w14:paraId="71D497B2" w14:textId="77777777" w:rsidR="006A3667" w:rsidRDefault="006A3667">
            <w:pPr>
              <w:rPr>
                <w:rFonts w:ascii="宋体"/>
                <w:vanish/>
              </w:rPr>
            </w:pPr>
          </w:p>
        </w:tc>
        <w:tc>
          <w:tcPr>
            <w:tcW w:w="0" w:type="auto"/>
            <w:gridSpan w:val="3"/>
            <w:shd w:val="clear" w:color="auto" w:fill="auto"/>
            <w:vAlign w:val="bottom"/>
          </w:tcPr>
          <w:p w14:paraId="71D497B3" w14:textId="77777777" w:rsidR="006A3667" w:rsidRDefault="006A3667">
            <w:pPr>
              <w:rPr>
                <w:rFonts w:ascii="宋体"/>
                <w:vanish/>
              </w:rPr>
            </w:pPr>
          </w:p>
        </w:tc>
        <w:tc>
          <w:tcPr>
            <w:tcW w:w="0" w:type="auto"/>
            <w:shd w:val="clear" w:color="auto" w:fill="auto"/>
            <w:vAlign w:val="bottom"/>
          </w:tcPr>
          <w:p w14:paraId="71D497B4" w14:textId="77777777" w:rsidR="006A3667" w:rsidRDefault="006A3667">
            <w:pPr>
              <w:rPr>
                <w:rFonts w:ascii="宋体"/>
                <w:vanish/>
              </w:rPr>
            </w:pPr>
          </w:p>
        </w:tc>
        <w:tc>
          <w:tcPr>
            <w:tcW w:w="0" w:type="auto"/>
            <w:shd w:val="clear" w:color="auto" w:fill="auto"/>
            <w:vAlign w:val="bottom"/>
          </w:tcPr>
          <w:p w14:paraId="71D497B5" w14:textId="77777777" w:rsidR="006A3667" w:rsidRDefault="006A3667">
            <w:pPr>
              <w:rPr>
                <w:rFonts w:ascii="宋体"/>
                <w:vanish/>
              </w:rPr>
            </w:pPr>
          </w:p>
        </w:tc>
        <w:tc>
          <w:tcPr>
            <w:tcW w:w="0" w:type="auto"/>
            <w:gridSpan w:val="3"/>
            <w:shd w:val="clear" w:color="auto" w:fill="auto"/>
            <w:vAlign w:val="bottom"/>
          </w:tcPr>
          <w:p w14:paraId="71D497B6" w14:textId="77777777" w:rsidR="006A3667" w:rsidRDefault="006A3667">
            <w:pPr>
              <w:rPr>
                <w:rFonts w:ascii="宋体"/>
                <w:vanish/>
              </w:rPr>
            </w:pPr>
          </w:p>
        </w:tc>
        <w:tc>
          <w:tcPr>
            <w:tcW w:w="0" w:type="auto"/>
            <w:gridSpan w:val="3"/>
            <w:shd w:val="clear" w:color="auto" w:fill="auto"/>
            <w:vAlign w:val="bottom"/>
          </w:tcPr>
          <w:p w14:paraId="71D497B7" w14:textId="77777777" w:rsidR="006A3667" w:rsidRDefault="006A3667">
            <w:pPr>
              <w:rPr>
                <w:rFonts w:ascii="宋体"/>
                <w:vanish/>
              </w:rPr>
            </w:pPr>
          </w:p>
        </w:tc>
        <w:tc>
          <w:tcPr>
            <w:tcW w:w="0" w:type="auto"/>
            <w:gridSpan w:val="3"/>
            <w:shd w:val="clear" w:color="auto" w:fill="auto"/>
            <w:vAlign w:val="bottom"/>
          </w:tcPr>
          <w:p w14:paraId="71D497B8" w14:textId="77777777" w:rsidR="006A3667" w:rsidRDefault="006A3667">
            <w:pPr>
              <w:rPr>
                <w:rFonts w:ascii="宋体"/>
                <w:vanish/>
              </w:rPr>
            </w:pPr>
          </w:p>
        </w:tc>
        <w:tc>
          <w:tcPr>
            <w:tcW w:w="0" w:type="auto"/>
            <w:gridSpan w:val="3"/>
            <w:shd w:val="clear" w:color="auto" w:fill="auto"/>
            <w:vAlign w:val="bottom"/>
          </w:tcPr>
          <w:p w14:paraId="71D497B9" w14:textId="77777777" w:rsidR="006A3667" w:rsidRDefault="006A3667">
            <w:pPr>
              <w:rPr>
                <w:rFonts w:ascii="宋体"/>
                <w:vanish/>
              </w:rPr>
            </w:pPr>
          </w:p>
        </w:tc>
        <w:tc>
          <w:tcPr>
            <w:tcW w:w="0" w:type="auto"/>
            <w:gridSpan w:val="3"/>
            <w:shd w:val="clear" w:color="auto" w:fill="auto"/>
            <w:vAlign w:val="bottom"/>
          </w:tcPr>
          <w:p w14:paraId="71D497BA" w14:textId="77777777" w:rsidR="006A3667" w:rsidRDefault="006A3667">
            <w:pPr>
              <w:rPr>
                <w:rFonts w:ascii="宋体"/>
                <w:vanish/>
              </w:rPr>
            </w:pPr>
          </w:p>
        </w:tc>
        <w:tc>
          <w:tcPr>
            <w:tcW w:w="0" w:type="auto"/>
            <w:gridSpan w:val="3"/>
            <w:shd w:val="clear" w:color="auto" w:fill="auto"/>
            <w:vAlign w:val="bottom"/>
          </w:tcPr>
          <w:p w14:paraId="71D497BB" w14:textId="77777777" w:rsidR="006A3667" w:rsidRDefault="006A3667">
            <w:pPr>
              <w:rPr>
                <w:rFonts w:ascii="宋体"/>
                <w:vanish/>
              </w:rPr>
            </w:pPr>
          </w:p>
        </w:tc>
        <w:tc>
          <w:tcPr>
            <w:tcW w:w="0" w:type="auto"/>
            <w:gridSpan w:val="3"/>
            <w:shd w:val="clear" w:color="auto" w:fill="auto"/>
            <w:vAlign w:val="bottom"/>
          </w:tcPr>
          <w:p w14:paraId="71D497BC" w14:textId="77777777" w:rsidR="006A3667" w:rsidRDefault="006A3667">
            <w:pPr>
              <w:rPr>
                <w:rFonts w:ascii="宋体"/>
                <w:vanish/>
              </w:rPr>
            </w:pPr>
          </w:p>
        </w:tc>
        <w:tc>
          <w:tcPr>
            <w:tcW w:w="0" w:type="auto"/>
            <w:gridSpan w:val="2"/>
            <w:shd w:val="clear" w:color="auto" w:fill="auto"/>
            <w:vAlign w:val="bottom"/>
          </w:tcPr>
          <w:p w14:paraId="71D497BD" w14:textId="77777777" w:rsidR="006A3667" w:rsidRDefault="006A3667">
            <w:pPr>
              <w:rPr>
                <w:rFonts w:ascii="宋体"/>
                <w:vanish/>
              </w:rPr>
            </w:pPr>
          </w:p>
        </w:tc>
        <w:tc>
          <w:tcPr>
            <w:tcW w:w="0" w:type="auto"/>
            <w:shd w:val="clear" w:color="auto" w:fill="auto"/>
            <w:vAlign w:val="bottom"/>
          </w:tcPr>
          <w:p w14:paraId="71D497BE" w14:textId="77777777" w:rsidR="006A3667" w:rsidRDefault="006A3667">
            <w:pPr>
              <w:rPr>
                <w:rFonts w:ascii="宋体"/>
                <w:vanish/>
              </w:rPr>
            </w:pPr>
          </w:p>
        </w:tc>
      </w:tr>
      <w:tr w:rsidR="006A3667" w14:paraId="71D497D6" w14:textId="77777777">
        <w:trPr>
          <w:trHeight w:val="100"/>
        </w:trPr>
        <w:tc>
          <w:tcPr>
            <w:tcW w:w="0" w:type="auto"/>
            <w:gridSpan w:val="3"/>
            <w:shd w:val="clear" w:color="auto" w:fill="auto"/>
            <w:tcMar>
              <w:top w:w="0" w:type="dxa"/>
              <w:left w:w="20" w:type="dxa"/>
              <w:bottom w:w="0" w:type="dxa"/>
              <w:right w:w="20" w:type="dxa"/>
            </w:tcMar>
            <w:vAlign w:val="bottom"/>
          </w:tcPr>
          <w:p w14:paraId="71D497C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4" w14:textId="77777777" w:rsidR="006A3667" w:rsidRDefault="006A3667">
            <w:pPr>
              <w:rPr>
                <w:rFonts w:ascii="宋体"/>
              </w:rPr>
            </w:pPr>
          </w:p>
        </w:tc>
        <w:tc>
          <w:tcPr>
            <w:tcW w:w="0" w:type="auto"/>
            <w:shd w:val="clear" w:color="auto" w:fill="auto"/>
            <w:vAlign w:val="bottom"/>
          </w:tcPr>
          <w:p w14:paraId="71D497C5" w14:textId="77777777" w:rsidR="006A3667" w:rsidRDefault="006A3667">
            <w:pPr>
              <w:rPr>
                <w:rFonts w:ascii="宋体"/>
                <w:vanish/>
              </w:rPr>
            </w:pPr>
          </w:p>
        </w:tc>
        <w:tc>
          <w:tcPr>
            <w:tcW w:w="0" w:type="auto"/>
            <w:shd w:val="clear" w:color="auto" w:fill="auto"/>
            <w:vAlign w:val="bottom"/>
          </w:tcPr>
          <w:p w14:paraId="71D497C6"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97C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A" w14:textId="77777777" w:rsidR="006A3667" w:rsidRDefault="006A3667">
            <w:pPr>
              <w:rPr>
                <w:rFonts w:ascii="宋体"/>
              </w:rPr>
            </w:pPr>
          </w:p>
        </w:tc>
        <w:tc>
          <w:tcPr>
            <w:tcW w:w="0" w:type="auto"/>
            <w:shd w:val="clear" w:color="auto" w:fill="auto"/>
            <w:vAlign w:val="bottom"/>
          </w:tcPr>
          <w:p w14:paraId="71D497CB" w14:textId="77777777" w:rsidR="006A3667" w:rsidRDefault="006A3667">
            <w:pPr>
              <w:rPr>
                <w:rFonts w:ascii="宋体"/>
                <w:vanish/>
              </w:rPr>
            </w:pPr>
          </w:p>
        </w:tc>
        <w:tc>
          <w:tcPr>
            <w:tcW w:w="0" w:type="auto"/>
            <w:shd w:val="clear" w:color="auto" w:fill="auto"/>
            <w:vAlign w:val="bottom"/>
          </w:tcPr>
          <w:p w14:paraId="71D497CC"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97C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C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7D0" w14:textId="77777777" w:rsidR="006A3667" w:rsidRDefault="006A3667">
            <w:pPr>
              <w:rPr>
                <w:rFonts w:ascii="宋体"/>
              </w:rPr>
            </w:pPr>
          </w:p>
        </w:tc>
        <w:tc>
          <w:tcPr>
            <w:tcW w:w="0" w:type="auto"/>
            <w:gridSpan w:val="3"/>
            <w:shd w:val="clear" w:color="auto" w:fill="auto"/>
            <w:vAlign w:val="bottom"/>
          </w:tcPr>
          <w:p w14:paraId="71D497D1" w14:textId="77777777" w:rsidR="006A3667" w:rsidRDefault="006A3667">
            <w:pPr>
              <w:rPr>
                <w:rFonts w:ascii="宋体"/>
                <w:vanish/>
              </w:rPr>
            </w:pPr>
          </w:p>
        </w:tc>
        <w:tc>
          <w:tcPr>
            <w:tcW w:w="0" w:type="auto"/>
            <w:gridSpan w:val="3"/>
            <w:shd w:val="clear" w:color="auto" w:fill="auto"/>
            <w:vAlign w:val="bottom"/>
          </w:tcPr>
          <w:p w14:paraId="71D497D2"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97D3" w14:textId="77777777" w:rsidR="006A3667" w:rsidRDefault="006A3667">
            <w:pPr>
              <w:rPr>
                <w:rFonts w:ascii="宋体"/>
              </w:rPr>
            </w:pPr>
          </w:p>
        </w:tc>
        <w:tc>
          <w:tcPr>
            <w:tcW w:w="0" w:type="auto"/>
            <w:gridSpan w:val="2"/>
            <w:shd w:val="clear" w:color="auto" w:fill="auto"/>
            <w:tcMar>
              <w:top w:w="0" w:type="dxa"/>
              <w:left w:w="20" w:type="dxa"/>
              <w:bottom w:w="0" w:type="dxa"/>
              <w:right w:w="20" w:type="dxa"/>
            </w:tcMar>
            <w:vAlign w:val="bottom"/>
          </w:tcPr>
          <w:p w14:paraId="71D497D4" w14:textId="77777777" w:rsidR="006A3667" w:rsidRDefault="006A3667">
            <w:pPr>
              <w:rPr>
                <w:rFonts w:ascii="宋体"/>
              </w:rPr>
            </w:pPr>
          </w:p>
        </w:tc>
        <w:tc>
          <w:tcPr>
            <w:tcW w:w="0" w:type="auto"/>
            <w:shd w:val="clear" w:color="auto" w:fill="auto"/>
            <w:tcMar>
              <w:top w:w="0" w:type="dxa"/>
              <w:left w:w="20" w:type="dxa"/>
              <w:bottom w:w="0" w:type="dxa"/>
              <w:right w:w="20" w:type="dxa"/>
            </w:tcMar>
            <w:vAlign w:val="bottom"/>
          </w:tcPr>
          <w:p w14:paraId="71D497D5" w14:textId="77777777" w:rsidR="006A3667" w:rsidRDefault="006A3667">
            <w:pPr>
              <w:rPr>
                <w:rFonts w:ascii="宋体"/>
              </w:rPr>
            </w:pPr>
          </w:p>
        </w:tc>
      </w:tr>
      <w:tr w:rsidR="006A3667" w14:paraId="71D497E8" w14:textId="77777777">
        <w:tc>
          <w:tcPr>
            <w:tcW w:w="0" w:type="auto"/>
            <w:gridSpan w:val="3"/>
            <w:shd w:val="clear" w:color="auto" w:fill="auto"/>
            <w:tcMar>
              <w:top w:w="0" w:type="dxa"/>
              <w:left w:w="20" w:type="dxa"/>
              <w:bottom w:w="0" w:type="dxa"/>
              <w:right w:w="20" w:type="dxa"/>
            </w:tcMar>
            <w:vAlign w:val="bottom"/>
          </w:tcPr>
          <w:p w14:paraId="71D497D7" w14:textId="77777777" w:rsidR="006A3667" w:rsidRDefault="006A3667">
            <w:pPr>
              <w:rPr>
                <w:rFonts w:ascii="宋体"/>
              </w:rPr>
            </w:pPr>
          </w:p>
        </w:tc>
        <w:tc>
          <w:tcPr>
            <w:tcW w:w="0" w:type="auto"/>
            <w:gridSpan w:val="37"/>
            <w:tcBorders>
              <w:bottom w:val="single" w:sz="8" w:space="0" w:color="000000"/>
            </w:tcBorders>
            <w:shd w:val="clear" w:color="auto" w:fill="auto"/>
            <w:tcMar>
              <w:top w:w="40" w:type="dxa"/>
              <w:left w:w="20" w:type="dxa"/>
              <w:bottom w:w="40" w:type="dxa"/>
              <w:right w:w="20" w:type="dxa"/>
            </w:tcMar>
            <w:vAlign w:val="bottom"/>
          </w:tcPr>
          <w:p w14:paraId="71D497D8" w14:textId="77777777" w:rsidR="006A3667" w:rsidRDefault="00045F32">
            <w:pPr>
              <w:jc w:val="center"/>
              <w:textAlignment w:val="bottom"/>
            </w:pPr>
            <w:r>
              <w:rPr>
                <w:rFonts w:ascii="Arial" w:eastAsia="宋体" w:hAnsi="Arial" w:cs="Arial"/>
                <w:b/>
                <w:bCs/>
                <w:color w:val="000000"/>
                <w:sz w:val="14"/>
                <w:szCs w:val="14"/>
              </w:rPr>
              <w:t>Nine Months Ended September 30,</w:t>
            </w:r>
          </w:p>
        </w:tc>
        <w:tc>
          <w:tcPr>
            <w:tcW w:w="0" w:type="auto"/>
            <w:shd w:val="clear" w:color="auto" w:fill="auto"/>
            <w:vAlign w:val="bottom"/>
          </w:tcPr>
          <w:p w14:paraId="71D497D9" w14:textId="77777777" w:rsidR="006A3667" w:rsidRDefault="006A3667">
            <w:pPr>
              <w:rPr>
                <w:rFonts w:ascii="宋体"/>
              </w:rPr>
            </w:pPr>
          </w:p>
        </w:tc>
        <w:tc>
          <w:tcPr>
            <w:tcW w:w="0" w:type="auto"/>
            <w:shd w:val="clear" w:color="auto" w:fill="auto"/>
            <w:vAlign w:val="bottom"/>
          </w:tcPr>
          <w:p w14:paraId="71D497DA" w14:textId="77777777" w:rsidR="006A3667" w:rsidRDefault="006A3667">
            <w:pPr>
              <w:rPr>
                <w:rFonts w:ascii="宋体"/>
              </w:rPr>
            </w:pPr>
          </w:p>
        </w:tc>
        <w:tc>
          <w:tcPr>
            <w:tcW w:w="0" w:type="auto"/>
            <w:shd w:val="clear" w:color="auto" w:fill="auto"/>
            <w:vAlign w:val="bottom"/>
          </w:tcPr>
          <w:p w14:paraId="71D497DB" w14:textId="77777777" w:rsidR="006A3667" w:rsidRDefault="006A3667">
            <w:pPr>
              <w:rPr>
                <w:rFonts w:ascii="宋体"/>
              </w:rPr>
            </w:pPr>
          </w:p>
        </w:tc>
        <w:tc>
          <w:tcPr>
            <w:tcW w:w="0" w:type="auto"/>
            <w:shd w:val="clear" w:color="auto" w:fill="auto"/>
            <w:vAlign w:val="bottom"/>
          </w:tcPr>
          <w:p w14:paraId="71D497DC" w14:textId="77777777" w:rsidR="006A3667" w:rsidRDefault="006A3667">
            <w:pPr>
              <w:rPr>
                <w:rFonts w:ascii="宋体"/>
              </w:rPr>
            </w:pPr>
          </w:p>
        </w:tc>
        <w:tc>
          <w:tcPr>
            <w:tcW w:w="0" w:type="auto"/>
            <w:shd w:val="clear" w:color="auto" w:fill="auto"/>
            <w:vAlign w:val="bottom"/>
          </w:tcPr>
          <w:p w14:paraId="71D497DD" w14:textId="77777777" w:rsidR="006A3667" w:rsidRDefault="006A3667">
            <w:pPr>
              <w:rPr>
                <w:rFonts w:ascii="宋体"/>
              </w:rPr>
            </w:pPr>
          </w:p>
        </w:tc>
        <w:tc>
          <w:tcPr>
            <w:tcW w:w="0" w:type="auto"/>
            <w:shd w:val="clear" w:color="auto" w:fill="auto"/>
            <w:vAlign w:val="bottom"/>
          </w:tcPr>
          <w:p w14:paraId="71D497DE" w14:textId="77777777" w:rsidR="006A3667" w:rsidRDefault="006A3667">
            <w:pPr>
              <w:rPr>
                <w:rFonts w:ascii="宋体"/>
              </w:rPr>
            </w:pPr>
          </w:p>
        </w:tc>
        <w:tc>
          <w:tcPr>
            <w:tcW w:w="0" w:type="auto"/>
            <w:shd w:val="clear" w:color="auto" w:fill="auto"/>
            <w:vAlign w:val="bottom"/>
          </w:tcPr>
          <w:p w14:paraId="71D497DF" w14:textId="77777777" w:rsidR="006A3667" w:rsidRDefault="006A3667">
            <w:pPr>
              <w:rPr>
                <w:rFonts w:ascii="宋体"/>
              </w:rPr>
            </w:pPr>
          </w:p>
        </w:tc>
        <w:tc>
          <w:tcPr>
            <w:tcW w:w="0" w:type="auto"/>
            <w:shd w:val="clear" w:color="auto" w:fill="auto"/>
            <w:vAlign w:val="bottom"/>
          </w:tcPr>
          <w:p w14:paraId="71D497E0" w14:textId="77777777" w:rsidR="006A3667" w:rsidRDefault="006A3667">
            <w:pPr>
              <w:rPr>
                <w:rFonts w:ascii="宋体"/>
              </w:rPr>
            </w:pPr>
          </w:p>
        </w:tc>
        <w:tc>
          <w:tcPr>
            <w:tcW w:w="0" w:type="auto"/>
            <w:shd w:val="clear" w:color="auto" w:fill="auto"/>
            <w:vAlign w:val="bottom"/>
          </w:tcPr>
          <w:p w14:paraId="71D497E1" w14:textId="77777777" w:rsidR="006A3667" w:rsidRDefault="006A3667">
            <w:pPr>
              <w:rPr>
                <w:rFonts w:ascii="宋体"/>
              </w:rPr>
            </w:pPr>
          </w:p>
        </w:tc>
        <w:tc>
          <w:tcPr>
            <w:tcW w:w="0" w:type="auto"/>
            <w:shd w:val="clear" w:color="auto" w:fill="auto"/>
            <w:vAlign w:val="bottom"/>
          </w:tcPr>
          <w:p w14:paraId="71D497E2" w14:textId="77777777" w:rsidR="006A3667" w:rsidRDefault="006A3667">
            <w:pPr>
              <w:rPr>
                <w:rFonts w:ascii="宋体"/>
              </w:rPr>
            </w:pPr>
          </w:p>
        </w:tc>
        <w:tc>
          <w:tcPr>
            <w:tcW w:w="0" w:type="auto"/>
            <w:shd w:val="clear" w:color="auto" w:fill="auto"/>
            <w:vAlign w:val="bottom"/>
          </w:tcPr>
          <w:p w14:paraId="71D497E3" w14:textId="77777777" w:rsidR="006A3667" w:rsidRDefault="006A3667">
            <w:pPr>
              <w:rPr>
                <w:rFonts w:ascii="宋体"/>
              </w:rPr>
            </w:pPr>
          </w:p>
        </w:tc>
        <w:tc>
          <w:tcPr>
            <w:tcW w:w="0" w:type="auto"/>
            <w:shd w:val="clear" w:color="auto" w:fill="auto"/>
            <w:vAlign w:val="bottom"/>
          </w:tcPr>
          <w:p w14:paraId="71D497E4" w14:textId="77777777" w:rsidR="006A3667" w:rsidRDefault="006A3667">
            <w:pPr>
              <w:rPr>
                <w:rFonts w:ascii="宋体"/>
              </w:rPr>
            </w:pPr>
          </w:p>
        </w:tc>
        <w:tc>
          <w:tcPr>
            <w:tcW w:w="0" w:type="auto"/>
            <w:shd w:val="clear" w:color="auto" w:fill="auto"/>
            <w:vAlign w:val="bottom"/>
          </w:tcPr>
          <w:p w14:paraId="71D497E5" w14:textId="77777777" w:rsidR="006A3667" w:rsidRDefault="006A3667">
            <w:pPr>
              <w:rPr>
                <w:rFonts w:ascii="宋体"/>
              </w:rPr>
            </w:pPr>
          </w:p>
        </w:tc>
        <w:tc>
          <w:tcPr>
            <w:tcW w:w="0" w:type="auto"/>
            <w:shd w:val="clear" w:color="auto" w:fill="auto"/>
            <w:vAlign w:val="bottom"/>
          </w:tcPr>
          <w:p w14:paraId="71D497E6" w14:textId="77777777" w:rsidR="006A3667" w:rsidRDefault="006A3667">
            <w:pPr>
              <w:rPr>
                <w:rFonts w:ascii="宋体"/>
              </w:rPr>
            </w:pPr>
          </w:p>
        </w:tc>
        <w:tc>
          <w:tcPr>
            <w:tcW w:w="0" w:type="auto"/>
            <w:shd w:val="clear" w:color="auto" w:fill="auto"/>
            <w:vAlign w:val="bottom"/>
          </w:tcPr>
          <w:p w14:paraId="71D497E7" w14:textId="77777777" w:rsidR="006A3667" w:rsidRDefault="006A3667">
            <w:pPr>
              <w:rPr>
                <w:rFonts w:ascii="宋体"/>
              </w:rPr>
            </w:pPr>
          </w:p>
        </w:tc>
      </w:tr>
      <w:tr w:rsidR="006A3667" w14:paraId="71D497F7" w14:textId="77777777">
        <w:tc>
          <w:tcPr>
            <w:tcW w:w="0" w:type="auto"/>
            <w:gridSpan w:val="3"/>
            <w:shd w:val="clear" w:color="auto" w:fill="auto"/>
            <w:tcMar>
              <w:top w:w="0" w:type="dxa"/>
              <w:left w:w="20" w:type="dxa"/>
              <w:bottom w:w="0" w:type="dxa"/>
              <w:right w:w="20" w:type="dxa"/>
            </w:tcMar>
            <w:vAlign w:val="bottom"/>
          </w:tcPr>
          <w:p w14:paraId="71D497E9" w14:textId="77777777" w:rsidR="006A3667" w:rsidRDefault="006A3667">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97EA" w14:textId="77777777" w:rsidR="006A3667" w:rsidRDefault="00045F32">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7EB" w14:textId="77777777" w:rsidR="006A3667" w:rsidRDefault="006A3667">
            <w:pPr>
              <w:rPr>
                <w:rFonts w:ascii="宋体"/>
              </w:rPr>
            </w:pPr>
          </w:p>
        </w:tc>
        <w:tc>
          <w:tcPr>
            <w:tcW w:w="0" w:type="auto"/>
            <w:shd w:val="clear" w:color="auto" w:fill="auto"/>
            <w:vAlign w:val="bottom"/>
          </w:tcPr>
          <w:p w14:paraId="71D497EC" w14:textId="77777777" w:rsidR="006A3667" w:rsidRDefault="006A3667">
            <w:pPr>
              <w:rPr>
                <w:rFonts w:ascii="宋体"/>
                <w:vanish/>
              </w:rPr>
            </w:pPr>
          </w:p>
        </w:tc>
        <w:tc>
          <w:tcPr>
            <w:tcW w:w="0" w:type="auto"/>
            <w:shd w:val="clear" w:color="auto" w:fill="auto"/>
            <w:vAlign w:val="bottom"/>
          </w:tcPr>
          <w:p w14:paraId="71D497ED" w14:textId="77777777" w:rsidR="006A3667" w:rsidRDefault="006A3667">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97EE" w14:textId="77777777" w:rsidR="006A3667" w:rsidRDefault="00045F32">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7EF" w14:textId="77777777" w:rsidR="006A3667" w:rsidRDefault="006A3667">
            <w:pPr>
              <w:rPr>
                <w:rFonts w:ascii="宋体"/>
              </w:rPr>
            </w:pPr>
          </w:p>
        </w:tc>
        <w:tc>
          <w:tcPr>
            <w:tcW w:w="0" w:type="auto"/>
            <w:shd w:val="clear" w:color="auto" w:fill="auto"/>
            <w:vAlign w:val="bottom"/>
          </w:tcPr>
          <w:p w14:paraId="71D497F0" w14:textId="77777777" w:rsidR="006A3667" w:rsidRDefault="006A3667">
            <w:pPr>
              <w:rPr>
                <w:rFonts w:ascii="宋体"/>
                <w:vanish/>
              </w:rPr>
            </w:pPr>
          </w:p>
        </w:tc>
        <w:tc>
          <w:tcPr>
            <w:tcW w:w="0" w:type="auto"/>
            <w:shd w:val="clear" w:color="auto" w:fill="auto"/>
            <w:vAlign w:val="bottom"/>
          </w:tcPr>
          <w:p w14:paraId="71D497F1" w14:textId="77777777" w:rsidR="006A3667" w:rsidRDefault="006A3667">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1D497F2" w14:textId="77777777" w:rsidR="006A3667" w:rsidRDefault="00045F32">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7F3" w14:textId="77777777" w:rsidR="006A3667" w:rsidRDefault="006A3667">
            <w:pPr>
              <w:rPr>
                <w:rFonts w:ascii="宋体"/>
              </w:rPr>
            </w:pPr>
          </w:p>
        </w:tc>
        <w:tc>
          <w:tcPr>
            <w:tcW w:w="0" w:type="auto"/>
            <w:gridSpan w:val="3"/>
            <w:shd w:val="clear" w:color="auto" w:fill="auto"/>
            <w:vAlign w:val="bottom"/>
          </w:tcPr>
          <w:p w14:paraId="71D497F4" w14:textId="77777777" w:rsidR="006A3667" w:rsidRDefault="006A3667">
            <w:pPr>
              <w:rPr>
                <w:rFonts w:ascii="宋体"/>
                <w:vanish/>
              </w:rPr>
            </w:pPr>
          </w:p>
        </w:tc>
        <w:tc>
          <w:tcPr>
            <w:tcW w:w="0" w:type="auto"/>
            <w:gridSpan w:val="3"/>
            <w:shd w:val="clear" w:color="auto" w:fill="auto"/>
            <w:vAlign w:val="bottom"/>
          </w:tcPr>
          <w:p w14:paraId="71D497F5" w14:textId="77777777" w:rsidR="006A3667" w:rsidRDefault="006A3667">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71D497F6"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980E" w14:textId="77777777">
        <w:tc>
          <w:tcPr>
            <w:tcW w:w="0" w:type="auto"/>
            <w:gridSpan w:val="3"/>
            <w:shd w:val="clear" w:color="auto" w:fill="FFFFFF"/>
            <w:tcMar>
              <w:top w:w="40" w:type="dxa"/>
              <w:left w:w="20" w:type="dxa"/>
              <w:bottom w:w="40" w:type="dxa"/>
              <w:right w:w="20" w:type="dxa"/>
            </w:tcMar>
            <w:vAlign w:val="bottom"/>
          </w:tcPr>
          <w:p w14:paraId="71D497F8" w14:textId="77777777" w:rsidR="006A3667" w:rsidRDefault="00045F32">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97F9"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97FA"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97FB"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FFFFFF"/>
            <w:tcMar>
              <w:top w:w="0" w:type="dxa"/>
              <w:left w:w="20" w:type="dxa"/>
              <w:bottom w:w="0" w:type="dxa"/>
              <w:right w:w="20" w:type="dxa"/>
            </w:tcMar>
            <w:vAlign w:val="bottom"/>
          </w:tcPr>
          <w:p w14:paraId="71D497FC" w14:textId="77777777" w:rsidR="006A3667" w:rsidRDefault="006A3667">
            <w:pPr>
              <w:rPr>
                <w:rFonts w:ascii="宋体"/>
              </w:rPr>
            </w:pPr>
          </w:p>
        </w:tc>
        <w:tc>
          <w:tcPr>
            <w:tcW w:w="0" w:type="auto"/>
            <w:shd w:val="clear" w:color="auto" w:fill="auto"/>
            <w:vAlign w:val="bottom"/>
          </w:tcPr>
          <w:p w14:paraId="71D497FD" w14:textId="77777777" w:rsidR="006A3667" w:rsidRDefault="006A3667">
            <w:pPr>
              <w:rPr>
                <w:rFonts w:ascii="宋体"/>
                <w:vanish/>
              </w:rPr>
            </w:pPr>
          </w:p>
        </w:tc>
        <w:tc>
          <w:tcPr>
            <w:tcW w:w="0" w:type="auto"/>
            <w:shd w:val="clear" w:color="auto" w:fill="auto"/>
            <w:vAlign w:val="bottom"/>
          </w:tcPr>
          <w:p w14:paraId="71D497FE" w14:textId="77777777" w:rsidR="006A3667" w:rsidRDefault="006A3667">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97FF"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9800"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9801"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FFFFFF"/>
            <w:tcMar>
              <w:top w:w="0" w:type="dxa"/>
              <w:left w:w="20" w:type="dxa"/>
              <w:bottom w:w="0" w:type="dxa"/>
              <w:right w:w="20" w:type="dxa"/>
            </w:tcMar>
            <w:vAlign w:val="bottom"/>
          </w:tcPr>
          <w:p w14:paraId="71D49802" w14:textId="77777777" w:rsidR="006A3667" w:rsidRDefault="006A3667">
            <w:pPr>
              <w:rPr>
                <w:rFonts w:ascii="宋体"/>
              </w:rPr>
            </w:pPr>
          </w:p>
        </w:tc>
        <w:tc>
          <w:tcPr>
            <w:tcW w:w="0" w:type="auto"/>
            <w:shd w:val="clear" w:color="auto" w:fill="auto"/>
            <w:vAlign w:val="bottom"/>
          </w:tcPr>
          <w:p w14:paraId="71D49803" w14:textId="77777777" w:rsidR="006A3667" w:rsidRDefault="006A3667">
            <w:pPr>
              <w:rPr>
                <w:rFonts w:ascii="宋体"/>
                <w:vanish/>
              </w:rPr>
            </w:pPr>
          </w:p>
        </w:tc>
        <w:tc>
          <w:tcPr>
            <w:tcW w:w="0" w:type="auto"/>
            <w:shd w:val="clear" w:color="auto" w:fill="auto"/>
            <w:vAlign w:val="bottom"/>
          </w:tcPr>
          <w:p w14:paraId="71D49804" w14:textId="77777777" w:rsidR="006A3667" w:rsidRDefault="006A3667">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9805"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9806"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9807" w14:textId="77777777" w:rsidR="006A3667" w:rsidRDefault="00045F32">
            <w:pPr>
              <w:jc w:val="center"/>
              <w:textAlignment w:val="bottom"/>
            </w:pPr>
            <w:r>
              <w:rPr>
                <w:rFonts w:ascii="Arial" w:eastAsia="宋体" w:hAnsi="Arial" w:cs="Arial"/>
                <w:b/>
                <w:bCs/>
                <w:color w:val="000000"/>
                <w:sz w:val="13"/>
                <w:szCs w:val="13"/>
              </w:rPr>
              <w:t>2021</w:t>
            </w:r>
          </w:p>
        </w:tc>
        <w:tc>
          <w:tcPr>
            <w:tcW w:w="0" w:type="auto"/>
            <w:gridSpan w:val="3"/>
            <w:shd w:val="clear" w:color="auto" w:fill="FFFFFF"/>
            <w:tcMar>
              <w:top w:w="0" w:type="dxa"/>
              <w:left w:w="20" w:type="dxa"/>
              <w:bottom w:w="0" w:type="dxa"/>
              <w:right w:w="20" w:type="dxa"/>
            </w:tcMar>
            <w:vAlign w:val="bottom"/>
          </w:tcPr>
          <w:p w14:paraId="71D49808" w14:textId="77777777" w:rsidR="006A3667" w:rsidRDefault="006A3667">
            <w:pPr>
              <w:rPr>
                <w:rFonts w:ascii="宋体"/>
              </w:rPr>
            </w:pPr>
          </w:p>
        </w:tc>
        <w:tc>
          <w:tcPr>
            <w:tcW w:w="0" w:type="auto"/>
            <w:gridSpan w:val="3"/>
            <w:shd w:val="clear" w:color="auto" w:fill="auto"/>
            <w:vAlign w:val="bottom"/>
          </w:tcPr>
          <w:p w14:paraId="71D49809" w14:textId="77777777" w:rsidR="006A3667" w:rsidRDefault="006A3667">
            <w:pPr>
              <w:rPr>
                <w:rFonts w:ascii="宋体"/>
                <w:vanish/>
              </w:rPr>
            </w:pPr>
          </w:p>
        </w:tc>
        <w:tc>
          <w:tcPr>
            <w:tcW w:w="0" w:type="auto"/>
            <w:gridSpan w:val="3"/>
            <w:shd w:val="clear" w:color="auto" w:fill="auto"/>
            <w:vAlign w:val="bottom"/>
          </w:tcPr>
          <w:p w14:paraId="71D4980A" w14:textId="77777777" w:rsidR="006A3667" w:rsidRDefault="006A3667">
            <w:pPr>
              <w:rPr>
                <w:rFonts w:ascii="宋体"/>
                <w:vanish/>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980B" w14:textId="77777777" w:rsidR="006A3667" w:rsidRDefault="00045F32">
            <w:pPr>
              <w:jc w:val="center"/>
              <w:textAlignment w:val="bottom"/>
            </w:pPr>
            <w:r>
              <w:rPr>
                <w:rFonts w:ascii="Arial" w:eastAsia="宋体" w:hAnsi="Arial" w:cs="Arial"/>
                <w:b/>
                <w:bCs/>
                <w:color w:val="000000"/>
                <w:sz w:val="13"/>
                <w:szCs w:val="13"/>
              </w:rPr>
              <w:t>2022</w:t>
            </w:r>
          </w:p>
        </w:tc>
        <w:tc>
          <w:tcPr>
            <w:tcW w:w="0" w:type="auto"/>
            <w:gridSpan w:val="2"/>
            <w:tcBorders>
              <w:top w:val="single" w:sz="8" w:space="0" w:color="000000"/>
            </w:tcBorders>
            <w:shd w:val="clear" w:color="auto" w:fill="FFFFFF"/>
            <w:tcMar>
              <w:top w:w="0" w:type="dxa"/>
              <w:left w:w="20" w:type="dxa"/>
              <w:bottom w:w="0" w:type="dxa"/>
              <w:right w:w="20" w:type="dxa"/>
            </w:tcMar>
            <w:vAlign w:val="bottom"/>
          </w:tcPr>
          <w:p w14:paraId="71D4980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20" w:type="dxa"/>
            </w:tcMar>
            <w:vAlign w:val="bottom"/>
          </w:tcPr>
          <w:p w14:paraId="71D4980D" w14:textId="77777777" w:rsidR="006A3667" w:rsidRDefault="00045F32">
            <w:pPr>
              <w:jc w:val="center"/>
              <w:textAlignment w:val="bottom"/>
            </w:pPr>
            <w:r>
              <w:rPr>
                <w:rFonts w:ascii="Arial" w:eastAsia="宋体" w:hAnsi="Arial" w:cs="Arial"/>
                <w:b/>
                <w:bCs/>
                <w:color w:val="000000"/>
                <w:sz w:val="13"/>
                <w:szCs w:val="13"/>
              </w:rPr>
              <w:t>2021</w:t>
            </w:r>
          </w:p>
        </w:tc>
      </w:tr>
      <w:tr w:rsidR="006A3667" w14:paraId="71D49834" w14:textId="77777777">
        <w:tc>
          <w:tcPr>
            <w:tcW w:w="0" w:type="auto"/>
            <w:gridSpan w:val="3"/>
            <w:shd w:val="clear" w:color="auto" w:fill="CCEEFF"/>
            <w:tcMar>
              <w:top w:w="40" w:type="dxa"/>
              <w:left w:w="20" w:type="dxa"/>
              <w:bottom w:w="40" w:type="dxa"/>
              <w:right w:w="20" w:type="dxa"/>
            </w:tcMar>
            <w:vAlign w:val="bottom"/>
          </w:tcPr>
          <w:p w14:paraId="71D4980F" w14:textId="77777777" w:rsidR="006A3667" w:rsidRDefault="00045F32">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81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811" w14:textId="77777777" w:rsidR="006A3667" w:rsidRDefault="00045F32">
            <w:pPr>
              <w:jc w:val="right"/>
              <w:textAlignment w:val="bottom"/>
            </w:pPr>
            <w:r>
              <w:rPr>
                <w:rFonts w:ascii="Arial" w:eastAsia="宋体" w:hAnsi="Arial" w:cs="Arial"/>
                <w:b/>
                <w:bCs/>
                <w:color w:val="000000"/>
                <w:sz w:val="14"/>
                <w:szCs w:val="14"/>
              </w:rPr>
              <w:t>3,884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1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1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81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815" w14:textId="77777777" w:rsidR="006A3667" w:rsidRDefault="00045F32">
            <w:pPr>
              <w:jc w:val="right"/>
              <w:textAlignment w:val="bottom"/>
            </w:pPr>
            <w:r>
              <w:rPr>
                <w:rFonts w:ascii="Arial" w:eastAsia="宋体" w:hAnsi="Arial" w:cs="Arial"/>
                <w:color w:val="000000"/>
                <w:sz w:val="14"/>
                <w:szCs w:val="14"/>
              </w:rPr>
              <w:t>4,154 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1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17" w14:textId="77777777" w:rsidR="006A3667" w:rsidRDefault="006A3667">
            <w:pPr>
              <w:rPr>
                <w:rFonts w:ascii="宋体"/>
              </w:rPr>
            </w:pPr>
          </w:p>
        </w:tc>
        <w:tc>
          <w:tcPr>
            <w:tcW w:w="0" w:type="auto"/>
            <w:shd w:val="clear" w:color="auto" w:fill="auto"/>
            <w:vAlign w:val="bottom"/>
          </w:tcPr>
          <w:p w14:paraId="71D49818" w14:textId="77777777" w:rsidR="006A3667" w:rsidRDefault="006A3667">
            <w:pPr>
              <w:rPr>
                <w:rFonts w:ascii="宋体"/>
                <w:vanish/>
              </w:rPr>
            </w:pPr>
          </w:p>
        </w:tc>
        <w:tc>
          <w:tcPr>
            <w:tcW w:w="0" w:type="auto"/>
            <w:shd w:val="clear" w:color="auto" w:fill="auto"/>
            <w:vAlign w:val="bottom"/>
          </w:tcPr>
          <w:p w14:paraId="71D49819"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81A"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81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1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1D"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81E"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81F"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2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21" w14:textId="77777777" w:rsidR="006A3667" w:rsidRDefault="006A3667">
            <w:pPr>
              <w:rPr>
                <w:rFonts w:ascii="宋体"/>
              </w:rPr>
            </w:pPr>
          </w:p>
        </w:tc>
        <w:tc>
          <w:tcPr>
            <w:tcW w:w="0" w:type="auto"/>
            <w:shd w:val="clear" w:color="auto" w:fill="auto"/>
            <w:vAlign w:val="bottom"/>
          </w:tcPr>
          <w:p w14:paraId="71D49822" w14:textId="77777777" w:rsidR="006A3667" w:rsidRDefault="006A3667">
            <w:pPr>
              <w:rPr>
                <w:rFonts w:ascii="宋体"/>
                <w:vanish/>
              </w:rPr>
            </w:pPr>
          </w:p>
        </w:tc>
        <w:tc>
          <w:tcPr>
            <w:tcW w:w="0" w:type="auto"/>
            <w:shd w:val="clear" w:color="auto" w:fill="auto"/>
            <w:vAlign w:val="bottom"/>
          </w:tcPr>
          <w:p w14:paraId="71D49823"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82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82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2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82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829"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2B" w14:textId="77777777" w:rsidR="006A3667" w:rsidRDefault="006A3667">
            <w:pPr>
              <w:rPr>
                <w:rFonts w:ascii="宋体"/>
              </w:rPr>
            </w:pPr>
          </w:p>
        </w:tc>
        <w:tc>
          <w:tcPr>
            <w:tcW w:w="0" w:type="auto"/>
            <w:gridSpan w:val="3"/>
            <w:shd w:val="clear" w:color="auto" w:fill="auto"/>
            <w:vAlign w:val="bottom"/>
          </w:tcPr>
          <w:p w14:paraId="71D4982C" w14:textId="77777777" w:rsidR="006A3667" w:rsidRDefault="006A3667">
            <w:pPr>
              <w:rPr>
                <w:rFonts w:ascii="宋体"/>
                <w:vanish/>
              </w:rPr>
            </w:pPr>
          </w:p>
        </w:tc>
        <w:tc>
          <w:tcPr>
            <w:tcW w:w="0" w:type="auto"/>
            <w:gridSpan w:val="3"/>
            <w:shd w:val="clear" w:color="auto" w:fill="auto"/>
            <w:vAlign w:val="bottom"/>
          </w:tcPr>
          <w:p w14:paraId="71D4982D"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82E"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82F" w14:textId="77777777" w:rsidR="006A3667" w:rsidRDefault="00045F32">
            <w:pPr>
              <w:jc w:val="right"/>
              <w:textAlignment w:val="bottom"/>
            </w:pPr>
            <w:r>
              <w:rPr>
                <w:rFonts w:ascii="Arial" w:eastAsia="宋体" w:hAnsi="Arial" w:cs="Arial"/>
                <w:b/>
                <w:bCs/>
                <w:color w:val="000000"/>
                <w:sz w:val="14"/>
                <w:szCs w:val="14"/>
              </w:rPr>
              <w:t>3,884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30"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831"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832" w14:textId="77777777" w:rsidR="006A3667" w:rsidRDefault="00045F32">
            <w:pPr>
              <w:textAlignment w:val="bottom"/>
            </w:pPr>
            <w:r>
              <w:rPr>
                <w:rFonts w:ascii="Arial" w:eastAsia="宋体" w:hAnsi="Arial" w:cs="Arial"/>
                <w:color w:val="000000"/>
                <w:sz w:val="14"/>
                <w:szCs w:val="14"/>
              </w:rPr>
              <w:t>$</w:t>
            </w:r>
          </w:p>
          <w:p w14:paraId="71D49833" w14:textId="77777777" w:rsidR="006A3667" w:rsidRDefault="00045F32">
            <w:pPr>
              <w:jc w:val="right"/>
              <w:textAlignment w:val="bottom"/>
            </w:pPr>
            <w:r>
              <w:rPr>
                <w:rFonts w:ascii="Arial" w:eastAsia="宋体" w:hAnsi="Arial" w:cs="Arial"/>
                <w:color w:val="000000"/>
                <w:sz w:val="14"/>
                <w:szCs w:val="14"/>
              </w:rPr>
              <w:t>4,154 </w:t>
            </w:r>
          </w:p>
        </w:tc>
      </w:tr>
      <w:tr w:rsidR="006A3667" w14:paraId="71D49852" w14:textId="77777777">
        <w:tc>
          <w:tcPr>
            <w:tcW w:w="0" w:type="auto"/>
            <w:gridSpan w:val="3"/>
            <w:shd w:val="clear" w:color="auto" w:fill="FFFFFF"/>
            <w:tcMar>
              <w:top w:w="40" w:type="dxa"/>
              <w:left w:w="20" w:type="dxa"/>
              <w:bottom w:w="40" w:type="dxa"/>
              <w:right w:w="20" w:type="dxa"/>
            </w:tcMar>
            <w:vAlign w:val="bottom"/>
          </w:tcPr>
          <w:p w14:paraId="71D49835" w14:textId="77777777" w:rsidR="006A3667" w:rsidRDefault="00045F32">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71D4983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3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3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3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3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3B" w14:textId="77777777" w:rsidR="006A3667" w:rsidRDefault="006A3667">
            <w:pPr>
              <w:rPr>
                <w:rFonts w:ascii="宋体"/>
              </w:rPr>
            </w:pPr>
          </w:p>
        </w:tc>
        <w:tc>
          <w:tcPr>
            <w:tcW w:w="0" w:type="auto"/>
            <w:shd w:val="clear" w:color="auto" w:fill="auto"/>
            <w:vAlign w:val="bottom"/>
          </w:tcPr>
          <w:p w14:paraId="71D4983C" w14:textId="77777777" w:rsidR="006A3667" w:rsidRDefault="006A3667">
            <w:pPr>
              <w:rPr>
                <w:rFonts w:ascii="宋体"/>
                <w:vanish/>
              </w:rPr>
            </w:pPr>
          </w:p>
        </w:tc>
        <w:tc>
          <w:tcPr>
            <w:tcW w:w="0" w:type="auto"/>
            <w:shd w:val="clear" w:color="auto" w:fill="auto"/>
            <w:vAlign w:val="bottom"/>
          </w:tcPr>
          <w:p w14:paraId="71D4983D"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3E" w14:textId="77777777" w:rsidR="006A3667" w:rsidRDefault="00045F32">
            <w:pPr>
              <w:jc w:val="right"/>
              <w:textAlignment w:val="bottom"/>
            </w:pPr>
            <w:r>
              <w:rPr>
                <w:rFonts w:ascii="Arial" w:eastAsia="宋体" w:hAnsi="Arial" w:cs="Arial"/>
                <w:b/>
                <w:bCs/>
                <w:color w:val="000000"/>
                <w:sz w:val="14"/>
                <w:szCs w:val="14"/>
              </w:rPr>
              <w:t>1,482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3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4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41" w14:textId="77777777" w:rsidR="006A3667" w:rsidRDefault="00045F32">
            <w:pPr>
              <w:jc w:val="right"/>
              <w:textAlignment w:val="bottom"/>
            </w:pPr>
            <w:r>
              <w:rPr>
                <w:rFonts w:ascii="Arial" w:eastAsia="宋体" w:hAnsi="Arial" w:cs="Arial"/>
                <w:color w:val="000000"/>
                <w:sz w:val="14"/>
                <w:szCs w:val="14"/>
              </w:rPr>
              <w:t>1,523 </w:t>
            </w:r>
          </w:p>
        </w:tc>
        <w:tc>
          <w:tcPr>
            <w:tcW w:w="0" w:type="auto"/>
            <w:shd w:val="clear" w:color="auto" w:fill="FFFFFF"/>
            <w:tcMar>
              <w:top w:w="40" w:type="dxa"/>
              <w:left w:w="0" w:type="dxa"/>
              <w:bottom w:w="40" w:type="dxa"/>
              <w:right w:w="20" w:type="dxa"/>
            </w:tcMar>
            <w:vAlign w:val="bottom"/>
          </w:tcPr>
          <w:p w14:paraId="71D498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43" w14:textId="77777777" w:rsidR="006A3667" w:rsidRDefault="006A3667">
            <w:pPr>
              <w:rPr>
                <w:rFonts w:ascii="宋体"/>
              </w:rPr>
            </w:pPr>
          </w:p>
        </w:tc>
        <w:tc>
          <w:tcPr>
            <w:tcW w:w="0" w:type="auto"/>
            <w:shd w:val="clear" w:color="auto" w:fill="auto"/>
            <w:vAlign w:val="bottom"/>
          </w:tcPr>
          <w:p w14:paraId="71D49844" w14:textId="77777777" w:rsidR="006A3667" w:rsidRDefault="006A3667">
            <w:pPr>
              <w:rPr>
                <w:rFonts w:ascii="宋体"/>
                <w:vanish/>
              </w:rPr>
            </w:pPr>
          </w:p>
        </w:tc>
        <w:tc>
          <w:tcPr>
            <w:tcW w:w="0" w:type="auto"/>
            <w:shd w:val="clear" w:color="auto" w:fill="auto"/>
            <w:vAlign w:val="bottom"/>
          </w:tcPr>
          <w:p w14:paraId="71D49845"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4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4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4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4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4B" w14:textId="77777777" w:rsidR="006A3667" w:rsidRDefault="006A3667">
            <w:pPr>
              <w:rPr>
                <w:rFonts w:ascii="宋体"/>
              </w:rPr>
            </w:pPr>
          </w:p>
        </w:tc>
        <w:tc>
          <w:tcPr>
            <w:tcW w:w="0" w:type="auto"/>
            <w:gridSpan w:val="3"/>
            <w:shd w:val="clear" w:color="auto" w:fill="auto"/>
            <w:vAlign w:val="bottom"/>
          </w:tcPr>
          <w:p w14:paraId="71D4984C" w14:textId="77777777" w:rsidR="006A3667" w:rsidRDefault="006A3667">
            <w:pPr>
              <w:rPr>
                <w:rFonts w:ascii="宋体"/>
                <w:vanish/>
              </w:rPr>
            </w:pPr>
          </w:p>
        </w:tc>
        <w:tc>
          <w:tcPr>
            <w:tcW w:w="0" w:type="auto"/>
            <w:gridSpan w:val="3"/>
            <w:shd w:val="clear" w:color="auto" w:fill="auto"/>
            <w:vAlign w:val="bottom"/>
          </w:tcPr>
          <w:p w14:paraId="71D4984D"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4E" w14:textId="77777777" w:rsidR="006A3667" w:rsidRDefault="00045F32">
            <w:pPr>
              <w:jc w:val="right"/>
              <w:textAlignment w:val="bottom"/>
            </w:pPr>
            <w:r>
              <w:rPr>
                <w:rFonts w:ascii="Arial" w:eastAsia="宋体" w:hAnsi="Arial" w:cs="Arial"/>
                <w:b/>
                <w:bCs/>
                <w:color w:val="000000"/>
                <w:sz w:val="14"/>
                <w:szCs w:val="14"/>
              </w:rPr>
              <w:t>1,482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4F"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850"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851" w14:textId="77777777" w:rsidR="006A3667" w:rsidRDefault="00045F32">
            <w:pPr>
              <w:jc w:val="right"/>
              <w:textAlignment w:val="bottom"/>
            </w:pPr>
            <w:r>
              <w:rPr>
                <w:rFonts w:ascii="Arial" w:eastAsia="宋体" w:hAnsi="Arial" w:cs="Arial"/>
                <w:color w:val="000000"/>
                <w:sz w:val="14"/>
                <w:szCs w:val="14"/>
              </w:rPr>
              <w:t>1,523 </w:t>
            </w:r>
          </w:p>
        </w:tc>
      </w:tr>
      <w:tr w:rsidR="006A3667" w14:paraId="71D49870" w14:textId="77777777">
        <w:tc>
          <w:tcPr>
            <w:tcW w:w="0" w:type="auto"/>
            <w:gridSpan w:val="3"/>
            <w:shd w:val="clear" w:color="auto" w:fill="CCEEFF"/>
            <w:tcMar>
              <w:top w:w="40" w:type="dxa"/>
              <w:left w:w="20" w:type="dxa"/>
              <w:bottom w:w="40" w:type="dxa"/>
              <w:right w:w="20" w:type="dxa"/>
            </w:tcMar>
            <w:vAlign w:val="bottom"/>
          </w:tcPr>
          <w:p w14:paraId="71D49853" w14:textId="77777777" w:rsidR="006A3667" w:rsidRDefault="00045F32">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71D49854" w14:textId="77777777" w:rsidR="006A3667" w:rsidRDefault="00045F32">
            <w:pPr>
              <w:jc w:val="right"/>
              <w:textAlignment w:val="bottom"/>
            </w:pPr>
            <w:r>
              <w:rPr>
                <w:rFonts w:ascii="Arial" w:eastAsia="宋体" w:hAnsi="Arial" w:cs="Arial"/>
                <w:b/>
                <w:bCs/>
                <w:color w:val="000000"/>
                <w:sz w:val="14"/>
                <w:szCs w:val="14"/>
              </w:rPr>
              <w:t>948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5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5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857" w14:textId="77777777" w:rsidR="006A3667" w:rsidRDefault="00045F32">
            <w:pPr>
              <w:jc w:val="right"/>
              <w:textAlignment w:val="bottom"/>
            </w:pPr>
            <w:r>
              <w:rPr>
                <w:rFonts w:ascii="Arial" w:eastAsia="宋体" w:hAnsi="Arial" w:cs="Arial"/>
                <w:color w:val="000000"/>
                <w:sz w:val="14"/>
                <w:szCs w:val="14"/>
              </w:rPr>
              <w:t>869 </w:t>
            </w:r>
          </w:p>
        </w:tc>
        <w:tc>
          <w:tcPr>
            <w:tcW w:w="0" w:type="auto"/>
            <w:shd w:val="clear" w:color="auto" w:fill="CCEEFF"/>
            <w:tcMar>
              <w:top w:w="40" w:type="dxa"/>
              <w:left w:w="0" w:type="dxa"/>
              <w:bottom w:w="40" w:type="dxa"/>
              <w:right w:w="20" w:type="dxa"/>
            </w:tcMar>
            <w:vAlign w:val="bottom"/>
          </w:tcPr>
          <w:p w14:paraId="71D4985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59" w14:textId="77777777" w:rsidR="006A3667" w:rsidRDefault="006A3667">
            <w:pPr>
              <w:rPr>
                <w:rFonts w:ascii="宋体"/>
              </w:rPr>
            </w:pPr>
          </w:p>
        </w:tc>
        <w:tc>
          <w:tcPr>
            <w:tcW w:w="0" w:type="auto"/>
            <w:shd w:val="clear" w:color="auto" w:fill="auto"/>
            <w:vAlign w:val="bottom"/>
          </w:tcPr>
          <w:p w14:paraId="71D4985A" w14:textId="77777777" w:rsidR="006A3667" w:rsidRDefault="006A3667">
            <w:pPr>
              <w:rPr>
                <w:rFonts w:ascii="宋体"/>
                <w:vanish/>
              </w:rPr>
            </w:pPr>
          </w:p>
        </w:tc>
        <w:tc>
          <w:tcPr>
            <w:tcW w:w="0" w:type="auto"/>
            <w:shd w:val="clear" w:color="auto" w:fill="auto"/>
            <w:vAlign w:val="bottom"/>
          </w:tcPr>
          <w:p w14:paraId="71D4985B"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85C" w14:textId="77777777" w:rsidR="006A3667" w:rsidRDefault="00045F32">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5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5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85F" w14:textId="77777777" w:rsidR="006A3667" w:rsidRDefault="00045F32">
            <w:pPr>
              <w:jc w:val="right"/>
              <w:textAlignment w:val="bottom"/>
            </w:pPr>
            <w:r>
              <w:rPr>
                <w:rFonts w:ascii="Arial" w:eastAsia="宋体" w:hAnsi="Arial" w:cs="Arial"/>
                <w:color w:val="000000"/>
                <w:sz w:val="14"/>
                <w:szCs w:val="14"/>
              </w:rPr>
              <w:t>42 </w:t>
            </w:r>
          </w:p>
        </w:tc>
        <w:tc>
          <w:tcPr>
            <w:tcW w:w="0" w:type="auto"/>
            <w:shd w:val="clear" w:color="auto" w:fill="CCEEFF"/>
            <w:tcMar>
              <w:top w:w="40" w:type="dxa"/>
              <w:left w:w="0" w:type="dxa"/>
              <w:bottom w:w="40" w:type="dxa"/>
              <w:right w:w="20" w:type="dxa"/>
            </w:tcMar>
            <w:vAlign w:val="bottom"/>
          </w:tcPr>
          <w:p w14:paraId="71D4986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61" w14:textId="77777777" w:rsidR="006A3667" w:rsidRDefault="006A3667">
            <w:pPr>
              <w:rPr>
                <w:rFonts w:ascii="宋体"/>
              </w:rPr>
            </w:pPr>
          </w:p>
        </w:tc>
        <w:tc>
          <w:tcPr>
            <w:tcW w:w="0" w:type="auto"/>
            <w:shd w:val="clear" w:color="auto" w:fill="auto"/>
            <w:vAlign w:val="bottom"/>
          </w:tcPr>
          <w:p w14:paraId="71D49862" w14:textId="77777777" w:rsidR="006A3667" w:rsidRDefault="006A3667">
            <w:pPr>
              <w:rPr>
                <w:rFonts w:ascii="宋体"/>
                <w:vanish/>
              </w:rPr>
            </w:pPr>
          </w:p>
        </w:tc>
        <w:tc>
          <w:tcPr>
            <w:tcW w:w="0" w:type="auto"/>
            <w:shd w:val="clear" w:color="auto" w:fill="auto"/>
            <w:vAlign w:val="bottom"/>
          </w:tcPr>
          <w:p w14:paraId="71D49863"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86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6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6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86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6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69" w14:textId="77777777" w:rsidR="006A3667" w:rsidRDefault="006A3667">
            <w:pPr>
              <w:rPr>
                <w:rFonts w:ascii="宋体"/>
              </w:rPr>
            </w:pPr>
          </w:p>
        </w:tc>
        <w:tc>
          <w:tcPr>
            <w:tcW w:w="0" w:type="auto"/>
            <w:gridSpan w:val="3"/>
            <w:shd w:val="clear" w:color="auto" w:fill="auto"/>
            <w:vAlign w:val="bottom"/>
          </w:tcPr>
          <w:p w14:paraId="71D4986A" w14:textId="77777777" w:rsidR="006A3667" w:rsidRDefault="006A3667">
            <w:pPr>
              <w:rPr>
                <w:rFonts w:ascii="宋体"/>
                <w:vanish/>
              </w:rPr>
            </w:pPr>
          </w:p>
        </w:tc>
        <w:tc>
          <w:tcPr>
            <w:tcW w:w="0" w:type="auto"/>
            <w:gridSpan w:val="3"/>
            <w:shd w:val="clear" w:color="auto" w:fill="auto"/>
            <w:vAlign w:val="bottom"/>
          </w:tcPr>
          <w:p w14:paraId="71D4986B"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86C" w14:textId="77777777" w:rsidR="006A3667" w:rsidRDefault="00045F32">
            <w:pPr>
              <w:jc w:val="right"/>
              <w:textAlignment w:val="bottom"/>
            </w:pPr>
            <w:r>
              <w:rPr>
                <w:rFonts w:ascii="Arial" w:eastAsia="宋体" w:hAnsi="Arial" w:cs="Arial"/>
                <w:b/>
                <w:bCs/>
                <w:color w:val="000000"/>
                <w:sz w:val="14"/>
                <w:szCs w:val="14"/>
              </w:rPr>
              <w:t>1,009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6D"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86E"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86F" w14:textId="77777777" w:rsidR="006A3667" w:rsidRDefault="00045F32">
            <w:pPr>
              <w:jc w:val="right"/>
              <w:textAlignment w:val="bottom"/>
            </w:pPr>
            <w:r>
              <w:rPr>
                <w:rFonts w:ascii="Arial" w:eastAsia="宋体" w:hAnsi="Arial" w:cs="Arial"/>
                <w:color w:val="000000"/>
                <w:sz w:val="14"/>
                <w:szCs w:val="14"/>
              </w:rPr>
              <w:t>911 </w:t>
            </w:r>
          </w:p>
        </w:tc>
      </w:tr>
      <w:tr w:rsidR="006A3667" w14:paraId="71D4988E" w14:textId="77777777">
        <w:tc>
          <w:tcPr>
            <w:tcW w:w="0" w:type="auto"/>
            <w:gridSpan w:val="3"/>
            <w:shd w:val="clear" w:color="auto" w:fill="FFFFFF"/>
            <w:tcMar>
              <w:top w:w="40" w:type="dxa"/>
              <w:left w:w="20" w:type="dxa"/>
              <w:bottom w:w="40" w:type="dxa"/>
              <w:right w:w="20" w:type="dxa"/>
            </w:tcMar>
            <w:vAlign w:val="bottom"/>
          </w:tcPr>
          <w:p w14:paraId="71D49871" w14:textId="77777777" w:rsidR="006A3667" w:rsidRDefault="00045F32">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71D49872" w14:textId="77777777" w:rsidR="006A3667" w:rsidRDefault="00045F32">
            <w:pPr>
              <w:jc w:val="right"/>
              <w:textAlignment w:val="bottom"/>
            </w:pPr>
            <w:r>
              <w:rPr>
                <w:rFonts w:ascii="Arial" w:eastAsia="宋体" w:hAnsi="Arial" w:cs="Arial"/>
                <w:b/>
                <w:bCs/>
                <w:color w:val="000000"/>
                <w:sz w:val="14"/>
                <w:szCs w:val="14"/>
              </w:rPr>
              <w:t>300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7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7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75" w14:textId="77777777" w:rsidR="006A3667" w:rsidRDefault="00045F32">
            <w:pPr>
              <w:jc w:val="right"/>
              <w:textAlignment w:val="bottom"/>
            </w:pPr>
            <w:r>
              <w:rPr>
                <w:rFonts w:ascii="Arial" w:eastAsia="宋体" w:hAnsi="Arial" w:cs="Arial"/>
                <w:color w:val="000000"/>
                <w:sz w:val="14"/>
                <w:szCs w:val="14"/>
              </w:rPr>
              <w:t>304 </w:t>
            </w:r>
          </w:p>
        </w:tc>
        <w:tc>
          <w:tcPr>
            <w:tcW w:w="0" w:type="auto"/>
            <w:shd w:val="clear" w:color="auto" w:fill="FFFFFF"/>
            <w:tcMar>
              <w:top w:w="40" w:type="dxa"/>
              <w:left w:w="0" w:type="dxa"/>
              <w:bottom w:w="40" w:type="dxa"/>
              <w:right w:w="20" w:type="dxa"/>
            </w:tcMar>
            <w:vAlign w:val="bottom"/>
          </w:tcPr>
          <w:p w14:paraId="71D4987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77" w14:textId="77777777" w:rsidR="006A3667" w:rsidRDefault="006A3667">
            <w:pPr>
              <w:rPr>
                <w:rFonts w:ascii="宋体"/>
              </w:rPr>
            </w:pPr>
          </w:p>
        </w:tc>
        <w:tc>
          <w:tcPr>
            <w:tcW w:w="0" w:type="auto"/>
            <w:shd w:val="clear" w:color="auto" w:fill="auto"/>
            <w:vAlign w:val="bottom"/>
          </w:tcPr>
          <w:p w14:paraId="71D49878" w14:textId="77777777" w:rsidR="006A3667" w:rsidRDefault="006A3667">
            <w:pPr>
              <w:rPr>
                <w:rFonts w:ascii="宋体"/>
                <w:vanish/>
              </w:rPr>
            </w:pPr>
          </w:p>
        </w:tc>
        <w:tc>
          <w:tcPr>
            <w:tcW w:w="0" w:type="auto"/>
            <w:shd w:val="clear" w:color="auto" w:fill="auto"/>
            <w:vAlign w:val="bottom"/>
          </w:tcPr>
          <w:p w14:paraId="71D4987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7A" w14:textId="77777777" w:rsidR="006A3667" w:rsidRDefault="00045F32">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7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7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7D" w14:textId="77777777" w:rsidR="006A3667" w:rsidRDefault="00045F32">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71D4987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7F" w14:textId="77777777" w:rsidR="006A3667" w:rsidRDefault="006A3667">
            <w:pPr>
              <w:rPr>
                <w:rFonts w:ascii="宋体"/>
              </w:rPr>
            </w:pPr>
          </w:p>
        </w:tc>
        <w:tc>
          <w:tcPr>
            <w:tcW w:w="0" w:type="auto"/>
            <w:shd w:val="clear" w:color="auto" w:fill="auto"/>
            <w:vAlign w:val="bottom"/>
          </w:tcPr>
          <w:p w14:paraId="71D49880" w14:textId="77777777" w:rsidR="006A3667" w:rsidRDefault="006A3667">
            <w:pPr>
              <w:rPr>
                <w:rFonts w:ascii="宋体"/>
                <w:vanish/>
              </w:rPr>
            </w:pPr>
          </w:p>
        </w:tc>
        <w:tc>
          <w:tcPr>
            <w:tcW w:w="0" w:type="auto"/>
            <w:shd w:val="clear" w:color="auto" w:fill="auto"/>
            <w:vAlign w:val="bottom"/>
          </w:tcPr>
          <w:p w14:paraId="71D49881"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8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8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8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8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8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87" w14:textId="77777777" w:rsidR="006A3667" w:rsidRDefault="006A3667">
            <w:pPr>
              <w:rPr>
                <w:rFonts w:ascii="宋体"/>
              </w:rPr>
            </w:pPr>
          </w:p>
        </w:tc>
        <w:tc>
          <w:tcPr>
            <w:tcW w:w="0" w:type="auto"/>
            <w:gridSpan w:val="3"/>
            <w:shd w:val="clear" w:color="auto" w:fill="auto"/>
            <w:vAlign w:val="bottom"/>
          </w:tcPr>
          <w:p w14:paraId="71D49888" w14:textId="77777777" w:rsidR="006A3667" w:rsidRDefault="006A3667">
            <w:pPr>
              <w:rPr>
                <w:rFonts w:ascii="宋体"/>
                <w:vanish/>
              </w:rPr>
            </w:pPr>
          </w:p>
        </w:tc>
        <w:tc>
          <w:tcPr>
            <w:tcW w:w="0" w:type="auto"/>
            <w:gridSpan w:val="3"/>
            <w:shd w:val="clear" w:color="auto" w:fill="auto"/>
            <w:vAlign w:val="bottom"/>
          </w:tcPr>
          <w:p w14:paraId="71D49889"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8A" w14:textId="77777777" w:rsidR="006A3667" w:rsidRDefault="00045F32">
            <w:pPr>
              <w:jc w:val="right"/>
              <w:textAlignment w:val="bottom"/>
            </w:pPr>
            <w:r>
              <w:rPr>
                <w:rFonts w:ascii="Arial" w:eastAsia="宋体" w:hAnsi="Arial" w:cs="Arial"/>
                <w:b/>
                <w:bCs/>
                <w:color w:val="000000"/>
                <w:sz w:val="14"/>
                <w:szCs w:val="14"/>
              </w:rPr>
              <w:t>313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8B"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88C"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88D" w14:textId="77777777" w:rsidR="006A3667" w:rsidRDefault="00045F32">
            <w:pPr>
              <w:jc w:val="right"/>
              <w:textAlignment w:val="bottom"/>
            </w:pPr>
            <w:r>
              <w:rPr>
                <w:rFonts w:ascii="Arial" w:eastAsia="宋体" w:hAnsi="Arial" w:cs="Arial"/>
                <w:color w:val="000000"/>
                <w:sz w:val="14"/>
                <w:szCs w:val="14"/>
              </w:rPr>
              <w:t>314 </w:t>
            </w:r>
          </w:p>
        </w:tc>
      </w:tr>
      <w:tr w:rsidR="006A3667" w14:paraId="71D498AC" w14:textId="77777777">
        <w:tc>
          <w:tcPr>
            <w:tcW w:w="0" w:type="auto"/>
            <w:gridSpan w:val="3"/>
            <w:shd w:val="clear" w:color="auto" w:fill="CCEEFF"/>
            <w:tcMar>
              <w:top w:w="40" w:type="dxa"/>
              <w:left w:w="20" w:type="dxa"/>
              <w:bottom w:w="40" w:type="dxa"/>
              <w:right w:w="20" w:type="dxa"/>
            </w:tcMar>
            <w:vAlign w:val="bottom"/>
          </w:tcPr>
          <w:p w14:paraId="71D4988F" w14:textId="77777777" w:rsidR="006A3667" w:rsidRDefault="00045F32">
            <w:pPr>
              <w:textAlignment w:val="bottom"/>
            </w:pPr>
            <w:r>
              <w:rPr>
                <w:rFonts w:ascii="Arial" w:eastAsia="宋体" w:hAnsi="Arial" w:cs="Arial"/>
                <w:color w:val="000000"/>
                <w:sz w:val="14"/>
                <w:szCs w:val="14"/>
              </w:rPr>
              <w:t xml:space="preserve">Software and processing fees </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71D49890" w14:textId="77777777" w:rsidR="006A3667" w:rsidRDefault="00045F32">
            <w:pPr>
              <w:jc w:val="right"/>
              <w:textAlignment w:val="bottom"/>
            </w:pPr>
            <w:r>
              <w:rPr>
                <w:rFonts w:ascii="Arial" w:eastAsia="宋体" w:hAnsi="Arial" w:cs="Arial"/>
                <w:b/>
                <w:bCs/>
                <w:color w:val="000000"/>
                <w:sz w:val="14"/>
                <w:szCs w:val="14"/>
              </w:rPr>
              <w:t>573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9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9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893" w14:textId="77777777" w:rsidR="006A3667" w:rsidRDefault="00045F32">
            <w:pPr>
              <w:jc w:val="right"/>
              <w:textAlignment w:val="bottom"/>
            </w:pPr>
            <w:r>
              <w:rPr>
                <w:rFonts w:ascii="Arial" w:eastAsia="宋体" w:hAnsi="Arial" w:cs="Arial"/>
                <w:color w:val="000000"/>
                <w:sz w:val="14"/>
                <w:szCs w:val="14"/>
              </w:rPr>
              <w:t>551 </w:t>
            </w:r>
          </w:p>
        </w:tc>
        <w:tc>
          <w:tcPr>
            <w:tcW w:w="0" w:type="auto"/>
            <w:shd w:val="clear" w:color="auto" w:fill="CCEEFF"/>
            <w:tcMar>
              <w:top w:w="40" w:type="dxa"/>
              <w:left w:w="0" w:type="dxa"/>
              <w:bottom w:w="40" w:type="dxa"/>
              <w:right w:w="20" w:type="dxa"/>
            </w:tcMar>
            <w:vAlign w:val="bottom"/>
          </w:tcPr>
          <w:p w14:paraId="71D4989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95" w14:textId="77777777" w:rsidR="006A3667" w:rsidRDefault="006A3667">
            <w:pPr>
              <w:rPr>
                <w:rFonts w:ascii="宋体"/>
              </w:rPr>
            </w:pPr>
          </w:p>
        </w:tc>
        <w:tc>
          <w:tcPr>
            <w:tcW w:w="0" w:type="auto"/>
            <w:shd w:val="clear" w:color="auto" w:fill="auto"/>
            <w:vAlign w:val="bottom"/>
          </w:tcPr>
          <w:p w14:paraId="71D49896" w14:textId="77777777" w:rsidR="006A3667" w:rsidRDefault="006A3667">
            <w:pPr>
              <w:rPr>
                <w:rFonts w:ascii="宋体"/>
                <w:vanish/>
              </w:rPr>
            </w:pPr>
          </w:p>
        </w:tc>
        <w:tc>
          <w:tcPr>
            <w:tcW w:w="0" w:type="auto"/>
            <w:shd w:val="clear" w:color="auto" w:fill="auto"/>
            <w:vAlign w:val="bottom"/>
          </w:tcPr>
          <w:p w14:paraId="71D49897"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89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9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9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89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9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9D" w14:textId="77777777" w:rsidR="006A3667" w:rsidRDefault="006A3667">
            <w:pPr>
              <w:rPr>
                <w:rFonts w:ascii="宋体"/>
              </w:rPr>
            </w:pPr>
          </w:p>
        </w:tc>
        <w:tc>
          <w:tcPr>
            <w:tcW w:w="0" w:type="auto"/>
            <w:shd w:val="clear" w:color="auto" w:fill="auto"/>
            <w:vAlign w:val="bottom"/>
          </w:tcPr>
          <w:p w14:paraId="71D4989E" w14:textId="77777777" w:rsidR="006A3667" w:rsidRDefault="006A3667">
            <w:pPr>
              <w:rPr>
                <w:rFonts w:ascii="宋体"/>
                <w:vanish/>
              </w:rPr>
            </w:pPr>
          </w:p>
        </w:tc>
        <w:tc>
          <w:tcPr>
            <w:tcW w:w="0" w:type="auto"/>
            <w:shd w:val="clear" w:color="auto" w:fill="auto"/>
            <w:vAlign w:val="bottom"/>
          </w:tcPr>
          <w:p w14:paraId="71D4989F"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8A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A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A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8A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A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A5" w14:textId="77777777" w:rsidR="006A3667" w:rsidRDefault="006A3667">
            <w:pPr>
              <w:rPr>
                <w:rFonts w:ascii="宋体"/>
              </w:rPr>
            </w:pPr>
          </w:p>
        </w:tc>
        <w:tc>
          <w:tcPr>
            <w:tcW w:w="0" w:type="auto"/>
            <w:gridSpan w:val="3"/>
            <w:shd w:val="clear" w:color="auto" w:fill="auto"/>
            <w:vAlign w:val="bottom"/>
          </w:tcPr>
          <w:p w14:paraId="71D498A6" w14:textId="77777777" w:rsidR="006A3667" w:rsidRDefault="006A3667">
            <w:pPr>
              <w:rPr>
                <w:rFonts w:ascii="宋体"/>
                <w:vanish/>
              </w:rPr>
            </w:pPr>
          </w:p>
        </w:tc>
        <w:tc>
          <w:tcPr>
            <w:tcW w:w="0" w:type="auto"/>
            <w:gridSpan w:val="3"/>
            <w:shd w:val="clear" w:color="auto" w:fill="auto"/>
            <w:vAlign w:val="bottom"/>
          </w:tcPr>
          <w:p w14:paraId="71D498A7"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8A8" w14:textId="77777777" w:rsidR="006A3667" w:rsidRDefault="00045F32">
            <w:pPr>
              <w:jc w:val="right"/>
              <w:textAlignment w:val="bottom"/>
            </w:pPr>
            <w:r>
              <w:rPr>
                <w:rFonts w:ascii="Arial" w:eastAsia="宋体" w:hAnsi="Arial" w:cs="Arial"/>
                <w:b/>
                <w:bCs/>
                <w:color w:val="000000"/>
                <w:sz w:val="14"/>
                <w:szCs w:val="14"/>
              </w:rPr>
              <w:t>573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8A9"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8AA"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8AB" w14:textId="77777777" w:rsidR="006A3667" w:rsidRDefault="00045F32">
            <w:pPr>
              <w:jc w:val="right"/>
              <w:textAlignment w:val="bottom"/>
            </w:pPr>
            <w:r>
              <w:rPr>
                <w:rFonts w:ascii="Arial" w:eastAsia="宋体" w:hAnsi="Arial" w:cs="Arial"/>
                <w:color w:val="000000"/>
                <w:sz w:val="14"/>
                <w:szCs w:val="14"/>
              </w:rPr>
              <w:t>551 </w:t>
            </w:r>
          </w:p>
        </w:tc>
      </w:tr>
      <w:tr w:rsidR="006A3667" w14:paraId="71D498C9" w14:textId="77777777">
        <w:tc>
          <w:tcPr>
            <w:tcW w:w="0" w:type="auto"/>
            <w:gridSpan w:val="3"/>
            <w:shd w:val="clear" w:color="auto" w:fill="FFFFFF"/>
            <w:tcMar>
              <w:top w:w="40" w:type="dxa"/>
              <w:left w:w="20" w:type="dxa"/>
              <w:bottom w:w="40" w:type="dxa"/>
              <w:right w:w="20" w:type="dxa"/>
            </w:tcMar>
            <w:vAlign w:val="bottom"/>
          </w:tcPr>
          <w:p w14:paraId="71D498AD" w14:textId="77777777" w:rsidR="006A3667" w:rsidRDefault="00045F32">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71D498AE" w14:textId="77777777" w:rsidR="006A3667" w:rsidRDefault="00045F32">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A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B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B1" w14:textId="77777777" w:rsidR="006A3667" w:rsidRDefault="00045F32">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71D498B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B3" w14:textId="77777777" w:rsidR="006A3667" w:rsidRDefault="006A3667">
            <w:pPr>
              <w:rPr>
                <w:rFonts w:ascii="宋体"/>
              </w:rPr>
            </w:pPr>
          </w:p>
        </w:tc>
        <w:tc>
          <w:tcPr>
            <w:tcW w:w="0" w:type="auto"/>
            <w:shd w:val="clear" w:color="auto" w:fill="auto"/>
            <w:vAlign w:val="bottom"/>
          </w:tcPr>
          <w:p w14:paraId="71D498B4" w14:textId="77777777" w:rsidR="006A3667" w:rsidRDefault="006A3667">
            <w:pPr>
              <w:rPr>
                <w:rFonts w:ascii="宋体"/>
                <w:vanish/>
              </w:rPr>
            </w:pPr>
          </w:p>
        </w:tc>
        <w:tc>
          <w:tcPr>
            <w:tcW w:w="0" w:type="auto"/>
            <w:shd w:val="clear" w:color="auto" w:fill="auto"/>
            <w:vAlign w:val="bottom"/>
          </w:tcPr>
          <w:p w14:paraId="71D498B5"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B6" w14:textId="77777777" w:rsidR="006A3667" w:rsidRDefault="00045F32">
            <w:pPr>
              <w:jc w:val="right"/>
              <w:textAlignment w:val="bottom"/>
            </w:pPr>
            <w:r>
              <w:rPr>
                <w:rFonts w:ascii="Arial" w:eastAsia="宋体" w:hAnsi="Arial" w:cs="Arial"/>
                <w:b/>
                <w:bCs/>
                <w:color w:val="000000"/>
                <w:sz w:val="14"/>
                <w:szCs w:val="14"/>
              </w:rPr>
              <w:t>(65)</w:t>
            </w:r>
          </w:p>
        </w:tc>
        <w:tc>
          <w:tcPr>
            <w:tcW w:w="0" w:type="auto"/>
            <w:shd w:val="clear" w:color="auto" w:fill="FFFFFF"/>
            <w:tcMar>
              <w:top w:w="40" w:type="dxa"/>
              <w:left w:w="0" w:type="dxa"/>
              <w:bottom w:w="40" w:type="dxa"/>
              <w:right w:w="20" w:type="dxa"/>
            </w:tcMar>
            <w:vAlign w:val="bottom"/>
          </w:tcPr>
          <w:p w14:paraId="71D498B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B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B9"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1D498B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BB" w14:textId="77777777" w:rsidR="006A3667" w:rsidRDefault="006A3667">
            <w:pPr>
              <w:rPr>
                <w:rFonts w:ascii="宋体"/>
              </w:rPr>
            </w:pPr>
          </w:p>
        </w:tc>
        <w:tc>
          <w:tcPr>
            <w:tcW w:w="0" w:type="auto"/>
            <w:shd w:val="clear" w:color="auto" w:fill="auto"/>
            <w:vAlign w:val="bottom"/>
          </w:tcPr>
          <w:p w14:paraId="71D498BC" w14:textId="77777777" w:rsidR="006A3667" w:rsidRDefault="006A3667">
            <w:pPr>
              <w:rPr>
                <w:rFonts w:ascii="宋体"/>
                <w:vanish/>
              </w:rPr>
            </w:pPr>
          </w:p>
        </w:tc>
        <w:tc>
          <w:tcPr>
            <w:tcW w:w="0" w:type="auto"/>
            <w:shd w:val="clear" w:color="auto" w:fill="auto"/>
            <w:vAlign w:val="bottom"/>
          </w:tcPr>
          <w:p w14:paraId="71D498BD" w14:textId="77777777" w:rsidR="006A3667" w:rsidRDefault="006A3667">
            <w:pPr>
              <w:rPr>
                <w:rFonts w:ascii="宋体"/>
                <w:vanish/>
              </w:rPr>
            </w:pPr>
          </w:p>
        </w:tc>
        <w:tc>
          <w:tcPr>
            <w:tcW w:w="0" w:type="auto"/>
            <w:gridSpan w:val="3"/>
            <w:shd w:val="clear" w:color="auto" w:fill="FFFFFF"/>
            <w:tcMar>
              <w:top w:w="0" w:type="dxa"/>
              <w:left w:w="20" w:type="dxa"/>
              <w:bottom w:w="0" w:type="dxa"/>
              <w:right w:w="20" w:type="dxa"/>
            </w:tcMar>
            <w:vAlign w:val="bottom"/>
          </w:tcPr>
          <w:p w14:paraId="71D498BE"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8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C0" w14:textId="77777777" w:rsidR="006A3667" w:rsidRDefault="00045F32">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71D498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C2" w14:textId="77777777" w:rsidR="006A3667" w:rsidRDefault="006A3667">
            <w:pPr>
              <w:rPr>
                <w:rFonts w:ascii="宋体"/>
              </w:rPr>
            </w:pPr>
          </w:p>
        </w:tc>
        <w:tc>
          <w:tcPr>
            <w:tcW w:w="0" w:type="auto"/>
            <w:gridSpan w:val="3"/>
            <w:shd w:val="clear" w:color="auto" w:fill="auto"/>
            <w:vAlign w:val="bottom"/>
          </w:tcPr>
          <w:p w14:paraId="71D498C3" w14:textId="77777777" w:rsidR="006A3667" w:rsidRDefault="006A3667">
            <w:pPr>
              <w:rPr>
                <w:rFonts w:ascii="宋体"/>
                <w:vanish/>
              </w:rPr>
            </w:pPr>
          </w:p>
        </w:tc>
        <w:tc>
          <w:tcPr>
            <w:tcW w:w="0" w:type="auto"/>
            <w:gridSpan w:val="3"/>
            <w:shd w:val="clear" w:color="auto" w:fill="auto"/>
            <w:vAlign w:val="bottom"/>
          </w:tcPr>
          <w:p w14:paraId="71D498C4"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C5" w14:textId="77777777" w:rsidR="006A3667" w:rsidRDefault="00045F32">
            <w:pPr>
              <w:jc w:val="right"/>
              <w:textAlignment w:val="bottom"/>
            </w:pPr>
            <w:r>
              <w:rPr>
                <w:rFonts w:ascii="Arial" w:eastAsia="宋体" w:hAnsi="Arial" w:cs="Arial"/>
                <w:b/>
                <w:bCs/>
                <w:color w:val="000000"/>
                <w:sz w:val="14"/>
                <w:szCs w:val="14"/>
              </w:rPr>
              <w:t>(19)</w:t>
            </w:r>
          </w:p>
        </w:tc>
        <w:tc>
          <w:tcPr>
            <w:tcW w:w="0" w:type="auto"/>
            <w:shd w:val="clear" w:color="auto" w:fill="FFFFFF"/>
            <w:tcMar>
              <w:top w:w="40" w:type="dxa"/>
              <w:left w:w="0" w:type="dxa"/>
              <w:bottom w:w="40" w:type="dxa"/>
              <w:right w:w="20" w:type="dxa"/>
            </w:tcMar>
            <w:vAlign w:val="bottom"/>
          </w:tcPr>
          <w:p w14:paraId="71D498C6"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8C7"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8C8" w14:textId="77777777" w:rsidR="006A3667" w:rsidRDefault="00045F32">
            <w:pPr>
              <w:jc w:val="right"/>
              <w:textAlignment w:val="bottom"/>
            </w:pPr>
            <w:r>
              <w:rPr>
                <w:rFonts w:ascii="Arial" w:eastAsia="宋体" w:hAnsi="Arial" w:cs="Arial"/>
                <w:color w:val="000000"/>
                <w:sz w:val="14"/>
                <w:szCs w:val="14"/>
              </w:rPr>
              <w:t>48 </w:t>
            </w:r>
          </w:p>
        </w:tc>
      </w:tr>
      <w:tr w:rsidR="006A3667" w14:paraId="71D498E7" w14:textId="77777777">
        <w:tc>
          <w:tcPr>
            <w:tcW w:w="0" w:type="auto"/>
            <w:gridSpan w:val="3"/>
            <w:shd w:val="clear" w:color="auto" w:fill="CCEEFF"/>
            <w:tcMar>
              <w:top w:w="40" w:type="dxa"/>
              <w:left w:w="20" w:type="dxa"/>
              <w:bottom w:w="40" w:type="dxa"/>
              <w:right w:w="20" w:type="dxa"/>
            </w:tcMar>
            <w:vAlign w:val="bottom"/>
          </w:tcPr>
          <w:p w14:paraId="71D498CA" w14:textId="77777777" w:rsidR="006A3667" w:rsidRDefault="00045F32">
            <w:pPr>
              <w:textAlignment w:val="bottom"/>
            </w:pPr>
            <w:r>
              <w:rPr>
                <w:rFonts w:ascii="Arial" w:eastAsia="宋体" w:hAnsi="Arial" w:cs="Arial"/>
                <w:color w:val="000000"/>
                <w:sz w:val="14"/>
                <w:szCs w:val="14"/>
              </w:rPr>
              <w:t>Total fee r</w:t>
            </w:r>
            <w:r>
              <w:rPr>
                <w:rFonts w:ascii="Arial" w:eastAsia="宋体" w:hAnsi="Arial" w:cs="Arial"/>
                <w:color w:val="000000"/>
                <w:sz w:val="14"/>
                <w:szCs w:val="14"/>
              </w:rPr>
              <w:t>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8CB" w14:textId="77777777" w:rsidR="006A3667" w:rsidRDefault="00045F32">
            <w:pPr>
              <w:jc w:val="right"/>
              <w:textAlignment w:val="bottom"/>
            </w:pPr>
            <w:r>
              <w:rPr>
                <w:rFonts w:ascii="Arial" w:eastAsia="宋体" w:hAnsi="Arial" w:cs="Arial"/>
                <w:b/>
                <w:bCs/>
                <w:color w:val="000000"/>
                <w:sz w:val="14"/>
                <w:szCs w:val="14"/>
              </w:rPr>
              <w:t>5,751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C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C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8CE" w14:textId="77777777" w:rsidR="006A3667" w:rsidRDefault="00045F32">
            <w:pPr>
              <w:jc w:val="right"/>
              <w:textAlignment w:val="bottom"/>
            </w:pPr>
            <w:r>
              <w:rPr>
                <w:rFonts w:ascii="Arial" w:eastAsia="宋体" w:hAnsi="Arial" w:cs="Arial"/>
                <w:color w:val="000000"/>
                <w:sz w:val="14"/>
                <w:szCs w:val="14"/>
              </w:rPr>
              <w:t>5,923 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C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D0" w14:textId="77777777" w:rsidR="006A3667" w:rsidRDefault="006A3667">
            <w:pPr>
              <w:rPr>
                <w:rFonts w:ascii="宋体"/>
              </w:rPr>
            </w:pPr>
          </w:p>
        </w:tc>
        <w:tc>
          <w:tcPr>
            <w:tcW w:w="0" w:type="auto"/>
            <w:shd w:val="clear" w:color="auto" w:fill="auto"/>
            <w:vAlign w:val="bottom"/>
          </w:tcPr>
          <w:p w14:paraId="71D498D1" w14:textId="77777777" w:rsidR="006A3667" w:rsidRDefault="006A3667">
            <w:pPr>
              <w:rPr>
                <w:rFonts w:ascii="宋体"/>
                <w:vanish/>
              </w:rPr>
            </w:pPr>
          </w:p>
        </w:tc>
        <w:tc>
          <w:tcPr>
            <w:tcW w:w="0" w:type="auto"/>
            <w:shd w:val="clear" w:color="auto" w:fill="auto"/>
            <w:vAlign w:val="bottom"/>
          </w:tcPr>
          <w:p w14:paraId="71D498D2"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8D3" w14:textId="77777777" w:rsidR="006A3667" w:rsidRDefault="00045F32">
            <w:pPr>
              <w:jc w:val="right"/>
              <w:textAlignment w:val="bottom"/>
            </w:pPr>
            <w:r>
              <w:rPr>
                <w:rFonts w:ascii="Arial" w:eastAsia="宋体" w:hAnsi="Arial" w:cs="Arial"/>
                <w:b/>
                <w:bCs/>
                <w:color w:val="000000"/>
                <w:sz w:val="14"/>
                <w:szCs w:val="14"/>
              </w:rPr>
              <w:t>1,491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D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D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8D6" w14:textId="77777777" w:rsidR="006A3667" w:rsidRDefault="00045F32">
            <w:pPr>
              <w:jc w:val="right"/>
              <w:textAlignment w:val="bottom"/>
            </w:pPr>
            <w:r>
              <w:rPr>
                <w:rFonts w:ascii="Arial" w:eastAsia="宋体" w:hAnsi="Arial" w:cs="Arial"/>
                <w:color w:val="000000"/>
                <w:sz w:val="14"/>
                <w:szCs w:val="14"/>
              </w:rPr>
              <w:t>1,578 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D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D8" w14:textId="77777777" w:rsidR="006A3667" w:rsidRDefault="006A3667">
            <w:pPr>
              <w:rPr>
                <w:rFonts w:ascii="宋体"/>
              </w:rPr>
            </w:pPr>
          </w:p>
        </w:tc>
        <w:tc>
          <w:tcPr>
            <w:tcW w:w="0" w:type="auto"/>
            <w:shd w:val="clear" w:color="auto" w:fill="auto"/>
            <w:vAlign w:val="bottom"/>
          </w:tcPr>
          <w:p w14:paraId="71D498D9" w14:textId="77777777" w:rsidR="006A3667" w:rsidRDefault="006A3667">
            <w:pPr>
              <w:rPr>
                <w:rFonts w:ascii="宋体"/>
                <w:vanish/>
              </w:rPr>
            </w:pPr>
          </w:p>
        </w:tc>
        <w:tc>
          <w:tcPr>
            <w:tcW w:w="0" w:type="auto"/>
            <w:shd w:val="clear" w:color="auto" w:fill="auto"/>
            <w:vAlign w:val="bottom"/>
          </w:tcPr>
          <w:p w14:paraId="71D498DA"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8DB"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D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DD"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8DE"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D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8E0" w14:textId="77777777" w:rsidR="006A3667" w:rsidRDefault="006A3667">
            <w:pPr>
              <w:rPr>
                <w:rFonts w:ascii="宋体"/>
              </w:rPr>
            </w:pPr>
          </w:p>
        </w:tc>
        <w:tc>
          <w:tcPr>
            <w:tcW w:w="0" w:type="auto"/>
            <w:gridSpan w:val="3"/>
            <w:shd w:val="clear" w:color="auto" w:fill="auto"/>
            <w:vAlign w:val="bottom"/>
          </w:tcPr>
          <w:p w14:paraId="71D498E1" w14:textId="77777777" w:rsidR="006A3667" w:rsidRDefault="006A3667">
            <w:pPr>
              <w:rPr>
                <w:rFonts w:ascii="宋体"/>
                <w:vanish/>
              </w:rPr>
            </w:pPr>
          </w:p>
        </w:tc>
        <w:tc>
          <w:tcPr>
            <w:tcW w:w="0" w:type="auto"/>
            <w:gridSpan w:val="3"/>
            <w:shd w:val="clear" w:color="auto" w:fill="auto"/>
            <w:vAlign w:val="bottom"/>
          </w:tcPr>
          <w:p w14:paraId="71D498E2"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8E3" w14:textId="77777777" w:rsidR="006A3667" w:rsidRDefault="00045F32">
            <w:pPr>
              <w:jc w:val="right"/>
              <w:textAlignment w:val="bottom"/>
            </w:pPr>
            <w:r>
              <w:rPr>
                <w:rFonts w:ascii="Arial" w:eastAsia="宋体" w:hAnsi="Arial" w:cs="Arial"/>
                <w:b/>
                <w:bCs/>
                <w:color w:val="000000"/>
                <w:sz w:val="14"/>
                <w:szCs w:val="14"/>
              </w:rPr>
              <w:t>7,242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8E4"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8E5"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8E6" w14:textId="77777777" w:rsidR="006A3667" w:rsidRDefault="00045F32">
            <w:pPr>
              <w:jc w:val="right"/>
              <w:textAlignment w:val="bottom"/>
            </w:pPr>
            <w:r>
              <w:rPr>
                <w:rFonts w:ascii="Arial" w:eastAsia="宋体" w:hAnsi="Arial" w:cs="Arial"/>
                <w:color w:val="000000"/>
                <w:sz w:val="14"/>
                <w:szCs w:val="14"/>
              </w:rPr>
              <w:t>7,501 </w:t>
            </w:r>
          </w:p>
        </w:tc>
      </w:tr>
      <w:tr w:rsidR="006A3667" w14:paraId="71D49905" w14:textId="77777777">
        <w:tc>
          <w:tcPr>
            <w:tcW w:w="0" w:type="auto"/>
            <w:gridSpan w:val="3"/>
            <w:shd w:val="clear" w:color="auto" w:fill="FFFFFF"/>
            <w:tcMar>
              <w:top w:w="40" w:type="dxa"/>
              <w:left w:w="20" w:type="dxa"/>
              <w:bottom w:w="40" w:type="dxa"/>
              <w:right w:w="20" w:type="dxa"/>
            </w:tcMar>
            <w:vAlign w:val="bottom"/>
          </w:tcPr>
          <w:p w14:paraId="71D498E8" w14:textId="77777777" w:rsidR="006A3667" w:rsidRDefault="00045F32">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71D498E9" w14:textId="77777777" w:rsidR="006A3667" w:rsidRDefault="00045F32">
            <w:pPr>
              <w:jc w:val="right"/>
              <w:textAlignment w:val="bottom"/>
            </w:pPr>
            <w:r>
              <w:rPr>
                <w:rFonts w:ascii="Arial" w:eastAsia="宋体" w:hAnsi="Arial" w:cs="Arial"/>
                <w:b/>
                <w:bCs/>
                <w:color w:val="000000"/>
                <w:sz w:val="14"/>
                <w:szCs w:val="14"/>
              </w:rPr>
              <w:t>1,760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E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E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EC" w14:textId="77777777" w:rsidR="006A3667" w:rsidRDefault="00045F32">
            <w:pPr>
              <w:jc w:val="right"/>
              <w:textAlignment w:val="bottom"/>
            </w:pPr>
            <w:r>
              <w:rPr>
                <w:rFonts w:ascii="Arial" w:eastAsia="宋体" w:hAnsi="Arial" w:cs="Arial"/>
                <w:color w:val="000000"/>
                <w:sz w:val="14"/>
                <w:szCs w:val="14"/>
              </w:rPr>
              <w:t>1,432 </w:t>
            </w:r>
          </w:p>
        </w:tc>
        <w:tc>
          <w:tcPr>
            <w:tcW w:w="0" w:type="auto"/>
            <w:shd w:val="clear" w:color="auto" w:fill="FFFFFF"/>
            <w:tcMar>
              <w:top w:w="40" w:type="dxa"/>
              <w:left w:w="0" w:type="dxa"/>
              <w:bottom w:w="40" w:type="dxa"/>
              <w:right w:w="20" w:type="dxa"/>
            </w:tcMar>
            <w:vAlign w:val="bottom"/>
          </w:tcPr>
          <w:p w14:paraId="71D498E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EE" w14:textId="77777777" w:rsidR="006A3667" w:rsidRDefault="006A3667">
            <w:pPr>
              <w:rPr>
                <w:rFonts w:ascii="宋体"/>
              </w:rPr>
            </w:pPr>
          </w:p>
        </w:tc>
        <w:tc>
          <w:tcPr>
            <w:tcW w:w="0" w:type="auto"/>
            <w:shd w:val="clear" w:color="auto" w:fill="auto"/>
            <w:vAlign w:val="bottom"/>
          </w:tcPr>
          <w:p w14:paraId="71D498EF" w14:textId="77777777" w:rsidR="006A3667" w:rsidRDefault="006A3667">
            <w:pPr>
              <w:rPr>
                <w:rFonts w:ascii="宋体"/>
                <w:vanish/>
              </w:rPr>
            </w:pPr>
          </w:p>
        </w:tc>
        <w:tc>
          <w:tcPr>
            <w:tcW w:w="0" w:type="auto"/>
            <w:shd w:val="clear" w:color="auto" w:fill="auto"/>
            <w:vAlign w:val="bottom"/>
          </w:tcPr>
          <w:p w14:paraId="71D498F0"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F1" w14:textId="77777777" w:rsidR="006A3667" w:rsidRDefault="00045F32">
            <w:pPr>
              <w:jc w:val="right"/>
              <w:textAlignment w:val="bottom"/>
            </w:pPr>
            <w:r>
              <w:rPr>
                <w:rFonts w:ascii="Arial" w:eastAsia="宋体" w:hAnsi="Arial" w:cs="Arial"/>
                <w:b/>
                <w:bCs/>
                <w:color w:val="000000"/>
                <w:sz w:val="14"/>
                <w:szCs w:val="14"/>
              </w:rPr>
              <w:t>(7)</w:t>
            </w:r>
          </w:p>
        </w:tc>
        <w:tc>
          <w:tcPr>
            <w:tcW w:w="0" w:type="auto"/>
            <w:shd w:val="clear" w:color="auto" w:fill="FFFFFF"/>
            <w:tcMar>
              <w:top w:w="40" w:type="dxa"/>
              <w:left w:w="0" w:type="dxa"/>
              <w:bottom w:w="40" w:type="dxa"/>
              <w:right w:w="20" w:type="dxa"/>
            </w:tcMar>
            <w:vAlign w:val="bottom"/>
          </w:tcPr>
          <w:p w14:paraId="71D498F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F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F4"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71D498F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F6" w14:textId="77777777" w:rsidR="006A3667" w:rsidRDefault="006A3667">
            <w:pPr>
              <w:rPr>
                <w:rFonts w:ascii="宋体"/>
              </w:rPr>
            </w:pPr>
          </w:p>
        </w:tc>
        <w:tc>
          <w:tcPr>
            <w:tcW w:w="0" w:type="auto"/>
            <w:shd w:val="clear" w:color="auto" w:fill="auto"/>
            <w:vAlign w:val="bottom"/>
          </w:tcPr>
          <w:p w14:paraId="71D498F7" w14:textId="77777777" w:rsidR="006A3667" w:rsidRDefault="006A3667">
            <w:pPr>
              <w:rPr>
                <w:rFonts w:ascii="宋体"/>
                <w:vanish/>
              </w:rPr>
            </w:pPr>
          </w:p>
        </w:tc>
        <w:tc>
          <w:tcPr>
            <w:tcW w:w="0" w:type="auto"/>
            <w:shd w:val="clear" w:color="auto" w:fill="auto"/>
            <w:vAlign w:val="bottom"/>
          </w:tcPr>
          <w:p w14:paraId="71D498F8"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8F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F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F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8F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8F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8FE" w14:textId="77777777" w:rsidR="006A3667" w:rsidRDefault="006A3667">
            <w:pPr>
              <w:rPr>
                <w:rFonts w:ascii="宋体"/>
              </w:rPr>
            </w:pPr>
          </w:p>
        </w:tc>
        <w:tc>
          <w:tcPr>
            <w:tcW w:w="0" w:type="auto"/>
            <w:gridSpan w:val="3"/>
            <w:shd w:val="clear" w:color="auto" w:fill="auto"/>
            <w:vAlign w:val="bottom"/>
          </w:tcPr>
          <w:p w14:paraId="71D498FF" w14:textId="77777777" w:rsidR="006A3667" w:rsidRDefault="006A3667">
            <w:pPr>
              <w:rPr>
                <w:rFonts w:ascii="宋体"/>
                <w:vanish/>
              </w:rPr>
            </w:pPr>
          </w:p>
        </w:tc>
        <w:tc>
          <w:tcPr>
            <w:tcW w:w="0" w:type="auto"/>
            <w:gridSpan w:val="3"/>
            <w:shd w:val="clear" w:color="auto" w:fill="auto"/>
            <w:vAlign w:val="bottom"/>
          </w:tcPr>
          <w:p w14:paraId="71D49900"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901" w14:textId="77777777" w:rsidR="006A3667" w:rsidRDefault="00045F32">
            <w:pPr>
              <w:jc w:val="right"/>
              <w:textAlignment w:val="bottom"/>
            </w:pPr>
            <w:r>
              <w:rPr>
                <w:rFonts w:ascii="Arial" w:eastAsia="宋体" w:hAnsi="Arial" w:cs="Arial"/>
                <w:b/>
                <w:bCs/>
                <w:color w:val="000000"/>
                <w:sz w:val="14"/>
                <w:szCs w:val="14"/>
              </w:rPr>
              <w:t>1,753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902"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903"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904" w14:textId="77777777" w:rsidR="006A3667" w:rsidRDefault="00045F32">
            <w:pPr>
              <w:jc w:val="right"/>
              <w:textAlignment w:val="bottom"/>
            </w:pPr>
            <w:r>
              <w:rPr>
                <w:rFonts w:ascii="Arial" w:eastAsia="宋体" w:hAnsi="Arial" w:cs="Arial"/>
                <w:color w:val="000000"/>
                <w:sz w:val="14"/>
                <w:szCs w:val="14"/>
              </w:rPr>
              <w:t>1,421 </w:t>
            </w:r>
          </w:p>
        </w:tc>
      </w:tr>
      <w:tr w:rsidR="006A3667" w14:paraId="71D49923" w14:textId="77777777">
        <w:tc>
          <w:tcPr>
            <w:tcW w:w="0" w:type="auto"/>
            <w:gridSpan w:val="3"/>
            <w:shd w:val="clear" w:color="auto" w:fill="CCEEFF"/>
            <w:tcMar>
              <w:top w:w="40" w:type="dxa"/>
              <w:left w:w="20" w:type="dxa"/>
              <w:bottom w:w="40" w:type="dxa"/>
              <w:right w:w="20" w:type="dxa"/>
            </w:tcMar>
            <w:vAlign w:val="bottom"/>
          </w:tcPr>
          <w:p w14:paraId="71D49906" w14:textId="77777777" w:rsidR="006A3667" w:rsidRDefault="00045F32">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71D49907"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1D4990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0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90A"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990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0C" w14:textId="77777777" w:rsidR="006A3667" w:rsidRDefault="006A3667">
            <w:pPr>
              <w:rPr>
                <w:rFonts w:ascii="宋体"/>
              </w:rPr>
            </w:pPr>
          </w:p>
        </w:tc>
        <w:tc>
          <w:tcPr>
            <w:tcW w:w="0" w:type="auto"/>
            <w:shd w:val="clear" w:color="auto" w:fill="auto"/>
            <w:vAlign w:val="bottom"/>
          </w:tcPr>
          <w:p w14:paraId="71D4990D" w14:textId="77777777" w:rsidR="006A3667" w:rsidRDefault="006A3667">
            <w:pPr>
              <w:rPr>
                <w:rFonts w:ascii="宋体"/>
                <w:vanish/>
              </w:rPr>
            </w:pPr>
          </w:p>
        </w:tc>
        <w:tc>
          <w:tcPr>
            <w:tcW w:w="0" w:type="auto"/>
            <w:shd w:val="clear" w:color="auto" w:fill="auto"/>
            <w:vAlign w:val="bottom"/>
          </w:tcPr>
          <w:p w14:paraId="71D4990E"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90F"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1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11"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912"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1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14" w14:textId="77777777" w:rsidR="006A3667" w:rsidRDefault="006A3667">
            <w:pPr>
              <w:rPr>
                <w:rFonts w:ascii="宋体"/>
              </w:rPr>
            </w:pPr>
          </w:p>
        </w:tc>
        <w:tc>
          <w:tcPr>
            <w:tcW w:w="0" w:type="auto"/>
            <w:shd w:val="clear" w:color="auto" w:fill="auto"/>
            <w:vAlign w:val="bottom"/>
          </w:tcPr>
          <w:p w14:paraId="71D49915" w14:textId="77777777" w:rsidR="006A3667" w:rsidRDefault="006A3667">
            <w:pPr>
              <w:rPr>
                <w:rFonts w:ascii="宋体"/>
                <w:vanish/>
              </w:rPr>
            </w:pPr>
          </w:p>
        </w:tc>
        <w:tc>
          <w:tcPr>
            <w:tcW w:w="0" w:type="auto"/>
            <w:shd w:val="clear" w:color="auto" w:fill="auto"/>
            <w:vAlign w:val="bottom"/>
          </w:tcPr>
          <w:p w14:paraId="71D49916"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91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1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1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91A" w14:textId="77777777" w:rsidR="006A3667" w:rsidRDefault="00045F32">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71D4991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1C" w14:textId="77777777" w:rsidR="006A3667" w:rsidRDefault="006A3667">
            <w:pPr>
              <w:rPr>
                <w:rFonts w:ascii="宋体"/>
              </w:rPr>
            </w:pPr>
          </w:p>
        </w:tc>
        <w:tc>
          <w:tcPr>
            <w:tcW w:w="0" w:type="auto"/>
            <w:gridSpan w:val="3"/>
            <w:shd w:val="clear" w:color="auto" w:fill="auto"/>
            <w:vAlign w:val="bottom"/>
          </w:tcPr>
          <w:p w14:paraId="71D4991D" w14:textId="77777777" w:rsidR="006A3667" w:rsidRDefault="006A3667">
            <w:pPr>
              <w:rPr>
                <w:rFonts w:ascii="宋体"/>
                <w:vanish/>
              </w:rPr>
            </w:pPr>
          </w:p>
        </w:tc>
        <w:tc>
          <w:tcPr>
            <w:tcW w:w="0" w:type="auto"/>
            <w:gridSpan w:val="3"/>
            <w:shd w:val="clear" w:color="auto" w:fill="auto"/>
            <w:vAlign w:val="bottom"/>
          </w:tcPr>
          <w:p w14:paraId="71D4991E"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91F"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1D49920"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921"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922" w14:textId="77777777" w:rsidR="006A3667" w:rsidRDefault="00045F32">
            <w:pPr>
              <w:jc w:val="right"/>
              <w:textAlignment w:val="bottom"/>
            </w:pPr>
            <w:r>
              <w:rPr>
                <w:rFonts w:ascii="Arial" w:eastAsia="宋体" w:hAnsi="Arial" w:cs="Arial"/>
                <w:color w:val="000000"/>
                <w:sz w:val="14"/>
                <w:szCs w:val="14"/>
              </w:rPr>
              <w:t>52 </w:t>
            </w:r>
          </w:p>
        </w:tc>
      </w:tr>
      <w:tr w:rsidR="006A3667" w14:paraId="71D49941" w14:textId="77777777">
        <w:tc>
          <w:tcPr>
            <w:tcW w:w="0" w:type="auto"/>
            <w:gridSpan w:val="3"/>
            <w:shd w:val="clear" w:color="auto" w:fill="FFFFFF"/>
            <w:tcMar>
              <w:top w:w="40" w:type="dxa"/>
              <w:left w:w="20" w:type="dxa"/>
              <w:bottom w:w="40" w:type="dxa"/>
              <w:right w:w="20" w:type="dxa"/>
            </w:tcMar>
            <w:vAlign w:val="bottom"/>
          </w:tcPr>
          <w:p w14:paraId="71D49924" w14:textId="77777777" w:rsidR="006A3667" w:rsidRDefault="00045F32">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925" w14:textId="77777777" w:rsidR="006A3667" w:rsidRDefault="00045F32">
            <w:pPr>
              <w:jc w:val="right"/>
              <w:textAlignment w:val="bottom"/>
            </w:pPr>
            <w:r>
              <w:rPr>
                <w:rFonts w:ascii="Arial" w:eastAsia="宋体" w:hAnsi="Arial" w:cs="Arial"/>
                <w:b/>
                <w:bCs/>
                <w:color w:val="000000"/>
                <w:sz w:val="14"/>
                <w:szCs w:val="14"/>
              </w:rPr>
              <w:t>7,509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92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2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928" w14:textId="77777777" w:rsidR="006A3667" w:rsidRDefault="00045F32">
            <w:pPr>
              <w:jc w:val="right"/>
              <w:textAlignment w:val="bottom"/>
            </w:pPr>
            <w:r>
              <w:rPr>
                <w:rFonts w:ascii="Arial" w:eastAsia="宋体" w:hAnsi="Arial" w:cs="Arial"/>
                <w:color w:val="000000"/>
                <w:sz w:val="14"/>
                <w:szCs w:val="14"/>
              </w:rPr>
              <w:t>7,354 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92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2A" w14:textId="77777777" w:rsidR="006A3667" w:rsidRDefault="006A3667">
            <w:pPr>
              <w:rPr>
                <w:rFonts w:ascii="宋体"/>
              </w:rPr>
            </w:pPr>
          </w:p>
        </w:tc>
        <w:tc>
          <w:tcPr>
            <w:tcW w:w="0" w:type="auto"/>
            <w:shd w:val="clear" w:color="auto" w:fill="auto"/>
            <w:vAlign w:val="bottom"/>
          </w:tcPr>
          <w:p w14:paraId="71D4992B" w14:textId="77777777" w:rsidR="006A3667" w:rsidRDefault="006A3667">
            <w:pPr>
              <w:rPr>
                <w:rFonts w:ascii="宋体"/>
                <w:vanish/>
              </w:rPr>
            </w:pPr>
          </w:p>
        </w:tc>
        <w:tc>
          <w:tcPr>
            <w:tcW w:w="0" w:type="auto"/>
            <w:shd w:val="clear" w:color="auto" w:fill="auto"/>
            <w:vAlign w:val="bottom"/>
          </w:tcPr>
          <w:p w14:paraId="71D4992C"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92D" w14:textId="77777777" w:rsidR="006A3667" w:rsidRDefault="00045F32">
            <w:pPr>
              <w:jc w:val="right"/>
              <w:textAlignment w:val="bottom"/>
            </w:pPr>
            <w:r>
              <w:rPr>
                <w:rFonts w:ascii="Arial" w:eastAsia="宋体" w:hAnsi="Arial" w:cs="Arial"/>
                <w:b/>
                <w:bCs/>
                <w:color w:val="000000"/>
                <w:sz w:val="14"/>
                <w:szCs w:val="14"/>
              </w:rPr>
              <w:t>1,484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92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2F"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930" w14:textId="77777777" w:rsidR="006A3667" w:rsidRDefault="00045F32">
            <w:pPr>
              <w:jc w:val="right"/>
              <w:textAlignment w:val="bottom"/>
            </w:pPr>
            <w:r>
              <w:rPr>
                <w:rFonts w:ascii="Arial" w:eastAsia="宋体" w:hAnsi="Arial" w:cs="Arial"/>
                <w:color w:val="000000"/>
                <w:sz w:val="14"/>
                <w:szCs w:val="14"/>
              </w:rPr>
              <w:t>1,567 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93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32" w14:textId="77777777" w:rsidR="006A3667" w:rsidRDefault="006A3667">
            <w:pPr>
              <w:rPr>
                <w:rFonts w:ascii="宋体"/>
              </w:rPr>
            </w:pPr>
          </w:p>
        </w:tc>
        <w:tc>
          <w:tcPr>
            <w:tcW w:w="0" w:type="auto"/>
            <w:shd w:val="clear" w:color="auto" w:fill="auto"/>
            <w:vAlign w:val="bottom"/>
          </w:tcPr>
          <w:p w14:paraId="71D49933" w14:textId="77777777" w:rsidR="006A3667" w:rsidRDefault="006A3667">
            <w:pPr>
              <w:rPr>
                <w:rFonts w:ascii="宋体"/>
                <w:vanish/>
              </w:rPr>
            </w:pPr>
          </w:p>
        </w:tc>
        <w:tc>
          <w:tcPr>
            <w:tcW w:w="0" w:type="auto"/>
            <w:shd w:val="clear" w:color="auto" w:fill="auto"/>
            <w:vAlign w:val="bottom"/>
          </w:tcPr>
          <w:p w14:paraId="71D49934"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93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93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37" w14:textId="77777777" w:rsidR="006A3667" w:rsidRDefault="006A3667">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938" w14:textId="77777777" w:rsidR="006A3667" w:rsidRDefault="00045F32">
            <w:pPr>
              <w:jc w:val="right"/>
              <w:textAlignment w:val="bottom"/>
            </w:pPr>
            <w:r>
              <w:rPr>
                <w:rFonts w:ascii="Arial" w:eastAsia="宋体" w:hAnsi="Arial" w:cs="Arial"/>
                <w:color w:val="000000"/>
                <w:sz w:val="14"/>
                <w:szCs w:val="14"/>
              </w:rPr>
              <w:t>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93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3A" w14:textId="77777777" w:rsidR="006A3667" w:rsidRDefault="006A3667">
            <w:pPr>
              <w:rPr>
                <w:rFonts w:ascii="宋体"/>
              </w:rPr>
            </w:pPr>
          </w:p>
        </w:tc>
        <w:tc>
          <w:tcPr>
            <w:tcW w:w="0" w:type="auto"/>
            <w:gridSpan w:val="3"/>
            <w:shd w:val="clear" w:color="auto" w:fill="auto"/>
            <w:vAlign w:val="bottom"/>
          </w:tcPr>
          <w:p w14:paraId="71D4993B" w14:textId="77777777" w:rsidR="006A3667" w:rsidRDefault="006A3667">
            <w:pPr>
              <w:rPr>
                <w:rFonts w:ascii="宋体"/>
                <w:vanish/>
              </w:rPr>
            </w:pPr>
          </w:p>
        </w:tc>
        <w:tc>
          <w:tcPr>
            <w:tcW w:w="0" w:type="auto"/>
            <w:gridSpan w:val="3"/>
            <w:shd w:val="clear" w:color="auto" w:fill="auto"/>
            <w:vAlign w:val="bottom"/>
          </w:tcPr>
          <w:p w14:paraId="71D4993C" w14:textId="77777777" w:rsidR="006A3667" w:rsidRDefault="006A3667">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1D4993D" w14:textId="77777777" w:rsidR="006A3667" w:rsidRDefault="00045F32">
            <w:pPr>
              <w:jc w:val="right"/>
              <w:textAlignment w:val="bottom"/>
            </w:pPr>
            <w:r>
              <w:rPr>
                <w:rFonts w:ascii="Arial" w:eastAsia="宋体" w:hAnsi="Arial" w:cs="Arial"/>
                <w:b/>
                <w:bCs/>
                <w:color w:val="000000"/>
                <w:sz w:val="14"/>
                <w:szCs w:val="14"/>
              </w:rPr>
              <w:t>8,993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93E"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93F"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940" w14:textId="77777777" w:rsidR="006A3667" w:rsidRDefault="00045F32">
            <w:pPr>
              <w:jc w:val="right"/>
              <w:textAlignment w:val="bottom"/>
            </w:pPr>
            <w:r>
              <w:rPr>
                <w:rFonts w:ascii="Arial" w:eastAsia="宋体" w:hAnsi="Arial" w:cs="Arial"/>
                <w:color w:val="000000"/>
                <w:sz w:val="14"/>
                <w:szCs w:val="14"/>
              </w:rPr>
              <w:t>8,974 </w:t>
            </w:r>
          </w:p>
        </w:tc>
      </w:tr>
      <w:tr w:rsidR="006A3667" w14:paraId="71D4995F" w14:textId="77777777">
        <w:tc>
          <w:tcPr>
            <w:tcW w:w="0" w:type="auto"/>
            <w:gridSpan w:val="3"/>
            <w:shd w:val="clear" w:color="auto" w:fill="CCEEFF"/>
            <w:tcMar>
              <w:top w:w="40" w:type="dxa"/>
              <w:left w:w="20" w:type="dxa"/>
              <w:bottom w:w="40" w:type="dxa"/>
              <w:right w:w="20" w:type="dxa"/>
            </w:tcMar>
            <w:vAlign w:val="bottom"/>
          </w:tcPr>
          <w:p w14:paraId="71D49942" w14:textId="77777777" w:rsidR="006A3667" w:rsidRDefault="00045F32">
            <w:pPr>
              <w:textAlignment w:val="bottom"/>
            </w:pPr>
            <w:r>
              <w:rPr>
                <w:rFonts w:ascii="Arial" w:eastAsia="宋体" w:hAnsi="Arial" w:cs="Arial"/>
                <w:color w:val="000000"/>
                <w:sz w:val="14"/>
                <w:szCs w:val="14"/>
              </w:rPr>
              <w:t>Provision for credit losses</w:t>
            </w:r>
          </w:p>
        </w:tc>
        <w:tc>
          <w:tcPr>
            <w:tcW w:w="0" w:type="auto"/>
            <w:gridSpan w:val="2"/>
            <w:shd w:val="clear" w:color="auto" w:fill="CCEEFF"/>
            <w:tcMar>
              <w:top w:w="40" w:type="dxa"/>
              <w:left w:w="20" w:type="dxa"/>
              <w:bottom w:w="40" w:type="dxa"/>
              <w:right w:w="0" w:type="dxa"/>
            </w:tcMar>
            <w:vAlign w:val="bottom"/>
          </w:tcPr>
          <w:p w14:paraId="71D49943" w14:textId="77777777" w:rsidR="006A3667" w:rsidRDefault="00045F32">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4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4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946" w14:textId="77777777" w:rsidR="006A3667" w:rsidRDefault="00045F32">
            <w:pPr>
              <w:jc w:val="right"/>
              <w:textAlignment w:val="bottom"/>
            </w:pPr>
            <w:r>
              <w:rPr>
                <w:rFonts w:ascii="Arial" w:eastAsia="宋体" w:hAnsi="Arial" w:cs="Arial"/>
                <w:color w:val="000000"/>
                <w:sz w:val="14"/>
                <w:szCs w:val="14"/>
              </w:rPr>
              <w:t>(26)</w:t>
            </w:r>
          </w:p>
        </w:tc>
        <w:tc>
          <w:tcPr>
            <w:tcW w:w="0" w:type="auto"/>
            <w:shd w:val="clear" w:color="auto" w:fill="CCEEFF"/>
            <w:tcMar>
              <w:top w:w="40" w:type="dxa"/>
              <w:left w:w="0" w:type="dxa"/>
              <w:bottom w:w="40" w:type="dxa"/>
              <w:right w:w="20" w:type="dxa"/>
            </w:tcMar>
            <w:vAlign w:val="bottom"/>
          </w:tcPr>
          <w:p w14:paraId="71D4994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48" w14:textId="77777777" w:rsidR="006A3667" w:rsidRDefault="006A3667">
            <w:pPr>
              <w:rPr>
                <w:rFonts w:ascii="宋体"/>
              </w:rPr>
            </w:pPr>
          </w:p>
        </w:tc>
        <w:tc>
          <w:tcPr>
            <w:tcW w:w="0" w:type="auto"/>
            <w:shd w:val="clear" w:color="auto" w:fill="auto"/>
            <w:vAlign w:val="bottom"/>
          </w:tcPr>
          <w:p w14:paraId="71D49949" w14:textId="77777777" w:rsidR="006A3667" w:rsidRDefault="006A3667">
            <w:pPr>
              <w:rPr>
                <w:rFonts w:ascii="宋体"/>
                <w:vanish/>
              </w:rPr>
            </w:pPr>
          </w:p>
        </w:tc>
        <w:tc>
          <w:tcPr>
            <w:tcW w:w="0" w:type="auto"/>
            <w:shd w:val="clear" w:color="auto" w:fill="auto"/>
            <w:vAlign w:val="bottom"/>
          </w:tcPr>
          <w:p w14:paraId="71D4994A"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94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4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4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94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4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50" w14:textId="77777777" w:rsidR="006A3667" w:rsidRDefault="006A3667">
            <w:pPr>
              <w:rPr>
                <w:rFonts w:ascii="宋体"/>
              </w:rPr>
            </w:pPr>
          </w:p>
        </w:tc>
        <w:tc>
          <w:tcPr>
            <w:tcW w:w="0" w:type="auto"/>
            <w:shd w:val="clear" w:color="auto" w:fill="auto"/>
            <w:vAlign w:val="bottom"/>
          </w:tcPr>
          <w:p w14:paraId="71D49951" w14:textId="77777777" w:rsidR="006A3667" w:rsidRDefault="006A3667">
            <w:pPr>
              <w:rPr>
                <w:rFonts w:ascii="宋体"/>
                <w:vanish/>
              </w:rPr>
            </w:pPr>
          </w:p>
        </w:tc>
        <w:tc>
          <w:tcPr>
            <w:tcW w:w="0" w:type="auto"/>
            <w:shd w:val="clear" w:color="auto" w:fill="auto"/>
            <w:vAlign w:val="bottom"/>
          </w:tcPr>
          <w:p w14:paraId="71D49952"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95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5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5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95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5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58" w14:textId="77777777" w:rsidR="006A3667" w:rsidRDefault="006A3667">
            <w:pPr>
              <w:rPr>
                <w:rFonts w:ascii="宋体"/>
              </w:rPr>
            </w:pPr>
          </w:p>
        </w:tc>
        <w:tc>
          <w:tcPr>
            <w:tcW w:w="0" w:type="auto"/>
            <w:gridSpan w:val="3"/>
            <w:shd w:val="clear" w:color="auto" w:fill="auto"/>
            <w:vAlign w:val="bottom"/>
          </w:tcPr>
          <w:p w14:paraId="71D49959" w14:textId="77777777" w:rsidR="006A3667" w:rsidRDefault="006A3667">
            <w:pPr>
              <w:rPr>
                <w:rFonts w:ascii="宋体"/>
                <w:vanish/>
              </w:rPr>
            </w:pPr>
          </w:p>
        </w:tc>
        <w:tc>
          <w:tcPr>
            <w:tcW w:w="0" w:type="auto"/>
            <w:gridSpan w:val="3"/>
            <w:shd w:val="clear" w:color="auto" w:fill="auto"/>
            <w:vAlign w:val="bottom"/>
          </w:tcPr>
          <w:p w14:paraId="71D4995A" w14:textId="77777777" w:rsidR="006A3667" w:rsidRDefault="006A3667">
            <w:pPr>
              <w:rPr>
                <w:rFonts w:ascii="宋体"/>
                <w:vanish/>
              </w:rPr>
            </w:pPr>
          </w:p>
        </w:tc>
        <w:tc>
          <w:tcPr>
            <w:tcW w:w="0" w:type="auto"/>
            <w:gridSpan w:val="2"/>
            <w:shd w:val="clear" w:color="auto" w:fill="CCEEFF"/>
            <w:tcMar>
              <w:top w:w="40" w:type="dxa"/>
              <w:left w:w="20" w:type="dxa"/>
              <w:bottom w:w="40" w:type="dxa"/>
              <w:right w:w="0" w:type="dxa"/>
            </w:tcMar>
            <w:vAlign w:val="bottom"/>
          </w:tcPr>
          <w:p w14:paraId="71D4995B" w14:textId="77777777" w:rsidR="006A3667" w:rsidRDefault="00045F32">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95C"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95D" w14:textId="77777777" w:rsidR="006A3667" w:rsidRDefault="006A3667">
            <w:pPr>
              <w:rPr>
                <w:rFonts w:ascii="宋体"/>
              </w:rPr>
            </w:pPr>
          </w:p>
        </w:tc>
        <w:tc>
          <w:tcPr>
            <w:tcW w:w="0" w:type="auto"/>
            <w:shd w:val="clear" w:color="auto" w:fill="CCEEFF"/>
            <w:tcMar>
              <w:top w:w="40" w:type="dxa"/>
              <w:left w:w="20" w:type="dxa"/>
              <w:bottom w:w="40" w:type="dxa"/>
              <w:right w:w="0" w:type="dxa"/>
            </w:tcMar>
            <w:vAlign w:val="bottom"/>
          </w:tcPr>
          <w:p w14:paraId="71D4995E" w14:textId="77777777" w:rsidR="006A3667" w:rsidRDefault="00045F32">
            <w:pPr>
              <w:jc w:val="right"/>
              <w:textAlignment w:val="bottom"/>
            </w:pPr>
            <w:r>
              <w:rPr>
                <w:rFonts w:ascii="Arial" w:eastAsia="宋体" w:hAnsi="Arial" w:cs="Arial"/>
                <w:color w:val="000000"/>
                <w:sz w:val="14"/>
                <w:szCs w:val="14"/>
              </w:rPr>
              <w:t>(26)</w:t>
            </w:r>
          </w:p>
        </w:tc>
      </w:tr>
      <w:tr w:rsidR="006A3667" w14:paraId="71D49976" w14:textId="77777777">
        <w:trPr>
          <w:hidden/>
        </w:trPr>
        <w:tc>
          <w:tcPr>
            <w:tcW w:w="0" w:type="auto"/>
            <w:gridSpan w:val="3"/>
            <w:shd w:val="clear" w:color="auto" w:fill="auto"/>
            <w:vAlign w:val="bottom"/>
          </w:tcPr>
          <w:p w14:paraId="71D49960" w14:textId="77777777" w:rsidR="006A3667" w:rsidRDefault="006A3667">
            <w:pPr>
              <w:rPr>
                <w:rFonts w:ascii="宋体"/>
                <w:vanish/>
              </w:rPr>
            </w:pPr>
          </w:p>
        </w:tc>
        <w:tc>
          <w:tcPr>
            <w:tcW w:w="0" w:type="auto"/>
            <w:gridSpan w:val="3"/>
            <w:shd w:val="clear" w:color="auto" w:fill="auto"/>
            <w:vAlign w:val="bottom"/>
          </w:tcPr>
          <w:p w14:paraId="71D49961" w14:textId="77777777" w:rsidR="006A3667" w:rsidRDefault="006A3667">
            <w:pPr>
              <w:rPr>
                <w:rFonts w:ascii="宋体"/>
                <w:vanish/>
              </w:rPr>
            </w:pPr>
          </w:p>
        </w:tc>
        <w:tc>
          <w:tcPr>
            <w:tcW w:w="0" w:type="auto"/>
            <w:gridSpan w:val="3"/>
            <w:shd w:val="clear" w:color="auto" w:fill="auto"/>
            <w:vAlign w:val="bottom"/>
          </w:tcPr>
          <w:p w14:paraId="71D49962" w14:textId="77777777" w:rsidR="006A3667" w:rsidRDefault="006A3667">
            <w:pPr>
              <w:rPr>
                <w:rFonts w:ascii="宋体"/>
                <w:vanish/>
              </w:rPr>
            </w:pPr>
          </w:p>
        </w:tc>
        <w:tc>
          <w:tcPr>
            <w:tcW w:w="0" w:type="auto"/>
            <w:gridSpan w:val="3"/>
            <w:shd w:val="clear" w:color="auto" w:fill="auto"/>
            <w:vAlign w:val="bottom"/>
          </w:tcPr>
          <w:p w14:paraId="71D49963" w14:textId="77777777" w:rsidR="006A3667" w:rsidRDefault="006A3667">
            <w:pPr>
              <w:rPr>
                <w:rFonts w:ascii="宋体"/>
                <w:vanish/>
              </w:rPr>
            </w:pPr>
          </w:p>
        </w:tc>
        <w:tc>
          <w:tcPr>
            <w:tcW w:w="0" w:type="auto"/>
            <w:gridSpan w:val="3"/>
            <w:shd w:val="clear" w:color="auto" w:fill="auto"/>
            <w:vAlign w:val="bottom"/>
          </w:tcPr>
          <w:p w14:paraId="71D49964" w14:textId="77777777" w:rsidR="006A3667" w:rsidRDefault="006A3667">
            <w:pPr>
              <w:rPr>
                <w:rFonts w:ascii="宋体"/>
                <w:vanish/>
              </w:rPr>
            </w:pPr>
          </w:p>
        </w:tc>
        <w:tc>
          <w:tcPr>
            <w:tcW w:w="0" w:type="auto"/>
            <w:shd w:val="clear" w:color="auto" w:fill="auto"/>
            <w:vAlign w:val="bottom"/>
          </w:tcPr>
          <w:p w14:paraId="71D49965" w14:textId="77777777" w:rsidR="006A3667" w:rsidRDefault="006A3667">
            <w:pPr>
              <w:rPr>
                <w:rFonts w:ascii="宋体"/>
                <w:vanish/>
              </w:rPr>
            </w:pPr>
          </w:p>
        </w:tc>
        <w:tc>
          <w:tcPr>
            <w:tcW w:w="0" w:type="auto"/>
            <w:shd w:val="clear" w:color="auto" w:fill="auto"/>
            <w:vAlign w:val="bottom"/>
          </w:tcPr>
          <w:p w14:paraId="71D49966" w14:textId="77777777" w:rsidR="006A3667" w:rsidRDefault="006A3667">
            <w:pPr>
              <w:rPr>
                <w:rFonts w:ascii="宋体"/>
                <w:vanish/>
              </w:rPr>
            </w:pPr>
          </w:p>
        </w:tc>
        <w:tc>
          <w:tcPr>
            <w:tcW w:w="0" w:type="auto"/>
            <w:gridSpan w:val="3"/>
            <w:shd w:val="clear" w:color="auto" w:fill="auto"/>
            <w:vAlign w:val="bottom"/>
          </w:tcPr>
          <w:p w14:paraId="71D49967" w14:textId="77777777" w:rsidR="006A3667" w:rsidRDefault="006A3667">
            <w:pPr>
              <w:rPr>
                <w:rFonts w:ascii="宋体"/>
                <w:vanish/>
              </w:rPr>
            </w:pPr>
          </w:p>
        </w:tc>
        <w:tc>
          <w:tcPr>
            <w:tcW w:w="0" w:type="auto"/>
            <w:gridSpan w:val="3"/>
            <w:shd w:val="clear" w:color="auto" w:fill="auto"/>
            <w:vAlign w:val="bottom"/>
          </w:tcPr>
          <w:p w14:paraId="71D49968" w14:textId="77777777" w:rsidR="006A3667" w:rsidRDefault="006A3667">
            <w:pPr>
              <w:rPr>
                <w:rFonts w:ascii="宋体"/>
                <w:vanish/>
              </w:rPr>
            </w:pPr>
          </w:p>
        </w:tc>
        <w:tc>
          <w:tcPr>
            <w:tcW w:w="0" w:type="auto"/>
            <w:gridSpan w:val="3"/>
            <w:shd w:val="clear" w:color="auto" w:fill="auto"/>
            <w:vAlign w:val="bottom"/>
          </w:tcPr>
          <w:p w14:paraId="71D49969" w14:textId="77777777" w:rsidR="006A3667" w:rsidRDefault="006A3667">
            <w:pPr>
              <w:rPr>
                <w:rFonts w:ascii="宋体"/>
                <w:vanish/>
              </w:rPr>
            </w:pPr>
          </w:p>
        </w:tc>
        <w:tc>
          <w:tcPr>
            <w:tcW w:w="0" w:type="auto"/>
            <w:gridSpan w:val="3"/>
            <w:shd w:val="clear" w:color="auto" w:fill="auto"/>
            <w:vAlign w:val="bottom"/>
          </w:tcPr>
          <w:p w14:paraId="71D4996A" w14:textId="77777777" w:rsidR="006A3667" w:rsidRDefault="006A3667">
            <w:pPr>
              <w:rPr>
                <w:rFonts w:ascii="宋体"/>
                <w:vanish/>
              </w:rPr>
            </w:pPr>
          </w:p>
        </w:tc>
        <w:tc>
          <w:tcPr>
            <w:tcW w:w="0" w:type="auto"/>
            <w:shd w:val="clear" w:color="auto" w:fill="auto"/>
            <w:vAlign w:val="bottom"/>
          </w:tcPr>
          <w:p w14:paraId="71D4996B" w14:textId="77777777" w:rsidR="006A3667" w:rsidRDefault="006A3667">
            <w:pPr>
              <w:rPr>
                <w:rFonts w:ascii="宋体"/>
                <w:vanish/>
              </w:rPr>
            </w:pPr>
          </w:p>
        </w:tc>
        <w:tc>
          <w:tcPr>
            <w:tcW w:w="0" w:type="auto"/>
            <w:shd w:val="clear" w:color="auto" w:fill="auto"/>
            <w:vAlign w:val="bottom"/>
          </w:tcPr>
          <w:p w14:paraId="71D4996C" w14:textId="77777777" w:rsidR="006A3667" w:rsidRDefault="006A3667">
            <w:pPr>
              <w:rPr>
                <w:rFonts w:ascii="宋体"/>
                <w:vanish/>
              </w:rPr>
            </w:pPr>
          </w:p>
        </w:tc>
        <w:tc>
          <w:tcPr>
            <w:tcW w:w="0" w:type="auto"/>
            <w:gridSpan w:val="3"/>
            <w:shd w:val="clear" w:color="auto" w:fill="auto"/>
            <w:vAlign w:val="bottom"/>
          </w:tcPr>
          <w:p w14:paraId="71D4996D" w14:textId="77777777" w:rsidR="006A3667" w:rsidRDefault="006A3667">
            <w:pPr>
              <w:rPr>
                <w:rFonts w:ascii="宋体"/>
                <w:vanish/>
              </w:rPr>
            </w:pPr>
          </w:p>
        </w:tc>
        <w:tc>
          <w:tcPr>
            <w:tcW w:w="0" w:type="auto"/>
            <w:gridSpan w:val="3"/>
            <w:shd w:val="clear" w:color="auto" w:fill="auto"/>
            <w:vAlign w:val="bottom"/>
          </w:tcPr>
          <w:p w14:paraId="71D4996E" w14:textId="77777777" w:rsidR="006A3667" w:rsidRDefault="006A3667">
            <w:pPr>
              <w:rPr>
                <w:rFonts w:ascii="宋体"/>
                <w:vanish/>
              </w:rPr>
            </w:pPr>
          </w:p>
        </w:tc>
        <w:tc>
          <w:tcPr>
            <w:tcW w:w="0" w:type="auto"/>
            <w:gridSpan w:val="3"/>
            <w:shd w:val="clear" w:color="auto" w:fill="auto"/>
            <w:vAlign w:val="bottom"/>
          </w:tcPr>
          <w:p w14:paraId="71D4996F" w14:textId="77777777" w:rsidR="006A3667" w:rsidRDefault="006A3667">
            <w:pPr>
              <w:rPr>
                <w:rFonts w:ascii="宋体"/>
                <w:vanish/>
              </w:rPr>
            </w:pPr>
          </w:p>
        </w:tc>
        <w:tc>
          <w:tcPr>
            <w:tcW w:w="0" w:type="auto"/>
            <w:gridSpan w:val="3"/>
            <w:shd w:val="clear" w:color="auto" w:fill="auto"/>
            <w:vAlign w:val="bottom"/>
          </w:tcPr>
          <w:p w14:paraId="71D49970" w14:textId="77777777" w:rsidR="006A3667" w:rsidRDefault="006A3667">
            <w:pPr>
              <w:rPr>
                <w:rFonts w:ascii="宋体"/>
                <w:vanish/>
              </w:rPr>
            </w:pPr>
          </w:p>
        </w:tc>
        <w:tc>
          <w:tcPr>
            <w:tcW w:w="0" w:type="auto"/>
            <w:gridSpan w:val="3"/>
            <w:shd w:val="clear" w:color="auto" w:fill="auto"/>
            <w:vAlign w:val="bottom"/>
          </w:tcPr>
          <w:p w14:paraId="71D49971" w14:textId="77777777" w:rsidR="006A3667" w:rsidRDefault="006A3667">
            <w:pPr>
              <w:rPr>
                <w:rFonts w:ascii="宋体"/>
                <w:vanish/>
              </w:rPr>
            </w:pPr>
          </w:p>
        </w:tc>
        <w:tc>
          <w:tcPr>
            <w:tcW w:w="0" w:type="auto"/>
            <w:gridSpan w:val="3"/>
            <w:shd w:val="clear" w:color="auto" w:fill="auto"/>
            <w:vAlign w:val="bottom"/>
          </w:tcPr>
          <w:p w14:paraId="71D49972" w14:textId="77777777" w:rsidR="006A3667" w:rsidRDefault="006A3667">
            <w:pPr>
              <w:rPr>
                <w:rFonts w:ascii="宋体"/>
                <w:vanish/>
              </w:rPr>
            </w:pPr>
          </w:p>
        </w:tc>
        <w:tc>
          <w:tcPr>
            <w:tcW w:w="0" w:type="auto"/>
            <w:gridSpan w:val="3"/>
            <w:shd w:val="clear" w:color="auto" w:fill="auto"/>
            <w:vAlign w:val="bottom"/>
          </w:tcPr>
          <w:p w14:paraId="71D49973" w14:textId="77777777" w:rsidR="006A3667" w:rsidRDefault="006A3667">
            <w:pPr>
              <w:rPr>
                <w:rFonts w:ascii="宋体"/>
                <w:vanish/>
              </w:rPr>
            </w:pPr>
          </w:p>
        </w:tc>
        <w:tc>
          <w:tcPr>
            <w:tcW w:w="0" w:type="auto"/>
            <w:gridSpan w:val="2"/>
            <w:shd w:val="clear" w:color="auto" w:fill="auto"/>
            <w:vAlign w:val="bottom"/>
          </w:tcPr>
          <w:p w14:paraId="71D49974" w14:textId="77777777" w:rsidR="006A3667" w:rsidRDefault="006A3667">
            <w:pPr>
              <w:rPr>
                <w:rFonts w:ascii="宋体"/>
                <w:vanish/>
              </w:rPr>
            </w:pPr>
          </w:p>
        </w:tc>
        <w:tc>
          <w:tcPr>
            <w:tcW w:w="0" w:type="auto"/>
            <w:shd w:val="clear" w:color="auto" w:fill="auto"/>
            <w:vAlign w:val="bottom"/>
          </w:tcPr>
          <w:p w14:paraId="71D49975" w14:textId="77777777" w:rsidR="006A3667" w:rsidRDefault="006A3667">
            <w:pPr>
              <w:rPr>
                <w:rFonts w:ascii="宋体"/>
                <w:vanish/>
              </w:rPr>
            </w:pPr>
          </w:p>
        </w:tc>
      </w:tr>
      <w:tr w:rsidR="006A3667" w14:paraId="71D4998D" w14:textId="77777777">
        <w:trPr>
          <w:hidden/>
        </w:trPr>
        <w:tc>
          <w:tcPr>
            <w:tcW w:w="0" w:type="auto"/>
            <w:gridSpan w:val="3"/>
            <w:shd w:val="clear" w:color="auto" w:fill="auto"/>
            <w:vAlign w:val="bottom"/>
          </w:tcPr>
          <w:p w14:paraId="71D49977" w14:textId="77777777" w:rsidR="006A3667" w:rsidRDefault="006A3667">
            <w:pPr>
              <w:rPr>
                <w:rFonts w:ascii="宋体"/>
                <w:vanish/>
              </w:rPr>
            </w:pPr>
          </w:p>
        </w:tc>
        <w:tc>
          <w:tcPr>
            <w:tcW w:w="0" w:type="auto"/>
            <w:gridSpan w:val="3"/>
            <w:shd w:val="clear" w:color="auto" w:fill="auto"/>
            <w:vAlign w:val="bottom"/>
          </w:tcPr>
          <w:p w14:paraId="71D49978" w14:textId="77777777" w:rsidR="006A3667" w:rsidRDefault="006A3667">
            <w:pPr>
              <w:rPr>
                <w:rFonts w:ascii="宋体"/>
                <w:vanish/>
              </w:rPr>
            </w:pPr>
          </w:p>
        </w:tc>
        <w:tc>
          <w:tcPr>
            <w:tcW w:w="0" w:type="auto"/>
            <w:gridSpan w:val="3"/>
            <w:shd w:val="clear" w:color="auto" w:fill="auto"/>
            <w:vAlign w:val="bottom"/>
          </w:tcPr>
          <w:p w14:paraId="71D49979" w14:textId="77777777" w:rsidR="006A3667" w:rsidRDefault="006A3667">
            <w:pPr>
              <w:rPr>
                <w:rFonts w:ascii="宋体"/>
                <w:vanish/>
              </w:rPr>
            </w:pPr>
          </w:p>
        </w:tc>
        <w:tc>
          <w:tcPr>
            <w:tcW w:w="0" w:type="auto"/>
            <w:gridSpan w:val="3"/>
            <w:shd w:val="clear" w:color="auto" w:fill="auto"/>
            <w:vAlign w:val="bottom"/>
          </w:tcPr>
          <w:p w14:paraId="71D4997A" w14:textId="77777777" w:rsidR="006A3667" w:rsidRDefault="006A3667">
            <w:pPr>
              <w:rPr>
                <w:rFonts w:ascii="宋体"/>
                <w:vanish/>
              </w:rPr>
            </w:pPr>
          </w:p>
        </w:tc>
        <w:tc>
          <w:tcPr>
            <w:tcW w:w="0" w:type="auto"/>
            <w:gridSpan w:val="3"/>
            <w:shd w:val="clear" w:color="auto" w:fill="auto"/>
            <w:vAlign w:val="bottom"/>
          </w:tcPr>
          <w:p w14:paraId="71D4997B" w14:textId="77777777" w:rsidR="006A3667" w:rsidRDefault="006A3667">
            <w:pPr>
              <w:rPr>
                <w:rFonts w:ascii="宋体"/>
                <w:vanish/>
              </w:rPr>
            </w:pPr>
          </w:p>
        </w:tc>
        <w:tc>
          <w:tcPr>
            <w:tcW w:w="0" w:type="auto"/>
            <w:shd w:val="clear" w:color="auto" w:fill="auto"/>
            <w:vAlign w:val="bottom"/>
          </w:tcPr>
          <w:p w14:paraId="71D4997C" w14:textId="77777777" w:rsidR="006A3667" w:rsidRDefault="006A3667">
            <w:pPr>
              <w:rPr>
                <w:rFonts w:ascii="宋体"/>
                <w:vanish/>
              </w:rPr>
            </w:pPr>
          </w:p>
        </w:tc>
        <w:tc>
          <w:tcPr>
            <w:tcW w:w="0" w:type="auto"/>
            <w:shd w:val="clear" w:color="auto" w:fill="auto"/>
            <w:vAlign w:val="bottom"/>
          </w:tcPr>
          <w:p w14:paraId="71D4997D" w14:textId="77777777" w:rsidR="006A3667" w:rsidRDefault="006A3667">
            <w:pPr>
              <w:rPr>
                <w:rFonts w:ascii="宋体"/>
                <w:vanish/>
              </w:rPr>
            </w:pPr>
          </w:p>
        </w:tc>
        <w:tc>
          <w:tcPr>
            <w:tcW w:w="0" w:type="auto"/>
            <w:gridSpan w:val="3"/>
            <w:shd w:val="clear" w:color="auto" w:fill="auto"/>
            <w:vAlign w:val="bottom"/>
          </w:tcPr>
          <w:p w14:paraId="71D4997E" w14:textId="77777777" w:rsidR="006A3667" w:rsidRDefault="006A3667">
            <w:pPr>
              <w:rPr>
                <w:rFonts w:ascii="宋体"/>
                <w:vanish/>
              </w:rPr>
            </w:pPr>
          </w:p>
        </w:tc>
        <w:tc>
          <w:tcPr>
            <w:tcW w:w="0" w:type="auto"/>
            <w:gridSpan w:val="3"/>
            <w:shd w:val="clear" w:color="auto" w:fill="auto"/>
            <w:vAlign w:val="bottom"/>
          </w:tcPr>
          <w:p w14:paraId="71D4997F" w14:textId="77777777" w:rsidR="006A3667" w:rsidRDefault="006A3667">
            <w:pPr>
              <w:rPr>
                <w:rFonts w:ascii="宋体"/>
                <w:vanish/>
              </w:rPr>
            </w:pPr>
          </w:p>
        </w:tc>
        <w:tc>
          <w:tcPr>
            <w:tcW w:w="0" w:type="auto"/>
            <w:gridSpan w:val="3"/>
            <w:shd w:val="clear" w:color="auto" w:fill="auto"/>
            <w:vAlign w:val="bottom"/>
          </w:tcPr>
          <w:p w14:paraId="71D49980" w14:textId="77777777" w:rsidR="006A3667" w:rsidRDefault="006A3667">
            <w:pPr>
              <w:rPr>
                <w:rFonts w:ascii="宋体"/>
                <w:vanish/>
              </w:rPr>
            </w:pPr>
          </w:p>
        </w:tc>
        <w:tc>
          <w:tcPr>
            <w:tcW w:w="0" w:type="auto"/>
            <w:gridSpan w:val="3"/>
            <w:shd w:val="clear" w:color="auto" w:fill="auto"/>
            <w:vAlign w:val="bottom"/>
          </w:tcPr>
          <w:p w14:paraId="71D49981" w14:textId="77777777" w:rsidR="006A3667" w:rsidRDefault="006A3667">
            <w:pPr>
              <w:rPr>
                <w:rFonts w:ascii="宋体"/>
                <w:vanish/>
              </w:rPr>
            </w:pPr>
          </w:p>
        </w:tc>
        <w:tc>
          <w:tcPr>
            <w:tcW w:w="0" w:type="auto"/>
            <w:shd w:val="clear" w:color="auto" w:fill="auto"/>
            <w:vAlign w:val="bottom"/>
          </w:tcPr>
          <w:p w14:paraId="71D49982" w14:textId="77777777" w:rsidR="006A3667" w:rsidRDefault="006A3667">
            <w:pPr>
              <w:rPr>
                <w:rFonts w:ascii="宋体"/>
                <w:vanish/>
              </w:rPr>
            </w:pPr>
          </w:p>
        </w:tc>
        <w:tc>
          <w:tcPr>
            <w:tcW w:w="0" w:type="auto"/>
            <w:shd w:val="clear" w:color="auto" w:fill="auto"/>
            <w:vAlign w:val="bottom"/>
          </w:tcPr>
          <w:p w14:paraId="71D49983" w14:textId="77777777" w:rsidR="006A3667" w:rsidRDefault="006A3667">
            <w:pPr>
              <w:rPr>
                <w:rFonts w:ascii="宋体"/>
                <w:vanish/>
              </w:rPr>
            </w:pPr>
          </w:p>
        </w:tc>
        <w:tc>
          <w:tcPr>
            <w:tcW w:w="0" w:type="auto"/>
            <w:gridSpan w:val="3"/>
            <w:shd w:val="clear" w:color="auto" w:fill="auto"/>
            <w:vAlign w:val="bottom"/>
          </w:tcPr>
          <w:p w14:paraId="71D49984" w14:textId="77777777" w:rsidR="006A3667" w:rsidRDefault="006A3667">
            <w:pPr>
              <w:rPr>
                <w:rFonts w:ascii="宋体"/>
                <w:vanish/>
              </w:rPr>
            </w:pPr>
          </w:p>
        </w:tc>
        <w:tc>
          <w:tcPr>
            <w:tcW w:w="0" w:type="auto"/>
            <w:gridSpan w:val="3"/>
            <w:shd w:val="clear" w:color="auto" w:fill="auto"/>
            <w:vAlign w:val="bottom"/>
          </w:tcPr>
          <w:p w14:paraId="71D49985" w14:textId="77777777" w:rsidR="006A3667" w:rsidRDefault="006A3667">
            <w:pPr>
              <w:rPr>
                <w:rFonts w:ascii="宋体"/>
                <w:vanish/>
              </w:rPr>
            </w:pPr>
          </w:p>
        </w:tc>
        <w:tc>
          <w:tcPr>
            <w:tcW w:w="0" w:type="auto"/>
            <w:gridSpan w:val="3"/>
            <w:shd w:val="clear" w:color="auto" w:fill="auto"/>
            <w:vAlign w:val="bottom"/>
          </w:tcPr>
          <w:p w14:paraId="71D49986" w14:textId="77777777" w:rsidR="006A3667" w:rsidRDefault="006A3667">
            <w:pPr>
              <w:rPr>
                <w:rFonts w:ascii="宋体"/>
                <w:vanish/>
              </w:rPr>
            </w:pPr>
          </w:p>
        </w:tc>
        <w:tc>
          <w:tcPr>
            <w:tcW w:w="0" w:type="auto"/>
            <w:gridSpan w:val="3"/>
            <w:shd w:val="clear" w:color="auto" w:fill="auto"/>
            <w:vAlign w:val="bottom"/>
          </w:tcPr>
          <w:p w14:paraId="71D49987" w14:textId="77777777" w:rsidR="006A3667" w:rsidRDefault="006A3667">
            <w:pPr>
              <w:rPr>
                <w:rFonts w:ascii="宋体"/>
                <w:vanish/>
              </w:rPr>
            </w:pPr>
          </w:p>
        </w:tc>
        <w:tc>
          <w:tcPr>
            <w:tcW w:w="0" w:type="auto"/>
            <w:gridSpan w:val="3"/>
            <w:shd w:val="clear" w:color="auto" w:fill="auto"/>
            <w:vAlign w:val="bottom"/>
          </w:tcPr>
          <w:p w14:paraId="71D49988" w14:textId="77777777" w:rsidR="006A3667" w:rsidRDefault="006A3667">
            <w:pPr>
              <w:rPr>
                <w:rFonts w:ascii="宋体"/>
                <w:vanish/>
              </w:rPr>
            </w:pPr>
          </w:p>
        </w:tc>
        <w:tc>
          <w:tcPr>
            <w:tcW w:w="0" w:type="auto"/>
            <w:gridSpan w:val="3"/>
            <w:shd w:val="clear" w:color="auto" w:fill="auto"/>
            <w:vAlign w:val="bottom"/>
          </w:tcPr>
          <w:p w14:paraId="71D49989" w14:textId="77777777" w:rsidR="006A3667" w:rsidRDefault="006A3667">
            <w:pPr>
              <w:rPr>
                <w:rFonts w:ascii="宋体"/>
                <w:vanish/>
              </w:rPr>
            </w:pPr>
          </w:p>
        </w:tc>
        <w:tc>
          <w:tcPr>
            <w:tcW w:w="0" w:type="auto"/>
            <w:gridSpan w:val="3"/>
            <w:shd w:val="clear" w:color="auto" w:fill="auto"/>
            <w:vAlign w:val="bottom"/>
          </w:tcPr>
          <w:p w14:paraId="71D4998A" w14:textId="77777777" w:rsidR="006A3667" w:rsidRDefault="006A3667">
            <w:pPr>
              <w:rPr>
                <w:rFonts w:ascii="宋体"/>
                <w:vanish/>
              </w:rPr>
            </w:pPr>
          </w:p>
        </w:tc>
        <w:tc>
          <w:tcPr>
            <w:tcW w:w="0" w:type="auto"/>
            <w:gridSpan w:val="2"/>
            <w:shd w:val="clear" w:color="auto" w:fill="auto"/>
            <w:vAlign w:val="bottom"/>
          </w:tcPr>
          <w:p w14:paraId="71D4998B" w14:textId="77777777" w:rsidR="006A3667" w:rsidRDefault="006A3667">
            <w:pPr>
              <w:rPr>
                <w:rFonts w:ascii="宋体"/>
                <w:vanish/>
              </w:rPr>
            </w:pPr>
          </w:p>
        </w:tc>
        <w:tc>
          <w:tcPr>
            <w:tcW w:w="0" w:type="auto"/>
            <w:shd w:val="clear" w:color="auto" w:fill="auto"/>
            <w:vAlign w:val="bottom"/>
          </w:tcPr>
          <w:p w14:paraId="71D4998C" w14:textId="77777777" w:rsidR="006A3667" w:rsidRDefault="006A3667">
            <w:pPr>
              <w:rPr>
                <w:rFonts w:ascii="宋体"/>
                <w:vanish/>
              </w:rPr>
            </w:pPr>
          </w:p>
        </w:tc>
      </w:tr>
      <w:tr w:rsidR="006A3667" w14:paraId="71D499A4" w14:textId="77777777">
        <w:trPr>
          <w:hidden/>
        </w:trPr>
        <w:tc>
          <w:tcPr>
            <w:tcW w:w="0" w:type="auto"/>
            <w:gridSpan w:val="3"/>
            <w:shd w:val="clear" w:color="auto" w:fill="auto"/>
            <w:vAlign w:val="bottom"/>
          </w:tcPr>
          <w:p w14:paraId="71D4998E" w14:textId="77777777" w:rsidR="006A3667" w:rsidRDefault="006A3667">
            <w:pPr>
              <w:rPr>
                <w:rFonts w:ascii="宋体"/>
                <w:vanish/>
              </w:rPr>
            </w:pPr>
          </w:p>
        </w:tc>
        <w:tc>
          <w:tcPr>
            <w:tcW w:w="0" w:type="auto"/>
            <w:gridSpan w:val="3"/>
            <w:shd w:val="clear" w:color="auto" w:fill="auto"/>
            <w:vAlign w:val="bottom"/>
          </w:tcPr>
          <w:p w14:paraId="71D4998F" w14:textId="77777777" w:rsidR="006A3667" w:rsidRDefault="006A3667">
            <w:pPr>
              <w:rPr>
                <w:rFonts w:ascii="宋体"/>
                <w:vanish/>
              </w:rPr>
            </w:pPr>
          </w:p>
        </w:tc>
        <w:tc>
          <w:tcPr>
            <w:tcW w:w="0" w:type="auto"/>
            <w:gridSpan w:val="3"/>
            <w:shd w:val="clear" w:color="auto" w:fill="auto"/>
            <w:vAlign w:val="bottom"/>
          </w:tcPr>
          <w:p w14:paraId="71D49990" w14:textId="77777777" w:rsidR="006A3667" w:rsidRDefault="006A3667">
            <w:pPr>
              <w:rPr>
                <w:rFonts w:ascii="宋体"/>
                <w:vanish/>
              </w:rPr>
            </w:pPr>
          </w:p>
        </w:tc>
        <w:tc>
          <w:tcPr>
            <w:tcW w:w="0" w:type="auto"/>
            <w:gridSpan w:val="3"/>
            <w:shd w:val="clear" w:color="auto" w:fill="auto"/>
            <w:vAlign w:val="bottom"/>
          </w:tcPr>
          <w:p w14:paraId="71D49991" w14:textId="77777777" w:rsidR="006A3667" w:rsidRDefault="006A3667">
            <w:pPr>
              <w:rPr>
                <w:rFonts w:ascii="宋体"/>
                <w:vanish/>
              </w:rPr>
            </w:pPr>
          </w:p>
        </w:tc>
        <w:tc>
          <w:tcPr>
            <w:tcW w:w="0" w:type="auto"/>
            <w:gridSpan w:val="3"/>
            <w:shd w:val="clear" w:color="auto" w:fill="auto"/>
            <w:vAlign w:val="bottom"/>
          </w:tcPr>
          <w:p w14:paraId="71D49992" w14:textId="77777777" w:rsidR="006A3667" w:rsidRDefault="006A3667">
            <w:pPr>
              <w:rPr>
                <w:rFonts w:ascii="宋体"/>
                <w:vanish/>
              </w:rPr>
            </w:pPr>
          </w:p>
        </w:tc>
        <w:tc>
          <w:tcPr>
            <w:tcW w:w="0" w:type="auto"/>
            <w:shd w:val="clear" w:color="auto" w:fill="auto"/>
            <w:vAlign w:val="bottom"/>
          </w:tcPr>
          <w:p w14:paraId="71D49993" w14:textId="77777777" w:rsidR="006A3667" w:rsidRDefault="006A3667">
            <w:pPr>
              <w:rPr>
                <w:rFonts w:ascii="宋体"/>
                <w:vanish/>
              </w:rPr>
            </w:pPr>
          </w:p>
        </w:tc>
        <w:tc>
          <w:tcPr>
            <w:tcW w:w="0" w:type="auto"/>
            <w:shd w:val="clear" w:color="auto" w:fill="auto"/>
            <w:vAlign w:val="bottom"/>
          </w:tcPr>
          <w:p w14:paraId="71D49994" w14:textId="77777777" w:rsidR="006A3667" w:rsidRDefault="006A3667">
            <w:pPr>
              <w:rPr>
                <w:rFonts w:ascii="宋体"/>
                <w:vanish/>
              </w:rPr>
            </w:pPr>
          </w:p>
        </w:tc>
        <w:tc>
          <w:tcPr>
            <w:tcW w:w="0" w:type="auto"/>
            <w:gridSpan w:val="3"/>
            <w:shd w:val="clear" w:color="auto" w:fill="auto"/>
            <w:vAlign w:val="bottom"/>
          </w:tcPr>
          <w:p w14:paraId="71D49995" w14:textId="77777777" w:rsidR="006A3667" w:rsidRDefault="006A3667">
            <w:pPr>
              <w:rPr>
                <w:rFonts w:ascii="宋体"/>
                <w:vanish/>
              </w:rPr>
            </w:pPr>
          </w:p>
        </w:tc>
        <w:tc>
          <w:tcPr>
            <w:tcW w:w="0" w:type="auto"/>
            <w:gridSpan w:val="3"/>
            <w:shd w:val="clear" w:color="auto" w:fill="auto"/>
            <w:vAlign w:val="bottom"/>
          </w:tcPr>
          <w:p w14:paraId="71D49996" w14:textId="77777777" w:rsidR="006A3667" w:rsidRDefault="006A3667">
            <w:pPr>
              <w:rPr>
                <w:rFonts w:ascii="宋体"/>
                <w:vanish/>
              </w:rPr>
            </w:pPr>
          </w:p>
        </w:tc>
        <w:tc>
          <w:tcPr>
            <w:tcW w:w="0" w:type="auto"/>
            <w:gridSpan w:val="3"/>
            <w:shd w:val="clear" w:color="auto" w:fill="auto"/>
            <w:vAlign w:val="bottom"/>
          </w:tcPr>
          <w:p w14:paraId="71D49997" w14:textId="77777777" w:rsidR="006A3667" w:rsidRDefault="006A3667">
            <w:pPr>
              <w:rPr>
                <w:rFonts w:ascii="宋体"/>
                <w:vanish/>
              </w:rPr>
            </w:pPr>
          </w:p>
        </w:tc>
        <w:tc>
          <w:tcPr>
            <w:tcW w:w="0" w:type="auto"/>
            <w:gridSpan w:val="3"/>
            <w:shd w:val="clear" w:color="auto" w:fill="auto"/>
            <w:vAlign w:val="bottom"/>
          </w:tcPr>
          <w:p w14:paraId="71D49998" w14:textId="77777777" w:rsidR="006A3667" w:rsidRDefault="006A3667">
            <w:pPr>
              <w:rPr>
                <w:rFonts w:ascii="宋体"/>
                <w:vanish/>
              </w:rPr>
            </w:pPr>
          </w:p>
        </w:tc>
        <w:tc>
          <w:tcPr>
            <w:tcW w:w="0" w:type="auto"/>
            <w:shd w:val="clear" w:color="auto" w:fill="auto"/>
            <w:vAlign w:val="bottom"/>
          </w:tcPr>
          <w:p w14:paraId="71D49999" w14:textId="77777777" w:rsidR="006A3667" w:rsidRDefault="006A3667">
            <w:pPr>
              <w:rPr>
                <w:rFonts w:ascii="宋体"/>
                <w:vanish/>
              </w:rPr>
            </w:pPr>
          </w:p>
        </w:tc>
        <w:tc>
          <w:tcPr>
            <w:tcW w:w="0" w:type="auto"/>
            <w:shd w:val="clear" w:color="auto" w:fill="auto"/>
            <w:vAlign w:val="bottom"/>
          </w:tcPr>
          <w:p w14:paraId="71D4999A" w14:textId="77777777" w:rsidR="006A3667" w:rsidRDefault="006A3667">
            <w:pPr>
              <w:rPr>
                <w:rFonts w:ascii="宋体"/>
                <w:vanish/>
              </w:rPr>
            </w:pPr>
          </w:p>
        </w:tc>
        <w:tc>
          <w:tcPr>
            <w:tcW w:w="0" w:type="auto"/>
            <w:gridSpan w:val="3"/>
            <w:shd w:val="clear" w:color="auto" w:fill="auto"/>
            <w:vAlign w:val="bottom"/>
          </w:tcPr>
          <w:p w14:paraId="71D4999B" w14:textId="77777777" w:rsidR="006A3667" w:rsidRDefault="006A3667">
            <w:pPr>
              <w:rPr>
                <w:rFonts w:ascii="宋体"/>
                <w:vanish/>
              </w:rPr>
            </w:pPr>
          </w:p>
        </w:tc>
        <w:tc>
          <w:tcPr>
            <w:tcW w:w="0" w:type="auto"/>
            <w:gridSpan w:val="3"/>
            <w:shd w:val="clear" w:color="auto" w:fill="auto"/>
            <w:vAlign w:val="bottom"/>
          </w:tcPr>
          <w:p w14:paraId="71D4999C" w14:textId="77777777" w:rsidR="006A3667" w:rsidRDefault="006A3667">
            <w:pPr>
              <w:rPr>
                <w:rFonts w:ascii="宋体"/>
                <w:vanish/>
              </w:rPr>
            </w:pPr>
          </w:p>
        </w:tc>
        <w:tc>
          <w:tcPr>
            <w:tcW w:w="0" w:type="auto"/>
            <w:gridSpan w:val="3"/>
            <w:shd w:val="clear" w:color="auto" w:fill="auto"/>
            <w:vAlign w:val="bottom"/>
          </w:tcPr>
          <w:p w14:paraId="71D4999D" w14:textId="77777777" w:rsidR="006A3667" w:rsidRDefault="006A3667">
            <w:pPr>
              <w:rPr>
                <w:rFonts w:ascii="宋体"/>
                <w:vanish/>
              </w:rPr>
            </w:pPr>
          </w:p>
        </w:tc>
        <w:tc>
          <w:tcPr>
            <w:tcW w:w="0" w:type="auto"/>
            <w:gridSpan w:val="3"/>
            <w:shd w:val="clear" w:color="auto" w:fill="auto"/>
            <w:vAlign w:val="bottom"/>
          </w:tcPr>
          <w:p w14:paraId="71D4999E" w14:textId="77777777" w:rsidR="006A3667" w:rsidRDefault="006A3667">
            <w:pPr>
              <w:rPr>
                <w:rFonts w:ascii="宋体"/>
                <w:vanish/>
              </w:rPr>
            </w:pPr>
          </w:p>
        </w:tc>
        <w:tc>
          <w:tcPr>
            <w:tcW w:w="0" w:type="auto"/>
            <w:gridSpan w:val="3"/>
            <w:shd w:val="clear" w:color="auto" w:fill="auto"/>
            <w:vAlign w:val="bottom"/>
          </w:tcPr>
          <w:p w14:paraId="71D4999F" w14:textId="77777777" w:rsidR="006A3667" w:rsidRDefault="006A3667">
            <w:pPr>
              <w:rPr>
                <w:rFonts w:ascii="宋体"/>
                <w:vanish/>
              </w:rPr>
            </w:pPr>
          </w:p>
        </w:tc>
        <w:tc>
          <w:tcPr>
            <w:tcW w:w="0" w:type="auto"/>
            <w:gridSpan w:val="3"/>
            <w:shd w:val="clear" w:color="auto" w:fill="auto"/>
            <w:vAlign w:val="bottom"/>
          </w:tcPr>
          <w:p w14:paraId="71D499A0" w14:textId="77777777" w:rsidR="006A3667" w:rsidRDefault="006A3667">
            <w:pPr>
              <w:rPr>
                <w:rFonts w:ascii="宋体"/>
                <w:vanish/>
              </w:rPr>
            </w:pPr>
          </w:p>
        </w:tc>
        <w:tc>
          <w:tcPr>
            <w:tcW w:w="0" w:type="auto"/>
            <w:gridSpan w:val="3"/>
            <w:shd w:val="clear" w:color="auto" w:fill="auto"/>
            <w:vAlign w:val="bottom"/>
          </w:tcPr>
          <w:p w14:paraId="71D499A1" w14:textId="77777777" w:rsidR="006A3667" w:rsidRDefault="006A3667">
            <w:pPr>
              <w:rPr>
                <w:rFonts w:ascii="宋体"/>
                <w:vanish/>
              </w:rPr>
            </w:pPr>
          </w:p>
        </w:tc>
        <w:tc>
          <w:tcPr>
            <w:tcW w:w="0" w:type="auto"/>
            <w:gridSpan w:val="2"/>
            <w:shd w:val="clear" w:color="auto" w:fill="auto"/>
            <w:vAlign w:val="bottom"/>
          </w:tcPr>
          <w:p w14:paraId="71D499A2" w14:textId="77777777" w:rsidR="006A3667" w:rsidRDefault="006A3667">
            <w:pPr>
              <w:rPr>
                <w:rFonts w:ascii="宋体"/>
                <w:vanish/>
              </w:rPr>
            </w:pPr>
          </w:p>
        </w:tc>
        <w:tc>
          <w:tcPr>
            <w:tcW w:w="0" w:type="auto"/>
            <w:shd w:val="clear" w:color="auto" w:fill="auto"/>
            <w:vAlign w:val="bottom"/>
          </w:tcPr>
          <w:p w14:paraId="71D499A3" w14:textId="77777777" w:rsidR="006A3667" w:rsidRDefault="006A3667">
            <w:pPr>
              <w:rPr>
                <w:rFonts w:ascii="宋体"/>
                <w:vanish/>
              </w:rPr>
            </w:pPr>
          </w:p>
        </w:tc>
      </w:tr>
      <w:tr w:rsidR="006A3667" w14:paraId="71D499BB" w14:textId="77777777">
        <w:trPr>
          <w:hidden/>
        </w:trPr>
        <w:tc>
          <w:tcPr>
            <w:tcW w:w="0" w:type="auto"/>
            <w:gridSpan w:val="3"/>
            <w:shd w:val="clear" w:color="auto" w:fill="auto"/>
            <w:vAlign w:val="bottom"/>
          </w:tcPr>
          <w:p w14:paraId="71D499A5" w14:textId="77777777" w:rsidR="006A3667" w:rsidRDefault="006A3667">
            <w:pPr>
              <w:rPr>
                <w:rFonts w:ascii="宋体"/>
                <w:vanish/>
              </w:rPr>
            </w:pPr>
          </w:p>
        </w:tc>
        <w:tc>
          <w:tcPr>
            <w:tcW w:w="0" w:type="auto"/>
            <w:gridSpan w:val="3"/>
            <w:shd w:val="clear" w:color="auto" w:fill="auto"/>
            <w:vAlign w:val="bottom"/>
          </w:tcPr>
          <w:p w14:paraId="71D499A6" w14:textId="77777777" w:rsidR="006A3667" w:rsidRDefault="006A3667">
            <w:pPr>
              <w:rPr>
                <w:rFonts w:ascii="宋体"/>
                <w:vanish/>
              </w:rPr>
            </w:pPr>
          </w:p>
        </w:tc>
        <w:tc>
          <w:tcPr>
            <w:tcW w:w="0" w:type="auto"/>
            <w:gridSpan w:val="3"/>
            <w:shd w:val="clear" w:color="auto" w:fill="auto"/>
            <w:vAlign w:val="bottom"/>
          </w:tcPr>
          <w:p w14:paraId="71D499A7" w14:textId="77777777" w:rsidR="006A3667" w:rsidRDefault="006A3667">
            <w:pPr>
              <w:rPr>
                <w:rFonts w:ascii="宋体"/>
                <w:vanish/>
              </w:rPr>
            </w:pPr>
          </w:p>
        </w:tc>
        <w:tc>
          <w:tcPr>
            <w:tcW w:w="0" w:type="auto"/>
            <w:gridSpan w:val="3"/>
            <w:shd w:val="clear" w:color="auto" w:fill="auto"/>
            <w:vAlign w:val="bottom"/>
          </w:tcPr>
          <w:p w14:paraId="71D499A8" w14:textId="77777777" w:rsidR="006A3667" w:rsidRDefault="006A3667">
            <w:pPr>
              <w:rPr>
                <w:rFonts w:ascii="宋体"/>
                <w:vanish/>
              </w:rPr>
            </w:pPr>
          </w:p>
        </w:tc>
        <w:tc>
          <w:tcPr>
            <w:tcW w:w="0" w:type="auto"/>
            <w:gridSpan w:val="3"/>
            <w:shd w:val="clear" w:color="auto" w:fill="auto"/>
            <w:vAlign w:val="bottom"/>
          </w:tcPr>
          <w:p w14:paraId="71D499A9" w14:textId="77777777" w:rsidR="006A3667" w:rsidRDefault="006A3667">
            <w:pPr>
              <w:rPr>
                <w:rFonts w:ascii="宋体"/>
                <w:vanish/>
              </w:rPr>
            </w:pPr>
          </w:p>
        </w:tc>
        <w:tc>
          <w:tcPr>
            <w:tcW w:w="0" w:type="auto"/>
            <w:shd w:val="clear" w:color="auto" w:fill="auto"/>
            <w:vAlign w:val="bottom"/>
          </w:tcPr>
          <w:p w14:paraId="71D499AA" w14:textId="77777777" w:rsidR="006A3667" w:rsidRDefault="006A3667">
            <w:pPr>
              <w:rPr>
                <w:rFonts w:ascii="宋体"/>
                <w:vanish/>
              </w:rPr>
            </w:pPr>
          </w:p>
        </w:tc>
        <w:tc>
          <w:tcPr>
            <w:tcW w:w="0" w:type="auto"/>
            <w:shd w:val="clear" w:color="auto" w:fill="auto"/>
            <w:vAlign w:val="bottom"/>
          </w:tcPr>
          <w:p w14:paraId="71D499AB" w14:textId="77777777" w:rsidR="006A3667" w:rsidRDefault="006A3667">
            <w:pPr>
              <w:rPr>
                <w:rFonts w:ascii="宋体"/>
                <w:vanish/>
              </w:rPr>
            </w:pPr>
          </w:p>
        </w:tc>
        <w:tc>
          <w:tcPr>
            <w:tcW w:w="0" w:type="auto"/>
            <w:gridSpan w:val="3"/>
            <w:shd w:val="clear" w:color="auto" w:fill="auto"/>
            <w:vAlign w:val="bottom"/>
          </w:tcPr>
          <w:p w14:paraId="71D499AC" w14:textId="77777777" w:rsidR="006A3667" w:rsidRDefault="006A3667">
            <w:pPr>
              <w:rPr>
                <w:rFonts w:ascii="宋体"/>
                <w:vanish/>
              </w:rPr>
            </w:pPr>
          </w:p>
        </w:tc>
        <w:tc>
          <w:tcPr>
            <w:tcW w:w="0" w:type="auto"/>
            <w:gridSpan w:val="3"/>
            <w:shd w:val="clear" w:color="auto" w:fill="auto"/>
            <w:vAlign w:val="bottom"/>
          </w:tcPr>
          <w:p w14:paraId="71D499AD" w14:textId="77777777" w:rsidR="006A3667" w:rsidRDefault="006A3667">
            <w:pPr>
              <w:rPr>
                <w:rFonts w:ascii="宋体"/>
                <w:vanish/>
              </w:rPr>
            </w:pPr>
          </w:p>
        </w:tc>
        <w:tc>
          <w:tcPr>
            <w:tcW w:w="0" w:type="auto"/>
            <w:gridSpan w:val="3"/>
            <w:shd w:val="clear" w:color="auto" w:fill="auto"/>
            <w:vAlign w:val="bottom"/>
          </w:tcPr>
          <w:p w14:paraId="71D499AE" w14:textId="77777777" w:rsidR="006A3667" w:rsidRDefault="006A3667">
            <w:pPr>
              <w:rPr>
                <w:rFonts w:ascii="宋体"/>
                <w:vanish/>
              </w:rPr>
            </w:pPr>
          </w:p>
        </w:tc>
        <w:tc>
          <w:tcPr>
            <w:tcW w:w="0" w:type="auto"/>
            <w:gridSpan w:val="3"/>
            <w:shd w:val="clear" w:color="auto" w:fill="auto"/>
            <w:vAlign w:val="bottom"/>
          </w:tcPr>
          <w:p w14:paraId="71D499AF" w14:textId="77777777" w:rsidR="006A3667" w:rsidRDefault="006A3667">
            <w:pPr>
              <w:rPr>
                <w:rFonts w:ascii="宋体"/>
                <w:vanish/>
              </w:rPr>
            </w:pPr>
          </w:p>
        </w:tc>
        <w:tc>
          <w:tcPr>
            <w:tcW w:w="0" w:type="auto"/>
            <w:shd w:val="clear" w:color="auto" w:fill="auto"/>
            <w:vAlign w:val="bottom"/>
          </w:tcPr>
          <w:p w14:paraId="71D499B0" w14:textId="77777777" w:rsidR="006A3667" w:rsidRDefault="006A3667">
            <w:pPr>
              <w:rPr>
                <w:rFonts w:ascii="宋体"/>
                <w:vanish/>
              </w:rPr>
            </w:pPr>
          </w:p>
        </w:tc>
        <w:tc>
          <w:tcPr>
            <w:tcW w:w="0" w:type="auto"/>
            <w:shd w:val="clear" w:color="auto" w:fill="auto"/>
            <w:vAlign w:val="bottom"/>
          </w:tcPr>
          <w:p w14:paraId="71D499B1" w14:textId="77777777" w:rsidR="006A3667" w:rsidRDefault="006A3667">
            <w:pPr>
              <w:rPr>
                <w:rFonts w:ascii="宋体"/>
                <w:vanish/>
              </w:rPr>
            </w:pPr>
          </w:p>
        </w:tc>
        <w:tc>
          <w:tcPr>
            <w:tcW w:w="0" w:type="auto"/>
            <w:gridSpan w:val="3"/>
            <w:shd w:val="clear" w:color="auto" w:fill="auto"/>
            <w:vAlign w:val="bottom"/>
          </w:tcPr>
          <w:p w14:paraId="71D499B2" w14:textId="77777777" w:rsidR="006A3667" w:rsidRDefault="006A3667">
            <w:pPr>
              <w:rPr>
                <w:rFonts w:ascii="宋体"/>
                <w:vanish/>
              </w:rPr>
            </w:pPr>
          </w:p>
        </w:tc>
        <w:tc>
          <w:tcPr>
            <w:tcW w:w="0" w:type="auto"/>
            <w:gridSpan w:val="3"/>
            <w:shd w:val="clear" w:color="auto" w:fill="auto"/>
            <w:vAlign w:val="bottom"/>
          </w:tcPr>
          <w:p w14:paraId="71D499B3" w14:textId="77777777" w:rsidR="006A3667" w:rsidRDefault="006A3667">
            <w:pPr>
              <w:rPr>
                <w:rFonts w:ascii="宋体"/>
                <w:vanish/>
              </w:rPr>
            </w:pPr>
          </w:p>
        </w:tc>
        <w:tc>
          <w:tcPr>
            <w:tcW w:w="0" w:type="auto"/>
            <w:gridSpan w:val="3"/>
            <w:shd w:val="clear" w:color="auto" w:fill="auto"/>
            <w:vAlign w:val="bottom"/>
          </w:tcPr>
          <w:p w14:paraId="71D499B4" w14:textId="77777777" w:rsidR="006A3667" w:rsidRDefault="006A3667">
            <w:pPr>
              <w:rPr>
                <w:rFonts w:ascii="宋体"/>
                <w:vanish/>
              </w:rPr>
            </w:pPr>
          </w:p>
        </w:tc>
        <w:tc>
          <w:tcPr>
            <w:tcW w:w="0" w:type="auto"/>
            <w:gridSpan w:val="3"/>
            <w:shd w:val="clear" w:color="auto" w:fill="auto"/>
            <w:vAlign w:val="bottom"/>
          </w:tcPr>
          <w:p w14:paraId="71D499B5" w14:textId="77777777" w:rsidR="006A3667" w:rsidRDefault="006A3667">
            <w:pPr>
              <w:rPr>
                <w:rFonts w:ascii="宋体"/>
                <w:vanish/>
              </w:rPr>
            </w:pPr>
          </w:p>
        </w:tc>
        <w:tc>
          <w:tcPr>
            <w:tcW w:w="0" w:type="auto"/>
            <w:gridSpan w:val="3"/>
            <w:shd w:val="clear" w:color="auto" w:fill="auto"/>
            <w:vAlign w:val="bottom"/>
          </w:tcPr>
          <w:p w14:paraId="71D499B6" w14:textId="77777777" w:rsidR="006A3667" w:rsidRDefault="006A3667">
            <w:pPr>
              <w:rPr>
                <w:rFonts w:ascii="宋体"/>
                <w:vanish/>
              </w:rPr>
            </w:pPr>
          </w:p>
        </w:tc>
        <w:tc>
          <w:tcPr>
            <w:tcW w:w="0" w:type="auto"/>
            <w:gridSpan w:val="3"/>
            <w:shd w:val="clear" w:color="auto" w:fill="auto"/>
            <w:vAlign w:val="bottom"/>
          </w:tcPr>
          <w:p w14:paraId="71D499B7" w14:textId="77777777" w:rsidR="006A3667" w:rsidRDefault="006A3667">
            <w:pPr>
              <w:rPr>
                <w:rFonts w:ascii="宋体"/>
                <w:vanish/>
              </w:rPr>
            </w:pPr>
          </w:p>
        </w:tc>
        <w:tc>
          <w:tcPr>
            <w:tcW w:w="0" w:type="auto"/>
            <w:gridSpan w:val="3"/>
            <w:shd w:val="clear" w:color="auto" w:fill="auto"/>
            <w:vAlign w:val="bottom"/>
          </w:tcPr>
          <w:p w14:paraId="71D499B8" w14:textId="77777777" w:rsidR="006A3667" w:rsidRDefault="006A3667">
            <w:pPr>
              <w:rPr>
                <w:rFonts w:ascii="宋体"/>
                <w:vanish/>
              </w:rPr>
            </w:pPr>
          </w:p>
        </w:tc>
        <w:tc>
          <w:tcPr>
            <w:tcW w:w="0" w:type="auto"/>
            <w:gridSpan w:val="2"/>
            <w:shd w:val="clear" w:color="auto" w:fill="auto"/>
            <w:vAlign w:val="bottom"/>
          </w:tcPr>
          <w:p w14:paraId="71D499B9" w14:textId="77777777" w:rsidR="006A3667" w:rsidRDefault="006A3667">
            <w:pPr>
              <w:rPr>
                <w:rFonts w:ascii="宋体"/>
                <w:vanish/>
              </w:rPr>
            </w:pPr>
          </w:p>
        </w:tc>
        <w:tc>
          <w:tcPr>
            <w:tcW w:w="0" w:type="auto"/>
            <w:shd w:val="clear" w:color="auto" w:fill="auto"/>
            <w:vAlign w:val="bottom"/>
          </w:tcPr>
          <w:p w14:paraId="71D499BA" w14:textId="77777777" w:rsidR="006A3667" w:rsidRDefault="006A3667">
            <w:pPr>
              <w:rPr>
                <w:rFonts w:ascii="宋体"/>
                <w:vanish/>
              </w:rPr>
            </w:pPr>
          </w:p>
        </w:tc>
      </w:tr>
      <w:tr w:rsidR="006A3667" w14:paraId="71D499D9" w14:textId="77777777">
        <w:tc>
          <w:tcPr>
            <w:tcW w:w="0" w:type="auto"/>
            <w:gridSpan w:val="3"/>
            <w:shd w:val="clear" w:color="auto" w:fill="FFFFFF"/>
            <w:tcMar>
              <w:top w:w="40" w:type="dxa"/>
              <w:left w:w="20" w:type="dxa"/>
              <w:bottom w:w="40" w:type="dxa"/>
              <w:right w:w="20" w:type="dxa"/>
            </w:tcMar>
            <w:vAlign w:val="bottom"/>
          </w:tcPr>
          <w:p w14:paraId="71D499BC" w14:textId="77777777" w:rsidR="006A3667" w:rsidRDefault="00045F32">
            <w:pPr>
              <w:textAlignment w:val="bottom"/>
            </w:pPr>
            <w:r>
              <w:rPr>
                <w:rFonts w:ascii="Arial" w:eastAsia="宋体" w:hAnsi="Arial" w:cs="Arial"/>
                <w:b/>
                <w:bCs/>
                <w:color w:val="000000"/>
                <w:sz w:val="14"/>
                <w:szCs w:val="14"/>
              </w:rPr>
              <w:t>Total expenses</w:t>
            </w:r>
          </w:p>
        </w:tc>
        <w:tc>
          <w:tcPr>
            <w:tcW w:w="0" w:type="auto"/>
            <w:gridSpan w:val="2"/>
            <w:shd w:val="clear" w:color="auto" w:fill="FFFFFF"/>
            <w:tcMar>
              <w:top w:w="40" w:type="dxa"/>
              <w:left w:w="20" w:type="dxa"/>
              <w:bottom w:w="40" w:type="dxa"/>
              <w:right w:w="0" w:type="dxa"/>
            </w:tcMar>
            <w:vAlign w:val="bottom"/>
          </w:tcPr>
          <w:p w14:paraId="71D499BD" w14:textId="77777777" w:rsidR="006A3667" w:rsidRDefault="00045F32">
            <w:pPr>
              <w:jc w:val="right"/>
              <w:textAlignment w:val="bottom"/>
            </w:pPr>
            <w:r>
              <w:rPr>
                <w:rFonts w:ascii="Arial" w:eastAsia="宋体" w:hAnsi="Arial" w:cs="Arial"/>
                <w:b/>
                <w:bCs/>
                <w:color w:val="000000"/>
                <w:sz w:val="14"/>
                <w:szCs w:val="14"/>
              </w:rPr>
              <w:t>5,452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9B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B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9C0" w14:textId="77777777" w:rsidR="006A3667" w:rsidRDefault="00045F32">
            <w:pPr>
              <w:jc w:val="right"/>
              <w:textAlignment w:val="bottom"/>
            </w:pPr>
            <w:r>
              <w:rPr>
                <w:rFonts w:ascii="Arial" w:eastAsia="宋体" w:hAnsi="Arial" w:cs="Arial"/>
                <w:color w:val="000000"/>
                <w:sz w:val="14"/>
                <w:szCs w:val="14"/>
              </w:rPr>
              <w:t>5,389 </w:t>
            </w:r>
          </w:p>
        </w:tc>
        <w:tc>
          <w:tcPr>
            <w:tcW w:w="0" w:type="auto"/>
            <w:shd w:val="clear" w:color="auto" w:fill="FFFFFF"/>
            <w:tcMar>
              <w:top w:w="40" w:type="dxa"/>
              <w:left w:w="0" w:type="dxa"/>
              <w:bottom w:w="40" w:type="dxa"/>
              <w:right w:w="20" w:type="dxa"/>
            </w:tcMar>
            <w:vAlign w:val="bottom"/>
          </w:tcPr>
          <w:p w14:paraId="71D499C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C2" w14:textId="77777777" w:rsidR="006A3667" w:rsidRDefault="006A3667">
            <w:pPr>
              <w:rPr>
                <w:rFonts w:ascii="宋体"/>
              </w:rPr>
            </w:pPr>
          </w:p>
        </w:tc>
        <w:tc>
          <w:tcPr>
            <w:tcW w:w="0" w:type="auto"/>
            <w:shd w:val="clear" w:color="auto" w:fill="auto"/>
            <w:vAlign w:val="bottom"/>
          </w:tcPr>
          <w:p w14:paraId="71D499C3" w14:textId="77777777" w:rsidR="006A3667" w:rsidRDefault="006A3667">
            <w:pPr>
              <w:rPr>
                <w:rFonts w:ascii="宋体"/>
                <w:vanish/>
              </w:rPr>
            </w:pPr>
          </w:p>
        </w:tc>
        <w:tc>
          <w:tcPr>
            <w:tcW w:w="0" w:type="auto"/>
            <w:shd w:val="clear" w:color="auto" w:fill="auto"/>
            <w:vAlign w:val="bottom"/>
          </w:tcPr>
          <w:p w14:paraId="71D499C4"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9C5" w14:textId="77777777" w:rsidR="006A3667" w:rsidRDefault="00045F32">
            <w:pPr>
              <w:jc w:val="right"/>
              <w:textAlignment w:val="bottom"/>
            </w:pPr>
            <w:r>
              <w:rPr>
                <w:rFonts w:ascii="Arial" w:eastAsia="宋体" w:hAnsi="Arial" w:cs="Arial"/>
                <w:b/>
                <w:bCs/>
                <w:color w:val="000000"/>
                <w:sz w:val="14"/>
                <w:szCs w:val="14"/>
              </w:rPr>
              <w:t>1,051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9C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C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9C8" w14:textId="77777777" w:rsidR="006A3667" w:rsidRDefault="00045F32">
            <w:pPr>
              <w:jc w:val="right"/>
              <w:textAlignment w:val="bottom"/>
            </w:pPr>
            <w:r>
              <w:rPr>
                <w:rFonts w:ascii="Arial" w:eastAsia="宋体" w:hAnsi="Arial" w:cs="Arial"/>
                <w:color w:val="000000"/>
                <w:sz w:val="14"/>
                <w:szCs w:val="14"/>
              </w:rPr>
              <w:t>1,082 </w:t>
            </w:r>
          </w:p>
        </w:tc>
        <w:tc>
          <w:tcPr>
            <w:tcW w:w="0" w:type="auto"/>
            <w:shd w:val="clear" w:color="auto" w:fill="FFFFFF"/>
            <w:tcMar>
              <w:top w:w="40" w:type="dxa"/>
              <w:left w:w="0" w:type="dxa"/>
              <w:bottom w:w="40" w:type="dxa"/>
              <w:right w:w="20" w:type="dxa"/>
            </w:tcMar>
            <w:vAlign w:val="bottom"/>
          </w:tcPr>
          <w:p w14:paraId="71D499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CA" w14:textId="77777777" w:rsidR="006A3667" w:rsidRDefault="006A3667">
            <w:pPr>
              <w:rPr>
                <w:rFonts w:ascii="宋体"/>
              </w:rPr>
            </w:pPr>
          </w:p>
        </w:tc>
        <w:tc>
          <w:tcPr>
            <w:tcW w:w="0" w:type="auto"/>
            <w:shd w:val="clear" w:color="auto" w:fill="auto"/>
            <w:vAlign w:val="bottom"/>
          </w:tcPr>
          <w:p w14:paraId="71D499CB" w14:textId="77777777" w:rsidR="006A3667" w:rsidRDefault="006A3667">
            <w:pPr>
              <w:rPr>
                <w:rFonts w:ascii="宋体"/>
                <w:vanish/>
              </w:rPr>
            </w:pPr>
          </w:p>
        </w:tc>
        <w:tc>
          <w:tcPr>
            <w:tcW w:w="0" w:type="auto"/>
            <w:shd w:val="clear" w:color="auto" w:fill="auto"/>
            <w:vAlign w:val="bottom"/>
          </w:tcPr>
          <w:p w14:paraId="71D499CC"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9CD" w14:textId="77777777" w:rsidR="006A3667" w:rsidRDefault="00045F32">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9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9D0" w14:textId="77777777" w:rsidR="006A3667" w:rsidRDefault="00045F32">
            <w:pPr>
              <w:jc w:val="right"/>
              <w:textAlignment w:val="bottom"/>
            </w:pPr>
            <w:r>
              <w:rPr>
                <w:rFonts w:ascii="Arial" w:eastAsia="宋体" w:hAnsi="Arial" w:cs="Arial"/>
                <w:color w:val="000000"/>
                <w:sz w:val="14"/>
                <w:szCs w:val="14"/>
              </w:rPr>
              <w:t>88 </w:t>
            </w:r>
          </w:p>
        </w:tc>
        <w:tc>
          <w:tcPr>
            <w:tcW w:w="0" w:type="auto"/>
            <w:shd w:val="clear" w:color="auto" w:fill="FFFFFF"/>
            <w:tcMar>
              <w:top w:w="40" w:type="dxa"/>
              <w:left w:w="0" w:type="dxa"/>
              <w:bottom w:w="40" w:type="dxa"/>
              <w:right w:w="20" w:type="dxa"/>
            </w:tcMar>
            <w:vAlign w:val="bottom"/>
          </w:tcPr>
          <w:p w14:paraId="71D499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9D2" w14:textId="77777777" w:rsidR="006A3667" w:rsidRDefault="006A3667">
            <w:pPr>
              <w:rPr>
                <w:rFonts w:ascii="宋体"/>
              </w:rPr>
            </w:pPr>
          </w:p>
        </w:tc>
        <w:tc>
          <w:tcPr>
            <w:tcW w:w="0" w:type="auto"/>
            <w:gridSpan w:val="3"/>
            <w:shd w:val="clear" w:color="auto" w:fill="auto"/>
            <w:vAlign w:val="bottom"/>
          </w:tcPr>
          <w:p w14:paraId="71D499D3" w14:textId="77777777" w:rsidR="006A3667" w:rsidRDefault="006A3667">
            <w:pPr>
              <w:rPr>
                <w:rFonts w:ascii="宋体"/>
                <w:vanish/>
              </w:rPr>
            </w:pPr>
          </w:p>
        </w:tc>
        <w:tc>
          <w:tcPr>
            <w:tcW w:w="0" w:type="auto"/>
            <w:gridSpan w:val="3"/>
            <w:shd w:val="clear" w:color="auto" w:fill="auto"/>
            <w:vAlign w:val="bottom"/>
          </w:tcPr>
          <w:p w14:paraId="71D499D4" w14:textId="77777777" w:rsidR="006A3667" w:rsidRDefault="006A3667">
            <w:pPr>
              <w:rPr>
                <w:rFonts w:ascii="宋体"/>
                <w:vanish/>
              </w:rPr>
            </w:pPr>
          </w:p>
        </w:tc>
        <w:tc>
          <w:tcPr>
            <w:tcW w:w="0" w:type="auto"/>
            <w:gridSpan w:val="2"/>
            <w:shd w:val="clear" w:color="auto" w:fill="FFFFFF"/>
            <w:tcMar>
              <w:top w:w="40" w:type="dxa"/>
              <w:left w:w="20" w:type="dxa"/>
              <w:bottom w:w="40" w:type="dxa"/>
              <w:right w:w="0" w:type="dxa"/>
            </w:tcMar>
            <w:vAlign w:val="bottom"/>
          </w:tcPr>
          <w:p w14:paraId="71D499D5" w14:textId="77777777" w:rsidR="006A3667" w:rsidRDefault="00045F32">
            <w:pPr>
              <w:jc w:val="right"/>
              <w:textAlignment w:val="bottom"/>
            </w:pPr>
            <w:r>
              <w:rPr>
                <w:rFonts w:ascii="Arial" w:eastAsia="宋体" w:hAnsi="Arial" w:cs="Arial"/>
                <w:b/>
                <w:bCs/>
                <w:color w:val="000000"/>
                <w:sz w:val="14"/>
                <w:szCs w:val="14"/>
              </w:rPr>
              <w:t>6,545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9D6" w14:textId="77777777" w:rsidR="006A3667" w:rsidRDefault="006A3667">
            <w:pPr>
              <w:jc w:val="right"/>
              <w:rPr>
                <w:rFonts w:ascii="宋体"/>
              </w:rPr>
            </w:pPr>
          </w:p>
        </w:tc>
        <w:tc>
          <w:tcPr>
            <w:tcW w:w="0" w:type="auto"/>
            <w:gridSpan w:val="2"/>
            <w:shd w:val="clear" w:color="auto" w:fill="FFFFFF"/>
            <w:tcMar>
              <w:top w:w="0" w:type="dxa"/>
              <w:left w:w="20" w:type="dxa"/>
              <w:bottom w:w="0" w:type="dxa"/>
              <w:right w:w="20" w:type="dxa"/>
            </w:tcMar>
            <w:vAlign w:val="bottom"/>
          </w:tcPr>
          <w:p w14:paraId="71D499D7" w14:textId="77777777" w:rsidR="006A3667" w:rsidRDefault="006A3667">
            <w:pPr>
              <w:rPr>
                <w:rFonts w:ascii="宋体"/>
              </w:rPr>
            </w:pPr>
          </w:p>
        </w:tc>
        <w:tc>
          <w:tcPr>
            <w:tcW w:w="0" w:type="auto"/>
            <w:shd w:val="clear" w:color="auto" w:fill="FFFFFF"/>
            <w:tcMar>
              <w:top w:w="40" w:type="dxa"/>
              <w:left w:w="20" w:type="dxa"/>
              <w:bottom w:w="40" w:type="dxa"/>
              <w:right w:w="0" w:type="dxa"/>
            </w:tcMar>
            <w:vAlign w:val="bottom"/>
          </w:tcPr>
          <w:p w14:paraId="71D499D8" w14:textId="77777777" w:rsidR="006A3667" w:rsidRDefault="00045F32">
            <w:pPr>
              <w:jc w:val="right"/>
              <w:textAlignment w:val="bottom"/>
            </w:pPr>
            <w:r>
              <w:rPr>
                <w:rFonts w:ascii="Arial" w:eastAsia="宋体" w:hAnsi="Arial" w:cs="Arial"/>
                <w:color w:val="000000"/>
                <w:sz w:val="14"/>
                <w:szCs w:val="14"/>
              </w:rPr>
              <w:t>6,559 </w:t>
            </w:r>
          </w:p>
        </w:tc>
      </w:tr>
      <w:tr w:rsidR="006A3667" w14:paraId="71D499FE" w14:textId="77777777">
        <w:tc>
          <w:tcPr>
            <w:tcW w:w="0" w:type="auto"/>
            <w:gridSpan w:val="3"/>
            <w:shd w:val="clear" w:color="auto" w:fill="CCEEFF"/>
            <w:tcMar>
              <w:top w:w="40" w:type="dxa"/>
              <w:left w:w="20" w:type="dxa"/>
              <w:bottom w:w="40" w:type="dxa"/>
              <w:right w:w="20" w:type="dxa"/>
            </w:tcMar>
            <w:vAlign w:val="bottom"/>
          </w:tcPr>
          <w:p w14:paraId="71D499DA" w14:textId="77777777" w:rsidR="006A3667" w:rsidRDefault="00045F32">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9DB"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9DC" w14:textId="77777777" w:rsidR="006A3667" w:rsidRDefault="00045F32">
            <w:pPr>
              <w:jc w:val="right"/>
              <w:textAlignment w:val="bottom"/>
            </w:pPr>
            <w:r>
              <w:rPr>
                <w:rFonts w:ascii="Arial" w:eastAsia="宋体" w:hAnsi="Arial" w:cs="Arial"/>
                <w:b/>
                <w:bCs/>
                <w:color w:val="000000"/>
                <w:sz w:val="14"/>
                <w:szCs w:val="14"/>
              </w:rPr>
              <w:t>2,047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9D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DE"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9DF"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9E0" w14:textId="77777777" w:rsidR="006A3667" w:rsidRDefault="00045F32">
            <w:pPr>
              <w:jc w:val="right"/>
              <w:textAlignment w:val="bottom"/>
            </w:pPr>
            <w:r>
              <w:rPr>
                <w:rFonts w:ascii="Arial" w:eastAsia="宋体" w:hAnsi="Arial" w:cs="Arial"/>
                <w:color w:val="000000"/>
                <w:sz w:val="14"/>
                <w:szCs w:val="14"/>
              </w:rPr>
              <w:t>1,991 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9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E2" w14:textId="77777777" w:rsidR="006A3667" w:rsidRDefault="006A3667">
            <w:pPr>
              <w:rPr>
                <w:rFonts w:ascii="宋体"/>
              </w:rPr>
            </w:pPr>
          </w:p>
        </w:tc>
        <w:tc>
          <w:tcPr>
            <w:tcW w:w="0" w:type="auto"/>
            <w:shd w:val="clear" w:color="auto" w:fill="auto"/>
            <w:vAlign w:val="bottom"/>
          </w:tcPr>
          <w:p w14:paraId="71D499E3" w14:textId="77777777" w:rsidR="006A3667" w:rsidRDefault="006A3667">
            <w:pPr>
              <w:rPr>
                <w:rFonts w:ascii="宋体"/>
                <w:vanish/>
              </w:rPr>
            </w:pPr>
          </w:p>
        </w:tc>
        <w:tc>
          <w:tcPr>
            <w:tcW w:w="0" w:type="auto"/>
            <w:shd w:val="clear" w:color="auto" w:fill="auto"/>
            <w:vAlign w:val="bottom"/>
          </w:tcPr>
          <w:p w14:paraId="71D499E4"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9E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9E6" w14:textId="77777777" w:rsidR="006A3667" w:rsidRDefault="00045F32">
            <w:pPr>
              <w:jc w:val="right"/>
              <w:textAlignment w:val="bottom"/>
            </w:pPr>
            <w:r>
              <w:rPr>
                <w:rFonts w:ascii="Arial" w:eastAsia="宋体" w:hAnsi="Arial" w:cs="Arial"/>
                <w:b/>
                <w:bCs/>
                <w:color w:val="000000"/>
                <w:sz w:val="14"/>
                <w:szCs w:val="14"/>
              </w:rPr>
              <w:t>433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9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E8"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9E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9EA" w14:textId="77777777" w:rsidR="006A3667" w:rsidRDefault="00045F32">
            <w:pPr>
              <w:jc w:val="right"/>
              <w:textAlignment w:val="bottom"/>
            </w:pPr>
            <w:r>
              <w:rPr>
                <w:rFonts w:ascii="Arial" w:eastAsia="宋体" w:hAnsi="Arial" w:cs="Arial"/>
                <w:color w:val="000000"/>
                <w:sz w:val="14"/>
                <w:szCs w:val="14"/>
              </w:rPr>
              <w:t>485 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9E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EC" w14:textId="77777777" w:rsidR="006A3667" w:rsidRDefault="006A3667">
            <w:pPr>
              <w:rPr>
                <w:rFonts w:ascii="宋体"/>
              </w:rPr>
            </w:pPr>
          </w:p>
        </w:tc>
        <w:tc>
          <w:tcPr>
            <w:tcW w:w="0" w:type="auto"/>
            <w:shd w:val="clear" w:color="auto" w:fill="auto"/>
            <w:vAlign w:val="bottom"/>
          </w:tcPr>
          <w:p w14:paraId="71D499ED" w14:textId="77777777" w:rsidR="006A3667" w:rsidRDefault="006A3667">
            <w:pPr>
              <w:rPr>
                <w:rFonts w:ascii="宋体"/>
                <w:vanish/>
              </w:rPr>
            </w:pPr>
          </w:p>
        </w:tc>
        <w:tc>
          <w:tcPr>
            <w:tcW w:w="0" w:type="auto"/>
            <w:shd w:val="clear" w:color="auto" w:fill="auto"/>
            <w:vAlign w:val="bottom"/>
          </w:tcPr>
          <w:p w14:paraId="71D499EE" w14:textId="77777777" w:rsidR="006A3667" w:rsidRDefault="006A3667">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9EF"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9F0" w14:textId="77777777" w:rsidR="006A3667" w:rsidRDefault="00045F32">
            <w:pPr>
              <w:jc w:val="right"/>
              <w:textAlignment w:val="bottom"/>
            </w:pPr>
            <w:r>
              <w:rPr>
                <w:rFonts w:ascii="Arial" w:eastAsia="宋体" w:hAnsi="Arial" w:cs="Arial"/>
                <w:b/>
                <w:bCs/>
                <w:color w:val="000000"/>
                <w:sz w:val="14"/>
                <w:szCs w:val="14"/>
              </w:rPr>
              <w:t>(42)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9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F2"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9F3"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9F4" w14:textId="77777777" w:rsidR="006A3667" w:rsidRDefault="00045F32">
            <w:pPr>
              <w:jc w:val="right"/>
              <w:textAlignment w:val="bottom"/>
            </w:pPr>
            <w:r>
              <w:rPr>
                <w:rFonts w:ascii="Arial" w:eastAsia="宋体" w:hAnsi="Arial" w:cs="Arial"/>
                <w:color w:val="000000"/>
                <w:sz w:val="14"/>
                <w:szCs w:val="14"/>
              </w:rPr>
              <w:t>(35)</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9F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9F6" w14:textId="77777777" w:rsidR="006A3667" w:rsidRDefault="006A3667">
            <w:pPr>
              <w:rPr>
                <w:rFonts w:ascii="宋体"/>
              </w:rPr>
            </w:pPr>
          </w:p>
        </w:tc>
        <w:tc>
          <w:tcPr>
            <w:tcW w:w="0" w:type="auto"/>
            <w:gridSpan w:val="3"/>
            <w:shd w:val="clear" w:color="auto" w:fill="auto"/>
            <w:vAlign w:val="bottom"/>
          </w:tcPr>
          <w:p w14:paraId="71D499F7" w14:textId="77777777" w:rsidR="006A3667" w:rsidRDefault="006A3667">
            <w:pPr>
              <w:rPr>
                <w:rFonts w:ascii="宋体"/>
                <w:vanish/>
              </w:rPr>
            </w:pPr>
          </w:p>
        </w:tc>
        <w:tc>
          <w:tcPr>
            <w:tcW w:w="0" w:type="auto"/>
            <w:gridSpan w:val="3"/>
            <w:shd w:val="clear" w:color="auto" w:fill="auto"/>
            <w:vAlign w:val="bottom"/>
          </w:tcPr>
          <w:p w14:paraId="71D499F8" w14:textId="77777777" w:rsidR="006A3667" w:rsidRDefault="006A3667">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9F9" w14:textId="77777777" w:rsidR="006A3667" w:rsidRDefault="00045F32">
            <w:pPr>
              <w:jc w:val="right"/>
              <w:textAlignment w:val="bottom"/>
            </w:pPr>
            <w:r>
              <w:rPr>
                <w:rFonts w:ascii="Arial" w:eastAsia="宋体" w:hAnsi="Arial" w:cs="Arial"/>
                <w:b/>
                <w:bCs/>
                <w:color w:val="000000"/>
                <w:sz w:val="14"/>
                <w:szCs w:val="14"/>
              </w:rPr>
              <w:t>2,438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9FA" w14:textId="77777777" w:rsidR="006A3667" w:rsidRDefault="006A3667">
            <w:pPr>
              <w:jc w:val="right"/>
              <w:rPr>
                <w:rFonts w:ascii="宋体"/>
              </w:rPr>
            </w:pPr>
          </w:p>
        </w:tc>
        <w:tc>
          <w:tcPr>
            <w:tcW w:w="0" w:type="auto"/>
            <w:gridSpan w:val="2"/>
            <w:shd w:val="clear" w:color="auto" w:fill="CCEEFF"/>
            <w:tcMar>
              <w:top w:w="0" w:type="dxa"/>
              <w:left w:w="20" w:type="dxa"/>
              <w:bottom w:w="0" w:type="dxa"/>
              <w:right w:w="20" w:type="dxa"/>
            </w:tcMar>
            <w:vAlign w:val="bottom"/>
          </w:tcPr>
          <w:p w14:paraId="71D499F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9FC" w14:textId="77777777" w:rsidR="006A3667" w:rsidRDefault="00045F32">
            <w:pPr>
              <w:textAlignment w:val="bottom"/>
            </w:pPr>
            <w:r>
              <w:rPr>
                <w:rFonts w:ascii="Arial" w:eastAsia="宋体" w:hAnsi="Arial" w:cs="Arial"/>
                <w:color w:val="000000"/>
                <w:sz w:val="14"/>
                <w:szCs w:val="14"/>
              </w:rPr>
              <w:t>$</w:t>
            </w:r>
          </w:p>
          <w:p w14:paraId="71D499FD" w14:textId="77777777" w:rsidR="006A3667" w:rsidRDefault="00045F32">
            <w:pPr>
              <w:jc w:val="right"/>
              <w:textAlignment w:val="bottom"/>
            </w:pPr>
            <w:r>
              <w:rPr>
                <w:rFonts w:ascii="Arial" w:eastAsia="宋体" w:hAnsi="Arial" w:cs="Arial"/>
                <w:color w:val="000000"/>
                <w:sz w:val="14"/>
                <w:szCs w:val="14"/>
              </w:rPr>
              <w:t>2,441 </w:t>
            </w:r>
          </w:p>
        </w:tc>
      </w:tr>
      <w:tr w:rsidR="006A3667" w14:paraId="71D49A1B" w14:textId="77777777">
        <w:tc>
          <w:tcPr>
            <w:tcW w:w="0" w:type="auto"/>
            <w:gridSpan w:val="3"/>
            <w:shd w:val="clear" w:color="auto" w:fill="FFFFFF"/>
            <w:tcMar>
              <w:top w:w="40" w:type="dxa"/>
              <w:left w:w="20" w:type="dxa"/>
              <w:bottom w:w="40" w:type="dxa"/>
              <w:right w:w="20" w:type="dxa"/>
            </w:tcMar>
            <w:vAlign w:val="bottom"/>
          </w:tcPr>
          <w:p w14:paraId="71D499FF" w14:textId="77777777" w:rsidR="006A3667" w:rsidRDefault="00045F32">
            <w:pPr>
              <w:textAlignment w:val="bottom"/>
            </w:pPr>
            <w:r>
              <w:rPr>
                <w:rFonts w:ascii="Arial" w:eastAsia="宋体" w:hAnsi="Arial" w:cs="Arial"/>
                <w:color w:val="000000"/>
                <w:sz w:val="14"/>
                <w:szCs w:val="14"/>
              </w:rPr>
              <w:t>Pre-tax margin</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1D49A00" w14:textId="77777777" w:rsidR="006A3667" w:rsidRDefault="00045F32">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1D49A01"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9A02" w14:textId="77777777" w:rsidR="006A3667" w:rsidRDefault="006A3667">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1D49A03" w14:textId="77777777" w:rsidR="006A3667" w:rsidRDefault="00045F32">
            <w:pPr>
              <w:jc w:val="right"/>
              <w:textAlignment w:val="bottom"/>
            </w:pPr>
            <w:r>
              <w:rPr>
                <w:rFonts w:ascii="Arial" w:eastAsia="宋体" w:hAnsi="Arial" w:cs="Arial"/>
                <w:color w:val="000000"/>
                <w:sz w:val="14"/>
                <w:szCs w:val="14"/>
              </w:rPr>
              <w:t>27 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1D49A04" w14:textId="77777777" w:rsidR="006A3667" w:rsidRDefault="00045F32">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9A05" w14:textId="77777777" w:rsidR="006A3667" w:rsidRDefault="006A3667">
            <w:pPr>
              <w:rPr>
                <w:rFonts w:ascii="宋体"/>
              </w:rPr>
            </w:pPr>
          </w:p>
        </w:tc>
        <w:tc>
          <w:tcPr>
            <w:tcW w:w="0" w:type="auto"/>
            <w:shd w:val="clear" w:color="auto" w:fill="auto"/>
            <w:vAlign w:val="bottom"/>
          </w:tcPr>
          <w:p w14:paraId="71D49A06" w14:textId="77777777" w:rsidR="006A3667" w:rsidRDefault="006A3667">
            <w:pPr>
              <w:rPr>
                <w:rFonts w:ascii="宋体"/>
                <w:vanish/>
              </w:rPr>
            </w:pPr>
          </w:p>
        </w:tc>
        <w:tc>
          <w:tcPr>
            <w:tcW w:w="0" w:type="auto"/>
            <w:shd w:val="clear" w:color="auto" w:fill="auto"/>
            <w:vAlign w:val="bottom"/>
          </w:tcPr>
          <w:p w14:paraId="71D49A07" w14:textId="77777777" w:rsidR="006A3667" w:rsidRDefault="006A3667">
            <w:pPr>
              <w:rPr>
                <w:rFonts w:ascii="宋体"/>
                <w:vanish/>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1D49A08" w14:textId="77777777" w:rsidR="006A3667" w:rsidRDefault="00045F32">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1D49A09"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9A0A" w14:textId="77777777" w:rsidR="006A3667" w:rsidRDefault="006A3667">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1D49A0B" w14:textId="77777777" w:rsidR="006A3667" w:rsidRDefault="00045F32">
            <w:pPr>
              <w:jc w:val="right"/>
              <w:textAlignment w:val="bottom"/>
            </w:pPr>
            <w:r>
              <w:rPr>
                <w:rFonts w:ascii="Arial" w:eastAsia="宋体" w:hAnsi="Arial" w:cs="Arial"/>
                <w:color w:val="000000"/>
                <w:sz w:val="14"/>
                <w:szCs w:val="14"/>
              </w:rPr>
              <w:t>31 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1D49A0C" w14:textId="77777777" w:rsidR="006A3667" w:rsidRDefault="00045F32">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71D49A0D" w14:textId="77777777" w:rsidR="006A3667" w:rsidRDefault="006A3667">
            <w:pPr>
              <w:rPr>
                <w:rFonts w:ascii="宋体"/>
              </w:rPr>
            </w:pPr>
          </w:p>
        </w:tc>
        <w:tc>
          <w:tcPr>
            <w:tcW w:w="0" w:type="auto"/>
            <w:shd w:val="clear" w:color="auto" w:fill="auto"/>
            <w:vAlign w:val="bottom"/>
          </w:tcPr>
          <w:p w14:paraId="71D49A0E" w14:textId="77777777" w:rsidR="006A3667" w:rsidRDefault="006A3667">
            <w:pPr>
              <w:rPr>
                <w:rFonts w:ascii="宋体"/>
                <w:vanish/>
              </w:rPr>
            </w:pPr>
          </w:p>
        </w:tc>
        <w:tc>
          <w:tcPr>
            <w:tcW w:w="0" w:type="auto"/>
            <w:shd w:val="clear" w:color="auto" w:fill="auto"/>
            <w:vAlign w:val="bottom"/>
          </w:tcPr>
          <w:p w14:paraId="71D49A0F" w14:textId="77777777" w:rsidR="006A3667" w:rsidRDefault="006A3667">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A10"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A11"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A12" w14:textId="77777777" w:rsidR="006A3667" w:rsidRDefault="006A3667">
            <w:pPr>
              <w:rPr>
                <w:rFonts w:ascii="宋体"/>
              </w:rPr>
            </w:pPr>
          </w:p>
        </w:tc>
        <w:tc>
          <w:tcPr>
            <w:tcW w:w="0" w:type="auto"/>
            <w:gridSpan w:val="3"/>
            <w:shd w:val="clear" w:color="auto" w:fill="FFFFFF"/>
            <w:tcMar>
              <w:top w:w="0" w:type="dxa"/>
              <w:left w:w="20" w:type="dxa"/>
              <w:bottom w:w="0" w:type="dxa"/>
              <w:right w:w="20" w:type="dxa"/>
            </w:tcMar>
            <w:vAlign w:val="bottom"/>
          </w:tcPr>
          <w:p w14:paraId="71D49A13" w14:textId="77777777" w:rsidR="006A3667" w:rsidRDefault="006A3667">
            <w:pPr>
              <w:rPr>
                <w:rFonts w:ascii="宋体"/>
              </w:rPr>
            </w:pPr>
          </w:p>
        </w:tc>
        <w:tc>
          <w:tcPr>
            <w:tcW w:w="0" w:type="auto"/>
            <w:gridSpan w:val="3"/>
            <w:shd w:val="clear" w:color="auto" w:fill="auto"/>
            <w:vAlign w:val="bottom"/>
          </w:tcPr>
          <w:p w14:paraId="71D49A14" w14:textId="77777777" w:rsidR="006A3667" w:rsidRDefault="006A3667">
            <w:pPr>
              <w:rPr>
                <w:rFonts w:ascii="宋体"/>
                <w:vanish/>
              </w:rPr>
            </w:pPr>
          </w:p>
        </w:tc>
        <w:tc>
          <w:tcPr>
            <w:tcW w:w="0" w:type="auto"/>
            <w:gridSpan w:val="3"/>
            <w:shd w:val="clear" w:color="auto" w:fill="auto"/>
            <w:vAlign w:val="bottom"/>
          </w:tcPr>
          <w:p w14:paraId="71D49A15" w14:textId="77777777" w:rsidR="006A3667" w:rsidRDefault="006A3667">
            <w:pPr>
              <w:rPr>
                <w:rFonts w:ascii="宋体"/>
                <w:vanish/>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1D49A16" w14:textId="77777777" w:rsidR="006A3667" w:rsidRDefault="00045F32">
            <w:pPr>
              <w:jc w:val="right"/>
              <w:textAlignment w:val="bottom"/>
            </w:pPr>
            <w:r>
              <w:rPr>
                <w:rFonts w:ascii="Arial" w:eastAsia="宋体" w:hAnsi="Arial" w:cs="Arial"/>
                <w:b/>
                <w:bCs/>
                <w:color w:val="000000"/>
                <w:sz w:val="14"/>
                <w:szCs w:val="14"/>
              </w:rPr>
              <w:t>27</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71D49A17" w14:textId="77777777" w:rsidR="006A3667" w:rsidRDefault="00045F32">
            <w:pPr>
              <w:jc w:val="right"/>
              <w:textAlignment w:val="bottom"/>
            </w:pPr>
            <w:r>
              <w:rPr>
                <w:rFonts w:ascii="Arial" w:eastAsia="宋体" w:hAnsi="Arial" w:cs="Arial"/>
                <w:b/>
                <w:bCs/>
                <w:color w:val="000000"/>
                <w:sz w:val="14"/>
                <w:szCs w:val="14"/>
              </w:rPr>
              <w:t>%</w:t>
            </w:r>
          </w:p>
        </w:tc>
        <w:tc>
          <w:tcPr>
            <w:tcW w:w="0" w:type="auto"/>
            <w:gridSpan w:val="2"/>
            <w:shd w:val="clear" w:color="auto" w:fill="FFFFFF"/>
            <w:tcMar>
              <w:top w:w="0" w:type="dxa"/>
              <w:left w:w="20" w:type="dxa"/>
              <w:bottom w:w="0" w:type="dxa"/>
              <w:right w:w="20" w:type="dxa"/>
            </w:tcMar>
            <w:vAlign w:val="bottom"/>
          </w:tcPr>
          <w:p w14:paraId="71D49A18" w14:textId="77777777" w:rsidR="006A3667" w:rsidRDefault="006A3667">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71D49A19" w14:textId="77777777" w:rsidR="006A3667" w:rsidRDefault="00045F32">
            <w:pPr>
              <w:jc w:val="right"/>
              <w:textAlignment w:val="bottom"/>
            </w:pPr>
            <w:r>
              <w:rPr>
                <w:rFonts w:ascii="Arial" w:eastAsia="宋体" w:hAnsi="Arial" w:cs="Arial"/>
                <w:color w:val="000000"/>
                <w:sz w:val="14"/>
                <w:szCs w:val="14"/>
              </w:rPr>
              <w:t>27 </w:t>
            </w:r>
          </w:p>
          <w:p w14:paraId="71D49A1A" w14:textId="77777777" w:rsidR="006A3667" w:rsidRDefault="00045F32">
            <w:pPr>
              <w:jc w:val="right"/>
              <w:textAlignment w:val="bottom"/>
            </w:pPr>
            <w:r>
              <w:rPr>
                <w:rFonts w:ascii="Arial" w:eastAsia="宋体" w:hAnsi="Arial" w:cs="Arial"/>
                <w:color w:val="000000"/>
                <w:sz w:val="14"/>
                <w:szCs w:val="14"/>
              </w:rPr>
              <w:t>%</w:t>
            </w:r>
          </w:p>
        </w:tc>
      </w:tr>
      <w:tr w:rsidR="006A3667" w14:paraId="71D49A32" w14:textId="77777777">
        <w:trPr>
          <w:hidden/>
        </w:trPr>
        <w:tc>
          <w:tcPr>
            <w:tcW w:w="0" w:type="auto"/>
            <w:gridSpan w:val="3"/>
            <w:shd w:val="clear" w:color="auto" w:fill="auto"/>
            <w:vAlign w:val="bottom"/>
          </w:tcPr>
          <w:p w14:paraId="71D49A1C" w14:textId="77777777" w:rsidR="006A3667" w:rsidRDefault="006A3667">
            <w:pPr>
              <w:rPr>
                <w:rFonts w:ascii="宋体"/>
                <w:vanish/>
              </w:rPr>
            </w:pPr>
          </w:p>
        </w:tc>
        <w:tc>
          <w:tcPr>
            <w:tcW w:w="0" w:type="auto"/>
            <w:gridSpan w:val="3"/>
            <w:shd w:val="clear" w:color="auto" w:fill="auto"/>
            <w:vAlign w:val="bottom"/>
          </w:tcPr>
          <w:p w14:paraId="71D49A1D" w14:textId="77777777" w:rsidR="006A3667" w:rsidRDefault="006A3667">
            <w:pPr>
              <w:rPr>
                <w:rFonts w:ascii="宋体"/>
                <w:vanish/>
              </w:rPr>
            </w:pPr>
          </w:p>
        </w:tc>
        <w:tc>
          <w:tcPr>
            <w:tcW w:w="0" w:type="auto"/>
            <w:gridSpan w:val="3"/>
            <w:shd w:val="clear" w:color="auto" w:fill="auto"/>
            <w:vAlign w:val="bottom"/>
          </w:tcPr>
          <w:p w14:paraId="71D49A1E" w14:textId="77777777" w:rsidR="006A3667" w:rsidRDefault="006A3667">
            <w:pPr>
              <w:rPr>
                <w:rFonts w:ascii="宋体"/>
                <w:vanish/>
              </w:rPr>
            </w:pPr>
          </w:p>
        </w:tc>
        <w:tc>
          <w:tcPr>
            <w:tcW w:w="0" w:type="auto"/>
            <w:gridSpan w:val="3"/>
            <w:shd w:val="clear" w:color="auto" w:fill="auto"/>
            <w:vAlign w:val="bottom"/>
          </w:tcPr>
          <w:p w14:paraId="71D49A1F" w14:textId="77777777" w:rsidR="006A3667" w:rsidRDefault="006A3667">
            <w:pPr>
              <w:rPr>
                <w:rFonts w:ascii="宋体"/>
                <w:vanish/>
              </w:rPr>
            </w:pPr>
          </w:p>
        </w:tc>
        <w:tc>
          <w:tcPr>
            <w:tcW w:w="0" w:type="auto"/>
            <w:gridSpan w:val="3"/>
            <w:shd w:val="clear" w:color="auto" w:fill="auto"/>
            <w:vAlign w:val="bottom"/>
          </w:tcPr>
          <w:p w14:paraId="71D49A20" w14:textId="77777777" w:rsidR="006A3667" w:rsidRDefault="006A3667">
            <w:pPr>
              <w:rPr>
                <w:rFonts w:ascii="宋体"/>
                <w:vanish/>
              </w:rPr>
            </w:pPr>
          </w:p>
        </w:tc>
        <w:tc>
          <w:tcPr>
            <w:tcW w:w="0" w:type="auto"/>
            <w:shd w:val="clear" w:color="auto" w:fill="auto"/>
            <w:vAlign w:val="bottom"/>
          </w:tcPr>
          <w:p w14:paraId="71D49A21" w14:textId="77777777" w:rsidR="006A3667" w:rsidRDefault="006A3667">
            <w:pPr>
              <w:rPr>
                <w:rFonts w:ascii="宋体"/>
                <w:vanish/>
              </w:rPr>
            </w:pPr>
          </w:p>
        </w:tc>
        <w:tc>
          <w:tcPr>
            <w:tcW w:w="0" w:type="auto"/>
            <w:shd w:val="clear" w:color="auto" w:fill="auto"/>
            <w:vAlign w:val="bottom"/>
          </w:tcPr>
          <w:p w14:paraId="71D49A22" w14:textId="77777777" w:rsidR="006A3667" w:rsidRDefault="006A3667">
            <w:pPr>
              <w:rPr>
                <w:rFonts w:ascii="宋体"/>
                <w:vanish/>
              </w:rPr>
            </w:pPr>
          </w:p>
        </w:tc>
        <w:tc>
          <w:tcPr>
            <w:tcW w:w="0" w:type="auto"/>
            <w:gridSpan w:val="3"/>
            <w:shd w:val="clear" w:color="auto" w:fill="auto"/>
            <w:vAlign w:val="bottom"/>
          </w:tcPr>
          <w:p w14:paraId="71D49A23" w14:textId="77777777" w:rsidR="006A3667" w:rsidRDefault="006A3667">
            <w:pPr>
              <w:rPr>
                <w:rFonts w:ascii="宋体"/>
                <w:vanish/>
              </w:rPr>
            </w:pPr>
          </w:p>
        </w:tc>
        <w:tc>
          <w:tcPr>
            <w:tcW w:w="0" w:type="auto"/>
            <w:gridSpan w:val="3"/>
            <w:shd w:val="clear" w:color="auto" w:fill="auto"/>
            <w:vAlign w:val="bottom"/>
          </w:tcPr>
          <w:p w14:paraId="71D49A24" w14:textId="77777777" w:rsidR="006A3667" w:rsidRDefault="006A3667">
            <w:pPr>
              <w:rPr>
                <w:rFonts w:ascii="宋体"/>
                <w:vanish/>
              </w:rPr>
            </w:pPr>
          </w:p>
        </w:tc>
        <w:tc>
          <w:tcPr>
            <w:tcW w:w="0" w:type="auto"/>
            <w:gridSpan w:val="3"/>
            <w:shd w:val="clear" w:color="auto" w:fill="auto"/>
            <w:vAlign w:val="bottom"/>
          </w:tcPr>
          <w:p w14:paraId="71D49A25" w14:textId="77777777" w:rsidR="006A3667" w:rsidRDefault="006A3667">
            <w:pPr>
              <w:rPr>
                <w:rFonts w:ascii="宋体"/>
                <w:vanish/>
              </w:rPr>
            </w:pPr>
          </w:p>
        </w:tc>
        <w:tc>
          <w:tcPr>
            <w:tcW w:w="0" w:type="auto"/>
            <w:gridSpan w:val="3"/>
            <w:shd w:val="clear" w:color="auto" w:fill="auto"/>
            <w:vAlign w:val="bottom"/>
          </w:tcPr>
          <w:p w14:paraId="71D49A26" w14:textId="77777777" w:rsidR="006A3667" w:rsidRDefault="006A3667">
            <w:pPr>
              <w:rPr>
                <w:rFonts w:ascii="宋体"/>
                <w:vanish/>
              </w:rPr>
            </w:pPr>
          </w:p>
        </w:tc>
        <w:tc>
          <w:tcPr>
            <w:tcW w:w="0" w:type="auto"/>
            <w:shd w:val="clear" w:color="auto" w:fill="auto"/>
            <w:vAlign w:val="bottom"/>
          </w:tcPr>
          <w:p w14:paraId="71D49A27" w14:textId="77777777" w:rsidR="006A3667" w:rsidRDefault="006A3667">
            <w:pPr>
              <w:rPr>
                <w:rFonts w:ascii="宋体"/>
                <w:vanish/>
              </w:rPr>
            </w:pPr>
          </w:p>
        </w:tc>
        <w:tc>
          <w:tcPr>
            <w:tcW w:w="0" w:type="auto"/>
            <w:shd w:val="clear" w:color="auto" w:fill="auto"/>
            <w:vAlign w:val="bottom"/>
          </w:tcPr>
          <w:p w14:paraId="71D49A28" w14:textId="77777777" w:rsidR="006A3667" w:rsidRDefault="006A3667">
            <w:pPr>
              <w:rPr>
                <w:rFonts w:ascii="宋体"/>
                <w:vanish/>
              </w:rPr>
            </w:pPr>
          </w:p>
        </w:tc>
        <w:tc>
          <w:tcPr>
            <w:tcW w:w="0" w:type="auto"/>
            <w:gridSpan w:val="3"/>
            <w:shd w:val="clear" w:color="auto" w:fill="auto"/>
            <w:vAlign w:val="bottom"/>
          </w:tcPr>
          <w:p w14:paraId="71D49A29" w14:textId="77777777" w:rsidR="006A3667" w:rsidRDefault="006A3667">
            <w:pPr>
              <w:rPr>
                <w:rFonts w:ascii="宋体"/>
                <w:vanish/>
              </w:rPr>
            </w:pPr>
          </w:p>
        </w:tc>
        <w:tc>
          <w:tcPr>
            <w:tcW w:w="0" w:type="auto"/>
            <w:gridSpan w:val="3"/>
            <w:shd w:val="clear" w:color="auto" w:fill="auto"/>
            <w:vAlign w:val="bottom"/>
          </w:tcPr>
          <w:p w14:paraId="71D49A2A" w14:textId="77777777" w:rsidR="006A3667" w:rsidRDefault="006A3667">
            <w:pPr>
              <w:rPr>
                <w:rFonts w:ascii="宋体"/>
                <w:vanish/>
              </w:rPr>
            </w:pPr>
          </w:p>
        </w:tc>
        <w:tc>
          <w:tcPr>
            <w:tcW w:w="0" w:type="auto"/>
            <w:gridSpan w:val="3"/>
            <w:shd w:val="clear" w:color="auto" w:fill="auto"/>
            <w:vAlign w:val="bottom"/>
          </w:tcPr>
          <w:p w14:paraId="71D49A2B" w14:textId="77777777" w:rsidR="006A3667" w:rsidRDefault="006A3667">
            <w:pPr>
              <w:rPr>
                <w:rFonts w:ascii="宋体"/>
                <w:vanish/>
              </w:rPr>
            </w:pPr>
          </w:p>
        </w:tc>
        <w:tc>
          <w:tcPr>
            <w:tcW w:w="0" w:type="auto"/>
            <w:gridSpan w:val="3"/>
            <w:shd w:val="clear" w:color="auto" w:fill="auto"/>
            <w:vAlign w:val="bottom"/>
          </w:tcPr>
          <w:p w14:paraId="71D49A2C" w14:textId="77777777" w:rsidR="006A3667" w:rsidRDefault="006A3667">
            <w:pPr>
              <w:rPr>
                <w:rFonts w:ascii="宋体"/>
                <w:vanish/>
              </w:rPr>
            </w:pPr>
          </w:p>
        </w:tc>
        <w:tc>
          <w:tcPr>
            <w:tcW w:w="0" w:type="auto"/>
            <w:gridSpan w:val="3"/>
            <w:shd w:val="clear" w:color="auto" w:fill="auto"/>
            <w:vAlign w:val="bottom"/>
          </w:tcPr>
          <w:p w14:paraId="71D49A2D" w14:textId="77777777" w:rsidR="006A3667" w:rsidRDefault="006A3667">
            <w:pPr>
              <w:rPr>
                <w:rFonts w:ascii="宋体"/>
                <w:vanish/>
              </w:rPr>
            </w:pPr>
          </w:p>
        </w:tc>
        <w:tc>
          <w:tcPr>
            <w:tcW w:w="0" w:type="auto"/>
            <w:gridSpan w:val="3"/>
            <w:shd w:val="clear" w:color="auto" w:fill="auto"/>
            <w:vAlign w:val="bottom"/>
          </w:tcPr>
          <w:p w14:paraId="71D49A2E" w14:textId="77777777" w:rsidR="006A3667" w:rsidRDefault="006A3667">
            <w:pPr>
              <w:rPr>
                <w:rFonts w:ascii="宋体"/>
                <w:vanish/>
              </w:rPr>
            </w:pPr>
          </w:p>
        </w:tc>
        <w:tc>
          <w:tcPr>
            <w:tcW w:w="0" w:type="auto"/>
            <w:gridSpan w:val="3"/>
            <w:shd w:val="clear" w:color="auto" w:fill="auto"/>
            <w:vAlign w:val="bottom"/>
          </w:tcPr>
          <w:p w14:paraId="71D49A2F" w14:textId="77777777" w:rsidR="006A3667" w:rsidRDefault="006A3667">
            <w:pPr>
              <w:rPr>
                <w:rFonts w:ascii="宋体"/>
                <w:vanish/>
              </w:rPr>
            </w:pPr>
          </w:p>
        </w:tc>
        <w:tc>
          <w:tcPr>
            <w:tcW w:w="0" w:type="auto"/>
            <w:gridSpan w:val="2"/>
            <w:shd w:val="clear" w:color="auto" w:fill="auto"/>
            <w:vAlign w:val="bottom"/>
          </w:tcPr>
          <w:p w14:paraId="71D49A30" w14:textId="77777777" w:rsidR="006A3667" w:rsidRDefault="006A3667">
            <w:pPr>
              <w:rPr>
                <w:rFonts w:ascii="宋体"/>
                <w:vanish/>
              </w:rPr>
            </w:pPr>
          </w:p>
        </w:tc>
        <w:tc>
          <w:tcPr>
            <w:tcW w:w="0" w:type="auto"/>
            <w:shd w:val="clear" w:color="auto" w:fill="auto"/>
            <w:vAlign w:val="bottom"/>
          </w:tcPr>
          <w:p w14:paraId="71D49A31" w14:textId="77777777" w:rsidR="006A3667" w:rsidRDefault="006A3667">
            <w:pPr>
              <w:rPr>
                <w:rFonts w:ascii="宋体"/>
                <w:vanish/>
              </w:rPr>
            </w:pPr>
          </w:p>
        </w:tc>
      </w:tr>
    </w:tbl>
    <w:p w14:paraId="71D49A33" w14:textId="77777777" w:rsidR="006A3667" w:rsidRDefault="00045F32">
      <w:pPr>
        <w:spacing w:before="180"/>
        <w:jc w:val="both"/>
      </w:pPr>
      <w:r>
        <w:rPr>
          <w:rFonts w:ascii="Arial" w:eastAsia="宋体" w:hAnsi="Arial" w:cs="Arial"/>
          <w:b/>
          <w:bCs/>
          <w:color w:val="000000"/>
          <w:sz w:val="20"/>
          <w:szCs w:val="20"/>
        </w:rPr>
        <w:t>Note 18.  Revenue from Contracts with Customers</w:t>
      </w:r>
    </w:p>
    <w:p w14:paraId="71D49A34" w14:textId="77777777" w:rsidR="006A3667" w:rsidRDefault="00045F32">
      <w:pPr>
        <w:spacing w:before="60"/>
        <w:ind w:firstLine="450"/>
        <w:jc w:val="both"/>
      </w:pPr>
      <w:r>
        <w:rPr>
          <w:rFonts w:ascii="Arial" w:eastAsia="宋体" w:hAnsi="Arial" w:cs="Arial"/>
          <w:color w:val="000000"/>
          <w:sz w:val="20"/>
          <w:szCs w:val="20"/>
        </w:rPr>
        <w:t xml:space="preserve">For additional information on the nature of services and our revenue from contracts with customers, including revenues associated with both our Investment Servicing and </w:t>
      </w:r>
      <w:r>
        <w:rPr>
          <w:rFonts w:ascii="Arial" w:eastAsia="宋体" w:hAnsi="Arial" w:cs="Arial"/>
          <w:color w:val="000000"/>
          <w:sz w:val="20"/>
          <w:szCs w:val="20"/>
        </w:rPr>
        <w:t>Investment Management lines of business, refer to pages 181 to 183 in Note 25 to the consolidated financial statements included under Item 8, Financial Statements and Supplementary Data, in our 2021 Form 10-K.</w:t>
      </w:r>
    </w:p>
    <w:p w14:paraId="71D49A35" w14:textId="77777777" w:rsidR="006A3667" w:rsidRDefault="00045F32">
      <w:pPr>
        <w:spacing w:before="60"/>
        <w:jc w:val="both"/>
      </w:pPr>
      <w:r>
        <w:rPr>
          <w:rFonts w:ascii="Arial" w:eastAsia="宋体" w:hAnsi="Arial" w:cs="Arial"/>
          <w:b/>
          <w:bCs/>
          <w:i/>
          <w:iCs/>
          <w:color w:val="000000"/>
          <w:sz w:val="20"/>
          <w:szCs w:val="20"/>
        </w:rPr>
        <w:t>Revenue by category</w:t>
      </w:r>
    </w:p>
    <w:p w14:paraId="71D49A36" w14:textId="77777777" w:rsidR="006A3667" w:rsidRDefault="00045F32">
      <w:pPr>
        <w:spacing w:before="60"/>
        <w:ind w:firstLine="450"/>
        <w:jc w:val="both"/>
      </w:pPr>
      <w:r>
        <w:rPr>
          <w:rFonts w:ascii="Arial" w:eastAsia="宋体" w:hAnsi="Arial" w:cs="Arial"/>
          <w:color w:val="000000"/>
          <w:sz w:val="20"/>
          <w:szCs w:val="20"/>
        </w:rPr>
        <w:t xml:space="preserve">In the following </w:t>
      </w:r>
      <w:r>
        <w:rPr>
          <w:rFonts w:ascii="Arial" w:eastAsia="宋体" w:hAnsi="Arial" w:cs="Arial"/>
          <w:color w:val="000000"/>
          <w:sz w:val="20"/>
          <w:szCs w:val="20"/>
        </w:rPr>
        <w:t>tables, revenue is disaggregated by our two lines of business and by revenue stream for which the nature, amount, timing and uncertainty of revenue and cash flows are affected by economic factors.</w:t>
      </w:r>
    </w:p>
    <w:p w14:paraId="71D49A37" w14:textId="77777777" w:rsidR="006A3667" w:rsidRDefault="00045F32">
      <w:pPr>
        <w:ind w:firstLine="450"/>
        <w:jc w:val="right"/>
      </w:pPr>
      <w:r>
        <w:rPr>
          <w:rFonts w:ascii="Arial" w:eastAsia="宋体" w:hAnsi="Arial" w:cs="Arial"/>
          <w:color w:val="000000"/>
          <w:sz w:val="18"/>
          <w:szCs w:val="18"/>
        </w:rPr>
        <w:t>State Street Corporation | 93</w:t>
      </w:r>
    </w:p>
    <w:p w14:paraId="71D49A38" w14:textId="77777777" w:rsidR="006A3667" w:rsidRDefault="006A3667">
      <w:pPr>
        <w:ind w:firstLine="450"/>
        <w:jc w:val="center"/>
      </w:pPr>
    </w:p>
    <w:p w14:paraId="71D49A39" w14:textId="77777777" w:rsidR="006A3667" w:rsidRDefault="00045F32">
      <w:r>
        <w:pict w14:anchorId="71D4AC71">
          <v:rect id="_x0000_i1117" style="width:415.3pt;height:1.5pt" o:hralign="center" o:hrstd="t" o:hr="t" fillcolor="#a0a0a0" stroked="f"/>
        </w:pict>
      </w:r>
    </w:p>
    <w:p w14:paraId="71D49A3A" w14:textId="77777777" w:rsidR="006A3667" w:rsidRDefault="00045F32">
      <w:pPr>
        <w:ind w:firstLine="450"/>
        <w:jc w:val="center"/>
      </w:pPr>
      <w:r>
        <w:rPr>
          <w:rFonts w:ascii="Arial" w:eastAsia="宋体" w:hAnsi="Arial" w:cs="Arial"/>
          <w:b/>
          <w:bCs/>
          <w:color w:val="000000"/>
          <w:sz w:val="20"/>
          <w:szCs w:val="20"/>
        </w:rPr>
        <w:t>STATE STREET CORPORATION</w:t>
      </w:r>
    </w:p>
    <w:p w14:paraId="71D49A3B" w14:textId="77777777" w:rsidR="006A3667" w:rsidRDefault="00045F32">
      <w:pPr>
        <w:ind w:firstLine="450"/>
        <w:jc w:val="center"/>
      </w:pPr>
      <w:r>
        <w:rPr>
          <w:rFonts w:ascii="Arial" w:eastAsia="宋体" w:hAnsi="Arial" w:cs="Arial"/>
          <w:b/>
          <w:bCs/>
          <w:color w:val="000000"/>
          <w:sz w:val="20"/>
          <w:szCs w:val="20"/>
        </w:rPr>
        <w:t>C</w:t>
      </w:r>
      <w:r>
        <w:rPr>
          <w:rFonts w:ascii="Arial" w:eastAsia="宋体" w:hAnsi="Arial" w:cs="Arial"/>
          <w:b/>
          <w:bCs/>
          <w:color w:val="000000"/>
          <w:sz w:val="20"/>
          <w:szCs w:val="20"/>
        </w:rPr>
        <w:t>ONDENSED NOTES TO CONSOLIDATED FINANCIAL STATEMENTS</w:t>
      </w:r>
    </w:p>
    <w:p w14:paraId="71D49A3C" w14:textId="77777777" w:rsidR="006A3667" w:rsidRDefault="00045F32">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9"/>
        <w:gridCol w:w="1488"/>
        <w:gridCol w:w="38"/>
        <w:gridCol w:w="99"/>
        <w:gridCol w:w="498"/>
        <w:gridCol w:w="36"/>
        <w:gridCol w:w="36"/>
        <w:gridCol w:w="36"/>
        <w:gridCol w:w="36"/>
        <w:gridCol w:w="99"/>
        <w:gridCol w:w="492"/>
        <w:gridCol w:w="36"/>
        <w:gridCol w:w="36"/>
        <w:gridCol w:w="36"/>
        <w:gridCol w:w="36"/>
        <w:gridCol w:w="98"/>
        <w:gridCol w:w="390"/>
        <w:gridCol w:w="36"/>
        <w:gridCol w:w="36"/>
        <w:gridCol w:w="36"/>
        <w:gridCol w:w="36"/>
        <w:gridCol w:w="99"/>
        <w:gridCol w:w="486"/>
        <w:gridCol w:w="36"/>
        <w:gridCol w:w="36"/>
        <w:gridCol w:w="36"/>
        <w:gridCol w:w="36"/>
        <w:gridCol w:w="99"/>
        <w:gridCol w:w="496"/>
        <w:gridCol w:w="36"/>
        <w:gridCol w:w="36"/>
        <w:gridCol w:w="36"/>
        <w:gridCol w:w="36"/>
        <w:gridCol w:w="98"/>
        <w:gridCol w:w="390"/>
        <w:gridCol w:w="36"/>
        <w:gridCol w:w="36"/>
        <w:gridCol w:w="36"/>
        <w:gridCol w:w="36"/>
        <w:gridCol w:w="99"/>
        <w:gridCol w:w="492"/>
        <w:gridCol w:w="36"/>
        <w:gridCol w:w="36"/>
        <w:gridCol w:w="36"/>
        <w:gridCol w:w="36"/>
        <w:gridCol w:w="99"/>
        <w:gridCol w:w="492"/>
        <w:gridCol w:w="36"/>
        <w:gridCol w:w="36"/>
        <w:gridCol w:w="36"/>
        <w:gridCol w:w="36"/>
        <w:gridCol w:w="99"/>
        <w:gridCol w:w="316"/>
        <w:gridCol w:w="36"/>
        <w:gridCol w:w="36"/>
        <w:gridCol w:w="36"/>
        <w:gridCol w:w="36"/>
        <w:gridCol w:w="98"/>
        <w:gridCol w:w="390"/>
        <w:gridCol w:w="36"/>
      </w:tblGrid>
      <w:tr w:rsidR="006A3667" w14:paraId="71D49A79" w14:textId="77777777">
        <w:tc>
          <w:tcPr>
            <w:tcW w:w="50" w:type="pct"/>
            <w:shd w:val="clear" w:color="auto" w:fill="auto"/>
            <w:vAlign w:val="bottom"/>
          </w:tcPr>
          <w:p w14:paraId="71D49A3D" w14:textId="77777777" w:rsidR="006A3667" w:rsidRDefault="006A3667">
            <w:pPr>
              <w:rPr>
                <w:rFonts w:ascii="宋体"/>
              </w:rPr>
            </w:pPr>
          </w:p>
        </w:tc>
        <w:tc>
          <w:tcPr>
            <w:tcW w:w="968" w:type="pct"/>
            <w:shd w:val="clear" w:color="auto" w:fill="auto"/>
            <w:vAlign w:val="bottom"/>
          </w:tcPr>
          <w:p w14:paraId="71D49A3E" w14:textId="77777777" w:rsidR="006A3667" w:rsidRDefault="006A3667">
            <w:pPr>
              <w:rPr>
                <w:rFonts w:ascii="宋体"/>
              </w:rPr>
            </w:pPr>
          </w:p>
        </w:tc>
        <w:tc>
          <w:tcPr>
            <w:tcW w:w="5" w:type="pct"/>
            <w:shd w:val="clear" w:color="auto" w:fill="auto"/>
            <w:vAlign w:val="bottom"/>
          </w:tcPr>
          <w:p w14:paraId="71D49A3F" w14:textId="77777777" w:rsidR="006A3667" w:rsidRDefault="006A3667">
            <w:pPr>
              <w:rPr>
                <w:rFonts w:ascii="宋体"/>
              </w:rPr>
            </w:pPr>
          </w:p>
        </w:tc>
        <w:tc>
          <w:tcPr>
            <w:tcW w:w="50" w:type="pct"/>
            <w:shd w:val="clear" w:color="auto" w:fill="auto"/>
            <w:vAlign w:val="bottom"/>
          </w:tcPr>
          <w:p w14:paraId="71D49A40" w14:textId="77777777" w:rsidR="006A3667" w:rsidRDefault="006A3667">
            <w:pPr>
              <w:rPr>
                <w:rFonts w:ascii="宋体"/>
              </w:rPr>
            </w:pPr>
          </w:p>
        </w:tc>
        <w:tc>
          <w:tcPr>
            <w:tcW w:w="347" w:type="pct"/>
            <w:shd w:val="clear" w:color="auto" w:fill="auto"/>
            <w:vAlign w:val="bottom"/>
          </w:tcPr>
          <w:p w14:paraId="71D49A41" w14:textId="77777777" w:rsidR="006A3667" w:rsidRDefault="006A3667">
            <w:pPr>
              <w:rPr>
                <w:rFonts w:ascii="宋体"/>
              </w:rPr>
            </w:pPr>
          </w:p>
        </w:tc>
        <w:tc>
          <w:tcPr>
            <w:tcW w:w="5" w:type="pct"/>
            <w:shd w:val="clear" w:color="auto" w:fill="auto"/>
            <w:vAlign w:val="bottom"/>
          </w:tcPr>
          <w:p w14:paraId="71D49A42" w14:textId="77777777" w:rsidR="006A3667" w:rsidRDefault="006A3667">
            <w:pPr>
              <w:rPr>
                <w:rFonts w:ascii="宋体"/>
              </w:rPr>
            </w:pPr>
          </w:p>
        </w:tc>
        <w:tc>
          <w:tcPr>
            <w:tcW w:w="5" w:type="pct"/>
            <w:shd w:val="clear" w:color="auto" w:fill="auto"/>
            <w:vAlign w:val="bottom"/>
          </w:tcPr>
          <w:p w14:paraId="71D49A43" w14:textId="77777777" w:rsidR="006A3667" w:rsidRDefault="006A3667">
            <w:pPr>
              <w:rPr>
                <w:rFonts w:ascii="宋体"/>
              </w:rPr>
            </w:pPr>
          </w:p>
        </w:tc>
        <w:tc>
          <w:tcPr>
            <w:tcW w:w="19" w:type="pct"/>
            <w:shd w:val="clear" w:color="auto" w:fill="auto"/>
            <w:vAlign w:val="bottom"/>
          </w:tcPr>
          <w:p w14:paraId="71D49A44" w14:textId="77777777" w:rsidR="006A3667" w:rsidRDefault="006A3667">
            <w:pPr>
              <w:rPr>
                <w:rFonts w:ascii="宋体"/>
              </w:rPr>
            </w:pPr>
          </w:p>
        </w:tc>
        <w:tc>
          <w:tcPr>
            <w:tcW w:w="5" w:type="pct"/>
            <w:shd w:val="clear" w:color="auto" w:fill="auto"/>
            <w:vAlign w:val="bottom"/>
          </w:tcPr>
          <w:p w14:paraId="71D49A45" w14:textId="77777777" w:rsidR="006A3667" w:rsidRDefault="006A3667">
            <w:pPr>
              <w:rPr>
                <w:rFonts w:ascii="宋体"/>
              </w:rPr>
            </w:pPr>
          </w:p>
        </w:tc>
        <w:tc>
          <w:tcPr>
            <w:tcW w:w="50" w:type="pct"/>
            <w:shd w:val="clear" w:color="auto" w:fill="auto"/>
            <w:vAlign w:val="bottom"/>
          </w:tcPr>
          <w:p w14:paraId="71D49A46" w14:textId="77777777" w:rsidR="006A3667" w:rsidRDefault="006A3667">
            <w:pPr>
              <w:rPr>
                <w:rFonts w:ascii="宋体"/>
              </w:rPr>
            </w:pPr>
          </w:p>
        </w:tc>
        <w:tc>
          <w:tcPr>
            <w:tcW w:w="317" w:type="pct"/>
            <w:shd w:val="clear" w:color="auto" w:fill="auto"/>
            <w:vAlign w:val="bottom"/>
          </w:tcPr>
          <w:p w14:paraId="71D49A47" w14:textId="77777777" w:rsidR="006A3667" w:rsidRDefault="006A3667">
            <w:pPr>
              <w:rPr>
                <w:rFonts w:ascii="宋体"/>
              </w:rPr>
            </w:pPr>
          </w:p>
        </w:tc>
        <w:tc>
          <w:tcPr>
            <w:tcW w:w="5" w:type="pct"/>
            <w:shd w:val="clear" w:color="auto" w:fill="auto"/>
            <w:vAlign w:val="bottom"/>
          </w:tcPr>
          <w:p w14:paraId="71D49A48" w14:textId="77777777" w:rsidR="006A3667" w:rsidRDefault="006A3667">
            <w:pPr>
              <w:rPr>
                <w:rFonts w:ascii="宋体"/>
              </w:rPr>
            </w:pPr>
          </w:p>
        </w:tc>
        <w:tc>
          <w:tcPr>
            <w:tcW w:w="5" w:type="pct"/>
            <w:shd w:val="clear" w:color="auto" w:fill="auto"/>
            <w:vAlign w:val="bottom"/>
          </w:tcPr>
          <w:p w14:paraId="71D49A49" w14:textId="77777777" w:rsidR="006A3667" w:rsidRDefault="006A3667">
            <w:pPr>
              <w:rPr>
                <w:rFonts w:ascii="宋体"/>
              </w:rPr>
            </w:pPr>
          </w:p>
        </w:tc>
        <w:tc>
          <w:tcPr>
            <w:tcW w:w="19" w:type="pct"/>
            <w:shd w:val="clear" w:color="auto" w:fill="auto"/>
            <w:vAlign w:val="bottom"/>
          </w:tcPr>
          <w:p w14:paraId="71D49A4A" w14:textId="77777777" w:rsidR="006A3667" w:rsidRDefault="006A3667">
            <w:pPr>
              <w:rPr>
                <w:rFonts w:ascii="宋体"/>
              </w:rPr>
            </w:pPr>
          </w:p>
        </w:tc>
        <w:tc>
          <w:tcPr>
            <w:tcW w:w="5" w:type="pct"/>
            <w:shd w:val="clear" w:color="auto" w:fill="auto"/>
            <w:vAlign w:val="bottom"/>
          </w:tcPr>
          <w:p w14:paraId="71D49A4B" w14:textId="77777777" w:rsidR="006A3667" w:rsidRDefault="006A3667">
            <w:pPr>
              <w:rPr>
                <w:rFonts w:ascii="宋体"/>
              </w:rPr>
            </w:pPr>
          </w:p>
        </w:tc>
        <w:tc>
          <w:tcPr>
            <w:tcW w:w="50" w:type="pct"/>
            <w:shd w:val="clear" w:color="auto" w:fill="auto"/>
            <w:vAlign w:val="bottom"/>
          </w:tcPr>
          <w:p w14:paraId="71D49A4C" w14:textId="77777777" w:rsidR="006A3667" w:rsidRDefault="006A3667">
            <w:pPr>
              <w:rPr>
                <w:rFonts w:ascii="宋体"/>
              </w:rPr>
            </w:pPr>
          </w:p>
        </w:tc>
        <w:tc>
          <w:tcPr>
            <w:tcW w:w="295" w:type="pct"/>
            <w:shd w:val="clear" w:color="auto" w:fill="auto"/>
            <w:vAlign w:val="bottom"/>
          </w:tcPr>
          <w:p w14:paraId="71D49A4D" w14:textId="77777777" w:rsidR="006A3667" w:rsidRDefault="006A3667">
            <w:pPr>
              <w:rPr>
                <w:rFonts w:ascii="宋体"/>
              </w:rPr>
            </w:pPr>
          </w:p>
        </w:tc>
        <w:tc>
          <w:tcPr>
            <w:tcW w:w="5" w:type="pct"/>
            <w:shd w:val="clear" w:color="auto" w:fill="auto"/>
            <w:vAlign w:val="bottom"/>
          </w:tcPr>
          <w:p w14:paraId="71D49A4E" w14:textId="77777777" w:rsidR="006A3667" w:rsidRDefault="006A3667">
            <w:pPr>
              <w:rPr>
                <w:rFonts w:ascii="宋体"/>
              </w:rPr>
            </w:pPr>
          </w:p>
        </w:tc>
        <w:tc>
          <w:tcPr>
            <w:tcW w:w="5" w:type="pct"/>
            <w:shd w:val="clear" w:color="auto" w:fill="auto"/>
            <w:vAlign w:val="bottom"/>
          </w:tcPr>
          <w:p w14:paraId="71D49A4F" w14:textId="77777777" w:rsidR="006A3667" w:rsidRDefault="006A3667">
            <w:pPr>
              <w:rPr>
                <w:rFonts w:ascii="宋体"/>
              </w:rPr>
            </w:pPr>
          </w:p>
        </w:tc>
        <w:tc>
          <w:tcPr>
            <w:tcW w:w="19" w:type="pct"/>
            <w:shd w:val="clear" w:color="auto" w:fill="auto"/>
            <w:vAlign w:val="bottom"/>
          </w:tcPr>
          <w:p w14:paraId="71D49A50" w14:textId="77777777" w:rsidR="006A3667" w:rsidRDefault="006A3667">
            <w:pPr>
              <w:rPr>
                <w:rFonts w:ascii="宋体"/>
              </w:rPr>
            </w:pPr>
          </w:p>
        </w:tc>
        <w:tc>
          <w:tcPr>
            <w:tcW w:w="5" w:type="pct"/>
            <w:shd w:val="clear" w:color="auto" w:fill="auto"/>
            <w:vAlign w:val="bottom"/>
          </w:tcPr>
          <w:p w14:paraId="71D49A51" w14:textId="77777777" w:rsidR="006A3667" w:rsidRDefault="006A3667">
            <w:pPr>
              <w:rPr>
                <w:rFonts w:ascii="宋体"/>
              </w:rPr>
            </w:pPr>
          </w:p>
        </w:tc>
        <w:tc>
          <w:tcPr>
            <w:tcW w:w="50" w:type="pct"/>
            <w:shd w:val="clear" w:color="auto" w:fill="auto"/>
            <w:vAlign w:val="bottom"/>
          </w:tcPr>
          <w:p w14:paraId="71D49A52" w14:textId="77777777" w:rsidR="006A3667" w:rsidRDefault="006A3667">
            <w:pPr>
              <w:rPr>
                <w:rFonts w:ascii="宋体"/>
              </w:rPr>
            </w:pPr>
          </w:p>
        </w:tc>
        <w:tc>
          <w:tcPr>
            <w:tcW w:w="295" w:type="pct"/>
            <w:shd w:val="clear" w:color="auto" w:fill="auto"/>
            <w:vAlign w:val="bottom"/>
          </w:tcPr>
          <w:p w14:paraId="71D49A53" w14:textId="77777777" w:rsidR="006A3667" w:rsidRDefault="006A3667">
            <w:pPr>
              <w:rPr>
                <w:rFonts w:ascii="宋体"/>
              </w:rPr>
            </w:pPr>
          </w:p>
        </w:tc>
        <w:tc>
          <w:tcPr>
            <w:tcW w:w="5" w:type="pct"/>
            <w:shd w:val="clear" w:color="auto" w:fill="auto"/>
            <w:vAlign w:val="bottom"/>
          </w:tcPr>
          <w:p w14:paraId="71D49A54" w14:textId="77777777" w:rsidR="006A3667" w:rsidRDefault="006A3667">
            <w:pPr>
              <w:rPr>
                <w:rFonts w:ascii="宋体"/>
              </w:rPr>
            </w:pPr>
          </w:p>
        </w:tc>
        <w:tc>
          <w:tcPr>
            <w:tcW w:w="5" w:type="pct"/>
            <w:shd w:val="clear" w:color="auto" w:fill="auto"/>
            <w:vAlign w:val="bottom"/>
          </w:tcPr>
          <w:p w14:paraId="71D49A55" w14:textId="77777777" w:rsidR="006A3667" w:rsidRDefault="006A3667">
            <w:pPr>
              <w:rPr>
                <w:rFonts w:ascii="宋体"/>
              </w:rPr>
            </w:pPr>
          </w:p>
        </w:tc>
        <w:tc>
          <w:tcPr>
            <w:tcW w:w="19" w:type="pct"/>
            <w:shd w:val="clear" w:color="auto" w:fill="auto"/>
            <w:vAlign w:val="bottom"/>
          </w:tcPr>
          <w:p w14:paraId="71D49A56" w14:textId="77777777" w:rsidR="006A3667" w:rsidRDefault="006A3667">
            <w:pPr>
              <w:rPr>
                <w:rFonts w:ascii="宋体"/>
              </w:rPr>
            </w:pPr>
          </w:p>
        </w:tc>
        <w:tc>
          <w:tcPr>
            <w:tcW w:w="5" w:type="pct"/>
            <w:shd w:val="clear" w:color="auto" w:fill="auto"/>
            <w:vAlign w:val="bottom"/>
          </w:tcPr>
          <w:p w14:paraId="71D49A57" w14:textId="77777777" w:rsidR="006A3667" w:rsidRDefault="006A3667">
            <w:pPr>
              <w:rPr>
                <w:rFonts w:ascii="宋体"/>
              </w:rPr>
            </w:pPr>
          </w:p>
        </w:tc>
        <w:tc>
          <w:tcPr>
            <w:tcW w:w="50" w:type="pct"/>
            <w:shd w:val="clear" w:color="auto" w:fill="auto"/>
            <w:vAlign w:val="bottom"/>
          </w:tcPr>
          <w:p w14:paraId="71D49A58" w14:textId="77777777" w:rsidR="006A3667" w:rsidRDefault="006A3667">
            <w:pPr>
              <w:rPr>
                <w:rFonts w:ascii="宋体"/>
              </w:rPr>
            </w:pPr>
          </w:p>
        </w:tc>
        <w:tc>
          <w:tcPr>
            <w:tcW w:w="339" w:type="pct"/>
            <w:shd w:val="clear" w:color="auto" w:fill="auto"/>
            <w:vAlign w:val="bottom"/>
          </w:tcPr>
          <w:p w14:paraId="71D49A59" w14:textId="77777777" w:rsidR="006A3667" w:rsidRDefault="006A3667">
            <w:pPr>
              <w:rPr>
                <w:rFonts w:ascii="宋体"/>
              </w:rPr>
            </w:pPr>
          </w:p>
        </w:tc>
        <w:tc>
          <w:tcPr>
            <w:tcW w:w="5" w:type="pct"/>
            <w:shd w:val="clear" w:color="auto" w:fill="auto"/>
            <w:vAlign w:val="bottom"/>
          </w:tcPr>
          <w:p w14:paraId="71D49A5A" w14:textId="77777777" w:rsidR="006A3667" w:rsidRDefault="006A3667">
            <w:pPr>
              <w:rPr>
                <w:rFonts w:ascii="宋体"/>
              </w:rPr>
            </w:pPr>
          </w:p>
        </w:tc>
        <w:tc>
          <w:tcPr>
            <w:tcW w:w="5" w:type="pct"/>
            <w:shd w:val="clear" w:color="auto" w:fill="auto"/>
            <w:vAlign w:val="bottom"/>
          </w:tcPr>
          <w:p w14:paraId="71D49A5B" w14:textId="77777777" w:rsidR="006A3667" w:rsidRDefault="006A3667">
            <w:pPr>
              <w:rPr>
                <w:rFonts w:ascii="宋体"/>
              </w:rPr>
            </w:pPr>
          </w:p>
        </w:tc>
        <w:tc>
          <w:tcPr>
            <w:tcW w:w="26" w:type="pct"/>
            <w:shd w:val="clear" w:color="auto" w:fill="auto"/>
            <w:vAlign w:val="bottom"/>
          </w:tcPr>
          <w:p w14:paraId="71D49A5C" w14:textId="77777777" w:rsidR="006A3667" w:rsidRDefault="006A3667">
            <w:pPr>
              <w:rPr>
                <w:rFonts w:ascii="宋体"/>
              </w:rPr>
            </w:pPr>
          </w:p>
        </w:tc>
        <w:tc>
          <w:tcPr>
            <w:tcW w:w="5" w:type="pct"/>
            <w:shd w:val="clear" w:color="auto" w:fill="auto"/>
            <w:vAlign w:val="bottom"/>
          </w:tcPr>
          <w:p w14:paraId="71D49A5D" w14:textId="77777777" w:rsidR="006A3667" w:rsidRDefault="006A3667">
            <w:pPr>
              <w:rPr>
                <w:rFonts w:ascii="宋体"/>
              </w:rPr>
            </w:pPr>
          </w:p>
        </w:tc>
        <w:tc>
          <w:tcPr>
            <w:tcW w:w="50" w:type="pct"/>
            <w:shd w:val="clear" w:color="auto" w:fill="auto"/>
            <w:vAlign w:val="bottom"/>
          </w:tcPr>
          <w:p w14:paraId="71D49A5E" w14:textId="77777777" w:rsidR="006A3667" w:rsidRDefault="006A3667">
            <w:pPr>
              <w:rPr>
                <w:rFonts w:ascii="宋体"/>
              </w:rPr>
            </w:pPr>
          </w:p>
        </w:tc>
        <w:tc>
          <w:tcPr>
            <w:tcW w:w="295" w:type="pct"/>
            <w:shd w:val="clear" w:color="auto" w:fill="auto"/>
            <w:vAlign w:val="bottom"/>
          </w:tcPr>
          <w:p w14:paraId="71D49A5F" w14:textId="77777777" w:rsidR="006A3667" w:rsidRDefault="006A3667">
            <w:pPr>
              <w:rPr>
                <w:rFonts w:ascii="宋体"/>
              </w:rPr>
            </w:pPr>
          </w:p>
        </w:tc>
        <w:tc>
          <w:tcPr>
            <w:tcW w:w="5" w:type="pct"/>
            <w:shd w:val="clear" w:color="auto" w:fill="auto"/>
            <w:vAlign w:val="bottom"/>
          </w:tcPr>
          <w:p w14:paraId="71D49A60" w14:textId="77777777" w:rsidR="006A3667" w:rsidRDefault="006A3667">
            <w:pPr>
              <w:rPr>
                <w:rFonts w:ascii="宋体"/>
              </w:rPr>
            </w:pPr>
          </w:p>
        </w:tc>
        <w:tc>
          <w:tcPr>
            <w:tcW w:w="5" w:type="pct"/>
            <w:shd w:val="clear" w:color="auto" w:fill="auto"/>
            <w:vAlign w:val="bottom"/>
          </w:tcPr>
          <w:p w14:paraId="71D49A61" w14:textId="77777777" w:rsidR="006A3667" w:rsidRDefault="006A3667">
            <w:pPr>
              <w:rPr>
                <w:rFonts w:ascii="宋体"/>
              </w:rPr>
            </w:pPr>
          </w:p>
        </w:tc>
        <w:tc>
          <w:tcPr>
            <w:tcW w:w="26" w:type="pct"/>
            <w:shd w:val="clear" w:color="auto" w:fill="auto"/>
            <w:vAlign w:val="bottom"/>
          </w:tcPr>
          <w:p w14:paraId="71D49A62" w14:textId="77777777" w:rsidR="006A3667" w:rsidRDefault="006A3667">
            <w:pPr>
              <w:rPr>
                <w:rFonts w:ascii="宋体"/>
              </w:rPr>
            </w:pPr>
          </w:p>
        </w:tc>
        <w:tc>
          <w:tcPr>
            <w:tcW w:w="5" w:type="pct"/>
            <w:shd w:val="clear" w:color="auto" w:fill="auto"/>
            <w:vAlign w:val="bottom"/>
          </w:tcPr>
          <w:p w14:paraId="71D49A63" w14:textId="77777777" w:rsidR="006A3667" w:rsidRDefault="006A3667">
            <w:pPr>
              <w:rPr>
                <w:rFonts w:ascii="宋体"/>
              </w:rPr>
            </w:pPr>
          </w:p>
        </w:tc>
        <w:tc>
          <w:tcPr>
            <w:tcW w:w="50" w:type="pct"/>
            <w:shd w:val="clear" w:color="auto" w:fill="auto"/>
            <w:vAlign w:val="bottom"/>
          </w:tcPr>
          <w:p w14:paraId="71D49A64" w14:textId="77777777" w:rsidR="006A3667" w:rsidRDefault="006A3667">
            <w:pPr>
              <w:rPr>
                <w:rFonts w:ascii="宋体"/>
              </w:rPr>
            </w:pPr>
          </w:p>
        </w:tc>
        <w:tc>
          <w:tcPr>
            <w:tcW w:w="317" w:type="pct"/>
            <w:shd w:val="clear" w:color="auto" w:fill="auto"/>
            <w:vAlign w:val="bottom"/>
          </w:tcPr>
          <w:p w14:paraId="71D49A65" w14:textId="77777777" w:rsidR="006A3667" w:rsidRDefault="006A3667">
            <w:pPr>
              <w:rPr>
                <w:rFonts w:ascii="宋体"/>
              </w:rPr>
            </w:pPr>
          </w:p>
        </w:tc>
        <w:tc>
          <w:tcPr>
            <w:tcW w:w="5" w:type="pct"/>
            <w:shd w:val="clear" w:color="auto" w:fill="auto"/>
            <w:vAlign w:val="bottom"/>
          </w:tcPr>
          <w:p w14:paraId="71D49A66" w14:textId="77777777" w:rsidR="006A3667" w:rsidRDefault="006A3667">
            <w:pPr>
              <w:rPr>
                <w:rFonts w:ascii="宋体"/>
              </w:rPr>
            </w:pPr>
          </w:p>
        </w:tc>
        <w:tc>
          <w:tcPr>
            <w:tcW w:w="5" w:type="pct"/>
            <w:shd w:val="clear" w:color="auto" w:fill="auto"/>
            <w:vAlign w:val="bottom"/>
          </w:tcPr>
          <w:p w14:paraId="71D49A67" w14:textId="77777777" w:rsidR="006A3667" w:rsidRDefault="006A3667">
            <w:pPr>
              <w:rPr>
                <w:rFonts w:ascii="宋体"/>
              </w:rPr>
            </w:pPr>
          </w:p>
        </w:tc>
        <w:tc>
          <w:tcPr>
            <w:tcW w:w="26" w:type="pct"/>
            <w:shd w:val="clear" w:color="auto" w:fill="auto"/>
            <w:vAlign w:val="bottom"/>
          </w:tcPr>
          <w:p w14:paraId="71D49A68" w14:textId="77777777" w:rsidR="006A3667" w:rsidRDefault="006A3667">
            <w:pPr>
              <w:rPr>
                <w:rFonts w:ascii="宋体"/>
              </w:rPr>
            </w:pPr>
          </w:p>
        </w:tc>
        <w:tc>
          <w:tcPr>
            <w:tcW w:w="5" w:type="pct"/>
            <w:shd w:val="clear" w:color="auto" w:fill="auto"/>
            <w:vAlign w:val="bottom"/>
          </w:tcPr>
          <w:p w14:paraId="71D49A69" w14:textId="77777777" w:rsidR="006A3667" w:rsidRDefault="006A3667">
            <w:pPr>
              <w:rPr>
                <w:rFonts w:ascii="宋体"/>
              </w:rPr>
            </w:pPr>
          </w:p>
        </w:tc>
        <w:tc>
          <w:tcPr>
            <w:tcW w:w="50" w:type="pct"/>
            <w:shd w:val="clear" w:color="auto" w:fill="auto"/>
            <w:vAlign w:val="bottom"/>
          </w:tcPr>
          <w:p w14:paraId="71D49A6A" w14:textId="77777777" w:rsidR="006A3667" w:rsidRDefault="006A3667">
            <w:pPr>
              <w:rPr>
                <w:rFonts w:ascii="宋体"/>
              </w:rPr>
            </w:pPr>
          </w:p>
        </w:tc>
        <w:tc>
          <w:tcPr>
            <w:tcW w:w="317" w:type="pct"/>
            <w:shd w:val="clear" w:color="auto" w:fill="auto"/>
            <w:vAlign w:val="bottom"/>
          </w:tcPr>
          <w:p w14:paraId="71D49A6B" w14:textId="77777777" w:rsidR="006A3667" w:rsidRDefault="006A3667">
            <w:pPr>
              <w:rPr>
                <w:rFonts w:ascii="宋体"/>
              </w:rPr>
            </w:pPr>
          </w:p>
        </w:tc>
        <w:tc>
          <w:tcPr>
            <w:tcW w:w="5" w:type="pct"/>
            <w:shd w:val="clear" w:color="auto" w:fill="auto"/>
            <w:vAlign w:val="bottom"/>
          </w:tcPr>
          <w:p w14:paraId="71D49A6C" w14:textId="77777777" w:rsidR="006A3667" w:rsidRDefault="006A3667">
            <w:pPr>
              <w:rPr>
                <w:rFonts w:ascii="宋体"/>
              </w:rPr>
            </w:pPr>
          </w:p>
        </w:tc>
        <w:tc>
          <w:tcPr>
            <w:tcW w:w="5" w:type="pct"/>
            <w:shd w:val="clear" w:color="auto" w:fill="auto"/>
            <w:vAlign w:val="bottom"/>
          </w:tcPr>
          <w:p w14:paraId="71D49A6D" w14:textId="77777777" w:rsidR="006A3667" w:rsidRDefault="006A3667">
            <w:pPr>
              <w:rPr>
                <w:rFonts w:ascii="宋体"/>
              </w:rPr>
            </w:pPr>
          </w:p>
        </w:tc>
        <w:tc>
          <w:tcPr>
            <w:tcW w:w="26" w:type="pct"/>
            <w:shd w:val="clear" w:color="auto" w:fill="auto"/>
            <w:vAlign w:val="bottom"/>
          </w:tcPr>
          <w:p w14:paraId="71D49A6E" w14:textId="77777777" w:rsidR="006A3667" w:rsidRDefault="006A3667">
            <w:pPr>
              <w:rPr>
                <w:rFonts w:ascii="宋体"/>
              </w:rPr>
            </w:pPr>
          </w:p>
        </w:tc>
        <w:tc>
          <w:tcPr>
            <w:tcW w:w="5" w:type="pct"/>
            <w:shd w:val="clear" w:color="auto" w:fill="auto"/>
            <w:vAlign w:val="bottom"/>
          </w:tcPr>
          <w:p w14:paraId="71D49A6F" w14:textId="77777777" w:rsidR="006A3667" w:rsidRDefault="006A3667">
            <w:pPr>
              <w:rPr>
                <w:rFonts w:ascii="宋体"/>
              </w:rPr>
            </w:pPr>
          </w:p>
        </w:tc>
        <w:tc>
          <w:tcPr>
            <w:tcW w:w="50" w:type="pct"/>
            <w:shd w:val="clear" w:color="auto" w:fill="auto"/>
            <w:vAlign w:val="bottom"/>
          </w:tcPr>
          <w:p w14:paraId="71D49A70" w14:textId="77777777" w:rsidR="006A3667" w:rsidRDefault="006A3667">
            <w:pPr>
              <w:rPr>
                <w:rFonts w:ascii="宋体"/>
              </w:rPr>
            </w:pPr>
          </w:p>
        </w:tc>
        <w:tc>
          <w:tcPr>
            <w:tcW w:w="295" w:type="pct"/>
            <w:shd w:val="clear" w:color="auto" w:fill="auto"/>
            <w:vAlign w:val="bottom"/>
          </w:tcPr>
          <w:p w14:paraId="71D49A71" w14:textId="77777777" w:rsidR="006A3667" w:rsidRDefault="006A3667">
            <w:pPr>
              <w:rPr>
                <w:rFonts w:ascii="宋体"/>
              </w:rPr>
            </w:pPr>
          </w:p>
        </w:tc>
        <w:tc>
          <w:tcPr>
            <w:tcW w:w="5" w:type="pct"/>
            <w:shd w:val="clear" w:color="auto" w:fill="auto"/>
            <w:vAlign w:val="bottom"/>
          </w:tcPr>
          <w:p w14:paraId="71D49A72" w14:textId="77777777" w:rsidR="006A3667" w:rsidRDefault="006A3667">
            <w:pPr>
              <w:rPr>
                <w:rFonts w:ascii="宋体"/>
              </w:rPr>
            </w:pPr>
          </w:p>
        </w:tc>
        <w:tc>
          <w:tcPr>
            <w:tcW w:w="5" w:type="pct"/>
            <w:shd w:val="clear" w:color="auto" w:fill="auto"/>
            <w:vAlign w:val="bottom"/>
          </w:tcPr>
          <w:p w14:paraId="71D49A73" w14:textId="77777777" w:rsidR="006A3667" w:rsidRDefault="006A3667">
            <w:pPr>
              <w:rPr>
                <w:rFonts w:ascii="宋体"/>
              </w:rPr>
            </w:pPr>
          </w:p>
        </w:tc>
        <w:tc>
          <w:tcPr>
            <w:tcW w:w="19" w:type="pct"/>
            <w:shd w:val="clear" w:color="auto" w:fill="auto"/>
            <w:vAlign w:val="bottom"/>
          </w:tcPr>
          <w:p w14:paraId="71D49A74" w14:textId="77777777" w:rsidR="006A3667" w:rsidRDefault="006A3667">
            <w:pPr>
              <w:rPr>
                <w:rFonts w:ascii="宋体"/>
              </w:rPr>
            </w:pPr>
          </w:p>
        </w:tc>
        <w:tc>
          <w:tcPr>
            <w:tcW w:w="5" w:type="pct"/>
            <w:shd w:val="clear" w:color="auto" w:fill="auto"/>
            <w:vAlign w:val="bottom"/>
          </w:tcPr>
          <w:p w14:paraId="71D49A75" w14:textId="77777777" w:rsidR="006A3667" w:rsidRDefault="006A3667">
            <w:pPr>
              <w:rPr>
                <w:rFonts w:ascii="宋体"/>
              </w:rPr>
            </w:pPr>
          </w:p>
        </w:tc>
        <w:tc>
          <w:tcPr>
            <w:tcW w:w="50" w:type="pct"/>
            <w:shd w:val="clear" w:color="auto" w:fill="auto"/>
            <w:vAlign w:val="bottom"/>
          </w:tcPr>
          <w:p w14:paraId="71D49A76" w14:textId="77777777" w:rsidR="006A3667" w:rsidRDefault="006A3667">
            <w:pPr>
              <w:rPr>
                <w:rFonts w:ascii="宋体"/>
              </w:rPr>
            </w:pPr>
          </w:p>
        </w:tc>
        <w:tc>
          <w:tcPr>
            <w:tcW w:w="311" w:type="pct"/>
            <w:shd w:val="clear" w:color="auto" w:fill="auto"/>
            <w:vAlign w:val="bottom"/>
          </w:tcPr>
          <w:p w14:paraId="71D49A77" w14:textId="77777777" w:rsidR="006A3667" w:rsidRDefault="006A3667">
            <w:pPr>
              <w:rPr>
                <w:rFonts w:ascii="宋体"/>
              </w:rPr>
            </w:pPr>
          </w:p>
        </w:tc>
        <w:tc>
          <w:tcPr>
            <w:tcW w:w="5" w:type="pct"/>
            <w:shd w:val="clear" w:color="auto" w:fill="auto"/>
            <w:vAlign w:val="bottom"/>
          </w:tcPr>
          <w:p w14:paraId="71D49A78" w14:textId="77777777" w:rsidR="006A3667" w:rsidRDefault="006A3667">
            <w:pPr>
              <w:rPr>
                <w:rFonts w:ascii="宋体"/>
              </w:rPr>
            </w:pPr>
          </w:p>
        </w:tc>
      </w:tr>
      <w:tr w:rsidR="006A3667" w14:paraId="71D49A7C" w14:textId="77777777">
        <w:tc>
          <w:tcPr>
            <w:tcW w:w="0" w:type="auto"/>
            <w:gridSpan w:val="3"/>
            <w:shd w:val="clear" w:color="auto" w:fill="auto"/>
            <w:tcMar>
              <w:top w:w="0" w:type="dxa"/>
              <w:left w:w="20" w:type="dxa"/>
              <w:bottom w:w="0" w:type="dxa"/>
              <w:right w:w="20" w:type="dxa"/>
            </w:tcMar>
            <w:vAlign w:val="bottom"/>
          </w:tcPr>
          <w:p w14:paraId="71D49A7A" w14:textId="77777777" w:rsidR="006A3667" w:rsidRDefault="006A3667">
            <w:pPr>
              <w:rPr>
                <w:rFonts w:ascii="宋体"/>
              </w:rPr>
            </w:pPr>
          </w:p>
        </w:tc>
        <w:tc>
          <w:tcPr>
            <w:tcW w:w="0" w:type="auto"/>
            <w:gridSpan w:val="57"/>
            <w:shd w:val="clear" w:color="auto" w:fill="auto"/>
            <w:tcMar>
              <w:top w:w="40" w:type="dxa"/>
              <w:left w:w="20" w:type="dxa"/>
              <w:bottom w:w="40" w:type="dxa"/>
              <w:right w:w="20" w:type="dxa"/>
            </w:tcMar>
            <w:vAlign w:val="bottom"/>
          </w:tcPr>
          <w:p w14:paraId="71D49A7B" w14:textId="77777777" w:rsidR="006A3667" w:rsidRDefault="00045F32">
            <w:pPr>
              <w:jc w:val="center"/>
              <w:textAlignment w:val="bottom"/>
            </w:pPr>
            <w:r>
              <w:rPr>
                <w:rFonts w:ascii="Arial" w:eastAsia="宋体" w:hAnsi="Arial" w:cs="Arial"/>
                <w:b/>
                <w:bCs/>
                <w:color w:val="000000"/>
                <w:sz w:val="14"/>
                <w:szCs w:val="14"/>
              </w:rPr>
              <w:t>Three Months Ended September 30, 2022</w:t>
            </w:r>
          </w:p>
        </w:tc>
      </w:tr>
      <w:tr w:rsidR="006A3667" w14:paraId="71D49A85" w14:textId="77777777">
        <w:tc>
          <w:tcPr>
            <w:tcW w:w="0" w:type="auto"/>
            <w:gridSpan w:val="3"/>
            <w:shd w:val="clear" w:color="auto" w:fill="auto"/>
            <w:tcMar>
              <w:top w:w="0" w:type="dxa"/>
              <w:left w:w="20" w:type="dxa"/>
              <w:bottom w:w="0" w:type="dxa"/>
              <w:right w:w="20" w:type="dxa"/>
            </w:tcMar>
            <w:vAlign w:val="bottom"/>
          </w:tcPr>
          <w:p w14:paraId="71D49A7D"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A7E" w14:textId="77777777" w:rsidR="006A3667" w:rsidRDefault="00045F32">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7F"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A80" w14:textId="77777777" w:rsidR="006A3667" w:rsidRDefault="00045F32">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81"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A82" w14:textId="77777777" w:rsidR="006A3667" w:rsidRDefault="00045F32">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8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84"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9A9A" w14:textId="77777777">
        <w:tc>
          <w:tcPr>
            <w:tcW w:w="0" w:type="auto"/>
            <w:gridSpan w:val="3"/>
            <w:shd w:val="clear" w:color="auto" w:fill="auto"/>
            <w:tcMar>
              <w:top w:w="40" w:type="dxa"/>
              <w:left w:w="20" w:type="dxa"/>
              <w:bottom w:w="40" w:type="dxa"/>
              <w:right w:w="20" w:type="dxa"/>
            </w:tcMar>
            <w:vAlign w:val="bottom"/>
          </w:tcPr>
          <w:p w14:paraId="71D49A86" w14:textId="77777777" w:rsidR="006A3667" w:rsidRDefault="00045F32">
            <w:pPr>
              <w:textAlignment w:val="bottom"/>
            </w:pPr>
            <w:r>
              <w:rPr>
                <w:rFonts w:ascii="Arial" w:eastAsia="宋体" w:hAnsi="Arial" w:cs="Arial"/>
                <w:b/>
                <w:bCs/>
                <w:color w:val="000000"/>
                <w:sz w:val="14"/>
                <w:szCs w:val="14"/>
              </w:rPr>
              <w:t xml:space="preserve">(Dollars in </w:t>
            </w:r>
            <w:r>
              <w:rPr>
                <w:rFonts w:ascii="Arial" w:eastAsia="宋体" w:hAnsi="Arial" w:cs="Arial"/>
                <w:b/>
                <w:bCs/>
                <w:color w:val="000000"/>
                <w:sz w:val="14"/>
                <w:szCs w:val="14"/>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87"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8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89"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8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8B"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A8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8D"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8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8F"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9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91"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A9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93"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9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95"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A9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97"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A9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A99" w14:textId="77777777" w:rsidR="006A3667" w:rsidRDefault="00045F32">
            <w:pPr>
              <w:jc w:val="center"/>
              <w:textAlignment w:val="bottom"/>
            </w:pPr>
            <w:r>
              <w:rPr>
                <w:rFonts w:ascii="Arial" w:eastAsia="宋体" w:hAnsi="Arial" w:cs="Arial"/>
                <w:b/>
                <w:bCs/>
                <w:color w:val="000000"/>
                <w:sz w:val="14"/>
                <w:szCs w:val="14"/>
              </w:rPr>
              <w:t>2022</w:t>
            </w:r>
          </w:p>
        </w:tc>
      </w:tr>
      <w:tr w:rsidR="00045F32" w14:paraId="71D49AC3" w14:textId="77777777">
        <w:tc>
          <w:tcPr>
            <w:tcW w:w="0" w:type="auto"/>
            <w:gridSpan w:val="3"/>
            <w:shd w:val="clear" w:color="auto" w:fill="CCEEFF"/>
            <w:tcMar>
              <w:top w:w="40" w:type="dxa"/>
              <w:left w:w="155" w:type="dxa"/>
              <w:bottom w:w="40" w:type="dxa"/>
              <w:right w:w="20" w:type="dxa"/>
            </w:tcMar>
            <w:vAlign w:val="bottom"/>
          </w:tcPr>
          <w:p w14:paraId="71D49A9B" w14:textId="77777777" w:rsidR="006A3667" w:rsidRDefault="00045F32">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A9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9D" w14:textId="77777777" w:rsidR="006A3667" w:rsidRDefault="00045F32">
            <w:pPr>
              <w:jc w:val="right"/>
              <w:textAlignment w:val="bottom"/>
            </w:pPr>
            <w:r>
              <w:rPr>
                <w:rFonts w:ascii="Arial" w:eastAsia="宋体" w:hAnsi="Arial" w:cs="Arial"/>
                <w:b/>
                <w:bCs/>
                <w:color w:val="000000"/>
                <w:sz w:val="14"/>
                <w:szCs w:val="14"/>
              </w:rPr>
              <w:t>1,219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9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A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A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A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A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A5" w14:textId="77777777" w:rsidR="006A3667" w:rsidRDefault="00045F32">
            <w:pPr>
              <w:jc w:val="right"/>
              <w:textAlignment w:val="bottom"/>
            </w:pPr>
            <w:r>
              <w:rPr>
                <w:rFonts w:ascii="Arial" w:eastAsia="宋体" w:hAnsi="Arial" w:cs="Arial"/>
                <w:b/>
                <w:bCs/>
                <w:color w:val="000000"/>
                <w:sz w:val="14"/>
                <w:szCs w:val="14"/>
              </w:rPr>
              <w:t>1,219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A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A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A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A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A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A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A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B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B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B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B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B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B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B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B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B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B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B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B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AC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AC1" w14:textId="77777777" w:rsidR="006A3667" w:rsidRDefault="00045F32">
            <w:pPr>
              <w:jc w:val="right"/>
              <w:textAlignment w:val="bottom"/>
            </w:pPr>
            <w:r>
              <w:rPr>
                <w:rFonts w:ascii="Arial" w:eastAsia="宋体" w:hAnsi="Arial" w:cs="Arial"/>
                <w:b/>
                <w:bCs/>
                <w:color w:val="000000"/>
                <w:sz w:val="14"/>
                <w:szCs w:val="14"/>
              </w:rPr>
              <w:t>1,219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AC2" w14:textId="77777777" w:rsidR="006A3667" w:rsidRDefault="006A3667">
            <w:pPr>
              <w:jc w:val="right"/>
              <w:rPr>
                <w:rFonts w:ascii="宋体"/>
              </w:rPr>
            </w:pPr>
          </w:p>
        </w:tc>
      </w:tr>
      <w:tr w:rsidR="006A3667" w14:paraId="71D49AE2" w14:textId="77777777">
        <w:tc>
          <w:tcPr>
            <w:tcW w:w="0" w:type="auto"/>
            <w:gridSpan w:val="3"/>
            <w:shd w:val="clear" w:color="auto" w:fill="FFFFFF"/>
            <w:tcMar>
              <w:top w:w="40" w:type="dxa"/>
              <w:left w:w="155" w:type="dxa"/>
              <w:bottom w:w="40" w:type="dxa"/>
              <w:right w:w="20" w:type="dxa"/>
            </w:tcMar>
            <w:vAlign w:val="bottom"/>
          </w:tcPr>
          <w:p w14:paraId="71D49AC4" w14:textId="77777777" w:rsidR="006A3667" w:rsidRDefault="00045F32">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71D49AC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C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C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C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C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C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C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C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CE" w14:textId="77777777" w:rsidR="006A3667" w:rsidRDefault="00045F32">
            <w:pPr>
              <w:jc w:val="right"/>
              <w:textAlignment w:val="bottom"/>
            </w:pPr>
            <w:r>
              <w:rPr>
                <w:rFonts w:ascii="Arial" w:eastAsia="宋体" w:hAnsi="Arial" w:cs="Arial"/>
                <w:b/>
                <w:bCs/>
                <w:color w:val="000000"/>
                <w:sz w:val="14"/>
                <w:szCs w:val="14"/>
              </w:rPr>
              <w:t>472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D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D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D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D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D4" w14:textId="77777777" w:rsidR="006A3667" w:rsidRDefault="00045F32">
            <w:pPr>
              <w:jc w:val="right"/>
              <w:textAlignment w:val="bottom"/>
            </w:pPr>
            <w:r>
              <w:rPr>
                <w:rFonts w:ascii="Arial" w:eastAsia="宋体" w:hAnsi="Arial" w:cs="Arial"/>
                <w:b/>
                <w:bCs/>
                <w:color w:val="000000"/>
                <w:sz w:val="14"/>
                <w:szCs w:val="14"/>
              </w:rPr>
              <w:t>472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D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D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D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D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D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D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D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D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AD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AE0" w14:textId="77777777" w:rsidR="006A3667" w:rsidRDefault="00045F32">
            <w:pPr>
              <w:jc w:val="right"/>
              <w:textAlignment w:val="bottom"/>
            </w:pPr>
            <w:r>
              <w:rPr>
                <w:rFonts w:ascii="Arial" w:eastAsia="宋体" w:hAnsi="Arial" w:cs="Arial"/>
                <w:b/>
                <w:bCs/>
                <w:color w:val="000000"/>
                <w:sz w:val="14"/>
                <w:szCs w:val="14"/>
              </w:rPr>
              <w:t>472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AE1" w14:textId="77777777" w:rsidR="006A3667" w:rsidRDefault="006A3667">
            <w:pPr>
              <w:jc w:val="right"/>
              <w:rPr>
                <w:rFonts w:ascii="宋体"/>
              </w:rPr>
            </w:pPr>
          </w:p>
        </w:tc>
      </w:tr>
      <w:tr w:rsidR="006A3667" w14:paraId="71D49B01" w14:textId="77777777">
        <w:tc>
          <w:tcPr>
            <w:tcW w:w="0" w:type="auto"/>
            <w:gridSpan w:val="3"/>
            <w:shd w:val="clear" w:color="auto" w:fill="CCEEFF"/>
            <w:tcMar>
              <w:top w:w="40" w:type="dxa"/>
              <w:left w:w="155" w:type="dxa"/>
              <w:bottom w:w="40" w:type="dxa"/>
              <w:right w:w="20" w:type="dxa"/>
            </w:tcMar>
            <w:vAlign w:val="bottom"/>
          </w:tcPr>
          <w:p w14:paraId="71D49AE3" w14:textId="77777777" w:rsidR="006A3667" w:rsidRDefault="00045F32">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71D49AE4" w14:textId="77777777" w:rsidR="006A3667" w:rsidRDefault="00045F32">
            <w:pPr>
              <w:jc w:val="right"/>
              <w:textAlignment w:val="bottom"/>
            </w:pPr>
            <w:r>
              <w:rPr>
                <w:rFonts w:ascii="Arial" w:eastAsia="宋体" w:hAnsi="Arial" w:cs="Arial"/>
                <w:b/>
                <w:bCs/>
                <w:color w:val="000000"/>
                <w:sz w:val="14"/>
                <w:szCs w:val="14"/>
              </w:rPr>
              <w:t>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E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E7" w14:textId="77777777" w:rsidR="006A3667" w:rsidRDefault="00045F32">
            <w:pPr>
              <w:jc w:val="right"/>
              <w:textAlignment w:val="bottom"/>
            </w:pPr>
            <w:r>
              <w:rPr>
                <w:rFonts w:ascii="Arial" w:eastAsia="宋体" w:hAnsi="Arial" w:cs="Arial"/>
                <w:b/>
                <w:bCs/>
                <w:color w:val="000000"/>
                <w:sz w:val="14"/>
                <w:szCs w:val="14"/>
              </w:rPr>
              <w:t>205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E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EA" w14:textId="77777777" w:rsidR="006A3667" w:rsidRDefault="00045F32">
            <w:pPr>
              <w:jc w:val="right"/>
              <w:textAlignment w:val="bottom"/>
            </w:pPr>
            <w:r>
              <w:rPr>
                <w:rFonts w:ascii="Arial" w:eastAsia="宋体" w:hAnsi="Arial" w:cs="Arial"/>
                <w:b/>
                <w:bCs/>
                <w:color w:val="000000"/>
                <w:sz w:val="14"/>
                <w:szCs w:val="14"/>
              </w:rPr>
              <w:t>293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E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E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ED" w14:textId="77777777" w:rsidR="006A3667" w:rsidRDefault="00045F32">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E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F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F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F3" w14:textId="77777777" w:rsidR="006A3667" w:rsidRDefault="00045F32">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F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F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F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F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F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A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AF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AFF" w14:textId="77777777" w:rsidR="006A3667" w:rsidRDefault="00045F32">
            <w:pPr>
              <w:jc w:val="right"/>
              <w:textAlignment w:val="bottom"/>
            </w:pPr>
            <w:r>
              <w:rPr>
                <w:rFonts w:ascii="Arial" w:eastAsia="宋体" w:hAnsi="Arial" w:cs="Arial"/>
                <w:b/>
                <w:bCs/>
                <w:color w:val="000000"/>
                <w:sz w:val="14"/>
                <w:szCs w:val="14"/>
              </w:rPr>
              <w:t>319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00" w14:textId="77777777" w:rsidR="006A3667" w:rsidRDefault="006A3667">
            <w:pPr>
              <w:jc w:val="right"/>
              <w:rPr>
                <w:rFonts w:ascii="宋体"/>
              </w:rPr>
            </w:pPr>
          </w:p>
        </w:tc>
      </w:tr>
      <w:tr w:rsidR="006A3667" w14:paraId="71D49B20" w14:textId="77777777">
        <w:tc>
          <w:tcPr>
            <w:tcW w:w="0" w:type="auto"/>
            <w:gridSpan w:val="3"/>
            <w:shd w:val="clear" w:color="auto" w:fill="FFFFFF"/>
            <w:tcMar>
              <w:top w:w="40" w:type="dxa"/>
              <w:left w:w="155" w:type="dxa"/>
              <w:bottom w:w="40" w:type="dxa"/>
              <w:right w:w="20" w:type="dxa"/>
            </w:tcMar>
            <w:vAlign w:val="bottom"/>
          </w:tcPr>
          <w:p w14:paraId="71D49B02" w14:textId="77777777" w:rsidR="006A3667" w:rsidRDefault="00045F32">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71D49B03" w14:textId="77777777" w:rsidR="006A3667" w:rsidRDefault="00045F32">
            <w:pPr>
              <w:jc w:val="right"/>
              <w:textAlignment w:val="bottom"/>
            </w:pPr>
            <w:r>
              <w:rPr>
                <w:rFonts w:ascii="Arial" w:eastAsia="宋体" w:hAnsi="Arial" w:cs="Arial"/>
                <w:b/>
                <w:bCs/>
                <w:color w:val="000000"/>
                <w:sz w:val="14"/>
                <w:szCs w:val="14"/>
              </w:rPr>
              <w:t>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06" w14:textId="77777777" w:rsidR="006A3667" w:rsidRDefault="00045F32">
            <w:pPr>
              <w:jc w:val="right"/>
              <w:textAlignment w:val="bottom"/>
            </w:pPr>
            <w:r>
              <w:rPr>
                <w:rFonts w:ascii="Arial" w:eastAsia="宋体" w:hAnsi="Arial" w:cs="Arial"/>
                <w:b/>
                <w:bCs/>
                <w:color w:val="000000"/>
                <w:sz w:val="14"/>
                <w:szCs w:val="14"/>
              </w:rPr>
              <w:t>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0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09" w14:textId="77777777" w:rsidR="006A3667" w:rsidRDefault="00045F32">
            <w:pPr>
              <w:jc w:val="right"/>
              <w:textAlignment w:val="bottom"/>
            </w:pPr>
            <w:r>
              <w:rPr>
                <w:rFonts w:ascii="Arial" w:eastAsia="宋体" w:hAnsi="Arial" w:cs="Arial"/>
                <w:b/>
                <w:bCs/>
                <w:color w:val="000000"/>
                <w:sz w:val="14"/>
                <w:szCs w:val="14"/>
              </w:rPr>
              <w:t>105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0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0F"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1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1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12" w14:textId="77777777" w:rsidR="006A3667" w:rsidRDefault="00045F32">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1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1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1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1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1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1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1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1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1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1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1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1E" w14:textId="77777777" w:rsidR="006A3667" w:rsidRDefault="00045F32">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1F" w14:textId="77777777" w:rsidR="006A3667" w:rsidRDefault="006A3667">
            <w:pPr>
              <w:jc w:val="right"/>
              <w:rPr>
                <w:rFonts w:ascii="宋体"/>
              </w:rPr>
            </w:pPr>
          </w:p>
        </w:tc>
      </w:tr>
      <w:tr w:rsidR="006A3667" w14:paraId="71D49B3F" w14:textId="77777777">
        <w:tc>
          <w:tcPr>
            <w:tcW w:w="0" w:type="auto"/>
            <w:gridSpan w:val="3"/>
            <w:shd w:val="clear" w:color="auto" w:fill="CCEEFF"/>
            <w:tcMar>
              <w:top w:w="40" w:type="dxa"/>
              <w:left w:w="155" w:type="dxa"/>
              <w:bottom w:w="40" w:type="dxa"/>
              <w:right w:w="20" w:type="dxa"/>
            </w:tcMar>
            <w:vAlign w:val="bottom"/>
          </w:tcPr>
          <w:p w14:paraId="71D49B21" w14:textId="77777777" w:rsidR="006A3667" w:rsidRDefault="00045F32">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71D49B22" w14:textId="77777777" w:rsidR="006A3667" w:rsidRDefault="00045F32">
            <w:pPr>
              <w:jc w:val="right"/>
              <w:textAlignment w:val="bottom"/>
            </w:pPr>
            <w:r>
              <w:rPr>
                <w:rFonts w:ascii="Arial" w:eastAsia="宋体" w:hAnsi="Arial" w:cs="Arial"/>
                <w:b/>
                <w:bCs/>
                <w:color w:val="000000"/>
                <w:sz w:val="14"/>
                <w:szCs w:val="14"/>
              </w:rPr>
              <w:t>138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2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25" w14:textId="77777777" w:rsidR="006A3667" w:rsidRDefault="00045F32">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28" w14:textId="77777777" w:rsidR="006A3667" w:rsidRDefault="00045F32">
            <w:pPr>
              <w:jc w:val="right"/>
              <w:textAlignment w:val="bottom"/>
            </w:pPr>
            <w:r>
              <w:rPr>
                <w:rFonts w:ascii="Arial" w:eastAsia="宋体" w:hAnsi="Arial" w:cs="Arial"/>
                <w:b/>
                <w:bCs/>
                <w:color w:val="000000"/>
                <w:sz w:val="14"/>
                <w:szCs w:val="14"/>
              </w:rPr>
              <w:t>184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2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2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2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3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3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3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3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3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3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3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3D" w14:textId="77777777" w:rsidR="006A3667" w:rsidRDefault="00045F32">
            <w:pPr>
              <w:jc w:val="right"/>
              <w:textAlignment w:val="bottom"/>
            </w:pPr>
            <w:r>
              <w:rPr>
                <w:rFonts w:ascii="Arial" w:eastAsia="宋体" w:hAnsi="Arial" w:cs="Arial"/>
                <w:b/>
                <w:bCs/>
                <w:color w:val="000000"/>
                <w:sz w:val="14"/>
                <w:szCs w:val="14"/>
              </w:rPr>
              <w:t>184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3E" w14:textId="77777777" w:rsidR="006A3667" w:rsidRDefault="006A3667">
            <w:pPr>
              <w:jc w:val="right"/>
              <w:rPr>
                <w:rFonts w:ascii="宋体"/>
              </w:rPr>
            </w:pPr>
          </w:p>
        </w:tc>
      </w:tr>
      <w:tr w:rsidR="006A3667" w14:paraId="71D49B5E" w14:textId="77777777">
        <w:tc>
          <w:tcPr>
            <w:tcW w:w="0" w:type="auto"/>
            <w:gridSpan w:val="3"/>
            <w:shd w:val="clear" w:color="auto" w:fill="FFFFFF"/>
            <w:tcMar>
              <w:top w:w="40" w:type="dxa"/>
              <w:left w:w="155" w:type="dxa"/>
              <w:bottom w:w="40" w:type="dxa"/>
              <w:right w:w="20" w:type="dxa"/>
            </w:tcMar>
            <w:vAlign w:val="bottom"/>
          </w:tcPr>
          <w:p w14:paraId="71D49B40" w14:textId="77777777" w:rsidR="006A3667" w:rsidRDefault="00045F32">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71D49B4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4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44" w14:textId="77777777" w:rsidR="006A3667" w:rsidRDefault="00045F32">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4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47" w14:textId="77777777" w:rsidR="006A3667" w:rsidRDefault="00045F32">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4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4D" w14:textId="77777777" w:rsidR="006A3667" w:rsidRDefault="00045F32">
            <w:pPr>
              <w:jc w:val="right"/>
              <w:textAlignment w:val="bottom"/>
            </w:pPr>
            <w:r>
              <w:rPr>
                <w:rFonts w:ascii="Arial" w:eastAsia="宋体" w:hAnsi="Arial" w:cs="Arial"/>
                <w:b/>
                <w:bCs/>
                <w:color w:val="000000"/>
                <w:sz w:val="14"/>
                <w:szCs w:val="14"/>
              </w:rPr>
              <w:t>(17)</w:t>
            </w:r>
          </w:p>
        </w:tc>
        <w:tc>
          <w:tcPr>
            <w:tcW w:w="0" w:type="auto"/>
            <w:shd w:val="clear" w:color="auto" w:fill="FFFFFF"/>
            <w:tcMar>
              <w:top w:w="40" w:type="dxa"/>
              <w:left w:w="0" w:type="dxa"/>
              <w:bottom w:w="40" w:type="dxa"/>
              <w:right w:w="20" w:type="dxa"/>
            </w:tcMar>
            <w:vAlign w:val="bottom"/>
          </w:tcPr>
          <w:p w14:paraId="71D49B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50" w14:textId="77777777" w:rsidR="006A3667" w:rsidRDefault="00045F32">
            <w:pPr>
              <w:jc w:val="right"/>
              <w:textAlignment w:val="bottom"/>
            </w:pPr>
            <w:r>
              <w:rPr>
                <w:rFonts w:ascii="Arial" w:eastAsia="宋体" w:hAnsi="Arial" w:cs="Arial"/>
                <w:b/>
                <w:bCs/>
                <w:color w:val="000000"/>
                <w:sz w:val="14"/>
                <w:szCs w:val="14"/>
              </w:rPr>
              <w:t>(17)</w:t>
            </w:r>
          </w:p>
        </w:tc>
        <w:tc>
          <w:tcPr>
            <w:tcW w:w="0" w:type="auto"/>
            <w:shd w:val="clear" w:color="auto" w:fill="FFFFFF"/>
            <w:tcMar>
              <w:top w:w="40" w:type="dxa"/>
              <w:left w:w="0" w:type="dxa"/>
              <w:bottom w:w="40" w:type="dxa"/>
              <w:right w:w="20" w:type="dxa"/>
            </w:tcMar>
            <w:vAlign w:val="bottom"/>
          </w:tcPr>
          <w:p w14:paraId="71D49B5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5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5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5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5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5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5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5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5C" w14:textId="77777777" w:rsidR="006A3667" w:rsidRDefault="00045F32">
            <w:pPr>
              <w:jc w:val="right"/>
              <w:textAlignment w:val="bottom"/>
            </w:pPr>
            <w:r>
              <w:rPr>
                <w:rFonts w:ascii="Arial" w:eastAsia="宋体" w:hAnsi="Arial" w:cs="Arial"/>
                <w:b/>
                <w:bCs/>
                <w:color w:val="000000"/>
                <w:sz w:val="14"/>
                <w:szCs w:val="14"/>
              </w:rPr>
              <w:t>(5)</w:t>
            </w:r>
          </w:p>
        </w:tc>
        <w:tc>
          <w:tcPr>
            <w:tcW w:w="0" w:type="auto"/>
            <w:shd w:val="clear" w:color="auto" w:fill="FFFFFF"/>
            <w:tcMar>
              <w:top w:w="40" w:type="dxa"/>
              <w:left w:w="0" w:type="dxa"/>
              <w:bottom w:w="40" w:type="dxa"/>
              <w:right w:w="20" w:type="dxa"/>
            </w:tcMar>
            <w:vAlign w:val="bottom"/>
          </w:tcPr>
          <w:p w14:paraId="71D49B5D" w14:textId="77777777" w:rsidR="006A3667" w:rsidRDefault="006A3667">
            <w:pPr>
              <w:jc w:val="right"/>
              <w:rPr>
                <w:rFonts w:ascii="宋体"/>
              </w:rPr>
            </w:pPr>
          </w:p>
        </w:tc>
      </w:tr>
      <w:tr w:rsidR="006A3667" w14:paraId="71D49B7D" w14:textId="77777777">
        <w:tc>
          <w:tcPr>
            <w:tcW w:w="0" w:type="auto"/>
            <w:gridSpan w:val="3"/>
            <w:shd w:val="clear" w:color="auto" w:fill="CCEEFF"/>
            <w:tcMar>
              <w:top w:w="40" w:type="dxa"/>
              <w:left w:w="20" w:type="dxa"/>
              <w:bottom w:w="40" w:type="dxa"/>
              <w:right w:w="20" w:type="dxa"/>
            </w:tcMar>
            <w:vAlign w:val="bottom"/>
          </w:tcPr>
          <w:p w14:paraId="71D49B5F" w14:textId="77777777" w:rsidR="006A3667" w:rsidRDefault="00045F32">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60" w14:textId="77777777" w:rsidR="006A3667" w:rsidRDefault="00045F32">
            <w:pPr>
              <w:jc w:val="right"/>
              <w:textAlignment w:val="bottom"/>
            </w:pPr>
            <w:r>
              <w:rPr>
                <w:rFonts w:ascii="Arial" w:eastAsia="宋体" w:hAnsi="Arial" w:cs="Arial"/>
                <w:b/>
                <w:bCs/>
                <w:color w:val="000000"/>
                <w:sz w:val="14"/>
                <w:szCs w:val="14"/>
              </w:rPr>
              <w:t>1,505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6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6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63" w14:textId="77777777" w:rsidR="006A3667" w:rsidRDefault="00045F32">
            <w:pPr>
              <w:jc w:val="right"/>
              <w:textAlignment w:val="bottom"/>
            </w:pPr>
            <w:r>
              <w:rPr>
                <w:rFonts w:ascii="Arial" w:eastAsia="宋体" w:hAnsi="Arial" w:cs="Arial"/>
                <w:b/>
                <w:bCs/>
                <w:color w:val="000000"/>
                <w:sz w:val="14"/>
                <w:szCs w:val="14"/>
              </w:rPr>
              <w:t>308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6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6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66" w14:textId="77777777" w:rsidR="006A3667" w:rsidRDefault="00045F32">
            <w:pPr>
              <w:jc w:val="right"/>
              <w:textAlignment w:val="bottom"/>
            </w:pPr>
            <w:r>
              <w:rPr>
                <w:rFonts w:ascii="Arial" w:eastAsia="宋体" w:hAnsi="Arial" w:cs="Arial"/>
                <w:b/>
                <w:bCs/>
                <w:color w:val="000000"/>
                <w:sz w:val="14"/>
                <w:szCs w:val="14"/>
              </w:rPr>
              <w:t>1,813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6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69" w14:textId="77777777" w:rsidR="006A3667" w:rsidRDefault="00045F32">
            <w:pPr>
              <w:jc w:val="right"/>
              <w:textAlignment w:val="bottom"/>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6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6C" w14:textId="77777777" w:rsidR="006A3667" w:rsidRDefault="00045F32">
            <w:pPr>
              <w:jc w:val="right"/>
              <w:textAlignment w:val="bottom"/>
            </w:pPr>
            <w:r>
              <w:rPr>
                <w:rFonts w:ascii="Arial" w:eastAsia="宋体" w:hAnsi="Arial" w:cs="Arial"/>
                <w:b/>
                <w:bCs/>
                <w:color w:val="000000"/>
                <w:sz w:val="14"/>
                <w:szCs w:val="14"/>
              </w:rPr>
              <w:t>(12)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6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6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6F" w14:textId="77777777" w:rsidR="006A3667" w:rsidRDefault="00045F32">
            <w:pPr>
              <w:jc w:val="right"/>
              <w:textAlignment w:val="bottom"/>
            </w:pPr>
            <w:r>
              <w:rPr>
                <w:rFonts w:ascii="Arial" w:eastAsia="宋体" w:hAnsi="Arial" w:cs="Arial"/>
                <w:b/>
                <w:bCs/>
                <w:color w:val="000000"/>
                <w:sz w:val="14"/>
                <w:szCs w:val="14"/>
              </w:rPr>
              <w:t>486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7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7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7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7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7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7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7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B7B" w14:textId="77777777" w:rsidR="006A3667" w:rsidRDefault="00045F32">
            <w:pPr>
              <w:jc w:val="right"/>
              <w:textAlignment w:val="bottom"/>
            </w:pPr>
            <w:r>
              <w:rPr>
                <w:rFonts w:ascii="Arial" w:eastAsia="宋体" w:hAnsi="Arial" w:cs="Arial"/>
                <w:b/>
                <w:bCs/>
                <w:color w:val="000000"/>
                <w:sz w:val="14"/>
                <w:szCs w:val="14"/>
              </w:rPr>
              <w:t>2,299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B7C" w14:textId="77777777" w:rsidR="006A3667" w:rsidRDefault="006A3667">
            <w:pPr>
              <w:jc w:val="right"/>
              <w:rPr>
                <w:rFonts w:ascii="宋体"/>
              </w:rPr>
            </w:pPr>
          </w:p>
        </w:tc>
      </w:tr>
      <w:tr w:rsidR="006A3667" w14:paraId="71D49B9C" w14:textId="77777777">
        <w:tc>
          <w:tcPr>
            <w:tcW w:w="0" w:type="auto"/>
            <w:gridSpan w:val="3"/>
            <w:shd w:val="clear" w:color="auto" w:fill="FFFFFF"/>
            <w:tcMar>
              <w:top w:w="40" w:type="dxa"/>
              <w:left w:w="155" w:type="dxa"/>
              <w:bottom w:w="40" w:type="dxa"/>
              <w:right w:w="20" w:type="dxa"/>
            </w:tcMar>
            <w:vAlign w:val="bottom"/>
          </w:tcPr>
          <w:p w14:paraId="71D49B7E" w14:textId="77777777" w:rsidR="006A3667" w:rsidRDefault="00045F32">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71D49B7F"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8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8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82" w14:textId="77777777" w:rsidR="006A3667" w:rsidRDefault="00045F32">
            <w:pPr>
              <w:jc w:val="right"/>
              <w:textAlignment w:val="bottom"/>
            </w:pPr>
            <w:r>
              <w:rPr>
                <w:rFonts w:ascii="Arial" w:eastAsia="宋体" w:hAnsi="Arial" w:cs="Arial"/>
                <w:b/>
                <w:bCs/>
                <w:color w:val="000000"/>
                <w:sz w:val="14"/>
                <w:szCs w:val="14"/>
              </w:rPr>
              <w:t>663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8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8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85" w14:textId="77777777" w:rsidR="006A3667" w:rsidRDefault="00045F32">
            <w:pPr>
              <w:jc w:val="right"/>
              <w:textAlignment w:val="bottom"/>
            </w:pPr>
            <w:r>
              <w:rPr>
                <w:rFonts w:ascii="Arial" w:eastAsia="宋体" w:hAnsi="Arial" w:cs="Arial"/>
                <w:b/>
                <w:bCs/>
                <w:color w:val="000000"/>
                <w:sz w:val="14"/>
                <w:szCs w:val="14"/>
              </w:rPr>
              <w:t>663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8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8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8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8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8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8B" w14:textId="77777777" w:rsidR="006A3667" w:rsidRDefault="00045F32">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71D49B8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8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8E" w14:textId="77777777" w:rsidR="006A3667" w:rsidRDefault="00045F32">
            <w:pPr>
              <w:jc w:val="right"/>
              <w:textAlignment w:val="bottom"/>
            </w:pPr>
            <w:r>
              <w:rPr>
                <w:rFonts w:ascii="Arial" w:eastAsia="宋体" w:hAnsi="Arial" w:cs="Arial"/>
                <w:b/>
                <w:bCs/>
                <w:color w:val="000000"/>
                <w:sz w:val="14"/>
                <w:szCs w:val="14"/>
              </w:rPr>
              <w:t>(3)</w:t>
            </w:r>
          </w:p>
        </w:tc>
        <w:tc>
          <w:tcPr>
            <w:tcW w:w="0" w:type="auto"/>
            <w:shd w:val="clear" w:color="auto" w:fill="FFFFFF"/>
            <w:tcMar>
              <w:top w:w="40" w:type="dxa"/>
              <w:left w:w="0" w:type="dxa"/>
              <w:bottom w:w="40" w:type="dxa"/>
              <w:right w:w="20" w:type="dxa"/>
            </w:tcMar>
            <w:vAlign w:val="bottom"/>
          </w:tcPr>
          <w:p w14:paraId="71D49B8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9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9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9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9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9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9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9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9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9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B9A" w14:textId="77777777" w:rsidR="006A3667" w:rsidRDefault="00045F32">
            <w:pPr>
              <w:jc w:val="right"/>
              <w:textAlignment w:val="bottom"/>
            </w:pPr>
            <w:r>
              <w:rPr>
                <w:rFonts w:ascii="Arial" w:eastAsia="宋体" w:hAnsi="Arial" w:cs="Arial"/>
                <w:b/>
                <w:bCs/>
                <w:color w:val="000000"/>
                <w:sz w:val="14"/>
                <w:szCs w:val="14"/>
              </w:rPr>
              <w:t>660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B9B" w14:textId="77777777" w:rsidR="006A3667" w:rsidRDefault="006A3667">
            <w:pPr>
              <w:jc w:val="right"/>
              <w:rPr>
                <w:rFonts w:ascii="宋体"/>
              </w:rPr>
            </w:pPr>
          </w:p>
        </w:tc>
      </w:tr>
      <w:tr w:rsidR="006A3667" w14:paraId="71D49BBB" w14:textId="77777777">
        <w:tc>
          <w:tcPr>
            <w:tcW w:w="0" w:type="auto"/>
            <w:gridSpan w:val="3"/>
            <w:shd w:val="clear" w:color="auto" w:fill="CCEEFF"/>
            <w:tcMar>
              <w:top w:w="40" w:type="dxa"/>
              <w:left w:w="155" w:type="dxa"/>
              <w:bottom w:w="40" w:type="dxa"/>
              <w:right w:w="20" w:type="dxa"/>
            </w:tcMar>
            <w:vAlign w:val="bottom"/>
          </w:tcPr>
          <w:p w14:paraId="71D49B9D" w14:textId="77777777" w:rsidR="006A3667" w:rsidRDefault="00045F32">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71D49B9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A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A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A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A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A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A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A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A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A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A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A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A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A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B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B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B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B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B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B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BB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BB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BBA" w14:textId="77777777" w:rsidR="006A3667" w:rsidRDefault="006A3667">
            <w:pPr>
              <w:jc w:val="right"/>
              <w:rPr>
                <w:rFonts w:ascii="宋体"/>
              </w:rPr>
            </w:pPr>
          </w:p>
        </w:tc>
      </w:tr>
      <w:tr w:rsidR="00045F32" w14:paraId="71D49BE4" w14:textId="77777777">
        <w:tc>
          <w:tcPr>
            <w:tcW w:w="0" w:type="auto"/>
            <w:gridSpan w:val="3"/>
            <w:shd w:val="clear" w:color="auto" w:fill="FFFFFF"/>
            <w:tcMar>
              <w:top w:w="40" w:type="dxa"/>
              <w:left w:w="20" w:type="dxa"/>
              <w:bottom w:w="40" w:type="dxa"/>
              <w:right w:w="20" w:type="dxa"/>
            </w:tcMar>
            <w:vAlign w:val="bottom"/>
          </w:tcPr>
          <w:p w14:paraId="71D49BBC" w14:textId="77777777" w:rsidR="006A3667" w:rsidRDefault="00045F32">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9BB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BE" w14:textId="77777777" w:rsidR="006A3667" w:rsidRDefault="00045F32">
            <w:pPr>
              <w:jc w:val="right"/>
              <w:textAlignment w:val="bottom"/>
            </w:pPr>
            <w:r>
              <w:rPr>
                <w:rFonts w:ascii="Arial" w:eastAsia="宋体" w:hAnsi="Arial" w:cs="Arial"/>
                <w:b/>
                <w:bCs/>
                <w:color w:val="000000"/>
                <w:sz w:val="14"/>
                <w:szCs w:val="14"/>
              </w:rPr>
              <w:t>1,505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B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C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C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C2" w14:textId="77777777" w:rsidR="006A3667" w:rsidRDefault="00045F32">
            <w:pPr>
              <w:jc w:val="right"/>
              <w:textAlignment w:val="bottom"/>
            </w:pPr>
            <w:r>
              <w:rPr>
                <w:rFonts w:ascii="Arial" w:eastAsia="宋体" w:hAnsi="Arial" w:cs="Arial"/>
                <w:b/>
                <w:bCs/>
                <w:color w:val="000000"/>
                <w:sz w:val="14"/>
                <w:szCs w:val="14"/>
              </w:rPr>
              <w:t>971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C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C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C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C6" w14:textId="77777777" w:rsidR="006A3667" w:rsidRDefault="00045F32">
            <w:pPr>
              <w:jc w:val="right"/>
              <w:textAlignment w:val="bottom"/>
            </w:pPr>
            <w:r>
              <w:rPr>
                <w:rFonts w:ascii="Arial" w:eastAsia="宋体" w:hAnsi="Arial" w:cs="Arial"/>
                <w:b/>
                <w:bCs/>
                <w:color w:val="000000"/>
                <w:sz w:val="14"/>
                <w:szCs w:val="14"/>
              </w:rPr>
              <w:t>2,476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C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C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CA" w14:textId="77777777" w:rsidR="006A3667" w:rsidRDefault="00045F32">
            <w:pPr>
              <w:jc w:val="right"/>
              <w:textAlignment w:val="bottom"/>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C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C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CE" w14:textId="77777777" w:rsidR="006A3667" w:rsidRDefault="00045F32">
            <w:pPr>
              <w:jc w:val="right"/>
              <w:textAlignment w:val="bottom"/>
            </w:pPr>
            <w:r>
              <w:rPr>
                <w:rFonts w:ascii="Arial" w:eastAsia="宋体" w:hAnsi="Arial" w:cs="Arial"/>
                <w:b/>
                <w:bCs/>
                <w:color w:val="000000"/>
                <w:sz w:val="14"/>
                <w:szCs w:val="14"/>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D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D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D2" w14:textId="77777777" w:rsidR="006A3667" w:rsidRDefault="00045F32">
            <w:pPr>
              <w:jc w:val="right"/>
              <w:textAlignment w:val="bottom"/>
            </w:pPr>
            <w:r>
              <w:rPr>
                <w:rFonts w:ascii="Arial" w:eastAsia="宋体" w:hAnsi="Arial" w:cs="Arial"/>
                <w:b/>
                <w:bCs/>
                <w:color w:val="000000"/>
                <w:sz w:val="14"/>
                <w:szCs w:val="14"/>
              </w:rPr>
              <w:t>483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D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D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D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D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D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D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D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D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D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D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D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BE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BE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BE2" w14:textId="77777777" w:rsidR="006A3667" w:rsidRDefault="00045F32">
            <w:pPr>
              <w:jc w:val="right"/>
              <w:textAlignment w:val="bottom"/>
            </w:pPr>
            <w:r>
              <w:rPr>
                <w:rFonts w:ascii="Arial" w:eastAsia="宋体" w:hAnsi="Arial" w:cs="Arial"/>
                <w:b/>
                <w:bCs/>
                <w:color w:val="000000"/>
                <w:sz w:val="14"/>
                <w:szCs w:val="14"/>
              </w:rPr>
              <w:t>2,959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BE3" w14:textId="77777777" w:rsidR="006A3667" w:rsidRDefault="006A3667">
            <w:pPr>
              <w:jc w:val="right"/>
              <w:rPr>
                <w:rFonts w:ascii="宋体"/>
              </w:rPr>
            </w:pPr>
          </w:p>
        </w:tc>
      </w:tr>
      <w:tr w:rsidR="006A3667" w14:paraId="71D49BF9" w14:textId="77777777">
        <w:trPr>
          <w:trHeight w:val="160"/>
        </w:trPr>
        <w:tc>
          <w:tcPr>
            <w:tcW w:w="0" w:type="auto"/>
            <w:gridSpan w:val="3"/>
            <w:shd w:val="clear" w:color="auto" w:fill="auto"/>
            <w:tcMar>
              <w:top w:w="0" w:type="dxa"/>
              <w:left w:w="20" w:type="dxa"/>
              <w:bottom w:w="0" w:type="dxa"/>
              <w:right w:w="20" w:type="dxa"/>
            </w:tcMar>
            <w:vAlign w:val="bottom"/>
          </w:tcPr>
          <w:p w14:paraId="71D49BE5"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E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E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E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E9"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E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EB"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E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ED"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E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EF"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F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F1"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F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F3"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F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F5"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F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BF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BF8" w14:textId="77777777" w:rsidR="006A3667" w:rsidRDefault="006A3667">
            <w:pPr>
              <w:rPr>
                <w:rFonts w:ascii="宋体"/>
              </w:rPr>
            </w:pPr>
          </w:p>
        </w:tc>
      </w:tr>
      <w:tr w:rsidR="006A3667" w14:paraId="71D49BFC" w14:textId="77777777">
        <w:tc>
          <w:tcPr>
            <w:tcW w:w="0" w:type="auto"/>
            <w:gridSpan w:val="3"/>
            <w:shd w:val="clear" w:color="auto" w:fill="auto"/>
            <w:tcMar>
              <w:top w:w="0" w:type="dxa"/>
              <w:left w:w="20" w:type="dxa"/>
              <w:bottom w:w="0" w:type="dxa"/>
              <w:right w:w="20" w:type="dxa"/>
            </w:tcMar>
            <w:vAlign w:val="bottom"/>
          </w:tcPr>
          <w:p w14:paraId="71D49BFA" w14:textId="77777777" w:rsidR="006A3667" w:rsidRDefault="006A3667">
            <w:pPr>
              <w:rPr>
                <w:rFonts w:ascii="宋体"/>
              </w:rPr>
            </w:pPr>
          </w:p>
        </w:tc>
        <w:tc>
          <w:tcPr>
            <w:tcW w:w="0" w:type="auto"/>
            <w:gridSpan w:val="57"/>
            <w:shd w:val="clear" w:color="auto" w:fill="auto"/>
            <w:tcMar>
              <w:top w:w="40" w:type="dxa"/>
              <w:left w:w="20" w:type="dxa"/>
              <w:bottom w:w="40" w:type="dxa"/>
              <w:right w:w="20" w:type="dxa"/>
            </w:tcMar>
            <w:vAlign w:val="bottom"/>
          </w:tcPr>
          <w:p w14:paraId="71D49BFB" w14:textId="77777777" w:rsidR="006A3667" w:rsidRDefault="00045F32">
            <w:pPr>
              <w:jc w:val="center"/>
              <w:textAlignment w:val="bottom"/>
            </w:pPr>
            <w:r>
              <w:rPr>
                <w:rFonts w:ascii="Arial" w:eastAsia="宋体" w:hAnsi="Arial" w:cs="Arial"/>
                <w:b/>
                <w:bCs/>
                <w:color w:val="000000"/>
                <w:sz w:val="14"/>
                <w:szCs w:val="14"/>
              </w:rPr>
              <w:t>Nine Months Ended September 30, 2022</w:t>
            </w:r>
          </w:p>
        </w:tc>
      </w:tr>
      <w:tr w:rsidR="006A3667" w14:paraId="71D49C05" w14:textId="77777777">
        <w:tc>
          <w:tcPr>
            <w:tcW w:w="0" w:type="auto"/>
            <w:gridSpan w:val="3"/>
            <w:shd w:val="clear" w:color="auto" w:fill="auto"/>
            <w:tcMar>
              <w:top w:w="0" w:type="dxa"/>
              <w:left w:w="20" w:type="dxa"/>
              <w:bottom w:w="0" w:type="dxa"/>
              <w:right w:w="20" w:type="dxa"/>
            </w:tcMar>
            <w:vAlign w:val="bottom"/>
          </w:tcPr>
          <w:p w14:paraId="71D49BFD"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BFE" w14:textId="77777777" w:rsidR="006A3667" w:rsidRDefault="00045F32">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BFF"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C00" w14:textId="77777777" w:rsidR="006A3667" w:rsidRDefault="00045F32">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C01"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C02" w14:textId="77777777" w:rsidR="006A3667" w:rsidRDefault="00045F32">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C0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04"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9C1A" w14:textId="77777777">
        <w:tc>
          <w:tcPr>
            <w:tcW w:w="0" w:type="auto"/>
            <w:gridSpan w:val="3"/>
            <w:shd w:val="clear" w:color="auto" w:fill="auto"/>
            <w:tcMar>
              <w:top w:w="40" w:type="dxa"/>
              <w:left w:w="20" w:type="dxa"/>
              <w:bottom w:w="40" w:type="dxa"/>
              <w:right w:w="20" w:type="dxa"/>
            </w:tcMar>
            <w:vAlign w:val="bottom"/>
          </w:tcPr>
          <w:p w14:paraId="71D49C06" w14:textId="77777777" w:rsidR="006A3667" w:rsidRDefault="00045F32">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07"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C0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09"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C0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0B"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C0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0D"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C0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0F"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C1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11"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C1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13" w14:textId="77777777" w:rsidR="006A3667" w:rsidRDefault="00045F32">
            <w:pPr>
              <w:jc w:val="center"/>
              <w:textAlignment w:val="bottom"/>
            </w:pPr>
            <w:r>
              <w:rPr>
                <w:rFonts w:ascii="Arial" w:eastAsia="宋体" w:hAnsi="Arial" w:cs="Arial"/>
                <w:b/>
                <w:bCs/>
                <w:color w:val="000000"/>
                <w:sz w:val="14"/>
                <w:szCs w:val="14"/>
              </w:rPr>
              <w:t xml:space="preserve">Topic 606 </w:t>
            </w:r>
            <w:r>
              <w:rPr>
                <w:rFonts w:ascii="Arial" w:eastAsia="宋体" w:hAnsi="Arial" w:cs="Arial"/>
                <w:b/>
                <w:bCs/>
                <w:color w:val="000000"/>
                <w:sz w:val="14"/>
                <w:szCs w:val="14"/>
              </w:rPr>
              <w:t>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C1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15"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C1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17"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C1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C19" w14:textId="77777777" w:rsidR="006A3667" w:rsidRDefault="00045F32">
            <w:pPr>
              <w:jc w:val="center"/>
              <w:textAlignment w:val="bottom"/>
            </w:pPr>
            <w:r>
              <w:rPr>
                <w:rFonts w:ascii="Arial" w:eastAsia="宋体" w:hAnsi="Arial" w:cs="Arial"/>
                <w:b/>
                <w:bCs/>
                <w:color w:val="000000"/>
                <w:sz w:val="14"/>
                <w:szCs w:val="14"/>
              </w:rPr>
              <w:t>2022</w:t>
            </w:r>
          </w:p>
        </w:tc>
      </w:tr>
      <w:tr w:rsidR="00045F32" w14:paraId="71D49C43" w14:textId="77777777">
        <w:tc>
          <w:tcPr>
            <w:tcW w:w="0" w:type="auto"/>
            <w:gridSpan w:val="3"/>
            <w:shd w:val="clear" w:color="auto" w:fill="CCEEFF"/>
            <w:tcMar>
              <w:top w:w="40" w:type="dxa"/>
              <w:left w:w="155" w:type="dxa"/>
              <w:bottom w:w="40" w:type="dxa"/>
              <w:right w:w="20" w:type="dxa"/>
            </w:tcMar>
            <w:vAlign w:val="bottom"/>
          </w:tcPr>
          <w:p w14:paraId="71D49C1B" w14:textId="77777777" w:rsidR="006A3667" w:rsidRDefault="00045F32">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C1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1D" w14:textId="77777777" w:rsidR="006A3667" w:rsidRDefault="00045F32">
            <w:pPr>
              <w:jc w:val="right"/>
              <w:textAlignment w:val="bottom"/>
            </w:pPr>
            <w:r>
              <w:rPr>
                <w:rFonts w:ascii="Arial" w:eastAsia="宋体" w:hAnsi="Arial" w:cs="Arial"/>
                <w:b/>
                <w:bCs/>
                <w:color w:val="000000"/>
                <w:sz w:val="14"/>
                <w:szCs w:val="14"/>
              </w:rPr>
              <w:t>3,884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1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2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2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2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2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25" w14:textId="77777777" w:rsidR="006A3667" w:rsidRDefault="00045F32">
            <w:pPr>
              <w:jc w:val="right"/>
              <w:textAlignment w:val="bottom"/>
            </w:pPr>
            <w:r>
              <w:rPr>
                <w:rFonts w:ascii="Arial" w:eastAsia="宋体" w:hAnsi="Arial" w:cs="Arial"/>
                <w:b/>
                <w:bCs/>
                <w:color w:val="000000"/>
                <w:sz w:val="14"/>
                <w:szCs w:val="14"/>
              </w:rPr>
              <w:t>3,884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2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2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2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2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2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2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2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3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3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3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34"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3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3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3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38"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3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3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3C"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3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3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C40"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C41" w14:textId="77777777" w:rsidR="006A3667" w:rsidRDefault="00045F32">
            <w:pPr>
              <w:jc w:val="right"/>
              <w:textAlignment w:val="bottom"/>
            </w:pPr>
            <w:r>
              <w:rPr>
                <w:rFonts w:ascii="Arial" w:eastAsia="宋体" w:hAnsi="Arial" w:cs="Arial"/>
                <w:b/>
                <w:bCs/>
                <w:color w:val="000000"/>
                <w:sz w:val="14"/>
                <w:szCs w:val="14"/>
              </w:rPr>
              <w:t>3,884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42" w14:textId="77777777" w:rsidR="006A3667" w:rsidRDefault="006A3667">
            <w:pPr>
              <w:jc w:val="right"/>
              <w:rPr>
                <w:rFonts w:ascii="宋体"/>
              </w:rPr>
            </w:pPr>
          </w:p>
        </w:tc>
      </w:tr>
      <w:tr w:rsidR="006A3667" w14:paraId="71D49C62" w14:textId="77777777">
        <w:tc>
          <w:tcPr>
            <w:tcW w:w="0" w:type="auto"/>
            <w:gridSpan w:val="3"/>
            <w:shd w:val="clear" w:color="auto" w:fill="FFFFFF"/>
            <w:tcMar>
              <w:top w:w="40" w:type="dxa"/>
              <w:left w:w="155" w:type="dxa"/>
              <w:bottom w:w="40" w:type="dxa"/>
              <w:right w:w="20" w:type="dxa"/>
            </w:tcMar>
            <w:vAlign w:val="bottom"/>
          </w:tcPr>
          <w:p w14:paraId="71D49C44" w14:textId="77777777" w:rsidR="006A3667" w:rsidRDefault="00045F32">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71D49C4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4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4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4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4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4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4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4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4E" w14:textId="77777777" w:rsidR="006A3667" w:rsidRDefault="00045F32">
            <w:pPr>
              <w:jc w:val="right"/>
              <w:textAlignment w:val="bottom"/>
            </w:pPr>
            <w:r>
              <w:rPr>
                <w:rFonts w:ascii="Arial" w:eastAsia="宋体" w:hAnsi="Arial" w:cs="Arial"/>
                <w:b/>
                <w:bCs/>
                <w:color w:val="000000"/>
                <w:sz w:val="14"/>
                <w:szCs w:val="14"/>
              </w:rPr>
              <w:t>1,482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5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5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5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5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54" w14:textId="77777777" w:rsidR="006A3667" w:rsidRDefault="00045F32">
            <w:pPr>
              <w:jc w:val="right"/>
              <w:textAlignment w:val="bottom"/>
            </w:pPr>
            <w:r>
              <w:rPr>
                <w:rFonts w:ascii="Arial" w:eastAsia="宋体" w:hAnsi="Arial" w:cs="Arial"/>
                <w:b/>
                <w:bCs/>
                <w:color w:val="000000"/>
                <w:sz w:val="14"/>
                <w:szCs w:val="14"/>
              </w:rPr>
              <w:t>1,482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5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5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5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5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5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5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5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5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60" w14:textId="77777777" w:rsidR="006A3667" w:rsidRDefault="00045F32">
            <w:pPr>
              <w:jc w:val="right"/>
              <w:textAlignment w:val="bottom"/>
            </w:pPr>
            <w:r>
              <w:rPr>
                <w:rFonts w:ascii="Arial" w:eastAsia="宋体" w:hAnsi="Arial" w:cs="Arial"/>
                <w:b/>
                <w:bCs/>
                <w:color w:val="000000"/>
                <w:sz w:val="14"/>
                <w:szCs w:val="14"/>
              </w:rPr>
              <w:t>1,482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61" w14:textId="77777777" w:rsidR="006A3667" w:rsidRDefault="006A3667">
            <w:pPr>
              <w:jc w:val="right"/>
              <w:rPr>
                <w:rFonts w:ascii="宋体"/>
              </w:rPr>
            </w:pPr>
          </w:p>
        </w:tc>
      </w:tr>
      <w:tr w:rsidR="006A3667" w14:paraId="71D49C81" w14:textId="77777777">
        <w:tc>
          <w:tcPr>
            <w:tcW w:w="0" w:type="auto"/>
            <w:gridSpan w:val="3"/>
            <w:shd w:val="clear" w:color="auto" w:fill="CCEEFF"/>
            <w:tcMar>
              <w:top w:w="40" w:type="dxa"/>
              <w:left w:w="155" w:type="dxa"/>
              <w:bottom w:w="40" w:type="dxa"/>
              <w:right w:w="20" w:type="dxa"/>
            </w:tcMar>
            <w:vAlign w:val="bottom"/>
          </w:tcPr>
          <w:p w14:paraId="71D49C63" w14:textId="77777777" w:rsidR="006A3667" w:rsidRDefault="00045F32">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71D49C64" w14:textId="77777777" w:rsidR="006A3667" w:rsidRDefault="00045F32">
            <w:pPr>
              <w:jc w:val="right"/>
              <w:textAlignment w:val="bottom"/>
            </w:pPr>
            <w:r>
              <w:rPr>
                <w:rFonts w:ascii="Arial" w:eastAsia="宋体" w:hAnsi="Arial" w:cs="Arial"/>
                <w:b/>
                <w:bCs/>
                <w:color w:val="000000"/>
                <w:sz w:val="14"/>
                <w:szCs w:val="14"/>
              </w:rPr>
              <w:t>279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6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6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67" w14:textId="77777777" w:rsidR="006A3667" w:rsidRDefault="00045F32">
            <w:pPr>
              <w:jc w:val="right"/>
              <w:textAlignment w:val="bottom"/>
            </w:pPr>
            <w:r>
              <w:rPr>
                <w:rFonts w:ascii="Arial" w:eastAsia="宋体" w:hAnsi="Arial" w:cs="Arial"/>
                <w:b/>
                <w:bCs/>
                <w:color w:val="000000"/>
                <w:sz w:val="14"/>
                <w:szCs w:val="14"/>
              </w:rPr>
              <w:t>669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6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6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6A" w14:textId="77777777" w:rsidR="006A3667" w:rsidRDefault="00045F32">
            <w:pPr>
              <w:jc w:val="right"/>
              <w:textAlignment w:val="bottom"/>
            </w:pPr>
            <w:r>
              <w:rPr>
                <w:rFonts w:ascii="Arial" w:eastAsia="宋体" w:hAnsi="Arial" w:cs="Arial"/>
                <w:b/>
                <w:bCs/>
                <w:color w:val="000000"/>
                <w:sz w:val="14"/>
                <w:szCs w:val="14"/>
              </w:rPr>
              <w:t>948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6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6D" w14:textId="77777777" w:rsidR="006A3667" w:rsidRDefault="00045F32">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6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7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7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73" w14:textId="77777777" w:rsidR="006A3667" w:rsidRDefault="00045F32">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7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7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7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7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7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7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7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7F" w14:textId="77777777" w:rsidR="006A3667" w:rsidRDefault="00045F32">
            <w:pPr>
              <w:jc w:val="right"/>
              <w:textAlignment w:val="bottom"/>
            </w:pPr>
            <w:r>
              <w:rPr>
                <w:rFonts w:ascii="Arial" w:eastAsia="宋体" w:hAnsi="Arial" w:cs="Arial"/>
                <w:b/>
                <w:bCs/>
                <w:color w:val="000000"/>
                <w:sz w:val="14"/>
                <w:szCs w:val="14"/>
              </w:rPr>
              <w:t>1,009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80" w14:textId="77777777" w:rsidR="006A3667" w:rsidRDefault="006A3667">
            <w:pPr>
              <w:jc w:val="right"/>
              <w:rPr>
                <w:rFonts w:ascii="宋体"/>
              </w:rPr>
            </w:pPr>
          </w:p>
        </w:tc>
      </w:tr>
      <w:tr w:rsidR="006A3667" w14:paraId="71D49CA0" w14:textId="77777777">
        <w:tc>
          <w:tcPr>
            <w:tcW w:w="0" w:type="auto"/>
            <w:gridSpan w:val="3"/>
            <w:shd w:val="clear" w:color="auto" w:fill="FFFFFF"/>
            <w:tcMar>
              <w:top w:w="40" w:type="dxa"/>
              <w:left w:w="155" w:type="dxa"/>
              <w:bottom w:w="40" w:type="dxa"/>
              <w:right w:w="20" w:type="dxa"/>
            </w:tcMar>
            <w:vAlign w:val="bottom"/>
          </w:tcPr>
          <w:p w14:paraId="71D49C82" w14:textId="77777777" w:rsidR="006A3667" w:rsidRDefault="00045F32">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71D49C83" w14:textId="77777777" w:rsidR="006A3667" w:rsidRDefault="00045F32">
            <w:pPr>
              <w:jc w:val="right"/>
              <w:textAlignment w:val="bottom"/>
            </w:pPr>
            <w:r>
              <w:rPr>
                <w:rFonts w:ascii="Arial" w:eastAsia="宋体" w:hAnsi="Arial" w:cs="Arial"/>
                <w:b/>
                <w:bCs/>
                <w:color w:val="000000"/>
                <w:sz w:val="14"/>
                <w:szCs w:val="14"/>
              </w:rPr>
              <w:t>175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86" w14:textId="77777777" w:rsidR="006A3667" w:rsidRDefault="00045F32">
            <w:pPr>
              <w:jc w:val="right"/>
              <w:textAlignment w:val="bottom"/>
            </w:pPr>
            <w:r>
              <w:rPr>
                <w:rFonts w:ascii="Arial" w:eastAsia="宋体" w:hAnsi="Arial" w:cs="Arial"/>
                <w:b/>
                <w:bCs/>
                <w:color w:val="000000"/>
                <w:sz w:val="14"/>
                <w:szCs w:val="14"/>
              </w:rPr>
              <w:t>125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89" w14:textId="77777777" w:rsidR="006A3667" w:rsidRDefault="00045F32">
            <w:pPr>
              <w:jc w:val="right"/>
              <w:textAlignment w:val="bottom"/>
            </w:pPr>
            <w:r>
              <w:rPr>
                <w:rFonts w:ascii="Arial" w:eastAsia="宋体" w:hAnsi="Arial" w:cs="Arial"/>
                <w:b/>
                <w:bCs/>
                <w:color w:val="000000"/>
                <w:sz w:val="14"/>
                <w:szCs w:val="14"/>
              </w:rPr>
              <w:t>300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8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8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8C"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8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8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8F" w14:textId="77777777" w:rsidR="006A3667" w:rsidRDefault="00045F32">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9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9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92" w14:textId="77777777" w:rsidR="006A3667" w:rsidRDefault="00045F32">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9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9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9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9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9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9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9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9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9E" w14:textId="77777777" w:rsidR="006A3667" w:rsidRDefault="00045F32">
            <w:pPr>
              <w:jc w:val="right"/>
              <w:textAlignment w:val="bottom"/>
            </w:pPr>
            <w:r>
              <w:rPr>
                <w:rFonts w:ascii="Arial" w:eastAsia="宋体" w:hAnsi="Arial" w:cs="Arial"/>
                <w:b/>
                <w:bCs/>
                <w:color w:val="000000"/>
                <w:sz w:val="14"/>
                <w:szCs w:val="14"/>
              </w:rPr>
              <w:t>313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9F" w14:textId="77777777" w:rsidR="006A3667" w:rsidRDefault="006A3667">
            <w:pPr>
              <w:jc w:val="right"/>
              <w:rPr>
                <w:rFonts w:ascii="宋体"/>
              </w:rPr>
            </w:pPr>
          </w:p>
        </w:tc>
      </w:tr>
      <w:tr w:rsidR="006A3667" w14:paraId="71D49CBF" w14:textId="77777777">
        <w:tc>
          <w:tcPr>
            <w:tcW w:w="0" w:type="auto"/>
            <w:gridSpan w:val="3"/>
            <w:shd w:val="clear" w:color="auto" w:fill="CCEEFF"/>
            <w:tcMar>
              <w:top w:w="40" w:type="dxa"/>
              <w:left w:w="155" w:type="dxa"/>
              <w:bottom w:w="40" w:type="dxa"/>
              <w:right w:w="20" w:type="dxa"/>
            </w:tcMar>
            <w:vAlign w:val="bottom"/>
          </w:tcPr>
          <w:p w14:paraId="71D49CA1" w14:textId="77777777" w:rsidR="006A3667" w:rsidRDefault="00045F32">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71D49CA2" w14:textId="77777777" w:rsidR="006A3667" w:rsidRDefault="00045F32">
            <w:pPr>
              <w:jc w:val="right"/>
              <w:textAlignment w:val="bottom"/>
            </w:pPr>
            <w:r>
              <w:rPr>
                <w:rFonts w:ascii="Arial" w:eastAsia="宋体" w:hAnsi="Arial" w:cs="Arial"/>
                <w:b/>
                <w:bCs/>
                <w:color w:val="000000"/>
                <w:sz w:val="14"/>
                <w:szCs w:val="14"/>
              </w:rPr>
              <w:t>427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A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A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A5" w14:textId="77777777" w:rsidR="006A3667" w:rsidRDefault="00045F32">
            <w:pPr>
              <w:jc w:val="right"/>
              <w:textAlignment w:val="bottom"/>
            </w:pPr>
            <w:r>
              <w:rPr>
                <w:rFonts w:ascii="Arial" w:eastAsia="宋体" w:hAnsi="Arial" w:cs="Arial"/>
                <w:b/>
                <w:bCs/>
                <w:color w:val="000000"/>
                <w:sz w:val="14"/>
                <w:szCs w:val="14"/>
              </w:rPr>
              <w:t>146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A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A8" w14:textId="77777777" w:rsidR="006A3667" w:rsidRDefault="00045F32">
            <w:pPr>
              <w:jc w:val="right"/>
              <w:textAlignment w:val="bottom"/>
            </w:pPr>
            <w:r>
              <w:rPr>
                <w:rFonts w:ascii="Arial" w:eastAsia="宋体" w:hAnsi="Arial" w:cs="Arial"/>
                <w:b/>
                <w:bCs/>
                <w:color w:val="000000"/>
                <w:sz w:val="14"/>
                <w:szCs w:val="14"/>
              </w:rPr>
              <w:t>573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A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AB"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A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A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B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B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B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B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B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B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B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B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CBD" w14:textId="77777777" w:rsidR="006A3667" w:rsidRDefault="00045F32">
            <w:pPr>
              <w:jc w:val="right"/>
              <w:textAlignment w:val="bottom"/>
            </w:pPr>
            <w:r>
              <w:rPr>
                <w:rFonts w:ascii="Arial" w:eastAsia="宋体" w:hAnsi="Arial" w:cs="Arial"/>
                <w:b/>
                <w:bCs/>
                <w:color w:val="000000"/>
                <w:sz w:val="14"/>
                <w:szCs w:val="14"/>
              </w:rPr>
              <w:t>573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CBE" w14:textId="77777777" w:rsidR="006A3667" w:rsidRDefault="006A3667">
            <w:pPr>
              <w:jc w:val="right"/>
              <w:rPr>
                <w:rFonts w:ascii="宋体"/>
              </w:rPr>
            </w:pPr>
          </w:p>
        </w:tc>
      </w:tr>
      <w:tr w:rsidR="006A3667" w14:paraId="71D49CDE" w14:textId="77777777">
        <w:tc>
          <w:tcPr>
            <w:tcW w:w="0" w:type="auto"/>
            <w:gridSpan w:val="3"/>
            <w:shd w:val="clear" w:color="auto" w:fill="FFFFFF"/>
            <w:tcMar>
              <w:top w:w="40" w:type="dxa"/>
              <w:left w:w="155" w:type="dxa"/>
              <w:bottom w:w="40" w:type="dxa"/>
              <w:right w:w="20" w:type="dxa"/>
            </w:tcMar>
            <w:vAlign w:val="bottom"/>
          </w:tcPr>
          <w:p w14:paraId="71D49CC0" w14:textId="77777777" w:rsidR="006A3667" w:rsidRDefault="00045F32">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71D49CC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C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C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C4" w14:textId="77777777" w:rsidR="006A3667" w:rsidRDefault="00045F32">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C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C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C7" w14:textId="77777777" w:rsidR="006A3667" w:rsidRDefault="00045F32">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C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C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C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CD" w14:textId="77777777" w:rsidR="006A3667" w:rsidRDefault="00045F32">
            <w:pPr>
              <w:jc w:val="right"/>
              <w:textAlignment w:val="bottom"/>
            </w:pPr>
            <w:r>
              <w:rPr>
                <w:rFonts w:ascii="Arial" w:eastAsia="宋体" w:hAnsi="Arial" w:cs="Arial"/>
                <w:b/>
                <w:bCs/>
                <w:color w:val="000000"/>
                <w:sz w:val="14"/>
                <w:szCs w:val="14"/>
              </w:rPr>
              <w:t>(65)</w:t>
            </w:r>
          </w:p>
        </w:tc>
        <w:tc>
          <w:tcPr>
            <w:tcW w:w="0" w:type="auto"/>
            <w:shd w:val="clear" w:color="auto" w:fill="FFFFFF"/>
            <w:tcMar>
              <w:top w:w="40" w:type="dxa"/>
              <w:left w:w="0" w:type="dxa"/>
              <w:bottom w:w="40" w:type="dxa"/>
              <w:right w:w="20" w:type="dxa"/>
            </w:tcMar>
            <w:vAlign w:val="bottom"/>
          </w:tcPr>
          <w:p w14:paraId="71D49C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D0" w14:textId="77777777" w:rsidR="006A3667" w:rsidRDefault="00045F32">
            <w:pPr>
              <w:jc w:val="right"/>
              <w:textAlignment w:val="bottom"/>
            </w:pPr>
            <w:r>
              <w:rPr>
                <w:rFonts w:ascii="Arial" w:eastAsia="宋体" w:hAnsi="Arial" w:cs="Arial"/>
                <w:b/>
                <w:bCs/>
                <w:color w:val="000000"/>
                <w:sz w:val="14"/>
                <w:szCs w:val="14"/>
              </w:rPr>
              <w:t>(65)</w:t>
            </w:r>
          </w:p>
        </w:tc>
        <w:tc>
          <w:tcPr>
            <w:tcW w:w="0" w:type="auto"/>
            <w:shd w:val="clear" w:color="auto" w:fill="FFFFFF"/>
            <w:tcMar>
              <w:top w:w="40" w:type="dxa"/>
              <w:left w:w="0" w:type="dxa"/>
              <w:bottom w:w="40" w:type="dxa"/>
              <w:right w:w="20" w:type="dxa"/>
            </w:tcMar>
            <w:vAlign w:val="bottom"/>
          </w:tcPr>
          <w:p w14:paraId="71D49C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D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D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D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D9"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C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C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CDC" w14:textId="77777777" w:rsidR="006A3667" w:rsidRDefault="00045F32">
            <w:pPr>
              <w:jc w:val="right"/>
              <w:textAlignment w:val="bottom"/>
            </w:pPr>
            <w:r>
              <w:rPr>
                <w:rFonts w:ascii="Arial" w:eastAsia="宋体" w:hAnsi="Arial" w:cs="Arial"/>
                <w:b/>
                <w:bCs/>
                <w:color w:val="000000"/>
                <w:sz w:val="14"/>
                <w:szCs w:val="14"/>
              </w:rPr>
              <w:t>(19)</w:t>
            </w:r>
          </w:p>
        </w:tc>
        <w:tc>
          <w:tcPr>
            <w:tcW w:w="0" w:type="auto"/>
            <w:shd w:val="clear" w:color="auto" w:fill="FFFFFF"/>
            <w:tcMar>
              <w:top w:w="40" w:type="dxa"/>
              <w:left w:w="0" w:type="dxa"/>
              <w:bottom w:w="40" w:type="dxa"/>
              <w:right w:w="20" w:type="dxa"/>
            </w:tcMar>
            <w:vAlign w:val="bottom"/>
          </w:tcPr>
          <w:p w14:paraId="71D49CDD" w14:textId="77777777" w:rsidR="006A3667" w:rsidRDefault="006A3667">
            <w:pPr>
              <w:jc w:val="right"/>
              <w:rPr>
                <w:rFonts w:ascii="宋体"/>
              </w:rPr>
            </w:pPr>
          </w:p>
        </w:tc>
      </w:tr>
      <w:tr w:rsidR="006A3667" w14:paraId="71D49CFD" w14:textId="77777777">
        <w:tc>
          <w:tcPr>
            <w:tcW w:w="0" w:type="auto"/>
            <w:gridSpan w:val="3"/>
            <w:shd w:val="clear" w:color="auto" w:fill="CCEEFF"/>
            <w:tcMar>
              <w:top w:w="40" w:type="dxa"/>
              <w:left w:w="20" w:type="dxa"/>
              <w:bottom w:w="40" w:type="dxa"/>
              <w:right w:w="20" w:type="dxa"/>
            </w:tcMar>
            <w:vAlign w:val="bottom"/>
          </w:tcPr>
          <w:p w14:paraId="71D49CDF" w14:textId="77777777" w:rsidR="006A3667" w:rsidRDefault="00045F32">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E0" w14:textId="77777777" w:rsidR="006A3667" w:rsidRDefault="00045F32">
            <w:pPr>
              <w:jc w:val="right"/>
              <w:textAlignment w:val="bottom"/>
            </w:pPr>
            <w:r>
              <w:rPr>
                <w:rFonts w:ascii="Arial" w:eastAsia="宋体" w:hAnsi="Arial" w:cs="Arial"/>
                <w:b/>
                <w:bCs/>
                <w:color w:val="000000"/>
                <w:sz w:val="14"/>
                <w:szCs w:val="14"/>
              </w:rPr>
              <w:t>4,765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E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E3" w14:textId="77777777" w:rsidR="006A3667" w:rsidRDefault="00045F32">
            <w:pPr>
              <w:jc w:val="right"/>
              <w:textAlignment w:val="bottom"/>
            </w:pPr>
            <w:r>
              <w:rPr>
                <w:rFonts w:ascii="Arial" w:eastAsia="宋体" w:hAnsi="Arial" w:cs="Arial"/>
                <w:b/>
                <w:bCs/>
                <w:color w:val="000000"/>
                <w:sz w:val="14"/>
                <w:szCs w:val="14"/>
              </w:rPr>
              <w:t>986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E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E6" w14:textId="77777777" w:rsidR="006A3667" w:rsidRDefault="00045F32">
            <w:pPr>
              <w:jc w:val="right"/>
              <w:textAlignment w:val="bottom"/>
            </w:pPr>
            <w:r>
              <w:rPr>
                <w:rFonts w:ascii="Arial" w:eastAsia="宋体" w:hAnsi="Arial" w:cs="Arial"/>
                <w:b/>
                <w:bCs/>
                <w:color w:val="000000"/>
                <w:sz w:val="14"/>
                <w:szCs w:val="14"/>
              </w:rPr>
              <w:t>5,751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E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E9" w14:textId="77777777" w:rsidR="006A3667" w:rsidRDefault="00045F32">
            <w:pPr>
              <w:jc w:val="right"/>
              <w:textAlignment w:val="bottom"/>
            </w:pPr>
            <w:r>
              <w:rPr>
                <w:rFonts w:ascii="Arial" w:eastAsia="宋体" w:hAnsi="Arial" w:cs="Arial"/>
                <w:b/>
                <w:bCs/>
                <w:color w:val="000000"/>
                <w:sz w:val="14"/>
                <w:szCs w:val="14"/>
              </w:rPr>
              <w:t>1,543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E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EC" w14:textId="77777777" w:rsidR="006A3667" w:rsidRDefault="00045F32">
            <w:pPr>
              <w:jc w:val="right"/>
              <w:textAlignment w:val="bottom"/>
            </w:pPr>
            <w:r>
              <w:rPr>
                <w:rFonts w:ascii="Arial" w:eastAsia="宋体" w:hAnsi="Arial" w:cs="Arial"/>
                <w:b/>
                <w:bCs/>
                <w:color w:val="000000"/>
                <w:sz w:val="14"/>
                <w:szCs w:val="14"/>
              </w:rPr>
              <w:t>(52)</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E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E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EF" w14:textId="77777777" w:rsidR="006A3667" w:rsidRDefault="00045F32">
            <w:pPr>
              <w:jc w:val="right"/>
              <w:textAlignment w:val="bottom"/>
            </w:pPr>
            <w:r>
              <w:rPr>
                <w:rFonts w:ascii="Arial" w:eastAsia="宋体" w:hAnsi="Arial" w:cs="Arial"/>
                <w:b/>
                <w:bCs/>
                <w:color w:val="000000"/>
                <w:sz w:val="14"/>
                <w:szCs w:val="14"/>
              </w:rPr>
              <w:t>1,491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F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F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F2"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F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F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F5"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F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F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CF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CFB" w14:textId="77777777" w:rsidR="006A3667" w:rsidRDefault="00045F32">
            <w:pPr>
              <w:jc w:val="right"/>
              <w:textAlignment w:val="bottom"/>
            </w:pPr>
            <w:r>
              <w:rPr>
                <w:rFonts w:ascii="Arial" w:eastAsia="宋体" w:hAnsi="Arial" w:cs="Arial"/>
                <w:b/>
                <w:bCs/>
                <w:color w:val="000000"/>
                <w:sz w:val="14"/>
                <w:szCs w:val="14"/>
              </w:rPr>
              <w:t>7,242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CFC" w14:textId="77777777" w:rsidR="006A3667" w:rsidRDefault="006A3667">
            <w:pPr>
              <w:jc w:val="right"/>
              <w:rPr>
                <w:rFonts w:ascii="宋体"/>
              </w:rPr>
            </w:pPr>
          </w:p>
        </w:tc>
      </w:tr>
      <w:tr w:rsidR="006A3667" w14:paraId="71D49D1C" w14:textId="77777777">
        <w:tc>
          <w:tcPr>
            <w:tcW w:w="0" w:type="auto"/>
            <w:gridSpan w:val="3"/>
            <w:shd w:val="clear" w:color="auto" w:fill="FFFFFF"/>
            <w:tcMar>
              <w:top w:w="40" w:type="dxa"/>
              <w:left w:w="155" w:type="dxa"/>
              <w:bottom w:w="40" w:type="dxa"/>
              <w:right w:w="20" w:type="dxa"/>
            </w:tcMar>
            <w:vAlign w:val="bottom"/>
          </w:tcPr>
          <w:p w14:paraId="71D49CFE" w14:textId="77777777" w:rsidR="006A3667" w:rsidRDefault="00045F32">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71D49CFF"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0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02" w14:textId="77777777" w:rsidR="006A3667" w:rsidRDefault="00045F32">
            <w:pPr>
              <w:jc w:val="right"/>
              <w:textAlignment w:val="bottom"/>
            </w:pPr>
            <w:r>
              <w:rPr>
                <w:rFonts w:ascii="Arial" w:eastAsia="宋体" w:hAnsi="Arial" w:cs="Arial"/>
                <w:b/>
                <w:bCs/>
                <w:color w:val="000000"/>
                <w:sz w:val="14"/>
                <w:szCs w:val="14"/>
              </w:rPr>
              <w:t>1,760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0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05" w14:textId="77777777" w:rsidR="006A3667" w:rsidRDefault="00045F32">
            <w:pPr>
              <w:jc w:val="right"/>
              <w:textAlignment w:val="bottom"/>
            </w:pPr>
            <w:r>
              <w:rPr>
                <w:rFonts w:ascii="Arial" w:eastAsia="宋体" w:hAnsi="Arial" w:cs="Arial"/>
                <w:b/>
                <w:bCs/>
                <w:color w:val="000000"/>
                <w:sz w:val="14"/>
                <w:szCs w:val="14"/>
              </w:rPr>
              <w:t>1,760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0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0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08"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0B" w14:textId="77777777" w:rsidR="006A3667" w:rsidRDefault="00045F32">
            <w:pPr>
              <w:jc w:val="right"/>
              <w:textAlignment w:val="bottom"/>
            </w:pPr>
            <w:r>
              <w:rPr>
                <w:rFonts w:ascii="Arial" w:eastAsia="宋体" w:hAnsi="Arial" w:cs="Arial"/>
                <w:b/>
                <w:bCs/>
                <w:color w:val="000000"/>
                <w:sz w:val="14"/>
                <w:szCs w:val="14"/>
              </w:rPr>
              <w:t>(7)</w:t>
            </w:r>
          </w:p>
        </w:tc>
        <w:tc>
          <w:tcPr>
            <w:tcW w:w="0" w:type="auto"/>
            <w:shd w:val="clear" w:color="auto" w:fill="FFFFFF"/>
            <w:tcMar>
              <w:top w:w="40" w:type="dxa"/>
              <w:left w:w="0" w:type="dxa"/>
              <w:bottom w:w="40" w:type="dxa"/>
              <w:right w:w="20" w:type="dxa"/>
            </w:tcMar>
            <w:vAlign w:val="bottom"/>
          </w:tcPr>
          <w:p w14:paraId="71D49D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0E" w14:textId="77777777" w:rsidR="006A3667" w:rsidRDefault="00045F32">
            <w:pPr>
              <w:jc w:val="right"/>
              <w:textAlignment w:val="bottom"/>
            </w:pPr>
            <w:r>
              <w:rPr>
                <w:rFonts w:ascii="Arial" w:eastAsia="宋体" w:hAnsi="Arial" w:cs="Arial"/>
                <w:b/>
                <w:bCs/>
                <w:color w:val="000000"/>
                <w:sz w:val="14"/>
                <w:szCs w:val="14"/>
              </w:rPr>
              <w:t>(7)</w:t>
            </w:r>
          </w:p>
        </w:tc>
        <w:tc>
          <w:tcPr>
            <w:tcW w:w="0" w:type="auto"/>
            <w:shd w:val="clear" w:color="auto" w:fill="FFFFFF"/>
            <w:tcMar>
              <w:top w:w="40" w:type="dxa"/>
              <w:left w:w="0" w:type="dxa"/>
              <w:bottom w:w="40" w:type="dxa"/>
              <w:right w:w="20" w:type="dxa"/>
            </w:tcMar>
            <w:vAlign w:val="bottom"/>
          </w:tcPr>
          <w:p w14:paraId="71D49D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11"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14"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1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1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1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1A" w14:textId="77777777" w:rsidR="006A3667" w:rsidRDefault="00045F32">
            <w:pPr>
              <w:jc w:val="right"/>
              <w:textAlignment w:val="bottom"/>
            </w:pPr>
            <w:r>
              <w:rPr>
                <w:rFonts w:ascii="Arial" w:eastAsia="宋体" w:hAnsi="Arial" w:cs="Arial"/>
                <w:b/>
                <w:bCs/>
                <w:color w:val="000000"/>
                <w:sz w:val="14"/>
                <w:szCs w:val="14"/>
              </w:rPr>
              <w:t>1,753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1B" w14:textId="77777777" w:rsidR="006A3667" w:rsidRDefault="006A3667">
            <w:pPr>
              <w:jc w:val="right"/>
              <w:rPr>
                <w:rFonts w:ascii="宋体"/>
              </w:rPr>
            </w:pPr>
          </w:p>
        </w:tc>
      </w:tr>
      <w:tr w:rsidR="006A3667" w14:paraId="71D49D3B" w14:textId="77777777">
        <w:tc>
          <w:tcPr>
            <w:tcW w:w="0" w:type="auto"/>
            <w:gridSpan w:val="3"/>
            <w:shd w:val="clear" w:color="auto" w:fill="CCEEFF"/>
            <w:tcMar>
              <w:top w:w="40" w:type="dxa"/>
              <w:left w:w="155" w:type="dxa"/>
              <w:bottom w:w="40" w:type="dxa"/>
              <w:right w:w="20" w:type="dxa"/>
            </w:tcMar>
            <w:vAlign w:val="bottom"/>
          </w:tcPr>
          <w:p w14:paraId="71D49D1D" w14:textId="77777777" w:rsidR="006A3667" w:rsidRDefault="00045F32">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71D49D1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1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2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21"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1D49D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2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24"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1D49D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27"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2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2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2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2D"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2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30"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3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33"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3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3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3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3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39" w14:textId="77777777" w:rsidR="006A3667" w:rsidRDefault="00045F32">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71D49D3A" w14:textId="77777777" w:rsidR="006A3667" w:rsidRDefault="006A3667">
            <w:pPr>
              <w:jc w:val="right"/>
              <w:rPr>
                <w:rFonts w:ascii="宋体"/>
              </w:rPr>
            </w:pPr>
          </w:p>
        </w:tc>
      </w:tr>
      <w:tr w:rsidR="00045F32" w14:paraId="71D49D64" w14:textId="77777777">
        <w:tc>
          <w:tcPr>
            <w:tcW w:w="0" w:type="auto"/>
            <w:gridSpan w:val="3"/>
            <w:shd w:val="clear" w:color="auto" w:fill="FFFFFF"/>
            <w:tcMar>
              <w:top w:w="40" w:type="dxa"/>
              <w:left w:w="20" w:type="dxa"/>
              <w:bottom w:w="40" w:type="dxa"/>
              <w:right w:w="20" w:type="dxa"/>
            </w:tcMar>
            <w:vAlign w:val="bottom"/>
          </w:tcPr>
          <w:p w14:paraId="71D49D3C" w14:textId="77777777" w:rsidR="006A3667" w:rsidRDefault="00045F32">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9D3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3E" w14:textId="77777777" w:rsidR="006A3667" w:rsidRDefault="00045F32">
            <w:pPr>
              <w:jc w:val="right"/>
              <w:textAlignment w:val="bottom"/>
            </w:pPr>
            <w:r>
              <w:rPr>
                <w:rFonts w:ascii="Arial" w:eastAsia="宋体" w:hAnsi="Arial" w:cs="Arial"/>
                <w:b/>
                <w:bCs/>
                <w:color w:val="000000"/>
                <w:sz w:val="14"/>
                <w:szCs w:val="14"/>
              </w:rPr>
              <w:t>4,765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3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4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4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42" w14:textId="77777777" w:rsidR="006A3667" w:rsidRDefault="00045F32">
            <w:pPr>
              <w:jc w:val="right"/>
              <w:textAlignment w:val="bottom"/>
            </w:pPr>
            <w:r>
              <w:rPr>
                <w:rFonts w:ascii="Arial" w:eastAsia="宋体" w:hAnsi="Arial" w:cs="Arial"/>
                <w:b/>
                <w:bCs/>
                <w:color w:val="000000"/>
                <w:sz w:val="14"/>
                <w:szCs w:val="14"/>
              </w:rPr>
              <w:t>2,744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4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4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46" w14:textId="77777777" w:rsidR="006A3667" w:rsidRDefault="00045F32">
            <w:pPr>
              <w:jc w:val="right"/>
              <w:textAlignment w:val="bottom"/>
            </w:pPr>
            <w:r>
              <w:rPr>
                <w:rFonts w:ascii="Arial" w:eastAsia="宋体" w:hAnsi="Arial" w:cs="Arial"/>
                <w:b/>
                <w:bCs/>
                <w:color w:val="000000"/>
                <w:sz w:val="14"/>
                <w:szCs w:val="14"/>
              </w:rPr>
              <w:t>7,509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4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4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4A" w14:textId="77777777" w:rsidR="006A3667" w:rsidRDefault="00045F32">
            <w:pPr>
              <w:jc w:val="right"/>
              <w:textAlignment w:val="bottom"/>
            </w:pPr>
            <w:r>
              <w:rPr>
                <w:rFonts w:ascii="Arial" w:eastAsia="宋体" w:hAnsi="Arial" w:cs="Arial"/>
                <w:b/>
                <w:bCs/>
                <w:color w:val="000000"/>
                <w:sz w:val="14"/>
                <w:szCs w:val="14"/>
              </w:rPr>
              <w:t>1,543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4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4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4E" w14:textId="77777777" w:rsidR="006A3667" w:rsidRDefault="00045F32">
            <w:pPr>
              <w:jc w:val="right"/>
              <w:textAlignment w:val="bottom"/>
            </w:pPr>
            <w:r>
              <w:rPr>
                <w:rFonts w:ascii="Arial" w:eastAsia="宋体" w:hAnsi="Arial" w:cs="Arial"/>
                <w:b/>
                <w:bCs/>
                <w:color w:val="000000"/>
                <w:sz w:val="14"/>
                <w:szCs w:val="14"/>
              </w:rPr>
              <w:t>(59)</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5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5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52" w14:textId="77777777" w:rsidR="006A3667" w:rsidRDefault="00045F32">
            <w:pPr>
              <w:jc w:val="right"/>
              <w:textAlignment w:val="bottom"/>
            </w:pPr>
            <w:r>
              <w:rPr>
                <w:rFonts w:ascii="Arial" w:eastAsia="宋体" w:hAnsi="Arial" w:cs="Arial"/>
                <w:b/>
                <w:bCs/>
                <w:color w:val="000000"/>
                <w:sz w:val="14"/>
                <w:szCs w:val="14"/>
              </w:rPr>
              <w:t>1,484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5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55"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56"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5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59"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5A"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5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5D"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5E" w14:textId="77777777" w:rsidR="006A3667" w:rsidRDefault="00045F32">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6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D61" w14:textId="77777777" w:rsidR="006A3667" w:rsidRDefault="00045F32">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D62" w14:textId="77777777" w:rsidR="006A3667" w:rsidRDefault="00045F32">
            <w:pPr>
              <w:jc w:val="right"/>
              <w:textAlignment w:val="bottom"/>
            </w:pPr>
            <w:r>
              <w:rPr>
                <w:rFonts w:ascii="Arial" w:eastAsia="宋体" w:hAnsi="Arial" w:cs="Arial"/>
                <w:b/>
                <w:bCs/>
                <w:color w:val="000000"/>
                <w:sz w:val="14"/>
                <w:szCs w:val="14"/>
              </w:rPr>
              <w:t>8,993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D63" w14:textId="77777777" w:rsidR="006A3667" w:rsidRDefault="006A3667">
            <w:pPr>
              <w:jc w:val="right"/>
              <w:rPr>
                <w:rFonts w:ascii="宋体"/>
              </w:rPr>
            </w:pPr>
          </w:p>
        </w:tc>
      </w:tr>
      <w:tr w:rsidR="006A3667" w14:paraId="71D49D79" w14:textId="77777777">
        <w:trPr>
          <w:trHeight w:val="180"/>
        </w:trPr>
        <w:tc>
          <w:tcPr>
            <w:tcW w:w="0" w:type="auto"/>
            <w:gridSpan w:val="3"/>
            <w:shd w:val="clear" w:color="auto" w:fill="FFFFFF"/>
            <w:tcMar>
              <w:top w:w="0" w:type="dxa"/>
              <w:left w:w="20" w:type="dxa"/>
              <w:bottom w:w="0" w:type="dxa"/>
              <w:right w:w="20" w:type="dxa"/>
            </w:tcMar>
            <w:vAlign w:val="bottom"/>
          </w:tcPr>
          <w:p w14:paraId="71D49D65"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6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67"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6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69"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6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6B"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6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6D"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6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6F"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7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71"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7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73"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75"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7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D77" w14:textId="77777777" w:rsidR="006A3667" w:rsidRDefault="006A3667">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1D49D78" w14:textId="77777777" w:rsidR="006A3667" w:rsidRDefault="006A3667">
            <w:pPr>
              <w:rPr>
                <w:rFonts w:ascii="宋体"/>
              </w:rPr>
            </w:pPr>
          </w:p>
        </w:tc>
      </w:tr>
      <w:tr w:rsidR="006A3667" w14:paraId="71D49D7C" w14:textId="77777777">
        <w:tc>
          <w:tcPr>
            <w:tcW w:w="0" w:type="auto"/>
            <w:gridSpan w:val="3"/>
            <w:shd w:val="clear" w:color="auto" w:fill="auto"/>
            <w:tcMar>
              <w:top w:w="0" w:type="dxa"/>
              <w:left w:w="20" w:type="dxa"/>
              <w:bottom w:w="0" w:type="dxa"/>
              <w:right w:w="20" w:type="dxa"/>
            </w:tcMar>
            <w:vAlign w:val="bottom"/>
          </w:tcPr>
          <w:p w14:paraId="71D49D7A" w14:textId="77777777" w:rsidR="006A3667" w:rsidRDefault="006A3667">
            <w:pPr>
              <w:rPr>
                <w:rFonts w:ascii="宋体"/>
              </w:rPr>
            </w:pPr>
          </w:p>
        </w:tc>
        <w:tc>
          <w:tcPr>
            <w:tcW w:w="0" w:type="auto"/>
            <w:gridSpan w:val="57"/>
            <w:shd w:val="clear" w:color="auto" w:fill="auto"/>
            <w:tcMar>
              <w:top w:w="40" w:type="dxa"/>
              <w:left w:w="20" w:type="dxa"/>
              <w:bottom w:w="40" w:type="dxa"/>
              <w:right w:w="20" w:type="dxa"/>
            </w:tcMar>
            <w:vAlign w:val="bottom"/>
          </w:tcPr>
          <w:p w14:paraId="71D49D7B" w14:textId="77777777" w:rsidR="006A3667" w:rsidRDefault="00045F32">
            <w:pPr>
              <w:jc w:val="center"/>
              <w:textAlignment w:val="bottom"/>
            </w:pPr>
            <w:r>
              <w:rPr>
                <w:rFonts w:ascii="Arial" w:eastAsia="宋体" w:hAnsi="Arial" w:cs="Arial"/>
                <w:b/>
                <w:bCs/>
                <w:color w:val="000000"/>
                <w:sz w:val="14"/>
                <w:szCs w:val="14"/>
              </w:rPr>
              <w:t>Three Months Ended September 30, 2021</w:t>
            </w:r>
          </w:p>
        </w:tc>
      </w:tr>
      <w:tr w:rsidR="006A3667" w14:paraId="71D49D85" w14:textId="77777777">
        <w:tc>
          <w:tcPr>
            <w:tcW w:w="0" w:type="auto"/>
            <w:gridSpan w:val="3"/>
            <w:shd w:val="clear" w:color="auto" w:fill="FFFFFF"/>
            <w:tcMar>
              <w:top w:w="0" w:type="dxa"/>
              <w:left w:w="20" w:type="dxa"/>
              <w:bottom w:w="0" w:type="dxa"/>
              <w:right w:w="20" w:type="dxa"/>
            </w:tcMar>
            <w:vAlign w:val="bottom"/>
          </w:tcPr>
          <w:p w14:paraId="71D49D7D" w14:textId="77777777" w:rsidR="006A3667" w:rsidRDefault="006A3667">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71D49D7E" w14:textId="77777777" w:rsidR="006A3667" w:rsidRDefault="00045F32">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9D7F" w14:textId="77777777" w:rsidR="006A3667" w:rsidRDefault="006A3667">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71D49D80" w14:textId="77777777" w:rsidR="006A3667" w:rsidRDefault="00045F32">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9D81" w14:textId="77777777" w:rsidR="006A3667" w:rsidRDefault="006A3667">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71D49D82" w14:textId="77777777" w:rsidR="006A3667" w:rsidRDefault="00045F32">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1D49D83" w14:textId="77777777" w:rsidR="006A3667" w:rsidRDefault="006A3667">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71D49D84"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9D9A" w14:textId="77777777">
        <w:tc>
          <w:tcPr>
            <w:tcW w:w="0" w:type="auto"/>
            <w:gridSpan w:val="3"/>
            <w:shd w:val="clear" w:color="auto" w:fill="auto"/>
            <w:tcMar>
              <w:top w:w="40" w:type="dxa"/>
              <w:left w:w="20" w:type="dxa"/>
              <w:bottom w:w="40" w:type="dxa"/>
              <w:right w:w="20" w:type="dxa"/>
            </w:tcMar>
            <w:vAlign w:val="bottom"/>
          </w:tcPr>
          <w:p w14:paraId="71D49D86" w14:textId="77777777" w:rsidR="006A3667" w:rsidRDefault="00045F32">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87"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D8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89"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D8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8B"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D8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8D"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D8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8F"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D9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91"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D9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93" w14:textId="77777777" w:rsidR="006A3667" w:rsidRDefault="00045F32">
            <w:pPr>
              <w:jc w:val="center"/>
              <w:textAlignment w:val="bottom"/>
            </w:pPr>
            <w:r>
              <w:rPr>
                <w:rFonts w:ascii="Arial" w:eastAsia="宋体" w:hAnsi="Arial" w:cs="Arial"/>
                <w:b/>
                <w:bCs/>
                <w:color w:val="000000"/>
                <w:sz w:val="14"/>
                <w:szCs w:val="14"/>
              </w:rPr>
              <w:t xml:space="preserve">Topic 606 </w:t>
            </w:r>
            <w:r>
              <w:rPr>
                <w:rFonts w:ascii="Arial" w:eastAsia="宋体" w:hAnsi="Arial" w:cs="Arial"/>
                <w:b/>
                <w:bCs/>
                <w:color w:val="000000"/>
                <w:sz w:val="14"/>
                <w:szCs w:val="14"/>
              </w:rPr>
              <w:t>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D9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95"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D9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97"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D9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D99" w14:textId="77777777" w:rsidR="006A3667" w:rsidRDefault="00045F32">
            <w:pPr>
              <w:jc w:val="center"/>
              <w:textAlignment w:val="bottom"/>
            </w:pPr>
            <w:r>
              <w:rPr>
                <w:rFonts w:ascii="Arial" w:eastAsia="宋体" w:hAnsi="Arial" w:cs="Arial"/>
                <w:b/>
                <w:bCs/>
                <w:color w:val="000000"/>
                <w:sz w:val="14"/>
                <w:szCs w:val="14"/>
              </w:rPr>
              <w:t>2021</w:t>
            </w:r>
          </w:p>
        </w:tc>
      </w:tr>
      <w:tr w:rsidR="00045F32" w14:paraId="71D49DC3" w14:textId="77777777">
        <w:tc>
          <w:tcPr>
            <w:tcW w:w="0" w:type="auto"/>
            <w:gridSpan w:val="3"/>
            <w:shd w:val="clear" w:color="auto" w:fill="CCEEFF"/>
            <w:tcMar>
              <w:top w:w="40" w:type="dxa"/>
              <w:left w:w="155" w:type="dxa"/>
              <w:bottom w:w="40" w:type="dxa"/>
              <w:right w:w="20" w:type="dxa"/>
            </w:tcMar>
            <w:vAlign w:val="bottom"/>
          </w:tcPr>
          <w:p w14:paraId="71D49D9B" w14:textId="77777777" w:rsidR="006A3667" w:rsidRDefault="00045F32">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D9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9D" w14:textId="77777777" w:rsidR="006A3667" w:rsidRDefault="00045F32">
            <w:pPr>
              <w:jc w:val="right"/>
              <w:textAlignment w:val="bottom"/>
            </w:pPr>
            <w:r>
              <w:rPr>
                <w:rFonts w:ascii="Arial" w:eastAsia="宋体" w:hAnsi="Arial" w:cs="Arial"/>
                <w:color w:val="000000"/>
                <w:sz w:val="14"/>
                <w:szCs w:val="14"/>
              </w:rPr>
              <w:t>1,391 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9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9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A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A1"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A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A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A5" w14:textId="77777777" w:rsidR="006A3667" w:rsidRDefault="00045F32">
            <w:pPr>
              <w:jc w:val="right"/>
              <w:textAlignment w:val="bottom"/>
            </w:pPr>
            <w:r>
              <w:rPr>
                <w:rFonts w:ascii="Arial" w:eastAsia="宋体" w:hAnsi="Arial" w:cs="Arial"/>
                <w:color w:val="000000"/>
                <w:sz w:val="14"/>
                <w:szCs w:val="14"/>
              </w:rPr>
              <w:t>1,391 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A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A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A9"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A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A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A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AD"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A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B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B1"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B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B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B5"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B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B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B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B9"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B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B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B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BD"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B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B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DC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DC1" w14:textId="77777777" w:rsidR="006A3667" w:rsidRDefault="00045F32">
            <w:pPr>
              <w:jc w:val="right"/>
              <w:textAlignment w:val="bottom"/>
            </w:pPr>
            <w:r>
              <w:rPr>
                <w:rFonts w:ascii="Arial" w:eastAsia="宋体" w:hAnsi="Arial" w:cs="Arial"/>
                <w:color w:val="000000"/>
                <w:sz w:val="14"/>
                <w:szCs w:val="14"/>
              </w:rPr>
              <w:t>1,391 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DC2" w14:textId="77777777" w:rsidR="006A3667" w:rsidRDefault="006A3667">
            <w:pPr>
              <w:jc w:val="right"/>
              <w:rPr>
                <w:rFonts w:ascii="宋体"/>
              </w:rPr>
            </w:pPr>
          </w:p>
        </w:tc>
      </w:tr>
      <w:tr w:rsidR="006A3667" w14:paraId="71D49DE2" w14:textId="77777777">
        <w:tc>
          <w:tcPr>
            <w:tcW w:w="0" w:type="auto"/>
            <w:gridSpan w:val="3"/>
            <w:shd w:val="clear" w:color="auto" w:fill="FFFFFF"/>
            <w:tcMar>
              <w:top w:w="40" w:type="dxa"/>
              <w:left w:w="155" w:type="dxa"/>
              <w:bottom w:w="40" w:type="dxa"/>
              <w:right w:w="20" w:type="dxa"/>
            </w:tcMar>
            <w:vAlign w:val="bottom"/>
          </w:tcPr>
          <w:p w14:paraId="71D49DC4" w14:textId="77777777" w:rsidR="006A3667" w:rsidRDefault="00045F32">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71D49DC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C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C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C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C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C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C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C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C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CE" w14:textId="77777777" w:rsidR="006A3667" w:rsidRDefault="00045F32">
            <w:pPr>
              <w:jc w:val="right"/>
              <w:textAlignment w:val="bottom"/>
            </w:pPr>
            <w:r>
              <w:rPr>
                <w:rFonts w:ascii="Arial" w:eastAsia="宋体" w:hAnsi="Arial" w:cs="Arial"/>
                <w:color w:val="000000"/>
                <w:sz w:val="14"/>
                <w:szCs w:val="14"/>
              </w:rPr>
              <w:t>526 </w:t>
            </w:r>
          </w:p>
        </w:tc>
        <w:tc>
          <w:tcPr>
            <w:tcW w:w="0" w:type="auto"/>
            <w:shd w:val="clear" w:color="auto" w:fill="FFFFFF"/>
            <w:tcMar>
              <w:top w:w="40" w:type="dxa"/>
              <w:left w:w="0" w:type="dxa"/>
              <w:bottom w:w="40" w:type="dxa"/>
              <w:right w:w="20" w:type="dxa"/>
            </w:tcMar>
            <w:vAlign w:val="bottom"/>
          </w:tcPr>
          <w:p w14:paraId="71D49D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D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D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D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D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D4" w14:textId="77777777" w:rsidR="006A3667" w:rsidRDefault="00045F32">
            <w:pPr>
              <w:jc w:val="right"/>
              <w:textAlignment w:val="bottom"/>
            </w:pPr>
            <w:r>
              <w:rPr>
                <w:rFonts w:ascii="Arial" w:eastAsia="宋体" w:hAnsi="Arial" w:cs="Arial"/>
                <w:color w:val="000000"/>
                <w:sz w:val="14"/>
                <w:szCs w:val="14"/>
              </w:rPr>
              <w:t>526 </w:t>
            </w:r>
          </w:p>
        </w:tc>
        <w:tc>
          <w:tcPr>
            <w:tcW w:w="0" w:type="auto"/>
            <w:shd w:val="clear" w:color="auto" w:fill="FFFFFF"/>
            <w:tcMar>
              <w:top w:w="40" w:type="dxa"/>
              <w:left w:w="0" w:type="dxa"/>
              <w:bottom w:w="40" w:type="dxa"/>
              <w:right w:w="20" w:type="dxa"/>
            </w:tcMar>
            <w:vAlign w:val="bottom"/>
          </w:tcPr>
          <w:p w14:paraId="71D49DD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D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D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D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D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D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D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D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D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DD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DD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DE0" w14:textId="77777777" w:rsidR="006A3667" w:rsidRDefault="00045F32">
            <w:pPr>
              <w:jc w:val="right"/>
              <w:textAlignment w:val="bottom"/>
            </w:pPr>
            <w:r>
              <w:rPr>
                <w:rFonts w:ascii="Arial" w:eastAsia="宋体" w:hAnsi="Arial" w:cs="Arial"/>
                <w:color w:val="000000"/>
                <w:sz w:val="14"/>
                <w:szCs w:val="14"/>
              </w:rPr>
              <w:t>526 </w:t>
            </w:r>
          </w:p>
        </w:tc>
        <w:tc>
          <w:tcPr>
            <w:tcW w:w="0" w:type="auto"/>
            <w:shd w:val="clear" w:color="auto" w:fill="FFFFFF"/>
            <w:tcMar>
              <w:top w:w="40" w:type="dxa"/>
              <w:left w:w="0" w:type="dxa"/>
              <w:bottom w:w="40" w:type="dxa"/>
              <w:right w:w="20" w:type="dxa"/>
            </w:tcMar>
            <w:vAlign w:val="bottom"/>
          </w:tcPr>
          <w:p w14:paraId="71D49DE1" w14:textId="77777777" w:rsidR="006A3667" w:rsidRDefault="006A3667">
            <w:pPr>
              <w:jc w:val="right"/>
              <w:rPr>
                <w:rFonts w:ascii="宋体"/>
              </w:rPr>
            </w:pPr>
          </w:p>
        </w:tc>
      </w:tr>
      <w:tr w:rsidR="006A3667" w14:paraId="71D49E01" w14:textId="77777777">
        <w:tc>
          <w:tcPr>
            <w:tcW w:w="0" w:type="auto"/>
            <w:gridSpan w:val="3"/>
            <w:shd w:val="clear" w:color="auto" w:fill="CCEEFF"/>
            <w:tcMar>
              <w:top w:w="40" w:type="dxa"/>
              <w:left w:w="155" w:type="dxa"/>
              <w:bottom w:w="40" w:type="dxa"/>
              <w:right w:w="20" w:type="dxa"/>
            </w:tcMar>
            <w:vAlign w:val="bottom"/>
          </w:tcPr>
          <w:p w14:paraId="71D49DE3" w14:textId="77777777" w:rsidR="006A3667" w:rsidRDefault="00045F32">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71D49DE4" w14:textId="77777777" w:rsidR="006A3667" w:rsidRDefault="00045F32">
            <w:pPr>
              <w:jc w:val="right"/>
              <w:textAlignment w:val="bottom"/>
            </w:pPr>
            <w:r>
              <w:rPr>
                <w:rFonts w:ascii="Arial" w:eastAsia="宋体" w:hAnsi="Arial" w:cs="Arial"/>
                <w:color w:val="000000"/>
                <w:sz w:val="14"/>
                <w:szCs w:val="14"/>
              </w:rPr>
              <w:t>82 </w:t>
            </w:r>
          </w:p>
        </w:tc>
        <w:tc>
          <w:tcPr>
            <w:tcW w:w="0" w:type="auto"/>
            <w:shd w:val="clear" w:color="auto" w:fill="CCEEFF"/>
            <w:tcMar>
              <w:top w:w="40" w:type="dxa"/>
              <w:left w:w="0" w:type="dxa"/>
              <w:bottom w:w="40" w:type="dxa"/>
              <w:right w:w="20" w:type="dxa"/>
            </w:tcMar>
            <w:vAlign w:val="bottom"/>
          </w:tcPr>
          <w:p w14:paraId="71D49DE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E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E7" w14:textId="77777777" w:rsidR="006A3667" w:rsidRDefault="00045F32">
            <w:pPr>
              <w:jc w:val="right"/>
              <w:textAlignment w:val="bottom"/>
            </w:pPr>
            <w:r>
              <w:rPr>
                <w:rFonts w:ascii="Arial" w:eastAsia="宋体" w:hAnsi="Arial" w:cs="Arial"/>
                <w:color w:val="000000"/>
                <w:sz w:val="14"/>
                <w:szCs w:val="14"/>
              </w:rPr>
              <w:t>184 </w:t>
            </w:r>
          </w:p>
        </w:tc>
        <w:tc>
          <w:tcPr>
            <w:tcW w:w="0" w:type="auto"/>
            <w:shd w:val="clear" w:color="auto" w:fill="CCEEFF"/>
            <w:tcMar>
              <w:top w:w="40" w:type="dxa"/>
              <w:left w:w="0" w:type="dxa"/>
              <w:bottom w:w="40" w:type="dxa"/>
              <w:right w:w="20" w:type="dxa"/>
            </w:tcMar>
            <w:vAlign w:val="bottom"/>
          </w:tcPr>
          <w:p w14:paraId="71D49DE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E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EA" w14:textId="77777777" w:rsidR="006A3667" w:rsidRDefault="00045F32">
            <w:pPr>
              <w:jc w:val="right"/>
              <w:textAlignment w:val="bottom"/>
            </w:pPr>
            <w:r>
              <w:rPr>
                <w:rFonts w:ascii="Arial" w:eastAsia="宋体" w:hAnsi="Arial" w:cs="Arial"/>
                <w:color w:val="000000"/>
                <w:sz w:val="14"/>
                <w:szCs w:val="14"/>
              </w:rPr>
              <w:t>266 </w:t>
            </w:r>
          </w:p>
        </w:tc>
        <w:tc>
          <w:tcPr>
            <w:tcW w:w="0" w:type="auto"/>
            <w:shd w:val="clear" w:color="auto" w:fill="CCEEFF"/>
            <w:tcMar>
              <w:top w:w="40" w:type="dxa"/>
              <w:left w:w="0" w:type="dxa"/>
              <w:bottom w:w="40" w:type="dxa"/>
              <w:right w:w="20" w:type="dxa"/>
            </w:tcMar>
            <w:vAlign w:val="bottom"/>
          </w:tcPr>
          <w:p w14:paraId="71D49DE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E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ED"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71D49D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E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F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F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F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F3" w14:textId="77777777" w:rsidR="006A3667" w:rsidRDefault="00045F32">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71D49DF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F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F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F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F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F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F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F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F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DF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DF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DFF" w14:textId="77777777" w:rsidR="006A3667" w:rsidRDefault="00045F32">
            <w:pPr>
              <w:jc w:val="right"/>
              <w:textAlignment w:val="bottom"/>
            </w:pPr>
            <w:r>
              <w:rPr>
                <w:rFonts w:ascii="Arial" w:eastAsia="宋体" w:hAnsi="Arial" w:cs="Arial"/>
                <w:color w:val="000000"/>
                <w:sz w:val="14"/>
                <w:szCs w:val="14"/>
              </w:rPr>
              <w:t>279 </w:t>
            </w:r>
          </w:p>
        </w:tc>
        <w:tc>
          <w:tcPr>
            <w:tcW w:w="0" w:type="auto"/>
            <w:shd w:val="clear" w:color="auto" w:fill="CCEEFF"/>
            <w:tcMar>
              <w:top w:w="40" w:type="dxa"/>
              <w:left w:w="0" w:type="dxa"/>
              <w:bottom w:w="40" w:type="dxa"/>
              <w:right w:w="20" w:type="dxa"/>
            </w:tcMar>
            <w:vAlign w:val="bottom"/>
          </w:tcPr>
          <w:p w14:paraId="71D49E00" w14:textId="77777777" w:rsidR="006A3667" w:rsidRDefault="006A3667">
            <w:pPr>
              <w:jc w:val="right"/>
              <w:rPr>
                <w:rFonts w:ascii="宋体"/>
              </w:rPr>
            </w:pPr>
          </w:p>
        </w:tc>
      </w:tr>
      <w:tr w:rsidR="006A3667" w14:paraId="71D49E20" w14:textId="77777777">
        <w:tc>
          <w:tcPr>
            <w:tcW w:w="0" w:type="auto"/>
            <w:gridSpan w:val="3"/>
            <w:shd w:val="clear" w:color="auto" w:fill="FFFFFF"/>
            <w:tcMar>
              <w:top w:w="40" w:type="dxa"/>
              <w:left w:w="155" w:type="dxa"/>
              <w:bottom w:w="40" w:type="dxa"/>
              <w:right w:w="20" w:type="dxa"/>
            </w:tcMar>
            <w:vAlign w:val="bottom"/>
          </w:tcPr>
          <w:p w14:paraId="71D49E02" w14:textId="77777777" w:rsidR="006A3667" w:rsidRDefault="00045F32">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71D49E03" w14:textId="77777777" w:rsidR="006A3667" w:rsidRDefault="00045F32">
            <w:pPr>
              <w:jc w:val="right"/>
              <w:textAlignment w:val="bottom"/>
            </w:pPr>
            <w:r>
              <w:rPr>
                <w:rFonts w:ascii="Arial" w:eastAsia="宋体" w:hAnsi="Arial" w:cs="Arial"/>
                <w:color w:val="000000"/>
                <w:sz w:val="14"/>
                <w:szCs w:val="14"/>
              </w:rPr>
              <w:t>60 </w:t>
            </w:r>
          </w:p>
        </w:tc>
        <w:tc>
          <w:tcPr>
            <w:tcW w:w="0" w:type="auto"/>
            <w:shd w:val="clear" w:color="auto" w:fill="FFFFFF"/>
            <w:tcMar>
              <w:top w:w="40" w:type="dxa"/>
              <w:left w:w="0" w:type="dxa"/>
              <w:bottom w:w="40" w:type="dxa"/>
              <w:right w:w="20" w:type="dxa"/>
            </w:tcMar>
            <w:vAlign w:val="bottom"/>
          </w:tcPr>
          <w:p w14:paraId="71D49E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0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06" w14:textId="77777777" w:rsidR="006A3667" w:rsidRDefault="00045F32">
            <w:pPr>
              <w:jc w:val="right"/>
              <w:textAlignment w:val="bottom"/>
            </w:pPr>
            <w:r>
              <w:rPr>
                <w:rFonts w:ascii="Arial" w:eastAsia="宋体" w:hAnsi="Arial" w:cs="Arial"/>
                <w:color w:val="000000"/>
                <w:sz w:val="14"/>
                <w:szCs w:val="14"/>
              </w:rPr>
              <w:t>43 </w:t>
            </w:r>
          </w:p>
        </w:tc>
        <w:tc>
          <w:tcPr>
            <w:tcW w:w="0" w:type="auto"/>
            <w:shd w:val="clear" w:color="auto" w:fill="FFFFFF"/>
            <w:tcMar>
              <w:top w:w="40" w:type="dxa"/>
              <w:left w:w="0" w:type="dxa"/>
              <w:bottom w:w="40" w:type="dxa"/>
              <w:right w:w="20" w:type="dxa"/>
            </w:tcMar>
            <w:vAlign w:val="bottom"/>
          </w:tcPr>
          <w:p w14:paraId="71D49E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0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09" w14:textId="77777777" w:rsidR="006A3667" w:rsidRDefault="00045F32">
            <w:pPr>
              <w:jc w:val="right"/>
              <w:textAlignment w:val="bottom"/>
            </w:pPr>
            <w:r>
              <w:rPr>
                <w:rFonts w:ascii="Arial" w:eastAsia="宋体" w:hAnsi="Arial" w:cs="Arial"/>
                <w:color w:val="000000"/>
                <w:sz w:val="14"/>
                <w:szCs w:val="14"/>
              </w:rPr>
              <w:t>103 </w:t>
            </w:r>
          </w:p>
        </w:tc>
        <w:tc>
          <w:tcPr>
            <w:tcW w:w="0" w:type="auto"/>
            <w:shd w:val="clear" w:color="auto" w:fill="FFFFFF"/>
            <w:tcMar>
              <w:top w:w="40" w:type="dxa"/>
              <w:left w:w="0" w:type="dxa"/>
              <w:bottom w:w="40" w:type="dxa"/>
              <w:right w:w="20" w:type="dxa"/>
            </w:tcMar>
            <w:vAlign w:val="bottom"/>
          </w:tcPr>
          <w:p w14:paraId="71D49E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0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0F"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1D49E1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1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12"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1D49E1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1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1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1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1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1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1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1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1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1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1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1E" w14:textId="77777777" w:rsidR="006A3667" w:rsidRDefault="00045F32">
            <w:pPr>
              <w:jc w:val="right"/>
              <w:textAlignment w:val="bottom"/>
            </w:pPr>
            <w:r>
              <w:rPr>
                <w:rFonts w:ascii="Arial" w:eastAsia="宋体" w:hAnsi="Arial" w:cs="Arial"/>
                <w:color w:val="000000"/>
                <w:sz w:val="14"/>
                <w:szCs w:val="14"/>
              </w:rPr>
              <w:t>106 </w:t>
            </w:r>
          </w:p>
        </w:tc>
        <w:tc>
          <w:tcPr>
            <w:tcW w:w="0" w:type="auto"/>
            <w:shd w:val="clear" w:color="auto" w:fill="FFFFFF"/>
            <w:tcMar>
              <w:top w:w="40" w:type="dxa"/>
              <w:left w:w="0" w:type="dxa"/>
              <w:bottom w:w="40" w:type="dxa"/>
              <w:right w:w="20" w:type="dxa"/>
            </w:tcMar>
            <w:vAlign w:val="bottom"/>
          </w:tcPr>
          <w:p w14:paraId="71D49E1F" w14:textId="77777777" w:rsidR="006A3667" w:rsidRDefault="006A3667">
            <w:pPr>
              <w:jc w:val="right"/>
              <w:rPr>
                <w:rFonts w:ascii="宋体"/>
              </w:rPr>
            </w:pPr>
          </w:p>
        </w:tc>
      </w:tr>
      <w:tr w:rsidR="006A3667" w14:paraId="71D49E3F" w14:textId="77777777">
        <w:tc>
          <w:tcPr>
            <w:tcW w:w="0" w:type="auto"/>
            <w:gridSpan w:val="3"/>
            <w:shd w:val="clear" w:color="auto" w:fill="CCEEFF"/>
            <w:tcMar>
              <w:top w:w="40" w:type="dxa"/>
              <w:left w:w="155" w:type="dxa"/>
              <w:bottom w:w="40" w:type="dxa"/>
              <w:right w:w="20" w:type="dxa"/>
            </w:tcMar>
            <w:vAlign w:val="bottom"/>
          </w:tcPr>
          <w:p w14:paraId="71D49E21" w14:textId="77777777" w:rsidR="006A3667" w:rsidRDefault="00045F32">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71D49E22" w14:textId="77777777" w:rsidR="006A3667" w:rsidRDefault="00045F32">
            <w:pPr>
              <w:jc w:val="right"/>
              <w:textAlignment w:val="bottom"/>
            </w:pPr>
            <w:r>
              <w:rPr>
                <w:rFonts w:ascii="Arial" w:eastAsia="宋体" w:hAnsi="Arial" w:cs="Arial"/>
                <w:color w:val="000000"/>
                <w:sz w:val="14"/>
                <w:szCs w:val="14"/>
              </w:rPr>
              <w:t>130 </w:t>
            </w:r>
          </w:p>
        </w:tc>
        <w:tc>
          <w:tcPr>
            <w:tcW w:w="0" w:type="auto"/>
            <w:shd w:val="clear" w:color="auto" w:fill="CCEEFF"/>
            <w:tcMar>
              <w:top w:w="40" w:type="dxa"/>
              <w:left w:w="0" w:type="dxa"/>
              <w:bottom w:w="40" w:type="dxa"/>
              <w:right w:w="20" w:type="dxa"/>
            </w:tcMar>
            <w:vAlign w:val="bottom"/>
          </w:tcPr>
          <w:p w14:paraId="71D49E2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2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25" w14:textId="77777777" w:rsidR="006A3667" w:rsidRDefault="00045F32">
            <w:pPr>
              <w:jc w:val="right"/>
              <w:textAlignment w:val="bottom"/>
            </w:pPr>
            <w:r>
              <w:rPr>
                <w:rFonts w:ascii="Arial" w:eastAsia="宋体" w:hAnsi="Arial" w:cs="Arial"/>
                <w:color w:val="000000"/>
                <w:sz w:val="14"/>
                <w:szCs w:val="14"/>
              </w:rPr>
              <w:t>50 </w:t>
            </w:r>
          </w:p>
        </w:tc>
        <w:tc>
          <w:tcPr>
            <w:tcW w:w="0" w:type="auto"/>
            <w:shd w:val="clear" w:color="auto" w:fill="CCEEFF"/>
            <w:tcMar>
              <w:top w:w="40" w:type="dxa"/>
              <w:left w:w="0" w:type="dxa"/>
              <w:bottom w:w="40" w:type="dxa"/>
              <w:right w:w="20" w:type="dxa"/>
            </w:tcMar>
            <w:vAlign w:val="bottom"/>
          </w:tcPr>
          <w:p w14:paraId="71D49E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2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28" w14:textId="77777777" w:rsidR="006A3667" w:rsidRDefault="00045F32">
            <w:pPr>
              <w:jc w:val="right"/>
              <w:textAlignment w:val="bottom"/>
            </w:pPr>
            <w:r>
              <w:rPr>
                <w:rFonts w:ascii="Arial" w:eastAsia="宋体" w:hAnsi="Arial" w:cs="Arial"/>
                <w:color w:val="000000"/>
                <w:sz w:val="14"/>
                <w:szCs w:val="14"/>
              </w:rPr>
              <w:t>180 </w:t>
            </w:r>
          </w:p>
        </w:tc>
        <w:tc>
          <w:tcPr>
            <w:tcW w:w="0" w:type="auto"/>
            <w:shd w:val="clear" w:color="auto" w:fill="CCEEFF"/>
            <w:tcMar>
              <w:top w:w="40" w:type="dxa"/>
              <w:left w:w="0" w:type="dxa"/>
              <w:bottom w:w="40" w:type="dxa"/>
              <w:right w:w="20" w:type="dxa"/>
            </w:tcMar>
            <w:vAlign w:val="bottom"/>
          </w:tcPr>
          <w:p w14:paraId="71D49E2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2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2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2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2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2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2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3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3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3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3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3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3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3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3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3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3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3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3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3D" w14:textId="77777777" w:rsidR="006A3667" w:rsidRDefault="00045F32">
            <w:pPr>
              <w:jc w:val="right"/>
              <w:textAlignment w:val="bottom"/>
            </w:pPr>
            <w:r>
              <w:rPr>
                <w:rFonts w:ascii="Arial" w:eastAsia="宋体" w:hAnsi="Arial" w:cs="Arial"/>
                <w:color w:val="000000"/>
                <w:sz w:val="14"/>
                <w:szCs w:val="14"/>
              </w:rPr>
              <w:t>180 </w:t>
            </w:r>
          </w:p>
        </w:tc>
        <w:tc>
          <w:tcPr>
            <w:tcW w:w="0" w:type="auto"/>
            <w:shd w:val="clear" w:color="auto" w:fill="CCEEFF"/>
            <w:tcMar>
              <w:top w:w="40" w:type="dxa"/>
              <w:left w:w="0" w:type="dxa"/>
              <w:bottom w:w="40" w:type="dxa"/>
              <w:right w:w="20" w:type="dxa"/>
            </w:tcMar>
            <w:vAlign w:val="bottom"/>
          </w:tcPr>
          <w:p w14:paraId="71D49E3E" w14:textId="77777777" w:rsidR="006A3667" w:rsidRDefault="006A3667">
            <w:pPr>
              <w:jc w:val="right"/>
              <w:rPr>
                <w:rFonts w:ascii="宋体"/>
              </w:rPr>
            </w:pPr>
          </w:p>
        </w:tc>
      </w:tr>
      <w:tr w:rsidR="006A3667" w14:paraId="71D49E5E" w14:textId="77777777">
        <w:tc>
          <w:tcPr>
            <w:tcW w:w="0" w:type="auto"/>
            <w:gridSpan w:val="3"/>
            <w:shd w:val="clear" w:color="auto" w:fill="FFFFFF"/>
            <w:tcMar>
              <w:top w:w="40" w:type="dxa"/>
              <w:left w:w="155" w:type="dxa"/>
              <w:bottom w:w="40" w:type="dxa"/>
              <w:right w:w="20" w:type="dxa"/>
            </w:tcMar>
            <w:vAlign w:val="bottom"/>
          </w:tcPr>
          <w:p w14:paraId="71D49E40" w14:textId="77777777" w:rsidR="006A3667" w:rsidRDefault="00045F32">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71D49E4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4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4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44" w14:textId="77777777" w:rsidR="006A3667" w:rsidRDefault="00045F32">
            <w:pPr>
              <w:jc w:val="right"/>
              <w:textAlignment w:val="bottom"/>
            </w:pPr>
            <w:r>
              <w:rPr>
                <w:rFonts w:ascii="Arial" w:eastAsia="宋体" w:hAnsi="Arial" w:cs="Arial"/>
                <w:color w:val="000000"/>
                <w:sz w:val="14"/>
                <w:szCs w:val="14"/>
              </w:rPr>
              <w:t>28 </w:t>
            </w:r>
          </w:p>
        </w:tc>
        <w:tc>
          <w:tcPr>
            <w:tcW w:w="0" w:type="auto"/>
            <w:shd w:val="clear" w:color="auto" w:fill="FFFFFF"/>
            <w:tcMar>
              <w:top w:w="40" w:type="dxa"/>
              <w:left w:w="0" w:type="dxa"/>
              <w:bottom w:w="40" w:type="dxa"/>
              <w:right w:w="20" w:type="dxa"/>
            </w:tcMar>
            <w:vAlign w:val="bottom"/>
          </w:tcPr>
          <w:p w14:paraId="71D49E4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4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47" w14:textId="77777777" w:rsidR="006A3667" w:rsidRDefault="00045F32">
            <w:pPr>
              <w:jc w:val="right"/>
              <w:textAlignment w:val="bottom"/>
            </w:pPr>
            <w:r>
              <w:rPr>
                <w:rFonts w:ascii="Arial" w:eastAsia="宋体" w:hAnsi="Arial" w:cs="Arial"/>
                <w:color w:val="000000"/>
                <w:sz w:val="14"/>
                <w:szCs w:val="14"/>
              </w:rPr>
              <w:t>28 </w:t>
            </w:r>
          </w:p>
        </w:tc>
        <w:tc>
          <w:tcPr>
            <w:tcW w:w="0" w:type="auto"/>
            <w:shd w:val="clear" w:color="auto" w:fill="FFFFFF"/>
            <w:tcMar>
              <w:top w:w="40" w:type="dxa"/>
              <w:left w:w="0" w:type="dxa"/>
              <w:bottom w:w="40" w:type="dxa"/>
              <w:right w:w="20" w:type="dxa"/>
            </w:tcMar>
            <w:vAlign w:val="bottom"/>
          </w:tcPr>
          <w:p w14:paraId="71D49E4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4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4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4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4D" w14:textId="77777777" w:rsidR="006A3667" w:rsidRDefault="00045F32">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71D49E4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4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50" w14:textId="77777777" w:rsidR="006A3667" w:rsidRDefault="00045F32">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71D49E5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5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5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5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5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5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5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5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5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5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5C" w14:textId="77777777" w:rsidR="006A3667" w:rsidRDefault="00045F32">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71D49E5D" w14:textId="77777777" w:rsidR="006A3667" w:rsidRDefault="006A3667">
            <w:pPr>
              <w:jc w:val="right"/>
              <w:rPr>
                <w:rFonts w:ascii="宋体"/>
              </w:rPr>
            </w:pPr>
          </w:p>
        </w:tc>
      </w:tr>
      <w:tr w:rsidR="006A3667" w14:paraId="71D49E7D" w14:textId="77777777">
        <w:tc>
          <w:tcPr>
            <w:tcW w:w="0" w:type="auto"/>
            <w:gridSpan w:val="3"/>
            <w:shd w:val="clear" w:color="auto" w:fill="CCEEFF"/>
            <w:tcMar>
              <w:top w:w="40" w:type="dxa"/>
              <w:left w:w="20" w:type="dxa"/>
              <w:bottom w:w="40" w:type="dxa"/>
              <w:right w:w="20" w:type="dxa"/>
            </w:tcMar>
            <w:vAlign w:val="bottom"/>
          </w:tcPr>
          <w:p w14:paraId="71D49E5F" w14:textId="77777777" w:rsidR="006A3667" w:rsidRDefault="00045F32">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60" w14:textId="77777777" w:rsidR="006A3667" w:rsidRDefault="00045F32">
            <w:pPr>
              <w:jc w:val="right"/>
              <w:textAlignment w:val="bottom"/>
            </w:pPr>
            <w:r>
              <w:rPr>
                <w:rFonts w:ascii="Arial" w:eastAsia="宋体" w:hAnsi="Arial" w:cs="Arial"/>
                <w:color w:val="000000"/>
                <w:sz w:val="14"/>
                <w:szCs w:val="14"/>
              </w:rPr>
              <w:t>1,663 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6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6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63" w14:textId="77777777" w:rsidR="006A3667" w:rsidRDefault="00045F32">
            <w:pPr>
              <w:jc w:val="right"/>
              <w:textAlignment w:val="bottom"/>
            </w:pPr>
            <w:r>
              <w:rPr>
                <w:rFonts w:ascii="Arial" w:eastAsia="宋体" w:hAnsi="Arial" w:cs="Arial"/>
                <w:color w:val="000000"/>
                <w:sz w:val="14"/>
                <w:szCs w:val="14"/>
              </w:rPr>
              <w:t>305 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6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6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66" w14:textId="77777777" w:rsidR="006A3667" w:rsidRDefault="00045F32">
            <w:pPr>
              <w:jc w:val="right"/>
              <w:textAlignment w:val="bottom"/>
            </w:pPr>
            <w:r>
              <w:rPr>
                <w:rFonts w:ascii="Arial" w:eastAsia="宋体" w:hAnsi="Arial" w:cs="Arial"/>
                <w:color w:val="000000"/>
                <w:sz w:val="14"/>
                <w:szCs w:val="14"/>
              </w:rPr>
              <w:t>1,968 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6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6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69" w14:textId="77777777" w:rsidR="006A3667" w:rsidRDefault="00045F32">
            <w:pPr>
              <w:jc w:val="right"/>
              <w:textAlignment w:val="bottom"/>
            </w:pPr>
            <w:r>
              <w:rPr>
                <w:rFonts w:ascii="Arial" w:eastAsia="宋体" w:hAnsi="Arial" w:cs="Arial"/>
                <w:color w:val="000000"/>
                <w:sz w:val="14"/>
                <w:szCs w:val="14"/>
              </w:rPr>
              <w:t>539 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6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6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6C" w14:textId="77777777" w:rsidR="006A3667" w:rsidRDefault="00045F32">
            <w:pPr>
              <w:jc w:val="right"/>
              <w:textAlignment w:val="bottom"/>
            </w:pPr>
            <w:r>
              <w:rPr>
                <w:rFonts w:ascii="Arial" w:eastAsia="宋体" w:hAnsi="Arial" w:cs="Arial"/>
                <w:color w:val="000000"/>
                <w:sz w:val="14"/>
                <w:szCs w:val="14"/>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6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6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6F" w14:textId="77777777" w:rsidR="006A3667" w:rsidRDefault="00045F32">
            <w:pPr>
              <w:jc w:val="right"/>
              <w:textAlignment w:val="bottom"/>
            </w:pPr>
            <w:r>
              <w:rPr>
                <w:rFonts w:ascii="Arial" w:eastAsia="宋体" w:hAnsi="Arial" w:cs="Arial"/>
                <w:color w:val="000000"/>
                <w:sz w:val="14"/>
                <w:szCs w:val="14"/>
              </w:rPr>
              <w:t>536 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7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7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72"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7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7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75"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7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7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78"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7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7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E7B" w14:textId="77777777" w:rsidR="006A3667" w:rsidRDefault="00045F32">
            <w:pPr>
              <w:jc w:val="right"/>
              <w:textAlignment w:val="bottom"/>
            </w:pPr>
            <w:r>
              <w:rPr>
                <w:rFonts w:ascii="Arial" w:eastAsia="宋体" w:hAnsi="Arial" w:cs="Arial"/>
                <w:color w:val="000000"/>
                <w:sz w:val="14"/>
                <w:szCs w:val="14"/>
              </w:rPr>
              <w:t>2,504 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E7C" w14:textId="77777777" w:rsidR="006A3667" w:rsidRDefault="006A3667">
            <w:pPr>
              <w:jc w:val="right"/>
              <w:rPr>
                <w:rFonts w:ascii="宋体"/>
              </w:rPr>
            </w:pPr>
          </w:p>
        </w:tc>
      </w:tr>
      <w:tr w:rsidR="006A3667" w14:paraId="71D49E9C" w14:textId="77777777">
        <w:tc>
          <w:tcPr>
            <w:tcW w:w="0" w:type="auto"/>
            <w:gridSpan w:val="3"/>
            <w:shd w:val="clear" w:color="auto" w:fill="FFFFFF"/>
            <w:tcMar>
              <w:top w:w="40" w:type="dxa"/>
              <w:left w:w="155" w:type="dxa"/>
              <w:bottom w:w="40" w:type="dxa"/>
              <w:right w:w="20" w:type="dxa"/>
            </w:tcMar>
            <w:vAlign w:val="bottom"/>
          </w:tcPr>
          <w:p w14:paraId="71D49E7E" w14:textId="77777777" w:rsidR="006A3667" w:rsidRDefault="00045F32">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71D49E7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8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8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82" w14:textId="77777777" w:rsidR="006A3667" w:rsidRDefault="00045F32">
            <w:pPr>
              <w:jc w:val="right"/>
              <w:textAlignment w:val="bottom"/>
            </w:pPr>
            <w:r>
              <w:rPr>
                <w:rFonts w:ascii="Arial" w:eastAsia="宋体" w:hAnsi="Arial" w:cs="Arial"/>
                <w:color w:val="000000"/>
                <w:sz w:val="14"/>
                <w:szCs w:val="14"/>
              </w:rPr>
              <w:t>491 </w:t>
            </w:r>
          </w:p>
        </w:tc>
        <w:tc>
          <w:tcPr>
            <w:tcW w:w="0" w:type="auto"/>
            <w:shd w:val="clear" w:color="auto" w:fill="FFFFFF"/>
            <w:tcMar>
              <w:top w:w="40" w:type="dxa"/>
              <w:left w:w="0" w:type="dxa"/>
              <w:bottom w:w="40" w:type="dxa"/>
              <w:right w:w="20" w:type="dxa"/>
            </w:tcMar>
            <w:vAlign w:val="bottom"/>
          </w:tcPr>
          <w:p w14:paraId="71D49E8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8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85" w14:textId="77777777" w:rsidR="006A3667" w:rsidRDefault="00045F32">
            <w:pPr>
              <w:jc w:val="right"/>
              <w:textAlignment w:val="bottom"/>
            </w:pPr>
            <w:r>
              <w:rPr>
                <w:rFonts w:ascii="Arial" w:eastAsia="宋体" w:hAnsi="Arial" w:cs="Arial"/>
                <w:color w:val="000000"/>
                <w:sz w:val="14"/>
                <w:szCs w:val="14"/>
              </w:rPr>
              <w:t>491 </w:t>
            </w:r>
          </w:p>
        </w:tc>
        <w:tc>
          <w:tcPr>
            <w:tcW w:w="0" w:type="auto"/>
            <w:shd w:val="clear" w:color="auto" w:fill="FFFFFF"/>
            <w:tcMar>
              <w:top w:w="40" w:type="dxa"/>
              <w:left w:w="0" w:type="dxa"/>
              <w:bottom w:w="40" w:type="dxa"/>
              <w:right w:w="20" w:type="dxa"/>
            </w:tcMar>
            <w:vAlign w:val="bottom"/>
          </w:tcPr>
          <w:p w14:paraId="71D49E8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8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8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8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8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8B" w14:textId="77777777" w:rsidR="006A3667" w:rsidRDefault="00045F32">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71D49E8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8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8E" w14:textId="77777777" w:rsidR="006A3667" w:rsidRDefault="00045F32">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71D49E8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9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9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9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9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9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9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9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9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E9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9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E9A" w14:textId="77777777" w:rsidR="006A3667" w:rsidRDefault="00045F32">
            <w:pPr>
              <w:jc w:val="right"/>
              <w:textAlignment w:val="bottom"/>
            </w:pPr>
            <w:r>
              <w:rPr>
                <w:rFonts w:ascii="Arial" w:eastAsia="宋体" w:hAnsi="Arial" w:cs="Arial"/>
                <w:color w:val="000000"/>
                <w:sz w:val="14"/>
                <w:szCs w:val="14"/>
              </w:rPr>
              <w:t>487 </w:t>
            </w:r>
          </w:p>
        </w:tc>
        <w:tc>
          <w:tcPr>
            <w:tcW w:w="0" w:type="auto"/>
            <w:shd w:val="clear" w:color="auto" w:fill="FFFFFF"/>
            <w:tcMar>
              <w:top w:w="40" w:type="dxa"/>
              <w:left w:w="0" w:type="dxa"/>
              <w:bottom w:w="40" w:type="dxa"/>
              <w:right w:w="20" w:type="dxa"/>
            </w:tcMar>
            <w:vAlign w:val="bottom"/>
          </w:tcPr>
          <w:p w14:paraId="71D49E9B" w14:textId="77777777" w:rsidR="006A3667" w:rsidRDefault="006A3667">
            <w:pPr>
              <w:jc w:val="right"/>
              <w:rPr>
                <w:rFonts w:ascii="宋体"/>
              </w:rPr>
            </w:pPr>
          </w:p>
        </w:tc>
      </w:tr>
      <w:tr w:rsidR="006A3667" w14:paraId="71D49EBB" w14:textId="77777777">
        <w:tc>
          <w:tcPr>
            <w:tcW w:w="0" w:type="auto"/>
            <w:gridSpan w:val="3"/>
            <w:shd w:val="clear" w:color="auto" w:fill="CCEEFF"/>
            <w:tcMar>
              <w:top w:w="40" w:type="dxa"/>
              <w:left w:w="155" w:type="dxa"/>
              <w:bottom w:w="40" w:type="dxa"/>
              <w:right w:w="20" w:type="dxa"/>
            </w:tcMar>
            <w:vAlign w:val="bottom"/>
          </w:tcPr>
          <w:p w14:paraId="71D49E9D" w14:textId="77777777" w:rsidR="006A3667" w:rsidRDefault="00045F32">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71D49E9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9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A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A1"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9EA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A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A4"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9EA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A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A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A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A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A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A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A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A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A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A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B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B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B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B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B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B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B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EB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EB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EB9"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9EBA" w14:textId="77777777" w:rsidR="006A3667" w:rsidRDefault="006A3667">
            <w:pPr>
              <w:jc w:val="right"/>
              <w:rPr>
                <w:rFonts w:ascii="宋体"/>
              </w:rPr>
            </w:pPr>
          </w:p>
        </w:tc>
      </w:tr>
      <w:tr w:rsidR="00045F32" w14:paraId="71D49EE4" w14:textId="77777777">
        <w:tc>
          <w:tcPr>
            <w:tcW w:w="0" w:type="auto"/>
            <w:gridSpan w:val="3"/>
            <w:shd w:val="clear" w:color="auto" w:fill="FFFFFF"/>
            <w:tcMar>
              <w:top w:w="40" w:type="dxa"/>
              <w:left w:w="20" w:type="dxa"/>
              <w:bottom w:w="40" w:type="dxa"/>
              <w:right w:w="20" w:type="dxa"/>
            </w:tcMar>
            <w:vAlign w:val="bottom"/>
          </w:tcPr>
          <w:p w14:paraId="71D49EBC" w14:textId="77777777" w:rsidR="006A3667" w:rsidRDefault="00045F32">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71D49EB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BE" w14:textId="77777777" w:rsidR="006A3667" w:rsidRDefault="00045F32">
            <w:pPr>
              <w:jc w:val="right"/>
              <w:textAlignment w:val="bottom"/>
            </w:pPr>
            <w:r>
              <w:rPr>
                <w:rFonts w:ascii="Arial" w:eastAsia="宋体" w:hAnsi="Arial" w:cs="Arial"/>
                <w:color w:val="000000"/>
                <w:sz w:val="14"/>
                <w:szCs w:val="14"/>
              </w:rPr>
              <w:t>1,663 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B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C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C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C2" w14:textId="77777777" w:rsidR="006A3667" w:rsidRDefault="00045F32">
            <w:pPr>
              <w:jc w:val="right"/>
              <w:textAlignment w:val="bottom"/>
            </w:pPr>
            <w:r>
              <w:rPr>
                <w:rFonts w:ascii="Arial" w:eastAsia="宋体" w:hAnsi="Arial" w:cs="Arial"/>
                <w:color w:val="000000"/>
                <w:sz w:val="14"/>
                <w:szCs w:val="14"/>
              </w:rPr>
              <w:t>795 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C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C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C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C6" w14:textId="77777777" w:rsidR="006A3667" w:rsidRDefault="00045F32">
            <w:pPr>
              <w:jc w:val="right"/>
              <w:textAlignment w:val="bottom"/>
            </w:pPr>
            <w:r>
              <w:rPr>
                <w:rFonts w:ascii="Arial" w:eastAsia="宋体" w:hAnsi="Arial" w:cs="Arial"/>
                <w:color w:val="000000"/>
                <w:sz w:val="14"/>
                <w:szCs w:val="14"/>
              </w:rPr>
              <w:t>2,458 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C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C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C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CA" w14:textId="77777777" w:rsidR="006A3667" w:rsidRDefault="00045F32">
            <w:pPr>
              <w:jc w:val="right"/>
              <w:textAlignment w:val="bottom"/>
            </w:pPr>
            <w:r>
              <w:rPr>
                <w:rFonts w:ascii="Arial" w:eastAsia="宋体" w:hAnsi="Arial" w:cs="Arial"/>
                <w:color w:val="000000"/>
                <w:sz w:val="14"/>
                <w:szCs w:val="14"/>
              </w:rPr>
              <w:t>539 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C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C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CE" w14:textId="77777777" w:rsidR="006A3667" w:rsidRDefault="00045F32">
            <w:pPr>
              <w:jc w:val="right"/>
              <w:textAlignment w:val="bottom"/>
            </w:pPr>
            <w:r>
              <w:rPr>
                <w:rFonts w:ascii="Arial" w:eastAsia="宋体" w:hAnsi="Arial" w:cs="Arial"/>
                <w:color w:val="000000"/>
                <w:sz w:val="14"/>
                <w:szCs w:val="14"/>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C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D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D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D2" w14:textId="77777777" w:rsidR="006A3667" w:rsidRDefault="00045F32">
            <w:pPr>
              <w:jc w:val="right"/>
              <w:textAlignment w:val="bottom"/>
            </w:pPr>
            <w:r>
              <w:rPr>
                <w:rFonts w:ascii="Arial" w:eastAsia="宋体" w:hAnsi="Arial" w:cs="Arial"/>
                <w:color w:val="000000"/>
                <w:sz w:val="14"/>
                <w:szCs w:val="14"/>
              </w:rPr>
              <w:t>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D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D4"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D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D6"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D8"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D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DA"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D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DC"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D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DE"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D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EE0" w14:textId="77777777" w:rsidR="006A3667" w:rsidRDefault="006A3667">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1D49EE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1D49EE2" w14:textId="77777777" w:rsidR="006A3667" w:rsidRDefault="00045F32">
            <w:pPr>
              <w:jc w:val="right"/>
              <w:textAlignment w:val="bottom"/>
            </w:pPr>
            <w:r>
              <w:rPr>
                <w:rFonts w:ascii="Arial" w:eastAsia="宋体" w:hAnsi="Arial" w:cs="Arial"/>
                <w:color w:val="000000"/>
                <w:sz w:val="14"/>
                <w:szCs w:val="14"/>
              </w:rPr>
              <w:t>2,990 </w:t>
            </w:r>
          </w:p>
        </w:tc>
        <w:tc>
          <w:tcPr>
            <w:tcW w:w="0" w:type="auto"/>
            <w:tcBorders>
              <w:top w:val="single" w:sz="8" w:space="0" w:color="000000"/>
            </w:tcBorders>
            <w:shd w:val="clear" w:color="auto" w:fill="FFFFFF"/>
            <w:tcMar>
              <w:top w:w="40" w:type="dxa"/>
              <w:left w:w="0" w:type="dxa"/>
              <w:bottom w:w="40" w:type="dxa"/>
              <w:right w:w="20" w:type="dxa"/>
            </w:tcMar>
            <w:vAlign w:val="bottom"/>
          </w:tcPr>
          <w:p w14:paraId="71D49EE3" w14:textId="77777777" w:rsidR="006A3667" w:rsidRDefault="006A3667">
            <w:pPr>
              <w:jc w:val="right"/>
              <w:rPr>
                <w:rFonts w:ascii="宋体"/>
              </w:rPr>
            </w:pPr>
          </w:p>
        </w:tc>
      </w:tr>
      <w:tr w:rsidR="006A3667" w14:paraId="71D49EF9" w14:textId="77777777">
        <w:trPr>
          <w:trHeight w:val="60"/>
        </w:trPr>
        <w:tc>
          <w:tcPr>
            <w:tcW w:w="0" w:type="auto"/>
            <w:gridSpan w:val="3"/>
            <w:shd w:val="clear" w:color="auto" w:fill="auto"/>
            <w:tcMar>
              <w:top w:w="0" w:type="dxa"/>
              <w:left w:w="20" w:type="dxa"/>
              <w:bottom w:w="0" w:type="dxa"/>
              <w:right w:w="20" w:type="dxa"/>
            </w:tcMar>
            <w:vAlign w:val="bottom"/>
          </w:tcPr>
          <w:p w14:paraId="71D49EE5"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E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E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E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E9"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E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EB"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E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ED"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E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EF"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F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F1"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F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F3"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F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F5"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F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9EF7" w14:textId="77777777" w:rsidR="006A3667" w:rsidRDefault="006A3667">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1D49EF8" w14:textId="77777777" w:rsidR="006A3667" w:rsidRDefault="006A3667">
            <w:pPr>
              <w:rPr>
                <w:rFonts w:ascii="宋体"/>
              </w:rPr>
            </w:pPr>
          </w:p>
        </w:tc>
      </w:tr>
      <w:tr w:rsidR="006A3667" w14:paraId="71D49EFC" w14:textId="77777777">
        <w:tc>
          <w:tcPr>
            <w:tcW w:w="0" w:type="auto"/>
            <w:gridSpan w:val="3"/>
            <w:shd w:val="clear" w:color="auto" w:fill="auto"/>
            <w:tcMar>
              <w:top w:w="0" w:type="dxa"/>
              <w:left w:w="20" w:type="dxa"/>
              <w:bottom w:w="0" w:type="dxa"/>
              <w:right w:w="20" w:type="dxa"/>
            </w:tcMar>
            <w:vAlign w:val="bottom"/>
          </w:tcPr>
          <w:p w14:paraId="71D49EFA" w14:textId="77777777" w:rsidR="006A3667" w:rsidRDefault="006A3667">
            <w:pPr>
              <w:rPr>
                <w:rFonts w:ascii="宋体"/>
              </w:rPr>
            </w:pPr>
          </w:p>
        </w:tc>
        <w:tc>
          <w:tcPr>
            <w:tcW w:w="0" w:type="auto"/>
            <w:gridSpan w:val="57"/>
            <w:shd w:val="clear" w:color="auto" w:fill="auto"/>
            <w:tcMar>
              <w:top w:w="40" w:type="dxa"/>
              <w:left w:w="20" w:type="dxa"/>
              <w:bottom w:w="40" w:type="dxa"/>
              <w:right w:w="20" w:type="dxa"/>
            </w:tcMar>
            <w:vAlign w:val="bottom"/>
          </w:tcPr>
          <w:p w14:paraId="71D49EFB" w14:textId="77777777" w:rsidR="006A3667" w:rsidRDefault="00045F32">
            <w:pPr>
              <w:jc w:val="center"/>
              <w:textAlignment w:val="bottom"/>
            </w:pPr>
            <w:r>
              <w:rPr>
                <w:rFonts w:ascii="Arial" w:eastAsia="宋体" w:hAnsi="Arial" w:cs="Arial"/>
                <w:b/>
                <w:bCs/>
                <w:color w:val="000000"/>
                <w:sz w:val="14"/>
                <w:szCs w:val="14"/>
              </w:rPr>
              <w:t>Nine Months Ended September 30, 2021</w:t>
            </w:r>
          </w:p>
        </w:tc>
      </w:tr>
      <w:tr w:rsidR="006A3667" w14:paraId="71D49F05" w14:textId="77777777">
        <w:tc>
          <w:tcPr>
            <w:tcW w:w="0" w:type="auto"/>
            <w:gridSpan w:val="3"/>
            <w:shd w:val="clear" w:color="auto" w:fill="auto"/>
            <w:tcMar>
              <w:top w:w="0" w:type="dxa"/>
              <w:left w:w="20" w:type="dxa"/>
              <w:bottom w:w="0" w:type="dxa"/>
              <w:right w:w="20" w:type="dxa"/>
            </w:tcMar>
            <w:vAlign w:val="bottom"/>
          </w:tcPr>
          <w:p w14:paraId="71D49EFD"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EFE" w14:textId="77777777" w:rsidR="006A3667" w:rsidRDefault="00045F32">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EFF"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F00" w14:textId="77777777" w:rsidR="006A3667" w:rsidRDefault="00045F32">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F01"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9F02" w14:textId="77777777" w:rsidR="006A3667" w:rsidRDefault="00045F32">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F03"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04" w14:textId="77777777" w:rsidR="006A3667" w:rsidRDefault="00045F32">
            <w:pPr>
              <w:jc w:val="center"/>
              <w:textAlignment w:val="bottom"/>
            </w:pPr>
            <w:r>
              <w:rPr>
                <w:rFonts w:ascii="Arial" w:eastAsia="宋体" w:hAnsi="Arial" w:cs="Arial"/>
                <w:b/>
                <w:bCs/>
                <w:color w:val="000000"/>
                <w:sz w:val="14"/>
                <w:szCs w:val="14"/>
              </w:rPr>
              <w:t>Total</w:t>
            </w:r>
          </w:p>
        </w:tc>
      </w:tr>
      <w:tr w:rsidR="006A3667" w14:paraId="71D49F1A" w14:textId="77777777">
        <w:tc>
          <w:tcPr>
            <w:tcW w:w="0" w:type="auto"/>
            <w:gridSpan w:val="3"/>
            <w:shd w:val="clear" w:color="auto" w:fill="auto"/>
            <w:tcMar>
              <w:top w:w="40" w:type="dxa"/>
              <w:left w:w="20" w:type="dxa"/>
              <w:bottom w:w="40" w:type="dxa"/>
              <w:right w:w="20" w:type="dxa"/>
            </w:tcMar>
            <w:vAlign w:val="bottom"/>
          </w:tcPr>
          <w:p w14:paraId="71D49F06" w14:textId="77777777" w:rsidR="006A3667" w:rsidRDefault="00045F32">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07"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F0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09"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F0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0B"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F0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0D" w14:textId="77777777" w:rsidR="006A3667" w:rsidRDefault="00045F32">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F0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0F"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F1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11"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F1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13" w14:textId="77777777" w:rsidR="006A3667" w:rsidRDefault="00045F32">
            <w:pPr>
              <w:jc w:val="center"/>
              <w:textAlignment w:val="bottom"/>
            </w:pPr>
            <w:r>
              <w:rPr>
                <w:rFonts w:ascii="Arial" w:eastAsia="宋体" w:hAnsi="Arial" w:cs="Arial"/>
                <w:b/>
                <w:bCs/>
                <w:color w:val="000000"/>
                <w:sz w:val="14"/>
                <w:szCs w:val="14"/>
              </w:rPr>
              <w:t xml:space="preserve">Topic 606 </w:t>
            </w:r>
            <w:r>
              <w:rPr>
                <w:rFonts w:ascii="Arial" w:eastAsia="宋体" w:hAnsi="Arial" w:cs="Arial"/>
                <w:b/>
                <w:bCs/>
                <w:color w:val="000000"/>
                <w:sz w:val="14"/>
                <w:szCs w:val="14"/>
              </w:rPr>
              <w:t>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F14"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15" w14:textId="77777777" w:rsidR="006A3667" w:rsidRDefault="00045F32">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9F16"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17" w14:textId="77777777" w:rsidR="006A3667" w:rsidRDefault="00045F32">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71D49F18"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9F19" w14:textId="77777777" w:rsidR="006A3667" w:rsidRDefault="00045F32">
            <w:pPr>
              <w:jc w:val="center"/>
              <w:textAlignment w:val="bottom"/>
            </w:pPr>
            <w:r>
              <w:rPr>
                <w:rFonts w:ascii="Arial" w:eastAsia="宋体" w:hAnsi="Arial" w:cs="Arial"/>
                <w:b/>
                <w:bCs/>
                <w:color w:val="000000"/>
                <w:sz w:val="14"/>
                <w:szCs w:val="14"/>
              </w:rPr>
              <w:t>2021</w:t>
            </w:r>
          </w:p>
        </w:tc>
      </w:tr>
      <w:tr w:rsidR="00045F32" w14:paraId="71D49F43" w14:textId="77777777">
        <w:tc>
          <w:tcPr>
            <w:tcW w:w="0" w:type="auto"/>
            <w:gridSpan w:val="3"/>
            <w:shd w:val="clear" w:color="auto" w:fill="CCEEFF"/>
            <w:tcMar>
              <w:top w:w="40" w:type="dxa"/>
              <w:left w:w="155" w:type="dxa"/>
              <w:bottom w:w="40" w:type="dxa"/>
              <w:right w:w="20" w:type="dxa"/>
            </w:tcMar>
            <w:vAlign w:val="bottom"/>
          </w:tcPr>
          <w:p w14:paraId="71D49F1B" w14:textId="77777777" w:rsidR="006A3667" w:rsidRDefault="00045F32">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9F1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1D" w14:textId="77777777" w:rsidR="006A3667" w:rsidRDefault="00045F32">
            <w:pPr>
              <w:jc w:val="right"/>
              <w:textAlignment w:val="bottom"/>
            </w:pPr>
            <w:r>
              <w:rPr>
                <w:rFonts w:ascii="Arial" w:eastAsia="宋体" w:hAnsi="Arial" w:cs="Arial"/>
                <w:color w:val="000000"/>
                <w:sz w:val="14"/>
                <w:szCs w:val="14"/>
              </w:rPr>
              <w:t>4,154 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1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1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2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21"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2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2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25" w14:textId="77777777" w:rsidR="006A3667" w:rsidRDefault="00045F32">
            <w:pPr>
              <w:jc w:val="right"/>
              <w:textAlignment w:val="bottom"/>
            </w:pPr>
            <w:r>
              <w:rPr>
                <w:rFonts w:ascii="Arial" w:eastAsia="宋体" w:hAnsi="Arial" w:cs="Arial"/>
                <w:color w:val="000000"/>
                <w:sz w:val="14"/>
                <w:szCs w:val="14"/>
              </w:rPr>
              <w:t>4,154 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2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2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2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29"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2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2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2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2D"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2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3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31"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3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3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34"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35"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3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3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38"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39"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3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3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3C"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3D"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3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3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9F40"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9F41" w14:textId="77777777" w:rsidR="006A3667" w:rsidRDefault="00045F32">
            <w:pPr>
              <w:jc w:val="right"/>
              <w:textAlignment w:val="bottom"/>
            </w:pPr>
            <w:r>
              <w:rPr>
                <w:rFonts w:ascii="Arial" w:eastAsia="宋体" w:hAnsi="Arial" w:cs="Arial"/>
                <w:color w:val="000000"/>
                <w:sz w:val="14"/>
                <w:szCs w:val="14"/>
              </w:rPr>
              <w:t>4,154 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42" w14:textId="77777777" w:rsidR="006A3667" w:rsidRDefault="006A3667">
            <w:pPr>
              <w:jc w:val="right"/>
              <w:rPr>
                <w:rFonts w:ascii="宋体"/>
              </w:rPr>
            </w:pPr>
          </w:p>
        </w:tc>
      </w:tr>
      <w:tr w:rsidR="006A3667" w14:paraId="71D49F62" w14:textId="77777777">
        <w:tc>
          <w:tcPr>
            <w:tcW w:w="0" w:type="auto"/>
            <w:gridSpan w:val="3"/>
            <w:shd w:val="clear" w:color="auto" w:fill="FFFFFF"/>
            <w:tcMar>
              <w:top w:w="40" w:type="dxa"/>
              <w:left w:w="155" w:type="dxa"/>
              <w:bottom w:w="40" w:type="dxa"/>
              <w:right w:w="20" w:type="dxa"/>
            </w:tcMar>
            <w:vAlign w:val="bottom"/>
          </w:tcPr>
          <w:p w14:paraId="71D49F44" w14:textId="77777777" w:rsidR="006A3667" w:rsidRDefault="00045F32">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71D49F4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4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4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4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4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4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4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4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4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4E" w14:textId="77777777" w:rsidR="006A3667" w:rsidRDefault="00045F32">
            <w:pPr>
              <w:jc w:val="right"/>
              <w:textAlignment w:val="bottom"/>
            </w:pPr>
            <w:r>
              <w:rPr>
                <w:rFonts w:ascii="Arial" w:eastAsia="宋体" w:hAnsi="Arial" w:cs="Arial"/>
                <w:color w:val="000000"/>
                <w:sz w:val="14"/>
                <w:szCs w:val="14"/>
              </w:rPr>
              <w:t>1,523 </w:t>
            </w:r>
          </w:p>
        </w:tc>
        <w:tc>
          <w:tcPr>
            <w:tcW w:w="0" w:type="auto"/>
            <w:shd w:val="clear" w:color="auto" w:fill="FFFFFF"/>
            <w:tcMar>
              <w:top w:w="40" w:type="dxa"/>
              <w:left w:w="0" w:type="dxa"/>
              <w:bottom w:w="40" w:type="dxa"/>
              <w:right w:w="20" w:type="dxa"/>
            </w:tcMar>
            <w:vAlign w:val="bottom"/>
          </w:tcPr>
          <w:p w14:paraId="71D49F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5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5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5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5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54" w14:textId="77777777" w:rsidR="006A3667" w:rsidRDefault="00045F32">
            <w:pPr>
              <w:jc w:val="right"/>
              <w:textAlignment w:val="bottom"/>
            </w:pPr>
            <w:r>
              <w:rPr>
                <w:rFonts w:ascii="Arial" w:eastAsia="宋体" w:hAnsi="Arial" w:cs="Arial"/>
                <w:color w:val="000000"/>
                <w:sz w:val="14"/>
                <w:szCs w:val="14"/>
              </w:rPr>
              <w:t>1,523 </w:t>
            </w:r>
          </w:p>
        </w:tc>
        <w:tc>
          <w:tcPr>
            <w:tcW w:w="0" w:type="auto"/>
            <w:shd w:val="clear" w:color="auto" w:fill="FFFFFF"/>
            <w:tcMar>
              <w:top w:w="40" w:type="dxa"/>
              <w:left w:w="0" w:type="dxa"/>
              <w:bottom w:w="40" w:type="dxa"/>
              <w:right w:w="20" w:type="dxa"/>
            </w:tcMar>
            <w:vAlign w:val="bottom"/>
          </w:tcPr>
          <w:p w14:paraId="71D49F5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5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5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5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5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5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5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5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5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5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60" w14:textId="77777777" w:rsidR="006A3667" w:rsidRDefault="00045F32">
            <w:pPr>
              <w:jc w:val="right"/>
              <w:textAlignment w:val="bottom"/>
            </w:pPr>
            <w:r>
              <w:rPr>
                <w:rFonts w:ascii="Arial" w:eastAsia="宋体" w:hAnsi="Arial" w:cs="Arial"/>
                <w:color w:val="000000"/>
                <w:sz w:val="14"/>
                <w:szCs w:val="14"/>
              </w:rPr>
              <w:t>1,523 </w:t>
            </w:r>
          </w:p>
        </w:tc>
        <w:tc>
          <w:tcPr>
            <w:tcW w:w="0" w:type="auto"/>
            <w:shd w:val="clear" w:color="auto" w:fill="FFFFFF"/>
            <w:tcMar>
              <w:top w:w="40" w:type="dxa"/>
              <w:left w:w="0" w:type="dxa"/>
              <w:bottom w:w="40" w:type="dxa"/>
              <w:right w:w="20" w:type="dxa"/>
            </w:tcMar>
            <w:vAlign w:val="bottom"/>
          </w:tcPr>
          <w:p w14:paraId="71D49F61" w14:textId="77777777" w:rsidR="006A3667" w:rsidRDefault="006A3667">
            <w:pPr>
              <w:jc w:val="right"/>
              <w:rPr>
                <w:rFonts w:ascii="宋体"/>
              </w:rPr>
            </w:pPr>
          </w:p>
        </w:tc>
      </w:tr>
      <w:tr w:rsidR="006A3667" w14:paraId="71D49F81" w14:textId="77777777">
        <w:tc>
          <w:tcPr>
            <w:tcW w:w="0" w:type="auto"/>
            <w:gridSpan w:val="3"/>
            <w:shd w:val="clear" w:color="auto" w:fill="CCEEFF"/>
            <w:tcMar>
              <w:top w:w="40" w:type="dxa"/>
              <w:left w:w="155" w:type="dxa"/>
              <w:bottom w:w="40" w:type="dxa"/>
              <w:right w:w="20" w:type="dxa"/>
            </w:tcMar>
            <w:vAlign w:val="bottom"/>
          </w:tcPr>
          <w:p w14:paraId="71D49F63" w14:textId="77777777" w:rsidR="006A3667" w:rsidRDefault="00045F32">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71D49F64" w14:textId="77777777" w:rsidR="006A3667" w:rsidRDefault="00045F32">
            <w:pPr>
              <w:jc w:val="right"/>
              <w:textAlignment w:val="bottom"/>
            </w:pPr>
            <w:r>
              <w:rPr>
                <w:rFonts w:ascii="Arial" w:eastAsia="宋体" w:hAnsi="Arial" w:cs="Arial"/>
                <w:color w:val="000000"/>
                <w:sz w:val="14"/>
                <w:szCs w:val="14"/>
              </w:rPr>
              <w:t>260 </w:t>
            </w:r>
          </w:p>
        </w:tc>
        <w:tc>
          <w:tcPr>
            <w:tcW w:w="0" w:type="auto"/>
            <w:shd w:val="clear" w:color="auto" w:fill="CCEEFF"/>
            <w:tcMar>
              <w:top w:w="40" w:type="dxa"/>
              <w:left w:w="0" w:type="dxa"/>
              <w:bottom w:w="40" w:type="dxa"/>
              <w:right w:w="20" w:type="dxa"/>
            </w:tcMar>
            <w:vAlign w:val="bottom"/>
          </w:tcPr>
          <w:p w14:paraId="71D49F6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6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67" w14:textId="77777777" w:rsidR="006A3667" w:rsidRDefault="00045F32">
            <w:pPr>
              <w:jc w:val="right"/>
              <w:textAlignment w:val="bottom"/>
            </w:pPr>
            <w:r>
              <w:rPr>
                <w:rFonts w:ascii="Arial" w:eastAsia="宋体" w:hAnsi="Arial" w:cs="Arial"/>
                <w:color w:val="000000"/>
                <w:sz w:val="14"/>
                <w:szCs w:val="14"/>
              </w:rPr>
              <w:t>609 </w:t>
            </w:r>
          </w:p>
        </w:tc>
        <w:tc>
          <w:tcPr>
            <w:tcW w:w="0" w:type="auto"/>
            <w:shd w:val="clear" w:color="auto" w:fill="CCEEFF"/>
            <w:tcMar>
              <w:top w:w="40" w:type="dxa"/>
              <w:left w:w="0" w:type="dxa"/>
              <w:bottom w:w="40" w:type="dxa"/>
              <w:right w:w="20" w:type="dxa"/>
            </w:tcMar>
            <w:vAlign w:val="bottom"/>
          </w:tcPr>
          <w:p w14:paraId="71D49F6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6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6A" w14:textId="77777777" w:rsidR="006A3667" w:rsidRDefault="00045F32">
            <w:pPr>
              <w:jc w:val="right"/>
              <w:textAlignment w:val="bottom"/>
            </w:pPr>
            <w:r>
              <w:rPr>
                <w:rFonts w:ascii="Arial" w:eastAsia="宋体" w:hAnsi="Arial" w:cs="Arial"/>
                <w:color w:val="000000"/>
                <w:sz w:val="14"/>
                <w:szCs w:val="14"/>
              </w:rPr>
              <w:t>869 </w:t>
            </w:r>
          </w:p>
        </w:tc>
        <w:tc>
          <w:tcPr>
            <w:tcW w:w="0" w:type="auto"/>
            <w:shd w:val="clear" w:color="auto" w:fill="CCEEFF"/>
            <w:tcMar>
              <w:top w:w="40" w:type="dxa"/>
              <w:left w:w="0" w:type="dxa"/>
              <w:bottom w:w="40" w:type="dxa"/>
              <w:right w:w="20" w:type="dxa"/>
            </w:tcMar>
            <w:vAlign w:val="bottom"/>
          </w:tcPr>
          <w:p w14:paraId="71D49F6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6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6D" w14:textId="77777777" w:rsidR="006A3667" w:rsidRDefault="00045F32">
            <w:pPr>
              <w:jc w:val="right"/>
              <w:textAlignment w:val="bottom"/>
            </w:pPr>
            <w:r>
              <w:rPr>
                <w:rFonts w:ascii="Arial" w:eastAsia="宋体" w:hAnsi="Arial" w:cs="Arial"/>
                <w:color w:val="000000"/>
                <w:sz w:val="14"/>
                <w:szCs w:val="14"/>
              </w:rPr>
              <w:t>42 </w:t>
            </w:r>
          </w:p>
        </w:tc>
        <w:tc>
          <w:tcPr>
            <w:tcW w:w="0" w:type="auto"/>
            <w:shd w:val="clear" w:color="auto" w:fill="CCEEFF"/>
            <w:tcMar>
              <w:top w:w="40" w:type="dxa"/>
              <w:left w:w="0" w:type="dxa"/>
              <w:bottom w:w="40" w:type="dxa"/>
              <w:right w:w="20" w:type="dxa"/>
            </w:tcMar>
            <w:vAlign w:val="bottom"/>
          </w:tcPr>
          <w:p w14:paraId="71D49F6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6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7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7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7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73" w14:textId="77777777" w:rsidR="006A3667" w:rsidRDefault="00045F32">
            <w:pPr>
              <w:jc w:val="right"/>
              <w:textAlignment w:val="bottom"/>
            </w:pPr>
            <w:r>
              <w:rPr>
                <w:rFonts w:ascii="Arial" w:eastAsia="宋体" w:hAnsi="Arial" w:cs="Arial"/>
                <w:color w:val="000000"/>
                <w:sz w:val="14"/>
                <w:szCs w:val="14"/>
              </w:rPr>
              <w:t>42 </w:t>
            </w:r>
          </w:p>
        </w:tc>
        <w:tc>
          <w:tcPr>
            <w:tcW w:w="0" w:type="auto"/>
            <w:shd w:val="clear" w:color="auto" w:fill="CCEEFF"/>
            <w:tcMar>
              <w:top w:w="40" w:type="dxa"/>
              <w:left w:w="0" w:type="dxa"/>
              <w:bottom w:w="40" w:type="dxa"/>
              <w:right w:w="20" w:type="dxa"/>
            </w:tcMar>
            <w:vAlign w:val="bottom"/>
          </w:tcPr>
          <w:p w14:paraId="71D49F7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7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7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7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7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7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7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7B"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7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7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7E"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7F" w14:textId="77777777" w:rsidR="006A3667" w:rsidRDefault="00045F32">
            <w:pPr>
              <w:jc w:val="right"/>
              <w:textAlignment w:val="bottom"/>
            </w:pPr>
            <w:r>
              <w:rPr>
                <w:rFonts w:ascii="Arial" w:eastAsia="宋体" w:hAnsi="Arial" w:cs="Arial"/>
                <w:color w:val="000000"/>
                <w:sz w:val="14"/>
                <w:szCs w:val="14"/>
              </w:rPr>
              <w:t>911 </w:t>
            </w:r>
          </w:p>
        </w:tc>
        <w:tc>
          <w:tcPr>
            <w:tcW w:w="0" w:type="auto"/>
            <w:shd w:val="clear" w:color="auto" w:fill="CCEEFF"/>
            <w:tcMar>
              <w:top w:w="40" w:type="dxa"/>
              <w:left w:w="0" w:type="dxa"/>
              <w:bottom w:w="40" w:type="dxa"/>
              <w:right w:w="20" w:type="dxa"/>
            </w:tcMar>
            <w:vAlign w:val="bottom"/>
          </w:tcPr>
          <w:p w14:paraId="71D49F80" w14:textId="77777777" w:rsidR="006A3667" w:rsidRDefault="006A3667">
            <w:pPr>
              <w:jc w:val="right"/>
              <w:rPr>
                <w:rFonts w:ascii="宋体"/>
              </w:rPr>
            </w:pPr>
          </w:p>
        </w:tc>
      </w:tr>
      <w:tr w:rsidR="006A3667" w14:paraId="71D49FA0" w14:textId="77777777">
        <w:tc>
          <w:tcPr>
            <w:tcW w:w="0" w:type="auto"/>
            <w:gridSpan w:val="3"/>
            <w:shd w:val="clear" w:color="auto" w:fill="FFFFFF"/>
            <w:tcMar>
              <w:top w:w="40" w:type="dxa"/>
              <w:left w:w="155" w:type="dxa"/>
              <w:bottom w:w="40" w:type="dxa"/>
              <w:right w:w="20" w:type="dxa"/>
            </w:tcMar>
            <w:vAlign w:val="bottom"/>
          </w:tcPr>
          <w:p w14:paraId="71D49F82" w14:textId="77777777" w:rsidR="006A3667" w:rsidRDefault="00045F32">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71D49F83" w14:textId="77777777" w:rsidR="006A3667" w:rsidRDefault="00045F32">
            <w:pPr>
              <w:jc w:val="right"/>
              <w:textAlignment w:val="bottom"/>
            </w:pPr>
            <w:r>
              <w:rPr>
                <w:rFonts w:ascii="Arial" w:eastAsia="宋体" w:hAnsi="Arial" w:cs="Arial"/>
                <w:color w:val="000000"/>
                <w:sz w:val="14"/>
                <w:szCs w:val="14"/>
              </w:rPr>
              <w:t>181 </w:t>
            </w:r>
          </w:p>
        </w:tc>
        <w:tc>
          <w:tcPr>
            <w:tcW w:w="0" w:type="auto"/>
            <w:shd w:val="clear" w:color="auto" w:fill="FFFFFF"/>
            <w:tcMar>
              <w:top w:w="40" w:type="dxa"/>
              <w:left w:w="0" w:type="dxa"/>
              <w:bottom w:w="40" w:type="dxa"/>
              <w:right w:w="20" w:type="dxa"/>
            </w:tcMar>
            <w:vAlign w:val="bottom"/>
          </w:tcPr>
          <w:p w14:paraId="71D49F8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8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86" w14:textId="77777777" w:rsidR="006A3667" w:rsidRDefault="00045F32">
            <w:pPr>
              <w:jc w:val="right"/>
              <w:textAlignment w:val="bottom"/>
            </w:pPr>
            <w:r>
              <w:rPr>
                <w:rFonts w:ascii="Arial" w:eastAsia="宋体" w:hAnsi="Arial" w:cs="Arial"/>
                <w:color w:val="000000"/>
                <w:sz w:val="14"/>
                <w:szCs w:val="14"/>
              </w:rPr>
              <w:t>123 </w:t>
            </w:r>
          </w:p>
        </w:tc>
        <w:tc>
          <w:tcPr>
            <w:tcW w:w="0" w:type="auto"/>
            <w:shd w:val="clear" w:color="auto" w:fill="FFFFFF"/>
            <w:tcMar>
              <w:top w:w="40" w:type="dxa"/>
              <w:left w:w="0" w:type="dxa"/>
              <w:bottom w:w="40" w:type="dxa"/>
              <w:right w:w="20" w:type="dxa"/>
            </w:tcMar>
            <w:vAlign w:val="bottom"/>
          </w:tcPr>
          <w:p w14:paraId="71D49F8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8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89" w14:textId="77777777" w:rsidR="006A3667" w:rsidRDefault="00045F32">
            <w:pPr>
              <w:jc w:val="right"/>
              <w:textAlignment w:val="bottom"/>
            </w:pPr>
            <w:r>
              <w:rPr>
                <w:rFonts w:ascii="Arial" w:eastAsia="宋体" w:hAnsi="Arial" w:cs="Arial"/>
                <w:color w:val="000000"/>
                <w:sz w:val="14"/>
                <w:szCs w:val="14"/>
              </w:rPr>
              <w:t>304 </w:t>
            </w:r>
          </w:p>
        </w:tc>
        <w:tc>
          <w:tcPr>
            <w:tcW w:w="0" w:type="auto"/>
            <w:shd w:val="clear" w:color="auto" w:fill="FFFFFF"/>
            <w:tcMar>
              <w:top w:w="40" w:type="dxa"/>
              <w:left w:w="0" w:type="dxa"/>
              <w:bottom w:w="40" w:type="dxa"/>
              <w:right w:w="20" w:type="dxa"/>
            </w:tcMar>
            <w:vAlign w:val="bottom"/>
          </w:tcPr>
          <w:p w14:paraId="71D49F8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8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8C"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8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8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8F" w14:textId="77777777" w:rsidR="006A3667" w:rsidRDefault="00045F32">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71D49F9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9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92" w14:textId="77777777" w:rsidR="006A3667" w:rsidRDefault="00045F32">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71D49F9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9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95"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9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9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9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9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9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9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9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9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9E" w14:textId="77777777" w:rsidR="006A3667" w:rsidRDefault="00045F32">
            <w:pPr>
              <w:jc w:val="right"/>
              <w:textAlignment w:val="bottom"/>
            </w:pPr>
            <w:r>
              <w:rPr>
                <w:rFonts w:ascii="Arial" w:eastAsia="宋体" w:hAnsi="Arial" w:cs="Arial"/>
                <w:color w:val="000000"/>
                <w:sz w:val="14"/>
                <w:szCs w:val="14"/>
              </w:rPr>
              <w:t>314 </w:t>
            </w:r>
          </w:p>
        </w:tc>
        <w:tc>
          <w:tcPr>
            <w:tcW w:w="0" w:type="auto"/>
            <w:shd w:val="clear" w:color="auto" w:fill="FFFFFF"/>
            <w:tcMar>
              <w:top w:w="40" w:type="dxa"/>
              <w:left w:w="0" w:type="dxa"/>
              <w:bottom w:w="40" w:type="dxa"/>
              <w:right w:w="20" w:type="dxa"/>
            </w:tcMar>
            <w:vAlign w:val="bottom"/>
          </w:tcPr>
          <w:p w14:paraId="71D49F9F" w14:textId="77777777" w:rsidR="006A3667" w:rsidRDefault="006A3667">
            <w:pPr>
              <w:jc w:val="right"/>
              <w:rPr>
                <w:rFonts w:ascii="宋体"/>
              </w:rPr>
            </w:pPr>
          </w:p>
        </w:tc>
      </w:tr>
      <w:tr w:rsidR="006A3667" w14:paraId="71D49FBF" w14:textId="77777777">
        <w:tc>
          <w:tcPr>
            <w:tcW w:w="0" w:type="auto"/>
            <w:gridSpan w:val="3"/>
            <w:shd w:val="clear" w:color="auto" w:fill="CCEEFF"/>
            <w:tcMar>
              <w:top w:w="40" w:type="dxa"/>
              <w:left w:w="155" w:type="dxa"/>
              <w:bottom w:w="40" w:type="dxa"/>
              <w:right w:w="20" w:type="dxa"/>
            </w:tcMar>
            <w:vAlign w:val="bottom"/>
          </w:tcPr>
          <w:p w14:paraId="71D49FA1" w14:textId="77777777" w:rsidR="006A3667" w:rsidRDefault="00045F32">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71D49FA2" w14:textId="77777777" w:rsidR="006A3667" w:rsidRDefault="00045F32">
            <w:pPr>
              <w:jc w:val="right"/>
              <w:textAlignment w:val="bottom"/>
            </w:pPr>
            <w:r>
              <w:rPr>
                <w:rFonts w:ascii="Arial" w:eastAsia="宋体" w:hAnsi="Arial" w:cs="Arial"/>
                <w:color w:val="000000"/>
                <w:sz w:val="14"/>
                <w:szCs w:val="14"/>
              </w:rPr>
              <w:t>401 </w:t>
            </w:r>
          </w:p>
        </w:tc>
        <w:tc>
          <w:tcPr>
            <w:tcW w:w="0" w:type="auto"/>
            <w:shd w:val="clear" w:color="auto" w:fill="CCEEFF"/>
            <w:tcMar>
              <w:top w:w="40" w:type="dxa"/>
              <w:left w:w="0" w:type="dxa"/>
              <w:bottom w:w="40" w:type="dxa"/>
              <w:right w:w="20" w:type="dxa"/>
            </w:tcMar>
            <w:vAlign w:val="bottom"/>
          </w:tcPr>
          <w:p w14:paraId="71D49FA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A4"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A5" w14:textId="77777777" w:rsidR="006A3667" w:rsidRDefault="00045F32">
            <w:pPr>
              <w:jc w:val="right"/>
              <w:textAlignment w:val="bottom"/>
            </w:pPr>
            <w:r>
              <w:rPr>
                <w:rFonts w:ascii="Arial" w:eastAsia="宋体" w:hAnsi="Arial" w:cs="Arial"/>
                <w:color w:val="000000"/>
                <w:sz w:val="14"/>
                <w:szCs w:val="14"/>
              </w:rPr>
              <w:t>150 </w:t>
            </w:r>
          </w:p>
        </w:tc>
        <w:tc>
          <w:tcPr>
            <w:tcW w:w="0" w:type="auto"/>
            <w:shd w:val="clear" w:color="auto" w:fill="CCEEFF"/>
            <w:tcMar>
              <w:top w:w="40" w:type="dxa"/>
              <w:left w:w="0" w:type="dxa"/>
              <w:bottom w:w="40" w:type="dxa"/>
              <w:right w:w="20" w:type="dxa"/>
            </w:tcMar>
            <w:vAlign w:val="bottom"/>
          </w:tcPr>
          <w:p w14:paraId="71D49FA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A7"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A8" w14:textId="77777777" w:rsidR="006A3667" w:rsidRDefault="00045F32">
            <w:pPr>
              <w:jc w:val="right"/>
              <w:textAlignment w:val="bottom"/>
            </w:pPr>
            <w:r>
              <w:rPr>
                <w:rFonts w:ascii="Arial" w:eastAsia="宋体" w:hAnsi="Arial" w:cs="Arial"/>
                <w:color w:val="000000"/>
                <w:sz w:val="14"/>
                <w:szCs w:val="14"/>
              </w:rPr>
              <w:t>551 </w:t>
            </w:r>
          </w:p>
        </w:tc>
        <w:tc>
          <w:tcPr>
            <w:tcW w:w="0" w:type="auto"/>
            <w:shd w:val="clear" w:color="auto" w:fill="CCEEFF"/>
            <w:tcMar>
              <w:top w:w="40" w:type="dxa"/>
              <w:left w:w="0" w:type="dxa"/>
              <w:bottom w:w="40" w:type="dxa"/>
              <w:right w:w="20" w:type="dxa"/>
            </w:tcMar>
            <w:vAlign w:val="bottom"/>
          </w:tcPr>
          <w:p w14:paraId="71D49FA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AA"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AB"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AC"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AD"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A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A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B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B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B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B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B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B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B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B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B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B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B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9FB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B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9FBD" w14:textId="77777777" w:rsidR="006A3667" w:rsidRDefault="00045F32">
            <w:pPr>
              <w:jc w:val="right"/>
              <w:textAlignment w:val="bottom"/>
            </w:pPr>
            <w:r>
              <w:rPr>
                <w:rFonts w:ascii="Arial" w:eastAsia="宋体" w:hAnsi="Arial" w:cs="Arial"/>
                <w:color w:val="000000"/>
                <w:sz w:val="14"/>
                <w:szCs w:val="14"/>
              </w:rPr>
              <w:t>551 </w:t>
            </w:r>
          </w:p>
        </w:tc>
        <w:tc>
          <w:tcPr>
            <w:tcW w:w="0" w:type="auto"/>
            <w:shd w:val="clear" w:color="auto" w:fill="CCEEFF"/>
            <w:tcMar>
              <w:top w:w="40" w:type="dxa"/>
              <w:left w:w="0" w:type="dxa"/>
              <w:bottom w:w="40" w:type="dxa"/>
              <w:right w:w="20" w:type="dxa"/>
            </w:tcMar>
            <w:vAlign w:val="bottom"/>
          </w:tcPr>
          <w:p w14:paraId="71D49FBE" w14:textId="77777777" w:rsidR="006A3667" w:rsidRDefault="006A3667">
            <w:pPr>
              <w:jc w:val="right"/>
              <w:rPr>
                <w:rFonts w:ascii="宋体"/>
              </w:rPr>
            </w:pPr>
          </w:p>
        </w:tc>
      </w:tr>
      <w:tr w:rsidR="006A3667" w14:paraId="71D49FDE" w14:textId="77777777">
        <w:tc>
          <w:tcPr>
            <w:tcW w:w="0" w:type="auto"/>
            <w:gridSpan w:val="3"/>
            <w:shd w:val="clear" w:color="auto" w:fill="FFFFFF"/>
            <w:tcMar>
              <w:top w:w="40" w:type="dxa"/>
              <w:left w:w="155" w:type="dxa"/>
              <w:bottom w:w="40" w:type="dxa"/>
              <w:right w:w="20" w:type="dxa"/>
            </w:tcMar>
            <w:vAlign w:val="bottom"/>
          </w:tcPr>
          <w:p w14:paraId="71D49FC0" w14:textId="77777777" w:rsidR="006A3667" w:rsidRDefault="00045F32">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71D49FC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C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C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C4" w14:textId="77777777" w:rsidR="006A3667" w:rsidRDefault="00045F32">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71D49FC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C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C7" w14:textId="77777777" w:rsidR="006A3667" w:rsidRDefault="00045F32">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71D49FC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C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C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C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CC"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CD"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1D49FCE"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CF"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D0" w14:textId="77777777" w:rsidR="006A3667" w:rsidRDefault="00045F32">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71D49FD1"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D2"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D3"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D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D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D6"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D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D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D9"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9FD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9FD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9FDC" w14:textId="77777777" w:rsidR="006A3667" w:rsidRDefault="00045F32">
            <w:pPr>
              <w:jc w:val="right"/>
              <w:textAlignment w:val="bottom"/>
            </w:pPr>
            <w:r>
              <w:rPr>
                <w:rFonts w:ascii="Arial" w:eastAsia="宋体" w:hAnsi="Arial" w:cs="Arial"/>
                <w:color w:val="000000"/>
                <w:sz w:val="14"/>
                <w:szCs w:val="14"/>
              </w:rPr>
              <w:t>48 </w:t>
            </w:r>
          </w:p>
        </w:tc>
        <w:tc>
          <w:tcPr>
            <w:tcW w:w="0" w:type="auto"/>
            <w:shd w:val="clear" w:color="auto" w:fill="FFFFFF"/>
            <w:tcMar>
              <w:top w:w="40" w:type="dxa"/>
              <w:left w:w="0" w:type="dxa"/>
              <w:bottom w:w="40" w:type="dxa"/>
              <w:right w:w="20" w:type="dxa"/>
            </w:tcMar>
            <w:vAlign w:val="bottom"/>
          </w:tcPr>
          <w:p w14:paraId="71D49FDD" w14:textId="77777777" w:rsidR="006A3667" w:rsidRDefault="006A3667">
            <w:pPr>
              <w:jc w:val="right"/>
              <w:rPr>
                <w:rFonts w:ascii="宋体"/>
              </w:rPr>
            </w:pPr>
          </w:p>
        </w:tc>
      </w:tr>
      <w:tr w:rsidR="006A3667" w14:paraId="71D49FFD" w14:textId="77777777">
        <w:tc>
          <w:tcPr>
            <w:tcW w:w="0" w:type="auto"/>
            <w:gridSpan w:val="3"/>
            <w:shd w:val="clear" w:color="auto" w:fill="CCEEFF"/>
            <w:tcMar>
              <w:top w:w="40" w:type="dxa"/>
              <w:left w:w="20" w:type="dxa"/>
              <w:bottom w:w="40" w:type="dxa"/>
              <w:right w:w="20" w:type="dxa"/>
            </w:tcMar>
            <w:vAlign w:val="bottom"/>
          </w:tcPr>
          <w:p w14:paraId="71D49FDF" w14:textId="77777777" w:rsidR="006A3667" w:rsidRDefault="00045F32">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E0" w14:textId="77777777" w:rsidR="006A3667" w:rsidRDefault="00045F32">
            <w:pPr>
              <w:jc w:val="right"/>
              <w:textAlignment w:val="bottom"/>
            </w:pPr>
            <w:r>
              <w:rPr>
                <w:rFonts w:ascii="Arial" w:eastAsia="宋体" w:hAnsi="Arial" w:cs="Arial"/>
                <w:color w:val="000000"/>
                <w:sz w:val="14"/>
                <w:szCs w:val="14"/>
              </w:rPr>
              <w:t>4,996 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E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E2"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E3" w14:textId="77777777" w:rsidR="006A3667" w:rsidRDefault="00045F32">
            <w:pPr>
              <w:jc w:val="right"/>
              <w:textAlignment w:val="bottom"/>
            </w:pPr>
            <w:r>
              <w:rPr>
                <w:rFonts w:ascii="Arial" w:eastAsia="宋体" w:hAnsi="Arial" w:cs="Arial"/>
                <w:color w:val="000000"/>
                <w:sz w:val="14"/>
                <w:szCs w:val="14"/>
              </w:rPr>
              <w:t>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E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E5"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E6" w14:textId="77777777" w:rsidR="006A3667" w:rsidRDefault="00045F32">
            <w:pPr>
              <w:jc w:val="right"/>
              <w:textAlignment w:val="bottom"/>
            </w:pPr>
            <w:r>
              <w:rPr>
                <w:rFonts w:ascii="Arial" w:eastAsia="宋体" w:hAnsi="Arial" w:cs="Arial"/>
                <w:color w:val="000000"/>
                <w:sz w:val="14"/>
                <w:szCs w:val="14"/>
              </w:rPr>
              <w:t>5,923 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E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E8"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E9" w14:textId="77777777" w:rsidR="006A3667" w:rsidRDefault="00045F32">
            <w:pPr>
              <w:jc w:val="right"/>
              <w:textAlignment w:val="bottom"/>
            </w:pPr>
            <w:r>
              <w:rPr>
                <w:rFonts w:ascii="Arial" w:eastAsia="宋体" w:hAnsi="Arial" w:cs="Arial"/>
                <w:color w:val="000000"/>
                <w:sz w:val="14"/>
                <w:szCs w:val="14"/>
              </w:rPr>
              <w:t>1,565 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EB"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EC" w14:textId="77777777" w:rsidR="006A3667" w:rsidRDefault="00045F32">
            <w:pPr>
              <w:jc w:val="right"/>
              <w:textAlignment w:val="bottom"/>
            </w:pPr>
            <w:r>
              <w:rPr>
                <w:rFonts w:ascii="Arial" w:eastAsia="宋体" w:hAnsi="Arial" w:cs="Arial"/>
                <w:color w:val="000000"/>
                <w:sz w:val="14"/>
                <w:szCs w:val="14"/>
              </w:rPr>
              <w:t>13 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ED"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EE"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EF" w14:textId="77777777" w:rsidR="006A3667" w:rsidRDefault="00045F32">
            <w:pPr>
              <w:jc w:val="right"/>
              <w:textAlignment w:val="bottom"/>
            </w:pPr>
            <w:r>
              <w:rPr>
                <w:rFonts w:ascii="Arial" w:eastAsia="宋体" w:hAnsi="Arial" w:cs="Arial"/>
                <w:color w:val="000000"/>
                <w:sz w:val="14"/>
                <w:szCs w:val="14"/>
              </w:rPr>
              <w:t>1,578 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F0"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F1"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F2"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F3"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F4"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F5"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F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F7"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F8"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F9"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9FFA" w14:textId="77777777" w:rsidR="006A3667" w:rsidRDefault="006A3667">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1D49FFB" w14:textId="77777777" w:rsidR="006A3667" w:rsidRDefault="00045F32">
            <w:pPr>
              <w:jc w:val="right"/>
              <w:textAlignment w:val="bottom"/>
            </w:pPr>
            <w:r>
              <w:rPr>
                <w:rFonts w:ascii="Arial" w:eastAsia="宋体" w:hAnsi="Arial" w:cs="Arial"/>
                <w:color w:val="000000"/>
                <w:sz w:val="14"/>
                <w:szCs w:val="14"/>
              </w:rPr>
              <w:t>7,501 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9FFC" w14:textId="77777777" w:rsidR="006A3667" w:rsidRDefault="006A3667">
            <w:pPr>
              <w:jc w:val="right"/>
              <w:rPr>
                <w:rFonts w:ascii="宋体"/>
              </w:rPr>
            </w:pPr>
          </w:p>
        </w:tc>
      </w:tr>
      <w:tr w:rsidR="006A3667" w14:paraId="71D4A01C" w14:textId="77777777">
        <w:tc>
          <w:tcPr>
            <w:tcW w:w="0" w:type="auto"/>
            <w:gridSpan w:val="3"/>
            <w:shd w:val="clear" w:color="auto" w:fill="FFFFFF"/>
            <w:tcMar>
              <w:top w:w="40" w:type="dxa"/>
              <w:left w:w="155" w:type="dxa"/>
              <w:bottom w:w="40" w:type="dxa"/>
              <w:right w:w="20" w:type="dxa"/>
            </w:tcMar>
            <w:vAlign w:val="bottom"/>
          </w:tcPr>
          <w:p w14:paraId="71D49FFE" w14:textId="77777777" w:rsidR="006A3667" w:rsidRDefault="00045F32">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71D49FFF"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A00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0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02" w14:textId="77777777" w:rsidR="006A3667" w:rsidRDefault="00045F32">
            <w:pPr>
              <w:jc w:val="right"/>
              <w:textAlignment w:val="bottom"/>
            </w:pPr>
            <w:r>
              <w:rPr>
                <w:rFonts w:ascii="Arial" w:eastAsia="宋体" w:hAnsi="Arial" w:cs="Arial"/>
                <w:color w:val="000000"/>
                <w:sz w:val="14"/>
                <w:szCs w:val="14"/>
              </w:rPr>
              <w:t>1,432 </w:t>
            </w:r>
          </w:p>
        </w:tc>
        <w:tc>
          <w:tcPr>
            <w:tcW w:w="0" w:type="auto"/>
            <w:shd w:val="clear" w:color="auto" w:fill="FFFFFF"/>
            <w:tcMar>
              <w:top w:w="40" w:type="dxa"/>
              <w:left w:w="0" w:type="dxa"/>
              <w:bottom w:w="40" w:type="dxa"/>
              <w:right w:w="20" w:type="dxa"/>
            </w:tcMar>
            <w:vAlign w:val="bottom"/>
          </w:tcPr>
          <w:p w14:paraId="71D4A00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04"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05" w14:textId="77777777" w:rsidR="006A3667" w:rsidRDefault="00045F32">
            <w:pPr>
              <w:jc w:val="right"/>
              <w:textAlignment w:val="bottom"/>
            </w:pPr>
            <w:r>
              <w:rPr>
                <w:rFonts w:ascii="Arial" w:eastAsia="宋体" w:hAnsi="Arial" w:cs="Arial"/>
                <w:color w:val="000000"/>
                <w:sz w:val="14"/>
                <w:szCs w:val="14"/>
              </w:rPr>
              <w:t>1,432 </w:t>
            </w:r>
          </w:p>
        </w:tc>
        <w:tc>
          <w:tcPr>
            <w:tcW w:w="0" w:type="auto"/>
            <w:shd w:val="clear" w:color="auto" w:fill="FFFFFF"/>
            <w:tcMar>
              <w:top w:w="40" w:type="dxa"/>
              <w:left w:w="0" w:type="dxa"/>
              <w:bottom w:w="40" w:type="dxa"/>
              <w:right w:w="20" w:type="dxa"/>
            </w:tcMar>
            <w:vAlign w:val="bottom"/>
          </w:tcPr>
          <w:p w14:paraId="71D4A006"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07"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08"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A009"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0A"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0B"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71D4A00C"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0D"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0E" w14:textId="77777777" w:rsidR="006A3667" w:rsidRDefault="00045F32">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71D4A00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10"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11"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A012"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13"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14"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A015"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16"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1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71D4A018"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19"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01A" w14:textId="77777777" w:rsidR="006A3667" w:rsidRDefault="00045F32">
            <w:pPr>
              <w:jc w:val="right"/>
              <w:textAlignment w:val="bottom"/>
            </w:pPr>
            <w:r>
              <w:rPr>
                <w:rFonts w:ascii="Arial" w:eastAsia="宋体" w:hAnsi="Arial" w:cs="Arial"/>
                <w:color w:val="000000"/>
                <w:sz w:val="14"/>
                <w:szCs w:val="14"/>
              </w:rPr>
              <w:t>1,421 </w:t>
            </w:r>
          </w:p>
        </w:tc>
        <w:tc>
          <w:tcPr>
            <w:tcW w:w="0" w:type="auto"/>
            <w:shd w:val="clear" w:color="auto" w:fill="FFFFFF"/>
            <w:tcMar>
              <w:top w:w="40" w:type="dxa"/>
              <w:left w:w="0" w:type="dxa"/>
              <w:bottom w:w="40" w:type="dxa"/>
              <w:right w:w="20" w:type="dxa"/>
            </w:tcMar>
            <w:vAlign w:val="bottom"/>
          </w:tcPr>
          <w:p w14:paraId="71D4A01B" w14:textId="77777777" w:rsidR="006A3667" w:rsidRDefault="006A3667">
            <w:pPr>
              <w:jc w:val="right"/>
              <w:rPr>
                <w:rFonts w:ascii="宋体"/>
              </w:rPr>
            </w:pPr>
          </w:p>
        </w:tc>
      </w:tr>
      <w:tr w:rsidR="006A3667" w14:paraId="71D4A03B" w14:textId="77777777">
        <w:tc>
          <w:tcPr>
            <w:tcW w:w="0" w:type="auto"/>
            <w:gridSpan w:val="3"/>
            <w:shd w:val="clear" w:color="auto" w:fill="CCEEFF"/>
            <w:tcMar>
              <w:top w:w="40" w:type="dxa"/>
              <w:left w:w="155" w:type="dxa"/>
              <w:bottom w:w="40" w:type="dxa"/>
              <w:right w:w="20" w:type="dxa"/>
            </w:tcMar>
            <w:vAlign w:val="bottom"/>
          </w:tcPr>
          <w:p w14:paraId="71D4A01D" w14:textId="77777777" w:rsidR="006A3667" w:rsidRDefault="00045F32">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71D4A01E"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A01F"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20"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21"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A02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23"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24" w14:textId="77777777" w:rsidR="006A3667" w:rsidRDefault="00045F32">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71D4A025"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26"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27"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A028"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29"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2A"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A02B"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2C"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2D"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A02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2F"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30" w14:textId="77777777" w:rsidR="006A3667" w:rsidRDefault="00045F32">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71D4A031"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32"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33" w14:textId="77777777" w:rsidR="006A3667" w:rsidRDefault="00045F32">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71D4A034"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35"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36" w14:textId="77777777" w:rsidR="006A3667" w:rsidRDefault="00045F32">
            <w:pPr>
              <w:jc w:val="right"/>
              <w:textAlignment w:val="bottom"/>
            </w:pPr>
            <w:r>
              <w:rPr>
                <w:rFonts w:ascii="Arial" w:eastAsia="宋体" w:hAnsi="Arial" w:cs="Arial"/>
                <w:color w:val="000000"/>
                <w:sz w:val="14"/>
                <w:szCs w:val="14"/>
              </w:rPr>
              <w:t>53 </w:t>
            </w:r>
          </w:p>
        </w:tc>
        <w:tc>
          <w:tcPr>
            <w:tcW w:w="0" w:type="auto"/>
            <w:shd w:val="clear" w:color="auto" w:fill="CCEEFF"/>
            <w:tcMar>
              <w:top w:w="40" w:type="dxa"/>
              <w:left w:w="0" w:type="dxa"/>
              <w:bottom w:w="40" w:type="dxa"/>
              <w:right w:w="20" w:type="dxa"/>
            </w:tcMar>
            <w:vAlign w:val="bottom"/>
          </w:tcPr>
          <w:p w14:paraId="71D4A037"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038" w14:textId="77777777" w:rsidR="006A3667" w:rsidRDefault="006A3667">
            <w:pPr>
              <w:rPr>
                <w:rFonts w:ascii="宋体"/>
              </w:rPr>
            </w:pPr>
          </w:p>
        </w:tc>
        <w:tc>
          <w:tcPr>
            <w:tcW w:w="0" w:type="auto"/>
            <w:gridSpan w:val="2"/>
            <w:shd w:val="clear" w:color="auto" w:fill="CCEEFF"/>
            <w:tcMar>
              <w:top w:w="40" w:type="dxa"/>
              <w:left w:w="20" w:type="dxa"/>
              <w:bottom w:w="40" w:type="dxa"/>
              <w:right w:w="0" w:type="dxa"/>
            </w:tcMar>
            <w:vAlign w:val="bottom"/>
          </w:tcPr>
          <w:p w14:paraId="71D4A039" w14:textId="77777777" w:rsidR="006A3667" w:rsidRDefault="00045F32">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71D4A03A" w14:textId="77777777" w:rsidR="006A3667" w:rsidRDefault="006A3667">
            <w:pPr>
              <w:jc w:val="right"/>
              <w:rPr>
                <w:rFonts w:ascii="宋体"/>
              </w:rPr>
            </w:pPr>
          </w:p>
        </w:tc>
      </w:tr>
      <w:tr w:rsidR="00045F32" w14:paraId="71D4A064" w14:textId="77777777">
        <w:tc>
          <w:tcPr>
            <w:tcW w:w="0" w:type="auto"/>
            <w:gridSpan w:val="3"/>
            <w:shd w:val="clear" w:color="auto" w:fill="FFFFFF"/>
            <w:tcMar>
              <w:top w:w="40" w:type="dxa"/>
              <w:left w:w="20" w:type="dxa"/>
              <w:bottom w:w="40" w:type="dxa"/>
              <w:right w:w="20" w:type="dxa"/>
            </w:tcMar>
            <w:vAlign w:val="bottom"/>
          </w:tcPr>
          <w:p w14:paraId="71D4A03C" w14:textId="77777777" w:rsidR="006A3667" w:rsidRDefault="00045F32">
            <w:pPr>
              <w:textAlignment w:val="bottom"/>
            </w:pPr>
            <w:r>
              <w:rPr>
                <w:rFonts w:ascii="Arial" w:eastAsia="宋体" w:hAnsi="Arial" w:cs="Arial"/>
                <w:b/>
                <w:bCs/>
                <w:color w:val="000000"/>
                <w:sz w:val="14"/>
                <w:szCs w:val="14"/>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3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3E" w14:textId="77777777" w:rsidR="006A3667" w:rsidRDefault="00045F32">
            <w:pPr>
              <w:jc w:val="right"/>
              <w:textAlignment w:val="bottom"/>
            </w:pPr>
            <w:r>
              <w:rPr>
                <w:rFonts w:ascii="Arial" w:eastAsia="宋体" w:hAnsi="Arial" w:cs="Arial"/>
                <w:color w:val="000000"/>
                <w:sz w:val="14"/>
                <w:szCs w:val="14"/>
              </w:rPr>
              <w:t>4,996 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3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4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4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42" w14:textId="77777777" w:rsidR="006A3667" w:rsidRDefault="00045F32">
            <w:pPr>
              <w:jc w:val="right"/>
              <w:textAlignment w:val="bottom"/>
            </w:pPr>
            <w:r>
              <w:rPr>
                <w:rFonts w:ascii="Arial" w:eastAsia="宋体" w:hAnsi="Arial" w:cs="Arial"/>
                <w:color w:val="000000"/>
                <w:sz w:val="14"/>
                <w:szCs w:val="14"/>
              </w:rPr>
              <w:t>2,358 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4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44"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4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46" w14:textId="77777777" w:rsidR="006A3667" w:rsidRDefault="00045F32">
            <w:pPr>
              <w:jc w:val="right"/>
              <w:textAlignment w:val="bottom"/>
            </w:pPr>
            <w:r>
              <w:rPr>
                <w:rFonts w:ascii="Arial" w:eastAsia="宋体" w:hAnsi="Arial" w:cs="Arial"/>
                <w:color w:val="000000"/>
                <w:sz w:val="14"/>
                <w:szCs w:val="14"/>
              </w:rPr>
              <w:t>7,354 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4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4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4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4A" w14:textId="77777777" w:rsidR="006A3667" w:rsidRDefault="00045F32">
            <w:pPr>
              <w:jc w:val="right"/>
              <w:textAlignment w:val="bottom"/>
            </w:pPr>
            <w:r>
              <w:rPr>
                <w:rFonts w:ascii="Arial" w:eastAsia="宋体" w:hAnsi="Arial" w:cs="Arial"/>
                <w:color w:val="000000"/>
                <w:sz w:val="14"/>
                <w:szCs w:val="14"/>
              </w:rPr>
              <w:t>1,565 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4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4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4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4E" w14:textId="77777777" w:rsidR="006A3667" w:rsidRDefault="00045F32">
            <w:pPr>
              <w:jc w:val="right"/>
              <w:textAlignment w:val="bottom"/>
            </w:pPr>
            <w:r>
              <w:rPr>
                <w:rFonts w:ascii="Arial" w:eastAsia="宋体" w:hAnsi="Arial" w:cs="Arial"/>
                <w:color w:val="000000"/>
                <w:sz w:val="14"/>
                <w:szCs w:val="14"/>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4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5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5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52" w14:textId="77777777" w:rsidR="006A3667" w:rsidRDefault="00045F32">
            <w:pPr>
              <w:jc w:val="right"/>
              <w:textAlignment w:val="bottom"/>
            </w:pPr>
            <w:r>
              <w:rPr>
                <w:rFonts w:ascii="Arial" w:eastAsia="宋体" w:hAnsi="Arial" w:cs="Arial"/>
                <w:color w:val="000000"/>
                <w:sz w:val="14"/>
                <w:szCs w:val="14"/>
              </w:rPr>
              <w:t>1,567 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53"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54"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55"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56" w14:textId="77777777" w:rsidR="006A3667" w:rsidRDefault="00045F32">
            <w:pPr>
              <w:jc w:val="right"/>
              <w:textAlignment w:val="bottom"/>
            </w:pP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5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58"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59"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5A" w14:textId="77777777" w:rsidR="006A3667" w:rsidRDefault="00045F32">
            <w:pPr>
              <w:jc w:val="right"/>
              <w:textAlignment w:val="bottom"/>
            </w:pPr>
            <w:r>
              <w:rPr>
                <w:rFonts w:ascii="Arial" w:eastAsia="宋体" w:hAnsi="Arial" w:cs="Arial"/>
                <w:color w:val="000000"/>
                <w:sz w:val="14"/>
                <w:szCs w:val="14"/>
              </w:rPr>
              <w:t>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5B"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5C"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5D"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5E" w14:textId="77777777" w:rsidR="006A3667" w:rsidRDefault="00045F32">
            <w:pPr>
              <w:jc w:val="right"/>
              <w:textAlignment w:val="bottom"/>
            </w:pPr>
            <w:r>
              <w:rPr>
                <w:rFonts w:ascii="Arial" w:eastAsia="宋体" w:hAnsi="Arial" w:cs="Arial"/>
                <w:color w:val="000000"/>
                <w:sz w:val="14"/>
                <w:szCs w:val="14"/>
              </w:rPr>
              <w:t>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5F"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060" w14:textId="77777777" w:rsidR="006A3667" w:rsidRDefault="006A3667">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1D4A061" w14:textId="77777777" w:rsidR="006A3667" w:rsidRDefault="00045F32">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1D4A062" w14:textId="77777777" w:rsidR="006A3667" w:rsidRDefault="00045F32">
            <w:pPr>
              <w:jc w:val="right"/>
              <w:textAlignment w:val="bottom"/>
            </w:pPr>
            <w:r>
              <w:rPr>
                <w:rFonts w:ascii="Arial" w:eastAsia="宋体" w:hAnsi="Arial" w:cs="Arial"/>
                <w:color w:val="000000"/>
                <w:sz w:val="14"/>
                <w:szCs w:val="14"/>
              </w:rPr>
              <w:t>8,974 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1D4A063" w14:textId="77777777" w:rsidR="006A3667" w:rsidRDefault="006A3667">
            <w:pPr>
              <w:jc w:val="right"/>
              <w:rPr>
                <w:rFonts w:ascii="宋体"/>
              </w:rPr>
            </w:pPr>
          </w:p>
        </w:tc>
      </w:tr>
    </w:tbl>
    <w:p w14:paraId="71D4A065"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2185"/>
        <w:gridCol w:w="36"/>
        <w:gridCol w:w="51"/>
        <w:gridCol w:w="621"/>
        <w:gridCol w:w="36"/>
        <w:gridCol w:w="36"/>
        <w:gridCol w:w="36"/>
        <w:gridCol w:w="36"/>
        <w:gridCol w:w="36"/>
        <w:gridCol w:w="636"/>
        <w:gridCol w:w="36"/>
        <w:gridCol w:w="36"/>
        <w:gridCol w:w="36"/>
        <w:gridCol w:w="36"/>
        <w:gridCol w:w="36"/>
        <w:gridCol w:w="591"/>
        <w:gridCol w:w="36"/>
        <w:gridCol w:w="36"/>
        <w:gridCol w:w="36"/>
        <w:gridCol w:w="36"/>
        <w:gridCol w:w="36"/>
        <w:gridCol w:w="636"/>
        <w:gridCol w:w="36"/>
        <w:gridCol w:w="36"/>
        <w:gridCol w:w="36"/>
        <w:gridCol w:w="36"/>
        <w:gridCol w:w="36"/>
        <w:gridCol w:w="647"/>
        <w:gridCol w:w="36"/>
        <w:gridCol w:w="36"/>
        <w:gridCol w:w="36"/>
        <w:gridCol w:w="36"/>
        <w:gridCol w:w="36"/>
        <w:gridCol w:w="45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662"/>
        <w:gridCol w:w="36"/>
      </w:tblGrid>
      <w:tr w:rsidR="006A3667" w14:paraId="71D4A096" w14:textId="77777777">
        <w:tc>
          <w:tcPr>
            <w:tcW w:w="50" w:type="pct"/>
            <w:shd w:val="clear" w:color="auto" w:fill="auto"/>
            <w:vAlign w:val="bottom"/>
          </w:tcPr>
          <w:p w14:paraId="71D4A066" w14:textId="77777777" w:rsidR="006A3667" w:rsidRDefault="006A3667">
            <w:pPr>
              <w:rPr>
                <w:rFonts w:ascii="宋体"/>
              </w:rPr>
            </w:pPr>
          </w:p>
        </w:tc>
        <w:tc>
          <w:tcPr>
            <w:tcW w:w="1436" w:type="pct"/>
            <w:shd w:val="clear" w:color="auto" w:fill="auto"/>
            <w:vAlign w:val="bottom"/>
          </w:tcPr>
          <w:p w14:paraId="71D4A067" w14:textId="77777777" w:rsidR="006A3667" w:rsidRDefault="006A3667">
            <w:pPr>
              <w:rPr>
                <w:rFonts w:ascii="宋体"/>
              </w:rPr>
            </w:pPr>
          </w:p>
        </w:tc>
        <w:tc>
          <w:tcPr>
            <w:tcW w:w="5" w:type="pct"/>
            <w:shd w:val="clear" w:color="auto" w:fill="auto"/>
            <w:vAlign w:val="bottom"/>
          </w:tcPr>
          <w:p w14:paraId="71D4A068" w14:textId="77777777" w:rsidR="006A3667" w:rsidRDefault="006A3667">
            <w:pPr>
              <w:rPr>
                <w:rFonts w:ascii="宋体"/>
              </w:rPr>
            </w:pPr>
          </w:p>
        </w:tc>
        <w:tc>
          <w:tcPr>
            <w:tcW w:w="50" w:type="pct"/>
            <w:shd w:val="clear" w:color="auto" w:fill="auto"/>
            <w:vAlign w:val="bottom"/>
          </w:tcPr>
          <w:p w14:paraId="71D4A069" w14:textId="77777777" w:rsidR="006A3667" w:rsidRDefault="006A3667">
            <w:pPr>
              <w:rPr>
                <w:rFonts w:ascii="宋体"/>
              </w:rPr>
            </w:pPr>
          </w:p>
        </w:tc>
        <w:tc>
          <w:tcPr>
            <w:tcW w:w="420" w:type="pct"/>
            <w:shd w:val="clear" w:color="auto" w:fill="auto"/>
            <w:vAlign w:val="bottom"/>
          </w:tcPr>
          <w:p w14:paraId="71D4A06A" w14:textId="77777777" w:rsidR="006A3667" w:rsidRDefault="006A3667">
            <w:pPr>
              <w:rPr>
                <w:rFonts w:ascii="宋体"/>
              </w:rPr>
            </w:pPr>
          </w:p>
        </w:tc>
        <w:tc>
          <w:tcPr>
            <w:tcW w:w="5" w:type="pct"/>
            <w:shd w:val="clear" w:color="auto" w:fill="auto"/>
            <w:vAlign w:val="bottom"/>
          </w:tcPr>
          <w:p w14:paraId="71D4A06B" w14:textId="77777777" w:rsidR="006A3667" w:rsidRDefault="006A3667">
            <w:pPr>
              <w:rPr>
                <w:rFonts w:ascii="宋体"/>
              </w:rPr>
            </w:pPr>
          </w:p>
        </w:tc>
        <w:tc>
          <w:tcPr>
            <w:tcW w:w="5" w:type="pct"/>
            <w:shd w:val="clear" w:color="auto" w:fill="auto"/>
            <w:vAlign w:val="bottom"/>
          </w:tcPr>
          <w:p w14:paraId="71D4A06C" w14:textId="77777777" w:rsidR="006A3667" w:rsidRDefault="006A3667">
            <w:pPr>
              <w:rPr>
                <w:rFonts w:ascii="宋体"/>
              </w:rPr>
            </w:pPr>
          </w:p>
        </w:tc>
        <w:tc>
          <w:tcPr>
            <w:tcW w:w="26" w:type="pct"/>
            <w:shd w:val="clear" w:color="auto" w:fill="auto"/>
            <w:vAlign w:val="bottom"/>
          </w:tcPr>
          <w:p w14:paraId="71D4A06D" w14:textId="77777777" w:rsidR="006A3667" w:rsidRDefault="006A3667">
            <w:pPr>
              <w:rPr>
                <w:rFonts w:ascii="宋体"/>
              </w:rPr>
            </w:pPr>
          </w:p>
        </w:tc>
        <w:tc>
          <w:tcPr>
            <w:tcW w:w="5" w:type="pct"/>
            <w:shd w:val="clear" w:color="auto" w:fill="auto"/>
            <w:vAlign w:val="bottom"/>
          </w:tcPr>
          <w:p w14:paraId="71D4A06E" w14:textId="77777777" w:rsidR="006A3667" w:rsidRDefault="006A3667">
            <w:pPr>
              <w:rPr>
                <w:rFonts w:ascii="宋体"/>
              </w:rPr>
            </w:pPr>
          </w:p>
        </w:tc>
        <w:tc>
          <w:tcPr>
            <w:tcW w:w="50" w:type="pct"/>
            <w:shd w:val="clear" w:color="auto" w:fill="auto"/>
            <w:vAlign w:val="bottom"/>
          </w:tcPr>
          <w:p w14:paraId="71D4A06F" w14:textId="77777777" w:rsidR="006A3667" w:rsidRDefault="006A3667">
            <w:pPr>
              <w:rPr>
                <w:rFonts w:ascii="宋体"/>
              </w:rPr>
            </w:pPr>
          </w:p>
        </w:tc>
        <w:tc>
          <w:tcPr>
            <w:tcW w:w="434" w:type="pct"/>
            <w:shd w:val="clear" w:color="auto" w:fill="auto"/>
            <w:vAlign w:val="bottom"/>
          </w:tcPr>
          <w:p w14:paraId="71D4A070" w14:textId="77777777" w:rsidR="006A3667" w:rsidRDefault="006A3667">
            <w:pPr>
              <w:rPr>
                <w:rFonts w:ascii="宋体"/>
              </w:rPr>
            </w:pPr>
          </w:p>
        </w:tc>
        <w:tc>
          <w:tcPr>
            <w:tcW w:w="5" w:type="pct"/>
            <w:shd w:val="clear" w:color="auto" w:fill="auto"/>
            <w:vAlign w:val="bottom"/>
          </w:tcPr>
          <w:p w14:paraId="71D4A071" w14:textId="77777777" w:rsidR="006A3667" w:rsidRDefault="006A3667">
            <w:pPr>
              <w:rPr>
                <w:rFonts w:ascii="宋体"/>
              </w:rPr>
            </w:pPr>
          </w:p>
        </w:tc>
        <w:tc>
          <w:tcPr>
            <w:tcW w:w="5" w:type="pct"/>
            <w:shd w:val="clear" w:color="auto" w:fill="auto"/>
            <w:vAlign w:val="bottom"/>
          </w:tcPr>
          <w:p w14:paraId="71D4A072" w14:textId="77777777" w:rsidR="006A3667" w:rsidRDefault="006A3667">
            <w:pPr>
              <w:rPr>
                <w:rFonts w:ascii="宋体"/>
              </w:rPr>
            </w:pPr>
          </w:p>
        </w:tc>
        <w:tc>
          <w:tcPr>
            <w:tcW w:w="26" w:type="pct"/>
            <w:shd w:val="clear" w:color="auto" w:fill="auto"/>
            <w:vAlign w:val="bottom"/>
          </w:tcPr>
          <w:p w14:paraId="71D4A073" w14:textId="77777777" w:rsidR="006A3667" w:rsidRDefault="006A3667">
            <w:pPr>
              <w:rPr>
                <w:rFonts w:ascii="宋体"/>
              </w:rPr>
            </w:pPr>
          </w:p>
        </w:tc>
        <w:tc>
          <w:tcPr>
            <w:tcW w:w="5" w:type="pct"/>
            <w:shd w:val="clear" w:color="auto" w:fill="auto"/>
            <w:vAlign w:val="bottom"/>
          </w:tcPr>
          <w:p w14:paraId="71D4A074" w14:textId="77777777" w:rsidR="006A3667" w:rsidRDefault="006A3667">
            <w:pPr>
              <w:rPr>
                <w:rFonts w:ascii="宋体"/>
              </w:rPr>
            </w:pPr>
          </w:p>
        </w:tc>
        <w:tc>
          <w:tcPr>
            <w:tcW w:w="50" w:type="pct"/>
            <w:shd w:val="clear" w:color="auto" w:fill="auto"/>
            <w:vAlign w:val="bottom"/>
          </w:tcPr>
          <w:p w14:paraId="71D4A075" w14:textId="77777777" w:rsidR="006A3667" w:rsidRDefault="006A3667">
            <w:pPr>
              <w:rPr>
                <w:rFonts w:ascii="宋体"/>
              </w:rPr>
            </w:pPr>
          </w:p>
        </w:tc>
        <w:tc>
          <w:tcPr>
            <w:tcW w:w="405" w:type="pct"/>
            <w:shd w:val="clear" w:color="auto" w:fill="auto"/>
            <w:vAlign w:val="bottom"/>
          </w:tcPr>
          <w:p w14:paraId="71D4A076" w14:textId="77777777" w:rsidR="006A3667" w:rsidRDefault="006A3667">
            <w:pPr>
              <w:rPr>
                <w:rFonts w:ascii="宋体"/>
              </w:rPr>
            </w:pPr>
          </w:p>
        </w:tc>
        <w:tc>
          <w:tcPr>
            <w:tcW w:w="5" w:type="pct"/>
            <w:shd w:val="clear" w:color="auto" w:fill="auto"/>
            <w:vAlign w:val="bottom"/>
          </w:tcPr>
          <w:p w14:paraId="71D4A077" w14:textId="77777777" w:rsidR="006A3667" w:rsidRDefault="006A3667">
            <w:pPr>
              <w:rPr>
                <w:rFonts w:ascii="宋体"/>
              </w:rPr>
            </w:pPr>
          </w:p>
        </w:tc>
        <w:tc>
          <w:tcPr>
            <w:tcW w:w="5" w:type="pct"/>
            <w:shd w:val="clear" w:color="auto" w:fill="auto"/>
            <w:vAlign w:val="bottom"/>
          </w:tcPr>
          <w:p w14:paraId="71D4A078" w14:textId="77777777" w:rsidR="006A3667" w:rsidRDefault="006A3667">
            <w:pPr>
              <w:rPr>
                <w:rFonts w:ascii="宋体"/>
              </w:rPr>
            </w:pPr>
          </w:p>
        </w:tc>
        <w:tc>
          <w:tcPr>
            <w:tcW w:w="26" w:type="pct"/>
            <w:shd w:val="clear" w:color="auto" w:fill="auto"/>
            <w:vAlign w:val="bottom"/>
          </w:tcPr>
          <w:p w14:paraId="71D4A079" w14:textId="77777777" w:rsidR="006A3667" w:rsidRDefault="006A3667">
            <w:pPr>
              <w:rPr>
                <w:rFonts w:ascii="宋体"/>
              </w:rPr>
            </w:pPr>
          </w:p>
        </w:tc>
        <w:tc>
          <w:tcPr>
            <w:tcW w:w="5" w:type="pct"/>
            <w:shd w:val="clear" w:color="auto" w:fill="auto"/>
            <w:vAlign w:val="bottom"/>
          </w:tcPr>
          <w:p w14:paraId="71D4A07A" w14:textId="77777777" w:rsidR="006A3667" w:rsidRDefault="006A3667">
            <w:pPr>
              <w:rPr>
                <w:rFonts w:ascii="宋体"/>
              </w:rPr>
            </w:pPr>
          </w:p>
        </w:tc>
        <w:tc>
          <w:tcPr>
            <w:tcW w:w="50" w:type="pct"/>
            <w:shd w:val="clear" w:color="auto" w:fill="auto"/>
            <w:vAlign w:val="bottom"/>
          </w:tcPr>
          <w:p w14:paraId="71D4A07B" w14:textId="77777777" w:rsidR="006A3667" w:rsidRDefault="006A3667">
            <w:pPr>
              <w:rPr>
                <w:rFonts w:ascii="宋体"/>
              </w:rPr>
            </w:pPr>
          </w:p>
        </w:tc>
        <w:tc>
          <w:tcPr>
            <w:tcW w:w="434" w:type="pct"/>
            <w:shd w:val="clear" w:color="auto" w:fill="auto"/>
            <w:vAlign w:val="bottom"/>
          </w:tcPr>
          <w:p w14:paraId="71D4A07C" w14:textId="77777777" w:rsidR="006A3667" w:rsidRDefault="006A3667">
            <w:pPr>
              <w:rPr>
                <w:rFonts w:ascii="宋体"/>
              </w:rPr>
            </w:pPr>
          </w:p>
        </w:tc>
        <w:tc>
          <w:tcPr>
            <w:tcW w:w="5" w:type="pct"/>
            <w:shd w:val="clear" w:color="auto" w:fill="auto"/>
            <w:vAlign w:val="bottom"/>
          </w:tcPr>
          <w:p w14:paraId="71D4A07D" w14:textId="77777777" w:rsidR="006A3667" w:rsidRDefault="006A3667">
            <w:pPr>
              <w:rPr>
                <w:rFonts w:ascii="宋体"/>
              </w:rPr>
            </w:pPr>
          </w:p>
        </w:tc>
        <w:tc>
          <w:tcPr>
            <w:tcW w:w="5" w:type="pct"/>
            <w:shd w:val="clear" w:color="auto" w:fill="auto"/>
            <w:vAlign w:val="bottom"/>
          </w:tcPr>
          <w:p w14:paraId="71D4A07E" w14:textId="77777777" w:rsidR="006A3667" w:rsidRDefault="006A3667">
            <w:pPr>
              <w:rPr>
                <w:rFonts w:ascii="宋体"/>
              </w:rPr>
            </w:pPr>
          </w:p>
        </w:tc>
        <w:tc>
          <w:tcPr>
            <w:tcW w:w="26" w:type="pct"/>
            <w:shd w:val="clear" w:color="auto" w:fill="auto"/>
            <w:vAlign w:val="bottom"/>
          </w:tcPr>
          <w:p w14:paraId="71D4A07F" w14:textId="77777777" w:rsidR="006A3667" w:rsidRDefault="006A3667">
            <w:pPr>
              <w:rPr>
                <w:rFonts w:ascii="宋体"/>
              </w:rPr>
            </w:pPr>
          </w:p>
        </w:tc>
        <w:tc>
          <w:tcPr>
            <w:tcW w:w="5" w:type="pct"/>
            <w:shd w:val="clear" w:color="auto" w:fill="auto"/>
            <w:vAlign w:val="bottom"/>
          </w:tcPr>
          <w:p w14:paraId="71D4A080" w14:textId="77777777" w:rsidR="006A3667" w:rsidRDefault="006A3667">
            <w:pPr>
              <w:rPr>
                <w:rFonts w:ascii="宋体"/>
              </w:rPr>
            </w:pPr>
          </w:p>
        </w:tc>
        <w:tc>
          <w:tcPr>
            <w:tcW w:w="50" w:type="pct"/>
            <w:shd w:val="clear" w:color="auto" w:fill="auto"/>
            <w:vAlign w:val="bottom"/>
          </w:tcPr>
          <w:p w14:paraId="71D4A081" w14:textId="77777777" w:rsidR="006A3667" w:rsidRDefault="006A3667">
            <w:pPr>
              <w:rPr>
                <w:rFonts w:ascii="宋体"/>
              </w:rPr>
            </w:pPr>
          </w:p>
        </w:tc>
        <w:tc>
          <w:tcPr>
            <w:tcW w:w="442" w:type="pct"/>
            <w:shd w:val="clear" w:color="auto" w:fill="auto"/>
            <w:vAlign w:val="bottom"/>
          </w:tcPr>
          <w:p w14:paraId="71D4A082" w14:textId="77777777" w:rsidR="006A3667" w:rsidRDefault="006A3667">
            <w:pPr>
              <w:rPr>
                <w:rFonts w:ascii="宋体"/>
              </w:rPr>
            </w:pPr>
          </w:p>
        </w:tc>
        <w:tc>
          <w:tcPr>
            <w:tcW w:w="5" w:type="pct"/>
            <w:shd w:val="clear" w:color="auto" w:fill="auto"/>
            <w:vAlign w:val="bottom"/>
          </w:tcPr>
          <w:p w14:paraId="71D4A083" w14:textId="77777777" w:rsidR="006A3667" w:rsidRDefault="006A3667">
            <w:pPr>
              <w:rPr>
                <w:rFonts w:ascii="宋体"/>
              </w:rPr>
            </w:pPr>
          </w:p>
        </w:tc>
        <w:tc>
          <w:tcPr>
            <w:tcW w:w="5" w:type="pct"/>
            <w:shd w:val="clear" w:color="auto" w:fill="auto"/>
            <w:vAlign w:val="bottom"/>
          </w:tcPr>
          <w:p w14:paraId="71D4A084" w14:textId="77777777" w:rsidR="006A3667" w:rsidRDefault="006A3667">
            <w:pPr>
              <w:rPr>
                <w:rFonts w:ascii="宋体"/>
              </w:rPr>
            </w:pPr>
          </w:p>
        </w:tc>
        <w:tc>
          <w:tcPr>
            <w:tcW w:w="26" w:type="pct"/>
            <w:shd w:val="clear" w:color="auto" w:fill="auto"/>
            <w:vAlign w:val="bottom"/>
          </w:tcPr>
          <w:p w14:paraId="71D4A085" w14:textId="77777777" w:rsidR="006A3667" w:rsidRDefault="006A3667">
            <w:pPr>
              <w:rPr>
                <w:rFonts w:ascii="宋体"/>
              </w:rPr>
            </w:pPr>
          </w:p>
        </w:tc>
        <w:tc>
          <w:tcPr>
            <w:tcW w:w="5" w:type="pct"/>
            <w:shd w:val="clear" w:color="auto" w:fill="auto"/>
            <w:vAlign w:val="bottom"/>
          </w:tcPr>
          <w:p w14:paraId="71D4A086" w14:textId="77777777" w:rsidR="006A3667" w:rsidRDefault="006A3667">
            <w:pPr>
              <w:rPr>
                <w:rFonts w:ascii="宋体"/>
              </w:rPr>
            </w:pPr>
          </w:p>
        </w:tc>
        <w:tc>
          <w:tcPr>
            <w:tcW w:w="50" w:type="pct"/>
            <w:shd w:val="clear" w:color="auto" w:fill="auto"/>
            <w:vAlign w:val="bottom"/>
          </w:tcPr>
          <w:p w14:paraId="71D4A087" w14:textId="77777777" w:rsidR="006A3667" w:rsidRDefault="006A3667">
            <w:pPr>
              <w:rPr>
                <w:rFonts w:ascii="宋体"/>
              </w:rPr>
            </w:pPr>
          </w:p>
        </w:tc>
        <w:tc>
          <w:tcPr>
            <w:tcW w:w="317" w:type="pct"/>
            <w:shd w:val="clear" w:color="auto" w:fill="auto"/>
            <w:vAlign w:val="bottom"/>
          </w:tcPr>
          <w:p w14:paraId="71D4A088" w14:textId="77777777" w:rsidR="006A3667" w:rsidRDefault="006A3667">
            <w:pPr>
              <w:rPr>
                <w:rFonts w:ascii="宋体"/>
              </w:rPr>
            </w:pPr>
          </w:p>
        </w:tc>
        <w:tc>
          <w:tcPr>
            <w:tcW w:w="5" w:type="pct"/>
            <w:shd w:val="clear" w:color="auto" w:fill="auto"/>
            <w:vAlign w:val="bottom"/>
          </w:tcPr>
          <w:p w14:paraId="71D4A089" w14:textId="77777777" w:rsidR="006A3667" w:rsidRDefault="006A3667">
            <w:pPr>
              <w:rPr>
                <w:rFonts w:ascii="宋体"/>
              </w:rPr>
            </w:pPr>
          </w:p>
        </w:tc>
        <w:tc>
          <w:tcPr>
            <w:tcW w:w="5" w:type="pct"/>
            <w:shd w:val="clear" w:color="auto" w:fill="auto"/>
            <w:vAlign w:val="bottom"/>
          </w:tcPr>
          <w:p w14:paraId="71D4A08A" w14:textId="77777777" w:rsidR="006A3667" w:rsidRDefault="006A3667">
            <w:pPr>
              <w:rPr>
                <w:rFonts w:ascii="宋体"/>
              </w:rPr>
            </w:pPr>
          </w:p>
        </w:tc>
        <w:tc>
          <w:tcPr>
            <w:tcW w:w="26" w:type="pct"/>
            <w:shd w:val="clear" w:color="auto" w:fill="auto"/>
            <w:vAlign w:val="bottom"/>
          </w:tcPr>
          <w:p w14:paraId="71D4A08B" w14:textId="77777777" w:rsidR="006A3667" w:rsidRDefault="006A3667">
            <w:pPr>
              <w:rPr>
                <w:rFonts w:ascii="宋体"/>
              </w:rPr>
            </w:pPr>
          </w:p>
        </w:tc>
        <w:tc>
          <w:tcPr>
            <w:tcW w:w="5" w:type="pct"/>
            <w:shd w:val="clear" w:color="auto" w:fill="auto"/>
            <w:vAlign w:val="bottom"/>
          </w:tcPr>
          <w:p w14:paraId="71D4A08C" w14:textId="77777777" w:rsidR="006A3667" w:rsidRDefault="006A3667">
            <w:pPr>
              <w:rPr>
                <w:rFonts w:ascii="宋体"/>
              </w:rPr>
            </w:pPr>
          </w:p>
        </w:tc>
        <w:tc>
          <w:tcPr>
            <w:tcW w:w="0" w:type="auto"/>
            <w:gridSpan w:val="3"/>
            <w:shd w:val="clear" w:color="auto" w:fill="auto"/>
            <w:vAlign w:val="bottom"/>
          </w:tcPr>
          <w:p w14:paraId="71D4A08D" w14:textId="77777777" w:rsidR="006A3667" w:rsidRDefault="006A3667">
            <w:pPr>
              <w:rPr>
                <w:rFonts w:ascii="宋体"/>
                <w:vanish/>
              </w:rPr>
            </w:pPr>
          </w:p>
        </w:tc>
        <w:tc>
          <w:tcPr>
            <w:tcW w:w="0" w:type="auto"/>
            <w:gridSpan w:val="3"/>
            <w:shd w:val="clear" w:color="auto" w:fill="auto"/>
            <w:vAlign w:val="bottom"/>
          </w:tcPr>
          <w:p w14:paraId="71D4A08E" w14:textId="77777777" w:rsidR="006A3667" w:rsidRDefault="006A3667">
            <w:pPr>
              <w:rPr>
                <w:rFonts w:ascii="宋体"/>
                <w:vanish/>
              </w:rPr>
            </w:pPr>
          </w:p>
        </w:tc>
        <w:tc>
          <w:tcPr>
            <w:tcW w:w="0" w:type="auto"/>
            <w:gridSpan w:val="3"/>
            <w:shd w:val="clear" w:color="auto" w:fill="auto"/>
            <w:vAlign w:val="bottom"/>
          </w:tcPr>
          <w:p w14:paraId="71D4A08F" w14:textId="77777777" w:rsidR="006A3667" w:rsidRDefault="006A3667">
            <w:pPr>
              <w:rPr>
                <w:rFonts w:ascii="宋体"/>
                <w:vanish/>
              </w:rPr>
            </w:pPr>
          </w:p>
        </w:tc>
        <w:tc>
          <w:tcPr>
            <w:tcW w:w="0" w:type="auto"/>
            <w:gridSpan w:val="3"/>
            <w:shd w:val="clear" w:color="auto" w:fill="auto"/>
            <w:vAlign w:val="bottom"/>
          </w:tcPr>
          <w:p w14:paraId="71D4A090" w14:textId="77777777" w:rsidR="006A3667" w:rsidRDefault="006A3667">
            <w:pPr>
              <w:rPr>
                <w:rFonts w:ascii="宋体"/>
                <w:vanish/>
              </w:rPr>
            </w:pPr>
          </w:p>
        </w:tc>
        <w:tc>
          <w:tcPr>
            <w:tcW w:w="0" w:type="auto"/>
            <w:gridSpan w:val="3"/>
            <w:shd w:val="clear" w:color="auto" w:fill="auto"/>
            <w:vAlign w:val="bottom"/>
          </w:tcPr>
          <w:p w14:paraId="71D4A091" w14:textId="77777777" w:rsidR="006A3667" w:rsidRDefault="006A3667">
            <w:pPr>
              <w:rPr>
                <w:rFonts w:ascii="宋体"/>
                <w:vanish/>
              </w:rPr>
            </w:pPr>
          </w:p>
        </w:tc>
        <w:tc>
          <w:tcPr>
            <w:tcW w:w="0" w:type="auto"/>
            <w:gridSpan w:val="3"/>
            <w:shd w:val="clear" w:color="auto" w:fill="auto"/>
            <w:vAlign w:val="bottom"/>
          </w:tcPr>
          <w:p w14:paraId="71D4A092" w14:textId="77777777" w:rsidR="006A3667" w:rsidRDefault="006A3667">
            <w:pPr>
              <w:rPr>
                <w:rFonts w:ascii="宋体"/>
                <w:vanish/>
              </w:rPr>
            </w:pPr>
          </w:p>
        </w:tc>
        <w:tc>
          <w:tcPr>
            <w:tcW w:w="50" w:type="pct"/>
            <w:shd w:val="clear" w:color="auto" w:fill="auto"/>
            <w:vAlign w:val="bottom"/>
          </w:tcPr>
          <w:p w14:paraId="71D4A093" w14:textId="77777777" w:rsidR="006A3667" w:rsidRDefault="006A3667">
            <w:pPr>
              <w:rPr>
                <w:rFonts w:ascii="宋体"/>
              </w:rPr>
            </w:pPr>
          </w:p>
        </w:tc>
        <w:tc>
          <w:tcPr>
            <w:tcW w:w="449" w:type="pct"/>
            <w:shd w:val="clear" w:color="auto" w:fill="auto"/>
            <w:vAlign w:val="bottom"/>
          </w:tcPr>
          <w:p w14:paraId="71D4A094" w14:textId="77777777" w:rsidR="006A3667" w:rsidRDefault="006A3667">
            <w:pPr>
              <w:rPr>
                <w:rFonts w:ascii="宋体"/>
              </w:rPr>
            </w:pPr>
          </w:p>
        </w:tc>
        <w:tc>
          <w:tcPr>
            <w:tcW w:w="5" w:type="pct"/>
            <w:shd w:val="clear" w:color="auto" w:fill="auto"/>
            <w:vAlign w:val="bottom"/>
          </w:tcPr>
          <w:p w14:paraId="71D4A095" w14:textId="77777777" w:rsidR="006A3667" w:rsidRDefault="006A3667">
            <w:pPr>
              <w:rPr>
                <w:rFonts w:ascii="宋体"/>
              </w:rPr>
            </w:pPr>
          </w:p>
        </w:tc>
      </w:tr>
      <w:tr w:rsidR="006A3667" w14:paraId="71D4A0CF" w14:textId="77777777">
        <w:trPr>
          <w:hidden/>
        </w:trPr>
        <w:tc>
          <w:tcPr>
            <w:tcW w:w="0" w:type="auto"/>
            <w:gridSpan w:val="3"/>
            <w:shd w:val="clear" w:color="auto" w:fill="auto"/>
            <w:vAlign w:val="bottom"/>
          </w:tcPr>
          <w:p w14:paraId="71D4A097" w14:textId="77777777" w:rsidR="006A3667" w:rsidRDefault="006A3667">
            <w:pPr>
              <w:rPr>
                <w:rFonts w:ascii="宋体"/>
                <w:vanish/>
              </w:rPr>
            </w:pPr>
          </w:p>
        </w:tc>
        <w:tc>
          <w:tcPr>
            <w:tcW w:w="0" w:type="auto"/>
            <w:gridSpan w:val="3"/>
            <w:shd w:val="clear" w:color="auto" w:fill="auto"/>
            <w:vAlign w:val="bottom"/>
          </w:tcPr>
          <w:p w14:paraId="71D4A098" w14:textId="77777777" w:rsidR="006A3667" w:rsidRDefault="006A3667">
            <w:pPr>
              <w:rPr>
                <w:rFonts w:ascii="宋体"/>
                <w:vanish/>
              </w:rPr>
            </w:pPr>
          </w:p>
        </w:tc>
        <w:tc>
          <w:tcPr>
            <w:tcW w:w="0" w:type="auto"/>
            <w:shd w:val="clear" w:color="auto" w:fill="auto"/>
            <w:vAlign w:val="bottom"/>
          </w:tcPr>
          <w:p w14:paraId="71D4A099" w14:textId="77777777" w:rsidR="006A3667" w:rsidRDefault="006A3667">
            <w:pPr>
              <w:rPr>
                <w:rFonts w:ascii="宋体"/>
              </w:rPr>
            </w:pPr>
          </w:p>
        </w:tc>
        <w:tc>
          <w:tcPr>
            <w:tcW w:w="0" w:type="auto"/>
            <w:shd w:val="clear" w:color="auto" w:fill="auto"/>
            <w:vAlign w:val="bottom"/>
          </w:tcPr>
          <w:p w14:paraId="71D4A09A" w14:textId="77777777" w:rsidR="006A3667" w:rsidRDefault="006A3667">
            <w:pPr>
              <w:rPr>
                <w:rFonts w:ascii="宋体"/>
              </w:rPr>
            </w:pPr>
          </w:p>
        </w:tc>
        <w:tc>
          <w:tcPr>
            <w:tcW w:w="0" w:type="auto"/>
            <w:shd w:val="clear" w:color="auto" w:fill="auto"/>
            <w:vAlign w:val="bottom"/>
          </w:tcPr>
          <w:p w14:paraId="71D4A09B" w14:textId="77777777" w:rsidR="006A3667" w:rsidRDefault="006A3667">
            <w:pPr>
              <w:rPr>
                <w:rFonts w:ascii="宋体"/>
              </w:rPr>
            </w:pPr>
          </w:p>
        </w:tc>
        <w:tc>
          <w:tcPr>
            <w:tcW w:w="0" w:type="auto"/>
            <w:shd w:val="clear" w:color="auto" w:fill="auto"/>
            <w:vAlign w:val="bottom"/>
          </w:tcPr>
          <w:p w14:paraId="71D4A09C" w14:textId="77777777" w:rsidR="006A3667" w:rsidRDefault="006A3667">
            <w:pPr>
              <w:rPr>
                <w:rFonts w:ascii="宋体"/>
              </w:rPr>
            </w:pPr>
          </w:p>
        </w:tc>
        <w:tc>
          <w:tcPr>
            <w:tcW w:w="0" w:type="auto"/>
            <w:shd w:val="clear" w:color="auto" w:fill="auto"/>
            <w:vAlign w:val="bottom"/>
          </w:tcPr>
          <w:p w14:paraId="71D4A09D" w14:textId="77777777" w:rsidR="006A3667" w:rsidRDefault="006A3667">
            <w:pPr>
              <w:rPr>
                <w:rFonts w:ascii="宋体"/>
              </w:rPr>
            </w:pPr>
          </w:p>
        </w:tc>
        <w:tc>
          <w:tcPr>
            <w:tcW w:w="0" w:type="auto"/>
            <w:shd w:val="clear" w:color="auto" w:fill="auto"/>
            <w:vAlign w:val="bottom"/>
          </w:tcPr>
          <w:p w14:paraId="71D4A09E" w14:textId="77777777" w:rsidR="006A3667" w:rsidRDefault="006A3667">
            <w:pPr>
              <w:rPr>
                <w:rFonts w:ascii="宋体"/>
              </w:rPr>
            </w:pPr>
          </w:p>
        </w:tc>
        <w:tc>
          <w:tcPr>
            <w:tcW w:w="0" w:type="auto"/>
            <w:shd w:val="clear" w:color="auto" w:fill="auto"/>
            <w:vAlign w:val="bottom"/>
          </w:tcPr>
          <w:p w14:paraId="71D4A09F" w14:textId="77777777" w:rsidR="006A3667" w:rsidRDefault="006A3667">
            <w:pPr>
              <w:rPr>
                <w:rFonts w:ascii="宋体"/>
              </w:rPr>
            </w:pPr>
          </w:p>
        </w:tc>
        <w:tc>
          <w:tcPr>
            <w:tcW w:w="0" w:type="auto"/>
            <w:shd w:val="clear" w:color="auto" w:fill="auto"/>
            <w:vAlign w:val="bottom"/>
          </w:tcPr>
          <w:p w14:paraId="71D4A0A0" w14:textId="77777777" w:rsidR="006A3667" w:rsidRDefault="006A3667">
            <w:pPr>
              <w:rPr>
                <w:rFonts w:ascii="宋体"/>
              </w:rPr>
            </w:pPr>
          </w:p>
        </w:tc>
        <w:tc>
          <w:tcPr>
            <w:tcW w:w="0" w:type="auto"/>
            <w:shd w:val="clear" w:color="auto" w:fill="auto"/>
            <w:vAlign w:val="bottom"/>
          </w:tcPr>
          <w:p w14:paraId="71D4A0A1" w14:textId="77777777" w:rsidR="006A3667" w:rsidRDefault="006A3667">
            <w:pPr>
              <w:rPr>
                <w:rFonts w:ascii="宋体"/>
              </w:rPr>
            </w:pPr>
          </w:p>
        </w:tc>
        <w:tc>
          <w:tcPr>
            <w:tcW w:w="0" w:type="auto"/>
            <w:shd w:val="clear" w:color="auto" w:fill="auto"/>
            <w:vAlign w:val="bottom"/>
          </w:tcPr>
          <w:p w14:paraId="71D4A0A2" w14:textId="77777777" w:rsidR="006A3667" w:rsidRDefault="006A3667">
            <w:pPr>
              <w:rPr>
                <w:rFonts w:ascii="宋体"/>
              </w:rPr>
            </w:pPr>
          </w:p>
        </w:tc>
        <w:tc>
          <w:tcPr>
            <w:tcW w:w="0" w:type="auto"/>
            <w:shd w:val="clear" w:color="auto" w:fill="auto"/>
            <w:vAlign w:val="bottom"/>
          </w:tcPr>
          <w:p w14:paraId="71D4A0A3" w14:textId="77777777" w:rsidR="006A3667" w:rsidRDefault="006A3667">
            <w:pPr>
              <w:rPr>
                <w:rFonts w:ascii="宋体"/>
              </w:rPr>
            </w:pPr>
          </w:p>
        </w:tc>
        <w:tc>
          <w:tcPr>
            <w:tcW w:w="0" w:type="auto"/>
            <w:shd w:val="clear" w:color="auto" w:fill="auto"/>
            <w:vAlign w:val="bottom"/>
          </w:tcPr>
          <w:p w14:paraId="71D4A0A4" w14:textId="77777777" w:rsidR="006A3667" w:rsidRDefault="006A3667">
            <w:pPr>
              <w:rPr>
                <w:rFonts w:ascii="宋体"/>
              </w:rPr>
            </w:pPr>
          </w:p>
        </w:tc>
        <w:tc>
          <w:tcPr>
            <w:tcW w:w="0" w:type="auto"/>
            <w:shd w:val="clear" w:color="auto" w:fill="auto"/>
            <w:vAlign w:val="bottom"/>
          </w:tcPr>
          <w:p w14:paraId="71D4A0A5" w14:textId="77777777" w:rsidR="006A3667" w:rsidRDefault="006A3667">
            <w:pPr>
              <w:rPr>
                <w:rFonts w:ascii="宋体"/>
              </w:rPr>
            </w:pPr>
          </w:p>
        </w:tc>
        <w:tc>
          <w:tcPr>
            <w:tcW w:w="0" w:type="auto"/>
            <w:shd w:val="clear" w:color="auto" w:fill="auto"/>
            <w:vAlign w:val="bottom"/>
          </w:tcPr>
          <w:p w14:paraId="71D4A0A6" w14:textId="77777777" w:rsidR="006A3667" w:rsidRDefault="006A3667">
            <w:pPr>
              <w:rPr>
                <w:rFonts w:ascii="宋体"/>
              </w:rPr>
            </w:pPr>
          </w:p>
        </w:tc>
        <w:tc>
          <w:tcPr>
            <w:tcW w:w="0" w:type="auto"/>
            <w:shd w:val="clear" w:color="auto" w:fill="auto"/>
            <w:vAlign w:val="bottom"/>
          </w:tcPr>
          <w:p w14:paraId="71D4A0A7" w14:textId="77777777" w:rsidR="006A3667" w:rsidRDefault="006A3667">
            <w:pPr>
              <w:rPr>
                <w:rFonts w:ascii="宋体"/>
              </w:rPr>
            </w:pPr>
          </w:p>
        </w:tc>
        <w:tc>
          <w:tcPr>
            <w:tcW w:w="0" w:type="auto"/>
            <w:shd w:val="clear" w:color="auto" w:fill="auto"/>
            <w:vAlign w:val="bottom"/>
          </w:tcPr>
          <w:p w14:paraId="71D4A0A8" w14:textId="77777777" w:rsidR="006A3667" w:rsidRDefault="006A3667">
            <w:pPr>
              <w:rPr>
                <w:rFonts w:ascii="宋体"/>
              </w:rPr>
            </w:pPr>
          </w:p>
        </w:tc>
        <w:tc>
          <w:tcPr>
            <w:tcW w:w="0" w:type="auto"/>
            <w:shd w:val="clear" w:color="auto" w:fill="auto"/>
            <w:vAlign w:val="bottom"/>
          </w:tcPr>
          <w:p w14:paraId="71D4A0A9" w14:textId="77777777" w:rsidR="006A3667" w:rsidRDefault="006A3667">
            <w:pPr>
              <w:rPr>
                <w:rFonts w:ascii="宋体"/>
              </w:rPr>
            </w:pPr>
          </w:p>
        </w:tc>
        <w:tc>
          <w:tcPr>
            <w:tcW w:w="0" w:type="auto"/>
            <w:shd w:val="clear" w:color="auto" w:fill="auto"/>
            <w:vAlign w:val="bottom"/>
          </w:tcPr>
          <w:p w14:paraId="71D4A0AA" w14:textId="77777777" w:rsidR="006A3667" w:rsidRDefault="006A3667">
            <w:pPr>
              <w:rPr>
                <w:rFonts w:ascii="宋体"/>
              </w:rPr>
            </w:pPr>
          </w:p>
        </w:tc>
        <w:tc>
          <w:tcPr>
            <w:tcW w:w="0" w:type="auto"/>
            <w:shd w:val="clear" w:color="auto" w:fill="auto"/>
            <w:vAlign w:val="bottom"/>
          </w:tcPr>
          <w:p w14:paraId="71D4A0AB" w14:textId="77777777" w:rsidR="006A3667" w:rsidRDefault="006A3667">
            <w:pPr>
              <w:rPr>
                <w:rFonts w:ascii="宋体"/>
              </w:rPr>
            </w:pPr>
          </w:p>
        </w:tc>
        <w:tc>
          <w:tcPr>
            <w:tcW w:w="0" w:type="auto"/>
            <w:shd w:val="clear" w:color="auto" w:fill="auto"/>
            <w:vAlign w:val="bottom"/>
          </w:tcPr>
          <w:p w14:paraId="71D4A0AC" w14:textId="77777777" w:rsidR="006A3667" w:rsidRDefault="006A3667">
            <w:pPr>
              <w:rPr>
                <w:rFonts w:ascii="宋体"/>
              </w:rPr>
            </w:pPr>
          </w:p>
        </w:tc>
        <w:tc>
          <w:tcPr>
            <w:tcW w:w="0" w:type="auto"/>
            <w:shd w:val="clear" w:color="auto" w:fill="auto"/>
            <w:vAlign w:val="bottom"/>
          </w:tcPr>
          <w:p w14:paraId="71D4A0AD" w14:textId="77777777" w:rsidR="006A3667" w:rsidRDefault="006A3667">
            <w:pPr>
              <w:rPr>
                <w:rFonts w:ascii="宋体"/>
              </w:rPr>
            </w:pPr>
          </w:p>
        </w:tc>
        <w:tc>
          <w:tcPr>
            <w:tcW w:w="0" w:type="auto"/>
            <w:shd w:val="clear" w:color="auto" w:fill="auto"/>
            <w:vAlign w:val="bottom"/>
          </w:tcPr>
          <w:p w14:paraId="71D4A0AE" w14:textId="77777777" w:rsidR="006A3667" w:rsidRDefault="006A3667">
            <w:pPr>
              <w:rPr>
                <w:rFonts w:ascii="宋体"/>
              </w:rPr>
            </w:pPr>
          </w:p>
        </w:tc>
        <w:tc>
          <w:tcPr>
            <w:tcW w:w="0" w:type="auto"/>
            <w:shd w:val="clear" w:color="auto" w:fill="auto"/>
            <w:vAlign w:val="bottom"/>
          </w:tcPr>
          <w:p w14:paraId="71D4A0AF" w14:textId="77777777" w:rsidR="006A3667" w:rsidRDefault="006A3667">
            <w:pPr>
              <w:rPr>
                <w:rFonts w:ascii="宋体"/>
              </w:rPr>
            </w:pPr>
          </w:p>
        </w:tc>
        <w:tc>
          <w:tcPr>
            <w:tcW w:w="0" w:type="auto"/>
            <w:shd w:val="clear" w:color="auto" w:fill="auto"/>
            <w:vAlign w:val="bottom"/>
          </w:tcPr>
          <w:p w14:paraId="71D4A0B0" w14:textId="77777777" w:rsidR="006A3667" w:rsidRDefault="006A3667">
            <w:pPr>
              <w:rPr>
                <w:rFonts w:ascii="宋体"/>
              </w:rPr>
            </w:pPr>
          </w:p>
        </w:tc>
        <w:tc>
          <w:tcPr>
            <w:tcW w:w="0" w:type="auto"/>
            <w:shd w:val="clear" w:color="auto" w:fill="auto"/>
            <w:vAlign w:val="bottom"/>
          </w:tcPr>
          <w:p w14:paraId="71D4A0B1" w14:textId="77777777" w:rsidR="006A3667" w:rsidRDefault="006A3667">
            <w:pPr>
              <w:rPr>
                <w:rFonts w:ascii="宋体"/>
              </w:rPr>
            </w:pPr>
          </w:p>
        </w:tc>
        <w:tc>
          <w:tcPr>
            <w:tcW w:w="0" w:type="auto"/>
            <w:shd w:val="clear" w:color="auto" w:fill="auto"/>
            <w:vAlign w:val="bottom"/>
          </w:tcPr>
          <w:p w14:paraId="71D4A0B2" w14:textId="77777777" w:rsidR="006A3667" w:rsidRDefault="006A3667">
            <w:pPr>
              <w:rPr>
                <w:rFonts w:ascii="宋体"/>
              </w:rPr>
            </w:pPr>
          </w:p>
        </w:tc>
        <w:tc>
          <w:tcPr>
            <w:tcW w:w="0" w:type="auto"/>
            <w:shd w:val="clear" w:color="auto" w:fill="auto"/>
            <w:vAlign w:val="bottom"/>
          </w:tcPr>
          <w:p w14:paraId="71D4A0B3" w14:textId="77777777" w:rsidR="006A3667" w:rsidRDefault="006A3667">
            <w:pPr>
              <w:rPr>
                <w:rFonts w:ascii="宋体"/>
              </w:rPr>
            </w:pPr>
          </w:p>
        </w:tc>
        <w:tc>
          <w:tcPr>
            <w:tcW w:w="0" w:type="auto"/>
            <w:shd w:val="clear" w:color="auto" w:fill="auto"/>
            <w:vAlign w:val="bottom"/>
          </w:tcPr>
          <w:p w14:paraId="71D4A0B4" w14:textId="77777777" w:rsidR="006A3667" w:rsidRDefault="006A3667">
            <w:pPr>
              <w:rPr>
                <w:rFonts w:ascii="宋体"/>
              </w:rPr>
            </w:pPr>
          </w:p>
        </w:tc>
        <w:tc>
          <w:tcPr>
            <w:tcW w:w="0" w:type="auto"/>
            <w:shd w:val="clear" w:color="auto" w:fill="auto"/>
            <w:vAlign w:val="bottom"/>
          </w:tcPr>
          <w:p w14:paraId="71D4A0B5" w14:textId="77777777" w:rsidR="006A3667" w:rsidRDefault="006A3667">
            <w:pPr>
              <w:rPr>
                <w:rFonts w:ascii="宋体"/>
              </w:rPr>
            </w:pPr>
          </w:p>
        </w:tc>
        <w:tc>
          <w:tcPr>
            <w:tcW w:w="0" w:type="auto"/>
            <w:shd w:val="clear" w:color="auto" w:fill="auto"/>
            <w:vAlign w:val="bottom"/>
          </w:tcPr>
          <w:p w14:paraId="71D4A0B6" w14:textId="77777777" w:rsidR="006A3667" w:rsidRDefault="006A3667">
            <w:pPr>
              <w:rPr>
                <w:rFonts w:ascii="宋体"/>
              </w:rPr>
            </w:pPr>
          </w:p>
        </w:tc>
        <w:tc>
          <w:tcPr>
            <w:tcW w:w="0" w:type="auto"/>
            <w:shd w:val="clear" w:color="auto" w:fill="auto"/>
            <w:vAlign w:val="bottom"/>
          </w:tcPr>
          <w:p w14:paraId="71D4A0B7" w14:textId="77777777" w:rsidR="006A3667" w:rsidRDefault="006A3667">
            <w:pPr>
              <w:rPr>
                <w:rFonts w:ascii="宋体"/>
              </w:rPr>
            </w:pPr>
          </w:p>
        </w:tc>
        <w:tc>
          <w:tcPr>
            <w:tcW w:w="0" w:type="auto"/>
            <w:shd w:val="clear" w:color="auto" w:fill="auto"/>
            <w:vAlign w:val="bottom"/>
          </w:tcPr>
          <w:p w14:paraId="71D4A0B8" w14:textId="77777777" w:rsidR="006A3667" w:rsidRDefault="006A3667">
            <w:pPr>
              <w:rPr>
                <w:rFonts w:ascii="宋体"/>
              </w:rPr>
            </w:pPr>
          </w:p>
        </w:tc>
        <w:tc>
          <w:tcPr>
            <w:tcW w:w="0" w:type="auto"/>
            <w:shd w:val="clear" w:color="auto" w:fill="auto"/>
            <w:vAlign w:val="bottom"/>
          </w:tcPr>
          <w:p w14:paraId="71D4A0B9" w14:textId="77777777" w:rsidR="006A3667" w:rsidRDefault="006A3667">
            <w:pPr>
              <w:rPr>
                <w:rFonts w:ascii="宋体"/>
              </w:rPr>
            </w:pPr>
          </w:p>
        </w:tc>
        <w:tc>
          <w:tcPr>
            <w:tcW w:w="0" w:type="auto"/>
            <w:shd w:val="clear" w:color="auto" w:fill="auto"/>
            <w:vAlign w:val="bottom"/>
          </w:tcPr>
          <w:p w14:paraId="71D4A0BA" w14:textId="77777777" w:rsidR="006A3667" w:rsidRDefault="006A3667">
            <w:pPr>
              <w:rPr>
                <w:rFonts w:ascii="宋体"/>
              </w:rPr>
            </w:pPr>
          </w:p>
        </w:tc>
        <w:tc>
          <w:tcPr>
            <w:tcW w:w="0" w:type="auto"/>
            <w:shd w:val="clear" w:color="auto" w:fill="auto"/>
            <w:vAlign w:val="bottom"/>
          </w:tcPr>
          <w:p w14:paraId="71D4A0BB" w14:textId="77777777" w:rsidR="006A3667" w:rsidRDefault="006A3667">
            <w:pPr>
              <w:rPr>
                <w:rFonts w:ascii="宋体"/>
              </w:rPr>
            </w:pPr>
          </w:p>
        </w:tc>
        <w:tc>
          <w:tcPr>
            <w:tcW w:w="0" w:type="auto"/>
            <w:shd w:val="clear" w:color="auto" w:fill="auto"/>
            <w:vAlign w:val="bottom"/>
          </w:tcPr>
          <w:p w14:paraId="71D4A0BC" w14:textId="77777777" w:rsidR="006A3667" w:rsidRDefault="006A3667">
            <w:pPr>
              <w:rPr>
                <w:rFonts w:ascii="宋体"/>
              </w:rPr>
            </w:pPr>
          </w:p>
        </w:tc>
        <w:tc>
          <w:tcPr>
            <w:tcW w:w="0" w:type="auto"/>
            <w:shd w:val="clear" w:color="auto" w:fill="auto"/>
            <w:vAlign w:val="bottom"/>
          </w:tcPr>
          <w:p w14:paraId="71D4A0BD" w14:textId="77777777" w:rsidR="006A3667" w:rsidRDefault="006A3667">
            <w:pPr>
              <w:rPr>
                <w:rFonts w:ascii="宋体"/>
              </w:rPr>
            </w:pPr>
          </w:p>
        </w:tc>
        <w:tc>
          <w:tcPr>
            <w:tcW w:w="0" w:type="auto"/>
            <w:shd w:val="clear" w:color="auto" w:fill="auto"/>
            <w:vAlign w:val="bottom"/>
          </w:tcPr>
          <w:p w14:paraId="71D4A0BE" w14:textId="77777777" w:rsidR="006A3667" w:rsidRDefault="006A3667">
            <w:pPr>
              <w:rPr>
                <w:rFonts w:ascii="宋体"/>
              </w:rPr>
            </w:pPr>
          </w:p>
        </w:tc>
        <w:tc>
          <w:tcPr>
            <w:tcW w:w="0" w:type="auto"/>
            <w:shd w:val="clear" w:color="auto" w:fill="auto"/>
            <w:vAlign w:val="bottom"/>
          </w:tcPr>
          <w:p w14:paraId="71D4A0BF" w14:textId="77777777" w:rsidR="006A3667" w:rsidRDefault="006A3667">
            <w:pPr>
              <w:rPr>
                <w:rFonts w:ascii="宋体"/>
              </w:rPr>
            </w:pPr>
          </w:p>
        </w:tc>
        <w:tc>
          <w:tcPr>
            <w:tcW w:w="0" w:type="auto"/>
            <w:shd w:val="clear" w:color="auto" w:fill="auto"/>
            <w:vAlign w:val="bottom"/>
          </w:tcPr>
          <w:p w14:paraId="71D4A0C0" w14:textId="77777777" w:rsidR="006A3667" w:rsidRDefault="006A3667">
            <w:pPr>
              <w:rPr>
                <w:rFonts w:ascii="宋体"/>
              </w:rPr>
            </w:pPr>
          </w:p>
        </w:tc>
        <w:tc>
          <w:tcPr>
            <w:tcW w:w="0" w:type="auto"/>
            <w:shd w:val="clear" w:color="auto" w:fill="auto"/>
            <w:vAlign w:val="bottom"/>
          </w:tcPr>
          <w:p w14:paraId="71D4A0C1" w14:textId="77777777" w:rsidR="006A3667" w:rsidRDefault="006A3667">
            <w:pPr>
              <w:rPr>
                <w:rFonts w:ascii="宋体"/>
              </w:rPr>
            </w:pPr>
          </w:p>
        </w:tc>
        <w:tc>
          <w:tcPr>
            <w:tcW w:w="0" w:type="auto"/>
            <w:shd w:val="clear" w:color="auto" w:fill="auto"/>
            <w:vAlign w:val="bottom"/>
          </w:tcPr>
          <w:p w14:paraId="71D4A0C2" w14:textId="77777777" w:rsidR="006A3667" w:rsidRDefault="006A3667">
            <w:pPr>
              <w:rPr>
                <w:rFonts w:ascii="宋体"/>
              </w:rPr>
            </w:pPr>
          </w:p>
        </w:tc>
        <w:tc>
          <w:tcPr>
            <w:tcW w:w="0" w:type="auto"/>
            <w:shd w:val="clear" w:color="auto" w:fill="auto"/>
            <w:vAlign w:val="bottom"/>
          </w:tcPr>
          <w:p w14:paraId="71D4A0C3" w14:textId="77777777" w:rsidR="006A3667" w:rsidRDefault="006A3667">
            <w:pPr>
              <w:rPr>
                <w:rFonts w:ascii="宋体"/>
              </w:rPr>
            </w:pPr>
          </w:p>
        </w:tc>
        <w:tc>
          <w:tcPr>
            <w:tcW w:w="0" w:type="auto"/>
            <w:shd w:val="clear" w:color="auto" w:fill="auto"/>
            <w:vAlign w:val="bottom"/>
          </w:tcPr>
          <w:p w14:paraId="71D4A0C4" w14:textId="77777777" w:rsidR="006A3667" w:rsidRDefault="006A3667">
            <w:pPr>
              <w:rPr>
                <w:rFonts w:ascii="宋体"/>
              </w:rPr>
            </w:pPr>
          </w:p>
        </w:tc>
        <w:tc>
          <w:tcPr>
            <w:tcW w:w="0" w:type="auto"/>
            <w:shd w:val="clear" w:color="auto" w:fill="auto"/>
            <w:vAlign w:val="bottom"/>
          </w:tcPr>
          <w:p w14:paraId="71D4A0C5" w14:textId="77777777" w:rsidR="006A3667" w:rsidRDefault="006A3667">
            <w:pPr>
              <w:rPr>
                <w:rFonts w:ascii="宋体"/>
              </w:rPr>
            </w:pPr>
          </w:p>
        </w:tc>
        <w:tc>
          <w:tcPr>
            <w:tcW w:w="0" w:type="auto"/>
            <w:shd w:val="clear" w:color="auto" w:fill="auto"/>
            <w:vAlign w:val="bottom"/>
          </w:tcPr>
          <w:p w14:paraId="71D4A0C6" w14:textId="77777777" w:rsidR="006A3667" w:rsidRDefault="006A3667">
            <w:pPr>
              <w:rPr>
                <w:rFonts w:ascii="宋体"/>
              </w:rPr>
            </w:pPr>
          </w:p>
        </w:tc>
        <w:tc>
          <w:tcPr>
            <w:tcW w:w="0" w:type="auto"/>
            <w:shd w:val="clear" w:color="auto" w:fill="auto"/>
            <w:vAlign w:val="bottom"/>
          </w:tcPr>
          <w:p w14:paraId="71D4A0C7" w14:textId="77777777" w:rsidR="006A3667" w:rsidRDefault="006A3667">
            <w:pPr>
              <w:rPr>
                <w:rFonts w:ascii="宋体"/>
              </w:rPr>
            </w:pPr>
          </w:p>
        </w:tc>
        <w:tc>
          <w:tcPr>
            <w:tcW w:w="0" w:type="auto"/>
            <w:shd w:val="clear" w:color="auto" w:fill="auto"/>
            <w:vAlign w:val="bottom"/>
          </w:tcPr>
          <w:p w14:paraId="71D4A0C8" w14:textId="77777777" w:rsidR="006A3667" w:rsidRDefault="006A3667">
            <w:pPr>
              <w:rPr>
                <w:rFonts w:ascii="宋体"/>
              </w:rPr>
            </w:pPr>
          </w:p>
        </w:tc>
        <w:tc>
          <w:tcPr>
            <w:tcW w:w="0" w:type="auto"/>
            <w:shd w:val="clear" w:color="auto" w:fill="auto"/>
            <w:vAlign w:val="bottom"/>
          </w:tcPr>
          <w:p w14:paraId="71D4A0C9" w14:textId="77777777" w:rsidR="006A3667" w:rsidRDefault="006A3667">
            <w:pPr>
              <w:rPr>
                <w:rFonts w:ascii="宋体"/>
              </w:rPr>
            </w:pPr>
          </w:p>
        </w:tc>
        <w:tc>
          <w:tcPr>
            <w:tcW w:w="0" w:type="auto"/>
            <w:shd w:val="clear" w:color="auto" w:fill="auto"/>
            <w:vAlign w:val="bottom"/>
          </w:tcPr>
          <w:p w14:paraId="71D4A0CA" w14:textId="77777777" w:rsidR="006A3667" w:rsidRDefault="006A3667">
            <w:pPr>
              <w:rPr>
                <w:rFonts w:ascii="宋体"/>
              </w:rPr>
            </w:pPr>
          </w:p>
        </w:tc>
        <w:tc>
          <w:tcPr>
            <w:tcW w:w="0" w:type="auto"/>
            <w:shd w:val="clear" w:color="auto" w:fill="auto"/>
            <w:vAlign w:val="bottom"/>
          </w:tcPr>
          <w:p w14:paraId="71D4A0CB" w14:textId="77777777" w:rsidR="006A3667" w:rsidRDefault="006A3667">
            <w:pPr>
              <w:rPr>
                <w:rFonts w:ascii="宋体"/>
              </w:rPr>
            </w:pPr>
          </w:p>
        </w:tc>
        <w:tc>
          <w:tcPr>
            <w:tcW w:w="0" w:type="auto"/>
            <w:shd w:val="clear" w:color="auto" w:fill="auto"/>
            <w:vAlign w:val="bottom"/>
          </w:tcPr>
          <w:p w14:paraId="71D4A0CC" w14:textId="77777777" w:rsidR="006A3667" w:rsidRDefault="006A3667">
            <w:pPr>
              <w:rPr>
                <w:rFonts w:ascii="宋体"/>
              </w:rPr>
            </w:pPr>
          </w:p>
        </w:tc>
        <w:tc>
          <w:tcPr>
            <w:tcW w:w="0" w:type="auto"/>
            <w:shd w:val="clear" w:color="auto" w:fill="auto"/>
            <w:vAlign w:val="bottom"/>
          </w:tcPr>
          <w:p w14:paraId="71D4A0CD" w14:textId="77777777" w:rsidR="006A3667" w:rsidRDefault="006A3667">
            <w:pPr>
              <w:rPr>
                <w:rFonts w:ascii="宋体"/>
              </w:rPr>
            </w:pPr>
          </w:p>
        </w:tc>
        <w:tc>
          <w:tcPr>
            <w:tcW w:w="0" w:type="auto"/>
            <w:shd w:val="clear" w:color="auto" w:fill="auto"/>
            <w:vAlign w:val="bottom"/>
          </w:tcPr>
          <w:p w14:paraId="71D4A0CE" w14:textId="77777777" w:rsidR="006A3667" w:rsidRDefault="006A3667">
            <w:pPr>
              <w:rPr>
                <w:rFonts w:ascii="宋体"/>
              </w:rPr>
            </w:pPr>
          </w:p>
        </w:tc>
      </w:tr>
      <w:tr w:rsidR="006A3667" w14:paraId="71D4A0FC" w14:textId="77777777">
        <w:trPr>
          <w:hidden/>
        </w:trPr>
        <w:tc>
          <w:tcPr>
            <w:tcW w:w="0" w:type="auto"/>
            <w:gridSpan w:val="3"/>
            <w:shd w:val="clear" w:color="auto" w:fill="auto"/>
            <w:vAlign w:val="bottom"/>
          </w:tcPr>
          <w:p w14:paraId="71D4A0D0" w14:textId="77777777" w:rsidR="006A3667" w:rsidRDefault="006A3667">
            <w:pPr>
              <w:rPr>
                <w:rFonts w:ascii="宋体"/>
                <w:vanish/>
              </w:rPr>
            </w:pPr>
          </w:p>
        </w:tc>
        <w:tc>
          <w:tcPr>
            <w:tcW w:w="0" w:type="auto"/>
            <w:gridSpan w:val="3"/>
            <w:shd w:val="clear" w:color="auto" w:fill="auto"/>
            <w:vAlign w:val="bottom"/>
          </w:tcPr>
          <w:p w14:paraId="71D4A0D1" w14:textId="77777777" w:rsidR="006A3667" w:rsidRDefault="006A3667">
            <w:pPr>
              <w:rPr>
                <w:rFonts w:ascii="宋体"/>
                <w:vanish/>
              </w:rPr>
            </w:pPr>
          </w:p>
        </w:tc>
        <w:tc>
          <w:tcPr>
            <w:tcW w:w="0" w:type="auto"/>
            <w:gridSpan w:val="3"/>
            <w:shd w:val="clear" w:color="auto" w:fill="auto"/>
            <w:vAlign w:val="bottom"/>
          </w:tcPr>
          <w:p w14:paraId="71D4A0D2" w14:textId="77777777" w:rsidR="006A3667" w:rsidRDefault="006A3667">
            <w:pPr>
              <w:rPr>
                <w:rFonts w:ascii="宋体"/>
                <w:vanish/>
              </w:rPr>
            </w:pPr>
          </w:p>
        </w:tc>
        <w:tc>
          <w:tcPr>
            <w:tcW w:w="0" w:type="auto"/>
            <w:gridSpan w:val="3"/>
            <w:shd w:val="clear" w:color="auto" w:fill="auto"/>
            <w:vAlign w:val="bottom"/>
          </w:tcPr>
          <w:p w14:paraId="71D4A0D3" w14:textId="77777777" w:rsidR="006A3667" w:rsidRDefault="006A3667">
            <w:pPr>
              <w:rPr>
                <w:rFonts w:ascii="宋体"/>
                <w:vanish/>
              </w:rPr>
            </w:pPr>
          </w:p>
        </w:tc>
        <w:tc>
          <w:tcPr>
            <w:tcW w:w="0" w:type="auto"/>
            <w:gridSpan w:val="3"/>
            <w:shd w:val="clear" w:color="auto" w:fill="auto"/>
            <w:vAlign w:val="bottom"/>
          </w:tcPr>
          <w:p w14:paraId="71D4A0D4" w14:textId="77777777" w:rsidR="006A3667" w:rsidRDefault="006A3667">
            <w:pPr>
              <w:rPr>
                <w:rFonts w:ascii="宋体"/>
                <w:vanish/>
              </w:rPr>
            </w:pPr>
          </w:p>
        </w:tc>
        <w:tc>
          <w:tcPr>
            <w:tcW w:w="0" w:type="auto"/>
            <w:gridSpan w:val="3"/>
            <w:shd w:val="clear" w:color="auto" w:fill="auto"/>
            <w:vAlign w:val="bottom"/>
          </w:tcPr>
          <w:p w14:paraId="71D4A0D5" w14:textId="77777777" w:rsidR="006A3667" w:rsidRDefault="006A3667">
            <w:pPr>
              <w:rPr>
                <w:rFonts w:ascii="宋体"/>
                <w:vanish/>
              </w:rPr>
            </w:pPr>
          </w:p>
        </w:tc>
        <w:tc>
          <w:tcPr>
            <w:tcW w:w="0" w:type="auto"/>
            <w:gridSpan w:val="3"/>
            <w:shd w:val="clear" w:color="auto" w:fill="auto"/>
            <w:vAlign w:val="bottom"/>
          </w:tcPr>
          <w:p w14:paraId="71D4A0D6" w14:textId="77777777" w:rsidR="006A3667" w:rsidRDefault="006A3667">
            <w:pPr>
              <w:rPr>
                <w:rFonts w:ascii="宋体"/>
                <w:vanish/>
              </w:rPr>
            </w:pPr>
          </w:p>
        </w:tc>
        <w:tc>
          <w:tcPr>
            <w:tcW w:w="0" w:type="auto"/>
            <w:gridSpan w:val="3"/>
            <w:shd w:val="clear" w:color="auto" w:fill="auto"/>
            <w:vAlign w:val="bottom"/>
          </w:tcPr>
          <w:p w14:paraId="71D4A0D7" w14:textId="77777777" w:rsidR="006A3667" w:rsidRDefault="006A3667">
            <w:pPr>
              <w:rPr>
                <w:rFonts w:ascii="宋体"/>
                <w:vanish/>
              </w:rPr>
            </w:pPr>
          </w:p>
        </w:tc>
        <w:tc>
          <w:tcPr>
            <w:tcW w:w="0" w:type="auto"/>
            <w:shd w:val="clear" w:color="auto" w:fill="auto"/>
            <w:vAlign w:val="bottom"/>
          </w:tcPr>
          <w:p w14:paraId="71D4A0D8" w14:textId="77777777" w:rsidR="006A3667" w:rsidRDefault="006A3667">
            <w:pPr>
              <w:rPr>
                <w:rFonts w:ascii="宋体"/>
              </w:rPr>
            </w:pPr>
          </w:p>
        </w:tc>
        <w:tc>
          <w:tcPr>
            <w:tcW w:w="0" w:type="auto"/>
            <w:shd w:val="clear" w:color="auto" w:fill="auto"/>
            <w:vAlign w:val="bottom"/>
          </w:tcPr>
          <w:p w14:paraId="71D4A0D9" w14:textId="77777777" w:rsidR="006A3667" w:rsidRDefault="006A3667">
            <w:pPr>
              <w:rPr>
                <w:rFonts w:ascii="宋体"/>
              </w:rPr>
            </w:pPr>
          </w:p>
        </w:tc>
        <w:tc>
          <w:tcPr>
            <w:tcW w:w="0" w:type="auto"/>
            <w:shd w:val="clear" w:color="auto" w:fill="auto"/>
            <w:vAlign w:val="bottom"/>
          </w:tcPr>
          <w:p w14:paraId="71D4A0DA" w14:textId="77777777" w:rsidR="006A3667" w:rsidRDefault="006A3667">
            <w:pPr>
              <w:rPr>
                <w:rFonts w:ascii="宋体"/>
              </w:rPr>
            </w:pPr>
          </w:p>
        </w:tc>
        <w:tc>
          <w:tcPr>
            <w:tcW w:w="0" w:type="auto"/>
            <w:shd w:val="clear" w:color="auto" w:fill="auto"/>
            <w:vAlign w:val="bottom"/>
          </w:tcPr>
          <w:p w14:paraId="71D4A0DB" w14:textId="77777777" w:rsidR="006A3667" w:rsidRDefault="006A3667">
            <w:pPr>
              <w:rPr>
                <w:rFonts w:ascii="宋体"/>
              </w:rPr>
            </w:pPr>
          </w:p>
        </w:tc>
        <w:tc>
          <w:tcPr>
            <w:tcW w:w="0" w:type="auto"/>
            <w:shd w:val="clear" w:color="auto" w:fill="auto"/>
            <w:vAlign w:val="bottom"/>
          </w:tcPr>
          <w:p w14:paraId="71D4A0DC" w14:textId="77777777" w:rsidR="006A3667" w:rsidRDefault="006A3667">
            <w:pPr>
              <w:rPr>
                <w:rFonts w:ascii="宋体"/>
              </w:rPr>
            </w:pPr>
          </w:p>
        </w:tc>
        <w:tc>
          <w:tcPr>
            <w:tcW w:w="0" w:type="auto"/>
            <w:shd w:val="clear" w:color="auto" w:fill="auto"/>
            <w:vAlign w:val="bottom"/>
          </w:tcPr>
          <w:p w14:paraId="71D4A0DD" w14:textId="77777777" w:rsidR="006A3667" w:rsidRDefault="006A3667">
            <w:pPr>
              <w:rPr>
                <w:rFonts w:ascii="宋体"/>
              </w:rPr>
            </w:pPr>
          </w:p>
        </w:tc>
        <w:tc>
          <w:tcPr>
            <w:tcW w:w="0" w:type="auto"/>
            <w:shd w:val="clear" w:color="auto" w:fill="auto"/>
            <w:vAlign w:val="bottom"/>
          </w:tcPr>
          <w:p w14:paraId="71D4A0DE" w14:textId="77777777" w:rsidR="006A3667" w:rsidRDefault="006A3667">
            <w:pPr>
              <w:rPr>
                <w:rFonts w:ascii="宋体"/>
              </w:rPr>
            </w:pPr>
          </w:p>
        </w:tc>
        <w:tc>
          <w:tcPr>
            <w:tcW w:w="0" w:type="auto"/>
            <w:shd w:val="clear" w:color="auto" w:fill="auto"/>
            <w:vAlign w:val="bottom"/>
          </w:tcPr>
          <w:p w14:paraId="71D4A0DF" w14:textId="77777777" w:rsidR="006A3667" w:rsidRDefault="006A3667">
            <w:pPr>
              <w:rPr>
                <w:rFonts w:ascii="宋体"/>
              </w:rPr>
            </w:pPr>
          </w:p>
        </w:tc>
        <w:tc>
          <w:tcPr>
            <w:tcW w:w="0" w:type="auto"/>
            <w:shd w:val="clear" w:color="auto" w:fill="auto"/>
            <w:vAlign w:val="bottom"/>
          </w:tcPr>
          <w:p w14:paraId="71D4A0E0" w14:textId="77777777" w:rsidR="006A3667" w:rsidRDefault="006A3667">
            <w:pPr>
              <w:rPr>
                <w:rFonts w:ascii="宋体"/>
              </w:rPr>
            </w:pPr>
          </w:p>
        </w:tc>
        <w:tc>
          <w:tcPr>
            <w:tcW w:w="0" w:type="auto"/>
            <w:shd w:val="clear" w:color="auto" w:fill="auto"/>
            <w:vAlign w:val="bottom"/>
          </w:tcPr>
          <w:p w14:paraId="71D4A0E1" w14:textId="77777777" w:rsidR="006A3667" w:rsidRDefault="006A3667">
            <w:pPr>
              <w:rPr>
                <w:rFonts w:ascii="宋体"/>
              </w:rPr>
            </w:pPr>
          </w:p>
        </w:tc>
        <w:tc>
          <w:tcPr>
            <w:tcW w:w="0" w:type="auto"/>
            <w:shd w:val="clear" w:color="auto" w:fill="auto"/>
            <w:vAlign w:val="bottom"/>
          </w:tcPr>
          <w:p w14:paraId="71D4A0E2" w14:textId="77777777" w:rsidR="006A3667" w:rsidRDefault="006A3667">
            <w:pPr>
              <w:rPr>
                <w:rFonts w:ascii="宋体"/>
              </w:rPr>
            </w:pPr>
          </w:p>
        </w:tc>
        <w:tc>
          <w:tcPr>
            <w:tcW w:w="0" w:type="auto"/>
            <w:shd w:val="clear" w:color="auto" w:fill="auto"/>
            <w:vAlign w:val="bottom"/>
          </w:tcPr>
          <w:p w14:paraId="71D4A0E3" w14:textId="77777777" w:rsidR="006A3667" w:rsidRDefault="006A3667">
            <w:pPr>
              <w:rPr>
                <w:rFonts w:ascii="宋体"/>
              </w:rPr>
            </w:pPr>
          </w:p>
        </w:tc>
        <w:tc>
          <w:tcPr>
            <w:tcW w:w="0" w:type="auto"/>
            <w:shd w:val="clear" w:color="auto" w:fill="auto"/>
            <w:vAlign w:val="bottom"/>
          </w:tcPr>
          <w:p w14:paraId="71D4A0E4" w14:textId="77777777" w:rsidR="006A3667" w:rsidRDefault="006A3667">
            <w:pPr>
              <w:rPr>
                <w:rFonts w:ascii="宋体"/>
              </w:rPr>
            </w:pPr>
          </w:p>
        </w:tc>
        <w:tc>
          <w:tcPr>
            <w:tcW w:w="0" w:type="auto"/>
            <w:shd w:val="clear" w:color="auto" w:fill="auto"/>
            <w:vAlign w:val="bottom"/>
          </w:tcPr>
          <w:p w14:paraId="71D4A0E5" w14:textId="77777777" w:rsidR="006A3667" w:rsidRDefault="006A3667">
            <w:pPr>
              <w:rPr>
                <w:rFonts w:ascii="宋体"/>
              </w:rPr>
            </w:pPr>
          </w:p>
        </w:tc>
        <w:tc>
          <w:tcPr>
            <w:tcW w:w="0" w:type="auto"/>
            <w:shd w:val="clear" w:color="auto" w:fill="auto"/>
            <w:vAlign w:val="bottom"/>
          </w:tcPr>
          <w:p w14:paraId="71D4A0E6" w14:textId="77777777" w:rsidR="006A3667" w:rsidRDefault="006A3667">
            <w:pPr>
              <w:rPr>
                <w:rFonts w:ascii="宋体"/>
              </w:rPr>
            </w:pPr>
          </w:p>
        </w:tc>
        <w:tc>
          <w:tcPr>
            <w:tcW w:w="0" w:type="auto"/>
            <w:shd w:val="clear" w:color="auto" w:fill="auto"/>
            <w:vAlign w:val="bottom"/>
          </w:tcPr>
          <w:p w14:paraId="71D4A0E7" w14:textId="77777777" w:rsidR="006A3667" w:rsidRDefault="006A3667">
            <w:pPr>
              <w:rPr>
                <w:rFonts w:ascii="宋体"/>
              </w:rPr>
            </w:pPr>
          </w:p>
        </w:tc>
        <w:tc>
          <w:tcPr>
            <w:tcW w:w="0" w:type="auto"/>
            <w:shd w:val="clear" w:color="auto" w:fill="auto"/>
            <w:vAlign w:val="bottom"/>
          </w:tcPr>
          <w:p w14:paraId="71D4A0E8" w14:textId="77777777" w:rsidR="006A3667" w:rsidRDefault="006A3667">
            <w:pPr>
              <w:rPr>
                <w:rFonts w:ascii="宋体"/>
              </w:rPr>
            </w:pPr>
          </w:p>
        </w:tc>
        <w:tc>
          <w:tcPr>
            <w:tcW w:w="0" w:type="auto"/>
            <w:shd w:val="clear" w:color="auto" w:fill="auto"/>
            <w:vAlign w:val="bottom"/>
          </w:tcPr>
          <w:p w14:paraId="71D4A0E9" w14:textId="77777777" w:rsidR="006A3667" w:rsidRDefault="006A3667">
            <w:pPr>
              <w:rPr>
                <w:rFonts w:ascii="宋体"/>
              </w:rPr>
            </w:pPr>
          </w:p>
        </w:tc>
        <w:tc>
          <w:tcPr>
            <w:tcW w:w="0" w:type="auto"/>
            <w:shd w:val="clear" w:color="auto" w:fill="auto"/>
            <w:vAlign w:val="bottom"/>
          </w:tcPr>
          <w:p w14:paraId="71D4A0EA" w14:textId="77777777" w:rsidR="006A3667" w:rsidRDefault="006A3667">
            <w:pPr>
              <w:rPr>
                <w:rFonts w:ascii="宋体"/>
              </w:rPr>
            </w:pPr>
          </w:p>
        </w:tc>
        <w:tc>
          <w:tcPr>
            <w:tcW w:w="0" w:type="auto"/>
            <w:shd w:val="clear" w:color="auto" w:fill="auto"/>
            <w:vAlign w:val="bottom"/>
          </w:tcPr>
          <w:p w14:paraId="71D4A0EB" w14:textId="77777777" w:rsidR="006A3667" w:rsidRDefault="006A3667">
            <w:pPr>
              <w:rPr>
                <w:rFonts w:ascii="宋体"/>
              </w:rPr>
            </w:pPr>
          </w:p>
        </w:tc>
        <w:tc>
          <w:tcPr>
            <w:tcW w:w="0" w:type="auto"/>
            <w:shd w:val="clear" w:color="auto" w:fill="auto"/>
            <w:vAlign w:val="bottom"/>
          </w:tcPr>
          <w:p w14:paraId="71D4A0EC" w14:textId="77777777" w:rsidR="006A3667" w:rsidRDefault="006A3667">
            <w:pPr>
              <w:rPr>
                <w:rFonts w:ascii="宋体"/>
              </w:rPr>
            </w:pPr>
          </w:p>
        </w:tc>
        <w:tc>
          <w:tcPr>
            <w:tcW w:w="0" w:type="auto"/>
            <w:shd w:val="clear" w:color="auto" w:fill="auto"/>
            <w:vAlign w:val="bottom"/>
          </w:tcPr>
          <w:p w14:paraId="71D4A0ED" w14:textId="77777777" w:rsidR="006A3667" w:rsidRDefault="006A3667">
            <w:pPr>
              <w:rPr>
                <w:rFonts w:ascii="宋体"/>
              </w:rPr>
            </w:pPr>
          </w:p>
        </w:tc>
        <w:tc>
          <w:tcPr>
            <w:tcW w:w="0" w:type="auto"/>
            <w:shd w:val="clear" w:color="auto" w:fill="auto"/>
            <w:vAlign w:val="bottom"/>
          </w:tcPr>
          <w:p w14:paraId="71D4A0EE" w14:textId="77777777" w:rsidR="006A3667" w:rsidRDefault="006A3667">
            <w:pPr>
              <w:rPr>
                <w:rFonts w:ascii="宋体"/>
              </w:rPr>
            </w:pPr>
          </w:p>
        </w:tc>
        <w:tc>
          <w:tcPr>
            <w:tcW w:w="0" w:type="auto"/>
            <w:shd w:val="clear" w:color="auto" w:fill="auto"/>
            <w:vAlign w:val="bottom"/>
          </w:tcPr>
          <w:p w14:paraId="71D4A0EF" w14:textId="77777777" w:rsidR="006A3667" w:rsidRDefault="006A3667">
            <w:pPr>
              <w:rPr>
                <w:rFonts w:ascii="宋体"/>
              </w:rPr>
            </w:pPr>
          </w:p>
        </w:tc>
        <w:tc>
          <w:tcPr>
            <w:tcW w:w="0" w:type="auto"/>
            <w:shd w:val="clear" w:color="auto" w:fill="auto"/>
            <w:vAlign w:val="bottom"/>
          </w:tcPr>
          <w:p w14:paraId="71D4A0F0" w14:textId="77777777" w:rsidR="006A3667" w:rsidRDefault="006A3667">
            <w:pPr>
              <w:rPr>
                <w:rFonts w:ascii="宋体"/>
              </w:rPr>
            </w:pPr>
          </w:p>
        </w:tc>
        <w:tc>
          <w:tcPr>
            <w:tcW w:w="0" w:type="auto"/>
            <w:shd w:val="clear" w:color="auto" w:fill="auto"/>
            <w:vAlign w:val="bottom"/>
          </w:tcPr>
          <w:p w14:paraId="71D4A0F1" w14:textId="77777777" w:rsidR="006A3667" w:rsidRDefault="006A3667">
            <w:pPr>
              <w:rPr>
                <w:rFonts w:ascii="宋体"/>
              </w:rPr>
            </w:pPr>
          </w:p>
        </w:tc>
        <w:tc>
          <w:tcPr>
            <w:tcW w:w="0" w:type="auto"/>
            <w:shd w:val="clear" w:color="auto" w:fill="auto"/>
            <w:vAlign w:val="bottom"/>
          </w:tcPr>
          <w:p w14:paraId="71D4A0F2" w14:textId="77777777" w:rsidR="006A3667" w:rsidRDefault="006A3667">
            <w:pPr>
              <w:rPr>
                <w:rFonts w:ascii="宋体"/>
              </w:rPr>
            </w:pPr>
          </w:p>
        </w:tc>
        <w:tc>
          <w:tcPr>
            <w:tcW w:w="0" w:type="auto"/>
            <w:shd w:val="clear" w:color="auto" w:fill="auto"/>
            <w:vAlign w:val="bottom"/>
          </w:tcPr>
          <w:p w14:paraId="71D4A0F3" w14:textId="77777777" w:rsidR="006A3667" w:rsidRDefault="006A3667">
            <w:pPr>
              <w:rPr>
                <w:rFonts w:ascii="宋体"/>
              </w:rPr>
            </w:pPr>
          </w:p>
        </w:tc>
        <w:tc>
          <w:tcPr>
            <w:tcW w:w="0" w:type="auto"/>
            <w:shd w:val="clear" w:color="auto" w:fill="auto"/>
            <w:vAlign w:val="bottom"/>
          </w:tcPr>
          <w:p w14:paraId="71D4A0F4" w14:textId="77777777" w:rsidR="006A3667" w:rsidRDefault="006A3667">
            <w:pPr>
              <w:rPr>
                <w:rFonts w:ascii="宋体"/>
              </w:rPr>
            </w:pPr>
          </w:p>
        </w:tc>
        <w:tc>
          <w:tcPr>
            <w:tcW w:w="0" w:type="auto"/>
            <w:shd w:val="clear" w:color="auto" w:fill="auto"/>
            <w:vAlign w:val="bottom"/>
          </w:tcPr>
          <w:p w14:paraId="71D4A0F5" w14:textId="77777777" w:rsidR="006A3667" w:rsidRDefault="006A3667">
            <w:pPr>
              <w:rPr>
                <w:rFonts w:ascii="宋体"/>
              </w:rPr>
            </w:pPr>
          </w:p>
        </w:tc>
        <w:tc>
          <w:tcPr>
            <w:tcW w:w="0" w:type="auto"/>
            <w:shd w:val="clear" w:color="auto" w:fill="auto"/>
            <w:vAlign w:val="bottom"/>
          </w:tcPr>
          <w:p w14:paraId="71D4A0F6" w14:textId="77777777" w:rsidR="006A3667" w:rsidRDefault="006A3667">
            <w:pPr>
              <w:rPr>
                <w:rFonts w:ascii="宋体"/>
              </w:rPr>
            </w:pPr>
          </w:p>
        </w:tc>
        <w:tc>
          <w:tcPr>
            <w:tcW w:w="0" w:type="auto"/>
            <w:shd w:val="clear" w:color="auto" w:fill="auto"/>
            <w:vAlign w:val="bottom"/>
          </w:tcPr>
          <w:p w14:paraId="71D4A0F7" w14:textId="77777777" w:rsidR="006A3667" w:rsidRDefault="006A3667">
            <w:pPr>
              <w:rPr>
                <w:rFonts w:ascii="宋体"/>
              </w:rPr>
            </w:pPr>
          </w:p>
        </w:tc>
        <w:tc>
          <w:tcPr>
            <w:tcW w:w="0" w:type="auto"/>
            <w:shd w:val="clear" w:color="auto" w:fill="auto"/>
            <w:vAlign w:val="bottom"/>
          </w:tcPr>
          <w:p w14:paraId="71D4A0F8" w14:textId="77777777" w:rsidR="006A3667" w:rsidRDefault="006A3667">
            <w:pPr>
              <w:rPr>
                <w:rFonts w:ascii="宋体"/>
              </w:rPr>
            </w:pPr>
          </w:p>
        </w:tc>
        <w:tc>
          <w:tcPr>
            <w:tcW w:w="0" w:type="auto"/>
            <w:shd w:val="clear" w:color="auto" w:fill="auto"/>
            <w:vAlign w:val="bottom"/>
          </w:tcPr>
          <w:p w14:paraId="71D4A0F9" w14:textId="77777777" w:rsidR="006A3667" w:rsidRDefault="006A3667">
            <w:pPr>
              <w:rPr>
                <w:rFonts w:ascii="宋体"/>
              </w:rPr>
            </w:pPr>
          </w:p>
        </w:tc>
        <w:tc>
          <w:tcPr>
            <w:tcW w:w="0" w:type="auto"/>
            <w:shd w:val="clear" w:color="auto" w:fill="auto"/>
            <w:vAlign w:val="bottom"/>
          </w:tcPr>
          <w:p w14:paraId="71D4A0FA" w14:textId="77777777" w:rsidR="006A3667" w:rsidRDefault="006A3667">
            <w:pPr>
              <w:rPr>
                <w:rFonts w:ascii="宋体"/>
              </w:rPr>
            </w:pPr>
          </w:p>
        </w:tc>
        <w:tc>
          <w:tcPr>
            <w:tcW w:w="0" w:type="auto"/>
            <w:shd w:val="clear" w:color="auto" w:fill="auto"/>
            <w:vAlign w:val="bottom"/>
          </w:tcPr>
          <w:p w14:paraId="71D4A0FB" w14:textId="77777777" w:rsidR="006A3667" w:rsidRDefault="006A3667">
            <w:pPr>
              <w:rPr>
                <w:rFonts w:ascii="宋体"/>
              </w:rPr>
            </w:pPr>
          </w:p>
        </w:tc>
      </w:tr>
      <w:tr w:rsidR="006A3667" w14:paraId="71D4A111" w14:textId="77777777">
        <w:trPr>
          <w:hidden/>
        </w:trPr>
        <w:tc>
          <w:tcPr>
            <w:tcW w:w="0" w:type="auto"/>
            <w:gridSpan w:val="3"/>
            <w:shd w:val="clear" w:color="auto" w:fill="auto"/>
            <w:vAlign w:val="bottom"/>
          </w:tcPr>
          <w:p w14:paraId="71D4A0FD" w14:textId="77777777" w:rsidR="006A3667" w:rsidRDefault="006A3667">
            <w:pPr>
              <w:rPr>
                <w:rFonts w:ascii="宋体"/>
                <w:vanish/>
              </w:rPr>
            </w:pPr>
          </w:p>
        </w:tc>
        <w:tc>
          <w:tcPr>
            <w:tcW w:w="0" w:type="auto"/>
            <w:gridSpan w:val="3"/>
            <w:shd w:val="clear" w:color="auto" w:fill="auto"/>
            <w:vAlign w:val="bottom"/>
          </w:tcPr>
          <w:p w14:paraId="71D4A0FE" w14:textId="77777777" w:rsidR="006A3667" w:rsidRDefault="006A3667">
            <w:pPr>
              <w:rPr>
                <w:rFonts w:ascii="宋体"/>
                <w:vanish/>
              </w:rPr>
            </w:pPr>
          </w:p>
        </w:tc>
        <w:tc>
          <w:tcPr>
            <w:tcW w:w="0" w:type="auto"/>
            <w:gridSpan w:val="3"/>
            <w:shd w:val="clear" w:color="auto" w:fill="auto"/>
            <w:vAlign w:val="bottom"/>
          </w:tcPr>
          <w:p w14:paraId="71D4A0FF" w14:textId="77777777" w:rsidR="006A3667" w:rsidRDefault="006A3667">
            <w:pPr>
              <w:rPr>
                <w:rFonts w:ascii="宋体"/>
                <w:vanish/>
              </w:rPr>
            </w:pPr>
          </w:p>
        </w:tc>
        <w:tc>
          <w:tcPr>
            <w:tcW w:w="0" w:type="auto"/>
            <w:gridSpan w:val="3"/>
            <w:shd w:val="clear" w:color="auto" w:fill="auto"/>
            <w:vAlign w:val="bottom"/>
          </w:tcPr>
          <w:p w14:paraId="71D4A100" w14:textId="77777777" w:rsidR="006A3667" w:rsidRDefault="006A3667">
            <w:pPr>
              <w:rPr>
                <w:rFonts w:ascii="宋体"/>
                <w:vanish/>
              </w:rPr>
            </w:pPr>
          </w:p>
        </w:tc>
        <w:tc>
          <w:tcPr>
            <w:tcW w:w="0" w:type="auto"/>
            <w:gridSpan w:val="3"/>
            <w:shd w:val="clear" w:color="auto" w:fill="auto"/>
            <w:vAlign w:val="bottom"/>
          </w:tcPr>
          <w:p w14:paraId="71D4A101" w14:textId="77777777" w:rsidR="006A3667" w:rsidRDefault="006A3667">
            <w:pPr>
              <w:rPr>
                <w:rFonts w:ascii="宋体"/>
                <w:vanish/>
              </w:rPr>
            </w:pPr>
          </w:p>
        </w:tc>
        <w:tc>
          <w:tcPr>
            <w:tcW w:w="0" w:type="auto"/>
            <w:gridSpan w:val="3"/>
            <w:shd w:val="clear" w:color="auto" w:fill="auto"/>
            <w:vAlign w:val="bottom"/>
          </w:tcPr>
          <w:p w14:paraId="71D4A102" w14:textId="77777777" w:rsidR="006A3667" w:rsidRDefault="006A3667">
            <w:pPr>
              <w:rPr>
                <w:rFonts w:ascii="宋体"/>
                <w:vanish/>
              </w:rPr>
            </w:pPr>
          </w:p>
        </w:tc>
        <w:tc>
          <w:tcPr>
            <w:tcW w:w="0" w:type="auto"/>
            <w:gridSpan w:val="3"/>
            <w:shd w:val="clear" w:color="auto" w:fill="auto"/>
            <w:vAlign w:val="bottom"/>
          </w:tcPr>
          <w:p w14:paraId="71D4A103" w14:textId="77777777" w:rsidR="006A3667" w:rsidRDefault="006A3667">
            <w:pPr>
              <w:rPr>
                <w:rFonts w:ascii="宋体"/>
                <w:vanish/>
              </w:rPr>
            </w:pPr>
          </w:p>
        </w:tc>
        <w:tc>
          <w:tcPr>
            <w:tcW w:w="0" w:type="auto"/>
            <w:gridSpan w:val="3"/>
            <w:shd w:val="clear" w:color="auto" w:fill="auto"/>
            <w:vAlign w:val="bottom"/>
          </w:tcPr>
          <w:p w14:paraId="71D4A104" w14:textId="77777777" w:rsidR="006A3667" w:rsidRDefault="006A3667">
            <w:pPr>
              <w:rPr>
                <w:rFonts w:ascii="宋体"/>
                <w:vanish/>
              </w:rPr>
            </w:pPr>
          </w:p>
        </w:tc>
        <w:tc>
          <w:tcPr>
            <w:tcW w:w="0" w:type="auto"/>
            <w:gridSpan w:val="3"/>
            <w:shd w:val="clear" w:color="auto" w:fill="auto"/>
            <w:vAlign w:val="bottom"/>
          </w:tcPr>
          <w:p w14:paraId="71D4A105" w14:textId="77777777" w:rsidR="006A3667" w:rsidRDefault="006A3667">
            <w:pPr>
              <w:rPr>
                <w:rFonts w:ascii="宋体"/>
                <w:vanish/>
              </w:rPr>
            </w:pPr>
          </w:p>
        </w:tc>
        <w:tc>
          <w:tcPr>
            <w:tcW w:w="0" w:type="auto"/>
            <w:gridSpan w:val="3"/>
            <w:shd w:val="clear" w:color="auto" w:fill="auto"/>
            <w:vAlign w:val="bottom"/>
          </w:tcPr>
          <w:p w14:paraId="71D4A106" w14:textId="77777777" w:rsidR="006A3667" w:rsidRDefault="006A3667">
            <w:pPr>
              <w:rPr>
                <w:rFonts w:ascii="宋体"/>
                <w:vanish/>
              </w:rPr>
            </w:pPr>
          </w:p>
        </w:tc>
        <w:tc>
          <w:tcPr>
            <w:tcW w:w="0" w:type="auto"/>
            <w:gridSpan w:val="3"/>
            <w:shd w:val="clear" w:color="auto" w:fill="auto"/>
            <w:vAlign w:val="bottom"/>
          </w:tcPr>
          <w:p w14:paraId="71D4A107" w14:textId="77777777" w:rsidR="006A3667" w:rsidRDefault="006A3667">
            <w:pPr>
              <w:rPr>
                <w:rFonts w:ascii="宋体"/>
                <w:vanish/>
              </w:rPr>
            </w:pPr>
          </w:p>
        </w:tc>
        <w:tc>
          <w:tcPr>
            <w:tcW w:w="0" w:type="auto"/>
            <w:gridSpan w:val="3"/>
            <w:shd w:val="clear" w:color="auto" w:fill="auto"/>
            <w:vAlign w:val="bottom"/>
          </w:tcPr>
          <w:p w14:paraId="71D4A108" w14:textId="77777777" w:rsidR="006A3667" w:rsidRDefault="006A3667">
            <w:pPr>
              <w:rPr>
                <w:rFonts w:ascii="宋体"/>
                <w:vanish/>
              </w:rPr>
            </w:pPr>
          </w:p>
        </w:tc>
        <w:tc>
          <w:tcPr>
            <w:tcW w:w="0" w:type="auto"/>
            <w:gridSpan w:val="3"/>
            <w:shd w:val="clear" w:color="auto" w:fill="auto"/>
            <w:vAlign w:val="bottom"/>
          </w:tcPr>
          <w:p w14:paraId="71D4A109" w14:textId="77777777" w:rsidR="006A3667" w:rsidRDefault="006A3667">
            <w:pPr>
              <w:rPr>
                <w:rFonts w:ascii="宋体"/>
                <w:vanish/>
              </w:rPr>
            </w:pPr>
          </w:p>
        </w:tc>
        <w:tc>
          <w:tcPr>
            <w:tcW w:w="0" w:type="auto"/>
            <w:gridSpan w:val="3"/>
            <w:shd w:val="clear" w:color="auto" w:fill="auto"/>
            <w:vAlign w:val="bottom"/>
          </w:tcPr>
          <w:p w14:paraId="71D4A10A" w14:textId="77777777" w:rsidR="006A3667" w:rsidRDefault="006A3667">
            <w:pPr>
              <w:rPr>
                <w:rFonts w:ascii="宋体"/>
                <w:vanish/>
              </w:rPr>
            </w:pPr>
          </w:p>
        </w:tc>
        <w:tc>
          <w:tcPr>
            <w:tcW w:w="0" w:type="auto"/>
            <w:gridSpan w:val="3"/>
            <w:shd w:val="clear" w:color="auto" w:fill="auto"/>
            <w:vAlign w:val="bottom"/>
          </w:tcPr>
          <w:p w14:paraId="71D4A10B" w14:textId="77777777" w:rsidR="006A3667" w:rsidRDefault="006A3667">
            <w:pPr>
              <w:rPr>
                <w:rFonts w:ascii="宋体"/>
                <w:vanish/>
              </w:rPr>
            </w:pPr>
          </w:p>
        </w:tc>
        <w:tc>
          <w:tcPr>
            <w:tcW w:w="0" w:type="auto"/>
            <w:gridSpan w:val="3"/>
            <w:shd w:val="clear" w:color="auto" w:fill="auto"/>
            <w:vAlign w:val="bottom"/>
          </w:tcPr>
          <w:p w14:paraId="71D4A10C" w14:textId="77777777" w:rsidR="006A3667" w:rsidRDefault="006A3667">
            <w:pPr>
              <w:rPr>
                <w:rFonts w:ascii="宋体"/>
                <w:vanish/>
              </w:rPr>
            </w:pPr>
          </w:p>
        </w:tc>
        <w:tc>
          <w:tcPr>
            <w:tcW w:w="0" w:type="auto"/>
            <w:gridSpan w:val="3"/>
            <w:shd w:val="clear" w:color="auto" w:fill="auto"/>
            <w:vAlign w:val="bottom"/>
          </w:tcPr>
          <w:p w14:paraId="71D4A10D" w14:textId="77777777" w:rsidR="006A3667" w:rsidRDefault="006A3667">
            <w:pPr>
              <w:rPr>
                <w:rFonts w:ascii="宋体"/>
                <w:vanish/>
              </w:rPr>
            </w:pPr>
          </w:p>
        </w:tc>
        <w:tc>
          <w:tcPr>
            <w:tcW w:w="0" w:type="auto"/>
            <w:gridSpan w:val="3"/>
            <w:shd w:val="clear" w:color="auto" w:fill="auto"/>
            <w:vAlign w:val="bottom"/>
          </w:tcPr>
          <w:p w14:paraId="71D4A10E" w14:textId="77777777" w:rsidR="006A3667" w:rsidRDefault="006A3667">
            <w:pPr>
              <w:rPr>
                <w:rFonts w:ascii="宋体"/>
                <w:vanish/>
              </w:rPr>
            </w:pPr>
          </w:p>
        </w:tc>
        <w:tc>
          <w:tcPr>
            <w:tcW w:w="0" w:type="auto"/>
            <w:gridSpan w:val="3"/>
            <w:shd w:val="clear" w:color="auto" w:fill="auto"/>
            <w:vAlign w:val="bottom"/>
          </w:tcPr>
          <w:p w14:paraId="71D4A10F" w14:textId="77777777" w:rsidR="006A3667" w:rsidRDefault="006A3667">
            <w:pPr>
              <w:rPr>
                <w:rFonts w:ascii="宋体"/>
                <w:vanish/>
              </w:rPr>
            </w:pPr>
          </w:p>
        </w:tc>
        <w:tc>
          <w:tcPr>
            <w:tcW w:w="0" w:type="auto"/>
            <w:gridSpan w:val="3"/>
            <w:shd w:val="clear" w:color="auto" w:fill="auto"/>
            <w:vAlign w:val="bottom"/>
          </w:tcPr>
          <w:p w14:paraId="71D4A110" w14:textId="77777777" w:rsidR="006A3667" w:rsidRDefault="006A3667">
            <w:pPr>
              <w:rPr>
                <w:rFonts w:ascii="宋体"/>
                <w:vanish/>
              </w:rPr>
            </w:pPr>
          </w:p>
        </w:tc>
      </w:tr>
      <w:tr w:rsidR="006A3667" w14:paraId="71D4A126" w14:textId="77777777">
        <w:trPr>
          <w:hidden/>
        </w:trPr>
        <w:tc>
          <w:tcPr>
            <w:tcW w:w="0" w:type="auto"/>
            <w:gridSpan w:val="3"/>
            <w:shd w:val="clear" w:color="auto" w:fill="auto"/>
            <w:vAlign w:val="bottom"/>
          </w:tcPr>
          <w:p w14:paraId="71D4A112" w14:textId="77777777" w:rsidR="006A3667" w:rsidRDefault="006A3667">
            <w:pPr>
              <w:rPr>
                <w:rFonts w:ascii="宋体"/>
                <w:vanish/>
              </w:rPr>
            </w:pPr>
          </w:p>
        </w:tc>
        <w:tc>
          <w:tcPr>
            <w:tcW w:w="0" w:type="auto"/>
            <w:gridSpan w:val="3"/>
            <w:shd w:val="clear" w:color="auto" w:fill="auto"/>
            <w:vAlign w:val="bottom"/>
          </w:tcPr>
          <w:p w14:paraId="71D4A113" w14:textId="77777777" w:rsidR="006A3667" w:rsidRDefault="006A3667">
            <w:pPr>
              <w:rPr>
                <w:rFonts w:ascii="宋体"/>
                <w:vanish/>
              </w:rPr>
            </w:pPr>
          </w:p>
        </w:tc>
        <w:tc>
          <w:tcPr>
            <w:tcW w:w="0" w:type="auto"/>
            <w:gridSpan w:val="3"/>
            <w:shd w:val="clear" w:color="auto" w:fill="auto"/>
            <w:vAlign w:val="bottom"/>
          </w:tcPr>
          <w:p w14:paraId="71D4A114" w14:textId="77777777" w:rsidR="006A3667" w:rsidRDefault="006A3667">
            <w:pPr>
              <w:rPr>
                <w:rFonts w:ascii="宋体"/>
                <w:vanish/>
              </w:rPr>
            </w:pPr>
          </w:p>
        </w:tc>
        <w:tc>
          <w:tcPr>
            <w:tcW w:w="0" w:type="auto"/>
            <w:gridSpan w:val="3"/>
            <w:shd w:val="clear" w:color="auto" w:fill="auto"/>
            <w:vAlign w:val="bottom"/>
          </w:tcPr>
          <w:p w14:paraId="71D4A115" w14:textId="77777777" w:rsidR="006A3667" w:rsidRDefault="006A3667">
            <w:pPr>
              <w:rPr>
                <w:rFonts w:ascii="宋体"/>
                <w:vanish/>
              </w:rPr>
            </w:pPr>
          </w:p>
        </w:tc>
        <w:tc>
          <w:tcPr>
            <w:tcW w:w="0" w:type="auto"/>
            <w:gridSpan w:val="3"/>
            <w:shd w:val="clear" w:color="auto" w:fill="auto"/>
            <w:vAlign w:val="bottom"/>
          </w:tcPr>
          <w:p w14:paraId="71D4A116" w14:textId="77777777" w:rsidR="006A3667" w:rsidRDefault="006A3667">
            <w:pPr>
              <w:rPr>
                <w:rFonts w:ascii="宋体"/>
                <w:vanish/>
              </w:rPr>
            </w:pPr>
          </w:p>
        </w:tc>
        <w:tc>
          <w:tcPr>
            <w:tcW w:w="0" w:type="auto"/>
            <w:gridSpan w:val="3"/>
            <w:shd w:val="clear" w:color="auto" w:fill="auto"/>
            <w:vAlign w:val="bottom"/>
          </w:tcPr>
          <w:p w14:paraId="71D4A117" w14:textId="77777777" w:rsidR="006A3667" w:rsidRDefault="006A3667">
            <w:pPr>
              <w:rPr>
                <w:rFonts w:ascii="宋体"/>
                <w:vanish/>
              </w:rPr>
            </w:pPr>
          </w:p>
        </w:tc>
        <w:tc>
          <w:tcPr>
            <w:tcW w:w="0" w:type="auto"/>
            <w:gridSpan w:val="3"/>
            <w:shd w:val="clear" w:color="auto" w:fill="auto"/>
            <w:vAlign w:val="bottom"/>
          </w:tcPr>
          <w:p w14:paraId="71D4A118" w14:textId="77777777" w:rsidR="006A3667" w:rsidRDefault="006A3667">
            <w:pPr>
              <w:rPr>
                <w:rFonts w:ascii="宋体"/>
                <w:vanish/>
              </w:rPr>
            </w:pPr>
          </w:p>
        </w:tc>
        <w:tc>
          <w:tcPr>
            <w:tcW w:w="0" w:type="auto"/>
            <w:gridSpan w:val="3"/>
            <w:shd w:val="clear" w:color="auto" w:fill="auto"/>
            <w:vAlign w:val="bottom"/>
          </w:tcPr>
          <w:p w14:paraId="71D4A119" w14:textId="77777777" w:rsidR="006A3667" w:rsidRDefault="006A3667">
            <w:pPr>
              <w:rPr>
                <w:rFonts w:ascii="宋体"/>
                <w:vanish/>
              </w:rPr>
            </w:pPr>
          </w:p>
        </w:tc>
        <w:tc>
          <w:tcPr>
            <w:tcW w:w="0" w:type="auto"/>
            <w:gridSpan w:val="3"/>
            <w:shd w:val="clear" w:color="auto" w:fill="auto"/>
            <w:vAlign w:val="bottom"/>
          </w:tcPr>
          <w:p w14:paraId="71D4A11A" w14:textId="77777777" w:rsidR="006A3667" w:rsidRDefault="006A3667">
            <w:pPr>
              <w:rPr>
                <w:rFonts w:ascii="宋体"/>
                <w:vanish/>
              </w:rPr>
            </w:pPr>
          </w:p>
        </w:tc>
        <w:tc>
          <w:tcPr>
            <w:tcW w:w="0" w:type="auto"/>
            <w:gridSpan w:val="3"/>
            <w:shd w:val="clear" w:color="auto" w:fill="auto"/>
            <w:vAlign w:val="bottom"/>
          </w:tcPr>
          <w:p w14:paraId="71D4A11B" w14:textId="77777777" w:rsidR="006A3667" w:rsidRDefault="006A3667">
            <w:pPr>
              <w:rPr>
                <w:rFonts w:ascii="宋体"/>
                <w:vanish/>
              </w:rPr>
            </w:pPr>
          </w:p>
        </w:tc>
        <w:tc>
          <w:tcPr>
            <w:tcW w:w="0" w:type="auto"/>
            <w:gridSpan w:val="3"/>
            <w:shd w:val="clear" w:color="auto" w:fill="auto"/>
            <w:vAlign w:val="bottom"/>
          </w:tcPr>
          <w:p w14:paraId="71D4A11C" w14:textId="77777777" w:rsidR="006A3667" w:rsidRDefault="006A3667">
            <w:pPr>
              <w:rPr>
                <w:rFonts w:ascii="宋体"/>
                <w:vanish/>
              </w:rPr>
            </w:pPr>
          </w:p>
        </w:tc>
        <w:tc>
          <w:tcPr>
            <w:tcW w:w="0" w:type="auto"/>
            <w:gridSpan w:val="3"/>
            <w:shd w:val="clear" w:color="auto" w:fill="auto"/>
            <w:vAlign w:val="bottom"/>
          </w:tcPr>
          <w:p w14:paraId="71D4A11D" w14:textId="77777777" w:rsidR="006A3667" w:rsidRDefault="006A3667">
            <w:pPr>
              <w:rPr>
                <w:rFonts w:ascii="宋体"/>
                <w:vanish/>
              </w:rPr>
            </w:pPr>
          </w:p>
        </w:tc>
        <w:tc>
          <w:tcPr>
            <w:tcW w:w="0" w:type="auto"/>
            <w:gridSpan w:val="3"/>
            <w:shd w:val="clear" w:color="auto" w:fill="auto"/>
            <w:vAlign w:val="bottom"/>
          </w:tcPr>
          <w:p w14:paraId="71D4A11E" w14:textId="77777777" w:rsidR="006A3667" w:rsidRDefault="006A3667">
            <w:pPr>
              <w:rPr>
                <w:rFonts w:ascii="宋体"/>
                <w:vanish/>
              </w:rPr>
            </w:pPr>
          </w:p>
        </w:tc>
        <w:tc>
          <w:tcPr>
            <w:tcW w:w="0" w:type="auto"/>
            <w:gridSpan w:val="3"/>
            <w:shd w:val="clear" w:color="auto" w:fill="auto"/>
            <w:vAlign w:val="bottom"/>
          </w:tcPr>
          <w:p w14:paraId="71D4A11F" w14:textId="77777777" w:rsidR="006A3667" w:rsidRDefault="006A3667">
            <w:pPr>
              <w:rPr>
                <w:rFonts w:ascii="宋体"/>
                <w:vanish/>
              </w:rPr>
            </w:pPr>
          </w:p>
        </w:tc>
        <w:tc>
          <w:tcPr>
            <w:tcW w:w="0" w:type="auto"/>
            <w:gridSpan w:val="3"/>
            <w:shd w:val="clear" w:color="auto" w:fill="auto"/>
            <w:vAlign w:val="bottom"/>
          </w:tcPr>
          <w:p w14:paraId="71D4A120" w14:textId="77777777" w:rsidR="006A3667" w:rsidRDefault="006A3667">
            <w:pPr>
              <w:rPr>
                <w:rFonts w:ascii="宋体"/>
                <w:vanish/>
              </w:rPr>
            </w:pPr>
          </w:p>
        </w:tc>
        <w:tc>
          <w:tcPr>
            <w:tcW w:w="0" w:type="auto"/>
            <w:gridSpan w:val="3"/>
            <w:shd w:val="clear" w:color="auto" w:fill="auto"/>
            <w:vAlign w:val="bottom"/>
          </w:tcPr>
          <w:p w14:paraId="71D4A121" w14:textId="77777777" w:rsidR="006A3667" w:rsidRDefault="006A3667">
            <w:pPr>
              <w:rPr>
                <w:rFonts w:ascii="宋体"/>
                <w:vanish/>
              </w:rPr>
            </w:pPr>
          </w:p>
        </w:tc>
        <w:tc>
          <w:tcPr>
            <w:tcW w:w="0" w:type="auto"/>
            <w:gridSpan w:val="3"/>
            <w:shd w:val="clear" w:color="auto" w:fill="auto"/>
            <w:vAlign w:val="bottom"/>
          </w:tcPr>
          <w:p w14:paraId="71D4A122" w14:textId="77777777" w:rsidR="006A3667" w:rsidRDefault="006A3667">
            <w:pPr>
              <w:rPr>
                <w:rFonts w:ascii="宋体"/>
                <w:vanish/>
              </w:rPr>
            </w:pPr>
          </w:p>
        </w:tc>
        <w:tc>
          <w:tcPr>
            <w:tcW w:w="0" w:type="auto"/>
            <w:gridSpan w:val="3"/>
            <w:shd w:val="clear" w:color="auto" w:fill="auto"/>
            <w:vAlign w:val="bottom"/>
          </w:tcPr>
          <w:p w14:paraId="71D4A123" w14:textId="77777777" w:rsidR="006A3667" w:rsidRDefault="006A3667">
            <w:pPr>
              <w:rPr>
                <w:rFonts w:ascii="宋体"/>
                <w:vanish/>
              </w:rPr>
            </w:pPr>
          </w:p>
        </w:tc>
        <w:tc>
          <w:tcPr>
            <w:tcW w:w="0" w:type="auto"/>
            <w:gridSpan w:val="3"/>
            <w:shd w:val="clear" w:color="auto" w:fill="auto"/>
            <w:vAlign w:val="bottom"/>
          </w:tcPr>
          <w:p w14:paraId="71D4A124" w14:textId="77777777" w:rsidR="006A3667" w:rsidRDefault="006A3667">
            <w:pPr>
              <w:rPr>
                <w:rFonts w:ascii="宋体"/>
                <w:vanish/>
              </w:rPr>
            </w:pPr>
          </w:p>
        </w:tc>
        <w:tc>
          <w:tcPr>
            <w:tcW w:w="0" w:type="auto"/>
            <w:gridSpan w:val="3"/>
            <w:shd w:val="clear" w:color="auto" w:fill="auto"/>
            <w:vAlign w:val="bottom"/>
          </w:tcPr>
          <w:p w14:paraId="71D4A125" w14:textId="77777777" w:rsidR="006A3667" w:rsidRDefault="006A3667">
            <w:pPr>
              <w:rPr>
                <w:rFonts w:ascii="宋体"/>
                <w:vanish/>
              </w:rPr>
            </w:pPr>
          </w:p>
        </w:tc>
      </w:tr>
      <w:tr w:rsidR="006A3667" w14:paraId="71D4A13B" w14:textId="77777777">
        <w:trPr>
          <w:hidden/>
        </w:trPr>
        <w:tc>
          <w:tcPr>
            <w:tcW w:w="0" w:type="auto"/>
            <w:gridSpan w:val="3"/>
            <w:shd w:val="clear" w:color="auto" w:fill="auto"/>
            <w:vAlign w:val="bottom"/>
          </w:tcPr>
          <w:p w14:paraId="71D4A127" w14:textId="77777777" w:rsidR="006A3667" w:rsidRDefault="006A3667">
            <w:pPr>
              <w:rPr>
                <w:rFonts w:ascii="宋体"/>
                <w:vanish/>
              </w:rPr>
            </w:pPr>
          </w:p>
        </w:tc>
        <w:tc>
          <w:tcPr>
            <w:tcW w:w="0" w:type="auto"/>
            <w:gridSpan w:val="3"/>
            <w:shd w:val="clear" w:color="auto" w:fill="auto"/>
            <w:vAlign w:val="bottom"/>
          </w:tcPr>
          <w:p w14:paraId="71D4A128" w14:textId="77777777" w:rsidR="006A3667" w:rsidRDefault="006A3667">
            <w:pPr>
              <w:rPr>
                <w:rFonts w:ascii="宋体"/>
                <w:vanish/>
              </w:rPr>
            </w:pPr>
          </w:p>
        </w:tc>
        <w:tc>
          <w:tcPr>
            <w:tcW w:w="0" w:type="auto"/>
            <w:gridSpan w:val="3"/>
            <w:shd w:val="clear" w:color="auto" w:fill="auto"/>
            <w:vAlign w:val="bottom"/>
          </w:tcPr>
          <w:p w14:paraId="71D4A129" w14:textId="77777777" w:rsidR="006A3667" w:rsidRDefault="006A3667">
            <w:pPr>
              <w:rPr>
                <w:rFonts w:ascii="宋体"/>
                <w:vanish/>
              </w:rPr>
            </w:pPr>
          </w:p>
        </w:tc>
        <w:tc>
          <w:tcPr>
            <w:tcW w:w="0" w:type="auto"/>
            <w:gridSpan w:val="3"/>
            <w:shd w:val="clear" w:color="auto" w:fill="auto"/>
            <w:vAlign w:val="bottom"/>
          </w:tcPr>
          <w:p w14:paraId="71D4A12A" w14:textId="77777777" w:rsidR="006A3667" w:rsidRDefault="006A3667">
            <w:pPr>
              <w:rPr>
                <w:rFonts w:ascii="宋体"/>
                <w:vanish/>
              </w:rPr>
            </w:pPr>
          </w:p>
        </w:tc>
        <w:tc>
          <w:tcPr>
            <w:tcW w:w="0" w:type="auto"/>
            <w:gridSpan w:val="3"/>
            <w:shd w:val="clear" w:color="auto" w:fill="auto"/>
            <w:vAlign w:val="bottom"/>
          </w:tcPr>
          <w:p w14:paraId="71D4A12B" w14:textId="77777777" w:rsidR="006A3667" w:rsidRDefault="006A3667">
            <w:pPr>
              <w:rPr>
                <w:rFonts w:ascii="宋体"/>
                <w:vanish/>
              </w:rPr>
            </w:pPr>
          </w:p>
        </w:tc>
        <w:tc>
          <w:tcPr>
            <w:tcW w:w="0" w:type="auto"/>
            <w:gridSpan w:val="3"/>
            <w:shd w:val="clear" w:color="auto" w:fill="auto"/>
            <w:vAlign w:val="bottom"/>
          </w:tcPr>
          <w:p w14:paraId="71D4A12C" w14:textId="77777777" w:rsidR="006A3667" w:rsidRDefault="006A3667">
            <w:pPr>
              <w:rPr>
                <w:rFonts w:ascii="宋体"/>
                <w:vanish/>
              </w:rPr>
            </w:pPr>
          </w:p>
        </w:tc>
        <w:tc>
          <w:tcPr>
            <w:tcW w:w="0" w:type="auto"/>
            <w:gridSpan w:val="3"/>
            <w:shd w:val="clear" w:color="auto" w:fill="auto"/>
            <w:vAlign w:val="bottom"/>
          </w:tcPr>
          <w:p w14:paraId="71D4A12D" w14:textId="77777777" w:rsidR="006A3667" w:rsidRDefault="006A3667">
            <w:pPr>
              <w:rPr>
                <w:rFonts w:ascii="宋体"/>
                <w:vanish/>
              </w:rPr>
            </w:pPr>
          </w:p>
        </w:tc>
        <w:tc>
          <w:tcPr>
            <w:tcW w:w="0" w:type="auto"/>
            <w:gridSpan w:val="3"/>
            <w:shd w:val="clear" w:color="auto" w:fill="auto"/>
            <w:vAlign w:val="bottom"/>
          </w:tcPr>
          <w:p w14:paraId="71D4A12E" w14:textId="77777777" w:rsidR="006A3667" w:rsidRDefault="006A3667">
            <w:pPr>
              <w:rPr>
                <w:rFonts w:ascii="宋体"/>
                <w:vanish/>
              </w:rPr>
            </w:pPr>
          </w:p>
        </w:tc>
        <w:tc>
          <w:tcPr>
            <w:tcW w:w="0" w:type="auto"/>
            <w:gridSpan w:val="3"/>
            <w:shd w:val="clear" w:color="auto" w:fill="auto"/>
            <w:vAlign w:val="bottom"/>
          </w:tcPr>
          <w:p w14:paraId="71D4A12F" w14:textId="77777777" w:rsidR="006A3667" w:rsidRDefault="006A3667">
            <w:pPr>
              <w:rPr>
                <w:rFonts w:ascii="宋体"/>
                <w:vanish/>
              </w:rPr>
            </w:pPr>
          </w:p>
        </w:tc>
        <w:tc>
          <w:tcPr>
            <w:tcW w:w="0" w:type="auto"/>
            <w:gridSpan w:val="3"/>
            <w:shd w:val="clear" w:color="auto" w:fill="auto"/>
            <w:vAlign w:val="bottom"/>
          </w:tcPr>
          <w:p w14:paraId="71D4A130" w14:textId="77777777" w:rsidR="006A3667" w:rsidRDefault="006A3667">
            <w:pPr>
              <w:rPr>
                <w:rFonts w:ascii="宋体"/>
                <w:vanish/>
              </w:rPr>
            </w:pPr>
          </w:p>
        </w:tc>
        <w:tc>
          <w:tcPr>
            <w:tcW w:w="0" w:type="auto"/>
            <w:gridSpan w:val="3"/>
            <w:shd w:val="clear" w:color="auto" w:fill="auto"/>
            <w:vAlign w:val="bottom"/>
          </w:tcPr>
          <w:p w14:paraId="71D4A131" w14:textId="77777777" w:rsidR="006A3667" w:rsidRDefault="006A3667">
            <w:pPr>
              <w:rPr>
                <w:rFonts w:ascii="宋体"/>
                <w:vanish/>
              </w:rPr>
            </w:pPr>
          </w:p>
        </w:tc>
        <w:tc>
          <w:tcPr>
            <w:tcW w:w="0" w:type="auto"/>
            <w:gridSpan w:val="3"/>
            <w:shd w:val="clear" w:color="auto" w:fill="auto"/>
            <w:vAlign w:val="bottom"/>
          </w:tcPr>
          <w:p w14:paraId="71D4A132" w14:textId="77777777" w:rsidR="006A3667" w:rsidRDefault="006A3667">
            <w:pPr>
              <w:rPr>
                <w:rFonts w:ascii="宋体"/>
                <w:vanish/>
              </w:rPr>
            </w:pPr>
          </w:p>
        </w:tc>
        <w:tc>
          <w:tcPr>
            <w:tcW w:w="0" w:type="auto"/>
            <w:gridSpan w:val="3"/>
            <w:shd w:val="clear" w:color="auto" w:fill="auto"/>
            <w:vAlign w:val="bottom"/>
          </w:tcPr>
          <w:p w14:paraId="71D4A133" w14:textId="77777777" w:rsidR="006A3667" w:rsidRDefault="006A3667">
            <w:pPr>
              <w:rPr>
                <w:rFonts w:ascii="宋体"/>
                <w:vanish/>
              </w:rPr>
            </w:pPr>
          </w:p>
        </w:tc>
        <w:tc>
          <w:tcPr>
            <w:tcW w:w="0" w:type="auto"/>
            <w:gridSpan w:val="3"/>
            <w:shd w:val="clear" w:color="auto" w:fill="auto"/>
            <w:vAlign w:val="bottom"/>
          </w:tcPr>
          <w:p w14:paraId="71D4A134" w14:textId="77777777" w:rsidR="006A3667" w:rsidRDefault="006A3667">
            <w:pPr>
              <w:rPr>
                <w:rFonts w:ascii="宋体"/>
                <w:vanish/>
              </w:rPr>
            </w:pPr>
          </w:p>
        </w:tc>
        <w:tc>
          <w:tcPr>
            <w:tcW w:w="0" w:type="auto"/>
            <w:gridSpan w:val="3"/>
            <w:shd w:val="clear" w:color="auto" w:fill="auto"/>
            <w:vAlign w:val="bottom"/>
          </w:tcPr>
          <w:p w14:paraId="71D4A135" w14:textId="77777777" w:rsidR="006A3667" w:rsidRDefault="006A3667">
            <w:pPr>
              <w:rPr>
                <w:rFonts w:ascii="宋体"/>
                <w:vanish/>
              </w:rPr>
            </w:pPr>
          </w:p>
        </w:tc>
        <w:tc>
          <w:tcPr>
            <w:tcW w:w="0" w:type="auto"/>
            <w:gridSpan w:val="3"/>
            <w:shd w:val="clear" w:color="auto" w:fill="auto"/>
            <w:vAlign w:val="bottom"/>
          </w:tcPr>
          <w:p w14:paraId="71D4A136" w14:textId="77777777" w:rsidR="006A3667" w:rsidRDefault="006A3667">
            <w:pPr>
              <w:rPr>
                <w:rFonts w:ascii="宋体"/>
                <w:vanish/>
              </w:rPr>
            </w:pPr>
          </w:p>
        </w:tc>
        <w:tc>
          <w:tcPr>
            <w:tcW w:w="0" w:type="auto"/>
            <w:gridSpan w:val="3"/>
            <w:shd w:val="clear" w:color="auto" w:fill="auto"/>
            <w:vAlign w:val="bottom"/>
          </w:tcPr>
          <w:p w14:paraId="71D4A137" w14:textId="77777777" w:rsidR="006A3667" w:rsidRDefault="006A3667">
            <w:pPr>
              <w:rPr>
                <w:rFonts w:ascii="宋体"/>
                <w:vanish/>
              </w:rPr>
            </w:pPr>
          </w:p>
        </w:tc>
        <w:tc>
          <w:tcPr>
            <w:tcW w:w="0" w:type="auto"/>
            <w:gridSpan w:val="3"/>
            <w:shd w:val="clear" w:color="auto" w:fill="auto"/>
            <w:vAlign w:val="bottom"/>
          </w:tcPr>
          <w:p w14:paraId="71D4A138" w14:textId="77777777" w:rsidR="006A3667" w:rsidRDefault="006A3667">
            <w:pPr>
              <w:rPr>
                <w:rFonts w:ascii="宋体"/>
                <w:vanish/>
              </w:rPr>
            </w:pPr>
          </w:p>
        </w:tc>
        <w:tc>
          <w:tcPr>
            <w:tcW w:w="0" w:type="auto"/>
            <w:gridSpan w:val="3"/>
            <w:shd w:val="clear" w:color="auto" w:fill="auto"/>
            <w:vAlign w:val="bottom"/>
          </w:tcPr>
          <w:p w14:paraId="71D4A139" w14:textId="77777777" w:rsidR="006A3667" w:rsidRDefault="006A3667">
            <w:pPr>
              <w:rPr>
                <w:rFonts w:ascii="宋体"/>
                <w:vanish/>
              </w:rPr>
            </w:pPr>
          </w:p>
        </w:tc>
        <w:tc>
          <w:tcPr>
            <w:tcW w:w="0" w:type="auto"/>
            <w:gridSpan w:val="3"/>
            <w:shd w:val="clear" w:color="auto" w:fill="auto"/>
            <w:vAlign w:val="bottom"/>
          </w:tcPr>
          <w:p w14:paraId="71D4A13A" w14:textId="77777777" w:rsidR="006A3667" w:rsidRDefault="006A3667">
            <w:pPr>
              <w:rPr>
                <w:rFonts w:ascii="宋体"/>
                <w:vanish/>
              </w:rPr>
            </w:pPr>
          </w:p>
        </w:tc>
      </w:tr>
      <w:tr w:rsidR="006A3667" w14:paraId="71D4A150" w14:textId="77777777">
        <w:trPr>
          <w:hidden/>
        </w:trPr>
        <w:tc>
          <w:tcPr>
            <w:tcW w:w="0" w:type="auto"/>
            <w:gridSpan w:val="3"/>
            <w:shd w:val="clear" w:color="auto" w:fill="auto"/>
            <w:vAlign w:val="bottom"/>
          </w:tcPr>
          <w:p w14:paraId="71D4A13C" w14:textId="77777777" w:rsidR="006A3667" w:rsidRDefault="006A3667">
            <w:pPr>
              <w:rPr>
                <w:rFonts w:ascii="宋体"/>
                <w:vanish/>
              </w:rPr>
            </w:pPr>
          </w:p>
        </w:tc>
        <w:tc>
          <w:tcPr>
            <w:tcW w:w="0" w:type="auto"/>
            <w:gridSpan w:val="3"/>
            <w:shd w:val="clear" w:color="auto" w:fill="auto"/>
            <w:vAlign w:val="bottom"/>
          </w:tcPr>
          <w:p w14:paraId="71D4A13D" w14:textId="77777777" w:rsidR="006A3667" w:rsidRDefault="006A3667">
            <w:pPr>
              <w:rPr>
                <w:rFonts w:ascii="宋体"/>
                <w:vanish/>
              </w:rPr>
            </w:pPr>
          </w:p>
        </w:tc>
        <w:tc>
          <w:tcPr>
            <w:tcW w:w="0" w:type="auto"/>
            <w:gridSpan w:val="3"/>
            <w:shd w:val="clear" w:color="auto" w:fill="auto"/>
            <w:vAlign w:val="bottom"/>
          </w:tcPr>
          <w:p w14:paraId="71D4A13E" w14:textId="77777777" w:rsidR="006A3667" w:rsidRDefault="006A3667">
            <w:pPr>
              <w:rPr>
                <w:rFonts w:ascii="宋体"/>
                <w:vanish/>
              </w:rPr>
            </w:pPr>
          </w:p>
        </w:tc>
        <w:tc>
          <w:tcPr>
            <w:tcW w:w="0" w:type="auto"/>
            <w:gridSpan w:val="3"/>
            <w:shd w:val="clear" w:color="auto" w:fill="auto"/>
            <w:vAlign w:val="bottom"/>
          </w:tcPr>
          <w:p w14:paraId="71D4A13F" w14:textId="77777777" w:rsidR="006A3667" w:rsidRDefault="006A3667">
            <w:pPr>
              <w:rPr>
                <w:rFonts w:ascii="宋体"/>
                <w:vanish/>
              </w:rPr>
            </w:pPr>
          </w:p>
        </w:tc>
        <w:tc>
          <w:tcPr>
            <w:tcW w:w="0" w:type="auto"/>
            <w:gridSpan w:val="3"/>
            <w:shd w:val="clear" w:color="auto" w:fill="auto"/>
            <w:vAlign w:val="bottom"/>
          </w:tcPr>
          <w:p w14:paraId="71D4A140" w14:textId="77777777" w:rsidR="006A3667" w:rsidRDefault="006A3667">
            <w:pPr>
              <w:rPr>
                <w:rFonts w:ascii="宋体"/>
                <w:vanish/>
              </w:rPr>
            </w:pPr>
          </w:p>
        </w:tc>
        <w:tc>
          <w:tcPr>
            <w:tcW w:w="0" w:type="auto"/>
            <w:gridSpan w:val="3"/>
            <w:shd w:val="clear" w:color="auto" w:fill="auto"/>
            <w:vAlign w:val="bottom"/>
          </w:tcPr>
          <w:p w14:paraId="71D4A141" w14:textId="77777777" w:rsidR="006A3667" w:rsidRDefault="006A3667">
            <w:pPr>
              <w:rPr>
                <w:rFonts w:ascii="宋体"/>
                <w:vanish/>
              </w:rPr>
            </w:pPr>
          </w:p>
        </w:tc>
        <w:tc>
          <w:tcPr>
            <w:tcW w:w="0" w:type="auto"/>
            <w:gridSpan w:val="3"/>
            <w:shd w:val="clear" w:color="auto" w:fill="auto"/>
            <w:vAlign w:val="bottom"/>
          </w:tcPr>
          <w:p w14:paraId="71D4A142" w14:textId="77777777" w:rsidR="006A3667" w:rsidRDefault="006A3667">
            <w:pPr>
              <w:rPr>
                <w:rFonts w:ascii="宋体"/>
                <w:vanish/>
              </w:rPr>
            </w:pPr>
          </w:p>
        </w:tc>
        <w:tc>
          <w:tcPr>
            <w:tcW w:w="0" w:type="auto"/>
            <w:gridSpan w:val="3"/>
            <w:shd w:val="clear" w:color="auto" w:fill="auto"/>
            <w:vAlign w:val="bottom"/>
          </w:tcPr>
          <w:p w14:paraId="71D4A143" w14:textId="77777777" w:rsidR="006A3667" w:rsidRDefault="006A3667">
            <w:pPr>
              <w:rPr>
                <w:rFonts w:ascii="宋体"/>
                <w:vanish/>
              </w:rPr>
            </w:pPr>
          </w:p>
        </w:tc>
        <w:tc>
          <w:tcPr>
            <w:tcW w:w="0" w:type="auto"/>
            <w:gridSpan w:val="3"/>
            <w:shd w:val="clear" w:color="auto" w:fill="auto"/>
            <w:vAlign w:val="bottom"/>
          </w:tcPr>
          <w:p w14:paraId="71D4A144" w14:textId="77777777" w:rsidR="006A3667" w:rsidRDefault="006A3667">
            <w:pPr>
              <w:rPr>
                <w:rFonts w:ascii="宋体"/>
                <w:vanish/>
              </w:rPr>
            </w:pPr>
          </w:p>
        </w:tc>
        <w:tc>
          <w:tcPr>
            <w:tcW w:w="0" w:type="auto"/>
            <w:gridSpan w:val="3"/>
            <w:shd w:val="clear" w:color="auto" w:fill="auto"/>
            <w:vAlign w:val="bottom"/>
          </w:tcPr>
          <w:p w14:paraId="71D4A145" w14:textId="77777777" w:rsidR="006A3667" w:rsidRDefault="006A3667">
            <w:pPr>
              <w:rPr>
                <w:rFonts w:ascii="宋体"/>
                <w:vanish/>
              </w:rPr>
            </w:pPr>
          </w:p>
        </w:tc>
        <w:tc>
          <w:tcPr>
            <w:tcW w:w="0" w:type="auto"/>
            <w:gridSpan w:val="3"/>
            <w:shd w:val="clear" w:color="auto" w:fill="auto"/>
            <w:vAlign w:val="bottom"/>
          </w:tcPr>
          <w:p w14:paraId="71D4A146" w14:textId="77777777" w:rsidR="006A3667" w:rsidRDefault="006A3667">
            <w:pPr>
              <w:rPr>
                <w:rFonts w:ascii="宋体"/>
                <w:vanish/>
              </w:rPr>
            </w:pPr>
          </w:p>
        </w:tc>
        <w:tc>
          <w:tcPr>
            <w:tcW w:w="0" w:type="auto"/>
            <w:gridSpan w:val="3"/>
            <w:shd w:val="clear" w:color="auto" w:fill="auto"/>
            <w:vAlign w:val="bottom"/>
          </w:tcPr>
          <w:p w14:paraId="71D4A147" w14:textId="77777777" w:rsidR="006A3667" w:rsidRDefault="006A3667">
            <w:pPr>
              <w:rPr>
                <w:rFonts w:ascii="宋体"/>
                <w:vanish/>
              </w:rPr>
            </w:pPr>
          </w:p>
        </w:tc>
        <w:tc>
          <w:tcPr>
            <w:tcW w:w="0" w:type="auto"/>
            <w:gridSpan w:val="3"/>
            <w:shd w:val="clear" w:color="auto" w:fill="auto"/>
            <w:vAlign w:val="bottom"/>
          </w:tcPr>
          <w:p w14:paraId="71D4A148" w14:textId="77777777" w:rsidR="006A3667" w:rsidRDefault="006A3667">
            <w:pPr>
              <w:rPr>
                <w:rFonts w:ascii="宋体"/>
                <w:vanish/>
              </w:rPr>
            </w:pPr>
          </w:p>
        </w:tc>
        <w:tc>
          <w:tcPr>
            <w:tcW w:w="0" w:type="auto"/>
            <w:gridSpan w:val="3"/>
            <w:shd w:val="clear" w:color="auto" w:fill="auto"/>
            <w:vAlign w:val="bottom"/>
          </w:tcPr>
          <w:p w14:paraId="71D4A149" w14:textId="77777777" w:rsidR="006A3667" w:rsidRDefault="006A3667">
            <w:pPr>
              <w:rPr>
                <w:rFonts w:ascii="宋体"/>
                <w:vanish/>
              </w:rPr>
            </w:pPr>
          </w:p>
        </w:tc>
        <w:tc>
          <w:tcPr>
            <w:tcW w:w="0" w:type="auto"/>
            <w:gridSpan w:val="3"/>
            <w:shd w:val="clear" w:color="auto" w:fill="auto"/>
            <w:vAlign w:val="bottom"/>
          </w:tcPr>
          <w:p w14:paraId="71D4A14A" w14:textId="77777777" w:rsidR="006A3667" w:rsidRDefault="006A3667">
            <w:pPr>
              <w:rPr>
                <w:rFonts w:ascii="宋体"/>
                <w:vanish/>
              </w:rPr>
            </w:pPr>
          </w:p>
        </w:tc>
        <w:tc>
          <w:tcPr>
            <w:tcW w:w="0" w:type="auto"/>
            <w:gridSpan w:val="3"/>
            <w:shd w:val="clear" w:color="auto" w:fill="auto"/>
            <w:vAlign w:val="bottom"/>
          </w:tcPr>
          <w:p w14:paraId="71D4A14B" w14:textId="77777777" w:rsidR="006A3667" w:rsidRDefault="006A3667">
            <w:pPr>
              <w:rPr>
                <w:rFonts w:ascii="宋体"/>
                <w:vanish/>
              </w:rPr>
            </w:pPr>
          </w:p>
        </w:tc>
        <w:tc>
          <w:tcPr>
            <w:tcW w:w="0" w:type="auto"/>
            <w:gridSpan w:val="3"/>
            <w:shd w:val="clear" w:color="auto" w:fill="auto"/>
            <w:vAlign w:val="bottom"/>
          </w:tcPr>
          <w:p w14:paraId="71D4A14C" w14:textId="77777777" w:rsidR="006A3667" w:rsidRDefault="006A3667">
            <w:pPr>
              <w:rPr>
                <w:rFonts w:ascii="宋体"/>
                <w:vanish/>
              </w:rPr>
            </w:pPr>
          </w:p>
        </w:tc>
        <w:tc>
          <w:tcPr>
            <w:tcW w:w="0" w:type="auto"/>
            <w:gridSpan w:val="3"/>
            <w:shd w:val="clear" w:color="auto" w:fill="auto"/>
            <w:vAlign w:val="bottom"/>
          </w:tcPr>
          <w:p w14:paraId="71D4A14D" w14:textId="77777777" w:rsidR="006A3667" w:rsidRDefault="006A3667">
            <w:pPr>
              <w:rPr>
                <w:rFonts w:ascii="宋体"/>
                <w:vanish/>
              </w:rPr>
            </w:pPr>
          </w:p>
        </w:tc>
        <w:tc>
          <w:tcPr>
            <w:tcW w:w="0" w:type="auto"/>
            <w:gridSpan w:val="3"/>
            <w:shd w:val="clear" w:color="auto" w:fill="auto"/>
            <w:vAlign w:val="bottom"/>
          </w:tcPr>
          <w:p w14:paraId="71D4A14E" w14:textId="77777777" w:rsidR="006A3667" w:rsidRDefault="006A3667">
            <w:pPr>
              <w:rPr>
                <w:rFonts w:ascii="宋体"/>
                <w:vanish/>
              </w:rPr>
            </w:pPr>
          </w:p>
        </w:tc>
        <w:tc>
          <w:tcPr>
            <w:tcW w:w="0" w:type="auto"/>
            <w:gridSpan w:val="3"/>
            <w:shd w:val="clear" w:color="auto" w:fill="auto"/>
            <w:vAlign w:val="bottom"/>
          </w:tcPr>
          <w:p w14:paraId="71D4A14F" w14:textId="77777777" w:rsidR="006A3667" w:rsidRDefault="006A3667">
            <w:pPr>
              <w:rPr>
                <w:rFonts w:ascii="宋体"/>
                <w:vanish/>
              </w:rPr>
            </w:pPr>
          </w:p>
        </w:tc>
      </w:tr>
      <w:tr w:rsidR="006A3667" w14:paraId="71D4A165" w14:textId="77777777">
        <w:trPr>
          <w:hidden/>
        </w:trPr>
        <w:tc>
          <w:tcPr>
            <w:tcW w:w="0" w:type="auto"/>
            <w:gridSpan w:val="3"/>
            <w:shd w:val="clear" w:color="auto" w:fill="auto"/>
            <w:vAlign w:val="bottom"/>
          </w:tcPr>
          <w:p w14:paraId="71D4A151" w14:textId="77777777" w:rsidR="006A3667" w:rsidRDefault="006A3667">
            <w:pPr>
              <w:rPr>
                <w:rFonts w:ascii="宋体"/>
                <w:vanish/>
              </w:rPr>
            </w:pPr>
          </w:p>
        </w:tc>
        <w:tc>
          <w:tcPr>
            <w:tcW w:w="0" w:type="auto"/>
            <w:gridSpan w:val="3"/>
            <w:shd w:val="clear" w:color="auto" w:fill="auto"/>
            <w:vAlign w:val="bottom"/>
          </w:tcPr>
          <w:p w14:paraId="71D4A152" w14:textId="77777777" w:rsidR="006A3667" w:rsidRDefault="006A3667">
            <w:pPr>
              <w:rPr>
                <w:rFonts w:ascii="宋体"/>
                <w:vanish/>
              </w:rPr>
            </w:pPr>
          </w:p>
        </w:tc>
        <w:tc>
          <w:tcPr>
            <w:tcW w:w="0" w:type="auto"/>
            <w:gridSpan w:val="3"/>
            <w:shd w:val="clear" w:color="auto" w:fill="auto"/>
            <w:vAlign w:val="bottom"/>
          </w:tcPr>
          <w:p w14:paraId="71D4A153" w14:textId="77777777" w:rsidR="006A3667" w:rsidRDefault="006A3667">
            <w:pPr>
              <w:rPr>
                <w:rFonts w:ascii="宋体"/>
                <w:vanish/>
              </w:rPr>
            </w:pPr>
          </w:p>
        </w:tc>
        <w:tc>
          <w:tcPr>
            <w:tcW w:w="0" w:type="auto"/>
            <w:gridSpan w:val="3"/>
            <w:shd w:val="clear" w:color="auto" w:fill="auto"/>
            <w:vAlign w:val="bottom"/>
          </w:tcPr>
          <w:p w14:paraId="71D4A154" w14:textId="77777777" w:rsidR="006A3667" w:rsidRDefault="006A3667">
            <w:pPr>
              <w:rPr>
                <w:rFonts w:ascii="宋体"/>
                <w:vanish/>
              </w:rPr>
            </w:pPr>
          </w:p>
        </w:tc>
        <w:tc>
          <w:tcPr>
            <w:tcW w:w="0" w:type="auto"/>
            <w:gridSpan w:val="3"/>
            <w:shd w:val="clear" w:color="auto" w:fill="auto"/>
            <w:vAlign w:val="bottom"/>
          </w:tcPr>
          <w:p w14:paraId="71D4A155" w14:textId="77777777" w:rsidR="006A3667" w:rsidRDefault="006A3667">
            <w:pPr>
              <w:rPr>
                <w:rFonts w:ascii="宋体"/>
                <w:vanish/>
              </w:rPr>
            </w:pPr>
          </w:p>
        </w:tc>
        <w:tc>
          <w:tcPr>
            <w:tcW w:w="0" w:type="auto"/>
            <w:gridSpan w:val="3"/>
            <w:shd w:val="clear" w:color="auto" w:fill="auto"/>
            <w:vAlign w:val="bottom"/>
          </w:tcPr>
          <w:p w14:paraId="71D4A156" w14:textId="77777777" w:rsidR="006A3667" w:rsidRDefault="006A3667">
            <w:pPr>
              <w:rPr>
                <w:rFonts w:ascii="宋体"/>
                <w:vanish/>
              </w:rPr>
            </w:pPr>
          </w:p>
        </w:tc>
        <w:tc>
          <w:tcPr>
            <w:tcW w:w="0" w:type="auto"/>
            <w:gridSpan w:val="3"/>
            <w:shd w:val="clear" w:color="auto" w:fill="auto"/>
            <w:vAlign w:val="bottom"/>
          </w:tcPr>
          <w:p w14:paraId="71D4A157" w14:textId="77777777" w:rsidR="006A3667" w:rsidRDefault="006A3667">
            <w:pPr>
              <w:rPr>
                <w:rFonts w:ascii="宋体"/>
                <w:vanish/>
              </w:rPr>
            </w:pPr>
          </w:p>
        </w:tc>
        <w:tc>
          <w:tcPr>
            <w:tcW w:w="0" w:type="auto"/>
            <w:gridSpan w:val="3"/>
            <w:shd w:val="clear" w:color="auto" w:fill="auto"/>
            <w:vAlign w:val="bottom"/>
          </w:tcPr>
          <w:p w14:paraId="71D4A158" w14:textId="77777777" w:rsidR="006A3667" w:rsidRDefault="006A3667">
            <w:pPr>
              <w:rPr>
                <w:rFonts w:ascii="宋体"/>
                <w:vanish/>
              </w:rPr>
            </w:pPr>
          </w:p>
        </w:tc>
        <w:tc>
          <w:tcPr>
            <w:tcW w:w="0" w:type="auto"/>
            <w:gridSpan w:val="3"/>
            <w:shd w:val="clear" w:color="auto" w:fill="auto"/>
            <w:vAlign w:val="bottom"/>
          </w:tcPr>
          <w:p w14:paraId="71D4A159" w14:textId="77777777" w:rsidR="006A3667" w:rsidRDefault="006A3667">
            <w:pPr>
              <w:rPr>
                <w:rFonts w:ascii="宋体"/>
                <w:vanish/>
              </w:rPr>
            </w:pPr>
          </w:p>
        </w:tc>
        <w:tc>
          <w:tcPr>
            <w:tcW w:w="0" w:type="auto"/>
            <w:gridSpan w:val="3"/>
            <w:shd w:val="clear" w:color="auto" w:fill="auto"/>
            <w:vAlign w:val="bottom"/>
          </w:tcPr>
          <w:p w14:paraId="71D4A15A" w14:textId="77777777" w:rsidR="006A3667" w:rsidRDefault="006A3667">
            <w:pPr>
              <w:rPr>
                <w:rFonts w:ascii="宋体"/>
                <w:vanish/>
              </w:rPr>
            </w:pPr>
          </w:p>
        </w:tc>
        <w:tc>
          <w:tcPr>
            <w:tcW w:w="0" w:type="auto"/>
            <w:gridSpan w:val="3"/>
            <w:shd w:val="clear" w:color="auto" w:fill="auto"/>
            <w:vAlign w:val="bottom"/>
          </w:tcPr>
          <w:p w14:paraId="71D4A15B" w14:textId="77777777" w:rsidR="006A3667" w:rsidRDefault="006A3667">
            <w:pPr>
              <w:rPr>
                <w:rFonts w:ascii="宋体"/>
                <w:vanish/>
              </w:rPr>
            </w:pPr>
          </w:p>
        </w:tc>
        <w:tc>
          <w:tcPr>
            <w:tcW w:w="0" w:type="auto"/>
            <w:gridSpan w:val="3"/>
            <w:shd w:val="clear" w:color="auto" w:fill="auto"/>
            <w:vAlign w:val="bottom"/>
          </w:tcPr>
          <w:p w14:paraId="71D4A15C" w14:textId="77777777" w:rsidR="006A3667" w:rsidRDefault="006A3667">
            <w:pPr>
              <w:rPr>
                <w:rFonts w:ascii="宋体"/>
                <w:vanish/>
              </w:rPr>
            </w:pPr>
          </w:p>
        </w:tc>
        <w:tc>
          <w:tcPr>
            <w:tcW w:w="0" w:type="auto"/>
            <w:gridSpan w:val="3"/>
            <w:shd w:val="clear" w:color="auto" w:fill="auto"/>
            <w:vAlign w:val="bottom"/>
          </w:tcPr>
          <w:p w14:paraId="71D4A15D" w14:textId="77777777" w:rsidR="006A3667" w:rsidRDefault="006A3667">
            <w:pPr>
              <w:rPr>
                <w:rFonts w:ascii="宋体"/>
                <w:vanish/>
              </w:rPr>
            </w:pPr>
          </w:p>
        </w:tc>
        <w:tc>
          <w:tcPr>
            <w:tcW w:w="0" w:type="auto"/>
            <w:gridSpan w:val="3"/>
            <w:shd w:val="clear" w:color="auto" w:fill="auto"/>
            <w:vAlign w:val="bottom"/>
          </w:tcPr>
          <w:p w14:paraId="71D4A15E" w14:textId="77777777" w:rsidR="006A3667" w:rsidRDefault="006A3667">
            <w:pPr>
              <w:rPr>
                <w:rFonts w:ascii="宋体"/>
                <w:vanish/>
              </w:rPr>
            </w:pPr>
          </w:p>
        </w:tc>
        <w:tc>
          <w:tcPr>
            <w:tcW w:w="0" w:type="auto"/>
            <w:gridSpan w:val="3"/>
            <w:shd w:val="clear" w:color="auto" w:fill="auto"/>
            <w:vAlign w:val="bottom"/>
          </w:tcPr>
          <w:p w14:paraId="71D4A15F" w14:textId="77777777" w:rsidR="006A3667" w:rsidRDefault="006A3667">
            <w:pPr>
              <w:rPr>
                <w:rFonts w:ascii="宋体"/>
                <w:vanish/>
              </w:rPr>
            </w:pPr>
          </w:p>
        </w:tc>
        <w:tc>
          <w:tcPr>
            <w:tcW w:w="0" w:type="auto"/>
            <w:gridSpan w:val="3"/>
            <w:shd w:val="clear" w:color="auto" w:fill="auto"/>
            <w:vAlign w:val="bottom"/>
          </w:tcPr>
          <w:p w14:paraId="71D4A160" w14:textId="77777777" w:rsidR="006A3667" w:rsidRDefault="006A3667">
            <w:pPr>
              <w:rPr>
                <w:rFonts w:ascii="宋体"/>
                <w:vanish/>
              </w:rPr>
            </w:pPr>
          </w:p>
        </w:tc>
        <w:tc>
          <w:tcPr>
            <w:tcW w:w="0" w:type="auto"/>
            <w:gridSpan w:val="3"/>
            <w:shd w:val="clear" w:color="auto" w:fill="auto"/>
            <w:vAlign w:val="bottom"/>
          </w:tcPr>
          <w:p w14:paraId="71D4A161" w14:textId="77777777" w:rsidR="006A3667" w:rsidRDefault="006A3667">
            <w:pPr>
              <w:rPr>
                <w:rFonts w:ascii="宋体"/>
                <w:vanish/>
              </w:rPr>
            </w:pPr>
          </w:p>
        </w:tc>
        <w:tc>
          <w:tcPr>
            <w:tcW w:w="0" w:type="auto"/>
            <w:gridSpan w:val="3"/>
            <w:shd w:val="clear" w:color="auto" w:fill="auto"/>
            <w:vAlign w:val="bottom"/>
          </w:tcPr>
          <w:p w14:paraId="71D4A162" w14:textId="77777777" w:rsidR="006A3667" w:rsidRDefault="006A3667">
            <w:pPr>
              <w:rPr>
                <w:rFonts w:ascii="宋体"/>
                <w:vanish/>
              </w:rPr>
            </w:pPr>
          </w:p>
        </w:tc>
        <w:tc>
          <w:tcPr>
            <w:tcW w:w="0" w:type="auto"/>
            <w:gridSpan w:val="3"/>
            <w:shd w:val="clear" w:color="auto" w:fill="auto"/>
            <w:vAlign w:val="bottom"/>
          </w:tcPr>
          <w:p w14:paraId="71D4A163" w14:textId="77777777" w:rsidR="006A3667" w:rsidRDefault="006A3667">
            <w:pPr>
              <w:rPr>
                <w:rFonts w:ascii="宋体"/>
                <w:vanish/>
              </w:rPr>
            </w:pPr>
          </w:p>
        </w:tc>
        <w:tc>
          <w:tcPr>
            <w:tcW w:w="0" w:type="auto"/>
            <w:gridSpan w:val="3"/>
            <w:shd w:val="clear" w:color="auto" w:fill="auto"/>
            <w:vAlign w:val="bottom"/>
          </w:tcPr>
          <w:p w14:paraId="71D4A164" w14:textId="77777777" w:rsidR="006A3667" w:rsidRDefault="006A3667">
            <w:pPr>
              <w:rPr>
                <w:rFonts w:ascii="宋体"/>
                <w:vanish/>
              </w:rPr>
            </w:pPr>
          </w:p>
        </w:tc>
      </w:tr>
      <w:tr w:rsidR="006A3667" w14:paraId="71D4A17A" w14:textId="77777777">
        <w:trPr>
          <w:hidden/>
        </w:trPr>
        <w:tc>
          <w:tcPr>
            <w:tcW w:w="0" w:type="auto"/>
            <w:gridSpan w:val="3"/>
            <w:shd w:val="clear" w:color="auto" w:fill="auto"/>
            <w:vAlign w:val="bottom"/>
          </w:tcPr>
          <w:p w14:paraId="71D4A166" w14:textId="77777777" w:rsidR="006A3667" w:rsidRDefault="006A3667">
            <w:pPr>
              <w:rPr>
                <w:rFonts w:ascii="宋体"/>
                <w:vanish/>
              </w:rPr>
            </w:pPr>
          </w:p>
        </w:tc>
        <w:tc>
          <w:tcPr>
            <w:tcW w:w="0" w:type="auto"/>
            <w:gridSpan w:val="3"/>
            <w:shd w:val="clear" w:color="auto" w:fill="auto"/>
            <w:vAlign w:val="bottom"/>
          </w:tcPr>
          <w:p w14:paraId="71D4A167" w14:textId="77777777" w:rsidR="006A3667" w:rsidRDefault="006A3667">
            <w:pPr>
              <w:rPr>
                <w:rFonts w:ascii="宋体"/>
                <w:vanish/>
              </w:rPr>
            </w:pPr>
          </w:p>
        </w:tc>
        <w:tc>
          <w:tcPr>
            <w:tcW w:w="0" w:type="auto"/>
            <w:gridSpan w:val="3"/>
            <w:shd w:val="clear" w:color="auto" w:fill="auto"/>
            <w:vAlign w:val="bottom"/>
          </w:tcPr>
          <w:p w14:paraId="71D4A168" w14:textId="77777777" w:rsidR="006A3667" w:rsidRDefault="006A3667">
            <w:pPr>
              <w:rPr>
                <w:rFonts w:ascii="宋体"/>
                <w:vanish/>
              </w:rPr>
            </w:pPr>
          </w:p>
        </w:tc>
        <w:tc>
          <w:tcPr>
            <w:tcW w:w="0" w:type="auto"/>
            <w:gridSpan w:val="3"/>
            <w:shd w:val="clear" w:color="auto" w:fill="auto"/>
            <w:vAlign w:val="bottom"/>
          </w:tcPr>
          <w:p w14:paraId="71D4A169" w14:textId="77777777" w:rsidR="006A3667" w:rsidRDefault="006A3667">
            <w:pPr>
              <w:rPr>
                <w:rFonts w:ascii="宋体"/>
                <w:vanish/>
              </w:rPr>
            </w:pPr>
          </w:p>
        </w:tc>
        <w:tc>
          <w:tcPr>
            <w:tcW w:w="0" w:type="auto"/>
            <w:gridSpan w:val="3"/>
            <w:shd w:val="clear" w:color="auto" w:fill="auto"/>
            <w:vAlign w:val="bottom"/>
          </w:tcPr>
          <w:p w14:paraId="71D4A16A" w14:textId="77777777" w:rsidR="006A3667" w:rsidRDefault="006A3667">
            <w:pPr>
              <w:rPr>
                <w:rFonts w:ascii="宋体"/>
                <w:vanish/>
              </w:rPr>
            </w:pPr>
          </w:p>
        </w:tc>
        <w:tc>
          <w:tcPr>
            <w:tcW w:w="0" w:type="auto"/>
            <w:gridSpan w:val="3"/>
            <w:shd w:val="clear" w:color="auto" w:fill="auto"/>
            <w:vAlign w:val="bottom"/>
          </w:tcPr>
          <w:p w14:paraId="71D4A16B" w14:textId="77777777" w:rsidR="006A3667" w:rsidRDefault="006A3667">
            <w:pPr>
              <w:rPr>
                <w:rFonts w:ascii="宋体"/>
                <w:vanish/>
              </w:rPr>
            </w:pPr>
          </w:p>
        </w:tc>
        <w:tc>
          <w:tcPr>
            <w:tcW w:w="0" w:type="auto"/>
            <w:gridSpan w:val="3"/>
            <w:shd w:val="clear" w:color="auto" w:fill="auto"/>
            <w:vAlign w:val="bottom"/>
          </w:tcPr>
          <w:p w14:paraId="71D4A16C" w14:textId="77777777" w:rsidR="006A3667" w:rsidRDefault="006A3667">
            <w:pPr>
              <w:rPr>
                <w:rFonts w:ascii="宋体"/>
                <w:vanish/>
              </w:rPr>
            </w:pPr>
          </w:p>
        </w:tc>
        <w:tc>
          <w:tcPr>
            <w:tcW w:w="0" w:type="auto"/>
            <w:gridSpan w:val="3"/>
            <w:shd w:val="clear" w:color="auto" w:fill="auto"/>
            <w:vAlign w:val="bottom"/>
          </w:tcPr>
          <w:p w14:paraId="71D4A16D" w14:textId="77777777" w:rsidR="006A3667" w:rsidRDefault="006A3667">
            <w:pPr>
              <w:rPr>
                <w:rFonts w:ascii="宋体"/>
                <w:vanish/>
              </w:rPr>
            </w:pPr>
          </w:p>
        </w:tc>
        <w:tc>
          <w:tcPr>
            <w:tcW w:w="0" w:type="auto"/>
            <w:gridSpan w:val="3"/>
            <w:shd w:val="clear" w:color="auto" w:fill="auto"/>
            <w:vAlign w:val="bottom"/>
          </w:tcPr>
          <w:p w14:paraId="71D4A16E" w14:textId="77777777" w:rsidR="006A3667" w:rsidRDefault="006A3667">
            <w:pPr>
              <w:rPr>
                <w:rFonts w:ascii="宋体"/>
                <w:vanish/>
              </w:rPr>
            </w:pPr>
          </w:p>
        </w:tc>
        <w:tc>
          <w:tcPr>
            <w:tcW w:w="0" w:type="auto"/>
            <w:gridSpan w:val="3"/>
            <w:shd w:val="clear" w:color="auto" w:fill="auto"/>
            <w:vAlign w:val="bottom"/>
          </w:tcPr>
          <w:p w14:paraId="71D4A16F" w14:textId="77777777" w:rsidR="006A3667" w:rsidRDefault="006A3667">
            <w:pPr>
              <w:rPr>
                <w:rFonts w:ascii="宋体"/>
                <w:vanish/>
              </w:rPr>
            </w:pPr>
          </w:p>
        </w:tc>
        <w:tc>
          <w:tcPr>
            <w:tcW w:w="0" w:type="auto"/>
            <w:gridSpan w:val="3"/>
            <w:shd w:val="clear" w:color="auto" w:fill="auto"/>
            <w:vAlign w:val="bottom"/>
          </w:tcPr>
          <w:p w14:paraId="71D4A170" w14:textId="77777777" w:rsidR="006A3667" w:rsidRDefault="006A3667">
            <w:pPr>
              <w:rPr>
                <w:rFonts w:ascii="宋体"/>
                <w:vanish/>
              </w:rPr>
            </w:pPr>
          </w:p>
        </w:tc>
        <w:tc>
          <w:tcPr>
            <w:tcW w:w="0" w:type="auto"/>
            <w:gridSpan w:val="3"/>
            <w:shd w:val="clear" w:color="auto" w:fill="auto"/>
            <w:vAlign w:val="bottom"/>
          </w:tcPr>
          <w:p w14:paraId="71D4A171" w14:textId="77777777" w:rsidR="006A3667" w:rsidRDefault="006A3667">
            <w:pPr>
              <w:rPr>
                <w:rFonts w:ascii="宋体"/>
                <w:vanish/>
              </w:rPr>
            </w:pPr>
          </w:p>
        </w:tc>
        <w:tc>
          <w:tcPr>
            <w:tcW w:w="0" w:type="auto"/>
            <w:gridSpan w:val="3"/>
            <w:shd w:val="clear" w:color="auto" w:fill="auto"/>
            <w:vAlign w:val="bottom"/>
          </w:tcPr>
          <w:p w14:paraId="71D4A172" w14:textId="77777777" w:rsidR="006A3667" w:rsidRDefault="006A3667">
            <w:pPr>
              <w:rPr>
                <w:rFonts w:ascii="宋体"/>
                <w:vanish/>
              </w:rPr>
            </w:pPr>
          </w:p>
        </w:tc>
        <w:tc>
          <w:tcPr>
            <w:tcW w:w="0" w:type="auto"/>
            <w:gridSpan w:val="3"/>
            <w:shd w:val="clear" w:color="auto" w:fill="auto"/>
            <w:vAlign w:val="bottom"/>
          </w:tcPr>
          <w:p w14:paraId="71D4A173" w14:textId="77777777" w:rsidR="006A3667" w:rsidRDefault="006A3667">
            <w:pPr>
              <w:rPr>
                <w:rFonts w:ascii="宋体"/>
                <w:vanish/>
              </w:rPr>
            </w:pPr>
          </w:p>
        </w:tc>
        <w:tc>
          <w:tcPr>
            <w:tcW w:w="0" w:type="auto"/>
            <w:gridSpan w:val="3"/>
            <w:shd w:val="clear" w:color="auto" w:fill="auto"/>
            <w:vAlign w:val="bottom"/>
          </w:tcPr>
          <w:p w14:paraId="71D4A174" w14:textId="77777777" w:rsidR="006A3667" w:rsidRDefault="006A3667">
            <w:pPr>
              <w:rPr>
                <w:rFonts w:ascii="宋体"/>
                <w:vanish/>
              </w:rPr>
            </w:pPr>
          </w:p>
        </w:tc>
        <w:tc>
          <w:tcPr>
            <w:tcW w:w="0" w:type="auto"/>
            <w:gridSpan w:val="3"/>
            <w:shd w:val="clear" w:color="auto" w:fill="auto"/>
            <w:vAlign w:val="bottom"/>
          </w:tcPr>
          <w:p w14:paraId="71D4A175" w14:textId="77777777" w:rsidR="006A3667" w:rsidRDefault="006A3667">
            <w:pPr>
              <w:rPr>
                <w:rFonts w:ascii="宋体"/>
                <w:vanish/>
              </w:rPr>
            </w:pPr>
          </w:p>
        </w:tc>
        <w:tc>
          <w:tcPr>
            <w:tcW w:w="0" w:type="auto"/>
            <w:gridSpan w:val="3"/>
            <w:shd w:val="clear" w:color="auto" w:fill="auto"/>
            <w:vAlign w:val="bottom"/>
          </w:tcPr>
          <w:p w14:paraId="71D4A176" w14:textId="77777777" w:rsidR="006A3667" w:rsidRDefault="006A3667">
            <w:pPr>
              <w:rPr>
                <w:rFonts w:ascii="宋体"/>
                <w:vanish/>
              </w:rPr>
            </w:pPr>
          </w:p>
        </w:tc>
        <w:tc>
          <w:tcPr>
            <w:tcW w:w="0" w:type="auto"/>
            <w:gridSpan w:val="3"/>
            <w:shd w:val="clear" w:color="auto" w:fill="auto"/>
            <w:vAlign w:val="bottom"/>
          </w:tcPr>
          <w:p w14:paraId="71D4A177" w14:textId="77777777" w:rsidR="006A3667" w:rsidRDefault="006A3667">
            <w:pPr>
              <w:rPr>
                <w:rFonts w:ascii="宋体"/>
                <w:vanish/>
              </w:rPr>
            </w:pPr>
          </w:p>
        </w:tc>
        <w:tc>
          <w:tcPr>
            <w:tcW w:w="0" w:type="auto"/>
            <w:gridSpan w:val="3"/>
            <w:shd w:val="clear" w:color="auto" w:fill="auto"/>
            <w:vAlign w:val="bottom"/>
          </w:tcPr>
          <w:p w14:paraId="71D4A178" w14:textId="77777777" w:rsidR="006A3667" w:rsidRDefault="006A3667">
            <w:pPr>
              <w:rPr>
                <w:rFonts w:ascii="宋体"/>
                <w:vanish/>
              </w:rPr>
            </w:pPr>
          </w:p>
        </w:tc>
        <w:tc>
          <w:tcPr>
            <w:tcW w:w="0" w:type="auto"/>
            <w:gridSpan w:val="3"/>
            <w:shd w:val="clear" w:color="auto" w:fill="auto"/>
            <w:vAlign w:val="bottom"/>
          </w:tcPr>
          <w:p w14:paraId="71D4A179" w14:textId="77777777" w:rsidR="006A3667" w:rsidRDefault="006A3667">
            <w:pPr>
              <w:rPr>
                <w:rFonts w:ascii="宋体"/>
                <w:vanish/>
              </w:rPr>
            </w:pPr>
          </w:p>
        </w:tc>
      </w:tr>
      <w:tr w:rsidR="006A3667" w14:paraId="71D4A18F" w14:textId="77777777">
        <w:trPr>
          <w:hidden/>
        </w:trPr>
        <w:tc>
          <w:tcPr>
            <w:tcW w:w="0" w:type="auto"/>
            <w:gridSpan w:val="3"/>
            <w:shd w:val="clear" w:color="auto" w:fill="auto"/>
            <w:vAlign w:val="bottom"/>
          </w:tcPr>
          <w:p w14:paraId="71D4A17B" w14:textId="77777777" w:rsidR="006A3667" w:rsidRDefault="006A3667">
            <w:pPr>
              <w:rPr>
                <w:rFonts w:ascii="宋体"/>
                <w:vanish/>
              </w:rPr>
            </w:pPr>
          </w:p>
        </w:tc>
        <w:tc>
          <w:tcPr>
            <w:tcW w:w="0" w:type="auto"/>
            <w:gridSpan w:val="3"/>
            <w:shd w:val="clear" w:color="auto" w:fill="auto"/>
            <w:vAlign w:val="bottom"/>
          </w:tcPr>
          <w:p w14:paraId="71D4A17C" w14:textId="77777777" w:rsidR="006A3667" w:rsidRDefault="006A3667">
            <w:pPr>
              <w:rPr>
                <w:rFonts w:ascii="宋体"/>
                <w:vanish/>
              </w:rPr>
            </w:pPr>
          </w:p>
        </w:tc>
        <w:tc>
          <w:tcPr>
            <w:tcW w:w="0" w:type="auto"/>
            <w:gridSpan w:val="3"/>
            <w:shd w:val="clear" w:color="auto" w:fill="auto"/>
            <w:vAlign w:val="bottom"/>
          </w:tcPr>
          <w:p w14:paraId="71D4A17D" w14:textId="77777777" w:rsidR="006A3667" w:rsidRDefault="006A3667">
            <w:pPr>
              <w:rPr>
                <w:rFonts w:ascii="宋体"/>
                <w:vanish/>
              </w:rPr>
            </w:pPr>
          </w:p>
        </w:tc>
        <w:tc>
          <w:tcPr>
            <w:tcW w:w="0" w:type="auto"/>
            <w:gridSpan w:val="3"/>
            <w:shd w:val="clear" w:color="auto" w:fill="auto"/>
            <w:vAlign w:val="bottom"/>
          </w:tcPr>
          <w:p w14:paraId="71D4A17E" w14:textId="77777777" w:rsidR="006A3667" w:rsidRDefault="006A3667">
            <w:pPr>
              <w:rPr>
                <w:rFonts w:ascii="宋体"/>
                <w:vanish/>
              </w:rPr>
            </w:pPr>
          </w:p>
        </w:tc>
        <w:tc>
          <w:tcPr>
            <w:tcW w:w="0" w:type="auto"/>
            <w:gridSpan w:val="3"/>
            <w:shd w:val="clear" w:color="auto" w:fill="auto"/>
            <w:vAlign w:val="bottom"/>
          </w:tcPr>
          <w:p w14:paraId="71D4A17F" w14:textId="77777777" w:rsidR="006A3667" w:rsidRDefault="006A3667">
            <w:pPr>
              <w:rPr>
                <w:rFonts w:ascii="宋体"/>
                <w:vanish/>
              </w:rPr>
            </w:pPr>
          </w:p>
        </w:tc>
        <w:tc>
          <w:tcPr>
            <w:tcW w:w="0" w:type="auto"/>
            <w:gridSpan w:val="3"/>
            <w:shd w:val="clear" w:color="auto" w:fill="auto"/>
            <w:vAlign w:val="bottom"/>
          </w:tcPr>
          <w:p w14:paraId="71D4A180" w14:textId="77777777" w:rsidR="006A3667" w:rsidRDefault="006A3667">
            <w:pPr>
              <w:rPr>
                <w:rFonts w:ascii="宋体"/>
                <w:vanish/>
              </w:rPr>
            </w:pPr>
          </w:p>
        </w:tc>
        <w:tc>
          <w:tcPr>
            <w:tcW w:w="0" w:type="auto"/>
            <w:gridSpan w:val="3"/>
            <w:shd w:val="clear" w:color="auto" w:fill="auto"/>
            <w:vAlign w:val="bottom"/>
          </w:tcPr>
          <w:p w14:paraId="71D4A181" w14:textId="77777777" w:rsidR="006A3667" w:rsidRDefault="006A3667">
            <w:pPr>
              <w:rPr>
                <w:rFonts w:ascii="宋体"/>
                <w:vanish/>
              </w:rPr>
            </w:pPr>
          </w:p>
        </w:tc>
        <w:tc>
          <w:tcPr>
            <w:tcW w:w="0" w:type="auto"/>
            <w:gridSpan w:val="3"/>
            <w:shd w:val="clear" w:color="auto" w:fill="auto"/>
            <w:vAlign w:val="bottom"/>
          </w:tcPr>
          <w:p w14:paraId="71D4A182" w14:textId="77777777" w:rsidR="006A3667" w:rsidRDefault="006A3667">
            <w:pPr>
              <w:rPr>
                <w:rFonts w:ascii="宋体"/>
                <w:vanish/>
              </w:rPr>
            </w:pPr>
          </w:p>
        </w:tc>
        <w:tc>
          <w:tcPr>
            <w:tcW w:w="0" w:type="auto"/>
            <w:gridSpan w:val="3"/>
            <w:shd w:val="clear" w:color="auto" w:fill="auto"/>
            <w:vAlign w:val="bottom"/>
          </w:tcPr>
          <w:p w14:paraId="71D4A183" w14:textId="77777777" w:rsidR="006A3667" w:rsidRDefault="006A3667">
            <w:pPr>
              <w:rPr>
                <w:rFonts w:ascii="宋体"/>
                <w:vanish/>
              </w:rPr>
            </w:pPr>
          </w:p>
        </w:tc>
        <w:tc>
          <w:tcPr>
            <w:tcW w:w="0" w:type="auto"/>
            <w:gridSpan w:val="3"/>
            <w:shd w:val="clear" w:color="auto" w:fill="auto"/>
            <w:vAlign w:val="bottom"/>
          </w:tcPr>
          <w:p w14:paraId="71D4A184" w14:textId="77777777" w:rsidR="006A3667" w:rsidRDefault="006A3667">
            <w:pPr>
              <w:rPr>
                <w:rFonts w:ascii="宋体"/>
                <w:vanish/>
              </w:rPr>
            </w:pPr>
          </w:p>
        </w:tc>
        <w:tc>
          <w:tcPr>
            <w:tcW w:w="0" w:type="auto"/>
            <w:gridSpan w:val="3"/>
            <w:shd w:val="clear" w:color="auto" w:fill="auto"/>
            <w:vAlign w:val="bottom"/>
          </w:tcPr>
          <w:p w14:paraId="71D4A185" w14:textId="77777777" w:rsidR="006A3667" w:rsidRDefault="006A3667">
            <w:pPr>
              <w:rPr>
                <w:rFonts w:ascii="宋体"/>
                <w:vanish/>
              </w:rPr>
            </w:pPr>
          </w:p>
        </w:tc>
        <w:tc>
          <w:tcPr>
            <w:tcW w:w="0" w:type="auto"/>
            <w:gridSpan w:val="3"/>
            <w:shd w:val="clear" w:color="auto" w:fill="auto"/>
            <w:vAlign w:val="bottom"/>
          </w:tcPr>
          <w:p w14:paraId="71D4A186" w14:textId="77777777" w:rsidR="006A3667" w:rsidRDefault="006A3667">
            <w:pPr>
              <w:rPr>
                <w:rFonts w:ascii="宋体"/>
                <w:vanish/>
              </w:rPr>
            </w:pPr>
          </w:p>
        </w:tc>
        <w:tc>
          <w:tcPr>
            <w:tcW w:w="0" w:type="auto"/>
            <w:gridSpan w:val="3"/>
            <w:shd w:val="clear" w:color="auto" w:fill="auto"/>
            <w:vAlign w:val="bottom"/>
          </w:tcPr>
          <w:p w14:paraId="71D4A187" w14:textId="77777777" w:rsidR="006A3667" w:rsidRDefault="006A3667">
            <w:pPr>
              <w:rPr>
                <w:rFonts w:ascii="宋体"/>
                <w:vanish/>
              </w:rPr>
            </w:pPr>
          </w:p>
        </w:tc>
        <w:tc>
          <w:tcPr>
            <w:tcW w:w="0" w:type="auto"/>
            <w:gridSpan w:val="3"/>
            <w:shd w:val="clear" w:color="auto" w:fill="auto"/>
            <w:vAlign w:val="bottom"/>
          </w:tcPr>
          <w:p w14:paraId="71D4A188" w14:textId="77777777" w:rsidR="006A3667" w:rsidRDefault="006A3667">
            <w:pPr>
              <w:rPr>
                <w:rFonts w:ascii="宋体"/>
                <w:vanish/>
              </w:rPr>
            </w:pPr>
          </w:p>
        </w:tc>
        <w:tc>
          <w:tcPr>
            <w:tcW w:w="0" w:type="auto"/>
            <w:gridSpan w:val="3"/>
            <w:shd w:val="clear" w:color="auto" w:fill="auto"/>
            <w:vAlign w:val="bottom"/>
          </w:tcPr>
          <w:p w14:paraId="71D4A189" w14:textId="77777777" w:rsidR="006A3667" w:rsidRDefault="006A3667">
            <w:pPr>
              <w:rPr>
                <w:rFonts w:ascii="宋体"/>
                <w:vanish/>
              </w:rPr>
            </w:pPr>
          </w:p>
        </w:tc>
        <w:tc>
          <w:tcPr>
            <w:tcW w:w="0" w:type="auto"/>
            <w:gridSpan w:val="3"/>
            <w:shd w:val="clear" w:color="auto" w:fill="auto"/>
            <w:vAlign w:val="bottom"/>
          </w:tcPr>
          <w:p w14:paraId="71D4A18A" w14:textId="77777777" w:rsidR="006A3667" w:rsidRDefault="006A3667">
            <w:pPr>
              <w:rPr>
                <w:rFonts w:ascii="宋体"/>
                <w:vanish/>
              </w:rPr>
            </w:pPr>
          </w:p>
        </w:tc>
        <w:tc>
          <w:tcPr>
            <w:tcW w:w="0" w:type="auto"/>
            <w:gridSpan w:val="3"/>
            <w:shd w:val="clear" w:color="auto" w:fill="auto"/>
            <w:vAlign w:val="bottom"/>
          </w:tcPr>
          <w:p w14:paraId="71D4A18B" w14:textId="77777777" w:rsidR="006A3667" w:rsidRDefault="006A3667">
            <w:pPr>
              <w:rPr>
                <w:rFonts w:ascii="宋体"/>
                <w:vanish/>
              </w:rPr>
            </w:pPr>
          </w:p>
        </w:tc>
        <w:tc>
          <w:tcPr>
            <w:tcW w:w="0" w:type="auto"/>
            <w:gridSpan w:val="3"/>
            <w:shd w:val="clear" w:color="auto" w:fill="auto"/>
            <w:vAlign w:val="bottom"/>
          </w:tcPr>
          <w:p w14:paraId="71D4A18C" w14:textId="77777777" w:rsidR="006A3667" w:rsidRDefault="006A3667">
            <w:pPr>
              <w:rPr>
                <w:rFonts w:ascii="宋体"/>
                <w:vanish/>
              </w:rPr>
            </w:pPr>
          </w:p>
        </w:tc>
        <w:tc>
          <w:tcPr>
            <w:tcW w:w="0" w:type="auto"/>
            <w:gridSpan w:val="3"/>
            <w:shd w:val="clear" w:color="auto" w:fill="auto"/>
            <w:vAlign w:val="bottom"/>
          </w:tcPr>
          <w:p w14:paraId="71D4A18D" w14:textId="77777777" w:rsidR="006A3667" w:rsidRDefault="006A3667">
            <w:pPr>
              <w:rPr>
                <w:rFonts w:ascii="宋体"/>
                <w:vanish/>
              </w:rPr>
            </w:pPr>
          </w:p>
        </w:tc>
        <w:tc>
          <w:tcPr>
            <w:tcW w:w="0" w:type="auto"/>
            <w:gridSpan w:val="3"/>
            <w:shd w:val="clear" w:color="auto" w:fill="auto"/>
            <w:vAlign w:val="bottom"/>
          </w:tcPr>
          <w:p w14:paraId="71D4A18E" w14:textId="77777777" w:rsidR="006A3667" w:rsidRDefault="006A3667">
            <w:pPr>
              <w:rPr>
                <w:rFonts w:ascii="宋体"/>
                <w:vanish/>
              </w:rPr>
            </w:pPr>
          </w:p>
        </w:tc>
      </w:tr>
      <w:tr w:rsidR="006A3667" w14:paraId="71D4A1A4" w14:textId="77777777">
        <w:trPr>
          <w:hidden/>
        </w:trPr>
        <w:tc>
          <w:tcPr>
            <w:tcW w:w="0" w:type="auto"/>
            <w:gridSpan w:val="3"/>
            <w:shd w:val="clear" w:color="auto" w:fill="auto"/>
            <w:vAlign w:val="bottom"/>
          </w:tcPr>
          <w:p w14:paraId="71D4A190" w14:textId="77777777" w:rsidR="006A3667" w:rsidRDefault="006A3667">
            <w:pPr>
              <w:rPr>
                <w:rFonts w:ascii="宋体"/>
                <w:vanish/>
              </w:rPr>
            </w:pPr>
          </w:p>
        </w:tc>
        <w:tc>
          <w:tcPr>
            <w:tcW w:w="0" w:type="auto"/>
            <w:gridSpan w:val="3"/>
            <w:shd w:val="clear" w:color="auto" w:fill="auto"/>
            <w:vAlign w:val="bottom"/>
          </w:tcPr>
          <w:p w14:paraId="71D4A191" w14:textId="77777777" w:rsidR="006A3667" w:rsidRDefault="006A3667">
            <w:pPr>
              <w:rPr>
                <w:rFonts w:ascii="宋体"/>
                <w:vanish/>
              </w:rPr>
            </w:pPr>
          </w:p>
        </w:tc>
        <w:tc>
          <w:tcPr>
            <w:tcW w:w="0" w:type="auto"/>
            <w:gridSpan w:val="3"/>
            <w:shd w:val="clear" w:color="auto" w:fill="auto"/>
            <w:vAlign w:val="bottom"/>
          </w:tcPr>
          <w:p w14:paraId="71D4A192" w14:textId="77777777" w:rsidR="006A3667" w:rsidRDefault="006A3667">
            <w:pPr>
              <w:rPr>
                <w:rFonts w:ascii="宋体"/>
                <w:vanish/>
              </w:rPr>
            </w:pPr>
          </w:p>
        </w:tc>
        <w:tc>
          <w:tcPr>
            <w:tcW w:w="0" w:type="auto"/>
            <w:gridSpan w:val="3"/>
            <w:shd w:val="clear" w:color="auto" w:fill="auto"/>
            <w:vAlign w:val="bottom"/>
          </w:tcPr>
          <w:p w14:paraId="71D4A193" w14:textId="77777777" w:rsidR="006A3667" w:rsidRDefault="006A3667">
            <w:pPr>
              <w:rPr>
                <w:rFonts w:ascii="宋体"/>
                <w:vanish/>
              </w:rPr>
            </w:pPr>
          </w:p>
        </w:tc>
        <w:tc>
          <w:tcPr>
            <w:tcW w:w="0" w:type="auto"/>
            <w:gridSpan w:val="3"/>
            <w:shd w:val="clear" w:color="auto" w:fill="auto"/>
            <w:vAlign w:val="bottom"/>
          </w:tcPr>
          <w:p w14:paraId="71D4A194" w14:textId="77777777" w:rsidR="006A3667" w:rsidRDefault="006A3667">
            <w:pPr>
              <w:rPr>
                <w:rFonts w:ascii="宋体"/>
                <w:vanish/>
              </w:rPr>
            </w:pPr>
          </w:p>
        </w:tc>
        <w:tc>
          <w:tcPr>
            <w:tcW w:w="0" w:type="auto"/>
            <w:gridSpan w:val="3"/>
            <w:shd w:val="clear" w:color="auto" w:fill="auto"/>
            <w:vAlign w:val="bottom"/>
          </w:tcPr>
          <w:p w14:paraId="71D4A195" w14:textId="77777777" w:rsidR="006A3667" w:rsidRDefault="006A3667">
            <w:pPr>
              <w:rPr>
                <w:rFonts w:ascii="宋体"/>
                <w:vanish/>
              </w:rPr>
            </w:pPr>
          </w:p>
        </w:tc>
        <w:tc>
          <w:tcPr>
            <w:tcW w:w="0" w:type="auto"/>
            <w:gridSpan w:val="3"/>
            <w:shd w:val="clear" w:color="auto" w:fill="auto"/>
            <w:vAlign w:val="bottom"/>
          </w:tcPr>
          <w:p w14:paraId="71D4A196" w14:textId="77777777" w:rsidR="006A3667" w:rsidRDefault="006A3667">
            <w:pPr>
              <w:rPr>
                <w:rFonts w:ascii="宋体"/>
                <w:vanish/>
              </w:rPr>
            </w:pPr>
          </w:p>
        </w:tc>
        <w:tc>
          <w:tcPr>
            <w:tcW w:w="0" w:type="auto"/>
            <w:gridSpan w:val="3"/>
            <w:shd w:val="clear" w:color="auto" w:fill="auto"/>
            <w:vAlign w:val="bottom"/>
          </w:tcPr>
          <w:p w14:paraId="71D4A197" w14:textId="77777777" w:rsidR="006A3667" w:rsidRDefault="006A3667">
            <w:pPr>
              <w:rPr>
                <w:rFonts w:ascii="宋体"/>
                <w:vanish/>
              </w:rPr>
            </w:pPr>
          </w:p>
        </w:tc>
        <w:tc>
          <w:tcPr>
            <w:tcW w:w="0" w:type="auto"/>
            <w:gridSpan w:val="3"/>
            <w:shd w:val="clear" w:color="auto" w:fill="auto"/>
            <w:vAlign w:val="bottom"/>
          </w:tcPr>
          <w:p w14:paraId="71D4A198" w14:textId="77777777" w:rsidR="006A3667" w:rsidRDefault="006A3667">
            <w:pPr>
              <w:rPr>
                <w:rFonts w:ascii="宋体"/>
                <w:vanish/>
              </w:rPr>
            </w:pPr>
          </w:p>
        </w:tc>
        <w:tc>
          <w:tcPr>
            <w:tcW w:w="0" w:type="auto"/>
            <w:gridSpan w:val="3"/>
            <w:shd w:val="clear" w:color="auto" w:fill="auto"/>
            <w:vAlign w:val="bottom"/>
          </w:tcPr>
          <w:p w14:paraId="71D4A199" w14:textId="77777777" w:rsidR="006A3667" w:rsidRDefault="006A3667">
            <w:pPr>
              <w:rPr>
                <w:rFonts w:ascii="宋体"/>
                <w:vanish/>
              </w:rPr>
            </w:pPr>
          </w:p>
        </w:tc>
        <w:tc>
          <w:tcPr>
            <w:tcW w:w="0" w:type="auto"/>
            <w:gridSpan w:val="3"/>
            <w:shd w:val="clear" w:color="auto" w:fill="auto"/>
            <w:vAlign w:val="bottom"/>
          </w:tcPr>
          <w:p w14:paraId="71D4A19A" w14:textId="77777777" w:rsidR="006A3667" w:rsidRDefault="006A3667">
            <w:pPr>
              <w:rPr>
                <w:rFonts w:ascii="宋体"/>
                <w:vanish/>
              </w:rPr>
            </w:pPr>
          </w:p>
        </w:tc>
        <w:tc>
          <w:tcPr>
            <w:tcW w:w="0" w:type="auto"/>
            <w:gridSpan w:val="3"/>
            <w:shd w:val="clear" w:color="auto" w:fill="auto"/>
            <w:vAlign w:val="bottom"/>
          </w:tcPr>
          <w:p w14:paraId="71D4A19B" w14:textId="77777777" w:rsidR="006A3667" w:rsidRDefault="006A3667">
            <w:pPr>
              <w:rPr>
                <w:rFonts w:ascii="宋体"/>
                <w:vanish/>
              </w:rPr>
            </w:pPr>
          </w:p>
        </w:tc>
        <w:tc>
          <w:tcPr>
            <w:tcW w:w="0" w:type="auto"/>
            <w:gridSpan w:val="3"/>
            <w:shd w:val="clear" w:color="auto" w:fill="auto"/>
            <w:vAlign w:val="bottom"/>
          </w:tcPr>
          <w:p w14:paraId="71D4A19C" w14:textId="77777777" w:rsidR="006A3667" w:rsidRDefault="006A3667">
            <w:pPr>
              <w:rPr>
                <w:rFonts w:ascii="宋体"/>
                <w:vanish/>
              </w:rPr>
            </w:pPr>
          </w:p>
        </w:tc>
        <w:tc>
          <w:tcPr>
            <w:tcW w:w="0" w:type="auto"/>
            <w:gridSpan w:val="3"/>
            <w:shd w:val="clear" w:color="auto" w:fill="auto"/>
            <w:vAlign w:val="bottom"/>
          </w:tcPr>
          <w:p w14:paraId="71D4A19D" w14:textId="77777777" w:rsidR="006A3667" w:rsidRDefault="006A3667">
            <w:pPr>
              <w:rPr>
                <w:rFonts w:ascii="宋体"/>
                <w:vanish/>
              </w:rPr>
            </w:pPr>
          </w:p>
        </w:tc>
        <w:tc>
          <w:tcPr>
            <w:tcW w:w="0" w:type="auto"/>
            <w:gridSpan w:val="3"/>
            <w:shd w:val="clear" w:color="auto" w:fill="auto"/>
            <w:vAlign w:val="bottom"/>
          </w:tcPr>
          <w:p w14:paraId="71D4A19E" w14:textId="77777777" w:rsidR="006A3667" w:rsidRDefault="006A3667">
            <w:pPr>
              <w:rPr>
                <w:rFonts w:ascii="宋体"/>
                <w:vanish/>
              </w:rPr>
            </w:pPr>
          </w:p>
        </w:tc>
        <w:tc>
          <w:tcPr>
            <w:tcW w:w="0" w:type="auto"/>
            <w:gridSpan w:val="3"/>
            <w:shd w:val="clear" w:color="auto" w:fill="auto"/>
            <w:vAlign w:val="bottom"/>
          </w:tcPr>
          <w:p w14:paraId="71D4A19F" w14:textId="77777777" w:rsidR="006A3667" w:rsidRDefault="006A3667">
            <w:pPr>
              <w:rPr>
                <w:rFonts w:ascii="宋体"/>
                <w:vanish/>
              </w:rPr>
            </w:pPr>
          </w:p>
        </w:tc>
        <w:tc>
          <w:tcPr>
            <w:tcW w:w="0" w:type="auto"/>
            <w:gridSpan w:val="3"/>
            <w:shd w:val="clear" w:color="auto" w:fill="auto"/>
            <w:vAlign w:val="bottom"/>
          </w:tcPr>
          <w:p w14:paraId="71D4A1A0" w14:textId="77777777" w:rsidR="006A3667" w:rsidRDefault="006A3667">
            <w:pPr>
              <w:rPr>
                <w:rFonts w:ascii="宋体"/>
                <w:vanish/>
              </w:rPr>
            </w:pPr>
          </w:p>
        </w:tc>
        <w:tc>
          <w:tcPr>
            <w:tcW w:w="0" w:type="auto"/>
            <w:gridSpan w:val="3"/>
            <w:shd w:val="clear" w:color="auto" w:fill="auto"/>
            <w:vAlign w:val="bottom"/>
          </w:tcPr>
          <w:p w14:paraId="71D4A1A1" w14:textId="77777777" w:rsidR="006A3667" w:rsidRDefault="006A3667">
            <w:pPr>
              <w:rPr>
                <w:rFonts w:ascii="宋体"/>
                <w:vanish/>
              </w:rPr>
            </w:pPr>
          </w:p>
        </w:tc>
        <w:tc>
          <w:tcPr>
            <w:tcW w:w="0" w:type="auto"/>
            <w:gridSpan w:val="3"/>
            <w:shd w:val="clear" w:color="auto" w:fill="auto"/>
            <w:vAlign w:val="bottom"/>
          </w:tcPr>
          <w:p w14:paraId="71D4A1A2" w14:textId="77777777" w:rsidR="006A3667" w:rsidRDefault="006A3667">
            <w:pPr>
              <w:rPr>
                <w:rFonts w:ascii="宋体"/>
                <w:vanish/>
              </w:rPr>
            </w:pPr>
          </w:p>
        </w:tc>
        <w:tc>
          <w:tcPr>
            <w:tcW w:w="0" w:type="auto"/>
            <w:gridSpan w:val="3"/>
            <w:shd w:val="clear" w:color="auto" w:fill="auto"/>
            <w:vAlign w:val="bottom"/>
          </w:tcPr>
          <w:p w14:paraId="71D4A1A3" w14:textId="77777777" w:rsidR="006A3667" w:rsidRDefault="006A3667">
            <w:pPr>
              <w:rPr>
                <w:rFonts w:ascii="宋体"/>
                <w:vanish/>
              </w:rPr>
            </w:pPr>
          </w:p>
        </w:tc>
      </w:tr>
      <w:tr w:rsidR="006A3667" w14:paraId="71D4A1B9" w14:textId="77777777">
        <w:trPr>
          <w:hidden/>
        </w:trPr>
        <w:tc>
          <w:tcPr>
            <w:tcW w:w="0" w:type="auto"/>
            <w:gridSpan w:val="3"/>
            <w:shd w:val="clear" w:color="auto" w:fill="auto"/>
            <w:vAlign w:val="bottom"/>
          </w:tcPr>
          <w:p w14:paraId="71D4A1A5" w14:textId="77777777" w:rsidR="006A3667" w:rsidRDefault="006A3667">
            <w:pPr>
              <w:rPr>
                <w:rFonts w:ascii="宋体"/>
                <w:vanish/>
              </w:rPr>
            </w:pPr>
          </w:p>
        </w:tc>
        <w:tc>
          <w:tcPr>
            <w:tcW w:w="0" w:type="auto"/>
            <w:gridSpan w:val="3"/>
            <w:shd w:val="clear" w:color="auto" w:fill="auto"/>
            <w:vAlign w:val="bottom"/>
          </w:tcPr>
          <w:p w14:paraId="71D4A1A6" w14:textId="77777777" w:rsidR="006A3667" w:rsidRDefault="006A3667">
            <w:pPr>
              <w:rPr>
                <w:rFonts w:ascii="宋体"/>
                <w:vanish/>
              </w:rPr>
            </w:pPr>
          </w:p>
        </w:tc>
        <w:tc>
          <w:tcPr>
            <w:tcW w:w="0" w:type="auto"/>
            <w:gridSpan w:val="3"/>
            <w:shd w:val="clear" w:color="auto" w:fill="auto"/>
            <w:vAlign w:val="bottom"/>
          </w:tcPr>
          <w:p w14:paraId="71D4A1A7" w14:textId="77777777" w:rsidR="006A3667" w:rsidRDefault="006A3667">
            <w:pPr>
              <w:rPr>
                <w:rFonts w:ascii="宋体"/>
                <w:vanish/>
              </w:rPr>
            </w:pPr>
          </w:p>
        </w:tc>
        <w:tc>
          <w:tcPr>
            <w:tcW w:w="0" w:type="auto"/>
            <w:gridSpan w:val="3"/>
            <w:shd w:val="clear" w:color="auto" w:fill="auto"/>
            <w:vAlign w:val="bottom"/>
          </w:tcPr>
          <w:p w14:paraId="71D4A1A8" w14:textId="77777777" w:rsidR="006A3667" w:rsidRDefault="006A3667">
            <w:pPr>
              <w:rPr>
                <w:rFonts w:ascii="宋体"/>
                <w:vanish/>
              </w:rPr>
            </w:pPr>
          </w:p>
        </w:tc>
        <w:tc>
          <w:tcPr>
            <w:tcW w:w="0" w:type="auto"/>
            <w:gridSpan w:val="3"/>
            <w:shd w:val="clear" w:color="auto" w:fill="auto"/>
            <w:vAlign w:val="bottom"/>
          </w:tcPr>
          <w:p w14:paraId="71D4A1A9" w14:textId="77777777" w:rsidR="006A3667" w:rsidRDefault="006A3667">
            <w:pPr>
              <w:rPr>
                <w:rFonts w:ascii="宋体"/>
                <w:vanish/>
              </w:rPr>
            </w:pPr>
          </w:p>
        </w:tc>
        <w:tc>
          <w:tcPr>
            <w:tcW w:w="0" w:type="auto"/>
            <w:gridSpan w:val="3"/>
            <w:shd w:val="clear" w:color="auto" w:fill="auto"/>
            <w:vAlign w:val="bottom"/>
          </w:tcPr>
          <w:p w14:paraId="71D4A1AA" w14:textId="77777777" w:rsidR="006A3667" w:rsidRDefault="006A3667">
            <w:pPr>
              <w:rPr>
                <w:rFonts w:ascii="宋体"/>
                <w:vanish/>
              </w:rPr>
            </w:pPr>
          </w:p>
        </w:tc>
        <w:tc>
          <w:tcPr>
            <w:tcW w:w="0" w:type="auto"/>
            <w:gridSpan w:val="3"/>
            <w:shd w:val="clear" w:color="auto" w:fill="auto"/>
            <w:vAlign w:val="bottom"/>
          </w:tcPr>
          <w:p w14:paraId="71D4A1AB" w14:textId="77777777" w:rsidR="006A3667" w:rsidRDefault="006A3667">
            <w:pPr>
              <w:rPr>
                <w:rFonts w:ascii="宋体"/>
                <w:vanish/>
              </w:rPr>
            </w:pPr>
          </w:p>
        </w:tc>
        <w:tc>
          <w:tcPr>
            <w:tcW w:w="0" w:type="auto"/>
            <w:gridSpan w:val="3"/>
            <w:shd w:val="clear" w:color="auto" w:fill="auto"/>
            <w:vAlign w:val="bottom"/>
          </w:tcPr>
          <w:p w14:paraId="71D4A1AC" w14:textId="77777777" w:rsidR="006A3667" w:rsidRDefault="006A3667">
            <w:pPr>
              <w:rPr>
                <w:rFonts w:ascii="宋体"/>
                <w:vanish/>
              </w:rPr>
            </w:pPr>
          </w:p>
        </w:tc>
        <w:tc>
          <w:tcPr>
            <w:tcW w:w="0" w:type="auto"/>
            <w:gridSpan w:val="3"/>
            <w:shd w:val="clear" w:color="auto" w:fill="auto"/>
            <w:vAlign w:val="bottom"/>
          </w:tcPr>
          <w:p w14:paraId="71D4A1AD" w14:textId="77777777" w:rsidR="006A3667" w:rsidRDefault="006A3667">
            <w:pPr>
              <w:rPr>
                <w:rFonts w:ascii="宋体"/>
                <w:vanish/>
              </w:rPr>
            </w:pPr>
          </w:p>
        </w:tc>
        <w:tc>
          <w:tcPr>
            <w:tcW w:w="0" w:type="auto"/>
            <w:gridSpan w:val="3"/>
            <w:shd w:val="clear" w:color="auto" w:fill="auto"/>
            <w:vAlign w:val="bottom"/>
          </w:tcPr>
          <w:p w14:paraId="71D4A1AE" w14:textId="77777777" w:rsidR="006A3667" w:rsidRDefault="006A3667">
            <w:pPr>
              <w:rPr>
                <w:rFonts w:ascii="宋体"/>
                <w:vanish/>
              </w:rPr>
            </w:pPr>
          </w:p>
        </w:tc>
        <w:tc>
          <w:tcPr>
            <w:tcW w:w="0" w:type="auto"/>
            <w:gridSpan w:val="3"/>
            <w:shd w:val="clear" w:color="auto" w:fill="auto"/>
            <w:vAlign w:val="bottom"/>
          </w:tcPr>
          <w:p w14:paraId="71D4A1AF" w14:textId="77777777" w:rsidR="006A3667" w:rsidRDefault="006A3667">
            <w:pPr>
              <w:rPr>
                <w:rFonts w:ascii="宋体"/>
                <w:vanish/>
              </w:rPr>
            </w:pPr>
          </w:p>
        </w:tc>
        <w:tc>
          <w:tcPr>
            <w:tcW w:w="0" w:type="auto"/>
            <w:gridSpan w:val="3"/>
            <w:shd w:val="clear" w:color="auto" w:fill="auto"/>
            <w:vAlign w:val="bottom"/>
          </w:tcPr>
          <w:p w14:paraId="71D4A1B0" w14:textId="77777777" w:rsidR="006A3667" w:rsidRDefault="006A3667">
            <w:pPr>
              <w:rPr>
                <w:rFonts w:ascii="宋体"/>
                <w:vanish/>
              </w:rPr>
            </w:pPr>
          </w:p>
        </w:tc>
        <w:tc>
          <w:tcPr>
            <w:tcW w:w="0" w:type="auto"/>
            <w:gridSpan w:val="3"/>
            <w:shd w:val="clear" w:color="auto" w:fill="auto"/>
            <w:vAlign w:val="bottom"/>
          </w:tcPr>
          <w:p w14:paraId="71D4A1B1" w14:textId="77777777" w:rsidR="006A3667" w:rsidRDefault="006A3667">
            <w:pPr>
              <w:rPr>
                <w:rFonts w:ascii="宋体"/>
                <w:vanish/>
              </w:rPr>
            </w:pPr>
          </w:p>
        </w:tc>
        <w:tc>
          <w:tcPr>
            <w:tcW w:w="0" w:type="auto"/>
            <w:gridSpan w:val="3"/>
            <w:shd w:val="clear" w:color="auto" w:fill="auto"/>
            <w:vAlign w:val="bottom"/>
          </w:tcPr>
          <w:p w14:paraId="71D4A1B2" w14:textId="77777777" w:rsidR="006A3667" w:rsidRDefault="006A3667">
            <w:pPr>
              <w:rPr>
                <w:rFonts w:ascii="宋体"/>
                <w:vanish/>
              </w:rPr>
            </w:pPr>
          </w:p>
        </w:tc>
        <w:tc>
          <w:tcPr>
            <w:tcW w:w="0" w:type="auto"/>
            <w:gridSpan w:val="3"/>
            <w:shd w:val="clear" w:color="auto" w:fill="auto"/>
            <w:vAlign w:val="bottom"/>
          </w:tcPr>
          <w:p w14:paraId="71D4A1B3" w14:textId="77777777" w:rsidR="006A3667" w:rsidRDefault="006A3667">
            <w:pPr>
              <w:rPr>
                <w:rFonts w:ascii="宋体"/>
                <w:vanish/>
              </w:rPr>
            </w:pPr>
          </w:p>
        </w:tc>
        <w:tc>
          <w:tcPr>
            <w:tcW w:w="0" w:type="auto"/>
            <w:gridSpan w:val="3"/>
            <w:shd w:val="clear" w:color="auto" w:fill="auto"/>
            <w:vAlign w:val="bottom"/>
          </w:tcPr>
          <w:p w14:paraId="71D4A1B4" w14:textId="77777777" w:rsidR="006A3667" w:rsidRDefault="006A3667">
            <w:pPr>
              <w:rPr>
                <w:rFonts w:ascii="宋体"/>
                <w:vanish/>
              </w:rPr>
            </w:pPr>
          </w:p>
        </w:tc>
        <w:tc>
          <w:tcPr>
            <w:tcW w:w="0" w:type="auto"/>
            <w:gridSpan w:val="3"/>
            <w:shd w:val="clear" w:color="auto" w:fill="auto"/>
            <w:vAlign w:val="bottom"/>
          </w:tcPr>
          <w:p w14:paraId="71D4A1B5" w14:textId="77777777" w:rsidR="006A3667" w:rsidRDefault="006A3667">
            <w:pPr>
              <w:rPr>
                <w:rFonts w:ascii="宋体"/>
                <w:vanish/>
              </w:rPr>
            </w:pPr>
          </w:p>
        </w:tc>
        <w:tc>
          <w:tcPr>
            <w:tcW w:w="0" w:type="auto"/>
            <w:gridSpan w:val="3"/>
            <w:shd w:val="clear" w:color="auto" w:fill="auto"/>
            <w:vAlign w:val="bottom"/>
          </w:tcPr>
          <w:p w14:paraId="71D4A1B6" w14:textId="77777777" w:rsidR="006A3667" w:rsidRDefault="006A3667">
            <w:pPr>
              <w:rPr>
                <w:rFonts w:ascii="宋体"/>
                <w:vanish/>
              </w:rPr>
            </w:pPr>
          </w:p>
        </w:tc>
        <w:tc>
          <w:tcPr>
            <w:tcW w:w="0" w:type="auto"/>
            <w:gridSpan w:val="3"/>
            <w:shd w:val="clear" w:color="auto" w:fill="auto"/>
            <w:vAlign w:val="bottom"/>
          </w:tcPr>
          <w:p w14:paraId="71D4A1B7" w14:textId="77777777" w:rsidR="006A3667" w:rsidRDefault="006A3667">
            <w:pPr>
              <w:rPr>
                <w:rFonts w:ascii="宋体"/>
                <w:vanish/>
              </w:rPr>
            </w:pPr>
          </w:p>
        </w:tc>
        <w:tc>
          <w:tcPr>
            <w:tcW w:w="0" w:type="auto"/>
            <w:gridSpan w:val="3"/>
            <w:shd w:val="clear" w:color="auto" w:fill="auto"/>
            <w:vAlign w:val="bottom"/>
          </w:tcPr>
          <w:p w14:paraId="71D4A1B8" w14:textId="77777777" w:rsidR="006A3667" w:rsidRDefault="006A3667">
            <w:pPr>
              <w:rPr>
                <w:rFonts w:ascii="宋体"/>
                <w:vanish/>
              </w:rPr>
            </w:pPr>
          </w:p>
        </w:tc>
      </w:tr>
      <w:tr w:rsidR="006A3667" w14:paraId="71D4A1CE" w14:textId="77777777">
        <w:trPr>
          <w:hidden/>
        </w:trPr>
        <w:tc>
          <w:tcPr>
            <w:tcW w:w="0" w:type="auto"/>
            <w:gridSpan w:val="3"/>
            <w:shd w:val="clear" w:color="auto" w:fill="auto"/>
            <w:vAlign w:val="bottom"/>
          </w:tcPr>
          <w:p w14:paraId="71D4A1BA" w14:textId="77777777" w:rsidR="006A3667" w:rsidRDefault="006A3667">
            <w:pPr>
              <w:rPr>
                <w:rFonts w:ascii="宋体"/>
                <w:vanish/>
              </w:rPr>
            </w:pPr>
          </w:p>
        </w:tc>
        <w:tc>
          <w:tcPr>
            <w:tcW w:w="0" w:type="auto"/>
            <w:gridSpan w:val="3"/>
            <w:shd w:val="clear" w:color="auto" w:fill="auto"/>
            <w:vAlign w:val="bottom"/>
          </w:tcPr>
          <w:p w14:paraId="71D4A1BB" w14:textId="77777777" w:rsidR="006A3667" w:rsidRDefault="006A3667">
            <w:pPr>
              <w:rPr>
                <w:rFonts w:ascii="宋体"/>
                <w:vanish/>
              </w:rPr>
            </w:pPr>
          </w:p>
        </w:tc>
        <w:tc>
          <w:tcPr>
            <w:tcW w:w="0" w:type="auto"/>
            <w:gridSpan w:val="3"/>
            <w:shd w:val="clear" w:color="auto" w:fill="auto"/>
            <w:vAlign w:val="bottom"/>
          </w:tcPr>
          <w:p w14:paraId="71D4A1BC" w14:textId="77777777" w:rsidR="006A3667" w:rsidRDefault="006A3667">
            <w:pPr>
              <w:rPr>
                <w:rFonts w:ascii="宋体"/>
                <w:vanish/>
              </w:rPr>
            </w:pPr>
          </w:p>
        </w:tc>
        <w:tc>
          <w:tcPr>
            <w:tcW w:w="0" w:type="auto"/>
            <w:gridSpan w:val="3"/>
            <w:shd w:val="clear" w:color="auto" w:fill="auto"/>
            <w:vAlign w:val="bottom"/>
          </w:tcPr>
          <w:p w14:paraId="71D4A1BD" w14:textId="77777777" w:rsidR="006A3667" w:rsidRDefault="006A3667">
            <w:pPr>
              <w:rPr>
                <w:rFonts w:ascii="宋体"/>
                <w:vanish/>
              </w:rPr>
            </w:pPr>
          </w:p>
        </w:tc>
        <w:tc>
          <w:tcPr>
            <w:tcW w:w="0" w:type="auto"/>
            <w:gridSpan w:val="3"/>
            <w:shd w:val="clear" w:color="auto" w:fill="auto"/>
            <w:vAlign w:val="bottom"/>
          </w:tcPr>
          <w:p w14:paraId="71D4A1BE" w14:textId="77777777" w:rsidR="006A3667" w:rsidRDefault="006A3667">
            <w:pPr>
              <w:rPr>
                <w:rFonts w:ascii="宋体"/>
                <w:vanish/>
              </w:rPr>
            </w:pPr>
          </w:p>
        </w:tc>
        <w:tc>
          <w:tcPr>
            <w:tcW w:w="0" w:type="auto"/>
            <w:gridSpan w:val="3"/>
            <w:shd w:val="clear" w:color="auto" w:fill="auto"/>
            <w:vAlign w:val="bottom"/>
          </w:tcPr>
          <w:p w14:paraId="71D4A1BF" w14:textId="77777777" w:rsidR="006A3667" w:rsidRDefault="006A3667">
            <w:pPr>
              <w:rPr>
                <w:rFonts w:ascii="宋体"/>
                <w:vanish/>
              </w:rPr>
            </w:pPr>
          </w:p>
        </w:tc>
        <w:tc>
          <w:tcPr>
            <w:tcW w:w="0" w:type="auto"/>
            <w:gridSpan w:val="3"/>
            <w:shd w:val="clear" w:color="auto" w:fill="auto"/>
            <w:vAlign w:val="bottom"/>
          </w:tcPr>
          <w:p w14:paraId="71D4A1C0" w14:textId="77777777" w:rsidR="006A3667" w:rsidRDefault="006A3667">
            <w:pPr>
              <w:rPr>
                <w:rFonts w:ascii="宋体"/>
                <w:vanish/>
              </w:rPr>
            </w:pPr>
          </w:p>
        </w:tc>
        <w:tc>
          <w:tcPr>
            <w:tcW w:w="0" w:type="auto"/>
            <w:gridSpan w:val="3"/>
            <w:shd w:val="clear" w:color="auto" w:fill="auto"/>
            <w:vAlign w:val="bottom"/>
          </w:tcPr>
          <w:p w14:paraId="71D4A1C1" w14:textId="77777777" w:rsidR="006A3667" w:rsidRDefault="006A3667">
            <w:pPr>
              <w:rPr>
                <w:rFonts w:ascii="宋体"/>
                <w:vanish/>
              </w:rPr>
            </w:pPr>
          </w:p>
        </w:tc>
        <w:tc>
          <w:tcPr>
            <w:tcW w:w="0" w:type="auto"/>
            <w:gridSpan w:val="3"/>
            <w:shd w:val="clear" w:color="auto" w:fill="auto"/>
            <w:vAlign w:val="bottom"/>
          </w:tcPr>
          <w:p w14:paraId="71D4A1C2" w14:textId="77777777" w:rsidR="006A3667" w:rsidRDefault="006A3667">
            <w:pPr>
              <w:rPr>
                <w:rFonts w:ascii="宋体"/>
                <w:vanish/>
              </w:rPr>
            </w:pPr>
          </w:p>
        </w:tc>
        <w:tc>
          <w:tcPr>
            <w:tcW w:w="0" w:type="auto"/>
            <w:gridSpan w:val="3"/>
            <w:shd w:val="clear" w:color="auto" w:fill="auto"/>
            <w:vAlign w:val="bottom"/>
          </w:tcPr>
          <w:p w14:paraId="71D4A1C3" w14:textId="77777777" w:rsidR="006A3667" w:rsidRDefault="006A3667">
            <w:pPr>
              <w:rPr>
                <w:rFonts w:ascii="宋体"/>
                <w:vanish/>
              </w:rPr>
            </w:pPr>
          </w:p>
        </w:tc>
        <w:tc>
          <w:tcPr>
            <w:tcW w:w="0" w:type="auto"/>
            <w:gridSpan w:val="3"/>
            <w:shd w:val="clear" w:color="auto" w:fill="auto"/>
            <w:vAlign w:val="bottom"/>
          </w:tcPr>
          <w:p w14:paraId="71D4A1C4" w14:textId="77777777" w:rsidR="006A3667" w:rsidRDefault="006A3667">
            <w:pPr>
              <w:rPr>
                <w:rFonts w:ascii="宋体"/>
                <w:vanish/>
              </w:rPr>
            </w:pPr>
          </w:p>
        </w:tc>
        <w:tc>
          <w:tcPr>
            <w:tcW w:w="0" w:type="auto"/>
            <w:gridSpan w:val="3"/>
            <w:shd w:val="clear" w:color="auto" w:fill="auto"/>
            <w:vAlign w:val="bottom"/>
          </w:tcPr>
          <w:p w14:paraId="71D4A1C5" w14:textId="77777777" w:rsidR="006A3667" w:rsidRDefault="006A3667">
            <w:pPr>
              <w:rPr>
                <w:rFonts w:ascii="宋体"/>
                <w:vanish/>
              </w:rPr>
            </w:pPr>
          </w:p>
        </w:tc>
        <w:tc>
          <w:tcPr>
            <w:tcW w:w="0" w:type="auto"/>
            <w:gridSpan w:val="3"/>
            <w:shd w:val="clear" w:color="auto" w:fill="auto"/>
            <w:vAlign w:val="bottom"/>
          </w:tcPr>
          <w:p w14:paraId="71D4A1C6" w14:textId="77777777" w:rsidR="006A3667" w:rsidRDefault="006A3667">
            <w:pPr>
              <w:rPr>
                <w:rFonts w:ascii="宋体"/>
                <w:vanish/>
              </w:rPr>
            </w:pPr>
          </w:p>
        </w:tc>
        <w:tc>
          <w:tcPr>
            <w:tcW w:w="0" w:type="auto"/>
            <w:gridSpan w:val="3"/>
            <w:shd w:val="clear" w:color="auto" w:fill="auto"/>
            <w:vAlign w:val="bottom"/>
          </w:tcPr>
          <w:p w14:paraId="71D4A1C7" w14:textId="77777777" w:rsidR="006A3667" w:rsidRDefault="006A3667">
            <w:pPr>
              <w:rPr>
                <w:rFonts w:ascii="宋体"/>
                <w:vanish/>
              </w:rPr>
            </w:pPr>
          </w:p>
        </w:tc>
        <w:tc>
          <w:tcPr>
            <w:tcW w:w="0" w:type="auto"/>
            <w:gridSpan w:val="3"/>
            <w:shd w:val="clear" w:color="auto" w:fill="auto"/>
            <w:vAlign w:val="bottom"/>
          </w:tcPr>
          <w:p w14:paraId="71D4A1C8" w14:textId="77777777" w:rsidR="006A3667" w:rsidRDefault="006A3667">
            <w:pPr>
              <w:rPr>
                <w:rFonts w:ascii="宋体"/>
                <w:vanish/>
              </w:rPr>
            </w:pPr>
          </w:p>
        </w:tc>
        <w:tc>
          <w:tcPr>
            <w:tcW w:w="0" w:type="auto"/>
            <w:gridSpan w:val="3"/>
            <w:shd w:val="clear" w:color="auto" w:fill="auto"/>
            <w:vAlign w:val="bottom"/>
          </w:tcPr>
          <w:p w14:paraId="71D4A1C9" w14:textId="77777777" w:rsidR="006A3667" w:rsidRDefault="006A3667">
            <w:pPr>
              <w:rPr>
                <w:rFonts w:ascii="宋体"/>
                <w:vanish/>
              </w:rPr>
            </w:pPr>
          </w:p>
        </w:tc>
        <w:tc>
          <w:tcPr>
            <w:tcW w:w="0" w:type="auto"/>
            <w:gridSpan w:val="3"/>
            <w:shd w:val="clear" w:color="auto" w:fill="auto"/>
            <w:vAlign w:val="bottom"/>
          </w:tcPr>
          <w:p w14:paraId="71D4A1CA" w14:textId="77777777" w:rsidR="006A3667" w:rsidRDefault="006A3667">
            <w:pPr>
              <w:rPr>
                <w:rFonts w:ascii="宋体"/>
                <w:vanish/>
              </w:rPr>
            </w:pPr>
          </w:p>
        </w:tc>
        <w:tc>
          <w:tcPr>
            <w:tcW w:w="0" w:type="auto"/>
            <w:gridSpan w:val="3"/>
            <w:shd w:val="clear" w:color="auto" w:fill="auto"/>
            <w:vAlign w:val="bottom"/>
          </w:tcPr>
          <w:p w14:paraId="71D4A1CB" w14:textId="77777777" w:rsidR="006A3667" w:rsidRDefault="006A3667">
            <w:pPr>
              <w:rPr>
                <w:rFonts w:ascii="宋体"/>
                <w:vanish/>
              </w:rPr>
            </w:pPr>
          </w:p>
        </w:tc>
        <w:tc>
          <w:tcPr>
            <w:tcW w:w="0" w:type="auto"/>
            <w:gridSpan w:val="3"/>
            <w:shd w:val="clear" w:color="auto" w:fill="auto"/>
            <w:vAlign w:val="bottom"/>
          </w:tcPr>
          <w:p w14:paraId="71D4A1CC" w14:textId="77777777" w:rsidR="006A3667" w:rsidRDefault="006A3667">
            <w:pPr>
              <w:rPr>
                <w:rFonts w:ascii="宋体"/>
                <w:vanish/>
              </w:rPr>
            </w:pPr>
          </w:p>
        </w:tc>
        <w:tc>
          <w:tcPr>
            <w:tcW w:w="0" w:type="auto"/>
            <w:gridSpan w:val="3"/>
            <w:shd w:val="clear" w:color="auto" w:fill="auto"/>
            <w:vAlign w:val="bottom"/>
          </w:tcPr>
          <w:p w14:paraId="71D4A1CD" w14:textId="77777777" w:rsidR="006A3667" w:rsidRDefault="006A3667">
            <w:pPr>
              <w:rPr>
                <w:rFonts w:ascii="宋体"/>
                <w:vanish/>
              </w:rPr>
            </w:pPr>
          </w:p>
        </w:tc>
      </w:tr>
      <w:tr w:rsidR="006A3667" w14:paraId="71D4A1E3" w14:textId="77777777">
        <w:trPr>
          <w:hidden/>
        </w:trPr>
        <w:tc>
          <w:tcPr>
            <w:tcW w:w="0" w:type="auto"/>
            <w:gridSpan w:val="3"/>
            <w:shd w:val="clear" w:color="auto" w:fill="auto"/>
            <w:vAlign w:val="bottom"/>
          </w:tcPr>
          <w:p w14:paraId="71D4A1CF" w14:textId="77777777" w:rsidR="006A3667" w:rsidRDefault="006A3667">
            <w:pPr>
              <w:rPr>
                <w:rFonts w:ascii="宋体"/>
                <w:vanish/>
              </w:rPr>
            </w:pPr>
          </w:p>
        </w:tc>
        <w:tc>
          <w:tcPr>
            <w:tcW w:w="0" w:type="auto"/>
            <w:gridSpan w:val="3"/>
            <w:shd w:val="clear" w:color="auto" w:fill="auto"/>
            <w:vAlign w:val="bottom"/>
          </w:tcPr>
          <w:p w14:paraId="71D4A1D0" w14:textId="77777777" w:rsidR="006A3667" w:rsidRDefault="006A3667">
            <w:pPr>
              <w:rPr>
                <w:rFonts w:ascii="宋体"/>
                <w:vanish/>
              </w:rPr>
            </w:pPr>
          </w:p>
        </w:tc>
        <w:tc>
          <w:tcPr>
            <w:tcW w:w="0" w:type="auto"/>
            <w:gridSpan w:val="3"/>
            <w:shd w:val="clear" w:color="auto" w:fill="auto"/>
            <w:vAlign w:val="bottom"/>
          </w:tcPr>
          <w:p w14:paraId="71D4A1D1" w14:textId="77777777" w:rsidR="006A3667" w:rsidRDefault="006A3667">
            <w:pPr>
              <w:rPr>
                <w:rFonts w:ascii="宋体"/>
                <w:vanish/>
              </w:rPr>
            </w:pPr>
          </w:p>
        </w:tc>
        <w:tc>
          <w:tcPr>
            <w:tcW w:w="0" w:type="auto"/>
            <w:gridSpan w:val="3"/>
            <w:shd w:val="clear" w:color="auto" w:fill="auto"/>
            <w:vAlign w:val="bottom"/>
          </w:tcPr>
          <w:p w14:paraId="71D4A1D2" w14:textId="77777777" w:rsidR="006A3667" w:rsidRDefault="006A3667">
            <w:pPr>
              <w:rPr>
                <w:rFonts w:ascii="宋体"/>
                <w:vanish/>
              </w:rPr>
            </w:pPr>
          </w:p>
        </w:tc>
        <w:tc>
          <w:tcPr>
            <w:tcW w:w="0" w:type="auto"/>
            <w:gridSpan w:val="3"/>
            <w:shd w:val="clear" w:color="auto" w:fill="auto"/>
            <w:vAlign w:val="bottom"/>
          </w:tcPr>
          <w:p w14:paraId="71D4A1D3" w14:textId="77777777" w:rsidR="006A3667" w:rsidRDefault="006A3667">
            <w:pPr>
              <w:rPr>
                <w:rFonts w:ascii="宋体"/>
                <w:vanish/>
              </w:rPr>
            </w:pPr>
          </w:p>
        </w:tc>
        <w:tc>
          <w:tcPr>
            <w:tcW w:w="0" w:type="auto"/>
            <w:gridSpan w:val="3"/>
            <w:shd w:val="clear" w:color="auto" w:fill="auto"/>
            <w:vAlign w:val="bottom"/>
          </w:tcPr>
          <w:p w14:paraId="71D4A1D4" w14:textId="77777777" w:rsidR="006A3667" w:rsidRDefault="006A3667">
            <w:pPr>
              <w:rPr>
                <w:rFonts w:ascii="宋体"/>
                <w:vanish/>
              </w:rPr>
            </w:pPr>
          </w:p>
        </w:tc>
        <w:tc>
          <w:tcPr>
            <w:tcW w:w="0" w:type="auto"/>
            <w:gridSpan w:val="3"/>
            <w:shd w:val="clear" w:color="auto" w:fill="auto"/>
            <w:vAlign w:val="bottom"/>
          </w:tcPr>
          <w:p w14:paraId="71D4A1D5" w14:textId="77777777" w:rsidR="006A3667" w:rsidRDefault="006A3667">
            <w:pPr>
              <w:rPr>
                <w:rFonts w:ascii="宋体"/>
                <w:vanish/>
              </w:rPr>
            </w:pPr>
          </w:p>
        </w:tc>
        <w:tc>
          <w:tcPr>
            <w:tcW w:w="0" w:type="auto"/>
            <w:gridSpan w:val="3"/>
            <w:shd w:val="clear" w:color="auto" w:fill="auto"/>
            <w:vAlign w:val="bottom"/>
          </w:tcPr>
          <w:p w14:paraId="71D4A1D6" w14:textId="77777777" w:rsidR="006A3667" w:rsidRDefault="006A3667">
            <w:pPr>
              <w:rPr>
                <w:rFonts w:ascii="宋体"/>
                <w:vanish/>
              </w:rPr>
            </w:pPr>
          </w:p>
        </w:tc>
        <w:tc>
          <w:tcPr>
            <w:tcW w:w="0" w:type="auto"/>
            <w:gridSpan w:val="3"/>
            <w:shd w:val="clear" w:color="auto" w:fill="auto"/>
            <w:vAlign w:val="bottom"/>
          </w:tcPr>
          <w:p w14:paraId="71D4A1D7" w14:textId="77777777" w:rsidR="006A3667" w:rsidRDefault="006A3667">
            <w:pPr>
              <w:rPr>
                <w:rFonts w:ascii="宋体"/>
                <w:vanish/>
              </w:rPr>
            </w:pPr>
          </w:p>
        </w:tc>
        <w:tc>
          <w:tcPr>
            <w:tcW w:w="0" w:type="auto"/>
            <w:gridSpan w:val="3"/>
            <w:shd w:val="clear" w:color="auto" w:fill="auto"/>
            <w:vAlign w:val="bottom"/>
          </w:tcPr>
          <w:p w14:paraId="71D4A1D8" w14:textId="77777777" w:rsidR="006A3667" w:rsidRDefault="006A3667">
            <w:pPr>
              <w:rPr>
                <w:rFonts w:ascii="宋体"/>
                <w:vanish/>
              </w:rPr>
            </w:pPr>
          </w:p>
        </w:tc>
        <w:tc>
          <w:tcPr>
            <w:tcW w:w="0" w:type="auto"/>
            <w:gridSpan w:val="3"/>
            <w:shd w:val="clear" w:color="auto" w:fill="auto"/>
            <w:vAlign w:val="bottom"/>
          </w:tcPr>
          <w:p w14:paraId="71D4A1D9" w14:textId="77777777" w:rsidR="006A3667" w:rsidRDefault="006A3667">
            <w:pPr>
              <w:rPr>
                <w:rFonts w:ascii="宋体"/>
                <w:vanish/>
              </w:rPr>
            </w:pPr>
          </w:p>
        </w:tc>
        <w:tc>
          <w:tcPr>
            <w:tcW w:w="0" w:type="auto"/>
            <w:gridSpan w:val="3"/>
            <w:shd w:val="clear" w:color="auto" w:fill="auto"/>
            <w:vAlign w:val="bottom"/>
          </w:tcPr>
          <w:p w14:paraId="71D4A1DA" w14:textId="77777777" w:rsidR="006A3667" w:rsidRDefault="006A3667">
            <w:pPr>
              <w:rPr>
                <w:rFonts w:ascii="宋体"/>
                <w:vanish/>
              </w:rPr>
            </w:pPr>
          </w:p>
        </w:tc>
        <w:tc>
          <w:tcPr>
            <w:tcW w:w="0" w:type="auto"/>
            <w:gridSpan w:val="3"/>
            <w:shd w:val="clear" w:color="auto" w:fill="auto"/>
            <w:vAlign w:val="bottom"/>
          </w:tcPr>
          <w:p w14:paraId="71D4A1DB" w14:textId="77777777" w:rsidR="006A3667" w:rsidRDefault="006A3667">
            <w:pPr>
              <w:rPr>
                <w:rFonts w:ascii="宋体"/>
                <w:vanish/>
              </w:rPr>
            </w:pPr>
          </w:p>
        </w:tc>
        <w:tc>
          <w:tcPr>
            <w:tcW w:w="0" w:type="auto"/>
            <w:gridSpan w:val="3"/>
            <w:shd w:val="clear" w:color="auto" w:fill="auto"/>
            <w:vAlign w:val="bottom"/>
          </w:tcPr>
          <w:p w14:paraId="71D4A1DC" w14:textId="77777777" w:rsidR="006A3667" w:rsidRDefault="006A3667">
            <w:pPr>
              <w:rPr>
                <w:rFonts w:ascii="宋体"/>
                <w:vanish/>
              </w:rPr>
            </w:pPr>
          </w:p>
        </w:tc>
        <w:tc>
          <w:tcPr>
            <w:tcW w:w="0" w:type="auto"/>
            <w:gridSpan w:val="3"/>
            <w:shd w:val="clear" w:color="auto" w:fill="auto"/>
            <w:vAlign w:val="bottom"/>
          </w:tcPr>
          <w:p w14:paraId="71D4A1DD" w14:textId="77777777" w:rsidR="006A3667" w:rsidRDefault="006A3667">
            <w:pPr>
              <w:rPr>
                <w:rFonts w:ascii="宋体"/>
                <w:vanish/>
              </w:rPr>
            </w:pPr>
          </w:p>
        </w:tc>
        <w:tc>
          <w:tcPr>
            <w:tcW w:w="0" w:type="auto"/>
            <w:gridSpan w:val="3"/>
            <w:shd w:val="clear" w:color="auto" w:fill="auto"/>
            <w:vAlign w:val="bottom"/>
          </w:tcPr>
          <w:p w14:paraId="71D4A1DE" w14:textId="77777777" w:rsidR="006A3667" w:rsidRDefault="006A3667">
            <w:pPr>
              <w:rPr>
                <w:rFonts w:ascii="宋体"/>
                <w:vanish/>
              </w:rPr>
            </w:pPr>
          </w:p>
        </w:tc>
        <w:tc>
          <w:tcPr>
            <w:tcW w:w="0" w:type="auto"/>
            <w:gridSpan w:val="3"/>
            <w:shd w:val="clear" w:color="auto" w:fill="auto"/>
            <w:vAlign w:val="bottom"/>
          </w:tcPr>
          <w:p w14:paraId="71D4A1DF" w14:textId="77777777" w:rsidR="006A3667" w:rsidRDefault="006A3667">
            <w:pPr>
              <w:rPr>
                <w:rFonts w:ascii="宋体"/>
                <w:vanish/>
              </w:rPr>
            </w:pPr>
          </w:p>
        </w:tc>
        <w:tc>
          <w:tcPr>
            <w:tcW w:w="0" w:type="auto"/>
            <w:gridSpan w:val="3"/>
            <w:shd w:val="clear" w:color="auto" w:fill="auto"/>
            <w:vAlign w:val="bottom"/>
          </w:tcPr>
          <w:p w14:paraId="71D4A1E0" w14:textId="77777777" w:rsidR="006A3667" w:rsidRDefault="006A3667">
            <w:pPr>
              <w:rPr>
                <w:rFonts w:ascii="宋体"/>
                <w:vanish/>
              </w:rPr>
            </w:pPr>
          </w:p>
        </w:tc>
        <w:tc>
          <w:tcPr>
            <w:tcW w:w="0" w:type="auto"/>
            <w:gridSpan w:val="3"/>
            <w:shd w:val="clear" w:color="auto" w:fill="auto"/>
            <w:vAlign w:val="bottom"/>
          </w:tcPr>
          <w:p w14:paraId="71D4A1E1" w14:textId="77777777" w:rsidR="006A3667" w:rsidRDefault="006A3667">
            <w:pPr>
              <w:rPr>
                <w:rFonts w:ascii="宋体"/>
                <w:vanish/>
              </w:rPr>
            </w:pPr>
          </w:p>
        </w:tc>
        <w:tc>
          <w:tcPr>
            <w:tcW w:w="0" w:type="auto"/>
            <w:gridSpan w:val="3"/>
            <w:shd w:val="clear" w:color="auto" w:fill="auto"/>
            <w:vAlign w:val="bottom"/>
          </w:tcPr>
          <w:p w14:paraId="71D4A1E2" w14:textId="77777777" w:rsidR="006A3667" w:rsidRDefault="006A3667">
            <w:pPr>
              <w:rPr>
                <w:rFonts w:ascii="宋体"/>
                <w:vanish/>
              </w:rPr>
            </w:pPr>
          </w:p>
        </w:tc>
      </w:tr>
      <w:tr w:rsidR="006A3667" w14:paraId="71D4A21C" w14:textId="77777777">
        <w:trPr>
          <w:hidden/>
        </w:trPr>
        <w:tc>
          <w:tcPr>
            <w:tcW w:w="0" w:type="auto"/>
            <w:gridSpan w:val="3"/>
            <w:shd w:val="clear" w:color="auto" w:fill="auto"/>
            <w:vAlign w:val="bottom"/>
          </w:tcPr>
          <w:p w14:paraId="71D4A1E4" w14:textId="77777777" w:rsidR="006A3667" w:rsidRDefault="006A3667">
            <w:pPr>
              <w:rPr>
                <w:rFonts w:ascii="宋体"/>
                <w:vanish/>
              </w:rPr>
            </w:pPr>
          </w:p>
        </w:tc>
        <w:tc>
          <w:tcPr>
            <w:tcW w:w="0" w:type="auto"/>
            <w:gridSpan w:val="3"/>
            <w:shd w:val="clear" w:color="auto" w:fill="auto"/>
            <w:vAlign w:val="bottom"/>
          </w:tcPr>
          <w:p w14:paraId="71D4A1E5" w14:textId="77777777" w:rsidR="006A3667" w:rsidRDefault="006A3667">
            <w:pPr>
              <w:rPr>
                <w:rFonts w:ascii="宋体"/>
                <w:vanish/>
              </w:rPr>
            </w:pPr>
          </w:p>
        </w:tc>
        <w:tc>
          <w:tcPr>
            <w:tcW w:w="0" w:type="auto"/>
            <w:shd w:val="clear" w:color="auto" w:fill="auto"/>
            <w:vAlign w:val="bottom"/>
          </w:tcPr>
          <w:p w14:paraId="71D4A1E6" w14:textId="77777777" w:rsidR="006A3667" w:rsidRDefault="006A3667">
            <w:pPr>
              <w:rPr>
                <w:rFonts w:ascii="宋体"/>
              </w:rPr>
            </w:pPr>
          </w:p>
        </w:tc>
        <w:tc>
          <w:tcPr>
            <w:tcW w:w="0" w:type="auto"/>
            <w:shd w:val="clear" w:color="auto" w:fill="auto"/>
            <w:vAlign w:val="bottom"/>
          </w:tcPr>
          <w:p w14:paraId="71D4A1E7" w14:textId="77777777" w:rsidR="006A3667" w:rsidRDefault="006A3667">
            <w:pPr>
              <w:rPr>
                <w:rFonts w:ascii="宋体"/>
              </w:rPr>
            </w:pPr>
          </w:p>
        </w:tc>
        <w:tc>
          <w:tcPr>
            <w:tcW w:w="0" w:type="auto"/>
            <w:shd w:val="clear" w:color="auto" w:fill="auto"/>
            <w:vAlign w:val="bottom"/>
          </w:tcPr>
          <w:p w14:paraId="71D4A1E8" w14:textId="77777777" w:rsidR="006A3667" w:rsidRDefault="006A3667">
            <w:pPr>
              <w:rPr>
                <w:rFonts w:ascii="宋体"/>
              </w:rPr>
            </w:pPr>
          </w:p>
        </w:tc>
        <w:tc>
          <w:tcPr>
            <w:tcW w:w="0" w:type="auto"/>
            <w:shd w:val="clear" w:color="auto" w:fill="auto"/>
            <w:vAlign w:val="bottom"/>
          </w:tcPr>
          <w:p w14:paraId="71D4A1E9" w14:textId="77777777" w:rsidR="006A3667" w:rsidRDefault="006A3667">
            <w:pPr>
              <w:rPr>
                <w:rFonts w:ascii="宋体"/>
              </w:rPr>
            </w:pPr>
          </w:p>
        </w:tc>
        <w:tc>
          <w:tcPr>
            <w:tcW w:w="0" w:type="auto"/>
            <w:shd w:val="clear" w:color="auto" w:fill="auto"/>
            <w:vAlign w:val="bottom"/>
          </w:tcPr>
          <w:p w14:paraId="71D4A1EA" w14:textId="77777777" w:rsidR="006A3667" w:rsidRDefault="006A3667">
            <w:pPr>
              <w:rPr>
                <w:rFonts w:ascii="宋体"/>
              </w:rPr>
            </w:pPr>
          </w:p>
        </w:tc>
        <w:tc>
          <w:tcPr>
            <w:tcW w:w="0" w:type="auto"/>
            <w:shd w:val="clear" w:color="auto" w:fill="auto"/>
            <w:vAlign w:val="bottom"/>
          </w:tcPr>
          <w:p w14:paraId="71D4A1EB" w14:textId="77777777" w:rsidR="006A3667" w:rsidRDefault="006A3667">
            <w:pPr>
              <w:rPr>
                <w:rFonts w:ascii="宋体"/>
              </w:rPr>
            </w:pPr>
          </w:p>
        </w:tc>
        <w:tc>
          <w:tcPr>
            <w:tcW w:w="0" w:type="auto"/>
            <w:shd w:val="clear" w:color="auto" w:fill="auto"/>
            <w:vAlign w:val="bottom"/>
          </w:tcPr>
          <w:p w14:paraId="71D4A1EC" w14:textId="77777777" w:rsidR="006A3667" w:rsidRDefault="006A3667">
            <w:pPr>
              <w:rPr>
                <w:rFonts w:ascii="宋体"/>
              </w:rPr>
            </w:pPr>
          </w:p>
        </w:tc>
        <w:tc>
          <w:tcPr>
            <w:tcW w:w="0" w:type="auto"/>
            <w:shd w:val="clear" w:color="auto" w:fill="auto"/>
            <w:vAlign w:val="bottom"/>
          </w:tcPr>
          <w:p w14:paraId="71D4A1ED" w14:textId="77777777" w:rsidR="006A3667" w:rsidRDefault="006A3667">
            <w:pPr>
              <w:rPr>
                <w:rFonts w:ascii="宋体"/>
              </w:rPr>
            </w:pPr>
          </w:p>
        </w:tc>
        <w:tc>
          <w:tcPr>
            <w:tcW w:w="0" w:type="auto"/>
            <w:shd w:val="clear" w:color="auto" w:fill="auto"/>
            <w:vAlign w:val="bottom"/>
          </w:tcPr>
          <w:p w14:paraId="71D4A1EE" w14:textId="77777777" w:rsidR="006A3667" w:rsidRDefault="006A3667">
            <w:pPr>
              <w:rPr>
                <w:rFonts w:ascii="宋体"/>
              </w:rPr>
            </w:pPr>
          </w:p>
        </w:tc>
        <w:tc>
          <w:tcPr>
            <w:tcW w:w="0" w:type="auto"/>
            <w:shd w:val="clear" w:color="auto" w:fill="auto"/>
            <w:vAlign w:val="bottom"/>
          </w:tcPr>
          <w:p w14:paraId="71D4A1EF" w14:textId="77777777" w:rsidR="006A3667" w:rsidRDefault="006A3667">
            <w:pPr>
              <w:rPr>
                <w:rFonts w:ascii="宋体"/>
              </w:rPr>
            </w:pPr>
          </w:p>
        </w:tc>
        <w:tc>
          <w:tcPr>
            <w:tcW w:w="0" w:type="auto"/>
            <w:shd w:val="clear" w:color="auto" w:fill="auto"/>
            <w:vAlign w:val="bottom"/>
          </w:tcPr>
          <w:p w14:paraId="71D4A1F0" w14:textId="77777777" w:rsidR="006A3667" w:rsidRDefault="006A3667">
            <w:pPr>
              <w:rPr>
                <w:rFonts w:ascii="宋体"/>
              </w:rPr>
            </w:pPr>
          </w:p>
        </w:tc>
        <w:tc>
          <w:tcPr>
            <w:tcW w:w="0" w:type="auto"/>
            <w:shd w:val="clear" w:color="auto" w:fill="auto"/>
            <w:vAlign w:val="bottom"/>
          </w:tcPr>
          <w:p w14:paraId="71D4A1F1" w14:textId="77777777" w:rsidR="006A3667" w:rsidRDefault="006A3667">
            <w:pPr>
              <w:rPr>
                <w:rFonts w:ascii="宋体"/>
              </w:rPr>
            </w:pPr>
          </w:p>
        </w:tc>
        <w:tc>
          <w:tcPr>
            <w:tcW w:w="0" w:type="auto"/>
            <w:shd w:val="clear" w:color="auto" w:fill="auto"/>
            <w:vAlign w:val="bottom"/>
          </w:tcPr>
          <w:p w14:paraId="71D4A1F2" w14:textId="77777777" w:rsidR="006A3667" w:rsidRDefault="006A3667">
            <w:pPr>
              <w:rPr>
                <w:rFonts w:ascii="宋体"/>
              </w:rPr>
            </w:pPr>
          </w:p>
        </w:tc>
        <w:tc>
          <w:tcPr>
            <w:tcW w:w="0" w:type="auto"/>
            <w:shd w:val="clear" w:color="auto" w:fill="auto"/>
            <w:vAlign w:val="bottom"/>
          </w:tcPr>
          <w:p w14:paraId="71D4A1F3" w14:textId="77777777" w:rsidR="006A3667" w:rsidRDefault="006A3667">
            <w:pPr>
              <w:rPr>
                <w:rFonts w:ascii="宋体"/>
              </w:rPr>
            </w:pPr>
          </w:p>
        </w:tc>
        <w:tc>
          <w:tcPr>
            <w:tcW w:w="0" w:type="auto"/>
            <w:shd w:val="clear" w:color="auto" w:fill="auto"/>
            <w:vAlign w:val="bottom"/>
          </w:tcPr>
          <w:p w14:paraId="71D4A1F4" w14:textId="77777777" w:rsidR="006A3667" w:rsidRDefault="006A3667">
            <w:pPr>
              <w:rPr>
                <w:rFonts w:ascii="宋体"/>
              </w:rPr>
            </w:pPr>
          </w:p>
        </w:tc>
        <w:tc>
          <w:tcPr>
            <w:tcW w:w="0" w:type="auto"/>
            <w:shd w:val="clear" w:color="auto" w:fill="auto"/>
            <w:vAlign w:val="bottom"/>
          </w:tcPr>
          <w:p w14:paraId="71D4A1F5" w14:textId="77777777" w:rsidR="006A3667" w:rsidRDefault="006A3667">
            <w:pPr>
              <w:rPr>
                <w:rFonts w:ascii="宋体"/>
              </w:rPr>
            </w:pPr>
          </w:p>
        </w:tc>
        <w:tc>
          <w:tcPr>
            <w:tcW w:w="0" w:type="auto"/>
            <w:shd w:val="clear" w:color="auto" w:fill="auto"/>
            <w:vAlign w:val="bottom"/>
          </w:tcPr>
          <w:p w14:paraId="71D4A1F6" w14:textId="77777777" w:rsidR="006A3667" w:rsidRDefault="006A3667">
            <w:pPr>
              <w:rPr>
                <w:rFonts w:ascii="宋体"/>
              </w:rPr>
            </w:pPr>
          </w:p>
        </w:tc>
        <w:tc>
          <w:tcPr>
            <w:tcW w:w="0" w:type="auto"/>
            <w:shd w:val="clear" w:color="auto" w:fill="auto"/>
            <w:vAlign w:val="bottom"/>
          </w:tcPr>
          <w:p w14:paraId="71D4A1F7" w14:textId="77777777" w:rsidR="006A3667" w:rsidRDefault="006A3667">
            <w:pPr>
              <w:rPr>
                <w:rFonts w:ascii="宋体"/>
              </w:rPr>
            </w:pPr>
          </w:p>
        </w:tc>
        <w:tc>
          <w:tcPr>
            <w:tcW w:w="0" w:type="auto"/>
            <w:shd w:val="clear" w:color="auto" w:fill="auto"/>
            <w:vAlign w:val="bottom"/>
          </w:tcPr>
          <w:p w14:paraId="71D4A1F8" w14:textId="77777777" w:rsidR="006A3667" w:rsidRDefault="006A3667">
            <w:pPr>
              <w:rPr>
                <w:rFonts w:ascii="宋体"/>
              </w:rPr>
            </w:pPr>
          </w:p>
        </w:tc>
        <w:tc>
          <w:tcPr>
            <w:tcW w:w="0" w:type="auto"/>
            <w:shd w:val="clear" w:color="auto" w:fill="auto"/>
            <w:vAlign w:val="bottom"/>
          </w:tcPr>
          <w:p w14:paraId="71D4A1F9" w14:textId="77777777" w:rsidR="006A3667" w:rsidRDefault="006A3667">
            <w:pPr>
              <w:rPr>
                <w:rFonts w:ascii="宋体"/>
              </w:rPr>
            </w:pPr>
          </w:p>
        </w:tc>
        <w:tc>
          <w:tcPr>
            <w:tcW w:w="0" w:type="auto"/>
            <w:shd w:val="clear" w:color="auto" w:fill="auto"/>
            <w:vAlign w:val="bottom"/>
          </w:tcPr>
          <w:p w14:paraId="71D4A1FA" w14:textId="77777777" w:rsidR="006A3667" w:rsidRDefault="006A3667">
            <w:pPr>
              <w:rPr>
                <w:rFonts w:ascii="宋体"/>
              </w:rPr>
            </w:pPr>
          </w:p>
        </w:tc>
        <w:tc>
          <w:tcPr>
            <w:tcW w:w="0" w:type="auto"/>
            <w:shd w:val="clear" w:color="auto" w:fill="auto"/>
            <w:vAlign w:val="bottom"/>
          </w:tcPr>
          <w:p w14:paraId="71D4A1FB" w14:textId="77777777" w:rsidR="006A3667" w:rsidRDefault="006A3667">
            <w:pPr>
              <w:rPr>
                <w:rFonts w:ascii="宋体"/>
              </w:rPr>
            </w:pPr>
          </w:p>
        </w:tc>
        <w:tc>
          <w:tcPr>
            <w:tcW w:w="0" w:type="auto"/>
            <w:shd w:val="clear" w:color="auto" w:fill="auto"/>
            <w:vAlign w:val="bottom"/>
          </w:tcPr>
          <w:p w14:paraId="71D4A1FC" w14:textId="77777777" w:rsidR="006A3667" w:rsidRDefault="006A3667">
            <w:pPr>
              <w:rPr>
                <w:rFonts w:ascii="宋体"/>
              </w:rPr>
            </w:pPr>
          </w:p>
        </w:tc>
        <w:tc>
          <w:tcPr>
            <w:tcW w:w="0" w:type="auto"/>
            <w:shd w:val="clear" w:color="auto" w:fill="auto"/>
            <w:vAlign w:val="bottom"/>
          </w:tcPr>
          <w:p w14:paraId="71D4A1FD" w14:textId="77777777" w:rsidR="006A3667" w:rsidRDefault="006A3667">
            <w:pPr>
              <w:rPr>
                <w:rFonts w:ascii="宋体"/>
              </w:rPr>
            </w:pPr>
          </w:p>
        </w:tc>
        <w:tc>
          <w:tcPr>
            <w:tcW w:w="0" w:type="auto"/>
            <w:shd w:val="clear" w:color="auto" w:fill="auto"/>
            <w:vAlign w:val="bottom"/>
          </w:tcPr>
          <w:p w14:paraId="71D4A1FE" w14:textId="77777777" w:rsidR="006A3667" w:rsidRDefault="006A3667">
            <w:pPr>
              <w:rPr>
                <w:rFonts w:ascii="宋体"/>
              </w:rPr>
            </w:pPr>
          </w:p>
        </w:tc>
        <w:tc>
          <w:tcPr>
            <w:tcW w:w="0" w:type="auto"/>
            <w:shd w:val="clear" w:color="auto" w:fill="auto"/>
            <w:vAlign w:val="bottom"/>
          </w:tcPr>
          <w:p w14:paraId="71D4A1FF" w14:textId="77777777" w:rsidR="006A3667" w:rsidRDefault="006A3667">
            <w:pPr>
              <w:rPr>
                <w:rFonts w:ascii="宋体"/>
              </w:rPr>
            </w:pPr>
          </w:p>
        </w:tc>
        <w:tc>
          <w:tcPr>
            <w:tcW w:w="0" w:type="auto"/>
            <w:shd w:val="clear" w:color="auto" w:fill="auto"/>
            <w:vAlign w:val="bottom"/>
          </w:tcPr>
          <w:p w14:paraId="71D4A200" w14:textId="77777777" w:rsidR="006A3667" w:rsidRDefault="006A3667">
            <w:pPr>
              <w:rPr>
                <w:rFonts w:ascii="宋体"/>
              </w:rPr>
            </w:pPr>
          </w:p>
        </w:tc>
        <w:tc>
          <w:tcPr>
            <w:tcW w:w="0" w:type="auto"/>
            <w:shd w:val="clear" w:color="auto" w:fill="auto"/>
            <w:vAlign w:val="bottom"/>
          </w:tcPr>
          <w:p w14:paraId="71D4A201" w14:textId="77777777" w:rsidR="006A3667" w:rsidRDefault="006A3667">
            <w:pPr>
              <w:rPr>
                <w:rFonts w:ascii="宋体"/>
              </w:rPr>
            </w:pPr>
          </w:p>
        </w:tc>
        <w:tc>
          <w:tcPr>
            <w:tcW w:w="0" w:type="auto"/>
            <w:shd w:val="clear" w:color="auto" w:fill="auto"/>
            <w:vAlign w:val="bottom"/>
          </w:tcPr>
          <w:p w14:paraId="71D4A202" w14:textId="77777777" w:rsidR="006A3667" w:rsidRDefault="006A3667">
            <w:pPr>
              <w:rPr>
                <w:rFonts w:ascii="宋体"/>
              </w:rPr>
            </w:pPr>
          </w:p>
        </w:tc>
        <w:tc>
          <w:tcPr>
            <w:tcW w:w="0" w:type="auto"/>
            <w:shd w:val="clear" w:color="auto" w:fill="auto"/>
            <w:vAlign w:val="bottom"/>
          </w:tcPr>
          <w:p w14:paraId="71D4A203" w14:textId="77777777" w:rsidR="006A3667" w:rsidRDefault="006A3667">
            <w:pPr>
              <w:rPr>
                <w:rFonts w:ascii="宋体"/>
              </w:rPr>
            </w:pPr>
          </w:p>
        </w:tc>
        <w:tc>
          <w:tcPr>
            <w:tcW w:w="0" w:type="auto"/>
            <w:shd w:val="clear" w:color="auto" w:fill="auto"/>
            <w:vAlign w:val="bottom"/>
          </w:tcPr>
          <w:p w14:paraId="71D4A204" w14:textId="77777777" w:rsidR="006A3667" w:rsidRDefault="006A3667">
            <w:pPr>
              <w:rPr>
                <w:rFonts w:ascii="宋体"/>
              </w:rPr>
            </w:pPr>
          </w:p>
        </w:tc>
        <w:tc>
          <w:tcPr>
            <w:tcW w:w="0" w:type="auto"/>
            <w:shd w:val="clear" w:color="auto" w:fill="auto"/>
            <w:vAlign w:val="bottom"/>
          </w:tcPr>
          <w:p w14:paraId="71D4A205" w14:textId="77777777" w:rsidR="006A3667" w:rsidRDefault="006A3667">
            <w:pPr>
              <w:rPr>
                <w:rFonts w:ascii="宋体"/>
              </w:rPr>
            </w:pPr>
          </w:p>
        </w:tc>
        <w:tc>
          <w:tcPr>
            <w:tcW w:w="0" w:type="auto"/>
            <w:shd w:val="clear" w:color="auto" w:fill="auto"/>
            <w:vAlign w:val="bottom"/>
          </w:tcPr>
          <w:p w14:paraId="71D4A206" w14:textId="77777777" w:rsidR="006A3667" w:rsidRDefault="006A3667">
            <w:pPr>
              <w:rPr>
                <w:rFonts w:ascii="宋体"/>
              </w:rPr>
            </w:pPr>
          </w:p>
        </w:tc>
        <w:tc>
          <w:tcPr>
            <w:tcW w:w="0" w:type="auto"/>
            <w:shd w:val="clear" w:color="auto" w:fill="auto"/>
            <w:vAlign w:val="bottom"/>
          </w:tcPr>
          <w:p w14:paraId="71D4A207" w14:textId="77777777" w:rsidR="006A3667" w:rsidRDefault="006A3667">
            <w:pPr>
              <w:rPr>
                <w:rFonts w:ascii="宋体"/>
              </w:rPr>
            </w:pPr>
          </w:p>
        </w:tc>
        <w:tc>
          <w:tcPr>
            <w:tcW w:w="0" w:type="auto"/>
            <w:shd w:val="clear" w:color="auto" w:fill="auto"/>
            <w:vAlign w:val="bottom"/>
          </w:tcPr>
          <w:p w14:paraId="71D4A208" w14:textId="77777777" w:rsidR="006A3667" w:rsidRDefault="006A3667">
            <w:pPr>
              <w:rPr>
                <w:rFonts w:ascii="宋体"/>
              </w:rPr>
            </w:pPr>
          </w:p>
        </w:tc>
        <w:tc>
          <w:tcPr>
            <w:tcW w:w="0" w:type="auto"/>
            <w:shd w:val="clear" w:color="auto" w:fill="auto"/>
            <w:vAlign w:val="bottom"/>
          </w:tcPr>
          <w:p w14:paraId="71D4A209" w14:textId="77777777" w:rsidR="006A3667" w:rsidRDefault="006A3667">
            <w:pPr>
              <w:rPr>
                <w:rFonts w:ascii="宋体"/>
              </w:rPr>
            </w:pPr>
          </w:p>
        </w:tc>
        <w:tc>
          <w:tcPr>
            <w:tcW w:w="0" w:type="auto"/>
            <w:shd w:val="clear" w:color="auto" w:fill="auto"/>
            <w:vAlign w:val="bottom"/>
          </w:tcPr>
          <w:p w14:paraId="71D4A20A" w14:textId="77777777" w:rsidR="006A3667" w:rsidRDefault="006A3667">
            <w:pPr>
              <w:rPr>
                <w:rFonts w:ascii="宋体"/>
              </w:rPr>
            </w:pPr>
          </w:p>
        </w:tc>
        <w:tc>
          <w:tcPr>
            <w:tcW w:w="0" w:type="auto"/>
            <w:shd w:val="clear" w:color="auto" w:fill="auto"/>
            <w:vAlign w:val="bottom"/>
          </w:tcPr>
          <w:p w14:paraId="71D4A20B" w14:textId="77777777" w:rsidR="006A3667" w:rsidRDefault="006A3667">
            <w:pPr>
              <w:rPr>
                <w:rFonts w:ascii="宋体"/>
              </w:rPr>
            </w:pPr>
          </w:p>
        </w:tc>
        <w:tc>
          <w:tcPr>
            <w:tcW w:w="0" w:type="auto"/>
            <w:shd w:val="clear" w:color="auto" w:fill="auto"/>
            <w:vAlign w:val="bottom"/>
          </w:tcPr>
          <w:p w14:paraId="71D4A20C" w14:textId="77777777" w:rsidR="006A3667" w:rsidRDefault="006A3667">
            <w:pPr>
              <w:rPr>
                <w:rFonts w:ascii="宋体"/>
              </w:rPr>
            </w:pPr>
          </w:p>
        </w:tc>
        <w:tc>
          <w:tcPr>
            <w:tcW w:w="0" w:type="auto"/>
            <w:shd w:val="clear" w:color="auto" w:fill="auto"/>
            <w:vAlign w:val="bottom"/>
          </w:tcPr>
          <w:p w14:paraId="71D4A20D" w14:textId="77777777" w:rsidR="006A3667" w:rsidRDefault="006A3667">
            <w:pPr>
              <w:rPr>
                <w:rFonts w:ascii="宋体"/>
              </w:rPr>
            </w:pPr>
          </w:p>
        </w:tc>
        <w:tc>
          <w:tcPr>
            <w:tcW w:w="0" w:type="auto"/>
            <w:shd w:val="clear" w:color="auto" w:fill="auto"/>
            <w:vAlign w:val="bottom"/>
          </w:tcPr>
          <w:p w14:paraId="71D4A20E" w14:textId="77777777" w:rsidR="006A3667" w:rsidRDefault="006A3667">
            <w:pPr>
              <w:rPr>
                <w:rFonts w:ascii="宋体"/>
              </w:rPr>
            </w:pPr>
          </w:p>
        </w:tc>
        <w:tc>
          <w:tcPr>
            <w:tcW w:w="0" w:type="auto"/>
            <w:shd w:val="clear" w:color="auto" w:fill="auto"/>
            <w:vAlign w:val="bottom"/>
          </w:tcPr>
          <w:p w14:paraId="71D4A20F" w14:textId="77777777" w:rsidR="006A3667" w:rsidRDefault="006A3667">
            <w:pPr>
              <w:rPr>
                <w:rFonts w:ascii="宋体"/>
              </w:rPr>
            </w:pPr>
          </w:p>
        </w:tc>
        <w:tc>
          <w:tcPr>
            <w:tcW w:w="0" w:type="auto"/>
            <w:shd w:val="clear" w:color="auto" w:fill="auto"/>
            <w:vAlign w:val="bottom"/>
          </w:tcPr>
          <w:p w14:paraId="71D4A210" w14:textId="77777777" w:rsidR="006A3667" w:rsidRDefault="006A3667">
            <w:pPr>
              <w:rPr>
                <w:rFonts w:ascii="宋体"/>
              </w:rPr>
            </w:pPr>
          </w:p>
        </w:tc>
        <w:tc>
          <w:tcPr>
            <w:tcW w:w="0" w:type="auto"/>
            <w:shd w:val="clear" w:color="auto" w:fill="auto"/>
            <w:vAlign w:val="bottom"/>
          </w:tcPr>
          <w:p w14:paraId="71D4A211" w14:textId="77777777" w:rsidR="006A3667" w:rsidRDefault="006A3667">
            <w:pPr>
              <w:rPr>
                <w:rFonts w:ascii="宋体"/>
              </w:rPr>
            </w:pPr>
          </w:p>
        </w:tc>
        <w:tc>
          <w:tcPr>
            <w:tcW w:w="0" w:type="auto"/>
            <w:shd w:val="clear" w:color="auto" w:fill="auto"/>
            <w:vAlign w:val="bottom"/>
          </w:tcPr>
          <w:p w14:paraId="71D4A212" w14:textId="77777777" w:rsidR="006A3667" w:rsidRDefault="006A3667">
            <w:pPr>
              <w:rPr>
                <w:rFonts w:ascii="宋体"/>
              </w:rPr>
            </w:pPr>
          </w:p>
        </w:tc>
        <w:tc>
          <w:tcPr>
            <w:tcW w:w="0" w:type="auto"/>
            <w:shd w:val="clear" w:color="auto" w:fill="auto"/>
            <w:vAlign w:val="bottom"/>
          </w:tcPr>
          <w:p w14:paraId="71D4A213" w14:textId="77777777" w:rsidR="006A3667" w:rsidRDefault="006A3667">
            <w:pPr>
              <w:rPr>
                <w:rFonts w:ascii="宋体"/>
              </w:rPr>
            </w:pPr>
          </w:p>
        </w:tc>
        <w:tc>
          <w:tcPr>
            <w:tcW w:w="0" w:type="auto"/>
            <w:shd w:val="clear" w:color="auto" w:fill="auto"/>
            <w:vAlign w:val="bottom"/>
          </w:tcPr>
          <w:p w14:paraId="71D4A214" w14:textId="77777777" w:rsidR="006A3667" w:rsidRDefault="006A3667">
            <w:pPr>
              <w:rPr>
                <w:rFonts w:ascii="宋体"/>
              </w:rPr>
            </w:pPr>
          </w:p>
        </w:tc>
        <w:tc>
          <w:tcPr>
            <w:tcW w:w="0" w:type="auto"/>
            <w:shd w:val="clear" w:color="auto" w:fill="auto"/>
            <w:vAlign w:val="bottom"/>
          </w:tcPr>
          <w:p w14:paraId="71D4A215" w14:textId="77777777" w:rsidR="006A3667" w:rsidRDefault="006A3667">
            <w:pPr>
              <w:rPr>
                <w:rFonts w:ascii="宋体"/>
              </w:rPr>
            </w:pPr>
          </w:p>
        </w:tc>
        <w:tc>
          <w:tcPr>
            <w:tcW w:w="0" w:type="auto"/>
            <w:shd w:val="clear" w:color="auto" w:fill="auto"/>
            <w:vAlign w:val="bottom"/>
          </w:tcPr>
          <w:p w14:paraId="71D4A216" w14:textId="77777777" w:rsidR="006A3667" w:rsidRDefault="006A3667">
            <w:pPr>
              <w:rPr>
                <w:rFonts w:ascii="宋体"/>
              </w:rPr>
            </w:pPr>
          </w:p>
        </w:tc>
        <w:tc>
          <w:tcPr>
            <w:tcW w:w="0" w:type="auto"/>
            <w:shd w:val="clear" w:color="auto" w:fill="auto"/>
            <w:vAlign w:val="bottom"/>
          </w:tcPr>
          <w:p w14:paraId="71D4A217" w14:textId="77777777" w:rsidR="006A3667" w:rsidRDefault="006A3667">
            <w:pPr>
              <w:rPr>
                <w:rFonts w:ascii="宋体"/>
              </w:rPr>
            </w:pPr>
          </w:p>
        </w:tc>
        <w:tc>
          <w:tcPr>
            <w:tcW w:w="0" w:type="auto"/>
            <w:shd w:val="clear" w:color="auto" w:fill="auto"/>
            <w:vAlign w:val="bottom"/>
          </w:tcPr>
          <w:p w14:paraId="71D4A218" w14:textId="77777777" w:rsidR="006A3667" w:rsidRDefault="006A3667">
            <w:pPr>
              <w:rPr>
                <w:rFonts w:ascii="宋体"/>
              </w:rPr>
            </w:pPr>
          </w:p>
        </w:tc>
        <w:tc>
          <w:tcPr>
            <w:tcW w:w="0" w:type="auto"/>
            <w:shd w:val="clear" w:color="auto" w:fill="auto"/>
            <w:vAlign w:val="bottom"/>
          </w:tcPr>
          <w:p w14:paraId="71D4A219" w14:textId="77777777" w:rsidR="006A3667" w:rsidRDefault="006A3667">
            <w:pPr>
              <w:rPr>
                <w:rFonts w:ascii="宋体"/>
              </w:rPr>
            </w:pPr>
          </w:p>
        </w:tc>
        <w:tc>
          <w:tcPr>
            <w:tcW w:w="0" w:type="auto"/>
            <w:shd w:val="clear" w:color="auto" w:fill="auto"/>
            <w:vAlign w:val="bottom"/>
          </w:tcPr>
          <w:p w14:paraId="71D4A21A" w14:textId="77777777" w:rsidR="006A3667" w:rsidRDefault="006A3667">
            <w:pPr>
              <w:rPr>
                <w:rFonts w:ascii="宋体"/>
              </w:rPr>
            </w:pPr>
          </w:p>
        </w:tc>
        <w:tc>
          <w:tcPr>
            <w:tcW w:w="0" w:type="auto"/>
            <w:shd w:val="clear" w:color="auto" w:fill="auto"/>
            <w:vAlign w:val="bottom"/>
          </w:tcPr>
          <w:p w14:paraId="71D4A21B" w14:textId="77777777" w:rsidR="006A3667" w:rsidRDefault="006A3667">
            <w:pPr>
              <w:rPr>
                <w:rFonts w:ascii="宋体"/>
              </w:rPr>
            </w:pPr>
          </w:p>
        </w:tc>
      </w:tr>
      <w:tr w:rsidR="006A3667" w14:paraId="71D4A249" w14:textId="77777777">
        <w:trPr>
          <w:hidden/>
        </w:trPr>
        <w:tc>
          <w:tcPr>
            <w:tcW w:w="0" w:type="auto"/>
            <w:gridSpan w:val="3"/>
            <w:shd w:val="clear" w:color="auto" w:fill="auto"/>
            <w:vAlign w:val="bottom"/>
          </w:tcPr>
          <w:p w14:paraId="71D4A21D" w14:textId="77777777" w:rsidR="006A3667" w:rsidRDefault="006A3667">
            <w:pPr>
              <w:rPr>
                <w:rFonts w:ascii="宋体"/>
                <w:vanish/>
              </w:rPr>
            </w:pPr>
          </w:p>
        </w:tc>
        <w:tc>
          <w:tcPr>
            <w:tcW w:w="0" w:type="auto"/>
            <w:gridSpan w:val="3"/>
            <w:shd w:val="clear" w:color="auto" w:fill="auto"/>
            <w:vAlign w:val="bottom"/>
          </w:tcPr>
          <w:p w14:paraId="71D4A21E" w14:textId="77777777" w:rsidR="006A3667" w:rsidRDefault="006A3667">
            <w:pPr>
              <w:rPr>
                <w:rFonts w:ascii="宋体"/>
                <w:vanish/>
              </w:rPr>
            </w:pPr>
          </w:p>
        </w:tc>
        <w:tc>
          <w:tcPr>
            <w:tcW w:w="0" w:type="auto"/>
            <w:gridSpan w:val="3"/>
            <w:shd w:val="clear" w:color="auto" w:fill="auto"/>
            <w:vAlign w:val="bottom"/>
          </w:tcPr>
          <w:p w14:paraId="71D4A21F" w14:textId="77777777" w:rsidR="006A3667" w:rsidRDefault="006A3667">
            <w:pPr>
              <w:rPr>
                <w:rFonts w:ascii="宋体"/>
                <w:vanish/>
              </w:rPr>
            </w:pPr>
          </w:p>
        </w:tc>
        <w:tc>
          <w:tcPr>
            <w:tcW w:w="0" w:type="auto"/>
            <w:gridSpan w:val="3"/>
            <w:shd w:val="clear" w:color="auto" w:fill="auto"/>
            <w:vAlign w:val="bottom"/>
          </w:tcPr>
          <w:p w14:paraId="71D4A220" w14:textId="77777777" w:rsidR="006A3667" w:rsidRDefault="006A3667">
            <w:pPr>
              <w:rPr>
                <w:rFonts w:ascii="宋体"/>
                <w:vanish/>
              </w:rPr>
            </w:pPr>
          </w:p>
        </w:tc>
        <w:tc>
          <w:tcPr>
            <w:tcW w:w="0" w:type="auto"/>
            <w:gridSpan w:val="3"/>
            <w:shd w:val="clear" w:color="auto" w:fill="auto"/>
            <w:vAlign w:val="bottom"/>
          </w:tcPr>
          <w:p w14:paraId="71D4A221" w14:textId="77777777" w:rsidR="006A3667" w:rsidRDefault="006A3667">
            <w:pPr>
              <w:rPr>
                <w:rFonts w:ascii="宋体"/>
                <w:vanish/>
              </w:rPr>
            </w:pPr>
          </w:p>
        </w:tc>
        <w:tc>
          <w:tcPr>
            <w:tcW w:w="0" w:type="auto"/>
            <w:gridSpan w:val="3"/>
            <w:shd w:val="clear" w:color="auto" w:fill="auto"/>
            <w:vAlign w:val="bottom"/>
          </w:tcPr>
          <w:p w14:paraId="71D4A222" w14:textId="77777777" w:rsidR="006A3667" w:rsidRDefault="006A3667">
            <w:pPr>
              <w:rPr>
                <w:rFonts w:ascii="宋体"/>
                <w:vanish/>
              </w:rPr>
            </w:pPr>
          </w:p>
        </w:tc>
        <w:tc>
          <w:tcPr>
            <w:tcW w:w="0" w:type="auto"/>
            <w:gridSpan w:val="3"/>
            <w:shd w:val="clear" w:color="auto" w:fill="auto"/>
            <w:vAlign w:val="bottom"/>
          </w:tcPr>
          <w:p w14:paraId="71D4A223" w14:textId="77777777" w:rsidR="006A3667" w:rsidRDefault="006A3667">
            <w:pPr>
              <w:rPr>
                <w:rFonts w:ascii="宋体"/>
                <w:vanish/>
              </w:rPr>
            </w:pPr>
          </w:p>
        </w:tc>
        <w:tc>
          <w:tcPr>
            <w:tcW w:w="0" w:type="auto"/>
            <w:gridSpan w:val="3"/>
            <w:shd w:val="clear" w:color="auto" w:fill="auto"/>
            <w:vAlign w:val="bottom"/>
          </w:tcPr>
          <w:p w14:paraId="71D4A224" w14:textId="77777777" w:rsidR="006A3667" w:rsidRDefault="006A3667">
            <w:pPr>
              <w:rPr>
                <w:rFonts w:ascii="宋体"/>
                <w:vanish/>
              </w:rPr>
            </w:pPr>
          </w:p>
        </w:tc>
        <w:tc>
          <w:tcPr>
            <w:tcW w:w="0" w:type="auto"/>
            <w:shd w:val="clear" w:color="auto" w:fill="auto"/>
            <w:vAlign w:val="bottom"/>
          </w:tcPr>
          <w:p w14:paraId="71D4A225" w14:textId="77777777" w:rsidR="006A3667" w:rsidRDefault="006A3667">
            <w:pPr>
              <w:rPr>
                <w:rFonts w:ascii="宋体"/>
              </w:rPr>
            </w:pPr>
          </w:p>
        </w:tc>
        <w:tc>
          <w:tcPr>
            <w:tcW w:w="0" w:type="auto"/>
            <w:shd w:val="clear" w:color="auto" w:fill="auto"/>
            <w:vAlign w:val="bottom"/>
          </w:tcPr>
          <w:p w14:paraId="71D4A226" w14:textId="77777777" w:rsidR="006A3667" w:rsidRDefault="006A3667">
            <w:pPr>
              <w:rPr>
                <w:rFonts w:ascii="宋体"/>
              </w:rPr>
            </w:pPr>
          </w:p>
        </w:tc>
        <w:tc>
          <w:tcPr>
            <w:tcW w:w="0" w:type="auto"/>
            <w:shd w:val="clear" w:color="auto" w:fill="auto"/>
            <w:vAlign w:val="bottom"/>
          </w:tcPr>
          <w:p w14:paraId="71D4A227" w14:textId="77777777" w:rsidR="006A3667" w:rsidRDefault="006A3667">
            <w:pPr>
              <w:rPr>
                <w:rFonts w:ascii="宋体"/>
              </w:rPr>
            </w:pPr>
          </w:p>
        </w:tc>
        <w:tc>
          <w:tcPr>
            <w:tcW w:w="0" w:type="auto"/>
            <w:shd w:val="clear" w:color="auto" w:fill="auto"/>
            <w:vAlign w:val="bottom"/>
          </w:tcPr>
          <w:p w14:paraId="71D4A228" w14:textId="77777777" w:rsidR="006A3667" w:rsidRDefault="006A3667">
            <w:pPr>
              <w:rPr>
                <w:rFonts w:ascii="宋体"/>
              </w:rPr>
            </w:pPr>
          </w:p>
        </w:tc>
        <w:tc>
          <w:tcPr>
            <w:tcW w:w="0" w:type="auto"/>
            <w:shd w:val="clear" w:color="auto" w:fill="auto"/>
            <w:vAlign w:val="bottom"/>
          </w:tcPr>
          <w:p w14:paraId="71D4A229" w14:textId="77777777" w:rsidR="006A3667" w:rsidRDefault="006A3667">
            <w:pPr>
              <w:rPr>
                <w:rFonts w:ascii="宋体"/>
              </w:rPr>
            </w:pPr>
          </w:p>
        </w:tc>
        <w:tc>
          <w:tcPr>
            <w:tcW w:w="0" w:type="auto"/>
            <w:shd w:val="clear" w:color="auto" w:fill="auto"/>
            <w:vAlign w:val="bottom"/>
          </w:tcPr>
          <w:p w14:paraId="71D4A22A" w14:textId="77777777" w:rsidR="006A3667" w:rsidRDefault="006A3667">
            <w:pPr>
              <w:rPr>
                <w:rFonts w:ascii="宋体"/>
              </w:rPr>
            </w:pPr>
          </w:p>
        </w:tc>
        <w:tc>
          <w:tcPr>
            <w:tcW w:w="0" w:type="auto"/>
            <w:shd w:val="clear" w:color="auto" w:fill="auto"/>
            <w:vAlign w:val="bottom"/>
          </w:tcPr>
          <w:p w14:paraId="71D4A22B" w14:textId="77777777" w:rsidR="006A3667" w:rsidRDefault="006A3667">
            <w:pPr>
              <w:rPr>
                <w:rFonts w:ascii="宋体"/>
              </w:rPr>
            </w:pPr>
          </w:p>
        </w:tc>
        <w:tc>
          <w:tcPr>
            <w:tcW w:w="0" w:type="auto"/>
            <w:shd w:val="clear" w:color="auto" w:fill="auto"/>
            <w:vAlign w:val="bottom"/>
          </w:tcPr>
          <w:p w14:paraId="71D4A22C" w14:textId="77777777" w:rsidR="006A3667" w:rsidRDefault="006A3667">
            <w:pPr>
              <w:rPr>
                <w:rFonts w:ascii="宋体"/>
              </w:rPr>
            </w:pPr>
          </w:p>
        </w:tc>
        <w:tc>
          <w:tcPr>
            <w:tcW w:w="0" w:type="auto"/>
            <w:shd w:val="clear" w:color="auto" w:fill="auto"/>
            <w:vAlign w:val="bottom"/>
          </w:tcPr>
          <w:p w14:paraId="71D4A22D" w14:textId="77777777" w:rsidR="006A3667" w:rsidRDefault="006A3667">
            <w:pPr>
              <w:rPr>
                <w:rFonts w:ascii="宋体"/>
              </w:rPr>
            </w:pPr>
          </w:p>
        </w:tc>
        <w:tc>
          <w:tcPr>
            <w:tcW w:w="0" w:type="auto"/>
            <w:shd w:val="clear" w:color="auto" w:fill="auto"/>
            <w:vAlign w:val="bottom"/>
          </w:tcPr>
          <w:p w14:paraId="71D4A22E" w14:textId="77777777" w:rsidR="006A3667" w:rsidRDefault="006A3667">
            <w:pPr>
              <w:rPr>
                <w:rFonts w:ascii="宋体"/>
              </w:rPr>
            </w:pPr>
          </w:p>
        </w:tc>
        <w:tc>
          <w:tcPr>
            <w:tcW w:w="0" w:type="auto"/>
            <w:shd w:val="clear" w:color="auto" w:fill="auto"/>
            <w:vAlign w:val="bottom"/>
          </w:tcPr>
          <w:p w14:paraId="71D4A22F" w14:textId="77777777" w:rsidR="006A3667" w:rsidRDefault="006A3667">
            <w:pPr>
              <w:rPr>
                <w:rFonts w:ascii="宋体"/>
              </w:rPr>
            </w:pPr>
          </w:p>
        </w:tc>
        <w:tc>
          <w:tcPr>
            <w:tcW w:w="0" w:type="auto"/>
            <w:shd w:val="clear" w:color="auto" w:fill="auto"/>
            <w:vAlign w:val="bottom"/>
          </w:tcPr>
          <w:p w14:paraId="71D4A230" w14:textId="77777777" w:rsidR="006A3667" w:rsidRDefault="006A3667">
            <w:pPr>
              <w:rPr>
                <w:rFonts w:ascii="宋体"/>
              </w:rPr>
            </w:pPr>
          </w:p>
        </w:tc>
        <w:tc>
          <w:tcPr>
            <w:tcW w:w="0" w:type="auto"/>
            <w:shd w:val="clear" w:color="auto" w:fill="auto"/>
            <w:vAlign w:val="bottom"/>
          </w:tcPr>
          <w:p w14:paraId="71D4A231" w14:textId="77777777" w:rsidR="006A3667" w:rsidRDefault="006A3667">
            <w:pPr>
              <w:rPr>
                <w:rFonts w:ascii="宋体"/>
              </w:rPr>
            </w:pPr>
          </w:p>
        </w:tc>
        <w:tc>
          <w:tcPr>
            <w:tcW w:w="0" w:type="auto"/>
            <w:shd w:val="clear" w:color="auto" w:fill="auto"/>
            <w:vAlign w:val="bottom"/>
          </w:tcPr>
          <w:p w14:paraId="71D4A232" w14:textId="77777777" w:rsidR="006A3667" w:rsidRDefault="006A3667">
            <w:pPr>
              <w:rPr>
                <w:rFonts w:ascii="宋体"/>
              </w:rPr>
            </w:pPr>
          </w:p>
        </w:tc>
        <w:tc>
          <w:tcPr>
            <w:tcW w:w="0" w:type="auto"/>
            <w:shd w:val="clear" w:color="auto" w:fill="auto"/>
            <w:vAlign w:val="bottom"/>
          </w:tcPr>
          <w:p w14:paraId="71D4A233" w14:textId="77777777" w:rsidR="006A3667" w:rsidRDefault="006A3667">
            <w:pPr>
              <w:rPr>
                <w:rFonts w:ascii="宋体"/>
              </w:rPr>
            </w:pPr>
          </w:p>
        </w:tc>
        <w:tc>
          <w:tcPr>
            <w:tcW w:w="0" w:type="auto"/>
            <w:shd w:val="clear" w:color="auto" w:fill="auto"/>
            <w:vAlign w:val="bottom"/>
          </w:tcPr>
          <w:p w14:paraId="71D4A234" w14:textId="77777777" w:rsidR="006A3667" w:rsidRDefault="006A3667">
            <w:pPr>
              <w:rPr>
                <w:rFonts w:ascii="宋体"/>
              </w:rPr>
            </w:pPr>
          </w:p>
        </w:tc>
        <w:tc>
          <w:tcPr>
            <w:tcW w:w="0" w:type="auto"/>
            <w:shd w:val="clear" w:color="auto" w:fill="auto"/>
            <w:vAlign w:val="bottom"/>
          </w:tcPr>
          <w:p w14:paraId="71D4A235" w14:textId="77777777" w:rsidR="006A3667" w:rsidRDefault="006A3667">
            <w:pPr>
              <w:rPr>
                <w:rFonts w:ascii="宋体"/>
              </w:rPr>
            </w:pPr>
          </w:p>
        </w:tc>
        <w:tc>
          <w:tcPr>
            <w:tcW w:w="0" w:type="auto"/>
            <w:shd w:val="clear" w:color="auto" w:fill="auto"/>
            <w:vAlign w:val="bottom"/>
          </w:tcPr>
          <w:p w14:paraId="71D4A236" w14:textId="77777777" w:rsidR="006A3667" w:rsidRDefault="006A3667">
            <w:pPr>
              <w:rPr>
                <w:rFonts w:ascii="宋体"/>
              </w:rPr>
            </w:pPr>
          </w:p>
        </w:tc>
        <w:tc>
          <w:tcPr>
            <w:tcW w:w="0" w:type="auto"/>
            <w:shd w:val="clear" w:color="auto" w:fill="auto"/>
            <w:vAlign w:val="bottom"/>
          </w:tcPr>
          <w:p w14:paraId="71D4A237" w14:textId="77777777" w:rsidR="006A3667" w:rsidRDefault="006A3667">
            <w:pPr>
              <w:rPr>
                <w:rFonts w:ascii="宋体"/>
              </w:rPr>
            </w:pPr>
          </w:p>
        </w:tc>
        <w:tc>
          <w:tcPr>
            <w:tcW w:w="0" w:type="auto"/>
            <w:shd w:val="clear" w:color="auto" w:fill="auto"/>
            <w:vAlign w:val="bottom"/>
          </w:tcPr>
          <w:p w14:paraId="71D4A238" w14:textId="77777777" w:rsidR="006A3667" w:rsidRDefault="006A3667">
            <w:pPr>
              <w:rPr>
                <w:rFonts w:ascii="宋体"/>
              </w:rPr>
            </w:pPr>
          </w:p>
        </w:tc>
        <w:tc>
          <w:tcPr>
            <w:tcW w:w="0" w:type="auto"/>
            <w:shd w:val="clear" w:color="auto" w:fill="auto"/>
            <w:vAlign w:val="bottom"/>
          </w:tcPr>
          <w:p w14:paraId="71D4A239" w14:textId="77777777" w:rsidR="006A3667" w:rsidRDefault="006A3667">
            <w:pPr>
              <w:rPr>
                <w:rFonts w:ascii="宋体"/>
              </w:rPr>
            </w:pPr>
          </w:p>
        </w:tc>
        <w:tc>
          <w:tcPr>
            <w:tcW w:w="0" w:type="auto"/>
            <w:shd w:val="clear" w:color="auto" w:fill="auto"/>
            <w:vAlign w:val="bottom"/>
          </w:tcPr>
          <w:p w14:paraId="71D4A23A" w14:textId="77777777" w:rsidR="006A3667" w:rsidRDefault="006A3667">
            <w:pPr>
              <w:rPr>
                <w:rFonts w:ascii="宋体"/>
              </w:rPr>
            </w:pPr>
          </w:p>
        </w:tc>
        <w:tc>
          <w:tcPr>
            <w:tcW w:w="0" w:type="auto"/>
            <w:shd w:val="clear" w:color="auto" w:fill="auto"/>
            <w:vAlign w:val="bottom"/>
          </w:tcPr>
          <w:p w14:paraId="71D4A23B" w14:textId="77777777" w:rsidR="006A3667" w:rsidRDefault="006A3667">
            <w:pPr>
              <w:rPr>
                <w:rFonts w:ascii="宋体"/>
              </w:rPr>
            </w:pPr>
          </w:p>
        </w:tc>
        <w:tc>
          <w:tcPr>
            <w:tcW w:w="0" w:type="auto"/>
            <w:shd w:val="clear" w:color="auto" w:fill="auto"/>
            <w:vAlign w:val="bottom"/>
          </w:tcPr>
          <w:p w14:paraId="71D4A23C" w14:textId="77777777" w:rsidR="006A3667" w:rsidRDefault="006A3667">
            <w:pPr>
              <w:rPr>
                <w:rFonts w:ascii="宋体"/>
              </w:rPr>
            </w:pPr>
          </w:p>
        </w:tc>
        <w:tc>
          <w:tcPr>
            <w:tcW w:w="0" w:type="auto"/>
            <w:shd w:val="clear" w:color="auto" w:fill="auto"/>
            <w:vAlign w:val="bottom"/>
          </w:tcPr>
          <w:p w14:paraId="71D4A23D" w14:textId="77777777" w:rsidR="006A3667" w:rsidRDefault="006A3667">
            <w:pPr>
              <w:rPr>
                <w:rFonts w:ascii="宋体"/>
              </w:rPr>
            </w:pPr>
          </w:p>
        </w:tc>
        <w:tc>
          <w:tcPr>
            <w:tcW w:w="0" w:type="auto"/>
            <w:shd w:val="clear" w:color="auto" w:fill="auto"/>
            <w:vAlign w:val="bottom"/>
          </w:tcPr>
          <w:p w14:paraId="71D4A23E" w14:textId="77777777" w:rsidR="006A3667" w:rsidRDefault="006A3667">
            <w:pPr>
              <w:rPr>
                <w:rFonts w:ascii="宋体"/>
              </w:rPr>
            </w:pPr>
          </w:p>
        </w:tc>
        <w:tc>
          <w:tcPr>
            <w:tcW w:w="0" w:type="auto"/>
            <w:shd w:val="clear" w:color="auto" w:fill="auto"/>
            <w:vAlign w:val="bottom"/>
          </w:tcPr>
          <w:p w14:paraId="71D4A23F" w14:textId="77777777" w:rsidR="006A3667" w:rsidRDefault="006A3667">
            <w:pPr>
              <w:rPr>
                <w:rFonts w:ascii="宋体"/>
              </w:rPr>
            </w:pPr>
          </w:p>
        </w:tc>
        <w:tc>
          <w:tcPr>
            <w:tcW w:w="0" w:type="auto"/>
            <w:shd w:val="clear" w:color="auto" w:fill="auto"/>
            <w:vAlign w:val="bottom"/>
          </w:tcPr>
          <w:p w14:paraId="71D4A240" w14:textId="77777777" w:rsidR="006A3667" w:rsidRDefault="006A3667">
            <w:pPr>
              <w:rPr>
                <w:rFonts w:ascii="宋体"/>
              </w:rPr>
            </w:pPr>
          </w:p>
        </w:tc>
        <w:tc>
          <w:tcPr>
            <w:tcW w:w="0" w:type="auto"/>
            <w:shd w:val="clear" w:color="auto" w:fill="auto"/>
            <w:vAlign w:val="bottom"/>
          </w:tcPr>
          <w:p w14:paraId="71D4A241" w14:textId="77777777" w:rsidR="006A3667" w:rsidRDefault="006A3667">
            <w:pPr>
              <w:rPr>
                <w:rFonts w:ascii="宋体"/>
              </w:rPr>
            </w:pPr>
          </w:p>
        </w:tc>
        <w:tc>
          <w:tcPr>
            <w:tcW w:w="0" w:type="auto"/>
            <w:shd w:val="clear" w:color="auto" w:fill="auto"/>
            <w:vAlign w:val="bottom"/>
          </w:tcPr>
          <w:p w14:paraId="71D4A242" w14:textId="77777777" w:rsidR="006A3667" w:rsidRDefault="006A3667">
            <w:pPr>
              <w:rPr>
                <w:rFonts w:ascii="宋体"/>
              </w:rPr>
            </w:pPr>
          </w:p>
        </w:tc>
        <w:tc>
          <w:tcPr>
            <w:tcW w:w="0" w:type="auto"/>
            <w:shd w:val="clear" w:color="auto" w:fill="auto"/>
            <w:vAlign w:val="bottom"/>
          </w:tcPr>
          <w:p w14:paraId="71D4A243" w14:textId="77777777" w:rsidR="006A3667" w:rsidRDefault="006A3667">
            <w:pPr>
              <w:rPr>
                <w:rFonts w:ascii="宋体"/>
              </w:rPr>
            </w:pPr>
          </w:p>
        </w:tc>
        <w:tc>
          <w:tcPr>
            <w:tcW w:w="0" w:type="auto"/>
            <w:shd w:val="clear" w:color="auto" w:fill="auto"/>
            <w:vAlign w:val="bottom"/>
          </w:tcPr>
          <w:p w14:paraId="71D4A244" w14:textId="77777777" w:rsidR="006A3667" w:rsidRDefault="006A3667">
            <w:pPr>
              <w:rPr>
                <w:rFonts w:ascii="宋体"/>
              </w:rPr>
            </w:pPr>
          </w:p>
        </w:tc>
        <w:tc>
          <w:tcPr>
            <w:tcW w:w="0" w:type="auto"/>
            <w:shd w:val="clear" w:color="auto" w:fill="auto"/>
            <w:vAlign w:val="bottom"/>
          </w:tcPr>
          <w:p w14:paraId="71D4A245" w14:textId="77777777" w:rsidR="006A3667" w:rsidRDefault="006A3667">
            <w:pPr>
              <w:rPr>
                <w:rFonts w:ascii="宋体"/>
              </w:rPr>
            </w:pPr>
          </w:p>
        </w:tc>
        <w:tc>
          <w:tcPr>
            <w:tcW w:w="0" w:type="auto"/>
            <w:shd w:val="clear" w:color="auto" w:fill="auto"/>
            <w:vAlign w:val="bottom"/>
          </w:tcPr>
          <w:p w14:paraId="71D4A246" w14:textId="77777777" w:rsidR="006A3667" w:rsidRDefault="006A3667">
            <w:pPr>
              <w:rPr>
                <w:rFonts w:ascii="宋体"/>
              </w:rPr>
            </w:pPr>
          </w:p>
        </w:tc>
        <w:tc>
          <w:tcPr>
            <w:tcW w:w="0" w:type="auto"/>
            <w:shd w:val="clear" w:color="auto" w:fill="auto"/>
            <w:vAlign w:val="bottom"/>
          </w:tcPr>
          <w:p w14:paraId="71D4A247" w14:textId="77777777" w:rsidR="006A3667" w:rsidRDefault="006A3667">
            <w:pPr>
              <w:rPr>
                <w:rFonts w:ascii="宋体"/>
              </w:rPr>
            </w:pPr>
          </w:p>
        </w:tc>
        <w:tc>
          <w:tcPr>
            <w:tcW w:w="0" w:type="auto"/>
            <w:shd w:val="clear" w:color="auto" w:fill="auto"/>
            <w:vAlign w:val="bottom"/>
          </w:tcPr>
          <w:p w14:paraId="71D4A248" w14:textId="77777777" w:rsidR="006A3667" w:rsidRDefault="006A3667">
            <w:pPr>
              <w:rPr>
                <w:rFonts w:ascii="宋体"/>
              </w:rPr>
            </w:pPr>
          </w:p>
        </w:tc>
      </w:tr>
      <w:tr w:rsidR="006A3667" w14:paraId="71D4A25E" w14:textId="77777777">
        <w:trPr>
          <w:hidden/>
        </w:trPr>
        <w:tc>
          <w:tcPr>
            <w:tcW w:w="0" w:type="auto"/>
            <w:gridSpan w:val="3"/>
            <w:shd w:val="clear" w:color="auto" w:fill="auto"/>
            <w:vAlign w:val="bottom"/>
          </w:tcPr>
          <w:p w14:paraId="71D4A24A" w14:textId="77777777" w:rsidR="006A3667" w:rsidRDefault="006A3667">
            <w:pPr>
              <w:rPr>
                <w:rFonts w:ascii="宋体"/>
                <w:vanish/>
              </w:rPr>
            </w:pPr>
          </w:p>
        </w:tc>
        <w:tc>
          <w:tcPr>
            <w:tcW w:w="0" w:type="auto"/>
            <w:gridSpan w:val="3"/>
            <w:shd w:val="clear" w:color="auto" w:fill="auto"/>
            <w:vAlign w:val="bottom"/>
          </w:tcPr>
          <w:p w14:paraId="71D4A24B" w14:textId="77777777" w:rsidR="006A3667" w:rsidRDefault="006A3667">
            <w:pPr>
              <w:rPr>
                <w:rFonts w:ascii="宋体"/>
                <w:vanish/>
              </w:rPr>
            </w:pPr>
          </w:p>
        </w:tc>
        <w:tc>
          <w:tcPr>
            <w:tcW w:w="0" w:type="auto"/>
            <w:gridSpan w:val="3"/>
            <w:shd w:val="clear" w:color="auto" w:fill="auto"/>
            <w:vAlign w:val="bottom"/>
          </w:tcPr>
          <w:p w14:paraId="71D4A24C" w14:textId="77777777" w:rsidR="006A3667" w:rsidRDefault="006A3667">
            <w:pPr>
              <w:rPr>
                <w:rFonts w:ascii="宋体"/>
                <w:vanish/>
              </w:rPr>
            </w:pPr>
          </w:p>
        </w:tc>
        <w:tc>
          <w:tcPr>
            <w:tcW w:w="0" w:type="auto"/>
            <w:gridSpan w:val="3"/>
            <w:shd w:val="clear" w:color="auto" w:fill="auto"/>
            <w:vAlign w:val="bottom"/>
          </w:tcPr>
          <w:p w14:paraId="71D4A24D" w14:textId="77777777" w:rsidR="006A3667" w:rsidRDefault="006A3667">
            <w:pPr>
              <w:rPr>
                <w:rFonts w:ascii="宋体"/>
                <w:vanish/>
              </w:rPr>
            </w:pPr>
          </w:p>
        </w:tc>
        <w:tc>
          <w:tcPr>
            <w:tcW w:w="0" w:type="auto"/>
            <w:gridSpan w:val="3"/>
            <w:shd w:val="clear" w:color="auto" w:fill="auto"/>
            <w:vAlign w:val="bottom"/>
          </w:tcPr>
          <w:p w14:paraId="71D4A24E" w14:textId="77777777" w:rsidR="006A3667" w:rsidRDefault="006A3667">
            <w:pPr>
              <w:rPr>
                <w:rFonts w:ascii="宋体"/>
                <w:vanish/>
              </w:rPr>
            </w:pPr>
          </w:p>
        </w:tc>
        <w:tc>
          <w:tcPr>
            <w:tcW w:w="0" w:type="auto"/>
            <w:gridSpan w:val="3"/>
            <w:shd w:val="clear" w:color="auto" w:fill="auto"/>
            <w:vAlign w:val="bottom"/>
          </w:tcPr>
          <w:p w14:paraId="71D4A24F" w14:textId="77777777" w:rsidR="006A3667" w:rsidRDefault="006A3667">
            <w:pPr>
              <w:rPr>
                <w:rFonts w:ascii="宋体"/>
                <w:vanish/>
              </w:rPr>
            </w:pPr>
          </w:p>
        </w:tc>
        <w:tc>
          <w:tcPr>
            <w:tcW w:w="0" w:type="auto"/>
            <w:gridSpan w:val="3"/>
            <w:shd w:val="clear" w:color="auto" w:fill="auto"/>
            <w:vAlign w:val="bottom"/>
          </w:tcPr>
          <w:p w14:paraId="71D4A250" w14:textId="77777777" w:rsidR="006A3667" w:rsidRDefault="006A3667">
            <w:pPr>
              <w:rPr>
                <w:rFonts w:ascii="宋体"/>
                <w:vanish/>
              </w:rPr>
            </w:pPr>
          </w:p>
        </w:tc>
        <w:tc>
          <w:tcPr>
            <w:tcW w:w="0" w:type="auto"/>
            <w:gridSpan w:val="3"/>
            <w:shd w:val="clear" w:color="auto" w:fill="auto"/>
            <w:vAlign w:val="bottom"/>
          </w:tcPr>
          <w:p w14:paraId="71D4A251" w14:textId="77777777" w:rsidR="006A3667" w:rsidRDefault="006A3667">
            <w:pPr>
              <w:rPr>
                <w:rFonts w:ascii="宋体"/>
                <w:vanish/>
              </w:rPr>
            </w:pPr>
          </w:p>
        </w:tc>
        <w:tc>
          <w:tcPr>
            <w:tcW w:w="0" w:type="auto"/>
            <w:gridSpan w:val="3"/>
            <w:shd w:val="clear" w:color="auto" w:fill="auto"/>
            <w:vAlign w:val="bottom"/>
          </w:tcPr>
          <w:p w14:paraId="71D4A252" w14:textId="77777777" w:rsidR="006A3667" w:rsidRDefault="006A3667">
            <w:pPr>
              <w:rPr>
                <w:rFonts w:ascii="宋体"/>
                <w:vanish/>
              </w:rPr>
            </w:pPr>
          </w:p>
        </w:tc>
        <w:tc>
          <w:tcPr>
            <w:tcW w:w="0" w:type="auto"/>
            <w:gridSpan w:val="3"/>
            <w:shd w:val="clear" w:color="auto" w:fill="auto"/>
            <w:vAlign w:val="bottom"/>
          </w:tcPr>
          <w:p w14:paraId="71D4A253" w14:textId="77777777" w:rsidR="006A3667" w:rsidRDefault="006A3667">
            <w:pPr>
              <w:rPr>
                <w:rFonts w:ascii="宋体"/>
                <w:vanish/>
              </w:rPr>
            </w:pPr>
          </w:p>
        </w:tc>
        <w:tc>
          <w:tcPr>
            <w:tcW w:w="0" w:type="auto"/>
            <w:gridSpan w:val="3"/>
            <w:shd w:val="clear" w:color="auto" w:fill="auto"/>
            <w:vAlign w:val="bottom"/>
          </w:tcPr>
          <w:p w14:paraId="71D4A254" w14:textId="77777777" w:rsidR="006A3667" w:rsidRDefault="006A3667">
            <w:pPr>
              <w:rPr>
                <w:rFonts w:ascii="宋体"/>
                <w:vanish/>
              </w:rPr>
            </w:pPr>
          </w:p>
        </w:tc>
        <w:tc>
          <w:tcPr>
            <w:tcW w:w="0" w:type="auto"/>
            <w:gridSpan w:val="3"/>
            <w:shd w:val="clear" w:color="auto" w:fill="auto"/>
            <w:vAlign w:val="bottom"/>
          </w:tcPr>
          <w:p w14:paraId="71D4A255" w14:textId="77777777" w:rsidR="006A3667" w:rsidRDefault="006A3667">
            <w:pPr>
              <w:rPr>
                <w:rFonts w:ascii="宋体"/>
                <w:vanish/>
              </w:rPr>
            </w:pPr>
          </w:p>
        </w:tc>
        <w:tc>
          <w:tcPr>
            <w:tcW w:w="0" w:type="auto"/>
            <w:gridSpan w:val="3"/>
            <w:shd w:val="clear" w:color="auto" w:fill="auto"/>
            <w:vAlign w:val="bottom"/>
          </w:tcPr>
          <w:p w14:paraId="71D4A256" w14:textId="77777777" w:rsidR="006A3667" w:rsidRDefault="006A3667">
            <w:pPr>
              <w:rPr>
                <w:rFonts w:ascii="宋体"/>
                <w:vanish/>
              </w:rPr>
            </w:pPr>
          </w:p>
        </w:tc>
        <w:tc>
          <w:tcPr>
            <w:tcW w:w="0" w:type="auto"/>
            <w:gridSpan w:val="3"/>
            <w:shd w:val="clear" w:color="auto" w:fill="auto"/>
            <w:vAlign w:val="bottom"/>
          </w:tcPr>
          <w:p w14:paraId="71D4A257" w14:textId="77777777" w:rsidR="006A3667" w:rsidRDefault="006A3667">
            <w:pPr>
              <w:rPr>
                <w:rFonts w:ascii="宋体"/>
                <w:vanish/>
              </w:rPr>
            </w:pPr>
          </w:p>
        </w:tc>
        <w:tc>
          <w:tcPr>
            <w:tcW w:w="0" w:type="auto"/>
            <w:gridSpan w:val="3"/>
            <w:shd w:val="clear" w:color="auto" w:fill="auto"/>
            <w:vAlign w:val="bottom"/>
          </w:tcPr>
          <w:p w14:paraId="71D4A258" w14:textId="77777777" w:rsidR="006A3667" w:rsidRDefault="006A3667">
            <w:pPr>
              <w:rPr>
                <w:rFonts w:ascii="宋体"/>
                <w:vanish/>
              </w:rPr>
            </w:pPr>
          </w:p>
        </w:tc>
        <w:tc>
          <w:tcPr>
            <w:tcW w:w="0" w:type="auto"/>
            <w:gridSpan w:val="3"/>
            <w:shd w:val="clear" w:color="auto" w:fill="auto"/>
            <w:vAlign w:val="bottom"/>
          </w:tcPr>
          <w:p w14:paraId="71D4A259" w14:textId="77777777" w:rsidR="006A3667" w:rsidRDefault="006A3667">
            <w:pPr>
              <w:rPr>
                <w:rFonts w:ascii="宋体"/>
                <w:vanish/>
              </w:rPr>
            </w:pPr>
          </w:p>
        </w:tc>
        <w:tc>
          <w:tcPr>
            <w:tcW w:w="0" w:type="auto"/>
            <w:gridSpan w:val="3"/>
            <w:shd w:val="clear" w:color="auto" w:fill="auto"/>
            <w:vAlign w:val="bottom"/>
          </w:tcPr>
          <w:p w14:paraId="71D4A25A" w14:textId="77777777" w:rsidR="006A3667" w:rsidRDefault="006A3667">
            <w:pPr>
              <w:rPr>
                <w:rFonts w:ascii="宋体"/>
                <w:vanish/>
              </w:rPr>
            </w:pPr>
          </w:p>
        </w:tc>
        <w:tc>
          <w:tcPr>
            <w:tcW w:w="0" w:type="auto"/>
            <w:gridSpan w:val="3"/>
            <w:shd w:val="clear" w:color="auto" w:fill="auto"/>
            <w:vAlign w:val="bottom"/>
          </w:tcPr>
          <w:p w14:paraId="71D4A25B" w14:textId="77777777" w:rsidR="006A3667" w:rsidRDefault="006A3667">
            <w:pPr>
              <w:rPr>
                <w:rFonts w:ascii="宋体"/>
                <w:vanish/>
              </w:rPr>
            </w:pPr>
          </w:p>
        </w:tc>
        <w:tc>
          <w:tcPr>
            <w:tcW w:w="0" w:type="auto"/>
            <w:gridSpan w:val="3"/>
            <w:shd w:val="clear" w:color="auto" w:fill="auto"/>
            <w:vAlign w:val="bottom"/>
          </w:tcPr>
          <w:p w14:paraId="71D4A25C" w14:textId="77777777" w:rsidR="006A3667" w:rsidRDefault="006A3667">
            <w:pPr>
              <w:rPr>
                <w:rFonts w:ascii="宋体"/>
                <w:vanish/>
              </w:rPr>
            </w:pPr>
          </w:p>
        </w:tc>
        <w:tc>
          <w:tcPr>
            <w:tcW w:w="0" w:type="auto"/>
            <w:gridSpan w:val="3"/>
            <w:shd w:val="clear" w:color="auto" w:fill="auto"/>
            <w:vAlign w:val="bottom"/>
          </w:tcPr>
          <w:p w14:paraId="71D4A25D" w14:textId="77777777" w:rsidR="006A3667" w:rsidRDefault="006A3667">
            <w:pPr>
              <w:rPr>
                <w:rFonts w:ascii="宋体"/>
                <w:vanish/>
              </w:rPr>
            </w:pPr>
          </w:p>
        </w:tc>
      </w:tr>
      <w:tr w:rsidR="006A3667" w14:paraId="71D4A273" w14:textId="77777777">
        <w:trPr>
          <w:hidden/>
        </w:trPr>
        <w:tc>
          <w:tcPr>
            <w:tcW w:w="0" w:type="auto"/>
            <w:gridSpan w:val="3"/>
            <w:shd w:val="clear" w:color="auto" w:fill="auto"/>
            <w:vAlign w:val="bottom"/>
          </w:tcPr>
          <w:p w14:paraId="71D4A25F" w14:textId="77777777" w:rsidR="006A3667" w:rsidRDefault="006A3667">
            <w:pPr>
              <w:rPr>
                <w:rFonts w:ascii="宋体"/>
                <w:vanish/>
              </w:rPr>
            </w:pPr>
          </w:p>
        </w:tc>
        <w:tc>
          <w:tcPr>
            <w:tcW w:w="0" w:type="auto"/>
            <w:gridSpan w:val="3"/>
            <w:shd w:val="clear" w:color="auto" w:fill="auto"/>
            <w:vAlign w:val="bottom"/>
          </w:tcPr>
          <w:p w14:paraId="71D4A260" w14:textId="77777777" w:rsidR="006A3667" w:rsidRDefault="006A3667">
            <w:pPr>
              <w:rPr>
                <w:rFonts w:ascii="宋体"/>
                <w:vanish/>
              </w:rPr>
            </w:pPr>
          </w:p>
        </w:tc>
        <w:tc>
          <w:tcPr>
            <w:tcW w:w="0" w:type="auto"/>
            <w:gridSpan w:val="3"/>
            <w:shd w:val="clear" w:color="auto" w:fill="auto"/>
            <w:vAlign w:val="bottom"/>
          </w:tcPr>
          <w:p w14:paraId="71D4A261" w14:textId="77777777" w:rsidR="006A3667" w:rsidRDefault="006A3667">
            <w:pPr>
              <w:rPr>
                <w:rFonts w:ascii="宋体"/>
                <w:vanish/>
              </w:rPr>
            </w:pPr>
          </w:p>
        </w:tc>
        <w:tc>
          <w:tcPr>
            <w:tcW w:w="0" w:type="auto"/>
            <w:gridSpan w:val="3"/>
            <w:shd w:val="clear" w:color="auto" w:fill="auto"/>
            <w:vAlign w:val="bottom"/>
          </w:tcPr>
          <w:p w14:paraId="71D4A262" w14:textId="77777777" w:rsidR="006A3667" w:rsidRDefault="006A3667">
            <w:pPr>
              <w:rPr>
                <w:rFonts w:ascii="宋体"/>
                <w:vanish/>
              </w:rPr>
            </w:pPr>
          </w:p>
        </w:tc>
        <w:tc>
          <w:tcPr>
            <w:tcW w:w="0" w:type="auto"/>
            <w:gridSpan w:val="3"/>
            <w:shd w:val="clear" w:color="auto" w:fill="auto"/>
            <w:vAlign w:val="bottom"/>
          </w:tcPr>
          <w:p w14:paraId="71D4A263" w14:textId="77777777" w:rsidR="006A3667" w:rsidRDefault="006A3667">
            <w:pPr>
              <w:rPr>
                <w:rFonts w:ascii="宋体"/>
                <w:vanish/>
              </w:rPr>
            </w:pPr>
          </w:p>
        </w:tc>
        <w:tc>
          <w:tcPr>
            <w:tcW w:w="0" w:type="auto"/>
            <w:gridSpan w:val="3"/>
            <w:shd w:val="clear" w:color="auto" w:fill="auto"/>
            <w:vAlign w:val="bottom"/>
          </w:tcPr>
          <w:p w14:paraId="71D4A264" w14:textId="77777777" w:rsidR="006A3667" w:rsidRDefault="006A3667">
            <w:pPr>
              <w:rPr>
                <w:rFonts w:ascii="宋体"/>
                <w:vanish/>
              </w:rPr>
            </w:pPr>
          </w:p>
        </w:tc>
        <w:tc>
          <w:tcPr>
            <w:tcW w:w="0" w:type="auto"/>
            <w:gridSpan w:val="3"/>
            <w:shd w:val="clear" w:color="auto" w:fill="auto"/>
            <w:vAlign w:val="bottom"/>
          </w:tcPr>
          <w:p w14:paraId="71D4A265" w14:textId="77777777" w:rsidR="006A3667" w:rsidRDefault="006A3667">
            <w:pPr>
              <w:rPr>
                <w:rFonts w:ascii="宋体"/>
                <w:vanish/>
              </w:rPr>
            </w:pPr>
          </w:p>
        </w:tc>
        <w:tc>
          <w:tcPr>
            <w:tcW w:w="0" w:type="auto"/>
            <w:gridSpan w:val="3"/>
            <w:shd w:val="clear" w:color="auto" w:fill="auto"/>
            <w:vAlign w:val="bottom"/>
          </w:tcPr>
          <w:p w14:paraId="71D4A266" w14:textId="77777777" w:rsidR="006A3667" w:rsidRDefault="006A3667">
            <w:pPr>
              <w:rPr>
                <w:rFonts w:ascii="宋体"/>
                <w:vanish/>
              </w:rPr>
            </w:pPr>
          </w:p>
        </w:tc>
        <w:tc>
          <w:tcPr>
            <w:tcW w:w="0" w:type="auto"/>
            <w:gridSpan w:val="3"/>
            <w:shd w:val="clear" w:color="auto" w:fill="auto"/>
            <w:vAlign w:val="bottom"/>
          </w:tcPr>
          <w:p w14:paraId="71D4A267" w14:textId="77777777" w:rsidR="006A3667" w:rsidRDefault="006A3667">
            <w:pPr>
              <w:rPr>
                <w:rFonts w:ascii="宋体"/>
                <w:vanish/>
              </w:rPr>
            </w:pPr>
          </w:p>
        </w:tc>
        <w:tc>
          <w:tcPr>
            <w:tcW w:w="0" w:type="auto"/>
            <w:gridSpan w:val="3"/>
            <w:shd w:val="clear" w:color="auto" w:fill="auto"/>
            <w:vAlign w:val="bottom"/>
          </w:tcPr>
          <w:p w14:paraId="71D4A268" w14:textId="77777777" w:rsidR="006A3667" w:rsidRDefault="006A3667">
            <w:pPr>
              <w:rPr>
                <w:rFonts w:ascii="宋体"/>
                <w:vanish/>
              </w:rPr>
            </w:pPr>
          </w:p>
        </w:tc>
        <w:tc>
          <w:tcPr>
            <w:tcW w:w="0" w:type="auto"/>
            <w:gridSpan w:val="3"/>
            <w:shd w:val="clear" w:color="auto" w:fill="auto"/>
            <w:vAlign w:val="bottom"/>
          </w:tcPr>
          <w:p w14:paraId="71D4A269" w14:textId="77777777" w:rsidR="006A3667" w:rsidRDefault="006A3667">
            <w:pPr>
              <w:rPr>
                <w:rFonts w:ascii="宋体"/>
                <w:vanish/>
              </w:rPr>
            </w:pPr>
          </w:p>
        </w:tc>
        <w:tc>
          <w:tcPr>
            <w:tcW w:w="0" w:type="auto"/>
            <w:gridSpan w:val="3"/>
            <w:shd w:val="clear" w:color="auto" w:fill="auto"/>
            <w:vAlign w:val="bottom"/>
          </w:tcPr>
          <w:p w14:paraId="71D4A26A" w14:textId="77777777" w:rsidR="006A3667" w:rsidRDefault="006A3667">
            <w:pPr>
              <w:rPr>
                <w:rFonts w:ascii="宋体"/>
                <w:vanish/>
              </w:rPr>
            </w:pPr>
          </w:p>
        </w:tc>
        <w:tc>
          <w:tcPr>
            <w:tcW w:w="0" w:type="auto"/>
            <w:gridSpan w:val="3"/>
            <w:shd w:val="clear" w:color="auto" w:fill="auto"/>
            <w:vAlign w:val="bottom"/>
          </w:tcPr>
          <w:p w14:paraId="71D4A26B" w14:textId="77777777" w:rsidR="006A3667" w:rsidRDefault="006A3667">
            <w:pPr>
              <w:rPr>
                <w:rFonts w:ascii="宋体"/>
                <w:vanish/>
              </w:rPr>
            </w:pPr>
          </w:p>
        </w:tc>
        <w:tc>
          <w:tcPr>
            <w:tcW w:w="0" w:type="auto"/>
            <w:gridSpan w:val="3"/>
            <w:shd w:val="clear" w:color="auto" w:fill="auto"/>
            <w:vAlign w:val="bottom"/>
          </w:tcPr>
          <w:p w14:paraId="71D4A26C" w14:textId="77777777" w:rsidR="006A3667" w:rsidRDefault="006A3667">
            <w:pPr>
              <w:rPr>
                <w:rFonts w:ascii="宋体"/>
                <w:vanish/>
              </w:rPr>
            </w:pPr>
          </w:p>
        </w:tc>
        <w:tc>
          <w:tcPr>
            <w:tcW w:w="0" w:type="auto"/>
            <w:gridSpan w:val="3"/>
            <w:shd w:val="clear" w:color="auto" w:fill="auto"/>
            <w:vAlign w:val="bottom"/>
          </w:tcPr>
          <w:p w14:paraId="71D4A26D" w14:textId="77777777" w:rsidR="006A3667" w:rsidRDefault="006A3667">
            <w:pPr>
              <w:rPr>
                <w:rFonts w:ascii="宋体"/>
                <w:vanish/>
              </w:rPr>
            </w:pPr>
          </w:p>
        </w:tc>
        <w:tc>
          <w:tcPr>
            <w:tcW w:w="0" w:type="auto"/>
            <w:gridSpan w:val="3"/>
            <w:shd w:val="clear" w:color="auto" w:fill="auto"/>
            <w:vAlign w:val="bottom"/>
          </w:tcPr>
          <w:p w14:paraId="71D4A26E" w14:textId="77777777" w:rsidR="006A3667" w:rsidRDefault="006A3667">
            <w:pPr>
              <w:rPr>
                <w:rFonts w:ascii="宋体"/>
                <w:vanish/>
              </w:rPr>
            </w:pPr>
          </w:p>
        </w:tc>
        <w:tc>
          <w:tcPr>
            <w:tcW w:w="0" w:type="auto"/>
            <w:gridSpan w:val="3"/>
            <w:shd w:val="clear" w:color="auto" w:fill="auto"/>
            <w:vAlign w:val="bottom"/>
          </w:tcPr>
          <w:p w14:paraId="71D4A26F" w14:textId="77777777" w:rsidR="006A3667" w:rsidRDefault="006A3667">
            <w:pPr>
              <w:rPr>
                <w:rFonts w:ascii="宋体"/>
                <w:vanish/>
              </w:rPr>
            </w:pPr>
          </w:p>
        </w:tc>
        <w:tc>
          <w:tcPr>
            <w:tcW w:w="0" w:type="auto"/>
            <w:gridSpan w:val="3"/>
            <w:shd w:val="clear" w:color="auto" w:fill="auto"/>
            <w:vAlign w:val="bottom"/>
          </w:tcPr>
          <w:p w14:paraId="71D4A270" w14:textId="77777777" w:rsidR="006A3667" w:rsidRDefault="006A3667">
            <w:pPr>
              <w:rPr>
                <w:rFonts w:ascii="宋体"/>
                <w:vanish/>
              </w:rPr>
            </w:pPr>
          </w:p>
        </w:tc>
        <w:tc>
          <w:tcPr>
            <w:tcW w:w="0" w:type="auto"/>
            <w:gridSpan w:val="3"/>
            <w:shd w:val="clear" w:color="auto" w:fill="auto"/>
            <w:vAlign w:val="bottom"/>
          </w:tcPr>
          <w:p w14:paraId="71D4A271" w14:textId="77777777" w:rsidR="006A3667" w:rsidRDefault="006A3667">
            <w:pPr>
              <w:rPr>
                <w:rFonts w:ascii="宋体"/>
                <w:vanish/>
              </w:rPr>
            </w:pPr>
          </w:p>
        </w:tc>
        <w:tc>
          <w:tcPr>
            <w:tcW w:w="0" w:type="auto"/>
            <w:gridSpan w:val="3"/>
            <w:shd w:val="clear" w:color="auto" w:fill="auto"/>
            <w:vAlign w:val="bottom"/>
          </w:tcPr>
          <w:p w14:paraId="71D4A272" w14:textId="77777777" w:rsidR="006A3667" w:rsidRDefault="006A3667">
            <w:pPr>
              <w:rPr>
                <w:rFonts w:ascii="宋体"/>
                <w:vanish/>
              </w:rPr>
            </w:pPr>
          </w:p>
        </w:tc>
      </w:tr>
      <w:tr w:rsidR="006A3667" w14:paraId="71D4A288" w14:textId="77777777">
        <w:trPr>
          <w:hidden/>
        </w:trPr>
        <w:tc>
          <w:tcPr>
            <w:tcW w:w="0" w:type="auto"/>
            <w:gridSpan w:val="3"/>
            <w:shd w:val="clear" w:color="auto" w:fill="auto"/>
            <w:vAlign w:val="bottom"/>
          </w:tcPr>
          <w:p w14:paraId="71D4A274" w14:textId="77777777" w:rsidR="006A3667" w:rsidRDefault="006A3667">
            <w:pPr>
              <w:rPr>
                <w:rFonts w:ascii="宋体"/>
                <w:vanish/>
              </w:rPr>
            </w:pPr>
          </w:p>
        </w:tc>
        <w:tc>
          <w:tcPr>
            <w:tcW w:w="0" w:type="auto"/>
            <w:gridSpan w:val="3"/>
            <w:shd w:val="clear" w:color="auto" w:fill="auto"/>
            <w:vAlign w:val="bottom"/>
          </w:tcPr>
          <w:p w14:paraId="71D4A275" w14:textId="77777777" w:rsidR="006A3667" w:rsidRDefault="006A3667">
            <w:pPr>
              <w:rPr>
                <w:rFonts w:ascii="宋体"/>
                <w:vanish/>
              </w:rPr>
            </w:pPr>
          </w:p>
        </w:tc>
        <w:tc>
          <w:tcPr>
            <w:tcW w:w="0" w:type="auto"/>
            <w:gridSpan w:val="3"/>
            <w:shd w:val="clear" w:color="auto" w:fill="auto"/>
            <w:vAlign w:val="bottom"/>
          </w:tcPr>
          <w:p w14:paraId="71D4A276" w14:textId="77777777" w:rsidR="006A3667" w:rsidRDefault="006A3667">
            <w:pPr>
              <w:rPr>
                <w:rFonts w:ascii="宋体"/>
                <w:vanish/>
              </w:rPr>
            </w:pPr>
          </w:p>
        </w:tc>
        <w:tc>
          <w:tcPr>
            <w:tcW w:w="0" w:type="auto"/>
            <w:gridSpan w:val="3"/>
            <w:shd w:val="clear" w:color="auto" w:fill="auto"/>
            <w:vAlign w:val="bottom"/>
          </w:tcPr>
          <w:p w14:paraId="71D4A277" w14:textId="77777777" w:rsidR="006A3667" w:rsidRDefault="006A3667">
            <w:pPr>
              <w:rPr>
                <w:rFonts w:ascii="宋体"/>
                <w:vanish/>
              </w:rPr>
            </w:pPr>
          </w:p>
        </w:tc>
        <w:tc>
          <w:tcPr>
            <w:tcW w:w="0" w:type="auto"/>
            <w:gridSpan w:val="3"/>
            <w:shd w:val="clear" w:color="auto" w:fill="auto"/>
            <w:vAlign w:val="bottom"/>
          </w:tcPr>
          <w:p w14:paraId="71D4A278" w14:textId="77777777" w:rsidR="006A3667" w:rsidRDefault="006A3667">
            <w:pPr>
              <w:rPr>
                <w:rFonts w:ascii="宋体"/>
                <w:vanish/>
              </w:rPr>
            </w:pPr>
          </w:p>
        </w:tc>
        <w:tc>
          <w:tcPr>
            <w:tcW w:w="0" w:type="auto"/>
            <w:gridSpan w:val="3"/>
            <w:shd w:val="clear" w:color="auto" w:fill="auto"/>
            <w:vAlign w:val="bottom"/>
          </w:tcPr>
          <w:p w14:paraId="71D4A279" w14:textId="77777777" w:rsidR="006A3667" w:rsidRDefault="006A3667">
            <w:pPr>
              <w:rPr>
                <w:rFonts w:ascii="宋体"/>
                <w:vanish/>
              </w:rPr>
            </w:pPr>
          </w:p>
        </w:tc>
        <w:tc>
          <w:tcPr>
            <w:tcW w:w="0" w:type="auto"/>
            <w:gridSpan w:val="3"/>
            <w:shd w:val="clear" w:color="auto" w:fill="auto"/>
            <w:vAlign w:val="bottom"/>
          </w:tcPr>
          <w:p w14:paraId="71D4A27A" w14:textId="77777777" w:rsidR="006A3667" w:rsidRDefault="006A3667">
            <w:pPr>
              <w:rPr>
                <w:rFonts w:ascii="宋体"/>
                <w:vanish/>
              </w:rPr>
            </w:pPr>
          </w:p>
        </w:tc>
        <w:tc>
          <w:tcPr>
            <w:tcW w:w="0" w:type="auto"/>
            <w:gridSpan w:val="3"/>
            <w:shd w:val="clear" w:color="auto" w:fill="auto"/>
            <w:vAlign w:val="bottom"/>
          </w:tcPr>
          <w:p w14:paraId="71D4A27B" w14:textId="77777777" w:rsidR="006A3667" w:rsidRDefault="006A3667">
            <w:pPr>
              <w:rPr>
                <w:rFonts w:ascii="宋体"/>
                <w:vanish/>
              </w:rPr>
            </w:pPr>
          </w:p>
        </w:tc>
        <w:tc>
          <w:tcPr>
            <w:tcW w:w="0" w:type="auto"/>
            <w:gridSpan w:val="3"/>
            <w:shd w:val="clear" w:color="auto" w:fill="auto"/>
            <w:vAlign w:val="bottom"/>
          </w:tcPr>
          <w:p w14:paraId="71D4A27C" w14:textId="77777777" w:rsidR="006A3667" w:rsidRDefault="006A3667">
            <w:pPr>
              <w:rPr>
                <w:rFonts w:ascii="宋体"/>
                <w:vanish/>
              </w:rPr>
            </w:pPr>
          </w:p>
        </w:tc>
        <w:tc>
          <w:tcPr>
            <w:tcW w:w="0" w:type="auto"/>
            <w:gridSpan w:val="3"/>
            <w:shd w:val="clear" w:color="auto" w:fill="auto"/>
            <w:vAlign w:val="bottom"/>
          </w:tcPr>
          <w:p w14:paraId="71D4A27D" w14:textId="77777777" w:rsidR="006A3667" w:rsidRDefault="006A3667">
            <w:pPr>
              <w:rPr>
                <w:rFonts w:ascii="宋体"/>
                <w:vanish/>
              </w:rPr>
            </w:pPr>
          </w:p>
        </w:tc>
        <w:tc>
          <w:tcPr>
            <w:tcW w:w="0" w:type="auto"/>
            <w:gridSpan w:val="3"/>
            <w:shd w:val="clear" w:color="auto" w:fill="auto"/>
            <w:vAlign w:val="bottom"/>
          </w:tcPr>
          <w:p w14:paraId="71D4A27E" w14:textId="77777777" w:rsidR="006A3667" w:rsidRDefault="006A3667">
            <w:pPr>
              <w:rPr>
                <w:rFonts w:ascii="宋体"/>
                <w:vanish/>
              </w:rPr>
            </w:pPr>
          </w:p>
        </w:tc>
        <w:tc>
          <w:tcPr>
            <w:tcW w:w="0" w:type="auto"/>
            <w:gridSpan w:val="3"/>
            <w:shd w:val="clear" w:color="auto" w:fill="auto"/>
            <w:vAlign w:val="bottom"/>
          </w:tcPr>
          <w:p w14:paraId="71D4A27F" w14:textId="77777777" w:rsidR="006A3667" w:rsidRDefault="006A3667">
            <w:pPr>
              <w:rPr>
                <w:rFonts w:ascii="宋体"/>
                <w:vanish/>
              </w:rPr>
            </w:pPr>
          </w:p>
        </w:tc>
        <w:tc>
          <w:tcPr>
            <w:tcW w:w="0" w:type="auto"/>
            <w:gridSpan w:val="3"/>
            <w:shd w:val="clear" w:color="auto" w:fill="auto"/>
            <w:vAlign w:val="bottom"/>
          </w:tcPr>
          <w:p w14:paraId="71D4A280" w14:textId="77777777" w:rsidR="006A3667" w:rsidRDefault="006A3667">
            <w:pPr>
              <w:rPr>
                <w:rFonts w:ascii="宋体"/>
                <w:vanish/>
              </w:rPr>
            </w:pPr>
          </w:p>
        </w:tc>
        <w:tc>
          <w:tcPr>
            <w:tcW w:w="0" w:type="auto"/>
            <w:gridSpan w:val="3"/>
            <w:shd w:val="clear" w:color="auto" w:fill="auto"/>
            <w:vAlign w:val="bottom"/>
          </w:tcPr>
          <w:p w14:paraId="71D4A281" w14:textId="77777777" w:rsidR="006A3667" w:rsidRDefault="006A3667">
            <w:pPr>
              <w:rPr>
                <w:rFonts w:ascii="宋体"/>
                <w:vanish/>
              </w:rPr>
            </w:pPr>
          </w:p>
        </w:tc>
        <w:tc>
          <w:tcPr>
            <w:tcW w:w="0" w:type="auto"/>
            <w:gridSpan w:val="3"/>
            <w:shd w:val="clear" w:color="auto" w:fill="auto"/>
            <w:vAlign w:val="bottom"/>
          </w:tcPr>
          <w:p w14:paraId="71D4A282" w14:textId="77777777" w:rsidR="006A3667" w:rsidRDefault="006A3667">
            <w:pPr>
              <w:rPr>
                <w:rFonts w:ascii="宋体"/>
                <w:vanish/>
              </w:rPr>
            </w:pPr>
          </w:p>
        </w:tc>
        <w:tc>
          <w:tcPr>
            <w:tcW w:w="0" w:type="auto"/>
            <w:gridSpan w:val="3"/>
            <w:shd w:val="clear" w:color="auto" w:fill="auto"/>
            <w:vAlign w:val="bottom"/>
          </w:tcPr>
          <w:p w14:paraId="71D4A283" w14:textId="77777777" w:rsidR="006A3667" w:rsidRDefault="006A3667">
            <w:pPr>
              <w:rPr>
                <w:rFonts w:ascii="宋体"/>
                <w:vanish/>
              </w:rPr>
            </w:pPr>
          </w:p>
        </w:tc>
        <w:tc>
          <w:tcPr>
            <w:tcW w:w="0" w:type="auto"/>
            <w:gridSpan w:val="3"/>
            <w:shd w:val="clear" w:color="auto" w:fill="auto"/>
            <w:vAlign w:val="bottom"/>
          </w:tcPr>
          <w:p w14:paraId="71D4A284" w14:textId="77777777" w:rsidR="006A3667" w:rsidRDefault="006A3667">
            <w:pPr>
              <w:rPr>
                <w:rFonts w:ascii="宋体"/>
                <w:vanish/>
              </w:rPr>
            </w:pPr>
          </w:p>
        </w:tc>
        <w:tc>
          <w:tcPr>
            <w:tcW w:w="0" w:type="auto"/>
            <w:gridSpan w:val="3"/>
            <w:shd w:val="clear" w:color="auto" w:fill="auto"/>
            <w:vAlign w:val="bottom"/>
          </w:tcPr>
          <w:p w14:paraId="71D4A285" w14:textId="77777777" w:rsidR="006A3667" w:rsidRDefault="006A3667">
            <w:pPr>
              <w:rPr>
                <w:rFonts w:ascii="宋体"/>
                <w:vanish/>
              </w:rPr>
            </w:pPr>
          </w:p>
        </w:tc>
        <w:tc>
          <w:tcPr>
            <w:tcW w:w="0" w:type="auto"/>
            <w:gridSpan w:val="3"/>
            <w:shd w:val="clear" w:color="auto" w:fill="auto"/>
            <w:vAlign w:val="bottom"/>
          </w:tcPr>
          <w:p w14:paraId="71D4A286" w14:textId="77777777" w:rsidR="006A3667" w:rsidRDefault="006A3667">
            <w:pPr>
              <w:rPr>
                <w:rFonts w:ascii="宋体"/>
                <w:vanish/>
              </w:rPr>
            </w:pPr>
          </w:p>
        </w:tc>
        <w:tc>
          <w:tcPr>
            <w:tcW w:w="0" w:type="auto"/>
            <w:gridSpan w:val="3"/>
            <w:shd w:val="clear" w:color="auto" w:fill="auto"/>
            <w:vAlign w:val="bottom"/>
          </w:tcPr>
          <w:p w14:paraId="71D4A287" w14:textId="77777777" w:rsidR="006A3667" w:rsidRDefault="006A3667">
            <w:pPr>
              <w:rPr>
                <w:rFonts w:ascii="宋体"/>
                <w:vanish/>
              </w:rPr>
            </w:pPr>
          </w:p>
        </w:tc>
      </w:tr>
      <w:tr w:rsidR="006A3667" w14:paraId="71D4A29D" w14:textId="77777777">
        <w:trPr>
          <w:hidden/>
        </w:trPr>
        <w:tc>
          <w:tcPr>
            <w:tcW w:w="0" w:type="auto"/>
            <w:gridSpan w:val="3"/>
            <w:shd w:val="clear" w:color="auto" w:fill="auto"/>
            <w:vAlign w:val="bottom"/>
          </w:tcPr>
          <w:p w14:paraId="71D4A289" w14:textId="77777777" w:rsidR="006A3667" w:rsidRDefault="006A3667">
            <w:pPr>
              <w:rPr>
                <w:rFonts w:ascii="宋体"/>
                <w:vanish/>
              </w:rPr>
            </w:pPr>
          </w:p>
        </w:tc>
        <w:tc>
          <w:tcPr>
            <w:tcW w:w="0" w:type="auto"/>
            <w:gridSpan w:val="3"/>
            <w:shd w:val="clear" w:color="auto" w:fill="auto"/>
            <w:vAlign w:val="bottom"/>
          </w:tcPr>
          <w:p w14:paraId="71D4A28A" w14:textId="77777777" w:rsidR="006A3667" w:rsidRDefault="006A3667">
            <w:pPr>
              <w:rPr>
                <w:rFonts w:ascii="宋体"/>
                <w:vanish/>
              </w:rPr>
            </w:pPr>
          </w:p>
        </w:tc>
        <w:tc>
          <w:tcPr>
            <w:tcW w:w="0" w:type="auto"/>
            <w:gridSpan w:val="3"/>
            <w:shd w:val="clear" w:color="auto" w:fill="auto"/>
            <w:vAlign w:val="bottom"/>
          </w:tcPr>
          <w:p w14:paraId="71D4A28B" w14:textId="77777777" w:rsidR="006A3667" w:rsidRDefault="006A3667">
            <w:pPr>
              <w:rPr>
                <w:rFonts w:ascii="宋体"/>
                <w:vanish/>
              </w:rPr>
            </w:pPr>
          </w:p>
        </w:tc>
        <w:tc>
          <w:tcPr>
            <w:tcW w:w="0" w:type="auto"/>
            <w:gridSpan w:val="3"/>
            <w:shd w:val="clear" w:color="auto" w:fill="auto"/>
            <w:vAlign w:val="bottom"/>
          </w:tcPr>
          <w:p w14:paraId="71D4A28C" w14:textId="77777777" w:rsidR="006A3667" w:rsidRDefault="006A3667">
            <w:pPr>
              <w:rPr>
                <w:rFonts w:ascii="宋体"/>
                <w:vanish/>
              </w:rPr>
            </w:pPr>
          </w:p>
        </w:tc>
        <w:tc>
          <w:tcPr>
            <w:tcW w:w="0" w:type="auto"/>
            <w:gridSpan w:val="3"/>
            <w:shd w:val="clear" w:color="auto" w:fill="auto"/>
            <w:vAlign w:val="bottom"/>
          </w:tcPr>
          <w:p w14:paraId="71D4A28D" w14:textId="77777777" w:rsidR="006A3667" w:rsidRDefault="006A3667">
            <w:pPr>
              <w:rPr>
                <w:rFonts w:ascii="宋体"/>
                <w:vanish/>
              </w:rPr>
            </w:pPr>
          </w:p>
        </w:tc>
        <w:tc>
          <w:tcPr>
            <w:tcW w:w="0" w:type="auto"/>
            <w:gridSpan w:val="3"/>
            <w:shd w:val="clear" w:color="auto" w:fill="auto"/>
            <w:vAlign w:val="bottom"/>
          </w:tcPr>
          <w:p w14:paraId="71D4A28E" w14:textId="77777777" w:rsidR="006A3667" w:rsidRDefault="006A3667">
            <w:pPr>
              <w:rPr>
                <w:rFonts w:ascii="宋体"/>
                <w:vanish/>
              </w:rPr>
            </w:pPr>
          </w:p>
        </w:tc>
        <w:tc>
          <w:tcPr>
            <w:tcW w:w="0" w:type="auto"/>
            <w:gridSpan w:val="3"/>
            <w:shd w:val="clear" w:color="auto" w:fill="auto"/>
            <w:vAlign w:val="bottom"/>
          </w:tcPr>
          <w:p w14:paraId="71D4A28F" w14:textId="77777777" w:rsidR="006A3667" w:rsidRDefault="006A3667">
            <w:pPr>
              <w:rPr>
                <w:rFonts w:ascii="宋体"/>
                <w:vanish/>
              </w:rPr>
            </w:pPr>
          </w:p>
        </w:tc>
        <w:tc>
          <w:tcPr>
            <w:tcW w:w="0" w:type="auto"/>
            <w:gridSpan w:val="3"/>
            <w:shd w:val="clear" w:color="auto" w:fill="auto"/>
            <w:vAlign w:val="bottom"/>
          </w:tcPr>
          <w:p w14:paraId="71D4A290" w14:textId="77777777" w:rsidR="006A3667" w:rsidRDefault="006A3667">
            <w:pPr>
              <w:rPr>
                <w:rFonts w:ascii="宋体"/>
                <w:vanish/>
              </w:rPr>
            </w:pPr>
          </w:p>
        </w:tc>
        <w:tc>
          <w:tcPr>
            <w:tcW w:w="0" w:type="auto"/>
            <w:gridSpan w:val="3"/>
            <w:shd w:val="clear" w:color="auto" w:fill="auto"/>
            <w:vAlign w:val="bottom"/>
          </w:tcPr>
          <w:p w14:paraId="71D4A291" w14:textId="77777777" w:rsidR="006A3667" w:rsidRDefault="006A3667">
            <w:pPr>
              <w:rPr>
                <w:rFonts w:ascii="宋体"/>
                <w:vanish/>
              </w:rPr>
            </w:pPr>
          </w:p>
        </w:tc>
        <w:tc>
          <w:tcPr>
            <w:tcW w:w="0" w:type="auto"/>
            <w:gridSpan w:val="3"/>
            <w:shd w:val="clear" w:color="auto" w:fill="auto"/>
            <w:vAlign w:val="bottom"/>
          </w:tcPr>
          <w:p w14:paraId="71D4A292" w14:textId="77777777" w:rsidR="006A3667" w:rsidRDefault="006A3667">
            <w:pPr>
              <w:rPr>
                <w:rFonts w:ascii="宋体"/>
                <w:vanish/>
              </w:rPr>
            </w:pPr>
          </w:p>
        </w:tc>
        <w:tc>
          <w:tcPr>
            <w:tcW w:w="0" w:type="auto"/>
            <w:gridSpan w:val="3"/>
            <w:shd w:val="clear" w:color="auto" w:fill="auto"/>
            <w:vAlign w:val="bottom"/>
          </w:tcPr>
          <w:p w14:paraId="71D4A293" w14:textId="77777777" w:rsidR="006A3667" w:rsidRDefault="006A3667">
            <w:pPr>
              <w:rPr>
                <w:rFonts w:ascii="宋体"/>
                <w:vanish/>
              </w:rPr>
            </w:pPr>
          </w:p>
        </w:tc>
        <w:tc>
          <w:tcPr>
            <w:tcW w:w="0" w:type="auto"/>
            <w:gridSpan w:val="3"/>
            <w:shd w:val="clear" w:color="auto" w:fill="auto"/>
            <w:vAlign w:val="bottom"/>
          </w:tcPr>
          <w:p w14:paraId="71D4A294" w14:textId="77777777" w:rsidR="006A3667" w:rsidRDefault="006A3667">
            <w:pPr>
              <w:rPr>
                <w:rFonts w:ascii="宋体"/>
                <w:vanish/>
              </w:rPr>
            </w:pPr>
          </w:p>
        </w:tc>
        <w:tc>
          <w:tcPr>
            <w:tcW w:w="0" w:type="auto"/>
            <w:gridSpan w:val="3"/>
            <w:shd w:val="clear" w:color="auto" w:fill="auto"/>
            <w:vAlign w:val="bottom"/>
          </w:tcPr>
          <w:p w14:paraId="71D4A295" w14:textId="77777777" w:rsidR="006A3667" w:rsidRDefault="006A3667">
            <w:pPr>
              <w:rPr>
                <w:rFonts w:ascii="宋体"/>
                <w:vanish/>
              </w:rPr>
            </w:pPr>
          </w:p>
        </w:tc>
        <w:tc>
          <w:tcPr>
            <w:tcW w:w="0" w:type="auto"/>
            <w:gridSpan w:val="3"/>
            <w:shd w:val="clear" w:color="auto" w:fill="auto"/>
            <w:vAlign w:val="bottom"/>
          </w:tcPr>
          <w:p w14:paraId="71D4A296" w14:textId="77777777" w:rsidR="006A3667" w:rsidRDefault="006A3667">
            <w:pPr>
              <w:rPr>
                <w:rFonts w:ascii="宋体"/>
                <w:vanish/>
              </w:rPr>
            </w:pPr>
          </w:p>
        </w:tc>
        <w:tc>
          <w:tcPr>
            <w:tcW w:w="0" w:type="auto"/>
            <w:gridSpan w:val="3"/>
            <w:shd w:val="clear" w:color="auto" w:fill="auto"/>
            <w:vAlign w:val="bottom"/>
          </w:tcPr>
          <w:p w14:paraId="71D4A297" w14:textId="77777777" w:rsidR="006A3667" w:rsidRDefault="006A3667">
            <w:pPr>
              <w:rPr>
                <w:rFonts w:ascii="宋体"/>
                <w:vanish/>
              </w:rPr>
            </w:pPr>
          </w:p>
        </w:tc>
        <w:tc>
          <w:tcPr>
            <w:tcW w:w="0" w:type="auto"/>
            <w:gridSpan w:val="3"/>
            <w:shd w:val="clear" w:color="auto" w:fill="auto"/>
            <w:vAlign w:val="bottom"/>
          </w:tcPr>
          <w:p w14:paraId="71D4A298" w14:textId="77777777" w:rsidR="006A3667" w:rsidRDefault="006A3667">
            <w:pPr>
              <w:rPr>
                <w:rFonts w:ascii="宋体"/>
                <w:vanish/>
              </w:rPr>
            </w:pPr>
          </w:p>
        </w:tc>
        <w:tc>
          <w:tcPr>
            <w:tcW w:w="0" w:type="auto"/>
            <w:gridSpan w:val="3"/>
            <w:shd w:val="clear" w:color="auto" w:fill="auto"/>
            <w:vAlign w:val="bottom"/>
          </w:tcPr>
          <w:p w14:paraId="71D4A299" w14:textId="77777777" w:rsidR="006A3667" w:rsidRDefault="006A3667">
            <w:pPr>
              <w:rPr>
                <w:rFonts w:ascii="宋体"/>
                <w:vanish/>
              </w:rPr>
            </w:pPr>
          </w:p>
        </w:tc>
        <w:tc>
          <w:tcPr>
            <w:tcW w:w="0" w:type="auto"/>
            <w:gridSpan w:val="3"/>
            <w:shd w:val="clear" w:color="auto" w:fill="auto"/>
            <w:vAlign w:val="bottom"/>
          </w:tcPr>
          <w:p w14:paraId="71D4A29A" w14:textId="77777777" w:rsidR="006A3667" w:rsidRDefault="006A3667">
            <w:pPr>
              <w:rPr>
                <w:rFonts w:ascii="宋体"/>
                <w:vanish/>
              </w:rPr>
            </w:pPr>
          </w:p>
        </w:tc>
        <w:tc>
          <w:tcPr>
            <w:tcW w:w="0" w:type="auto"/>
            <w:gridSpan w:val="3"/>
            <w:shd w:val="clear" w:color="auto" w:fill="auto"/>
            <w:vAlign w:val="bottom"/>
          </w:tcPr>
          <w:p w14:paraId="71D4A29B" w14:textId="77777777" w:rsidR="006A3667" w:rsidRDefault="006A3667">
            <w:pPr>
              <w:rPr>
                <w:rFonts w:ascii="宋体"/>
                <w:vanish/>
              </w:rPr>
            </w:pPr>
          </w:p>
        </w:tc>
        <w:tc>
          <w:tcPr>
            <w:tcW w:w="0" w:type="auto"/>
            <w:gridSpan w:val="3"/>
            <w:shd w:val="clear" w:color="auto" w:fill="auto"/>
            <w:vAlign w:val="bottom"/>
          </w:tcPr>
          <w:p w14:paraId="71D4A29C" w14:textId="77777777" w:rsidR="006A3667" w:rsidRDefault="006A3667">
            <w:pPr>
              <w:rPr>
                <w:rFonts w:ascii="宋体"/>
                <w:vanish/>
              </w:rPr>
            </w:pPr>
          </w:p>
        </w:tc>
      </w:tr>
      <w:tr w:rsidR="006A3667" w14:paraId="71D4A2B2" w14:textId="77777777">
        <w:trPr>
          <w:hidden/>
        </w:trPr>
        <w:tc>
          <w:tcPr>
            <w:tcW w:w="0" w:type="auto"/>
            <w:gridSpan w:val="3"/>
            <w:shd w:val="clear" w:color="auto" w:fill="auto"/>
            <w:vAlign w:val="bottom"/>
          </w:tcPr>
          <w:p w14:paraId="71D4A29E" w14:textId="77777777" w:rsidR="006A3667" w:rsidRDefault="006A3667">
            <w:pPr>
              <w:rPr>
                <w:rFonts w:ascii="宋体"/>
                <w:vanish/>
              </w:rPr>
            </w:pPr>
          </w:p>
        </w:tc>
        <w:tc>
          <w:tcPr>
            <w:tcW w:w="0" w:type="auto"/>
            <w:gridSpan w:val="3"/>
            <w:shd w:val="clear" w:color="auto" w:fill="auto"/>
            <w:vAlign w:val="bottom"/>
          </w:tcPr>
          <w:p w14:paraId="71D4A29F" w14:textId="77777777" w:rsidR="006A3667" w:rsidRDefault="006A3667">
            <w:pPr>
              <w:rPr>
                <w:rFonts w:ascii="宋体"/>
                <w:vanish/>
              </w:rPr>
            </w:pPr>
          </w:p>
        </w:tc>
        <w:tc>
          <w:tcPr>
            <w:tcW w:w="0" w:type="auto"/>
            <w:gridSpan w:val="3"/>
            <w:shd w:val="clear" w:color="auto" w:fill="auto"/>
            <w:vAlign w:val="bottom"/>
          </w:tcPr>
          <w:p w14:paraId="71D4A2A0" w14:textId="77777777" w:rsidR="006A3667" w:rsidRDefault="006A3667">
            <w:pPr>
              <w:rPr>
                <w:rFonts w:ascii="宋体"/>
                <w:vanish/>
              </w:rPr>
            </w:pPr>
          </w:p>
        </w:tc>
        <w:tc>
          <w:tcPr>
            <w:tcW w:w="0" w:type="auto"/>
            <w:gridSpan w:val="3"/>
            <w:shd w:val="clear" w:color="auto" w:fill="auto"/>
            <w:vAlign w:val="bottom"/>
          </w:tcPr>
          <w:p w14:paraId="71D4A2A1" w14:textId="77777777" w:rsidR="006A3667" w:rsidRDefault="006A3667">
            <w:pPr>
              <w:rPr>
                <w:rFonts w:ascii="宋体"/>
                <w:vanish/>
              </w:rPr>
            </w:pPr>
          </w:p>
        </w:tc>
        <w:tc>
          <w:tcPr>
            <w:tcW w:w="0" w:type="auto"/>
            <w:gridSpan w:val="3"/>
            <w:shd w:val="clear" w:color="auto" w:fill="auto"/>
            <w:vAlign w:val="bottom"/>
          </w:tcPr>
          <w:p w14:paraId="71D4A2A2" w14:textId="77777777" w:rsidR="006A3667" w:rsidRDefault="006A3667">
            <w:pPr>
              <w:rPr>
                <w:rFonts w:ascii="宋体"/>
                <w:vanish/>
              </w:rPr>
            </w:pPr>
          </w:p>
        </w:tc>
        <w:tc>
          <w:tcPr>
            <w:tcW w:w="0" w:type="auto"/>
            <w:gridSpan w:val="3"/>
            <w:shd w:val="clear" w:color="auto" w:fill="auto"/>
            <w:vAlign w:val="bottom"/>
          </w:tcPr>
          <w:p w14:paraId="71D4A2A3" w14:textId="77777777" w:rsidR="006A3667" w:rsidRDefault="006A3667">
            <w:pPr>
              <w:rPr>
                <w:rFonts w:ascii="宋体"/>
                <w:vanish/>
              </w:rPr>
            </w:pPr>
          </w:p>
        </w:tc>
        <w:tc>
          <w:tcPr>
            <w:tcW w:w="0" w:type="auto"/>
            <w:gridSpan w:val="3"/>
            <w:shd w:val="clear" w:color="auto" w:fill="auto"/>
            <w:vAlign w:val="bottom"/>
          </w:tcPr>
          <w:p w14:paraId="71D4A2A4" w14:textId="77777777" w:rsidR="006A3667" w:rsidRDefault="006A3667">
            <w:pPr>
              <w:rPr>
                <w:rFonts w:ascii="宋体"/>
                <w:vanish/>
              </w:rPr>
            </w:pPr>
          </w:p>
        </w:tc>
        <w:tc>
          <w:tcPr>
            <w:tcW w:w="0" w:type="auto"/>
            <w:gridSpan w:val="3"/>
            <w:shd w:val="clear" w:color="auto" w:fill="auto"/>
            <w:vAlign w:val="bottom"/>
          </w:tcPr>
          <w:p w14:paraId="71D4A2A5" w14:textId="77777777" w:rsidR="006A3667" w:rsidRDefault="006A3667">
            <w:pPr>
              <w:rPr>
                <w:rFonts w:ascii="宋体"/>
                <w:vanish/>
              </w:rPr>
            </w:pPr>
          </w:p>
        </w:tc>
        <w:tc>
          <w:tcPr>
            <w:tcW w:w="0" w:type="auto"/>
            <w:gridSpan w:val="3"/>
            <w:shd w:val="clear" w:color="auto" w:fill="auto"/>
            <w:vAlign w:val="bottom"/>
          </w:tcPr>
          <w:p w14:paraId="71D4A2A6" w14:textId="77777777" w:rsidR="006A3667" w:rsidRDefault="006A3667">
            <w:pPr>
              <w:rPr>
                <w:rFonts w:ascii="宋体"/>
                <w:vanish/>
              </w:rPr>
            </w:pPr>
          </w:p>
        </w:tc>
        <w:tc>
          <w:tcPr>
            <w:tcW w:w="0" w:type="auto"/>
            <w:gridSpan w:val="3"/>
            <w:shd w:val="clear" w:color="auto" w:fill="auto"/>
            <w:vAlign w:val="bottom"/>
          </w:tcPr>
          <w:p w14:paraId="71D4A2A7" w14:textId="77777777" w:rsidR="006A3667" w:rsidRDefault="006A3667">
            <w:pPr>
              <w:rPr>
                <w:rFonts w:ascii="宋体"/>
                <w:vanish/>
              </w:rPr>
            </w:pPr>
          </w:p>
        </w:tc>
        <w:tc>
          <w:tcPr>
            <w:tcW w:w="0" w:type="auto"/>
            <w:gridSpan w:val="3"/>
            <w:shd w:val="clear" w:color="auto" w:fill="auto"/>
            <w:vAlign w:val="bottom"/>
          </w:tcPr>
          <w:p w14:paraId="71D4A2A8" w14:textId="77777777" w:rsidR="006A3667" w:rsidRDefault="006A3667">
            <w:pPr>
              <w:rPr>
                <w:rFonts w:ascii="宋体"/>
                <w:vanish/>
              </w:rPr>
            </w:pPr>
          </w:p>
        </w:tc>
        <w:tc>
          <w:tcPr>
            <w:tcW w:w="0" w:type="auto"/>
            <w:gridSpan w:val="3"/>
            <w:shd w:val="clear" w:color="auto" w:fill="auto"/>
            <w:vAlign w:val="bottom"/>
          </w:tcPr>
          <w:p w14:paraId="71D4A2A9" w14:textId="77777777" w:rsidR="006A3667" w:rsidRDefault="006A3667">
            <w:pPr>
              <w:rPr>
                <w:rFonts w:ascii="宋体"/>
                <w:vanish/>
              </w:rPr>
            </w:pPr>
          </w:p>
        </w:tc>
        <w:tc>
          <w:tcPr>
            <w:tcW w:w="0" w:type="auto"/>
            <w:gridSpan w:val="3"/>
            <w:shd w:val="clear" w:color="auto" w:fill="auto"/>
            <w:vAlign w:val="bottom"/>
          </w:tcPr>
          <w:p w14:paraId="71D4A2AA" w14:textId="77777777" w:rsidR="006A3667" w:rsidRDefault="006A3667">
            <w:pPr>
              <w:rPr>
                <w:rFonts w:ascii="宋体"/>
                <w:vanish/>
              </w:rPr>
            </w:pPr>
          </w:p>
        </w:tc>
        <w:tc>
          <w:tcPr>
            <w:tcW w:w="0" w:type="auto"/>
            <w:gridSpan w:val="3"/>
            <w:shd w:val="clear" w:color="auto" w:fill="auto"/>
            <w:vAlign w:val="bottom"/>
          </w:tcPr>
          <w:p w14:paraId="71D4A2AB" w14:textId="77777777" w:rsidR="006A3667" w:rsidRDefault="006A3667">
            <w:pPr>
              <w:rPr>
                <w:rFonts w:ascii="宋体"/>
                <w:vanish/>
              </w:rPr>
            </w:pPr>
          </w:p>
        </w:tc>
        <w:tc>
          <w:tcPr>
            <w:tcW w:w="0" w:type="auto"/>
            <w:gridSpan w:val="3"/>
            <w:shd w:val="clear" w:color="auto" w:fill="auto"/>
            <w:vAlign w:val="bottom"/>
          </w:tcPr>
          <w:p w14:paraId="71D4A2AC" w14:textId="77777777" w:rsidR="006A3667" w:rsidRDefault="006A3667">
            <w:pPr>
              <w:rPr>
                <w:rFonts w:ascii="宋体"/>
                <w:vanish/>
              </w:rPr>
            </w:pPr>
          </w:p>
        </w:tc>
        <w:tc>
          <w:tcPr>
            <w:tcW w:w="0" w:type="auto"/>
            <w:gridSpan w:val="3"/>
            <w:shd w:val="clear" w:color="auto" w:fill="auto"/>
            <w:vAlign w:val="bottom"/>
          </w:tcPr>
          <w:p w14:paraId="71D4A2AD" w14:textId="77777777" w:rsidR="006A3667" w:rsidRDefault="006A3667">
            <w:pPr>
              <w:rPr>
                <w:rFonts w:ascii="宋体"/>
                <w:vanish/>
              </w:rPr>
            </w:pPr>
          </w:p>
        </w:tc>
        <w:tc>
          <w:tcPr>
            <w:tcW w:w="0" w:type="auto"/>
            <w:gridSpan w:val="3"/>
            <w:shd w:val="clear" w:color="auto" w:fill="auto"/>
            <w:vAlign w:val="bottom"/>
          </w:tcPr>
          <w:p w14:paraId="71D4A2AE" w14:textId="77777777" w:rsidR="006A3667" w:rsidRDefault="006A3667">
            <w:pPr>
              <w:rPr>
                <w:rFonts w:ascii="宋体"/>
                <w:vanish/>
              </w:rPr>
            </w:pPr>
          </w:p>
        </w:tc>
        <w:tc>
          <w:tcPr>
            <w:tcW w:w="0" w:type="auto"/>
            <w:gridSpan w:val="3"/>
            <w:shd w:val="clear" w:color="auto" w:fill="auto"/>
            <w:vAlign w:val="bottom"/>
          </w:tcPr>
          <w:p w14:paraId="71D4A2AF" w14:textId="77777777" w:rsidR="006A3667" w:rsidRDefault="006A3667">
            <w:pPr>
              <w:rPr>
                <w:rFonts w:ascii="宋体"/>
                <w:vanish/>
              </w:rPr>
            </w:pPr>
          </w:p>
        </w:tc>
        <w:tc>
          <w:tcPr>
            <w:tcW w:w="0" w:type="auto"/>
            <w:gridSpan w:val="3"/>
            <w:shd w:val="clear" w:color="auto" w:fill="auto"/>
            <w:vAlign w:val="bottom"/>
          </w:tcPr>
          <w:p w14:paraId="71D4A2B0" w14:textId="77777777" w:rsidR="006A3667" w:rsidRDefault="006A3667">
            <w:pPr>
              <w:rPr>
                <w:rFonts w:ascii="宋体"/>
                <w:vanish/>
              </w:rPr>
            </w:pPr>
          </w:p>
        </w:tc>
        <w:tc>
          <w:tcPr>
            <w:tcW w:w="0" w:type="auto"/>
            <w:gridSpan w:val="3"/>
            <w:shd w:val="clear" w:color="auto" w:fill="auto"/>
            <w:vAlign w:val="bottom"/>
          </w:tcPr>
          <w:p w14:paraId="71D4A2B1" w14:textId="77777777" w:rsidR="006A3667" w:rsidRDefault="006A3667">
            <w:pPr>
              <w:rPr>
                <w:rFonts w:ascii="宋体"/>
                <w:vanish/>
              </w:rPr>
            </w:pPr>
          </w:p>
        </w:tc>
      </w:tr>
      <w:tr w:rsidR="006A3667" w14:paraId="71D4A2C7" w14:textId="77777777">
        <w:trPr>
          <w:hidden/>
        </w:trPr>
        <w:tc>
          <w:tcPr>
            <w:tcW w:w="0" w:type="auto"/>
            <w:gridSpan w:val="3"/>
            <w:shd w:val="clear" w:color="auto" w:fill="auto"/>
            <w:vAlign w:val="bottom"/>
          </w:tcPr>
          <w:p w14:paraId="71D4A2B3" w14:textId="77777777" w:rsidR="006A3667" w:rsidRDefault="006A3667">
            <w:pPr>
              <w:rPr>
                <w:rFonts w:ascii="宋体"/>
                <w:vanish/>
              </w:rPr>
            </w:pPr>
          </w:p>
        </w:tc>
        <w:tc>
          <w:tcPr>
            <w:tcW w:w="0" w:type="auto"/>
            <w:gridSpan w:val="3"/>
            <w:shd w:val="clear" w:color="auto" w:fill="auto"/>
            <w:vAlign w:val="bottom"/>
          </w:tcPr>
          <w:p w14:paraId="71D4A2B4" w14:textId="77777777" w:rsidR="006A3667" w:rsidRDefault="006A3667">
            <w:pPr>
              <w:rPr>
                <w:rFonts w:ascii="宋体"/>
                <w:vanish/>
              </w:rPr>
            </w:pPr>
          </w:p>
        </w:tc>
        <w:tc>
          <w:tcPr>
            <w:tcW w:w="0" w:type="auto"/>
            <w:gridSpan w:val="3"/>
            <w:shd w:val="clear" w:color="auto" w:fill="auto"/>
            <w:vAlign w:val="bottom"/>
          </w:tcPr>
          <w:p w14:paraId="71D4A2B5" w14:textId="77777777" w:rsidR="006A3667" w:rsidRDefault="006A3667">
            <w:pPr>
              <w:rPr>
                <w:rFonts w:ascii="宋体"/>
                <w:vanish/>
              </w:rPr>
            </w:pPr>
          </w:p>
        </w:tc>
        <w:tc>
          <w:tcPr>
            <w:tcW w:w="0" w:type="auto"/>
            <w:gridSpan w:val="3"/>
            <w:shd w:val="clear" w:color="auto" w:fill="auto"/>
            <w:vAlign w:val="bottom"/>
          </w:tcPr>
          <w:p w14:paraId="71D4A2B6" w14:textId="77777777" w:rsidR="006A3667" w:rsidRDefault="006A3667">
            <w:pPr>
              <w:rPr>
                <w:rFonts w:ascii="宋体"/>
                <w:vanish/>
              </w:rPr>
            </w:pPr>
          </w:p>
        </w:tc>
        <w:tc>
          <w:tcPr>
            <w:tcW w:w="0" w:type="auto"/>
            <w:gridSpan w:val="3"/>
            <w:shd w:val="clear" w:color="auto" w:fill="auto"/>
            <w:vAlign w:val="bottom"/>
          </w:tcPr>
          <w:p w14:paraId="71D4A2B7" w14:textId="77777777" w:rsidR="006A3667" w:rsidRDefault="006A3667">
            <w:pPr>
              <w:rPr>
                <w:rFonts w:ascii="宋体"/>
                <w:vanish/>
              </w:rPr>
            </w:pPr>
          </w:p>
        </w:tc>
        <w:tc>
          <w:tcPr>
            <w:tcW w:w="0" w:type="auto"/>
            <w:gridSpan w:val="3"/>
            <w:shd w:val="clear" w:color="auto" w:fill="auto"/>
            <w:vAlign w:val="bottom"/>
          </w:tcPr>
          <w:p w14:paraId="71D4A2B8" w14:textId="77777777" w:rsidR="006A3667" w:rsidRDefault="006A3667">
            <w:pPr>
              <w:rPr>
                <w:rFonts w:ascii="宋体"/>
                <w:vanish/>
              </w:rPr>
            </w:pPr>
          </w:p>
        </w:tc>
        <w:tc>
          <w:tcPr>
            <w:tcW w:w="0" w:type="auto"/>
            <w:gridSpan w:val="3"/>
            <w:shd w:val="clear" w:color="auto" w:fill="auto"/>
            <w:vAlign w:val="bottom"/>
          </w:tcPr>
          <w:p w14:paraId="71D4A2B9" w14:textId="77777777" w:rsidR="006A3667" w:rsidRDefault="006A3667">
            <w:pPr>
              <w:rPr>
                <w:rFonts w:ascii="宋体"/>
                <w:vanish/>
              </w:rPr>
            </w:pPr>
          </w:p>
        </w:tc>
        <w:tc>
          <w:tcPr>
            <w:tcW w:w="0" w:type="auto"/>
            <w:gridSpan w:val="3"/>
            <w:shd w:val="clear" w:color="auto" w:fill="auto"/>
            <w:vAlign w:val="bottom"/>
          </w:tcPr>
          <w:p w14:paraId="71D4A2BA" w14:textId="77777777" w:rsidR="006A3667" w:rsidRDefault="006A3667">
            <w:pPr>
              <w:rPr>
                <w:rFonts w:ascii="宋体"/>
                <w:vanish/>
              </w:rPr>
            </w:pPr>
          </w:p>
        </w:tc>
        <w:tc>
          <w:tcPr>
            <w:tcW w:w="0" w:type="auto"/>
            <w:gridSpan w:val="3"/>
            <w:shd w:val="clear" w:color="auto" w:fill="auto"/>
            <w:vAlign w:val="bottom"/>
          </w:tcPr>
          <w:p w14:paraId="71D4A2BB" w14:textId="77777777" w:rsidR="006A3667" w:rsidRDefault="006A3667">
            <w:pPr>
              <w:rPr>
                <w:rFonts w:ascii="宋体"/>
                <w:vanish/>
              </w:rPr>
            </w:pPr>
          </w:p>
        </w:tc>
        <w:tc>
          <w:tcPr>
            <w:tcW w:w="0" w:type="auto"/>
            <w:gridSpan w:val="3"/>
            <w:shd w:val="clear" w:color="auto" w:fill="auto"/>
            <w:vAlign w:val="bottom"/>
          </w:tcPr>
          <w:p w14:paraId="71D4A2BC" w14:textId="77777777" w:rsidR="006A3667" w:rsidRDefault="006A3667">
            <w:pPr>
              <w:rPr>
                <w:rFonts w:ascii="宋体"/>
                <w:vanish/>
              </w:rPr>
            </w:pPr>
          </w:p>
        </w:tc>
        <w:tc>
          <w:tcPr>
            <w:tcW w:w="0" w:type="auto"/>
            <w:gridSpan w:val="3"/>
            <w:shd w:val="clear" w:color="auto" w:fill="auto"/>
            <w:vAlign w:val="bottom"/>
          </w:tcPr>
          <w:p w14:paraId="71D4A2BD" w14:textId="77777777" w:rsidR="006A3667" w:rsidRDefault="006A3667">
            <w:pPr>
              <w:rPr>
                <w:rFonts w:ascii="宋体"/>
                <w:vanish/>
              </w:rPr>
            </w:pPr>
          </w:p>
        </w:tc>
        <w:tc>
          <w:tcPr>
            <w:tcW w:w="0" w:type="auto"/>
            <w:gridSpan w:val="3"/>
            <w:shd w:val="clear" w:color="auto" w:fill="auto"/>
            <w:vAlign w:val="bottom"/>
          </w:tcPr>
          <w:p w14:paraId="71D4A2BE" w14:textId="77777777" w:rsidR="006A3667" w:rsidRDefault="006A3667">
            <w:pPr>
              <w:rPr>
                <w:rFonts w:ascii="宋体"/>
                <w:vanish/>
              </w:rPr>
            </w:pPr>
          </w:p>
        </w:tc>
        <w:tc>
          <w:tcPr>
            <w:tcW w:w="0" w:type="auto"/>
            <w:gridSpan w:val="3"/>
            <w:shd w:val="clear" w:color="auto" w:fill="auto"/>
            <w:vAlign w:val="bottom"/>
          </w:tcPr>
          <w:p w14:paraId="71D4A2BF" w14:textId="77777777" w:rsidR="006A3667" w:rsidRDefault="006A3667">
            <w:pPr>
              <w:rPr>
                <w:rFonts w:ascii="宋体"/>
                <w:vanish/>
              </w:rPr>
            </w:pPr>
          </w:p>
        </w:tc>
        <w:tc>
          <w:tcPr>
            <w:tcW w:w="0" w:type="auto"/>
            <w:gridSpan w:val="3"/>
            <w:shd w:val="clear" w:color="auto" w:fill="auto"/>
            <w:vAlign w:val="bottom"/>
          </w:tcPr>
          <w:p w14:paraId="71D4A2C0" w14:textId="77777777" w:rsidR="006A3667" w:rsidRDefault="006A3667">
            <w:pPr>
              <w:rPr>
                <w:rFonts w:ascii="宋体"/>
                <w:vanish/>
              </w:rPr>
            </w:pPr>
          </w:p>
        </w:tc>
        <w:tc>
          <w:tcPr>
            <w:tcW w:w="0" w:type="auto"/>
            <w:gridSpan w:val="3"/>
            <w:shd w:val="clear" w:color="auto" w:fill="auto"/>
            <w:vAlign w:val="bottom"/>
          </w:tcPr>
          <w:p w14:paraId="71D4A2C1" w14:textId="77777777" w:rsidR="006A3667" w:rsidRDefault="006A3667">
            <w:pPr>
              <w:rPr>
                <w:rFonts w:ascii="宋体"/>
                <w:vanish/>
              </w:rPr>
            </w:pPr>
          </w:p>
        </w:tc>
        <w:tc>
          <w:tcPr>
            <w:tcW w:w="0" w:type="auto"/>
            <w:gridSpan w:val="3"/>
            <w:shd w:val="clear" w:color="auto" w:fill="auto"/>
            <w:vAlign w:val="bottom"/>
          </w:tcPr>
          <w:p w14:paraId="71D4A2C2" w14:textId="77777777" w:rsidR="006A3667" w:rsidRDefault="006A3667">
            <w:pPr>
              <w:rPr>
                <w:rFonts w:ascii="宋体"/>
                <w:vanish/>
              </w:rPr>
            </w:pPr>
          </w:p>
        </w:tc>
        <w:tc>
          <w:tcPr>
            <w:tcW w:w="0" w:type="auto"/>
            <w:gridSpan w:val="3"/>
            <w:shd w:val="clear" w:color="auto" w:fill="auto"/>
            <w:vAlign w:val="bottom"/>
          </w:tcPr>
          <w:p w14:paraId="71D4A2C3" w14:textId="77777777" w:rsidR="006A3667" w:rsidRDefault="006A3667">
            <w:pPr>
              <w:rPr>
                <w:rFonts w:ascii="宋体"/>
                <w:vanish/>
              </w:rPr>
            </w:pPr>
          </w:p>
        </w:tc>
        <w:tc>
          <w:tcPr>
            <w:tcW w:w="0" w:type="auto"/>
            <w:gridSpan w:val="3"/>
            <w:shd w:val="clear" w:color="auto" w:fill="auto"/>
            <w:vAlign w:val="bottom"/>
          </w:tcPr>
          <w:p w14:paraId="71D4A2C4" w14:textId="77777777" w:rsidR="006A3667" w:rsidRDefault="006A3667">
            <w:pPr>
              <w:rPr>
                <w:rFonts w:ascii="宋体"/>
                <w:vanish/>
              </w:rPr>
            </w:pPr>
          </w:p>
        </w:tc>
        <w:tc>
          <w:tcPr>
            <w:tcW w:w="0" w:type="auto"/>
            <w:gridSpan w:val="3"/>
            <w:shd w:val="clear" w:color="auto" w:fill="auto"/>
            <w:vAlign w:val="bottom"/>
          </w:tcPr>
          <w:p w14:paraId="71D4A2C5" w14:textId="77777777" w:rsidR="006A3667" w:rsidRDefault="006A3667">
            <w:pPr>
              <w:rPr>
                <w:rFonts w:ascii="宋体"/>
                <w:vanish/>
              </w:rPr>
            </w:pPr>
          </w:p>
        </w:tc>
        <w:tc>
          <w:tcPr>
            <w:tcW w:w="0" w:type="auto"/>
            <w:gridSpan w:val="3"/>
            <w:shd w:val="clear" w:color="auto" w:fill="auto"/>
            <w:vAlign w:val="bottom"/>
          </w:tcPr>
          <w:p w14:paraId="71D4A2C6" w14:textId="77777777" w:rsidR="006A3667" w:rsidRDefault="006A3667">
            <w:pPr>
              <w:rPr>
                <w:rFonts w:ascii="宋体"/>
                <w:vanish/>
              </w:rPr>
            </w:pPr>
          </w:p>
        </w:tc>
      </w:tr>
      <w:tr w:rsidR="006A3667" w14:paraId="71D4A2DC" w14:textId="77777777">
        <w:trPr>
          <w:hidden/>
        </w:trPr>
        <w:tc>
          <w:tcPr>
            <w:tcW w:w="0" w:type="auto"/>
            <w:gridSpan w:val="3"/>
            <w:shd w:val="clear" w:color="auto" w:fill="auto"/>
            <w:vAlign w:val="bottom"/>
          </w:tcPr>
          <w:p w14:paraId="71D4A2C8" w14:textId="77777777" w:rsidR="006A3667" w:rsidRDefault="006A3667">
            <w:pPr>
              <w:rPr>
                <w:rFonts w:ascii="宋体"/>
                <w:vanish/>
              </w:rPr>
            </w:pPr>
          </w:p>
        </w:tc>
        <w:tc>
          <w:tcPr>
            <w:tcW w:w="0" w:type="auto"/>
            <w:gridSpan w:val="3"/>
            <w:shd w:val="clear" w:color="auto" w:fill="auto"/>
            <w:vAlign w:val="bottom"/>
          </w:tcPr>
          <w:p w14:paraId="71D4A2C9" w14:textId="77777777" w:rsidR="006A3667" w:rsidRDefault="006A3667">
            <w:pPr>
              <w:rPr>
                <w:rFonts w:ascii="宋体"/>
                <w:vanish/>
              </w:rPr>
            </w:pPr>
          </w:p>
        </w:tc>
        <w:tc>
          <w:tcPr>
            <w:tcW w:w="0" w:type="auto"/>
            <w:gridSpan w:val="3"/>
            <w:shd w:val="clear" w:color="auto" w:fill="auto"/>
            <w:vAlign w:val="bottom"/>
          </w:tcPr>
          <w:p w14:paraId="71D4A2CA" w14:textId="77777777" w:rsidR="006A3667" w:rsidRDefault="006A3667">
            <w:pPr>
              <w:rPr>
                <w:rFonts w:ascii="宋体"/>
                <w:vanish/>
              </w:rPr>
            </w:pPr>
          </w:p>
        </w:tc>
        <w:tc>
          <w:tcPr>
            <w:tcW w:w="0" w:type="auto"/>
            <w:gridSpan w:val="3"/>
            <w:shd w:val="clear" w:color="auto" w:fill="auto"/>
            <w:vAlign w:val="bottom"/>
          </w:tcPr>
          <w:p w14:paraId="71D4A2CB" w14:textId="77777777" w:rsidR="006A3667" w:rsidRDefault="006A3667">
            <w:pPr>
              <w:rPr>
                <w:rFonts w:ascii="宋体"/>
                <w:vanish/>
              </w:rPr>
            </w:pPr>
          </w:p>
        </w:tc>
        <w:tc>
          <w:tcPr>
            <w:tcW w:w="0" w:type="auto"/>
            <w:gridSpan w:val="3"/>
            <w:shd w:val="clear" w:color="auto" w:fill="auto"/>
            <w:vAlign w:val="bottom"/>
          </w:tcPr>
          <w:p w14:paraId="71D4A2CC" w14:textId="77777777" w:rsidR="006A3667" w:rsidRDefault="006A3667">
            <w:pPr>
              <w:rPr>
                <w:rFonts w:ascii="宋体"/>
                <w:vanish/>
              </w:rPr>
            </w:pPr>
          </w:p>
        </w:tc>
        <w:tc>
          <w:tcPr>
            <w:tcW w:w="0" w:type="auto"/>
            <w:gridSpan w:val="3"/>
            <w:shd w:val="clear" w:color="auto" w:fill="auto"/>
            <w:vAlign w:val="bottom"/>
          </w:tcPr>
          <w:p w14:paraId="71D4A2CD" w14:textId="77777777" w:rsidR="006A3667" w:rsidRDefault="006A3667">
            <w:pPr>
              <w:rPr>
                <w:rFonts w:ascii="宋体"/>
                <w:vanish/>
              </w:rPr>
            </w:pPr>
          </w:p>
        </w:tc>
        <w:tc>
          <w:tcPr>
            <w:tcW w:w="0" w:type="auto"/>
            <w:gridSpan w:val="3"/>
            <w:shd w:val="clear" w:color="auto" w:fill="auto"/>
            <w:vAlign w:val="bottom"/>
          </w:tcPr>
          <w:p w14:paraId="71D4A2CE" w14:textId="77777777" w:rsidR="006A3667" w:rsidRDefault="006A3667">
            <w:pPr>
              <w:rPr>
                <w:rFonts w:ascii="宋体"/>
                <w:vanish/>
              </w:rPr>
            </w:pPr>
          </w:p>
        </w:tc>
        <w:tc>
          <w:tcPr>
            <w:tcW w:w="0" w:type="auto"/>
            <w:gridSpan w:val="3"/>
            <w:shd w:val="clear" w:color="auto" w:fill="auto"/>
            <w:vAlign w:val="bottom"/>
          </w:tcPr>
          <w:p w14:paraId="71D4A2CF" w14:textId="77777777" w:rsidR="006A3667" w:rsidRDefault="006A3667">
            <w:pPr>
              <w:rPr>
                <w:rFonts w:ascii="宋体"/>
                <w:vanish/>
              </w:rPr>
            </w:pPr>
          </w:p>
        </w:tc>
        <w:tc>
          <w:tcPr>
            <w:tcW w:w="0" w:type="auto"/>
            <w:gridSpan w:val="3"/>
            <w:shd w:val="clear" w:color="auto" w:fill="auto"/>
            <w:vAlign w:val="bottom"/>
          </w:tcPr>
          <w:p w14:paraId="71D4A2D0" w14:textId="77777777" w:rsidR="006A3667" w:rsidRDefault="006A3667">
            <w:pPr>
              <w:rPr>
                <w:rFonts w:ascii="宋体"/>
                <w:vanish/>
              </w:rPr>
            </w:pPr>
          </w:p>
        </w:tc>
        <w:tc>
          <w:tcPr>
            <w:tcW w:w="0" w:type="auto"/>
            <w:gridSpan w:val="3"/>
            <w:shd w:val="clear" w:color="auto" w:fill="auto"/>
            <w:vAlign w:val="bottom"/>
          </w:tcPr>
          <w:p w14:paraId="71D4A2D1" w14:textId="77777777" w:rsidR="006A3667" w:rsidRDefault="006A3667">
            <w:pPr>
              <w:rPr>
                <w:rFonts w:ascii="宋体"/>
                <w:vanish/>
              </w:rPr>
            </w:pPr>
          </w:p>
        </w:tc>
        <w:tc>
          <w:tcPr>
            <w:tcW w:w="0" w:type="auto"/>
            <w:gridSpan w:val="3"/>
            <w:shd w:val="clear" w:color="auto" w:fill="auto"/>
            <w:vAlign w:val="bottom"/>
          </w:tcPr>
          <w:p w14:paraId="71D4A2D2" w14:textId="77777777" w:rsidR="006A3667" w:rsidRDefault="006A3667">
            <w:pPr>
              <w:rPr>
                <w:rFonts w:ascii="宋体"/>
                <w:vanish/>
              </w:rPr>
            </w:pPr>
          </w:p>
        </w:tc>
        <w:tc>
          <w:tcPr>
            <w:tcW w:w="0" w:type="auto"/>
            <w:gridSpan w:val="3"/>
            <w:shd w:val="clear" w:color="auto" w:fill="auto"/>
            <w:vAlign w:val="bottom"/>
          </w:tcPr>
          <w:p w14:paraId="71D4A2D3" w14:textId="77777777" w:rsidR="006A3667" w:rsidRDefault="006A3667">
            <w:pPr>
              <w:rPr>
                <w:rFonts w:ascii="宋体"/>
                <w:vanish/>
              </w:rPr>
            </w:pPr>
          </w:p>
        </w:tc>
        <w:tc>
          <w:tcPr>
            <w:tcW w:w="0" w:type="auto"/>
            <w:gridSpan w:val="3"/>
            <w:shd w:val="clear" w:color="auto" w:fill="auto"/>
            <w:vAlign w:val="bottom"/>
          </w:tcPr>
          <w:p w14:paraId="71D4A2D4" w14:textId="77777777" w:rsidR="006A3667" w:rsidRDefault="006A3667">
            <w:pPr>
              <w:rPr>
                <w:rFonts w:ascii="宋体"/>
                <w:vanish/>
              </w:rPr>
            </w:pPr>
          </w:p>
        </w:tc>
        <w:tc>
          <w:tcPr>
            <w:tcW w:w="0" w:type="auto"/>
            <w:gridSpan w:val="3"/>
            <w:shd w:val="clear" w:color="auto" w:fill="auto"/>
            <w:vAlign w:val="bottom"/>
          </w:tcPr>
          <w:p w14:paraId="71D4A2D5" w14:textId="77777777" w:rsidR="006A3667" w:rsidRDefault="006A3667">
            <w:pPr>
              <w:rPr>
                <w:rFonts w:ascii="宋体"/>
                <w:vanish/>
              </w:rPr>
            </w:pPr>
          </w:p>
        </w:tc>
        <w:tc>
          <w:tcPr>
            <w:tcW w:w="0" w:type="auto"/>
            <w:gridSpan w:val="3"/>
            <w:shd w:val="clear" w:color="auto" w:fill="auto"/>
            <w:vAlign w:val="bottom"/>
          </w:tcPr>
          <w:p w14:paraId="71D4A2D6" w14:textId="77777777" w:rsidR="006A3667" w:rsidRDefault="006A3667">
            <w:pPr>
              <w:rPr>
                <w:rFonts w:ascii="宋体"/>
                <w:vanish/>
              </w:rPr>
            </w:pPr>
          </w:p>
        </w:tc>
        <w:tc>
          <w:tcPr>
            <w:tcW w:w="0" w:type="auto"/>
            <w:gridSpan w:val="3"/>
            <w:shd w:val="clear" w:color="auto" w:fill="auto"/>
            <w:vAlign w:val="bottom"/>
          </w:tcPr>
          <w:p w14:paraId="71D4A2D7" w14:textId="77777777" w:rsidR="006A3667" w:rsidRDefault="006A3667">
            <w:pPr>
              <w:rPr>
                <w:rFonts w:ascii="宋体"/>
                <w:vanish/>
              </w:rPr>
            </w:pPr>
          </w:p>
        </w:tc>
        <w:tc>
          <w:tcPr>
            <w:tcW w:w="0" w:type="auto"/>
            <w:gridSpan w:val="3"/>
            <w:shd w:val="clear" w:color="auto" w:fill="auto"/>
            <w:vAlign w:val="bottom"/>
          </w:tcPr>
          <w:p w14:paraId="71D4A2D8" w14:textId="77777777" w:rsidR="006A3667" w:rsidRDefault="006A3667">
            <w:pPr>
              <w:rPr>
                <w:rFonts w:ascii="宋体"/>
                <w:vanish/>
              </w:rPr>
            </w:pPr>
          </w:p>
        </w:tc>
        <w:tc>
          <w:tcPr>
            <w:tcW w:w="0" w:type="auto"/>
            <w:gridSpan w:val="3"/>
            <w:shd w:val="clear" w:color="auto" w:fill="auto"/>
            <w:vAlign w:val="bottom"/>
          </w:tcPr>
          <w:p w14:paraId="71D4A2D9" w14:textId="77777777" w:rsidR="006A3667" w:rsidRDefault="006A3667">
            <w:pPr>
              <w:rPr>
                <w:rFonts w:ascii="宋体"/>
                <w:vanish/>
              </w:rPr>
            </w:pPr>
          </w:p>
        </w:tc>
        <w:tc>
          <w:tcPr>
            <w:tcW w:w="0" w:type="auto"/>
            <w:gridSpan w:val="3"/>
            <w:shd w:val="clear" w:color="auto" w:fill="auto"/>
            <w:vAlign w:val="bottom"/>
          </w:tcPr>
          <w:p w14:paraId="71D4A2DA" w14:textId="77777777" w:rsidR="006A3667" w:rsidRDefault="006A3667">
            <w:pPr>
              <w:rPr>
                <w:rFonts w:ascii="宋体"/>
                <w:vanish/>
              </w:rPr>
            </w:pPr>
          </w:p>
        </w:tc>
        <w:tc>
          <w:tcPr>
            <w:tcW w:w="0" w:type="auto"/>
            <w:gridSpan w:val="3"/>
            <w:shd w:val="clear" w:color="auto" w:fill="auto"/>
            <w:vAlign w:val="bottom"/>
          </w:tcPr>
          <w:p w14:paraId="71D4A2DB" w14:textId="77777777" w:rsidR="006A3667" w:rsidRDefault="006A3667">
            <w:pPr>
              <w:rPr>
                <w:rFonts w:ascii="宋体"/>
                <w:vanish/>
              </w:rPr>
            </w:pPr>
          </w:p>
        </w:tc>
      </w:tr>
      <w:tr w:rsidR="006A3667" w14:paraId="71D4A2F1" w14:textId="77777777">
        <w:trPr>
          <w:hidden/>
        </w:trPr>
        <w:tc>
          <w:tcPr>
            <w:tcW w:w="0" w:type="auto"/>
            <w:gridSpan w:val="3"/>
            <w:shd w:val="clear" w:color="auto" w:fill="auto"/>
            <w:vAlign w:val="bottom"/>
          </w:tcPr>
          <w:p w14:paraId="71D4A2DD" w14:textId="77777777" w:rsidR="006A3667" w:rsidRDefault="006A3667">
            <w:pPr>
              <w:rPr>
                <w:rFonts w:ascii="宋体"/>
                <w:vanish/>
              </w:rPr>
            </w:pPr>
          </w:p>
        </w:tc>
        <w:tc>
          <w:tcPr>
            <w:tcW w:w="0" w:type="auto"/>
            <w:gridSpan w:val="3"/>
            <w:shd w:val="clear" w:color="auto" w:fill="auto"/>
            <w:vAlign w:val="bottom"/>
          </w:tcPr>
          <w:p w14:paraId="71D4A2DE" w14:textId="77777777" w:rsidR="006A3667" w:rsidRDefault="006A3667">
            <w:pPr>
              <w:rPr>
                <w:rFonts w:ascii="宋体"/>
                <w:vanish/>
              </w:rPr>
            </w:pPr>
          </w:p>
        </w:tc>
        <w:tc>
          <w:tcPr>
            <w:tcW w:w="0" w:type="auto"/>
            <w:gridSpan w:val="3"/>
            <w:shd w:val="clear" w:color="auto" w:fill="auto"/>
            <w:vAlign w:val="bottom"/>
          </w:tcPr>
          <w:p w14:paraId="71D4A2DF" w14:textId="77777777" w:rsidR="006A3667" w:rsidRDefault="006A3667">
            <w:pPr>
              <w:rPr>
                <w:rFonts w:ascii="宋体"/>
                <w:vanish/>
              </w:rPr>
            </w:pPr>
          </w:p>
        </w:tc>
        <w:tc>
          <w:tcPr>
            <w:tcW w:w="0" w:type="auto"/>
            <w:gridSpan w:val="3"/>
            <w:shd w:val="clear" w:color="auto" w:fill="auto"/>
            <w:vAlign w:val="bottom"/>
          </w:tcPr>
          <w:p w14:paraId="71D4A2E0" w14:textId="77777777" w:rsidR="006A3667" w:rsidRDefault="006A3667">
            <w:pPr>
              <w:rPr>
                <w:rFonts w:ascii="宋体"/>
                <w:vanish/>
              </w:rPr>
            </w:pPr>
          </w:p>
        </w:tc>
        <w:tc>
          <w:tcPr>
            <w:tcW w:w="0" w:type="auto"/>
            <w:gridSpan w:val="3"/>
            <w:shd w:val="clear" w:color="auto" w:fill="auto"/>
            <w:vAlign w:val="bottom"/>
          </w:tcPr>
          <w:p w14:paraId="71D4A2E1" w14:textId="77777777" w:rsidR="006A3667" w:rsidRDefault="006A3667">
            <w:pPr>
              <w:rPr>
                <w:rFonts w:ascii="宋体"/>
                <w:vanish/>
              </w:rPr>
            </w:pPr>
          </w:p>
        </w:tc>
        <w:tc>
          <w:tcPr>
            <w:tcW w:w="0" w:type="auto"/>
            <w:gridSpan w:val="3"/>
            <w:shd w:val="clear" w:color="auto" w:fill="auto"/>
            <w:vAlign w:val="bottom"/>
          </w:tcPr>
          <w:p w14:paraId="71D4A2E2" w14:textId="77777777" w:rsidR="006A3667" w:rsidRDefault="006A3667">
            <w:pPr>
              <w:rPr>
                <w:rFonts w:ascii="宋体"/>
                <w:vanish/>
              </w:rPr>
            </w:pPr>
          </w:p>
        </w:tc>
        <w:tc>
          <w:tcPr>
            <w:tcW w:w="0" w:type="auto"/>
            <w:gridSpan w:val="3"/>
            <w:shd w:val="clear" w:color="auto" w:fill="auto"/>
            <w:vAlign w:val="bottom"/>
          </w:tcPr>
          <w:p w14:paraId="71D4A2E3" w14:textId="77777777" w:rsidR="006A3667" w:rsidRDefault="006A3667">
            <w:pPr>
              <w:rPr>
                <w:rFonts w:ascii="宋体"/>
                <w:vanish/>
              </w:rPr>
            </w:pPr>
          </w:p>
        </w:tc>
        <w:tc>
          <w:tcPr>
            <w:tcW w:w="0" w:type="auto"/>
            <w:gridSpan w:val="3"/>
            <w:shd w:val="clear" w:color="auto" w:fill="auto"/>
            <w:vAlign w:val="bottom"/>
          </w:tcPr>
          <w:p w14:paraId="71D4A2E4" w14:textId="77777777" w:rsidR="006A3667" w:rsidRDefault="006A3667">
            <w:pPr>
              <w:rPr>
                <w:rFonts w:ascii="宋体"/>
                <w:vanish/>
              </w:rPr>
            </w:pPr>
          </w:p>
        </w:tc>
        <w:tc>
          <w:tcPr>
            <w:tcW w:w="0" w:type="auto"/>
            <w:gridSpan w:val="3"/>
            <w:shd w:val="clear" w:color="auto" w:fill="auto"/>
            <w:vAlign w:val="bottom"/>
          </w:tcPr>
          <w:p w14:paraId="71D4A2E5" w14:textId="77777777" w:rsidR="006A3667" w:rsidRDefault="006A3667">
            <w:pPr>
              <w:rPr>
                <w:rFonts w:ascii="宋体"/>
                <w:vanish/>
              </w:rPr>
            </w:pPr>
          </w:p>
        </w:tc>
        <w:tc>
          <w:tcPr>
            <w:tcW w:w="0" w:type="auto"/>
            <w:gridSpan w:val="3"/>
            <w:shd w:val="clear" w:color="auto" w:fill="auto"/>
            <w:vAlign w:val="bottom"/>
          </w:tcPr>
          <w:p w14:paraId="71D4A2E6" w14:textId="77777777" w:rsidR="006A3667" w:rsidRDefault="006A3667">
            <w:pPr>
              <w:rPr>
                <w:rFonts w:ascii="宋体"/>
                <w:vanish/>
              </w:rPr>
            </w:pPr>
          </w:p>
        </w:tc>
        <w:tc>
          <w:tcPr>
            <w:tcW w:w="0" w:type="auto"/>
            <w:gridSpan w:val="3"/>
            <w:shd w:val="clear" w:color="auto" w:fill="auto"/>
            <w:vAlign w:val="bottom"/>
          </w:tcPr>
          <w:p w14:paraId="71D4A2E7" w14:textId="77777777" w:rsidR="006A3667" w:rsidRDefault="006A3667">
            <w:pPr>
              <w:rPr>
                <w:rFonts w:ascii="宋体"/>
                <w:vanish/>
              </w:rPr>
            </w:pPr>
          </w:p>
        </w:tc>
        <w:tc>
          <w:tcPr>
            <w:tcW w:w="0" w:type="auto"/>
            <w:gridSpan w:val="3"/>
            <w:shd w:val="clear" w:color="auto" w:fill="auto"/>
            <w:vAlign w:val="bottom"/>
          </w:tcPr>
          <w:p w14:paraId="71D4A2E8" w14:textId="77777777" w:rsidR="006A3667" w:rsidRDefault="006A3667">
            <w:pPr>
              <w:rPr>
                <w:rFonts w:ascii="宋体"/>
                <w:vanish/>
              </w:rPr>
            </w:pPr>
          </w:p>
        </w:tc>
        <w:tc>
          <w:tcPr>
            <w:tcW w:w="0" w:type="auto"/>
            <w:gridSpan w:val="3"/>
            <w:shd w:val="clear" w:color="auto" w:fill="auto"/>
            <w:vAlign w:val="bottom"/>
          </w:tcPr>
          <w:p w14:paraId="71D4A2E9" w14:textId="77777777" w:rsidR="006A3667" w:rsidRDefault="006A3667">
            <w:pPr>
              <w:rPr>
                <w:rFonts w:ascii="宋体"/>
                <w:vanish/>
              </w:rPr>
            </w:pPr>
          </w:p>
        </w:tc>
        <w:tc>
          <w:tcPr>
            <w:tcW w:w="0" w:type="auto"/>
            <w:gridSpan w:val="3"/>
            <w:shd w:val="clear" w:color="auto" w:fill="auto"/>
            <w:vAlign w:val="bottom"/>
          </w:tcPr>
          <w:p w14:paraId="71D4A2EA" w14:textId="77777777" w:rsidR="006A3667" w:rsidRDefault="006A3667">
            <w:pPr>
              <w:rPr>
                <w:rFonts w:ascii="宋体"/>
                <w:vanish/>
              </w:rPr>
            </w:pPr>
          </w:p>
        </w:tc>
        <w:tc>
          <w:tcPr>
            <w:tcW w:w="0" w:type="auto"/>
            <w:gridSpan w:val="3"/>
            <w:shd w:val="clear" w:color="auto" w:fill="auto"/>
            <w:vAlign w:val="bottom"/>
          </w:tcPr>
          <w:p w14:paraId="71D4A2EB" w14:textId="77777777" w:rsidR="006A3667" w:rsidRDefault="006A3667">
            <w:pPr>
              <w:rPr>
                <w:rFonts w:ascii="宋体"/>
                <w:vanish/>
              </w:rPr>
            </w:pPr>
          </w:p>
        </w:tc>
        <w:tc>
          <w:tcPr>
            <w:tcW w:w="0" w:type="auto"/>
            <w:gridSpan w:val="3"/>
            <w:shd w:val="clear" w:color="auto" w:fill="auto"/>
            <w:vAlign w:val="bottom"/>
          </w:tcPr>
          <w:p w14:paraId="71D4A2EC" w14:textId="77777777" w:rsidR="006A3667" w:rsidRDefault="006A3667">
            <w:pPr>
              <w:rPr>
                <w:rFonts w:ascii="宋体"/>
                <w:vanish/>
              </w:rPr>
            </w:pPr>
          </w:p>
        </w:tc>
        <w:tc>
          <w:tcPr>
            <w:tcW w:w="0" w:type="auto"/>
            <w:gridSpan w:val="3"/>
            <w:shd w:val="clear" w:color="auto" w:fill="auto"/>
            <w:vAlign w:val="bottom"/>
          </w:tcPr>
          <w:p w14:paraId="71D4A2ED" w14:textId="77777777" w:rsidR="006A3667" w:rsidRDefault="006A3667">
            <w:pPr>
              <w:rPr>
                <w:rFonts w:ascii="宋体"/>
                <w:vanish/>
              </w:rPr>
            </w:pPr>
          </w:p>
        </w:tc>
        <w:tc>
          <w:tcPr>
            <w:tcW w:w="0" w:type="auto"/>
            <w:gridSpan w:val="3"/>
            <w:shd w:val="clear" w:color="auto" w:fill="auto"/>
            <w:vAlign w:val="bottom"/>
          </w:tcPr>
          <w:p w14:paraId="71D4A2EE" w14:textId="77777777" w:rsidR="006A3667" w:rsidRDefault="006A3667">
            <w:pPr>
              <w:rPr>
                <w:rFonts w:ascii="宋体"/>
                <w:vanish/>
              </w:rPr>
            </w:pPr>
          </w:p>
        </w:tc>
        <w:tc>
          <w:tcPr>
            <w:tcW w:w="0" w:type="auto"/>
            <w:gridSpan w:val="3"/>
            <w:shd w:val="clear" w:color="auto" w:fill="auto"/>
            <w:vAlign w:val="bottom"/>
          </w:tcPr>
          <w:p w14:paraId="71D4A2EF" w14:textId="77777777" w:rsidR="006A3667" w:rsidRDefault="006A3667">
            <w:pPr>
              <w:rPr>
                <w:rFonts w:ascii="宋体"/>
                <w:vanish/>
              </w:rPr>
            </w:pPr>
          </w:p>
        </w:tc>
        <w:tc>
          <w:tcPr>
            <w:tcW w:w="0" w:type="auto"/>
            <w:gridSpan w:val="3"/>
            <w:shd w:val="clear" w:color="auto" w:fill="auto"/>
            <w:vAlign w:val="bottom"/>
          </w:tcPr>
          <w:p w14:paraId="71D4A2F0" w14:textId="77777777" w:rsidR="006A3667" w:rsidRDefault="006A3667">
            <w:pPr>
              <w:rPr>
                <w:rFonts w:ascii="宋体"/>
                <w:vanish/>
              </w:rPr>
            </w:pPr>
          </w:p>
        </w:tc>
      </w:tr>
      <w:tr w:rsidR="006A3667" w14:paraId="71D4A306" w14:textId="77777777">
        <w:trPr>
          <w:hidden/>
        </w:trPr>
        <w:tc>
          <w:tcPr>
            <w:tcW w:w="0" w:type="auto"/>
            <w:gridSpan w:val="3"/>
            <w:shd w:val="clear" w:color="auto" w:fill="auto"/>
            <w:vAlign w:val="bottom"/>
          </w:tcPr>
          <w:p w14:paraId="71D4A2F2" w14:textId="77777777" w:rsidR="006A3667" w:rsidRDefault="006A3667">
            <w:pPr>
              <w:rPr>
                <w:rFonts w:ascii="宋体"/>
                <w:vanish/>
              </w:rPr>
            </w:pPr>
          </w:p>
        </w:tc>
        <w:tc>
          <w:tcPr>
            <w:tcW w:w="0" w:type="auto"/>
            <w:gridSpan w:val="3"/>
            <w:shd w:val="clear" w:color="auto" w:fill="auto"/>
            <w:vAlign w:val="bottom"/>
          </w:tcPr>
          <w:p w14:paraId="71D4A2F3" w14:textId="77777777" w:rsidR="006A3667" w:rsidRDefault="006A3667">
            <w:pPr>
              <w:rPr>
                <w:rFonts w:ascii="宋体"/>
                <w:vanish/>
              </w:rPr>
            </w:pPr>
          </w:p>
        </w:tc>
        <w:tc>
          <w:tcPr>
            <w:tcW w:w="0" w:type="auto"/>
            <w:gridSpan w:val="3"/>
            <w:shd w:val="clear" w:color="auto" w:fill="auto"/>
            <w:vAlign w:val="bottom"/>
          </w:tcPr>
          <w:p w14:paraId="71D4A2F4" w14:textId="77777777" w:rsidR="006A3667" w:rsidRDefault="006A3667">
            <w:pPr>
              <w:rPr>
                <w:rFonts w:ascii="宋体"/>
                <w:vanish/>
              </w:rPr>
            </w:pPr>
          </w:p>
        </w:tc>
        <w:tc>
          <w:tcPr>
            <w:tcW w:w="0" w:type="auto"/>
            <w:gridSpan w:val="3"/>
            <w:shd w:val="clear" w:color="auto" w:fill="auto"/>
            <w:vAlign w:val="bottom"/>
          </w:tcPr>
          <w:p w14:paraId="71D4A2F5" w14:textId="77777777" w:rsidR="006A3667" w:rsidRDefault="006A3667">
            <w:pPr>
              <w:rPr>
                <w:rFonts w:ascii="宋体"/>
                <w:vanish/>
              </w:rPr>
            </w:pPr>
          </w:p>
        </w:tc>
        <w:tc>
          <w:tcPr>
            <w:tcW w:w="0" w:type="auto"/>
            <w:gridSpan w:val="3"/>
            <w:shd w:val="clear" w:color="auto" w:fill="auto"/>
            <w:vAlign w:val="bottom"/>
          </w:tcPr>
          <w:p w14:paraId="71D4A2F6" w14:textId="77777777" w:rsidR="006A3667" w:rsidRDefault="006A3667">
            <w:pPr>
              <w:rPr>
                <w:rFonts w:ascii="宋体"/>
                <w:vanish/>
              </w:rPr>
            </w:pPr>
          </w:p>
        </w:tc>
        <w:tc>
          <w:tcPr>
            <w:tcW w:w="0" w:type="auto"/>
            <w:gridSpan w:val="3"/>
            <w:shd w:val="clear" w:color="auto" w:fill="auto"/>
            <w:vAlign w:val="bottom"/>
          </w:tcPr>
          <w:p w14:paraId="71D4A2F7" w14:textId="77777777" w:rsidR="006A3667" w:rsidRDefault="006A3667">
            <w:pPr>
              <w:rPr>
                <w:rFonts w:ascii="宋体"/>
                <w:vanish/>
              </w:rPr>
            </w:pPr>
          </w:p>
        </w:tc>
        <w:tc>
          <w:tcPr>
            <w:tcW w:w="0" w:type="auto"/>
            <w:gridSpan w:val="3"/>
            <w:shd w:val="clear" w:color="auto" w:fill="auto"/>
            <w:vAlign w:val="bottom"/>
          </w:tcPr>
          <w:p w14:paraId="71D4A2F8" w14:textId="77777777" w:rsidR="006A3667" w:rsidRDefault="006A3667">
            <w:pPr>
              <w:rPr>
                <w:rFonts w:ascii="宋体"/>
                <w:vanish/>
              </w:rPr>
            </w:pPr>
          </w:p>
        </w:tc>
        <w:tc>
          <w:tcPr>
            <w:tcW w:w="0" w:type="auto"/>
            <w:gridSpan w:val="3"/>
            <w:shd w:val="clear" w:color="auto" w:fill="auto"/>
            <w:vAlign w:val="bottom"/>
          </w:tcPr>
          <w:p w14:paraId="71D4A2F9" w14:textId="77777777" w:rsidR="006A3667" w:rsidRDefault="006A3667">
            <w:pPr>
              <w:rPr>
                <w:rFonts w:ascii="宋体"/>
                <w:vanish/>
              </w:rPr>
            </w:pPr>
          </w:p>
        </w:tc>
        <w:tc>
          <w:tcPr>
            <w:tcW w:w="0" w:type="auto"/>
            <w:gridSpan w:val="3"/>
            <w:shd w:val="clear" w:color="auto" w:fill="auto"/>
            <w:vAlign w:val="bottom"/>
          </w:tcPr>
          <w:p w14:paraId="71D4A2FA" w14:textId="77777777" w:rsidR="006A3667" w:rsidRDefault="006A3667">
            <w:pPr>
              <w:rPr>
                <w:rFonts w:ascii="宋体"/>
                <w:vanish/>
              </w:rPr>
            </w:pPr>
          </w:p>
        </w:tc>
        <w:tc>
          <w:tcPr>
            <w:tcW w:w="0" w:type="auto"/>
            <w:gridSpan w:val="3"/>
            <w:shd w:val="clear" w:color="auto" w:fill="auto"/>
            <w:vAlign w:val="bottom"/>
          </w:tcPr>
          <w:p w14:paraId="71D4A2FB" w14:textId="77777777" w:rsidR="006A3667" w:rsidRDefault="006A3667">
            <w:pPr>
              <w:rPr>
                <w:rFonts w:ascii="宋体"/>
                <w:vanish/>
              </w:rPr>
            </w:pPr>
          </w:p>
        </w:tc>
        <w:tc>
          <w:tcPr>
            <w:tcW w:w="0" w:type="auto"/>
            <w:gridSpan w:val="3"/>
            <w:shd w:val="clear" w:color="auto" w:fill="auto"/>
            <w:vAlign w:val="bottom"/>
          </w:tcPr>
          <w:p w14:paraId="71D4A2FC" w14:textId="77777777" w:rsidR="006A3667" w:rsidRDefault="006A3667">
            <w:pPr>
              <w:rPr>
                <w:rFonts w:ascii="宋体"/>
                <w:vanish/>
              </w:rPr>
            </w:pPr>
          </w:p>
        </w:tc>
        <w:tc>
          <w:tcPr>
            <w:tcW w:w="0" w:type="auto"/>
            <w:gridSpan w:val="3"/>
            <w:shd w:val="clear" w:color="auto" w:fill="auto"/>
            <w:vAlign w:val="bottom"/>
          </w:tcPr>
          <w:p w14:paraId="71D4A2FD" w14:textId="77777777" w:rsidR="006A3667" w:rsidRDefault="006A3667">
            <w:pPr>
              <w:rPr>
                <w:rFonts w:ascii="宋体"/>
                <w:vanish/>
              </w:rPr>
            </w:pPr>
          </w:p>
        </w:tc>
        <w:tc>
          <w:tcPr>
            <w:tcW w:w="0" w:type="auto"/>
            <w:gridSpan w:val="3"/>
            <w:shd w:val="clear" w:color="auto" w:fill="auto"/>
            <w:vAlign w:val="bottom"/>
          </w:tcPr>
          <w:p w14:paraId="71D4A2FE" w14:textId="77777777" w:rsidR="006A3667" w:rsidRDefault="006A3667">
            <w:pPr>
              <w:rPr>
                <w:rFonts w:ascii="宋体"/>
                <w:vanish/>
              </w:rPr>
            </w:pPr>
          </w:p>
        </w:tc>
        <w:tc>
          <w:tcPr>
            <w:tcW w:w="0" w:type="auto"/>
            <w:gridSpan w:val="3"/>
            <w:shd w:val="clear" w:color="auto" w:fill="auto"/>
            <w:vAlign w:val="bottom"/>
          </w:tcPr>
          <w:p w14:paraId="71D4A2FF" w14:textId="77777777" w:rsidR="006A3667" w:rsidRDefault="006A3667">
            <w:pPr>
              <w:rPr>
                <w:rFonts w:ascii="宋体"/>
                <w:vanish/>
              </w:rPr>
            </w:pPr>
          </w:p>
        </w:tc>
        <w:tc>
          <w:tcPr>
            <w:tcW w:w="0" w:type="auto"/>
            <w:gridSpan w:val="3"/>
            <w:shd w:val="clear" w:color="auto" w:fill="auto"/>
            <w:vAlign w:val="bottom"/>
          </w:tcPr>
          <w:p w14:paraId="71D4A300" w14:textId="77777777" w:rsidR="006A3667" w:rsidRDefault="006A3667">
            <w:pPr>
              <w:rPr>
                <w:rFonts w:ascii="宋体"/>
                <w:vanish/>
              </w:rPr>
            </w:pPr>
          </w:p>
        </w:tc>
        <w:tc>
          <w:tcPr>
            <w:tcW w:w="0" w:type="auto"/>
            <w:gridSpan w:val="3"/>
            <w:shd w:val="clear" w:color="auto" w:fill="auto"/>
            <w:vAlign w:val="bottom"/>
          </w:tcPr>
          <w:p w14:paraId="71D4A301" w14:textId="77777777" w:rsidR="006A3667" w:rsidRDefault="006A3667">
            <w:pPr>
              <w:rPr>
                <w:rFonts w:ascii="宋体"/>
                <w:vanish/>
              </w:rPr>
            </w:pPr>
          </w:p>
        </w:tc>
        <w:tc>
          <w:tcPr>
            <w:tcW w:w="0" w:type="auto"/>
            <w:gridSpan w:val="3"/>
            <w:shd w:val="clear" w:color="auto" w:fill="auto"/>
            <w:vAlign w:val="bottom"/>
          </w:tcPr>
          <w:p w14:paraId="71D4A302" w14:textId="77777777" w:rsidR="006A3667" w:rsidRDefault="006A3667">
            <w:pPr>
              <w:rPr>
                <w:rFonts w:ascii="宋体"/>
                <w:vanish/>
              </w:rPr>
            </w:pPr>
          </w:p>
        </w:tc>
        <w:tc>
          <w:tcPr>
            <w:tcW w:w="0" w:type="auto"/>
            <w:gridSpan w:val="3"/>
            <w:shd w:val="clear" w:color="auto" w:fill="auto"/>
            <w:vAlign w:val="bottom"/>
          </w:tcPr>
          <w:p w14:paraId="71D4A303" w14:textId="77777777" w:rsidR="006A3667" w:rsidRDefault="006A3667">
            <w:pPr>
              <w:rPr>
                <w:rFonts w:ascii="宋体"/>
                <w:vanish/>
              </w:rPr>
            </w:pPr>
          </w:p>
        </w:tc>
        <w:tc>
          <w:tcPr>
            <w:tcW w:w="0" w:type="auto"/>
            <w:gridSpan w:val="3"/>
            <w:shd w:val="clear" w:color="auto" w:fill="auto"/>
            <w:vAlign w:val="bottom"/>
          </w:tcPr>
          <w:p w14:paraId="71D4A304" w14:textId="77777777" w:rsidR="006A3667" w:rsidRDefault="006A3667">
            <w:pPr>
              <w:rPr>
                <w:rFonts w:ascii="宋体"/>
                <w:vanish/>
              </w:rPr>
            </w:pPr>
          </w:p>
        </w:tc>
        <w:tc>
          <w:tcPr>
            <w:tcW w:w="0" w:type="auto"/>
            <w:gridSpan w:val="3"/>
            <w:shd w:val="clear" w:color="auto" w:fill="auto"/>
            <w:vAlign w:val="bottom"/>
          </w:tcPr>
          <w:p w14:paraId="71D4A305" w14:textId="77777777" w:rsidR="006A3667" w:rsidRDefault="006A3667">
            <w:pPr>
              <w:rPr>
                <w:rFonts w:ascii="宋体"/>
                <w:vanish/>
              </w:rPr>
            </w:pPr>
          </w:p>
        </w:tc>
      </w:tr>
      <w:tr w:rsidR="006A3667" w14:paraId="71D4A31B" w14:textId="77777777">
        <w:trPr>
          <w:hidden/>
        </w:trPr>
        <w:tc>
          <w:tcPr>
            <w:tcW w:w="0" w:type="auto"/>
            <w:gridSpan w:val="3"/>
            <w:shd w:val="clear" w:color="auto" w:fill="auto"/>
            <w:vAlign w:val="bottom"/>
          </w:tcPr>
          <w:p w14:paraId="71D4A307" w14:textId="77777777" w:rsidR="006A3667" w:rsidRDefault="006A3667">
            <w:pPr>
              <w:rPr>
                <w:rFonts w:ascii="宋体"/>
                <w:vanish/>
              </w:rPr>
            </w:pPr>
          </w:p>
        </w:tc>
        <w:tc>
          <w:tcPr>
            <w:tcW w:w="0" w:type="auto"/>
            <w:gridSpan w:val="3"/>
            <w:shd w:val="clear" w:color="auto" w:fill="auto"/>
            <w:vAlign w:val="bottom"/>
          </w:tcPr>
          <w:p w14:paraId="71D4A308" w14:textId="77777777" w:rsidR="006A3667" w:rsidRDefault="006A3667">
            <w:pPr>
              <w:rPr>
                <w:rFonts w:ascii="宋体"/>
                <w:vanish/>
              </w:rPr>
            </w:pPr>
          </w:p>
        </w:tc>
        <w:tc>
          <w:tcPr>
            <w:tcW w:w="0" w:type="auto"/>
            <w:gridSpan w:val="3"/>
            <w:shd w:val="clear" w:color="auto" w:fill="auto"/>
            <w:vAlign w:val="bottom"/>
          </w:tcPr>
          <w:p w14:paraId="71D4A309" w14:textId="77777777" w:rsidR="006A3667" w:rsidRDefault="006A3667">
            <w:pPr>
              <w:rPr>
                <w:rFonts w:ascii="宋体"/>
                <w:vanish/>
              </w:rPr>
            </w:pPr>
          </w:p>
        </w:tc>
        <w:tc>
          <w:tcPr>
            <w:tcW w:w="0" w:type="auto"/>
            <w:gridSpan w:val="3"/>
            <w:shd w:val="clear" w:color="auto" w:fill="auto"/>
            <w:vAlign w:val="bottom"/>
          </w:tcPr>
          <w:p w14:paraId="71D4A30A" w14:textId="77777777" w:rsidR="006A3667" w:rsidRDefault="006A3667">
            <w:pPr>
              <w:rPr>
                <w:rFonts w:ascii="宋体"/>
                <w:vanish/>
              </w:rPr>
            </w:pPr>
          </w:p>
        </w:tc>
        <w:tc>
          <w:tcPr>
            <w:tcW w:w="0" w:type="auto"/>
            <w:gridSpan w:val="3"/>
            <w:shd w:val="clear" w:color="auto" w:fill="auto"/>
            <w:vAlign w:val="bottom"/>
          </w:tcPr>
          <w:p w14:paraId="71D4A30B" w14:textId="77777777" w:rsidR="006A3667" w:rsidRDefault="006A3667">
            <w:pPr>
              <w:rPr>
                <w:rFonts w:ascii="宋体"/>
                <w:vanish/>
              </w:rPr>
            </w:pPr>
          </w:p>
        </w:tc>
        <w:tc>
          <w:tcPr>
            <w:tcW w:w="0" w:type="auto"/>
            <w:gridSpan w:val="3"/>
            <w:shd w:val="clear" w:color="auto" w:fill="auto"/>
            <w:vAlign w:val="bottom"/>
          </w:tcPr>
          <w:p w14:paraId="71D4A30C" w14:textId="77777777" w:rsidR="006A3667" w:rsidRDefault="006A3667">
            <w:pPr>
              <w:rPr>
                <w:rFonts w:ascii="宋体"/>
                <w:vanish/>
              </w:rPr>
            </w:pPr>
          </w:p>
        </w:tc>
        <w:tc>
          <w:tcPr>
            <w:tcW w:w="0" w:type="auto"/>
            <w:gridSpan w:val="3"/>
            <w:shd w:val="clear" w:color="auto" w:fill="auto"/>
            <w:vAlign w:val="bottom"/>
          </w:tcPr>
          <w:p w14:paraId="71D4A30D" w14:textId="77777777" w:rsidR="006A3667" w:rsidRDefault="006A3667">
            <w:pPr>
              <w:rPr>
                <w:rFonts w:ascii="宋体"/>
                <w:vanish/>
              </w:rPr>
            </w:pPr>
          </w:p>
        </w:tc>
        <w:tc>
          <w:tcPr>
            <w:tcW w:w="0" w:type="auto"/>
            <w:gridSpan w:val="3"/>
            <w:shd w:val="clear" w:color="auto" w:fill="auto"/>
            <w:vAlign w:val="bottom"/>
          </w:tcPr>
          <w:p w14:paraId="71D4A30E" w14:textId="77777777" w:rsidR="006A3667" w:rsidRDefault="006A3667">
            <w:pPr>
              <w:rPr>
                <w:rFonts w:ascii="宋体"/>
                <w:vanish/>
              </w:rPr>
            </w:pPr>
          </w:p>
        </w:tc>
        <w:tc>
          <w:tcPr>
            <w:tcW w:w="0" w:type="auto"/>
            <w:gridSpan w:val="3"/>
            <w:shd w:val="clear" w:color="auto" w:fill="auto"/>
            <w:vAlign w:val="bottom"/>
          </w:tcPr>
          <w:p w14:paraId="71D4A30F" w14:textId="77777777" w:rsidR="006A3667" w:rsidRDefault="006A3667">
            <w:pPr>
              <w:rPr>
                <w:rFonts w:ascii="宋体"/>
                <w:vanish/>
              </w:rPr>
            </w:pPr>
          </w:p>
        </w:tc>
        <w:tc>
          <w:tcPr>
            <w:tcW w:w="0" w:type="auto"/>
            <w:gridSpan w:val="3"/>
            <w:shd w:val="clear" w:color="auto" w:fill="auto"/>
            <w:vAlign w:val="bottom"/>
          </w:tcPr>
          <w:p w14:paraId="71D4A310" w14:textId="77777777" w:rsidR="006A3667" w:rsidRDefault="006A3667">
            <w:pPr>
              <w:rPr>
                <w:rFonts w:ascii="宋体"/>
                <w:vanish/>
              </w:rPr>
            </w:pPr>
          </w:p>
        </w:tc>
        <w:tc>
          <w:tcPr>
            <w:tcW w:w="0" w:type="auto"/>
            <w:gridSpan w:val="3"/>
            <w:shd w:val="clear" w:color="auto" w:fill="auto"/>
            <w:vAlign w:val="bottom"/>
          </w:tcPr>
          <w:p w14:paraId="71D4A311" w14:textId="77777777" w:rsidR="006A3667" w:rsidRDefault="006A3667">
            <w:pPr>
              <w:rPr>
                <w:rFonts w:ascii="宋体"/>
                <w:vanish/>
              </w:rPr>
            </w:pPr>
          </w:p>
        </w:tc>
        <w:tc>
          <w:tcPr>
            <w:tcW w:w="0" w:type="auto"/>
            <w:gridSpan w:val="3"/>
            <w:shd w:val="clear" w:color="auto" w:fill="auto"/>
            <w:vAlign w:val="bottom"/>
          </w:tcPr>
          <w:p w14:paraId="71D4A312" w14:textId="77777777" w:rsidR="006A3667" w:rsidRDefault="006A3667">
            <w:pPr>
              <w:rPr>
                <w:rFonts w:ascii="宋体"/>
                <w:vanish/>
              </w:rPr>
            </w:pPr>
          </w:p>
        </w:tc>
        <w:tc>
          <w:tcPr>
            <w:tcW w:w="0" w:type="auto"/>
            <w:gridSpan w:val="3"/>
            <w:shd w:val="clear" w:color="auto" w:fill="auto"/>
            <w:vAlign w:val="bottom"/>
          </w:tcPr>
          <w:p w14:paraId="71D4A313" w14:textId="77777777" w:rsidR="006A3667" w:rsidRDefault="006A3667">
            <w:pPr>
              <w:rPr>
                <w:rFonts w:ascii="宋体"/>
                <w:vanish/>
              </w:rPr>
            </w:pPr>
          </w:p>
        </w:tc>
        <w:tc>
          <w:tcPr>
            <w:tcW w:w="0" w:type="auto"/>
            <w:gridSpan w:val="3"/>
            <w:shd w:val="clear" w:color="auto" w:fill="auto"/>
            <w:vAlign w:val="bottom"/>
          </w:tcPr>
          <w:p w14:paraId="71D4A314" w14:textId="77777777" w:rsidR="006A3667" w:rsidRDefault="006A3667">
            <w:pPr>
              <w:rPr>
                <w:rFonts w:ascii="宋体"/>
                <w:vanish/>
              </w:rPr>
            </w:pPr>
          </w:p>
        </w:tc>
        <w:tc>
          <w:tcPr>
            <w:tcW w:w="0" w:type="auto"/>
            <w:gridSpan w:val="3"/>
            <w:shd w:val="clear" w:color="auto" w:fill="auto"/>
            <w:vAlign w:val="bottom"/>
          </w:tcPr>
          <w:p w14:paraId="71D4A315" w14:textId="77777777" w:rsidR="006A3667" w:rsidRDefault="006A3667">
            <w:pPr>
              <w:rPr>
                <w:rFonts w:ascii="宋体"/>
                <w:vanish/>
              </w:rPr>
            </w:pPr>
          </w:p>
        </w:tc>
        <w:tc>
          <w:tcPr>
            <w:tcW w:w="0" w:type="auto"/>
            <w:gridSpan w:val="3"/>
            <w:shd w:val="clear" w:color="auto" w:fill="auto"/>
            <w:vAlign w:val="bottom"/>
          </w:tcPr>
          <w:p w14:paraId="71D4A316" w14:textId="77777777" w:rsidR="006A3667" w:rsidRDefault="006A3667">
            <w:pPr>
              <w:rPr>
                <w:rFonts w:ascii="宋体"/>
                <w:vanish/>
              </w:rPr>
            </w:pPr>
          </w:p>
        </w:tc>
        <w:tc>
          <w:tcPr>
            <w:tcW w:w="0" w:type="auto"/>
            <w:gridSpan w:val="3"/>
            <w:shd w:val="clear" w:color="auto" w:fill="auto"/>
            <w:vAlign w:val="bottom"/>
          </w:tcPr>
          <w:p w14:paraId="71D4A317" w14:textId="77777777" w:rsidR="006A3667" w:rsidRDefault="006A3667">
            <w:pPr>
              <w:rPr>
                <w:rFonts w:ascii="宋体"/>
                <w:vanish/>
              </w:rPr>
            </w:pPr>
          </w:p>
        </w:tc>
        <w:tc>
          <w:tcPr>
            <w:tcW w:w="0" w:type="auto"/>
            <w:gridSpan w:val="3"/>
            <w:shd w:val="clear" w:color="auto" w:fill="auto"/>
            <w:vAlign w:val="bottom"/>
          </w:tcPr>
          <w:p w14:paraId="71D4A318" w14:textId="77777777" w:rsidR="006A3667" w:rsidRDefault="006A3667">
            <w:pPr>
              <w:rPr>
                <w:rFonts w:ascii="宋体"/>
                <w:vanish/>
              </w:rPr>
            </w:pPr>
          </w:p>
        </w:tc>
        <w:tc>
          <w:tcPr>
            <w:tcW w:w="0" w:type="auto"/>
            <w:gridSpan w:val="3"/>
            <w:shd w:val="clear" w:color="auto" w:fill="auto"/>
            <w:vAlign w:val="bottom"/>
          </w:tcPr>
          <w:p w14:paraId="71D4A319" w14:textId="77777777" w:rsidR="006A3667" w:rsidRDefault="006A3667">
            <w:pPr>
              <w:rPr>
                <w:rFonts w:ascii="宋体"/>
                <w:vanish/>
              </w:rPr>
            </w:pPr>
          </w:p>
        </w:tc>
        <w:tc>
          <w:tcPr>
            <w:tcW w:w="0" w:type="auto"/>
            <w:gridSpan w:val="3"/>
            <w:shd w:val="clear" w:color="auto" w:fill="auto"/>
            <w:vAlign w:val="bottom"/>
          </w:tcPr>
          <w:p w14:paraId="71D4A31A" w14:textId="77777777" w:rsidR="006A3667" w:rsidRDefault="006A3667">
            <w:pPr>
              <w:rPr>
                <w:rFonts w:ascii="宋体"/>
                <w:vanish/>
              </w:rPr>
            </w:pPr>
          </w:p>
        </w:tc>
      </w:tr>
      <w:tr w:rsidR="006A3667" w14:paraId="71D4A330" w14:textId="77777777">
        <w:trPr>
          <w:hidden/>
        </w:trPr>
        <w:tc>
          <w:tcPr>
            <w:tcW w:w="0" w:type="auto"/>
            <w:gridSpan w:val="3"/>
            <w:shd w:val="clear" w:color="auto" w:fill="auto"/>
            <w:vAlign w:val="bottom"/>
          </w:tcPr>
          <w:p w14:paraId="71D4A31C" w14:textId="77777777" w:rsidR="006A3667" w:rsidRDefault="006A3667">
            <w:pPr>
              <w:rPr>
                <w:rFonts w:ascii="宋体"/>
                <w:vanish/>
              </w:rPr>
            </w:pPr>
          </w:p>
        </w:tc>
        <w:tc>
          <w:tcPr>
            <w:tcW w:w="0" w:type="auto"/>
            <w:gridSpan w:val="3"/>
            <w:shd w:val="clear" w:color="auto" w:fill="auto"/>
            <w:vAlign w:val="bottom"/>
          </w:tcPr>
          <w:p w14:paraId="71D4A31D" w14:textId="77777777" w:rsidR="006A3667" w:rsidRDefault="006A3667">
            <w:pPr>
              <w:rPr>
                <w:rFonts w:ascii="宋体"/>
                <w:vanish/>
              </w:rPr>
            </w:pPr>
          </w:p>
        </w:tc>
        <w:tc>
          <w:tcPr>
            <w:tcW w:w="0" w:type="auto"/>
            <w:gridSpan w:val="3"/>
            <w:shd w:val="clear" w:color="auto" w:fill="auto"/>
            <w:vAlign w:val="bottom"/>
          </w:tcPr>
          <w:p w14:paraId="71D4A31E" w14:textId="77777777" w:rsidR="006A3667" w:rsidRDefault="006A3667">
            <w:pPr>
              <w:rPr>
                <w:rFonts w:ascii="宋体"/>
                <w:vanish/>
              </w:rPr>
            </w:pPr>
          </w:p>
        </w:tc>
        <w:tc>
          <w:tcPr>
            <w:tcW w:w="0" w:type="auto"/>
            <w:gridSpan w:val="3"/>
            <w:shd w:val="clear" w:color="auto" w:fill="auto"/>
            <w:vAlign w:val="bottom"/>
          </w:tcPr>
          <w:p w14:paraId="71D4A31F" w14:textId="77777777" w:rsidR="006A3667" w:rsidRDefault="006A3667">
            <w:pPr>
              <w:rPr>
                <w:rFonts w:ascii="宋体"/>
                <w:vanish/>
              </w:rPr>
            </w:pPr>
          </w:p>
        </w:tc>
        <w:tc>
          <w:tcPr>
            <w:tcW w:w="0" w:type="auto"/>
            <w:gridSpan w:val="3"/>
            <w:shd w:val="clear" w:color="auto" w:fill="auto"/>
            <w:vAlign w:val="bottom"/>
          </w:tcPr>
          <w:p w14:paraId="71D4A320" w14:textId="77777777" w:rsidR="006A3667" w:rsidRDefault="006A3667">
            <w:pPr>
              <w:rPr>
                <w:rFonts w:ascii="宋体"/>
                <w:vanish/>
              </w:rPr>
            </w:pPr>
          </w:p>
        </w:tc>
        <w:tc>
          <w:tcPr>
            <w:tcW w:w="0" w:type="auto"/>
            <w:gridSpan w:val="3"/>
            <w:shd w:val="clear" w:color="auto" w:fill="auto"/>
            <w:vAlign w:val="bottom"/>
          </w:tcPr>
          <w:p w14:paraId="71D4A321" w14:textId="77777777" w:rsidR="006A3667" w:rsidRDefault="006A3667">
            <w:pPr>
              <w:rPr>
                <w:rFonts w:ascii="宋体"/>
                <w:vanish/>
              </w:rPr>
            </w:pPr>
          </w:p>
        </w:tc>
        <w:tc>
          <w:tcPr>
            <w:tcW w:w="0" w:type="auto"/>
            <w:gridSpan w:val="3"/>
            <w:shd w:val="clear" w:color="auto" w:fill="auto"/>
            <w:vAlign w:val="bottom"/>
          </w:tcPr>
          <w:p w14:paraId="71D4A322" w14:textId="77777777" w:rsidR="006A3667" w:rsidRDefault="006A3667">
            <w:pPr>
              <w:rPr>
                <w:rFonts w:ascii="宋体"/>
                <w:vanish/>
              </w:rPr>
            </w:pPr>
          </w:p>
        </w:tc>
        <w:tc>
          <w:tcPr>
            <w:tcW w:w="0" w:type="auto"/>
            <w:gridSpan w:val="3"/>
            <w:shd w:val="clear" w:color="auto" w:fill="auto"/>
            <w:vAlign w:val="bottom"/>
          </w:tcPr>
          <w:p w14:paraId="71D4A323" w14:textId="77777777" w:rsidR="006A3667" w:rsidRDefault="006A3667">
            <w:pPr>
              <w:rPr>
                <w:rFonts w:ascii="宋体"/>
                <w:vanish/>
              </w:rPr>
            </w:pPr>
          </w:p>
        </w:tc>
        <w:tc>
          <w:tcPr>
            <w:tcW w:w="0" w:type="auto"/>
            <w:gridSpan w:val="3"/>
            <w:shd w:val="clear" w:color="auto" w:fill="auto"/>
            <w:vAlign w:val="bottom"/>
          </w:tcPr>
          <w:p w14:paraId="71D4A324" w14:textId="77777777" w:rsidR="006A3667" w:rsidRDefault="006A3667">
            <w:pPr>
              <w:rPr>
                <w:rFonts w:ascii="宋体"/>
                <w:vanish/>
              </w:rPr>
            </w:pPr>
          </w:p>
        </w:tc>
        <w:tc>
          <w:tcPr>
            <w:tcW w:w="0" w:type="auto"/>
            <w:gridSpan w:val="3"/>
            <w:shd w:val="clear" w:color="auto" w:fill="auto"/>
            <w:vAlign w:val="bottom"/>
          </w:tcPr>
          <w:p w14:paraId="71D4A325" w14:textId="77777777" w:rsidR="006A3667" w:rsidRDefault="006A3667">
            <w:pPr>
              <w:rPr>
                <w:rFonts w:ascii="宋体"/>
                <w:vanish/>
              </w:rPr>
            </w:pPr>
          </w:p>
        </w:tc>
        <w:tc>
          <w:tcPr>
            <w:tcW w:w="0" w:type="auto"/>
            <w:gridSpan w:val="3"/>
            <w:shd w:val="clear" w:color="auto" w:fill="auto"/>
            <w:vAlign w:val="bottom"/>
          </w:tcPr>
          <w:p w14:paraId="71D4A326" w14:textId="77777777" w:rsidR="006A3667" w:rsidRDefault="006A3667">
            <w:pPr>
              <w:rPr>
                <w:rFonts w:ascii="宋体"/>
                <w:vanish/>
              </w:rPr>
            </w:pPr>
          </w:p>
        </w:tc>
        <w:tc>
          <w:tcPr>
            <w:tcW w:w="0" w:type="auto"/>
            <w:gridSpan w:val="3"/>
            <w:shd w:val="clear" w:color="auto" w:fill="auto"/>
            <w:vAlign w:val="bottom"/>
          </w:tcPr>
          <w:p w14:paraId="71D4A327" w14:textId="77777777" w:rsidR="006A3667" w:rsidRDefault="006A3667">
            <w:pPr>
              <w:rPr>
                <w:rFonts w:ascii="宋体"/>
                <w:vanish/>
              </w:rPr>
            </w:pPr>
          </w:p>
        </w:tc>
        <w:tc>
          <w:tcPr>
            <w:tcW w:w="0" w:type="auto"/>
            <w:gridSpan w:val="3"/>
            <w:shd w:val="clear" w:color="auto" w:fill="auto"/>
            <w:vAlign w:val="bottom"/>
          </w:tcPr>
          <w:p w14:paraId="71D4A328" w14:textId="77777777" w:rsidR="006A3667" w:rsidRDefault="006A3667">
            <w:pPr>
              <w:rPr>
                <w:rFonts w:ascii="宋体"/>
                <w:vanish/>
              </w:rPr>
            </w:pPr>
          </w:p>
        </w:tc>
        <w:tc>
          <w:tcPr>
            <w:tcW w:w="0" w:type="auto"/>
            <w:gridSpan w:val="3"/>
            <w:shd w:val="clear" w:color="auto" w:fill="auto"/>
            <w:vAlign w:val="bottom"/>
          </w:tcPr>
          <w:p w14:paraId="71D4A329" w14:textId="77777777" w:rsidR="006A3667" w:rsidRDefault="006A3667">
            <w:pPr>
              <w:rPr>
                <w:rFonts w:ascii="宋体"/>
                <w:vanish/>
              </w:rPr>
            </w:pPr>
          </w:p>
        </w:tc>
        <w:tc>
          <w:tcPr>
            <w:tcW w:w="0" w:type="auto"/>
            <w:gridSpan w:val="3"/>
            <w:shd w:val="clear" w:color="auto" w:fill="auto"/>
            <w:vAlign w:val="bottom"/>
          </w:tcPr>
          <w:p w14:paraId="71D4A32A" w14:textId="77777777" w:rsidR="006A3667" w:rsidRDefault="006A3667">
            <w:pPr>
              <w:rPr>
                <w:rFonts w:ascii="宋体"/>
                <w:vanish/>
              </w:rPr>
            </w:pPr>
          </w:p>
        </w:tc>
        <w:tc>
          <w:tcPr>
            <w:tcW w:w="0" w:type="auto"/>
            <w:gridSpan w:val="3"/>
            <w:shd w:val="clear" w:color="auto" w:fill="auto"/>
            <w:vAlign w:val="bottom"/>
          </w:tcPr>
          <w:p w14:paraId="71D4A32B" w14:textId="77777777" w:rsidR="006A3667" w:rsidRDefault="006A3667">
            <w:pPr>
              <w:rPr>
                <w:rFonts w:ascii="宋体"/>
                <w:vanish/>
              </w:rPr>
            </w:pPr>
          </w:p>
        </w:tc>
        <w:tc>
          <w:tcPr>
            <w:tcW w:w="0" w:type="auto"/>
            <w:gridSpan w:val="3"/>
            <w:shd w:val="clear" w:color="auto" w:fill="auto"/>
            <w:vAlign w:val="bottom"/>
          </w:tcPr>
          <w:p w14:paraId="71D4A32C" w14:textId="77777777" w:rsidR="006A3667" w:rsidRDefault="006A3667">
            <w:pPr>
              <w:rPr>
                <w:rFonts w:ascii="宋体"/>
                <w:vanish/>
              </w:rPr>
            </w:pPr>
          </w:p>
        </w:tc>
        <w:tc>
          <w:tcPr>
            <w:tcW w:w="0" w:type="auto"/>
            <w:gridSpan w:val="3"/>
            <w:shd w:val="clear" w:color="auto" w:fill="auto"/>
            <w:vAlign w:val="bottom"/>
          </w:tcPr>
          <w:p w14:paraId="71D4A32D" w14:textId="77777777" w:rsidR="006A3667" w:rsidRDefault="006A3667">
            <w:pPr>
              <w:rPr>
                <w:rFonts w:ascii="宋体"/>
                <w:vanish/>
              </w:rPr>
            </w:pPr>
          </w:p>
        </w:tc>
        <w:tc>
          <w:tcPr>
            <w:tcW w:w="0" w:type="auto"/>
            <w:gridSpan w:val="3"/>
            <w:shd w:val="clear" w:color="auto" w:fill="auto"/>
            <w:vAlign w:val="bottom"/>
          </w:tcPr>
          <w:p w14:paraId="71D4A32E" w14:textId="77777777" w:rsidR="006A3667" w:rsidRDefault="006A3667">
            <w:pPr>
              <w:rPr>
                <w:rFonts w:ascii="宋体"/>
                <w:vanish/>
              </w:rPr>
            </w:pPr>
          </w:p>
        </w:tc>
        <w:tc>
          <w:tcPr>
            <w:tcW w:w="0" w:type="auto"/>
            <w:gridSpan w:val="3"/>
            <w:shd w:val="clear" w:color="auto" w:fill="auto"/>
            <w:vAlign w:val="bottom"/>
          </w:tcPr>
          <w:p w14:paraId="71D4A32F" w14:textId="77777777" w:rsidR="006A3667" w:rsidRDefault="006A3667">
            <w:pPr>
              <w:rPr>
                <w:rFonts w:ascii="宋体"/>
                <w:vanish/>
              </w:rPr>
            </w:pPr>
          </w:p>
        </w:tc>
      </w:tr>
      <w:tr w:rsidR="006A3667" w14:paraId="71D4A369" w14:textId="77777777">
        <w:trPr>
          <w:hidden/>
        </w:trPr>
        <w:tc>
          <w:tcPr>
            <w:tcW w:w="0" w:type="auto"/>
            <w:gridSpan w:val="3"/>
            <w:shd w:val="clear" w:color="auto" w:fill="auto"/>
            <w:vAlign w:val="bottom"/>
          </w:tcPr>
          <w:p w14:paraId="71D4A331" w14:textId="77777777" w:rsidR="006A3667" w:rsidRDefault="006A3667">
            <w:pPr>
              <w:rPr>
                <w:rFonts w:ascii="宋体"/>
                <w:vanish/>
              </w:rPr>
            </w:pPr>
          </w:p>
        </w:tc>
        <w:tc>
          <w:tcPr>
            <w:tcW w:w="0" w:type="auto"/>
            <w:gridSpan w:val="3"/>
            <w:shd w:val="clear" w:color="auto" w:fill="auto"/>
            <w:vAlign w:val="bottom"/>
          </w:tcPr>
          <w:p w14:paraId="71D4A332" w14:textId="77777777" w:rsidR="006A3667" w:rsidRDefault="006A3667">
            <w:pPr>
              <w:rPr>
                <w:rFonts w:ascii="宋体"/>
                <w:vanish/>
              </w:rPr>
            </w:pPr>
          </w:p>
        </w:tc>
        <w:tc>
          <w:tcPr>
            <w:tcW w:w="0" w:type="auto"/>
            <w:shd w:val="clear" w:color="auto" w:fill="auto"/>
            <w:vAlign w:val="bottom"/>
          </w:tcPr>
          <w:p w14:paraId="71D4A333" w14:textId="77777777" w:rsidR="006A3667" w:rsidRDefault="006A3667">
            <w:pPr>
              <w:rPr>
                <w:rFonts w:ascii="宋体"/>
              </w:rPr>
            </w:pPr>
          </w:p>
        </w:tc>
        <w:tc>
          <w:tcPr>
            <w:tcW w:w="0" w:type="auto"/>
            <w:shd w:val="clear" w:color="auto" w:fill="auto"/>
            <w:vAlign w:val="bottom"/>
          </w:tcPr>
          <w:p w14:paraId="71D4A334" w14:textId="77777777" w:rsidR="006A3667" w:rsidRDefault="006A3667">
            <w:pPr>
              <w:rPr>
                <w:rFonts w:ascii="宋体"/>
              </w:rPr>
            </w:pPr>
          </w:p>
        </w:tc>
        <w:tc>
          <w:tcPr>
            <w:tcW w:w="0" w:type="auto"/>
            <w:shd w:val="clear" w:color="auto" w:fill="auto"/>
            <w:vAlign w:val="bottom"/>
          </w:tcPr>
          <w:p w14:paraId="71D4A335" w14:textId="77777777" w:rsidR="006A3667" w:rsidRDefault="006A3667">
            <w:pPr>
              <w:rPr>
                <w:rFonts w:ascii="宋体"/>
              </w:rPr>
            </w:pPr>
          </w:p>
        </w:tc>
        <w:tc>
          <w:tcPr>
            <w:tcW w:w="0" w:type="auto"/>
            <w:shd w:val="clear" w:color="auto" w:fill="auto"/>
            <w:vAlign w:val="bottom"/>
          </w:tcPr>
          <w:p w14:paraId="71D4A336" w14:textId="77777777" w:rsidR="006A3667" w:rsidRDefault="006A3667">
            <w:pPr>
              <w:rPr>
                <w:rFonts w:ascii="宋体"/>
              </w:rPr>
            </w:pPr>
          </w:p>
        </w:tc>
        <w:tc>
          <w:tcPr>
            <w:tcW w:w="0" w:type="auto"/>
            <w:shd w:val="clear" w:color="auto" w:fill="auto"/>
            <w:vAlign w:val="bottom"/>
          </w:tcPr>
          <w:p w14:paraId="71D4A337" w14:textId="77777777" w:rsidR="006A3667" w:rsidRDefault="006A3667">
            <w:pPr>
              <w:rPr>
                <w:rFonts w:ascii="宋体"/>
              </w:rPr>
            </w:pPr>
          </w:p>
        </w:tc>
        <w:tc>
          <w:tcPr>
            <w:tcW w:w="0" w:type="auto"/>
            <w:shd w:val="clear" w:color="auto" w:fill="auto"/>
            <w:vAlign w:val="bottom"/>
          </w:tcPr>
          <w:p w14:paraId="71D4A338" w14:textId="77777777" w:rsidR="006A3667" w:rsidRDefault="006A3667">
            <w:pPr>
              <w:rPr>
                <w:rFonts w:ascii="宋体"/>
              </w:rPr>
            </w:pPr>
          </w:p>
        </w:tc>
        <w:tc>
          <w:tcPr>
            <w:tcW w:w="0" w:type="auto"/>
            <w:shd w:val="clear" w:color="auto" w:fill="auto"/>
            <w:vAlign w:val="bottom"/>
          </w:tcPr>
          <w:p w14:paraId="71D4A339" w14:textId="77777777" w:rsidR="006A3667" w:rsidRDefault="006A3667">
            <w:pPr>
              <w:rPr>
                <w:rFonts w:ascii="宋体"/>
              </w:rPr>
            </w:pPr>
          </w:p>
        </w:tc>
        <w:tc>
          <w:tcPr>
            <w:tcW w:w="0" w:type="auto"/>
            <w:shd w:val="clear" w:color="auto" w:fill="auto"/>
            <w:vAlign w:val="bottom"/>
          </w:tcPr>
          <w:p w14:paraId="71D4A33A" w14:textId="77777777" w:rsidR="006A3667" w:rsidRDefault="006A3667">
            <w:pPr>
              <w:rPr>
                <w:rFonts w:ascii="宋体"/>
              </w:rPr>
            </w:pPr>
          </w:p>
        </w:tc>
        <w:tc>
          <w:tcPr>
            <w:tcW w:w="0" w:type="auto"/>
            <w:shd w:val="clear" w:color="auto" w:fill="auto"/>
            <w:vAlign w:val="bottom"/>
          </w:tcPr>
          <w:p w14:paraId="71D4A33B" w14:textId="77777777" w:rsidR="006A3667" w:rsidRDefault="006A3667">
            <w:pPr>
              <w:rPr>
                <w:rFonts w:ascii="宋体"/>
              </w:rPr>
            </w:pPr>
          </w:p>
        </w:tc>
        <w:tc>
          <w:tcPr>
            <w:tcW w:w="0" w:type="auto"/>
            <w:shd w:val="clear" w:color="auto" w:fill="auto"/>
            <w:vAlign w:val="bottom"/>
          </w:tcPr>
          <w:p w14:paraId="71D4A33C" w14:textId="77777777" w:rsidR="006A3667" w:rsidRDefault="006A3667">
            <w:pPr>
              <w:rPr>
                <w:rFonts w:ascii="宋体"/>
              </w:rPr>
            </w:pPr>
          </w:p>
        </w:tc>
        <w:tc>
          <w:tcPr>
            <w:tcW w:w="0" w:type="auto"/>
            <w:shd w:val="clear" w:color="auto" w:fill="auto"/>
            <w:vAlign w:val="bottom"/>
          </w:tcPr>
          <w:p w14:paraId="71D4A33D" w14:textId="77777777" w:rsidR="006A3667" w:rsidRDefault="006A3667">
            <w:pPr>
              <w:rPr>
                <w:rFonts w:ascii="宋体"/>
              </w:rPr>
            </w:pPr>
          </w:p>
        </w:tc>
        <w:tc>
          <w:tcPr>
            <w:tcW w:w="0" w:type="auto"/>
            <w:shd w:val="clear" w:color="auto" w:fill="auto"/>
            <w:vAlign w:val="bottom"/>
          </w:tcPr>
          <w:p w14:paraId="71D4A33E" w14:textId="77777777" w:rsidR="006A3667" w:rsidRDefault="006A3667">
            <w:pPr>
              <w:rPr>
                <w:rFonts w:ascii="宋体"/>
              </w:rPr>
            </w:pPr>
          </w:p>
        </w:tc>
        <w:tc>
          <w:tcPr>
            <w:tcW w:w="0" w:type="auto"/>
            <w:shd w:val="clear" w:color="auto" w:fill="auto"/>
            <w:vAlign w:val="bottom"/>
          </w:tcPr>
          <w:p w14:paraId="71D4A33F" w14:textId="77777777" w:rsidR="006A3667" w:rsidRDefault="006A3667">
            <w:pPr>
              <w:rPr>
                <w:rFonts w:ascii="宋体"/>
              </w:rPr>
            </w:pPr>
          </w:p>
        </w:tc>
        <w:tc>
          <w:tcPr>
            <w:tcW w:w="0" w:type="auto"/>
            <w:shd w:val="clear" w:color="auto" w:fill="auto"/>
            <w:vAlign w:val="bottom"/>
          </w:tcPr>
          <w:p w14:paraId="71D4A340" w14:textId="77777777" w:rsidR="006A3667" w:rsidRDefault="006A3667">
            <w:pPr>
              <w:rPr>
                <w:rFonts w:ascii="宋体"/>
              </w:rPr>
            </w:pPr>
          </w:p>
        </w:tc>
        <w:tc>
          <w:tcPr>
            <w:tcW w:w="0" w:type="auto"/>
            <w:shd w:val="clear" w:color="auto" w:fill="auto"/>
            <w:vAlign w:val="bottom"/>
          </w:tcPr>
          <w:p w14:paraId="71D4A341" w14:textId="77777777" w:rsidR="006A3667" w:rsidRDefault="006A3667">
            <w:pPr>
              <w:rPr>
                <w:rFonts w:ascii="宋体"/>
              </w:rPr>
            </w:pPr>
          </w:p>
        </w:tc>
        <w:tc>
          <w:tcPr>
            <w:tcW w:w="0" w:type="auto"/>
            <w:shd w:val="clear" w:color="auto" w:fill="auto"/>
            <w:vAlign w:val="bottom"/>
          </w:tcPr>
          <w:p w14:paraId="71D4A342" w14:textId="77777777" w:rsidR="006A3667" w:rsidRDefault="006A3667">
            <w:pPr>
              <w:rPr>
                <w:rFonts w:ascii="宋体"/>
              </w:rPr>
            </w:pPr>
          </w:p>
        </w:tc>
        <w:tc>
          <w:tcPr>
            <w:tcW w:w="0" w:type="auto"/>
            <w:shd w:val="clear" w:color="auto" w:fill="auto"/>
            <w:vAlign w:val="bottom"/>
          </w:tcPr>
          <w:p w14:paraId="71D4A343" w14:textId="77777777" w:rsidR="006A3667" w:rsidRDefault="006A3667">
            <w:pPr>
              <w:rPr>
                <w:rFonts w:ascii="宋体"/>
              </w:rPr>
            </w:pPr>
          </w:p>
        </w:tc>
        <w:tc>
          <w:tcPr>
            <w:tcW w:w="0" w:type="auto"/>
            <w:shd w:val="clear" w:color="auto" w:fill="auto"/>
            <w:vAlign w:val="bottom"/>
          </w:tcPr>
          <w:p w14:paraId="71D4A344" w14:textId="77777777" w:rsidR="006A3667" w:rsidRDefault="006A3667">
            <w:pPr>
              <w:rPr>
                <w:rFonts w:ascii="宋体"/>
              </w:rPr>
            </w:pPr>
          </w:p>
        </w:tc>
        <w:tc>
          <w:tcPr>
            <w:tcW w:w="0" w:type="auto"/>
            <w:shd w:val="clear" w:color="auto" w:fill="auto"/>
            <w:vAlign w:val="bottom"/>
          </w:tcPr>
          <w:p w14:paraId="71D4A345" w14:textId="77777777" w:rsidR="006A3667" w:rsidRDefault="006A3667">
            <w:pPr>
              <w:rPr>
                <w:rFonts w:ascii="宋体"/>
              </w:rPr>
            </w:pPr>
          </w:p>
        </w:tc>
        <w:tc>
          <w:tcPr>
            <w:tcW w:w="0" w:type="auto"/>
            <w:shd w:val="clear" w:color="auto" w:fill="auto"/>
            <w:vAlign w:val="bottom"/>
          </w:tcPr>
          <w:p w14:paraId="71D4A346" w14:textId="77777777" w:rsidR="006A3667" w:rsidRDefault="006A3667">
            <w:pPr>
              <w:rPr>
                <w:rFonts w:ascii="宋体"/>
              </w:rPr>
            </w:pPr>
          </w:p>
        </w:tc>
        <w:tc>
          <w:tcPr>
            <w:tcW w:w="0" w:type="auto"/>
            <w:shd w:val="clear" w:color="auto" w:fill="auto"/>
            <w:vAlign w:val="bottom"/>
          </w:tcPr>
          <w:p w14:paraId="71D4A347" w14:textId="77777777" w:rsidR="006A3667" w:rsidRDefault="006A3667">
            <w:pPr>
              <w:rPr>
                <w:rFonts w:ascii="宋体"/>
              </w:rPr>
            </w:pPr>
          </w:p>
        </w:tc>
        <w:tc>
          <w:tcPr>
            <w:tcW w:w="0" w:type="auto"/>
            <w:shd w:val="clear" w:color="auto" w:fill="auto"/>
            <w:vAlign w:val="bottom"/>
          </w:tcPr>
          <w:p w14:paraId="71D4A348" w14:textId="77777777" w:rsidR="006A3667" w:rsidRDefault="006A3667">
            <w:pPr>
              <w:rPr>
                <w:rFonts w:ascii="宋体"/>
              </w:rPr>
            </w:pPr>
          </w:p>
        </w:tc>
        <w:tc>
          <w:tcPr>
            <w:tcW w:w="0" w:type="auto"/>
            <w:shd w:val="clear" w:color="auto" w:fill="auto"/>
            <w:vAlign w:val="bottom"/>
          </w:tcPr>
          <w:p w14:paraId="71D4A349" w14:textId="77777777" w:rsidR="006A3667" w:rsidRDefault="006A3667">
            <w:pPr>
              <w:rPr>
                <w:rFonts w:ascii="宋体"/>
              </w:rPr>
            </w:pPr>
          </w:p>
        </w:tc>
        <w:tc>
          <w:tcPr>
            <w:tcW w:w="0" w:type="auto"/>
            <w:shd w:val="clear" w:color="auto" w:fill="auto"/>
            <w:vAlign w:val="bottom"/>
          </w:tcPr>
          <w:p w14:paraId="71D4A34A" w14:textId="77777777" w:rsidR="006A3667" w:rsidRDefault="006A3667">
            <w:pPr>
              <w:rPr>
                <w:rFonts w:ascii="宋体"/>
              </w:rPr>
            </w:pPr>
          </w:p>
        </w:tc>
        <w:tc>
          <w:tcPr>
            <w:tcW w:w="0" w:type="auto"/>
            <w:shd w:val="clear" w:color="auto" w:fill="auto"/>
            <w:vAlign w:val="bottom"/>
          </w:tcPr>
          <w:p w14:paraId="71D4A34B" w14:textId="77777777" w:rsidR="006A3667" w:rsidRDefault="006A3667">
            <w:pPr>
              <w:rPr>
                <w:rFonts w:ascii="宋体"/>
              </w:rPr>
            </w:pPr>
          </w:p>
        </w:tc>
        <w:tc>
          <w:tcPr>
            <w:tcW w:w="0" w:type="auto"/>
            <w:shd w:val="clear" w:color="auto" w:fill="auto"/>
            <w:vAlign w:val="bottom"/>
          </w:tcPr>
          <w:p w14:paraId="71D4A34C" w14:textId="77777777" w:rsidR="006A3667" w:rsidRDefault="006A3667">
            <w:pPr>
              <w:rPr>
                <w:rFonts w:ascii="宋体"/>
              </w:rPr>
            </w:pPr>
          </w:p>
        </w:tc>
        <w:tc>
          <w:tcPr>
            <w:tcW w:w="0" w:type="auto"/>
            <w:shd w:val="clear" w:color="auto" w:fill="auto"/>
            <w:vAlign w:val="bottom"/>
          </w:tcPr>
          <w:p w14:paraId="71D4A34D" w14:textId="77777777" w:rsidR="006A3667" w:rsidRDefault="006A3667">
            <w:pPr>
              <w:rPr>
                <w:rFonts w:ascii="宋体"/>
              </w:rPr>
            </w:pPr>
          </w:p>
        </w:tc>
        <w:tc>
          <w:tcPr>
            <w:tcW w:w="0" w:type="auto"/>
            <w:shd w:val="clear" w:color="auto" w:fill="auto"/>
            <w:vAlign w:val="bottom"/>
          </w:tcPr>
          <w:p w14:paraId="71D4A34E" w14:textId="77777777" w:rsidR="006A3667" w:rsidRDefault="006A3667">
            <w:pPr>
              <w:rPr>
                <w:rFonts w:ascii="宋体"/>
              </w:rPr>
            </w:pPr>
          </w:p>
        </w:tc>
        <w:tc>
          <w:tcPr>
            <w:tcW w:w="0" w:type="auto"/>
            <w:shd w:val="clear" w:color="auto" w:fill="auto"/>
            <w:vAlign w:val="bottom"/>
          </w:tcPr>
          <w:p w14:paraId="71D4A34F" w14:textId="77777777" w:rsidR="006A3667" w:rsidRDefault="006A3667">
            <w:pPr>
              <w:rPr>
                <w:rFonts w:ascii="宋体"/>
              </w:rPr>
            </w:pPr>
          </w:p>
        </w:tc>
        <w:tc>
          <w:tcPr>
            <w:tcW w:w="0" w:type="auto"/>
            <w:shd w:val="clear" w:color="auto" w:fill="auto"/>
            <w:vAlign w:val="bottom"/>
          </w:tcPr>
          <w:p w14:paraId="71D4A350" w14:textId="77777777" w:rsidR="006A3667" w:rsidRDefault="006A3667">
            <w:pPr>
              <w:rPr>
                <w:rFonts w:ascii="宋体"/>
              </w:rPr>
            </w:pPr>
          </w:p>
        </w:tc>
        <w:tc>
          <w:tcPr>
            <w:tcW w:w="0" w:type="auto"/>
            <w:shd w:val="clear" w:color="auto" w:fill="auto"/>
            <w:vAlign w:val="bottom"/>
          </w:tcPr>
          <w:p w14:paraId="71D4A351" w14:textId="77777777" w:rsidR="006A3667" w:rsidRDefault="006A3667">
            <w:pPr>
              <w:rPr>
                <w:rFonts w:ascii="宋体"/>
              </w:rPr>
            </w:pPr>
          </w:p>
        </w:tc>
        <w:tc>
          <w:tcPr>
            <w:tcW w:w="0" w:type="auto"/>
            <w:shd w:val="clear" w:color="auto" w:fill="auto"/>
            <w:vAlign w:val="bottom"/>
          </w:tcPr>
          <w:p w14:paraId="71D4A352" w14:textId="77777777" w:rsidR="006A3667" w:rsidRDefault="006A3667">
            <w:pPr>
              <w:rPr>
                <w:rFonts w:ascii="宋体"/>
              </w:rPr>
            </w:pPr>
          </w:p>
        </w:tc>
        <w:tc>
          <w:tcPr>
            <w:tcW w:w="0" w:type="auto"/>
            <w:shd w:val="clear" w:color="auto" w:fill="auto"/>
            <w:vAlign w:val="bottom"/>
          </w:tcPr>
          <w:p w14:paraId="71D4A353" w14:textId="77777777" w:rsidR="006A3667" w:rsidRDefault="006A3667">
            <w:pPr>
              <w:rPr>
                <w:rFonts w:ascii="宋体"/>
              </w:rPr>
            </w:pPr>
          </w:p>
        </w:tc>
        <w:tc>
          <w:tcPr>
            <w:tcW w:w="0" w:type="auto"/>
            <w:shd w:val="clear" w:color="auto" w:fill="auto"/>
            <w:vAlign w:val="bottom"/>
          </w:tcPr>
          <w:p w14:paraId="71D4A354" w14:textId="77777777" w:rsidR="006A3667" w:rsidRDefault="006A3667">
            <w:pPr>
              <w:rPr>
                <w:rFonts w:ascii="宋体"/>
              </w:rPr>
            </w:pPr>
          </w:p>
        </w:tc>
        <w:tc>
          <w:tcPr>
            <w:tcW w:w="0" w:type="auto"/>
            <w:shd w:val="clear" w:color="auto" w:fill="auto"/>
            <w:vAlign w:val="bottom"/>
          </w:tcPr>
          <w:p w14:paraId="71D4A355" w14:textId="77777777" w:rsidR="006A3667" w:rsidRDefault="006A3667">
            <w:pPr>
              <w:rPr>
                <w:rFonts w:ascii="宋体"/>
              </w:rPr>
            </w:pPr>
          </w:p>
        </w:tc>
        <w:tc>
          <w:tcPr>
            <w:tcW w:w="0" w:type="auto"/>
            <w:shd w:val="clear" w:color="auto" w:fill="auto"/>
            <w:vAlign w:val="bottom"/>
          </w:tcPr>
          <w:p w14:paraId="71D4A356" w14:textId="77777777" w:rsidR="006A3667" w:rsidRDefault="006A3667">
            <w:pPr>
              <w:rPr>
                <w:rFonts w:ascii="宋体"/>
              </w:rPr>
            </w:pPr>
          </w:p>
        </w:tc>
        <w:tc>
          <w:tcPr>
            <w:tcW w:w="0" w:type="auto"/>
            <w:shd w:val="clear" w:color="auto" w:fill="auto"/>
            <w:vAlign w:val="bottom"/>
          </w:tcPr>
          <w:p w14:paraId="71D4A357" w14:textId="77777777" w:rsidR="006A3667" w:rsidRDefault="006A3667">
            <w:pPr>
              <w:rPr>
                <w:rFonts w:ascii="宋体"/>
              </w:rPr>
            </w:pPr>
          </w:p>
        </w:tc>
        <w:tc>
          <w:tcPr>
            <w:tcW w:w="0" w:type="auto"/>
            <w:shd w:val="clear" w:color="auto" w:fill="auto"/>
            <w:vAlign w:val="bottom"/>
          </w:tcPr>
          <w:p w14:paraId="71D4A358" w14:textId="77777777" w:rsidR="006A3667" w:rsidRDefault="006A3667">
            <w:pPr>
              <w:rPr>
                <w:rFonts w:ascii="宋体"/>
              </w:rPr>
            </w:pPr>
          </w:p>
        </w:tc>
        <w:tc>
          <w:tcPr>
            <w:tcW w:w="0" w:type="auto"/>
            <w:shd w:val="clear" w:color="auto" w:fill="auto"/>
            <w:vAlign w:val="bottom"/>
          </w:tcPr>
          <w:p w14:paraId="71D4A359" w14:textId="77777777" w:rsidR="006A3667" w:rsidRDefault="006A3667">
            <w:pPr>
              <w:rPr>
                <w:rFonts w:ascii="宋体"/>
              </w:rPr>
            </w:pPr>
          </w:p>
        </w:tc>
        <w:tc>
          <w:tcPr>
            <w:tcW w:w="0" w:type="auto"/>
            <w:shd w:val="clear" w:color="auto" w:fill="auto"/>
            <w:vAlign w:val="bottom"/>
          </w:tcPr>
          <w:p w14:paraId="71D4A35A" w14:textId="77777777" w:rsidR="006A3667" w:rsidRDefault="006A3667">
            <w:pPr>
              <w:rPr>
                <w:rFonts w:ascii="宋体"/>
              </w:rPr>
            </w:pPr>
          </w:p>
        </w:tc>
        <w:tc>
          <w:tcPr>
            <w:tcW w:w="0" w:type="auto"/>
            <w:shd w:val="clear" w:color="auto" w:fill="auto"/>
            <w:vAlign w:val="bottom"/>
          </w:tcPr>
          <w:p w14:paraId="71D4A35B" w14:textId="77777777" w:rsidR="006A3667" w:rsidRDefault="006A3667">
            <w:pPr>
              <w:rPr>
                <w:rFonts w:ascii="宋体"/>
              </w:rPr>
            </w:pPr>
          </w:p>
        </w:tc>
        <w:tc>
          <w:tcPr>
            <w:tcW w:w="0" w:type="auto"/>
            <w:shd w:val="clear" w:color="auto" w:fill="auto"/>
            <w:vAlign w:val="bottom"/>
          </w:tcPr>
          <w:p w14:paraId="71D4A35C" w14:textId="77777777" w:rsidR="006A3667" w:rsidRDefault="006A3667">
            <w:pPr>
              <w:rPr>
                <w:rFonts w:ascii="宋体"/>
              </w:rPr>
            </w:pPr>
          </w:p>
        </w:tc>
        <w:tc>
          <w:tcPr>
            <w:tcW w:w="0" w:type="auto"/>
            <w:shd w:val="clear" w:color="auto" w:fill="auto"/>
            <w:vAlign w:val="bottom"/>
          </w:tcPr>
          <w:p w14:paraId="71D4A35D" w14:textId="77777777" w:rsidR="006A3667" w:rsidRDefault="006A3667">
            <w:pPr>
              <w:rPr>
                <w:rFonts w:ascii="宋体"/>
              </w:rPr>
            </w:pPr>
          </w:p>
        </w:tc>
        <w:tc>
          <w:tcPr>
            <w:tcW w:w="0" w:type="auto"/>
            <w:shd w:val="clear" w:color="auto" w:fill="auto"/>
            <w:vAlign w:val="bottom"/>
          </w:tcPr>
          <w:p w14:paraId="71D4A35E" w14:textId="77777777" w:rsidR="006A3667" w:rsidRDefault="006A3667">
            <w:pPr>
              <w:rPr>
                <w:rFonts w:ascii="宋体"/>
              </w:rPr>
            </w:pPr>
          </w:p>
        </w:tc>
        <w:tc>
          <w:tcPr>
            <w:tcW w:w="0" w:type="auto"/>
            <w:shd w:val="clear" w:color="auto" w:fill="auto"/>
            <w:vAlign w:val="bottom"/>
          </w:tcPr>
          <w:p w14:paraId="71D4A35F" w14:textId="77777777" w:rsidR="006A3667" w:rsidRDefault="006A3667">
            <w:pPr>
              <w:rPr>
                <w:rFonts w:ascii="宋体"/>
              </w:rPr>
            </w:pPr>
          </w:p>
        </w:tc>
        <w:tc>
          <w:tcPr>
            <w:tcW w:w="0" w:type="auto"/>
            <w:shd w:val="clear" w:color="auto" w:fill="auto"/>
            <w:vAlign w:val="bottom"/>
          </w:tcPr>
          <w:p w14:paraId="71D4A360" w14:textId="77777777" w:rsidR="006A3667" w:rsidRDefault="006A3667">
            <w:pPr>
              <w:rPr>
                <w:rFonts w:ascii="宋体"/>
              </w:rPr>
            </w:pPr>
          </w:p>
        </w:tc>
        <w:tc>
          <w:tcPr>
            <w:tcW w:w="0" w:type="auto"/>
            <w:shd w:val="clear" w:color="auto" w:fill="auto"/>
            <w:vAlign w:val="bottom"/>
          </w:tcPr>
          <w:p w14:paraId="71D4A361" w14:textId="77777777" w:rsidR="006A3667" w:rsidRDefault="006A3667">
            <w:pPr>
              <w:rPr>
                <w:rFonts w:ascii="宋体"/>
              </w:rPr>
            </w:pPr>
          </w:p>
        </w:tc>
        <w:tc>
          <w:tcPr>
            <w:tcW w:w="0" w:type="auto"/>
            <w:shd w:val="clear" w:color="auto" w:fill="auto"/>
            <w:vAlign w:val="bottom"/>
          </w:tcPr>
          <w:p w14:paraId="71D4A362" w14:textId="77777777" w:rsidR="006A3667" w:rsidRDefault="006A3667">
            <w:pPr>
              <w:rPr>
                <w:rFonts w:ascii="宋体"/>
              </w:rPr>
            </w:pPr>
          </w:p>
        </w:tc>
        <w:tc>
          <w:tcPr>
            <w:tcW w:w="0" w:type="auto"/>
            <w:shd w:val="clear" w:color="auto" w:fill="auto"/>
            <w:vAlign w:val="bottom"/>
          </w:tcPr>
          <w:p w14:paraId="71D4A363" w14:textId="77777777" w:rsidR="006A3667" w:rsidRDefault="006A3667">
            <w:pPr>
              <w:rPr>
                <w:rFonts w:ascii="宋体"/>
              </w:rPr>
            </w:pPr>
          </w:p>
        </w:tc>
        <w:tc>
          <w:tcPr>
            <w:tcW w:w="0" w:type="auto"/>
            <w:shd w:val="clear" w:color="auto" w:fill="auto"/>
            <w:vAlign w:val="bottom"/>
          </w:tcPr>
          <w:p w14:paraId="71D4A364" w14:textId="77777777" w:rsidR="006A3667" w:rsidRDefault="006A3667">
            <w:pPr>
              <w:rPr>
                <w:rFonts w:ascii="宋体"/>
              </w:rPr>
            </w:pPr>
          </w:p>
        </w:tc>
        <w:tc>
          <w:tcPr>
            <w:tcW w:w="0" w:type="auto"/>
            <w:shd w:val="clear" w:color="auto" w:fill="auto"/>
            <w:vAlign w:val="bottom"/>
          </w:tcPr>
          <w:p w14:paraId="71D4A365" w14:textId="77777777" w:rsidR="006A3667" w:rsidRDefault="006A3667">
            <w:pPr>
              <w:rPr>
                <w:rFonts w:ascii="宋体"/>
              </w:rPr>
            </w:pPr>
          </w:p>
        </w:tc>
        <w:tc>
          <w:tcPr>
            <w:tcW w:w="0" w:type="auto"/>
            <w:shd w:val="clear" w:color="auto" w:fill="auto"/>
            <w:vAlign w:val="bottom"/>
          </w:tcPr>
          <w:p w14:paraId="71D4A366" w14:textId="77777777" w:rsidR="006A3667" w:rsidRDefault="006A3667">
            <w:pPr>
              <w:rPr>
                <w:rFonts w:ascii="宋体"/>
              </w:rPr>
            </w:pPr>
          </w:p>
        </w:tc>
        <w:tc>
          <w:tcPr>
            <w:tcW w:w="0" w:type="auto"/>
            <w:shd w:val="clear" w:color="auto" w:fill="auto"/>
            <w:vAlign w:val="bottom"/>
          </w:tcPr>
          <w:p w14:paraId="71D4A367" w14:textId="77777777" w:rsidR="006A3667" w:rsidRDefault="006A3667">
            <w:pPr>
              <w:rPr>
                <w:rFonts w:ascii="宋体"/>
              </w:rPr>
            </w:pPr>
          </w:p>
        </w:tc>
        <w:tc>
          <w:tcPr>
            <w:tcW w:w="0" w:type="auto"/>
            <w:shd w:val="clear" w:color="auto" w:fill="auto"/>
            <w:vAlign w:val="bottom"/>
          </w:tcPr>
          <w:p w14:paraId="71D4A368" w14:textId="77777777" w:rsidR="006A3667" w:rsidRDefault="006A3667">
            <w:pPr>
              <w:rPr>
                <w:rFonts w:ascii="宋体"/>
              </w:rPr>
            </w:pPr>
          </w:p>
        </w:tc>
      </w:tr>
      <w:tr w:rsidR="006A3667" w14:paraId="71D4A396" w14:textId="77777777">
        <w:trPr>
          <w:hidden/>
        </w:trPr>
        <w:tc>
          <w:tcPr>
            <w:tcW w:w="0" w:type="auto"/>
            <w:gridSpan w:val="3"/>
            <w:shd w:val="clear" w:color="auto" w:fill="auto"/>
            <w:vAlign w:val="bottom"/>
          </w:tcPr>
          <w:p w14:paraId="71D4A36A" w14:textId="77777777" w:rsidR="006A3667" w:rsidRDefault="006A3667">
            <w:pPr>
              <w:rPr>
                <w:rFonts w:ascii="宋体"/>
                <w:vanish/>
              </w:rPr>
            </w:pPr>
          </w:p>
        </w:tc>
        <w:tc>
          <w:tcPr>
            <w:tcW w:w="0" w:type="auto"/>
            <w:gridSpan w:val="3"/>
            <w:shd w:val="clear" w:color="auto" w:fill="auto"/>
            <w:vAlign w:val="bottom"/>
          </w:tcPr>
          <w:p w14:paraId="71D4A36B" w14:textId="77777777" w:rsidR="006A3667" w:rsidRDefault="006A3667">
            <w:pPr>
              <w:rPr>
                <w:rFonts w:ascii="宋体"/>
                <w:vanish/>
              </w:rPr>
            </w:pPr>
          </w:p>
        </w:tc>
        <w:tc>
          <w:tcPr>
            <w:tcW w:w="0" w:type="auto"/>
            <w:gridSpan w:val="3"/>
            <w:shd w:val="clear" w:color="auto" w:fill="auto"/>
            <w:vAlign w:val="bottom"/>
          </w:tcPr>
          <w:p w14:paraId="71D4A36C" w14:textId="77777777" w:rsidR="006A3667" w:rsidRDefault="006A3667">
            <w:pPr>
              <w:rPr>
                <w:rFonts w:ascii="宋体"/>
                <w:vanish/>
              </w:rPr>
            </w:pPr>
          </w:p>
        </w:tc>
        <w:tc>
          <w:tcPr>
            <w:tcW w:w="0" w:type="auto"/>
            <w:gridSpan w:val="3"/>
            <w:shd w:val="clear" w:color="auto" w:fill="auto"/>
            <w:vAlign w:val="bottom"/>
          </w:tcPr>
          <w:p w14:paraId="71D4A36D" w14:textId="77777777" w:rsidR="006A3667" w:rsidRDefault="006A3667">
            <w:pPr>
              <w:rPr>
                <w:rFonts w:ascii="宋体"/>
                <w:vanish/>
              </w:rPr>
            </w:pPr>
          </w:p>
        </w:tc>
        <w:tc>
          <w:tcPr>
            <w:tcW w:w="0" w:type="auto"/>
            <w:gridSpan w:val="3"/>
            <w:shd w:val="clear" w:color="auto" w:fill="auto"/>
            <w:vAlign w:val="bottom"/>
          </w:tcPr>
          <w:p w14:paraId="71D4A36E" w14:textId="77777777" w:rsidR="006A3667" w:rsidRDefault="006A3667">
            <w:pPr>
              <w:rPr>
                <w:rFonts w:ascii="宋体"/>
                <w:vanish/>
              </w:rPr>
            </w:pPr>
          </w:p>
        </w:tc>
        <w:tc>
          <w:tcPr>
            <w:tcW w:w="0" w:type="auto"/>
            <w:gridSpan w:val="3"/>
            <w:shd w:val="clear" w:color="auto" w:fill="auto"/>
            <w:vAlign w:val="bottom"/>
          </w:tcPr>
          <w:p w14:paraId="71D4A36F" w14:textId="77777777" w:rsidR="006A3667" w:rsidRDefault="006A3667">
            <w:pPr>
              <w:rPr>
                <w:rFonts w:ascii="宋体"/>
                <w:vanish/>
              </w:rPr>
            </w:pPr>
          </w:p>
        </w:tc>
        <w:tc>
          <w:tcPr>
            <w:tcW w:w="0" w:type="auto"/>
            <w:gridSpan w:val="3"/>
            <w:shd w:val="clear" w:color="auto" w:fill="auto"/>
            <w:vAlign w:val="bottom"/>
          </w:tcPr>
          <w:p w14:paraId="71D4A370" w14:textId="77777777" w:rsidR="006A3667" w:rsidRDefault="006A3667">
            <w:pPr>
              <w:rPr>
                <w:rFonts w:ascii="宋体"/>
                <w:vanish/>
              </w:rPr>
            </w:pPr>
          </w:p>
        </w:tc>
        <w:tc>
          <w:tcPr>
            <w:tcW w:w="0" w:type="auto"/>
            <w:gridSpan w:val="3"/>
            <w:shd w:val="clear" w:color="auto" w:fill="auto"/>
            <w:vAlign w:val="bottom"/>
          </w:tcPr>
          <w:p w14:paraId="71D4A371" w14:textId="77777777" w:rsidR="006A3667" w:rsidRDefault="006A3667">
            <w:pPr>
              <w:rPr>
                <w:rFonts w:ascii="宋体"/>
                <w:vanish/>
              </w:rPr>
            </w:pPr>
          </w:p>
        </w:tc>
        <w:tc>
          <w:tcPr>
            <w:tcW w:w="0" w:type="auto"/>
            <w:shd w:val="clear" w:color="auto" w:fill="auto"/>
            <w:vAlign w:val="bottom"/>
          </w:tcPr>
          <w:p w14:paraId="71D4A372" w14:textId="77777777" w:rsidR="006A3667" w:rsidRDefault="006A3667">
            <w:pPr>
              <w:rPr>
                <w:rFonts w:ascii="宋体"/>
              </w:rPr>
            </w:pPr>
          </w:p>
        </w:tc>
        <w:tc>
          <w:tcPr>
            <w:tcW w:w="0" w:type="auto"/>
            <w:shd w:val="clear" w:color="auto" w:fill="auto"/>
            <w:vAlign w:val="bottom"/>
          </w:tcPr>
          <w:p w14:paraId="71D4A373" w14:textId="77777777" w:rsidR="006A3667" w:rsidRDefault="006A3667">
            <w:pPr>
              <w:rPr>
                <w:rFonts w:ascii="宋体"/>
              </w:rPr>
            </w:pPr>
          </w:p>
        </w:tc>
        <w:tc>
          <w:tcPr>
            <w:tcW w:w="0" w:type="auto"/>
            <w:shd w:val="clear" w:color="auto" w:fill="auto"/>
            <w:vAlign w:val="bottom"/>
          </w:tcPr>
          <w:p w14:paraId="71D4A374" w14:textId="77777777" w:rsidR="006A3667" w:rsidRDefault="006A3667">
            <w:pPr>
              <w:rPr>
                <w:rFonts w:ascii="宋体"/>
              </w:rPr>
            </w:pPr>
          </w:p>
        </w:tc>
        <w:tc>
          <w:tcPr>
            <w:tcW w:w="0" w:type="auto"/>
            <w:shd w:val="clear" w:color="auto" w:fill="auto"/>
            <w:vAlign w:val="bottom"/>
          </w:tcPr>
          <w:p w14:paraId="71D4A375" w14:textId="77777777" w:rsidR="006A3667" w:rsidRDefault="006A3667">
            <w:pPr>
              <w:rPr>
                <w:rFonts w:ascii="宋体"/>
              </w:rPr>
            </w:pPr>
          </w:p>
        </w:tc>
        <w:tc>
          <w:tcPr>
            <w:tcW w:w="0" w:type="auto"/>
            <w:shd w:val="clear" w:color="auto" w:fill="auto"/>
            <w:vAlign w:val="bottom"/>
          </w:tcPr>
          <w:p w14:paraId="71D4A376" w14:textId="77777777" w:rsidR="006A3667" w:rsidRDefault="006A3667">
            <w:pPr>
              <w:rPr>
                <w:rFonts w:ascii="宋体"/>
              </w:rPr>
            </w:pPr>
          </w:p>
        </w:tc>
        <w:tc>
          <w:tcPr>
            <w:tcW w:w="0" w:type="auto"/>
            <w:shd w:val="clear" w:color="auto" w:fill="auto"/>
            <w:vAlign w:val="bottom"/>
          </w:tcPr>
          <w:p w14:paraId="71D4A377" w14:textId="77777777" w:rsidR="006A3667" w:rsidRDefault="006A3667">
            <w:pPr>
              <w:rPr>
                <w:rFonts w:ascii="宋体"/>
              </w:rPr>
            </w:pPr>
          </w:p>
        </w:tc>
        <w:tc>
          <w:tcPr>
            <w:tcW w:w="0" w:type="auto"/>
            <w:shd w:val="clear" w:color="auto" w:fill="auto"/>
            <w:vAlign w:val="bottom"/>
          </w:tcPr>
          <w:p w14:paraId="71D4A378" w14:textId="77777777" w:rsidR="006A3667" w:rsidRDefault="006A3667">
            <w:pPr>
              <w:rPr>
                <w:rFonts w:ascii="宋体"/>
              </w:rPr>
            </w:pPr>
          </w:p>
        </w:tc>
        <w:tc>
          <w:tcPr>
            <w:tcW w:w="0" w:type="auto"/>
            <w:shd w:val="clear" w:color="auto" w:fill="auto"/>
            <w:vAlign w:val="bottom"/>
          </w:tcPr>
          <w:p w14:paraId="71D4A379" w14:textId="77777777" w:rsidR="006A3667" w:rsidRDefault="006A3667">
            <w:pPr>
              <w:rPr>
                <w:rFonts w:ascii="宋体"/>
              </w:rPr>
            </w:pPr>
          </w:p>
        </w:tc>
        <w:tc>
          <w:tcPr>
            <w:tcW w:w="0" w:type="auto"/>
            <w:shd w:val="clear" w:color="auto" w:fill="auto"/>
            <w:vAlign w:val="bottom"/>
          </w:tcPr>
          <w:p w14:paraId="71D4A37A" w14:textId="77777777" w:rsidR="006A3667" w:rsidRDefault="006A3667">
            <w:pPr>
              <w:rPr>
                <w:rFonts w:ascii="宋体"/>
              </w:rPr>
            </w:pPr>
          </w:p>
        </w:tc>
        <w:tc>
          <w:tcPr>
            <w:tcW w:w="0" w:type="auto"/>
            <w:shd w:val="clear" w:color="auto" w:fill="auto"/>
            <w:vAlign w:val="bottom"/>
          </w:tcPr>
          <w:p w14:paraId="71D4A37B" w14:textId="77777777" w:rsidR="006A3667" w:rsidRDefault="006A3667">
            <w:pPr>
              <w:rPr>
                <w:rFonts w:ascii="宋体"/>
              </w:rPr>
            </w:pPr>
          </w:p>
        </w:tc>
        <w:tc>
          <w:tcPr>
            <w:tcW w:w="0" w:type="auto"/>
            <w:shd w:val="clear" w:color="auto" w:fill="auto"/>
            <w:vAlign w:val="bottom"/>
          </w:tcPr>
          <w:p w14:paraId="71D4A37C" w14:textId="77777777" w:rsidR="006A3667" w:rsidRDefault="006A3667">
            <w:pPr>
              <w:rPr>
                <w:rFonts w:ascii="宋体"/>
              </w:rPr>
            </w:pPr>
          </w:p>
        </w:tc>
        <w:tc>
          <w:tcPr>
            <w:tcW w:w="0" w:type="auto"/>
            <w:shd w:val="clear" w:color="auto" w:fill="auto"/>
            <w:vAlign w:val="bottom"/>
          </w:tcPr>
          <w:p w14:paraId="71D4A37D" w14:textId="77777777" w:rsidR="006A3667" w:rsidRDefault="006A3667">
            <w:pPr>
              <w:rPr>
                <w:rFonts w:ascii="宋体"/>
              </w:rPr>
            </w:pPr>
          </w:p>
        </w:tc>
        <w:tc>
          <w:tcPr>
            <w:tcW w:w="0" w:type="auto"/>
            <w:shd w:val="clear" w:color="auto" w:fill="auto"/>
            <w:vAlign w:val="bottom"/>
          </w:tcPr>
          <w:p w14:paraId="71D4A37E" w14:textId="77777777" w:rsidR="006A3667" w:rsidRDefault="006A3667">
            <w:pPr>
              <w:rPr>
                <w:rFonts w:ascii="宋体"/>
              </w:rPr>
            </w:pPr>
          </w:p>
        </w:tc>
        <w:tc>
          <w:tcPr>
            <w:tcW w:w="0" w:type="auto"/>
            <w:shd w:val="clear" w:color="auto" w:fill="auto"/>
            <w:vAlign w:val="bottom"/>
          </w:tcPr>
          <w:p w14:paraId="71D4A37F" w14:textId="77777777" w:rsidR="006A3667" w:rsidRDefault="006A3667">
            <w:pPr>
              <w:rPr>
                <w:rFonts w:ascii="宋体"/>
              </w:rPr>
            </w:pPr>
          </w:p>
        </w:tc>
        <w:tc>
          <w:tcPr>
            <w:tcW w:w="0" w:type="auto"/>
            <w:shd w:val="clear" w:color="auto" w:fill="auto"/>
            <w:vAlign w:val="bottom"/>
          </w:tcPr>
          <w:p w14:paraId="71D4A380" w14:textId="77777777" w:rsidR="006A3667" w:rsidRDefault="006A3667">
            <w:pPr>
              <w:rPr>
                <w:rFonts w:ascii="宋体"/>
              </w:rPr>
            </w:pPr>
          </w:p>
        </w:tc>
        <w:tc>
          <w:tcPr>
            <w:tcW w:w="0" w:type="auto"/>
            <w:shd w:val="clear" w:color="auto" w:fill="auto"/>
            <w:vAlign w:val="bottom"/>
          </w:tcPr>
          <w:p w14:paraId="71D4A381" w14:textId="77777777" w:rsidR="006A3667" w:rsidRDefault="006A3667">
            <w:pPr>
              <w:rPr>
                <w:rFonts w:ascii="宋体"/>
              </w:rPr>
            </w:pPr>
          </w:p>
        </w:tc>
        <w:tc>
          <w:tcPr>
            <w:tcW w:w="0" w:type="auto"/>
            <w:shd w:val="clear" w:color="auto" w:fill="auto"/>
            <w:vAlign w:val="bottom"/>
          </w:tcPr>
          <w:p w14:paraId="71D4A382" w14:textId="77777777" w:rsidR="006A3667" w:rsidRDefault="006A3667">
            <w:pPr>
              <w:rPr>
                <w:rFonts w:ascii="宋体"/>
              </w:rPr>
            </w:pPr>
          </w:p>
        </w:tc>
        <w:tc>
          <w:tcPr>
            <w:tcW w:w="0" w:type="auto"/>
            <w:shd w:val="clear" w:color="auto" w:fill="auto"/>
            <w:vAlign w:val="bottom"/>
          </w:tcPr>
          <w:p w14:paraId="71D4A383" w14:textId="77777777" w:rsidR="006A3667" w:rsidRDefault="006A3667">
            <w:pPr>
              <w:rPr>
                <w:rFonts w:ascii="宋体"/>
              </w:rPr>
            </w:pPr>
          </w:p>
        </w:tc>
        <w:tc>
          <w:tcPr>
            <w:tcW w:w="0" w:type="auto"/>
            <w:shd w:val="clear" w:color="auto" w:fill="auto"/>
            <w:vAlign w:val="bottom"/>
          </w:tcPr>
          <w:p w14:paraId="71D4A384" w14:textId="77777777" w:rsidR="006A3667" w:rsidRDefault="006A3667">
            <w:pPr>
              <w:rPr>
                <w:rFonts w:ascii="宋体"/>
              </w:rPr>
            </w:pPr>
          </w:p>
        </w:tc>
        <w:tc>
          <w:tcPr>
            <w:tcW w:w="0" w:type="auto"/>
            <w:shd w:val="clear" w:color="auto" w:fill="auto"/>
            <w:vAlign w:val="bottom"/>
          </w:tcPr>
          <w:p w14:paraId="71D4A385" w14:textId="77777777" w:rsidR="006A3667" w:rsidRDefault="006A3667">
            <w:pPr>
              <w:rPr>
                <w:rFonts w:ascii="宋体"/>
              </w:rPr>
            </w:pPr>
          </w:p>
        </w:tc>
        <w:tc>
          <w:tcPr>
            <w:tcW w:w="0" w:type="auto"/>
            <w:shd w:val="clear" w:color="auto" w:fill="auto"/>
            <w:vAlign w:val="bottom"/>
          </w:tcPr>
          <w:p w14:paraId="71D4A386" w14:textId="77777777" w:rsidR="006A3667" w:rsidRDefault="006A3667">
            <w:pPr>
              <w:rPr>
                <w:rFonts w:ascii="宋体"/>
              </w:rPr>
            </w:pPr>
          </w:p>
        </w:tc>
        <w:tc>
          <w:tcPr>
            <w:tcW w:w="0" w:type="auto"/>
            <w:shd w:val="clear" w:color="auto" w:fill="auto"/>
            <w:vAlign w:val="bottom"/>
          </w:tcPr>
          <w:p w14:paraId="71D4A387" w14:textId="77777777" w:rsidR="006A3667" w:rsidRDefault="006A3667">
            <w:pPr>
              <w:rPr>
                <w:rFonts w:ascii="宋体"/>
              </w:rPr>
            </w:pPr>
          </w:p>
        </w:tc>
        <w:tc>
          <w:tcPr>
            <w:tcW w:w="0" w:type="auto"/>
            <w:shd w:val="clear" w:color="auto" w:fill="auto"/>
            <w:vAlign w:val="bottom"/>
          </w:tcPr>
          <w:p w14:paraId="71D4A388" w14:textId="77777777" w:rsidR="006A3667" w:rsidRDefault="006A3667">
            <w:pPr>
              <w:rPr>
                <w:rFonts w:ascii="宋体"/>
              </w:rPr>
            </w:pPr>
          </w:p>
        </w:tc>
        <w:tc>
          <w:tcPr>
            <w:tcW w:w="0" w:type="auto"/>
            <w:shd w:val="clear" w:color="auto" w:fill="auto"/>
            <w:vAlign w:val="bottom"/>
          </w:tcPr>
          <w:p w14:paraId="71D4A389" w14:textId="77777777" w:rsidR="006A3667" w:rsidRDefault="006A3667">
            <w:pPr>
              <w:rPr>
                <w:rFonts w:ascii="宋体"/>
              </w:rPr>
            </w:pPr>
          </w:p>
        </w:tc>
        <w:tc>
          <w:tcPr>
            <w:tcW w:w="0" w:type="auto"/>
            <w:shd w:val="clear" w:color="auto" w:fill="auto"/>
            <w:vAlign w:val="bottom"/>
          </w:tcPr>
          <w:p w14:paraId="71D4A38A" w14:textId="77777777" w:rsidR="006A3667" w:rsidRDefault="006A3667">
            <w:pPr>
              <w:rPr>
                <w:rFonts w:ascii="宋体"/>
              </w:rPr>
            </w:pPr>
          </w:p>
        </w:tc>
        <w:tc>
          <w:tcPr>
            <w:tcW w:w="0" w:type="auto"/>
            <w:shd w:val="clear" w:color="auto" w:fill="auto"/>
            <w:vAlign w:val="bottom"/>
          </w:tcPr>
          <w:p w14:paraId="71D4A38B" w14:textId="77777777" w:rsidR="006A3667" w:rsidRDefault="006A3667">
            <w:pPr>
              <w:rPr>
                <w:rFonts w:ascii="宋体"/>
              </w:rPr>
            </w:pPr>
          </w:p>
        </w:tc>
        <w:tc>
          <w:tcPr>
            <w:tcW w:w="0" w:type="auto"/>
            <w:shd w:val="clear" w:color="auto" w:fill="auto"/>
            <w:vAlign w:val="bottom"/>
          </w:tcPr>
          <w:p w14:paraId="71D4A38C" w14:textId="77777777" w:rsidR="006A3667" w:rsidRDefault="006A3667">
            <w:pPr>
              <w:rPr>
                <w:rFonts w:ascii="宋体"/>
              </w:rPr>
            </w:pPr>
          </w:p>
        </w:tc>
        <w:tc>
          <w:tcPr>
            <w:tcW w:w="0" w:type="auto"/>
            <w:shd w:val="clear" w:color="auto" w:fill="auto"/>
            <w:vAlign w:val="bottom"/>
          </w:tcPr>
          <w:p w14:paraId="71D4A38D" w14:textId="77777777" w:rsidR="006A3667" w:rsidRDefault="006A3667">
            <w:pPr>
              <w:rPr>
                <w:rFonts w:ascii="宋体"/>
              </w:rPr>
            </w:pPr>
          </w:p>
        </w:tc>
        <w:tc>
          <w:tcPr>
            <w:tcW w:w="0" w:type="auto"/>
            <w:shd w:val="clear" w:color="auto" w:fill="auto"/>
            <w:vAlign w:val="bottom"/>
          </w:tcPr>
          <w:p w14:paraId="71D4A38E" w14:textId="77777777" w:rsidR="006A3667" w:rsidRDefault="006A3667">
            <w:pPr>
              <w:rPr>
                <w:rFonts w:ascii="宋体"/>
              </w:rPr>
            </w:pPr>
          </w:p>
        </w:tc>
        <w:tc>
          <w:tcPr>
            <w:tcW w:w="0" w:type="auto"/>
            <w:shd w:val="clear" w:color="auto" w:fill="auto"/>
            <w:vAlign w:val="bottom"/>
          </w:tcPr>
          <w:p w14:paraId="71D4A38F" w14:textId="77777777" w:rsidR="006A3667" w:rsidRDefault="006A3667">
            <w:pPr>
              <w:rPr>
                <w:rFonts w:ascii="宋体"/>
              </w:rPr>
            </w:pPr>
          </w:p>
        </w:tc>
        <w:tc>
          <w:tcPr>
            <w:tcW w:w="0" w:type="auto"/>
            <w:shd w:val="clear" w:color="auto" w:fill="auto"/>
            <w:vAlign w:val="bottom"/>
          </w:tcPr>
          <w:p w14:paraId="71D4A390" w14:textId="77777777" w:rsidR="006A3667" w:rsidRDefault="006A3667">
            <w:pPr>
              <w:rPr>
                <w:rFonts w:ascii="宋体"/>
              </w:rPr>
            </w:pPr>
          </w:p>
        </w:tc>
        <w:tc>
          <w:tcPr>
            <w:tcW w:w="0" w:type="auto"/>
            <w:shd w:val="clear" w:color="auto" w:fill="auto"/>
            <w:vAlign w:val="bottom"/>
          </w:tcPr>
          <w:p w14:paraId="71D4A391" w14:textId="77777777" w:rsidR="006A3667" w:rsidRDefault="006A3667">
            <w:pPr>
              <w:rPr>
                <w:rFonts w:ascii="宋体"/>
              </w:rPr>
            </w:pPr>
          </w:p>
        </w:tc>
        <w:tc>
          <w:tcPr>
            <w:tcW w:w="0" w:type="auto"/>
            <w:shd w:val="clear" w:color="auto" w:fill="auto"/>
            <w:vAlign w:val="bottom"/>
          </w:tcPr>
          <w:p w14:paraId="71D4A392" w14:textId="77777777" w:rsidR="006A3667" w:rsidRDefault="006A3667">
            <w:pPr>
              <w:rPr>
                <w:rFonts w:ascii="宋体"/>
              </w:rPr>
            </w:pPr>
          </w:p>
        </w:tc>
        <w:tc>
          <w:tcPr>
            <w:tcW w:w="0" w:type="auto"/>
            <w:shd w:val="clear" w:color="auto" w:fill="auto"/>
            <w:vAlign w:val="bottom"/>
          </w:tcPr>
          <w:p w14:paraId="71D4A393" w14:textId="77777777" w:rsidR="006A3667" w:rsidRDefault="006A3667">
            <w:pPr>
              <w:rPr>
                <w:rFonts w:ascii="宋体"/>
              </w:rPr>
            </w:pPr>
          </w:p>
        </w:tc>
        <w:tc>
          <w:tcPr>
            <w:tcW w:w="0" w:type="auto"/>
            <w:shd w:val="clear" w:color="auto" w:fill="auto"/>
            <w:vAlign w:val="bottom"/>
          </w:tcPr>
          <w:p w14:paraId="71D4A394" w14:textId="77777777" w:rsidR="006A3667" w:rsidRDefault="006A3667">
            <w:pPr>
              <w:rPr>
                <w:rFonts w:ascii="宋体"/>
              </w:rPr>
            </w:pPr>
          </w:p>
        </w:tc>
        <w:tc>
          <w:tcPr>
            <w:tcW w:w="0" w:type="auto"/>
            <w:shd w:val="clear" w:color="auto" w:fill="auto"/>
            <w:vAlign w:val="bottom"/>
          </w:tcPr>
          <w:p w14:paraId="71D4A395" w14:textId="77777777" w:rsidR="006A3667" w:rsidRDefault="006A3667">
            <w:pPr>
              <w:rPr>
                <w:rFonts w:ascii="宋体"/>
              </w:rPr>
            </w:pPr>
          </w:p>
        </w:tc>
      </w:tr>
      <w:tr w:rsidR="006A3667" w14:paraId="71D4A3AB" w14:textId="77777777">
        <w:trPr>
          <w:hidden/>
        </w:trPr>
        <w:tc>
          <w:tcPr>
            <w:tcW w:w="0" w:type="auto"/>
            <w:gridSpan w:val="3"/>
            <w:shd w:val="clear" w:color="auto" w:fill="auto"/>
            <w:vAlign w:val="bottom"/>
          </w:tcPr>
          <w:p w14:paraId="71D4A397" w14:textId="77777777" w:rsidR="006A3667" w:rsidRDefault="006A3667">
            <w:pPr>
              <w:rPr>
                <w:rFonts w:ascii="宋体"/>
                <w:vanish/>
              </w:rPr>
            </w:pPr>
          </w:p>
        </w:tc>
        <w:tc>
          <w:tcPr>
            <w:tcW w:w="0" w:type="auto"/>
            <w:gridSpan w:val="3"/>
            <w:shd w:val="clear" w:color="auto" w:fill="auto"/>
            <w:vAlign w:val="bottom"/>
          </w:tcPr>
          <w:p w14:paraId="71D4A398" w14:textId="77777777" w:rsidR="006A3667" w:rsidRDefault="006A3667">
            <w:pPr>
              <w:rPr>
                <w:rFonts w:ascii="宋体"/>
                <w:vanish/>
              </w:rPr>
            </w:pPr>
          </w:p>
        </w:tc>
        <w:tc>
          <w:tcPr>
            <w:tcW w:w="0" w:type="auto"/>
            <w:gridSpan w:val="3"/>
            <w:shd w:val="clear" w:color="auto" w:fill="auto"/>
            <w:vAlign w:val="bottom"/>
          </w:tcPr>
          <w:p w14:paraId="71D4A399" w14:textId="77777777" w:rsidR="006A3667" w:rsidRDefault="006A3667">
            <w:pPr>
              <w:rPr>
                <w:rFonts w:ascii="宋体"/>
                <w:vanish/>
              </w:rPr>
            </w:pPr>
          </w:p>
        </w:tc>
        <w:tc>
          <w:tcPr>
            <w:tcW w:w="0" w:type="auto"/>
            <w:gridSpan w:val="3"/>
            <w:shd w:val="clear" w:color="auto" w:fill="auto"/>
            <w:vAlign w:val="bottom"/>
          </w:tcPr>
          <w:p w14:paraId="71D4A39A" w14:textId="77777777" w:rsidR="006A3667" w:rsidRDefault="006A3667">
            <w:pPr>
              <w:rPr>
                <w:rFonts w:ascii="宋体"/>
                <w:vanish/>
              </w:rPr>
            </w:pPr>
          </w:p>
        </w:tc>
        <w:tc>
          <w:tcPr>
            <w:tcW w:w="0" w:type="auto"/>
            <w:gridSpan w:val="3"/>
            <w:shd w:val="clear" w:color="auto" w:fill="auto"/>
            <w:vAlign w:val="bottom"/>
          </w:tcPr>
          <w:p w14:paraId="71D4A39B" w14:textId="77777777" w:rsidR="006A3667" w:rsidRDefault="006A3667">
            <w:pPr>
              <w:rPr>
                <w:rFonts w:ascii="宋体"/>
                <w:vanish/>
              </w:rPr>
            </w:pPr>
          </w:p>
        </w:tc>
        <w:tc>
          <w:tcPr>
            <w:tcW w:w="0" w:type="auto"/>
            <w:gridSpan w:val="3"/>
            <w:shd w:val="clear" w:color="auto" w:fill="auto"/>
            <w:vAlign w:val="bottom"/>
          </w:tcPr>
          <w:p w14:paraId="71D4A39C" w14:textId="77777777" w:rsidR="006A3667" w:rsidRDefault="006A3667">
            <w:pPr>
              <w:rPr>
                <w:rFonts w:ascii="宋体"/>
                <w:vanish/>
              </w:rPr>
            </w:pPr>
          </w:p>
        </w:tc>
        <w:tc>
          <w:tcPr>
            <w:tcW w:w="0" w:type="auto"/>
            <w:gridSpan w:val="3"/>
            <w:shd w:val="clear" w:color="auto" w:fill="auto"/>
            <w:vAlign w:val="bottom"/>
          </w:tcPr>
          <w:p w14:paraId="71D4A39D" w14:textId="77777777" w:rsidR="006A3667" w:rsidRDefault="006A3667">
            <w:pPr>
              <w:rPr>
                <w:rFonts w:ascii="宋体"/>
                <w:vanish/>
              </w:rPr>
            </w:pPr>
          </w:p>
        </w:tc>
        <w:tc>
          <w:tcPr>
            <w:tcW w:w="0" w:type="auto"/>
            <w:gridSpan w:val="3"/>
            <w:shd w:val="clear" w:color="auto" w:fill="auto"/>
            <w:vAlign w:val="bottom"/>
          </w:tcPr>
          <w:p w14:paraId="71D4A39E" w14:textId="77777777" w:rsidR="006A3667" w:rsidRDefault="006A3667">
            <w:pPr>
              <w:rPr>
                <w:rFonts w:ascii="宋体"/>
                <w:vanish/>
              </w:rPr>
            </w:pPr>
          </w:p>
        </w:tc>
        <w:tc>
          <w:tcPr>
            <w:tcW w:w="0" w:type="auto"/>
            <w:gridSpan w:val="3"/>
            <w:shd w:val="clear" w:color="auto" w:fill="auto"/>
            <w:vAlign w:val="bottom"/>
          </w:tcPr>
          <w:p w14:paraId="71D4A39F" w14:textId="77777777" w:rsidR="006A3667" w:rsidRDefault="006A3667">
            <w:pPr>
              <w:rPr>
                <w:rFonts w:ascii="宋体"/>
                <w:vanish/>
              </w:rPr>
            </w:pPr>
          </w:p>
        </w:tc>
        <w:tc>
          <w:tcPr>
            <w:tcW w:w="0" w:type="auto"/>
            <w:gridSpan w:val="3"/>
            <w:shd w:val="clear" w:color="auto" w:fill="auto"/>
            <w:vAlign w:val="bottom"/>
          </w:tcPr>
          <w:p w14:paraId="71D4A3A0" w14:textId="77777777" w:rsidR="006A3667" w:rsidRDefault="006A3667">
            <w:pPr>
              <w:rPr>
                <w:rFonts w:ascii="宋体"/>
                <w:vanish/>
              </w:rPr>
            </w:pPr>
          </w:p>
        </w:tc>
        <w:tc>
          <w:tcPr>
            <w:tcW w:w="0" w:type="auto"/>
            <w:gridSpan w:val="3"/>
            <w:shd w:val="clear" w:color="auto" w:fill="auto"/>
            <w:vAlign w:val="bottom"/>
          </w:tcPr>
          <w:p w14:paraId="71D4A3A1" w14:textId="77777777" w:rsidR="006A3667" w:rsidRDefault="006A3667">
            <w:pPr>
              <w:rPr>
                <w:rFonts w:ascii="宋体"/>
                <w:vanish/>
              </w:rPr>
            </w:pPr>
          </w:p>
        </w:tc>
        <w:tc>
          <w:tcPr>
            <w:tcW w:w="0" w:type="auto"/>
            <w:gridSpan w:val="3"/>
            <w:shd w:val="clear" w:color="auto" w:fill="auto"/>
            <w:vAlign w:val="bottom"/>
          </w:tcPr>
          <w:p w14:paraId="71D4A3A2" w14:textId="77777777" w:rsidR="006A3667" w:rsidRDefault="006A3667">
            <w:pPr>
              <w:rPr>
                <w:rFonts w:ascii="宋体"/>
                <w:vanish/>
              </w:rPr>
            </w:pPr>
          </w:p>
        </w:tc>
        <w:tc>
          <w:tcPr>
            <w:tcW w:w="0" w:type="auto"/>
            <w:gridSpan w:val="3"/>
            <w:shd w:val="clear" w:color="auto" w:fill="auto"/>
            <w:vAlign w:val="bottom"/>
          </w:tcPr>
          <w:p w14:paraId="71D4A3A3" w14:textId="77777777" w:rsidR="006A3667" w:rsidRDefault="006A3667">
            <w:pPr>
              <w:rPr>
                <w:rFonts w:ascii="宋体"/>
                <w:vanish/>
              </w:rPr>
            </w:pPr>
          </w:p>
        </w:tc>
        <w:tc>
          <w:tcPr>
            <w:tcW w:w="0" w:type="auto"/>
            <w:gridSpan w:val="3"/>
            <w:shd w:val="clear" w:color="auto" w:fill="auto"/>
            <w:vAlign w:val="bottom"/>
          </w:tcPr>
          <w:p w14:paraId="71D4A3A4" w14:textId="77777777" w:rsidR="006A3667" w:rsidRDefault="006A3667">
            <w:pPr>
              <w:rPr>
                <w:rFonts w:ascii="宋体"/>
                <w:vanish/>
              </w:rPr>
            </w:pPr>
          </w:p>
        </w:tc>
        <w:tc>
          <w:tcPr>
            <w:tcW w:w="0" w:type="auto"/>
            <w:gridSpan w:val="3"/>
            <w:shd w:val="clear" w:color="auto" w:fill="auto"/>
            <w:vAlign w:val="bottom"/>
          </w:tcPr>
          <w:p w14:paraId="71D4A3A5" w14:textId="77777777" w:rsidR="006A3667" w:rsidRDefault="006A3667">
            <w:pPr>
              <w:rPr>
                <w:rFonts w:ascii="宋体"/>
                <w:vanish/>
              </w:rPr>
            </w:pPr>
          </w:p>
        </w:tc>
        <w:tc>
          <w:tcPr>
            <w:tcW w:w="0" w:type="auto"/>
            <w:gridSpan w:val="3"/>
            <w:shd w:val="clear" w:color="auto" w:fill="auto"/>
            <w:vAlign w:val="bottom"/>
          </w:tcPr>
          <w:p w14:paraId="71D4A3A6" w14:textId="77777777" w:rsidR="006A3667" w:rsidRDefault="006A3667">
            <w:pPr>
              <w:rPr>
                <w:rFonts w:ascii="宋体"/>
                <w:vanish/>
              </w:rPr>
            </w:pPr>
          </w:p>
        </w:tc>
        <w:tc>
          <w:tcPr>
            <w:tcW w:w="0" w:type="auto"/>
            <w:gridSpan w:val="3"/>
            <w:shd w:val="clear" w:color="auto" w:fill="auto"/>
            <w:vAlign w:val="bottom"/>
          </w:tcPr>
          <w:p w14:paraId="71D4A3A7" w14:textId="77777777" w:rsidR="006A3667" w:rsidRDefault="006A3667">
            <w:pPr>
              <w:rPr>
                <w:rFonts w:ascii="宋体"/>
                <w:vanish/>
              </w:rPr>
            </w:pPr>
          </w:p>
        </w:tc>
        <w:tc>
          <w:tcPr>
            <w:tcW w:w="0" w:type="auto"/>
            <w:gridSpan w:val="3"/>
            <w:shd w:val="clear" w:color="auto" w:fill="auto"/>
            <w:vAlign w:val="bottom"/>
          </w:tcPr>
          <w:p w14:paraId="71D4A3A8" w14:textId="77777777" w:rsidR="006A3667" w:rsidRDefault="006A3667">
            <w:pPr>
              <w:rPr>
                <w:rFonts w:ascii="宋体"/>
                <w:vanish/>
              </w:rPr>
            </w:pPr>
          </w:p>
        </w:tc>
        <w:tc>
          <w:tcPr>
            <w:tcW w:w="0" w:type="auto"/>
            <w:gridSpan w:val="3"/>
            <w:shd w:val="clear" w:color="auto" w:fill="auto"/>
            <w:vAlign w:val="bottom"/>
          </w:tcPr>
          <w:p w14:paraId="71D4A3A9" w14:textId="77777777" w:rsidR="006A3667" w:rsidRDefault="006A3667">
            <w:pPr>
              <w:rPr>
                <w:rFonts w:ascii="宋体"/>
                <w:vanish/>
              </w:rPr>
            </w:pPr>
          </w:p>
        </w:tc>
        <w:tc>
          <w:tcPr>
            <w:tcW w:w="0" w:type="auto"/>
            <w:gridSpan w:val="3"/>
            <w:shd w:val="clear" w:color="auto" w:fill="auto"/>
            <w:vAlign w:val="bottom"/>
          </w:tcPr>
          <w:p w14:paraId="71D4A3AA" w14:textId="77777777" w:rsidR="006A3667" w:rsidRDefault="006A3667">
            <w:pPr>
              <w:rPr>
                <w:rFonts w:ascii="宋体"/>
                <w:vanish/>
              </w:rPr>
            </w:pPr>
          </w:p>
        </w:tc>
      </w:tr>
      <w:tr w:rsidR="006A3667" w14:paraId="71D4A3C0" w14:textId="77777777">
        <w:trPr>
          <w:hidden/>
        </w:trPr>
        <w:tc>
          <w:tcPr>
            <w:tcW w:w="0" w:type="auto"/>
            <w:gridSpan w:val="3"/>
            <w:shd w:val="clear" w:color="auto" w:fill="auto"/>
            <w:vAlign w:val="bottom"/>
          </w:tcPr>
          <w:p w14:paraId="71D4A3AC" w14:textId="77777777" w:rsidR="006A3667" w:rsidRDefault="006A3667">
            <w:pPr>
              <w:rPr>
                <w:rFonts w:ascii="宋体"/>
                <w:vanish/>
              </w:rPr>
            </w:pPr>
          </w:p>
        </w:tc>
        <w:tc>
          <w:tcPr>
            <w:tcW w:w="0" w:type="auto"/>
            <w:gridSpan w:val="3"/>
            <w:shd w:val="clear" w:color="auto" w:fill="auto"/>
            <w:vAlign w:val="bottom"/>
          </w:tcPr>
          <w:p w14:paraId="71D4A3AD" w14:textId="77777777" w:rsidR="006A3667" w:rsidRDefault="006A3667">
            <w:pPr>
              <w:rPr>
                <w:rFonts w:ascii="宋体"/>
                <w:vanish/>
              </w:rPr>
            </w:pPr>
          </w:p>
        </w:tc>
        <w:tc>
          <w:tcPr>
            <w:tcW w:w="0" w:type="auto"/>
            <w:gridSpan w:val="3"/>
            <w:shd w:val="clear" w:color="auto" w:fill="auto"/>
            <w:vAlign w:val="bottom"/>
          </w:tcPr>
          <w:p w14:paraId="71D4A3AE" w14:textId="77777777" w:rsidR="006A3667" w:rsidRDefault="006A3667">
            <w:pPr>
              <w:rPr>
                <w:rFonts w:ascii="宋体"/>
                <w:vanish/>
              </w:rPr>
            </w:pPr>
          </w:p>
        </w:tc>
        <w:tc>
          <w:tcPr>
            <w:tcW w:w="0" w:type="auto"/>
            <w:gridSpan w:val="3"/>
            <w:shd w:val="clear" w:color="auto" w:fill="auto"/>
            <w:vAlign w:val="bottom"/>
          </w:tcPr>
          <w:p w14:paraId="71D4A3AF" w14:textId="77777777" w:rsidR="006A3667" w:rsidRDefault="006A3667">
            <w:pPr>
              <w:rPr>
                <w:rFonts w:ascii="宋体"/>
                <w:vanish/>
              </w:rPr>
            </w:pPr>
          </w:p>
        </w:tc>
        <w:tc>
          <w:tcPr>
            <w:tcW w:w="0" w:type="auto"/>
            <w:gridSpan w:val="3"/>
            <w:shd w:val="clear" w:color="auto" w:fill="auto"/>
            <w:vAlign w:val="bottom"/>
          </w:tcPr>
          <w:p w14:paraId="71D4A3B0" w14:textId="77777777" w:rsidR="006A3667" w:rsidRDefault="006A3667">
            <w:pPr>
              <w:rPr>
                <w:rFonts w:ascii="宋体"/>
                <w:vanish/>
              </w:rPr>
            </w:pPr>
          </w:p>
        </w:tc>
        <w:tc>
          <w:tcPr>
            <w:tcW w:w="0" w:type="auto"/>
            <w:gridSpan w:val="3"/>
            <w:shd w:val="clear" w:color="auto" w:fill="auto"/>
            <w:vAlign w:val="bottom"/>
          </w:tcPr>
          <w:p w14:paraId="71D4A3B1" w14:textId="77777777" w:rsidR="006A3667" w:rsidRDefault="006A3667">
            <w:pPr>
              <w:rPr>
                <w:rFonts w:ascii="宋体"/>
                <w:vanish/>
              </w:rPr>
            </w:pPr>
          </w:p>
        </w:tc>
        <w:tc>
          <w:tcPr>
            <w:tcW w:w="0" w:type="auto"/>
            <w:gridSpan w:val="3"/>
            <w:shd w:val="clear" w:color="auto" w:fill="auto"/>
            <w:vAlign w:val="bottom"/>
          </w:tcPr>
          <w:p w14:paraId="71D4A3B2" w14:textId="77777777" w:rsidR="006A3667" w:rsidRDefault="006A3667">
            <w:pPr>
              <w:rPr>
                <w:rFonts w:ascii="宋体"/>
                <w:vanish/>
              </w:rPr>
            </w:pPr>
          </w:p>
        </w:tc>
        <w:tc>
          <w:tcPr>
            <w:tcW w:w="0" w:type="auto"/>
            <w:gridSpan w:val="3"/>
            <w:shd w:val="clear" w:color="auto" w:fill="auto"/>
            <w:vAlign w:val="bottom"/>
          </w:tcPr>
          <w:p w14:paraId="71D4A3B3" w14:textId="77777777" w:rsidR="006A3667" w:rsidRDefault="006A3667">
            <w:pPr>
              <w:rPr>
                <w:rFonts w:ascii="宋体"/>
                <w:vanish/>
              </w:rPr>
            </w:pPr>
          </w:p>
        </w:tc>
        <w:tc>
          <w:tcPr>
            <w:tcW w:w="0" w:type="auto"/>
            <w:gridSpan w:val="3"/>
            <w:shd w:val="clear" w:color="auto" w:fill="auto"/>
            <w:vAlign w:val="bottom"/>
          </w:tcPr>
          <w:p w14:paraId="71D4A3B4" w14:textId="77777777" w:rsidR="006A3667" w:rsidRDefault="006A3667">
            <w:pPr>
              <w:rPr>
                <w:rFonts w:ascii="宋体"/>
                <w:vanish/>
              </w:rPr>
            </w:pPr>
          </w:p>
        </w:tc>
        <w:tc>
          <w:tcPr>
            <w:tcW w:w="0" w:type="auto"/>
            <w:gridSpan w:val="3"/>
            <w:shd w:val="clear" w:color="auto" w:fill="auto"/>
            <w:vAlign w:val="bottom"/>
          </w:tcPr>
          <w:p w14:paraId="71D4A3B5" w14:textId="77777777" w:rsidR="006A3667" w:rsidRDefault="006A3667">
            <w:pPr>
              <w:rPr>
                <w:rFonts w:ascii="宋体"/>
                <w:vanish/>
              </w:rPr>
            </w:pPr>
          </w:p>
        </w:tc>
        <w:tc>
          <w:tcPr>
            <w:tcW w:w="0" w:type="auto"/>
            <w:gridSpan w:val="3"/>
            <w:shd w:val="clear" w:color="auto" w:fill="auto"/>
            <w:vAlign w:val="bottom"/>
          </w:tcPr>
          <w:p w14:paraId="71D4A3B6" w14:textId="77777777" w:rsidR="006A3667" w:rsidRDefault="006A3667">
            <w:pPr>
              <w:rPr>
                <w:rFonts w:ascii="宋体"/>
                <w:vanish/>
              </w:rPr>
            </w:pPr>
          </w:p>
        </w:tc>
        <w:tc>
          <w:tcPr>
            <w:tcW w:w="0" w:type="auto"/>
            <w:gridSpan w:val="3"/>
            <w:shd w:val="clear" w:color="auto" w:fill="auto"/>
            <w:vAlign w:val="bottom"/>
          </w:tcPr>
          <w:p w14:paraId="71D4A3B7" w14:textId="77777777" w:rsidR="006A3667" w:rsidRDefault="006A3667">
            <w:pPr>
              <w:rPr>
                <w:rFonts w:ascii="宋体"/>
                <w:vanish/>
              </w:rPr>
            </w:pPr>
          </w:p>
        </w:tc>
        <w:tc>
          <w:tcPr>
            <w:tcW w:w="0" w:type="auto"/>
            <w:gridSpan w:val="3"/>
            <w:shd w:val="clear" w:color="auto" w:fill="auto"/>
            <w:vAlign w:val="bottom"/>
          </w:tcPr>
          <w:p w14:paraId="71D4A3B8" w14:textId="77777777" w:rsidR="006A3667" w:rsidRDefault="006A3667">
            <w:pPr>
              <w:rPr>
                <w:rFonts w:ascii="宋体"/>
                <w:vanish/>
              </w:rPr>
            </w:pPr>
          </w:p>
        </w:tc>
        <w:tc>
          <w:tcPr>
            <w:tcW w:w="0" w:type="auto"/>
            <w:gridSpan w:val="3"/>
            <w:shd w:val="clear" w:color="auto" w:fill="auto"/>
            <w:vAlign w:val="bottom"/>
          </w:tcPr>
          <w:p w14:paraId="71D4A3B9" w14:textId="77777777" w:rsidR="006A3667" w:rsidRDefault="006A3667">
            <w:pPr>
              <w:rPr>
                <w:rFonts w:ascii="宋体"/>
                <w:vanish/>
              </w:rPr>
            </w:pPr>
          </w:p>
        </w:tc>
        <w:tc>
          <w:tcPr>
            <w:tcW w:w="0" w:type="auto"/>
            <w:gridSpan w:val="3"/>
            <w:shd w:val="clear" w:color="auto" w:fill="auto"/>
            <w:vAlign w:val="bottom"/>
          </w:tcPr>
          <w:p w14:paraId="71D4A3BA" w14:textId="77777777" w:rsidR="006A3667" w:rsidRDefault="006A3667">
            <w:pPr>
              <w:rPr>
                <w:rFonts w:ascii="宋体"/>
                <w:vanish/>
              </w:rPr>
            </w:pPr>
          </w:p>
        </w:tc>
        <w:tc>
          <w:tcPr>
            <w:tcW w:w="0" w:type="auto"/>
            <w:gridSpan w:val="3"/>
            <w:shd w:val="clear" w:color="auto" w:fill="auto"/>
            <w:vAlign w:val="bottom"/>
          </w:tcPr>
          <w:p w14:paraId="71D4A3BB" w14:textId="77777777" w:rsidR="006A3667" w:rsidRDefault="006A3667">
            <w:pPr>
              <w:rPr>
                <w:rFonts w:ascii="宋体"/>
                <w:vanish/>
              </w:rPr>
            </w:pPr>
          </w:p>
        </w:tc>
        <w:tc>
          <w:tcPr>
            <w:tcW w:w="0" w:type="auto"/>
            <w:gridSpan w:val="3"/>
            <w:shd w:val="clear" w:color="auto" w:fill="auto"/>
            <w:vAlign w:val="bottom"/>
          </w:tcPr>
          <w:p w14:paraId="71D4A3BC" w14:textId="77777777" w:rsidR="006A3667" w:rsidRDefault="006A3667">
            <w:pPr>
              <w:rPr>
                <w:rFonts w:ascii="宋体"/>
                <w:vanish/>
              </w:rPr>
            </w:pPr>
          </w:p>
        </w:tc>
        <w:tc>
          <w:tcPr>
            <w:tcW w:w="0" w:type="auto"/>
            <w:gridSpan w:val="3"/>
            <w:shd w:val="clear" w:color="auto" w:fill="auto"/>
            <w:vAlign w:val="bottom"/>
          </w:tcPr>
          <w:p w14:paraId="71D4A3BD" w14:textId="77777777" w:rsidR="006A3667" w:rsidRDefault="006A3667">
            <w:pPr>
              <w:rPr>
                <w:rFonts w:ascii="宋体"/>
                <w:vanish/>
              </w:rPr>
            </w:pPr>
          </w:p>
        </w:tc>
        <w:tc>
          <w:tcPr>
            <w:tcW w:w="0" w:type="auto"/>
            <w:gridSpan w:val="3"/>
            <w:shd w:val="clear" w:color="auto" w:fill="auto"/>
            <w:vAlign w:val="bottom"/>
          </w:tcPr>
          <w:p w14:paraId="71D4A3BE" w14:textId="77777777" w:rsidR="006A3667" w:rsidRDefault="006A3667">
            <w:pPr>
              <w:rPr>
                <w:rFonts w:ascii="宋体"/>
                <w:vanish/>
              </w:rPr>
            </w:pPr>
          </w:p>
        </w:tc>
        <w:tc>
          <w:tcPr>
            <w:tcW w:w="0" w:type="auto"/>
            <w:gridSpan w:val="3"/>
            <w:shd w:val="clear" w:color="auto" w:fill="auto"/>
            <w:vAlign w:val="bottom"/>
          </w:tcPr>
          <w:p w14:paraId="71D4A3BF" w14:textId="77777777" w:rsidR="006A3667" w:rsidRDefault="006A3667">
            <w:pPr>
              <w:rPr>
                <w:rFonts w:ascii="宋体"/>
                <w:vanish/>
              </w:rPr>
            </w:pPr>
          </w:p>
        </w:tc>
      </w:tr>
      <w:tr w:rsidR="006A3667" w14:paraId="71D4A3D5" w14:textId="77777777">
        <w:trPr>
          <w:hidden/>
        </w:trPr>
        <w:tc>
          <w:tcPr>
            <w:tcW w:w="0" w:type="auto"/>
            <w:gridSpan w:val="3"/>
            <w:shd w:val="clear" w:color="auto" w:fill="auto"/>
            <w:vAlign w:val="bottom"/>
          </w:tcPr>
          <w:p w14:paraId="71D4A3C1" w14:textId="77777777" w:rsidR="006A3667" w:rsidRDefault="006A3667">
            <w:pPr>
              <w:rPr>
                <w:rFonts w:ascii="宋体"/>
                <w:vanish/>
              </w:rPr>
            </w:pPr>
          </w:p>
        </w:tc>
        <w:tc>
          <w:tcPr>
            <w:tcW w:w="0" w:type="auto"/>
            <w:gridSpan w:val="3"/>
            <w:shd w:val="clear" w:color="auto" w:fill="auto"/>
            <w:vAlign w:val="bottom"/>
          </w:tcPr>
          <w:p w14:paraId="71D4A3C2" w14:textId="77777777" w:rsidR="006A3667" w:rsidRDefault="006A3667">
            <w:pPr>
              <w:rPr>
                <w:rFonts w:ascii="宋体"/>
                <w:vanish/>
              </w:rPr>
            </w:pPr>
          </w:p>
        </w:tc>
        <w:tc>
          <w:tcPr>
            <w:tcW w:w="0" w:type="auto"/>
            <w:gridSpan w:val="3"/>
            <w:shd w:val="clear" w:color="auto" w:fill="auto"/>
            <w:vAlign w:val="bottom"/>
          </w:tcPr>
          <w:p w14:paraId="71D4A3C3" w14:textId="77777777" w:rsidR="006A3667" w:rsidRDefault="006A3667">
            <w:pPr>
              <w:rPr>
                <w:rFonts w:ascii="宋体"/>
                <w:vanish/>
              </w:rPr>
            </w:pPr>
          </w:p>
        </w:tc>
        <w:tc>
          <w:tcPr>
            <w:tcW w:w="0" w:type="auto"/>
            <w:gridSpan w:val="3"/>
            <w:shd w:val="clear" w:color="auto" w:fill="auto"/>
            <w:vAlign w:val="bottom"/>
          </w:tcPr>
          <w:p w14:paraId="71D4A3C4" w14:textId="77777777" w:rsidR="006A3667" w:rsidRDefault="006A3667">
            <w:pPr>
              <w:rPr>
                <w:rFonts w:ascii="宋体"/>
                <w:vanish/>
              </w:rPr>
            </w:pPr>
          </w:p>
        </w:tc>
        <w:tc>
          <w:tcPr>
            <w:tcW w:w="0" w:type="auto"/>
            <w:gridSpan w:val="3"/>
            <w:shd w:val="clear" w:color="auto" w:fill="auto"/>
            <w:vAlign w:val="bottom"/>
          </w:tcPr>
          <w:p w14:paraId="71D4A3C5" w14:textId="77777777" w:rsidR="006A3667" w:rsidRDefault="006A3667">
            <w:pPr>
              <w:rPr>
                <w:rFonts w:ascii="宋体"/>
                <w:vanish/>
              </w:rPr>
            </w:pPr>
          </w:p>
        </w:tc>
        <w:tc>
          <w:tcPr>
            <w:tcW w:w="0" w:type="auto"/>
            <w:gridSpan w:val="3"/>
            <w:shd w:val="clear" w:color="auto" w:fill="auto"/>
            <w:vAlign w:val="bottom"/>
          </w:tcPr>
          <w:p w14:paraId="71D4A3C6" w14:textId="77777777" w:rsidR="006A3667" w:rsidRDefault="006A3667">
            <w:pPr>
              <w:rPr>
                <w:rFonts w:ascii="宋体"/>
                <w:vanish/>
              </w:rPr>
            </w:pPr>
          </w:p>
        </w:tc>
        <w:tc>
          <w:tcPr>
            <w:tcW w:w="0" w:type="auto"/>
            <w:gridSpan w:val="3"/>
            <w:shd w:val="clear" w:color="auto" w:fill="auto"/>
            <w:vAlign w:val="bottom"/>
          </w:tcPr>
          <w:p w14:paraId="71D4A3C7" w14:textId="77777777" w:rsidR="006A3667" w:rsidRDefault="006A3667">
            <w:pPr>
              <w:rPr>
                <w:rFonts w:ascii="宋体"/>
                <w:vanish/>
              </w:rPr>
            </w:pPr>
          </w:p>
        </w:tc>
        <w:tc>
          <w:tcPr>
            <w:tcW w:w="0" w:type="auto"/>
            <w:gridSpan w:val="3"/>
            <w:shd w:val="clear" w:color="auto" w:fill="auto"/>
            <w:vAlign w:val="bottom"/>
          </w:tcPr>
          <w:p w14:paraId="71D4A3C8" w14:textId="77777777" w:rsidR="006A3667" w:rsidRDefault="006A3667">
            <w:pPr>
              <w:rPr>
                <w:rFonts w:ascii="宋体"/>
                <w:vanish/>
              </w:rPr>
            </w:pPr>
          </w:p>
        </w:tc>
        <w:tc>
          <w:tcPr>
            <w:tcW w:w="0" w:type="auto"/>
            <w:gridSpan w:val="3"/>
            <w:shd w:val="clear" w:color="auto" w:fill="auto"/>
            <w:vAlign w:val="bottom"/>
          </w:tcPr>
          <w:p w14:paraId="71D4A3C9" w14:textId="77777777" w:rsidR="006A3667" w:rsidRDefault="006A3667">
            <w:pPr>
              <w:rPr>
                <w:rFonts w:ascii="宋体"/>
                <w:vanish/>
              </w:rPr>
            </w:pPr>
          </w:p>
        </w:tc>
        <w:tc>
          <w:tcPr>
            <w:tcW w:w="0" w:type="auto"/>
            <w:gridSpan w:val="3"/>
            <w:shd w:val="clear" w:color="auto" w:fill="auto"/>
            <w:vAlign w:val="bottom"/>
          </w:tcPr>
          <w:p w14:paraId="71D4A3CA" w14:textId="77777777" w:rsidR="006A3667" w:rsidRDefault="006A3667">
            <w:pPr>
              <w:rPr>
                <w:rFonts w:ascii="宋体"/>
                <w:vanish/>
              </w:rPr>
            </w:pPr>
          </w:p>
        </w:tc>
        <w:tc>
          <w:tcPr>
            <w:tcW w:w="0" w:type="auto"/>
            <w:gridSpan w:val="3"/>
            <w:shd w:val="clear" w:color="auto" w:fill="auto"/>
            <w:vAlign w:val="bottom"/>
          </w:tcPr>
          <w:p w14:paraId="71D4A3CB" w14:textId="77777777" w:rsidR="006A3667" w:rsidRDefault="006A3667">
            <w:pPr>
              <w:rPr>
                <w:rFonts w:ascii="宋体"/>
                <w:vanish/>
              </w:rPr>
            </w:pPr>
          </w:p>
        </w:tc>
        <w:tc>
          <w:tcPr>
            <w:tcW w:w="0" w:type="auto"/>
            <w:gridSpan w:val="3"/>
            <w:shd w:val="clear" w:color="auto" w:fill="auto"/>
            <w:vAlign w:val="bottom"/>
          </w:tcPr>
          <w:p w14:paraId="71D4A3CC" w14:textId="77777777" w:rsidR="006A3667" w:rsidRDefault="006A3667">
            <w:pPr>
              <w:rPr>
                <w:rFonts w:ascii="宋体"/>
                <w:vanish/>
              </w:rPr>
            </w:pPr>
          </w:p>
        </w:tc>
        <w:tc>
          <w:tcPr>
            <w:tcW w:w="0" w:type="auto"/>
            <w:gridSpan w:val="3"/>
            <w:shd w:val="clear" w:color="auto" w:fill="auto"/>
            <w:vAlign w:val="bottom"/>
          </w:tcPr>
          <w:p w14:paraId="71D4A3CD" w14:textId="77777777" w:rsidR="006A3667" w:rsidRDefault="006A3667">
            <w:pPr>
              <w:rPr>
                <w:rFonts w:ascii="宋体"/>
                <w:vanish/>
              </w:rPr>
            </w:pPr>
          </w:p>
        </w:tc>
        <w:tc>
          <w:tcPr>
            <w:tcW w:w="0" w:type="auto"/>
            <w:gridSpan w:val="3"/>
            <w:shd w:val="clear" w:color="auto" w:fill="auto"/>
            <w:vAlign w:val="bottom"/>
          </w:tcPr>
          <w:p w14:paraId="71D4A3CE" w14:textId="77777777" w:rsidR="006A3667" w:rsidRDefault="006A3667">
            <w:pPr>
              <w:rPr>
                <w:rFonts w:ascii="宋体"/>
                <w:vanish/>
              </w:rPr>
            </w:pPr>
          </w:p>
        </w:tc>
        <w:tc>
          <w:tcPr>
            <w:tcW w:w="0" w:type="auto"/>
            <w:gridSpan w:val="3"/>
            <w:shd w:val="clear" w:color="auto" w:fill="auto"/>
            <w:vAlign w:val="bottom"/>
          </w:tcPr>
          <w:p w14:paraId="71D4A3CF" w14:textId="77777777" w:rsidR="006A3667" w:rsidRDefault="006A3667">
            <w:pPr>
              <w:rPr>
                <w:rFonts w:ascii="宋体"/>
                <w:vanish/>
              </w:rPr>
            </w:pPr>
          </w:p>
        </w:tc>
        <w:tc>
          <w:tcPr>
            <w:tcW w:w="0" w:type="auto"/>
            <w:gridSpan w:val="3"/>
            <w:shd w:val="clear" w:color="auto" w:fill="auto"/>
            <w:vAlign w:val="bottom"/>
          </w:tcPr>
          <w:p w14:paraId="71D4A3D0" w14:textId="77777777" w:rsidR="006A3667" w:rsidRDefault="006A3667">
            <w:pPr>
              <w:rPr>
                <w:rFonts w:ascii="宋体"/>
                <w:vanish/>
              </w:rPr>
            </w:pPr>
          </w:p>
        </w:tc>
        <w:tc>
          <w:tcPr>
            <w:tcW w:w="0" w:type="auto"/>
            <w:gridSpan w:val="3"/>
            <w:shd w:val="clear" w:color="auto" w:fill="auto"/>
            <w:vAlign w:val="bottom"/>
          </w:tcPr>
          <w:p w14:paraId="71D4A3D1" w14:textId="77777777" w:rsidR="006A3667" w:rsidRDefault="006A3667">
            <w:pPr>
              <w:rPr>
                <w:rFonts w:ascii="宋体"/>
                <w:vanish/>
              </w:rPr>
            </w:pPr>
          </w:p>
        </w:tc>
        <w:tc>
          <w:tcPr>
            <w:tcW w:w="0" w:type="auto"/>
            <w:gridSpan w:val="3"/>
            <w:shd w:val="clear" w:color="auto" w:fill="auto"/>
            <w:vAlign w:val="bottom"/>
          </w:tcPr>
          <w:p w14:paraId="71D4A3D2" w14:textId="77777777" w:rsidR="006A3667" w:rsidRDefault="006A3667">
            <w:pPr>
              <w:rPr>
                <w:rFonts w:ascii="宋体"/>
                <w:vanish/>
              </w:rPr>
            </w:pPr>
          </w:p>
        </w:tc>
        <w:tc>
          <w:tcPr>
            <w:tcW w:w="0" w:type="auto"/>
            <w:gridSpan w:val="3"/>
            <w:shd w:val="clear" w:color="auto" w:fill="auto"/>
            <w:vAlign w:val="bottom"/>
          </w:tcPr>
          <w:p w14:paraId="71D4A3D3" w14:textId="77777777" w:rsidR="006A3667" w:rsidRDefault="006A3667">
            <w:pPr>
              <w:rPr>
                <w:rFonts w:ascii="宋体"/>
                <w:vanish/>
              </w:rPr>
            </w:pPr>
          </w:p>
        </w:tc>
        <w:tc>
          <w:tcPr>
            <w:tcW w:w="0" w:type="auto"/>
            <w:gridSpan w:val="3"/>
            <w:shd w:val="clear" w:color="auto" w:fill="auto"/>
            <w:vAlign w:val="bottom"/>
          </w:tcPr>
          <w:p w14:paraId="71D4A3D4" w14:textId="77777777" w:rsidR="006A3667" w:rsidRDefault="006A3667">
            <w:pPr>
              <w:rPr>
                <w:rFonts w:ascii="宋体"/>
                <w:vanish/>
              </w:rPr>
            </w:pPr>
          </w:p>
        </w:tc>
      </w:tr>
      <w:tr w:rsidR="006A3667" w14:paraId="71D4A3EA" w14:textId="77777777">
        <w:trPr>
          <w:hidden/>
        </w:trPr>
        <w:tc>
          <w:tcPr>
            <w:tcW w:w="0" w:type="auto"/>
            <w:gridSpan w:val="3"/>
            <w:shd w:val="clear" w:color="auto" w:fill="auto"/>
            <w:vAlign w:val="bottom"/>
          </w:tcPr>
          <w:p w14:paraId="71D4A3D6" w14:textId="77777777" w:rsidR="006A3667" w:rsidRDefault="006A3667">
            <w:pPr>
              <w:rPr>
                <w:rFonts w:ascii="宋体"/>
                <w:vanish/>
              </w:rPr>
            </w:pPr>
          </w:p>
        </w:tc>
        <w:tc>
          <w:tcPr>
            <w:tcW w:w="0" w:type="auto"/>
            <w:gridSpan w:val="3"/>
            <w:shd w:val="clear" w:color="auto" w:fill="auto"/>
            <w:vAlign w:val="bottom"/>
          </w:tcPr>
          <w:p w14:paraId="71D4A3D7" w14:textId="77777777" w:rsidR="006A3667" w:rsidRDefault="006A3667">
            <w:pPr>
              <w:rPr>
                <w:rFonts w:ascii="宋体"/>
                <w:vanish/>
              </w:rPr>
            </w:pPr>
          </w:p>
        </w:tc>
        <w:tc>
          <w:tcPr>
            <w:tcW w:w="0" w:type="auto"/>
            <w:gridSpan w:val="3"/>
            <w:shd w:val="clear" w:color="auto" w:fill="auto"/>
            <w:vAlign w:val="bottom"/>
          </w:tcPr>
          <w:p w14:paraId="71D4A3D8" w14:textId="77777777" w:rsidR="006A3667" w:rsidRDefault="006A3667">
            <w:pPr>
              <w:rPr>
                <w:rFonts w:ascii="宋体"/>
                <w:vanish/>
              </w:rPr>
            </w:pPr>
          </w:p>
        </w:tc>
        <w:tc>
          <w:tcPr>
            <w:tcW w:w="0" w:type="auto"/>
            <w:gridSpan w:val="3"/>
            <w:shd w:val="clear" w:color="auto" w:fill="auto"/>
            <w:vAlign w:val="bottom"/>
          </w:tcPr>
          <w:p w14:paraId="71D4A3D9" w14:textId="77777777" w:rsidR="006A3667" w:rsidRDefault="006A3667">
            <w:pPr>
              <w:rPr>
                <w:rFonts w:ascii="宋体"/>
                <w:vanish/>
              </w:rPr>
            </w:pPr>
          </w:p>
        </w:tc>
        <w:tc>
          <w:tcPr>
            <w:tcW w:w="0" w:type="auto"/>
            <w:gridSpan w:val="3"/>
            <w:shd w:val="clear" w:color="auto" w:fill="auto"/>
            <w:vAlign w:val="bottom"/>
          </w:tcPr>
          <w:p w14:paraId="71D4A3DA" w14:textId="77777777" w:rsidR="006A3667" w:rsidRDefault="006A3667">
            <w:pPr>
              <w:rPr>
                <w:rFonts w:ascii="宋体"/>
                <w:vanish/>
              </w:rPr>
            </w:pPr>
          </w:p>
        </w:tc>
        <w:tc>
          <w:tcPr>
            <w:tcW w:w="0" w:type="auto"/>
            <w:gridSpan w:val="3"/>
            <w:shd w:val="clear" w:color="auto" w:fill="auto"/>
            <w:vAlign w:val="bottom"/>
          </w:tcPr>
          <w:p w14:paraId="71D4A3DB" w14:textId="77777777" w:rsidR="006A3667" w:rsidRDefault="006A3667">
            <w:pPr>
              <w:rPr>
                <w:rFonts w:ascii="宋体"/>
                <w:vanish/>
              </w:rPr>
            </w:pPr>
          </w:p>
        </w:tc>
        <w:tc>
          <w:tcPr>
            <w:tcW w:w="0" w:type="auto"/>
            <w:gridSpan w:val="3"/>
            <w:shd w:val="clear" w:color="auto" w:fill="auto"/>
            <w:vAlign w:val="bottom"/>
          </w:tcPr>
          <w:p w14:paraId="71D4A3DC" w14:textId="77777777" w:rsidR="006A3667" w:rsidRDefault="006A3667">
            <w:pPr>
              <w:rPr>
                <w:rFonts w:ascii="宋体"/>
                <w:vanish/>
              </w:rPr>
            </w:pPr>
          </w:p>
        </w:tc>
        <w:tc>
          <w:tcPr>
            <w:tcW w:w="0" w:type="auto"/>
            <w:gridSpan w:val="3"/>
            <w:shd w:val="clear" w:color="auto" w:fill="auto"/>
            <w:vAlign w:val="bottom"/>
          </w:tcPr>
          <w:p w14:paraId="71D4A3DD" w14:textId="77777777" w:rsidR="006A3667" w:rsidRDefault="006A3667">
            <w:pPr>
              <w:rPr>
                <w:rFonts w:ascii="宋体"/>
                <w:vanish/>
              </w:rPr>
            </w:pPr>
          </w:p>
        </w:tc>
        <w:tc>
          <w:tcPr>
            <w:tcW w:w="0" w:type="auto"/>
            <w:gridSpan w:val="3"/>
            <w:shd w:val="clear" w:color="auto" w:fill="auto"/>
            <w:vAlign w:val="bottom"/>
          </w:tcPr>
          <w:p w14:paraId="71D4A3DE" w14:textId="77777777" w:rsidR="006A3667" w:rsidRDefault="006A3667">
            <w:pPr>
              <w:rPr>
                <w:rFonts w:ascii="宋体"/>
                <w:vanish/>
              </w:rPr>
            </w:pPr>
          </w:p>
        </w:tc>
        <w:tc>
          <w:tcPr>
            <w:tcW w:w="0" w:type="auto"/>
            <w:gridSpan w:val="3"/>
            <w:shd w:val="clear" w:color="auto" w:fill="auto"/>
            <w:vAlign w:val="bottom"/>
          </w:tcPr>
          <w:p w14:paraId="71D4A3DF" w14:textId="77777777" w:rsidR="006A3667" w:rsidRDefault="006A3667">
            <w:pPr>
              <w:rPr>
                <w:rFonts w:ascii="宋体"/>
                <w:vanish/>
              </w:rPr>
            </w:pPr>
          </w:p>
        </w:tc>
        <w:tc>
          <w:tcPr>
            <w:tcW w:w="0" w:type="auto"/>
            <w:gridSpan w:val="3"/>
            <w:shd w:val="clear" w:color="auto" w:fill="auto"/>
            <w:vAlign w:val="bottom"/>
          </w:tcPr>
          <w:p w14:paraId="71D4A3E0" w14:textId="77777777" w:rsidR="006A3667" w:rsidRDefault="006A3667">
            <w:pPr>
              <w:rPr>
                <w:rFonts w:ascii="宋体"/>
                <w:vanish/>
              </w:rPr>
            </w:pPr>
          </w:p>
        </w:tc>
        <w:tc>
          <w:tcPr>
            <w:tcW w:w="0" w:type="auto"/>
            <w:gridSpan w:val="3"/>
            <w:shd w:val="clear" w:color="auto" w:fill="auto"/>
            <w:vAlign w:val="bottom"/>
          </w:tcPr>
          <w:p w14:paraId="71D4A3E1" w14:textId="77777777" w:rsidR="006A3667" w:rsidRDefault="006A3667">
            <w:pPr>
              <w:rPr>
                <w:rFonts w:ascii="宋体"/>
                <w:vanish/>
              </w:rPr>
            </w:pPr>
          </w:p>
        </w:tc>
        <w:tc>
          <w:tcPr>
            <w:tcW w:w="0" w:type="auto"/>
            <w:gridSpan w:val="3"/>
            <w:shd w:val="clear" w:color="auto" w:fill="auto"/>
            <w:vAlign w:val="bottom"/>
          </w:tcPr>
          <w:p w14:paraId="71D4A3E2" w14:textId="77777777" w:rsidR="006A3667" w:rsidRDefault="006A3667">
            <w:pPr>
              <w:rPr>
                <w:rFonts w:ascii="宋体"/>
                <w:vanish/>
              </w:rPr>
            </w:pPr>
          </w:p>
        </w:tc>
        <w:tc>
          <w:tcPr>
            <w:tcW w:w="0" w:type="auto"/>
            <w:gridSpan w:val="3"/>
            <w:shd w:val="clear" w:color="auto" w:fill="auto"/>
            <w:vAlign w:val="bottom"/>
          </w:tcPr>
          <w:p w14:paraId="71D4A3E3" w14:textId="77777777" w:rsidR="006A3667" w:rsidRDefault="006A3667">
            <w:pPr>
              <w:rPr>
                <w:rFonts w:ascii="宋体"/>
                <w:vanish/>
              </w:rPr>
            </w:pPr>
          </w:p>
        </w:tc>
        <w:tc>
          <w:tcPr>
            <w:tcW w:w="0" w:type="auto"/>
            <w:gridSpan w:val="3"/>
            <w:shd w:val="clear" w:color="auto" w:fill="auto"/>
            <w:vAlign w:val="bottom"/>
          </w:tcPr>
          <w:p w14:paraId="71D4A3E4" w14:textId="77777777" w:rsidR="006A3667" w:rsidRDefault="006A3667">
            <w:pPr>
              <w:rPr>
                <w:rFonts w:ascii="宋体"/>
                <w:vanish/>
              </w:rPr>
            </w:pPr>
          </w:p>
        </w:tc>
        <w:tc>
          <w:tcPr>
            <w:tcW w:w="0" w:type="auto"/>
            <w:gridSpan w:val="3"/>
            <w:shd w:val="clear" w:color="auto" w:fill="auto"/>
            <w:vAlign w:val="bottom"/>
          </w:tcPr>
          <w:p w14:paraId="71D4A3E5" w14:textId="77777777" w:rsidR="006A3667" w:rsidRDefault="006A3667">
            <w:pPr>
              <w:rPr>
                <w:rFonts w:ascii="宋体"/>
                <w:vanish/>
              </w:rPr>
            </w:pPr>
          </w:p>
        </w:tc>
        <w:tc>
          <w:tcPr>
            <w:tcW w:w="0" w:type="auto"/>
            <w:gridSpan w:val="3"/>
            <w:shd w:val="clear" w:color="auto" w:fill="auto"/>
            <w:vAlign w:val="bottom"/>
          </w:tcPr>
          <w:p w14:paraId="71D4A3E6" w14:textId="77777777" w:rsidR="006A3667" w:rsidRDefault="006A3667">
            <w:pPr>
              <w:rPr>
                <w:rFonts w:ascii="宋体"/>
                <w:vanish/>
              </w:rPr>
            </w:pPr>
          </w:p>
        </w:tc>
        <w:tc>
          <w:tcPr>
            <w:tcW w:w="0" w:type="auto"/>
            <w:gridSpan w:val="3"/>
            <w:shd w:val="clear" w:color="auto" w:fill="auto"/>
            <w:vAlign w:val="bottom"/>
          </w:tcPr>
          <w:p w14:paraId="71D4A3E7" w14:textId="77777777" w:rsidR="006A3667" w:rsidRDefault="006A3667">
            <w:pPr>
              <w:rPr>
                <w:rFonts w:ascii="宋体"/>
                <w:vanish/>
              </w:rPr>
            </w:pPr>
          </w:p>
        </w:tc>
        <w:tc>
          <w:tcPr>
            <w:tcW w:w="0" w:type="auto"/>
            <w:gridSpan w:val="3"/>
            <w:shd w:val="clear" w:color="auto" w:fill="auto"/>
            <w:vAlign w:val="bottom"/>
          </w:tcPr>
          <w:p w14:paraId="71D4A3E8" w14:textId="77777777" w:rsidR="006A3667" w:rsidRDefault="006A3667">
            <w:pPr>
              <w:rPr>
                <w:rFonts w:ascii="宋体"/>
                <w:vanish/>
              </w:rPr>
            </w:pPr>
          </w:p>
        </w:tc>
        <w:tc>
          <w:tcPr>
            <w:tcW w:w="0" w:type="auto"/>
            <w:gridSpan w:val="3"/>
            <w:shd w:val="clear" w:color="auto" w:fill="auto"/>
            <w:vAlign w:val="bottom"/>
          </w:tcPr>
          <w:p w14:paraId="71D4A3E9" w14:textId="77777777" w:rsidR="006A3667" w:rsidRDefault="006A3667">
            <w:pPr>
              <w:rPr>
                <w:rFonts w:ascii="宋体"/>
                <w:vanish/>
              </w:rPr>
            </w:pPr>
          </w:p>
        </w:tc>
      </w:tr>
      <w:tr w:rsidR="006A3667" w14:paraId="71D4A3FF" w14:textId="77777777">
        <w:trPr>
          <w:hidden/>
        </w:trPr>
        <w:tc>
          <w:tcPr>
            <w:tcW w:w="0" w:type="auto"/>
            <w:gridSpan w:val="3"/>
            <w:shd w:val="clear" w:color="auto" w:fill="auto"/>
            <w:vAlign w:val="bottom"/>
          </w:tcPr>
          <w:p w14:paraId="71D4A3EB" w14:textId="77777777" w:rsidR="006A3667" w:rsidRDefault="006A3667">
            <w:pPr>
              <w:rPr>
                <w:rFonts w:ascii="宋体"/>
                <w:vanish/>
              </w:rPr>
            </w:pPr>
          </w:p>
        </w:tc>
        <w:tc>
          <w:tcPr>
            <w:tcW w:w="0" w:type="auto"/>
            <w:gridSpan w:val="3"/>
            <w:shd w:val="clear" w:color="auto" w:fill="auto"/>
            <w:vAlign w:val="bottom"/>
          </w:tcPr>
          <w:p w14:paraId="71D4A3EC" w14:textId="77777777" w:rsidR="006A3667" w:rsidRDefault="006A3667">
            <w:pPr>
              <w:rPr>
                <w:rFonts w:ascii="宋体"/>
                <w:vanish/>
              </w:rPr>
            </w:pPr>
          </w:p>
        </w:tc>
        <w:tc>
          <w:tcPr>
            <w:tcW w:w="0" w:type="auto"/>
            <w:gridSpan w:val="3"/>
            <w:shd w:val="clear" w:color="auto" w:fill="auto"/>
            <w:vAlign w:val="bottom"/>
          </w:tcPr>
          <w:p w14:paraId="71D4A3ED" w14:textId="77777777" w:rsidR="006A3667" w:rsidRDefault="006A3667">
            <w:pPr>
              <w:rPr>
                <w:rFonts w:ascii="宋体"/>
                <w:vanish/>
              </w:rPr>
            </w:pPr>
          </w:p>
        </w:tc>
        <w:tc>
          <w:tcPr>
            <w:tcW w:w="0" w:type="auto"/>
            <w:gridSpan w:val="3"/>
            <w:shd w:val="clear" w:color="auto" w:fill="auto"/>
            <w:vAlign w:val="bottom"/>
          </w:tcPr>
          <w:p w14:paraId="71D4A3EE" w14:textId="77777777" w:rsidR="006A3667" w:rsidRDefault="006A3667">
            <w:pPr>
              <w:rPr>
                <w:rFonts w:ascii="宋体"/>
                <w:vanish/>
              </w:rPr>
            </w:pPr>
          </w:p>
        </w:tc>
        <w:tc>
          <w:tcPr>
            <w:tcW w:w="0" w:type="auto"/>
            <w:gridSpan w:val="3"/>
            <w:shd w:val="clear" w:color="auto" w:fill="auto"/>
            <w:vAlign w:val="bottom"/>
          </w:tcPr>
          <w:p w14:paraId="71D4A3EF" w14:textId="77777777" w:rsidR="006A3667" w:rsidRDefault="006A3667">
            <w:pPr>
              <w:rPr>
                <w:rFonts w:ascii="宋体"/>
                <w:vanish/>
              </w:rPr>
            </w:pPr>
          </w:p>
        </w:tc>
        <w:tc>
          <w:tcPr>
            <w:tcW w:w="0" w:type="auto"/>
            <w:gridSpan w:val="3"/>
            <w:shd w:val="clear" w:color="auto" w:fill="auto"/>
            <w:vAlign w:val="bottom"/>
          </w:tcPr>
          <w:p w14:paraId="71D4A3F0" w14:textId="77777777" w:rsidR="006A3667" w:rsidRDefault="006A3667">
            <w:pPr>
              <w:rPr>
                <w:rFonts w:ascii="宋体"/>
                <w:vanish/>
              </w:rPr>
            </w:pPr>
          </w:p>
        </w:tc>
        <w:tc>
          <w:tcPr>
            <w:tcW w:w="0" w:type="auto"/>
            <w:gridSpan w:val="3"/>
            <w:shd w:val="clear" w:color="auto" w:fill="auto"/>
            <w:vAlign w:val="bottom"/>
          </w:tcPr>
          <w:p w14:paraId="71D4A3F1" w14:textId="77777777" w:rsidR="006A3667" w:rsidRDefault="006A3667">
            <w:pPr>
              <w:rPr>
                <w:rFonts w:ascii="宋体"/>
                <w:vanish/>
              </w:rPr>
            </w:pPr>
          </w:p>
        </w:tc>
        <w:tc>
          <w:tcPr>
            <w:tcW w:w="0" w:type="auto"/>
            <w:gridSpan w:val="3"/>
            <w:shd w:val="clear" w:color="auto" w:fill="auto"/>
            <w:vAlign w:val="bottom"/>
          </w:tcPr>
          <w:p w14:paraId="71D4A3F2" w14:textId="77777777" w:rsidR="006A3667" w:rsidRDefault="006A3667">
            <w:pPr>
              <w:rPr>
                <w:rFonts w:ascii="宋体"/>
                <w:vanish/>
              </w:rPr>
            </w:pPr>
          </w:p>
        </w:tc>
        <w:tc>
          <w:tcPr>
            <w:tcW w:w="0" w:type="auto"/>
            <w:gridSpan w:val="3"/>
            <w:shd w:val="clear" w:color="auto" w:fill="auto"/>
            <w:vAlign w:val="bottom"/>
          </w:tcPr>
          <w:p w14:paraId="71D4A3F3" w14:textId="77777777" w:rsidR="006A3667" w:rsidRDefault="006A3667">
            <w:pPr>
              <w:rPr>
                <w:rFonts w:ascii="宋体"/>
                <w:vanish/>
              </w:rPr>
            </w:pPr>
          </w:p>
        </w:tc>
        <w:tc>
          <w:tcPr>
            <w:tcW w:w="0" w:type="auto"/>
            <w:gridSpan w:val="3"/>
            <w:shd w:val="clear" w:color="auto" w:fill="auto"/>
            <w:vAlign w:val="bottom"/>
          </w:tcPr>
          <w:p w14:paraId="71D4A3F4" w14:textId="77777777" w:rsidR="006A3667" w:rsidRDefault="006A3667">
            <w:pPr>
              <w:rPr>
                <w:rFonts w:ascii="宋体"/>
                <w:vanish/>
              </w:rPr>
            </w:pPr>
          </w:p>
        </w:tc>
        <w:tc>
          <w:tcPr>
            <w:tcW w:w="0" w:type="auto"/>
            <w:gridSpan w:val="3"/>
            <w:shd w:val="clear" w:color="auto" w:fill="auto"/>
            <w:vAlign w:val="bottom"/>
          </w:tcPr>
          <w:p w14:paraId="71D4A3F5" w14:textId="77777777" w:rsidR="006A3667" w:rsidRDefault="006A3667">
            <w:pPr>
              <w:rPr>
                <w:rFonts w:ascii="宋体"/>
                <w:vanish/>
              </w:rPr>
            </w:pPr>
          </w:p>
        </w:tc>
        <w:tc>
          <w:tcPr>
            <w:tcW w:w="0" w:type="auto"/>
            <w:gridSpan w:val="3"/>
            <w:shd w:val="clear" w:color="auto" w:fill="auto"/>
            <w:vAlign w:val="bottom"/>
          </w:tcPr>
          <w:p w14:paraId="71D4A3F6" w14:textId="77777777" w:rsidR="006A3667" w:rsidRDefault="006A3667">
            <w:pPr>
              <w:rPr>
                <w:rFonts w:ascii="宋体"/>
                <w:vanish/>
              </w:rPr>
            </w:pPr>
          </w:p>
        </w:tc>
        <w:tc>
          <w:tcPr>
            <w:tcW w:w="0" w:type="auto"/>
            <w:gridSpan w:val="3"/>
            <w:shd w:val="clear" w:color="auto" w:fill="auto"/>
            <w:vAlign w:val="bottom"/>
          </w:tcPr>
          <w:p w14:paraId="71D4A3F7" w14:textId="77777777" w:rsidR="006A3667" w:rsidRDefault="006A3667">
            <w:pPr>
              <w:rPr>
                <w:rFonts w:ascii="宋体"/>
                <w:vanish/>
              </w:rPr>
            </w:pPr>
          </w:p>
        </w:tc>
        <w:tc>
          <w:tcPr>
            <w:tcW w:w="0" w:type="auto"/>
            <w:gridSpan w:val="3"/>
            <w:shd w:val="clear" w:color="auto" w:fill="auto"/>
            <w:vAlign w:val="bottom"/>
          </w:tcPr>
          <w:p w14:paraId="71D4A3F8" w14:textId="77777777" w:rsidR="006A3667" w:rsidRDefault="006A3667">
            <w:pPr>
              <w:rPr>
                <w:rFonts w:ascii="宋体"/>
                <w:vanish/>
              </w:rPr>
            </w:pPr>
          </w:p>
        </w:tc>
        <w:tc>
          <w:tcPr>
            <w:tcW w:w="0" w:type="auto"/>
            <w:gridSpan w:val="3"/>
            <w:shd w:val="clear" w:color="auto" w:fill="auto"/>
            <w:vAlign w:val="bottom"/>
          </w:tcPr>
          <w:p w14:paraId="71D4A3F9" w14:textId="77777777" w:rsidR="006A3667" w:rsidRDefault="006A3667">
            <w:pPr>
              <w:rPr>
                <w:rFonts w:ascii="宋体"/>
                <w:vanish/>
              </w:rPr>
            </w:pPr>
          </w:p>
        </w:tc>
        <w:tc>
          <w:tcPr>
            <w:tcW w:w="0" w:type="auto"/>
            <w:gridSpan w:val="3"/>
            <w:shd w:val="clear" w:color="auto" w:fill="auto"/>
            <w:vAlign w:val="bottom"/>
          </w:tcPr>
          <w:p w14:paraId="71D4A3FA" w14:textId="77777777" w:rsidR="006A3667" w:rsidRDefault="006A3667">
            <w:pPr>
              <w:rPr>
                <w:rFonts w:ascii="宋体"/>
                <w:vanish/>
              </w:rPr>
            </w:pPr>
          </w:p>
        </w:tc>
        <w:tc>
          <w:tcPr>
            <w:tcW w:w="0" w:type="auto"/>
            <w:gridSpan w:val="3"/>
            <w:shd w:val="clear" w:color="auto" w:fill="auto"/>
            <w:vAlign w:val="bottom"/>
          </w:tcPr>
          <w:p w14:paraId="71D4A3FB" w14:textId="77777777" w:rsidR="006A3667" w:rsidRDefault="006A3667">
            <w:pPr>
              <w:rPr>
                <w:rFonts w:ascii="宋体"/>
                <w:vanish/>
              </w:rPr>
            </w:pPr>
          </w:p>
        </w:tc>
        <w:tc>
          <w:tcPr>
            <w:tcW w:w="0" w:type="auto"/>
            <w:gridSpan w:val="3"/>
            <w:shd w:val="clear" w:color="auto" w:fill="auto"/>
            <w:vAlign w:val="bottom"/>
          </w:tcPr>
          <w:p w14:paraId="71D4A3FC" w14:textId="77777777" w:rsidR="006A3667" w:rsidRDefault="006A3667">
            <w:pPr>
              <w:rPr>
                <w:rFonts w:ascii="宋体"/>
                <w:vanish/>
              </w:rPr>
            </w:pPr>
          </w:p>
        </w:tc>
        <w:tc>
          <w:tcPr>
            <w:tcW w:w="0" w:type="auto"/>
            <w:gridSpan w:val="3"/>
            <w:shd w:val="clear" w:color="auto" w:fill="auto"/>
            <w:vAlign w:val="bottom"/>
          </w:tcPr>
          <w:p w14:paraId="71D4A3FD" w14:textId="77777777" w:rsidR="006A3667" w:rsidRDefault="006A3667">
            <w:pPr>
              <w:rPr>
                <w:rFonts w:ascii="宋体"/>
                <w:vanish/>
              </w:rPr>
            </w:pPr>
          </w:p>
        </w:tc>
        <w:tc>
          <w:tcPr>
            <w:tcW w:w="0" w:type="auto"/>
            <w:gridSpan w:val="3"/>
            <w:shd w:val="clear" w:color="auto" w:fill="auto"/>
            <w:vAlign w:val="bottom"/>
          </w:tcPr>
          <w:p w14:paraId="71D4A3FE" w14:textId="77777777" w:rsidR="006A3667" w:rsidRDefault="006A3667">
            <w:pPr>
              <w:rPr>
                <w:rFonts w:ascii="宋体"/>
                <w:vanish/>
              </w:rPr>
            </w:pPr>
          </w:p>
        </w:tc>
      </w:tr>
      <w:tr w:rsidR="006A3667" w14:paraId="71D4A414" w14:textId="77777777">
        <w:trPr>
          <w:hidden/>
        </w:trPr>
        <w:tc>
          <w:tcPr>
            <w:tcW w:w="0" w:type="auto"/>
            <w:gridSpan w:val="3"/>
            <w:shd w:val="clear" w:color="auto" w:fill="auto"/>
            <w:vAlign w:val="bottom"/>
          </w:tcPr>
          <w:p w14:paraId="71D4A400" w14:textId="77777777" w:rsidR="006A3667" w:rsidRDefault="006A3667">
            <w:pPr>
              <w:rPr>
                <w:rFonts w:ascii="宋体"/>
                <w:vanish/>
              </w:rPr>
            </w:pPr>
          </w:p>
        </w:tc>
        <w:tc>
          <w:tcPr>
            <w:tcW w:w="0" w:type="auto"/>
            <w:gridSpan w:val="3"/>
            <w:shd w:val="clear" w:color="auto" w:fill="auto"/>
            <w:vAlign w:val="bottom"/>
          </w:tcPr>
          <w:p w14:paraId="71D4A401" w14:textId="77777777" w:rsidR="006A3667" w:rsidRDefault="006A3667">
            <w:pPr>
              <w:rPr>
                <w:rFonts w:ascii="宋体"/>
                <w:vanish/>
              </w:rPr>
            </w:pPr>
          </w:p>
        </w:tc>
        <w:tc>
          <w:tcPr>
            <w:tcW w:w="0" w:type="auto"/>
            <w:gridSpan w:val="3"/>
            <w:shd w:val="clear" w:color="auto" w:fill="auto"/>
            <w:vAlign w:val="bottom"/>
          </w:tcPr>
          <w:p w14:paraId="71D4A402" w14:textId="77777777" w:rsidR="006A3667" w:rsidRDefault="006A3667">
            <w:pPr>
              <w:rPr>
                <w:rFonts w:ascii="宋体"/>
                <w:vanish/>
              </w:rPr>
            </w:pPr>
          </w:p>
        </w:tc>
        <w:tc>
          <w:tcPr>
            <w:tcW w:w="0" w:type="auto"/>
            <w:gridSpan w:val="3"/>
            <w:shd w:val="clear" w:color="auto" w:fill="auto"/>
            <w:vAlign w:val="bottom"/>
          </w:tcPr>
          <w:p w14:paraId="71D4A403" w14:textId="77777777" w:rsidR="006A3667" w:rsidRDefault="006A3667">
            <w:pPr>
              <w:rPr>
                <w:rFonts w:ascii="宋体"/>
                <w:vanish/>
              </w:rPr>
            </w:pPr>
          </w:p>
        </w:tc>
        <w:tc>
          <w:tcPr>
            <w:tcW w:w="0" w:type="auto"/>
            <w:gridSpan w:val="3"/>
            <w:shd w:val="clear" w:color="auto" w:fill="auto"/>
            <w:vAlign w:val="bottom"/>
          </w:tcPr>
          <w:p w14:paraId="71D4A404" w14:textId="77777777" w:rsidR="006A3667" w:rsidRDefault="006A3667">
            <w:pPr>
              <w:rPr>
                <w:rFonts w:ascii="宋体"/>
                <w:vanish/>
              </w:rPr>
            </w:pPr>
          </w:p>
        </w:tc>
        <w:tc>
          <w:tcPr>
            <w:tcW w:w="0" w:type="auto"/>
            <w:gridSpan w:val="3"/>
            <w:shd w:val="clear" w:color="auto" w:fill="auto"/>
            <w:vAlign w:val="bottom"/>
          </w:tcPr>
          <w:p w14:paraId="71D4A405" w14:textId="77777777" w:rsidR="006A3667" w:rsidRDefault="006A3667">
            <w:pPr>
              <w:rPr>
                <w:rFonts w:ascii="宋体"/>
                <w:vanish/>
              </w:rPr>
            </w:pPr>
          </w:p>
        </w:tc>
        <w:tc>
          <w:tcPr>
            <w:tcW w:w="0" w:type="auto"/>
            <w:gridSpan w:val="3"/>
            <w:shd w:val="clear" w:color="auto" w:fill="auto"/>
            <w:vAlign w:val="bottom"/>
          </w:tcPr>
          <w:p w14:paraId="71D4A406" w14:textId="77777777" w:rsidR="006A3667" w:rsidRDefault="006A3667">
            <w:pPr>
              <w:rPr>
                <w:rFonts w:ascii="宋体"/>
                <w:vanish/>
              </w:rPr>
            </w:pPr>
          </w:p>
        </w:tc>
        <w:tc>
          <w:tcPr>
            <w:tcW w:w="0" w:type="auto"/>
            <w:gridSpan w:val="3"/>
            <w:shd w:val="clear" w:color="auto" w:fill="auto"/>
            <w:vAlign w:val="bottom"/>
          </w:tcPr>
          <w:p w14:paraId="71D4A407" w14:textId="77777777" w:rsidR="006A3667" w:rsidRDefault="006A3667">
            <w:pPr>
              <w:rPr>
                <w:rFonts w:ascii="宋体"/>
                <w:vanish/>
              </w:rPr>
            </w:pPr>
          </w:p>
        </w:tc>
        <w:tc>
          <w:tcPr>
            <w:tcW w:w="0" w:type="auto"/>
            <w:gridSpan w:val="3"/>
            <w:shd w:val="clear" w:color="auto" w:fill="auto"/>
            <w:vAlign w:val="bottom"/>
          </w:tcPr>
          <w:p w14:paraId="71D4A408" w14:textId="77777777" w:rsidR="006A3667" w:rsidRDefault="006A3667">
            <w:pPr>
              <w:rPr>
                <w:rFonts w:ascii="宋体"/>
                <w:vanish/>
              </w:rPr>
            </w:pPr>
          </w:p>
        </w:tc>
        <w:tc>
          <w:tcPr>
            <w:tcW w:w="0" w:type="auto"/>
            <w:gridSpan w:val="3"/>
            <w:shd w:val="clear" w:color="auto" w:fill="auto"/>
            <w:vAlign w:val="bottom"/>
          </w:tcPr>
          <w:p w14:paraId="71D4A409" w14:textId="77777777" w:rsidR="006A3667" w:rsidRDefault="006A3667">
            <w:pPr>
              <w:rPr>
                <w:rFonts w:ascii="宋体"/>
                <w:vanish/>
              </w:rPr>
            </w:pPr>
          </w:p>
        </w:tc>
        <w:tc>
          <w:tcPr>
            <w:tcW w:w="0" w:type="auto"/>
            <w:gridSpan w:val="3"/>
            <w:shd w:val="clear" w:color="auto" w:fill="auto"/>
            <w:vAlign w:val="bottom"/>
          </w:tcPr>
          <w:p w14:paraId="71D4A40A" w14:textId="77777777" w:rsidR="006A3667" w:rsidRDefault="006A3667">
            <w:pPr>
              <w:rPr>
                <w:rFonts w:ascii="宋体"/>
                <w:vanish/>
              </w:rPr>
            </w:pPr>
          </w:p>
        </w:tc>
        <w:tc>
          <w:tcPr>
            <w:tcW w:w="0" w:type="auto"/>
            <w:gridSpan w:val="3"/>
            <w:shd w:val="clear" w:color="auto" w:fill="auto"/>
            <w:vAlign w:val="bottom"/>
          </w:tcPr>
          <w:p w14:paraId="71D4A40B" w14:textId="77777777" w:rsidR="006A3667" w:rsidRDefault="006A3667">
            <w:pPr>
              <w:rPr>
                <w:rFonts w:ascii="宋体"/>
                <w:vanish/>
              </w:rPr>
            </w:pPr>
          </w:p>
        </w:tc>
        <w:tc>
          <w:tcPr>
            <w:tcW w:w="0" w:type="auto"/>
            <w:gridSpan w:val="3"/>
            <w:shd w:val="clear" w:color="auto" w:fill="auto"/>
            <w:vAlign w:val="bottom"/>
          </w:tcPr>
          <w:p w14:paraId="71D4A40C" w14:textId="77777777" w:rsidR="006A3667" w:rsidRDefault="006A3667">
            <w:pPr>
              <w:rPr>
                <w:rFonts w:ascii="宋体"/>
                <w:vanish/>
              </w:rPr>
            </w:pPr>
          </w:p>
        </w:tc>
        <w:tc>
          <w:tcPr>
            <w:tcW w:w="0" w:type="auto"/>
            <w:gridSpan w:val="3"/>
            <w:shd w:val="clear" w:color="auto" w:fill="auto"/>
            <w:vAlign w:val="bottom"/>
          </w:tcPr>
          <w:p w14:paraId="71D4A40D" w14:textId="77777777" w:rsidR="006A3667" w:rsidRDefault="006A3667">
            <w:pPr>
              <w:rPr>
                <w:rFonts w:ascii="宋体"/>
                <w:vanish/>
              </w:rPr>
            </w:pPr>
          </w:p>
        </w:tc>
        <w:tc>
          <w:tcPr>
            <w:tcW w:w="0" w:type="auto"/>
            <w:gridSpan w:val="3"/>
            <w:shd w:val="clear" w:color="auto" w:fill="auto"/>
            <w:vAlign w:val="bottom"/>
          </w:tcPr>
          <w:p w14:paraId="71D4A40E" w14:textId="77777777" w:rsidR="006A3667" w:rsidRDefault="006A3667">
            <w:pPr>
              <w:rPr>
                <w:rFonts w:ascii="宋体"/>
                <w:vanish/>
              </w:rPr>
            </w:pPr>
          </w:p>
        </w:tc>
        <w:tc>
          <w:tcPr>
            <w:tcW w:w="0" w:type="auto"/>
            <w:gridSpan w:val="3"/>
            <w:shd w:val="clear" w:color="auto" w:fill="auto"/>
            <w:vAlign w:val="bottom"/>
          </w:tcPr>
          <w:p w14:paraId="71D4A40F" w14:textId="77777777" w:rsidR="006A3667" w:rsidRDefault="006A3667">
            <w:pPr>
              <w:rPr>
                <w:rFonts w:ascii="宋体"/>
                <w:vanish/>
              </w:rPr>
            </w:pPr>
          </w:p>
        </w:tc>
        <w:tc>
          <w:tcPr>
            <w:tcW w:w="0" w:type="auto"/>
            <w:gridSpan w:val="3"/>
            <w:shd w:val="clear" w:color="auto" w:fill="auto"/>
            <w:vAlign w:val="bottom"/>
          </w:tcPr>
          <w:p w14:paraId="71D4A410" w14:textId="77777777" w:rsidR="006A3667" w:rsidRDefault="006A3667">
            <w:pPr>
              <w:rPr>
                <w:rFonts w:ascii="宋体"/>
                <w:vanish/>
              </w:rPr>
            </w:pPr>
          </w:p>
        </w:tc>
        <w:tc>
          <w:tcPr>
            <w:tcW w:w="0" w:type="auto"/>
            <w:gridSpan w:val="3"/>
            <w:shd w:val="clear" w:color="auto" w:fill="auto"/>
            <w:vAlign w:val="bottom"/>
          </w:tcPr>
          <w:p w14:paraId="71D4A411" w14:textId="77777777" w:rsidR="006A3667" w:rsidRDefault="006A3667">
            <w:pPr>
              <w:rPr>
                <w:rFonts w:ascii="宋体"/>
                <w:vanish/>
              </w:rPr>
            </w:pPr>
          </w:p>
        </w:tc>
        <w:tc>
          <w:tcPr>
            <w:tcW w:w="0" w:type="auto"/>
            <w:gridSpan w:val="3"/>
            <w:shd w:val="clear" w:color="auto" w:fill="auto"/>
            <w:vAlign w:val="bottom"/>
          </w:tcPr>
          <w:p w14:paraId="71D4A412" w14:textId="77777777" w:rsidR="006A3667" w:rsidRDefault="006A3667">
            <w:pPr>
              <w:rPr>
                <w:rFonts w:ascii="宋体"/>
                <w:vanish/>
              </w:rPr>
            </w:pPr>
          </w:p>
        </w:tc>
        <w:tc>
          <w:tcPr>
            <w:tcW w:w="0" w:type="auto"/>
            <w:gridSpan w:val="3"/>
            <w:shd w:val="clear" w:color="auto" w:fill="auto"/>
            <w:vAlign w:val="bottom"/>
          </w:tcPr>
          <w:p w14:paraId="71D4A413" w14:textId="77777777" w:rsidR="006A3667" w:rsidRDefault="006A3667">
            <w:pPr>
              <w:rPr>
                <w:rFonts w:ascii="宋体"/>
                <w:vanish/>
              </w:rPr>
            </w:pPr>
          </w:p>
        </w:tc>
      </w:tr>
      <w:tr w:rsidR="006A3667" w14:paraId="71D4A429" w14:textId="77777777">
        <w:trPr>
          <w:hidden/>
        </w:trPr>
        <w:tc>
          <w:tcPr>
            <w:tcW w:w="0" w:type="auto"/>
            <w:gridSpan w:val="3"/>
            <w:shd w:val="clear" w:color="auto" w:fill="auto"/>
            <w:vAlign w:val="bottom"/>
          </w:tcPr>
          <w:p w14:paraId="71D4A415" w14:textId="77777777" w:rsidR="006A3667" w:rsidRDefault="006A3667">
            <w:pPr>
              <w:rPr>
                <w:rFonts w:ascii="宋体"/>
                <w:vanish/>
              </w:rPr>
            </w:pPr>
          </w:p>
        </w:tc>
        <w:tc>
          <w:tcPr>
            <w:tcW w:w="0" w:type="auto"/>
            <w:gridSpan w:val="3"/>
            <w:shd w:val="clear" w:color="auto" w:fill="auto"/>
            <w:vAlign w:val="bottom"/>
          </w:tcPr>
          <w:p w14:paraId="71D4A416" w14:textId="77777777" w:rsidR="006A3667" w:rsidRDefault="006A3667">
            <w:pPr>
              <w:rPr>
                <w:rFonts w:ascii="宋体"/>
                <w:vanish/>
              </w:rPr>
            </w:pPr>
          </w:p>
        </w:tc>
        <w:tc>
          <w:tcPr>
            <w:tcW w:w="0" w:type="auto"/>
            <w:gridSpan w:val="3"/>
            <w:shd w:val="clear" w:color="auto" w:fill="auto"/>
            <w:vAlign w:val="bottom"/>
          </w:tcPr>
          <w:p w14:paraId="71D4A417" w14:textId="77777777" w:rsidR="006A3667" w:rsidRDefault="006A3667">
            <w:pPr>
              <w:rPr>
                <w:rFonts w:ascii="宋体"/>
                <w:vanish/>
              </w:rPr>
            </w:pPr>
          </w:p>
        </w:tc>
        <w:tc>
          <w:tcPr>
            <w:tcW w:w="0" w:type="auto"/>
            <w:gridSpan w:val="3"/>
            <w:shd w:val="clear" w:color="auto" w:fill="auto"/>
            <w:vAlign w:val="bottom"/>
          </w:tcPr>
          <w:p w14:paraId="71D4A418" w14:textId="77777777" w:rsidR="006A3667" w:rsidRDefault="006A3667">
            <w:pPr>
              <w:rPr>
                <w:rFonts w:ascii="宋体"/>
                <w:vanish/>
              </w:rPr>
            </w:pPr>
          </w:p>
        </w:tc>
        <w:tc>
          <w:tcPr>
            <w:tcW w:w="0" w:type="auto"/>
            <w:gridSpan w:val="3"/>
            <w:shd w:val="clear" w:color="auto" w:fill="auto"/>
            <w:vAlign w:val="bottom"/>
          </w:tcPr>
          <w:p w14:paraId="71D4A419" w14:textId="77777777" w:rsidR="006A3667" w:rsidRDefault="006A3667">
            <w:pPr>
              <w:rPr>
                <w:rFonts w:ascii="宋体"/>
                <w:vanish/>
              </w:rPr>
            </w:pPr>
          </w:p>
        </w:tc>
        <w:tc>
          <w:tcPr>
            <w:tcW w:w="0" w:type="auto"/>
            <w:gridSpan w:val="3"/>
            <w:shd w:val="clear" w:color="auto" w:fill="auto"/>
            <w:vAlign w:val="bottom"/>
          </w:tcPr>
          <w:p w14:paraId="71D4A41A" w14:textId="77777777" w:rsidR="006A3667" w:rsidRDefault="006A3667">
            <w:pPr>
              <w:rPr>
                <w:rFonts w:ascii="宋体"/>
                <w:vanish/>
              </w:rPr>
            </w:pPr>
          </w:p>
        </w:tc>
        <w:tc>
          <w:tcPr>
            <w:tcW w:w="0" w:type="auto"/>
            <w:gridSpan w:val="3"/>
            <w:shd w:val="clear" w:color="auto" w:fill="auto"/>
            <w:vAlign w:val="bottom"/>
          </w:tcPr>
          <w:p w14:paraId="71D4A41B" w14:textId="77777777" w:rsidR="006A3667" w:rsidRDefault="006A3667">
            <w:pPr>
              <w:rPr>
                <w:rFonts w:ascii="宋体"/>
                <w:vanish/>
              </w:rPr>
            </w:pPr>
          </w:p>
        </w:tc>
        <w:tc>
          <w:tcPr>
            <w:tcW w:w="0" w:type="auto"/>
            <w:gridSpan w:val="3"/>
            <w:shd w:val="clear" w:color="auto" w:fill="auto"/>
            <w:vAlign w:val="bottom"/>
          </w:tcPr>
          <w:p w14:paraId="71D4A41C" w14:textId="77777777" w:rsidR="006A3667" w:rsidRDefault="006A3667">
            <w:pPr>
              <w:rPr>
                <w:rFonts w:ascii="宋体"/>
                <w:vanish/>
              </w:rPr>
            </w:pPr>
          </w:p>
        </w:tc>
        <w:tc>
          <w:tcPr>
            <w:tcW w:w="0" w:type="auto"/>
            <w:gridSpan w:val="3"/>
            <w:shd w:val="clear" w:color="auto" w:fill="auto"/>
            <w:vAlign w:val="bottom"/>
          </w:tcPr>
          <w:p w14:paraId="71D4A41D" w14:textId="77777777" w:rsidR="006A3667" w:rsidRDefault="006A3667">
            <w:pPr>
              <w:rPr>
                <w:rFonts w:ascii="宋体"/>
                <w:vanish/>
              </w:rPr>
            </w:pPr>
          </w:p>
        </w:tc>
        <w:tc>
          <w:tcPr>
            <w:tcW w:w="0" w:type="auto"/>
            <w:gridSpan w:val="3"/>
            <w:shd w:val="clear" w:color="auto" w:fill="auto"/>
            <w:vAlign w:val="bottom"/>
          </w:tcPr>
          <w:p w14:paraId="71D4A41E" w14:textId="77777777" w:rsidR="006A3667" w:rsidRDefault="006A3667">
            <w:pPr>
              <w:rPr>
                <w:rFonts w:ascii="宋体"/>
                <w:vanish/>
              </w:rPr>
            </w:pPr>
          </w:p>
        </w:tc>
        <w:tc>
          <w:tcPr>
            <w:tcW w:w="0" w:type="auto"/>
            <w:gridSpan w:val="3"/>
            <w:shd w:val="clear" w:color="auto" w:fill="auto"/>
            <w:vAlign w:val="bottom"/>
          </w:tcPr>
          <w:p w14:paraId="71D4A41F" w14:textId="77777777" w:rsidR="006A3667" w:rsidRDefault="006A3667">
            <w:pPr>
              <w:rPr>
                <w:rFonts w:ascii="宋体"/>
                <w:vanish/>
              </w:rPr>
            </w:pPr>
          </w:p>
        </w:tc>
        <w:tc>
          <w:tcPr>
            <w:tcW w:w="0" w:type="auto"/>
            <w:gridSpan w:val="3"/>
            <w:shd w:val="clear" w:color="auto" w:fill="auto"/>
            <w:vAlign w:val="bottom"/>
          </w:tcPr>
          <w:p w14:paraId="71D4A420" w14:textId="77777777" w:rsidR="006A3667" w:rsidRDefault="006A3667">
            <w:pPr>
              <w:rPr>
                <w:rFonts w:ascii="宋体"/>
                <w:vanish/>
              </w:rPr>
            </w:pPr>
          </w:p>
        </w:tc>
        <w:tc>
          <w:tcPr>
            <w:tcW w:w="0" w:type="auto"/>
            <w:gridSpan w:val="3"/>
            <w:shd w:val="clear" w:color="auto" w:fill="auto"/>
            <w:vAlign w:val="bottom"/>
          </w:tcPr>
          <w:p w14:paraId="71D4A421" w14:textId="77777777" w:rsidR="006A3667" w:rsidRDefault="006A3667">
            <w:pPr>
              <w:rPr>
                <w:rFonts w:ascii="宋体"/>
                <w:vanish/>
              </w:rPr>
            </w:pPr>
          </w:p>
        </w:tc>
        <w:tc>
          <w:tcPr>
            <w:tcW w:w="0" w:type="auto"/>
            <w:gridSpan w:val="3"/>
            <w:shd w:val="clear" w:color="auto" w:fill="auto"/>
            <w:vAlign w:val="bottom"/>
          </w:tcPr>
          <w:p w14:paraId="71D4A422" w14:textId="77777777" w:rsidR="006A3667" w:rsidRDefault="006A3667">
            <w:pPr>
              <w:rPr>
                <w:rFonts w:ascii="宋体"/>
                <w:vanish/>
              </w:rPr>
            </w:pPr>
          </w:p>
        </w:tc>
        <w:tc>
          <w:tcPr>
            <w:tcW w:w="0" w:type="auto"/>
            <w:gridSpan w:val="3"/>
            <w:shd w:val="clear" w:color="auto" w:fill="auto"/>
            <w:vAlign w:val="bottom"/>
          </w:tcPr>
          <w:p w14:paraId="71D4A423" w14:textId="77777777" w:rsidR="006A3667" w:rsidRDefault="006A3667">
            <w:pPr>
              <w:rPr>
                <w:rFonts w:ascii="宋体"/>
                <w:vanish/>
              </w:rPr>
            </w:pPr>
          </w:p>
        </w:tc>
        <w:tc>
          <w:tcPr>
            <w:tcW w:w="0" w:type="auto"/>
            <w:gridSpan w:val="3"/>
            <w:shd w:val="clear" w:color="auto" w:fill="auto"/>
            <w:vAlign w:val="bottom"/>
          </w:tcPr>
          <w:p w14:paraId="71D4A424" w14:textId="77777777" w:rsidR="006A3667" w:rsidRDefault="006A3667">
            <w:pPr>
              <w:rPr>
                <w:rFonts w:ascii="宋体"/>
                <w:vanish/>
              </w:rPr>
            </w:pPr>
          </w:p>
        </w:tc>
        <w:tc>
          <w:tcPr>
            <w:tcW w:w="0" w:type="auto"/>
            <w:gridSpan w:val="3"/>
            <w:shd w:val="clear" w:color="auto" w:fill="auto"/>
            <w:vAlign w:val="bottom"/>
          </w:tcPr>
          <w:p w14:paraId="71D4A425" w14:textId="77777777" w:rsidR="006A3667" w:rsidRDefault="006A3667">
            <w:pPr>
              <w:rPr>
                <w:rFonts w:ascii="宋体"/>
                <w:vanish/>
              </w:rPr>
            </w:pPr>
          </w:p>
        </w:tc>
        <w:tc>
          <w:tcPr>
            <w:tcW w:w="0" w:type="auto"/>
            <w:gridSpan w:val="3"/>
            <w:shd w:val="clear" w:color="auto" w:fill="auto"/>
            <w:vAlign w:val="bottom"/>
          </w:tcPr>
          <w:p w14:paraId="71D4A426" w14:textId="77777777" w:rsidR="006A3667" w:rsidRDefault="006A3667">
            <w:pPr>
              <w:rPr>
                <w:rFonts w:ascii="宋体"/>
                <w:vanish/>
              </w:rPr>
            </w:pPr>
          </w:p>
        </w:tc>
        <w:tc>
          <w:tcPr>
            <w:tcW w:w="0" w:type="auto"/>
            <w:gridSpan w:val="3"/>
            <w:shd w:val="clear" w:color="auto" w:fill="auto"/>
            <w:vAlign w:val="bottom"/>
          </w:tcPr>
          <w:p w14:paraId="71D4A427" w14:textId="77777777" w:rsidR="006A3667" w:rsidRDefault="006A3667">
            <w:pPr>
              <w:rPr>
                <w:rFonts w:ascii="宋体"/>
                <w:vanish/>
              </w:rPr>
            </w:pPr>
          </w:p>
        </w:tc>
        <w:tc>
          <w:tcPr>
            <w:tcW w:w="0" w:type="auto"/>
            <w:gridSpan w:val="3"/>
            <w:shd w:val="clear" w:color="auto" w:fill="auto"/>
            <w:vAlign w:val="bottom"/>
          </w:tcPr>
          <w:p w14:paraId="71D4A428" w14:textId="77777777" w:rsidR="006A3667" w:rsidRDefault="006A3667">
            <w:pPr>
              <w:rPr>
                <w:rFonts w:ascii="宋体"/>
                <w:vanish/>
              </w:rPr>
            </w:pPr>
          </w:p>
        </w:tc>
      </w:tr>
      <w:tr w:rsidR="006A3667" w14:paraId="71D4A43E" w14:textId="77777777">
        <w:trPr>
          <w:hidden/>
        </w:trPr>
        <w:tc>
          <w:tcPr>
            <w:tcW w:w="0" w:type="auto"/>
            <w:gridSpan w:val="3"/>
            <w:shd w:val="clear" w:color="auto" w:fill="auto"/>
            <w:vAlign w:val="bottom"/>
          </w:tcPr>
          <w:p w14:paraId="71D4A42A" w14:textId="77777777" w:rsidR="006A3667" w:rsidRDefault="006A3667">
            <w:pPr>
              <w:rPr>
                <w:rFonts w:ascii="宋体"/>
                <w:vanish/>
              </w:rPr>
            </w:pPr>
          </w:p>
        </w:tc>
        <w:tc>
          <w:tcPr>
            <w:tcW w:w="0" w:type="auto"/>
            <w:gridSpan w:val="3"/>
            <w:shd w:val="clear" w:color="auto" w:fill="auto"/>
            <w:vAlign w:val="bottom"/>
          </w:tcPr>
          <w:p w14:paraId="71D4A42B" w14:textId="77777777" w:rsidR="006A3667" w:rsidRDefault="006A3667">
            <w:pPr>
              <w:rPr>
                <w:rFonts w:ascii="宋体"/>
                <w:vanish/>
              </w:rPr>
            </w:pPr>
          </w:p>
        </w:tc>
        <w:tc>
          <w:tcPr>
            <w:tcW w:w="0" w:type="auto"/>
            <w:gridSpan w:val="3"/>
            <w:shd w:val="clear" w:color="auto" w:fill="auto"/>
            <w:vAlign w:val="bottom"/>
          </w:tcPr>
          <w:p w14:paraId="71D4A42C" w14:textId="77777777" w:rsidR="006A3667" w:rsidRDefault="006A3667">
            <w:pPr>
              <w:rPr>
                <w:rFonts w:ascii="宋体"/>
                <w:vanish/>
              </w:rPr>
            </w:pPr>
          </w:p>
        </w:tc>
        <w:tc>
          <w:tcPr>
            <w:tcW w:w="0" w:type="auto"/>
            <w:gridSpan w:val="3"/>
            <w:shd w:val="clear" w:color="auto" w:fill="auto"/>
            <w:vAlign w:val="bottom"/>
          </w:tcPr>
          <w:p w14:paraId="71D4A42D" w14:textId="77777777" w:rsidR="006A3667" w:rsidRDefault="006A3667">
            <w:pPr>
              <w:rPr>
                <w:rFonts w:ascii="宋体"/>
                <w:vanish/>
              </w:rPr>
            </w:pPr>
          </w:p>
        </w:tc>
        <w:tc>
          <w:tcPr>
            <w:tcW w:w="0" w:type="auto"/>
            <w:gridSpan w:val="3"/>
            <w:shd w:val="clear" w:color="auto" w:fill="auto"/>
            <w:vAlign w:val="bottom"/>
          </w:tcPr>
          <w:p w14:paraId="71D4A42E" w14:textId="77777777" w:rsidR="006A3667" w:rsidRDefault="006A3667">
            <w:pPr>
              <w:rPr>
                <w:rFonts w:ascii="宋体"/>
                <w:vanish/>
              </w:rPr>
            </w:pPr>
          </w:p>
        </w:tc>
        <w:tc>
          <w:tcPr>
            <w:tcW w:w="0" w:type="auto"/>
            <w:gridSpan w:val="3"/>
            <w:shd w:val="clear" w:color="auto" w:fill="auto"/>
            <w:vAlign w:val="bottom"/>
          </w:tcPr>
          <w:p w14:paraId="71D4A42F" w14:textId="77777777" w:rsidR="006A3667" w:rsidRDefault="006A3667">
            <w:pPr>
              <w:rPr>
                <w:rFonts w:ascii="宋体"/>
                <w:vanish/>
              </w:rPr>
            </w:pPr>
          </w:p>
        </w:tc>
        <w:tc>
          <w:tcPr>
            <w:tcW w:w="0" w:type="auto"/>
            <w:gridSpan w:val="3"/>
            <w:shd w:val="clear" w:color="auto" w:fill="auto"/>
            <w:vAlign w:val="bottom"/>
          </w:tcPr>
          <w:p w14:paraId="71D4A430" w14:textId="77777777" w:rsidR="006A3667" w:rsidRDefault="006A3667">
            <w:pPr>
              <w:rPr>
                <w:rFonts w:ascii="宋体"/>
                <w:vanish/>
              </w:rPr>
            </w:pPr>
          </w:p>
        </w:tc>
        <w:tc>
          <w:tcPr>
            <w:tcW w:w="0" w:type="auto"/>
            <w:gridSpan w:val="3"/>
            <w:shd w:val="clear" w:color="auto" w:fill="auto"/>
            <w:vAlign w:val="bottom"/>
          </w:tcPr>
          <w:p w14:paraId="71D4A431" w14:textId="77777777" w:rsidR="006A3667" w:rsidRDefault="006A3667">
            <w:pPr>
              <w:rPr>
                <w:rFonts w:ascii="宋体"/>
                <w:vanish/>
              </w:rPr>
            </w:pPr>
          </w:p>
        </w:tc>
        <w:tc>
          <w:tcPr>
            <w:tcW w:w="0" w:type="auto"/>
            <w:gridSpan w:val="3"/>
            <w:shd w:val="clear" w:color="auto" w:fill="auto"/>
            <w:vAlign w:val="bottom"/>
          </w:tcPr>
          <w:p w14:paraId="71D4A432" w14:textId="77777777" w:rsidR="006A3667" w:rsidRDefault="006A3667">
            <w:pPr>
              <w:rPr>
                <w:rFonts w:ascii="宋体"/>
                <w:vanish/>
              </w:rPr>
            </w:pPr>
          </w:p>
        </w:tc>
        <w:tc>
          <w:tcPr>
            <w:tcW w:w="0" w:type="auto"/>
            <w:gridSpan w:val="3"/>
            <w:shd w:val="clear" w:color="auto" w:fill="auto"/>
            <w:vAlign w:val="bottom"/>
          </w:tcPr>
          <w:p w14:paraId="71D4A433" w14:textId="77777777" w:rsidR="006A3667" w:rsidRDefault="006A3667">
            <w:pPr>
              <w:rPr>
                <w:rFonts w:ascii="宋体"/>
                <w:vanish/>
              </w:rPr>
            </w:pPr>
          </w:p>
        </w:tc>
        <w:tc>
          <w:tcPr>
            <w:tcW w:w="0" w:type="auto"/>
            <w:gridSpan w:val="3"/>
            <w:shd w:val="clear" w:color="auto" w:fill="auto"/>
            <w:vAlign w:val="bottom"/>
          </w:tcPr>
          <w:p w14:paraId="71D4A434" w14:textId="77777777" w:rsidR="006A3667" w:rsidRDefault="006A3667">
            <w:pPr>
              <w:rPr>
                <w:rFonts w:ascii="宋体"/>
                <w:vanish/>
              </w:rPr>
            </w:pPr>
          </w:p>
        </w:tc>
        <w:tc>
          <w:tcPr>
            <w:tcW w:w="0" w:type="auto"/>
            <w:gridSpan w:val="3"/>
            <w:shd w:val="clear" w:color="auto" w:fill="auto"/>
            <w:vAlign w:val="bottom"/>
          </w:tcPr>
          <w:p w14:paraId="71D4A435" w14:textId="77777777" w:rsidR="006A3667" w:rsidRDefault="006A3667">
            <w:pPr>
              <w:rPr>
                <w:rFonts w:ascii="宋体"/>
                <w:vanish/>
              </w:rPr>
            </w:pPr>
          </w:p>
        </w:tc>
        <w:tc>
          <w:tcPr>
            <w:tcW w:w="0" w:type="auto"/>
            <w:gridSpan w:val="3"/>
            <w:shd w:val="clear" w:color="auto" w:fill="auto"/>
            <w:vAlign w:val="bottom"/>
          </w:tcPr>
          <w:p w14:paraId="71D4A436" w14:textId="77777777" w:rsidR="006A3667" w:rsidRDefault="006A3667">
            <w:pPr>
              <w:rPr>
                <w:rFonts w:ascii="宋体"/>
                <w:vanish/>
              </w:rPr>
            </w:pPr>
          </w:p>
        </w:tc>
        <w:tc>
          <w:tcPr>
            <w:tcW w:w="0" w:type="auto"/>
            <w:gridSpan w:val="3"/>
            <w:shd w:val="clear" w:color="auto" w:fill="auto"/>
            <w:vAlign w:val="bottom"/>
          </w:tcPr>
          <w:p w14:paraId="71D4A437" w14:textId="77777777" w:rsidR="006A3667" w:rsidRDefault="006A3667">
            <w:pPr>
              <w:rPr>
                <w:rFonts w:ascii="宋体"/>
                <w:vanish/>
              </w:rPr>
            </w:pPr>
          </w:p>
        </w:tc>
        <w:tc>
          <w:tcPr>
            <w:tcW w:w="0" w:type="auto"/>
            <w:gridSpan w:val="3"/>
            <w:shd w:val="clear" w:color="auto" w:fill="auto"/>
            <w:vAlign w:val="bottom"/>
          </w:tcPr>
          <w:p w14:paraId="71D4A438" w14:textId="77777777" w:rsidR="006A3667" w:rsidRDefault="006A3667">
            <w:pPr>
              <w:rPr>
                <w:rFonts w:ascii="宋体"/>
                <w:vanish/>
              </w:rPr>
            </w:pPr>
          </w:p>
        </w:tc>
        <w:tc>
          <w:tcPr>
            <w:tcW w:w="0" w:type="auto"/>
            <w:gridSpan w:val="3"/>
            <w:shd w:val="clear" w:color="auto" w:fill="auto"/>
            <w:vAlign w:val="bottom"/>
          </w:tcPr>
          <w:p w14:paraId="71D4A439" w14:textId="77777777" w:rsidR="006A3667" w:rsidRDefault="006A3667">
            <w:pPr>
              <w:rPr>
                <w:rFonts w:ascii="宋体"/>
                <w:vanish/>
              </w:rPr>
            </w:pPr>
          </w:p>
        </w:tc>
        <w:tc>
          <w:tcPr>
            <w:tcW w:w="0" w:type="auto"/>
            <w:gridSpan w:val="3"/>
            <w:shd w:val="clear" w:color="auto" w:fill="auto"/>
            <w:vAlign w:val="bottom"/>
          </w:tcPr>
          <w:p w14:paraId="71D4A43A" w14:textId="77777777" w:rsidR="006A3667" w:rsidRDefault="006A3667">
            <w:pPr>
              <w:rPr>
                <w:rFonts w:ascii="宋体"/>
                <w:vanish/>
              </w:rPr>
            </w:pPr>
          </w:p>
        </w:tc>
        <w:tc>
          <w:tcPr>
            <w:tcW w:w="0" w:type="auto"/>
            <w:gridSpan w:val="3"/>
            <w:shd w:val="clear" w:color="auto" w:fill="auto"/>
            <w:vAlign w:val="bottom"/>
          </w:tcPr>
          <w:p w14:paraId="71D4A43B" w14:textId="77777777" w:rsidR="006A3667" w:rsidRDefault="006A3667">
            <w:pPr>
              <w:rPr>
                <w:rFonts w:ascii="宋体"/>
                <w:vanish/>
              </w:rPr>
            </w:pPr>
          </w:p>
        </w:tc>
        <w:tc>
          <w:tcPr>
            <w:tcW w:w="0" w:type="auto"/>
            <w:gridSpan w:val="3"/>
            <w:shd w:val="clear" w:color="auto" w:fill="auto"/>
            <w:vAlign w:val="bottom"/>
          </w:tcPr>
          <w:p w14:paraId="71D4A43C" w14:textId="77777777" w:rsidR="006A3667" w:rsidRDefault="006A3667">
            <w:pPr>
              <w:rPr>
                <w:rFonts w:ascii="宋体"/>
                <w:vanish/>
              </w:rPr>
            </w:pPr>
          </w:p>
        </w:tc>
        <w:tc>
          <w:tcPr>
            <w:tcW w:w="0" w:type="auto"/>
            <w:gridSpan w:val="3"/>
            <w:shd w:val="clear" w:color="auto" w:fill="auto"/>
            <w:vAlign w:val="bottom"/>
          </w:tcPr>
          <w:p w14:paraId="71D4A43D" w14:textId="77777777" w:rsidR="006A3667" w:rsidRDefault="006A3667">
            <w:pPr>
              <w:rPr>
                <w:rFonts w:ascii="宋体"/>
                <w:vanish/>
              </w:rPr>
            </w:pPr>
          </w:p>
        </w:tc>
      </w:tr>
      <w:tr w:rsidR="006A3667" w14:paraId="71D4A453" w14:textId="77777777">
        <w:trPr>
          <w:hidden/>
        </w:trPr>
        <w:tc>
          <w:tcPr>
            <w:tcW w:w="0" w:type="auto"/>
            <w:gridSpan w:val="3"/>
            <w:shd w:val="clear" w:color="auto" w:fill="auto"/>
            <w:vAlign w:val="bottom"/>
          </w:tcPr>
          <w:p w14:paraId="71D4A43F" w14:textId="77777777" w:rsidR="006A3667" w:rsidRDefault="006A3667">
            <w:pPr>
              <w:rPr>
                <w:rFonts w:ascii="宋体"/>
                <w:vanish/>
              </w:rPr>
            </w:pPr>
          </w:p>
        </w:tc>
        <w:tc>
          <w:tcPr>
            <w:tcW w:w="0" w:type="auto"/>
            <w:gridSpan w:val="3"/>
            <w:shd w:val="clear" w:color="auto" w:fill="auto"/>
            <w:vAlign w:val="bottom"/>
          </w:tcPr>
          <w:p w14:paraId="71D4A440" w14:textId="77777777" w:rsidR="006A3667" w:rsidRDefault="006A3667">
            <w:pPr>
              <w:rPr>
                <w:rFonts w:ascii="宋体"/>
                <w:vanish/>
              </w:rPr>
            </w:pPr>
          </w:p>
        </w:tc>
        <w:tc>
          <w:tcPr>
            <w:tcW w:w="0" w:type="auto"/>
            <w:gridSpan w:val="3"/>
            <w:shd w:val="clear" w:color="auto" w:fill="auto"/>
            <w:vAlign w:val="bottom"/>
          </w:tcPr>
          <w:p w14:paraId="71D4A441" w14:textId="77777777" w:rsidR="006A3667" w:rsidRDefault="006A3667">
            <w:pPr>
              <w:rPr>
                <w:rFonts w:ascii="宋体"/>
                <w:vanish/>
              </w:rPr>
            </w:pPr>
          </w:p>
        </w:tc>
        <w:tc>
          <w:tcPr>
            <w:tcW w:w="0" w:type="auto"/>
            <w:gridSpan w:val="3"/>
            <w:shd w:val="clear" w:color="auto" w:fill="auto"/>
            <w:vAlign w:val="bottom"/>
          </w:tcPr>
          <w:p w14:paraId="71D4A442" w14:textId="77777777" w:rsidR="006A3667" w:rsidRDefault="006A3667">
            <w:pPr>
              <w:rPr>
                <w:rFonts w:ascii="宋体"/>
                <w:vanish/>
              </w:rPr>
            </w:pPr>
          </w:p>
        </w:tc>
        <w:tc>
          <w:tcPr>
            <w:tcW w:w="0" w:type="auto"/>
            <w:gridSpan w:val="3"/>
            <w:shd w:val="clear" w:color="auto" w:fill="auto"/>
            <w:vAlign w:val="bottom"/>
          </w:tcPr>
          <w:p w14:paraId="71D4A443" w14:textId="77777777" w:rsidR="006A3667" w:rsidRDefault="006A3667">
            <w:pPr>
              <w:rPr>
                <w:rFonts w:ascii="宋体"/>
                <w:vanish/>
              </w:rPr>
            </w:pPr>
          </w:p>
        </w:tc>
        <w:tc>
          <w:tcPr>
            <w:tcW w:w="0" w:type="auto"/>
            <w:gridSpan w:val="3"/>
            <w:shd w:val="clear" w:color="auto" w:fill="auto"/>
            <w:vAlign w:val="bottom"/>
          </w:tcPr>
          <w:p w14:paraId="71D4A444" w14:textId="77777777" w:rsidR="006A3667" w:rsidRDefault="006A3667">
            <w:pPr>
              <w:rPr>
                <w:rFonts w:ascii="宋体"/>
                <w:vanish/>
              </w:rPr>
            </w:pPr>
          </w:p>
        </w:tc>
        <w:tc>
          <w:tcPr>
            <w:tcW w:w="0" w:type="auto"/>
            <w:gridSpan w:val="3"/>
            <w:shd w:val="clear" w:color="auto" w:fill="auto"/>
            <w:vAlign w:val="bottom"/>
          </w:tcPr>
          <w:p w14:paraId="71D4A445" w14:textId="77777777" w:rsidR="006A3667" w:rsidRDefault="006A3667">
            <w:pPr>
              <w:rPr>
                <w:rFonts w:ascii="宋体"/>
                <w:vanish/>
              </w:rPr>
            </w:pPr>
          </w:p>
        </w:tc>
        <w:tc>
          <w:tcPr>
            <w:tcW w:w="0" w:type="auto"/>
            <w:gridSpan w:val="3"/>
            <w:shd w:val="clear" w:color="auto" w:fill="auto"/>
            <w:vAlign w:val="bottom"/>
          </w:tcPr>
          <w:p w14:paraId="71D4A446" w14:textId="77777777" w:rsidR="006A3667" w:rsidRDefault="006A3667">
            <w:pPr>
              <w:rPr>
                <w:rFonts w:ascii="宋体"/>
                <w:vanish/>
              </w:rPr>
            </w:pPr>
          </w:p>
        </w:tc>
        <w:tc>
          <w:tcPr>
            <w:tcW w:w="0" w:type="auto"/>
            <w:gridSpan w:val="3"/>
            <w:shd w:val="clear" w:color="auto" w:fill="auto"/>
            <w:vAlign w:val="bottom"/>
          </w:tcPr>
          <w:p w14:paraId="71D4A447" w14:textId="77777777" w:rsidR="006A3667" w:rsidRDefault="006A3667">
            <w:pPr>
              <w:rPr>
                <w:rFonts w:ascii="宋体"/>
                <w:vanish/>
              </w:rPr>
            </w:pPr>
          </w:p>
        </w:tc>
        <w:tc>
          <w:tcPr>
            <w:tcW w:w="0" w:type="auto"/>
            <w:gridSpan w:val="3"/>
            <w:shd w:val="clear" w:color="auto" w:fill="auto"/>
            <w:vAlign w:val="bottom"/>
          </w:tcPr>
          <w:p w14:paraId="71D4A448" w14:textId="77777777" w:rsidR="006A3667" w:rsidRDefault="006A3667">
            <w:pPr>
              <w:rPr>
                <w:rFonts w:ascii="宋体"/>
                <w:vanish/>
              </w:rPr>
            </w:pPr>
          </w:p>
        </w:tc>
        <w:tc>
          <w:tcPr>
            <w:tcW w:w="0" w:type="auto"/>
            <w:gridSpan w:val="3"/>
            <w:shd w:val="clear" w:color="auto" w:fill="auto"/>
            <w:vAlign w:val="bottom"/>
          </w:tcPr>
          <w:p w14:paraId="71D4A449" w14:textId="77777777" w:rsidR="006A3667" w:rsidRDefault="006A3667">
            <w:pPr>
              <w:rPr>
                <w:rFonts w:ascii="宋体"/>
                <w:vanish/>
              </w:rPr>
            </w:pPr>
          </w:p>
        </w:tc>
        <w:tc>
          <w:tcPr>
            <w:tcW w:w="0" w:type="auto"/>
            <w:gridSpan w:val="3"/>
            <w:shd w:val="clear" w:color="auto" w:fill="auto"/>
            <w:vAlign w:val="bottom"/>
          </w:tcPr>
          <w:p w14:paraId="71D4A44A" w14:textId="77777777" w:rsidR="006A3667" w:rsidRDefault="006A3667">
            <w:pPr>
              <w:rPr>
                <w:rFonts w:ascii="宋体"/>
                <w:vanish/>
              </w:rPr>
            </w:pPr>
          </w:p>
        </w:tc>
        <w:tc>
          <w:tcPr>
            <w:tcW w:w="0" w:type="auto"/>
            <w:gridSpan w:val="3"/>
            <w:shd w:val="clear" w:color="auto" w:fill="auto"/>
            <w:vAlign w:val="bottom"/>
          </w:tcPr>
          <w:p w14:paraId="71D4A44B" w14:textId="77777777" w:rsidR="006A3667" w:rsidRDefault="006A3667">
            <w:pPr>
              <w:rPr>
                <w:rFonts w:ascii="宋体"/>
                <w:vanish/>
              </w:rPr>
            </w:pPr>
          </w:p>
        </w:tc>
        <w:tc>
          <w:tcPr>
            <w:tcW w:w="0" w:type="auto"/>
            <w:gridSpan w:val="3"/>
            <w:shd w:val="clear" w:color="auto" w:fill="auto"/>
            <w:vAlign w:val="bottom"/>
          </w:tcPr>
          <w:p w14:paraId="71D4A44C" w14:textId="77777777" w:rsidR="006A3667" w:rsidRDefault="006A3667">
            <w:pPr>
              <w:rPr>
                <w:rFonts w:ascii="宋体"/>
                <w:vanish/>
              </w:rPr>
            </w:pPr>
          </w:p>
        </w:tc>
        <w:tc>
          <w:tcPr>
            <w:tcW w:w="0" w:type="auto"/>
            <w:gridSpan w:val="3"/>
            <w:shd w:val="clear" w:color="auto" w:fill="auto"/>
            <w:vAlign w:val="bottom"/>
          </w:tcPr>
          <w:p w14:paraId="71D4A44D" w14:textId="77777777" w:rsidR="006A3667" w:rsidRDefault="006A3667">
            <w:pPr>
              <w:rPr>
                <w:rFonts w:ascii="宋体"/>
                <w:vanish/>
              </w:rPr>
            </w:pPr>
          </w:p>
        </w:tc>
        <w:tc>
          <w:tcPr>
            <w:tcW w:w="0" w:type="auto"/>
            <w:gridSpan w:val="3"/>
            <w:shd w:val="clear" w:color="auto" w:fill="auto"/>
            <w:vAlign w:val="bottom"/>
          </w:tcPr>
          <w:p w14:paraId="71D4A44E" w14:textId="77777777" w:rsidR="006A3667" w:rsidRDefault="006A3667">
            <w:pPr>
              <w:rPr>
                <w:rFonts w:ascii="宋体"/>
                <w:vanish/>
              </w:rPr>
            </w:pPr>
          </w:p>
        </w:tc>
        <w:tc>
          <w:tcPr>
            <w:tcW w:w="0" w:type="auto"/>
            <w:gridSpan w:val="3"/>
            <w:shd w:val="clear" w:color="auto" w:fill="auto"/>
            <w:vAlign w:val="bottom"/>
          </w:tcPr>
          <w:p w14:paraId="71D4A44F" w14:textId="77777777" w:rsidR="006A3667" w:rsidRDefault="006A3667">
            <w:pPr>
              <w:rPr>
                <w:rFonts w:ascii="宋体"/>
                <w:vanish/>
              </w:rPr>
            </w:pPr>
          </w:p>
        </w:tc>
        <w:tc>
          <w:tcPr>
            <w:tcW w:w="0" w:type="auto"/>
            <w:gridSpan w:val="3"/>
            <w:shd w:val="clear" w:color="auto" w:fill="auto"/>
            <w:vAlign w:val="bottom"/>
          </w:tcPr>
          <w:p w14:paraId="71D4A450" w14:textId="77777777" w:rsidR="006A3667" w:rsidRDefault="006A3667">
            <w:pPr>
              <w:rPr>
                <w:rFonts w:ascii="宋体"/>
                <w:vanish/>
              </w:rPr>
            </w:pPr>
          </w:p>
        </w:tc>
        <w:tc>
          <w:tcPr>
            <w:tcW w:w="0" w:type="auto"/>
            <w:gridSpan w:val="3"/>
            <w:shd w:val="clear" w:color="auto" w:fill="auto"/>
            <w:vAlign w:val="bottom"/>
          </w:tcPr>
          <w:p w14:paraId="71D4A451" w14:textId="77777777" w:rsidR="006A3667" w:rsidRDefault="006A3667">
            <w:pPr>
              <w:rPr>
                <w:rFonts w:ascii="宋体"/>
                <w:vanish/>
              </w:rPr>
            </w:pPr>
          </w:p>
        </w:tc>
        <w:tc>
          <w:tcPr>
            <w:tcW w:w="0" w:type="auto"/>
            <w:gridSpan w:val="3"/>
            <w:shd w:val="clear" w:color="auto" w:fill="auto"/>
            <w:vAlign w:val="bottom"/>
          </w:tcPr>
          <w:p w14:paraId="71D4A452" w14:textId="77777777" w:rsidR="006A3667" w:rsidRDefault="006A3667">
            <w:pPr>
              <w:rPr>
                <w:rFonts w:ascii="宋体"/>
                <w:vanish/>
              </w:rPr>
            </w:pPr>
          </w:p>
        </w:tc>
      </w:tr>
      <w:tr w:rsidR="006A3667" w14:paraId="71D4A468" w14:textId="77777777">
        <w:trPr>
          <w:hidden/>
        </w:trPr>
        <w:tc>
          <w:tcPr>
            <w:tcW w:w="0" w:type="auto"/>
            <w:gridSpan w:val="3"/>
            <w:shd w:val="clear" w:color="auto" w:fill="auto"/>
            <w:vAlign w:val="bottom"/>
          </w:tcPr>
          <w:p w14:paraId="71D4A454" w14:textId="77777777" w:rsidR="006A3667" w:rsidRDefault="006A3667">
            <w:pPr>
              <w:rPr>
                <w:rFonts w:ascii="宋体"/>
                <w:vanish/>
              </w:rPr>
            </w:pPr>
          </w:p>
        </w:tc>
        <w:tc>
          <w:tcPr>
            <w:tcW w:w="0" w:type="auto"/>
            <w:gridSpan w:val="3"/>
            <w:shd w:val="clear" w:color="auto" w:fill="auto"/>
            <w:vAlign w:val="bottom"/>
          </w:tcPr>
          <w:p w14:paraId="71D4A455" w14:textId="77777777" w:rsidR="006A3667" w:rsidRDefault="006A3667">
            <w:pPr>
              <w:rPr>
                <w:rFonts w:ascii="宋体"/>
                <w:vanish/>
              </w:rPr>
            </w:pPr>
          </w:p>
        </w:tc>
        <w:tc>
          <w:tcPr>
            <w:tcW w:w="0" w:type="auto"/>
            <w:gridSpan w:val="3"/>
            <w:shd w:val="clear" w:color="auto" w:fill="auto"/>
            <w:vAlign w:val="bottom"/>
          </w:tcPr>
          <w:p w14:paraId="71D4A456" w14:textId="77777777" w:rsidR="006A3667" w:rsidRDefault="006A3667">
            <w:pPr>
              <w:rPr>
                <w:rFonts w:ascii="宋体"/>
                <w:vanish/>
              </w:rPr>
            </w:pPr>
          </w:p>
        </w:tc>
        <w:tc>
          <w:tcPr>
            <w:tcW w:w="0" w:type="auto"/>
            <w:gridSpan w:val="3"/>
            <w:shd w:val="clear" w:color="auto" w:fill="auto"/>
            <w:vAlign w:val="bottom"/>
          </w:tcPr>
          <w:p w14:paraId="71D4A457" w14:textId="77777777" w:rsidR="006A3667" w:rsidRDefault="006A3667">
            <w:pPr>
              <w:rPr>
                <w:rFonts w:ascii="宋体"/>
                <w:vanish/>
              </w:rPr>
            </w:pPr>
          </w:p>
        </w:tc>
        <w:tc>
          <w:tcPr>
            <w:tcW w:w="0" w:type="auto"/>
            <w:gridSpan w:val="3"/>
            <w:shd w:val="clear" w:color="auto" w:fill="auto"/>
            <w:vAlign w:val="bottom"/>
          </w:tcPr>
          <w:p w14:paraId="71D4A458" w14:textId="77777777" w:rsidR="006A3667" w:rsidRDefault="006A3667">
            <w:pPr>
              <w:rPr>
                <w:rFonts w:ascii="宋体"/>
                <w:vanish/>
              </w:rPr>
            </w:pPr>
          </w:p>
        </w:tc>
        <w:tc>
          <w:tcPr>
            <w:tcW w:w="0" w:type="auto"/>
            <w:gridSpan w:val="3"/>
            <w:shd w:val="clear" w:color="auto" w:fill="auto"/>
            <w:vAlign w:val="bottom"/>
          </w:tcPr>
          <w:p w14:paraId="71D4A459" w14:textId="77777777" w:rsidR="006A3667" w:rsidRDefault="006A3667">
            <w:pPr>
              <w:rPr>
                <w:rFonts w:ascii="宋体"/>
                <w:vanish/>
              </w:rPr>
            </w:pPr>
          </w:p>
        </w:tc>
        <w:tc>
          <w:tcPr>
            <w:tcW w:w="0" w:type="auto"/>
            <w:gridSpan w:val="3"/>
            <w:shd w:val="clear" w:color="auto" w:fill="auto"/>
            <w:vAlign w:val="bottom"/>
          </w:tcPr>
          <w:p w14:paraId="71D4A45A" w14:textId="77777777" w:rsidR="006A3667" w:rsidRDefault="006A3667">
            <w:pPr>
              <w:rPr>
                <w:rFonts w:ascii="宋体"/>
                <w:vanish/>
              </w:rPr>
            </w:pPr>
          </w:p>
        </w:tc>
        <w:tc>
          <w:tcPr>
            <w:tcW w:w="0" w:type="auto"/>
            <w:gridSpan w:val="3"/>
            <w:shd w:val="clear" w:color="auto" w:fill="auto"/>
            <w:vAlign w:val="bottom"/>
          </w:tcPr>
          <w:p w14:paraId="71D4A45B" w14:textId="77777777" w:rsidR="006A3667" w:rsidRDefault="006A3667">
            <w:pPr>
              <w:rPr>
                <w:rFonts w:ascii="宋体"/>
                <w:vanish/>
              </w:rPr>
            </w:pPr>
          </w:p>
        </w:tc>
        <w:tc>
          <w:tcPr>
            <w:tcW w:w="0" w:type="auto"/>
            <w:gridSpan w:val="3"/>
            <w:shd w:val="clear" w:color="auto" w:fill="auto"/>
            <w:vAlign w:val="bottom"/>
          </w:tcPr>
          <w:p w14:paraId="71D4A45C" w14:textId="77777777" w:rsidR="006A3667" w:rsidRDefault="006A3667">
            <w:pPr>
              <w:rPr>
                <w:rFonts w:ascii="宋体"/>
                <w:vanish/>
              </w:rPr>
            </w:pPr>
          </w:p>
        </w:tc>
        <w:tc>
          <w:tcPr>
            <w:tcW w:w="0" w:type="auto"/>
            <w:gridSpan w:val="3"/>
            <w:shd w:val="clear" w:color="auto" w:fill="auto"/>
            <w:vAlign w:val="bottom"/>
          </w:tcPr>
          <w:p w14:paraId="71D4A45D" w14:textId="77777777" w:rsidR="006A3667" w:rsidRDefault="006A3667">
            <w:pPr>
              <w:rPr>
                <w:rFonts w:ascii="宋体"/>
                <w:vanish/>
              </w:rPr>
            </w:pPr>
          </w:p>
        </w:tc>
        <w:tc>
          <w:tcPr>
            <w:tcW w:w="0" w:type="auto"/>
            <w:gridSpan w:val="3"/>
            <w:shd w:val="clear" w:color="auto" w:fill="auto"/>
            <w:vAlign w:val="bottom"/>
          </w:tcPr>
          <w:p w14:paraId="71D4A45E" w14:textId="77777777" w:rsidR="006A3667" w:rsidRDefault="006A3667">
            <w:pPr>
              <w:rPr>
                <w:rFonts w:ascii="宋体"/>
                <w:vanish/>
              </w:rPr>
            </w:pPr>
          </w:p>
        </w:tc>
        <w:tc>
          <w:tcPr>
            <w:tcW w:w="0" w:type="auto"/>
            <w:gridSpan w:val="3"/>
            <w:shd w:val="clear" w:color="auto" w:fill="auto"/>
            <w:vAlign w:val="bottom"/>
          </w:tcPr>
          <w:p w14:paraId="71D4A45F" w14:textId="77777777" w:rsidR="006A3667" w:rsidRDefault="006A3667">
            <w:pPr>
              <w:rPr>
                <w:rFonts w:ascii="宋体"/>
                <w:vanish/>
              </w:rPr>
            </w:pPr>
          </w:p>
        </w:tc>
        <w:tc>
          <w:tcPr>
            <w:tcW w:w="0" w:type="auto"/>
            <w:gridSpan w:val="3"/>
            <w:shd w:val="clear" w:color="auto" w:fill="auto"/>
            <w:vAlign w:val="bottom"/>
          </w:tcPr>
          <w:p w14:paraId="71D4A460" w14:textId="77777777" w:rsidR="006A3667" w:rsidRDefault="006A3667">
            <w:pPr>
              <w:rPr>
                <w:rFonts w:ascii="宋体"/>
                <w:vanish/>
              </w:rPr>
            </w:pPr>
          </w:p>
        </w:tc>
        <w:tc>
          <w:tcPr>
            <w:tcW w:w="0" w:type="auto"/>
            <w:gridSpan w:val="3"/>
            <w:shd w:val="clear" w:color="auto" w:fill="auto"/>
            <w:vAlign w:val="bottom"/>
          </w:tcPr>
          <w:p w14:paraId="71D4A461" w14:textId="77777777" w:rsidR="006A3667" w:rsidRDefault="006A3667">
            <w:pPr>
              <w:rPr>
                <w:rFonts w:ascii="宋体"/>
                <w:vanish/>
              </w:rPr>
            </w:pPr>
          </w:p>
        </w:tc>
        <w:tc>
          <w:tcPr>
            <w:tcW w:w="0" w:type="auto"/>
            <w:gridSpan w:val="3"/>
            <w:shd w:val="clear" w:color="auto" w:fill="auto"/>
            <w:vAlign w:val="bottom"/>
          </w:tcPr>
          <w:p w14:paraId="71D4A462" w14:textId="77777777" w:rsidR="006A3667" w:rsidRDefault="006A3667">
            <w:pPr>
              <w:rPr>
                <w:rFonts w:ascii="宋体"/>
                <w:vanish/>
              </w:rPr>
            </w:pPr>
          </w:p>
        </w:tc>
        <w:tc>
          <w:tcPr>
            <w:tcW w:w="0" w:type="auto"/>
            <w:gridSpan w:val="3"/>
            <w:shd w:val="clear" w:color="auto" w:fill="auto"/>
            <w:vAlign w:val="bottom"/>
          </w:tcPr>
          <w:p w14:paraId="71D4A463" w14:textId="77777777" w:rsidR="006A3667" w:rsidRDefault="006A3667">
            <w:pPr>
              <w:rPr>
                <w:rFonts w:ascii="宋体"/>
                <w:vanish/>
              </w:rPr>
            </w:pPr>
          </w:p>
        </w:tc>
        <w:tc>
          <w:tcPr>
            <w:tcW w:w="0" w:type="auto"/>
            <w:gridSpan w:val="3"/>
            <w:shd w:val="clear" w:color="auto" w:fill="auto"/>
            <w:vAlign w:val="bottom"/>
          </w:tcPr>
          <w:p w14:paraId="71D4A464" w14:textId="77777777" w:rsidR="006A3667" w:rsidRDefault="006A3667">
            <w:pPr>
              <w:rPr>
                <w:rFonts w:ascii="宋体"/>
                <w:vanish/>
              </w:rPr>
            </w:pPr>
          </w:p>
        </w:tc>
        <w:tc>
          <w:tcPr>
            <w:tcW w:w="0" w:type="auto"/>
            <w:gridSpan w:val="3"/>
            <w:shd w:val="clear" w:color="auto" w:fill="auto"/>
            <w:vAlign w:val="bottom"/>
          </w:tcPr>
          <w:p w14:paraId="71D4A465" w14:textId="77777777" w:rsidR="006A3667" w:rsidRDefault="006A3667">
            <w:pPr>
              <w:rPr>
                <w:rFonts w:ascii="宋体"/>
                <w:vanish/>
              </w:rPr>
            </w:pPr>
          </w:p>
        </w:tc>
        <w:tc>
          <w:tcPr>
            <w:tcW w:w="0" w:type="auto"/>
            <w:gridSpan w:val="3"/>
            <w:shd w:val="clear" w:color="auto" w:fill="auto"/>
            <w:vAlign w:val="bottom"/>
          </w:tcPr>
          <w:p w14:paraId="71D4A466" w14:textId="77777777" w:rsidR="006A3667" w:rsidRDefault="006A3667">
            <w:pPr>
              <w:rPr>
                <w:rFonts w:ascii="宋体"/>
                <w:vanish/>
              </w:rPr>
            </w:pPr>
          </w:p>
        </w:tc>
        <w:tc>
          <w:tcPr>
            <w:tcW w:w="0" w:type="auto"/>
            <w:gridSpan w:val="3"/>
            <w:shd w:val="clear" w:color="auto" w:fill="auto"/>
            <w:vAlign w:val="bottom"/>
          </w:tcPr>
          <w:p w14:paraId="71D4A467" w14:textId="77777777" w:rsidR="006A3667" w:rsidRDefault="006A3667">
            <w:pPr>
              <w:rPr>
                <w:rFonts w:ascii="宋体"/>
                <w:vanish/>
              </w:rPr>
            </w:pPr>
          </w:p>
        </w:tc>
      </w:tr>
      <w:tr w:rsidR="006A3667" w14:paraId="71D4A47D" w14:textId="77777777">
        <w:trPr>
          <w:hidden/>
        </w:trPr>
        <w:tc>
          <w:tcPr>
            <w:tcW w:w="0" w:type="auto"/>
            <w:gridSpan w:val="3"/>
            <w:shd w:val="clear" w:color="auto" w:fill="auto"/>
            <w:vAlign w:val="bottom"/>
          </w:tcPr>
          <w:p w14:paraId="71D4A469" w14:textId="77777777" w:rsidR="006A3667" w:rsidRDefault="006A3667">
            <w:pPr>
              <w:rPr>
                <w:rFonts w:ascii="宋体"/>
                <w:vanish/>
              </w:rPr>
            </w:pPr>
          </w:p>
        </w:tc>
        <w:tc>
          <w:tcPr>
            <w:tcW w:w="0" w:type="auto"/>
            <w:gridSpan w:val="3"/>
            <w:shd w:val="clear" w:color="auto" w:fill="auto"/>
            <w:vAlign w:val="bottom"/>
          </w:tcPr>
          <w:p w14:paraId="71D4A46A" w14:textId="77777777" w:rsidR="006A3667" w:rsidRDefault="006A3667">
            <w:pPr>
              <w:rPr>
                <w:rFonts w:ascii="宋体"/>
                <w:vanish/>
              </w:rPr>
            </w:pPr>
          </w:p>
        </w:tc>
        <w:tc>
          <w:tcPr>
            <w:tcW w:w="0" w:type="auto"/>
            <w:gridSpan w:val="3"/>
            <w:shd w:val="clear" w:color="auto" w:fill="auto"/>
            <w:vAlign w:val="bottom"/>
          </w:tcPr>
          <w:p w14:paraId="71D4A46B" w14:textId="77777777" w:rsidR="006A3667" w:rsidRDefault="006A3667">
            <w:pPr>
              <w:rPr>
                <w:rFonts w:ascii="宋体"/>
                <w:vanish/>
              </w:rPr>
            </w:pPr>
          </w:p>
        </w:tc>
        <w:tc>
          <w:tcPr>
            <w:tcW w:w="0" w:type="auto"/>
            <w:gridSpan w:val="3"/>
            <w:shd w:val="clear" w:color="auto" w:fill="auto"/>
            <w:vAlign w:val="bottom"/>
          </w:tcPr>
          <w:p w14:paraId="71D4A46C" w14:textId="77777777" w:rsidR="006A3667" w:rsidRDefault="006A3667">
            <w:pPr>
              <w:rPr>
                <w:rFonts w:ascii="宋体"/>
                <w:vanish/>
              </w:rPr>
            </w:pPr>
          </w:p>
        </w:tc>
        <w:tc>
          <w:tcPr>
            <w:tcW w:w="0" w:type="auto"/>
            <w:gridSpan w:val="3"/>
            <w:shd w:val="clear" w:color="auto" w:fill="auto"/>
            <w:vAlign w:val="bottom"/>
          </w:tcPr>
          <w:p w14:paraId="71D4A46D" w14:textId="77777777" w:rsidR="006A3667" w:rsidRDefault="006A3667">
            <w:pPr>
              <w:rPr>
                <w:rFonts w:ascii="宋体"/>
                <w:vanish/>
              </w:rPr>
            </w:pPr>
          </w:p>
        </w:tc>
        <w:tc>
          <w:tcPr>
            <w:tcW w:w="0" w:type="auto"/>
            <w:gridSpan w:val="3"/>
            <w:shd w:val="clear" w:color="auto" w:fill="auto"/>
            <w:vAlign w:val="bottom"/>
          </w:tcPr>
          <w:p w14:paraId="71D4A46E" w14:textId="77777777" w:rsidR="006A3667" w:rsidRDefault="006A3667">
            <w:pPr>
              <w:rPr>
                <w:rFonts w:ascii="宋体"/>
                <w:vanish/>
              </w:rPr>
            </w:pPr>
          </w:p>
        </w:tc>
        <w:tc>
          <w:tcPr>
            <w:tcW w:w="0" w:type="auto"/>
            <w:gridSpan w:val="3"/>
            <w:shd w:val="clear" w:color="auto" w:fill="auto"/>
            <w:vAlign w:val="bottom"/>
          </w:tcPr>
          <w:p w14:paraId="71D4A46F" w14:textId="77777777" w:rsidR="006A3667" w:rsidRDefault="006A3667">
            <w:pPr>
              <w:rPr>
                <w:rFonts w:ascii="宋体"/>
                <w:vanish/>
              </w:rPr>
            </w:pPr>
          </w:p>
        </w:tc>
        <w:tc>
          <w:tcPr>
            <w:tcW w:w="0" w:type="auto"/>
            <w:gridSpan w:val="3"/>
            <w:shd w:val="clear" w:color="auto" w:fill="auto"/>
            <w:vAlign w:val="bottom"/>
          </w:tcPr>
          <w:p w14:paraId="71D4A470" w14:textId="77777777" w:rsidR="006A3667" w:rsidRDefault="006A3667">
            <w:pPr>
              <w:rPr>
                <w:rFonts w:ascii="宋体"/>
                <w:vanish/>
              </w:rPr>
            </w:pPr>
          </w:p>
        </w:tc>
        <w:tc>
          <w:tcPr>
            <w:tcW w:w="0" w:type="auto"/>
            <w:gridSpan w:val="3"/>
            <w:shd w:val="clear" w:color="auto" w:fill="auto"/>
            <w:vAlign w:val="bottom"/>
          </w:tcPr>
          <w:p w14:paraId="71D4A471" w14:textId="77777777" w:rsidR="006A3667" w:rsidRDefault="006A3667">
            <w:pPr>
              <w:rPr>
                <w:rFonts w:ascii="宋体"/>
                <w:vanish/>
              </w:rPr>
            </w:pPr>
          </w:p>
        </w:tc>
        <w:tc>
          <w:tcPr>
            <w:tcW w:w="0" w:type="auto"/>
            <w:gridSpan w:val="3"/>
            <w:shd w:val="clear" w:color="auto" w:fill="auto"/>
            <w:vAlign w:val="bottom"/>
          </w:tcPr>
          <w:p w14:paraId="71D4A472" w14:textId="77777777" w:rsidR="006A3667" w:rsidRDefault="006A3667">
            <w:pPr>
              <w:rPr>
                <w:rFonts w:ascii="宋体"/>
                <w:vanish/>
              </w:rPr>
            </w:pPr>
          </w:p>
        </w:tc>
        <w:tc>
          <w:tcPr>
            <w:tcW w:w="0" w:type="auto"/>
            <w:gridSpan w:val="3"/>
            <w:shd w:val="clear" w:color="auto" w:fill="auto"/>
            <w:vAlign w:val="bottom"/>
          </w:tcPr>
          <w:p w14:paraId="71D4A473" w14:textId="77777777" w:rsidR="006A3667" w:rsidRDefault="006A3667">
            <w:pPr>
              <w:rPr>
                <w:rFonts w:ascii="宋体"/>
                <w:vanish/>
              </w:rPr>
            </w:pPr>
          </w:p>
        </w:tc>
        <w:tc>
          <w:tcPr>
            <w:tcW w:w="0" w:type="auto"/>
            <w:gridSpan w:val="3"/>
            <w:shd w:val="clear" w:color="auto" w:fill="auto"/>
            <w:vAlign w:val="bottom"/>
          </w:tcPr>
          <w:p w14:paraId="71D4A474" w14:textId="77777777" w:rsidR="006A3667" w:rsidRDefault="006A3667">
            <w:pPr>
              <w:rPr>
                <w:rFonts w:ascii="宋体"/>
                <w:vanish/>
              </w:rPr>
            </w:pPr>
          </w:p>
        </w:tc>
        <w:tc>
          <w:tcPr>
            <w:tcW w:w="0" w:type="auto"/>
            <w:gridSpan w:val="3"/>
            <w:shd w:val="clear" w:color="auto" w:fill="auto"/>
            <w:vAlign w:val="bottom"/>
          </w:tcPr>
          <w:p w14:paraId="71D4A475" w14:textId="77777777" w:rsidR="006A3667" w:rsidRDefault="006A3667">
            <w:pPr>
              <w:rPr>
                <w:rFonts w:ascii="宋体"/>
                <w:vanish/>
              </w:rPr>
            </w:pPr>
          </w:p>
        </w:tc>
        <w:tc>
          <w:tcPr>
            <w:tcW w:w="0" w:type="auto"/>
            <w:gridSpan w:val="3"/>
            <w:shd w:val="clear" w:color="auto" w:fill="auto"/>
            <w:vAlign w:val="bottom"/>
          </w:tcPr>
          <w:p w14:paraId="71D4A476" w14:textId="77777777" w:rsidR="006A3667" w:rsidRDefault="006A3667">
            <w:pPr>
              <w:rPr>
                <w:rFonts w:ascii="宋体"/>
                <w:vanish/>
              </w:rPr>
            </w:pPr>
          </w:p>
        </w:tc>
        <w:tc>
          <w:tcPr>
            <w:tcW w:w="0" w:type="auto"/>
            <w:gridSpan w:val="3"/>
            <w:shd w:val="clear" w:color="auto" w:fill="auto"/>
            <w:vAlign w:val="bottom"/>
          </w:tcPr>
          <w:p w14:paraId="71D4A477" w14:textId="77777777" w:rsidR="006A3667" w:rsidRDefault="006A3667">
            <w:pPr>
              <w:rPr>
                <w:rFonts w:ascii="宋体"/>
                <w:vanish/>
              </w:rPr>
            </w:pPr>
          </w:p>
        </w:tc>
        <w:tc>
          <w:tcPr>
            <w:tcW w:w="0" w:type="auto"/>
            <w:gridSpan w:val="3"/>
            <w:shd w:val="clear" w:color="auto" w:fill="auto"/>
            <w:vAlign w:val="bottom"/>
          </w:tcPr>
          <w:p w14:paraId="71D4A478" w14:textId="77777777" w:rsidR="006A3667" w:rsidRDefault="006A3667">
            <w:pPr>
              <w:rPr>
                <w:rFonts w:ascii="宋体"/>
                <w:vanish/>
              </w:rPr>
            </w:pPr>
          </w:p>
        </w:tc>
        <w:tc>
          <w:tcPr>
            <w:tcW w:w="0" w:type="auto"/>
            <w:gridSpan w:val="3"/>
            <w:shd w:val="clear" w:color="auto" w:fill="auto"/>
            <w:vAlign w:val="bottom"/>
          </w:tcPr>
          <w:p w14:paraId="71D4A479" w14:textId="77777777" w:rsidR="006A3667" w:rsidRDefault="006A3667">
            <w:pPr>
              <w:rPr>
                <w:rFonts w:ascii="宋体"/>
                <w:vanish/>
              </w:rPr>
            </w:pPr>
          </w:p>
        </w:tc>
        <w:tc>
          <w:tcPr>
            <w:tcW w:w="0" w:type="auto"/>
            <w:gridSpan w:val="3"/>
            <w:shd w:val="clear" w:color="auto" w:fill="auto"/>
            <w:vAlign w:val="bottom"/>
          </w:tcPr>
          <w:p w14:paraId="71D4A47A" w14:textId="77777777" w:rsidR="006A3667" w:rsidRDefault="006A3667">
            <w:pPr>
              <w:rPr>
                <w:rFonts w:ascii="宋体"/>
                <w:vanish/>
              </w:rPr>
            </w:pPr>
          </w:p>
        </w:tc>
        <w:tc>
          <w:tcPr>
            <w:tcW w:w="0" w:type="auto"/>
            <w:gridSpan w:val="3"/>
            <w:shd w:val="clear" w:color="auto" w:fill="auto"/>
            <w:vAlign w:val="bottom"/>
          </w:tcPr>
          <w:p w14:paraId="71D4A47B" w14:textId="77777777" w:rsidR="006A3667" w:rsidRDefault="006A3667">
            <w:pPr>
              <w:rPr>
                <w:rFonts w:ascii="宋体"/>
                <w:vanish/>
              </w:rPr>
            </w:pPr>
          </w:p>
        </w:tc>
        <w:tc>
          <w:tcPr>
            <w:tcW w:w="0" w:type="auto"/>
            <w:gridSpan w:val="3"/>
            <w:shd w:val="clear" w:color="auto" w:fill="auto"/>
            <w:vAlign w:val="bottom"/>
          </w:tcPr>
          <w:p w14:paraId="71D4A47C" w14:textId="77777777" w:rsidR="006A3667" w:rsidRDefault="006A3667">
            <w:pPr>
              <w:rPr>
                <w:rFonts w:ascii="宋体"/>
                <w:vanish/>
              </w:rPr>
            </w:pPr>
          </w:p>
        </w:tc>
      </w:tr>
      <w:tr w:rsidR="006A3667" w14:paraId="71D4A492" w14:textId="77777777">
        <w:trPr>
          <w:hidden/>
        </w:trPr>
        <w:tc>
          <w:tcPr>
            <w:tcW w:w="0" w:type="auto"/>
            <w:gridSpan w:val="3"/>
            <w:shd w:val="clear" w:color="auto" w:fill="auto"/>
            <w:vAlign w:val="bottom"/>
          </w:tcPr>
          <w:p w14:paraId="71D4A47E" w14:textId="77777777" w:rsidR="006A3667" w:rsidRDefault="006A3667">
            <w:pPr>
              <w:rPr>
                <w:rFonts w:ascii="宋体"/>
                <w:vanish/>
              </w:rPr>
            </w:pPr>
          </w:p>
        </w:tc>
        <w:tc>
          <w:tcPr>
            <w:tcW w:w="0" w:type="auto"/>
            <w:gridSpan w:val="3"/>
            <w:shd w:val="clear" w:color="auto" w:fill="auto"/>
            <w:vAlign w:val="bottom"/>
          </w:tcPr>
          <w:p w14:paraId="71D4A47F" w14:textId="77777777" w:rsidR="006A3667" w:rsidRDefault="006A3667">
            <w:pPr>
              <w:rPr>
                <w:rFonts w:ascii="宋体"/>
                <w:vanish/>
              </w:rPr>
            </w:pPr>
          </w:p>
        </w:tc>
        <w:tc>
          <w:tcPr>
            <w:tcW w:w="0" w:type="auto"/>
            <w:gridSpan w:val="3"/>
            <w:shd w:val="clear" w:color="auto" w:fill="auto"/>
            <w:vAlign w:val="bottom"/>
          </w:tcPr>
          <w:p w14:paraId="71D4A480" w14:textId="77777777" w:rsidR="006A3667" w:rsidRDefault="006A3667">
            <w:pPr>
              <w:rPr>
                <w:rFonts w:ascii="宋体"/>
                <w:vanish/>
              </w:rPr>
            </w:pPr>
          </w:p>
        </w:tc>
        <w:tc>
          <w:tcPr>
            <w:tcW w:w="0" w:type="auto"/>
            <w:gridSpan w:val="3"/>
            <w:shd w:val="clear" w:color="auto" w:fill="auto"/>
            <w:vAlign w:val="bottom"/>
          </w:tcPr>
          <w:p w14:paraId="71D4A481" w14:textId="77777777" w:rsidR="006A3667" w:rsidRDefault="006A3667">
            <w:pPr>
              <w:rPr>
                <w:rFonts w:ascii="宋体"/>
                <w:vanish/>
              </w:rPr>
            </w:pPr>
          </w:p>
        </w:tc>
        <w:tc>
          <w:tcPr>
            <w:tcW w:w="0" w:type="auto"/>
            <w:gridSpan w:val="3"/>
            <w:shd w:val="clear" w:color="auto" w:fill="auto"/>
            <w:vAlign w:val="bottom"/>
          </w:tcPr>
          <w:p w14:paraId="71D4A482" w14:textId="77777777" w:rsidR="006A3667" w:rsidRDefault="006A3667">
            <w:pPr>
              <w:rPr>
                <w:rFonts w:ascii="宋体"/>
                <w:vanish/>
              </w:rPr>
            </w:pPr>
          </w:p>
        </w:tc>
        <w:tc>
          <w:tcPr>
            <w:tcW w:w="0" w:type="auto"/>
            <w:gridSpan w:val="3"/>
            <w:shd w:val="clear" w:color="auto" w:fill="auto"/>
            <w:vAlign w:val="bottom"/>
          </w:tcPr>
          <w:p w14:paraId="71D4A483" w14:textId="77777777" w:rsidR="006A3667" w:rsidRDefault="006A3667">
            <w:pPr>
              <w:rPr>
                <w:rFonts w:ascii="宋体"/>
                <w:vanish/>
              </w:rPr>
            </w:pPr>
          </w:p>
        </w:tc>
        <w:tc>
          <w:tcPr>
            <w:tcW w:w="0" w:type="auto"/>
            <w:gridSpan w:val="3"/>
            <w:shd w:val="clear" w:color="auto" w:fill="auto"/>
            <w:vAlign w:val="bottom"/>
          </w:tcPr>
          <w:p w14:paraId="71D4A484" w14:textId="77777777" w:rsidR="006A3667" w:rsidRDefault="006A3667">
            <w:pPr>
              <w:rPr>
                <w:rFonts w:ascii="宋体"/>
                <w:vanish/>
              </w:rPr>
            </w:pPr>
          </w:p>
        </w:tc>
        <w:tc>
          <w:tcPr>
            <w:tcW w:w="0" w:type="auto"/>
            <w:gridSpan w:val="3"/>
            <w:shd w:val="clear" w:color="auto" w:fill="auto"/>
            <w:vAlign w:val="bottom"/>
          </w:tcPr>
          <w:p w14:paraId="71D4A485" w14:textId="77777777" w:rsidR="006A3667" w:rsidRDefault="006A3667">
            <w:pPr>
              <w:rPr>
                <w:rFonts w:ascii="宋体"/>
                <w:vanish/>
              </w:rPr>
            </w:pPr>
          </w:p>
        </w:tc>
        <w:tc>
          <w:tcPr>
            <w:tcW w:w="0" w:type="auto"/>
            <w:gridSpan w:val="3"/>
            <w:shd w:val="clear" w:color="auto" w:fill="auto"/>
            <w:vAlign w:val="bottom"/>
          </w:tcPr>
          <w:p w14:paraId="71D4A486" w14:textId="77777777" w:rsidR="006A3667" w:rsidRDefault="006A3667">
            <w:pPr>
              <w:rPr>
                <w:rFonts w:ascii="宋体"/>
                <w:vanish/>
              </w:rPr>
            </w:pPr>
          </w:p>
        </w:tc>
        <w:tc>
          <w:tcPr>
            <w:tcW w:w="0" w:type="auto"/>
            <w:gridSpan w:val="3"/>
            <w:shd w:val="clear" w:color="auto" w:fill="auto"/>
            <w:vAlign w:val="bottom"/>
          </w:tcPr>
          <w:p w14:paraId="71D4A487" w14:textId="77777777" w:rsidR="006A3667" w:rsidRDefault="006A3667">
            <w:pPr>
              <w:rPr>
                <w:rFonts w:ascii="宋体"/>
                <w:vanish/>
              </w:rPr>
            </w:pPr>
          </w:p>
        </w:tc>
        <w:tc>
          <w:tcPr>
            <w:tcW w:w="0" w:type="auto"/>
            <w:gridSpan w:val="3"/>
            <w:shd w:val="clear" w:color="auto" w:fill="auto"/>
            <w:vAlign w:val="bottom"/>
          </w:tcPr>
          <w:p w14:paraId="71D4A488" w14:textId="77777777" w:rsidR="006A3667" w:rsidRDefault="006A3667">
            <w:pPr>
              <w:rPr>
                <w:rFonts w:ascii="宋体"/>
                <w:vanish/>
              </w:rPr>
            </w:pPr>
          </w:p>
        </w:tc>
        <w:tc>
          <w:tcPr>
            <w:tcW w:w="0" w:type="auto"/>
            <w:gridSpan w:val="3"/>
            <w:shd w:val="clear" w:color="auto" w:fill="auto"/>
            <w:vAlign w:val="bottom"/>
          </w:tcPr>
          <w:p w14:paraId="71D4A489" w14:textId="77777777" w:rsidR="006A3667" w:rsidRDefault="006A3667">
            <w:pPr>
              <w:rPr>
                <w:rFonts w:ascii="宋体"/>
                <w:vanish/>
              </w:rPr>
            </w:pPr>
          </w:p>
        </w:tc>
        <w:tc>
          <w:tcPr>
            <w:tcW w:w="0" w:type="auto"/>
            <w:gridSpan w:val="3"/>
            <w:shd w:val="clear" w:color="auto" w:fill="auto"/>
            <w:vAlign w:val="bottom"/>
          </w:tcPr>
          <w:p w14:paraId="71D4A48A" w14:textId="77777777" w:rsidR="006A3667" w:rsidRDefault="006A3667">
            <w:pPr>
              <w:rPr>
                <w:rFonts w:ascii="宋体"/>
                <w:vanish/>
              </w:rPr>
            </w:pPr>
          </w:p>
        </w:tc>
        <w:tc>
          <w:tcPr>
            <w:tcW w:w="0" w:type="auto"/>
            <w:gridSpan w:val="3"/>
            <w:shd w:val="clear" w:color="auto" w:fill="auto"/>
            <w:vAlign w:val="bottom"/>
          </w:tcPr>
          <w:p w14:paraId="71D4A48B" w14:textId="77777777" w:rsidR="006A3667" w:rsidRDefault="006A3667">
            <w:pPr>
              <w:rPr>
                <w:rFonts w:ascii="宋体"/>
                <w:vanish/>
              </w:rPr>
            </w:pPr>
          </w:p>
        </w:tc>
        <w:tc>
          <w:tcPr>
            <w:tcW w:w="0" w:type="auto"/>
            <w:gridSpan w:val="3"/>
            <w:shd w:val="clear" w:color="auto" w:fill="auto"/>
            <w:vAlign w:val="bottom"/>
          </w:tcPr>
          <w:p w14:paraId="71D4A48C" w14:textId="77777777" w:rsidR="006A3667" w:rsidRDefault="006A3667">
            <w:pPr>
              <w:rPr>
                <w:rFonts w:ascii="宋体"/>
                <w:vanish/>
              </w:rPr>
            </w:pPr>
          </w:p>
        </w:tc>
        <w:tc>
          <w:tcPr>
            <w:tcW w:w="0" w:type="auto"/>
            <w:gridSpan w:val="3"/>
            <w:shd w:val="clear" w:color="auto" w:fill="auto"/>
            <w:vAlign w:val="bottom"/>
          </w:tcPr>
          <w:p w14:paraId="71D4A48D" w14:textId="77777777" w:rsidR="006A3667" w:rsidRDefault="006A3667">
            <w:pPr>
              <w:rPr>
                <w:rFonts w:ascii="宋体"/>
                <w:vanish/>
              </w:rPr>
            </w:pPr>
          </w:p>
        </w:tc>
        <w:tc>
          <w:tcPr>
            <w:tcW w:w="0" w:type="auto"/>
            <w:gridSpan w:val="3"/>
            <w:shd w:val="clear" w:color="auto" w:fill="auto"/>
            <w:vAlign w:val="bottom"/>
          </w:tcPr>
          <w:p w14:paraId="71D4A48E" w14:textId="77777777" w:rsidR="006A3667" w:rsidRDefault="006A3667">
            <w:pPr>
              <w:rPr>
                <w:rFonts w:ascii="宋体"/>
                <w:vanish/>
              </w:rPr>
            </w:pPr>
          </w:p>
        </w:tc>
        <w:tc>
          <w:tcPr>
            <w:tcW w:w="0" w:type="auto"/>
            <w:gridSpan w:val="3"/>
            <w:shd w:val="clear" w:color="auto" w:fill="auto"/>
            <w:vAlign w:val="bottom"/>
          </w:tcPr>
          <w:p w14:paraId="71D4A48F" w14:textId="77777777" w:rsidR="006A3667" w:rsidRDefault="006A3667">
            <w:pPr>
              <w:rPr>
                <w:rFonts w:ascii="宋体"/>
                <w:vanish/>
              </w:rPr>
            </w:pPr>
          </w:p>
        </w:tc>
        <w:tc>
          <w:tcPr>
            <w:tcW w:w="0" w:type="auto"/>
            <w:gridSpan w:val="3"/>
            <w:shd w:val="clear" w:color="auto" w:fill="auto"/>
            <w:vAlign w:val="bottom"/>
          </w:tcPr>
          <w:p w14:paraId="71D4A490" w14:textId="77777777" w:rsidR="006A3667" w:rsidRDefault="006A3667">
            <w:pPr>
              <w:rPr>
                <w:rFonts w:ascii="宋体"/>
                <w:vanish/>
              </w:rPr>
            </w:pPr>
          </w:p>
        </w:tc>
        <w:tc>
          <w:tcPr>
            <w:tcW w:w="0" w:type="auto"/>
            <w:gridSpan w:val="3"/>
            <w:shd w:val="clear" w:color="auto" w:fill="auto"/>
            <w:vAlign w:val="bottom"/>
          </w:tcPr>
          <w:p w14:paraId="71D4A491" w14:textId="77777777" w:rsidR="006A3667" w:rsidRDefault="006A3667">
            <w:pPr>
              <w:rPr>
                <w:rFonts w:ascii="宋体"/>
                <w:vanish/>
              </w:rPr>
            </w:pPr>
          </w:p>
        </w:tc>
      </w:tr>
      <w:tr w:rsidR="006A3667" w14:paraId="71D4A4CB" w14:textId="77777777">
        <w:trPr>
          <w:hidden/>
        </w:trPr>
        <w:tc>
          <w:tcPr>
            <w:tcW w:w="0" w:type="auto"/>
            <w:gridSpan w:val="3"/>
            <w:shd w:val="clear" w:color="auto" w:fill="auto"/>
            <w:vAlign w:val="bottom"/>
          </w:tcPr>
          <w:p w14:paraId="71D4A493" w14:textId="77777777" w:rsidR="006A3667" w:rsidRDefault="006A3667">
            <w:pPr>
              <w:rPr>
                <w:rFonts w:ascii="宋体"/>
                <w:vanish/>
              </w:rPr>
            </w:pPr>
          </w:p>
        </w:tc>
        <w:tc>
          <w:tcPr>
            <w:tcW w:w="0" w:type="auto"/>
            <w:gridSpan w:val="3"/>
            <w:shd w:val="clear" w:color="auto" w:fill="auto"/>
            <w:vAlign w:val="bottom"/>
          </w:tcPr>
          <w:p w14:paraId="71D4A494" w14:textId="77777777" w:rsidR="006A3667" w:rsidRDefault="006A3667">
            <w:pPr>
              <w:rPr>
                <w:rFonts w:ascii="宋体"/>
                <w:vanish/>
              </w:rPr>
            </w:pPr>
          </w:p>
        </w:tc>
        <w:tc>
          <w:tcPr>
            <w:tcW w:w="0" w:type="auto"/>
            <w:shd w:val="clear" w:color="auto" w:fill="auto"/>
            <w:vAlign w:val="bottom"/>
          </w:tcPr>
          <w:p w14:paraId="71D4A495" w14:textId="77777777" w:rsidR="006A3667" w:rsidRDefault="006A3667">
            <w:pPr>
              <w:rPr>
                <w:rFonts w:ascii="宋体"/>
              </w:rPr>
            </w:pPr>
          </w:p>
        </w:tc>
        <w:tc>
          <w:tcPr>
            <w:tcW w:w="0" w:type="auto"/>
            <w:shd w:val="clear" w:color="auto" w:fill="auto"/>
            <w:vAlign w:val="bottom"/>
          </w:tcPr>
          <w:p w14:paraId="71D4A496" w14:textId="77777777" w:rsidR="006A3667" w:rsidRDefault="006A3667">
            <w:pPr>
              <w:rPr>
                <w:rFonts w:ascii="宋体"/>
              </w:rPr>
            </w:pPr>
          </w:p>
        </w:tc>
        <w:tc>
          <w:tcPr>
            <w:tcW w:w="0" w:type="auto"/>
            <w:shd w:val="clear" w:color="auto" w:fill="auto"/>
            <w:vAlign w:val="bottom"/>
          </w:tcPr>
          <w:p w14:paraId="71D4A497" w14:textId="77777777" w:rsidR="006A3667" w:rsidRDefault="006A3667">
            <w:pPr>
              <w:rPr>
                <w:rFonts w:ascii="宋体"/>
              </w:rPr>
            </w:pPr>
          </w:p>
        </w:tc>
        <w:tc>
          <w:tcPr>
            <w:tcW w:w="0" w:type="auto"/>
            <w:shd w:val="clear" w:color="auto" w:fill="auto"/>
            <w:vAlign w:val="bottom"/>
          </w:tcPr>
          <w:p w14:paraId="71D4A498" w14:textId="77777777" w:rsidR="006A3667" w:rsidRDefault="006A3667">
            <w:pPr>
              <w:rPr>
                <w:rFonts w:ascii="宋体"/>
              </w:rPr>
            </w:pPr>
          </w:p>
        </w:tc>
        <w:tc>
          <w:tcPr>
            <w:tcW w:w="0" w:type="auto"/>
            <w:shd w:val="clear" w:color="auto" w:fill="auto"/>
            <w:vAlign w:val="bottom"/>
          </w:tcPr>
          <w:p w14:paraId="71D4A499" w14:textId="77777777" w:rsidR="006A3667" w:rsidRDefault="006A3667">
            <w:pPr>
              <w:rPr>
                <w:rFonts w:ascii="宋体"/>
              </w:rPr>
            </w:pPr>
          </w:p>
        </w:tc>
        <w:tc>
          <w:tcPr>
            <w:tcW w:w="0" w:type="auto"/>
            <w:shd w:val="clear" w:color="auto" w:fill="auto"/>
            <w:vAlign w:val="bottom"/>
          </w:tcPr>
          <w:p w14:paraId="71D4A49A" w14:textId="77777777" w:rsidR="006A3667" w:rsidRDefault="006A3667">
            <w:pPr>
              <w:rPr>
                <w:rFonts w:ascii="宋体"/>
              </w:rPr>
            </w:pPr>
          </w:p>
        </w:tc>
        <w:tc>
          <w:tcPr>
            <w:tcW w:w="0" w:type="auto"/>
            <w:shd w:val="clear" w:color="auto" w:fill="auto"/>
            <w:vAlign w:val="bottom"/>
          </w:tcPr>
          <w:p w14:paraId="71D4A49B" w14:textId="77777777" w:rsidR="006A3667" w:rsidRDefault="006A3667">
            <w:pPr>
              <w:rPr>
                <w:rFonts w:ascii="宋体"/>
              </w:rPr>
            </w:pPr>
          </w:p>
        </w:tc>
        <w:tc>
          <w:tcPr>
            <w:tcW w:w="0" w:type="auto"/>
            <w:shd w:val="clear" w:color="auto" w:fill="auto"/>
            <w:vAlign w:val="bottom"/>
          </w:tcPr>
          <w:p w14:paraId="71D4A49C" w14:textId="77777777" w:rsidR="006A3667" w:rsidRDefault="006A3667">
            <w:pPr>
              <w:rPr>
                <w:rFonts w:ascii="宋体"/>
              </w:rPr>
            </w:pPr>
          </w:p>
        </w:tc>
        <w:tc>
          <w:tcPr>
            <w:tcW w:w="0" w:type="auto"/>
            <w:shd w:val="clear" w:color="auto" w:fill="auto"/>
            <w:vAlign w:val="bottom"/>
          </w:tcPr>
          <w:p w14:paraId="71D4A49D" w14:textId="77777777" w:rsidR="006A3667" w:rsidRDefault="006A3667">
            <w:pPr>
              <w:rPr>
                <w:rFonts w:ascii="宋体"/>
              </w:rPr>
            </w:pPr>
          </w:p>
        </w:tc>
        <w:tc>
          <w:tcPr>
            <w:tcW w:w="0" w:type="auto"/>
            <w:shd w:val="clear" w:color="auto" w:fill="auto"/>
            <w:vAlign w:val="bottom"/>
          </w:tcPr>
          <w:p w14:paraId="71D4A49E" w14:textId="77777777" w:rsidR="006A3667" w:rsidRDefault="006A3667">
            <w:pPr>
              <w:rPr>
                <w:rFonts w:ascii="宋体"/>
              </w:rPr>
            </w:pPr>
          </w:p>
        </w:tc>
        <w:tc>
          <w:tcPr>
            <w:tcW w:w="0" w:type="auto"/>
            <w:shd w:val="clear" w:color="auto" w:fill="auto"/>
            <w:vAlign w:val="bottom"/>
          </w:tcPr>
          <w:p w14:paraId="71D4A49F" w14:textId="77777777" w:rsidR="006A3667" w:rsidRDefault="006A3667">
            <w:pPr>
              <w:rPr>
                <w:rFonts w:ascii="宋体"/>
              </w:rPr>
            </w:pPr>
          </w:p>
        </w:tc>
        <w:tc>
          <w:tcPr>
            <w:tcW w:w="0" w:type="auto"/>
            <w:shd w:val="clear" w:color="auto" w:fill="auto"/>
            <w:vAlign w:val="bottom"/>
          </w:tcPr>
          <w:p w14:paraId="71D4A4A0" w14:textId="77777777" w:rsidR="006A3667" w:rsidRDefault="006A3667">
            <w:pPr>
              <w:rPr>
                <w:rFonts w:ascii="宋体"/>
              </w:rPr>
            </w:pPr>
          </w:p>
        </w:tc>
        <w:tc>
          <w:tcPr>
            <w:tcW w:w="0" w:type="auto"/>
            <w:shd w:val="clear" w:color="auto" w:fill="auto"/>
            <w:vAlign w:val="bottom"/>
          </w:tcPr>
          <w:p w14:paraId="71D4A4A1" w14:textId="77777777" w:rsidR="006A3667" w:rsidRDefault="006A3667">
            <w:pPr>
              <w:rPr>
                <w:rFonts w:ascii="宋体"/>
              </w:rPr>
            </w:pPr>
          </w:p>
        </w:tc>
        <w:tc>
          <w:tcPr>
            <w:tcW w:w="0" w:type="auto"/>
            <w:shd w:val="clear" w:color="auto" w:fill="auto"/>
            <w:vAlign w:val="bottom"/>
          </w:tcPr>
          <w:p w14:paraId="71D4A4A2" w14:textId="77777777" w:rsidR="006A3667" w:rsidRDefault="006A3667">
            <w:pPr>
              <w:rPr>
                <w:rFonts w:ascii="宋体"/>
              </w:rPr>
            </w:pPr>
          </w:p>
        </w:tc>
        <w:tc>
          <w:tcPr>
            <w:tcW w:w="0" w:type="auto"/>
            <w:shd w:val="clear" w:color="auto" w:fill="auto"/>
            <w:vAlign w:val="bottom"/>
          </w:tcPr>
          <w:p w14:paraId="71D4A4A3" w14:textId="77777777" w:rsidR="006A3667" w:rsidRDefault="006A3667">
            <w:pPr>
              <w:rPr>
                <w:rFonts w:ascii="宋体"/>
              </w:rPr>
            </w:pPr>
          </w:p>
        </w:tc>
        <w:tc>
          <w:tcPr>
            <w:tcW w:w="0" w:type="auto"/>
            <w:shd w:val="clear" w:color="auto" w:fill="auto"/>
            <w:vAlign w:val="bottom"/>
          </w:tcPr>
          <w:p w14:paraId="71D4A4A4" w14:textId="77777777" w:rsidR="006A3667" w:rsidRDefault="006A3667">
            <w:pPr>
              <w:rPr>
                <w:rFonts w:ascii="宋体"/>
              </w:rPr>
            </w:pPr>
          </w:p>
        </w:tc>
        <w:tc>
          <w:tcPr>
            <w:tcW w:w="0" w:type="auto"/>
            <w:shd w:val="clear" w:color="auto" w:fill="auto"/>
            <w:vAlign w:val="bottom"/>
          </w:tcPr>
          <w:p w14:paraId="71D4A4A5" w14:textId="77777777" w:rsidR="006A3667" w:rsidRDefault="006A3667">
            <w:pPr>
              <w:rPr>
                <w:rFonts w:ascii="宋体"/>
              </w:rPr>
            </w:pPr>
          </w:p>
        </w:tc>
        <w:tc>
          <w:tcPr>
            <w:tcW w:w="0" w:type="auto"/>
            <w:shd w:val="clear" w:color="auto" w:fill="auto"/>
            <w:vAlign w:val="bottom"/>
          </w:tcPr>
          <w:p w14:paraId="71D4A4A6" w14:textId="77777777" w:rsidR="006A3667" w:rsidRDefault="006A3667">
            <w:pPr>
              <w:rPr>
                <w:rFonts w:ascii="宋体"/>
              </w:rPr>
            </w:pPr>
          </w:p>
        </w:tc>
        <w:tc>
          <w:tcPr>
            <w:tcW w:w="0" w:type="auto"/>
            <w:shd w:val="clear" w:color="auto" w:fill="auto"/>
            <w:vAlign w:val="bottom"/>
          </w:tcPr>
          <w:p w14:paraId="71D4A4A7" w14:textId="77777777" w:rsidR="006A3667" w:rsidRDefault="006A3667">
            <w:pPr>
              <w:rPr>
                <w:rFonts w:ascii="宋体"/>
              </w:rPr>
            </w:pPr>
          </w:p>
        </w:tc>
        <w:tc>
          <w:tcPr>
            <w:tcW w:w="0" w:type="auto"/>
            <w:shd w:val="clear" w:color="auto" w:fill="auto"/>
            <w:vAlign w:val="bottom"/>
          </w:tcPr>
          <w:p w14:paraId="71D4A4A8" w14:textId="77777777" w:rsidR="006A3667" w:rsidRDefault="006A3667">
            <w:pPr>
              <w:rPr>
                <w:rFonts w:ascii="宋体"/>
              </w:rPr>
            </w:pPr>
          </w:p>
        </w:tc>
        <w:tc>
          <w:tcPr>
            <w:tcW w:w="0" w:type="auto"/>
            <w:shd w:val="clear" w:color="auto" w:fill="auto"/>
            <w:vAlign w:val="bottom"/>
          </w:tcPr>
          <w:p w14:paraId="71D4A4A9" w14:textId="77777777" w:rsidR="006A3667" w:rsidRDefault="006A3667">
            <w:pPr>
              <w:rPr>
                <w:rFonts w:ascii="宋体"/>
              </w:rPr>
            </w:pPr>
          </w:p>
        </w:tc>
        <w:tc>
          <w:tcPr>
            <w:tcW w:w="0" w:type="auto"/>
            <w:shd w:val="clear" w:color="auto" w:fill="auto"/>
            <w:vAlign w:val="bottom"/>
          </w:tcPr>
          <w:p w14:paraId="71D4A4AA" w14:textId="77777777" w:rsidR="006A3667" w:rsidRDefault="006A3667">
            <w:pPr>
              <w:rPr>
                <w:rFonts w:ascii="宋体"/>
              </w:rPr>
            </w:pPr>
          </w:p>
        </w:tc>
        <w:tc>
          <w:tcPr>
            <w:tcW w:w="0" w:type="auto"/>
            <w:shd w:val="clear" w:color="auto" w:fill="auto"/>
            <w:vAlign w:val="bottom"/>
          </w:tcPr>
          <w:p w14:paraId="71D4A4AB" w14:textId="77777777" w:rsidR="006A3667" w:rsidRDefault="006A3667">
            <w:pPr>
              <w:rPr>
                <w:rFonts w:ascii="宋体"/>
              </w:rPr>
            </w:pPr>
          </w:p>
        </w:tc>
        <w:tc>
          <w:tcPr>
            <w:tcW w:w="0" w:type="auto"/>
            <w:shd w:val="clear" w:color="auto" w:fill="auto"/>
            <w:vAlign w:val="bottom"/>
          </w:tcPr>
          <w:p w14:paraId="71D4A4AC" w14:textId="77777777" w:rsidR="006A3667" w:rsidRDefault="006A3667">
            <w:pPr>
              <w:rPr>
                <w:rFonts w:ascii="宋体"/>
              </w:rPr>
            </w:pPr>
          </w:p>
        </w:tc>
        <w:tc>
          <w:tcPr>
            <w:tcW w:w="0" w:type="auto"/>
            <w:shd w:val="clear" w:color="auto" w:fill="auto"/>
            <w:vAlign w:val="bottom"/>
          </w:tcPr>
          <w:p w14:paraId="71D4A4AD" w14:textId="77777777" w:rsidR="006A3667" w:rsidRDefault="006A3667">
            <w:pPr>
              <w:rPr>
                <w:rFonts w:ascii="宋体"/>
              </w:rPr>
            </w:pPr>
          </w:p>
        </w:tc>
        <w:tc>
          <w:tcPr>
            <w:tcW w:w="0" w:type="auto"/>
            <w:shd w:val="clear" w:color="auto" w:fill="auto"/>
            <w:vAlign w:val="bottom"/>
          </w:tcPr>
          <w:p w14:paraId="71D4A4AE" w14:textId="77777777" w:rsidR="006A3667" w:rsidRDefault="006A3667">
            <w:pPr>
              <w:rPr>
                <w:rFonts w:ascii="宋体"/>
              </w:rPr>
            </w:pPr>
          </w:p>
        </w:tc>
        <w:tc>
          <w:tcPr>
            <w:tcW w:w="0" w:type="auto"/>
            <w:shd w:val="clear" w:color="auto" w:fill="auto"/>
            <w:vAlign w:val="bottom"/>
          </w:tcPr>
          <w:p w14:paraId="71D4A4AF" w14:textId="77777777" w:rsidR="006A3667" w:rsidRDefault="006A3667">
            <w:pPr>
              <w:rPr>
                <w:rFonts w:ascii="宋体"/>
              </w:rPr>
            </w:pPr>
          </w:p>
        </w:tc>
        <w:tc>
          <w:tcPr>
            <w:tcW w:w="0" w:type="auto"/>
            <w:shd w:val="clear" w:color="auto" w:fill="auto"/>
            <w:vAlign w:val="bottom"/>
          </w:tcPr>
          <w:p w14:paraId="71D4A4B0" w14:textId="77777777" w:rsidR="006A3667" w:rsidRDefault="006A3667">
            <w:pPr>
              <w:rPr>
                <w:rFonts w:ascii="宋体"/>
              </w:rPr>
            </w:pPr>
          </w:p>
        </w:tc>
        <w:tc>
          <w:tcPr>
            <w:tcW w:w="0" w:type="auto"/>
            <w:shd w:val="clear" w:color="auto" w:fill="auto"/>
            <w:vAlign w:val="bottom"/>
          </w:tcPr>
          <w:p w14:paraId="71D4A4B1" w14:textId="77777777" w:rsidR="006A3667" w:rsidRDefault="006A3667">
            <w:pPr>
              <w:rPr>
                <w:rFonts w:ascii="宋体"/>
              </w:rPr>
            </w:pPr>
          </w:p>
        </w:tc>
        <w:tc>
          <w:tcPr>
            <w:tcW w:w="0" w:type="auto"/>
            <w:shd w:val="clear" w:color="auto" w:fill="auto"/>
            <w:vAlign w:val="bottom"/>
          </w:tcPr>
          <w:p w14:paraId="71D4A4B2" w14:textId="77777777" w:rsidR="006A3667" w:rsidRDefault="006A3667">
            <w:pPr>
              <w:rPr>
                <w:rFonts w:ascii="宋体"/>
              </w:rPr>
            </w:pPr>
          </w:p>
        </w:tc>
        <w:tc>
          <w:tcPr>
            <w:tcW w:w="0" w:type="auto"/>
            <w:shd w:val="clear" w:color="auto" w:fill="auto"/>
            <w:vAlign w:val="bottom"/>
          </w:tcPr>
          <w:p w14:paraId="71D4A4B3" w14:textId="77777777" w:rsidR="006A3667" w:rsidRDefault="006A3667">
            <w:pPr>
              <w:rPr>
                <w:rFonts w:ascii="宋体"/>
              </w:rPr>
            </w:pPr>
          </w:p>
        </w:tc>
        <w:tc>
          <w:tcPr>
            <w:tcW w:w="0" w:type="auto"/>
            <w:shd w:val="clear" w:color="auto" w:fill="auto"/>
            <w:vAlign w:val="bottom"/>
          </w:tcPr>
          <w:p w14:paraId="71D4A4B4" w14:textId="77777777" w:rsidR="006A3667" w:rsidRDefault="006A3667">
            <w:pPr>
              <w:rPr>
                <w:rFonts w:ascii="宋体"/>
              </w:rPr>
            </w:pPr>
          </w:p>
        </w:tc>
        <w:tc>
          <w:tcPr>
            <w:tcW w:w="0" w:type="auto"/>
            <w:shd w:val="clear" w:color="auto" w:fill="auto"/>
            <w:vAlign w:val="bottom"/>
          </w:tcPr>
          <w:p w14:paraId="71D4A4B5" w14:textId="77777777" w:rsidR="006A3667" w:rsidRDefault="006A3667">
            <w:pPr>
              <w:rPr>
                <w:rFonts w:ascii="宋体"/>
              </w:rPr>
            </w:pPr>
          </w:p>
        </w:tc>
        <w:tc>
          <w:tcPr>
            <w:tcW w:w="0" w:type="auto"/>
            <w:shd w:val="clear" w:color="auto" w:fill="auto"/>
            <w:vAlign w:val="bottom"/>
          </w:tcPr>
          <w:p w14:paraId="71D4A4B6" w14:textId="77777777" w:rsidR="006A3667" w:rsidRDefault="006A3667">
            <w:pPr>
              <w:rPr>
                <w:rFonts w:ascii="宋体"/>
              </w:rPr>
            </w:pPr>
          </w:p>
        </w:tc>
        <w:tc>
          <w:tcPr>
            <w:tcW w:w="0" w:type="auto"/>
            <w:shd w:val="clear" w:color="auto" w:fill="auto"/>
            <w:vAlign w:val="bottom"/>
          </w:tcPr>
          <w:p w14:paraId="71D4A4B7" w14:textId="77777777" w:rsidR="006A3667" w:rsidRDefault="006A3667">
            <w:pPr>
              <w:rPr>
                <w:rFonts w:ascii="宋体"/>
              </w:rPr>
            </w:pPr>
          </w:p>
        </w:tc>
        <w:tc>
          <w:tcPr>
            <w:tcW w:w="0" w:type="auto"/>
            <w:shd w:val="clear" w:color="auto" w:fill="auto"/>
            <w:vAlign w:val="bottom"/>
          </w:tcPr>
          <w:p w14:paraId="71D4A4B8" w14:textId="77777777" w:rsidR="006A3667" w:rsidRDefault="006A3667">
            <w:pPr>
              <w:rPr>
                <w:rFonts w:ascii="宋体"/>
              </w:rPr>
            </w:pPr>
          </w:p>
        </w:tc>
        <w:tc>
          <w:tcPr>
            <w:tcW w:w="0" w:type="auto"/>
            <w:shd w:val="clear" w:color="auto" w:fill="auto"/>
            <w:vAlign w:val="bottom"/>
          </w:tcPr>
          <w:p w14:paraId="71D4A4B9" w14:textId="77777777" w:rsidR="006A3667" w:rsidRDefault="006A3667">
            <w:pPr>
              <w:rPr>
                <w:rFonts w:ascii="宋体"/>
              </w:rPr>
            </w:pPr>
          </w:p>
        </w:tc>
        <w:tc>
          <w:tcPr>
            <w:tcW w:w="0" w:type="auto"/>
            <w:shd w:val="clear" w:color="auto" w:fill="auto"/>
            <w:vAlign w:val="bottom"/>
          </w:tcPr>
          <w:p w14:paraId="71D4A4BA" w14:textId="77777777" w:rsidR="006A3667" w:rsidRDefault="006A3667">
            <w:pPr>
              <w:rPr>
                <w:rFonts w:ascii="宋体"/>
              </w:rPr>
            </w:pPr>
          </w:p>
        </w:tc>
        <w:tc>
          <w:tcPr>
            <w:tcW w:w="0" w:type="auto"/>
            <w:shd w:val="clear" w:color="auto" w:fill="auto"/>
            <w:vAlign w:val="bottom"/>
          </w:tcPr>
          <w:p w14:paraId="71D4A4BB" w14:textId="77777777" w:rsidR="006A3667" w:rsidRDefault="006A3667">
            <w:pPr>
              <w:rPr>
                <w:rFonts w:ascii="宋体"/>
              </w:rPr>
            </w:pPr>
          </w:p>
        </w:tc>
        <w:tc>
          <w:tcPr>
            <w:tcW w:w="0" w:type="auto"/>
            <w:shd w:val="clear" w:color="auto" w:fill="auto"/>
            <w:vAlign w:val="bottom"/>
          </w:tcPr>
          <w:p w14:paraId="71D4A4BC" w14:textId="77777777" w:rsidR="006A3667" w:rsidRDefault="006A3667">
            <w:pPr>
              <w:rPr>
                <w:rFonts w:ascii="宋体"/>
              </w:rPr>
            </w:pPr>
          </w:p>
        </w:tc>
        <w:tc>
          <w:tcPr>
            <w:tcW w:w="0" w:type="auto"/>
            <w:shd w:val="clear" w:color="auto" w:fill="auto"/>
            <w:vAlign w:val="bottom"/>
          </w:tcPr>
          <w:p w14:paraId="71D4A4BD" w14:textId="77777777" w:rsidR="006A3667" w:rsidRDefault="006A3667">
            <w:pPr>
              <w:rPr>
                <w:rFonts w:ascii="宋体"/>
              </w:rPr>
            </w:pPr>
          </w:p>
        </w:tc>
        <w:tc>
          <w:tcPr>
            <w:tcW w:w="0" w:type="auto"/>
            <w:shd w:val="clear" w:color="auto" w:fill="auto"/>
            <w:vAlign w:val="bottom"/>
          </w:tcPr>
          <w:p w14:paraId="71D4A4BE" w14:textId="77777777" w:rsidR="006A3667" w:rsidRDefault="006A3667">
            <w:pPr>
              <w:rPr>
                <w:rFonts w:ascii="宋体"/>
              </w:rPr>
            </w:pPr>
          </w:p>
        </w:tc>
        <w:tc>
          <w:tcPr>
            <w:tcW w:w="0" w:type="auto"/>
            <w:shd w:val="clear" w:color="auto" w:fill="auto"/>
            <w:vAlign w:val="bottom"/>
          </w:tcPr>
          <w:p w14:paraId="71D4A4BF" w14:textId="77777777" w:rsidR="006A3667" w:rsidRDefault="006A3667">
            <w:pPr>
              <w:rPr>
                <w:rFonts w:ascii="宋体"/>
              </w:rPr>
            </w:pPr>
          </w:p>
        </w:tc>
        <w:tc>
          <w:tcPr>
            <w:tcW w:w="0" w:type="auto"/>
            <w:shd w:val="clear" w:color="auto" w:fill="auto"/>
            <w:vAlign w:val="bottom"/>
          </w:tcPr>
          <w:p w14:paraId="71D4A4C0" w14:textId="77777777" w:rsidR="006A3667" w:rsidRDefault="006A3667">
            <w:pPr>
              <w:rPr>
                <w:rFonts w:ascii="宋体"/>
              </w:rPr>
            </w:pPr>
          </w:p>
        </w:tc>
        <w:tc>
          <w:tcPr>
            <w:tcW w:w="0" w:type="auto"/>
            <w:shd w:val="clear" w:color="auto" w:fill="auto"/>
            <w:vAlign w:val="bottom"/>
          </w:tcPr>
          <w:p w14:paraId="71D4A4C1" w14:textId="77777777" w:rsidR="006A3667" w:rsidRDefault="006A3667">
            <w:pPr>
              <w:rPr>
                <w:rFonts w:ascii="宋体"/>
              </w:rPr>
            </w:pPr>
          </w:p>
        </w:tc>
        <w:tc>
          <w:tcPr>
            <w:tcW w:w="0" w:type="auto"/>
            <w:shd w:val="clear" w:color="auto" w:fill="auto"/>
            <w:vAlign w:val="bottom"/>
          </w:tcPr>
          <w:p w14:paraId="71D4A4C2" w14:textId="77777777" w:rsidR="006A3667" w:rsidRDefault="006A3667">
            <w:pPr>
              <w:rPr>
                <w:rFonts w:ascii="宋体"/>
              </w:rPr>
            </w:pPr>
          </w:p>
        </w:tc>
        <w:tc>
          <w:tcPr>
            <w:tcW w:w="0" w:type="auto"/>
            <w:shd w:val="clear" w:color="auto" w:fill="auto"/>
            <w:vAlign w:val="bottom"/>
          </w:tcPr>
          <w:p w14:paraId="71D4A4C3" w14:textId="77777777" w:rsidR="006A3667" w:rsidRDefault="006A3667">
            <w:pPr>
              <w:rPr>
                <w:rFonts w:ascii="宋体"/>
              </w:rPr>
            </w:pPr>
          </w:p>
        </w:tc>
        <w:tc>
          <w:tcPr>
            <w:tcW w:w="0" w:type="auto"/>
            <w:shd w:val="clear" w:color="auto" w:fill="auto"/>
            <w:vAlign w:val="bottom"/>
          </w:tcPr>
          <w:p w14:paraId="71D4A4C4" w14:textId="77777777" w:rsidR="006A3667" w:rsidRDefault="006A3667">
            <w:pPr>
              <w:rPr>
                <w:rFonts w:ascii="宋体"/>
              </w:rPr>
            </w:pPr>
          </w:p>
        </w:tc>
        <w:tc>
          <w:tcPr>
            <w:tcW w:w="0" w:type="auto"/>
            <w:shd w:val="clear" w:color="auto" w:fill="auto"/>
            <w:vAlign w:val="bottom"/>
          </w:tcPr>
          <w:p w14:paraId="71D4A4C5" w14:textId="77777777" w:rsidR="006A3667" w:rsidRDefault="006A3667">
            <w:pPr>
              <w:rPr>
                <w:rFonts w:ascii="宋体"/>
              </w:rPr>
            </w:pPr>
          </w:p>
        </w:tc>
        <w:tc>
          <w:tcPr>
            <w:tcW w:w="0" w:type="auto"/>
            <w:shd w:val="clear" w:color="auto" w:fill="auto"/>
            <w:vAlign w:val="bottom"/>
          </w:tcPr>
          <w:p w14:paraId="71D4A4C6" w14:textId="77777777" w:rsidR="006A3667" w:rsidRDefault="006A3667">
            <w:pPr>
              <w:rPr>
                <w:rFonts w:ascii="宋体"/>
              </w:rPr>
            </w:pPr>
          </w:p>
        </w:tc>
        <w:tc>
          <w:tcPr>
            <w:tcW w:w="0" w:type="auto"/>
            <w:shd w:val="clear" w:color="auto" w:fill="auto"/>
            <w:vAlign w:val="bottom"/>
          </w:tcPr>
          <w:p w14:paraId="71D4A4C7" w14:textId="77777777" w:rsidR="006A3667" w:rsidRDefault="006A3667">
            <w:pPr>
              <w:rPr>
                <w:rFonts w:ascii="宋体"/>
              </w:rPr>
            </w:pPr>
          </w:p>
        </w:tc>
        <w:tc>
          <w:tcPr>
            <w:tcW w:w="0" w:type="auto"/>
            <w:shd w:val="clear" w:color="auto" w:fill="auto"/>
            <w:vAlign w:val="bottom"/>
          </w:tcPr>
          <w:p w14:paraId="71D4A4C8" w14:textId="77777777" w:rsidR="006A3667" w:rsidRDefault="006A3667">
            <w:pPr>
              <w:rPr>
                <w:rFonts w:ascii="宋体"/>
              </w:rPr>
            </w:pPr>
          </w:p>
        </w:tc>
        <w:tc>
          <w:tcPr>
            <w:tcW w:w="0" w:type="auto"/>
            <w:shd w:val="clear" w:color="auto" w:fill="auto"/>
            <w:vAlign w:val="bottom"/>
          </w:tcPr>
          <w:p w14:paraId="71D4A4C9" w14:textId="77777777" w:rsidR="006A3667" w:rsidRDefault="006A3667">
            <w:pPr>
              <w:rPr>
                <w:rFonts w:ascii="宋体"/>
              </w:rPr>
            </w:pPr>
          </w:p>
        </w:tc>
        <w:tc>
          <w:tcPr>
            <w:tcW w:w="0" w:type="auto"/>
            <w:shd w:val="clear" w:color="auto" w:fill="auto"/>
            <w:vAlign w:val="bottom"/>
          </w:tcPr>
          <w:p w14:paraId="71D4A4CA" w14:textId="77777777" w:rsidR="006A3667" w:rsidRDefault="006A3667">
            <w:pPr>
              <w:rPr>
                <w:rFonts w:ascii="宋体"/>
              </w:rPr>
            </w:pPr>
          </w:p>
        </w:tc>
      </w:tr>
      <w:tr w:rsidR="006A3667" w14:paraId="71D4A4F8" w14:textId="77777777">
        <w:trPr>
          <w:hidden/>
        </w:trPr>
        <w:tc>
          <w:tcPr>
            <w:tcW w:w="0" w:type="auto"/>
            <w:gridSpan w:val="3"/>
            <w:shd w:val="clear" w:color="auto" w:fill="auto"/>
            <w:vAlign w:val="bottom"/>
          </w:tcPr>
          <w:p w14:paraId="71D4A4CC" w14:textId="77777777" w:rsidR="006A3667" w:rsidRDefault="006A3667">
            <w:pPr>
              <w:rPr>
                <w:rFonts w:ascii="宋体"/>
                <w:vanish/>
              </w:rPr>
            </w:pPr>
          </w:p>
        </w:tc>
        <w:tc>
          <w:tcPr>
            <w:tcW w:w="0" w:type="auto"/>
            <w:gridSpan w:val="3"/>
            <w:shd w:val="clear" w:color="auto" w:fill="auto"/>
            <w:vAlign w:val="bottom"/>
          </w:tcPr>
          <w:p w14:paraId="71D4A4CD" w14:textId="77777777" w:rsidR="006A3667" w:rsidRDefault="006A3667">
            <w:pPr>
              <w:rPr>
                <w:rFonts w:ascii="宋体"/>
                <w:vanish/>
              </w:rPr>
            </w:pPr>
          </w:p>
        </w:tc>
        <w:tc>
          <w:tcPr>
            <w:tcW w:w="0" w:type="auto"/>
            <w:gridSpan w:val="3"/>
            <w:shd w:val="clear" w:color="auto" w:fill="auto"/>
            <w:vAlign w:val="bottom"/>
          </w:tcPr>
          <w:p w14:paraId="71D4A4CE" w14:textId="77777777" w:rsidR="006A3667" w:rsidRDefault="006A3667">
            <w:pPr>
              <w:rPr>
                <w:rFonts w:ascii="宋体"/>
                <w:vanish/>
              </w:rPr>
            </w:pPr>
          </w:p>
        </w:tc>
        <w:tc>
          <w:tcPr>
            <w:tcW w:w="0" w:type="auto"/>
            <w:gridSpan w:val="3"/>
            <w:shd w:val="clear" w:color="auto" w:fill="auto"/>
            <w:vAlign w:val="bottom"/>
          </w:tcPr>
          <w:p w14:paraId="71D4A4CF" w14:textId="77777777" w:rsidR="006A3667" w:rsidRDefault="006A3667">
            <w:pPr>
              <w:rPr>
                <w:rFonts w:ascii="宋体"/>
                <w:vanish/>
              </w:rPr>
            </w:pPr>
          </w:p>
        </w:tc>
        <w:tc>
          <w:tcPr>
            <w:tcW w:w="0" w:type="auto"/>
            <w:gridSpan w:val="3"/>
            <w:shd w:val="clear" w:color="auto" w:fill="auto"/>
            <w:vAlign w:val="bottom"/>
          </w:tcPr>
          <w:p w14:paraId="71D4A4D0" w14:textId="77777777" w:rsidR="006A3667" w:rsidRDefault="006A3667">
            <w:pPr>
              <w:rPr>
                <w:rFonts w:ascii="宋体"/>
                <w:vanish/>
              </w:rPr>
            </w:pPr>
          </w:p>
        </w:tc>
        <w:tc>
          <w:tcPr>
            <w:tcW w:w="0" w:type="auto"/>
            <w:gridSpan w:val="3"/>
            <w:shd w:val="clear" w:color="auto" w:fill="auto"/>
            <w:vAlign w:val="bottom"/>
          </w:tcPr>
          <w:p w14:paraId="71D4A4D1" w14:textId="77777777" w:rsidR="006A3667" w:rsidRDefault="006A3667">
            <w:pPr>
              <w:rPr>
                <w:rFonts w:ascii="宋体"/>
                <w:vanish/>
              </w:rPr>
            </w:pPr>
          </w:p>
        </w:tc>
        <w:tc>
          <w:tcPr>
            <w:tcW w:w="0" w:type="auto"/>
            <w:gridSpan w:val="3"/>
            <w:shd w:val="clear" w:color="auto" w:fill="auto"/>
            <w:vAlign w:val="bottom"/>
          </w:tcPr>
          <w:p w14:paraId="71D4A4D2" w14:textId="77777777" w:rsidR="006A3667" w:rsidRDefault="006A3667">
            <w:pPr>
              <w:rPr>
                <w:rFonts w:ascii="宋体"/>
                <w:vanish/>
              </w:rPr>
            </w:pPr>
          </w:p>
        </w:tc>
        <w:tc>
          <w:tcPr>
            <w:tcW w:w="0" w:type="auto"/>
            <w:gridSpan w:val="3"/>
            <w:shd w:val="clear" w:color="auto" w:fill="auto"/>
            <w:vAlign w:val="bottom"/>
          </w:tcPr>
          <w:p w14:paraId="71D4A4D3" w14:textId="77777777" w:rsidR="006A3667" w:rsidRDefault="006A3667">
            <w:pPr>
              <w:rPr>
                <w:rFonts w:ascii="宋体"/>
                <w:vanish/>
              </w:rPr>
            </w:pPr>
          </w:p>
        </w:tc>
        <w:tc>
          <w:tcPr>
            <w:tcW w:w="0" w:type="auto"/>
            <w:shd w:val="clear" w:color="auto" w:fill="auto"/>
            <w:vAlign w:val="bottom"/>
          </w:tcPr>
          <w:p w14:paraId="71D4A4D4" w14:textId="77777777" w:rsidR="006A3667" w:rsidRDefault="006A3667">
            <w:pPr>
              <w:rPr>
                <w:rFonts w:ascii="宋体"/>
              </w:rPr>
            </w:pPr>
          </w:p>
        </w:tc>
        <w:tc>
          <w:tcPr>
            <w:tcW w:w="0" w:type="auto"/>
            <w:shd w:val="clear" w:color="auto" w:fill="auto"/>
            <w:vAlign w:val="bottom"/>
          </w:tcPr>
          <w:p w14:paraId="71D4A4D5" w14:textId="77777777" w:rsidR="006A3667" w:rsidRDefault="006A3667">
            <w:pPr>
              <w:rPr>
                <w:rFonts w:ascii="宋体"/>
              </w:rPr>
            </w:pPr>
          </w:p>
        </w:tc>
        <w:tc>
          <w:tcPr>
            <w:tcW w:w="0" w:type="auto"/>
            <w:shd w:val="clear" w:color="auto" w:fill="auto"/>
            <w:vAlign w:val="bottom"/>
          </w:tcPr>
          <w:p w14:paraId="71D4A4D6" w14:textId="77777777" w:rsidR="006A3667" w:rsidRDefault="006A3667">
            <w:pPr>
              <w:rPr>
                <w:rFonts w:ascii="宋体"/>
              </w:rPr>
            </w:pPr>
          </w:p>
        </w:tc>
        <w:tc>
          <w:tcPr>
            <w:tcW w:w="0" w:type="auto"/>
            <w:shd w:val="clear" w:color="auto" w:fill="auto"/>
            <w:vAlign w:val="bottom"/>
          </w:tcPr>
          <w:p w14:paraId="71D4A4D7" w14:textId="77777777" w:rsidR="006A3667" w:rsidRDefault="006A3667">
            <w:pPr>
              <w:rPr>
                <w:rFonts w:ascii="宋体"/>
              </w:rPr>
            </w:pPr>
          </w:p>
        </w:tc>
        <w:tc>
          <w:tcPr>
            <w:tcW w:w="0" w:type="auto"/>
            <w:shd w:val="clear" w:color="auto" w:fill="auto"/>
            <w:vAlign w:val="bottom"/>
          </w:tcPr>
          <w:p w14:paraId="71D4A4D8" w14:textId="77777777" w:rsidR="006A3667" w:rsidRDefault="006A3667">
            <w:pPr>
              <w:rPr>
                <w:rFonts w:ascii="宋体"/>
              </w:rPr>
            </w:pPr>
          </w:p>
        </w:tc>
        <w:tc>
          <w:tcPr>
            <w:tcW w:w="0" w:type="auto"/>
            <w:shd w:val="clear" w:color="auto" w:fill="auto"/>
            <w:vAlign w:val="bottom"/>
          </w:tcPr>
          <w:p w14:paraId="71D4A4D9" w14:textId="77777777" w:rsidR="006A3667" w:rsidRDefault="006A3667">
            <w:pPr>
              <w:rPr>
                <w:rFonts w:ascii="宋体"/>
              </w:rPr>
            </w:pPr>
          </w:p>
        </w:tc>
        <w:tc>
          <w:tcPr>
            <w:tcW w:w="0" w:type="auto"/>
            <w:shd w:val="clear" w:color="auto" w:fill="auto"/>
            <w:vAlign w:val="bottom"/>
          </w:tcPr>
          <w:p w14:paraId="71D4A4DA" w14:textId="77777777" w:rsidR="006A3667" w:rsidRDefault="006A3667">
            <w:pPr>
              <w:rPr>
                <w:rFonts w:ascii="宋体"/>
              </w:rPr>
            </w:pPr>
          </w:p>
        </w:tc>
        <w:tc>
          <w:tcPr>
            <w:tcW w:w="0" w:type="auto"/>
            <w:shd w:val="clear" w:color="auto" w:fill="auto"/>
            <w:vAlign w:val="bottom"/>
          </w:tcPr>
          <w:p w14:paraId="71D4A4DB" w14:textId="77777777" w:rsidR="006A3667" w:rsidRDefault="006A3667">
            <w:pPr>
              <w:rPr>
                <w:rFonts w:ascii="宋体"/>
              </w:rPr>
            </w:pPr>
          </w:p>
        </w:tc>
        <w:tc>
          <w:tcPr>
            <w:tcW w:w="0" w:type="auto"/>
            <w:shd w:val="clear" w:color="auto" w:fill="auto"/>
            <w:vAlign w:val="bottom"/>
          </w:tcPr>
          <w:p w14:paraId="71D4A4DC" w14:textId="77777777" w:rsidR="006A3667" w:rsidRDefault="006A3667">
            <w:pPr>
              <w:rPr>
                <w:rFonts w:ascii="宋体"/>
              </w:rPr>
            </w:pPr>
          </w:p>
        </w:tc>
        <w:tc>
          <w:tcPr>
            <w:tcW w:w="0" w:type="auto"/>
            <w:shd w:val="clear" w:color="auto" w:fill="auto"/>
            <w:vAlign w:val="bottom"/>
          </w:tcPr>
          <w:p w14:paraId="71D4A4DD" w14:textId="77777777" w:rsidR="006A3667" w:rsidRDefault="006A3667">
            <w:pPr>
              <w:rPr>
                <w:rFonts w:ascii="宋体"/>
              </w:rPr>
            </w:pPr>
          </w:p>
        </w:tc>
        <w:tc>
          <w:tcPr>
            <w:tcW w:w="0" w:type="auto"/>
            <w:shd w:val="clear" w:color="auto" w:fill="auto"/>
            <w:vAlign w:val="bottom"/>
          </w:tcPr>
          <w:p w14:paraId="71D4A4DE" w14:textId="77777777" w:rsidR="006A3667" w:rsidRDefault="006A3667">
            <w:pPr>
              <w:rPr>
                <w:rFonts w:ascii="宋体"/>
              </w:rPr>
            </w:pPr>
          </w:p>
        </w:tc>
        <w:tc>
          <w:tcPr>
            <w:tcW w:w="0" w:type="auto"/>
            <w:shd w:val="clear" w:color="auto" w:fill="auto"/>
            <w:vAlign w:val="bottom"/>
          </w:tcPr>
          <w:p w14:paraId="71D4A4DF" w14:textId="77777777" w:rsidR="006A3667" w:rsidRDefault="006A3667">
            <w:pPr>
              <w:rPr>
                <w:rFonts w:ascii="宋体"/>
              </w:rPr>
            </w:pPr>
          </w:p>
        </w:tc>
        <w:tc>
          <w:tcPr>
            <w:tcW w:w="0" w:type="auto"/>
            <w:shd w:val="clear" w:color="auto" w:fill="auto"/>
            <w:vAlign w:val="bottom"/>
          </w:tcPr>
          <w:p w14:paraId="71D4A4E0" w14:textId="77777777" w:rsidR="006A3667" w:rsidRDefault="006A3667">
            <w:pPr>
              <w:rPr>
                <w:rFonts w:ascii="宋体"/>
              </w:rPr>
            </w:pPr>
          </w:p>
        </w:tc>
        <w:tc>
          <w:tcPr>
            <w:tcW w:w="0" w:type="auto"/>
            <w:shd w:val="clear" w:color="auto" w:fill="auto"/>
            <w:vAlign w:val="bottom"/>
          </w:tcPr>
          <w:p w14:paraId="71D4A4E1" w14:textId="77777777" w:rsidR="006A3667" w:rsidRDefault="006A3667">
            <w:pPr>
              <w:rPr>
                <w:rFonts w:ascii="宋体"/>
              </w:rPr>
            </w:pPr>
          </w:p>
        </w:tc>
        <w:tc>
          <w:tcPr>
            <w:tcW w:w="0" w:type="auto"/>
            <w:shd w:val="clear" w:color="auto" w:fill="auto"/>
            <w:vAlign w:val="bottom"/>
          </w:tcPr>
          <w:p w14:paraId="71D4A4E2" w14:textId="77777777" w:rsidR="006A3667" w:rsidRDefault="006A3667">
            <w:pPr>
              <w:rPr>
                <w:rFonts w:ascii="宋体"/>
              </w:rPr>
            </w:pPr>
          </w:p>
        </w:tc>
        <w:tc>
          <w:tcPr>
            <w:tcW w:w="0" w:type="auto"/>
            <w:shd w:val="clear" w:color="auto" w:fill="auto"/>
            <w:vAlign w:val="bottom"/>
          </w:tcPr>
          <w:p w14:paraId="71D4A4E3" w14:textId="77777777" w:rsidR="006A3667" w:rsidRDefault="006A3667">
            <w:pPr>
              <w:rPr>
                <w:rFonts w:ascii="宋体"/>
              </w:rPr>
            </w:pPr>
          </w:p>
        </w:tc>
        <w:tc>
          <w:tcPr>
            <w:tcW w:w="0" w:type="auto"/>
            <w:shd w:val="clear" w:color="auto" w:fill="auto"/>
            <w:vAlign w:val="bottom"/>
          </w:tcPr>
          <w:p w14:paraId="71D4A4E4" w14:textId="77777777" w:rsidR="006A3667" w:rsidRDefault="006A3667">
            <w:pPr>
              <w:rPr>
                <w:rFonts w:ascii="宋体"/>
              </w:rPr>
            </w:pPr>
          </w:p>
        </w:tc>
        <w:tc>
          <w:tcPr>
            <w:tcW w:w="0" w:type="auto"/>
            <w:shd w:val="clear" w:color="auto" w:fill="auto"/>
            <w:vAlign w:val="bottom"/>
          </w:tcPr>
          <w:p w14:paraId="71D4A4E5" w14:textId="77777777" w:rsidR="006A3667" w:rsidRDefault="006A3667">
            <w:pPr>
              <w:rPr>
                <w:rFonts w:ascii="宋体"/>
              </w:rPr>
            </w:pPr>
          </w:p>
        </w:tc>
        <w:tc>
          <w:tcPr>
            <w:tcW w:w="0" w:type="auto"/>
            <w:shd w:val="clear" w:color="auto" w:fill="auto"/>
            <w:vAlign w:val="bottom"/>
          </w:tcPr>
          <w:p w14:paraId="71D4A4E6" w14:textId="77777777" w:rsidR="006A3667" w:rsidRDefault="006A3667">
            <w:pPr>
              <w:rPr>
                <w:rFonts w:ascii="宋体"/>
              </w:rPr>
            </w:pPr>
          </w:p>
        </w:tc>
        <w:tc>
          <w:tcPr>
            <w:tcW w:w="0" w:type="auto"/>
            <w:shd w:val="clear" w:color="auto" w:fill="auto"/>
            <w:vAlign w:val="bottom"/>
          </w:tcPr>
          <w:p w14:paraId="71D4A4E7" w14:textId="77777777" w:rsidR="006A3667" w:rsidRDefault="006A3667">
            <w:pPr>
              <w:rPr>
                <w:rFonts w:ascii="宋体"/>
              </w:rPr>
            </w:pPr>
          </w:p>
        </w:tc>
        <w:tc>
          <w:tcPr>
            <w:tcW w:w="0" w:type="auto"/>
            <w:shd w:val="clear" w:color="auto" w:fill="auto"/>
            <w:vAlign w:val="bottom"/>
          </w:tcPr>
          <w:p w14:paraId="71D4A4E8" w14:textId="77777777" w:rsidR="006A3667" w:rsidRDefault="006A3667">
            <w:pPr>
              <w:rPr>
                <w:rFonts w:ascii="宋体"/>
              </w:rPr>
            </w:pPr>
          </w:p>
        </w:tc>
        <w:tc>
          <w:tcPr>
            <w:tcW w:w="0" w:type="auto"/>
            <w:shd w:val="clear" w:color="auto" w:fill="auto"/>
            <w:vAlign w:val="bottom"/>
          </w:tcPr>
          <w:p w14:paraId="71D4A4E9" w14:textId="77777777" w:rsidR="006A3667" w:rsidRDefault="006A3667">
            <w:pPr>
              <w:rPr>
                <w:rFonts w:ascii="宋体"/>
              </w:rPr>
            </w:pPr>
          </w:p>
        </w:tc>
        <w:tc>
          <w:tcPr>
            <w:tcW w:w="0" w:type="auto"/>
            <w:shd w:val="clear" w:color="auto" w:fill="auto"/>
            <w:vAlign w:val="bottom"/>
          </w:tcPr>
          <w:p w14:paraId="71D4A4EA" w14:textId="77777777" w:rsidR="006A3667" w:rsidRDefault="006A3667">
            <w:pPr>
              <w:rPr>
                <w:rFonts w:ascii="宋体"/>
              </w:rPr>
            </w:pPr>
          </w:p>
        </w:tc>
        <w:tc>
          <w:tcPr>
            <w:tcW w:w="0" w:type="auto"/>
            <w:shd w:val="clear" w:color="auto" w:fill="auto"/>
            <w:vAlign w:val="bottom"/>
          </w:tcPr>
          <w:p w14:paraId="71D4A4EB" w14:textId="77777777" w:rsidR="006A3667" w:rsidRDefault="006A3667">
            <w:pPr>
              <w:rPr>
                <w:rFonts w:ascii="宋体"/>
              </w:rPr>
            </w:pPr>
          </w:p>
        </w:tc>
        <w:tc>
          <w:tcPr>
            <w:tcW w:w="0" w:type="auto"/>
            <w:shd w:val="clear" w:color="auto" w:fill="auto"/>
            <w:vAlign w:val="bottom"/>
          </w:tcPr>
          <w:p w14:paraId="71D4A4EC" w14:textId="77777777" w:rsidR="006A3667" w:rsidRDefault="006A3667">
            <w:pPr>
              <w:rPr>
                <w:rFonts w:ascii="宋体"/>
              </w:rPr>
            </w:pPr>
          </w:p>
        </w:tc>
        <w:tc>
          <w:tcPr>
            <w:tcW w:w="0" w:type="auto"/>
            <w:shd w:val="clear" w:color="auto" w:fill="auto"/>
            <w:vAlign w:val="bottom"/>
          </w:tcPr>
          <w:p w14:paraId="71D4A4ED" w14:textId="77777777" w:rsidR="006A3667" w:rsidRDefault="006A3667">
            <w:pPr>
              <w:rPr>
                <w:rFonts w:ascii="宋体"/>
              </w:rPr>
            </w:pPr>
          </w:p>
        </w:tc>
        <w:tc>
          <w:tcPr>
            <w:tcW w:w="0" w:type="auto"/>
            <w:shd w:val="clear" w:color="auto" w:fill="auto"/>
            <w:vAlign w:val="bottom"/>
          </w:tcPr>
          <w:p w14:paraId="71D4A4EE" w14:textId="77777777" w:rsidR="006A3667" w:rsidRDefault="006A3667">
            <w:pPr>
              <w:rPr>
                <w:rFonts w:ascii="宋体"/>
              </w:rPr>
            </w:pPr>
          </w:p>
        </w:tc>
        <w:tc>
          <w:tcPr>
            <w:tcW w:w="0" w:type="auto"/>
            <w:shd w:val="clear" w:color="auto" w:fill="auto"/>
            <w:vAlign w:val="bottom"/>
          </w:tcPr>
          <w:p w14:paraId="71D4A4EF" w14:textId="77777777" w:rsidR="006A3667" w:rsidRDefault="006A3667">
            <w:pPr>
              <w:rPr>
                <w:rFonts w:ascii="宋体"/>
              </w:rPr>
            </w:pPr>
          </w:p>
        </w:tc>
        <w:tc>
          <w:tcPr>
            <w:tcW w:w="0" w:type="auto"/>
            <w:shd w:val="clear" w:color="auto" w:fill="auto"/>
            <w:vAlign w:val="bottom"/>
          </w:tcPr>
          <w:p w14:paraId="71D4A4F0" w14:textId="77777777" w:rsidR="006A3667" w:rsidRDefault="006A3667">
            <w:pPr>
              <w:rPr>
                <w:rFonts w:ascii="宋体"/>
              </w:rPr>
            </w:pPr>
          </w:p>
        </w:tc>
        <w:tc>
          <w:tcPr>
            <w:tcW w:w="0" w:type="auto"/>
            <w:shd w:val="clear" w:color="auto" w:fill="auto"/>
            <w:vAlign w:val="bottom"/>
          </w:tcPr>
          <w:p w14:paraId="71D4A4F1" w14:textId="77777777" w:rsidR="006A3667" w:rsidRDefault="006A3667">
            <w:pPr>
              <w:rPr>
                <w:rFonts w:ascii="宋体"/>
              </w:rPr>
            </w:pPr>
          </w:p>
        </w:tc>
        <w:tc>
          <w:tcPr>
            <w:tcW w:w="0" w:type="auto"/>
            <w:shd w:val="clear" w:color="auto" w:fill="auto"/>
            <w:vAlign w:val="bottom"/>
          </w:tcPr>
          <w:p w14:paraId="71D4A4F2" w14:textId="77777777" w:rsidR="006A3667" w:rsidRDefault="006A3667">
            <w:pPr>
              <w:rPr>
                <w:rFonts w:ascii="宋体"/>
              </w:rPr>
            </w:pPr>
          </w:p>
        </w:tc>
        <w:tc>
          <w:tcPr>
            <w:tcW w:w="0" w:type="auto"/>
            <w:shd w:val="clear" w:color="auto" w:fill="auto"/>
            <w:vAlign w:val="bottom"/>
          </w:tcPr>
          <w:p w14:paraId="71D4A4F3" w14:textId="77777777" w:rsidR="006A3667" w:rsidRDefault="006A3667">
            <w:pPr>
              <w:rPr>
                <w:rFonts w:ascii="宋体"/>
              </w:rPr>
            </w:pPr>
          </w:p>
        </w:tc>
        <w:tc>
          <w:tcPr>
            <w:tcW w:w="0" w:type="auto"/>
            <w:shd w:val="clear" w:color="auto" w:fill="auto"/>
            <w:vAlign w:val="bottom"/>
          </w:tcPr>
          <w:p w14:paraId="71D4A4F4" w14:textId="77777777" w:rsidR="006A3667" w:rsidRDefault="006A3667">
            <w:pPr>
              <w:rPr>
                <w:rFonts w:ascii="宋体"/>
              </w:rPr>
            </w:pPr>
          </w:p>
        </w:tc>
        <w:tc>
          <w:tcPr>
            <w:tcW w:w="0" w:type="auto"/>
            <w:shd w:val="clear" w:color="auto" w:fill="auto"/>
            <w:vAlign w:val="bottom"/>
          </w:tcPr>
          <w:p w14:paraId="71D4A4F5" w14:textId="77777777" w:rsidR="006A3667" w:rsidRDefault="006A3667">
            <w:pPr>
              <w:rPr>
                <w:rFonts w:ascii="宋体"/>
              </w:rPr>
            </w:pPr>
          </w:p>
        </w:tc>
        <w:tc>
          <w:tcPr>
            <w:tcW w:w="0" w:type="auto"/>
            <w:shd w:val="clear" w:color="auto" w:fill="auto"/>
            <w:vAlign w:val="bottom"/>
          </w:tcPr>
          <w:p w14:paraId="71D4A4F6" w14:textId="77777777" w:rsidR="006A3667" w:rsidRDefault="006A3667">
            <w:pPr>
              <w:rPr>
                <w:rFonts w:ascii="宋体"/>
              </w:rPr>
            </w:pPr>
          </w:p>
        </w:tc>
        <w:tc>
          <w:tcPr>
            <w:tcW w:w="0" w:type="auto"/>
            <w:shd w:val="clear" w:color="auto" w:fill="auto"/>
            <w:vAlign w:val="bottom"/>
          </w:tcPr>
          <w:p w14:paraId="71D4A4F7" w14:textId="77777777" w:rsidR="006A3667" w:rsidRDefault="006A3667">
            <w:pPr>
              <w:rPr>
                <w:rFonts w:ascii="宋体"/>
              </w:rPr>
            </w:pPr>
          </w:p>
        </w:tc>
      </w:tr>
      <w:tr w:rsidR="006A3667" w14:paraId="71D4A50D" w14:textId="77777777">
        <w:trPr>
          <w:hidden/>
        </w:trPr>
        <w:tc>
          <w:tcPr>
            <w:tcW w:w="0" w:type="auto"/>
            <w:gridSpan w:val="3"/>
            <w:shd w:val="clear" w:color="auto" w:fill="auto"/>
            <w:vAlign w:val="bottom"/>
          </w:tcPr>
          <w:p w14:paraId="71D4A4F9" w14:textId="77777777" w:rsidR="006A3667" w:rsidRDefault="006A3667">
            <w:pPr>
              <w:rPr>
                <w:rFonts w:ascii="宋体"/>
                <w:vanish/>
              </w:rPr>
            </w:pPr>
          </w:p>
        </w:tc>
        <w:tc>
          <w:tcPr>
            <w:tcW w:w="0" w:type="auto"/>
            <w:gridSpan w:val="3"/>
            <w:shd w:val="clear" w:color="auto" w:fill="auto"/>
            <w:vAlign w:val="bottom"/>
          </w:tcPr>
          <w:p w14:paraId="71D4A4FA" w14:textId="77777777" w:rsidR="006A3667" w:rsidRDefault="006A3667">
            <w:pPr>
              <w:rPr>
                <w:rFonts w:ascii="宋体"/>
                <w:vanish/>
              </w:rPr>
            </w:pPr>
          </w:p>
        </w:tc>
        <w:tc>
          <w:tcPr>
            <w:tcW w:w="0" w:type="auto"/>
            <w:gridSpan w:val="3"/>
            <w:shd w:val="clear" w:color="auto" w:fill="auto"/>
            <w:vAlign w:val="bottom"/>
          </w:tcPr>
          <w:p w14:paraId="71D4A4FB" w14:textId="77777777" w:rsidR="006A3667" w:rsidRDefault="006A3667">
            <w:pPr>
              <w:rPr>
                <w:rFonts w:ascii="宋体"/>
                <w:vanish/>
              </w:rPr>
            </w:pPr>
          </w:p>
        </w:tc>
        <w:tc>
          <w:tcPr>
            <w:tcW w:w="0" w:type="auto"/>
            <w:gridSpan w:val="3"/>
            <w:shd w:val="clear" w:color="auto" w:fill="auto"/>
            <w:vAlign w:val="bottom"/>
          </w:tcPr>
          <w:p w14:paraId="71D4A4FC" w14:textId="77777777" w:rsidR="006A3667" w:rsidRDefault="006A3667">
            <w:pPr>
              <w:rPr>
                <w:rFonts w:ascii="宋体"/>
                <w:vanish/>
              </w:rPr>
            </w:pPr>
          </w:p>
        </w:tc>
        <w:tc>
          <w:tcPr>
            <w:tcW w:w="0" w:type="auto"/>
            <w:gridSpan w:val="3"/>
            <w:shd w:val="clear" w:color="auto" w:fill="auto"/>
            <w:vAlign w:val="bottom"/>
          </w:tcPr>
          <w:p w14:paraId="71D4A4FD" w14:textId="77777777" w:rsidR="006A3667" w:rsidRDefault="006A3667">
            <w:pPr>
              <w:rPr>
                <w:rFonts w:ascii="宋体"/>
                <w:vanish/>
              </w:rPr>
            </w:pPr>
          </w:p>
        </w:tc>
        <w:tc>
          <w:tcPr>
            <w:tcW w:w="0" w:type="auto"/>
            <w:gridSpan w:val="3"/>
            <w:shd w:val="clear" w:color="auto" w:fill="auto"/>
            <w:vAlign w:val="bottom"/>
          </w:tcPr>
          <w:p w14:paraId="71D4A4FE" w14:textId="77777777" w:rsidR="006A3667" w:rsidRDefault="006A3667">
            <w:pPr>
              <w:rPr>
                <w:rFonts w:ascii="宋体"/>
                <w:vanish/>
              </w:rPr>
            </w:pPr>
          </w:p>
        </w:tc>
        <w:tc>
          <w:tcPr>
            <w:tcW w:w="0" w:type="auto"/>
            <w:gridSpan w:val="3"/>
            <w:shd w:val="clear" w:color="auto" w:fill="auto"/>
            <w:vAlign w:val="bottom"/>
          </w:tcPr>
          <w:p w14:paraId="71D4A4FF" w14:textId="77777777" w:rsidR="006A3667" w:rsidRDefault="006A3667">
            <w:pPr>
              <w:rPr>
                <w:rFonts w:ascii="宋体"/>
                <w:vanish/>
              </w:rPr>
            </w:pPr>
          </w:p>
        </w:tc>
        <w:tc>
          <w:tcPr>
            <w:tcW w:w="0" w:type="auto"/>
            <w:gridSpan w:val="3"/>
            <w:shd w:val="clear" w:color="auto" w:fill="auto"/>
            <w:vAlign w:val="bottom"/>
          </w:tcPr>
          <w:p w14:paraId="71D4A500" w14:textId="77777777" w:rsidR="006A3667" w:rsidRDefault="006A3667">
            <w:pPr>
              <w:rPr>
                <w:rFonts w:ascii="宋体"/>
                <w:vanish/>
              </w:rPr>
            </w:pPr>
          </w:p>
        </w:tc>
        <w:tc>
          <w:tcPr>
            <w:tcW w:w="0" w:type="auto"/>
            <w:gridSpan w:val="3"/>
            <w:shd w:val="clear" w:color="auto" w:fill="auto"/>
            <w:vAlign w:val="bottom"/>
          </w:tcPr>
          <w:p w14:paraId="71D4A501" w14:textId="77777777" w:rsidR="006A3667" w:rsidRDefault="006A3667">
            <w:pPr>
              <w:rPr>
                <w:rFonts w:ascii="宋体"/>
                <w:vanish/>
              </w:rPr>
            </w:pPr>
          </w:p>
        </w:tc>
        <w:tc>
          <w:tcPr>
            <w:tcW w:w="0" w:type="auto"/>
            <w:gridSpan w:val="3"/>
            <w:shd w:val="clear" w:color="auto" w:fill="auto"/>
            <w:vAlign w:val="bottom"/>
          </w:tcPr>
          <w:p w14:paraId="71D4A502" w14:textId="77777777" w:rsidR="006A3667" w:rsidRDefault="006A3667">
            <w:pPr>
              <w:rPr>
                <w:rFonts w:ascii="宋体"/>
                <w:vanish/>
              </w:rPr>
            </w:pPr>
          </w:p>
        </w:tc>
        <w:tc>
          <w:tcPr>
            <w:tcW w:w="0" w:type="auto"/>
            <w:gridSpan w:val="3"/>
            <w:shd w:val="clear" w:color="auto" w:fill="auto"/>
            <w:vAlign w:val="bottom"/>
          </w:tcPr>
          <w:p w14:paraId="71D4A503" w14:textId="77777777" w:rsidR="006A3667" w:rsidRDefault="006A3667">
            <w:pPr>
              <w:rPr>
                <w:rFonts w:ascii="宋体"/>
                <w:vanish/>
              </w:rPr>
            </w:pPr>
          </w:p>
        </w:tc>
        <w:tc>
          <w:tcPr>
            <w:tcW w:w="0" w:type="auto"/>
            <w:gridSpan w:val="3"/>
            <w:shd w:val="clear" w:color="auto" w:fill="auto"/>
            <w:vAlign w:val="bottom"/>
          </w:tcPr>
          <w:p w14:paraId="71D4A504" w14:textId="77777777" w:rsidR="006A3667" w:rsidRDefault="006A3667">
            <w:pPr>
              <w:rPr>
                <w:rFonts w:ascii="宋体"/>
                <w:vanish/>
              </w:rPr>
            </w:pPr>
          </w:p>
        </w:tc>
        <w:tc>
          <w:tcPr>
            <w:tcW w:w="0" w:type="auto"/>
            <w:gridSpan w:val="3"/>
            <w:shd w:val="clear" w:color="auto" w:fill="auto"/>
            <w:vAlign w:val="bottom"/>
          </w:tcPr>
          <w:p w14:paraId="71D4A505" w14:textId="77777777" w:rsidR="006A3667" w:rsidRDefault="006A3667">
            <w:pPr>
              <w:rPr>
                <w:rFonts w:ascii="宋体"/>
                <w:vanish/>
              </w:rPr>
            </w:pPr>
          </w:p>
        </w:tc>
        <w:tc>
          <w:tcPr>
            <w:tcW w:w="0" w:type="auto"/>
            <w:gridSpan w:val="3"/>
            <w:shd w:val="clear" w:color="auto" w:fill="auto"/>
            <w:vAlign w:val="bottom"/>
          </w:tcPr>
          <w:p w14:paraId="71D4A506" w14:textId="77777777" w:rsidR="006A3667" w:rsidRDefault="006A3667">
            <w:pPr>
              <w:rPr>
                <w:rFonts w:ascii="宋体"/>
                <w:vanish/>
              </w:rPr>
            </w:pPr>
          </w:p>
        </w:tc>
        <w:tc>
          <w:tcPr>
            <w:tcW w:w="0" w:type="auto"/>
            <w:gridSpan w:val="3"/>
            <w:shd w:val="clear" w:color="auto" w:fill="auto"/>
            <w:vAlign w:val="bottom"/>
          </w:tcPr>
          <w:p w14:paraId="71D4A507" w14:textId="77777777" w:rsidR="006A3667" w:rsidRDefault="006A3667">
            <w:pPr>
              <w:rPr>
                <w:rFonts w:ascii="宋体"/>
                <w:vanish/>
              </w:rPr>
            </w:pPr>
          </w:p>
        </w:tc>
        <w:tc>
          <w:tcPr>
            <w:tcW w:w="0" w:type="auto"/>
            <w:gridSpan w:val="3"/>
            <w:shd w:val="clear" w:color="auto" w:fill="auto"/>
            <w:vAlign w:val="bottom"/>
          </w:tcPr>
          <w:p w14:paraId="71D4A508" w14:textId="77777777" w:rsidR="006A3667" w:rsidRDefault="006A3667">
            <w:pPr>
              <w:rPr>
                <w:rFonts w:ascii="宋体"/>
                <w:vanish/>
              </w:rPr>
            </w:pPr>
          </w:p>
        </w:tc>
        <w:tc>
          <w:tcPr>
            <w:tcW w:w="0" w:type="auto"/>
            <w:gridSpan w:val="3"/>
            <w:shd w:val="clear" w:color="auto" w:fill="auto"/>
            <w:vAlign w:val="bottom"/>
          </w:tcPr>
          <w:p w14:paraId="71D4A509" w14:textId="77777777" w:rsidR="006A3667" w:rsidRDefault="006A3667">
            <w:pPr>
              <w:rPr>
                <w:rFonts w:ascii="宋体"/>
                <w:vanish/>
              </w:rPr>
            </w:pPr>
          </w:p>
        </w:tc>
        <w:tc>
          <w:tcPr>
            <w:tcW w:w="0" w:type="auto"/>
            <w:gridSpan w:val="3"/>
            <w:shd w:val="clear" w:color="auto" w:fill="auto"/>
            <w:vAlign w:val="bottom"/>
          </w:tcPr>
          <w:p w14:paraId="71D4A50A" w14:textId="77777777" w:rsidR="006A3667" w:rsidRDefault="006A3667">
            <w:pPr>
              <w:rPr>
                <w:rFonts w:ascii="宋体"/>
                <w:vanish/>
              </w:rPr>
            </w:pPr>
          </w:p>
        </w:tc>
        <w:tc>
          <w:tcPr>
            <w:tcW w:w="0" w:type="auto"/>
            <w:gridSpan w:val="3"/>
            <w:shd w:val="clear" w:color="auto" w:fill="auto"/>
            <w:vAlign w:val="bottom"/>
          </w:tcPr>
          <w:p w14:paraId="71D4A50B" w14:textId="77777777" w:rsidR="006A3667" w:rsidRDefault="006A3667">
            <w:pPr>
              <w:rPr>
                <w:rFonts w:ascii="宋体"/>
                <w:vanish/>
              </w:rPr>
            </w:pPr>
          </w:p>
        </w:tc>
        <w:tc>
          <w:tcPr>
            <w:tcW w:w="0" w:type="auto"/>
            <w:gridSpan w:val="3"/>
            <w:shd w:val="clear" w:color="auto" w:fill="auto"/>
            <w:vAlign w:val="bottom"/>
          </w:tcPr>
          <w:p w14:paraId="71D4A50C" w14:textId="77777777" w:rsidR="006A3667" w:rsidRDefault="006A3667">
            <w:pPr>
              <w:rPr>
                <w:rFonts w:ascii="宋体"/>
                <w:vanish/>
              </w:rPr>
            </w:pPr>
          </w:p>
        </w:tc>
      </w:tr>
      <w:tr w:rsidR="006A3667" w14:paraId="71D4A522" w14:textId="77777777">
        <w:trPr>
          <w:hidden/>
        </w:trPr>
        <w:tc>
          <w:tcPr>
            <w:tcW w:w="0" w:type="auto"/>
            <w:gridSpan w:val="3"/>
            <w:shd w:val="clear" w:color="auto" w:fill="auto"/>
            <w:vAlign w:val="bottom"/>
          </w:tcPr>
          <w:p w14:paraId="71D4A50E" w14:textId="77777777" w:rsidR="006A3667" w:rsidRDefault="006A3667">
            <w:pPr>
              <w:rPr>
                <w:rFonts w:ascii="宋体"/>
                <w:vanish/>
              </w:rPr>
            </w:pPr>
          </w:p>
        </w:tc>
        <w:tc>
          <w:tcPr>
            <w:tcW w:w="0" w:type="auto"/>
            <w:gridSpan w:val="3"/>
            <w:shd w:val="clear" w:color="auto" w:fill="auto"/>
            <w:vAlign w:val="bottom"/>
          </w:tcPr>
          <w:p w14:paraId="71D4A50F" w14:textId="77777777" w:rsidR="006A3667" w:rsidRDefault="006A3667">
            <w:pPr>
              <w:rPr>
                <w:rFonts w:ascii="宋体"/>
                <w:vanish/>
              </w:rPr>
            </w:pPr>
          </w:p>
        </w:tc>
        <w:tc>
          <w:tcPr>
            <w:tcW w:w="0" w:type="auto"/>
            <w:gridSpan w:val="3"/>
            <w:shd w:val="clear" w:color="auto" w:fill="auto"/>
            <w:vAlign w:val="bottom"/>
          </w:tcPr>
          <w:p w14:paraId="71D4A510" w14:textId="77777777" w:rsidR="006A3667" w:rsidRDefault="006A3667">
            <w:pPr>
              <w:rPr>
                <w:rFonts w:ascii="宋体"/>
                <w:vanish/>
              </w:rPr>
            </w:pPr>
          </w:p>
        </w:tc>
        <w:tc>
          <w:tcPr>
            <w:tcW w:w="0" w:type="auto"/>
            <w:gridSpan w:val="3"/>
            <w:shd w:val="clear" w:color="auto" w:fill="auto"/>
            <w:vAlign w:val="bottom"/>
          </w:tcPr>
          <w:p w14:paraId="71D4A511" w14:textId="77777777" w:rsidR="006A3667" w:rsidRDefault="006A3667">
            <w:pPr>
              <w:rPr>
                <w:rFonts w:ascii="宋体"/>
                <w:vanish/>
              </w:rPr>
            </w:pPr>
          </w:p>
        </w:tc>
        <w:tc>
          <w:tcPr>
            <w:tcW w:w="0" w:type="auto"/>
            <w:gridSpan w:val="3"/>
            <w:shd w:val="clear" w:color="auto" w:fill="auto"/>
            <w:vAlign w:val="bottom"/>
          </w:tcPr>
          <w:p w14:paraId="71D4A512" w14:textId="77777777" w:rsidR="006A3667" w:rsidRDefault="006A3667">
            <w:pPr>
              <w:rPr>
                <w:rFonts w:ascii="宋体"/>
                <w:vanish/>
              </w:rPr>
            </w:pPr>
          </w:p>
        </w:tc>
        <w:tc>
          <w:tcPr>
            <w:tcW w:w="0" w:type="auto"/>
            <w:gridSpan w:val="3"/>
            <w:shd w:val="clear" w:color="auto" w:fill="auto"/>
            <w:vAlign w:val="bottom"/>
          </w:tcPr>
          <w:p w14:paraId="71D4A513" w14:textId="77777777" w:rsidR="006A3667" w:rsidRDefault="006A3667">
            <w:pPr>
              <w:rPr>
                <w:rFonts w:ascii="宋体"/>
                <w:vanish/>
              </w:rPr>
            </w:pPr>
          </w:p>
        </w:tc>
        <w:tc>
          <w:tcPr>
            <w:tcW w:w="0" w:type="auto"/>
            <w:gridSpan w:val="3"/>
            <w:shd w:val="clear" w:color="auto" w:fill="auto"/>
            <w:vAlign w:val="bottom"/>
          </w:tcPr>
          <w:p w14:paraId="71D4A514" w14:textId="77777777" w:rsidR="006A3667" w:rsidRDefault="006A3667">
            <w:pPr>
              <w:rPr>
                <w:rFonts w:ascii="宋体"/>
                <w:vanish/>
              </w:rPr>
            </w:pPr>
          </w:p>
        </w:tc>
        <w:tc>
          <w:tcPr>
            <w:tcW w:w="0" w:type="auto"/>
            <w:gridSpan w:val="3"/>
            <w:shd w:val="clear" w:color="auto" w:fill="auto"/>
            <w:vAlign w:val="bottom"/>
          </w:tcPr>
          <w:p w14:paraId="71D4A515" w14:textId="77777777" w:rsidR="006A3667" w:rsidRDefault="006A3667">
            <w:pPr>
              <w:rPr>
                <w:rFonts w:ascii="宋体"/>
                <w:vanish/>
              </w:rPr>
            </w:pPr>
          </w:p>
        </w:tc>
        <w:tc>
          <w:tcPr>
            <w:tcW w:w="0" w:type="auto"/>
            <w:gridSpan w:val="3"/>
            <w:shd w:val="clear" w:color="auto" w:fill="auto"/>
            <w:vAlign w:val="bottom"/>
          </w:tcPr>
          <w:p w14:paraId="71D4A516" w14:textId="77777777" w:rsidR="006A3667" w:rsidRDefault="006A3667">
            <w:pPr>
              <w:rPr>
                <w:rFonts w:ascii="宋体"/>
                <w:vanish/>
              </w:rPr>
            </w:pPr>
          </w:p>
        </w:tc>
        <w:tc>
          <w:tcPr>
            <w:tcW w:w="0" w:type="auto"/>
            <w:gridSpan w:val="3"/>
            <w:shd w:val="clear" w:color="auto" w:fill="auto"/>
            <w:vAlign w:val="bottom"/>
          </w:tcPr>
          <w:p w14:paraId="71D4A517" w14:textId="77777777" w:rsidR="006A3667" w:rsidRDefault="006A3667">
            <w:pPr>
              <w:rPr>
                <w:rFonts w:ascii="宋体"/>
                <w:vanish/>
              </w:rPr>
            </w:pPr>
          </w:p>
        </w:tc>
        <w:tc>
          <w:tcPr>
            <w:tcW w:w="0" w:type="auto"/>
            <w:gridSpan w:val="3"/>
            <w:shd w:val="clear" w:color="auto" w:fill="auto"/>
            <w:vAlign w:val="bottom"/>
          </w:tcPr>
          <w:p w14:paraId="71D4A518" w14:textId="77777777" w:rsidR="006A3667" w:rsidRDefault="006A3667">
            <w:pPr>
              <w:rPr>
                <w:rFonts w:ascii="宋体"/>
                <w:vanish/>
              </w:rPr>
            </w:pPr>
          </w:p>
        </w:tc>
        <w:tc>
          <w:tcPr>
            <w:tcW w:w="0" w:type="auto"/>
            <w:gridSpan w:val="3"/>
            <w:shd w:val="clear" w:color="auto" w:fill="auto"/>
            <w:vAlign w:val="bottom"/>
          </w:tcPr>
          <w:p w14:paraId="71D4A519" w14:textId="77777777" w:rsidR="006A3667" w:rsidRDefault="006A3667">
            <w:pPr>
              <w:rPr>
                <w:rFonts w:ascii="宋体"/>
                <w:vanish/>
              </w:rPr>
            </w:pPr>
          </w:p>
        </w:tc>
        <w:tc>
          <w:tcPr>
            <w:tcW w:w="0" w:type="auto"/>
            <w:gridSpan w:val="3"/>
            <w:shd w:val="clear" w:color="auto" w:fill="auto"/>
            <w:vAlign w:val="bottom"/>
          </w:tcPr>
          <w:p w14:paraId="71D4A51A" w14:textId="77777777" w:rsidR="006A3667" w:rsidRDefault="006A3667">
            <w:pPr>
              <w:rPr>
                <w:rFonts w:ascii="宋体"/>
                <w:vanish/>
              </w:rPr>
            </w:pPr>
          </w:p>
        </w:tc>
        <w:tc>
          <w:tcPr>
            <w:tcW w:w="0" w:type="auto"/>
            <w:gridSpan w:val="3"/>
            <w:shd w:val="clear" w:color="auto" w:fill="auto"/>
            <w:vAlign w:val="bottom"/>
          </w:tcPr>
          <w:p w14:paraId="71D4A51B" w14:textId="77777777" w:rsidR="006A3667" w:rsidRDefault="006A3667">
            <w:pPr>
              <w:rPr>
                <w:rFonts w:ascii="宋体"/>
                <w:vanish/>
              </w:rPr>
            </w:pPr>
          </w:p>
        </w:tc>
        <w:tc>
          <w:tcPr>
            <w:tcW w:w="0" w:type="auto"/>
            <w:gridSpan w:val="3"/>
            <w:shd w:val="clear" w:color="auto" w:fill="auto"/>
            <w:vAlign w:val="bottom"/>
          </w:tcPr>
          <w:p w14:paraId="71D4A51C" w14:textId="77777777" w:rsidR="006A3667" w:rsidRDefault="006A3667">
            <w:pPr>
              <w:rPr>
                <w:rFonts w:ascii="宋体"/>
                <w:vanish/>
              </w:rPr>
            </w:pPr>
          </w:p>
        </w:tc>
        <w:tc>
          <w:tcPr>
            <w:tcW w:w="0" w:type="auto"/>
            <w:gridSpan w:val="3"/>
            <w:shd w:val="clear" w:color="auto" w:fill="auto"/>
            <w:vAlign w:val="bottom"/>
          </w:tcPr>
          <w:p w14:paraId="71D4A51D" w14:textId="77777777" w:rsidR="006A3667" w:rsidRDefault="006A3667">
            <w:pPr>
              <w:rPr>
                <w:rFonts w:ascii="宋体"/>
                <w:vanish/>
              </w:rPr>
            </w:pPr>
          </w:p>
        </w:tc>
        <w:tc>
          <w:tcPr>
            <w:tcW w:w="0" w:type="auto"/>
            <w:gridSpan w:val="3"/>
            <w:shd w:val="clear" w:color="auto" w:fill="auto"/>
            <w:vAlign w:val="bottom"/>
          </w:tcPr>
          <w:p w14:paraId="71D4A51E" w14:textId="77777777" w:rsidR="006A3667" w:rsidRDefault="006A3667">
            <w:pPr>
              <w:rPr>
                <w:rFonts w:ascii="宋体"/>
                <w:vanish/>
              </w:rPr>
            </w:pPr>
          </w:p>
        </w:tc>
        <w:tc>
          <w:tcPr>
            <w:tcW w:w="0" w:type="auto"/>
            <w:gridSpan w:val="3"/>
            <w:shd w:val="clear" w:color="auto" w:fill="auto"/>
            <w:vAlign w:val="bottom"/>
          </w:tcPr>
          <w:p w14:paraId="71D4A51F" w14:textId="77777777" w:rsidR="006A3667" w:rsidRDefault="006A3667">
            <w:pPr>
              <w:rPr>
                <w:rFonts w:ascii="宋体"/>
                <w:vanish/>
              </w:rPr>
            </w:pPr>
          </w:p>
        </w:tc>
        <w:tc>
          <w:tcPr>
            <w:tcW w:w="0" w:type="auto"/>
            <w:gridSpan w:val="3"/>
            <w:shd w:val="clear" w:color="auto" w:fill="auto"/>
            <w:vAlign w:val="bottom"/>
          </w:tcPr>
          <w:p w14:paraId="71D4A520" w14:textId="77777777" w:rsidR="006A3667" w:rsidRDefault="006A3667">
            <w:pPr>
              <w:rPr>
                <w:rFonts w:ascii="宋体"/>
                <w:vanish/>
              </w:rPr>
            </w:pPr>
          </w:p>
        </w:tc>
        <w:tc>
          <w:tcPr>
            <w:tcW w:w="0" w:type="auto"/>
            <w:gridSpan w:val="3"/>
            <w:shd w:val="clear" w:color="auto" w:fill="auto"/>
            <w:vAlign w:val="bottom"/>
          </w:tcPr>
          <w:p w14:paraId="71D4A521" w14:textId="77777777" w:rsidR="006A3667" w:rsidRDefault="006A3667">
            <w:pPr>
              <w:rPr>
                <w:rFonts w:ascii="宋体"/>
                <w:vanish/>
              </w:rPr>
            </w:pPr>
          </w:p>
        </w:tc>
      </w:tr>
      <w:tr w:rsidR="006A3667" w14:paraId="71D4A537" w14:textId="77777777">
        <w:trPr>
          <w:hidden/>
        </w:trPr>
        <w:tc>
          <w:tcPr>
            <w:tcW w:w="0" w:type="auto"/>
            <w:gridSpan w:val="3"/>
            <w:shd w:val="clear" w:color="auto" w:fill="auto"/>
            <w:vAlign w:val="bottom"/>
          </w:tcPr>
          <w:p w14:paraId="71D4A523" w14:textId="77777777" w:rsidR="006A3667" w:rsidRDefault="006A3667">
            <w:pPr>
              <w:rPr>
                <w:rFonts w:ascii="宋体"/>
                <w:vanish/>
              </w:rPr>
            </w:pPr>
          </w:p>
        </w:tc>
        <w:tc>
          <w:tcPr>
            <w:tcW w:w="0" w:type="auto"/>
            <w:gridSpan w:val="3"/>
            <w:shd w:val="clear" w:color="auto" w:fill="auto"/>
            <w:vAlign w:val="bottom"/>
          </w:tcPr>
          <w:p w14:paraId="71D4A524" w14:textId="77777777" w:rsidR="006A3667" w:rsidRDefault="006A3667">
            <w:pPr>
              <w:rPr>
                <w:rFonts w:ascii="宋体"/>
                <w:vanish/>
              </w:rPr>
            </w:pPr>
          </w:p>
        </w:tc>
        <w:tc>
          <w:tcPr>
            <w:tcW w:w="0" w:type="auto"/>
            <w:gridSpan w:val="3"/>
            <w:shd w:val="clear" w:color="auto" w:fill="auto"/>
            <w:vAlign w:val="bottom"/>
          </w:tcPr>
          <w:p w14:paraId="71D4A525" w14:textId="77777777" w:rsidR="006A3667" w:rsidRDefault="006A3667">
            <w:pPr>
              <w:rPr>
                <w:rFonts w:ascii="宋体"/>
                <w:vanish/>
              </w:rPr>
            </w:pPr>
          </w:p>
        </w:tc>
        <w:tc>
          <w:tcPr>
            <w:tcW w:w="0" w:type="auto"/>
            <w:gridSpan w:val="3"/>
            <w:shd w:val="clear" w:color="auto" w:fill="auto"/>
            <w:vAlign w:val="bottom"/>
          </w:tcPr>
          <w:p w14:paraId="71D4A526" w14:textId="77777777" w:rsidR="006A3667" w:rsidRDefault="006A3667">
            <w:pPr>
              <w:rPr>
                <w:rFonts w:ascii="宋体"/>
                <w:vanish/>
              </w:rPr>
            </w:pPr>
          </w:p>
        </w:tc>
        <w:tc>
          <w:tcPr>
            <w:tcW w:w="0" w:type="auto"/>
            <w:gridSpan w:val="3"/>
            <w:shd w:val="clear" w:color="auto" w:fill="auto"/>
            <w:vAlign w:val="bottom"/>
          </w:tcPr>
          <w:p w14:paraId="71D4A527" w14:textId="77777777" w:rsidR="006A3667" w:rsidRDefault="006A3667">
            <w:pPr>
              <w:rPr>
                <w:rFonts w:ascii="宋体"/>
                <w:vanish/>
              </w:rPr>
            </w:pPr>
          </w:p>
        </w:tc>
        <w:tc>
          <w:tcPr>
            <w:tcW w:w="0" w:type="auto"/>
            <w:gridSpan w:val="3"/>
            <w:shd w:val="clear" w:color="auto" w:fill="auto"/>
            <w:vAlign w:val="bottom"/>
          </w:tcPr>
          <w:p w14:paraId="71D4A528" w14:textId="77777777" w:rsidR="006A3667" w:rsidRDefault="006A3667">
            <w:pPr>
              <w:rPr>
                <w:rFonts w:ascii="宋体"/>
                <w:vanish/>
              </w:rPr>
            </w:pPr>
          </w:p>
        </w:tc>
        <w:tc>
          <w:tcPr>
            <w:tcW w:w="0" w:type="auto"/>
            <w:gridSpan w:val="3"/>
            <w:shd w:val="clear" w:color="auto" w:fill="auto"/>
            <w:vAlign w:val="bottom"/>
          </w:tcPr>
          <w:p w14:paraId="71D4A529" w14:textId="77777777" w:rsidR="006A3667" w:rsidRDefault="006A3667">
            <w:pPr>
              <w:rPr>
                <w:rFonts w:ascii="宋体"/>
                <w:vanish/>
              </w:rPr>
            </w:pPr>
          </w:p>
        </w:tc>
        <w:tc>
          <w:tcPr>
            <w:tcW w:w="0" w:type="auto"/>
            <w:gridSpan w:val="3"/>
            <w:shd w:val="clear" w:color="auto" w:fill="auto"/>
            <w:vAlign w:val="bottom"/>
          </w:tcPr>
          <w:p w14:paraId="71D4A52A" w14:textId="77777777" w:rsidR="006A3667" w:rsidRDefault="006A3667">
            <w:pPr>
              <w:rPr>
                <w:rFonts w:ascii="宋体"/>
                <w:vanish/>
              </w:rPr>
            </w:pPr>
          </w:p>
        </w:tc>
        <w:tc>
          <w:tcPr>
            <w:tcW w:w="0" w:type="auto"/>
            <w:gridSpan w:val="3"/>
            <w:shd w:val="clear" w:color="auto" w:fill="auto"/>
            <w:vAlign w:val="bottom"/>
          </w:tcPr>
          <w:p w14:paraId="71D4A52B" w14:textId="77777777" w:rsidR="006A3667" w:rsidRDefault="006A3667">
            <w:pPr>
              <w:rPr>
                <w:rFonts w:ascii="宋体"/>
                <w:vanish/>
              </w:rPr>
            </w:pPr>
          </w:p>
        </w:tc>
        <w:tc>
          <w:tcPr>
            <w:tcW w:w="0" w:type="auto"/>
            <w:gridSpan w:val="3"/>
            <w:shd w:val="clear" w:color="auto" w:fill="auto"/>
            <w:vAlign w:val="bottom"/>
          </w:tcPr>
          <w:p w14:paraId="71D4A52C" w14:textId="77777777" w:rsidR="006A3667" w:rsidRDefault="006A3667">
            <w:pPr>
              <w:rPr>
                <w:rFonts w:ascii="宋体"/>
                <w:vanish/>
              </w:rPr>
            </w:pPr>
          </w:p>
        </w:tc>
        <w:tc>
          <w:tcPr>
            <w:tcW w:w="0" w:type="auto"/>
            <w:gridSpan w:val="3"/>
            <w:shd w:val="clear" w:color="auto" w:fill="auto"/>
            <w:vAlign w:val="bottom"/>
          </w:tcPr>
          <w:p w14:paraId="71D4A52D" w14:textId="77777777" w:rsidR="006A3667" w:rsidRDefault="006A3667">
            <w:pPr>
              <w:rPr>
                <w:rFonts w:ascii="宋体"/>
                <w:vanish/>
              </w:rPr>
            </w:pPr>
          </w:p>
        </w:tc>
        <w:tc>
          <w:tcPr>
            <w:tcW w:w="0" w:type="auto"/>
            <w:gridSpan w:val="3"/>
            <w:shd w:val="clear" w:color="auto" w:fill="auto"/>
            <w:vAlign w:val="bottom"/>
          </w:tcPr>
          <w:p w14:paraId="71D4A52E" w14:textId="77777777" w:rsidR="006A3667" w:rsidRDefault="006A3667">
            <w:pPr>
              <w:rPr>
                <w:rFonts w:ascii="宋体"/>
                <w:vanish/>
              </w:rPr>
            </w:pPr>
          </w:p>
        </w:tc>
        <w:tc>
          <w:tcPr>
            <w:tcW w:w="0" w:type="auto"/>
            <w:gridSpan w:val="3"/>
            <w:shd w:val="clear" w:color="auto" w:fill="auto"/>
            <w:vAlign w:val="bottom"/>
          </w:tcPr>
          <w:p w14:paraId="71D4A52F" w14:textId="77777777" w:rsidR="006A3667" w:rsidRDefault="006A3667">
            <w:pPr>
              <w:rPr>
                <w:rFonts w:ascii="宋体"/>
                <w:vanish/>
              </w:rPr>
            </w:pPr>
          </w:p>
        </w:tc>
        <w:tc>
          <w:tcPr>
            <w:tcW w:w="0" w:type="auto"/>
            <w:gridSpan w:val="3"/>
            <w:shd w:val="clear" w:color="auto" w:fill="auto"/>
            <w:vAlign w:val="bottom"/>
          </w:tcPr>
          <w:p w14:paraId="71D4A530" w14:textId="77777777" w:rsidR="006A3667" w:rsidRDefault="006A3667">
            <w:pPr>
              <w:rPr>
                <w:rFonts w:ascii="宋体"/>
                <w:vanish/>
              </w:rPr>
            </w:pPr>
          </w:p>
        </w:tc>
        <w:tc>
          <w:tcPr>
            <w:tcW w:w="0" w:type="auto"/>
            <w:gridSpan w:val="3"/>
            <w:shd w:val="clear" w:color="auto" w:fill="auto"/>
            <w:vAlign w:val="bottom"/>
          </w:tcPr>
          <w:p w14:paraId="71D4A531" w14:textId="77777777" w:rsidR="006A3667" w:rsidRDefault="006A3667">
            <w:pPr>
              <w:rPr>
                <w:rFonts w:ascii="宋体"/>
                <w:vanish/>
              </w:rPr>
            </w:pPr>
          </w:p>
        </w:tc>
        <w:tc>
          <w:tcPr>
            <w:tcW w:w="0" w:type="auto"/>
            <w:gridSpan w:val="3"/>
            <w:shd w:val="clear" w:color="auto" w:fill="auto"/>
            <w:vAlign w:val="bottom"/>
          </w:tcPr>
          <w:p w14:paraId="71D4A532" w14:textId="77777777" w:rsidR="006A3667" w:rsidRDefault="006A3667">
            <w:pPr>
              <w:rPr>
                <w:rFonts w:ascii="宋体"/>
                <w:vanish/>
              </w:rPr>
            </w:pPr>
          </w:p>
        </w:tc>
        <w:tc>
          <w:tcPr>
            <w:tcW w:w="0" w:type="auto"/>
            <w:gridSpan w:val="3"/>
            <w:shd w:val="clear" w:color="auto" w:fill="auto"/>
            <w:vAlign w:val="bottom"/>
          </w:tcPr>
          <w:p w14:paraId="71D4A533" w14:textId="77777777" w:rsidR="006A3667" w:rsidRDefault="006A3667">
            <w:pPr>
              <w:rPr>
                <w:rFonts w:ascii="宋体"/>
                <w:vanish/>
              </w:rPr>
            </w:pPr>
          </w:p>
        </w:tc>
        <w:tc>
          <w:tcPr>
            <w:tcW w:w="0" w:type="auto"/>
            <w:gridSpan w:val="3"/>
            <w:shd w:val="clear" w:color="auto" w:fill="auto"/>
            <w:vAlign w:val="bottom"/>
          </w:tcPr>
          <w:p w14:paraId="71D4A534" w14:textId="77777777" w:rsidR="006A3667" w:rsidRDefault="006A3667">
            <w:pPr>
              <w:rPr>
                <w:rFonts w:ascii="宋体"/>
                <w:vanish/>
              </w:rPr>
            </w:pPr>
          </w:p>
        </w:tc>
        <w:tc>
          <w:tcPr>
            <w:tcW w:w="0" w:type="auto"/>
            <w:gridSpan w:val="3"/>
            <w:shd w:val="clear" w:color="auto" w:fill="auto"/>
            <w:vAlign w:val="bottom"/>
          </w:tcPr>
          <w:p w14:paraId="71D4A535" w14:textId="77777777" w:rsidR="006A3667" w:rsidRDefault="006A3667">
            <w:pPr>
              <w:rPr>
                <w:rFonts w:ascii="宋体"/>
                <w:vanish/>
              </w:rPr>
            </w:pPr>
          </w:p>
        </w:tc>
        <w:tc>
          <w:tcPr>
            <w:tcW w:w="0" w:type="auto"/>
            <w:gridSpan w:val="3"/>
            <w:shd w:val="clear" w:color="auto" w:fill="auto"/>
            <w:vAlign w:val="bottom"/>
          </w:tcPr>
          <w:p w14:paraId="71D4A536" w14:textId="77777777" w:rsidR="006A3667" w:rsidRDefault="006A3667">
            <w:pPr>
              <w:rPr>
                <w:rFonts w:ascii="宋体"/>
                <w:vanish/>
              </w:rPr>
            </w:pPr>
          </w:p>
        </w:tc>
      </w:tr>
      <w:tr w:rsidR="006A3667" w14:paraId="71D4A54C" w14:textId="77777777">
        <w:trPr>
          <w:hidden/>
        </w:trPr>
        <w:tc>
          <w:tcPr>
            <w:tcW w:w="0" w:type="auto"/>
            <w:gridSpan w:val="3"/>
            <w:shd w:val="clear" w:color="auto" w:fill="auto"/>
            <w:vAlign w:val="bottom"/>
          </w:tcPr>
          <w:p w14:paraId="71D4A538" w14:textId="77777777" w:rsidR="006A3667" w:rsidRDefault="006A3667">
            <w:pPr>
              <w:rPr>
                <w:rFonts w:ascii="宋体"/>
                <w:vanish/>
              </w:rPr>
            </w:pPr>
          </w:p>
        </w:tc>
        <w:tc>
          <w:tcPr>
            <w:tcW w:w="0" w:type="auto"/>
            <w:gridSpan w:val="3"/>
            <w:shd w:val="clear" w:color="auto" w:fill="auto"/>
            <w:vAlign w:val="bottom"/>
          </w:tcPr>
          <w:p w14:paraId="71D4A539" w14:textId="77777777" w:rsidR="006A3667" w:rsidRDefault="006A3667">
            <w:pPr>
              <w:rPr>
                <w:rFonts w:ascii="宋体"/>
                <w:vanish/>
              </w:rPr>
            </w:pPr>
          </w:p>
        </w:tc>
        <w:tc>
          <w:tcPr>
            <w:tcW w:w="0" w:type="auto"/>
            <w:gridSpan w:val="3"/>
            <w:shd w:val="clear" w:color="auto" w:fill="auto"/>
            <w:vAlign w:val="bottom"/>
          </w:tcPr>
          <w:p w14:paraId="71D4A53A" w14:textId="77777777" w:rsidR="006A3667" w:rsidRDefault="006A3667">
            <w:pPr>
              <w:rPr>
                <w:rFonts w:ascii="宋体"/>
                <w:vanish/>
              </w:rPr>
            </w:pPr>
          </w:p>
        </w:tc>
        <w:tc>
          <w:tcPr>
            <w:tcW w:w="0" w:type="auto"/>
            <w:gridSpan w:val="3"/>
            <w:shd w:val="clear" w:color="auto" w:fill="auto"/>
            <w:vAlign w:val="bottom"/>
          </w:tcPr>
          <w:p w14:paraId="71D4A53B" w14:textId="77777777" w:rsidR="006A3667" w:rsidRDefault="006A3667">
            <w:pPr>
              <w:rPr>
                <w:rFonts w:ascii="宋体"/>
                <w:vanish/>
              </w:rPr>
            </w:pPr>
          </w:p>
        </w:tc>
        <w:tc>
          <w:tcPr>
            <w:tcW w:w="0" w:type="auto"/>
            <w:gridSpan w:val="3"/>
            <w:shd w:val="clear" w:color="auto" w:fill="auto"/>
            <w:vAlign w:val="bottom"/>
          </w:tcPr>
          <w:p w14:paraId="71D4A53C" w14:textId="77777777" w:rsidR="006A3667" w:rsidRDefault="006A3667">
            <w:pPr>
              <w:rPr>
                <w:rFonts w:ascii="宋体"/>
                <w:vanish/>
              </w:rPr>
            </w:pPr>
          </w:p>
        </w:tc>
        <w:tc>
          <w:tcPr>
            <w:tcW w:w="0" w:type="auto"/>
            <w:gridSpan w:val="3"/>
            <w:shd w:val="clear" w:color="auto" w:fill="auto"/>
            <w:vAlign w:val="bottom"/>
          </w:tcPr>
          <w:p w14:paraId="71D4A53D" w14:textId="77777777" w:rsidR="006A3667" w:rsidRDefault="006A3667">
            <w:pPr>
              <w:rPr>
                <w:rFonts w:ascii="宋体"/>
                <w:vanish/>
              </w:rPr>
            </w:pPr>
          </w:p>
        </w:tc>
        <w:tc>
          <w:tcPr>
            <w:tcW w:w="0" w:type="auto"/>
            <w:gridSpan w:val="3"/>
            <w:shd w:val="clear" w:color="auto" w:fill="auto"/>
            <w:vAlign w:val="bottom"/>
          </w:tcPr>
          <w:p w14:paraId="71D4A53E" w14:textId="77777777" w:rsidR="006A3667" w:rsidRDefault="006A3667">
            <w:pPr>
              <w:rPr>
                <w:rFonts w:ascii="宋体"/>
                <w:vanish/>
              </w:rPr>
            </w:pPr>
          </w:p>
        </w:tc>
        <w:tc>
          <w:tcPr>
            <w:tcW w:w="0" w:type="auto"/>
            <w:gridSpan w:val="3"/>
            <w:shd w:val="clear" w:color="auto" w:fill="auto"/>
            <w:vAlign w:val="bottom"/>
          </w:tcPr>
          <w:p w14:paraId="71D4A53F" w14:textId="77777777" w:rsidR="006A3667" w:rsidRDefault="006A3667">
            <w:pPr>
              <w:rPr>
                <w:rFonts w:ascii="宋体"/>
                <w:vanish/>
              </w:rPr>
            </w:pPr>
          </w:p>
        </w:tc>
        <w:tc>
          <w:tcPr>
            <w:tcW w:w="0" w:type="auto"/>
            <w:gridSpan w:val="3"/>
            <w:shd w:val="clear" w:color="auto" w:fill="auto"/>
            <w:vAlign w:val="bottom"/>
          </w:tcPr>
          <w:p w14:paraId="71D4A540" w14:textId="77777777" w:rsidR="006A3667" w:rsidRDefault="006A3667">
            <w:pPr>
              <w:rPr>
                <w:rFonts w:ascii="宋体"/>
                <w:vanish/>
              </w:rPr>
            </w:pPr>
          </w:p>
        </w:tc>
        <w:tc>
          <w:tcPr>
            <w:tcW w:w="0" w:type="auto"/>
            <w:gridSpan w:val="3"/>
            <w:shd w:val="clear" w:color="auto" w:fill="auto"/>
            <w:vAlign w:val="bottom"/>
          </w:tcPr>
          <w:p w14:paraId="71D4A541" w14:textId="77777777" w:rsidR="006A3667" w:rsidRDefault="006A3667">
            <w:pPr>
              <w:rPr>
                <w:rFonts w:ascii="宋体"/>
                <w:vanish/>
              </w:rPr>
            </w:pPr>
          </w:p>
        </w:tc>
        <w:tc>
          <w:tcPr>
            <w:tcW w:w="0" w:type="auto"/>
            <w:gridSpan w:val="3"/>
            <w:shd w:val="clear" w:color="auto" w:fill="auto"/>
            <w:vAlign w:val="bottom"/>
          </w:tcPr>
          <w:p w14:paraId="71D4A542" w14:textId="77777777" w:rsidR="006A3667" w:rsidRDefault="006A3667">
            <w:pPr>
              <w:rPr>
                <w:rFonts w:ascii="宋体"/>
                <w:vanish/>
              </w:rPr>
            </w:pPr>
          </w:p>
        </w:tc>
        <w:tc>
          <w:tcPr>
            <w:tcW w:w="0" w:type="auto"/>
            <w:gridSpan w:val="3"/>
            <w:shd w:val="clear" w:color="auto" w:fill="auto"/>
            <w:vAlign w:val="bottom"/>
          </w:tcPr>
          <w:p w14:paraId="71D4A543" w14:textId="77777777" w:rsidR="006A3667" w:rsidRDefault="006A3667">
            <w:pPr>
              <w:rPr>
                <w:rFonts w:ascii="宋体"/>
                <w:vanish/>
              </w:rPr>
            </w:pPr>
          </w:p>
        </w:tc>
        <w:tc>
          <w:tcPr>
            <w:tcW w:w="0" w:type="auto"/>
            <w:gridSpan w:val="3"/>
            <w:shd w:val="clear" w:color="auto" w:fill="auto"/>
            <w:vAlign w:val="bottom"/>
          </w:tcPr>
          <w:p w14:paraId="71D4A544" w14:textId="77777777" w:rsidR="006A3667" w:rsidRDefault="006A3667">
            <w:pPr>
              <w:rPr>
                <w:rFonts w:ascii="宋体"/>
                <w:vanish/>
              </w:rPr>
            </w:pPr>
          </w:p>
        </w:tc>
        <w:tc>
          <w:tcPr>
            <w:tcW w:w="0" w:type="auto"/>
            <w:gridSpan w:val="3"/>
            <w:shd w:val="clear" w:color="auto" w:fill="auto"/>
            <w:vAlign w:val="bottom"/>
          </w:tcPr>
          <w:p w14:paraId="71D4A545" w14:textId="77777777" w:rsidR="006A3667" w:rsidRDefault="006A3667">
            <w:pPr>
              <w:rPr>
                <w:rFonts w:ascii="宋体"/>
                <w:vanish/>
              </w:rPr>
            </w:pPr>
          </w:p>
        </w:tc>
        <w:tc>
          <w:tcPr>
            <w:tcW w:w="0" w:type="auto"/>
            <w:gridSpan w:val="3"/>
            <w:shd w:val="clear" w:color="auto" w:fill="auto"/>
            <w:vAlign w:val="bottom"/>
          </w:tcPr>
          <w:p w14:paraId="71D4A546" w14:textId="77777777" w:rsidR="006A3667" w:rsidRDefault="006A3667">
            <w:pPr>
              <w:rPr>
                <w:rFonts w:ascii="宋体"/>
                <w:vanish/>
              </w:rPr>
            </w:pPr>
          </w:p>
        </w:tc>
        <w:tc>
          <w:tcPr>
            <w:tcW w:w="0" w:type="auto"/>
            <w:gridSpan w:val="3"/>
            <w:shd w:val="clear" w:color="auto" w:fill="auto"/>
            <w:vAlign w:val="bottom"/>
          </w:tcPr>
          <w:p w14:paraId="71D4A547" w14:textId="77777777" w:rsidR="006A3667" w:rsidRDefault="006A3667">
            <w:pPr>
              <w:rPr>
                <w:rFonts w:ascii="宋体"/>
                <w:vanish/>
              </w:rPr>
            </w:pPr>
          </w:p>
        </w:tc>
        <w:tc>
          <w:tcPr>
            <w:tcW w:w="0" w:type="auto"/>
            <w:gridSpan w:val="3"/>
            <w:shd w:val="clear" w:color="auto" w:fill="auto"/>
            <w:vAlign w:val="bottom"/>
          </w:tcPr>
          <w:p w14:paraId="71D4A548" w14:textId="77777777" w:rsidR="006A3667" w:rsidRDefault="006A3667">
            <w:pPr>
              <w:rPr>
                <w:rFonts w:ascii="宋体"/>
                <w:vanish/>
              </w:rPr>
            </w:pPr>
          </w:p>
        </w:tc>
        <w:tc>
          <w:tcPr>
            <w:tcW w:w="0" w:type="auto"/>
            <w:gridSpan w:val="3"/>
            <w:shd w:val="clear" w:color="auto" w:fill="auto"/>
            <w:vAlign w:val="bottom"/>
          </w:tcPr>
          <w:p w14:paraId="71D4A549" w14:textId="77777777" w:rsidR="006A3667" w:rsidRDefault="006A3667">
            <w:pPr>
              <w:rPr>
                <w:rFonts w:ascii="宋体"/>
                <w:vanish/>
              </w:rPr>
            </w:pPr>
          </w:p>
        </w:tc>
        <w:tc>
          <w:tcPr>
            <w:tcW w:w="0" w:type="auto"/>
            <w:gridSpan w:val="3"/>
            <w:shd w:val="clear" w:color="auto" w:fill="auto"/>
            <w:vAlign w:val="bottom"/>
          </w:tcPr>
          <w:p w14:paraId="71D4A54A" w14:textId="77777777" w:rsidR="006A3667" w:rsidRDefault="006A3667">
            <w:pPr>
              <w:rPr>
                <w:rFonts w:ascii="宋体"/>
                <w:vanish/>
              </w:rPr>
            </w:pPr>
          </w:p>
        </w:tc>
        <w:tc>
          <w:tcPr>
            <w:tcW w:w="0" w:type="auto"/>
            <w:gridSpan w:val="3"/>
            <w:shd w:val="clear" w:color="auto" w:fill="auto"/>
            <w:vAlign w:val="bottom"/>
          </w:tcPr>
          <w:p w14:paraId="71D4A54B" w14:textId="77777777" w:rsidR="006A3667" w:rsidRDefault="006A3667">
            <w:pPr>
              <w:rPr>
                <w:rFonts w:ascii="宋体"/>
                <w:vanish/>
              </w:rPr>
            </w:pPr>
          </w:p>
        </w:tc>
      </w:tr>
      <w:tr w:rsidR="006A3667" w14:paraId="71D4A561" w14:textId="77777777">
        <w:trPr>
          <w:hidden/>
        </w:trPr>
        <w:tc>
          <w:tcPr>
            <w:tcW w:w="0" w:type="auto"/>
            <w:gridSpan w:val="3"/>
            <w:shd w:val="clear" w:color="auto" w:fill="auto"/>
            <w:vAlign w:val="bottom"/>
          </w:tcPr>
          <w:p w14:paraId="71D4A54D" w14:textId="77777777" w:rsidR="006A3667" w:rsidRDefault="006A3667">
            <w:pPr>
              <w:rPr>
                <w:rFonts w:ascii="宋体"/>
                <w:vanish/>
              </w:rPr>
            </w:pPr>
          </w:p>
        </w:tc>
        <w:tc>
          <w:tcPr>
            <w:tcW w:w="0" w:type="auto"/>
            <w:gridSpan w:val="3"/>
            <w:shd w:val="clear" w:color="auto" w:fill="auto"/>
            <w:vAlign w:val="bottom"/>
          </w:tcPr>
          <w:p w14:paraId="71D4A54E" w14:textId="77777777" w:rsidR="006A3667" w:rsidRDefault="006A3667">
            <w:pPr>
              <w:rPr>
                <w:rFonts w:ascii="宋体"/>
                <w:vanish/>
              </w:rPr>
            </w:pPr>
          </w:p>
        </w:tc>
        <w:tc>
          <w:tcPr>
            <w:tcW w:w="0" w:type="auto"/>
            <w:gridSpan w:val="3"/>
            <w:shd w:val="clear" w:color="auto" w:fill="auto"/>
            <w:vAlign w:val="bottom"/>
          </w:tcPr>
          <w:p w14:paraId="71D4A54F" w14:textId="77777777" w:rsidR="006A3667" w:rsidRDefault="006A3667">
            <w:pPr>
              <w:rPr>
                <w:rFonts w:ascii="宋体"/>
                <w:vanish/>
              </w:rPr>
            </w:pPr>
          </w:p>
        </w:tc>
        <w:tc>
          <w:tcPr>
            <w:tcW w:w="0" w:type="auto"/>
            <w:gridSpan w:val="3"/>
            <w:shd w:val="clear" w:color="auto" w:fill="auto"/>
            <w:vAlign w:val="bottom"/>
          </w:tcPr>
          <w:p w14:paraId="71D4A550" w14:textId="77777777" w:rsidR="006A3667" w:rsidRDefault="006A3667">
            <w:pPr>
              <w:rPr>
                <w:rFonts w:ascii="宋体"/>
                <w:vanish/>
              </w:rPr>
            </w:pPr>
          </w:p>
        </w:tc>
        <w:tc>
          <w:tcPr>
            <w:tcW w:w="0" w:type="auto"/>
            <w:gridSpan w:val="3"/>
            <w:shd w:val="clear" w:color="auto" w:fill="auto"/>
            <w:vAlign w:val="bottom"/>
          </w:tcPr>
          <w:p w14:paraId="71D4A551" w14:textId="77777777" w:rsidR="006A3667" w:rsidRDefault="006A3667">
            <w:pPr>
              <w:rPr>
                <w:rFonts w:ascii="宋体"/>
                <w:vanish/>
              </w:rPr>
            </w:pPr>
          </w:p>
        </w:tc>
        <w:tc>
          <w:tcPr>
            <w:tcW w:w="0" w:type="auto"/>
            <w:gridSpan w:val="3"/>
            <w:shd w:val="clear" w:color="auto" w:fill="auto"/>
            <w:vAlign w:val="bottom"/>
          </w:tcPr>
          <w:p w14:paraId="71D4A552" w14:textId="77777777" w:rsidR="006A3667" w:rsidRDefault="006A3667">
            <w:pPr>
              <w:rPr>
                <w:rFonts w:ascii="宋体"/>
                <w:vanish/>
              </w:rPr>
            </w:pPr>
          </w:p>
        </w:tc>
        <w:tc>
          <w:tcPr>
            <w:tcW w:w="0" w:type="auto"/>
            <w:gridSpan w:val="3"/>
            <w:shd w:val="clear" w:color="auto" w:fill="auto"/>
            <w:vAlign w:val="bottom"/>
          </w:tcPr>
          <w:p w14:paraId="71D4A553" w14:textId="77777777" w:rsidR="006A3667" w:rsidRDefault="006A3667">
            <w:pPr>
              <w:rPr>
                <w:rFonts w:ascii="宋体"/>
                <w:vanish/>
              </w:rPr>
            </w:pPr>
          </w:p>
        </w:tc>
        <w:tc>
          <w:tcPr>
            <w:tcW w:w="0" w:type="auto"/>
            <w:gridSpan w:val="3"/>
            <w:shd w:val="clear" w:color="auto" w:fill="auto"/>
            <w:vAlign w:val="bottom"/>
          </w:tcPr>
          <w:p w14:paraId="71D4A554" w14:textId="77777777" w:rsidR="006A3667" w:rsidRDefault="006A3667">
            <w:pPr>
              <w:rPr>
                <w:rFonts w:ascii="宋体"/>
                <w:vanish/>
              </w:rPr>
            </w:pPr>
          </w:p>
        </w:tc>
        <w:tc>
          <w:tcPr>
            <w:tcW w:w="0" w:type="auto"/>
            <w:gridSpan w:val="3"/>
            <w:shd w:val="clear" w:color="auto" w:fill="auto"/>
            <w:vAlign w:val="bottom"/>
          </w:tcPr>
          <w:p w14:paraId="71D4A555" w14:textId="77777777" w:rsidR="006A3667" w:rsidRDefault="006A3667">
            <w:pPr>
              <w:rPr>
                <w:rFonts w:ascii="宋体"/>
                <w:vanish/>
              </w:rPr>
            </w:pPr>
          </w:p>
        </w:tc>
        <w:tc>
          <w:tcPr>
            <w:tcW w:w="0" w:type="auto"/>
            <w:gridSpan w:val="3"/>
            <w:shd w:val="clear" w:color="auto" w:fill="auto"/>
            <w:vAlign w:val="bottom"/>
          </w:tcPr>
          <w:p w14:paraId="71D4A556" w14:textId="77777777" w:rsidR="006A3667" w:rsidRDefault="006A3667">
            <w:pPr>
              <w:rPr>
                <w:rFonts w:ascii="宋体"/>
                <w:vanish/>
              </w:rPr>
            </w:pPr>
          </w:p>
        </w:tc>
        <w:tc>
          <w:tcPr>
            <w:tcW w:w="0" w:type="auto"/>
            <w:gridSpan w:val="3"/>
            <w:shd w:val="clear" w:color="auto" w:fill="auto"/>
            <w:vAlign w:val="bottom"/>
          </w:tcPr>
          <w:p w14:paraId="71D4A557" w14:textId="77777777" w:rsidR="006A3667" w:rsidRDefault="006A3667">
            <w:pPr>
              <w:rPr>
                <w:rFonts w:ascii="宋体"/>
                <w:vanish/>
              </w:rPr>
            </w:pPr>
          </w:p>
        </w:tc>
        <w:tc>
          <w:tcPr>
            <w:tcW w:w="0" w:type="auto"/>
            <w:gridSpan w:val="3"/>
            <w:shd w:val="clear" w:color="auto" w:fill="auto"/>
            <w:vAlign w:val="bottom"/>
          </w:tcPr>
          <w:p w14:paraId="71D4A558" w14:textId="77777777" w:rsidR="006A3667" w:rsidRDefault="006A3667">
            <w:pPr>
              <w:rPr>
                <w:rFonts w:ascii="宋体"/>
                <w:vanish/>
              </w:rPr>
            </w:pPr>
          </w:p>
        </w:tc>
        <w:tc>
          <w:tcPr>
            <w:tcW w:w="0" w:type="auto"/>
            <w:gridSpan w:val="3"/>
            <w:shd w:val="clear" w:color="auto" w:fill="auto"/>
            <w:vAlign w:val="bottom"/>
          </w:tcPr>
          <w:p w14:paraId="71D4A559" w14:textId="77777777" w:rsidR="006A3667" w:rsidRDefault="006A3667">
            <w:pPr>
              <w:rPr>
                <w:rFonts w:ascii="宋体"/>
                <w:vanish/>
              </w:rPr>
            </w:pPr>
          </w:p>
        </w:tc>
        <w:tc>
          <w:tcPr>
            <w:tcW w:w="0" w:type="auto"/>
            <w:gridSpan w:val="3"/>
            <w:shd w:val="clear" w:color="auto" w:fill="auto"/>
            <w:vAlign w:val="bottom"/>
          </w:tcPr>
          <w:p w14:paraId="71D4A55A" w14:textId="77777777" w:rsidR="006A3667" w:rsidRDefault="006A3667">
            <w:pPr>
              <w:rPr>
                <w:rFonts w:ascii="宋体"/>
                <w:vanish/>
              </w:rPr>
            </w:pPr>
          </w:p>
        </w:tc>
        <w:tc>
          <w:tcPr>
            <w:tcW w:w="0" w:type="auto"/>
            <w:gridSpan w:val="3"/>
            <w:shd w:val="clear" w:color="auto" w:fill="auto"/>
            <w:vAlign w:val="bottom"/>
          </w:tcPr>
          <w:p w14:paraId="71D4A55B" w14:textId="77777777" w:rsidR="006A3667" w:rsidRDefault="006A3667">
            <w:pPr>
              <w:rPr>
                <w:rFonts w:ascii="宋体"/>
                <w:vanish/>
              </w:rPr>
            </w:pPr>
          </w:p>
        </w:tc>
        <w:tc>
          <w:tcPr>
            <w:tcW w:w="0" w:type="auto"/>
            <w:gridSpan w:val="3"/>
            <w:shd w:val="clear" w:color="auto" w:fill="auto"/>
            <w:vAlign w:val="bottom"/>
          </w:tcPr>
          <w:p w14:paraId="71D4A55C" w14:textId="77777777" w:rsidR="006A3667" w:rsidRDefault="006A3667">
            <w:pPr>
              <w:rPr>
                <w:rFonts w:ascii="宋体"/>
                <w:vanish/>
              </w:rPr>
            </w:pPr>
          </w:p>
        </w:tc>
        <w:tc>
          <w:tcPr>
            <w:tcW w:w="0" w:type="auto"/>
            <w:gridSpan w:val="3"/>
            <w:shd w:val="clear" w:color="auto" w:fill="auto"/>
            <w:vAlign w:val="bottom"/>
          </w:tcPr>
          <w:p w14:paraId="71D4A55D" w14:textId="77777777" w:rsidR="006A3667" w:rsidRDefault="006A3667">
            <w:pPr>
              <w:rPr>
                <w:rFonts w:ascii="宋体"/>
                <w:vanish/>
              </w:rPr>
            </w:pPr>
          </w:p>
        </w:tc>
        <w:tc>
          <w:tcPr>
            <w:tcW w:w="0" w:type="auto"/>
            <w:gridSpan w:val="3"/>
            <w:shd w:val="clear" w:color="auto" w:fill="auto"/>
            <w:vAlign w:val="bottom"/>
          </w:tcPr>
          <w:p w14:paraId="71D4A55E" w14:textId="77777777" w:rsidR="006A3667" w:rsidRDefault="006A3667">
            <w:pPr>
              <w:rPr>
                <w:rFonts w:ascii="宋体"/>
                <w:vanish/>
              </w:rPr>
            </w:pPr>
          </w:p>
        </w:tc>
        <w:tc>
          <w:tcPr>
            <w:tcW w:w="0" w:type="auto"/>
            <w:gridSpan w:val="3"/>
            <w:shd w:val="clear" w:color="auto" w:fill="auto"/>
            <w:vAlign w:val="bottom"/>
          </w:tcPr>
          <w:p w14:paraId="71D4A55F" w14:textId="77777777" w:rsidR="006A3667" w:rsidRDefault="006A3667">
            <w:pPr>
              <w:rPr>
                <w:rFonts w:ascii="宋体"/>
                <w:vanish/>
              </w:rPr>
            </w:pPr>
          </w:p>
        </w:tc>
        <w:tc>
          <w:tcPr>
            <w:tcW w:w="0" w:type="auto"/>
            <w:gridSpan w:val="3"/>
            <w:shd w:val="clear" w:color="auto" w:fill="auto"/>
            <w:vAlign w:val="bottom"/>
          </w:tcPr>
          <w:p w14:paraId="71D4A560" w14:textId="77777777" w:rsidR="006A3667" w:rsidRDefault="006A3667">
            <w:pPr>
              <w:rPr>
                <w:rFonts w:ascii="宋体"/>
                <w:vanish/>
              </w:rPr>
            </w:pPr>
          </w:p>
        </w:tc>
      </w:tr>
      <w:tr w:rsidR="006A3667" w14:paraId="71D4A576" w14:textId="77777777">
        <w:trPr>
          <w:hidden/>
        </w:trPr>
        <w:tc>
          <w:tcPr>
            <w:tcW w:w="0" w:type="auto"/>
            <w:gridSpan w:val="3"/>
            <w:shd w:val="clear" w:color="auto" w:fill="auto"/>
            <w:vAlign w:val="bottom"/>
          </w:tcPr>
          <w:p w14:paraId="71D4A562" w14:textId="77777777" w:rsidR="006A3667" w:rsidRDefault="006A3667">
            <w:pPr>
              <w:rPr>
                <w:rFonts w:ascii="宋体"/>
                <w:vanish/>
              </w:rPr>
            </w:pPr>
          </w:p>
        </w:tc>
        <w:tc>
          <w:tcPr>
            <w:tcW w:w="0" w:type="auto"/>
            <w:gridSpan w:val="3"/>
            <w:shd w:val="clear" w:color="auto" w:fill="auto"/>
            <w:vAlign w:val="bottom"/>
          </w:tcPr>
          <w:p w14:paraId="71D4A563" w14:textId="77777777" w:rsidR="006A3667" w:rsidRDefault="006A3667">
            <w:pPr>
              <w:rPr>
                <w:rFonts w:ascii="宋体"/>
                <w:vanish/>
              </w:rPr>
            </w:pPr>
          </w:p>
        </w:tc>
        <w:tc>
          <w:tcPr>
            <w:tcW w:w="0" w:type="auto"/>
            <w:gridSpan w:val="3"/>
            <w:shd w:val="clear" w:color="auto" w:fill="auto"/>
            <w:vAlign w:val="bottom"/>
          </w:tcPr>
          <w:p w14:paraId="71D4A564" w14:textId="77777777" w:rsidR="006A3667" w:rsidRDefault="006A3667">
            <w:pPr>
              <w:rPr>
                <w:rFonts w:ascii="宋体"/>
                <w:vanish/>
              </w:rPr>
            </w:pPr>
          </w:p>
        </w:tc>
        <w:tc>
          <w:tcPr>
            <w:tcW w:w="0" w:type="auto"/>
            <w:gridSpan w:val="3"/>
            <w:shd w:val="clear" w:color="auto" w:fill="auto"/>
            <w:vAlign w:val="bottom"/>
          </w:tcPr>
          <w:p w14:paraId="71D4A565" w14:textId="77777777" w:rsidR="006A3667" w:rsidRDefault="006A3667">
            <w:pPr>
              <w:rPr>
                <w:rFonts w:ascii="宋体"/>
                <w:vanish/>
              </w:rPr>
            </w:pPr>
          </w:p>
        </w:tc>
        <w:tc>
          <w:tcPr>
            <w:tcW w:w="0" w:type="auto"/>
            <w:gridSpan w:val="3"/>
            <w:shd w:val="clear" w:color="auto" w:fill="auto"/>
            <w:vAlign w:val="bottom"/>
          </w:tcPr>
          <w:p w14:paraId="71D4A566" w14:textId="77777777" w:rsidR="006A3667" w:rsidRDefault="006A3667">
            <w:pPr>
              <w:rPr>
                <w:rFonts w:ascii="宋体"/>
                <w:vanish/>
              </w:rPr>
            </w:pPr>
          </w:p>
        </w:tc>
        <w:tc>
          <w:tcPr>
            <w:tcW w:w="0" w:type="auto"/>
            <w:gridSpan w:val="3"/>
            <w:shd w:val="clear" w:color="auto" w:fill="auto"/>
            <w:vAlign w:val="bottom"/>
          </w:tcPr>
          <w:p w14:paraId="71D4A567" w14:textId="77777777" w:rsidR="006A3667" w:rsidRDefault="006A3667">
            <w:pPr>
              <w:rPr>
                <w:rFonts w:ascii="宋体"/>
                <w:vanish/>
              </w:rPr>
            </w:pPr>
          </w:p>
        </w:tc>
        <w:tc>
          <w:tcPr>
            <w:tcW w:w="0" w:type="auto"/>
            <w:gridSpan w:val="3"/>
            <w:shd w:val="clear" w:color="auto" w:fill="auto"/>
            <w:vAlign w:val="bottom"/>
          </w:tcPr>
          <w:p w14:paraId="71D4A568" w14:textId="77777777" w:rsidR="006A3667" w:rsidRDefault="006A3667">
            <w:pPr>
              <w:rPr>
                <w:rFonts w:ascii="宋体"/>
                <w:vanish/>
              </w:rPr>
            </w:pPr>
          </w:p>
        </w:tc>
        <w:tc>
          <w:tcPr>
            <w:tcW w:w="0" w:type="auto"/>
            <w:gridSpan w:val="3"/>
            <w:shd w:val="clear" w:color="auto" w:fill="auto"/>
            <w:vAlign w:val="bottom"/>
          </w:tcPr>
          <w:p w14:paraId="71D4A569" w14:textId="77777777" w:rsidR="006A3667" w:rsidRDefault="006A3667">
            <w:pPr>
              <w:rPr>
                <w:rFonts w:ascii="宋体"/>
                <w:vanish/>
              </w:rPr>
            </w:pPr>
          </w:p>
        </w:tc>
        <w:tc>
          <w:tcPr>
            <w:tcW w:w="0" w:type="auto"/>
            <w:gridSpan w:val="3"/>
            <w:shd w:val="clear" w:color="auto" w:fill="auto"/>
            <w:vAlign w:val="bottom"/>
          </w:tcPr>
          <w:p w14:paraId="71D4A56A" w14:textId="77777777" w:rsidR="006A3667" w:rsidRDefault="006A3667">
            <w:pPr>
              <w:rPr>
                <w:rFonts w:ascii="宋体"/>
                <w:vanish/>
              </w:rPr>
            </w:pPr>
          </w:p>
        </w:tc>
        <w:tc>
          <w:tcPr>
            <w:tcW w:w="0" w:type="auto"/>
            <w:gridSpan w:val="3"/>
            <w:shd w:val="clear" w:color="auto" w:fill="auto"/>
            <w:vAlign w:val="bottom"/>
          </w:tcPr>
          <w:p w14:paraId="71D4A56B" w14:textId="77777777" w:rsidR="006A3667" w:rsidRDefault="006A3667">
            <w:pPr>
              <w:rPr>
                <w:rFonts w:ascii="宋体"/>
                <w:vanish/>
              </w:rPr>
            </w:pPr>
          </w:p>
        </w:tc>
        <w:tc>
          <w:tcPr>
            <w:tcW w:w="0" w:type="auto"/>
            <w:gridSpan w:val="3"/>
            <w:shd w:val="clear" w:color="auto" w:fill="auto"/>
            <w:vAlign w:val="bottom"/>
          </w:tcPr>
          <w:p w14:paraId="71D4A56C" w14:textId="77777777" w:rsidR="006A3667" w:rsidRDefault="006A3667">
            <w:pPr>
              <w:rPr>
                <w:rFonts w:ascii="宋体"/>
                <w:vanish/>
              </w:rPr>
            </w:pPr>
          </w:p>
        </w:tc>
        <w:tc>
          <w:tcPr>
            <w:tcW w:w="0" w:type="auto"/>
            <w:gridSpan w:val="3"/>
            <w:shd w:val="clear" w:color="auto" w:fill="auto"/>
            <w:vAlign w:val="bottom"/>
          </w:tcPr>
          <w:p w14:paraId="71D4A56D" w14:textId="77777777" w:rsidR="006A3667" w:rsidRDefault="006A3667">
            <w:pPr>
              <w:rPr>
                <w:rFonts w:ascii="宋体"/>
                <w:vanish/>
              </w:rPr>
            </w:pPr>
          </w:p>
        </w:tc>
        <w:tc>
          <w:tcPr>
            <w:tcW w:w="0" w:type="auto"/>
            <w:gridSpan w:val="3"/>
            <w:shd w:val="clear" w:color="auto" w:fill="auto"/>
            <w:vAlign w:val="bottom"/>
          </w:tcPr>
          <w:p w14:paraId="71D4A56E" w14:textId="77777777" w:rsidR="006A3667" w:rsidRDefault="006A3667">
            <w:pPr>
              <w:rPr>
                <w:rFonts w:ascii="宋体"/>
                <w:vanish/>
              </w:rPr>
            </w:pPr>
          </w:p>
        </w:tc>
        <w:tc>
          <w:tcPr>
            <w:tcW w:w="0" w:type="auto"/>
            <w:gridSpan w:val="3"/>
            <w:shd w:val="clear" w:color="auto" w:fill="auto"/>
            <w:vAlign w:val="bottom"/>
          </w:tcPr>
          <w:p w14:paraId="71D4A56F" w14:textId="77777777" w:rsidR="006A3667" w:rsidRDefault="006A3667">
            <w:pPr>
              <w:rPr>
                <w:rFonts w:ascii="宋体"/>
                <w:vanish/>
              </w:rPr>
            </w:pPr>
          </w:p>
        </w:tc>
        <w:tc>
          <w:tcPr>
            <w:tcW w:w="0" w:type="auto"/>
            <w:gridSpan w:val="3"/>
            <w:shd w:val="clear" w:color="auto" w:fill="auto"/>
            <w:vAlign w:val="bottom"/>
          </w:tcPr>
          <w:p w14:paraId="71D4A570" w14:textId="77777777" w:rsidR="006A3667" w:rsidRDefault="006A3667">
            <w:pPr>
              <w:rPr>
                <w:rFonts w:ascii="宋体"/>
                <w:vanish/>
              </w:rPr>
            </w:pPr>
          </w:p>
        </w:tc>
        <w:tc>
          <w:tcPr>
            <w:tcW w:w="0" w:type="auto"/>
            <w:gridSpan w:val="3"/>
            <w:shd w:val="clear" w:color="auto" w:fill="auto"/>
            <w:vAlign w:val="bottom"/>
          </w:tcPr>
          <w:p w14:paraId="71D4A571" w14:textId="77777777" w:rsidR="006A3667" w:rsidRDefault="006A3667">
            <w:pPr>
              <w:rPr>
                <w:rFonts w:ascii="宋体"/>
                <w:vanish/>
              </w:rPr>
            </w:pPr>
          </w:p>
        </w:tc>
        <w:tc>
          <w:tcPr>
            <w:tcW w:w="0" w:type="auto"/>
            <w:gridSpan w:val="3"/>
            <w:shd w:val="clear" w:color="auto" w:fill="auto"/>
            <w:vAlign w:val="bottom"/>
          </w:tcPr>
          <w:p w14:paraId="71D4A572" w14:textId="77777777" w:rsidR="006A3667" w:rsidRDefault="006A3667">
            <w:pPr>
              <w:rPr>
                <w:rFonts w:ascii="宋体"/>
                <w:vanish/>
              </w:rPr>
            </w:pPr>
          </w:p>
        </w:tc>
        <w:tc>
          <w:tcPr>
            <w:tcW w:w="0" w:type="auto"/>
            <w:gridSpan w:val="3"/>
            <w:shd w:val="clear" w:color="auto" w:fill="auto"/>
            <w:vAlign w:val="bottom"/>
          </w:tcPr>
          <w:p w14:paraId="71D4A573" w14:textId="77777777" w:rsidR="006A3667" w:rsidRDefault="006A3667">
            <w:pPr>
              <w:rPr>
                <w:rFonts w:ascii="宋体"/>
                <w:vanish/>
              </w:rPr>
            </w:pPr>
          </w:p>
        </w:tc>
        <w:tc>
          <w:tcPr>
            <w:tcW w:w="0" w:type="auto"/>
            <w:gridSpan w:val="3"/>
            <w:shd w:val="clear" w:color="auto" w:fill="auto"/>
            <w:vAlign w:val="bottom"/>
          </w:tcPr>
          <w:p w14:paraId="71D4A574" w14:textId="77777777" w:rsidR="006A3667" w:rsidRDefault="006A3667">
            <w:pPr>
              <w:rPr>
                <w:rFonts w:ascii="宋体"/>
                <w:vanish/>
              </w:rPr>
            </w:pPr>
          </w:p>
        </w:tc>
        <w:tc>
          <w:tcPr>
            <w:tcW w:w="0" w:type="auto"/>
            <w:gridSpan w:val="3"/>
            <w:shd w:val="clear" w:color="auto" w:fill="auto"/>
            <w:vAlign w:val="bottom"/>
          </w:tcPr>
          <w:p w14:paraId="71D4A575" w14:textId="77777777" w:rsidR="006A3667" w:rsidRDefault="006A3667">
            <w:pPr>
              <w:rPr>
                <w:rFonts w:ascii="宋体"/>
                <w:vanish/>
              </w:rPr>
            </w:pPr>
          </w:p>
        </w:tc>
      </w:tr>
      <w:tr w:rsidR="006A3667" w14:paraId="71D4A58B" w14:textId="77777777">
        <w:trPr>
          <w:hidden/>
        </w:trPr>
        <w:tc>
          <w:tcPr>
            <w:tcW w:w="0" w:type="auto"/>
            <w:gridSpan w:val="3"/>
            <w:shd w:val="clear" w:color="auto" w:fill="auto"/>
            <w:vAlign w:val="bottom"/>
          </w:tcPr>
          <w:p w14:paraId="71D4A577" w14:textId="77777777" w:rsidR="006A3667" w:rsidRDefault="006A3667">
            <w:pPr>
              <w:rPr>
                <w:rFonts w:ascii="宋体"/>
                <w:vanish/>
              </w:rPr>
            </w:pPr>
          </w:p>
        </w:tc>
        <w:tc>
          <w:tcPr>
            <w:tcW w:w="0" w:type="auto"/>
            <w:gridSpan w:val="3"/>
            <w:shd w:val="clear" w:color="auto" w:fill="auto"/>
            <w:vAlign w:val="bottom"/>
          </w:tcPr>
          <w:p w14:paraId="71D4A578" w14:textId="77777777" w:rsidR="006A3667" w:rsidRDefault="006A3667">
            <w:pPr>
              <w:rPr>
                <w:rFonts w:ascii="宋体"/>
                <w:vanish/>
              </w:rPr>
            </w:pPr>
          </w:p>
        </w:tc>
        <w:tc>
          <w:tcPr>
            <w:tcW w:w="0" w:type="auto"/>
            <w:gridSpan w:val="3"/>
            <w:shd w:val="clear" w:color="auto" w:fill="auto"/>
            <w:vAlign w:val="bottom"/>
          </w:tcPr>
          <w:p w14:paraId="71D4A579" w14:textId="77777777" w:rsidR="006A3667" w:rsidRDefault="006A3667">
            <w:pPr>
              <w:rPr>
                <w:rFonts w:ascii="宋体"/>
                <w:vanish/>
              </w:rPr>
            </w:pPr>
          </w:p>
        </w:tc>
        <w:tc>
          <w:tcPr>
            <w:tcW w:w="0" w:type="auto"/>
            <w:gridSpan w:val="3"/>
            <w:shd w:val="clear" w:color="auto" w:fill="auto"/>
            <w:vAlign w:val="bottom"/>
          </w:tcPr>
          <w:p w14:paraId="71D4A57A" w14:textId="77777777" w:rsidR="006A3667" w:rsidRDefault="006A3667">
            <w:pPr>
              <w:rPr>
                <w:rFonts w:ascii="宋体"/>
                <w:vanish/>
              </w:rPr>
            </w:pPr>
          </w:p>
        </w:tc>
        <w:tc>
          <w:tcPr>
            <w:tcW w:w="0" w:type="auto"/>
            <w:gridSpan w:val="3"/>
            <w:shd w:val="clear" w:color="auto" w:fill="auto"/>
            <w:vAlign w:val="bottom"/>
          </w:tcPr>
          <w:p w14:paraId="71D4A57B" w14:textId="77777777" w:rsidR="006A3667" w:rsidRDefault="006A3667">
            <w:pPr>
              <w:rPr>
                <w:rFonts w:ascii="宋体"/>
                <w:vanish/>
              </w:rPr>
            </w:pPr>
          </w:p>
        </w:tc>
        <w:tc>
          <w:tcPr>
            <w:tcW w:w="0" w:type="auto"/>
            <w:gridSpan w:val="3"/>
            <w:shd w:val="clear" w:color="auto" w:fill="auto"/>
            <w:vAlign w:val="bottom"/>
          </w:tcPr>
          <w:p w14:paraId="71D4A57C" w14:textId="77777777" w:rsidR="006A3667" w:rsidRDefault="006A3667">
            <w:pPr>
              <w:rPr>
                <w:rFonts w:ascii="宋体"/>
                <w:vanish/>
              </w:rPr>
            </w:pPr>
          </w:p>
        </w:tc>
        <w:tc>
          <w:tcPr>
            <w:tcW w:w="0" w:type="auto"/>
            <w:gridSpan w:val="3"/>
            <w:shd w:val="clear" w:color="auto" w:fill="auto"/>
            <w:vAlign w:val="bottom"/>
          </w:tcPr>
          <w:p w14:paraId="71D4A57D" w14:textId="77777777" w:rsidR="006A3667" w:rsidRDefault="006A3667">
            <w:pPr>
              <w:rPr>
                <w:rFonts w:ascii="宋体"/>
                <w:vanish/>
              </w:rPr>
            </w:pPr>
          </w:p>
        </w:tc>
        <w:tc>
          <w:tcPr>
            <w:tcW w:w="0" w:type="auto"/>
            <w:gridSpan w:val="3"/>
            <w:shd w:val="clear" w:color="auto" w:fill="auto"/>
            <w:vAlign w:val="bottom"/>
          </w:tcPr>
          <w:p w14:paraId="71D4A57E" w14:textId="77777777" w:rsidR="006A3667" w:rsidRDefault="006A3667">
            <w:pPr>
              <w:rPr>
                <w:rFonts w:ascii="宋体"/>
                <w:vanish/>
              </w:rPr>
            </w:pPr>
          </w:p>
        </w:tc>
        <w:tc>
          <w:tcPr>
            <w:tcW w:w="0" w:type="auto"/>
            <w:gridSpan w:val="3"/>
            <w:shd w:val="clear" w:color="auto" w:fill="auto"/>
            <w:vAlign w:val="bottom"/>
          </w:tcPr>
          <w:p w14:paraId="71D4A57F" w14:textId="77777777" w:rsidR="006A3667" w:rsidRDefault="006A3667">
            <w:pPr>
              <w:rPr>
                <w:rFonts w:ascii="宋体"/>
                <w:vanish/>
              </w:rPr>
            </w:pPr>
          </w:p>
        </w:tc>
        <w:tc>
          <w:tcPr>
            <w:tcW w:w="0" w:type="auto"/>
            <w:gridSpan w:val="3"/>
            <w:shd w:val="clear" w:color="auto" w:fill="auto"/>
            <w:vAlign w:val="bottom"/>
          </w:tcPr>
          <w:p w14:paraId="71D4A580" w14:textId="77777777" w:rsidR="006A3667" w:rsidRDefault="006A3667">
            <w:pPr>
              <w:rPr>
                <w:rFonts w:ascii="宋体"/>
                <w:vanish/>
              </w:rPr>
            </w:pPr>
          </w:p>
        </w:tc>
        <w:tc>
          <w:tcPr>
            <w:tcW w:w="0" w:type="auto"/>
            <w:gridSpan w:val="3"/>
            <w:shd w:val="clear" w:color="auto" w:fill="auto"/>
            <w:vAlign w:val="bottom"/>
          </w:tcPr>
          <w:p w14:paraId="71D4A581" w14:textId="77777777" w:rsidR="006A3667" w:rsidRDefault="006A3667">
            <w:pPr>
              <w:rPr>
                <w:rFonts w:ascii="宋体"/>
                <w:vanish/>
              </w:rPr>
            </w:pPr>
          </w:p>
        </w:tc>
        <w:tc>
          <w:tcPr>
            <w:tcW w:w="0" w:type="auto"/>
            <w:gridSpan w:val="3"/>
            <w:shd w:val="clear" w:color="auto" w:fill="auto"/>
            <w:vAlign w:val="bottom"/>
          </w:tcPr>
          <w:p w14:paraId="71D4A582" w14:textId="77777777" w:rsidR="006A3667" w:rsidRDefault="006A3667">
            <w:pPr>
              <w:rPr>
                <w:rFonts w:ascii="宋体"/>
                <w:vanish/>
              </w:rPr>
            </w:pPr>
          </w:p>
        </w:tc>
        <w:tc>
          <w:tcPr>
            <w:tcW w:w="0" w:type="auto"/>
            <w:gridSpan w:val="3"/>
            <w:shd w:val="clear" w:color="auto" w:fill="auto"/>
            <w:vAlign w:val="bottom"/>
          </w:tcPr>
          <w:p w14:paraId="71D4A583" w14:textId="77777777" w:rsidR="006A3667" w:rsidRDefault="006A3667">
            <w:pPr>
              <w:rPr>
                <w:rFonts w:ascii="宋体"/>
                <w:vanish/>
              </w:rPr>
            </w:pPr>
          </w:p>
        </w:tc>
        <w:tc>
          <w:tcPr>
            <w:tcW w:w="0" w:type="auto"/>
            <w:gridSpan w:val="3"/>
            <w:shd w:val="clear" w:color="auto" w:fill="auto"/>
            <w:vAlign w:val="bottom"/>
          </w:tcPr>
          <w:p w14:paraId="71D4A584" w14:textId="77777777" w:rsidR="006A3667" w:rsidRDefault="006A3667">
            <w:pPr>
              <w:rPr>
                <w:rFonts w:ascii="宋体"/>
                <w:vanish/>
              </w:rPr>
            </w:pPr>
          </w:p>
        </w:tc>
        <w:tc>
          <w:tcPr>
            <w:tcW w:w="0" w:type="auto"/>
            <w:gridSpan w:val="3"/>
            <w:shd w:val="clear" w:color="auto" w:fill="auto"/>
            <w:vAlign w:val="bottom"/>
          </w:tcPr>
          <w:p w14:paraId="71D4A585" w14:textId="77777777" w:rsidR="006A3667" w:rsidRDefault="006A3667">
            <w:pPr>
              <w:rPr>
                <w:rFonts w:ascii="宋体"/>
                <w:vanish/>
              </w:rPr>
            </w:pPr>
          </w:p>
        </w:tc>
        <w:tc>
          <w:tcPr>
            <w:tcW w:w="0" w:type="auto"/>
            <w:gridSpan w:val="3"/>
            <w:shd w:val="clear" w:color="auto" w:fill="auto"/>
            <w:vAlign w:val="bottom"/>
          </w:tcPr>
          <w:p w14:paraId="71D4A586" w14:textId="77777777" w:rsidR="006A3667" w:rsidRDefault="006A3667">
            <w:pPr>
              <w:rPr>
                <w:rFonts w:ascii="宋体"/>
                <w:vanish/>
              </w:rPr>
            </w:pPr>
          </w:p>
        </w:tc>
        <w:tc>
          <w:tcPr>
            <w:tcW w:w="0" w:type="auto"/>
            <w:gridSpan w:val="3"/>
            <w:shd w:val="clear" w:color="auto" w:fill="auto"/>
            <w:vAlign w:val="bottom"/>
          </w:tcPr>
          <w:p w14:paraId="71D4A587" w14:textId="77777777" w:rsidR="006A3667" w:rsidRDefault="006A3667">
            <w:pPr>
              <w:rPr>
                <w:rFonts w:ascii="宋体"/>
                <w:vanish/>
              </w:rPr>
            </w:pPr>
          </w:p>
        </w:tc>
        <w:tc>
          <w:tcPr>
            <w:tcW w:w="0" w:type="auto"/>
            <w:gridSpan w:val="3"/>
            <w:shd w:val="clear" w:color="auto" w:fill="auto"/>
            <w:vAlign w:val="bottom"/>
          </w:tcPr>
          <w:p w14:paraId="71D4A588" w14:textId="77777777" w:rsidR="006A3667" w:rsidRDefault="006A3667">
            <w:pPr>
              <w:rPr>
                <w:rFonts w:ascii="宋体"/>
                <w:vanish/>
              </w:rPr>
            </w:pPr>
          </w:p>
        </w:tc>
        <w:tc>
          <w:tcPr>
            <w:tcW w:w="0" w:type="auto"/>
            <w:gridSpan w:val="3"/>
            <w:shd w:val="clear" w:color="auto" w:fill="auto"/>
            <w:vAlign w:val="bottom"/>
          </w:tcPr>
          <w:p w14:paraId="71D4A589" w14:textId="77777777" w:rsidR="006A3667" w:rsidRDefault="006A3667">
            <w:pPr>
              <w:rPr>
                <w:rFonts w:ascii="宋体"/>
                <w:vanish/>
              </w:rPr>
            </w:pPr>
          </w:p>
        </w:tc>
        <w:tc>
          <w:tcPr>
            <w:tcW w:w="0" w:type="auto"/>
            <w:gridSpan w:val="3"/>
            <w:shd w:val="clear" w:color="auto" w:fill="auto"/>
            <w:vAlign w:val="bottom"/>
          </w:tcPr>
          <w:p w14:paraId="71D4A58A" w14:textId="77777777" w:rsidR="006A3667" w:rsidRDefault="006A3667">
            <w:pPr>
              <w:rPr>
                <w:rFonts w:ascii="宋体"/>
                <w:vanish/>
              </w:rPr>
            </w:pPr>
          </w:p>
        </w:tc>
      </w:tr>
      <w:tr w:rsidR="006A3667" w14:paraId="71D4A5A0" w14:textId="77777777">
        <w:trPr>
          <w:hidden/>
        </w:trPr>
        <w:tc>
          <w:tcPr>
            <w:tcW w:w="0" w:type="auto"/>
            <w:gridSpan w:val="3"/>
            <w:shd w:val="clear" w:color="auto" w:fill="auto"/>
            <w:vAlign w:val="bottom"/>
          </w:tcPr>
          <w:p w14:paraId="71D4A58C" w14:textId="77777777" w:rsidR="006A3667" w:rsidRDefault="006A3667">
            <w:pPr>
              <w:rPr>
                <w:rFonts w:ascii="宋体"/>
                <w:vanish/>
              </w:rPr>
            </w:pPr>
          </w:p>
        </w:tc>
        <w:tc>
          <w:tcPr>
            <w:tcW w:w="0" w:type="auto"/>
            <w:gridSpan w:val="3"/>
            <w:shd w:val="clear" w:color="auto" w:fill="auto"/>
            <w:vAlign w:val="bottom"/>
          </w:tcPr>
          <w:p w14:paraId="71D4A58D" w14:textId="77777777" w:rsidR="006A3667" w:rsidRDefault="006A3667">
            <w:pPr>
              <w:rPr>
                <w:rFonts w:ascii="宋体"/>
                <w:vanish/>
              </w:rPr>
            </w:pPr>
          </w:p>
        </w:tc>
        <w:tc>
          <w:tcPr>
            <w:tcW w:w="0" w:type="auto"/>
            <w:gridSpan w:val="3"/>
            <w:shd w:val="clear" w:color="auto" w:fill="auto"/>
            <w:vAlign w:val="bottom"/>
          </w:tcPr>
          <w:p w14:paraId="71D4A58E" w14:textId="77777777" w:rsidR="006A3667" w:rsidRDefault="006A3667">
            <w:pPr>
              <w:rPr>
                <w:rFonts w:ascii="宋体"/>
                <w:vanish/>
              </w:rPr>
            </w:pPr>
          </w:p>
        </w:tc>
        <w:tc>
          <w:tcPr>
            <w:tcW w:w="0" w:type="auto"/>
            <w:gridSpan w:val="3"/>
            <w:shd w:val="clear" w:color="auto" w:fill="auto"/>
            <w:vAlign w:val="bottom"/>
          </w:tcPr>
          <w:p w14:paraId="71D4A58F" w14:textId="77777777" w:rsidR="006A3667" w:rsidRDefault="006A3667">
            <w:pPr>
              <w:rPr>
                <w:rFonts w:ascii="宋体"/>
                <w:vanish/>
              </w:rPr>
            </w:pPr>
          </w:p>
        </w:tc>
        <w:tc>
          <w:tcPr>
            <w:tcW w:w="0" w:type="auto"/>
            <w:gridSpan w:val="3"/>
            <w:shd w:val="clear" w:color="auto" w:fill="auto"/>
            <w:vAlign w:val="bottom"/>
          </w:tcPr>
          <w:p w14:paraId="71D4A590" w14:textId="77777777" w:rsidR="006A3667" w:rsidRDefault="006A3667">
            <w:pPr>
              <w:rPr>
                <w:rFonts w:ascii="宋体"/>
                <w:vanish/>
              </w:rPr>
            </w:pPr>
          </w:p>
        </w:tc>
        <w:tc>
          <w:tcPr>
            <w:tcW w:w="0" w:type="auto"/>
            <w:gridSpan w:val="3"/>
            <w:shd w:val="clear" w:color="auto" w:fill="auto"/>
            <w:vAlign w:val="bottom"/>
          </w:tcPr>
          <w:p w14:paraId="71D4A591" w14:textId="77777777" w:rsidR="006A3667" w:rsidRDefault="006A3667">
            <w:pPr>
              <w:rPr>
                <w:rFonts w:ascii="宋体"/>
                <w:vanish/>
              </w:rPr>
            </w:pPr>
          </w:p>
        </w:tc>
        <w:tc>
          <w:tcPr>
            <w:tcW w:w="0" w:type="auto"/>
            <w:gridSpan w:val="3"/>
            <w:shd w:val="clear" w:color="auto" w:fill="auto"/>
            <w:vAlign w:val="bottom"/>
          </w:tcPr>
          <w:p w14:paraId="71D4A592" w14:textId="77777777" w:rsidR="006A3667" w:rsidRDefault="006A3667">
            <w:pPr>
              <w:rPr>
                <w:rFonts w:ascii="宋体"/>
                <w:vanish/>
              </w:rPr>
            </w:pPr>
          </w:p>
        </w:tc>
        <w:tc>
          <w:tcPr>
            <w:tcW w:w="0" w:type="auto"/>
            <w:gridSpan w:val="3"/>
            <w:shd w:val="clear" w:color="auto" w:fill="auto"/>
            <w:vAlign w:val="bottom"/>
          </w:tcPr>
          <w:p w14:paraId="71D4A593" w14:textId="77777777" w:rsidR="006A3667" w:rsidRDefault="006A3667">
            <w:pPr>
              <w:rPr>
                <w:rFonts w:ascii="宋体"/>
                <w:vanish/>
              </w:rPr>
            </w:pPr>
          </w:p>
        </w:tc>
        <w:tc>
          <w:tcPr>
            <w:tcW w:w="0" w:type="auto"/>
            <w:gridSpan w:val="3"/>
            <w:shd w:val="clear" w:color="auto" w:fill="auto"/>
            <w:vAlign w:val="bottom"/>
          </w:tcPr>
          <w:p w14:paraId="71D4A594" w14:textId="77777777" w:rsidR="006A3667" w:rsidRDefault="006A3667">
            <w:pPr>
              <w:rPr>
                <w:rFonts w:ascii="宋体"/>
                <w:vanish/>
              </w:rPr>
            </w:pPr>
          </w:p>
        </w:tc>
        <w:tc>
          <w:tcPr>
            <w:tcW w:w="0" w:type="auto"/>
            <w:gridSpan w:val="3"/>
            <w:shd w:val="clear" w:color="auto" w:fill="auto"/>
            <w:vAlign w:val="bottom"/>
          </w:tcPr>
          <w:p w14:paraId="71D4A595" w14:textId="77777777" w:rsidR="006A3667" w:rsidRDefault="006A3667">
            <w:pPr>
              <w:rPr>
                <w:rFonts w:ascii="宋体"/>
                <w:vanish/>
              </w:rPr>
            </w:pPr>
          </w:p>
        </w:tc>
        <w:tc>
          <w:tcPr>
            <w:tcW w:w="0" w:type="auto"/>
            <w:gridSpan w:val="3"/>
            <w:shd w:val="clear" w:color="auto" w:fill="auto"/>
            <w:vAlign w:val="bottom"/>
          </w:tcPr>
          <w:p w14:paraId="71D4A596" w14:textId="77777777" w:rsidR="006A3667" w:rsidRDefault="006A3667">
            <w:pPr>
              <w:rPr>
                <w:rFonts w:ascii="宋体"/>
                <w:vanish/>
              </w:rPr>
            </w:pPr>
          </w:p>
        </w:tc>
        <w:tc>
          <w:tcPr>
            <w:tcW w:w="0" w:type="auto"/>
            <w:gridSpan w:val="3"/>
            <w:shd w:val="clear" w:color="auto" w:fill="auto"/>
            <w:vAlign w:val="bottom"/>
          </w:tcPr>
          <w:p w14:paraId="71D4A597" w14:textId="77777777" w:rsidR="006A3667" w:rsidRDefault="006A3667">
            <w:pPr>
              <w:rPr>
                <w:rFonts w:ascii="宋体"/>
                <w:vanish/>
              </w:rPr>
            </w:pPr>
          </w:p>
        </w:tc>
        <w:tc>
          <w:tcPr>
            <w:tcW w:w="0" w:type="auto"/>
            <w:gridSpan w:val="3"/>
            <w:shd w:val="clear" w:color="auto" w:fill="auto"/>
            <w:vAlign w:val="bottom"/>
          </w:tcPr>
          <w:p w14:paraId="71D4A598" w14:textId="77777777" w:rsidR="006A3667" w:rsidRDefault="006A3667">
            <w:pPr>
              <w:rPr>
                <w:rFonts w:ascii="宋体"/>
                <w:vanish/>
              </w:rPr>
            </w:pPr>
          </w:p>
        </w:tc>
        <w:tc>
          <w:tcPr>
            <w:tcW w:w="0" w:type="auto"/>
            <w:gridSpan w:val="3"/>
            <w:shd w:val="clear" w:color="auto" w:fill="auto"/>
            <w:vAlign w:val="bottom"/>
          </w:tcPr>
          <w:p w14:paraId="71D4A599" w14:textId="77777777" w:rsidR="006A3667" w:rsidRDefault="006A3667">
            <w:pPr>
              <w:rPr>
                <w:rFonts w:ascii="宋体"/>
                <w:vanish/>
              </w:rPr>
            </w:pPr>
          </w:p>
        </w:tc>
        <w:tc>
          <w:tcPr>
            <w:tcW w:w="0" w:type="auto"/>
            <w:gridSpan w:val="3"/>
            <w:shd w:val="clear" w:color="auto" w:fill="auto"/>
            <w:vAlign w:val="bottom"/>
          </w:tcPr>
          <w:p w14:paraId="71D4A59A" w14:textId="77777777" w:rsidR="006A3667" w:rsidRDefault="006A3667">
            <w:pPr>
              <w:rPr>
                <w:rFonts w:ascii="宋体"/>
                <w:vanish/>
              </w:rPr>
            </w:pPr>
          </w:p>
        </w:tc>
        <w:tc>
          <w:tcPr>
            <w:tcW w:w="0" w:type="auto"/>
            <w:gridSpan w:val="3"/>
            <w:shd w:val="clear" w:color="auto" w:fill="auto"/>
            <w:vAlign w:val="bottom"/>
          </w:tcPr>
          <w:p w14:paraId="71D4A59B" w14:textId="77777777" w:rsidR="006A3667" w:rsidRDefault="006A3667">
            <w:pPr>
              <w:rPr>
                <w:rFonts w:ascii="宋体"/>
                <w:vanish/>
              </w:rPr>
            </w:pPr>
          </w:p>
        </w:tc>
        <w:tc>
          <w:tcPr>
            <w:tcW w:w="0" w:type="auto"/>
            <w:gridSpan w:val="3"/>
            <w:shd w:val="clear" w:color="auto" w:fill="auto"/>
            <w:vAlign w:val="bottom"/>
          </w:tcPr>
          <w:p w14:paraId="71D4A59C" w14:textId="77777777" w:rsidR="006A3667" w:rsidRDefault="006A3667">
            <w:pPr>
              <w:rPr>
                <w:rFonts w:ascii="宋体"/>
                <w:vanish/>
              </w:rPr>
            </w:pPr>
          </w:p>
        </w:tc>
        <w:tc>
          <w:tcPr>
            <w:tcW w:w="0" w:type="auto"/>
            <w:gridSpan w:val="3"/>
            <w:shd w:val="clear" w:color="auto" w:fill="auto"/>
            <w:vAlign w:val="bottom"/>
          </w:tcPr>
          <w:p w14:paraId="71D4A59D" w14:textId="77777777" w:rsidR="006A3667" w:rsidRDefault="006A3667">
            <w:pPr>
              <w:rPr>
                <w:rFonts w:ascii="宋体"/>
                <w:vanish/>
              </w:rPr>
            </w:pPr>
          </w:p>
        </w:tc>
        <w:tc>
          <w:tcPr>
            <w:tcW w:w="0" w:type="auto"/>
            <w:gridSpan w:val="3"/>
            <w:shd w:val="clear" w:color="auto" w:fill="auto"/>
            <w:vAlign w:val="bottom"/>
          </w:tcPr>
          <w:p w14:paraId="71D4A59E" w14:textId="77777777" w:rsidR="006A3667" w:rsidRDefault="006A3667">
            <w:pPr>
              <w:rPr>
                <w:rFonts w:ascii="宋体"/>
                <w:vanish/>
              </w:rPr>
            </w:pPr>
          </w:p>
        </w:tc>
        <w:tc>
          <w:tcPr>
            <w:tcW w:w="0" w:type="auto"/>
            <w:gridSpan w:val="3"/>
            <w:shd w:val="clear" w:color="auto" w:fill="auto"/>
            <w:vAlign w:val="bottom"/>
          </w:tcPr>
          <w:p w14:paraId="71D4A59F" w14:textId="77777777" w:rsidR="006A3667" w:rsidRDefault="006A3667">
            <w:pPr>
              <w:rPr>
                <w:rFonts w:ascii="宋体"/>
                <w:vanish/>
              </w:rPr>
            </w:pPr>
          </w:p>
        </w:tc>
      </w:tr>
      <w:tr w:rsidR="006A3667" w14:paraId="71D4A5B5" w14:textId="77777777">
        <w:trPr>
          <w:hidden/>
        </w:trPr>
        <w:tc>
          <w:tcPr>
            <w:tcW w:w="0" w:type="auto"/>
            <w:gridSpan w:val="3"/>
            <w:shd w:val="clear" w:color="auto" w:fill="auto"/>
            <w:vAlign w:val="bottom"/>
          </w:tcPr>
          <w:p w14:paraId="71D4A5A1" w14:textId="77777777" w:rsidR="006A3667" w:rsidRDefault="006A3667">
            <w:pPr>
              <w:rPr>
                <w:rFonts w:ascii="宋体"/>
                <w:vanish/>
              </w:rPr>
            </w:pPr>
          </w:p>
        </w:tc>
        <w:tc>
          <w:tcPr>
            <w:tcW w:w="0" w:type="auto"/>
            <w:gridSpan w:val="3"/>
            <w:shd w:val="clear" w:color="auto" w:fill="auto"/>
            <w:vAlign w:val="bottom"/>
          </w:tcPr>
          <w:p w14:paraId="71D4A5A2" w14:textId="77777777" w:rsidR="006A3667" w:rsidRDefault="006A3667">
            <w:pPr>
              <w:rPr>
                <w:rFonts w:ascii="宋体"/>
                <w:vanish/>
              </w:rPr>
            </w:pPr>
          </w:p>
        </w:tc>
        <w:tc>
          <w:tcPr>
            <w:tcW w:w="0" w:type="auto"/>
            <w:gridSpan w:val="3"/>
            <w:shd w:val="clear" w:color="auto" w:fill="auto"/>
            <w:vAlign w:val="bottom"/>
          </w:tcPr>
          <w:p w14:paraId="71D4A5A3" w14:textId="77777777" w:rsidR="006A3667" w:rsidRDefault="006A3667">
            <w:pPr>
              <w:rPr>
                <w:rFonts w:ascii="宋体"/>
                <w:vanish/>
              </w:rPr>
            </w:pPr>
          </w:p>
        </w:tc>
        <w:tc>
          <w:tcPr>
            <w:tcW w:w="0" w:type="auto"/>
            <w:gridSpan w:val="3"/>
            <w:shd w:val="clear" w:color="auto" w:fill="auto"/>
            <w:vAlign w:val="bottom"/>
          </w:tcPr>
          <w:p w14:paraId="71D4A5A4" w14:textId="77777777" w:rsidR="006A3667" w:rsidRDefault="006A3667">
            <w:pPr>
              <w:rPr>
                <w:rFonts w:ascii="宋体"/>
                <w:vanish/>
              </w:rPr>
            </w:pPr>
          </w:p>
        </w:tc>
        <w:tc>
          <w:tcPr>
            <w:tcW w:w="0" w:type="auto"/>
            <w:gridSpan w:val="3"/>
            <w:shd w:val="clear" w:color="auto" w:fill="auto"/>
            <w:vAlign w:val="bottom"/>
          </w:tcPr>
          <w:p w14:paraId="71D4A5A5" w14:textId="77777777" w:rsidR="006A3667" w:rsidRDefault="006A3667">
            <w:pPr>
              <w:rPr>
                <w:rFonts w:ascii="宋体"/>
                <w:vanish/>
              </w:rPr>
            </w:pPr>
          </w:p>
        </w:tc>
        <w:tc>
          <w:tcPr>
            <w:tcW w:w="0" w:type="auto"/>
            <w:gridSpan w:val="3"/>
            <w:shd w:val="clear" w:color="auto" w:fill="auto"/>
            <w:vAlign w:val="bottom"/>
          </w:tcPr>
          <w:p w14:paraId="71D4A5A6" w14:textId="77777777" w:rsidR="006A3667" w:rsidRDefault="006A3667">
            <w:pPr>
              <w:rPr>
                <w:rFonts w:ascii="宋体"/>
                <w:vanish/>
              </w:rPr>
            </w:pPr>
          </w:p>
        </w:tc>
        <w:tc>
          <w:tcPr>
            <w:tcW w:w="0" w:type="auto"/>
            <w:gridSpan w:val="3"/>
            <w:shd w:val="clear" w:color="auto" w:fill="auto"/>
            <w:vAlign w:val="bottom"/>
          </w:tcPr>
          <w:p w14:paraId="71D4A5A7" w14:textId="77777777" w:rsidR="006A3667" w:rsidRDefault="006A3667">
            <w:pPr>
              <w:rPr>
                <w:rFonts w:ascii="宋体"/>
                <w:vanish/>
              </w:rPr>
            </w:pPr>
          </w:p>
        </w:tc>
        <w:tc>
          <w:tcPr>
            <w:tcW w:w="0" w:type="auto"/>
            <w:gridSpan w:val="3"/>
            <w:shd w:val="clear" w:color="auto" w:fill="auto"/>
            <w:vAlign w:val="bottom"/>
          </w:tcPr>
          <w:p w14:paraId="71D4A5A8" w14:textId="77777777" w:rsidR="006A3667" w:rsidRDefault="006A3667">
            <w:pPr>
              <w:rPr>
                <w:rFonts w:ascii="宋体"/>
                <w:vanish/>
              </w:rPr>
            </w:pPr>
          </w:p>
        </w:tc>
        <w:tc>
          <w:tcPr>
            <w:tcW w:w="0" w:type="auto"/>
            <w:gridSpan w:val="3"/>
            <w:shd w:val="clear" w:color="auto" w:fill="auto"/>
            <w:vAlign w:val="bottom"/>
          </w:tcPr>
          <w:p w14:paraId="71D4A5A9" w14:textId="77777777" w:rsidR="006A3667" w:rsidRDefault="006A3667">
            <w:pPr>
              <w:rPr>
                <w:rFonts w:ascii="宋体"/>
                <w:vanish/>
              </w:rPr>
            </w:pPr>
          </w:p>
        </w:tc>
        <w:tc>
          <w:tcPr>
            <w:tcW w:w="0" w:type="auto"/>
            <w:gridSpan w:val="3"/>
            <w:shd w:val="clear" w:color="auto" w:fill="auto"/>
            <w:vAlign w:val="bottom"/>
          </w:tcPr>
          <w:p w14:paraId="71D4A5AA" w14:textId="77777777" w:rsidR="006A3667" w:rsidRDefault="006A3667">
            <w:pPr>
              <w:rPr>
                <w:rFonts w:ascii="宋体"/>
                <w:vanish/>
              </w:rPr>
            </w:pPr>
          </w:p>
        </w:tc>
        <w:tc>
          <w:tcPr>
            <w:tcW w:w="0" w:type="auto"/>
            <w:gridSpan w:val="3"/>
            <w:shd w:val="clear" w:color="auto" w:fill="auto"/>
            <w:vAlign w:val="bottom"/>
          </w:tcPr>
          <w:p w14:paraId="71D4A5AB" w14:textId="77777777" w:rsidR="006A3667" w:rsidRDefault="006A3667">
            <w:pPr>
              <w:rPr>
                <w:rFonts w:ascii="宋体"/>
                <w:vanish/>
              </w:rPr>
            </w:pPr>
          </w:p>
        </w:tc>
        <w:tc>
          <w:tcPr>
            <w:tcW w:w="0" w:type="auto"/>
            <w:gridSpan w:val="3"/>
            <w:shd w:val="clear" w:color="auto" w:fill="auto"/>
            <w:vAlign w:val="bottom"/>
          </w:tcPr>
          <w:p w14:paraId="71D4A5AC" w14:textId="77777777" w:rsidR="006A3667" w:rsidRDefault="006A3667">
            <w:pPr>
              <w:rPr>
                <w:rFonts w:ascii="宋体"/>
                <w:vanish/>
              </w:rPr>
            </w:pPr>
          </w:p>
        </w:tc>
        <w:tc>
          <w:tcPr>
            <w:tcW w:w="0" w:type="auto"/>
            <w:gridSpan w:val="3"/>
            <w:shd w:val="clear" w:color="auto" w:fill="auto"/>
            <w:vAlign w:val="bottom"/>
          </w:tcPr>
          <w:p w14:paraId="71D4A5AD" w14:textId="77777777" w:rsidR="006A3667" w:rsidRDefault="006A3667">
            <w:pPr>
              <w:rPr>
                <w:rFonts w:ascii="宋体"/>
                <w:vanish/>
              </w:rPr>
            </w:pPr>
          </w:p>
        </w:tc>
        <w:tc>
          <w:tcPr>
            <w:tcW w:w="0" w:type="auto"/>
            <w:gridSpan w:val="3"/>
            <w:shd w:val="clear" w:color="auto" w:fill="auto"/>
            <w:vAlign w:val="bottom"/>
          </w:tcPr>
          <w:p w14:paraId="71D4A5AE" w14:textId="77777777" w:rsidR="006A3667" w:rsidRDefault="006A3667">
            <w:pPr>
              <w:rPr>
                <w:rFonts w:ascii="宋体"/>
                <w:vanish/>
              </w:rPr>
            </w:pPr>
          </w:p>
        </w:tc>
        <w:tc>
          <w:tcPr>
            <w:tcW w:w="0" w:type="auto"/>
            <w:gridSpan w:val="3"/>
            <w:shd w:val="clear" w:color="auto" w:fill="auto"/>
            <w:vAlign w:val="bottom"/>
          </w:tcPr>
          <w:p w14:paraId="71D4A5AF" w14:textId="77777777" w:rsidR="006A3667" w:rsidRDefault="006A3667">
            <w:pPr>
              <w:rPr>
                <w:rFonts w:ascii="宋体"/>
                <w:vanish/>
              </w:rPr>
            </w:pPr>
          </w:p>
        </w:tc>
        <w:tc>
          <w:tcPr>
            <w:tcW w:w="0" w:type="auto"/>
            <w:gridSpan w:val="3"/>
            <w:shd w:val="clear" w:color="auto" w:fill="auto"/>
            <w:vAlign w:val="bottom"/>
          </w:tcPr>
          <w:p w14:paraId="71D4A5B0" w14:textId="77777777" w:rsidR="006A3667" w:rsidRDefault="006A3667">
            <w:pPr>
              <w:rPr>
                <w:rFonts w:ascii="宋体"/>
                <w:vanish/>
              </w:rPr>
            </w:pPr>
          </w:p>
        </w:tc>
        <w:tc>
          <w:tcPr>
            <w:tcW w:w="0" w:type="auto"/>
            <w:gridSpan w:val="3"/>
            <w:shd w:val="clear" w:color="auto" w:fill="auto"/>
            <w:vAlign w:val="bottom"/>
          </w:tcPr>
          <w:p w14:paraId="71D4A5B1" w14:textId="77777777" w:rsidR="006A3667" w:rsidRDefault="006A3667">
            <w:pPr>
              <w:rPr>
                <w:rFonts w:ascii="宋体"/>
                <w:vanish/>
              </w:rPr>
            </w:pPr>
          </w:p>
        </w:tc>
        <w:tc>
          <w:tcPr>
            <w:tcW w:w="0" w:type="auto"/>
            <w:gridSpan w:val="3"/>
            <w:shd w:val="clear" w:color="auto" w:fill="auto"/>
            <w:vAlign w:val="bottom"/>
          </w:tcPr>
          <w:p w14:paraId="71D4A5B2" w14:textId="77777777" w:rsidR="006A3667" w:rsidRDefault="006A3667">
            <w:pPr>
              <w:rPr>
                <w:rFonts w:ascii="宋体"/>
                <w:vanish/>
              </w:rPr>
            </w:pPr>
          </w:p>
        </w:tc>
        <w:tc>
          <w:tcPr>
            <w:tcW w:w="0" w:type="auto"/>
            <w:gridSpan w:val="3"/>
            <w:shd w:val="clear" w:color="auto" w:fill="auto"/>
            <w:vAlign w:val="bottom"/>
          </w:tcPr>
          <w:p w14:paraId="71D4A5B3" w14:textId="77777777" w:rsidR="006A3667" w:rsidRDefault="006A3667">
            <w:pPr>
              <w:rPr>
                <w:rFonts w:ascii="宋体"/>
                <w:vanish/>
              </w:rPr>
            </w:pPr>
          </w:p>
        </w:tc>
        <w:tc>
          <w:tcPr>
            <w:tcW w:w="0" w:type="auto"/>
            <w:gridSpan w:val="3"/>
            <w:shd w:val="clear" w:color="auto" w:fill="auto"/>
            <w:vAlign w:val="bottom"/>
          </w:tcPr>
          <w:p w14:paraId="71D4A5B4" w14:textId="77777777" w:rsidR="006A3667" w:rsidRDefault="006A3667">
            <w:pPr>
              <w:rPr>
                <w:rFonts w:ascii="宋体"/>
                <w:vanish/>
              </w:rPr>
            </w:pPr>
          </w:p>
        </w:tc>
      </w:tr>
      <w:tr w:rsidR="006A3667" w14:paraId="71D4A5CA" w14:textId="77777777">
        <w:trPr>
          <w:hidden/>
        </w:trPr>
        <w:tc>
          <w:tcPr>
            <w:tcW w:w="0" w:type="auto"/>
            <w:gridSpan w:val="3"/>
            <w:shd w:val="clear" w:color="auto" w:fill="auto"/>
            <w:vAlign w:val="bottom"/>
          </w:tcPr>
          <w:p w14:paraId="71D4A5B6" w14:textId="77777777" w:rsidR="006A3667" w:rsidRDefault="006A3667">
            <w:pPr>
              <w:rPr>
                <w:rFonts w:ascii="宋体"/>
                <w:vanish/>
              </w:rPr>
            </w:pPr>
          </w:p>
        </w:tc>
        <w:tc>
          <w:tcPr>
            <w:tcW w:w="0" w:type="auto"/>
            <w:gridSpan w:val="3"/>
            <w:shd w:val="clear" w:color="auto" w:fill="auto"/>
            <w:vAlign w:val="bottom"/>
          </w:tcPr>
          <w:p w14:paraId="71D4A5B7" w14:textId="77777777" w:rsidR="006A3667" w:rsidRDefault="006A3667">
            <w:pPr>
              <w:rPr>
                <w:rFonts w:ascii="宋体"/>
                <w:vanish/>
              </w:rPr>
            </w:pPr>
          </w:p>
        </w:tc>
        <w:tc>
          <w:tcPr>
            <w:tcW w:w="0" w:type="auto"/>
            <w:gridSpan w:val="3"/>
            <w:shd w:val="clear" w:color="auto" w:fill="auto"/>
            <w:vAlign w:val="bottom"/>
          </w:tcPr>
          <w:p w14:paraId="71D4A5B8" w14:textId="77777777" w:rsidR="006A3667" w:rsidRDefault="006A3667">
            <w:pPr>
              <w:rPr>
                <w:rFonts w:ascii="宋体"/>
                <w:vanish/>
              </w:rPr>
            </w:pPr>
          </w:p>
        </w:tc>
        <w:tc>
          <w:tcPr>
            <w:tcW w:w="0" w:type="auto"/>
            <w:gridSpan w:val="3"/>
            <w:shd w:val="clear" w:color="auto" w:fill="auto"/>
            <w:vAlign w:val="bottom"/>
          </w:tcPr>
          <w:p w14:paraId="71D4A5B9" w14:textId="77777777" w:rsidR="006A3667" w:rsidRDefault="006A3667">
            <w:pPr>
              <w:rPr>
                <w:rFonts w:ascii="宋体"/>
                <w:vanish/>
              </w:rPr>
            </w:pPr>
          </w:p>
        </w:tc>
        <w:tc>
          <w:tcPr>
            <w:tcW w:w="0" w:type="auto"/>
            <w:gridSpan w:val="3"/>
            <w:shd w:val="clear" w:color="auto" w:fill="auto"/>
            <w:vAlign w:val="bottom"/>
          </w:tcPr>
          <w:p w14:paraId="71D4A5BA" w14:textId="77777777" w:rsidR="006A3667" w:rsidRDefault="006A3667">
            <w:pPr>
              <w:rPr>
                <w:rFonts w:ascii="宋体"/>
                <w:vanish/>
              </w:rPr>
            </w:pPr>
          </w:p>
        </w:tc>
        <w:tc>
          <w:tcPr>
            <w:tcW w:w="0" w:type="auto"/>
            <w:gridSpan w:val="3"/>
            <w:shd w:val="clear" w:color="auto" w:fill="auto"/>
            <w:vAlign w:val="bottom"/>
          </w:tcPr>
          <w:p w14:paraId="71D4A5BB" w14:textId="77777777" w:rsidR="006A3667" w:rsidRDefault="006A3667">
            <w:pPr>
              <w:rPr>
                <w:rFonts w:ascii="宋体"/>
                <w:vanish/>
              </w:rPr>
            </w:pPr>
          </w:p>
        </w:tc>
        <w:tc>
          <w:tcPr>
            <w:tcW w:w="0" w:type="auto"/>
            <w:gridSpan w:val="3"/>
            <w:shd w:val="clear" w:color="auto" w:fill="auto"/>
            <w:vAlign w:val="bottom"/>
          </w:tcPr>
          <w:p w14:paraId="71D4A5BC" w14:textId="77777777" w:rsidR="006A3667" w:rsidRDefault="006A3667">
            <w:pPr>
              <w:rPr>
                <w:rFonts w:ascii="宋体"/>
                <w:vanish/>
              </w:rPr>
            </w:pPr>
          </w:p>
        </w:tc>
        <w:tc>
          <w:tcPr>
            <w:tcW w:w="0" w:type="auto"/>
            <w:gridSpan w:val="3"/>
            <w:shd w:val="clear" w:color="auto" w:fill="auto"/>
            <w:vAlign w:val="bottom"/>
          </w:tcPr>
          <w:p w14:paraId="71D4A5BD" w14:textId="77777777" w:rsidR="006A3667" w:rsidRDefault="006A3667">
            <w:pPr>
              <w:rPr>
                <w:rFonts w:ascii="宋体"/>
                <w:vanish/>
              </w:rPr>
            </w:pPr>
          </w:p>
        </w:tc>
        <w:tc>
          <w:tcPr>
            <w:tcW w:w="0" w:type="auto"/>
            <w:gridSpan w:val="3"/>
            <w:shd w:val="clear" w:color="auto" w:fill="auto"/>
            <w:vAlign w:val="bottom"/>
          </w:tcPr>
          <w:p w14:paraId="71D4A5BE" w14:textId="77777777" w:rsidR="006A3667" w:rsidRDefault="006A3667">
            <w:pPr>
              <w:rPr>
                <w:rFonts w:ascii="宋体"/>
                <w:vanish/>
              </w:rPr>
            </w:pPr>
          </w:p>
        </w:tc>
        <w:tc>
          <w:tcPr>
            <w:tcW w:w="0" w:type="auto"/>
            <w:gridSpan w:val="3"/>
            <w:shd w:val="clear" w:color="auto" w:fill="auto"/>
            <w:vAlign w:val="bottom"/>
          </w:tcPr>
          <w:p w14:paraId="71D4A5BF" w14:textId="77777777" w:rsidR="006A3667" w:rsidRDefault="006A3667">
            <w:pPr>
              <w:rPr>
                <w:rFonts w:ascii="宋体"/>
                <w:vanish/>
              </w:rPr>
            </w:pPr>
          </w:p>
        </w:tc>
        <w:tc>
          <w:tcPr>
            <w:tcW w:w="0" w:type="auto"/>
            <w:gridSpan w:val="3"/>
            <w:shd w:val="clear" w:color="auto" w:fill="auto"/>
            <w:vAlign w:val="bottom"/>
          </w:tcPr>
          <w:p w14:paraId="71D4A5C0" w14:textId="77777777" w:rsidR="006A3667" w:rsidRDefault="006A3667">
            <w:pPr>
              <w:rPr>
                <w:rFonts w:ascii="宋体"/>
                <w:vanish/>
              </w:rPr>
            </w:pPr>
          </w:p>
        </w:tc>
        <w:tc>
          <w:tcPr>
            <w:tcW w:w="0" w:type="auto"/>
            <w:gridSpan w:val="3"/>
            <w:shd w:val="clear" w:color="auto" w:fill="auto"/>
            <w:vAlign w:val="bottom"/>
          </w:tcPr>
          <w:p w14:paraId="71D4A5C1" w14:textId="77777777" w:rsidR="006A3667" w:rsidRDefault="006A3667">
            <w:pPr>
              <w:rPr>
                <w:rFonts w:ascii="宋体"/>
                <w:vanish/>
              </w:rPr>
            </w:pPr>
          </w:p>
        </w:tc>
        <w:tc>
          <w:tcPr>
            <w:tcW w:w="0" w:type="auto"/>
            <w:gridSpan w:val="3"/>
            <w:shd w:val="clear" w:color="auto" w:fill="auto"/>
            <w:vAlign w:val="bottom"/>
          </w:tcPr>
          <w:p w14:paraId="71D4A5C2" w14:textId="77777777" w:rsidR="006A3667" w:rsidRDefault="006A3667">
            <w:pPr>
              <w:rPr>
                <w:rFonts w:ascii="宋体"/>
                <w:vanish/>
              </w:rPr>
            </w:pPr>
          </w:p>
        </w:tc>
        <w:tc>
          <w:tcPr>
            <w:tcW w:w="0" w:type="auto"/>
            <w:gridSpan w:val="3"/>
            <w:shd w:val="clear" w:color="auto" w:fill="auto"/>
            <w:vAlign w:val="bottom"/>
          </w:tcPr>
          <w:p w14:paraId="71D4A5C3" w14:textId="77777777" w:rsidR="006A3667" w:rsidRDefault="006A3667">
            <w:pPr>
              <w:rPr>
                <w:rFonts w:ascii="宋体"/>
                <w:vanish/>
              </w:rPr>
            </w:pPr>
          </w:p>
        </w:tc>
        <w:tc>
          <w:tcPr>
            <w:tcW w:w="0" w:type="auto"/>
            <w:gridSpan w:val="3"/>
            <w:shd w:val="clear" w:color="auto" w:fill="auto"/>
            <w:vAlign w:val="bottom"/>
          </w:tcPr>
          <w:p w14:paraId="71D4A5C4" w14:textId="77777777" w:rsidR="006A3667" w:rsidRDefault="006A3667">
            <w:pPr>
              <w:rPr>
                <w:rFonts w:ascii="宋体"/>
                <w:vanish/>
              </w:rPr>
            </w:pPr>
          </w:p>
        </w:tc>
        <w:tc>
          <w:tcPr>
            <w:tcW w:w="0" w:type="auto"/>
            <w:gridSpan w:val="3"/>
            <w:shd w:val="clear" w:color="auto" w:fill="auto"/>
            <w:vAlign w:val="bottom"/>
          </w:tcPr>
          <w:p w14:paraId="71D4A5C5" w14:textId="77777777" w:rsidR="006A3667" w:rsidRDefault="006A3667">
            <w:pPr>
              <w:rPr>
                <w:rFonts w:ascii="宋体"/>
                <w:vanish/>
              </w:rPr>
            </w:pPr>
          </w:p>
        </w:tc>
        <w:tc>
          <w:tcPr>
            <w:tcW w:w="0" w:type="auto"/>
            <w:gridSpan w:val="3"/>
            <w:shd w:val="clear" w:color="auto" w:fill="auto"/>
            <w:vAlign w:val="bottom"/>
          </w:tcPr>
          <w:p w14:paraId="71D4A5C6" w14:textId="77777777" w:rsidR="006A3667" w:rsidRDefault="006A3667">
            <w:pPr>
              <w:rPr>
                <w:rFonts w:ascii="宋体"/>
                <w:vanish/>
              </w:rPr>
            </w:pPr>
          </w:p>
        </w:tc>
        <w:tc>
          <w:tcPr>
            <w:tcW w:w="0" w:type="auto"/>
            <w:gridSpan w:val="3"/>
            <w:shd w:val="clear" w:color="auto" w:fill="auto"/>
            <w:vAlign w:val="bottom"/>
          </w:tcPr>
          <w:p w14:paraId="71D4A5C7" w14:textId="77777777" w:rsidR="006A3667" w:rsidRDefault="006A3667">
            <w:pPr>
              <w:rPr>
                <w:rFonts w:ascii="宋体"/>
                <w:vanish/>
              </w:rPr>
            </w:pPr>
          </w:p>
        </w:tc>
        <w:tc>
          <w:tcPr>
            <w:tcW w:w="0" w:type="auto"/>
            <w:gridSpan w:val="3"/>
            <w:shd w:val="clear" w:color="auto" w:fill="auto"/>
            <w:vAlign w:val="bottom"/>
          </w:tcPr>
          <w:p w14:paraId="71D4A5C8" w14:textId="77777777" w:rsidR="006A3667" w:rsidRDefault="006A3667">
            <w:pPr>
              <w:rPr>
                <w:rFonts w:ascii="宋体"/>
                <w:vanish/>
              </w:rPr>
            </w:pPr>
          </w:p>
        </w:tc>
        <w:tc>
          <w:tcPr>
            <w:tcW w:w="0" w:type="auto"/>
            <w:gridSpan w:val="3"/>
            <w:shd w:val="clear" w:color="auto" w:fill="auto"/>
            <w:vAlign w:val="bottom"/>
          </w:tcPr>
          <w:p w14:paraId="71D4A5C9" w14:textId="77777777" w:rsidR="006A3667" w:rsidRDefault="006A3667">
            <w:pPr>
              <w:rPr>
                <w:rFonts w:ascii="宋体"/>
                <w:vanish/>
              </w:rPr>
            </w:pPr>
          </w:p>
        </w:tc>
      </w:tr>
      <w:tr w:rsidR="006A3667" w14:paraId="71D4A5DF" w14:textId="77777777">
        <w:trPr>
          <w:trHeight w:val="60"/>
        </w:trPr>
        <w:tc>
          <w:tcPr>
            <w:tcW w:w="0" w:type="auto"/>
            <w:gridSpan w:val="3"/>
            <w:shd w:val="clear" w:color="auto" w:fill="auto"/>
            <w:tcMar>
              <w:top w:w="0" w:type="dxa"/>
              <w:left w:w="20" w:type="dxa"/>
              <w:bottom w:w="0" w:type="dxa"/>
              <w:right w:w="20" w:type="dxa"/>
            </w:tcMar>
            <w:vAlign w:val="bottom"/>
          </w:tcPr>
          <w:p w14:paraId="71D4A5C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C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C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C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C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D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D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D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D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D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D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D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5D7" w14:textId="77777777" w:rsidR="006A3667" w:rsidRDefault="006A3667">
            <w:pPr>
              <w:rPr>
                <w:rFonts w:ascii="宋体"/>
              </w:rPr>
            </w:pPr>
          </w:p>
        </w:tc>
        <w:tc>
          <w:tcPr>
            <w:tcW w:w="0" w:type="auto"/>
            <w:gridSpan w:val="3"/>
            <w:shd w:val="clear" w:color="auto" w:fill="auto"/>
            <w:vAlign w:val="bottom"/>
          </w:tcPr>
          <w:p w14:paraId="71D4A5D8" w14:textId="77777777" w:rsidR="006A3667" w:rsidRDefault="006A3667">
            <w:pPr>
              <w:rPr>
                <w:rFonts w:ascii="宋体"/>
                <w:vanish/>
              </w:rPr>
            </w:pPr>
          </w:p>
        </w:tc>
        <w:tc>
          <w:tcPr>
            <w:tcW w:w="0" w:type="auto"/>
            <w:gridSpan w:val="3"/>
            <w:shd w:val="clear" w:color="auto" w:fill="auto"/>
            <w:vAlign w:val="bottom"/>
          </w:tcPr>
          <w:p w14:paraId="71D4A5D9" w14:textId="77777777" w:rsidR="006A3667" w:rsidRDefault="006A3667">
            <w:pPr>
              <w:rPr>
                <w:rFonts w:ascii="宋体"/>
                <w:vanish/>
              </w:rPr>
            </w:pPr>
          </w:p>
        </w:tc>
        <w:tc>
          <w:tcPr>
            <w:tcW w:w="0" w:type="auto"/>
            <w:gridSpan w:val="3"/>
            <w:shd w:val="clear" w:color="auto" w:fill="auto"/>
            <w:vAlign w:val="bottom"/>
          </w:tcPr>
          <w:p w14:paraId="71D4A5DA" w14:textId="77777777" w:rsidR="006A3667" w:rsidRDefault="006A3667">
            <w:pPr>
              <w:rPr>
                <w:rFonts w:ascii="宋体"/>
                <w:vanish/>
              </w:rPr>
            </w:pPr>
          </w:p>
        </w:tc>
        <w:tc>
          <w:tcPr>
            <w:tcW w:w="0" w:type="auto"/>
            <w:gridSpan w:val="3"/>
            <w:shd w:val="clear" w:color="auto" w:fill="auto"/>
            <w:vAlign w:val="bottom"/>
          </w:tcPr>
          <w:p w14:paraId="71D4A5DB" w14:textId="77777777" w:rsidR="006A3667" w:rsidRDefault="006A3667">
            <w:pPr>
              <w:rPr>
                <w:rFonts w:ascii="宋体"/>
                <w:vanish/>
              </w:rPr>
            </w:pPr>
          </w:p>
        </w:tc>
        <w:tc>
          <w:tcPr>
            <w:tcW w:w="0" w:type="auto"/>
            <w:gridSpan w:val="3"/>
            <w:shd w:val="clear" w:color="auto" w:fill="auto"/>
            <w:vAlign w:val="bottom"/>
          </w:tcPr>
          <w:p w14:paraId="71D4A5DC" w14:textId="77777777" w:rsidR="006A3667" w:rsidRDefault="006A3667">
            <w:pPr>
              <w:rPr>
                <w:rFonts w:ascii="宋体"/>
                <w:vanish/>
              </w:rPr>
            </w:pPr>
          </w:p>
        </w:tc>
        <w:tc>
          <w:tcPr>
            <w:tcW w:w="0" w:type="auto"/>
            <w:gridSpan w:val="3"/>
            <w:shd w:val="clear" w:color="auto" w:fill="auto"/>
            <w:vAlign w:val="bottom"/>
          </w:tcPr>
          <w:p w14:paraId="71D4A5DD" w14:textId="77777777" w:rsidR="006A3667" w:rsidRDefault="006A3667">
            <w:pPr>
              <w:rPr>
                <w:rFonts w:ascii="宋体"/>
                <w:vanish/>
              </w:rPr>
            </w:pPr>
          </w:p>
        </w:tc>
        <w:tc>
          <w:tcPr>
            <w:tcW w:w="0" w:type="auto"/>
            <w:gridSpan w:val="3"/>
            <w:shd w:val="clear" w:color="auto" w:fill="auto"/>
            <w:tcMar>
              <w:top w:w="0" w:type="dxa"/>
              <w:left w:w="20" w:type="dxa"/>
              <w:bottom w:w="0" w:type="dxa"/>
              <w:right w:w="20" w:type="dxa"/>
            </w:tcMar>
            <w:vAlign w:val="bottom"/>
          </w:tcPr>
          <w:p w14:paraId="71D4A5DE" w14:textId="77777777" w:rsidR="006A3667" w:rsidRDefault="006A3667">
            <w:pPr>
              <w:rPr>
                <w:rFonts w:ascii="宋体"/>
              </w:rPr>
            </w:pPr>
          </w:p>
        </w:tc>
      </w:tr>
    </w:tbl>
    <w:p w14:paraId="71D4A5E0" w14:textId="77777777" w:rsidR="006A3667" w:rsidRDefault="00045F32">
      <w:pPr>
        <w:ind w:firstLine="450"/>
        <w:jc w:val="right"/>
      </w:pPr>
      <w:r>
        <w:rPr>
          <w:rFonts w:ascii="Arial" w:eastAsia="宋体" w:hAnsi="Arial" w:cs="Arial"/>
          <w:color w:val="000000"/>
          <w:sz w:val="18"/>
          <w:szCs w:val="18"/>
        </w:rPr>
        <w:t>State Street Corporation | 94</w:t>
      </w:r>
    </w:p>
    <w:p w14:paraId="71D4A5E1" w14:textId="77777777" w:rsidR="006A3667" w:rsidRDefault="006A3667">
      <w:pPr>
        <w:ind w:firstLine="450"/>
        <w:jc w:val="center"/>
      </w:pPr>
    </w:p>
    <w:p w14:paraId="71D4A5E2" w14:textId="77777777" w:rsidR="006A3667" w:rsidRDefault="00045F32">
      <w:r>
        <w:pict w14:anchorId="71D4AC72">
          <v:rect id="_x0000_i1118" style="width:415.3pt;height:1.5pt" o:hralign="center" o:hrstd="t" o:hr="t" fillcolor="#a0a0a0" stroked="f"/>
        </w:pict>
      </w:r>
    </w:p>
    <w:p w14:paraId="71D4A5E3" w14:textId="77777777" w:rsidR="006A3667" w:rsidRDefault="00045F32">
      <w:pPr>
        <w:ind w:firstLine="450"/>
        <w:jc w:val="center"/>
      </w:pPr>
      <w:r>
        <w:rPr>
          <w:rFonts w:ascii="Arial" w:eastAsia="宋体" w:hAnsi="Arial" w:cs="Arial"/>
          <w:b/>
          <w:bCs/>
          <w:color w:val="000000"/>
          <w:sz w:val="20"/>
          <w:szCs w:val="20"/>
        </w:rPr>
        <w:t>STATE STREET CORPORATION</w:t>
      </w:r>
    </w:p>
    <w:p w14:paraId="71D4A5E4" w14:textId="77777777" w:rsidR="006A3667" w:rsidRDefault="00045F32">
      <w:pPr>
        <w:ind w:firstLine="450"/>
        <w:jc w:val="center"/>
      </w:pPr>
      <w:r>
        <w:rPr>
          <w:rFonts w:ascii="Arial" w:eastAsia="宋体" w:hAnsi="Arial" w:cs="Arial"/>
          <w:b/>
          <w:bCs/>
          <w:color w:val="000000"/>
          <w:sz w:val="20"/>
          <w:szCs w:val="20"/>
        </w:rPr>
        <w:t>CONDENSED NOTES TO CONSOLIDATED FINANCIAL STATEMENTS</w:t>
      </w:r>
    </w:p>
    <w:p w14:paraId="71D4A5E5" w14:textId="77777777" w:rsidR="006A3667" w:rsidRDefault="00045F32">
      <w:pPr>
        <w:ind w:firstLine="450"/>
        <w:jc w:val="center"/>
      </w:pPr>
      <w:r>
        <w:rPr>
          <w:rFonts w:ascii="Arial" w:eastAsia="宋体" w:hAnsi="Arial" w:cs="Arial"/>
          <w:b/>
          <w:bCs/>
          <w:color w:val="000000"/>
          <w:sz w:val="20"/>
          <w:szCs w:val="20"/>
        </w:rPr>
        <w:t>(UNAUDITED)</w:t>
      </w:r>
    </w:p>
    <w:p w14:paraId="71D4A5E6" w14:textId="77777777" w:rsidR="006A3667" w:rsidRDefault="00045F32">
      <w:pPr>
        <w:spacing w:before="90"/>
        <w:jc w:val="both"/>
      </w:pPr>
      <w:r>
        <w:rPr>
          <w:rFonts w:ascii="Arial" w:eastAsia="宋体" w:hAnsi="Arial" w:cs="Arial"/>
          <w:b/>
          <w:bCs/>
          <w:color w:val="000000"/>
          <w:sz w:val="20"/>
          <w:szCs w:val="20"/>
        </w:rPr>
        <w:t>Contract balances and contract costs</w:t>
      </w:r>
    </w:p>
    <w:p w14:paraId="71D4A5E7" w14:textId="77777777" w:rsidR="006A3667" w:rsidRDefault="00045F32">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 xml:space="preserve">s of September 30, 2022 and December 31, 2021, net </w:t>
      </w:r>
      <w:r>
        <w:rPr>
          <w:rFonts w:ascii="Arial" w:eastAsia="宋体" w:hAnsi="Arial" w:cs="Arial"/>
          <w:color w:val="000000"/>
          <w:sz w:val="20"/>
          <w:szCs w:val="20"/>
        </w:rPr>
        <w:t>receivables of $2.78 billion and $2.76 billion, respectively, are included in accrued interest and fees receivable, representing amounts billed or currently billable related to revenue from contracts with customers. As performance obligations are satisfied</w:t>
      </w:r>
      <w:r>
        <w:rPr>
          <w:rFonts w:ascii="Arial" w:eastAsia="宋体" w:hAnsi="Arial" w:cs="Arial"/>
          <w:color w:val="000000"/>
          <w:sz w:val="20"/>
          <w:szCs w:val="20"/>
        </w:rPr>
        <w:t>, we have an unconditional right to payment and billing is generally performed monthly or quarterly; therefore, we do not have significant contract assets or liabilities.</w:t>
      </w:r>
    </w:p>
    <w:p w14:paraId="71D4A5E8" w14:textId="77777777" w:rsidR="006A3667" w:rsidRDefault="00045F32">
      <w:pPr>
        <w:spacing w:before="60"/>
        <w:ind w:firstLine="450"/>
        <w:jc w:val="both"/>
      </w:pPr>
      <w:r>
        <w:rPr>
          <w:rFonts w:ascii="Arial" w:eastAsia="宋体" w:hAnsi="Arial" w:cs="Arial"/>
          <w:color w:val="000000"/>
          <w:sz w:val="20"/>
          <w:szCs w:val="20"/>
        </w:rPr>
        <w:t xml:space="preserve">No adjustments are made to the promised amount of consideration for the effects of a </w:t>
      </w:r>
      <w:r>
        <w:rPr>
          <w:rFonts w:ascii="Arial" w:eastAsia="宋体" w:hAnsi="Arial" w:cs="Arial"/>
          <w:color w:val="000000"/>
          <w:sz w:val="20"/>
          <w:szCs w:val="20"/>
        </w:rPr>
        <w:t>significant financing component as the period between when we transfer a promised service to a customer and when the customer pays for that service is expected to be one year or less.</w:t>
      </w:r>
    </w:p>
    <w:p w14:paraId="71D4A5E9" w14:textId="77777777" w:rsidR="006A3667" w:rsidRDefault="00045F32">
      <w:pPr>
        <w:spacing w:before="180"/>
      </w:pPr>
      <w:r>
        <w:rPr>
          <w:rFonts w:ascii="Arial" w:eastAsia="宋体" w:hAnsi="Arial" w:cs="Arial"/>
          <w:b/>
          <w:bCs/>
          <w:color w:val="000000"/>
          <w:sz w:val="20"/>
          <w:szCs w:val="20"/>
        </w:rPr>
        <w:t>Note 19.    Non-U.S. Activities</w:t>
      </w:r>
    </w:p>
    <w:p w14:paraId="71D4A5EA" w14:textId="77777777" w:rsidR="006A3667" w:rsidRDefault="00045F32">
      <w:pPr>
        <w:spacing w:before="60"/>
        <w:ind w:firstLine="450"/>
        <w:jc w:val="both"/>
      </w:pPr>
      <w:r>
        <w:rPr>
          <w:rFonts w:ascii="Arial" w:eastAsia="宋体" w:hAnsi="Arial" w:cs="Arial"/>
          <w:color w:val="000000"/>
          <w:sz w:val="20"/>
          <w:szCs w:val="20"/>
        </w:rPr>
        <w:t>We define our non-U.S. activities as tho</w:t>
      </w:r>
      <w:r>
        <w:rPr>
          <w:rFonts w:ascii="Arial" w:eastAsia="宋体" w:hAnsi="Arial" w:cs="Arial"/>
          <w:color w:val="000000"/>
          <w:sz w:val="20"/>
          <w:szCs w:val="20"/>
        </w:rPr>
        <w:t>se revenue-producing business activities that arise from clients which are generally serviced or managed outside the U.S. Due to the integrated nature of our business, precise segregation of our U.S. and non-U.S. activities is not possible.</w:t>
      </w:r>
    </w:p>
    <w:p w14:paraId="71D4A5EB" w14:textId="77777777" w:rsidR="006A3667" w:rsidRDefault="00045F32">
      <w:pPr>
        <w:spacing w:before="60"/>
        <w:ind w:firstLine="450"/>
        <w:jc w:val="both"/>
      </w:pPr>
      <w:r>
        <w:rPr>
          <w:rFonts w:ascii="Arial" w:eastAsia="宋体" w:hAnsi="Arial" w:cs="Arial"/>
          <w:color w:val="000000"/>
          <w:sz w:val="20"/>
          <w:szCs w:val="20"/>
        </w:rPr>
        <w:t>Subjective esti</w:t>
      </w:r>
      <w:r>
        <w:rPr>
          <w:rFonts w:ascii="Arial" w:eastAsia="宋体" w:hAnsi="Arial" w:cs="Arial"/>
          <w:color w:val="000000"/>
          <w:sz w:val="20"/>
          <w:szCs w:val="20"/>
        </w:rPr>
        <w:t>mates, assumptions and other judgments are applied to quantify the financial results and assets related to our non-U.S. activities, including our application of funds transfer pricing, our asset and liability management policies and our allocation of certa</w:t>
      </w:r>
      <w:r>
        <w:rPr>
          <w:rFonts w:ascii="Arial" w:eastAsia="宋体" w:hAnsi="Arial" w:cs="Arial"/>
          <w:color w:val="000000"/>
          <w:sz w:val="20"/>
          <w:szCs w:val="20"/>
        </w:rPr>
        <w:t xml:space="preserve">in indirect corporate expenses. Management periodically reviews and updates its processes for quantifying the financial results and assets related to our non-U.S. activities. </w:t>
      </w:r>
    </w:p>
    <w:p w14:paraId="71D4A5EC" w14:textId="77777777" w:rsidR="006A3667" w:rsidRDefault="00045F32">
      <w:pPr>
        <w:spacing w:before="60"/>
        <w:ind w:firstLine="450"/>
        <w:jc w:val="both"/>
      </w:pPr>
      <w:r>
        <w:rPr>
          <w:rFonts w:ascii="Arial" w:eastAsia="宋体" w:hAnsi="Arial" w:cs="Arial"/>
          <w:color w:val="000000"/>
          <w:sz w:val="20"/>
          <w:szCs w:val="20"/>
        </w:rPr>
        <w:t>The following table presents our U.S. and non-U.S. financial results for the per</w:t>
      </w:r>
      <w:r>
        <w:rPr>
          <w:rFonts w:ascii="Arial" w:eastAsia="宋体" w:hAnsi="Arial" w:cs="Arial"/>
          <w:color w:val="000000"/>
          <w:sz w:val="20"/>
          <w:szCs w:val="20"/>
        </w:rPr>
        <w:t>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881"/>
        <w:gridCol w:w="36"/>
        <w:gridCol w:w="110"/>
        <w:gridCol w:w="759"/>
        <w:gridCol w:w="36"/>
        <w:gridCol w:w="36"/>
        <w:gridCol w:w="36"/>
        <w:gridCol w:w="36"/>
        <w:gridCol w:w="109"/>
        <w:gridCol w:w="717"/>
        <w:gridCol w:w="36"/>
        <w:gridCol w:w="36"/>
        <w:gridCol w:w="36"/>
        <w:gridCol w:w="36"/>
        <w:gridCol w:w="109"/>
        <w:gridCol w:w="738"/>
        <w:gridCol w:w="36"/>
        <w:gridCol w:w="36"/>
        <w:gridCol w:w="36"/>
        <w:gridCol w:w="36"/>
        <w:gridCol w:w="110"/>
        <w:gridCol w:w="759"/>
        <w:gridCol w:w="36"/>
        <w:gridCol w:w="36"/>
        <w:gridCol w:w="36"/>
        <w:gridCol w:w="36"/>
        <w:gridCol w:w="109"/>
        <w:gridCol w:w="717"/>
        <w:gridCol w:w="36"/>
        <w:gridCol w:w="36"/>
        <w:gridCol w:w="36"/>
        <w:gridCol w:w="36"/>
        <w:gridCol w:w="109"/>
        <w:gridCol w:w="740"/>
        <w:gridCol w:w="36"/>
        <w:gridCol w:w="36"/>
        <w:gridCol w:w="36"/>
        <w:gridCol w:w="36"/>
        <w:gridCol w:w="36"/>
        <w:gridCol w:w="36"/>
        <w:gridCol w:w="36"/>
        <w:gridCol w:w="36"/>
        <w:gridCol w:w="36"/>
        <w:gridCol w:w="36"/>
        <w:gridCol w:w="36"/>
        <w:gridCol w:w="36"/>
        <w:gridCol w:w="36"/>
        <w:gridCol w:w="36"/>
        <w:gridCol w:w="36"/>
        <w:gridCol w:w="36"/>
      </w:tblGrid>
      <w:tr w:rsidR="006A3667" w14:paraId="71D4A61B" w14:textId="77777777">
        <w:tc>
          <w:tcPr>
            <w:tcW w:w="50" w:type="pct"/>
            <w:shd w:val="clear" w:color="auto" w:fill="auto"/>
            <w:vAlign w:val="bottom"/>
          </w:tcPr>
          <w:p w14:paraId="71D4A5ED" w14:textId="77777777" w:rsidR="006A3667" w:rsidRDefault="006A3667">
            <w:pPr>
              <w:rPr>
                <w:rFonts w:ascii="宋体"/>
              </w:rPr>
            </w:pPr>
          </w:p>
        </w:tc>
        <w:tc>
          <w:tcPr>
            <w:tcW w:w="1290" w:type="pct"/>
            <w:shd w:val="clear" w:color="auto" w:fill="auto"/>
            <w:vAlign w:val="bottom"/>
          </w:tcPr>
          <w:p w14:paraId="71D4A5EE" w14:textId="77777777" w:rsidR="006A3667" w:rsidRDefault="006A3667">
            <w:pPr>
              <w:rPr>
                <w:rFonts w:ascii="宋体"/>
              </w:rPr>
            </w:pPr>
          </w:p>
        </w:tc>
        <w:tc>
          <w:tcPr>
            <w:tcW w:w="5" w:type="pct"/>
            <w:shd w:val="clear" w:color="auto" w:fill="auto"/>
            <w:vAlign w:val="bottom"/>
          </w:tcPr>
          <w:p w14:paraId="71D4A5EF" w14:textId="77777777" w:rsidR="006A3667" w:rsidRDefault="006A3667">
            <w:pPr>
              <w:rPr>
                <w:rFonts w:ascii="宋体"/>
              </w:rPr>
            </w:pPr>
          </w:p>
        </w:tc>
        <w:tc>
          <w:tcPr>
            <w:tcW w:w="50" w:type="pct"/>
            <w:shd w:val="clear" w:color="auto" w:fill="auto"/>
            <w:vAlign w:val="bottom"/>
          </w:tcPr>
          <w:p w14:paraId="71D4A5F0" w14:textId="77777777" w:rsidR="006A3667" w:rsidRDefault="006A3667">
            <w:pPr>
              <w:rPr>
                <w:rFonts w:ascii="宋体"/>
              </w:rPr>
            </w:pPr>
          </w:p>
        </w:tc>
        <w:tc>
          <w:tcPr>
            <w:tcW w:w="529" w:type="pct"/>
            <w:shd w:val="clear" w:color="auto" w:fill="auto"/>
            <w:vAlign w:val="bottom"/>
          </w:tcPr>
          <w:p w14:paraId="71D4A5F1" w14:textId="77777777" w:rsidR="006A3667" w:rsidRDefault="006A3667">
            <w:pPr>
              <w:rPr>
                <w:rFonts w:ascii="宋体"/>
              </w:rPr>
            </w:pPr>
          </w:p>
        </w:tc>
        <w:tc>
          <w:tcPr>
            <w:tcW w:w="5" w:type="pct"/>
            <w:shd w:val="clear" w:color="auto" w:fill="auto"/>
            <w:vAlign w:val="bottom"/>
          </w:tcPr>
          <w:p w14:paraId="71D4A5F2" w14:textId="77777777" w:rsidR="006A3667" w:rsidRDefault="006A3667">
            <w:pPr>
              <w:rPr>
                <w:rFonts w:ascii="宋体"/>
              </w:rPr>
            </w:pPr>
          </w:p>
        </w:tc>
        <w:tc>
          <w:tcPr>
            <w:tcW w:w="5" w:type="pct"/>
            <w:shd w:val="clear" w:color="auto" w:fill="auto"/>
            <w:vAlign w:val="bottom"/>
          </w:tcPr>
          <w:p w14:paraId="71D4A5F3" w14:textId="77777777" w:rsidR="006A3667" w:rsidRDefault="006A3667">
            <w:pPr>
              <w:rPr>
                <w:rFonts w:ascii="宋体"/>
              </w:rPr>
            </w:pPr>
          </w:p>
        </w:tc>
        <w:tc>
          <w:tcPr>
            <w:tcW w:w="19" w:type="pct"/>
            <w:shd w:val="clear" w:color="auto" w:fill="auto"/>
            <w:vAlign w:val="bottom"/>
          </w:tcPr>
          <w:p w14:paraId="71D4A5F4" w14:textId="77777777" w:rsidR="006A3667" w:rsidRDefault="006A3667">
            <w:pPr>
              <w:rPr>
                <w:rFonts w:ascii="宋体"/>
              </w:rPr>
            </w:pPr>
          </w:p>
        </w:tc>
        <w:tc>
          <w:tcPr>
            <w:tcW w:w="5" w:type="pct"/>
            <w:shd w:val="clear" w:color="auto" w:fill="auto"/>
            <w:vAlign w:val="bottom"/>
          </w:tcPr>
          <w:p w14:paraId="71D4A5F5" w14:textId="77777777" w:rsidR="006A3667" w:rsidRDefault="006A3667">
            <w:pPr>
              <w:rPr>
                <w:rFonts w:ascii="宋体"/>
              </w:rPr>
            </w:pPr>
          </w:p>
        </w:tc>
        <w:tc>
          <w:tcPr>
            <w:tcW w:w="50" w:type="pct"/>
            <w:shd w:val="clear" w:color="auto" w:fill="auto"/>
            <w:vAlign w:val="bottom"/>
          </w:tcPr>
          <w:p w14:paraId="71D4A5F6" w14:textId="77777777" w:rsidR="006A3667" w:rsidRDefault="006A3667">
            <w:pPr>
              <w:rPr>
                <w:rFonts w:ascii="宋体"/>
              </w:rPr>
            </w:pPr>
          </w:p>
        </w:tc>
        <w:tc>
          <w:tcPr>
            <w:tcW w:w="529" w:type="pct"/>
            <w:shd w:val="clear" w:color="auto" w:fill="auto"/>
            <w:vAlign w:val="bottom"/>
          </w:tcPr>
          <w:p w14:paraId="71D4A5F7" w14:textId="77777777" w:rsidR="006A3667" w:rsidRDefault="006A3667">
            <w:pPr>
              <w:rPr>
                <w:rFonts w:ascii="宋体"/>
              </w:rPr>
            </w:pPr>
          </w:p>
        </w:tc>
        <w:tc>
          <w:tcPr>
            <w:tcW w:w="5" w:type="pct"/>
            <w:shd w:val="clear" w:color="auto" w:fill="auto"/>
            <w:vAlign w:val="bottom"/>
          </w:tcPr>
          <w:p w14:paraId="71D4A5F8" w14:textId="77777777" w:rsidR="006A3667" w:rsidRDefault="006A3667">
            <w:pPr>
              <w:rPr>
                <w:rFonts w:ascii="宋体"/>
              </w:rPr>
            </w:pPr>
          </w:p>
        </w:tc>
        <w:tc>
          <w:tcPr>
            <w:tcW w:w="5" w:type="pct"/>
            <w:shd w:val="clear" w:color="auto" w:fill="auto"/>
            <w:vAlign w:val="bottom"/>
          </w:tcPr>
          <w:p w14:paraId="71D4A5F9" w14:textId="77777777" w:rsidR="006A3667" w:rsidRDefault="006A3667">
            <w:pPr>
              <w:rPr>
                <w:rFonts w:ascii="宋体"/>
              </w:rPr>
            </w:pPr>
          </w:p>
        </w:tc>
        <w:tc>
          <w:tcPr>
            <w:tcW w:w="19" w:type="pct"/>
            <w:shd w:val="clear" w:color="auto" w:fill="auto"/>
            <w:vAlign w:val="bottom"/>
          </w:tcPr>
          <w:p w14:paraId="71D4A5FA" w14:textId="77777777" w:rsidR="006A3667" w:rsidRDefault="006A3667">
            <w:pPr>
              <w:rPr>
                <w:rFonts w:ascii="宋体"/>
              </w:rPr>
            </w:pPr>
          </w:p>
        </w:tc>
        <w:tc>
          <w:tcPr>
            <w:tcW w:w="5" w:type="pct"/>
            <w:shd w:val="clear" w:color="auto" w:fill="auto"/>
            <w:vAlign w:val="bottom"/>
          </w:tcPr>
          <w:p w14:paraId="71D4A5FB" w14:textId="77777777" w:rsidR="006A3667" w:rsidRDefault="006A3667">
            <w:pPr>
              <w:rPr>
                <w:rFonts w:ascii="宋体"/>
              </w:rPr>
            </w:pPr>
          </w:p>
        </w:tc>
        <w:tc>
          <w:tcPr>
            <w:tcW w:w="50" w:type="pct"/>
            <w:shd w:val="clear" w:color="auto" w:fill="auto"/>
            <w:vAlign w:val="bottom"/>
          </w:tcPr>
          <w:p w14:paraId="71D4A5FC" w14:textId="77777777" w:rsidR="006A3667" w:rsidRDefault="006A3667">
            <w:pPr>
              <w:rPr>
                <w:rFonts w:ascii="宋体"/>
              </w:rPr>
            </w:pPr>
          </w:p>
        </w:tc>
        <w:tc>
          <w:tcPr>
            <w:tcW w:w="529" w:type="pct"/>
            <w:shd w:val="clear" w:color="auto" w:fill="auto"/>
            <w:vAlign w:val="bottom"/>
          </w:tcPr>
          <w:p w14:paraId="71D4A5FD" w14:textId="77777777" w:rsidR="006A3667" w:rsidRDefault="006A3667">
            <w:pPr>
              <w:rPr>
                <w:rFonts w:ascii="宋体"/>
              </w:rPr>
            </w:pPr>
          </w:p>
        </w:tc>
        <w:tc>
          <w:tcPr>
            <w:tcW w:w="5" w:type="pct"/>
            <w:shd w:val="clear" w:color="auto" w:fill="auto"/>
            <w:vAlign w:val="bottom"/>
          </w:tcPr>
          <w:p w14:paraId="71D4A5FE" w14:textId="77777777" w:rsidR="006A3667" w:rsidRDefault="006A3667">
            <w:pPr>
              <w:rPr>
                <w:rFonts w:ascii="宋体"/>
              </w:rPr>
            </w:pPr>
          </w:p>
        </w:tc>
        <w:tc>
          <w:tcPr>
            <w:tcW w:w="5" w:type="pct"/>
            <w:shd w:val="clear" w:color="auto" w:fill="auto"/>
            <w:vAlign w:val="bottom"/>
          </w:tcPr>
          <w:p w14:paraId="71D4A5FF" w14:textId="77777777" w:rsidR="006A3667" w:rsidRDefault="006A3667">
            <w:pPr>
              <w:rPr>
                <w:rFonts w:ascii="宋体"/>
              </w:rPr>
            </w:pPr>
          </w:p>
        </w:tc>
        <w:tc>
          <w:tcPr>
            <w:tcW w:w="19" w:type="pct"/>
            <w:shd w:val="clear" w:color="auto" w:fill="auto"/>
            <w:vAlign w:val="bottom"/>
          </w:tcPr>
          <w:p w14:paraId="71D4A600" w14:textId="77777777" w:rsidR="006A3667" w:rsidRDefault="006A3667">
            <w:pPr>
              <w:rPr>
                <w:rFonts w:ascii="宋体"/>
              </w:rPr>
            </w:pPr>
          </w:p>
        </w:tc>
        <w:tc>
          <w:tcPr>
            <w:tcW w:w="5" w:type="pct"/>
            <w:shd w:val="clear" w:color="auto" w:fill="auto"/>
            <w:vAlign w:val="bottom"/>
          </w:tcPr>
          <w:p w14:paraId="71D4A601" w14:textId="77777777" w:rsidR="006A3667" w:rsidRDefault="006A3667">
            <w:pPr>
              <w:rPr>
                <w:rFonts w:ascii="宋体"/>
              </w:rPr>
            </w:pPr>
          </w:p>
        </w:tc>
        <w:tc>
          <w:tcPr>
            <w:tcW w:w="50" w:type="pct"/>
            <w:shd w:val="clear" w:color="auto" w:fill="auto"/>
            <w:vAlign w:val="bottom"/>
          </w:tcPr>
          <w:p w14:paraId="71D4A602" w14:textId="77777777" w:rsidR="006A3667" w:rsidRDefault="006A3667">
            <w:pPr>
              <w:rPr>
                <w:rFonts w:ascii="宋体"/>
              </w:rPr>
            </w:pPr>
          </w:p>
        </w:tc>
        <w:tc>
          <w:tcPr>
            <w:tcW w:w="529" w:type="pct"/>
            <w:shd w:val="clear" w:color="auto" w:fill="auto"/>
            <w:vAlign w:val="bottom"/>
          </w:tcPr>
          <w:p w14:paraId="71D4A603" w14:textId="77777777" w:rsidR="006A3667" w:rsidRDefault="006A3667">
            <w:pPr>
              <w:rPr>
                <w:rFonts w:ascii="宋体"/>
              </w:rPr>
            </w:pPr>
          </w:p>
        </w:tc>
        <w:tc>
          <w:tcPr>
            <w:tcW w:w="5" w:type="pct"/>
            <w:shd w:val="clear" w:color="auto" w:fill="auto"/>
            <w:vAlign w:val="bottom"/>
          </w:tcPr>
          <w:p w14:paraId="71D4A604" w14:textId="77777777" w:rsidR="006A3667" w:rsidRDefault="006A3667">
            <w:pPr>
              <w:rPr>
                <w:rFonts w:ascii="宋体"/>
              </w:rPr>
            </w:pPr>
          </w:p>
        </w:tc>
        <w:tc>
          <w:tcPr>
            <w:tcW w:w="5" w:type="pct"/>
            <w:shd w:val="clear" w:color="auto" w:fill="auto"/>
            <w:vAlign w:val="bottom"/>
          </w:tcPr>
          <w:p w14:paraId="71D4A605" w14:textId="77777777" w:rsidR="006A3667" w:rsidRDefault="006A3667">
            <w:pPr>
              <w:rPr>
                <w:rFonts w:ascii="宋体"/>
              </w:rPr>
            </w:pPr>
          </w:p>
        </w:tc>
        <w:tc>
          <w:tcPr>
            <w:tcW w:w="19" w:type="pct"/>
            <w:shd w:val="clear" w:color="auto" w:fill="auto"/>
            <w:vAlign w:val="bottom"/>
          </w:tcPr>
          <w:p w14:paraId="71D4A606" w14:textId="77777777" w:rsidR="006A3667" w:rsidRDefault="006A3667">
            <w:pPr>
              <w:rPr>
                <w:rFonts w:ascii="宋体"/>
              </w:rPr>
            </w:pPr>
          </w:p>
        </w:tc>
        <w:tc>
          <w:tcPr>
            <w:tcW w:w="5" w:type="pct"/>
            <w:shd w:val="clear" w:color="auto" w:fill="auto"/>
            <w:vAlign w:val="bottom"/>
          </w:tcPr>
          <w:p w14:paraId="71D4A607" w14:textId="77777777" w:rsidR="006A3667" w:rsidRDefault="006A3667">
            <w:pPr>
              <w:rPr>
                <w:rFonts w:ascii="宋体"/>
              </w:rPr>
            </w:pPr>
          </w:p>
        </w:tc>
        <w:tc>
          <w:tcPr>
            <w:tcW w:w="50" w:type="pct"/>
            <w:shd w:val="clear" w:color="auto" w:fill="auto"/>
            <w:vAlign w:val="bottom"/>
          </w:tcPr>
          <w:p w14:paraId="71D4A608" w14:textId="77777777" w:rsidR="006A3667" w:rsidRDefault="006A3667">
            <w:pPr>
              <w:rPr>
                <w:rFonts w:ascii="宋体"/>
              </w:rPr>
            </w:pPr>
          </w:p>
        </w:tc>
        <w:tc>
          <w:tcPr>
            <w:tcW w:w="529" w:type="pct"/>
            <w:shd w:val="clear" w:color="auto" w:fill="auto"/>
            <w:vAlign w:val="bottom"/>
          </w:tcPr>
          <w:p w14:paraId="71D4A609" w14:textId="77777777" w:rsidR="006A3667" w:rsidRDefault="006A3667">
            <w:pPr>
              <w:rPr>
                <w:rFonts w:ascii="宋体"/>
              </w:rPr>
            </w:pPr>
          </w:p>
        </w:tc>
        <w:tc>
          <w:tcPr>
            <w:tcW w:w="5" w:type="pct"/>
            <w:shd w:val="clear" w:color="auto" w:fill="auto"/>
            <w:vAlign w:val="bottom"/>
          </w:tcPr>
          <w:p w14:paraId="71D4A60A" w14:textId="77777777" w:rsidR="006A3667" w:rsidRDefault="006A3667">
            <w:pPr>
              <w:rPr>
                <w:rFonts w:ascii="宋体"/>
              </w:rPr>
            </w:pPr>
          </w:p>
        </w:tc>
        <w:tc>
          <w:tcPr>
            <w:tcW w:w="5" w:type="pct"/>
            <w:shd w:val="clear" w:color="auto" w:fill="auto"/>
            <w:vAlign w:val="bottom"/>
          </w:tcPr>
          <w:p w14:paraId="71D4A60B" w14:textId="77777777" w:rsidR="006A3667" w:rsidRDefault="006A3667">
            <w:pPr>
              <w:rPr>
                <w:rFonts w:ascii="宋体"/>
              </w:rPr>
            </w:pPr>
          </w:p>
        </w:tc>
        <w:tc>
          <w:tcPr>
            <w:tcW w:w="19" w:type="pct"/>
            <w:shd w:val="clear" w:color="auto" w:fill="auto"/>
            <w:vAlign w:val="bottom"/>
          </w:tcPr>
          <w:p w14:paraId="71D4A60C" w14:textId="77777777" w:rsidR="006A3667" w:rsidRDefault="006A3667">
            <w:pPr>
              <w:rPr>
                <w:rFonts w:ascii="宋体"/>
              </w:rPr>
            </w:pPr>
          </w:p>
        </w:tc>
        <w:tc>
          <w:tcPr>
            <w:tcW w:w="5" w:type="pct"/>
            <w:shd w:val="clear" w:color="auto" w:fill="auto"/>
            <w:vAlign w:val="bottom"/>
          </w:tcPr>
          <w:p w14:paraId="71D4A60D" w14:textId="77777777" w:rsidR="006A3667" w:rsidRDefault="006A3667">
            <w:pPr>
              <w:rPr>
                <w:rFonts w:ascii="宋体"/>
              </w:rPr>
            </w:pPr>
          </w:p>
        </w:tc>
        <w:tc>
          <w:tcPr>
            <w:tcW w:w="50" w:type="pct"/>
            <w:shd w:val="clear" w:color="auto" w:fill="auto"/>
            <w:vAlign w:val="bottom"/>
          </w:tcPr>
          <w:p w14:paraId="71D4A60E" w14:textId="77777777" w:rsidR="006A3667" w:rsidRDefault="006A3667">
            <w:pPr>
              <w:rPr>
                <w:rFonts w:ascii="宋体"/>
              </w:rPr>
            </w:pPr>
          </w:p>
        </w:tc>
        <w:tc>
          <w:tcPr>
            <w:tcW w:w="530" w:type="pct"/>
            <w:shd w:val="clear" w:color="auto" w:fill="auto"/>
            <w:vAlign w:val="bottom"/>
          </w:tcPr>
          <w:p w14:paraId="71D4A60F" w14:textId="77777777" w:rsidR="006A3667" w:rsidRDefault="006A3667">
            <w:pPr>
              <w:rPr>
                <w:rFonts w:ascii="宋体"/>
              </w:rPr>
            </w:pPr>
          </w:p>
        </w:tc>
        <w:tc>
          <w:tcPr>
            <w:tcW w:w="5" w:type="pct"/>
            <w:shd w:val="clear" w:color="auto" w:fill="auto"/>
            <w:vAlign w:val="bottom"/>
          </w:tcPr>
          <w:p w14:paraId="71D4A610" w14:textId="77777777" w:rsidR="006A3667" w:rsidRDefault="006A3667">
            <w:pPr>
              <w:rPr>
                <w:rFonts w:ascii="宋体"/>
              </w:rPr>
            </w:pPr>
          </w:p>
        </w:tc>
        <w:tc>
          <w:tcPr>
            <w:tcW w:w="0" w:type="auto"/>
            <w:shd w:val="clear" w:color="auto" w:fill="auto"/>
            <w:vAlign w:val="bottom"/>
          </w:tcPr>
          <w:p w14:paraId="71D4A611" w14:textId="77777777" w:rsidR="006A3667" w:rsidRDefault="006A3667">
            <w:pPr>
              <w:rPr>
                <w:rFonts w:ascii="宋体"/>
                <w:vanish/>
              </w:rPr>
            </w:pPr>
          </w:p>
        </w:tc>
        <w:tc>
          <w:tcPr>
            <w:tcW w:w="0" w:type="auto"/>
            <w:shd w:val="clear" w:color="auto" w:fill="auto"/>
            <w:vAlign w:val="bottom"/>
          </w:tcPr>
          <w:p w14:paraId="71D4A612" w14:textId="77777777" w:rsidR="006A3667" w:rsidRDefault="006A3667">
            <w:pPr>
              <w:rPr>
                <w:rFonts w:ascii="宋体"/>
                <w:vanish/>
              </w:rPr>
            </w:pPr>
          </w:p>
        </w:tc>
        <w:tc>
          <w:tcPr>
            <w:tcW w:w="0" w:type="auto"/>
            <w:shd w:val="clear" w:color="auto" w:fill="auto"/>
            <w:vAlign w:val="bottom"/>
          </w:tcPr>
          <w:p w14:paraId="71D4A613" w14:textId="77777777" w:rsidR="006A3667" w:rsidRDefault="006A3667">
            <w:pPr>
              <w:rPr>
                <w:rFonts w:ascii="宋体"/>
                <w:vanish/>
              </w:rPr>
            </w:pPr>
          </w:p>
        </w:tc>
        <w:tc>
          <w:tcPr>
            <w:tcW w:w="0" w:type="auto"/>
            <w:shd w:val="clear" w:color="auto" w:fill="auto"/>
            <w:vAlign w:val="bottom"/>
          </w:tcPr>
          <w:p w14:paraId="71D4A614" w14:textId="77777777" w:rsidR="006A3667" w:rsidRDefault="006A3667">
            <w:pPr>
              <w:rPr>
                <w:rFonts w:ascii="宋体"/>
                <w:vanish/>
              </w:rPr>
            </w:pPr>
          </w:p>
        </w:tc>
        <w:tc>
          <w:tcPr>
            <w:tcW w:w="0" w:type="auto"/>
            <w:shd w:val="clear" w:color="auto" w:fill="auto"/>
            <w:vAlign w:val="bottom"/>
          </w:tcPr>
          <w:p w14:paraId="71D4A615" w14:textId="77777777" w:rsidR="006A3667" w:rsidRDefault="006A3667">
            <w:pPr>
              <w:rPr>
                <w:rFonts w:ascii="宋体"/>
                <w:vanish/>
              </w:rPr>
            </w:pPr>
          </w:p>
        </w:tc>
        <w:tc>
          <w:tcPr>
            <w:tcW w:w="0" w:type="auto"/>
            <w:shd w:val="clear" w:color="auto" w:fill="auto"/>
            <w:vAlign w:val="bottom"/>
          </w:tcPr>
          <w:p w14:paraId="71D4A616" w14:textId="77777777" w:rsidR="006A3667" w:rsidRDefault="006A3667">
            <w:pPr>
              <w:rPr>
                <w:rFonts w:ascii="宋体"/>
                <w:vanish/>
              </w:rPr>
            </w:pPr>
          </w:p>
        </w:tc>
        <w:tc>
          <w:tcPr>
            <w:tcW w:w="0" w:type="auto"/>
            <w:gridSpan w:val="3"/>
            <w:shd w:val="clear" w:color="auto" w:fill="auto"/>
            <w:vAlign w:val="bottom"/>
          </w:tcPr>
          <w:p w14:paraId="71D4A617" w14:textId="77777777" w:rsidR="006A3667" w:rsidRDefault="006A3667">
            <w:pPr>
              <w:rPr>
                <w:rFonts w:ascii="宋体"/>
                <w:vanish/>
              </w:rPr>
            </w:pPr>
          </w:p>
        </w:tc>
        <w:tc>
          <w:tcPr>
            <w:tcW w:w="0" w:type="auto"/>
            <w:gridSpan w:val="3"/>
            <w:shd w:val="clear" w:color="auto" w:fill="auto"/>
            <w:vAlign w:val="bottom"/>
          </w:tcPr>
          <w:p w14:paraId="71D4A618" w14:textId="77777777" w:rsidR="006A3667" w:rsidRDefault="006A3667">
            <w:pPr>
              <w:rPr>
                <w:rFonts w:ascii="宋体"/>
                <w:vanish/>
              </w:rPr>
            </w:pPr>
          </w:p>
        </w:tc>
        <w:tc>
          <w:tcPr>
            <w:tcW w:w="0" w:type="auto"/>
            <w:gridSpan w:val="2"/>
            <w:shd w:val="clear" w:color="auto" w:fill="auto"/>
            <w:vAlign w:val="bottom"/>
          </w:tcPr>
          <w:p w14:paraId="71D4A619" w14:textId="77777777" w:rsidR="006A3667" w:rsidRDefault="006A3667">
            <w:pPr>
              <w:rPr>
                <w:rFonts w:ascii="宋体"/>
                <w:vanish/>
              </w:rPr>
            </w:pPr>
          </w:p>
        </w:tc>
        <w:tc>
          <w:tcPr>
            <w:tcW w:w="0" w:type="auto"/>
            <w:shd w:val="clear" w:color="auto" w:fill="auto"/>
            <w:vAlign w:val="bottom"/>
          </w:tcPr>
          <w:p w14:paraId="71D4A61A" w14:textId="77777777" w:rsidR="006A3667" w:rsidRDefault="006A3667">
            <w:pPr>
              <w:rPr>
                <w:rFonts w:ascii="宋体"/>
                <w:vanish/>
              </w:rPr>
            </w:pPr>
          </w:p>
        </w:tc>
      </w:tr>
      <w:tr w:rsidR="006A3667" w14:paraId="71D4A628" w14:textId="77777777">
        <w:tc>
          <w:tcPr>
            <w:tcW w:w="0" w:type="auto"/>
            <w:gridSpan w:val="3"/>
            <w:shd w:val="clear" w:color="auto" w:fill="auto"/>
            <w:tcMar>
              <w:top w:w="0" w:type="dxa"/>
              <w:left w:w="20" w:type="dxa"/>
              <w:bottom w:w="0" w:type="dxa"/>
              <w:right w:w="20" w:type="dxa"/>
            </w:tcMar>
            <w:vAlign w:val="bottom"/>
          </w:tcPr>
          <w:p w14:paraId="71D4A61C" w14:textId="77777777" w:rsidR="006A3667" w:rsidRDefault="006A3667">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1D4A61D" w14:textId="77777777" w:rsidR="006A3667" w:rsidRDefault="00045F32">
            <w:pPr>
              <w:jc w:val="center"/>
              <w:textAlignment w:val="bottom"/>
            </w:pPr>
            <w:r>
              <w:rPr>
                <w:rFonts w:ascii="Arial" w:eastAsia="宋体" w:hAnsi="Arial" w:cs="Arial"/>
                <w:b/>
                <w:bCs/>
                <w:color w:val="000000"/>
                <w:sz w:val="16"/>
                <w:szCs w:val="16"/>
              </w:rPr>
              <w:t>Three Months Ended September 30,</w:t>
            </w:r>
          </w:p>
        </w:tc>
        <w:tc>
          <w:tcPr>
            <w:tcW w:w="0" w:type="auto"/>
            <w:shd w:val="clear" w:color="auto" w:fill="auto"/>
            <w:vAlign w:val="bottom"/>
          </w:tcPr>
          <w:p w14:paraId="71D4A61E" w14:textId="77777777" w:rsidR="006A3667" w:rsidRDefault="006A3667">
            <w:pPr>
              <w:rPr>
                <w:rFonts w:ascii="宋体"/>
                <w:vanish/>
              </w:rPr>
            </w:pPr>
          </w:p>
        </w:tc>
        <w:tc>
          <w:tcPr>
            <w:tcW w:w="0" w:type="auto"/>
            <w:shd w:val="clear" w:color="auto" w:fill="auto"/>
            <w:vAlign w:val="bottom"/>
          </w:tcPr>
          <w:p w14:paraId="71D4A61F" w14:textId="77777777" w:rsidR="006A3667" w:rsidRDefault="006A3667">
            <w:pPr>
              <w:rPr>
                <w:rFonts w:ascii="宋体"/>
                <w:vanish/>
              </w:rPr>
            </w:pPr>
          </w:p>
        </w:tc>
        <w:tc>
          <w:tcPr>
            <w:tcW w:w="0" w:type="auto"/>
            <w:shd w:val="clear" w:color="auto" w:fill="auto"/>
            <w:vAlign w:val="bottom"/>
          </w:tcPr>
          <w:p w14:paraId="71D4A620" w14:textId="77777777" w:rsidR="006A3667" w:rsidRDefault="006A3667">
            <w:pPr>
              <w:rPr>
                <w:rFonts w:ascii="宋体"/>
                <w:vanish/>
              </w:rPr>
            </w:pPr>
          </w:p>
        </w:tc>
        <w:tc>
          <w:tcPr>
            <w:tcW w:w="0" w:type="auto"/>
            <w:shd w:val="clear" w:color="auto" w:fill="auto"/>
            <w:vAlign w:val="bottom"/>
          </w:tcPr>
          <w:p w14:paraId="71D4A621" w14:textId="77777777" w:rsidR="006A3667" w:rsidRDefault="006A3667">
            <w:pPr>
              <w:rPr>
                <w:rFonts w:ascii="宋体"/>
                <w:vanish/>
              </w:rPr>
            </w:pPr>
          </w:p>
        </w:tc>
        <w:tc>
          <w:tcPr>
            <w:tcW w:w="0" w:type="auto"/>
            <w:shd w:val="clear" w:color="auto" w:fill="auto"/>
            <w:vAlign w:val="bottom"/>
          </w:tcPr>
          <w:p w14:paraId="71D4A622" w14:textId="77777777" w:rsidR="006A3667" w:rsidRDefault="006A3667">
            <w:pPr>
              <w:rPr>
                <w:rFonts w:ascii="宋体"/>
                <w:vanish/>
              </w:rPr>
            </w:pPr>
          </w:p>
        </w:tc>
        <w:tc>
          <w:tcPr>
            <w:tcW w:w="0" w:type="auto"/>
            <w:shd w:val="clear" w:color="auto" w:fill="auto"/>
            <w:vAlign w:val="bottom"/>
          </w:tcPr>
          <w:p w14:paraId="71D4A623" w14:textId="77777777" w:rsidR="006A3667" w:rsidRDefault="006A3667">
            <w:pPr>
              <w:rPr>
                <w:rFonts w:ascii="宋体"/>
                <w:vanish/>
              </w:rPr>
            </w:pPr>
          </w:p>
        </w:tc>
        <w:tc>
          <w:tcPr>
            <w:tcW w:w="0" w:type="auto"/>
            <w:gridSpan w:val="3"/>
            <w:shd w:val="clear" w:color="auto" w:fill="auto"/>
            <w:vAlign w:val="bottom"/>
          </w:tcPr>
          <w:p w14:paraId="71D4A624" w14:textId="77777777" w:rsidR="006A3667" w:rsidRDefault="006A3667">
            <w:pPr>
              <w:rPr>
                <w:rFonts w:ascii="宋体"/>
                <w:vanish/>
              </w:rPr>
            </w:pPr>
          </w:p>
        </w:tc>
        <w:tc>
          <w:tcPr>
            <w:tcW w:w="0" w:type="auto"/>
            <w:gridSpan w:val="3"/>
            <w:shd w:val="clear" w:color="auto" w:fill="auto"/>
            <w:vAlign w:val="bottom"/>
          </w:tcPr>
          <w:p w14:paraId="71D4A625" w14:textId="77777777" w:rsidR="006A3667" w:rsidRDefault="006A3667">
            <w:pPr>
              <w:rPr>
                <w:rFonts w:ascii="宋体"/>
                <w:vanish/>
              </w:rPr>
            </w:pPr>
          </w:p>
        </w:tc>
        <w:tc>
          <w:tcPr>
            <w:tcW w:w="0" w:type="auto"/>
            <w:gridSpan w:val="2"/>
            <w:shd w:val="clear" w:color="auto" w:fill="auto"/>
            <w:vAlign w:val="bottom"/>
          </w:tcPr>
          <w:p w14:paraId="71D4A626" w14:textId="77777777" w:rsidR="006A3667" w:rsidRDefault="006A3667">
            <w:pPr>
              <w:rPr>
                <w:rFonts w:ascii="宋体"/>
                <w:vanish/>
              </w:rPr>
            </w:pPr>
          </w:p>
        </w:tc>
        <w:tc>
          <w:tcPr>
            <w:tcW w:w="0" w:type="auto"/>
            <w:shd w:val="clear" w:color="auto" w:fill="auto"/>
            <w:vAlign w:val="bottom"/>
          </w:tcPr>
          <w:p w14:paraId="71D4A627" w14:textId="77777777" w:rsidR="006A3667" w:rsidRDefault="006A3667">
            <w:pPr>
              <w:rPr>
                <w:rFonts w:ascii="宋体"/>
                <w:vanish/>
              </w:rPr>
            </w:pPr>
          </w:p>
        </w:tc>
      </w:tr>
      <w:tr w:rsidR="006A3667" w14:paraId="71D4A637" w14:textId="77777777">
        <w:tc>
          <w:tcPr>
            <w:tcW w:w="0" w:type="auto"/>
            <w:gridSpan w:val="3"/>
            <w:shd w:val="clear" w:color="auto" w:fill="auto"/>
            <w:tcMar>
              <w:top w:w="0" w:type="dxa"/>
              <w:left w:w="20" w:type="dxa"/>
              <w:bottom w:w="0" w:type="dxa"/>
              <w:right w:w="20" w:type="dxa"/>
            </w:tcMar>
            <w:vAlign w:val="bottom"/>
          </w:tcPr>
          <w:p w14:paraId="71D4A629"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A62A" w14:textId="77777777" w:rsidR="006A3667" w:rsidRDefault="00045F32">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2B"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A62C" w14:textId="77777777" w:rsidR="006A3667" w:rsidRDefault="00045F32">
            <w:pPr>
              <w:jc w:val="center"/>
              <w:textAlignment w:val="bottom"/>
            </w:pPr>
            <w:r>
              <w:rPr>
                <w:rFonts w:ascii="Arial" w:eastAsia="宋体" w:hAnsi="Arial" w:cs="Arial"/>
                <w:b/>
                <w:bCs/>
                <w:color w:val="000000"/>
                <w:sz w:val="16"/>
                <w:szCs w:val="16"/>
              </w:rPr>
              <w:t>2021</w:t>
            </w:r>
          </w:p>
        </w:tc>
        <w:tc>
          <w:tcPr>
            <w:tcW w:w="0" w:type="auto"/>
            <w:shd w:val="clear" w:color="auto" w:fill="auto"/>
            <w:vAlign w:val="bottom"/>
          </w:tcPr>
          <w:p w14:paraId="71D4A62D" w14:textId="77777777" w:rsidR="006A3667" w:rsidRDefault="006A3667">
            <w:pPr>
              <w:rPr>
                <w:rFonts w:ascii="宋体"/>
                <w:vanish/>
              </w:rPr>
            </w:pPr>
          </w:p>
        </w:tc>
        <w:tc>
          <w:tcPr>
            <w:tcW w:w="0" w:type="auto"/>
            <w:shd w:val="clear" w:color="auto" w:fill="auto"/>
            <w:vAlign w:val="bottom"/>
          </w:tcPr>
          <w:p w14:paraId="71D4A62E" w14:textId="77777777" w:rsidR="006A3667" w:rsidRDefault="006A3667">
            <w:pPr>
              <w:rPr>
                <w:rFonts w:ascii="宋体"/>
                <w:vanish/>
              </w:rPr>
            </w:pPr>
          </w:p>
        </w:tc>
        <w:tc>
          <w:tcPr>
            <w:tcW w:w="0" w:type="auto"/>
            <w:shd w:val="clear" w:color="auto" w:fill="auto"/>
            <w:vAlign w:val="bottom"/>
          </w:tcPr>
          <w:p w14:paraId="71D4A62F" w14:textId="77777777" w:rsidR="006A3667" w:rsidRDefault="006A3667">
            <w:pPr>
              <w:rPr>
                <w:rFonts w:ascii="宋体"/>
                <w:vanish/>
              </w:rPr>
            </w:pPr>
          </w:p>
        </w:tc>
        <w:tc>
          <w:tcPr>
            <w:tcW w:w="0" w:type="auto"/>
            <w:shd w:val="clear" w:color="auto" w:fill="auto"/>
            <w:vAlign w:val="bottom"/>
          </w:tcPr>
          <w:p w14:paraId="71D4A630" w14:textId="77777777" w:rsidR="006A3667" w:rsidRDefault="006A3667">
            <w:pPr>
              <w:rPr>
                <w:rFonts w:ascii="宋体"/>
                <w:vanish/>
              </w:rPr>
            </w:pPr>
          </w:p>
        </w:tc>
        <w:tc>
          <w:tcPr>
            <w:tcW w:w="0" w:type="auto"/>
            <w:shd w:val="clear" w:color="auto" w:fill="auto"/>
            <w:vAlign w:val="bottom"/>
          </w:tcPr>
          <w:p w14:paraId="71D4A631" w14:textId="77777777" w:rsidR="006A3667" w:rsidRDefault="006A3667">
            <w:pPr>
              <w:rPr>
                <w:rFonts w:ascii="宋体"/>
                <w:vanish/>
              </w:rPr>
            </w:pPr>
          </w:p>
        </w:tc>
        <w:tc>
          <w:tcPr>
            <w:tcW w:w="0" w:type="auto"/>
            <w:shd w:val="clear" w:color="auto" w:fill="auto"/>
            <w:vAlign w:val="bottom"/>
          </w:tcPr>
          <w:p w14:paraId="71D4A632" w14:textId="77777777" w:rsidR="006A3667" w:rsidRDefault="006A3667">
            <w:pPr>
              <w:rPr>
                <w:rFonts w:ascii="宋体"/>
                <w:vanish/>
              </w:rPr>
            </w:pPr>
          </w:p>
        </w:tc>
        <w:tc>
          <w:tcPr>
            <w:tcW w:w="0" w:type="auto"/>
            <w:gridSpan w:val="3"/>
            <w:shd w:val="clear" w:color="auto" w:fill="auto"/>
            <w:vAlign w:val="bottom"/>
          </w:tcPr>
          <w:p w14:paraId="71D4A633" w14:textId="77777777" w:rsidR="006A3667" w:rsidRDefault="006A3667">
            <w:pPr>
              <w:rPr>
                <w:rFonts w:ascii="宋体"/>
                <w:vanish/>
              </w:rPr>
            </w:pPr>
          </w:p>
        </w:tc>
        <w:tc>
          <w:tcPr>
            <w:tcW w:w="0" w:type="auto"/>
            <w:gridSpan w:val="3"/>
            <w:shd w:val="clear" w:color="auto" w:fill="auto"/>
            <w:vAlign w:val="bottom"/>
          </w:tcPr>
          <w:p w14:paraId="71D4A634" w14:textId="77777777" w:rsidR="006A3667" w:rsidRDefault="006A3667">
            <w:pPr>
              <w:rPr>
                <w:rFonts w:ascii="宋体"/>
                <w:vanish/>
              </w:rPr>
            </w:pPr>
          </w:p>
        </w:tc>
        <w:tc>
          <w:tcPr>
            <w:tcW w:w="0" w:type="auto"/>
            <w:gridSpan w:val="2"/>
            <w:shd w:val="clear" w:color="auto" w:fill="auto"/>
            <w:vAlign w:val="bottom"/>
          </w:tcPr>
          <w:p w14:paraId="71D4A635" w14:textId="77777777" w:rsidR="006A3667" w:rsidRDefault="006A3667">
            <w:pPr>
              <w:rPr>
                <w:rFonts w:ascii="宋体"/>
                <w:vanish/>
              </w:rPr>
            </w:pPr>
          </w:p>
        </w:tc>
        <w:tc>
          <w:tcPr>
            <w:tcW w:w="0" w:type="auto"/>
            <w:shd w:val="clear" w:color="auto" w:fill="auto"/>
            <w:vAlign w:val="bottom"/>
          </w:tcPr>
          <w:p w14:paraId="71D4A636" w14:textId="77777777" w:rsidR="006A3667" w:rsidRDefault="006A3667">
            <w:pPr>
              <w:rPr>
                <w:rFonts w:ascii="宋体"/>
                <w:vanish/>
              </w:rPr>
            </w:pPr>
          </w:p>
        </w:tc>
      </w:tr>
      <w:tr w:rsidR="006A3667" w14:paraId="71D4A64E" w14:textId="77777777">
        <w:tc>
          <w:tcPr>
            <w:tcW w:w="0" w:type="auto"/>
            <w:gridSpan w:val="3"/>
            <w:shd w:val="clear" w:color="auto" w:fill="auto"/>
            <w:tcMar>
              <w:top w:w="40" w:type="dxa"/>
              <w:left w:w="20" w:type="dxa"/>
              <w:bottom w:w="40" w:type="dxa"/>
              <w:right w:w="20" w:type="dxa"/>
            </w:tcMar>
            <w:vAlign w:val="bottom"/>
          </w:tcPr>
          <w:p w14:paraId="71D4A638" w14:textId="77777777" w:rsidR="006A3667" w:rsidRDefault="00045F32">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39" w14:textId="77777777" w:rsidR="006A3667" w:rsidRDefault="00045F32">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3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3B" w14:textId="77777777" w:rsidR="006A3667" w:rsidRDefault="00045F32">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3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3D" w14:textId="77777777" w:rsidR="006A3667" w:rsidRDefault="00045F32">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71D4A63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3F" w14:textId="77777777" w:rsidR="006A3667" w:rsidRDefault="00045F32">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4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41" w14:textId="77777777" w:rsidR="006A3667" w:rsidRDefault="00045F32">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4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43" w14:textId="77777777" w:rsidR="006A3667" w:rsidRDefault="00045F32">
            <w:pPr>
              <w:jc w:val="center"/>
              <w:textAlignment w:val="bottom"/>
            </w:pPr>
            <w:r>
              <w:rPr>
                <w:rFonts w:ascii="Arial" w:eastAsia="宋体" w:hAnsi="Arial" w:cs="Arial"/>
                <w:b/>
                <w:bCs/>
                <w:color w:val="000000"/>
                <w:sz w:val="16"/>
                <w:szCs w:val="16"/>
              </w:rPr>
              <w:t>Total</w:t>
            </w:r>
          </w:p>
        </w:tc>
        <w:tc>
          <w:tcPr>
            <w:tcW w:w="0" w:type="auto"/>
            <w:shd w:val="clear" w:color="auto" w:fill="auto"/>
            <w:vAlign w:val="bottom"/>
          </w:tcPr>
          <w:p w14:paraId="71D4A644" w14:textId="77777777" w:rsidR="006A3667" w:rsidRDefault="006A3667">
            <w:pPr>
              <w:rPr>
                <w:rFonts w:ascii="宋体"/>
                <w:vanish/>
              </w:rPr>
            </w:pPr>
          </w:p>
        </w:tc>
        <w:tc>
          <w:tcPr>
            <w:tcW w:w="0" w:type="auto"/>
            <w:shd w:val="clear" w:color="auto" w:fill="auto"/>
            <w:vAlign w:val="bottom"/>
          </w:tcPr>
          <w:p w14:paraId="71D4A645" w14:textId="77777777" w:rsidR="006A3667" w:rsidRDefault="006A3667">
            <w:pPr>
              <w:rPr>
                <w:rFonts w:ascii="宋体"/>
                <w:vanish/>
              </w:rPr>
            </w:pPr>
          </w:p>
        </w:tc>
        <w:tc>
          <w:tcPr>
            <w:tcW w:w="0" w:type="auto"/>
            <w:shd w:val="clear" w:color="auto" w:fill="auto"/>
            <w:vAlign w:val="bottom"/>
          </w:tcPr>
          <w:p w14:paraId="71D4A646" w14:textId="77777777" w:rsidR="006A3667" w:rsidRDefault="006A3667">
            <w:pPr>
              <w:rPr>
                <w:rFonts w:ascii="宋体"/>
                <w:vanish/>
              </w:rPr>
            </w:pPr>
          </w:p>
        </w:tc>
        <w:tc>
          <w:tcPr>
            <w:tcW w:w="0" w:type="auto"/>
            <w:shd w:val="clear" w:color="auto" w:fill="auto"/>
            <w:vAlign w:val="bottom"/>
          </w:tcPr>
          <w:p w14:paraId="71D4A647" w14:textId="77777777" w:rsidR="006A3667" w:rsidRDefault="006A3667">
            <w:pPr>
              <w:rPr>
                <w:rFonts w:ascii="宋体"/>
                <w:vanish/>
              </w:rPr>
            </w:pPr>
          </w:p>
        </w:tc>
        <w:tc>
          <w:tcPr>
            <w:tcW w:w="0" w:type="auto"/>
            <w:shd w:val="clear" w:color="auto" w:fill="auto"/>
            <w:vAlign w:val="bottom"/>
          </w:tcPr>
          <w:p w14:paraId="71D4A648" w14:textId="77777777" w:rsidR="006A3667" w:rsidRDefault="006A3667">
            <w:pPr>
              <w:rPr>
                <w:rFonts w:ascii="宋体"/>
                <w:vanish/>
              </w:rPr>
            </w:pPr>
          </w:p>
        </w:tc>
        <w:tc>
          <w:tcPr>
            <w:tcW w:w="0" w:type="auto"/>
            <w:shd w:val="clear" w:color="auto" w:fill="auto"/>
            <w:vAlign w:val="bottom"/>
          </w:tcPr>
          <w:p w14:paraId="71D4A649" w14:textId="77777777" w:rsidR="006A3667" w:rsidRDefault="006A3667">
            <w:pPr>
              <w:rPr>
                <w:rFonts w:ascii="宋体"/>
                <w:vanish/>
              </w:rPr>
            </w:pPr>
          </w:p>
        </w:tc>
        <w:tc>
          <w:tcPr>
            <w:tcW w:w="0" w:type="auto"/>
            <w:gridSpan w:val="3"/>
            <w:shd w:val="clear" w:color="auto" w:fill="auto"/>
            <w:vAlign w:val="bottom"/>
          </w:tcPr>
          <w:p w14:paraId="71D4A64A" w14:textId="77777777" w:rsidR="006A3667" w:rsidRDefault="006A3667">
            <w:pPr>
              <w:rPr>
                <w:rFonts w:ascii="宋体"/>
                <w:vanish/>
              </w:rPr>
            </w:pPr>
          </w:p>
        </w:tc>
        <w:tc>
          <w:tcPr>
            <w:tcW w:w="0" w:type="auto"/>
            <w:gridSpan w:val="3"/>
            <w:shd w:val="clear" w:color="auto" w:fill="auto"/>
            <w:vAlign w:val="bottom"/>
          </w:tcPr>
          <w:p w14:paraId="71D4A64B" w14:textId="77777777" w:rsidR="006A3667" w:rsidRDefault="006A3667">
            <w:pPr>
              <w:rPr>
                <w:rFonts w:ascii="宋体"/>
                <w:vanish/>
              </w:rPr>
            </w:pPr>
          </w:p>
        </w:tc>
        <w:tc>
          <w:tcPr>
            <w:tcW w:w="0" w:type="auto"/>
            <w:gridSpan w:val="2"/>
            <w:shd w:val="clear" w:color="auto" w:fill="auto"/>
            <w:vAlign w:val="bottom"/>
          </w:tcPr>
          <w:p w14:paraId="71D4A64C" w14:textId="77777777" w:rsidR="006A3667" w:rsidRDefault="006A3667">
            <w:pPr>
              <w:rPr>
                <w:rFonts w:ascii="宋体"/>
                <w:vanish/>
              </w:rPr>
            </w:pPr>
          </w:p>
        </w:tc>
        <w:tc>
          <w:tcPr>
            <w:tcW w:w="0" w:type="auto"/>
            <w:shd w:val="clear" w:color="auto" w:fill="auto"/>
            <w:vAlign w:val="bottom"/>
          </w:tcPr>
          <w:p w14:paraId="71D4A64D" w14:textId="77777777" w:rsidR="006A3667" w:rsidRDefault="006A3667">
            <w:pPr>
              <w:rPr>
                <w:rFonts w:ascii="宋体"/>
                <w:vanish/>
              </w:rPr>
            </w:pPr>
          </w:p>
        </w:tc>
      </w:tr>
      <w:tr w:rsidR="006A3667" w14:paraId="71D4A671" w14:textId="77777777">
        <w:tc>
          <w:tcPr>
            <w:tcW w:w="0" w:type="auto"/>
            <w:gridSpan w:val="3"/>
            <w:shd w:val="clear" w:color="auto" w:fill="CCEEFF"/>
            <w:tcMar>
              <w:top w:w="40" w:type="dxa"/>
              <w:left w:w="20" w:type="dxa"/>
              <w:bottom w:w="40" w:type="dxa"/>
              <w:right w:w="20" w:type="dxa"/>
            </w:tcMar>
            <w:vAlign w:val="bottom"/>
          </w:tcPr>
          <w:p w14:paraId="71D4A64F" w14:textId="77777777" w:rsidR="006A3667" w:rsidRDefault="00045F32">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A650"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51" w14:textId="77777777" w:rsidR="006A3667" w:rsidRDefault="00045F32">
            <w:pPr>
              <w:jc w:val="right"/>
              <w:textAlignment w:val="bottom"/>
            </w:pPr>
            <w:r>
              <w:rPr>
                <w:rFonts w:ascii="Arial" w:eastAsia="宋体" w:hAnsi="Arial" w:cs="Arial"/>
                <w:b/>
                <w:bCs/>
                <w:color w:val="000000"/>
                <w:sz w:val="16"/>
                <w:szCs w:val="16"/>
              </w:rPr>
              <w:t>1,216</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5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5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54"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55" w14:textId="77777777" w:rsidR="006A3667" w:rsidRDefault="00045F32">
            <w:pPr>
              <w:jc w:val="right"/>
              <w:textAlignment w:val="bottom"/>
            </w:pPr>
            <w:r>
              <w:rPr>
                <w:rFonts w:ascii="Arial" w:eastAsia="宋体" w:hAnsi="Arial" w:cs="Arial"/>
                <w:b/>
                <w:bCs/>
                <w:color w:val="000000"/>
                <w:sz w:val="16"/>
                <w:szCs w:val="16"/>
              </w:rPr>
              <w:t>1,743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5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5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58"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59" w14:textId="77777777" w:rsidR="006A3667" w:rsidRDefault="00045F32">
            <w:pPr>
              <w:jc w:val="right"/>
              <w:textAlignment w:val="bottom"/>
            </w:pPr>
            <w:r>
              <w:rPr>
                <w:rFonts w:ascii="Arial" w:eastAsia="宋体" w:hAnsi="Arial" w:cs="Arial"/>
                <w:b/>
                <w:bCs/>
                <w:color w:val="000000"/>
                <w:sz w:val="16"/>
                <w:szCs w:val="16"/>
              </w:rPr>
              <w:t>2,959</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5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5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5C"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5D" w14:textId="77777777" w:rsidR="006A3667" w:rsidRDefault="00045F32">
            <w:pPr>
              <w:jc w:val="right"/>
              <w:textAlignment w:val="bottom"/>
            </w:pPr>
            <w:r>
              <w:rPr>
                <w:rFonts w:ascii="Arial" w:eastAsia="宋体" w:hAnsi="Arial" w:cs="Arial"/>
                <w:color w:val="000000"/>
                <w:sz w:val="16"/>
                <w:szCs w:val="16"/>
              </w:rPr>
              <w:t>1,337 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5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5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60"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61" w14:textId="77777777" w:rsidR="006A3667" w:rsidRDefault="00045F32">
            <w:pPr>
              <w:jc w:val="right"/>
              <w:textAlignment w:val="bottom"/>
            </w:pPr>
            <w:r>
              <w:rPr>
                <w:rFonts w:ascii="Arial" w:eastAsia="宋体" w:hAnsi="Arial" w:cs="Arial"/>
                <w:color w:val="000000"/>
                <w:sz w:val="16"/>
                <w:szCs w:val="16"/>
              </w:rPr>
              <w:t>1,653 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6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6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64"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65" w14:textId="77777777" w:rsidR="006A3667" w:rsidRDefault="00045F32">
            <w:pPr>
              <w:jc w:val="right"/>
              <w:textAlignment w:val="bottom"/>
            </w:pPr>
            <w:r>
              <w:rPr>
                <w:rFonts w:ascii="Arial" w:eastAsia="宋体" w:hAnsi="Arial" w:cs="Arial"/>
                <w:color w:val="000000"/>
                <w:sz w:val="16"/>
                <w:szCs w:val="16"/>
              </w:rPr>
              <w:t>2,990 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66" w14:textId="77777777" w:rsidR="006A3667" w:rsidRDefault="006A3667">
            <w:pPr>
              <w:jc w:val="right"/>
              <w:rPr>
                <w:rFonts w:ascii="宋体"/>
              </w:rPr>
            </w:pPr>
          </w:p>
        </w:tc>
        <w:tc>
          <w:tcPr>
            <w:tcW w:w="0" w:type="auto"/>
            <w:shd w:val="clear" w:color="auto" w:fill="auto"/>
            <w:vAlign w:val="bottom"/>
          </w:tcPr>
          <w:p w14:paraId="71D4A667" w14:textId="77777777" w:rsidR="006A3667" w:rsidRDefault="006A3667">
            <w:pPr>
              <w:rPr>
                <w:rFonts w:ascii="宋体"/>
                <w:vanish/>
              </w:rPr>
            </w:pPr>
          </w:p>
        </w:tc>
        <w:tc>
          <w:tcPr>
            <w:tcW w:w="0" w:type="auto"/>
            <w:shd w:val="clear" w:color="auto" w:fill="auto"/>
            <w:vAlign w:val="bottom"/>
          </w:tcPr>
          <w:p w14:paraId="71D4A668" w14:textId="77777777" w:rsidR="006A3667" w:rsidRDefault="006A3667">
            <w:pPr>
              <w:rPr>
                <w:rFonts w:ascii="宋体"/>
                <w:vanish/>
              </w:rPr>
            </w:pPr>
          </w:p>
        </w:tc>
        <w:tc>
          <w:tcPr>
            <w:tcW w:w="0" w:type="auto"/>
            <w:shd w:val="clear" w:color="auto" w:fill="auto"/>
            <w:vAlign w:val="bottom"/>
          </w:tcPr>
          <w:p w14:paraId="71D4A669" w14:textId="77777777" w:rsidR="006A3667" w:rsidRDefault="006A3667">
            <w:pPr>
              <w:rPr>
                <w:rFonts w:ascii="宋体"/>
                <w:vanish/>
              </w:rPr>
            </w:pPr>
          </w:p>
        </w:tc>
        <w:tc>
          <w:tcPr>
            <w:tcW w:w="0" w:type="auto"/>
            <w:shd w:val="clear" w:color="auto" w:fill="auto"/>
            <w:vAlign w:val="bottom"/>
          </w:tcPr>
          <w:p w14:paraId="71D4A66A" w14:textId="77777777" w:rsidR="006A3667" w:rsidRDefault="006A3667">
            <w:pPr>
              <w:rPr>
                <w:rFonts w:ascii="宋体"/>
                <w:vanish/>
              </w:rPr>
            </w:pPr>
          </w:p>
        </w:tc>
        <w:tc>
          <w:tcPr>
            <w:tcW w:w="0" w:type="auto"/>
            <w:shd w:val="clear" w:color="auto" w:fill="auto"/>
            <w:vAlign w:val="bottom"/>
          </w:tcPr>
          <w:p w14:paraId="71D4A66B" w14:textId="77777777" w:rsidR="006A3667" w:rsidRDefault="006A3667">
            <w:pPr>
              <w:rPr>
                <w:rFonts w:ascii="宋体"/>
                <w:vanish/>
              </w:rPr>
            </w:pPr>
          </w:p>
        </w:tc>
        <w:tc>
          <w:tcPr>
            <w:tcW w:w="0" w:type="auto"/>
            <w:shd w:val="clear" w:color="auto" w:fill="auto"/>
            <w:vAlign w:val="bottom"/>
          </w:tcPr>
          <w:p w14:paraId="71D4A66C" w14:textId="77777777" w:rsidR="006A3667" w:rsidRDefault="006A3667">
            <w:pPr>
              <w:rPr>
                <w:rFonts w:ascii="宋体"/>
                <w:vanish/>
              </w:rPr>
            </w:pPr>
          </w:p>
        </w:tc>
        <w:tc>
          <w:tcPr>
            <w:tcW w:w="0" w:type="auto"/>
            <w:gridSpan w:val="3"/>
            <w:shd w:val="clear" w:color="auto" w:fill="auto"/>
            <w:vAlign w:val="bottom"/>
          </w:tcPr>
          <w:p w14:paraId="71D4A66D" w14:textId="77777777" w:rsidR="006A3667" w:rsidRDefault="006A3667">
            <w:pPr>
              <w:rPr>
                <w:rFonts w:ascii="宋体"/>
                <w:vanish/>
              </w:rPr>
            </w:pPr>
          </w:p>
        </w:tc>
        <w:tc>
          <w:tcPr>
            <w:tcW w:w="0" w:type="auto"/>
            <w:gridSpan w:val="3"/>
            <w:shd w:val="clear" w:color="auto" w:fill="auto"/>
            <w:vAlign w:val="bottom"/>
          </w:tcPr>
          <w:p w14:paraId="71D4A66E" w14:textId="77777777" w:rsidR="006A3667" w:rsidRDefault="006A3667">
            <w:pPr>
              <w:rPr>
                <w:rFonts w:ascii="宋体"/>
                <w:vanish/>
              </w:rPr>
            </w:pPr>
          </w:p>
        </w:tc>
        <w:tc>
          <w:tcPr>
            <w:tcW w:w="0" w:type="auto"/>
            <w:gridSpan w:val="2"/>
            <w:shd w:val="clear" w:color="auto" w:fill="auto"/>
            <w:vAlign w:val="bottom"/>
          </w:tcPr>
          <w:p w14:paraId="71D4A66F" w14:textId="77777777" w:rsidR="006A3667" w:rsidRDefault="006A3667">
            <w:pPr>
              <w:rPr>
                <w:rFonts w:ascii="宋体"/>
                <w:vanish/>
              </w:rPr>
            </w:pPr>
          </w:p>
        </w:tc>
        <w:tc>
          <w:tcPr>
            <w:tcW w:w="0" w:type="auto"/>
            <w:shd w:val="clear" w:color="auto" w:fill="auto"/>
            <w:vAlign w:val="bottom"/>
          </w:tcPr>
          <w:p w14:paraId="71D4A670" w14:textId="77777777" w:rsidR="006A3667" w:rsidRDefault="006A3667">
            <w:pPr>
              <w:rPr>
                <w:rFonts w:ascii="宋体"/>
                <w:vanish/>
              </w:rPr>
            </w:pPr>
          </w:p>
        </w:tc>
      </w:tr>
      <w:tr w:rsidR="006A3667" w14:paraId="71D4A68E" w14:textId="77777777">
        <w:tc>
          <w:tcPr>
            <w:tcW w:w="0" w:type="auto"/>
            <w:gridSpan w:val="3"/>
            <w:shd w:val="clear" w:color="auto" w:fill="FFFFFF"/>
            <w:tcMar>
              <w:top w:w="40" w:type="dxa"/>
              <w:left w:w="20" w:type="dxa"/>
              <w:bottom w:w="40" w:type="dxa"/>
              <w:right w:w="20" w:type="dxa"/>
            </w:tcMar>
            <w:vAlign w:val="bottom"/>
          </w:tcPr>
          <w:p w14:paraId="71D4A672" w14:textId="77777777" w:rsidR="006A3667" w:rsidRDefault="00045F32">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71D4A673" w14:textId="77777777" w:rsidR="006A3667" w:rsidRDefault="00045F32">
            <w:pPr>
              <w:jc w:val="right"/>
              <w:textAlignment w:val="bottom"/>
            </w:pPr>
            <w:r>
              <w:rPr>
                <w:rFonts w:ascii="Arial" w:eastAsia="宋体" w:hAnsi="Arial" w:cs="Arial"/>
                <w:b/>
                <w:bCs/>
                <w:color w:val="000000"/>
                <w:sz w:val="16"/>
                <w:szCs w:val="16"/>
              </w:rPr>
              <w:t>311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1D4A67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675"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676" w14:textId="77777777" w:rsidR="006A3667" w:rsidRDefault="00045F32">
            <w:pPr>
              <w:jc w:val="right"/>
              <w:textAlignment w:val="bottom"/>
            </w:pPr>
            <w:r>
              <w:rPr>
                <w:rFonts w:ascii="Arial" w:eastAsia="宋体" w:hAnsi="Arial" w:cs="Arial"/>
                <w:b/>
                <w:bCs/>
                <w:color w:val="000000"/>
                <w:sz w:val="16"/>
                <w:szCs w:val="16"/>
              </w:rPr>
              <w:t>538</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1D4A67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678"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679" w14:textId="77777777" w:rsidR="006A3667" w:rsidRDefault="00045F32">
            <w:pPr>
              <w:jc w:val="right"/>
              <w:textAlignment w:val="bottom"/>
            </w:pPr>
            <w:r>
              <w:rPr>
                <w:rFonts w:ascii="Arial" w:eastAsia="宋体" w:hAnsi="Arial" w:cs="Arial"/>
                <w:b/>
                <w:bCs/>
                <w:color w:val="000000"/>
                <w:sz w:val="16"/>
                <w:szCs w:val="16"/>
              </w:rPr>
              <w:t>849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1D4A67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67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67C" w14:textId="77777777" w:rsidR="006A3667" w:rsidRDefault="00045F32">
            <w:pPr>
              <w:jc w:val="right"/>
              <w:textAlignment w:val="bottom"/>
            </w:pPr>
            <w:r>
              <w:rPr>
                <w:rFonts w:ascii="Arial" w:eastAsia="宋体" w:hAnsi="Arial" w:cs="Arial"/>
                <w:color w:val="000000"/>
                <w:sz w:val="16"/>
                <w:szCs w:val="16"/>
              </w:rPr>
              <w:t>410 </w:t>
            </w:r>
          </w:p>
        </w:tc>
        <w:tc>
          <w:tcPr>
            <w:tcW w:w="0" w:type="auto"/>
            <w:shd w:val="clear" w:color="auto" w:fill="FFFFFF"/>
            <w:tcMar>
              <w:top w:w="40" w:type="dxa"/>
              <w:left w:w="0" w:type="dxa"/>
              <w:bottom w:w="40" w:type="dxa"/>
              <w:right w:w="20" w:type="dxa"/>
            </w:tcMar>
            <w:vAlign w:val="bottom"/>
          </w:tcPr>
          <w:p w14:paraId="71D4A67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67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67F" w14:textId="77777777" w:rsidR="006A3667" w:rsidRDefault="00045F32">
            <w:pPr>
              <w:jc w:val="right"/>
              <w:textAlignment w:val="bottom"/>
            </w:pPr>
            <w:r>
              <w:rPr>
                <w:rFonts w:ascii="Arial" w:eastAsia="宋体" w:hAnsi="Arial" w:cs="Arial"/>
                <w:color w:val="000000"/>
                <w:sz w:val="16"/>
                <w:szCs w:val="16"/>
              </w:rPr>
              <w:t>466 </w:t>
            </w:r>
          </w:p>
        </w:tc>
        <w:tc>
          <w:tcPr>
            <w:tcW w:w="0" w:type="auto"/>
            <w:shd w:val="clear" w:color="auto" w:fill="FFFFFF"/>
            <w:tcMar>
              <w:top w:w="40" w:type="dxa"/>
              <w:left w:w="0" w:type="dxa"/>
              <w:bottom w:w="40" w:type="dxa"/>
              <w:right w:w="20" w:type="dxa"/>
            </w:tcMar>
            <w:vAlign w:val="bottom"/>
          </w:tcPr>
          <w:p w14:paraId="71D4A68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68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682" w14:textId="77777777" w:rsidR="006A3667" w:rsidRDefault="00045F32">
            <w:pPr>
              <w:jc w:val="right"/>
              <w:textAlignment w:val="bottom"/>
            </w:pPr>
            <w:r>
              <w:rPr>
                <w:rFonts w:ascii="Arial" w:eastAsia="宋体" w:hAnsi="Arial" w:cs="Arial"/>
                <w:color w:val="000000"/>
                <w:sz w:val="16"/>
                <w:szCs w:val="16"/>
              </w:rPr>
              <w:t>876 </w:t>
            </w:r>
          </w:p>
        </w:tc>
        <w:tc>
          <w:tcPr>
            <w:tcW w:w="0" w:type="auto"/>
            <w:shd w:val="clear" w:color="auto" w:fill="FFFFFF"/>
            <w:tcMar>
              <w:top w:w="40" w:type="dxa"/>
              <w:left w:w="0" w:type="dxa"/>
              <w:bottom w:w="40" w:type="dxa"/>
              <w:right w:w="20" w:type="dxa"/>
            </w:tcMar>
            <w:vAlign w:val="bottom"/>
          </w:tcPr>
          <w:p w14:paraId="71D4A683" w14:textId="77777777" w:rsidR="006A3667" w:rsidRDefault="006A3667">
            <w:pPr>
              <w:jc w:val="right"/>
              <w:rPr>
                <w:rFonts w:ascii="宋体"/>
              </w:rPr>
            </w:pPr>
          </w:p>
        </w:tc>
        <w:tc>
          <w:tcPr>
            <w:tcW w:w="0" w:type="auto"/>
            <w:shd w:val="clear" w:color="auto" w:fill="auto"/>
            <w:vAlign w:val="bottom"/>
          </w:tcPr>
          <w:p w14:paraId="71D4A684" w14:textId="77777777" w:rsidR="006A3667" w:rsidRDefault="006A3667">
            <w:pPr>
              <w:rPr>
                <w:rFonts w:ascii="宋体"/>
                <w:vanish/>
              </w:rPr>
            </w:pPr>
          </w:p>
        </w:tc>
        <w:tc>
          <w:tcPr>
            <w:tcW w:w="0" w:type="auto"/>
            <w:shd w:val="clear" w:color="auto" w:fill="auto"/>
            <w:vAlign w:val="bottom"/>
          </w:tcPr>
          <w:p w14:paraId="71D4A685" w14:textId="77777777" w:rsidR="006A3667" w:rsidRDefault="006A3667">
            <w:pPr>
              <w:rPr>
                <w:rFonts w:ascii="宋体"/>
                <w:vanish/>
              </w:rPr>
            </w:pPr>
          </w:p>
        </w:tc>
        <w:tc>
          <w:tcPr>
            <w:tcW w:w="0" w:type="auto"/>
            <w:shd w:val="clear" w:color="auto" w:fill="auto"/>
            <w:vAlign w:val="bottom"/>
          </w:tcPr>
          <w:p w14:paraId="71D4A686" w14:textId="77777777" w:rsidR="006A3667" w:rsidRDefault="006A3667">
            <w:pPr>
              <w:rPr>
                <w:rFonts w:ascii="宋体"/>
                <w:vanish/>
              </w:rPr>
            </w:pPr>
          </w:p>
        </w:tc>
        <w:tc>
          <w:tcPr>
            <w:tcW w:w="0" w:type="auto"/>
            <w:shd w:val="clear" w:color="auto" w:fill="auto"/>
            <w:vAlign w:val="bottom"/>
          </w:tcPr>
          <w:p w14:paraId="71D4A687" w14:textId="77777777" w:rsidR="006A3667" w:rsidRDefault="006A3667">
            <w:pPr>
              <w:rPr>
                <w:rFonts w:ascii="宋体"/>
                <w:vanish/>
              </w:rPr>
            </w:pPr>
          </w:p>
        </w:tc>
        <w:tc>
          <w:tcPr>
            <w:tcW w:w="0" w:type="auto"/>
            <w:shd w:val="clear" w:color="auto" w:fill="auto"/>
            <w:vAlign w:val="bottom"/>
          </w:tcPr>
          <w:p w14:paraId="71D4A688" w14:textId="77777777" w:rsidR="006A3667" w:rsidRDefault="006A3667">
            <w:pPr>
              <w:rPr>
                <w:rFonts w:ascii="宋体"/>
                <w:vanish/>
              </w:rPr>
            </w:pPr>
          </w:p>
        </w:tc>
        <w:tc>
          <w:tcPr>
            <w:tcW w:w="0" w:type="auto"/>
            <w:shd w:val="clear" w:color="auto" w:fill="auto"/>
            <w:vAlign w:val="bottom"/>
          </w:tcPr>
          <w:p w14:paraId="71D4A689" w14:textId="77777777" w:rsidR="006A3667" w:rsidRDefault="006A3667">
            <w:pPr>
              <w:rPr>
                <w:rFonts w:ascii="宋体"/>
                <w:vanish/>
              </w:rPr>
            </w:pPr>
          </w:p>
        </w:tc>
        <w:tc>
          <w:tcPr>
            <w:tcW w:w="0" w:type="auto"/>
            <w:gridSpan w:val="3"/>
            <w:shd w:val="clear" w:color="auto" w:fill="auto"/>
            <w:vAlign w:val="bottom"/>
          </w:tcPr>
          <w:p w14:paraId="71D4A68A" w14:textId="77777777" w:rsidR="006A3667" w:rsidRDefault="006A3667">
            <w:pPr>
              <w:rPr>
                <w:rFonts w:ascii="宋体"/>
                <w:vanish/>
              </w:rPr>
            </w:pPr>
          </w:p>
        </w:tc>
        <w:tc>
          <w:tcPr>
            <w:tcW w:w="0" w:type="auto"/>
            <w:gridSpan w:val="3"/>
            <w:shd w:val="clear" w:color="auto" w:fill="auto"/>
            <w:vAlign w:val="bottom"/>
          </w:tcPr>
          <w:p w14:paraId="71D4A68B" w14:textId="77777777" w:rsidR="006A3667" w:rsidRDefault="006A3667">
            <w:pPr>
              <w:rPr>
                <w:rFonts w:ascii="宋体"/>
                <w:vanish/>
              </w:rPr>
            </w:pPr>
          </w:p>
        </w:tc>
        <w:tc>
          <w:tcPr>
            <w:tcW w:w="0" w:type="auto"/>
            <w:gridSpan w:val="2"/>
            <w:shd w:val="clear" w:color="auto" w:fill="auto"/>
            <w:vAlign w:val="bottom"/>
          </w:tcPr>
          <w:p w14:paraId="71D4A68C" w14:textId="77777777" w:rsidR="006A3667" w:rsidRDefault="006A3667">
            <w:pPr>
              <w:rPr>
                <w:rFonts w:ascii="宋体"/>
                <w:vanish/>
              </w:rPr>
            </w:pPr>
          </w:p>
        </w:tc>
        <w:tc>
          <w:tcPr>
            <w:tcW w:w="0" w:type="auto"/>
            <w:shd w:val="clear" w:color="auto" w:fill="auto"/>
            <w:vAlign w:val="bottom"/>
          </w:tcPr>
          <w:p w14:paraId="71D4A68D" w14:textId="77777777" w:rsidR="006A3667" w:rsidRDefault="006A3667">
            <w:pPr>
              <w:rPr>
                <w:rFonts w:ascii="宋体"/>
                <w:vanish/>
              </w:rPr>
            </w:pPr>
          </w:p>
        </w:tc>
      </w:tr>
      <w:tr w:rsidR="006A3667" w14:paraId="71D4A6A5" w14:textId="77777777">
        <w:trPr>
          <w:trHeight w:val="100"/>
        </w:trPr>
        <w:tc>
          <w:tcPr>
            <w:tcW w:w="0" w:type="auto"/>
            <w:gridSpan w:val="3"/>
            <w:shd w:val="clear" w:color="auto" w:fill="auto"/>
            <w:tcMar>
              <w:top w:w="0" w:type="dxa"/>
              <w:left w:w="20" w:type="dxa"/>
              <w:bottom w:w="0" w:type="dxa"/>
              <w:right w:w="20" w:type="dxa"/>
            </w:tcMar>
            <w:vAlign w:val="bottom"/>
          </w:tcPr>
          <w:p w14:paraId="71D4A68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69A" w14:textId="77777777" w:rsidR="006A3667" w:rsidRDefault="006A3667">
            <w:pPr>
              <w:rPr>
                <w:rFonts w:ascii="宋体"/>
              </w:rPr>
            </w:pPr>
          </w:p>
        </w:tc>
        <w:tc>
          <w:tcPr>
            <w:tcW w:w="0" w:type="auto"/>
            <w:shd w:val="clear" w:color="auto" w:fill="auto"/>
            <w:vAlign w:val="bottom"/>
          </w:tcPr>
          <w:p w14:paraId="71D4A69B" w14:textId="77777777" w:rsidR="006A3667" w:rsidRDefault="006A3667">
            <w:pPr>
              <w:rPr>
                <w:rFonts w:ascii="宋体"/>
                <w:vanish/>
              </w:rPr>
            </w:pPr>
          </w:p>
        </w:tc>
        <w:tc>
          <w:tcPr>
            <w:tcW w:w="0" w:type="auto"/>
            <w:shd w:val="clear" w:color="auto" w:fill="auto"/>
            <w:vAlign w:val="bottom"/>
          </w:tcPr>
          <w:p w14:paraId="71D4A69C" w14:textId="77777777" w:rsidR="006A3667" w:rsidRDefault="006A3667">
            <w:pPr>
              <w:rPr>
                <w:rFonts w:ascii="宋体"/>
                <w:vanish/>
              </w:rPr>
            </w:pPr>
          </w:p>
        </w:tc>
        <w:tc>
          <w:tcPr>
            <w:tcW w:w="0" w:type="auto"/>
            <w:shd w:val="clear" w:color="auto" w:fill="auto"/>
            <w:vAlign w:val="bottom"/>
          </w:tcPr>
          <w:p w14:paraId="71D4A69D" w14:textId="77777777" w:rsidR="006A3667" w:rsidRDefault="006A3667">
            <w:pPr>
              <w:rPr>
                <w:rFonts w:ascii="宋体"/>
                <w:vanish/>
              </w:rPr>
            </w:pPr>
          </w:p>
        </w:tc>
        <w:tc>
          <w:tcPr>
            <w:tcW w:w="0" w:type="auto"/>
            <w:shd w:val="clear" w:color="auto" w:fill="auto"/>
            <w:vAlign w:val="bottom"/>
          </w:tcPr>
          <w:p w14:paraId="71D4A69E" w14:textId="77777777" w:rsidR="006A3667" w:rsidRDefault="006A3667">
            <w:pPr>
              <w:rPr>
                <w:rFonts w:ascii="宋体"/>
                <w:vanish/>
              </w:rPr>
            </w:pPr>
          </w:p>
        </w:tc>
        <w:tc>
          <w:tcPr>
            <w:tcW w:w="0" w:type="auto"/>
            <w:shd w:val="clear" w:color="auto" w:fill="auto"/>
            <w:vAlign w:val="bottom"/>
          </w:tcPr>
          <w:p w14:paraId="71D4A69F" w14:textId="77777777" w:rsidR="006A3667" w:rsidRDefault="006A3667">
            <w:pPr>
              <w:rPr>
                <w:rFonts w:ascii="宋体"/>
                <w:vanish/>
              </w:rPr>
            </w:pPr>
          </w:p>
        </w:tc>
        <w:tc>
          <w:tcPr>
            <w:tcW w:w="0" w:type="auto"/>
            <w:shd w:val="clear" w:color="auto" w:fill="auto"/>
            <w:vAlign w:val="bottom"/>
          </w:tcPr>
          <w:p w14:paraId="71D4A6A0" w14:textId="77777777" w:rsidR="006A3667" w:rsidRDefault="006A3667">
            <w:pPr>
              <w:rPr>
                <w:rFonts w:ascii="宋体"/>
                <w:vanish/>
              </w:rPr>
            </w:pPr>
          </w:p>
        </w:tc>
        <w:tc>
          <w:tcPr>
            <w:tcW w:w="0" w:type="auto"/>
            <w:gridSpan w:val="3"/>
            <w:shd w:val="clear" w:color="auto" w:fill="auto"/>
            <w:vAlign w:val="bottom"/>
          </w:tcPr>
          <w:p w14:paraId="71D4A6A1" w14:textId="77777777" w:rsidR="006A3667" w:rsidRDefault="006A3667">
            <w:pPr>
              <w:rPr>
                <w:rFonts w:ascii="宋体"/>
                <w:vanish/>
              </w:rPr>
            </w:pPr>
          </w:p>
        </w:tc>
        <w:tc>
          <w:tcPr>
            <w:tcW w:w="0" w:type="auto"/>
            <w:gridSpan w:val="3"/>
            <w:shd w:val="clear" w:color="auto" w:fill="auto"/>
            <w:vAlign w:val="bottom"/>
          </w:tcPr>
          <w:p w14:paraId="71D4A6A2" w14:textId="77777777" w:rsidR="006A3667" w:rsidRDefault="006A3667">
            <w:pPr>
              <w:rPr>
                <w:rFonts w:ascii="宋体"/>
                <w:vanish/>
              </w:rPr>
            </w:pPr>
          </w:p>
        </w:tc>
        <w:tc>
          <w:tcPr>
            <w:tcW w:w="0" w:type="auto"/>
            <w:gridSpan w:val="2"/>
            <w:shd w:val="clear" w:color="auto" w:fill="auto"/>
            <w:vAlign w:val="bottom"/>
          </w:tcPr>
          <w:p w14:paraId="71D4A6A3" w14:textId="77777777" w:rsidR="006A3667" w:rsidRDefault="006A3667">
            <w:pPr>
              <w:rPr>
                <w:rFonts w:ascii="宋体"/>
                <w:vanish/>
              </w:rPr>
            </w:pPr>
          </w:p>
        </w:tc>
        <w:tc>
          <w:tcPr>
            <w:tcW w:w="0" w:type="auto"/>
            <w:shd w:val="clear" w:color="auto" w:fill="auto"/>
            <w:vAlign w:val="bottom"/>
          </w:tcPr>
          <w:p w14:paraId="71D4A6A4" w14:textId="77777777" w:rsidR="006A3667" w:rsidRDefault="006A3667">
            <w:pPr>
              <w:rPr>
                <w:rFonts w:ascii="宋体"/>
                <w:vanish/>
              </w:rPr>
            </w:pPr>
          </w:p>
        </w:tc>
      </w:tr>
      <w:tr w:rsidR="006A3667" w14:paraId="71D4A6B7" w14:textId="77777777">
        <w:tc>
          <w:tcPr>
            <w:tcW w:w="0" w:type="auto"/>
            <w:gridSpan w:val="3"/>
            <w:shd w:val="clear" w:color="auto" w:fill="auto"/>
            <w:tcMar>
              <w:top w:w="0" w:type="dxa"/>
              <w:left w:w="20" w:type="dxa"/>
              <w:bottom w:w="0" w:type="dxa"/>
              <w:right w:w="20" w:type="dxa"/>
            </w:tcMar>
            <w:vAlign w:val="bottom"/>
          </w:tcPr>
          <w:p w14:paraId="71D4A6A6" w14:textId="77777777" w:rsidR="006A3667" w:rsidRDefault="006A3667">
            <w:pPr>
              <w:rPr>
                <w:rFonts w:ascii="宋体"/>
              </w:rPr>
            </w:pPr>
          </w:p>
        </w:tc>
        <w:tc>
          <w:tcPr>
            <w:tcW w:w="0" w:type="auto"/>
            <w:gridSpan w:val="33"/>
            <w:tcBorders>
              <w:bottom w:val="single" w:sz="8" w:space="0" w:color="000000"/>
            </w:tcBorders>
            <w:shd w:val="clear" w:color="auto" w:fill="FFFFFF"/>
            <w:tcMar>
              <w:top w:w="40" w:type="dxa"/>
              <w:left w:w="20" w:type="dxa"/>
              <w:bottom w:w="40" w:type="dxa"/>
              <w:right w:w="20" w:type="dxa"/>
            </w:tcMar>
            <w:vAlign w:val="bottom"/>
          </w:tcPr>
          <w:p w14:paraId="71D4A6A7" w14:textId="77777777" w:rsidR="006A3667" w:rsidRDefault="00045F32">
            <w:pPr>
              <w:jc w:val="center"/>
              <w:textAlignment w:val="bottom"/>
            </w:pPr>
            <w:r>
              <w:rPr>
                <w:rFonts w:ascii="Arial" w:eastAsia="宋体" w:hAnsi="Arial" w:cs="Arial"/>
                <w:b/>
                <w:bCs/>
                <w:color w:val="000000"/>
                <w:sz w:val="16"/>
                <w:szCs w:val="16"/>
              </w:rPr>
              <w:t xml:space="preserve">Nine Months Ended </w:t>
            </w:r>
            <w:r>
              <w:rPr>
                <w:rFonts w:ascii="Arial" w:eastAsia="宋体" w:hAnsi="Arial" w:cs="Arial"/>
                <w:b/>
                <w:bCs/>
                <w:color w:val="000000"/>
                <w:sz w:val="16"/>
                <w:szCs w:val="16"/>
              </w:rPr>
              <w:t>September 30,</w:t>
            </w:r>
          </w:p>
        </w:tc>
        <w:tc>
          <w:tcPr>
            <w:tcW w:w="0" w:type="auto"/>
            <w:shd w:val="clear" w:color="auto" w:fill="auto"/>
            <w:vAlign w:val="bottom"/>
          </w:tcPr>
          <w:p w14:paraId="71D4A6A8" w14:textId="77777777" w:rsidR="006A3667" w:rsidRDefault="006A3667">
            <w:pPr>
              <w:rPr>
                <w:rFonts w:ascii="宋体"/>
                <w:vanish/>
              </w:rPr>
            </w:pPr>
          </w:p>
        </w:tc>
        <w:tc>
          <w:tcPr>
            <w:tcW w:w="0" w:type="auto"/>
            <w:shd w:val="clear" w:color="auto" w:fill="auto"/>
            <w:vAlign w:val="bottom"/>
          </w:tcPr>
          <w:p w14:paraId="71D4A6A9" w14:textId="77777777" w:rsidR="006A3667" w:rsidRDefault="006A3667">
            <w:pPr>
              <w:rPr>
                <w:rFonts w:ascii="宋体"/>
                <w:vanish/>
              </w:rPr>
            </w:pPr>
          </w:p>
        </w:tc>
        <w:tc>
          <w:tcPr>
            <w:tcW w:w="0" w:type="auto"/>
            <w:shd w:val="clear" w:color="auto" w:fill="auto"/>
            <w:vAlign w:val="bottom"/>
          </w:tcPr>
          <w:p w14:paraId="71D4A6AA" w14:textId="77777777" w:rsidR="006A3667" w:rsidRDefault="006A3667">
            <w:pPr>
              <w:rPr>
                <w:rFonts w:ascii="宋体"/>
                <w:vanish/>
              </w:rPr>
            </w:pPr>
          </w:p>
        </w:tc>
        <w:tc>
          <w:tcPr>
            <w:tcW w:w="0" w:type="auto"/>
            <w:shd w:val="clear" w:color="auto" w:fill="auto"/>
            <w:vAlign w:val="bottom"/>
          </w:tcPr>
          <w:p w14:paraId="71D4A6AB" w14:textId="77777777" w:rsidR="006A3667" w:rsidRDefault="006A3667">
            <w:pPr>
              <w:rPr>
                <w:rFonts w:ascii="宋体"/>
                <w:vanish/>
              </w:rPr>
            </w:pPr>
          </w:p>
        </w:tc>
        <w:tc>
          <w:tcPr>
            <w:tcW w:w="0" w:type="auto"/>
            <w:shd w:val="clear" w:color="auto" w:fill="auto"/>
            <w:vAlign w:val="bottom"/>
          </w:tcPr>
          <w:p w14:paraId="71D4A6AC" w14:textId="77777777" w:rsidR="006A3667" w:rsidRDefault="006A3667">
            <w:pPr>
              <w:rPr>
                <w:rFonts w:ascii="宋体"/>
                <w:vanish/>
              </w:rPr>
            </w:pPr>
          </w:p>
        </w:tc>
        <w:tc>
          <w:tcPr>
            <w:tcW w:w="0" w:type="auto"/>
            <w:shd w:val="clear" w:color="auto" w:fill="auto"/>
            <w:vAlign w:val="bottom"/>
          </w:tcPr>
          <w:p w14:paraId="71D4A6AD" w14:textId="77777777" w:rsidR="006A3667" w:rsidRDefault="006A3667">
            <w:pPr>
              <w:rPr>
                <w:rFonts w:ascii="宋体"/>
                <w:vanish/>
              </w:rPr>
            </w:pPr>
          </w:p>
        </w:tc>
        <w:tc>
          <w:tcPr>
            <w:tcW w:w="0" w:type="auto"/>
            <w:shd w:val="clear" w:color="auto" w:fill="auto"/>
            <w:vAlign w:val="bottom"/>
          </w:tcPr>
          <w:p w14:paraId="71D4A6AE" w14:textId="77777777" w:rsidR="006A3667" w:rsidRDefault="006A3667">
            <w:pPr>
              <w:rPr>
                <w:rFonts w:ascii="宋体"/>
              </w:rPr>
            </w:pPr>
          </w:p>
        </w:tc>
        <w:tc>
          <w:tcPr>
            <w:tcW w:w="0" w:type="auto"/>
            <w:shd w:val="clear" w:color="auto" w:fill="auto"/>
            <w:vAlign w:val="bottom"/>
          </w:tcPr>
          <w:p w14:paraId="71D4A6AF" w14:textId="77777777" w:rsidR="006A3667" w:rsidRDefault="006A3667">
            <w:pPr>
              <w:rPr>
                <w:rFonts w:ascii="宋体"/>
              </w:rPr>
            </w:pPr>
          </w:p>
        </w:tc>
        <w:tc>
          <w:tcPr>
            <w:tcW w:w="0" w:type="auto"/>
            <w:shd w:val="clear" w:color="auto" w:fill="auto"/>
            <w:vAlign w:val="bottom"/>
          </w:tcPr>
          <w:p w14:paraId="71D4A6B0" w14:textId="77777777" w:rsidR="006A3667" w:rsidRDefault="006A3667">
            <w:pPr>
              <w:rPr>
                <w:rFonts w:ascii="宋体"/>
              </w:rPr>
            </w:pPr>
          </w:p>
        </w:tc>
        <w:tc>
          <w:tcPr>
            <w:tcW w:w="0" w:type="auto"/>
            <w:shd w:val="clear" w:color="auto" w:fill="auto"/>
            <w:vAlign w:val="bottom"/>
          </w:tcPr>
          <w:p w14:paraId="71D4A6B1" w14:textId="77777777" w:rsidR="006A3667" w:rsidRDefault="006A3667">
            <w:pPr>
              <w:rPr>
                <w:rFonts w:ascii="宋体"/>
              </w:rPr>
            </w:pPr>
          </w:p>
        </w:tc>
        <w:tc>
          <w:tcPr>
            <w:tcW w:w="0" w:type="auto"/>
            <w:shd w:val="clear" w:color="auto" w:fill="auto"/>
            <w:vAlign w:val="bottom"/>
          </w:tcPr>
          <w:p w14:paraId="71D4A6B2" w14:textId="77777777" w:rsidR="006A3667" w:rsidRDefault="006A3667">
            <w:pPr>
              <w:rPr>
                <w:rFonts w:ascii="宋体"/>
              </w:rPr>
            </w:pPr>
          </w:p>
        </w:tc>
        <w:tc>
          <w:tcPr>
            <w:tcW w:w="0" w:type="auto"/>
            <w:shd w:val="clear" w:color="auto" w:fill="auto"/>
            <w:vAlign w:val="bottom"/>
          </w:tcPr>
          <w:p w14:paraId="71D4A6B3" w14:textId="77777777" w:rsidR="006A3667" w:rsidRDefault="006A3667">
            <w:pPr>
              <w:rPr>
                <w:rFonts w:ascii="宋体"/>
              </w:rPr>
            </w:pPr>
          </w:p>
        </w:tc>
        <w:tc>
          <w:tcPr>
            <w:tcW w:w="0" w:type="auto"/>
            <w:shd w:val="clear" w:color="auto" w:fill="auto"/>
            <w:vAlign w:val="bottom"/>
          </w:tcPr>
          <w:p w14:paraId="71D4A6B4" w14:textId="77777777" w:rsidR="006A3667" w:rsidRDefault="006A3667">
            <w:pPr>
              <w:rPr>
                <w:rFonts w:ascii="宋体"/>
              </w:rPr>
            </w:pPr>
          </w:p>
        </w:tc>
        <w:tc>
          <w:tcPr>
            <w:tcW w:w="0" w:type="auto"/>
            <w:shd w:val="clear" w:color="auto" w:fill="auto"/>
            <w:vAlign w:val="bottom"/>
          </w:tcPr>
          <w:p w14:paraId="71D4A6B5" w14:textId="77777777" w:rsidR="006A3667" w:rsidRDefault="006A3667">
            <w:pPr>
              <w:rPr>
                <w:rFonts w:ascii="宋体"/>
              </w:rPr>
            </w:pPr>
          </w:p>
        </w:tc>
        <w:tc>
          <w:tcPr>
            <w:tcW w:w="0" w:type="auto"/>
            <w:shd w:val="clear" w:color="auto" w:fill="auto"/>
            <w:vAlign w:val="bottom"/>
          </w:tcPr>
          <w:p w14:paraId="71D4A6B6" w14:textId="77777777" w:rsidR="006A3667" w:rsidRDefault="006A3667">
            <w:pPr>
              <w:rPr>
                <w:rFonts w:ascii="宋体"/>
              </w:rPr>
            </w:pPr>
          </w:p>
        </w:tc>
      </w:tr>
      <w:tr w:rsidR="006A3667" w14:paraId="71D4A6C7" w14:textId="77777777">
        <w:tc>
          <w:tcPr>
            <w:tcW w:w="0" w:type="auto"/>
            <w:gridSpan w:val="3"/>
            <w:shd w:val="clear" w:color="auto" w:fill="auto"/>
            <w:tcMar>
              <w:top w:w="0" w:type="dxa"/>
              <w:left w:w="20" w:type="dxa"/>
              <w:bottom w:w="0" w:type="dxa"/>
              <w:right w:w="20" w:type="dxa"/>
            </w:tcMar>
            <w:vAlign w:val="bottom"/>
          </w:tcPr>
          <w:p w14:paraId="71D4A6B8"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A6B9" w14:textId="77777777" w:rsidR="006A3667" w:rsidRDefault="00045F32">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BA" w14:textId="77777777" w:rsidR="006A3667" w:rsidRDefault="006A3667">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1D4A6BB" w14:textId="77777777" w:rsidR="006A3667" w:rsidRDefault="00045F32">
            <w:pPr>
              <w:jc w:val="center"/>
              <w:textAlignment w:val="bottom"/>
            </w:pPr>
            <w:r>
              <w:rPr>
                <w:rFonts w:ascii="Arial" w:eastAsia="宋体" w:hAnsi="Arial" w:cs="Arial"/>
                <w:b/>
                <w:bCs/>
                <w:color w:val="000000"/>
                <w:sz w:val="16"/>
                <w:szCs w:val="16"/>
              </w:rPr>
              <w:t>2021</w:t>
            </w:r>
          </w:p>
        </w:tc>
        <w:tc>
          <w:tcPr>
            <w:tcW w:w="0" w:type="auto"/>
            <w:shd w:val="clear" w:color="auto" w:fill="auto"/>
            <w:vAlign w:val="bottom"/>
          </w:tcPr>
          <w:p w14:paraId="71D4A6BC" w14:textId="77777777" w:rsidR="006A3667" w:rsidRDefault="006A3667">
            <w:pPr>
              <w:rPr>
                <w:rFonts w:ascii="宋体"/>
                <w:vanish/>
              </w:rPr>
            </w:pPr>
          </w:p>
        </w:tc>
        <w:tc>
          <w:tcPr>
            <w:tcW w:w="0" w:type="auto"/>
            <w:shd w:val="clear" w:color="auto" w:fill="auto"/>
            <w:vAlign w:val="bottom"/>
          </w:tcPr>
          <w:p w14:paraId="71D4A6BD" w14:textId="77777777" w:rsidR="006A3667" w:rsidRDefault="006A3667">
            <w:pPr>
              <w:rPr>
                <w:rFonts w:ascii="宋体"/>
                <w:vanish/>
              </w:rPr>
            </w:pPr>
          </w:p>
        </w:tc>
        <w:tc>
          <w:tcPr>
            <w:tcW w:w="0" w:type="auto"/>
            <w:shd w:val="clear" w:color="auto" w:fill="auto"/>
            <w:vAlign w:val="bottom"/>
          </w:tcPr>
          <w:p w14:paraId="71D4A6BE" w14:textId="77777777" w:rsidR="006A3667" w:rsidRDefault="006A3667">
            <w:pPr>
              <w:rPr>
                <w:rFonts w:ascii="宋体"/>
                <w:vanish/>
              </w:rPr>
            </w:pPr>
          </w:p>
        </w:tc>
        <w:tc>
          <w:tcPr>
            <w:tcW w:w="0" w:type="auto"/>
            <w:shd w:val="clear" w:color="auto" w:fill="auto"/>
            <w:vAlign w:val="bottom"/>
          </w:tcPr>
          <w:p w14:paraId="71D4A6BF" w14:textId="77777777" w:rsidR="006A3667" w:rsidRDefault="006A3667">
            <w:pPr>
              <w:rPr>
                <w:rFonts w:ascii="宋体"/>
                <w:vanish/>
              </w:rPr>
            </w:pPr>
          </w:p>
        </w:tc>
        <w:tc>
          <w:tcPr>
            <w:tcW w:w="0" w:type="auto"/>
            <w:shd w:val="clear" w:color="auto" w:fill="auto"/>
            <w:vAlign w:val="bottom"/>
          </w:tcPr>
          <w:p w14:paraId="71D4A6C0" w14:textId="77777777" w:rsidR="006A3667" w:rsidRDefault="006A3667">
            <w:pPr>
              <w:rPr>
                <w:rFonts w:ascii="宋体"/>
                <w:vanish/>
              </w:rPr>
            </w:pPr>
          </w:p>
        </w:tc>
        <w:tc>
          <w:tcPr>
            <w:tcW w:w="0" w:type="auto"/>
            <w:shd w:val="clear" w:color="auto" w:fill="auto"/>
            <w:vAlign w:val="bottom"/>
          </w:tcPr>
          <w:p w14:paraId="71D4A6C1" w14:textId="77777777" w:rsidR="006A3667" w:rsidRDefault="006A3667">
            <w:pPr>
              <w:rPr>
                <w:rFonts w:ascii="宋体"/>
                <w:vanish/>
              </w:rPr>
            </w:pPr>
          </w:p>
        </w:tc>
        <w:tc>
          <w:tcPr>
            <w:tcW w:w="0" w:type="auto"/>
            <w:gridSpan w:val="3"/>
            <w:shd w:val="clear" w:color="auto" w:fill="auto"/>
            <w:vAlign w:val="bottom"/>
          </w:tcPr>
          <w:p w14:paraId="71D4A6C2" w14:textId="77777777" w:rsidR="006A3667" w:rsidRDefault="006A3667">
            <w:pPr>
              <w:rPr>
                <w:rFonts w:ascii="宋体"/>
                <w:vanish/>
              </w:rPr>
            </w:pPr>
          </w:p>
        </w:tc>
        <w:tc>
          <w:tcPr>
            <w:tcW w:w="0" w:type="auto"/>
            <w:gridSpan w:val="3"/>
            <w:shd w:val="clear" w:color="auto" w:fill="auto"/>
            <w:vAlign w:val="bottom"/>
          </w:tcPr>
          <w:p w14:paraId="71D4A6C3" w14:textId="77777777" w:rsidR="006A3667" w:rsidRDefault="006A3667">
            <w:pPr>
              <w:rPr>
                <w:rFonts w:ascii="宋体"/>
                <w:vanish/>
              </w:rPr>
            </w:pPr>
          </w:p>
        </w:tc>
        <w:tc>
          <w:tcPr>
            <w:tcW w:w="0" w:type="auto"/>
            <w:shd w:val="clear" w:color="auto" w:fill="auto"/>
            <w:vAlign w:val="bottom"/>
          </w:tcPr>
          <w:p w14:paraId="71D4A6C4" w14:textId="77777777" w:rsidR="006A3667" w:rsidRDefault="006A3667">
            <w:pPr>
              <w:rPr>
                <w:rFonts w:ascii="宋体"/>
              </w:rPr>
            </w:pPr>
          </w:p>
        </w:tc>
        <w:tc>
          <w:tcPr>
            <w:tcW w:w="0" w:type="auto"/>
            <w:shd w:val="clear" w:color="auto" w:fill="auto"/>
            <w:vAlign w:val="bottom"/>
          </w:tcPr>
          <w:p w14:paraId="71D4A6C5" w14:textId="77777777" w:rsidR="006A3667" w:rsidRDefault="006A3667">
            <w:pPr>
              <w:rPr>
                <w:rFonts w:ascii="宋体"/>
              </w:rPr>
            </w:pPr>
          </w:p>
        </w:tc>
        <w:tc>
          <w:tcPr>
            <w:tcW w:w="0" w:type="auto"/>
            <w:shd w:val="clear" w:color="auto" w:fill="auto"/>
            <w:vAlign w:val="bottom"/>
          </w:tcPr>
          <w:p w14:paraId="71D4A6C6" w14:textId="77777777" w:rsidR="006A3667" w:rsidRDefault="006A3667">
            <w:pPr>
              <w:rPr>
                <w:rFonts w:ascii="宋体"/>
              </w:rPr>
            </w:pPr>
          </w:p>
        </w:tc>
      </w:tr>
      <w:tr w:rsidR="006A3667" w14:paraId="71D4A6DE" w14:textId="77777777">
        <w:tc>
          <w:tcPr>
            <w:tcW w:w="0" w:type="auto"/>
            <w:gridSpan w:val="3"/>
            <w:shd w:val="clear" w:color="auto" w:fill="auto"/>
            <w:tcMar>
              <w:top w:w="40" w:type="dxa"/>
              <w:left w:w="20" w:type="dxa"/>
              <w:bottom w:w="40" w:type="dxa"/>
              <w:right w:w="20" w:type="dxa"/>
            </w:tcMar>
            <w:vAlign w:val="bottom"/>
          </w:tcPr>
          <w:p w14:paraId="71D4A6C8" w14:textId="77777777" w:rsidR="006A3667" w:rsidRDefault="00045F32">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C9" w14:textId="77777777" w:rsidR="006A3667" w:rsidRDefault="00045F32">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C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CB" w14:textId="77777777" w:rsidR="006A3667" w:rsidRDefault="00045F32">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CC"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CD" w14:textId="77777777" w:rsidR="006A3667" w:rsidRDefault="00045F32">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71D4A6CE"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CF" w14:textId="77777777" w:rsidR="006A3667" w:rsidRDefault="00045F32">
            <w:pP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D0"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D1" w14:textId="77777777" w:rsidR="006A3667" w:rsidRDefault="00045F32">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6D2"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6D3" w14:textId="77777777" w:rsidR="006A3667" w:rsidRDefault="00045F32">
            <w:pPr>
              <w:jc w:val="center"/>
              <w:textAlignment w:val="bottom"/>
            </w:pPr>
            <w:r>
              <w:rPr>
                <w:rFonts w:ascii="Arial" w:eastAsia="宋体" w:hAnsi="Arial" w:cs="Arial"/>
                <w:b/>
                <w:bCs/>
                <w:color w:val="000000"/>
                <w:sz w:val="16"/>
                <w:szCs w:val="16"/>
              </w:rPr>
              <w:t>Total</w:t>
            </w:r>
          </w:p>
        </w:tc>
        <w:tc>
          <w:tcPr>
            <w:tcW w:w="0" w:type="auto"/>
            <w:shd w:val="clear" w:color="auto" w:fill="auto"/>
            <w:vAlign w:val="bottom"/>
          </w:tcPr>
          <w:p w14:paraId="71D4A6D4" w14:textId="77777777" w:rsidR="006A3667" w:rsidRDefault="006A3667">
            <w:pPr>
              <w:rPr>
                <w:rFonts w:ascii="宋体"/>
                <w:vanish/>
              </w:rPr>
            </w:pPr>
          </w:p>
        </w:tc>
        <w:tc>
          <w:tcPr>
            <w:tcW w:w="0" w:type="auto"/>
            <w:shd w:val="clear" w:color="auto" w:fill="auto"/>
            <w:vAlign w:val="bottom"/>
          </w:tcPr>
          <w:p w14:paraId="71D4A6D5" w14:textId="77777777" w:rsidR="006A3667" w:rsidRDefault="006A3667">
            <w:pPr>
              <w:rPr>
                <w:rFonts w:ascii="宋体"/>
                <w:vanish/>
              </w:rPr>
            </w:pPr>
          </w:p>
        </w:tc>
        <w:tc>
          <w:tcPr>
            <w:tcW w:w="0" w:type="auto"/>
            <w:shd w:val="clear" w:color="auto" w:fill="auto"/>
            <w:vAlign w:val="bottom"/>
          </w:tcPr>
          <w:p w14:paraId="71D4A6D6" w14:textId="77777777" w:rsidR="006A3667" w:rsidRDefault="006A3667">
            <w:pPr>
              <w:rPr>
                <w:rFonts w:ascii="宋体"/>
                <w:vanish/>
              </w:rPr>
            </w:pPr>
          </w:p>
        </w:tc>
        <w:tc>
          <w:tcPr>
            <w:tcW w:w="0" w:type="auto"/>
            <w:shd w:val="clear" w:color="auto" w:fill="auto"/>
            <w:vAlign w:val="bottom"/>
          </w:tcPr>
          <w:p w14:paraId="71D4A6D7" w14:textId="77777777" w:rsidR="006A3667" w:rsidRDefault="006A3667">
            <w:pPr>
              <w:rPr>
                <w:rFonts w:ascii="宋体"/>
                <w:vanish/>
              </w:rPr>
            </w:pPr>
          </w:p>
        </w:tc>
        <w:tc>
          <w:tcPr>
            <w:tcW w:w="0" w:type="auto"/>
            <w:shd w:val="clear" w:color="auto" w:fill="auto"/>
            <w:vAlign w:val="bottom"/>
          </w:tcPr>
          <w:p w14:paraId="71D4A6D8" w14:textId="77777777" w:rsidR="006A3667" w:rsidRDefault="006A3667">
            <w:pPr>
              <w:rPr>
                <w:rFonts w:ascii="宋体"/>
                <w:vanish/>
              </w:rPr>
            </w:pPr>
          </w:p>
        </w:tc>
        <w:tc>
          <w:tcPr>
            <w:tcW w:w="0" w:type="auto"/>
            <w:shd w:val="clear" w:color="auto" w:fill="auto"/>
            <w:vAlign w:val="bottom"/>
          </w:tcPr>
          <w:p w14:paraId="71D4A6D9" w14:textId="77777777" w:rsidR="006A3667" w:rsidRDefault="006A3667">
            <w:pPr>
              <w:rPr>
                <w:rFonts w:ascii="宋体"/>
                <w:vanish/>
              </w:rPr>
            </w:pPr>
          </w:p>
        </w:tc>
        <w:tc>
          <w:tcPr>
            <w:tcW w:w="0" w:type="auto"/>
            <w:gridSpan w:val="3"/>
            <w:shd w:val="clear" w:color="auto" w:fill="auto"/>
            <w:vAlign w:val="bottom"/>
          </w:tcPr>
          <w:p w14:paraId="71D4A6DA" w14:textId="77777777" w:rsidR="006A3667" w:rsidRDefault="006A3667">
            <w:pPr>
              <w:rPr>
                <w:rFonts w:ascii="宋体"/>
                <w:vanish/>
              </w:rPr>
            </w:pPr>
          </w:p>
        </w:tc>
        <w:tc>
          <w:tcPr>
            <w:tcW w:w="0" w:type="auto"/>
            <w:gridSpan w:val="3"/>
            <w:shd w:val="clear" w:color="auto" w:fill="auto"/>
            <w:vAlign w:val="bottom"/>
          </w:tcPr>
          <w:p w14:paraId="71D4A6DB" w14:textId="77777777" w:rsidR="006A3667" w:rsidRDefault="006A3667">
            <w:pPr>
              <w:rPr>
                <w:rFonts w:ascii="宋体"/>
                <w:vanish/>
              </w:rPr>
            </w:pPr>
          </w:p>
        </w:tc>
        <w:tc>
          <w:tcPr>
            <w:tcW w:w="0" w:type="auto"/>
            <w:gridSpan w:val="2"/>
            <w:shd w:val="clear" w:color="auto" w:fill="auto"/>
            <w:vAlign w:val="bottom"/>
          </w:tcPr>
          <w:p w14:paraId="71D4A6DC" w14:textId="77777777" w:rsidR="006A3667" w:rsidRDefault="006A3667">
            <w:pPr>
              <w:rPr>
                <w:rFonts w:ascii="宋体"/>
                <w:vanish/>
              </w:rPr>
            </w:pPr>
          </w:p>
        </w:tc>
        <w:tc>
          <w:tcPr>
            <w:tcW w:w="0" w:type="auto"/>
            <w:shd w:val="clear" w:color="auto" w:fill="auto"/>
            <w:vAlign w:val="bottom"/>
          </w:tcPr>
          <w:p w14:paraId="71D4A6DD" w14:textId="77777777" w:rsidR="006A3667" w:rsidRDefault="006A3667">
            <w:pPr>
              <w:rPr>
                <w:rFonts w:ascii="宋体"/>
                <w:vanish/>
              </w:rPr>
            </w:pPr>
          </w:p>
        </w:tc>
      </w:tr>
      <w:tr w:rsidR="006A3667" w14:paraId="71D4A701" w14:textId="77777777">
        <w:tc>
          <w:tcPr>
            <w:tcW w:w="0" w:type="auto"/>
            <w:gridSpan w:val="3"/>
            <w:shd w:val="clear" w:color="auto" w:fill="CCEEFF"/>
            <w:tcMar>
              <w:top w:w="40" w:type="dxa"/>
              <w:left w:w="20" w:type="dxa"/>
              <w:bottom w:w="40" w:type="dxa"/>
              <w:right w:w="20" w:type="dxa"/>
            </w:tcMar>
            <w:vAlign w:val="bottom"/>
          </w:tcPr>
          <w:p w14:paraId="71D4A6DF" w14:textId="77777777" w:rsidR="006A3667" w:rsidRDefault="00045F32">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71D4A6E0"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E1" w14:textId="77777777" w:rsidR="006A3667" w:rsidRDefault="00045F32">
            <w:pPr>
              <w:jc w:val="right"/>
              <w:textAlignment w:val="bottom"/>
            </w:pPr>
            <w:r>
              <w:rPr>
                <w:rFonts w:ascii="Arial" w:eastAsia="宋体" w:hAnsi="Arial" w:cs="Arial"/>
                <w:b/>
                <w:bCs/>
                <w:color w:val="000000"/>
                <w:sz w:val="16"/>
                <w:szCs w:val="16"/>
              </w:rPr>
              <w:t>3,903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E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E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E4"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E5" w14:textId="77777777" w:rsidR="006A3667" w:rsidRDefault="00045F32">
            <w:pPr>
              <w:jc w:val="right"/>
              <w:textAlignment w:val="bottom"/>
            </w:pPr>
            <w:r>
              <w:rPr>
                <w:rFonts w:ascii="Arial" w:eastAsia="宋体" w:hAnsi="Arial" w:cs="Arial"/>
                <w:b/>
                <w:bCs/>
                <w:color w:val="000000"/>
                <w:sz w:val="16"/>
                <w:szCs w:val="16"/>
              </w:rPr>
              <w:t>5,090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E6"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E7"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E8" w14:textId="77777777" w:rsidR="006A3667" w:rsidRDefault="00045F32">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E9" w14:textId="77777777" w:rsidR="006A3667" w:rsidRDefault="00045F32">
            <w:pPr>
              <w:jc w:val="right"/>
              <w:textAlignment w:val="bottom"/>
            </w:pPr>
            <w:r>
              <w:rPr>
                <w:rFonts w:ascii="Arial" w:eastAsia="宋体" w:hAnsi="Arial" w:cs="Arial"/>
                <w:b/>
                <w:bCs/>
                <w:color w:val="000000"/>
                <w:sz w:val="16"/>
                <w:szCs w:val="16"/>
              </w:rPr>
              <w:t>8,993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EA"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EB"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EC"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ED" w14:textId="77777777" w:rsidR="006A3667" w:rsidRDefault="00045F32">
            <w:pPr>
              <w:jc w:val="right"/>
              <w:textAlignment w:val="bottom"/>
            </w:pPr>
            <w:r>
              <w:rPr>
                <w:rFonts w:ascii="Arial" w:eastAsia="宋体" w:hAnsi="Arial" w:cs="Arial"/>
                <w:color w:val="000000"/>
                <w:sz w:val="16"/>
                <w:szCs w:val="16"/>
              </w:rPr>
              <w:t>4,002 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EE"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EF"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F0"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F1" w14:textId="77777777" w:rsidR="006A3667" w:rsidRDefault="00045F32">
            <w:pPr>
              <w:jc w:val="right"/>
              <w:textAlignment w:val="bottom"/>
            </w:pPr>
            <w:r>
              <w:rPr>
                <w:rFonts w:ascii="Arial" w:eastAsia="宋体" w:hAnsi="Arial" w:cs="Arial"/>
                <w:color w:val="000000"/>
                <w:sz w:val="16"/>
                <w:szCs w:val="16"/>
              </w:rPr>
              <w:t>4,972 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F2" w14:textId="77777777" w:rsidR="006A3667" w:rsidRDefault="006A3667">
            <w:pPr>
              <w:jc w:val="right"/>
              <w:rPr>
                <w:rFonts w:ascii="宋体"/>
              </w:rPr>
            </w:pPr>
          </w:p>
        </w:tc>
        <w:tc>
          <w:tcPr>
            <w:tcW w:w="0" w:type="auto"/>
            <w:gridSpan w:val="3"/>
            <w:shd w:val="clear" w:color="auto" w:fill="CCEEFF"/>
            <w:tcMar>
              <w:top w:w="0" w:type="dxa"/>
              <w:left w:w="20" w:type="dxa"/>
              <w:bottom w:w="0" w:type="dxa"/>
              <w:right w:w="20" w:type="dxa"/>
            </w:tcMar>
            <w:vAlign w:val="bottom"/>
          </w:tcPr>
          <w:p w14:paraId="71D4A6F3" w14:textId="77777777" w:rsidR="006A3667" w:rsidRDefault="006A3667">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1D4A6F4" w14:textId="77777777" w:rsidR="006A3667" w:rsidRDefault="00045F32">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1D4A6F5" w14:textId="77777777" w:rsidR="006A3667" w:rsidRDefault="00045F32">
            <w:pPr>
              <w:jc w:val="right"/>
              <w:textAlignment w:val="bottom"/>
            </w:pPr>
            <w:r>
              <w:rPr>
                <w:rFonts w:ascii="Arial" w:eastAsia="宋体" w:hAnsi="Arial" w:cs="Arial"/>
                <w:color w:val="000000"/>
                <w:sz w:val="16"/>
                <w:szCs w:val="16"/>
              </w:rPr>
              <w:t>8,974 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1D4A6F6" w14:textId="77777777" w:rsidR="006A3667" w:rsidRDefault="006A3667">
            <w:pPr>
              <w:jc w:val="right"/>
              <w:rPr>
                <w:rFonts w:ascii="宋体"/>
              </w:rPr>
            </w:pPr>
          </w:p>
        </w:tc>
        <w:tc>
          <w:tcPr>
            <w:tcW w:w="0" w:type="auto"/>
            <w:shd w:val="clear" w:color="auto" w:fill="auto"/>
            <w:vAlign w:val="bottom"/>
          </w:tcPr>
          <w:p w14:paraId="71D4A6F7" w14:textId="77777777" w:rsidR="006A3667" w:rsidRDefault="006A3667">
            <w:pPr>
              <w:rPr>
                <w:rFonts w:ascii="宋体"/>
                <w:vanish/>
              </w:rPr>
            </w:pPr>
          </w:p>
        </w:tc>
        <w:tc>
          <w:tcPr>
            <w:tcW w:w="0" w:type="auto"/>
            <w:shd w:val="clear" w:color="auto" w:fill="auto"/>
            <w:vAlign w:val="bottom"/>
          </w:tcPr>
          <w:p w14:paraId="71D4A6F8" w14:textId="77777777" w:rsidR="006A3667" w:rsidRDefault="006A3667">
            <w:pPr>
              <w:rPr>
                <w:rFonts w:ascii="宋体"/>
                <w:vanish/>
              </w:rPr>
            </w:pPr>
          </w:p>
        </w:tc>
        <w:tc>
          <w:tcPr>
            <w:tcW w:w="0" w:type="auto"/>
            <w:shd w:val="clear" w:color="auto" w:fill="auto"/>
            <w:vAlign w:val="bottom"/>
          </w:tcPr>
          <w:p w14:paraId="71D4A6F9" w14:textId="77777777" w:rsidR="006A3667" w:rsidRDefault="006A3667">
            <w:pPr>
              <w:rPr>
                <w:rFonts w:ascii="宋体"/>
                <w:vanish/>
              </w:rPr>
            </w:pPr>
          </w:p>
        </w:tc>
        <w:tc>
          <w:tcPr>
            <w:tcW w:w="0" w:type="auto"/>
            <w:shd w:val="clear" w:color="auto" w:fill="auto"/>
            <w:vAlign w:val="bottom"/>
          </w:tcPr>
          <w:p w14:paraId="71D4A6FA" w14:textId="77777777" w:rsidR="006A3667" w:rsidRDefault="006A3667">
            <w:pPr>
              <w:rPr>
                <w:rFonts w:ascii="宋体"/>
                <w:vanish/>
              </w:rPr>
            </w:pPr>
          </w:p>
        </w:tc>
        <w:tc>
          <w:tcPr>
            <w:tcW w:w="0" w:type="auto"/>
            <w:shd w:val="clear" w:color="auto" w:fill="auto"/>
            <w:vAlign w:val="bottom"/>
          </w:tcPr>
          <w:p w14:paraId="71D4A6FB" w14:textId="77777777" w:rsidR="006A3667" w:rsidRDefault="006A3667">
            <w:pPr>
              <w:rPr>
                <w:rFonts w:ascii="宋体"/>
                <w:vanish/>
              </w:rPr>
            </w:pPr>
          </w:p>
        </w:tc>
        <w:tc>
          <w:tcPr>
            <w:tcW w:w="0" w:type="auto"/>
            <w:shd w:val="clear" w:color="auto" w:fill="auto"/>
            <w:vAlign w:val="bottom"/>
          </w:tcPr>
          <w:p w14:paraId="71D4A6FC" w14:textId="77777777" w:rsidR="006A3667" w:rsidRDefault="006A3667">
            <w:pPr>
              <w:rPr>
                <w:rFonts w:ascii="宋体"/>
                <w:vanish/>
              </w:rPr>
            </w:pPr>
          </w:p>
        </w:tc>
        <w:tc>
          <w:tcPr>
            <w:tcW w:w="0" w:type="auto"/>
            <w:gridSpan w:val="3"/>
            <w:shd w:val="clear" w:color="auto" w:fill="auto"/>
            <w:vAlign w:val="bottom"/>
          </w:tcPr>
          <w:p w14:paraId="71D4A6FD" w14:textId="77777777" w:rsidR="006A3667" w:rsidRDefault="006A3667">
            <w:pPr>
              <w:rPr>
                <w:rFonts w:ascii="宋体"/>
                <w:vanish/>
              </w:rPr>
            </w:pPr>
          </w:p>
        </w:tc>
        <w:tc>
          <w:tcPr>
            <w:tcW w:w="0" w:type="auto"/>
            <w:gridSpan w:val="3"/>
            <w:shd w:val="clear" w:color="auto" w:fill="auto"/>
            <w:vAlign w:val="bottom"/>
          </w:tcPr>
          <w:p w14:paraId="71D4A6FE" w14:textId="77777777" w:rsidR="006A3667" w:rsidRDefault="006A3667">
            <w:pPr>
              <w:rPr>
                <w:rFonts w:ascii="宋体"/>
                <w:vanish/>
              </w:rPr>
            </w:pPr>
          </w:p>
        </w:tc>
        <w:tc>
          <w:tcPr>
            <w:tcW w:w="0" w:type="auto"/>
            <w:gridSpan w:val="2"/>
            <w:shd w:val="clear" w:color="auto" w:fill="auto"/>
            <w:vAlign w:val="bottom"/>
          </w:tcPr>
          <w:p w14:paraId="71D4A6FF" w14:textId="77777777" w:rsidR="006A3667" w:rsidRDefault="006A3667">
            <w:pPr>
              <w:rPr>
                <w:rFonts w:ascii="宋体"/>
                <w:vanish/>
              </w:rPr>
            </w:pPr>
          </w:p>
        </w:tc>
        <w:tc>
          <w:tcPr>
            <w:tcW w:w="0" w:type="auto"/>
            <w:shd w:val="clear" w:color="auto" w:fill="auto"/>
            <w:vAlign w:val="bottom"/>
          </w:tcPr>
          <w:p w14:paraId="71D4A700" w14:textId="77777777" w:rsidR="006A3667" w:rsidRDefault="006A3667">
            <w:pPr>
              <w:rPr>
                <w:rFonts w:ascii="宋体"/>
                <w:vanish/>
              </w:rPr>
            </w:pPr>
          </w:p>
        </w:tc>
      </w:tr>
      <w:tr w:rsidR="006A3667" w14:paraId="71D4A71E" w14:textId="77777777">
        <w:tc>
          <w:tcPr>
            <w:tcW w:w="0" w:type="auto"/>
            <w:gridSpan w:val="3"/>
            <w:shd w:val="clear" w:color="auto" w:fill="FFFFFF"/>
            <w:tcMar>
              <w:top w:w="40" w:type="dxa"/>
              <w:left w:w="20" w:type="dxa"/>
              <w:bottom w:w="40" w:type="dxa"/>
              <w:right w:w="20" w:type="dxa"/>
            </w:tcMar>
            <w:vAlign w:val="bottom"/>
          </w:tcPr>
          <w:p w14:paraId="71D4A702" w14:textId="77777777" w:rsidR="006A3667" w:rsidRDefault="00045F32">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71D4A703" w14:textId="77777777" w:rsidR="006A3667" w:rsidRDefault="00045F32">
            <w:pPr>
              <w:jc w:val="right"/>
              <w:textAlignment w:val="bottom"/>
            </w:pPr>
            <w:r>
              <w:rPr>
                <w:rFonts w:ascii="Arial" w:eastAsia="宋体" w:hAnsi="Arial" w:cs="Arial"/>
                <w:b/>
                <w:bCs/>
                <w:color w:val="000000"/>
                <w:sz w:val="16"/>
                <w:szCs w:val="16"/>
              </w:rPr>
              <w:t>1,059</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71D4A704"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705" w14:textId="77777777" w:rsidR="006A3667" w:rsidRDefault="006A3667">
            <w:pPr>
              <w:rPr>
                <w:rFonts w:ascii="宋体"/>
              </w:rPr>
            </w:pPr>
          </w:p>
        </w:tc>
        <w:tc>
          <w:tcPr>
            <w:tcW w:w="0" w:type="auto"/>
            <w:gridSpan w:val="2"/>
            <w:shd w:val="clear" w:color="auto" w:fill="auto"/>
            <w:tcMar>
              <w:top w:w="40" w:type="dxa"/>
              <w:left w:w="20" w:type="dxa"/>
              <w:bottom w:w="40" w:type="dxa"/>
              <w:right w:w="0" w:type="dxa"/>
            </w:tcMar>
            <w:vAlign w:val="bottom"/>
          </w:tcPr>
          <w:p w14:paraId="71D4A706" w14:textId="77777777" w:rsidR="006A3667" w:rsidRDefault="00045F32">
            <w:pPr>
              <w:jc w:val="right"/>
              <w:textAlignment w:val="bottom"/>
            </w:pPr>
            <w:r>
              <w:rPr>
                <w:rFonts w:ascii="Arial" w:eastAsia="宋体" w:hAnsi="Arial" w:cs="Arial"/>
                <w:b/>
                <w:bCs/>
                <w:color w:val="000000"/>
                <w:sz w:val="16"/>
                <w:szCs w:val="16"/>
              </w:rPr>
              <w:t>1,379</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71D4A707"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708" w14:textId="77777777" w:rsidR="006A3667" w:rsidRDefault="006A3667">
            <w:pPr>
              <w:rPr>
                <w:rFonts w:ascii="宋体"/>
              </w:rPr>
            </w:pPr>
          </w:p>
        </w:tc>
        <w:tc>
          <w:tcPr>
            <w:tcW w:w="0" w:type="auto"/>
            <w:gridSpan w:val="2"/>
            <w:shd w:val="clear" w:color="auto" w:fill="auto"/>
            <w:tcMar>
              <w:top w:w="40" w:type="dxa"/>
              <w:left w:w="20" w:type="dxa"/>
              <w:bottom w:w="40" w:type="dxa"/>
              <w:right w:w="0" w:type="dxa"/>
            </w:tcMar>
            <w:vAlign w:val="bottom"/>
          </w:tcPr>
          <w:p w14:paraId="71D4A709" w14:textId="77777777" w:rsidR="006A3667" w:rsidRDefault="00045F32">
            <w:pPr>
              <w:jc w:val="right"/>
              <w:textAlignment w:val="bottom"/>
            </w:pPr>
            <w:r>
              <w:rPr>
                <w:rFonts w:ascii="Arial" w:eastAsia="宋体" w:hAnsi="Arial" w:cs="Arial"/>
                <w:b/>
                <w:bCs/>
                <w:color w:val="000000"/>
                <w:sz w:val="16"/>
                <w:szCs w:val="16"/>
              </w:rPr>
              <w:t>2,438</w:t>
            </w:r>
            <w:r>
              <w:rPr>
                <w:rFonts w:ascii="Arial" w:eastAsia="宋体" w:hAnsi="Arial" w:cs="Arial"/>
                <w:color w:val="000000"/>
                <w:sz w:val="16"/>
                <w:szCs w:val="16"/>
              </w:rPr>
              <w:t> </w:t>
            </w:r>
          </w:p>
        </w:tc>
        <w:tc>
          <w:tcPr>
            <w:tcW w:w="0" w:type="auto"/>
            <w:shd w:val="clear" w:color="auto" w:fill="auto"/>
            <w:tcMar>
              <w:top w:w="40" w:type="dxa"/>
              <w:left w:w="0" w:type="dxa"/>
              <w:bottom w:w="40" w:type="dxa"/>
              <w:right w:w="20" w:type="dxa"/>
            </w:tcMar>
            <w:vAlign w:val="bottom"/>
          </w:tcPr>
          <w:p w14:paraId="71D4A70A"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70B"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70C" w14:textId="77777777" w:rsidR="006A3667" w:rsidRDefault="00045F32">
            <w:pPr>
              <w:jc w:val="right"/>
              <w:textAlignment w:val="bottom"/>
            </w:pPr>
            <w:r>
              <w:rPr>
                <w:rFonts w:ascii="Arial" w:eastAsia="宋体" w:hAnsi="Arial" w:cs="Arial"/>
                <w:color w:val="000000"/>
                <w:sz w:val="16"/>
                <w:szCs w:val="16"/>
              </w:rPr>
              <w:t>1,146 </w:t>
            </w:r>
          </w:p>
        </w:tc>
        <w:tc>
          <w:tcPr>
            <w:tcW w:w="0" w:type="auto"/>
            <w:shd w:val="clear" w:color="auto" w:fill="FFFFFF"/>
            <w:tcMar>
              <w:top w:w="40" w:type="dxa"/>
              <w:left w:w="0" w:type="dxa"/>
              <w:bottom w:w="40" w:type="dxa"/>
              <w:right w:w="20" w:type="dxa"/>
            </w:tcMar>
            <w:vAlign w:val="bottom"/>
          </w:tcPr>
          <w:p w14:paraId="71D4A70D"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70E"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70F" w14:textId="77777777" w:rsidR="006A3667" w:rsidRDefault="00045F32">
            <w:pPr>
              <w:jc w:val="right"/>
              <w:textAlignment w:val="bottom"/>
            </w:pPr>
            <w:r>
              <w:rPr>
                <w:rFonts w:ascii="Arial" w:eastAsia="宋体" w:hAnsi="Arial" w:cs="Arial"/>
                <w:color w:val="000000"/>
                <w:sz w:val="16"/>
                <w:szCs w:val="16"/>
              </w:rPr>
              <w:t>1,295 </w:t>
            </w:r>
          </w:p>
        </w:tc>
        <w:tc>
          <w:tcPr>
            <w:tcW w:w="0" w:type="auto"/>
            <w:shd w:val="clear" w:color="auto" w:fill="FFFFFF"/>
            <w:tcMar>
              <w:top w:w="40" w:type="dxa"/>
              <w:left w:w="0" w:type="dxa"/>
              <w:bottom w:w="40" w:type="dxa"/>
              <w:right w:w="20" w:type="dxa"/>
            </w:tcMar>
            <w:vAlign w:val="bottom"/>
          </w:tcPr>
          <w:p w14:paraId="71D4A710" w14:textId="77777777" w:rsidR="006A3667" w:rsidRDefault="006A3667">
            <w:pPr>
              <w:jc w:val="right"/>
              <w:rPr>
                <w:rFonts w:ascii="宋体"/>
              </w:rPr>
            </w:pPr>
          </w:p>
        </w:tc>
        <w:tc>
          <w:tcPr>
            <w:tcW w:w="0" w:type="auto"/>
            <w:gridSpan w:val="3"/>
            <w:shd w:val="clear" w:color="auto" w:fill="FFFFFF"/>
            <w:tcMar>
              <w:top w:w="0" w:type="dxa"/>
              <w:left w:w="20" w:type="dxa"/>
              <w:bottom w:w="0" w:type="dxa"/>
              <w:right w:w="20" w:type="dxa"/>
            </w:tcMar>
            <w:vAlign w:val="bottom"/>
          </w:tcPr>
          <w:p w14:paraId="71D4A711" w14:textId="77777777" w:rsidR="006A3667" w:rsidRDefault="006A3667">
            <w:pPr>
              <w:rPr>
                <w:rFonts w:ascii="宋体"/>
              </w:rPr>
            </w:pPr>
          </w:p>
        </w:tc>
        <w:tc>
          <w:tcPr>
            <w:tcW w:w="0" w:type="auto"/>
            <w:gridSpan w:val="2"/>
            <w:shd w:val="clear" w:color="auto" w:fill="FFFFFF"/>
            <w:tcMar>
              <w:top w:w="40" w:type="dxa"/>
              <w:left w:w="20" w:type="dxa"/>
              <w:bottom w:w="40" w:type="dxa"/>
              <w:right w:w="0" w:type="dxa"/>
            </w:tcMar>
            <w:vAlign w:val="bottom"/>
          </w:tcPr>
          <w:p w14:paraId="71D4A712" w14:textId="77777777" w:rsidR="006A3667" w:rsidRDefault="00045F32">
            <w:pPr>
              <w:jc w:val="right"/>
              <w:textAlignment w:val="bottom"/>
            </w:pPr>
            <w:r>
              <w:rPr>
                <w:rFonts w:ascii="Arial" w:eastAsia="宋体" w:hAnsi="Arial" w:cs="Arial"/>
                <w:color w:val="000000"/>
                <w:sz w:val="16"/>
                <w:szCs w:val="16"/>
              </w:rPr>
              <w:t>2,441 </w:t>
            </w:r>
          </w:p>
        </w:tc>
        <w:tc>
          <w:tcPr>
            <w:tcW w:w="0" w:type="auto"/>
            <w:shd w:val="clear" w:color="auto" w:fill="FFFFFF"/>
            <w:tcMar>
              <w:top w:w="40" w:type="dxa"/>
              <w:left w:w="0" w:type="dxa"/>
              <w:bottom w:w="40" w:type="dxa"/>
              <w:right w:w="20" w:type="dxa"/>
            </w:tcMar>
            <w:vAlign w:val="bottom"/>
          </w:tcPr>
          <w:p w14:paraId="71D4A713" w14:textId="77777777" w:rsidR="006A3667" w:rsidRDefault="006A3667">
            <w:pPr>
              <w:jc w:val="right"/>
              <w:rPr>
                <w:rFonts w:ascii="宋体"/>
              </w:rPr>
            </w:pPr>
          </w:p>
        </w:tc>
        <w:tc>
          <w:tcPr>
            <w:tcW w:w="0" w:type="auto"/>
            <w:shd w:val="clear" w:color="auto" w:fill="auto"/>
            <w:vAlign w:val="bottom"/>
          </w:tcPr>
          <w:p w14:paraId="71D4A714" w14:textId="77777777" w:rsidR="006A3667" w:rsidRDefault="006A3667">
            <w:pPr>
              <w:rPr>
                <w:rFonts w:ascii="宋体"/>
                <w:vanish/>
              </w:rPr>
            </w:pPr>
          </w:p>
        </w:tc>
        <w:tc>
          <w:tcPr>
            <w:tcW w:w="0" w:type="auto"/>
            <w:shd w:val="clear" w:color="auto" w:fill="auto"/>
            <w:vAlign w:val="bottom"/>
          </w:tcPr>
          <w:p w14:paraId="71D4A715" w14:textId="77777777" w:rsidR="006A3667" w:rsidRDefault="006A3667">
            <w:pPr>
              <w:rPr>
                <w:rFonts w:ascii="宋体"/>
                <w:vanish/>
              </w:rPr>
            </w:pPr>
          </w:p>
        </w:tc>
        <w:tc>
          <w:tcPr>
            <w:tcW w:w="0" w:type="auto"/>
            <w:shd w:val="clear" w:color="auto" w:fill="auto"/>
            <w:vAlign w:val="bottom"/>
          </w:tcPr>
          <w:p w14:paraId="71D4A716" w14:textId="77777777" w:rsidR="006A3667" w:rsidRDefault="006A3667">
            <w:pPr>
              <w:rPr>
                <w:rFonts w:ascii="宋体"/>
                <w:vanish/>
              </w:rPr>
            </w:pPr>
          </w:p>
        </w:tc>
        <w:tc>
          <w:tcPr>
            <w:tcW w:w="0" w:type="auto"/>
            <w:shd w:val="clear" w:color="auto" w:fill="auto"/>
            <w:vAlign w:val="bottom"/>
          </w:tcPr>
          <w:p w14:paraId="71D4A717" w14:textId="77777777" w:rsidR="006A3667" w:rsidRDefault="006A3667">
            <w:pPr>
              <w:rPr>
                <w:rFonts w:ascii="宋体"/>
                <w:vanish/>
              </w:rPr>
            </w:pPr>
          </w:p>
        </w:tc>
        <w:tc>
          <w:tcPr>
            <w:tcW w:w="0" w:type="auto"/>
            <w:shd w:val="clear" w:color="auto" w:fill="auto"/>
            <w:vAlign w:val="bottom"/>
          </w:tcPr>
          <w:p w14:paraId="71D4A718" w14:textId="77777777" w:rsidR="006A3667" w:rsidRDefault="006A3667">
            <w:pPr>
              <w:rPr>
                <w:rFonts w:ascii="宋体"/>
                <w:vanish/>
              </w:rPr>
            </w:pPr>
          </w:p>
        </w:tc>
        <w:tc>
          <w:tcPr>
            <w:tcW w:w="0" w:type="auto"/>
            <w:shd w:val="clear" w:color="auto" w:fill="auto"/>
            <w:vAlign w:val="bottom"/>
          </w:tcPr>
          <w:p w14:paraId="71D4A719" w14:textId="77777777" w:rsidR="006A3667" w:rsidRDefault="006A3667">
            <w:pPr>
              <w:rPr>
                <w:rFonts w:ascii="宋体"/>
                <w:vanish/>
              </w:rPr>
            </w:pPr>
          </w:p>
        </w:tc>
        <w:tc>
          <w:tcPr>
            <w:tcW w:w="0" w:type="auto"/>
            <w:gridSpan w:val="3"/>
            <w:shd w:val="clear" w:color="auto" w:fill="auto"/>
            <w:vAlign w:val="bottom"/>
          </w:tcPr>
          <w:p w14:paraId="71D4A71A" w14:textId="77777777" w:rsidR="006A3667" w:rsidRDefault="006A3667">
            <w:pPr>
              <w:rPr>
                <w:rFonts w:ascii="宋体"/>
                <w:vanish/>
              </w:rPr>
            </w:pPr>
          </w:p>
        </w:tc>
        <w:tc>
          <w:tcPr>
            <w:tcW w:w="0" w:type="auto"/>
            <w:gridSpan w:val="3"/>
            <w:shd w:val="clear" w:color="auto" w:fill="auto"/>
            <w:vAlign w:val="bottom"/>
          </w:tcPr>
          <w:p w14:paraId="71D4A71B" w14:textId="77777777" w:rsidR="006A3667" w:rsidRDefault="006A3667">
            <w:pPr>
              <w:rPr>
                <w:rFonts w:ascii="宋体"/>
                <w:vanish/>
              </w:rPr>
            </w:pPr>
          </w:p>
        </w:tc>
        <w:tc>
          <w:tcPr>
            <w:tcW w:w="0" w:type="auto"/>
            <w:gridSpan w:val="2"/>
            <w:shd w:val="clear" w:color="auto" w:fill="auto"/>
            <w:vAlign w:val="bottom"/>
          </w:tcPr>
          <w:p w14:paraId="71D4A71C" w14:textId="77777777" w:rsidR="006A3667" w:rsidRDefault="006A3667">
            <w:pPr>
              <w:rPr>
                <w:rFonts w:ascii="宋体"/>
                <w:vanish/>
              </w:rPr>
            </w:pPr>
          </w:p>
        </w:tc>
        <w:tc>
          <w:tcPr>
            <w:tcW w:w="0" w:type="auto"/>
            <w:shd w:val="clear" w:color="auto" w:fill="auto"/>
            <w:vAlign w:val="bottom"/>
          </w:tcPr>
          <w:p w14:paraId="71D4A71D" w14:textId="77777777" w:rsidR="006A3667" w:rsidRDefault="006A3667">
            <w:pPr>
              <w:rPr>
                <w:rFonts w:ascii="宋体"/>
                <w:vanish/>
              </w:rPr>
            </w:pPr>
          </w:p>
        </w:tc>
      </w:tr>
    </w:tbl>
    <w:p w14:paraId="71D4A71F"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6A3667" w14:paraId="71D4A729" w14:textId="77777777">
        <w:tc>
          <w:tcPr>
            <w:tcW w:w="50" w:type="pct"/>
            <w:shd w:val="clear" w:color="auto" w:fill="auto"/>
            <w:vAlign w:val="bottom"/>
          </w:tcPr>
          <w:p w14:paraId="71D4A720" w14:textId="77777777" w:rsidR="006A3667" w:rsidRDefault="006A3667">
            <w:pPr>
              <w:rPr>
                <w:rFonts w:ascii="宋体"/>
              </w:rPr>
            </w:pPr>
          </w:p>
        </w:tc>
        <w:tc>
          <w:tcPr>
            <w:tcW w:w="1348" w:type="pct"/>
            <w:shd w:val="clear" w:color="auto" w:fill="auto"/>
            <w:vAlign w:val="bottom"/>
          </w:tcPr>
          <w:p w14:paraId="71D4A721" w14:textId="77777777" w:rsidR="006A3667" w:rsidRDefault="006A3667">
            <w:pPr>
              <w:rPr>
                <w:rFonts w:ascii="宋体"/>
              </w:rPr>
            </w:pPr>
          </w:p>
        </w:tc>
        <w:tc>
          <w:tcPr>
            <w:tcW w:w="5" w:type="pct"/>
            <w:shd w:val="clear" w:color="auto" w:fill="auto"/>
            <w:vAlign w:val="bottom"/>
          </w:tcPr>
          <w:p w14:paraId="71D4A722" w14:textId="77777777" w:rsidR="006A3667" w:rsidRDefault="006A3667">
            <w:pPr>
              <w:rPr>
                <w:rFonts w:ascii="宋体"/>
              </w:rPr>
            </w:pPr>
          </w:p>
        </w:tc>
        <w:tc>
          <w:tcPr>
            <w:tcW w:w="50" w:type="pct"/>
            <w:shd w:val="clear" w:color="auto" w:fill="auto"/>
            <w:vAlign w:val="bottom"/>
          </w:tcPr>
          <w:p w14:paraId="71D4A723" w14:textId="77777777" w:rsidR="006A3667" w:rsidRDefault="006A3667">
            <w:pPr>
              <w:rPr>
                <w:rFonts w:ascii="宋体"/>
              </w:rPr>
            </w:pPr>
          </w:p>
        </w:tc>
        <w:tc>
          <w:tcPr>
            <w:tcW w:w="2569" w:type="pct"/>
            <w:shd w:val="clear" w:color="auto" w:fill="auto"/>
            <w:vAlign w:val="bottom"/>
          </w:tcPr>
          <w:p w14:paraId="71D4A724" w14:textId="77777777" w:rsidR="006A3667" w:rsidRDefault="006A3667">
            <w:pPr>
              <w:rPr>
                <w:rFonts w:ascii="宋体"/>
              </w:rPr>
            </w:pPr>
          </w:p>
        </w:tc>
        <w:tc>
          <w:tcPr>
            <w:tcW w:w="5" w:type="pct"/>
            <w:shd w:val="clear" w:color="auto" w:fill="auto"/>
            <w:vAlign w:val="bottom"/>
          </w:tcPr>
          <w:p w14:paraId="71D4A725" w14:textId="77777777" w:rsidR="006A3667" w:rsidRDefault="006A3667">
            <w:pPr>
              <w:rPr>
                <w:rFonts w:ascii="宋体"/>
              </w:rPr>
            </w:pPr>
          </w:p>
        </w:tc>
        <w:tc>
          <w:tcPr>
            <w:tcW w:w="50" w:type="pct"/>
            <w:shd w:val="clear" w:color="auto" w:fill="auto"/>
            <w:vAlign w:val="bottom"/>
          </w:tcPr>
          <w:p w14:paraId="71D4A726" w14:textId="77777777" w:rsidR="006A3667" w:rsidRDefault="006A3667">
            <w:pPr>
              <w:rPr>
                <w:rFonts w:ascii="宋体"/>
              </w:rPr>
            </w:pPr>
          </w:p>
        </w:tc>
        <w:tc>
          <w:tcPr>
            <w:tcW w:w="917" w:type="pct"/>
            <w:shd w:val="clear" w:color="auto" w:fill="auto"/>
            <w:vAlign w:val="bottom"/>
          </w:tcPr>
          <w:p w14:paraId="71D4A727" w14:textId="77777777" w:rsidR="006A3667" w:rsidRDefault="006A3667">
            <w:pPr>
              <w:rPr>
                <w:rFonts w:ascii="宋体"/>
              </w:rPr>
            </w:pPr>
          </w:p>
        </w:tc>
        <w:tc>
          <w:tcPr>
            <w:tcW w:w="5" w:type="pct"/>
            <w:shd w:val="clear" w:color="auto" w:fill="auto"/>
            <w:vAlign w:val="bottom"/>
          </w:tcPr>
          <w:p w14:paraId="71D4A728" w14:textId="77777777" w:rsidR="006A3667" w:rsidRDefault="006A3667">
            <w:pPr>
              <w:rPr>
                <w:rFonts w:ascii="宋体"/>
              </w:rPr>
            </w:pPr>
          </w:p>
        </w:tc>
      </w:tr>
      <w:tr w:rsidR="006A3667" w14:paraId="71D4A72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A72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2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2C" w14:textId="77777777" w:rsidR="006A3667" w:rsidRDefault="006A3667">
            <w:pPr>
              <w:rPr>
                <w:rFonts w:ascii="宋体"/>
              </w:rPr>
            </w:pPr>
          </w:p>
        </w:tc>
      </w:tr>
    </w:tbl>
    <w:p w14:paraId="71D4A72E" w14:textId="77777777" w:rsidR="006A3667" w:rsidRDefault="00045F32">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Geographic mix is </w:t>
      </w:r>
      <w:r>
        <w:rPr>
          <w:rFonts w:ascii="Arial" w:eastAsia="宋体" w:hAnsi="Arial" w:cs="Arial"/>
          <w:color w:val="000000"/>
          <w:sz w:val="14"/>
          <w:szCs w:val="14"/>
        </w:rPr>
        <w:t>generally based on the domicile of the entity servicing the funds and is not necessarily representative of the underlying asset mix.</w:t>
      </w:r>
    </w:p>
    <w:p w14:paraId="71D4A72F" w14:textId="77777777" w:rsidR="006A3667" w:rsidRDefault="00045F32">
      <w:pPr>
        <w:spacing w:before="60" w:after="60"/>
        <w:ind w:firstLine="450"/>
        <w:jc w:val="both"/>
      </w:pPr>
      <w:r>
        <w:rPr>
          <w:rFonts w:ascii="Arial" w:eastAsia="宋体" w:hAnsi="Arial" w:cs="Arial"/>
          <w:color w:val="000000"/>
          <w:sz w:val="20"/>
          <w:szCs w:val="20"/>
        </w:rPr>
        <w:t>Management fees generated outside the U.S. were approximately 25% and 26% of total management fees in the three and nine mo</w:t>
      </w:r>
      <w:r>
        <w:rPr>
          <w:rFonts w:ascii="Arial" w:eastAsia="宋体" w:hAnsi="Arial" w:cs="Arial"/>
          <w:color w:val="000000"/>
          <w:sz w:val="20"/>
          <w:szCs w:val="20"/>
        </w:rPr>
        <w:t>nths ended September 30, 2022, respectively, compared to approximately 26% in both the three and nine months ended September 30, 2021.</w:t>
      </w:r>
    </w:p>
    <w:p w14:paraId="71D4A730" w14:textId="77777777" w:rsidR="006A3667" w:rsidRDefault="00045F32">
      <w:pPr>
        <w:spacing w:before="60" w:after="60"/>
        <w:ind w:firstLine="450"/>
        <w:jc w:val="both"/>
      </w:pPr>
      <w:r>
        <w:rPr>
          <w:rFonts w:ascii="Arial" w:eastAsia="宋体" w:hAnsi="Arial" w:cs="Arial"/>
          <w:color w:val="000000"/>
          <w:sz w:val="20"/>
          <w:szCs w:val="20"/>
        </w:rPr>
        <w:t>Servicing fees generated outside the U.S. were approximately 45% and 46% of total servicing fees in the three and nine mo</w:t>
      </w:r>
      <w:r>
        <w:rPr>
          <w:rFonts w:ascii="Arial" w:eastAsia="宋体" w:hAnsi="Arial" w:cs="Arial"/>
          <w:color w:val="000000"/>
          <w:sz w:val="20"/>
          <w:szCs w:val="20"/>
        </w:rPr>
        <w:t xml:space="preserve">nths ended September 30, 2022, respectively, compared to approximately </w:t>
      </w:r>
      <w:r>
        <w:rPr>
          <w:rFonts w:ascii="Arial" w:eastAsia="宋体" w:hAnsi="Arial" w:cs="Arial"/>
          <w:color w:val="000000"/>
          <w:sz w:val="20"/>
          <w:szCs w:val="20"/>
          <w:shd w:val="clear" w:color="auto" w:fill="FFFFFF"/>
        </w:rPr>
        <w:t>48%</w:t>
      </w:r>
      <w:r>
        <w:rPr>
          <w:rFonts w:ascii="Arial" w:eastAsia="宋体" w:hAnsi="Arial" w:cs="Arial"/>
          <w:color w:val="000000"/>
          <w:sz w:val="20"/>
          <w:szCs w:val="20"/>
        </w:rPr>
        <w:t xml:space="preserve"> in both the three and nine months ended September 30, 2021.</w:t>
      </w:r>
    </w:p>
    <w:p w14:paraId="71D4A731" w14:textId="77777777" w:rsidR="006A3667" w:rsidRDefault="00045F32">
      <w:pPr>
        <w:spacing w:before="60" w:after="60"/>
        <w:ind w:firstLine="450"/>
        <w:jc w:val="both"/>
      </w:pPr>
      <w:r>
        <w:rPr>
          <w:rFonts w:ascii="Arial" w:eastAsia="宋体" w:hAnsi="Arial" w:cs="Arial"/>
          <w:color w:val="000000"/>
          <w:sz w:val="20"/>
          <w:szCs w:val="20"/>
        </w:rPr>
        <w:t xml:space="preserve">Non-U.S. assets were </w:t>
      </w:r>
      <w:r>
        <w:rPr>
          <w:rFonts w:ascii="Arial" w:eastAsia="宋体" w:hAnsi="Arial" w:cs="Arial"/>
          <w:color w:val="000000"/>
          <w:sz w:val="20"/>
          <w:szCs w:val="20"/>
          <w:shd w:val="clear" w:color="auto" w:fill="FFFFFF"/>
        </w:rPr>
        <w:t>$91.23 billion</w:t>
      </w:r>
      <w:r>
        <w:rPr>
          <w:rFonts w:ascii="Arial" w:eastAsia="宋体" w:hAnsi="Arial" w:cs="Arial"/>
          <w:color w:val="000000"/>
          <w:sz w:val="20"/>
          <w:szCs w:val="20"/>
        </w:rPr>
        <w:t xml:space="preserve"> and $96.28 billion as of September 30, 2022 and 2021, respectively.</w:t>
      </w:r>
    </w:p>
    <w:p w14:paraId="71D4A732" w14:textId="77777777" w:rsidR="006A3667" w:rsidRDefault="006A3667">
      <w:pPr>
        <w:spacing w:before="60" w:after="60"/>
        <w:ind w:firstLine="450"/>
        <w:jc w:val="both"/>
      </w:pPr>
    </w:p>
    <w:p w14:paraId="71D4A733" w14:textId="77777777" w:rsidR="006A3667" w:rsidRDefault="00045F32">
      <w:pPr>
        <w:ind w:firstLine="450"/>
        <w:jc w:val="right"/>
      </w:pPr>
      <w:r>
        <w:rPr>
          <w:rFonts w:ascii="Arial" w:eastAsia="宋体" w:hAnsi="Arial" w:cs="Arial"/>
          <w:color w:val="000000"/>
          <w:sz w:val="18"/>
          <w:szCs w:val="18"/>
        </w:rPr>
        <w:t>State Street Corporation | 95</w:t>
      </w:r>
    </w:p>
    <w:p w14:paraId="71D4A734" w14:textId="77777777" w:rsidR="006A3667" w:rsidRDefault="006A3667">
      <w:pPr>
        <w:ind w:firstLine="450"/>
        <w:jc w:val="center"/>
      </w:pPr>
    </w:p>
    <w:p w14:paraId="71D4A735" w14:textId="77777777" w:rsidR="006A3667" w:rsidRDefault="00045F32">
      <w:r>
        <w:pict w14:anchorId="71D4AC73">
          <v:rect id="_x0000_i1119" style="width:415.3pt;height:1.5pt" o:hralign="center" o:hrstd="t" o:hr="t" fillcolor="#a0a0a0" stroked="f"/>
        </w:pict>
      </w:r>
    </w:p>
    <w:p w14:paraId="71D4A736" w14:textId="77777777" w:rsidR="006A3667" w:rsidRDefault="006A3667">
      <w:pPr>
        <w:ind w:firstLine="450"/>
      </w:pPr>
    </w:p>
    <w:p w14:paraId="71D4A737" w14:textId="77777777" w:rsidR="006A3667" w:rsidRDefault="00045F32">
      <w:pPr>
        <w:spacing w:before="180"/>
        <w:ind w:firstLine="450"/>
        <w:jc w:val="center"/>
      </w:pPr>
      <w:r>
        <w:rPr>
          <w:rFonts w:ascii="Arial" w:eastAsia="宋体" w:hAnsi="Arial" w:cs="Arial"/>
          <w:b/>
          <w:bCs/>
          <w:color w:val="000000"/>
          <w:sz w:val="20"/>
          <w:szCs w:val="20"/>
        </w:rPr>
        <w:t>Report of Ernst &amp; Young LLP, Independent Registered Public Accounting Firm</w:t>
      </w:r>
    </w:p>
    <w:p w14:paraId="71D4A738" w14:textId="77777777" w:rsidR="006A3667" w:rsidRDefault="006A3667"/>
    <w:p w14:paraId="71D4A739" w14:textId="77777777" w:rsidR="006A3667" w:rsidRDefault="00045F32">
      <w:r>
        <w:rPr>
          <w:rFonts w:ascii="Arial" w:eastAsia="宋体" w:hAnsi="Arial" w:cs="Arial"/>
          <w:color w:val="000000"/>
          <w:sz w:val="20"/>
          <w:szCs w:val="20"/>
        </w:rPr>
        <w:t xml:space="preserve">The Shareholders and Board of Directors of State Street Corporation </w:t>
      </w:r>
    </w:p>
    <w:p w14:paraId="71D4A73A" w14:textId="77777777" w:rsidR="006A3667" w:rsidRDefault="00045F32">
      <w:pPr>
        <w:spacing w:before="180"/>
      </w:pPr>
      <w:r>
        <w:rPr>
          <w:rFonts w:ascii="Arial" w:eastAsia="宋体" w:hAnsi="Arial" w:cs="Arial"/>
          <w:b/>
          <w:bCs/>
          <w:color w:val="000000"/>
          <w:sz w:val="20"/>
          <w:szCs w:val="20"/>
        </w:rPr>
        <w:t>Results of Review of Interim Financial Statements</w:t>
      </w:r>
    </w:p>
    <w:p w14:paraId="71D4A73B" w14:textId="77777777" w:rsidR="006A3667" w:rsidRDefault="00045F32">
      <w:pPr>
        <w:spacing w:before="120"/>
        <w:jc w:val="both"/>
      </w:pPr>
      <w:r>
        <w:rPr>
          <w:rFonts w:ascii="Arial" w:eastAsia="宋体" w:hAnsi="Arial" w:cs="Arial"/>
          <w:color w:val="000000"/>
          <w:sz w:val="20"/>
          <w:szCs w:val="20"/>
        </w:rPr>
        <w:t>We have reviewed the accompanying consolidated statement of condition of State Street Corporation (the “Corporation”) as of September 30, 2022, consolidated statements of income, comprehensive income, chang</w:t>
      </w:r>
      <w:r>
        <w:rPr>
          <w:rFonts w:ascii="Arial" w:eastAsia="宋体" w:hAnsi="Arial" w:cs="Arial"/>
          <w:color w:val="000000"/>
          <w:sz w:val="20"/>
          <w:szCs w:val="20"/>
        </w:rPr>
        <w:t>es in shareholders' equity for the three- and nine-month periods ended September 30, 2022 and 2021, cash flows for the nine-month periods ended September 30, 2022 and 2021 and the related condensed notes (collectively referred to as the “condensed consolid</w:t>
      </w:r>
      <w:r>
        <w:rPr>
          <w:rFonts w:ascii="Arial" w:eastAsia="宋体" w:hAnsi="Arial" w:cs="Arial"/>
          <w:color w:val="000000"/>
          <w:sz w:val="20"/>
          <w:szCs w:val="20"/>
        </w:rPr>
        <w:t>ated interim financial statements”). Based on our reviews, we are not aware of any material modifications that should be made to the condensed consolidated interim financial statements for them to be in conformity with U.S. generally accepted accounting pr</w:t>
      </w:r>
      <w:r>
        <w:rPr>
          <w:rFonts w:ascii="Arial" w:eastAsia="宋体" w:hAnsi="Arial" w:cs="Arial"/>
          <w:color w:val="000000"/>
          <w:sz w:val="20"/>
          <w:szCs w:val="20"/>
        </w:rPr>
        <w:t>inciples.</w:t>
      </w:r>
    </w:p>
    <w:p w14:paraId="71D4A73C" w14:textId="77777777" w:rsidR="006A3667" w:rsidRDefault="00045F32">
      <w:pPr>
        <w:spacing w:before="120"/>
        <w:jc w:val="both"/>
      </w:pPr>
      <w:r>
        <w:rPr>
          <w:rFonts w:ascii="Arial" w:eastAsia="宋体" w:hAnsi="Arial" w:cs="Arial"/>
          <w:color w:val="000000"/>
          <w:sz w:val="20"/>
          <w:szCs w:val="20"/>
        </w:rPr>
        <w:t xml:space="preserve">We have previously audited, in accordance with the standards of the Public Company Accounting Oversight Board (United States) ("PCAOB"), the consolidated statement of condition of the Corporation as of December 31, 2021, the related consolidated </w:t>
      </w:r>
      <w:r>
        <w:rPr>
          <w:rFonts w:ascii="Arial" w:eastAsia="宋体" w:hAnsi="Arial" w:cs="Arial"/>
          <w:color w:val="000000"/>
          <w:sz w:val="20"/>
          <w:szCs w:val="20"/>
        </w:rPr>
        <w:t xml:space="preserve">statements of income, comprehensive income, changes in shareholders' equity and cash flows for the year then ended, and the related notes (not presented herein); and in our report dated February 17, 2022, we expressed an unqualified audit opinion on those </w:t>
      </w:r>
      <w:r>
        <w:rPr>
          <w:rFonts w:ascii="Arial" w:eastAsia="宋体" w:hAnsi="Arial" w:cs="Arial"/>
          <w:color w:val="000000"/>
          <w:sz w:val="20"/>
          <w:szCs w:val="20"/>
        </w:rPr>
        <w:t>consolidated financial statements. In our opinion, the information set forth in the accompanying consolidated statement of condition as of December 31, 2021, is fairly stated, in all material respects, in relation to the consolidated statement of condition</w:t>
      </w:r>
      <w:r>
        <w:rPr>
          <w:rFonts w:ascii="Arial" w:eastAsia="宋体" w:hAnsi="Arial" w:cs="Arial"/>
          <w:color w:val="000000"/>
          <w:sz w:val="20"/>
          <w:szCs w:val="20"/>
        </w:rPr>
        <w:t xml:space="preserve"> from which it has been derived.</w:t>
      </w:r>
    </w:p>
    <w:p w14:paraId="71D4A73D" w14:textId="77777777" w:rsidR="006A3667" w:rsidRDefault="00045F32">
      <w:pPr>
        <w:spacing w:before="180"/>
      </w:pPr>
      <w:r>
        <w:rPr>
          <w:rFonts w:ascii="Arial" w:eastAsia="宋体" w:hAnsi="Arial" w:cs="Arial"/>
          <w:b/>
          <w:bCs/>
          <w:color w:val="000000"/>
          <w:sz w:val="20"/>
          <w:szCs w:val="20"/>
        </w:rPr>
        <w:t>Basis for Review Results</w:t>
      </w:r>
    </w:p>
    <w:p w14:paraId="71D4A73E" w14:textId="77777777" w:rsidR="006A3667" w:rsidRDefault="006A3667">
      <w:pPr>
        <w:jc w:val="both"/>
      </w:pPr>
    </w:p>
    <w:p w14:paraId="71D4A73F" w14:textId="77777777" w:rsidR="006A3667" w:rsidRDefault="00045F32">
      <w:pPr>
        <w:jc w:val="both"/>
      </w:pPr>
      <w:r>
        <w:rPr>
          <w:rFonts w:ascii="Arial" w:eastAsia="宋体" w:hAnsi="Arial" w:cs="Arial"/>
          <w:color w:val="000000"/>
          <w:sz w:val="20"/>
          <w:szCs w:val="20"/>
        </w:rPr>
        <w:t>These financial statements are the responsibility of the Corporation’s management. We are a public accounting firm registered with the PCAOB and are required to be independent with respect to the C</w:t>
      </w:r>
      <w:r>
        <w:rPr>
          <w:rFonts w:ascii="Arial" w:eastAsia="宋体" w:hAnsi="Arial" w:cs="Arial"/>
          <w:color w:val="000000"/>
          <w:sz w:val="20"/>
          <w:szCs w:val="20"/>
        </w:rPr>
        <w:t>orporation in accordance with the U.S. federal securities laws and the applicable rules and regulations of the SEC and the PCAOB. We conducted our review in accordance with the standards of the PCAOB. A review of interim financial statements consists princ</w:t>
      </w:r>
      <w:r>
        <w:rPr>
          <w:rFonts w:ascii="Arial" w:eastAsia="宋体" w:hAnsi="Arial" w:cs="Arial"/>
          <w:color w:val="000000"/>
          <w:sz w:val="20"/>
          <w:szCs w:val="20"/>
        </w:rPr>
        <w:t>ipally of applying analytical procedures and making inquiries of persons responsible for financial and accounting matters. It is substantially less in scope than an audit conducted in accordance with the standards of the PCAOB, the objective of which is th</w:t>
      </w:r>
      <w:r>
        <w:rPr>
          <w:rFonts w:ascii="Arial" w:eastAsia="宋体" w:hAnsi="Arial" w:cs="Arial"/>
          <w:color w:val="000000"/>
          <w:sz w:val="20"/>
          <w:szCs w:val="20"/>
        </w:rPr>
        <w:t>e expression of an opinion regarding the financial statements taken as a whole. Accordingly, we do not express such an opinion.</w:t>
      </w:r>
    </w:p>
    <w:p w14:paraId="71D4A740" w14:textId="77777777" w:rsidR="006A3667" w:rsidRDefault="006A3667">
      <w:pPr>
        <w:spacing w:before="120"/>
        <w:ind w:firstLine="450"/>
        <w:jc w:val="both"/>
      </w:pPr>
    </w:p>
    <w:p w14:paraId="71D4A741" w14:textId="77777777" w:rsidR="006A3667" w:rsidRDefault="006A3667">
      <w:pPr>
        <w:spacing w:before="180"/>
      </w:pPr>
    </w:p>
    <w:p w14:paraId="71D4A742" w14:textId="77777777" w:rsidR="006A3667" w:rsidRDefault="006A3667">
      <w:pPr>
        <w:spacing w:before="90"/>
        <w:ind w:firstLine="450"/>
      </w:pPr>
    </w:p>
    <w:p w14:paraId="71D4A743" w14:textId="77777777" w:rsidR="006A3667" w:rsidRDefault="00045F32">
      <w:pPr>
        <w:spacing w:before="90"/>
      </w:pPr>
      <w:r>
        <w:rPr>
          <w:rFonts w:ascii="Arial" w:eastAsia="宋体" w:hAnsi="Arial" w:cs="Arial"/>
          <w:color w:val="000000"/>
          <w:sz w:val="20"/>
          <w:szCs w:val="20"/>
        </w:rPr>
        <w:t xml:space="preserve">/s/ Ernst &amp; Young LLP </w:t>
      </w:r>
    </w:p>
    <w:p w14:paraId="71D4A744" w14:textId="77777777" w:rsidR="006A3667" w:rsidRDefault="006A3667">
      <w:pPr>
        <w:spacing w:before="90"/>
        <w:ind w:firstLine="450"/>
      </w:pPr>
    </w:p>
    <w:p w14:paraId="71D4A745" w14:textId="77777777" w:rsidR="006A3667" w:rsidRDefault="00045F32">
      <w:pPr>
        <w:spacing w:before="90"/>
      </w:pPr>
      <w:r>
        <w:rPr>
          <w:rFonts w:ascii="Arial" w:eastAsia="宋体" w:hAnsi="Arial" w:cs="Arial"/>
          <w:color w:val="000000"/>
          <w:sz w:val="20"/>
          <w:szCs w:val="20"/>
        </w:rPr>
        <w:t>Boston, Massachusetts</w:t>
      </w:r>
    </w:p>
    <w:p w14:paraId="71D4A746" w14:textId="77777777" w:rsidR="006A3667" w:rsidRDefault="00045F32">
      <w:r>
        <w:rPr>
          <w:rFonts w:ascii="Arial" w:eastAsia="宋体" w:hAnsi="Arial" w:cs="Arial"/>
          <w:color w:val="000000"/>
          <w:sz w:val="20"/>
          <w:szCs w:val="20"/>
        </w:rPr>
        <w:t xml:space="preserve">October 26, 2022 </w:t>
      </w:r>
    </w:p>
    <w:p w14:paraId="71D4A747" w14:textId="77777777" w:rsidR="006A3667" w:rsidRDefault="006A3667">
      <w:pPr>
        <w:spacing w:before="90"/>
        <w:ind w:firstLine="450"/>
      </w:pPr>
    </w:p>
    <w:p w14:paraId="71D4A748" w14:textId="77777777" w:rsidR="006A3667" w:rsidRDefault="00045F32">
      <w:pPr>
        <w:ind w:firstLine="450"/>
        <w:jc w:val="right"/>
      </w:pPr>
      <w:r>
        <w:rPr>
          <w:rFonts w:ascii="Arial" w:eastAsia="宋体" w:hAnsi="Arial" w:cs="Arial"/>
          <w:color w:val="000000"/>
          <w:sz w:val="18"/>
          <w:szCs w:val="18"/>
        </w:rPr>
        <w:t>State Street Corporation | 96</w:t>
      </w:r>
    </w:p>
    <w:p w14:paraId="71D4A749" w14:textId="77777777" w:rsidR="006A3667" w:rsidRDefault="006A3667">
      <w:pPr>
        <w:ind w:firstLine="450"/>
        <w:jc w:val="center"/>
      </w:pPr>
    </w:p>
    <w:p w14:paraId="71D4A74A" w14:textId="77777777" w:rsidR="006A3667" w:rsidRDefault="00045F32">
      <w:r>
        <w:pict w14:anchorId="71D4AC74">
          <v:rect id="_x0000_i1120" style="width:415.3pt;height:1.5pt" o:hralign="center" o:hrstd="t" o:hr="t" fillcolor="#a0a0a0" stroked="f"/>
        </w:pict>
      </w:r>
    </w:p>
    <w:p w14:paraId="71D4A74B" w14:textId="77777777" w:rsidR="006A3667" w:rsidRDefault="006A3667">
      <w:pPr>
        <w:ind w:firstLine="450"/>
      </w:pPr>
    </w:p>
    <w:p w14:paraId="71D4A74C" w14:textId="77777777" w:rsidR="006A3667" w:rsidRDefault="006A3667">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69"/>
        <w:gridCol w:w="856"/>
        <w:gridCol w:w="37"/>
        <w:gridCol w:w="69"/>
        <w:gridCol w:w="3125"/>
        <w:gridCol w:w="38"/>
        <w:gridCol w:w="69"/>
        <w:gridCol w:w="868"/>
        <w:gridCol w:w="36"/>
        <w:gridCol w:w="69"/>
        <w:gridCol w:w="3064"/>
        <w:gridCol w:w="36"/>
      </w:tblGrid>
      <w:tr w:rsidR="006A3667" w14:paraId="71D4A759" w14:textId="77777777">
        <w:tc>
          <w:tcPr>
            <w:tcW w:w="50" w:type="pct"/>
            <w:shd w:val="clear" w:color="auto" w:fill="auto"/>
            <w:vAlign w:val="bottom"/>
          </w:tcPr>
          <w:p w14:paraId="71D4A74D" w14:textId="77777777" w:rsidR="006A3667" w:rsidRDefault="006A3667">
            <w:pPr>
              <w:rPr>
                <w:rFonts w:ascii="宋体"/>
              </w:rPr>
            </w:pPr>
          </w:p>
        </w:tc>
        <w:tc>
          <w:tcPr>
            <w:tcW w:w="522" w:type="pct"/>
            <w:shd w:val="clear" w:color="auto" w:fill="auto"/>
            <w:vAlign w:val="bottom"/>
          </w:tcPr>
          <w:p w14:paraId="71D4A74E" w14:textId="77777777" w:rsidR="006A3667" w:rsidRDefault="006A3667">
            <w:pPr>
              <w:rPr>
                <w:rFonts w:ascii="宋体"/>
              </w:rPr>
            </w:pPr>
          </w:p>
        </w:tc>
        <w:tc>
          <w:tcPr>
            <w:tcW w:w="5" w:type="pct"/>
            <w:shd w:val="clear" w:color="auto" w:fill="auto"/>
            <w:vAlign w:val="bottom"/>
          </w:tcPr>
          <w:p w14:paraId="71D4A74F" w14:textId="77777777" w:rsidR="006A3667" w:rsidRDefault="006A3667">
            <w:pPr>
              <w:rPr>
                <w:rFonts w:ascii="宋体"/>
              </w:rPr>
            </w:pPr>
          </w:p>
        </w:tc>
        <w:tc>
          <w:tcPr>
            <w:tcW w:w="50" w:type="pct"/>
            <w:shd w:val="clear" w:color="auto" w:fill="auto"/>
            <w:vAlign w:val="bottom"/>
          </w:tcPr>
          <w:p w14:paraId="71D4A750" w14:textId="77777777" w:rsidR="006A3667" w:rsidRDefault="006A3667">
            <w:pPr>
              <w:rPr>
                <w:rFonts w:ascii="宋体"/>
              </w:rPr>
            </w:pPr>
          </w:p>
        </w:tc>
        <w:tc>
          <w:tcPr>
            <w:tcW w:w="1882" w:type="pct"/>
            <w:shd w:val="clear" w:color="auto" w:fill="auto"/>
            <w:vAlign w:val="bottom"/>
          </w:tcPr>
          <w:p w14:paraId="71D4A751" w14:textId="77777777" w:rsidR="006A3667" w:rsidRDefault="006A3667">
            <w:pPr>
              <w:rPr>
                <w:rFonts w:ascii="宋体"/>
              </w:rPr>
            </w:pPr>
          </w:p>
        </w:tc>
        <w:tc>
          <w:tcPr>
            <w:tcW w:w="5" w:type="pct"/>
            <w:shd w:val="clear" w:color="auto" w:fill="auto"/>
            <w:vAlign w:val="bottom"/>
          </w:tcPr>
          <w:p w14:paraId="71D4A752" w14:textId="77777777" w:rsidR="006A3667" w:rsidRDefault="006A3667">
            <w:pPr>
              <w:rPr>
                <w:rFonts w:ascii="宋体"/>
              </w:rPr>
            </w:pPr>
          </w:p>
        </w:tc>
        <w:tc>
          <w:tcPr>
            <w:tcW w:w="50" w:type="pct"/>
            <w:shd w:val="clear" w:color="auto" w:fill="auto"/>
            <w:vAlign w:val="bottom"/>
          </w:tcPr>
          <w:p w14:paraId="71D4A753" w14:textId="77777777" w:rsidR="006A3667" w:rsidRDefault="006A3667">
            <w:pPr>
              <w:rPr>
                <w:rFonts w:ascii="宋体"/>
              </w:rPr>
            </w:pPr>
          </w:p>
        </w:tc>
        <w:tc>
          <w:tcPr>
            <w:tcW w:w="529" w:type="pct"/>
            <w:shd w:val="clear" w:color="auto" w:fill="auto"/>
            <w:vAlign w:val="bottom"/>
          </w:tcPr>
          <w:p w14:paraId="71D4A754" w14:textId="77777777" w:rsidR="006A3667" w:rsidRDefault="006A3667">
            <w:pPr>
              <w:rPr>
                <w:rFonts w:ascii="宋体"/>
              </w:rPr>
            </w:pPr>
          </w:p>
        </w:tc>
        <w:tc>
          <w:tcPr>
            <w:tcW w:w="5" w:type="pct"/>
            <w:shd w:val="clear" w:color="auto" w:fill="auto"/>
            <w:vAlign w:val="bottom"/>
          </w:tcPr>
          <w:p w14:paraId="71D4A755" w14:textId="77777777" w:rsidR="006A3667" w:rsidRDefault="006A3667">
            <w:pPr>
              <w:rPr>
                <w:rFonts w:ascii="宋体"/>
              </w:rPr>
            </w:pPr>
          </w:p>
        </w:tc>
        <w:tc>
          <w:tcPr>
            <w:tcW w:w="50" w:type="pct"/>
            <w:shd w:val="clear" w:color="auto" w:fill="auto"/>
            <w:vAlign w:val="bottom"/>
          </w:tcPr>
          <w:p w14:paraId="71D4A756" w14:textId="77777777" w:rsidR="006A3667" w:rsidRDefault="006A3667">
            <w:pPr>
              <w:rPr>
                <w:rFonts w:ascii="宋体"/>
              </w:rPr>
            </w:pPr>
          </w:p>
        </w:tc>
        <w:tc>
          <w:tcPr>
            <w:tcW w:w="1845" w:type="pct"/>
            <w:shd w:val="clear" w:color="auto" w:fill="auto"/>
            <w:vAlign w:val="bottom"/>
          </w:tcPr>
          <w:p w14:paraId="71D4A757" w14:textId="77777777" w:rsidR="006A3667" w:rsidRDefault="006A3667">
            <w:pPr>
              <w:rPr>
                <w:rFonts w:ascii="宋体"/>
              </w:rPr>
            </w:pPr>
          </w:p>
        </w:tc>
        <w:tc>
          <w:tcPr>
            <w:tcW w:w="5" w:type="pct"/>
            <w:shd w:val="clear" w:color="auto" w:fill="auto"/>
            <w:vAlign w:val="bottom"/>
          </w:tcPr>
          <w:p w14:paraId="71D4A758" w14:textId="77777777" w:rsidR="006A3667" w:rsidRDefault="006A3667">
            <w:pPr>
              <w:rPr>
                <w:rFonts w:ascii="宋体"/>
              </w:rPr>
            </w:pPr>
          </w:p>
        </w:tc>
      </w:tr>
      <w:tr w:rsidR="006A3667" w14:paraId="71D4A75B" w14:textId="77777777">
        <w:tc>
          <w:tcPr>
            <w:tcW w:w="0" w:type="auto"/>
            <w:gridSpan w:val="12"/>
            <w:shd w:val="clear" w:color="auto" w:fill="auto"/>
            <w:tcMar>
              <w:top w:w="40" w:type="dxa"/>
              <w:left w:w="20" w:type="dxa"/>
              <w:bottom w:w="40" w:type="dxa"/>
              <w:right w:w="20" w:type="dxa"/>
            </w:tcMar>
            <w:vAlign w:val="center"/>
          </w:tcPr>
          <w:p w14:paraId="71D4A75A" w14:textId="77777777" w:rsidR="006A3667" w:rsidRDefault="00045F32">
            <w:pPr>
              <w:jc w:val="center"/>
              <w:textAlignment w:val="center"/>
            </w:pPr>
            <w:r>
              <w:rPr>
                <w:rFonts w:ascii="Arial" w:eastAsia="宋体" w:hAnsi="Arial" w:cs="Arial"/>
                <w:b/>
                <w:bCs/>
                <w:color w:val="000000"/>
                <w:sz w:val="20"/>
                <w:szCs w:val="20"/>
              </w:rPr>
              <w:t>ACRONYMS</w:t>
            </w:r>
          </w:p>
        </w:tc>
      </w:tr>
      <w:tr w:rsidR="006A3667" w14:paraId="71D4A760" w14:textId="77777777">
        <w:trPr>
          <w:hidden/>
        </w:trPr>
        <w:tc>
          <w:tcPr>
            <w:tcW w:w="0" w:type="auto"/>
            <w:gridSpan w:val="3"/>
            <w:shd w:val="clear" w:color="auto" w:fill="auto"/>
            <w:vAlign w:val="bottom"/>
          </w:tcPr>
          <w:p w14:paraId="71D4A75C" w14:textId="77777777" w:rsidR="006A3667" w:rsidRDefault="006A3667">
            <w:pPr>
              <w:rPr>
                <w:rFonts w:ascii="宋体"/>
                <w:vanish/>
              </w:rPr>
            </w:pPr>
          </w:p>
        </w:tc>
        <w:tc>
          <w:tcPr>
            <w:tcW w:w="0" w:type="auto"/>
            <w:gridSpan w:val="3"/>
            <w:shd w:val="clear" w:color="auto" w:fill="auto"/>
            <w:vAlign w:val="bottom"/>
          </w:tcPr>
          <w:p w14:paraId="71D4A75D" w14:textId="77777777" w:rsidR="006A3667" w:rsidRDefault="006A3667">
            <w:pPr>
              <w:rPr>
                <w:rFonts w:ascii="宋体"/>
                <w:vanish/>
              </w:rPr>
            </w:pPr>
          </w:p>
        </w:tc>
        <w:tc>
          <w:tcPr>
            <w:tcW w:w="0" w:type="auto"/>
            <w:gridSpan w:val="3"/>
            <w:shd w:val="clear" w:color="auto" w:fill="auto"/>
            <w:vAlign w:val="bottom"/>
          </w:tcPr>
          <w:p w14:paraId="71D4A75E" w14:textId="77777777" w:rsidR="006A3667" w:rsidRDefault="006A3667">
            <w:pPr>
              <w:rPr>
                <w:rFonts w:ascii="宋体"/>
                <w:vanish/>
              </w:rPr>
            </w:pPr>
          </w:p>
        </w:tc>
        <w:tc>
          <w:tcPr>
            <w:tcW w:w="0" w:type="auto"/>
            <w:gridSpan w:val="3"/>
            <w:shd w:val="clear" w:color="auto" w:fill="auto"/>
            <w:vAlign w:val="bottom"/>
          </w:tcPr>
          <w:p w14:paraId="71D4A75F" w14:textId="77777777" w:rsidR="006A3667" w:rsidRDefault="006A3667">
            <w:pPr>
              <w:rPr>
                <w:rFonts w:ascii="宋体"/>
                <w:vanish/>
              </w:rPr>
            </w:pPr>
          </w:p>
        </w:tc>
      </w:tr>
      <w:tr w:rsidR="006A3667" w14:paraId="71D4A765" w14:textId="77777777">
        <w:trPr>
          <w:trHeight w:val="22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761"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762"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763"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764" w14:textId="77777777" w:rsidR="006A3667" w:rsidRDefault="006A3667">
            <w:pPr>
              <w:rPr>
                <w:rFonts w:ascii="宋体"/>
              </w:rPr>
            </w:pPr>
          </w:p>
        </w:tc>
      </w:tr>
      <w:tr w:rsidR="006A3667" w14:paraId="71D4A76A" w14:textId="77777777">
        <w:tc>
          <w:tcPr>
            <w:tcW w:w="0" w:type="auto"/>
            <w:gridSpan w:val="3"/>
            <w:shd w:val="clear" w:color="auto" w:fill="auto"/>
            <w:tcMar>
              <w:top w:w="40" w:type="dxa"/>
              <w:left w:w="20" w:type="dxa"/>
              <w:bottom w:w="40" w:type="dxa"/>
              <w:right w:w="20" w:type="dxa"/>
            </w:tcMar>
            <w:vAlign w:val="center"/>
          </w:tcPr>
          <w:p w14:paraId="71D4A766" w14:textId="77777777" w:rsidR="006A3667" w:rsidRDefault="00045F32">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71D4A767" w14:textId="77777777" w:rsidR="006A3667" w:rsidRDefault="00045F32">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center"/>
          </w:tcPr>
          <w:p w14:paraId="71D4A768" w14:textId="77777777" w:rsidR="006A3667" w:rsidRDefault="00045F32">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71D4A769" w14:textId="77777777" w:rsidR="006A3667" w:rsidRDefault="00045F32">
            <w:pPr>
              <w:textAlignment w:val="center"/>
            </w:pPr>
            <w:r>
              <w:rPr>
                <w:rFonts w:ascii="Arial" w:eastAsia="宋体" w:hAnsi="Arial" w:cs="Arial"/>
                <w:color w:val="000000"/>
                <w:sz w:val="16"/>
                <w:szCs w:val="16"/>
              </w:rPr>
              <w:t>Long-term debt</w:t>
            </w:r>
          </w:p>
        </w:tc>
      </w:tr>
      <w:tr w:rsidR="006A3667" w14:paraId="71D4A76F" w14:textId="77777777">
        <w:tc>
          <w:tcPr>
            <w:tcW w:w="0" w:type="auto"/>
            <w:gridSpan w:val="3"/>
            <w:shd w:val="clear" w:color="auto" w:fill="auto"/>
            <w:tcMar>
              <w:top w:w="40" w:type="dxa"/>
              <w:left w:w="20" w:type="dxa"/>
              <w:bottom w:w="40" w:type="dxa"/>
              <w:right w:w="20" w:type="dxa"/>
            </w:tcMar>
            <w:vAlign w:val="center"/>
          </w:tcPr>
          <w:p w14:paraId="71D4A76B" w14:textId="77777777" w:rsidR="006A3667" w:rsidRDefault="00045F32">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71D4A76C" w14:textId="77777777" w:rsidR="006A3667" w:rsidRDefault="00045F32">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71D4A76D" w14:textId="77777777" w:rsidR="006A3667" w:rsidRDefault="00045F32">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71D4A76E" w14:textId="77777777" w:rsidR="006A3667" w:rsidRDefault="00045F32">
            <w:pPr>
              <w:textAlignment w:val="center"/>
            </w:pPr>
            <w:r>
              <w:rPr>
                <w:rFonts w:ascii="Arial" w:eastAsia="宋体" w:hAnsi="Arial" w:cs="Arial"/>
                <w:color w:val="000000"/>
                <w:sz w:val="16"/>
                <w:szCs w:val="16"/>
              </w:rPr>
              <w:t>Mortgage-backed securities</w:t>
            </w:r>
          </w:p>
        </w:tc>
      </w:tr>
      <w:tr w:rsidR="006A3667" w14:paraId="71D4A774" w14:textId="77777777">
        <w:tc>
          <w:tcPr>
            <w:tcW w:w="0" w:type="auto"/>
            <w:gridSpan w:val="3"/>
            <w:shd w:val="clear" w:color="auto" w:fill="auto"/>
            <w:tcMar>
              <w:top w:w="40" w:type="dxa"/>
              <w:left w:w="20" w:type="dxa"/>
              <w:bottom w:w="40" w:type="dxa"/>
              <w:right w:w="20" w:type="dxa"/>
            </w:tcMar>
            <w:vAlign w:val="center"/>
          </w:tcPr>
          <w:p w14:paraId="71D4A770" w14:textId="77777777" w:rsidR="006A3667" w:rsidRDefault="00045F32">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71D4A771" w14:textId="77777777" w:rsidR="006A3667" w:rsidRDefault="00045F32">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71D4A772" w14:textId="77777777" w:rsidR="006A3667" w:rsidRDefault="00045F32">
            <w:pPr>
              <w:textAlignment w:val="center"/>
            </w:pPr>
            <w:r>
              <w:rPr>
                <w:rFonts w:ascii="Arial" w:eastAsia="宋体" w:hAnsi="Arial" w:cs="Arial"/>
                <w:color w:val="000000"/>
                <w:sz w:val="16"/>
                <w:szCs w:val="16"/>
              </w:rPr>
              <w:t>MMLF</w:t>
            </w:r>
          </w:p>
        </w:tc>
        <w:tc>
          <w:tcPr>
            <w:tcW w:w="0" w:type="auto"/>
            <w:gridSpan w:val="3"/>
            <w:shd w:val="clear" w:color="auto" w:fill="auto"/>
            <w:tcMar>
              <w:top w:w="40" w:type="dxa"/>
              <w:left w:w="20" w:type="dxa"/>
              <w:bottom w:w="40" w:type="dxa"/>
              <w:right w:w="20" w:type="dxa"/>
            </w:tcMar>
            <w:vAlign w:val="center"/>
          </w:tcPr>
          <w:p w14:paraId="71D4A773" w14:textId="77777777" w:rsidR="006A3667" w:rsidRDefault="00045F32">
            <w:pPr>
              <w:textAlignment w:val="center"/>
            </w:pPr>
            <w:r>
              <w:rPr>
                <w:rFonts w:ascii="Arial" w:eastAsia="宋体" w:hAnsi="Arial" w:cs="Arial"/>
                <w:color w:val="000000"/>
                <w:sz w:val="16"/>
                <w:szCs w:val="16"/>
              </w:rPr>
              <w:t>Money Market Mutual Fund Liquidity Facility</w:t>
            </w:r>
          </w:p>
        </w:tc>
      </w:tr>
      <w:tr w:rsidR="006A3667" w14:paraId="71D4A779" w14:textId="77777777">
        <w:tc>
          <w:tcPr>
            <w:tcW w:w="0" w:type="auto"/>
            <w:gridSpan w:val="3"/>
            <w:shd w:val="clear" w:color="auto" w:fill="auto"/>
            <w:tcMar>
              <w:top w:w="40" w:type="dxa"/>
              <w:left w:w="20" w:type="dxa"/>
              <w:bottom w:w="40" w:type="dxa"/>
              <w:right w:w="20" w:type="dxa"/>
            </w:tcMar>
            <w:vAlign w:val="center"/>
          </w:tcPr>
          <w:p w14:paraId="71D4A775" w14:textId="77777777" w:rsidR="006A3667" w:rsidRDefault="00045F32">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71D4A776" w14:textId="77777777" w:rsidR="006A3667" w:rsidRDefault="00045F32">
            <w:pPr>
              <w:textAlignment w:val="center"/>
            </w:pPr>
            <w:r>
              <w:rPr>
                <w:rFonts w:ascii="Arial" w:eastAsia="宋体" w:hAnsi="Arial" w:cs="Arial"/>
                <w:color w:val="000000"/>
                <w:sz w:val="16"/>
                <w:szCs w:val="16"/>
              </w:rPr>
              <w:t xml:space="preserve">Assets under </w:t>
            </w:r>
            <w:r>
              <w:rPr>
                <w:rFonts w:ascii="Arial" w:eastAsia="宋体" w:hAnsi="Arial" w:cs="Arial"/>
                <w:color w:val="000000"/>
                <w:sz w:val="16"/>
                <w:szCs w:val="16"/>
              </w:rPr>
              <w:t>custody and/or administration</w:t>
            </w:r>
          </w:p>
        </w:tc>
        <w:tc>
          <w:tcPr>
            <w:tcW w:w="0" w:type="auto"/>
            <w:gridSpan w:val="3"/>
            <w:shd w:val="clear" w:color="auto" w:fill="auto"/>
            <w:tcMar>
              <w:top w:w="40" w:type="dxa"/>
              <w:left w:w="20" w:type="dxa"/>
              <w:bottom w:w="40" w:type="dxa"/>
              <w:right w:w="20" w:type="dxa"/>
            </w:tcMar>
            <w:vAlign w:val="center"/>
          </w:tcPr>
          <w:p w14:paraId="71D4A777" w14:textId="77777777" w:rsidR="006A3667" w:rsidRDefault="00045F32">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71D4A778" w14:textId="77777777" w:rsidR="006A3667" w:rsidRDefault="00045F32">
            <w:pPr>
              <w:textAlignment w:val="center"/>
            </w:pPr>
            <w:r>
              <w:rPr>
                <w:rFonts w:ascii="Arial" w:eastAsia="宋体" w:hAnsi="Arial" w:cs="Arial"/>
                <w:color w:val="000000"/>
                <w:sz w:val="16"/>
                <w:szCs w:val="16"/>
              </w:rPr>
              <w:t>Net interest income</w:t>
            </w:r>
          </w:p>
        </w:tc>
      </w:tr>
      <w:tr w:rsidR="006A3667" w14:paraId="71D4A77E" w14:textId="77777777">
        <w:tc>
          <w:tcPr>
            <w:tcW w:w="0" w:type="auto"/>
            <w:gridSpan w:val="3"/>
            <w:shd w:val="clear" w:color="auto" w:fill="auto"/>
            <w:tcMar>
              <w:top w:w="40" w:type="dxa"/>
              <w:left w:w="20" w:type="dxa"/>
              <w:bottom w:w="40" w:type="dxa"/>
              <w:right w:w="20" w:type="dxa"/>
            </w:tcMar>
            <w:vAlign w:val="center"/>
          </w:tcPr>
          <w:p w14:paraId="71D4A77A" w14:textId="77777777" w:rsidR="006A3667" w:rsidRDefault="00045F32">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71D4A77B" w14:textId="77777777" w:rsidR="006A3667" w:rsidRDefault="00045F32">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center"/>
          </w:tcPr>
          <w:p w14:paraId="71D4A77C" w14:textId="77777777" w:rsidR="006A3667" w:rsidRDefault="00045F32">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71D4A77D" w14:textId="77777777" w:rsidR="006A3667" w:rsidRDefault="00045F32">
            <w:pPr>
              <w:textAlignment w:val="center"/>
            </w:pPr>
            <w:r>
              <w:rPr>
                <w:rFonts w:ascii="Arial" w:eastAsia="宋体" w:hAnsi="Arial" w:cs="Arial"/>
                <w:color w:val="000000"/>
                <w:sz w:val="16"/>
                <w:szCs w:val="16"/>
              </w:rPr>
              <w:t>Net interest margin</w:t>
            </w:r>
          </w:p>
        </w:tc>
      </w:tr>
      <w:tr w:rsidR="006A3667" w14:paraId="71D4A783" w14:textId="77777777">
        <w:tc>
          <w:tcPr>
            <w:tcW w:w="0" w:type="auto"/>
            <w:gridSpan w:val="3"/>
            <w:shd w:val="clear" w:color="auto" w:fill="auto"/>
            <w:tcMar>
              <w:top w:w="40" w:type="dxa"/>
              <w:left w:w="20" w:type="dxa"/>
              <w:bottom w:w="40" w:type="dxa"/>
              <w:right w:w="20" w:type="dxa"/>
            </w:tcMar>
            <w:vAlign w:val="center"/>
          </w:tcPr>
          <w:p w14:paraId="71D4A77F" w14:textId="77777777" w:rsidR="006A3667" w:rsidRDefault="00045F32">
            <w:pPr>
              <w:textAlignment w:val="center"/>
            </w:pPr>
            <w:r>
              <w:rPr>
                <w:rFonts w:ascii="Arial" w:eastAsia="宋体" w:hAnsi="Arial" w:cs="Arial"/>
                <w:color w:val="000000"/>
                <w:sz w:val="16"/>
                <w:szCs w:val="16"/>
              </w:rPr>
              <w:t>BBH</w:t>
            </w:r>
          </w:p>
        </w:tc>
        <w:tc>
          <w:tcPr>
            <w:tcW w:w="0" w:type="auto"/>
            <w:gridSpan w:val="3"/>
            <w:shd w:val="clear" w:color="auto" w:fill="auto"/>
            <w:tcMar>
              <w:top w:w="40" w:type="dxa"/>
              <w:left w:w="20" w:type="dxa"/>
              <w:bottom w:w="40" w:type="dxa"/>
              <w:right w:w="20" w:type="dxa"/>
            </w:tcMar>
            <w:vAlign w:val="center"/>
          </w:tcPr>
          <w:p w14:paraId="71D4A780" w14:textId="77777777" w:rsidR="006A3667" w:rsidRDefault="00045F32">
            <w:pPr>
              <w:textAlignment w:val="center"/>
            </w:pPr>
            <w:r>
              <w:rPr>
                <w:rFonts w:ascii="Arial" w:eastAsia="宋体" w:hAnsi="Arial" w:cs="Arial"/>
                <w:color w:val="000000"/>
                <w:sz w:val="16"/>
                <w:szCs w:val="16"/>
              </w:rPr>
              <w:t>Brown Brothers Harriman &amp; Co</w:t>
            </w:r>
          </w:p>
        </w:tc>
        <w:tc>
          <w:tcPr>
            <w:tcW w:w="0" w:type="auto"/>
            <w:gridSpan w:val="3"/>
            <w:shd w:val="clear" w:color="auto" w:fill="auto"/>
            <w:tcMar>
              <w:top w:w="40" w:type="dxa"/>
              <w:left w:w="20" w:type="dxa"/>
              <w:bottom w:w="40" w:type="dxa"/>
              <w:right w:w="20" w:type="dxa"/>
            </w:tcMar>
            <w:vAlign w:val="center"/>
          </w:tcPr>
          <w:p w14:paraId="71D4A781" w14:textId="77777777" w:rsidR="006A3667" w:rsidRDefault="00045F32">
            <w:pPr>
              <w:textAlignment w:val="center"/>
            </w:pPr>
            <w:r>
              <w:rPr>
                <w:rFonts w:ascii="Arial" w:eastAsia="宋体" w:hAnsi="Arial" w:cs="Arial"/>
                <w:color w:val="000000"/>
                <w:sz w:val="16"/>
                <w:szCs w:val="16"/>
              </w:rPr>
              <w:t>OTC</w:t>
            </w:r>
          </w:p>
        </w:tc>
        <w:tc>
          <w:tcPr>
            <w:tcW w:w="0" w:type="auto"/>
            <w:gridSpan w:val="3"/>
            <w:shd w:val="clear" w:color="auto" w:fill="auto"/>
            <w:tcMar>
              <w:top w:w="40" w:type="dxa"/>
              <w:left w:w="20" w:type="dxa"/>
              <w:bottom w:w="40" w:type="dxa"/>
              <w:right w:w="20" w:type="dxa"/>
            </w:tcMar>
            <w:vAlign w:val="center"/>
          </w:tcPr>
          <w:p w14:paraId="71D4A782" w14:textId="77777777" w:rsidR="006A3667" w:rsidRDefault="00045F32">
            <w:pPr>
              <w:textAlignment w:val="center"/>
            </w:pPr>
            <w:r>
              <w:rPr>
                <w:rFonts w:ascii="Arial" w:eastAsia="宋体" w:hAnsi="Arial" w:cs="Arial"/>
                <w:color w:val="000000"/>
                <w:sz w:val="16"/>
                <w:szCs w:val="16"/>
              </w:rPr>
              <w:t>Over-the-counter</w:t>
            </w:r>
          </w:p>
        </w:tc>
      </w:tr>
      <w:tr w:rsidR="006A3667" w14:paraId="71D4A788" w14:textId="77777777">
        <w:tc>
          <w:tcPr>
            <w:tcW w:w="0" w:type="auto"/>
            <w:gridSpan w:val="3"/>
            <w:shd w:val="clear" w:color="auto" w:fill="auto"/>
            <w:tcMar>
              <w:top w:w="40" w:type="dxa"/>
              <w:left w:w="20" w:type="dxa"/>
              <w:bottom w:w="40" w:type="dxa"/>
              <w:right w:w="20" w:type="dxa"/>
            </w:tcMar>
            <w:vAlign w:val="center"/>
          </w:tcPr>
          <w:p w14:paraId="71D4A784" w14:textId="77777777" w:rsidR="006A3667" w:rsidRDefault="00045F32">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71D4A785" w14:textId="77777777" w:rsidR="006A3667" w:rsidRDefault="00045F32">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71D4A786" w14:textId="77777777" w:rsidR="006A3667" w:rsidRDefault="00045F32">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71D4A787" w14:textId="77777777" w:rsidR="006A3667" w:rsidRDefault="00045F32">
            <w:pPr>
              <w:textAlignment w:val="center"/>
            </w:pPr>
            <w:r>
              <w:rPr>
                <w:rFonts w:ascii="Arial" w:eastAsia="宋体" w:hAnsi="Arial" w:cs="Arial"/>
                <w:color w:val="000000"/>
                <w:sz w:val="16"/>
                <w:szCs w:val="16"/>
              </w:rPr>
              <w:t>Public Company Accounting Oversight Board</w:t>
            </w:r>
          </w:p>
        </w:tc>
      </w:tr>
      <w:tr w:rsidR="006A3667" w14:paraId="71D4A78D" w14:textId="77777777">
        <w:tc>
          <w:tcPr>
            <w:tcW w:w="0" w:type="auto"/>
            <w:gridSpan w:val="3"/>
            <w:shd w:val="clear" w:color="auto" w:fill="auto"/>
            <w:tcMar>
              <w:top w:w="40" w:type="dxa"/>
              <w:left w:w="20" w:type="dxa"/>
              <w:bottom w:w="40" w:type="dxa"/>
              <w:right w:w="20" w:type="dxa"/>
            </w:tcMar>
            <w:vAlign w:val="center"/>
          </w:tcPr>
          <w:p w14:paraId="71D4A789" w14:textId="77777777" w:rsidR="006A3667" w:rsidRDefault="00045F32">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71D4A78A" w14:textId="77777777" w:rsidR="006A3667" w:rsidRDefault="00045F32">
            <w:pPr>
              <w:textAlignment w:val="center"/>
            </w:pPr>
            <w:r>
              <w:rPr>
                <w:rFonts w:ascii="Arial" w:eastAsia="宋体" w:hAnsi="Arial" w:cs="Arial"/>
                <w:color w:val="000000"/>
                <w:sz w:val="16"/>
                <w:szCs w:val="16"/>
              </w:rPr>
              <w:t>Comprehensive Capital Analysis and Review</w:t>
            </w:r>
          </w:p>
        </w:tc>
        <w:tc>
          <w:tcPr>
            <w:tcW w:w="0" w:type="auto"/>
            <w:gridSpan w:val="3"/>
            <w:shd w:val="clear" w:color="auto" w:fill="auto"/>
            <w:tcMar>
              <w:top w:w="40" w:type="dxa"/>
              <w:left w:w="20" w:type="dxa"/>
              <w:bottom w:w="40" w:type="dxa"/>
              <w:right w:w="20" w:type="dxa"/>
            </w:tcMar>
            <w:vAlign w:val="center"/>
          </w:tcPr>
          <w:p w14:paraId="71D4A78B" w14:textId="77777777" w:rsidR="006A3667" w:rsidRDefault="00045F32">
            <w:pP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1D4A78C" w14:textId="77777777" w:rsidR="006A3667" w:rsidRDefault="00045F32">
            <w:pPr>
              <w:textAlignment w:val="center"/>
            </w:pPr>
            <w:r>
              <w:rPr>
                <w:rFonts w:ascii="Arial" w:eastAsia="宋体" w:hAnsi="Arial" w:cs="Arial"/>
                <w:color w:val="000000"/>
                <w:sz w:val="16"/>
                <w:szCs w:val="16"/>
              </w:rPr>
              <w:t>Risk-weighted asset</w:t>
            </w:r>
          </w:p>
        </w:tc>
      </w:tr>
      <w:tr w:rsidR="006A3667" w14:paraId="71D4A792" w14:textId="77777777">
        <w:tc>
          <w:tcPr>
            <w:tcW w:w="0" w:type="auto"/>
            <w:gridSpan w:val="3"/>
            <w:shd w:val="clear" w:color="auto" w:fill="auto"/>
            <w:tcMar>
              <w:top w:w="40" w:type="dxa"/>
              <w:left w:w="20" w:type="dxa"/>
              <w:bottom w:w="40" w:type="dxa"/>
              <w:right w:w="20" w:type="dxa"/>
            </w:tcMar>
            <w:vAlign w:val="center"/>
          </w:tcPr>
          <w:p w14:paraId="71D4A78E" w14:textId="77777777" w:rsidR="006A3667" w:rsidRDefault="00045F32">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71D4A78F" w14:textId="77777777" w:rsidR="006A3667" w:rsidRDefault="00045F32">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71D4A790" w14:textId="77777777" w:rsidR="006A3667" w:rsidRDefault="00045F32">
            <w:pPr>
              <w:textAlignment w:val="center"/>
            </w:pPr>
            <w:r>
              <w:rPr>
                <w:rFonts w:ascii="Arial" w:eastAsia="宋体" w:hAnsi="Arial" w:cs="Arial"/>
                <w:color w:val="000000"/>
                <w:sz w:val="16"/>
                <w:szCs w:val="16"/>
              </w:rPr>
              <w:t>SaaS</w:t>
            </w:r>
          </w:p>
        </w:tc>
        <w:tc>
          <w:tcPr>
            <w:tcW w:w="0" w:type="auto"/>
            <w:gridSpan w:val="3"/>
            <w:shd w:val="clear" w:color="auto" w:fill="auto"/>
            <w:tcMar>
              <w:top w:w="40" w:type="dxa"/>
              <w:left w:w="20" w:type="dxa"/>
              <w:bottom w:w="40" w:type="dxa"/>
              <w:right w:w="20" w:type="dxa"/>
            </w:tcMar>
            <w:vAlign w:val="center"/>
          </w:tcPr>
          <w:p w14:paraId="71D4A791" w14:textId="77777777" w:rsidR="006A3667" w:rsidRDefault="00045F32">
            <w:pPr>
              <w:textAlignment w:val="center"/>
            </w:pPr>
            <w:r>
              <w:rPr>
                <w:rFonts w:ascii="Arial" w:eastAsia="宋体" w:hAnsi="Arial" w:cs="Arial"/>
                <w:color w:val="000000"/>
                <w:sz w:val="16"/>
                <w:szCs w:val="16"/>
              </w:rPr>
              <w:t>Software as a service</w:t>
            </w:r>
          </w:p>
        </w:tc>
      </w:tr>
      <w:tr w:rsidR="006A3667" w14:paraId="71D4A797" w14:textId="77777777">
        <w:tc>
          <w:tcPr>
            <w:tcW w:w="0" w:type="auto"/>
            <w:gridSpan w:val="3"/>
            <w:shd w:val="clear" w:color="auto" w:fill="auto"/>
            <w:tcMar>
              <w:top w:w="40" w:type="dxa"/>
              <w:left w:w="20" w:type="dxa"/>
              <w:bottom w:w="40" w:type="dxa"/>
              <w:right w:w="20" w:type="dxa"/>
            </w:tcMar>
            <w:vAlign w:val="center"/>
          </w:tcPr>
          <w:p w14:paraId="71D4A793" w14:textId="77777777" w:rsidR="006A3667" w:rsidRDefault="00045F32">
            <w:pP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1D4A794" w14:textId="77777777" w:rsidR="006A3667" w:rsidRDefault="00045F32">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71D4A795" w14:textId="77777777" w:rsidR="006A3667" w:rsidRDefault="00045F32">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71D4A796" w14:textId="77777777" w:rsidR="006A3667" w:rsidRDefault="00045F32">
            <w:pPr>
              <w:textAlignment w:val="center"/>
            </w:pPr>
            <w:r>
              <w:rPr>
                <w:rFonts w:ascii="Arial" w:eastAsia="宋体" w:hAnsi="Arial" w:cs="Arial"/>
                <w:color w:val="000000"/>
                <w:sz w:val="16"/>
                <w:szCs w:val="16"/>
              </w:rPr>
              <w:t>Stress Capital Buffer</w:t>
            </w:r>
          </w:p>
        </w:tc>
      </w:tr>
      <w:tr w:rsidR="006A3667" w14:paraId="71D4A79C" w14:textId="77777777">
        <w:tc>
          <w:tcPr>
            <w:tcW w:w="0" w:type="auto"/>
            <w:gridSpan w:val="3"/>
            <w:shd w:val="clear" w:color="auto" w:fill="auto"/>
            <w:tcMar>
              <w:top w:w="40" w:type="dxa"/>
              <w:left w:w="20" w:type="dxa"/>
              <w:bottom w:w="40" w:type="dxa"/>
              <w:right w:w="20" w:type="dxa"/>
            </w:tcMar>
            <w:vAlign w:val="center"/>
          </w:tcPr>
          <w:p w14:paraId="71D4A798" w14:textId="77777777" w:rsidR="006A3667" w:rsidRDefault="00045F32">
            <w:pPr>
              <w:textAlignment w:val="center"/>
            </w:pPr>
            <w:r>
              <w:rPr>
                <w:rFonts w:ascii="Arial" w:eastAsia="宋体" w:hAnsi="Arial" w:cs="Arial"/>
                <w:color w:val="000000"/>
                <w:sz w:val="16"/>
                <w:szCs w:val="16"/>
              </w:rPr>
              <w:t>CLO</w:t>
            </w:r>
          </w:p>
        </w:tc>
        <w:tc>
          <w:tcPr>
            <w:tcW w:w="0" w:type="auto"/>
            <w:gridSpan w:val="3"/>
            <w:shd w:val="clear" w:color="auto" w:fill="auto"/>
            <w:tcMar>
              <w:top w:w="40" w:type="dxa"/>
              <w:left w:w="20" w:type="dxa"/>
              <w:bottom w:w="40" w:type="dxa"/>
              <w:right w:w="20" w:type="dxa"/>
            </w:tcMar>
            <w:vAlign w:val="center"/>
          </w:tcPr>
          <w:p w14:paraId="71D4A799" w14:textId="77777777" w:rsidR="006A3667" w:rsidRDefault="00045F32">
            <w:pPr>
              <w:textAlignment w:val="center"/>
            </w:pPr>
            <w:r>
              <w:rPr>
                <w:rFonts w:ascii="Arial" w:eastAsia="宋体" w:hAnsi="Arial" w:cs="Arial"/>
                <w:color w:val="000000"/>
                <w:sz w:val="16"/>
                <w:szCs w:val="16"/>
              </w:rPr>
              <w:t>Collateralized Loan Obligation</w:t>
            </w:r>
          </w:p>
        </w:tc>
        <w:tc>
          <w:tcPr>
            <w:tcW w:w="0" w:type="auto"/>
            <w:gridSpan w:val="3"/>
            <w:shd w:val="clear" w:color="auto" w:fill="auto"/>
            <w:tcMar>
              <w:top w:w="40" w:type="dxa"/>
              <w:left w:w="20" w:type="dxa"/>
              <w:bottom w:w="40" w:type="dxa"/>
              <w:right w:w="20" w:type="dxa"/>
            </w:tcMar>
            <w:vAlign w:val="center"/>
          </w:tcPr>
          <w:p w14:paraId="71D4A79A" w14:textId="77777777" w:rsidR="006A3667" w:rsidRDefault="00045F32">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71D4A79B" w14:textId="77777777" w:rsidR="006A3667" w:rsidRDefault="00045F32">
            <w:pPr>
              <w:textAlignment w:val="center"/>
            </w:pPr>
            <w:r>
              <w:rPr>
                <w:rFonts w:ascii="Arial" w:eastAsia="宋体" w:hAnsi="Arial" w:cs="Arial"/>
                <w:color w:val="000000"/>
                <w:sz w:val="16"/>
                <w:szCs w:val="16"/>
              </w:rPr>
              <w:t xml:space="preserve">Securities and Exchange </w:t>
            </w:r>
            <w:r>
              <w:rPr>
                <w:rFonts w:ascii="Arial" w:eastAsia="宋体" w:hAnsi="Arial" w:cs="Arial"/>
                <w:color w:val="000000"/>
                <w:sz w:val="16"/>
                <w:szCs w:val="16"/>
              </w:rPr>
              <w:t>Commission</w:t>
            </w:r>
          </w:p>
        </w:tc>
      </w:tr>
      <w:tr w:rsidR="006A3667" w14:paraId="71D4A7A1" w14:textId="77777777">
        <w:tc>
          <w:tcPr>
            <w:tcW w:w="0" w:type="auto"/>
            <w:gridSpan w:val="3"/>
            <w:shd w:val="clear" w:color="auto" w:fill="auto"/>
            <w:tcMar>
              <w:top w:w="40" w:type="dxa"/>
              <w:left w:w="20" w:type="dxa"/>
              <w:bottom w:w="40" w:type="dxa"/>
              <w:right w:w="20" w:type="dxa"/>
            </w:tcMar>
            <w:vAlign w:val="center"/>
          </w:tcPr>
          <w:p w14:paraId="71D4A79D" w14:textId="77777777" w:rsidR="006A3667" w:rsidRDefault="00045F32">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71D4A79E" w14:textId="77777777" w:rsidR="006A3667" w:rsidRDefault="00045F32">
            <w:pPr>
              <w:textAlignment w:val="center"/>
            </w:pPr>
            <w:r>
              <w:rPr>
                <w:rFonts w:ascii="Arial" w:eastAsia="宋体" w:hAnsi="Arial" w:cs="Arial"/>
                <w:color w:val="000000"/>
                <w:sz w:val="16"/>
                <w:szCs w:val="16"/>
              </w:rPr>
              <w:t>Credit valuation adjustment</w:t>
            </w:r>
          </w:p>
        </w:tc>
        <w:tc>
          <w:tcPr>
            <w:tcW w:w="0" w:type="auto"/>
            <w:gridSpan w:val="3"/>
            <w:shd w:val="clear" w:color="auto" w:fill="auto"/>
            <w:tcMar>
              <w:top w:w="40" w:type="dxa"/>
              <w:left w:w="20" w:type="dxa"/>
              <w:bottom w:w="40" w:type="dxa"/>
              <w:right w:w="20" w:type="dxa"/>
            </w:tcMar>
            <w:vAlign w:val="center"/>
          </w:tcPr>
          <w:p w14:paraId="71D4A79F" w14:textId="77777777" w:rsidR="006A3667" w:rsidRDefault="00045F32">
            <w:pP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1D4A7A0" w14:textId="77777777" w:rsidR="006A3667" w:rsidRDefault="00045F32">
            <w:pPr>
              <w:textAlignment w:val="center"/>
            </w:pPr>
            <w:r>
              <w:rPr>
                <w:rFonts w:ascii="Arial" w:eastAsia="宋体" w:hAnsi="Arial" w:cs="Arial"/>
                <w:color w:val="000000"/>
                <w:sz w:val="16"/>
                <w:szCs w:val="16"/>
              </w:rPr>
              <w:t>Supplementary leverage ratio</w:t>
            </w:r>
          </w:p>
        </w:tc>
      </w:tr>
      <w:tr w:rsidR="006A3667" w14:paraId="71D4A7A6" w14:textId="77777777">
        <w:tc>
          <w:tcPr>
            <w:tcW w:w="0" w:type="auto"/>
            <w:gridSpan w:val="3"/>
            <w:shd w:val="clear" w:color="auto" w:fill="auto"/>
            <w:tcMar>
              <w:top w:w="40" w:type="dxa"/>
              <w:left w:w="20" w:type="dxa"/>
              <w:bottom w:w="40" w:type="dxa"/>
              <w:right w:w="20" w:type="dxa"/>
            </w:tcMar>
            <w:vAlign w:val="center"/>
          </w:tcPr>
          <w:p w14:paraId="71D4A7A2" w14:textId="77777777" w:rsidR="006A3667" w:rsidRDefault="00045F32">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71D4A7A3" w14:textId="77777777" w:rsidR="006A3667" w:rsidRDefault="00045F32">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71D4A7A4" w14:textId="77777777" w:rsidR="006A3667" w:rsidRDefault="00045F32">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71D4A7A5" w14:textId="77777777" w:rsidR="006A3667" w:rsidRDefault="00045F32">
            <w:pPr>
              <w:textAlignment w:val="center"/>
            </w:pPr>
            <w:r>
              <w:rPr>
                <w:rFonts w:ascii="Arial" w:eastAsia="宋体" w:hAnsi="Arial" w:cs="Arial"/>
                <w:color w:val="000000"/>
                <w:sz w:val="16"/>
                <w:szCs w:val="16"/>
              </w:rPr>
              <w:t>Spider; Standard and Poor's depository receipt</w:t>
            </w:r>
          </w:p>
        </w:tc>
      </w:tr>
      <w:tr w:rsidR="006A3667" w14:paraId="71D4A7AB" w14:textId="77777777">
        <w:tc>
          <w:tcPr>
            <w:tcW w:w="0" w:type="auto"/>
            <w:gridSpan w:val="3"/>
            <w:shd w:val="clear" w:color="auto" w:fill="auto"/>
            <w:tcMar>
              <w:top w:w="40" w:type="dxa"/>
              <w:left w:w="20" w:type="dxa"/>
              <w:bottom w:w="40" w:type="dxa"/>
              <w:right w:w="20" w:type="dxa"/>
            </w:tcMar>
            <w:vAlign w:val="bottom"/>
          </w:tcPr>
          <w:p w14:paraId="71D4A7A7" w14:textId="77777777" w:rsidR="006A3667" w:rsidRDefault="00045F32">
            <w:pPr>
              <w:textAlignment w:val="bottom"/>
            </w:pPr>
            <w:r>
              <w:rPr>
                <w:rFonts w:ascii="Arial" w:eastAsia="宋体" w:hAnsi="Arial" w:cs="Arial"/>
                <w:color w:val="000000"/>
                <w:sz w:val="16"/>
                <w:szCs w:val="16"/>
              </w:rPr>
              <w:t>EUR</w:t>
            </w:r>
          </w:p>
        </w:tc>
        <w:tc>
          <w:tcPr>
            <w:tcW w:w="0" w:type="auto"/>
            <w:gridSpan w:val="3"/>
            <w:shd w:val="clear" w:color="auto" w:fill="auto"/>
            <w:tcMar>
              <w:top w:w="40" w:type="dxa"/>
              <w:left w:w="20" w:type="dxa"/>
              <w:bottom w:w="40" w:type="dxa"/>
              <w:right w:w="20" w:type="dxa"/>
            </w:tcMar>
            <w:vAlign w:val="bottom"/>
          </w:tcPr>
          <w:p w14:paraId="71D4A7A8" w14:textId="77777777" w:rsidR="006A3667" w:rsidRDefault="00045F32">
            <w:pPr>
              <w:textAlignment w:val="bottom"/>
            </w:pPr>
            <w:r>
              <w:rPr>
                <w:rFonts w:ascii="Arial" w:eastAsia="宋体" w:hAnsi="Arial" w:cs="Arial"/>
                <w:color w:val="000000"/>
                <w:sz w:val="16"/>
                <w:szCs w:val="16"/>
              </w:rPr>
              <w:t>Euro</w:t>
            </w:r>
          </w:p>
        </w:tc>
        <w:tc>
          <w:tcPr>
            <w:tcW w:w="0" w:type="auto"/>
            <w:gridSpan w:val="3"/>
            <w:shd w:val="clear" w:color="auto" w:fill="auto"/>
            <w:tcMar>
              <w:top w:w="40" w:type="dxa"/>
              <w:left w:w="20" w:type="dxa"/>
              <w:bottom w:w="40" w:type="dxa"/>
              <w:right w:w="20" w:type="dxa"/>
            </w:tcMar>
            <w:vAlign w:val="center"/>
          </w:tcPr>
          <w:p w14:paraId="71D4A7A9" w14:textId="77777777" w:rsidR="006A3667" w:rsidRDefault="00045F32">
            <w:pPr>
              <w:textAlignment w:val="center"/>
            </w:pPr>
            <w:r>
              <w:rPr>
                <w:rFonts w:ascii="Arial" w:eastAsia="宋体" w:hAnsi="Arial" w:cs="Arial"/>
                <w:color w:val="000000"/>
                <w:sz w:val="16"/>
                <w:szCs w:val="16"/>
              </w:rPr>
              <w:t>SPOE Strategy</w:t>
            </w:r>
          </w:p>
        </w:tc>
        <w:tc>
          <w:tcPr>
            <w:tcW w:w="0" w:type="auto"/>
            <w:gridSpan w:val="3"/>
            <w:shd w:val="clear" w:color="auto" w:fill="auto"/>
            <w:tcMar>
              <w:top w:w="40" w:type="dxa"/>
              <w:left w:w="20" w:type="dxa"/>
              <w:bottom w:w="40" w:type="dxa"/>
              <w:right w:w="20" w:type="dxa"/>
            </w:tcMar>
            <w:vAlign w:val="center"/>
          </w:tcPr>
          <w:p w14:paraId="71D4A7AA" w14:textId="77777777" w:rsidR="006A3667" w:rsidRDefault="00045F32">
            <w:pPr>
              <w:textAlignment w:val="center"/>
            </w:pPr>
            <w:r>
              <w:rPr>
                <w:rFonts w:ascii="Arial" w:eastAsia="宋体" w:hAnsi="Arial" w:cs="Arial"/>
                <w:color w:val="000000"/>
                <w:sz w:val="16"/>
                <w:szCs w:val="16"/>
              </w:rPr>
              <w:t>Single Point of Entry Strategy</w:t>
            </w:r>
          </w:p>
        </w:tc>
      </w:tr>
      <w:tr w:rsidR="006A3667" w14:paraId="71D4A7B0" w14:textId="77777777">
        <w:tc>
          <w:tcPr>
            <w:tcW w:w="0" w:type="auto"/>
            <w:gridSpan w:val="3"/>
            <w:shd w:val="clear" w:color="auto" w:fill="auto"/>
            <w:tcMar>
              <w:top w:w="40" w:type="dxa"/>
              <w:left w:w="20" w:type="dxa"/>
              <w:bottom w:w="40" w:type="dxa"/>
              <w:right w:w="20" w:type="dxa"/>
            </w:tcMar>
            <w:vAlign w:val="center"/>
          </w:tcPr>
          <w:p w14:paraId="71D4A7AC" w14:textId="77777777" w:rsidR="006A3667" w:rsidRDefault="00045F32">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71D4A7AD" w14:textId="77777777" w:rsidR="006A3667" w:rsidRDefault="00045F32">
            <w:pPr>
              <w:textAlignment w:val="center"/>
            </w:pPr>
            <w:r>
              <w:rPr>
                <w:rFonts w:ascii="Arial" w:eastAsia="宋体" w:hAnsi="Arial" w:cs="Arial"/>
                <w:color w:val="000000"/>
                <w:sz w:val="16"/>
                <w:szCs w:val="16"/>
              </w:rPr>
              <w:t xml:space="preserve">Federal Deposit Insurance </w:t>
            </w:r>
            <w:r>
              <w:rPr>
                <w:rFonts w:ascii="Arial" w:eastAsia="宋体" w:hAnsi="Arial" w:cs="Arial"/>
                <w:color w:val="000000"/>
                <w:sz w:val="16"/>
                <w:szCs w:val="16"/>
              </w:rPr>
              <w:t>Corporation</w:t>
            </w:r>
          </w:p>
        </w:tc>
        <w:tc>
          <w:tcPr>
            <w:tcW w:w="0" w:type="auto"/>
            <w:gridSpan w:val="3"/>
            <w:shd w:val="clear" w:color="auto" w:fill="auto"/>
            <w:tcMar>
              <w:top w:w="40" w:type="dxa"/>
              <w:left w:w="20" w:type="dxa"/>
              <w:bottom w:w="40" w:type="dxa"/>
              <w:right w:w="20" w:type="dxa"/>
            </w:tcMar>
            <w:vAlign w:val="center"/>
          </w:tcPr>
          <w:p w14:paraId="71D4A7AE" w14:textId="77777777" w:rsidR="006A3667" w:rsidRDefault="00045F32">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71D4A7AF" w14:textId="77777777" w:rsidR="006A3667" w:rsidRDefault="00045F32">
            <w:pPr>
              <w:textAlignment w:val="center"/>
            </w:pPr>
            <w:r>
              <w:rPr>
                <w:rFonts w:ascii="Arial" w:eastAsia="宋体" w:hAnsi="Arial" w:cs="Arial"/>
                <w:color w:val="000000"/>
                <w:sz w:val="16"/>
                <w:szCs w:val="16"/>
              </w:rPr>
              <w:t>State Street Intermediate Funding, LLC</w:t>
            </w:r>
          </w:p>
        </w:tc>
      </w:tr>
      <w:tr w:rsidR="006A3667" w14:paraId="71D4A7B5" w14:textId="77777777">
        <w:tc>
          <w:tcPr>
            <w:tcW w:w="0" w:type="auto"/>
            <w:gridSpan w:val="3"/>
            <w:shd w:val="clear" w:color="auto" w:fill="auto"/>
            <w:tcMar>
              <w:top w:w="40" w:type="dxa"/>
              <w:left w:w="20" w:type="dxa"/>
              <w:bottom w:w="40" w:type="dxa"/>
              <w:right w:w="20" w:type="dxa"/>
            </w:tcMar>
            <w:vAlign w:val="center"/>
          </w:tcPr>
          <w:p w14:paraId="71D4A7B1" w14:textId="77777777" w:rsidR="006A3667" w:rsidRDefault="00045F32">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71D4A7B2" w14:textId="77777777" w:rsidR="006A3667" w:rsidRDefault="00045F32">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71D4A7B3" w14:textId="77777777" w:rsidR="006A3667" w:rsidRDefault="00045F32">
            <w:pP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1D4A7B4" w14:textId="77777777" w:rsidR="006A3667" w:rsidRDefault="00045F32">
            <w:pPr>
              <w:textAlignment w:val="center"/>
            </w:pPr>
            <w:r>
              <w:rPr>
                <w:rFonts w:ascii="Arial" w:eastAsia="宋体" w:hAnsi="Arial" w:cs="Arial"/>
                <w:color w:val="000000"/>
                <w:sz w:val="16"/>
                <w:szCs w:val="16"/>
              </w:rPr>
              <w:t>Total loss-absorbing capacity</w:t>
            </w:r>
          </w:p>
        </w:tc>
      </w:tr>
      <w:tr w:rsidR="006A3667" w14:paraId="71D4A7BA" w14:textId="77777777">
        <w:tc>
          <w:tcPr>
            <w:tcW w:w="0" w:type="auto"/>
            <w:gridSpan w:val="3"/>
            <w:shd w:val="clear" w:color="auto" w:fill="auto"/>
            <w:tcMar>
              <w:top w:w="40" w:type="dxa"/>
              <w:left w:w="20" w:type="dxa"/>
              <w:bottom w:w="40" w:type="dxa"/>
              <w:right w:w="20" w:type="dxa"/>
            </w:tcMar>
            <w:vAlign w:val="center"/>
          </w:tcPr>
          <w:p w14:paraId="71D4A7B6" w14:textId="77777777" w:rsidR="006A3667" w:rsidRDefault="00045F32">
            <w:pPr>
              <w:textAlignment w:val="center"/>
            </w:pPr>
            <w:r>
              <w:rPr>
                <w:rFonts w:ascii="Arial" w:eastAsia="宋体" w:hAnsi="Arial" w:cs="Arial"/>
                <w:color w:val="000000"/>
                <w:sz w:val="16"/>
                <w:szCs w:val="16"/>
              </w:rPr>
              <w:t>FICC</w:t>
            </w:r>
          </w:p>
        </w:tc>
        <w:tc>
          <w:tcPr>
            <w:tcW w:w="0" w:type="auto"/>
            <w:gridSpan w:val="3"/>
            <w:shd w:val="clear" w:color="auto" w:fill="auto"/>
            <w:tcMar>
              <w:top w:w="40" w:type="dxa"/>
              <w:left w:w="20" w:type="dxa"/>
              <w:bottom w:w="40" w:type="dxa"/>
              <w:right w:w="20" w:type="dxa"/>
            </w:tcMar>
            <w:vAlign w:val="center"/>
          </w:tcPr>
          <w:p w14:paraId="71D4A7B7" w14:textId="77777777" w:rsidR="006A3667" w:rsidRDefault="00045F32">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71D4A7B8" w14:textId="77777777" w:rsidR="006A3667" w:rsidRDefault="00045F32">
            <w:pPr>
              <w:textAlignment w:val="center"/>
            </w:pPr>
            <w:r>
              <w:rPr>
                <w:rFonts w:ascii="Arial" w:eastAsia="宋体" w:hAnsi="Arial" w:cs="Arial"/>
                <w:color w:val="000000"/>
                <w:sz w:val="16"/>
                <w:szCs w:val="16"/>
              </w:rPr>
              <w:t>UOM</w:t>
            </w:r>
          </w:p>
        </w:tc>
        <w:tc>
          <w:tcPr>
            <w:tcW w:w="0" w:type="auto"/>
            <w:gridSpan w:val="3"/>
            <w:shd w:val="clear" w:color="auto" w:fill="auto"/>
            <w:tcMar>
              <w:top w:w="40" w:type="dxa"/>
              <w:left w:w="20" w:type="dxa"/>
              <w:bottom w:w="40" w:type="dxa"/>
              <w:right w:w="20" w:type="dxa"/>
            </w:tcMar>
            <w:vAlign w:val="center"/>
          </w:tcPr>
          <w:p w14:paraId="71D4A7B9" w14:textId="77777777" w:rsidR="006A3667" w:rsidRDefault="00045F32">
            <w:pPr>
              <w:textAlignment w:val="center"/>
            </w:pPr>
            <w:r>
              <w:rPr>
                <w:rFonts w:ascii="Arial" w:eastAsia="宋体" w:hAnsi="Arial" w:cs="Arial"/>
                <w:color w:val="000000"/>
                <w:sz w:val="16"/>
                <w:szCs w:val="16"/>
              </w:rPr>
              <w:t>Unit of measure</w:t>
            </w:r>
          </w:p>
        </w:tc>
      </w:tr>
      <w:tr w:rsidR="006A3667" w14:paraId="71D4A7BF" w14:textId="77777777">
        <w:tc>
          <w:tcPr>
            <w:tcW w:w="0" w:type="auto"/>
            <w:gridSpan w:val="3"/>
            <w:shd w:val="clear" w:color="auto" w:fill="auto"/>
            <w:tcMar>
              <w:top w:w="40" w:type="dxa"/>
              <w:left w:w="20" w:type="dxa"/>
              <w:bottom w:w="40" w:type="dxa"/>
              <w:right w:w="20" w:type="dxa"/>
            </w:tcMar>
            <w:vAlign w:val="center"/>
          </w:tcPr>
          <w:p w14:paraId="71D4A7BB" w14:textId="77777777" w:rsidR="006A3667" w:rsidRDefault="00045F32">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71D4A7BC" w14:textId="77777777" w:rsidR="006A3667" w:rsidRDefault="00045F32">
            <w:pPr>
              <w:textAlignment w:val="center"/>
            </w:pPr>
            <w:r>
              <w:rPr>
                <w:rFonts w:ascii="Arial" w:eastAsia="宋体" w:hAnsi="Arial" w:cs="Arial"/>
                <w:color w:val="000000"/>
                <w:sz w:val="16"/>
                <w:szCs w:val="16"/>
              </w:rPr>
              <w:t>Fully taxable-equivalent</w:t>
            </w:r>
          </w:p>
        </w:tc>
        <w:tc>
          <w:tcPr>
            <w:tcW w:w="0" w:type="auto"/>
            <w:gridSpan w:val="3"/>
            <w:shd w:val="clear" w:color="auto" w:fill="auto"/>
            <w:tcMar>
              <w:top w:w="40" w:type="dxa"/>
              <w:left w:w="20" w:type="dxa"/>
              <w:bottom w:w="40" w:type="dxa"/>
              <w:right w:w="20" w:type="dxa"/>
            </w:tcMar>
            <w:vAlign w:val="center"/>
          </w:tcPr>
          <w:p w14:paraId="71D4A7BD" w14:textId="77777777" w:rsidR="006A3667" w:rsidRDefault="00045F32">
            <w:pPr>
              <w:textAlignment w:val="center"/>
            </w:pPr>
            <w:r>
              <w:rPr>
                <w:rFonts w:ascii="Arial" w:eastAsia="宋体" w:hAnsi="Arial" w:cs="Arial"/>
                <w:color w:val="000000"/>
                <w:sz w:val="16"/>
                <w:szCs w:val="16"/>
              </w:rPr>
              <w:t>USD</w:t>
            </w:r>
          </w:p>
        </w:tc>
        <w:tc>
          <w:tcPr>
            <w:tcW w:w="0" w:type="auto"/>
            <w:gridSpan w:val="3"/>
            <w:shd w:val="clear" w:color="auto" w:fill="auto"/>
            <w:tcMar>
              <w:top w:w="40" w:type="dxa"/>
              <w:left w:w="20" w:type="dxa"/>
              <w:bottom w:w="40" w:type="dxa"/>
              <w:right w:w="20" w:type="dxa"/>
            </w:tcMar>
            <w:vAlign w:val="center"/>
          </w:tcPr>
          <w:p w14:paraId="71D4A7BE" w14:textId="77777777" w:rsidR="006A3667" w:rsidRDefault="00045F32">
            <w:pPr>
              <w:textAlignment w:val="center"/>
            </w:pPr>
            <w:r>
              <w:rPr>
                <w:rFonts w:ascii="Arial" w:eastAsia="宋体" w:hAnsi="Arial" w:cs="Arial"/>
                <w:color w:val="000000"/>
                <w:sz w:val="16"/>
                <w:szCs w:val="16"/>
              </w:rPr>
              <w:t>U.S. Dollar</w:t>
            </w:r>
          </w:p>
        </w:tc>
      </w:tr>
      <w:tr w:rsidR="006A3667" w14:paraId="71D4A7C4" w14:textId="77777777">
        <w:tc>
          <w:tcPr>
            <w:tcW w:w="0" w:type="auto"/>
            <w:gridSpan w:val="3"/>
            <w:shd w:val="clear" w:color="auto" w:fill="auto"/>
            <w:tcMar>
              <w:top w:w="40" w:type="dxa"/>
              <w:left w:w="20" w:type="dxa"/>
              <w:bottom w:w="40" w:type="dxa"/>
              <w:right w:w="20" w:type="dxa"/>
            </w:tcMar>
            <w:vAlign w:val="center"/>
          </w:tcPr>
          <w:p w14:paraId="71D4A7C0" w14:textId="77777777" w:rsidR="006A3667" w:rsidRDefault="00045F32">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71D4A7C1" w14:textId="77777777" w:rsidR="006A3667" w:rsidRDefault="00045F32">
            <w:pPr>
              <w:textAlignment w:val="center"/>
            </w:pPr>
            <w:r>
              <w:rPr>
                <w:rFonts w:ascii="Arial" w:eastAsia="宋体" w:hAnsi="Arial" w:cs="Arial"/>
                <w:color w:val="000000"/>
                <w:sz w:val="16"/>
                <w:szCs w:val="16"/>
              </w:rPr>
              <w:t>Foreign exchange</w:t>
            </w:r>
          </w:p>
        </w:tc>
        <w:tc>
          <w:tcPr>
            <w:tcW w:w="0" w:type="auto"/>
            <w:gridSpan w:val="3"/>
            <w:shd w:val="clear" w:color="auto" w:fill="auto"/>
            <w:tcMar>
              <w:top w:w="40" w:type="dxa"/>
              <w:left w:w="20" w:type="dxa"/>
              <w:bottom w:w="40" w:type="dxa"/>
              <w:right w:w="20" w:type="dxa"/>
            </w:tcMar>
            <w:vAlign w:val="center"/>
          </w:tcPr>
          <w:p w14:paraId="71D4A7C2" w14:textId="77777777" w:rsidR="006A3667" w:rsidRDefault="00045F32">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71D4A7C3" w14:textId="77777777" w:rsidR="006A3667" w:rsidRDefault="00045F32">
            <w:pPr>
              <w:textAlignment w:val="center"/>
            </w:pPr>
            <w:r>
              <w:rPr>
                <w:rFonts w:ascii="Arial" w:eastAsia="宋体" w:hAnsi="Arial" w:cs="Arial"/>
                <w:color w:val="000000"/>
                <w:sz w:val="16"/>
                <w:szCs w:val="16"/>
              </w:rPr>
              <w:t>Value-at-Risk</w:t>
            </w:r>
          </w:p>
        </w:tc>
      </w:tr>
      <w:tr w:rsidR="006A3667" w14:paraId="71D4A7C9" w14:textId="77777777">
        <w:tc>
          <w:tcPr>
            <w:tcW w:w="0" w:type="auto"/>
            <w:gridSpan w:val="3"/>
            <w:shd w:val="clear" w:color="auto" w:fill="auto"/>
            <w:tcMar>
              <w:top w:w="40" w:type="dxa"/>
              <w:left w:w="20" w:type="dxa"/>
              <w:bottom w:w="40" w:type="dxa"/>
              <w:right w:w="20" w:type="dxa"/>
            </w:tcMar>
            <w:vAlign w:val="center"/>
          </w:tcPr>
          <w:p w14:paraId="71D4A7C5" w14:textId="77777777" w:rsidR="006A3667" w:rsidRDefault="00045F32">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71D4A7C6" w14:textId="77777777" w:rsidR="006A3667" w:rsidRDefault="00045F32">
            <w:pPr>
              <w:textAlignment w:val="center"/>
            </w:pPr>
            <w:r>
              <w:rPr>
                <w:rFonts w:ascii="Arial" w:eastAsia="宋体" w:hAnsi="Arial" w:cs="Arial"/>
                <w:color w:val="000000"/>
                <w:sz w:val="16"/>
                <w:szCs w:val="16"/>
              </w:rPr>
              <w:t>Generally accepted accounting principles</w:t>
            </w:r>
          </w:p>
        </w:tc>
        <w:tc>
          <w:tcPr>
            <w:tcW w:w="0" w:type="auto"/>
            <w:gridSpan w:val="3"/>
            <w:shd w:val="clear" w:color="auto" w:fill="auto"/>
            <w:tcMar>
              <w:top w:w="0" w:type="dxa"/>
              <w:left w:w="20" w:type="dxa"/>
              <w:bottom w:w="0" w:type="dxa"/>
              <w:right w:w="20" w:type="dxa"/>
            </w:tcMar>
            <w:vAlign w:val="bottom"/>
          </w:tcPr>
          <w:p w14:paraId="71D4A7C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C8" w14:textId="77777777" w:rsidR="006A3667" w:rsidRDefault="006A3667">
            <w:pPr>
              <w:rPr>
                <w:rFonts w:ascii="宋体"/>
              </w:rPr>
            </w:pPr>
          </w:p>
        </w:tc>
      </w:tr>
      <w:tr w:rsidR="006A3667" w14:paraId="71D4A7CE" w14:textId="77777777">
        <w:tc>
          <w:tcPr>
            <w:tcW w:w="0" w:type="auto"/>
            <w:gridSpan w:val="3"/>
            <w:shd w:val="clear" w:color="auto" w:fill="auto"/>
            <w:tcMar>
              <w:top w:w="40" w:type="dxa"/>
              <w:left w:w="20" w:type="dxa"/>
              <w:bottom w:w="40" w:type="dxa"/>
              <w:right w:w="20" w:type="dxa"/>
            </w:tcMar>
            <w:vAlign w:val="center"/>
          </w:tcPr>
          <w:p w14:paraId="71D4A7CA" w14:textId="77777777" w:rsidR="006A3667" w:rsidRDefault="00045F32">
            <w:pPr>
              <w:textAlignment w:val="center"/>
            </w:pPr>
            <w:r>
              <w:rPr>
                <w:rFonts w:ascii="Arial" w:eastAsia="宋体" w:hAnsi="Arial" w:cs="Arial"/>
                <w:color w:val="000000"/>
                <w:sz w:val="16"/>
                <w:szCs w:val="16"/>
              </w:rPr>
              <w:t>GBP</w:t>
            </w:r>
          </w:p>
        </w:tc>
        <w:tc>
          <w:tcPr>
            <w:tcW w:w="0" w:type="auto"/>
            <w:gridSpan w:val="3"/>
            <w:shd w:val="clear" w:color="auto" w:fill="auto"/>
            <w:tcMar>
              <w:top w:w="40" w:type="dxa"/>
              <w:left w:w="20" w:type="dxa"/>
              <w:bottom w:w="40" w:type="dxa"/>
              <w:right w:w="20" w:type="dxa"/>
            </w:tcMar>
            <w:vAlign w:val="center"/>
          </w:tcPr>
          <w:p w14:paraId="71D4A7CB" w14:textId="77777777" w:rsidR="006A3667" w:rsidRDefault="00045F32">
            <w:pPr>
              <w:textAlignment w:val="center"/>
            </w:pPr>
            <w:r>
              <w:rPr>
                <w:rFonts w:ascii="Arial" w:eastAsia="宋体" w:hAnsi="Arial" w:cs="Arial"/>
                <w:color w:val="000000"/>
                <w:sz w:val="16"/>
                <w:szCs w:val="16"/>
              </w:rPr>
              <w:t>British Pound Sterling</w:t>
            </w:r>
          </w:p>
        </w:tc>
        <w:tc>
          <w:tcPr>
            <w:tcW w:w="0" w:type="auto"/>
            <w:gridSpan w:val="3"/>
            <w:shd w:val="clear" w:color="auto" w:fill="auto"/>
            <w:tcMar>
              <w:top w:w="0" w:type="dxa"/>
              <w:left w:w="20" w:type="dxa"/>
              <w:bottom w:w="0" w:type="dxa"/>
              <w:right w:w="20" w:type="dxa"/>
            </w:tcMar>
            <w:vAlign w:val="bottom"/>
          </w:tcPr>
          <w:p w14:paraId="71D4A7C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CD" w14:textId="77777777" w:rsidR="006A3667" w:rsidRDefault="006A3667">
            <w:pPr>
              <w:rPr>
                <w:rFonts w:ascii="宋体"/>
              </w:rPr>
            </w:pPr>
          </w:p>
        </w:tc>
      </w:tr>
      <w:tr w:rsidR="006A3667" w14:paraId="71D4A7D3" w14:textId="77777777">
        <w:tc>
          <w:tcPr>
            <w:tcW w:w="0" w:type="auto"/>
            <w:gridSpan w:val="3"/>
            <w:shd w:val="clear" w:color="auto" w:fill="auto"/>
            <w:tcMar>
              <w:top w:w="40" w:type="dxa"/>
              <w:left w:w="20" w:type="dxa"/>
              <w:bottom w:w="40" w:type="dxa"/>
              <w:right w:w="20" w:type="dxa"/>
            </w:tcMar>
            <w:vAlign w:val="center"/>
          </w:tcPr>
          <w:p w14:paraId="71D4A7CF" w14:textId="77777777" w:rsidR="006A3667" w:rsidRDefault="00045F32">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71D4A7D0" w14:textId="77777777" w:rsidR="006A3667" w:rsidRDefault="00045F32">
            <w:pPr>
              <w:textAlignment w:val="center"/>
            </w:pPr>
            <w:r>
              <w:rPr>
                <w:rFonts w:ascii="Arial" w:eastAsia="宋体" w:hAnsi="Arial" w:cs="Arial"/>
                <w:color w:val="000000"/>
                <w:sz w:val="16"/>
                <w:szCs w:val="16"/>
              </w:rPr>
              <w:t>Global systemically important bank</w:t>
            </w:r>
          </w:p>
        </w:tc>
        <w:tc>
          <w:tcPr>
            <w:tcW w:w="0" w:type="auto"/>
            <w:gridSpan w:val="3"/>
            <w:shd w:val="clear" w:color="auto" w:fill="auto"/>
            <w:tcMar>
              <w:top w:w="0" w:type="dxa"/>
              <w:left w:w="20" w:type="dxa"/>
              <w:bottom w:w="0" w:type="dxa"/>
              <w:right w:w="20" w:type="dxa"/>
            </w:tcMar>
            <w:vAlign w:val="bottom"/>
          </w:tcPr>
          <w:p w14:paraId="71D4A7D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D2" w14:textId="77777777" w:rsidR="006A3667" w:rsidRDefault="006A3667">
            <w:pPr>
              <w:rPr>
                <w:rFonts w:ascii="宋体"/>
              </w:rPr>
            </w:pPr>
          </w:p>
        </w:tc>
      </w:tr>
      <w:tr w:rsidR="006A3667" w14:paraId="71D4A7D8" w14:textId="77777777">
        <w:tc>
          <w:tcPr>
            <w:tcW w:w="0" w:type="auto"/>
            <w:gridSpan w:val="3"/>
            <w:shd w:val="clear" w:color="auto" w:fill="auto"/>
            <w:tcMar>
              <w:top w:w="40" w:type="dxa"/>
              <w:left w:w="20" w:type="dxa"/>
              <w:bottom w:w="40" w:type="dxa"/>
              <w:right w:w="20" w:type="dxa"/>
            </w:tcMar>
            <w:vAlign w:val="center"/>
          </w:tcPr>
          <w:p w14:paraId="71D4A7D4" w14:textId="77777777" w:rsidR="006A3667" w:rsidRDefault="00045F32">
            <w:pP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1D4A7D5" w14:textId="77777777" w:rsidR="006A3667" w:rsidRDefault="00045F32">
            <w:pPr>
              <w:textAlignment w:val="center"/>
            </w:pPr>
            <w:r>
              <w:rPr>
                <w:rFonts w:ascii="Arial" w:eastAsia="宋体" w:hAnsi="Arial" w:cs="Arial"/>
                <w:color w:val="000000"/>
                <w:sz w:val="16"/>
                <w:szCs w:val="16"/>
              </w:rPr>
              <w:t>High-quality liquid assets</w:t>
            </w:r>
          </w:p>
        </w:tc>
        <w:tc>
          <w:tcPr>
            <w:tcW w:w="0" w:type="auto"/>
            <w:gridSpan w:val="3"/>
            <w:shd w:val="clear" w:color="auto" w:fill="auto"/>
            <w:tcMar>
              <w:top w:w="0" w:type="dxa"/>
              <w:left w:w="20" w:type="dxa"/>
              <w:bottom w:w="0" w:type="dxa"/>
              <w:right w:w="20" w:type="dxa"/>
            </w:tcMar>
            <w:vAlign w:val="bottom"/>
          </w:tcPr>
          <w:p w14:paraId="71D4A7D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D7" w14:textId="77777777" w:rsidR="006A3667" w:rsidRDefault="006A3667">
            <w:pPr>
              <w:rPr>
                <w:rFonts w:ascii="宋体"/>
              </w:rPr>
            </w:pPr>
          </w:p>
        </w:tc>
      </w:tr>
      <w:tr w:rsidR="006A3667" w14:paraId="71D4A7DD" w14:textId="77777777">
        <w:tc>
          <w:tcPr>
            <w:tcW w:w="0" w:type="auto"/>
            <w:gridSpan w:val="3"/>
            <w:shd w:val="clear" w:color="auto" w:fill="auto"/>
            <w:tcMar>
              <w:top w:w="40" w:type="dxa"/>
              <w:left w:w="20" w:type="dxa"/>
              <w:bottom w:w="40" w:type="dxa"/>
              <w:right w:w="20" w:type="dxa"/>
            </w:tcMar>
            <w:vAlign w:val="center"/>
          </w:tcPr>
          <w:p w14:paraId="71D4A7D9" w14:textId="77777777" w:rsidR="006A3667" w:rsidRDefault="00045F32">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71D4A7DA" w14:textId="77777777" w:rsidR="006A3667" w:rsidRDefault="00045F32">
            <w:pPr>
              <w:textAlignment w:val="center"/>
            </w:pPr>
            <w:r>
              <w:rPr>
                <w:rFonts w:ascii="Arial" w:eastAsia="宋体" w:hAnsi="Arial" w:cs="Arial"/>
                <w:color w:val="000000"/>
                <w:sz w:val="16"/>
                <w:szCs w:val="16"/>
              </w:rPr>
              <w:t>Held-to-maturity</w:t>
            </w:r>
          </w:p>
        </w:tc>
        <w:tc>
          <w:tcPr>
            <w:tcW w:w="0" w:type="auto"/>
            <w:gridSpan w:val="3"/>
            <w:shd w:val="clear" w:color="auto" w:fill="auto"/>
            <w:tcMar>
              <w:top w:w="0" w:type="dxa"/>
              <w:left w:w="20" w:type="dxa"/>
              <w:bottom w:w="0" w:type="dxa"/>
              <w:right w:w="20" w:type="dxa"/>
            </w:tcMar>
            <w:vAlign w:val="bottom"/>
          </w:tcPr>
          <w:p w14:paraId="71D4A7D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DC" w14:textId="77777777" w:rsidR="006A3667" w:rsidRDefault="006A3667">
            <w:pPr>
              <w:rPr>
                <w:rFonts w:ascii="宋体"/>
              </w:rPr>
            </w:pPr>
          </w:p>
        </w:tc>
      </w:tr>
      <w:tr w:rsidR="006A3667" w14:paraId="71D4A7E2" w14:textId="77777777">
        <w:tc>
          <w:tcPr>
            <w:tcW w:w="0" w:type="auto"/>
            <w:gridSpan w:val="3"/>
            <w:shd w:val="clear" w:color="auto" w:fill="auto"/>
            <w:tcMar>
              <w:top w:w="40" w:type="dxa"/>
              <w:left w:w="20" w:type="dxa"/>
              <w:bottom w:w="40" w:type="dxa"/>
              <w:right w:w="20" w:type="dxa"/>
            </w:tcMar>
            <w:vAlign w:val="bottom"/>
          </w:tcPr>
          <w:p w14:paraId="71D4A7DE" w14:textId="77777777" w:rsidR="006A3667" w:rsidRDefault="00045F32">
            <w:pPr>
              <w:textAlignment w:val="bottom"/>
            </w:pPr>
            <w:r>
              <w:rPr>
                <w:rFonts w:ascii="Arial" w:eastAsia="宋体" w:hAnsi="Arial" w:cs="Arial"/>
                <w:color w:val="000000"/>
                <w:sz w:val="16"/>
                <w:szCs w:val="16"/>
              </w:rPr>
              <w:t>IDI</w:t>
            </w:r>
          </w:p>
        </w:tc>
        <w:tc>
          <w:tcPr>
            <w:tcW w:w="0" w:type="auto"/>
            <w:gridSpan w:val="3"/>
            <w:shd w:val="clear" w:color="auto" w:fill="auto"/>
            <w:tcMar>
              <w:top w:w="40" w:type="dxa"/>
              <w:left w:w="20" w:type="dxa"/>
              <w:bottom w:w="40" w:type="dxa"/>
              <w:right w:w="20" w:type="dxa"/>
            </w:tcMar>
            <w:vAlign w:val="bottom"/>
          </w:tcPr>
          <w:p w14:paraId="71D4A7DF" w14:textId="77777777" w:rsidR="006A3667" w:rsidRDefault="00045F32">
            <w:pPr>
              <w:textAlignment w:val="bottom"/>
            </w:pPr>
            <w:r>
              <w:rPr>
                <w:rFonts w:ascii="Arial" w:eastAsia="宋体" w:hAnsi="Arial" w:cs="Arial"/>
                <w:color w:val="000000"/>
                <w:sz w:val="16"/>
                <w:szCs w:val="16"/>
              </w:rPr>
              <w:t xml:space="preserve">Insured Depository </w:t>
            </w:r>
            <w:r>
              <w:rPr>
                <w:rFonts w:ascii="Arial" w:eastAsia="宋体" w:hAnsi="Arial" w:cs="Arial"/>
                <w:color w:val="000000"/>
                <w:sz w:val="16"/>
                <w:szCs w:val="16"/>
              </w:rPr>
              <w:t>Institution</w:t>
            </w:r>
          </w:p>
        </w:tc>
        <w:tc>
          <w:tcPr>
            <w:tcW w:w="0" w:type="auto"/>
            <w:gridSpan w:val="3"/>
            <w:shd w:val="clear" w:color="auto" w:fill="auto"/>
            <w:tcMar>
              <w:top w:w="0" w:type="dxa"/>
              <w:left w:w="20" w:type="dxa"/>
              <w:bottom w:w="0" w:type="dxa"/>
              <w:right w:w="20" w:type="dxa"/>
            </w:tcMar>
            <w:vAlign w:val="bottom"/>
          </w:tcPr>
          <w:p w14:paraId="71D4A7E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E1" w14:textId="77777777" w:rsidR="006A3667" w:rsidRDefault="006A3667">
            <w:pPr>
              <w:rPr>
                <w:rFonts w:ascii="宋体"/>
              </w:rPr>
            </w:pPr>
          </w:p>
        </w:tc>
      </w:tr>
      <w:tr w:rsidR="006A3667" w14:paraId="71D4A7E7" w14:textId="77777777">
        <w:tc>
          <w:tcPr>
            <w:tcW w:w="0" w:type="auto"/>
            <w:gridSpan w:val="3"/>
            <w:shd w:val="clear" w:color="auto" w:fill="auto"/>
            <w:tcMar>
              <w:top w:w="40" w:type="dxa"/>
              <w:left w:w="20" w:type="dxa"/>
              <w:bottom w:w="40" w:type="dxa"/>
              <w:right w:w="20" w:type="dxa"/>
            </w:tcMar>
            <w:vAlign w:val="center"/>
          </w:tcPr>
          <w:p w14:paraId="71D4A7E3" w14:textId="77777777" w:rsidR="006A3667" w:rsidRDefault="00045F32">
            <w:pP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71D4A7E4" w14:textId="77777777" w:rsidR="006A3667" w:rsidRDefault="00045F32">
            <w:pPr>
              <w:textAlignment w:val="center"/>
            </w:pPr>
            <w:r>
              <w:rPr>
                <w:rFonts w:ascii="Arial" w:eastAsia="宋体" w:hAnsi="Arial" w:cs="Arial"/>
                <w:color w:val="000000"/>
                <w:sz w:val="16"/>
                <w:szCs w:val="16"/>
              </w:rPr>
              <w:t>Liquidity coverage ratio</w:t>
            </w:r>
          </w:p>
        </w:tc>
        <w:tc>
          <w:tcPr>
            <w:tcW w:w="0" w:type="auto"/>
            <w:gridSpan w:val="3"/>
            <w:shd w:val="clear" w:color="auto" w:fill="auto"/>
            <w:tcMar>
              <w:top w:w="0" w:type="dxa"/>
              <w:left w:w="20" w:type="dxa"/>
              <w:bottom w:w="0" w:type="dxa"/>
              <w:right w:w="20" w:type="dxa"/>
            </w:tcMar>
            <w:vAlign w:val="bottom"/>
          </w:tcPr>
          <w:p w14:paraId="71D4A7E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E6" w14:textId="77777777" w:rsidR="006A3667" w:rsidRDefault="006A3667">
            <w:pPr>
              <w:rPr>
                <w:rFonts w:ascii="宋体"/>
              </w:rPr>
            </w:pPr>
          </w:p>
        </w:tc>
      </w:tr>
      <w:tr w:rsidR="006A3667" w14:paraId="71D4A7EC" w14:textId="77777777">
        <w:tc>
          <w:tcPr>
            <w:tcW w:w="0" w:type="auto"/>
            <w:gridSpan w:val="3"/>
            <w:shd w:val="clear" w:color="auto" w:fill="auto"/>
            <w:tcMar>
              <w:top w:w="40" w:type="dxa"/>
              <w:left w:w="20" w:type="dxa"/>
              <w:bottom w:w="40" w:type="dxa"/>
              <w:right w:w="20" w:type="dxa"/>
            </w:tcMar>
            <w:vAlign w:val="center"/>
          </w:tcPr>
          <w:p w14:paraId="71D4A7E8" w14:textId="77777777" w:rsidR="006A3667" w:rsidRDefault="00045F32">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71D4A7E9" w14:textId="77777777" w:rsidR="006A3667" w:rsidRDefault="00045F32">
            <w:pPr>
              <w:textAlignment w:val="center"/>
            </w:pPr>
            <w:r>
              <w:rPr>
                <w:rFonts w:ascii="Arial" w:eastAsia="宋体" w:hAnsi="Arial" w:cs="Arial"/>
                <w:color w:val="000000"/>
                <w:sz w:val="16"/>
                <w:szCs w:val="16"/>
              </w:rPr>
              <w:t>London Interbank Offered Rate</w:t>
            </w:r>
          </w:p>
        </w:tc>
        <w:tc>
          <w:tcPr>
            <w:tcW w:w="0" w:type="auto"/>
            <w:gridSpan w:val="3"/>
            <w:shd w:val="clear" w:color="auto" w:fill="auto"/>
            <w:tcMar>
              <w:top w:w="0" w:type="dxa"/>
              <w:left w:w="20" w:type="dxa"/>
              <w:bottom w:w="0" w:type="dxa"/>
              <w:right w:w="20" w:type="dxa"/>
            </w:tcMar>
            <w:vAlign w:val="bottom"/>
          </w:tcPr>
          <w:p w14:paraId="71D4A7E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7EB" w14:textId="77777777" w:rsidR="006A3667" w:rsidRDefault="006A3667">
            <w:pPr>
              <w:rPr>
                <w:rFonts w:ascii="宋体"/>
              </w:rPr>
            </w:pPr>
          </w:p>
        </w:tc>
      </w:tr>
      <w:tr w:rsidR="006A3667" w14:paraId="71D4A7F1" w14:textId="77777777">
        <w:trPr>
          <w:hidden/>
        </w:trPr>
        <w:tc>
          <w:tcPr>
            <w:tcW w:w="0" w:type="auto"/>
            <w:gridSpan w:val="3"/>
            <w:shd w:val="clear" w:color="auto" w:fill="auto"/>
            <w:vAlign w:val="bottom"/>
          </w:tcPr>
          <w:p w14:paraId="71D4A7ED" w14:textId="77777777" w:rsidR="006A3667" w:rsidRDefault="006A3667">
            <w:pPr>
              <w:rPr>
                <w:rFonts w:ascii="宋体"/>
                <w:vanish/>
              </w:rPr>
            </w:pPr>
          </w:p>
        </w:tc>
        <w:tc>
          <w:tcPr>
            <w:tcW w:w="0" w:type="auto"/>
            <w:gridSpan w:val="3"/>
            <w:shd w:val="clear" w:color="auto" w:fill="auto"/>
            <w:vAlign w:val="bottom"/>
          </w:tcPr>
          <w:p w14:paraId="71D4A7EE" w14:textId="77777777" w:rsidR="006A3667" w:rsidRDefault="006A3667">
            <w:pPr>
              <w:rPr>
                <w:rFonts w:ascii="宋体"/>
                <w:vanish/>
              </w:rPr>
            </w:pPr>
          </w:p>
        </w:tc>
        <w:tc>
          <w:tcPr>
            <w:tcW w:w="0" w:type="auto"/>
            <w:gridSpan w:val="3"/>
            <w:shd w:val="clear" w:color="auto" w:fill="auto"/>
            <w:vAlign w:val="bottom"/>
          </w:tcPr>
          <w:p w14:paraId="71D4A7EF" w14:textId="77777777" w:rsidR="006A3667" w:rsidRDefault="006A3667">
            <w:pPr>
              <w:rPr>
                <w:rFonts w:ascii="宋体"/>
                <w:vanish/>
              </w:rPr>
            </w:pPr>
          </w:p>
        </w:tc>
        <w:tc>
          <w:tcPr>
            <w:tcW w:w="0" w:type="auto"/>
            <w:gridSpan w:val="3"/>
            <w:shd w:val="clear" w:color="auto" w:fill="auto"/>
            <w:vAlign w:val="bottom"/>
          </w:tcPr>
          <w:p w14:paraId="71D4A7F0" w14:textId="77777777" w:rsidR="006A3667" w:rsidRDefault="006A3667">
            <w:pPr>
              <w:rPr>
                <w:rFonts w:ascii="宋体"/>
                <w:vanish/>
              </w:rPr>
            </w:pPr>
          </w:p>
        </w:tc>
      </w:tr>
      <w:tr w:rsidR="006A3667" w14:paraId="71D4A7F6" w14:textId="77777777">
        <w:trPr>
          <w:hidden/>
        </w:trPr>
        <w:tc>
          <w:tcPr>
            <w:tcW w:w="0" w:type="auto"/>
            <w:gridSpan w:val="3"/>
            <w:shd w:val="clear" w:color="auto" w:fill="auto"/>
            <w:vAlign w:val="bottom"/>
          </w:tcPr>
          <w:p w14:paraId="71D4A7F2" w14:textId="77777777" w:rsidR="006A3667" w:rsidRDefault="006A3667">
            <w:pPr>
              <w:rPr>
                <w:rFonts w:ascii="宋体"/>
                <w:vanish/>
              </w:rPr>
            </w:pPr>
          </w:p>
        </w:tc>
        <w:tc>
          <w:tcPr>
            <w:tcW w:w="0" w:type="auto"/>
            <w:gridSpan w:val="3"/>
            <w:shd w:val="clear" w:color="auto" w:fill="auto"/>
            <w:vAlign w:val="bottom"/>
          </w:tcPr>
          <w:p w14:paraId="71D4A7F3" w14:textId="77777777" w:rsidR="006A3667" w:rsidRDefault="006A3667">
            <w:pPr>
              <w:rPr>
                <w:rFonts w:ascii="宋体"/>
                <w:vanish/>
              </w:rPr>
            </w:pPr>
          </w:p>
        </w:tc>
        <w:tc>
          <w:tcPr>
            <w:tcW w:w="0" w:type="auto"/>
            <w:gridSpan w:val="3"/>
            <w:shd w:val="clear" w:color="auto" w:fill="auto"/>
            <w:vAlign w:val="bottom"/>
          </w:tcPr>
          <w:p w14:paraId="71D4A7F4" w14:textId="77777777" w:rsidR="006A3667" w:rsidRDefault="006A3667">
            <w:pPr>
              <w:rPr>
                <w:rFonts w:ascii="宋体"/>
                <w:vanish/>
              </w:rPr>
            </w:pPr>
          </w:p>
        </w:tc>
        <w:tc>
          <w:tcPr>
            <w:tcW w:w="0" w:type="auto"/>
            <w:gridSpan w:val="3"/>
            <w:shd w:val="clear" w:color="auto" w:fill="auto"/>
            <w:vAlign w:val="bottom"/>
          </w:tcPr>
          <w:p w14:paraId="71D4A7F5" w14:textId="77777777" w:rsidR="006A3667" w:rsidRDefault="006A3667">
            <w:pPr>
              <w:rPr>
                <w:rFonts w:ascii="宋体"/>
                <w:vanish/>
              </w:rPr>
            </w:pPr>
          </w:p>
        </w:tc>
      </w:tr>
      <w:tr w:rsidR="006A3667" w14:paraId="71D4A7FB" w14:textId="77777777">
        <w:trPr>
          <w:hidden/>
        </w:trPr>
        <w:tc>
          <w:tcPr>
            <w:tcW w:w="0" w:type="auto"/>
            <w:gridSpan w:val="3"/>
            <w:shd w:val="clear" w:color="auto" w:fill="auto"/>
            <w:vAlign w:val="bottom"/>
          </w:tcPr>
          <w:p w14:paraId="71D4A7F7" w14:textId="77777777" w:rsidR="006A3667" w:rsidRDefault="006A3667">
            <w:pPr>
              <w:rPr>
                <w:rFonts w:ascii="宋体"/>
                <w:vanish/>
              </w:rPr>
            </w:pPr>
          </w:p>
        </w:tc>
        <w:tc>
          <w:tcPr>
            <w:tcW w:w="0" w:type="auto"/>
            <w:gridSpan w:val="3"/>
            <w:shd w:val="clear" w:color="auto" w:fill="auto"/>
            <w:vAlign w:val="bottom"/>
          </w:tcPr>
          <w:p w14:paraId="71D4A7F8" w14:textId="77777777" w:rsidR="006A3667" w:rsidRDefault="006A3667">
            <w:pPr>
              <w:rPr>
                <w:rFonts w:ascii="宋体"/>
                <w:vanish/>
              </w:rPr>
            </w:pPr>
          </w:p>
        </w:tc>
        <w:tc>
          <w:tcPr>
            <w:tcW w:w="0" w:type="auto"/>
            <w:gridSpan w:val="3"/>
            <w:shd w:val="clear" w:color="auto" w:fill="auto"/>
            <w:vAlign w:val="bottom"/>
          </w:tcPr>
          <w:p w14:paraId="71D4A7F9" w14:textId="77777777" w:rsidR="006A3667" w:rsidRDefault="006A3667">
            <w:pPr>
              <w:rPr>
                <w:rFonts w:ascii="宋体"/>
                <w:vanish/>
              </w:rPr>
            </w:pPr>
          </w:p>
        </w:tc>
        <w:tc>
          <w:tcPr>
            <w:tcW w:w="0" w:type="auto"/>
            <w:gridSpan w:val="3"/>
            <w:shd w:val="clear" w:color="auto" w:fill="auto"/>
            <w:vAlign w:val="bottom"/>
          </w:tcPr>
          <w:p w14:paraId="71D4A7FA" w14:textId="77777777" w:rsidR="006A3667" w:rsidRDefault="006A3667">
            <w:pPr>
              <w:rPr>
                <w:rFonts w:ascii="宋体"/>
                <w:vanish/>
              </w:rPr>
            </w:pPr>
          </w:p>
        </w:tc>
      </w:tr>
      <w:tr w:rsidR="006A3667" w14:paraId="71D4A800" w14:textId="77777777">
        <w:trPr>
          <w:hidden/>
        </w:trPr>
        <w:tc>
          <w:tcPr>
            <w:tcW w:w="0" w:type="auto"/>
            <w:gridSpan w:val="3"/>
            <w:shd w:val="clear" w:color="auto" w:fill="auto"/>
            <w:vAlign w:val="bottom"/>
          </w:tcPr>
          <w:p w14:paraId="71D4A7FC" w14:textId="77777777" w:rsidR="006A3667" w:rsidRDefault="006A3667">
            <w:pPr>
              <w:rPr>
                <w:rFonts w:ascii="宋体"/>
                <w:vanish/>
              </w:rPr>
            </w:pPr>
          </w:p>
        </w:tc>
        <w:tc>
          <w:tcPr>
            <w:tcW w:w="0" w:type="auto"/>
            <w:gridSpan w:val="3"/>
            <w:shd w:val="clear" w:color="auto" w:fill="auto"/>
            <w:vAlign w:val="bottom"/>
          </w:tcPr>
          <w:p w14:paraId="71D4A7FD" w14:textId="77777777" w:rsidR="006A3667" w:rsidRDefault="006A3667">
            <w:pPr>
              <w:rPr>
                <w:rFonts w:ascii="宋体"/>
                <w:vanish/>
              </w:rPr>
            </w:pPr>
          </w:p>
        </w:tc>
        <w:tc>
          <w:tcPr>
            <w:tcW w:w="0" w:type="auto"/>
            <w:gridSpan w:val="3"/>
            <w:shd w:val="clear" w:color="auto" w:fill="auto"/>
            <w:vAlign w:val="bottom"/>
          </w:tcPr>
          <w:p w14:paraId="71D4A7FE" w14:textId="77777777" w:rsidR="006A3667" w:rsidRDefault="006A3667">
            <w:pPr>
              <w:rPr>
                <w:rFonts w:ascii="宋体"/>
                <w:vanish/>
              </w:rPr>
            </w:pPr>
          </w:p>
        </w:tc>
        <w:tc>
          <w:tcPr>
            <w:tcW w:w="0" w:type="auto"/>
            <w:gridSpan w:val="3"/>
            <w:shd w:val="clear" w:color="auto" w:fill="auto"/>
            <w:vAlign w:val="bottom"/>
          </w:tcPr>
          <w:p w14:paraId="71D4A7FF" w14:textId="77777777" w:rsidR="006A3667" w:rsidRDefault="006A3667">
            <w:pPr>
              <w:rPr>
                <w:rFonts w:ascii="宋体"/>
                <w:vanish/>
              </w:rPr>
            </w:pPr>
          </w:p>
        </w:tc>
      </w:tr>
      <w:tr w:rsidR="006A3667" w14:paraId="71D4A805" w14:textId="77777777">
        <w:trPr>
          <w:hidden/>
        </w:trPr>
        <w:tc>
          <w:tcPr>
            <w:tcW w:w="0" w:type="auto"/>
            <w:gridSpan w:val="3"/>
            <w:shd w:val="clear" w:color="auto" w:fill="auto"/>
            <w:vAlign w:val="bottom"/>
          </w:tcPr>
          <w:p w14:paraId="71D4A801" w14:textId="77777777" w:rsidR="006A3667" w:rsidRDefault="006A3667">
            <w:pPr>
              <w:rPr>
                <w:rFonts w:ascii="宋体"/>
                <w:vanish/>
              </w:rPr>
            </w:pPr>
          </w:p>
        </w:tc>
        <w:tc>
          <w:tcPr>
            <w:tcW w:w="0" w:type="auto"/>
            <w:gridSpan w:val="3"/>
            <w:shd w:val="clear" w:color="auto" w:fill="auto"/>
            <w:vAlign w:val="bottom"/>
          </w:tcPr>
          <w:p w14:paraId="71D4A802" w14:textId="77777777" w:rsidR="006A3667" w:rsidRDefault="006A3667">
            <w:pPr>
              <w:rPr>
                <w:rFonts w:ascii="宋体"/>
                <w:vanish/>
              </w:rPr>
            </w:pPr>
          </w:p>
        </w:tc>
        <w:tc>
          <w:tcPr>
            <w:tcW w:w="0" w:type="auto"/>
            <w:gridSpan w:val="3"/>
            <w:shd w:val="clear" w:color="auto" w:fill="auto"/>
            <w:vAlign w:val="bottom"/>
          </w:tcPr>
          <w:p w14:paraId="71D4A803" w14:textId="77777777" w:rsidR="006A3667" w:rsidRDefault="006A3667">
            <w:pPr>
              <w:rPr>
                <w:rFonts w:ascii="宋体"/>
                <w:vanish/>
              </w:rPr>
            </w:pPr>
          </w:p>
        </w:tc>
        <w:tc>
          <w:tcPr>
            <w:tcW w:w="0" w:type="auto"/>
            <w:gridSpan w:val="3"/>
            <w:shd w:val="clear" w:color="auto" w:fill="auto"/>
            <w:vAlign w:val="bottom"/>
          </w:tcPr>
          <w:p w14:paraId="71D4A804" w14:textId="77777777" w:rsidR="006A3667" w:rsidRDefault="006A3667">
            <w:pPr>
              <w:rPr>
                <w:rFonts w:ascii="宋体"/>
                <w:vanish/>
              </w:rPr>
            </w:pPr>
          </w:p>
        </w:tc>
      </w:tr>
      <w:tr w:rsidR="006A3667" w14:paraId="71D4A80A" w14:textId="77777777">
        <w:trPr>
          <w:hidden/>
        </w:trPr>
        <w:tc>
          <w:tcPr>
            <w:tcW w:w="0" w:type="auto"/>
            <w:gridSpan w:val="3"/>
            <w:shd w:val="clear" w:color="auto" w:fill="auto"/>
            <w:vAlign w:val="bottom"/>
          </w:tcPr>
          <w:p w14:paraId="71D4A806" w14:textId="77777777" w:rsidR="006A3667" w:rsidRDefault="006A3667">
            <w:pPr>
              <w:rPr>
                <w:rFonts w:ascii="宋体"/>
                <w:vanish/>
              </w:rPr>
            </w:pPr>
          </w:p>
        </w:tc>
        <w:tc>
          <w:tcPr>
            <w:tcW w:w="0" w:type="auto"/>
            <w:gridSpan w:val="3"/>
            <w:shd w:val="clear" w:color="auto" w:fill="auto"/>
            <w:vAlign w:val="bottom"/>
          </w:tcPr>
          <w:p w14:paraId="71D4A807" w14:textId="77777777" w:rsidR="006A3667" w:rsidRDefault="006A3667">
            <w:pPr>
              <w:rPr>
                <w:rFonts w:ascii="宋体"/>
                <w:vanish/>
              </w:rPr>
            </w:pPr>
          </w:p>
        </w:tc>
        <w:tc>
          <w:tcPr>
            <w:tcW w:w="0" w:type="auto"/>
            <w:gridSpan w:val="3"/>
            <w:shd w:val="clear" w:color="auto" w:fill="auto"/>
            <w:vAlign w:val="bottom"/>
          </w:tcPr>
          <w:p w14:paraId="71D4A808" w14:textId="77777777" w:rsidR="006A3667" w:rsidRDefault="006A3667">
            <w:pPr>
              <w:rPr>
                <w:rFonts w:ascii="宋体"/>
                <w:vanish/>
              </w:rPr>
            </w:pPr>
          </w:p>
        </w:tc>
        <w:tc>
          <w:tcPr>
            <w:tcW w:w="0" w:type="auto"/>
            <w:gridSpan w:val="3"/>
            <w:shd w:val="clear" w:color="auto" w:fill="auto"/>
            <w:vAlign w:val="bottom"/>
          </w:tcPr>
          <w:p w14:paraId="71D4A809" w14:textId="77777777" w:rsidR="006A3667" w:rsidRDefault="006A3667">
            <w:pPr>
              <w:rPr>
                <w:rFonts w:ascii="宋体"/>
                <w:vanish/>
              </w:rPr>
            </w:pPr>
          </w:p>
        </w:tc>
      </w:tr>
      <w:tr w:rsidR="006A3667" w14:paraId="71D4A80F" w14:textId="77777777">
        <w:trPr>
          <w:hidden/>
        </w:trPr>
        <w:tc>
          <w:tcPr>
            <w:tcW w:w="0" w:type="auto"/>
            <w:gridSpan w:val="3"/>
            <w:shd w:val="clear" w:color="auto" w:fill="auto"/>
            <w:vAlign w:val="bottom"/>
          </w:tcPr>
          <w:p w14:paraId="71D4A80B" w14:textId="77777777" w:rsidR="006A3667" w:rsidRDefault="006A3667">
            <w:pPr>
              <w:rPr>
                <w:rFonts w:ascii="宋体"/>
                <w:vanish/>
              </w:rPr>
            </w:pPr>
          </w:p>
        </w:tc>
        <w:tc>
          <w:tcPr>
            <w:tcW w:w="0" w:type="auto"/>
            <w:gridSpan w:val="3"/>
            <w:shd w:val="clear" w:color="auto" w:fill="auto"/>
            <w:vAlign w:val="bottom"/>
          </w:tcPr>
          <w:p w14:paraId="71D4A80C" w14:textId="77777777" w:rsidR="006A3667" w:rsidRDefault="006A3667">
            <w:pPr>
              <w:rPr>
                <w:rFonts w:ascii="宋体"/>
                <w:vanish/>
              </w:rPr>
            </w:pPr>
          </w:p>
        </w:tc>
        <w:tc>
          <w:tcPr>
            <w:tcW w:w="0" w:type="auto"/>
            <w:gridSpan w:val="3"/>
            <w:shd w:val="clear" w:color="auto" w:fill="auto"/>
            <w:vAlign w:val="bottom"/>
          </w:tcPr>
          <w:p w14:paraId="71D4A80D" w14:textId="77777777" w:rsidR="006A3667" w:rsidRDefault="006A3667">
            <w:pPr>
              <w:rPr>
                <w:rFonts w:ascii="宋体"/>
                <w:vanish/>
              </w:rPr>
            </w:pPr>
          </w:p>
        </w:tc>
        <w:tc>
          <w:tcPr>
            <w:tcW w:w="0" w:type="auto"/>
            <w:gridSpan w:val="3"/>
            <w:shd w:val="clear" w:color="auto" w:fill="auto"/>
            <w:vAlign w:val="bottom"/>
          </w:tcPr>
          <w:p w14:paraId="71D4A80E" w14:textId="77777777" w:rsidR="006A3667" w:rsidRDefault="006A3667">
            <w:pPr>
              <w:rPr>
                <w:rFonts w:ascii="宋体"/>
                <w:vanish/>
              </w:rPr>
            </w:pPr>
          </w:p>
        </w:tc>
      </w:tr>
      <w:tr w:rsidR="006A3667" w14:paraId="71D4A814" w14:textId="77777777">
        <w:trPr>
          <w:hidden/>
        </w:trPr>
        <w:tc>
          <w:tcPr>
            <w:tcW w:w="0" w:type="auto"/>
            <w:gridSpan w:val="3"/>
            <w:shd w:val="clear" w:color="auto" w:fill="auto"/>
            <w:vAlign w:val="bottom"/>
          </w:tcPr>
          <w:p w14:paraId="71D4A810" w14:textId="77777777" w:rsidR="006A3667" w:rsidRDefault="006A3667">
            <w:pPr>
              <w:rPr>
                <w:rFonts w:ascii="宋体"/>
                <w:vanish/>
              </w:rPr>
            </w:pPr>
          </w:p>
        </w:tc>
        <w:tc>
          <w:tcPr>
            <w:tcW w:w="0" w:type="auto"/>
            <w:gridSpan w:val="3"/>
            <w:shd w:val="clear" w:color="auto" w:fill="auto"/>
            <w:vAlign w:val="bottom"/>
          </w:tcPr>
          <w:p w14:paraId="71D4A811" w14:textId="77777777" w:rsidR="006A3667" w:rsidRDefault="006A3667">
            <w:pPr>
              <w:rPr>
                <w:rFonts w:ascii="宋体"/>
                <w:vanish/>
              </w:rPr>
            </w:pPr>
          </w:p>
        </w:tc>
        <w:tc>
          <w:tcPr>
            <w:tcW w:w="0" w:type="auto"/>
            <w:gridSpan w:val="3"/>
            <w:shd w:val="clear" w:color="auto" w:fill="auto"/>
            <w:vAlign w:val="bottom"/>
          </w:tcPr>
          <w:p w14:paraId="71D4A812" w14:textId="77777777" w:rsidR="006A3667" w:rsidRDefault="006A3667">
            <w:pPr>
              <w:rPr>
                <w:rFonts w:ascii="宋体"/>
                <w:vanish/>
              </w:rPr>
            </w:pPr>
          </w:p>
        </w:tc>
        <w:tc>
          <w:tcPr>
            <w:tcW w:w="0" w:type="auto"/>
            <w:gridSpan w:val="3"/>
            <w:shd w:val="clear" w:color="auto" w:fill="auto"/>
            <w:vAlign w:val="bottom"/>
          </w:tcPr>
          <w:p w14:paraId="71D4A813" w14:textId="77777777" w:rsidR="006A3667" w:rsidRDefault="006A3667">
            <w:pPr>
              <w:rPr>
                <w:rFonts w:ascii="宋体"/>
                <w:vanish/>
              </w:rPr>
            </w:pPr>
          </w:p>
        </w:tc>
      </w:tr>
      <w:tr w:rsidR="006A3667" w14:paraId="71D4A819" w14:textId="77777777">
        <w:trPr>
          <w:hidden/>
        </w:trPr>
        <w:tc>
          <w:tcPr>
            <w:tcW w:w="0" w:type="auto"/>
            <w:gridSpan w:val="3"/>
            <w:shd w:val="clear" w:color="auto" w:fill="auto"/>
            <w:vAlign w:val="bottom"/>
          </w:tcPr>
          <w:p w14:paraId="71D4A815" w14:textId="77777777" w:rsidR="006A3667" w:rsidRDefault="006A3667">
            <w:pPr>
              <w:rPr>
                <w:rFonts w:ascii="宋体"/>
                <w:vanish/>
              </w:rPr>
            </w:pPr>
          </w:p>
        </w:tc>
        <w:tc>
          <w:tcPr>
            <w:tcW w:w="0" w:type="auto"/>
            <w:gridSpan w:val="3"/>
            <w:shd w:val="clear" w:color="auto" w:fill="auto"/>
            <w:vAlign w:val="bottom"/>
          </w:tcPr>
          <w:p w14:paraId="71D4A816" w14:textId="77777777" w:rsidR="006A3667" w:rsidRDefault="006A3667">
            <w:pPr>
              <w:rPr>
                <w:rFonts w:ascii="宋体"/>
                <w:vanish/>
              </w:rPr>
            </w:pPr>
          </w:p>
        </w:tc>
        <w:tc>
          <w:tcPr>
            <w:tcW w:w="0" w:type="auto"/>
            <w:gridSpan w:val="3"/>
            <w:shd w:val="clear" w:color="auto" w:fill="auto"/>
            <w:vAlign w:val="bottom"/>
          </w:tcPr>
          <w:p w14:paraId="71D4A817" w14:textId="77777777" w:rsidR="006A3667" w:rsidRDefault="006A3667">
            <w:pPr>
              <w:rPr>
                <w:rFonts w:ascii="宋体"/>
                <w:vanish/>
              </w:rPr>
            </w:pPr>
          </w:p>
        </w:tc>
        <w:tc>
          <w:tcPr>
            <w:tcW w:w="0" w:type="auto"/>
            <w:gridSpan w:val="3"/>
            <w:shd w:val="clear" w:color="auto" w:fill="auto"/>
            <w:vAlign w:val="bottom"/>
          </w:tcPr>
          <w:p w14:paraId="71D4A818" w14:textId="77777777" w:rsidR="006A3667" w:rsidRDefault="006A3667">
            <w:pPr>
              <w:rPr>
                <w:rFonts w:ascii="宋体"/>
                <w:vanish/>
              </w:rPr>
            </w:pPr>
          </w:p>
        </w:tc>
      </w:tr>
      <w:tr w:rsidR="006A3667" w14:paraId="71D4A81E" w14:textId="77777777">
        <w:trPr>
          <w:hidden/>
        </w:trPr>
        <w:tc>
          <w:tcPr>
            <w:tcW w:w="0" w:type="auto"/>
            <w:gridSpan w:val="3"/>
            <w:shd w:val="clear" w:color="auto" w:fill="auto"/>
            <w:vAlign w:val="bottom"/>
          </w:tcPr>
          <w:p w14:paraId="71D4A81A" w14:textId="77777777" w:rsidR="006A3667" w:rsidRDefault="006A3667">
            <w:pPr>
              <w:rPr>
                <w:rFonts w:ascii="宋体"/>
                <w:vanish/>
              </w:rPr>
            </w:pPr>
          </w:p>
        </w:tc>
        <w:tc>
          <w:tcPr>
            <w:tcW w:w="0" w:type="auto"/>
            <w:gridSpan w:val="3"/>
            <w:shd w:val="clear" w:color="auto" w:fill="auto"/>
            <w:vAlign w:val="bottom"/>
          </w:tcPr>
          <w:p w14:paraId="71D4A81B" w14:textId="77777777" w:rsidR="006A3667" w:rsidRDefault="006A3667">
            <w:pPr>
              <w:rPr>
                <w:rFonts w:ascii="宋体"/>
                <w:vanish/>
              </w:rPr>
            </w:pPr>
          </w:p>
        </w:tc>
        <w:tc>
          <w:tcPr>
            <w:tcW w:w="0" w:type="auto"/>
            <w:gridSpan w:val="3"/>
            <w:shd w:val="clear" w:color="auto" w:fill="auto"/>
            <w:vAlign w:val="bottom"/>
          </w:tcPr>
          <w:p w14:paraId="71D4A81C" w14:textId="77777777" w:rsidR="006A3667" w:rsidRDefault="006A3667">
            <w:pPr>
              <w:rPr>
                <w:rFonts w:ascii="宋体"/>
                <w:vanish/>
              </w:rPr>
            </w:pPr>
          </w:p>
        </w:tc>
        <w:tc>
          <w:tcPr>
            <w:tcW w:w="0" w:type="auto"/>
            <w:gridSpan w:val="3"/>
            <w:shd w:val="clear" w:color="auto" w:fill="auto"/>
            <w:vAlign w:val="bottom"/>
          </w:tcPr>
          <w:p w14:paraId="71D4A81D" w14:textId="77777777" w:rsidR="006A3667" w:rsidRDefault="006A3667">
            <w:pPr>
              <w:rPr>
                <w:rFonts w:ascii="宋体"/>
                <w:vanish/>
              </w:rPr>
            </w:pPr>
          </w:p>
        </w:tc>
      </w:tr>
      <w:tr w:rsidR="006A3667" w14:paraId="71D4A823" w14:textId="77777777">
        <w:trPr>
          <w:hidden/>
        </w:trPr>
        <w:tc>
          <w:tcPr>
            <w:tcW w:w="0" w:type="auto"/>
            <w:gridSpan w:val="3"/>
            <w:shd w:val="clear" w:color="auto" w:fill="auto"/>
            <w:vAlign w:val="bottom"/>
          </w:tcPr>
          <w:p w14:paraId="71D4A81F" w14:textId="77777777" w:rsidR="006A3667" w:rsidRDefault="006A3667">
            <w:pPr>
              <w:rPr>
                <w:rFonts w:ascii="宋体"/>
                <w:vanish/>
              </w:rPr>
            </w:pPr>
          </w:p>
        </w:tc>
        <w:tc>
          <w:tcPr>
            <w:tcW w:w="0" w:type="auto"/>
            <w:gridSpan w:val="3"/>
            <w:shd w:val="clear" w:color="auto" w:fill="auto"/>
            <w:vAlign w:val="bottom"/>
          </w:tcPr>
          <w:p w14:paraId="71D4A820" w14:textId="77777777" w:rsidR="006A3667" w:rsidRDefault="006A3667">
            <w:pPr>
              <w:rPr>
                <w:rFonts w:ascii="宋体"/>
                <w:vanish/>
              </w:rPr>
            </w:pPr>
          </w:p>
        </w:tc>
        <w:tc>
          <w:tcPr>
            <w:tcW w:w="0" w:type="auto"/>
            <w:gridSpan w:val="3"/>
            <w:shd w:val="clear" w:color="auto" w:fill="auto"/>
            <w:vAlign w:val="bottom"/>
          </w:tcPr>
          <w:p w14:paraId="71D4A821" w14:textId="77777777" w:rsidR="006A3667" w:rsidRDefault="006A3667">
            <w:pPr>
              <w:rPr>
                <w:rFonts w:ascii="宋体"/>
                <w:vanish/>
              </w:rPr>
            </w:pPr>
          </w:p>
        </w:tc>
        <w:tc>
          <w:tcPr>
            <w:tcW w:w="0" w:type="auto"/>
            <w:gridSpan w:val="3"/>
            <w:shd w:val="clear" w:color="auto" w:fill="auto"/>
            <w:vAlign w:val="bottom"/>
          </w:tcPr>
          <w:p w14:paraId="71D4A822" w14:textId="77777777" w:rsidR="006A3667" w:rsidRDefault="006A3667">
            <w:pPr>
              <w:rPr>
                <w:rFonts w:ascii="宋体"/>
                <w:vanish/>
              </w:rPr>
            </w:pPr>
          </w:p>
        </w:tc>
      </w:tr>
      <w:tr w:rsidR="006A3667" w14:paraId="71D4A828" w14:textId="77777777">
        <w:trPr>
          <w:hidden/>
        </w:trPr>
        <w:tc>
          <w:tcPr>
            <w:tcW w:w="0" w:type="auto"/>
            <w:gridSpan w:val="3"/>
            <w:shd w:val="clear" w:color="auto" w:fill="auto"/>
            <w:vAlign w:val="bottom"/>
          </w:tcPr>
          <w:p w14:paraId="71D4A824" w14:textId="77777777" w:rsidR="006A3667" w:rsidRDefault="006A3667">
            <w:pPr>
              <w:rPr>
                <w:rFonts w:ascii="宋体"/>
                <w:vanish/>
              </w:rPr>
            </w:pPr>
          </w:p>
        </w:tc>
        <w:tc>
          <w:tcPr>
            <w:tcW w:w="0" w:type="auto"/>
            <w:gridSpan w:val="3"/>
            <w:shd w:val="clear" w:color="auto" w:fill="auto"/>
            <w:vAlign w:val="bottom"/>
          </w:tcPr>
          <w:p w14:paraId="71D4A825" w14:textId="77777777" w:rsidR="006A3667" w:rsidRDefault="006A3667">
            <w:pPr>
              <w:rPr>
                <w:rFonts w:ascii="宋体"/>
                <w:vanish/>
              </w:rPr>
            </w:pPr>
          </w:p>
        </w:tc>
        <w:tc>
          <w:tcPr>
            <w:tcW w:w="0" w:type="auto"/>
            <w:gridSpan w:val="3"/>
            <w:shd w:val="clear" w:color="auto" w:fill="auto"/>
            <w:vAlign w:val="bottom"/>
          </w:tcPr>
          <w:p w14:paraId="71D4A826" w14:textId="77777777" w:rsidR="006A3667" w:rsidRDefault="006A3667">
            <w:pPr>
              <w:rPr>
                <w:rFonts w:ascii="宋体"/>
                <w:vanish/>
              </w:rPr>
            </w:pPr>
          </w:p>
        </w:tc>
        <w:tc>
          <w:tcPr>
            <w:tcW w:w="0" w:type="auto"/>
            <w:gridSpan w:val="3"/>
            <w:shd w:val="clear" w:color="auto" w:fill="auto"/>
            <w:vAlign w:val="bottom"/>
          </w:tcPr>
          <w:p w14:paraId="71D4A827" w14:textId="77777777" w:rsidR="006A3667" w:rsidRDefault="006A3667">
            <w:pPr>
              <w:rPr>
                <w:rFonts w:ascii="宋体"/>
                <w:vanish/>
              </w:rPr>
            </w:pPr>
          </w:p>
        </w:tc>
      </w:tr>
      <w:tr w:rsidR="006A3667" w14:paraId="71D4A82D" w14:textId="77777777">
        <w:trPr>
          <w:hidden/>
        </w:trPr>
        <w:tc>
          <w:tcPr>
            <w:tcW w:w="0" w:type="auto"/>
            <w:gridSpan w:val="3"/>
            <w:shd w:val="clear" w:color="auto" w:fill="auto"/>
            <w:vAlign w:val="bottom"/>
          </w:tcPr>
          <w:p w14:paraId="71D4A829" w14:textId="77777777" w:rsidR="006A3667" w:rsidRDefault="006A3667">
            <w:pPr>
              <w:rPr>
                <w:rFonts w:ascii="宋体"/>
                <w:vanish/>
              </w:rPr>
            </w:pPr>
          </w:p>
        </w:tc>
        <w:tc>
          <w:tcPr>
            <w:tcW w:w="0" w:type="auto"/>
            <w:gridSpan w:val="3"/>
            <w:shd w:val="clear" w:color="auto" w:fill="auto"/>
            <w:vAlign w:val="bottom"/>
          </w:tcPr>
          <w:p w14:paraId="71D4A82A" w14:textId="77777777" w:rsidR="006A3667" w:rsidRDefault="006A3667">
            <w:pPr>
              <w:rPr>
                <w:rFonts w:ascii="宋体"/>
                <w:vanish/>
              </w:rPr>
            </w:pPr>
          </w:p>
        </w:tc>
        <w:tc>
          <w:tcPr>
            <w:tcW w:w="0" w:type="auto"/>
            <w:gridSpan w:val="3"/>
            <w:shd w:val="clear" w:color="auto" w:fill="auto"/>
            <w:vAlign w:val="bottom"/>
          </w:tcPr>
          <w:p w14:paraId="71D4A82B" w14:textId="77777777" w:rsidR="006A3667" w:rsidRDefault="006A3667">
            <w:pPr>
              <w:rPr>
                <w:rFonts w:ascii="宋体"/>
                <w:vanish/>
              </w:rPr>
            </w:pPr>
          </w:p>
        </w:tc>
        <w:tc>
          <w:tcPr>
            <w:tcW w:w="0" w:type="auto"/>
            <w:gridSpan w:val="3"/>
            <w:shd w:val="clear" w:color="auto" w:fill="auto"/>
            <w:vAlign w:val="bottom"/>
          </w:tcPr>
          <w:p w14:paraId="71D4A82C" w14:textId="77777777" w:rsidR="006A3667" w:rsidRDefault="006A3667">
            <w:pPr>
              <w:rPr>
                <w:rFonts w:ascii="宋体"/>
                <w:vanish/>
              </w:rPr>
            </w:pPr>
          </w:p>
        </w:tc>
      </w:tr>
      <w:tr w:rsidR="006A3667" w14:paraId="71D4A832" w14:textId="77777777">
        <w:trPr>
          <w:hidden/>
        </w:trPr>
        <w:tc>
          <w:tcPr>
            <w:tcW w:w="0" w:type="auto"/>
            <w:gridSpan w:val="3"/>
            <w:shd w:val="clear" w:color="auto" w:fill="auto"/>
            <w:vAlign w:val="bottom"/>
          </w:tcPr>
          <w:p w14:paraId="71D4A82E" w14:textId="77777777" w:rsidR="006A3667" w:rsidRDefault="006A3667">
            <w:pPr>
              <w:rPr>
                <w:rFonts w:ascii="宋体"/>
                <w:vanish/>
              </w:rPr>
            </w:pPr>
          </w:p>
        </w:tc>
        <w:tc>
          <w:tcPr>
            <w:tcW w:w="0" w:type="auto"/>
            <w:gridSpan w:val="3"/>
            <w:shd w:val="clear" w:color="auto" w:fill="auto"/>
            <w:vAlign w:val="bottom"/>
          </w:tcPr>
          <w:p w14:paraId="71D4A82F" w14:textId="77777777" w:rsidR="006A3667" w:rsidRDefault="006A3667">
            <w:pPr>
              <w:rPr>
                <w:rFonts w:ascii="宋体"/>
                <w:vanish/>
              </w:rPr>
            </w:pPr>
          </w:p>
        </w:tc>
        <w:tc>
          <w:tcPr>
            <w:tcW w:w="0" w:type="auto"/>
            <w:gridSpan w:val="3"/>
            <w:shd w:val="clear" w:color="auto" w:fill="auto"/>
            <w:vAlign w:val="bottom"/>
          </w:tcPr>
          <w:p w14:paraId="71D4A830" w14:textId="77777777" w:rsidR="006A3667" w:rsidRDefault="006A3667">
            <w:pPr>
              <w:rPr>
                <w:rFonts w:ascii="宋体"/>
                <w:vanish/>
              </w:rPr>
            </w:pPr>
          </w:p>
        </w:tc>
        <w:tc>
          <w:tcPr>
            <w:tcW w:w="0" w:type="auto"/>
            <w:gridSpan w:val="3"/>
            <w:shd w:val="clear" w:color="auto" w:fill="auto"/>
            <w:vAlign w:val="bottom"/>
          </w:tcPr>
          <w:p w14:paraId="71D4A831" w14:textId="77777777" w:rsidR="006A3667" w:rsidRDefault="006A3667">
            <w:pPr>
              <w:rPr>
                <w:rFonts w:ascii="宋体"/>
                <w:vanish/>
              </w:rPr>
            </w:pPr>
          </w:p>
        </w:tc>
      </w:tr>
      <w:tr w:rsidR="006A3667" w14:paraId="71D4A837" w14:textId="77777777">
        <w:trPr>
          <w:hidden/>
        </w:trPr>
        <w:tc>
          <w:tcPr>
            <w:tcW w:w="0" w:type="auto"/>
            <w:gridSpan w:val="3"/>
            <w:shd w:val="clear" w:color="auto" w:fill="auto"/>
            <w:vAlign w:val="bottom"/>
          </w:tcPr>
          <w:p w14:paraId="71D4A833" w14:textId="77777777" w:rsidR="006A3667" w:rsidRDefault="006A3667">
            <w:pPr>
              <w:rPr>
                <w:rFonts w:ascii="宋体"/>
                <w:vanish/>
              </w:rPr>
            </w:pPr>
          </w:p>
        </w:tc>
        <w:tc>
          <w:tcPr>
            <w:tcW w:w="0" w:type="auto"/>
            <w:gridSpan w:val="3"/>
            <w:shd w:val="clear" w:color="auto" w:fill="auto"/>
            <w:vAlign w:val="bottom"/>
          </w:tcPr>
          <w:p w14:paraId="71D4A834" w14:textId="77777777" w:rsidR="006A3667" w:rsidRDefault="006A3667">
            <w:pPr>
              <w:rPr>
                <w:rFonts w:ascii="宋体"/>
                <w:vanish/>
              </w:rPr>
            </w:pPr>
          </w:p>
        </w:tc>
        <w:tc>
          <w:tcPr>
            <w:tcW w:w="0" w:type="auto"/>
            <w:gridSpan w:val="3"/>
            <w:shd w:val="clear" w:color="auto" w:fill="auto"/>
            <w:vAlign w:val="bottom"/>
          </w:tcPr>
          <w:p w14:paraId="71D4A835" w14:textId="77777777" w:rsidR="006A3667" w:rsidRDefault="006A3667">
            <w:pPr>
              <w:rPr>
                <w:rFonts w:ascii="宋体"/>
                <w:vanish/>
              </w:rPr>
            </w:pPr>
          </w:p>
        </w:tc>
        <w:tc>
          <w:tcPr>
            <w:tcW w:w="0" w:type="auto"/>
            <w:gridSpan w:val="3"/>
            <w:shd w:val="clear" w:color="auto" w:fill="auto"/>
            <w:vAlign w:val="bottom"/>
          </w:tcPr>
          <w:p w14:paraId="71D4A836" w14:textId="77777777" w:rsidR="006A3667" w:rsidRDefault="006A3667">
            <w:pPr>
              <w:rPr>
                <w:rFonts w:ascii="宋体"/>
                <w:vanish/>
              </w:rPr>
            </w:pPr>
          </w:p>
        </w:tc>
      </w:tr>
      <w:tr w:rsidR="006A3667" w14:paraId="71D4A83C" w14:textId="77777777">
        <w:trPr>
          <w:hidden/>
        </w:trPr>
        <w:tc>
          <w:tcPr>
            <w:tcW w:w="0" w:type="auto"/>
            <w:gridSpan w:val="3"/>
            <w:shd w:val="clear" w:color="auto" w:fill="auto"/>
            <w:vAlign w:val="bottom"/>
          </w:tcPr>
          <w:p w14:paraId="71D4A838" w14:textId="77777777" w:rsidR="006A3667" w:rsidRDefault="006A3667">
            <w:pPr>
              <w:rPr>
                <w:rFonts w:ascii="宋体"/>
                <w:vanish/>
              </w:rPr>
            </w:pPr>
          </w:p>
        </w:tc>
        <w:tc>
          <w:tcPr>
            <w:tcW w:w="0" w:type="auto"/>
            <w:gridSpan w:val="3"/>
            <w:shd w:val="clear" w:color="auto" w:fill="auto"/>
            <w:vAlign w:val="bottom"/>
          </w:tcPr>
          <w:p w14:paraId="71D4A839" w14:textId="77777777" w:rsidR="006A3667" w:rsidRDefault="006A3667">
            <w:pPr>
              <w:rPr>
                <w:rFonts w:ascii="宋体"/>
                <w:vanish/>
              </w:rPr>
            </w:pPr>
          </w:p>
        </w:tc>
        <w:tc>
          <w:tcPr>
            <w:tcW w:w="0" w:type="auto"/>
            <w:gridSpan w:val="3"/>
            <w:shd w:val="clear" w:color="auto" w:fill="auto"/>
            <w:vAlign w:val="bottom"/>
          </w:tcPr>
          <w:p w14:paraId="71D4A83A" w14:textId="77777777" w:rsidR="006A3667" w:rsidRDefault="006A3667">
            <w:pPr>
              <w:rPr>
                <w:rFonts w:ascii="宋体"/>
                <w:vanish/>
              </w:rPr>
            </w:pPr>
          </w:p>
        </w:tc>
        <w:tc>
          <w:tcPr>
            <w:tcW w:w="0" w:type="auto"/>
            <w:gridSpan w:val="3"/>
            <w:shd w:val="clear" w:color="auto" w:fill="auto"/>
            <w:vAlign w:val="bottom"/>
          </w:tcPr>
          <w:p w14:paraId="71D4A83B" w14:textId="77777777" w:rsidR="006A3667" w:rsidRDefault="006A3667">
            <w:pPr>
              <w:rPr>
                <w:rFonts w:ascii="宋体"/>
                <w:vanish/>
              </w:rPr>
            </w:pPr>
          </w:p>
        </w:tc>
      </w:tr>
      <w:tr w:rsidR="006A3667" w14:paraId="71D4A841" w14:textId="77777777">
        <w:trPr>
          <w:hidden/>
        </w:trPr>
        <w:tc>
          <w:tcPr>
            <w:tcW w:w="0" w:type="auto"/>
            <w:gridSpan w:val="3"/>
            <w:shd w:val="clear" w:color="auto" w:fill="auto"/>
            <w:vAlign w:val="bottom"/>
          </w:tcPr>
          <w:p w14:paraId="71D4A83D" w14:textId="77777777" w:rsidR="006A3667" w:rsidRDefault="006A3667">
            <w:pPr>
              <w:rPr>
                <w:rFonts w:ascii="宋体"/>
                <w:vanish/>
              </w:rPr>
            </w:pPr>
          </w:p>
        </w:tc>
        <w:tc>
          <w:tcPr>
            <w:tcW w:w="0" w:type="auto"/>
            <w:gridSpan w:val="3"/>
            <w:shd w:val="clear" w:color="auto" w:fill="auto"/>
            <w:vAlign w:val="bottom"/>
          </w:tcPr>
          <w:p w14:paraId="71D4A83E" w14:textId="77777777" w:rsidR="006A3667" w:rsidRDefault="006A3667">
            <w:pPr>
              <w:rPr>
                <w:rFonts w:ascii="宋体"/>
                <w:vanish/>
              </w:rPr>
            </w:pPr>
          </w:p>
        </w:tc>
        <w:tc>
          <w:tcPr>
            <w:tcW w:w="0" w:type="auto"/>
            <w:gridSpan w:val="3"/>
            <w:shd w:val="clear" w:color="auto" w:fill="auto"/>
            <w:vAlign w:val="bottom"/>
          </w:tcPr>
          <w:p w14:paraId="71D4A83F" w14:textId="77777777" w:rsidR="006A3667" w:rsidRDefault="006A3667">
            <w:pPr>
              <w:rPr>
                <w:rFonts w:ascii="宋体"/>
                <w:vanish/>
              </w:rPr>
            </w:pPr>
          </w:p>
        </w:tc>
        <w:tc>
          <w:tcPr>
            <w:tcW w:w="0" w:type="auto"/>
            <w:gridSpan w:val="3"/>
            <w:shd w:val="clear" w:color="auto" w:fill="auto"/>
            <w:vAlign w:val="bottom"/>
          </w:tcPr>
          <w:p w14:paraId="71D4A840" w14:textId="77777777" w:rsidR="006A3667" w:rsidRDefault="006A3667">
            <w:pPr>
              <w:rPr>
                <w:rFonts w:ascii="宋体"/>
                <w:vanish/>
              </w:rPr>
            </w:pPr>
          </w:p>
        </w:tc>
      </w:tr>
      <w:tr w:rsidR="006A3667" w14:paraId="71D4A846" w14:textId="77777777">
        <w:trPr>
          <w:hidden/>
        </w:trPr>
        <w:tc>
          <w:tcPr>
            <w:tcW w:w="0" w:type="auto"/>
            <w:gridSpan w:val="3"/>
            <w:shd w:val="clear" w:color="auto" w:fill="auto"/>
            <w:vAlign w:val="bottom"/>
          </w:tcPr>
          <w:p w14:paraId="71D4A842" w14:textId="77777777" w:rsidR="006A3667" w:rsidRDefault="006A3667">
            <w:pPr>
              <w:rPr>
                <w:rFonts w:ascii="宋体"/>
                <w:vanish/>
              </w:rPr>
            </w:pPr>
          </w:p>
        </w:tc>
        <w:tc>
          <w:tcPr>
            <w:tcW w:w="0" w:type="auto"/>
            <w:gridSpan w:val="3"/>
            <w:shd w:val="clear" w:color="auto" w:fill="auto"/>
            <w:vAlign w:val="bottom"/>
          </w:tcPr>
          <w:p w14:paraId="71D4A843" w14:textId="77777777" w:rsidR="006A3667" w:rsidRDefault="006A3667">
            <w:pPr>
              <w:rPr>
                <w:rFonts w:ascii="宋体"/>
                <w:vanish/>
              </w:rPr>
            </w:pPr>
          </w:p>
        </w:tc>
        <w:tc>
          <w:tcPr>
            <w:tcW w:w="0" w:type="auto"/>
            <w:gridSpan w:val="3"/>
            <w:shd w:val="clear" w:color="auto" w:fill="auto"/>
            <w:vAlign w:val="bottom"/>
          </w:tcPr>
          <w:p w14:paraId="71D4A844" w14:textId="77777777" w:rsidR="006A3667" w:rsidRDefault="006A3667">
            <w:pPr>
              <w:rPr>
                <w:rFonts w:ascii="宋体"/>
                <w:vanish/>
              </w:rPr>
            </w:pPr>
          </w:p>
        </w:tc>
        <w:tc>
          <w:tcPr>
            <w:tcW w:w="0" w:type="auto"/>
            <w:gridSpan w:val="3"/>
            <w:shd w:val="clear" w:color="auto" w:fill="auto"/>
            <w:vAlign w:val="bottom"/>
          </w:tcPr>
          <w:p w14:paraId="71D4A845" w14:textId="77777777" w:rsidR="006A3667" w:rsidRDefault="006A3667">
            <w:pPr>
              <w:rPr>
                <w:rFonts w:ascii="宋体"/>
                <w:vanish/>
              </w:rPr>
            </w:pPr>
          </w:p>
        </w:tc>
      </w:tr>
      <w:tr w:rsidR="006A3667" w14:paraId="71D4A84B" w14:textId="77777777">
        <w:trPr>
          <w:hidden/>
        </w:trPr>
        <w:tc>
          <w:tcPr>
            <w:tcW w:w="0" w:type="auto"/>
            <w:gridSpan w:val="3"/>
            <w:shd w:val="clear" w:color="auto" w:fill="auto"/>
            <w:vAlign w:val="bottom"/>
          </w:tcPr>
          <w:p w14:paraId="71D4A847" w14:textId="77777777" w:rsidR="006A3667" w:rsidRDefault="006A3667">
            <w:pPr>
              <w:rPr>
                <w:rFonts w:ascii="宋体"/>
                <w:vanish/>
              </w:rPr>
            </w:pPr>
          </w:p>
        </w:tc>
        <w:tc>
          <w:tcPr>
            <w:tcW w:w="0" w:type="auto"/>
            <w:gridSpan w:val="3"/>
            <w:shd w:val="clear" w:color="auto" w:fill="auto"/>
            <w:vAlign w:val="bottom"/>
          </w:tcPr>
          <w:p w14:paraId="71D4A848" w14:textId="77777777" w:rsidR="006A3667" w:rsidRDefault="006A3667">
            <w:pPr>
              <w:rPr>
                <w:rFonts w:ascii="宋体"/>
                <w:vanish/>
              </w:rPr>
            </w:pPr>
          </w:p>
        </w:tc>
        <w:tc>
          <w:tcPr>
            <w:tcW w:w="0" w:type="auto"/>
            <w:gridSpan w:val="3"/>
            <w:shd w:val="clear" w:color="auto" w:fill="auto"/>
            <w:vAlign w:val="bottom"/>
          </w:tcPr>
          <w:p w14:paraId="71D4A849" w14:textId="77777777" w:rsidR="006A3667" w:rsidRDefault="006A3667">
            <w:pPr>
              <w:rPr>
                <w:rFonts w:ascii="宋体"/>
                <w:vanish/>
              </w:rPr>
            </w:pPr>
          </w:p>
        </w:tc>
        <w:tc>
          <w:tcPr>
            <w:tcW w:w="0" w:type="auto"/>
            <w:gridSpan w:val="3"/>
            <w:shd w:val="clear" w:color="auto" w:fill="auto"/>
            <w:vAlign w:val="bottom"/>
          </w:tcPr>
          <w:p w14:paraId="71D4A84A" w14:textId="77777777" w:rsidR="006A3667" w:rsidRDefault="006A3667">
            <w:pPr>
              <w:rPr>
                <w:rFonts w:ascii="宋体"/>
                <w:vanish/>
              </w:rPr>
            </w:pPr>
          </w:p>
        </w:tc>
      </w:tr>
      <w:tr w:rsidR="006A3667" w14:paraId="71D4A850" w14:textId="77777777">
        <w:trPr>
          <w:hidden/>
        </w:trPr>
        <w:tc>
          <w:tcPr>
            <w:tcW w:w="0" w:type="auto"/>
            <w:gridSpan w:val="3"/>
            <w:shd w:val="clear" w:color="auto" w:fill="auto"/>
            <w:vAlign w:val="bottom"/>
          </w:tcPr>
          <w:p w14:paraId="71D4A84C" w14:textId="77777777" w:rsidR="006A3667" w:rsidRDefault="006A3667">
            <w:pPr>
              <w:rPr>
                <w:rFonts w:ascii="宋体"/>
                <w:vanish/>
              </w:rPr>
            </w:pPr>
          </w:p>
        </w:tc>
        <w:tc>
          <w:tcPr>
            <w:tcW w:w="0" w:type="auto"/>
            <w:gridSpan w:val="3"/>
            <w:shd w:val="clear" w:color="auto" w:fill="auto"/>
            <w:vAlign w:val="bottom"/>
          </w:tcPr>
          <w:p w14:paraId="71D4A84D" w14:textId="77777777" w:rsidR="006A3667" w:rsidRDefault="006A3667">
            <w:pPr>
              <w:rPr>
                <w:rFonts w:ascii="宋体"/>
                <w:vanish/>
              </w:rPr>
            </w:pPr>
          </w:p>
        </w:tc>
        <w:tc>
          <w:tcPr>
            <w:tcW w:w="0" w:type="auto"/>
            <w:gridSpan w:val="3"/>
            <w:shd w:val="clear" w:color="auto" w:fill="auto"/>
            <w:vAlign w:val="bottom"/>
          </w:tcPr>
          <w:p w14:paraId="71D4A84E" w14:textId="77777777" w:rsidR="006A3667" w:rsidRDefault="006A3667">
            <w:pPr>
              <w:rPr>
                <w:rFonts w:ascii="宋体"/>
                <w:vanish/>
              </w:rPr>
            </w:pPr>
          </w:p>
        </w:tc>
        <w:tc>
          <w:tcPr>
            <w:tcW w:w="0" w:type="auto"/>
            <w:gridSpan w:val="3"/>
            <w:shd w:val="clear" w:color="auto" w:fill="auto"/>
            <w:vAlign w:val="bottom"/>
          </w:tcPr>
          <w:p w14:paraId="71D4A84F" w14:textId="77777777" w:rsidR="006A3667" w:rsidRDefault="006A3667">
            <w:pPr>
              <w:rPr>
                <w:rFonts w:ascii="宋体"/>
                <w:vanish/>
              </w:rPr>
            </w:pPr>
          </w:p>
        </w:tc>
      </w:tr>
      <w:tr w:rsidR="006A3667" w14:paraId="71D4A855" w14:textId="77777777">
        <w:trPr>
          <w:hidden/>
        </w:trPr>
        <w:tc>
          <w:tcPr>
            <w:tcW w:w="0" w:type="auto"/>
            <w:gridSpan w:val="3"/>
            <w:shd w:val="clear" w:color="auto" w:fill="auto"/>
            <w:vAlign w:val="bottom"/>
          </w:tcPr>
          <w:p w14:paraId="71D4A851" w14:textId="77777777" w:rsidR="006A3667" w:rsidRDefault="006A3667">
            <w:pPr>
              <w:rPr>
                <w:rFonts w:ascii="宋体"/>
                <w:vanish/>
              </w:rPr>
            </w:pPr>
          </w:p>
        </w:tc>
        <w:tc>
          <w:tcPr>
            <w:tcW w:w="0" w:type="auto"/>
            <w:gridSpan w:val="3"/>
            <w:shd w:val="clear" w:color="auto" w:fill="auto"/>
            <w:vAlign w:val="bottom"/>
          </w:tcPr>
          <w:p w14:paraId="71D4A852" w14:textId="77777777" w:rsidR="006A3667" w:rsidRDefault="006A3667">
            <w:pPr>
              <w:rPr>
                <w:rFonts w:ascii="宋体"/>
                <w:vanish/>
              </w:rPr>
            </w:pPr>
          </w:p>
        </w:tc>
        <w:tc>
          <w:tcPr>
            <w:tcW w:w="0" w:type="auto"/>
            <w:gridSpan w:val="3"/>
            <w:shd w:val="clear" w:color="auto" w:fill="auto"/>
            <w:vAlign w:val="bottom"/>
          </w:tcPr>
          <w:p w14:paraId="71D4A853" w14:textId="77777777" w:rsidR="006A3667" w:rsidRDefault="006A3667">
            <w:pPr>
              <w:rPr>
                <w:rFonts w:ascii="宋体"/>
                <w:vanish/>
              </w:rPr>
            </w:pPr>
          </w:p>
        </w:tc>
        <w:tc>
          <w:tcPr>
            <w:tcW w:w="0" w:type="auto"/>
            <w:gridSpan w:val="3"/>
            <w:shd w:val="clear" w:color="auto" w:fill="auto"/>
            <w:vAlign w:val="bottom"/>
          </w:tcPr>
          <w:p w14:paraId="71D4A854" w14:textId="77777777" w:rsidR="006A3667" w:rsidRDefault="006A3667">
            <w:pPr>
              <w:rPr>
                <w:rFonts w:ascii="宋体"/>
                <w:vanish/>
              </w:rPr>
            </w:pPr>
          </w:p>
        </w:tc>
      </w:tr>
      <w:tr w:rsidR="006A3667" w14:paraId="71D4A85A" w14:textId="77777777">
        <w:trPr>
          <w:hidden/>
        </w:trPr>
        <w:tc>
          <w:tcPr>
            <w:tcW w:w="0" w:type="auto"/>
            <w:gridSpan w:val="3"/>
            <w:shd w:val="clear" w:color="auto" w:fill="auto"/>
            <w:vAlign w:val="bottom"/>
          </w:tcPr>
          <w:p w14:paraId="71D4A856" w14:textId="77777777" w:rsidR="006A3667" w:rsidRDefault="006A3667">
            <w:pPr>
              <w:rPr>
                <w:rFonts w:ascii="宋体"/>
                <w:vanish/>
              </w:rPr>
            </w:pPr>
          </w:p>
        </w:tc>
        <w:tc>
          <w:tcPr>
            <w:tcW w:w="0" w:type="auto"/>
            <w:gridSpan w:val="3"/>
            <w:shd w:val="clear" w:color="auto" w:fill="auto"/>
            <w:vAlign w:val="bottom"/>
          </w:tcPr>
          <w:p w14:paraId="71D4A857" w14:textId="77777777" w:rsidR="006A3667" w:rsidRDefault="006A3667">
            <w:pPr>
              <w:rPr>
                <w:rFonts w:ascii="宋体"/>
                <w:vanish/>
              </w:rPr>
            </w:pPr>
          </w:p>
        </w:tc>
        <w:tc>
          <w:tcPr>
            <w:tcW w:w="0" w:type="auto"/>
            <w:gridSpan w:val="3"/>
            <w:shd w:val="clear" w:color="auto" w:fill="auto"/>
            <w:vAlign w:val="bottom"/>
          </w:tcPr>
          <w:p w14:paraId="71D4A858" w14:textId="77777777" w:rsidR="006A3667" w:rsidRDefault="006A3667">
            <w:pPr>
              <w:rPr>
                <w:rFonts w:ascii="宋体"/>
                <w:vanish/>
              </w:rPr>
            </w:pPr>
          </w:p>
        </w:tc>
        <w:tc>
          <w:tcPr>
            <w:tcW w:w="0" w:type="auto"/>
            <w:gridSpan w:val="3"/>
            <w:shd w:val="clear" w:color="auto" w:fill="auto"/>
            <w:vAlign w:val="bottom"/>
          </w:tcPr>
          <w:p w14:paraId="71D4A859" w14:textId="77777777" w:rsidR="006A3667" w:rsidRDefault="006A3667">
            <w:pPr>
              <w:rPr>
                <w:rFonts w:ascii="宋体"/>
                <w:vanish/>
              </w:rPr>
            </w:pPr>
          </w:p>
        </w:tc>
      </w:tr>
      <w:tr w:rsidR="006A3667" w14:paraId="71D4A85F" w14:textId="77777777">
        <w:trPr>
          <w:hidden/>
        </w:trPr>
        <w:tc>
          <w:tcPr>
            <w:tcW w:w="0" w:type="auto"/>
            <w:gridSpan w:val="3"/>
            <w:shd w:val="clear" w:color="auto" w:fill="auto"/>
            <w:vAlign w:val="bottom"/>
          </w:tcPr>
          <w:p w14:paraId="71D4A85B" w14:textId="77777777" w:rsidR="006A3667" w:rsidRDefault="006A3667">
            <w:pPr>
              <w:rPr>
                <w:rFonts w:ascii="宋体"/>
                <w:vanish/>
              </w:rPr>
            </w:pPr>
          </w:p>
        </w:tc>
        <w:tc>
          <w:tcPr>
            <w:tcW w:w="0" w:type="auto"/>
            <w:gridSpan w:val="3"/>
            <w:shd w:val="clear" w:color="auto" w:fill="auto"/>
            <w:vAlign w:val="bottom"/>
          </w:tcPr>
          <w:p w14:paraId="71D4A85C" w14:textId="77777777" w:rsidR="006A3667" w:rsidRDefault="006A3667">
            <w:pPr>
              <w:rPr>
                <w:rFonts w:ascii="宋体"/>
                <w:vanish/>
              </w:rPr>
            </w:pPr>
          </w:p>
        </w:tc>
        <w:tc>
          <w:tcPr>
            <w:tcW w:w="0" w:type="auto"/>
            <w:gridSpan w:val="3"/>
            <w:shd w:val="clear" w:color="auto" w:fill="auto"/>
            <w:vAlign w:val="bottom"/>
          </w:tcPr>
          <w:p w14:paraId="71D4A85D" w14:textId="77777777" w:rsidR="006A3667" w:rsidRDefault="006A3667">
            <w:pPr>
              <w:rPr>
                <w:rFonts w:ascii="宋体"/>
                <w:vanish/>
              </w:rPr>
            </w:pPr>
          </w:p>
        </w:tc>
        <w:tc>
          <w:tcPr>
            <w:tcW w:w="0" w:type="auto"/>
            <w:gridSpan w:val="3"/>
            <w:shd w:val="clear" w:color="auto" w:fill="auto"/>
            <w:vAlign w:val="bottom"/>
          </w:tcPr>
          <w:p w14:paraId="71D4A85E" w14:textId="77777777" w:rsidR="006A3667" w:rsidRDefault="006A3667">
            <w:pPr>
              <w:rPr>
                <w:rFonts w:ascii="宋体"/>
                <w:vanish/>
              </w:rPr>
            </w:pPr>
          </w:p>
        </w:tc>
      </w:tr>
      <w:tr w:rsidR="006A3667" w14:paraId="71D4A864" w14:textId="77777777">
        <w:trPr>
          <w:hidden/>
        </w:trPr>
        <w:tc>
          <w:tcPr>
            <w:tcW w:w="0" w:type="auto"/>
            <w:gridSpan w:val="3"/>
            <w:shd w:val="clear" w:color="auto" w:fill="auto"/>
            <w:vAlign w:val="bottom"/>
          </w:tcPr>
          <w:p w14:paraId="71D4A860" w14:textId="77777777" w:rsidR="006A3667" w:rsidRDefault="006A3667">
            <w:pPr>
              <w:rPr>
                <w:rFonts w:ascii="宋体"/>
                <w:vanish/>
              </w:rPr>
            </w:pPr>
          </w:p>
        </w:tc>
        <w:tc>
          <w:tcPr>
            <w:tcW w:w="0" w:type="auto"/>
            <w:gridSpan w:val="3"/>
            <w:shd w:val="clear" w:color="auto" w:fill="auto"/>
            <w:vAlign w:val="bottom"/>
          </w:tcPr>
          <w:p w14:paraId="71D4A861" w14:textId="77777777" w:rsidR="006A3667" w:rsidRDefault="006A3667">
            <w:pPr>
              <w:rPr>
                <w:rFonts w:ascii="宋体"/>
                <w:vanish/>
              </w:rPr>
            </w:pPr>
          </w:p>
        </w:tc>
        <w:tc>
          <w:tcPr>
            <w:tcW w:w="0" w:type="auto"/>
            <w:gridSpan w:val="3"/>
            <w:shd w:val="clear" w:color="auto" w:fill="auto"/>
            <w:vAlign w:val="bottom"/>
          </w:tcPr>
          <w:p w14:paraId="71D4A862" w14:textId="77777777" w:rsidR="006A3667" w:rsidRDefault="006A3667">
            <w:pPr>
              <w:rPr>
                <w:rFonts w:ascii="宋体"/>
                <w:vanish/>
              </w:rPr>
            </w:pPr>
          </w:p>
        </w:tc>
        <w:tc>
          <w:tcPr>
            <w:tcW w:w="0" w:type="auto"/>
            <w:gridSpan w:val="3"/>
            <w:shd w:val="clear" w:color="auto" w:fill="auto"/>
            <w:vAlign w:val="bottom"/>
          </w:tcPr>
          <w:p w14:paraId="71D4A863" w14:textId="77777777" w:rsidR="006A3667" w:rsidRDefault="006A3667">
            <w:pPr>
              <w:rPr>
                <w:rFonts w:ascii="宋体"/>
                <w:vanish/>
              </w:rPr>
            </w:pPr>
          </w:p>
        </w:tc>
      </w:tr>
      <w:tr w:rsidR="006A3667" w14:paraId="71D4A869" w14:textId="77777777">
        <w:trPr>
          <w:hidden/>
        </w:trPr>
        <w:tc>
          <w:tcPr>
            <w:tcW w:w="0" w:type="auto"/>
            <w:gridSpan w:val="3"/>
            <w:shd w:val="clear" w:color="auto" w:fill="auto"/>
            <w:vAlign w:val="bottom"/>
          </w:tcPr>
          <w:p w14:paraId="71D4A865" w14:textId="77777777" w:rsidR="006A3667" w:rsidRDefault="006A3667">
            <w:pPr>
              <w:rPr>
                <w:rFonts w:ascii="宋体"/>
                <w:vanish/>
              </w:rPr>
            </w:pPr>
          </w:p>
        </w:tc>
        <w:tc>
          <w:tcPr>
            <w:tcW w:w="0" w:type="auto"/>
            <w:gridSpan w:val="3"/>
            <w:shd w:val="clear" w:color="auto" w:fill="auto"/>
            <w:vAlign w:val="bottom"/>
          </w:tcPr>
          <w:p w14:paraId="71D4A866" w14:textId="77777777" w:rsidR="006A3667" w:rsidRDefault="006A3667">
            <w:pPr>
              <w:rPr>
                <w:rFonts w:ascii="宋体"/>
                <w:vanish/>
              </w:rPr>
            </w:pPr>
          </w:p>
        </w:tc>
        <w:tc>
          <w:tcPr>
            <w:tcW w:w="0" w:type="auto"/>
            <w:gridSpan w:val="3"/>
            <w:shd w:val="clear" w:color="auto" w:fill="auto"/>
            <w:vAlign w:val="bottom"/>
          </w:tcPr>
          <w:p w14:paraId="71D4A867" w14:textId="77777777" w:rsidR="006A3667" w:rsidRDefault="006A3667">
            <w:pPr>
              <w:rPr>
                <w:rFonts w:ascii="宋体"/>
                <w:vanish/>
              </w:rPr>
            </w:pPr>
          </w:p>
        </w:tc>
        <w:tc>
          <w:tcPr>
            <w:tcW w:w="0" w:type="auto"/>
            <w:gridSpan w:val="3"/>
            <w:shd w:val="clear" w:color="auto" w:fill="auto"/>
            <w:vAlign w:val="bottom"/>
          </w:tcPr>
          <w:p w14:paraId="71D4A868" w14:textId="77777777" w:rsidR="006A3667" w:rsidRDefault="006A3667">
            <w:pPr>
              <w:rPr>
                <w:rFonts w:ascii="宋体"/>
                <w:vanish/>
              </w:rPr>
            </w:pPr>
          </w:p>
        </w:tc>
      </w:tr>
      <w:tr w:rsidR="006A3667" w14:paraId="71D4A86E" w14:textId="77777777">
        <w:trPr>
          <w:hidden/>
        </w:trPr>
        <w:tc>
          <w:tcPr>
            <w:tcW w:w="0" w:type="auto"/>
            <w:gridSpan w:val="3"/>
            <w:shd w:val="clear" w:color="auto" w:fill="auto"/>
            <w:vAlign w:val="bottom"/>
          </w:tcPr>
          <w:p w14:paraId="71D4A86A" w14:textId="77777777" w:rsidR="006A3667" w:rsidRDefault="006A3667">
            <w:pPr>
              <w:rPr>
                <w:rFonts w:ascii="宋体"/>
                <w:vanish/>
              </w:rPr>
            </w:pPr>
          </w:p>
        </w:tc>
        <w:tc>
          <w:tcPr>
            <w:tcW w:w="0" w:type="auto"/>
            <w:gridSpan w:val="3"/>
            <w:shd w:val="clear" w:color="auto" w:fill="auto"/>
            <w:vAlign w:val="bottom"/>
          </w:tcPr>
          <w:p w14:paraId="71D4A86B" w14:textId="77777777" w:rsidR="006A3667" w:rsidRDefault="006A3667">
            <w:pPr>
              <w:rPr>
                <w:rFonts w:ascii="宋体"/>
                <w:vanish/>
              </w:rPr>
            </w:pPr>
          </w:p>
        </w:tc>
        <w:tc>
          <w:tcPr>
            <w:tcW w:w="0" w:type="auto"/>
            <w:gridSpan w:val="3"/>
            <w:shd w:val="clear" w:color="auto" w:fill="auto"/>
            <w:vAlign w:val="bottom"/>
          </w:tcPr>
          <w:p w14:paraId="71D4A86C" w14:textId="77777777" w:rsidR="006A3667" w:rsidRDefault="006A3667">
            <w:pPr>
              <w:rPr>
                <w:rFonts w:ascii="宋体"/>
                <w:vanish/>
              </w:rPr>
            </w:pPr>
          </w:p>
        </w:tc>
        <w:tc>
          <w:tcPr>
            <w:tcW w:w="0" w:type="auto"/>
            <w:gridSpan w:val="3"/>
            <w:shd w:val="clear" w:color="auto" w:fill="auto"/>
            <w:vAlign w:val="bottom"/>
          </w:tcPr>
          <w:p w14:paraId="71D4A86D" w14:textId="77777777" w:rsidR="006A3667" w:rsidRDefault="006A3667">
            <w:pPr>
              <w:rPr>
                <w:rFonts w:ascii="宋体"/>
                <w:vanish/>
              </w:rPr>
            </w:pPr>
          </w:p>
        </w:tc>
      </w:tr>
      <w:tr w:rsidR="006A3667" w14:paraId="71D4A877" w14:textId="77777777">
        <w:trPr>
          <w:hidden/>
        </w:trPr>
        <w:tc>
          <w:tcPr>
            <w:tcW w:w="0" w:type="auto"/>
            <w:gridSpan w:val="3"/>
            <w:shd w:val="clear" w:color="auto" w:fill="auto"/>
            <w:vAlign w:val="bottom"/>
          </w:tcPr>
          <w:p w14:paraId="71D4A86F" w14:textId="77777777" w:rsidR="006A3667" w:rsidRDefault="006A3667">
            <w:pPr>
              <w:rPr>
                <w:rFonts w:ascii="宋体"/>
                <w:vanish/>
              </w:rPr>
            </w:pPr>
          </w:p>
        </w:tc>
        <w:tc>
          <w:tcPr>
            <w:tcW w:w="0" w:type="auto"/>
            <w:gridSpan w:val="3"/>
            <w:shd w:val="clear" w:color="auto" w:fill="auto"/>
            <w:vAlign w:val="bottom"/>
          </w:tcPr>
          <w:p w14:paraId="71D4A870" w14:textId="77777777" w:rsidR="006A3667" w:rsidRDefault="006A3667">
            <w:pPr>
              <w:rPr>
                <w:rFonts w:ascii="宋体"/>
                <w:vanish/>
              </w:rPr>
            </w:pPr>
          </w:p>
        </w:tc>
        <w:tc>
          <w:tcPr>
            <w:tcW w:w="0" w:type="auto"/>
            <w:shd w:val="clear" w:color="auto" w:fill="auto"/>
            <w:vAlign w:val="bottom"/>
          </w:tcPr>
          <w:p w14:paraId="71D4A871" w14:textId="77777777" w:rsidR="006A3667" w:rsidRDefault="006A3667">
            <w:pPr>
              <w:rPr>
                <w:rFonts w:ascii="宋体"/>
              </w:rPr>
            </w:pPr>
          </w:p>
        </w:tc>
        <w:tc>
          <w:tcPr>
            <w:tcW w:w="0" w:type="auto"/>
            <w:shd w:val="clear" w:color="auto" w:fill="auto"/>
            <w:vAlign w:val="bottom"/>
          </w:tcPr>
          <w:p w14:paraId="71D4A872" w14:textId="77777777" w:rsidR="006A3667" w:rsidRDefault="006A3667">
            <w:pPr>
              <w:rPr>
                <w:rFonts w:ascii="宋体"/>
              </w:rPr>
            </w:pPr>
          </w:p>
        </w:tc>
        <w:tc>
          <w:tcPr>
            <w:tcW w:w="0" w:type="auto"/>
            <w:shd w:val="clear" w:color="auto" w:fill="auto"/>
            <w:vAlign w:val="bottom"/>
          </w:tcPr>
          <w:p w14:paraId="71D4A873" w14:textId="77777777" w:rsidR="006A3667" w:rsidRDefault="006A3667">
            <w:pPr>
              <w:rPr>
                <w:rFonts w:ascii="宋体"/>
              </w:rPr>
            </w:pPr>
          </w:p>
        </w:tc>
        <w:tc>
          <w:tcPr>
            <w:tcW w:w="0" w:type="auto"/>
            <w:shd w:val="clear" w:color="auto" w:fill="auto"/>
            <w:vAlign w:val="bottom"/>
          </w:tcPr>
          <w:p w14:paraId="71D4A874" w14:textId="77777777" w:rsidR="006A3667" w:rsidRDefault="006A3667">
            <w:pPr>
              <w:rPr>
                <w:rFonts w:ascii="宋体"/>
              </w:rPr>
            </w:pPr>
          </w:p>
        </w:tc>
        <w:tc>
          <w:tcPr>
            <w:tcW w:w="0" w:type="auto"/>
            <w:shd w:val="clear" w:color="auto" w:fill="auto"/>
            <w:vAlign w:val="bottom"/>
          </w:tcPr>
          <w:p w14:paraId="71D4A875" w14:textId="77777777" w:rsidR="006A3667" w:rsidRDefault="006A3667">
            <w:pPr>
              <w:rPr>
                <w:rFonts w:ascii="宋体"/>
              </w:rPr>
            </w:pPr>
          </w:p>
        </w:tc>
        <w:tc>
          <w:tcPr>
            <w:tcW w:w="0" w:type="auto"/>
            <w:shd w:val="clear" w:color="auto" w:fill="auto"/>
            <w:vAlign w:val="bottom"/>
          </w:tcPr>
          <w:p w14:paraId="71D4A876" w14:textId="77777777" w:rsidR="006A3667" w:rsidRDefault="006A3667">
            <w:pPr>
              <w:rPr>
                <w:rFonts w:ascii="宋体"/>
              </w:rPr>
            </w:pPr>
          </w:p>
        </w:tc>
      </w:tr>
      <w:tr w:rsidR="006A3667" w14:paraId="71D4A87C" w14:textId="77777777">
        <w:trPr>
          <w:hidden/>
        </w:trPr>
        <w:tc>
          <w:tcPr>
            <w:tcW w:w="0" w:type="auto"/>
            <w:gridSpan w:val="3"/>
            <w:shd w:val="clear" w:color="auto" w:fill="auto"/>
            <w:vAlign w:val="bottom"/>
          </w:tcPr>
          <w:p w14:paraId="71D4A878" w14:textId="77777777" w:rsidR="006A3667" w:rsidRDefault="006A3667">
            <w:pPr>
              <w:rPr>
                <w:rFonts w:ascii="宋体"/>
                <w:vanish/>
              </w:rPr>
            </w:pPr>
          </w:p>
        </w:tc>
        <w:tc>
          <w:tcPr>
            <w:tcW w:w="0" w:type="auto"/>
            <w:gridSpan w:val="3"/>
            <w:shd w:val="clear" w:color="auto" w:fill="auto"/>
            <w:vAlign w:val="bottom"/>
          </w:tcPr>
          <w:p w14:paraId="71D4A879" w14:textId="77777777" w:rsidR="006A3667" w:rsidRDefault="006A3667">
            <w:pPr>
              <w:rPr>
                <w:rFonts w:ascii="宋体"/>
                <w:vanish/>
              </w:rPr>
            </w:pPr>
          </w:p>
        </w:tc>
        <w:tc>
          <w:tcPr>
            <w:tcW w:w="0" w:type="auto"/>
            <w:gridSpan w:val="3"/>
            <w:shd w:val="clear" w:color="auto" w:fill="auto"/>
            <w:vAlign w:val="bottom"/>
          </w:tcPr>
          <w:p w14:paraId="71D4A87A" w14:textId="77777777" w:rsidR="006A3667" w:rsidRDefault="006A3667">
            <w:pPr>
              <w:rPr>
                <w:rFonts w:ascii="宋体"/>
                <w:vanish/>
              </w:rPr>
            </w:pPr>
          </w:p>
        </w:tc>
        <w:tc>
          <w:tcPr>
            <w:tcW w:w="0" w:type="auto"/>
            <w:gridSpan w:val="3"/>
            <w:shd w:val="clear" w:color="auto" w:fill="auto"/>
            <w:vAlign w:val="bottom"/>
          </w:tcPr>
          <w:p w14:paraId="71D4A87B" w14:textId="77777777" w:rsidR="006A3667" w:rsidRDefault="006A3667">
            <w:pPr>
              <w:rPr>
                <w:rFonts w:ascii="宋体"/>
                <w:vanish/>
              </w:rPr>
            </w:pPr>
          </w:p>
        </w:tc>
      </w:tr>
      <w:tr w:rsidR="006A3667" w14:paraId="71D4A881" w14:textId="77777777">
        <w:trPr>
          <w:hidden/>
        </w:trPr>
        <w:tc>
          <w:tcPr>
            <w:tcW w:w="0" w:type="auto"/>
            <w:gridSpan w:val="3"/>
            <w:shd w:val="clear" w:color="auto" w:fill="auto"/>
            <w:vAlign w:val="bottom"/>
          </w:tcPr>
          <w:p w14:paraId="71D4A87D" w14:textId="77777777" w:rsidR="006A3667" w:rsidRDefault="006A3667">
            <w:pPr>
              <w:rPr>
                <w:rFonts w:ascii="宋体"/>
                <w:vanish/>
              </w:rPr>
            </w:pPr>
          </w:p>
        </w:tc>
        <w:tc>
          <w:tcPr>
            <w:tcW w:w="0" w:type="auto"/>
            <w:gridSpan w:val="3"/>
            <w:shd w:val="clear" w:color="auto" w:fill="auto"/>
            <w:vAlign w:val="bottom"/>
          </w:tcPr>
          <w:p w14:paraId="71D4A87E" w14:textId="77777777" w:rsidR="006A3667" w:rsidRDefault="006A3667">
            <w:pPr>
              <w:rPr>
                <w:rFonts w:ascii="宋体"/>
                <w:vanish/>
              </w:rPr>
            </w:pPr>
          </w:p>
        </w:tc>
        <w:tc>
          <w:tcPr>
            <w:tcW w:w="0" w:type="auto"/>
            <w:gridSpan w:val="3"/>
            <w:shd w:val="clear" w:color="auto" w:fill="auto"/>
            <w:vAlign w:val="bottom"/>
          </w:tcPr>
          <w:p w14:paraId="71D4A87F" w14:textId="77777777" w:rsidR="006A3667" w:rsidRDefault="006A3667">
            <w:pPr>
              <w:rPr>
                <w:rFonts w:ascii="宋体"/>
                <w:vanish/>
              </w:rPr>
            </w:pPr>
          </w:p>
        </w:tc>
        <w:tc>
          <w:tcPr>
            <w:tcW w:w="0" w:type="auto"/>
            <w:gridSpan w:val="3"/>
            <w:shd w:val="clear" w:color="auto" w:fill="auto"/>
            <w:vAlign w:val="bottom"/>
          </w:tcPr>
          <w:p w14:paraId="71D4A880" w14:textId="77777777" w:rsidR="006A3667" w:rsidRDefault="006A3667">
            <w:pPr>
              <w:rPr>
                <w:rFonts w:ascii="宋体"/>
                <w:vanish/>
              </w:rPr>
            </w:pPr>
          </w:p>
        </w:tc>
      </w:tr>
      <w:tr w:rsidR="006A3667" w14:paraId="71D4A886" w14:textId="77777777">
        <w:trPr>
          <w:hidden/>
        </w:trPr>
        <w:tc>
          <w:tcPr>
            <w:tcW w:w="0" w:type="auto"/>
            <w:gridSpan w:val="3"/>
            <w:shd w:val="clear" w:color="auto" w:fill="auto"/>
            <w:vAlign w:val="bottom"/>
          </w:tcPr>
          <w:p w14:paraId="71D4A882" w14:textId="77777777" w:rsidR="006A3667" w:rsidRDefault="006A3667">
            <w:pPr>
              <w:rPr>
                <w:rFonts w:ascii="宋体"/>
                <w:vanish/>
              </w:rPr>
            </w:pPr>
          </w:p>
        </w:tc>
        <w:tc>
          <w:tcPr>
            <w:tcW w:w="0" w:type="auto"/>
            <w:gridSpan w:val="3"/>
            <w:shd w:val="clear" w:color="auto" w:fill="auto"/>
            <w:vAlign w:val="bottom"/>
          </w:tcPr>
          <w:p w14:paraId="71D4A883" w14:textId="77777777" w:rsidR="006A3667" w:rsidRDefault="006A3667">
            <w:pPr>
              <w:rPr>
                <w:rFonts w:ascii="宋体"/>
                <w:vanish/>
              </w:rPr>
            </w:pPr>
          </w:p>
        </w:tc>
        <w:tc>
          <w:tcPr>
            <w:tcW w:w="0" w:type="auto"/>
            <w:gridSpan w:val="3"/>
            <w:shd w:val="clear" w:color="auto" w:fill="auto"/>
            <w:vAlign w:val="bottom"/>
          </w:tcPr>
          <w:p w14:paraId="71D4A884" w14:textId="77777777" w:rsidR="006A3667" w:rsidRDefault="006A3667">
            <w:pPr>
              <w:rPr>
                <w:rFonts w:ascii="宋体"/>
                <w:vanish/>
              </w:rPr>
            </w:pPr>
          </w:p>
        </w:tc>
        <w:tc>
          <w:tcPr>
            <w:tcW w:w="0" w:type="auto"/>
            <w:gridSpan w:val="3"/>
            <w:shd w:val="clear" w:color="auto" w:fill="auto"/>
            <w:vAlign w:val="bottom"/>
          </w:tcPr>
          <w:p w14:paraId="71D4A885" w14:textId="77777777" w:rsidR="006A3667" w:rsidRDefault="006A3667">
            <w:pPr>
              <w:rPr>
                <w:rFonts w:ascii="宋体"/>
                <w:vanish/>
              </w:rPr>
            </w:pPr>
          </w:p>
        </w:tc>
      </w:tr>
      <w:tr w:rsidR="006A3667" w14:paraId="71D4A88B" w14:textId="77777777">
        <w:trPr>
          <w:hidden/>
        </w:trPr>
        <w:tc>
          <w:tcPr>
            <w:tcW w:w="0" w:type="auto"/>
            <w:gridSpan w:val="3"/>
            <w:shd w:val="clear" w:color="auto" w:fill="auto"/>
            <w:vAlign w:val="bottom"/>
          </w:tcPr>
          <w:p w14:paraId="71D4A887" w14:textId="77777777" w:rsidR="006A3667" w:rsidRDefault="006A3667">
            <w:pPr>
              <w:rPr>
                <w:rFonts w:ascii="宋体"/>
                <w:vanish/>
              </w:rPr>
            </w:pPr>
          </w:p>
        </w:tc>
        <w:tc>
          <w:tcPr>
            <w:tcW w:w="0" w:type="auto"/>
            <w:gridSpan w:val="3"/>
            <w:shd w:val="clear" w:color="auto" w:fill="auto"/>
            <w:vAlign w:val="bottom"/>
          </w:tcPr>
          <w:p w14:paraId="71D4A888" w14:textId="77777777" w:rsidR="006A3667" w:rsidRDefault="006A3667">
            <w:pPr>
              <w:rPr>
                <w:rFonts w:ascii="宋体"/>
                <w:vanish/>
              </w:rPr>
            </w:pPr>
          </w:p>
        </w:tc>
        <w:tc>
          <w:tcPr>
            <w:tcW w:w="0" w:type="auto"/>
            <w:gridSpan w:val="3"/>
            <w:shd w:val="clear" w:color="auto" w:fill="auto"/>
            <w:vAlign w:val="bottom"/>
          </w:tcPr>
          <w:p w14:paraId="71D4A889" w14:textId="77777777" w:rsidR="006A3667" w:rsidRDefault="006A3667">
            <w:pPr>
              <w:rPr>
                <w:rFonts w:ascii="宋体"/>
                <w:vanish/>
              </w:rPr>
            </w:pPr>
          </w:p>
        </w:tc>
        <w:tc>
          <w:tcPr>
            <w:tcW w:w="0" w:type="auto"/>
            <w:gridSpan w:val="3"/>
            <w:shd w:val="clear" w:color="auto" w:fill="auto"/>
            <w:vAlign w:val="bottom"/>
          </w:tcPr>
          <w:p w14:paraId="71D4A88A" w14:textId="77777777" w:rsidR="006A3667" w:rsidRDefault="006A3667">
            <w:pPr>
              <w:rPr>
                <w:rFonts w:ascii="宋体"/>
                <w:vanish/>
              </w:rPr>
            </w:pPr>
          </w:p>
        </w:tc>
      </w:tr>
      <w:tr w:rsidR="006A3667" w14:paraId="71D4A890" w14:textId="77777777">
        <w:trPr>
          <w:hidden/>
        </w:trPr>
        <w:tc>
          <w:tcPr>
            <w:tcW w:w="0" w:type="auto"/>
            <w:gridSpan w:val="3"/>
            <w:shd w:val="clear" w:color="auto" w:fill="auto"/>
            <w:vAlign w:val="bottom"/>
          </w:tcPr>
          <w:p w14:paraId="71D4A88C" w14:textId="77777777" w:rsidR="006A3667" w:rsidRDefault="006A3667">
            <w:pPr>
              <w:rPr>
                <w:rFonts w:ascii="宋体"/>
                <w:vanish/>
              </w:rPr>
            </w:pPr>
          </w:p>
        </w:tc>
        <w:tc>
          <w:tcPr>
            <w:tcW w:w="0" w:type="auto"/>
            <w:gridSpan w:val="3"/>
            <w:shd w:val="clear" w:color="auto" w:fill="auto"/>
            <w:vAlign w:val="bottom"/>
          </w:tcPr>
          <w:p w14:paraId="71D4A88D" w14:textId="77777777" w:rsidR="006A3667" w:rsidRDefault="006A3667">
            <w:pPr>
              <w:rPr>
                <w:rFonts w:ascii="宋体"/>
                <w:vanish/>
              </w:rPr>
            </w:pPr>
          </w:p>
        </w:tc>
        <w:tc>
          <w:tcPr>
            <w:tcW w:w="0" w:type="auto"/>
            <w:gridSpan w:val="3"/>
            <w:shd w:val="clear" w:color="auto" w:fill="auto"/>
            <w:vAlign w:val="bottom"/>
          </w:tcPr>
          <w:p w14:paraId="71D4A88E" w14:textId="77777777" w:rsidR="006A3667" w:rsidRDefault="006A3667">
            <w:pPr>
              <w:rPr>
                <w:rFonts w:ascii="宋体"/>
                <w:vanish/>
              </w:rPr>
            </w:pPr>
          </w:p>
        </w:tc>
        <w:tc>
          <w:tcPr>
            <w:tcW w:w="0" w:type="auto"/>
            <w:gridSpan w:val="3"/>
            <w:shd w:val="clear" w:color="auto" w:fill="auto"/>
            <w:vAlign w:val="bottom"/>
          </w:tcPr>
          <w:p w14:paraId="71D4A88F" w14:textId="77777777" w:rsidR="006A3667" w:rsidRDefault="006A3667">
            <w:pPr>
              <w:rPr>
                <w:rFonts w:ascii="宋体"/>
                <w:vanish/>
              </w:rPr>
            </w:pPr>
          </w:p>
        </w:tc>
      </w:tr>
      <w:tr w:rsidR="006A3667" w14:paraId="71D4A895" w14:textId="77777777">
        <w:trPr>
          <w:hidden/>
        </w:trPr>
        <w:tc>
          <w:tcPr>
            <w:tcW w:w="0" w:type="auto"/>
            <w:gridSpan w:val="3"/>
            <w:shd w:val="clear" w:color="auto" w:fill="auto"/>
            <w:vAlign w:val="bottom"/>
          </w:tcPr>
          <w:p w14:paraId="71D4A891" w14:textId="77777777" w:rsidR="006A3667" w:rsidRDefault="006A3667">
            <w:pPr>
              <w:rPr>
                <w:rFonts w:ascii="宋体"/>
                <w:vanish/>
              </w:rPr>
            </w:pPr>
          </w:p>
        </w:tc>
        <w:tc>
          <w:tcPr>
            <w:tcW w:w="0" w:type="auto"/>
            <w:gridSpan w:val="3"/>
            <w:shd w:val="clear" w:color="auto" w:fill="auto"/>
            <w:vAlign w:val="bottom"/>
          </w:tcPr>
          <w:p w14:paraId="71D4A892" w14:textId="77777777" w:rsidR="006A3667" w:rsidRDefault="006A3667">
            <w:pPr>
              <w:rPr>
                <w:rFonts w:ascii="宋体"/>
                <w:vanish/>
              </w:rPr>
            </w:pPr>
          </w:p>
        </w:tc>
        <w:tc>
          <w:tcPr>
            <w:tcW w:w="0" w:type="auto"/>
            <w:gridSpan w:val="3"/>
            <w:shd w:val="clear" w:color="auto" w:fill="auto"/>
            <w:vAlign w:val="bottom"/>
          </w:tcPr>
          <w:p w14:paraId="71D4A893" w14:textId="77777777" w:rsidR="006A3667" w:rsidRDefault="006A3667">
            <w:pPr>
              <w:rPr>
                <w:rFonts w:ascii="宋体"/>
                <w:vanish/>
              </w:rPr>
            </w:pPr>
          </w:p>
        </w:tc>
        <w:tc>
          <w:tcPr>
            <w:tcW w:w="0" w:type="auto"/>
            <w:gridSpan w:val="3"/>
            <w:shd w:val="clear" w:color="auto" w:fill="auto"/>
            <w:vAlign w:val="bottom"/>
          </w:tcPr>
          <w:p w14:paraId="71D4A894" w14:textId="77777777" w:rsidR="006A3667" w:rsidRDefault="006A3667">
            <w:pPr>
              <w:rPr>
                <w:rFonts w:ascii="宋体"/>
                <w:vanish/>
              </w:rPr>
            </w:pPr>
          </w:p>
        </w:tc>
      </w:tr>
      <w:tr w:rsidR="006A3667" w14:paraId="71D4A89A" w14:textId="77777777">
        <w:trPr>
          <w:hidden/>
        </w:trPr>
        <w:tc>
          <w:tcPr>
            <w:tcW w:w="0" w:type="auto"/>
            <w:gridSpan w:val="3"/>
            <w:shd w:val="clear" w:color="auto" w:fill="auto"/>
            <w:vAlign w:val="bottom"/>
          </w:tcPr>
          <w:p w14:paraId="71D4A896" w14:textId="77777777" w:rsidR="006A3667" w:rsidRDefault="006A3667">
            <w:pPr>
              <w:rPr>
                <w:rFonts w:ascii="宋体"/>
                <w:vanish/>
              </w:rPr>
            </w:pPr>
          </w:p>
        </w:tc>
        <w:tc>
          <w:tcPr>
            <w:tcW w:w="0" w:type="auto"/>
            <w:gridSpan w:val="3"/>
            <w:shd w:val="clear" w:color="auto" w:fill="auto"/>
            <w:vAlign w:val="bottom"/>
          </w:tcPr>
          <w:p w14:paraId="71D4A897" w14:textId="77777777" w:rsidR="006A3667" w:rsidRDefault="006A3667">
            <w:pPr>
              <w:rPr>
                <w:rFonts w:ascii="宋体"/>
                <w:vanish/>
              </w:rPr>
            </w:pPr>
          </w:p>
        </w:tc>
        <w:tc>
          <w:tcPr>
            <w:tcW w:w="0" w:type="auto"/>
            <w:gridSpan w:val="3"/>
            <w:shd w:val="clear" w:color="auto" w:fill="auto"/>
            <w:vAlign w:val="bottom"/>
          </w:tcPr>
          <w:p w14:paraId="71D4A898" w14:textId="77777777" w:rsidR="006A3667" w:rsidRDefault="006A3667">
            <w:pPr>
              <w:rPr>
                <w:rFonts w:ascii="宋体"/>
                <w:vanish/>
              </w:rPr>
            </w:pPr>
          </w:p>
        </w:tc>
        <w:tc>
          <w:tcPr>
            <w:tcW w:w="0" w:type="auto"/>
            <w:gridSpan w:val="3"/>
            <w:shd w:val="clear" w:color="auto" w:fill="auto"/>
            <w:vAlign w:val="bottom"/>
          </w:tcPr>
          <w:p w14:paraId="71D4A899" w14:textId="77777777" w:rsidR="006A3667" w:rsidRDefault="006A3667">
            <w:pPr>
              <w:rPr>
                <w:rFonts w:ascii="宋体"/>
                <w:vanish/>
              </w:rPr>
            </w:pPr>
          </w:p>
        </w:tc>
      </w:tr>
      <w:tr w:rsidR="006A3667" w14:paraId="71D4A89F" w14:textId="77777777">
        <w:trPr>
          <w:hidden/>
        </w:trPr>
        <w:tc>
          <w:tcPr>
            <w:tcW w:w="0" w:type="auto"/>
            <w:gridSpan w:val="3"/>
            <w:shd w:val="clear" w:color="auto" w:fill="auto"/>
            <w:vAlign w:val="bottom"/>
          </w:tcPr>
          <w:p w14:paraId="71D4A89B" w14:textId="77777777" w:rsidR="006A3667" w:rsidRDefault="006A3667">
            <w:pPr>
              <w:rPr>
                <w:rFonts w:ascii="宋体"/>
                <w:vanish/>
              </w:rPr>
            </w:pPr>
          </w:p>
        </w:tc>
        <w:tc>
          <w:tcPr>
            <w:tcW w:w="0" w:type="auto"/>
            <w:gridSpan w:val="3"/>
            <w:shd w:val="clear" w:color="auto" w:fill="auto"/>
            <w:vAlign w:val="bottom"/>
          </w:tcPr>
          <w:p w14:paraId="71D4A89C" w14:textId="77777777" w:rsidR="006A3667" w:rsidRDefault="006A3667">
            <w:pPr>
              <w:rPr>
                <w:rFonts w:ascii="宋体"/>
                <w:vanish/>
              </w:rPr>
            </w:pPr>
          </w:p>
        </w:tc>
        <w:tc>
          <w:tcPr>
            <w:tcW w:w="0" w:type="auto"/>
            <w:gridSpan w:val="3"/>
            <w:shd w:val="clear" w:color="auto" w:fill="auto"/>
            <w:vAlign w:val="bottom"/>
          </w:tcPr>
          <w:p w14:paraId="71D4A89D" w14:textId="77777777" w:rsidR="006A3667" w:rsidRDefault="006A3667">
            <w:pPr>
              <w:rPr>
                <w:rFonts w:ascii="宋体"/>
                <w:vanish/>
              </w:rPr>
            </w:pPr>
          </w:p>
        </w:tc>
        <w:tc>
          <w:tcPr>
            <w:tcW w:w="0" w:type="auto"/>
            <w:gridSpan w:val="3"/>
            <w:shd w:val="clear" w:color="auto" w:fill="auto"/>
            <w:vAlign w:val="bottom"/>
          </w:tcPr>
          <w:p w14:paraId="71D4A89E" w14:textId="77777777" w:rsidR="006A3667" w:rsidRDefault="006A3667">
            <w:pPr>
              <w:rPr>
                <w:rFonts w:ascii="宋体"/>
                <w:vanish/>
              </w:rPr>
            </w:pPr>
          </w:p>
        </w:tc>
      </w:tr>
      <w:tr w:rsidR="006A3667" w14:paraId="71D4A8A4" w14:textId="77777777">
        <w:trPr>
          <w:hidden/>
        </w:trPr>
        <w:tc>
          <w:tcPr>
            <w:tcW w:w="0" w:type="auto"/>
            <w:gridSpan w:val="3"/>
            <w:shd w:val="clear" w:color="auto" w:fill="auto"/>
            <w:vAlign w:val="bottom"/>
          </w:tcPr>
          <w:p w14:paraId="71D4A8A0" w14:textId="77777777" w:rsidR="006A3667" w:rsidRDefault="006A3667">
            <w:pPr>
              <w:rPr>
                <w:rFonts w:ascii="宋体"/>
                <w:vanish/>
              </w:rPr>
            </w:pPr>
          </w:p>
        </w:tc>
        <w:tc>
          <w:tcPr>
            <w:tcW w:w="0" w:type="auto"/>
            <w:gridSpan w:val="3"/>
            <w:shd w:val="clear" w:color="auto" w:fill="auto"/>
            <w:vAlign w:val="bottom"/>
          </w:tcPr>
          <w:p w14:paraId="71D4A8A1" w14:textId="77777777" w:rsidR="006A3667" w:rsidRDefault="006A3667">
            <w:pPr>
              <w:rPr>
                <w:rFonts w:ascii="宋体"/>
                <w:vanish/>
              </w:rPr>
            </w:pPr>
          </w:p>
        </w:tc>
        <w:tc>
          <w:tcPr>
            <w:tcW w:w="0" w:type="auto"/>
            <w:gridSpan w:val="3"/>
            <w:shd w:val="clear" w:color="auto" w:fill="auto"/>
            <w:vAlign w:val="bottom"/>
          </w:tcPr>
          <w:p w14:paraId="71D4A8A2" w14:textId="77777777" w:rsidR="006A3667" w:rsidRDefault="006A3667">
            <w:pPr>
              <w:rPr>
                <w:rFonts w:ascii="宋体"/>
                <w:vanish/>
              </w:rPr>
            </w:pPr>
          </w:p>
        </w:tc>
        <w:tc>
          <w:tcPr>
            <w:tcW w:w="0" w:type="auto"/>
            <w:gridSpan w:val="3"/>
            <w:shd w:val="clear" w:color="auto" w:fill="auto"/>
            <w:vAlign w:val="bottom"/>
          </w:tcPr>
          <w:p w14:paraId="71D4A8A3" w14:textId="77777777" w:rsidR="006A3667" w:rsidRDefault="006A3667">
            <w:pPr>
              <w:rPr>
                <w:rFonts w:ascii="宋体"/>
                <w:vanish/>
              </w:rPr>
            </w:pPr>
          </w:p>
        </w:tc>
      </w:tr>
      <w:tr w:rsidR="006A3667" w14:paraId="71D4A8A9" w14:textId="77777777">
        <w:trPr>
          <w:hidden/>
        </w:trPr>
        <w:tc>
          <w:tcPr>
            <w:tcW w:w="0" w:type="auto"/>
            <w:gridSpan w:val="3"/>
            <w:shd w:val="clear" w:color="auto" w:fill="auto"/>
            <w:vAlign w:val="bottom"/>
          </w:tcPr>
          <w:p w14:paraId="71D4A8A5" w14:textId="77777777" w:rsidR="006A3667" w:rsidRDefault="006A3667">
            <w:pPr>
              <w:rPr>
                <w:rFonts w:ascii="宋体"/>
                <w:vanish/>
              </w:rPr>
            </w:pPr>
          </w:p>
        </w:tc>
        <w:tc>
          <w:tcPr>
            <w:tcW w:w="0" w:type="auto"/>
            <w:gridSpan w:val="3"/>
            <w:shd w:val="clear" w:color="auto" w:fill="auto"/>
            <w:vAlign w:val="bottom"/>
          </w:tcPr>
          <w:p w14:paraId="71D4A8A6" w14:textId="77777777" w:rsidR="006A3667" w:rsidRDefault="006A3667">
            <w:pPr>
              <w:rPr>
                <w:rFonts w:ascii="宋体"/>
                <w:vanish/>
              </w:rPr>
            </w:pPr>
          </w:p>
        </w:tc>
        <w:tc>
          <w:tcPr>
            <w:tcW w:w="0" w:type="auto"/>
            <w:gridSpan w:val="3"/>
            <w:shd w:val="clear" w:color="auto" w:fill="auto"/>
            <w:vAlign w:val="bottom"/>
          </w:tcPr>
          <w:p w14:paraId="71D4A8A7" w14:textId="77777777" w:rsidR="006A3667" w:rsidRDefault="006A3667">
            <w:pPr>
              <w:rPr>
                <w:rFonts w:ascii="宋体"/>
                <w:vanish/>
              </w:rPr>
            </w:pPr>
          </w:p>
        </w:tc>
        <w:tc>
          <w:tcPr>
            <w:tcW w:w="0" w:type="auto"/>
            <w:gridSpan w:val="3"/>
            <w:shd w:val="clear" w:color="auto" w:fill="auto"/>
            <w:vAlign w:val="bottom"/>
          </w:tcPr>
          <w:p w14:paraId="71D4A8A8" w14:textId="77777777" w:rsidR="006A3667" w:rsidRDefault="006A3667">
            <w:pPr>
              <w:rPr>
                <w:rFonts w:ascii="宋体"/>
                <w:vanish/>
              </w:rPr>
            </w:pPr>
          </w:p>
        </w:tc>
      </w:tr>
      <w:tr w:rsidR="006A3667" w14:paraId="71D4A8B2" w14:textId="77777777">
        <w:trPr>
          <w:hidden/>
        </w:trPr>
        <w:tc>
          <w:tcPr>
            <w:tcW w:w="0" w:type="auto"/>
            <w:gridSpan w:val="3"/>
            <w:shd w:val="clear" w:color="auto" w:fill="auto"/>
            <w:vAlign w:val="bottom"/>
          </w:tcPr>
          <w:p w14:paraId="71D4A8AA" w14:textId="77777777" w:rsidR="006A3667" w:rsidRDefault="006A3667">
            <w:pPr>
              <w:rPr>
                <w:rFonts w:ascii="宋体"/>
                <w:vanish/>
              </w:rPr>
            </w:pPr>
          </w:p>
        </w:tc>
        <w:tc>
          <w:tcPr>
            <w:tcW w:w="0" w:type="auto"/>
            <w:gridSpan w:val="3"/>
            <w:shd w:val="clear" w:color="auto" w:fill="auto"/>
            <w:vAlign w:val="bottom"/>
          </w:tcPr>
          <w:p w14:paraId="71D4A8AB" w14:textId="77777777" w:rsidR="006A3667" w:rsidRDefault="006A3667">
            <w:pPr>
              <w:rPr>
                <w:rFonts w:ascii="宋体"/>
                <w:vanish/>
              </w:rPr>
            </w:pPr>
          </w:p>
        </w:tc>
        <w:tc>
          <w:tcPr>
            <w:tcW w:w="0" w:type="auto"/>
            <w:shd w:val="clear" w:color="auto" w:fill="auto"/>
            <w:vAlign w:val="bottom"/>
          </w:tcPr>
          <w:p w14:paraId="71D4A8AC" w14:textId="77777777" w:rsidR="006A3667" w:rsidRDefault="006A3667">
            <w:pPr>
              <w:rPr>
                <w:rFonts w:ascii="宋体"/>
              </w:rPr>
            </w:pPr>
          </w:p>
        </w:tc>
        <w:tc>
          <w:tcPr>
            <w:tcW w:w="0" w:type="auto"/>
            <w:shd w:val="clear" w:color="auto" w:fill="auto"/>
            <w:vAlign w:val="bottom"/>
          </w:tcPr>
          <w:p w14:paraId="71D4A8AD" w14:textId="77777777" w:rsidR="006A3667" w:rsidRDefault="006A3667">
            <w:pPr>
              <w:rPr>
                <w:rFonts w:ascii="宋体"/>
              </w:rPr>
            </w:pPr>
          </w:p>
        </w:tc>
        <w:tc>
          <w:tcPr>
            <w:tcW w:w="0" w:type="auto"/>
            <w:shd w:val="clear" w:color="auto" w:fill="auto"/>
            <w:vAlign w:val="bottom"/>
          </w:tcPr>
          <w:p w14:paraId="71D4A8AE" w14:textId="77777777" w:rsidR="006A3667" w:rsidRDefault="006A3667">
            <w:pPr>
              <w:rPr>
                <w:rFonts w:ascii="宋体"/>
              </w:rPr>
            </w:pPr>
          </w:p>
        </w:tc>
        <w:tc>
          <w:tcPr>
            <w:tcW w:w="0" w:type="auto"/>
            <w:shd w:val="clear" w:color="auto" w:fill="auto"/>
            <w:vAlign w:val="bottom"/>
          </w:tcPr>
          <w:p w14:paraId="71D4A8AF" w14:textId="77777777" w:rsidR="006A3667" w:rsidRDefault="006A3667">
            <w:pPr>
              <w:rPr>
                <w:rFonts w:ascii="宋体"/>
              </w:rPr>
            </w:pPr>
          </w:p>
        </w:tc>
        <w:tc>
          <w:tcPr>
            <w:tcW w:w="0" w:type="auto"/>
            <w:shd w:val="clear" w:color="auto" w:fill="auto"/>
            <w:vAlign w:val="bottom"/>
          </w:tcPr>
          <w:p w14:paraId="71D4A8B0" w14:textId="77777777" w:rsidR="006A3667" w:rsidRDefault="006A3667">
            <w:pPr>
              <w:rPr>
                <w:rFonts w:ascii="宋体"/>
              </w:rPr>
            </w:pPr>
          </w:p>
        </w:tc>
        <w:tc>
          <w:tcPr>
            <w:tcW w:w="0" w:type="auto"/>
            <w:shd w:val="clear" w:color="auto" w:fill="auto"/>
            <w:vAlign w:val="bottom"/>
          </w:tcPr>
          <w:p w14:paraId="71D4A8B1" w14:textId="77777777" w:rsidR="006A3667" w:rsidRDefault="006A3667">
            <w:pPr>
              <w:rPr>
                <w:rFonts w:ascii="宋体"/>
              </w:rPr>
            </w:pPr>
          </w:p>
        </w:tc>
      </w:tr>
      <w:tr w:rsidR="006A3667" w14:paraId="71D4A8B7" w14:textId="77777777">
        <w:trPr>
          <w:hidden/>
        </w:trPr>
        <w:tc>
          <w:tcPr>
            <w:tcW w:w="0" w:type="auto"/>
            <w:gridSpan w:val="3"/>
            <w:shd w:val="clear" w:color="auto" w:fill="auto"/>
            <w:vAlign w:val="bottom"/>
          </w:tcPr>
          <w:p w14:paraId="71D4A8B3" w14:textId="77777777" w:rsidR="006A3667" w:rsidRDefault="006A3667">
            <w:pPr>
              <w:rPr>
                <w:rFonts w:ascii="宋体"/>
                <w:vanish/>
              </w:rPr>
            </w:pPr>
          </w:p>
        </w:tc>
        <w:tc>
          <w:tcPr>
            <w:tcW w:w="0" w:type="auto"/>
            <w:gridSpan w:val="3"/>
            <w:shd w:val="clear" w:color="auto" w:fill="auto"/>
            <w:vAlign w:val="bottom"/>
          </w:tcPr>
          <w:p w14:paraId="71D4A8B4" w14:textId="77777777" w:rsidR="006A3667" w:rsidRDefault="006A3667">
            <w:pPr>
              <w:rPr>
                <w:rFonts w:ascii="宋体"/>
                <w:vanish/>
              </w:rPr>
            </w:pPr>
          </w:p>
        </w:tc>
        <w:tc>
          <w:tcPr>
            <w:tcW w:w="0" w:type="auto"/>
            <w:gridSpan w:val="3"/>
            <w:shd w:val="clear" w:color="auto" w:fill="auto"/>
            <w:vAlign w:val="bottom"/>
          </w:tcPr>
          <w:p w14:paraId="71D4A8B5" w14:textId="77777777" w:rsidR="006A3667" w:rsidRDefault="006A3667">
            <w:pPr>
              <w:rPr>
                <w:rFonts w:ascii="宋体"/>
                <w:vanish/>
              </w:rPr>
            </w:pPr>
          </w:p>
        </w:tc>
        <w:tc>
          <w:tcPr>
            <w:tcW w:w="0" w:type="auto"/>
            <w:gridSpan w:val="3"/>
            <w:shd w:val="clear" w:color="auto" w:fill="auto"/>
            <w:vAlign w:val="bottom"/>
          </w:tcPr>
          <w:p w14:paraId="71D4A8B6" w14:textId="77777777" w:rsidR="006A3667" w:rsidRDefault="006A3667">
            <w:pPr>
              <w:rPr>
                <w:rFonts w:ascii="宋体"/>
                <w:vanish/>
              </w:rPr>
            </w:pPr>
          </w:p>
        </w:tc>
      </w:tr>
      <w:tr w:rsidR="006A3667" w14:paraId="71D4A8BC" w14:textId="77777777">
        <w:trPr>
          <w:hidden/>
        </w:trPr>
        <w:tc>
          <w:tcPr>
            <w:tcW w:w="0" w:type="auto"/>
            <w:gridSpan w:val="3"/>
            <w:shd w:val="clear" w:color="auto" w:fill="auto"/>
            <w:vAlign w:val="bottom"/>
          </w:tcPr>
          <w:p w14:paraId="71D4A8B8" w14:textId="77777777" w:rsidR="006A3667" w:rsidRDefault="006A3667">
            <w:pPr>
              <w:rPr>
                <w:rFonts w:ascii="宋体"/>
                <w:vanish/>
              </w:rPr>
            </w:pPr>
          </w:p>
        </w:tc>
        <w:tc>
          <w:tcPr>
            <w:tcW w:w="0" w:type="auto"/>
            <w:gridSpan w:val="3"/>
            <w:shd w:val="clear" w:color="auto" w:fill="auto"/>
            <w:vAlign w:val="bottom"/>
          </w:tcPr>
          <w:p w14:paraId="71D4A8B9" w14:textId="77777777" w:rsidR="006A3667" w:rsidRDefault="006A3667">
            <w:pPr>
              <w:rPr>
                <w:rFonts w:ascii="宋体"/>
                <w:vanish/>
              </w:rPr>
            </w:pPr>
          </w:p>
        </w:tc>
        <w:tc>
          <w:tcPr>
            <w:tcW w:w="0" w:type="auto"/>
            <w:gridSpan w:val="3"/>
            <w:shd w:val="clear" w:color="auto" w:fill="auto"/>
            <w:vAlign w:val="bottom"/>
          </w:tcPr>
          <w:p w14:paraId="71D4A8BA" w14:textId="77777777" w:rsidR="006A3667" w:rsidRDefault="006A3667">
            <w:pPr>
              <w:rPr>
                <w:rFonts w:ascii="宋体"/>
                <w:vanish/>
              </w:rPr>
            </w:pPr>
          </w:p>
        </w:tc>
        <w:tc>
          <w:tcPr>
            <w:tcW w:w="0" w:type="auto"/>
            <w:gridSpan w:val="3"/>
            <w:shd w:val="clear" w:color="auto" w:fill="auto"/>
            <w:vAlign w:val="bottom"/>
          </w:tcPr>
          <w:p w14:paraId="71D4A8BB" w14:textId="77777777" w:rsidR="006A3667" w:rsidRDefault="006A3667">
            <w:pPr>
              <w:rPr>
                <w:rFonts w:ascii="宋体"/>
                <w:vanish/>
              </w:rPr>
            </w:pPr>
          </w:p>
        </w:tc>
      </w:tr>
      <w:tr w:rsidR="006A3667" w14:paraId="71D4A8C1" w14:textId="77777777">
        <w:trPr>
          <w:hidden/>
        </w:trPr>
        <w:tc>
          <w:tcPr>
            <w:tcW w:w="0" w:type="auto"/>
            <w:gridSpan w:val="3"/>
            <w:shd w:val="clear" w:color="auto" w:fill="auto"/>
            <w:vAlign w:val="bottom"/>
          </w:tcPr>
          <w:p w14:paraId="71D4A8BD" w14:textId="77777777" w:rsidR="006A3667" w:rsidRDefault="006A3667">
            <w:pPr>
              <w:rPr>
                <w:rFonts w:ascii="宋体"/>
                <w:vanish/>
              </w:rPr>
            </w:pPr>
          </w:p>
        </w:tc>
        <w:tc>
          <w:tcPr>
            <w:tcW w:w="0" w:type="auto"/>
            <w:gridSpan w:val="3"/>
            <w:shd w:val="clear" w:color="auto" w:fill="auto"/>
            <w:vAlign w:val="bottom"/>
          </w:tcPr>
          <w:p w14:paraId="71D4A8BE" w14:textId="77777777" w:rsidR="006A3667" w:rsidRDefault="006A3667">
            <w:pPr>
              <w:rPr>
                <w:rFonts w:ascii="宋体"/>
                <w:vanish/>
              </w:rPr>
            </w:pPr>
          </w:p>
        </w:tc>
        <w:tc>
          <w:tcPr>
            <w:tcW w:w="0" w:type="auto"/>
            <w:gridSpan w:val="3"/>
            <w:shd w:val="clear" w:color="auto" w:fill="auto"/>
            <w:vAlign w:val="bottom"/>
          </w:tcPr>
          <w:p w14:paraId="71D4A8BF" w14:textId="77777777" w:rsidR="006A3667" w:rsidRDefault="006A3667">
            <w:pPr>
              <w:rPr>
                <w:rFonts w:ascii="宋体"/>
                <w:vanish/>
              </w:rPr>
            </w:pPr>
          </w:p>
        </w:tc>
        <w:tc>
          <w:tcPr>
            <w:tcW w:w="0" w:type="auto"/>
            <w:gridSpan w:val="3"/>
            <w:shd w:val="clear" w:color="auto" w:fill="auto"/>
            <w:vAlign w:val="bottom"/>
          </w:tcPr>
          <w:p w14:paraId="71D4A8C0" w14:textId="77777777" w:rsidR="006A3667" w:rsidRDefault="006A3667">
            <w:pPr>
              <w:rPr>
                <w:rFonts w:ascii="宋体"/>
                <w:vanish/>
              </w:rPr>
            </w:pPr>
          </w:p>
        </w:tc>
      </w:tr>
      <w:tr w:rsidR="006A3667" w14:paraId="71D4A8CA" w14:textId="77777777">
        <w:trPr>
          <w:hidden/>
        </w:trPr>
        <w:tc>
          <w:tcPr>
            <w:tcW w:w="0" w:type="auto"/>
            <w:gridSpan w:val="3"/>
            <w:shd w:val="clear" w:color="auto" w:fill="auto"/>
            <w:vAlign w:val="bottom"/>
          </w:tcPr>
          <w:p w14:paraId="71D4A8C2" w14:textId="77777777" w:rsidR="006A3667" w:rsidRDefault="006A3667">
            <w:pPr>
              <w:rPr>
                <w:rFonts w:ascii="宋体"/>
                <w:vanish/>
              </w:rPr>
            </w:pPr>
          </w:p>
        </w:tc>
        <w:tc>
          <w:tcPr>
            <w:tcW w:w="0" w:type="auto"/>
            <w:gridSpan w:val="3"/>
            <w:shd w:val="clear" w:color="auto" w:fill="auto"/>
            <w:vAlign w:val="bottom"/>
          </w:tcPr>
          <w:p w14:paraId="71D4A8C3" w14:textId="77777777" w:rsidR="006A3667" w:rsidRDefault="006A3667">
            <w:pPr>
              <w:rPr>
                <w:rFonts w:ascii="宋体"/>
                <w:vanish/>
              </w:rPr>
            </w:pPr>
          </w:p>
        </w:tc>
        <w:tc>
          <w:tcPr>
            <w:tcW w:w="0" w:type="auto"/>
            <w:shd w:val="clear" w:color="auto" w:fill="auto"/>
            <w:vAlign w:val="bottom"/>
          </w:tcPr>
          <w:p w14:paraId="71D4A8C4" w14:textId="77777777" w:rsidR="006A3667" w:rsidRDefault="006A3667">
            <w:pPr>
              <w:rPr>
                <w:rFonts w:ascii="宋体"/>
              </w:rPr>
            </w:pPr>
          </w:p>
        </w:tc>
        <w:tc>
          <w:tcPr>
            <w:tcW w:w="0" w:type="auto"/>
            <w:shd w:val="clear" w:color="auto" w:fill="auto"/>
            <w:vAlign w:val="bottom"/>
          </w:tcPr>
          <w:p w14:paraId="71D4A8C5" w14:textId="77777777" w:rsidR="006A3667" w:rsidRDefault="006A3667">
            <w:pPr>
              <w:rPr>
                <w:rFonts w:ascii="宋体"/>
              </w:rPr>
            </w:pPr>
          </w:p>
        </w:tc>
        <w:tc>
          <w:tcPr>
            <w:tcW w:w="0" w:type="auto"/>
            <w:shd w:val="clear" w:color="auto" w:fill="auto"/>
            <w:vAlign w:val="bottom"/>
          </w:tcPr>
          <w:p w14:paraId="71D4A8C6" w14:textId="77777777" w:rsidR="006A3667" w:rsidRDefault="006A3667">
            <w:pPr>
              <w:rPr>
                <w:rFonts w:ascii="宋体"/>
              </w:rPr>
            </w:pPr>
          </w:p>
        </w:tc>
        <w:tc>
          <w:tcPr>
            <w:tcW w:w="0" w:type="auto"/>
            <w:shd w:val="clear" w:color="auto" w:fill="auto"/>
            <w:vAlign w:val="bottom"/>
          </w:tcPr>
          <w:p w14:paraId="71D4A8C7" w14:textId="77777777" w:rsidR="006A3667" w:rsidRDefault="006A3667">
            <w:pPr>
              <w:rPr>
                <w:rFonts w:ascii="宋体"/>
              </w:rPr>
            </w:pPr>
          </w:p>
        </w:tc>
        <w:tc>
          <w:tcPr>
            <w:tcW w:w="0" w:type="auto"/>
            <w:shd w:val="clear" w:color="auto" w:fill="auto"/>
            <w:vAlign w:val="bottom"/>
          </w:tcPr>
          <w:p w14:paraId="71D4A8C8" w14:textId="77777777" w:rsidR="006A3667" w:rsidRDefault="006A3667">
            <w:pPr>
              <w:rPr>
                <w:rFonts w:ascii="宋体"/>
              </w:rPr>
            </w:pPr>
          </w:p>
        </w:tc>
        <w:tc>
          <w:tcPr>
            <w:tcW w:w="0" w:type="auto"/>
            <w:shd w:val="clear" w:color="auto" w:fill="auto"/>
            <w:vAlign w:val="bottom"/>
          </w:tcPr>
          <w:p w14:paraId="71D4A8C9" w14:textId="77777777" w:rsidR="006A3667" w:rsidRDefault="006A3667">
            <w:pPr>
              <w:rPr>
                <w:rFonts w:ascii="宋体"/>
              </w:rPr>
            </w:pPr>
          </w:p>
        </w:tc>
      </w:tr>
      <w:tr w:rsidR="006A3667" w14:paraId="71D4A8CF" w14:textId="77777777">
        <w:trPr>
          <w:hidden/>
        </w:trPr>
        <w:tc>
          <w:tcPr>
            <w:tcW w:w="0" w:type="auto"/>
            <w:gridSpan w:val="3"/>
            <w:shd w:val="clear" w:color="auto" w:fill="auto"/>
            <w:vAlign w:val="bottom"/>
          </w:tcPr>
          <w:p w14:paraId="71D4A8CB" w14:textId="77777777" w:rsidR="006A3667" w:rsidRDefault="006A3667">
            <w:pPr>
              <w:rPr>
                <w:rFonts w:ascii="宋体"/>
                <w:vanish/>
              </w:rPr>
            </w:pPr>
          </w:p>
        </w:tc>
        <w:tc>
          <w:tcPr>
            <w:tcW w:w="0" w:type="auto"/>
            <w:gridSpan w:val="3"/>
            <w:shd w:val="clear" w:color="auto" w:fill="auto"/>
            <w:vAlign w:val="bottom"/>
          </w:tcPr>
          <w:p w14:paraId="71D4A8CC" w14:textId="77777777" w:rsidR="006A3667" w:rsidRDefault="006A3667">
            <w:pPr>
              <w:rPr>
                <w:rFonts w:ascii="宋体"/>
                <w:vanish/>
              </w:rPr>
            </w:pPr>
          </w:p>
        </w:tc>
        <w:tc>
          <w:tcPr>
            <w:tcW w:w="0" w:type="auto"/>
            <w:gridSpan w:val="3"/>
            <w:shd w:val="clear" w:color="auto" w:fill="auto"/>
            <w:vAlign w:val="bottom"/>
          </w:tcPr>
          <w:p w14:paraId="71D4A8CD" w14:textId="77777777" w:rsidR="006A3667" w:rsidRDefault="006A3667">
            <w:pPr>
              <w:rPr>
                <w:rFonts w:ascii="宋体"/>
                <w:vanish/>
              </w:rPr>
            </w:pPr>
          </w:p>
        </w:tc>
        <w:tc>
          <w:tcPr>
            <w:tcW w:w="0" w:type="auto"/>
            <w:gridSpan w:val="3"/>
            <w:shd w:val="clear" w:color="auto" w:fill="auto"/>
            <w:vAlign w:val="bottom"/>
          </w:tcPr>
          <w:p w14:paraId="71D4A8CE" w14:textId="77777777" w:rsidR="006A3667" w:rsidRDefault="006A3667">
            <w:pPr>
              <w:rPr>
                <w:rFonts w:ascii="宋体"/>
                <w:vanish/>
              </w:rPr>
            </w:pPr>
          </w:p>
        </w:tc>
      </w:tr>
      <w:tr w:rsidR="006A3667" w14:paraId="71D4A8D4" w14:textId="77777777">
        <w:trPr>
          <w:hidden/>
        </w:trPr>
        <w:tc>
          <w:tcPr>
            <w:tcW w:w="0" w:type="auto"/>
            <w:gridSpan w:val="3"/>
            <w:shd w:val="clear" w:color="auto" w:fill="auto"/>
            <w:vAlign w:val="bottom"/>
          </w:tcPr>
          <w:p w14:paraId="71D4A8D0" w14:textId="77777777" w:rsidR="006A3667" w:rsidRDefault="006A3667">
            <w:pPr>
              <w:rPr>
                <w:rFonts w:ascii="宋体"/>
                <w:vanish/>
              </w:rPr>
            </w:pPr>
          </w:p>
        </w:tc>
        <w:tc>
          <w:tcPr>
            <w:tcW w:w="0" w:type="auto"/>
            <w:gridSpan w:val="3"/>
            <w:shd w:val="clear" w:color="auto" w:fill="auto"/>
            <w:vAlign w:val="bottom"/>
          </w:tcPr>
          <w:p w14:paraId="71D4A8D1" w14:textId="77777777" w:rsidR="006A3667" w:rsidRDefault="006A3667">
            <w:pPr>
              <w:rPr>
                <w:rFonts w:ascii="宋体"/>
                <w:vanish/>
              </w:rPr>
            </w:pPr>
          </w:p>
        </w:tc>
        <w:tc>
          <w:tcPr>
            <w:tcW w:w="0" w:type="auto"/>
            <w:gridSpan w:val="3"/>
            <w:shd w:val="clear" w:color="auto" w:fill="auto"/>
            <w:vAlign w:val="bottom"/>
          </w:tcPr>
          <w:p w14:paraId="71D4A8D2" w14:textId="77777777" w:rsidR="006A3667" w:rsidRDefault="006A3667">
            <w:pPr>
              <w:rPr>
                <w:rFonts w:ascii="宋体"/>
                <w:vanish/>
              </w:rPr>
            </w:pPr>
          </w:p>
        </w:tc>
        <w:tc>
          <w:tcPr>
            <w:tcW w:w="0" w:type="auto"/>
            <w:gridSpan w:val="3"/>
            <w:shd w:val="clear" w:color="auto" w:fill="auto"/>
            <w:vAlign w:val="bottom"/>
          </w:tcPr>
          <w:p w14:paraId="71D4A8D3" w14:textId="77777777" w:rsidR="006A3667" w:rsidRDefault="006A3667">
            <w:pPr>
              <w:rPr>
                <w:rFonts w:ascii="宋体"/>
                <w:vanish/>
              </w:rPr>
            </w:pPr>
          </w:p>
        </w:tc>
      </w:tr>
      <w:tr w:rsidR="006A3667" w14:paraId="71D4A8D9" w14:textId="77777777">
        <w:trPr>
          <w:hidden/>
        </w:trPr>
        <w:tc>
          <w:tcPr>
            <w:tcW w:w="0" w:type="auto"/>
            <w:gridSpan w:val="3"/>
            <w:shd w:val="clear" w:color="auto" w:fill="auto"/>
            <w:vAlign w:val="bottom"/>
          </w:tcPr>
          <w:p w14:paraId="71D4A8D5" w14:textId="77777777" w:rsidR="006A3667" w:rsidRDefault="006A3667">
            <w:pPr>
              <w:rPr>
                <w:rFonts w:ascii="宋体"/>
                <w:vanish/>
              </w:rPr>
            </w:pPr>
          </w:p>
        </w:tc>
        <w:tc>
          <w:tcPr>
            <w:tcW w:w="0" w:type="auto"/>
            <w:gridSpan w:val="3"/>
            <w:shd w:val="clear" w:color="auto" w:fill="auto"/>
            <w:vAlign w:val="bottom"/>
          </w:tcPr>
          <w:p w14:paraId="71D4A8D6" w14:textId="77777777" w:rsidR="006A3667" w:rsidRDefault="006A3667">
            <w:pPr>
              <w:rPr>
                <w:rFonts w:ascii="宋体"/>
                <w:vanish/>
              </w:rPr>
            </w:pPr>
          </w:p>
        </w:tc>
        <w:tc>
          <w:tcPr>
            <w:tcW w:w="0" w:type="auto"/>
            <w:gridSpan w:val="3"/>
            <w:shd w:val="clear" w:color="auto" w:fill="auto"/>
            <w:vAlign w:val="bottom"/>
          </w:tcPr>
          <w:p w14:paraId="71D4A8D7" w14:textId="77777777" w:rsidR="006A3667" w:rsidRDefault="006A3667">
            <w:pPr>
              <w:rPr>
                <w:rFonts w:ascii="宋体"/>
                <w:vanish/>
              </w:rPr>
            </w:pPr>
          </w:p>
        </w:tc>
        <w:tc>
          <w:tcPr>
            <w:tcW w:w="0" w:type="auto"/>
            <w:gridSpan w:val="3"/>
            <w:shd w:val="clear" w:color="auto" w:fill="auto"/>
            <w:vAlign w:val="bottom"/>
          </w:tcPr>
          <w:p w14:paraId="71D4A8D8" w14:textId="77777777" w:rsidR="006A3667" w:rsidRDefault="006A3667">
            <w:pPr>
              <w:rPr>
                <w:rFonts w:ascii="宋体"/>
                <w:vanish/>
              </w:rPr>
            </w:pPr>
          </w:p>
        </w:tc>
      </w:tr>
      <w:tr w:rsidR="006A3667" w14:paraId="71D4A8DE" w14:textId="77777777">
        <w:trPr>
          <w:hidden/>
        </w:trPr>
        <w:tc>
          <w:tcPr>
            <w:tcW w:w="0" w:type="auto"/>
            <w:gridSpan w:val="3"/>
            <w:shd w:val="clear" w:color="auto" w:fill="auto"/>
            <w:vAlign w:val="bottom"/>
          </w:tcPr>
          <w:p w14:paraId="71D4A8DA" w14:textId="77777777" w:rsidR="006A3667" w:rsidRDefault="006A3667">
            <w:pPr>
              <w:rPr>
                <w:rFonts w:ascii="宋体"/>
                <w:vanish/>
              </w:rPr>
            </w:pPr>
          </w:p>
        </w:tc>
        <w:tc>
          <w:tcPr>
            <w:tcW w:w="0" w:type="auto"/>
            <w:gridSpan w:val="3"/>
            <w:shd w:val="clear" w:color="auto" w:fill="auto"/>
            <w:vAlign w:val="bottom"/>
          </w:tcPr>
          <w:p w14:paraId="71D4A8DB" w14:textId="77777777" w:rsidR="006A3667" w:rsidRDefault="006A3667">
            <w:pPr>
              <w:rPr>
                <w:rFonts w:ascii="宋体"/>
                <w:vanish/>
              </w:rPr>
            </w:pPr>
          </w:p>
        </w:tc>
        <w:tc>
          <w:tcPr>
            <w:tcW w:w="0" w:type="auto"/>
            <w:gridSpan w:val="3"/>
            <w:shd w:val="clear" w:color="auto" w:fill="auto"/>
            <w:vAlign w:val="bottom"/>
          </w:tcPr>
          <w:p w14:paraId="71D4A8DC" w14:textId="77777777" w:rsidR="006A3667" w:rsidRDefault="006A3667">
            <w:pPr>
              <w:rPr>
                <w:rFonts w:ascii="宋体"/>
                <w:vanish/>
              </w:rPr>
            </w:pPr>
          </w:p>
        </w:tc>
        <w:tc>
          <w:tcPr>
            <w:tcW w:w="0" w:type="auto"/>
            <w:gridSpan w:val="3"/>
            <w:shd w:val="clear" w:color="auto" w:fill="auto"/>
            <w:vAlign w:val="bottom"/>
          </w:tcPr>
          <w:p w14:paraId="71D4A8DD" w14:textId="77777777" w:rsidR="006A3667" w:rsidRDefault="006A3667">
            <w:pPr>
              <w:rPr>
                <w:rFonts w:ascii="宋体"/>
                <w:vanish/>
              </w:rPr>
            </w:pPr>
          </w:p>
        </w:tc>
      </w:tr>
      <w:tr w:rsidR="006A3667" w14:paraId="71D4A8E3" w14:textId="77777777">
        <w:trPr>
          <w:hidden/>
        </w:trPr>
        <w:tc>
          <w:tcPr>
            <w:tcW w:w="0" w:type="auto"/>
            <w:gridSpan w:val="3"/>
            <w:shd w:val="clear" w:color="auto" w:fill="auto"/>
            <w:vAlign w:val="bottom"/>
          </w:tcPr>
          <w:p w14:paraId="71D4A8DF" w14:textId="77777777" w:rsidR="006A3667" w:rsidRDefault="006A3667">
            <w:pPr>
              <w:rPr>
                <w:rFonts w:ascii="宋体"/>
                <w:vanish/>
              </w:rPr>
            </w:pPr>
          </w:p>
        </w:tc>
        <w:tc>
          <w:tcPr>
            <w:tcW w:w="0" w:type="auto"/>
            <w:gridSpan w:val="3"/>
            <w:shd w:val="clear" w:color="auto" w:fill="auto"/>
            <w:vAlign w:val="bottom"/>
          </w:tcPr>
          <w:p w14:paraId="71D4A8E0" w14:textId="77777777" w:rsidR="006A3667" w:rsidRDefault="006A3667">
            <w:pPr>
              <w:rPr>
                <w:rFonts w:ascii="宋体"/>
                <w:vanish/>
              </w:rPr>
            </w:pPr>
          </w:p>
        </w:tc>
        <w:tc>
          <w:tcPr>
            <w:tcW w:w="0" w:type="auto"/>
            <w:gridSpan w:val="3"/>
            <w:shd w:val="clear" w:color="auto" w:fill="auto"/>
            <w:vAlign w:val="bottom"/>
          </w:tcPr>
          <w:p w14:paraId="71D4A8E1" w14:textId="77777777" w:rsidR="006A3667" w:rsidRDefault="006A3667">
            <w:pPr>
              <w:rPr>
                <w:rFonts w:ascii="宋体"/>
                <w:vanish/>
              </w:rPr>
            </w:pPr>
          </w:p>
        </w:tc>
        <w:tc>
          <w:tcPr>
            <w:tcW w:w="0" w:type="auto"/>
            <w:gridSpan w:val="3"/>
            <w:shd w:val="clear" w:color="auto" w:fill="auto"/>
            <w:vAlign w:val="bottom"/>
          </w:tcPr>
          <w:p w14:paraId="71D4A8E2" w14:textId="77777777" w:rsidR="006A3667" w:rsidRDefault="006A3667">
            <w:pPr>
              <w:rPr>
                <w:rFonts w:ascii="宋体"/>
                <w:vanish/>
              </w:rPr>
            </w:pPr>
          </w:p>
        </w:tc>
      </w:tr>
      <w:tr w:rsidR="006A3667" w14:paraId="71D4A8E8" w14:textId="77777777">
        <w:trPr>
          <w:hidden/>
        </w:trPr>
        <w:tc>
          <w:tcPr>
            <w:tcW w:w="0" w:type="auto"/>
            <w:gridSpan w:val="3"/>
            <w:shd w:val="clear" w:color="auto" w:fill="auto"/>
            <w:vAlign w:val="bottom"/>
          </w:tcPr>
          <w:p w14:paraId="71D4A8E4" w14:textId="77777777" w:rsidR="006A3667" w:rsidRDefault="006A3667">
            <w:pPr>
              <w:rPr>
                <w:rFonts w:ascii="宋体"/>
                <w:vanish/>
              </w:rPr>
            </w:pPr>
          </w:p>
        </w:tc>
        <w:tc>
          <w:tcPr>
            <w:tcW w:w="0" w:type="auto"/>
            <w:gridSpan w:val="3"/>
            <w:shd w:val="clear" w:color="auto" w:fill="auto"/>
            <w:vAlign w:val="bottom"/>
          </w:tcPr>
          <w:p w14:paraId="71D4A8E5" w14:textId="77777777" w:rsidR="006A3667" w:rsidRDefault="006A3667">
            <w:pPr>
              <w:rPr>
                <w:rFonts w:ascii="宋体"/>
                <w:vanish/>
              </w:rPr>
            </w:pPr>
          </w:p>
        </w:tc>
        <w:tc>
          <w:tcPr>
            <w:tcW w:w="0" w:type="auto"/>
            <w:gridSpan w:val="3"/>
            <w:shd w:val="clear" w:color="auto" w:fill="auto"/>
            <w:vAlign w:val="bottom"/>
          </w:tcPr>
          <w:p w14:paraId="71D4A8E6" w14:textId="77777777" w:rsidR="006A3667" w:rsidRDefault="006A3667">
            <w:pPr>
              <w:rPr>
                <w:rFonts w:ascii="宋体"/>
                <w:vanish/>
              </w:rPr>
            </w:pPr>
          </w:p>
        </w:tc>
        <w:tc>
          <w:tcPr>
            <w:tcW w:w="0" w:type="auto"/>
            <w:gridSpan w:val="3"/>
            <w:shd w:val="clear" w:color="auto" w:fill="auto"/>
            <w:vAlign w:val="bottom"/>
          </w:tcPr>
          <w:p w14:paraId="71D4A8E7" w14:textId="77777777" w:rsidR="006A3667" w:rsidRDefault="006A3667">
            <w:pPr>
              <w:rPr>
                <w:rFonts w:ascii="宋体"/>
                <w:vanish/>
              </w:rPr>
            </w:pPr>
          </w:p>
        </w:tc>
      </w:tr>
      <w:tr w:rsidR="006A3667" w14:paraId="71D4A8ED" w14:textId="77777777">
        <w:trPr>
          <w:hidden/>
        </w:trPr>
        <w:tc>
          <w:tcPr>
            <w:tcW w:w="0" w:type="auto"/>
            <w:gridSpan w:val="3"/>
            <w:shd w:val="clear" w:color="auto" w:fill="auto"/>
            <w:vAlign w:val="bottom"/>
          </w:tcPr>
          <w:p w14:paraId="71D4A8E9" w14:textId="77777777" w:rsidR="006A3667" w:rsidRDefault="006A3667">
            <w:pPr>
              <w:rPr>
                <w:rFonts w:ascii="宋体"/>
                <w:vanish/>
              </w:rPr>
            </w:pPr>
          </w:p>
        </w:tc>
        <w:tc>
          <w:tcPr>
            <w:tcW w:w="0" w:type="auto"/>
            <w:gridSpan w:val="3"/>
            <w:shd w:val="clear" w:color="auto" w:fill="auto"/>
            <w:vAlign w:val="bottom"/>
          </w:tcPr>
          <w:p w14:paraId="71D4A8EA" w14:textId="77777777" w:rsidR="006A3667" w:rsidRDefault="006A3667">
            <w:pPr>
              <w:rPr>
                <w:rFonts w:ascii="宋体"/>
                <w:vanish/>
              </w:rPr>
            </w:pPr>
          </w:p>
        </w:tc>
        <w:tc>
          <w:tcPr>
            <w:tcW w:w="0" w:type="auto"/>
            <w:gridSpan w:val="3"/>
            <w:shd w:val="clear" w:color="auto" w:fill="auto"/>
            <w:vAlign w:val="bottom"/>
          </w:tcPr>
          <w:p w14:paraId="71D4A8EB" w14:textId="77777777" w:rsidR="006A3667" w:rsidRDefault="006A3667">
            <w:pPr>
              <w:rPr>
                <w:rFonts w:ascii="宋体"/>
                <w:vanish/>
              </w:rPr>
            </w:pPr>
          </w:p>
        </w:tc>
        <w:tc>
          <w:tcPr>
            <w:tcW w:w="0" w:type="auto"/>
            <w:gridSpan w:val="3"/>
            <w:shd w:val="clear" w:color="auto" w:fill="auto"/>
            <w:vAlign w:val="bottom"/>
          </w:tcPr>
          <w:p w14:paraId="71D4A8EC" w14:textId="77777777" w:rsidR="006A3667" w:rsidRDefault="006A3667">
            <w:pPr>
              <w:rPr>
                <w:rFonts w:ascii="宋体"/>
                <w:vanish/>
              </w:rPr>
            </w:pPr>
          </w:p>
        </w:tc>
      </w:tr>
      <w:tr w:rsidR="006A3667" w14:paraId="71D4A8F2" w14:textId="77777777">
        <w:trPr>
          <w:hidden/>
        </w:trPr>
        <w:tc>
          <w:tcPr>
            <w:tcW w:w="0" w:type="auto"/>
            <w:gridSpan w:val="3"/>
            <w:shd w:val="clear" w:color="auto" w:fill="auto"/>
            <w:vAlign w:val="bottom"/>
          </w:tcPr>
          <w:p w14:paraId="71D4A8EE" w14:textId="77777777" w:rsidR="006A3667" w:rsidRDefault="006A3667">
            <w:pPr>
              <w:rPr>
                <w:rFonts w:ascii="宋体"/>
                <w:vanish/>
              </w:rPr>
            </w:pPr>
          </w:p>
        </w:tc>
        <w:tc>
          <w:tcPr>
            <w:tcW w:w="0" w:type="auto"/>
            <w:gridSpan w:val="3"/>
            <w:shd w:val="clear" w:color="auto" w:fill="auto"/>
            <w:vAlign w:val="bottom"/>
          </w:tcPr>
          <w:p w14:paraId="71D4A8EF" w14:textId="77777777" w:rsidR="006A3667" w:rsidRDefault="006A3667">
            <w:pPr>
              <w:rPr>
                <w:rFonts w:ascii="宋体"/>
                <w:vanish/>
              </w:rPr>
            </w:pPr>
          </w:p>
        </w:tc>
        <w:tc>
          <w:tcPr>
            <w:tcW w:w="0" w:type="auto"/>
            <w:gridSpan w:val="3"/>
            <w:shd w:val="clear" w:color="auto" w:fill="auto"/>
            <w:vAlign w:val="bottom"/>
          </w:tcPr>
          <w:p w14:paraId="71D4A8F0" w14:textId="77777777" w:rsidR="006A3667" w:rsidRDefault="006A3667">
            <w:pPr>
              <w:rPr>
                <w:rFonts w:ascii="宋体"/>
                <w:vanish/>
              </w:rPr>
            </w:pPr>
          </w:p>
        </w:tc>
        <w:tc>
          <w:tcPr>
            <w:tcW w:w="0" w:type="auto"/>
            <w:gridSpan w:val="3"/>
            <w:shd w:val="clear" w:color="auto" w:fill="auto"/>
            <w:vAlign w:val="bottom"/>
          </w:tcPr>
          <w:p w14:paraId="71D4A8F1" w14:textId="77777777" w:rsidR="006A3667" w:rsidRDefault="006A3667">
            <w:pPr>
              <w:rPr>
                <w:rFonts w:ascii="宋体"/>
                <w:vanish/>
              </w:rPr>
            </w:pPr>
          </w:p>
        </w:tc>
      </w:tr>
      <w:tr w:rsidR="006A3667" w14:paraId="71D4A8F7" w14:textId="77777777">
        <w:trPr>
          <w:hidden/>
        </w:trPr>
        <w:tc>
          <w:tcPr>
            <w:tcW w:w="0" w:type="auto"/>
            <w:gridSpan w:val="3"/>
            <w:shd w:val="clear" w:color="auto" w:fill="auto"/>
            <w:vAlign w:val="bottom"/>
          </w:tcPr>
          <w:p w14:paraId="71D4A8F3" w14:textId="77777777" w:rsidR="006A3667" w:rsidRDefault="006A3667">
            <w:pPr>
              <w:rPr>
                <w:rFonts w:ascii="宋体"/>
                <w:vanish/>
              </w:rPr>
            </w:pPr>
          </w:p>
        </w:tc>
        <w:tc>
          <w:tcPr>
            <w:tcW w:w="0" w:type="auto"/>
            <w:gridSpan w:val="3"/>
            <w:shd w:val="clear" w:color="auto" w:fill="auto"/>
            <w:vAlign w:val="bottom"/>
          </w:tcPr>
          <w:p w14:paraId="71D4A8F4" w14:textId="77777777" w:rsidR="006A3667" w:rsidRDefault="006A3667">
            <w:pPr>
              <w:rPr>
                <w:rFonts w:ascii="宋体"/>
                <w:vanish/>
              </w:rPr>
            </w:pPr>
          </w:p>
        </w:tc>
        <w:tc>
          <w:tcPr>
            <w:tcW w:w="0" w:type="auto"/>
            <w:gridSpan w:val="3"/>
            <w:shd w:val="clear" w:color="auto" w:fill="auto"/>
            <w:vAlign w:val="bottom"/>
          </w:tcPr>
          <w:p w14:paraId="71D4A8F5" w14:textId="77777777" w:rsidR="006A3667" w:rsidRDefault="006A3667">
            <w:pPr>
              <w:rPr>
                <w:rFonts w:ascii="宋体"/>
                <w:vanish/>
              </w:rPr>
            </w:pPr>
          </w:p>
        </w:tc>
        <w:tc>
          <w:tcPr>
            <w:tcW w:w="0" w:type="auto"/>
            <w:gridSpan w:val="3"/>
            <w:shd w:val="clear" w:color="auto" w:fill="auto"/>
            <w:vAlign w:val="bottom"/>
          </w:tcPr>
          <w:p w14:paraId="71D4A8F6" w14:textId="77777777" w:rsidR="006A3667" w:rsidRDefault="006A3667">
            <w:pPr>
              <w:rPr>
                <w:rFonts w:ascii="宋体"/>
                <w:vanish/>
              </w:rPr>
            </w:pPr>
          </w:p>
        </w:tc>
      </w:tr>
      <w:tr w:rsidR="006A3667" w14:paraId="71D4A8FC" w14:textId="77777777">
        <w:trPr>
          <w:hidden/>
        </w:trPr>
        <w:tc>
          <w:tcPr>
            <w:tcW w:w="0" w:type="auto"/>
            <w:gridSpan w:val="3"/>
            <w:shd w:val="clear" w:color="auto" w:fill="auto"/>
            <w:vAlign w:val="bottom"/>
          </w:tcPr>
          <w:p w14:paraId="71D4A8F8" w14:textId="77777777" w:rsidR="006A3667" w:rsidRDefault="006A3667">
            <w:pPr>
              <w:rPr>
                <w:rFonts w:ascii="宋体"/>
                <w:vanish/>
              </w:rPr>
            </w:pPr>
          </w:p>
        </w:tc>
        <w:tc>
          <w:tcPr>
            <w:tcW w:w="0" w:type="auto"/>
            <w:gridSpan w:val="3"/>
            <w:shd w:val="clear" w:color="auto" w:fill="auto"/>
            <w:vAlign w:val="bottom"/>
          </w:tcPr>
          <w:p w14:paraId="71D4A8F9" w14:textId="77777777" w:rsidR="006A3667" w:rsidRDefault="006A3667">
            <w:pPr>
              <w:rPr>
                <w:rFonts w:ascii="宋体"/>
                <w:vanish/>
              </w:rPr>
            </w:pPr>
          </w:p>
        </w:tc>
        <w:tc>
          <w:tcPr>
            <w:tcW w:w="0" w:type="auto"/>
            <w:gridSpan w:val="3"/>
            <w:shd w:val="clear" w:color="auto" w:fill="auto"/>
            <w:vAlign w:val="bottom"/>
          </w:tcPr>
          <w:p w14:paraId="71D4A8FA" w14:textId="77777777" w:rsidR="006A3667" w:rsidRDefault="006A3667">
            <w:pPr>
              <w:rPr>
                <w:rFonts w:ascii="宋体"/>
                <w:vanish/>
              </w:rPr>
            </w:pPr>
          </w:p>
        </w:tc>
        <w:tc>
          <w:tcPr>
            <w:tcW w:w="0" w:type="auto"/>
            <w:gridSpan w:val="3"/>
            <w:shd w:val="clear" w:color="auto" w:fill="auto"/>
            <w:vAlign w:val="bottom"/>
          </w:tcPr>
          <w:p w14:paraId="71D4A8FB" w14:textId="77777777" w:rsidR="006A3667" w:rsidRDefault="006A3667">
            <w:pPr>
              <w:rPr>
                <w:rFonts w:ascii="宋体"/>
                <w:vanish/>
              </w:rPr>
            </w:pPr>
          </w:p>
        </w:tc>
      </w:tr>
      <w:tr w:rsidR="006A3667" w14:paraId="71D4A901" w14:textId="77777777">
        <w:trPr>
          <w:hidden/>
        </w:trPr>
        <w:tc>
          <w:tcPr>
            <w:tcW w:w="0" w:type="auto"/>
            <w:gridSpan w:val="3"/>
            <w:shd w:val="clear" w:color="auto" w:fill="auto"/>
            <w:vAlign w:val="bottom"/>
          </w:tcPr>
          <w:p w14:paraId="71D4A8FD" w14:textId="77777777" w:rsidR="006A3667" w:rsidRDefault="006A3667">
            <w:pPr>
              <w:rPr>
                <w:rFonts w:ascii="宋体"/>
                <w:vanish/>
              </w:rPr>
            </w:pPr>
          </w:p>
        </w:tc>
        <w:tc>
          <w:tcPr>
            <w:tcW w:w="0" w:type="auto"/>
            <w:gridSpan w:val="3"/>
            <w:shd w:val="clear" w:color="auto" w:fill="auto"/>
            <w:vAlign w:val="bottom"/>
          </w:tcPr>
          <w:p w14:paraId="71D4A8FE" w14:textId="77777777" w:rsidR="006A3667" w:rsidRDefault="006A3667">
            <w:pPr>
              <w:rPr>
                <w:rFonts w:ascii="宋体"/>
                <w:vanish/>
              </w:rPr>
            </w:pPr>
          </w:p>
        </w:tc>
        <w:tc>
          <w:tcPr>
            <w:tcW w:w="0" w:type="auto"/>
            <w:gridSpan w:val="3"/>
            <w:shd w:val="clear" w:color="auto" w:fill="auto"/>
            <w:vAlign w:val="bottom"/>
          </w:tcPr>
          <w:p w14:paraId="71D4A8FF" w14:textId="77777777" w:rsidR="006A3667" w:rsidRDefault="006A3667">
            <w:pPr>
              <w:rPr>
                <w:rFonts w:ascii="宋体"/>
                <w:vanish/>
              </w:rPr>
            </w:pPr>
          </w:p>
        </w:tc>
        <w:tc>
          <w:tcPr>
            <w:tcW w:w="0" w:type="auto"/>
            <w:gridSpan w:val="3"/>
            <w:shd w:val="clear" w:color="auto" w:fill="auto"/>
            <w:vAlign w:val="bottom"/>
          </w:tcPr>
          <w:p w14:paraId="71D4A900" w14:textId="77777777" w:rsidR="006A3667" w:rsidRDefault="006A3667">
            <w:pPr>
              <w:rPr>
                <w:rFonts w:ascii="宋体"/>
                <w:vanish/>
              </w:rPr>
            </w:pPr>
          </w:p>
        </w:tc>
      </w:tr>
      <w:tr w:rsidR="006A3667" w14:paraId="71D4A906" w14:textId="77777777">
        <w:trPr>
          <w:hidden/>
        </w:trPr>
        <w:tc>
          <w:tcPr>
            <w:tcW w:w="0" w:type="auto"/>
            <w:gridSpan w:val="3"/>
            <w:shd w:val="clear" w:color="auto" w:fill="auto"/>
            <w:vAlign w:val="bottom"/>
          </w:tcPr>
          <w:p w14:paraId="71D4A902" w14:textId="77777777" w:rsidR="006A3667" w:rsidRDefault="006A3667">
            <w:pPr>
              <w:rPr>
                <w:rFonts w:ascii="宋体"/>
                <w:vanish/>
              </w:rPr>
            </w:pPr>
          </w:p>
        </w:tc>
        <w:tc>
          <w:tcPr>
            <w:tcW w:w="0" w:type="auto"/>
            <w:gridSpan w:val="3"/>
            <w:shd w:val="clear" w:color="auto" w:fill="auto"/>
            <w:vAlign w:val="bottom"/>
          </w:tcPr>
          <w:p w14:paraId="71D4A903" w14:textId="77777777" w:rsidR="006A3667" w:rsidRDefault="006A3667">
            <w:pPr>
              <w:rPr>
                <w:rFonts w:ascii="宋体"/>
                <w:vanish/>
              </w:rPr>
            </w:pPr>
          </w:p>
        </w:tc>
        <w:tc>
          <w:tcPr>
            <w:tcW w:w="0" w:type="auto"/>
            <w:gridSpan w:val="3"/>
            <w:shd w:val="clear" w:color="auto" w:fill="auto"/>
            <w:vAlign w:val="bottom"/>
          </w:tcPr>
          <w:p w14:paraId="71D4A904" w14:textId="77777777" w:rsidR="006A3667" w:rsidRDefault="006A3667">
            <w:pPr>
              <w:rPr>
                <w:rFonts w:ascii="宋体"/>
                <w:vanish/>
              </w:rPr>
            </w:pPr>
          </w:p>
        </w:tc>
        <w:tc>
          <w:tcPr>
            <w:tcW w:w="0" w:type="auto"/>
            <w:gridSpan w:val="3"/>
            <w:shd w:val="clear" w:color="auto" w:fill="auto"/>
            <w:vAlign w:val="bottom"/>
          </w:tcPr>
          <w:p w14:paraId="71D4A905" w14:textId="77777777" w:rsidR="006A3667" w:rsidRDefault="006A3667">
            <w:pPr>
              <w:rPr>
                <w:rFonts w:ascii="宋体"/>
                <w:vanish/>
              </w:rPr>
            </w:pPr>
          </w:p>
        </w:tc>
      </w:tr>
      <w:tr w:rsidR="006A3667" w14:paraId="71D4A90B" w14:textId="77777777">
        <w:trPr>
          <w:hidden/>
        </w:trPr>
        <w:tc>
          <w:tcPr>
            <w:tcW w:w="0" w:type="auto"/>
            <w:gridSpan w:val="3"/>
            <w:shd w:val="clear" w:color="auto" w:fill="auto"/>
            <w:vAlign w:val="bottom"/>
          </w:tcPr>
          <w:p w14:paraId="71D4A907" w14:textId="77777777" w:rsidR="006A3667" w:rsidRDefault="006A3667">
            <w:pPr>
              <w:rPr>
                <w:rFonts w:ascii="宋体"/>
                <w:vanish/>
              </w:rPr>
            </w:pPr>
          </w:p>
        </w:tc>
        <w:tc>
          <w:tcPr>
            <w:tcW w:w="0" w:type="auto"/>
            <w:gridSpan w:val="3"/>
            <w:shd w:val="clear" w:color="auto" w:fill="auto"/>
            <w:vAlign w:val="bottom"/>
          </w:tcPr>
          <w:p w14:paraId="71D4A908" w14:textId="77777777" w:rsidR="006A3667" w:rsidRDefault="006A3667">
            <w:pPr>
              <w:rPr>
                <w:rFonts w:ascii="宋体"/>
                <w:vanish/>
              </w:rPr>
            </w:pPr>
          </w:p>
        </w:tc>
        <w:tc>
          <w:tcPr>
            <w:tcW w:w="0" w:type="auto"/>
            <w:gridSpan w:val="3"/>
            <w:shd w:val="clear" w:color="auto" w:fill="auto"/>
            <w:vAlign w:val="bottom"/>
          </w:tcPr>
          <w:p w14:paraId="71D4A909" w14:textId="77777777" w:rsidR="006A3667" w:rsidRDefault="006A3667">
            <w:pPr>
              <w:rPr>
                <w:rFonts w:ascii="宋体"/>
                <w:vanish/>
              </w:rPr>
            </w:pPr>
          </w:p>
        </w:tc>
        <w:tc>
          <w:tcPr>
            <w:tcW w:w="0" w:type="auto"/>
            <w:gridSpan w:val="3"/>
            <w:shd w:val="clear" w:color="auto" w:fill="auto"/>
            <w:vAlign w:val="bottom"/>
          </w:tcPr>
          <w:p w14:paraId="71D4A90A" w14:textId="77777777" w:rsidR="006A3667" w:rsidRDefault="006A3667">
            <w:pPr>
              <w:rPr>
                <w:rFonts w:ascii="宋体"/>
                <w:vanish/>
              </w:rPr>
            </w:pPr>
          </w:p>
        </w:tc>
      </w:tr>
      <w:tr w:rsidR="006A3667" w14:paraId="71D4A910" w14:textId="77777777">
        <w:trPr>
          <w:hidden/>
        </w:trPr>
        <w:tc>
          <w:tcPr>
            <w:tcW w:w="0" w:type="auto"/>
            <w:gridSpan w:val="3"/>
            <w:shd w:val="clear" w:color="auto" w:fill="auto"/>
            <w:vAlign w:val="bottom"/>
          </w:tcPr>
          <w:p w14:paraId="71D4A90C" w14:textId="77777777" w:rsidR="006A3667" w:rsidRDefault="006A3667">
            <w:pPr>
              <w:rPr>
                <w:rFonts w:ascii="宋体"/>
                <w:vanish/>
              </w:rPr>
            </w:pPr>
          </w:p>
        </w:tc>
        <w:tc>
          <w:tcPr>
            <w:tcW w:w="0" w:type="auto"/>
            <w:gridSpan w:val="3"/>
            <w:shd w:val="clear" w:color="auto" w:fill="auto"/>
            <w:vAlign w:val="bottom"/>
          </w:tcPr>
          <w:p w14:paraId="71D4A90D" w14:textId="77777777" w:rsidR="006A3667" w:rsidRDefault="006A3667">
            <w:pPr>
              <w:rPr>
                <w:rFonts w:ascii="宋体"/>
                <w:vanish/>
              </w:rPr>
            </w:pPr>
          </w:p>
        </w:tc>
        <w:tc>
          <w:tcPr>
            <w:tcW w:w="0" w:type="auto"/>
            <w:gridSpan w:val="3"/>
            <w:shd w:val="clear" w:color="auto" w:fill="auto"/>
            <w:vAlign w:val="bottom"/>
          </w:tcPr>
          <w:p w14:paraId="71D4A90E" w14:textId="77777777" w:rsidR="006A3667" w:rsidRDefault="006A3667">
            <w:pPr>
              <w:rPr>
                <w:rFonts w:ascii="宋体"/>
                <w:vanish/>
              </w:rPr>
            </w:pPr>
          </w:p>
        </w:tc>
        <w:tc>
          <w:tcPr>
            <w:tcW w:w="0" w:type="auto"/>
            <w:gridSpan w:val="3"/>
            <w:shd w:val="clear" w:color="auto" w:fill="auto"/>
            <w:vAlign w:val="bottom"/>
          </w:tcPr>
          <w:p w14:paraId="71D4A90F" w14:textId="77777777" w:rsidR="006A3667" w:rsidRDefault="006A3667">
            <w:pPr>
              <w:rPr>
                <w:rFonts w:ascii="宋体"/>
                <w:vanish/>
              </w:rPr>
            </w:pPr>
          </w:p>
        </w:tc>
      </w:tr>
      <w:tr w:rsidR="006A3667" w14:paraId="71D4A915" w14:textId="77777777">
        <w:trPr>
          <w:hidden/>
        </w:trPr>
        <w:tc>
          <w:tcPr>
            <w:tcW w:w="0" w:type="auto"/>
            <w:gridSpan w:val="3"/>
            <w:shd w:val="clear" w:color="auto" w:fill="auto"/>
            <w:vAlign w:val="bottom"/>
          </w:tcPr>
          <w:p w14:paraId="71D4A911" w14:textId="77777777" w:rsidR="006A3667" w:rsidRDefault="006A3667">
            <w:pPr>
              <w:rPr>
                <w:rFonts w:ascii="宋体"/>
                <w:vanish/>
              </w:rPr>
            </w:pPr>
          </w:p>
        </w:tc>
        <w:tc>
          <w:tcPr>
            <w:tcW w:w="0" w:type="auto"/>
            <w:gridSpan w:val="3"/>
            <w:shd w:val="clear" w:color="auto" w:fill="auto"/>
            <w:vAlign w:val="bottom"/>
          </w:tcPr>
          <w:p w14:paraId="71D4A912" w14:textId="77777777" w:rsidR="006A3667" w:rsidRDefault="006A3667">
            <w:pPr>
              <w:rPr>
                <w:rFonts w:ascii="宋体"/>
                <w:vanish/>
              </w:rPr>
            </w:pPr>
          </w:p>
        </w:tc>
        <w:tc>
          <w:tcPr>
            <w:tcW w:w="0" w:type="auto"/>
            <w:gridSpan w:val="3"/>
            <w:shd w:val="clear" w:color="auto" w:fill="auto"/>
            <w:vAlign w:val="bottom"/>
          </w:tcPr>
          <w:p w14:paraId="71D4A913" w14:textId="77777777" w:rsidR="006A3667" w:rsidRDefault="006A3667">
            <w:pPr>
              <w:rPr>
                <w:rFonts w:ascii="宋体"/>
                <w:vanish/>
              </w:rPr>
            </w:pPr>
          </w:p>
        </w:tc>
        <w:tc>
          <w:tcPr>
            <w:tcW w:w="0" w:type="auto"/>
            <w:gridSpan w:val="3"/>
            <w:shd w:val="clear" w:color="auto" w:fill="auto"/>
            <w:vAlign w:val="bottom"/>
          </w:tcPr>
          <w:p w14:paraId="71D4A914" w14:textId="77777777" w:rsidR="006A3667" w:rsidRDefault="006A3667">
            <w:pPr>
              <w:rPr>
                <w:rFonts w:ascii="宋体"/>
                <w:vanish/>
              </w:rPr>
            </w:pPr>
          </w:p>
        </w:tc>
      </w:tr>
      <w:tr w:rsidR="006A3667" w14:paraId="71D4A91A" w14:textId="77777777">
        <w:trPr>
          <w:hidden/>
        </w:trPr>
        <w:tc>
          <w:tcPr>
            <w:tcW w:w="0" w:type="auto"/>
            <w:gridSpan w:val="3"/>
            <w:shd w:val="clear" w:color="auto" w:fill="auto"/>
            <w:vAlign w:val="bottom"/>
          </w:tcPr>
          <w:p w14:paraId="71D4A916" w14:textId="77777777" w:rsidR="006A3667" w:rsidRDefault="006A3667">
            <w:pPr>
              <w:rPr>
                <w:rFonts w:ascii="宋体"/>
                <w:vanish/>
              </w:rPr>
            </w:pPr>
          </w:p>
        </w:tc>
        <w:tc>
          <w:tcPr>
            <w:tcW w:w="0" w:type="auto"/>
            <w:gridSpan w:val="3"/>
            <w:shd w:val="clear" w:color="auto" w:fill="auto"/>
            <w:vAlign w:val="bottom"/>
          </w:tcPr>
          <w:p w14:paraId="71D4A917" w14:textId="77777777" w:rsidR="006A3667" w:rsidRDefault="006A3667">
            <w:pPr>
              <w:rPr>
                <w:rFonts w:ascii="宋体"/>
                <w:vanish/>
              </w:rPr>
            </w:pPr>
          </w:p>
        </w:tc>
        <w:tc>
          <w:tcPr>
            <w:tcW w:w="0" w:type="auto"/>
            <w:gridSpan w:val="3"/>
            <w:shd w:val="clear" w:color="auto" w:fill="auto"/>
            <w:vAlign w:val="bottom"/>
          </w:tcPr>
          <w:p w14:paraId="71D4A918" w14:textId="77777777" w:rsidR="006A3667" w:rsidRDefault="006A3667">
            <w:pPr>
              <w:rPr>
                <w:rFonts w:ascii="宋体"/>
                <w:vanish/>
              </w:rPr>
            </w:pPr>
          </w:p>
        </w:tc>
        <w:tc>
          <w:tcPr>
            <w:tcW w:w="0" w:type="auto"/>
            <w:gridSpan w:val="3"/>
            <w:shd w:val="clear" w:color="auto" w:fill="auto"/>
            <w:vAlign w:val="bottom"/>
          </w:tcPr>
          <w:p w14:paraId="71D4A919" w14:textId="77777777" w:rsidR="006A3667" w:rsidRDefault="006A3667">
            <w:pPr>
              <w:rPr>
                <w:rFonts w:ascii="宋体"/>
                <w:vanish/>
              </w:rPr>
            </w:pPr>
          </w:p>
        </w:tc>
      </w:tr>
      <w:tr w:rsidR="006A3667" w14:paraId="71D4A91F" w14:textId="77777777">
        <w:trPr>
          <w:hidden/>
        </w:trPr>
        <w:tc>
          <w:tcPr>
            <w:tcW w:w="0" w:type="auto"/>
            <w:gridSpan w:val="3"/>
            <w:shd w:val="clear" w:color="auto" w:fill="auto"/>
            <w:vAlign w:val="bottom"/>
          </w:tcPr>
          <w:p w14:paraId="71D4A91B" w14:textId="77777777" w:rsidR="006A3667" w:rsidRDefault="006A3667">
            <w:pPr>
              <w:rPr>
                <w:rFonts w:ascii="宋体"/>
                <w:vanish/>
              </w:rPr>
            </w:pPr>
          </w:p>
        </w:tc>
        <w:tc>
          <w:tcPr>
            <w:tcW w:w="0" w:type="auto"/>
            <w:gridSpan w:val="3"/>
            <w:shd w:val="clear" w:color="auto" w:fill="auto"/>
            <w:vAlign w:val="bottom"/>
          </w:tcPr>
          <w:p w14:paraId="71D4A91C" w14:textId="77777777" w:rsidR="006A3667" w:rsidRDefault="006A3667">
            <w:pPr>
              <w:rPr>
                <w:rFonts w:ascii="宋体"/>
                <w:vanish/>
              </w:rPr>
            </w:pPr>
          </w:p>
        </w:tc>
        <w:tc>
          <w:tcPr>
            <w:tcW w:w="0" w:type="auto"/>
            <w:gridSpan w:val="3"/>
            <w:shd w:val="clear" w:color="auto" w:fill="auto"/>
            <w:vAlign w:val="bottom"/>
          </w:tcPr>
          <w:p w14:paraId="71D4A91D" w14:textId="77777777" w:rsidR="006A3667" w:rsidRDefault="006A3667">
            <w:pPr>
              <w:rPr>
                <w:rFonts w:ascii="宋体"/>
                <w:vanish/>
              </w:rPr>
            </w:pPr>
          </w:p>
        </w:tc>
        <w:tc>
          <w:tcPr>
            <w:tcW w:w="0" w:type="auto"/>
            <w:gridSpan w:val="3"/>
            <w:shd w:val="clear" w:color="auto" w:fill="auto"/>
            <w:vAlign w:val="bottom"/>
          </w:tcPr>
          <w:p w14:paraId="71D4A91E" w14:textId="77777777" w:rsidR="006A3667" w:rsidRDefault="006A3667">
            <w:pPr>
              <w:rPr>
                <w:rFonts w:ascii="宋体"/>
                <w:vanish/>
              </w:rPr>
            </w:pPr>
          </w:p>
        </w:tc>
      </w:tr>
      <w:tr w:rsidR="006A3667" w14:paraId="71D4A924" w14:textId="77777777">
        <w:trPr>
          <w:hidden/>
        </w:trPr>
        <w:tc>
          <w:tcPr>
            <w:tcW w:w="0" w:type="auto"/>
            <w:gridSpan w:val="3"/>
            <w:shd w:val="clear" w:color="auto" w:fill="auto"/>
            <w:vAlign w:val="bottom"/>
          </w:tcPr>
          <w:p w14:paraId="71D4A920" w14:textId="77777777" w:rsidR="006A3667" w:rsidRDefault="006A3667">
            <w:pPr>
              <w:rPr>
                <w:rFonts w:ascii="宋体"/>
                <w:vanish/>
              </w:rPr>
            </w:pPr>
          </w:p>
        </w:tc>
        <w:tc>
          <w:tcPr>
            <w:tcW w:w="0" w:type="auto"/>
            <w:gridSpan w:val="3"/>
            <w:shd w:val="clear" w:color="auto" w:fill="auto"/>
            <w:vAlign w:val="bottom"/>
          </w:tcPr>
          <w:p w14:paraId="71D4A921" w14:textId="77777777" w:rsidR="006A3667" w:rsidRDefault="006A3667">
            <w:pPr>
              <w:rPr>
                <w:rFonts w:ascii="宋体"/>
                <w:vanish/>
              </w:rPr>
            </w:pPr>
          </w:p>
        </w:tc>
        <w:tc>
          <w:tcPr>
            <w:tcW w:w="0" w:type="auto"/>
            <w:gridSpan w:val="3"/>
            <w:shd w:val="clear" w:color="auto" w:fill="auto"/>
            <w:vAlign w:val="bottom"/>
          </w:tcPr>
          <w:p w14:paraId="71D4A922" w14:textId="77777777" w:rsidR="006A3667" w:rsidRDefault="006A3667">
            <w:pPr>
              <w:rPr>
                <w:rFonts w:ascii="宋体"/>
                <w:vanish/>
              </w:rPr>
            </w:pPr>
          </w:p>
        </w:tc>
        <w:tc>
          <w:tcPr>
            <w:tcW w:w="0" w:type="auto"/>
            <w:gridSpan w:val="3"/>
            <w:shd w:val="clear" w:color="auto" w:fill="auto"/>
            <w:vAlign w:val="bottom"/>
          </w:tcPr>
          <w:p w14:paraId="71D4A923" w14:textId="77777777" w:rsidR="006A3667" w:rsidRDefault="006A3667">
            <w:pPr>
              <w:rPr>
                <w:rFonts w:ascii="宋体"/>
                <w:vanish/>
              </w:rPr>
            </w:pPr>
          </w:p>
        </w:tc>
      </w:tr>
      <w:tr w:rsidR="006A3667" w14:paraId="71D4A929" w14:textId="77777777">
        <w:trPr>
          <w:hidden/>
        </w:trPr>
        <w:tc>
          <w:tcPr>
            <w:tcW w:w="0" w:type="auto"/>
            <w:gridSpan w:val="3"/>
            <w:shd w:val="clear" w:color="auto" w:fill="auto"/>
            <w:vAlign w:val="bottom"/>
          </w:tcPr>
          <w:p w14:paraId="71D4A925" w14:textId="77777777" w:rsidR="006A3667" w:rsidRDefault="006A3667">
            <w:pPr>
              <w:rPr>
                <w:rFonts w:ascii="宋体"/>
                <w:vanish/>
              </w:rPr>
            </w:pPr>
          </w:p>
        </w:tc>
        <w:tc>
          <w:tcPr>
            <w:tcW w:w="0" w:type="auto"/>
            <w:gridSpan w:val="3"/>
            <w:shd w:val="clear" w:color="auto" w:fill="auto"/>
            <w:vAlign w:val="bottom"/>
          </w:tcPr>
          <w:p w14:paraId="71D4A926" w14:textId="77777777" w:rsidR="006A3667" w:rsidRDefault="006A3667">
            <w:pPr>
              <w:rPr>
                <w:rFonts w:ascii="宋体"/>
                <w:vanish/>
              </w:rPr>
            </w:pPr>
          </w:p>
        </w:tc>
        <w:tc>
          <w:tcPr>
            <w:tcW w:w="0" w:type="auto"/>
            <w:gridSpan w:val="3"/>
            <w:shd w:val="clear" w:color="auto" w:fill="auto"/>
            <w:vAlign w:val="bottom"/>
          </w:tcPr>
          <w:p w14:paraId="71D4A927" w14:textId="77777777" w:rsidR="006A3667" w:rsidRDefault="006A3667">
            <w:pPr>
              <w:rPr>
                <w:rFonts w:ascii="宋体"/>
                <w:vanish/>
              </w:rPr>
            </w:pPr>
          </w:p>
        </w:tc>
        <w:tc>
          <w:tcPr>
            <w:tcW w:w="0" w:type="auto"/>
            <w:gridSpan w:val="3"/>
            <w:shd w:val="clear" w:color="auto" w:fill="auto"/>
            <w:vAlign w:val="bottom"/>
          </w:tcPr>
          <w:p w14:paraId="71D4A928" w14:textId="77777777" w:rsidR="006A3667" w:rsidRDefault="006A3667">
            <w:pPr>
              <w:rPr>
                <w:rFonts w:ascii="宋体"/>
                <w:vanish/>
              </w:rPr>
            </w:pPr>
          </w:p>
        </w:tc>
      </w:tr>
      <w:tr w:rsidR="006A3667" w14:paraId="71D4A92E" w14:textId="77777777">
        <w:trPr>
          <w:hidden/>
        </w:trPr>
        <w:tc>
          <w:tcPr>
            <w:tcW w:w="0" w:type="auto"/>
            <w:gridSpan w:val="3"/>
            <w:shd w:val="clear" w:color="auto" w:fill="auto"/>
            <w:vAlign w:val="bottom"/>
          </w:tcPr>
          <w:p w14:paraId="71D4A92A" w14:textId="77777777" w:rsidR="006A3667" w:rsidRDefault="006A3667">
            <w:pPr>
              <w:rPr>
                <w:rFonts w:ascii="宋体"/>
                <w:vanish/>
              </w:rPr>
            </w:pPr>
          </w:p>
        </w:tc>
        <w:tc>
          <w:tcPr>
            <w:tcW w:w="0" w:type="auto"/>
            <w:gridSpan w:val="3"/>
            <w:shd w:val="clear" w:color="auto" w:fill="auto"/>
            <w:vAlign w:val="bottom"/>
          </w:tcPr>
          <w:p w14:paraId="71D4A92B" w14:textId="77777777" w:rsidR="006A3667" w:rsidRDefault="006A3667">
            <w:pPr>
              <w:rPr>
                <w:rFonts w:ascii="宋体"/>
                <w:vanish/>
              </w:rPr>
            </w:pPr>
          </w:p>
        </w:tc>
        <w:tc>
          <w:tcPr>
            <w:tcW w:w="0" w:type="auto"/>
            <w:gridSpan w:val="3"/>
            <w:shd w:val="clear" w:color="auto" w:fill="auto"/>
            <w:vAlign w:val="bottom"/>
          </w:tcPr>
          <w:p w14:paraId="71D4A92C" w14:textId="77777777" w:rsidR="006A3667" w:rsidRDefault="006A3667">
            <w:pPr>
              <w:rPr>
                <w:rFonts w:ascii="宋体"/>
                <w:vanish/>
              </w:rPr>
            </w:pPr>
          </w:p>
        </w:tc>
        <w:tc>
          <w:tcPr>
            <w:tcW w:w="0" w:type="auto"/>
            <w:gridSpan w:val="3"/>
            <w:shd w:val="clear" w:color="auto" w:fill="auto"/>
            <w:vAlign w:val="bottom"/>
          </w:tcPr>
          <w:p w14:paraId="71D4A92D" w14:textId="77777777" w:rsidR="006A3667" w:rsidRDefault="006A3667">
            <w:pPr>
              <w:rPr>
                <w:rFonts w:ascii="宋体"/>
                <w:vanish/>
              </w:rPr>
            </w:pPr>
          </w:p>
        </w:tc>
      </w:tr>
      <w:tr w:rsidR="006A3667" w14:paraId="71D4A933" w14:textId="77777777">
        <w:trPr>
          <w:hidden/>
        </w:trPr>
        <w:tc>
          <w:tcPr>
            <w:tcW w:w="0" w:type="auto"/>
            <w:gridSpan w:val="3"/>
            <w:shd w:val="clear" w:color="auto" w:fill="auto"/>
            <w:vAlign w:val="bottom"/>
          </w:tcPr>
          <w:p w14:paraId="71D4A92F" w14:textId="77777777" w:rsidR="006A3667" w:rsidRDefault="006A3667">
            <w:pPr>
              <w:rPr>
                <w:rFonts w:ascii="宋体"/>
                <w:vanish/>
              </w:rPr>
            </w:pPr>
          </w:p>
        </w:tc>
        <w:tc>
          <w:tcPr>
            <w:tcW w:w="0" w:type="auto"/>
            <w:gridSpan w:val="3"/>
            <w:shd w:val="clear" w:color="auto" w:fill="auto"/>
            <w:vAlign w:val="bottom"/>
          </w:tcPr>
          <w:p w14:paraId="71D4A930" w14:textId="77777777" w:rsidR="006A3667" w:rsidRDefault="006A3667">
            <w:pPr>
              <w:rPr>
                <w:rFonts w:ascii="宋体"/>
                <w:vanish/>
              </w:rPr>
            </w:pPr>
          </w:p>
        </w:tc>
        <w:tc>
          <w:tcPr>
            <w:tcW w:w="0" w:type="auto"/>
            <w:gridSpan w:val="3"/>
            <w:shd w:val="clear" w:color="auto" w:fill="auto"/>
            <w:vAlign w:val="bottom"/>
          </w:tcPr>
          <w:p w14:paraId="71D4A931" w14:textId="77777777" w:rsidR="006A3667" w:rsidRDefault="006A3667">
            <w:pPr>
              <w:rPr>
                <w:rFonts w:ascii="宋体"/>
                <w:vanish/>
              </w:rPr>
            </w:pPr>
          </w:p>
        </w:tc>
        <w:tc>
          <w:tcPr>
            <w:tcW w:w="0" w:type="auto"/>
            <w:gridSpan w:val="3"/>
            <w:shd w:val="clear" w:color="auto" w:fill="auto"/>
            <w:vAlign w:val="bottom"/>
          </w:tcPr>
          <w:p w14:paraId="71D4A932" w14:textId="77777777" w:rsidR="006A3667" w:rsidRDefault="006A3667">
            <w:pPr>
              <w:rPr>
                <w:rFonts w:ascii="宋体"/>
                <w:vanish/>
              </w:rPr>
            </w:pPr>
          </w:p>
        </w:tc>
      </w:tr>
      <w:tr w:rsidR="006A3667" w14:paraId="71D4A938" w14:textId="77777777">
        <w:trPr>
          <w:hidden/>
        </w:trPr>
        <w:tc>
          <w:tcPr>
            <w:tcW w:w="0" w:type="auto"/>
            <w:gridSpan w:val="3"/>
            <w:shd w:val="clear" w:color="auto" w:fill="auto"/>
            <w:vAlign w:val="bottom"/>
          </w:tcPr>
          <w:p w14:paraId="71D4A934" w14:textId="77777777" w:rsidR="006A3667" w:rsidRDefault="006A3667">
            <w:pPr>
              <w:rPr>
                <w:rFonts w:ascii="宋体"/>
                <w:vanish/>
              </w:rPr>
            </w:pPr>
          </w:p>
        </w:tc>
        <w:tc>
          <w:tcPr>
            <w:tcW w:w="0" w:type="auto"/>
            <w:gridSpan w:val="3"/>
            <w:shd w:val="clear" w:color="auto" w:fill="auto"/>
            <w:vAlign w:val="bottom"/>
          </w:tcPr>
          <w:p w14:paraId="71D4A935" w14:textId="77777777" w:rsidR="006A3667" w:rsidRDefault="006A3667">
            <w:pPr>
              <w:rPr>
                <w:rFonts w:ascii="宋体"/>
                <w:vanish/>
              </w:rPr>
            </w:pPr>
          </w:p>
        </w:tc>
        <w:tc>
          <w:tcPr>
            <w:tcW w:w="0" w:type="auto"/>
            <w:gridSpan w:val="3"/>
            <w:shd w:val="clear" w:color="auto" w:fill="auto"/>
            <w:vAlign w:val="bottom"/>
          </w:tcPr>
          <w:p w14:paraId="71D4A936" w14:textId="77777777" w:rsidR="006A3667" w:rsidRDefault="006A3667">
            <w:pPr>
              <w:rPr>
                <w:rFonts w:ascii="宋体"/>
                <w:vanish/>
              </w:rPr>
            </w:pPr>
          </w:p>
        </w:tc>
        <w:tc>
          <w:tcPr>
            <w:tcW w:w="0" w:type="auto"/>
            <w:gridSpan w:val="3"/>
            <w:shd w:val="clear" w:color="auto" w:fill="auto"/>
            <w:vAlign w:val="bottom"/>
          </w:tcPr>
          <w:p w14:paraId="71D4A937" w14:textId="77777777" w:rsidR="006A3667" w:rsidRDefault="006A3667">
            <w:pPr>
              <w:rPr>
                <w:rFonts w:ascii="宋体"/>
                <w:vanish/>
              </w:rPr>
            </w:pPr>
          </w:p>
        </w:tc>
      </w:tr>
      <w:tr w:rsidR="006A3667" w14:paraId="71D4A93D" w14:textId="77777777">
        <w:trPr>
          <w:hidden/>
        </w:trPr>
        <w:tc>
          <w:tcPr>
            <w:tcW w:w="0" w:type="auto"/>
            <w:gridSpan w:val="3"/>
            <w:shd w:val="clear" w:color="auto" w:fill="auto"/>
            <w:vAlign w:val="bottom"/>
          </w:tcPr>
          <w:p w14:paraId="71D4A939" w14:textId="77777777" w:rsidR="006A3667" w:rsidRDefault="006A3667">
            <w:pPr>
              <w:rPr>
                <w:rFonts w:ascii="宋体"/>
                <w:vanish/>
              </w:rPr>
            </w:pPr>
          </w:p>
        </w:tc>
        <w:tc>
          <w:tcPr>
            <w:tcW w:w="0" w:type="auto"/>
            <w:gridSpan w:val="3"/>
            <w:shd w:val="clear" w:color="auto" w:fill="auto"/>
            <w:vAlign w:val="bottom"/>
          </w:tcPr>
          <w:p w14:paraId="71D4A93A" w14:textId="77777777" w:rsidR="006A3667" w:rsidRDefault="006A3667">
            <w:pPr>
              <w:rPr>
                <w:rFonts w:ascii="宋体"/>
                <w:vanish/>
              </w:rPr>
            </w:pPr>
          </w:p>
        </w:tc>
        <w:tc>
          <w:tcPr>
            <w:tcW w:w="0" w:type="auto"/>
            <w:gridSpan w:val="3"/>
            <w:shd w:val="clear" w:color="auto" w:fill="auto"/>
            <w:vAlign w:val="bottom"/>
          </w:tcPr>
          <w:p w14:paraId="71D4A93B" w14:textId="77777777" w:rsidR="006A3667" w:rsidRDefault="006A3667">
            <w:pPr>
              <w:rPr>
                <w:rFonts w:ascii="宋体"/>
                <w:vanish/>
              </w:rPr>
            </w:pPr>
          </w:p>
        </w:tc>
        <w:tc>
          <w:tcPr>
            <w:tcW w:w="0" w:type="auto"/>
            <w:gridSpan w:val="3"/>
            <w:shd w:val="clear" w:color="auto" w:fill="auto"/>
            <w:vAlign w:val="bottom"/>
          </w:tcPr>
          <w:p w14:paraId="71D4A93C" w14:textId="77777777" w:rsidR="006A3667" w:rsidRDefault="006A3667">
            <w:pPr>
              <w:rPr>
                <w:rFonts w:ascii="宋体"/>
                <w:vanish/>
              </w:rPr>
            </w:pPr>
          </w:p>
        </w:tc>
      </w:tr>
      <w:tr w:rsidR="006A3667" w14:paraId="71D4A942" w14:textId="77777777">
        <w:trPr>
          <w:hidden/>
        </w:trPr>
        <w:tc>
          <w:tcPr>
            <w:tcW w:w="0" w:type="auto"/>
            <w:gridSpan w:val="3"/>
            <w:shd w:val="clear" w:color="auto" w:fill="auto"/>
            <w:vAlign w:val="bottom"/>
          </w:tcPr>
          <w:p w14:paraId="71D4A93E" w14:textId="77777777" w:rsidR="006A3667" w:rsidRDefault="006A3667">
            <w:pPr>
              <w:rPr>
                <w:rFonts w:ascii="宋体"/>
                <w:vanish/>
              </w:rPr>
            </w:pPr>
          </w:p>
        </w:tc>
        <w:tc>
          <w:tcPr>
            <w:tcW w:w="0" w:type="auto"/>
            <w:gridSpan w:val="3"/>
            <w:shd w:val="clear" w:color="auto" w:fill="auto"/>
            <w:vAlign w:val="bottom"/>
          </w:tcPr>
          <w:p w14:paraId="71D4A93F" w14:textId="77777777" w:rsidR="006A3667" w:rsidRDefault="006A3667">
            <w:pPr>
              <w:rPr>
                <w:rFonts w:ascii="宋体"/>
                <w:vanish/>
              </w:rPr>
            </w:pPr>
          </w:p>
        </w:tc>
        <w:tc>
          <w:tcPr>
            <w:tcW w:w="0" w:type="auto"/>
            <w:gridSpan w:val="3"/>
            <w:shd w:val="clear" w:color="auto" w:fill="auto"/>
            <w:vAlign w:val="bottom"/>
          </w:tcPr>
          <w:p w14:paraId="71D4A940" w14:textId="77777777" w:rsidR="006A3667" w:rsidRDefault="006A3667">
            <w:pPr>
              <w:rPr>
                <w:rFonts w:ascii="宋体"/>
                <w:vanish/>
              </w:rPr>
            </w:pPr>
          </w:p>
        </w:tc>
        <w:tc>
          <w:tcPr>
            <w:tcW w:w="0" w:type="auto"/>
            <w:gridSpan w:val="3"/>
            <w:shd w:val="clear" w:color="auto" w:fill="auto"/>
            <w:vAlign w:val="bottom"/>
          </w:tcPr>
          <w:p w14:paraId="71D4A941" w14:textId="77777777" w:rsidR="006A3667" w:rsidRDefault="006A3667">
            <w:pPr>
              <w:rPr>
                <w:rFonts w:ascii="宋体"/>
                <w:vanish/>
              </w:rPr>
            </w:pPr>
          </w:p>
        </w:tc>
      </w:tr>
      <w:tr w:rsidR="006A3667" w14:paraId="71D4A947" w14:textId="77777777">
        <w:trPr>
          <w:hidden/>
        </w:trPr>
        <w:tc>
          <w:tcPr>
            <w:tcW w:w="0" w:type="auto"/>
            <w:gridSpan w:val="3"/>
            <w:shd w:val="clear" w:color="auto" w:fill="auto"/>
            <w:vAlign w:val="bottom"/>
          </w:tcPr>
          <w:p w14:paraId="71D4A943" w14:textId="77777777" w:rsidR="006A3667" w:rsidRDefault="006A3667">
            <w:pPr>
              <w:rPr>
                <w:rFonts w:ascii="宋体"/>
                <w:vanish/>
              </w:rPr>
            </w:pPr>
          </w:p>
        </w:tc>
        <w:tc>
          <w:tcPr>
            <w:tcW w:w="0" w:type="auto"/>
            <w:gridSpan w:val="3"/>
            <w:shd w:val="clear" w:color="auto" w:fill="auto"/>
            <w:vAlign w:val="bottom"/>
          </w:tcPr>
          <w:p w14:paraId="71D4A944" w14:textId="77777777" w:rsidR="006A3667" w:rsidRDefault="006A3667">
            <w:pPr>
              <w:rPr>
                <w:rFonts w:ascii="宋体"/>
                <w:vanish/>
              </w:rPr>
            </w:pPr>
          </w:p>
        </w:tc>
        <w:tc>
          <w:tcPr>
            <w:tcW w:w="0" w:type="auto"/>
            <w:gridSpan w:val="3"/>
            <w:shd w:val="clear" w:color="auto" w:fill="auto"/>
            <w:vAlign w:val="bottom"/>
          </w:tcPr>
          <w:p w14:paraId="71D4A945" w14:textId="77777777" w:rsidR="006A3667" w:rsidRDefault="006A3667">
            <w:pPr>
              <w:rPr>
                <w:rFonts w:ascii="宋体"/>
                <w:vanish/>
              </w:rPr>
            </w:pPr>
          </w:p>
        </w:tc>
        <w:tc>
          <w:tcPr>
            <w:tcW w:w="0" w:type="auto"/>
            <w:gridSpan w:val="3"/>
            <w:shd w:val="clear" w:color="auto" w:fill="auto"/>
            <w:vAlign w:val="bottom"/>
          </w:tcPr>
          <w:p w14:paraId="71D4A946" w14:textId="77777777" w:rsidR="006A3667" w:rsidRDefault="006A3667">
            <w:pPr>
              <w:rPr>
                <w:rFonts w:ascii="宋体"/>
                <w:vanish/>
              </w:rPr>
            </w:pPr>
          </w:p>
        </w:tc>
      </w:tr>
      <w:tr w:rsidR="006A3667" w14:paraId="71D4A94C" w14:textId="77777777">
        <w:trPr>
          <w:hidden/>
        </w:trPr>
        <w:tc>
          <w:tcPr>
            <w:tcW w:w="0" w:type="auto"/>
            <w:gridSpan w:val="3"/>
            <w:shd w:val="clear" w:color="auto" w:fill="auto"/>
            <w:vAlign w:val="bottom"/>
          </w:tcPr>
          <w:p w14:paraId="71D4A948" w14:textId="77777777" w:rsidR="006A3667" w:rsidRDefault="006A3667">
            <w:pPr>
              <w:rPr>
                <w:rFonts w:ascii="宋体"/>
                <w:vanish/>
              </w:rPr>
            </w:pPr>
          </w:p>
        </w:tc>
        <w:tc>
          <w:tcPr>
            <w:tcW w:w="0" w:type="auto"/>
            <w:gridSpan w:val="3"/>
            <w:shd w:val="clear" w:color="auto" w:fill="auto"/>
            <w:vAlign w:val="bottom"/>
          </w:tcPr>
          <w:p w14:paraId="71D4A949" w14:textId="77777777" w:rsidR="006A3667" w:rsidRDefault="006A3667">
            <w:pPr>
              <w:rPr>
                <w:rFonts w:ascii="宋体"/>
                <w:vanish/>
              </w:rPr>
            </w:pPr>
          </w:p>
        </w:tc>
        <w:tc>
          <w:tcPr>
            <w:tcW w:w="0" w:type="auto"/>
            <w:gridSpan w:val="3"/>
            <w:shd w:val="clear" w:color="auto" w:fill="auto"/>
            <w:vAlign w:val="bottom"/>
          </w:tcPr>
          <w:p w14:paraId="71D4A94A" w14:textId="77777777" w:rsidR="006A3667" w:rsidRDefault="006A3667">
            <w:pPr>
              <w:rPr>
                <w:rFonts w:ascii="宋体"/>
                <w:vanish/>
              </w:rPr>
            </w:pPr>
          </w:p>
        </w:tc>
        <w:tc>
          <w:tcPr>
            <w:tcW w:w="0" w:type="auto"/>
            <w:gridSpan w:val="3"/>
            <w:shd w:val="clear" w:color="auto" w:fill="auto"/>
            <w:vAlign w:val="bottom"/>
          </w:tcPr>
          <w:p w14:paraId="71D4A94B" w14:textId="77777777" w:rsidR="006A3667" w:rsidRDefault="006A3667">
            <w:pPr>
              <w:rPr>
                <w:rFonts w:ascii="宋体"/>
                <w:vanish/>
              </w:rPr>
            </w:pPr>
          </w:p>
        </w:tc>
      </w:tr>
      <w:tr w:rsidR="006A3667" w14:paraId="71D4A951" w14:textId="77777777">
        <w:trPr>
          <w:hidden/>
        </w:trPr>
        <w:tc>
          <w:tcPr>
            <w:tcW w:w="0" w:type="auto"/>
            <w:gridSpan w:val="3"/>
            <w:shd w:val="clear" w:color="auto" w:fill="auto"/>
            <w:vAlign w:val="bottom"/>
          </w:tcPr>
          <w:p w14:paraId="71D4A94D" w14:textId="77777777" w:rsidR="006A3667" w:rsidRDefault="006A3667">
            <w:pPr>
              <w:rPr>
                <w:rFonts w:ascii="宋体"/>
                <w:vanish/>
              </w:rPr>
            </w:pPr>
          </w:p>
        </w:tc>
        <w:tc>
          <w:tcPr>
            <w:tcW w:w="0" w:type="auto"/>
            <w:gridSpan w:val="3"/>
            <w:shd w:val="clear" w:color="auto" w:fill="auto"/>
            <w:vAlign w:val="bottom"/>
          </w:tcPr>
          <w:p w14:paraId="71D4A94E" w14:textId="77777777" w:rsidR="006A3667" w:rsidRDefault="006A3667">
            <w:pPr>
              <w:rPr>
                <w:rFonts w:ascii="宋体"/>
                <w:vanish/>
              </w:rPr>
            </w:pPr>
          </w:p>
        </w:tc>
        <w:tc>
          <w:tcPr>
            <w:tcW w:w="0" w:type="auto"/>
            <w:gridSpan w:val="3"/>
            <w:shd w:val="clear" w:color="auto" w:fill="auto"/>
            <w:vAlign w:val="bottom"/>
          </w:tcPr>
          <w:p w14:paraId="71D4A94F" w14:textId="77777777" w:rsidR="006A3667" w:rsidRDefault="006A3667">
            <w:pPr>
              <w:rPr>
                <w:rFonts w:ascii="宋体"/>
                <w:vanish/>
              </w:rPr>
            </w:pPr>
          </w:p>
        </w:tc>
        <w:tc>
          <w:tcPr>
            <w:tcW w:w="0" w:type="auto"/>
            <w:gridSpan w:val="3"/>
            <w:shd w:val="clear" w:color="auto" w:fill="auto"/>
            <w:vAlign w:val="bottom"/>
          </w:tcPr>
          <w:p w14:paraId="71D4A950" w14:textId="77777777" w:rsidR="006A3667" w:rsidRDefault="006A3667">
            <w:pPr>
              <w:rPr>
                <w:rFonts w:ascii="宋体"/>
                <w:vanish/>
              </w:rPr>
            </w:pPr>
          </w:p>
        </w:tc>
      </w:tr>
      <w:tr w:rsidR="006A3667" w14:paraId="71D4A956" w14:textId="77777777">
        <w:trPr>
          <w:hidden/>
        </w:trPr>
        <w:tc>
          <w:tcPr>
            <w:tcW w:w="0" w:type="auto"/>
            <w:gridSpan w:val="3"/>
            <w:shd w:val="clear" w:color="auto" w:fill="auto"/>
            <w:vAlign w:val="bottom"/>
          </w:tcPr>
          <w:p w14:paraId="71D4A952" w14:textId="77777777" w:rsidR="006A3667" w:rsidRDefault="006A3667">
            <w:pPr>
              <w:rPr>
                <w:rFonts w:ascii="宋体"/>
                <w:vanish/>
              </w:rPr>
            </w:pPr>
          </w:p>
        </w:tc>
        <w:tc>
          <w:tcPr>
            <w:tcW w:w="0" w:type="auto"/>
            <w:gridSpan w:val="3"/>
            <w:shd w:val="clear" w:color="auto" w:fill="auto"/>
            <w:vAlign w:val="bottom"/>
          </w:tcPr>
          <w:p w14:paraId="71D4A953" w14:textId="77777777" w:rsidR="006A3667" w:rsidRDefault="006A3667">
            <w:pPr>
              <w:rPr>
                <w:rFonts w:ascii="宋体"/>
                <w:vanish/>
              </w:rPr>
            </w:pPr>
          </w:p>
        </w:tc>
        <w:tc>
          <w:tcPr>
            <w:tcW w:w="0" w:type="auto"/>
            <w:gridSpan w:val="3"/>
            <w:shd w:val="clear" w:color="auto" w:fill="auto"/>
            <w:vAlign w:val="bottom"/>
          </w:tcPr>
          <w:p w14:paraId="71D4A954" w14:textId="77777777" w:rsidR="006A3667" w:rsidRDefault="006A3667">
            <w:pPr>
              <w:rPr>
                <w:rFonts w:ascii="宋体"/>
                <w:vanish/>
              </w:rPr>
            </w:pPr>
          </w:p>
        </w:tc>
        <w:tc>
          <w:tcPr>
            <w:tcW w:w="0" w:type="auto"/>
            <w:gridSpan w:val="3"/>
            <w:shd w:val="clear" w:color="auto" w:fill="auto"/>
            <w:vAlign w:val="bottom"/>
          </w:tcPr>
          <w:p w14:paraId="71D4A955" w14:textId="77777777" w:rsidR="006A3667" w:rsidRDefault="006A3667">
            <w:pPr>
              <w:rPr>
                <w:rFonts w:ascii="宋体"/>
                <w:vanish/>
              </w:rPr>
            </w:pPr>
          </w:p>
        </w:tc>
      </w:tr>
      <w:tr w:rsidR="006A3667" w14:paraId="71D4A95B" w14:textId="77777777">
        <w:trPr>
          <w:hidden/>
        </w:trPr>
        <w:tc>
          <w:tcPr>
            <w:tcW w:w="0" w:type="auto"/>
            <w:gridSpan w:val="3"/>
            <w:shd w:val="clear" w:color="auto" w:fill="auto"/>
            <w:vAlign w:val="bottom"/>
          </w:tcPr>
          <w:p w14:paraId="71D4A957" w14:textId="77777777" w:rsidR="006A3667" w:rsidRDefault="006A3667">
            <w:pPr>
              <w:rPr>
                <w:rFonts w:ascii="宋体"/>
                <w:vanish/>
              </w:rPr>
            </w:pPr>
          </w:p>
        </w:tc>
        <w:tc>
          <w:tcPr>
            <w:tcW w:w="0" w:type="auto"/>
            <w:gridSpan w:val="3"/>
            <w:shd w:val="clear" w:color="auto" w:fill="auto"/>
            <w:vAlign w:val="bottom"/>
          </w:tcPr>
          <w:p w14:paraId="71D4A958" w14:textId="77777777" w:rsidR="006A3667" w:rsidRDefault="006A3667">
            <w:pPr>
              <w:rPr>
                <w:rFonts w:ascii="宋体"/>
                <w:vanish/>
              </w:rPr>
            </w:pPr>
          </w:p>
        </w:tc>
        <w:tc>
          <w:tcPr>
            <w:tcW w:w="0" w:type="auto"/>
            <w:gridSpan w:val="3"/>
            <w:shd w:val="clear" w:color="auto" w:fill="auto"/>
            <w:vAlign w:val="bottom"/>
          </w:tcPr>
          <w:p w14:paraId="71D4A959" w14:textId="77777777" w:rsidR="006A3667" w:rsidRDefault="006A3667">
            <w:pPr>
              <w:rPr>
                <w:rFonts w:ascii="宋体"/>
                <w:vanish/>
              </w:rPr>
            </w:pPr>
          </w:p>
        </w:tc>
        <w:tc>
          <w:tcPr>
            <w:tcW w:w="0" w:type="auto"/>
            <w:gridSpan w:val="3"/>
            <w:shd w:val="clear" w:color="auto" w:fill="auto"/>
            <w:vAlign w:val="bottom"/>
          </w:tcPr>
          <w:p w14:paraId="71D4A95A" w14:textId="77777777" w:rsidR="006A3667" w:rsidRDefault="006A3667">
            <w:pPr>
              <w:rPr>
                <w:rFonts w:ascii="宋体"/>
                <w:vanish/>
              </w:rPr>
            </w:pPr>
          </w:p>
        </w:tc>
      </w:tr>
      <w:tr w:rsidR="006A3667" w14:paraId="71D4A960" w14:textId="77777777">
        <w:trPr>
          <w:hidden/>
        </w:trPr>
        <w:tc>
          <w:tcPr>
            <w:tcW w:w="0" w:type="auto"/>
            <w:gridSpan w:val="3"/>
            <w:shd w:val="clear" w:color="auto" w:fill="auto"/>
            <w:vAlign w:val="bottom"/>
          </w:tcPr>
          <w:p w14:paraId="71D4A95C" w14:textId="77777777" w:rsidR="006A3667" w:rsidRDefault="006A3667">
            <w:pPr>
              <w:rPr>
                <w:rFonts w:ascii="宋体"/>
                <w:vanish/>
              </w:rPr>
            </w:pPr>
          </w:p>
        </w:tc>
        <w:tc>
          <w:tcPr>
            <w:tcW w:w="0" w:type="auto"/>
            <w:gridSpan w:val="3"/>
            <w:shd w:val="clear" w:color="auto" w:fill="auto"/>
            <w:vAlign w:val="bottom"/>
          </w:tcPr>
          <w:p w14:paraId="71D4A95D" w14:textId="77777777" w:rsidR="006A3667" w:rsidRDefault="006A3667">
            <w:pPr>
              <w:rPr>
                <w:rFonts w:ascii="宋体"/>
                <w:vanish/>
              </w:rPr>
            </w:pPr>
          </w:p>
        </w:tc>
        <w:tc>
          <w:tcPr>
            <w:tcW w:w="0" w:type="auto"/>
            <w:gridSpan w:val="3"/>
            <w:shd w:val="clear" w:color="auto" w:fill="auto"/>
            <w:vAlign w:val="bottom"/>
          </w:tcPr>
          <w:p w14:paraId="71D4A95E" w14:textId="77777777" w:rsidR="006A3667" w:rsidRDefault="006A3667">
            <w:pPr>
              <w:rPr>
                <w:rFonts w:ascii="宋体"/>
                <w:vanish/>
              </w:rPr>
            </w:pPr>
          </w:p>
        </w:tc>
        <w:tc>
          <w:tcPr>
            <w:tcW w:w="0" w:type="auto"/>
            <w:gridSpan w:val="3"/>
            <w:shd w:val="clear" w:color="auto" w:fill="auto"/>
            <w:vAlign w:val="bottom"/>
          </w:tcPr>
          <w:p w14:paraId="71D4A95F" w14:textId="77777777" w:rsidR="006A3667" w:rsidRDefault="006A3667">
            <w:pPr>
              <w:rPr>
                <w:rFonts w:ascii="宋体"/>
                <w:vanish/>
              </w:rPr>
            </w:pPr>
          </w:p>
        </w:tc>
      </w:tr>
      <w:tr w:rsidR="006A3667" w14:paraId="71D4A965" w14:textId="77777777">
        <w:trPr>
          <w:hidden/>
        </w:trPr>
        <w:tc>
          <w:tcPr>
            <w:tcW w:w="0" w:type="auto"/>
            <w:gridSpan w:val="3"/>
            <w:shd w:val="clear" w:color="auto" w:fill="auto"/>
            <w:vAlign w:val="bottom"/>
          </w:tcPr>
          <w:p w14:paraId="71D4A961" w14:textId="77777777" w:rsidR="006A3667" w:rsidRDefault="006A3667">
            <w:pPr>
              <w:rPr>
                <w:rFonts w:ascii="宋体"/>
                <w:vanish/>
              </w:rPr>
            </w:pPr>
          </w:p>
        </w:tc>
        <w:tc>
          <w:tcPr>
            <w:tcW w:w="0" w:type="auto"/>
            <w:gridSpan w:val="3"/>
            <w:shd w:val="clear" w:color="auto" w:fill="auto"/>
            <w:vAlign w:val="bottom"/>
          </w:tcPr>
          <w:p w14:paraId="71D4A962" w14:textId="77777777" w:rsidR="006A3667" w:rsidRDefault="006A3667">
            <w:pPr>
              <w:rPr>
                <w:rFonts w:ascii="宋体"/>
                <w:vanish/>
              </w:rPr>
            </w:pPr>
          </w:p>
        </w:tc>
        <w:tc>
          <w:tcPr>
            <w:tcW w:w="0" w:type="auto"/>
            <w:gridSpan w:val="3"/>
            <w:shd w:val="clear" w:color="auto" w:fill="auto"/>
            <w:vAlign w:val="bottom"/>
          </w:tcPr>
          <w:p w14:paraId="71D4A963" w14:textId="77777777" w:rsidR="006A3667" w:rsidRDefault="006A3667">
            <w:pPr>
              <w:rPr>
                <w:rFonts w:ascii="宋体"/>
                <w:vanish/>
              </w:rPr>
            </w:pPr>
          </w:p>
        </w:tc>
        <w:tc>
          <w:tcPr>
            <w:tcW w:w="0" w:type="auto"/>
            <w:gridSpan w:val="3"/>
            <w:shd w:val="clear" w:color="auto" w:fill="auto"/>
            <w:vAlign w:val="bottom"/>
          </w:tcPr>
          <w:p w14:paraId="71D4A964" w14:textId="77777777" w:rsidR="006A3667" w:rsidRDefault="006A3667">
            <w:pPr>
              <w:rPr>
                <w:rFonts w:ascii="宋体"/>
                <w:vanish/>
              </w:rPr>
            </w:pPr>
          </w:p>
        </w:tc>
      </w:tr>
      <w:tr w:rsidR="006A3667" w14:paraId="71D4A96A" w14:textId="77777777">
        <w:trPr>
          <w:hidden/>
        </w:trPr>
        <w:tc>
          <w:tcPr>
            <w:tcW w:w="0" w:type="auto"/>
            <w:gridSpan w:val="3"/>
            <w:shd w:val="clear" w:color="auto" w:fill="auto"/>
            <w:vAlign w:val="bottom"/>
          </w:tcPr>
          <w:p w14:paraId="71D4A966" w14:textId="77777777" w:rsidR="006A3667" w:rsidRDefault="006A3667">
            <w:pPr>
              <w:rPr>
                <w:rFonts w:ascii="宋体"/>
                <w:vanish/>
              </w:rPr>
            </w:pPr>
          </w:p>
        </w:tc>
        <w:tc>
          <w:tcPr>
            <w:tcW w:w="0" w:type="auto"/>
            <w:gridSpan w:val="3"/>
            <w:shd w:val="clear" w:color="auto" w:fill="auto"/>
            <w:vAlign w:val="bottom"/>
          </w:tcPr>
          <w:p w14:paraId="71D4A967" w14:textId="77777777" w:rsidR="006A3667" w:rsidRDefault="006A3667">
            <w:pPr>
              <w:rPr>
                <w:rFonts w:ascii="宋体"/>
                <w:vanish/>
              </w:rPr>
            </w:pPr>
          </w:p>
        </w:tc>
        <w:tc>
          <w:tcPr>
            <w:tcW w:w="0" w:type="auto"/>
            <w:gridSpan w:val="3"/>
            <w:shd w:val="clear" w:color="auto" w:fill="auto"/>
            <w:vAlign w:val="bottom"/>
          </w:tcPr>
          <w:p w14:paraId="71D4A968" w14:textId="77777777" w:rsidR="006A3667" w:rsidRDefault="006A3667">
            <w:pPr>
              <w:rPr>
                <w:rFonts w:ascii="宋体"/>
                <w:vanish/>
              </w:rPr>
            </w:pPr>
          </w:p>
        </w:tc>
        <w:tc>
          <w:tcPr>
            <w:tcW w:w="0" w:type="auto"/>
            <w:gridSpan w:val="3"/>
            <w:shd w:val="clear" w:color="auto" w:fill="auto"/>
            <w:vAlign w:val="bottom"/>
          </w:tcPr>
          <w:p w14:paraId="71D4A969" w14:textId="77777777" w:rsidR="006A3667" w:rsidRDefault="006A3667">
            <w:pPr>
              <w:rPr>
                <w:rFonts w:ascii="宋体"/>
                <w:vanish/>
              </w:rPr>
            </w:pPr>
          </w:p>
        </w:tc>
      </w:tr>
      <w:tr w:rsidR="006A3667" w14:paraId="71D4A96F" w14:textId="77777777">
        <w:trPr>
          <w:hidden/>
        </w:trPr>
        <w:tc>
          <w:tcPr>
            <w:tcW w:w="0" w:type="auto"/>
            <w:gridSpan w:val="3"/>
            <w:shd w:val="clear" w:color="auto" w:fill="auto"/>
            <w:vAlign w:val="bottom"/>
          </w:tcPr>
          <w:p w14:paraId="71D4A96B" w14:textId="77777777" w:rsidR="006A3667" w:rsidRDefault="006A3667">
            <w:pPr>
              <w:rPr>
                <w:rFonts w:ascii="宋体"/>
                <w:vanish/>
              </w:rPr>
            </w:pPr>
          </w:p>
        </w:tc>
        <w:tc>
          <w:tcPr>
            <w:tcW w:w="0" w:type="auto"/>
            <w:gridSpan w:val="3"/>
            <w:shd w:val="clear" w:color="auto" w:fill="auto"/>
            <w:vAlign w:val="bottom"/>
          </w:tcPr>
          <w:p w14:paraId="71D4A96C" w14:textId="77777777" w:rsidR="006A3667" w:rsidRDefault="006A3667">
            <w:pPr>
              <w:rPr>
                <w:rFonts w:ascii="宋体"/>
                <w:vanish/>
              </w:rPr>
            </w:pPr>
          </w:p>
        </w:tc>
        <w:tc>
          <w:tcPr>
            <w:tcW w:w="0" w:type="auto"/>
            <w:gridSpan w:val="3"/>
            <w:shd w:val="clear" w:color="auto" w:fill="auto"/>
            <w:vAlign w:val="bottom"/>
          </w:tcPr>
          <w:p w14:paraId="71D4A96D" w14:textId="77777777" w:rsidR="006A3667" w:rsidRDefault="006A3667">
            <w:pPr>
              <w:rPr>
                <w:rFonts w:ascii="宋体"/>
                <w:vanish/>
              </w:rPr>
            </w:pPr>
          </w:p>
        </w:tc>
        <w:tc>
          <w:tcPr>
            <w:tcW w:w="0" w:type="auto"/>
            <w:gridSpan w:val="3"/>
            <w:shd w:val="clear" w:color="auto" w:fill="auto"/>
            <w:vAlign w:val="bottom"/>
          </w:tcPr>
          <w:p w14:paraId="71D4A96E" w14:textId="77777777" w:rsidR="006A3667" w:rsidRDefault="006A3667">
            <w:pPr>
              <w:rPr>
                <w:rFonts w:ascii="宋体"/>
                <w:vanish/>
              </w:rPr>
            </w:pPr>
          </w:p>
        </w:tc>
      </w:tr>
      <w:tr w:rsidR="006A3667" w14:paraId="71D4A974" w14:textId="77777777">
        <w:trPr>
          <w:hidden/>
        </w:trPr>
        <w:tc>
          <w:tcPr>
            <w:tcW w:w="0" w:type="auto"/>
            <w:gridSpan w:val="3"/>
            <w:shd w:val="clear" w:color="auto" w:fill="auto"/>
            <w:vAlign w:val="bottom"/>
          </w:tcPr>
          <w:p w14:paraId="71D4A970" w14:textId="77777777" w:rsidR="006A3667" w:rsidRDefault="006A3667">
            <w:pPr>
              <w:rPr>
                <w:rFonts w:ascii="宋体"/>
                <w:vanish/>
              </w:rPr>
            </w:pPr>
          </w:p>
        </w:tc>
        <w:tc>
          <w:tcPr>
            <w:tcW w:w="0" w:type="auto"/>
            <w:gridSpan w:val="3"/>
            <w:shd w:val="clear" w:color="auto" w:fill="auto"/>
            <w:vAlign w:val="bottom"/>
          </w:tcPr>
          <w:p w14:paraId="71D4A971" w14:textId="77777777" w:rsidR="006A3667" w:rsidRDefault="006A3667">
            <w:pPr>
              <w:rPr>
                <w:rFonts w:ascii="宋体"/>
                <w:vanish/>
              </w:rPr>
            </w:pPr>
          </w:p>
        </w:tc>
        <w:tc>
          <w:tcPr>
            <w:tcW w:w="0" w:type="auto"/>
            <w:gridSpan w:val="3"/>
            <w:shd w:val="clear" w:color="auto" w:fill="auto"/>
            <w:vAlign w:val="bottom"/>
          </w:tcPr>
          <w:p w14:paraId="71D4A972" w14:textId="77777777" w:rsidR="006A3667" w:rsidRDefault="006A3667">
            <w:pPr>
              <w:rPr>
                <w:rFonts w:ascii="宋体"/>
                <w:vanish/>
              </w:rPr>
            </w:pPr>
          </w:p>
        </w:tc>
        <w:tc>
          <w:tcPr>
            <w:tcW w:w="0" w:type="auto"/>
            <w:gridSpan w:val="3"/>
            <w:shd w:val="clear" w:color="auto" w:fill="auto"/>
            <w:vAlign w:val="bottom"/>
          </w:tcPr>
          <w:p w14:paraId="71D4A973" w14:textId="77777777" w:rsidR="006A3667" w:rsidRDefault="006A3667">
            <w:pPr>
              <w:rPr>
                <w:rFonts w:ascii="宋体"/>
                <w:vanish/>
              </w:rPr>
            </w:pPr>
          </w:p>
        </w:tc>
      </w:tr>
      <w:tr w:rsidR="006A3667" w14:paraId="71D4A979" w14:textId="77777777">
        <w:trPr>
          <w:hidden/>
        </w:trPr>
        <w:tc>
          <w:tcPr>
            <w:tcW w:w="0" w:type="auto"/>
            <w:gridSpan w:val="3"/>
            <w:shd w:val="clear" w:color="auto" w:fill="auto"/>
            <w:vAlign w:val="bottom"/>
          </w:tcPr>
          <w:p w14:paraId="71D4A975" w14:textId="77777777" w:rsidR="006A3667" w:rsidRDefault="006A3667">
            <w:pPr>
              <w:rPr>
                <w:rFonts w:ascii="宋体"/>
                <w:vanish/>
              </w:rPr>
            </w:pPr>
          </w:p>
        </w:tc>
        <w:tc>
          <w:tcPr>
            <w:tcW w:w="0" w:type="auto"/>
            <w:gridSpan w:val="3"/>
            <w:shd w:val="clear" w:color="auto" w:fill="auto"/>
            <w:vAlign w:val="bottom"/>
          </w:tcPr>
          <w:p w14:paraId="71D4A976" w14:textId="77777777" w:rsidR="006A3667" w:rsidRDefault="006A3667">
            <w:pPr>
              <w:rPr>
                <w:rFonts w:ascii="宋体"/>
                <w:vanish/>
              </w:rPr>
            </w:pPr>
          </w:p>
        </w:tc>
        <w:tc>
          <w:tcPr>
            <w:tcW w:w="0" w:type="auto"/>
            <w:gridSpan w:val="3"/>
            <w:shd w:val="clear" w:color="auto" w:fill="auto"/>
            <w:vAlign w:val="bottom"/>
          </w:tcPr>
          <w:p w14:paraId="71D4A977" w14:textId="77777777" w:rsidR="006A3667" w:rsidRDefault="006A3667">
            <w:pPr>
              <w:rPr>
                <w:rFonts w:ascii="宋体"/>
                <w:vanish/>
              </w:rPr>
            </w:pPr>
          </w:p>
        </w:tc>
        <w:tc>
          <w:tcPr>
            <w:tcW w:w="0" w:type="auto"/>
            <w:gridSpan w:val="3"/>
            <w:shd w:val="clear" w:color="auto" w:fill="auto"/>
            <w:vAlign w:val="bottom"/>
          </w:tcPr>
          <w:p w14:paraId="71D4A978" w14:textId="77777777" w:rsidR="006A3667" w:rsidRDefault="006A3667">
            <w:pPr>
              <w:rPr>
                <w:rFonts w:ascii="宋体"/>
                <w:vanish/>
              </w:rPr>
            </w:pPr>
          </w:p>
        </w:tc>
      </w:tr>
      <w:tr w:rsidR="006A3667" w14:paraId="71D4A97E" w14:textId="77777777">
        <w:trPr>
          <w:hidden/>
        </w:trPr>
        <w:tc>
          <w:tcPr>
            <w:tcW w:w="0" w:type="auto"/>
            <w:gridSpan w:val="3"/>
            <w:shd w:val="clear" w:color="auto" w:fill="auto"/>
            <w:vAlign w:val="bottom"/>
          </w:tcPr>
          <w:p w14:paraId="71D4A97A" w14:textId="77777777" w:rsidR="006A3667" w:rsidRDefault="006A3667">
            <w:pPr>
              <w:rPr>
                <w:rFonts w:ascii="宋体"/>
                <w:vanish/>
              </w:rPr>
            </w:pPr>
          </w:p>
        </w:tc>
        <w:tc>
          <w:tcPr>
            <w:tcW w:w="0" w:type="auto"/>
            <w:gridSpan w:val="3"/>
            <w:shd w:val="clear" w:color="auto" w:fill="auto"/>
            <w:vAlign w:val="bottom"/>
          </w:tcPr>
          <w:p w14:paraId="71D4A97B" w14:textId="77777777" w:rsidR="006A3667" w:rsidRDefault="006A3667">
            <w:pPr>
              <w:rPr>
                <w:rFonts w:ascii="宋体"/>
                <w:vanish/>
              </w:rPr>
            </w:pPr>
          </w:p>
        </w:tc>
        <w:tc>
          <w:tcPr>
            <w:tcW w:w="0" w:type="auto"/>
            <w:gridSpan w:val="3"/>
            <w:shd w:val="clear" w:color="auto" w:fill="auto"/>
            <w:vAlign w:val="bottom"/>
          </w:tcPr>
          <w:p w14:paraId="71D4A97C" w14:textId="77777777" w:rsidR="006A3667" w:rsidRDefault="006A3667">
            <w:pPr>
              <w:rPr>
                <w:rFonts w:ascii="宋体"/>
                <w:vanish/>
              </w:rPr>
            </w:pPr>
          </w:p>
        </w:tc>
        <w:tc>
          <w:tcPr>
            <w:tcW w:w="0" w:type="auto"/>
            <w:gridSpan w:val="3"/>
            <w:shd w:val="clear" w:color="auto" w:fill="auto"/>
            <w:vAlign w:val="bottom"/>
          </w:tcPr>
          <w:p w14:paraId="71D4A97D" w14:textId="77777777" w:rsidR="006A3667" w:rsidRDefault="006A3667">
            <w:pPr>
              <w:rPr>
                <w:rFonts w:ascii="宋体"/>
                <w:vanish/>
              </w:rPr>
            </w:pPr>
          </w:p>
        </w:tc>
      </w:tr>
      <w:tr w:rsidR="006A3667" w14:paraId="71D4A983" w14:textId="77777777">
        <w:trPr>
          <w:hidden/>
        </w:trPr>
        <w:tc>
          <w:tcPr>
            <w:tcW w:w="0" w:type="auto"/>
            <w:gridSpan w:val="3"/>
            <w:shd w:val="clear" w:color="auto" w:fill="auto"/>
            <w:vAlign w:val="bottom"/>
          </w:tcPr>
          <w:p w14:paraId="71D4A97F" w14:textId="77777777" w:rsidR="006A3667" w:rsidRDefault="006A3667">
            <w:pPr>
              <w:rPr>
                <w:rFonts w:ascii="宋体"/>
                <w:vanish/>
              </w:rPr>
            </w:pPr>
          </w:p>
        </w:tc>
        <w:tc>
          <w:tcPr>
            <w:tcW w:w="0" w:type="auto"/>
            <w:gridSpan w:val="3"/>
            <w:shd w:val="clear" w:color="auto" w:fill="auto"/>
            <w:vAlign w:val="bottom"/>
          </w:tcPr>
          <w:p w14:paraId="71D4A980" w14:textId="77777777" w:rsidR="006A3667" w:rsidRDefault="006A3667">
            <w:pPr>
              <w:rPr>
                <w:rFonts w:ascii="宋体"/>
                <w:vanish/>
              </w:rPr>
            </w:pPr>
          </w:p>
        </w:tc>
        <w:tc>
          <w:tcPr>
            <w:tcW w:w="0" w:type="auto"/>
            <w:gridSpan w:val="3"/>
            <w:shd w:val="clear" w:color="auto" w:fill="auto"/>
            <w:vAlign w:val="bottom"/>
          </w:tcPr>
          <w:p w14:paraId="71D4A981" w14:textId="77777777" w:rsidR="006A3667" w:rsidRDefault="006A3667">
            <w:pPr>
              <w:rPr>
                <w:rFonts w:ascii="宋体"/>
                <w:vanish/>
              </w:rPr>
            </w:pPr>
          </w:p>
        </w:tc>
        <w:tc>
          <w:tcPr>
            <w:tcW w:w="0" w:type="auto"/>
            <w:gridSpan w:val="3"/>
            <w:shd w:val="clear" w:color="auto" w:fill="auto"/>
            <w:vAlign w:val="bottom"/>
          </w:tcPr>
          <w:p w14:paraId="71D4A982" w14:textId="77777777" w:rsidR="006A3667" w:rsidRDefault="006A3667">
            <w:pPr>
              <w:rPr>
                <w:rFonts w:ascii="宋体"/>
                <w:vanish/>
              </w:rPr>
            </w:pPr>
          </w:p>
        </w:tc>
      </w:tr>
      <w:tr w:rsidR="006A3667" w14:paraId="71D4A988" w14:textId="77777777">
        <w:trPr>
          <w:hidden/>
        </w:trPr>
        <w:tc>
          <w:tcPr>
            <w:tcW w:w="0" w:type="auto"/>
            <w:gridSpan w:val="3"/>
            <w:shd w:val="clear" w:color="auto" w:fill="auto"/>
            <w:vAlign w:val="bottom"/>
          </w:tcPr>
          <w:p w14:paraId="71D4A984" w14:textId="77777777" w:rsidR="006A3667" w:rsidRDefault="006A3667">
            <w:pPr>
              <w:rPr>
                <w:rFonts w:ascii="宋体"/>
                <w:vanish/>
              </w:rPr>
            </w:pPr>
          </w:p>
        </w:tc>
        <w:tc>
          <w:tcPr>
            <w:tcW w:w="0" w:type="auto"/>
            <w:gridSpan w:val="3"/>
            <w:shd w:val="clear" w:color="auto" w:fill="auto"/>
            <w:vAlign w:val="bottom"/>
          </w:tcPr>
          <w:p w14:paraId="71D4A985" w14:textId="77777777" w:rsidR="006A3667" w:rsidRDefault="006A3667">
            <w:pPr>
              <w:rPr>
                <w:rFonts w:ascii="宋体"/>
                <w:vanish/>
              </w:rPr>
            </w:pPr>
          </w:p>
        </w:tc>
        <w:tc>
          <w:tcPr>
            <w:tcW w:w="0" w:type="auto"/>
            <w:gridSpan w:val="3"/>
            <w:shd w:val="clear" w:color="auto" w:fill="auto"/>
            <w:vAlign w:val="bottom"/>
          </w:tcPr>
          <w:p w14:paraId="71D4A986" w14:textId="77777777" w:rsidR="006A3667" w:rsidRDefault="006A3667">
            <w:pPr>
              <w:rPr>
                <w:rFonts w:ascii="宋体"/>
                <w:vanish/>
              </w:rPr>
            </w:pPr>
          </w:p>
        </w:tc>
        <w:tc>
          <w:tcPr>
            <w:tcW w:w="0" w:type="auto"/>
            <w:gridSpan w:val="3"/>
            <w:shd w:val="clear" w:color="auto" w:fill="auto"/>
            <w:vAlign w:val="bottom"/>
          </w:tcPr>
          <w:p w14:paraId="71D4A987" w14:textId="77777777" w:rsidR="006A3667" w:rsidRDefault="006A3667">
            <w:pPr>
              <w:rPr>
                <w:rFonts w:ascii="宋体"/>
                <w:vanish/>
              </w:rPr>
            </w:pPr>
          </w:p>
        </w:tc>
      </w:tr>
      <w:tr w:rsidR="006A3667" w14:paraId="71D4A98D" w14:textId="77777777">
        <w:trPr>
          <w:hidden/>
        </w:trPr>
        <w:tc>
          <w:tcPr>
            <w:tcW w:w="0" w:type="auto"/>
            <w:gridSpan w:val="3"/>
            <w:shd w:val="clear" w:color="auto" w:fill="auto"/>
            <w:vAlign w:val="bottom"/>
          </w:tcPr>
          <w:p w14:paraId="71D4A989" w14:textId="77777777" w:rsidR="006A3667" w:rsidRDefault="006A3667">
            <w:pPr>
              <w:rPr>
                <w:rFonts w:ascii="宋体"/>
                <w:vanish/>
              </w:rPr>
            </w:pPr>
          </w:p>
        </w:tc>
        <w:tc>
          <w:tcPr>
            <w:tcW w:w="0" w:type="auto"/>
            <w:gridSpan w:val="3"/>
            <w:shd w:val="clear" w:color="auto" w:fill="auto"/>
            <w:vAlign w:val="bottom"/>
          </w:tcPr>
          <w:p w14:paraId="71D4A98A" w14:textId="77777777" w:rsidR="006A3667" w:rsidRDefault="006A3667">
            <w:pPr>
              <w:rPr>
                <w:rFonts w:ascii="宋体"/>
                <w:vanish/>
              </w:rPr>
            </w:pPr>
          </w:p>
        </w:tc>
        <w:tc>
          <w:tcPr>
            <w:tcW w:w="0" w:type="auto"/>
            <w:gridSpan w:val="3"/>
            <w:shd w:val="clear" w:color="auto" w:fill="auto"/>
            <w:vAlign w:val="bottom"/>
          </w:tcPr>
          <w:p w14:paraId="71D4A98B" w14:textId="77777777" w:rsidR="006A3667" w:rsidRDefault="006A3667">
            <w:pPr>
              <w:rPr>
                <w:rFonts w:ascii="宋体"/>
                <w:vanish/>
              </w:rPr>
            </w:pPr>
          </w:p>
        </w:tc>
        <w:tc>
          <w:tcPr>
            <w:tcW w:w="0" w:type="auto"/>
            <w:gridSpan w:val="3"/>
            <w:shd w:val="clear" w:color="auto" w:fill="auto"/>
            <w:vAlign w:val="bottom"/>
          </w:tcPr>
          <w:p w14:paraId="71D4A98C" w14:textId="77777777" w:rsidR="006A3667" w:rsidRDefault="006A3667">
            <w:pPr>
              <w:rPr>
                <w:rFonts w:ascii="宋体"/>
                <w:vanish/>
              </w:rPr>
            </w:pPr>
          </w:p>
        </w:tc>
      </w:tr>
      <w:tr w:rsidR="006A3667" w14:paraId="71D4A992" w14:textId="77777777">
        <w:trPr>
          <w:hidden/>
        </w:trPr>
        <w:tc>
          <w:tcPr>
            <w:tcW w:w="0" w:type="auto"/>
            <w:gridSpan w:val="3"/>
            <w:shd w:val="clear" w:color="auto" w:fill="auto"/>
            <w:vAlign w:val="bottom"/>
          </w:tcPr>
          <w:p w14:paraId="71D4A98E" w14:textId="77777777" w:rsidR="006A3667" w:rsidRDefault="006A3667">
            <w:pPr>
              <w:rPr>
                <w:rFonts w:ascii="宋体"/>
                <w:vanish/>
              </w:rPr>
            </w:pPr>
          </w:p>
        </w:tc>
        <w:tc>
          <w:tcPr>
            <w:tcW w:w="0" w:type="auto"/>
            <w:gridSpan w:val="3"/>
            <w:shd w:val="clear" w:color="auto" w:fill="auto"/>
            <w:vAlign w:val="bottom"/>
          </w:tcPr>
          <w:p w14:paraId="71D4A98F" w14:textId="77777777" w:rsidR="006A3667" w:rsidRDefault="006A3667">
            <w:pPr>
              <w:rPr>
                <w:rFonts w:ascii="宋体"/>
                <w:vanish/>
              </w:rPr>
            </w:pPr>
          </w:p>
        </w:tc>
        <w:tc>
          <w:tcPr>
            <w:tcW w:w="0" w:type="auto"/>
            <w:gridSpan w:val="3"/>
            <w:shd w:val="clear" w:color="auto" w:fill="auto"/>
            <w:vAlign w:val="bottom"/>
          </w:tcPr>
          <w:p w14:paraId="71D4A990" w14:textId="77777777" w:rsidR="006A3667" w:rsidRDefault="006A3667">
            <w:pPr>
              <w:rPr>
                <w:rFonts w:ascii="宋体"/>
                <w:vanish/>
              </w:rPr>
            </w:pPr>
          </w:p>
        </w:tc>
        <w:tc>
          <w:tcPr>
            <w:tcW w:w="0" w:type="auto"/>
            <w:gridSpan w:val="3"/>
            <w:shd w:val="clear" w:color="auto" w:fill="auto"/>
            <w:vAlign w:val="bottom"/>
          </w:tcPr>
          <w:p w14:paraId="71D4A991" w14:textId="77777777" w:rsidR="006A3667" w:rsidRDefault="006A3667">
            <w:pPr>
              <w:rPr>
                <w:rFonts w:ascii="宋体"/>
                <w:vanish/>
              </w:rPr>
            </w:pPr>
          </w:p>
        </w:tc>
      </w:tr>
      <w:tr w:rsidR="006A3667" w14:paraId="71D4A997" w14:textId="77777777">
        <w:trPr>
          <w:hidden/>
        </w:trPr>
        <w:tc>
          <w:tcPr>
            <w:tcW w:w="0" w:type="auto"/>
            <w:gridSpan w:val="3"/>
            <w:shd w:val="clear" w:color="auto" w:fill="auto"/>
            <w:vAlign w:val="bottom"/>
          </w:tcPr>
          <w:p w14:paraId="71D4A993" w14:textId="77777777" w:rsidR="006A3667" w:rsidRDefault="006A3667">
            <w:pPr>
              <w:rPr>
                <w:rFonts w:ascii="宋体"/>
                <w:vanish/>
              </w:rPr>
            </w:pPr>
          </w:p>
        </w:tc>
        <w:tc>
          <w:tcPr>
            <w:tcW w:w="0" w:type="auto"/>
            <w:gridSpan w:val="3"/>
            <w:shd w:val="clear" w:color="auto" w:fill="auto"/>
            <w:vAlign w:val="bottom"/>
          </w:tcPr>
          <w:p w14:paraId="71D4A994" w14:textId="77777777" w:rsidR="006A3667" w:rsidRDefault="006A3667">
            <w:pPr>
              <w:rPr>
                <w:rFonts w:ascii="宋体"/>
                <w:vanish/>
              </w:rPr>
            </w:pPr>
          </w:p>
        </w:tc>
        <w:tc>
          <w:tcPr>
            <w:tcW w:w="0" w:type="auto"/>
            <w:gridSpan w:val="3"/>
            <w:shd w:val="clear" w:color="auto" w:fill="auto"/>
            <w:vAlign w:val="bottom"/>
          </w:tcPr>
          <w:p w14:paraId="71D4A995" w14:textId="77777777" w:rsidR="006A3667" w:rsidRDefault="006A3667">
            <w:pPr>
              <w:rPr>
                <w:rFonts w:ascii="宋体"/>
                <w:vanish/>
              </w:rPr>
            </w:pPr>
          </w:p>
        </w:tc>
        <w:tc>
          <w:tcPr>
            <w:tcW w:w="0" w:type="auto"/>
            <w:gridSpan w:val="3"/>
            <w:shd w:val="clear" w:color="auto" w:fill="auto"/>
            <w:vAlign w:val="bottom"/>
          </w:tcPr>
          <w:p w14:paraId="71D4A996" w14:textId="77777777" w:rsidR="006A3667" w:rsidRDefault="006A3667">
            <w:pPr>
              <w:rPr>
                <w:rFonts w:ascii="宋体"/>
                <w:vanish/>
              </w:rPr>
            </w:pPr>
          </w:p>
        </w:tc>
      </w:tr>
      <w:tr w:rsidR="006A3667" w14:paraId="71D4A99C" w14:textId="77777777">
        <w:trPr>
          <w:hidden/>
        </w:trPr>
        <w:tc>
          <w:tcPr>
            <w:tcW w:w="0" w:type="auto"/>
            <w:gridSpan w:val="3"/>
            <w:shd w:val="clear" w:color="auto" w:fill="auto"/>
            <w:vAlign w:val="bottom"/>
          </w:tcPr>
          <w:p w14:paraId="71D4A998" w14:textId="77777777" w:rsidR="006A3667" w:rsidRDefault="006A3667">
            <w:pPr>
              <w:rPr>
                <w:rFonts w:ascii="宋体"/>
                <w:vanish/>
              </w:rPr>
            </w:pPr>
          </w:p>
        </w:tc>
        <w:tc>
          <w:tcPr>
            <w:tcW w:w="0" w:type="auto"/>
            <w:gridSpan w:val="3"/>
            <w:shd w:val="clear" w:color="auto" w:fill="auto"/>
            <w:vAlign w:val="bottom"/>
          </w:tcPr>
          <w:p w14:paraId="71D4A999" w14:textId="77777777" w:rsidR="006A3667" w:rsidRDefault="006A3667">
            <w:pPr>
              <w:rPr>
                <w:rFonts w:ascii="宋体"/>
                <w:vanish/>
              </w:rPr>
            </w:pPr>
          </w:p>
        </w:tc>
        <w:tc>
          <w:tcPr>
            <w:tcW w:w="0" w:type="auto"/>
            <w:gridSpan w:val="3"/>
            <w:shd w:val="clear" w:color="auto" w:fill="auto"/>
            <w:vAlign w:val="bottom"/>
          </w:tcPr>
          <w:p w14:paraId="71D4A99A" w14:textId="77777777" w:rsidR="006A3667" w:rsidRDefault="006A3667">
            <w:pPr>
              <w:rPr>
                <w:rFonts w:ascii="宋体"/>
                <w:vanish/>
              </w:rPr>
            </w:pPr>
          </w:p>
        </w:tc>
        <w:tc>
          <w:tcPr>
            <w:tcW w:w="0" w:type="auto"/>
            <w:gridSpan w:val="3"/>
            <w:shd w:val="clear" w:color="auto" w:fill="auto"/>
            <w:vAlign w:val="bottom"/>
          </w:tcPr>
          <w:p w14:paraId="71D4A99B" w14:textId="77777777" w:rsidR="006A3667" w:rsidRDefault="006A3667">
            <w:pPr>
              <w:rPr>
                <w:rFonts w:ascii="宋体"/>
                <w:vanish/>
              </w:rPr>
            </w:pPr>
          </w:p>
        </w:tc>
      </w:tr>
      <w:tr w:rsidR="006A3667" w14:paraId="71D4A9A1" w14:textId="77777777">
        <w:trPr>
          <w:hidden/>
        </w:trPr>
        <w:tc>
          <w:tcPr>
            <w:tcW w:w="0" w:type="auto"/>
            <w:gridSpan w:val="3"/>
            <w:shd w:val="clear" w:color="auto" w:fill="auto"/>
            <w:vAlign w:val="bottom"/>
          </w:tcPr>
          <w:p w14:paraId="71D4A99D" w14:textId="77777777" w:rsidR="006A3667" w:rsidRDefault="006A3667">
            <w:pPr>
              <w:rPr>
                <w:rFonts w:ascii="宋体"/>
                <w:vanish/>
              </w:rPr>
            </w:pPr>
          </w:p>
        </w:tc>
        <w:tc>
          <w:tcPr>
            <w:tcW w:w="0" w:type="auto"/>
            <w:gridSpan w:val="3"/>
            <w:shd w:val="clear" w:color="auto" w:fill="auto"/>
            <w:vAlign w:val="bottom"/>
          </w:tcPr>
          <w:p w14:paraId="71D4A99E" w14:textId="77777777" w:rsidR="006A3667" w:rsidRDefault="006A3667">
            <w:pPr>
              <w:rPr>
                <w:rFonts w:ascii="宋体"/>
                <w:vanish/>
              </w:rPr>
            </w:pPr>
          </w:p>
        </w:tc>
        <w:tc>
          <w:tcPr>
            <w:tcW w:w="0" w:type="auto"/>
            <w:gridSpan w:val="3"/>
            <w:shd w:val="clear" w:color="auto" w:fill="auto"/>
            <w:vAlign w:val="bottom"/>
          </w:tcPr>
          <w:p w14:paraId="71D4A99F" w14:textId="77777777" w:rsidR="006A3667" w:rsidRDefault="006A3667">
            <w:pPr>
              <w:rPr>
                <w:rFonts w:ascii="宋体"/>
                <w:vanish/>
              </w:rPr>
            </w:pPr>
          </w:p>
        </w:tc>
        <w:tc>
          <w:tcPr>
            <w:tcW w:w="0" w:type="auto"/>
            <w:gridSpan w:val="3"/>
            <w:shd w:val="clear" w:color="auto" w:fill="auto"/>
            <w:vAlign w:val="bottom"/>
          </w:tcPr>
          <w:p w14:paraId="71D4A9A0" w14:textId="77777777" w:rsidR="006A3667" w:rsidRDefault="006A3667">
            <w:pPr>
              <w:rPr>
                <w:rFonts w:ascii="宋体"/>
                <w:vanish/>
              </w:rPr>
            </w:pPr>
          </w:p>
        </w:tc>
      </w:tr>
      <w:tr w:rsidR="006A3667" w14:paraId="71D4A9A6" w14:textId="77777777">
        <w:trPr>
          <w:hidden/>
        </w:trPr>
        <w:tc>
          <w:tcPr>
            <w:tcW w:w="0" w:type="auto"/>
            <w:gridSpan w:val="3"/>
            <w:shd w:val="clear" w:color="auto" w:fill="auto"/>
            <w:vAlign w:val="bottom"/>
          </w:tcPr>
          <w:p w14:paraId="71D4A9A2" w14:textId="77777777" w:rsidR="006A3667" w:rsidRDefault="006A3667">
            <w:pPr>
              <w:rPr>
                <w:rFonts w:ascii="宋体"/>
                <w:vanish/>
              </w:rPr>
            </w:pPr>
          </w:p>
        </w:tc>
        <w:tc>
          <w:tcPr>
            <w:tcW w:w="0" w:type="auto"/>
            <w:gridSpan w:val="3"/>
            <w:shd w:val="clear" w:color="auto" w:fill="auto"/>
            <w:vAlign w:val="bottom"/>
          </w:tcPr>
          <w:p w14:paraId="71D4A9A3" w14:textId="77777777" w:rsidR="006A3667" w:rsidRDefault="006A3667">
            <w:pPr>
              <w:rPr>
                <w:rFonts w:ascii="宋体"/>
                <w:vanish/>
              </w:rPr>
            </w:pPr>
          </w:p>
        </w:tc>
        <w:tc>
          <w:tcPr>
            <w:tcW w:w="0" w:type="auto"/>
            <w:gridSpan w:val="3"/>
            <w:shd w:val="clear" w:color="auto" w:fill="auto"/>
            <w:vAlign w:val="bottom"/>
          </w:tcPr>
          <w:p w14:paraId="71D4A9A4" w14:textId="77777777" w:rsidR="006A3667" w:rsidRDefault="006A3667">
            <w:pPr>
              <w:rPr>
                <w:rFonts w:ascii="宋体"/>
                <w:vanish/>
              </w:rPr>
            </w:pPr>
          </w:p>
        </w:tc>
        <w:tc>
          <w:tcPr>
            <w:tcW w:w="0" w:type="auto"/>
            <w:gridSpan w:val="3"/>
            <w:shd w:val="clear" w:color="auto" w:fill="auto"/>
            <w:vAlign w:val="bottom"/>
          </w:tcPr>
          <w:p w14:paraId="71D4A9A5" w14:textId="77777777" w:rsidR="006A3667" w:rsidRDefault="006A3667">
            <w:pPr>
              <w:rPr>
                <w:rFonts w:ascii="宋体"/>
                <w:vanish/>
              </w:rPr>
            </w:pPr>
          </w:p>
        </w:tc>
      </w:tr>
      <w:tr w:rsidR="006A3667" w14:paraId="71D4A9AB" w14:textId="77777777">
        <w:trPr>
          <w:hidden/>
        </w:trPr>
        <w:tc>
          <w:tcPr>
            <w:tcW w:w="0" w:type="auto"/>
            <w:gridSpan w:val="3"/>
            <w:shd w:val="clear" w:color="auto" w:fill="auto"/>
            <w:vAlign w:val="bottom"/>
          </w:tcPr>
          <w:p w14:paraId="71D4A9A7" w14:textId="77777777" w:rsidR="006A3667" w:rsidRDefault="006A3667">
            <w:pPr>
              <w:rPr>
                <w:rFonts w:ascii="宋体"/>
                <w:vanish/>
              </w:rPr>
            </w:pPr>
          </w:p>
        </w:tc>
        <w:tc>
          <w:tcPr>
            <w:tcW w:w="0" w:type="auto"/>
            <w:gridSpan w:val="3"/>
            <w:shd w:val="clear" w:color="auto" w:fill="auto"/>
            <w:vAlign w:val="bottom"/>
          </w:tcPr>
          <w:p w14:paraId="71D4A9A8" w14:textId="77777777" w:rsidR="006A3667" w:rsidRDefault="006A3667">
            <w:pPr>
              <w:rPr>
                <w:rFonts w:ascii="宋体"/>
                <w:vanish/>
              </w:rPr>
            </w:pPr>
          </w:p>
        </w:tc>
        <w:tc>
          <w:tcPr>
            <w:tcW w:w="0" w:type="auto"/>
            <w:gridSpan w:val="3"/>
            <w:shd w:val="clear" w:color="auto" w:fill="auto"/>
            <w:vAlign w:val="bottom"/>
          </w:tcPr>
          <w:p w14:paraId="71D4A9A9" w14:textId="77777777" w:rsidR="006A3667" w:rsidRDefault="006A3667">
            <w:pPr>
              <w:rPr>
                <w:rFonts w:ascii="宋体"/>
                <w:vanish/>
              </w:rPr>
            </w:pPr>
          </w:p>
        </w:tc>
        <w:tc>
          <w:tcPr>
            <w:tcW w:w="0" w:type="auto"/>
            <w:gridSpan w:val="3"/>
            <w:shd w:val="clear" w:color="auto" w:fill="auto"/>
            <w:vAlign w:val="bottom"/>
          </w:tcPr>
          <w:p w14:paraId="71D4A9AA" w14:textId="77777777" w:rsidR="006A3667" w:rsidRDefault="006A3667">
            <w:pPr>
              <w:rPr>
                <w:rFonts w:ascii="宋体"/>
                <w:vanish/>
              </w:rPr>
            </w:pPr>
          </w:p>
        </w:tc>
      </w:tr>
      <w:tr w:rsidR="006A3667" w14:paraId="71D4A9B0" w14:textId="77777777">
        <w:trPr>
          <w:hidden/>
        </w:trPr>
        <w:tc>
          <w:tcPr>
            <w:tcW w:w="0" w:type="auto"/>
            <w:gridSpan w:val="3"/>
            <w:shd w:val="clear" w:color="auto" w:fill="auto"/>
            <w:vAlign w:val="bottom"/>
          </w:tcPr>
          <w:p w14:paraId="71D4A9AC" w14:textId="77777777" w:rsidR="006A3667" w:rsidRDefault="006A3667">
            <w:pPr>
              <w:rPr>
                <w:rFonts w:ascii="宋体"/>
                <w:vanish/>
              </w:rPr>
            </w:pPr>
          </w:p>
        </w:tc>
        <w:tc>
          <w:tcPr>
            <w:tcW w:w="0" w:type="auto"/>
            <w:gridSpan w:val="3"/>
            <w:shd w:val="clear" w:color="auto" w:fill="auto"/>
            <w:vAlign w:val="bottom"/>
          </w:tcPr>
          <w:p w14:paraId="71D4A9AD" w14:textId="77777777" w:rsidR="006A3667" w:rsidRDefault="006A3667">
            <w:pPr>
              <w:rPr>
                <w:rFonts w:ascii="宋体"/>
                <w:vanish/>
              </w:rPr>
            </w:pPr>
          </w:p>
        </w:tc>
        <w:tc>
          <w:tcPr>
            <w:tcW w:w="0" w:type="auto"/>
            <w:gridSpan w:val="3"/>
            <w:shd w:val="clear" w:color="auto" w:fill="auto"/>
            <w:vAlign w:val="bottom"/>
          </w:tcPr>
          <w:p w14:paraId="71D4A9AE" w14:textId="77777777" w:rsidR="006A3667" w:rsidRDefault="006A3667">
            <w:pPr>
              <w:rPr>
                <w:rFonts w:ascii="宋体"/>
                <w:vanish/>
              </w:rPr>
            </w:pPr>
          </w:p>
        </w:tc>
        <w:tc>
          <w:tcPr>
            <w:tcW w:w="0" w:type="auto"/>
            <w:gridSpan w:val="3"/>
            <w:shd w:val="clear" w:color="auto" w:fill="auto"/>
            <w:vAlign w:val="bottom"/>
          </w:tcPr>
          <w:p w14:paraId="71D4A9AF" w14:textId="77777777" w:rsidR="006A3667" w:rsidRDefault="006A3667">
            <w:pPr>
              <w:rPr>
                <w:rFonts w:ascii="宋体"/>
                <w:vanish/>
              </w:rPr>
            </w:pPr>
          </w:p>
        </w:tc>
      </w:tr>
      <w:tr w:rsidR="006A3667" w14:paraId="71D4A9B5" w14:textId="77777777">
        <w:trPr>
          <w:hidden/>
        </w:trPr>
        <w:tc>
          <w:tcPr>
            <w:tcW w:w="0" w:type="auto"/>
            <w:gridSpan w:val="3"/>
            <w:shd w:val="clear" w:color="auto" w:fill="auto"/>
            <w:vAlign w:val="bottom"/>
          </w:tcPr>
          <w:p w14:paraId="71D4A9B1" w14:textId="77777777" w:rsidR="006A3667" w:rsidRDefault="006A3667">
            <w:pPr>
              <w:rPr>
                <w:rFonts w:ascii="宋体"/>
                <w:vanish/>
              </w:rPr>
            </w:pPr>
          </w:p>
        </w:tc>
        <w:tc>
          <w:tcPr>
            <w:tcW w:w="0" w:type="auto"/>
            <w:gridSpan w:val="3"/>
            <w:shd w:val="clear" w:color="auto" w:fill="auto"/>
            <w:vAlign w:val="bottom"/>
          </w:tcPr>
          <w:p w14:paraId="71D4A9B2" w14:textId="77777777" w:rsidR="006A3667" w:rsidRDefault="006A3667">
            <w:pPr>
              <w:rPr>
                <w:rFonts w:ascii="宋体"/>
                <w:vanish/>
              </w:rPr>
            </w:pPr>
          </w:p>
        </w:tc>
        <w:tc>
          <w:tcPr>
            <w:tcW w:w="0" w:type="auto"/>
            <w:gridSpan w:val="3"/>
            <w:shd w:val="clear" w:color="auto" w:fill="auto"/>
            <w:vAlign w:val="bottom"/>
          </w:tcPr>
          <w:p w14:paraId="71D4A9B3" w14:textId="77777777" w:rsidR="006A3667" w:rsidRDefault="006A3667">
            <w:pPr>
              <w:rPr>
                <w:rFonts w:ascii="宋体"/>
                <w:vanish/>
              </w:rPr>
            </w:pPr>
          </w:p>
        </w:tc>
        <w:tc>
          <w:tcPr>
            <w:tcW w:w="0" w:type="auto"/>
            <w:gridSpan w:val="3"/>
            <w:shd w:val="clear" w:color="auto" w:fill="auto"/>
            <w:vAlign w:val="bottom"/>
          </w:tcPr>
          <w:p w14:paraId="71D4A9B4" w14:textId="77777777" w:rsidR="006A3667" w:rsidRDefault="006A3667">
            <w:pPr>
              <w:rPr>
                <w:rFonts w:ascii="宋体"/>
                <w:vanish/>
              </w:rPr>
            </w:pPr>
          </w:p>
        </w:tc>
      </w:tr>
      <w:tr w:rsidR="006A3667" w14:paraId="71D4A9BA" w14:textId="77777777">
        <w:trPr>
          <w:hidden/>
        </w:trPr>
        <w:tc>
          <w:tcPr>
            <w:tcW w:w="0" w:type="auto"/>
            <w:gridSpan w:val="3"/>
            <w:shd w:val="clear" w:color="auto" w:fill="auto"/>
            <w:vAlign w:val="bottom"/>
          </w:tcPr>
          <w:p w14:paraId="71D4A9B6" w14:textId="77777777" w:rsidR="006A3667" w:rsidRDefault="006A3667">
            <w:pPr>
              <w:rPr>
                <w:rFonts w:ascii="宋体"/>
                <w:vanish/>
              </w:rPr>
            </w:pPr>
          </w:p>
        </w:tc>
        <w:tc>
          <w:tcPr>
            <w:tcW w:w="0" w:type="auto"/>
            <w:gridSpan w:val="3"/>
            <w:shd w:val="clear" w:color="auto" w:fill="auto"/>
            <w:vAlign w:val="bottom"/>
          </w:tcPr>
          <w:p w14:paraId="71D4A9B7" w14:textId="77777777" w:rsidR="006A3667" w:rsidRDefault="006A3667">
            <w:pPr>
              <w:rPr>
                <w:rFonts w:ascii="宋体"/>
                <w:vanish/>
              </w:rPr>
            </w:pPr>
          </w:p>
        </w:tc>
        <w:tc>
          <w:tcPr>
            <w:tcW w:w="0" w:type="auto"/>
            <w:gridSpan w:val="3"/>
            <w:shd w:val="clear" w:color="auto" w:fill="auto"/>
            <w:vAlign w:val="bottom"/>
          </w:tcPr>
          <w:p w14:paraId="71D4A9B8" w14:textId="77777777" w:rsidR="006A3667" w:rsidRDefault="006A3667">
            <w:pPr>
              <w:rPr>
                <w:rFonts w:ascii="宋体"/>
                <w:vanish/>
              </w:rPr>
            </w:pPr>
          </w:p>
        </w:tc>
        <w:tc>
          <w:tcPr>
            <w:tcW w:w="0" w:type="auto"/>
            <w:gridSpan w:val="3"/>
            <w:shd w:val="clear" w:color="auto" w:fill="auto"/>
            <w:vAlign w:val="bottom"/>
          </w:tcPr>
          <w:p w14:paraId="71D4A9B9" w14:textId="77777777" w:rsidR="006A3667" w:rsidRDefault="006A3667">
            <w:pPr>
              <w:rPr>
                <w:rFonts w:ascii="宋体"/>
                <w:vanish/>
              </w:rPr>
            </w:pPr>
          </w:p>
        </w:tc>
      </w:tr>
      <w:tr w:rsidR="006A3667" w14:paraId="71D4A9BF" w14:textId="77777777">
        <w:trPr>
          <w:hidden/>
        </w:trPr>
        <w:tc>
          <w:tcPr>
            <w:tcW w:w="0" w:type="auto"/>
            <w:gridSpan w:val="3"/>
            <w:shd w:val="clear" w:color="auto" w:fill="auto"/>
            <w:vAlign w:val="bottom"/>
          </w:tcPr>
          <w:p w14:paraId="71D4A9BB" w14:textId="77777777" w:rsidR="006A3667" w:rsidRDefault="006A3667">
            <w:pPr>
              <w:rPr>
                <w:rFonts w:ascii="宋体"/>
                <w:vanish/>
              </w:rPr>
            </w:pPr>
          </w:p>
        </w:tc>
        <w:tc>
          <w:tcPr>
            <w:tcW w:w="0" w:type="auto"/>
            <w:gridSpan w:val="3"/>
            <w:shd w:val="clear" w:color="auto" w:fill="auto"/>
            <w:vAlign w:val="bottom"/>
          </w:tcPr>
          <w:p w14:paraId="71D4A9BC" w14:textId="77777777" w:rsidR="006A3667" w:rsidRDefault="006A3667">
            <w:pPr>
              <w:rPr>
                <w:rFonts w:ascii="宋体"/>
                <w:vanish/>
              </w:rPr>
            </w:pPr>
          </w:p>
        </w:tc>
        <w:tc>
          <w:tcPr>
            <w:tcW w:w="0" w:type="auto"/>
            <w:gridSpan w:val="3"/>
            <w:shd w:val="clear" w:color="auto" w:fill="auto"/>
            <w:vAlign w:val="bottom"/>
          </w:tcPr>
          <w:p w14:paraId="71D4A9BD" w14:textId="77777777" w:rsidR="006A3667" w:rsidRDefault="006A3667">
            <w:pPr>
              <w:rPr>
                <w:rFonts w:ascii="宋体"/>
                <w:vanish/>
              </w:rPr>
            </w:pPr>
          </w:p>
        </w:tc>
        <w:tc>
          <w:tcPr>
            <w:tcW w:w="0" w:type="auto"/>
            <w:gridSpan w:val="3"/>
            <w:shd w:val="clear" w:color="auto" w:fill="auto"/>
            <w:vAlign w:val="bottom"/>
          </w:tcPr>
          <w:p w14:paraId="71D4A9BE" w14:textId="77777777" w:rsidR="006A3667" w:rsidRDefault="006A3667">
            <w:pPr>
              <w:rPr>
                <w:rFonts w:ascii="宋体"/>
                <w:vanish/>
              </w:rPr>
            </w:pPr>
          </w:p>
        </w:tc>
      </w:tr>
    </w:tbl>
    <w:p w14:paraId="71D4A9C0"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6A3667" w14:paraId="71D4A9CA" w14:textId="77777777">
        <w:tc>
          <w:tcPr>
            <w:tcW w:w="50" w:type="pct"/>
            <w:shd w:val="clear" w:color="auto" w:fill="auto"/>
            <w:vAlign w:val="bottom"/>
          </w:tcPr>
          <w:p w14:paraId="71D4A9C1" w14:textId="77777777" w:rsidR="006A3667" w:rsidRDefault="006A3667">
            <w:pPr>
              <w:rPr>
                <w:rFonts w:ascii="宋体"/>
              </w:rPr>
            </w:pPr>
          </w:p>
        </w:tc>
        <w:tc>
          <w:tcPr>
            <w:tcW w:w="1348" w:type="pct"/>
            <w:shd w:val="clear" w:color="auto" w:fill="auto"/>
            <w:vAlign w:val="bottom"/>
          </w:tcPr>
          <w:p w14:paraId="71D4A9C2" w14:textId="77777777" w:rsidR="006A3667" w:rsidRDefault="006A3667">
            <w:pPr>
              <w:rPr>
                <w:rFonts w:ascii="宋体"/>
              </w:rPr>
            </w:pPr>
          </w:p>
        </w:tc>
        <w:tc>
          <w:tcPr>
            <w:tcW w:w="5" w:type="pct"/>
            <w:shd w:val="clear" w:color="auto" w:fill="auto"/>
            <w:vAlign w:val="bottom"/>
          </w:tcPr>
          <w:p w14:paraId="71D4A9C3" w14:textId="77777777" w:rsidR="006A3667" w:rsidRDefault="006A3667">
            <w:pPr>
              <w:rPr>
                <w:rFonts w:ascii="宋体"/>
              </w:rPr>
            </w:pPr>
          </w:p>
        </w:tc>
        <w:tc>
          <w:tcPr>
            <w:tcW w:w="50" w:type="pct"/>
            <w:shd w:val="clear" w:color="auto" w:fill="auto"/>
            <w:vAlign w:val="bottom"/>
          </w:tcPr>
          <w:p w14:paraId="71D4A9C4" w14:textId="77777777" w:rsidR="006A3667" w:rsidRDefault="006A3667">
            <w:pPr>
              <w:rPr>
                <w:rFonts w:ascii="宋体"/>
              </w:rPr>
            </w:pPr>
          </w:p>
        </w:tc>
        <w:tc>
          <w:tcPr>
            <w:tcW w:w="1648" w:type="pct"/>
            <w:shd w:val="clear" w:color="auto" w:fill="auto"/>
            <w:vAlign w:val="bottom"/>
          </w:tcPr>
          <w:p w14:paraId="71D4A9C5" w14:textId="77777777" w:rsidR="006A3667" w:rsidRDefault="006A3667">
            <w:pPr>
              <w:rPr>
                <w:rFonts w:ascii="宋体"/>
              </w:rPr>
            </w:pPr>
          </w:p>
        </w:tc>
        <w:tc>
          <w:tcPr>
            <w:tcW w:w="5" w:type="pct"/>
            <w:shd w:val="clear" w:color="auto" w:fill="auto"/>
            <w:vAlign w:val="bottom"/>
          </w:tcPr>
          <w:p w14:paraId="71D4A9C6" w14:textId="77777777" w:rsidR="006A3667" w:rsidRDefault="006A3667">
            <w:pPr>
              <w:rPr>
                <w:rFonts w:ascii="宋体"/>
              </w:rPr>
            </w:pPr>
          </w:p>
        </w:tc>
        <w:tc>
          <w:tcPr>
            <w:tcW w:w="50" w:type="pct"/>
            <w:shd w:val="clear" w:color="auto" w:fill="auto"/>
            <w:vAlign w:val="bottom"/>
          </w:tcPr>
          <w:p w14:paraId="71D4A9C7" w14:textId="77777777" w:rsidR="006A3667" w:rsidRDefault="006A3667">
            <w:pPr>
              <w:rPr>
                <w:rFonts w:ascii="宋体"/>
              </w:rPr>
            </w:pPr>
          </w:p>
        </w:tc>
        <w:tc>
          <w:tcPr>
            <w:tcW w:w="1838" w:type="pct"/>
            <w:shd w:val="clear" w:color="auto" w:fill="auto"/>
            <w:vAlign w:val="bottom"/>
          </w:tcPr>
          <w:p w14:paraId="71D4A9C8" w14:textId="77777777" w:rsidR="006A3667" w:rsidRDefault="006A3667">
            <w:pPr>
              <w:rPr>
                <w:rFonts w:ascii="宋体"/>
              </w:rPr>
            </w:pPr>
          </w:p>
        </w:tc>
        <w:tc>
          <w:tcPr>
            <w:tcW w:w="5" w:type="pct"/>
            <w:shd w:val="clear" w:color="auto" w:fill="auto"/>
            <w:vAlign w:val="bottom"/>
          </w:tcPr>
          <w:p w14:paraId="71D4A9C9" w14:textId="77777777" w:rsidR="006A3667" w:rsidRDefault="006A3667">
            <w:pPr>
              <w:rPr>
                <w:rFonts w:ascii="宋体"/>
              </w:rPr>
            </w:pPr>
          </w:p>
        </w:tc>
      </w:tr>
      <w:tr w:rsidR="006A3667" w14:paraId="71D4A9C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A9C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9C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9CD" w14:textId="77777777" w:rsidR="006A3667" w:rsidRDefault="006A3667">
            <w:pPr>
              <w:rPr>
                <w:rFonts w:ascii="宋体"/>
              </w:rPr>
            </w:pPr>
          </w:p>
        </w:tc>
      </w:tr>
    </w:tbl>
    <w:p w14:paraId="71D4A9CF" w14:textId="77777777" w:rsidR="006A3667" w:rsidRDefault="00045F32">
      <w:r>
        <w:rPr>
          <w:rFonts w:ascii="Arial" w:eastAsia="宋体" w:hAnsi="Arial" w:cs="Arial"/>
          <w:color w:val="000000"/>
          <w:sz w:val="7"/>
          <w:szCs w:val="7"/>
        </w:rPr>
        <w:t>(1)</w:t>
      </w:r>
      <w:r>
        <w:rPr>
          <w:rFonts w:ascii="Arial" w:eastAsia="宋体" w:hAnsi="Arial" w:cs="Arial"/>
          <w:color w:val="000000"/>
          <w:sz w:val="12"/>
          <w:szCs w:val="12"/>
        </w:rPr>
        <w:t xml:space="preserve"> As defined by the applicable U.S. regulations.</w:t>
      </w:r>
    </w:p>
    <w:p w14:paraId="71D4A9D0" w14:textId="77777777" w:rsidR="006A3667" w:rsidRDefault="00045F32">
      <w:pPr>
        <w:ind w:firstLine="450"/>
        <w:jc w:val="right"/>
      </w:pPr>
      <w:r>
        <w:rPr>
          <w:rFonts w:ascii="Arial" w:eastAsia="宋体" w:hAnsi="Arial" w:cs="Arial"/>
          <w:color w:val="000000"/>
          <w:sz w:val="18"/>
          <w:szCs w:val="18"/>
        </w:rPr>
        <w:t>State Street Corporation | 97</w:t>
      </w:r>
    </w:p>
    <w:p w14:paraId="71D4A9D1" w14:textId="77777777" w:rsidR="006A3667" w:rsidRDefault="006A3667">
      <w:pPr>
        <w:ind w:firstLine="450"/>
        <w:jc w:val="center"/>
      </w:pPr>
    </w:p>
    <w:p w14:paraId="71D4A9D2" w14:textId="77777777" w:rsidR="006A3667" w:rsidRDefault="00045F32">
      <w:r>
        <w:pict w14:anchorId="71D4AC75">
          <v:rect id="_x0000_i1121" style="width:415.3pt;height:1.5pt" o:hralign="center" o:hrstd="t" o:hr="t" fillcolor="#a0a0a0" stroked="f"/>
        </w:pict>
      </w:r>
    </w:p>
    <w:p w14:paraId="71D4A9D3" w14:textId="77777777" w:rsidR="006A3667" w:rsidRDefault="006A3667">
      <w:pPr>
        <w:ind w:firstLine="450"/>
      </w:pPr>
    </w:p>
    <w:p w14:paraId="71D4A9D4" w14:textId="77777777" w:rsidR="006A3667" w:rsidRDefault="006A3667">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997"/>
        <w:gridCol w:w="37"/>
        <w:gridCol w:w="68"/>
        <w:gridCol w:w="4022"/>
        <w:gridCol w:w="36"/>
        <w:gridCol w:w="36"/>
        <w:gridCol w:w="36"/>
        <w:gridCol w:w="36"/>
      </w:tblGrid>
      <w:tr w:rsidR="006A3667" w14:paraId="71D4A9DE" w14:textId="77777777">
        <w:trPr>
          <w:jc w:val="center"/>
        </w:trPr>
        <w:tc>
          <w:tcPr>
            <w:tcW w:w="50" w:type="pct"/>
            <w:shd w:val="clear" w:color="auto" w:fill="auto"/>
            <w:vAlign w:val="bottom"/>
          </w:tcPr>
          <w:p w14:paraId="71D4A9D5" w14:textId="77777777" w:rsidR="006A3667" w:rsidRDefault="006A3667">
            <w:pPr>
              <w:rPr>
                <w:rFonts w:ascii="宋体"/>
              </w:rPr>
            </w:pPr>
          </w:p>
        </w:tc>
        <w:tc>
          <w:tcPr>
            <w:tcW w:w="2437" w:type="pct"/>
            <w:shd w:val="clear" w:color="auto" w:fill="auto"/>
            <w:vAlign w:val="bottom"/>
          </w:tcPr>
          <w:p w14:paraId="71D4A9D6" w14:textId="77777777" w:rsidR="006A3667" w:rsidRDefault="006A3667">
            <w:pPr>
              <w:rPr>
                <w:rFonts w:ascii="宋体"/>
              </w:rPr>
            </w:pPr>
          </w:p>
        </w:tc>
        <w:tc>
          <w:tcPr>
            <w:tcW w:w="5" w:type="pct"/>
            <w:shd w:val="clear" w:color="auto" w:fill="auto"/>
            <w:vAlign w:val="bottom"/>
          </w:tcPr>
          <w:p w14:paraId="71D4A9D7" w14:textId="77777777" w:rsidR="006A3667" w:rsidRDefault="006A3667">
            <w:pPr>
              <w:rPr>
                <w:rFonts w:ascii="宋体"/>
              </w:rPr>
            </w:pPr>
          </w:p>
        </w:tc>
        <w:tc>
          <w:tcPr>
            <w:tcW w:w="50" w:type="pct"/>
            <w:shd w:val="clear" w:color="auto" w:fill="auto"/>
            <w:vAlign w:val="bottom"/>
          </w:tcPr>
          <w:p w14:paraId="71D4A9D8" w14:textId="77777777" w:rsidR="006A3667" w:rsidRDefault="006A3667">
            <w:pPr>
              <w:rPr>
                <w:rFonts w:ascii="宋体"/>
              </w:rPr>
            </w:pPr>
          </w:p>
        </w:tc>
        <w:tc>
          <w:tcPr>
            <w:tcW w:w="2452" w:type="pct"/>
            <w:shd w:val="clear" w:color="auto" w:fill="auto"/>
            <w:vAlign w:val="bottom"/>
          </w:tcPr>
          <w:p w14:paraId="71D4A9D9" w14:textId="77777777" w:rsidR="006A3667" w:rsidRDefault="006A3667">
            <w:pPr>
              <w:rPr>
                <w:rFonts w:ascii="宋体"/>
              </w:rPr>
            </w:pPr>
          </w:p>
        </w:tc>
        <w:tc>
          <w:tcPr>
            <w:tcW w:w="5" w:type="pct"/>
            <w:shd w:val="clear" w:color="auto" w:fill="auto"/>
            <w:vAlign w:val="bottom"/>
          </w:tcPr>
          <w:p w14:paraId="71D4A9DA" w14:textId="77777777" w:rsidR="006A3667" w:rsidRDefault="006A3667">
            <w:pPr>
              <w:rPr>
                <w:rFonts w:ascii="宋体"/>
              </w:rPr>
            </w:pPr>
          </w:p>
        </w:tc>
        <w:tc>
          <w:tcPr>
            <w:tcW w:w="0" w:type="auto"/>
            <w:shd w:val="clear" w:color="auto" w:fill="auto"/>
            <w:vAlign w:val="bottom"/>
          </w:tcPr>
          <w:p w14:paraId="71D4A9DB" w14:textId="77777777" w:rsidR="006A3667" w:rsidRDefault="006A3667">
            <w:pPr>
              <w:rPr>
                <w:rFonts w:ascii="宋体"/>
                <w:vanish/>
              </w:rPr>
            </w:pPr>
          </w:p>
        </w:tc>
        <w:tc>
          <w:tcPr>
            <w:tcW w:w="0" w:type="auto"/>
            <w:shd w:val="clear" w:color="auto" w:fill="auto"/>
            <w:vAlign w:val="bottom"/>
          </w:tcPr>
          <w:p w14:paraId="71D4A9DC" w14:textId="77777777" w:rsidR="006A3667" w:rsidRDefault="006A3667">
            <w:pPr>
              <w:rPr>
                <w:rFonts w:ascii="宋体"/>
                <w:vanish/>
              </w:rPr>
            </w:pPr>
          </w:p>
        </w:tc>
        <w:tc>
          <w:tcPr>
            <w:tcW w:w="0" w:type="auto"/>
            <w:shd w:val="clear" w:color="auto" w:fill="auto"/>
            <w:vAlign w:val="bottom"/>
          </w:tcPr>
          <w:p w14:paraId="71D4A9DD" w14:textId="77777777" w:rsidR="006A3667" w:rsidRDefault="006A3667">
            <w:pPr>
              <w:rPr>
                <w:rFonts w:ascii="宋体"/>
                <w:vanish/>
              </w:rPr>
            </w:pPr>
          </w:p>
        </w:tc>
      </w:tr>
      <w:tr w:rsidR="006A3667" w14:paraId="71D4A9E3" w14:textId="77777777">
        <w:trPr>
          <w:jc w:val="center"/>
        </w:trPr>
        <w:tc>
          <w:tcPr>
            <w:tcW w:w="0" w:type="auto"/>
            <w:gridSpan w:val="6"/>
            <w:shd w:val="clear" w:color="auto" w:fill="auto"/>
            <w:tcMar>
              <w:top w:w="40" w:type="dxa"/>
              <w:left w:w="20" w:type="dxa"/>
              <w:bottom w:w="40" w:type="dxa"/>
              <w:right w:w="20" w:type="dxa"/>
            </w:tcMar>
          </w:tcPr>
          <w:p w14:paraId="71D4A9DF" w14:textId="77777777" w:rsidR="006A3667" w:rsidRDefault="00045F32">
            <w:pPr>
              <w:jc w:val="center"/>
              <w:textAlignment w:val="top"/>
            </w:pPr>
            <w:r>
              <w:rPr>
                <w:rFonts w:ascii="Arial" w:eastAsia="宋体" w:hAnsi="Arial" w:cs="Arial"/>
                <w:b/>
                <w:bCs/>
                <w:color w:val="000000"/>
                <w:sz w:val="20"/>
                <w:szCs w:val="20"/>
              </w:rPr>
              <w:t>GLOSSARY</w:t>
            </w:r>
          </w:p>
        </w:tc>
        <w:tc>
          <w:tcPr>
            <w:tcW w:w="0" w:type="auto"/>
            <w:shd w:val="clear" w:color="auto" w:fill="auto"/>
            <w:vAlign w:val="bottom"/>
          </w:tcPr>
          <w:p w14:paraId="71D4A9E0" w14:textId="77777777" w:rsidR="006A3667" w:rsidRDefault="006A3667">
            <w:pPr>
              <w:rPr>
                <w:rFonts w:ascii="宋体"/>
                <w:vanish/>
              </w:rPr>
            </w:pPr>
          </w:p>
        </w:tc>
        <w:tc>
          <w:tcPr>
            <w:tcW w:w="0" w:type="auto"/>
            <w:shd w:val="clear" w:color="auto" w:fill="auto"/>
            <w:vAlign w:val="bottom"/>
          </w:tcPr>
          <w:p w14:paraId="71D4A9E1" w14:textId="77777777" w:rsidR="006A3667" w:rsidRDefault="006A3667">
            <w:pPr>
              <w:rPr>
                <w:rFonts w:ascii="宋体"/>
                <w:vanish/>
              </w:rPr>
            </w:pPr>
          </w:p>
        </w:tc>
        <w:tc>
          <w:tcPr>
            <w:tcW w:w="0" w:type="auto"/>
            <w:shd w:val="clear" w:color="auto" w:fill="auto"/>
            <w:vAlign w:val="bottom"/>
          </w:tcPr>
          <w:p w14:paraId="71D4A9E2" w14:textId="77777777" w:rsidR="006A3667" w:rsidRDefault="006A3667">
            <w:pPr>
              <w:rPr>
                <w:rFonts w:ascii="宋体"/>
                <w:vanish/>
              </w:rPr>
            </w:pPr>
          </w:p>
        </w:tc>
      </w:tr>
      <w:tr w:rsidR="006A3667" w14:paraId="71D4A9E9" w14:textId="77777777">
        <w:trPr>
          <w:trHeight w:val="100"/>
          <w:jc w:val="center"/>
        </w:trPr>
        <w:tc>
          <w:tcPr>
            <w:tcW w:w="0" w:type="auto"/>
            <w:gridSpan w:val="3"/>
            <w:tcBorders>
              <w:top w:val="single" w:sz="18" w:space="0" w:color="000000"/>
            </w:tcBorders>
            <w:shd w:val="clear" w:color="auto" w:fill="auto"/>
            <w:tcMar>
              <w:top w:w="0" w:type="dxa"/>
              <w:left w:w="20" w:type="dxa"/>
              <w:bottom w:w="0" w:type="dxa"/>
              <w:right w:w="20" w:type="dxa"/>
            </w:tcMar>
            <w:vAlign w:val="bottom"/>
          </w:tcPr>
          <w:p w14:paraId="71D4A9E4" w14:textId="77777777" w:rsidR="006A3667" w:rsidRDefault="006A3667">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vAlign w:val="bottom"/>
          </w:tcPr>
          <w:p w14:paraId="71D4A9E5" w14:textId="77777777" w:rsidR="006A3667" w:rsidRDefault="006A3667">
            <w:pPr>
              <w:rPr>
                <w:rFonts w:ascii="宋体"/>
              </w:rPr>
            </w:pPr>
          </w:p>
        </w:tc>
        <w:tc>
          <w:tcPr>
            <w:tcW w:w="0" w:type="auto"/>
            <w:shd w:val="clear" w:color="auto" w:fill="auto"/>
            <w:vAlign w:val="bottom"/>
          </w:tcPr>
          <w:p w14:paraId="71D4A9E6" w14:textId="77777777" w:rsidR="006A3667" w:rsidRDefault="006A3667">
            <w:pPr>
              <w:rPr>
                <w:rFonts w:ascii="宋体"/>
                <w:vanish/>
              </w:rPr>
            </w:pPr>
          </w:p>
        </w:tc>
        <w:tc>
          <w:tcPr>
            <w:tcW w:w="0" w:type="auto"/>
            <w:shd w:val="clear" w:color="auto" w:fill="auto"/>
            <w:vAlign w:val="bottom"/>
          </w:tcPr>
          <w:p w14:paraId="71D4A9E7" w14:textId="77777777" w:rsidR="006A3667" w:rsidRDefault="006A3667">
            <w:pPr>
              <w:rPr>
                <w:rFonts w:ascii="宋体"/>
                <w:vanish/>
              </w:rPr>
            </w:pPr>
          </w:p>
        </w:tc>
        <w:tc>
          <w:tcPr>
            <w:tcW w:w="0" w:type="auto"/>
            <w:shd w:val="clear" w:color="auto" w:fill="auto"/>
            <w:vAlign w:val="bottom"/>
          </w:tcPr>
          <w:p w14:paraId="71D4A9E8" w14:textId="77777777" w:rsidR="006A3667" w:rsidRDefault="006A3667">
            <w:pPr>
              <w:rPr>
                <w:rFonts w:ascii="宋体"/>
                <w:vanish/>
              </w:rPr>
            </w:pPr>
          </w:p>
        </w:tc>
      </w:tr>
      <w:tr w:rsidR="006A3667" w14:paraId="71D4A9EF" w14:textId="77777777">
        <w:trPr>
          <w:jc w:val="center"/>
          <w:hidden/>
        </w:trPr>
        <w:tc>
          <w:tcPr>
            <w:tcW w:w="0" w:type="auto"/>
            <w:gridSpan w:val="3"/>
            <w:shd w:val="clear" w:color="auto" w:fill="auto"/>
            <w:vAlign w:val="bottom"/>
          </w:tcPr>
          <w:p w14:paraId="71D4A9EA" w14:textId="77777777" w:rsidR="006A3667" w:rsidRDefault="006A3667">
            <w:pPr>
              <w:rPr>
                <w:rFonts w:ascii="宋体"/>
                <w:vanish/>
              </w:rPr>
            </w:pPr>
          </w:p>
        </w:tc>
        <w:tc>
          <w:tcPr>
            <w:tcW w:w="0" w:type="auto"/>
            <w:gridSpan w:val="3"/>
            <w:shd w:val="clear" w:color="auto" w:fill="auto"/>
            <w:vAlign w:val="bottom"/>
          </w:tcPr>
          <w:p w14:paraId="71D4A9EB" w14:textId="77777777" w:rsidR="006A3667" w:rsidRDefault="006A3667">
            <w:pPr>
              <w:rPr>
                <w:rFonts w:ascii="宋体"/>
                <w:vanish/>
              </w:rPr>
            </w:pPr>
          </w:p>
        </w:tc>
        <w:tc>
          <w:tcPr>
            <w:tcW w:w="0" w:type="auto"/>
            <w:shd w:val="clear" w:color="auto" w:fill="auto"/>
            <w:vAlign w:val="bottom"/>
          </w:tcPr>
          <w:p w14:paraId="71D4A9EC" w14:textId="77777777" w:rsidR="006A3667" w:rsidRDefault="006A3667">
            <w:pPr>
              <w:rPr>
                <w:rFonts w:ascii="宋体"/>
                <w:vanish/>
              </w:rPr>
            </w:pPr>
          </w:p>
        </w:tc>
        <w:tc>
          <w:tcPr>
            <w:tcW w:w="0" w:type="auto"/>
            <w:shd w:val="clear" w:color="auto" w:fill="auto"/>
            <w:vAlign w:val="bottom"/>
          </w:tcPr>
          <w:p w14:paraId="71D4A9ED" w14:textId="77777777" w:rsidR="006A3667" w:rsidRDefault="006A3667">
            <w:pPr>
              <w:rPr>
                <w:rFonts w:ascii="宋体"/>
                <w:vanish/>
              </w:rPr>
            </w:pPr>
          </w:p>
        </w:tc>
        <w:tc>
          <w:tcPr>
            <w:tcW w:w="0" w:type="auto"/>
            <w:shd w:val="clear" w:color="auto" w:fill="auto"/>
            <w:vAlign w:val="bottom"/>
          </w:tcPr>
          <w:p w14:paraId="71D4A9EE" w14:textId="77777777" w:rsidR="006A3667" w:rsidRDefault="006A3667">
            <w:pPr>
              <w:rPr>
                <w:rFonts w:ascii="宋体"/>
                <w:vanish/>
              </w:rPr>
            </w:pPr>
          </w:p>
        </w:tc>
      </w:tr>
      <w:tr w:rsidR="006A3667" w14:paraId="71D4A9F5" w14:textId="77777777">
        <w:trPr>
          <w:jc w:val="center"/>
          <w:hidden/>
        </w:trPr>
        <w:tc>
          <w:tcPr>
            <w:tcW w:w="0" w:type="auto"/>
            <w:gridSpan w:val="3"/>
            <w:shd w:val="clear" w:color="auto" w:fill="auto"/>
            <w:vAlign w:val="bottom"/>
          </w:tcPr>
          <w:p w14:paraId="71D4A9F0" w14:textId="77777777" w:rsidR="006A3667" w:rsidRDefault="006A3667">
            <w:pPr>
              <w:rPr>
                <w:rFonts w:ascii="宋体"/>
                <w:vanish/>
              </w:rPr>
            </w:pPr>
          </w:p>
        </w:tc>
        <w:tc>
          <w:tcPr>
            <w:tcW w:w="0" w:type="auto"/>
            <w:gridSpan w:val="3"/>
            <w:shd w:val="clear" w:color="auto" w:fill="auto"/>
            <w:vAlign w:val="bottom"/>
          </w:tcPr>
          <w:p w14:paraId="71D4A9F1" w14:textId="77777777" w:rsidR="006A3667" w:rsidRDefault="006A3667">
            <w:pPr>
              <w:rPr>
                <w:rFonts w:ascii="宋体"/>
                <w:vanish/>
              </w:rPr>
            </w:pPr>
          </w:p>
        </w:tc>
        <w:tc>
          <w:tcPr>
            <w:tcW w:w="0" w:type="auto"/>
            <w:shd w:val="clear" w:color="auto" w:fill="auto"/>
            <w:vAlign w:val="bottom"/>
          </w:tcPr>
          <w:p w14:paraId="71D4A9F2" w14:textId="77777777" w:rsidR="006A3667" w:rsidRDefault="006A3667">
            <w:pPr>
              <w:rPr>
                <w:rFonts w:ascii="宋体"/>
                <w:vanish/>
              </w:rPr>
            </w:pPr>
          </w:p>
        </w:tc>
        <w:tc>
          <w:tcPr>
            <w:tcW w:w="0" w:type="auto"/>
            <w:shd w:val="clear" w:color="auto" w:fill="auto"/>
            <w:vAlign w:val="bottom"/>
          </w:tcPr>
          <w:p w14:paraId="71D4A9F3" w14:textId="77777777" w:rsidR="006A3667" w:rsidRDefault="006A3667">
            <w:pPr>
              <w:rPr>
                <w:rFonts w:ascii="宋体"/>
                <w:vanish/>
              </w:rPr>
            </w:pPr>
          </w:p>
        </w:tc>
        <w:tc>
          <w:tcPr>
            <w:tcW w:w="0" w:type="auto"/>
            <w:shd w:val="clear" w:color="auto" w:fill="auto"/>
            <w:vAlign w:val="bottom"/>
          </w:tcPr>
          <w:p w14:paraId="71D4A9F4" w14:textId="77777777" w:rsidR="006A3667" w:rsidRDefault="006A3667">
            <w:pPr>
              <w:rPr>
                <w:rFonts w:ascii="宋体"/>
                <w:vanish/>
              </w:rPr>
            </w:pPr>
          </w:p>
        </w:tc>
      </w:tr>
      <w:tr w:rsidR="006A3667" w14:paraId="71D4A9FB" w14:textId="77777777">
        <w:trPr>
          <w:jc w:val="center"/>
          <w:hidden/>
        </w:trPr>
        <w:tc>
          <w:tcPr>
            <w:tcW w:w="0" w:type="auto"/>
            <w:gridSpan w:val="3"/>
            <w:shd w:val="clear" w:color="auto" w:fill="auto"/>
            <w:vAlign w:val="bottom"/>
          </w:tcPr>
          <w:p w14:paraId="71D4A9F6" w14:textId="77777777" w:rsidR="006A3667" w:rsidRDefault="006A3667">
            <w:pPr>
              <w:rPr>
                <w:rFonts w:ascii="宋体"/>
                <w:vanish/>
              </w:rPr>
            </w:pPr>
          </w:p>
        </w:tc>
        <w:tc>
          <w:tcPr>
            <w:tcW w:w="0" w:type="auto"/>
            <w:gridSpan w:val="3"/>
            <w:shd w:val="clear" w:color="auto" w:fill="auto"/>
            <w:vAlign w:val="bottom"/>
          </w:tcPr>
          <w:p w14:paraId="71D4A9F7" w14:textId="77777777" w:rsidR="006A3667" w:rsidRDefault="006A3667">
            <w:pPr>
              <w:rPr>
                <w:rFonts w:ascii="宋体"/>
                <w:vanish/>
              </w:rPr>
            </w:pPr>
          </w:p>
        </w:tc>
        <w:tc>
          <w:tcPr>
            <w:tcW w:w="0" w:type="auto"/>
            <w:shd w:val="clear" w:color="auto" w:fill="auto"/>
            <w:vAlign w:val="bottom"/>
          </w:tcPr>
          <w:p w14:paraId="71D4A9F8" w14:textId="77777777" w:rsidR="006A3667" w:rsidRDefault="006A3667">
            <w:pPr>
              <w:rPr>
                <w:rFonts w:ascii="宋体"/>
                <w:vanish/>
              </w:rPr>
            </w:pPr>
          </w:p>
        </w:tc>
        <w:tc>
          <w:tcPr>
            <w:tcW w:w="0" w:type="auto"/>
            <w:shd w:val="clear" w:color="auto" w:fill="auto"/>
            <w:vAlign w:val="bottom"/>
          </w:tcPr>
          <w:p w14:paraId="71D4A9F9" w14:textId="77777777" w:rsidR="006A3667" w:rsidRDefault="006A3667">
            <w:pPr>
              <w:rPr>
                <w:rFonts w:ascii="宋体"/>
                <w:vanish/>
              </w:rPr>
            </w:pPr>
          </w:p>
        </w:tc>
        <w:tc>
          <w:tcPr>
            <w:tcW w:w="0" w:type="auto"/>
            <w:shd w:val="clear" w:color="auto" w:fill="auto"/>
            <w:vAlign w:val="bottom"/>
          </w:tcPr>
          <w:p w14:paraId="71D4A9FA" w14:textId="77777777" w:rsidR="006A3667" w:rsidRDefault="006A3667">
            <w:pPr>
              <w:rPr>
                <w:rFonts w:ascii="宋体"/>
                <w:vanish/>
              </w:rPr>
            </w:pPr>
          </w:p>
        </w:tc>
      </w:tr>
      <w:tr w:rsidR="006A3667" w14:paraId="71D4AA01" w14:textId="77777777">
        <w:trPr>
          <w:jc w:val="center"/>
          <w:hidden/>
        </w:trPr>
        <w:tc>
          <w:tcPr>
            <w:tcW w:w="0" w:type="auto"/>
            <w:gridSpan w:val="3"/>
            <w:shd w:val="clear" w:color="auto" w:fill="auto"/>
            <w:vAlign w:val="bottom"/>
          </w:tcPr>
          <w:p w14:paraId="71D4A9FC" w14:textId="77777777" w:rsidR="006A3667" w:rsidRDefault="006A3667">
            <w:pPr>
              <w:rPr>
                <w:rFonts w:ascii="宋体"/>
                <w:vanish/>
              </w:rPr>
            </w:pPr>
          </w:p>
        </w:tc>
        <w:tc>
          <w:tcPr>
            <w:tcW w:w="0" w:type="auto"/>
            <w:gridSpan w:val="3"/>
            <w:shd w:val="clear" w:color="auto" w:fill="auto"/>
            <w:vAlign w:val="bottom"/>
          </w:tcPr>
          <w:p w14:paraId="71D4A9FD" w14:textId="77777777" w:rsidR="006A3667" w:rsidRDefault="006A3667">
            <w:pPr>
              <w:rPr>
                <w:rFonts w:ascii="宋体"/>
                <w:vanish/>
              </w:rPr>
            </w:pPr>
          </w:p>
        </w:tc>
        <w:tc>
          <w:tcPr>
            <w:tcW w:w="0" w:type="auto"/>
            <w:shd w:val="clear" w:color="auto" w:fill="auto"/>
            <w:vAlign w:val="bottom"/>
          </w:tcPr>
          <w:p w14:paraId="71D4A9FE" w14:textId="77777777" w:rsidR="006A3667" w:rsidRDefault="006A3667">
            <w:pPr>
              <w:rPr>
                <w:rFonts w:ascii="宋体"/>
                <w:vanish/>
              </w:rPr>
            </w:pPr>
          </w:p>
        </w:tc>
        <w:tc>
          <w:tcPr>
            <w:tcW w:w="0" w:type="auto"/>
            <w:shd w:val="clear" w:color="auto" w:fill="auto"/>
            <w:vAlign w:val="bottom"/>
          </w:tcPr>
          <w:p w14:paraId="71D4A9FF" w14:textId="77777777" w:rsidR="006A3667" w:rsidRDefault="006A3667">
            <w:pPr>
              <w:rPr>
                <w:rFonts w:ascii="宋体"/>
                <w:vanish/>
              </w:rPr>
            </w:pPr>
          </w:p>
        </w:tc>
        <w:tc>
          <w:tcPr>
            <w:tcW w:w="0" w:type="auto"/>
            <w:shd w:val="clear" w:color="auto" w:fill="auto"/>
            <w:vAlign w:val="bottom"/>
          </w:tcPr>
          <w:p w14:paraId="71D4AA00" w14:textId="77777777" w:rsidR="006A3667" w:rsidRDefault="006A3667">
            <w:pPr>
              <w:rPr>
                <w:rFonts w:ascii="宋体"/>
                <w:vanish/>
              </w:rPr>
            </w:pPr>
          </w:p>
        </w:tc>
      </w:tr>
      <w:tr w:rsidR="006A3667" w14:paraId="71D4AA07" w14:textId="77777777">
        <w:trPr>
          <w:jc w:val="center"/>
          <w:hidden/>
        </w:trPr>
        <w:tc>
          <w:tcPr>
            <w:tcW w:w="0" w:type="auto"/>
            <w:gridSpan w:val="3"/>
            <w:shd w:val="clear" w:color="auto" w:fill="auto"/>
            <w:vAlign w:val="bottom"/>
          </w:tcPr>
          <w:p w14:paraId="71D4AA02" w14:textId="77777777" w:rsidR="006A3667" w:rsidRDefault="006A3667">
            <w:pPr>
              <w:rPr>
                <w:rFonts w:ascii="宋体"/>
                <w:vanish/>
              </w:rPr>
            </w:pPr>
          </w:p>
        </w:tc>
        <w:tc>
          <w:tcPr>
            <w:tcW w:w="0" w:type="auto"/>
            <w:gridSpan w:val="3"/>
            <w:shd w:val="clear" w:color="auto" w:fill="auto"/>
            <w:vAlign w:val="bottom"/>
          </w:tcPr>
          <w:p w14:paraId="71D4AA03" w14:textId="77777777" w:rsidR="006A3667" w:rsidRDefault="006A3667">
            <w:pPr>
              <w:rPr>
                <w:rFonts w:ascii="宋体"/>
                <w:vanish/>
              </w:rPr>
            </w:pPr>
          </w:p>
        </w:tc>
        <w:tc>
          <w:tcPr>
            <w:tcW w:w="0" w:type="auto"/>
            <w:shd w:val="clear" w:color="auto" w:fill="auto"/>
            <w:vAlign w:val="bottom"/>
          </w:tcPr>
          <w:p w14:paraId="71D4AA04" w14:textId="77777777" w:rsidR="006A3667" w:rsidRDefault="006A3667">
            <w:pPr>
              <w:rPr>
                <w:rFonts w:ascii="宋体"/>
                <w:vanish/>
              </w:rPr>
            </w:pPr>
          </w:p>
        </w:tc>
        <w:tc>
          <w:tcPr>
            <w:tcW w:w="0" w:type="auto"/>
            <w:shd w:val="clear" w:color="auto" w:fill="auto"/>
            <w:vAlign w:val="bottom"/>
          </w:tcPr>
          <w:p w14:paraId="71D4AA05" w14:textId="77777777" w:rsidR="006A3667" w:rsidRDefault="006A3667">
            <w:pPr>
              <w:rPr>
                <w:rFonts w:ascii="宋体"/>
                <w:vanish/>
              </w:rPr>
            </w:pPr>
          </w:p>
        </w:tc>
        <w:tc>
          <w:tcPr>
            <w:tcW w:w="0" w:type="auto"/>
            <w:shd w:val="clear" w:color="auto" w:fill="auto"/>
            <w:vAlign w:val="bottom"/>
          </w:tcPr>
          <w:p w14:paraId="71D4AA06" w14:textId="77777777" w:rsidR="006A3667" w:rsidRDefault="006A3667">
            <w:pPr>
              <w:rPr>
                <w:rFonts w:ascii="宋体"/>
                <w:vanish/>
              </w:rPr>
            </w:pPr>
          </w:p>
        </w:tc>
      </w:tr>
      <w:tr w:rsidR="006A3667" w14:paraId="71D4AA0D" w14:textId="77777777">
        <w:trPr>
          <w:jc w:val="center"/>
          <w:hidden/>
        </w:trPr>
        <w:tc>
          <w:tcPr>
            <w:tcW w:w="0" w:type="auto"/>
            <w:gridSpan w:val="3"/>
            <w:shd w:val="clear" w:color="auto" w:fill="auto"/>
            <w:vAlign w:val="bottom"/>
          </w:tcPr>
          <w:p w14:paraId="71D4AA08" w14:textId="77777777" w:rsidR="006A3667" w:rsidRDefault="006A3667">
            <w:pPr>
              <w:rPr>
                <w:rFonts w:ascii="宋体"/>
                <w:vanish/>
              </w:rPr>
            </w:pPr>
          </w:p>
        </w:tc>
        <w:tc>
          <w:tcPr>
            <w:tcW w:w="0" w:type="auto"/>
            <w:gridSpan w:val="3"/>
            <w:shd w:val="clear" w:color="auto" w:fill="auto"/>
            <w:vAlign w:val="bottom"/>
          </w:tcPr>
          <w:p w14:paraId="71D4AA09" w14:textId="77777777" w:rsidR="006A3667" w:rsidRDefault="006A3667">
            <w:pPr>
              <w:rPr>
                <w:rFonts w:ascii="宋体"/>
                <w:vanish/>
              </w:rPr>
            </w:pPr>
          </w:p>
        </w:tc>
        <w:tc>
          <w:tcPr>
            <w:tcW w:w="0" w:type="auto"/>
            <w:shd w:val="clear" w:color="auto" w:fill="auto"/>
            <w:vAlign w:val="bottom"/>
          </w:tcPr>
          <w:p w14:paraId="71D4AA0A" w14:textId="77777777" w:rsidR="006A3667" w:rsidRDefault="006A3667">
            <w:pPr>
              <w:rPr>
                <w:rFonts w:ascii="宋体"/>
                <w:vanish/>
              </w:rPr>
            </w:pPr>
          </w:p>
        </w:tc>
        <w:tc>
          <w:tcPr>
            <w:tcW w:w="0" w:type="auto"/>
            <w:shd w:val="clear" w:color="auto" w:fill="auto"/>
            <w:vAlign w:val="bottom"/>
          </w:tcPr>
          <w:p w14:paraId="71D4AA0B" w14:textId="77777777" w:rsidR="006A3667" w:rsidRDefault="006A3667">
            <w:pPr>
              <w:rPr>
                <w:rFonts w:ascii="宋体"/>
                <w:vanish/>
              </w:rPr>
            </w:pPr>
          </w:p>
        </w:tc>
        <w:tc>
          <w:tcPr>
            <w:tcW w:w="0" w:type="auto"/>
            <w:shd w:val="clear" w:color="auto" w:fill="auto"/>
            <w:vAlign w:val="bottom"/>
          </w:tcPr>
          <w:p w14:paraId="71D4AA0C" w14:textId="77777777" w:rsidR="006A3667" w:rsidRDefault="006A3667">
            <w:pPr>
              <w:rPr>
                <w:rFonts w:ascii="宋体"/>
                <w:vanish/>
              </w:rPr>
            </w:pPr>
          </w:p>
        </w:tc>
      </w:tr>
      <w:tr w:rsidR="006A3667" w14:paraId="71D4AA13" w14:textId="77777777">
        <w:trPr>
          <w:jc w:val="center"/>
          <w:hidden/>
        </w:trPr>
        <w:tc>
          <w:tcPr>
            <w:tcW w:w="0" w:type="auto"/>
            <w:gridSpan w:val="3"/>
            <w:shd w:val="clear" w:color="auto" w:fill="auto"/>
            <w:vAlign w:val="bottom"/>
          </w:tcPr>
          <w:p w14:paraId="71D4AA0E" w14:textId="77777777" w:rsidR="006A3667" w:rsidRDefault="006A3667">
            <w:pPr>
              <w:rPr>
                <w:rFonts w:ascii="宋体"/>
                <w:vanish/>
              </w:rPr>
            </w:pPr>
          </w:p>
        </w:tc>
        <w:tc>
          <w:tcPr>
            <w:tcW w:w="0" w:type="auto"/>
            <w:gridSpan w:val="3"/>
            <w:shd w:val="clear" w:color="auto" w:fill="auto"/>
            <w:vAlign w:val="bottom"/>
          </w:tcPr>
          <w:p w14:paraId="71D4AA0F" w14:textId="77777777" w:rsidR="006A3667" w:rsidRDefault="006A3667">
            <w:pPr>
              <w:rPr>
                <w:rFonts w:ascii="宋体"/>
                <w:vanish/>
              </w:rPr>
            </w:pPr>
          </w:p>
        </w:tc>
        <w:tc>
          <w:tcPr>
            <w:tcW w:w="0" w:type="auto"/>
            <w:shd w:val="clear" w:color="auto" w:fill="auto"/>
            <w:vAlign w:val="bottom"/>
          </w:tcPr>
          <w:p w14:paraId="71D4AA10" w14:textId="77777777" w:rsidR="006A3667" w:rsidRDefault="006A3667">
            <w:pPr>
              <w:rPr>
                <w:rFonts w:ascii="宋体"/>
                <w:vanish/>
              </w:rPr>
            </w:pPr>
          </w:p>
        </w:tc>
        <w:tc>
          <w:tcPr>
            <w:tcW w:w="0" w:type="auto"/>
            <w:shd w:val="clear" w:color="auto" w:fill="auto"/>
            <w:vAlign w:val="bottom"/>
          </w:tcPr>
          <w:p w14:paraId="71D4AA11" w14:textId="77777777" w:rsidR="006A3667" w:rsidRDefault="006A3667">
            <w:pPr>
              <w:rPr>
                <w:rFonts w:ascii="宋体"/>
                <w:vanish/>
              </w:rPr>
            </w:pPr>
          </w:p>
        </w:tc>
        <w:tc>
          <w:tcPr>
            <w:tcW w:w="0" w:type="auto"/>
            <w:shd w:val="clear" w:color="auto" w:fill="auto"/>
            <w:vAlign w:val="bottom"/>
          </w:tcPr>
          <w:p w14:paraId="71D4AA12" w14:textId="77777777" w:rsidR="006A3667" w:rsidRDefault="006A3667">
            <w:pPr>
              <w:rPr>
                <w:rFonts w:ascii="宋体"/>
                <w:vanish/>
              </w:rPr>
            </w:pPr>
          </w:p>
        </w:tc>
      </w:tr>
      <w:tr w:rsidR="006A3667" w14:paraId="71D4AA19" w14:textId="77777777">
        <w:trPr>
          <w:jc w:val="center"/>
          <w:hidden/>
        </w:trPr>
        <w:tc>
          <w:tcPr>
            <w:tcW w:w="0" w:type="auto"/>
            <w:gridSpan w:val="3"/>
            <w:shd w:val="clear" w:color="auto" w:fill="auto"/>
            <w:vAlign w:val="bottom"/>
          </w:tcPr>
          <w:p w14:paraId="71D4AA14" w14:textId="77777777" w:rsidR="006A3667" w:rsidRDefault="006A3667">
            <w:pPr>
              <w:rPr>
                <w:rFonts w:ascii="宋体"/>
                <w:vanish/>
              </w:rPr>
            </w:pPr>
          </w:p>
        </w:tc>
        <w:tc>
          <w:tcPr>
            <w:tcW w:w="0" w:type="auto"/>
            <w:gridSpan w:val="3"/>
            <w:shd w:val="clear" w:color="auto" w:fill="auto"/>
            <w:vAlign w:val="bottom"/>
          </w:tcPr>
          <w:p w14:paraId="71D4AA15" w14:textId="77777777" w:rsidR="006A3667" w:rsidRDefault="006A3667">
            <w:pPr>
              <w:rPr>
                <w:rFonts w:ascii="宋体"/>
                <w:vanish/>
              </w:rPr>
            </w:pPr>
          </w:p>
        </w:tc>
        <w:tc>
          <w:tcPr>
            <w:tcW w:w="0" w:type="auto"/>
            <w:shd w:val="clear" w:color="auto" w:fill="auto"/>
            <w:vAlign w:val="bottom"/>
          </w:tcPr>
          <w:p w14:paraId="71D4AA16" w14:textId="77777777" w:rsidR="006A3667" w:rsidRDefault="006A3667">
            <w:pPr>
              <w:rPr>
                <w:rFonts w:ascii="宋体"/>
                <w:vanish/>
              </w:rPr>
            </w:pPr>
          </w:p>
        </w:tc>
        <w:tc>
          <w:tcPr>
            <w:tcW w:w="0" w:type="auto"/>
            <w:shd w:val="clear" w:color="auto" w:fill="auto"/>
            <w:vAlign w:val="bottom"/>
          </w:tcPr>
          <w:p w14:paraId="71D4AA17" w14:textId="77777777" w:rsidR="006A3667" w:rsidRDefault="006A3667">
            <w:pPr>
              <w:rPr>
                <w:rFonts w:ascii="宋体"/>
                <w:vanish/>
              </w:rPr>
            </w:pPr>
          </w:p>
        </w:tc>
        <w:tc>
          <w:tcPr>
            <w:tcW w:w="0" w:type="auto"/>
            <w:shd w:val="clear" w:color="auto" w:fill="auto"/>
            <w:vAlign w:val="bottom"/>
          </w:tcPr>
          <w:p w14:paraId="71D4AA18" w14:textId="77777777" w:rsidR="006A3667" w:rsidRDefault="006A3667">
            <w:pPr>
              <w:rPr>
                <w:rFonts w:ascii="宋体"/>
                <w:vanish/>
              </w:rPr>
            </w:pPr>
          </w:p>
        </w:tc>
      </w:tr>
      <w:tr w:rsidR="006A3667" w14:paraId="71D4AA1F" w14:textId="77777777">
        <w:trPr>
          <w:jc w:val="center"/>
          <w:hidden/>
        </w:trPr>
        <w:tc>
          <w:tcPr>
            <w:tcW w:w="0" w:type="auto"/>
            <w:gridSpan w:val="3"/>
            <w:shd w:val="clear" w:color="auto" w:fill="auto"/>
            <w:vAlign w:val="bottom"/>
          </w:tcPr>
          <w:p w14:paraId="71D4AA1A" w14:textId="77777777" w:rsidR="006A3667" w:rsidRDefault="006A3667">
            <w:pPr>
              <w:rPr>
                <w:rFonts w:ascii="宋体"/>
                <w:vanish/>
              </w:rPr>
            </w:pPr>
          </w:p>
        </w:tc>
        <w:tc>
          <w:tcPr>
            <w:tcW w:w="0" w:type="auto"/>
            <w:gridSpan w:val="3"/>
            <w:shd w:val="clear" w:color="auto" w:fill="auto"/>
            <w:vAlign w:val="bottom"/>
          </w:tcPr>
          <w:p w14:paraId="71D4AA1B" w14:textId="77777777" w:rsidR="006A3667" w:rsidRDefault="006A3667">
            <w:pPr>
              <w:rPr>
                <w:rFonts w:ascii="宋体"/>
                <w:vanish/>
              </w:rPr>
            </w:pPr>
          </w:p>
        </w:tc>
        <w:tc>
          <w:tcPr>
            <w:tcW w:w="0" w:type="auto"/>
            <w:shd w:val="clear" w:color="auto" w:fill="auto"/>
            <w:vAlign w:val="bottom"/>
          </w:tcPr>
          <w:p w14:paraId="71D4AA1C" w14:textId="77777777" w:rsidR="006A3667" w:rsidRDefault="006A3667">
            <w:pPr>
              <w:rPr>
                <w:rFonts w:ascii="宋体"/>
                <w:vanish/>
              </w:rPr>
            </w:pPr>
          </w:p>
        </w:tc>
        <w:tc>
          <w:tcPr>
            <w:tcW w:w="0" w:type="auto"/>
            <w:shd w:val="clear" w:color="auto" w:fill="auto"/>
            <w:vAlign w:val="bottom"/>
          </w:tcPr>
          <w:p w14:paraId="71D4AA1D" w14:textId="77777777" w:rsidR="006A3667" w:rsidRDefault="006A3667">
            <w:pPr>
              <w:rPr>
                <w:rFonts w:ascii="宋体"/>
                <w:vanish/>
              </w:rPr>
            </w:pPr>
          </w:p>
        </w:tc>
        <w:tc>
          <w:tcPr>
            <w:tcW w:w="0" w:type="auto"/>
            <w:shd w:val="clear" w:color="auto" w:fill="auto"/>
            <w:vAlign w:val="bottom"/>
          </w:tcPr>
          <w:p w14:paraId="71D4AA1E" w14:textId="77777777" w:rsidR="006A3667" w:rsidRDefault="006A3667">
            <w:pPr>
              <w:rPr>
                <w:rFonts w:ascii="宋体"/>
                <w:vanish/>
              </w:rPr>
            </w:pPr>
          </w:p>
        </w:tc>
      </w:tr>
      <w:tr w:rsidR="006A3667" w14:paraId="71D4AA25" w14:textId="77777777">
        <w:trPr>
          <w:jc w:val="center"/>
          <w:hidden/>
        </w:trPr>
        <w:tc>
          <w:tcPr>
            <w:tcW w:w="0" w:type="auto"/>
            <w:gridSpan w:val="3"/>
            <w:shd w:val="clear" w:color="auto" w:fill="auto"/>
            <w:vAlign w:val="bottom"/>
          </w:tcPr>
          <w:p w14:paraId="71D4AA20" w14:textId="77777777" w:rsidR="006A3667" w:rsidRDefault="006A3667">
            <w:pPr>
              <w:rPr>
                <w:rFonts w:ascii="宋体"/>
                <w:vanish/>
              </w:rPr>
            </w:pPr>
          </w:p>
        </w:tc>
        <w:tc>
          <w:tcPr>
            <w:tcW w:w="0" w:type="auto"/>
            <w:gridSpan w:val="3"/>
            <w:shd w:val="clear" w:color="auto" w:fill="auto"/>
            <w:vAlign w:val="bottom"/>
          </w:tcPr>
          <w:p w14:paraId="71D4AA21" w14:textId="77777777" w:rsidR="006A3667" w:rsidRDefault="006A3667">
            <w:pPr>
              <w:rPr>
                <w:rFonts w:ascii="宋体"/>
                <w:vanish/>
              </w:rPr>
            </w:pPr>
          </w:p>
        </w:tc>
        <w:tc>
          <w:tcPr>
            <w:tcW w:w="0" w:type="auto"/>
            <w:shd w:val="clear" w:color="auto" w:fill="auto"/>
            <w:vAlign w:val="bottom"/>
          </w:tcPr>
          <w:p w14:paraId="71D4AA22" w14:textId="77777777" w:rsidR="006A3667" w:rsidRDefault="006A3667">
            <w:pPr>
              <w:rPr>
                <w:rFonts w:ascii="宋体"/>
                <w:vanish/>
              </w:rPr>
            </w:pPr>
          </w:p>
        </w:tc>
        <w:tc>
          <w:tcPr>
            <w:tcW w:w="0" w:type="auto"/>
            <w:shd w:val="clear" w:color="auto" w:fill="auto"/>
            <w:vAlign w:val="bottom"/>
          </w:tcPr>
          <w:p w14:paraId="71D4AA23" w14:textId="77777777" w:rsidR="006A3667" w:rsidRDefault="006A3667">
            <w:pPr>
              <w:rPr>
                <w:rFonts w:ascii="宋体"/>
                <w:vanish/>
              </w:rPr>
            </w:pPr>
          </w:p>
        </w:tc>
        <w:tc>
          <w:tcPr>
            <w:tcW w:w="0" w:type="auto"/>
            <w:shd w:val="clear" w:color="auto" w:fill="auto"/>
            <w:vAlign w:val="bottom"/>
          </w:tcPr>
          <w:p w14:paraId="71D4AA24" w14:textId="77777777" w:rsidR="006A3667" w:rsidRDefault="006A3667">
            <w:pPr>
              <w:rPr>
                <w:rFonts w:ascii="宋体"/>
                <w:vanish/>
              </w:rPr>
            </w:pPr>
          </w:p>
        </w:tc>
      </w:tr>
      <w:tr w:rsidR="006A3667" w14:paraId="71D4AA2B" w14:textId="77777777">
        <w:trPr>
          <w:jc w:val="center"/>
          <w:hidden/>
        </w:trPr>
        <w:tc>
          <w:tcPr>
            <w:tcW w:w="0" w:type="auto"/>
            <w:gridSpan w:val="3"/>
            <w:shd w:val="clear" w:color="auto" w:fill="auto"/>
            <w:vAlign w:val="bottom"/>
          </w:tcPr>
          <w:p w14:paraId="71D4AA26" w14:textId="77777777" w:rsidR="006A3667" w:rsidRDefault="006A3667">
            <w:pPr>
              <w:rPr>
                <w:rFonts w:ascii="宋体"/>
                <w:vanish/>
              </w:rPr>
            </w:pPr>
          </w:p>
        </w:tc>
        <w:tc>
          <w:tcPr>
            <w:tcW w:w="0" w:type="auto"/>
            <w:gridSpan w:val="3"/>
            <w:shd w:val="clear" w:color="auto" w:fill="auto"/>
            <w:vAlign w:val="bottom"/>
          </w:tcPr>
          <w:p w14:paraId="71D4AA27" w14:textId="77777777" w:rsidR="006A3667" w:rsidRDefault="006A3667">
            <w:pPr>
              <w:rPr>
                <w:rFonts w:ascii="宋体"/>
                <w:vanish/>
              </w:rPr>
            </w:pPr>
          </w:p>
        </w:tc>
        <w:tc>
          <w:tcPr>
            <w:tcW w:w="0" w:type="auto"/>
            <w:shd w:val="clear" w:color="auto" w:fill="auto"/>
            <w:vAlign w:val="bottom"/>
          </w:tcPr>
          <w:p w14:paraId="71D4AA28" w14:textId="77777777" w:rsidR="006A3667" w:rsidRDefault="006A3667">
            <w:pPr>
              <w:rPr>
                <w:rFonts w:ascii="宋体"/>
                <w:vanish/>
              </w:rPr>
            </w:pPr>
          </w:p>
        </w:tc>
        <w:tc>
          <w:tcPr>
            <w:tcW w:w="0" w:type="auto"/>
            <w:shd w:val="clear" w:color="auto" w:fill="auto"/>
            <w:vAlign w:val="bottom"/>
          </w:tcPr>
          <w:p w14:paraId="71D4AA29" w14:textId="77777777" w:rsidR="006A3667" w:rsidRDefault="006A3667">
            <w:pPr>
              <w:rPr>
                <w:rFonts w:ascii="宋体"/>
                <w:vanish/>
              </w:rPr>
            </w:pPr>
          </w:p>
        </w:tc>
        <w:tc>
          <w:tcPr>
            <w:tcW w:w="0" w:type="auto"/>
            <w:shd w:val="clear" w:color="auto" w:fill="auto"/>
            <w:vAlign w:val="bottom"/>
          </w:tcPr>
          <w:p w14:paraId="71D4AA2A" w14:textId="77777777" w:rsidR="006A3667" w:rsidRDefault="006A3667">
            <w:pPr>
              <w:rPr>
                <w:rFonts w:ascii="宋体"/>
                <w:vanish/>
              </w:rPr>
            </w:pPr>
          </w:p>
        </w:tc>
      </w:tr>
      <w:tr w:rsidR="006A3667" w14:paraId="71D4AA31" w14:textId="77777777">
        <w:trPr>
          <w:jc w:val="center"/>
          <w:hidden/>
        </w:trPr>
        <w:tc>
          <w:tcPr>
            <w:tcW w:w="0" w:type="auto"/>
            <w:gridSpan w:val="3"/>
            <w:shd w:val="clear" w:color="auto" w:fill="auto"/>
            <w:vAlign w:val="bottom"/>
          </w:tcPr>
          <w:p w14:paraId="71D4AA2C" w14:textId="77777777" w:rsidR="006A3667" w:rsidRDefault="006A3667">
            <w:pPr>
              <w:rPr>
                <w:rFonts w:ascii="宋体"/>
                <w:vanish/>
              </w:rPr>
            </w:pPr>
          </w:p>
        </w:tc>
        <w:tc>
          <w:tcPr>
            <w:tcW w:w="0" w:type="auto"/>
            <w:gridSpan w:val="3"/>
            <w:shd w:val="clear" w:color="auto" w:fill="auto"/>
            <w:vAlign w:val="bottom"/>
          </w:tcPr>
          <w:p w14:paraId="71D4AA2D" w14:textId="77777777" w:rsidR="006A3667" w:rsidRDefault="006A3667">
            <w:pPr>
              <w:rPr>
                <w:rFonts w:ascii="宋体"/>
                <w:vanish/>
              </w:rPr>
            </w:pPr>
          </w:p>
        </w:tc>
        <w:tc>
          <w:tcPr>
            <w:tcW w:w="0" w:type="auto"/>
            <w:shd w:val="clear" w:color="auto" w:fill="auto"/>
            <w:vAlign w:val="bottom"/>
          </w:tcPr>
          <w:p w14:paraId="71D4AA2E" w14:textId="77777777" w:rsidR="006A3667" w:rsidRDefault="006A3667">
            <w:pPr>
              <w:rPr>
                <w:rFonts w:ascii="宋体"/>
                <w:vanish/>
              </w:rPr>
            </w:pPr>
          </w:p>
        </w:tc>
        <w:tc>
          <w:tcPr>
            <w:tcW w:w="0" w:type="auto"/>
            <w:shd w:val="clear" w:color="auto" w:fill="auto"/>
            <w:vAlign w:val="bottom"/>
          </w:tcPr>
          <w:p w14:paraId="71D4AA2F" w14:textId="77777777" w:rsidR="006A3667" w:rsidRDefault="006A3667">
            <w:pPr>
              <w:rPr>
                <w:rFonts w:ascii="宋体"/>
                <w:vanish/>
              </w:rPr>
            </w:pPr>
          </w:p>
        </w:tc>
        <w:tc>
          <w:tcPr>
            <w:tcW w:w="0" w:type="auto"/>
            <w:shd w:val="clear" w:color="auto" w:fill="auto"/>
            <w:vAlign w:val="bottom"/>
          </w:tcPr>
          <w:p w14:paraId="71D4AA30" w14:textId="77777777" w:rsidR="006A3667" w:rsidRDefault="006A3667">
            <w:pPr>
              <w:rPr>
                <w:rFonts w:ascii="宋体"/>
                <w:vanish/>
              </w:rPr>
            </w:pPr>
          </w:p>
        </w:tc>
      </w:tr>
      <w:tr w:rsidR="006A3667" w14:paraId="71D4AA37" w14:textId="77777777">
        <w:trPr>
          <w:jc w:val="center"/>
          <w:hidden/>
        </w:trPr>
        <w:tc>
          <w:tcPr>
            <w:tcW w:w="0" w:type="auto"/>
            <w:gridSpan w:val="3"/>
            <w:shd w:val="clear" w:color="auto" w:fill="auto"/>
            <w:vAlign w:val="bottom"/>
          </w:tcPr>
          <w:p w14:paraId="71D4AA32" w14:textId="77777777" w:rsidR="006A3667" w:rsidRDefault="006A3667">
            <w:pPr>
              <w:rPr>
                <w:rFonts w:ascii="宋体"/>
                <w:vanish/>
              </w:rPr>
            </w:pPr>
          </w:p>
        </w:tc>
        <w:tc>
          <w:tcPr>
            <w:tcW w:w="0" w:type="auto"/>
            <w:gridSpan w:val="3"/>
            <w:shd w:val="clear" w:color="auto" w:fill="auto"/>
            <w:vAlign w:val="bottom"/>
          </w:tcPr>
          <w:p w14:paraId="71D4AA33" w14:textId="77777777" w:rsidR="006A3667" w:rsidRDefault="006A3667">
            <w:pPr>
              <w:rPr>
                <w:rFonts w:ascii="宋体"/>
                <w:vanish/>
              </w:rPr>
            </w:pPr>
          </w:p>
        </w:tc>
        <w:tc>
          <w:tcPr>
            <w:tcW w:w="0" w:type="auto"/>
            <w:shd w:val="clear" w:color="auto" w:fill="auto"/>
            <w:vAlign w:val="bottom"/>
          </w:tcPr>
          <w:p w14:paraId="71D4AA34" w14:textId="77777777" w:rsidR="006A3667" w:rsidRDefault="006A3667">
            <w:pPr>
              <w:rPr>
                <w:rFonts w:ascii="宋体"/>
                <w:vanish/>
              </w:rPr>
            </w:pPr>
          </w:p>
        </w:tc>
        <w:tc>
          <w:tcPr>
            <w:tcW w:w="0" w:type="auto"/>
            <w:shd w:val="clear" w:color="auto" w:fill="auto"/>
            <w:vAlign w:val="bottom"/>
          </w:tcPr>
          <w:p w14:paraId="71D4AA35" w14:textId="77777777" w:rsidR="006A3667" w:rsidRDefault="006A3667">
            <w:pPr>
              <w:rPr>
                <w:rFonts w:ascii="宋体"/>
                <w:vanish/>
              </w:rPr>
            </w:pPr>
          </w:p>
        </w:tc>
        <w:tc>
          <w:tcPr>
            <w:tcW w:w="0" w:type="auto"/>
            <w:shd w:val="clear" w:color="auto" w:fill="auto"/>
            <w:vAlign w:val="bottom"/>
          </w:tcPr>
          <w:p w14:paraId="71D4AA36" w14:textId="77777777" w:rsidR="006A3667" w:rsidRDefault="006A3667">
            <w:pPr>
              <w:rPr>
                <w:rFonts w:ascii="宋体"/>
                <w:vanish/>
              </w:rPr>
            </w:pPr>
          </w:p>
        </w:tc>
      </w:tr>
      <w:tr w:rsidR="006A3667" w14:paraId="71D4AA3D" w14:textId="77777777">
        <w:trPr>
          <w:jc w:val="center"/>
          <w:hidden/>
        </w:trPr>
        <w:tc>
          <w:tcPr>
            <w:tcW w:w="0" w:type="auto"/>
            <w:gridSpan w:val="3"/>
            <w:shd w:val="clear" w:color="auto" w:fill="auto"/>
            <w:vAlign w:val="bottom"/>
          </w:tcPr>
          <w:p w14:paraId="71D4AA38" w14:textId="77777777" w:rsidR="006A3667" w:rsidRDefault="006A3667">
            <w:pPr>
              <w:rPr>
                <w:rFonts w:ascii="宋体"/>
                <w:vanish/>
              </w:rPr>
            </w:pPr>
          </w:p>
        </w:tc>
        <w:tc>
          <w:tcPr>
            <w:tcW w:w="0" w:type="auto"/>
            <w:gridSpan w:val="3"/>
            <w:shd w:val="clear" w:color="auto" w:fill="auto"/>
            <w:vAlign w:val="bottom"/>
          </w:tcPr>
          <w:p w14:paraId="71D4AA39" w14:textId="77777777" w:rsidR="006A3667" w:rsidRDefault="006A3667">
            <w:pPr>
              <w:rPr>
                <w:rFonts w:ascii="宋体"/>
                <w:vanish/>
              </w:rPr>
            </w:pPr>
          </w:p>
        </w:tc>
        <w:tc>
          <w:tcPr>
            <w:tcW w:w="0" w:type="auto"/>
            <w:shd w:val="clear" w:color="auto" w:fill="auto"/>
            <w:vAlign w:val="bottom"/>
          </w:tcPr>
          <w:p w14:paraId="71D4AA3A" w14:textId="77777777" w:rsidR="006A3667" w:rsidRDefault="006A3667">
            <w:pPr>
              <w:rPr>
                <w:rFonts w:ascii="宋体"/>
                <w:vanish/>
              </w:rPr>
            </w:pPr>
          </w:p>
        </w:tc>
        <w:tc>
          <w:tcPr>
            <w:tcW w:w="0" w:type="auto"/>
            <w:shd w:val="clear" w:color="auto" w:fill="auto"/>
            <w:vAlign w:val="bottom"/>
          </w:tcPr>
          <w:p w14:paraId="71D4AA3B" w14:textId="77777777" w:rsidR="006A3667" w:rsidRDefault="006A3667">
            <w:pPr>
              <w:rPr>
                <w:rFonts w:ascii="宋体"/>
                <w:vanish/>
              </w:rPr>
            </w:pPr>
          </w:p>
        </w:tc>
        <w:tc>
          <w:tcPr>
            <w:tcW w:w="0" w:type="auto"/>
            <w:shd w:val="clear" w:color="auto" w:fill="auto"/>
            <w:vAlign w:val="bottom"/>
          </w:tcPr>
          <w:p w14:paraId="71D4AA3C" w14:textId="77777777" w:rsidR="006A3667" w:rsidRDefault="006A3667">
            <w:pPr>
              <w:rPr>
                <w:rFonts w:ascii="宋体"/>
                <w:vanish/>
              </w:rPr>
            </w:pPr>
          </w:p>
        </w:tc>
      </w:tr>
      <w:tr w:rsidR="006A3667" w14:paraId="71D4AA43" w14:textId="77777777">
        <w:trPr>
          <w:jc w:val="center"/>
          <w:hidden/>
        </w:trPr>
        <w:tc>
          <w:tcPr>
            <w:tcW w:w="0" w:type="auto"/>
            <w:gridSpan w:val="3"/>
            <w:shd w:val="clear" w:color="auto" w:fill="auto"/>
            <w:vAlign w:val="bottom"/>
          </w:tcPr>
          <w:p w14:paraId="71D4AA3E" w14:textId="77777777" w:rsidR="006A3667" w:rsidRDefault="006A3667">
            <w:pPr>
              <w:rPr>
                <w:rFonts w:ascii="宋体"/>
                <w:vanish/>
              </w:rPr>
            </w:pPr>
          </w:p>
        </w:tc>
        <w:tc>
          <w:tcPr>
            <w:tcW w:w="0" w:type="auto"/>
            <w:gridSpan w:val="3"/>
            <w:shd w:val="clear" w:color="auto" w:fill="auto"/>
            <w:vAlign w:val="bottom"/>
          </w:tcPr>
          <w:p w14:paraId="71D4AA3F" w14:textId="77777777" w:rsidR="006A3667" w:rsidRDefault="006A3667">
            <w:pPr>
              <w:rPr>
                <w:rFonts w:ascii="宋体"/>
                <w:vanish/>
              </w:rPr>
            </w:pPr>
          </w:p>
        </w:tc>
        <w:tc>
          <w:tcPr>
            <w:tcW w:w="0" w:type="auto"/>
            <w:shd w:val="clear" w:color="auto" w:fill="auto"/>
            <w:vAlign w:val="bottom"/>
          </w:tcPr>
          <w:p w14:paraId="71D4AA40" w14:textId="77777777" w:rsidR="006A3667" w:rsidRDefault="006A3667">
            <w:pPr>
              <w:rPr>
                <w:rFonts w:ascii="宋体"/>
                <w:vanish/>
              </w:rPr>
            </w:pPr>
          </w:p>
        </w:tc>
        <w:tc>
          <w:tcPr>
            <w:tcW w:w="0" w:type="auto"/>
            <w:shd w:val="clear" w:color="auto" w:fill="auto"/>
            <w:vAlign w:val="bottom"/>
          </w:tcPr>
          <w:p w14:paraId="71D4AA41" w14:textId="77777777" w:rsidR="006A3667" w:rsidRDefault="006A3667">
            <w:pPr>
              <w:rPr>
                <w:rFonts w:ascii="宋体"/>
                <w:vanish/>
              </w:rPr>
            </w:pPr>
          </w:p>
        </w:tc>
        <w:tc>
          <w:tcPr>
            <w:tcW w:w="0" w:type="auto"/>
            <w:shd w:val="clear" w:color="auto" w:fill="auto"/>
            <w:vAlign w:val="bottom"/>
          </w:tcPr>
          <w:p w14:paraId="71D4AA42" w14:textId="77777777" w:rsidR="006A3667" w:rsidRDefault="006A3667">
            <w:pPr>
              <w:rPr>
                <w:rFonts w:ascii="宋体"/>
                <w:vanish/>
              </w:rPr>
            </w:pPr>
          </w:p>
        </w:tc>
      </w:tr>
      <w:tr w:rsidR="006A3667" w14:paraId="71D4AA49" w14:textId="77777777">
        <w:trPr>
          <w:jc w:val="center"/>
          <w:hidden/>
        </w:trPr>
        <w:tc>
          <w:tcPr>
            <w:tcW w:w="0" w:type="auto"/>
            <w:gridSpan w:val="3"/>
            <w:shd w:val="clear" w:color="auto" w:fill="auto"/>
            <w:vAlign w:val="bottom"/>
          </w:tcPr>
          <w:p w14:paraId="71D4AA44" w14:textId="77777777" w:rsidR="006A3667" w:rsidRDefault="006A3667">
            <w:pPr>
              <w:rPr>
                <w:rFonts w:ascii="宋体"/>
                <w:vanish/>
              </w:rPr>
            </w:pPr>
          </w:p>
        </w:tc>
        <w:tc>
          <w:tcPr>
            <w:tcW w:w="0" w:type="auto"/>
            <w:gridSpan w:val="3"/>
            <w:shd w:val="clear" w:color="auto" w:fill="auto"/>
            <w:vAlign w:val="bottom"/>
          </w:tcPr>
          <w:p w14:paraId="71D4AA45" w14:textId="77777777" w:rsidR="006A3667" w:rsidRDefault="006A3667">
            <w:pPr>
              <w:rPr>
                <w:rFonts w:ascii="宋体"/>
                <w:vanish/>
              </w:rPr>
            </w:pPr>
          </w:p>
        </w:tc>
        <w:tc>
          <w:tcPr>
            <w:tcW w:w="0" w:type="auto"/>
            <w:shd w:val="clear" w:color="auto" w:fill="auto"/>
            <w:vAlign w:val="bottom"/>
          </w:tcPr>
          <w:p w14:paraId="71D4AA46" w14:textId="77777777" w:rsidR="006A3667" w:rsidRDefault="006A3667">
            <w:pPr>
              <w:rPr>
                <w:rFonts w:ascii="宋体"/>
                <w:vanish/>
              </w:rPr>
            </w:pPr>
          </w:p>
        </w:tc>
        <w:tc>
          <w:tcPr>
            <w:tcW w:w="0" w:type="auto"/>
            <w:shd w:val="clear" w:color="auto" w:fill="auto"/>
            <w:vAlign w:val="bottom"/>
          </w:tcPr>
          <w:p w14:paraId="71D4AA47" w14:textId="77777777" w:rsidR="006A3667" w:rsidRDefault="006A3667">
            <w:pPr>
              <w:rPr>
                <w:rFonts w:ascii="宋体"/>
                <w:vanish/>
              </w:rPr>
            </w:pPr>
          </w:p>
        </w:tc>
        <w:tc>
          <w:tcPr>
            <w:tcW w:w="0" w:type="auto"/>
            <w:shd w:val="clear" w:color="auto" w:fill="auto"/>
            <w:vAlign w:val="bottom"/>
          </w:tcPr>
          <w:p w14:paraId="71D4AA48" w14:textId="77777777" w:rsidR="006A3667" w:rsidRDefault="006A3667">
            <w:pPr>
              <w:rPr>
                <w:rFonts w:ascii="宋体"/>
                <w:vanish/>
              </w:rPr>
            </w:pPr>
          </w:p>
        </w:tc>
      </w:tr>
      <w:tr w:rsidR="006A3667" w14:paraId="71D4AA50"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1D4AA4A" w14:textId="77777777" w:rsidR="006A3667" w:rsidRDefault="00045F32">
            <w:pP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arrangement or for which we provide administrative services for clients. To the extent that we provide more than one AUC/A service (including back and middle off</w:t>
            </w:r>
            <w:r>
              <w:rPr>
                <w:rFonts w:ascii="Arial" w:eastAsia="宋体" w:hAnsi="Arial" w:cs="Arial"/>
                <w:color w:val="000000"/>
                <w:sz w:val="16"/>
                <w:szCs w:val="16"/>
              </w:rPr>
              <w:t xml:space="preserve">ice services) for a client’s assets, the value of the asset is only counted once in the total amount of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w:t>
            </w:r>
            <w:r>
              <w:rPr>
                <w:rFonts w:ascii="Arial" w:eastAsia="宋体" w:hAnsi="Arial" w:cs="Arial"/>
                <w:color w:val="000000"/>
                <w:sz w:val="16"/>
                <w:szCs w:val="16"/>
              </w:rPr>
              <w:t>s and/or distribution services generating management fees based on a percentage of the assets’ market values. These client assets are not included on our balance sheet. Assets under management include managed assets lost but not liquidated. Lost business o</w:t>
            </w:r>
            <w:r>
              <w:rPr>
                <w:rFonts w:ascii="Arial" w:eastAsia="宋体" w:hAnsi="Arial" w:cs="Arial"/>
                <w:color w:val="000000"/>
                <w:sz w:val="16"/>
                <w:szCs w:val="16"/>
              </w:rPr>
              <w:t>ccurs from time to time and it is difficult to predict the timing of client behavior in transitioning these assets as the timing can vary significantly.</w:t>
            </w:r>
          </w:p>
          <w:p w14:paraId="71D4AA4B" w14:textId="77777777" w:rsidR="006A3667" w:rsidRDefault="00045F32">
            <w:pPr>
              <w:spacing w:after="240"/>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w:t>
            </w:r>
            <w:r>
              <w:rPr>
                <w:rFonts w:ascii="Arial" w:eastAsia="宋体" w:hAnsi="Arial" w:cs="Arial"/>
                <w:color w:val="000000"/>
                <w:sz w:val="16"/>
                <w:szCs w:val="16"/>
              </w:rPr>
              <w:t>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w:t>
            </w:r>
            <w:r>
              <w:rPr>
                <w:rFonts w:ascii="Arial" w:eastAsia="宋体" w:hAnsi="Arial" w:cs="Arial"/>
                <w:color w:val="000000"/>
                <w:sz w:val="16"/>
                <w:szCs w:val="16"/>
              </w:rPr>
              <w:t>nimum investment requirements. A CD restricts access to the funds until the maturity date of the investment.</w:t>
            </w:r>
            <w:r>
              <w:rPr>
                <w:rFonts w:ascii="Arial" w:eastAsia="宋体" w:hAnsi="Arial" w:cs="Arial"/>
                <w:color w:val="000000"/>
                <w:sz w:val="16"/>
                <w:szCs w:val="16"/>
              </w:rPr>
              <w:br/>
            </w:r>
            <w:r>
              <w:rPr>
                <w:rFonts w:ascii="Arial" w:eastAsia="宋体" w:hAnsi="Arial" w:cs="Arial"/>
                <w:color w:val="000000"/>
                <w:sz w:val="16"/>
                <w:szCs w:val="16"/>
                <w:shd w:val="clear" w:color="auto" w:fill="FFFF00"/>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loan or security backed by a pool of debt, primarily senior secured leveraged loans. CLOs are similar to collat</w:t>
            </w:r>
            <w:r>
              <w:rPr>
                <w:rFonts w:ascii="Arial" w:eastAsia="宋体" w:hAnsi="Arial" w:cs="Arial"/>
                <w:color w:val="000000"/>
                <w:sz w:val="16"/>
                <w:szCs w:val="16"/>
              </w:rPr>
              <w:t>eralized mortgage obligations, except for the different type of underlying loan. With a CLO, the investor receives scheduled loan or debt payments from the underlying loans, assuming most of the risk in the event borrowers default, but is offered greater d</w:t>
            </w:r>
            <w:r>
              <w:rPr>
                <w:rFonts w:ascii="Arial" w:eastAsia="宋体" w:hAnsi="Arial" w:cs="Arial"/>
                <w:color w:val="000000"/>
                <w:sz w:val="16"/>
                <w:szCs w:val="16"/>
              </w:rPr>
              <w:t>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 to generate profit from capital gains or rental income. CRE loans are term loans secured by commercial and multifamily properties. We seek CRE loans with</w:t>
            </w:r>
            <w:r>
              <w:rPr>
                <w:rFonts w:ascii="Arial" w:eastAsia="宋体" w:hAnsi="Arial" w:cs="Arial"/>
                <w:color w:val="000000"/>
                <w:sz w:val="16"/>
                <w:szCs w:val="16"/>
              </w:rPr>
              <w:t xml:space="preserve"> strong competitive positions in major domestic markets, stable cash flows, modest leverage and experienced institutional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Deposit beta:</w:t>
            </w:r>
            <w:r>
              <w:rPr>
                <w:rFonts w:ascii="Arial" w:eastAsia="宋体" w:hAnsi="Arial" w:cs="Arial"/>
                <w:color w:val="000000"/>
                <w:sz w:val="16"/>
                <w:szCs w:val="16"/>
              </w:rPr>
              <w:t xml:space="preserve"> A measure of how much of an interest rate increase is expected to be passed on to client interest-bearing ac</w:t>
            </w:r>
            <w:r>
              <w:rPr>
                <w:rFonts w:ascii="Arial" w:eastAsia="宋体" w:hAnsi="Arial" w:cs="Arial"/>
                <w:color w:val="000000"/>
                <w:sz w:val="16"/>
                <w:szCs w:val="16"/>
              </w:rPr>
              <w:t>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 which essentially corresponds to 'custodian'.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w:t>
            </w:r>
            <w:r>
              <w:rPr>
                <w:rFonts w:ascii="Arial" w:eastAsia="宋体" w:hAnsi="Arial" w:cs="Arial"/>
                <w:color w:val="000000"/>
                <w:sz w:val="16"/>
                <w:szCs w:val="16"/>
              </w:rPr>
              <w:t>-defined weaknesses that jeopardize repayment with the possibility that we will sustain some loss) with the added characteristic that the weaknesses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w:t>
            </w:r>
            <w:r>
              <w:rPr>
                <w:rFonts w:ascii="Arial" w:eastAsia="宋体" w:hAnsi="Arial" w:cs="Arial"/>
                <w:color w:val="000000"/>
                <w:sz w:val="16"/>
                <w:szCs w:val="16"/>
              </w:rPr>
              <w:t>sure designed to estimate the fair value of assets, liabilities and off-balance sheet instruments based on a discounted cash flow model.</w:t>
            </w:r>
            <w:r>
              <w:rPr>
                <w:rFonts w:ascii="Arial" w:eastAsia="宋体" w:hAnsi="Arial" w:cs="Arial"/>
                <w:color w:val="000000"/>
                <w:sz w:val="16"/>
                <w:szCs w:val="16"/>
              </w:rPr>
              <w:br/>
            </w:r>
            <w:r>
              <w:rPr>
                <w:rFonts w:ascii="Arial" w:eastAsia="宋体" w:hAnsi="Arial" w:cs="Arial"/>
                <w:b/>
                <w:bCs/>
                <w:color w:val="000000"/>
                <w:sz w:val="16"/>
                <w:szCs w:val="16"/>
              </w:rPr>
              <w:br/>
              <w:t xml:space="preserve">Exchange-Traded Fund: </w:t>
            </w:r>
            <w:r>
              <w:rPr>
                <w:rFonts w:ascii="Arial" w:eastAsia="宋体" w:hAnsi="Arial" w:cs="Arial"/>
                <w:color w:val="000000"/>
                <w:sz w:val="16"/>
                <w:szCs w:val="16"/>
              </w:rPr>
              <w:t>A type of exchange-traded investment product that offer investors a way to pool their money in a</w:t>
            </w:r>
            <w:r>
              <w:rPr>
                <w:rFonts w:ascii="Arial" w:eastAsia="宋体" w:hAnsi="Arial" w:cs="Arial"/>
                <w:color w:val="000000"/>
                <w:sz w:val="16"/>
                <w:szCs w:val="16"/>
              </w:rPr>
              <w:t xml:space="preserve"> fund that makes investments in stocks, bonds, or other assets and, in return, to receive an interest in that investment pool. ETF shares are 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used in the calculation of regulatory capital under Basel III final rule. It can be defined as the expected amount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 xml:space="preserve">A financial </w:t>
            </w:r>
            <w:r>
              <w:rPr>
                <w:rFonts w:ascii="Arial" w:eastAsia="宋体" w:hAnsi="Arial" w:cs="Arial"/>
                <w:color w:val="000000"/>
                <w:sz w:val="16"/>
                <w:szCs w:val="16"/>
              </w:rPr>
              <w:t>institution whose distress or disorderly failure, because of its size, complexity and systemic interconnectedness, would cause significant disruption to the wider financial system and economic activity, which will be subject to additional capital requireme</w:t>
            </w:r>
            <w:r>
              <w:rPr>
                <w:rFonts w:ascii="Arial" w:eastAsia="宋体" w:hAnsi="Arial" w:cs="Arial"/>
                <w:color w:val="000000"/>
                <w:sz w:val="16"/>
                <w:szCs w:val="16"/>
              </w:rPr>
              <w:t>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investment securities:</w:t>
            </w:r>
            <w:r>
              <w:rPr>
                <w:rFonts w:ascii="Arial" w:eastAsia="宋体" w:hAnsi="Arial" w:cs="Arial"/>
                <w:color w:val="000000"/>
                <w:sz w:val="16"/>
                <w:szCs w:val="16"/>
              </w:rPr>
              <w:t xml:space="preserve"> We classify investments in debt securities as held-to-maturity only if we have the positive intent and ability to hold those securities to maturity. Investments in debt securities classified as held-to-maturity</w:t>
            </w:r>
            <w:r>
              <w:rPr>
                <w:rFonts w:ascii="Arial" w:eastAsia="宋体" w:hAnsi="Arial" w:cs="Arial"/>
                <w:color w:val="000000"/>
                <w:sz w:val="16"/>
                <w:szCs w:val="16"/>
              </w:rPr>
              <w:t xml:space="preserve"> are measured subsequently at amortized cost 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71D4AA4C" w14:textId="77777777" w:rsidR="006A3667" w:rsidRDefault="00045F32">
            <w:pPr>
              <w:spacing w:after="240"/>
              <w:textAlignment w:val="top"/>
            </w:pPr>
            <w:r>
              <w:rPr>
                <w:rFonts w:ascii="Arial" w:eastAsia="宋体" w:hAnsi="Arial" w:cs="Arial"/>
                <w:b/>
                <w:bCs/>
                <w:color w:val="000000"/>
                <w:sz w:val="16"/>
                <w:szCs w:val="16"/>
              </w:rPr>
              <w:t>High-quality liquid assets:</w:t>
            </w:r>
            <w:r>
              <w:rPr>
                <w:rFonts w:ascii="Arial" w:eastAsia="宋体" w:hAnsi="Arial" w:cs="Arial"/>
                <w:color w:val="000000"/>
                <w:sz w:val="16"/>
                <w:szCs w:val="16"/>
              </w:rPr>
              <w:t xml:space="preserve"> Cash or assets that can be converted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Investment gr</w:t>
            </w:r>
            <w:r>
              <w:rPr>
                <w:rFonts w:ascii="Arial" w:eastAsia="宋体" w:hAnsi="Arial" w:cs="Arial"/>
                <w:b/>
                <w:bCs/>
                <w:color w:val="000000"/>
                <w:sz w:val="16"/>
                <w:szCs w:val="16"/>
              </w:rPr>
              <w:t xml:space="preserve">ade: </w:t>
            </w:r>
            <w:r>
              <w:rPr>
                <w:rFonts w:ascii="Arial" w:eastAsia="宋体" w:hAnsi="Arial" w:cs="Arial"/>
                <w:color w:val="000000"/>
                <w:sz w:val="16"/>
                <w:szCs w:val="16"/>
              </w:rPr>
              <w:t>A rating of loans and leases to counterparties with strong credit quality and low expected credit risk and probability of default. It applies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w:t>
            </w:r>
            <w:r>
              <w:rPr>
                <w:rFonts w:ascii="Arial" w:eastAsia="宋体" w:hAnsi="Arial" w:cs="Arial"/>
                <w:b/>
                <w:bCs/>
                <w:color w:val="000000"/>
                <w:sz w:val="16"/>
                <w:szCs w:val="16"/>
              </w:rPr>
              <w:t>ity coverage ratio:</w:t>
            </w:r>
            <w:r>
              <w:rPr>
                <w:rFonts w:ascii="Arial" w:eastAsia="宋体" w:hAnsi="Arial" w:cs="Arial"/>
                <w:color w:val="000000"/>
                <w:sz w:val="16"/>
                <w:szCs w:val="16"/>
              </w:rPr>
              <w:t xml:space="preserve"> The ratio of encumbered high-quality liquid assets divided by expected total net cash outflows over a 30-day stress period. A Basel III framework requirement for banks and bank holding companies to measure liquidity, it is designed to e</w:t>
            </w:r>
            <w:r>
              <w:rPr>
                <w:rFonts w:ascii="Arial" w:eastAsia="宋体" w:hAnsi="Arial" w:cs="Arial"/>
                <w:color w:val="000000"/>
                <w:sz w:val="16"/>
                <w:szCs w:val="16"/>
              </w:rPr>
              <w:t xml:space="preserve">nsure that certain banking institutions, including us, maintain a minimum amount of unencumbered HQLA sufficient to withstand the net cash outflow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w:t>
            </w:r>
            <w:r>
              <w:rPr>
                <w:rFonts w:ascii="Arial" w:eastAsia="宋体" w:hAnsi="Arial" w:cs="Arial"/>
                <w:b/>
                <w:bCs/>
                <w:color w:val="000000"/>
                <w:sz w:val="16"/>
                <w:szCs w:val="16"/>
              </w:rPr>
              <w:t>ue:</w:t>
            </w:r>
            <w:r>
              <w:rPr>
                <w:rFonts w:ascii="Arial" w:eastAsia="宋体" w:hAnsi="Arial" w:cs="Arial"/>
                <w:color w:val="000000"/>
                <w:sz w:val="16"/>
                <w:szCs w:val="16"/>
              </w:rPr>
              <w:t xml:space="preserve"> The amount of net assets attributable to each share/unit of the fund at a specific date or 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funding ratio:</w:t>
            </w:r>
            <w:r>
              <w:rPr>
                <w:rFonts w:ascii="Arial" w:eastAsia="宋体" w:hAnsi="Arial" w:cs="Arial"/>
                <w:color w:val="000000"/>
                <w:sz w:val="16"/>
                <w:szCs w:val="16"/>
              </w:rPr>
              <w:t xml:space="preserve"> The ratio of the amount of available stable funding relative to the amount of required stable funding. This ratio should be equ</w:t>
            </w:r>
            <w:r>
              <w:rPr>
                <w:rFonts w:ascii="Arial" w:eastAsia="宋体" w:hAnsi="Arial" w:cs="Arial"/>
                <w:color w:val="000000"/>
                <w:sz w:val="16"/>
                <w:szCs w:val="16"/>
              </w:rPr>
              <w:t xml:space="preserve">al to at least 100% on an ongoing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Other-than-temporary-impairment:</w:t>
            </w:r>
            <w:r>
              <w:rPr>
                <w:rFonts w:ascii="Arial" w:eastAsia="宋体" w:hAnsi="Arial" w:cs="Arial"/>
                <w:color w:val="000000"/>
                <w:sz w:val="16"/>
                <w:szCs w:val="16"/>
              </w:rPr>
              <w:t xml:space="preserve"> Impairment charge taken on a security whose fair value has fallen below its carrying value on balance sheet and its value is not expected to recover through the holding period of t</w:t>
            </w:r>
            <w:r>
              <w:rPr>
                <w:rFonts w:ascii="Arial" w:eastAsia="宋体" w:hAnsi="Arial" w:cs="Arial"/>
                <w:color w:val="000000"/>
                <w:sz w:val="16"/>
                <w:szCs w:val="16"/>
              </w:rPr>
              <w: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Probability of default:</w:t>
            </w:r>
            <w:r>
              <w:rPr>
                <w:rFonts w:ascii="Arial" w:eastAsia="宋体" w:hAnsi="Arial" w:cs="Arial"/>
                <w:color w:val="000000"/>
                <w:sz w:val="16"/>
                <w:szCs w:val="16"/>
              </w:rPr>
              <w:t xml:space="preserve"> A measure of the likelihood that a credit obligor will enter into default status.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Qualified financial contracts: </w:t>
            </w:r>
            <w:r>
              <w:rPr>
                <w:rFonts w:ascii="Arial" w:eastAsia="宋体" w:hAnsi="Arial" w:cs="Arial"/>
                <w:color w:val="000000"/>
                <w:sz w:val="16"/>
                <w:szCs w:val="16"/>
              </w:rPr>
              <w:t>Securities contracts, commodity contracts, forward contracts, repurchase agreements, swap agreements and</w:t>
            </w:r>
            <w:r>
              <w:rPr>
                <w:rFonts w:ascii="Arial" w:eastAsia="宋体" w:hAnsi="Arial" w:cs="Arial"/>
                <w:color w:val="000000"/>
                <w:sz w:val="16"/>
                <w:szCs w:val="16"/>
              </w:rPr>
              <w:t xml:space="preserve"> any other contract determined by the FDIC to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 assets:</w:t>
            </w:r>
            <w:r>
              <w:rPr>
                <w:rFonts w:ascii="Arial" w:eastAsia="宋体" w:hAnsi="Arial" w:cs="Arial"/>
                <w:color w:val="000000"/>
                <w:sz w:val="16"/>
                <w:szCs w:val="16"/>
              </w:rPr>
              <w:t xml:space="preserve"> A measurement used to quantify risk inherent in our on and off-balance sheet assets by adjusting the asset value for risk. RWA is used in the calculatio</w:t>
            </w:r>
            <w:r>
              <w:rPr>
                <w:rFonts w:ascii="Arial" w:eastAsia="宋体" w:hAnsi="Arial" w:cs="Arial"/>
                <w:color w:val="000000"/>
                <w:sz w:val="16"/>
                <w:szCs w:val="16"/>
              </w:rPr>
              <w:t xml:space="preserve">n of our risk-based capital ratios.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 mention:</w:t>
            </w:r>
            <w:r>
              <w:rPr>
                <w:rFonts w:ascii="Arial" w:eastAsia="宋体" w:hAnsi="Arial" w:cs="Arial"/>
                <w:color w:val="000000"/>
                <w:sz w:val="16"/>
                <w:szCs w:val="16"/>
              </w:rPr>
              <w:t xml:space="preserve"> Loans and leases that consist of counterparties with potential weaknesses that, if uncorrected,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w:t>
            </w:r>
            <w:r>
              <w:rPr>
                <w:rFonts w:ascii="Arial" w:eastAsia="宋体" w:hAnsi="Arial" w:cs="Arial"/>
                <w:color w:val="000000"/>
                <w:sz w:val="16"/>
                <w:szCs w:val="16"/>
              </w:rPr>
              <w:t>rparties that face ongoing uncertainties or exposure to business, financial, or economic downturns. However, these counterparties may have financial flexibility or access to financial alternatives, which allow for financial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w:t>
            </w:r>
            <w:r>
              <w:rPr>
                <w:rFonts w:ascii="Arial" w:eastAsia="宋体" w:hAnsi="Arial" w:cs="Arial"/>
                <w:b/>
                <w:bCs/>
                <w:color w:val="000000"/>
                <w:sz w:val="16"/>
                <w:szCs w:val="16"/>
              </w:rPr>
              <w:t>ard:</w:t>
            </w:r>
            <w:r>
              <w:rPr>
                <w:rFonts w:ascii="Arial" w:eastAsia="宋体" w:hAnsi="Arial" w:cs="Arial"/>
                <w:color w:val="000000"/>
                <w:sz w:val="16"/>
                <w:szCs w:val="16"/>
              </w:rPr>
              <w:t xml:space="preserve"> Loans and leases that consist of counterparties with well-defined weakness that jeopardizes repayment with the possibility we will sustain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capital to our total leverage exposure, which</w:t>
            </w:r>
            <w:r>
              <w:rPr>
                <w:rFonts w:ascii="Arial" w:eastAsia="宋体" w:hAnsi="Arial" w:cs="Arial"/>
                <w:color w:val="000000"/>
                <w:sz w:val="16"/>
                <w:szCs w:val="16"/>
              </w:rPr>
              <w:t xml:space="preserve"> measures our capital adequacy relative to our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loss-absorbing capacity:</w:t>
            </w:r>
            <w:r>
              <w:rPr>
                <w:rFonts w:ascii="Arial" w:eastAsia="宋体" w:hAnsi="Arial" w:cs="Arial"/>
                <w:color w:val="000000"/>
                <w:sz w:val="16"/>
                <w:szCs w:val="16"/>
              </w:rPr>
              <w:t xml:space="preserve"> The sum of our tier 1 regulatory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Value-at-Risk:</w:t>
            </w:r>
            <w:r>
              <w:rPr>
                <w:rFonts w:ascii="Arial" w:eastAsia="宋体" w:hAnsi="Arial" w:cs="Arial"/>
                <w:color w:val="000000"/>
                <w:sz w:val="16"/>
                <w:szCs w:val="16"/>
              </w:rPr>
              <w:t xml:space="preserve"> Statistical model used to measure t</w:t>
            </w:r>
            <w:r>
              <w:rPr>
                <w:rFonts w:ascii="Arial" w:eastAsia="宋体" w:hAnsi="Arial" w:cs="Arial"/>
                <w:color w:val="000000"/>
                <w:sz w:val="16"/>
                <w:szCs w:val="16"/>
              </w:rPr>
              <w:t xml:space="preserve">he potential loss in value of a portfolio that could occur in normal markets condition, over a defined holding period, within a certain confidence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equity investment at risk to permit the e</w:t>
            </w:r>
            <w:r>
              <w:rPr>
                <w:rFonts w:ascii="Arial" w:eastAsia="宋体" w:hAnsi="Arial" w:cs="Arial"/>
                <w:color w:val="000000"/>
                <w:sz w:val="16"/>
                <w:szCs w:val="16"/>
              </w:rPr>
              <w:t xml:space="preserve">ntity to finance its activities without additional financial support from other parties; (2) has equity owners that lack the right to make significant decisions affecting the entity’s operations; and/or (3) has equity owners that do not have an obligation </w:t>
            </w:r>
            <w:r>
              <w:rPr>
                <w:rFonts w:ascii="Arial" w:eastAsia="宋体" w:hAnsi="Arial" w:cs="Arial"/>
                <w:color w:val="000000"/>
                <w:sz w:val="16"/>
                <w:szCs w:val="16"/>
              </w:rPr>
              <w:t>to absorb or the right to receive the entity’s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vAlign w:val="bottom"/>
          </w:tcPr>
          <w:p w14:paraId="71D4AA4D" w14:textId="77777777" w:rsidR="006A3667" w:rsidRDefault="006A3667">
            <w:pPr>
              <w:rPr>
                <w:rFonts w:ascii="宋体"/>
                <w:vanish/>
              </w:rPr>
            </w:pPr>
          </w:p>
        </w:tc>
        <w:tc>
          <w:tcPr>
            <w:tcW w:w="0" w:type="auto"/>
            <w:shd w:val="clear" w:color="auto" w:fill="auto"/>
            <w:vAlign w:val="bottom"/>
          </w:tcPr>
          <w:p w14:paraId="71D4AA4E" w14:textId="77777777" w:rsidR="006A3667" w:rsidRDefault="006A3667">
            <w:pPr>
              <w:rPr>
                <w:rFonts w:ascii="宋体"/>
                <w:vanish/>
              </w:rPr>
            </w:pPr>
          </w:p>
        </w:tc>
        <w:tc>
          <w:tcPr>
            <w:tcW w:w="0" w:type="auto"/>
            <w:shd w:val="clear" w:color="auto" w:fill="auto"/>
            <w:vAlign w:val="bottom"/>
          </w:tcPr>
          <w:p w14:paraId="71D4AA4F" w14:textId="77777777" w:rsidR="006A3667" w:rsidRDefault="006A3667">
            <w:pPr>
              <w:rPr>
                <w:rFonts w:ascii="宋体"/>
                <w:vanish/>
              </w:rPr>
            </w:pPr>
          </w:p>
        </w:tc>
      </w:tr>
    </w:tbl>
    <w:p w14:paraId="71D4AA51" w14:textId="77777777" w:rsidR="006A3667" w:rsidRDefault="00045F32">
      <w:pPr>
        <w:ind w:firstLine="450"/>
        <w:jc w:val="right"/>
      </w:pPr>
      <w:r>
        <w:rPr>
          <w:rFonts w:ascii="Arial" w:eastAsia="宋体" w:hAnsi="Arial" w:cs="Arial"/>
          <w:color w:val="000000"/>
          <w:sz w:val="18"/>
          <w:szCs w:val="18"/>
        </w:rPr>
        <w:t>State Street Corporation | 98</w:t>
      </w:r>
    </w:p>
    <w:p w14:paraId="71D4AA52" w14:textId="77777777" w:rsidR="006A3667" w:rsidRDefault="006A3667">
      <w:pPr>
        <w:ind w:firstLine="450"/>
        <w:jc w:val="center"/>
      </w:pPr>
    </w:p>
    <w:p w14:paraId="71D4AA53" w14:textId="77777777" w:rsidR="006A3667" w:rsidRDefault="00045F32">
      <w:r>
        <w:pict w14:anchorId="71D4AC76">
          <v:rect id="_x0000_i1122" style="width:415.3pt;height:1.5pt" o:hralign="center" o:hrstd="t" o:hr="t" fillcolor="#a0a0a0" stroked="f"/>
        </w:pict>
      </w:r>
    </w:p>
    <w:p w14:paraId="71D4AA54" w14:textId="77777777" w:rsidR="006A3667" w:rsidRDefault="006A3667">
      <w:pPr>
        <w:ind w:firstLine="450"/>
      </w:pPr>
    </w:p>
    <w:p w14:paraId="71D4AA55" w14:textId="77777777" w:rsidR="006A3667" w:rsidRDefault="006A3667">
      <w:pPr>
        <w:ind w:firstLine="450"/>
        <w:jc w:val="center"/>
      </w:pPr>
    </w:p>
    <w:p w14:paraId="71D4AA56" w14:textId="77777777" w:rsidR="006A3667" w:rsidRDefault="006A3667">
      <w:pPr>
        <w:jc w:val="both"/>
      </w:pPr>
    </w:p>
    <w:p w14:paraId="71D4AA57" w14:textId="77777777" w:rsidR="006A3667" w:rsidRDefault="00045F32">
      <w:pPr>
        <w:jc w:val="both"/>
      </w:pPr>
      <w:r>
        <w:rPr>
          <w:rFonts w:ascii="Arial" w:eastAsia="宋体" w:hAnsi="Arial" w:cs="Arial"/>
          <w:b/>
          <w:bCs/>
          <w:color w:val="000000"/>
          <w:sz w:val="20"/>
          <w:szCs w:val="20"/>
        </w:rPr>
        <w:t>PART 2. OTHER INFORMATION</w:t>
      </w:r>
    </w:p>
    <w:p w14:paraId="71D4AA58" w14:textId="77777777" w:rsidR="006A3667" w:rsidRDefault="006A3667">
      <w:pPr>
        <w:ind w:firstLine="450"/>
        <w:jc w:val="both"/>
      </w:pPr>
    </w:p>
    <w:p w14:paraId="71D4AA59" w14:textId="77777777" w:rsidR="006A3667" w:rsidRDefault="00045F32">
      <w:pPr>
        <w:jc w:val="both"/>
      </w:pPr>
      <w:r>
        <w:rPr>
          <w:rFonts w:ascii="Arial" w:eastAsia="宋体" w:hAnsi="Arial" w:cs="Arial"/>
          <w:b/>
          <w:bCs/>
          <w:color w:val="000000"/>
          <w:sz w:val="20"/>
          <w:szCs w:val="20"/>
        </w:rPr>
        <w:t>ITEM 2.     UNREGISTERED SALES OF EQUITY SECURITIES AND USE OF PROCEEDS</w:t>
      </w:r>
    </w:p>
    <w:p w14:paraId="71D4AA5A" w14:textId="77777777" w:rsidR="006A3667" w:rsidRDefault="00045F32">
      <w:pPr>
        <w:spacing w:before="60"/>
        <w:ind w:firstLine="450"/>
        <w:jc w:val="both"/>
      </w:pPr>
      <w:r>
        <w:rPr>
          <w:rFonts w:ascii="Arial" w:eastAsia="宋体" w:hAnsi="Arial" w:cs="Arial"/>
          <w:color w:val="000000"/>
          <w:sz w:val="20"/>
          <w:szCs w:val="20"/>
          <w:shd w:val="clear" w:color="auto" w:fill="FFFFFF"/>
        </w:rPr>
        <w:t xml:space="preserve">In December 2020, the Federal Reserve issued results of 2020 resubmission stress tests and authorized us to continue to pay common stock dividends at current levels and to resume repurchasing common shares in the first quarter of 2021. </w:t>
      </w:r>
      <w:r>
        <w:rPr>
          <w:rFonts w:ascii="Arial" w:eastAsia="宋体" w:hAnsi="Arial" w:cs="Arial"/>
          <w:color w:val="000000"/>
          <w:sz w:val="20"/>
          <w:szCs w:val="20"/>
        </w:rPr>
        <w:t>In January 2021, our</w:t>
      </w:r>
      <w:r>
        <w:rPr>
          <w:rFonts w:ascii="Arial" w:eastAsia="宋体" w:hAnsi="Arial" w:cs="Arial"/>
          <w:color w:val="000000"/>
          <w:sz w:val="20"/>
          <w:szCs w:val="20"/>
        </w:rPr>
        <w:t xml:space="preserve"> Board authorized a share repurchase program for the purchase of up to $475 million of our common stock through March 31, 2021. In April 2021, our Board authorized a share repurchase program for the repurchase of up to $425 million of our common stock thro</w:t>
      </w:r>
      <w:r>
        <w:rPr>
          <w:rFonts w:ascii="Arial" w:eastAsia="宋体" w:hAnsi="Arial" w:cs="Arial"/>
          <w:color w:val="000000"/>
          <w:sz w:val="20"/>
          <w:szCs w:val="20"/>
        </w:rPr>
        <w:t>ugh June 30, 2021, consistent with the limit set by the Federal Reserve. In July 2021, our Board authorized a share repurchase program for the repurchase of up to $3.0 billion of our common stock through the end of 2022.</w:t>
      </w:r>
    </w:p>
    <w:p w14:paraId="71D4AA5B" w14:textId="77777777" w:rsidR="006A3667" w:rsidRDefault="00045F32">
      <w:pPr>
        <w:spacing w:before="60"/>
        <w:ind w:firstLine="450"/>
        <w:jc w:val="both"/>
      </w:pPr>
      <w:r>
        <w:rPr>
          <w:rFonts w:ascii="Arial" w:eastAsia="宋体" w:hAnsi="Arial" w:cs="Arial"/>
          <w:color w:val="000000"/>
          <w:sz w:val="20"/>
          <w:szCs w:val="20"/>
        </w:rPr>
        <w:t>In connection with our proposed acq</w:t>
      </w:r>
      <w:r>
        <w:rPr>
          <w:rFonts w:ascii="Arial" w:eastAsia="宋体" w:hAnsi="Arial" w:cs="Arial"/>
          <w:color w:val="000000"/>
          <w:sz w:val="20"/>
          <w:szCs w:val="20"/>
        </w:rPr>
        <w:t>uisition of the BBH Investor Services business, we did not repurchase any common stock during the last half of 2021, as well as during the first nine months of 2022. We intend to repurchase approximately $1.0 billion of our common stock in the fourth quart</w:t>
      </w:r>
      <w:r>
        <w:rPr>
          <w:rFonts w:ascii="Arial" w:eastAsia="宋体" w:hAnsi="Arial" w:cs="Arial"/>
          <w:color w:val="000000"/>
          <w:sz w:val="20"/>
          <w:szCs w:val="20"/>
        </w:rPr>
        <w:t>er of 2022 under the existing share repurchase program, expiring December 21, 2022.</w:t>
      </w:r>
    </w:p>
    <w:p w14:paraId="71D4AA5C" w14:textId="77777777" w:rsidR="006A3667" w:rsidRDefault="00045F32">
      <w:pPr>
        <w:spacing w:before="60"/>
        <w:ind w:firstLine="450"/>
        <w:jc w:val="both"/>
      </w:pPr>
      <w:r>
        <w:rPr>
          <w:rFonts w:ascii="Arial" w:eastAsia="宋体" w:hAnsi="Arial" w:cs="Arial"/>
          <w:color w:val="000000"/>
          <w:sz w:val="20"/>
          <w:szCs w:val="20"/>
        </w:rPr>
        <w:t>Stock purchases under our common share repurchase program may be made using various types of transactions, including open-market purchases, accelerated share repurchases or</w:t>
      </w:r>
      <w:r>
        <w:rPr>
          <w:rFonts w:ascii="Arial" w:eastAsia="宋体" w:hAnsi="Arial" w:cs="Arial"/>
          <w:color w:val="000000"/>
          <w:sz w:val="20"/>
          <w:szCs w:val="20"/>
        </w:rPr>
        <w:t xml:space="preserve"> other transactions off the market, and may be made under Rule 10b5-1 trading programs. The timing and amount of any stock purchases and the type of transaction may not be ratable over the duration of the program, may vary from reporting period to reportin</w:t>
      </w:r>
      <w:r>
        <w:rPr>
          <w:rFonts w:ascii="Arial" w:eastAsia="宋体" w:hAnsi="Arial" w:cs="Arial"/>
          <w:color w:val="000000"/>
          <w:sz w:val="20"/>
          <w:szCs w:val="20"/>
        </w:rPr>
        <w:t>g period and will depend on several factors, including our capital position and financial performance, investment opportunities, market conditions, the nature and timing of implementation of revisions to the Basel III framework and the amount of common sto</w:t>
      </w:r>
      <w:r>
        <w:rPr>
          <w:rFonts w:ascii="Arial" w:eastAsia="宋体" w:hAnsi="Arial" w:cs="Arial"/>
          <w:color w:val="000000"/>
          <w:sz w:val="20"/>
          <w:szCs w:val="20"/>
        </w:rPr>
        <w:t>ck issued as part of employee compensation programs. The common share repurchase program does not have specific price targets and may be suspended at any time.</w:t>
      </w:r>
    </w:p>
    <w:p w14:paraId="71D4AA5D" w14:textId="77777777" w:rsidR="006A3667" w:rsidRDefault="00045F32">
      <w:pPr>
        <w:ind w:firstLine="450"/>
        <w:jc w:val="right"/>
      </w:pPr>
      <w:r>
        <w:rPr>
          <w:rFonts w:ascii="Arial" w:eastAsia="宋体" w:hAnsi="Arial" w:cs="Arial"/>
          <w:color w:val="000000"/>
          <w:sz w:val="18"/>
          <w:szCs w:val="18"/>
        </w:rPr>
        <w:t>State Street Corporation | 99</w:t>
      </w:r>
    </w:p>
    <w:p w14:paraId="71D4AA5E" w14:textId="77777777" w:rsidR="006A3667" w:rsidRDefault="006A3667">
      <w:pPr>
        <w:ind w:firstLine="450"/>
        <w:jc w:val="center"/>
      </w:pPr>
    </w:p>
    <w:p w14:paraId="71D4AA5F" w14:textId="77777777" w:rsidR="006A3667" w:rsidRDefault="00045F32">
      <w:r>
        <w:pict w14:anchorId="71D4AC77">
          <v:rect id="_x0000_i1123" style="width:415.3pt;height:1.5pt" o:hralign="center" o:hrstd="t" o:hr="t" fillcolor="#a0a0a0" stroked="f"/>
        </w:pict>
      </w:r>
    </w:p>
    <w:p w14:paraId="71D4AA60" w14:textId="77777777" w:rsidR="006A3667" w:rsidRDefault="006A3667">
      <w:pPr>
        <w:ind w:firstLine="450"/>
      </w:pPr>
    </w:p>
    <w:p w14:paraId="71D4AA61" w14:textId="77777777" w:rsidR="006A3667" w:rsidRDefault="006A3667">
      <w:pPr>
        <w:ind w:firstLine="450"/>
        <w:jc w:val="center"/>
      </w:pPr>
    </w:p>
    <w:p w14:paraId="71D4AA62" w14:textId="77777777" w:rsidR="006A3667" w:rsidRDefault="00045F32">
      <w:pPr>
        <w:spacing w:before="180"/>
        <w:jc w:val="both"/>
      </w:pPr>
      <w:r>
        <w:rPr>
          <w:rFonts w:ascii="Arial" w:eastAsia="宋体" w:hAnsi="Arial" w:cs="Arial"/>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37"/>
        <w:gridCol w:w="167"/>
        <w:gridCol w:w="37"/>
        <w:gridCol w:w="85"/>
        <w:gridCol w:w="760"/>
        <w:gridCol w:w="38"/>
        <w:gridCol w:w="36"/>
        <w:gridCol w:w="36"/>
        <w:gridCol w:w="36"/>
        <w:gridCol w:w="39"/>
        <w:gridCol w:w="7027"/>
        <w:gridCol w:w="38"/>
      </w:tblGrid>
      <w:tr w:rsidR="006A3667" w14:paraId="71D4AA6F" w14:textId="77777777">
        <w:tc>
          <w:tcPr>
            <w:tcW w:w="5" w:type="pct"/>
            <w:shd w:val="clear" w:color="auto" w:fill="auto"/>
            <w:vAlign w:val="bottom"/>
          </w:tcPr>
          <w:p w14:paraId="71D4AA63" w14:textId="77777777" w:rsidR="006A3667" w:rsidRDefault="006A3667">
            <w:pPr>
              <w:rPr>
                <w:rFonts w:ascii="宋体"/>
              </w:rPr>
            </w:pPr>
          </w:p>
        </w:tc>
        <w:tc>
          <w:tcPr>
            <w:tcW w:w="128" w:type="pct"/>
            <w:shd w:val="clear" w:color="auto" w:fill="auto"/>
            <w:vAlign w:val="bottom"/>
          </w:tcPr>
          <w:p w14:paraId="71D4AA64" w14:textId="77777777" w:rsidR="006A3667" w:rsidRDefault="006A3667">
            <w:pPr>
              <w:rPr>
                <w:rFonts w:ascii="宋体"/>
              </w:rPr>
            </w:pPr>
          </w:p>
        </w:tc>
        <w:tc>
          <w:tcPr>
            <w:tcW w:w="5" w:type="pct"/>
            <w:shd w:val="clear" w:color="auto" w:fill="auto"/>
            <w:vAlign w:val="bottom"/>
          </w:tcPr>
          <w:p w14:paraId="71D4AA65" w14:textId="77777777" w:rsidR="006A3667" w:rsidRDefault="006A3667">
            <w:pPr>
              <w:rPr>
                <w:rFonts w:ascii="宋体"/>
              </w:rPr>
            </w:pPr>
          </w:p>
        </w:tc>
        <w:tc>
          <w:tcPr>
            <w:tcW w:w="50" w:type="pct"/>
            <w:shd w:val="clear" w:color="auto" w:fill="auto"/>
            <w:vAlign w:val="bottom"/>
          </w:tcPr>
          <w:p w14:paraId="71D4AA66" w14:textId="77777777" w:rsidR="006A3667" w:rsidRDefault="006A3667">
            <w:pPr>
              <w:rPr>
                <w:rFonts w:ascii="宋体"/>
              </w:rPr>
            </w:pPr>
          </w:p>
        </w:tc>
        <w:tc>
          <w:tcPr>
            <w:tcW w:w="449" w:type="pct"/>
            <w:shd w:val="clear" w:color="auto" w:fill="auto"/>
            <w:vAlign w:val="bottom"/>
          </w:tcPr>
          <w:p w14:paraId="71D4AA67" w14:textId="77777777" w:rsidR="006A3667" w:rsidRDefault="006A3667">
            <w:pPr>
              <w:rPr>
                <w:rFonts w:ascii="宋体"/>
              </w:rPr>
            </w:pPr>
          </w:p>
        </w:tc>
        <w:tc>
          <w:tcPr>
            <w:tcW w:w="5" w:type="pct"/>
            <w:shd w:val="clear" w:color="auto" w:fill="auto"/>
            <w:vAlign w:val="bottom"/>
          </w:tcPr>
          <w:p w14:paraId="71D4AA68" w14:textId="77777777" w:rsidR="006A3667" w:rsidRDefault="006A3667">
            <w:pPr>
              <w:rPr>
                <w:rFonts w:ascii="宋体"/>
              </w:rPr>
            </w:pPr>
          </w:p>
        </w:tc>
        <w:tc>
          <w:tcPr>
            <w:tcW w:w="5" w:type="pct"/>
            <w:shd w:val="clear" w:color="auto" w:fill="auto"/>
            <w:vAlign w:val="bottom"/>
          </w:tcPr>
          <w:p w14:paraId="71D4AA69" w14:textId="77777777" w:rsidR="006A3667" w:rsidRDefault="006A3667">
            <w:pPr>
              <w:rPr>
                <w:rFonts w:ascii="宋体"/>
              </w:rPr>
            </w:pPr>
          </w:p>
        </w:tc>
        <w:tc>
          <w:tcPr>
            <w:tcW w:w="26" w:type="pct"/>
            <w:shd w:val="clear" w:color="auto" w:fill="auto"/>
            <w:vAlign w:val="bottom"/>
          </w:tcPr>
          <w:p w14:paraId="71D4AA6A" w14:textId="77777777" w:rsidR="006A3667" w:rsidRDefault="006A3667">
            <w:pPr>
              <w:rPr>
                <w:rFonts w:ascii="宋体"/>
              </w:rPr>
            </w:pPr>
          </w:p>
        </w:tc>
        <w:tc>
          <w:tcPr>
            <w:tcW w:w="5" w:type="pct"/>
            <w:shd w:val="clear" w:color="auto" w:fill="auto"/>
            <w:vAlign w:val="bottom"/>
          </w:tcPr>
          <w:p w14:paraId="71D4AA6B" w14:textId="77777777" w:rsidR="006A3667" w:rsidRDefault="006A3667">
            <w:pPr>
              <w:rPr>
                <w:rFonts w:ascii="宋体"/>
              </w:rPr>
            </w:pPr>
          </w:p>
        </w:tc>
        <w:tc>
          <w:tcPr>
            <w:tcW w:w="50" w:type="pct"/>
            <w:shd w:val="clear" w:color="auto" w:fill="auto"/>
            <w:vAlign w:val="bottom"/>
          </w:tcPr>
          <w:p w14:paraId="71D4AA6C" w14:textId="77777777" w:rsidR="006A3667" w:rsidRDefault="006A3667">
            <w:pPr>
              <w:rPr>
                <w:rFonts w:ascii="宋体"/>
              </w:rPr>
            </w:pPr>
          </w:p>
        </w:tc>
        <w:tc>
          <w:tcPr>
            <w:tcW w:w="4265" w:type="pct"/>
            <w:shd w:val="clear" w:color="auto" w:fill="auto"/>
            <w:vAlign w:val="bottom"/>
          </w:tcPr>
          <w:p w14:paraId="71D4AA6D" w14:textId="77777777" w:rsidR="006A3667" w:rsidRDefault="006A3667">
            <w:pPr>
              <w:rPr>
                <w:rFonts w:ascii="宋体"/>
              </w:rPr>
            </w:pPr>
          </w:p>
        </w:tc>
        <w:tc>
          <w:tcPr>
            <w:tcW w:w="5" w:type="pct"/>
            <w:shd w:val="clear" w:color="auto" w:fill="auto"/>
            <w:vAlign w:val="bottom"/>
          </w:tcPr>
          <w:p w14:paraId="71D4AA6E" w14:textId="77777777" w:rsidR="006A3667" w:rsidRDefault="006A3667">
            <w:pPr>
              <w:rPr>
                <w:rFonts w:ascii="宋体"/>
              </w:rPr>
            </w:pPr>
          </w:p>
        </w:tc>
      </w:tr>
      <w:tr w:rsidR="006A3667" w14:paraId="71D4AA73" w14:textId="77777777">
        <w:tc>
          <w:tcPr>
            <w:tcW w:w="0" w:type="auto"/>
            <w:gridSpan w:val="6"/>
            <w:shd w:val="clear" w:color="auto" w:fill="auto"/>
            <w:tcMar>
              <w:top w:w="40" w:type="dxa"/>
              <w:left w:w="20" w:type="dxa"/>
              <w:bottom w:w="40" w:type="dxa"/>
              <w:right w:w="20" w:type="dxa"/>
            </w:tcMar>
            <w:vAlign w:val="bottom"/>
          </w:tcPr>
          <w:p w14:paraId="71D4AA70" w14:textId="77777777" w:rsidR="006A3667" w:rsidRDefault="00045F32">
            <w:pPr>
              <w:textAlignment w:val="bottom"/>
            </w:pPr>
            <w:r>
              <w:rPr>
                <w:rFonts w:ascii="Arial" w:eastAsia="宋体" w:hAnsi="Arial" w:cs="Arial"/>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71D4AA7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A72" w14:textId="77777777" w:rsidR="006A3667" w:rsidRDefault="00045F32">
            <w:pPr>
              <w:textAlignment w:val="bottom"/>
            </w:pPr>
            <w:r>
              <w:rPr>
                <w:rFonts w:ascii="Arial" w:eastAsia="宋体" w:hAnsi="Arial" w:cs="Arial"/>
                <w:color w:val="000000"/>
                <w:sz w:val="20"/>
                <w:szCs w:val="20"/>
              </w:rPr>
              <w:t xml:space="preserve">Exhibit </w:t>
            </w:r>
            <w:r>
              <w:rPr>
                <w:rFonts w:ascii="Arial" w:eastAsia="宋体" w:hAnsi="Arial" w:cs="Arial"/>
                <w:color w:val="000000"/>
                <w:sz w:val="20"/>
                <w:szCs w:val="20"/>
              </w:rPr>
              <w:t>Description</w:t>
            </w:r>
          </w:p>
        </w:tc>
      </w:tr>
      <w:tr w:rsidR="006A3667" w14:paraId="71D4AA78" w14:textId="77777777">
        <w:trPr>
          <w:hidden/>
        </w:trPr>
        <w:tc>
          <w:tcPr>
            <w:tcW w:w="0" w:type="auto"/>
            <w:gridSpan w:val="3"/>
            <w:shd w:val="clear" w:color="auto" w:fill="auto"/>
            <w:vAlign w:val="bottom"/>
          </w:tcPr>
          <w:p w14:paraId="71D4AA74" w14:textId="77777777" w:rsidR="006A3667" w:rsidRDefault="006A3667">
            <w:pPr>
              <w:rPr>
                <w:rFonts w:ascii="宋体"/>
                <w:vanish/>
              </w:rPr>
            </w:pPr>
          </w:p>
        </w:tc>
        <w:tc>
          <w:tcPr>
            <w:tcW w:w="0" w:type="auto"/>
            <w:gridSpan w:val="3"/>
            <w:shd w:val="clear" w:color="auto" w:fill="auto"/>
            <w:vAlign w:val="bottom"/>
          </w:tcPr>
          <w:p w14:paraId="71D4AA75" w14:textId="77777777" w:rsidR="006A3667" w:rsidRDefault="006A3667">
            <w:pPr>
              <w:rPr>
                <w:rFonts w:ascii="宋体"/>
                <w:vanish/>
              </w:rPr>
            </w:pPr>
          </w:p>
        </w:tc>
        <w:tc>
          <w:tcPr>
            <w:tcW w:w="0" w:type="auto"/>
            <w:gridSpan w:val="3"/>
            <w:shd w:val="clear" w:color="auto" w:fill="auto"/>
            <w:vAlign w:val="bottom"/>
          </w:tcPr>
          <w:p w14:paraId="71D4AA76" w14:textId="77777777" w:rsidR="006A3667" w:rsidRDefault="006A3667">
            <w:pPr>
              <w:rPr>
                <w:rFonts w:ascii="宋体"/>
                <w:vanish/>
              </w:rPr>
            </w:pPr>
          </w:p>
        </w:tc>
        <w:tc>
          <w:tcPr>
            <w:tcW w:w="0" w:type="auto"/>
            <w:gridSpan w:val="3"/>
            <w:shd w:val="clear" w:color="auto" w:fill="auto"/>
            <w:vAlign w:val="bottom"/>
          </w:tcPr>
          <w:p w14:paraId="71D4AA77" w14:textId="77777777" w:rsidR="006A3667" w:rsidRDefault="006A3667">
            <w:pPr>
              <w:rPr>
                <w:rFonts w:ascii="宋体"/>
                <w:vanish/>
              </w:rPr>
            </w:pPr>
          </w:p>
        </w:tc>
      </w:tr>
      <w:tr w:rsidR="006A3667" w14:paraId="71D4AA7D" w14:textId="77777777">
        <w:trPr>
          <w:hidden/>
        </w:trPr>
        <w:tc>
          <w:tcPr>
            <w:tcW w:w="0" w:type="auto"/>
            <w:gridSpan w:val="3"/>
            <w:shd w:val="clear" w:color="auto" w:fill="auto"/>
            <w:vAlign w:val="bottom"/>
          </w:tcPr>
          <w:p w14:paraId="71D4AA79" w14:textId="77777777" w:rsidR="006A3667" w:rsidRDefault="006A3667">
            <w:pPr>
              <w:rPr>
                <w:rFonts w:ascii="宋体"/>
                <w:vanish/>
              </w:rPr>
            </w:pPr>
          </w:p>
        </w:tc>
        <w:tc>
          <w:tcPr>
            <w:tcW w:w="0" w:type="auto"/>
            <w:gridSpan w:val="3"/>
            <w:shd w:val="clear" w:color="auto" w:fill="auto"/>
            <w:vAlign w:val="bottom"/>
          </w:tcPr>
          <w:p w14:paraId="71D4AA7A" w14:textId="77777777" w:rsidR="006A3667" w:rsidRDefault="006A3667">
            <w:pPr>
              <w:rPr>
                <w:rFonts w:ascii="宋体"/>
                <w:vanish/>
              </w:rPr>
            </w:pPr>
          </w:p>
        </w:tc>
        <w:tc>
          <w:tcPr>
            <w:tcW w:w="0" w:type="auto"/>
            <w:gridSpan w:val="3"/>
            <w:shd w:val="clear" w:color="auto" w:fill="auto"/>
            <w:vAlign w:val="bottom"/>
          </w:tcPr>
          <w:p w14:paraId="71D4AA7B" w14:textId="77777777" w:rsidR="006A3667" w:rsidRDefault="006A3667">
            <w:pPr>
              <w:rPr>
                <w:rFonts w:ascii="宋体"/>
                <w:vanish/>
              </w:rPr>
            </w:pPr>
          </w:p>
        </w:tc>
        <w:tc>
          <w:tcPr>
            <w:tcW w:w="0" w:type="auto"/>
            <w:gridSpan w:val="3"/>
            <w:shd w:val="clear" w:color="auto" w:fill="auto"/>
            <w:vAlign w:val="bottom"/>
          </w:tcPr>
          <w:p w14:paraId="71D4AA7C" w14:textId="77777777" w:rsidR="006A3667" w:rsidRDefault="006A3667">
            <w:pPr>
              <w:rPr>
                <w:rFonts w:ascii="宋体"/>
                <w:vanish/>
              </w:rPr>
            </w:pPr>
          </w:p>
        </w:tc>
      </w:tr>
      <w:tr w:rsidR="006A3667" w14:paraId="71D4AA82"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A7E"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A7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80" w14:textId="77777777" w:rsidR="006A3667" w:rsidRDefault="006A3667">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1D4AA81" w14:textId="77777777" w:rsidR="006A3667" w:rsidRDefault="006A3667">
            <w:pPr>
              <w:rPr>
                <w:rFonts w:ascii="宋体"/>
              </w:rPr>
            </w:pPr>
          </w:p>
        </w:tc>
      </w:tr>
      <w:tr w:rsidR="006A3667" w14:paraId="71D4AA87" w14:textId="77777777">
        <w:trPr>
          <w:hidden/>
        </w:trPr>
        <w:tc>
          <w:tcPr>
            <w:tcW w:w="0" w:type="auto"/>
            <w:gridSpan w:val="3"/>
            <w:shd w:val="clear" w:color="auto" w:fill="auto"/>
            <w:vAlign w:val="bottom"/>
          </w:tcPr>
          <w:p w14:paraId="71D4AA83" w14:textId="77777777" w:rsidR="006A3667" w:rsidRDefault="006A3667">
            <w:pPr>
              <w:rPr>
                <w:rFonts w:ascii="宋体"/>
                <w:vanish/>
              </w:rPr>
            </w:pPr>
          </w:p>
        </w:tc>
        <w:tc>
          <w:tcPr>
            <w:tcW w:w="0" w:type="auto"/>
            <w:gridSpan w:val="3"/>
            <w:shd w:val="clear" w:color="auto" w:fill="auto"/>
            <w:vAlign w:val="bottom"/>
          </w:tcPr>
          <w:p w14:paraId="71D4AA84" w14:textId="77777777" w:rsidR="006A3667" w:rsidRDefault="006A3667">
            <w:pPr>
              <w:rPr>
                <w:rFonts w:ascii="宋体"/>
                <w:vanish/>
              </w:rPr>
            </w:pPr>
          </w:p>
        </w:tc>
        <w:tc>
          <w:tcPr>
            <w:tcW w:w="0" w:type="auto"/>
            <w:gridSpan w:val="3"/>
            <w:shd w:val="clear" w:color="auto" w:fill="auto"/>
            <w:vAlign w:val="bottom"/>
          </w:tcPr>
          <w:p w14:paraId="71D4AA85" w14:textId="77777777" w:rsidR="006A3667" w:rsidRDefault="006A3667">
            <w:pPr>
              <w:rPr>
                <w:rFonts w:ascii="宋体"/>
                <w:vanish/>
              </w:rPr>
            </w:pPr>
          </w:p>
        </w:tc>
        <w:tc>
          <w:tcPr>
            <w:tcW w:w="0" w:type="auto"/>
            <w:gridSpan w:val="3"/>
            <w:shd w:val="clear" w:color="auto" w:fill="auto"/>
            <w:vAlign w:val="bottom"/>
          </w:tcPr>
          <w:p w14:paraId="71D4AA86" w14:textId="77777777" w:rsidR="006A3667" w:rsidRDefault="006A3667">
            <w:pPr>
              <w:rPr>
                <w:rFonts w:ascii="宋体"/>
                <w:vanish/>
              </w:rPr>
            </w:pPr>
          </w:p>
        </w:tc>
      </w:tr>
      <w:tr w:rsidR="006A3667" w14:paraId="71D4AA89" w14:textId="77777777">
        <w:tc>
          <w:tcPr>
            <w:tcW w:w="0" w:type="auto"/>
            <w:gridSpan w:val="12"/>
            <w:shd w:val="clear" w:color="auto" w:fill="auto"/>
            <w:tcMar>
              <w:top w:w="40" w:type="dxa"/>
              <w:left w:w="20" w:type="dxa"/>
              <w:bottom w:w="40" w:type="dxa"/>
              <w:right w:w="20" w:type="dxa"/>
            </w:tcMar>
          </w:tcPr>
          <w:p w14:paraId="71D4AA88" w14:textId="77777777" w:rsidR="006A3667" w:rsidRDefault="00045F32">
            <w:pPr>
              <w:jc w:val="both"/>
              <w:textAlignment w:val="top"/>
            </w:pPr>
            <w:r>
              <w:rPr>
                <w:rFonts w:ascii="Arial" w:eastAsia="宋体" w:hAnsi="Arial" w:cs="Arial"/>
                <w:color w:val="000000"/>
                <w:sz w:val="20"/>
                <w:szCs w:val="20"/>
              </w:rPr>
              <w:t xml:space="preserve">Note: None of the instruments defining the rights of holders of State Street’s outstanding long-term debt are in respect of indebtedness in excess of 10% of the total assets of State Street and its subsidiaries on a </w:t>
            </w:r>
            <w:r>
              <w:rPr>
                <w:rFonts w:ascii="Arial" w:eastAsia="宋体" w:hAnsi="Arial" w:cs="Arial"/>
                <w:color w:val="000000"/>
                <w:sz w:val="20"/>
                <w:szCs w:val="20"/>
              </w:rPr>
              <w:t>consolidated basis. State Street hereby agrees to furnish to the SEC upon request a copy of any other instrument with respect to long-term debt of State Street and its subsidiaries.</w:t>
            </w:r>
          </w:p>
        </w:tc>
      </w:tr>
      <w:tr w:rsidR="006A3667" w14:paraId="71D4AA8E" w14:textId="77777777">
        <w:trPr>
          <w:trHeight w:val="100"/>
        </w:trPr>
        <w:tc>
          <w:tcPr>
            <w:tcW w:w="0" w:type="auto"/>
            <w:gridSpan w:val="3"/>
            <w:shd w:val="clear" w:color="auto" w:fill="auto"/>
            <w:tcMar>
              <w:top w:w="0" w:type="dxa"/>
              <w:left w:w="20" w:type="dxa"/>
              <w:bottom w:w="0" w:type="dxa"/>
              <w:right w:w="20" w:type="dxa"/>
            </w:tcMar>
            <w:vAlign w:val="bottom"/>
          </w:tcPr>
          <w:p w14:paraId="71D4AA8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8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8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8D" w14:textId="77777777" w:rsidR="006A3667" w:rsidRDefault="006A3667">
            <w:pPr>
              <w:rPr>
                <w:rFonts w:ascii="宋体"/>
              </w:rPr>
            </w:pPr>
          </w:p>
        </w:tc>
      </w:tr>
      <w:tr w:rsidR="006A3667" w14:paraId="71D4AA93" w14:textId="77777777">
        <w:trPr>
          <w:hidden/>
        </w:trPr>
        <w:tc>
          <w:tcPr>
            <w:tcW w:w="0" w:type="auto"/>
            <w:gridSpan w:val="3"/>
            <w:shd w:val="clear" w:color="auto" w:fill="auto"/>
            <w:vAlign w:val="bottom"/>
          </w:tcPr>
          <w:p w14:paraId="71D4AA8F" w14:textId="77777777" w:rsidR="006A3667" w:rsidRDefault="006A3667">
            <w:pPr>
              <w:rPr>
                <w:rFonts w:ascii="宋体"/>
                <w:vanish/>
              </w:rPr>
            </w:pPr>
          </w:p>
        </w:tc>
        <w:tc>
          <w:tcPr>
            <w:tcW w:w="0" w:type="auto"/>
            <w:gridSpan w:val="3"/>
            <w:shd w:val="clear" w:color="auto" w:fill="auto"/>
            <w:vAlign w:val="bottom"/>
          </w:tcPr>
          <w:p w14:paraId="71D4AA90" w14:textId="77777777" w:rsidR="006A3667" w:rsidRDefault="006A3667">
            <w:pPr>
              <w:rPr>
                <w:rFonts w:ascii="宋体"/>
                <w:vanish/>
              </w:rPr>
            </w:pPr>
          </w:p>
        </w:tc>
        <w:tc>
          <w:tcPr>
            <w:tcW w:w="0" w:type="auto"/>
            <w:gridSpan w:val="3"/>
            <w:shd w:val="clear" w:color="auto" w:fill="auto"/>
            <w:vAlign w:val="bottom"/>
          </w:tcPr>
          <w:p w14:paraId="71D4AA91" w14:textId="77777777" w:rsidR="006A3667" w:rsidRDefault="006A3667">
            <w:pPr>
              <w:rPr>
                <w:rFonts w:ascii="宋体"/>
                <w:vanish/>
              </w:rPr>
            </w:pPr>
          </w:p>
        </w:tc>
        <w:tc>
          <w:tcPr>
            <w:tcW w:w="0" w:type="auto"/>
            <w:gridSpan w:val="3"/>
            <w:shd w:val="clear" w:color="auto" w:fill="auto"/>
            <w:vAlign w:val="bottom"/>
          </w:tcPr>
          <w:p w14:paraId="71D4AA92" w14:textId="77777777" w:rsidR="006A3667" w:rsidRDefault="006A3667">
            <w:pPr>
              <w:rPr>
                <w:rFonts w:ascii="宋体"/>
                <w:vanish/>
              </w:rPr>
            </w:pPr>
          </w:p>
        </w:tc>
      </w:tr>
      <w:tr w:rsidR="006A3667" w14:paraId="71D4AA98" w14:textId="77777777">
        <w:trPr>
          <w:hidden/>
        </w:trPr>
        <w:tc>
          <w:tcPr>
            <w:tcW w:w="0" w:type="auto"/>
            <w:gridSpan w:val="3"/>
            <w:shd w:val="clear" w:color="auto" w:fill="auto"/>
            <w:vAlign w:val="bottom"/>
          </w:tcPr>
          <w:p w14:paraId="71D4AA94" w14:textId="77777777" w:rsidR="006A3667" w:rsidRDefault="006A3667">
            <w:pPr>
              <w:rPr>
                <w:rFonts w:ascii="宋体"/>
                <w:vanish/>
              </w:rPr>
            </w:pPr>
          </w:p>
        </w:tc>
        <w:tc>
          <w:tcPr>
            <w:tcW w:w="0" w:type="auto"/>
            <w:gridSpan w:val="3"/>
            <w:shd w:val="clear" w:color="auto" w:fill="auto"/>
            <w:vAlign w:val="bottom"/>
          </w:tcPr>
          <w:p w14:paraId="71D4AA95" w14:textId="77777777" w:rsidR="006A3667" w:rsidRDefault="006A3667">
            <w:pPr>
              <w:rPr>
                <w:rFonts w:ascii="宋体"/>
                <w:vanish/>
              </w:rPr>
            </w:pPr>
          </w:p>
        </w:tc>
        <w:tc>
          <w:tcPr>
            <w:tcW w:w="0" w:type="auto"/>
            <w:gridSpan w:val="3"/>
            <w:shd w:val="clear" w:color="auto" w:fill="auto"/>
            <w:vAlign w:val="bottom"/>
          </w:tcPr>
          <w:p w14:paraId="71D4AA96" w14:textId="77777777" w:rsidR="006A3667" w:rsidRDefault="006A3667">
            <w:pPr>
              <w:rPr>
                <w:rFonts w:ascii="宋体"/>
                <w:vanish/>
              </w:rPr>
            </w:pPr>
          </w:p>
        </w:tc>
        <w:tc>
          <w:tcPr>
            <w:tcW w:w="0" w:type="auto"/>
            <w:gridSpan w:val="3"/>
            <w:shd w:val="clear" w:color="auto" w:fill="auto"/>
            <w:vAlign w:val="bottom"/>
          </w:tcPr>
          <w:p w14:paraId="71D4AA97" w14:textId="77777777" w:rsidR="006A3667" w:rsidRDefault="006A3667">
            <w:pPr>
              <w:rPr>
                <w:rFonts w:ascii="宋体"/>
                <w:vanish/>
              </w:rPr>
            </w:pPr>
          </w:p>
        </w:tc>
      </w:tr>
      <w:tr w:rsidR="006A3667" w14:paraId="71D4AA9D" w14:textId="77777777">
        <w:trPr>
          <w:hidden/>
        </w:trPr>
        <w:tc>
          <w:tcPr>
            <w:tcW w:w="0" w:type="auto"/>
            <w:gridSpan w:val="3"/>
            <w:shd w:val="clear" w:color="auto" w:fill="auto"/>
            <w:vAlign w:val="bottom"/>
          </w:tcPr>
          <w:p w14:paraId="71D4AA99" w14:textId="77777777" w:rsidR="006A3667" w:rsidRDefault="006A3667">
            <w:pPr>
              <w:rPr>
                <w:rFonts w:ascii="宋体"/>
                <w:vanish/>
              </w:rPr>
            </w:pPr>
          </w:p>
        </w:tc>
        <w:tc>
          <w:tcPr>
            <w:tcW w:w="0" w:type="auto"/>
            <w:gridSpan w:val="3"/>
            <w:shd w:val="clear" w:color="auto" w:fill="auto"/>
            <w:vAlign w:val="bottom"/>
          </w:tcPr>
          <w:p w14:paraId="71D4AA9A" w14:textId="77777777" w:rsidR="006A3667" w:rsidRDefault="006A3667">
            <w:pPr>
              <w:rPr>
                <w:rFonts w:ascii="宋体"/>
                <w:vanish/>
              </w:rPr>
            </w:pPr>
          </w:p>
        </w:tc>
        <w:tc>
          <w:tcPr>
            <w:tcW w:w="0" w:type="auto"/>
            <w:gridSpan w:val="3"/>
            <w:shd w:val="clear" w:color="auto" w:fill="auto"/>
            <w:vAlign w:val="bottom"/>
          </w:tcPr>
          <w:p w14:paraId="71D4AA9B" w14:textId="77777777" w:rsidR="006A3667" w:rsidRDefault="006A3667">
            <w:pPr>
              <w:rPr>
                <w:rFonts w:ascii="宋体"/>
                <w:vanish/>
              </w:rPr>
            </w:pPr>
          </w:p>
        </w:tc>
        <w:tc>
          <w:tcPr>
            <w:tcW w:w="0" w:type="auto"/>
            <w:gridSpan w:val="3"/>
            <w:shd w:val="clear" w:color="auto" w:fill="auto"/>
            <w:vAlign w:val="bottom"/>
          </w:tcPr>
          <w:p w14:paraId="71D4AA9C" w14:textId="77777777" w:rsidR="006A3667" w:rsidRDefault="006A3667">
            <w:pPr>
              <w:rPr>
                <w:rFonts w:ascii="宋体"/>
                <w:vanish/>
              </w:rPr>
            </w:pPr>
          </w:p>
        </w:tc>
      </w:tr>
      <w:tr w:rsidR="006A3667" w14:paraId="71D4AAA2" w14:textId="77777777">
        <w:trPr>
          <w:hidden/>
        </w:trPr>
        <w:tc>
          <w:tcPr>
            <w:tcW w:w="0" w:type="auto"/>
            <w:gridSpan w:val="3"/>
            <w:shd w:val="clear" w:color="auto" w:fill="auto"/>
            <w:vAlign w:val="bottom"/>
          </w:tcPr>
          <w:p w14:paraId="71D4AA9E" w14:textId="77777777" w:rsidR="006A3667" w:rsidRDefault="006A3667">
            <w:pPr>
              <w:rPr>
                <w:rFonts w:ascii="宋体"/>
                <w:vanish/>
              </w:rPr>
            </w:pPr>
          </w:p>
        </w:tc>
        <w:tc>
          <w:tcPr>
            <w:tcW w:w="0" w:type="auto"/>
            <w:gridSpan w:val="3"/>
            <w:shd w:val="clear" w:color="auto" w:fill="auto"/>
            <w:vAlign w:val="bottom"/>
          </w:tcPr>
          <w:p w14:paraId="71D4AA9F" w14:textId="77777777" w:rsidR="006A3667" w:rsidRDefault="006A3667">
            <w:pPr>
              <w:rPr>
                <w:rFonts w:ascii="宋体"/>
                <w:vanish/>
              </w:rPr>
            </w:pPr>
          </w:p>
        </w:tc>
        <w:tc>
          <w:tcPr>
            <w:tcW w:w="0" w:type="auto"/>
            <w:gridSpan w:val="3"/>
            <w:shd w:val="clear" w:color="auto" w:fill="auto"/>
            <w:vAlign w:val="bottom"/>
          </w:tcPr>
          <w:p w14:paraId="71D4AAA0" w14:textId="77777777" w:rsidR="006A3667" w:rsidRDefault="006A3667">
            <w:pPr>
              <w:rPr>
                <w:rFonts w:ascii="宋体"/>
                <w:vanish/>
              </w:rPr>
            </w:pPr>
          </w:p>
        </w:tc>
        <w:tc>
          <w:tcPr>
            <w:tcW w:w="0" w:type="auto"/>
            <w:gridSpan w:val="3"/>
            <w:shd w:val="clear" w:color="auto" w:fill="auto"/>
            <w:vAlign w:val="bottom"/>
          </w:tcPr>
          <w:p w14:paraId="71D4AAA1" w14:textId="77777777" w:rsidR="006A3667" w:rsidRDefault="006A3667">
            <w:pPr>
              <w:rPr>
                <w:rFonts w:ascii="宋体"/>
                <w:vanish/>
              </w:rPr>
            </w:pPr>
          </w:p>
        </w:tc>
      </w:tr>
      <w:tr w:rsidR="006A3667" w14:paraId="71D4AAA7" w14:textId="77777777">
        <w:trPr>
          <w:hidden/>
        </w:trPr>
        <w:tc>
          <w:tcPr>
            <w:tcW w:w="0" w:type="auto"/>
            <w:gridSpan w:val="3"/>
            <w:shd w:val="clear" w:color="auto" w:fill="auto"/>
            <w:vAlign w:val="bottom"/>
          </w:tcPr>
          <w:p w14:paraId="71D4AAA3" w14:textId="77777777" w:rsidR="006A3667" w:rsidRDefault="006A3667">
            <w:pPr>
              <w:rPr>
                <w:rFonts w:ascii="宋体"/>
                <w:vanish/>
              </w:rPr>
            </w:pPr>
          </w:p>
        </w:tc>
        <w:tc>
          <w:tcPr>
            <w:tcW w:w="0" w:type="auto"/>
            <w:gridSpan w:val="3"/>
            <w:shd w:val="clear" w:color="auto" w:fill="auto"/>
            <w:vAlign w:val="bottom"/>
          </w:tcPr>
          <w:p w14:paraId="71D4AAA4" w14:textId="77777777" w:rsidR="006A3667" w:rsidRDefault="006A3667">
            <w:pPr>
              <w:rPr>
                <w:rFonts w:ascii="宋体"/>
                <w:vanish/>
              </w:rPr>
            </w:pPr>
          </w:p>
        </w:tc>
        <w:tc>
          <w:tcPr>
            <w:tcW w:w="0" w:type="auto"/>
            <w:gridSpan w:val="3"/>
            <w:shd w:val="clear" w:color="auto" w:fill="auto"/>
            <w:vAlign w:val="bottom"/>
          </w:tcPr>
          <w:p w14:paraId="71D4AAA5" w14:textId="77777777" w:rsidR="006A3667" w:rsidRDefault="006A3667">
            <w:pPr>
              <w:rPr>
                <w:rFonts w:ascii="宋体"/>
                <w:vanish/>
              </w:rPr>
            </w:pPr>
          </w:p>
        </w:tc>
        <w:tc>
          <w:tcPr>
            <w:tcW w:w="0" w:type="auto"/>
            <w:gridSpan w:val="3"/>
            <w:shd w:val="clear" w:color="auto" w:fill="auto"/>
            <w:vAlign w:val="bottom"/>
          </w:tcPr>
          <w:p w14:paraId="71D4AAA6" w14:textId="77777777" w:rsidR="006A3667" w:rsidRDefault="006A3667">
            <w:pPr>
              <w:rPr>
                <w:rFonts w:ascii="宋体"/>
                <w:vanish/>
              </w:rPr>
            </w:pPr>
          </w:p>
        </w:tc>
      </w:tr>
      <w:tr w:rsidR="006A3667" w14:paraId="71D4AAAC" w14:textId="77777777">
        <w:trPr>
          <w:trHeight w:val="60"/>
        </w:trPr>
        <w:tc>
          <w:tcPr>
            <w:tcW w:w="0" w:type="auto"/>
            <w:gridSpan w:val="3"/>
            <w:shd w:val="clear" w:color="auto" w:fill="auto"/>
            <w:tcMar>
              <w:top w:w="0" w:type="dxa"/>
              <w:left w:w="20" w:type="dxa"/>
              <w:bottom w:w="0" w:type="dxa"/>
              <w:right w:w="20" w:type="dxa"/>
            </w:tcMar>
            <w:vAlign w:val="bottom"/>
          </w:tcPr>
          <w:p w14:paraId="71D4AAA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A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A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AB" w14:textId="77777777" w:rsidR="006A3667" w:rsidRDefault="006A3667">
            <w:pPr>
              <w:rPr>
                <w:rFonts w:ascii="宋体"/>
              </w:rPr>
            </w:pPr>
          </w:p>
        </w:tc>
      </w:tr>
      <w:tr w:rsidR="006A3667" w14:paraId="71D4AAB1" w14:textId="77777777">
        <w:tc>
          <w:tcPr>
            <w:tcW w:w="0" w:type="auto"/>
            <w:gridSpan w:val="3"/>
            <w:shd w:val="clear" w:color="auto" w:fill="auto"/>
            <w:tcMar>
              <w:top w:w="0" w:type="dxa"/>
              <w:left w:w="20" w:type="dxa"/>
              <w:bottom w:w="0" w:type="dxa"/>
              <w:right w:w="20" w:type="dxa"/>
            </w:tcMar>
            <w:vAlign w:val="bottom"/>
          </w:tcPr>
          <w:p w14:paraId="71D4AAA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AE" w14:textId="77777777" w:rsidR="006A3667" w:rsidRDefault="00045F32">
            <w:pPr>
              <w:textAlignment w:val="center"/>
            </w:pPr>
            <w:hyperlink r:id="rId64" w:history="1">
              <w:r>
                <w:rPr>
                  <w:rStyle w:val="a5"/>
                  <w:rFonts w:ascii="Arial" w:eastAsia="宋体" w:hAnsi="Arial" w:cs="Arial"/>
                  <w:sz w:val="20"/>
                  <w:szCs w:val="20"/>
                </w:rPr>
                <w:t>15</w:t>
              </w:r>
            </w:hyperlink>
          </w:p>
        </w:tc>
        <w:tc>
          <w:tcPr>
            <w:tcW w:w="0" w:type="auto"/>
            <w:gridSpan w:val="3"/>
            <w:shd w:val="clear" w:color="auto" w:fill="auto"/>
            <w:tcMar>
              <w:top w:w="0" w:type="dxa"/>
              <w:left w:w="20" w:type="dxa"/>
              <w:bottom w:w="0" w:type="dxa"/>
              <w:right w:w="20" w:type="dxa"/>
            </w:tcMar>
            <w:vAlign w:val="bottom"/>
          </w:tcPr>
          <w:p w14:paraId="71D4AAA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B0" w14:textId="77777777" w:rsidR="006A3667" w:rsidRDefault="00045F32">
            <w:pPr>
              <w:textAlignment w:val="center"/>
            </w:pPr>
            <w:hyperlink r:id="rId65" w:history="1">
              <w:r>
                <w:rPr>
                  <w:rStyle w:val="a5"/>
                  <w:rFonts w:ascii="Arial" w:eastAsia="宋体" w:hAnsi="Arial" w:cs="Arial"/>
                  <w:sz w:val="20"/>
                  <w:szCs w:val="20"/>
                </w:rPr>
                <w:t>Acknowledgment Letter of Ernst &amp; Young LLP, Independent Registered Public Accounting Firm</w:t>
              </w:r>
            </w:hyperlink>
          </w:p>
        </w:tc>
      </w:tr>
      <w:tr w:rsidR="006A3667" w14:paraId="71D4AAB6" w14:textId="77777777">
        <w:trPr>
          <w:hidden/>
        </w:trPr>
        <w:tc>
          <w:tcPr>
            <w:tcW w:w="0" w:type="auto"/>
            <w:gridSpan w:val="3"/>
            <w:shd w:val="clear" w:color="auto" w:fill="auto"/>
            <w:vAlign w:val="bottom"/>
          </w:tcPr>
          <w:p w14:paraId="71D4AAB2" w14:textId="77777777" w:rsidR="006A3667" w:rsidRDefault="006A3667">
            <w:pPr>
              <w:rPr>
                <w:rFonts w:ascii="宋体"/>
                <w:vanish/>
              </w:rPr>
            </w:pPr>
          </w:p>
        </w:tc>
        <w:tc>
          <w:tcPr>
            <w:tcW w:w="0" w:type="auto"/>
            <w:gridSpan w:val="3"/>
            <w:shd w:val="clear" w:color="auto" w:fill="auto"/>
            <w:vAlign w:val="bottom"/>
          </w:tcPr>
          <w:p w14:paraId="71D4AAB3" w14:textId="77777777" w:rsidR="006A3667" w:rsidRDefault="006A3667">
            <w:pPr>
              <w:rPr>
                <w:rFonts w:ascii="宋体"/>
                <w:vanish/>
              </w:rPr>
            </w:pPr>
          </w:p>
        </w:tc>
        <w:tc>
          <w:tcPr>
            <w:tcW w:w="0" w:type="auto"/>
            <w:gridSpan w:val="3"/>
            <w:shd w:val="clear" w:color="auto" w:fill="auto"/>
            <w:vAlign w:val="bottom"/>
          </w:tcPr>
          <w:p w14:paraId="71D4AAB4" w14:textId="77777777" w:rsidR="006A3667" w:rsidRDefault="006A3667">
            <w:pPr>
              <w:rPr>
                <w:rFonts w:ascii="宋体"/>
                <w:vanish/>
              </w:rPr>
            </w:pPr>
          </w:p>
        </w:tc>
        <w:tc>
          <w:tcPr>
            <w:tcW w:w="0" w:type="auto"/>
            <w:gridSpan w:val="3"/>
            <w:shd w:val="clear" w:color="auto" w:fill="auto"/>
            <w:vAlign w:val="bottom"/>
          </w:tcPr>
          <w:p w14:paraId="71D4AAB5" w14:textId="77777777" w:rsidR="006A3667" w:rsidRDefault="006A3667">
            <w:pPr>
              <w:rPr>
                <w:rFonts w:ascii="宋体"/>
                <w:vanish/>
              </w:rPr>
            </w:pPr>
          </w:p>
        </w:tc>
      </w:tr>
      <w:tr w:rsidR="006A3667" w14:paraId="71D4AABB" w14:textId="77777777">
        <w:trPr>
          <w:hidden/>
        </w:trPr>
        <w:tc>
          <w:tcPr>
            <w:tcW w:w="0" w:type="auto"/>
            <w:gridSpan w:val="3"/>
            <w:shd w:val="clear" w:color="auto" w:fill="auto"/>
            <w:vAlign w:val="bottom"/>
          </w:tcPr>
          <w:p w14:paraId="71D4AAB7" w14:textId="77777777" w:rsidR="006A3667" w:rsidRDefault="006A3667">
            <w:pPr>
              <w:rPr>
                <w:rFonts w:ascii="宋体"/>
                <w:vanish/>
              </w:rPr>
            </w:pPr>
          </w:p>
        </w:tc>
        <w:tc>
          <w:tcPr>
            <w:tcW w:w="0" w:type="auto"/>
            <w:gridSpan w:val="3"/>
            <w:shd w:val="clear" w:color="auto" w:fill="auto"/>
            <w:vAlign w:val="bottom"/>
          </w:tcPr>
          <w:p w14:paraId="71D4AAB8" w14:textId="77777777" w:rsidR="006A3667" w:rsidRDefault="006A3667">
            <w:pPr>
              <w:rPr>
                <w:rFonts w:ascii="宋体"/>
                <w:vanish/>
              </w:rPr>
            </w:pPr>
          </w:p>
        </w:tc>
        <w:tc>
          <w:tcPr>
            <w:tcW w:w="0" w:type="auto"/>
            <w:gridSpan w:val="3"/>
            <w:shd w:val="clear" w:color="auto" w:fill="auto"/>
            <w:vAlign w:val="bottom"/>
          </w:tcPr>
          <w:p w14:paraId="71D4AAB9" w14:textId="77777777" w:rsidR="006A3667" w:rsidRDefault="006A3667">
            <w:pPr>
              <w:rPr>
                <w:rFonts w:ascii="宋体"/>
                <w:vanish/>
              </w:rPr>
            </w:pPr>
          </w:p>
        </w:tc>
        <w:tc>
          <w:tcPr>
            <w:tcW w:w="0" w:type="auto"/>
            <w:gridSpan w:val="3"/>
            <w:shd w:val="clear" w:color="auto" w:fill="auto"/>
            <w:vAlign w:val="bottom"/>
          </w:tcPr>
          <w:p w14:paraId="71D4AABA" w14:textId="77777777" w:rsidR="006A3667" w:rsidRDefault="006A3667">
            <w:pPr>
              <w:rPr>
                <w:rFonts w:ascii="宋体"/>
                <w:vanish/>
              </w:rPr>
            </w:pPr>
          </w:p>
        </w:tc>
      </w:tr>
      <w:tr w:rsidR="006A3667" w14:paraId="71D4AAC0" w14:textId="77777777">
        <w:trPr>
          <w:hidden/>
        </w:trPr>
        <w:tc>
          <w:tcPr>
            <w:tcW w:w="0" w:type="auto"/>
            <w:gridSpan w:val="3"/>
            <w:shd w:val="clear" w:color="auto" w:fill="auto"/>
            <w:vAlign w:val="bottom"/>
          </w:tcPr>
          <w:p w14:paraId="71D4AABC" w14:textId="77777777" w:rsidR="006A3667" w:rsidRDefault="006A3667">
            <w:pPr>
              <w:rPr>
                <w:rFonts w:ascii="宋体"/>
                <w:vanish/>
              </w:rPr>
            </w:pPr>
          </w:p>
        </w:tc>
        <w:tc>
          <w:tcPr>
            <w:tcW w:w="0" w:type="auto"/>
            <w:gridSpan w:val="3"/>
            <w:shd w:val="clear" w:color="auto" w:fill="auto"/>
            <w:vAlign w:val="bottom"/>
          </w:tcPr>
          <w:p w14:paraId="71D4AABD" w14:textId="77777777" w:rsidR="006A3667" w:rsidRDefault="006A3667">
            <w:pPr>
              <w:rPr>
                <w:rFonts w:ascii="宋体"/>
                <w:vanish/>
              </w:rPr>
            </w:pPr>
          </w:p>
        </w:tc>
        <w:tc>
          <w:tcPr>
            <w:tcW w:w="0" w:type="auto"/>
            <w:gridSpan w:val="3"/>
            <w:shd w:val="clear" w:color="auto" w:fill="auto"/>
            <w:vAlign w:val="bottom"/>
          </w:tcPr>
          <w:p w14:paraId="71D4AABE" w14:textId="77777777" w:rsidR="006A3667" w:rsidRDefault="006A3667">
            <w:pPr>
              <w:rPr>
                <w:rFonts w:ascii="宋体"/>
                <w:vanish/>
              </w:rPr>
            </w:pPr>
          </w:p>
        </w:tc>
        <w:tc>
          <w:tcPr>
            <w:tcW w:w="0" w:type="auto"/>
            <w:gridSpan w:val="3"/>
            <w:shd w:val="clear" w:color="auto" w:fill="auto"/>
            <w:vAlign w:val="bottom"/>
          </w:tcPr>
          <w:p w14:paraId="71D4AABF" w14:textId="77777777" w:rsidR="006A3667" w:rsidRDefault="006A3667">
            <w:pPr>
              <w:rPr>
                <w:rFonts w:ascii="宋体"/>
                <w:vanish/>
              </w:rPr>
            </w:pPr>
          </w:p>
        </w:tc>
      </w:tr>
      <w:tr w:rsidR="006A3667" w14:paraId="71D4AAC5" w14:textId="77777777">
        <w:trPr>
          <w:hidden/>
        </w:trPr>
        <w:tc>
          <w:tcPr>
            <w:tcW w:w="0" w:type="auto"/>
            <w:gridSpan w:val="3"/>
            <w:shd w:val="clear" w:color="auto" w:fill="auto"/>
            <w:vAlign w:val="bottom"/>
          </w:tcPr>
          <w:p w14:paraId="71D4AAC1" w14:textId="77777777" w:rsidR="006A3667" w:rsidRDefault="006A3667">
            <w:pPr>
              <w:rPr>
                <w:rFonts w:ascii="宋体"/>
                <w:vanish/>
              </w:rPr>
            </w:pPr>
          </w:p>
        </w:tc>
        <w:tc>
          <w:tcPr>
            <w:tcW w:w="0" w:type="auto"/>
            <w:gridSpan w:val="3"/>
            <w:shd w:val="clear" w:color="auto" w:fill="auto"/>
            <w:vAlign w:val="bottom"/>
          </w:tcPr>
          <w:p w14:paraId="71D4AAC2" w14:textId="77777777" w:rsidR="006A3667" w:rsidRDefault="006A3667">
            <w:pPr>
              <w:rPr>
                <w:rFonts w:ascii="宋体"/>
                <w:vanish/>
              </w:rPr>
            </w:pPr>
          </w:p>
        </w:tc>
        <w:tc>
          <w:tcPr>
            <w:tcW w:w="0" w:type="auto"/>
            <w:gridSpan w:val="3"/>
            <w:shd w:val="clear" w:color="auto" w:fill="auto"/>
            <w:vAlign w:val="bottom"/>
          </w:tcPr>
          <w:p w14:paraId="71D4AAC3" w14:textId="77777777" w:rsidR="006A3667" w:rsidRDefault="006A3667">
            <w:pPr>
              <w:rPr>
                <w:rFonts w:ascii="宋体"/>
                <w:vanish/>
              </w:rPr>
            </w:pPr>
          </w:p>
        </w:tc>
        <w:tc>
          <w:tcPr>
            <w:tcW w:w="0" w:type="auto"/>
            <w:gridSpan w:val="3"/>
            <w:shd w:val="clear" w:color="auto" w:fill="auto"/>
            <w:vAlign w:val="bottom"/>
          </w:tcPr>
          <w:p w14:paraId="71D4AAC4" w14:textId="77777777" w:rsidR="006A3667" w:rsidRDefault="006A3667">
            <w:pPr>
              <w:rPr>
                <w:rFonts w:ascii="宋体"/>
                <w:vanish/>
              </w:rPr>
            </w:pPr>
          </w:p>
        </w:tc>
      </w:tr>
      <w:tr w:rsidR="006A3667" w14:paraId="71D4AACA" w14:textId="77777777">
        <w:trPr>
          <w:trHeight w:val="60"/>
        </w:trPr>
        <w:tc>
          <w:tcPr>
            <w:tcW w:w="0" w:type="auto"/>
            <w:gridSpan w:val="3"/>
            <w:shd w:val="clear" w:color="auto" w:fill="auto"/>
            <w:tcMar>
              <w:top w:w="0" w:type="dxa"/>
              <w:left w:w="20" w:type="dxa"/>
              <w:bottom w:w="0" w:type="dxa"/>
              <w:right w:w="20" w:type="dxa"/>
            </w:tcMar>
            <w:vAlign w:val="bottom"/>
          </w:tcPr>
          <w:p w14:paraId="71D4AAC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C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C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C9" w14:textId="77777777" w:rsidR="006A3667" w:rsidRDefault="006A3667">
            <w:pPr>
              <w:rPr>
                <w:rFonts w:ascii="宋体"/>
              </w:rPr>
            </w:pPr>
          </w:p>
        </w:tc>
      </w:tr>
      <w:tr w:rsidR="006A3667" w14:paraId="71D4AACF" w14:textId="77777777">
        <w:tc>
          <w:tcPr>
            <w:tcW w:w="0" w:type="auto"/>
            <w:gridSpan w:val="3"/>
            <w:shd w:val="clear" w:color="auto" w:fill="auto"/>
            <w:tcMar>
              <w:top w:w="0" w:type="dxa"/>
              <w:left w:w="20" w:type="dxa"/>
              <w:bottom w:w="0" w:type="dxa"/>
              <w:right w:w="20" w:type="dxa"/>
            </w:tcMar>
            <w:vAlign w:val="bottom"/>
          </w:tcPr>
          <w:p w14:paraId="71D4AAC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CC" w14:textId="77777777" w:rsidR="006A3667" w:rsidRDefault="00045F32">
            <w:pPr>
              <w:textAlignment w:val="center"/>
            </w:pPr>
            <w:hyperlink r:id="rId66" w:history="1">
              <w:r>
                <w:rPr>
                  <w:rStyle w:val="a5"/>
                  <w:rFonts w:ascii="Arial" w:eastAsia="宋体" w:hAnsi="Arial" w:cs="Arial"/>
                  <w:sz w:val="20"/>
                  <w:szCs w:val="20"/>
                </w:rPr>
                <w:t>31.1</w:t>
              </w:r>
            </w:hyperlink>
          </w:p>
        </w:tc>
        <w:tc>
          <w:tcPr>
            <w:tcW w:w="0" w:type="auto"/>
            <w:gridSpan w:val="3"/>
            <w:shd w:val="clear" w:color="auto" w:fill="auto"/>
            <w:tcMar>
              <w:top w:w="0" w:type="dxa"/>
              <w:left w:w="20" w:type="dxa"/>
              <w:bottom w:w="0" w:type="dxa"/>
              <w:right w:w="20" w:type="dxa"/>
            </w:tcMar>
            <w:vAlign w:val="bottom"/>
          </w:tcPr>
          <w:p w14:paraId="71D4AAC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CE" w14:textId="77777777" w:rsidR="006A3667" w:rsidRDefault="00045F32">
            <w:pPr>
              <w:textAlignment w:val="center"/>
            </w:pPr>
            <w:hyperlink r:id="rId67" w:history="1">
              <w:r>
                <w:rPr>
                  <w:rStyle w:val="a5"/>
                  <w:rFonts w:ascii="Arial" w:eastAsia="宋体" w:hAnsi="Arial" w:cs="Arial"/>
                  <w:sz w:val="20"/>
                  <w:szCs w:val="20"/>
                </w:rPr>
                <w:t>Rule 13a-14(a)/15d-14(a) Cert</w:t>
              </w:r>
              <w:r>
                <w:rPr>
                  <w:rStyle w:val="a5"/>
                  <w:rFonts w:ascii="Arial" w:eastAsia="宋体" w:hAnsi="Arial" w:cs="Arial"/>
                  <w:sz w:val="20"/>
                  <w:szCs w:val="20"/>
                </w:rPr>
                <w:t>ification of Chairman, President and Chief Executive Officer</w:t>
              </w:r>
            </w:hyperlink>
          </w:p>
        </w:tc>
      </w:tr>
      <w:tr w:rsidR="006A3667" w14:paraId="71D4AAD4" w14:textId="77777777">
        <w:trPr>
          <w:trHeight w:val="60"/>
        </w:trPr>
        <w:tc>
          <w:tcPr>
            <w:tcW w:w="0" w:type="auto"/>
            <w:gridSpan w:val="3"/>
            <w:shd w:val="clear" w:color="auto" w:fill="auto"/>
            <w:tcMar>
              <w:top w:w="0" w:type="dxa"/>
              <w:left w:w="20" w:type="dxa"/>
              <w:bottom w:w="0" w:type="dxa"/>
              <w:right w:w="20" w:type="dxa"/>
            </w:tcMar>
            <w:vAlign w:val="bottom"/>
          </w:tcPr>
          <w:p w14:paraId="71D4AAD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D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D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D3" w14:textId="77777777" w:rsidR="006A3667" w:rsidRDefault="006A3667">
            <w:pPr>
              <w:rPr>
                <w:rFonts w:ascii="宋体"/>
              </w:rPr>
            </w:pPr>
          </w:p>
        </w:tc>
      </w:tr>
      <w:tr w:rsidR="006A3667" w14:paraId="71D4AAD9" w14:textId="77777777">
        <w:tc>
          <w:tcPr>
            <w:tcW w:w="0" w:type="auto"/>
            <w:gridSpan w:val="3"/>
            <w:shd w:val="clear" w:color="auto" w:fill="auto"/>
            <w:tcMar>
              <w:top w:w="0" w:type="dxa"/>
              <w:left w:w="20" w:type="dxa"/>
              <w:bottom w:w="0" w:type="dxa"/>
              <w:right w:w="20" w:type="dxa"/>
            </w:tcMar>
            <w:vAlign w:val="bottom"/>
          </w:tcPr>
          <w:p w14:paraId="71D4AAD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D6" w14:textId="77777777" w:rsidR="006A3667" w:rsidRDefault="00045F32">
            <w:pPr>
              <w:textAlignment w:val="center"/>
            </w:pPr>
            <w:hyperlink r:id="rId68" w:history="1">
              <w:r>
                <w:rPr>
                  <w:rStyle w:val="a5"/>
                  <w:rFonts w:ascii="Arial" w:eastAsia="宋体" w:hAnsi="Arial" w:cs="Arial"/>
                  <w:sz w:val="20"/>
                  <w:szCs w:val="20"/>
                </w:rPr>
                <w:t>31.2</w:t>
              </w:r>
            </w:hyperlink>
          </w:p>
        </w:tc>
        <w:tc>
          <w:tcPr>
            <w:tcW w:w="0" w:type="auto"/>
            <w:gridSpan w:val="3"/>
            <w:shd w:val="clear" w:color="auto" w:fill="auto"/>
            <w:tcMar>
              <w:top w:w="0" w:type="dxa"/>
              <w:left w:w="20" w:type="dxa"/>
              <w:bottom w:w="0" w:type="dxa"/>
              <w:right w:w="20" w:type="dxa"/>
            </w:tcMar>
            <w:vAlign w:val="bottom"/>
          </w:tcPr>
          <w:p w14:paraId="71D4AAD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D8" w14:textId="77777777" w:rsidR="006A3667" w:rsidRDefault="00045F32">
            <w:pPr>
              <w:textAlignment w:val="center"/>
            </w:pPr>
            <w:hyperlink r:id="rId69" w:history="1">
              <w:r>
                <w:rPr>
                  <w:rStyle w:val="a5"/>
                  <w:rFonts w:ascii="Arial" w:eastAsia="宋体" w:hAnsi="Arial" w:cs="Arial"/>
                  <w:sz w:val="20"/>
                  <w:szCs w:val="20"/>
                </w:rPr>
                <w:t>Rule 13a-14(a)/15d-14(a) Cert</w:t>
              </w:r>
              <w:r>
                <w:rPr>
                  <w:rStyle w:val="a5"/>
                  <w:rFonts w:ascii="Arial" w:eastAsia="宋体" w:hAnsi="Arial" w:cs="Arial"/>
                  <w:sz w:val="20"/>
                  <w:szCs w:val="20"/>
                </w:rPr>
                <w:t>ification of Chief Financial Officer</w:t>
              </w:r>
            </w:hyperlink>
          </w:p>
        </w:tc>
      </w:tr>
      <w:tr w:rsidR="006A3667" w14:paraId="71D4AADE" w14:textId="77777777">
        <w:trPr>
          <w:trHeight w:val="60"/>
        </w:trPr>
        <w:tc>
          <w:tcPr>
            <w:tcW w:w="0" w:type="auto"/>
            <w:gridSpan w:val="3"/>
            <w:shd w:val="clear" w:color="auto" w:fill="auto"/>
            <w:tcMar>
              <w:top w:w="0" w:type="dxa"/>
              <w:left w:w="20" w:type="dxa"/>
              <w:bottom w:w="0" w:type="dxa"/>
              <w:right w:w="20" w:type="dxa"/>
            </w:tcMar>
            <w:vAlign w:val="bottom"/>
          </w:tcPr>
          <w:p w14:paraId="71D4AAD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D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D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DD" w14:textId="77777777" w:rsidR="006A3667" w:rsidRDefault="006A3667">
            <w:pPr>
              <w:rPr>
                <w:rFonts w:ascii="宋体"/>
              </w:rPr>
            </w:pPr>
          </w:p>
        </w:tc>
      </w:tr>
      <w:tr w:rsidR="006A3667" w14:paraId="71D4AAE3" w14:textId="77777777">
        <w:tc>
          <w:tcPr>
            <w:tcW w:w="0" w:type="auto"/>
            <w:gridSpan w:val="3"/>
            <w:shd w:val="clear" w:color="auto" w:fill="auto"/>
            <w:tcMar>
              <w:top w:w="0" w:type="dxa"/>
              <w:left w:w="20" w:type="dxa"/>
              <w:bottom w:w="0" w:type="dxa"/>
              <w:right w:w="20" w:type="dxa"/>
            </w:tcMar>
            <w:vAlign w:val="bottom"/>
          </w:tcPr>
          <w:p w14:paraId="71D4AAD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E0" w14:textId="77777777" w:rsidR="006A3667" w:rsidRDefault="00045F32">
            <w:pPr>
              <w:textAlignment w:val="center"/>
            </w:pPr>
            <w:hyperlink r:id="rId70"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vAlign w:val="bottom"/>
          </w:tcPr>
          <w:p w14:paraId="71D4AAE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E2" w14:textId="77777777" w:rsidR="006A3667" w:rsidRDefault="00045F32">
            <w:pPr>
              <w:textAlignment w:val="center"/>
            </w:pPr>
            <w:hyperlink r:id="rId71" w:history="1">
              <w:r>
                <w:rPr>
                  <w:rStyle w:val="a5"/>
                  <w:rFonts w:ascii="Arial" w:eastAsia="宋体" w:hAnsi="Arial" w:cs="Arial"/>
                  <w:sz w:val="20"/>
                  <w:szCs w:val="20"/>
                </w:rPr>
                <w:t>Section 1350 Certifications</w:t>
              </w:r>
            </w:hyperlink>
          </w:p>
        </w:tc>
      </w:tr>
      <w:tr w:rsidR="006A3667" w14:paraId="71D4AAE8" w14:textId="77777777">
        <w:trPr>
          <w:trHeight w:val="60"/>
        </w:trPr>
        <w:tc>
          <w:tcPr>
            <w:tcW w:w="0" w:type="auto"/>
            <w:gridSpan w:val="3"/>
            <w:shd w:val="clear" w:color="auto" w:fill="auto"/>
            <w:tcMar>
              <w:top w:w="0" w:type="dxa"/>
              <w:left w:w="20" w:type="dxa"/>
              <w:bottom w:w="0" w:type="dxa"/>
              <w:right w:w="20" w:type="dxa"/>
            </w:tcMar>
            <w:vAlign w:val="bottom"/>
          </w:tcPr>
          <w:p w14:paraId="71D4AAE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E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E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E7" w14:textId="77777777" w:rsidR="006A3667" w:rsidRDefault="006A3667">
            <w:pPr>
              <w:rPr>
                <w:rFonts w:ascii="宋体"/>
              </w:rPr>
            </w:pPr>
          </w:p>
        </w:tc>
      </w:tr>
      <w:tr w:rsidR="006A3667" w14:paraId="71D4AAED" w14:textId="77777777">
        <w:tc>
          <w:tcPr>
            <w:tcW w:w="0" w:type="auto"/>
            <w:gridSpan w:val="3"/>
            <w:shd w:val="clear" w:color="auto" w:fill="auto"/>
            <w:tcMar>
              <w:top w:w="0" w:type="dxa"/>
              <w:left w:w="20" w:type="dxa"/>
              <w:bottom w:w="0" w:type="dxa"/>
              <w:right w:w="20" w:type="dxa"/>
            </w:tcMar>
            <w:vAlign w:val="bottom"/>
          </w:tcPr>
          <w:p w14:paraId="71D4AAE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EA" w14:textId="77777777" w:rsidR="006A3667" w:rsidRDefault="00045F32">
            <w:pPr>
              <w:textAlignment w:val="center"/>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71D4AAEB"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AEC" w14:textId="77777777" w:rsidR="006A3667" w:rsidRDefault="00045F32">
            <w:pPr>
              <w:textAlignment w:val="center"/>
            </w:pPr>
            <w:r>
              <w:rPr>
                <w:rFonts w:ascii="Arial" w:eastAsia="宋体" w:hAnsi="Arial" w:cs="Arial"/>
                <w:color w:val="000000"/>
                <w:sz w:val="20"/>
                <w:szCs w:val="20"/>
              </w:rPr>
              <w:t>The instance document does not appear in the interactive data file because its XBRL tags are embedded within the inline XBRL document</w:t>
            </w:r>
          </w:p>
        </w:tc>
      </w:tr>
      <w:tr w:rsidR="006A3667" w14:paraId="71D4AAF2" w14:textId="77777777">
        <w:trPr>
          <w:trHeight w:val="60"/>
        </w:trPr>
        <w:tc>
          <w:tcPr>
            <w:tcW w:w="0" w:type="auto"/>
            <w:gridSpan w:val="3"/>
            <w:shd w:val="clear" w:color="auto" w:fill="auto"/>
            <w:tcMar>
              <w:top w:w="0" w:type="dxa"/>
              <w:left w:w="20" w:type="dxa"/>
              <w:bottom w:w="0" w:type="dxa"/>
              <w:right w:w="20" w:type="dxa"/>
            </w:tcMar>
            <w:vAlign w:val="bottom"/>
          </w:tcPr>
          <w:p w14:paraId="71D4AAE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E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F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F1" w14:textId="77777777" w:rsidR="006A3667" w:rsidRDefault="006A3667">
            <w:pPr>
              <w:rPr>
                <w:rFonts w:ascii="宋体"/>
              </w:rPr>
            </w:pPr>
          </w:p>
        </w:tc>
      </w:tr>
      <w:tr w:rsidR="006A3667" w14:paraId="71D4AAF7" w14:textId="77777777">
        <w:tc>
          <w:tcPr>
            <w:tcW w:w="0" w:type="auto"/>
            <w:gridSpan w:val="3"/>
            <w:shd w:val="clear" w:color="auto" w:fill="auto"/>
            <w:tcMar>
              <w:top w:w="40" w:type="dxa"/>
              <w:left w:w="20" w:type="dxa"/>
              <w:bottom w:w="40" w:type="dxa"/>
              <w:right w:w="20" w:type="dxa"/>
            </w:tcMar>
            <w:vAlign w:val="bottom"/>
          </w:tcPr>
          <w:p w14:paraId="71D4AAF3" w14:textId="77777777" w:rsidR="006A3667" w:rsidRDefault="00045F32">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1D4AAF4" w14:textId="77777777" w:rsidR="006A3667" w:rsidRDefault="00045F32">
            <w:pPr>
              <w:textAlignment w:val="bottom"/>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71D4AAF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AF6" w14:textId="77777777" w:rsidR="006A3667" w:rsidRDefault="00045F32">
            <w:pPr>
              <w:textAlignment w:val="bottom"/>
            </w:pPr>
            <w:r>
              <w:rPr>
                <w:rFonts w:ascii="Arial" w:eastAsia="宋体" w:hAnsi="Arial" w:cs="Arial"/>
                <w:color w:val="000000"/>
                <w:sz w:val="20"/>
                <w:szCs w:val="20"/>
              </w:rPr>
              <w:t>Inline XBRL Taxonomy Extension Schema Document</w:t>
            </w:r>
          </w:p>
        </w:tc>
      </w:tr>
      <w:tr w:rsidR="006A3667" w14:paraId="71D4AAFC" w14:textId="77777777">
        <w:trPr>
          <w:trHeight w:val="60"/>
        </w:trPr>
        <w:tc>
          <w:tcPr>
            <w:tcW w:w="0" w:type="auto"/>
            <w:gridSpan w:val="3"/>
            <w:shd w:val="clear" w:color="auto" w:fill="auto"/>
            <w:tcMar>
              <w:top w:w="0" w:type="dxa"/>
              <w:left w:w="20" w:type="dxa"/>
              <w:bottom w:w="0" w:type="dxa"/>
              <w:right w:w="20" w:type="dxa"/>
            </w:tcMar>
            <w:vAlign w:val="bottom"/>
          </w:tcPr>
          <w:p w14:paraId="71D4AAF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F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F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AFB" w14:textId="77777777" w:rsidR="006A3667" w:rsidRDefault="006A3667">
            <w:pPr>
              <w:rPr>
                <w:rFonts w:ascii="宋体"/>
              </w:rPr>
            </w:pPr>
          </w:p>
        </w:tc>
      </w:tr>
      <w:tr w:rsidR="006A3667" w14:paraId="71D4AB01" w14:textId="77777777">
        <w:tc>
          <w:tcPr>
            <w:tcW w:w="0" w:type="auto"/>
            <w:gridSpan w:val="3"/>
            <w:shd w:val="clear" w:color="auto" w:fill="auto"/>
            <w:tcMar>
              <w:top w:w="40" w:type="dxa"/>
              <w:left w:w="20" w:type="dxa"/>
              <w:bottom w:w="40" w:type="dxa"/>
              <w:right w:w="20" w:type="dxa"/>
            </w:tcMar>
            <w:vAlign w:val="bottom"/>
          </w:tcPr>
          <w:p w14:paraId="71D4AAFD" w14:textId="77777777" w:rsidR="006A3667" w:rsidRDefault="00045F32">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1D4AAFE" w14:textId="77777777" w:rsidR="006A3667" w:rsidRDefault="00045F32">
            <w:pPr>
              <w:textAlignment w:val="bottom"/>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71D4AAFF"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00" w14:textId="77777777" w:rsidR="006A3667" w:rsidRDefault="00045F32">
            <w:pPr>
              <w:textAlignment w:val="bottom"/>
            </w:pPr>
            <w:r>
              <w:rPr>
                <w:rFonts w:ascii="Arial" w:eastAsia="宋体" w:hAnsi="Arial" w:cs="Arial"/>
                <w:color w:val="000000"/>
                <w:sz w:val="20"/>
                <w:szCs w:val="20"/>
              </w:rPr>
              <w:t xml:space="preserve">Inline XBRL </w:t>
            </w:r>
            <w:r>
              <w:rPr>
                <w:rFonts w:ascii="Arial" w:eastAsia="宋体" w:hAnsi="Arial" w:cs="Arial"/>
                <w:color w:val="000000"/>
                <w:sz w:val="20"/>
                <w:szCs w:val="20"/>
              </w:rPr>
              <w:t>Taxonomy Calculation Linkbase Document</w:t>
            </w:r>
          </w:p>
        </w:tc>
      </w:tr>
      <w:tr w:rsidR="006A3667" w14:paraId="71D4AB06" w14:textId="77777777">
        <w:trPr>
          <w:trHeight w:val="60"/>
        </w:trPr>
        <w:tc>
          <w:tcPr>
            <w:tcW w:w="0" w:type="auto"/>
            <w:gridSpan w:val="3"/>
            <w:shd w:val="clear" w:color="auto" w:fill="auto"/>
            <w:tcMar>
              <w:top w:w="0" w:type="dxa"/>
              <w:left w:w="20" w:type="dxa"/>
              <w:bottom w:w="0" w:type="dxa"/>
              <w:right w:w="20" w:type="dxa"/>
            </w:tcMar>
            <w:vAlign w:val="bottom"/>
          </w:tcPr>
          <w:p w14:paraId="71D4AB0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0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0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05" w14:textId="77777777" w:rsidR="006A3667" w:rsidRDefault="006A3667">
            <w:pPr>
              <w:rPr>
                <w:rFonts w:ascii="宋体"/>
              </w:rPr>
            </w:pPr>
          </w:p>
        </w:tc>
      </w:tr>
      <w:tr w:rsidR="006A3667" w14:paraId="71D4AB0B" w14:textId="77777777">
        <w:tc>
          <w:tcPr>
            <w:tcW w:w="0" w:type="auto"/>
            <w:gridSpan w:val="3"/>
            <w:shd w:val="clear" w:color="auto" w:fill="auto"/>
            <w:tcMar>
              <w:top w:w="40" w:type="dxa"/>
              <w:left w:w="20" w:type="dxa"/>
              <w:bottom w:w="40" w:type="dxa"/>
              <w:right w:w="20" w:type="dxa"/>
            </w:tcMar>
            <w:vAlign w:val="bottom"/>
          </w:tcPr>
          <w:p w14:paraId="71D4AB07" w14:textId="77777777" w:rsidR="006A3667" w:rsidRDefault="00045F32">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1D4AB08" w14:textId="77777777" w:rsidR="006A3667" w:rsidRDefault="00045F32">
            <w:pPr>
              <w:textAlignment w:val="bottom"/>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71D4AB09"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0A" w14:textId="77777777" w:rsidR="006A3667" w:rsidRDefault="00045F32">
            <w:pPr>
              <w:textAlignment w:val="bottom"/>
            </w:pPr>
            <w:r>
              <w:rPr>
                <w:rFonts w:ascii="Arial" w:eastAsia="宋体" w:hAnsi="Arial" w:cs="Arial"/>
                <w:color w:val="000000"/>
                <w:sz w:val="20"/>
                <w:szCs w:val="20"/>
              </w:rPr>
              <w:t>Inline XBRL Taxonomy Extension Definition Linkbase Document</w:t>
            </w:r>
          </w:p>
        </w:tc>
      </w:tr>
      <w:tr w:rsidR="006A3667" w14:paraId="71D4AB10" w14:textId="77777777">
        <w:trPr>
          <w:trHeight w:val="60"/>
        </w:trPr>
        <w:tc>
          <w:tcPr>
            <w:tcW w:w="0" w:type="auto"/>
            <w:gridSpan w:val="3"/>
            <w:shd w:val="clear" w:color="auto" w:fill="auto"/>
            <w:tcMar>
              <w:top w:w="0" w:type="dxa"/>
              <w:left w:w="20" w:type="dxa"/>
              <w:bottom w:w="0" w:type="dxa"/>
              <w:right w:w="20" w:type="dxa"/>
            </w:tcMar>
            <w:vAlign w:val="bottom"/>
          </w:tcPr>
          <w:p w14:paraId="71D4AB0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0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0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0F" w14:textId="77777777" w:rsidR="006A3667" w:rsidRDefault="006A3667">
            <w:pPr>
              <w:rPr>
                <w:rFonts w:ascii="宋体"/>
              </w:rPr>
            </w:pPr>
          </w:p>
        </w:tc>
      </w:tr>
      <w:tr w:rsidR="006A3667" w14:paraId="71D4AB15" w14:textId="77777777">
        <w:tc>
          <w:tcPr>
            <w:tcW w:w="0" w:type="auto"/>
            <w:gridSpan w:val="3"/>
            <w:shd w:val="clear" w:color="auto" w:fill="auto"/>
            <w:tcMar>
              <w:top w:w="40" w:type="dxa"/>
              <w:left w:w="20" w:type="dxa"/>
              <w:bottom w:w="40" w:type="dxa"/>
              <w:right w:w="20" w:type="dxa"/>
            </w:tcMar>
            <w:vAlign w:val="bottom"/>
          </w:tcPr>
          <w:p w14:paraId="71D4AB11" w14:textId="77777777" w:rsidR="006A3667" w:rsidRDefault="00045F32">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1D4AB12" w14:textId="77777777" w:rsidR="006A3667" w:rsidRDefault="00045F32">
            <w:pPr>
              <w:textAlignment w:val="bottom"/>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71D4AB1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14" w14:textId="77777777" w:rsidR="006A3667" w:rsidRDefault="00045F32">
            <w:pPr>
              <w:textAlignment w:val="bottom"/>
            </w:pPr>
            <w:r>
              <w:rPr>
                <w:rFonts w:ascii="Arial" w:eastAsia="宋体" w:hAnsi="Arial" w:cs="Arial"/>
                <w:color w:val="000000"/>
                <w:sz w:val="20"/>
                <w:szCs w:val="20"/>
              </w:rPr>
              <w:t>Inline XBRL Taxonomy Label Linkbase Document</w:t>
            </w:r>
          </w:p>
        </w:tc>
      </w:tr>
      <w:tr w:rsidR="006A3667" w14:paraId="71D4AB1A" w14:textId="77777777">
        <w:trPr>
          <w:trHeight w:val="60"/>
        </w:trPr>
        <w:tc>
          <w:tcPr>
            <w:tcW w:w="0" w:type="auto"/>
            <w:gridSpan w:val="3"/>
            <w:shd w:val="clear" w:color="auto" w:fill="auto"/>
            <w:tcMar>
              <w:top w:w="0" w:type="dxa"/>
              <w:left w:w="20" w:type="dxa"/>
              <w:bottom w:w="0" w:type="dxa"/>
              <w:right w:w="20" w:type="dxa"/>
            </w:tcMar>
            <w:vAlign w:val="bottom"/>
          </w:tcPr>
          <w:p w14:paraId="71D4AB1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1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1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19" w14:textId="77777777" w:rsidR="006A3667" w:rsidRDefault="006A3667">
            <w:pPr>
              <w:rPr>
                <w:rFonts w:ascii="宋体"/>
              </w:rPr>
            </w:pPr>
          </w:p>
        </w:tc>
      </w:tr>
      <w:tr w:rsidR="006A3667" w14:paraId="71D4AB1F" w14:textId="77777777">
        <w:tc>
          <w:tcPr>
            <w:tcW w:w="0" w:type="auto"/>
            <w:gridSpan w:val="3"/>
            <w:shd w:val="clear" w:color="auto" w:fill="auto"/>
            <w:tcMar>
              <w:top w:w="40" w:type="dxa"/>
              <w:left w:w="20" w:type="dxa"/>
              <w:bottom w:w="40" w:type="dxa"/>
              <w:right w:w="20" w:type="dxa"/>
            </w:tcMar>
            <w:vAlign w:val="bottom"/>
          </w:tcPr>
          <w:p w14:paraId="71D4AB1B" w14:textId="77777777" w:rsidR="006A3667" w:rsidRDefault="00045F32">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71D4AB1C" w14:textId="77777777" w:rsidR="006A3667" w:rsidRDefault="00045F32">
            <w:pPr>
              <w:textAlignment w:val="bottom"/>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71D4AB1D"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1E" w14:textId="77777777" w:rsidR="006A3667" w:rsidRDefault="00045F32">
            <w:pPr>
              <w:textAlignment w:val="bottom"/>
            </w:pPr>
            <w:r>
              <w:rPr>
                <w:rFonts w:ascii="Arial" w:eastAsia="宋体" w:hAnsi="Arial" w:cs="Arial"/>
                <w:color w:val="000000"/>
                <w:sz w:val="20"/>
                <w:szCs w:val="20"/>
              </w:rPr>
              <w:t>Inline XBRL Taxonomy Presentation Linkbase Document</w:t>
            </w:r>
          </w:p>
        </w:tc>
      </w:tr>
      <w:tr w:rsidR="006A3667" w14:paraId="71D4AB24" w14:textId="77777777">
        <w:trPr>
          <w:trHeight w:val="60"/>
        </w:trPr>
        <w:tc>
          <w:tcPr>
            <w:tcW w:w="0" w:type="auto"/>
            <w:gridSpan w:val="3"/>
            <w:shd w:val="clear" w:color="auto" w:fill="auto"/>
            <w:tcMar>
              <w:top w:w="0" w:type="dxa"/>
              <w:left w:w="20" w:type="dxa"/>
              <w:bottom w:w="0" w:type="dxa"/>
              <w:right w:w="20" w:type="dxa"/>
            </w:tcMar>
            <w:vAlign w:val="bottom"/>
          </w:tcPr>
          <w:p w14:paraId="71D4AB2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2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2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23" w14:textId="77777777" w:rsidR="006A3667" w:rsidRDefault="006A3667">
            <w:pPr>
              <w:rPr>
                <w:rFonts w:ascii="宋体"/>
              </w:rPr>
            </w:pPr>
          </w:p>
        </w:tc>
      </w:tr>
      <w:tr w:rsidR="006A3667" w14:paraId="71D4AB29" w14:textId="77777777">
        <w:tc>
          <w:tcPr>
            <w:tcW w:w="0" w:type="auto"/>
            <w:gridSpan w:val="3"/>
            <w:shd w:val="clear" w:color="auto" w:fill="auto"/>
            <w:tcMar>
              <w:top w:w="40" w:type="dxa"/>
              <w:left w:w="20" w:type="dxa"/>
              <w:bottom w:w="40" w:type="dxa"/>
              <w:right w:w="20" w:type="dxa"/>
            </w:tcMar>
            <w:vAlign w:val="center"/>
          </w:tcPr>
          <w:p w14:paraId="71D4AB25" w14:textId="77777777" w:rsidR="006A3667" w:rsidRDefault="00045F32">
            <w:pPr>
              <w:jc w:val="cente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71D4AB26" w14:textId="77777777" w:rsidR="006A3667" w:rsidRDefault="00045F32">
            <w:pPr>
              <w:textAlignment w:val="center"/>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71D4AB2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center"/>
          </w:tcPr>
          <w:p w14:paraId="71D4AB28" w14:textId="77777777" w:rsidR="006A3667" w:rsidRDefault="00045F32">
            <w:pPr>
              <w:textAlignment w:val="center"/>
            </w:pPr>
            <w:r>
              <w:rPr>
                <w:rFonts w:ascii="Arial" w:eastAsia="宋体" w:hAnsi="Arial" w:cs="Arial"/>
                <w:color w:val="000000"/>
                <w:sz w:val="20"/>
                <w:szCs w:val="20"/>
              </w:rPr>
              <w:t>Cover Page Interactive Data File (formatted as Inline XBRL and included within the Exhibit 101 attachments)</w:t>
            </w:r>
          </w:p>
        </w:tc>
      </w:tr>
    </w:tbl>
    <w:p w14:paraId="71D4AB2A" w14:textId="77777777" w:rsidR="006A3667" w:rsidRDefault="006A3667">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38"/>
        <w:gridCol w:w="36"/>
        <w:gridCol w:w="69"/>
        <w:gridCol w:w="1516"/>
        <w:gridCol w:w="36"/>
        <w:gridCol w:w="70"/>
        <w:gridCol w:w="2626"/>
        <w:gridCol w:w="36"/>
      </w:tblGrid>
      <w:tr w:rsidR="006A3667" w14:paraId="71D4AB37" w14:textId="77777777">
        <w:tc>
          <w:tcPr>
            <w:tcW w:w="50" w:type="pct"/>
            <w:shd w:val="clear" w:color="auto" w:fill="auto"/>
            <w:vAlign w:val="bottom"/>
          </w:tcPr>
          <w:p w14:paraId="71D4AB2B" w14:textId="77777777" w:rsidR="006A3667" w:rsidRDefault="006A3667">
            <w:pPr>
              <w:rPr>
                <w:rFonts w:ascii="宋体"/>
              </w:rPr>
            </w:pPr>
          </w:p>
        </w:tc>
        <w:tc>
          <w:tcPr>
            <w:tcW w:w="1348" w:type="pct"/>
            <w:shd w:val="clear" w:color="auto" w:fill="auto"/>
            <w:vAlign w:val="bottom"/>
          </w:tcPr>
          <w:p w14:paraId="71D4AB2C" w14:textId="77777777" w:rsidR="006A3667" w:rsidRDefault="006A3667">
            <w:pPr>
              <w:rPr>
                <w:rFonts w:ascii="宋体"/>
              </w:rPr>
            </w:pPr>
          </w:p>
        </w:tc>
        <w:tc>
          <w:tcPr>
            <w:tcW w:w="5" w:type="pct"/>
            <w:shd w:val="clear" w:color="auto" w:fill="auto"/>
            <w:vAlign w:val="bottom"/>
          </w:tcPr>
          <w:p w14:paraId="71D4AB2D" w14:textId="77777777" w:rsidR="006A3667" w:rsidRDefault="006A3667">
            <w:pPr>
              <w:rPr>
                <w:rFonts w:ascii="宋体"/>
              </w:rPr>
            </w:pPr>
          </w:p>
        </w:tc>
        <w:tc>
          <w:tcPr>
            <w:tcW w:w="50" w:type="pct"/>
            <w:shd w:val="clear" w:color="auto" w:fill="auto"/>
            <w:vAlign w:val="bottom"/>
          </w:tcPr>
          <w:p w14:paraId="71D4AB2E" w14:textId="77777777" w:rsidR="006A3667" w:rsidRDefault="006A3667">
            <w:pPr>
              <w:rPr>
                <w:rFonts w:ascii="宋体"/>
              </w:rPr>
            </w:pPr>
          </w:p>
        </w:tc>
        <w:tc>
          <w:tcPr>
            <w:tcW w:w="931" w:type="pct"/>
            <w:shd w:val="clear" w:color="auto" w:fill="auto"/>
            <w:vAlign w:val="bottom"/>
          </w:tcPr>
          <w:p w14:paraId="71D4AB2F" w14:textId="77777777" w:rsidR="006A3667" w:rsidRDefault="006A3667">
            <w:pPr>
              <w:rPr>
                <w:rFonts w:ascii="宋体"/>
              </w:rPr>
            </w:pPr>
          </w:p>
        </w:tc>
        <w:tc>
          <w:tcPr>
            <w:tcW w:w="5" w:type="pct"/>
            <w:shd w:val="clear" w:color="auto" w:fill="auto"/>
            <w:vAlign w:val="bottom"/>
          </w:tcPr>
          <w:p w14:paraId="71D4AB30" w14:textId="77777777" w:rsidR="006A3667" w:rsidRDefault="006A3667">
            <w:pPr>
              <w:rPr>
                <w:rFonts w:ascii="宋体"/>
              </w:rPr>
            </w:pPr>
          </w:p>
        </w:tc>
        <w:tc>
          <w:tcPr>
            <w:tcW w:w="50" w:type="pct"/>
            <w:shd w:val="clear" w:color="auto" w:fill="auto"/>
            <w:vAlign w:val="bottom"/>
          </w:tcPr>
          <w:p w14:paraId="71D4AB31" w14:textId="77777777" w:rsidR="006A3667" w:rsidRDefault="006A3667">
            <w:pPr>
              <w:rPr>
                <w:rFonts w:ascii="宋体"/>
              </w:rPr>
            </w:pPr>
          </w:p>
        </w:tc>
        <w:tc>
          <w:tcPr>
            <w:tcW w:w="917" w:type="pct"/>
            <w:shd w:val="clear" w:color="auto" w:fill="auto"/>
            <w:vAlign w:val="bottom"/>
          </w:tcPr>
          <w:p w14:paraId="71D4AB32" w14:textId="77777777" w:rsidR="006A3667" w:rsidRDefault="006A3667">
            <w:pPr>
              <w:rPr>
                <w:rFonts w:ascii="宋体"/>
              </w:rPr>
            </w:pPr>
          </w:p>
        </w:tc>
        <w:tc>
          <w:tcPr>
            <w:tcW w:w="5" w:type="pct"/>
            <w:shd w:val="clear" w:color="auto" w:fill="auto"/>
            <w:vAlign w:val="bottom"/>
          </w:tcPr>
          <w:p w14:paraId="71D4AB33" w14:textId="77777777" w:rsidR="006A3667" w:rsidRDefault="006A3667">
            <w:pPr>
              <w:rPr>
                <w:rFonts w:ascii="宋体"/>
              </w:rPr>
            </w:pPr>
          </w:p>
        </w:tc>
        <w:tc>
          <w:tcPr>
            <w:tcW w:w="50" w:type="pct"/>
            <w:shd w:val="clear" w:color="auto" w:fill="auto"/>
            <w:vAlign w:val="bottom"/>
          </w:tcPr>
          <w:p w14:paraId="71D4AB34" w14:textId="77777777" w:rsidR="006A3667" w:rsidRDefault="006A3667">
            <w:pPr>
              <w:rPr>
                <w:rFonts w:ascii="宋体"/>
              </w:rPr>
            </w:pPr>
          </w:p>
        </w:tc>
        <w:tc>
          <w:tcPr>
            <w:tcW w:w="1582" w:type="pct"/>
            <w:shd w:val="clear" w:color="auto" w:fill="auto"/>
            <w:vAlign w:val="bottom"/>
          </w:tcPr>
          <w:p w14:paraId="71D4AB35" w14:textId="77777777" w:rsidR="006A3667" w:rsidRDefault="006A3667">
            <w:pPr>
              <w:rPr>
                <w:rFonts w:ascii="宋体"/>
              </w:rPr>
            </w:pPr>
          </w:p>
        </w:tc>
        <w:tc>
          <w:tcPr>
            <w:tcW w:w="5" w:type="pct"/>
            <w:shd w:val="clear" w:color="auto" w:fill="auto"/>
            <w:vAlign w:val="bottom"/>
          </w:tcPr>
          <w:p w14:paraId="71D4AB36" w14:textId="77777777" w:rsidR="006A3667" w:rsidRDefault="006A3667">
            <w:pPr>
              <w:rPr>
                <w:rFonts w:ascii="宋体"/>
              </w:rPr>
            </w:pPr>
          </w:p>
        </w:tc>
      </w:tr>
      <w:tr w:rsidR="006A3667" w14:paraId="71D4AB3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71D4AB3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3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3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3B" w14:textId="77777777" w:rsidR="006A3667" w:rsidRDefault="006A3667">
            <w:pPr>
              <w:rPr>
                <w:rFonts w:ascii="宋体"/>
              </w:rPr>
            </w:pPr>
          </w:p>
        </w:tc>
      </w:tr>
    </w:tbl>
    <w:p w14:paraId="71D4AB3D" w14:textId="77777777" w:rsidR="006A3667" w:rsidRDefault="006A3667">
      <w:pPr>
        <w:rPr>
          <w:vanish/>
        </w:rPr>
      </w:pPr>
    </w:p>
    <w:tbl>
      <w:tblPr>
        <w:tblW w:w="4781" w:type="pct"/>
        <w:tblCellMar>
          <w:top w:w="15" w:type="dxa"/>
          <w:left w:w="15" w:type="dxa"/>
          <w:bottom w:w="15" w:type="dxa"/>
          <w:right w:w="15" w:type="dxa"/>
        </w:tblCellMar>
        <w:tblLook w:val="04A0" w:firstRow="1" w:lastRow="0" w:firstColumn="1" w:lastColumn="0" w:noHBand="0" w:noVBand="1"/>
      </w:tblPr>
      <w:tblGrid>
        <w:gridCol w:w="37"/>
        <w:gridCol w:w="179"/>
        <w:gridCol w:w="36"/>
        <w:gridCol w:w="36"/>
        <w:gridCol w:w="36"/>
        <w:gridCol w:w="36"/>
        <w:gridCol w:w="37"/>
        <w:gridCol w:w="7538"/>
        <w:gridCol w:w="36"/>
      </w:tblGrid>
      <w:tr w:rsidR="006A3667" w14:paraId="71D4AB47" w14:textId="77777777">
        <w:tc>
          <w:tcPr>
            <w:tcW w:w="5" w:type="pct"/>
            <w:shd w:val="clear" w:color="auto" w:fill="auto"/>
            <w:vAlign w:val="bottom"/>
          </w:tcPr>
          <w:p w14:paraId="71D4AB3E" w14:textId="77777777" w:rsidR="006A3667" w:rsidRDefault="006A3667">
            <w:pPr>
              <w:rPr>
                <w:rFonts w:ascii="宋体"/>
              </w:rPr>
            </w:pPr>
          </w:p>
        </w:tc>
        <w:tc>
          <w:tcPr>
            <w:tcW w:w="135" w:type="pct"/>
            <w:shd w:val="clear" w:color="auto" w:fill="auto"/>
            <w:vAlign w:val="bottom"/>
          </w:tcPr>
          <w:p w14:paraId="71D4AB3F" w14:textId="77777777" w:rsidR="006A3667" w:rsidRDefault="006A3667">
            <w:pPr>
              <w:rPr>
                <w:rFonts w:ascii="宋体"/>
              </w:rPr>
            </w:pPr>
          </w:p>
        </w:tc>
        <w:tc>
          <w:tcPr>
            <w:tcW w:w="5" w:type="pct"/>
            <w:shd w:val="clear" w:color="auto" w:fill="auto"/>
            <w:vAlign w:val="bottom"/>
          </w:tcPr>
          <w:p w14:paraId="71D4AB40" w14:textId="77777777" w:rsidR="006A3667" w:rsidRDefault="006A3667">
            <w:pPr>
              <w:rPr>
                <w:rFonts w:ascii="宋体"/>
              </w:rPr>
            </w:pPr>
          </w:p>
        </w:tc>
        <w:tc>
          <w:tcPr>
            <w:tcW w:w="5" w:type="pct"/>
            <w:shd w:val="clear" w:color="auto" w:fill="auto"/>
            <w:vAlign w:val="bottom"/>
          </w:tcPr>
          <w:p w14:paraId="71D4AB41" w14:textId="77777777" w:rsidR="006A3667" w:rsidRDefault="006A3667">
            <w:pPr>
              <w:rPr>
                <w:rFonts w:ascii="宋体"/>
              </w:rPr>
            </w:pPr>
          </w:p>
        </w:tc>
        <w:tc>
          <w:tcPr>
            <w:tcW w:w="28" w:type="pct"/>
            <w:shd w:val="clear" w:color="auto" w:fill="auto"/>
            <w:vAlign w:val="bottom"/>
          </w:tcPr>
          <w:p w14:paraId="71D4AB42" w14:textId="77777777" w:rsidR="006A3667" w:rsidRDefault="006A3667">
            <w:pPr>
              <w:rPr>
                <w:rFonts w:ascii="宋体"/>
              </w:rPr>
            </w:pPr>
          </w:p>
        </w:tc>
        <w:tc>
          <w:tcPr>
            <w:tcW w:w="5" w:type="pct"/>
            <w:shd w:val="clear" w:color="auto" w:fill="auto"/>
            <w:vAlign w:val="bottom"/>
          </w:tcPr>
          <w:p w14:paraId="71D4AB43" w14:textId="77777777" w:rsidR="006A3667" w:rsidRDefault="006A3667">
            <w:pPr>
              <w:rPr>
                <w:rFonts w:ascii="宋体"/>
              </w:rPr>
            </w:pPr>
          </w:p>
        </w:tc>
        <w:tc>
          <w:tcPr>
            <w:tcW w:w="50" w:type="pct"/>
            <w:shd w:val="clear" w:color="auto" w:fill="auto"/>
            <w:vAlign w:val="bottom"/>
          </w:tcPr>
          <w:p w14:paraId="71D4AB44" w14:textId="77777777" w:rsidR="006A3667" w:rsidRDefault="006A3667">
            <w:pPr>
              <w:rPr>
                <w:rFonts w:ascii="宋体"/>
              </w:rPr>
            </w:pPr>
          </w:p>
        </w:tc>
        <w:tc>
          <w:tcPr>
            <w:tcW w:w="4761" w:type="pct"/>
            <w:shd w:val="clear" w:color="auto" w:fill="auto"/>
            <w:vAlign w:val="bottom"/>
          </w:tcPr>
          <w:p w14:paraId="71D4AB45" w14:textId="77777777" w:rsidR="006A3667" w:rsidRDefault="006A3667">
            <w:pPr>
              <w:rPr>
                <w:rFonts w:ascii="宋体"/>
              </w:rPr>
            </w:pPr>
          </w:p>
        </w:tc>
        <w:tc>
          <w:tcPr>
            <w:tcW w:w="5" w:type="pct"/>
            <w:shd w:val="clear" w:color="auto" w:fill="auto"/>
            <w:vAlign w:val="bottom"/>
          </w:tcPr>
          <w:p w14:paraId="71D4AB46" w14:textId="77777777" w:rsidR="006A3667" w:rsidRDefault="006A3667">
            <w:pPr>
              <w:rPr>
                <w:rFonts w:ascii="宋体"/>
              </w:rPr>
            </w:pPr>
          </w:p>
        </w:tc>
      </w:tr>
      <w:tr w:rsidR="006A3667" w14:paraId="71D4AB4B" w14:textId="77777777">
        <w:trPr>
          <w:hidden/>
        </w:trPr>
        <w:tc>
          <w:tcPr>
            <w:tcW w:w="0" w:type="auto"/>
            <w:gridSpan w:val="3"/>
            <w:shd w:val="clear" w:color="auto" w:fill="auto"/>
            <w:vAlign w:val="bottom"/>
          </w:tcPr>
          <w:p w14:paraId="71D4AB48" w14:textId="77777777" w:rsidR="006A3667" w:rsidRDefault="006A3667">
            <w:pPr>
              <w:rPr>
                <w:rFonts w:ascii="宋体"/>
                <w:vanish/>
              </w:rPr>
            </w:pPr>
          </w:p>
        </w:tc>
        <w:tc>
          <w:tcPr>
            <w:tcW w:w="0" w:type="auto"/>
            <w:gridSpan w:val="3"/>
            <w:shd w:val="clear" w:color="auto" w:fill="auto"/>
            <w:vAlign w:val="bottom"/>
          </w:tcPr>
          <w:p w14:paraId="71D4AB49" w14:textId="77777777" w:rsidR="006A3667" w:rsidRDefault="006A3667">
            <w:pPr>
              <w:rPr>
                <w:rFonts w:ascii="宋体"/>
                <w:vanish/>
              </w:rPr>
            </w:pPr>
          </w:p>
        </w:tc>
        <w:tc>
          <w:tcPr>
            <w:tcW w:w="0" w:type="auto"/>
            <w:gridSpan w:val="3"/>
            <w:shd w:val="clear" w:color="auto" w:fill="auto"/>
            <w:vAlign w:val="bottom"/>
          </w:tcPr>
          <w:p w14:paraId="71D4AB4A" w14:textId="77777777" w:rsidR="006A3667" w:rsidRDefault="006A3667">
            <w:pPr>
              <w:rPr>
                <w:rFonts w:ascii="宋体"/>
                <w:vanish/>
              </w:rPr>
            </w:pPr>
          </w:p>
        </w:tc>
      </w:tr>
      <w:tr w:rsidR="006A3667" w14:paraId="71D4AB4F" w14:textId="77777777">
        <w:trPr>
          <w:hidden/>
        </w:trPr>
        <w:tc>
          <w:tcPr>
            <w:tcW w:w="0" w:type="auto"/>
            <w:gridSpan w:val="3"/>
            <w:shd w:val="clear" w:color="auto" w:fill="auto"/>
            <w:vAlign w:val="bottom"/>
          </w:tcPr>
          <w:p w14:paraId="71D4AB4C" w14:textId="77777777" w:rsidR="006A3667" w:rsidRDefault="006A3667">
            <w:pPr>
              <w:rPr>
                <w:rFonts w:ascii="宋体"/>
                <w:vanish/>
              </w:rPr>
            </w:pPr>
          </w:p>
        </w:tc>
        <w:tc>
          <w:tcPr>
            <w:tcW w:w="0" w:type="auto"/>
            <w:gridSpan w:val="3"/>
            <w:shd w:val="clear" w:color="auto" w:fill="auto"/>
            <w:vAlign w:val="bottom"/>
          </w:tcPr>
          <w:p w14:paraId="71D4AB4D" w14:textId="77777777" w:rsidR="006A3667" w:rsidRDefault="006A3667">
            <w:pPr>
              <w:rPr>
                <w:rFonts w:ascii="宋体"/>
                <w:vanish/>
              </w:rPr>
            </w:pPr>
          </w:p>
        </w:tc>
        <w:tc>
          <w:tcPr>
            <w:tcW w:w="0" w:type="auto"/>
            <w:gridSpan w:val="3"/>
            <w:shd w:val="clear" w:color="auto" w:fill="auto"/>
            <w:vAlign w:val="bottom"/>
          </w:tcPr>
          <w:p w14:paraId="71D4AB4E" w14:textId="77777777" w:rsidR="006A3667" w:rsidRDefault="006A3667">
            <w:pPr>
              <w:rPr>
                <w:rFonts w:ascii="宋体"/>
                <w:vanish/>
              </w:rPr>
            </w:pPr>
          </w:p>
        </w:tc>
      </w:tr>
      <w:tr w:rsidR="006A3667" w14:paraId="71D4AB53" w14:textId="77777777">
        <w:trPr>
          <w:hidden/>
        </w:trPr>
        <w:tc>
          <w:tcPr>
            <w:tcW w:w="0" w:type="auto"/>
            <w:gridSpan w:val="3"/>
            <w:shd w:val="clear" w:color="auto" w:fill="auto"/>
            <w:vAlign w:val="bottom"/>
          </w:tcPr>
          <w:p w14:paraId="71D4AB50" w14:textId="77777777" w:rsidR="006A3667" w:rsidRDefault="006A3667">
            <w:pPr>
              <w:rPr>
                <w:rFonts w:ascii="宋体"/>
                <w:vanish/>
              </w:rPr>
            </w:pPr>
          </w:p>
        </w:tc>
        <w:tc>
          <w:tcPr>
            <w:tcW w:w="0" w:type="auto"/>
            <w:gridSpan w:val="3"/>
            <w:shd w:val="clear" w:color="auto" w:fill="auto"/>
            <w:vAlign w:val="bottom"/>
          </w:tcPr>
          <w:p w14:paraId="71D4AB51" w14:textId="77777777" w:rsidR="006A3667" w:rsidRDefault="006A3667">
            <w:pPr>
              <w:rPr>
                <w:rFonts w:ascii="宋体"/>
                <w:vanish/>
              </w:rPr>
            </w:pPr>
          </w:p>
        </w:tc>
        <w:tc>
          <w:tcPr>
            <w:tcW w:w="0" w:type="auto"/>
            <w:gridSpan w:val="3"/>
            <w:shd w:val="clear" w:color="auto" w:fill="auto"/>
            <w:vAlign w:val="bottom"/>
          </w:tcPr>
          <w:p w14:paraId="71D4AB52" w14:textId="77777777" w:rsidR="006A3667" w:rsidRDefault="006A3667">
            <w:pPr>
              <w:rPr>
                <w:rFonts w:ascii="宋体"/>
                <w:vanish/>
              </w:rPr>
            </w:pPr>
          </w:p>
        </w:tc>
      </w:tr>
      <w:tr w:rsidR="006A3667" w14:paraId="71D4AB57" w14:textId="77777777">
        <w:tc>
          <w:tcPr>
            <w:tcW w:w="0" w:type="auto"/>
            <w:gridSpan w:val="3"/>
            <w:shd w:val="clear" w:color="auto" w:fill="auto"/>
            <w:tcMar>
              <w:top w:w="40" w:type="dxa"/>
              <w:left w:w="20" w:type="dxa"/>
              <w:bottom w:w="40" w:type="dxa"/>
              <w:right w:w="20" w:type="dxa"/>
            </w:tcMar>
          </w:tcPr>
          <w:p w14:paraId="71D4AB54" w14:textId="77777777" w:rsidR="006A3667" w:rsidRDefault="00045F32">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71D4AB55"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56" w14:textId="77777777" w:rsidR="006A3667" w:rsidRDefault="00045F32">
            <w:pPr>
              <w:textAlignment w:val="bottom"/>
            </w:pPr>
            <w:r>
              <w:rPr>
                <w:rFonts w:ascii="Arial" w:eastAsia="宋体" w:hAnsi="Arial" w:cs="Arial"/>
                <w:color w:val="000000"/>
                <w:sz w:val="20"/>
                <w:szCs w:val="20"/>
              </w:rPr>
              <w:t>Submitted electronically herewith</w:t>
            </w:r>
          </w:p>
        </w:tc>
      </w:tr>
    </w:tbl>
    <w:p w14:paraId="71D4AB58" w14:textId="77777777" w:rsidR="006A3667" w:rsidRDefault="00045F32">
      <w:pPr>
        <w:ind w:firstLine="450"/>
        <w:jc w:val="both"/>
      </w:pPr>
      <w:r>
        <w:rPr>
          <w:rFonts w:ascii="Arial" w:eastAsia="宋体" w:hAnsi="Arial" w:cs="Arial"/>
          <w:color w:val="000000"/>
          <w:sz w:val="20"/>
          <w:szCs w:val="20"/>
        </w:rPr>
        <w:t xml:space="preserve">Attached as Exhibit 101 to this report are the </w:t>
      </w:r>
      <w:r>
        <w:rPr>
          <w:rFonts w:ascii="Arial" w:eastAsia="宋体" w:hAnsi="Arial" w:cs="Arial"/>
          <w:color w:val="000000"/>
          <w:sz w:val="20"/>
          <w:szCs w:val="20"/>
        </w:rPr>
        <w:t>following formatted in Inline XBRL (Extensible Business Reporting Language): (i) consolidated statement of income for the three and nine months ended September 30, 2022 and 2021, (ii) consolidated statement of comprehensive income for the three and nine mo</w:t>
      </w:r>
      <w:r>
        <w:rPr>
          <w:rFonts w:ascii="Arial" w:eastAsia="宋体" w:hAnsi="Arial" w:cs="Arial"/>
          <w:color w:val="000000"/>
          <w:sz w:val="20"/>
          <w:szCs w:val="20"/>
        </w:rPr>
        <w:t>nths ended September 30, 2022 and 2021, (iii) consolidated statement of condition as of September 30, 2022 and December 31, 2021, (iv) consolidated statement of changes in shareholders' equity for the three and nine months ended September 30, 2022 and 2021</w:t>
      </w:r>
      <w:r>
        <w:rPr>
          <w:rFonts w:ascii="Arial" w:eastAsia="宋体" w:hAnsi="Arial" w:cs="Arial"/>
          <w:color w:val="000000"/>
          <w:sz w:val="20"/>
          <w:szCs w:val="20"/>
        </w:rPr>
        <w:t>, (v) consolidated statement of cash flows for the nine months ended September 30, 2022 and 2021, and (vi) notes to consolidated financial statements.</w:t>
      </w:r>
    </w:p>
    <w:p w14:paraId="71D4AB59" w14:textId="77777777" w:rsidR="006A3667" w:rsidRDefault="00045F32">
      <w:pPr>
        <w:ind w:firstLine="450"/>
        <w:jc w:val="right"/>
      </w:pPr>
      <w:r>
        <w:rPr>
          <w:rFonts w:ascii="Arial" w:eastAsia="宋体" w:hAnsi="Arial" w:cs="Arial"/>
          <w:color w:val="000000"/>
          <w:sz w:val="18"/>
          <w:szCs w:val="18"/>
        </w:rPr>
        <w:t>State Street Corporation | 100</w:t>
      </w:r>
    </w:p>
    <w:p w14:paraId="71D4AB5A" w14:textId="77777777" w:rsidR="006A3667" w:rsidRDefault="006A3667">
      <w:pPr>
        <w:ind w:firstLine="450"/>
        <w:jc w:val="center"/>
      </w:pPr>
    </w:p>
    <w:p w14:paraId="71D4AB5B" w14:textId="77777777" w:rsidR="006A3667" w:rsidRDefault="00045F32">
      <w:r>
        <w:pict w14:anchorId="71D4AC78">
          <v:rect id="_x0000_i1124" style="width:415.3pt;height:1.5pt" o:hralign="center" o:hrstd="t" o:hr="t" fillcolor="#a0a0a0" stroked="f"/>
        </w:pict>
      </w:r>
    </w:p>
    <w:p w14:paraId="71D4AB5C" w14:textId="77777777" w:rsidR="006A3667" w:rsidRDefault="006A3667">
      <w:pPr>
        <w:ind w:firstLine="450"/>
      </w:pPr>
    </w:p>
    <w:p w14:paraId="71D4AB5D" w14:textId="77777777" w:rsidR="006A3667" w:rsidRDefault="006A3667">
      <w:pPr>
        <w:ind w:firstLine="450"/>
        <w:jc w:val="center"/>
      </w:pPr>
    </w:p>
    <w:p w14:paraId="71D4AB5E" w14:textId="77777777" w:rsidR="006A3667" w:rsidRDefault="00045F32">
      <w:pPr>
        <w:spacing w:before="180"/>
        <w:ind w:firstLine="450"/>
        <w:jc w:val="center"/>
      </w:pPr>
      <w:r>
        <w:rPr>
          <w:rFonts w:ascii="Arial" w:eastAsia="宋体" w:hAnsi="Arial" w:cs="Arial"/>
          <w:b/>
          <w:bCs/>
          <w:color w:val="000000"/>
          <w:sz w:val="20"/>
          <w:szCs w:val="20"/>
        </w:rPr>
        <w:t>SIGNATURES</w:t>
      </w:r>
    </w:p>
    <w:p w14:paraId="71D4AB5F" w14:textId="77777777" w:rsidR="006A3667" w:rsidRDefault="00045F32">
      <w:pPr>
        <w:spacing w:before="90"/>
        <w:ind w:firstLine="450"/>
      </w:pPr>
      <w:r>
        <w:rPr>
          <w:rFonts w:ascii="Arial" w:eastAsia="宋体" w:hAnsi="Arial" w:cs="Arial"/>
          <w:color w:val="000000"/>
          <w:sz w:val="20"/>
          <w:szCs w:val="20"/>
        </w:rPr>
        <w:t xml:space="preserve">Pursuant to the requirement of the Securities </w:t>
      </w:r>
      <w:r>
        <w:rPr>
          <w:rFonts w:ascii="Arial" w:eastAsia="宋体" w:hAnsi="Arial" w:cs="Arial"/>
          <w:color w:val="000000"/>
          <w:sz w:val="20"/>
          <w:szCs w:val="20"/>
        </w:rPr>
        <w:t>Exchange Act of 1934, the registrant has duly caused this report to be signed on its behalf by the undersigned hereunto duly authorized. </w:t>
      </w:r>
    </w:p>
    <w:tbl>
      <w:tblPr>
        <w:tblW w:w="4583" w:type="pct"/>
        <w:tblCellMar>
          <w:top w:w="15" w:type="dxa"/>
          <w:left w:w="15" w:type="dxa"/>
          <w:bottom w:w="15" w:type="dxa"/>
          <w:right w:w="15" w:type="dxa"/>
        </w:tblCellMar>
        <w:tblLook w:val="04A0" w:firstRow="1" w:lastRow="0" w:firstColumn="1" w:lastColumn="0" w:noHBand="0" w:noVBand="1"/>
      </w:tblPr>
      <w:tblGrid>
        <w:gridCol w:w="82"/>
        <w:gridCol w:w="429"/>
        <w:gridCol w:w="36"/>
        <w:gridCol w:w="43"/>
        <w:gridCol w:w="1883"/>
        <w:gridCol w:w="36"/>
        <w:gridCol w:w="36"/>
        <w:gridCol w:w="36"/>
        <w:gridCol w:w="36"/>
        <w:gridCol w:w="44"/>
        <w:gridCol w:w="444"/>
        <w:gridCol w:w="36"/>
        <w:gridCol w:w="36"/>
        <w:gridCol w:w="36"/>
        <w:gridCol w:w="36"/>
        <w:gridCol w:w="41"/>
        <w:gridCol w:w="4315"/>
        <w:gridCol w:w="36"/>
      </w:tblGrid>
      <w:tr w:rsidR="006A3667" w14:paraId="71D4AB72" w14:textId="77777777">
        <w:tc>
          <w:tcPr>
            <w:tcW w:w="50" w:type="pct"/>
            <w:shd w:val="clear" w:color="auto" w:fill="auto"/>
            <w:vAlign w:val="bottom"/>
          </w:tcPr>
          <w:p w14:paraId="71D4AB60" w14:textId="77777777" w:rsidR="006A3667" w:rsidRDefault="006A3667">
            <w:pPr>
              <w:rPr>
                <w:rFonts w:ascii="宋体"/>
              </w:rPr>
            </w:pPr>
          </w:p>
        </w:tc>
        <w:tc>
          <w:tcPr>
            <w:tcW w:w="263" w:type="pct"/>
            <w:shd w:val="clear" w:color="auto" w:fill="auto"/>
            <w:vAlign w:val="bottom"/>
          </w:tcPr>
          <w:p w14:paraId="71D4AB61" w14:textId="77777777" w:rsidR="006A3667" w:rsidRDefault="006A3667">
            <w:pPr>
              <w:rPr>
                <w:rFonts w:ascii="宋体"/>
              </w:rPr>
            </w:pPr>
          </w:p>
        </w:tc>
        <w:tc>
          <w:tcPr>
            <w:tcW w:w="5" w:type="pct"/>
            <w:shd w:val="clear" w:color="auto" w:fill="auto"/>
            <w:vAlign w:val="bottom"/>
          </w:tcPr>
          <w:p w14:paraId="71D4AB62" w14:textId="77777777" w:rsidR="006A3667" w:rsidRDefault="006A3667">
            <w:pPr>
              <w:rPr>
                <w:rFonts w:ascii="宋体"/>
              </w:rPr>
            </w:pPr>
          </w:p>
        </w:tc>
        <w:tc>
          <w:tcPr>
            <w:tcW w:w="50" w:type="pct"/>
            <w:shd w:val="clear" w:color="auto" w:fill="auto"/>
            <w:vAlign w:val="bottom"/>
          </w:tcPr>
          <w:p w14:paraId="71D4AB63" w14:textId="77777777" w:rsidR="006A3667" w:rsidRDefault="006A3667">
            <w:pPr>
              <w:rPr>
                <w:rFonts w:ascii="宋体"/>
              </w:rPr>
            </w:pPr>
          </w:p>
        </w:tc>
        <w:tc>
          <w:tcPr>
            <w:tcW w:w="1252" w:type="pct"/>
            <w:shd w:val="clear" w:color="auto" w:fill="auto"/>
            <w:vAlign w:val="bottom"/>
          </w:tcPr>
          <w:p w14:paraId="71D4AB64" w14:textId="77777777" w:rsidR="006A3667" w:rsidRDefault="006A3667">
            <w:pPr>
              <w:rPr>
                <w:rFonts w:ascii="宋体"/>
              </w:rPr>
            </w:pPr>
          </w:p>
        </w:tc>
        <w:tc>
          <w:tcPr>
            <w:tcW w:w="5" w:type="pct"/>
            <w:shd w:val="clear" w:color="auto" w:fill="auto"/>
            <w:vAlign w:val="bottom"/>
          </w:tcPr>
          <w:p w14:paraId="71D4AB65" w14:textId="77777777" w:rsidR="006A3667" w:rsidRDefault="006A3667">
            <w:pPr>
              <w:rPr>
                <w:rFonts w:ascii="宋体"/>
              </w:rPr>
            </w:pPr>
          </w:p>
        </w:tc>
        <w:tc>
          <w:tcPr>
            <w:tcW w:w="5" w:type="pct"/>
            <w:shd w:val="clear" w:color="auto" w:fill="auto"/>
            <w:vAlign w:val="bottom"/>
          </w:tcPr>
          <w:p w14:paraId="71D4AB66" w14:textId="77777777" w:rsidR="006A3667" w:rsidRDefault="006A3667">
            <w:pPr>
              <w:rPr>
                <w:rFonts w:ascii="宋体"/>
              </w:rPr>
            </w:pPr>
          </w:p>
        </w:tc>
        <w:tc>
          <w:tcPr>
            <w:tcW w:w="29" w:type="pct"/>
            <w:shd w:val="clear" w:color="auto" w:fill="auto"/>
            <w:vAlign w:val="bottom"/>
          </w:tcPr>
          <w:p w14:paraId="71D4AB67" w14:textId="77777777" w:rsidR="006A3667" w:rsidRDefault="006A3667">
            <w:pPr>
              <w:rPr>
                <w:rFonts w:ascii="宋体"/>
              </w:rPr>
            </w:pPr>
          </w:p>
        </w:tc>
        <w:tc>
          <w:tcPr>
            <w:tcW w:w="5" w:type="pct"/>
            <w:shd w:val="clear" w:color="auto" w:fill="auto"/>
            <w:vAlign w:val="bottom"/>
          </w:tcPr>
          <w:p w14:paraId="71D4AB68" w14:textId="77777777" w:rsidR="006A3667" w:rsidRDefault="006A3667">
            <w:pPr>
              <w:rPr>
                <w:rFonts w:ascii="宋体"/>
              </w:rPr>
            </w:pPr>
          </w:p>
        </w:tc>
        <w:tc>
          <w:tcPr>
            <w:tcW w:w="50" w:type="pct"/>
            <w:shd w:val="clear" w:color="auto" w:fill="auto"/>
            <w:vAlign w:val="bottom"/>
          </w:tcPr>
          <w:p w14:paraId="71D4AB69" w14:textId="77777777" w:rsidR="006A3667" w:rsidRDefault="006A3667">
            <w:pPr>
              <w:rPr>
                <w:rFonts w:ascii="宋体"/>
              </w:rPr>
            </w:pPr>
          </w:p>
        </w:tc>
        <w:tc>
          <w:tcPr>
            <w:tcW w:w="327" w:type="pct"/>
            <w:shd w:val="clear" w:color="auto" w:fill="auto"/>
            <w:vAlign w:val="bottom"/>
          </w:tcPr>
          <w:p w14:paraId="71D4AB6A" w14:textId="77777777" w:rsidR="006A3667" w:rsidRDefault="006A3667">
            <w:pPr>
              <w:rPr>
                <w:rFonts w:ascii="宋体"/>
              </w:rPr>
            </w:pPr>
          </w:p>
        </w:tc>
        <w:tc>
          <w:tcPr>
            <w:tcW w:w="5" w:type="pct"/>
            <w:shd w:val="clear" w:color="auto" w:fill="auto"/>
            <w:vAlign w:val="bottom"/>
          </w:tcPr>
          <w:p w14:paraId="71D4AB6B" w14:textId="77777777" w:rsidR="006A3667" w:rsidRDefault="006A3667">
            <w:pPr>
              <w:rPr>
                <w:rFonts w:ascii="宋体"/>
              </w:rPr>
            </w:pPr>
          </w:p>
        </w:tc>
        <w:tc>
          <w:tcPr>
            <w:tcW w:w="5" w:type="pct"/>
            <w:shd w:val="clear" w:color="auto" w:fill="auto"/>
            <w:vAlign w:val="bottom"/>
          </w:tcPr>
          <w:p w14:paraId="71D4AB6C" w14:textId="77777777" w:rsidR="006A3667" w:rsidRDefault="006A3667">
            <w:pPr>
              <w:rPr>
                <w:rFonts w:ascii="宋体"/>
              </w:rPr>
            </w:pPr>
          </w:p>
        </w:tc>
        <w:tc>
          <w:tcPr>
            <w:tcW w:w="29" w:type="pct"/>
            <w:shd w:val="clear" w:color="auto" w:fill="auto"/>
            <w:vAlign w:val="bottom"/>
          </w:tcPr>
          <w:p w14:paraId="71D4AB6D" w14:textId="77777777" w:rsidR="006A3667" w:rsidRDefault="006A3667">
            <w:pPr>
              <w:rPr>
                <w:rFonts w:ascii="宋体"/>
              </w:rPr>
            </w:pPr>
          </w:p>
        </w:tc>
        <w:tc>
          <w:tcPr>
            <w:tcW w:w="5" w:type="pct"/>
            <w:shd w:val="clear" w:color="auto" w:fill="auto"/>
            <w:vAlign w:val="bottom"/>
          </w:tcPr>
          <w:p w14:paraId="71D4AB6E" w14:textId="77777777" w:rsidR="006A3667" w:rsidRDefault="006A3667">
            <w:pPr>
              <w:rPr>
                <w:rFonts w:ascii="宋体"/>
              </w:rPr>
            </w:pPr>
          </w:p>
        </w:tc>
        <w:tc>
          <w:tcPr>
            <w:tcW w:w="50" w:type="pct"/>
            <w:shd w:val="clear" w:color="auto" w:fill="auto"/>
            <w:vAlign w:val="bottom"/>
          </w:tcPr>
          <w:p w14:paraId="71D4AB6F" w14:textId="77777777" w:rsidR="006A3667" w:rsidRDefault="006A3667">
            <w:pPr>
              <w:rPr>
                <w:rFonts w:ascii="宋体"/>
              </w:rPr>
            </w:pPr>
          </w:p>
        </w:tc>
        <w:tc>
          <w:tcPr>
            <w:tcW w:w="2855" w:type="pct"/>
            <w:shd w:val="clear" w:color="auto" w:fill="auto"/>
            <w:vAlign w:val="bottom"/>
          </w:tcPr>
          <w:p w14:paraId="71D4AB70" w14:textId="77777777" w:rsidR="006A3667" w:rsidRDefault="006A3667">
            <w:pPr>
              <w:rPr>
                <w:rFonts w:ascii="宋体"/>
              </w:rPr>
            </w:pPr>
          </w:p>
        </w:tc>
        <w:tc>
          <w:tcPr>
            <w:tcW w:w="5" w:type="pct"/>
            <w:shd w:val="clear" w:color="auto" w:fill="auto"/>
            <w:vAlign w:val="bottom"/>
          </w:tcPr>
          <w:p w14:paraId="71D4AB71" w14:textId="77777777" w:rsidR="006A3667" w:rsidRDefault="006A3667">
            <w:pPr>
              <w:rPr>
                <w:rFonts w:ascii="宋体"/>
              </w:rPr>
            </w:pPr>
          </w:p>
        </w:tc>
      </w:tr>
      <w:tr w:rsidR="006A3667" w14:paraId="71D4AB79" w14:textId="77777777">
        <w:tc>
          <w:tcPr>
            <w:tcW w:w="0" w:type="auto"/>
            <w:gridSpan w:val="3"/>
            <w:shd w:val="clear" w:color="auto" w:fill="auto"/>
            <w:tcMar>
              <w:top w:w="0" w:type="dxa"/>
              <w:left w:w="20" w:type="dxa"/>
              <w:bottom w:w="0" w:type="dxa"/>
              <w:right w:w="20" w:type="dxa"/>
            </w:tcMar>
            <w:vAlign w:val="bottom"/>
          </w:tcPr>
          <w:p w14:paraId="71D4AB7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7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7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7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77"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78" w14:textId="77777777" w:rsidR="006A3667" w:rsidRDefault="00045F32">
            <w:pPr>
              <w:jc w:val="center"/>
              <w:textAlignment w:val="bottom"/>
            </w:pPr>
            <w:r>
              <w:rPr>
                <w:rFonts w:ascii="Arial" w:eastAsia="宋体" w:hAnsi="Arial" w:cs="Arial"/>
                <w:color w:val="000000"/>
                <w:sz w:val="20"/>
                <w:szCs w:val="20"/>
              </w:rPr>
              <w:t>STATE STREET CORPORATION</w:t>
            </w:r>
          </w:p>
        </w:tc>
      </w:tr>
      <w:tr w:rsidR="006A3667" w14:paraId="71D4AB80" w14:textId="77777777">
        <w:tc>
          <w:tcPr>
            <w:tcW w:w="0" w:type="auto"/>
            <w:gridSpan w:val="3"/>
            <w:shd w:val="clear" w:color="auto" w:fill="auto"/>
            <w:tcMar>
              <w:top w:w="0" w:type="dxa"/>
              <w:left w:w="20" w:type="dxa"/>
              <w:bottom w:w="0" w:type="dxa"/>
              <w:right w:w="20" w:type="dxa"/>
            </w:tcMar>
            <w:vAlign w:val="bottom"/>
          </w:tcPr>
          <w:p w14:paraId="71D4AB7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7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7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7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7E"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7F" w14:textId="77777777" w:rsidR="006A3667" w:rsidRDefault="00045F32">
            <w:pPr>
              <w:jc w:val="center"/>
              <w:textAlignment w:val="bottom"/>
            </w:pPr>
            <w:r>
              <w:rPr>
                <w:rFonts w:ascii="Arial" w:eastAsia="宋体" w:hAnsi="Arial" w:cs="Arial"/>
                <w:color w:val="000000"/>
                <w:sz w:val="20"/>
                <w:szCs w:val="20"/>
              </w:rPr>
              <w:t>(Registrant)</w:t>
            </w:r>
          </w:p>
        </w:tc>
      </w:tr>
      <w:tr w:rsidR="006A3667" w14:paraId="71D4AB87" w14:textId="77777777">
        <w:trPr>
          <w:trHeight w:val="280"/>
        </w:trPr>
        <w:tc>
          <w:tcPr>
            <w:tcW w:w="0" w:type="auto"/>
            <w:gridSpan w:val="3"/>
            <w:shd w:val="clear" w:color="auto" w:fill="auto"/>
            <w:tcMar>
              <w:top w:w="0" w:type="dxa"/>
              <w:left w:w="20" w:type="dxa"/>
              <w:bottom w:w="0" w:type="dxa"/>
              <w:right w:w="20" w:type="dxa"/>
            </w:tcMar>
            <w:vAlign w:val="bottom"/>
          </w:tcPr>
          <w:p w14:paraId="71D4AB8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6" w14:textId="77777777" w:rsidR="006A3667" w:rsidRDefault="006A3667">
            <w:pPr>
              <w:rPr>
                <w:rFonts w:ascii="宋体"/>
              </w:rPr>
            </w:pPr>
          </w:p>
        </w:tc>
      </w:tr>
      <w:tr w:rsidR="006A3667" w14:paraId="71D4AB8E" w14:textId="77777777">
        <w:trPr>
          <w:trHeight w:val="280"/>
        </w:trPr>
        <w:tc>
          <w:tcPr>
            <w:tcW w:w="0" w:type="auto"/>
            <w:gridSpan w:val="3"/>
            <w:shd w:val="clear" w:color="auto" w:fill="auto"/>
            <w:tcMar>
              <w:top w:w="0" w:type="dxa"/>
              <w:left w:w="20" w:type="dxa"/>
              <w:bottom w:w="0" w:type="dxa"/>
              <w:right w:w="20" w:type="dxa"/>
            </w:tcMar>
            <w:vAlign w:val="bottom"/>
          </w:tcPr>
          <w:p w14:paraId="71D4AB8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8D" w14:textId="77777777" w:rsidR="006A3667" w:rsidRDefault="006A3667">
            <w:pPr>
              <w:rPr>
                <w:rFonts w:ascii="宋体"/>
              </w:rPr>
            </w:pPr>
          </w:p>
        </w:tc>
      </w:tr>
      <w:tr w:rsidR="006A3667" w14:paraId="71D4AB95" w14:textId="77777777">
        <w:tc>
          <w:tcPr>
            <w:tcW w:w="0" w:type="auto"/>
            <w:gridSpan w:val="3"/>
            <w:shd w:val="clear" w:color="auto" w:fill="auto"/>
            <w:tcMar>
              <w:top w:w="40" w:type="dxa"/>
              <w:left w:w="20" w:type="dxa"/>
              <w:bottom w:w="40" w:type="dxa"/>
              <w:right w:w="20" w:type="dxa"/>
            </w:tcMar>
          </w:tcPr>
          <w:p w14:paraId="71D4AB8F" w14:textId="77777777" w:rsidR="006A3667" w:rsidRDefault="00045F32">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71D4AB90" w14:textId="77777777" w:rsidR="006A3667" w:rsidRDefault="00045F32">
            <w:pPr>
              <w:textAlignment w:val="top"/>
            </w:pPr>
            <w:r>
              <w:rPr>
                <w:rFonts w:ascii="Arial" w:eastAsia="宋体" w:hAnsi="Arial" w:cs="Arial"/>
                <w:color w:val="000000"/>
                <w:sz w:val="20"/>
                <w:szCs w:val="20"/>
              </w:rPr>
              <w:t>October 26, 2022</w:t>
            </w:r>
          </w:p>
        </w:tc>
        <w:tc>
          <w:tcPr>
            <w:tcW w:w="0" w:type="auto"/>
            <w:gridSpan w:val="3"/>
            <w:shd w:val="clear" w:color="auto" w:fill="auto"/>
            <w:tcMar>
              <w:top w:w="0" w:type="dxa"/>
              <w:left w:w="20" w:type="dxa"/>
              <w:bottom w:w="0" w:type="dxa"/>
              <w:right w:w="20" w:type="dxa"/>
            </w:tcMar>
            <w:vAlign w:val="bottom"/>
          </w:tcPr>
          <w:p w14:paraId="71D4AB9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tcPr>
          <w:p w14:paraId="71D4AB92" w14:textId="77777777" w:rsidR="006A3667" w:rsidRDefault="00045F32">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71D4AB93"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94" w14:textId="77777777" w:rsidR="006A3667" w:rsidRDefault="00045F32">
            <w:pPr>
              <w:jc w:val="cente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p>
        </w:tc>
      </w:tr>
      <w:tr w:rsidR="006A3667" w14:paraId="71D4AB9C" w14:textId="77777777">
        <w:tc>
          <w:tcPr>
            <w:tcW w:w="0" w:type="auto"/>
            <w:gridSpan w:val="3"/>
            <w:shd w:val="clear" w:color="auto" w:fill="auto"/>
            <w:tcMar>
              <w:top w:w="0" w:type="dxa"/>
              <w:left w:w="20" w:type="dxa"/>
              <w:bottom w:w="0" w:type="dxa"/>
              <w:right w:w="20" w:type="dxa"/>
            </w:tcMar>
            <w:vAlign w:val="bottom"/>
          </w:tcPr>
          <w:p w14:paraId="71D4AB9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9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9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9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9A"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B9B" w14:textId="77777777" w:rsidR="006A3667" w:rsidRDefault="00045F32">
            <w:pPr>
              <w:jc w:val="center"/>
              <w:textAlignment w:val="bottom"/>
            </w:pPr>
            <w:r>
              <w:rPr>
                <w:rFonts w:ascii="Arial" w:eastAsia="宋体" w:hAnsi="Arial" w:cs="Arial"/>
                <w:color w:val="000000"/>
                <w:sz w:val="20"/>
                <w:szCs w:val="20"/>
              </w:rPr>
              <w:t>Eric W. Aboaf,</w:t>
            </w:r>
          </w:p>
        </w:tc>
      </w:tr>
      <w:tr w:rsidR="006A3667" w14:paraId="71D4ABA3" w14:textId="77777777">
        <w:tc>
          <w:tcPr>
            <w:tcW w:w="0" w:type="auto"/>
            <w:gridSpan w:val="3"/>
            <w:shd w:val="clear" w:color="auto" w:fill="auto"/>
            <w:tcMar>
              <w:top w:w="0" w:type="dxa"/>
              <w:left w:w="20" w:type="dxa"/>
              <w:bottom w:w="0" w:type="dxa"/>
              <w:right w:w="20" w:type="dxa"/>
            </w:tcMar>
            <w:vAlign w:val="bottom"/>
          </w:tcPr>
          <w:p w14:paraId="71D4AB9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9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9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1"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A2" w14:textId="77777777" w:rsidR="006A3667" w:rsidRDefault="00045F32">
            <w:pPr>
              <w:jc w:val="center"/>
              <w:textAlignment w:val="bottom"/>
            </w:pPr>
            <w:r>
              <w:rPr>
                <w:rFonts w:ascii="Arial" w:eastAsia="宋体" w:hAnsi="Arial" w:cs="Arial"/>
                <w:i/>
                <w:iCs/>
                <w:color w:val="000000"/>
                <w:sz w:val="20"/>
                <w:szCs w:val="20"/>
              </w:rPr>
              <w:t>Vice Chairman and Chief Financial Officer (Principal Financial Officer)</w:t>
            </w:r>
          </w:p>
        </w:tc>
      </w:tr>
      <w:tr w:rsidR="006A3667" w14:paraId="71D4ABAA" w14:textId="77777777">
        <w:trPr>
          <w:trHeight w:val="300"/>
        </w:trPr>
        <w:tc>
          <w:tcPr>
            <w:tcW w:w="0" w:type="auto"/>
            <w:gridSpan w:val="3"/>
            <w:shd w:val="clear" w:color="auto" w:fill="auto"/>
            <w:tcMar>
              <w:top w:w="0" w:type="dxa"/>
              <w:left w:w="20" w:type="dxa"/>
              <w:bottom w:w="0" w:type="dxa"/>
              <w:right w:w="20" w:type="dxa"/>
            </w:tcMar>
            <w:vAlign w:val="bottom"/>
          </w:tcPr>
          <w:p w14:paraId="71D4ABA4"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5"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6"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7"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9" w14:textId="77777777" w:rsidR="006A3667" w:rsidRDefault="006A3667">
            <w:pPr>
              <w:rPr>
                <w:rFonts w:ascii="宋体"/>
              </w:rPr>
            </w:pPr>
          </w:p>
        </w:tc>
      </w:tr>
      <w:tr w:rsidR="006A3667" w14:paraId="71D4ABB1" w14:textId="77777777">
        <w:trPr>
          <w:trHeight w:val="300"/>
        </w:trPr>
        <w:tc>
          <w:tcPr>
            <w:tcW w:w="0" w:type="auto"/>
            <w:gridSpan w:val="3"/>
            <w:shd w:val="clear" w:color="auto" w:fill="auto"/>
            <w:tcMar>
              <w:top w:w="0" w:type="dxa"/>
              <w:left w:w="20" w:type="dxa"/>
              <w:bottom w:w="0" w:type="dxa"/>
              <w:right w:w="20" w:type="dxa"/>
            </w:tcMar>
            <w:vAlign w:val="bottom"/>
          </w:tcPr>
          <w:p w14:paraId="71D4ABA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D"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E"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AF"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B0" w14:textId="77777777" w:rsidR="006A3667" w:rsidRDefault="006A3667">
            <w:pPr>
              <w:rPr>
                <w:rFonts w:ascii="宋体"/>
              </w:rPr>
            </w:pPr>
          </w:p>
        </w:tc>
      </w:tr>
      <w:tr w:rsidR="006A3667" w14:paraId="71D4ABB8" w14:textId="77777777">
        <w:tc>
          <w:tcPr>
            <w:tcW w:w="0" w:type="auto"/>
            <w:gridSpan w:val="3"/>
            <w:shd w:val="clear" w:color="auto" w:fill="auto"/>
            <w:tcMar>
              <w:top w:w="40" w:type="dxa"/>
              <w:left w:w="20" w:type="dxa"/>
              <w:bottom w:w="40" w:type="dxa"/>
              <w:right w:w="20" w:type="dxa"/>
            </w:tcMar>
          </w:tcPr>
          <w:p w14:paraId="71D4ABB2" w14:textId="77777777" w:rsidR="006A3667" w:rsidRDefault="00045F32">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71D4ABB3" w14:textId="77777777" w:rsidR="006A3667" w:rsidRDefault="00045F32">
            <w:pPr>
              <w:textAlignment w:val="top"/>
            </w:pPr>
            <w:r>
              <w:rPr>
                <w:rFonts w:ascii="Arial" w:eastAsia="宋体" w:hAnsi="Arial" w:cs="Arial"/>
                <w:color w:val="000000"/>
                <w:sz w:val="20"/>
                <w:szCs w:val="20"/>
              </w:rPr>
              <w:t>October 26, 2022</w:t>
            </w:r>
          </w:p>
        </w:tc>
        <w:tc>
          <w:tcPr>
            <w:tcW w:w="0" w:type="auto"/>
            <w:gridSpan w:val="3"/>
            <w:shd w:val="clear" w:color="auto" w:fill="auto"/>
            <w:tcMar>
              <w:top w:w="0" w:type="dxa"/>
              <w:left w:w="20" w:type="dxa"/>
              <w:bottom w:w="0" w:type="dxa"/>
              <w:right w:w="20" w:type="dxa"/>
            </w:tcMar>
            <w:vAlign w:val="bottom"/>
          </w:tcPr>
          <w:p w14:paraId="71D4ABB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tcPr>
          <w:p w14:paraId="71D4ABB5" w14:textId="77777777" w:rsidR="006A3667" w:rsidRDefault="00045F32">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71D4ABB6"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B7" w14:textId="77777777" w:rsidR="006A3667" w:rsidRDefault="00045F32">
            <w:pPr>
              <w:jc w:val="center"/>
              <w:textAlignment w:val="bottom"/>
            </w:pPr>
            <w:r>
              <w:rPr>
                <w:rFonts w:ascii="Arial" w:eastAsia="宋体" w:hAnsi="Arial" w:cs="Arial"/>
                <w:color w:val="000000"/>
                <w:sz w:val="20"/>
                <w:szCs w:val="20"/>
              </w:rPr>
              <w:t>/s/ I</w:t>
            </w:r>
            <w:r>
              <w:rPr>
                <w:rFonts w:ascii="Arial" w:eastAsia="宋体" w:hAnsi="Arial" w:cs="Arial"/>
                <w:color w:val="000000"/>
                <w:sz w:val="16"/>
                <w:szCs w:val="16"/>
              </w:rPr>
              <w:t>AN</w:t>
            </w:r>
            <w:r>
              <w:rPr>
                <w:rFonts w:ascii="Arial" w:eastAsia="宋体" w:hAnsi="Arial" w:cs="Arial"/>
                <w:color w:val="000000"/>
                <w:sz w:val="20"/>
                <w:szCs w:val="20"/>
              </w:rPr>
              <w:t xml:space="preserve"> W</w:t>
            </w:r>
            <w:r>
              <w:rPr>
                <w:rFonts w:ascii="Arial" w:eastAsia="宋体" w:hAnsi="Arial" w:cs="Arial"/>
                <w:color w:val="000000"/>
                <w:sz w:val="16"/>
                <w:szCs w:val="16"/>
              </w:rPr>
              <w:t>.</w:t>
            </w:r>
            <w:r>
              <w:rPr>
                <w:rFonts w:ascii="Arial" w:eastAsia="宋体" w:hAnsi="Arial" w:cs="Arial"/>
                <w:color w:val="000000"/>
                <w:sz w:val="20"/>
                <w:szCs w:val="20"/>
              </w:rPr>
              <w:t xml:space="preserve"> A</w:t>
            </w:r>
            <w:r>
              <w:rPr>
                <w:rFonts w:ascii="Arial" w:eastAsia="宋体" w:hAnsi="Arial" w:cs="Arial"/>
                <w:color w:val="000000"/>
                <w:sz w:val="16"/>
                <w:szCs w:val="16"/>
              </w:rPr>
              <w:t>PPLEYARD</w:t>
            </w:r>
          </w:p>
        </w:tc>
      </w:tr>
      <w:tr w:rsidR="006A3667" w14:paraId="71D4ABBF" w14:textId="77777777">
        <w:tc>
          <w:tcPr>
            <w:tcW w:w="0" w:type="auto"/>
            <w:gridSpan w:val="3"/>
            <w:shd w:val="clear" w:color="auto" w:fill="auto"/>
            <w:tcMar>
              <w:top w:w="0" w:type="dxa"/>
              <w:left w:w="20" w:type="dxa"/>
              <w:bottom w:w="0" w:type="dxa"/>
              <w:right w:w="20" w:type="dxa"/>
            </w:tcMar>
            <w:vAlign w:val="bottom"/>
          </w:tcPr>
          <w:p w14:paraId="71D4ABB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B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B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B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BD" w14:textId="77777777" w:rsidR="006A3667" w:rsidRDefault="006A3667">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1D4ABBE" w14:textId="77777777" w:rsidR="006A3667" w:rsidRDefault="00045F32">
            <w:pPr>
              <w:jc w:val="center"/>
              <w:textAlignment w:val="bottom"/>
            </w:pPr>
            <w:r>
              <w:rPr>
                <w:rFonts w:ascii="Arial" w:eastAsia="宋体" w:hAnsi="Arial" w:cs="Arial"/>
                <w:color w:val="000000"/>
                <w:sz w:val="20"/>
                <w:szCs w:val="20"/>
              </w:rPr>
              <w:t>Ian W. Appleyard,</w:t>
            </w:r>
          </w:p>
        </w:tc>
      </w:tr>
      <w:tr w:rsidR="006A3667" w14:paraId="71D4ABC7" w14:textId="77777777">
        <w:tc>
          <w:tcPr>
            <w:tcW w:w="0" w:type="auto"/>
            <w:gridSpan w:val="3"/>
            <w:shd w:val="clear" w:color="auto" w:fill="auto"/>
            <w:tcMar>
              <w:top w:w="0" w:type="dxa"/>
              <w:left w:w="20" w:type="dxa"/>
              <w:bottom w:w="0" w:type="dxa"/>
              <w:right w:w="20" w:type="dxa"/>
            </w:tcMar>
            <w:vAlign w:val="bottom"/>
          </w:tcPr>
          <w:p w14:paraId="71D4ABC0"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1"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2"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3"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4" w14:textId="77777777" w:rsidR="006A3667" w:rsidRDefault="006A3667">
            <w:pPr>
              <w:rPr>
                <w:rFonts w:ascii="宋体"/>
              </w:rPr>
            </w:pPr>
          </w:p>
        </w:tc>
        <w:tc>
          <w:tcPr>
            <w:tcW w:w="0" w:type="auto"/>
            <w:gridSpan w:val="3"/>
            <w:shd w:val="clear" w:color="auto" w:fill="auto"/>
            <w:tcMar>
              <w:top w:w="40" w:type="dxa"/>
              <w:left w:w="20" w:type="dxa"/>
              <w:bottom w:w="40" w:type="dxa"/>
              <w:right w:w="20" w:type="dxa"/>
            </w:tcMar>
            <w:vAlign w:val="bottom"/>
          </w:tcPr>
          <w:p w14:paraId="71D4ABC5" w14:textId="77777777" w:rsidR="006A3667" w:rsidRDefault="00045F32">
            <w:pPr>
              <w:jc w:val="center"/>
              <w:textAlignment w:val="bottom"/>
            </w:pPr>
            <w:r>
              <w:rPr>
                <w:rFonts w:ascii="Arial" w:eastAsia="宋体" w:hAnsi="Arial" w:cs="Arial"/>
                <w:i/>
                <w:iCs/>
                <w:color w:val="000000"/>
                <w:sz w:val="20"/>
                <w:szCs w:val="20"/>
              </w:rPr>
              <w:t xml:space="preserve">Executive Vice President, Global </w:t>
            </w:r>
            <w:r>
              <w:rPr>
                <w:rFonts w:ascii="Arial" w:eastAsia="宋体" w:hAnsi="Arial" w:cs="Arial"/>
                <w:i/>
                <w:iCs/>
                <w:color w:val="000000"/>
                <w:sz w:val="20"/>
                <w:szCs w:val="20"/>
              </w:rPr>
              <w:t>Controller and Chief Accounting Officer</w:t>
            </w:r>
          </w:p>
          <w:p w14:paraId="71D4ABC6" w14:textId="77777777" w:rsidR="006A3667" w:rsidRDefault="00045F32">
            <w:pPr>
              <w:jc w:val="center"/>
              <w:textAlignment w:val="bottom"/>
            </w:pPr>
            <w:r>
              <w:rPr>
                <w:rFonts w:ascii="Arial" w:eastAsia="宋体" w:hAnsi="Arial" w:cs="Arial"/>
                <w:i/>
                <w:iCs/>
                <w:color w:val="000000"/>
                <w:sz w:val="20"/>
                <w:szCs w:val="20"/>
              </w:rPr>
              <w:t>(Principal Accounting Officer)</w:t>
            </w:r>
          </w:p>
        </w:tc>
      </w:tr>
      <w:tr w:rsidR="006A3667" w14:paraId="71D4ABCE" w14:textId="77777777">
        <w:trPr>
          <w:trHeight w:val="300"/>
        </w:trPr>
        <w:tc>
          <w:tcPr>
            <w:tcW w:w="0" w:type="auto"/>
            <w:gridSpan w:val="3"/>
            <w:shd w:val="clear" w:color="auto" w:fill="auto"/>
            <w:tcMar>
              <w:top w:w="0" w:type="dxa"/>
              <w:left w:w="20" w:type="dxa"/>
              <w:bottom w:w="0" w:type="dxa"/>
              <w:right w:w="20" w:type="dxa"/>
            </w:tcMar>
            <w:vAlign w:val="bottom"/>
          </w:tcPr>
          <w:p w14:paraId="71D4ABC8"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9"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A"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B"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C" w14:textId="77777777" w:rsidR="006A3667" w:rsidRDefault="006A3667">
            <w:pPr>
              <w:rPr>
                <w:rFonts w:ascii="宋体"/>
              </w:rPr>
            </w:pPr>
          </w:p>
        </w:tc>
        <w:tc>
          <w:tcPr>
            <w:tcW w:w="0" w:type="auto"/>
            <w:gridSpan w:val="3"/>
            <w:shd w:val="clear" w:color="auto" w:fill="auto"/>
            <w:tcMar>
              <w:top w:w="0" w:type="dxa"/>
              <w:left w:w="20" w:type="dxa"/>
              <w:bottom w:w="0" w:type="dxa"/>
              <w:right w:w="20" w:type="dxa"/>
            </w:tcMar>
            <w:vAlign w:val="bottom"/>
          </w:tcPr>
          <w:p w14:paraId="71D4ABCD" w14:textId="77777777" w:rsidR="006A3667" w:rsidRDefault="006A3667">
            <w:pPr>
              <w:rPr>
                <w:rFonts w:ascii="宋体"/>
              </w:rPr>
            </w:pPr>
          </w:p>
        </w:tc>
      </w:tr>
    </w:tbl>
    <w:p w14:paraId="71D4ABCF" w14:textId="77777777" w:rsidR="006A3667" w:rsidRDefault="006A3667">
      <w:pPr>
        <w:ind w:firstLine="450"/>
        <w:textAlignment w:val="top"/>
      </w:pPr>
    </w:p>
    <w:p w14:paraId="71D4ABD0" w14:textId="77777777" w:rsidR="006A3667" w:rsidRDefault="00045F32">
      <w:pPr>
        <w:ind w:firstLine="450"/>
        <w:jc w:val="right"/>
      </w:pPr>
      <w:r>
        <w:rPr>
          <w:rFonts w:ascii="Arial" w:eastAsia="宋体" w:hAnsi="Arial" w:cs="Arial"/>
          <w:color w:val="000000"/>
          <w:sz w:val="18"/>
          <w:szCs w:val="18"/>
        </w:rPr>
        <w:t>State Street Corporation | 101</w:t>
      </w:r>
    </w:p>
    <w:p w14:paraId="71D4ABD1" w14:textId="77777777" w:rsidR="006A3667" w:rsidRDefault="006A3667">
      <w:pPr>
        <w:ind w:firstLine="450"/>
        <w:jc w:val="center"/>
      </w:pPr>
    </w:p>
    <w:p w14:paraId="71D4ABD2" w14:textId="77777777" w:rsidR="006A3667" w:rsidRDefault="00045F3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D4AC79" wp14:editId="71D4AC7A">
                <wp:extent cx="635" cy="0"/>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AZUx5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BD4" w14:textId="77777777">
        <w:trPr>
          <w:tblCellSpacing w:w="15" w:type="dxa"/>
        </w:trPr>
        <w:tc>
          <w:tcPr>
            <w:tcW w:w="0" w:type="auto"/>
            <w:shd w:val="clear" w:color="auto" w:fill="auto"/>
            <w:vAlign w:val="center"/>
          </w:tcPr>
          <w:p w14:paraId="71D4ABD3" w14:textId="77777777" w:rsidR="006A3667" w:rsidRDefault="006A3667">
            <w:pPr>
              <w:rPr>
                <w:rFonts w:ascii="宋体"/>
              </w:rPr>
            </w:pPr>
          </w:p>
        </w:tc>
      </w:tr>
    </w:tbl>
    <w:p w14:paraId="71D4ABD5"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BD7" w14:textId="77777777">
        <w:trPr>
          <w:tblCellSpacing w:w="15" w:type="dxa"/>
        </w:trPr>
        <w:tc>
          <w:tcPr>
            <w:tcW w:w="0" w:type="auto"/>
            <w:shd w:val="clear" w:color="auto" w:fill="auto"/>
            <w:vAlign w:val="center"/>
          </w:tcPr>
          <w:p w14:paraId="71D4ABD6" w14:textId="77777777" w:rsidR="006A3667" w:rsidRDefault="006A3667">
            <w:pPr>
              <w:rPr>
                <w:rFonts w:ascii="宋体"/>
              </w:rPr>
            </w:pPr>
          </w:p>
        </w:tc>
      </w:tr>
    </w:tbl>
    <w:p w14:paraId="71D4ABD8"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BDA" w14:textId="77777777">
        <w:trPr>
          <w:tblCellSpacing w:w="15" w:type="dxa"/>
        </w:trPr>
        <w:tc>
          <w:tcPr>
            <w:tcW w:w="0" w:type="auto"/>
            <w:shd w:val="clear" w:color="auto" w:fill="auto"/>
            <w:vAlign w:val="center"/>
          </w:tcPr>
          <w:p w14:paraId="71D4ABD9" w14:textId="77777777" w:rsidR="006A3667" w:rsidRDefault="006A3667">
            <w:pPr>
              <w:rPr>
                <w:rFonts w:ascii="宋体"/>
              </w:rPr>
            </w:pPr>
          </w:p>
        </w:tc>
      </w:tr>
    </w:tbl>
    <w:p w14:paraId="71D4ABDB"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BDD" w14:textId="77777777">
        <w:trPr>
          <w:tblCellSpacing w:w="15" w:type="dxa"/>
        </w:trPr>
        <w:tc>
          <w:tcPr>
            <w:tcW w:w="0" w:type="auto"/>
            <w:shd w:val="clear" w:color="auto" w:fill="auto"/>
            <w:vAlign w:val="center"/>
          </w:tcPr>
          <w:p w14:paraId="71D4ABDC" w14:textId="77777777" w:rsidR="006A3667" w:rsidRDefault="006A3667">
            <w:pPr>
              <w:rPr>
                <w:rFonts w:ascii="宋体"/>
              </w:rPr>
            </w:pPr>
          </w:p>
        </w:tc>
      </w:tr>
    </w:tbl>
    <w:p w14:paraId="71D4ABDE" w14:textId="77777777" w:rsidR="006A3667" w:rsidRDefault="00045F32">
      <w:r>
        <w:rPr>
          <w:rFonts w:ascii="宋体" w:eastAsia="宋体" w:hAnsi="宋体" w:cs="宋体"/>
        </w:rPr>
        <w:t xml:space="preserve">Previous Next </w:t>
      </w:r>
    </w:p>
    <w:p w14:paraId="71D4ABDF" w14:textId="77777777" w:rsidR="006A3667" w:rsidRDefault="00045F32">
      <w:pPr>
        <w:pStyle w:val="a3"/>
      </w:pPr>
      <w:r>
        <w:t>Settings</w:t>
      </w:r>
    </w:p>
    <w:p w14:paraId="71D4ABE0" w14:textId="77777777" w:rsidR="006A3667" w:rsidRDefault="00045F32">
      <w:pPr>
        <w:pStyle w:val="Style4"/>
      </w:pPr>
      <w:r>
        <w:t>窗体顶端</w:t>
      </w:r>
    </w:p>
    <w:p w14:paraId="71D4ABE1" w14:textId="77777777" w:rsidR="006A3667" w:rsidRDefault="00045F3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1D4AC7B" wp14:editId="71D4AC7C">
                <wp:extent cx="635" cy="0"/>
                <wp:effectExtent l="0" t="0" r="0" b="0"/>
                <wp:docPr id="75" name="矩形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m6F7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zvnzIGlif/7+fvvn1+MHKTOELCmoLtwGzM/DDde/EDm/FUPrlMfMZDGtEc5tnoUnA+4T9u2&#10;0eZ0Isy2Rf3dUX21TUyQ8+ItdSA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Gm6F7A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1D4ABE2" w14:textId="77777777" w:rsidR="006A3667" w:rsidRDefault="00045F3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1D4AC7D" wp14:editId="71D4AC7E">
                <wp:extent cx="635" cy="0"/>
                <wp:effectExtent l="0" t="0" r="0" b="0"/>
                <wp:docPr id="77" name="矩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2/KQ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1D4ABE3" w14:textId="77777777" w:rsidR="006A3667" w:rsidRDefault="00045F32">
      <w:r>
        <w:pict w14:anchorId="71D4AC7F">
          <v:rect id="_x0000_i1125" style="width:415.3pt;height:1.5pt" o:hralign="center" o:hrstd="t" o:hr="t" fillcolor="#a0a0a0" stroked="f"/>
        </w:pict>
      </w:r>
    </w:p>
    <w:p w14:paraId="71D4ABE4" w14:textId="77777777" w:rsidR="006A3667" w:rsidRDefault="00045F32">
      <w:r>
        <w:rPr>
          <w:rFonts w:ascii="宋体" w:eastAsia="宋体" w:hAnsi="宋体" w:cs="宋体"/>
        </w:rPr>
        <w:t xml:space="preserve">Tagged Data </w:t>
      </w:r>
    </w:p>
    <w:p w14:paraId="71D4ABE5" w14:textId="77777777" w:rsidR="006A3667" w:rsidRDefault="00045F32">
      <w:r>
        <w:rPr>
          <w:rFonts w:ascii="monospace" w:eastAsia="monospace" w:hAnsi="monospace" w:cs="monospace"/>
          <w:noProof/>
        </w:rPr>
        <mc:AlternateContent>
          <mc:Choice Requires="wps">
            <w:drawing>
              <wp:inline distT="0" distB="0" distL="114300" distR="114300" wp14:anchorId="71D4AC80" wp14:editId="71D4AC81">
                <wp:extent cx="635" cy="0"/>
                <wp:effectExtent l="0" t="0" r="0" b="0"/>
                <wp:docPr id="73" name="矩形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IhoBFg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IaAR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1D4ABE6" w14:textId="77777777" w:rsidR="006A3667" w:rsidRDefault="00045F32">
      <w:r>
        <w:rPr>
          <w:rFonts w:ascii="宋体" w:eastAsia="宋体" w:hAnsi="宋体" w:cs="宋体"/>
        </w:rPr>
        <w:t>Save</w:t>
      </w:r>
    </w:p>
    <w:p w14:paraId="71D4ABE7" w14:textId="77777777" w:rsidR="006A3667" w:rsidRDefault="00045F32">
      <w:r>
        <w:rPr>
          <w:rFonts w:ascii="宋体" w:eastAsia="宋体" w:hAnsi="宋体" w:cs="宋体"/>
        </w:rPr>
        <w:t>Reset</w:t>
      </w:r>
    </w:p>
    <w:p w14:paraId="71D4ABE8" w14:textId="77777777" w:rsidR="006A3667" w:rsidRDefault="00045F32">
      <w:r>
        <w:pict w14:anchorId="71D4AC82">
          <v:rect id="_x0000_i1126" style="width:415.3pt;height:1.5pt" o:hralign="center" o:hrstd="t" o:hr="t" fillcolor="#a0a0a0" stroked="f"/>
        </w:pict>
      </w:r>
    </w:p>
    <w:p w14:paraId="71D4ABE9" w14:textId="77777777" w:rsidR="006A3667" w:rsidRDefault="00045F32">
      <w:r>
        <w:rPr>
          <w:rFonts w:ascii="宋体" w:eastAsia="宋体" w:hAnsi="宋体" w:cs="宋体"/>
        </w:rPr>
        <w:t xml:space="preserve">Search Results </w:t>
      </w:r>
    </w:p>
    <w:p w14:paraId="71D4ABEA" w14:textId="77777777" w:rsidR="006A3667" w:rsidRDefault="00045F32">
      <w:r>
        <w:rPr>
          <w:rFonts w:ascii="monospace" w:eastAsia="monospace" w:hAnsi="monospace" w:cs="monospace"/>
          <w:noProof/>
        </w:rPr>
        <mc:AlternateContent>
          <mc:Choice Requires="wps">
            <w:drawing>
              <wp:inline distT="0" distB="0" distL="114300" distR="114300" wp14:anchorId="71D4AC83" wp14:editId="71D4AC84">
                <wp:extent cx="635" cy="0"/>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4GsSXw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OBrEl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1D4ABEB" w14:textId="77777777" w:rsidR="006A3667" w:rsidRDefault="00045F32">
      <w:r>
        <w:rPr>
          <w:rFonts w:ascii="宋体" w:eastAsia="宋体" w:hAnsi="宋体" w:cs="宋体"/>
        </w:rPr>
        <w:t>Save</w:t>
      </w:r>
    </w:p>
    <w:p w14:paraId="71D4ABEC" w14:textId="77777777" w:rsidR="006A3667" w:rsidRDefault="00045F32">
      <w:r>
        <w:rPr>
          <w:rFonts w:ascii="宋体" w:eastAsia="宋体" w:hAnsi="宋体" w:cs="宋体"/>
        </w:rPr>
        <w:t>Reset</w:t>
      </w:r>
    </w:p>
    <w:p w14:paraId="71D4ABED" w14:textId="77777777" w:rsidR="006A3667" w:rsidRDefault="00045F32">
      <w:r>
        <w:pict w14:anchorId="71D4AC85">
          <v:rect id="_x0000_i1127" style="width:415.3pt;height:1.5pt" o:hralign="center" o:hrstd="t" o:hr="t" fillcolor="#a0a0a0" stroked="f"/>
        </w:pict>
      </w:r>
    </w:p>
    <w:p w14:paraId="71D4ABEE" w14:textId="77777777" w:rsidR="006A3667" w:rsidRDefault="00045F32">
      <w:r>
        <w:rPr>
          <w:rFonts w:ascii="宋体" w:eastAsia="宋体" w:hAnsi="宋体" w:cs="宋体"/>
        </w:rPr>
        <w:t xml:space="preserve">Selected Fact </w:t>
      </w:r>
    </w:p>
    <w:p w14:paraId="71D4ABEF" w14:textId="77777777" w:rsidR="006A3667" w:rsidRDefault="00045F32">
      <w:r>
        <w:rPr>
          <w:rFonts w:ascii="monospace" w:eastAsia="monospace" w:hAnsi="monospace" w:cs="monospace"/>
          <w:noProof/>
        </w:rPr>
        <mc:AlternateContent>
          <mc:Choice Requires="wps">
            <w:drawing>
              <wp:inline distT="0" distB="0" distL="114300" distR="114300" wp14:anchorId="71D4AC86" wp14:editId="71D4AC87">
                <wp:extent cx="635" cy="0"/>
                <wp:effectExtent l="0" t="0" r="0" b="0"/>
                <wp:docPr id="83" name="矩形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N9jVM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1D4ABF0" w14:textId="77777777" w:rsidR="006A3667" w:rsidRDefault="00045F32">
      <w:r>
        <w:rPr>
          <w:rFonts w:ascii="宋体" w:eastAsia="宋体" w:hAnsi="宋体" w:cs="宋体"/>
        </w:rPr>
        <w:t>Save</w:t>
      </w:r>
    </w:p>
    <w:p w14:paraId="71D4ABF1" w14:textId="77777777" w:rsidR="006A3667" w:rsidRDefault="00045F32">
      <w:r>
        <w:rPr>
          <w:rFonts w:ascii="宋体" w:eastAsia="宋体" w:hAnsi="宋体" w:cs="宋体"/>
        </w:rPr>
        <w:t>Reset</w:t>
      </w:r>
    </w:p>
    <w:p w14:paraId="71D4ABF2" w14:textId="77777777" w:rsidR="006A3667" w:rsidRDefault="00045F32">
      <w:r>
        <w:pict w14:anchorId="71D4AC88">
          <v:rect id="_x0000_i1128" style="width:415.3pt;height:1.5pt" o:hralign="center" o:hrstd="t" o:hr="t" fillcolor="#a0a0a0" stroked="f"/>
        </w:pict>
      </w:r>
    </w:p>
    <w:p w14:paraId="71D4ABF3" w14:textId="77777777" w:rsidR="006A3667" w:rsidRDefault="00045F32">
      <w:r>
        <w:rPr>
          <w:rFonts w:ascii="宋体" w:eastAsia="宋体" w:hAnsi="宋体" w:cs="宋体"/>
        </w:rPr>
        <w:t xml:space="preserve">Tag Shading (hover) </w:t>
      </w:r>
    </w:p>
    <w:p w14:paraId="71D4ABF4" w14:textId="77777777" w:rsidR="006A3667" w:rsidRDefault="00045F32">
      <w:r>
        <w:rPr>
          <w:rFonts w:ascii="monospace" w:eastAsia="monospace" w:hAnsi="monospace" w:cs="monospace"/>
          <w:noProof/>
        </w:rPr>
        <mc:AlternateContent>
          <mc:Choice Requires="wps">
            <w:drawing>
              <wp:inline distT="0" distB="0" distL="114300" distR="114300" wp14:anchorId="71D4AC89" wp14:editId="71D4AC8A">
                <wp:extent cx="635" cy="0"/>
                <wp:effectExtent l="0" t="0" r="0" b="0"/>
                <wp:docPr id="72" name="矩形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6fHviw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Onx74s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1D4ABF5" w14:textId="77777777" w:rsidR="006A3667" w:rsidRDefault="00045F32">
      <w:r>
        <w:rPr>
          <w:rFonts w:ascii="宋体" w:eastAsia="宋体" w:hAnsi="宋体" w:cs="宋体"/>
        </w:rPr>
        <w:t>Save</w:t>
      </w:r>
    </w:p>
    <w:p w14:paraId="71D4ABF6" w14:textId="77777777" w:rsidR="006A3667" w:rsidRDefault="00045F32">
      <w:r>
        <w:rPr>
          <w:rFonts w:ascii="宋体" w:eastAsia="宋体" w:hAnsi="宋体" w:cs="宋体"/>
        </w:rPr>
        <w:t>Reset</w:t>
      </w:r>
    </w:p>
    <w:p w14:paraId="71D4ABF7" w14:textId="77777777" w:rsidR="006A3667" w:rsidRDefault="00045F32">
      <w:pPr>
        <w:pStyle w:val="Style5"/>
      </w:pPr>
      <w:r>
        <w:t>窗体底端</w:t>
      </w:r>
    </w:p>
    <w:p w14:paraId="71D4ABF8" w14:textId="77777777" w:rsidR="006A3667" w:rsidRDefault="00045F3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D4AC8B" wp14:editId="71D4AC8C">
                <wp:extent cx="635" cy="0"/>
                <wp:effectExtent l="0" t="0" r="0" b="0"/>
                <wp:docPr id="71" name="矩形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9cut9gECAAAaBAAADgAAAGRycy9l&#10;Mm9Eb2MueG1srVPNbhMxEL4j8Q6W72SToBZ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PXLrf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BFA" w14:textId="77777777">
        <w:trPr>
          <w:tblCellSpacing w:w="15" w:type="dxa"/>
        </w:trPr>
        <w:tc>
          <w:tcPr>
            <w:tcW w:w="0" w:type="auto"/>
            <w:shd w:val="clear" w:color="auto" w:fill="auto"/>
            <w:vAlign w:val="center"/>
          </w:tcPr>
          <w:p w14:paraId="71D4ABF9" w14:textId="77777777" w:rsidR="006A3667" w:rsidRDefault="006A3667">
            <w:pPr>
              <w:rPr>
                <w:rFonts w:ascii="宋体"/>
              </w:rPr>
            </w:pPr>
          </w:p>
        </w:tc>
      </w:tr>
    </w:tbl>
    <w:p w14:paraId="71D4ABFB"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BFD" w14:textId="77777777">
        <w:trPr>
          <w:tblCellSpacing w:w="15" w:type="dxa"/>
        </w:trPr>
        <w:tc>
          <w:tcPr>
            <w:tcW w:w="0" w:type="auto"/>
            <w:shd w:val="clear" w:color="auto" w:fill="auto"/>
            <w:vAlign w:val="center"/>
          </w:tcPr>
          <w:p w14:paraId="71D4ABFC" w14:textId="77777777" w:rsidR="006A3667" w:rsidRDefault="006A3667">
            <w:pPr>
              <w:rPr>
                <w:rFonts w:ascii="宋体"/>
              </w:rPr>
            </w:pPr>
          </w:p>
        </w:tc>
      </w:tr>
    </w:tbl>
    <w:p w14:paraId="71D4ABFE"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C00" w14:textId="77777777">
        <w:trPr>
          <w:tblCellSpacing w:w="15" w:type="dxa"/>
        </w:trPr>
        <w:tc>
          <w:tcPr>
            <w:tcW w:w="0" w:type="auto"/>
            <w:shd w:val="clear" w:color="auto" w:fill="auto"/>
            <w:vAlign w:val="center"/>
          </w:tcPr>
          <w:p w14:paraId="71D4ABFF" w14:textId="77777777" w:rsidR="006A3667" w:rsidRDefault="006A3667">
            <w:pPr>
              <w:rPr>
                <w:rFonts w:ascii="宋体"/>
              </w:rPr>
            </w:pPr>
          </w:p>
        </w:tc>
      </w:tr>
    </w:tbl>
    <w:p w14:paraId="71D4AC01"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C03" w14:textId="77777777">
        <w:trPr>
          <w:tblCellSpacing w:w="15" w:type="dxa"/>
        </w:trPr>
        <w:tc>
          <w:tcPr>
            <w:tcW w:w="0" w:type="auto"/>
            <w:shd w:val="clear" w:color="auto" w:fill="auto"/>
            <w:vAlign w:val="center"/>
          </w:tcPr>
          <w:p w14:paraId="71D4AC02" w14:textId="77777777" w:rsidR="006A3667" w:rsidRDefault="006A3667">
            <w:pPr>
              <w:rPr>
                <w:rFonts w:ascii="宋体"/>
              </w:rPr>
            </w:pPr>
          </w:p>
        </w:tc>
      </w:tr>
    </w:tbl>
    <w:p w14:paraId="71D4AC04" w14:textId="77777777" w:rsidR="006A3667" w:rsidRDefault="00045F32">
      <w:r>
        <w:rPr>
          <w:rFonts w:ascii="宋体" w:eastAsia="宋体" w:hAnsi="宋体" w:cs="宋体"/>
        </w:rPr>
        <w:t xml:space="preserve">Previous Next </w:t>
      </w:r>
    </w:p>
    <w:p w14:paraId="71D4AC05" w14:textId="77777777" w:rsidR="006A3667" w:rsidRDefault="00045F32">
      <w:pPr>
        <w:pStyle w:val="a3"/>
      </w:pPr>
      <w:r>
        <w:t xml:space="preserve">Nested Facts / </w:t>
      </w:r>
    </w:p>
    <w:p w14:paraId="71D4AC06" w14:textId="77777777" w:rsidR="006A3667" w:rsidRDefault="00045F32">
      <w:r>
        <w:rPr>
          <w:rFonts w:ascii="宋体" w:eastAsia="宋体" w:hAnsi="宋体" w:cs="宋体"/>
        </w:rPr>
        <w:t xml:space="preserve">Previous Next </w:t>
      </w:r>
    </w:p>
    <w:p w14:paraId="71D4AC07" w14:textId="77777777" w:rsidR="006A3667" w:rsidRDefault="00045F3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D4AC8D" wp14:editId="71D4AC8E">
                <wp:extent cx="635" cy="0"/>
                <wp:effectExtent l="0" t="0" r="0" b="0"/>
                <wp:docPr id="74" name="矩形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0YVrcQ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C09" w14:textId="77777777">
        <w:trPr>
          <w:tblCellSpacing w:w="15" w:type="dxa"/>
        </w:trPr>
        <w:tc>
          <w:tcPr>
            <w:tcW w:w="0" w:type="auto"/>
            <w:shd w:val="clear" w:color="auto" w:fill="auto"/>
            <w:vAlign w:val="center"/>
          </w:tcPr>
          <w:p w14:paraId="71D4AC08" w14:textId="77777777" w:rsidR="006A3667" w:rsidRDefault="006A3667">
            <w:pPr>
              <w:rPr>
                <w:rFonts w:ascii="宋体"/>
              </w:rPr>
            </w:pPr>
          </w:p>
        </w:tc>
      </w:tr>
    </w:tbl>
    <w:p w14:paraId="71D4AC0A"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C0C" w14:textId="77777777">
        <w:trPr>
          <w:tblCellSpacing w:w="15" w:type="dxa"/>
        </w:trPr>
        <w:tc>
          <w:tcPr>
            <w:tcW w:w="0" w:type="auto"/>
            <w:shd w:val="clear" w:color="auto" w:fill="auto"/>
            <w:vAlign w:val="center"/>
          </w:tcPr>
          <w:p w14:paraId="71D4AC0B" w14:textId="77777777" w:rsidR="006A3667" w:rsidRDefault="006A3667">
            <w:pPr>
              <w:rPr>
                <w:rFonts w:ascii="宋体"/>
              </w:rPr>
            </w:pPr>
          </w:p>
        </w:tc>
      </w:tr>
    </w:tbl>
    <w:p w14:paraId="71D4AC0D"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C0F" w14:textId="77777777">
        <w:trPr>
          <w:tblCellSpacing w:w="15" w:type="dxa"/>
        </w:trPr>
        <w:tc>
          <w:tcPr>
            <w:tcW w:w="0" w:type="auto"/>
            <w:shd w:val="clear" w:color="auto" w:fill="auto"/>
            <w:vAlign w:val="center"/>
          </w:tcPr>
          <w:p w14:paraId="71D4AC0E" w14:textId="77777777" w:rsidR="006A3667" w:rsidRDefault="006A3667">
            <w:pPr>
              <w:rPr>
                <w:rFonts w:ascii="宋体"/>
              </w:rPr>
            </w:pPr>
          </w:p>
        </w:tc>
      </w:tr>
    </w:tbl>
    <w:p w14:paraId="71D4AC10" w14:textId="77777777" w:rsidR="006A3667" w:rsidRDefault="006A366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3667" w14:paraId="71D4AC12" w14:textId="77777777">
        <w:trPr>
          <w:tblCellSpacing w:w="15" w:type="dxa"/>
        </w:trPr>
        <w:tc>
          <w:tcPr>
            <w:tcW w:w="0" w:type="auto"/>
            <w:shd w:val="clear" w:color="auto" w:fill="auto"/>
            <w:vAlign w:val="center"/>
          </w:tcPr>
          <w:p w14:paraId="71D4AC11" w14:textId="77777777" w:rsidR="006A3667" w:rsidRDefault="006A3667">
            <w:pPr>
              <w:rPr>
                <w:rFonts w:ascii="宋体"/>
              </w:rPr>
            </w:pPr>
          </w:p>
        </w:tc>
      </w:tr>
    </w:tbl>
    <w:p w14:paraId="71D4AC13" w14:textId="77777777" w:rsidR="006A3667" w:rsidRDefault="00045F32">
      <w:r>
        <w:rPr>
          <w:rFonts w:ascii="宋体" w:eastAsia="宋体" w:hAnsi="宋体" w:cs="宋体"/>
        </w:rPr>
        <w:t xml:space="preserve">Previous Next </w:t>
      </w:r>
    </w:p>
    <w:p w14:paraId="71D4AC14" w14:textId="77777777" w:rsidR="006A3667" w:rsidRDefault="006A3667"/>
    <w:sectPr w:rsidR="006A3667">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1BAF8" w14:textId="77777777" w:rsidR="00045F32" w:rsidRDefault="00045F32" w:rsidP="00045F32">
      <w:r>
        <w:separator/>
      </w:r>
    </w:p>
  </w:endnote>
  <w:endnote w:type="continuationSeparator" w:id="0">
    <w:p w14:paraId="53A45D1D" w14:textId="77777777" w:rsidR="00045F32" w:rsidRDefault="00045F32" w:rsidP="000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EB23" w14:textId="77777777" w:rsidR="00045F32" w:rsidRDefault="00045F32" w:rsidP="00045F32">
      <w:r>
        <w:separator/>
      </w:r>
    </w:p>
  </w:footnote>
  <w:footnote w:type="continuationSeparator" w:id="0">
    <w:p w14:paraId="499CE52A" w14:textId="77777777" w:rsidR="00045F32" w:rsidRDefault="00045F32" w:rsidP="00045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BFF59D1"/>
    <w:rsid w:val="ABFF59D1"/>
    <w:rsid w:val="F5D59ADF"/>
    <w:rsid w:val="00045F32"/>
    <w:rsid w:val="006A3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3D3A4"/>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45F3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45F32"/>
    <w:rPr>
      <w:rFonts w:asciiTheme="minorEastAsia" w:hAnsiTheme="minorEastAsia" w:cs="Times New Roman"/>
      <w:sz w:val="18"/>
      <w:szCs w:val="18"/>
    </w:rPr>
  </w:style>
  <w:style w:type="paragraph" w:styleId="a8">
    <w:name w:val="footer"/>
    <w:basedOn w:val="a"/>
    <w:link w:val="a9"/>
    <w:rsid w:val="00045F32"/>
    <w:pPr>
      <w:tabs>
        <w:tab w:val="center" w:pos="4153"/>
        <w:tab w:val="right" w:pos="8306"/>
      </w:tabs>
      <w:snapToGrid w:val="0"/>
    </w:pPr>
    <w:rPr>
      <w:sz w:val="18"/>
      <w:szCs w:val="18"/>
    </w:rPr>
  </w:style>
  <w:style w:type="character" w:customStyle="1" w:styleId="a9">
    <w:name w:val="页脚 字符"/>
    <w:basedOn w:val="a0"/>
    <w:link w:val="a8"/>
    <w:rsid w:val="00045F32"/>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93751/000009375122000617/stt-20220930.htm" TargetMode="External"/><Relationship Id="rId21" Type="http://schemas.openxmlformats.org/officeDocument/2006/relationships/hyperlink" Target="https://www.sec.gov/ix?doc=/Archives/edgar/data/93751/000009375122000617/stt-20220930.htm" TargetMode="External"/><Relationship Id="rId42" Type="http://schemas.openxmlformats.org/officeDocument/2006/relationships/hyperlink" Target="https://www.sec.gov/ix?doc=/Archives/edgar/data/93751/000009375122000617/stt-20220930.htm" TargetMode="External"/><Relationship Id="rId47" Type="http://schemas.openxmlformats.org/officeDocument/2006/relationships/hyperlink" Target="https://www.sec.gov/ix?doc=/Archives/edgar/data/93751/000009375122000617/stt-20220930.htm" TargetMode="External"/><Relationship Id="rId63" Type="http://schemas.openxmlformats.org/officeDocument/2006/relationships/hyperlink" Target="https://www.sec.gov/ix?doc=/Archives/edgar/data/93751/000009375122000617/stt-20220930.htm" TargetMode="External"/><Relationship Id="rId68" Type="http://schemas.openxmlformats.org/officeDocument/2006/relationships/hyperlink" Target="https://www.sec.gov/Archives/edgar/data/93751/000009375122000617/exhibit312-september302022.htm" TargetMode="External"/><Relationship Id="rId2" Type="http://schemas.openxmlformats.org/officeDocument/2006/relationships/settings" Target="settings.xml"/><Relationship Id="rId16" Type="http://schemas.openxmlformats.org/officeDocument/2006/relationships/hyperlink" Target="https://www.sec.gov/ix?doc=/Archives/edgar/data/93751/000009375122000617/stt-20220930.htm" TargetMode="External"/><Relationship Id="rId29" Type="http://schemas.openxmlformats.org/officeDocument/2006/relationships/hyperlink" Target="https://www.sec.gov/ix?doc=/Archives/edgar/data/93751/000009375122000617/stt-20220930.htm" TargetMode="External"/><Relationship Id="rId11" Type="http://schemas.openxmlformats.org/officeDocument/2006/relationships/hyperlink" Target="https://www.sec.gov/ix?doc=/Archives/edgar/data/93751/000009375122000617/stt-20220930.htm" TargetMode="External"/><Relationship Id="rId24" Type="http://schemas.openxmlformats.org/officeDocument/2006/relationships/hyperlink" Target="https://www.sec.gov/ix?doc=/Archives/edgar/data/93751/000009375122000617/stt-20220930.htm" TargetMode="External"/><Relationship Id="rId32" Type="http://schemas.openxmlformats.org/officeDocument/2006/relationships/hyperlink" Target="https://www.sec.gov/ix?doc=/Archives/edgar/data/93751/000009375122000617/stt-20220930.htm" TargetMode="External"/><Relationship Id="rId37" Type="http://schemas.openxmlformats.org/officeDocument/2006/relationships/hyperlink" Target="https://www.sec.gov/ix?doc=/Archives/edgar/data/93751/000009375122000617/stt-20220930.htm" TargetMode="External"/><Relationship Id="rId40" Type="http://schemas.openxmlformats.org/officeDocument/2006/relationships/hyperlink" Target="https://www.sec.gov/ix?doc=/Archives/edgar/data/93751/000009375122000617/stt-20220930.htm" TargetMode="External"/><Relationship Id="rId45" Type="http://schemas.openxmlformats.org/officeDocument/2006/relationships/hyperlink" Target="https://www.sec.gov/ix?doc=/Archives/edgar/data/93751/000009375122000617/stt-20220930.htm" TargetMode="External"/><Relationship Id="rId53" Type="http://schemas.openxmlformats.org/officeDocument/2006/relationships/hyperlink" Target="https://www.sec.gov/ix?doc=/Archives/edgar/data/93751/000009375122000617/stt-20220930.htm" TargetMode="External"/><Relationship Id="rId58" Type="http://schemas.openxmlformats.org/officeDocument/2006/relationships/hyperlink" Target="https://www.sec.gov/ix?doc=/Archives/edgar/data/93751/000009375122000617/stt-20220930.htm" TargetMode="External"/><Relationship Id="rId66" Type="http://schemas.openxmlformats.org/officeDocument/2006/relationships/hyperlink" Target="https://www.sec.gov/Archives/edgar/data/93751/000009375122000617/exhibit311-september302022.htm" TargetMode="External"/><Relationship Id="rId5" Type="http://schemas.openxmlformats.org/officeDocument/2006/relationships/endnotes" Target="endnotes.xml"/><Relationship Id="rId61" Type="http://schemas.openxmlformats.org/officeDocument/2006/relationships/hyperlink" Target="https://www.sec.gov/ix?doc=/Archives/edgar/data/93751/000009375122000617/stt-20220930.htm" TargetMode="External"/><Relationship Id="rId19" Type="http://schemas.openxmlformats.org/officeDocument/2006/relationships/hyperlink" Target="https://www.sec.gov/ix?doc=/Archives/edgar/data/93751/000009375122000617/stt-20220930.htm" TargetMode="External"/><Relationship Id="rId14" Type="http://schemas.openxmlformats.org/officeDocument/2006/relationships/hyperlink" Target="https://www.sec.gov/ix?doc=/Archives/edgar/data/93751/000009375122000617/stt-20220930.htm" TargetMode="External"/><Relationship Id="rId22" Type="http://schemas.openxmlformats.org/officeDocument/2006/relationships/hyperlink" Target="https://www.sec.gov/ix?doc=/Archives/edgar/data/93751/000009375122000617/stt-20220930.htm" TargetMode="External"/><Relationship Id="rId27" Type="http://schemas.openxmlformats.org/officeDocument/2006/relationships/hyperlink" Target="https://www.sec.gov/ix?doc=/Archives/edgar/data/93751/000009375122000617/stt-20220930.htm" TargetMode="External"/><Relationship Id="rId30" Type="http://schemas.openxmlformats.org/officeDocument/2006/relationships/hyperlink" Target="https://www.sec.gov/ix?doc=/Archives/edgar/data/93751/000009375122000617/stt-20220930.htm" TargetMode="External"/><Relationship Id="rId35" Type="http://schemas.openxmlformats.org/officeDocument/2006/relationships/hyperlink" Target="https://www.sec.gov/ix?doc=/Archives/edgar/data/93751/000009375122000617/stt-20220930.htm" TargetMode="External"/><Relationship Id="rId43" Type="http://schemas.openxmlformats.org/officeDocument/2006/relationships/hyperlink" Target="https://www.sec.gov/ix?doc=/Archives/edgar/data/93751/000009375122000617/stt-20220930.htm" TargetMode="External"/><Relationship Id="rId48" Type="http://schemas.openxmlformats.org/officeDocument/2006/relationships/hyperlink" Target="https://www.sec.gov/ix?doc=/Archives/edgar/data/93751/000009375122000617/stt-20220930.htm" TargetMode="External"/><Relationship Id="rId56" Type="http://schemas.openxmlformats.org/officeDocument/2006/relationships/hyperlink" Target="https://www.sec.gov/ix?doc=/Archives/edgar/data/93751/000009375122000617/stt-20220930.htm" TargetMode="External"/><Relationship Id="rId64" Type="http://schemas.openxmlformats.org/officeDocument/2006/relationships/hyperlink" Target="https://www.sec.gov/Archives/edgar/data/93751/000009375122000617/exhibit15acknowledgmentlet.htm" TargetMode="External"/><Relationship Id="rId69" Type="http://schemas.openxmlformats.org/officeDocument/2006/relationships/hyperlink" Target="https://www.sec.gov/Archives/edgar/data/93751/000009375122000617/exhibit312-september302022.htm" TargetMode="External"/><Relationship Id="rId8" Type="http://schemas.openxmlformats.org/officeDocument/2006/relationships/hyperlink" Target="https://www.sec.gov/ix?doc=/Archives/edgar/data/93751/000009375122000617/stt-20220930.htm" TargetMode="External"/><Relationship Id="rId51" Type="http://schemas.openxmlformats.org/officeDocument/2006/relationships/hyperlink" Target="https://www.sec.gov/ix?doc=/Archives/edgar/data/93751/000009375122000617/stt-20220930.htm"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sec.gov/ix?doc=/Archives/edgar/data/93751/000009375122000617/stt-20220930.htm" TargetMode="External"/><Relationship Id="rId17" Type="http://schemas.openxmlformats.org/officeDocument/2006/relationships/hyperlink" Target="https://www.sec.gov/ix?doc=/Archives/edgar/data/93751/000009375122000617/stt-20220930.htm" TargetMode="External"/><Relationship Id="rId25" Type="http://schemas.openxmlformats.org/officeDocument/2006/relationships/hyperlink" Target="https://www.sec.gov/ix?doc=/Archives/edgar/data/93751/000009375122000617/stt-20220930.htm" TargetMode="External"/><Relationship Id="rId33" Type="http://schemas.openxmlformats.org/officeDocument/2006/relationships/hyperlink" Target="https://www.sec.gov/ix?doc=/Archives/edgar/data/93751/000009375122000617/stt-20220930.htm" TargetMode="External"/><Relationship Id="rId38" Type="http://schemas.openxmlformats.org/officeDocument/2006/relationships/hyperlink" Target="https://www.sec.gov/ix?doc=/Archives/edgar/data/93751/000009375122000617/stt-20220930.htm" TargetMode="External"/><Relationship Id="rId46" Type="http://schemas.openxmlformats.org/officeDocument/2006/relationships/hyperlink" Target="https://www.sec.gov/ix?doc=/Archives/edgar/data/93751/000009375122000617/stt-20220930.htm" TargetMode="External"/><Relationship Id="rId59" Type="http://schemas.openxmlformats.org/officeDocument/2006/relationships/hyperlink" Target="https://www.sec.gov/ix?doc=/Archives/edgar/data/93751/000009375122000617/stt-20220930.htm" TargetMode="External"/><Relationship Id="rId67" Type="http://schemas.openxmlformats.org/officeDocument/2006/relationships/hyperlink" Target="https://www.sec.gov/Archives/edgar/data/93751/000009375122000617/exhibit311-september302022.htm" TargetMode="External"/><Relationship Id="rId20" Type="http://schemas.openxmlformats.org/officeDocument/2006/relationships/hyperlink" Target="https://www.sec.gov/ix?doc=/Archives/edgar/data/93751/000009375122000617/stt-20220930.htm" TargetMode="External"/><Relationship Id="rId41" Type="http://schemas.openxmlformats.org/officeDocument/2006/relationships/hyperlink" Target="https://www.sec.gov/ix?doc=/Archives/edgar/data/93751/000009375122000617/stt-20220930.htm" TargetMode="External"/><Relationship Id="rId54" Type="http://schemas.openxmlformats.org/officeDocument/2006/relationships/hyperlink" Target="https://www.sec.gov/ix?doc=/Archives/edgar/data/93751/000009375122000617/stt-20220930.htm" TargetMode="External"/><Relationship Id="rId62" Type="http://schemas.openxmlformats.org/officeDocument/2006/relationships/hyperlink" Target="https://www.sec.gov/ix?doc=/Archives/edgar/data/93751/000009375122000617/stt-20220930.htm" TargetMode="External"/><Relationship Id="rId70" Type="http://schemas.openxmlformats.org/officeDocument/2006/relationships/hyperlink" Target="https://www.sec.gov/Archives/edgar/data/93751/000009375122000617/exhibit32-september302022.htm" TargetMode="External"/><Relationship Id="rId1" Type="http://schemas.openxmlformats.org/officeDocument/2006/relationships/styles" Target="styles.xml"/><Relationship Id="rId6" Type="http://schemas.openxmlformats.org/officeDocument/2006/relationships/hyperlink" Target="https://www.sec.gov/ix?doc=/Archives/edgar/data/93751/000009375122000617/stt-20220930.htm" TargetMode="External"/><Relationship Id="rId15" Type="http://schemas.openxmlformats.org/officeDocument/2006/relationships/hyperlink" Target="https://www.sec.gov/ix?doc=/Archives/edgar/data/93751/000009375122000617/stt-20220930.htm" TargetMode="External"/><Relationship Id="rId23" Type="http://schemas.openxmlformats.org/officeDocument/2006/relationships/hyperlink" Target="https://www.sec.gov/ix?doc=/Archives/edgar/data/93751/000009375122000617/stt-20220930.htm" TargetMode="External"/><Relationship Id="rId28" Type="http://schemas.openxmlformats.org/officeDocument/2006/relationships/hyperlink" Target="https://www.sec.gov/ix?doc=/Archives/edgar/data/93751/000009375122000617/stt-20220930.htm" TargetMode="External"/><Relationship Id="rId36" Type="http://schemas.openxmlformats.org/officeDocument/2006/relationships/hyperlink" Target="https://www.sec.gov/ix?doc=/Archives/edgar/data/93751/000009375122000617/stt-20220930.htm" TargetMode="External"/><Relationship Id="rId49" Type="http://schemas.openxmlformats.org/officeDocument/2006/relationships/hyperlink" Target="https://www.sec.gov/ix?doc=/Archives/edgar/data/93751/000009375122000617/stt-20220930.htm" TargetMode="External"/><Relationship Id="rId57" Type="http://schemas.openxmlformats.org/officeDocument/2006/relationships/hyperlink" Target="https://www.sec.gov/ix?doc=/Archives/edgar/data/93751/000009375122000617/stt-20220930.htm" TargetMode="External"/><Relationship Id="rId10" Type="http://schemas.openxmlformats.org/officeDocument/2006/relationships/hyperlink" Target="https://www.sec.gov/ix?doc=/Archives/edgar/data/93751/000009375122000617/stt-20220930.htm" TargetMode="External"/><Relationship Id="rId31" Type="http://schemas.openxmlformats.org/officeDocument/2006/relationships/hyperlink" Target="https://www.sec.gov/ix?doc=/Archives/edgar/data/93751/000009375122000617/stt-20220930.htm" TargetMode="External"/><Relationship Id="rId44" Type="http://schemas.openxmlformats.org/officeDocument/2006/relationships/hyperlink" Target="https://www.sec.gov/ix?doc=/Archives/edgar/data/93751/000009375122000617/stt-20220930.htm" TargetMode="External"/><Relationship Id="rId52" Type="http://schemas.openxmlformats.org/officeDocument/2006/relationships/hyperlink" Target="https://www.sec.gov/ix?doc=/Archives/edgar/data/93751/000009375122000617/stt-20220930.htm" TargetMode="External"/><Relationship Id="rId60" Type="http://schemas.openxmlformats.org/officeDocument/2006/relationships/hyperlink" Target="https://www.sec.gov/ix?doc=/Archives/edgar/data/93751/000009375122000617/stt-20220930.htm" TargetMode="External"/><Relationship Id="rId65" Type="http://schemas.openxmlformats.org/officeDocument/2006/relationships/hyperlink" Target="https://www.sec.gov/Archives/edgar/data/93751/000009375122000617/exhibit15acknowledgmentlet.htm"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93751/000009375122000617/stt-20220930.htm" TargetMode="External"/><Relationship Id="rId13" Type="http://schemas.openxmlformats.org/officeDocument/2006/relationships/hyperlink" Target="https://www.sec.gov/ix?doc=/Archives/edgar/data/93751/000009375122000617/stt-20220930.htm" TargetMode="External"/><Relationship Id="rId18" Type="http://schemas.openxmlformats.org/officeDocument/2006/relationships/hyperlink" Target="https://www.sec.gov/ix?doc=/Archives/edgar/data/93751/000009375122000617/stt-20220930.htm" TargetMode="External"/><Relationship Id="rId39" Type="http://schemas.openxmlformats.org/officeDocument/2006/relationships/hyperlink" Target="https://www.sec.gov/ix?doc=/Archives/edgar/data/93751/000009375122000617/stt-20220930.htm" TargetMode="External"/><Relationship Id="rId34" Type="http://schemas.openxmlformats.org/officeDocument/2006/relationships/hyperlink" Target="https://www.sec.gov/ix?doc=/Archives/edgar/data/93751/000009375122000617/stt-20220930.htm" TargetMode="External"/><Relationship Id="rId50" Type="http://schemas.openxmlformats.org/officeDocument/2006/relationships/hyperlink" Target="https://www.sec.gov/ix?doc=/Archives/edgar/data/93751/000009375122000617/stt-20220930.htm" TargetMode="External"/><Relationship Id="rId55" Type="http://schemas.openxmlformats.org/officeDocument/2006/relationships/hyperlink" Target="https://www.sec.gov/ix?doc=/Archives/edgar/data/93751/000009375122000617/stt-20220930.htm" TargetMode="External"/><Relationship Id="rId7" Type="http://schemas.openxmlformats.org/officeDocument/2006/relationships/hyperlink" Target="https://www.sec.gov/ix?doc=/Archives/edgar/data/93751/000009375122000617/stt-20220930.htm" TargetMode="External"/><Relationship Id="rId71" Type="http://schemas.openxmlformats.org/officeDocument/2006/relationships/hyperlink" Target="https://www.sec.gov/Archives/edgar/data/93751/000009375122000617/exhibit32-september3020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81144</Words>
  <Characters>462526</Characters>
  <Application>Microsoft Office Word</Application>
  <DocSecurity>0</DocSecurity>
  <Lines>3854</Lines>
  <Paragraphs>1085</Paragraphs>
  <ScaleCrop>false</ScaleCrop>
  <Company/>
  <LinksUpToDate>false</LinksUpToDate>
  <CharactersWithSpaces>542585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8C175FD24FB7F06282B4E7635193668E</vt:lpwstr>
  </property>
</Properties>
</file>